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265F6" w14:textId="6CDE59C4" w:rsidR="00F8211F" w:rsidRDefault="00027C15" w:rsidP="00F8211F">
      <w:pPr>
        <w:rPr>
          <w:noProof/>
        </w:rPr>
      </w:pPr>
      <w:r>
        <w:rPr>
          <w:b/>
          <w:noProof/>
          <w:sz w:val="24"/>
          <w:szCs w:val="24"/>
          <w:lang w:eastAsia="zh-CN"/>
        </w:rPr>
        <w:drawing>
          <wp:anchor distT="0" distB="0" distL="114300" distR="114300" simplePos="0" relativeHeight="251658257" behindDoc="1" locked="0" layoutInCell="1" allowOverlap="1" wp14:anchorId="50DFDE63" wp14:editId="4E09889D">
            <wp:simplePos x="0" y="0"/>
            <wp:positionH relativeFrom="column">
              <wp:posOffset>-635</wp:posOffset>
            </wp:positionH>
            <wp:positionV relativeFrom="paragraph">
              <wp:posOffset>2540</wp:posOffset>
            </wp:positionV>
            <wp:extent cx="6256655" cy="8661871"/>
            <wp:effectExtent l="0" t="0" r="0" b="6350"/>
            <wp:wrapNone/>
            <wp:docPr id="53" name="Picture 53" descr="A picture containing mosaic, colorful,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mosaic, colorful, tiled&#10;&#10;Description automatically generated"/>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6256655" cy="8661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E5A4D" w14:textId="3EF34840" w:rsidR="00F8211F" w:rsidRDefault="00F8211F" w:rsidP="00F8211F">
      <w:pPr>
        <w:rPr>
          <w:noProof/>
        </w:rPr>
      </w:pPr>
    </w:p>
    <w:p w14:paraId="0D9B24F3" w14:textId="77777777" w:rsidR="00F8211F" w:rsidRDefault="00F8211F" w:rsidP="00F8211F">
      <w:pPr>
        <w:rPr>
          <w:noProof/>
        </w:rPr>
      </w:pPr>
    </w:p>
    <w:p w14:paraId="13E5441D" w14:textId="77777777" w:rsidR="00F8211F" w:rsidRDefault="00F8211F" w:rsidP="00F8211F">
      <w:pPr>
        <w:rPr>
          <w:noProof/>
        </w:rPr>
      </w:pPr>
    </w:p>
    <w:p w14:paraId="5D72CB19" w14:textId="77777777" w:rsidR="00F8211F" w:rsidRDefault="00F8211F" w:rsidP="00F8211F">
      <w:pPr>
        <w:rPr>
          <w:noProof/>
        </w:rPr>
      </w:pPr>
      <w:r>
        <w:rPr>
          <w:noProof/>
          <w:lang w:eastAsia="zh-CN"/>
        </w:rPr>
        <mc:AlternateContent>
          <mc:Choice Requires="wps">
            <w:drawing>
              <wp:anchor distT="0" distB="0" distL="114300" distR="114300" simplePos="0" relativeHeight="251658265" behindDoc="0" locked="0" layoutInCell="1" allowOverlap="1" wp14:anchorId="799D48F8" wp14:editId="5ECADC94">
                <wp:simplePos x="0" y="0"/>
                <wp:positionH relativeFrom="page">
                  <wp:posOffset>735330</wp:posOffset>
                </wp:positionH>
                <wp:positionV relativeFrom="paragraph">
                  <wp:posOffset>114935</wp:posOffset>
                </wp:positionV>
                <wp:extent cx="4305300" cy="4114800"/>
                <wp:effectExtent l="19050" t="19050" r="38100" b="38100"/>
                <wp:wrapNone/>
                <wp:docPr id="35" name="Flowchart: Delay 35"/>
                <wp:cNvGraphicFramePr/>
                <a:graphic xmlns:a="http://schemas.openxmlformats.org/drawingml/2006/main">
                  <a:graphicData uri="http://schemas.microsoft.com/office/word/2010/wordprocessingShape">
                    <wps:wsp>
                      <wps:cNvSpPr/>
                      <wps:spPr>
                        <a:xfrm>
                          <a:off x="0" y="0"/>
                          <a:ext cx="4305300" cy="4114800"/>
                        </a:xfrm>
                        <a:prstGeom prst="flowChartDelay">
                          <a:avLst/>
                        </a:prstGeom>
                        <a:solidFill>
                          <a:srgbClr val="99CCFF"/>
                        </a:solidFill>
                        <a:ln w="63500"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CD41A" id="_x0000_t135" coordsize="21600,21600" o:spt="135" path="m10800,qx21600,10800,10800,21600l,21600,,xe">
                <v:stroke joinstyle="miter"/>
                <v:path gradientshapeok="t" o:connecttype="rect" textboxrect="0,3163,18437,18437"/>
              </v:shapetype>
              <v:shape id="Flowchart: Delay 35" o:spid="_x0000_s1026" type="#_x0000_t135" style="position:absolute;margin-left:57.9pt;margin-top:9.05pt;width:339pt;height:324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" fillcolor="#9cf" strokecolor="#d0cece" strokeweight="5pt">
                <w10:wrap anchorx="page"/>
              </v:shape>
            </w:pict>
          </mc:Fallback>
        </mc:AlternateContent>
      </w:r>
    </w:p>
    <w:p w14:paraId="17E671A0" w14:textId="3862F689" w:rsidR="00F8211F" w:rsidRDefault="00F8211F" w:rsidP="00F8211F">
      <w:pPr>
        <w:rPr>
          <w:noProof/>
        </w:rPr>
      </w:pPr>
    </w:p>
    <w:p w14:paraId="7EA1BE0B" w14:textId="4798A78E" w:rsidR="00F8211F" w:rsidRDefault="006E3415" w:rsidP="00F8211F">
      <w:pPr>
        <w:rPr>
          <w:noProof/>
        </w:rPr>
      </w:pPr>
      <w:r w:rsidRPr="002521C6">
        <w:rPr>
          <w:rFonts w:ascii="Arial" w:hAnsi="Arial" w:cs="Times New Roman"/>
          <w:b/>
          <w:noProof/>
          <w:color w:val="000000" w:themeColor="text1"/>
          <w:sz w:val="24"/>
          <w:szCs w:val="24"/>
          <w:lang w:eastAsia="zh-CN"/>
        </w:rPr>
        <mc:AlternateContent>
          <mc:Choice Requires="wps">
            <w:drawing>
              <wp:anchor distT="45720" distB="45720" distL="114300" distR="114300" simplePos="0" relativeHeight="251658266" behindDoc="0" locked="0" layoutInCell="1" allowOverlap="1" wp14:anchorId="409D8615" wp14:editId="277D0909">
                <wp:simplePos x="0" y="0"/>
                <wp:positionH relativeFrom="column">
                  <wp:posOffset>111125</wp:posOffset>
                </wp:positionH>
                <wp:positionV relativeFrom="paragraph">
                  <wp:posOffset>107950</wp:posOffset>
                </wp:positionV>
                <wp:extent cx="4038600" cy="37795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779520"/>
                        </a:xfrm>
                        <a:prstGeom prst="rect">
                          <a:avLst/>
                        </a:prstGeom>
                        <a:noFill/>
                        <a:ln w="9525">
                          <a:noFill/>
                          <a:miter lim="800000"/>
                          <a:headEnd/>
                          <a:tailEnd/>
                        </a:ln>
                      </wps:spPr>
                      <wps:txbx>
                        <w:txbxContent>
                          <w:p w14:paraId="637FA79D" w14:textId="77777777" w:rsidR="00063AC8" w:rsidRPr="00815C2F" w:rsidRDefault="00063AC8" w:rsidP="00F8211F">
                            <w:pPr>
                              <w:spacing w:after="0" w:line="276" w:lineRule="auto"/>
                              <w:rPr>
                                <w:rFonts w:ascii="Franklin Gothic Demi" w:hAnsi="Franklin Gothic Demi" w:cstheme="minorHAnsi"/>
                                <w:color w:val="00264C"/>
                                <w:sz w:val="12"/>
                                <w:szCs w:val="12"/>
                              </w:rPr>
                            </w:pPr>
                          </w:p>
                          <w:p w14:paraId="794C4CE2" w14:textId="12456096" w:rsidR="00063AC8" w:rsidRDefault="00063AC8" w:rsidP="00F8211F">
                            <w:pPr>
                              <w:spacing w:after="0" w:line="276" w:lineRule="auto"/>
                              <w:rPr>
                                <w:rFonts w:ascii="Verdana Pro Cond" w:hAnsi="Verdana Pro Cond" w:cstheme="minorHAnsi"/>
                                <w:b/>
                                <w:bCs/>
                                <w:color w:val="003366"/>
                                <w:sz w:val="48"/>
                                <w:szCs w:val="48"/>
                              </w:rPr>
                            </w:pPr>
                            <w:r w:rsidRPr="00C97DBA">
                              <w:rPr>
                                <w:rFonts w:ascii="Verdana Pro Cond" w:hAnsi="Verdana Pro Cond" w:cstheme="minorHAnsi"/>
                                <w:b/>
                                <w:bCs/>
                                <w:color w:val="003366"/>
                                <w:sz w:val="48"/>
                                <w:szCs w:val="48"/>
                              </w:rPr>
                              <w:t>Strategies</w:t>
                            </w:r>
                          </w:p>
                          <w:p w14:paraId="0F360B13" w14:textId="3C6E3AD9" w:rsidR="00063AC8" w:rsidRDefault="00063AC8" w:rsidP="00F8211F">
                            <w:pPr>
                              <w:spacing w:after="0" w:line="276" w:lineRule="auto"/>
                              <w:rPr>
                                <w:rFonts w:ascii="Verdana Pro Cond" w:hAnsi="Verdana Pro Cond" w:cstheme="minorHAnsi"/>
                                <w:b/>
                                <w:bCs/>
                                <w:color w:val="003366"/>
                                <w:sz w:val="48"/>
                                <w:szCs w:val="48"/>
                              </w:rPr>
                            </w:pPr>
                            <w:r>
                              <w:rPr>
                                <w:rFonts w:ascii="Verdana Pro Cond" w:hAnsi="Verdana Pro Cond" w:cstheme="minorHAnsi"/>
                                <w:b/>
                                <w:bCs/>
                                <w:color w:val="003366"/>
                                <w:sz w:val="48"/>
                                <w:szCs w:val="48"/>
                              </w:rPr>
                              <w:t>f</w:t>
                            </w:r>
                            <w:r w:rsidRPr="00C97DBA">
                              <w:rPr>
                                <w:rFonts w:ascii="Verdana Pro Cond" w:hAnsi="Verdana Pro Cond" w:cstheme="minorHAnsi"/>
                                <w:b/>
                                <w:bCs/>
                                <w:color w:val="003366"/>
                                <w:sz w:val="48"/>
                                <w:szCs w:val="48"/>
                              </w:rPr>
                              <w:t>or</w:t>
                            </w:r>
                            <w:r>
                              <w:rPr>
                                <w:rFonts w:ascii="Verdana Pro Cond" w:hAnsi="Verdana Pro Cond" w:cstheme="minorHAnsi"/>
                                <w:b/>
                                <w:bCs/>
                                <w:color w:val="003366"/>
                                <w:sz w:val="48"/>
                                <w:szCs w:val="48"/>
                              </w:rPr>
                              <w:t xml:space="preserve"> </w:t>
                            </w:r>
                            <w:r w:rsidR="00E6762A">
                              <w:rPr>
                                <w:rFonts w:ascii="Verdana Pro Cond" w:hAnsi="Verdana Pro Cond" w:cstheme="minorHAnsi"/>
                                <w:b/>
                                <w:bCs/>
                                <w:color w:val="003366"/>
                                <w:sz w:val="48"/>
                                <w:szCs w:val="48"/>
                              </w:rPr>
                              <w:t>Alleviating</w:t>
                            </w:r>
                            <w:r>
                              <w:rPr>
                                <w:rFonts w:ascii="Verdana Pro Cond" w:hAnsi="Verdana Pro Cond" w:cstheme="minorHAnsi"/>
                                <w:b/>
                                <w:bCs/>
                                <w:color w:val="003366"/>
                                <w:sz w:val="48"/>
                                <w:szCs w:val="48"/>
                              </w:rPr>
                              <w:t xml:space="preserve"> </w:t>
                            </w:r>
                            <w:r w:rsidRPr="00C97DBA">
                              <w:rPr>
                                <w:rFonts w:ascii="Verdana Pro Cond" w:hAnsi="Verdana Pro Cond" w:cstheme="minorHAnsi"/>
                                <w:b/>
                                <w:bCs/>
                                <w:color w:val="003366"/>
                                <w:sz w:val="48"/>
                                <w:szCs w:val="48"/>
                              </w:rPr>
                              <w:t>Locational</w:t>
                            </w:r>
                          </w:p>
                          <w:p w14:paraId="560D4C52" w14:textId="6A01C4A4" w:rsidR="00063AC8" w:rsidRDefault="00063AC8" w:rsidP="00F8211F">
                            <w:pPr>
                              <w:spacing w:after="0" w:line="276" w:lineRule="auto"/>
                              <w:rPr>
                                <w:rFonts w:ascii="Verdana Pro Cond" w:hAnsi="Verdana Pro Cond" w:cstheme="minorHAnsi"/>
                                <w:b/>
                                <w:bCs/>
                                <w:color w:val="003366"/>
                                <w:sz w:val="48"/>
                                <w:szCs w:val="48"/>
                              </w:rPr>
                            </w:pPr>
                            <w:r w:rsidRPr="00C97DBA">
                              <w:rPr>
                                <w:rFonts w:ascii="Verdana Pro Cond" w:hAnsi="Verdana Pro Cond" w:cstheme="minorHAnsi"/>
                                <w:b/>
                                <w:bCs/>
                                <w:color w:val="003366"/>
                                <w:sz w:val="48"/>
                                <w:szCs w:val="48"/>
                              </w:rPr>
                              <w:t>Disadvantage</w:t>
                            </w:r>
                            <w:r>
                              <w:rPr>
                                <w:rFonts w:ascii="Verdana Pro Cond" w:hAnsi="Verdana Pro Cond" w:cstheme="minorHAnsi"/>
                                <w:b/>
                                <w:bCs/>
                                <w:color w:val="003366"/>
                                <w:sz w:val="48"/>
                                <w:szCs w:val="48"/>
                              </w:rPr>
                              <w:t xml:space="preserve"> in Geelong</w:t>
                            </w:r>
                          </w:p>
                          <w:p w14:paraId="43AF190A" w14:textId="77777777" w:rsidR="00063AC8" w:rsidRDefault="00063AC8" w:rsidP="00F8211F">
                            <w:pPr>
                              <w:spacing w:after="0" w:line="240" w:lineRule="auto"/>
                              <w:rPr>
                                <w:rFonts w:ascii="Verdana Pro Cond" w:hAnsi="Verdana Pro Cond" w:cstheme="minorHAnsi"/>
                                <w:color w:val="CCECFF"/>
                                <w:sz w:val="12"/>
                                <w:szCs w:val="12"/>
                              </w:rPr>
                            </w:pPr>
                          </w:p>
                          <w:p w14:paraId="2F607691" w14:textId="77777777" w:rsidR="00063AC8" w:rsidRDefault="00063AC8" w:rsidP="00F8211F">
                            <w:pPr>
                              <w:spacing w:after="0" w:line="240" w:lineRule="auto"/>
                              <w:rPr>
                                <w:rFonts w:ascii="Verdana Pro Cond" w:hAnsi="Verdana Pro Cond" w:cstheme="minorHAnsi"/>
                                <w:color w:val="CCECFF"/>
                                <w:sz w:val="12"/>
                                <w:szCs w:val="12"/>
                              </w:rPr>
                            </w:pPr>
                          </w:p>
                          <w:p w14:paraId="22B15BAA" w14:textId="77777777" w:rsidR="00063AC8" w:rsidRPr="00CA19C6" w:rsidRDefault="00063AC8" w:rsidP="00F8211F">
                            <w:pPr>
                              <w:spacing w:after="0" w:line="240" w:lineRule="auto"/>
                              <w:rPr>
                                <w:rFonts w:ascii="Verdana Pro Cond" w:eastAsia="Calibri" w:hAnsi="Verdana Pro Cond" w:cstheme="minorHAnsi"/>
                                <w:color w:val="8FD4FF"/>
                                <w:sz w:val="12"/>
                                <w:szCs w:val="12"/>
                                <w:lang w:val="en-US"/>
                              </w:rPr>
                            </w:pPr>
                          </w:p>
                          <w:p w14:paraId="09164B13" w14:textId="77777777" w:rsidR="00063AC8" w:rsidRPr="00CA19C6" w:rsidRDefault="00063AC8" w:rsidP="00F8211F">
                            <w:pPr>
                              <w:spacing w:after="0" w:line="240" w:lineRule="auto"/>
                              <w:rPr>
                                <w:rFonts w:ascii="Verdana Pro Cond" w:eastAsia="Calibri" w:hAnsi="Verdana Pro Cond" w:cstheme="minorHAnsi"/>
                                <w:color w:val="8FD4FF"/>
                                <w:sz w:val="12"/>
                                <w:szCs w:val="12"/>
                                <w:lang w:val="en-US"/>
                              </w:rPr>
                            </w:pPr>
                          </w:p>
                          <w:p w14:paraId="374AC1DD" w14:textId="77777777" w:rsidR="00063AC8" w:rsidRPr="00CA19C6" w:rsidRDefault="00063AC8" w:rsidP="00F8211F">
                            <w:pPr>
                              <w:spacing w:after="0" w:line="240" w:lineRule="auto"/>
                              <w:rPr>
                                <w:rFonts w:ascii="Verdana Pro Cond" w:eastAsia="Calibri" w:hAnsi="Verdana Pro Cond" w:cstheme="minorHAnsi"/>
                                <w:color w:val="8FD4FF"/>
                                <w:sz w:val="12"/>
                                <w:szCs w:val="12"/>
                                <w:lang w:val="en-US"/>
                              </w:rPr>
                            </w:pPr>
                          </w:p>
                          <w:p w14:paraId="49FC0A56" w14:textId="77777777" w:rsidR="00063AC8" w:rsidRPr="00CA19C6" w:rsidRDefault="00063AC8" w:rsidP="00F8211F">
                            <w:pPr>
                              <w:spacing w:after="0" w:line="240" w:lineRule="auto"/>
                              <w:rPr>
                                <w:rFonts w:ascii="Verdana Pro Cond" w:eastAsia="Calibri" w:hAnsi="Verdana Pro Cond" w:cstheme="minorHAnsi"/>
                                <w:color w:val="8FD4FF"/>
                                <w:sz w:val="12"/>
                                <w:szCs w:val="12"/>
                                <w:lang w:val="en-US"/>
                              </w:rPr>
                            </w:pPr>
                          </w:p>
                          <w:p w14:paraId="652550EB" w14:textId="77777777" w:rsidR="00063AC8" w:rsidRPr="00A43F3F" w:rsidRDefault="00063AC8" w:rsidP="00F8211F">
                            <w:pPr>
                              <w:spacing w:after="0" w:line="240" w:lineRule="auto"/>
                              <w:rPr>
                                <w:rFonts w:ascii="Verdana Pro Cond" w:eastAsia="Calibri" w:hAnsi="Verdana Pro Cond" w:cstheme="minorHAnsi"/>
                                <w:sz w:val="12"/>
                                <w:szCs w:val="12"/>
                                <w:lang w:val="en-US"/>
                              </w:rPr>
                            </w:pPr>
                          </w:p>
                          <w:p w14:paraId="639E32BE" w14:textId="77777777" w:rsidR="00063AC8" w:rsidRPr="00A82EE5" w:rsidRDefault="00063AC8" w:rsidP="00457BA9">
                            <w:pPr>
                              <w:spacing w:after="0" w:line="240" w:lineRule="auto"/>
                              <w:rPr>
                                <w:rFonts w:ascii="Verdana Pro Cond" w:eastAsia="Calibri" w:hAnsi="Verdana Pro Cond" w:cstheme="minorHAnsi"/>
                                <w:sz w:val="28"/>
                                <w:szCs w:val="28"/>
                                <w:lang w:val="en-US"/>
                              </w:rPr>
                            </w:pPr>
                            <w:r w:rsidRPr="00A82EE5">
                              <w:rPr>
                                <w:rFonts w:ascii="Verdana Pro Cond" w:eastAsia="Calibri" w:hAnsi="Verdana Pro Cond" w:cstheme="minorHAnsi"/>
                                <w:sz w:val="28"/>
                                <w:szCs w:val="28"/>
                                <w:lang w:val="en-US"/>
                              </w:rPr>
                              <w:t>Report prepared for the</w:t>
                            </w:r>
                          </w:p>
                          <w:p w14:paraId="470D8807" w14:textId="62F454E3" w:rsidR="00063AC8" w:rsidRPr="00A82EE5" w:rsidRDefault="00063AC8" w:rsidP="00457BA9">
                            <w:pPr>
                              <w:spacing w:after="0" w:line="240" w:lineRule="auto"/>
                              <w:rPr>
                                <w:rFonts w:ascii="Verdana Pro Cond" w:eastAsia="Calibri" w:hAnsi="Verdana Pro Cond" w:cstheme="minorHAnsi"/>
                                <w:sz w:val="28"/>
                                <w:szCs w:val="28"/>
                                <w:lang w:val="en-US"/>
                              </w:rPr>
                            </w:pPr>
                            <w:r w:rsidRPr="00A82EE5">
                              <w:rPr>
                                <w:rFonts w:ascii="Verdana Pro Cond" w:eastAsia="Calibri" w:hAnsi="Verdana Pro Cond" w:cstheme="minorHAnsi"/>
                                <w:sz w:val="28"/>
                                <w:szCs w:val="28"/>
                                <w:lang w:val="en-US"/>
                              </w:rPr>
                              <w:t>City of Greater Geelong</w:t>
                            </w:r>
                          </w:p>
                          <w:p w14:paraId="6D2848AF" w14:textId="66125859" w:rsidR="00063AC8" w:rsidRPr="00A82EE5" w:rsidRDefault="00C87073" w:rsidP="00457BA9">
                            <w:pPr>
                              <w:spacing w:after="0" w:line="240" w:lineRule="auto"/>
                              <w:rPr>
                                <w:rFonts w:ascii="Verdana Pro Cond" w:hAnsi="Verdana Pro Cond" w:cstheme="minorHAnsi"/>
                                <w:sz w:val="28"/>
                                <w:szCs w:val="28"/>
                              </w:rPr>
                            </w:pPr>
                            <w:r>
                              <w:rPr>
                                <w:rFonts w:ascii="Verdana Pro Cond" w:eastAsia="Calibri" w:hAnsi="Verdana Pro Cond" w:cstheme="minorHAnsi"/>
                                <w:sz w:val="28"/>
                                <w:szCs w:val="28"/>
                                <w:lang w:val="en-US"/>
                              </w:rPr>
                              <w:t>May</w:t>
                            </w:r>
                            <w:r w:rsidR="00063AC8" w:rsidRPr="00A82EE5">
                              <w:rPr>
                                <w:rFonts w:ascii="Verdana Pro Cond" w:eastAsia="Calibri" w:hAnsi="Verdana Pro Cond" w:cstheme="minorHAnsi"/>
                                <w:sz w:val="28"/>
                                <w:szCs w:val="28"/>
                                <w:lang w:val="en-US"/>
                              </w:rPr>
                              <w:t xml:space="preserve"> 2021</w:t>
                            </w:r>
                          </w:p>
                          <w:p w14:paraId="3D79611A" w14:textId="77777777" w:rsidR="00063AC8" w:rsidRDefault="00063AC8" w:rsidP="00F8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9D8615" id="_x0000_t202" coordsize="21600,21600" o:spt="202" path="m,l,21600r21600,l21600,xe">
                <v:stroke joinstyle="miter"/>
                <v:path gradientshapeok="t" o:connecttype="rect"/>
              </v:shapetype>
              <v:shape id="Text Box 2" o:spid="_x0000_s1026" type="#_x0000_t202" style="position:absolute;margin-left:8.75pt;margin-top:8.5pt;width:318pt;height:297.6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" filled="f" stroked="f">
                <v:textbox>
                  <w:txbxContent>
                    <w:p w14:paraId="637FA79D" w14:textId="77777777" w:rsidR="00063AC8" w:rsidRPr="00815C2F" w:rsidRDefault="00063AC8" w:rsidP="00F8211F">
                      <w:pPr>
                        <w:spacing w:after="0" w:line="276" w:lineRule="auto"/>
                        <w:rPr>
                          <w:rFonts w:ascii="Franklin Gothic Demi" w:hAnsi="Franklin Gothic Demi" w:cstheme="minorHAnsi"/>
                          <w:color w:val="00264C"/>
                          <w:sz w:val="12"/>
                          <w:szCs w:val="12"/>
                        </w:rPr>
                      </w:pPr>
                    </w:p>
                    <w:p w14:paraId="794C4CE2" w14:textId="12456096" w:rsidR="00063AC8" w:rsidRDefault="00063AC8" w:rsidP="00F8211F">
                      <w:pPr>
                        <w:spacing w:after="0" w:line="276" w:lineRule="auto"/>
                        <w:rPr>
                          <w:rFonts w:ascii="Verdana Pro Cond" w:hAnsi="Verdana Pro Cond" w:cstheme="minorHAnsi"/>
                          <w:b/>
                          <w:bCs/>
                          <w:color w:val="003366"/>
                          <w:sz w:val="48"/>
                          <w:szCs w:val="48"/>
                        </w:rPr>
                      </w:pPr>
                      <w:r w:rsidRPr="00C97DBA">
                        <w:rPr>
                          <w:rFonts w:ascii="Verdana Pro Cond" w:hAnsi="Verdana Pro Cond" w:cstheme="minorHAnsi"/>
                          <w:b/>
                          <w:bCs/>
                          <w:color w:val="003366"/>
                          <w:sz w:val="48"/>
                          <w:szCs w:val="48"/>
                        </w:rPr>
                        <w:t>Strategies</w:t>
                      </w:r>
                    </w:p>
                    <w:p w14:paraId="0F360B13" w14:textId="3C6E3AD9" w:rsidR="00063AC8" w:rsidRDefault="00063AC8" w:rsidP="00F8211F">
                      <w:pPr>
                        <w:spacing w:after="0" w:line="276" w:lineRule="auto"/>
                        <w:rPr>
                          <w:rFonts w:ascii="Verdana Pro Cond" w:hAnsi="Verdana Pro Cond" w:cstheme="minorHAnsi"/>
                          <w:b/>
                          <w:bCs/>
                          <w:color w:val="003366"/>
                          <w:sz w:val="48"/>
                          <w:szCs w:val="48"/>
                        </w:rPr>
                      </w:pPr>
                      <w:r>
                        <w:rPr>
                          <w:rFonts w:ascii="Verdana Pro Cond" w:hAnsi="Verdana Pro Cond" w:cstheme="minorHAnsi"/>
                          <w:b/>
                          <w:bCs/>
                          <w:color w:val="003366"/>
                          <w:sz w:val="48"/>
                          <w:szCs w:val="48"/>
                        </w:rPr>
                        <w:t>f</w:t>
                      </w:r>
                      <w:r w:rsidRPr="00C97DBA">
                        <w:rPr>
                          <w:rFonts w:ascii="Verdana Pro Cond" w:hAnsi="Verdana Pro Cond" w:cstheme="minorHAnsi"/>
                          <w:b/>
                          <w:bCs/>
                          <w:color w:val="003366"/>
                          <w:sz w:val="48"/>
                          <w:szCs w:val="48"/>
                        </w:rPr>
                        <w:t>or</w:t>
                      </w:r>
                      <w:r>
                        <w:rPr>
                          <w:rFonts w:ascii="Verdana Pro Cond" w:hAnsi="Verdana Pro Cond" w:cstheme="minorHAnsi"/>
                          <w:b/>
                          <w:bCs/>
                          <w:color w:val="003366"/>
                          <w:sz w:val="48"/>
                          <w:szCs w:val="48"/>
                        </w:rPr>
                        <w:t xml:space="preserve"> </w:t>
                      </w:r>
                      <w:r w:rsidR="00E6762A">
                        <w:rPr>
                          <w:rFonts w:ascii="Verdana Pro Cond" w:hAnsi="Verdana Pro Cond" w:cstheme="minorHAnsi"/>
                          <w:b/>
                          <w:bCs/>
                          <w:color w:val="003366"/>
                          <w:sz w:val="48"/>
                          <w:szCs w:val="48"/>
                        </w:rPr>
                        <w:t>Alleviating</w:t>
                      </w:r>
                      <w:r>
                        <w:rPr>
                          <w:rFonts w:ascii="Verdana Pro Cond" w:hAnsi="Verdana Pro Cond" w:cstheme="minorHAnsi"/>
                          <w:b/>
                          <w:bCs/>
                          <w:color w:val="003366"/>
                          <w:sz w:val="48"/>
                          <w:szCs w:val="48"/>
                        </w:rPr>
                        <w:t xml:space="preserve"> </w:t>
                      </w:r>
                      <w:r w:rsidRPr="00C97DBA">
                        <w:rPr>
                          <w:rFonts w:ascii="Verdana Pro Cond" w:hAnsi="Verdana Pro Cond" w:cstheme="minorHAnsi"/>
                          <w:b/>
                          <w:bCs/>
                          <w:color w:val="003366"/>
                          <w:sz w:val="48"/>
                          <w:szCs w:val="48"/>
                        </w:rPr>
                        <w:t>Locational</w:t>
                      </w:r>
                    </w:p>
                    <w:p w14:paraId="560D4C52" w14:textId="6A01C4A4" w:rsidR="00063AC8" w:rsidRDefault="00063AC8" w:rsidP="00F8211F">
                      <w:pPr>
                        <w:spacing w:after="0" w:line="276" w:lineRule="auto"/>
                        <w:rPr>
                          <w:rFonts w:ascii="Verdana Pro Cond" w:hAnsi="Verdana Pro Cond" w:cstheme="minorHAnsi"/>
                          <w:b/>
                          <w:bCs/>
                          <w:color w:val="003366"/>
                          <w:sz w:val="48"/>
                          <w:szCs w:val="48"/>
                        </w:rPr>
                      </w:pPr>
                      <w:r w:rsidRPr="00C97DBA">
                        <w:rPr>
                          <w:rFonts w:ascii="Verdana Pro Cond" w:hAnsi="Verdana Pro Cond" w:cstheme="minorHAnsi"/>
                          <w:b/>
                          <w:bCs/>
                          <w:color w:val="003366"/>
                          <w:sz w:val="48"/>
                          <w:szCs w:val="48"/>
                        </w:rPr>
                        <w:t>Disadvantage</w:t>
                      </w:r>
                      <w:r>
                        <w:rPr>
                          <w:rFonts w:ascii="Verdana Pro Cond" w:hAnsi="Verdana Pro Cond" w:cstheme="minorHAnsi"/>
                          <w:b/>
                          <w:bCs/>
                          <w:color w:val="003366"/>
                          <w:sz w:val="48"/>
                          <w:szCs w:val="48"/>
                        </w:rPr>
                        <w:t xml:space="preserve"> in Geelong</w:t>
                      </w:r>
                    </w:p>
                    <w:p w14:paraId="43AF190A" w14:textId="77777777" w:rsidR="00063AC8" w:rsidRDefault="00063AC8" w:rsidP="00F8211F">
                      <w:pPr>
                        <w:spacing w:after="0" w:line="240" w:lineRule="auto"/>
                        <w:rPr>
                          <w:rFonts w:ascii="Verdana Pro Cond" w:hAnsi="Verdana Pro Cond" w:cstheme="minorHAnsi"/>
                          <w:color w:val="CCECFF"/>
                          <w:sz w:val="12"/>
                          <w:szCs w:val="12"/>
                        </w:rPr>
                      </w:pPr>
                    </w:p>
                    <w:p w14:paraId="2F607691" w14:textId="77777777" w:rsidR="00063AC8" w:rsidRDefault="00063AC8" w:rsidP="00F8211F">
                      <w:pPr>
                        <w:spacing w:after="0" w:line="240" w:lineRule="auto"/>
                        <w:rPr>
                          <w:rFonts w:ascii="Verdana Pro Cond" w:hAnsi="Verdana Pro Cond" w:cstheme="minorHAnsi"/>
                          <w:color w:val="CCECFF"/>
                          <w:sz w:val="12"/>
                          <w:szCs w:val="12"/>
                        </w:rPr>
                      </w:pPr>
                    </w:p>
                    <w:p w14:paraId="22B15BAA" w14:textId="77777777" w:rsidR="00063AC8" w:rsidRPr="00CA19C6" w:rsidRDefault="00063AC8" w:rsidP="00F8211F">
                      <w:pPr>
                        <w:spacing w:after="0" w:line="240" w:lineRule="auto"/>
                        <w:rPr>
                          <w:rFonts w:ascii="Verdana Pro Cond" w:eastAsia="Calibri" w:hAnsi="Verdana Pro Cond" w:cstheme="minorHAnsi"/>
                          <w:color w:val="8FD4FF"/>
                          <w:sz w:val="12"/>
                          <w:szCs w:val="12"/>
                          <w:lang w:val="en-US"/>
                        </w:rPr>
                      </w:pPr>
                    </w:p>
                    <w:p w14:paraId="09164B13" w14:textId="77777777" w:rsidR="00063AC8" w:rsidRPr="00CA19C6" w:rsidRDefault="00063AC8" w:rsidP="00F8211F">
                      <w:pPr>
                        <w:spacing w:after="0" w:line="240" w:lineRule="auto"/>
                        <w:rPr>
                          <w:rFonts w:ascii="Verdana Pro Cond" w:eastAsia="Calibri" w:hAnsi="Verdana Pro Cond" w:cstheme="minorHAnsi"/>
                          <w:color w:val="8FD4FF"/>
                          <w:sz w:val="12"/>
                          <w:szCs w:val="12"/>
                          <w:lang w:val="en-US"/>
                        </w:rPr>
                      </w:pPr>
                    </w:p>
                    <w:p w14:paraId="374AC1DD" w14:textId="77777777" w:rsidR="00063AC8" w:rsidRPr="00CA19C6" w:rsidRDefault="00063AC8" w:rsidP="00F8211F">
                      <w:pPr>
                        <w:spacing w:after="0" w:line="240" w:lineRule="auto"/>
                        <w:rPr>
                          <w:rFonts w:ascii="Verdana Pro Cond" w:eastAsia="Calibri" w:hAnsi="Verdana Pro Cond" w:cstheme="minorHAnsi"/>
                          <w:color w:val="8FD4FF"/>
                          <w:sz w:val="12"/>
                          <w:szCs w:val="12"/>
                          <w:lang w:val="en-US"/>
                        </w:rPr>
                      </w:pPr>
                    </w:p>
                    <w:p w14:paraId="49FC0A56" w14:textId="77777777" w:rsidR="00063AC8" w:rsidRPr="00CA19C6" w:rsidRDefault="00063AC8" w:rsidP="00F8211F">
                      <w:pPr>
                        <w:spacing w:after="0" w:line="240" w:lineRule="auto"/>
                        <w:rPr>
                          <w:rFonts w:ascii="Verdana Pro Cond" w:eastAsia="Calibri" w:hAnsi="Verdana Pro Cond" w:cstheme="minorHAnsi"/>
                          <w:color w:val="8FD4FF"/>
                          <w:sz w:val="12"/>
                          <w:szCs w:val="12"/>
                          <w:lang w:val="en-US"/>
                        </w:rPr>
                      </w:pPr>
                    </w:p>
                    <w:p w14:paraId="652550EB" w14:textId="77777777" w:rsidR="00063AC8" w:rsidRPr="00A43F3F" w:rsidRDefault="00063AC8" w:rsidP="00F8211F">
                      <w:pPr>
                        <w:spacing w:after="0" w:line="240" w:lineRule="auto"/>
                        <w:rPr>
                          <w:rFonts w:ascii="Verdana Pro Cond" w:eastAsia="Calibri" w:hAnsi="Verdana Pro Cond" w:cstheme="minorHAnsi"/>
                          <w:sz w:val="12"/>
                          <w:szCs w:val="12"/>
                          <w:lang w:val="en-US"/>
                        </w:rPr>
                      </w:pPr>
                    </w:p>
                    <w:p w14:paraId="639E32BE" w14:textId="77777777" w:rsidR="00063AC8" w:rsidRPr="00A82EE5" w:rsidRDefault="00063AC8" w:rsidP="00457BA9">
                      <w:pPr>
                        <w:spacing w:after="0" w:line="240" w:lineRule="auto"/>
                        <w:rPr>
                          <w:rFonts w:ascii="Verdana Pro Cond" w:eastAsia="Calibri" w:hAnsi="Verdana Pro Cond" w:cstheme="minorHAnsi"/>
                          <w:sz w:val="28"/>
                          <w:szCs w:val="28"/>
                          <w:lang w:val="en-US"/>
                        </w:rPr>
                      </w:pPr>
                      <w:r w:rsidRPr="00A82EE5">
                        <w:rPr>
                          <w:rFonts w:ascii="Verdana Pro Cond" w:eastAsia="Calibri" w:hAnsi="Verdana Pro Cond" w:cstheme="minorHAnsi"/>
                          <w:sz w:val="28"/>
                          <w:szCs w:val="28"/>
                          <w:lang w:val="en-US"/>
                        </w:rPr>
                        <w:t>Report prepared for the</w:t>
                      </w:r>
                    </w:p>
                    <w:p w14:paraId="470D8807" w14:textId="62F454E3" w:rsidR="00063AC8" w:rsidRPr="00A82EE5" w:rsidRDefault="00063AC8" w:rsidP="00457BA9">
                      <w:pPr>
                        <w:spacing w:after="0" w:line="240" w:lineRule="auto"/>
                        <w:rPr>
                          <w:rFonts w:ascii="Verdana Pro Cond" w:eastAsia="Calibri" w:hAnsi="Verdana Pro Cond" w:cstheme="minorHAnsi"/>
                          <w:sz w:val="28"/>
                          <w:szCs w:val="28"/>
                          <w:lang w:val="en-US"/>
                        </w:rPr>
                      </w:pPr>
                      <w:r w:rsidRPr="00A82EE5">
                        <w:rPr>
                          <w:rFonts w:ascii="Verdana Pro Cond" w:eastAsia="Calibri" w:hAnsi="Verdana Pro Cond" w:cstheme="minorHAnsi"/>
                          <w:sz w:val="28"/>
                          <w:szCs w:val="28"/>
                          <w:lang w:val="en-US"/>
                        </w:rPr>
                        <w:t>City of Greater Geelong</w:t>
                      </w:r>
                    </w:p>
                    <w:p w14:paraId="6D2848AF" w14:textId="66125859" w:rsidR="00063AC8" w:rsidRPr="00A82EE5" w:rsidRDefault="00C87073" w:rsidP="00457BA9">
                      <w:pPr>
                        <w:spacing w:after="0" w:line="240" w:lineRule="auto"/>
                        <w:rPr>
                          <w:rFonts w:ascii="Verdana Pro Cond" w:hAnsi="Verdana Pro Cond" w:cstheme="minorHAnsi"/>
                          <w:sz w:val="28"/>
                          <w:szCs w:val="28"/>
                        </w:rPr>
                      </w:pPr>
                      <w:r>
                        <w:rPr>
                          <w:rFonts w:ascii="Verdana Pro Cond" w:eastAsia="Calibri" w:hAnsi="Verdana Pro Cond" w:cstheme="minorHAnsi"/>
                          <w:sz w:val="28"/>
                          <w:szCs w:val="28"/>
                          <w:lang w:val="en-US"/>
                        </w:rPr>
                        <w:t>May</w:t>
                      </w:r>
                      <w:r w:rsidR="00063AC8" w:rsidRPr="00A82EE5">
                        <w:rPr>
                          <w:rFonts w:ascii="Verdana Pro Cond" w:eastAsia="Calibri" w:hAnsi="Verdana Pro Cond" w:cstheme="minorHAnsi"/>
                          <w:sz w:val="28"/>
                          <w:szCs w:val="28"/>
                          <w:lang w:val="en-US"/>
                        </w:rPr>
                        <w:t xml:space="preserve"> 2021</w:t>
                      </w:r>
                    </w:p>
                    <w:p w14:paraId="3D79611A" w14:textId="77777777" w:rsidR="00063AC8" w:rsidRDefault="00063AC8" w:rsidP="00F8211F"/>
                  </w:txbxContent>
                </v:textbox>
                <w10:wrap type="square"/>
              </v:shape>
            </w:pict>
          </mc:Fallback>
        </mc:AlternateContent>
      </w:r>
    </w:p>
    <w:p w14:paraId="1E04B1AC" w14:textId="77777777" w:rsidR="00F8211F" w:rsidRDefault="00F8211F" w:rsidP="00F8211F">
      <w:pPr>
        <w:rPr>
          <w:noProof/>
        </w:rPr>
      </w:pPr>
    </w:p>
    <w:p w14:paraId="3520C8C2" w14:textId="77777777" w:rsidR="00F8211F" w:rsidRDefault="00F8211F" w:rsidP="00F8211F">
      <w:pPr>
        <w:rPr>
          <w:noProof/>
        </w:rPr>
      </w:pPr>
    </w:p>
    <w:p w14:paraId="45C299EF" w14:textId="77777777" w:rsidR="00F8211F" w:rsidRDefault="00F8211F" w:rsidP="00F8211F">
      <w:pPr>
        <w:rPr>
          <w:noProof/>
        </w:rPr>
      </w:pPr>
    </w:p>
    <w:p w14:paraId="55984F66" w14:textId="77777777" w:rsidR="00F8211F" w:rsidRDefault="00F8211F" w:rsidP="00F8211F">
      <w:pPr>
        <w:rPr>
          <w:noProof/>
        </w:rPr>
      </w:pPr>
    </w:p>
    <w:p w14:paraId="4F2AD345" w14:textId="77777777" w:rsidR="00F8211F" w:rsidRDefault="00F8211F" w:rsidP="00F8211F">
      <w:pPr>
        <w:rPr>
          <w:noProof/>
        </w:rPr>
      </w:pPr>
    </w:p>
    <w:p w14:paraId="38F7E864" w14:textId="77777777" w:rsidR="00F8211F" w:rsidRDefault="00F8211F" w:rsidP="00F8211F">
      <w:pPr>
        <w:rPr>
          <w:noProof/>
        </w:rPr>
      </w:pPr>
    </w:p>
    <w:p w14:paraId="199B1481" w14:textId="77777777" w:rsidR="00F8211F" w:rsidRDefault="00F8211F" w:rsidP="00F8211F">
      <w:pPr>
        <w:rPr>
          <w:noProof/>
        </w:rPr>
      </w:pPr>
    </w:p>
    <w:p w14:paraId="6D6E59F9" w14:textId="77777777" w:rsidR="00F8211F" w:rsidRDefault="00F8211F" w:rsidP="00F8211F">
      <w:pPr>
        <w:rPr>
          <w:noProof/>
        </w:rPr>
      </w:pPr>
    </w:p>
    <w:p w14:paraId="3D7E9FBE" w14:textId="77777777" w:rsidR="00F8211F" w:rsidRDefault="00F8211F" w:rsidP="00F8211F">
      <w:pPr>
        <w:rPr>
          <w:noProof/>
        </w:rPr>
      </w:pPr>
    </w:p>
    <w:p w14:paraId="3DC30049" w14:textId="77777777" w:rsidR="00F8211F" w:rsidRDefault="00F8211F" w:rsidP="00F8211F">
      <w:pPr>
        <w:rPr>
          <w:noProof/>
        </w:rPr>
      </w:pPr>
    </w:p>
    <w:p w14:paraId="7CEEB633" w14:textId="77777777" w:rsidR="00F8211F" w:rsidRDefault="00F8211F" w:rsidP="00F8211F">
      <w:pPr>
        <w:rPr>
          <w:noProof/>
        </w:rPr>
      </w:pPr>
    </w:p>
    <w:p w14:paraId="6CD0BFE1" w14:textId="77777777" w:rsidR="00F8211F" w:rsidRDefault="00F8211F" w:rsidP="00F8211F">
      <w:pPr>
        <w:rPr>
          <w:noProof/>
        </w:rPr>
      </w:pPr>
    </w:p>
    <w:p w14:paraId="1F5E1699" w14:textId="77777777" w:rsidR="00F8211F" w:rsidRDefault="00F8211F" w:rsidP="00F8211F">
      <w:pPr>
        <w:rPr>
          <w:noProof/>
        </w:rPr>
      </w:pPr>
    </w:p>
    <w:p w14:paraId="7795A8CC" w14:textId="77777777" w:rsidR="00F8211F" w:rsidRDefault="00F8211F" w:rsidP="00F8211F">
      <w:pPr>
        <w:rPr>
          <w:noProof/>
        </w:rPr>
      </w:pPr>
    </w:p>
    <w:p w14:paraId="4379834F" w14:textId="77777777" w:rsidR="00F8211F" w:rsidRDefault="00F8211F" w:rsidP="00F8211F">
      <w:pPr>
        <w:rPr>
          <w:noProof/>
        </w:rPr>
      </w:pPr>
    </w:p>
    <w:p w14:paraId="27AF4870" w14:textId="77777777" w:rsidR="00F8211F" w:rsidRDefault="00F8211F" w:rsidP="00F8211F">
      <w:pPr>
        <w:rPr>
          <w:noProof/>
        </w:rPr>
      </w:pPr>
    </w:p>
    <w:p w14:paraId="0A7AC942" w14:textId="32664DD8" w:rsidR="00F8211F" w:rsidRDefault="00F8211F" w:rsidP="00F8211F">
      <w:pPr>
        <w:rPr>
          <w:noProof/>
        </w:rPr>
      </w:pPr>
    </w:p>
    <w:p w14:paraId="238790EA" w14:textId="1C6BD918" w:rsidR="00F8211F" w:rsidRDefault="00F8211F" w:rsidP="00F8211F">
      <w:pPr>
        <w:rPr>
          <w:noProof/>
        </w:rPr>
      </w:pPr>
    </w:p>
    <w:p w14:paraId="22CF33BB" w14:textId="5D9ECD93" w:rsidR="00F8211F" w:rsidRDefault="00F8211F" w:rsidP="00F8211F">
      <w:pPr>
        <w:rPr>
          <w:noProof/>
        </w:rPr>
      </w:pPr>
    </w:p>
    <w:p w14:paraId="020054CB" w14:textId="25495D25" w:rsidR="00F8211F" w:rsidRDefault="00F8211F" w:rsidP="00F8211F">
      <w:pPr>
        <w:rPr>
          <w:noProof/>
        </w:rPr>
      </w:pPr>
    </w:p>
    <w:p w14:paraId="61C1AAA3" w14:textId="3CFE0FB2" w:rsidR="00F8211F" w:rsidRDefault="00F8211F" w:rsidP="00F8211F">
      <w:pPr>
        <w:rPr>
          <w:noProof/>
        </w:rPr>
      </w:pPr>
    </w:p>
    <w:p w14:paraId="5DBC2694" w14:textId="4154B651" w:rsidR="00F8211F" w:rsidRDefault="00A43DCE" w:rsidP="00F8211F">
      <w:pPr>
        <w:rPr>
          <w:noProof/>
        </w:rPr>
      </w:pPr>
      <w:r w:rsidRPr="00816002">
        <w:rPr>
          <w:rFonts w:ascii="Franklin Gothic Demi" w:hAnsi="Franklin Gothic Demi" w:cstheme="minorHAnsi"/>
          <w:noProof/>
          <w:color w:val="404040" w:themeColor="text1" w:themeTint="BF"/>
          <w:sz w:val="52"/>
          <w:szCs w:val="52"/>
          <w:lang w:eastAsia="zh-CN"/>
        </w:rPr>
        <mc:AlternateContent>
          <mc:Choice Requires="wps">
            <w:drawing>
              <wp:anchor distT="45720" distB="45720" distL="114300" distR="114300" simplePos="0" relativeHeight="251658271" behindDoc="0" locked="0" layoutInCell="1" allowOverlap="1" wp14:anchorId="523F1578" wp14:editId="02D06DFF">
                <wp:simplePos x="0" y="0"/>
                <wp:positionH relativeFrom="column">
                  <wp:posOffset>-91440</wp:posOffset>
                </wp:positionH>
                <wp:positionV relativeFrom="paragraph">
                  <wp:posOffset>197485</wp:posOffset>
                </wp:positionV>
                <wp:extent cx="1676400" cy="1064895"/>
                <wp:effectExtent l="0" t="0" r="0" b="190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064895"/>
                        </a:xfrm>
                        <a:prstGeom prst="rect">
                          <a:avLst/>
                        </a:prstGeom>
                        <a:noFill/>
                        <a:ln w="9525">
                          <a:noFill/>
                          <a:miter lim="800000"/>
                          <a:headEnd/>
                          <a:tailEnd/>
                        </a:ln>
                      </wps:spPr>
                      <wps:txbx>
                        <w:txbxContent>
                          <w:p w14:paraId="4501C699" w14:textId="2B213688" w:rsidR="00063AC8" w:rsidRPr="00460F3C" w:rsidRDefault="00063AC8" w:rsidP="00022248">
                            <w:pPr>
                              <w:ind w:left="-142"/>
                              <w:rPr>
                                <w:rFonts w:ascii="Verdana Pro Cond SemiBold" w:hAnsi="Verdana Pro Cond SemiBold" w:cstheme="minorHAnsi"/>
                                <w:b/>
                                <w:bCs/>
                                <w:color w:val="003870"/>
                                <w:sz w:val="12"/>
                                <w:szCs w:val="12"/>
                              </w:rPr>
                            </w:pPr>
                            <w:r>
                              <w:rPr>
                                <w:noProof/>
                                <w:lang w:eastAsia="zh-CN"/>
                              </w:rPr>
                              <w:drawing>
                                <wp:inline distT="0" distB="0" distL="0" distR="0" wp14:anchorId="006A366B" wp14:editId="19A3E4F2">
                                  <wp:extent cx="1465580" cy="853464"/>
                                  <wp:effectExtent l="0" t="0" r="1270" b="0"/>
                                  <wp:docPr id="63" name="Picture 63" descr="Deakin HOME Research Hub – Providing evidence-based, community-tailored  housing and social inclusion strategies"/>
                                  <wp:cNvGraphicFramePr/>
                                  <a:graphic xmlns:a="http://schemas.openxmlformats.org/drawingml/2006/main">
                                    <a:graphicData uri="http://schemas.openxmlformats.org/drawingml/2006/picture">
                                      <pic:pic xmlns:pic="http://schemas.openxmlformats.org/drawingml/2006/picture">
                                        <pic:nvPicPr>
                                          <pic:cNvPr id="16" name="Picture 16" descr="Deakin HOME Research Hub – Providing evidence-based, community-tailored  housing and social inclusion strategie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5580" cy="853464"/>
                                          </a:xfrm>
                                          <a:prstGeom prst="rect">
                                            <a:avLst/>
                                          </a:prstGeom>
                                          <a:noFill/>
                                          <a:ln>
                                            <a:noFill/>
                                          </a:ln>
                                        </pic:spPr>
                                      </pic:pic>
                                    </a:graphicData>
                                  </a:graphic>
                                </wp:inline>
                              </w:drawing>
                            </w:r>
                            <w:r>
                              <w:rPr>
                                <w:rFonts w:ascii="Verdana Pro Cond SemiBold" w:hAnsi="Verdana Pro Cond SemiBold" w:cstheme="minorHAnsi"/>
                                <w:b/>
                                <w:bCs/>
                                <w:color w:val="003870"/>
                                <w:sz w:val="44"/>
                                <w:szCs w:val="44"/>
                              </w:rPr>
                              <w:t xml:space="preserve"> </w:t>
                            </w:r>
                          </w:p>
                          <w:p w14:paraId="702CA981" w14:textId="77777777" w:rsidR="00063AC8" w:rsidRPr="00C6257C" w:rsidRDefault="00063AC8" w:rsidP="00F8211F">
                            <w:pPr>
                              <w:rPr>
                                <w:rFonts w:ascii="Verdana Pro Cond SemiBold" w:hAnsi="Verdana Pro Cond SemiBold" w:cstheme="minorHAnsi"/>
                                <w:b/>
                                <w:bCs/>
                                <w:color w:val="003870"/>
                                <w:sz w:val="8"/>
                                <w:szCs w:val="8"/>
                              </w:rPr>
                            </w:pPr>
                            <w:r>
                              <w:rPr>
                                <w:rFonts w:ascii="Verdana Pro Cond SemiBold" w:hAnsi="Verdana Pro Cond SemiBold" w:cstheme="minorHAnsi"/>
                                <w:b/>
                                <w:bCs/>
                                <w:color w:val="003870"/>
                                <w:sz w:val="44"/>
                                <w:szCs w:val="44"/>
                              </w:rPr>
                              <w:t xml:space="preserve"> </w:t>
                            </w:r>
                          </w:p>
                          <w:p w14:paraId="7C6FB677" w14:textId="77777777" w:rsidR="00063AC8" w:rsidRPr="00BE65B3" w:rsidRDefault="00063AC8" w:rsidP="00F8211F">
                            <w:pPr>
                              <w:rPr>
                                <w:color w:val="003870"/>
                                <w:sz w:val="38"/>
                                <w:szCs w:val="38"/>
                              </w:rPr>
                            </w:pPr>
                            <w:r>
                              <w:rPr>
                                <w:rFonts w:ascii="Verdana Pro Cond SemiBold" w:hAnsi="Verdana Pro Cond SemiBold" w:cstheme="minorHAnsi"/>
                                <w:b/>
                                <w:bCs/>
                                <w:color w:val="003870"/>
                                <w:sz w:val="38"/>
                                <w:szCs w:val="38"/>
                              </w:rPr>
                              <w:t xml:space="preserve">                    </w:t>
                            </w:r>
                            <w:r>
                              <w:rPr>
                                <w:rFonts w:ascii="Verdana Pro Cond SemiBold" w:hAnsi="Verdana Pro Cond SemiBold" w:cstheme="minorHAnsi"/>
                                <w:b/>
                                <w:bCs/>
                                <w:color w:val="003870"/>
                                <w:sz w:val="8"/>
                                <w:szCs w:val="8"/>
                              </w:rPr>
                              <w:t xml:space="preserve">        </w:t>
                            </w:r>
                            <w:r>
                              <w:rPr>
                                <w:rFonts w:ascii="Verdana Pro Cond SemiBold" w:hAnsi="Verdana Pro Cond SemiBold" w:cstheme="minorHAnsi"/>
                                <w:b/>
                                <w:bCs/>
                                <w:color w:val="003870"/>
                                <w:sz w:val="36"/>
                                <w:szCs w:val="36"/>
                              </w:rPr>
                              <w:t xml:space="preserve"> </w:t>
                            </w:r>
                            <w:r>
                              <w:rPr>
                                <w:rFonts w:ascii="Verdana Pro Cond SemiBold" w:hAnsi="Verdana Pro Cond SemiBold" w:cstheme="minorHAnsi"/>
                                <w:b/>
                                <w:bCs/>
                                <w:color w:val="003870"/>
                                <w:sz w:val="8"/>
                                <w:szCs w:val="8"/>
                              </w:rPr>
                              <w:t xml:space="preserve">       </w:t>
                            </w:r>
                            <w:r w:rsidRPr="003C5180">
                              <w:rPr>
                                <w:rFonts w:ascii="Verdana Pro Cond SemiBold" w:hAnsi="Verdana Pro Cond SemiBold" w:cstheme="minorHAnsi"/>
                                <w:b/>
                                <w:bCs/>
                                <w:color w:val="003870"/>
                                <w:sz w:val="38"/>
                                <w:szCs w:val="38"/>
                              </w:rPr>
                              <w:t>Vital Communities Research Partnership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F1578" id="_x0000_t202" coordsize="21600,21600" o:spt="202" path="m,l,21600r21600,l21600,xe">
                <v:stroke joinstyle="miter"/>
                <v:path gradientshapeok="t" o:connecttype="rect"/>
              </v:shapetype>
              <v:shape id="_x0000_s1027" type="#_x0000_t202" style="position:absolute;margin-left:-7.2pt;margin-top:15.55pt;width:132pt;height:83.8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" filled="f" stroked="f">
                <v:textbox>
                  <w:txbxContent>
                    <w:p w14:paraId="4501C699" w14:textId="2B213688" w:rsidR="00063AC8" w:rsidRPr="00460F3C" w:rsidRDefault="00063AC8" w:rsidP="00022248">
                      <w:pPr>
                        <w:ind w:left="-142"/>
                        <w:rPr>
                          <w:rFonts w:ascii="Verdana Pro Cond SemiBold" w:hAnsi="Verdana Pro Cond SemiBold" w:cstheme="minorHAnsi"/>
                          <w:b/>
                          <w:bCs/>
                          <w:color w:val="003870"/>
                          <w:sz w:val="12"/>
                          <w:szCs w:val="12"/>
                        </w:rPr>
                      </w:pPr>
                      <w:r>
                        <w:rPr>
                          <w:noProof/>
                          <w:lang w:eastAsia="zh-CN"/>
                        </w:rPr>
                        <w:drawing>
                          <wp:inline distT="0" distB="0" distL="0" distR="0" wp14:anchorId="006A366B" wp14:editId="19A3E4F2">
                            <wp:extent cx="1465580" cy="853464"/>
                            <wp:effectExtent l="0" t="0" r="1270" b="0"/>
                            <wp:docPr id="63" name="Picture 63" descr="Deakin HOME Research Hub – Providing evidence-based, community-tailored  housing and social inclusion strategies"/>
                            <wp:cNvGraphicFramePr/>
                            <a:graphic xmlns:a="http://schemas.openxmlformats.org/drawingml/2006/main">
                              <a:graphicData uri="http://schemas.openxmlformats.org/drawingml/2006/picture">
                                <pic:pic xmlns:pic="http://schemas.openxmlformats.org/drawingml/2006/picture">
                                  <pic:nvPicPr>
                                    <pic:cNvPr id="16" name="Picture 16" descr="Deakin HOME Research Hub – Providing evidence-based, community-tailored  housing and social inclusion strategie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5580" cy="853464"/>
                                    </a:xfrm>
                                    <a:prstGeom prst="rect">
                                      <a:avLst/>
                                    </a:prstGeom>
                                    <a:noFill/>
                                    <a:ln>
                                      <a:noFill/>
                                    </a:ln>
                                  </pic:spPr>
                                </pic:pic>
                              </a:graphicData>
                            </a:graphic>
                          </wp:inline>
                        </w:drawing>
                      </w:r>
                      <w:r>
                        <w:rPr>
                          <w:rFonts w:ascii="Verdana Pro Cond SemiBold" w:hAnsi="Verdana Pro Cond SemiBold" w:cstheme="minorHAnsi"/>
                          <w:b/>
                          <w:bCs/>
                          <w:color w:val="003870"/>
                          <w:sz w:val="44"/>
                          <w:szCs w:val="44"/>
                        </w:rPr>
                        <w:t xml:space="preserve"> </w:t>
                      </w:r>
                    </w:p>
                    <w:p w14:paraId="702CA981" w14:textId="77777777" w:rsidR="00063AC8" w:rsidRPr="00C6257C" w:rsidRDefault="00063AC8" w:rsidP="00F8211F">
                      <w:pPr>
                        <w:rPr>
                          <w:rFonts w:ascii="Verdana Pro Cond SemiBold" w:hAnsi="Verdana Pro Cond SemiBold" w:cstheme="minorHAnsi"/>
                          <w:b/>
                          <w:bCs/>
                          <w:color w:val="003870"/>
                          <w:sz w:val="8"/>
                          <w:szCs w:val="8"/>
                        </w:rPr>
                      </w:pPr>
                      <w:r>
                        <w:rPr>
                          <w:rFonts w:ascii="Verdana Pro Cond SemiBold" w:hAnsi="Verdana Pro Cond SemiBold" w:cstheme="minorHAnsi"/>
                          <w:b/>
                          <w:bCs/>
                          <w:color w:val="003870"/>
                          <w:sz w:val="44"/>
                          <w:szCs w:val="44"/>
                        </w:rPr>
                        <w:t xml:space="preserve"> </w:t>
                      </w:r>
                    </w:p>
                    <w:p w14:paraId="7C6FB677" w14:textId="77777777" w:rsidR="00063AC8" w:rsidRPr="00BE65B3" w:rsidRDefault="00063AC8" w:rsidP="00F8211F">
                      <w:pPr>
                        <w:rPr>
                          <w:color w:val="003870"/>
                          <w:sz w:val="38"/>
                          <w:szCs w:val="38"/>
                        </w:rPr>
                      </w:pPr>
                      <w:r>
                        <w:rPr>
                          <w:rFonts w:ascii="Verdana Pro Cond SemiBold" w:hAnsi="Verdana Pro Cond SemiBold" w:cstheme="minorHAnsi"/>
                          <w:b/>
                          <w:bCs/>
                          <w:color w:val="003870"/>
                          <w:sz w:val="38"/>
                          <w:szCs w:val="38"/>
                        </w:rPr>
                        <w:t xml:space="preserve">                    </w:t>
                      </w:r>
                      <w:r>
                        <w:rPr>
                          <w:rFonts w:ascii="Verdana Pro Cond SemiBold" w:hAnsi="Verdana Pro Cond SemiBold" w:cstheme="minorHAnsi"/>
                          <w:b/>
                          <w:bCs/>
                          <w:color w:val="003870"/>
                          <w:sz w:val="8"/>
                          <w:szCs w:val="8"/>
                        </w:rPr>
                        <w:t xml:space="preserve">        </w:t>
                      </w:r>
                      <w:r>
                        <w:rPr>
                          <w:rFonts w:ascii="Verdana Pro Cond SemiBold" w:hAnsi="Verdana Pro Cond SemiBold" w:cstheme="minorHAnsi"/>
                          <w:b/>
                          <w:bCs/>
                          <w:color w:val="003870"/>
                          <w:sz w:val="36"/>
                          <w:szCs w:val="36"/>
                        </w:rPr>
                        <w:t xml:space="preserve"> </w:t>
                      </w:r>
                      <w:r>
                        <w:rPr>
                          <w:rFonts w:ascii="Verdana Pro Cond SemiBold" w:hAnsi="Verdana Pro Cond SemiBold" w:cstheme="minorHAnsi"/>
                          <w:b/>
                          <w:bCs/>
                          <w:color w:val="003870"/>
                          <w:sz w:val="8"/>
                          <w:szCs w:val="8"/>
                        </w:rPr>
                        <w:t xml:space="preserve">       </w:t>
                      </w:r>
                      <w:r w:rsidRPr="003C5180">
                        <w:rPr>
                          <w:rFonts w:ascii="Verdana Pro Cond SemiBold" w:hAnsi="Verdana Pro Cond SemiBold" w:cstheme="minorHAnsi"/>
                          <w:b/>
                          <w:bCs/>
                          <w:color w:val="003870"/>
                          <w:sz w:val="38"/>
                          <w:szCs w:val="38"/>
                        </w:rPr>
                        <w:t>Vital Communities Research Partnership</w:t>
                      </w:r>
                    </w:p>
                  </w:txbxContent>
                </v:textbox>
              </v:shape>
            </w:pict>
          </mc:Fallback>
        </mc:AlternateContent>
      </w:r>
      <w:r w:rsidR="001A2037" w:rsidRPr="00816002">
        <w:rPr>
          <w:rFonts w:ascii="Franklin Gothic Demi" w:hAnsi="Franklin Gothic Demi" w:cstheme="minorHAnsi"/>
          <w:noProof/>
          <w:color w:val="404040" w:themeColor="text1" w:themeTint="BF"/>
          <w:sz w:val="52"/>
          <w:szCs w:val="52"/>
          <w:lang w:eastAsia="zh-CN"/>
        </w:rPr>
        <mc:AlternateContent>
          <mc:Choice Requires="wps">
            <w:drawing>
              <wp:anchor distT="45720" distB="45720" distL="114300" distR="114300" simplePos="0" relativeHeight="251658268" behindDoc="0" locked="0" layoutInCell="1" allowOverlap="1" wp14:anchorId="4FFD566E" wp14:editId="11188D4E">
                <wp:simplePos x="0" y="0"/>
                <wp:positionH relativeFrom="column">
                  <wp:posOffset>-3810</wp:posOffset>
                </wp:positionH>
                <wp:positionV relativeFrom="paragraph">
                  <wp:posOffset>197484</wp:posOffset>
                </wp:positionV>
                <wp:extent cx="6256655" cy="1064895"/>
                <wp:effectExtent l="0" t="0" r="0" b="19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1064895"/>
                        </a:xfrm>
                        <a:prstGeom prst="rect">
                          <a:avLst/>
                        </a:prstGeom>
                        <a:solidFill>
                          <a:srgbClr val="FFFFFF"/>
                        </a:solidFill>
                        <a:ln w="9525">
                          <a:noFill/>
                          <a:miter lim="800000"/>
                          <a:headEnd/>
                          <a:tailEnd/>
                        </a:ln>
                      </wps:spPr>
                      <wps:txbx>
                        <w:txbxContent>
                          <w:p w14:paraId="6ADBBC9C" w14:textId="77777777" w:rsidR="00063AC8" w:rsidRPr="008852E3" w:rsidRDefault="00063AC8" w:rsidP="00F8211F">
                            <w:pPr>
                              <w:rPr>
                                <w:rFonts w:ascii="Verdana Pro Cond SemiBold" w:hAnsi="Verdana Pro Cond SemiBold" w:cstheme="minorHAnsi"/>
                                <w:b/>
                                <w:bCs/>
                                <w:color w:val="003870"/>
                                <w:sz w:val="18"/>
                                <w:szCs w:val="18"/>
                              </w:rPr>
                            </w:pPr>
                          </w:p>
                          <w:p w14:paraId="07D29E99" w14:textId="0BCA783C" w:rsidR="00063AC8" w:rsidRPr="00876369" w:rsidRDefault="00063AC8" w:rsidP="00F8211F">
                            <w:pPr>
                              <w:rPr>
                                <w:rFonts w:ascii="Verdana Pro Cond SemiBold" w:hAnsi="Verdana Pro Cond SemiBold" w:cstheme="minorHAnsi"/>
                                <w:b/>
                                <w:bCs/>
                                <w:color w:val="003870"/>
                                <w:sz w:val="36"/>
                                <w:szCs w:val="36"/>
                              </w:rPr>
                            </w:pPr>
                            <w:r>
                              <w:rPr>
                                <w:rFonts w:ascii="Verdana Pro Cond SemiBold" w:hAnsi="Verdana Pro Cond SemiBold" w:cstheme="minorHAnsi"/>
                                <w:b/>
                                <w:bCs/>
                                <w:color w:val="003870"/>
                                <w:sz w:val="38"/>
                                <w:szCs w:val="38"/>
                              </w:rPr>
                              <w:t xml:space="preserve">          </w:t>
                            </w:r>
                            <w:r w:rsidRPr="008C28A6">
                              <w:rPr>
                                <w:rFonts w:ascii="Verdana Pro Cond SemiBold" w:hAnsi="Verdana Pro Cond SemiBold" w:cstheme="minorHAnsi"/>
                                <w:b/>
                                <w:bCs/>
                                <w:color w:val="003870"/>
                                <w:sz w:val="20"/>
                                <w:szCs w:val="20"/>
                              </w:rPr>
                              <w:t xml:space="preserve">                 </w:t>
                            </w:r>
                            <w:r>
                              <w:rPr>
                                <w:rFonts w:ascii="Verdana Pro Cond SemiBold" w:hAnsi="Verdana Pro Cond SemiBold" w:cstheme="minorHAnsi"/>
                                <w:b/>
                                <w:bCs/>
                                <w:color w:val="003870"/>
                                <w:sz w:val="20"/>
                                <w:szCs w:val="20"/>
                              </w:rPr>
                              <w:t xml:space="preserve"> </w:t>
                            </w:r>
                            <w:r w:rsidRPr="008C28A6">
                              <w:rPr>
                                <w:rFonts w:ascii="Verdana Pro Cond SemiBold" w:hAnsi="Verdana Pro Cond SemiBold" w:cstheme="minorHAnsi"/>
                                <w:b/>
                                <w:bCs/>
                                <w:color w:val="003870"/>
                                <w:sz w:val="20"/>
                                <w:szCs w:val="20"/>
                              </w:rPr>
                              <w:t xml:space="preserve"> </w:t>
                            </w:r>
                            <w:r>
                              <w:rPr>
                                <w:rFonts w:ascii="Verdana Pro Cond SemiBold" w:hAnsi="Verdana Pro Cond SemiBold" w:cstheme="minorHAnsi"/>
                                <w:b/>
                                <w:bCs/>
                                <w:color w:val="003870"/>
                                <w:sz w:val="20"/>
                                <w:szCs w:val="20"/>
                              </w:rPr>
                              <w:t xml:space="preserve"> </w:t>
                            </w:r>
                            <w:r>
                              <w:rPr>
                                <w:rFonts w:ascii="Verdana Pro Cond SemiBold" w:hAnsi="Verdana Pro Cond SemiBold" w:cstheme="minorHAnsi"/>
                                <w:b/>
                                <w:bCs/>
                                <w:color w:val="003870"/>
                                <w:sz w:val="8"/>
                                <w:szCs w:val="8"/>
                              </w:rPr>
                              <w:t xml:space="preserve">                   </w:t>
                            </w:r>
                            <w:r w:rsidRPr="00876369">
                              <w:rPr>
                                <w:rFonts w:ascii="Verdana Pro Cond SemiBold" w:hAnsi="Verdana Pro Cond SemiBold" w:cstheme="minorHAnsi"/>
                                <w:b/>
                                <w:bCs/>
                                <w:color w:val="003870"/>
                                <w:sz w:val="36"/>
                                <w:szCs w:val="36"/>
                              </w:rPr>
                              <w:t>A Vital Communities Research Partnership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D566E" id="_x0000_s1028" type="#_x0000_t202" style="position:absolute;margin-left:-.3pt;margin-top:15.55pt;width:492.65pt;height:83.8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" stroked="f">
                <v:textbox>
                  <w:txbxContent>
                    <w:p w14:paraId="6ADBBC9C" w14:textId="77777777" w:rsidR="00063AC8" w:rsidRPr="008852E3" w:rsidRDefault="00063AC8" w:rsidP="00F8211F">
                      <w:pPr>
                        <w:rPr>
                          <w:rFonts w:ascii="Verdana Pro Cond SemiBold" w:hAnsi="Verdana Pro Cond SemiBold" w:cstheme="minorHAnsi"/>
                          <w:b/>
                          <w:bCs/>
                          <w:color w:val="003870"/>
                          <w:sz w:val="18"/>
                          <w:szCs w:val="18"/>
                        </w:rPr>
                      </w:pPr>
                    </w:p>
                    <w:p w14:paraId="07D29E99" w14:textId="0BCA783C" w:rsidR="00063AC8" w:rsidRPr="00876369" w:rsidRDefault="00063AC8" w:rsidP="00F8211F">
                      <w:pPr>
                        <w:rPr>
                          <w:rFonts w:ascii="Verdana Pro Cond SemiBold" w:hAnsi="Verdana Pro Cond SemiBold" w:cstheme="minorHAnsi"/>
                          <w:b/>
                          <w:bCs/>
                          <w:color w:val="003870"/>
                          <w:sz w:val="36"/>
                          <w:szCs w:val="36"/>
                        </w:rPr>
                      </w:pPr>
                      <w:r>
                        <w:rPr>
                          <w:rFonts w:ascii="Verdana Pro Cond SemiBold" w:hAnsi="Verdana Pro Cond SemiBold" w:cstheme="minorHAnsi"/>
                          <w:b/>
                          <w:bCs/>
                          <w:color w:val="003870"/>
                          <w:sz w:val="38"/>
                          <w:szCs w:val="38"/>
                        </w:rPr>
                        <w:t xml:space="preserve">          </w:t>
                      </w:r>
                      <w:r w:rsidRPr="008C28A6">
                        <w:rPr>
                          <w:rFonts w:ascii="Verdana Pro Cond SemiBold" w:hAnsi="Verdana Pro Cond SemiBold" w:cstheme="minorHAnsi"/>
                          <w:b/>
                          <w:bCs/>
                          <w:color w:val="003870"/>
                          <w:sz w:val="20"/>
                          <w:szCs w:val="20"/>
                        </w:rPr>
                        <w:t xml:space="preserve">                 </w:t>
                      </w:r>
                      <w:r>
                        <w:rPr>
                          <w:rFonts w:ascii="Verdana Pro Cond SemiBold" w:hAnsi="Verdana Pro Cond SemiBold" w:cstheme="minorHAnsi"/>
                          <w:b/>
                          <w:bCs/>
                          <w:color w:val="003870"/>
                          <w:sz w:val="20"/>
                          <w:szCs w:val="20"/>
                        </w:rPr>
                        <w:t xml:space="preserve"> </w:t>
                      </w:r>
                      <w:r w:rsidRPr="008C28A6">
                        <w:rPr>
                          <w:rFonts w:ascii="Verdana Pro Cond SemiBold" w:hAnsi="Verdana Pro Cond SemiBold" w:cstheme="minorHAnsi"/>
                          <w:b/>
                          <w:bCs/>
                          <w:color w:val="003870"/>
                          <w:sz w:val="20"/>
                          <w:szCs w:val="20"/>
                        </w:rPr>
                        <w:t xml:space="preserve"> </w:t>
                      </w:r>
                      <w:r>
                        <w:rPr>
                          <w:rFonts w:ascii="Verdana Pro Cond SemiBold" w:hAnsi="Verdana Pro Cond SemiBold" w:cstheme="minorHAnsi"/>
                          <w:b/>
                          <w:bCs/>
                          <w:color w:val="003870"/>
                          <w:sz w:val="20"/>
                          <w:szCs w:val="20"/>
                        </w:rPr>
                        <w:t xml:space="preserve"> </w:t>
                      </w:r>
                      <w:r>
                        <w:rPr>
                          <w:rFonts w:ascii="Verdana Pro Cond SemiBold" w:hAnsi="Verdana Pro Cond SemiBold" w:cstheme="minorHAnsi"/>
                          <w:b/>
                          <w:bCs/>
                          <w:color w:val="003870"/>
                          <w:sz w:val="8"/>
                          <w:szCs w:val="8"/>
                        </w:rPr>
                        <w:t xml:space="preserve">                   </w:t>
                      </w:r>
                      <w:r w:rsidRPr="00876369">
                        <w:rPr>
                          <w:rFonts w:ascii="Verdana Pro Cond SemiBold" w:hAnsi="Verdana Pro Cond SemiBold" w:cstheme="minorHAnsi"/>
                          <w:b/>
                          <w:bCs/>
                          <w:color w:val="003870"/>
                          <w:sz w:val="36"/>
                          <w:szCs w:val="36"/>
                        </w:rPr>
                        <w:t>A Vital Communities Research Partnership</w:t>
                      </w:r>
                    </w:p>
                  </w:txbxContent>
                </v:textbox>
              </v:shape>
            </w:pict>
          </mc:Fallback>
        </mc:AlternateContent>
      </w:r>
    </w:p>
    <w:p w14:paraId="1620D3CF" w14:textId="2CD3B49D" w:rsidR="00F8211F" w:rsidRDefault="001A2037" w:rsidP="00F8211F">
      <w:pPr>
        <w:rPr>
          <w:noProof/>
        </w:rPr>
      </w:pPr>
      <w:r>
        <w:rPr>
          <w:b/>
          <w:noProof/>
          <w:sz w:val="24"/>
          <w:szCs w:val="24"/>
          <w:lang w:eastAsia="zh-CN"/>
        </w:rPr>
        <mc:AlternateContent>
          <mc:Choice Requires="wps">
            <w:drawing>
              <wp:anchor distT="0" distB="0" distL="114300" distR="114300" simplePos="0" relativeHeight="251658269" behindDoc="0" locked="0" layoutInCell="1" allowOverlap="1" wp14:anchorId="59F751FF" wp14:editId="75F1AF9E">
                <wp:simplePos x="0" y="0"/>
                <wp:positionH relativeFrom="column">
                  <wp:posOffset>1684020</wp:posOffset>
                </wp:positionH>
                <wp:positionV relativeFrom="page">
                  <wp:posOffset>9164320</wp:posOffset>
                </wp:positionV>
                <wp:extent cx="0" cy="453600"/>
                <wp:effectExtent l="0" t="0" r="38100" b="22860"/>
                <wp:wrapNone/>
                <wp:docPr id="52" name="Straight Connector 52"/>
                <wp:cNvGraphicFramePr/>
                <a:graphic xmlns:a="http://schemas.openxmlformats.org/drawingml/2006/main">
                  <a:graphicData uri="http://schemas.microsoft.com/office/word/2010/wordprocessingShape">
                    <wps:wsp>
                      <wps:cNvCnPr/>
                      <wps:spPr>
                        <a:xfrm>
                          <a:off x="0" y="0"/>
                          <a:ext cx="0" cy="453600"/>
                        </a:xfrm>
                        <a:prstGeom prst="line">
                          <a:avLst/>
                        </a:prstGeom>
                        <a:noFill/>
                        <a:ln w="12700" cap="flat" cmpd="sng" algn="ctr">
                          <a:solidFill>
                            <a:srgbClr val="E7E6E6">
                              <a:lumMod val="75000"/>
                            </a:srgbClr>
                          </a:solidFill>
                          <a:prstDash val="solid"/>
                          <a:miter lim="800000"/>
                        </a:ln>
                        <a:effectLst/>
                      </wps:spPr>
                      <wps:bodyPr/>
                    </wps:wsp>
                  </a:graphicData>
                </a:graphic>
                <wp14:sizeRelV relativeFrom="margin">
                  <wp14:pctHeight>0</wp14:pctHeight>
                </wp14:sizeRelV>
              </wp:anchor>
            </w:drawing>
          </mc:Choice>
          <mc:Fallback>
            <w:pict>
              <v:line w14:anchorId="7E5B2625" id="Straight Connector 52" o:spid="_x0000_s1026" style="position:absolute;z-index:25165826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132.6pt,721.6pt" to="132.6pt,75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" strokecolor="#afabab" strokeweight="1pt">
                <v:stroke joinstyle="miter"/>
                <w10:wrap anchory="page"/>
              </v:line>
            </w:pict>
          </mc:Fallback>
        </mc:AlternateContent>
      </w:r>
    </w:p>
    <w:p w14:paraId="046A7017" w14:textId="1DC205D4" w:rsidR="00F8211F" w:rsidRDefault="00F8211F" w:rsidP="00F8211F">
      <w:pPr>
        <w:rPr>
          <w:noProof/>
        </w:rPr>
      </w:pPr>
    </w:p>
    <w:p w14:paraId="6F4BFAC2" w14:textId="5DE96607" w:rsidR="00F8211F" w:rsidRPr="00322231" w:rsidRDefault="00F8211F" w:rsidP="00F8211F">
      <w:pPr>
        <w:rPr>
          <w:noProof/>
        </w:rPr>
      </w:pPr>
      <w:r>
        <w:rPr>
          <w:noProof/>
        </w:rPr>
        <w:br w:type="page"/>
      </w:r>
    </w:p>
    <w:p w14:paraId="1FAF6DA8" w14:textId="5632C7D3" w:rsidR="00F00E3D" w:rsidRPr="00093102" w:rsidRDefault="00F00E3D" w:rsidP="008410D0">
      <w:pPr>
        <w:spacing w:after="0" w:line="240" w:lineRule="auto"/>
        <w:rPr>
          <w:rFonts w:asciiTheme="majorHAnsi" w:hAnsiTheme="majorHAnsi" w:cstheme="majorHAnsi"/>
          <w:b/>
          <w:bCs/>
          <w:color w:val="2F5496" w:themeColor="accent1" w:themeShade="BF"/>
          <w:sz w:val="23"/>
          <w:szCs w:val="23"/>
        </w:rPr>
      </w:pPr>
      <w:r w:rsidRPr="00093102">
        <w:rPr>
          <w:rFonts w:cstheme="minorHAnsi"/>
          <w:b/>
          <w:bCs/>
          <w:color w:val="2F5496" w:themeColor="accent1" w:themeShade="BF"/>
          <w:sz w:val="32"/>
          <w:szCs w:val="32"/>
        </w:rPr>
        <w:lastRenderedPageBreak/>
        <w:t>ACKNOWLEDGEMENTS</w:t>
      </w:r>
    </w:p>
    <w:p w14:paraId="4F6C357C" w14:textId="77777777" w:rsidR="00F00E3D" w:rsidRDefault="00F00E3D" w:rsidP="009B2FA7">
      <w:pPr>
        <w:spacing w:after="0" w:line="276" w:lineRule="auto"/>
        <w:rPr>
          <w:rFonts w:cstheme="minorHAnsi"/>
          <w:sz w:val="23"/>
          <w:szCs w:val="23"/>
        </w:rPr>
      </w:pPr>
    </w:p>
    <w:p w14:paraId="054CA374" w14:textId="14CE8ECC" w:rsidR="00F00E3D" w:rsidRPr="00093102" w:rsidRDefault="007C53E1" w:rsidP="009B2FA7">
      <w:pPr>
        <w:spacing w:after="0" w:line="276" w:lineRule="auto"/>
        <w:rPr>
          <w:b/>
          <w:bCs/>
          <w:color w:val="2F5496" w:themeColor="accent1" w:themeShade="BF"/>
          <w:sz w:val="28"/>
          <w:szCs w:val="28"/>
        </w:rPr>
      </w:pPr>
      <w:r>
        <w:rPr>
          <w:b/>
          <w:bCs/>
          <w:color w:val="2F5496" w:themeColor="accent1" w:themeShade="BF"/>
          <w:sz w:val="28"/>
          <w:szCs w:val="28"/>
        </w:rPr>
        <w:t>Research Team</w:t>
      </w:r>
    </w:p>
    <w:p w14:paraId="68273E9A" w14:textId="77777777" w:rsidR="00F00E3D" w:rsidRPr="00372B96" w:rsidRDefault="00F00E3D" w:rsidP="009B2FA7">
      <w:pPr>
        <w:spacing w:after="0" w:line="276" w:lineRule="auto"/>
        <w:rPr>
          <w:sz w:val="23"/>
          <w:szCs w:val="23"/>
        </w:rPr>
      </w:pPr>
    </w:p>
    <w:tbl>
      <w:tblPr>
        <w:tblStyle w:val="TableGrid"/>
        <w:tblW w:w="9175" w:type="dxa"/>
        <w:tblLayout w:type="fixed"/>
        <w:tblLook w:val="06A0" w:firstRow="1" w:lastRow="0" w:firstColumn="1" w:lastColumn="0" w:noHBand="1" w:noVBand="1"/>
      </w:tblPr>
      <w:tblGrid>
        <w:gridCol w:w="4587"/>
        <w:gridCol w:w="4588"/>
      </w:tblGrid>
      <w:tr w:rsidR="00F00E3D" w:rsidRPr="002D38BF" w14:paraId="384894C5" w14:textId="77777777" w:rsidTr="00DD7355">
        <w:tc>
          <w:tcPr>
            <w:tcW w:w="4587" w:type="dxa"/>
          </w:tcPr>
          <w:p w14:paraId="44999341" w14:textId="77777777" w:rsidR="00F00E3D" w:rsidRPr="002D38BF" w:rsidRDefault="00F00E3D" w:rsidP="003759D6">
            <w:pPr>
              <w:spacing w:after="0" w:line="360" w:lineRule="auto"/>
              <w:rPr>
                <w:rFonts w:cstheme="minorHAnsi"/>
                <w:b/>
                <w:bCs/>
                <w:sz w:val="23"/>
                <w:szCs w:val="23"/>
              </w:rPr>
            </w:pPr>
            <w:r w:rsidRPr="002D38BF">
              <w:rPr>
                <w:rFonts w:cstheme="minorHAnsi"/>
                <w:b/>
                <w:bCs/>
                <w:sz w:val="23"/>
                <w:szCs w:val="23"/>
              </w:rPr>
              <w:t xml:space="preserve">HOME </w:t>
            </w:r>
            <w:r>
              <w:rPr>
                <w:rFonts w:cstheme="minorHAnsi"/>
                <w:b/>
                <w:bCs/>
                <w:sz w:val="23"/>
                <w:szCs w:val="23"/>
              </w:rPr>
              <w:t>P</w:t>
            </w:r>
            <w:r w:rsidRPr="002D38BF">
              <w:rPr>
                <w:rFonts w:cstheme="minorHAnsi"/>
                <w:b/>
                <w:bCs/>
                <w:sz w:val="23"/>
                <w:szCs w:val="23"/>
              </w:rPr>
              <w:t xml:space="preserve">roject </w:t>
            </w:r>
            <w:r>
              <w:rPr>
                <w:rFonts w:cstheme="minorHAnsi"/>
                <w:b/>
                <w:bCs/>
                <w:sz w:val="23"/>
                <w:szCs w:val="23"/>
              </w:rPr>
              <w:t>L</w:t>
            </w:r>
            <w:r w:rsidRPr="002D38BF">
              <w:rPr>
                <w:rFonts w:cstheme="minorHAnsi"/>
                <w:b/>
                <w:bCs/>
                <w:sz w:val="23"/>
                <w:szCs w:val="23"/>
              </w:rPr>
              <w:t>eader</w:t>
            </w:r>
          </w:p>
        </w:tc>
        <w:tc>
          <w:tcPr>
            <w:tcW w:w="4588" w:type="dxa"/>
          </w:tcPr>
          <w:p w14:paraId="52B30160" w14:textId="77777777" w:rsidR="00F00E3D" w:rsidRPr="002D38BF" w:rsidRDefault="00F00E3D" w:rsidP="003759D6">
            <w:pPr>
              <w:spacing w:after="0" w:line="360" w:lineRule="auto"/>
              <w:rPr>
                <w:rFonts w:cstheme="minorHAnsi"/>
                <w:b/>
                <w:bCs/>
                <w:sz w:val="23"/>
                <w:szCs w:val="23"/>
              </w:rPr>
            </w:pPr>
            <w:r w:rsidRPr="002D38BF">
              <w:rPr>
                <w:rFonts w:cstheme="minorHAnsi"/>
                <w:b/>
                <w:bCs/>
                <w:sz w:val="23"/>
                <w:szCs w:val="23"/>
              </w:rPr>
              <w:t>School</w:t>
            </w:r>
            <w:r>
              <w:rPr>
                <w:rFonts w:cstheme="minorHAnsi"/>
                <w:b/>
                <w:bCs/>
                <w:sz w:val="23"/>
                <w:szCs w:val="23"/>
              </w:rPr>
              <w:t xml:space="preserve"> (Deakin University)</w:t>
            </w:r>
          </w:p>
        </w:tc>
      </w:tr>
      <w:tr w:rsidR="00F00E3D" w:rsidRPr="00680C4B" w14:paraId="13D786CB" w14:textId="77777777" w:rsidTr="00DD7355">
        <w:trPr>
          <w:trHeight w:val="285"/>
        </w:trPr>
        <w:tc>
          <w:tcPr>
            <w:tcW w:w="4587" w:type="dxa"/>
          </w:tcPr>
          <w:p w14:paraId="53801BB0" w14:textId="77777777" w:rsidR="00F00E3D" w:rsidRPr="00680C4B" w:rsidRDefault="00F00E3D" w:rsidP="003759D6">
            <w:pPr>
              <w:spacing w:after="0" w:line="360" w:lineRule="auto"/>
              <w:rPr>
                <w:rFonts w:asciiTheme="majorHAnsi" w:hAnsiTheme="majorHAnsi" w:cstheme="majorHAnsi"/>
                <w:sz w:val="23"/>
                <w:szCs w:val="23"/>
              </w:rPr>
            </w:pPr>
            <w:r w:rsidRPr="00680C4B">
              <w:rPr>
                <w:rFonts w:asciiTheme="majorHAnsi" w:hAnsiTheme="majorHAnsi" w:cstheme="majorHAnsi"/>
                <w:sz w:val="23"/>
                <w:szCs w:val="23"/>
              </w:rPr>
              <w:t xml:space="preserve">Professor Richard Tucker </w:t>
            </w:r>
          </w:p>
        </w:tc>
        <w:tc>
          <w:tcPr>
            <w:tcW w:w="4588" w:type="dxa"/>
          </w:tcPr>
          <w:p w14:paraId="74B30BC5" w14:textId="1FCECC80" w:rsidR="00F00E3D" w:rsidRPr="00680C4B" w:rsidRDefault="00F00E3D" w:rsidP="003759D6">
            <w:pPr>
              <w:spacing w:after="0" w:line="360" w:lineRule="auto"/>
              <w:rPr>
                <w:rFonts w:asciiTheme="majorHAnsi" w:hAnsiTheme="majorHAnsi" w:cstheme="majorHAnsi"/>
                <w:sz w:val="23"/>
                <w:szCs w:val="23"/>
              </w:rPr>
            </w:pPr>
            <w:r w:rsidRPr="00680C4B">
              <w:rPr>
                <w:rFonts w:asciiTheme="majorHAnsi" w:hAnsiTheme="majorHAnsi" w:cstheme="majorHAnsi"/>
                <w:sz w:val="23"/>
                <w:szCs w:val="23"/>
              </w:rPr>
              <w:t xml:space="preserve">Architecture </w:t>
            </w:r>
            <w:r w:rsidR="00517A41">
              <w:rPr>
                <w:rFonts w:asciiTheme="majorHAnsi" w:hAnsiTheme="majorHAnsi" w:cstheme="majorHAnsi"/>
                <w:sz w:val="23"/>
                <w:szCs w:val="23"/>
              </w:rPr>
              <w:t>and</w:t>
            </w:r>
            <w:r w:rsidRPr="00680C4B">
              <w:rPr>
                <w:rFonts w:asciiTheme="majorHAnsi" w:hAnsiTheme="majorHAnsi" w:cstheme="majorHAnsi"/>
                <w:sz w:val="23"/>
                <w:szCs w:val="23"/>
              </w:rPr>
              <w:t xml:space="preserve"> Built Environment</w:t>
            </w:r>
          </w:p>
        </w:tc>
      </w:tr>
      <w:tr w:rsidR="00F00E3D" w:rsidRPr="002D38BF" w14:paraId="791504B3" w14:textId="77777777" w:rsidTr="00DD7355">
        <w:tc>
          <w:tcPr>
            <w:tcW w:w="4587" w:type="dxa"/>
          </w:tcPr>
          <w:p w14:paraId="4E5AE7E5" w14:textId="77777777" w:rsidR="00F00E3D" w:rsidRPr="002D38BF" w:rsidRDefault="00F00E3D" w:rsidP="003759D6">
            <w:pPr>
              <w:spacing w:after="0" w:line="360" w:lineRule="auto"/>
              <w:rPr>
                <w:rFonts w:cstheme="minorHAnsi"/>
                <w:sz w:val="23"/>
                <w:szCs w:val="23"/>
              </w:rPr>
            </w:pPr>
            <w:r w:rsidRPr="002D38BF">
              <w:rPr>
                <w:rFonts w:cstheme="minorHAnsi"/>
                <w:b/>
                <w:bCs/>
                <w:sz w:val="23"/>
                <w:szCs w:val="23"/>
              </w:rPr>
              <w:t xml:space="preserve">HOME </w:t>
            </w:r>
            <w:r>
              <w:rPr>
                <w:rFonts w:cstheme="minorHAnsi"/>
                <w:b/>
                <w:bCs/>
                <w:sz w:val="23"/>
                <w:szCs w:val="23"/>
              </w:rPr>
              <w:t>T</w:t>
            </w:r>
            <w:r w:rsidRPr="002D38BF">
              <w:rPr>
                <w:rFonts w:cstheme="minorHAnsi"/>
                <w:b/>
                <w:bCs/>
                <w:sz w:val="23"/>
                <w:szCs w:val="23"/>
              </w:rPr>
              <w:t xml:space="preserve">eam </w:t>
            </w:r>
            <w:r>
              <w:rPr>
                <w:rFonts w:cstheme="minorHAnsi"/>
                <w:b/>
                <w:bCs/>
                <w:sz w:val="23"/>
                <w:szCs w:val="23"/>
              </w:rPr>
              <w:t>M</w:t>
            </w:r>
            <w:r w:rsidRPr="002D38BF">
              <w:rPr>
                <w:rFonts w:cstheme="minorHAnsi"/>
                <w:b/>
                <w:bCs/>
                <w:sz w:val="23"/>
                <w:szCs w:val="23"/>
              </w:rPr>
              <w:t>embers</w:t>
            </w:r>
          </w:p>
        </w:tc>
        <w:tc>
          <w:tcPr>
            <w:tcW w:w="4588" w:type="dxa"/>
          </w:tcPr>
          <w:p w14:paraId="107F2758" w14:textId="77777777" w:rsidR="00F00E3D" w:rsidRPr="002D38BF" w:rsidRDefault="00F00E3D" w:rsidP="003759D6">
            <w:pPr>
              <w:spacing w:after="0" w:line="360" w:lineRule="auto"/>
              <w:rPr>
                <w:rFonts w:cstheme="minorHAnsi"/>
                <w:sz w:val="23"/>
                <w:szCs w:val="23"/>
              </w:rPr>
            </w:pPr>
            <w:r w:rsidRPr="002D38BF">
              <w:rPr>
                <w:rFonts w:cstheme="minorHAnsi"/>
                <w:b/>
                <w:bCs/>
                <w:sz w:val="23"/>
                <w:szCs w:val="23"/>
              </w:rPr>
              <w:t>School</w:t>
            </w:r>
            <w:r>
              <w:rPr>
                <w:rFonts w:cstheme="minorHAnsi"/>
                <w:b/>
                <w:bCs/>
                <w:sz w:val="23"/>
                <w:szCs w:val="23"/>
              </w:rPr>
              <w:t xml:space="preserve"> (Deakin University)</w:t>
            </w:r>
          </w:p>
        </w:tc>
      </w:tr>
      <w:tr w:rsidR="00F00E3D" w:rsidRPr="00680C4B" w14:paraId="3A14D978" w14:textId="77777777" w:rsidTr="00DD7355">
        <w:tc>
          <w:tcPr>
            <w:tcW w:w="4587" w:type="dxa"/>
          </w:tcPr>
          <w:p w14:paraId="36624DE6" w14:textId="77777777" w:rsidR="00F00E3D" w:rsidRPr="00680C4B" w:rsidRDefault="00F00E3D" w:rsidP="003759D6">
            <w:pPr>
              <w:spacing w:after="0" w:line="360" w:lineRule="auto"/>
              <w:rPr>
                <w:rFonts w:asciiTheme="majorHAnsi" w:hAnsiTheme="majorHAnsi" w:cstheme="majorHAnsi"/>
                <w:sz w:val="23"/>
                <w:szCs w:val="23"/>
              </w:rPr>
            </w:pPr>
            <w:r w:rsidRPr="00680C4B">
              <w:rPr>
                <w:rFonts w:asciiTheme="majorHAnsi" w:hAnsiTheme="majorHAnsi" w:cstheme="majorHAnsi"/>
                <w:sz w:val="23"/>
                <w:szCs w:val="23"/>
              </w:rPr>
              <w:t xml:space="preserve">Dr Fiona Andrews </w:t>
            </w:r>
          </w:p>
        </w:tc>
        <w:tc>
          <w:tcPr>
            <w:tcW w:w="4588" w:type="dxa"/>
          </w:tcPr>
          <w:p w14:paraId="74534898" w14:textId="645F6FC0" w:rsidR="00F00E3D" w:rsidRPr="00680C4B" w:rsidRDefault="00F00E3D" w:rsidP="003759D6">
            <w:pPr>
              <w:spacing w:after="0" w:line="360" w:lineRule="auto"/>
              <w:rPr>
                <w:rFonts w:asciiTheme="majorHAnsi" w:hAnsiTheme="majorHAnsi" w:cstheme="majorHAnsi"/>
                <w:sz w:val="23"/>
                <w:szCs w:val="23"/>
              </w:rPr>
            </w:pPr>
            <w:r w:rsidRPr="00680C4B">
              <w:rPr>
                <w:rFonts w:asciiTheme="majorHAnsi" w:hAnsiTheme="majorHAnsi" w:cstheme="majorHAnsi"/>
                <w:sz w:val="23"/>
                <w:szCs w:val="23"/>
              </w:rPr>
              <w:t xml:space="preserve">Health </w:t>
            </w:r>
            <w:r w:rsidR="00517A41">
              <w:rPr>
                <w:rFonts w:asciiTheme="majorHAnsi" w:hAnsiTheme="majorHAnsi" w:cstheme="majorHAnsi"/>
                <w:sz w:val="23"/>
                <w:szCs w:val="23"/>
              </w:rPr>
              <w:t>and</w:t>
            </w:r>
            <w:r w:rsidRPr="00680C4B">
              <w:rPr>
                <w:rFonts w:asciiTheme="majorHAnsi" w:hAnsiTheme="majorHAnsi" w:cstheme="majorHAnsi"/>
                <w:sz w:val="23"/>
                <w:szCs w:val="23"/>
              </w:rPr>
              <w:t xml:space="preserve"> Social Development</w:t>
            </w:r>
          </w:p>
        </w:tc>
      </w:tr>
      <w:tr w:rsidR="00F00E3D" w:rsidRPr="00680C4B" w14:paraId="2BC25B3C" w14:textId="77777777" w:rsidTr="00DD7355">
        <w:tc>
          <w:tcPr>
            <w:tcW w:w="4587" w:type="dxa"/>
          </w:tcPr>
          <w:p w14:paraId="4CE799F3" w14:textId="77777777" w:rsidR="00F00E3D" w:rsidRPr="00680C4B" w:rsidRDefault="00F00E3D" w:rsidP="003759D6">
            <w:pPr>
              <w:spacing w:after="0" w:line="360" w:lineRule="auto"/>
              <w:rPr>
                <w:rFonts w:asciiTheme="majorHAnsi" w:hAnsiTheme="majorHAnsi" w:cstheme="majorHAnsi"/>
                <w:sz w:val="23"/>
                <w:szCs w:val="23"/>
              </w:rPr>
            </w:pPr>
            <w:r w:rsidRPr="00372B96">
              <w:rPr>
                <w:rFonts w:asciiTheme="majorHAnsi" w:hAnsiTheme="majorHAnsi" w:cstheme="majorHAnsi"/>
                <w:sz w:val="23"/>
                <w:szCs w:val="23"/>
              </w:rPr>
              <w:t>Rebecca Bartel</w:t>
            </w:r>
          </w:p>
        </w:tc>
        <w:tc>
          <w:tcPr>
            <w:tcW w:w="4588" w:type="dxa"/>
          </w:tcPr>
          <w:p w14:paraId="46F91481" w14:textId="77777777" w:rsidR="00517A41" w:rsidRDefault="00F00E3D" w:rsidP="007C53E1">
            <w:pPr>
              <w:spacing w:after="0" w:line="276" w:lineRule="auto"/>
              <w:rPr>
                <w:rFonts w:asciiTheme="majorHAnsi" w:hAnsiTheme="majorHAnsi" w:cstheme="majorHAnsi"/>
                <w:sz w:val="23"/>
                <w:szCs w:val="23"/>
              </w:rPr>
            </w:pPr>
            <w:r w:rsidRPr="00372B96">
              <w:rPr>
                <w:rFonts w:asciiTheme="majorHAnsi" w:hAnsiTheme="majorHAnsi" w:cstheme="majorHAnsi"/>
                <w:sz w:val="23"/>
                <w:szCs w:val="23"/>
              </w:rPr>
              <w:t>Strategic Research Partnerships,</w:t>
            </w:r>
          </w:p>
          <w:p w14:paraId="4FDB5114" w14:textId="57E145A1" w:rsidR="00F00E3D" w:rsidRPr="00680C4B" w:rsidRDefault="00F00E3D" w:rsidP="007C53E1">
            <w:pPr>
              <w:spacing w:after="0" w:line="276" w:lineRule="auto"/>
              <w:rPr>
                <w:rFonts w:asciiTheme="majorHAnsi" w:hAnsiTheme="majorHAnsi" w:cstheme="majorHAnsi"/>
                <w:sz w:val="23"/>
                <w:szCs w:val="23"/>
              </w:rPr>
            </w:pPr>
            <w:r w:rsidRPr="00372B96">
              <w:rPr>
                <w:rFonts w:asciiTheme="majorHAnsi" w:hAnsiTheme="majorHAnsi" w:cstheme="majorHAnsi"/>
                <w:sz w:val="23"/>
                <w:szCs w:val="23"/>
              </w:rPr>
              <w:t>Office</w:t>
            </w:r>
            <w:r w:rsidR="00517A41">
              <w:rPr>
                <w:rFonts w:asciiTheme="majorHAnsi" w:hAnsiTheme="majorHAnsi" w:cstheme="majorHAnsi"/>
                <w:sz w:val="23"/>
                <w:szCs w:val="23"/>
              </w:rPr>
              <w:t xml:space="preserve"> </w:t>
            </w:r>
            <w:r w:rsidRPr="00372B96">
              <w:rPr>
                <w:rFonts w:asciiTheme="majorHAnsi" w:hAnsiTheme="majorHAnsi" w:cstheme="majorHAnsi"/>
                <w:sz w:val="23"/>
                <w:szCs w:val="23"/>
              </w:rPr>
              <w:t>of Deputy Vice Chancellor (Research)</w:t>
            </w:r>
          </w:p>
        </w:tc>
      </w:tr>
      <w:tr w:rsidR="00F00E3D" w:rsidRPr="00680C4B" w14:paraId="260F0B4F" w14:textId="77777777" w:rsidTr="00DD7355">
        <w:tc>
          <w:tcPr>
            <w:tcW w:w="4587" w:type="dxa"/>
          </w:tcPr>
          <w:p w14:paraId="5A32E702" w14:textId="77777777" w:rsidR="00F00E3D" w:rsidRPr="00680C4B" w:rsidRDefault="00F00E3D" w:rsidP="003759D6">
            <w:pPr>
              <w:spacing w:after="0" w:line="360" w:lineRule="auto"/>
              <w:rPr>
                <w:rFonts w:asciiTheme="majorHAnsi" w:hAnsiTheme="majorHAnsi" w:cstheme="majorHAnsi"/>
                <w:sz w:val="23"/>
                <w:szCs w:val="23"/>
              </w:rPr>
            </w:pPr>
            <w:r w:rsidRPr="00680C4B">
              <w:rPr>
                <w:rFonts w:asciiTheme="majorHAnsi" w:hAnsiTheme="majorHAnsi" w:cstheme="majorHAnsi"/>
                <w:sz w:val="23"/>
                <w:szCs w:val="23"/>
              </w:rPr>
              <w:t>Dr Danielle Hitch</w:t>
            </w:r>
          </w:p>
        </w:tc>
        <w:tc>
          <w:tcPr>
            <w:tcW w:w="4588" w:type="dxa"/>
          </w:tcPr>
          <w:p w14:paraId="6DD52C3D" w14:textId="081AE53C" w:rsidR="00F00E3D" w:rsidRPr="00680C4B" w:rsidRDefault="00F00E3D" w:rsidP="003759D6">
            <w:pPr>
              <w:spacing w:after="0" w:line="360" w:lineRule="auto"/>
              <w:rPr>
                <w:rFonts w:asciiTheme="majorHAnsi" w:hAnsiTheme="majorHAnsi" w:cstheme="majorHAnsi"/>
                <w:sz w:val="23"/>
                <w:szCs w:val="23"/>
              </w:rPr>
            </w:pPr>
            <w:r w:rsidRPr="00680C4B">
              <w:rPr>
                <w:rFonts w:asciiTheme="majorHAnsi" w:hAnsiTheme="majorHAnsi" w:cstheme="majorHAnsi"/>
                <w:sz w:val="23"/>
                <w:szCs w:val="23"/>
              </w:rPr>
              <w:t xml:space="preserve">Health </w:t>
            </w:r>
            <w:r w:rsidR="00517A41">
              <w:rPr>
                <w:rFonts w:asciiTheme="majorHAnsi" w:hAnsiTheme="majorHAnsi" w:cstheme="majorHAnsi"/>
                <w:sz w:val="23"/>
                <w:szCs w:val="23"/>
              </w:rPr>
              <w:t>and</w:t>
            </w:r>
            <w:r w:rsidRPr="00680C4B">
              <w:rPr>
                <w:rFonts w:asciiTheme="majorHAnsi" w:hAnsiTheme="majorHAnsi" w:cstheme="majorHAnsi"/>
                <w:sz w:val="23"/>
                <w:szCs w:val="23"/>
              </w:rPr>
              <w:t xml:space="preserve"> Social Development</w:t>
            </w:r>
          </w:p>
        </w:tc>
      </w:tr>
      <w:tr w:rsidR="00F00E3D" w:rsidRPr="00680C4B" w14:paraId="2C315039" w14:textId="77777777" w:rsidTr="00DD7355">
        <w:tc>
          <w:tcPr>
            <w:tcW w:w="4587" w:type="dxa"/>
          </w:tcPr>
          <w:p w14:paraId="2A31A5F3" w14:textId="77777777" w:rsidR="00F00E3D" w:rsidRPr="00680C4B" w:rsidRDefault="00F00E3D" w:rsidP="003759D6">
            <w:pPr>
              <w:spacing w:after="0" w:line="360" w:lineRule="auto"/>
              <w:rPr>
                <w:rFonts w:asciiTheme="majorHAnsi" w:hAnsiTheme="majorHAnsi" w:cstheme="majorHAnsi"/>
                <w:sz w:val="23"/>
                <w:szCs w:val="23"/>
              </w:rPr>
            </w:pPr>
            <w:r w:rsidRPr="00680C4B">
              <w:rPr>
                <w:rFonts w:asciiTheme="majorHAnsi" w:hAnsiTheme="majorHAnsi" w:cstheme="majorHAnsi"/>
                <w:sz w:val="23"/>
                <w:szCs w:val="23"/>
              </w:rPr>
              <w:t>Dr Jian Liang</w:t>
            </w:r>
          </w:p>
        </w:tc>
        <w:tc>
          <w:tcPr>
            <w:tcW w:w="4588" w:type="dxa"/>
          </w:tcPr>
          <w:p w14:paraId="4DB8235C" w14:textId="77777777" w:rsidR="00F00E3D" w:rsidRPr="00680C4B" w:rsidRDefault="00F00E3D" w:rsidP="003759D6">
            <w:pPr>
              <w:spacing w:after="0" w:line="360" w:lineRule="auto"/>
              <w:rPr>
                <w:rFonts w:asciiTheme="majorHAnsi" w:hAnsiTheme="majorHAnsi" w:cstheme="majorHAnsi"/>
                <w:sz w:val="23"/>
                <w:szCs w:val="23"/>
              </w:rPr>
            </w:pPr>
            <w:r>
              <w:rPr>
                <w:rFonts w:asciiTheme="majorHAnsi" w:hAnsiTheme="majorHAnsi" w:cstheme="majorHAnsi"/>
                <w:sz w:val="23"/>
                <w:szCs w:val="23"/>
              </w:rPr>
              <w:t xml:space="preserve">Business </w:t>
            </w:r>
          </w:p>
        </w:tc>
      </w:tr>
      <w:tr w:rsidR="00F00E3D" w:rsidRPr="00680C4B" w14:paraId="10EF5BD1" w14:textId="77777777" w:rsidTr="00DD7355">
        <w:tc>
          <w:tcPr>
            <w:tcW w:w="4587" w:type="dxa"/>
          </w:tcPr>
          <w:p w14:paraId="7ADF5F57" w14:textId="77777777" w:rsidR="00F00E3D" w:rsidRPr="00680C4B" w:rsidRDefault="00F00E3D" w:rsidP="003759D6">
            <w:pPr>
              <w:spacing w:after="0" w:line="360" w:lineRule="auto"/>
              <w:rPr>
                <w:rFonts w:asciiTheme="majorHAnsi" w:hAnsiTheme="majorHAnsi" w:cstheme="majorHAnsi"/>
                <w:sz w:val="23"/>
                <w:szCs w:val="23"/>
              </w:rPr>
            </w:pPr>
            <w:r w:rsidRPr="00680C4B">
              <w:rPr>
                <w:rFonts w:asciiTheme="majorHAnsi" w:hAnsiTheme="majorHAnsi" w:cstheme="majorHAnsi"/>
                <w:sz w:val="23"/>
                <w:szCs w:val="23"/>
              </w:rPr>
              <w:t>Associate Professor Lukar Thornton</w:t>
            </w:r>
          </w:p>
        </w:tc>
        <w:tc>
          <w:tcPr>
            <w:tcW w:w="4588" w:type="dxa"/>
          </w:tcPr>
          <w:p w14:paraId="66597521" w14:textId="77777777" w:rsidR="00F00E3D" w:rsidRPr="00680C4B" w:rsidRDefault="00F00E3D" w:rsidP="003759D6">
            <w:pPr>
              <w:spacing w:after="0" w:line="360" w:lineRule="auto"/>
              <w:rPr>
                <w:rFonts w:asciiTheme="majorHAnsi" w:hAnsiTheme="majorHAnsi" w:cstheme="majorHAnsi"/>
                <w:sz w:val="23"/>
                <w:szCs w:val="23"/>
              </w:rPr>
            </w:pPr>
            <w:r w:rsidRPr="00A32016">
              <w:rPr>
                <w:rFonts w:asciiTheme="majorHAnsi" w:hAnsiTheme="majorHAnsi" w:cstheme="majorHAnsi"/>
                <w:sz w:val="23"/>
                <w:szCs w:val="23"/>
              </w:rPr>
              <w:t>Exercise and Nutrition Sciences</w:t>
            </w:r>
          </w:p>
        </w:tc>
      </w:tr>
      <w:tr w:rsidR="00F00E3D" w:rsidRPr="002D38BF" w14:paraId="753A044B" w14:textId="77777777" w:rsidTr="00DD7355">
        <w:tc>
          <w:tcPr>
            <w:tcW w:w="4587" w:type="dxa"/>
          </w:tcPr>
          <w:p w14:paraId="49A218D2" w14:textId="77777777" w:rsidR="00F00E3D" w:rsidRPr="002D38BF" w:rsidRDefault="00F00E3D" w:rsidP="003759D6">
            <w:pPr>
              <w:spacing w:after="0" w:line="360" w:lineRule="auto"/>
              <w:rPr>
                <w:rFonts w:cstheme="minorHAnsi"/>
                <w:b/>
                <w:bCs/>
                <w:sz w:val="23"/>
                <w:szCs w:val="23"/>
              </w:rPr>
            </w:pPr>
            <w:r w:rsidRPr="002D38BF">
              <w:rPr>
                <w:rFonts w:cstheme="minorHAnsi"/>
                <w:b/>
                <w:bCs/>
                <w:sz w:val="23"/>
                <w:szCs w:val="23"/>
              </w:rPr>
              <w:t xml:space="preserve">Research </w:t>
            </w:r>
            <w:r>
              <w:rPr>
                <w:rFonts w:cstheme="minorHAnsi"/>
                <w:b/>
                <w:bCs/>
                <w:sz w:val="23"/>
                <w:szCs w:val="23"/>
              </w:rPr>
              <w:t>A</w:t>
            </w:r>
            <w:r w:rsidRPr="002D38BF">
              <w:rPr>
                <w:rFonts w:cstheme="minorHAnsi"/>
                <w:b/>
                <w:bCs/>
                <w:sz w:val="23"/>
                <w:szCs w:val="23"/>
              </w:rPr>
              <w:t>ssistant</w:t>
            </w:r>
          </w:p>
        </w:tc>
        <w:tc>
          <w:tcPr>
            <w:tcW w:w="4588" w:type="dxa"/>
          </w:tcPr>
          <w:p w14:paraId="6A9F1D75" w14:textId="77777777" w:rsidR="00F00E3D" w:rsidRPr="002D38BF" w:rsidRDefault="00F00E3D" w:rsidP="003759D6">
            <w:pPr>
              <w:spacing w:after="0" w:line="360" w:lineRule="auto"/>
              <w:rPr>
                <w:rFonts w:cstheme="minorHAnsi"/>
                <w:sz w:val="23"/>
                <w:szCs w:val="23"/>
              </w:rPr>
            </w:pPr>
            <w:r w:rsidRPr="002D38BF">
              <w:rPr>
                <w:rFonts w:cstheme="minorHAnsi"/>
                <w:b/>
                <w:bCs/>
                <w:sz w:val="23"/>
                <w:szCs w:val="23"/>
              </w:rPr>
              <w:t>School</w:t>
            </w:r>
            <w:r>
              <w:rPr>
                <w:rFonts w:cstheme="minorHAnsi"/>
                <w:b/>
                <w:bCs/>
                <w:sz w:val="23"/>
                <w:szCs w:val="23"/>
              </w:rPr>
              <w:t xml:space="preserve"> (Deakin University)</w:t>
            </w:r>
          </w:p>
        </w:tc>
      </w:tr>
      <w:tr w:rsidR="00F00E3D" w:rsidRPr="00680C4B" w14:paraId="43FAC7B6" w14:textId="77777777" w:rsidTr="00DD7355">
        <w:tc>
          <w:tcPr>
            <w:tcW w:w="4587" w:type="dxa"/>
          </w:tcPr>
          <w:p w14:paraId="4DC39593" w14:textId="77777777" w:rsidR="00F00E3D" w:rsidRPr="00680C4B" w:rsidRDefault="00F00E3D" w:rsidP="003759D6">
            <w:pPr>
              <w:spacing w:after="0" w:line="360" w:lineRule="auto"/>
              <w:rPr>
                <w:rFonts w:asciiTheme="majorHAnsi" w:hAnsiTheme="majorHAnsi" w:cstheme="majorHAnsi"/>
                <w:sz w:val="23"/>
                <w:szCs w:val="23"/>
              </w:rPr>
            </w:pPr>
            <w:r>
              <w:rPr>
                <w:rFonts w:asciiTheme="majorHAnsi" w:hAnsiTheme="majorHAnsi" w:cstheme="majorHAnsi"/>
                <w:sz w:val="23"/>
                <w:szCs w:val="23"/>
              </w:rPr>
              <w:t>Isabella Bower</w:t>
            </w:r>
          </w:p>
        </w:tc>
        <w:tc>
          <w:tcPr>
            <w:tcW w:w="4588" w:type="dxa"/>
          </w:tcPr>
          <w:p w14:paraId="634E0AA2" w14:textId="51DD1924" w:rsidR="00F00E3D" w:rsidRPr="00680C4B" w:rsidRDefault="00F00E3D" w:rsidP="003759D6">
            <w:pPr>
              <w:spacing w:after="0" w:line="360" w:lineRule="auto"/>
              <w:rPr>
                <w:rFonts w:asciiTheme="majorHAnsi" w:hAnsiTheme="majorHAnsi" w:cstheme="majorHAnsi"/>
                <w:sz w:val="23"/>
                <w:szCs w:val="23"/>
              </w:rPr>
            </w:pPr>
            <w:r w:rsidRPr="00680C4B">
              <w:rPr>
                <w:rFonts w:asciiTheme="majorHAnsi" w:hAnsiTheme="majorHAnsi" w:cstheme="majorHAnsi"/>
                <w:sz w:val="23"/>
                <w:szCs w:val="23"/>
              </w:rPr>
              <w:t xml:space="preserve">Architecture </w:t>
            </w:r>
            <w:r w:rsidR="00517A41">
              <w:rPr>
                <w:rFonts w:asciiTheme="majorHAnsi" w:hAnsiTheme="majorHAnsi" w:cstheme="majorHAnsi"/>
                <w:sz w:val="23"/>
                <w:szCs w:val="23"/>
              </w:rPr>
              <w:t>and</w:t>
            </w:r>
            <w:r w:rsidRPr="00680C4B">
              <w:rPr>
                <w:rFonts w:asciiTheme="majorHAnsi" w:hAnsiTheme="majorHAnsi" w:cstheme="majorHAnsi"/>
                <w:sz w:val="23"/>
                <w:szCs w:val="23"/>
              </w:rPr>
              <w:t xml:space="preserve"> Built Environment</w:t>
            </w:r>
          </w:p>
        </w:tc>
      </w:tr>
      <w:tr w:rsidR="00F00E3D" w:rsidRPr="00680C4B" w14:paraId="33094EA5" w14:textId="77777777" w:rsidTr="00DD7355">
        <w:tc>
          <w:tcPr>
            <w:tcW w:w="4587" w:type="dxa"/>
          </w:tcPr>
          <w:p w14:paraId="06CC6950" w14:textId="77777777" w:rsidR="00F00E3D" w:rsidRDefault="00F00E3D" w:rsidP="003759D6">
            <w:pPr>
              <w:spacing w:after="0" w:line="360" w:lineRule="auto"/>
              <w:rPr>
                <w:rFonts w:asciiTheme="majorHAnsi" w:hAnsiTheme="majorHAnsi" w:cstheme="majorHAnsi"/>
                <w:sz w:val="23"/>
                <w:szCs w:val="23"/>
              </w:rPr>
            </w:pPr>
            <w:r>
              <w:rPr>
                <w:rFonts w:asciiTheme="majorHAnsi" w:hAnsiTheme="majorHAnsi" w:cstheme="majorHAnsi"/>
                <w:sz w:val="23"/>
                <w:szCs w:val="23"/>
              </w:rPr>
              <w:t>Anahita Sal Moslehian</w:t>
            </w:r>
          </w:p>
        </w:tc>
        <w:tc>
          <w:tcPr>
            <w:tcW w:w="4588" w:type="dxa"/>
          </w:tcPr>
          <w:p w14:paraId="6AF0CD85" w14:textId="73937E01" w:rsidR="00F00E3D" w:rsidRPr="00680C4B" w:rsidRDefault="00F00E3D" w:rsidP="003759D6">
            <w:pPr>
              <w:spacing w:after="0" w:line="360" w:lineRule="auto"/>
              <w:rPr>
                <w:rFonts w:asciiTheme="majorHAnsi" w:hAnsiTheme="majorHAnsi" w:cstheme="majorHAnsi"/>
                <w:sz w:val="23"/>
                <w:szCs w:val="23"/>
              </w:rPr>
            </w:pPr>
            <w:r w:rsidRPr="00680C4B">
              <w:rPr>
                <w:rFonts w:asciiTheme="majorHAnsi" w:hAnsiTheme="majorHAnsi" w:cstheme="majorHAnsi"/>
                <w:sz w:val="23"/>
                <w:szCs w:val="23"/>
              </w:rPr>
              <w:t xml:space="preserve">Architecture </w:t>
            </w:r>
            <w:r w:rsidR="00517A41">
              <w:rPr>
                <w:rFonts w:asciiTheme="majorHAnsi" w:hAnsiTheme="majorHAnsi" w:cstheme="majorHAnsi"/>
                <w:sz w:val="23"/>
                <w:szCs w:val="23"/>
              </w:rPr>
              <w:t>and</w:t>
            </w:r>
            <w:r w:rsidRPr="00680C4B">
              <w:rPr>
                <w:rFonts w:asciiTheme="majorHAnsi" w:hAnsiTheme="majorHAnsi" w:cstheme="majorHAnsi"/>
                <w:sz w:val="23"/>
                <w:szCs w:val="23"/>
              </w:rPr>
              <w:t xml:space="preserve"> Built Environment</w:t>
            </w:r>
          </w:p>
        </w:tc>
      </w:tr>
      <w:tr w:rsidR="00F00E3D" w:rsidRPr="002D38BF" w14:paraId="64298FC5" w14:textId="77777777" w:rsidTr="00DD7355">
        <w:tc>
          <w:tcPr>
            <w:tcW w:w="4587" w:type="dxa"/>
          </w:tcPr>
          <w:p w14:paraId="071AD601" w14:textId="77777777" w:rsidR="00F00E3D" w:rsidRPr="002D38BF" w:rsidRDefault="00F00E3D" w:rsidP="003759D6">
            <w:pPr>
              <w:spacing w:after="0" w:line="360" w:lineRule="auto"/>
              <w:rPr>
                <w:rFonts w:cstheme="minorHAnsi"/>
                <w:b/>
                <w:bCs/>
                <w:sz w:val="23"/>
                <w:szCs w:val="23"/>
              </w:rPr>
            </w:pPr>
            <w:r w:rsidRPr="002D38BF">
              <w:rPr>
                <w:rFonts w:cstheme="minorHAnsi"/>
                <w:b/>
                <w:bCs/>
                <w:sz w:val="23"/>
                <w:szCs w:val="23"/>
              </w:rPr>
              <w:t>Consultants</w:t>
            </w:r>
          </w:p>
        </w:tc>
        <w:tc>
          <w:tcPr>
            <w:tcW w:w="4588" w:type="dxa"/>
          </w:tcPr>
          <w:p w14:paraId="2B909179" w14:textId="77777777" w:rsidR="00F00E3D" w:rsidRPr="002D38BF" w:rsidRDefault="00F00E3D" w:rsidP="003759D6">
            <w:pPr>
              <w:spacing w:after="0" w:line="360" w:lineRule="auto"/>
              <w:rPr>
                <w:rFonts w:cstheme="minorHAnsi"/>
                <w:b/>
                <w:bCs/>
                <w:sz w:val="23"/>
                <w:szCs w:val="23"/>
              </w:rPr>
            </w:pPr>
            <w:r w:rsidRPr="002D38BF">
              <w:rPr>
                <w:rFonts w:cstheme="minorHAnsi"/>
                <w:b/>
                <w:bCs/>
                <w:sz w:val="23"/>
                <w:szCs w:val="23"/>
              </w:rPr>
              <w:t>Affiliation</w:t>
            </w:r>
          </w:p>
        </w:tc>
      </w:tr>
      <w:tr w:rsidR="00F00E3D" w:rsidRPr="00680C4B" w14:paraId="397043DC" w14:textId="77777777" w:rsidTr="00DD7355">
        <w:tc>
          <w:tcPr>
            <w:tcW w:w="4587" w:type="dxa"/>
          </w:tcPr>
          <w:p w14:paraId="297D56FA" w14:textId="77777777" w:rsidR="00F00E3D" w:rsidRPr="00680C4B" w:rsidRDefault="00F00E3D" w:rsidP="003759D6">
            <w:pPr>
              <w:spacing w:after="0" w:line="360" w:lineRule="auto"/>
              <w:rPr>
                <w:rFonts w:asciiTheme="majorHAnsi" w:hAnsiTheme="majorHAnsi" w:cstheme="majorHAnsi"/>
                <w:sz w:val="23"/>
                <w:szCs w:val="23"/>
              </w:rPr>
            </w:pPr>
            <w:r w:rsidRPr="00680C4B">
              <w:rPr>
                <w:rFonts w:asciiTheme="majorHAnsi" w:hAnsiTheme="majorHAnsi" w:cstheme="majorHAnsi"/>
                <w:sz w:val="23"/>
                <w:szCs w:val="23"/>
              </w:rPr>
              <w:t>Honorary Professor Louise Johnson</w:t>
            </w:r>
          </w:p>
        </w:tc>
        <w:tc>
          <w:tcPr>
            <w:tcW w:w="4588" w:type="dxa"/>
          </w:tcPr>
          <w:p w14:paraId="487E8990" w14:textId="77777777" w:rsidR="00F00E3D" w:rsidRPr="00680C4B" w:rsidRDefault="00F00E3D" w:rsidP="003759D6">
            <w:pPr>
              <w:spacing w:after="0" w:line="360" w:lineRule="auto"/>
              <w:rPr>
                <w:rFonts w:asciiTheme="majorHAnsi" w:hAnsiTheme="majorHAnsi" w:cstheme="majorHAnsi"/>
                <w:sz w:val="23"/>
                <w:szCs w:val="23"/>
              </w:rPr>
            </w:pPr>
            <w:r w:rsidRPr="00680C4B">
              <w:rPr>
                <w:rFonts w:asciiTheme="majorHAnsi" w:hAnsiTheme="majorHAnsi" w:cstheme="majorHAnsi"/>
                <w:sz w:val="23"/>
                <w:szCs w:val="23"/>
              </w:rPr>
              <w:t>LCJ Research</w:t>
            </w:r>
          </w:p>
        </w:tc>
      </w:tr>
      <w:tr w:rsidR="00F00E3D" w:rsidRPr="00680C4B" w14:paraId="79F39093" w14:textId="77777777" w:rsidTr="00DD7355">
        <w:tc>
          <w:tcPr>
            <w:tcW w:w="4587" w:type="dxa"/>
          </w:tcPr>
          <w:p w14:paraId="22E83401" w14:textId="77777777" w:rsidR="00F00E3D" w:rsidRPr="00680C4B" w:rsidRDefault="00F00E3D" w:rsidP="003759D6">
            <w:pPr>
              <w:spacing w:after="0" w:line="360" w:lineRule="auto"/>
              <w:rPr>
                <w:rFonts w:asciiTheme="majorHAnsi" w:hAnsiTheme="majorHAnsi" w:cstheme="majorHAnsi"/>
                <w:sz w:val="23"/>
                <w:szCs w:val="23"/>
              </w:rPr>
            </w:pPr>
            <w:r>
              <w:rPr>
                <w:rFonts w:asciiTheme="majorHAnsi" w:hAnsiTheme="majorHAnsi" w:cstheme="majorHAnsi"/>
                <w:sz w:val="23"/>
                <w:szCs w:val="23"/>
              </w:rPr>
              <w:t>Dr Meg Mundell</w:t>
            </w:r>
          </w:p>
        </w:tc>
        <w:tc>
          <w:tcPr>
            <w:tcW w:w="4588" w:type="dxa"/>
          </w:tcPr>
          <w:p w14:paraId="411FBF1D" w14:textId="77777777" w:rsidR="00F00E3D" w:rsidRPr="00680C4B" w:rsidRDefault="00F00E3D" w:rsidP="003759D6">
            <w:pPr>
              <w:spacing w:after="0" w:line="360" w:lineRule="auto"/>
              <w:rPr>
                <w:rFonts w:asciiTheme="majorHAnsi" w:hAnsiTheme="majorHAnsi" w:cstheme="majorHAnsi"/>
                <w:sz w:val="23"/>
                <w:szCs w:val="23"/>
              </w:rPr>
            </w:pPr>
            <w:r w:rsidRPr="29FDA414">
              <w:rPr>
                <w:rFonts w:asciiTheme="majorHAnsi" w:hAnsiTheme="majorHAnsi" w:cstheme="majorBidi"/>
                <w:sz w:val="23"/>
                <w:szCs w:val="23"/>
              </w:rPr>
              <w:t>Hatch Productions</w:t>
            </w:r>
          </w:p>
        </w:tc>
      </w:tr>
    </w:tbl>
    <w:p w14:paraId="4FB3D93D" w14:textId="65C3AF3B" w:rsidR="00F00E3D" w:rsidRDefault="00F00E3D" w:rsidP="009B2FA7">
      <w:pPr>
        <w:spacing w:after="0" w:line="276" w:lineRule="auto"/>
        <w:rPr>
          <w:rFonts w:asciiTheme="majorHAnsi" w:hAnsiTheme="majorHAnsi" w:cstheme="majorHAnsi"/>
          <w:sz w:val="20"/>
          <w:szCs w:val="20"/>
        </w:rPr>
      </w:pPr>
    </w:p>
    <w:p w14:paraId="1F2659B4" w14:textId="1436DAF6" w:rsidR="00F6732A" w:rsidRDefault="00F6732A" w:rsidP="009B2FA7">
      <w:pPr>
        <w:spacing w:after="0" w:line="276" w:lineRule="auto"/>
        <w:rPr>
          <w:rFonts w:asciiTheme="majorHAnsi" w:hAnsiTheme="majorHAnsi" w:cstheme="majorHAnsi"/>
          <w:sz w:val="20"/>
          <w:szCs w:val="20"/>
        </w:rPr>
      </w:pPr>
    </w:p>
    <w:p w14:paraId="177AD162" w14:textId="08945363" w:rsidR="00F6732A" w:rsidRPr="00F6732A" w:rsidRDefault="00F6732A" w:rsidP="009B2FA7">
      <w:pPr>
        <w:spacing w:after="0" w:line="276" w:lineRule="auto"/>
        <w:rPr>
          <w:rFonts w:asciiTheme="majorHAnsi" w:hAnsiTheme="majorHAnsi" w:cstheme="majorHAnsi"/>
          <w:sz w:val="23"/>
          <w:szCs w:val="23"/>
        </w:rPr>
      </w:pPr>
      <w:r w:rsidRPr="00F6732A">
        <w:rPr>
          <w:rFonts w:asciiTheme="majorHAnsi" w:hAnsiTheme="majorHAnsi" w:cstheme="majorHAnsi"/>
          <w:sz w:val="23"/>
          <w:szCs w:val="23"/>
        </w:rPr>
        <w:t>The research team would like to</w:t>
      </w:r>
      <w:r>
        <w:rPr>
          <w:rFonts w:asciiTheme="majorHAnsi" w:hAnsiTheme="majorHAnsi" w:cstheme="majorHAnsi"/>
          <w:sz w:val="23"/>
          <w:szCs w:val="23"/>
        </w:rPr>
        <w:t xml:space="preserve"> thank the</w:t>
      </w:r>
      <w:r w:rsidR="00A645A6">
        <w:rPr>
          <w:rFonts w:asciiTheme="majorHAnsi" w:hAnsiTheme="majorHAnsi" w:cstheme="majorHAnsi"/>
          <w:sz w:val="23"/>
          <w:szCs w:val="23"/>
        </w:rPr>
        <w:t xml:space="preserve"> representatives from local community organisations who </w:t>
      </w:r>
      <w:r w:rsidR="006E6CF4">
        <w:rPr>
          <w:rFonts w:asciiTheme="majorHAnsi" w:hAnsiTheme="majorHAnsi" w:cstheme="majorHAnsi"/>
          <w:sz w:val="23"/>
          <w:szCs w:val="23"/>
        </w:rPr>
        <w:t>generously</w:t>
      </w:r>
      <w:r w:rsidR="00F00470">
        <w:rPr>
          <w:rFonts w:asciiTheme="majorHAnsi" w:hAnsiTheme="majorHAnsi" w:cstheme="majorHAnsi"/>
          <w:sz w:val="23"/>
          <w:szCs w:val="23"/>
        </w:rPr>
        <w:t xml:space="preserve"> agreed to</w:t>
      </w:r>
      <w:r w:rsidR="006E6CF4">
        <w:rPr>
          <w:rFonts w:asciiTheme="majorHAnsi" w:hAnsiTheme="majorHAnsi" w:cstheme="majorHAnsi"/>
          <w:sz w:val="23"/>
          <w:szCs w:val="23"/>
        </w:rPr>
        <w:t xml:space="preserve"> participate</w:t>
      </w:r>
      <w:r w:rsidR="00A645A6">
        <w:rPr>
          <w:rFonts w:asciiTheme="majorHAnsi" w:hAnsiTheme="majorHAnsi" w:cstheme="majorHAnsi"/>
          <w:sz w:val="23"/>
          <w:szCs w:val="23"/>
        </w:rPr>
        <w:t xml:space="preserve"> in our interviews and focus group.</w:t>
      </w:r>
    </w:p>
    <w:p w14:paraId="0C2C2291" w14:textId="77777777" w:rsidR="00F6732A" w:rsidRPr="00D041F9" w:rsidRDefault="00F6732A" w:rsidP="009B2FA7">
      <w:pPr>
        <w:spacing w:after="0" w:line="276" w:lineRule="auto"/>
        <w:rPr>
          <w:rFonts w:asciiTheme="majorHAnsi" w:hAnsiTheme="majorHAnsi" w:cstheme="majorHAnsi"/>
          <w:sz w:val="20"/>
          <w:szCs w:val="20"/>
        </w:rPr>
      </w:pPr>
    </w:p>
    <w:p w14:paraId="2E23A63E" w14:textId="77777777" w:rsidR="00F00E3D" w:rsidRPr="00245FD9" w:rsidRDefault="00F00E3D" w:rsidP="00430801">
      <w:pPr>
        <w:spacing w:after="0" w:line="240" w:lineRule="auto"/>
        <w:rPr>
          <w:rFonts w:asciiTheme="majorHAnsi" w:hAnsiTheme="majorHAnsi" w:cstheme="majorHAnsi"/>
          <w:sz w:val="23"/>
          <w:szCs w:val="23"/>
        </w:rPr>
      </w:pPr>
    </w:p>
    <w:p w14:paraId="28AD6002" w14:textId="24BB2D19" w:rsidR="00F00E3D" w:rsidRDefault="00F00E3D" w:rsidP="00430801">
      <w:pPr>
        <w:spacing w:after="0" w:line="240" w:lineRule="auto"/>
        <w:rPr>
          <w:rFonts w:asciiTheme="majorHAnsi" w:hAnsiTheme="majorHAnsi" w:cstheme="majorHAnsi"/>
          <w:sz w:val="23"/>
          <w:szCs w:val="23"/>
        </w:rPr>
      </w:pPr>
      <w:r w:rsidRPr="00514B42">
        <w:rPr>
          <w:rFonts w:asciiTheme="majorHAnsi" w:hAnsiTheme="majorHAnsi" w:cstheme="majorHAnsi"/>
          <w:sz w:val="23"/>
          <w:szCs w:val="23"/>
        </w:rPr>
        <w:t>Suggested citation: Tucker, R., Mundell</w:t>
      </w:r>
      <w:r w:rsidRPr="00245FD9">
        <w:rPr>
          <w:rFonts w:asciiTheme="majorHAnsi" w:hAnsiTheme="majorHAnsi" w:cstheme="majorHAnsi"/>
          <w:sz w:val="23"/>
          <w:szCs w:val="23"/>
        </w:rPr>
        <w:t>, M., Johnson, L., Hitch, D., Andrews, F., Liang, J.</w:t>
      </w:r>
      <w:r w:rsidR="008F31AF">
        <w:rPr>
          <w:rFonts w:asciiTheme="majorHAnsi" w:hAnsiTheme="majorHAnsi" w:cstheme="majorHAnsi"/>
          <w:sz w:val="23"/>
          <w:szCs w:val="23"/>
        </w:rPr>
        <w:t xml:space="preserve"> </w:t>
      </w:r>
      <w:r w:rsidR="004E3702" w:rsidRPr="00245FD9">
        <w:rPr>
          <w:rFonts w:asciiTheme="majorHAnsi" w:hAnsiTheme="majorHAnsi" w:cstheme="majorHAnsi"/>
          <w:sz w:val="23"/>
          <w:szCs w:val="23"/>
        </w:rPr>
        <w:t xml:space="preserve">Thornton, L., </w:t>
      </w:r>
      <w:r w:rsidR="00F6732A" w:rsidRPr="00245FD9">
        <w:rPr>
          <w:rFonts w:asciiTheme="majorHAnsi" w:hAnsiTheme="majorHAnsi" w:cstheme="majorHAnsi"/>
          <w:sz w:val="23"/>
          <w:szCs w:val="23"/>
        </w:rPr>
        <w:t xml:space="preserve">Bower, I., </w:t>
      </w:r>
      <w:r w:rsidR="008F31AF">
        <w:rPr>
          <w:rFonts w:asciiTheme="majorHAnsi" w:hAnsiTheme="majorHAnsi" w:cstheme="majorHAnsi"/>
          <w:sz w:val="23"/>
          <w:szCs w:val="23"/>
        </w:rPr>
        <w:t>&amp;</w:t>
      </w:r>
      <w:r w:rsidR="008059EA" w:rsidRPr="008059EA">
        <w:t xml:space="preserve"> </w:t>
      </w:r>
      <w:r w:rsidR="008059EA" w:rsidRPr="008059EA">
        <w:rPr>
          <w:rFonts w:asciiTheme="majorHAnsi" w:hAnsiTheme="majorHAnsi" w:cstheme="majorHAnsi"/>
          <w:sz w:val="23"/>
          <w:szCs w:val="23"/>
        </w:rPr>
        <w:t>Moslehian</w:t>
      </w:r>
      <w:r w:rsidR="008059EA">
        <w:rPr>
          <w:rFonts w:asciiTheme="majorHAnsi" w:hAnsiTheme="majorHAnsi" w:cstheme="majorHAnsi"/>
          <w:sz w:val="23"/>
          <w:szCs w:val="23"/>
        </w:rPr>
        <w:t xml:space="preserve">, A. </w:t>
      </w:r>
      <w:r w:rsidRPr="00245FD9">
        <w:rPr>
          <w:rFonts w:asciiTheme="majorHAnsi" w:hAnsiTheme="majorHAnsi" w:cstheme="majorHAnsi"/>
          <w:sz w:val="23"/>
          <w:szCs w:val="23"/>
        </w:rPr>
        <w:t xml:space="preserve">(2021). </w:t>
      </w:r>
      <w:r w:rsidRPr="00245FD9">
        <w:rPr>
          <w:rFonts w:asciiTheme="majorHAnsi" w:hAnsiTheme="majorHAnsi" w:cstheme="majorHAnsi"/>
          <w:i/>
          <w:sz w:val="23"/>
          <w:szCs w:val="23"/>
        </w:rPr>
        <w:t>Creative Strategies for Tackling Locational Disadvantage</w:t>
      </w:r>
      <w:r w:rsidR="008F31AF">
        <w:rPr>
          <w:rFonts w:asciiTheme="majorHAnsi" w:hAnsiTheme="majorHAnsi" w:cstheme="majorHAnsi"/>
          <w:i/>
          <w:sz w:val="23"/>
          <w:szCs w:val="23"/>
        </w:rPr>
        <w:t xml:space="preserve"> in Geelong</w:t>
      </w:r>
      <w:r w:rsidRPr="00245FD9">
        <w:rPr>
          <w:rFonts w:asciiTheme="majorHAnsi" w:hAnsiTheme="majorHAnsi" w:cstheme="majorHAnsi"/>
          <w:i/>
          <w:sz w:val="23"/>
          <w:szCs w:val="23"/>
        </w:rPr>
        <w:t>.</w:t>
      </w:r>
      <w:r w:rsidRPr="00245FD9">
        <w:rPr>
          <w:rFonts w:asciiTheme="majorHAnsi" w:hAnsiTheme="majorHAnsi" w:cstheme="majorHAnsi"/>
          <w:sz w:val="23"/>
          <w:szCs w:val="23"/>
        </w:rPr>
        <w:t xml:space="preserve"> Report prepared for the City of Greater Geelong by HOME Research Hub, Deakin University, </w:t>
      </w:r>
      <w:r w:rsidR="008F31AF">
        <w:rPr>
          <w:rFonts w:asciiTheme="majorHAnsi" w:hAnsiTheme="majorHAnsi" w:cstheme="majorHAnsi"/>
          <w:sz w:val="23"/>
          <w:szCs w:val="23"/>
        </w:rPr>
        <w:t>April</w:t>
      </w:r>
      <w:r w:rsidRPr="00245FD9">
        <w:rPr>
          <w:rFonts w:asciiTheme="majorHAnsi" w:hAnsiTheme="majorHAnsi" w:cstheme="majorHAnsi"/>
          <w:sz w:val="23"/>
          <w:szCs w:val="23"/>
        </w:rPr>
        <w:t>.</w:t>
      </w:r>
    </w:p>
    <w:p w14:paraId="32BA8277" w14:textId="382BD105" w:rsidR="00C868DF" w:rsidRDefault="00C868DF" w:rsidP="00430801">
      <w:pPr>
        <w:spacing w:after="0" w:line="240" w:lineRule="auto"/>
        <w:rPr>
          <w:rFonts w:asciiTheme="majorHAnsi" w:hAnsiTheme="majorHAnsi" w:cstheme="majorHAnsi"/>
          <w:sz w:val="23"/>
          <w:szCs w:val="23"/>
        </w:rPr>
      </w:pPr>
    </w:p>
    <w:p w14:paraId="53840F1A" w14:textId="77777777" w:rsidR="00C868DF" w:rsidRPr="00210A83" w:rsidRDefault="00C868DF" w:rsidP="00C868DF">
      <w:pPr>
        <w:spacing w:after="0" w:line="240" w:lineRule="auto"/>
        <w:jc w:val="both"/>
        <w:rPr>
          <w:rFonts w:asciiTheme="majorHAnsi" w:hAnsiTheme="majorHAnsi" w:cstheme="majorHAnsi"/>
          <w:sz w:val="23"/>
          <w:szCs w:val="23"/>
        </w:rPr>
      </w:pPr>
      <w:r w:rsidRPr="00210A83">
        <w:rPr>
          <w:rFonts w:asciiTheme="majorHAnsi" w:hAnsiTheme="majorHAnsi" w:cstheme="majorHAnsi"/>
          <w:w w:val="105"/>
          <w:sz w:val="23"/>
          <w:szCs w:val="23"/>
        </w:rPr>
        <w:t>Deakin University CRICOS Provider Code: 00113B</w:t>
      </w:r>
    </w:p>
    <w:p w14:paraId="1E48EB25" w14:textId="77777777" w:rsidR="00F00E3D" w:rsidRPr="00245FD9" w:rsidRDefault="00F00E3D" w:rsidP="00430801">
      <w:pPr>
        <w:spacing w:after="0" w:line="240" w:lineRule="auto"/>
        <w:rPr>
          <w:rFonts w:asciiTheme="majorHAnsi" w:hAnsiTheme="majorHAnsi" w:cstheme="majorHAnsi"/>
          <w:sz w:val="23"/>
          <w:szCs w:val="23"/>
        </w:rPr>
      </w:pPr>
    </w:p>
    <w:p w14:paraId="6E71A9AE" w14:textId="522BD139" w:rsidR="00F00E3D" w:rsidRPr="00911FEC" w:rsidRDefault="00F00E3D" w:rsidP="00430801">
      <w:pPr>
        <w:spacing w:after="0" w:line="240" w:lineRule="auto"/>
        <w:rPr>
          <w:rFonts w:asciiTheme="majorHAnsi" w:hAnsiTheme="majorHAnsi" w:cstheme="majorHAnsi"/>
          <w:sz w:val="23"/>
          <w:szCs w:val="23"/>
        </w:rPr>
      </w:pPr>
      <w:r w:rsidRPr="00245FD9">
        <w:rPr>
          <w:rFonts w:asciiTheme="majorHAnsi" w:hAnsiTheme="majorHAnsi" w:cstheme="majorHAnsi"/>
          <w:sz w:val="23"/>
          <w:szCs w:val="23"/>
        </w:rPr>
        <w:t>Cover image: “</w:t>
      </w:r>
      <w:hyperlink r:id="rId13">
        <w:r w:rsidRPr="00245FD9">
          <w:rPr>
            <w:rStyle w:val="Hyperlink"/>
            <w:rFonts w:asciiTheme="majorHAnsi" w:hAnsiTheme="majorHAnsi" w:cstheme="majorHAnsi"/>
            <w:sz w:val="23"/>
            <w:szCs w:val="23"/>
          </w:rPr>
          <w:t>Addis Theatre</w:t>
        </w:r>
      </w:hyperlink>
      <w:r w:rsidRPr="00245FD9">
        <w:rPr>
          <w:rFonts w:asciiTheme="majorHAnsi" w:hAnsiTheme="majorHAnsi" w:cstheme="majorHAnsi"/>
          <w:sz w:val="23"/>
          <w:szCs w:val="23"/>
        </w:rPr>
        <w:t xml:space="preserve">” by Carsten ten Brink, Flickr. Licensed under </w:t>
      </w:r>
      <w:hyperlink r:id="rId14">
        <w:r w:rsidRPr="00245FD9">
          <w:rPr>
            <w:rStyle w:val="Hyperlink"/>
            <w:rFonts w:asciiTheme="majorHAnsi" w:hAnsiTheme="majorHAnsi" w:cstheme="majorHAnsi"/>
            <w:sz w:val="23"/>
            <w:szCs w:val="23"/>
          </w:rPr>
          <w:t>(CC BY-NC-ND 2.0)</w:t>
        </w:r>
      </w:hyperlink>
      <w:r w:rsidR="002E3660" w:rsidRPr="002E3660">
        <w:rPr>
          <w:rStyle w:val="Hyperlink"/>
          <w:rFonts w:asciiTheme="majorHAnsi" w:hAnsiTheme="majorHAnsi" w:cstheme="majorHAnsi"/>
          <w:color w:val="auto"/>
          <w:sz w:val="23"/>
          <w:szCs w:val="23"/>
          <w:u w:val="none"/>
        </w:rPr>
        <w:t>.</w:t>
      </w:r>
      <w:r>
        <w:rPr>
          <w:rFonts w:cstheme="minorHAnsi"/>
          <w:sz w:val="23"/>
          <w:szCs w:val="23"/>
        </w:rPr>
        <w:br w:type="page"/>
      </w:r>
    </w:p>
    <w:p w14:paraId="10EA7EB2" w14:textId="77777777" w:rsidR="00DE3B44" w:rsidRPr="00DE3B44" w:rsidRDefault="00DE3B44" w:rsidP="00D041F9">
      <w:pPr>
        <w:widowControl w:val="0"/>
        <w:autoSpaceDE w:val="0"/>
        <w:autoSpaceDN w:val="0"/>
        <w:spacing w:after="0" w:line="240" w:lineRule="auto"/>
        <w:rPr>
          <w:rFonts w:eastAsia="Arial" w:cstheme="minorHAnsi"/>
          <w:b/>
          <w:bCs/>
          <w:sz w:val="28"/>
          <w:szCs w:val="28"/>
          <w:lang w:val="en-US"/>
        </w:rPr>
      </w:pPr>
    </w:p>
    <w:p w14:paraId="3B47134B" w14:textId="77777777" w:rsidR="00DE3B44" w:rsidRPr="00DE3B44" w:rsidRDefault="00DE3B44" w:rsidP="00D041F9">
      <w:pPr>
        <w:widowControl w:val="0"/>
        <w:autoSpaceDE w:val="0"/>
        <w:autoSpaceDN w:val="0"/>
        <w:spacing w:after="0" w:line="240" w:lineRule="auto"/>
        <w:rPr>
          <w:rFonts w:eastAsia="Arial" w:cstheme="minorHAnsi"/>
          <w:b/>
          <w:bCs/>
          <w:sz w:val="28"/>
          <w:szCs w:val="28"/>
          <w:lang w:val="en-US"/>
        </w:rPr>
      </w:pPr>
    </w:p>
    <w:p w14:paraId="341B65AE" w14:textId="77777777" w:rsidR="00DE3B44" w:rsidRPr="00DE3B44" w:rsidRDefault="00DE3B44" w:rsidP="00D041F9">
      <w:pPr>
        <w:widowControl w:val="0"/>
        <w:autoSpaceDE w:val="0"/>
        <w:autoSpaceDN w:val="0"/>
        <w:spacing w:after="0" w:line="240" w:lineRule="auto"/>
        <w:rPr>
          <w:rFonts w:eastAsia="Arial" w:cstheme="minorHAnsi"/>
          <w:b/>
          <w:bCs/>
          <w:sz w:val="28"/>
          <w:szCs w:val="28"/>
          <w:lang w:val="en-US"/>
        </w:rPr>
      </w:pPr>
    </w:p>
    <w:p w14:paraId="3915FCB4" w14:textId="77777777" w:rsidR="00DE3B44" w:rsidRPr="00DE3B44" w:rsidRDefault="00DE3B44" w:rsidP="00D041F9">
      <w:pPr>
        <w:widowControl w:val="0"/>
        <w:autoSpaceDE w:val="0"/>
        <w:autoSpaceDN w:val="0"/>
        <w:spacing w:after="0" w:line="240" w:lineRule="auto"/>
        <w:rPr>
          <w:rFonts w:eastAsia="Arial" w:cstheme="minorHAnsi"/>
          <w:b/>
          <w:bCs/>
          <w:sz w:val="28"/>
          <w:szCs w:val="28"/>
          <w:lang w:val="en-US"/>
        </w:rPr>
      </w:pPr>
    </w:p>
    <w:p w14:paraId="71E39AFA" w14:textId="77777777" w:rsidR="00DE3B44" w:rsidRPr="00DE3B44" w:rsidRDefault="00DE3B44" w:rsidP="00D041F9">
      <w:pPr>
        <w:widowControl w:val="0"/>
        <w:autoSpaceDE w:val="0"/>
        <w:autoSpaceDN w:val="0"/>
        <w:spacing w:after="0" w:line="240" w:lineRule="auto"/>
        <w:rPr>
          <w:rFonts w:eastAsia="Arial" w:cstheme="minorHAnsi"/>
          <w:b/>
          <w:bCs/>
          <w:sz w:val="28"/>
          <w:szCs w:val="28"/>
          <w:lang w:val="en-US"/>
        </w:rPr>
      </w:pPr>
    </w:p>
    <w:p w14:paraId="39933716" w14:textId="6533233B" w:rsidR="00B02167" w:rsidRDefault="00C75DF1" w:rsidP="00DE3B44">
      <w:pPr>
        <w:widowControl w:val="0"/>
        <w:autoSpaceDE w:val="0"/>
        <w:autoSpaceDN w:val="0"/>
        <w:spacing w:after="0" w:line="276" w:lineRule="auto"/>
        <w:ind w:left="1440"/>
        <w:rPr>
          <w:rFonts w:eastAsia="Arial" w:cstheme="minorHAnsi"/>
          <w:b/>
          <w:bCs/>
          <w:color w:val="2F5496" w:themeColor="accent1" w:themeShade="BF"/>
          <w:sz w:val="28"/>
          <w:szCs w:val="28"/>
          <w:lang w:val="en-US"/>
        </w:rPr>
      </w:pPr>
      <w:r w:rsidRPr="00B02167">
        <w:rPr>
          <w:rFonts w:eastAsia="Arial" w:cstheme="minorHAnsi"/>
          <w:b/>
          <w:bCs/>
          <w:noProof/>
          <w:color w:val="2F5496" w:themeColor="accent1" w:themeShade="BF"/>
          <w:sz w:val="28"/>
          <w:szCs w:val="28"/>
          <w:lang w:eastAsia="zh-CN"/>
        </w:rPr>
        <mc:AlternateContent>
          <mc:Choice Requires="wps">
            <w:drawing>
              <wp:anchor distT="45720" distB="45720" distL="114300" distR="114300" simplePos="0" relativeHeight="251658259" behindDoc="0" locked="0" layoutInCell="1" allowOverlap="1" wp14:anchorId="6C6C7481" wp14:editId="53EB3FC7">
                <wp:simplePos x="0" y="0"/>
                <wp:positionH relativeFrom="column">
                  <wp:posOffset>2350770</wp:posOffset>
                </wp:positionH>
                <wp:positionV relativeFrom="paragraph">
                  <wp:posOffset>38735</wp:posOffset>
                </wp:positionV>
                <wp:extent cx="2903220" cy="24612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461260"/>
                        </a:xfrm>
                        <a:prstGeom prst="rect">
                          <a:avLst/>
                        </a:prstGeom>
                        <a:solidFill>
                          <a:srgbClr val="FFFFFF"/>
                        </a:solidFill>
                        <a:ln w="9525">
                          <a:noFill/>
                          <a:miter lim="800000"/>
                          <a:headEnd/>
                          <a:tailEnd/>
                        </a:ln>
                      </wps:spPr>
                      <wps:txbx>
                        <w:txbxContent>
                          <w:p w14:paraId="49E3F3D0" w14:textId="34C75A39" w:rsidR="00063AC8" w:rsidRPr="00FE685E" w:rsidRDefault="00063AC8" w:rsidP="00FE685E">
                            <w:pPr>
                              <w:widowControl w:val="0"/>
                              <w:autoSpaceDE w:val="0"/>
                              <w:autoSpaceDN w:val="0"/>
                              <w:spacing w:after="0" w:line="276" w:lineRule="auto"/>
                              <w:rPr>
                                <w:rFonts w:eastAsia="Arial" w:cstheme="minorHAnsi"/>
                                <w:b/>
                                <w:bCs/>
                                <w:color w:val="2E74B5" w:themeColor="accent5" w:themeShade="BF"/>
                                <w:sz w:val="28"/>
                                <w:szCs w:val="28"/>
                                <w:lang w:val="en-US"/>
                              </w:rPr>
                            </w:pPr>
                            <w:r>
                              <w:rPr>
                                <w:rFonts w:eastAsia="Arial" w:cstheme="minorHAnsi"/>
                                <w:b/>
                                <w:bCs/>
                                <w:color w:val="2E74B5" w:themeColor="accent5" w:themeShade="BF"/>
                                <w:sz w:val="28"/>
                                <w:szCs w:val="28"/>
                                <w:lang w:val="en-US"/>
                              </w:rPr>
                              <w:t xml:space="preserve">We wish to </w:t>
                            </w:r>
                            <w:r w:rsidRPr="00FE685E">
                              <w:rPr>
                                <w:rFonts w:eastAsia="Arial" w:cstheme="minorHAnsi"/>
                                <w:b/>
                                <w:bCs/>
                                <w:color w:val="2E74B5" w:themeColor="accent5" w:themeShade="BF"/>
                                <w:sz w:val="28"/>
                                <w:szCs w:val="28"/>
                                <w:lang w:val="en-US"/>
                              </w:rPr>
                              <w:t>acknowledge</w:t>
                            </w:r>
                          </w:p>
                          <w:p w14:paraId="5124EFDA" w14:textId="533AE2A6" w:rsidR="00063AC8" w:rsidRPr="00FE685E" w:rsidRDefault="00063AC8" w:rsidP="00FE685E">
                            <w:pPr>
                              <w:widowControl w:val="0"/>
                              <w:autoSpaceDE w:val="0"/>
                              <w:autoSpaceDN w:val="0"/>
                              <w:spacing w:after="0" w:line="276" w:lineRule="auto"/>
                              <w:rPr>
                                <w:rFonts w:eastAsia="Arial" w:cstheme="minorHAnsi"/>
                                <w:b/>
                                <w:bCs/>
                                <w:color w:val="2E74B5" w:themeColor="accent5" w:themeShade="BF"/>
                                <w:sz w:val="28"/>
                                <w:szCs w:val="28"/>
                                <w:lang w:val="en-US"/>
                              </w:rPr>
                            </w:pPr>
                            <w:r w:rsidRPr="00FE685E">
                              <w:rPr>
                                <w:rFonts w:eastAsia="Arial" w:cstheme="minorHAnsi"/>
                                <w:b/>
                                <w:bCs/>
                                <w:color w:val="2E74B5" w:themeColor="accent5" w:themeShade="BF"/>
                                <w:sz w:val="28"/>
                                <w:szCs w:val="28"/>
                                <w:lang w:val="en-US"/>
                              </w:rPr>
                              <w:t xml:space="preserve">the </w:t>
                            </w:r>
                            <w:proofErr w:type="spellStart"/>
                            <w:r w:rsidRPr="00FE685E">
                              <w:rPr>
                                <w:rFonts w:eastAsia="Arial" w:cstheme="minorHAnsi"/>
                                <w:b/>
                                <w:bCs/>
                                <w:color w:val="2E74B5" w:themeColor="accent5" w:themeShade="BF"/>
                                <w:sz w:val="28"/>
                                <w:szCs w:val="28"/>
                                <w:lang w:val="en-US"/>
                              </w:rPr>
                              <w:t>Wadawurrung</w:t>
                            </w:r>
                            <w:proofErr w:type="spellEnd"/>
                            <w:r w:rsidRPr="00FE685E">
                              <w:rPr>
                                <w:rFonts w:eastAsia="Arial" w:cstheme="minorHAnsi"/>
                                <w:b/>
                                <w:bCs/>
                                <w:color w:val="2E74B5" w:themeColor="accent5" w:themeShade="BF"/>
                                <w:sz w:val="28"/>
                                <w:szCs w:val="28"/>
                                <w:lang w:val="en-US"/>
                              </w:rPr>
                              <w:t xml:space="preserve">, </w:t>
                            </w:r>
                            <w:proofErr w:type="spellStart"/>
                            <w:r w:rsidRPr="00FE685E">
                              <w:rPr>
                                <w:rFonts w:eastAsia="Arial" w:cstheme="minorHAnsi"/>
                                <w:b/>
                                <w:bCs/>
                                <w:color w:val="2E74B5" w:themeColor="accent5" w:themeShade="BF"/>
                                <w:sz w:val="28"/>
                                <w:szCs w:val="28"/>
                                <w:lang w:val="en-US"/>
                              </w:rPr>
                              <w:t>Wurundjeri</w:t>
                            </w:r>
                            <w:proofErr w:type="spellEnd"/>
                            <w:r w:rsidRPr="00FE685E">
                              <w:rPr>
                                <w:rFonts w:eastAsia="Arial" w:cstheme="minorHAnsi"/>
                                <w:b/>
                                <w:bCs/>
                                <w:color w:val="2E74B5" w:themeColor="accent5" w:themeShade="BF"/>
                                <w:sz w:val="28"/>
                                <w:szCs w:val="28"/>
                                <w:lang w:val="en-US"/>
                              </w:rPr>
                              <w:t xml:space="preserve">, </w:t>
                            </w:r>
                            <w:proofErr w:type="spellStart"/>
                            <w:r w:rsidRPr="00FE685E">
                              <w:rPr>
                                <w:rFonts w:eastAsia="Arial" w:cstheme="minorHAnsi"/>
                                <w:b/>
                                <w:bCs/>
                                <w:color w:val="2E74B5" w:themeColor="accent5" w:themeShade="BF"/>
                                <w:sz w:val="28"/>
                                <w:szCs w:val="28"/>
                                <w:lang w:val="en-US"/>
                              </w:rPr>
                              <w:t>Woiwurrung</w:t>
                            </w:r>
                            <w:proofErr w:type="spellEnd"/>
                            <w:r w:rsidRPr="00FE685E">
                              <w:rPr>
                                <w:rFonts w:eastAsia="Arial" w:cstheme="minorHAnsi"/>
                                <w:b/>
                                <w:bCs/>
                                <w:color w:val="2E74B5" w:themeColor="accent5" w:themeShade="BF"/>
                                <w:sz w:val="28"/>
                                <w:szCs w:val="28"/>
                                <w:lang w:val="en-US"/>
                              </w:rPr>
                              <w:t>, and Boonwurrung peoples</w:t>
                            </w:r>
                            <w:r>
                              <w:rPr>
                                <w:rFonts w:eastAsia="Arial" w:cstheme="minorHAnsi"/>
                                <w:b/>
                                <w:bCs/>
                                <w:color w:val="2E74B5" w:themeColor="accent5" w:themeShade="BF"/>
                                <w:sz w:val="28"/>
                                <w:szCs w:val="28"/>
                                <w:lang w:val="en-US"/>
                              </w:rPr>
                              <w:t xml:space="preserve"> </w:t>
                            </w:r>
                            <w:r w:rsidRPr="00FE685E">
                              <w:rPr>
                                <w:rFonts w:eastAsia="Arial" w:cstheme="minorHAnsi"/>
                                <w:b/>
                                <w:bCs/>
                                <w:color w:val="2E74B5" w:themeColor="accent5" w:themeShade="BF"/>
                                <w:sz w:val="28"/>
                                <w:szCs w:val="28"/>
                                <w:lang w:val="en-US"/>
                              </w:rPr>
                              <w:t>of the Kulin nations, the traditional owners of the unceded lands on which this study was conducted. We pay our respects</w:t>
                            </w:r>
                          </w:p>
                          <w:p w14:paraId="24BCB8A5" w14:textId="7AA2C322" w:rsidR="00063AC8" w:rsidRPr="00FE685E" w:rsidRDefault="00063AC8" w:rsidP="00FE685E">
                            <w:pPr>
                              <w:widowControl w:val="0"/>
                              <w:autoSpaceDE w:val="0"/>
                              <w:autoSpaceDN w:val="0"/>
                              <w:spacing w:after="0" w:line="276" w:lineRule="auto"/>
                              <w:rPr>
                                <w:rFonts w:eastAsia="Arial" w:cstheme="minorHAnsi"/>
                                <w:b/>
                                <w:bCs/>
                                <w:color w:val="2E74B5" w:themeColor="accent5" w:themeShade="BF"/>
                                <w:sz w:val="28"/>
                                <w:szCs w:val="28"/>
                                <w:lang w:val="en-US"/>
                              </w:rPr>
                            </w:pPr>
                            <w:r w:rsidRPr="00FE685E">
                              <w:rPr>
                                <w:rFonts w:eastAsia="Arial" w:cstheme="minorHAnsi"/>
                                <w:b/>
                                <w:bCs/>
                                <w:color w:val="2E74B5" w:themeColor="accent5" w:themeShade="BF"/>
                                <w:sz w:val="28"/>
                                <w:szCs w:val="28"/>
                                <w:lang w:val="en-US"/>
                              </w:rPr>
                              <w:t>to their Country and to their Elders:</w:t>
                            </w:r>
                          </w:p>
                          <w:p w14:paraId="6B17E392" w14:textId="2AFE61A4" w:rsidR="00063AC8" w:rsidRPr="00FE685E" w:rsidRDefault="00063AC8" w:rsidP="00FE685E">
                            <w:pPr>
                              <w:widowControl w:val="0"/>
                              <w:autoSpaceDE w:val="0"/>
                              <w:autoSpaceDN w:val="0"/>
                              <w:spacing w:after="0" w:line="276" w:lineRule="auto"/>
                              <w:rPr>
                                <w:rFonts w:eastAsia="Arial" w:cstheme="minorHAnsi"/>
                                <w:b/>
                                <w:bCs/>
                                <w:color w:val="2E74B5" w:themeColor="accent5" w:themeShade="BF"/>
                                <w:sz w:val="28"/>
                                <w:szCs w:val="28"/>
                                <w:lang w:val="en-US"/>
                              </w:rPr>
                            </w:pPr>
                            <w:r w:rsidRPr="00FE685E">
                              <w:rPr>
                                <w:rFonts w:eastAsia="Arial" w:cstheme="minorHAnsi"/>
                                <w:b/>
                                <w:bCs/>
                                <w:color w:val="2E74B5" w:themeColor="accent5" w:themeShade="BF"/>
                                <w:sz w:val="28"/>
                                <w:szCs w:val="28"/>
                                <w:lang w:val="en-US"/>
                              </w:rPr>
                              <w:t>past, present, future</w:t>
                            </w:r>
                            <w:r>
                              <w:rPr>
                                <w:rFonts w:eastAsia="Arial" w:cstheme="minorHAnsi"/>
                                <w:b/>
                                <w:bCs/>
                                <w:color w:val="2E74B5" w:themeColor="accent5" w:themeShade="BF"/>
                                <w:sz w:val="28"/>
                                <w:szCs w:val="28"/>
                                <w:lang w:val="en-US"/>
                              </w:rPr>
                              <w:t>, and emerging</w:t>
                            </w:r>
                            <w:r w:rsidRPr="00FE685E">
                              <w:rPr>
                                <w:rFonts w:eastAsia="Arial" w:cstheme="minorHAnsi"/>
                                <w:b/>
                                <w:bCs/>
                                <w:color w:val="2E74B5" w:themeColor="accent5" w:themeShade="BF"/>
                                <w:sz w:val="28"/>
                                <w:szCs w:val="28"/>
                                <w:lang w:val="en-US"/>
                              </w:rPr>
                              <w:t>.</w:t>
                            </w:r>
                          </w:p>
                          <w:p w14:paraId="0E824450" w14:textId="77777777" w:rsidR="00063AC8" w:rsidRDefault="00063AC8" w:rsidP="00B021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C7481" id="_x0000_s1029" type="#_x0000_t202" style="position:absolute;left:0;text-align:left;margin-left:185.1pt;margin-top:3.05pt;width:228.6pt;height:193.8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" stroked="f">
                <v:textbox>
                  <w:txbxContent>
                    <w:p w14:paraId="49E3F3D0" w14:textId="34C75A39" w:rsidR="00063AC8" w:rsidRPr="00FE685E" w:rsidRDefault="00063AC8" w:rsidP="00FE685E">
                      <w:pPr>
                        <w:widowControl w:val="0"/>
                        <w:autoSpaceDE w:val="0"/>
                        <w:autoSpaceDN w:val="0"/>
                        <w:spacing w:after="0" w:line="276" w:lineRule="auto"/>
                        <w:rPr>
                          <w:rFonts w:eastAsia="Arial" w:cstheme="minorHAnsi"/>
                          <w:b/>
                          <w:bCs/>
                          <w:color w:val="2E74B5" w:themeColor="accent5" w:themeShade="BF"/>
                          <w:sz w:val="28"/>
                          <w:szCs w:val="28"/>
                          <w:lang w:val="en-US"/>
                        </w:rPr>
                      </w:pPr>
                      <w:r>
                        <w:rPr>
                          <w:rFonts w:eastAsia="Arial" w:cstheme="minorHAnsi"/>
                          <w:b/>
                          <w:bCs/>
                          <w:color w:val="2E74B5" w:themeColor="accent5" w:themeShade="BF"/>
                          <w:sz w:val="28"/>
                          <w:szCs w:val="28"/>
                          <w:lang w:val="en-US"/>
                        </w:rPr>
                        <w:t xml:space="preserve">We wish to </w:t>
                      </w:r>
                      <w:r w:rsidRPr="00FE685E">
                        <w:rPr>
                          <w:rFonts w:eastAsia="Arial" w:cstheme="minorHAnsi"/>
                          <w:b/>
                          <w:bCs/>
                          <w:color w:val="2E74B5" w:themeColor="accent5" w:themeShade="BF"/>
                          <w:sz w:val="28"/>
                          <w:szCs w:val="28"/>
                          <w:lang w:val="en-US"/>
                        </w:rPr>
                        <w:t>acknowledge</w:t>
                      </w:r>
                    </w:p>
                    <w:p w14:paraId="5124EFDA" w14:textId="533AE2A6" w:rsidR="00063AC8" w:rsidRPr="00FE685E" w:rsidRDefault="00063AC8" w:rsidP="00FE685E">
                      <w:pPr>
                        <w:widowControl w:val="0"/>
                        <w:autoSpaceDE w:val="0"/>
                        <w:autoSpaceDN w:val="0"/>
                        <w:spacing w:after="0" w:line="276" w:lineRule="auto"/>
                        <w:rPr>
                          <w:rFonts w:eastAsia="Arial" w:cstheme="minorHAnsi"/>
                          <w:b/>
                          <w:bCs/>
                          <w:color w:val="2E74B5" w:themeColor="accent5" w:themeShade="BF"/>
                          <w:sz w:val="28"/>
                          <w:szCs w:val="28"/>
                          <w:lang w:val="en-US"/>
                        </w:rPr>
                      </w:pPr>
                      <w:r w:rsidRPr="00FE685E">
                        <w:rPr>
                          <w:rFonts w:eastAsia="Arial" w:cstheme="minorHAnsi"/>
                          <w:b/>
                          <w:bCs/>
                          <w:color w:val="2E74B5" w:themeColor="accent5" w:themeShade="BF"/>
                          <w:sz w:val="28"/>
                          <w:szCs w:val="28"/>
                          <w:lang w:val="en-US"/>
                        </w:rPr>
                        <w:t xml:space="preserve">the </w:t>
                      </w:r>
                      <w:proofErr w:type="spellStart"/>
                      <w:r w:rsidRPr="00FE685E">
                        <w:rPr>
                          <w:rFonts w:eastAsia="Arial" w:cstheme="minorHAnsi"/>
                          <w:b/>
                          <w:bCs/>
                          <w:color w:val="2E74B5" w:themeColor="accent5" w:themeShade="BF"/>
                          <w:sz w:val="28"/>
                          <w:szCs w:val="28"/>
                          <w:lang w:val="en-US"/>
                        </w:rPr>
                        <w:t>Wadawurrung</w:t>
                      </w:r>
                      <w:proofErr w:type="spellEnd"/>
                      <w:r w:rsidRPr="00FE685E">
                        <w:rPr>
                          <w:rFonts w:eastAsia="Arial" w:cstheme="minorHAnsi"/>
                          <w:b/>
                          <w:bCs/>
                          <w:color w:val="2E74B5" w:themeColor="accent5" w:themeShade="BF"/>
                          <w:sz w:val="28"/>
                          <w:szCs w:val="28"/>
                          <w:lang w:val="en-US"/>
                        </w:rPr>
                        <w:t xml:space="preserve">, </w:t>
                      </w:r>
                      <w:proofErr w:type="spellStart"/>
                      <w:r w:rsidRPr="00FE685E">
                        <w:rPr>
                          <w:rFonts w:eastAsia="Arial" w:cstheme="minorHAnsi"/>
                          <w:b/>
                          <w:bCs/>
                          <w:color w:val="2E74B5" w:themeColor="accent5" w:themeShade="BF"/>
                          <w:sz w:val="28"/>
                          <w:szCs w:val="28"/>
                          <w:lang w:val="en-US"/>
                        </w:rPr>
                        <w:t>Wurundjeri</w:t>
                      </w:r>
                      <w:proofErr w:type="spellEnd"/>
                      <w:r w:rsidRPr="00FE685E">
                        <w:rPr>
                          <w:rFonts w:eastAsia="Arial" w:cstheme="minorHAnsi"/>
                          <w:b/>
                          <w:bCs/>
                          <w:color w:val="2E74B5" w:themeColor="accent5" w:themeShade="BF"/>
                          <w:sz w:val="28"/>
                          <w:szCs w:val="28"/>
                          <w:lang w:val="en-US"/>
                        </w:rPr>
                        <w:t xml:space="preserve">, </w:t>
                      </w:r>
                      <w:proofErr w:type="spellStart"/>
                      <w:r w:rsidRPr="00FE685E">
                        <w:rPr>
                          <w:rFonts w:eastAsia="Arial" w:cstheme="minorHAnsi"/>
                          <w:b/>
                          <w:bCs/>
                          <w:color w:val="2E74B5" w:themeColor="accent5" w:themeShade="BF"/>
                          <w:sz w:val="28"/>
                          <w:szCs w:val="28"/>
                          <w:lang w:val="en-US"/>
                        </w:rPr>
                        <w:t>Woiwurrung</w:t>
                      </w:r>
                      <w:proofErr w:type="spellEnd"/>
                      <w:r w:rsidRPr="00FE685E">
                        <w:rPr>
                          <w:rFonts w:eastAsia="Arial" w:cstheme="minorHAnsi"/>
                          <w:b/>
                          <w:bCs/>
                          <w:color w:val="2E74B5" w:themeColor="accent5" w:themeShade="BF"/>
                          <w:sz w:val="28"/>
                          <w:szCs w:val="28"/>
                          <w:lang w:val="en-US"/>
                        </w:rPr>
                        <w:t>, and Boonwurrung peoples</w:t>
                      </w:r>
                      <w:r>
                        <w:rPr>
                          <w:rFonts w:eastAsia="Arial" w:cstheme="minorHAnsi"/>
                          <w:b/>
                          <w:bCs/>
                          <w:color w:val="2E74B5" w:themeColor="accent5" w:themeShade="BF"/>
                          <w:sz w:val="28"/>
                          <w:szCs w:val="28"/>
                          <w:lang w:val="en-US"/>
                        </w:rPr>
                        <w:t xml:space="preserve"> </w:t>
                      </w:r>
                      <w:r w:rsidRPr="00FE685E">
                        <w:rPr>
                          <w:rFonts w:eastAsia="Arial" w:cstheme="minorHAnsi"/>
                          <w:b/>
                          <w:bCs/>
                          <w:color w:val="2E74B5" w:themeColor="accent5" w:themeShade="BF"/>
                          <w:sz w:val="28"/>
                          <w:szCs w:val="28"/>
                          <w:lang w:val="en-US"/>
                        </w:rPr>
                        <w:t>of the Kulin nations, the traditional owners of the unceded lands on which this study was conducted. We pay our respects</w:t>
                      </w:r>
                    </w:p>
                    <w:p w14:paraId="24BCB8A5" w14:textId="7AA2C322" w:rsidR="00063AC8" w:rsidRPr="00FE685E" w:rsidRDefault="00063AC8" w:rsidP="00FE685E">
                      <w:pPr>
                        <w:widowControl w:val="0"/>
                        <w:autoSpaceDE w:val="0"/>
                        <w:autoSpaceDN w:val="0"/>
                        <w:spacing w:after="0" w:line="276" w:lineRule="auto"/>
                        <w:rPr>
                          <w:rFonts w:eastAsia="Arial" w:cstheme="minorHAnsi"/>
                          <w:b/>
                          <w:bCs/>
                          <w:color w:val="2E74B5" w:themeColor="accent5" w:themeShade="BF"/>
                          <w:sz w:val="28"/>
                          <w:szCs w:val="28"/>
                          <w:lang w:val="en-US"/>
                        </w:rPr>
                      </w:pPr>
                      <w:r w:rsidRPr="00FE685E">
                        <w:rPr>
                          <w:rFonts w:eastAsia="Arial" w:cstheme="minorHAnsi"/>
                          <w:b/>
                          <w:bCs/>
                          <w:color w:val="2E74B5" w:themeColor="accent5" w:themeShade="BF"/>
                          <w:sz w:val="28"/>
                          <w:szCs w:val="28"/>
                          <w:lang w:val="en-US"/>
                        </w:rPr>
                        <w:t>to their Country and to their Elders:</w:t>
                      </w:r>
                    </w:p>
                    <w:p w14:paraId="6B17E392" w14:textId="2AFE61A4" w:rsidR="00063AC8" w:rsidRPr="00FE685E" w:rsidRDefault="00063AC8" w:rsidP="00FE685E">
                      <w:pPr>
                        <w:widowControl w:val="0"/>
                        <w:autoSpaceDE w:val="0"/>
                        <w:autoSpaceDN w:val="0"/>
                        <w:spacing w:after="0" w:line="276" w:lineRule="auto"/>
                        <w:rPr>
                          <w:rFonts w:eastAsia="Arial" w:cstheme="minorHAnsi"/>
                          <w:b/>
                          <w:bCs/>
                          <w:color w:val="2E74B5" w:themeColor="accent5" w:themeShade="BF"/>
                          <w:sz w:val="28"/>
                          <w:szCs w:val="28"/>
                          <w:lang w:val="en-US"/>
                        </w:rPr>
                      </w:pPr>
                      <w:r w:rsidRPr="00FE685E">
                        <w:rPr>
                          <w:rFonts w:eastAsia="Arial" w:cstheme="minorHAnsi"/>
                          <w:b/>
                          <w:bCs/>
                          <w:color w:val="2E74B5" w:themeColor="accent5" w:themeShade="BF"/>
                          <w:sz w:val="28"/>
                          <w:szCs w:val="28"/>
                          <w:lang w:val="en-US"/>
                        </w:rPr>
                        <w:t>past, present, future</w:t>
                      </w:r>
                      <w:r>
                        <w:rPr>
                          <w:rFonts w:eastAsia="Arial" w:cstheme="minorHAnsi"/>
                          <w:b/>
                          <w:bCs/>
                          <w:color w:val="2E74B5" w:themeColor="accent5" w:themeShade="BF"/>
                          <w:sz w:val="28"/>
                          <w:szCs w:val="28"/>
                          <w:lang w:val="en-US"/>
                        </w:rPr>
                        <w:t>, and emerging</w:t>
                      </w:r>
                      <w:r w:rsidRPr="00FE685E">
                        <w:rPr>
                          <w:rFonts w:eastAsia="Arial" w:cstheme="minorHAnsi"/>
                          <w:b/>
                          <w:bCs/>
                          <w:color w:val="2E74B5" w:themeColor="accent5" w:themeShade="BF"/>
                          <w:sz w:val="28"/>
                          <w:szCs w:val="28"/>
                          <w:lang w:val="en-US"/>
                        </w:rPr>
                        <w:t>.</w:t>
                      </w:r>
                    </w:p>
                    <w:p w14:paraId="0E824450" w14:textId="77777777" w:rsidR="00063AC8" w:rsidRDefault="00063AC8" w:rsidP="00B02167"/>
                  </w:txbxContent>
                </v:textbox>
                <w10:wrap type="square"/>
              </v:shape>
            </w:pict>
          </mc:Fallback>
        </mc:AlternateContent>
      </w:r>
    </w:p>
    <w:p w14:paraId="41188FCE" w14:textId="5CD15192" w:rsidR="00B02167" w:rsidRDefault="00B02167" w:rsidP="00DE3B44">
      <w:pPr>
        <w:widowControl w:val="0"/>
        <w:autoSpaceDE w:val="0"/>
        <w:autoSpaceDN w:val="0"/>
        <w:spacing w:after="0" w:line="276" w:lineRule="auto"/>
        <w:ind w:left="1440"/>
        <w:rPr>
          <w:rFonts w:eastAsia="Arial" w:cstheme="minorHAnsi"/>
          <w:b/>
          <w:bCs/>
          <w:color w:val="2F5496" w:themeColor="accent1" w:themeShade="BF"/>
          <w:sz w:val="28"/>
          <w:szCs w:val="28"/>
          <w:lang w:val="en-US"/>
        </w:rPr>
      </w:pPr>
    </w:p>
    <w:p w14:paraId="63B2DA5B" w14:textId="1A1FD502" w:rsidR="00B02167" w:rsidRPr="002A0DB1" w:rsidRDefault="00B02167" w:rsidP="00DE3B44">
      <w:pPr>
        <w:widowControl w:val="0"/>
        <w:autoSpaceDE w:val="0"/>
        <w:autoSpaceDN w:val="0"/>
        <w:spacing w:after="0" w:line="276" w:lineRule="auto"/>
        <w:ind w:left="1440"/>
        <w:rPr>
          <w:rFonts w:eastAsia="Arial" w:cstheme="minorHAnsi"/>
          <w:b/>
          <w:bCs/>
          <w:color w:val="2F5496" w:themeColor="accent1" w:themeShade="BF"/>
          <w:sz w:val="28"/>
          <w:szCs w:val="28"/>
          <w:u w:val="single"/>
          <w:lang w:val="en-US"/>
        </w:rPr>
      </w:pPr>
    </w:p>
    <w:p w14:paraId="2E400088" w14:textId="599534D5" w:rsidR="00B02167" w:rsidRPr="002A0DB1" w:rsidRDefault="00B02167" w:rsidP="00DE3B44">
      <w:pPr>
        <w:widowControl w:val="0"/>
        <w:autoSpaceDE w:val="0"/>
        <w:autoSpaceDN w:val="0"/>
        <w:spacing w:after="0" w:line="276" w:lineRule="auto"/>
        <w:ind w:left="1440"/>
        <w:rPr>
          <w:rFonts w:eastAsia="Arial" w:cstheme="minorHAnsi"/>
          <w:b/>
          <w:bCs/>
          <w:color w:val="2F5496" w:themeColor="accent1" w:themeShade="BF"/>
          <w:sz w:val="28"/>
          <w:szCs w:val="28"/>
          <w:u w:val="single"/>
          <w:lang w:val="en-US"/>
        </w:rPr>
      </w:pPr>
    </w:p>
    <w:p w14:paraId="7050E96D" w14:textId="77777777" w:rsidR="00B02167" w:rsidRPr="002A0DB1" w:rsidRDefault="00B02167" w:rsidP="00DE3B44">
      <w:pPr>
        <w:widowControl w:val="0"/>
        <w:autoSpaceDE w:val="0"/>
        <w:autoSpaceDN w:val="0"/>
        <w:spacing w:after="0" w:line="276" w:lineRule="auto"/>
        <w:ind w:left="1440"/>
        <w:rPr>
          <w:rFonts w:eastAsia="Arial" w:cstheme="minorHAnsi"/>
          <w:b/>
          <w:bCs/>
          <w:color w:val="2F5496" w:themeColor="accent1" w:themeShade="BF"/>
          <w:sz w:val="28"/>
          <w:szCs w:val="28"/>
          <w:u w:val="single"/>
          <w:lang w:val="en-US"/>
        </w:rPr>
      </w:pPr>
    </w:p>
    <w:p w14:paraId="373331B5" w14:textId="77777777" w:rsidR="00D041F9" w:rsidRPr="002A0DB1" w:rsidRDefault="00D041F9" w:rsidP="00DE3B44">
      <w:pPr>
        <w:spacing w:after="0" w:line="276" w:lineRule="auto"/>
        <w:rPr>
          <w:rFonts w:cs="Arial"/>
          <w:b/>
          <w:bCs/>
          <w:sz w:val="36"/>
          <w:szCs w:val="36"/>
          <w:u w:val="single"/>
        </w:rPr>
      </w:pPr>
    </w:p>
    <w:p w14:paraId="158B0E99" w14:textId="77777777" w:rsidR="00D041F9" w:rsidRPr="002A0DB1" w:rsidRDefault="00D041F9">
      <w:pPr>
        <w:spacing w:after="0" w:line="240" w:lineRule="auto"/>
        <w:rPr>
          <w:rFonts w:cs="Arial"/>
          <w:b/>
          <w:bCs/>
          <w:sz w:val="36"/>
          <w:szCs w:val="36"/>
          <w:u w:val="single"/>
        </w:rPr>
      </w:pPr>
    </w:p>
    <w:p w14:paraId="1B36467A" w14:textId="7944C1AC" w:rsidR="00D041F9" w:rsidRPr="002A0DB1" w:rsidRDefault="00326A08">
      <w:pPr>
        <w:spacing w:after="0" w:line="240" w:lineRule="auto"/>
        <w:rPr>
          <w:rFonts w:cs="Arial"/>
          <w:b/>
          <w:bCs/>
          <w:color w:val="2F5496" w:themeColor="accent1" w:themeShade="BF"/>
          <w:sz w:val="36"/>
          <w:szCs w:val="36"/>
          <w:u w:val="single"/>
        </w:rPr>
      </w:pPr>
      <w:r w:rsidRPr="002A0DB1">
        <w:rPr>
          <w:rFonts w:cs="Arial"/>
          <w:b/>
          <w:bCs/>
          <w:noProof/>
          <w:color w:val="2F5496" w:themeColor="accent1" w:themeShade="BF"/>
          <w:sz w:val="36"/>
          <w:szCs w:val="36"/>
          <w:u w:val="single"/>
          <w:lang w:eastAsia="zh-CN"/>
        </w:rPr>
        <mc:AlternateContent>
          <mc:Choice Requires="wps">
            <w:drawing>
              <wp:anchor distT="0" distB="0" distL="114300" distR="114300" simplePos="0" relativeHeight="251658260" behindDoc="0" locked="0" layoutInCell="1" allowOverlap="1" wp14:anchorId="5DC6E5EF" wp14:editId="02FA870B">
                <wp:simplePos x="0" y="0"/>
                <wp:positionH relativeFrom="column">
                  <wp:posOffset>2165001</wp:posOffset>
                </wp:positionH>
                <wp:positionV relativeFrom="paragraph">
                  <wp:posOffset>855783</wp:posOffset>
                </wp:positionV>
                <wp:extent cx="3492062"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3492062"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F0A84" id="Straight Connector 6" o:spid="_x0000_s1026" style="position:absolute;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45pt,67.4pt" to="445.4pt,6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" strokecolor="#2e74b5 [2408]" strokeweight="1.5pt">
                <v:stroke joinstyle="miter"/>
              </v:line>
            </w:pict>
          </mc:Fallback>
        </mc:AlternateContent>
      </w:r>
      <w:r w:rsidR="00D041F9" w:rsidRPr="002A0DB1">
        <w:rPr>
          <w:rFonts w:cs="Arial"/>
          <w:b/>
          <w:bCs/>
          <w:color w:val="2F5496" w:themeColor="accent1" w:themeShade="BF"/>
          <w:sz w:val="36"/>
          <w:szCs w:val="36"/>
          <w:u w:val="single"/>
        </w:rPr>
        <w:br w:type="page"/>
      </w:r>
    </w:p>
    <w:p w14:paraId="19875DBE" w14:textId="695C7661" w:rsidR="00F00E3D" w:rsidRPr="00B203C1" w:rsidRDefault="001069D3" w:rsidP="009223E4">
      <w:pPr>
        <w:pBdr>
          <w:bottom w:val="single" w:sz="4" w:space="1" w:color="auto"/>
        </w:pBdr>
        <w:spacing w:before="240" w:after="0" w:line="276" w:lineRule="auto"/>
        <w:rPr>
          <w:rFonts w:cs="Arial"/>
          <w:b/>
          <w:bCs/>
          <w:color w:val="2E74B5" w:themeColor="accent5" w:themeShade="BF"/>
          <w:sz w:val="20"/>
          <w:szCs w:val="20"/>
        </w:rPr>
      </w:pPr>
      <w:r w:rsidRPr="00B203C1">
        <w:rPr>
          <w:rFonts w:cs="Arial"/>
          <w:b/>
          <w:bCs/>
          <w:color w:val="2E74B5" w:themeColor="accent5" w:themeShade="BF"/>
          <w:sz w:val="36"/>
          <w:szCs w:val="36"/>
        </w:rPr>
        <w:lastRenderedPageBreak/>
        <w:t>CONTENTS</w:t>
      </w:r>
    </w:p>
    <w:p w14:paraId="7923FA4B" w14:textId="77777777" w:rsidR="00F00E3D" w:rsidRPr="00B06EAA" w:rsidRDefault="00F00E3D" w:rsidP="009223E4">
      <w:pPr>
        <w:widowControl w:val="0"/>
        <w:tabs>
          <w:tab w:val="right" w:leader="dot" w:pos="9912"/>
        </w:tabs>
        <w:suppressAutoHyphens/>
        <w:spacing w:after="0" w:line="276" w:lineRule="auto"/>
        <w:contextualSpacing/>
        <w:rPr>
          <w:rFonts w:asciiTheme="majorHAnsi" w:hAnsiTheme="majorHAnsi" w:cstheme="majorHAnsi"/>
          <w:b/>
          <w:bCs/>
          <w:caps/>
          <w:noProof/>
          <w:sz w:val="16"/>
          <w:szCs w:val="16"/>
          <w:u w:val="single"/>
        </w:rPr>
      </w:pPr>
    </w:p>
    <w:p w14:paraId="7445F8E4" w14:textId="61DE73A6" w:rsidR="00F00E3D" w:rsidRPr="000B3F6E" w:rsidRDefault="00F00E3D" w:rsidP="009223E4">
      <w:pPr>
        <w:widowControl w:val="0"/>
        <w:tabs>
          <w:tab w:val="right" w:leader="dot" w:pos="9912"/>
        </w:tabs>
        <w:suppressAutoHyphens/>
        <w:spacing w:after="0" w:line="276" w:lineRule="auto"/>
        <w:contextualSpacing/>
        <w:rPr>
          <w:b/>
          <w:bCs/>
          <w:caps/>
          <w:sz w:val="24"/>
          <w:szCs w:val="24"/>
        </w:rPr>
      </w:pPr>
      <w:r w:rsidRPr="00B203C1">
        <w:rPr>
          <w:b/>
          <w:bCs/>
          <w:caps/>
          <w:color w:val="2E74B5" w:themeColor="accent5" w:themeShade="BF"/>
          <w:sz w:val="24"/>
          <w:szCs w:val="24"/>
          <w:u w:val="single"/>
        </w:rPr>
        <w:t>Executive summary</w:t>
      </w:r>
      <w:r w:rsidRPr="00952D24">
        <w:rPr>
          <w:rFonts w:cstheme="minorHAnsi"/>
          <w:b/>
          <w:bCs/>
          <w:caps/>
          <w:noProof/>
          <w:color w:val="7F7F7F" w:themeColor="text1" w:themeTint="80"/>
          <w:sz w:val="20"/>
          <w:szCs w:val="20"/>
        </w:rPr>
        <w:tab/>
      </w:r>
      <w:r w:rsidR="00D64E8B">
        <w:rPr>
          <w:rFonts w:cstheme="minorHAnsi"/>
          <w:b/>
          <w:bCs/>
          <w:noProof/>
          <w:sz w:val="20"/>
          <w:szCs w:val="20"/>
        </w:rPr>
        <w:t>ii</w:t>
      </w:r>
    </w:p>
    <w:p w14:paraId="3B6A4787" w14:textId="77777777" w:rsidR="00F00E3D" w:rsidRPr="00B02BEE" w:rsidRDefault="00F00E3D" w:rsidP="009223E4">
      <w:pPr>
        <w:widowControl w:val="0"/>
        <w:tabs>
          <w:tab w:val="right" w:leader="dot" w:pos="9912"/>
        </w:tabs>
        <w:suppressAutoHyphens/>
        <w:spacing w:after="0" w:line="276" w:lineRule="auto"/>
        <w:contextualSpacing/>
        <w:rPr>
          <w:b/>
          <w:bCs/>
          <w:caps/>
          <w:color w:val="2E74B5" w:themeColor="accent5" w:themeShade="BF"/>
          <w:sz w:val="12"/>
          <w:szCs w:val="12"/>
          <w:u w:val="single"/>
        </w:rPr>
      </w:pPr>
    </w:p>
    <w:p w14:paraId="7746D3E4" w14:textId="700EA486" w:rsidR="00F00E3D" w:rsidRPr="000B3F6E" w:rsidRDefault="00CE5F2A" w:rsidP="009223E4">
      <w:pPr>
        <w:widowControl w:val="0"/>
        <w:tabs>
          <w:tab w:val="right" w:leader="dot" w:pos="9912"/>
        </w:tabs>
        <w:suppressAutoHyphens/>
        <w:spacing w:after="0" w:line="276" w:lineRule="auto"/>
        <w:contextualSpacing/>
        <w:rPr>
          <w:b/>
          <w:bCs/>
          <w:caps/>
          <w:sz w:val="24"/>
          <w:szCs w:val="24"/>
        </w:rPr>
      </w:pPr>
      <w:r w:rsidRPr="00B203C1">
        <w:rPr>
          <w:b/>
          <w:bCs/>
          <w:caps/>
          <w:color w:val="2E74B5" w:themeColor="accent5" w:themeShade="BF"/>
          <w:sz w:val="24"/>
          <w:szCs w:val="24"/>
          <w:u w:val="single"/>
        </w:rPr>
        <w:t>RECOMMENDATIONS</w:t>
      </w:r>
      <w:r w:rsidR="003620CD" w:rsidRPr="00952D24">
        <w:rPr>
          <w:rFonts w:cstheme="minorHAnsi"/>
          <w:b/>
          <w:bCs/>
          <w:noProof/>
          <w:color w:val="7F7F7F" w:themeColor="text1" w:themeTint="80"/>
          <w:sz w:val="20"/>
          <w:szCs w:val="20"/>
        </w:rPr>
        <w:tab/>
      </w:r>
      <w:bookmarkStart w:id="0" w:name="_Hlk45198761"/>
      <w:r w:rsidR="003620CD" w:rsidRPr="003620CD">
        <w:rPr>
          <w:rFonts w:cstheme="minorHAnsi"/>
          <w:b/>
          <w:bCs/>
          <w:noProof/>
          <w:sz w:val="20"/>
          <w:szCs w:val="20"/>
        </w:rPr>
        <w:t>xi</w:t>
      </w:r>
    </w:p>
    <w:p w14:paraId="733BC776" w14:textId="77777777" w:rsidR="00F00E3D" w:rsidRPr="00B02BEE" w:rsidRDefault="00F00E3D" w:rsidP="009223E4">
      <w:pPr>
        <w:widowControl w:val="0"/>
        <w:tabs>
          <w:tab w:val="right" w:leader="dot" w:pos="9912"/>
        </w:tabs>
        <w:suppressAutoHyphens/>
        <w:spacing w:after="0" w:line="276" w:lineRule="auto"/>
        <w:contextualSpacing/>
        <w:rPr>
          <w:rFonts w:cstheme="minorHAnsi"/>
          <w:b/>
          <w:bCs/>
          <w:caps/>
          <w:noProof/>
          <w:sz w:val="12"/>
          <w:szCs w:val="12"/>
        </w:rPr>
      </w:pPr>
    </w:p>
    <w:p w14:paraId="576000F6" w14:textId="76EDDA7B" w:rsidR="00F00E3D" w:rsidRPr="000B3F6E" w:rsidRDefault="004500FA" w:rsidP="009223E4">
      <w:pPr>
        <w:widowControl w:val="0"/>
        <w:tabs>
          <w:tab w:val="right" w:leader="dot" w:pos="9912"/>
        </w:tabs>
        <w:suppressAutoHyphens/>
        <w:spacing w:after="0" w:line="276" w:lineRule="auto"/>
        <w:contextualSpacing/>
        <w:rPr>
          <w:b/>
          <w:bCs/>
          <w:caps/>
          <w:noProof/>
          <w:sz w:val="24"/>
          <w:szCs w:val="24"/>
        </w:rPr>
      </w:pPr>
      <w:r w:rsidRPr="00B203C1">
        <w:rPr>
          <w:b/>
          <w:bCs/>
          <w:caps/>
          <w:noProof/>
          <w:color w:val="2E74B5" w:themeColor="accent5" w:themeShade="BF"/>
          <w:sz w:val="24"/>
          <w:szCs w:val="24"/>
          <w:u w:val="single"/>
        </w:rPr>
        <w:t>NEXT STEPS</w:t>
      </w:r>
      <w:r w:rsidR="00F17758" w:rsidRPr="00952D24">
        <w:rPr>
          <w:rFonts w:cstheme="minorHAnsi"/>
          <w:b/>
          <w:bCs/>
          <w:noProof/>
          <w:color w:val="7F7F7F" w:themeColor="text1" w:themeTint="80"/>
          <w:sz w:val="20"/>
          <w:szCs w:val="20"/>
        </w:rPr>
        <w:tab/>
      </w:r>
      <w:bookmarkEnd w:id="0"/>
      <w:r w:rsidR="00F17758" w:rsidRPr="00F17758">
        <w:rPr>
          <w:rFonts w:cstheme="minorHAnsi"/>
          <w:b/>
          <w:bCs/>
          <w:noProof/>
          <w:sz w:val="20"/>
          <w:szCs w:val="20"/>
        </w:rPr>
        <w:t>xviii</w:t>
      </w:r>
    </w:p>
    <w:p w14:paraId="5A8E1CD1" w14:textId="77777777" w:rsidR="00F00E3D" w:rsidRPr="00C57827" w:rsidRDefault="00F00E3D" w:rsidP="009223E4">
      <w:pPr>
        <w:tabs>
          <w:tab w:val="right" w:leader="dot" w:pos="9912"/>
        </w:tabs>
        <w:spacing w:after="0" w:line="276" w:lineRule="auto"/>
        <w:rPr>
          <w:b/>
          <w:bCs/>
          <w:caps/>
          <w:noProof/>
          <w:color w:val="2E74B5" w:themeColor="accent5" w:themeShade="BF"/>
          <w:sz w:val="12"/>
          <w:szCs w:val="12"/>
          <w:u w:val="single"/>
        </w:rPr>
      </w:pPr>
    </w:p>
    <w:p w14:paraId="18F46A80" w14:textId="0A41A9CB" w:rsidR="00F00E3D" w:rsidRPr="00B203C1" w:rsidRDefault="00F00E3D" w:rsidP="009223E4">
      <w:pPr>
        <w:tabs>
          <w:tab w:val="right" w:leader="dot" w:pos="9912"/>
        </w:tabs>
        <w:spacing w:after="0" w:line="276" w:lineRule="auto"/>
        <w:rPr>
          <w:b/>
          <w:bCs/>
          <w:caps/>
          <w:noProof/>
          <w:color w:val="2E74B5" w:themeColor="accent5" w:themeShade="BF"/>
          <w:sz w:val="24"/>
          <w:szCs w:val="24"/>
          <w:u w:val="single"/>
        </w:rPr>
      </w:pPr>
      <w:r w:rsidRPr="00B203C1">
        <w:rPr>
          <w:b/>
          <w:bCs/>
          <w:caps/>
          <w:noProof/>
          <w:color w:val="2E74B5" w:themeColor="accent5" w:themeShade="BF"/>
          <w:sz w:val="24"/>
          <w:szCs w:val="24"/>
          <w:u w:val="single"/>
        </w:rPr>
        <w:t>Part A: Environmental scan</w:t>
      </w:r>
      <w:r w:rsidR="004A0AA8" w:rsidRPr="00952D24">
        <w:rPr>
          <w:rFonts w:cstheme="minorHAnsi"/>
          <w:b/>
          <w:bCs/>
          <w:caps/>
          <w:noProof/>
          <w:color w:val="7F7F7F" w:themeColor="text1" w:themeTint="80"/>
          <w:sz w:val="20"/>
          <w:szCs w:val="20"/>
        </w:rPr>
        <w:tab/>
      </w:r>
      <w:r w:rsidR="00F17758" w:rsidRPr="00F17758">
        <w:rPr>
          <w:rFonts w:cstheme="minorHAnsi"/>
          <w:b/>
          <w:bCs/>
          <w:caps/>
          <w:noProof/>
          <w:sz w:val="20"/>
          <w:szCs w:val="20"/>
        </w:rPr>
        <w:t>1</w:t>
      </w:r>
    </w:p>
    <w:p w14:paraId="54D206C5" w14:textId="77777777" w:rsidR="00B02BEE" w:rsidRPr="00B02BEE" w:rsidRDefault="00B02BEE" w:rsidP="009223E4">
      <w:pPr>
        <w:tabs>
          <w:tab w:val="right" w:leader="dot" w:pos="9912"/>
        </w:tabs>
        <w:spacing w:after="0" w:line="276" w:lineRule="auto"/>
        <w:rPr>
          <w:b/>
          <w:bCs/>
          <w:caps/>
          <w:noProof/>
          <w:color w:val="2E74B5" w:themeColor="accent5" w:themeShade="BF"/>
          <w:sz w:val="12"/>
          <w:szCs w:val="12"/>
          <w:u w:val="single"/>
        </w:rPr>
      </w:pPr>
    </w:p>
    <w:p w14:paraId="73A66B8A" w14:textId="7C283A98" w:rsidR="00F00E3D" w:rsidRDefault="00F00E3D" w:rsidP="009223E4">
      <w:pPr>
        <w:tabs>
          <w:tab w:val="right" w:leader="dot" w:pos="9912"/>
        </w:tabs>
        <w:spacing w:after="0" w:line="276" w:lineRule="auto"/>
        <w:rPr>
          <w:b/>
          <w:bCs/>
          <w:caps/>
          <w:noProof/>
          <w:color w:val="2E74B5" w:themeColor="accent5" w:themeShade="BF"/>
          <w:sz w:val="24"/>
          <w:szCs w:val="24"/>
          <w:u w:val="single"/>
          <w:lang w:val="en-US"/>
        </w:rPr>
      </w:pPr>
      <w:r w:rsidRPr="00B203C1">
        <w:rPr>
          <w:b/>
          <w:bCs/>
          <w:caps/>
          <w:noProof/>
          <w:color w:val="2E74B5" w:themeColor="accent5" w:themeShade="BF"/>
          <w:sz w:val="24"/>
          <w:szCs w:val="24"/>
        </w:rPr>
        <w:t xml:space="preserve">SECTION 1: </w:t>
      </w:r>
      <w:r w:rsidRPr="00B203C1">
        <w:rPr>
          <w:b/>
          <w:bCs/>
          <w:noProof/>
          <w:color w:val="2E74B5" w:themeColor="accent5" w:themeShade="BF"/>
          <w:sz w:val="24"/>
          <w:szCs w:val="24"/>
          <w:lang w:val="en-US"/>
        </w:rPr>
        <w:t>Conceptual Frameworks</w:t>
      </w:r>
      <w:r w:rsidRPr="00B203C1">
        <w:rPr>
          <w:rFonts w:cstheme="minorHAnsi"/>
          <w:b/>
          <w:bCs/>
          <w:noProof/>
          <w:color w:val="2E74B5" w:themeColor="accent5" w:themeShade="BF"/>
        </w:rPr>
        <w:t xml:space="preserve"> </w:t>
      </w:r>
      <w:r w:rsidRPr="00780569">
        <w:rPr>
          <w:rFonts w:cstheme="minorHAnsi"/>
          <w:b/>
          <w:bCs/>
          <w:noProof/>
          <w:color w:val="7F7F7F" w:themeColor="text1" w:themeTint="80"/>
        </w:rPr>
        <w:tab/>
      </w:r>
      <w:r w:rsidR="004218E0">
        <w:rPr>
          <w:rFonts w:cstheme="minorHAnsi"/>
          <w:b/>
          <w:bCs/>
          <w:noProof/>
        </w:rPr>
        <w:t>3</w:t>
      </w:r>
    </w:p>
    <w:p w14:paraId="5278926E" w14:textId="28C1987E" w:rsidR="00F00E3D" w:rsidRDefault="00F00E3D" w:rsidP="009223E4">
      <w:pPr>
        <w:tabs>
          <w:tab w:val="right" w:leader="dot" w:pos="9912"/>
        </w:tabs>
        <w:spacing w:after="0" w:line="276" w:lineRule="auto"/>
        <w:rPr>
          <w:b/>
          <w:bCs/>
          <w:noProof/>
          <w:lang w:val="en-GB"/>
        </w:rPr>
      </w:pPr>
      <w:r w:rsidRPr="71C466D6">
        <w:rPr>
          <w:b/>
          <w:bCs/>
          <w:noProof/>
        </w:rPr>
        <w:t xml:space="preserve">1.1 </w:t>
      </w:r>
      <w:r>
        <w:rPr>
          <w:b/>
          <w:bCs/>
          <w:noProof/>
        </w:rPr>
        <w:t xml:space="preserve">    </w:t>
      </w:r>
      <w:r w:rsidRPr="71C466D6">
        <w:rPr>
          <w:b/>
          <w:bCs/>
          <w:noProof/>
          <w:lang w:val="en-GB"/>
        </w:rPr>
        <w:t>Conceptualising Social and Spatial Disadvantage</w:t>
      </w:r>
      <w:r w:rsidRPr="00771C76">
        <w:rPr>
          <w:rFonts w:cstheme="minorHAnsi"/>
          <w:b/>
          <w:bCs/>
          <w:noProof/>
          <w:color w:val="7F7F7F" w:themeColor="text1" w:themeTint="80"/>
        </w:rPr>
        <w:t xml:space="preserve"> </w:t>
      </w:r>
      <w:r w:rsidRPr="00780569">
        <w:rPr>
          <w:rFonts w:cstheme="minorHAnsi"/>
          <w:b/>
          <w:bCs/>
          <w:noProof/>
          <w:color w:val="7F7F7F" w:themeColor="text1" w:themeTint="80"/>
        </w:rPr>
        <w:tab/>
      </w:r>
      <w:r w:rsidR="004218E0" w:rsidRPr="004218E0">
        <w:rPr>
          <w:rFonts w:cstheme="minorHAnsi"/>
          <w:b/>
          <w:bCs/>
          <w:noProof/>
        </w:rPr>
        <w:t>3</w:t>
      </w:r>
    </w:p>
    <w:p w14:paraId="76966531" w14:textId="518EFB9E" w:rsidR="00F00E3D" w:rsidRDefault="00F00E3D" w:rsidP="009223E4">
      <w:pPr>
        <w:tabs>
          <w:tab w:val="right" w:leader="dot" w:pos="9912"/>
        </w:tabs>
        <w:spacing w:after="0" w:line="276" w:lineRule="auto"/>
        <w:rPr>
          <w:b/>
          <w:bCs/>
          <w:noProof/>
        </w:rPr>
      </w:pPr>
      <w:r w:rsidRPr="71C466D6">
        <w:rPr>
          <w:b/>
          <w:bCs/>
          <w:noProof/>
        </w:rPr>
        <w:t xml:space="preserve">1.2  </w:t>
      </w:r>
      <w:r>
        <w:rPr>
          <w:b/>
          <w:bCs/>
          <w:noProof/>
        </w:rPr>
        <w:t xml:space="preserve">   </w:t>
      </w:r>
      <w:r w:rsidRPr="71C466D6">
        <w:rPr>
          <w:b/>
          <w:bCs/>
          <w:noProof/>
        </w:rPr>
        <w:t>Explaining and Alleviating Social and Spatial Disadvantage</w:t>
      </w:r>
      <w:r w:rsidRPr="00771C76">
        <w:rPr>
          <w:rFonts w:cstheme="minorHAnsi"/>
          <w:b/>
          <w:bCs/>
          <w:noProof/>
          <w:color w:val="7F7F7F" w:themeColor="text1" w:themeTint="80"/>
        </w:rPr>
        <w:t xml:space="preserve"> </w:t>
      </w:r>
      <w:r w:rsidRPr="00780569">
        <w:rPr>
          <w:rFonts w:cstheme="minorHAnsi"/>
          <w:b/>
          <w:bCs/>
          <w:noProof/>
          <w:color w:val="7F7F7F" w:themeColor="text1" w:themeTint="80"/>
        </w:rPr>
        <w:tab/>
      </w:r>
      <w:r w:rsidR="002B7CED" w:rsidRPr="002B7CED">
        <w:rPr>
          <w:rFonts w:cstheme="minorHAnsi"/>
          <w:b/>
          <w:bCs/>
          <w:noProof/>
        </w:rPr>
        <w:t>3</w:t>
      </w:r>
    </w:p>
    <w:p w14:paraId="02B503D6" w14:textId="7557AE4B" w:rsidR="00F00E3D" w:rsidRDefault="00F00E3D" w:rsidP="009223E4">
      <w:pPr>
        <w:tabs>
          <w:tab w:val="right" w:leader="dot" w:pos="9912"/>
        </w:tabs>
        <w:spacing w:after="0" w:line="276" w:lineRule="auto"/>
        <w:rPr>
          <w:b/>
          <w:bCs/>
          <w:noProof/>
        </w:rPr>
      </w:pPr>
      <w:r w:rsidRPr="71C466D6">
        <w:rPr>
          <w:b/>
          <w:bCs/>
          <w:noProof/>
        </w:rPr>
        <w:t>1.2.1  Political Economy Approach</w:t>
      </w:r>
      <w:r w:rsidRPr="00771C76">
        <w:rPr>
          <w:rFonts w:cstheme="minorHAnsi"/>
          <w:b/>
          <w:bCs/>
          <w:noProof/>
          <w:color w:val="7F7F7F" w:themeColor="text1" w:themeTint="80"/>
        </w:rPr>
        <w:t xml:space="preserve"> </w:t>
      </w:r>
      <w:r w:rsidRPr="00780569">
        <w:rPr>
          <w:rFonts w:cstheme="minorHAnsi"/>
          <w:b/>
          <w:bCs/>
          <w:noProof/>
          <w:color w:val="7F7F7F" w:themeColor="text1" w:themeTint="80"/>
        </w:rPr>
        <w:tab/>
      </w:r>
      <w:r w:rsidR="002B7CED" w:rsidRPr="002B7CED">
        <w:rPr>
          <w:rFonts w:cstheme="minorHAnsi"/>
          <w:b/>
          <w:bCs/>
          <w:noProof/>
        </w:rPr>
        <w:t>3</w:t>
      </w:r>
    </w:p>
    <w:p w14:paraId="7560E61B" w14:textId="3FC6618A" w:rsidR="00F00E3D" w:rsidRDefault="00F00E3D" w:rsidP="009223E4">
      <w:pPr>
        <w:tabs>
          <w:tab w:val="right" w:leader="dot" w:pos="9912"/>
        </w:tabs>
        <w:spacing w:after="0" w:line="276" w:lineRule="auto"/>
        <w:rPr>
          <w:b/>
          <w:bCs/>
          <w:noProof/>
        </w:rPr>
      </w:pPr>
      <w:r w:rsidRPr="71C466D6">
        <w:rPr>
          <w:b/>
          <w:bCs/>
          <w:noProof/>
        </w:rPr>
        <w:t>1.2.2  Community Economy Approach</w:t>
      </w:r>
      <w:r w:rsidRPr="00771C76">
        <w:rPr>
          <w:rFonts w:cstheme="minorHAnsi"/>
          <w:b/>
          <w:bCs/>
          <w:noProof/>
          <w:color w:val="7F7F7F" w:themeColor="text1" w:themeTint="80"/>
        </w:rPr>
        <w:t xml:space="preserve"> </w:t>
      </w:r>
      <w:r w:rsidRPr="00780569">
        <w:rPr>
          <w:rFonts w:cstheme="minorHAnsi"/>
          <w:b/>
          <w:bCs/>
          <w:noProof/>
          <w:color w:val="7F7F7F" w:themeColor="text1" w:themeTint="80"/>
        </w:rPr>
        <w:tab/>
      </w:r>
      <w:r w:rsidR="002B7CED" w:rsidRPr="002B7CED">
        <w:rPr>
          <w:rFonts w:cstheme="minorHAnsi"/>
          <w:b/>
          <w:bCs/>
          <w:noProof/>
        </w:rPr>
        <w:t>4</w:t>
      </w:r>
    </w:p>
    <w:p w14:paraId="216890F3" w14:textId="3898D35C" w:rsidR="00F00E3D" w:rsidRDefault="00F00E3D" w:rsidP="009223E4">
      <w:pPr>
        <w:tabs>
          <w:tab w:val="right" w:leader="dot" w:pos="9912"/>
        </w:tabs>
        <w:spacing w:after="0" w:line="276" w:lineRule="auto"/>
        <w:rPr>
          <w:b/>
          <w:bCs/>
          <w:noProof/>
        </w:rPr>
      </w:pPr>
      <w:r w:rsidRPr="71C466D6">
        <w:rPr>
          <w:b/>
          <w:bCs/>
          <w:noProof/>
        </w:rPr>
        <w:t>1.2.3  Bridges Out of Poverty Approach</w:t>
      </w:r>
      <w:r w:rsidRPr="00771C76">
        <w:rPr>
          <w:rFonts w:cstheme="minorHAnsi"/>
          <w:b/>
          <w:bCs/>
          <w:noProof/>
          <w:color w:val="7F7F7F" w:themeColor="text1" w:themeTint="80"/>
        </w:rPr>
        <w:t xml:space="preserve"> </w:t>
      </w:r>
      <w:r w:rsidRPr="00780569">
        <w:rPr>
          <w:rFonts w:cstheme="minorHAnsi"/>
          <w:b/>
          <w:bCs/>
          <w:noProof/>
          <w:color w:val="7F7F7F" w:themeColor="text1" w:themeTint="80"/>
        </w:rPr>
        <w:tab/>
      </w:r>
      <w:r w:rsidR="002B7CED" w:rsidRPr="002B7CED">
        <w:rPr>
          <w:rFonts w:cstheme="minorHAnsi"/>
          <w:b/>
          <w:bCs/>
          <w:noProof/>
        </w:rPr>
        <w:t>6</w:t>
      </w:r>
    </w:p>
    <w:p w14:paraId="438D7D7D" w14:textId="59F13D4C" w:rsidR="00F00E3D" w:rsidRPr="0081627C" w:rsidRDefault="00F00E3D" w:rsidP="009223E4">
      <w:pPr>
        <w:tabs>
          <w:tab w:val="right" w:leader="dot" w:pos="9912"/>
        </w:tabs>
        <w:spacing w:after="0" w:line="276" w:lineRule="auto"/>
        <w:rPr>
          <w:b/>
          <w:bCs/>
          <w:noProof/>
        </w:rPr>
      </w:pPr>
      <w:r w:rsidRPr="71C466D6">
        <w:rPr>
          <w:b/>
          <w:bCs/>
          <w:noProof/>
        </w:rPr>
        <w:t>1.2.4  Social Inclusion Theories and Actions</w:t>
      </w:r>
      <w:r w:rsidRPr="00771C76">
        <w:rPr>
          <w:rFonts w:cstheme="minorHAnsi"/>
          <w:b/>
          <w:bCs/>
          <w:noProof/>
          <w:color w:val="7F7F7F" w:themeColor="text1" w:themeTint="80"/>
        </w:rPr>
        <w:t xml:space="preserve"> </w:t>
      </w:r>
      <w:r w:rsidRPr="00780569">
        <w:rPr>
          <w:rFonts w:cstheme="minorHAnsi"/>
          <w:b/>
          <w:bCs/>
          <w:noProof/>
          <w:color w:val="7F7F7F" w:themeColor="text1" w:themeTint="80"/>
        </w:rPr>
        <w:tab/>
      </w:r>
      <w:r w:rsidR="002B7CED" w:rsidRPr="002B7CED">
        <w:rPr>
          <w:rFonts w:cstheme="minorHAnsi"/>
          <w:b/>
          <w:bCs/>
          <w:noProof/>
        </w:rPr>
        <w:t>7</w:t>
      </w:r>
    </w:p>
    <w:p w14:paraId="2613FBA1" w14:textId="16D00809" w:rsidR="00F00E3D" w:rsidRDefault="00F00E3D" w:rsidP="009223E4">
      <w:pPr>
        <w:tabs>
          <w:tab w:val="right" w:leader="dot" w:pos="9912"/>
        </w:tabs>
        <w:spacing w:after="0" w:line="276" w:lineRule="auto"/>
        <w:rPr>
          <w:b/>
          <w:bCs/>
          <w:noProof/>
        </w:rPr>
      </w:pPr>
      <w:r w:rsidRPr="71C466D6">
        <w:rPr>
          <w:b/>
          <w:bCs/>
          <w:noProof/>
        </w:rPr>
        <w:t>1.2.5  Social Polarisation and Spatial Disadvantage</w:t>
      </w:r>
      <w:r w:rsidRPr="00771C76">
        <w:rPr>
          <w:rFonts w:cstheme="minorHAnsi"/>
          <w:b/>
          <w:bCs/>
          <w:noProof/>
          <w:color w:val="7F7F7F" w:themeColor="text1" w:themeTint="80"/>
        </w:rPr>
        <w:t xml:space="preserve"> </w:t>
      </w:r>
      <w:r w:rsidRPr="00780569">
        <w:rPr>
          <w:rFonts w:cstheme="minorHAnsi"/>
          <w:b/>
          <w:bCs/>
          <w:noProof/>
          <w:color w:val="7F7F7F" w:themeColor="text1" w:themeTint="80"/>
        </w:rPr>
        <w:tab/>
      </w:r>
      <w:r w:rsidR="00152D83" w:rsidRPr="002B7CED">
        <w:rPr>
          <w:rFonts w:cstheme="minorHAnsi"/>
          <w:b/>
          <w:bCs/>
          <w:noProof/>
        </w:rPr>
        <w:t>7</w:t>
      </w:r>
    </w:p>
    <w:p w14:paraId="67A91372" w14:textId="45D103F5" w:rsidR="00F00E3D" w:rsidRPr="00C70B2E" w:rsidRDefault="00F00E3D" w:rsidP="009223E4">
      <w:pPr>
        <w:tabs>
          <w:tab w:val="right" w:leader="dot" w:pos="9912"/>
        </w:tabs>
        <w:spacing w:after="0" w:line="276" w:lineRule="auto"/>
        <w:rPr>
          <w:b/>
          <w:bCs/>
          <w:noProof/>
        </w:rPr>
      </w:pPr>
      <w:r w:rsidRPr="71C466D6">
        <w:rPr>
          <w:b/>
          <w:bCs/>
          <w:noProof/>
        </w:rPr>
        <w:t xml:space="preserve">1.3  </w:t>
      </w:r>
      <w:r>
        <w:rPr>
          <w:b/>
          <w:bCs/>
          <w:noProof/>
        </w:rPr>
        <w:t xml:space="preserve">   </w:t>
      </w:r>
      <w:r w:rsidRPr="71C466D6">
        <w:rPr>
          <w:b/>
          <w:bCs/>
          <w:noProof/>
        </w:rPr>
        <w:t>Conclusion</w:t>
      </w:r>
      <w:r w:rsidRPr="00771C76">
        <w:rPr>
          <w:rFonts w:cstheme="minorHAnsi"/>
          <w:b/>
          <w:bCs/>
          <w:noProof/>
          <w:color w:val="7F7F7F" w:themeColor="text1" w:themeTint="80"/>
        </w:rPr>
        <w:t xml:space="preserve"> </w:t>
      </w:r>
      <w:r w:rsidRPr="00780569">
        <w:rPr>
          <w:rFonts w:cstheme="minorHAnsi"/>
          <w:b/>
          <w:bCs/>
          <w:noProof/>
          <w:color w:val="7F7F7F" w:themeColor="text1" w:themeTint="80"/>
        </w:rPr>
        <w:tab/>
      </w:r>
      <w:r w:rsidR="00152D83" w:rsidRPr="00152D83">
        <w:rPr>
          <w:rFonts w:cstheme="minorHAnsi"/>
          <w:b/>
          <w:bCs/>
          <w:noProof/>
        </w:rPr>
        <w:t>8</w:t>
      </w:r>
    </w:p>
    <w:p w14:paraId="5C5BF2F3" w14:textId="77777777" w:rsidR="00F00E3D" w:rsidRPr="00122290" w:rsidRDefault="00F00E3D" w:rsidP="009223E4">
      <w:pPr>
        <w:tabs>
          <w:tab w:val="right" w:leader="dot" w:pos="9912"/>
        </w:tabs>
        <w:spacing w:after="0" w:line="276" w:lineRule="auto"/>
        <w:rPr>
          <w:b/>
          <w:bCs/>
          <w:caps/>
          <w:noProof/>
          <w:color w:val="2E74B5" w:themeColor="accent5" w:themeShade="BF"/>
          <w:sz w:val="12"/>
          <w:szCs w:val="12"/>
          <w:u w:val="single"/>
        </w:rPr>
      </w:pPr>
    </w:p>
    <w:p w14:paraId="4E843BC1" w14:textId="43CD9078" w:rsidR="00F00E3D" w:rsidRDefault="00F00E3D" w:rsidP="009223E4">
      <w:pPr>
        <w:tabs>
          <w:tab w:val="right" w:leader="dot" w:pos="9912"/>
        </w:tabs>
        <w:spacing w:after="0" w:line="276" w:lineRule="auto"/>
        <w:rPr>
          <w:rFonts w:cstheme="minorHAnsi"/>
          <w:b/>
          <w:bCs/>
          <w:noProof/>
        </w:rPr>
      </w:pPr>
      <w:r w:rsidRPr="00B203C1">
        <w:rPr>
          <w:b/>
          <w:bCs/>
          <w:caps/>
          <w:noProof/>
          <w:color w:val="2E74B5" w:themeColor="accent5" w:themeShade="BF"/>
          <w:sz w:val="24"/>
          <w:szCs w:val="24"/>
          <w:u w:val="single"/>
        </w:rPr>
        <w:t>SECTION 2</w:t>
      </w:r>
      <w:r w:rsidRPr="00B203C1">
        <w:rPr>
          <w:b/>
          <w:bCs/>
          <w:caps/>
          <w:noProof/>
          <w:color w:val="2E74B5" w:themeColor="accent5" w:themeShade="BF"/>
          <w:sz w:val="24"/>
          <w:szCs w:val="24"/>
        </w:rPr>
        <w:t>:</w:t>
      </w:r>
      <w:r w:rsidRPr="00B203C1">
        <w:rPr>
          <w:rFonts w:eastAsia="Calibri"/>
          <w:b/>
          <w:bCs/>
          <w:color w:val="2E74B5" w:themeColor="accent5" w:themeShade="BF"/>
          <w:sz w:val="24"/>
          <w:szCs w:val="24"/>
          <w:lang w:val="en-US"/>
        </w:rPr>
        <w:t xml:space="preserve"> </w:t>
      </w:r>
      <w:r w:rsidRPr="00B203C1">
        <w:rPr>
          <w:b/>
          <w:bCs/>
          <w:noProof/>
          <w:color w:val="2E74B5" w:themeColor="accent5" w:themeShade="BF"/>
          <w:sz w:val="24"/>
          <w:szCs w:val="24"/>
          <w:lang w:val="en-US"/>
        </w:rPr>
        <w:t>Policy Contexts</w:t>
      </w:r>
      <w:r w:rsidRPr="00B203C1">
        <w:rPr>
          <w:rFonts w:cstheme="minorHAnsi"/>
          <w:b/>
          <w:bCs/>
          <w:noProof/>
          <w:color w:val="2E74B5" w:themeColor="accent5" w:themeShade="BF"/>
        </w:rPr>
        <w:t xml:space="preserve"> </w:t>
      </w:r>
      <w:r w:rsidRPr="00780569">
        <w:rPr>
          <w:rFonts w:cstheme="minorHAnsi"/>
          <w:b/>
          <w:bCs/>
          <w:noProof/>
          <w:color w:val="7F7F7F" w:themeColor="text1" w:themeTint="80"/>
        </w:rPr>
        <w:tab/>
      </w:r>
      <w:r w:rsidR="00152D83">
        <w:rPr>
          <w:rFonts w:cstheme="minorHAnsi"/>
          <w:b/>
          <w:bCs/>
          <w:noProof/>
        </w:rPr>
        <w:t>10</w:t>
      </w:r>
    </w:p>
    <w:p w14:paraId="761A3087" w14:textId="5F1F9B7B" w:rsidR="00F00E3D" w:rsidRPr="0099085A" w:rsidRDefault="00F00E3D" w:rsidP="009223E4">
      <w:pPr>
        <w:widowControl w:val="0"/>
        <w:tabs>
          <w:tab w:val="right" w:leader="dot" w:pos="9912"/>
        </w:tabs>
        <w:suppressAutoHyphens/>
        <w:spacing w:before="240" w:after="0" w:line="276" w:lineRule="auto"/>
        <w:contextualSpacing/>
        <w:rPr>
          <w:b/>
          <w:bCs/>
          <w:noProof/>
        </w:rPr>
      </w:pPr>
      <w:bookmarkStart w:id="1" w:name="_Hlk70868813"/>
      <w:r w:rsidRPr="0099085A">
        <w:rPr>
          <w:b/>
          <w:bCs/>
          <w:noProof/>
        </w:rPr>
        <w:t>2.</w:t>
      </w:r>
      <w:r w:rsidR="00241FB1">
        <w:rPr>
          <w:b/>
          <w:bCs/>
          <w:noProof/>
        </w:rPr>
        <w:t>1</w:t>
      </w:r>
      <w:r w:rsidRPr="0099085A">
        <w:rPr>
          <w:b/>
          <w:bCs/>
          <w:noProof/>
        </w:rPr>
        <w:t xml:space="preserve">   </w:t>
      </w:r>
      <w:r w:rsidR="008E466D">
        <w:rPr>
          <w:b/>
          <w:bCs/>
          <w:noProof/>
        </w:rPr>
        <w:t xml:space="preserve">  </w:t>
      </w:r>
      <w:r w:rsidR="00241FB1">
        <w:rPr>
          <w:b/>
          <w:bCs/>
          <w:noProof/>
        </w:rPr>
        <w:t>Policy Overview and</w:t>
      </w:r>
      <w:r w:rsidR="009F4B3F">
        <w:rPr>
          <w:b/>
          <w:bCs/>
          <w:noProof/>
        </w:rPr>
        <w:t xml:space="preserve"> </w:t>
      </w:r>
      <w:r w:rsidRPr="0099085A">
        <w:rPr>
          <w:b/>
          <w:bCs/>
          <w:noProof/>
        </w:rPr>
        <w:t>Funding Opportunities</w:t>
      </w:r>
      <w:r w:rsidRPr="0099085A">
        <w:rPr>
          <w:rFonts w:cstheme="minorHAnsi"/>
          <w:b/>
          <w:bCs/>
          <w:noProof/>
        </w:rPr>
        <w:t xml:space="preserve"> </w:t>
      </w:r>
      <w:r w:rsidRPr="00006406">
        <w:rPr>
          <w:rFonts w:cstheme="minorHAnsi"/>
          <w:b/>
          <w:bCs/>
          <w:noProof/>
          <w:color w:val="7F7F7F" w:themeColor="text1" w:themeTint="80"/>
        </w:rPr>
        <w:tab/>
      </w:r>
      <w:r w:rsidR="00CF4C89">
        <w:rPr>
          <w:rFonts w:cstheme="minorHAnsi"/>
          <w:b/>
          <w:bCs/>
          <w:noProof/>
        </w:rPr>
        <w:t>10</w:t>
      </w:r>
    </w:p>
    <w:p w14:paraId="65C49716" w14:textId="68A22D37" w:rsidR="00F00E3D" w:rsidRPr="0099085A" w:rsidRDefault="00F00E3D" w:rsidP="009223E4">
      <w:pPr>
        <w:widowControl w:val="0"/>
        <w:tabs>
          <w:tab w:val="right" w:leader="dot" w:pos="9912"/>
        </w:tabs>
        <w:suppressAutoHyphens/>
        <w:spacing w:before="240" w:after="0" w:line="276" w:lineRule="auto"/>
        <w:contextualSpacing/>
        <w:rPr>
          <w:rFonts w:cstheme="minorHAnsi"/>
          <w:b/>
          <w:bCs/>
          <w:noProof/>
        </w:rPr>
      </w:pPr>
      <w:r w:rsidRPr="0099085A">
        <w:rPr>
          <w:rFonts w:cstheme="minorHAnsi"/>
          <w:b/>
          <w:bCs/>
          <w:noProof/>
        </w:rPr>
        <w:t>2.</w:t>
      </w:r>
      <w:r w:rsidR="00241FB1">
        <w:rPr>
          <w:rFonts w:cstheme="minorHAnsi"/>
          <w:b/>
          <w:bCs/>
          <w:noProof/>
        </w:rPr>
        <w:t>2</w:t>
      </w:r>
      <w:r w:rsidRPr="0099085A">
        <w:rPr>
          <w:rFonts w:cstheme="minorHAnsi"/>
          <w:b/>
          <w:bCs/>
          <w:noProof/>
        </w:rPr>
        <w:t xml:space="preserve">  </w:t>
      </w:r>
      <w:r w:rsidR="008E466D">
        <w:rPr>
          <w:rFonts w:cstheme="minorHAnsi"/>
          <w:b/>
          <w:bCs/>
          <w:noProof/>
        </w:rPr>
        <w:t xml:space="preserve">  </w:t>
      </w:r>
      <w:r w:rsidRPr="0099085A">
        <w:rPr>
          <w:rFonts w:cstheme="minorHAnsi"/>
          <w:b/>
          <w:bCs/>
          <w:noProof/>
        </w:rPr>
        <w:t xml:space="preserve"> </w:t>
      </w:r>
      <w:r w:rsidRPr="0099085A">
        <w:rPr>
          <w:rFonts w:cstheme="minorHAnsi"/>
          <w:b/>
          <w:bCs/>
          <w:noProof/>
          <w:lang w:val="en-US"/>
        </w:rPr>
        <w:t>International</w:t>
      </w:r>
      <w:r w:rsidR="009F4B3F">
        <w:rPr>
          <w:rFonts w:cstheme="minorHAnsi"/>
          <w:b/>
          <w:bCs/>
          <w:noProof/>
          <w:lang w:val="en-US"/>
        </w:rPr>
        <w:t xml:space="preserve"> Policies</w:t>
      </w:r>
      <w:r w:rsidRPr="00006406">
        <w:rPr>
          <w:rFonts w:cstheme="minorHAnsi"/>
          <w:b/>
          <w:bCs/>
          <w:noProof/>
          <w:color w:val="7F7F7F" w:themeColor="text1" w:themeTint="80"/>
        </w:rPr>
        <w:tab/>
      </w:r>
      <w:r w:rsidR="00CF4C89">
        <w:rPr>
          <w:rFonts w:cstheme="minorHAnsi"/>
          <w:b/>
          <w:bCs/>
          <w:noProof/>
        </w:rPr>
        <w:t>12</w:t>
      </w:r>
    </w:p>
    <w:p w14:paraId="41E5247F" w14:textId="2599D50F" w:rsidR="00F00E3D" w:rsidRPr="0099085A" w:rsidRDefault="00F00E3D" w:rsidP="009223E4">
      <w:pPr>
        <w:widowControl w:val="0"/>
        <w:tabs>
          <w:tab w:val="right" w:leader="dot" w:pos="9912"/>
        </w:tabs>
        <w:suppressAutoHyphens/>
        <w:spacing w:before="240" w:after="0" w:line="276" w:lineRule="auto"/>
        <w:contextualSpacing/>
        <w:rPr>
          <w:rFonts w:cstheme="minorHAnsi"/>
          <w:b/>
          <w:bCs/>
          <w:noProof/>
        </w:rPr>
      </w:pPr>
      <w:r w:rsidRPr="0099085A">
        <w:rPr>
          <w:rFonts w:cstheme="minorHAnsi"/>
          <w:b/>
          <w:bCs/>
          <w:noProof/>
        </w:rPr>
        <w:t>2.</w:t>
      </w:r>
      <w:r w:rsidR="00241FB1">
        <w:rPr>
          <w:rFonts w:cstheme="minorHAnsi"/>
          <w:b/>
          <w:bCs/>
          <w:noProof/>
        </w:rPr>
        <w:t>3</w:t>
      </w:r>
      <w:r w:rsidRPr="0099085A">
        <w:rPr>
          <w:rFonts w:cstheme="minorHAnsi"/>
          <w:b/>
          <w:bCs/>
          <w:noProof/>
        </w:rPr>
        <w:t xml:space="preserve">   </w:t>
      </w:r>
      <w:r w:rsidR="008E466D">
        <w:rPr>
          <w:rFonts w:cstheme="minorHAnsi"/>
          <w:b/>
          <w:bCs/>
          <w:noProof/>
        </w:rPr>
        <w:t xml:space="preserve">  </w:t>
      </w:r>
      <w:r w:rsidRPr="0099085A">
        <w:rPr>
          <w:rFonts w:cstheme="minorHAnsi"/>
          <w:b/>
          <w:bCs/>
          <w:noProof/>
          <w:lang w:val="en-US"/>
        </w:rPr>
        <w:t>Federal</w:t>
      </w:r>
      <w:r w:rsidRPr="0099085A">
        <w:rPr>
          <w:rFonts w:cstheme="minorHAnsi"/>
          <w:b/>
          <w:bCs/>
          <w:noProof/>
        </w:rPr>
        <w:t xml:space="preserve"> </w:t>
      </w:r>
      <w:r w:rsidR="009F4B3F">
        <w:rPr>
          <w:rFonts w:cstheme="minorHAnsi"/>
          <w:b/>
          <w:bCs/>
          <w:noProof/>
        </w:rPr>
        <w:t>Policies</w:t>
      </w:r>
      <w:r w:rsidRPr="00006406">
        <w:rPr>
          <w:rFonts w:cstheme="minorHAnsi"/>
          <w:b/>
          <w:bCs/>
          <w:noProof/>
          <w:color w:val="7F7F7F" w:themeColor="text1" w:themeTint="80"/>
        </w:rPr>
        <w:tab/>
      </w:r>
      <w:r w:rsidR="00033FC3">
        <w:rPr>
          <w:rFonts w:cstheme="minorHAnsi"/>
          <w:b/>
          <w:bCs/>
          <w:noProof/>
        </w:rPr>
        <w:t>13</w:t>
      </w:r>
    </w:p>
    <w:p w14:paraId="0EB5FF7F" w14:textId="143F45B4" w:rsidR="00F00E3D" w:rsidRDefault="00F00E3D" w:rsidP="009223E4">
      <w:pPr>
        <w:widowControl w:val="0"/>
        <w:tabs>
          <w:tab w:val="right" w:leader="dot" w:pos="9912"/>
        </w:tabs>
        <w:suppressAutoHyphens/>
        <w:spacing w:before="240" w:after="0" w:line="276" w:lineRule="auto"/>
        <w:contextualSpacing/>
        <w:rPr>
          <w:rFonts w:cstheme="minorHAnsi"/>
          <w:b/>
          <w:bCs/>
          <w:noProof/>
        </w:rPr>
      </w:pPr>
      <w:r w:rsidRPr="0099085A">
        <w:rPr>
          <w:rFonts w:cstheme="minorHAnsi"/>
          <w:b/>
          <w:bCs/>
          <w:noProof/>
        </w:rPr>
        <w:t>2.</w:t>
      </w:r>
      <w:r w:rsidR="00241FB1">
        <w:rPr>
          <w:rFonts w:cstheme="minorHAnsi"/>
          <w:b/>
          <w:bCs/>
          <w:noProof/>
        </w:rPr>
        <w:t>4</w:t>
      </w:r>
      <w:r w:rsidRPr="0099085A">
        <w:rPr>
          <w:rFonts w:cstheme="minorHAnsi"/>
          <w:b/>
          <w:bCs/>
          <w:noProof/>
        </w:rPr>
        <w:t xml:space="preserve">   </w:t>
      </w:r>
      <w:r w:rsidR="008E466D">
        <w:rPr>
          <w:rFonts w:cstheme="minorHAnsi"/>
          <w:b/>
          <w:bCs/>
          <w:noProof/>
        </w:rPr>
        <w:t xml:space="preserve">  </w:t>
      </w:r>
      <w:r w:rsidRPr="0099085A">
        <w:rPr>
          <w:rFonts w:cstheme="minorHAnsi"/>
          <w:b/>
          <w:bCs/>
          <w:noProof/>
          <w:lang w:val="en-US"/>
        </w:rPr>
        <w:t>Victoria</w:t>
      </w:r>
      <w:r w:rsidR="009F4B3F">
        <w:rPr>
          <w:rFonts w:cstheme="minorHAnsi"/>
          <w:b/>
          <w:bCs/>
          <w:noProof/>
          <w:lang w:val="en-US"/>
        </w:rPr>
        <w:t>n Pol</w:t>
      </w:r>
      <w:r w:rsidR="00033FC3">
        <w:rPr>
          <w:rFonts w:cstheme="minorHAnsi"/>
          <w:b/>
          <w:bCs/>
          <w:noProof/>
          <w:lang w:val="en-US"/>
        </w:rPr>
        <w:t>i</w:t>
      </w:r>
      <w:r w:rsidR="009F4B3F">
        <w:rPr>
          <w:rFonts w:cstheme="minorHAnsi"/>
          <w:b/>
          <w:bCs/>
          <w:noProof/>
          <w:lang w:val="en-US"/>
        </w:rPr>
        <w:t>cies</w:t>
      </w:r>
      <w:r w:rsidRPr="00006406">
        <w:rPr>
          <w:rFonts w:cstheme="minorHAnsi"/>
          <w:b/>
          <w:bCs/>
          <w:noProof/>
          <w:color w:val="7F7F7F" w:themeColor="text1" w:themeTint="80"/>
        </w:rPr>
        <w:tab/>
      </w:r>
      <w:r w:rsidR="00033FC3">
        <w:rPr>
          <w:rFonts w:cstheme="minorHAnsi"/>
          <w:b/>
          <w:bCs/>
          <w:noProof/>
        </w:rPr>
        <w:t>17</w:t>
      </w:r>
    </w:p>
    <w:p w14:paraId="77175911" w14:textId="618D52F1" w:rsidR="00F00E3D" w:rsidRPr="0099085A" w:rsidRDefault="00F00E3D" w:rsidP="009223E4">
      <w:pPr>
        <w:widowControl w:val="0"/>
        <w:tabs>
          <w:tab w:val="right" w:leader="dot" w:pos="9912"/>
        </w:tabs>
        <w:suppressAutoHyphens/>
        <w:spacing w:before="240" w:after="0" w:line="276" w:lineRule="auto"/>
        <w:contextualSpacing/>
        <w:rPr>
          <w:rFonts w:cstheme="minorHAnsi"/>
          <w:b/>
          <w:bCs/>
          <w:noProof/>
        </w:rPr>
      </w:pPr>
      <w:r w:rsidRPr="0099085A">
        <w:rPr>
          <w:rFonts w:cstheme="minorHAnsi"/>
          <w:b/>
          <w:bCs/>
          <w:noProof/>
        </w:rPr>
        <w:t>2.</w:t>
      </w:r>
      <w:r w:rsidR="00241FB1">
        <w:rPr>
          <w:rFonts w:cstheme="minorHAnsi"/>
          <w:b/>
          <w:bCs/>
          <w:noProof/>
        </w:rPr>
        <w:t>5</w:t>
      </w:r>
      <w:r w:rsidRPr="0099085A">
        <w:rPr>
          <w:rFonts w:cstheme="minorHAnsi"/>
          <w:b/>
          <w:bCs/>
          <w:noProof/>
        </w:rPr>
        <w:t xml:space="preserve">   </w:t>
      </w:r>
      <w:r w:rsidR="008E466D">
        <w:rPr>
          <w:rFonts w:cstheme="minorHAnsi"/>
          <w:b/>
          <w:bCs/>
          <w:noProof/>
        </w:rPr>
        <w:t xml:space="preserve">  </w:t>
      </w:r>
      <w:r w:rsidRPr="0099085A">
        <w:rPr>
          <w:rFonts w:cstheme="minorHAnsi"/>
          <w:b/>
          <w:bCs/>
          <w:noProof/>
          <w:lang w:val="en-US"/>
        </w:rPr>
        <w:t>C</w:t>
      </w:r>
      <w:r>
        <w:rPr>
          <w:rFonts w:cstheme="minorHAnsi"/>
          <w:b/>
          <w:bCs/>
          <w:noProof/>
          <w:lang w:val="en-US"/>
        </w:rPr>
        <w:t>ity of Greater Geelong</w:t>
      </w:r>
      <w:r w:rsidRPr="0099085A">
        <w:rPr>
          <w:rFonts w:cstheme="minorHAnsi"/>
          <w:b/>
          <w:bCs/>
          <w:noProof/>
          <w:lang w:val="en-US"/>
        </w:rPr>
        <w:t xml:space="preserve"> </w:t>
      </w:r>
      <w:r w:rsidR="009F4B3F">
        <w:rPr>
          <w:rFonts w:cstheme="minorHAnsi"/>
          <w:b/>
          <w:bCs/>
          <w:noProof/>
          <w:lang w:val="en-US"/>
        </w:rPr>
        <w:t>Policies</w:t>
      </w:r>
      <w:r w:rsidRPr="00006406">
        <w:rPr>
          <w:rFonts w:cstheme="minorHAnsi"/>
          <w:b/>
          <w:bCs/>
          <w:noProof/>
          <w:color w:val="7F7F7F" w:themeColor="text1" w:themeTint="80"/>
        </w:rPr>
        <w:tab/>
      </w:r>
      <w:r w:rsidR="0091665F">
        <w:rPr>
          <w:rFonts w:cstheme="minorHAnsi"/>
          <w:b/>
          <w:bCs/>
          <w:noProof/>
        </w:rPr>
        <w:t>20</w:t>
      </w:r>
    </w:p>
    <w:p w14:paraId="55C0C847" w14:textId="21325EB4" w:rsidR="00F00E3D" w:rsidRPr="0099085A" w:rsidRDefault="00F00E3D" w:rsidP="009223E4">
      <w:pPr>
        <w:widowControl w:val="0"/>
        <w:tabs>
          <w:tab w:val="right" w:leader="dot" w:pos="9912"/>
        </w:tabs>
        <w:suppressAutoHyphens/>
        <w:spacing w:before="240" w:after="0" w:line="276" w:lineRule="auto"/>
        <w:contextualSpacing/>
        <w:rPr>
          <w:rFonts w:cstheme="minorHAnsi"/>
          <w:b/>
          <w:bCs/>
          <w:noProof/>
        </w:rPr>
      </w:pPr>
      <w:r w:rsidRPr="0099085A">
        <w:rPr>
          <w:rFonts w:cstheme="minorHAnsi"/>
          <w:b/>
          <w:bCs/>
          <w:noProof/>
        </w:rPr>
        <w:t>2.</w:t>
      </w:r>
      <w:r w:rsidR="00241FB1">
        <w:rPr>
          <w:rFonts w:cstheme="minorHAnsi"/>
          <w:b/>
          <w:bCs/>
          <w:noProof/>
        </w:rPr>
        <w:t>6</w:t>
      </w:r>
      <w:r w:rsidRPr="0099085A">
        <w:rPr>
          <w:rFonts w:cstheme="minorHAnsi"/>
          <w:b/>
          <w:bCs/>
          <w:noProof/>
        </w:rPr>
        <w:t xml:space="preserve">   </w:t>
      </w:r>
      <w:r w:rsidR="008E466D">
        <w:rPr>
          <w:rFonts w:cstheme="minorHAnsi"/>
          <w:b/>
          <w:bCs/>
          <w:noProof/>
        </w:rPr>
        <w:t xml:space="preserve">  </w:t>
      </w:r>
      <w:r w:rsidR="00940D80">
        <w:rPr>
          <w:rFonts w:cstheme="minorHAnsi"/>
          <w:b/>
          <w:bCs/>
          <w:noProof/>
          <w:lang w:val="en-US"/>
        </w:rPr>
        <w:t>COVID</w:t>
      </w:r>
      <w:r w:rsidRPr="0099085A">
        <w:rPr>
          <w:rFonts w:cstheme="minorHAnsi"/>
          <w:b/>
          <w:bCs/>
          <w:noProof/>
          <w:lang w:val="en-US"/>
        </w:rPr>
        <w:t xml:space="preserve">-19 </w:t>
      </w:r>
      <w:r w:rsidR="009F4B3F">
        <w:rPr>
          <w:rFonts w:cstheme="minorHAnsi"/>
          <w:b/>
          <w:bCs/>
          <w:noProof/>
          <w:lang w:val="en-US"/>
        </w:rPr>
        <w:t>Policies</w:t>
      </w:r>
      <w:r w:rsidRPr="00006406">
        <w:rPr>
          <w:rFonts w:cstheme="minorHAnsi"/>
          <w:b/>
          <w:bCs/>
          <w:noProof/>
          <w:color w:val="7F7F7F" w:themeColor="text1" w:themeTint="80"/>
        </w:rPr>
        <w:tab/>
      </w:r>
      <w:r w:rsidR="0091665F">
        <w:rPr>
          <w:rFonts w:cstheme="minorHAnsi"/>
          <w:b/>
          <w:bCs/>
          <w:noProof/>
        </w:rPr>
        <w:t>22</w:t>
      </w:r>
    </w:p>
    <w:bookmarkEnd w:id="1"/>
    <w:p w14:paraId="5FD0233C" w14:textId="77777777" w:rsidR="00F00E3D" w:rsidRPr="00122290" w:rsidRDefault="00F00E3D" w:rsidP="009223E4">
      <w:pPr>
        <w:tabs>
          <w:tab w:val="right" w:leader="dot" w:pos="9912"/>
        </w:tabs>
        <w:spacing w:after="0" w:line="276" w:lineRule="auto"/>
        <w:rPr>
          <w:b/>
          <w:bCs/>
          <w:caps/>
          <w:noProof/>
          <w:sz w:val="12"/>
          <w:szCs w:val="12"/>
        </w:rPr>
      </w:pPr>
    </w:p>
    <w:p w14:paraId="4EE48DA9" w14:textId="25C44D9F" w:rsidR="00F00E3D" w:rsidRPr="000B3F6E" w:rsidRDefault="00F00E3D" w:rsidP="009223E4">
      <w:pPr>
        <w:widowControl w:val="0"/>
        <w:tabs>
          <w:tab w:val="right" w:leader="dot" w:pos="9912"/>
        </w:tabs>
        <w:suppressAutoHyphens/>
        <w:spacing w:before="360" w:after="0" w:line="276" w:lineRule="auto"/>
        <w:contextualSpacing/>
        <w:rPr>
          <w:b/>
          <w:bCs/>
          <w:caps/>
          <w:noProof/>
          <w:sz w:val="20"/>
          <w:szCs w:val="20"/>
        </w:rPr>
      </w:pPr>
      <w:r w:rsidRPr="00B203C1">
        <w:rPr>
          <w:b/>
          <w:bCs/>
          <w:caps/>
          <w:noProof/>
          <w:color w:val="2E74B5" w:themeColor="accent5" w:themeShade="BF"/>
          <w:sz w:val="24"/>
          <w:szCs w:val="24"/>
          <w:u w:val="single"/>
        </w:rPr>
        <w:t>SECTION 3</w:t>
      </w:r>
      <w:r w:rsidRPr="00B203C1">
        <w:rPr>
          <w:b/>
          <w:bCs/>
          <w:caps/>
          <w:noProof/>
          <w:color w:val="2E74B5" w:themeColor="accent5" w:themeShade="BF"/>
          <w:sz w:val="24"/>
          <w:szCs w:val="24"/>
        </w:rPr>
        <w:t xml:space="preserve">: </w:t>
      </w:r>
      <w:r w:rsidRPr="00B203C1">
        <w:rPr>
          <w:b/>
          <w:bCs/>
          <w:noProof/>
          <w:color w:val="2E74B5" w:themeColor="accent5" w:themeShade="BF"/>
          <w:sz w:val="24"/>
          <w:szCs w:val="24"/>
          <w:lang w:val="en-US"/>
        </w:rPr>
        <w:t>Review of Key Academic Research</w:t>
      </w:r>
      <w:r w:rsidRPr="001B2AE8">
        <w:rPr>
          <w:rFonts w:cstheme="minorHAnsi"/>
          <w:b/>
          <w:bCs/>
          <w:caps/>
          <w:noProof/>
          <w:color w:val="7F7F7F" w:themeColor="text1" w:themeTint="80"/>
          <w:sz w:val="20"/>
          <w:szCs w:val="20"/>
        </w:rPr>
        <w:tab/>
      </w:r>
      <w:r w:rsidR="0091665F">
        <w:rPr>
          <w:b/>
          <w:bCs/>
          <w:caps/>
          <w:noProof/>
          <w:sz w:val="20"/>
          <w:szCs w:val="20"/>
        </w:rPr>
        <w:t>24</w:t>
      </w:r>
    </w:p>
    <w:p w14:paraId="08A8AE3B" w14:textId="5F968F91" w:rsidR="004D625E" w:rsidRPr="004D625E" w:rsidRDefault="004D625E" w:rsidP="009223E4">
      <w:pPr>
        <w:widowControl w:val="0"/>
        <w:tabs>
          <w:tab w:val="right" w:leader="dot" w:pos="9912"/>
        </w:tabs>
        <w:suppressAutoHyphens/>
        <w:spacing w:before="240" w:after="0" w:line="276" w:lineRule="auto"/>
        <w:contextualSpacing/>
        <w:rPr>
          <w:rFonts w:cstheme="minorHAnsi"/>
          <w:b/>
          <w:bCs/>
          <w:noProof/>
        </w:rPr>
      </w:pPr>
      <w:r w:rsidRPr="004D625E">
        <w:rPr>
          <w:rFonts w:cstheme="minorHAnsi"/>
          <w:b/>
          <w:bCs/>
          <w:noProof/>
        </w:rPr>
        <w:t xml:space="preserve">3.1     </w:t>
      </w:r>
      <w:r w:rsidRPr="004D625E">
        <w:rPr>
          <w:rFonts w:cstheme="minorHAnsi"/>
          <w:b/>
          <w:bCs/>
          <w:noProof/>
          <w:lang w:val="en-US"/>
        </w:rPr>
        <w:t>Methodology</w:t>
      </w:r>
      <w:r w:rsidRPr="004D625E">
        <w:rPr>
          <w:rFonts w:cstheme="minorHAnsi"/>
          <w:b/>
          <w:bCs/>
          <w:noProof/>
        </w:rPr>
        <w:t xml:space="preserve"> </w:t>
      </w:r>
      <w:r w:rsidRPr="004D625E">
        <w:rPr>
          <w:rFonts w:cstheme="minorHAnsi"/>
          <w:b/>
          <w:bCs/>
          <w:noProof/>
          <w:color w:val="7F7F7F" w:themeColor="text1" w:themeTint="80"/>
        </w:rPr>
        <w:tab/>
      </w:r>
      <w:r w:rsidR="00CD789F">
        <w:rPr>
          <w:rFonts w:cstheme="minorHAnsi"/>
          <w:b/>
          <w:bCs/>
          <w:noProof/>
        </w:rPr>
        <w:t>24</w:t>
      </w:r>
    </w:p>
    <w:p w14:paraId="311B7692" w14:textId="21629AA7" w:rsidR="00F00E3D" w:rsidRPr="004D625E" w:rsidRDefault="00F00E3D" w:rsidP="009223E4">
      <w:pPr>
        <w:widowControl w:val="0"/>
        <w:tabs>
          <w:tab w:val="right" w:leader="dot" w:pos="9912"/>
        </w:tabs>
        <w:suppressAutoHyphens/>
        <w:spacing w:before="240" w:after="0" w:line="276" w:lineRule="auto"/>
        <w:contextualSpacing/>
        <w:rPr>
          <w:rFonts w:cstheme="minorHAnsi"/>
          <w:b/>
          <w:bCs/>
          <w:noProof/>
        </w:rPr>
      </w:pPr>
      <w:r w:rsidRPr="004D625E">
        <w:rPr>
          <w:rFonts w:cstheme="minorHAnsi"/>
          <w:b/>
          <w:bCs/>
          <w:noProof/>
        </w:rPr>
        <w:t>3.</w:t>
      </w:r>
      <w:r w:rsidR="006D54E4">
        <w:rPr>
          <w:rFonts w:cstheme="minorHAnsi"/>
          <w:b/>
          <w:bCs/>
          <w:noProof/>
        </w:rPr>
        <w:t>2</w:t>
      </w:r>
      <w:r w:rsidRPr="004D625E">
        <w:rPr>
          <w:rFonts w:cstheme="minorHAnsi"/>
          <w:b/>
          <w:bCs/>
          <w:noProof/>
        </w:rPr>
        <w:t xml:space="preserve">   </w:t>
      </w:r>
      <w:r w:rsidR="008E466D" w:rsidRPr="004D625E">
        <w:rPr>
          <w:rFonts w:cstheme="minorHAnsi"/>
          <w:b/>
          <w:bCs/>
          <w:noProof/>
        </w:rPr>
        <w:t xml:space="preserve">  </w:t>
      </w:r>
      <w:r w:rsidRPr="004D625E">
        <w:rPr>
          <w:rFonts w:cstheme="minorHAnsi"/>
          <w:b/>
          <w:bCs/>
          <w:noProof/>
          <w:lang w:val="en-US"/>
        </w:rPr>
        <w:t>Findings</w:t>
      </w:r>
      <w:r w:rsidRPr="004D625E">
        <w:rPr>
          <w:rFonts w:cstheme="minorHAnsi"/>
          <w:b/>
          <w:bCs/>
          <w:noProof/>
        </w:rPr>
        <w:t xml:space="preserve"> </w:t>
      </w:r>
      <w:r w:rsidRPr="004D625E">
        <w:rPr>
          <w:rFonts w:cstheme="minorHAnsi"/>
          <w:b/>
          <w:bCs/>
          <w:noProof/>
          <w:color w:val="7F7F7F" w:themeColor="text1" w:themeTint="80"/>
        </w:rPr>
        <w:tab/>
      </w:r>
      <w:r w:rsidR="00CD789F">
        <w:rPr>
          <w:rFonts w:cstheme="minorHAnsi"/>
          <w:b/>
          <w:bCs/>
          <w:noProof/>
        </w:rPr>
        <w:t>26</w:t>
      </w:r>
    </w:p>
    <w:p w14:paraId="05A08148" w14:textId="75A7498C" w:rsidR="00F00E3D" w:rsidRPr="004D625E" w:rsidRDefault="00F00E3D" w:rsidP="009223E4">
      <w:pPr>
        <w:widowControl w:val="0"/>
        <w:tabs>
          <w:tab w:val="right" w:leader="dot" w:pos="9912"/>
        </w:tabs>
        <w:suppressAutoHyphens/>
        <w:spacing w:before="240" w:after="0" w:line="276" w:lineRule="auto"/>
        <w:contextualSpacing/>
        <w:rPr>
          <w:b/>
          <w:bCs/>
          <w:noProof/>
        </w:rPr>
      </w:pPr>
      <w:r w:rsidRPr="004D625E">
        <w:rPr>
          <w:b/>
          <w:bCs/>
          <w:noProof/>
        </w:rPr>
        <w:t>3.</w:t>
      </w:r>
      <w:r w:rsidR="0091665F">
        <w:rPr>
          <w:b/>
          <w:bCs/>
          <w:noProof/>
        </w:rPr>
        <w:t>3</w:t>
      </w:r>
      <w:r w:rsidRPr="004D625E">
        <w:rPr>
          <w:b/>
          <w:bCs/>
          <w:noProof/>
        </w:rPr>
        <w:t xml:space="preserve">  </w:t>
      </w:r>
      <w:r w:rsidR="008E466D" w:rsidRPr="004D625E">
        <w:rPr>
          <w:b/>
          <w:bCs/>
          <w:noProof/>
        </w:rPr>
        <w:t xml:space="preserve">  </w:t>
      </w:r>
      <w:r w:rsidRPr="004D625E">
        <w:rPr>
          <w:b/>
          <w:bCs/>
          <w:noProof/>
        </w:rPr>
        <w:t xml:space="preserve"> Analysis</w:t>
      </w:r>
      <w:r w:rsidRPr="004D625E">
        <w:rPr>
          <w:rFonts w:cstheme="minorHAnsi"/>
          <w:b/>
          <w:bCs/>
          <w:noProof/>
          <w:color w:val="7F7F7F" w:themeColor="text1" w:themeTint="80"/>
        </w:rPr>
        <w:tab/>
      </w:r>
      <w:r w:rsidR="00747C28">
        <w:rPr>
          <w:rFonts w:cstheme="minorHAnsi"/>
          <w:b/>
          <w:bCs/>
          <w:noProof/>
        </w:rPr>
        <w:t>28</w:t>
      </w:r>
    </w:p>
    <w:p w14:paraId="798C4A25" w14:textId="1EB1C4F0" w:rsidR="00F00E3D" w:rsidRPr="004D625E" w:rsidRDefault="00F00E3D" w:rsidP="009223E4">
      <w:pPr>
        <w:widowControl w:val="0"/>
        <w:tabs>
          <w:tab w:val="right" w:leader="dot" w:pos="9912"/>
        </w:tabs>
        <w:suppressAutoHyphens/>
        <w:spacing w:before="240" w:after="0" w:line="276" w:lineRule="auto"/>
        <w:contextualSpacing/>
        <w:rPr>
          <w:rFonts w:cstheme="minorHAnsi"/>
          <w:b/>
          <w:bCs/>
          <w:noProof/>
        </w:rPr>
      </w:pPr>
      <w:r w:rsidRPr="004D625E">
        <w:rPr>
          <w:rFonts w:cstheme="minorHAnsi"/>
          <w:b/>
          <w:bCs/>
          <w:noProof/>
        </w:rPr>
        <w:t>3.</w:t>
      </w:r>
      <w:r w:rsidR="006D54E4">
        <w:rPr>
          <w:rFonts w:cstheme="minorHAnsi"/>
          <w:b/>
          <w:bCs/>
          <w:noProof/>
        </w:rPr>
        <w:t>3</w:t>
      </w:r>
      <w:r w:rsidRPr="004D625E">
        <w:rPr>
          <w:rFonts w:cstheme="minorHAnsi"/>
          <w:b/>
          <w:bCs/>
          <w:noProof/>
        </w:rPr>
        <w:t>.1</w:t>
      </w:r>
      <w:r w:rsidR="008E466D" w:rsidRPr="004D625E">
        <w:rPr>
          <w:rFonts w:cstheme="minorHAnsi"/>
          <w:b/>
          <w:bCs/>
          <w:noProof/>
        </w:rPr>
        <w:t xml:space="preserve">  </w:t>
      </w:r>
      <w:r w:rsidRPr="004D625E">
        <w:rPr>
          <w:rFonts w:cstheme="minorHAnsi"/>
          <w:b/>
          <w:bCs/>
          <w:noProof/>
        </w:rPr>
        <w:t xml:space="preserve">Inequality Research </w:t>
      </w:r>
      <w:r w:rsidRPr="004D625E">
        <w:rPr>
          <w:rFonts w:cstheme="minorHAnsi"/>
          <w:b/>
          <w:bCs/>
          <w:noProof/>
          <w:color w:val="7F7F7F" w:themeColor="text1" w:themeTint="80"/>
        </w:rPr>
        <w:tab/>
      </w:r>
      <w:r w:rsidR="00D0268C">
        <w:rPr>
          <w:rFonts w:cstheme="minorHAnsi"/>
          <w:b/>
          <w:bCs/>
          <w:noProof/>
        </w:rPr>
        <w:t>28</w:t>
      </w:r>
    </w:p>
    <w:p w14:paraId="160566FA" w14:textId="17522132" w:rsidR="00F00E3D" w:rsidRPr="004D625E" w:rsidRDefault="00F00E3D" w:rsidP="009223E4">
      <w:pPr>
        <w:widowControl w:val="0"/>
        <w:tabs>
          <w:tab w:val="right" w:leader="dot" w:pos="9912"/>
        </w:tabs>
        <w:suppressAutoHyphens/>
        <w:spacing w:before="240" w:after="0" w:line="276" w:lineRule="auto"/>
        <w:contextualSpacing/>
        <w:rPr>
          <w:rFonts w:cstheme="minorHAnsi"/>
          <w:b/>
          <w:bCs/>
          <w:noProof/>
        </w:rPr>
      </w:pPr>
      <w:r w:rsidRPr="004D625E">
        <w:rPr>
          <w:rFonts w:cstheme="minorHAnsi"/>
          <w:b/>
          <w:bCs/>
          <w:noProof/>
        </w:rPr>
        <w:t>3.</w:t>
      </w:r>
      <w:r w:rsidR="006D54E4">
        <w:rPr>
          <w:rFonts w:cstheme="minorHAnsi"/>
          <w:b/>
          <w:bCs/>
          <w:noProof/>
        </w:rPr>
        <w:t>3</w:t>
      </w:r>
      <w:r w:rsidRPr="004D625E">
        <w:rPr>
          <w:rFonts w:cstheme="minorHAnsi"/>
          <w:b/>
          <w:bCs/>
          <w:noProof/>
        </w:rPr>
        <w:t>.2</w:t>
      </w:r>
      <w:r w:rsidR="008E466D" w:rsidRPr="004D625E">
        <w:rPr>
          <w:rFonts w:cstheme="minorHAnsi"/>
          <w:b/>
          <w:bCs/>
          <w:noProof/>
        </w:rPr>
        <w:t xml:space="preserve">  </w:t>
      </w:r>
      <w:r w:rsidR="00940D80" w:rsidRPr="004D625E">
        <w:rPr>
          <w:rFonts w:cstheme="minorHAnsi"/>
          <w:b/>
          <w:bCs/>
          <w:noProof/>
        </w:rPr>
        <w:t>COVID</w:t>
      </w:r>
      <w:r w:rsidRPr="004D625E">
        <w:rPr>
          <w:rFonts w:cstheme="minorHAnsi"/>
          <w:b/>
          <w:bCs/>
          <w:noProof/>
        </w:rPr>
        <w:t>-19 Impacts Research</w:t>
      </w:r>
      <w:r w:rsidRPr="004D625E">
        <w:rPr>
          <w:rFonts w:cstheme="minorHAnsi"/>
          <w:b/>
          <w:bCs/>
          <w:noProof/>
          <w:color w:val="7F7F7F" w:themeColor="text1" w:themeTint="80"/>
        </w:rPr>
        <w:tab/>
      </w:r>
      <w:r w:rsidR="00D0268C">
        <w:rPr>
          <w:rFonts w:cstheme="minorHAnsi"/>
          <w:b/>
          <w:bCs/>
          <w:noProof/>
        </w:rPr>
        <w:t>28</w:t>
      </w:r>
    </w:p>
    <w:p w14:paraId="684C5045" w14:textId="573B6FA5" w:rsidR="00F00E3D" w:rsidRPr="004D625E" w:rsidRDefault="00F00E3D" w:rsidP="009223E4">
      <w:pPr>
        <w:widowControl w:val="0"/>
        <w:tabs>
          <w:tab w:val="right" w:leader="dot" w:pos="9912"/>
        </w:tabs>
        <w:suppressAutoHyphens/>
        <w:spacing w:before="240" w:after="0" w:line="276" w:lineRule="auto"/>
        <w:contextualSpacing/>
        <w:rPr>
          <w:rFonts w:cstheme="minorHAnsi"/>
          <w:b/>
          <w:bCs/>
          <w:noProof/>
        </w:rPr>
      </w:pPr>
      <w:r w:rsidRPr="004D625E">
        <w:rPr>
          <w:rFonts w:cstheme="minorHAnsi"/>
          <w:b/>
          <w:bCs/>
          <w:noProof/>
        </w:rPr>
        <w:t>3.</w:t>
      </w:r>
      <w:r w:rsidR="006D54E4">
        <w:rPr>
          <w:rFonts w:cstheme="minorHAnsi"/>
          <w:b/>
          <w:bCs/>
          <w:noProof/>
        </w:rPr>
        <w:t>3</w:t>
      </w:r>
      <w:r w:rsidRPr="004D625E">
        <w:rPr>
          <w:rFonts w:cstheme="minorHAnsi"/>
          <w:b/>
          <w:bCs/>
          <w:noProof/>
        </w:rPr>
        <w:t xml:space="preserve">.3 </w:t>
      </w:r>
      <w:r w:rsidR="008E466D" w:rsidRPr="004D625E">
        <w:rPr>
          <w:rFonts w:cstheme="minorHAnsi"/>
          <w:b/>
          <w:bCs/>
          <w:noProof/>
        </w:rPr>
        <w:t xml:space="preserve"> </w:t>
      </w:r>
      <w:r w:rsidRPr="004D625E">
        <w:rPr>
          <w:rFonts w:cstheme="minorHAnsi"/>
          <w:b/>
          <w:bCs/>
          <w:noProof/>
        </w:rPr>
        <w:t xml:space="preserve">Socioeconomic Factors Research </w:t>
      </w:r>
      <w:r w:rsidRPr="004D625E">
        <w:rPr>
          <w:rFonts w:cstheme="minorHAnsi"/>
          <w:b/>
          <w:bCs/>
          <w:noProof/>
          <w:color w:val="7F7F7F" w:themeColor="text1" w:themeTint="80"/>
        </w:rPr>
        <w:tab/>
      </w:r>
      <w:r w:rsidR="00D0268C">
        <w:rPr>
          <w:rFonts w:cstheme="minorHAnsi"/>
          <w:b/>
          <w:bCs/>
          <w:noProof/>
        </w:rPr>
        <w:t>2</w:t>
      </w:r>
      <w:r w:rsidR="00203685">
        <w:rPr>
          <w:rFonts w:cstheme="minorHAnsi"/>
          <w:b/>
          <w:bCs/>
          <w:noProof/>
        </w:rPr>
        <w:t>9</w:t>
      </w:r>
    </w:p>
    <w:p w14:paraId="52B063E5" w14:textId="6251D259" w:rsidR="00F00E3D" w:rsidRPr="00E57D0D" w:rsidRDefault="00F00E3D" w:rsidP="009223E4">
      <w:pPr>
        <w:widowControl w:val="0"/>
        <w:tabs>
          <w:tab w:val="right" w:leader="dot" w:pos="9912"/>
        </w:tabs>
        <w:suppressAutoHyphens/>
        <w:spacing w:before="240" w:after="0" w:line="276" w:lineRule="auto"/>
        <w:contextualSpacing/>
        <w:rPr>
          <w:rFonts w:cstheme="minorHAnsi"/>
          <w:b/>
          <w:bCs/>
          <w:noProof/>
        </w:rPr>
      </w:pPr>
      <w:r w:rsidRPr="004D625E">
        <w:rPr>
          <w:rFonts w:cstheme="minorHAnsi"/>
          <w:b/>
          <w:bCs/>
          <w:noProof/>
        </w:rPr>
        <w:t>3.</w:t>
      </w:r>
      <w:r w:rsidR="006D54E4">
        <w:rPr>
          <w:rFonts w:cstheme="minorHAnsi"/>
          <w:b/>
          <w:bCs/>
          <w:noProof/>
        </w:rPr>
        <w:t>3</w:t>
      </w:r>
      <w:r w:rsidRPr="004D625E">
        <w:rPr>
          <w:rFonts w:cstheme="minorHAnsi"/>
          <w:b/>
          <w:bCs/>
          <w:noProof/>
        </w:rPr>
        <w:t xml:space="preserve">.4 </w:t>
      </w:r>
      <w:r w:rsidR="008E466D" w:rsidRPr="004D625E">
        <w:rPr>
          <w:rFonts w:cstheme="minorHAnsi"/>
          <w:b/>
          <w:bCs/>
          <w:noProof/>
        </w:rPr>
        <w:t xml:space="preserve"> </w:t>
      </w:r>
      <w:r w:rsidRPr="004D625E">
        <w:rPr>
          <w:rFonts w:cstheme="minorHAnsi"/>
          <w:b/>
          <w:bCs/>
          <w:noProof/>
          <w:lang w:val="en-US"/>
        </w:rPr>
        <w:t>Interventions Research</w:t>
      </w:r>
      <w:r w:rsidRPr="00E57D0D">
        <w:rPr>
          <w:rFonts w:cstheme="minorHAnsi"/>
          <w:b/>
          <w:bCs/>
          <w:noProof/>
        </w:rPr>
        <w:t xml:space="preserve"> </w:t>
      </w:r>
      <w:r w:rsidRPr="00006406">
        <w:rPr>
          <w:rFonts w:cstheme="minorHAnsi"/>
          <w:b/>
          <w:bCs/>
          <w:noProof/>
          <w:color w:val="7F7F7F" w:themeColor="text1" w:themeTint="80"/>
        </w:rPr>
        <w:tab/>
      </w:r>
      <w:r w:rsidR="00D0268C">
        <w:rPr>
          <w:rFonts w:cstheme="minorHAnsi"/>
          <w:b/>
          <w:bCs/>
          <w:noProof/>
        </w:rPr>
        <w:t>41</w:t>
      </w:r>
    </w:p>
    <w:p w14:paraId="53F5398F" w14:textId="77777777" w:rsidR="00F00E3D" w:rsidRPr="00122290" w:rsidRDefault="00F00E3D" w:rsidP="009223E4">
      <w:pPr>
        <w:widowControl w:val="0"/>
        <w:tabs>
          <w:tab w:val="right" w:leader="dot" w:pos="9912"/>
        </w:tabs>
        <w:suppressAutoHyphens/>
        <w:spacing w:before="240" w:after="0" w:line="276" w:lineRule="auto"/>
        <w:contextualSpacing/>
        <w:rPr>
          <w:rFonts w:cstheme="minorHAnsi"/>
          <w:b/>
          <w:bCs/>
          <w:noProof/>
          <w:sz w:val="12"/>
          <w:szCs w:val="12"/>
        </w:rPr>
      </w:pPr>
    </w:p>
    <w:p w14:paraId="01ADF5F9" w14:textId="6C212C24" w:rsidR="00F00E3D" w:rsidRPr="000B3F6E" w:rsidRDefault="00F00E3D" w:rsidP="009223E4">
      <w:pPr>
        <w:widowControl w:val="0"/>
        <w:tabs>
          <w:tab w:val="right" w:leader="dot" w:pos="9912"/>
        </w:tabs>
        <w:suppressAutoHyphens/>
        <w:spacing w:before="360" w:after="0" w:line="276" w:lineRule="auto"/>
        <w:contextualSpacing/>
        <w:rPr>
          <w:b/>
          <w:bCs/>
          <w:caps/>
          <w:noProof/>
          <w:sz w:val="20"/>
          <w:szCs w:val="20"/>
        </w:rPr>
      </w:pPr>
      <w:r w:rsidRPr="00B203C1">
        <w:rPr>
          <w:b/>
          <w:bCs/>
          <w:caps/>
          <w:noProof/>
          <w:color w:val="2E74B5" w:themeColor="accent5" w:themeShade="BF"/>
          <w:sz w:val="24"/>
          <w:szCs w:val="24"/>
          <w:u w:val="single"/>
        </w:rPr>
        <w:t>SECTION 4:</w:t>
      </w:r>
      <w:r w:rsidRPr="00B203C1">
        <w:rPr>
          <w:b/>
          <w:bCs/>
          <w:caps/>
          <w:noProof/>
          <w:color w:val="2E74B5" w:themeColor="accent5" w:themeShade="BF"/>
          <w:sz w:val="24"/>
          <w:szCs w:val="24"/>
        </w:rPr>
        <w:t xml:space="preserve"> </w:t>
      </w:r>
      <w:r w:rsidRPr="00B203C1">
        <w:rPr>
          <w:b/>
          <w:bCs/>
          <w:noProof/>
          <w:color w:val="2E74B5" w:themeColor="accent5" w:themeShade="BF"/>
          <w:sz w:val="24"/>
          <w:szCs w:val="24"/>
          <w:lang w:val="en-US"/>
        </w:rPr>
        <w:t>Evidence Maps</w:t>
      </w:r>
      <w:r w:rsidRPr="00B203C1">
        <w:rPr>
          <w:rFonts w:cstheme="minorHAnsi"/>
          <w:b/>
          <w:bCs/>
          <w:noProof/>
          <w:color w:val="2E74B5" w:themeColor="accent5" w:themeShade="BF"/>
        </w:rPr>
        <w:t xml:space="preserve"> </w:t>
      </w:r>
      <w:r w:rsidRPr="00780569">
        <w:rPr>
          <w:rFonts w:cstheme="minorHAnsi"/>
          <w:b/>
          <w:bCs/>
          <w:noProof/>
          <w:color w:val="7F7F7F" w:themeColor="text1" w:themeTint="80"/>
        </w:rPr>
        <w:tab/>
      </w:r>
      <w:r w:rsidR="00D0268C">
        <w:rPr>
          <w:rFonts w:cstheme="minorHAnsi"/>
          <w:b/>
          <w:bCs/>
          <w:noProof/>
        </w:rPr>
        <w:t>52</w:t>
      </w:r>
    </w:p>
    <w:p w14:paraId="09C20ED4" w14:textId="5A86B21F" w:rsidR="00F00E3D" w:rsidRPr="00C82734" w:rsidRDefault="00F00E3D" w:rsidP="009223E4">
      <w:pPr>
        <w:widowControl w:val="0"/>
        <w:tabs>
          <w:tab w:val="right" w:leader="dot" w:pos="9912"/>
        </w:tabs>
        <w:suppressAutoHyphens/>
        <w:spacing w:before="240" w:after="0" w:line="276" w:lineRule="auto"/>
        <w:contextualSpacing/>
        <w:rPr>
          <w:rFonts w:cstheme="minorHAnsi"/>
          <w:b/>
          <w:bCs/>
          <w:noProof/>
        </w:rPr>
      </w:pPr>
      <w:r w:rsidRPr="00C82734">
        <w:rPr>
          <w:rFonts w:cstheme="minorHAnsi"/>
          <w:b/>
          <w:bCs/>
          <w:noProof/>
        </w:rPr>
        <w:t xml:space="preserve">4.1  </w:t>
      </w:r>
      <w:r w:rsidR="008E466D">
        <w:rPr>
          <w:rFonts w:cstheme="minorHAnsi"/>
          <w:b/>
          <w:bCs/>
          <w:noProof/>
        </w:rPr>
        <w:t xml:space="preserve">   </w:t>
      </w:r>
      <w:r w:rsidRPr="00C82734">
        <w:rPr>
          <w:rFonts w:cstheme="minorHAnsi"/>
          <w:b/>
          <w:bCs/>
          <w:noProof/>
        </w:rPr>
        <w:t>Research</w:t>
      </w:r>
      <w:r w:rsidR="007611D8">
        <w:rPr>
          <w:rFonts w:cstheme="minorHAnsi"/>
          <w:b/>
          <w:bCs/>
          <w:noProof/>
        </w:rPr>
        <w:t xml:space="preserve"> Spread</w:t>
      </w:r>
      <w:r w:rsidR="000A223B">
        <w:rPr>
          <w:rFonts w:cstheme="minorHAnsi"/>
          <w:b/>
          <w:bCs/>
          <w:noProof/>
        </w:rPr>
        <w:t>:</w:t>
      </w:r>
      <w:r w:rsidRPr="00C82734">
        <w:rPr>
          <w:rFonts w:cstheme="minorHAnsi"/>
          <w:b/>
          <w:bCs/>
          <w:noProof/>
        </w:rPr>
        <w:t xml:space="preserve"> Socioeconomic Factors of Disadvantage</w:t>
      </w:r>
      <w:r w:rsidRPr="00C82734">
        <w:rPr>
          <w:rFonts w:cstheme="minorHAnsi"/>
          <w:b/>
          <w:bCs/>
          <w:noProof/>
          <w:lang w:val="en-US"/>
        </w:rPr>
        <w:t xml:space="preserve"> </w:t>
      </w:r>
      <w:r w:rsidRPr="00006406">
        <w:rPr>
          <w:rFonts w:cstheme="minorHAnsi"/>
          <w:b/>
          <w:bCs/>
          <w:noProof/>
          <w:color w:val="7F7F7F" w:themeColor="text1" w:themeTint="80"/>
        </w:rPr>
        <w:tab/>
      </w:r>
      <w:r w:rsidR="00D0268C">
        <w:rPr>
          <w:rFonts w:cstheme="minorHAnsi"/>
          <w:b/>
          <w:bCs/>
          <w:noProof/>
        </w:rPr>
        <w:t>53</w:t>
      </w:r>
    </w:p>
    <w:p w14:paraId="74BF856D" w14:textId="22A90B35" w:rsidR="00F00E3D" w:rsidRPr="00C82734" w:rsidRDefault="00F00E3D" w:rsidP="009223E4">
      <w:pPr>
        <w:widowControl w:val="0"/>
        <w:tabs>
          <w:tab w:val="right" w:leader="dot" w:pos="9912"/>
        </w:tabs>
        <w:suppressAutoHyphens/>
        <w:spacing w:before="240" w:after="0" w:line="276" w:lineRule="auto"/>
        <w:contextualSpacing/>
        <w:rPr>
          <w:rFonts w:cstheme="minorHAnsi"/>
          <w:b/>
          <w:bCs/>
          <w:noProof/>
        </w:rPr>
      </w:pPr>
      <w:r w:rsidRPr="00C82734">
        <w:rPr>
          <w:rFonts w:cstheme="minorHAnsi"/>
          <w:b/>
          <w:bCs/>
          <w:noProof/>
        </w:rPr>
        <w:t xml:space="preserve">4.2 </w:t>
      </w:r>
      <w:r w:rsidR="008E466D">
        <w:rPr>
          <w:rFonts w:cstheme="minorHAnsi"/>
          <w:b/>
          <w:bCs/>
          <w:noProof/>
        </w:rPr>
        <w:t xml:space="preserve">   </w:t>
      </w:r>
      <w:r w:rsidRPr="00C82734">
        <w:rPr>
          <w:rFonts w:cstheme="minorHAnsi"/>
          <w:b/>
          <w:bCs/>
          <w:noProof/>
        </w:rPr>
        <w:t xml:space="preserve"> Research</w:t>
      </w:r>
      <w:r w:rsidR="007611D8">
        <w:rPr>
          <w:rFonts w:cstheme="minorHAnsi"/>
          <w:b/>
          <w:bCs/>
          <w:noProof/>
        </w:rPr>
        <w:t xml:space="preserve"> Spread</w:t>
      </w:r>
      <w:r w:rsidR="000A223B">
        <w:rPr>
          <w:rFonts w:cstheme="minorHAnsi"/>
          <w:b/>
          <w:bCs/>
          <w:noProof/>
        </w:rPr>
        <w:t>:</w:t>
      </w:r>
      <w:r w:rsidRPr="00C82734">
        <w:rPr>
          <w:rFonts w:cstheme="minorHAnsi"/>
          <w:b/>
          <w:bCs/>
          <w:noProof/>
        </w:rPr>
        <w:t xml:space="preserve"> Global Interventions to Address Locational Disadvantage</w:t>
      </w:r>
      <w:r w:rsidRPr="00006406">
        <w:rPr>
          <w:rFonts w:cstheme="minorHAnsi"/>
          <w:b/>
          <w:bCs/>
          <w:noProof/>
          <w:color w:val="7F7F7F" w:themeColor="text1" w:themeTint="80"/>
        </w:rPr>
        <w:tab/>
      </w:r>
      <w:r w:rsidR="00D0268C">
        <w:rPr>
          <w:rFonts w:cstheme="minorHAnsi"/>
          <w:b/>
          <w:bCs/>
          <w:noProof/>
        </w:rPr>
        <w:t>54</w:t>
      </w:r>
    </w:p>
    <w:p w14:paraId="726E9016" w14:textId="77777777" w:rsidR="00F00E3D" w:rsidRPr="00122290" w:rsidRDefault="00F00E3D" w:rsidP="009223E4">
      <w:pPr>
        <w:widowControl w:val="0"/>
        <w:tabs>
          <w:tab w:val="right" w:leader="dot" w:pos="9912"/>
        </w:tabs>
        <w:suppressAutoHyphens/>
        <w:spacing w:before="240" w:after="0" w:line="276" w:lineRule="auto"/>
        <w:contextualSpacing/>
        <w:rPr>
          <w:rFonts w:cstheme="minorHAnsi"/>
          <w:b/>
          <w:bCs/>
          <w:noProof/>
          <w:sz w:val="12"/>
          <w:szCs w:val="12"/>
        </w:rPr>
      </w:pPr>
    </w:p>
    <w:p w14:paraId="169A8379" w14:textId="23B664C4" w:rsidR="00F00E3D" w:rsidRDefault="00F00E3D" w:rsidP="009223E4">
      <w:pPr>
        <w:widowControl w:val="0"/>
        <w:tabs>
          <w:tab w:val="right" w:leader="dot" w:pos="9912"/>
        </w:tabs>
        <w:suppressAutoHyphens/>
        <w:spacing w:before="360" w:after="0" w:line="276" w:lineRule="auto"/>
        <w:contextualSpacing/>
        <w:rPr>
          <w:b/>
          <w:bCs/>
          <w:caps/>
          <w:sz w:val="20"/>
          <w:szCs w:val="20"/>
        </w:rPr>
      </w:pPr>
      <w:r w:rsidRPr="00B203C1">
        <w:rPr>
          <w:b/>
          <w:bCs/>
          <w:caps/>
          <w:color w:val="2E74B5" w:themeColor="accent5" w:themeShade="BF"/>
          <w:sz w:val="24"/>
          <w:szCs w:val="24"/>
          <w:u w:val="single"/>
        </w:rPr>
        <w:t>SECTION 5</w:t>
      </w:r>
      <w:r w:rsidRPr="00B203C1">
        <w:rPr>
          <w:b/>
          <w:bCs/>
          <w:caps/>
          <w:color w:val="2E74B5" w:themeColor="accent5" w:themeShade="BF"/>
          <w:sz w:val="24"/>
          <w:szCs w:val="24"/>
        </w:rPr>
        <w:t xml:space="preserve">: </w:t>
      </w:r>
      <w:r w:rsidR="00AD2DA5">
        <w:rPr>
          <w:b/>
          <w:bCs/>
          <w:color w:val="2E74B5" w:themeColor="accent5" w:themeShade="BF"/>
          <w:sz w:val="24"/>
          <w:szCs w:val="24"/>
          <w:lang w:val="en-US"/>
        </w:rPr>
        <w:t>Case Studies</w:t>
      </w:r>
      <w:r w:rsidRPr="00B203C1">
        <w:rPr>
          <w:rFonts w:cstheme="minorHAnsi"/>
          <w:b/>
          <w:bCs/>
          <w:noProof/>
          <w:color w:val="2E74B5" w:themeColor="accent5" w:themeShade="BF"/>
        </w:rPr>
        <w:t xml:space="preserve"> </w:t>
      </w:r>
      <w:r w:rsidRPr="00780569">
        <w:rPr>
          <w:rFonts w:cstheme="minorHAnsi"/>
          <w:b/>
          <w:bCs/>
          <w:noProof/>
          <w:color w:val="7F7F7F" w:themeColor="text1" w:themeTint="80"/>
        </w:rPr>
        <w:tab/>
      </w:r>
      <w:r w:rsidR="002E2DD3">
        <w:rPr>
          <w:rFonts w:cstheme="minorHAnsi"/>
          <w:b/>
          <w:bCs/>
          <w:noProof/>
        </w:rPr>
        <w:t>55</w:t>
      </w:r>
    </w:p>
    <w:p w14:paraId="40B26697" w14:textId="15E25A38" w:rsidR="00F00E3D" w:rsidRDefault="00F00E3D" w:rsidP="009223E4">
      <w:pPr>
        <w:widowControl w:val="0"/>
        <w:tabs>
          <w:tab w:val="right" w:leader="dot" w:pos="9912"/>
        </w:tabs>
        <w:suppressAutoHyphens/>
        <w:spacing w:before="240" w:after="0" w:line="276" w:lineRule="auto"/>
        <w:contextualSpacing/>
        <w:rPr>
          <w:rFonts w:cstheme="minorHAnsi"/>
          <w:b/>
          <w:bCs/>
          <w:noProof/>
        </w:rPr>
      </w:pPr>
      <w:r>
        <w:rPr>
          <w:rFonts w:cstheme="minorHAnsi"/>
          <w:b/>
          <w:bCs/>
          <w:noProof/>
        </w:rPr>
        <w:t>5</w:t>
      </w:r>
      <w:r w:rsidRPr="000A29CA">
        <w:rPr>
          <w:rFonts w:cstheme="minorHAnsi"/>
          <w:b/>
          <w:bCs/>
          <w:noProof/>
        </w:rPr>
        <w:t xml:space="preserve">.1  </w:t>
      </w:r>
      <w:r w:rsidR="008E466D">
        <w:rPr>
          <w:rFonts w:cstheme="minorHAnsi"/>
          <w:b/>
          <w:bCs/>
          <w:noProof/>
        </w:rPr>
        <w:t xml:space="preserve">   </w:t>
      </w:r>
      <w:r w:rsidR="001529A4">
        <w:rPr>
          <w:rFonts w:cstheme="minorHAnsi"/>
          <w:b/>
          <w:bCs/>
          <w:noProof/>
          <w:lang w:val="en-US"/>
        </w:rPr>
        <w:t>Methodology</w:t>
      </w:r>
      <w:r w:rsidRPr="00144EF3">
        <w:rPr>
          <w:rFonts w:cstheme="minorHAnsi"/>
          <w:b/>
          <w:bCs/>
          <w:noProof/>
          <w:color w:val="7F7F7F" w:themeColor="text1" w:themeTint="80"/>
        </w:rPr>
        <w:t xml:space="preserve"> </w:t>
      </w:r>
      <w:r w:rsidRPr="00780569">
        <w:rPr>
          <w:rFonts w:cstheme="minorHAnsi"/>
          <w:b/>
          <w:bCs/>
          <w:noProof/>
          <w:color w:val="7F7F7F" w:themeColor="text1" w:themeTint="80"/>
        </w:rPr>
        <w:tab/>
      </w:r>
      <w:r w:rsidR="002E2DD3">
        <w:rPr>
          <w:rFonts w:cstheme="minorHAnsi"/>
          <w:b/>
          <w:bCs/>
          <w:noProof/>
        </w:rPr>
        <w:t>55</w:t>
      </w:r>
    </w:p>
    <w:p w14:paraId="17167A16" w14:textId="74EEB0C0" w:rsidR="00F00E3D" w:rsidRPr="000A29CA" w:rsidRDefault="00F00E3D" w:rsidP="009223E4">
      <w:pPr>
        <w:widowControl w:val="0"/>
        <w:tabs>
          <w:tab w:val="right" w:leader="dot" w:pos="9912"/>
        </w:tabs>
        <w:suppressAutoHyphens/>
        <w:spacing w:before="240" w:after="0" w:line="276" w:lineRule="auto"/>
        <w:contextualSpacing/>
        <w:rPr>
          <w:rFonts w:cstheme="minorHAnsi"/>
          <w:b/>
          <w:bCs/>
          <w:noProof/>
        </w:rPr>
      </w:pPr>
      <w:r>
        <w:rPr>
          <w:rFonts w:cstheme="minorHAnsi"/>
          <w:b/>
          <w:bCs/>
          <w:noProof/>
        </w:rPr>
        <w:t>5</w:t>
      </w:r>
      <w:r w:rsidRPr="000A29CA">
        <w:rPr>
          <w:rFonts w:cstheme="minorHAnsi"/>
          <w:b/>
          <w:bCs/>
          <w:noProof/>
        </w:rPr>
        <w:t>.</w:t>
      </w:r>
      <w:r>
        <w:rPr>
          <w:rFonts w:cstheme="minorHAnsi"/>
          <w:b/>
          <w:bCs/>
          <w:noProof/>
        </w:rPr>
        <w:t>2</w:t>
      </w:r>
      <w:r w:rsidRPr="000A29CA">
        <w:rPr>
          <w:rFonts w:cstheme="minorHAnsi"/>
          <w:b/>
          <w:bCs/>
          <w:noProof/>
        </w:rPr>
        <w:t xml:space="preserve">  </w:t>
      </w:r>
      <w:r w:rsidR="008E466D">
        <w:rPr>
          <w:rFonts w:cstheme="minorHAnsi"/>
          <w:b/>
          <w:bCs/>
          <w:noProof/>
        </w:rPr>
        <w:t xml:space="preserve">   </w:t>
      </w:r>
      <w:r w:rsidR="00D033F3">
        <w:rPr>
          <w:rFonts w:cstheme="minorHAnsi"/>
          <w:b/>
          <w:bCs/>
          <w:noProof/>
        </w:rPr>
        <w:t>Case Study Selection and Analysis</w:t>
      </w:r>
      <w:r w:rsidRPr="00780569">
        <w:rPr>
          <w:rFonts w:cstheme="minorHAnsi"/>
          <w:b/>
          <w:bCs/>
          <w:noProof/>
          <w:color w:val="7F7F7F" w:themeColor="text1" w:themeTint="80"/>
        </w:rPr>
        <w:tab/>
      </w:r>
      <w:r w:rsidR="002E2DD3">
        <w:rPr>
          <w:rFonts w:cstheme="minorHAnsi"/>
          <w:b/>
          <w:bCs/>
          <w:noProof/>
        </w:rPr>
        <w:t>57</w:t>
      </w:r>
    </w:p>
    <w:p w14:paraId="54565F8E" w14:textId="0AC9FD58" w:rsidR="00F00E3D" w:rsidRPr="000A29CA" w:rsidRDefault="00F00E3D" w:rsidP="009223E4">
      <w:pPr>
        <w:widowControl w:val="0"/>
        <w:tabs>
          <w:tab w:val="right" w:leader="dot" w:pos="9912"/>
        </w:tabs>
        <w:suppressAutoHyphens/>
        <w:spacing w:before="240" w:after="0" w:line="276" w:lineRule="auto"/>
        <w:contextualSpacing/>
        <w:rPr>
          <w:rFonts w:cstheme="minorHAnsi"/>
          <w:b/>
          <w:bCs/>
          <w:noProof/>
        </w:rPr>
      </w:pPr>
      <w:r>
        <w:rPr>
          <w:rFonts w:cstheme="minorHAnsi"/>
          <w:b/>
          <w:bCs/>
          <w:noProof/>
        </w:rPr>
        <w:t>5</w:t>
      </w:r>
      <w:r w:rsidRPr="000A29CA">
        <w:rPr>
          <w:rFonts w:cstheme="minorHAnsi"/>
          <w:b/>
          <w:bCs/>
          <w:noProof/>
        </w:rPr>
        <w:t>.</w:t>
      </w:r>
      <w:r>
        <w:rPr>
          <w:rFonts w:cstheme="minorHAnsi"/>
          <w:b/>
          <w:bCs/>
          <w:noProof/>
        </w:rPr>
        <w:t>3</w:t>
      </w:r>
      <w:r w:rsidRPr="000A29CA">
        <w:rPr>
          <w:rFonts w:cstheme="minorHAnsi"/>
          <w:b/>
          <w:bCs/>
          <w:noProof/>
        </w:rPr>
        <w:t xml:space="preserve">  </w:t>
      </w:r>
      <w:r w:rsidR="008E466D">
        <w:rPr>
          <w:rFonts w:cstheme="minorHAnsi"/>
          <w:b/>
          <w:bCs/>
          <w:noProof/>
        </w:rPr>
        <w:t xml:space="preserve">   </w:t>
      </w:r>
      <w:r w:rsidRPr="000A29CA">
        <w:rPr>
          <w:rFonts w:cstheme="minorHAnsi"/>
          <w:b/>
          <w:bCs/>
          <w:noProof/>
          <w:lang w:val="en-US"/>
        </w:rPr>
        <w:t xml:space="preserve">Australian </w:t>
      </w:r>
      <w:r w:rsidR="00AD2DA5">
        <w:rPr>
          <w:rFonts w:cstheme="minorHAnsi"/>
          <w:b/>
          <w:bCs/>
          <w:noProof/>
          <w:lang w:val="en-US"/>
        </w:rPr>
        <w:t>Case Studies</w:t>
      </w:r>
      <w:r w:rsidRPr="00144EF3">
        <w:rPr>
          <w:rFonts w:cstheme="minorHAnsi"/>
          <w:b/>
          <w:bCs/>
          <w:noProof/>
          <w:color w:val="7F7F7F" w:themeColor="text1" w:themeTint="80"/>
        </w:rPr>
        <w:t xml:space="preserve"> </w:t>
      </w:r>
      <w:r w:rsidRPr="00780569">
        <w:rPr>
          <w:rFonts w:cstheme="minorHAnsi"/>
          <w:b/>
          <w:bCs/>
          <w:noProof/>
          <w:color w:val="7F7F7F" w:themeColor="text1" w:themeTint="80"/>
        </w:rPr>
        <w:tab/>
      </w:r>
      <w:r w:rsidR="00DA6944">
        <w:rPr>
          <w:rFonts w:cstheme="minorHAnsi"/>
          <w:b/>
          <w:bCs/>
          <w:noProof/>
        </w:rPr>
        <w:t>58</w:t>
      </w:r>
    </w:p>
    <w:p w14:paraId="109CA1F5" w14:textId="298EE0F2" w:rsidR="00F00E3D" w:rsidRDefault="00F00E3D" w:rsidP="009223E4">
      <w:pPr>
        <w:widowControl w:val="0"/>
        <w:tabs>
          <w:tab w:val="right" w:leader="dot" w:pos="9912"/>
        </w:tabs>
        <w:suppressAutoHyphens/>
        <w:spacing w:before="240" w:after="0" w:line="276" w:lineRule="auto"/>
        <w:contextualSpacing/>
        <w:rPr>
          <w:rFonts w:cstheme="minorHAnsi"/>
          <w:b/>
          <w:bCs/>
          <w:noProof/>
        </w:rPr>
      </w:pPr>
      <w:r>
        <w:rPr>
          <w:rFonts w:cstheme="minorHAnsi"/>
          <w:b/>
          <w:bCs/>
          <w:noProof/>
        </w:rPr>
        <w:t>5</w:t>
      </w:r>
      <w:r w:rsidRPr="000A29CA">
        <w:rPr>
          <w:rFonts w:cstheme="minorHAnsi"/>
          <w:b/>
          <w:bCs/>
          <w:noProof/>
        </w:rPr>
        <w:t>.</w:t>
      </w:r>
      <w:r>
        <w:rPr>
          <w:rFonts w:cstheme="minorHAnsi"/>
          <w:b/>
          <w:bCs/>
          <w:noProof/>
        </w:rPr>
        <w:t>4</w:t>
      </w:r>
      <w:r w:rsidRPr="000A29CA">
        <w:rPr>
          <w:rFonts w:cstheme="minorHAnsi"/>
          <w:b/>
          <w:bCs/>
          <w:noProof/>
        </w:rPr>
        <w:t xml:space="preserve">  </w:t>
      </w:r>
      <w:r w:rsidR="008E466D">
        <w:rPr>
          <w:rFonts w:cstheme="minorHAnsi"/>
          <w:b/>
          <w:bCs/>
          <w:noProof/>
        </w:rPr>
        <w:t xml:space="preserve">   </w:t>
      </w:r>
      <w:r w:rsidRPr="000A29CA">
        <w:rPr>
          <w:rFonts w:cstheme="minorHAnsi"/>
          <w:b/>
          <w:bCs/>
          <w:noProof/>
          <w:lang w:val="en-US"/>
        </w:rPr>
        <w:t xml:space="preserve">International </w:t>
      </w:r>
      <w:r w:rsidR="00AD2DA5">
        <w:rPr>
          <w:rFonts w:cstheme="minorHAnsi"/>
          <w:b/>
          <w:bCs/>
          <w:noProof/>
          <w:lang w:val="en-US"/>
        </w:rPr>
        <w:t>Case Studies</w:t>
      </w:r>
      <w:r w:rsidRPr="00144EF3">
        <w:rPr>
          <w:rFonts w:cstheme="minorHAnsi"/>
          <w:b/>
          <w:bCs/>
          <w:noProof/>
          <w:color w:val="7F7F7F" w:themeColor="text1" w:themeTint="80"/>
        </w:rPr>
        <w:t xml:space="preserve"> </w:t>
      </w:r>
      <w:r w:rsidRPr="00780569">
        <w:rPr>
          <w:rFonts w:cstheme="minorHAnsi"/>
          <w:b/>
          <w:bCs/>
          <w:noProof/>
          <w:color w:val="7F7F7F" w:themeColor="text1" w:themeTint="80"/>
        </w:rPr>
        <w:tab/>
      </w:r>
      <w:r w:rsidR="00DA6944">
        <w:rPr>
          <w:rFonts w:cstheme="minorHAnsi"/>
          <w:b/>
          <w:bCs/>
          <w:noProof/>
        </w:rPr>
        <w:t>71</w:t>
      </w:r>
    </w:p>
    <w:p w14:paraId="0AA61EB5" w14:textId="60605ECE" w:rsidR="001529A4" w:rsidRDefault="001529A4" w:rsidP="009223E4">
      <w:pPr>
        <w:widowControl w:val="0"/>
        <w:tabs>
          <w:tab w:val="right" w:leader="dot" w:pos="9912"/>
        </w:tabs>
        <w:suppressAutoHyphens/>
        <w:spacing w:before="240" w:after="0" w:line="276" w:lineRule="auto"/>
        <w:contextualSpacing/>
        <w:rPr>
          <w:rFonts w:cstheme="minorHAnsi"/>
          <w:b/>
          <w:bCs/>
          <w:noProof/>
        </w:rPr>
      </w:pPr>
      <w:r>
        <w:rPr>
          <w:rFonts w:cstheme="minorHAnsi"/>
          <w:b/>
          <w:bCs/>
          <w:noProof/>
        </w:rPr>
        <w:t>5</w:t>
      </w:r>
      <w:r w:rsidRPr="000A29CA">
        <w:rPr>
          <w:rFonts w:cstheme="minorHAnsi"/>
          <w:b/>
          <w:bCs/>
          <w:noProof/>
        </w:rPr>
        <w:t>.</w:t>
      </w:r>
      <w:r w:rsidR="00DA6944">
        <w:rPr>
          <w:rFonts w:cstheme="minorHAnsi"/>
          <w:b/>
          <w:bCs/>
          <w:noProof/>
        </w:rPr>
        <w:t>5</w:t>
      </w:r>
      <w:r w:rsidRPr="000A29CA">
        <w:rPr>
          <w:rFonts w:cstheme="minorHAnsi"/>
          <w:b/>
          <w:bCs/>
          <w:noProof/>
        </w:rPr>
        <w:t xml:space="preserve">  </w:t>
      </w:r>
      <w:r>
        <w:rPr>
          <w:rFonts w:cstheme="minorHAnsi"/>
          <w:b/>
          <w:bCs/>
          <w:noProof/>
        </w:rPr>
        <w:t xml:space="preserve">   </w:t>
      </w:r>
      <w:r>
        <w:rPr>
          <w:rFonts w:cstheme="minorHAnsi"/>
          <w:b/>
          <w:bCs/>
          <w:noProof/>
          <w:lang w:val="en-US"/>
        </w:rPr>
        <w:t>Conclusion:</w:t>
      </w:r>
      <w:r w:rsidRPr="00144EF3">
        <w:rPr>
          <w:rFonts w:cstheme="minorHAnsi"/>
          <w:b/>
          <w:bCs/>
          <w:noProof/>
          <w:color w:val="7F7F7F" w:themeColor="text1" w:themeTint="80"/>
        </w:rPr>
        <w:t xml:space="preserve"> </w:t>
      </w:r>
      <w:r>
        <w:rPr>
          <w:rFonts w:cstheme="minorHAnsi"/>
          <w:b/>
          <w:bCs/>
          <w:noProof/>
          <w:lang w:val="en-US"/>
        </w:rPr>
        <w:t>What Factors Influence Program Success?</w:t>
      </w:r>
      <w:r w:rsidR="00D033F3">
        <w:rPr>
          <w:rFonts w:cstheme="minorHAnsi"/>
          <w:b/>
          <w:bCs/>
          <w:noProof/>
        </w:rPr>
        <w:t xml:space="preserve"> </w:t>
      </w:r>
      <w:r w:rsidR="00D033F3" w:rsidRPr="00006406">
        <w:rPr>
          <w:rFonts w:cstheme="minorHAnsi"/>
          <w:b/>
          <w:bCs/>
          <w:noProof/>
          <w:color w:val="7F7F7F" w:themeColor="text1" w:themeTint="80"/>
        </w:rPr>
        <w:tab/>
      </w:r>
      <w:r w:rsidR="00B17FD7">
        <w:rPr>
          <w:rFonts w:cstheme="minorHAnsi"/>
          <w:b/>
          <w:bCs/>
          <w:noProof/>
        </w:rPr>
        <w:t>86</w:t>
      </w:r>
    </w:p>
    <w:p w14:paraId="6A923768" w14:textId="77777777" w:rsidR="00B06EAA" w:rsidRDefault="00B06EAA" w:rsidP="009223E4">
      <w:pPr>
        <w:spacing w:after="0" w:line="276" w:lineRule="auto"/>
        <w:rPr>
          <w:rFonts w:cstheme="minorHAnsi"/>
          <w:b/>
          <w:bCs/>
          <w:noProof/>
        </w:rPr>
      </w:pPr>
      <w:r>
        <w:rPr>
          <w:rFonts w:cstheme="minorHAnsi"/>
          <w:b/>
          <w:bCs/>
          <w:noProof/>
        </w:rPr>
        <w:br w:type="page"/>
      </w:r>
    </w:p>
    <w:p w14:paraId="57C2A382" w14:textId="436A3C04" w:rsidR="00F00E3D" w:rsidRPr="00B203C1" w:rsidRDefault="00F00E3D" w:rsidP="009223E4">
      <w:pPr>
        <w:tabs>
          <w:tab w:val="right" w:leader="dot" w:pos="9912"/>
        </w:tabs>
        <w:spacing w:after="0" w:line="276" w:lineRule="auto"/>
        <w:rPr>
          <w:b/>
          <w:bCs/>
          <w:caps/>
          <w:noProof/>
          <w:color w:val="2E74B5" w:themeColor="accent5" w:themeShade="BF"/>
          <w:sz w:val="24"/>
          <w:szCs w:val="24"/>
          <w:u w:val="single"/>
        </w:rPr>
      </w:pPr>
      <w:bookmarkStart w:id="2" w:name="_Hlk70765165"/>
      <w:r w:rsidRPr="00B203C1">
        <w:rPr>
          <w:b/>
          <w:bCs/>
          <w:caps/>
          <w:noProof/>
          <w:color w:val="2E74B5" w:themeColor="accent5" w:themeShade="BF"/>
          <w:sz w:val="24"/>
          <w:szCs w:val="24"/>
          <w:u w:val="single"/>
        </w:rPr>
        <w:lastRenderedPageBreak/>
        <w:t xml:space="preserve">Part B : </w:t>
      </w:r>
      <w:r w:rsidR="00940D80" w:rsidRPr="00B203C1">
        <w:rPr>
          <w:b/>
          <w:bCs/>
          <w:caps/>
          <w:noProof/>
          <w:color w:val="2E74B5" w:themeColor="accent5" w:themeShade="BF"/>
          <w:sz w:val="24"/>
          <w:szCs w:val="24"/>
          <w:u w:val="single"/>
        </w:rPr>
        <w:t>COVID</w:t>
      </w:r>
      <w:r w:rsidRPr="00B203C1">
        <w:rPr>
          <w:b/>
          <w:bCs/>
          <w:caps/>
          <w:noProof/>
          <w:color w:val="2E74B5" w:themeColor="accent5" w:themeShade="BF"/>
          <w:sz w:val="24"/>
          <w:szCs w:val="24"/>
          <w:u w:val="single"/>
        </w:rPr>
        <w:t>-19 IMPACT S</w:t>
      </w:r>
      <w:r w:rsidR="00DE3B44" w:rsidRPr="00B203C1">
        <w:rPr>
          <w:b/>
          <w:bCs/>
          <w:caps/>
          <w:noProof/>
          <w:color w:val="2E74B5" w:themeColor="accent5" w:themeShade="BF"/>
          <w:sz w:val="24"/>
          <w:szCs w:val="24"/>
          <w:u w:val="single"/>
        </w:rPr>
        <w:t>T</w:t>
      </w:r>
      <w:r w:rsidRPr="00B203C1">
        <w:rPr>
          <w:b/>
          <w:bCs/>
          <w:caps/>
          <w:noProof/>
          <w:color w:val="2E74B5" w:themeColor="accent5" w:themeShade="BF"/>
          <w:sz w:val="24"/>
          <w:szCs w:val="24"/>
          <w:u w:val="single"/>
        </w:rPr>
        <w:t>UDY</w:t>
      </w:r>
      <w:r w:rsidR="00B17FD7" w:rsidRPr="007A30C2">
        <w:rPr>
          <w:b/>
          <w:bCs/>
          <w:color w:val="7F7F7F" w:themeColor="text1" w:themeTint="80"/>
        </w:rPr>
        <w:tab/>
      </w:r>
      <w:r w:rsidR="00B17FD7" w:rsidRPr="00B17FD7">
        <w:rPr>
          <w:b/>
          <w:bCs/>
        </w:rPr>
        <w:t>88</w:t>
      </w:r>
    </w:p>
    <w:p w14:paraId="756D370E" w14:textId="77777777" w:rsidR="00004A9E" w:rsidRPr="00004A9E" w:rsidRDefault="00004A9E" w:rsidP="009223E4">
      <w:pPr>
        <w:tabs>
          <w:tab w:val="right" w:leader="dot" w:pos="9912"/>
        </w:tabs>
        <w:spacing w:after="0" w:line="276" w:lineRule="auto"/>
        <w:rPr>
          <w:b/>
          <w:bCs/>
          <w:caps/>
          <w:noProof/>
          <w:color w:val="2E74B5" w:themeColor="accent5" w:themeShade="BF"/>
          <w:sz w:val="12"/>
          <w:szCs w:val="12"/>
          <w:u w:val="single"/>
        </w:rPr>
      </w:pPr>
    </w:p>
    <w:p w14:paraId="61079A00" w14:textId="5FB1BF29" w:rsidR="00F00E3D" w:rsidRPr="00FE0B64" w:rsidRDefault="00F00E3D" w:rsidP="009223E4">
      <w:pPr>
        <w:tabs>
          <w:tab w:val="right" w:leader="dot" w:pos="9912"/>
        </w:tabs>
        <w:spacing w:after="0" w:line="276" w:lineRule="auto"/>
        <w:rPr>
          <w:b/>
          <w:bCs/>
          <w:caps/>
          <w:noProof/>
          <w:sz w:val="24"/>
          <w:szCs w:val="24"/>
          <w:u w:val="single"/>
          <w:lang w:val="en-US"/>
        </w:rPr>
      </w:pPr>
      <w:bookmarkStart w:id="3" w:name="_Hlk70867293"/>
      <w:r w:rsidRPr="00B203C1">
        <w:rPr>
          <w:b/>
          <w:bCs/>
          <w:caps/>
          <w:noProof/>
          <w:color w:val="2E74B5" w:themeColor="accent5" w:themeShade="BF"/>
          <w:sz w:val="24"/>
          <w:szCs w:val="24"/>
          <w:u w:val="single"/>
        </w:rPr>
        <w:t xml:space="preserve">SECTION 6 </w:t>
      </w:r>
      <w:r w:rsidRPr="00B203C1">
        <w:rPr>
          <w:b/>
          <w:bCs/>
          <w:caps/>
          <w:noProof/>
          <w:color w:val="2E74B5" w:themeColor="accent5" w:themeShade="BF"/>
          <w:sz w:val="24"/>
          <w:szCs w:val="24"/>
        </w:rPr>
        <w:t>:</w:t>
      </w:r>
      <w:r w:rsidRPr="00B203C1">
        <w:rPr>
          <w:rFonts w:eastAsia="Calibri"/>
          <w:b/>
          <w:bCs/>
          <w:color w:val="2E74B5" w:themeColor="accent5" w:themeShade="BF"/>
          <w:sz w:val="24"/>
          <w:szCs w:val="24"/>
          <w:lang w:val="en-US"/>
        </w:rPr>
        <w:t xml:space="preserve"> </w:t>
      </w:r>
      <w:r w:rsidRPr="00B203C1">
        <w:rPr>
          <w:b/>
          <w:bCs/>
          <w:noProof/>
          <w:color w:val="2E74B5" w:themeColor="accent5" w:themeShade="BF"/>
          <w:sz w:val="24"/>
          <w:szCs w:val="24"/>
          <w:lang w:val="en-US"/>
        </w:rPr>
        <w:t>Impact</w:t>
      </w:r>
      <w:r w:rsidR="00284271" w:rsidRPr="00B203C1">
        <w:rPr>
          <w:b/>
          <w:bCs/>
          <w:noProof/>
          <w:color w:val="2E74B5" w:themeColor="accent5" w:themeShade="BF"/>
          <w:sz w:val="24"/>
          <w:szCs w:val="24"/>
          <w:lang w:val="en-US"/>
        </w:rPr>
        <w:t>s</w:t>
      </w:r>
      <w:r w:rsidRPr="00B203C1">
        <w:rPr>
          <w:b/>
          <w:bCs/>
          <w:noProof/>
          <w:color w:val="2E74B5" w:themeColor="accent5" w:themeShade="BF"/>
          <w:sz w:val="24"/>
          <w:szCs w:val="24"/>
          <w:lang w:val="en-US"/>
        </w:rPr>
        <w:t xml:space="preserve"> of </w:t>
      </w:r>
      <w:r w:rsidR="00940D80" w:rsidRPr="00B203C1">
        <w:rPr>
          <w:b/>
          <w:bCs/>
          <w:noProof/>
          <w:color w:val="2E74B5" w:themeColor="accent5" w:themeShade="BF"/>
          <w:sz w:val="24"/>
          <w:szCs w:val="24"/>
          <w:lang w:val="en-US"/>
        </w:rPr>
        <w:t>COVID</w:t>
      </w:r>
      <w:r w:rsidRPr="00B203C1">
        <w:rPr>
          <w:b/>
          <w:bCs/>
          <w:noProof/>
          <w:color w:val="2E74B5" w:themeColor="accent5" w:themeShade="BF"/>
          <w:sz w:val="24"/>
          <w:szCs w:val="24"/>
          <w:lang w:val="en-US"/>
        </w:rPr>
        <w:t xml:space="preserve">-19 </w:t>
      </w:r>
      <w:r w:rsidR="00284271" w:rsidRPr="00B203C1">
        <w:rPr>
          <w:b/>
          <w:bCs/>
          <w:noProof/>
          <w:color w:val="2E74B5" w:themeColor="accent5" w:themeShade="BF"/>
          <w:sz w:val="24"/>
          <w:szCs w:val="24"/>
          <w:lang w:val="en-US"/>
        </w:rPr>
        <w:t xml:space="preserve">on </w:t>
      </w:r>
      <w:r w:rsidR="00004A9E" w:rsidRPr="00B203C1">
        <w:rPr>
          <w:b/>
          <w:bCs/>
          <w:noProof/>
          <w:color w:val="2E74B5" w:themeColor="accent5" w:themeShade="BF"/>
          <w:sz w:val="24"/>
          <w:szCs w:val="24"/>
          <w:lang w:val="en-US"/>
        </w:rPr>
        <w:t>Australia</w:t>
      </w:r>
      <w:r w:rsidR="00150C8C" w:rsidRPr="00B203C1">
        <w:rPr>
          <w:b/>
          <w:bCs/>
          <w:noProof/>
          <w:color w:val="2E74B5" w:themeColor="accent5" w:themeShade="BF"/>
          <w:sz w:val="24"/>
          <w:szCs w:val="24"/>
          <w:lang w:val="en-US"/>
        </w:rPr>
        <w:t xml:space="preserve"> and Geelong</w:t>
      </w:r>
      <w:r w:rsidRPr="007A30C2">
        <w:rPr>
          <w:b/>
          <w:bCs/>
          <w:color w:val="7F7F7F" w:themeColor="text1" w:themeTint="80"/>
        </w:rPr>
        <w:tab/>
      </w:r>
      <w:r w:rsidR="00B17FD7" w:rsidRPr="00B17FD7">
        <w:rPr>
          <w:b/>
          <w:bCs/>
        </w:rPr>
        <w:t>89</w:t>
      </w:r>
    </w:p>
    <w:p w14:paraId="7BABE1CA" w14:textId="7CB81323" w:rsidR="00F00E3D" w:rsidRDefault="00F00E3D" w:rsidP="009223E4">
      <w:pPr>
        <w:tabs>
          <w:tab w:val="right" w:leader="dot" w:pos="9912"/>
        </w:tabs>
        <w:spacing w:after="0" w:line="276" w:lineRule="auto"/>
        <w:rPr>
          <w:b/>
          <w:bCs/>
          <w:noProof/>
          <w:lang w:val="en-GB"/>
        </w:rPr>
      </w:pPr>
      <w:r w:rsidRPr="43B78878">
        <w:rPr>
          <w:b/>
          <w:bCs/>
          <w:caps/>
          <w:noProof/>
          <w:color w:val="000000" w:themeColor="text1"/>
        </w:rPr>
        <w:t>6</w:t>
      </w:r>
      <w:r w:rsidRPr="006E257B">
        <w:rPr>
          <w:b/>
          <w:bCs/>
          <w:caps/>
          <w:noProof/>
          <w:color w:val="000000" w:themeColor="text1"/>
        </w:rPr>
        <w:t>.1</w:t>
      </w:r>
      <w:r w:rsidR="00C47B0A">
        <w:rPr>
          <w:b/>
          <w:bCs/>
          <w:caps/>
          <w:noProof/>
          <w:color w:val="000000" w:themeColor="text1"/>
        </w:rPr>
        <w:t xml:space="preserve"> </w:t>
      </w:r>
      <w:r w:rsidRPr="00CA11F7">
        <w:rPr>
          <w:rFonts w:eastAsia="Calibri"/>
          <w:b/>
          <w:bCs/>
          <w:color w:val="000000" w:themeColor="text1"/>
          <w:lang w:val="en-US"/>
        </w:rPr>
        <w:t xml:space="preserve"> </w:t>
      </w:r>
      <w:r w:rsidR="00370F45">
        <w:rPr>
          <w:rFonts w:eastAsia="Calibri"/>
          <w:b/>
          <w:bCs/>
          <w:color w:val="000000" w:themeColor="text1"/>
          <w:lang w:val="en-US"/>
        </w:rPr>
        <w:t xml:space="preserve">   </w:t>
      </w:r>
      <w:r w:rsidRPr="00CA11F7">
        <w:rPr>
          <w:b/>
          <w:bCs/>
          <w:noProof/>
          <w:color w:val="000000" w:themeColor="text1"/>
          <w:lang w:val="en-US"/>
        </w:rPr>
        <w:t>National Trends</w:t>
      </w:r>
      <w:r w:rsidRPr="43B78878">
        <w:rPr>
          <w:b/>
          <w:color w:val="7F7F7F" w:themeColor="text1" w:themeTint="80"/>
        </w:rPr>
        <w:t xml:space="preserve"> </w:t>
      </w:r>
      <w:r w:rsidRPr="007A30C2">
        <w:rPr>
          <w:b/>
          <w:bCs/>
          <w:color w:val="7F7F7F" w:themeColor="text1" w:themeTint="80"/>
        </w:rPr>
        <w:tab/>
      </w:r>
      <w:r w:rsidR="00B17FD7" w:rsidRPr="00B17FD7">
        <w:rPr>
          <w:b/>
          <w:bCs/>
        </w:rPr>
        <w:t>89</w:t>
      </w:r>
    </w:p>
    <w:p w14:paraId="0C0202E3" w14:textId="67957669" w:rsidR="00F00E3D" w:rsidRDefault="00412848" w:rsidP="009223E4">
      <w:pPr>
        <w:tabs>
          <w:tab w:val="right" w:leader="dot" w:pos="9912"/>
        </w:tabs>
        <w:spacing w:after="0" w:line="276" w:lineRule="auto"/>
        <w:rPr>
          <w:b/>
          <w:bCs/>
          <w:noProof/>
        </w:rPr>
      </w:pPr>
      <w:r>
        <w:rPr>
          <w:b/>
          <w:bCs/>
          <w:noProof/>
        </w:rPr>
        <w:t xml:space="preserve">6.1.1 </w:t>
      </w:r>
      <w:r w:rsidR="00370F45">
        <w:rPr>
          <w:b/>
          <w:bCs/>
          <w:noProof/>
        </w:rPr>
        <w:t xml:space="preserve"> </w:t>
      </w:r>
      <w:r w:rsidR="00F00E3D">
        <w:rPr>
          <w:b/>
          <w:bCs/>
          <w:noProof/>
        </w:rPr>
        <w:t xml:space="preserve">Economy </w:t>
      </w:r>
      <w:r w:rsidR="004C70A5">
        <w:rPr>
          <w:b/>
          <w:bCs/>
          <w:noProof/>
        </w:rPr>
        <w:t>and</w:t>
      </w:r>
      <w:r w:rsidR="00F00E3D">
        <w:rPr>
          <w:b/>
          <w:bCs/>
          <w:noProof/>
        </w:rPr>
        <w:t xml:space="preserve"> Income</w:t>
      </w:r>
      <w:r w:rsidR="00F00E3D" w:rsidRPr="00771C76">
        <w:rPr>
          <w:rFonts w:cstheme="minorHAnsi"/>
          <w:b/>
          <w:bCs/>
          <w:noProof/>
          <w:color w:val="7F7F7F" w:themeColor="text1" w:themeTint="80"/>
        </w:rPr>
        <w:t xml:space="preserve"> </w:t>
      </w:r>
      <w:r w:rsidR="00F00E3D" w:rsidRPr="00780569">
        <w:rPr>
          <w:rFonts w:cstheme="minorHAnsi"/>
          <w:b/>
          <w:bCs/>
          <w:noProof/>
          <w:color w:val="7F7F7F" w:themeColor="text1" w:themeTint="80"/>
        </w:rPr>
        <w:tab/>
      </w:r>
      <w:r w:rsidR="00E408A0">
        <w:rPr>
          <w:b/>
          <w:bCs/>
        </w:rPr>
        <w:t>89</w:t>
      </w:r>
    </w:p>
    <w:p w14:paraId="443585B9" w14:textId="0C802E49" w:rsidR="00F00E3D" w:rsidRPr="00D54BA5" w:rsidRDefault="00370F45" w:rsidP="009223E4">
      <w:pPr>
        <w:tabs>
          <w:tab w:val="right" w:leader="dot" w:pos="9912"/>
        </w:tabs>
        <w:spacing w:after="0" w:line="276" w:lineRule="auto"/>
        <w:rPr>
          <w:b/>
          <w:bCs/>
          <w:noProof/>
        </w:rPr>
      </w:pPr>
      <w:r>
        <w:rPr>
          <w:b/>
          <w:bCs/>
          <w:noProof/>
        </w:rPr>
        <w:t xml:space="preserve">6.1.2  </w:t>
      </w:r>
      <w:r w:rsidR="00F00E3D">
        <w:rPr>
          <w:b/>
          <w:bCs/>
          <w:noProof/>
        </w:rPr>
        <w:t>Education</w:t>
      </w:r>
      <w:r w:rsidR="00F00E3D" w:rsidRPr="00771C76">
        <w:rPr>
          <w:rFonts w:cstheme="minorHAnsi"/>
          <w:b/>
          <w:bCs/>
          <w:noProof/>
          <w:color w:val="7F7F7F" w:themeColor="text1" w:themeTint="80"/>
        </w:rPr>
        <w:t xml:space="preserve"> </w:t>
      </w:r>
      <w:r w:rsidR="00F00E3D" w:rsidRPr="00780569">
        <w:rPr>
          <w:rFonts w:cstheme="minorHAnsi"/>
          <w:b/>
          <w:bCs/>
          <w:noProof/>
          <w:color w:val="7F7F7F" w:themeColor="text1" w:themeTint="80"/>
        </w:rPr>
        <w:tab/>
      </w:r>
      <w:r w:rsidR="00E408A0">
        <w:rPr>
          <w:rFonts w:cstheme="minorHAnsi"/>
          <w:b/>
          <w:bCs/>
          <w:noProof/>
        </w:rPr>
        <w:t>91</w:t>
      </w:r>
    </w:p>
    <w:p w14:paraId="5457DA14" w14:textId="695C3C96" w:rsidR="00F00E3D" w:rsidRDefault="00370F45" w:rsidP="009223E4">
      <w:pPr>
        <w:tabs>
          <w:tab w:val="right" w:leader="dot" w:pos="9912"/>
        </w:tabs>
        <w:spacing w:after="0" w:line="276" w:lineRule="auto"/>
        <w:rPr>
          <w:b/>
          <w:bCs/>
          <w:noProof/>
        </w:rPr>
      </w:pPr>
      <w:r>
        <w:rPr>
          <w:b/>
          <w:bCs/>
          <w:noProof/>
        </w:rPr>
        <w:t xml:space="preserve">6.1.3  </w:t>
      </w:r>
      <w:r w:rsidR="00F00E3D">
        <w:rPr>
          <w:b/>
          <w:bCs/>
          <w:noProof/>
        </w:rPr>
        <w:t>Employment</w:t>
      </w:r>
      <w:r w:rsidR="00F00E3D" w:rsidRPr="00771C76">
        <w:rPr>
          <w:rFonts w:cstheme="minorHAnsi"/>
          <w:b/>
          <w:bCs/>
          <w:noProof/>
          <w:color w:val="7F7F7F" w:themeColor="text1" w:themeTint="80"/>
        </w:rPr>
        <w:t xml:space="preserve"> </w:t>
      </w:r>
      <w:r w:rsidR="00F00E3D" w:rsidRPr="00780569">
        <w:rPr>
          <w:rFonts w:cstheme="minorHAnsi"/>
          <w:b/>
          <w:bCs/>
          <w:noProof/>
          <w:color w:val="7F7F7F" w:themeColor="text1" w:themeTint="80"/>
        </w:rPr>
        <w:tab/>
      </w:r>
      <w:r w:rsidR="00E408A0">
        <w:rPr>
          <w:rFonts w:cstheme="minorHAnsi"/>
          <w:b/>
          <w:bCs/>
          <w:noProof/>
        </w:rPr>
        <w:t>94</w:t>
      </w:r>
    </w:p>
    <w:p w14:paraId="4956233B" w14:textId="3C1C2D13" w:rsidR="00F00E3D" w:rsidRDefault="00370F45" w:rsidP="009223E4">
      <w:pPr>
        <w:tabs>
          <w:tab w:val="right" w:leader="dot" w:pos="9912"/>
        </w:tabs>
        <w:spacing w:after="0" w:line="276" w:lineRule="auto"/>
        <w:rPr>
          <w:b/>
          <w:bCs/>
          <w:noProof/>
        </w:rPr>
      </w:pPr>
      <w:r>
        <w:rPr>
          <w:b/>
          <w:bCs/>
          <w:noProof/>
        </w:rPr>
        <w:t xml:space="preserve">6.1.4  </w:t>
      </w:r>
      <w:r w:rsidR="00F00E3D">
        <w:rPr>
          <w:b/>
          <w:bCs/>
          <w:noProof/>
        </w:rPr>
        <w:t xml:space="preserve">Health </w:t>
      </w:r>
      <w:r w:rsidR="004C70A5">
        <w:rPr>
          <w:b/>
          <w:bCs/>
          <w:noProof/>
        </w:rPr>
        <w:t>and</w:t>
      </w:r>
      <w:r w:rsidR="00F00E3D">
        <w:rPr>
          <w:b/>
          <w:bCs/>
          <w:noProof/>
        </w:rPr>
        <w:t xml:space="preserve"> Wellbeing</w:t>
      </w:r>
      <w:r w:rsidR="00F00E3D" w:rsidRPr="00771C76">
        <w:rPr>
          <w:rFonts w:cstheme="minorHAnsi"/>
          <w:b/>
          <w:bCs/>
          <w:noProof/>
          <w:color w:val="7F7F7F" w:themeColor="text1" w:themeTint="80"/>
        </w:rPr>
        <w:t xml:space="preserve"> </w:t>
      </w:r>
      <w:r w:rsidR="00F00E3D" w:rsidRPr="00780569">
        <w:rPr>
          <w:rFonts w:cstheme="minorHAnsi"/>
          <w:b/>
          <w:bCs/>
          <w:noProof/>
          <w:color w:val="7F7F7F" w:themeColor="text1" w:themeTint="80"/>
        </w:rPr>
        <w:tab/>
      </w:r>
      <w:r w:rsidR="00E408A0">
        <w:rPr>
          <w:rFonts w:cstheme="minorHAnsi"/>
          <w:b/>
          <w:bCs/>
          <w:noProof/>
        </w:rPr>
        <w:t>99</w:t>
      </w:r>
    </w:p>
    <w:p w14:paraId="089272D7" w14:textId="65011EF9" w:rsidR="00F00E3D" w:rsidRDefault="00370F45" w:rsidP="009223E4">
      <w:pPr>
        <w:tabs>
          <w:tab w:val="right" w:leader="dot" w:pos="9912"/>
        </w:tabs>
        <w:spacing w:after="0" w:line="276" w:lineRule="auto"/>
        <w:rPr>
          <w:rFonts w:cstheme="minorHAnsi"/>
          <w:b/>
          <w:bCs/>
          <w:noProof/>
        </w:rPr>
      </w:pPr>
      <w:r>
        <w:rPr>
          <w:b/>
          <w:bCs/>
          <w:noProof/>
        </w:rPr>
        <w:t xml:space="preserve">6.1.5  </w:t>
      </w:r>
      <w:r w:rsidR="00F00E3D">
        <w:rPr>
          <w:b/>
          <w:bCs/>
          <w:noProof/>
        </w:rPr>
        <w:t>Housing</w:t>
      </w:r>
      <w:r w:rsidR="00F00E3D" w:rsidRPr="00771C76">
        <w:rPr>
          <w:rFonts w:cstheme="minorHAnsi"/>
          <w:b/>
          <w:bCs/>
          <w:noProof/>
          <w:color w:val="7F7F7F" w:themeColor="text1" w:themeTint="80"/>
        </w:rPr>
        <w:t xml:space="preserve"> </w:t>
      </w:r>
      <w:r w:rsidR="00F00E3D" w:rsidRPr="00780569">
        <w:rPr>
          <w:rFonts w:cstheme="minorHAnsi"/>
          <w:b/>
          <w:bCs/>
          <w:noProof/>
          <w:color w:val="7F7F7F" w:themeColor="text1" w:themeTint="80"/>
        </w:rPr>
        <w:tab/>
      </w:r>
      <w:r w:rsidR="00E408A0">
        <w:rPr>
          <w:rFonts w:cstheme="minorHAnsi"/>
          <w:b/>
          <w:bCs/>
          <w:noProof/>
        </w:rPr>
        <w:t>100</w:t>
      </w:r>
    </w:p>
    <w:p w14:paraId="754C64DD" w14:textId="14D01B22" w:rsidR="00F00E3D" w:rsidRPr="0081627C" w:rsidRDefault="00370F45" w:rsidP="009223E4">
      <w:pPr>
        <w:tabs>
          <w:tab w:val="right" w:leader="dot" w:pos="9912"/>
        </w:tabs>
        <w:spacing w:after="0" w:line="276" w:lineRule="auto"/>
        <w:rPr>
          <w:b/>
          <w:bCs/>
          <w:noProof/>
        </w:rPr>
      </w:pPr>
      <w:r>
        <w:rPr>
          <w:b/>
          <w:bCs/>
          <w:noProof/>
        </w:rPr>
        <w:t xml:space="preserve">6.1.6  </w:t>
      </w:r>
      <w:r w:rsidR="00F00E3D">
        <w:rPr>
          <w:b/>
          <w:bCs/>
          <w:noProof/>
        </w:rPr>
        <w:t>Liveability</w:t>
      </w:r>
      <w:r w:rsidR="00F00E3D" w:rsidRPr="00780569">
        <w:rPr>
          <w:rFonts w:cstheme="minorHAnsi"/>
          <w:b/>
          <w:bCs/>
          <w:noProof/>
          <w:color w:val="7F7F7F" w:themeColor="text1" w:themeTint="80"/>
        </w:rPr>
        <w:tab/>
      </w:r>
      <w:r w:rsidR="00E408A0">
        <w:rPr>
          <w:rFonts w:cstheme="minorHAnsi"/>
          <w:b/>
          <w:bCs/>
          <w:noProof/>
        </w:rPr>
        <w:t>104</w:t>
      </w:r>
    </w:p>
    <w:p w14:paraId="0EC66C6C" w14:textId="3F01AF5F" w:rsidR="00F00E3D" w:rsidRPr="00857CDD" w:rsidRDefault="0017372E" w:rsidP="009223E4">
      <w:pPr>
        <w:tabs>
          <w:tab w:val="right" w:leader="dot" w:pos="9912"/>
        </w:tabs>
        <w:spacing w:after="0" w:line="276" w:lineRule="auto"/>
        <w:rPr>
          <w:b/>
          <w:bCs/>
          <w:noProof/>
        </w:rPr>
      </w:pPr>
      <w:r>
        <w:rPr>
          <w:b/>
          <w:bCs/>
          <w:noProof/>
        </w:rPr>
        <w:t xml:space="preserve">6.1.7  Summary: </w:t>
      </w:r>
      <w:r w:rsidR="00F00E3D" w:rsidRPr="00CA11F7">
        <w:rPr>
          <w:b/>
          <w:bCs/>
          <w:noProof/>
        </w:rPr>
        <w:t>National Trends</w:t>
      </w:r>
      <w:r>
        <w:rPr>
          <w:b/>
          <w:bCs/>
          <w:noProof/>
        </w:rPr>
        <w:t xml:space="preserve"> </w:t>
      </w:r>
      <w:r w:rsidR="00F00E3D" w:rsidRPr="00CA11F7">
        <w:rPr>
          <w:b/>
          <w:bCs/>
          <w:noProof/>
        </w:rPr>
        <w:t xml:space="preserve">and </w:t>
      </w:r>
      <w:r>
        <w:rPr>
          <w:b/>
          <w:bCs/>
          <w:noProof/>
        </w:rPr>
        <w:t>I</w:t>
      </w:r>
      <w:r w:rsidR="00F00E3D" w:rsidRPr="00CA11F7">
        <w:rPr>
          <w:b/>
          <w:bCs/>
          <w:noProof/>
        </w:rPr>
        <w:t xml:space="preserve">mpacts on </w:t>
      </w:r>
      <w:r>
        <w:rPr>
          <w:b/>
          <w:bCs/>
          <w:noProof/>
        </w:rPr>
        <w:t>D</w:t>
      </w:r>
      <w:r w:rsidR="00F00E3D" w:rsidRPr="00CA11F7">
        <w:rPr>
          <w:b/>
          <w:bCs/>
          <w:noProof/>
        </w:rPr>
        <w:t>isadvantage</w:t>
      </w:r>
      <w:r w:rsidR="00F00E3D" w:rsidRPr="00771C76">
        <w:rPr>
          <w:rFonts w:cstheme="minorHAnsi"/>
          <w:b/>
          <w:bCs/>
          <w:noProof/>
          <w:color w:val="7F7F7F" w:themeColor="text1" w:themeTint="80"/>
        </w:rPr>
        <w:t xml:space="preserve"> </w:t>
      </w:r>
      <w:r w:rsidR="00F00E3D" w:rsidRPr="00780569">
        <w:rPr>
          <w:rFonts w:cstheme="minorHAnsi"/>
          <w:b/>
          <w:bCs/>
          <w:noProof/>
          <w:color w:val="7F7F7F" w:themeColor="text1" w:themeTint="80"/>
        </w:rPr>
        <w:tab/>
      </w:r>
      <w:r w:rsidR="004955F0">
        <w:rPr>
          <w:rFonts w:cstheme="minorHAnsi"/>
          <w:b/>
          <w:bCs/>
          <w:noProof/>
        </w:rPr>
        <w:t>106</w:t>
      </w:r>
    </w:p>
    <w:p w14:paraId="6D3A21B4" w14:textId="71B0BED1" w:rsidR="00F00E3D" w:rsidRPr="002F5BF8" w:rsidRDefault="00F00E3D" w:rsidP="009223E4">
      <w:pPr>
        <w:tabs>
          <w:tab w:val="right" w:leader="dot" w:pos="9912"/>
        </w:tabs>
        <w:spacing w:after="0" w:line="276" w:lineRule="auto"/>
        <w:rPr>
          <w:b/>
        </w:rPr>
      </w:pPr>
      <w:r w:rsidRPr="002F5BF8">
        <w:rPr>
          <w:b/>
          <w:bCs/>
          <w:caps/>
          <w:noProof/>
          <w:color w:val="000000" w:themeColor="text1"/>
        </w:rPr>
        <w:t>6.2</w:t>
      </w:r>
      <w:r w:rsidRPr="002F5BF8">
        <w:rPr>
          <w:rFonts w:eastAsia="Calibri"/>
          <w:b/>
          <w:bCs/>
          <w:color w:val="000000" w:themeColor="text1"/>
          <w:lang w:val="en-US"/>
        </w:rPr>
        <w:t xml:space="preserve">  </w:t>
      </w:r>
      <w:r w:rsidR="0017372E" w:rsidRPr="002F5BF8">
        <w:rPr>
          <w:rFonts w:eastAsia="Calibri"/>
          <w:b/>
          <w:bCs/>
          <w:color w:val="000000" w:themeColor="text1"/>
          <w:lang w:val="en-US"/>
        </w:rPr>
        <w:t xml:space="preserve">   </w:t>
      </w:r>
      <w:r w:rsidRPr="002F5BF8">
        <w:rPr>
          <w:b/>
          <w:bCs/>
          <w:noProof/>
          <w:color w:val="000000" w:themeColor="text1"/>
          <w:lang w:val="en-US"/>
        </w:rPr>
        <w:t>Geelong in 2019</w:t>
      </w:r>
      <w:r w:rsidR="002F5BF8">
        <w:rPr>
          <w:b/>
          <w:bCs/>
          <w:noProof/>
          <w:color w:val="000000" w:themeColor="text1"/>
          <w:lang w:val="en-US"/>
        </w:rPr>
        <w:t xml:space="preserve">: </w:t>
      </w:r>
      <w:r w:rsidR="002F5BF8" w:rsidRPr="002F5BF8">
        <w:rPr>
          <w:b/>
          <w:bCs/>
          <w:noProof/>
          <w:color w:val="000000" w:themeColor="text1"/>
          <w:lang w:val="en-US"/>
        </w:rPr>
        <w:t>Before COVID-19</w:t>
      </w:r>
      <w:r w:rsidRPr="002F5BF8">
        <w:rPr>
          <w:b/>
          <w:bCs/>
          <w:color w:val="7F7F7F" w:themeColor="text1" w:themeTint="80"/>
        </w:rPr>
        <w:tab/>
      </w:r>
      <w:r w:rsidR="004955F0">
        <w:rPr>
          <w:rFonts w:cstheme="minorHAnsi"/>
          <w:b/>
          <w:bCs/>
          <w:noProof/>
        </w:rPr>
        <w:t>107</w:t>
      </w:r>
    </w:p>
    <w:p w14:paraId="6A2BF89D" w14:textId="2E2D7E7F" w:rsidR="00F00E3D" w:rsidRPr="00351098" w:rsidRDefault="00F00E3D" w:rsidP="009223E4">
      <w:pPr>
        <w:tabs>
          <w:tab w:val="right" w:leader="dot" w:pos="9912"/>
        </w:tabs>
        <w:spacing w:after="0" w:line="276" w:lineRule="auto"/>
        <w:rPr>
          <w:b/>
        </w:rPr>
      </w:pPr>
      <w:r w:rsidRPr="002F5BF8">
        <w:rPr>
          <w:b/>
          <w:bCs/>
          <w:caps/>
          <w:noProof/>
          <w:color w:val="000000" w:themeColor="text1"/>
        </w:rPr>
        <w:t>6.3</w:t>
      </w:r>
      <w:r w:rsidRPr="002F5BF8">
        <w:rPr>
          <w:rFonts w:eastAsia="Calibri"/>
          <w:b/>
          <w:bCs/>
          <w:color w:val="000000" w:themeColor="text1"/>
          <w:lang w:val="en-US"/>
        </w:rPr>
        <w:t xml:space="preserve">  </w:t>
      </w:r>
      <w:r w:rsidR="0017372E" w:rsidRPr="002F5BF8">
        <w:rPr>
          <w:rFonts w:eastAsia="Calibri"/>
          <w:b/>
          <w:bCs/>
          <w:color w:val="000000" w:themeColor="text1"/>
          <w:lang w:val="en-US"/>
        </w:rPr>
        <w:t xml:space="preserve">  </w:t>
      </w:r>
      <w:r w:rsidR="00815B3F" w:rsidRPr="002F5BF8">
        <w:rPr>
          <w:rFonts w:eastAsia="Calibri"/>
          <w:b/>
          <w:bCs/>
          <w:color w:val="000000" w:themeColor="text1"/>
          <w:lang w:val="en-US"/>
        </w:rPr>
        <w:t xml:space="preserve"> </w:t>
      </w:r>
      <w:r w:rsidRPr="00351098">
        <w:rPr>
          <w:b/>
          <w:bCs/>
          <w:noProof/>
          <w:color w:val="000000" w:themeColor="text1"/>
          <w:lang w:val="en-US"/>
        </w:rPr>
        <w:t>Geelong in 2020</w:t>
      </w:r>
      <w:r w:rsidR="002F5BF8" w:rsidRPr="00351098">
        <w:rPr>
          <w:b/>
          <w:bCs/>
          <w:noProof/>
          <w:color w:val="000000" w:themeColor="text1"/>
          <w:lang w:val="en-US"/>
        </w:rPr>
        <w:t>: During COVID-19</w:t>
      </w:r>
      <w:r w:rsidRPr="00351098">
        <w:rPr>
          <w:b/>
          <w:color w:val="7F7F7F" w:themeColor="text1" w:themeTint="80"/>
        </w:rPr>
        <w:t xml:space="preserve"> </w:t>
      </w:r>
      <w:r w:rsidRPr="00351098">
        <w:rPr>
          <w:b/>
          <w:bCs/>
          <w:color w:val="7F7F7F" w:themeColor="text1" w:themeTint="80"/>
        </w:rPr>
        <w:tab/>
      </w:r>
      <w:r w:rsidR="0049674F">
        <w:rPr>
          <w:rFonts w:cstheme="minorHAnsi"/>
          <w:b/>
          <w:bCs/>
          <w:noProof/>
        </w:rPr>
        <w:t>108</w:t>
      </w:r>
    </w:p>
    <w:p w14:paraId="33ED938D" w14:textId="5B7F6202" w:rsidR="00F00E3D" w:rsidRPr="00351098" w:rsidRDefault="00BE375C" w:rsidP="009223E4">
      <w:pPr>
        <w:widowControl w:val="0"/>
        <w:tabs>
          <w:tab w:val="right" w:leader="dot" w:pos="9912"/>
        </w:tabs>
        <w:suppressAutoHyphens/>
        <w:spacing w:before="240" w:after="0" w:line="276" w:lineRule="auto"/>
        <w:contextualSpacing/>
        <w:rPr>
          <w:rFonts w:cstheme="minorHAnsi"/>
          <w:b/>
          <w:bCs/>
          <w:noProof/>
        </w:rPr>
      </w:pPr>
      <w:r w:rsidRPr="00351098">
        <w:rPr>
          <w:rFonts w:cstheme="minorHAnsi"/>
          <w:b/>
          <w:bCs/>
          <w:noProof/>
          <w:lang w:val="en-US"/>
        </w:rPr>
        <w:t xml:space="preserve">6.3.1  </w:t>
      </w:r>
      <w:r w:rsidR="002F5BF8" w:rsidRPr="00351098">
        <w:rPr>
          <w:rFonts w:cstheme="minorHAnsi"/>
          <w:b/>
          <w:bCs/>
          <w:noProof/>
          <w:lang w:val="en-US"/>
        </w:rPr>
        <w:t>Local Employment Losses</w:t>
      </w:r>
      <w:r w:rsidR="00F00E3D" w:rsidRPr="00351098">
        <w:rPr>
          <w:rFonts w:cstheme="minorHAnsi"/>
          <w:b/>
          <w:bCs/>
          <w:noProof/>
        </w:rPr>
        <w:t xml:space="preserve"> </w:t>
      </w:r>
      <w:r w:rsidR="00F00E3D" w:rsidRPr="00351098">
        <w:rPr>
          <w:rFonts w:cstheme="minorHAnsi"/>
          <w:b/>
          <w:bCs/>
          <w:noProof/>
          <w:color w:val="7F7F7F" w:themeColor="text1" w:themeTint="80"/>
        </w:rPr>
        <w:tab/>
      </w:r>
      <w:r w:rsidR="0049674F">
        <w:rPr>
          <w:rFonts w:cstheme="minorHAnsi"/>
          <w:b/>
          <w:bCs/>
          <w:noProof/>
        </w:rPr>
        <w:t>108</w:t>
      </w:r>
    </w:p>
    <w:p w14:paraId="569115D3" w14:textId="35BA381A" w:rsidR="00F00E3D" w:rsidRPr="00351098" w:rsidRDefault="00BE375C" w:rsidP="009223E4">
      <w:pPr>
        <w:widowControl w:val="0"/>
        <w:tabs>
          <w:tab w:val="right" w:leader="dot" w:pos="9912"/>
        </w:tabs>
        <w:suppressAutoHyphens/>
        <w:spacing w:before="240" w:after="0" w:line="276" w:lineRule="auto"/>
        <w:contextualSpacing/>
        <w:rPr>
          <w:rFonts w:cstheme="minorHAnsi"/>
          <w:b/>
          <w:bCs/>
          <w:noProof/>
        </w:rPr>
      </w:pPr>
      <w:r w:rsidRPr="00351098">
        <w:rPr>
          <w:rFonts w:cstheme="minorHAnsi"/>
          <w:b/>
          <w:bCs/>
          <w:noProof/>
          <w:lang w:val="en-US"/>
        </w:rPr>
        <w:t xml:space="preserve">6.3.4  </w:t>
      </w:r>
      <w:r w:rsidR="00F00E3D" w:rsidRPr="00351098">
        <w:rPr>
          <w:rFonts w:cstheme="minorHAnsi"/>
          <w:b/>
          <w:bCs/>
          <w:noProof/>
          <w:lang w:val="en-US"/>
        </w:rPr>
        <w:t>Local Responses</w:t>
      </w:r>
      <w:r w:rsidR="00F00E3D" w:rsidRPr="00351098">
        <w:rPr>
          <w:rFonts w:cstheme="minorHAnsi"/>
          <w:b/>
          <w:bCs/>
          <w:noProof/>
        </w:rPr>
        <w:t xml:space="preserve"> </w:t>
      </w:r>
      <w:r w:rsidR="00F00E3D" w:rsidRPr="00351098">
        <w:rPr>
          <w:rFonts w:cstheme="minorHAnsi"/>
          <w:b/>
          <w:bCs/>
          <w:noProof/>
          <w:color w:val="7F7F7F" w:themeColor="text1" w:themeTint="80"/>
        </w:rPr>
        <w:tab/>
      </w:r>
      <w:r w:rsidR="00562ED6">
        <w:rPr>
          <w:rFonts w:cstheme="minorHAnsi"/>
          <w:b/>
          <w:bCs/>
          <w:noProof/>
        </w:rPr>
        <w:t>110</w:t>
      </w:r>
    </w:p>
    <w:p w14:paraId="16FF202A" w14:textId="4687579A" w:rsidR="00F00E3D" w:rsidRDefault="00090B95" w:rsidP="009223E4">
      <w:pPr>
        <w:widowControl w:val="0"/>
        <w:tabs>
          <w:tab w:val="right" w:leader="dot" w:pos="9912"/>
        </w:tabs>
        <w:suppressAutoHyphens/>
        <w:spacing w:before="240" w:after="0" w:line="276" w:lineRule="auto"/>
        <w:contextualSpacing/>
        <w:rPr>
          <w:rFonts w:cstheme="minorHAnsi"/>
          <w:b/>
          <w:bCs/>
          <w:noProof/>
        </w:rPr>
      </w:pPr>
      <w:r w:rsidRPr="00351098">
        <w:rPr>
          <w:rFonts w:cstheme="minorHAnsi"/>
          <w:b/>
          <w:bCs/>
          <w:noProof/>
          <w:lang w:val="en-US"/>
        </w:rPr>
        <w:t xml:space="preserve">6.3.5  </w:t>
      </w:r>
      <w:r w:rsidR="00F00E3D" w:rsidRPr="00351098">
        <w:rPr>
          <w:rFonts w:cstheme="minorHAnsi"/>
          <w:b/>
          <w:bCs/>
          <w:noProof/>
          <w:lang w:val="en-US"/>
        </w:rPr>
        <w:t>Population Movements into the Region</w:t>
      </w:r>
      <w:r w:rsidR="00F00E3D" w:rsidRPr="0099085A">
        <w:rPr>
          <w:rFonts w:cstheme="minorHAnsi"/>
          <w:b/>
          <w:bCs/>
          <w:noProof/>
        </w:rPr>
        <w:t xml:space="preserve"> </w:t>
      </w:r>
      <w:r w:rsidR="00F00E3D" w:rsidRPr="00006406">
        <w:rPr>
          <w:rFonts w:cstheme="minorHAnsi"/>
          <w:b/>
          <w:bCs/>
          <w:noProof/>
          <w:color w:val="7F7F7F" w:themeColor="text1" w:themeTint="80"/>
        </w:rPr>
        <w:tab/>
      </w:r>
      <w:r w:rsidR="00562ED6">
        <w:rPr>
          <w:rFonts w:cstheme="minorHAnsi"/>
          <w:b/>
          <w:bCs/>
          <w:noProof/>
        </w:rPr>
        <w:t>111</w:t>
      </w:r>
    </w:p>
    <w:p w14:paraId="54819CEF" w14:textId="343EE6A0" w:rsidR="00F00E3D" w:rsidRDefault="00F00E3D" w:rsidP="009223E4">
      <w:pPr>
        <w:tabs>
          <w:tab w:val="right" w:leader="dot" w:pos="9912"/>
        </w:tabs>
        <w:spacing w:after="0" w:line="276" w:lineRule="auto"/>
        <w:rPr>
          <w:b/>
        </w:rPr>
      </w:pPr>
      <w:r w:rsidRPr="43B78878">
        <w:rPr>
          <w:b/>
          <w:bCs/>
          <w:caps/>
          <w:noProof/>
          <w:color w:val="000000" w:themeColor="text1"/>
        </w:rPr>
        <w:t>6</w:t>
      </w:r>
      <w:r w:rsidRPr="006E257B">
        <w:rPr>
          <w:b/>
          <w:bCs/>
          <w:caps/>
          <w:noProof/>
          <w:color w:val="000000" w:themeColor="text1"/>
        </w:rPr>
        <w:t>.4</w:t>
      </w:r>
      <w:r w:rsidRPr="00CA11F7">
        <w:rPr>
          <w:rFonts w:eastAsia="Calibri"/>
          <w:b/>
          <w:bCs/>
          <w:color w:val="000000" w:themeColor="text1"/>
          <w:lang w:val="en-US"/>
        </w:rPr>
        <w:t xml:space="preserve"> </w:t>
      </w:r>
      <w:r>
        <w:rPr>
          <w:rFonts w:eastAsia="Calibri"/>
          <w:b/>
          <w:bCs/>
          <w:color w:val="000000" w:themeColor="text1"/>
          <w:lang w:val="en-US"/>
        </w:rPr>
        <w:t xml:space="preserve"> </w:t>
      </w:r>
      <w:r w:rsidR="0017372E">
        <w:rPr>
          <w:rFonts w:eastAsia="Calibri"/>
          <w:b/>
          <w:bCs/>
          <w:color w:val="000000" w:themeColor="text1"/>
          <w:lang w:val="en-US"/>
        </w:rPr>
        <w:t xml:space="preserve">   </w:t>
      </w:r>
      <w:r w:rsidR="00351098">
        <w:rPr>
          <w:rFonts w:eastAsia="Calibri"/>
          <w:b/>
          <w:bCs/>
          <w:color w:val="000000" w:themeColor="text1"/>
          <w:lang w:val="en-US"/>
        </w:rPr>
        <w:t xml:space="preserve">Geelong: </w:t>
      </w:r>
      <w:r w:rsidRPr="00857CDD">
        <w:rPr>
          <w:b/>
          <w:bCs/>
          <w:noProof/>
          <w:color w:val="000000" w:themeColor="text1"/>
          <w:lang w:val="en-US"/>
        </w:rPr>
        <w:t>Looking Ahead</w:t>
      </w:r>
      <w:r w:rsidRPr="43B78878">
        <w:rPr>
          <w:b/>
          <w:color w:val="7F7F7F" w:themeColor="text1" w:themeTint="80"/>
        </w:rPr>
        <w:t xml:space="preserve"> </w:t>
      </w:r>
      <w:r w:rsidRPr="0017372E">
        <w:rPr>
          <w:b/>
          <w:bCs/>
          <w:color w:val="7F7F7F" w:themeColor="text1" w:themeTint="80"/>
        </w:rPr>
        <w:tab/>
      </w:r>
      <w:r w:rsidR="00562ED6">
        <w:rPr>
          <w:rFonts w:cstheme="minorHAnsi"/>
          <w:b/>
          <w:bCs/>
          <w:noProof/>
        </w:rPr>
        <w:t>112</w:t>
      </w:r>
    </w:p>
    <w:p w14:paraId="0B6E6713" w14:textId="77777777" w:rsidR="00F00E3D" w:rsidRPr="0017372E" w:rsidRDefault="00F00E3D" w:rsidP="009223E4">
      <w:pPr>
        <w:tabs>
          <w:tab w:val="right" w:leader="dot" w:pos="9912"/>
        </w:tabs>
        <w:spacing w:after="0" w:line="276" w:lineRule="auto"/>
        <w:rPr>
          <w:b/>
          <w:bCs/>
          <w:caps/>
          <w:noProof/>
          <w:sz w:val="12"/>
          <w:szCs w:val="12"/>
        </w:rPr>
      </w:pPr>
    </w:p>
    <w:p w14:paraId="25750D1C" w14:textId="11C4154D" w:rsidR="00F00E3D" w:rsidRPr="008F31AF" w:rsidRDefault="00F00E3D" w:rsidP="009223E4">
      <w:pPr>
        <w:widowControl w:val="0"/>
        <w:tabs>
          <w:tab w:val="right" w:leader="dot" w:pos="9912"/>
        </w:tabs>
        <w:suppressAutoHyphens/>
        <w:spacing w:before="360" w:after="0" w:line="276" w:lineRule="auto"/>
        <w:contextualSpacing/>
        <w:rPr>
          <w:b/>
          <w:bCs/>
          <w:caps/>
          <w:noProof/>
          <w:color w:val="2F5496" w:themeColor="accent1" w:themeShade="BF"/>
          <w:sz w:val="20"/>
          <w:szCs w:val="20"/>
        </w:rPr>
      </w:pPr>
      <w:r w:rsidRPr="00B203C1">
        <w:rPr>
          <w:b/>
          <w:bCs/>
          <w:caps/>
          <w:noProof/>
          <w:color w:val="2E74B5" w:themeColor="accent5" w:themeShade="BF"/>
          <w:sz w:val="24"/>
          <w:szCs w:val="24"/>
          <w:u w:val="single"/>
        </w:rPr>
        <w:t>SECTION 7</w:t>
      </w:r>
      <w:r w:rsidRPr="00B203C1">
        <w:rPr>
          <w:b/>
          <w:bCs/>
          <w:caps/>
          <w:noProof/>
          <w:color w:val="2E74B5" w:themeColor="accent5" w:themeShade="BF"/>
          <w:sz w:val="24"/>
          <w:szCs w:val="24"/>
        </w:rPr>
        <w:t xml:space="preserve">: </w:t>
      </w:r>
      <w:r w:rsidR="000E3ADF">
        <w:rPr>
          <w:b/>
          <w:bCs/>
          <w:noProof/>
          <w:color w:val="2E74B5" w:themeColor="accent5" w:themeShade="BF"/>
          <w:sz w:val="24"/>
          <w:szCs w:val="24"/>
          <w:lang w:val="en-US"/>
        </w:rPr>
        <w:t>Data Scan:</w:t>
      </w:r>
      <w:r w:rsidRPr="00B203C1">
        <w:rPr>
          <w:b/>
          <w:bCs/>
          <w:noProof/>
          <w:color w:val="2E74B5" w:themeColor="accent5" w:themeShade="BF"/>
          <w:sz w:val="24"/>
          <w:szCs w:val="24"/>
          <w:lang w:val="en-US"/>
        </w:rPr>
        <w:t xml:space="preserve"> </w:t>
      </w:r>
      <w:r w:rsidR="00284271" w:rsidRPr="00B203C1">
        <w:rPr>
          <w:b/>
          <w:bCs/>
          <w:noProof/>
          <w:color w:val="2E74B5" w:themeColor="accent5" w:themeShade="BF"/>
          <w:sz w:val="24"/>
          <w:szCs w:val="24"/>
          <w:lang w:val="en-US"/>
        </w:rPr>
        <w:t>COVID-19</w:t>
      </w:r>
      <w:r w:rsidR="000E3ADF">
        <w:rPr>
          <w:b/>
          <w:bCs/>
          <w:noProof/>
          <w:color w:val="2E74B5" w:themeColor="accent5" w:themeShade="BF"/>
          <w:sz w:val="24"/>
          <w:szCs w:val="24"/>
          <w:lang w:val="en-US"/>
        </w:rPr>
        <w:t xml:space="preserve"> Impacts</w:t>
      </w:r>
      <w:r w:rsidR="00284271" w:rsidRPr="00B203C1">
        <w:rPr>
          <w:b/>
          <w:bCs/>
          <w:noProof/>
          <w:color w:val="2E74B5" w:themeColor="accent5" w:themeShade="BF"/>
          <w:sz w:val="24"/>
          <w:szCs w:val="24"/>
          <w:lang w:val="en-US"/>
        </w:rPr>
        <w:t xml:space="preserve"> </w:t>
      </w:r>
      <w:r w:rsidRPr="00B203C1">
        <w:rPr>
          <w:b/>
          <w:bCs/>
          <w:noProof/>
          <w:color w:val="2E74B5" w:themeColor="accent5" w:themeShade="BF"/>
          <w:sz w:val="24"/>
          <w:szCs w:val="24"/>
          <w:lang w:val="en-US"/>
        </w:rPr>
        <w:t>on Corio, Norlane</w:t>
      </w:r>
      <w:r w:rsidR="0017372E" w:rsidRPr="00B203C1">
        <w:rPr>
          <w:b/>
          <w:bCs/>
          <w:noProof/>
          <w:color w:val="2E74B5" w:themeColor="accent5" w:themeShade="BF"/>
          <w:sz w:val="24"/>
          <w:szCs w:val="24"/>
          <w:lang w:val="en-US"/>
        </w:rPr>
        <w:t>,</w:t>
      </w:r>
      <w:r w:rsidRPr="00B203C1">
        <w:rPr>
          <w:b/>
          <w:bCs/>
          <w:noProof/>
          <w:color w:val="2E74B5" w:themeColor="accent5" w:themeShade="BF"/>
          <w:sz w:val="24"/>
          <w:szCs w:val="24"/>
          <w:lang w:val="en-US"/>
        </w:rPr>
        <w:t xml:space="preserve"> and Whittington</w:t>
      </w:r>
      <w:r w:rsidRPr="00351098">
        <w:rPr>
          <w:b/>
          <w:bCs/>
          <w:color w:val="7F7F7F" w:themeColor="text1" w:themeTint="80"/>
        </w:rPr>
        <w:tab/>
      </w:r>
      <w:r w:rsidR="004C4380">
        <w:rPr>
          <w:rFonts w:cstheme="minorHAnsi"/>
          <w:b/>
          <w:bCs/>
          <w:noProof/>
        </w:rPr>
        <w:t>11</w:t>
      </w:r>
      <w:r w:rsidR="009F133B">
        <w:rPr>
          <w:rFonts w:cstheme="minorHAnsi"/>
          <w:b/>
          <w:bCs/>
          <w:noProof/>
        </w:rPr>
        <w:t>3</w:t>
      </w:r>
    </w:p>
    <w:p w14:paraId="1684B069" w14:textId="712448C5" w:rsidR="00F00E3D" w:rsidRPr="00F33DD6" w:rsidRDefault="00F00E3D" w:rsidP="009223E4">
      <w:pPr>
        <w:widowControl w:val="0"/>
        <w:tabs>
          <w:tab w:val="right" w:leader="dot" w:pos="9912"/>
        </w:tabs>
        <w:suppressAutoHyphens/>
        <w:spacing w:before="240" w:after="0" w:line="276" w:lineRule="auto"/>
        <w:contextualSpacing/>
        <w:rPr>
          <w:b/>
        </w:rPr>
      </w:pPr>
      <w:r w:rsidRPr="00F33DD6">
        <w:rPr>
          <w:b/>
          <w:bCs/>
          <w:noProof/>
        </w:rPr>
        <w:t>7</w:t>
      </w:r>
      <w:r w:rsidRPr="00F33DD6">
        <w:rPr>
          <w:b/>
        </w:rPr>
        <w:t xml:space="preserve">.1  </w:t>
      </w:r>
      <w:r w:rsidR="0017372E" w:rsidRPr="00F33DD6">
        <w:rPr>
          <w:b/>
        </w:rPr>
        <w:t xml:space="preserve">   </w:t>
      </w:r>
      <w:r w:rsidRPr="00F33DD6">
        <w:rPr>
          <w:b/>
          <w:lang w:val="en-US"/>
        </w:rPr>
        <w:t xml:space="preserve">Introducing </w:t>
      </w:r>
      <w:r w:rsidR="00C45DEA" w:rsidRPr="00F33DD6">
        <w:rPr>
          <w:b/>
          <w:lang w:val="en-US"/>
        </w:rPr>
        <w:t>the Three Localities</w:t>
      </w:r>
      <w:r w:rsidRPr="00F33DD6">
        <w:rPr>
          <w:b/>
        </w:rPr>
        <w:t xml:space="preserve"> </w:t>
      </w:r>
      <w:r w:rsidRPr="00F33DD6">
        <w:rPr>
          <w:b/>
          <w:bCs/>
          <w:color w:val="7F7F7F" w:themeColor="text1" w:themeTint="80"/>
        </w:rPr>
        <w:tab/>
      </w:r>
      <w:r w:rsidR="001D6B3B">
        <w:rPr>
          <w:rFonts w:cstheme="minorHAnsi"/>
          <w:b/>
          <w:bCs/>
          <w:noProof/>
        </w:rPr>
        <w:t>11</w:t>
      </w:r>
      <w:r w:rsidR="009F133B">
        <w:rPr>
          <w:rFonts w:cstheme="minorHAnsi"/>
          <w:b/>
          <w:bCs/>
          <w:noProof/>
        </w:rPr>
        <w:t>3</w:t>
      </w:r>
    </w:p>
    <w:p w14:paraId="7B705953" w14:textId="1D58CED6" w:rsidR="00F00E3D" w:rsidRPr="00F33DD6" w:rsidRDefault="00F00E3D" w:rsidP="009223E4">
      <w:pPr>
        <w:widowControl w:val="0"/>
        <w:tabs>
          <w:tab w:val="right" w:leader="dot" w:pos="9912"/>
        </w:tabs>
        <w:suppressAutoHyphens/>
        <w:spacing w:before="240" w:after="0" w:line="276" w:lineRule="auto"/>
        <w:contextualSpacing/>
        <w:rPr>
          <w:b/>
          <w:bCs/>
          <w:noProof/>
        </w:rPr>
      </w:pPr>
      <w:r w:rsidRPr="00F33DD6">
        <w:rPr>
          <w:b/>
          <w:bCs/>
          <w:noProof/>
        </w:rPr>
        <w:t xml:space="preserve">7.2  </w:t>
      </w:r>
      <w:r w:rsidR="0017372E" w:rsidRPr="00F33DD6">
        <w:rPr>
          <w:b/>
          <w:bCs/>
          <w:noProof/>
        </w:rPr>
        <w:t xml:space="preserve">   </w:t>
      </w:r>
      <w:r w:rsidRPr="00F33DD6">
        <w:rPr>
          <w:b/>
          <w:bCs/>
          <w:noProof/>
        </w:rPr>
        <w:t xml:space="preserve">Policy Interventions and </w:t>
      </w:r>
      <w:r w:rsidR="0017372E" w:rsidRPr="00F33DD6">
        <w:rPr>
          <w:b/>
          <w:bCs/>
          <w:noProof/>
        </w:rPr>
        <w:t>L</w:t>
      </w:r>
      <w:r w:rsidRPr="00F33DD6">
        <w:rPr>
          <w:b/>
          <w:bCs/>
          <w:noProof/>
        </w:rPr>
        <w:t xml:space="preserve">essons </w:t>
      </w:r>
      <w:r w:rsidR="0017372E" w:rsidRPr="00F33DD6">
        <w:rPr>
          <w:b/>
          <w:bCs/>
          <w:noProof/>
        </w:rPr>
        <w:t>L</w:t>
      </w:r>
      <w:r w:rsidRPr="00F33DD6">
        <w:rPr>
          <w:b/>
          <w:bCs/>
          <w:noProof/>
        </w:rPr>
        <w:t>earnt</w:t>
      </w:r>
      <w:r w:rsidRPr="00F33DD6">
        <w:rPr>
          <w:b/>
          <w:bCs/>
          <w:color w:val="7F7F7F" w:themeColor="text1" w:themeTint="80"/>
        </w:rPr>
        <w:tab/>
      </w:r>
      <w:r w:rsidR="001D6B3B">
        <w:rPr>
          <w:rFonts w:cstheme="minorHAnsi"/>
          <w:b/>
          <w:bCs/>
          <w:noProof/>
        </w:rPr>
        <w:t>11</w:t>
      </w:r>
      <w:r w:rsidR="009F133B">
        <w:rPr>
          <w:rFonts w:cstheme="minorHAnsi"/>
          <w:b/>
          <w:bCs/>
          <w:noProof/>
        </w:rPr>
        <w:t>7</w:t>
      </w:r>
    </w:p>
    <w:p w14:paraId="201FB34D" w14:textId="166F8C02" w:rsidR="00F00E3D" w:rsidRPr="00E57D0D" w:rsidRDefault="00F00E3D" w:rsidP="009223E4">
      <w:pPr>
        <w:widowControl w:val="0"/>
        <w:tabs>
          <w:tab w:val="right" w:leader="dot" w:pos="9912"/>
        </w:tabs>
        <w:suppressAutoHyphens/>
        <w:spacing w:before="240" w:after="0" w:line="276" w:lineRule="auto"/>
        <w:contextualSpacing/>
        <w:rPr>
          <w:b/>
        </w:rPr>
      </w:pPr>
      <w:r w:rsidRPr="00F33DD6">
        <w:rPr>
          <w:b/>
          <w:bCs/>
          <w:noProof/>
        </w:rPr>
        <w:t>7</w:t>
      </w:r>
      <w:r w:rsidRPr="00F33DD6">
        <w:rPr>
          <w:b/>
        </w:rPr>
        <w:t xml:space="preserve">.3  </w:t>
      </w:r>
      <w:r w:rsidR="0017372E" w:rsidRPr="00F33DD6">
        <w:rPr>
          <w:b/>
        </w:rPr>
        <w:t xml:space="preserve">   </w:t>
      </w:r>
      <w:r w:rsidRPr="00F33DD6">
        <w:rPr>
          <w:b/>
        </w:rPr>
        <w:t xml:space="preserve">Statistical </w:t>
      </w:r>
      <w:r w:rsidR="0017372E" w:rsidRPr="00F33DD6">
        <w:rPr>
          <w:b/>
        </w:rPr>
        <w:t>P</w:t>
      </w:r>
      <w:r w:rsidRPr="00F33DD6">
        <w:rPr>
          <w:b/>
        </w:rPr>
        <w:t>rofile</w:t>
      </w:r>
      <w:r w:rsidR="0017372E" w:rsidRPr="00F33DD6">
        <w:rPr>
          <w:b/>
        </w:rPr>
        <w:t>:</w:t>
      </w:r>
      <w:r w:rsidRPr="00F33DD6">
        <w:rPr>
          <w:b/>
        </w:rPr>
        <w:t xml:space="preserve"> Corio,</w:t>
      </w:r>
      <w:r w:rsidRPr="43B78878">
        <w:rPr>
          <w:b/>
        </w:rPr>
        <w:t xml:space="preserve"> Norlane</w:t>
      </w:r>
      <w:r w:rsidR="0017372E">
        <w:rPr>
          <w:b/>
        </w:rPr>
        <w:t>,</w:t>
      </w:r>
      <w:r w:rsidRPr="43B78878">
        <w:rPr>
          <w:b/>
        </w:rPr>
        <w:t xml:space="preserve"> and Whittington</w:t>
      </w:r>
      <w:r w:rsidR="003B4FAF">
        <w:rPr>
          <w:b/>
        </w:rPr>
        <w:t xml:space="preserve"> in 2020</w:t>
      </w:r>
      <w:r w:rsidRPr="0017372E">
        <w:rPr>
          <w:b/>
          <w:bCs/>
          <w:color w:val="7F7F7F" w:themeColor="text1" w:themeTint="80"/>
        </w:rPr>
        <w:tab/>
      </w:r>
      <w:r w:rsidR="001D6B3B">
        <w:rPr>
          <w:rFonts w:cstheme="minorHAnsi"/>
          <w:b/>
          <w:bCs/>
          <w:noProof/>
        </w:rPr>
        <w:t>12</w:t>
      </w:r>
      <w:r w:rsidR="00DC5C6A">
        <w:rPr>
          <w:rFonts w:cstheme="minorHAnsi"/>
          <w:b/>
          <w:bCs/>
          <w:noProof/>
        </w:rPr>
        <w:t>0</w:t>
      </w:r>
    </w:p>
    <w:p w14:paraId="391BC06A" w14:textId="48D58787" w:rsidR="00F00E3D" w:rsidRPr="00E57D0D" w:rsidRDefault="00F00E3D" w:rsidP="009223E4">
      <w:pPr>
        <w:widowControl w:val="0"/>
        <w:tabs>
          <w:tab w:val="right" w:leader="dot" w:pos="9912"/>
        </w:tabs>
        <w:suppressAutoHyphens/>
        <w:spacing w:before="240" w:after="0" w:line="276" w:lineRule="auto"/>
        <w:contextualSpacing/>
        <w:rPr>
          <w:b/>
        </w:rPr>
      </w:pPr>
      <w:r w:rsidRPr="43B78878">
        <w:rPr>
          <w:b/>
          <w:bCs/>
          <w:noProof/>
        </w:rPr>
        <w:t>7</w:t>
      </w:r>
      <w:r w:rsidRPr="43B78878">
        <w:rPr>
          <w:b/>
        </w:rPr>
        <w:t>.</w:t>
      </w:r>
      <w:r w:rsidR="000E3ADF">
        <w:rPr>
          <w:b/>
        </w:rPr>
        <w:t>4</w:t>
      </w:r>
      <w:r w:rsidRPr="43B78878">
        <w:rPr>
          <w:b/>
        </w:rPr>
        <w:t xml:space="preserve">  </w:t>
      </w:r>
      <w:r w:rsidR="0017372E">
        <w:rPr>
          <w:b/>
        </w:rPr>
        <w:t xml:space="preserve">   </w:t>
      </w:r>
      <w:r w:rsidRPr="43B78878">
        <w:rPr>
          <w:b/>
        </w:rPr>
        <w:t>City of Greater Geelong</w:t>
      </w:r>
      <w:r w:rsidR="0017372E">
        <w:rPr>
          <w:b/>
        </w:rPr>
        <w:t>:</w:t>
      </w:r>
      <w:r w:rsidRPr="43B78878">
        <w:rPr>
          <w:b/>
        </w:rPr>
        <w:t xml:space="preserve"> </w:t>
      </w:r>
      <w:r w:rsidR="0017372E">
        <w:rPr>
          <w:b/>
        </w:rPr>
        <w:t>P</w:t>
      </w:r>
      <w:r w:rsidRPr="43B78878">
        <w:rPr>
          <w:b/>
        </w:rPr>
        <w:t xml:space="preserve">olicy </w:t>
      </w:r>
      <w:r w:rsidR="0017372E">
        <w:rPr>
          <w:b/>
        </w:rPr>
        <w:t>C</w:t>
      </w:r>
      <w:r w:rsidRPr="43B78878">
        <w:rPr>
          <w:b/>
        </w:rPr>
        <w:t>ontexts</w:t>
      </w:r>
      <w:r w:rsidR="00992AF5">
        <w:rPr>
          <w:b/>
        </w:rPr>
        <w:t>,</w:t>
      </w:r>
      <w:r w:rsidRPr="43B78878">
        <w:rPr>
          <w:b/>
        </w:rPr>
        <w:t xml:space="preserve"> </w:t>
      </w:r>
      <w:r w:rsidR="0017372E">
        <w:rPr>
          <w:b/>
        </w:rPr>
        <w:t>G</w:t>
      </w:r>
      <w:r w:rsidRPr="43B78878">
        <w:rPr>
          <w:b/>
        </w:rPr>
        <w:t>aps</w:t>
      </w:r>
      <w:r w:rsidR="00992AF5">
        <w:rPr>
          <w:b/>
        </w:rPr>
        <w:t>, and Opportunities</w:t>
      </w:r>
      <w:r w:rsidRPr="43B78878">
        <w:rPr>
          <w:b/>
        </w:rPr>
        <w:t xml:space="preserve"> </w:t>
      </w:r>
      <w:r w:rsidRPr="0017372E">
        <w:rPr>
          <w:b/>
          <w:bCs/>
          <w:color w:val="7F7F7F" w:themeColor="text1" w:themeTint="80"/>
        </w:rPr>
        <w:tab/>
      </w:r>
      <w:r w:rsidR="001D6B3B">
        <w:rPr>
          <w:rFonts w:cstheme="minorHAnsi"/>
          <w:b/>
          <w:bCs/>
          <w:noProof/>
        </w:rPr>
        <w:t>13</w:t>
      </w:r>
      <w:r w:rsidR="00DC5C6A">
        <w:rPr>
          <w:rFonts w:cstheme="minorHAnsi"/>
          <w:b/>
          <w:bCs/>
          <w:noProof/>
        </w:rPr>
        <w:t>8</w:t>
      </w:r>
    </w:p>
    <w:p w14:paraId="78B18170" w14:textId="6D3AAA3C" w:rsidR="00F00E3D" w:rsidRPr="00E57D0D" w:rsidRDefault="00F00E3D" w:rsidP="009223E4">
      <w:pPr>
        <w:widowControl w:val="0"/>
        <w:tabs>
          <w:tab w:val="right" w:leader="dot" w:pos="9912"/>
        </w:tabs>
        <w:suppressAutoHyphens/>
        <w:spacing w:before="240" w:after="0" w:line="276" w:lineRule="auto"/>
        <w:contextualSpacing/>
        <w:rPr>
          <w:b/>
        </w:rPr>
      </w:pPr>
      <w:r w:rsidRPr="43B78878">
        <w:rPr>
          <w:b/>
          <w:bCs/>
          <w:noProof/>
        </w:rPr>
        <w:t>7</w:t>
      </w:r>
      <w:r w:rsidRPr="43B78878">
        <w:rPr>
          <w:b/>
        </w:rPr>
        <w:t>.</w:t>
      </w:r>
      <w:r w:rsidR="000E3ADF">
        <w:rPr>
          <w:b/>
        </w:rPr>
        <w:t>5</w:t>
      </w:r>
      <w:r w:rsidRPr="43B78878">
        <w:rPr>
          <w:b/>
        </w:rPr>
        <w:t xml:space="preserve">  </w:t>
      </w:r>
      <w:r w:rsidR="0017372E">
        <w:rPr>
          <w:b/>
        </w:rPr>
        <w:t xml:space="preserve">   </w:t>
      </w:r>
      <w:r w:rsidRPr="43B78878">
        <w:rPr>
          <w:b/>
          <w:lang w:val="en-US"/>
        </w:rPr>
        <w:t xml:space="preserve">Preliminary </w:t>
      </w:r>
      <w:r w:rsidR="008F7BE6">
        <w:rPr>
          <w:b/>
          <w:lang w:val="en-US"/>
        </w:rPr>
        <w:t>Suggestions</w:t>
      </w:r>
      <w:r w:rsidRPr="43B78878">
        <w:rPr>
          <w:b/>
        </w:rPr>
        <w:t xml:space="preserve"> </w:t>
      </w:r>
      <w:r w:rsidRPr="0017372E">
        <w:rPr>
          <w:b/>
          <w:bCs/>
          <w:color w:val="7F7F7F" w:themeColor="text1" w:themeTint="80"/>
        </w:rPr>
        <w:tab/>
      </w:r>
      <w:r w:rsidR="001D6B3B">
        <w:rPr>
          <w:rFonts w:cstheme="minorHAnsi"/>
          <w:b/>
          <w:bCs/>
          <w:noProof/>
        </w:rPr>
        <w:t>14</w:t>
      </w:r>
      <w:r w:rsidR="00DC5C6A">
        <w:rPr>
          <w:rFonts w:cstheme="minorHAnsi"/>
          <w:b/>
          <w:bCs/>
          <w:noProof/>
        </w:rPr>
        <w:t>7</w:t>
      </w:r>
    </w:p>
    <w:p w14:paraId="4CBFAB36" w14:textId="77777777" w:rsidR="00F00E3D" w:rsidRPr="007A7EE8" w:rsidRDefault="00F00E3D" w:rsidP="009223E4">
      <w:pPr>
        <w:widowControl w:val="0"/>
        <w:tabs>
          <w:tab w:val="right" w:leader="dot" w:pos="9912"/>
        </w:tabs>
        <w:suppressAutoHyphens/>
        <w:spacing w:before="240" w:after="0" w:line="276" w:lineRule="auto"/>
        <w:contextualSpacing/>
        <w:rPr>
          <w:rFonts w:cstheme="minorHAnsi"/>
          <w:b/>
          <w:bCs/>
          <w:noProof/>
          <w:sz w:val="8"/>
          <w:szCs w:val="8"/>
        </w:rPr>
      </w:pPr>
    </w:p>
    <w:p w14:paraId="2299A891" w14:textId="55374745" w:rsidR="007A30C2" w:rsidRPr="00B203C1" w:rsidRDefault="00F00E3D" w:rsidP="009223E4">
      <w:pPr>
        <w:widowControl w:val="0"/>
        <w:tabs>
          <w:tab w:val="right" w:leader="dot" w:pos="9912"/>
        </w:tabs>
        <w:suppressAutoHyphens/>
        <w:spacing w:before="360" w:after="0" w:line="276" w:lineRule="auto"/>
        <w:contextualSpacing/>
        <w:rPr>
          <w:b/>
          <w:color w:val="2E74B5" w:themeColor="accent5" w:themeShade="BF"/>
        </w:rPr>
      </w:pPr>
      <w:bookmarkStart w:id="4" w:name="_Hlk70784290"/>
      <w:r w:rsidRPr="00B203C1">
        <w:rPr>
          <w:b/>
          <w:bCs/>
          <w:caps/>
          <w:noProof/>
          <w:color w:val="2E74B5" w:themeColor="accent5" w:themeShade="BF"/>
          <w:sz w:val="24"/>
          <w:szCs w:val="24"/>
          <w:u w:val="single"/>
        </w:rPr>
        <w:t>SECTION 8:</w:t>
      </w:r>
      <w:r w:rsidRPr="00B203C1">
        <w:rPr>
          <w:b/>
          <w:bCs/>
          <w:caps/>
          <w:noProof/>
          <w:color w:val="2E74B5" w:themeColor="accent5" w:themeShade="BF"/>
          <w:sz w:val="24"/>
          <w:szCs w:val="24"/>
        </w:rPr>
        <w:t xml:space="preserve"> </w:t>
      </w:r>
      <w:bookmarkStart w:id="5" w:name="_Hlk70775508"/>
      <w:r w:rsidR="000E3ADF">
        <w:rPr>
          <w:b/>
          <w:bCs/>
          <w:noProof/>
          <w:color w:val="2E74B5" w:themeColor="accent5" w:themeShade="BF"/>
          <w:sz w:val="24"/>
          <w:szCs w:val="24"/>
          <w:lang w:val="en-US"/>
        </w:rPr>
        <w:t xml:space="preserve">Community </w:t>
      </w:r>
      <w:r w:rsidR="005D4E46">
        <w:rPr>
          <w:b/>
          <w:bCs/>
          <w:noProof/>
          <w:color w:val="2E74B5" w:themeColor="accent5" w:themeShade="BF"/>
          <w:sz w:val="24"/>
          <w:szCs w:val="24"/>
          <w:lang w:val="en-US"/>
        </w:rPr>
        <w:t>Consultations</w:t>
      </w:r>
      <w:r w:rsidR="003B3460">
        <w:rPr>
          <w:b/>
          <w:bCs/>
          <w:noProof/>
          <w:color w:val="2E74B5" w:themeColor="accent5" w:themeShade="BF"/>
          <w:sz w:val="24"/>
          <w:szCs w:val="24"/>
          <w:lang w:val="en-US"/>
        </w:rPr>
        <w:t>:</w:t>
      </w:r>
      <w:r w:rsidR="000E3ADF">
        <w:rPr>
          <w:b/>
          <w:bCs/>
          <w:noProof/>
          <w:color w:val="2E74B5" w:themeColor="accent5" w:themeShade="BF"/>
          <w:sz w:val="24"/>
          <w:szCs w:val="24"/>
          <w:lang w:val="en-US"/>
        </w:rPr>
        <w:t xml:space="preserve"> </w:t>
      </w:r>
      <w:r w:rsidR="000E3ADF" w:rsidRPr="00B203C1">
        <w:rPr>
          <w:b/>
          <w:bCs/>
          <w:noProof/>
          <w:color w:val="2E74B5" w:themeColor="accent5" w:themeShade="BF"/>
          <w:sz w:val="24"/>
          <w:szCs w:val="24"/>
          <w:lang w:val="en-US"/>
        </w:rPr>
        <w:t>COVID-19</w:t>
      </w:r>
      <w:r w:rsidR="000E3ADF">
        <w:rPr>
          <w:b/>
          <w:bCs/>
          <w:noProof/>
          <w:color w:val="2E74B5" w:themeColor="accent5" w:themeShade="BF"/>
          <w:sz w:val="24"/>
          <w:szCs w:val="24"/>
          <w:lang w:val="en-US"/>
        </w:rPr>
        <w:t xml:space="preserve"> Impacts</w:t>
      </w:r>
      <w:r w:rsidR="000E3ADF" w:rsidRPr="00B203C1">
        <w:rPr>
          <w:b/>
          <w:bCs/>
          <w:noProof/>
          <w:color w:val="2E74B5" w:themeColor="accent5" w:themeShade="BF"/>
          <w:sz w:val="24"/>
          <w:szCs w:val="24"/>
          <w:lang w:val="en-US"/>
        </w:rPr>
        <w:t xml:space="preserve"> on Corio, Norlane, and Whittington</w:t>
      </w:r>
      <w:bookmarkEnd w:id="5"/>
      <w:r w:rsidR="001D6B3B" w:rsidRPr="001D6B3B">
        <w:rPr>
          <w:b/>
          <w:bCs/>
        </w:rPr>
        <w:t xml:space="preserve"> 152</w:t>
      </w:r>
    </w:p>
    <w:p w14:paraId="64703EDE" w14:textId="38517AD5" w:rsidR="00F00E3D" w:rsidRDefault="00F00E3D" w:rsidP="009223E4">
      <w:pPr>
        <w:tabs>
          <w:tab w:val="right" w:leader="dot" w:pos="9912"/>
        </w:tabs>
        <w:spacing w:after="0" w:line="276" w:lineRule="auto"/>
        <w:rPr>
          <w:b/>
          <w:bCs/>
        </w:rPr>
      </w:pPr>
      <w:bookmarkStart w:id="6" w:name="_Hlk70775341"/>
      <w:bookmarkStart w:id="7" w:name="_Hlk70775483"/>
      <w:r w:rsidRPr="43B78878">
        <w:rPr>
          <w:b/>
          <w:bCs/>
          <w:noProof/>
        </w:rPr>
        <w:t>8</w:t>
      </w:r>
      <w:r w:rsidRPr="72671098">
        <w:rPr>
          <w:b/>
          <w:bCs/>
          <w:noProof/>
        </w:rPr>
        <w:t xml:space="preserve">.1 </w:t>
      </w:r>
      <w:r w:rsidR="00BC7399">
        <w:rPr>
          <w:b/>
          <w:bCs/>
          <w:noProof/>
        </w:rPr>
        <w:t xml:space="preserve"> </w:t>
      </w:r>
      <w:r w:rsidRPr="72671098">
        <w:rPr>
          <w:b/>
          <w:bCs/>
          <w:noProof/>
        </w:rPr>
        <w:t>Methodology</w:t>
      </w:r>
      <w:r w:rsidRPr="007A30C2">
        <w:rPr>
          <w:b/>
          <w:bCs/>
          <w:color w:val="7F7F7F" w:themeColor="text1" w:themeTint="80"/>
        </w:rPr>
        <w:tab/>
      </w:r>
      <w:r w:rsidR="001D6B3B" w:rsidRPr="001D6B3B">
        <w:rPr>
          <w:b/>
          <w:bCs/>
        </w:rPr>
        <w:t>152</w:t>
      </w:r>
    </w:p>
    <w:p w14:paraId="4128AB62" w14:textId="42F4B88C" w:rsidR="00F00E3D" w:rsidRPr="001D6B3B" w:rsidRDefault="00F00E3D" w:rsidP="009223E4">
      <w:pPr>
        <w:widowControl w:val="0"/>
        <w:tabs>
          <w:tab w:val="right" w:leader="dot" w:pos="9912"/>
        </w:tabs>
        <w:suppressAutoHyphens/>
        <w:spacing w:before="240" w:after="0" w:line="276" w:lineRule="auto"/>
        <w:contextualSpacing/>
        <w:rPr>
          <w:b/>
        </w:rPr>
      </w:pPr>
      <w:r w:rsidRPr="001D6B3B">
        <w:rPr>
          <w:b/>
          <w:bCs/>
          <w:noProof/>
        </w:rPr>
        <w:t xml:space="preserve">8.2  </w:t>
      </w:r>
      <w:r w:rsidR="00A23DBA" w:rsidRPr="001D6B3B">
        <w:rPr>
          <w:b/>
          <w:bCs/>
          <w:noProof/>
        </w:rPr>
        <w:t xml:space="preserve"> Local Expert Interviews: COVID-19 Impacts and Community Responses</w:t>
      </w:r>
      <w:r w:rsidRPr="001D6B3B">
        <w:rPr>
          <w:b/>
          <w:bCs/>
          <w:color w:val="7F7F7F" w:themeColor="text1" w:themeTint="80"/>
        </w:rPr>
        <w:tab/>
      </w:r>
      <w:r w:rsidR="001D6B3B" w:rsidRPr="001D6B3B">
        <w:rPr>
          <w:b/>
          <w:bCs/>
        </w:rPr>
        <w:t>153</w:t>
      </w:r>
    </w:p>
    <w:p w14:paraId="02CE08EB" w14:textId="375BA283" w:rsidR="007A30C2" w:rsidRPr="001D6B3B" w:rsidRDefault="00F00E3D" w:rsidP="009223E4">
      <w:pPr>
        <w:widowControl w:val="0"/>
        <w:tabs>
          <w:tab w:val="right" w:leader="dot" w:pos="9912"/>
        </w:tabs>
        <w:suppressAutoHyphens/>
        <w:spacing w:before="240" w:after="0" w:line="276" w:lineRule="auto"/>
        <w:contextualSpacing/>
        <w:rPr>
          <w:b/>
          <w:bCs/>
          <w:noProof/>
        </w:rPr>
      </w:pPr>
      <w:r w:rsidRPr="001D6B3B">
        <w:rPr>
          <w:b/>
          <w:bCs/>
          <w:noProof/>
        </w:rPr>
        <w:t>8.3  Gap</w:t>
      </w:r>
      <w:r w:rsidR="00A23DBA" w:rsidRPr="001D6B3B">
        <w:rPr>
          <w:b/>
          <w:bCs/>
          <w:noProof/>
        </w:rPr>
        <w:t xml:space="preserve"> Analysis:</w:t>
      </w:r>
      <w:r w:rsidRPr="001D6B3B">
        <w:rPr>
          <w:b/>
          <w:bCs/>
          <w:noProof/>
        </w:rPr>
        <w:t xml:space="preserve"> Unmet Needs Revealed by </w:t>
      </w:r>
      <w:r w:rsidR="00940D80" w:rsidRPr="001D6B3B">
        <w:rPr>
          <w:b/>
          <w:bCs/>
          <w:noProof/>
        </w:rPr>
        <w:t>COVID</w:t>
      </w:r>
      <w:r w:rsidRPr="001D6B3B">
        <w:rPr>
          <w:b/>
          <w:bCs/>
          <w:noProof/>
        </w:rPr>
        <w:t>-19</w:t>
      </w:r>
      <w:r w:rsidRPr="001D6B3B">
        <w:rPr>
          <w:b/>
          <w:bCs/>
          <w:color w:val="7F7F7F" w:themeColor="text1" w:themeTint="80"/>
        </w:rPr>
        <w:tab/>
      </w:r>
      <w:r w:rsidR="001D6B3B" w:rsidRPr="001D6B3B">
        <w:rPr>
          <w:b/>
          <w:bCs/>
        </w:rPr>
        <w:t>161</w:t>
      </w:r>
    </w:p>
    <w:p w14:paraId="4BBF09F5" w14:textId="33EF3F01" w:rsidR="00F00E3D" w:rsidRPr="001D6B3B" w:rsidRDefault="00F00E3D" w:rsidP="009223E4">
      <w:pPr>
        <w:widowControl w:val="0"/>
        <w:tabs>
          <w:tab w:val="right" w:leader="dot" w:pos="9912"/>
        </w:tabs>
        <w:suppressAutoHyphens/>
        <w:spacing w:before="240" w:after="0" w:line="276" w:lineRule="auto"/>
        <w:contextualSpacing/>
        <w:rPr>
          <w:b/>
          <w:bCs/>
          <w:noProof/>
        </w:rPr>
      </w:pPr>
      <w:r w:rsidRPr="001D6B3B">
        <w:rPr>
          <w:b/>
          <w:bCs/>
          <w:noProof/>
        </w:rPr>
        <w:t>8.4  Working With Local Communities: What is the Best Approach?</w:t>
      </w:r>
      <w:r w:rsidRPr="001D6B3B">
        <w:rPr>
          <w:b/>
          <w:bCs/>
          <w:noProof/>
          <w:color w:val="7F7F7F" w:themeColor="text1" w:themeTint="80"/>
        </w:rPr>
        <w:t>......................................................</w:t>
      </w:r>
      <w:r w:rsidR="001D6B3B" w:rsidRPr="001D6B3B">
        <w:rPr>
          <w:b/>
          <w:bCs/>
          <w:noProof/>
        </w:rPr>
        <w:t>165</w:t>
      </w:r>
    </w:p>
    <w:p w14:paraId="7AEDECB1" w14:textId="64B0FB59" w:rsidR="00F00E3D" w:rsidRPr="001D6B3B" w:rsidRDefault="00F00E3D" w:rsidP="009223E4">
      <w:pPr>
        <w:tabs>
          <w:tab w:val="right" w:leader="dot" w:pos="9912"/>
        </w:tabs>
        <w:spacing w:after="0" w:line="276" w:lineRule="auto"/>
        <w:rPr>
          <w:b/>
          <w:bCs/>
          <w:noProof/>
        </w:rPr>
      </w:pPr>
      <w:r w:rsidRPr="001D6B3B">
        <w:rPr>
          <w:b/>
          <w:bCs/>
          <w:noProof/>
        </w:rPr>
        <w:t xml:space="preserve">8.5 </w:t>
      </w:r>
      <w:r w:rsidR="00A23DBA" w:rsidRPr="001D6B3B">
        <w:rPr>
          <w:b/>
          <w:bCs/>
          <w:noProof/>
        </w:rPr>
        <w:t xml:space="preserve"> </w:t>
      </w:r>
      <w:r w:rsidR="00341E59" w:rsidRPr="001D6B3B">
        <w:rPr>
          <w:b/>
          <w:bCs/>
          <w:noProof/>
        </w:rPr>
        <w:t>Local Expert Focus Group</w:t>
      </w:r>
      <w:r w:rsidRPr="001D6B3B">
        <w:rPr>
          <w:b/>
          <w:bCs/>
          <w:noProof/>
          <w:color w:val="7F7F7F" w:themeColor="text1" w:themeTint="80"/>
        </w:rPr>
        <w:t>..................................................................................................</w:t>
      </w:r>
      <w:r w:rsidR="000527CD" w:rsidRPr="001D6B3B">
        <w:rPr>
          <w:b/>
          <w:bCs/>
          <w:noProof/>
          <w:color w:val="7F7F7F" w:themeColor="text1" w:themeTint="80"/>
        </w:rPr>
        <w:t>..</w:t>
      </w:r>
      <w:bookmarkEnd w:id="3"/>
      <w:r w:rsidR="003E4E2F" w:rsidRPr="001D6B3B">
        <w:rPr>
          <w:b/>
          <w:bCs/>
          <w:noProof/>
          <w:color w:val="7F7F7F" w:themeColor="text1" w:themeTint="80"/>
        </w:rPr>
        <w:t>............</w:t>
      </w:r>
      <w:r w:rsidR="001D6B3B" w:rsidRPr="001D6B3B">
        <w:rPr>
          <w:b/>
          <w:bCs/>
          <w:noProof/>
        </w:rPr>
        <w:t>167</w:t>
      </w:r>
    </w:p>
    <w:p w14:paraId="6BE709C2" w14:textId="3228F272" w:rsidR="00F00E3D" w:rsidRPr="00090B95" w:rsidRDefault="00F00E3D" w:rsidP="009223E4">
      <w:pPr>
        <w:widowControl w:val="0"/>
        <w:tabs>
          <w:tab w:val="right" w:leader="dot" w:pos="9912"/>
        </w:tabs>
        <w:suppressAutoHyphens/>
        <w:spacing w:after="0" w:line="276" w:lineRule="auto"/>
        <w:contextualSpacing/>
        <w:rPr>
          <w:b/>
        </w:rPr>
      </w:pPr>
      <w:r w:rsidRPr="007E39CA">
        <w:rPr>
          <w:b/>
          <w:bCs/>
          <w:noProof/>
        </w:rPr>
        <w:t xml:space="preserve">8.6  </w:t>
      </w:r>
      <w:r w:rsidR="00D1158A" w:rsidRPr="007E39CA">
        <w:rPr>
          <w:b/>
          <w:bCs/>
          <w:noProof/>
        </w:rPr>
        <w:t xml:space="preserve">Community Needs: </w:t>
      </w:r>
      <w:r w:rsidRPr="007E39CA">
        <w:rPr>
          <w:b/>
          <w:bCs/>
          <w:noProof/>
        </w:rPr>
        <w:t>Key Priorities and Proposed Interventions</w:t>
      </w:r>
      <w:r w:rsidR="000527CD" w:rsidRPr="007E39CA">
        <w:rPr>
          <w:b/>
          <w:bCs/>
          <w:noProof/>
          <w:color w:val="7F7F7F" w:themeColor="text1" w:themeTint="80"/>
        </w:rPr>
        <w:t xml:space="preserve"> .......................................</w:t>
      </w:r>
      <w:bookmarkStart w:id="8" w:name="_Hlk71285977"/>
      <w:r w:rsidR="000527CD" w:rsidRPr="007E39CA">
        <w:rPr>
          <w:b/>
          <w:bCs/>
          <w:noProof/>
          <w:color w:val="7F7F7F" w:themeColor="text1" w:themeTint="80"/>
        </w:rPr>
        <w:t>.............</w:t>
      </w:r>
      <w:r w:rsidR="007E39CA" w:rsidRPr="007E39CA">
        <w:rPr>
          <w:b/>
          <w:bCs/>
          <w:noProof/>
          <w:color w:val="7F7F7F" w:themeColor="text1" w:themeTint="80"/>
        </w:rPr>
        <w:t>.</w:t>
      </w:r>
      <w:r w:rsidR="000527CD" w:rsidRPr="007E39CA">
        <w:rPr>
          <w:b/>
          <w:bCs/>
          <w:noProof/>
          <w:color w:val="7F7F7F" w:themeColor="text1" w:themeTint="80"/>
        </w:rPr>
        <w:t>..</w:t>
      </w:r>
      <w:bookmarkEnd w:id="8"/>
      <w:r w:rsidR="007E39CA" w:rsidRPr="007E39CA">
        <w:rPr>
          <w:b/>
          <w:bCs/>
          <w:noProof/>
        </w:rPr>
        <w:t>176</w:t>
      </w:r>
    </w:p>
    <w:bookmarkEnd w:id="6"/>
    <w:p w14:paraId="36F5F91A" w14:textId="77777777" w:rsidR="00F00E3D" w:rsidRPr="00914D98" w:rsidRDefault="00F00E3D" w:rsidP="009223E4">
      <w:pPr>
        <w:widowControl w:val="0"/>
        <w:tabs>
          <w:tab w:val="right" w:leader="dot" w:pos="9912"/>
        </w:tabs>
        <w:suppressAutoHyphens/>
        <w:spacing w:after="0" w:line="276" w:lineRule="auto"/>
        <w:contextualSpacing/>
        <w:rPr>
          <w:rFonts w:cstheme="minorHAnsi"/>
          <w:b/>
          <w:bCs/>
          <w:caps/>
          <w:noProof/>
          <w:color w:val="2E74B5" w:themeColor="accent5" w:themeShade="BF"/>
          <w:sz w:val="12"/>
          <w:szCs w:val="12"/>
          <w:u w:val="single"/>
        </w:rPr>
      </w:pPr>
    </w:p>
    <w:bookmarkEnd w:id="4"/>
    <w:bookmarkEnd w:id="7"/>
    <w:p w14:paraId="156231D1" w14:textId="36E6E595" w:rsidR="00F00E3D" w:rsidRPr="00B203C1" w:rsidRDefault="00F00E3D" w:rsidP="009223E4">
      <w:pPr>
        <w:tabs>
          <w:tab w:val="right" w:leader="dot" w:pos="9912"/>
        </w:tabs>
        <w:spacing w:after="0" w:line="276" w:lineRule="auto"/>
        <w:rPr>
          <w:b/>
          <w:bCs/>
          <w:caps/>
          <w:noProof/>
          <w:color w:val="2E74B5" w:themeColor="accent5" w:themeShade="BF"/>
          <w:sz w:val="24"/>
          <w:szCs w:val="24"/>
          <w:u w:val="single"/>
        </w:rPr>
      </w:pPr>
      <w:r w:rsidRPr="00B203C1">
        <w:rPr>
          <w:b/>
          <w:bCs/>
          <w:caps/>
          <w:noProof/>
          <w:color w:val="2E74B5" w:themeColor="accent5" w:themeShade="BF"/>
          <w:sz w:val="24"/>
          <w:szCs w:val="24"/>
          <w:u w:val="single"/>
        </w:rPr>
        <w:t>Part C: DISCUSSION</w:t>
      </w:r>
      <w:r w:rsidR="004141D0" w:rsidRPr="00B203C1">
        <w:rPr>
          <w:b/>
          <w:bCs/>
          <w:caps/>
          <w:noProof/>
          <w:color w:val="2E74B5" w:themeColor="accent5" w:themeShade="BF"/>
          <w:sz w:val="24"/>
          <w:szCs w:val="24"/>
          <w:u w:val="single"/>
        </w:rPr>
        <w:t xml:space="preserve"> AND</w:t>
      </w:r>
      <w:r w:rsidRPr="00B203C1">
        <w:rPr>
          <w:b/>
          <w:bCs/>
          <w:caps/>
          <w:noProof/>
          <w:color w:val="2E74B5" w:themeColor="accent5" w:themeShade="BF"/>
          <w:sz w:val="24"/>
          <w:szCs w:val="24"/>
          <w:u w:val="single"/>
        </w:rPr>
        <w:t xml:space="preserve"> CONCLUSION</w:t>
      </w:r>
      <w:r w:rsidR="007E39CA" w:rsidRPr="00351098">
        <w:rPr>
          <w:b/>
          <w:bCs/>
          <w:color w:val="7F7F7F" w:themeColor="text1" w:themeTint="80"/>
        </w:rPr>
        <w:tab/>
      </w:r>
      <w:r w:rsidR="007E39CA">
        <w:rPr>
          <w:rFonts w:cstheme="minorHAnsi"/>
          <w:b/>
          <w:bCs/>
          <w:noProof/>
        </w:rPr>
        <w:t>184</w:t>
      </w:r>
    </w:p>
    <w:p w14:paraId="731DCA75" w14:textId="448A89BA" w:rsidR="00F00E3D" w:rsidRPr="00D976CF" w:rsidRDefault="0014340F" w:rsidP="009223E4">
      <w:pPr>
        <w:widowControl w:val="0"/>
        <w:tabs>
          <w:tab w:val="right" w:leader="dot" w:pos="9912"/>
        </w:tabs>
        <w:suppressAutoHyphens/>
        <w:spacing w:before="240" w:after="0" w:line="276" w:lineRule="auto"/>
        <w:contextualSpacing/>
        <w:rPr>
          <w:rFonts w:cstheme="minorHAnsi"/>
          <w:b/>
          <w:bCs/>
          <w:noProof/>
        </w:rPr>
      </w:pPr>
      <w:r w:rsidRPr="00D976CF">
        <w:rPr>
          <w:rFonts w:cstheme="minorHAnsi"/>
          <w:b/>
          <w:bCs/>
          <w:noProof/>
        </w:rPr>
        <w:t>9</w:t>
      </w:r>
      <w:r w:rsidR="00F00E3D" w:rsidRPr="00D976CF">
        <w:rPr>
          <w:rFonts w:cstheme="minorHAnsi"/>
          <w:b/>
          <w:bCs/>
          <w:noProof/>
        </w:rPr>
        <w:t xml:space="preserve">.1  </w:t>
      </w:r>
      <w:r w:rsidR="004141D0" w:rsidRPr="00D976CF">
        <w:rPr>
          <w:rFonts w:cstheme="minorHAnsi"/>
          <w:b/>
          <w:bCs/>
          <w:noProof/>
        </w:rPr>
        <w:t>Recap and Discussion</w:t>
      </w:r>
      <w:r w:rsidR="00F00E3D" w:rsidRPr="00D976CF">
        <w:rPr>
          <w:rFonts w:cstheme="minorHAnsi"/>
          <w:b/>
          <w:bCs/>
          <w:noProof/>
          <w:color w:val="7F7F7F" w:themeColor="text1" w:themeTint="80"/>
        </w:rPr>
        <w:tab/>
      </w:r>
      <w:r w:rsidR="007E39CA">
        <w:rPr>
          <w:rFonts w:cstheme="minorHAnsi"/>
          <w:b/>
          <w:bCs/>
          <w:noProof/>
        </w:rPr>
        <w:t>184</w:t>
      </w:r>
    </w:p>
    <w:p w14:paraId="58ECD8CC" w14:textId="7EAC57FB" w:rsidR="00F00E3D" w:rsidRPr="00D976CF" w:rsidRDefault="0014340F" w:rsidP="009223E4">
      <w:pPr>
        <w:widowControl w:val="0"/>
        <w:tabs>
          <w:tab w:val="right" w:leader="dot" w:pos="9912"/>
        </w:tabs>
        <w:suppressAutoHyphens/>
        <w:spacing w:before="240" w:after="0" w:line="276" w:lineRule="auto"/>
        <w:contextualSpacing/>
        <w:rPr>
          <w:rFonts w:cstheme="minorHAnsi"/>
          <w:b/>
          <w:bCs/>
          <w:noProof/>
        </w:rPr>
      </w:pPr>
      <w:r w:rsidRPr="00D976CF">
        <w:rPr>
          <w:rFonts w:cstheme="minorHAnsi"/>
          <w:b/>
          <w:bCs/>
          <w:noProof/>
        </w:rPr>
        <w:t>9</w:t>
      </w:r>
      <w:r w:rsidR="00F00E3D" w:rsidRPr="00D976CF">
        <w:rPr>
          <w:rFonts w:cstheme="minorHAnsi"/>
          <w:b/>
          <w:bCs/>
          <w:noProof/>
        </w:rPr>
        <w:t xml:space="preserve">.2  </w:t>
      </w:r>
      <w:r w:rsidR="004141D0" w:rsidRPr="00D976CF">
        <w:rPr>
          <w:rFonts w:cstheme="minorHAnsi"/>
          <w:b/>
          <w:bCs/>
          <w:noProof/>
        </w:rPr>
        <w:t>Recommendations</w:t>
      </w:r>
      <w:r w:rsidR="00990295">
        <w:rPr>
          <w:rFonts w:cstheme="minorHAnsi"/>
          <w:b/>
          <w:bCs/>
          <w:noProof/>
        </w:rPr>
        <w:t xml:space="preserve">: </w:t>
      </w:r>
      <w:r w:rsidR="00D976CF" w:rsidRPr="00D976CF">
        <w:rPr>
          <w:rFonts w:cstheme="minorHAnsi"/>
          <w:b/>
          <w:bCs/>
          <w:noProof/>
        </w:rPr>
        <w:t>Summary</w:t>
      </w:r>
      <w:r w:rsidR="00990295">
        <w:rPr>
          <w:rFonts w:cstheme="minorHAnsi"/>
          <w:b/>
          <w:bCs/>
          <w:noProof/>
        </w:rPr>
        <w:t xml:space="preserve"> and Policy Contexts</w:t>
      </w:r>
      <w:r w:rsidR="00F00E3D" w:rsidRPr="00D976CF">
        <w:rPr>
          <w:rFonts w:cstheme="minorHAnsi"/>
          <w:b/>
          <w:bCs/>
          <w:noProof/>
          <w:color w:val="7F7F7F" w:themeColor="text1" w:themeTint="80"/>
        </w:rPr>
        <w:tab/>
      </w:r>
      <w:r w:rsidR="007E39CA">
        <w:rPr>
          <w:rFonts w:cstheme="minorHAnsi"/>
          <w:b/>
          <w:bCs/>
          <w:noProof/>
        </w:rPr>
        <w:t>188</w:t>
      </w:r>
    </w:p>
    <w:p w14:paraId="1145F256" w14:textId="74F24E94" w:rsidR="00F00E3D" w:rsidRPr="000A29CA" w:rsidRDefault="0014340F" w:rsidP="009223E4">
      <w:pPr>
        <w:widowControl w:val="0"/>
        <w:tabs>
          <w:tab w:val="right" w:leader="dot" w:pos="9912"/>
        </w:tabs>
        <w:suppressAutoHyphens/>
        <w:spacing w:before="240" w:after="0" w:line="276" w:lineRule="auto"/>
        <w:contextualSpacing/>
        <w:rPr>
          <w:rFonts w:cstheme="minorHAnsi"/>
          <w:b/>
          <w:bCs/>
          <w:noProof/>
        </w:rPr>
      </w:pPr>
      <w:r w:rsidRPr="00D976CF">
        <w:rPr>
          <w:rFonts w:cstheme="minorHAnsi"/>
          <w:b/>
          <w:bCs/>
          <w:noProof/>
        </w:rPr>
        <w:t>9</w:t>
      </w:r>
      <w:r w:rsidR="00F00E3D" w:rsidRPr="00D976CF">
        <w:rPr>
          <w:rFonts w:cstheme="minorHAnsi"/>
          <w:b/>
          <w:bCs/>
          <w:noProof/>
        </w:rPr>
        <w:t xml:space="preserve">.3  </w:t>
      </w:r>
      <w:r w:rsidR="00CA5658" w:rsidRPr="00D976CF">
        <w:rPr>
          <w:rFonts w:cstheme="minorHAnsi"/>
          <w:b/>
          <w:bCs/>
          <w:noProof/>
        </w:rPr>
        <w:t xml:space="preserve">Study </w:t>
      </w:r>
      <w:r w:rsidR="004141D0" w:rsidRPr="00D976CF">
        <w:rPr>
          <w:rFonts w:cstheme="minorHAnsi"/>
          <w:b/>
          <w:bCs/>
          <w:noProof/>
        </w:rPr>
        <w:t>Challenges and Limitations</w:t>
      </w:r>
      <w:r w:rsidR="00F00E3D" w:rsidRPr="00780569">
        <w:rPr>
          <w:rFonts w:cstheme="minorHAnsi"/>
          <w:b/>
          <w:bCs/>
          <w:noProof/>
          <w:color w:val="7F7F7F" w:themeColor="text1" w:themeTint="80"/>
        </w:rPr>
        <w:tab/>
      </w:r>
      <w:r w:rsidR="00C96BDA">
        <w:rPr>
          <w:rFonts w:cstheme="minorHAnsi"/>
          <w:b/>
          <w:bCs/>
          <w:noProof/>
        </w:rPr>
        <w:t>194</w:t>
      </w:r>
    </w:p>
    <w:p w14:paraId="436E9A1E" w14:textId="250FC3D8" w:rsidR="00F00E3D" w:rsidRPr="000A29CA" w:rsidRDefault="0014340F" w:rsidP="009223E4">
      <w:pPr>
        <w:widowControl w:val="0"/>
        <w:tabs>
          <w:tab w:val="right" w:leader="dot" w:pos="9912"/>
        </w:tabs>
        <w:suppressAutoHyphens/>
        <w:spacing w:before="240" w:after="0" w:line="276" w:lineRule="auto"/>
        <w:contextualSpacing/>
        <w:rPr>
          <w:rFonts w:cstheme="minorHAnsi"/>
          <w:b/>
          <w:bCs/>
          <w:noProof/>
        </w:rPr>
      </w:pPr>
      <w:r>
        <w:rPr>
          <w:rFonts w:cstheme="minorHAnsi"/>
          <w:b/>
          <w:bCs/>
          <w:noProof/>
        </w:rPr>
        <w:t>9</w:t>
      </w:r>
      <w:r w:rsidR="00F00E3D" w:rsidRPr="000A29CA">
        <w:rPr>
          <w:rFonts w:cstheme="minorHAnsi"/>
          <w:b/>
          <w:bCs/>
          <w:noProof/>
        </w:rPr>
        <w:t>.</w:t>
      </w:r>
      <w:r w:rsidR="00F00E3D">
        <w:rPr>
          <w:rFonts w:cstheme="minorHAnsi"/>
          <w:b/>
          <w:bCs/>
          <w:noProof/>
        </w:rPr>
        <w:t>4</w:t>
      </w:r>
      <w:r w:rsidR="00F00E3D" w:rsidRPr="000A29CA">
        <w:rPr>
          <w:rFonts w:cstheme="minorHAnsi"/>
          <w:b/>
          <w:bCs/>
          <w:noProof/>
        </w:rPr>
        <w:t xml:space="preserve">  </w:t>
      </w:r>
      <w:r w:rsidR="004141D0">
        <w:rPr>
          <w:rFonts w:cstheme="minorHAnsi"/>
          <w:b/>
          <w:bCs/>
          <w:noProof/>
        </w:rPr>
        <w:t>Future Research</w:t>
      </w:r>
      <w:r w:rsidR="00F00E3D" w:rsidRPr="00780569">
        <w:rPr>
          <w:rFonts w:cstheme="minorHAnsi"/>
          <w:b/>
          <w:bCs/>
          <w:noProof/>
          <w:color w:val="7F7F7F" w:themeColor="text1" w:themeTint="80"/>
        </w:rPr>
        <w:tab/>
      </w:r>
      <w:r w:rsidR="00C96BDA">
        <w:rPr>
          <w:rFonts w:cstheme="minorHAnsi"/>
          <w:b/>
          <w:bCs/>
          <w:noProof/>
        </w:rPr>
        <w:t>194</w:t>
      </w:r>
    </w:p>
    <w:p w14:paraId="119BB3EF" w14:textId="2918FF42" w:rsidR="00F00E3D" w:rsidRPr="00914D98" w:rsidRDefault="0014340F" w:rsidP="009223E4">
      <w:pPr>
        <w:widowControl w:val="0"/>
        <w:tabs>
          <w:tab w:val="right" w:leader="dot" w:pos="9912"/>
        </w:tabs>
        <w:suppressAutoHyphens/>
        <w:spacing w:before="240" w:after="0" w:line="276" w:lineRule="auto"/>
        <w:contextualSpacing/>
        <w:rPr>
          <w:rFonts w:cstheme="minorHAnsi"/>
          <w:b/>
          <w:bCs/>
          <w:noProof/>
        </w:rPr>
      </w:pPr>
      <w:r>
        <w:rPr>
          <w:rFonts w:cstheme="minorHAnsi"/>
          <w:b/>
          <w:bCs/>
          <w:noProof/>
        </w:rPr>
        <w:t>9</w:t>
      </w:r>
      <w:r w:rsidR="00F00E3D" w:rsidRPr="000A29CA">
        <w:rPr>
          <w:rFonts w:cstheme="minorHAnsi"/>
          <w:b/>
          <w:bCs/>
          <w:noProof/>
        </w:rPr>
        <w:t>.</w:t>
      </w:r>
      <w:r w:rsidR="00F00E3D">
        <w:rPr>
          <w:rFonts w:cstheme="minorHAnsi"/>
          <w:b/>
          <w:bCs/>
          <w:noProof/>
        </w:rPr>
        <w:t>5</w:t>
      </w:r>
      <w:r w:rsidR="00F00E3D" w:rsidRPr="000A29CA">
        <w:rPr>
          <w:rFonts w:cstheme="minorHAnsi"/>
          <w:b/>
          <w:bCs/>
          <w:noProof/>
        </w:rPr>
        <w:t xml:space="preserve">  </w:t>
      </w:r>
      <w:r w:rsidR="004141D0">
        <w:rPr>
          <w:rFonts w:cstheme="minorHAnsi"/>
          <w:b/>
          <w:bCs/>
          <w:noProof/>
        </w:rPr>
        <w:t>Conclusion</w:t>
      </w:r>
      <w:r w:rsidR="00F00E3D" w:rsidRPr="00780569">
        <w:rPr>
          <w:rFonts w:cstheme="minorHAnsi"/>
          <w:b/>
          <w:bCs/>
          <w:noProof/>
          <w:color w:val="7F7F7F" w:themeColor="text1" w:themeTint="80"/>
        </w:rPr>
        <w:tab/>
      </w:r>
      <w:r w:rsidR="00C96BDA">
        <w:rPr>
          <w:rFonts w:cstheme="minorHAnsi"/>
          <w:b/>
          <w:bCs/>
          <w:noProof/>
        </w:rPr>
        <w:t>194</w:t>
      </w:r>
    </w:p>
    <w:p w14:paraId="79DADCBD" w14:textId="77777777" w:rsidR="00BC7399" w:rsidRPr="00BC7399" w:rsidRDefault="00BC7399" w:rsidP="009223E4">
      <w:pPr>
        <w:widowControl w:val="0"/>
        <w:tabs>
          <w:tab w:val="right" w:leader="dot" w:pos="9912"/>
        </w:tabs>
        <w:suppressAutoHyphens/>
        <w:spacing w:after="0" w:line="276" w:lineRule="auto"/>
        <w:contextualSpacing/>
        <w:rPr>
          <w:rFonts w:cstheme="minorHAnsi"/>
          <w:b/>
          <w:bCs/>
          <w:caps/>
          <w:noProof/>
          <w:color w:val="2E74B5" w:themeColor="accent5" w:themeShade="BF"/>
          <w:sz w:val="12"/>
          <w:szCs w:val="12"/>
          <w:u w:val="single"/>
        </w:rPr>
      </w:pPr>
    </w:p>
    <w:p w14:paraId="75399B46" w14:textId="136DFA81" w:rsidR="00F769ED" w:rsidRPr="00B203C1" w:rsidRDefault="00F769ED" w:rsidP="009223E4">
      <w:pPr>
        <w:widowControl w:val="0"/>
        <w:tabs>
          <w:tab w:val="right" w:leader="dot" w:pos="9912"/>
        </w:tabs>
        <w:suppressAutoHyphens/>
        <w:spacing w:after="0" w:line="276" w:lineRule="auto"/>
        <w:contextualSpacing/>
        <w:rPr>
          <w:rFonts w:cstheme="minorHAnsi"/>
          <w:b/>
          <w:bCs/>
          <w:caps/>
          <w:noProof/>
          <w:color w:val="2E74B5" w:themeColor="accent5" w:themeShade="BF"/>
          <w:sz w:val="24"/>
          <w:szCs w:val="24"/>
          <w:u w:val="single"/>
        </w:rPr>
      </w:pPr>
      <w:r w:rsidRPr="00B203C1">
        <w:rPr>
          <w:rFonts w:cstheme="minorHAnsi"/>
          <w:b/>
          <w:bCs/>
          <w:caps/>
          <w:noProof/>
          <w:color w:val="2E74B5" w:themeColor="accent5" w:themeShade="BF"/>
          <w:sz w:val="24"/>
          <w:szCs w:val="24"/>
          <w:u w:val="single"/>
        </w:rPr>
        <w:t>REFERENCES</w:t>
      </w:r>
      <w:r w:rsidR="00AE0351" w:rsidRPr="00AE0351">
        <w:rPr>
          <w:rFonts w:cstheme="minorHAnsi"/>
          <w:b/>
          <w:bCs/>
          <w:caps/>
          <w:noProof/>
          <w:color w:val="2E74B5" w:themeColor="accent5" w:themeShade="BF"/>
          <w:sz w:val="24"/>
          <w:szCs w:val="24"/>
          <w:u w:val="single"/>
        </w:rPr>
        <w:t xml:space="preserve"> </w:t>
      </w:r>
      <w:r w:rsidR="00AE0351">
        <w:rPr>
          <w:rFonts w:cstheme="minorHAnsi"/>
          <w:b/>
          <w:bCs/>
          <w:caps/>
          <w:noProof/>
          <w:color w:val="2E74B5" w:themeColor="accent5" w:themeShade="BF"/>
          <w:sz w:val="24"/>
          <w:szCs w:val="24"/>
          <w:u w:val="single"/>
        </w:rPr>
        <w:t xml:space="preserve">AND </w:t>
      </w:r>
      <w:r w:rsidR="00AE0351" w:rsidRPr="000B3F6E">
        <w:rPr>
          <w:rFonts w:cstheme="minorHAnsi"/>
          <w:b/>
          <w:bCs/>
          <w:caps/>
          <w:noProof/>
          <w:color w:val="2E74B5" w:themeColor="accent5" w:themeShade="BF"/>
          <w:sz w:val="24"/>
          <w:szCs w:val="24"/>
          <w:u w:val="single"/>
        </w:rPr>
        <w:t>APPENDICES</w:t>
      </w:r>
      <w:r w:rsidR="00880F50" w:rsidRPr="00780569">
        <w:rPr>
          <w:rFonts w:cstheme="minorHAnsi"/>
          <w:b/>
          <w:bCs/>
          <w:noProof/>
          <w:color w:val="7F7F7F" w:themeColor="text1" w:themeTint="80"/>
        </w:rPr>
        <w:tab/>
      </w:r>
      <w:r w:rsidR="00880F50">
        <w:rPr>
          <w:rFonts w:cstheme="minorHAnsi"/>
          <w:b/>
          <w:bCs/>
          <w:noProof/>
        </w:rPr>
        <w:t>196</w:t>
      </w:r>
    </w:p>
    <w:p w14:paraId="3E06C298" w14:textId="5258C999" w:rsidR="00F769ED" w:rsidRDefault="00AE0351" w:rsidP="009223E4">
      <w:pPr>
        <w:widowControl w:val="0"/>
        <w:tabs>
          <w:tab w:val="right" w:leader="dot" w:pos="9912"/>
        </w:tabs>
        <w:suppressAutoHyphens/>
        <w:spacing w:after="0" w:line="276" w:lineRule="auto"/>
        <w:contextualSpacing/>
        <w:rPr>
          <w:rFonts w:cstheme="minorHAnsi"/>
          <w:b/>
          <w:bCs/>
          <w:noProof/>
          <w:color w:val="2E74B5" w:themeColor="accent5" w:themeShade="BF"/>
          <w:sz w:val="24"/>
          <w:szCs w:val="24"/>
        </w:rPr>
      </w:pPr>
      <w:r>
        <w:rPr>
          <w:rFonts w:cstheme="minorHAnsi"/>
          <w:b/>
          <w:bCs/>
          <w:noProof/>
        </w:rPr>
        <w:t xml:space="preserve">References: </w:t>
      </w:r>
      <w:r w:rsidR="00F769ED" w:rsidRPr="00182FE0">
        <w:rPr>
          <w:rFonts w:cstheme="minorHAnsi"/>
          <w:b/>
          <w:bCs/>
          <w:noProof/>
        </w:rPr>
        <w:t>Executive Summary</w:t>
      </w:r>
      <w:r w:rsidR="00F769ED" w:rsidRPr="00780569">
        <w:rPr>
          <w:rFonts w:cstheme="minorHAnsi"/>
          <w:b/>
          <w:bCs/>
          <w:noProof/>
          <w:color w:val="7F7F7F" w:themeColor="text1" w:themeTint="80"/>
        </w:rPr>
        <w:tab/>
      </w:r>
      <w:r w:rsidR="00880F50">
        <w:rPr>
          <w:rFonts w:cstheme="minorHAnsi"/>
          <w:b/>
          <w:bCs/>
          <w:noProof/>
        </w:rPr>
        <w:t>196</w:t>
      </w:r>
    </w:p>
    <w:p w14:paraId="246405EE" w14:textId="3F9B27F4" w:rsidR="00F769ED" w:rsidRDefault="00AD6330" w:rsidP="009223E4">
      <w:pPr>
        <w:widowControl w:val="0"/>
        <w:tabs>
          <w:tab w:val="right" w:leader="dot" w:pos="9912"/>
        </w:tabs>
        <w:suppressAutoHyphens/>
        <w:spacing w:after="0" w:line="276" w:lineRule="auto"/>
        <w:contextualSpacing/>
        <w:rPr>
          <w:rFonts w:cstheme="minorHAnsi"/>
          <w:b/>
          <w:bCs/>
          <w:noProof/>
        </w:rPr>
      </w:pPr>
      <w:r>
        <w:rPr>
          <w:rFonts w:cstheme="minorHAnsi"/>
          <w:b/>
          <w:bCs/>
          <w:noProof/>
        </w:rPr>
        <w:t xml:space="preserve">References: </w:t>
      </w:r>
      <w:r w:rsidR="00F769ED" w:rsidRPr="00182FE0">
        <w:rPr>
          <w:rFonts w:cstheme="minorHAnsi"/>
          <w:b/>
          <w:bCs/>
          <w:noProof/>
        </w:rPr>
        <w:t>Part A</w:t>
      </w:r>
      <w:r>
        <w:rPr>
          <w:rFonts w:cstheme="minorHAnsi"/>
          <w:b/>
          <w:bCs/>
          <w:noProof/>
        </w:rPr>
        <w:t>:</w:t>
      </w:r>
      <w:r w:rsidR="00FA7267">
        <w:rPr>
          <w:rFonts w:cstheme="minorHAnsi"/>
          <w:b/>
          <w:bCs/>
          <w:noProof/>
        </w:rPr>
        <w:t xml:space="preserve"> Environmental Scan</w:t>
      </w:r>
      <w:r w:rsidR="00F769ED" w:rsidRPr="00780569">
        <w:rPr>
          <w:rFonts w:cstheme="minorHAnsi"/>
          <w:b/>
          <w:bCs/>
          <w:noProof/>
          <w:color w:val="7F7F7F" w:themeColor="text1" w:themeTint="80"/>
        </w:rPr>
        <w:tab/>
      </w:r>
      <w:r w:rsidR="00880F50">
        <w:rPr>
          <w:rFonts w:cstheme="minorHAnsi"/>
          <w:b/>
          <w:bCs/>
          <w:noProof/>
        </w:rPr>
        <w:t>196</w:t>
      </w:r>
    </w:p>
    <w:p w14:paraId="2C444498" w14:textId="029B387B" w:rsidR="00F769ED" w:rsidRDefault="00AD6330" w:rsidP="009223E4">
      <w:pPr>
        <w:widowControl w:val="0"/>
        <w:tabs>
          <w:tab w:val="right" w:leader="dot" w:pos="9912"/>
        </w:tabs>
        <w:suppressAutoHyphens/>
        <w:spacing w:after="0" w:line="276" w:lineRule="auto"/>
        <w:contextualSpacing/>
        <w:rPr>
          <w:rFonts w:cstheme="minorHAnsi"/>
          <w:b/>
          <w:bCs/>
          <w:noProof/>
        </w:rPr>
      </w:pPr>
      <w:r>
        <w:rPr>
          <w:rFonts w:cstheme="minorHAnsi"/>
          <w:b/>
          <w:bCs/>
          <w:noProof/>
        </w:rPr>
        <w:t xml:space="preserve">References: </w:t>
      </w:r>
      <w:r w:rsidR="00F769ED" w:rsidRPr="00182FE0">
        <w:rPr>
          <w:rFonts w:cstheme="minorHAnsi"/>
          <w:b/>
          <w:bCs/>
          <w:noProof/>
        </w:rPr>
        <w:t>Part B</w:t>
      </w:r>
      <w:r w:rsidR="00FA7267">
        <w:rPr>
          <w:rFonts w:cstheme="minorHAnsi"/>
          <w:b/>
          <w:bCs/>
          <w:noProof/>
        </w:rPr>
        <w:t xml:space="preserve">: </w:t>
      </w:r>
      <w:r w:rsidR="00940D80">
        <w:rPr>
          <w:rFonts w:cstheme="minorHAnsi"/>
          <w:b/>
          <w:bCs/>
          <w:noProof/>
        </w:rPr>
        <w:t>COVID</w:t>
      </w:r>
      <w:r w:rsidR="00FA7267">
        <w:rPr>
          <w:rFonts w:cstheme="minorHAnsi"/>
          <w:b/>
          <w:bCs/>
          <w:noProof/>
        </w:rPr>
        <w:t>-19 Impact Study</w:t>
      </w:r>
      <w:r w:rsidR="00F769ED" w:rsidRPr="00182FE0">
        <w:rPr>
          <w:rFonts w:cstheme="minorHAnsi"/>
          <w:b/>
          <w:bCs/>
          <w:noProof/>
        </w:rPr>
        <w:t xml:space="preserve"> </w:t>
      </w:r>
      <w:r w:rsidR="00F769ED" w:rsidRPr="00780569">
        <w:rPr>
          <w:rFonts w:cstheme="minorHAnsi"/>
          <w:b/>
          <w:bCs/>
          <w:noProof/>
          <w:color w:val="7F7F7F" w:themeColor="text1" w:themeTint="80"/>
        </w:rPr>
        <w:tab/>
      </w:r>
      <w:r w:rsidR="00880F50">
        <w:rPr>
          <w:rFonts w:cstheme="minorHAnsi"/>
          <w:b/>
          <w:bCs/>
          <w:noProof/>
        </w:rPr>
        <w:t>217</w:t>
      </w:r>
    </w:p>
    <w:p w14:paraId="05AAD8A3" w14:textId="725418C2" w:rsidR="00F00E3D" w:rsidRPr="000A29CA" w:rsidRDefault="00F00E3D" w:rsidP="009223E4">
      <w:pPr>
        <w:widowControl w:val="0"/>
        <w:tabs>
          <w:tab w:val="right" w:leader="dot" w:pos="9912"/>
        </w:tabs>
        <w:suppressAutoHyphens/>
        <w:spacing w:before="240" w:after="0" w:line="276" w:lineRule="auto"/>
        <w:contextualSpacing/>
        <w:rPr>
          <w:rFonts w:cstheme="minorHAnsi"/>
          <w:b/>
          <w:bCs/>
          <w:noProof/>
        </w:rPr>
      </w:pPr>
      <w:r w:rsidRPr="000A29CA">
        <w:rPr>
          <w:rFonts w:cstheme="minorHAnsi"/>
          <w:b/>
          <w:bCs/>
          <w:noProof/>
        </w:rPr>
        <w:t xml:space="preserve">Appendix A: </w:t>
      </w:r>
      <w:r>
        <w:rPr>
          <w:rFonts w:cstheme="minorHAnsi"/>
          <w:b/>
          <w:bCs/>
          <w:noProof/>
          <w:lang w:val="en-US"/>
        </w:rPr>
        <w:t>Key</w:t>
      </w:r>
      <w:r w:rsidR="00AE0351">
        <w:rPr>
          <w:rFonts w:cstheme="minorHAnsi"/>
          <w:b/>
          <w:bCs/>
          <w:noProof/>
          <w:lang w:val="en-US"/>
        </w:rPr>
        <w:t>w</w:t>
      </w:r>
      <w:r>
        <w:rPr>
          <w:rFonts w:cstheme="minorHAnsi"/>
          <w:b/>
          <w:bCs/>
          <w:noProof/>
          <w:lang w:val="en-US"/>
        </w:rPr>
        <w:t xml:space="preserve">ords for </w:t>
      </w:r>
      <w:r w:rsidR="006137A0">
        <w:rPr>
          <w:rFonts w:cstheme="minorHAnsi"/>
          <w:b/>
          <w:bCs/>
          <w:noProof/>
          <w:lang w:val="en-US"/>
        </w:rPr>
        <w:t xml:space="preserve">Academic </w:t>
      </w:r>
      <w:r>
        <w:rPr>
          <w:rFonts w:cstheme="minorHAnsi"/>
          <w:b/>
          <w:bCs/>
          <w:noProof/>
          <w:lang w:val="en-US"/>
        </w:rPr>
        <w:t>Literature Searches</w:t>
      </w:r>
      <w:r w:rsidRPr="00144EF3">
        <w:rPr>
          <w:rFonts w:cstheme="minorHAnsi"/>
          <w:b/>
          <w:bCs/>
          <w:noProof/>
          <w:color w:val="7F7F7F" w:themeColor="text1" w:themeTint="80"/>
        </w:rPr>
        <w:t xml:space="preserve"> </w:t>
      </w:r>
      <w:r w:rsidRPr="00780569">
        <w:rPr>
          <w:rFonts w:cstheme="minorHAnsi"/>
          <w:b/>
          <w:bCs/>
          <w:noProof/>
          <w:color w:val="7F7F7F" w:themeColor="text1" w:themeTint="80"/>
        </w:rPr>
        <w:tab/>
      </w:r>
      <w:r w:rsidR="00AE0351">
        <w:rPr>
          <w:rFonts w:cstheme="minorHAnsi"/>
          <w:b/>
          <w:bCs/>
          <w:noProof/>
        </w:rPr>
        <w:t>22</w:t>
      </w:r>
      <w:r w:rsidR="00203685">
        <w:rPr>
          <w:rFonts w:cstheme="minorHAnsi"/>
          <w:b/>
          <w:bCs/>
          <w:noProof/>
        </w:rPr>
        <w:t>6</w:t>
      </w:r>
    </w:p>
    <w:bookmarkEnd w:id="2"/>
    <w:p w14:paraId="06458E94" w14:textId="77FA3C7A" w:rsidR="00F00E3D" w:rsidRDefault="00F00E3D" w:rsidP="009223E4">
      <w:pPr>
        <w:widowControl w:val="0"/>
        <w:tabs>
          <w:tab w:val="right" w:leader="dot" w:pos="9912"/>
        </w:tabs>
        <w:suppressAutoHyphens/>
        <w:spacing w:before="240" w:after="0" w:line="276" w:lineRule="auto"/>
        <w:contextualSpacing/>
        <w:rPr>
          <w:b/>
          <w:bCs/>
          <w:noProof/>
        </w:rPr>
      </w:pPr>
      <w:r w:rsidRPr="71C466D6">
        <w:rPr>
          <w:b/>
          <w:bCs/>
          <w:noProof/>
        </w:rPr>
        <w:t xml:space="preserve">Appendix B: </w:t>
      </w:r>
      <w:r w:rsidR="00AD2DA5">
        <w:rPr>
          <w:b/>
          <w:bCs/>
          <w:noProof/>
        </w:rPr>
        <w:t>Case Studies</w:t>
      </w:r>
      <w:r w:rsidR="0092045B">
        <w:rPr>
          <w:b/>
          <w:bCs/>
          <w:noProof/>
        </w:rPr>
        <w:t xml:space="preserve">: </w:t>
      </w:r>
      <w:r w:rsidR="00D95573">
        <w:rPr>
          <w:b/>
          <w:bCs/>
          <w:noProof/>
          <w:lang w:val="en-US"/>
        </w:rPr>
        <w:t>Practice Domain</w:t>
      </w:r>
      <w:r w:rsidRPr="71C466D6">
        <w:rPr>
          <w:b/>
          <w:bCs/>
          <w:noProof/>
          <w:lang w:val="en-US"/>
        </w:rPr>
        <w:t>s Matrix</w:t>
      </w:r>
      <w:r w:rsidRPr="00780569">
        <w:rPr>
          <w:rFonts w:cstheme="minorHAnsi"/>
          <w:b/>
          <w:bCs/>
          <w:noProof/>
          <w:color w:val="7F7F7F" w:themeColor="text1" w:themeTint="80"/>
        </w:rPr>
        <w:tab/>
      </w:r>
      <w:r w:rsidR="00AD6330">
        <w:rPr>
          <w:rFonts w:cstheme="minorHAnsi"/>
          <w:b/>
          <w:bCs/>
          <w:noProof/>
        </w:rPr>
        <w:t>22</w:t>
      </w:r>
      <w:r w:rsidR="00203685">
        <w:rPr>
          <w:rFonts w:cstheme="minorHAnsi"/>
          <w:b/>
          <w:bCs/>
          <w:noProof/>
        </w:rPr>
        <w:t>9</w:t>
      </w:r>
    </w:p>
    <w:p w14:paraId="357B816F" w14:textId="4F88CF49" w:rsidR="00F00E3D" w:rsidRDefault="00F00E3D" w:rsidP="009223E4">
      <w:pPr>
        <w:widowControl w:val="0"/>
        <w:tabs>
          <w:tab w:val="right" w:leader="dot" w:pos="9912"/>
        </w:tabs>
        <w:suppressAutoHyphens/>
        <w:spacing w:before="240" w:after="0" w:line="276" w:lineRule="auto"/>
        <w:contextualSpacing/>
        <w:rPr>
          <w:rFonts w:cstheme="minorHAnsi"/>
          <w:b/>
          <w:bCs/>
          <w:noProof/>
        </w:rPr>
      </w:pPr>
      <w:r w:rsidRPr="71C466D6">
        <w:rPr>
          <w:b/>
          <w:bCs/>
          <w:noProof/>
        </w:rPr>
        <w:t xml:space="preserve">Appendix </w:t>
      </w:r>
      <w:r>
        <w:rPr>
          <w:b/>
          <w:bCs/>
          <w:noProof/>
        </w:rPr>
        <w:t>C</w:t>
      </w:r>
      <w:r w:rsidRPr="71C466D6">
        <w:rPr>
          <w:b/>
          <w:bCs/>
          <w:noProof/>
        </w:rPr>
        <w:t xml:space="preserve">: </w:t>
      </w:r>
      <w:bookmarkStart w:id="9" w:name="_Hlk70336799"/>
      <w:r w:rsidR="00612FD3">
        <w:rPr>
          <w:b/>
          <w:bCs/>
          <w:noProof/>
          <w:lang w:val="en-US"/>
        </w:rPr>
        <w:t>Data Tables:</w:t>
      </w:r>
      <w:r w:rsidR="00612FD3" w:rsidRPr="00144EF3">
        <w:rPr>
          <w:rFonts w:cstheme="minorHAnsi"/>
          <w:b/>
          <w:bCs/>
          <w:noProof/>
          <w:color w:val="7F7F7F" w:themeColor="text1" w:themeTint="80"/>
        </w:rPr>
        <w:t xml:space="preserve"> </w:t>
      </w:r>
      <w:r w:rsidR="00612FD3" w:rsidRPr="00612FD3">
        <w:rPr>
          <w:b/>
          <w:bCs/>
          <w:noProof/>
          <w:lang w:val="en-US"/>
        </w:rPr>
        <w:t>Review of Key Academic Research</w:t>
      </w:r>
      <w:bookmarkEnd w:id="9"/>
      <w:r w:rsidRPr="00780569">
        <w:rPr>
          <w:rFonts w:cstheme="minorHAnsi"/>
          <w:b/>
          <w:bCs/>
          <w:noProof/>
          <w:color w:val="7F7F7F" w:themeColor="text1" w:themeTint="80"/>
        </w:rPr>
        <w:tab/>
      </w:r>
      <w:r w:rsidR="00AD6330">
        <w:rPr>
          <w:rFonts w:cstheme="minorHAnsi"/>
          <w:b/>
          <w:bCs/>
          <w:noProof/>
        </w:rPr>
        <w:t>23</w:t>
      </w:r>
      <w:r w:rsidR="00203685">
        <w:rPr>
          <w:rFonts w:cstheme="minorHAnsi"/>
          <w:b/>
          <w:bCs/>
          <w:noProof/>
        </w:rPr>
        <w:t>1</w:t>
      </w:r>
    </w:p>
    <w:p w14:paraId="3D7833AF" w14:textId="60D88E7F" w:rsidR="00F00E3D" w:rsidRDefault="00F00E3D" w:rsidP="009223E4">
      <w:pPr>
        <w:widowControl w:val="0"/>
        <w:tabs>
          <w:tab w:val="right" w:leader="dot" w:pos="9912"/>
        </w:tabs>
        <w:suppressAutoHyphens/>
        <w:spacing w:before="240" w:after="0" w:line="276" w:lineRule="auto"/>
        <w:contextualSpacing/>
        <w:rPr>
          <w:b/>
        </w:rPr>
      </w:pPr>
      <w:r w:rsidRPr="5AC45E0D">
        <w:rPr>
          <w:b/>
        </w:rPr>
        <w:t xml:space="preserve">Appendix D: </w:t>
      </w:r>
      <w:r w:rsidR="00031564">
        <w:rPr>
          <w:b/>
        </w:rPr>
        <w:t xml:space="preserve">Analysis: </w:t>
      </w:r>
      <w:r w:rsidRPr="5AC45E0D">
        <w:rPr>
          <w:b/>
          <w:lang w:val="en-US"/>
        </w:rPr>
        <w:t xml:space="preserve">Impact of </w:t>
      </w:r>
      <w:r w:rsidR="00940D80">
        <w:rPr>
          <w:b/>
          <w:lang w:val="en-US"/>
        </w:rPr>
        <w:t>COVID-19</w:t>
      </w:r>
      <w:r w:rsidRPr="5AC45E0D">
        <w:rPr>
          <w:b/>
          <w:lang w:val="en-US"/>
        </w:rPr>
        <w:t xml:space="preserve"> on</w:t>
      </w:r>
      <w:r w:rsidR="00940D80">
        <w:rPr>
          <w:b/>
          <w:lang w:val="en-US"/>
        </w:rPr>
        <w:t xml:space="preserve"> the</w:t>
      </w:r>
      <w:r w:rsidRPr="5AC45E0D">
        <w:rPr>
          <w:b/>
          <w:lang w:val="en-US"/>
        </w:rPr>
        <w:t xml:space="preserve"> Housing Market</w:t>
      </w:r>
      <w:r w:rsidRPr="5AC45E0D">
        <w:rPr>
          <w:b/>
          <w:color w:val="7F7F7F" w:themeColor="text1" w:themeTint="80"/>
        </w:rPr>
        <w:t xml:space="preserve"> </w:t>
      </w:r>
      <w:r w:rsidRPr="0014340F">
        <w:rPr>
          <w:b/>
          <w:bCs/>
          <w:color w:val="7F7F7F" w:themeColor="text1" w:themeTint="80"/>
        </w:rPr>
        <w:tab/>
      </w:r>
      <w:r w:rsidR="00561FF3">
        <w:rPr>
          <w:b/>
        </w:rPr>
        <w:t>25</w:t>
      </w:r>
      <w:r w:rsidR="00203685">
        <w:rPr>
          <w:b/>
        </w:rPr>
        <w:t>9</w:t>
      </w:r>
    </w:p>
    <w:p w14:paraId="7400224E" w14:textId="0E526043" w:rsidR="00F00E3D" w:rsidRPr="00AE0351" w:rsidRDefault="00F00E3D" w:rsidP="00AE0351">
      <w:pPr>
        <w:widowControl w:val="0"/>
        <w:tabs>
          <w:tab w:val="right" w:leader="dot" w:pos="9912"/>
        </w:tabs>
        <w:suppressAutoHyphens/>
        <w:spacing w:before="240" w:after="0" w:line="276" w:lineRule="auto"/>
        <w:contextualSpacing/>
        <w:rPr>
          <w:b/>
        </w:rPr>
        <w:sectPr w:rsidR="00F00E3D" w:rsidRPr="00AE0351" w:rsidSect="009452E8">
          <w:pgSz w:w="11900" w:h="16840"/>
          <w:pgMar w:top="1134" w:right="1134" w:bottom="1134" w:left="1134" w:header="709" w:footer="709" w:gutter="0"/>
          <w:cols w:space="708"/>
          <w:docGrid w:linePitch="360"/>
        </w:sectPr>
      </w:pPr>
      <w:r w:rsidRPr="5AC45E0D">
        <w:rPr>
          <w:b/>
        </w:rPr>
        <w:t xml:space="preserve">Appendix E: </w:t>
      </w:r>
      <w:r w:rsidR="00C34D4B">
        <w:rPr>
          <w:b/>
          <w:lang w:val="en-US"/>
        </w:rPr>
        <w:t>Participant Organisations:</w:t>
      </w:r>
      <w:r w:rsidRPr="5AC45E0D">
        <w:rPr>
          <w:b/>
          <w:lang w:val="en-US"/>
        </w:rPr>
        <w:t xml:space="preserve"> </w:t>
      </w:r>
      <w:r w:rsidR="00B46F66">
        <w:rPr>
          <w:b/>
          <w:lang w:val="en-US"/>
        </w:rPr>
        <w:t xml:space="preserve">Local Expert </w:t>
      </w:r>
      <w:r w:rsidR="00C34D4B">
        <w:rPr>
          <w:b/>
          <w:lang w:val="en-US"/>
        </w:rPr>
        <w:t>I</w:t>
      </w:r>
      <w:r w:rsidRPr="5AC45E0D">
        <w:rPr>
          <w:b/>
          <w:lang w:val="en-US"/>
        </w:rPr>
        <w:t xml:space="preserve">nterviews and </w:t>
      </w:r>
      <w:r w:rsidR="00C34D4B">
        <w:rPr>
          <w:b/>
          <w:lang w:val="en-US"/>
        </w:rPr>
        <w:t>Focus</w:t>
      </w:r>
      <w:r w:rsidRPr="5AC45E0D">
        <w:rPr>
          <w:b/>
          <w:lang w:val="en-US"/>
        </w:rPr>
        <w:t xml:space="preserve"> </w:t>
      </w:r>
      <w:r w:rsidR="00C34D4B">
        <w:rPr>
          <w:b/>
          <w:lang w:val="en-US"/>
        </w:rPr>
        <w:t>G</w:t>
      </w:r>
      <w:r w:rsidRPr="5AC45E0D">
        <w:rPr>
          <w:b/>
          <w:lang w:val="en-US"/>
        </w:rPr>
        <w:t>roup</w:t>
      </w:r>
      <w:r w:rsidRPr="5AC45E0D">
        <w:rPr>
          <w:b/>
          <w:color w:val="7F7F7F" w:themeColor="text1" w:themeTint="80"/>
        </w:rPr>
        <w:t xml:space="preserve"> </w:t>
      </w:r>
      <w:r w:rsidRPr="0014340F">
        <w:rPr>
          <w:b/>
          <w:bCs/>
          <w:color w:val="7F7F7F" w:themeColor="text1" w:themeTint="80"/>
        </w:rPr>
        <w:tab/>
      </w:r>
      <w:r w:rsidR="00B85760">
        <w:rPr>
          <w:b/>
        </w:rPr>
        <w:t>28</w:t>
      </w:r>
      <w:r w:rsidR="00203685">
        <w:rPr>
          <w:b/>
        </w:rPr>
        <w:t>3</w:t>
      </w:r>
    </w:p>
    <w:p w14:paraId="253526EC" w14:textId="77777777" w:rsidR="00F00E3D" w:rsidRPr="00782F1A" w:rsidRDefault="00F00E3D" w:rsidP="009B2FA7">
      <w:pPr>
        <w:pStyle w:val="Title"/>
        <w:rPr>
          <w:rFonts w:cstheme="minorBidi"/>
          <w:color w:val="2E74B5" w:themeColor="accent5" w:themeShade="BF"/>
        </w:rPr>
      </w:pPr>
      <w:bookmarkStart w:id="10" w:name="_Toc19628345"/>
      <w:r w:rsidRPr="00782F1A">
        <w:rPr>
          <w:rFonts w:cstheme="minorBidi"/>
          <w:color w:val="2E74B5" w:themeColor="accent5" w:themeShade="BF"/>
        </w:rPr>
        <w:lastRenderedPageBreak/>
        <w:t>Executive Summary</w:t>
      </w:r>
      <w:bookmarkEnd w:id="10"/>
    </w:p>
    <w:p w14:paraId="708E5619" w14:textId="77777777" w:rsidR="00F00E3D" w:rsidRPr="002D4D7E" w:rsidRDefault="00F00E3D" w:rsidP="003260F4">
      <w:pPr>
        <w:spacing w:after="0"/>
        <w:rPr>
          <w:sz w:val="16"/>
          <w:szCs w:val="16"/>
        </w:rPr>
      </w:pPr>
    </w:p>
    <w:p w14:paraId="2E8E93E1" w14:textId="75095B74" w:rsidR="002D4D7E" w:rsidRPr="00782F1A" w:rsidRDefault="002D4D7E" w:rsidP="009B2FA7">
      <w:pPr>
        <w:spacing w:after="0" w:line="276" w:lineRule="auto"/>
        <w:rPr>
          <w:rFonts w:eastAsia="Times New Roman" w:cstheme="minorHAnsi"/>
          <w:b/>
          <w:bCs/>
          <w:color w:val="2E74B5" w:themeColor="accent5" w:themeShade="BF"/>
          <w:sz w:val="28"/>
          <w:szCs w:val="28"/>
          <w:lang w:val="en-GB"/>
        </w:rPr>
      </w:pPr>
      <w:r w:rsidRPr="00782F1A">
        <w:rPr>
          <w:rFonts w:eastAsia="Times New Roman" w:cstheme="minorHAnsi"/>
          <w:b/>
          <w:bCs/>
          <w:color w:val="2E74B5" w:themeColor="accent5" w:themeShade="BF"/>
          <w:sz w:val="28"/>
          <w:szCs w:val="28"/>
          <w:lang w:val="en-GB"/>
        </w:rPr>
        <w:t>Project Aims</w:t>
      </w:r>
    </w:p>
    <w:p w14:paraId="030664B9" w14:textId="77777777" w:rsidR="002D4D7E" w:rsidRPr="002D4D7E" w:rsidRDefault="002D4D7E" w:rsidP="009B2FA7">
      <w:pPr>
        <w:spacing w:after="0" w:line="276" w:lineRule="auto"/>
        <w:rPr>
          <w:rFonts w:asciiTheme="majorHAnsi" w:eastAsia="Times New Roman" w:hAnsiTheme="majorHAnsi" w:cstheme="majorBidi"/>
          <w:sz w:val="16"/>
          <w:szCs w:val="16"/>
          <w:lang w:val="en-GB"/>
        </w:rPr>
      </w:pPr>
    </w:p>
    <w:p w14:paraId="1F89FC77" w14:textId="5B066472" w:rsidR="00F00E3D" w:rsidRPr="00122BBD" w:rsidRDefault="00F00E3D" w:rsidP="009B2FA7">
      <w:pPr>
        <w:spacing w:after="0" w:line="276" w:lineRule="auto"/>
        <w:rPr>
          <w:rFonts w:asciiTheme="majorHAnsi" w:eastAsia="Times New Roman" w:hAnsiTheme="majorHAnsi" w:cstheme="majorBidi"/>
          <w:sz w:val="23"/>
          <w:szCs w:val="23"/>
          <w:lang w:val="en-GB"/>
        </w:rPr>
      </w:pPr>
      <w:r w:rsidRPr="00122BBD">
        <w:rPr>
          <w:rFonts w:asciiTheme="majorHAnsi" w:eastAsia="Times New Roman" w:hAnsiTheme="majorHAnsi" w:cstheme="majorBidi"/>
          <w:sz w:val="23"/>
          <w:szCs w:val="23"/>
          <w:lang w:val="en-GB"/>
        </w:rPr>
        <w:t xml:space="preserve">Across </w:t>
      </w:r>
      <w:r w:rsidR="00D504CF">
        <w:rPr>
          <w:rFonts w:asciiTheme="majorHAnsi" w:eastAsia="Times New Roman" w:hAnsiTheme="majorHAnsi" w:cstheme="majorBidi"/>
          <w:sz w:val="23"/>
          <w:szCs w:val="23"/>
          <w:lang w:val="en-GB"/>
        </w:rPr>
        <w:t xml:space="preserve">Greater </w:t>
      </w:r>
      <w:r w:rsidRPr="00122BBD">
        <w:rPr>
          <w:rFonts w:asciiTheme="majorHAnsi" w:eastAsia="Times New Roman" w:hAnsiTheme="majorHAnsi" w:cstheme="majorBidi"/>
          <w:sz w:val="23"/>
          <w:szCs w:val="23"/>
          <w:lang w:val="en-GB"/>
        </w:rPr>
        <w:t>Geelong</w:t>
      </w:r>
      <w:r w:rsidR="007D6702">
        <w:rPr>
          <w:rFonts w:asciiTheme="majorHAnsi" w:eastAsia="Times New Roman" w:hAnsiTheme="majorHAnsi" w:cstheme="majorBidi"/>
          <w:sz w:val="23"/>
          <w:szCs w:val="23"/>
          <w:lang w:val="en-GB"/>
        </w:rPr>
        <w:t xml:space="preserve">, </w:t>
      </w:r>
      <w:r w:rsidRPr="00122BBD">
        <w:rPr>
          <w:rFonts w:asciiTheme="majorHAnsi" w:eastAsia="Times New Roman" w:hAnsiTheme="majorHAnsi" w:cstheme="majorBidi"/>
          <w:sz w:val="23"/>
          <w:szCs w:val="23"/>
          <w:lang w:val="en-GB"/>
        </w:rPr>
        <w:t xml:space="preserve">there is significant disparity between more advantaged and less advantaged suburbs. The 2016 </w:t>
      </w:r>
      <w:r w:rsidRPr="00AD72C7">
        <w:rPr>
          <w:rFonts w:asciiTheme="majorHAnsi" w:eastAsia="Times New Roman" w:hAnsiTheme="majorHAnsi" w:cstheme="majorBidi"/>
          <w:i/>
          <w:iCs/>
          <w:sz w:val="23"/>
          <w:szCs w:val="23"/>
          <w:lang w:val="en-GB"/>
        </w:rPr>
        <w:t>Socio-Economic Index for Areas (SEIFA) Index</w:t>
      </w:r>
      <w:r w:rsidRPr="00122BBD">
        <w:rPr>
          <w:rFonts w:asciiTheme="majorHAnsi" w:eastAsia="Times New Roman" w:hAnsiTheme="majorHAnsi" w:cstheme="majorBidi"/>
          <w:sz w:val="23"/>
          <w:szCs w:val="23"/>
          <w:lang w:val="en-GB"/>
        </w:rPr>
        <w:t xml:space="preserve"> </w:t>
      </w:r>
      <w:r w:rsidRPr="000D46A5">
        <w:rPr>
          <w:rFonts w:asciiTheme="majorHAnsi" w:eastAsia="Times New Roman" w:hAnsiTheme="majorHAnsi" w:cstheme="majorBidi"/>
          <w:sz w:val="23"/>
          <w:szCs w:val="23"/>
          <w:lang w:val="en-GB"/>
        </w:rPr>
        <w:t>(Australian Bureau of Statistics, 20</w:t>
      </w:r>
      <w:r>
        <w:rPr>
          <w:rFonts w:asciiTheme="majorHAnsi" w:eastAsia="Times New Roman" w:hAnsiTheme="majorHAnsi" w:cstheme="majorBidi"/>
          <w:sz w:val="23"/>
          <w:szCs w:val="23"/>
          <w:lang w:val="en-GB"/>
        </w:rPr>
        <w:t>16</w:t>
      </w:r>
      <w:r w:rsidRPr="000D46A5">
        <w:rPr>
          <w:rFonts w:asciiTheme="majorHAnsi" w:eastAsia="Times New Roman" w:hAnsiTheme="majorHAnsi" w:cstheme="majorBidi"/>
          <w:sz w:val="23"/>
          <w:szCs w:val="23"/>
          <w:lang w:val="en-GB"/>
        </w:rPr>
        <w:t>)</w:t>
      </w:r>
      <w:r w:rsidRPr="00122BBD">
        <w:rPr>
          <w:rFonts w:asciiTheme="majorHAnsi" w:eastAsia="Times New Roman" w:hAnsiTheme="majorHAnsi" w:cstheme="majorBidi"/>
          <w:sz w:val="23"/>
          <w:szCs w:val="23"/>
          <w:lang w:val="en-GB"/>
        </w:rPr>
        <w:t xml:space="preserve"> </w:t>
      </w:r>
      <w:r w:rsidR="006C5785">
        <w:rPr>
          <w:rFonts w:asciiTheme="majorHAnsi" w:eastAsia="Times New Roman" w:hAnsiTheme="majorHAnsi" w:cstheme="majorBidi"/>
          <w:sz w:val="23"/>
          <w:szCs w:val="23"/>
          <w:lang w:val="en-GB"/>
        </w:rPr>
        <w:t>define</w:t>
      </w:r>
      <w:r w:rsidR="005A42F9">
        <w:rPr>
          <w:rFonts w:asciiTheme="majorHAnsi" w:eastAsia="Times New Roman" w:hAnsiTheme="majorHAnsi" w:cstheme="majorBidi"/>
          <w:sz w:val="23"/>
          <w:szCs w:val="23"/>
          <w:lang w:val="en-GB"/>
        </w:rPr>
        <w:t>s</w:t>
      </w:r>
      <w:r w:rsidRPr="00122BBD">
        <w:rPr>
          <w:rFonts w:asciiTheme="majorHAnsi" w:eastAsia="Times New Roman" w:hAnsiTheme="majorHAnsi" w:cstheme="majorBidi"/>
          <w:sz w:val="23"/>
          <w:szCs w:val="23"/>
          <w:lang w:val="en-GB"/>
        </w:rPr>
        <w:t xml:space="preserve"> </w:t>
      </w:r>
      <w:r w:rsidR="00E077EA">
        <w:rPr>
          <w:rFonts w:asciiTheme="majorHAnsi" w:eastAsia="Times New Roman" w:hAnsiTheme="majorHAnsi" w:cstheme="majorBidi"/>
          <w:sz w:val="23"/>
          <w:szCs w:val="23"/>
          <w:lang w:val="en-GB"/>
        </w:rPr>
        <w:t>three</w:t>
      </w:r>
      <w:r w:rsidRPr="00122BBD">
        <w:rPr>
          <w:rFonts w:asciiTheme="majorHAnsi" w:eastAsia="Times New Roman" w:hAnsiTheme="majorHAnsi" w:cstheme="majorBidi"/>
          <w:sz w:val="23"/>
          <w:szCs w:val="23"/>
          <w:lang w:val="en-GB"/>
        </w:rPr>
        <w:t xml:space="preserve"> Geelong </w:t>
      </w:r>
      <w:r w:rsidR="006C5785">
        <w:rPr>
          <w:rFonts w:asciiTheme="majorHAnsi" w:eastAsia="Times New Roman" w:hAnsiTheme="majorHAnsi" w:cstheme="majorBidi"/>
          <w:sz w:val="23"/>
          <w:szCs w:val="23"/>
          <w:lang w:val="en-GB"/>
        </w:rPr>
        <w:t xml:space="preserve">suburbs </w:t>
      </w:r>
      <w:r w:rsidR="009864E0">
        <w:rPr>
          <w:rFonts w:asciiTheme="majorHAnsi" w:eastAsia="Times New Roman" w:hAnsiTheme="majorHAnsi" w:cstheme="majorBidi"/>
          <w:sz w:val="23"/>
          <w:szCs w:val="23"/>
          <w:lang w:val="en-GB"/>
        </w:rPr>
        <w:t>a</w:t>
      </w:r>
      <w:r w:rsidR="00677F77">
        <w:rPr>
          <w:rFonts w:asciiTheme="majorHAnsi" w:eastAsia="Times New Roman" w:hAnsiTheme="majorHAnsi" w:cstheme="majorBidi"/>
          <w:sz w:val="23"/>
          <w:szCs w:val="23"/>
          <w:lang w:val="en-GB"/>
        </w:rPr>
        <w:t>s being</w:t>
      </w:r>
      <w:r w:rsidR="009864E0">
        <w:rPr>
          <w:rFonts w:asciiTheme="majorHAnsi" w:eastAsia="Times New Roman" w:hAnsiTheme="majorHAnsi" w:cstheme="majorBidi"/>
          <w:sz w:val="23"/>
          <w:szCs w:val="23"/>
          <w:lang w:val="en-GB"/>
        </w:rPr>
        <w:t xml:space="preserve"> </w:t>
      </w:r>
      <w:r w:rsidRPr="00122BBD">
        <w:rPr>
          <w:rFonts w:asciiTheme="majorHAnsi" w:eastAsia="Times New Roman" w:hAnsiTheme="majorHAnsi" w:cstheme="majorBidi"/>
          <w:sz w:val="23"/>
          <w:szCs w:val="23"/>
          <w:lang w:val="en-GB"/>
        </w:rPr>
        <w:t>among</w:t>
      </w:r>
      <w:r>
        <w:rPr>
          <w:rFonts w:asciiTheme="majorHAnsi" w:eastAsia="Times New Roman" w:hAnsiTheme="majorHAnsi" w:cstheme="majorBidi"/>
          <w:sz w:val="23"/>
          <w:szCs w:val="23"/>
          <w:lang w:val="en-GB"/>
        </w:rPr>
        <w:t>st</w:t>
      </w:r>
      <w:r w:rsidRPr="00122BBD">
        <w:rPr>
          <w:rFonts w:asciiTheme="majorHAnsi" w:eastAsia="Times New Roman" w:hAnsiTheme="majorHAnsi" w:cstheme="majorBidi"/>
          <w:sz w:val="23"/>
          <w:szCs w:val="23"/>
          <w:lang w:val="en-GB"/>
        </w:rPr>
        <w:t xml:space="preserve"> </w:t>
      </w:r>
      <w:r w:rsidR="00FE3832">
        <w:rPr>
          <w:rFonts w:asciiTheme="majorHAnsi" w:eastAsia="Times New Roman" w:hAnsiTheme="majorHAnsi" w:cstheme="majorBidi"/>
          <w:sz w:val="23"/>
          <w:szCs w:val="23"/>
          <w:lang w:val="en-GB"/>
        </w:rPr>
        <w:t xml:space="preserve">the </w:t>
      </w:r>
      <w:r w:rsidR="00BE19DC">
        <w:rPr>
          <w:rFonts w:asciiTheme="majorHAnsi" w:eastAsia="Times New Roman" w:hAnsiTheme="majorHAnsi" w:cstheme="majorBidi"/>
          <w:sz w:val="23"/>
          <w:szCs w:val="23"/>
          <w:lang w:val="en-GB"/>
        </w:rPr>
        <w:t>“</w:t>
      </w:r>
      <w:r w:rsidR="00FE3832">
        <w:rPr>
          <w:rFonts w:asciiTheme="majorHAnsi" w:eastAsia="Times New Roman" w:hAnsiTheme="majorHAnsi" w:cstheme="majorBidi"/>
          <w:sz w:val="23"/>
          <w:szCs w:val="23"/>
          <w:lang w:val="en-GB"/>
        </w:rPr>
        <w:t>most disadvantaged</w:t>
      </w:r>
      <w:r w:rsidR="00BE19DC">
        <w:rPr>
          <w:rFonts w:asciiTheme="majorHAnsi" w:eastAsia="Times New Roman" w:hAnsiTheme="majorHAnsi" w:cstheme="majorBidi"/>
          <w:sz w:val="23"/>
          <w:szCs w:val="23"/>
          <w:lang w:val="en-GB"/>
        </w:rPr>
        <w:t>”</w:t>
      </w:r>
      <w:r w:rsidR="00FE3832">
        <w:rPr>
          <w:rFonts w:asciiTheme="majorHAnsi" w:eastAsia="Times New Roman" w:hAnsiTheme="majorHAnsi" w:cstheme="majorBidi"/>
          <w:sz w:val="23"/>
          <w:szCs w:val="23"/>
          <w:lang w:val="en-GB"/>
        </w:rPr>
        <w:t xml:space="preserve"> in Victoria</w:t>
      </w:r>
      <w:r w:rsidRPr="00122BBD">
        <w:rPr>
          <w:rFonts w:asciiTheme="majorHAnsi" w:eastAsia="Times New Roman" w:hAnsiTheme="majorHAnsi" w:cstheme="majorBidi"/>
          <w:sz w:val="23"/>
          <w:szCs w:val="23"/>
          <w:lang w:val="en-GB"/>
        </w:rPr>
        <w:t xml:space="preserve">. Norlane is </w:t>
      </w:r>
      <w:r w:rsidR="00DD7A32">
        <w:rPr>
          <w:rFonts w:asciiTheme="majorHAnsi" w:eastAsia="Times New Roman" w:hAnsiTheme="majorHAnsi" w:cstheme="majorBidi"/>
          <w:sz w:val="23"/>
          <w:szCs w:val="23"/>
          <w:lang w:val="en-GB"/>
        </w:rPr>
        <w:t xml:space="preserve">ranked as </w:t>
      </w:r>
      <w:r w:rsidRPr="00122BBD">
        <w:rPr>
          <w:rFonts w:asciiTheme="majorHAnsi" w:eastAsia="Times New Roman" w:hAnsiTheme="majorHAnsi" w:cstheme="majorBidi"/>
          <w:sz w:val="23"/>
          <w:szCs w:val="23"/>
          <w:lang w:val="en-GB"/>
        </w:rPr>
        <w:t>the</w:t>
      </w:r>
      <w:r w:rsidR="00DD7A32">
        <w:rPr>
          <w:rFonts w:asciiTheme="majorHAnsi" w:eastAsia="Times New Roman" w:hAnsiTheme="majorHAnsi" w:cstheme="majorBidi"/>
          <w:sz w:val="23"/>
          <w:szCs w:val="23"/>
          <w:lang w:val="en-GB"/>
        </w:rPr>
        <w:t xml:space="preserve"> state’s</w:t>
      </w:r>
      <w:r w:rsidRPr="00122BBD">
        <w:rPr>
          <w:rFonts w:asciiTheme="majorHAnsi" w:eastAsia="Times New Roman" w:hAnsiTheme="majorHAnsi" w:cstheme="majorBidi"/>
          <w:sz w:val="23"/>
          <w:szCs w:val="23"/>
          <w:lang w:val="en-GB"/>
        </w:rPr>
        <w:t xml:space="preserve"> third most disadvantaged suburb</w:t>
      </w:r>
      <w:r w:rsidR="00DD7A32">
        <w:rPr>
          <w:rFonts w:asciiTheme="majorHAnsi" w:eastAsia="Times New Roman" w:hAnsiTheme="majorHAnsi" w:cstheme="majorBidi"/>
          <w:sz w:val="23"/>
          <w:szCs w:val="23"/>
          <w:lang w:val="en-GB"/>
        </w:rPr>
        <w:t xml:space="preserve">, </w:t>
      </w:r>
      <w:r w:rsidRPr="00122BBD">
        <w:rPr>
          <w:rFonts w:asciiTheme="majorHAnsi" w:eastAsia="Times New Roman" w:hAnsiTheme="majorHAnsi" w:cstheme="majorBidi"/>
          <w:sz w:val="23"/>
          <w:szCs w:val="23"/>
          <w:lang w:val="en-GB"/>
        </w:rPr>
        <w:t>Whittington is eighteenth</w:t>
      </w:r>
      <w:r w:rsidR="00DD7A32">
        <w:rPr>
          <w:rFonts w:asciiTheme="majorHAnsi" w:eastAsia="Times New Roman" w:hAnsiTheme="majorHAnsi" w:cstheme="majorBidi"/>
          <w:sz w:val="23"/>
          <w:szCs w:val="23"/>
          <w:lang w:val="en-GB"/>
        </w:rPr>
        <w:t>,</w:t>
      </w:r>
      <w:r w:rsidRPr="00122BBD">
        <w:rPr>
          <w:rFonts w:asciiTheme="majorHAnsi" w:eastAsia="Times New Roman" w:hAnsiTheme="majorHAnsi" w:cstheme="majorBidi"/>
          <w:sz w:val="23"/>
          <w:szCs w:val="23"/>
          <w:lang w:val="en-GB"/>
        </w:rPr>
        <w:t xml:space="preserve"> and Corio</w:t>
      </w:r>
      <w:r w:rsidR="00DD7A32">
        <w:rPr>
          <w:rFonts w:asciiTheme="majorHAnsi" w:eastAsia="Times New Roman" w:hAnsiTheme="majorHAnsi" w:cstheme="majorBidi"/>
          <w:sz w:val="23"/>
          <w:szCs w:val="23"/>
          <w:lang w:val="en-GB"/>
        </w:rPr>
        <w:t xml:space="preserve"> </w:t>
      </w:r>
      <w:r w:rsidR="00176AED">
        <w:rPr>
          <w:rFonts w:asciiTheme="majorHAnsi" w:eastAsia="Times New Roman" w:hAnsiTheme="majorHAnsi" w:cstheme="majorBidi"/>
          <w:sz w:val="23"/>
          <w:szCs w:val="23"/>
          <w:lang w:val="en-GB"/>
        </w:rPr>
        <w:t>is</w:t>
      </w:r>
      <w:r w:rsidRPr="00122BBD">
        <w:rPr>
          <w:rFonts w:asciiTheme="majorHAnsi" w:eastAsia="Times New Roman" w:hAnsiTheme="majorHAnsi" w:cstheme="majorBidi"/>
          <w:sz w:val="23"/>
          <w:szCs w:val="23"/>
          <w:lang w:val="en-GB"/>
        </w:rPr>
        <w:t xml:space="preserve"> twenty-sixth. Despite the many strengths of these </w:t>
      </w:r>
      <w:r w:rsidR="006F4E69">
        <w:rPr>
          <w:rFonts w:asciiTheme="majorHAnsi" w:eastAsia="Times New Roman" w:hAnsiTheme="majorHAnsi" w:cstheme="majorBidi"/>
          <w:sz w:val="23"/>
          <w:szCs w:val="23"/>
          <w:lang w:val="en-GB"/>
        </w:rPr>
        <w:t xml:space="preserve">diverse </w:t>
      </w:r>
      <w:r w:rsidRPr="00122BBD">
        <w:rPr>
          <w:rFonts w:asciiTheme="majorHAnsi" w:eastAsia="Times New Roman" w:hAnsiTheme="majorHAnsi" w:cstheme="majorBidi"/>
          <w:sz w:val="23"/>
          <w:szCs w:val="23"/>
          <w:lang w:val="en-GB"/>
        </w:rPr>
        <w:t xml:space="preserve">communities, this locational disadvantage is a long-term and severe problem </w:t>
      </w:r>
      <w:r w:rsidR="00115E37">
        <w:rPr>
          <w:rFonts w:asciiTheme="majorHAnsi" w:eastAsia="Times New Roman" w:hAnsiTheme="majorHAnsi" w:cstheme="majorBidi"/>
          <w:sz w:val="23"/>
          <w:szCs w:val="23"/>
          <w:lang w:val="en-GB"/>
        </w:rPr>
        <w:t>affecting</w:t>
      </w:r>
      <w:r w:rsidRPr="00122BBD">
        <w:rPr>
          <w:rFonts w:asciiTheme="majorHAnsi" w:eastAsia="Times New Roman" w:hAnsiTheme="majorHAnsi" w:cstheme="majorBidi"/>
          <w:sz w:val="23"/>
          <w:szCs w:val="23"/>
          <w:lang w:val="en-GB"/>
        </w:rPr>
        <w:t xml:space="preserve"> the lives of many residents in the City of Greater Geelong (</w:t>
      </w:r>
      <w:r w:rsidR="001B7DDF">
        <w:rPr>
          <w:rFonts w:asciiTheme="majorHAnsi" w:eastAsia="Times New Roman" w:hAnsiTheme="majorHAnsi" w:cstheme="majorBidi"/>
          <w:sz w:val="23"/>
          <w:szCs w:val="23"/>
          <w:lang w:val="en-GB"/>
        </w:rPr>
        <w:t>CoGG</w:t>
      </w:r>
      <w:r w:rsidRPr="00122BBD">
        <w:rPr>
          <w:rFonts w:asciiTheme="majorHAnsi" w:eastAsia="Times New Roman" w:hAnsiTheme="majorHAnsi" w:cstheme="majorBidi"/>
          <w:sz w:val="23"/>
          <w:szCs w:val="23"/>
          <w:lang w:val="en-GB"/>
        </w:rPr>
        <w:t>).</w:t>
      </w:r>
    </w:p>
    <w:p w14:paraId="0BA723B2" w14:textId="77777777" w:rsidR="00F00E3D" w:rsidRPr="00C24CE4" w:rsidRDefault="00F00E3D" w:rsidP="009B2FA7">
      <w:pPr>
        <w:spacing w:after="0" w:line="276" w:lineRule="auto"/>
        <w:rPr>
          <w:rFonts w:asciiTheme="majorHAnsi" w:eastAsia="Times New Roman" w:hAnsiTheme="majorHAnsi" w:cstheme="majorBidi"/>
          <w:sz w:val="12"/>
          <w:szCs w:val="12"/>
          <w:lang w:val="en-GB"/>
        </w:rPr>
      </w:pPr>
    </w:p>
    <w:p w14:paraId="26111B90" w14:textId="28C94B59" w:rsidR="00F00E3D" w:rsidRPr="00122BBD" w:rsidRDefault="00F00E3D" w:rsidP="009B2FA7">
      <w:pPr>
        <w:spacing w:after="0" w:line="276" w:lineRule="auto"/>
        <w:rPr>
          <w:rFonts w:asciiTheme="majorHAnsi" w:eastAsia="Times New Roman" w:hAnsiTheme="majorHAnsi" w:cstheme="majorBidi"/>
          <w:sz w:val="23"/>
          <w:szCs w:val="23"/>
          <w:lang w:val="en-GB"/>
        </w:rPr>
      </w:pPr>
      <w:r w:rsidRPr="00122BBD">
        <w:rPr>
          <w:rFonts w:asciiTheme="majorHAnsi" w:eastAsia="Times New Roman" w:hAnsiTheme="majorHAnsi" w:cstheme="majorBidi"/>
          <w:sz w:val="23"/>
          <w:szCs w:val="23"/>
          <w:lang w:val="en-GB"/>
        </w:rPr>
        <w:t xml:space="preserve">The Vital Communities project was established in October 2019 to improve </w:t>
      </w:r>
      <w:r w:rsidR="001B7DDF">
        <w:rPr>
          <w:rFonts w:asciiTheme="majorHAnsi" w:eastAsia="Times New Roman" w:hAnsiTheme="majorHAnsi" w:cstheme="majorBidi"/>
          <w:sz w:val="23"/>
          <w:szCs w:val="23"/>
          <w:lang w:val="en-GB"/>
        </w:rPr>
        <w:t>CoGG</w:t>
      </w:r>
      <w:r w:rsidRPr="00122BBD">
        <w:rPr>
          <w:rFonts w:asciiTheme="majorHAnsi" w:eastAsia="Times New Roman" w:hAnsiTheme="majorHAnsi" w:cstheme="majorBidi"/>
          <w:sz w:val="23"/>
          <w:szCs w:val="23"/>
          <w:lang w:val="en-GB"/>
        </w:rPr>
        <w:t xml:space="preserve">’s coordination, planning, and leadership of integrated social and economic development, and to </w:t>
      </w:r>
      <w:r w:rsidR="00123A31">
        <w:rPr>
          <w:rFonts w:asciiTheme="majorHAnsi" w:eastAsia="Times New Roman" w:hAnsiTheme="majorHAnsi" w:cstheme="majorBidi"/>
          <w:sz w:val="23"/>
          <w:szCs w:val="23"/>
          <w:lang w:val="en-GB"/>
        </w:rPr>
        <w:t>increase</w:t>
      </w:r>
      <w:r w:rsidRPr="00122BBD">
        <w:rPr>
          <w:rFonts w:asciiTheme="majorHAnsi" w:eastAsia="Times New Roman" w:hAnsiTheme="majorHAnsi" w:cstheme="majorBidi"/>
          <w:sz w:val="23"/>
          <w:szCs w:val="23"/>
          <w:lang w:val="en-GB"/>
        </w:rPr>
        <w:t xml:space="preserve"> social equity and prosperity for communities</w:t>
      </w:r>
      <w:r w:rsidR="00176AED">
        <w:rPr>
          <w:rFonts w:asciiTheme="majorHAnsi" w:eastAsia="Times New Roman" w:hAnsiTheme="majorHAnsi" w:cstheme="majorBidi"/>
          <w:sz w:val="23"/>
          <w:szCs w:val="23"/>
          <w:lang w:val="en-GB"/>
        </w:rPr>
        <w:t xml:space="preserve"> in</w:t>
      </w:r>
      <w:r w:rsidRPr="00122BBD">
        <w:rPr>
          <w:rFonts w:asciiTheme="majorHAnsi" w:eastAsia="Times New Roman" w:hAnsiTheme="majorHAnsi" w:cstheme="majorBidi"/>
          <w:sz w:val="23"/>
          <w:szCs w:val="23"/>
          <w:lang w:val="en-GB"/>
        </w:rPr>
        <w:t xml:space="preserve"> Corio, Norlane</w:t>
      </w:r>
      <w:r w:rsidR="00176AED">
        <w:rPr>
          <w:rFonts w:asciiTheme="majorHAnsi" w:eastAsia="Times New Roman" w:hAnsiTheme="majorHAnsi" w:cstheme="majorBidi"/>
          <w:sz w:val="23"/>
          <w:szCs w:val="23"/>
          <w:lang w:val="en-GB"/>
        </w:rPr>
        <w:t>,</w:t>
      </w:r>
      <w:r w:rsidRPr="00122BBD">
        <w:rPr>
          <w:rFonts w:asciiTheme="majorHAnsi" w:eastAsia="Times New Roman" w:hAnsiTheme="majorHAnsi" w:cstheme="majorBidi"/>
          <w:sz w:val="23"/>
          <w:szCs w:val="23"/>
          <w:lang w:val="en-GB"/>
        </w:rPr>
        <w:t xml:space="preserve"> and Whittington. The pro</w:t>
      </w:r>
      <w:r w:rsidR="00176AED">
        <w:rPr>
          <w:rFonts w:asciiTheme="majorHAnsi" w:eastAsia="Times New Roman" w:hAnsiTheme="majorHAnsi" w:cstheme="majorBidi"/>
          <w:sz w:val="23"/>
          <w:szCs w:val="23"/>
          <w:lang w:val="en-GB"/>
        </w:rPr>
        <w:t>ject</w:t>
      </w:r>
      <w:r w:rsidRPr="00122BBD">
        <w:rPr>
          <w:rFonts w:asciiTheme="majorHAnsi" w:eastAsia="Times New Roman" w:hAnsiTheme="majorHAnsi" w:cstheme="majorBidi"/>
          <w:sz w:val="23"/>
          <w:szCs w:val="23"/>
          <w:lang w:val="en-GB"/>
        </w:rPr>
        <w:t xml:space="preserve"> aims to enhance residents’ quality of life </w:t>
      </w:r>
      <w:r w:rsidR="00176AED">
        <w:rPr>
          <w:rFonts w:asciiTheme="majorHAnsi" w:eastAsia="Times New Roman" w:hAnsiTheme="majorHAnsi" w:cstheme="majorBidi"/>
          <w:sz w:val="23"/>
          <w:szCs w:val="23"/>
          <w:lang w:val="en-GB"/>
        </w:rPr>
        <w:t xml:space="preserve">and </w:t>
      </w:r>
      <w:r w:rsidR="00B02328">
        <w:rPr>
          <w:rFonts w:asciiTheme="majorHAnsi" w:eastAsia="Times New Roman" w:hAnsiTheme="majorHAnsi" w:cstheme="majorBidi"/>
          <w:sz w:val="23"/>
          <w:szCs w:val="23"/>
          <w:lang w:val="en-GB"/>
        </w:rPr>
        <w:t>neighbourhood</w:t>
      </w:r>
      <w:r w:rsidR="00176AED" w:rsidRPr="00122BBD">
        <w:rPr>
          <w:rFonts w:asciiTheme="majorHAnsi" w:eastAsia="Times New Roman" w:hAnsiTheme="majorHAnsi" w:cstheme="majorBidi"/>
          <w:sz w:val="23"/>
          <w:szCs w:val="23"/>
          <w:lang w:val="en-GB"/>
        </w:rPr>
        <w:t xml:space="preserve"> liveability</w:t>
      </w:r>
      <w:r w:rsidR="0094264E">
        <w:rPr>
          <w:rFonts w:asciiTheme="majorHAnsi" w:eastAsia="Times New Roman" w:hAnsiTheme="majorHAnsi" w:cstheme="majorBidi"/>
          <w:sz w:val="23"/>
          <w:szCs w:val="23"/>
          <w:lang w:val="en-GB"/>
        </w:rPr>
        <w:t xml:space="preserve"> </w:t>
      </w:r>
      <w:r w:rsidRPr="00122BBD">
        <w:rPr>
          <w:rFonts w:asciiTheme="majorHAnsi" w:eastAsia="Times New Roman" w:hAnsiTheme="majorHAnsi" w:cstheme="majorBidi"/>
          <w:sz w:val="23"/>
          <w:szCs w:val="23"/>
          <w:lang w:val="en-GB"/>
        </w:rPr>
        <w:t>by improving community outcomes across five “</w:t>
      </w:r>
      <w:r w:rsidR="00D95573">
        <w:rPr>
          <w:rFonts w:asciiTheme="majorHAnsi" w:eastAsia="Times New Roman" w:hAnsiTheme="majorHAnsi" w:cstheme="majorBidi"/>
          <w:sz w:val="23"/>
          <w:szCs w:val="23"/>
          <w:lang w:val="en-GB"/>
        </w:rPr>
        <w:t>Practice Domain</w:t>
      </w:r>
      <w:r w:rsidRPr="00122BBD">
        <w:rPr>
          <w:rFonts w:asciiTheme="majorHAnsi" w:eastAsia="Times New Roman" w:hAnsiTheme="majorHAnsi" w:cstheme="majorBidi"/>
          <w:sz w:val="23"/>
          <w:szCs w:val="23"/>
          <w:lang w:val="en-GB"/>
        </w:rPr>
        <w:t xml:space="preserve">s”: </w:t>
      </w:r>
      <w:r w:rsidR="00677F77" w:rsidRPr="00122BBD">
        <w:rPr>
          <w:rFonts w:asciiTheme="majorHAnsi" w:eastAsia="Times New Roman" w:hAnsiTheme="majorHAnsi" w:cstheme="majorBidi"/>
          <w:sz w:val="23"/>
          <w:szCs w:val="23"/>
          <w:lang w:val="en-GB"/>
        </w:rPr>
        <w:t xml:space="preserve">Education, Employment, Housing, Liveability, </w:t>
      </w:r>
      <w:r w:rsidR="00677F77">
        <w:rPr>
          <w:rFonts w:asciiTheme="majorHAnsi" w:eastAsia="Times New Roman" w:hAnsiTheme="majorHAnsi" w:cstheme="majorBidi"/>
          <w:sz w:val="23"/>
          <w:szCs w:val="23"/>
          <w:lang w:val="en-GB"/>
        </w:rPr>
        <w:t>a</w:t>
      </w:r>
      <w:r w:rsidR="00677F77" w:rsidRPr="00122BBD">
        <w:rPr>
          <w:rFonts w:asciiTheme="majorHAnsi" w:eastAsia="Times New Roman" w:hAnsiTheme="majorHAnsi" w:cstheme="majorBidi"/>
          <w:sz w:val="23"/>
          <w:szCs w:val="23"/>
          <w:lang w:val="en-GB"/>
        </w:rPr>
        <w:t xml:space="preserve">nd Health </w:t>
      </w:r>
      <w:r w:rsidR="00677F77">
        <w:rPr>
          <w:rFonts w:asciiTheme="majorHAnsi" w:eastAsia="Times New Roman" w:hAnsiTheme="majorHAnsi" w:cstheme="majorBidi"/>
          <w:sz w:val="23"/>
          <w:szCs w:val="23"/>
          <w:lang w:val="en-GB"/>
        </w:rPr>
        <w:t>a</w:t>
      </w:r>
      <w:r w:rsidR="00677F77" w:rsidRPr="00122BBD">
        <w:rPr>
          <w:rFonts w:asciiTheme="majorHAnsi" w:eastAsia="Times New Roman" w:hAnsiTheme="majorHAnsi" w:cstheme="majorBidi"/>
          <w:sz w:val="23"/>
          <w:szCs w:val="23"/>
          <w:lang w:val="en-GB"/>
        </w:rPr>
        <w:t>nd Wellbeing.</w:t>
      </w:r>
    </w:p>
    <w:p w14:paraId="795B2A1E" w14:textId="77777777" w:rsidR="00F00E3D" w:rsidRPr="00C24CE4" w:rsidRDefault="00F00E3D" w:rsidP="009B2FA7">
      <w:pPr>
        <w:spacing w:after="0" w:line="276" w:lineRule="auto"/>
        <w:rPr>
          <w:rFonts w:asciiTheme="majorHAnsi" w:eastAsia="Times New Roman" w:hAnsiTheme="majorHAnsi" w:cstheme="majorBidi"/>
          <w:sz w:val="12"/>
          <w:szCs w:val="12"/>
          <w:lang w:val="en-GB"/>
        </w:rPr>
      </w:pPr>
    </w:p>
    <w:p w14:paraId="396BB3B0" w14:textId="2C7D93E2" w:rsidR="00F00E3D" w:rsidRPr="00122BBD" w:rsidRDefault="00F00E3D" w:rsidP="78F9AF82">
      <w:pPr>
        <w:spacing w:after="0" w:line="276" w:lineRule="auto"/>
        <w:rPr>
          <w:rFonts w:asciiTheme="majorHAnsi" w:eastAsia="Times New Roman" w:hAnsiTheme="majorHAnsi" w:cstheme="majorBidi"/>
          <w:sz w:val="23"/>
          <w:szCs w:val="23"/>
          <w:lang w:val="en-GB"/>
        </w:rPr>
      </w:pPr>
      <w:r w:rsidRPr="78F9AF82">
        <w:rPr>
          <w:rFonts w:asciiTheme="majorHAnsi" w:eastAsia="Times New Roman" w:hAnsiTheme="majorHAnsi" w:cstheme="majorBidi"/>
          <w:sz w:val="23"/>
          <w:szCs w:val="23"/>
          <w:lang w:val="en-GB"/>
        </w:rPr>
        <w:t>In this report, the HOME Research Hub at Deakin University (Deakin) provides</w:t>
      </w:r>
      <w:r w:rsidR="000F1F23" w:rsidRPr="78F9AF82">
        <w:rPr>
          <w:rFonts w:asciiTheme="majorHAnsi" w:eastAsia="Times New Roman" w:hAnsiTheme="majorHAnsi" w:cstheme="majorBidi"/>
          <w:sz w:val="23"/>
          <w:szCs w:val="23"/>
          <w:lang w:val="en-GB"/>
        </w:rPr>
        <w:t xml:space="preserve"> </w:t>
      </w:r>
      <w:r w:rsidR="00AB0841" w:rsidRPr="78F9AF82">
        <w:rPr>
          <w:rFonts w:asciiTheme="majorHAnsi" w:eastAsia="Times New Roman" w:hAnsiTheme="majorHAnsi" w:cstheme="majorBidi"/>
          <w:sz w:val="23"/>
          <w:szCs w:val="23"/>
          <w:lang w:val="en-GB"/>
        </w:rPr>
        <w:t>R</w:t>
      </w:r>
      <w:r w:rsidRPr="78F9AF82">
        <w:rPr>
          <w:rFonts w:asciiTheme="majorHAnsi" w:eastAsia="Times New Roman" w:hAnsiTheme="majorHAnsi" w:cstheme="majorBidi"/>
          <w:sz w:val="23"/>
          <w:szCs w:val="23"/>
          <w:lang w:val="en-GB"/>
        </w:rPr>
        <w:t xml:space="preserve">ecommendations for strategic approaches and </w:t>
      </w:r>
      <w:r w:rsidR="12EEF4EF" w:rsidRPr="78F9AF82">
        <w:rPr>
          <w:rFonts w:asciiTheme="majorHAnsi" w:eastAsia="Times New Roman" w:hAnsiTheme="majorHAnsi" w:cstheme="majorBidi"/>
          <w:sz w:val="23"/>
          <w:szCs w:val="23"/>
          <w:lang w:val="en-GB"/>
        </w:rPr>
        <w:t xml:space="preserve">interventions </w:t>
      </w:r>
      <w:r w:rsidRPr="78F9AF82">
        <w:rPr>
          <w:rFonts w:asciiTheme="majorHAnsi" w:eastAsia="Times New Roman" w:hAnsiTheme="majorHAnsi" w:cstheme="majorBidi"/>
          <w:sz w:val="23"/>
          <w:szCs w:val="23"/>
          <w:lang w:val="en-GB"/>
        </w:rPr>
        <w:t xml:space="preserve">to </w:t>
      </w:r>
      <w:r w:rsidR="00AB0841" w:rsidRPr="78F9AF82">
        <w:rPr>
          <w:rFonts w:asciiTheme="majorHAnsi" w:eastAsia="Times New Roman" w:hAnsiTheme="majorHAnsi" w:cstheme="majorBidi"/>
          <w:sz w:val="23"/>
          <w:szCs w:val="23"/>
          <w:lang w:val="en-GB"/>
        </w:rPr>
        <w:t>improve</w:t>
      </w:r>
      <w:r w:rsidRPr="78F9AF82">
        <w:rPr>
          <w:rFonts w:asciiTheme="majorHAnsi" w:eastAsia="Times New Roman" w:hAnsiTheme="majorHAnsi" w:cstheme="majorBidi"/>
          <w:sz w:val="23"/>
          <w:szCs w:val="23"/>
          <w:lang w:val="en-GB"/>
        </w:rPr>
        <w:t xml:space="preserve"> social equity in Corio, Norlane</w:t>
      </w:r>
      <w:r w:rsidR="00AB0841" w:rsidRPr="78F9AF82">
        <w:rPr>
          <w:rFonts w:asciiTheme="majorHAnsi" w:eastAsia="Times New Roman" w:hAnsiTheme="majorHAnsi" w:cstheme="majorBidi"/>
          <w:sz w:val="23"/>
          <w:szCs w:val="23"/>
          <w:lang w:val="en-GB"/>
        </w:rPr>
        <w:t>,</w:t>
      </w:r>
      <w:r w:rsidRPr="78F9AF82">
        <w:rPr>
          <w:rFonts w:asciiTheme="majorHAnsi" w:eastAsia="Times New Roman" w:hAnsiTheme="majorHAnsi" w:cstheme="majorBidi"/>
          <w:sz w:val="23"/>
          <w:szCs w:val="23"/>
          <w:lang w:val="en-GB"/>
        </w:rPr>
        <w:t xml:space="preserve"> and Whittington. The</w:t>
      </w:r>
      <w:r w:rsidR="00B41794" w:rsidRPr="78F9AF82">
        <w:rPr>
          <w:rFonts w:asciiTheme="majorHAnsi" w:eastAsia="Times New Roman" w:hAnsiTheme="majorHAnsi" w:cstheme="majorBidi"/>
          <w:sz w:val="23"/>
          <w:szCs w:val="23"/>
          <w:lang w:val="en-GB"/>
        </w:rPr>
        <w:t>se</w:t>
      </w:r>
      <w:r w:rsidRPr="78F9AF82">
        <w:rPr>
          <w:rFonts w:asciiTheme="majorHAnsi" w:eastAsia="Times New Roman" w:hAnsiTheme="majorHAnsi" w:cstheme="majorBidi"/>
          <w:sz w:val="23"/>
          <w:szCs w:val="23"/>
          <w:lang w:val="en-GB"/>
        </w:rPr>
        <w:t xml:space="preserve"> </w:t>
      </w:r>
      <w:r w:rsidR="00AB0841" w:rsidRPr="78F9AF82">
        <w:rPr>
          <w:rFonts w:asciiTheme="majorHAnsi" w:eastAsia="Times New Roman" w:hAnsiTheme="majorHAnsi" w:cstheme="majorBidi"/>
          <w:sz w:val="23"/>
          <w:szCs w:val="23"/>
          <w:lang w:val="en-GB"/>
        </w:rPr>
        <w:t>R</w:t>
      </w:r>
      <w:r w:rsidRPr="78F9AF82">
        <w:rPr>
          <w:rFonts w:asciiTheme="majorHAnsi" w:eastAsia="Times New Roman" w:hAnsiTheme="majorHAnsi" w:cstheme="majorBidi"/>
          <w:sz w:val="23"/>
          <w:szCs w:val="23"/>
          <w:lang w:val="en-GB"/>
        </w:rPr>
        <w:t>ecommendations</w:t>
      </w:r>
      <w:r w:rsidR="00B811EE" w:rsidRPr="78F9AF82">
        <w:rPr>
          <w:rFonts w:asciiTheme="majorHAnsi" w:eastAsia="Times New Roman" w:hAnsiTheme="majorHAnsi" w:cstheme="majorBidi"/>
          <w:sz w:val="23"/>
          <w:szCs w:val="23"/>
          <w:lang w:val="en-GB"/>
        </w:rPr>
        <w:t xml:space="preserve"> </w:t>
      </w:r>
      <w:r w:rsidR="00A0544A" w:rsidRPr="78F9AF82">
        <w:rPr>
          <w:rFonts w:asciiTheme="majorHAnsi" w:eastAsia="Times New Roman" w:hAnsiTheme="majorHAnsi" w:cstheme="majorBidi"/>
          <w:sz w:val="23"/>
          <w:szCs w:val="23"/>
          <w:lang w:val="en-GB"/>
        </w:rPr>
        <w:t>were designed</w:t>
      </w:r>
      <w:r w:rsidRPr="78F9AF82">
        <w:rPr>
          <w:rFonts w:asciiTheme="majorHAnsi" w:eastAsia="Times New Roman" w:hAnsiTheme="majorHAnsi" w:cstheme="majorBidi"/>
          <w:sz w:val="23"/>
          <w:szCs w:val="23"/>
          <w:lang w:val="en-GB"/>
        </w:rPr>
        <w:t xml:space="preserve"> </w:t>
      </w:r>
      <w:r w:rsidR="00DD6E23" w:rsidRPr="78F9AF82">
        <w:rPr>
          <w:rFonts w:asciiTheme="majorHAnsi" w:eastAsia="Times New Roman" w:hAnsiTheme="majorHAnsi" w:cstheme="majorBidi"/>
          <w:sz w:val="23"/>
          <w:szCs w:val="23"/>
          <w:lang w:val="en-GB"/>
        </w:rPr>
        <w:t>to</w:t>
      </w:r>
      <w:r w:rsidRPr="78F9AF82">
        <w:rPr>
          <w:rFonts w:asciiTheme="majorHAnsi" w:eastAsia="Times New Roman" w:hAnsiTheme="majorHAnsi" w:cstheme="majorBidi"/>
          <w:sz w:val="23"/>
          <w:szCs w:val="23"/>
          <w:lang w:val="en-GB"/>
        </w:rPr>
        <w:t xml:space="preserve"> help shape the long-term strategy of </w:t>
      </w:r>
      <w:r w:rsidR="001B7DDF" w:rsidRPr="78F9AF82">
        <w:rPr>
          <w:rFonts w:asciiTheme="majorHAnsi" w:eastAsia="Times New Roman" w:hAnsiTheme="majorHAnsi" w:cstheme="majorBidi"/>
          <w:sz w:val="23"/>
          <w:szCs w:val="23"/>
          <w:lang w:val="en-GB"/>
        </w:rPr>
        <w:t>CoGG</w:t>
      </w:r>
      <w:r w:rsidRPr="78F9AF82">
        <w:rPr>
          <w:rFonts w:asciiTheme="majorHAnsi" w:eastAsia="Times New Roman" w:hAnsiTheme="majorHAnsi" w:cstheme="majorBidi"/>
          <w:sz w:val="23"/>
          <w:szCs w:val="23"/>
          <w:lang w:val="en-GB"/>
        </w:rPr>
        <w:t>’s Vital Communities Project</w:t>
      </w:r>
      <w:r w:rsidR="00983834" w:rsidRPr="78F9AF82">
        <w:rPr>
          <w:rFonts w:asciiTheme="majorHAnsi" w:eastAsia="Times New Roman" w:hAnsiTheme="majorHAnsi" w:cstheme="majorBidi"/>
          <w:sz w:val="23"/>
          <w:szCs w:val="23"/>
          <w:lang w:val="en-GB"/>
        </w:rPr>
        <w:t>,</w:t>
      </w:r>
      <w:r w:rsidRPr="78F9AF82">
        <w:rPr>
          <w:rFonts w:asciiTheme="majorHAnsi" w:eastAsia="Times New Roman" w:hAnsiTheme="majorHAnsi" w:cstheme="majorBidi"/>
          <w:sz w:val="23"/>
          <w:szCs w:val="23"/>
          <w:lang w:val="en-GB"/>
        </w:rPr>
        <w:t xml:space="preserve"> and to inform </w:t>
      </w:r>
      <w:r w:rsidR="00DD6E23" w:rsidRPr="78F9AF82">
        <w:rPr>
          <w:rFonts w:asciiTheme="majorHAnsi" w:eastAsia="Times New Roman" w:hAnsiTheme="majorHAnsi" w:cstheme="majorBidi"/>
          <w:sz w:val="23"/>
          <w:szCs w:val="23"/>
          <w:lang w:val="en-GB"/>
        </w:rPr>
        <w:t xml:space="preserve">ongoing </w:t>
      </w:r>
      <w:r w:rsidRPr="78F9AF82">
        <w:rPr>
          <w:rFonts w:asciiTheme="majorHAnsi" w:eastAsia="Times New Roman" w:hAnsiTheme="majorHAnsi" w:cstheme="majorBidi"/>
          <w:sz w:val="23"/>
          <w:szCs w:val="23"/>
          <w:lang w:val="en-GB"/>
        </w:rPr>
        <w:t xml:space="preserve">strategy </w:t>
      </w:r>
      <w:r w:rsidR="00DD6E23" w:rsidRPr="78F9AF82">
        <w:rPr>
          <w:rFonts w:asciiTheme="majorHAnsi" w:eastAsia="Times New Roman" w:hAnsiTheme="majorHAnsi" w:cstheme="majorBidi"/>
          <w:sz w:val="23"/>
          <w:szCs w:val="23"/>
          <w:lang w:val="en-GB"/>
        </w:rPr>
        <w:t>for</w:t>
      </w:r>
      <w:r w:rsidRPr="78F9AF82">
        <w:rPr>
          <w:rFonts w:asciiTheme="majorHAnsi" w:eastAsia="Times New Roman" w:hAnsiTheme="majorHAnsi" w:cstheme="majorBidi"/>
          <w:sz w:val="23"/>
          <w:szCs w:val="23"/>
          <w:lang w:val="en-GB"/>
        </w:rPr>
        <w:t xml:space="preserve"> recovery from the impacts of </w:t>
      </w:r>
      <w:r w:rsidR="00940D80" w:rsidRPr="78F9AF82">
        <w:rPr>
          <w:rFonts w:asciiTheme="majorHAnsi" w:eastAsia="Times New Roman" w:hAnsiTheme="majorHAnsi" w:cstheme="majorBidi"/>
          <w:sz w:val="23"/>
          <w:szCs w:val="23"/>
          <w:lang w:val="en-GB"/>
        </w:rPr>
        <w:t>COVID</w:t>
      </w:r>
      <w:r w:rsidRPr="78F9AF82">
        <w:rPr>
          <w:rFonts w:asciiTheme="majorHAnsi" w:eastAsia="Times New Roman" w:hAnsiTheme="majorHAnsi" w:cstheme="majorBidi"/>
          <w:sz w:val="23"/>
          <w:szCs w:val="23"/>
          <w:lang w:val="en-GB"/>
        </w:rPr>
        <w:t xml:space="preserve">-19. </w:t>
      </w:r>
    </w:p>
    <w:p w14:paraId="73D94B43" w14:textId="6D5385BA" w:rsidR="00F00E3D" w:rsidRPr="00782F1A" w:rsidRDefault="001B3E3E" w:rsidP="009B2FA7">
      <w:pPr>
        <w:pStyle w:val="Heading1"/>
        <w:rPr>
          <w:rFonts w:asciiTheme="minorHAnsi" w:hAnsiTheme="minorHAnsi" w:cstheme="minorBidi"/>
          <w:b/>
          <w:color w:val="2E74B5" w:themeColor="accent5" w:themeShade="BF"/>
          <w:sz w:val="28"/>
          <w:szCs w:val="28"/>
        </w:rPr>
      </w:pPr>
      <w:r>
        <w:rPr>
          <w:rFonts w:asciiTheme="minorHAnsi" w:hAnsiTheme="minorHAnsi" w:cstheme="minorBidi"/>
          <w:b/>
          <w:color w:val="2E74B5" w:themeColor="accent5" w:themeShade="BF"/>
          <w:sz w:val="28"/>
          <w:szCs w:val="28"/>
        </w:rPr>
        <w:t xml:space="preserve">Study </w:t>
      </w:r>
      <w:r w:rsidR="00F00E3D" w:rsidRPr="00782F1A">
        <w:rPr>
          <w:rFonts w:asciiTheme="minorHAnsi" w:hAnsiTheme="minorHAnsi" w:cstheme="minorBidi"/>
          <w:b/>
          <w:color w:val="2E74B5" w:themeColor="accent5" w:themeShade="BF"/>
          <w:sz w:val="28"/>
          <w:szCs w:val="28"/>
        </w:rPr>
        <w:t>Methodology</w:t>
      </w:r>
    </w:p>
    <w:p w14:paraId="722951DB" w14:textId="77777777" w:rsidR="00F00E3D" w:rsidRPr="00C24CE4" w:rsidRDefault="00F00E3D" w:rsidP="003260F4">
      <w:pPr>
        <w:spacing w:after="0"/>
        <w:rPr>
          <w:sz w:val="12"/>
          <w:szCs w:val="12"/>
          <w:lang w:eastAsia="en-GB"/>
        </w:rPr>
      </w:pPr>
    </w:p>
    <w:p w14:paraId="11E82116" w14:textId="0012B0B2" w:rsidR="00415994" w:rsidRDefault="003550AB" w:rsidP="009A7DD6">
      <w:pPr>
        <w:pStyle w:val="BodyText1"/>
        <w:spacing w:before="0" w:after="0" w:line="276" w:lineRule="auto"/>
        <w:rPr>
          <w:rFonts w:asciiTheme="majorHAnsi" w:eastAsia="Times New Roman" w:hAnsiTheme="majorHAnsi" w:cstheme="majorBidi"/>
          <w:sz w:val="23"/>
          <w:szCs w:val="23"/>
          <w:lang w:val="en-GB"/>
        </w:rPr>
      </w:pPr>
      <w:r>
        <w:rPr>
          <w:rFonts w:asciiTheme="majorHAnsi" w:eastAsia="Times New Roman" w:hAnsiTheme="majorHAnsi" w:cstheme="majorBidi"/>
          <w:sz w:val="23"/>
          <w:szCs w:val="23"/>
          <w:lang w:val="en-GB"/>
        </w:rPr>
        <w:t xml:space="preserve">The </w:t>
      </w:r>
      <w:r w:rsidR="003D3DCC">
        <w:rPr>
          <w:rFonts w:asciiTheme="majorHAnsi" w:eastAsia="Times New Roman" w:hAnsiTheme="majorHAnsi" w:cstheme="majorBidi"/>
          <w:sz w:val="23"/>
          <w:szCs w:val="23"/>
          <w:lang w:val="en-GB"/>
        </w:rPr>
        <w:t xml:space="preserve">HOME </w:t>
      </w:r>
      <w:r>
        <w:rPr>
          <w:rFonts w:asciiTheme="majorHAnsi" w:eastAsia="Times New Roman" w:hAnsiTheme="majorHAnsi" w:cstheme="majorBidi"/>
          <w:sz w:val="23"/>
          <w:szCs w:val="23"/>
          <w:lang w:val="en-GB"/>
        </w:rPr>
        <w:t xml:space="preserve">Research Hub </w:t>
      </w:r>
      <w:r w:rsidR="00F00E3D" w:rsidRPr="00122BBD">
        <w:rPr>
          <w:rFonts w:asciiTheme="majorHAnsi" w:eastAsia="Times New Roman" w:hAnsiTheme="majorHAnsi" w:cstheme="majorBidi"/>
          <w:sz w:val="23"/>
          <w:szCs w:val="23"/>
          <w:lang w:val="en-GB"/>
        </w:rPr>
        <w:t>adopted a three-</w:t>
      </w:r>
      <w:r w:rsidR="00D63756">
        <w:rPr>
          <w:rFonts w:asciiTheme="majorHAnsi" w:eastAsia="Times New Roman" w:hAnsiTheme="majorHAnsi" w:cstheme="majorBidi"/>
          <w:sz w:val="23"/>
          <w:szCs w:val="23"/>
          <w:lang w:val="en-GB"/>
        </w:rPr>
        <w:t>stage</w:t>
      </w:r>
      <w:r w:rsidR="00F00E3D" w:rsidRPr="00122BBD">
        <w:rPr>
          <w:rFonts w:asciiTheme="majorHAnsi" w:eastAsia="Times New Roman" w:hAnsiTheme="majorHAnsi" w:cstheme="majorBidi"/>
          <w:sz w:val="23"/>
          <w:szCs w:val="23"/>
          <w:lang w:val="en-GB"/>
        </w:rPr>
        <w:t xml:space="preserve"> </w:t>
      </w:r>
      <w:r w:rsidR="008032A0">
        <w:rPr>
          <w:rFonts w:asciiTheme="majorHAnsi" w:eastAsia="Times New Roman" w:hAnsiTheme="majorHAnsi" w:cstheme="majorBidi"/>
          <w:sz w:val="23"/>
          <w:szCs w:val="23"/>
          <w:lang w:val="en-GB"/>
        </w:rPr>
        <w:t>research</w:t>
      </w:r>
      <w:r w:rsidR="00F00E3D" w:rsidRPr="00122BBD">
        <w:rPr>
          <w:rFonts w:asciiTheme="majorHAnsi" w:eastAsia="Times New Roman" w:hAnsiTheme="majorHAnsi" w:cstheme="majorBidi"/>
          <w:sz w:val="23"/>
          <w:szCs w:val="23"/>
          <w:lang w:val="en-GB"/>
        </w:rPr>
        <w:t xml:space="preserve"> process to inform this project:</w:t>
      </w:r>
    </w:p>
    <w:p w14:paraId="5DBDC0E5" w14:textId="77777777" w:rsidR="00415994" w:rsidRPr="006F4E69" w:rsidRDefault="00415994" w:rsidP="009A7DD6">
      <w:pPr>
        <w:pStyle w:val="BodyText1"/>
        <w:spacing w:before="0" w:after="0" w:line="276" w:lineRule="auto"/>
        <w:rPr>
          <w:rFonts w:asciiTheme="majorHAnsi" w:eastAsia="Times New Roman" w:hAnsiTheme="majorHAnsi" w:cstheme="majorBidi"/>
          <w:sz w:val="16"/>
          <w:szCs w:val="16"/>
          <w:lang w:val="en-GB"/>
        </w:rPr>
      </w:pPr>
    </w:p>
    <w:p w14:paraId="42417E43" w14:textId="582887C1" w:rsidR="00415994" w:rsidRPr="00415994" w:rsidRDefault="004C5C07" w:rsidP="00364C5D">
      <w:pPr>
        <w:pStyle w:val="BodyText1"/>
        <w:numPr>
          <w:ilvl w:val="0"/>
          <w:numId w:val="64"/>
        </w:numPr>
        <w:spacing w:before="0" w:after="0" w:line="276" w:lineRule="auto"/>
        <w:rPr>
          <w:rFonts w:asciiTheme="majorHAnsi" w:eastAsia="Calibri" w:hAnsiTheme="majorHAnsi" w:cstheme="majorBidi"/>
          <w:bCs/>
          <w:color w:val="000000" w:themeColor="text1"/>
          <w:sz w:val="23"/>
          <w:szCs w:val="23"/>
        </w:rPr>
      </w:pPr>
      <w:r>
        <w:rPr>
          <w:rFonts w:asciiTheme="majorHAnsi" w:eastAsia="Times New Roman" w:hAnsiTheme="majorHAnsi" w:cstheme="majorBidi"/>
          <w:sz w:val="23"/>
          <w:szCs w:val="23"/>
          <w:lang w:val="en-GB"/>
        </w:rPr>
        <w:t>W</w:t>
      </w:r>
      <w:r w:rsidR="00F00E3D" w:rsidRPr="00415994">
        <w:rPr>
          <w:rFonts w:asciiTheme="majorHAnsi" w:eastAsia="Times New Roman" w:hAnsiTheme="majorHAnsi" w:cstheme="majorBidi"/>
          <w:sz w:val="23"/>
          <w:szCs w:val="23"/>
          <w:lang w:val="en-GB"/>
        </w:rPr>
        <w:t>ide, exploratory research and environmental scoping</w:t>
      </w:r>
      <w:r w:rsidR="00BF2B5B">
        <w:rPr>
          <w:rFonts w:asciiTheme="majorHAnsi" w:eastAsia="Times New Roman" w:hAnsiTheme="majorHAnsi" w:cstheme="majorBidi"/>
          <w:sz w:val="23"/>
          <w:szCs w:val="23"/>
          <w:lang w:val="en-GB"/>
        </w:rPr>
        <w:t xml:space="preserve"> (Environmental Scan, January 2021)</w:t>
      </w:r>
    </w:p>
    <w:p w14:paraId="0961F5D0" w14:textId="429DD92B" w:rsidR="00EF44F8" w:rsidRPr="00CF7B95" w:rsidRDefault="001B71FD" w:rsidP="78F9AF82">
      <w:pPr>
        <w:pStyle w:val="BodyText1"/>
        <w:numPr>
          <w:ilvl w:val="0"/>
          <w:numId w:val="64"/>
        </w:numPr>
        <w:spacing w:before="0" w:after="0" w:line="276" w:lineRule="auto"/>
        <w:rPr>
          <w:rFonts w:asciiTheme="majorHAnsi" w:eastAsia="Calibri" w:hAnsiTheme="majorHAnsi" w:cstheme="majorBidi"/>
          <w:color w:val="000000" w:themeColor="text1"/>
          <w:sz w:val="23"/>
          <w:szCs w:val="23"/>
        </w:rPr>
      </w:pPr>
      <w:r w:rsidRPr="78F9AF82">
        <w:rPr>
          <w:rFonts w:asciiTheme="majorHAnsi" w:eastAsia="Calibri" w:hAnsiTheme="majorHAnsi" w:cstheme="majorBidi"/>
          <w:color w:val="000000" w:themeColor="text1"/>
          <w:sz w:val="23"/>
          <w:szCs w:val="23"/>
        </w:rPr>
        <w:t xml:space="preserve">Focused </w:t>
      </w:r>
      <w:r w:rsidR="00BE3F80" w:rsidRPr="78F9AF82">
        <w:rPr>
          <w:rFonts w:asciiTheme="majorHAnsi" w:eastAsia="Calibri" w:hAnsiTheme="majorHAnsi" w:cstheme="majorBidi"/>
          <w:color w:val="000000" w:themeColor="text1"/>
          <w:sz w:val="23"/>
          <w:szCs w:val="23"/>
        </w:rPr>
        <w:t>statistical analysis</w:t>
      </w:r>
      <w:r w:rsidR="00A9076E" w:rsidRPr="78F9AF82">
        <w:rPr>
          <w:rFonts w:asciiTheme="majorHAnsi" w:eastAsia="Times New Roman" w:hAnsiTheme="majorHAnsi" w:cstheme="majorBidi"/>
          <w:sz w:val="23"/>
          <w:szCs w:val="23"/>
          <w:lang w:val="en-GB"/>
        </w:rPr>
        <w:t xml:space="preserve"> </w:t>
      </w:r>
      <w:r w:rsidRPr="78F9AF82">
        <w:rPr>
          <w:rFonts w:asciiTheme="majorHAnsi" w:eastAsia="Times New Roman" w:hAnsiTheme="majorHAnsi" w:cstheme="majorBidi"/>
          <w:sz w:val="23"/>
          <w:szCs w:val="23"/>
          <w:lang w:val="en-GB"/>
        </w:rPr>
        <w:t>examining</w:t>
      </w:r>
      <w:r w:rsidR="00CF7B95" w:rsidRPr="78F9AF82">
        <w:rPr>
          <w:rFonts w:asciiTheme="majorHAnsi" w:eastAsia="Times New Roman" w:hAnsiTheme="majorHAnsi" w:cstheme="majorBidi"/>
          <w:sz w:val="23"/>
          <w:szCs w:val="23"/>
          <w:lang w:val="en-GB"/>
        </w:rPr>
        <w:t xml:space="preserve"> COVID-19</w:t>
      </w:r>
      <w:r w:rsidR="00621D1F" w:rsidRPr="78F9AF82">
        <w:rPr>
          <w:rFonts w:asciiTheme="majorHAnsi" w:eastAsia="Times New Roman" w:hAnsiTheme="majorHAnsi" w:cstheme="majorBidi"/>
          <w:sz w:val="23"/>
          <w:szCs w:val="23"/>
          <w:lang w:val="en-GB"/>
        </w:rPr>
        <w:t>’s impact</w:t>
      </w:r>
      <w:r w:rsidR="00AB1648" w:rsidRPr="78F9AF82">
        <w:rPr>
          <w:rFonts w:asciiTheme="majorHAnsi" w:eastAsia="Times New Roman" w:hAnsiTheme="majorHAnsi" w:cstheme="majorBidi"/>
          <w:sz w:val="23"/>
          <w:szCs w:val="23"/>
          <w:lang w:val="en-GB"/>
        </w:rPr>
        <w:t xml:space="preserve"> </w:t>
      </w:r>
      <w:r w:rsidR="00BE3F80" w:rsidRPr="78F9AF82">
        <w:rPr>
          <w:rFonts w:asciiTheme="majorHAnsi" w:eastAsia="Times New Roman" w:hAnsiTheme="majorHAnsi" w:cstheme="majorBidi"/>
          <w:sz w:val="23"/>
          <w:szCs w:val="23"/>
          <w:lang w:val="en-GB"/>
        </w:rPr>
        <w:t xml:space="preserve">on </w:t>
      </w:r>
      <w:r w:rsidR="00AB1648" w:rsidRPr="78F9AF82">
        <w:rPr>
          <w:rFonts w:asciiTheme="majorHAnsi" w:eastAsia="Times New Roman" w:hAnsiTheme="majorHAnsi" w:cstheme="majorBidi"/>
          <w:sz w:val="23"/>
          <w:szCs w:val="23"/>
          <w:lang w:val="en-GB"/>
        </w:rPr>
        <w:t>Australia</w:t>
      </w:r>
      <w:r w:rsidR="0079441D" w:rsidRPr="78F9AF82">
        <w:rPr>
          <w:rFonts w:asciiTheme="majorHAnsi" w:eastAsia="Times New Roman" w:hAnsiTheme="majorHAnsi" w:cstheme="majorBidi"/>
          <w:sz w:val="23"/>
          <w:szCs w:val="23"/>
          <w:lang w:val="en-GB"/>
        </w:rPr>
        <w:t>,</w:t>
      </w:r>
      <w:r w:rsidR="002853B9" w:rsidRPr="78F9AF82">
        <w:rPr>
          <w:rFonts w:asciiTheme="majorHAnsi" w:eastAsia="Times New Roman" w:hAnsiTheme="majorHAnsi" w:cstheme="majorBidi"/>
          <w:sz w:val="23"/>
          <w:szCs w:val="23"/>
          <w:lang w:val="en-GB"/>
        </w:rPr>
        <w:t xml:space="preserve"> </w:t>
      </w:r>
      <w:r w:rsidR="003B5A26" w:rsidRPr="78F9AF82">
        <w:rPr>
          <w:rFonts w:asciiTheme="majorHAnsi" w:eastAsia="Times New Roman" w:hAnsiTheme="majorHAnsi" w:cstheme="majorBidi"/>
          <w:sz w:val="23"/>
          <w:szCs w:val="23"/>
          <w:lang w:val="en-GB"/>
        </w:rPr>
        <w:t>the</w:t>
      </w:r>
      <w:r w:rsidR="00BE3F80" w:rsidRPr="78F9AF82">
        <w:rPr>
          <w:rFonts w:asciiTheme="majorHAnsi" w:eastAsia="Times New Roman" w:hAnsiTheme="majorHAnsi" w:cstheme="majorBidi"/>
          <w:sz w:val="23"/>
          <w:szCs w:val="23"/>
          <w:lang w:val="en-GB"/>
        </w:rPr>
        <w:t xml:space="preserve"> Geelong</w:t>
      </w:r>
      <w:r w:rsidR="003B5A26" w:rsidRPr="78F9AF82">
        <w:rPr>
          <w:rFonts w:asciiTheme="majorHAnsi" w:eastAsia="Times New Roman" w:hAnsiTheme="majorHAnsi" w:cstheme="majorBidi"/>
          <w:sz w:val="23"/>
          <w:szCs w:val="23"/>
          <w:lang w:val="en-GB"/>
        </w:rPr>
        <w:t xml:space="preserve"> region</w:t>
      </w:r>
      <w:r w:rsidR="002853B9" w:rsidRPr="78F9AF82">
        <w:rPr>
          <w:rFonts w:asciiTheme="majorHAnsi" w:eastAsia="Times New Roman" w:hAnsiTheme="majorHAnsi" w:cstheme="majorBidi"/>
          <w:sz w:val="23"/>
          <w:szCs w:val="23"/>
          <w:lang w:val="en-GB"/>
        </w:rPr>
        <w:t>,</w:t>
      </w:r>
      <w:r w:rsidR="00E501B7" w:rsidRPr="78F9AF82">
        <w:rPr>
          <w:rFonts w:asciiTheme="majorHAnsi" w:eastAsia="Times New Roman" w:hAnsiTheme="majorHAnsi" w:cstheme="majorBidi"/>
          <w:sz w:val="23"/>
          <w:szCs w:val="23"/>
          <w:lang w:val="en-GB"/>
        </w:rPr>
        <w:t xml:space="preserve"> and</w:t>
      </w:r>
      <w:r w:rsidR="00A9076E" w:rsidRPr="78F9AF82">
        <w:rPr>
          <w:rFonts w:asciiTheme="majorHAnsi" w:eastAsia="Times New Roman" w:hAnsiTheme="majorHAnsi" w:cstheme="majorBidi"/>
          <w:sz w:val="23"/>
          <w:szCs w:val="23"/>
          <w:lang w:val="en-GB"/>
        </w:rPr>
        <w:t xml:space="preserve"> </w:t>
      </w:r>
      <w:r w:rsidR="00E501B7" w:rsidRPr="78F9AF82">
        <w:rPr>
          <w:rFonts w:asciiTheme="majorHAnsi" w:eastAsia="Times New Roman" w:hAnsiTheme="majorHAnsi" w:cstheme="majorBidi"/>
          <w:sz w:val="23"/>
          <w:szCs w:val="23"/>
          <w:lang w:val="en-GB"/>
        </w:rPr>
        <w:t xml:space="preserve">the </w:t>
      </w:r>
      <w:r w:rsidR="00F22CFE" w:rsidRPr="78F9AF82">
        <w:rPr>
          <w:rFonts w:asciiTheme="majorHAnsi" w:eastAsia="Times New Roman" w:hAnsiTheme="majorHAnsi" w:cstheme="majorBidi"/>
          <w:sz w:val="23"/>
          <w:szCs w:val="23"/>
          <w:lang w:val="en-GB"/>
        </w:rPr>
        <w:t xml:space="preserve">three </w:t>
      </w:r>
      <w:r w:rsidR="00973349" w:rsidRPr="78F9AF82">
        <w:rPr>
          <w:rFonts w:asciiTheme="majorHAnsi" w:eastAsia="Times New Roman" w:hAnsiTheme="majorHAnsi" w:cstheme="majorBidi"/>
          <w:sz w:val="23"/>
          <w:szCs w:val="23"/>
          <w:lang w:val="en-GB"/>
        </w:rPr>
        <w:t>localities</w:t>
      </w:r>
      <w:r w:rsidR="005A34C5" w:rsidRPr="78F9AF82">
        <w:rPr>
          <w:rFonts w:asciiTheme="majorHAnsi" w:eastAsia="Times New Roman" w:hAnsiTheme="majorHAnsi" w:cstheme="majorBidi"/>
          <w:sz w:val="23"/>
          <w:szCs w:val="23"/>
          <w:lang w:val="en-GB"/>
        </w:rPr>
        <w:t xml:space="preserve"> </w:t>
      </w:r>
      <w:r w:rsidR="00BF2B5B" w:rsidRPr="78F9AF82">
        <w:rPr>
          <w:rFonts w:asciiTheme="majorHAnsi" w:eastAsia="Times New Roman" w:hAnsiTheme="majorHAnsi" w:cstheme="majorBidi"/>
          <w:sz w:val="23"/>
          <w:szCs w:val="23"/>
          <w:lang w:val="en-GB"/>
        </w:rPr>
        <w:t xml:space="preserve">of </w:t>
      </w:r>
      <w:r w:rsidR="005A34C5" w:rsidRPr="78F9AF82">
        <w:rPr>
          <w:rFonts w:asciiTheme="majorHAnsi" w:eastAsia="Times New Roman" w:hAnsiTheme="majorHAnsi" w:cstheme="majorBidi"/>
          <w:sz w:val="23"/>
          <w:szCs w:val="23"/>
          <w:lang w:val="en-GB"/>
        </w:rPr>
        <w:t>Corio, Norlane, Whittington</w:t>
      </w:r>
      <w:r w:rsidR="00BF2B5B" w:rsidRPr="78F9AF82">
        <w:rPr>
          <w:rFonts w:asciiTheme="majorHAnsi" w:eastAsia="Times New Roman" w:hAnsiTheme="majorHAnsi" w:cstheme="majorBidi"/>
          <w:sz w:val="23"/>
          <w:szCs w:val="23"/>
          <w:lang w:val="en-GB"/>
        </w:rPr>
        <w:t xml:space="preserve"> (Data Scan, February 2021</w:t>
      </w:r>
      <w:r w:rsidR="005A34C5" w:rsidRPr="78F9AF82">
        <w:rPr>
          <w:rFonts w:asciiTheme="majorHAnsi" w:eastAsia="Times New Roman" w:hAnsiTheme="majorHAnsi" w:cstheme="majorBidi"/>
          <w:sz w:val="23"/>
          <w:szCs w:val="23"/>
          <w:lang w:val="en-GB"/>
        </w:rPr>
        <w:t>)</w:t>
      </w:r>
      <w:r w:rsidR="00BE3F80" w:rsidRPr="78F9AF82">
        <w:rPr>
          <w:rFonts w:asciiTheme="majorHAnsi" w:eastAsia="Times New Roman" w:hAnsiTheme="majorHAnsi" w:cstheme="majorBidi"/>
          <w:sz w:val="23"/>
          <w:szCs w:val="23"/>
          <w:lang w:val="en-GB"/>
        </w:rPr>
        <w:t>.</w:t>
      </w:r>
    </w:p>
    <w:p w14:paraId="4BDD210F" w14:textId="03D4F834" w:rsidR="002853B9" w:rsidRPr="00CF7B95" w:rsidRDefault="00850D5C" w:rsidP="00364C5D">
      <w:pPr>
        <w:pStyle w:val="BodyText1"/>
        <w:numPr>
          <w:ilvl w:val="0"/>
          <w:numId w:val="64"/>
        </w:numPr>
        <w:spacing w:before="0" w:after="0" w:line="276" w:lineRule="auto"/>
        <w:rPr>
          <w:rFonts w:asciiTheme="majorHAnsi" w:eastAsia="Calibri" w:hAnsiTheme="majorHAnsi" w:cstheme="majorBidi"/>
          <w:bCs/>
          <w:color w:val="000000" w:themeColor="text1"/>
          <w:sz w:val="23"/>
          <w:szCs w:val="23"/>
        </w:rPr>
      </w:pPr>
      <w:r w:rsidRPr="00CF7B95">
        <w:rPr>
          <w:rFonts w:asciiTheme="majorHAnsi" w:eastAsia="Times New Roman" w:hAnsiTheme="majorHAnsi" w:cstheme="majorBidi"/>
          <w:sz w:val="23"/>
          <w:szCs w:val="23"/>
          <w:lang w:val="en-GB"/>
        </w:rPr>
        <w:t>T</w:t>
      </w:r>
      <w:r w:rsidR="00F00E3D" w:rsidRPr="00CF7B95">
        <w:rPr>
          <w:rFonts w:asciiTheme="majorHAnsi" w:eastAsia="Times New Roman" w:hAnsiTheme="majorHAnsi" w:cstheme="majorBidi"/>
          <w:sz w:val="23"/>
          <w:szCs w:val="23"/>
          <w:lang w:val="en-GB"/>
        </w:rPr>
        <w:t xml:space="preserve">argeted </w:t>
      </w:r>
      <w:r w:rsidR="00D232EA" w:rsidRPr="00CF7B95">
        <w:rPr>
          <w:rFonts w:asciiTheme="majorHAnsi" w:eastAsia="Times New Roman" w:hAnsiTheme="majorHAnsi" w:cstheme="majorBidi"/>
          <w:sz w:val="23"/>
          <w:szCs w:val="23"/>
          <w:lang w:val="en-GB"/>
        </w:rPr>
        <w:t>i</w:t>
      </w:r>
      <w:r w:rsidRPr="00CF7B95">
        <w:rPr>
          <w:rFonts w:asciiTheme="majorHAnsi" w:eastAsia="Times New Roman" w:hAnsiTheme="majorHAnsi" w:cstheme="majorBidi"/>
          <w:sz w:val="23"/>
          <w:szCs w:val="23"/>
          <w:lang w:val="en-GB"/>
        </w:rPr>
        <w:t>nterviews and</w:t>
      </w:r>
      <w:r w:rsidR="006B5A58" w:rsidRPr="00CF7B95">
        <w:rPr>
          <w:rFonts w:asciiTheme="majorHAnsi" w:eastAsia="Times New Roman" w:hAnsiTheme="majorHAnsi" w:cstheme="majorBidi"/>
          <w:sz w:val="23"/>
          <w:szCs w:val="23"/>
          <w:lang w:val="en-GB"/>
        </w:rPr>
        <w:t xml:space="preserve"> </w:t>
      </w:r>
      <w:r w:rsidR="00D232EA" w:rsidRPr="00CF7B95">
        <w:rPr>
          <w:rFonts w:asciiTheme="majorHAnsi" w:eastAsia="Times New Roman" w:hAnsiTheme="majorHAnsi" w:cstheme="majorBidi"/>
          <w:sz w:val="23"/>
          <w:szCs w:val="23"/>
          <w:lang w:val="en-GB"/>
        </w:rPr>
        <w:t>focus group</w:t>
      </w:r>
      <w:r w:rsidRPr="00CF7B95">
        <w:rPr>
          <w:rFonts w:asciiTheme="majorHAnsi" w:eastAsia="Times New Roman" w:hAnsiTheme="majorHAnsi" w:cstheme="majorBidi"/>
          <w:sz w:val="23"/>
          <w:szCs w:val="23"/>
          <w:lang w:val="en-GB"/>
        </w:rPr>
        <w:t xml:space="preserve"> </w:t>
      </w:r>
      <w:r w:rsidR="00F00E3D" w:rsidRPr="00CF7B95">
        <w:rPr>
          <w:rFonts w:asciiTheme="majorHAnsi" w:eastAsia="Times New Roman" w:hAnsiTheme="majorHAnsi" w:cstheme="majorBidi"/>
          <w:sz w:val="23"/>
          <w:szCs w:val="23"/>
          <w:lang w:val="en-GB"/>
        </w:rPr>
        <w:t>with key service provider experts in the Corio, Norlane</w:t>
      </w:r>
      <w:r w:rsidR="00A07EF4" w:rsidRPr="00CF7B95">
        <w:rPr>
          <w:rFonts w:asciiTheme="majorHAnsi" w:eastAsia="Times New Roman" w:hAnsiTheme="majorHAnsi" w:cstheme="majorBidi"/>
          <w:sz w:val="23"/>
          <w:szCs w:val="23"/>
          <w:lang w:val="en-GB"/>
        </w:rPr>
        <w:t>,</w:t>
      </w:r>
      <w:r w:rsidR="00F00E3D" w:rsidRPr="00CF7B95">
        <w:rPr>
          <w:rFonts w:asciiTheme="majorHAnsi" w:eastAsia="Times New Roman" w:hAnsiTheme="majorHAnsi" w:cstheme="majorBidi"/>
          <w:sz w:val="23"/>
          <w:szCs w:val="23"/>
          <w:lang w:val="en-GB"/>
        </w:rPr>
        <w:t xml:space="preserve"> and Whittington communities</w:t>
      </w:r>
      <w:r w:rsidR="00BF2B5B">
        <w:rPr>
          <w:rFonts w:asciiTheme="majorHAnsi" w:eastAsia="Times New Roman" w:hAnsiTheme="majorHAnsi" w:cstheme="majorBidi"/>
          <w:sz w:val="23"/>
          <w:szCs w:val="23"/>
          <w:lang w:val="en-GB"/>
        </w:rPr>
        <w:t xml:space="preserve"> (Community Consultations, March 2021)</w:t>
      </w:r>
      <w:r w:rsidR="00F00E3D" w:rsidRPr="00CF7B95">
        <w:rPr>
          <w:rFonts w:asciiTheme="majorHAnsi" w:eastAsia="Times New Roman" w:hAnsiTheme="majorHAnsi" w:cstheme="majorBidi"/>
          <w:sz w:val="23"/>
          <w:szCs w:val="23"/>
          <w:lang w:val="en-GB"/>
        </w:rPr>
        <w:t>.</w:t>
      </w:r>
    </w:p>
    <w:p w14:paraId="296C6800" w14:textId="77777777" w:rsidR="004551BA" w:rsidRPr="002D4D7E" w:rsidRDefault="004551BA" w:rsidP="00826881">
      <w:pPr>
        <w:pStyle w:val="BodyText1"/>
        <w:spacing w:before="0" w:after="0" w:line="276" w:lineRule="auto"/>
        <w:rPr>
          <w:rFonts w:asciiTheme="majorHAnsi" w:eastAsiaTheme="minorEastAsia" w:hAnsiTheme="majorHAnsi" w:cstheme="majorBidi"/>
          <w:sz w:val="16"/>
          <w:szCs w:val="16"/>
          <w:lang w:val="en-GB"/>
        </w:rPr>
      </w:pPr>
    </w:p>
    <w:p w14:paraId="7EED6178" w14:textId="13945B02" w:rsidR="00154BA6" w:rsidRDefault="00C5466B" w:rsidP="009B2FA7">
      <w:pPr>
        <w:pStyle w:val="BodyText1"/>
        <w:spacing w:before="0" w:after="0" w:line="276" w:lineRule="auto"/>
        <w:rPr>
          <w:rFonts w:asciiTheme="majorHAnsi" w:eastAsia="Times New Roman" w:hAnsiTheme="majorHAnsi" w:cstheme="majorBidi"/>
          <w:sz w:val="23"/>
          <w:szCs w:val="23"/>
          <w:lang w:val="en-GB"/>
        </w:rPr>
      </w:pPr>
      <w:r>
        <w:rPr>
          <w:rFonts w:asciiTheme="majorHAnsi" w:eastAsiaTheme="minorEastAsia" w:hAnsiTheme="majorHAnsi" w:cstheme="majorBidi"/>
          <w:sz w:val="23"/>
          <w:szCs w:val="23"/>
          <w:lang w:val="en-GB"/>
        </w:rPr>
        <w:t>The study addresses e</w:t>
      </w:r>
      <w:r w:rsidR="00F00E3D" w:rsidRPr="236DC7AB">
        <w:rPr>
          <w:rFonts w:asciiTheme="majorHAnsi" w:eastAsiaTheme="minorEastAsia" w:hAnsiTheme="majorHAnsi" w:cstheme="majorBidi"/>
          <w:sz w:val="23"/>
          <w:szCs w:val="23"/>
          <w:lang w:val="en-GB"/>
        </w:rPr>
        <w:t xml:space="preserve">ight research </w:t>
      </w:r>
      <w:r w:rsidR="00F00E3D" w:rsidRPr="0068686C">
        <w:rPr>
          <w:rFonts w:asciiTheme="majorHAnsi" w:eastAsiaTheme="minorEastAsia" w:hAnsiTheme="majorHAnsi" w:cstheme="majorBidi"/>
          <w:sz w:val="23"/>
          <w:szCs w:val="23"/>
          <w:lang w:val="en-GB"/>
        </w:rPr>
        <w:t>questions</w:t>
      </w:r>
      <w:r w:rsidR="003404FE" w:rsidRPr="0068686C">
        <w:rPr>
          <w:rFonts w:asciiTheme="majorHAnsi" w:eastAsiaTheme="minorEastAsia" w:hAnsiTheme="majorHAnsi" w:cstheme="majorBidi"/>
          <w:sz w:val="23"/>
          <w:szCs w:val="23"/>
          <w:lang w:val="en-GB"/>
        </w:rPr>
        <w:t xml:space="preserve"> (</w:t>
      </w:r>
      <w:r w:rsidR="004C3A55">
        <w:rPr>
          <w:rFonts w:asciiTheme="majorHAnsi" w:eastAsiaTheme="minorEastAsia" w:hAnsiTheme="majorHAnsi" w:cstheme="majorBidi"/>
          <w:sz w:val="23"/>
          <w:szCs w:val="23"/>
          <w:lang w:val="en-GB"/>
        </w:rPr>
        <w:t xml:space="preserve">See </w:t>
      </w:r>
      <w:r w:rsidR="003404FE" w:rsidRPr="0068686C">
        <w:rPr>
          <w:rFonts w:asciiTheme="majorHAnsi" w:eastAsiaTheme="minorEastAsia" w:hAnsiTheme="majorHAnsi" w:cstheme="majorBidi"/>
          <w:sz w:val="23"/>
          <w:szCs w:val="23"/>
          <w:lang w:val="en-GB"/>
        </w:rPr>
        <w:t>Table E1, below)</w:t>
      </w:r>
      <w:r w:rsidR="00F00E3D" w:rsidRPr="0068686C">
        <w:rPr>
          <w:rFonts w:asciiTheme="majorHAnsi" w:eastAsiaTheme="minorEastAsia" w:hAnsiTheme="majorHAnsi" w:cstheme="majorBidi"/>
          <w:sz w:val="23"/>
          <w:szCs w:val="23"/>
          <w:lang w:val="en-GB"/>
        </w:rPr>
        <w:t>,</w:t>
      </w:r>
      <w:r w:rsidR="00F00E3D" w:rsidRPr="236DC7AB">
        <w:rPr>
          <w:rFonts w:asciiTheme="majorHAnsi" w:eastAsiaTheme="minorEastAsia" w:hAnsiTheme="majorHAnsi" w:cstheme="majorBidi"/>
          <w:sz w:val="23"/>
          <w:szCs w:val="23"/>
          <w:lang w:val="en-GB"/>
        </w:rPr>
        <w:t xml:space="preserve"> </w:t>
      </w:r>
      <w:r>
        <w:rPr>
          <w:rFonts w:asciiTheme="majorHAnsi" w:eastAsiaTheme="minorEastAsia" w:hAnsiTheme="majorHAnsi" w:cstheme="majorBidi"/>
          <w:sz w:val="23"/>
          <w:szCs w:val="23"/>
          <w:lang w:val="en-GB"/>
        </w:rPr>
        <w:t>with</w:t>
      </w:r>
      <w:r w:rsidR="00F00E3D" w:rsidRPr="236DC7AB">
        <w:rPr>
          <w:rFonts w:asciiTheme="majorHAnsi" w:eastAsiaTheme="minorEastAsia" w:hAnsiTheme="majorHAnsi" w:cstheme="majorBidi"/>
          <w:sz w:val="23"/>
          <w:szCs w:val="23"/>
          <w:lang w:val="en-GB"/>
        </w:rPr>
        <w:t xml:space="preserve"> a ninth posed for consideration in a possible follow-up </w:t>
      </w:r>
      <w:r w:rsidR="00F00E3D" w:rsidRPr="502830E4">
        <w:rPr>
          <w:rFonts w:asciiTheme="majorHAnsi" w:eastAsiaTheme="minorEastAsia" w:hAnsiTheme="majorHAnsi" w:cstheme="majorBidi"/>
          <w:sz w:val="23"/>
          <w:szCs w:val="23"/>
          <w:lang w:val="en-GB"/>
        </w:rPr>
        <w:t>Systems Thinking</w:t>
      </w:r>
      <w:r w:rsidR="00F00E3D" w:rsidRPr="236DC7AB">
        <w:rPr>
          <w:rFonts w:asciiTheme="majorHAnsi" w:eastAsiaTheme="minorEastAsia" w:hAnsiTheme="majorHAnsi" w:cstheme="majorBidi"/>
          <w:sz w:val="23"/>
          <w:szCs w:val="23"/>
          <w:lang w:val="en-GB"/>
        </w:rPr>
        <w:t xml:space="preserve"> </w:t>
      </w:r>
      <w:r w:rsidR="009B1AEE">
        <w:rPr>
          <w:rFonts w:asciiTheme="majorHAnsi" w:eastAsiaTheme="minorEastAsia" w:hAnsiTheme="majorHAnsi" w:cstheme="majorBidi"/>
          <w:sz w:val="23"/>
          <w:szCs w:val="23"/>
          <w:lang w:val="en-GB"/>
        </w:rPr>
        <w:t xml:space="preserve">(STICKE) </w:t>
      </w:r>
      <w:r w:rsidR="00F00E3D" w:rsidRPr="236DC7AB">
        <w:rPr>
          <w:rFonts w:asciiTheme="majorHAnsi" w:eastAsiaTheme="minorEastAsia" w:hAnsiTheme="majorHAnsi" w:cstheme="majorBidi"/>
          <w:sz w:val="23"/>
          <w:szCs w:val="23"/>
          <w:lang w:val="en-GB"/>
        </w:rPr>
        <w:t>workshop</w:t>
      </w:r>
      <w:r w:rsidR="004C3A55">
        <w:rPr>
          <w:rFonts w:asciiTheme="majorHAnsi" w:eastAsiaTheme="minorEastAsia" w:hAnsiTheme="majorHAnsi" w:cstheme="majorBidi"/>
          <w:sz w:val="23"/>
          <w:szCs w:val="23"/>
          <w:lang w:val="en-GB"/>
        </w:rPr>
        <w:t>. R</w:t>
      </w:r>
      <w:r w:rsidR="00144C6C">
        <w:rPr>
          <w:rFonts w:asciiTheme="majorHAnsi" w:eastAsia="Times New Roman" w:hAnsiTheme="majorHAnsi" w:cstheme="majorBidi"/>
          <w:sz w:val="23"/>
          <w:szCs w:val="23"/>
          <w:lang w:val="en-GB"/>
        </w:rPr>
        <w:t xml:space="preserve">esearch questions and </w:t>
      </w:r>
      <w:r w:rsidR="00516AC2">
        <w:rPr>
          <w:rFonts w:asciiTheme="majorHAnsi" w:eastAsia="Times New Roman" w:hAnsiTheme="majorHAnsi" w:cstheme="majorBidi"/>
          <w:sz w:val="23"/>
          <w:szCs w:val="23"/>
          <w:lang w:val="en-GB"/>
        </w:rPr>
        <w:t>study design</w:t>
      </w:r>
      <w:r w:rsidR="00144C6C">
        <w:rPr>
          <w:rFonts w:asciiTheme="majorHAnsi" w:eastAsia="Times New Roman" w:hAnsiTheme="majorHAnsi" w:cstheme="majorBidi"/>
          <w:sz w:val="23"/>
          <w:szCs w:val="23"/>
          <w:lang w:val="en-GB"/>
        </w:rPr>
        <w:t xml:space="preserve"> were developed in consultation with</w:t>
      </w:r>
      <w:r w:rsidR="00580CC4" w:rsidRPr="00122BBD">
        <w:rPr>
          <w:rFonts w:asciiTheme="majorHAnsi" w:eastAsia="Times New Roman" w:hAnsiTheme="majorHAnsi" w:cstheme="majorBidi"/>
          <w:sz w:val="23"/>
          <w:szCs w:val="23"/>
          <w:lang w:val="en-GB"/>
        </w:rPr>
        <w:t xml:space="preserve"> the Vital Communities Project Governance Group</w:t>
      </w:r>
      <w:r w:rsidR="00580CC4">
        <w:rPr>
          <w:rFonts w:asciiTheme="majorHAnsi" w:eastAsia="Times New Roman" w:hAnsiTheme="majorHAnsi" w:cstheme="majorBidi"/>
          <w:sz w:val="23"/>
          <w:szCs w:val="23"/>
          <w:lang w:val="en-GB"/>
        </w:rPr>
        <w:t>.</w:t>
      </w:r>
    </w:p>
    <w:p w14:paraId="44BF95BC" w14:textId="77777777" w:rsidR="00115E37" w:rsidRPr="00782F1A" w:rsidRDefault="00115E37" w:rsidP="009B2FA7">
      <w:pPr>
        <w:pStyle w:val="BodyText1"/>
        <w:spacing w:before="0" w:after="0" w:line="276" w:lineRule="auto"/>
        <w:rPr>
          <w:rFonts w:asciiTheme="majorHAnsi" w:eastAsiaTheme="minorEastAsia" w:hAnsiTheme="majorHAnsi" w:cstheme="majorBidi"/>
          <w:color w:val="2E74B5" w:themeColor="accent5" w:themeShade="BF"/>
          <w:sz w:val="12"/>
          <w:szCs w:val="12"/>
          <w:lang w:val="en-GB"/>
        </w:rPr>
      </w:pPr>
    </w:p>
    <w:p w14:paraId="6921B5F4" w14:textId="77777777" w:rsidR="00154BA6" w:rsidRPr="00782F1A" w:rsidRDefault="00154BA6" w:rsidP="00115E37">
      <w:pPr>
        <w:pStyle w:val="Heading1"/>
        <w:spacing w:before="0"/>
        <w:rPr>
          <w:rFonts w:asciiTheme="minorHAnsi" w:hAnsiTheme="minorHAnsi" w:cstheme="minorBidi"/>
          <w:b/>
          <w:color w:val="2E74B5" w:themeColor="accent5" w:themeShade="BF"/>
          <w:sz w:val="28"/>
          <w:szCs w:val="28"/>
        </w:rPr>
      </w:pPr>
      <w:r w:rsidRPr="00782F1A">
        <w:rPr>
          <w:rFonts w:asciiTheme="minorHAnsi" w:hAnsiTheme="minorHAnsi" w:cstheme="minorBidi"/>
          <w:b/>
          <w:color w:val="2E74B5" w:themeColor="accent5" w:themeShade="BF"/>
          <w:sz w:val="28"/>
          <w:szCs w:val="28"/>
        </w:rPr>
        <w:t>Report Structure</w:t>
      </w:r>
    </w:p>
    <w:p w14:paraId="4C8E0B4C" w14:textId="77777777" w:rsidR="00453A10" w:rsidRPr="00141ED3" w:rsidRDefault="00453A10" w:rsidP="00154BA6">
      <w:pPr>
        <w:pStyle w:val="BodyText1"/>
        <w:spacing w:before="0" w:after="0" w:line="276" w:lineRule="auto"/>
        <w:rPr>
          <w:rFonts w:asciiTheme="majorHAnsi" w:eastAsia="Calibri" w:hAnsiTheme="majorHAnsi" w:cstheme="majorBidi"/>
          <w:bCs/>
          <w:color w:val="000000" w:themeColor="text1"/>
          <w:sz w:val="16"/>
          <w:szCs w:val="16"/>
        </w:rPr>
      </w:pPr>
    </w:p>
    <w:p w14:paraId="545492DB" w14:textId="5A11EED6" w:rsidR="007D6702" w:rsidRPr="00167AA8" w:rsidRDefault="0079661D" w:rsidP="00154BA6">
      <w:pPr>
        <w:pStyle w:val="BodyText1"/>
        <w:spacing w:before="0" w:after="0" w:line="276" w:lineRule="auto"/>
        <w:rPr>
          <w:rFonts w:asciiTheme="majorHAnsi" w:eastAsia="Calibri" w:hAnsiTheme="majorHAnsi" w:cstheme="majorBidi"/>
          <w:bCs/>
          <w:color w:val="000000" w:themeColor="text1"/>
          <w:sz w:val="23"/>
          <w:szCs w:val="23"/>
        </w:rPr>
      </w:pPr>
      <w:r>
        <w:rPr>
          <w:rFonts w:asciiTheme="majorHAnsi" w:eastAsia="Calibri" w:hAnsiTheme="majorHAnsi" w:cstheme="majorBidi"/>
          <w:bCs/>
          <w:color w:val="000000" w:themeColor="text1"/>
          <w:sz w:val="23"/>
          <w:szCs w:val="23"/>
        </w:rPr>
        <w:t>Th</w:t>
      </w:r>
      <w:r w:rsidR="00115E37">
        <w:rPr>
          <w:rFonts w:asciiTheme="majorHAnsi" w:eastAsia="Calibri" w:hAnsiTheme="majorHAnsi" w:cstheme="majorBidi"/>
          <w:bCs/>
          <w:color w:val="000000" w:themeColor="text1"/>
          <w:sz w:val="23"/>
          <w:szCs w:val="23"/>
        </w:rPr>
        <w:t>is</w:t>
      </w:r>
      <w:r w:rsidR="00154BA6">
        <w:rPr>
          <w:rFonts w:asciiTheme="majorHAnsi" w:eastAsia="Calibri" w:hAnsiTheme="majorHAnsi" w:cstheme="majorBidi"/>
          <w:bCs/>
          <w:color w:val="000000" w:themeColor="text1"/>
          <w:sz w:val="23"/>
          <w:szCs w:val="23"/>
        </w:rPr>
        <w:t xml:space="preserve"> </w:t>
      </w:r>
      <w:r w:rsidR="006111B5">
        <w:rPr>
          <w:rFonts w:asciiTheme="majorHAnsi" w:eastAsia="Calibri" w:hAnsiTheme="majorHAnsi" w:cstheme="majorBidi"/>
          <w:bCs/>
          <w:color w:val="000000" w:themeColor="text1"/>
          <w:sz w:val="23"/>
          <w:szCs w:val="23"/>
        </w:rPr>
        <w:t>report is structured as follows</w:t>
      </w:r>
      <w:r w:rsidR="00154BA6">
        <w:rPr>
          <w:rFonts w:asciiTheme="majorHAnsi" w:eastAsia="Calibri" w:hAnsiTheme="majorHAnsi" w:cstheme="majorBidi"/>
          <w:bCs/>
          <w:color w:val="000000" w:themeColor="text1"/>
          <w:sz w:val="23"/>
          <w:szCs w:val="23"/>
        </w:rPr>
        <w:t>:</w:t>
      </w:r>
    </w:p>
    <w:p w14:paraId="643A751C" w14:textId="38928267" w:rsidR="006111B5" w:rsidRPr="006111B5" w:rsidRDefault="006111B5" w:rsidP="00364C5D">
      <w:pPr>
        <w:pStyle w:val="BodyText1"/>
        <w:numPr>
          <w:ilvl w:val="0"/>
          <w:numId w:val="63"/>
        </w:numPr>
        <w:spacing w:before="0" w:after="0" w:line="276" w:lineRule="auto"/>
        <w:rPr>
          <w:rFonts w:asciiTheme="minorHAnsi" w:eastAsia="Calibri" w:hAnsiTheme="minorHAnsi" w:cstheme="minorHAnsi"/>
          <w:b/>
          <w:sz w:val="23"/>
          <w:szCs w:val="23"/>
        </w:rPr>
      </w:pPr>
      <w:r w:rsidRPr="006111B5">
        <w:rPr>
          <w:rFonts w:asciiTheme="minorHAnsi" w:eastAsia="Calibri" w:hAnsiTheme="minorHAnsi" w:cstheme="minorHAnsi"/>
          <w:b/>
          <w:sz w:val="23"/>
          <w:szCs w:val="23"/>
        </w:rPr>
        <w:t>Executive Summary</w:t>
      </w:r>
    </w:p>
    <w:p w14:paraId="660E9240" w14:textId="48C0DB6B" w:rsidR="006111B5" w:rsidRPr="006111B5" w:rsidRDefault="006111B5" w:rsidP="00364C5D">
      <w:pPr>
        <w:pStyle w:val="BodyText1"/>
        <w:numPr>
          <w:ilvl w:val="0"/>
          <w:numId w:val="63"/>
        </w:numPr>
        <w:spacing w:before="0" w:after="0" w:line="276" w:lineRule="auto"/>
        <w:rPr>
          <w:rFonts w:asciiTheme="minorHAnsi" w:eastAsia="Calibri" w:hAnsiTheme="minorHAnsi" w:cstheme="minorHAnsi"/>
          <w:b/>
          <w:sz w:val="23"/>
          <w:szCs w:val="23"/>
        </w:rPr>
      </w:pPr>
      <w:r w:rsidRPr="006111B5">
        <w:rPr>
          <w:rFonts w:asciiTheme="minorHAnsi" w:eastAsia="Calibri" w:hAnsiTheme="minorHAnsi" w:cstheme="minorHAnsi"/>
          <w:b/>
          <w:sz w:val="23"/>
          <w:szCs w:val="23"/>
        </w:rPr>
        <w:t>Recommendations</w:t>
      </w:r>
    </w:p>
    <w:p w14:paraId="43C66982" w14:textId="410B2941" w:rsidR="00154BA6" w:rsidRPr="000F1D5C" w:rsidRDefault="00154BA6" w:rsidP="00364C5D">
      <w:pPr>
        <w:pStyle w:val="BodyText1"/>
        <w:numPr>
          <w:ilvl w:val="0"/>
          <w:numId w:val="63"/>
        </w:numPr>
        <w:spacing w:before="0" w:after="0" w:line="276" w:lineRule="auto"/>
        <w:rPr>
          <w:rFonts w:asciiTheme="majorHAnsi" w:eastAsia="Calibri" w:hAnsiTheme="majorHAnsi" w:cstheme="majorHAnsi"/>
          <w:bCs/>
          <w:sz w:val="23"/>
          <w:szCs w:val="23"/>
        </w:rPr>
      </w:pPr>
      <w:r w:rsidRPr="004E1C68">
        <w:rPr>
          <w:rFonts w:asciiTheme="minorHAnsi" w:eastAsia="Calibri" w:hAnsiTheme="minorHAnsi" w:cstheme="minorHAnsi"/>
          <w:b/>
          <w:sz w:val="23"/>
          <w:szCs w:val="23"/>
        </w:rPr>
        <w:t xml:space="preserve">Part </w:t>
      </w:r>
      <w:r w:rsidR="00DB2101">
        <w:rPr>
          <w:rFonts w:asciiTheme="minorHAnsi" w:eastAsia="Calibri" w:hAnsiTheme="minorHAnsi" w:cstheme="minorHAnsi"/>
          <w:b/>
          <w:sz w:val="23"/>
          <w:szCs w:val="23"/>
        </w:rPr>
        <w:t>A</w:t>
      </w:r>
      <w:r w:rsidRPr="004E1C68">
        <w:rPr>
          <w:rFonts w:asciiTheme="minorHAnsi" w:eastAsia="Calibri" w:hAnsiTheme="minorHAnsi" w:cstheme="minorHAnsi"/>
          <w:bCs/>
          <w:sz w:val="23"/>
          <w:szCs w:val="23"/>
        </w:rPr>
        <w:t>:</w:t>
      </w:r>
      <w:r w:rsidRPr="000F1D5C">
        <w:rPr>
          <w:rFonts w:asciiTheme="majorHAnsi" w:eastAsia="Calibri" w:hAnsiTheme="majorHAnsi" w:cstheme="majorHAnsi"/>
          <w:bCs/>
          <w:sz w:val="23"/>
          <w:szCs w:val="23"/>
        </w:rPr>
        <w:t xml:space="preserve"> Environmental Scan</w:t>
      </w:r>
      <w:r>
        <w:rPr>
          <w:rFonts w:asciiTheme="majorHAnsi" w:eastAsia="Calibri" w:hAnsiTheme="majorHAnsi" w:cstheme="majorHAnsi"/>
          <w:bCs/>
          <w:sz w:val="23"/>
          <w:szCs w:val="23"/>
        </w:rPr>
        <w:t xml:space="preserve"> (exploratory research)</w:t>
      </w:r>
    </w:p>
    <w:p w14:paraId="2DCA6E61" w14:textId="18774182" w:rsidR="00154BA6" w:rsidRPr="000F1D5C" w:rsidRDefault="00154BA6" w:rsidP="00364C5D">
      <w:pPr>
        <w:pStyle w:val="BodyText1"/>
        <w:numPr>
          <w:ilvl w:val="0"/>
          <w:numId w:val="63"/>
        </w:numPr>
        <w:spacing w:before="0" w:after="0" w:line="276" w:lineRule="auto"/>
        <w:rPr>
          <w:rFonts w:asciiTheme="majorHAnsi" w:eastAsia="Calibri" w:hAnsiTheme="majorHAnsi" w:cstheme="majorHAnsi"/>
          <w:bCs/>
          <w:sz w:val="23"/>
          <w:szCs w:val="23"/>
        </w:rPr>
      </w:pPr>
      <w:r w:rsidRPr="004E1C68">
        <w:rPr>
          <w:rFonts w:asciiTheme="minorHAnsi" w:eastAsia="Calibri" w:hAnsiTheme="minorHAnsi" w:cstheme="minorHAnsi"/>
          <w:b/>
          <w:sz w:val="23"/>
          <w:szCs w:val="23"/>
        </w:rPr>
        <w:t xml:space="preserve">Part </w:t>
      </w:r>
      <w:r w:rsidR="00DB2101">
        <w:rPr>
          <w:rFonts w:asciiTheme="minorHAnsi" w:eastAsia="Calibri" w:hAnsiTheme="minorHAnsi" w:cstheme="minorHAnsi"/>
          <w:b/>
          <w:sz w:val="23"/>
          <w:szCs w:val="23"/>
        </w:rPr>
        <w:t>B</w:t>
      </w:r>
      <w:r w:rsidRPr="004E1C68">
        <w:rPr>
          <w:rFonts w:asciiTheme="minorHAnsi" w:eastAsia="Calibri" w:hAnsiTheme="minorHAnsi" w:cstheme="minorHAnsi"/>
          <w:b/>
          <w:sz w:val="23"/>
          <w:szCs w:val="23"/>
        </w:rPr>
        <w:t>:</w:t>
      </w:r>
      <w:r w:rsidRPr="000F1D5C">
        <w:rPr>
          <w:rFonts w:asciiTheme="majorHAnsi" w:eastAsia="Calibri" w:hAnsiTheme="majorHAnsi" w:cstheme="majorHAnsi"/>
          <w:bCs/>
          <w:sz w:val="23"/>
          <w:szCs w:val="23"/>
        </w:rPr>
        <w:t xml:space="preserve"> COVID-19 Impact Study</w:t>
      </w:r>
      <w:r>
        <w:rPr>
          <w:rFonts w:asciiTheme="majorHAnsi" w:eastAsia="Calibri" w:hAnsiTheme="majorHAnsi" w:cstheme="majorHAnsi"/>
          <w:bCs/>
          <w:sz w:val="23"/>
          <w:szCs w:val="23"/>
        </w:rPr>
        <w:t xml:space="preserve"> (</w:t>
      </w:r>
      <w:r w:rsidR="00ED6743">
        <w:rPr>
          <w:rFonts w:asciiTheme="majorHAnsi" w:eastAsia="Calibri" w:hAnsiTheme="majorHAnsi" w:cstheme="majorHAnsi"/>
          <w:bCs/>
          <w:sz w:val="23"/>
          <w:szCs w:val="23"/>
        </w:rPr>
        <w:t>data scan</w:t>
      </w:r>
      <w:r w:rsidR="00223886">
        <w:rPr>
          <w:rFonts w:asciiTheme="majorHAnsi" w:eastAsia="Calibri" w:hAnsiTheme="majorHAnsi" w:cstheme="majorHAnsi"/>
          <w:bCs/>
          <w:sz w:val="23"/>
          <w:szCs w:val="23"/>
        </w:rPr>
        <w:t xml:space="preserve"> +</w:t>
      </w:r>
      <w:r>
        <w:rPr>
          <w:rFonts w:asciiTheme="majorHAnsi" w:eastAsia="Calibri" w:hAnsiTheme="majorHAnsi" w:cstheme="majorHAnsi"/>
          <w:bCs/>
          <w:sz w:val="23"/>
          <w:szCs w:val="23"/>
        </w:rPr>
        <w:t xml:space="preserve"> </w:t>
      </w:r>
      <w:r w:rsidR="007F7062">
        <w:rPr>
          <w:rFonts w:asciiTheme="majorHAnsi" w:eastAsia="Calibri" w:hAnsiTheme="majorHAnsi" w:cstheme="majorHAnsi"/>
          <w:bCs/>
          <w:sz w:val="23"/>
          <w:szCs w:val="23"/>
        </w:rPr>
        <w:t>consultations</w:t>
      </w:r>
      <w:r>
        <w:rPr>
          <w:rFonts w:asciiTheme="majorHAnsi" w:eastAsia="Calibri" w:hAnsiTheme="majorHAnsi" w:cstheme="majorHAnsi"/>
          <w:bCs/>
          <w:sz w:val="23"/>
          <w:szCs w:val="23"/>
        </w:rPr>
        <w:t>)</w:t>
      </w:r>
    </w:p>
    <w:p w14:paraId="49F94406" w14:textId="29AE7529" w:rsidR="00154BA6" w:rsidRDefault="00154BA6" w:rsidP="00364C5D">
      <w:pPr>
        <w:pStyle w:val="Default"/>
        <w:numPr>
          <w:ilvl w:val="0"/>
          <w:numId w:val="63"/>
        </w:numPr>
        <w:spacing w:line="276" w:lineRule="auto"/>
        <w:rPr>
          <w:rFonts w:asciiTheme="majorHAnsi" w:hAnsiTheme="majorHAnsi" w:cstheme="majorHAnsi"/>
          <w:bCs/>
          <w:color w:val="auto"/>
          <w:sz w:val="23"/>
          <w:szCs w:val="23"/>
        </w:rPr>
      </w:pPr>
      <w:r w:rsidRPr="004E1C68">
        <w:rPr>
          <w:rFonts w:asciiTheme="minorHAnsi" w:hAnsiTheme="minorHAnsi" w:cstheme="minorHAnsi"/>
          <w:b/>
          <w:color w:val="auto"/>
          <w:sz w:val="23"/>
          <w:szCs w:val="23"/>
        </w:rPr>
        <w:t xml:space="preserve">Part </w:t>
      </w:r>
      <w:r w:rsidR="00DB2101">
        <w:rPr>
          <w:rFonts w:asciiTheme="minorHAnsi" w:hAnsiTheme="minorHAnsi" w:cstheme="minorHAnsi"/>
          <w:b/>
          <w:color w:val="auto"/>
          <w:sz w:val="23"/>
          <w:szCs w:val="23"/>
        </w:rPr>
        <w:t>C</w:t>
      </w:r>
      <w:r w:rsidRPr="000F1D5C">
        <w:rPr>
          <w:rFonts w:asciiTheme="majorHAnsi" w:hAnsiTheme="majorHAnsi" w:cstheme="majorHAnsi"/>
          <w:bCs/>
          <w:color w:val="auto"/>
          <w:sz w:val="23"/>
          <w:szCs w:val="23"/>
        </w:rPr>
        <w:t xml:space="preserve">: </w:t>
      </w:r>
      <w:r>
        <w:rPr>
          <w:rFonts w:asciiTheme="majorHAnsi" w:hAnsiTheme="majorHAnsi" w:cstheme="majorHAnsi"/>
          <w:bCs/>
          <w:color w:val="auto"/>
          <w:sz w:val="23"/>
          <w:szCs w:val="23"/>
        </w:rPr>
        <w:t>Discussion and Conclusion</w:t>
      </w:r>
    </w:p>
    <w:p w14:paraId="17DE0A68" w14:textId="2D722FAF" w:rsidR="00F00E3D" w:rsidRPr="006C3E32" w:rsidRDefault="006111B5" w:rsidP="00364C5D">
      <w:pPr>
        <w:pStyle w:val="Default"/>
        <w:numPr>
          <w:ilvl w:val="0"/>
          <w:numId w:val="63"/>
        </w:numPr>
        <w:spacing w:line="276" w:lineRule="auto"/>
        <w:rPr>
          <w:rFonts w:asciiTheme="minorHAnsi" w:hAnsiTheme="minorHAnsi" w:cstheme="minorHAnsi"/>
          <w:b/>
          <w:color w:val="auto"/>
          <w:sz w:val="23"/>
          <w:szCs w:val="23"/>
        </w:rPr>
      </w:pPr>
      <w:r w:rsidRPr="006111B5">
        <w:rPr>
          <w:rFonts w:asciiTheme="minorHAnsi" w:hAnsiTheme="minorHAnsi" w:cstheme="minorHAnsi"/>
          <w:b/>
          <w:color w:val="auto"/>
          <w:sz w:val="23"/>
          <w:szCs w:val="23"/>
        </w:rPr>
        <w:t>References and Appendix</w:t>
      </w:r>
      <w:r w:rsidR="00C24CE4" w:rsidRPr="00C24CE4">
        <w:rPr>
          <w:rFonts w:cstheme="minorHAnsi"/>
          <w:b/>
          <w:sz w:val="23"/>
          <w:szCs w:val="23"/>
        </w:rPr>
        <w:br w:type="page"/>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3901"/>
        <w:gridCol w:w="1643"/>
        <w:gridCol w:w="981"/>
        <w:gridCol w:w="1429"/>
        <w:gridCol w:w="1303"/>
      </w:tblGrid>
      <w:tr w:rsidR="00F00E3D" w:rsidRPr="00DC2FC2" w14:paraId="36499625" w14:textId="77777777" w:rsidTr="006C3E32">
        <w:trPr>
          <w:trHeight w:val="331"/>
        </w:trPr>
        <w:tc>
          <w:tcPr>
            <w:tcW w:w="390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5" w:type="dxa"/>
              <w:left w:w="149" w:type="dxa"/>
              <w:bottom w:w="75" w:type="dxa"/>
              <w:right w:w="149" w:type="dxa"/>
            </w:tcMar>
            <w:vAlign w:val="center"/>
            <w:hideMark/>
          </w:tcPr>
          <w:p w14:paraId="3C41E6D6" w14:textId="77777777" w:rsidR="00F00E3D" w:rsidRPr="00223886" w:rsidRDefault="00F00E3D" w:rsidP="00911666">
            <w:pPr>
              <w:spacing w:after="0" w:line="240" w:lineRule="auto"/>
              <w:jc w:val="center"/>
              <w:rPr>
                <w:rFonts w:ascii="Calibri" w:hAnsi="Calibri" w:cs="Calibri"/>
                <w:b/>
                <w:bCs/>
              </w:rPr>
            </w:pPr>
            <w:r w:rsidRPr="00223886">
              <w:rPr>
                <w:rFonts w:ascii="Calibri" w:hAnsi="Calibri" w:cs="Calibri"/>
                <w:b/>
                <w:bCs/>
                <w:lang w:val="en-US"/>
              </w:rPr>
              <w:lastRenderedPageBreak/>
              <w:t>Research Question</w:t>
            </w:r>
          </w:p>
        </w:tc>
        <w:tc>
          <w:tcPr>
            <w:tcW w:w="535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5" w:type="dxa"/>
              <w:left w:w="149" w:type="dxa"/>
              <w:bottom w:w="75" w:type="dxa"/>
              <w:right w:w="149" w:type="dxa"/>
            </w:tcMar>
            <w:vAlign w:val="center"/>
            <w:hideMark/>
          </w:tcPr>
          <w:p w14:paraId="47417C47" w14:textId="77777777" w:rsidR="00F00E3D" w:rsidRPr="00223886" w:rsidRDefault="00F00E3D" w:rsidP="00911666">
            <w:pPr>
              <w:spacing w:after="0" w:line="240" w:lineRule="auto"/>
              <w:jc w:val="center"/>
              <w:rPr>
                <w:rFonts w:ascii="Calibri" w:hAnsi="Calibri" w:cs="Calibri"/>
                <w:b/>
                <w:bCs/>
              </w:rPr>
            </w:pPr>
            <w:r w:rsidRPr="00223886">
              <w:rPr>
                <w:rFonts w:ascii="Calibri" w:hAnsi="Calibri" w:cs="Calibri"/>
                <w:b/>
                <w:bCs/>
                <w:lang w:val="en-US"/>
              </w:rPr>
              <w:t>Data Collection Method</w:t>
            </w:r>
          </w:p>
        </w:tc>
      </w:tr>
      <w:tr w:rsidR="00F00E3D" w:rsidRPr="00DC2FC2" w14:paraId="73971C2B" w14:textId="77777777" w:rsidTr="006C3E32">
        <w:trPr>
          <w:trHeight w:val="537"/>
        </w:trPr>
        <w:tc>
          <w:tcPr>
            <w:tcW w:w="3901" w:type="dxa"/>
            <w:vMerge/>
            <w:shd w:val="clear" w:color="auto" w:fill="D9D9D9" w:themeFill="background1" w:themeFillShade="D9"/>
            <w:vAlign w:val="center"/>
            <w:hideMark/>
          </w:tcPr>
          <w:p w14:paraId="4011E7ED" w14:textId="77777777" w:rsidR="00F00E3D" w:rsidRPr="00223886" w:rsidRDefault="00F00E3D" w:rsidP="00911666">
            <w:pPr>
              <w:spacing w:after="0" w:line="240" w:lineRule="auto"/>
              <w:jc w:val="center"/>
              <w:rPr>
                <w:rFonts w:ascii="Calibri" w:hAnsi="Calibri" w:cs="Calibri"/>
                <w:b/>
                <w:bCs/>
              </w:rPr>
            </w:pPr>
          </w:p>
        </w:tc>
        <w:tc>
          <w:tcPr>
            <w:tcW w:w="164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5" w:type="dxa"/>
              <w:left w:w="149" w:type="dxa"/>
              <w:bottom w:w="75" w:type="dxa"/>
              <w:right w:w="149" w:type="dxa"/>
            </w:tcMar>
            <w:vAlign w:val="center"/>
            <w:hideMark/>
          </w:tcPr>
          <w:p w14:paraId="09FB4AD0" w14:textId="77777777" w:rsidR="00F00E3D" w:rsidRPr="00223886" w:rsidRDefault="00F00E3D" w:rsidP="00911666">
            <w:pPr>
              <w:spacing w:after="0" w:line="240" w:lineRule="auto"/>
              <w:jc w:val="center"/>
              <w:rPr>
                <w:rFonts w:ascii="Calibri" w:hAnsi="Calibri" w:cs="Calibri"/>
                <w:b/>
                <w:bCs/>
              </w:rPr>
            </w:pPr>
            <w:r w:rsidRPr="00223886">
              <w:rPr>
                <w:rFonts w:ascii="Calibri" w:hAnsi="Calibri" w:cs="Calibri"/>
                <w:b/>
                <w:bCs/>
                <w:lang w:val="en-US"/>
              </w:rPr>
              <w:t>Environmental Scan</w:t>
            </w:r>
          </w:p>
          <w:p w14:paraId="0871CDA1" w14:textId="77777777" w:rsidR="00F00E3D" w:rsidRPr="00223886" w:rsidRDefault="00F00E3D" w:rsidP="00911666">
            <w:pPr>
              <w:spacing w:after="0" w:line="240" w:lineRule="auto"/>
              <w:jc w:val="center"/>
              <w:rPr>
                <w:rFonts w:ascii="Calibri" w:hAnsi="Calibri" w:cs="Calibri"/>
                <w:b/>
                <w:bCs/>
              </w:rPr>
            </w:pPr>
          </w:p>
        </w:tc>
        <w:tc>
          <w:tcPr>
            <w:tcW w:w="24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5" w:type="dxa"/>
              <w:left w:w="149" w:type="dxa"/>
              <w:bottom w:w="75" w:type="dxa"/>
              <w:right w:w="149" w:type="dxa"/>
            </w:tcMar>
            <w:vAlign w:val="center"/>
            <w:hideMark/>
          </w:tcPr>
          <w:p w14:paraId="5597CD29" w14:textId="77777777" w:rsidR="000B3643" w:rsidRPr="00223886" w:rsidRDefault="00940D80" w:rsidP="00CE6BD9">
            <w:pPr>
              <w:spacing w:after="0" w:line="240" w:lineRule="auto"/>
              <w:jc w:val="center"/>
              <w:rPr>
                <w:rFonts w:ascii="Calibri" w:hAnsi="Calibri" w:cs="Calibri"/>
                <w:b/>
                <w:bCs/>
                <w:lang w:val="en-US"/>
              </w:rPr>
            </w:pPr>
            <w:r w:rsidRPr="00223886">
              <w:rPr>
                <w:rFonts w:ascii="Calibri" w:hAnsi="Calibri" w:cs="Calibri"/>
                <w:b/>
                <w:bCs/>
                <w:lang w:val="en-US"/>
              </w:rPr>
              <w:t>COVID</w:t>
            </w:r>
            <w:r w:rsidR="00F00E3D" w:rsidRPr="00223886">
              <w:rPr>
                <w:rFonts w:ascii="Calibri" w:hAnsi="Calibri" w:cs="Calibri"/>
                <w:b/>
                <w:bCs/>
                <w:lang w:val="en-US"/>
              </w:rPr>
              <w:t>-19</w:t>
            </w:r>
          </w:p>
          <w:p w14:paraId="1C8872DD" w14:textId="2D8FF562" w:rsidR="00F00E3D" w:rsidRPr="00223886" w:rsidRDefault="00F00E3D" w:rsidP="00CE6BD9">
            <w:pPr>
              <w:spacing w:after="0" w:line="240" w:lineRule="auto"/>
              <w:jc w:val="center"/>
              <w:rPr>
                <w:rFonts w:ascii="Calibri" w:hAnsi="Calibri" w:cs="Calibri"/>
                <w:b/>
                <w:bCs/>
                <w:lang w:val="en-US"/>
              </w:rPr>
            </w:pPr>
            <w:r w:rsidRPr="00223886">
              <w:rPr>
                <w:rFonts w:ascii="Calibri" w:hAnsi="Calibri" w:cs="Calibri"/>
                <w:b/>
                <w:bCs/>
                <w:lang w:val="en-US"/>
              </w:rPr>
              <w:t>Impact Study</w:t>
            </w:r>
          </w:p>
        </w:tc>
        <w:tc>
          <w:tcPr>
            <w:tcW w:w="130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5" w:type="dxa"/>
              <w:left w:w="149" w:type="dxa"/>
              <w:bottom w:w="75" w:type="dxa"/>
              <w:right w:w="149" w:type="dxa"/>
            </w:tcMar>
            <w:vAlign w:val="center"/>
            <w:hideMark/>
          </w:tcPr>
          <w:p w14:paraId="39AB43DB" w14:textId="5F0ABE10" w:rsidR="00F00E3D" w:rsidRPr="00223886" w:rsidRDefault="00F00E3D" w:rsidP="00911666">
            <w:pPr>
              <w:spacing w:after="0" w:line="240" w:lineRule="auto"/>
              <w:jc w:val="center"/>
              <w:rPr>
                <w:rFonts w:ascii="Calibri" w:hAnsi="Calibri" w:cs="Calibri"/>
                <w:b/>
                <w:bCs/>
                <w:lang w:val="en-US"/>
              </w:rPr>
            </w:pPr>
            <w:r w:rsidRPr="00223886">
              <w:rPr>
                <w:rFonts w:ascii="Calibri" w:hAnsi="Calibri" w:cs="Calibri"/>
                <w:b/>
                <w:bCs/>
                <w:lang w:val="en-US"/>
              </w:rPr>
              <w:t>STICKE Workshop</w:t>
            </w:r>
          </w:p>
          <w:p w14:paraId="3A2A4F2B" w14:textId="06BE48DC" w:rsidR="00B36082" w:rsidRPr="00223886" w:rsidRDefault="00B36082" w:rsidP="00911666">
            <w:pPr>
              <w:spacing w:after="0" w:line="240" w:lineRule="auto"/>
              <w:jc w:val="center"/>
              <w:rPr>
                <w:rFonts w:ascii="Calibri" w:hAnsi="Calibri" w:cs="Calibri"/>
                <w:b/>
                <w:bCs/>
              </w:rPr>
            </w:pPr>
            <w:r w:rsidRPr="00223886">
              <w:rPr>
                <w:rFonts w:ascii="Calibri" w:hAnsi="Calibri" w:cs="Calibri"/>
                <w:b/>
                <w:bCs/>
                <w:lang w:val="en-US"/>
              </w:rPr>
              <w:t>(proposed)</w:t>
            </w:r>
          </w:p>
          <w:p w14:paraId="7A56EB8B" w14:textId="77777777" w:rsidR="00F00E3D" w:rsidRPr="001B71FD" w:rsidRDefault="00F00E3D" w:rsidP="00911666">
            <w:pPr>
              <w:spacing w:after="0" w:line="240" w:lineRule="auto"/>
              <w:jc w:val="center"/>
              <w:rPr>
                <w:rFonts w:ascii="Calibri" w:hAnsi="Calibri" w:cs="Calibri"/>
                <w:b/>
                <w:bCs/>
                <w:color w:val="262626" w:themeColor="text1" w:themeTint="D9"/>
              </w:rPr>
            </w:pPr>
          </w:p>
        </w:tc>
      </w:tr>
      <w:tr w:rsidR="00F00E3D" w:rsidRPr="00DC2FC2" w14:paraId="272AEE81" w14:textId="77777777" w:rsidTr="00D64E8B">
        <w:trPr>
          <w:trHeight w:val="465"/>
        </w:trPr>
        <w:tc>
          <w:tcPr>
            <w:tcW w:w="3901" w:type="dxa"/>
            <w:vMerge/>
            <w:shd w:val="clear" w:color="auto" w:fill="D9D9D9" w:themeFill="background1" w:themeFillShade="D9"/>
            <w:vAlign w:val="center"/>
            <w:hideMark/>
          </w:tcPr>
          <w:p w14:paraId="07209463" w14:textId="77777777" w:rsidR="00F00E3D" w:rsidRPr="00223886" w:rsidRDefault="00F00E3D" w:rsidP="009B2FA7">
            <w:pPr>
              <w:spacing w:after="0" w:line="240" w:lineRule="auto"/>
              <w:jc w:val="center"/>
              <w:rPr>
                <w:rFonts w:ascii="Calibri" w:hAnsi="Calibri" w:cs="Calibri"/>
              </w:rPr>
            </w:pPr>
          </w:p>
        </w:tc>
        <w:tc>
          <w:tcPr>
            <w:tcW w:w="1643" w:type="dxa"/>
            <w:vMerge/>
            <w:shd w:val="clear" w:color="auto" w:fill="D9D9D9" w:themeFill="background1" w:themeFillShade="D9"/>
            <w:tcMar>
              <w:top w:w="13" w:type="dxa"/>
              <w:left w:w="105" w:type="dxa"/>
              <w:bottom w:w="0" w:type="dxa"/>
              <w:right w:w="105" w:type="dxa"/>
            </w:tcMar>
            <w:vAlign w:val="center"/>
          </w:tcPr>
          <w:p w14:paraId="07E949B3" w14:textId="77777777" w:rsidR="00F00E3D" w:rsidRPr="00223886" w:rsidRDefault="00F00E3D" w:rsidP="009B2FA7">
            <w:pPr>
              <w:spacing w:after="0" w:line="240" w:lineRule="auto"/>
              <w:jc w:val="center"/>
              <w:rPr>
                <w:rFonts w:ascii="Calibri" w:hAnsi="Calibri" w:cs="Calibri"/>
              </w:rPr>
            </w:pPr>
          </w:p>
        </w:tc>
        <w:tc>
          <w:tcPr>
            <w:tcW w:w="981" w:type="dxa"/>
            <w:tcBorders>
              <w:top w:val="single" w:sz="8" w:space="0" w:color="000000" w:themeColor="text1"/>
            </w:tcBorders>
            <w:shd w:val="clear" w:color="auto" w:fill="D9D9D9" w:themeFill="background1" w:themeFillShade="D9"/>
            <w:tcMar>
              <w:top w:w="13" w:type="dxa"/>
              <w:left w:w="105" w:type="dxa"/>
              <w:bottom w:w="0" w:type="dxa"/>
              <w:right w:w="105" w:type="dxa"/>
            </w:tcMar>
            <w:vAlign w:val="center"/>
            <w:hideMark/>
          </w:tcPr>
          <w:p w14:paraId="1BBD0031" w14:textId="43217D87" w:rsidR="00F00E3D" w:rsidRPr="00223886" w:rsidRDefault="00F00E3D" w:rsidP="009B2FA7">
            <w:pPr>
              <w:spacing w:after="0" w:line="240" w:lineRule="auto"/>
              <w:jc w:val="center"/>
              <w:rPr>
                <w:rFonts w:ascii="Calibri" w:hAnsi="Calibri" w:cs="Calibri"/>
                <w:b/>
                <w:bCs/>
              </w:rPr>
            </w:pPr>
            <w:r w:rsidRPr="00223886">
              <w:rPr>
                <w:rFonts w:ascii="Calibri" w:hAnsi="Calibri" w:cs="Calibri"/>
                <w:b/>
                <w:bCs/>
                <w:lang w:val="en-US"/>
              </w:rPr>
              <w:t xml:space="preserve">Data </w:t>
            </w:r>
            <w:r w:rsidR="00911666" w:rsidRPr="00223886">
              <w:rPr>
                <w:rFonts w:ascii="Calibri" w:hAnsi="Calibri" w:cs="Calibri"/>
                <w:b/>
                <w:bCs/>
                <w:lang w:val="en-US"/>
              </w:rPr>
              <w:t>S</w:t>
            </w:r>
            <w:r w:rsidRPr="00223886">
              <w:rPr>
                <w:rFonts w:ascii="Calibri" w:hAnsi="Calibri" w:cs="Calibri"/>
                <w:b/>
                <w:bCs/>
                <w:lang w:val="en-US"/>
              </w:rPr>
              <w:t>can</w:t>
            </w:r>
          </w:p>
        </w:tc>
        <w:tc>
          <w:tcPr>
            <w:tcW w:w="1429" w:type="dxa"/>
            <w:tcBorders>
              <w:top w:val="single" w:sz="8" w:space="0" w:color="000000" w:themeColor="text1"/>
            </w:tcBorders>
            <w:shd w:val="clear" w:color="auto" w:fill="D9D9D9" w:themeFill="background1" w:themeFillShade="D9"/>
            <w:tcMar>
              <w:top w:w="13" w:type="dxa"/>
              <w:left w:w="105" w:type="dxa"/>
              <w:bottom w:w="0" w:type="dxa"/>
              <w:right w:w="105" w:type="dxa"/>
            </w:tcMar>
            <w:vAlign w:val="center"/>
            <w:hideMark/>
          </w:tcPr>
          <w:p w14:paraId="3CBD1910" w14:textId="161E8D29" w:rsidR="00F00E3D" w:rsidRPr="00DC2FC2" w:rsidRDefault="00F00E3D" w:rsidP="009B2FA7">
            <w:pPr>
              <w:jc w:val="center"/>
              <w:rPr>
                <w:rFonts w:ascii="Calibri" w:hAnsi="Calibri" w:cs="Calibri"/>
                <w:b/>
                <w:bCs/>
                <w:color w:val="FFFFFF" w:themeColor="background1"/>
                <w:lang w:val="en-US"/>
              </w:rPr>
            </w:pPr>
            <w:r w:rsidRPr="00223886">
              <w:rPr>
                <w:rFonts w:ascii="Calibri" w:hAnsi="Calibri" w:cs="Calibri"/>
                <w:b/>
                <w:bCs/>
                <w:lang w:val="en-US"/>
              </w:rPr>
              <w:t xml:space="preserve">Interviews </w:t>
            </w:r>
            <w:r w:rsidR="000B3643" w:rsidRPr="00223886">
              <w:rPr>
                <w:rFonts w:ascii="Calibri" w:hAnsi="Calibri" w:cs="Calibri"/>
                <w:b/>
                <w:bCs/>
                <w:lang w:val="en-US"/>
              </w:rPr>
              <w:t xml:space="preserve">+ </w:t>
            </w:r>
            <w:r w:rsidRPr="00223886">
              <w:rPr>
                <w:rFonts w:ascii="Calibri" w:hAnsi="Calibri" w:cs="Calibri"/>
                <w:b/>
                <w:bCs/>
                <w:lang w:val="en-US"/>
              </w:rPr>
              <w:t>Focus Group</w:t>
            </w:r>
          </w:p>
        </w:tc>
        <w:tc>
          <w:tcPr>
            <w:tcW w:w="1303" w:type="dxa"/>
            <w:vMerge/>
            <w:shd w:val="clear" w:color="auto" w:fill="D9D9D9" w:themeFill="background1" w:themeFillShade="D9"/>
            <w:vAlign w:val="center"/>
            <w:hideMark/>
          </w:tcPr>
          <w:p w14:paraId="3D775CAB" w14:textId="77777777" w:rsidR="00F00E3D" w:rsidRPr="00DC2FC2" w:rsidRDefault="00F00E3D" w:rsidP="009B2FA7">
            <w:pPr>
              <w:spacing w:after="0" w:line="240" w:lineRule="auto"/>
              <w:jc w:val="center"/>
              <w:rPr>
                <w:rFonts w:ascii="Calibri" w:hAnsi="Calibri" w:cs="Calibri"/>
              </w:rPr>
            </w:pPr>
          </w:p>
        </w:tc>
      </w:tr>
      <w:tr w:rsidR="00F00E3D" w:rsidRPr="00DC2FC2" w14:paraId="29E6EEE1" w14:textId="77777777" w:rsidTr="006C3E32">
        <w:trPr>
          <w:trHeight w:val="762"/>
        </w:trPr>
        <w:tc>
          <w:tcPr>
            <w:tcW w:w="3901" w:type="dxa"/>
            <w:shd w:val="clear" w:color="auto" w:fill="auto"/>
            <w:tcMar>
              <w:top w:w="13" w:type="dxa"/>
              <w:left w:w="105" w:type="dxa"/>
              <w:bottom w:w="0" w:type="dxa"/>
              <w:right w:w="105" w:type="dxa"/>
            </w:tcMar>
            <w:vAlign w:val="center"/>
            <w:hideMark/>
          </w:tcPr>
          <w:p w14:paraId="350C914C" w14:textId="77777777" w:rsidR="00F00E3D" w:rsidRPr="00DC2FC2" w:rsidRDefault="00F00E3D" w:rsidP="009B2FA7">
            <w:pPr>
              <w:spacing w:after="0" w:line="240" w:lineRule="auto"/>
              <w:rPr>
                <w:rFonts w:asciiTheme="majorHAnsi" w:hAnsiTheme="majorHAnsi" w:cstheme="majorHAnsi"/>
                <w:sz w:val="21"/>
                <w:szCs w:val="21"/>
              </w:rPr>
            </w:pPr>
            <w:r w:rsidRPr="00DC2FC2">
              <w:rPr>
                <w:rFonts w:asciiTheme="majorHAnsi" w:hAnsiTheme="majorHAnsi" w:cstheme="majorHAnsi"/>
                <w:sz w:val="21"/>
                <w:szCs w:val="21"/>
              </w:rPr>
              <w:t>1. What are the social and economic factors that drive outcomes, particularly for communities affected by disadvantage?</w:t>
            </w:r>
          </w:p>
        </w:tc>
        <w:tc>
          <w:tcPr>
            <w:tcW w:w="1643" w:type="dxa"/>
            <w:shd w:val="clear" w:color="auto" w:fill="auto"/>
            <w:tcMar>
              <w:top w:w="13" w:type="dxa"/>
              <w:left w:w="105" w:type="dxa"/>
              <w:bottom w:w="0" w:type="dxa"/>
              <w:right w:w="105" w:type="dxa"/>
            </w:tcMar>
            <w:vAlign w:val="center"/>
            <w:hideMark/>
          </w:tcPr>
          <w:p w14:paraId="3E2EE08F" w14:textId="77777777" w:rsidR="00F00E3D" w:rsidRPr="00DC2FC2" w:rsidRDefault="00F00E3D" w:rsidP="009B2FA7">
            <w:pPr>
              <w:spacing w:after="0" w:line="240" w:lineRule="auto"/>
              <w:jc w:val="center"/>
              <w:rPr>
                <w:rFonts w:asciiTheme="majorHAnsi" w:hAnsiTheme="majorHAnsi" w:cstheme="majorHAnsi"/>
                <w:sz w:val="40"/>
                <w:szCs w:val="40"/>
              </w:rPr>
            </w:pPr>
            <w:r w:rsidRPr="00DC2FC2">
              <w:rPr>
                <w:rFonts w:asciiTheme="majorHAnsi" w:hAnsiTheme="majorHAnsi" w:cstheme="majorHAnsi"/>
                <w:sz w:val="40"/>
                <w:szCs w:val="40"/>
                <w:lang w:val="en-US"/>
              </w:rPr>
              <w:t>*</w:t>
            </w:r>
          </w:p>
        </w:tc>
        <w:tc>
          <w:tcPr>
            <w:tcW w:w="981" w:type="dxa"/>
            <w:shd w:val="clear" w:color="auto" w:fill="auto"/>
            <w:tcMar>
              <w:top w:w="13" w:type="dxa"/>
              <w:left w:w="105" w:type="dxa"/>
              <w:bottom w:w="0" w:type="dxa"/>
              <w:right w:w="105" w:type="dxa"/>
            </w:tcMar>
            <w:vAlign w:val="center"/>
            <w:hideMark/>
          </w:tcPr>
          <w:p w14:paraId="2769A086" w14:textId="77777777" w:rsidR="00F00E3D" w:rsidRPr="00DC2FC2" w:rsidRDefault="00F00E3D" w:rsidP="009B2FA7">
            <w:pPr>
              <w:spacing w:after="0" w:line="240" w:lineRule="auto"/>
              <w:jc w:val="center"/>
              <w:rPr>
                <w:rFonts w:asciiTheme="majorHAnsi" w:hAnsiTheme="majorHAnsi" w:cstheme="majorHAnsi"/>
                <w:sz w:val="40"/>
                <w:szCs w:val="40"/>
              </w:rPr>
            </w:pPr>
            <w:r w:rsidRPr="00DC2FC2">
              <w:rPr>
                <w:rFonts w:asciiTheme="majorHAnsi" w:hAnsiTheme="majorHAnsi" w:cstheme="majorHAnsi"/>
                <w:sz w:val="40"/>
                <w:szCs w:val="40"/>
                <w:lang w:val="en-US"/>
              </w:rPr>
              <w:t>*</w:t>
            </w:r>
          </w:p>
        </w:tc>
        <w:tc>
          <w:tcPr>
            <w:tcW w:w="1429" w:type="dxa"/>
            <w:shd w:val="clear" w:color="auto" w:fill="auto"/>
            <w:tcMar>
              <w:top w:w="13" w:type="dxa"/>
              <w:left w:w="105" w:type="dxa"/>
              <w:bottom w:w="0" w:type="dxa"/>
              <w:right w:w="105" w:type="dxa"/>
            </w:tcMar>
            <w:vAlign w:val="center"/>
            <w:hideMark/>
          </w:tcPr>
          <w:p w14:paraId="1A3FEE9A" w14:textId="77777777" w:rsidR="00F00E3D" w:rsidRPr="00DC2FC2" w:rsidRDefault="00F00E3D" w:rsidP="009B2FA7">
            <w:pPr>
              <w:spacing w:after="0" w:line="240" w:lineRule="auto"/>
              <w:jc w:val="center"/>
              <w:rPr>
                <w:rFonts w:asciiTheme="majorHAnsi" w:hAnsiTheme="majorHAnsi" w:cstheme="majorHAnsi"/>
                <w:sz w:val="40"/>
                <w:szCs w:val="40"/>
              </w:rPr>
            </w:pPr>
            <w:r w:rsidRPr="00DC2FC2">
              <w:rPr>
                <w:rFonts w:asciiTheme="majorHAnsi" w:hAnsiTheme="majorHAnsi" w:cstheme="majorHAnsi"/>
                <w:sz w:val="40"/>
                <w:szCs w:val="40"/>
                <w:lang w:val="en-US"/>
              </w:rPr>
              <w:t>*</w:t>
            </w:r>
          </w:p>
        </w:tc>
        <w:tc>
          <w:tcPr>
            <w:tcW w:w="1303" w:type="dxa"/>
            <w:shd w:val="clear" w:color="auto" w:fill="auto"/>
            <w:tcMar>
              <w:top w:w="13" w:type="dxa"/>
              <w:left w:w="105" w:type="dxa"/>
              <w:bottom w:w="0" w:type="dxa"/>
              <w:right w:w="105" w:type="dxa"/>
            </w:tcMar>
            <w:vAlign w:val="center"/>
            <w:hideMark/>
          </w:tcPr>
          <w:p w14:paraId="21B14D15" w14:textId="77777777" w:rsidR="00F00E3D" w:rsidRPr="00DC2FC2" w:rsidRDefault="00F00E3D" w:rsidP="009B2FA7">
            <w:pPr>
              <w:spacing w:after="0" w:line="240" w:lineRule="auto"/>
              <w:jc w:val="center"/>
              <w:rPr>
                <w:rFonts w:asciiTheme="majorHAnsi" w:hAnsiTheme="majorHAnsi" w:cstheme="majorHAnsi"/>
                <w:sz w:val="40"/>
                <w:szCs w:val="40"/>
              </w:rPr>
            </w:pPr>
            <w:r w:rsidRPr="00DC2FC2">
              <w:rPr>
                <w:rFonts w:asciiTheme="majorHAnsi" w:hAnsiTheme="majorHAnsi" w:cstheme="majorHAnsi"/>
                <w:sz w:val="40"/>
                <w:szCs w:val="40"/>
                <w:lang w:val="en-US"/>
              </w:rPr>
              <w:t>*</w:t>
            </w:r>
          </w:p>
        </w:tc>
      </w:tr>
      <w:tr w:rsidR="00F00E3D" w:rsidRPr="000B3643" w14:paraId="193AB859" w14:textId="77777777" w:rsidTr="006C3E32">
        <w:trPr>
          <w:trHeight w:val="762"/>
        </w:trPr>
        <w:tc>
          <w:tcPr>
            <w:tcW w:w="3901" w:type="dxa"/>
            <w:shd w:val="clear" w:color="auto" w:fill="auto"/>
            <w:tcMar>
              <w:top w:w="13" w:type="dxa"/>
              <w:left w:w="105" w:type="dxa"/>
              <w:bottom w:w="0" w:type="dxa"/>
              <w:right w:w="105" w:type="dxa"/>
            </w:tcMar>
            <w:vAlign w:val="center"/>
            <w:hideMark/>
          </w:tcPr>
          <w:p w14:paraId="1B66F5D2" w14:textId="18A3C7C3" w:rsidR="00F00E3D" w:rsidRPr="000B3643" w:rsidRDefault="00F00E3D" w:rsidP="009B2FA7">
            <w:pPr>
              <w:spacing w:after="0" w:line="240" w:lineRule="auto"/>
              <w:rPr>
                <w:rFonts w:asciiTheme="majorHAnsi" w:hAnsiTheme="majorHAnsi" w:cstheme="majorHAnsi"/>
                <w:sz w:val="21"/>
                <w:szCs w:val="21"/>
              </w:rPr>
            </w:pPr>
            <w:r w:rsidRPr="000B3643">
              <w:rPr>
                <w:rFonts w:asciiTheme="majorHAnsi" w:hAnsiTheme="majorHAnsi" w:cstheme="majorHAnsi"/>
                <w:sz w:val="21"/>
                <w:szCs w:val="21"/>
              </w:rPr>
              <w:t>2. What interventions have been used to address these factors to improve community outcomes</w:t>
            </w:r>
            <w:r w:rsidR="002B55C6">
              <w:rPr>
                <w:rFonts w:asciiTheme="majorHAnsi" w:hAnsiTheme="majorHAnsi" w:cstheme="majorHAnsi"/>
                <w:sz w:val="21"/>
                <w:szCs w:val="21"/>
              </w:rPr>
              <w:t xml:space="preserve"> (Australia + global)</w:t>
            </w:r>
            <w:r w:rsidRPr="000B3643">
              <w:rPr>
                <w:rFonts w:asciiTheme="majorHAnsi" w:hAnsiTheme="majorHAnsi" w:cstheme="majorHAnsi"/>
                <w:sz w:val="21"/>
                <w:szCs w:val="21"/>
              </w:rPr>
              <w:t>?</w:t>
            </w:r>
          </w:p>
        </w:tc>
        <w:tc>
          <w:tcPr>
            <w:tcW w:w="1643" w:type="dxa"/>
            <w:shd w:val="clear" w:color="auto" w:fill="auto"/>
            <w:tcMar>
              <w:top w:w="13" w:type="dxa"/>
              <w:left w:w="105" w:type="dxa"/>
              <w:bottom w:w="0" w:type="dxa"/>
              <w:right w:w="105" w:type="dxa"/>
            </w:tcMar>
            <w:vAlign w:val="center"/>
            <w:hideMark/>
          </w:tcPr>
          <w:p w14:paraId="57F14916" w14:textId="77777777" w:rsidR="00F00E3D" w:rsidRPr="000B3643" w:rsidRDefault="00F00E3D" w:rsidP="009B2FA7">
            <w:pPr>
              <w:spacing w:after="0" w:line="240" w:lineRule="auto"/>
              <w:jc w:val="center"/>
              <w:rPr>
                <w:rFonts w:asciiTheme="majorHAnsi" w:hAnsiTheme="majorHAnsi" w:cstheme="majorHAnsi"/>
                <w:sz w:val="40"/>
                <w:szCs w:val="40"/>
              </w:rPr>
            </w:pPr>
            <w:r w:rsidRPr="000B3643">
              <w:rPr>
                <w:rFonts w:asciiTheme="majorHAnsi" w:hAnsiTheme="majorHAnsi" w:cstheme="majorHAnsi"/>
                <w:sz w:val="40"/>
                <w:szCs w:val="40"/>
                <w:lang w:val="en-US"/>
              </w:rPr>
              <w:t>*</w:t>
            </w:r>
          </w:p>
        </w:tc>
        <w:tc>
          <w:tcPr>
            <w:tcW w:w="981" w:type="dxa"/>
            <w:shd w:val="clear" w:color="auto" w:fill="auto"/>
            <w:tcMar>
              <w:top w:w="13" w:type="dxa"/>
              <w:left w:w="105" w:type="dxa"/>
              <w:bottom w:w="0" w:type="dxa"/>
              <w:right w:w="105" w:type="dxa"/>
            </w:tcMar>
            <w:vAlign w:val="center"/>
            <w:hideMark/>
          </w:tcPr>
          <w:p w14:paraId="5E8DBBFD" w14:textId="77777777" w:rsidR="00F00E3D" w:rsidRPr="000B3643" w:rsidRDefault="00F00E3D" w:rsidP="009B2FA7">
            <w:pPr>
              <w:spacing w:after="0" w:line="240" w:lineRule="auto"/>
              <w:jc w:val="center"/>
              <w:rPr>
                <w:rFonts w:asciiTheme="majorHAnsi" w:hAnsiTheme="majorHAnsi" w:cstheme="majorHAnsi"/>
                <w:sz w:val="40"/>
                <w:szCs w:val="40"/>
              </w:rPr>
            </w:pPr>
          </w:p>
        </w:tc>
        <w:tc>
          <w:tcPr>
            <w:tcW w:w="1429" w:type="dxa"/>
            <w:shd w:val="clear" w:color="auto" w:fill="auto"/>
            <w:tcMar>
              <w:top w:w="13" w:type="dxa"/>
              <w:left w:w="105" w:type="dxa"/>
              <w:bottom w:w="0" w:type="dxa"/>
              <w:right w:w="105" w:type="dxa"/>
            </w:tcMar>
            <w:vAlign w:val="center"/>
            <w:hideMark/>
          </w:tcPr>
          <w:p w14:paraId="7E71C16E" w14:textId="77777777" w:rsidR="00F00E3D" w:rsidRPr="000B3643" w:rsidRDefault="00F00E3D" w:rsidP="009B2FA7">
            <w:pPr>
              <w:spacing w:after="0" w:line="240" w:lineRule="auto"/>
              <w:jc w:val="center"/>
              <w:rPr>
                <w:rFonts w:asciiTheme="majorHAnsi" w:hAnsiTheme="majorHAnsi" w:cstheme="majorHAnsi"/>
                <w:sz w:val="40"/>
                <w:szCs w:val="40"/>
              </w:rPr>
            </w:pPr>
          </w:p>
        </w:tc>
        <w:tc>
          <w:tcPr>
            <w:tcW w:w="1303" w:type="dxa"/>
            <w:shd w:val="clear" w:color="auto" w:fill="auto"/>
            <w:tcMar>
              <w:top w:w="13" w:type="dxa"/>
              <w:left w:w="105" w:type="dxa"/>
              <w:bottom w:w="0" w:type="dxa"/>
              <w:right w:w="105" w:type="dxa"/>
            </w:tcMar>
            <w:vAlign w:val="center"/>
            <w:hideMark/>
          </w:tcPr>
          <w:p w14:paraId="6D16A812" w14:textId="77777777" w:rsidR="00F00E3D" w:rsidRPr="000B3643" w:rsidRDefault="00F00E3D" w:rsidP="009B2FA7">
            <w:pPr>
              <w:spacing w:after="0" w:line="240" w:lineRule="auto"/>
              <w:jc w:val="center"/>
              <w:rPr>
                <w:rFonts w:asciiTheme="majorHAnsi" w:hAnsiTheme="majorHAnsi" w:cstheme="majorHAnsi"/>
                <w:sz w:val="40"/>
                <w:szCs w:val="40"/>
              </w:rPr>
            </w:pPr>
          </w:p>
        </w:tc>
      </w:tr>
      <w:tr w:rsidR="00F00E3D" w:rsidRPr="000B3643" w14:paraId="3366832C" w14:textId="77777777" w:rsidTr="006C3E32">
        <w:trPr>
          <w:trHeight w:val="1015"/>
        </w:trPr>
        <w:tc>
          <w:tcPr>
            <w:tcW w:w="3901" w:type="dxa"/>
            <w:shd w:val="clear" w:color="auto" w:fill="auto"/>
            <w:tcMar>
              <w:top w:w="13" w:type="dxa"/>
              <w:left w:w="105" w:type="dxa"/>
              <w:bottom w:w="0" w:type="dxa"/>
              <w:right w:w="105" w:type="dxa"/>
            </w:tcMar>
            <w:vAlign w:val="center"/>
            <w:hideMark/>
          </w:tcPr>
          <w:p w14:paraId="7CBEE0E8" w14:textId="3EF320EB" w:rsidR="00F00E3D" w:rsidRPr="000B3643" w:rsidRDefault="00F00E3D" w:rsidP="009B2FA7">
            <w:pPr>
              <w:spacing w:after="0" w:line="240" w:lineRule="auto"/>
              <w:rPr>
                <w:rFonts w:asciiTheme="majorHAnsi" w:hAnsiTheme="majorHAnsi" w:cstheme="majorHAnsi"/>
                <w:sz w:val="21"/>
                <w:szCs w:val="21"/>
              </w:rPr>
            </w:pPr>
            <w:r w:rsidRPr="000B3643">
              <w:rPr>
                <w:rFonts w:asciiTheme="majorHAnsi" w:hAnsiTheme="majorHAnsi" w:cstheme="majorHAnsi"/>
                <w:sz w:val="21"/>
                <w:szCs w:val="21"/>
              </w:rPr>
              <w:t xml:space="preserve">3. What </w:t>
            </w:r>
            <w:r w:rsidR="003A1425">
              <w:rPr>
                <w:rFonts w:asciiTheme="majorHAnsi" w:hAnsiTheme="majorHAnsi" w:cstheme="majorHAnsi"/>
                <w:sz w:val="21"/>
                <w:szCs w:val="21"/>
              </w:rPr>
              <w:t>f</w:t>
            </w:r>
            <w:r w:rsidRPr="000B3643">
              <w:rPr>
                <w:rFonts w:asciiTheme="majorHAnsi" w:hAnsiTheme="majorHAnsi" w:cstheme="majorHAnsi"/>
                <w:sz w:val="21"/>
                <w:szCs w:val="21"/>
              </w:rPr>
              <w:t>ederal</w:t>
            </w:r>
            <w:r w:rsidR="00911666">
              <w:rPr>
                <w:rFonts w:asciiTheme="majorHAnsi" w:hAnsiTheme="majorHAnsi" w:cstheme="majorHAnsi"/>
                <w:sz w:val="21"/>
                <w:szCs w:val="21"/>
              </w:rPr>
              <w:t xml:space="preserve"> </w:t>
            </w:r>
            <w:r w:rsidRPr="000B3643">
              <w:rPr>
                <w:rFonts w:asciiTheme="majorHAnsi" w:hAnsiTheme="majorHAnsi" w:cstheme="majorHAnsi"/>
                <w:sz w:val="21"/>
                <w:szCs w:val="21"/>
              </w:rPr>
              <w:t xml:space="preserve">and </w:t>
            </w:r>
            <w:r w:rsidR="003A1425">
              <w:rPr>
                <w:rFonts w:asciiTheme="majorHAnsi" w:hAnsiTheme="majorHAnsi" w:cstheme="majorHAnsi"/>
                <w:sz w:val="21"/>
                <w:szCs w:val="21"/>
              </w:rPr>
              <w:t>s</w:t>
            </w:r>
            <w:r w:rsidRPr="000B3643">
              <w:rPr>
                <w:rFonts w:asciiTheme="majorHAnsi" w:hAnsiTheme="majorHAnsi" w:cstheme="majorHAnsi"/>
                <w:sz w:val="21"/>
                <w:szCs w:val="21"/>
              </w:rPr>
              <w:t>tate</w:t>
            </w:r>
            <w:r w:rsidR="003F17DB">
              <w:rPr>
                <w:rFonts w:asciiTheme="majorHAnsi" w:hAnsiTheme="majorHAnsi" w:cstheme="majorHAnsi"/>
                <w:sz w:val="21"/>
                <w:szCs w:val="21"/>
              </w:rPr>
              <w:t xml:space="preserve"> </w:t>
            </w:r>
            <w:r w:rsidRPr="000B3643">
              <w:rPr>
                <w:rFonts w:asciiTheme="majorHAnsi" w:hAnsiTheme="majorHAnsi" w:cstheme="majorHAnsi"/>
                <w:sz w:val="21"/>
                <w:szCs w:val="21"/>
              </w:rPr>
              <w:t>policies, programs</w:t>
            </w:r>
            <w:r w:rsidR="00CE6BD9">
              <w:rPr>
                <w:rFonts w:asciiTheme="majorHAnsi" w:hAnsiTheme="majorHAnsi" w:cstheme="majorHAnsi"/>
                <w:sz w:val="21"/>
                <w:szCs w:val="21"/>
              </w:rPr>
              <w:t>,</w:t>
            </w:r>
            <w:r w:rsidRPr="000B3643">
              <w:rPr>
                <w:rFonts w:asciiTheme="majorHAnsi" w:hAnsiTheme="majorHAnsi" w:cstheme="majorHAnsi"/>
                <w:sz w:val="21"/>
                <w:szCs w:val="21"/>
              </w:rPr>
              <w:t xml:space="preserve"> and funding</w:t>
            </w:r>
            <w:r w:rsidR="00625598">
              <w:rPr>
                <w:rFonts w:asciiTheme="majorHAnsi" w:hAnsiTheme="majorHAnsi" w:cstheme="majorHAnsi"/>
                <w:sz w:val="21"/>
                <w:szCs w:val="21"/>
              </w:rPr>
              <w:t xml:space="preserve"> opportunities</w:t>
            </w:r>
            <w:r w:rsidRPr="000B3643">
              <w:rPr>
                <w:rFonts w:asciiTheme="majorHAnsi" w:hAnsiTheme="majorHAnsi" w:cstheme="majorHAnsi"/>
                <w:sz w:val="21"/>
                <w:szCs w:val="21"/>
              </w:rPr>
              <w:t xml:space="preserve"> target social and economic development to improve community outcomes?</w:t>
            </w:r>
          </w:p>
        </w:tc>
        <w:tc>
          <w:tcPr>
            <w:tcW w:w="1643" w:type="dxa"/>
            <w:shd w:val="clear" w:color="auto" w:fill="auto"/>
            <w:tcMar>
              <w:top w:w="13" w:type="dxa"/>
              <w:left w:w="105" w:type="dxa"/>
              <w:bottom w:w="0" w:type="dxa"/>
              <w:right w:w="105" w:type="dxa"/>
            </w:tcMar>
            <w:vAlign w:val="center"/>
            <w:hideMark/>
          </w:tcPr>
          <w:p w14:paraId="41C7156C" w14:textId="77777777" w:rsidR="00F00E3D" w:rsidRPr="000B3643" w:rsidRDefault="00F00E3D" w:rsidP="009B2FA7">
            <w:pPr>
              <w:spacing w:after="0" w:line="240" w:lineRule="auto"/>
              <w:jc w:val="center"/>
              <w:rPr>
                <w:rFonts w:asciiTheme="majorHAnsi" w:hAnsiTheme="majorHAnsi" w:cstheme="majorHAnsi"/>
                <w:sz w:val="40"/>
                <w:szCs w:val="40"/>
              </w:rPr>
            </w:pPr>
            <w:r w:rsidRPr="000B3643">
              <w:rPr>
                <w:rFonts w:asciiTheme="majorHAnsi" w:hAnsiTheme="majorHAnsi" w:cstheme="majorHAnsi"/>
                <w:sz w:val="40"/>
                <w:szCs w:val="40"/>
                <w:lang w:val="en-US"/>
              </w:rPr>
              <w:t>*</w:t>
            </w:r>
          </w:p>
        </w:tc>
        <w:tc>
          <w:tcPr>
            <w:tcW w:w="981" w:type="dxa"/>
            <w:shd w:val="clear" w:color="auto" w:fill="auto"/>
            <w:tcMar>
              <w:top w:w="13" w:type="dxa"/>
              <w:left w:w="105" w:type="dxa"/>
              <w:bottom w:w="0" w:type="dxa"/>
              <w:right w:w="105" w:type="dxa"/>
            </w:tcMar>
            <w:vAlign w:val="center"/>
            <w:hideMark/>
          </w:tcPr>
          <w:p w14:paraId="0D8DB4DE" w14:textId="77777777" w:rsidR="00F00E3D" w:rsidRPr="000B3643" w:rsidRDefault="00F00E3D" w:rsidP="009B2FA7">
            <w:pPr>
              <w:spacing w:after="0" w:line="240" w:lineRule="auto"/>
              <w:jc w:val="center"/>
              <w:rPr>
                <w:rFonts w:asciiTheme="majorHAnsi" w:hAnsiTheme="majorHAnsi" w:cstheme="majorHAnsi"/>
                <w:sz w:val="40"/>
                <w:szCs w:val="40"/>
              </w:rPr>
            </w:pPr>
          </w:p>
        </w:tc>
        <w:tc>
          <w:tcPr>
            <w:tcW w:w="1429" w:type="dxa"/>
            <w:shd w:val="clear" w:color="auto" w:fill="auto"/>
            <w:tcMar>
              <w:top w:w="13" w:type="dxa"/>
              <w:left w:w="105" w:type="dxa"/>
              <w:bottom w:w="0" w:type="dxa"/>
              <w:right w:w="105" w:type="dxa"/>
            </w:tcMar>
            <w:vAlign w:val="center"/>
            <w:hideMark/>
          </w:tcPr>
          <w:p w14:paraId="106059F4" w14:textId="77777777" w:rsidR="00F00E3D" w:rsidRPr="000B3643" w:rsidRDefault="00F00E3D" w:rsidP="009B2FA7">
            <w:pPr>
              <w:spacing w:after="0" w:line="240" w:lineRule="auto"/>
              <w:jc w:val="center"/>
              <w:rPr>
                <w:rFonts w:asciiTheme="majorHAnsi" w:hAnsiTheme="majorHAnsi" w:cstheme="majorHAnsi"/>
                <w:sz w:val="40"/>
                <w:szCs w:val="40"/>
              </w:rPr>
            </w:pPr>
          </w:p>
        </w:tc>
        <w:tc>
          <w:tcPr>
            <w:tcW w:w="1303" w:type="dxa"/>
            <w:shd w:val="clear" w:color="auto" w:fill="auto"/>
            <w:tcMar>
              <w:top w:w="13" w:type="dxa"/>
              <w:left w:w="105" w:type="dxa"/>
              <w:bottom w:w="0" w:type="dxa"/>
              <w:right w:w="105" w:type="dxa"/>
            </w:tcMar>
            <w:vAlign w:val="center"/>
            <w:hideMark/>
          </w:tcPr>
          <w:p w14:paraId="5B67AD0C" w14:textId="77777777" w:rsidR="00F00E3D" w:rsidRPr="000B3643" w:rsidRDefault="00F00E3D" w:rsidP="009B2FA7">
            <w:pPr>
              <w:spacing w:after="0" w:line="240" w:lineRule="auto"/>
              <w:jc w:val="center"/>
              <w:rPr>
                <w:rFonts w:asciiTheme="majorHAnsi" w:hAnsiTheme="majorHAnsi" w:cstheme="majorHAnsi"/>
                <w:sz w:val="40"/>
                <w:szCs w:val="40"/>
              </w:rPr>
            </w:pPr>
          </w:p>
        </w:tc>
      </w:tr>
      <w:tr w:rsidR="00F00E3D" w:rsidRPr="000B3643" w14:paraId="33924CE5" w14:textId="77777777" w:rsidTr="006C3E32">
        <w:trPr>
          <w:trHeight w:val="508"/>
        </w:trPr>
        <w:tc>
          <w:tcPr>
            <w:tcW w:w="3901" w:type="dxa"/>
            <w:shd w:val="clear" w:color="auto" w:fill="auto"/>
            <w:tcMar>
              <w:top w:w="13" w:type="dxa"/>
              <w:left w:w="105" w:type="dxa"/>
              <w:bottom w:w="0" w:type="dxa"/>
              <w:right w:w="105" w:type="dxa"/>
            </w:tcMar>
            <w:vAlign w:val="center"/>
            <w:hideMark/>
          </w:tcPr>
          <w:p w14:paraId="7EC2F257" w14:textId="6FC69A1C" w:rsidR="00F00E3D" w:rsidRPr="000B3643" w:rsidRDefault="00F00E3D" w:rsidP="009B2FA7">
            <w:pPr>
              <w:spacing w:after="0" w:line="240" w:lineRule="auto"/>
              <w:rPr>
                <w:rFonts w:asciiTheme="majorHAnsi" w:hAnsiTheme="majorHAnsi" w:cstheme="majorHAnsi"/>
                <w:sz w:val="21"/>
                <w:szCs w:val="21"/>
              </w:rPr>
            </w:pPr>
            <w:r w:rsidRPr="000B3643">
              <w:rPr>
                <w:rFonts w:asciiTheme="majorHAnsi" w:hAnsiTheme="majorHAnsi" w:cstheme="majorHAnsi"/>
                <w:sz w:val="21"/>
                <w:szCs w:val="21"/>
              </w:rPr>
              <w:t xml:space="preserve">4. What policy gaps </w:t>
            </w:r>
            <w:r w:rsidR="00454BAA">
              <w:rPr>
                <w:rFonts w:asciiTheme="majorHAnsi" w:hAnsiTheme="majorHAnsi" w:cstheme="majorHAnsi"/>
                <w:sz w:val="21"/>
                <w:szCs w:val="21"/>
              </w:rPr>
              <w:t>could be addressed to improve community outcomes</w:t>
            </w:r>
            <w:r w:rsidR="002B55C6">
              <w:rPr>
                <w:rFonts w:asciiTheme="majorHAnsi" w:hAnsiTheme="majorHAnsi" w:cstheme="majorHAnsi"/>
                <w:sz w:val="21"/>
                <w:szCs w:val="21"/>
              </w:rPr>
              <w:t>?</w:t>
            </w:r>
          </w:p>
        </w:tc>
        <w:tc>
          <w:tcPr>
            <w:tcW w:w="1643" w:type="dxa"/>
            <w:shd w:val="clear" w:color="auto" w:fill="auto"/>
            <w:tcMar>
              <w:top w:w="13" w:type="dxa"/>
              <w:left w:w="105" w:type="dxa"/>
              <w:bottom w:w="0" w:type="dxa"/>
              <w:right w:w="105" w:type="dxa"/>
            </w:tcMar>
            <w:vAlign w:val="center"/>
            <w:hideMark/>
          </w:tcPr>
          <w:p w14:paraId="17D7FF20" w14:textId="77777777" w:rsidR="00F00E3D" w:rsidRPr="00E234B8" w:rsidRDefault="00F00E3D" w:rsidP="009B2FA7">
            <w:pPr>
              <w:spacing w:after="0" w:line="240" w:lineRule="auto"/>
              <w:jc w:val="center"/>
              <w:rPr>
                <w:rFonts w:asciiTheme="majorHAnsi" w:hAnsiTheme="majorHAnsi" w:cstheme="majorHAnsi"/>
                <w:sz w:val="40"/>
                <w:szCs w:val="40"/>
              </w:rPr>
            </w:pPr>
            <w:r w:rsidRPr="00E234B8">
              <w:rPr>
                <w:rFonts w:asciiTheme="majorHAnsi" w:hAnsiTheme="majorHAnsi" w:cstheme="majorHAnsi"/>
                <w:sz w:val="40"/>
                <w:szCs w:val="40"/>
                <w:lang w:val="en-US"/>
              </w:rPr>
              <w:t>*</w:t>
            </w:r>
          </w:p>
        </w:tc>
        <w:tc>
          <w:tcPr>
            <w:tcW w:w="981" w:type="dxa"/>
            <w:shd w:val="clear" w:color="auto" w:fill="auto"/>
            <w:tcMar>
              <w:top w:w="13" w:type="dxa"/>
              <w:left w:w="105" w:type="dxa"/>
              <w:bottom w:w="0" w:type="dxa"/>
              <w:right w:w="105" w:type="dxa"/>
            </w:tcMar>
            <w:vAlign w:val="center"/>
            <w:hideMark/>
          </w:tcPr>
          <w:p w14:paraId="54632A7E" w14:textId="5D594100" w:rsidR="00F00E3D" w:rsidRPr="00E234B8" w:rsidRDefault="00CE6BD9" w:rsidP="009B2FA7">
            <w:pPr>
              <w:spacing w:after="0" w:line="240" w:lineRule="auto"/>
              <w:jc w:val="center"/>
              <w:rPr>
                <w:rFonts w:asciiTheme="majorHAnsi" w:hAnsiTheme="majorHAnsi" w:cstheme="majorHAnsi"/>
                <w:sz w:val="40"/>
                <w:szCs w:val="40"/>
              </w:rPr>
            </w:pPr>
            <w:r w:rsidRPr="00E234B8">
              <w:rPr>
                <w:rFonts w:asciiTheme="majorHAnsi" w:hAnsiTheme="majorHAnsi" w:cstheme="majorHAnsi"/>
                <w:sz w:val="40"/>
                <w:szCs w:val="40"/>
                <w:lang w:val="en-US"/>
              </w:rPr>
              <w:t>*</w:t>
            </w:r>
          </w:p>
        </w:tc>
        <w:tc>
          <w:tcPr>
            <w:tcW w:w="1429" w:type="dxa"/>
            <w:shd w:val="clear" w:color="auto" w:fill="auto"/>
            <w:tcMar>
              <w:top w:w="13" w:type="dxa"/>
              <w:left w:w="105" w:type="dxa"/>
              <w:bottom w:w="0" w:type="dxa"/>
              <w:right w:w="105" w:type="dxa"/>
            </w:tcMar>
            <w:vAlign w:val="center"/>
            <w:hideMark/>
          </w:tcPr>
          <w:p w14:paraId="7B6202A1" w14:textId="4A3F1DCA" w:rsidR="00F00E3D" w:rsidRPr="00E234B8" w:rsidRDefault="00231DB5" w:rsidP="009B2FA7">
            <w:pPr>
              <w:spacing w:after="0" w:line="240" w:lineRule="auto"/>
              <w:jc w:val="center"/>
              <w:rPr>
                <w:rFonts w:asciiTheme="majorHAnsi" w:hAnsiTheme="majorHAnsi" w:cstheme="majorHAnsi"/>
                <w:sz w:val="40"/>
                <w:szCs w:val="40"/>
              </w:rPr>
            </w:pPr>
            <w:r w:rsidRPr="00E234B8">
              <w:rPr>
                <w:rFonts w:asciiTheme="majorHAnsi" w:hAnsiTheme="majorHAnsi" w:cstheme="majorHAnsi"/>
                <w:sz w:val="40"/>
                <w:szCs w:val="40"/>
                <w:lang w:val="en-US"/>
              </w:rPr>
              <w:t>*</w:t>
            </w:r>
          </w:p>
        </w:tc>
        <w:tc>
          <w:tcPr>
            <w:tcW w:w="1303" w:type="dxa"/>
            <w:shd w:val="clear" w:color="auto" w:fill="auto"/>
            <w:tcMar>
              <w:top w:w="13" w:type="dxa"/>
              <w:left w:w="105" w:type="dxa"/>
              <w:bottom w:w="0" w:type="dxa"/>
              <w:right w:w="105" w:type="dxa"/>
            </w:tcMar>
            <w:vAlign w:val="center"/>
            <w:hideMark/>
          </w:tcPr>
          <w:p w14:paraId="7A0BD90A" w14:textId="6B31FD31" w:rsidR="00F00E3D" w:rsidRPr="00E234B8" w:rsidRDefault="00CE6BD9" w:rsidP="009B2FA7">
            <w:pPr>
              <w:spacing w:after="0" w:line="240" w:lineRule="auto"/>
              <w:jc w:val="center"/>
              <w:rPr>
                <w:rFonts w:asciiTheme="majorHAnsi" w:hAnsiTheme="majorHAnsi" w:cstheme="majorHAnsi"/>
                <w:sz w:val="40"/>
                <w:szCs w:val="40"/>
              </w:rPr>
            </w:pPr>
            <w:r w:rsidRPr="00E234B8">
              <w:rPr>
                <w:rFonts w:asciiTheme="majorHAnsi" w:hAnsiTheme="majorHAnsi" w:cstheme="majorHAnsi"/>
                <w:sz w:val="40"/>
                <w:szCs w:val="40"/>
                <w:lang w:val="en-US"/>
              </w:rPr>
              <w:t>*</w:t>
            </w:r>
          </w:p>
        </w:tc>
      </w:tr>
      <w:tr w:rsidR="00F00E3D" w:rsidRPr="000B3643" w14:paraId="54B93323" w14:textId="77777777" w:rsidTr="006C3E32">
        <w:trPr>
          <w:trHeight w:val="512"/>
        </w:trPr>
        <w:tc>
          <w:tcPr>
            <w:tcW w:w="3901" w:type="dxa"/>
            <w:shd w:val="clear" w:color="auto" w:fill="auto"/>
            <w:tcMar>
              <w:top w:w="13" w:type="dxa"/>
              <w:left w:w="105" w:type="dxa"/>
              <w:bottom w:w="0" w:type="dxa"/>
              <w:right w:w="105" w:type="dxa"/>
            </w:tcMar>
            <w:vAlign w:val="center"/>
            <w:hideMark/>
          </w:tcPr>
          <w:p w14:paraId="0E9CB533" w14:textId="4ACBE2C3" w:rsidR="00F00E3D" w:rsidRPr="000B3643" w:rsidRDefault="00F00E3D" w:rsidP="009B2FA7">
            <w:pPr>
              <w:spacing w:after="0" w:line="240" w:lineRule="auto"/>
              <w:rPr>
                <w:rFonts w:asciiTheme="majorHAnsi" w:hAnsiTheme="majorHAnsi" w:cstheme="majorHAnsi"/>
                <w:sz w:val="21"/>
                <w:szCs w:val="21"/>
              </w:rPr>
            </w:pPr>
            <w:r w:rsidRPr="000B3643">
              <w:rPr>
                <w:rFonts w:asciiTheme="majorHAnsi" w:hAnsiTheme="majorHAnsi" w:cstheme="majorHAnsi"/>
                <w:sz w:val="21"/>
                <w:szCs w:val="21"/>
              </w:rPr>
              <w:t xml:space="preserve">5. What are the key issues </w:t>
            </w:r>
            <w:r w:rsidR="008B410A">
              <w:rPr>
                <w:rFonts w:asciiTheme="majorHAnsi" w:hAnsiTheme="majorHAnsi" w:cstheme="majorHAnsi"/>
                <w:sz w:val="21"/>
                <w:szCs w:val="21"/>
              </w:rPr>
              <w:t xml:space="preserve">to be addressed </w:t>
            </w:r>
            <w:r w:rsidRPr="000B3643">
              <w:rPr>
                <w:rFonts w:asciiTheme="majorHAnsi" w:hAnsiTheme="majorHAnsi" w:cstheme="majorHAnsi"/>
                <w:sz w:val="21"/>
                <w:szCs w:val="21"/>
              </w:rPr>
              <w:t>in a</w:t>
            </w:r>
            <w:r w:rsidR="008B410A">
              <w:rPr>
                <w:rFonts w:asciiTheme="majorHAnsi" w:hAnsiTheme="majorHAnsi" w:cstheme="majorHAnsi"/>
                <w:sz w:val="21"/>
                <w:szCs w:val="21"/>
              </w:rPr>
              <w:t xml:space="preserve"> COVID-19</w:t>
            </w:r>
            <w:r w:rsidRPr="000B3643">
              <w:rPr>
                <w:rFonts w:asciiTheme="majorHAnsi" w:hAnsiTheme="majorHAnsi" w:cstheme="majorHAnsi"/>
                <w:sz w:val="21"/>
                <w:szCs w:val="21"/>
              </w:rPr>
              <w:t xml:space="preserve"> </w:t>
            </w:r>
            <w:r w:rsidR="00881210">
              <w:rPr>
                <w:rFonts w:asciiTheme="majorHAnsi" w:hAnsiTheme="majorHAnsi" w:cstheme="majorHAnsi"/>
                <w:sz w:val="21"/>
                <w:szCs w:val="21"/>
              </w:rPr>
              <w:t>i</w:t>
            </w:r>
            <w:r w:rsidRPr="000B3643">
              <w:rPr>
                <w:rFonts w:asciiTheme="majorHAnsi" w:hAnsiTheme="majorHAnsi" w:cstheme="majorHAnsi"/>
                <w:sz w:val="21"/>
                <w:szCs w:val="21"/>
              </w:rPr>
              <w:t xml:space="preserve">mpact </w:t>
            </w:r>
            <w:r w:rsidR="00881210">
              <w:rPr>
                <w:rFonts w:asciiTheme="majorHAnsi" w:hAnsiTheme="majorHAnsi" w:cstheme="majorHAnsi"/>
                <w:sz w:val="21"/>
                <w:szCs w:val="21"/>
              </w:rPr>
              <w:t>a</w:t>
            </w:r>
            <w:r w:rsidRPr="000B3643">
              <w:rPr>
                <w:rFonts w:asciiTheme="majorHAnsi" w:hAnsiTheme="majorHAnsi" w:cstheme="majorHAnsi"/>
                <w:sz w:val="21"/>
                <w:szCs w:val="21"/>
              </w:rPr>
              <w:t>ssessment?</w:t>
            </w:r>
          </w:p>
        </w:tc>
        <w:tc>
          <w:tcPr>
            <w:tcW w:w="1643" w:type="dxa"/>
            <w:shd w:val="clear" w:color="auto" w:fill="auto"/>
            <w:tcMar>
              <w:top w:w="13" w:type="dxa"/>
              <w:left w:w="105" w:type="dxa"/>
              <w:bottom w:w="0" w:type="dxa"/>
              <w:right w:w="105" w:type="dxa"/>
            </w:tcMar>
            <w:vAlign w:val="center"/>
            <w:hideMark/>
          </w:tcPr>
          <w:p w14:paraId="2F5F482E" w14:textId="77777777" w:rsidR="00F00E3D" w:rsidRPr="000B3643" w:rsidRDefault="00F00E3D" w:rsidP="00B42BA0">
            <w:pPr>
              <w:spacing w:after="0" w:line="240" w:lineRule="auto"/>
              <w:jc w:val="center"/>
              <w:rPr>
                <w:rFonts w:asciiTheme="majorHAnsi" w:hAnsiTheme="majorHAnsi" w:cstheme="majorHAnsi"/>
                <w:sz w:val="40"/>
                <w:szCs w:val="40"/>
              </w:rPr>
            </w:pPr>
          </w:p>
        </w:tc>
        <w:tc>
          <w:tcPr>
            <w:tcW w:w="981" w:type="dxa"/>
            <w:shd w:val="clear" w:color="auto" w:fill="auto"/>
            <w:tcMar>
              <w:top w:w="13" w:type="dxa"/>
              <w:left w:w="105" w:type="dxa"/>
              <w:bottom w:w="0" w:type="dxa"/>
              <w:right w:w="105" w:type="dxa"/>
            </w:tcMar>
            <w:vAlign w:val="center"/>
            <w:hideMark/>
          </w:tcPr>
          <w:p w14:paraId="7560CE7F" w14:textId="77777777" w:rsidR="00F00E3D" w:rsidRPr="000B3643" w:rsidRDefault="00F00E3D" w:rsidP="009B2FA7">
            <w:pPr>
              <w:spacing w:after="0" w:line="240" w:lineRule="auto"/>
              <w:jc w:val="center"/>
              <w:rPr>
                <w:rFonts w:asciiTheme="majorHAnsi" w:hAnsiTheme="majorHAnsi" w:cstheme="majorHAnsi"/>
                <w:sz w:val="40"/>
                <w:szCs w:val="40"/>
              </w:rPr>
            </w:pPr>
            <w:r w:rsidRPr="000B3643">
              <w:rPr>
                <w:rFonts w:asciiTheme="majorHAnsi" w:hAnsiTheme="majorHAnsi" w:cstheme="majorHAnsi"/>
                <w:sz w:val="40"/>
                <w:szCs w:val="40"/>
                <w:lang w:val="en-US"/>
              </w:rPr>
              <w:t>*</w:t>
            </w:r>
          </w:p>
        </w:tc>
        <w:tc>
          <w:tcPr>
            <w:tcW w:w="1429" w:type="dxa"/>
            <w:shd w:val="clear" w:color="auto" w:fill="auto"/>
            <w:tcMar>
              <w:top w:w="13" w:type="dxa"/>
              <w:left w:w="105" w:type="dxa"/>
              <w:bottom w:w="0" w:type="dxa"/>
              <w:right w:w="105" w:type="dxa"/>
            </w:tcMar>
            <w:vAlign w:val="center"/>
            <w:hideMark/>
          </w:tcPr>
          <w:p w14:paraId="1DDECA69" w14:textId="77777777" w:rsidR="00F00E3D" w:rsidRPr="000B3643" w:rsidRDefault="00F00E3D" w:rsidP="009B2FA7">
            <w:pPr>
              <w:spacing w:after="0" w:line="240" w:lineRule="auto"/>
              <w:jc w:val="center"/>
              <w:rPr>
                <w:rFonts w:asciiTheme="majorHAnsi" w:hAnsiTheme="majorHAnsi" w:cstheme="majorHAnsi"/>
                <w:sz w:val="40"/>
                <w:szCs w:val="40"/>
              </w:rPr>
            </w:pPr>
          </w:p>
        </w:tc>
        <w:tc>
          <w:tcPr>
            <w:tcW w:w="1303" w:type="dxa"/>
            <w:shd w:val="clear" w:color="auto" w:fill="auto"/>
            <w:tcMar>
              <w:top w:w="13" w:type="dxa"/>
              <w:left w:w="105" w:type="dxa"/>
              <w:bottom w:w="0" w:type="dxa"/>
              <w:right w:w="105" w:type="dxa"/>
            </w:tcMar>
            <w:vAlign w:val="center"/>
            <w:hideMark/>
          </w:tcPr>
          <w:p w14:paraId="0707E3C2" w14:textId="77777777" w:rsidR="00F00E3D" w:rsidRPr="000B3643" w:rsidRDefault="00F00E3D" w:rsidP="009B2FA7">
            <w:pPr>
              <w:spacing w:after="0" w:line="240" w:lineRule="auto"/>
              <w:jc w:val="center"/>
              <w:rPr>
                <w:rFonts w:asciiTheme="majorHAnsi" w:hAnsiTheme="majorHAnsi" w:cstheme="majorHAnsi"/>
                <w:sz w:val="40"/>
                <w:szCs w:val="40"/>
              </w:rPr>
            </w:pPr>
          </w:p>
        </w:tc>
      </w:tr>
      <w:tr w:rsidR="00F00E3D" w:rsidRPr="000B3643" w14:paraId="1F384CB3" w14:textId="77777777" w:rsidTr="006C3E32">
        <w:trPr>
          <w:trHeight w:val="492"/>
        </w:trPr>
        <w:tc>
          <w:tcPr>
            <w:tcW w:w="3901" w:type="dxa"/>
            <w:shd w:val="clear" w:color="auto" w:fill="auto"/>
            <w:tcMar>
              <w:top w:w="13" w:type="dxa"/>
              <w:left w:w="105" w:type="dxa"/>
              <w:bottom w:w="0" w:type="dxa"/>
              <w:right w:w="105" w:type="dxa"/>
            </w:tcMar>
            <w:vAlign w:val="center"/>
            <w:hideMark/>
          </w:tcPr>
          <w:p w14:paraId="5FEB9F41" w14:textId="77777777" w:rsidR="00F00E3D" w:rsidRPr="000B3643" w:rsidRDefault="00F00E3D" w:rsidP="009B2FA7">
            <w:pPr>
              <w:spacing w:after="0" w:line="240" w:lineRule="auto"/>
              <w:rPr>
                <w:rFonts w:asciiTheme="majorHAnsi" w:hAnsiTheme="majorHAnsi" w:cstheme="majorHAnsi"/>
                <w:sz w:val="21"/>
                <w:szCs w:val="21"/>
              </w:rPr>
            </w:pPr>
            <w:bookmarkStart w:id="11" w:name="_Hlk70782240"/>
            <w:r w:rsidRPr="000B3643">
              <w:rPr>
                <w:rFonts w:asciiTheme="majorHAnsi" w:hAnsiTheme="majorHAnsi" w:cstheme="majorHAnsi"/>
                <w:sz w:val="21"/>
                <w:szCs w:val="21"/>
              </w:rPr>
              <w:t>6. How have “disadvantaged” communities in Geelong dealt with the pandemic?</w:t>
            </w:r>
          </w:p>
        </w:tc>
        <w:tc>
          <w:tcPr>
            <w:tcW w:w="1643" w:type="dxa"/>
            <w:shd w:val="clear" w:color="auto" w:fill="auto"/>
            <w:tcMar>
              <w:top w:w="13" w:type="dxa"/>
              <w:left w:w="105" w:type="dxa"/>
              <w:bottom w:w="0" w:type="dxa"/>
              <w:right w:w="105" w:type="dxa"/>
            </w:tcMar>
            <w:vAlign w:val="center"/>
            <w:hideMark/>
          </w:tcPr>
          <w:p w14:paraId="327901CE" w14:textId="77777777" w:rsidR="00F00E3D" w:rsidRPr="000B3643" w:rsidRDefault="00F00E3D" w:rsidP="00B42BA0">
            <w:pPr>
              <w:spacing w:after="0" w:line="240" w:lineRule="auto"/>
              <w:jc w:val="center"/>
              <w:rPr>
                <w:rFonts w:asciiTheme="majorHAnsi" w:hAnsiTheme="majorHAnsi" w:cstheme="majorHAnsi"/>
                <w:sz w:val="40"/>
                <w:szCs w:val="40"/>
              </w:rPr>
            </w:pPr>
          </w:p>
        </w:tc>
        <w:tc>
          <w:tcPr>
            <w:tcW w:w="981" w:type="dxa"/>
            <w:shd w:val="clear" w:color="auto" w:fill="auto"/>
            <w:tcMar>
              <w:top w:w="13" w:type="dxa"/>
              <w:left w:w="105" w:type="dxa"/>
              <w:bottom w:w="0" w:type="dxa"/>
              <w:right w:w="105" w:type="dxa"/>
            </w:tcMar>
            <w:vAlign w:val="center"/>
            <w:hideMark/>
          </w:tcPr>
          <w:p w14:paraId="674708A3" w14:textId="77777777" w:rsidR="00F00E3D" w:rsidRPr="000B3643" w:rsidRDefault="00F00E3D" w:rsidP="009B2FA7">
            <w:pPr>
              <w:spacing w:after="0" w:line="240" w:lineRule="auto"/>
              <w:jc w:val="center"/>
              <w:rPr>
                <w:rFonts w:asciiTheme="majorHAnsi" w:hAnsiTheme="majorHAnsi" w:cstheme="majorHAnsi"/>
                <w:sz w:val="40"/>
                <w:szCs w:val="40"/>
              </w:rPr>
            </w:pPr>
            <w:r w:rsidRPr="000B3643">
              <w:rPr>
                <w:rFonts w:asciiTheme="majorHAnsi" w:hAnsiTheme="majorHAnsi" w:cstheme="majorHAnsi"/>
                <w:sz w:val="40"/>
                <w:szCs w:val="40"/>
                <w:lang w:val="en-US"/>
              </w:rPr>
              <w:t>*</w:t>
            </w:r>
          </w:p>
        </w:tc>
        <w:tc>
          <w:tcPr>
            <w:tcW w:w="1429" w:type="dxa"/>
            <w:shd w:val="clear" w:color="auto" w:fill="auto"/>
            <w:tcMar>
              <w:top w:w="13" w:type="dxa"/>
              <w:left w:w="105" w:type="dxa"/>
              <w:bottom w:w="0" w:type="dxa"/>
              <w:right w:w="105" w:type="dxa"/>
            </w:tcMar>
            <w:vAlign w:val="center"/>
            <w:hideMark/>
          </w:tcPr>
          <w:p w14:paraId="2B233606" w14:textId="77777777" w:rsidR="00F00E3D" w:rsidRPr="000B3643" w:rsidRDefault="00F00E3D" w:rsidP="009B2FA7">
            <w:pPr>
              <w:spacing w:after="0" w:line="240" w:lineRule="auto"/>
              <w:jc w:val="center"/>
              <w:rPr>
                <w:rFonts w:asciiTheme="majorHAnsi" w:hAnsiTheme="majorHAnsi" w:cstheme="majorHAnsi"/>
                <w:sz w:val="40"/>
                <w:szCs w:val="40"/>
              </w:rPr>
            </w:pPr>
            <w:r w:rsidRPr="000B3643">
              <w:rPr>
                <w:rFonts w:asciiTheme="majorHAnsi" w:hAnsiTheme="majorHAnsi" w:cstheme="majorHAnsi"/>
                <w:sz w:val="40"/>
                <w:szCs w:val="40"/>
                <w:lang w:val="en-US"/>
              </w:rPr>
              <w:t>*</w:t>
            </w:r>
          </w:p>
        </w:tc>
        <w:tc>
          <w:tcPr>
            <w:tcW w:w="1303" w:type="dxa"/>
            <w:shd w:val="clear" w:color="auto" w:fill="auto"/>
            <w:tcMar>
              <w:top w:w="13" w:type="dxa"/>
              <w:left w:w="105" w:type="dxa"/>
              <w:bottom w:w="0" w:type="dxa"/>
              <w:right w:w="105" w:type="dxa"/>
            </w:tcMar>
            <w:vAlign w:val="center"/>
            <w:hideMark/>
          </w:tcPr>
          <w:p w14:paraId="00DC51BC" w14:textId="77777777" w:rsidR="00F00E3D" w:rsidRPr="000B3643" w:rsidRDefault="00F00E3D" w:rsidP="009B2FA7">
            <w:pPr>
              <w:spacing w:after="0" w:line="240" w:lineRule="auto"/>
              <w:jc w:val="center"/>
              <w:rPr>
                <w:rFonts w:asciiTheme="majorHAnsi" w:hAnsiTheme="majorHAnsi" w:cstheme="majorHAnsi"/>
                <w:sz w:val="40"/>
                <w:szCs w:val="40"/>
              </w:rPr>
            </w:pPr>
          </w:p>
        </w:tc>
      </w:tr>
      <w:tr w:rsidR="00F00E3D" w:rsidRPr="000B3643" w14:paraId="5E4A8256" w14:textId="77777777" w:rsidTr="006C3E32">
        <w:trPr>
          <w:trHeight w:val="642"/>
        </w:trPr>
        <w:tc>
          <w:tcPr>
            <w:tcW w:w="3901" w:type="dxa"/>
            <w:shd w:val="clear" w:color="auto" w:fill="auto"/>
            <w:tcMar>
              <w:top w:w="13" w:type="dxa"/>
              <w:left w:w="105" w:type="dxa"/>
              <w:bottom w:w="0" w:type="dxa"/>
              <w:right w:w="105" w:type="dxa"/>
            </w:tcMar>
            <w:vAlign w:val="center"/>
            <w:hideMark/>
          </w:tcPr>
          <w:p w14:paraId="4DE339BB" w14:textId="067485A1" w:rsidR="00F00E3D" w:rsidRPr="000B3643" w:rsidRDefault="00F00E3D" w:rsidP="009B2FA7">
            <w:pPr>
              <w:spacing w:after="0" w:line="240" w:lineRule="auto"/>
              <w:rPr>
                <w:rFonts w:asciiTheme="majorHAnsi" w:hAnsiTheme="majorHAnsi" w:cstheme="majorHAnsi"/>
                <w:sz w:val="21"/>
                <w:szCs w:val="21"/>
              </w:rPr>
            </w:pPr>
            <w:r w:rsidRPr="000B3643">
              <w:rPr>
                <w:rFonts w:asciiTheme="majorHAnsi" w:hAnsiTheme="majorHAnsi" w:cstheme="majorHAnsi"/>
                <w:sz w:val="21"/>
                <w:szCs w:val="21"/>
              </w:rPr>
              <w:t xml:space="preserve">7. What factors facilitated </w:t>
            </w:r>
            <w:r w:rsidR="00817780">
              <w:rPr>
                <w:rFonts w:asciiTheme="majorHAnsi" w:hAnsiTheme="majorHAnsi" w:cstheme="majorHAnsi"/>
                <w:sz w:val="21"/>
                <w:szCs w:val="21"/>
              </w:rPr>
              <w:t xml:space="preserve">local </w:t>
            </w:r>
            <w:r w:rsidRPr="000B3643">
              <w:rPr>
                <w:rFonts w:asciiTheme="majorHAnsi" w:hAnsiTheme="majorHAnsi" w:cstheme="majorHAnsi"/>
                <w:sz w:val="21"/>
                <w:szCs w:val="21"/>
              </w:rPr>
              <w:t>economic resilience and affirmed social cohesion?</w:t>
            </w:r>
          </w:p>
        </w:tc>
        <w:tc>
          <w:tcPr>
            <w:tcW w:w="1643" w:type="dxa"/>
            <w:shd w:val="clear" w:color="auto" w:fill="auto"/>
            <w:tcMar>
              <w:top w:w="13" w:type="dxa"/>
              <w:left w:w="105" w:type="dxa"/>
              <w:bottom w:w="0" w:type="dxa"/>
              <w:right w:w="105" w:type="dxa"/>
            </w:tcMar>
            <w:vAlign w:val="center"/>
            <w:hideMark/>
          </w:tcPr>
          <w:p w14:paraId="212AA3F3" w14:textId="77777777" w:rsidR="00F00E3D" w:rsidRPr="000B3643" w:rsidRDefault="00F00E3D" w:rsidP="009B2FA7">
            <w:pPr>
              <w:spacing w:line="240" w:lineRule="auto"/>
              <w:jc w:val="center"/>
              <w:rPr>
                <w:rFonts w:asciiTheme="majorHAnsi" w:hAnsiTheme="majorHAnsi" w:cstheme="majorHAnsi"/>
                <w:sz w:val="40"/>
                <w:szCs w:val="40"/>
              </w:rPr>
            </w:pPr>
          </w:p>
        </w:tc>
        <w:tc>
          <w:tcPr>
            <w:tcW w:w="981" w:type="dxa"/>
            <w:shd w:val="clear" w:color="auto" w:fill="auto"/>
            <w:tcMar>
              <w:top w:w="13" w:type="dxa"/>
              <w:left w:w="105" w:type="dxa"/>
              <w:bottom w:w="0" w:type="dxa"/>
              <w:right w:w="105" w:type="dxa"/>
            </w:tcMar>
            <w:vAlign w:val="center"/>
            <w:hideMark/>
          </w:tcPr>
          <w:p w14:paraId="7BE0575F" w14:textId="0AC722B8" w:rsidR="00F00E3D" w:rsidRPr="000B3643" w:rsidRDefault="00F00E3D" w:rsidP="009B2FA7">
            <w:pPr>
              <w:spacing w:line="240" w:lineRule="auto"/>
              <w:jc w:val="center"/>
              <w:rPr>
                <w:rFonts w:asciiTheme="majorHAnsi" w:hAnsiTheme="majorHAnsi" w:cstheme="majorHAnsi"/>
                <w:sz w:val="40"/>
                <w:szCs w:val="40"/>
                <w:lang w:val="en-US"/>
              </w:rPr>
            </w:pPr>
            <w:r w:rsidRPr="000B3643">
              <w:rPr>
                <w:rFonts w:asciiTheme="majorHAnsi" w:hAnsiTheme="majorHAnsi" w:cstheme="majorHAnsi"/>
                <w:sz w:val="40"/>
                <w:szCs w:val="40"/>
                <w:lang w:val="en-US"/>
              </w:rPr>
              <w:t>*</w:t>
            </w:r>
          </w:p>
        </w:tc>
        <w:tc>
          <w:tcPr>
            <w:tcW w:w="1429" w:type="dxa"/>
            <w:shd w:val="clear" w:color="auto" w:fill="auto"/>
            <w:tcMar>
              <w:top w:w="13" w:type="dxa"/>
              <w:left w:w="105" w:type="dxa"/>
              <w:bottom w:w="0" w:type="dxa"/>
              <w:right w:w="105" w:type="dxa"/>
            </w:tcMar>
            <w:vAlign w:val="center"/>
            <w:hideMark/>
          </w:tcPr>
          <w:p w14:paraId="6884DD42" w14:textId="77777777" w:rsidR="00F00E3D" w:rsidRPr="000B3643" w:rsidRDefault="00F00E3D" w:rsidP="009B2FA7">
            <w:pPr>
              <w:spacing w:line="240" w:lineRule="auto"/>
              <w:jc w:val="center"/>
              <w:rPr>
                <w:rFonts w:asciiTheme="majorHAnsi" w:hAnsiTheme="majorHAnsi" w:cstheme="majorHAnsi"/>
                <w:sz w:val="40"/>
                <w:szCs w:val="40"/>
                <w:lang w:val="en-US"/>
              </w:rPr>
            </w:pPr>
            <w:r w:rsidRPr="000B3643">
              <w:rPr>
                <w:rFonts w:asciiTheme="majorHAnsi" w:hAnsiTheme="majorHAnsi" w:cstheme="majorHAnsi"/>
                <w:sz w:val="40"/>
                <w:szCs w:val="40"/>
                <w:lang w:val="en-US"/>
              </w:rPr>
              <w:t>*</w:t>
            </w:r>
          </w:p>
        </w:tc>
        <w:tc>
          <w:tcPr>
            <w:tcW w:w="1303" w:type="dxa"/>
            <w:shd w:val="clear" w:color="auto" w:fill="auto"/>
            <w:tcMar>
              <w:top w:w="13" w:type="dxa"/>
              <w:left w:w="105" w:type="dxa"/>
              <w:bottom w:w="0" w:type="dxa"/>
              <w:right w:w="105" w:type="dxa"/>
            </w:tcMar>
            <w:vAlign w:val="center"/>
            <w:hideMark/>
          </w:tcPr>
          <w:p w14:paraId="4C290FA8" w14:textId="77777777" w:rsidR="00F00E3D" w:rsidRPr="000B3643" w:rsidRDefault="00F00E3D" w:rsidP="009B2FA7">
            <w:pPr>
              <w:spacing w:line="240" w:lineRule="auto"/>
              <w:jc w:val="center"/>
              <w:rPr>
                <w:rFonts w:asciiTheme="majorHAnsi" w:hAnsiTheme="majorHAnsi" w:cstheme="majorHAnsi"/>
                <w:sz w:val="40"/>
                <w:szCs w:val="40"/>
              </w:rPr>
            </w:pPr>
          </w:p>
        </w:tc>
      </w:tr>
      <w:tr w:rsidR="00F00E3D" w:rsidRPr="000B3643" w14:paraId="43BA90E2" w14:textId="77777777" w:rsidTr="006C3E32">
        <w:trPr>
          <w:trHeight w:val="761"/>
        </w:trPr>
        <w:tc>
          <w:tcPr>
            <w:tcW w:w="3901" w:type="dxa"/>
            <w:shd w:val="clear" w:color="auto" w:fill="auto"/>
            <w:tcMar>
              <w:top w:w="13" w:type="dxa"/>
              <w:left w:w="105" w:type="dxa"/>
              <w:bottom w:w="0" w:type="dxa"/>
              <w:right w:w="105" w:type="dxa"/>
            </w:tcMar>
            <w:vAlign w:val="center"/>
            <w:hideMark/>
          </w:tcPr>
          <w:p w14:paraId="6B770311" w14:textId="6D8B1053" w:rsidR="00F00E3D" w:rsidRPr="000B3643" w:rsidRDefault="00F00E3D" w:rsidP="009B2FA7">
            <w:pPr>
              <w:spacing w:after="0" w:line="240" w:lineRule="auto"/>
              <w:rPr>
                <w:rFonts w:asciiTheme="majorHAnsi" w:hAnsiTheme="majorHAnsi" w:cstheme="majorHAnsi"/>
                <w:sz w:val="21"/>
                <w:szCs w:val="21"/>
              </w:rPr>
            </w:pPr>
            <w:r w:rsidRPr="000B3643">
              <w:rPr>
                <w:rFonts w:asciiTheme="majorHAnsi" w:hAnsiTheme="majorHAnsi" w:cstheme="majorHAnsi"/>
                <w:sz w:val="21"/>
                <w:szCs w:val="21"/>
              </w:rPr>
              <w:t xml:space="preserve">8. What interventions worked best, and what other approaches could have enhanced </w:t>
            </w:r>
            <w:r w:rsidR="0013319C">
              <w:rPr>
                <w:rFonts w:asciiTheme="majorHAnsi" w:hAnsiTheme="majorHAnsi" w:cstheme="majorHAnsi"/>
                <w:sz w:val="21"/>
                <w:szCs w:val="21"/>
              </w:rPr>
              <w:t>residents’</w:t>
            </w:r>
            <w:r w:rsidRPr="000B3643">
              <w:rPr>
                <w:rFonts w:asciiTheme="majorHAnsi" w:hAnsiTheme="majorHAnsi" w:cstheme="majorHAnsi"/>
                <w:sz w:val="21"/>
                <w:szCs w:val="21"/>
              </w:rPr>
              <w:t xml:space="preserve"> experience</w:t>
            </w:r>
            <w:r w:rsidR="00D6549B">
              <w:rPr>
                <w:rFonts w:asciiTheme="majorHAnsi" w:hAnsiTheme="majorHAnsi" w:cstheme="majorHAnsi"/>
                <w:sz w:val="21"/>
                <w:szCs w:val="21"/>
              </w:rPr>
              <w:t>s</w:t>
            </w:r>
            <w:r w:rsidRPr="000B3643">
              <w:rPr>
                <w:rFonts w:asciiTheme="majorHAnsi" w:hAnsiTheme="majorHAnsi" w:cstheme="majorHAnsi"/>
                <w:sz w:val="21"/>
                <w:szCs w:val="21"/>
              </w:rPr>
              <w:t>?</w:t>
            </w:r>
          </w:p>
        </w:tc>
        <w:tc>
          <w:tcPr>
            <w:tcW w:w="1643" w:type="dxa"/>
            <w:shd w:val="clear" w:color="auto" w:fill="auto"/>
            <w:tcMar>
              <w:top w:w="13" w:type="dxa"/>
              <w:left w:w="105" w:type="dxa"/>
              <w:bottom w:w="0" w:type="dxa"/>
              <w:right w:w="105" w:type="dxa"/>
            </w:tcMar>
            <w:vAlign w:val="center"/>
            <w:hideMark/>
          </w:tcPr>
          <w:p w14:paraId="4FBD9D9C" w14:textId="77777777" w:rsidR="00F00E3D" w:rsidRPr="000B3643" w:rsidRDefault="00F00E3D" w:rsidP="009B2FA7">
            <w:pPr>
              <w:spacing w:line="240" w:lineRule="auto"/>
              <w:jc w:val="center"/>
              <w:rPr>
                <w:rFonts w:asciiTheme="majorHAnsi" w:hAnsiTheme="majorHAnsi" w:cstheme="majorHAnsi"/>
                <w:sz w:val="40"/>
                <w:szCs w:val="40"/>
              </w:rPr>
            </w:pPr>
          </w:p>
        </w:tc>
        <w:tc>
          <w:tcPr>
            <w:tcW w:w="981" w:type="dxa"/>
            <w:shd w:val="clear" w:color="auto" w:fill="auto"/>
            <w:tcMar>
              <w:top w:w="13" w:type="dxa"/>
              <w:left w:w="105" w:type="dxa"/>
              <w:bottom w:w="0" w:type="dxa"/>
              <w:right w:w="105" w:type="dxa"/>
            </w:tcMar>
            <w:vAlign w:val="center"/>
            <w:hideMark/>
          </w:tcPr>
          <w:p w14:paraId="38543C05" w14:textId="77777777" w:rsidR="00F00E3D" w:rsidRPr="000B3643" w:rsidRDefault="00F00E3D" w:rsidP="009B2FA7">
            <w:pPr>
              <w:spacing w:line="240" w:lineRule="auto"/>
              <w:jc w:val="center"/>
              <w:rPr>
                <w:rFonts w:asciiTheme="majorHAnsi" w:hAnsiTheme="majorHAnsi" w:cstheme="majorHAnsi"/>
                <w:sz w:val="40"/>
                <w:szCs w:val="40"/>
                <w:lang w:val="en-US"/>
              </w:rPr>
            </w:pPr>
            <w:r w:rsidRPr="000B3643">
              <w:rPr>
                <w:rFonts w:asciiTheme="majorHAnsi" w:hAnsiTheme="majorHAnsi" w:cstheme="majorHAnsi"/>
                <w:sz w:val="40"/>
                <w:szCs w:val="40"/>
                <w:lang w:val="en-US"/>
              </w:rPr>
              <w:t>*</w:t>
            </w:r>
          </w:p>
        </w:tc>
        <w:tc>
          <w:tcPr>
            <w:tcW w:w="1429" w:type="dxa"/>
            <w:shd w:val="clear" w:color="auto" w:fill="auto"/>
            <w:tcMar>
              <w:top w:w="13" w:type="dxa"/>
              <w:left w:w="105" w:type="dxa"/>
              <w:bottom w:w="0" w:type="dxa"/>
              <w:right w:w="105" w:type="dxa"/>
            </w:tcMar>
            <w:vAlign w:val="center"/>
            <w:hideMark/>
          </w:tcPr>
          <w:p w14:paraId="128F5733" w14:textId="77777777" w:rsidR="00F00E3D" w:rsidRPr="000B3643" w:rsidRDefault="00F00E3D" w:rsidP="009B2FA7">
            <w:pPr>
              <w:spacing w:line="240" w:lineRule="auto"/>
              <w:jc w:val="center"/>
              <w:rPr>
                <w:rFonts w:asciiTheme="majorHAnsi" w:hAnsiTheme="majorHAnsi" w:cstheme="majorHAnsi"/>
                <w:sz w:val="40"/>
                <w:szCs w:val="40"/>
                <w:lang w:val="en-US"/>
              </w:rPr>
            </w:pPr>
            <w:r w:rsidRPr="000B3643">
              <w:rPr>
                <w:rFonts w:asciiTheme="majorHAnsi" w:hAnsiTheme="majorHAnsi" w:cstheme="majorHAnsi"/>
                <w:sz w:val="40"/>
                <w:szCs w:val="40"/>
                <w:lang w:val="en-US"/>
              </w:rPr>
              <w:t>*</w:t>
            </w:r>
          </w:p>
        </w:tc>
        <w:tc>
          <w:tcPr>
            <w:tcW w:w="1303" w:type="dxa"/>
            <w:shd w:val="clear" w:color="auto" w:fill="auto"/>
            <w:tcMar>
              <w:top w:w="13" w:type="dxa"/>
              <w:left w:w="105" w:type="dxa"/>
              <w:bottom w:w="0" w:type="dxa"/>
              <w:right w:w="105" w:type="dxa"/>
            </w:tcMar>
            <w:vAlign w:val="center"/>
            <w:hideMark/>
          </w:tcPr>
          <w:p w14:paraId="2010E8AA" w14:textId="77777777" w:rsidR="00F00E3D" w:rsidRPr="000B3643" w:rsidRDefault="00F00E3D" w:rsidP="009B2FA7">
            <w:pPr>
              <w:spacing w:line="240" w:lineRule="auto"/>
              <w:jc w:val="center"/>
              <w:rPr>
                <w:rFonts w:asciiTheme="majorHAnsi" w:hAnsiTheme="majorHAnsi" w:cstheme="majorHAnsi"/>
                <w:sz w:val="40"/>
                <w:szCs w:val="40"/>
              </w:rPr>
            </w:pPr>
          </w:p>
        </w:tc>
      </w:tr>
      <w:tr w:rsidR="00F00E3D" w:rsidRPr="000B3643" w14:paraId="5E018FF4" w14:textId="77777777" w:rsidTr="00D6549B">
        <w:trPr>
          <w:trHeight w:val="151"/>
        </w:trPr>
        <w:tc>
          <w:tcPr>
            <w:tcW w:w="3901" w:type="dxa"/>
            <w:shd w:val="clear" w:color="auto" w:fill="auto"/>
            <w:tcMar>
              <w:top w:w="13" w:type="dxa"/>
              <w:left w:w="105" w:type="dxa"/>
              <w:bottom w:w="0" w:type="dxa"/>
              <w:right w:w="105" w:type="dxa"/>
            </w:tcMar>
            <w:vAlign w:val="center"/>
            <w:hideMark/>
          </w:tcPr>
          <w:p w14:paraId="675500BF" w14:textId="6A5F0DEC" w:rsidR="00F00E3D" w:rsidRPr="000B3643" w:rsidRDefault="00F00E3D" w:rsidP="009B2FA7">
            <w:pPr>
              <w:spacing w:after="0" w:line="240" w:lineRule="auto"/>
              <w:rPr>
                <w:rFonts w:asciiTheme="majorHAnsi" w:hAnsiTheme="majorHAnsi" w:cstheme="majorHAnsi"/>
                <w:sz w:val="21"/>
                <w:szCs w:val="21"/>
              </w:rPr>
            </w:pPr>
            <w:bookmarkStart w:id="12" w:name="_Hlk70782276"/>
            <w:bookmarkEnd w:id="11"/>
            <w:r w:rsidRPr="00CE6BD9">
              <w:rPr>
                <w:rFonts w:asciiTheme="majorHAnsi" w:hAnsiTheme="majorHAnsi" w:cstheme="majorHAnsi"/>
                <w:sz w:val="21"/>
                <w:szCs w:val="21"/>
                <w:lang w:val="en-US"/>
              </w:rPr>
              <w:t xml:space="preserve">9. What system-wide actions might </w:t>
            </w:r>
            <w:r w:rsidR="00CE6BD9" w:rsidRPr="00CE6BD9">
              <w:rPr>
                <w:rFonts w:asciiTheme="majorHAnsi" w:hAnsiTheme="majorHAnsi" w:cstheme="majorHAnsi"/>
                <w:sz w:val="21"/>
                <w:szCs w:val="21"/>
                <w:lang w:val="en-US"/>
              </w:rPr>
              <w:t xml:space="preserve">be taken to </w:t>
            </w:r>
            <w:r w:rsidR="005D4E46" w:rsidRPr="00CE6BD9">
              <w:rPr>
                <w:rFonts w:asciiTheme="majorHAnsi" w:hAnsiTheme="majorHAnsi" w:cstheme="majorHAnsi"/>
                <w:sz w:val="21"/>
                <w:szCs w:val="21"/>
                <w:lang w:val="en-US"/>
              </w:rPr>
              <w:t>overcome obstacles to addressing</w:t>
            </w:r>
            <w:r w:rsidRPr="00CE6BD9">
              <w:rPr>
                <w:rFonts w:asciiTheme="majorHAnsi" w:hAnsiTheme="majorHAnsi" w:cstheme="majorHAnsi"/>
                <w:sz w:val="21"/>
                <w:szCs w:val="21"/>
                <w:lang w:val="en-US"/>
              </w:rPr>
              <w:t xml:space="preserve"> social disadvantage in Geelong?</w:t>
            </w:r>
            <w:bookmarkEnd w:id="12"/>
          </w:p>
        </w:tc>
        <w:tc>
          <w:tcPr>
            <w:tcW w:w="1643" w:type="dxa"/>
            <w:shd w:val="clear" w:color="auto" w:fill="auto"/>
            <w:tcMar>
              <w:top w:w="13" w:type="dxa"/>
              <w:left w:w="105" w:type="dxa"/>
              <w:bottom w:w="0" w:type="dxa"/>
              <w:right w:w="105" w:type="dxa"/>
            </w:tcMar>
            <w:vAlign w:val="center"/>
            <w:hideMark/>
          </w:tcPr>
          <w:p w14:paraId="05DC0099" w14:textId="77777777" w:rsidR="00F00E3D" w:rsidRPr="000B3643" w:rsidRDefault="00F00E3D" w:rsidP="00B42BA0">
            <w:pPr>
              <w:spacing w:after="0" w:line="240" w:lineRule="auto"/>
              <w:jc w:val="center"/>
              <w:rPr>
                <w:rFonts w:asciiTheme="majorHAnsi" w:hAnsiTheme="majorHAnsi" w:cstheme="majorHAnsi"/>
                <w:sz w:val="40"/>
                <w:szCs w:val="40"/>
              </w:rPr>
            </w:pPr>
          </w:p>
        </w:tc>
        <w:tc>
          <w:tcPr>
            <w:tcW w:w="981" w:type="dxa"/>
            <w:shd w:val="clear" w:color="auto" w:fill="auto"/>
            <w:tcMar>
              <w:top w:w="13" w:type="dxa"/>
              <w:left w:w="105" w:type="dxa"/>
              <w:bottom w:w="0" w:type="dxa"/>
              <w:right w:w="105" w:type="dxa"/>
            </w:tcMar>
            <w:vAlign w:val="center"/>
            <w:hideMark/>
          </w:tcPr>
          <w:p w14:paraId="640F97D7" w14:textId="77777777" w:rsidR="00F00E3D" w:rsidRPr="000B3643" w:rsidRDefault="00F00E3D" w:rsidP="009B2FA7">
            <w:pPr>
              <w:spacing w:after="0" w:line="240" w:lineRule="auto"/>
              <w:jc w:val="center"/>
              <w:rPr>
                <w:rFonts w:asciiTheme="majorHAnsi" w:hAnsiTheme="majorHAnsi" w:cstheme="majorHAnsi"/>
                <w:sz w:val="40"/>
                <w:szCs w:val="40"/>
              </w:rPr>
            </w:pPr>
          </w:p>
        </w:tc>
        <w:tc>
          <w:tcPr>
            <w:tcW w:w="1429" w:type="dxa"/>
            <w:shd w:val="clear" w:color="auto" w:fill="auto"/>
            <w:tcMar>
              <w:top w:w="13" w:type="dxa"/>
              <w:left w:w="105" w:type="dxa"/>
              <w:bottom w:w="0" w:type="dxa"/>
              <w:right w:w="105" w:type="dxa"/>
            </w:tcMar>
            <w:vAlign w:val="center"/>
            <w:hideMark/>
          </w:tcPr>
          <w:p w14:paraId="4540FE07" w14:textId="77777777" w:rsidR="00F00E3D" w:rsidRPr="000B3643" w:rsidRDefault="00F00E3D" w:rsidP="009B2FA7">
            <w:pPr>
              <w:spacing w:after="0" w:line="240" w:lineRule="auto"/>
              <w:jc w:val="center"/>
              <w:rPr>
                <w:rFonts w:asciiTheme="majorHAnsi" w:hAnsiTheme="majorHAnsi" w:cstheme="majorHAnsi"/>
                <w:sz w:val="40"/>
                <w:szCs w:val="40"/>
              </w:rPr>
            </w:pPr>
          </w:p>
        </w:tc>
        <w:tc>
          <w:tcPr>
            <w:tcW w:w="1303" w:type="dxa"/>
            <w:shd w:val="clear" w:color="auto" w:fill="auto"/>
            <w:tcMar>
              <w:top w:w="13" w:type="dxa"/>
              <w:left w:w="105" w:type="dxa"/>
              <w:bottom w:w="0" w:type="dxa"/>
              <w:right w:w="105" w:type="dxa"/>
            </w:tcMar>
            <w:vAlign w:val="center"/>
            <w:hideMark/>
          </w:tcPr>
          <w:p w14:paraId="695E3419" w14:textId="77777777" w:rsidR="00F00E3D" w:rsidRPr="000B3643" w:rsidRDefault="00F00E3D" w:rsidP="009B2FA7">
            <w:pPr>
              <w:spacing w:after="0" w:line="240" w:lineRule="auto"/>
              <w:jc w:val="center"/>
              <w:rPr>
                <w:rFonts w:asciiTheme="majorHAnsi" w:hAnsiTheme="majorHAnsi" w:cstheme="majorHAnsi"/>
                <w:sz w:val="40"/>
                <w:szCs w:val="40"/>
              </w:rPr>
            </w:pPr>
            <w:r w:rsidRPr="000B3643">
              <w:rPr>
                <w:rFonts w:asciiTheme="majorHAnsi" w:hAnsiTheme="majorHAnsi" w:cstheme="majorHAnsi"/>
                <w:sz w:val="40"/>
                <w:szCs w:val="40"/>
                <w:lang w:val="en-US"/>
              </w:rPr>
              <w:t>*</w:t>
            </w:r>
          </w:p>
        </w:tc>
      </w:tr>
    </w:tbl>
    <w:p w14:paraId="6971805F" w14:textId="40D5EBE4" w:rsidR="00536BD9" w:rsidRPr="00D07502" w:rsidRDefault="006C3E32" w:rsidP="009B2FA7">
      <w:pPr>
        <w:pStyle w:val="Default"/>
        <w:spacing w:line="276" w:lineRule="auto"/>
        <w:rPr>
          <w:rFonts w:asciiTheme="minorHAnsi" w:eastAsiaTheme="minorEastAsia" w:hAnsiTheme="minorHAnsi" w:cstheme="minorHAnsi"/>
          <w:b/>
          <w:bCs/>
          <w:color w:val="auto"/>
          <w:sz w:val="21"/>
          <w:szCs w:val="21"/>
          <w:lang w:val="en-GB"/>
        </w:rPr>
      </w:pPr>
      <w:bookmarkStart w:id="13" w:name="OLE_LINKTableE1"/>
      <w:r w:rsidRPr="0068686C">
        <w:rPr>
          <w:rFonts w:asciiTheme="minorHAnsi" w:eastAsiaTheme="minorEastAsia" w:hAnsiTheme="minorHAnsi" w:cstheme="minorHAnsi"/>
          <w:b/>
          <w:bCs/>
          <w:sz w:val="21"/>
          <w:szCs w:val="21"/>
          <w:lang w:val="en-GB"/>
        </w:rPr>
        <w:t>Table E1: Research Questions and Data Collection Methods</w:t>
      </w:r>
    </w:p>
    <w:bookmarkEnd w:id="13"/>
    <w:p w14:paraId="7004FF1F" w14:textId="77777777" w:rsidR="006C3E32" w:rsidRPr="003A1425" w:rsidRDefault="006C3E32" w:rsidP="009B2FA7">
      <w:pPr>
        <w:pStyle w:val="Default"/>
        <w:spacing w:line="276" w:lineRule="auto"/>
        <w:rPr>
          <w:rFonts w:asciiTheme="minorHAnsi" w:hAnsiTheme="minorHAnsi" w:cstheme="minorBidi"/>
          <w:b/>
          <w:bCs/>
          <w:color w:val="auto"/>
        </w:rPr>
      </w:pPr>
    </w:p>
    <w:p w14:paraId="22089FCA" w14:textId="2E39FBFA" w:rsidR="00F00E3D" w:rsidRPr="00782F1A" w:rsidRDefault="00F00E3D" w:rsidP="009B2FA7">
      <w:pPr>
        <w:pStyle w:val="Default"/>
        <w:spacing w:line="276" w:lineRule="auto"/>
        <w:rPr>
          <w:rFonts w:asciiTheme="minorHAnsi" w:hAnsiTheme="minorHAnsi" w:cstheme="minorBidi"/>
          <w:b/>
          <w:color w:val="2E74B5" w:themeColor="accent5" w:themeShade="BF"/>
          <w:sz w:val="28"/>
          <w:szCs w:val="28"/>
        </w:rPr>
      </w:pPr>
      <w:r w:rsidRPr="00782F1A">
        <w:rPr>
          <w:rFonts w:asciiTheme="minorHAnsi" w:hAnsiTheme="minorHAnsi" w:cstheme="minorBidi"/>
          <w:b/>
          <w:color w:val="2E74B5" w:themeColor="accent5" w:themeShade="BF"/>
          <w:sz w:val="28"/>
          <w:szCs w:val="28"/>
        </w:rPr>
        <w:t>Key Findings</w:t>
      </w:r>
    </w:p>
    <w:p w14:paraId="018461C4" w14:textId="77777777" w:rsidR="003260F4" w:rsidRPr="00546498" w:rsidRDefault="003260F4" w:rsidP="009B2FA7">
      <w:pPr>
        <w:pStyle w:val="Default"/>
        <w:spacing w:line="276" w:lineRule="auto"/>
        <w:rPr>
          <w:rFonts w:asciiTheme="minorHAnsi" w:hAnsiTheme="minorHAnsi" w:cstheme="minorBidi"/>
          <w:b/>
          <w:bCs/>
          <w:color w:val="2F5496" w:themeColor="accent1" w:themeShade="BF"/>
          <w:sz w:val="12"/>
          <w:szCs w:val="12"/>
        </w:rPr>
      </w:pPr>
    </w:p>
    <w:p w14:paraId="3FE6CF0A" w14:textId="0AA8177D" w:rsidR="00F00E3D" w:rsidRPr="00E70695" w:rsidRDefault="009452E8" w:rsidP="009B2FA7">
      <w:pPr>
        <w:pStyle w:val="Default"/>
        <w:spacing w:line="276" w:lineRule="auto"/>
        <w:rPr>
          <w:rFonts w:asciiTheme="majorHAnsi" w:eastAsia="Times New Roman" w:hAnsiTheme="majorHAnsi" w:cstheme="majorBidi"/>
          <w:sz w:val="23"/>
          <w:szCs w:val="23"/>
          <w:lang w:val="en-GB"/>
        </w:rPr>
      </w:pPr>
      <w:r>
        <w:rPr>
          <w:rFonts w:asciiTheme="majorHAnsi" w:eastAsia="Times New Roman" w:hAnsiTheme="majorHAnsi" w:cstheme="majorBidi"/>
          <w:sz w:val="23"/>
          <w:szCs w:val="23"/>
          <w:lang w:val="en-GB"/>
        </w:rPr>
        <w:t>Below</w:t>
      </w:r>
      <w:r w:rsidR="00F00E3D" w:rsidRPr="42078E23">
        <w:rPr>
          <w:rFonts w:asciiTheme="majorHAnsi" w:eastAsia="Times New Roman" w:hAnsiTheme="majorHAnsi" w:cstheme="majorBidi"/>
          <w:sz w:val="23"/>
          <w:szCs w:val="23"/>
          <w:lang w:val="en-GB"/>
        </w:rPr>
        <w:t xml:space="preserve"> we summarise our key findings</w:t>
      </w:r>
      <w:r w:rsidR="00F00E3D" w:rsidRPr="502830E4">
        <w:rPr>
          <w:rFonts w:asciiTheme="majorHAnsi" w:eastAsia="Times New Roman" w:hAnsiTheme="majorHAnsi" w:cstheme="majorBidi"/>
          <w:sz w:val="23"/>
          <w:szCs w:val="23"/>
          <w:lang w:val="en-GB"/>
        </w:rPr>
        <w:t>,</w:t>
      </w:r>
      <w:r w:rsidR="00F00E3D" w:rsidRPr="42078E23">
        <w:rPr>
          <w:rFonts w:asciiTheme="majorHAnsi" w:eastAsia="Times New Roman" w:hAnsiTheme="majorHAnsi" w:cstheme="majorBidi"/>
          <w:sz w:val="23"/>
          <w:szCs w:val="23"/>
          <w:lang w:val="en-GB"/>
        </w:rPr>
        <w:t xml:space="preserve"> under the eight research questions </w:t>
      </w:r>
      <w:r w:rsidR="00F00E3D" w:rsidRPr="502830E4">
        <w:rPr>
          <w:rFonts w:asciiTheme="majorHAnsi" w:eastAsia="Times New Roman" w:hAnsiTheme="majorHAnsi" w:cstheme="majorBidi"/>
          <w:sz w:val="23"/>
          <w:szCs w:val="23"/>
          <w:lang w:val="en-GB"/>
        </w:rPr>
        <w:t>that guide</w:t>
      </w:r>
      <w:r w:rsidR="00F00E3D">
        <w:rPr>
          <w:rFonts w:asciiTheme="majorHAnsi" w:eastAsia="Times New Roman" w:hAnsiTheme="majorHAnsi" w:cstheme="majorBidi"/>
          <w:sz w:val="23"/>
          <w:szCs w:val="23"/>
          <w:lang w:val="en-GB"/>
        </w:rPr>
        <w:t>d</w:t>
      </w:r>
      <w:r w:rsidR="00F00E3D" w:rsidRPr="502830E4">
        <w:rPr>
          <w:rFonts w:asciiTheme="majorHAnsi" w:eastAsia="Times New Roman" w:hAnsiTheme="majorHAnsi" w:cstheme="majorBidi"/>
          <w:sz w:val="23"/>
          <w:szCs w:val="23"/>
          <w:lang w:val="en-GB"/>
        </w:rPr>
        <w:t xml:space="preserve"> </w:t>
      </w:r>
      <w:r w:rsidR="00F00E3D">
        <w:rPr>
          <w:rFonts w:asciiTheme="majorHAnsi" w:eastAsia="Times New Roman" w:hAnsiTheme="majorHAnsi" w:cstheme="majorBidi"/>
          <w:sz w:val="23"/>
          <w:szCs w:val="23"/>
          <w:lang w:val="en-GB"/>
        </w:rPr>
        <w:t>the</w:t>
      </w:r>
      <w:r w:rsidR="00F00E3D" w:rsidRPr="42078E23">
        <w:rPr>
          <w:rFonts w:asciiTheme="majorHAnsi" w:eastAsia="Times New Roman" w:hAnsiTheme="majorHAnsi" w:cstheme="majorBidi"/>
          <w:sz w:val="23"/>
          <w:szCs w:val="23"/>
          <w:lang w:val="en-GB"/>
        </w:rPr>
        <w:t xml:space="preserve"> project.</w:t>
      </w:r>
    </w:p>
    <w:p w14:paraId="14A1977D" w14:textId="77777777" w:rsidR="00F00E3D" w:rsidRPr="00546498" w:rsidRDefault="00F00E3D" w:rsidP="009B2FA7">
      <w:pPr>
        <w:pStyle w:val="Default"/>
        <w:spacing w:line="276" w:lineRule="auto"/>
        <w:rPr>
          <w:rFonts w:asciiTheme="minorHAnsi" w:hAnsiTheme="minorHAnsi" w:cstheme="minorHAnsi"/>
          <w:b/>
          <w:bCs/>
          <w:color w:val="2F5496" w:themeColor="accent1" w:themeShade="BF"/>
          <w:sz w:val="12"/>
          <w:szCs w:val="12"/>
        </w:rPr>
      </w:pPr>
    </w:p>
    <w:p w14:paraId="163D5C9F" w14:textId="3933ED3E" w:rsidR="00F00E3D" w:rsidRPr="00782F1A" w:rsidRDefault="00F00E3D" w:rsidP="009B2FA7">
      <w:pPr>
        <w:pStyle w:val="Default"/>
        <w:spacing w:line="276" w:lineRule="auto"/>
        <w:rPr>
          <w:rFonts w:asciiTheme="minorHAnsi" w:hAnsiTheme="minorHAnsi" w:cstheme="minorBidi"/>
          <w:b/>
          <w:color w:val="2E74B5" w:themeColor="accent5" w:themeShade="BF"/>
          <w:sz w:val="25"/>
          <w:szCs w:val="25"/>
        </w:rPr>
      </w:pPr>
      <w:r w:rsidRPr="00782F1A">
        <w:rPr>
          <w:rFonts w:asciiTheme="minorHAnsi" w:hAnsiTheme="minorHAnsi" w:cstheme="minorBidi"/>
          <w:b/>
          <w:color w:val="2E74B5" w:themeColor="accent5" w:themeShade="BF"/>
          <w:sz w:val="25"/>
          <w:szCs w:val="25"/>
        </w:rPr>
        <w:t xml:space="preserve">1. What are the </w:t>
      </w:r>
      <w:r w:rsidR="008032A0" w:rsidRPr="00782F1A">
        <w:rPr>
          <w:rFonts w:asciiTheme="minorHAnsi" w:hAnsiTheme="minorHAnsi" w:cstheme="minorBidi"/>
          <w:b/>
          <w:color w:val="2E74B5" w:themeColor="accent5" w:themeShade="BF"/>
          <w:sz w:val="25"/>
          <w:szCs w:val="25"/>
        </w:rPr>
        <w:t xml:space="preserve">key </w:t>
      </w:r>
      <w:r w:rsidRPr="00782F1A">
        <w:rPr>
          <w:rFonts w:asciiTheme="minorHAnsi" w:hAnsiTheme="minorHAnsi" w:cstheme="minorBidi"/>
          <w:b/>
          <w:color w:val="2E74B5" w:themeColor="accent5" w:themeShade="BF"/>
          <w:sz w:val="25"/>
          <w:szCs w:val="25"/>
        </w:rPr>
        <w:t>social and economic factors that drive outcomes, particularly for communities affected by disadvantage?</w:t>
      </w:r>
    </w:p>
    <w:p w14:paraId="4B16FACE" w14:textId="77777777" w:rsidR="00F00E3D" w:rsidRPr="00546498" w:rsidRDefault="00F00E3D" w:rsidP="009B2FA7">
      <w:pPr>
        <w:pStyle w:val="Default"/>
        <w:spacing w:line="276" w:lineRule="auto"/>
        <w:rPr>
          <w:rFonts w:eastAsia="Calibri"/>
          <w:b/>
          <w:bCs/>
          <w:color w:val="000000" w:themeColor="text1"/>
          <w:sz w:val="12"/>
          <w:szCs w:val="12"/>
        </w:rPr>
      </w:pPr>
    </w:p>
    <w:p w14:paraId="4BA08FC5" w14:textId="66BAA222" w:rsidR="00F00E3D" w:rsidRPr="00BC19B6" w:rsidRDefault="00FC29D5" w:rsidP="009B2FA7">
      <w:pPr>
        <w:spacing w:after="0" w:line="276" w:lineRule="auto"/>
        <w:rPr>
          <w:rFonts w:asciiTheme="majorHAnsi" w:eastAsia="Times New Roman" w:hAnsiTheme="majorHAnsi" w:cstheme="majorBidi"/>
          <w:color w:val="000000"/>
          <w:sz w:val="23"/>
          <w:szCs w:val="23"/>
          <w:lang w:eastAsia="en-GB"/>
        </w:rPr>
      </w:pPr>
      <w:bookmarkStart w:id="14" w:name="OLE_LINK17"/>
      <w:r>
        <w:rPr>
          <w:rFonts w:asciiTheme="majorHAnsi" w:eastAsia="Times New Roman" w:hAnsiTheme="majorHAnsi" w:cstheme="majorHAnsi"/>
          <w:sz w:val="23"/>
          <w:szCs w:val="23"/>
          <w:lang w:val="en-GB"/>
        </w:rPr>
        <w:t>To address this question</w:t>
      </w:r>
      <w:r w:rsidR="00DB2A2F">
        <w:rPr>
          <w:rFonts w:asciiTheme="majorHAnsi" w:eastAsia="Times New Roman" w:hAnsiTheme="majorHAnsi" w:cstheme="majorHAnsi"/>
          <w:sz w:val="23"/>
          <w:szCs w:val="23"/>
          <w:lang w:val="en-GB"/>
        </w:rPr>
        <w:t xml:space="preserve"> </w:t>
      </w:r>
      <w:r w:rsidR="000B1497">
        <w:rPr>
          <w:rFonts w:asciiTheme="majorHAnsi" w:eastAsia="Times New Roman" w:hAnsiTheme="majorHAnsi" w:cstheme="majorHAnsi"/>
          <w:sz w:val="23"/>
          <w:szCs w:val="23"/>
          <w:lang w:val="en-GB"/>
        </w:rPr>
        <w:t xml:space="preserve">in depth </w:t>
      </w:r>
      <w:r w:rsidR="00DB2A2F">
        <w:rPr>
          <w:rFonts w:asciiTheme="majorHAnsi" w:hAnsiTheme="majorHAnsi" w:cstheme="majorHAnsi"/>
          <w:noProof/>
          <w:sz w:val="23"/>
          <w:szCs w:val="23"/>
          <w:lang w:val="en-US"/>
        </w:rPr>
        <w:t>the research team</w:t>
      </w:r>
      <w:r>
        <w:rPr>
          <w:rFonts w:asciiTheme="majorHAnsi" w:hAnsiTheme="majorHAnsi" w:cstheme="majorHAnsi"/>
          <w:noProof/>
          <w:sz w:val="23"/>
          <w:szCs w:val="23"/>
          <w:lang w:val="en-US"/>
        </w:rPr>
        <w:t xml:space="preserve"> </w:t>
      </w:r>
      <w:r w:rsidR="00DB2A2F">
        <w:rPr>
          <w:rFonts w:asciiTheme="majorHAnsi" w:hAnsiTheme="majorHAnsi" w:cstheme="majorHAnsi"/>
          <w:noProof/>
          <w:sz w:val="23"/>
          <w:szCs w:val="23"/>
          <w:lang w:val="en-US"/>
        </w:rPr>
        <w:t xml:space="preserve">undertook </w:t>
      </w:r>
      <w:r w:rsidR="00243073">
        <w:rPr>
          <w:rFonts w:asciiTheme="majorHAnsi" w:hAnsiTheme="majorHAnsi" w:cstheme="majorHAnsi"/>
          <w:noProof/>
          <w:sz w:val="23"/>
          <w:szCs w:val="23"/>
          <w:lang w:val="en-US"/>
        </w:rPr>
        <w:t>a</w:t>
      </w:r>
      <w:r w:rsidR="00140CD9">
        <w:rPr>
          <w:rFonts w:asciiTheme="majorHAnsi" w:hAnsiTheme="majorHAnsi" w:cstheme="majorHAnsi"/>
          <w:noProof/>
          <w:sz w:val="23"/>
          <w:szCs w:val="23"/>
          <w:lang w:val="en-US"/>
        </w:rPr>
        <w:t xml:space="preserve"> detailed</w:t>
      </w:r>
      <w:r w:rsidR="00E4174E" w:rsidRPr="00E4174E">
        <w:rPr>
          <w:rFonts w:asciiTheme="majorHAnsi" w:hAnsiTheme="majorHAnsi" w:cstheme="majorHAnsi"/>
          <w:noProof/>
          <w:sz w:val="23"/>
          <w:szCs w:val="23"/>
          <w:lang w:val="en-US"/>
        </w:rPr>
        <w:t xml:space="preserve"> </w:t>
      </w:r>
      <w:r w:rsidR="00E4174E">
        <w:rPr>
          <w:rFonts w:asciiTheme="majorHAnsi" w:hAnsiTheme="majorHAnsi" w:cstheme="majorHAnsi"/>
          <w:noProof/>
          <w:sz w:val="23"/>
          <w:szCs w:val="23"/>
          <w:lang w:val="en-US"/>
        </w:rPr>
        <w:t>r</w:t>
      </w:r>
      <w:r w:rsidR="00E4174E" w:rsidRPr="00E4174E">
        <w:rPr>
          <w:rFonts w:asciiTheme="majorHAnsi" w:hAnsiTheme="majorHAnsi" w:cstheme="majorHAnsi"/>
          <w:noProof/>
          <w:sz w:val="23"/>
          <w:szCs w:val="23"/>
          <w:lang w:val="en-US"/>
        </w:rPr>
        <w:t xml:space="preserve">eview of </w:t>
      </w:r>
      <w:r w:rsidR="004E42D4">
        <w:rPr>
          <w:rFonts w:asciiTheme="majorHAnsi" w:hAnsiTheme="majorHAnsi" w:cstheme="majorHAnsi"/>
          <w:noProof/>
          <w:sz w:val="23"/>
          <w:szCs w:val="23"/>
          <w:lang w:val="en-US"/>
        </w:rPr>
        <w:t>key</w:t>
      </w:r>
      <w:r w:rsidR="00E4174E" w:rsidRPr="00E4174E">
        <w:rPr>
          <w:rFonts w:asciiTheme="majorHAnsi" w:hAnsiTheme="majorHAnsi" w:cstheme="majorHAnsi"/>
          <w:noProof/>
          <w:sz w:val="23"/>
          <w:szCs w:val="23"/>
          <w:lang w:val="en-US"/>
        </w:rPr>
        <w:t xml:space="preserve"> </w:t>
      </w:r>
      <w:r w:rsidR="00E4174E">
        <w:rPr>
          <w:rFonts w:asciiTheme="majorHAnsi" w:hAnsiTheme="majorHAnsi" w:cstheme="majorHAnsi"/>
          <w:noProof/>
          <w:sz w:val="23"/>
          <w:szCs w:val="23"/>
          <w:lang w:val="en-US"/>
        </w:rPr>
        <w:t>a</w:t>
      </w:r>
      <w:r w:rsidR="00E4174E" w:rsidRPr="00E4174E">
        <w:rPr>
          <w:rFonts w:asciiTheme="majorHAnsi" w:hAnsiTheme="majorHAnsi" w:cstheme="majorHAnsi"/>
          <w:noProof/>
          <w:sz w:val="23"/>
          <w:szCs w:val="23"/>
          <w:lang w:val="en-US"/>
        </w:rPr>
        <w:t>ca</w:t>
      </w:r>
      <w:bookmarkEnd w:id="14"/>
      <w:r w:rsidR="007C620C">
        <w:rPr>
          <w:rFonts w:asciiTheme="majorHAnsi" w:hAnsiTheme="majorHAnsi" w:cstheme="majorHAnsi"/>
          <w:noProof/>
          <w:sz w:val="23"/>
          <w:szCs w:val="23"/>
          <w:lang w:val="en-US"/>
        </w:rPr>
        <w:t>demic research</w:t>
      </w:r>
      <w:r w:rsidR="00957891">
        <w:rPr>
          <w:rFonts w:asciiTheme="majorHAnsi" w:hAnsiTheme="majorHAnsi" w:cstheme="majorHAnsi"/>
          <w:noProof/>
          <w:sz w:val="23"/>
          <w:szCs w:val="23"/>
          <w:lang w:val="en-US"/>
        </w:rPr>
        <w:t xml:space="preserve">. </w:t>
      </w:r>
      <w:r w:rsidR="008E6382">
        <w:rPr>
          <w:rFonts w:asciiTheme="majorHAnsi" w:eastAsia="Times New Roman" w:hAnsiTheme="majorHAnsi" w:cstheme="majorHAnsi"/>
          <w:sz w:val="23"/>
          <w:szCs w:val="23"/>
          <w:lang w:val="en-GB"/>
        </w:rPr>
        <w:t>Analysing</w:t>
      </w:r>
      <w:r w:rsidR="008032A0">
        <w:rPr>
          <w:rFonts w:asciiTheme="majorHAnsi" w:eastAsia="Times New Roman" w:hAnsiTheme="majorHAnsi" w:cstheme="majorHAnsi"/>
          <w:sz w:val="23"/>
          <w:szCs w:val="23"/>
          <w:lang w:val="en-GB"/>
        </w:rPr>
        <w:t xml:space="preserve"> </w:t>
      </w:r>
      <w:r w:rsidR="003472BE">
        <w:rPr>
          <w:rFonts w:asciiTheme="majorHAnsi" w:eastAsia="Times New Roman" w:hAnsiTheme="majorHAnsi" w:cstheme="majorHAnsi"/>
          <w:sz w:val="23"/>
          <w:szCs w:val="23"/>
          <w:lang w:val="en-GB"/>
        </w:rPr>
        <w:t>some 200</w:t>
      </w:r>
      <w:r w:rsidR="00E811AE">
        <w:rPr>
          <w:rFonts w:asciiTheme="majorHAnsi" w:eastAsia="Times New Roman" w:hAnsiTheme="majorHAnsi" w:cstheme="majorHAnsi"/>
          <w:sz w:val="23"/>
          <w:szCs w:val="23"/>
          <w:lang w:val="en-GB"/>
        </w:rPr>
        <w:t xml:space="preserve"> peer-reviewed studies</w:t>
      </w:r>
      <w:r w:rsidR="00DB2A2F">
        <w:rPr>
          <w:rFonts w:asciiTheme="majorHAnsi" w:eastAsia="Times New Roman" w:hAnsiTheme="majorHAnsi" w:cstheme="majorHAnsi"/>
          <w:sz w:val="23"/>
          <w:szCs w:val="23"/>
          <w:lang w:val="en-GB"/>
        </w:rPr>
        <w:t xml:space="preserve">, we </w:t>
      </w:r>
      <w:r w:rsidR="00E4174E" w:rsidRPr="00E4174E">
        <w:rPr>
          <w:rFonts w:asciiTheme="majorHAnsi" w:eastAsia="Times New Roman" w:hAnsiTheme="majorHAnsi" w:cstheme="majorHAnsi"/>
          <w:sz w:val="23"/>
          <w:szCs w:val="23"/>
          <w:lang w:val="en-GB"/>
        </w:rPr>
        <w:t xml:space="preserve">identified </w:t>
      </w:r>
      <w:r w:rsidR="00E4174E" w:rsidRPr="00E4174E">
        <w:rPr>
          <w:rFonts w:asciiTheme="majorHAnsi" w:eastAsia="Times New Roman" w:hAnsiTheme="majorHAnsi" w:cstheme="majorHAnsi"/>
          <w:sz w:val="23"/>
          <w:szCs w:val="23"/>
          <w:lang w:eastAsia="en-GB"/>
        </w:rPr>
        <w:t>52 social and economic factors that drive outcomes for communities affected by disadvantage</w:t>
      </w:r>
      <w:r w:rsidR="00957891">
        <w:rPr>
          <w:rFonts w:asciiTheme="majorHAnsi" w:hAnsiTheme="majorHAnsi" w:cstheme="majorHAnsi"/>
          <w:noProof/>
          <w:sz w:val="23"/>
          <w:szCs w:val="23"/>
          <w:lang w:val="en-US"/>
        </w:rPr>
        <w:t xml:space="preserve"> (</w:t>
      </w:r>
      <w:hyperlink w:anchor="OLE_LINKSECTION323">
        <w:r w:rsidR="00957891" w:rsidRPr="00E4174E">
          <w:rPr>
            <w:rStyle w:val="Hyperlink"/>
            <w:rFonts w:asciiTheme="majorHAnsi" w:eastAsia="Times New Roman" w:hAnsiTheme="majorHAnsi" w:cstheme="majorHAnsi"/>
            <w:sz w:val="23"/>
            <w:szCs w:val="23"/>
            <w:lang w:val="en-GB"/>
          </w:rPr>
          <w:t>Section 3.</w:t>
        </w:r>
        <w:r w:rsidR="00696AA2">
          <w:rPr>
            <w:rStyle w:val="Hyperlink"/>
            <w:rFonts w:asciiTheme="majorHAnsi" w:eastAsia="Times New Roman" w:hAnsiTheme="majorHAnsi" w:cstheme="majorHAnsi"/>
            <w:sz w:val="23"/>
            <w:szCs w:val="23"/>
            <w:lang w:val="en-GB"/>
          </w:rPr>
          <w:t>3</w:t>
        </w:r>
        <w:r w:rsidR="00957891" w:rsidRPr="00E4174E">
          <w:rPr>
            <w:rStyle w:val="Hyperlink"/>
            <w:rFonts w:asciiTheme="majorHAnsi" w:eastAsia="Times New Roman" w:hAnsiTheme="majorHAnsi" w:cstheme="majorHAnsi"/>
            <w:sz w:val="23"/>
            <w:szCs w:val="23"/>
            <w:lang w:val="en-GB"/>
          </w:rPr>
          <w:t>.3</w:t>
        </w:r>
      </w:hyperlink>
      <w:r w:rsidR="00957891" w:rsidRPr="00A93D12">
        <w:rPr>
          <w:rStyle w:val="Hyperlink"/>
          <w:rFonts w:asciiTheme="majorHAnsi" w:eastAsia="Times New Roman" w:hAnsiTheme="majorHAnsi" w:cstheme="majorHAnsi"/>
          <w:color w:val="auto"/>
          <w:sz w:val="23"/>
          <w:szCs w:val="23"/>
          <w:lang w:val="en-GB"/>
        </w:rPr>
        <w:t>)</w:t>
      </w:r>
      <w:r w:rsidR="00A93D12">
        <w:rPr>
          <w:rFonts w:asciiTheme="majorHAnsi" w:eastAsia="Times New Roman" w:hAnsiTheme="majorHAnsi" w:cstheme="majorHAnsi"/>
          <w:sz w:val="23"/>
          <w:szCs w:val="23"/>
          <w:lang w:val="en-GB"/>
        </w:rPr>
        <w:t xml:space="preserve">. </w:t>
      </w:r>
      <w:r w:rsidR="00CC5483">
        <w:rPr>
          <w:rFonts w:asciiTheme="majorHAnsi" w:eastAsia="Times New Roman" w:hAnsiTheme="majorHAnsi" w:cstheme="majorHAnsi"/>
          <w:sz w:val="23"/>
          <w:szCs w:val="23"/>
          <w:lang w:eastAsia="en-GB"/>
        </w:rPr>
        <w:t>T</w:t>
      </w:r>
      <w:r w:rsidR="00274C4B">
        <w:rPr>
          <w:rFonts w:asciiTheme="majorHAnsi" w:eastAsia="Times New Roman" w:hAnsiTheme="majorHAnsi" w:cstheme="majorHAnsi"/>
          <w:sz w:val="23"/>
          <w:szCs w:val="23"/>
          <w:lang w:eastAsia="en-GB"/>
        </w:rPr>
        <w:t xml:space="preserve">hese factors </w:t>
      </w:r>
      <w:r w:rsidR="002B3F42">
        <w:rPr>
          <w:rFonts w:asciiTheme="majorHAnsi" w:eastAsia="Times New Roman" w:hAnsiTheme="majorHAnsi" w:cstheme="majorHAnsi"/>
          <w:sz w:val="23"/>
          <w:szCs w:val="23"/>
          <w:lang w:eastAsia="en-GB"/>
        </w:rPr>
        <w:t xml:space="preserve">are </w:t>
      </w:r>
      <w:r w:rsidR="00CC5483">
        <w:rPr>
          <w:rFonts w:asciiTheme="majorHAnsi" w:eastAsia="Times New Roman" w:hAnsiTheme="majorHAnsi" w:cstheme="majorHAnsi"/>
          <w:sz w:val="23"/>
          <w:szCs w:val="23"/>
          <w:lang w:eastAsia="en-GB"/>
        </w:rPr>
        <w:t>summarised</w:t>
      </w:r>
      <w:r w:rsidR="00CC5483">
        <w:rPr>
          <w:rFonts w:asciiTheme="majorHAnsi" w:eastAsia="Times New Roman" w:hAnsiTheme="majorHAnsi" w:cstheme="majorBidi"/>
          <w:sz w:val="23"/>
          <w:szCs w:val="23"/>
          <w:lang w:eastAsia="en-GB"/>
        </w:rPr>
        <w:t xml:space="preserve"> in </w:t>
      </w:r>
      <w:hyperlink w:anchor="OLE_LINKTable110" w:history="1">
        <w:r w:rsidR="00696AA2" w:rsidRPr="00266925">
          <w:rPr>
            <w:rStyle w:val="Hyperlink"/>
            <w:rFonts w:asciiTheme="majorHAnsi" w:eastAsia="Times New Roman" w:hAnsiTheme="majorHAnsi" w:cstheme="majorBidi"/>
            <w:sz w:val="23"/>
            <w:szCs w:val="23"/>
            <w:lang w:eastAsia="en-GB"/>
          </w:rPr>
          <w:t>Table 3.4</w:t>
        </w:r>
      </w:hyperlink>
      <w:r w:rsidR="00EE673E">
        <w:rPr>
          <w:rFonts w:asciiTheme="majorHAnsi" w:eastAsia="Times New Roman" w:hAnsiTheme="majorHAnsi" w:cstheme="majorBidi"/>
          <w:sz w:val="23"/>
          <w:szCs w:val="23"/>
          <w:lang w:eastAsia="en-GB"/>
        </w:rPr>
        <w:t xml:space="preserve">, </w:t>
      </w:r>
      <w:r w:rsidR="00CC5483">
        <w:rPr>
          <w:rFonts w:asciiTheme="majorHAnsi" w:eastAsia="Times New Roman" w:hAnsiTheme="majorHAnsi" w:cstheme="majorBidi"/>
          <w:sz w:val="23"/>
          <w:szCs w:val="23"/>
          <w:lang w:eastAsia="en-GB"/>
        </w:rPr>
        <w:t>grouped</w:t>
      </w:r>
      <w:r w:rsidR="00F00E3D" w:rsidRPr="00B17699">
        <w:rPr>
          <w:rFonts w:asciiTheme="majorHAnsi" w:eastAsia="Times New Roman" w:hAnsiTheme="majorHAnsi" w:cstheme="majorBidi"/>
          <w:sz w:val="23"/>
          <w:szCs w:val="23"/>
          <w:lang w:eastAsia="en-GB"/>
        </w:rPr>
        <w:t xml:space="preserve"> under four contexts (Economic, Health, Social, and Urban Environment), </w:t>
      </w:r>
      <w:r w:rsidR="00C42359" w:rsidRPr="00B17699">
        <w:rPr>
          <w:rFonts w:asciiTheme="majorHAnsi" w:eastAsia="Times New Roman" w:hAnsiTheme="majorHAnsi" w:cstheme="majorBidi"/>
          <w:sz w:val="23"/>
          <w:szCs w:val="23"/>
          <w:lang w:eastAsia="en-GB"/>
        </w:rPr>
        <w:t xml:space="preserve">and </w:t>
      </w:r>
      <w:r w:rsidR="00F00E3D" w:rsidRPr="00B17699">
        <w:rPr>
          <w:rFonts w:asciiTheme="majorHAnsi" w:eastAsia="Times New Roman" w:hAnsiTheme="majorHAnsi" w:cstheme="majorBidi"/>
          <w:sz w:val="23"/>
          <w:szCs w:val="23"/>
          <w:lang w:eastAsia="en-GB"/>
        </w:rPr>
        <w:t>subcategorised</w:t>
      </w:r>
      <w:r w:rsidR="00F00E3D" w:rsidRPr="236DC7AB">
        <w:rPr>
          <w:rFonts w:asciiTheme="majorHAnsi" w:eastAsia="Times New Roman" w:hAnsiTheme="majorHAnsi" w:cstheme="majorBidi"/>
          <w:sz w:val="23"/>
          <w:szCs w:val="23"/>
          <w:lang w:eastAsia="en-GB"/>
        </w:rPr>
        <w:t xml:space="preserve"> into 13 determinates</w:t>
      </w:r>
      <w:r w:rsidR="00DE5007">
        <w:rPr>
          <w:rFonts w:asciiTheme="majorHAnsi" w:eastAsia="Times New Roman" w:hAnsiTheme="majorHAnsi" w:cstheme="majorBidi"/>
          <w:sz w:val="23"/>
          <w:szCs w:val="23"/>
          <w:lang w:eastAsia="en-GB"/>
        </w:rPr>
        <w:t xml:space="preserve"> (</w:t>
      </w:r>
      <w:r w:rsidR="00F00E3D" w:rsidRPr="236DC7AB">
        <w:rPr>
          <w:rFonts w:asciiTheme="majorHAnsi" w:eastAsia="Times New Roman" w:hAnsiTheme="majorHAnsi" w:cstheme="majorBidi"/>
          <w:color w:val="000000" w:themeColor="text1"/>
          <w:sz w:val="23"/>
          <w:szCs w:val="23"/>
          <w:lang w:eastAsia="en-GB"/>
        </w:rPr>
        <w:t>Economy, Governmental Policy, Access to Healthcare and Social Services, Personal Health Status, Personal Behaviours, Crime and Safety, Employment and Work, Housing, Social Networks, Support and Exclusion, Socio-demographics, Socioeconomic Position, Neighbourhood Accessibility, and Physical Environment</w:t>
      </w:r>
      <w:r w:rsidR="00DE5007">
        <w:rPr>
          <w:rFonts w:asciiTheme="majorHAnsi" w:eastAsia="Times New Roman" w:hAnsiTheme="majorHAnsi" w:cstheme="majorBidi"/>
          <w:color w:val="000000" w:themeColor="text1"/>
          <w:sz w:val="23"/>
          <w:szCs w:val="23"/>
          <w:lang w:eastAsia="en-GB"/>
        </w:rPr>
        <w:t>).</w:t>
      </w:r>
    </w:p>
    <w:p w14:paraId="69B857B9" w14:textId="77777777" w:rsidR="00F00E3D" w:rsidRPr="000F2BC9" w:rsidRDefault="00F00E3D" w:rsidP="009B2FA7">
      <w:pPr>
        <w:pStyle w:val="Default"/>
        <w:spacing w:line="276" w:lineRule="auto"/>
        <w:rPr>
          <w:rFonts w:asciiTheme="minorHAnsi" w:hAnsiTheme="minorHAnsi" w:cstheme="minorHAnsi"/>
          <w:color w:val="auto"/>
          <w:sz w:val="12"/>
          <w:szCs w:val="12"/>
        </w:rPr>
      </w:pPr>
    </w:p>
    <w:p w14:paraId="600A4845" w14:textId="22106AC5" w:rsidR="00F00E3D" w:rsidRPr="00A92010" w:rsidRDefault="00877D99" w:rsidP="009B2FA7">
      <w:pPr>
        <w:pStyle w:val="Default"/>
        <w:spacing w:line="276" w:lineRule="auto"/>
        <w:rPr>
          <w:rFonts w:asciiTheme="majorHAnsi" w:eastAsia="Times New Roman" w:hAnsiTheme="majorHAnsi" w:cstheme="majorBidi"/>
          <w:sz w:val="23"/>
          <w:szCs w:val="23"/>
          <w:lang w:eastAsia="en-GB"/>
        </w:rPr>
      </w:pPr>
      <w:r w:rsidRPr="00A92010">
        <w:rPr>
          <w:rFonts w:asciiTheme="majorHAnsi" w:eastAsia="Times New Roman" w:hAnsiTheme="majorHAnsi" w:cstheme="majorBidi"/>
          <w:b/>
          <w:bCs/>
          <w:sz w:val="23"/>
          <w:szCs w:val="23"/>
          <w:lang w:eastAsia="en-GB"/>
        </w:rPr>
        <w:lastRenderedPageBreak/>
        <w:t>Health:</w:t>
      </w:r>
      <w:r w:rsidRPr="00A92010">
        <w:rPr>
          <w:rFonts w:asciiTheme="majorHAnsi" w:eastAsia="Times New Roman" w:hAnsiTheme="majorHAnsi" w:cstheme="majorBidi"/>
          <w:sz w:val="23"/>
          <w:szCs w:val="23"/>
          <w:lang w:eastAsia="en-GB"/>
        </w:rPr>
        <w:t xml:space="preserve"> </w:t>
      </w:r>
      <w:hyperlink w:anchor="OLE_LINKTable111" w:history="1">
        <w:r w:rsidR="003B504D" w:rsidRPr="00A92010">
          <w:rPr>
            <w:rStyle w:val="Hyperlink"/>
            <w:rFonts w:asciiTheme="majorHAnsi" w:hAnsiTheme="majorHAnsi" w:cstheme="majorHAnsi"/>
            <w:sz w:val="23"/>
            <w:szCs w:val="23"/>
          </w:rPr>
          <w:t>Table 3.5</w:t>
        </w:r>
      </w:hyperlink>
      <w:r w:rsidR="003B504D" w:rsidRPr="00A92010">
        <w:t xml:space="preserve"> </w:t>
      </w:r>
      <w:r w:rsidR="00536604" w:rsidRPr="00A92010">
        <w:rPr>
          <w:rFonts w:asciiTheme="majorHAnsi" w:eastAsia="Times New Roman" w:hAnsiTheme="majorHAnsi" w:cstheme="majorBidi"/>
          <w:sz w:val="23"/>
          <w:szCs w:val="23"/>
          <w:lang w:eastAsia="en-GB"/>
        </w:rPr>
        <w:t xml:space="preserve">lists </w:t>
      </w:r>
      <w:r w:rsidR="00F00E3D" w:rsidRPr="00A92010">
        <w:rPr>
          <w:rFonts w:asciiTheme="majorHAnsi" w:eastAsia="Times New Roman" w:hAnsiTheme="majorHAnsi" w:cstheme="majorBidi"/>
          <w:sz w:val="23"/>
          <w:szCs w:val="23"/>
          <w:lang w:eastAsia="en-GB"/>
        </w:rPr>
        <w:t xml:space="preserve">the social and economic factors identified in the research </w:t>
      </w:r>
      <w:r w:rsidR="00F00E3D" w:rsidRPr="00A92010">
        <w:rPr>
          <w:rFonts w:asciiTheme="majorHAnsi" w:eastAsia="Times New Roman" w:hAnsiTheme="majorHAnsi" w:cstheme="majorHAnsi"/>
          <w:sz w:val="23"/>
          <w:szCs w:val="23"/>
          <w:lang w:eastAsia="en-GB"/>
        </w:rPr>
        <w:t xml:space="preserve">literature </w:t>
      </w:r>
      <w:r w:rsidR="00F00E3D" w:rsidRPr="00A92010">
        <w:rPr>
          <w:rFonts w:asciiTheme="majorHAnsi" w:eastAsia="Times New Roman" w:hAnsiTheme="majorHAnsi" w:cstheme="majorBidi"/>
          <w:sz w:val="23"/>
          <w:szCs w:val="23"/>
          <w:lang w:eastAsia="en-GB"/>
        </w:rPr>
        <w:t xml:space="preserve">as driving health outcomes for communities affected by disadvantage. </w:t>
      </w:r>
      <w:r w:rsidR="00D17B6A" w:rsidRPr="00A92010">
        <w:rPr>
          <w:rFonts w:asciiTheme="majorHAnsi" w:eastAsia="Times New Roman" w:hAnsiTheme="majorHAnsi" w:cstheme="majorBidi"/>
          <w:sz w:val="23"/>
          <w:szCs w:val="23"/>
          <w:lang w:eastAsia="en-GB"/>
        </w:rPr>
        <w:t>H</w:t>
      </w:r>
      <w:r w:rsidR="00F00E3D" w:rsidRPr="00A92010">
        <w:rPr>
          <w:rFonts w:asciiTheme="majorHAnsi" w:eastAsia="Times New Roman" w:hAnsiTheme="majorHAnsi" w:cstheme="majorBidi"/>
          <w:sz w:val="23"/>
          <w:szCs w:val="23"/>
          <w:lang w:eastAsia="en-GB"/>
        </w:rPr>
        <w:t>ousing and income stand out as key factors impacting health and wellbeing outcomes.</w:t>
      </w:r>
    </w:p>
    <w:p w14:paraId="058366C5" w14:textId="77777777" w:rsidR="00F00E3D" w:rsidRPr="00A92010" w:rsidRDefault="00F00E3D" w:rsidP="009B2FA7">
      <w:pPr>
        <w:pStyle w:val="Default"/>
        <w:spacing w:line="276" w:lineRule="auto"/>
        <w:rPr>
          <w:rFonts w:asciiTheme="majorHAnsi" w:eastAsia="Times New Roman" w:hAnsiTheme="majorHAnsi" w:cstheme="majorBidi"/>
          <w:sz w:val="10"/>
          <w:szCs w:val="10"/>
          <w:lang w:eastAsia="en-GB"/>
        </w:rPr>
      </w:pPr>
    </w:p>
    <w:p w14:paraId="1D0A5608" w14:textId="3A8D2B49" w:rsidR="00F00E3D" w:rsidRPr="00A92010" w:rsidRDefault="00877D99" w:rsidP="009B2FA7">
      <w:pPr>
        <w:spacing w:after="0" w:line="276" w:lineRule="auto"/>
        <w:contextualSpacing/>
        <w:rPr>
          <w:rFonts w:asciiTheme="majorHAnsi" w:eastAsia="Times New Roman" w:hAnsiTheme="majorHAnsi" w:cstheme="majorBidi"/>
          <w:sz w:val="23"/>
          <w:szCs w:val="23"/>
          <w:lang w:eastAsia="en-GB"/>
        </w:rPr>
      </w:pPr>
      <w:r w:rsidRPr="00A92010">
        <w:rPr>
          <w:rFonts w:asciiTheme="majorHAnsi" w:eastAsia="Times New Roman" w:hAnsiTheme="majorHAnsi" w:cstheme="majorBidi"/>
          <w:b/>
          <w:bCs/>
          <w:sz w:val="23"/>
          <w:szCs w:val="23"/>
          <w:lang w:eastAsia="en-GB"/>
        </w:rPr>
        <w:t>Education:</w:t>
      </w:r>
      <w:r w:rsidRPr="00A92010">
        <w:t xml:space="preserve"> </w:t>
      </w:r>
      <w:hyperlink w:anchor="OLE_LINKTable112" w:history="1">
        <w:r w:rsidR="003B504D" w:rsidRPr="00A92010">
          <w:rPr>
            <w:rStyle w:val="Hyperlink"/>
            <w:rFonts w:asciiTheme="majorHAnsi" w:eastAsia="Times New Roman" w:hAnsiTheme="majorHAnsi" w:cstheme="majorBidi"/>
            <w:sz w:val="23"/>
            <w:szCs w:val="23"/>
            <w:lang w:eastAsia="en-GB"/>
          </w:rPr>
          <w:t>Table</w:t>
        </w:r>
      </w:hyperlink>
      <w:r w:rsidR="003B504D" w:rsidRPr="00A92010">
        <w:rPr>
          <w:rStyle w:val="Hyperlink"/>
          <w:rFonts w:asciiTheme="majorHAnsi" w:eastAsia="Times New Roman" w:hAnsiTheme="majorHAnsi" w:cstheme="majorBidi"/>
          <w:sz w:val="23"/>
          <w:szCs w:val="23"/>
          <w:lang w:eastAsia="en-GB"/>
        </w:rPr>
        <w:t xml:space="preserve"> 3.6</w:t>
      </w:r>
      <w:r w:rsidR="00F00E3D" w:rsidRPr="00A92010">
        <w:rPr>
          <w:rFonts w:asciiTheme="majorHAnsi" w:eastAsia="Times New Roman" w:hAnsiTheme="majorHAnsi" w:cstheme="majorBidi"/>
          <w:sz w:val="23"/>
          <w:szCs w:val="23"/>
          <w:lang w:eastAsia="en-GB"/>
        </w:rPr>
        <w:t xml:space="preserve"> </w:t>
      </w:r>
      <w:r w:rsidR="00536604" w:rsidRPr="00A92010">
        <w:rPr>
          <w:rFonts w:asciiTheme="majorHAnsi" w:eastAsia="Times New Roman" w:hAnsiTheme="majorHAnsi" w:cstheme="majorBidi"/>
          <w:sz w:val="23"/>
          <w:szCs w:val="23"/>
          <w:lang w:eastAsia="en-GB"/>
        </w:rPr>
        <w:t>lists</w:t>
      </w:r>
      <w:r w:rsidR="00F00E3D" w:rsidRPr="00A92010">
        <w:rPr>
          <w:rFonts w:asciiTheme="majorHAnsi" w:eastAsia="Times New Roman" w:hAnsiTheme="majorHAnsi" w:cstheme="majorBidi"/>
          <w:sz w:val="23"/>
          <w:szCs w:val="23"/>
          <w:lang w:eastAsia="en-GB"/>
        </w:rPr>
        <w:t xml:space="preserve"> the social and economic factors identified in the research </w:t>
      </w:r>
      <w:r w:rsidR="00F00E3D" w:rsidRPr="00A92010">
        <w:rPr>
          <w:rFonts w:asciiTheme="majorHAnsi" w:eastAsia="Times New Roman" w:hAnsiTheme="majorHAnsi" w:cstheme="majorHAnsi"/>
          <w:sz w:val="23"/>
          <w:szCs w:val="23"/>
          <w:lang w:eastAsia="en-GB"/>
        </w:rPr>
        <w:t xml:space="preserve">literature </w:t>
      </w:r>
      <w:r w:rsidR="00F00E3D" w:rsidRPr="00A92010">
        <w:rPr>
          <w:rFonts w:asciiTheme="majorHAnsi" w:eastAsia="Times New Roman" w:hAnsiTheme="majorHAnsi" w:cstheme="majorBidi"/>
          <w:sz w:val="23"/>
          <w:szCs w:val="23"/>
          <w:lang w:eastAsia="en-GB"/>
        </w:rPr>
        <w:t>as driving education outcomes for communities affected by disadvantage.</w:t>
      </w:r>
    </w:p>
    <w:p w14:paraId="309328CE" w14:textId="77777777" w:rsidR="00F00E3D" w:rsidRPr="00A92010" w:rsidRDefault="00F00E3D" w:rsidP="009B2FA7">
      <w:pPr>
        <w:pStyle w:val="Default"/>
        <w:spacing w:line="276" w:lineRule="auto"/>
        <w:rPr>
          <w:rFonts w:asciiTheme="minorHAnsi" w:hAnsiTheme="minorHAnsi" w:cstheme="minorHAnsi"/>
          <w:color w:val="auto"/>
          <w:sz w:val="10"/>
          <w:szCs w:val="10"/>
        </w:rPr>
      </w:pPr>
    </w:p>
    <w:p w14:paraId="18912DA5" w14:textId="3478C2D3" w:rsidR="00F00E3D" w:rsidRPr="00A92010" w:rsidRDefault="00877D99" w:rsidP="009B2FA7">
      <w:pPr>
        <w:pStyle w:val="Default"/>
        <w:spacing w:line="276" w:lineRule="auto"/>
        <w:rPr>
          <w:rFonts w:asciiTheme="majorHAnsi" w:eastAsia="Times New Roman" w:hAnsiTheme="majorHAnsi" w:cstheme="majorBidi"/>
          <w:sz w:val="23"/>
          <w:szCs w:val="23"/>
          <w:lang w:eastAsia="en-GB"/>
        </w:rPr>
      </w:pPr>
      <w:r w:rsidRPr="00A92010">
        <w:rPr>
          <w:rFonts w:asciiTheme="majorHAnsi" w:eastAsia="Times New Roman" w:hAnsiTheme="majorHAnsi" w:cstheme="majorHAnsi"/>
          <w:b/>
          <w:bCs/>
          <w:sz w:val="23"/>
          <w:szCs w:val="23"/>
          <w:lang w:eastAsia="en-GB"/>
        </w:rPr>
        <w:t>Housing:</w:t>
      </w:r>
      <w:r w:rsidRPr="00A92010">
        <w:t xml:space="preserve"> </w:t>
      </w:r>
      <w:hyperlink w:anchor="OLE_LINKTable113" w:history="1">
        <w:r w:rsidR="00F00E3D" w:rsidRPr="00A92010">
          <w:rPr>
            <w:rStyle w:val="Hyperlink"/>
            <w:rFonts w:asciiTheme="majorHAnsi" w:eastAsia="Times New Roman" w:hAnsiTheme="majorHAnsi" w:cstheme="majorHAnsi"/>
            <w:sz w:val="23"/>
            <w:szCs w:val="23"/>
            <w:lang w:eastAsia="en-GB"/>
          </w:rPr>
          <w:t xml:space="preserve">Table </w:t>
        </w:r>
        <w:r w:rsidR="003B504D" w:rsidRPr="00A92010">
          <w:rPr>
            <w:rStyle w:val="Hyperlink"/>
            <w:rFonts w:asciiTheme="majorHAnsi" w:eastAsia="Times New Roman" w:hAnsiTheme="majorHAnsi" w:cstheme="majorHAnsi"/>
            <w:sz w:val="23"/>
            <w:szCs w:val="23"/>
            <w:lang w:eastAsia="en-GB"/>
          </w:rPr>
          <w:t>3.7</w:t>
        </w:r>
        <w:r w:rsidR="003B504D" w:rsidRPr="00A92010">
          <w:rPr>
            <w:rStyle w:val="Hyperlink"/>
            <w:rFonts w:asciiTheme="majorHAnsi" w:eastAsia="Times New Roman" w:hAnsiTheme="majorHAnsi" w:cstheme="majorHAnsi"/>
            <w:sz w:val="23"/>
            <w:szCs w:val="23"/>
            <w:u w:val="none"/>
            <w:lang w:eastAsia="en-GB"/>
          </w:rPr>
          <w:t xml:space="preserve"> </w:t>
        </w:r>
      </w:hyperlink>
      <w:r w:rsidR="00536604" w:rsidRPr="00A92010">
        <w:rPr>
          <w:rFonts w:asciiTheme="majorHAnsi" w:eastAsia="Times New Roman" w:hAnsiTheme="majorHAnsi" w:cstheme="majorHAnsi"/>
          <w:sz w:val="23"/>
          <w:szCs w:val="23"/>
          <w:lang w:eastAsia="en-GB"/>
        </w:rPr>
        <w:t xml:space="preserve">lists </w:t>
      </w:r>
      <w:r w:rsidR="00F00E3D" w:rsidRPr="00A92010">
        <w:rPr>
          <w:rFonts w:asciiTheme="majorHAnsi" w:eastAsia="Times New Roman" w:hAnsiTheme="majorHAnsi" w:cstheme="majorHAnsi"/>
          <w:sz w:val="23"/>
          <w:szCs w:val="23"/>
          <w:lang w:eastAsia="en-GB"/>
        </w:rPr>
        <w:t xml:space="preserve">the factors identified in the research literature as impacting and being impacted by housing for low-income communities. </w:t>
      </w:r>
      <w:r w:rsidR="00D17B6A" w:rsidRPr="00A92010">
        <w:rPr>
          <w:rFonts w:asciiTheme="majorHAnsi" w:eastAsia="Times New Roman" w:hAnsiTheme="majorHAnsi" w:cstheme="majorBidi"/>
          <w:sz w:val="23"/>
          <w:szCs w:val="23"/>
          <w:lang w:eastAsia="en-GB"/>
        </w:rPr>
        <w:t>I</w:t>
      </w:r>
      <w:r w:rsidR="00F00E3D" w:rsidRPr="00A92010">
        <w:rPr>
          <w:rFonts w:asciiTheme="majorHAnsi" w:eastAsia="Times New Roman" w:hAnsiTheme="majorHAnsi" w:cstheme="majorBidi"/>
          <w:sz w:val="23"/>
          <w:szCs w:val="23"/>
          <w:lang w:eastAsia="en-GB"/>
        </w:rPr>
        <w:t xml:space="preserve">ncome, education level, and access to affordable housing, services, and facilities stand out as key factors </w:t>
      </w:r>
      <w:r w:rsidR="00343B80" w:rsidRPr="00A92010">
        <w:rPr>
          <w:rFonts w:asciiTheme="majorHAnsi" w:eastAsia="Times New Roman" w:hAnsiTheme="majorHAnsi" w:cstheme="majorBidi"/>
          <w:sz w:val="23"/>
          <w:szCs w:val="23"/>
          <w:lang w:eastAsia="en-GB"/>
        </w:rPr>
        <w:t xml:space="preserve">that </w:t>
      </w:r>
      <w:r w:rsidR="00F00E3D" w:rsidRPr="00A92010">
        <w:rPr>
          <w:rFonts w:asciiTheme="majorHAnsi" w:eastAsia="Times New Roman" w:hAnsiTheme="majorHAnsi" w:cstheme="majorBidi"/>
          <w:sz w:val="23"/>
          <w:szCs w:val="23"/>
          <w:lang w:eastAsia="en-GB"/>
        </w:rPr>
        <w:t>impact housing outcomes.</w:t>
      </w:r>
    </w:p>
    <w:p w14:paraId="1490DF5F" w14:textId="77777777" w:rsidR="00F00E3D" w:rsidRPr="00A92010" w:rsidRDefault="00F00E3D" w:rsidP="009B2FA7">
      <w:pPr>
        <w:pStyle w:val="Default"/>
        <w:spacing w:line="276" w:lineRule="auto"/>
        <w:rPr>
          <w:rFonts w:asciiTheme="majorHAnsi" w:eastAsia="Times New Roman" w:hAnsiTheme="majorHAnsi" w:cstheme="majorBidi"/>
          <w:sz w:val="10"/>
          <w:szCs w:val="10"/>
          <w:lang w:eastAsia="en-GB"/>
        </w:rPr>
      </w:pPr>
    </w:p>
    <w:p w14:paraId="14D5FD7B" w14:textId="17215C79" w:rsidR="00F00E3D" w:rsidRPr="00A92010" w:rsidRDefault="00877D99" w:rsidP="009B2FA7">
      <w:pPr>
        <w:spacing w:after="0" w:line="276" w:lineRule="auto"/>
        <w:contextualSpacing/>
        <w:rPr>
          <w:rFonts w:asciiTheme="majorHAnsi" w:eastAsia="Times New Roman" w:hAnsiTheme="majorHAnsi" w:cstheme="majorBidi"/>
          <w:sz w:val="23"/>
          <w:szCs w:val="23"/>
          <w:lang w:eastAsia="en-GB"/>
        </w:rPr>
      </w:pPr>
      <w:r w:rsidRPr="00A92010">
        <w:rPr>
          <w:rFonts w:asciiTheme="majorHAnsi" w:eastAsia="Times New Roman" w:hAnsiTheme="majorHAnsi" w:cstheme="majorHAnsi"/>
          <w:b/>
          <w:bCs/>
          <w:sz w:val="23"/>
          <w:szCs w:val="23"/>
          <w:lang w:eastAsia="en-GB"/>
        </w:rPr>
        <w:t>Liveability</w:t>
      </w:r>
      <w:r w:rsidRPr="00A92010">
        <w:rPr>
          <w:rFonts w:asciiTheme="majorHAnsi" w:eastAsia="Times New Roman" w:hAnsiTheme="majorHAnsi" w:cstheme="majorHAnsi"/>
          <w:sz w:val="23"/>
          <w:szCs w:val="23"/>
          <w:lang w:eastAsia="en-GB"/>
        </w:rPr>
        <w:t xml:space="preserve">: </w:t>
      </w:r>
      <w:hyperlink w:anchor="OLE_LINKTable115" w:history="1">
        <w:r w:rsidR="003B504D" w:rsidRPr="00A92010">
          <w:rPr>
            <w:rStyle w:val="Hyperlink"/>
            <w:rFonts w:asciiTheme="majorHAnsi" w:eastAsia="Times New Roman" w:hAnsiTheme="majorHAnsi" w:cstheme="majorHAnsi"/>
            <w:sz w:val="23"/>
            <w:szCs w:val="23"/>
            <w:lang w:eastAsia="en-GB"/>
          </w:rPr>
          <w:t>Table 3.8</w:t>
        </w:r>
      </w:hyperlink>
      <w:r w:rsidR="00F00E3D" w:rsidRPr="00A92010">
        <w:rPr>
          <w:rFonts w:asciiTheme="majorHAnsi" w:eastAsia="Times New Roman" w:hAnsiTheme="majorHAnsi" w:cstheme="majorHAnsi"/>
          <w:sz w:val="23"/>
          <w:szCs w:val="23"/>
          <w:lang w:eastAsia="en-GB"/>
        </w:rPr>
        <w:t xml:space="preserve"> </w:t>
      </w:r>
      <w:r w:rsidR="00536604" w:rsidRPr="00A92010">
        <w:rPr>
          <w:rFonts w:asciiTheme="majorHAnsi" w:eastAsia="Times New Roman" w:hAnsiTheme="majorHAnsi" w:cstheme="majorHAnsi"/>
          <w:sz w:val="23"/>
          <w:szCs w:val="23"/>
          <w:lang w:eastAsia="en-GB"/>
        </w:rPr>
        <w:t>lists</w:t>
      </w:r>
      <w:r w:rsidR="00F00E3D" w:rsidRPr="00A92010">
        <w:rPr>
          <w:rFonts w:asciiTheme="majorHAnsi" w:eastAsia="Times New Roman" w:hAnsiTheme="majorHAnsi" w:cstheme="majorHAnsi"/>
          <w:sz w:val="23"/>
          <w:szCs w:val="23"/>
          <w:lang w:eastAsia="en-GB"/>
        </w:rPr>
        <w:t xml:space="preserve"> the factors identified in the research literature as impacting liveability for low-income communities. </w:t>
      </w:r>
      <w:r w:rsidR="00D17B6A" w:rsidRPr="00A92010">
        <w:rPr>
          <w:rFonts w:asciiTheme="majorHAnsi" w:eastAsia="Times New Roman" w:hAnsiTheme="majorHAnsi" w:cstheme="majorBidi"/>
          <w:sz w:val="23"/>
          <w:szCs w:val="23"/>
          <w:lang w:eastAsia="en-GB"/>
        </w:rPr>
        <w:t>C</w:t>
      </w:r>
      <w:r w:rsidR="00F00E3D" w:rsidRPr="00A92010">
        <w:rPr>
          <w:rFonts w:asciiTheme="majorHAnsi" w:eastAsia="Times New Roman" w:hAnsiTheme="majorHAnsi" w:cstheme="majorBidi"/>
          <w:sz w:val="23"/>
          <w:szCs w:val="23"/>
          <w:lang w:eastAsia="en-GB"/>
        </w:rPr>
        <w:t>rime and safety, access to affordable housing, residential mobility</w:t>
      </w:r>
      <w:r w:rsidR="0048795E" w:rsidRPr="00A92010">
        <w:rPr>
          <w:rFonts w:asciiTheme="majorHAnsi" w:eastAsia="Times New Roman" w:hAnsiTheme="majorHAnsi" w:cstheme="majorBidi"/>
          <w:sz w:val="23"/>
          <w:szCs w:val="23"/>
          <w:lang w:eastAsia="en-GB"/>
        </w:rPr>
        <w:t>,</w:t>
      </w:r>
      <w:r w:rsidR="00F00E3D" w:rsidRPr="00A92010">
        <w:rPr>
          <w:rFonts w:asciiTheme="majorHAnsi" w:eastAsia="Times New Roman" w:hAnsiTheme="majorHAnsi" w:cstheme="majorBidi"/>
          <w:sz w:val="23"/>
          <w:szCs w:val="23"/>
          <w:lang w:eastAsia="en-GB"/>
        </w:rPr>
        <w:t xml:space="preserve"> and access to transport stand out as key factors impact</w:t>
      </w:r>
      <w:r w:rsidR="00696AA2" w:rsidRPr="00A92010">
        <w:rPr>
          <w:rFonts w:asciiTheme="majorHAnsi" w:eastAsia="Times New Roman" w:hAnsiTheme="majorHAnsi" w:cstheme="majorBidi"/>
          <w:sz w:val="23"/>
          <w:szCs w:val="23"/>
          <w:lang w:eastAsia="en-GB"/>
        </w:rPr>
        <w:t>ing</w:t>
      </w:r>
      <w:r w:rsidR="00F00E3D" w:rsidRPr="00A92010">
        <w:rPr>
          <w:rFonts w:asciiTheme="majorHAnsi" w:eastAsia="Times New Roman" w:hAnsiTheme="majorHAnsi" w:cstheme="majorBidi"/>
          <w:sz w:val="23"/>
          <w:szCs w:val="23"/>
          <w:lang w:eastAsia="en-GB"/>
        </w:rPr>
        <w:t xml:space="preserve"> liveability outcomes</w:t>
      </w:r>
      <w:r w:rsidR="004A0AA8" w:rsidRPr="00A92010">
        <w:rPr>
          <w:rFonts w:asciiTheme="majorHAnsi" w:eastAsia="Times New Roman" w:hAnsiTheme="majorHAnsi" w:cstheme="majorBidi"/>
          <w:sz w:val="23"/>
          <w:szCs w:val="23"/>
          <w:lang w:eastAsia="en-GB"/>
        </w:rPr>
        <w:t xml:space="preserve"> (for definition of “liveability”, see</w:t>
      </w:r>
      <w:r w:rsidR="00696AA2" w:rsidRPr="00A92010">
        <w:rPr>
          <w:rFonts w:asciiTheme="majorHAnsi" w:eastAsia="Times New Roman" w:hAnsiTheme="majorHAnsi" w:cstheme="majorBidi"/>
          <w:sz w:val="23"/>
          <w:szCs w:val="23"/>
          <w:lang w:eastAsia="en-GB"/>
        </w:rPr>
        <w:t xml:space="preserve"> p.2)</w:t>
      </w:r>
      <w:r w:rsidR="00F00E3D" w:rsidRPr="00A92010">
        <w:rPr>
          <w:rFonts w:asciiTheme="majorHAnsi" w:eastAsia="Times New Roman" w:hAnsiTheme="majorHAnsi" w:cstheme="majorBidi"/>
          <w:sz w:val="23"/>
          <w:szCs w:val="23"/>
          <w:lang w:eastAsia="en-GB"/>
        </w:rPr>
        <w:t>.</w:t>
      </w:r>
    </w:p>
    <w:p w14:paraId="706A1379" w14:textId="77777777" w:rsidR="00F00E3D" w:rsidRPr="00A92010" w:rsidRDefault="00F00E3D" w:rsidP="009B2FA7">
      <w:pPr>
        <w:spacing w:after="0" w:line="276" w:lineRule="auto"/>
        <w:contextualSpacing/>
        <w:rPr>
          <w:rFonts w:asciiTheme="majorHAnsi" w:eastAsia="Times New Roman" w:hAnsiTheme="majorHAnsi" w:cstheme="majorBidi"/>
          <w:sz w:val="10"/>
          <w:szCs w:val="10"/>
          <w:lang w:eastAsia="en-GB"/>
        </w:rPr>
      </w:pPr>
    </w:p>
    <w:p w14:paraId="307A0736" w14:textId="599F7081" w:rsidR="00F00E3D" w:rsidRPr="00877D99" w:rsidRDefault="00877D99" w:rsidP="009B2FA7">
      <w:pPr>
        <w:spacing w:after="0" w:line="276" w:lineRule="auto"/>
        <w:contextualSpacing/>
        <w:rPr>
          <w:rFonts w:asciiTheme="majorHAnsi" w:eastAsia="Times New Roman" w:hAnsiTheme="majorHAnsi" w:cstheme="majorHAnsi"/>
          <w:sz w:val="23"/>
          <w:szCs w:val="23"/>
          <w:lang w:eastAsia="en-GB"/>
        </w:rPr>
      </w:pPr>
      <w:r w:rsidRPr="00A92010">
        <w:rPr>
          <w:rFonts w:asciiTheme="majorHAnsi" w:eastAsia="Times New Roman" w:hAnsiTheme="majorHAnsi" w:cstheme="majorHAnsi"/>
          <w:b/>
          <w:bCs/>
          <w:sz w:val="23"/>
          <w:szCs w:val="23"/>
          <w:lang w:eastAsia="en-GB"/>
        </w:rPr>
        <w:t>Employment:</w:t>
      </w:r>
      <w:r w:rsidRPr="00A92010">
        <w:rPr>
          <w:rFonts w:asciiTheme="majorHAnsi" w:eastAsia="Times New Roman" w:hAnsiTheme="majorHAnsi" w:cstheme="majorHAnsi"/>
          <w:sz w:val="23"/>
          <w:szCs w:val="23"/>
          <w:lang w:eastAsia="en-GB"/>
        </w:rPr>
        <w:t xml:space="preserve"> </w:t>
      </w:r>
      <w:hyperlink w:anchor="OLE_LINKTable116" w:history="1">
        <w:r w:rsidR="00696AA2" w:rsidRPr="00A92010">
          <w:rPr>
            <w:rStyle w:val="Hyperlink"/>
            <w:rFonts w:asciiTheme="majorHAnsi" w:eastAsia="Times New Roman" w:hAnsiTheme="majorHAnsi" w:cstheme="majorHAnsi"/>
            <w:sz w:val="23"/>
            <w:szCs w:val="23"/>
            <w:lang w:eastAsia="en-GB"/>
          </w:rPr>
          <w:t>Table 3.9</w:t>
        </w:r>
      </w:hyperlink>
      <w:r w:rsidR="00F00E3D" w:rsidRPr="00A92010">
        <w:rPr>
          <w:rFonts w:asciiTheme="majorHAnsi" w:eastAsia="Times New Roman" w:hAnsiTheme="majorHAnsi" w:cstheme="majorHAnsi"/>
          <w:sz w:val="23"/>
          <w:szCs w:val="23"/>
          <w:lang w:eastAsia="en-GB"/>
        </w:rPr>
        <w:t xml:space="preserve"> </w:t>
      </w:r>
      <w:r w:rsidR="0048795E" w:rsidRPr="00A92010">
        <w:rPr>
          <w:rFonts w:asciiTheme="majorHAnsi" w:eastAsia="Times New Roman" w:hAnsiTheme="majorHAnsi" w:cstheme="majorHAnsi"/>
          <w:sz w:val="23"/>
          <w:szCs w:val="23"/>
          <w:lang w:eastAsia="en-GB"/>
        </w:rPr>
        <w:t>lists</w:t>
      </w:r>
      <w:r w:rsidR="00F00E3D" w:rsidRPr="00A92010">
        <w:rPr>
          <w:rFonts w:asciiTheme="majorHAnsi" w:eastAsia="Times New Roman" w:hAnsiTheme="majorHAnsi" w:cstheme="majorHAnsi"/>
          <w:sz w:val="23"/>
          <w:szCs w:val="23"/>
          <w:lang w:eastAsia="en-GB"/>
        </w:rPr>
        <w:t xml:space="preserve"> the factors identified in the research literature as impacting employment for low-income communities.</w:t>
      </w:r>
    </w:p>
    <w:p w14:paraId="54737F01" w14:textId="77777777" w:rsidR="00F00E3D" w:rsidRPr="00546498" w:rsidRDefault="00F00E3D" w:rsidP="009B2FA7">
      <w:pPr>
        <w:pStyle w:val="Default"/>
        <w:spacing w:line="276" w:lineRule="auto"/>
        <w:rPr>
          <w:rFonts w:asciiTheme="minorHAnsi" w:hAnsiTheme="minorHAnsi" w:cstheme="minorHAnsi"/>
          <w:color w:val="auto"/>
          <w:sz w:val="12"/>
          <w:szCs w:val="12"/>
        </w:rPr>
      </w:pPr>
    </w:p>
    <w:p w14:paraId="6DDC21C7" w14:textId="7E32C51B" w:rsidR="00F00E3D" w:rsidRPr="000B1497" w:rsidRDefault="00F00E3D" w:rsidP="009B2FA7">
      <w:pPr>
        <w:pStyle w:val="Default"/>
        <w:spacing w:line="276" w:lineRule="auto"/>
        <w:rPr>
          <w:rFonts w:asciiTheme="minorHAnsi" w:hAnsiTheme="minorHAnsi" w:cstheme="minorBidi"/>
          <w:b/>
          <w:bCs/>
          <w:color w:val="2E74B5" w:themeColor="accent5" w:themeShade="BF"/>
          <w:sz w:val="25"/>
          <w:szCs w:val="25"/>
        </w:rPr>
      </w:pPr>
      <w:r w:rsidRPr="000B1497">
        <w:rPr>
          <w:rFonts w:asciiTheme="minorHAnsi" w:hAnsiTheme="minorHAnsi" w:cstheme="minorBidi"/>
          <w:b/>
          <w:color w:val="2E74B5" w:themeColor="accent5" w:themeShade="BF"/>
          <w:sz w:val="25"/>
          <w:szCs w:val="25"/>
        </w:rPr>
        <w:t xml:space="preserve">2. What interventions have been used </w:t>
      </w:r>
      <w:r w:rsidR="00D34BC4" w:rsidRPr="000B1497">
        <w:rPr>
          <w:rFonts w:asciiTheme="minorHAnsi" w:hAnsiTheme="minorHAnsi" w:cstheme="minorBidi"/>
          <w:b/>
          <w:color w:val="2E74B5" w:themeColor="accent5" w:themeShade="BF"/>
          <w:sz w:val="25"/>
          <w:szCs w:val="25"/>
        </w:rPr>
        <w:t xml:space="preserve">to </w:t>
      </w:r>
      <w:r w:rsidRPr="000B1497">
        <w:rPr>
          <w:rFonts w:asciiTheme="minorHAnsi" w:hAnsiTheme="minorHAnsi" w:cstheme="minorBidi"/>
          <w:b/>
          <w:color w:val="2E74B5" w:themeColor="accent5" w:themeShade="BF"/>
          <w:sz w:val="25"/>
          <w:szCs w:val="25"/>
        </w:rPr>
        <w:t xml:space="preserve">address these social and economic factors </w:t>
      </w:r>
      <w:r w:rsidR="00D34BC4" w:rsidRPr="000B1497">
        <w:rPr>
          <w:rFonts w:asciiTheme="minorHAnsi" w:hAnsiTheme="minorHAnsi" w:cstheme="minorBidi"/>
          <w:b/>
          <w:color w:val="2E74B5" w:themeColor="accent5" w:themeShade="BF"/>
          <w:sz w:val="25"/>
          <w:szCs w:val="25"/>
        </w:rPr>
        <w:t>and</w:t>
      </w:r>
      <w:r w:rsidRPr="000B1497">
        <w:rPr>
          <w:rFonts w:asciiTheme="minorHAnsi" w:hAnsiTheme="minorHAnsi" w:cstheme="minorBidi"/>
          <w:b/>
          <w:color w:val="2E74B5" w:themeColor="accent5" w:themeShade="BF"/>
          <w:sz w:val="25"/>
          <w:szCs w:val="25"/>
        </w:rPr>
        <w:t xml:space="preserve"> improve community outcomes</w:t>
      </w:r>
      <w:r w:rsidR="00170850" w:rsidRPr="000B1497">
        <w:rPr>
          <w:rFonts w:asciiTheme="minorHAnsi" w:hAnsiTheme="minorHAnsi" w:cstheme="minorBidi"/>
          <w:b/>
          <w:color w:val="2E74B5" w:themeColor="accent5" w:themeShade="BF"/>
          <w:sz w:val="25"/>
          <w:szCs w:val="25"/>
        </w:rPr>
        <w:t>, both within Australia and globally</w:t>
      </w:r>
      <w:r w:rsidRPr="000B1497">
        <w:rPr>
          <w:rFonts w:asciiTheme="minorHAnsi" w:hAnsiTheme="minorHAnsi" w:cstheme="minorBidi"/>
          <w:b/>
          <w:color w:val="2E74B5" w:themeColor="accent5" w:themeShade="BF"/>
          <w:sz w:val="25"/>
          <w:szCs w:val="25"/>
        </w:rPr>
        <w:t>?</w:t>
      </w:r>
    </w:p>
    <w:p w14:paraId="3108B605" w14:textId="77777777" w:rsidR="00F00E3D" w:rsidRPr="00546498" w:rsidRDefault="00F00E3D" w:rsidP="009B2FA7">
      <w:pPr>
        <w:pStyle w:val="Default"/>
        <w:spacing w:line="276" w:lineRule="auto"/>
        <w:rPr>
          <w:rFonts w:asciiTheme="majorHAnsi" w:eastAsia="Times New Roman" w:hAnsiTheme="majorHAnsi" w:cstheme="majorBidi"/>
          <w:sz w:val="12"/>
          <w:szCs w:val="12"/>
          <w:lang w:val="en-GB"/>
        </w:rPr>
      </w:pPr>
    </w:p>
    <w:p w14:paraId="363BB8DB" w14:textId="608DE95B" w:rsidR="00F00E3D" w:rsidRDefault="00170850" w:rsidP="009B2FA7">
      <w:pPr>
        <w:pStyle w:val="Default"/>
        <w:spacing w:line="276" w:lineRule="auto"/>
        <w:rPr>
          <w:rFonts w:asciiTheme="majorHAnsi" w:eastAsia="Times New Roman" w:hAnsiTheme="majorHAnsi" w:cstheme="majorBidi"/>
          <w:sz w:val="23"/>
          <w:szCs w:val="23"/>
          <w:lang w:eastAsia="en-GB"/>
        </w:rPr>
      </w:pPr>
      <w:r>
        <w:rPr>
          <w:rFonts w:asciiTheme="majorHAnsi" w:eastAsia="Times New Roman" w:hAnsiTheme="majorHAnsi" w:cstheme="majorBidi"/>
          <w:sz w:val="23"/>
          <w:szCs w:val="23"/>
          <w:lang w:eastAsia="en-GB"/>
        </w:rPr>
        <w:t>Here we</w:t>
      </w:r>
      <w:r w:rsidR="00C12CFB">
        <w:rPr>
          <w:rFonts w:asciiTheme="majorHAnsi" w:eastAsia="Times New Roman" w:hAnsiTheme="majorHAnsi" w:cstheme="majorBidi"/>
          <w:sz w:val="23"/>
          <w:szCs w:val="23"/>
          <w:lang w:eastAsia="en-GB"/>
        </w:rPr>
        <w:t xml:space="preserve"> took a</w:t>
      </w:r>
      <w:r w:rsidR="00D7347E">
        <w:rPr>
          <w:rFonts w:asciiTheme="majorHAnsi" w:eastAsia="Times New Roman" w:hAnsiTheme="majorHAnsi" w:cstheme="majorBidi"/>
          <w:sz w:val="23"/>
          <w:szCs w:val="23"/>
          <w:lang w:eastAsia="en-GB"/>
        </w:rPr>
        <w:t xml:space="preserve"> two-pronged a</w:t>
      </w:r>
      <w:r w:rsidR="004F79F6">
        <w:rPr>
          <w:rFonts w:asciiTheme="majorHAnsi" w:eastAsia="Times New Roman" w:hAnsiTheme="majorHAnsi" w:cstheme="majorBidi"/>
          <w:sz w:val="23"/>
          <w:szCs w:val="23"/>
          <w:lang w:eastAsia="en-GB"/>
        </w:rPr>
        <w:t xml:space="preserve">pproach: </w:t>
      </w:r>
      <w:r w:rsidR="00C12CFB">
        <w:rPr>
          <w:rFonts w:asciiTheme="majorHAnsi" w:eastAsia="Times New Roman" w:hAnsiTheme="majorHAnsi" w:cstheme="majorBidi"/>
          <w:sz w:val="23"/>
          <w:szCs w:val="23"/>
          <w:lang w:eastAsia="en-GB"/>
        </w:rPr>
        <w:t>synthesising</w:t>
      </w:r>
      <w:r w:rsidR="00D9020C">
        <w:rPr>
          <w:rFonts w:asciiTheme="majorHAnsi" w:eastAsia="Times New Roman" w:hAnsiTheme="majorHAnsi" w:cstheme="majorBidi"/>
          <w:sz w:val="23"/>
          <w:szCs w:val="23"/>
          <w:lang w:eastAsia="en-GB"/>
        </w:rPr>
        <w:t xml:space="preserve"> </w:t>
      </w:r>
      <w:r w:rsidR="00C12CFB">
        <w:rPr>
          <w:rFonts w:asciiTheme="majorHAnsi" w:eastAsia="Times New Roman" w:hAnsiTheme="majorHAnsi" w:cstheme="majorBidi"/>
          <w:sz w:val="23"/>
          <w:szCs w:val="23"/>
          <w:lang w:eastAsia="en-GB"/>
        </w:rPr>
        <w:t xml:space="preserve">the </w:t>
      </w:r>
      <w:r w:rsidR="004F79F6">
        <w:rPr>
          <w:rFonts w:asciiTheme="majorHAnsi" w:eastAsia="Times New Roman" w:hAnsiTheme="majorHAnsi" w:cstheme="majorBidi"/>
          <w:sz w:val="23"/>
          <w:szCs w:val="23"/>
          <w:lang w:eastAsia="en-GB"/>
        </w:rPr>
        <w:t xml:space="preserve">key </w:t>
      </w:r>
      <w:r w:rsidR="00D7347E">
        <w:rPr>
          <w:rFonts w:asciiTheme="majorHAnsi" w:eastAsia="Times New Roman" w:hAnsiTheme="majorHAnsi" w:cstheme="majorBidi"/>
          <w:sz w:val="23"/>
          <w:szCs w:val="23"/>
          <w:lang w:eastAsia="en-GB"/>
        </w:rPr>
        <w:t>academic</w:t>
      </w:r>
      <w:r w:rsidR="001E09B5">
        <w:rPr>
          <w:rFonts w:asciiTheme="majorHAnsi" w:eastAsia="Times New Roman" w:hAnsiTheme="majorHAnsi" w:cstheme="majorBidi"/>
          <w:sz w:val="23"/>
          <w:szCs w:val="23"/>
          <w:lang w:eastAsia="en-GB"/>
        </w:rPr>
        <w:t xml:space="preserve"> </w:t>
      </w:r>
      <w:proofErr w:type="gramStart"/>
      <w:r w:rsidR="00EB3EF7">
        <w:rPr>
          <w:rFonts w:asciiTheme="majorHAnsi" w:eastAsia="Times New Roman" w:hAnsiTheme="majorHAnsi" w:cstheme="majorBidi"/>
          <w:sz w:val="23"/>
          <w:szCs w:val="23"/>
          <w:lang w:eastAsia="en-GB"/>
        </w:rPr>
        <w:t>literature</w:t>
      </w:r>
      <w:r w:rsidR="00603D21">
        <w:rPr>
          <w:rFonts w:asciiTheme="majorHAnsi" w:eastAsia="Times New Roman" w:hAnsiTheme="majorHAnsi" w:cstheme="majorBidi"/>
          <w:sz w:val="23"/>
          <w:szCs w:val="23"/>
          <w:lang w:eastAsia="en-GB"/>
        </w:rPr>
        <w:t>,</w:t>
      </w:r>
      <w:r w:rsidR="00EB3EF7">
        <w:rPr>
          <w:rFonts w:asciiTheme="majorHAnsi" w:eastAsia="Times New Roman" w:hAnsiTheme="majorHAnsi" w:cstheme="majorBidi"/>
          <w:sz w:val="23"/>
          <w:szCs w:val="23"/>
          <w:lang w:eastAsia="en-GB"/>
        </w:rPr>
        <w:t xml:space="preserve"> </w:t>
      </w:r>
      <w:r w:rsidR="00C4220E">
        <w:rPr>
          <w:rFonts w:asciiTheme="majorHAnsi" w:eastAsia="Times New Roman" w:hAnsiTheme="majorHAnsi" w:cstheme="majorBidi"/>
          <w:sz w:val="23"/>
          <w:szCs w:val="23"/>
          <w:lang w:eastAsia="en-GB"/>
        </w:rPr>
        <w:t>a</w:t>
      </w:r>
      <w:r w:rsidR="001E09B5">
        <w:rPr>
          <w:rFonts w:asciiTheme="majorHAnsi" w:eastAsia="Times New Roman" w:hAnsiTheme="majorHAnsi" w:cstheme="majorBidi"/>
          <w:sz w:val="23"/>
          <w:szCs w:val="23"/>
          <w:lang w:eastAsia="en-GB"/>
        </w:rPr>
        <w:t>nd</w:t>
      </w:r>
      <w:proofErr w:type="gramEnd"/>
      <w:r w:rsidR="00C4220E">
        <w:rPr>
          <w:rFonts w:asciiTheme="majorHAnsi" w:eastAsia="Times New Roman" w:hAnsiTheme="majorHAnsi" w:cstheme="majorBidi"/>
          <w:sz w:val="23"/>
          <w:szCs w:val="23"/>
          <w:lang w:eastAsia="en-GB"/>
        </w:rPr>
        <w:t xml:space="preserve"> </w:t>
      </w:r>
      <w:r w:rsidR="00EB3EF7">
        <w:rPr>
          <w:rFonts w:asciiTheme="majorHAnsi" w:eastAsia="Times New Roman" w:hAnsiTheme="majorHAnsi" w:cstheme="majorBidi"/>
          <w:sz w:val="23"/>
          <w:szCs w:val="23"/>
          <w:lang w:eastAsia="en-GB"/>
        </w:rPr>
        <w:t>compil</w:t>
      </w:r>
      <w:r w:rsidR="004F79F6">
        <w:rPr>
          <w:rFonts w:asciiTheme="majorHAnsi" w:eastAsia="Times New Roman" w:hAnsiTheme="majorHAnsi" w:cstheme="majorBidi"/>
          <w:sz w:val="23"/>
          <w:szCs w:val="23"/>
          <w:lang w:eastAsia="en-GB"/>
        </w:rPr>
        <w:t>ing</w:t>
      </w:r>
      <w:r w:rsidR="00EB3EF7">
        <w:rPr>
          <w:rFonts w:asciiTheme="majorHAnsi" w:eastAsia="Times New Roman" w:hAnsiTheme="majorHAnsi" w:cstheme="majorBidi"/>
          <w:sz w:val="23"/>
          <w:szCs w:val="23"/>
          <w:lang w:eastAsia="en-GB"/>
        </w:rPr>
        <w:t xml:space="preserve"> </w:t>
      </w:r>
      <w:r w:rsidR="00482377">
        <w:rPr>
          <w:rFonts w:asciiTheme="majorHAnsi" w:eastAsia="Times New Roman" w:hAnsiTheme="majorHAnsi" w:cstheme="majorBidi"/>
          <w:sz w:val="23"/>
          <w:szCs w:val="23"/>
          <w:lang w:eastAsia="en-GB"/>
        </w:rPr>
        <w:t xml:space="preserve">a </w:t>
      </w:r>
      <w:r w:rsidR="00C4220E">
        <w:rPr>
          <w:rFonts w:asciiTheme="majorHAnsi" w:eastAsia="Times New Roman" w:hAnsiTheme="majorHAnsi" w:cstheme="majorBidi"/>
          <w:sz w:val="23"/>
          <w:szCs w:val="23"/>
          <w:lang w:eastAsia="en-GB"/>
        </w:rPr>
        <w:t>selection of</w:t>
      </w:r>
      <w:r w:rsidR="000338B2">
        <w:rPr>
          <w:rFonts w:asciiTheme="majorHAnsi" w:eastAsia="Times New Roman" w:hAnsiTheme="majorHAnsi" w:cstheme="majorBidi"/>
          <w:sz w:val="23"/>
          <w:szCs w:val="23"/>
          <w:lang w:eastAsia="en-GB"/>
        </w:rPr>
        <w:t xml:space="preserve"> </w:t>
      </w:r>
      <w:r w:rsidR="00AD2DA5">
        <w:rPr>
          <w:rFonts w:asciiTheme="majorHAnsi" w:eastAsia="Times New Roman" w:hAnsiTheme="majorHAnsi" w:cstheme="majorBidi"/>
          <w:sz w:val="23"/>
          <w:szCs w:val="23"/>
          <w:lang w:eastAsia="en-GB"/>
        </w:rPr>
        <w:t>Case Studies</w:t>
      </w:r>
      <w:r w:rsidR="005930FA">
        <w:rPr>
          <w:rFonts w:asciiTheme="majorHAnsi" w:eastAsia="Times New Roman" w:hAnsiTheme="majorHAnsi" w:cstheme="majorBidi"/>
          <w:sz w:val="23"/>
          <w:szCs w:val="23"/>
          <w:lang w:val="en-GB"/>
        </w:rPr>
        <w:t>.</w:t>
      </w:r>
      <w:r w:rsidR="009B6CD5">
        <w:rPr>
          <w:rFonts w:asciiTheme="majorHAnsi" w:eastAsia="Times New Roman" w:hAnsiTheme="majorHAnsi" w:cstheme="majorBidi"/>
          <w:sz w:val="23"/>
          <w:szCs w:val="23"/>
          <w:lang w:val="en-GB"/>
        </w:rPr>
        <w:t xml:space="preserve"> </w:t>
      </w:r>
      <w:r w:rsidR="00572DD0">
        <w:rPr>
          <w:rFonts w:asciiTheme="majorHAnsi" w:eastAsia="Times New Roman" w:hAnsiTheme="majorHAnsi" w:cstheme="majorBidi"/>
          <w:sz w:val="23"/>
          <w:szCs w:val="23"/>
          <w:lang w:val="en-GB"/>
        </w:rPr>
        <w:t>R</w:t>
      </w:r>
      <w:r w:rsidR="00C05BE0">
        <w:rPr>
          <w:rFonts w:asciiTheme="majorHAnsi" w:eastAsia="Times New Roman" w:hAnsiTheme="majorHAnsi" w:cstheme="majorBidi"/>
          <w:sz w:val="23"/>
          <w:szCs w:val="23"/>
          <w:lang w:val="en-GB"/>
        </w:rPr>
        <w:t>e</w:t>
      </w:r>
      <w:r w:rsidR="00572DD0">
        <w:rPr>
          <w:rFonts w:asciiTheme="majorHAnsi" w:eastAsia="Times New Roman" w:hAnsiTheme="majorHAnsi" w:cstheme="majorBidi"/>
          <w:sz w:val="23"/>
          <w:szCs w:val="23"/>
          <w:lang w:val="en-GB"/>
        </w:rPr>
        <w:t>viewing</w:t>
      </w:r>
      <w:r w:rsidR="00464EE4">
        <w:rPr>
          <w:rFonts w:asciiTheme="majorHAnsi" w:eastAsia="Times New Roman" w:hAnsiTheme="majorHAnsi" w:cstheme="majorBidi"/>
          <w:sz w:val="23"/>
          <w:szCs w:val="23"/>
          <w:lang w:val="en-GB"/>
        </w:rPr>
        <w:t xml:space="preserve"> </w:t>
      </w:r>
      <w:r w:rsidR="00620C92">
        <w:rPr>
          <w:rFonts w:asciiTheme="majorHAnsi" w:eastAsia="Times New Roman" w:hAnsiTheme="majorHAnsi" w:cstheme="majorBidi"/>
          <w:sz w:val="23"/>
          <w:szCs w:val="23"/>
          <w:lang w:val="en-GB"/>
        </w:rPr>
        <w:t>prior research</w:t>
      </w:r>
      <w:r w:rsidR="009B6CD5">
        <w:rPr>
          <w:rFonts w:asciiTheme="majorHAnsi" w:eastAsia="Times New Roman" w:hAnsiTheme="majorHAnsi" w:cstheme="majorBidi"/>
          <w:sz w:val="23"/>
          <w:szCs w:val="23"/>
          <w:lang w:val="en-GB"/>
        </w:rPr>
        <w:t>,</w:t>
      </w:r>
      <w:r w:rsidR="00F00E3D" w:rsidRPr="00193489">
        <w:rPr>
          <w:rFonts w:asciiTheme="majorHAnsi" w:eastAsia="Times New Roman" w:hAnsiTheme="majorHAnsi" w:cstheme="majorBidi"/>
          <w:sz w:val="23"/>
          <w:szCs w:val="23"/>
          <w:lang w:val="en-GB"/>
        </w:rPr>
        <w:t xml:space="preserve"> </w:t>
      </w:r>
      <w:hyperlink w:anchor="OLE_LINKSECTION324">
        <w:r w:rsidR="00F00E3D" w:rsidRPr="00193489">
          <w:rPr>
            <w:rStyle w:val="Hyperlink"/>
            <w:rFonts w:asciiTheme="majorHAnsi" w:eastAsia="Times New Roman" w:hAnsiTheme="majorHAnsi" w:cstheme="majorBidi"/>
            <w:sz w:val="23"/>
            <w:szCs w:val="23"/>
            <w:lang w:val="en-GB"/>
          </w:rPr>
          <w:t>Section 3.</w:t>
        </w:r>
        <w:r w:rsidR="00696AA2">
          <w:rPr>
            <w:rStyle w:val="Hyperlink"/>
            <w:rFonts w:asciiTheme="majorHAnsi" w:eastAsia="Times New Roman" w:hAnsiTheme="majorHAnsi" w:cstheme="majorBidi"/>
            <w:sz w:val="23"/>
            <w:szCs w:val="23"/>
            <w:lang w:val="en-GB"/>
          </w:rPr>
          <w:t>3</w:t>
        </w:r>
        <w:r w:rsidR="00F00E3D" w:rsidRPr="00193489">
          <w:rPr>
            <w:rStyle w:val="Hyperlink"/>
            <w:rFonts w:asciiTheme="majorHAnsi" w:eastAsia="Times New Roman" w:hAnsiTheme="majorHAnsi" w:cstheme="majorBidi"/>
            <w:sz w:val="23"/>
            <w:szCs w:val="23"/>
            <w:lang w:val="en-GB"/>
          </w:rPr>
          <w:t>.4</w:t>
        </w:r>
      </w:hyperlink>
      <w:r w:rsidR="00F00E3D" w:rsidRPr="00193489">
        <w:rPr>
          <w:rFonts w:asciiTheme="majorHAnsi" w:eastAsia="Times New Roman" w:hAnsiTheme="majorHAnsi" w:cstheme="majorBidi"/>
          <w:sz w:val="23"/>
          <w:szCs w:val="23"/>
          <w:lang w:val="en-GB"/>
        </w:rPr>
        <w:t xml:space="preserve"> </w:t>
      </w:r>
      <w:r w:rsidR="004D0271">
        <w:rPr>
          <w:rFonts w:asciiTheme="majorHAnsi" w:eastAsia="Times New Roman" w:hAnsiTheme="majorHAnsi" w:cstheme="majorBidi"/>
          <w:sz w:val="23"/>
          <w:szCs w:val="23"/>
          <w:lang w:eastAsia="en-GB"/>
        </w:rPr>
        <w:t>outlines</w:t>
      </w:r>
      <w:r w:rsidR="00F00E3D" w:rsidRPr="00193489">
        <w:rPr>
          <w:rFonts w:asciiTheme="majorHAnsi" w:eastAsia="Times New Roman" w:hAnsiTheme="majorHAnsi" w:cstheme="majorBidi"/>
          <w:sz w:val="23"/>
          <w:szCs w:val="23"/>
          <w:lang w:eastAsia="en-GB"/>
        </w:rPr>
        <w:t xml:space="preserve"> </w:t>
      </w:r>
      <w:r w:rsidR="00BF7E09">
        <w:rPr>
          <w:rFonts w:asciiTheme="majorHAnsi" w:eastAsia="Times New Roman" w:hAnsiTheme="majorHAnsi" w:cstheme="majorBidi"/>
          <w:sz w:val="23"/>
          <w:szCs w:val="23"/>
          <w:lang w:eastAsia="en-GB"/>
        </w:rPr>
        <w:t>a range of</w:t>
      </w:r>
      <w:r w:rsidR="00F00E3D" w:rsidRPr="00193489">
        <w:rPr>
          <w:rFonts w:asciiTheme="majorHAnsi" w:eastAsia="Times New Roman" w:hAnsiTheme="majorHAnsi" w:cstheme="majorBidi"/>
          <w:sz w:val="23"/>
          <w:szCs w:val="23"/>
          <w:lang w:eastAsia="en-GB"/>
        </w:rPr>
        <w:t xml:space="preserve"> intervention</w:t>
      </w:r>
      <w:r w:rsidR="004D0271">
        <w:rPr>
          <w:rFonts w:asciiTheme="majorHAnsi" w:eastAsia="Times New Roman" w:hAnsiTheme="majorHAnsi" w:cstheme="majorBidi"/>
          <w:sz w:val="23"/>
          <w:szCs w:val="23"/>
          <w:lang w:eastAsia="en-GB"/>
        </w:rPr>
        <w:t xml:space="preserve"> types</w:t>
      </w:r>
      <w:r w:rsidR="00F00E3D" w:rsidRPr="00193489">
        <w:rPr>
          <w:rFonts w:asciiTheme="majorHAnsi" w:eastAsia="Times New Roman" w:hAnsiTheme="majorHAnsi" w:cstheme="majorBidi"/>
          <w:sz w:val="23"/>
          <w:szCs w:val="23"/>
          <w:lang w:eastAsia="en-GB"/>
        </w:rPr>
        <w:t xml:space="preserve"> that have been used globally to address the social and economic factors that drive outcomes for communities affected by disadvantage.</w:t>
      </w:r>
      <w:r w:rsidR="002C6E75">
        <w:rPr>
          <w:rStyle w:val="FootnoteReference"/>
          <w:rFonts w:asciiTheme="majorHAnsi" w:eastAsia="Times New Roman" w:hAnsiTheme="majorHAnsi" w:cstheme="majorBidi"/>
          <w:sz w:val="23"/>
          <w:szCs w:val="23"/>
          <w:lang w:eastAsia="en-GB"/>
        </w:rPr>
        <w:footnoteReference w:id="2"/>
      </w:r>
      <w:r w:rsidR="00F00E3D" w:rsidRPr="00193489">
        <w:rPr>
          <w:rFonts w:asciiTheme="majorHAnsi" w:eastAsia="Times New Roman" w:hAnsiTheme="majorHAnsi" w:cstheme="majorBidi"/>
          <w:sz w:val="23"/>
          <w:szCs w:val="23"/>
          <w:lang w:eastAsia="en-GB"/>
        </w:rPr>
        <w:t xml:space="preserve"> </w:t>
      </w:r>
      <w:r w:rsidR="00B60BF3">
        <w:rPr>
          <w:rFonts w:asciiTheme="majorHAnsi" w:eastAsia="Times New Roman" w:hAnsiTheme="majorHAnsi" w:cstheme="majorBidi"/>
          <w:sz w:val="23"/>
          <w:szCs w:val="23"/>
          <w:lang w:eastAsia="en-GB"/>
        </w:rPr>
        <w:t xml:space="preserve">Most </w:t>
      </w:r>
      <w:r w:rsidR="009B3A7A">
        <w:rPr>
          <w:rFonts w:asciiTheme="majorHAnsi" w:eastAsia="Times New Roman" w:hAnsiTheme="majorHAnsi" w:cstheme="majorBidi"/>
          <w:sz w:val="23"/>
          <w:szCs w:val="23"/>
          <w:lang w:eastAsia="en-GB"/>
        </w:rPr>
        <w:t>studies</w:t>
      </w:r>
      <w:r w:rsidR="009B6CD5">
        <w:rPr>
          <w:rFonts w:asciiTheme="majorHAnsi" w:eastAsia="Times New Roman" w:hAnsiTheme="majorHAnsi" w:cstheme="majorBidi"/>
          <w:sz w:val="23"/>
          <w:szCs w:val="23"/>
          <w:lang w:eastAsia="en-GB"/>
        </w:rPr>
        <w:t xml:space="preserve"> </w:t>
      </w:r>
      <w:r w:rsidR="009B3A7A">
        <w:rPr>
          <w:rFonts w:asciiTheme="majorHAnsi" w:eastAsia="Times New Roman" w:hAnsiTheme="majorHAnsi" w:cstheme="majorBidi"/>
          <w:sz w:val="23"/>
          <w:szCs w:val="23"/>
          <w:lang w:eastAsia="en-GB"/>
        </w:rPr>
        <w:t>are</w:t>
      </w:r>
      <w:r w:rsidR="00F00E3D" w:rsidRPr="00193489">
        <w:rPr>
          <w:rFonts w:asciiTheme="majorHAnsi" w:eastAsia="Times New Roman" w:hAnsiTheme="majorHAnsi" w:cstheme="majorBidi"/>
          <w:sz w:val="23"/>
          <w:szCs w:val="23"/>
          <w:lang w:eastAsia="en-GB"/>
        </w:rPr>
        <w:t xml:space="preserve"> from the US and Australia.</w:t>
      </w:r>
    </w:p>
    <w:p w14:paraId="2C2F77A3" w14:textId="77777777" w:rsidR="00F00E3D" w:rsidRPr="00546498" w:rsidRDefault="00F00E3D" w:rsidP="009B2FA7">
      <w:pPr>
        <w:pStyle w:val="Default"/>
        <w:spacing w:line="276" w:lineRule="auto"/>
        <w:rPr>
          <w:rFonts w:asciiTheme="majorHAnsi" w:eastAsia="Times New Roman" w:hAnsiTheme="majorHAnsi" w:cstheme="majorHAnsi"/>
          <w:sz w:val="12"/>
          <w:szCs w:val="12"/>
          <w:lang w:eastAsia="en-GB"/>
        </w:rPr>
      </w:pPr>
    </w:p>
    <w:p w14:paraId="340D6608" w14:textId="71CC656B" w:rsidR="00F00E3D" w:rsidRDefault="00F00E3D" w:rsidP="009B2FA7">
      <w:pPr>
        <w:spacing w:after="0" w:line="276" w:lineRule="auto"/>
        <w:contextualSpacing/>
        <w:rPr>
          <w:rFonts w:asciiTheme="majorHAnsi" w:eastAsia="Times New Roman" w:hAnsiTheme="majorHAnsi" w:cstheme="majorBidi"/>
          <w:sz w:val="23"/>
          <w:szCs w:val="23"/>
          <w:lang w:eastAsia="en-GB"/>
        </w:rPr>
      </w:pPr>
      <w:r w:rsidRPr="42078E23">
        <w:rPr>
          <w:rFonts w:asciiTheme="majorHAnsi" w:eastAsia="Times New Roman" w:hAnsiTheme="majorHAnsi" w:cstheme="majorBidi"/>
          <w:sz w:val="23"/>
          <w:szCs w:val="23"/>
          <w:lang w:eastAsia="en-GB"/>
        </w:rPr>
        <w:t xml:space="preserve">By far the greatest number of studies were in the </w:t>
      </w:r>
      <w:r w:rsidR="00D95573">
        <w:rPr>
          <w:rFonts w:asciiTheme="majorHAnsi" w:eastAsia="Times New Roman" w:hAnsiTheme="majorHAnsi" w:cstheme="majorBidi"/>
          <w:sz w:val="23"/>
          <w:szCs w:val="23"/>
          <w:lang w:eastAsia="en-GB"/>
        </w:rPr>
        <w:t>Practice Domain</w:t>
      </w:r>
      <w:r w:rsidRPr="42078E23">
        <w:rPr>
          <w:rFonts w:asciiTheme="majorHAnsi" w:eastAsia="Times New Roman" w:hAnsiTheme="majorHAnsi" w:cstheme="majorBidi"/>
          <w:sz w:val="23"/>
          <w:szCs w:val="23"/>
          <w:lang w:eastAsia="en-GB"/>
        </w:rPr>
        <w:t xml:space="preserve"> of Health and Wellbeing </w:t>
      </w:r>
      <w:r w:rsidRPr="00696AA2">
        <w:rPr>
          <w:rFonts w:asciiTheme="majorHAnsi" w:eastAsia="Times New Roman" w:hAnsiTheme="majorHAnsi" w:cstheme="majorBidi"/>
          <w:sz w:val="23"/>
          <w:szCs w:val="23"/>
          <w:lang w:eastAsia="en-GB"/>
        </w:rPr>
        <w:t>(</w:t>
      </w:r>
      <w:hyperlink w:anchor="OLE_LINKTable118">
        <w:r w:rsidR="00696AA2" w:rsidRPr="00696AA2">
          <w:rPr>
            <w:rStyle w:val="Hyperlink"/>
            <w:rFonts w:asciiTheme="majorHAnsi" w:eastAsia="Times New Roman" w:hAnsiTheme="majorHAnsi" w:cstheme="majorBidi"/>
            <w:sz w:val="23"/>
            <w:szCs w:val="23"/>
            <w:lang w:eastAsia="en-GB"/>
          </w:rPr>
          <w:t xml:space="preserve">Table 3.12), </w:t>
        </w:r>
      </w:hyperlink>
      <w:r w:rsidRPr="42078E23">
        <w:rPr>
          <w:rFonts w:asciiTheme="majorHAnsi" w:eastAsia="Times New Roman" w:hAnsiTheme="majorHAnsi" w:cstheme="majorBidi"/>
          <w:sz w:val="23"/>
          <w:szCs w:val="23"/>
          <w:lang w:eastAsia="en-GB"/>
        </w:rPr>
        <w:t xml:space="preserve">with </w:t>
      </w:r>
      <w:r w:rsidR="00070B8D">
        <w:rPr>
          <w:rFonts w:asciiTheme="majorHAnsi" w:eastAsia="Times New Roman" w:hAnsiTheme="majorHAnsi" w:cstheme="majorBidi"/>
          <w:sz w:val="23"/>
          <w:szCs w:val="23"/>
          <w:lang w:eastAsia="en-GB"/>
        </w:rPr>
        <w:t>another</w:t>
      </w:r>
      <w:r w:rsidRPr="42078E23">
        <w:rPr>
          <w:rFonts w:asciiTheme="majorHAnsi" w:eastAsia="Times New Roman" w:hAnsiTheme="majorHAnsi" w:cstheme="majorBidi"/>
          <w:sz w:val="23"/>
          <w:szCs w:val="23"/>
          <w:lang w:eastAsia="en-GB"/>
        </w:rPr>
        <w:t xml:space="preserve"> </w:t>
      </w:r>
      <w:r>
        <w:rPr>
          <w:rFonts w:asciiTheme="majorHAnsi" w:eastAsia="Times New Roman" w:hAnsiTheme="majorHAnsi" w:cstheme="majorBidi"/>
          <w:sz w:val="23"/>
          <w:szCs w:val="23"/>
          <w:lang w:eastAsia="en-GB"/>
        </w:rPr>
        <w:t>significant proportion</w:t>
      </w:r>
      <w:r w:rsidRPr="42078E23">
        <w:rPr>
          <w:rFonts w:asciiTheme="majorHAnsi" w:eastAsia="Times New Roman" w:hAnsiTheme="majorHAnsi" w:cstheme="majorBidi"/>
          <w:sz w:val="23"/>
          <w:szCs w:val="23"/>
          <w:lang w:eastAsia="en-GB"/>
        </w:rPr>
        <w:t xml:space="preserve"> including Health and Wellbeing in combination with other domains. </w:t>
      </w:r>
      <w:r w:rsidRPr="4D7E1C7D">
        <w:rPr>
          <w:rFonts w:asciiTheme="majorHAnsi" w:eastAsia="Times New Roman" w:hAnsiTheme="majorHAnsi" w:cstheme="majorBidi"/>
          <w:sz w:val="23"/>
          <w:szCs w:val="23"/>
          <w:lang w:eastAsia="en-GB"/>
        </w:rPr>
        <w:t>Multidisciplinary</w:t>
      </w:r>
      <w:r w:rsidR="00E530D5">
        <w:rPr>
          <w:rFonts w:asciiTheme="majorHAnsi" w:eastAsia="Times New Roman" w:hAnsiTheme="majorHAnsi" w:cstheme="majorBidi"/>
          <w:sz w:val="23"/>
          <w:szCs w:val="23"/>
          <w:lang w:eastAsia="en-GB"/>
        </w:rPr>
        <w:t xml:space="preserve"> and multi-sector</w:t>
      </w:r>
      <w:r w:rsidRPr="30911767">
        <w:rPr>
          <w:rFonts w:asciiTheme="majorHAnsi" w:eastAsia="Times New Roman" w:hAnsiTheme="majorHAnsi" w:cstheme="majorBidi"/>
          <w:sz w:val="23"/>
          <w:szCs w:val="23"/>
          <w:lang w:eastAsia="en-GB"/>
        </w:rPr>
        <w:t xml:space="preserve"> approaches were common</w:t>
      </w:r>
      <w:r>
        <w:rPr>
          <w:rFonts w:asciiTheme="majorHAnsi" w:eastAsia="Times New Roman" w:hAnsiTheme="majorHAnsi" w:cstheme="majorBidi"/>
          <w:sz w:val="23"/>
          <w:szCs w:val="23"/>
          <w:lang w:eastAsia="en-GB"/>
        </w:rPr>
        <w:t>.</w:t>
      </w:r>
    </w:p>
    <w:p w14:paraId="2935B152" w14:textId="77777777" w:rsidR="00F00E3D" w:rsidRPr="00546498" w:rsidRDefault="00F00E3D" w:rsidP="009B2FA7">
      <w:pPr>
        <w:spacing w:after="0" w:line="276" w:lineRule="auto"/>
        <w:contextualSpacing/>
        <w:rPr>
          <w:rFonts w:asciiTheme="majorHAnsi" w:eastAsia="Times New Roman" w:hAnsiTheme="majorHAnsi" w:cstheme="majorHAnsi"/>
          <w:b/>
          <w:bCs/>
          <w:sz w:val="12"/>
          <w:szCs w:val="12"/>
          <w:lang w:eastAsia="en-GB"/>
        </w:rPr>
      </w:pPr>
    </w:p>
    <w:p w14:paraId="0BE06AF0" w14:textId="6982D668" w:rsidR="00F00E3D" w:rsidRDefault="00F00E3D" w:rsidP="009B2FA7">
      <w:pPr>
        <w:spacing w:after="0" w:line="276" w:lineRule="auto"/>
        <w:contextualSpacing/>
        <w:rPr>
          <w:rFonts w:asciiTheme="majorHAnsi" w:hAnsiTheme="majorHAnsi" w:cstheme="majorBidi"/>
          <w:sz w:val="23"/>
          <w:szCs w:val="23"/>
        </w:rPr>
      </w:pPr>
      <w:r w:rsidRPr="236DC7AB">
        <w:rPr>
          <w:rFonts w:asciiTheme="majorHAnsi" w:hAnsiTheme="majorHAnsi" w:cstheme="majorBidi"/>
          <w:sz w:val="23"/>
          <w:szCs w:val="23"/>
        </w:rPr>
        <w:t>Participatory approaches, involving meaningful community engagement, were seen as essential to</w:t>
      </w:r>
      <w:r w:rsidR="00CC5483">
        <w:rPr>
          <w:rFonts w:asciiTheme="majorHAnsi" w:hAnsiTheme="majorHAnsi" w:cstheme="majorBidi"/>
          <w:sz w:val="23"/>
          <w:szCs w:val="23"/>
        </w:rPr>
        <w:t xml:space="preserve"> </w:t>
      </w:r>
      <w:r w:rsidRPr="236DC7AB">
        <w:rPr>
          <w:rFonts w:asciiTheme="majorHAnsi" w:hAnsiTheme="majorHAnsi" w:cstheme="majorBidi"/>
          <w:sz w:val="23"/>
          <w:szCs w:val="23"/>
        </w:rPr>
        <w:t>successful interventions.</w:t>
      </w:r>
      <w:r w:rsidR="003567DA">
        <w:rPr>
          <w:rFonts w:asciiTheme="majorHAnsi" w:hAnsiTheme="majorHAnsi" w:cstheme="majorBidi"/>
          <w:sz w:val="23"/>
          <w:szCs w:val="23"/>
        </w:rPr>
        <w:t xml:space="preserve"> This</w:t>
      </w:r>
      <w:r w:rsidRPr="236DC7AB">
        <w:rPr>
          <w:rFonts w:asciiTheme="majorHAnsi" w:hAnsiTheme="majorHAnsi" w:cstheme="majorBidi"/>
          <w:sz w:val="23"/>
          <w:szCs w:val="23"/>
        </w:rPr>
        <w:t xml:space="preserve"> engagement </w:t>
      </w:r>
      <w:r w:rsidR="00035F37">
        <w:rPr>
          <w:rFonts w:asciiTheme="majorHAnsi" w:hAnsiTheme="majorHAnsi" w:cstheme="majorBidi"/>
          <w:sz w:val="23"/>
          <w:szCs w:val="23"/>
        </w:rPr>
        <w:t>must</w:t>
      </w:r>
      <w:r w:rsidRPr="236DC7AB">
        <w:rPr>
          <w:rFonts w:asciiTheme="majorHAnsi" w:hAnsiTheme="majorHAnsi" w:cstheme="majorBidi"/>
          <w:sz w:val="23"/>
          <w:szCs w:val="23"/>
        </w:rPr>
        <w:t xml:space="preserve"> happen at all stages of a project – before, during</w:t>
      </w:r>
      <w:r w:rsidR="003567DA">
        <w:rPr>
          <w:rFonts w:asciiTheme="majorHAnsi" w:hAnsiTheme="majorHAnsi" w:cstheme="majorBidi"/>
          <w:sz w:val="23"/>
          <w:szCs w:val="23"/>
        </w:rPr>
        <w:t>,</w:t>
      </w:r>
      <w:r w:rsidRPr="236DC7AB">
        <w:rPr>
          <w:rFonts w:asciiTheme="majorHAnsi" w:hAnsiTheme="majorHAnsi" w:cstheme="majorBidi"/>
          <w:sz w:val="23"/>
          <w:szCs w:val="23"/>
        </w:rPr>
        <w:t xml:space="preserve"> and after – and must lead to outcomes </w:t>
      </w:r>
      <w:r w:rsidR="00741ECD">
        <w:rPr>
          <w:rFonts w:asciiTheme="majorHAnsi" w:hAnsiTheme="majorHAnsi" w:cstheme="majorBidi"/>
          <w:sz w:val="23"/>
          <w:szCs w:val="23"/>
        </w:rPr>
        <w:t>that</w:t>
      </w:r>
      <w:r w:rsidRPr="236DC7AB">
        <w:rPr>
          <w:rFonts w:asciiTheme="majorHAnsi" w:hAnsiTheme="majorHAnsi" w:cstheme="majorBidi"/>
          <w:sz w:val="23"/>
          <w:szCs w:val="23"/>
        </w:rPr>
        <w:t xml:space="preserve"> are </w:t>
      </w:r>
      <w:r w:rsidR="003567DA">
        <w:rPr>
          <w:rFonts w:asciiTheme="majorHAnsi" w:hAnsiTheme="majorHAnsi" w:cstheme="majorBidi"/>
          <w:sz w:val="23"/>
          <w:szCs w:val="23"/>
        </w:rPr>
        <w:t xml:space="preserve">then </w:t>
      </w:r>
      <w:r w:rsidRPr="236DC7AB">
        <w:rPr>
          <w:rFonts w:asciiTheme="majorHAnsi" w:hAnsiTheme="majorHAnsi" w:cstheme="majorBidi"/>
          <w:sz w:val="23"/>
          <w:szCs w:val="23"/>
        </w:rPr>
        <w:t>evaluated with communities. Researchers are clearly cognisant of a common critique</w:t>
      </w:r>
      <w:r w:rsidR="007961CC">
        <w:rPr>
          <w:rFonts w:asciiTheme="majorHAnsi" w:hAnsiTheme="majorHAnsi" w:cstheme="majorBidi"/>
          <w:sz w:val="23"/>
          <w:szCs w:val="23"/>
        </w:rPr>
        <w:t>:</w:t>
      </w:r>
      <w:r w:rsidR="00AF748C">
        <w:rPr>
          <w:rFonts w:asciiTheme="majorHAnsi" w:hAnsiTheme="majorHAnsi" w:cstheme="majorBidi"/>
          <w:sz w:val="23"/>
          <w:szCs w:val="23"/>
        </w:rPr>
        <w:t xml:space="preserve"> </w:t>
      </w:r>
      <w:r w:rsidR="007961CC">
        <w:rPr>
          <w:rFonts w:asciiTheme="majorHAnsi" w:hAnsiTheme="majorHAnsi" w:cstheme="majorBidi"/>
          <w:sz w:val="23"/>
          <w:szCs w:val="23"/>
        </w:rPr>
        <w:t>that</w:t>
      </w:r>
      <w:r w:rsidRPr="236DC7AB">
        <w:rPr>
          <w:rFonts w:asciiTheme="majorHAnsi" w:hAnsiTheme="majorHAnsi" w:cstheme="majorBidi"/>
          <w:sz w:val="23"/>
          <w:szCs w:val="23"/>
        </w:rPr>
        <w:t xml:space="preserve"> </w:t>
      </w:r>
      <w:r w:rsidR="003567DA">
        <w:rPr>
          <w:rFonts w:asciiTheme="majorHAnsi" w:hAnsiTheme="majorHAnsi" w:cstheme="majorBidi"/>
          <w:sz w:val="23"/>
          <w:szCs w:val="23"/>
        </w:rPr>
        <w:t>“</w:t>
      </w:r>
      <w:r w:rsidRPr="236DC7AB">
        <w:rPr>
          <w:rFonts w:asciiTheme="majorHAnsi" w:hAnsiTheme="majorHAnsi" w:cstheme="majorBidi"/>
          <w:sz w:val="23"/>
          <w:szCs w:val="23"/>
        </w:rPr>
        <w:t xml:space="preserve">participatory approaches have sometimes been adopted only in name, to undertake extractive, hierarchical and damaging </w:t>
      </w:r>
      <w:r w:rsidR="003567DA">
        <w:rPr>
          <w:rFonts w:asciiTheme="majorHAnsi" w:hAnsiTheme="majorHAnsi" w:cstheme="majorBidi"/>
          <w:sz w:val="23"/>
          <w:szCs w:val="23"/>
        </w:rPr>
        <w:t>‘</w:t>
      </w:r>
      <w:r w:rsidRPr="236DC7AB">
        <w:rPr>
          <w:rFonts w:asciiTheme="majorHAnsi" w:hAnsiTheme="majorHAnsi" w:cstheme="majorBidi"/>
          <w:sz w:val="23"/>
          <w:szCs w:val="23"/>
        </w:rPr>
        <w:t>quick and dirty</w:t>
      </w:r>
      <w:r w:rsidR="003567DA">
        <w:rPr>
          <w:rFonts w:asciiTheme="majorHAnsi" w:hAnsiTheme="majorHAnsi" w:cstheme="majorBidi"/>
          <w:sz w:val="23"/>
          <w:szCs w:val="23"/>
        </w:rPr>
        <w:t>’</w:t>
      </w:r>
      <w:r w:rsidRPr="236DC7AB">
        <w:rPr>
          <w:rFonts w:asciiTheme="majorHAnsi" w:hAnsiTheme="majorHAnsi" w:cstheme="majorBidi"/>
          <w:sz w:val="23"/>
          <w:szCs w:val="23"/>
        </w:rPr>
        <w:t xml:space="preserve"> research, or to present an illusion of consultation which stifles dissent</w:t>
      </w:r>
      <w:r w:rsidR="003567DA">
        <w:rPr>
          <w:rFonts w:asciiTheme="majorHAnsi" w:hAnsiTheme="majorHAnsi" w:cstheme="majorBidi"/>
          <w:sz w:val="23"/>
          <w:szCs w:val="23"/>
        </w:rPr>
        <w:t>”</w:t>
      </w:r>
      <w:r w:rsidRPr="236DC7AB">
        <w:rPr>
          <w:rFonts w:asciiTheme="majorHAnsi" w:hAnsiTheme="majorHAnsi" w:cstheme="majorBidi"/>
          <w:sz w:val="23"/>
          <w:szCs w:val="23"/>
        </w:rPr>
        <w:t xml:space="preserve"> (Chambers </w:t>
      </w:r>
      <w:r w:rsidR="00E05797">
        <w:rPr>
          <w:rFonts w:asciiTheme="majorHAnsi" w:hAnsiTheme="majorHAnsi" w:cstheme="majorBidi"/>
          <w:sz w:val="23"/>
          <w:szCs w:val="23"/>
        </w:rPr>
        <w:t>&amp;</w:t>
      </w:r>
      <w:r w:rsidRPr="236DC7AB">
        <w:rPr>
          <w:rFonts w:asciiTheme="majorHAnsi" w:hAnsiTheme="majorHAnsi" w:cstheme="majorBidi"/>
          <w:sz w:val="23"/>
          <w:szCs w:val="23"/>
        </w:rPr>
        <w:t xml:space="preserve"> Cleaver 1997; Pain </w:t>
      </w:r>
      <w:r w:rsidR="00E05797">
        <w:rPr>
          <w:rFonts w:asciiTheme="majorHAnsi" w:hAnsiTheme="majorHAnsi" w:cstheme="majorBidi"/>
          <w:sz w:val="23"/>
          <w:szCs w:val="23"/>
        </w:rPr>
        <w:t>&amp;</w:t>
      </w:r>
      <w:r w:rsidRPr="236DC7AB">
        <w:rPr>
          <w:rFonts w:asciiTheme="majorHAnsi" w:hAnsiTheme="majorHAnsi" w:cstheme="majorBidi"/>
          <w:sz w:val="23"/>
          <w:szCs w:val="23"/>
        </w:rPr>
        <w:t xml:space="preserve"> Francis 2003, p.48).</w:t>
      </w:r>
    </w:p>
    <w:p w14:paraId="3B732BFD" w14:textId="77777777" w:rsidR="00F00E3D" w:rsidRPr="00546498" w:rsidRDefault="00F00E3D" w:rsidP="009B2FA7">
      <w:pPr>
        <w:spacing w:after="0" w:line="276" w:lineRule="auto"/>
        <w:rPr>
          <w:rFonts w:asciiTheme="majorHAnsi" w:eastAsia="Times New Roman" w:hAnsiTheme="majorHAnsi" w:cstheme="majorHAnsi"/>
          <w:sz w:val="12"/>
          <w:szCs w:val="12"/>
          <w:lang w:eastAsia="en-GB"/>
        </w:rPr>
      </w:pPr>
    </w:p>
    <w:p w14:paraId="4C6B6898" w14:textId="6180B327" w:rsidR="00F00E3D" w:rsidRDefault="00F00E3D" w:rsidP="009B2FA7">
      <w:p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 xml:space="preserve">While there is </w:t>
      </w:r>
      <w:r w:rsidRPr="00F634F6">
        <w:rPr>
          <w:rFonts w:asciiTheme="majorHAnsi" w:eastAsia="Times New Roman" w:hAnsiTheme="majorHAnsi" w:cstheme="majorHAnsi"/>
          <w:sz w:val="23"/>
          <w:szCs w:val="23"/>
          <w:lang w:eastAsia="en-GB"/>
        </w:rPr>
        <w:t>solid evidence that community engagement</w:t>
      </w:r>
      <w:r w:rsidR="00A82DE1">
        <w:rPr>
          <w:rFonts w:asciiTheme="majorHAnsi" w:eastAsia="Times New Roman" w:hAnsiTheme="majorHAnsi" w:cstheme="majorHAnsi"/>
          <w:sz w:val="23"/>
          <w:szCs w:val="23"/>
          <w:lang w:eastAsia="en-GB"/>
        </w:rPr>
        <w:t>-based</w:t>
      </w:r>
      <w:r w:rsidRPr="00F634F6">
        <w:rPr>
          <w:rFonts w:asciiTheme="majorHAnsi" w:eastAsia="Times New Roman" w:hAnsiTheme="majorHAnsi" w:cstheme="majorHAnsi"/>
          <w:sz w:val="23"/>
          <w:szCs w:val="23"/>
          <w:lang w:eastAsia="en-GB"/>
        </w:rPr>
        <w:t xml:space="preserve"> interventions have a positive impact on a range of outcomes</w:t>
      </w:r>
      <w:r>
        <w:rPr>
          <w:rFonts w:asciiTheme="majorHAnsi" w:eastAsia="Times New Roman" w:hAnsiTheme="majorHAnsi" w:cstheme="majorHAnsi"/>
          <w:sz w:val="23"/>
          <w:szCs w:val="23"/>
          <w:lang w:eastAsia="en-GB"/>
        </w:rPr>
        <w:t>, it is difficult</w:t>
      </w:r>
      <w:r w:rsidRPr="00F634F6">
        <w:rPr>
          <w:rFonts w:asciiTheme="majorHAnsi" w:eastAsia="Times New Roman" w:hAnsiTheme="majorHAnsi" w:cstheme="majorHAnsi"/>
          <w:sz w:val="23"/>
          <w:szCs w:val="23"/>
          <w:lang w:eastAsia="en-GB"/>
        </w:rPr>
        <w:t xml:space="preserve"> to determine </w:t>
      </w:r>
      <w:r>
        <w:rPr>
          <w:rFonts w:asciiTheme="majorHAnsi" w:eastAsia="Times New Roman" w:hAnsiTheme="majorHAnsi" w:cstheme="majorHAnsi"/>
          <w:sz w:val="23"/>
          <w:szCs w:val="23"/>
          <w:lang w:eastAsia="en-GB"/>
        </w:rPr>
        <w:t>which</w:t>
      </w:r>
      <w:r w:rsidRPr="00F634F6">
        <w:rPr>
          <w:rFonts w:asciiTheme="majorHAnsi" w:eastAsia="Times New Roman" w:hAnsiTheme="majorHAnsi" w:cstheme="majorHAnsi"/>
          <w:sz w:val="23"/>
          <w:szCs w:val="23"/>
          <w:lang w:eastAsia="en-GB"/>
        </w:rPr>
        <w:t xml:space="preserve"> particular model</w:t>
      </w:r>
      <w:r>
        <w:rPr>
          <w:rFonts w:asciiTheme="majorHAnsi" w:eastAsia="Times New Roman" w:hAnsiTheme="majorHAnsi" w:cstheme="majorHAnsi"/>
          <w:sz w:val="23"/>
          <w:szCs w:val="23"/>
          <w:lang w:eastAsia="en-GB"/>
        </w:rPr>
        <w:t>s</w:t>
      </w:r>
      <w:r w:rsidRPr="00F634F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are</w:t>
      </w:r>
      <w:r w:rsidRPr="00F634F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most effective </w:t>
      </w:r>
      <w:r>
        <w:rPr>
          <w:rFonts w:asciiTheme="majorHAnsi" w:eastAsia="Times New Roman" w:hAnsiTheme="majorHAnsi" w:cstheme="majorHAnsi"/>
          <w:noProof/>
          <w:sz w:val="23"/>
          <w:szCs w:val="23"/>
          <w:lang w:eastAsia="en-GB"/>
        </w:rPr>
        <w:t>(O</w:t>
      </w:r>
      <w:r w:rsidR="007C0888">
        <w:rPr>
          <w:rFonts w:asciiTheme="majorHAnsi" w:eastAsia="Times New Roman" w:hAnsiTheme="majorHAnsi" w:cstheme="majorHAnsi"/>
          <w:noProof/>
          <w:sz w:val="23"/>
          <w:szCs w:val="23"/>
          <w:lang w:eastAsia="en-GB"/>
        </w:rPr>
        <w:t>’</w:t>
      </w:r>
      <w:r>
        <w:rPr>
          <w:rFonts w:asciiTheme="majorHAnsi" w:eastAsia="Times New Roman" w:hAnsiTheme="majorHAnsi" w:cstheme="majorHAnsi"/>
          <w:noProof/>
          <w:sz w:val="23"/>
          <w:szCs w:val="23"/>
          <w:lang w:eastAsia="en-GB"/>
        </w:rPr>
        <w:t>Mara-Eves et al., 2015)</w:t>
      </w:r>
      <w:r w:rsidRPr="00F634F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O</w:t>
      </w:r>
      <w:r w:rsidRPr="00F634F6">
        <w:rPr>
          <w:rFonts w:asciiTheme="majorHAnsi" w:eastAsia="Times New Roman" w:hAnsiTheme="majorHAnsi" w:cstheme="majorHAnsi"/>
          <w:sz w:val="23"/>
          <w:szCs w:val="23"/>
          <w:lang w:eastAsia="en-GB"/>
        </w:rPr>
        <w:t xml:space="preserve">ne study </w:t>
      </w:r>
      <w:r w:rsidR="004A0AA8">
        <w:rPr>
          <w:rFonts w:asciiTheme="majorHAnsi" w:eastAsia="Times New Roman" w:hAnsiTheme="majorHAnsi" w:cstheme="majorHAnsi"/>
          <w:sz w:val="23"/>
          <w:szCs w:val="23"/>
          <w:lang w:eastAsia="en-GB"/>
        </w:rPr>
        <w:t>from</w:t>
      </w:r>
      <w:r>
        <w:rPr>
          <w:rFonts w:asciiTheme="majorHAnsi" w:eastAsia="Times New Roman" w:hAnsiTheme="majorHAnsi" w:cstheme="majorHAnsi"/>
          <w:sz w:val="23"/>
          <w:szCs w:val="23"/>
          <w:lang w:eastAsia="en-GB"/>
        </w:rPr>
        <w:t xml:space="preserve"> AHURI </w:t>
      </w:r>
      <w:r w:rsidRPr="00F634F6">
        <w:rPr>
          <w:rFonts w:asciiTheme="majorHAnsi" w:eastAsia="Times New Roman" w:hAnsiTheme="majorHAnsi" w:cstheme="majorHAnsi"/>
          <w:sz w:val="23"/>
          <w:szCs w:val="23"/>
          <w:lang w:eastAsia="en-GB"/>
        </w:rPr>
        <w:t>posit</w:t>
      </w:r>
      <w:r>
        <w:rPr>
          <w:rFonts w:asciiTheme="majorHAnsi" w:eastAsia="Times New Roman" w:hAnsiTheme="majorHAnsi" w:cstheme="majorHAnsi"/>
          <w:sz w:val="23"/>
          <w:szCs w:val="23"/>
          <w:lang w:eastAsia="en-GB"/>
        </w:rPr>
        <w:t>s</w:t>
      </w:r>
      <w:r w:rsidRPr="00F634F6">
        <w:rPr>
          <w:rFonts w:asciiTheme="majorHAnsi" w:eastAsia="Times New Roman" w:hAnsiTheme="majorHAnsi" w:cstheme="majorHAnsi"/>
          <w:sz w:val="23"/>
          <w:szCs w:val="23"/>
          <w:lang w:eastAsia="en-GB"/>
        </w:rPr>
        <w:t xml:space="preserve"> best-</w:t>
      </w:r>
      <w:r w:rsidRPr="00553277">
        <w:rPr>
          <w:rFonts w:asciiTheme="majorHAnsi" w:eastAsia="Times New Roman" w:hAnsiTheme="majorHAnsi" w:cstheme="majorHAnsi"/>
          <w:sz w:val="23"/>
          <w:szCs w:val="23"/>
          <w:lang w:eastAsia="en-GB"/>
        </w:rPr>
        <w:t>practice models for resident participation, social cohesion</w:t>
      </w:r>
      <w:r>
        <w:rPr>
          <w:rFonts w:asciiTheme="majorHAnsi" w:eastAsia="Times New Roman" w:hAnsiTheme="majorHAnsi" w:cstheme="majorHAnsi"/>
          <w:sz w:val="23"/>
          <w:szCs w:val="23"/>
          <w:lang w:eastAsia="en-GB"/>
        </w:rPr>
        <w:t>,</w:t>
      </w:r>
      <w:r w:rsidRPr="00553277">
        <w:rPr>
          <w:rFonts w:asciiTheme="majorHAnsi" w:eastAsia="Times New Roman" w:hAnsiTheme="majorHAnsi" w:cstheme="majorHAnsi"/>
          <w:sz w:val="23"/>
          <w:szCs w:val="23"/>
          <w:lang w:eastAsia="en-GB"/>
        </w:rPr>
        <w:t xml:space="preserve"> and sustainability in neighbourhood renewal</w:t>
      </w:r>
      <w:r w:rsidR="00E62E76">
        <w:rPr>
          <w:rFonts w:asciiTheme="majorHAnsi" w:eastAsia="Times New Roman" w:hAnsiTheme="majorHAnsi" w:cstheme="majorHAnsi"/>
          <w:sz w:val="23"/>
          <w:szCs w:val="23"/>
          <w:lang w:eastAsia="en-GB"/>
        </w:rPr>
        <w:t xml:space="preserve"> projects</w:t>
      </w:r>
      <w:r w:rsidRPr="00553277">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noProof/>
          <w:sz w:val="23"/>
          <w:szCs w:val="23"/>
          <w:lang w:eastAsia="en-GB"/>
        </w:rPr>
        <w:t>(Wood, 2001)</w:t>
      </w:r>
      <w:r w:rsidRPr="00553277">
        <w:rPr>
          <w:rFonts w:asciiTheme="majorHAnsi" w:eastAsia="Times New Roman" w:hAnsiTheme="majorHAnsi" w:cstheme="majorHAnsi"/>
          <w:sz w:val="23"/>
          <w:szCs w:val="23"/>
          <w:lang w:eastAsia="en-GB"/>
        </w:rPr>
        <w:t>.</w:t>
      </w:r>
      <w:r>
        <w:rPr>
          <w:rFonts w:asciiTheme="majorHAnsi" w:eastAsia="Times New Roman" w:hAnsiTheme="majorHAnsi" w:cstheme="majorHAnsi"/>
          <w:sz w:val="23"/>
          <w:szCs w:val="23"/>
          <w:lang w:eastAsia="en-GB"/>
        </w:rPr>
        <w:t xml:space="preserve"> </w:t>
      </w:r>
      <w:r w:rsidR="004A0AA8">
        <w:rPr>
          <w:rFonts w:asciiTheme="majorHAnsi" w:eastAsia="Times New Roman" w:hAnsiTheme="majorHAnsi" w:cstheme="majorHAnsi"/>
          <w:sz w:val="23"/>
          <w:szCs w:val="23"/>
          <w:lang w:eastAsia="en-GB"/>
        </w:rPr>
        <w:t>AHURI</w:t>
      </w:r>
      <w:r w:rsidR="00385F98">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recommend</w:t>
      </w:r>
      <w:r w:rsidR="00385F98">
        <w:rPr>
          <w:rFonts w:asciiTheme="majorHAnsi" w:eastAsia="Times New Roman" w:hAnsiTheme="majorHAnsi" w:cstheme="majorHAnsi"/>
          <w:sz w:val="23"/>
          <w:szCs w:val="23"/>
          <w:lang w:eastAsia="en-GB"/>
        </w:rPr>
        <w:t>s</w:t>
      </w:r>
      <w:r>
        <w:rPr>
          <w:rFonts w:asciiTheme="majorHAnsi" w:eastAsia="Times New Roman" w:hAnsiTheme="majorHAnsi" w:cstheme="majorHAnsi"/>
          <w:sz w:val="23"/>
          <w:szCs w:val="23"/>
          <w:lang w:eastAsia="en-GB"/>
        </w:rPr>
        <w:t xml:space="preserve"> </w:t>
      </w:r>
      <w:hyperlink w:anchor="OLE_LINK14communityengagementprinciples" w:history="1">
        <w:r w:rsidRPr="00487450">
          <w:rPr>
            <w:rStyle w:val="Hyperlink"/>
            <w:rFonts w:asciiTheme="majorHAnsi" w:eastAsia="Times New Roman" w:hAnsiTheme="majorHAnsi" w:cstheme="majorHAnsi"/>
            <w:sz w:val="23"/>
            <w:szCs w:val="23"/>
            <w:lang w:eastAsia="en-GB"/>
          </w:rPr>
          <w:t>14 principles</w:t>
        </w:r>
      </w:hyperlink>
      <w:r>
        <w:rPr>
          <w:rFonts w:asciiTheme="majorHAnsi" w:eastAsia="Times New Roman" w:hAnsiTheme="majorHAnsi" w:cstheme="majorHAnsi"/>
          <w:sz w:val="23"/>
          <w:szCs w:val="23"/>
          <w:lang w:eastAsia="en-GB"/>
        </w:rPr>
        <w:t xml:space="preserve"> </w:t>
      </w:r>
      <w:r w:rsidR="00385F98">
        <w:rPr>
          <w:rFonts w:asciiTheme="majorHAnsi" w:eastAsia="Times New Roman" w:hAnsiTheme="majorHAnsi" w:cstheme="majorHAnsi"/>
          <w:sz w:val="23"/>
          <w:szCs w:val="23"/>
          <w:lang w:eastAsia="en-GB"/>
        </w:rPr>
        <w:t>for</w:t>
      </w:r>
      <w:r>
        <w:rPr>
          <w:rFonts w:asciiTheme="majorHAnsi" w:eastAsia="Times New Roman" w:hAnsiTheme="majorHAnsi" w:cstheme="majorHAnsi"/>
          <w:sz w:val="23"/>
          <w:szCs w:val="23"/>
          <w:lang w:eastAsia="en-GB"/>
        </w:rPr>
        <w:t xml:space="preserve"> effective</w:t>
      </w:r>
      <w:r w:rsidR="00207104">
        <w:rPr>
          <w:rFonts w:asciiTheme="majorHAnsi" w:eastAsia="Times New Roman" w:hAnsiTheme="majorHAnsi" w:cstheme="majorHAnsi"/>
          <w:sz w:val="23"/>
          <w:szCs w:val="23"/>
          <w:lang w:eastAsia="en-GB"/>
        </w:rPr>
        <w:t xml:space="preserve"> community</w:t>
      </w:r>
      <w:r>
        <w:rPr>
          <w:rFonts w:asciiTheme="majorHAnsi" w:eastAsia="Times New Roman" w:hAnsiTheme="majorHAnsi" w:cstheme="majorHAnsi"/>
          <w:sz w:val="23"/>
          <w:szCs w:val="23"/>
          <w:lang w:eastAsia="en-GB"/>
        </w:rPr>
        <w:t xml:space="preserve"> engagement that governmental agencies can benefit from following.</w:t>
      </w:r>
    </w:p>
    <w:p w14:paraId="4F986755" w14:textId="77777777" w:rsidR="00F00E3D" w:rsidRPr="00035F37" w:rsidRDefault="00F00E3D" w:rsidP="009B2FA7">
      <w:pPr>
        <w:spacing w:after="0" w:line="276" w:lineRule="auto"/>
        <w:contextualSpacing/>
        <w:rPr>
          <w:rFonts w:asciiTheme="majorHAnsi" w:hAnsiTheme="majorHAnsi" w:cstheme="majorHAnsi"/>
          <w:sz w:val="16"/>
          <w:szCs w:val="16"/>
        </w:rPr>
      </w:pPr>
    </w:p>
    <w:p w14:paraId="4422C17E" w14:textId="2F590BB6" w:rsidR="00A315F8" w:rsidRDefault="00795759" w:rsidP="78F9AF82">
      <w:pPr>
        <w:spacing w:after="0" w:line="276" w:lineRule="auto"/>
        <w:rPr>
          <w:rFonts w:asciiTheme="majorHAnsi" w:hAnsiTheme="majorHAnsi" w:cstheme="majorBidi"/>
          <w:sz w:val="23"/>
          <w:szCs w:val="23"/>
        </w:rPr>
      </w:pPr>
      <w:r w:rsidRPr="78F9AF82">
        <w:rPr>
          <w:rFonts w:asciiTheme="majorHAnsi" w:hAnsiTheme="majorHAnsi" w:cstheme="majorBidi"/>
          <w:sz w:val="23"/>
          <w:szCs w:val="23"/>
        </w:rPr>
        <w:t>Several</w:t>
      </w:r>
      <w:r w:rsidR="008D6767" w:rsidRPr="78F9AF82">
        <w:rPr>
          <w:rFonts w:asciiTheme="majorHAnsi" w:hAnsiTheme="majorHAnsi" w:cstheme="majorBidi"/>
          <w:sz w:val="23"/>
          <w:szCs w:val="23"/>
        </w:rPr>
        <w:t xml:space="preserve"> recent</w:t>
      </w:r>
      <w:r w:rsidR="006F003B" w:rsidRPr="78F9AF82">
        <w:rPr>
          <w:rFonts w:asciiTheme="majorHAnsi" w:hAnsiTheme="majorHAnsi" w:cstheme="majorBidi"/>
          <w:sz w:val="23"/>
          <w:szCs w:val="23"/>
        </w:rPr>
        <w:t xml:space="preserve"> </w:t>
      </w:r>
      <w:r w:rsidR="00F00E3D" w:rsidRPr="78F9AF82">
        <w:rPr>
          <w:rFonts w:asciiTheme="majorHAnsi" w:hAnsiTheme="majorHAnsi" w:cstheme="majorBidi"/>
          <w:sz w:val="23"/>
          <w:szCs w:val="23"/>
        </w:rPr>
        <w:t>studies posit co-design as a preferred approach for de</w:t>
      </w:r>
      <w:r w:rsidR="00AF748C" w:rsidRPr="78F9AF82">
        <w:rPr>
          <w:rFonts w:asciiTheme="majorHAnsi" w:hAnsiTheme="majorHAnsi" w:cstheme="majorBidi"/>
          <w:sz w:val="23"/>
          <w:szCs w:val="23"/>
        </w:rPr>
        <w:t>veloping</w:t>
      </w:r>
      <w:r w:rsidR="00DF6DD6" w:rsidRPr="78F9AF82">
        <w:rPr>
          <w:rFonts w:asciiTheme="majorHAnsi" w:hAnsiTheme="majorHAnsi" w:cstheme="majorBidi"/>
          <w:sz w:val="23"/>
          <w:szCs w:val="23"/>
        </w:rPr>
        <w:t>, testing,</w:t>
      </w:r>
      <w:r w:rsidR="00F47F38" w:rsidRPr="78F9AF82">
        <w:rPr>
          <w:rFonts w:asciiTheme="majorHAnsi" w:hAnsiTheme="majorHAnsi" w:cstheme="majorBidi"/>
          <w:sz w:val="23"/>
          <w:szCs w:val="23"/>
        </w:rPr>
        <w:t xml:space="preserve"> </w:t>
      </w:r>
      <w:r w:rsidR="00AD5358" w:rsidRPr="78F9AF82">
        <w:rPr>
          <w:rFonts w:asciiTheme="majorHAnsi" w:hAnsiTheme="majorHAnsi" w:cstheme="majorBidi"/>
          <w:sz w:val="23"/>
          <w:szCs w:val="23"/>
        </w:rPr>
        <w:t>and</w:t>
      </w:r>
      <w:r w:rsidR="00C37710" w:rsidRPr="78F9AF82">
        <w:rPr>
          <w:rFonts w:asciiTheme="majorHAnsi" w:hAnsiTheme="majorHAnsi" w:cstheme="majorBidi"/>
          <w:sz w:val="23"/>
          <w:szCs w:val="23"/>
        </w:rPr>
        <w:t xml:space="preserve"> </w:t>
      </w:r>
      <w:r w:rsidR="00DF6DD6" w:rsidRPr="78F9AF82">
        <w:rPr>
          <w:rFonts w:asciiTheme="majorHAnsi" w:hAnsiTheme="majorHAnsi" w:cstheme="majorBidi"/>
          <w:sz w:val="23"/>
          <w:szCs w:val="23"/>
        </w:rPr>
        <w:t>delivering</w:t>
      </w:r>
      <w:r w:rsidR="00C37710" w:rsidRPr="78F9AF82">
        <w:rPr>
          <w:rFonts w:asciiTheme="majorHAnsi" w:hAnsiTheme="majorHAnsi" w:cstheme="majorBidi"/>
          <w:sz w:val="23"/>
          <w:szCs w:val="23"/>
        </w:rPr>
        <w:t xml:space="preserve"> </w:t>
      </w:r>
      <w:r w:rsidR="00115696" w:rsidRPr="78F9AF82">
        <w:rPr>
          <w:rFonts w:asciiTheme="majorHAnsi" w:hAnsiTheme="majorHAnsi" w:cstheme="majorBidi"/>
          <w:sz w:val="23"/>
          <w:szCs w:val="23"/>
        </w:rPr>
        <w:t>programs</w:t>
      </w:r>
      <w:r w:rsidR="00F00E3D" w:rsidRPr="78F9AF82">
        <w:rPr>
          <w:rFonts w:asciiTheme="majorHAnsi" w:hAnsiTheme="majorHAnsi" w:cstheme="majorBidi"/>
          <w:sz w:val="23"/>
          <w:szCs w:val="23"/>
        </w:rPr>
        <w:t xml:space="preserve"> with communities. </w:t>
      </w:r>
      <w:r w:rsidR="005A162C" w:rsidRPr="78F9AF82">
        <w:rPr>
          <w:rFonts w:asciiTheme="majorHAnsi" w:hAnsiTheme="majorHAnsi" w:cstheme="majorBidi"/>
          <w:sz w:val="23"/>
          <w:szCs w:val="23"/>
        </w:rPr>
        <w:t>C</w:t>
      </w:r>
      <w:r w:rsidR="00AE2788" w:rsidRPr="78F9AF82">
        <w:rPr>
          <w:rFonts w:asciiTheme="majorHAnsi" w:hAnsiTheme="majorHAnsi" w:cstheme="majorBidi"/>
          <w:sz w:val="23"/>
          <w:szCs w:val="23"/>
        </w:rPr>
        <w:t>o-design</w:t>
      </w:r>
      <w:r w:rsidR="008E66A8" w:rsidRPr="78F9AF82">
        <w:rPr>
          <w:rFonts w:asciiTheme="majorHAnsi" w:hAnsiTheme="majorHAnsi" w:cstheme="majorBidi"/>
          <w:sz w:val="23"/>
          <w:szCs w:val="23"/>
        </w:rPr>
        <w:t xml:space="preserve"> </w:t>
      </w:r>
      <w:r w:rsidR="00D34F2E" w:rsidRPr="78F9AF82">
        <w:rPr>
          <w:rFonts w:asciiTheme="majorHAnsi" w:hAnsiTheme="majorHAnsi" w:cstheme="majorBidi"/>
          <w:sz w:val="23"/>
          <w:szCs w:val="23"/>
        </w:rPr>
        <w:t xml:space="preserve">models </w:t>
      </w:r>
      <w:r w:rsidR="005A162C" w:rsidRPr="78F9AF82">
        <w:rPr>
          <w:rFonts w:asciiTheme="majorHAnsi" w:hAnsiTheme="majorHAnsi" w:cstheme="majorBidi"/>
          <w:sz w:val="23"/>
          <w:szCs w:val="23"/>
        </w:rPr>
        <w:t xml:space="preserve">seek to </w:t>
      </w:r>
      <w:r w:rsidR="0020435E" w:rsidRPr="78F9AF82">
        <w:rPr>
          <w:rFonts w:asciiTheme="majorHAnsi" w:hAnsiTheme="majorHAnsi" w:cstheme="majorBidi"/>
          <w:sz w:val="23"/>
          <w:szCs w:val="23"/>
        </w:rPr>
        <w:t>actively engage</w:t>
      </w:r>
      <w:r w:rsidR="00904F83" w:rsidRPr="78F9AF82">
        <w:rPr>
          <w:rFonts w:asciiTheme="majorHAnsi" w:hAnsiTheme="majorHAnsi" w:cstheme="majorBidi"/>
          <w:sz w:val="23"/>
          <w:szCs w:val="23"/>
        </w:rPr>
        <w:t xml:space="preserve"> “end-users” in the process of </w:t>
      </w:r>
      <w:r w:rsidR="0066356B" w:rsidRPr="78F9AF82">
        <w:rPr>
          <w:rFonts w:asciiTheme="majorHAnsi" w:hAnsiTheme="majorHAnsi" w:cstheme="majorBidi"/>
          <w:sz w:val="23"/>
          <w:szCs w:val="23"/>
        </w:rPr>
        <w:t xml:space="preserve">clarifying problems and designing </w:t>
      </w:r>
      <w:r w:rsidR="00294CEF" w:rsidRPr="78F9AF82">
        <w:rPr>
          <w:rFonts w:asciiTheme="majorHAnsi" w:hAnsiTheme="majorHAnsi" w:cstheme="majorBidi"/>
          <w:sz w:val="23"/>
          <w:szCs w:val="23"/>
        </w:rPr>
        <w:t xml:space="preserve">impactful </w:t>
      </w:r>
      <w:r w:rsidR="0066356B" w:rsidRPr="78F9AF82">
        <w:rPr>
          <w:rFonts w:asciiTheme="majorHAnsi" w:hAnsiTheme="majorHAnsi" w:cstheme="majorBidi"/>
          <w:sz w:val="23"/>
          <w:szCs w:val="23"/>
        </w:rPr>
        <w:t>solutions</w:t>
      </w:r>
      <w:r w:rsidR="00956B91" w:rsidRPr="78F9AF82">
        <w:rPr>
          <w:rFonts w:asciiTheme="majorHAnsi" w:hAnsiTheme="majorHAnsi" w:cstheme="majorBidi"/>
          <w:sz w:val="23"/>
          <w:szCs w:val="23"/>
        </w:rPr>
        <w:t xml:space="preserve">. </w:t>
      </w:r>
      <w:r w:rsidR="00C37710" w:rsidRPr="78F9AF82">
        <w:rPr>
          <w:rFonts w:asciiTheme="majorHAnsi" w:hAnsiTheme="majorHAnsi" w:cstheme="majorBidi"/>
          <w:sz w:val="23"/>
          <w:szCs w:val="23"/>
        </w:rPr>
        <w:t>Unlike</w:t>
      </w:r>
      <w:r w:rsidR="00C8346C" w:rsidRPr="78F9AF82">
        <w:rPr>
          <w:rFonts w:asciiTheme="majorHAnsi" w:hAnsiTheme="majorHAnsi" w:cstheme="majorBidi"/>
          <w:sz w:val="23"/>
          <w:szCs w:val="23"/>
        </w:rPr>
        <w:t xml:space="preserve"> consultation, co-design involves</w:t>
      </w:r>
      <w:r w:rsidR="00956B91" w:rsidRPr="78F9AF82">
        <w:rPr>
          <w:rFonts w:asciiTheme="majorHAnsi" w:hAnsiTheme="majorHAnsi" w:cstheme="majorBidi"/>
          <w:sz w:val="23"/>
          <w:szCs w:val="23"/>
        </w:rPr>
        <w:t xml:space="preserve"> genuine </w:t>
      </w:r>
      <w:r w:rsidR="00956B91" w:rsidRPr="78F9AF82">
        <w:rPr>
          <w:rFonts w:asciiTheme="majorHAnsi" w:hAnsiTheme="majorHAnsi" w:cstheme="majorBidi"/>
          <w:sz w:val="23"/>
          <w:szCs w:val="23"/>
        </w:rPr>
        <w:lastRenderedPageBreak/>
        <w:t xml:space="preserve">collaboration </w:t>
      </w:r>
      <w:r w:rsidR="00C37710" w:rsidRPr="78F9AF82">
        <w:rPr>
          <w:rFonts w:asciiTheme="majorHAnsi" w:hAnsiTheme="majorHAnsi" w:cstheme="majorBidi"/>
          <w:sz w:val="23"/>
          <w:szCs w:val="23"/>
        </w:rPr>
        <w:t xml:space="preserve">and knowledge-sharing </w:t>
      </w:r>
      <w:r w:rsidR="00956B91" w:rsidRPr="78F9AF82">
        <w:rPr>
          <w:rFonts w:asciiTheme="majorHAnsi" w:hAnsiTheme="majorHAnsi" w:cstheme="majorBidi"/>
          <w:sz w:val="23"/>
          <w:szCs w:val="23"/>
        </w:rPr>
        <w:t>between</w:t>
      </w:r>
      <w:r w:rsidR="00114B3C" w:rsidRPr="78F9AF82">
        <w:rPr>
          <w:rFonts w:asciiTheme="majorHAnsi" w:hAnsiTheme="majorHAnsi" w:cstheme="majorBidi"/>
          <w:sz w:val="23"/>
          <w:szCs w:val="23"/>
        </w:rPr>
        <w:t xml:space="preserve"> community members</w:t>
      </w:r>
      <w:r w:rsidR="00892CA1" w:rsidRPr="78F9AF82">
        <w:rPr>
          <w:rFonts w:asciiTheme="majorHAnsi" w:hAnsiTheme="majorHAnsi" w:cstheme="majorBidi"/>
          <w:sz w:val="23"/>
          <w:szCs w:val="23"/>
        </w:rPr>
        <w:t xml:space="preserve"> </w:t>
      </w:r>
      <w:r w:rsidR="00956B91" w:rsidRPr="78F9AF82">
        <w:rPr>
          <w:rFonts w:asciiTheme="majorHAnsi" w:hAnsiTheme="majorHAnsi" w:cstheme="majorBidi"/>
          <w:sz w:val="23"/>
          <w:szCs w:val="23"/>
        </w:rPr>
        <w:t xml:space="preserve">and </w:t>
      </w:r>
      <w:r w:rsidR="000F7C0F" w:rsidRPr="78F9AF82">
        <w:rPr>
          <w:rFonts w:asciiTheme="majorHAnsi" w:hAnsiTheme="majorHAnsi" w:cstheme="majorBidi"/>
          <w:sz w:val="23"/>
          <w:szCs w:val="23"/>
        </w:rPr>
        <w:t>“professional experts”</w:t>
      </w:r>
      <w:r w:rsidR="0066356B" w:rsidRPr="78F9AF82">
        <w:rPr>
          <w:rFonts w:asciiTheme="majorHAnsi" w:hAnsiTheme="majorHAnsi" w:cstheme="majorBidi"/>
          <w:sz w:val="23"/>
          <w:szCs w:val="23"/>
        </w:rPr>
        <w:t>.</w:t>
      </w:r>
      <w:r w:rsidR="00FF160D" w:rsidRPr="78F9AF82">
        <w:rPr>
          <w:rFonts w:asciiTheme="majorHAnsi" w:hAnsiTheme="majorHAnsi" w:cstheme="majorBidi"/>
          <w:sz w:val="23"/>
          <w:szCs w:val="23"/>
        </w:rPr>
        <w:t xml:space="preserve"> </w:t>
      </w:r>
      <w:r w:rsidR="00331CDC" w:rsidRPr="78F9AF82">
        <w:rPr>
          <w:rFonts w:asciiTheme="majorHAnsi" w:hAnsiTheme="majorHAnsi" w:cstheme="majorBidi"/>
          <w:sz w:val="23"/>
          <w:szCs w:val="23"/>
        </w:rPr>
        <w:t>C</w:t>
      </w:r>
      <w:r w:rsidR="00DB1A48" w:rsidRPr="78F9AF82">
        <w:rPr>
          <w:rFonts w:asciiTheme="majorHAnsi" w:hAnsiTheme="majorHAnsi" w:cstheme="majorBidi"/>
          <w:sz w:val="23"/>
          <w:szCs w:val="23"/>
        </w:rPr>
        <w:t>o-design</w:t>
      </w:r>
      <w:r w:rsidR="009C7E2C" w:rsidRPr="78F9AF82">
        <w:rPr>
          <w:rFonts w:asciiTheme="majorHAnsi" w:hAnsiTheme="majorHAnsi" w:cstheme="majorBidi"/>
          <w:sz w:val="23"/>
          <w:szCs w:val="23"/>
        </w:rPr>
        <w:t xml:space="preserve"> </w:t>
      </w:r>
      <w:r w:rsidR="00D34F2E" w:rsidRPr="78F9AF82">
        <w:rPr>
          <w:rFonts w:asciiTheme="majorHAnsi" w:hAnsiTheme="majorHAnsi" w:cstheme="majorBidi"/>
          <w:sz w:val="23"/>
          <w:szCs w:val="23"/>
        </w:rPr>
        <w:t>approaches</w:t>
      </w:r>
      <w:r w:rsidR="009C7E2C" w:rsidRPr="78F9AF82">
        <w:rPr>
          <w:rFonts w:asciiTheme="majorHAnsi" w:hAnsiTheme="majorHAnsi" w:cstheme="majorBidi"/>
          <w:sz w:val="23"/>
          <w:szCs w:val="23"/>
        </w:rPr>
        <w:t xml:space="preserve"> </w:t>
      </w:r>
      <w:r w:rsidR="00DB1A48" w:rsidRPr="78F9AF82">
        <w:rPr>
          <w:rFonts w:asciiTheme="majorHAnsi" w:hAnsiTheme="majorHAnsi" w:cstheme="majorBidi"/>
          <w:sz w:val="23"/>
          <w:szCs w:val="23"/>
        </w:rPr>
        <w:t>are</w:t>
      </w:r>
      <w:r w:rsidR="009C7E2C" w:rsidRPr="78F9AF82">
        <w:rPr>
          <w:rFonts w:asciiTheme="majorHAnsi" w:hAnsiTheme="majorHAnsi" w:cstheme="majorBidi"/>
          <w:sz w:val="23"/>
          <w:szCs w:val="23"/>
        </w:rPr>
        <w:t xml:space="preserve"> </w:t>
      </w:r>
      <w:r w:rsidR="00294CEF" w:rsidRPr="78F9AF82">
        <w:rPr>
          <w:rFonts w:asciiTheme="majorHAnsi" w:hAnsiTheme="majorHAnsi" w:cstheme="majorBidi"/>
          <w:sz w:val="23"/>
          <w:szCs w:val="23"/>
        </w:rPr>
        <w:t>increasingly</w:t>
      </w:r>
      <w:r w:rsidR="00D34F2E" w:rsidRPr="78F9AF82">
        <w:rPr>
          <w:rFonts w:asciiTheme="majorHAnsi" w:hAnsiTheme="majorHAnsi" w:cstheme="majorBidi"/>
          <w:sz w:val="23"/>
          <w:szCs w:val="23"/>
        </w:rPr>
        <w:t xml:space="preserve"> being used</w:t>
      </w:r>
      <w:r w:rsidR="00294CEF" w:rsidRPr="78F9AF82">
        <w:rPr>
          <w:rFonts w:asciiTheme="majorHAnsi" w:hAnsiTheme="majorHAnsi" w:cstheme="majorBidi"/>
          <w:sz w:val="23"/>
          <w:szCs w:val="23"/>
        </w:rPr>
        <w:t xml:space="preserve"> </w:t>
      </w:r>
      <w:r w:rsidR="00300A17" w:rsidRPr="78F9AF82">
        <w:rPr>
          <w:rFonts w:asciiTheme="majorHAnsi" w:hAnsiTheme="majorHAnsi" w:cstheme="majorBidi"/>
          <w:sz w:val="23"/>
          <w:szCs w:val="23"/>
        </w:rPr>
        <w:t>across numerous sectors</w:t>
      </w:r>
      <w:r w:rsidR="00D34F2E" w:rsidRPr="78F9AF82">
        <w:rPr>
          <w:rFonts w:asciiTheme="majorHAnsi" w:hAnsiTheme="majorHAnsi" w:cstheme="majorBidi"/>
          <w:sz w:val="23"/>
          <w:szCs w:val="23"/>
        </w:rPr>
        <w:t xml:space="preserve"> here and overseas</w:t>
      </w:r>
      <w:r w:rsidR="008E66A8" w:rsidRPr="78F9AF82">
        <w:rPr>
          <w:rFonts w:asciiTheme="majorHAnsi" w:hAnsiTheme="majorHAnsi" w:cstheme="majorBidi"/>
          <w:sz w:val="23"/>
          <w:szCs w:val="23"/>
        </w:rPr>
        <w:t>,</w:t>
      </w:r>
      <w:r w:rsidR="00300A17" w:rsidRPr="78F9AF82">
        <w:rPr>
          <w:rFonts w:asciiTheme="majorHAnsi" w:hAnsiTheme="majorHAnsi" w:cstheme="majorBidi"/>
          <w:sz w:val="23"/>
          <w:szCs w:val="23"/>
        </w:rPr>
        <w:t xml:space="preserve"> including</w:t>
      </w:r>
      <w:r w:rsidR="006561A4" w:rsidRPr="78F9AF82">
        <w:rPr>
          <w:rFonts w:asciiTheme="majorHAnsi" w:hAnsiTheme="majorHAnsi" w:cstheme="majorBidi"/>
          <w:sz w:val="23"/>
          <w:szCs w:val="23"/>
        </w:rPr>
        <w:t xml:space="preserve"> public policy</w:t>
      </w:r>
      <w:r w:rsidR="00C22B74" w:rsidRPr="78F9AF82">
        <w:rPr>
          <w:rFonts w:asciiTheme="majorHAnsi" w:hAnsiTheme="majorHAnsi" w:cstheme="majorBidi"/>
          <w:sz w:val="23"/>
          <w:szCs w:val="23"/>
        </w:rPr>
        <w:t>,</w:t>
      </w:r>
      <w:r w:rsidR="006561A4" w:rsidRPr="78F9AF82">
        <w:rPr>
          <w:rFonts w:asciiTheme="majorHAnsi" w:hAnsiTheme="majorHAnsi" w:cstheme="majorBidi"/>
          <w:sz w:val="23"/>
          <w:szCs w:val="23"/>
        </w:rPr>
        <w:t xml:space="preserve"> service design</w:t>
      </w:r>
      <w:r w:rsidR="00C22B74" w:rsidRPr="78F9AF82">
        <w:rPr>
          <w:rFonts w:asciiTheme="majorHAnsi" w:hAnsiTheme="majorHAnsi" w:cstheme="majorBidi"/>
          <w:sz w:val="23"/>
          <w:szCs w:val="23"/>
        </w:rPr>
        <w:t>, and health promotion</w:t>
      </w:r>
      <w:r w:rsidR="006561A4" w:rsidRPr="78F9AF82">
        <w:rPr>
          <w:rFonts w:asciiTheme="majorHAnsi" w:hAnsiTheme="majorHAnsi" w:cstheme="majorBidi"/>
          <w:sz w:val="23"/>
          <w:szCs w:val="23"/>
        </w:rPr>
        <w:t>.</w:t>
      </w:r>
      <w:r w:rsidR="00AE2788" w:rsidRPr="78F9AF82">
        <w:rPr>
          <w:rFonts w:asciiTheme="majorHAnsi" w:hAnsiTheme="majorHAnsi" w:cstheme="majorBidi"/>
          <w:sz w:val="23"/>
          <w:szCs w:val="23"/>
        </w:rPr>
        <w:t xml:space="preserve"> </w:t>
      </w:r>
      <w:r w:rsidR="00F00E3D" w:rsidRPr="78F9AF82">
        <w:rPr>
          <w:rFonts w:asciiTheme="majorHAnsi" w:hAnsiTheme="majorHAnsi" w:cstheme="majorBidi"/>
          <w:sz w:val="23"/>
          <w:szCs w:val="23"/>
        </w:rPr>
        <w:t xml:space="preserve">While </w:t>
      </w:r>
      <w:r w:rsidR="007C2872" w:rsidRPr="78F9AF82">
        <w:rPr>
          <w:rFonts w:asciiTheme="majorHAnsi" w:hAnsiTheme="majorHAnsi" w:cstheme="majorBidi"/>
          <w:sz w:val="23"/>
          <w:szCs w:val="23"/>
        </w:rPr>
        <w:t xml:space="preserve">co-design </w:t>
      </w:r>
      <w:r w:rsidR="004B66DC" w:rsidRPr="78F9AF82">
        <w:rPr>
          <w:rFonts w:asciiTheme="majorHAnsi" w:hAnsiTheme="majorHAnsi" w:cstheme="majorBidi"/>
          <w:sz w:val="23"/>
          <w:szCs w:val="23"/>
        </w:rPr>
        <w:t>is</w:t>
      </w:r>
      <w:r w:rsidR="007F2EEA" w:rsidRPr="78F9AF82">
        <w:rPr>
          <w:rFonts w:asciiTheme="majorHAnsi" w:hAnsiTheme="majorHAnsi" w:cstheme="majorBidi"/>
          <w:sz w:val="23"/>
          <w:szCs w:val="23"/>
        </w:rPr>
        <w:t xml:space="preserve"> based on</w:t>
      </w:r>
      <w:r w:rsidR="008D6767" w:rsidRPr="78F9AF82">
        <w:rPr>
          <w:rFonts w:asciiTheme="majorHAnsi" w:hAnsiTheme="majorHAnsi" w:cstheme="majorBidi"/>
          <w:sz w:val="23"/>
          <w:szCs w:val="23"/>
        </w:rPr>
        <w:t xml:space="preserve"> participatory</w:t>
      </w:r>
      <w:r w:rsidR="007703BE" w:rsidRPr="78F9AF82">
        <w:rPr>
          <w:rFonts w:asciiTheme="majorHAnsi" w:hAnsiTheme="majorHAnsi" w:cstheme="majorBidi"/>
          <w:sz w:val="23"/>
          <w:szCs w:val="23"/>
        </w:rPr>
        <w:t xml:space="preserve"> processes</w:t>
      </w:r>
      <w:r w:rsidR="00F00E3D" w:rsidRPr="78F9AF82">
        <w:rPr>
          <w:rFonts w:asciiTheme="majorHAnsi" w:hAnsiTheme="majorHAnsi" w:cstheme="majorBidi"/>
          <w:sz w:val="23"/>
          <w:szCs w:val="23"/>
        </w:rPr>
        <w:t>,</w:t>
      </w:r>
      <w:r w:rsidR="008F0ECA" w:rsidRPr="78F9AF82">
        <w:rPr>
          <w:rFonts w:asciiTheme="majorHAnsi" w:hAnsiTheme="majorHAnsi" w:cstheme="majorBidi"/>
          <w:sz w:val="23"/>
          <w:szCs w:val="23"/>
        </w:rPr>
        <w:t xml:space="preserve"> tools, and principles,</w:t>
      </w:r>
      <w:r w:rsidR="007C2872" w:rsidRPr="78F9AF82">
        <w:rPr>
          <w:rFonts w:asciiTheme="majorHAnsi" w:hAnsiTheme="majorHAnsi" w:cstheme="majorBidi"/>
          <w:sz w:val="23"/>
          <w:szCs w:val="23"/>
        </w:rPr>
        <w:t xml:space="preserve"> </w:t>
      </w:r>
      <w:r w:rsidR="00E62A8A" w:rsidRPr="78F9AF82">
        <w:rPr>
          <w:rFonts w:asciiTheme="majorHAnsi" w:hAnsiTheme="majorHAnsi" w:cstheme="majorBidi"/>
          <w:sz w:val="23"/>
          <w:szCs w:val="23"/>
        </w:rPr>
        <w:t>th</w:t>
      </w:r>
      <w:r w:rsidR="007F2EEA" w:rsidRPr="78F9AF82">
        <w:rPr>
          <w:rFonts w:asciiTheme="majorHAnsi" w:hAnsiTheme="majorHAnsi" w:cstheme="majorBidi"/>
          <w:sz w:val="23"/>
          <w:szCs w:val="23"/>
        </w:rPr>
        <w:t>e</w:t>
      </w:r>
      <w:r w:rsidR="004B66DC" w:rsidRPr="78F9AF82">
        <w:rPr>
          <w:rFonts w:asciiTheme="majorHAnsi" w:hAnsiTheme="majorHAnsi" w:cstheme="majorBidi"/>
          <w:sz w:val="23"/>
          <w:szCs w:val="23"/>
        </w:rPr>
        <w:t xml:space="preserve"> approach</w:t>
      </w:r>
      <w:r w:rsidR="00F00E3D" w:rsidRPr="78F9AF82">
        <w:rPr>
          <w:rFonts w:asciiTheme="majorHAnsi" w:hAnsiTheme="majorHAnsi" w:cstheme="majorBidi"/>
          <w:sz w:val="23"/>
          <w:szCs w:val="23"/>
        </w:rPr>
        <w:t xml:space="preserve"> </w:t>
      </w:r>
      <w:r w:rsidR="00BB02B0" w:rsidRPr="78F9AF82">
        <w:rPr>
          <w:rFonts w:asciiTheme="majorHAnsi" w:hAnsiTheme="majorHAnsi" w:cstheme="majorBidi"/>
          <w:sz w:val="23"/>
          <w:szCs w:val="23"/>
        </w:rPr>
        <w:t>must be</w:t>
      </w:r>
      <w:r w:rsidR="00F00E3D" w:rsidRPr="78F9AF82">
        <w:rPr>
          <w:rFonts w:asciiTheme="majorHAnsi" w:hAnsiTheme="majorHAnsi" w:cstheme="majorBidi"/>
          <w:sz w:val="23"/>
          <w:szCs w:val="23"/>
        </w:rPr>
        <w:t xml:space="preserve"> well designed</w:t>
      </w:r>
      <w:r w:rsidR="005A162C" w:rsidRPr="78F9AF82">
        <w:rPr>
          <w:rFonts w:asciiTheme="majorHAnsi" w:hAnsiTheme="majorHAnsi" w:cstheme="majorBidi"/>
          <w:sz w:val="23"/>
          <w:szCs w:val="23"/>
        </w:rPr>
        <w:t xml:space="preserve">, </w:t>
      </w:r>
      <w:r w:rsidR="000D34BA" w:rsidRPr="78F9AF82">
        <w:rPr>
          <w:rFonts w:asciiTheme="majorHAnsi" w:hAnsiTheme="majorHAnsi" w:cstheme="majorBidi"/>
          <w:sz w:val="23"/>
          <w:szCs w:val="23"/>
        </w:rPr>
        <w:t xml:space="preserve">rigorous, and </w:t>
      </w:r>
      <w:r w:rsidR="00944011" w:rsidRPr="78F9AF82">
        <w:rPr>
          <w:rFonts w:asciiTheme="majorHAnsi" w:hAnsiTheme="majorHAnsi" w:cstheme="majorBidi"/>
          <w:sz w:val="23"/>
          <w:szCs w:val="23"/>
        </w:rPr>
        <w:t>properly resourced</w:t>
      </w:r>
      <w:r w:rsidR="00BB02B0" w:rsidRPr="78F9AF82">
        <w:rPr>
          <w:rFonts w:asciiTheme="majorHAnsi" w:hAnsiTheme="majorHAnsi" w:cstheme="majorBidi"/>
          <w:sz w:val="23"/>
          <w:szCs w:val="23"/>
        </w:rPr>
        <w:t>,</w:t>
      </w:r>
      <w:r w:rsidR="00F00E3D" w:rsidRPr="78F9AF82">
        <w:rPr>
          <w:rFonts w:asciiTheme="majorHAnsi" w:hAnsiTheme="majorHAnsi" w:cstheme="majorBidi"/>
          <w:sz w:val="23"/>
          <w:szCs w:val="23"/>
        </w:rPr>
        <w:t xml:space="preserve"> or</w:t>
      </w:r>
      <w:r w:rsidR="00BB02B0" w:rsidRPr="78F9AF82">
        <w:rPr>
          <w:rFonts w:asciiTheme="majorHAnsi" w:hAnsiTheme="majorHAnsi" w:cstheme="majorBidi"/>
          <w:sz w:val="23"/>
          <w:szCs w:val="23"/>
        </w:rPr>
        <w:t xml:space="preserve"> </w:t>
      </w:r>
      <w:r w:rsidR="004B66DC" w:rsidRPr="78F9AF82">
        <w:rPr>
          <w:rFonts w:asciiTheme="majorHAnsi" w:hAnsiTheme="majorHAnsi" w:cstheme="majorBidi"/>
          <w:sz w:val="23"/>
          <w:szCs w:val="23"/>
        </w:rPr>
        <w:t>it risks</w:t>
      </w:r>
      <w:r w:rsidR="00BB02B0" w:rsidRPr="78F9AF82">
        <w:rPr>
          <w:rFonts w:asciiTheme="majorHAnsi" w:hAnsiTheme="majorHAnsi" w:cstheme="majorBidi"/>
          <w:sz w:val="23"/>
          <w:szCs w:val="23"/>
        </w:rPr>
        <w:t xml:space="preserve"> becoming</w:t>
      </w:r>
      <w:r w:rsidR="00F00E3D" w:rsidRPr="78F9AF82">
        <w:rPr>
          <w:rFonts w:asciiTheme="majorHAnsi" w:hAnsiTheme="majorHAnsi" w:cstheme="majorBidi"/>
          <w:sz w:val="23"/>
          <w:szCs w:val="23"/>
        </w:rPr>
        <w:t xml:space="preserve"> </w:t>
      </w:r>
      <w:r w:rsidR="00E62A8A" w:rsidRPr="78F9AF82">
        <w:rPr>
          <w:rFonts w:asciiTheme="majorHAnsi" w:hAnsiTheme="majorHAnsi" w:cstheme="majorBidi"/>
          <w:sz w:val="23"/>
          <w:szCs w:val="23"/>
        </w:rPr>
        <w:t>a</w:t>
      </w:r>
      <w:r w:rsidR="00B941F3" w:rsidRPr="78F9AF82">
        <w:rPr>
          <w:rFonts w:asciiTheme="majorHAnsi" w:hAnsiTheme="majorHAnsi" w:cstheme="majorBidi"/>
          <w:sz w:val="23"/>
          <w:szCs w:val="23"/>
        </w:rPr>
        <w:t xml:space="preserve"> </w:t>
      </w:r>
      <w:r w:rsidR="00F00E3D" w:rsidRPr="78F9AF82">
        <w:rPr>
          <w:rFonts w:asciiTheme="majorHAnsi" w:hAnsiTheme="majorHAnsi" w:cstheme="majorBidi"/>
          <w:sz w:val="23"/>
          <w:szCs w:val="23"/>
        </w:rPr>
        <w:t>tokenistic</w:t>
      </w:r>
      <w:r w:rsidR="00167B57" w:rsidRPr="78F9AF82">
        <w:rPr>
          <w:rFonts w:asciiTheme="majorHAnsi" w:hAnsiTheme="majorHAnsi" w:cstheme="majorBidi"/>
          <w:sz w:val="23"/>
          <w:szCs w:val="23"/>
        </w:rPr>
        <w:t xml:space="preserve"> </w:t>
      </w:r>
      <w:r w:rsidR="008E7FD9" w:rsidRPr="78F9AF82">
        <w:rPr>
          <w:rFonts w:asciiTheme="majorHAnsi" w:hAnsiTheme="majorHAnsi" w:cstheme="majorBidi"/>
          <w:sz w:val="23"/>
          <w:szCs w:val="23"/>
        </w:rPr>
        <w:t>substitute for</w:t>
      </w:r>
      <w:r w:rsidR="00C02C28" w:rsidRPr="78F9AF82">
        <w:rPr>
          <w:rFonts w:asciiTheme="majorHAnsi" w:hAnsiTheme="majorHAnsi" w:cstheme="majorBidi"/>
          <w:sz w:val="23"/>
          <w:szCs w:val="23"/>
        </w:rPr>
        <w:t xml:space="preserve"> meaningful collaboration</w:t>
      </w:r>
      <w:r w:rsidR="00F00E3D" w:rsidRPr="78F9AF82">
        <w:rPr>
          <w:rFonts w:asciiTheme="majorHAnsi" w:hAnsiTheme="majorHAnsi" w:cstheme="majorBidi"/>
          <w:sz w:val="23"/>
          <w:szCs w:val="23"/>
        </w:rPr>
        <w:t>.</w:t>
      </w:r>
    </w:p>
    <w:p w14:paraId="51BDF602" w14:textId="77777777" w:rsidR="00A315F8" w:rsidRPr="00FC3193" w:rsidRDefault="00A315F8" w:rsidP="009B2FA7">
      <w:pPr>
        <w:spacing w:after="0" w:line="276" w:lineRule="auto"/>
        <w:rPr>
          <w:rFonts w:asciiTheme="majorHAnsi" w:hAnsiTheme="majorHAnsi" w:cstheme="majorBidi"/>
          <w:sz w:val="12"/>
          <w:szCs w:val="12"/>
        </w:rPr>
      </w:pPr>
    </w:p>
    <w:p w14:paraId="24C11919" w14:textId="0465D58B" w:rsidR="00F00E3D" w:rsidRPr="007C2872" w:rsidRDefault="00F00E3D" w:rsidP="009B2FA7">
      <w:pPr>
        <w:spacing w:after="0" w:line="276" w:lineRule="auto"/>
        <w:rPr>
          <w:rFonts w:asciiTheme="majorHAnsi" w:hAnsiTheme="majorHAnsi" w:cstheme="majorBidi"/>
          <w:sz w:val="23"/>
          <w:szCs w:val="23"/>
        </w:rPr>
      </w:pPr>
      <w:r w:rsidRPr="007C2872">
        <w:rPr>
          <w:rFonts w:asciiTheme="majorHAnsi" w:hAnsiTheme="majorHAnsi" w:cstheme="majorBidi"/>
          <w:sz w:val="23"/>
          <w:szCs w:val="23"/>
        </w:rPr>
        <w:t xml:space="preserve">The principles of good co-design </w:t>
      </w:r>
      <w:r w:rsidR="003D05EE">
        <w:rPr>
          <w:rFonts w:asciiTheme="majorHAnsi" w:hAnsiTheme="majorHAnsi" w:cstheme="majorBidi"/>
          <w:sz w:val="23"/>
          <w:szCs w:val="23"/>
        </w:rPr>
        <w:t>call for an approach that</w:t>
      </w:r>
      <w:r w:rsidR="00737B65">
        <w:rPr>
          <w:rFonts w:asciiTheme="majorHAnsi" w:hAnsiTheme="majorHAnsi" w:cstheme="majorBidi"/>
          <w:sz w:val="23"/>
          <w:szCs w:val="23"/>
        </w:rPr>
        <w:t xml:space="preserve"> is</w:t>
      </w:r>
      <w:r w:rsidRPr="007C2872">
        <w:rPr>
          <w:rFonts w:asciiTheme="majorHAnsi" w:hAnsiTheme="majorHAnsi" w:cstheme="majorBidi"/>
          <w:sz w:val="23"/>
          <w:szCs w:val="23"/>
        </w:rPr>
        <w:t xml:space="preserve"> genuinely inclusive, respectful, participative, iterative</w:t>
      </w:r>
      <w:r w:rsidR="00AE024D">
        <w:rPr>
          <w:rFonts w:asciiTheme="majorHAnsi" w:hAnsiTheme="majorHAnsi" w:cstheme="majorBidi"/>
          <w:sz w:val="23"/>
          <w:szCs w:val="23"/>
        </w:rPr>
        <w:t>,</w:t>
      </w:r>
      <w:r w:rsidRPr="007C2872">
        <w:rPr>
          <w:rFonts w:asciiTheme="majorHAnsi" w:hAnsiTheme="majorHAnsi" w:cstheme="majorBidi"/>
          <w:sz w:val="23"/>
          <w:szCs w:val="23"/>
        </w:rPr>
        <w:t xml:space="preserve"> and outcomes focused. For example, Sanders and Stappers (2008) define meaningful co-design as being “applied across the whole span of a design process” and involving “people not trained in design” (p.6). In such processes, the user is given a role of “expert in his/her experience” and invited to play a part in knowledge development, idea generation</w:t>
      </w:r>
      <w:r w:rsidR="0026305B">
        <w:rPr>
          <w:rFonts w:asciiTheme="majorHAnsi" w:hAnsiTheme="majorHAnsi" w:cstheme="majorBidi"/>
          <w:sz w:val="23"/>
          <w:szCs w:val="23"/>
        </w:rPr>
        <w:t>,</w:t>
      </w:r>
      <w:r w:rsidRPr="007C2872">
        <w:rPr>
          <w:rFonts w:asciiTheme="majorHAnsi" w:hAnsiTheme="majorHAnsi" w:cstheme="majorBidi"/>
          <w:sz w:val="23"/>
          <w:szCs w:val="23"/>
        </w:rPr>
        <w:t xml:space="preserve"> and decision making (Sanders &amp; Stappers, 2008, p.12). This approach recognises the fact that so-called “disadvantaged” communities possess valuable strengths, resources</w:t>
      </w:r>
      <w:r w:rsidR="00320933">
        <w:rPr>
          <w:rFonts w:asciiTheme="majorHAnsi" w:hAnsiTheme="majorHAnsi" w:cstheme="majorBidi"/>
          <w:sz w:val="23"/>
          <w:szCs w:val="23"/>
        </w:rPr>
        <w:t>,</w:t>
      </w:r>
      <w:r w:rsidRPr="007C2872">
        <w:rPr>
          <w:rFonts w:asciiTheme="majorHAnsi" w:hAnsiTheme="majorHAnsi" w:cstheme="majorBidi"/>
          <w:sz w:val="23"/>
          <w:szCs w:val="23"/>
        </w:rPr>
        <w:t xml:space="preserve"> </w:t>
      </w:r>
      <w:r w:rsidR="00FB01E5">
        <w:rPr>
          <w:rFonts w:asciiTheme="majorHAnsi" w:hAnsiTheme="majorHAnsi" w:cstheme="majorBidi"/>
          <w:sz w:val="23"/>
          <w:szCs w:val="23"/>
        </w:rPr>
        <w:t xml:space="preserve">and </w:t>
      </w:r>
      <w:r w:rsidRPr="007C2872">
        <w:rPr>
          <w:rFonts w:asciiTheme="majorHAnsi" w:hAnsiTheme="majorHAnsi" w:cstheme="majorBidi"/>
          <w:sz w:val="23"/>
          <w:szCs w:val="23"/>
        </w:rPr>
        <w:t>insights, and that residents should be placed front and centre in devising solutions to the challenges their communities face.</w:t>
      </w:r>
    </w:p>
    <w:p w14:paraId="1EEC992B" w14:textId="77777777" w:rsidR="00F00E3D" w:rsidRPr="00FC3193" w:rsidRDefault="00F00E3D" w:rsidP="009B2FA7">
      <w:pPr>
        <w:spacing w:after="0" w:line="276" w:lineRule="auto"/>
        <w:rPr>
          <w:rFonts w:asciiTheme="majorHAnsi" w:hAnsiTheme="majorHAnsi" w:cstheme="majorBidi"/>
          <w:sz w:val="12"/>
          <w:szCs w:val="12"/>
        </w:rPr>
      </w:pPr>
    </w:p>
    <w:p w14:paraId="75BCCC3A" w14:textId="6FE8512A" w:rsidR="00F00E3D" w:rsidRDefault="00F00E3D" w:rsidP="009B2FA7">
      <w:pPr>
        <w:spacing w:after="0" w:line="276" w:lineRule="auto"/>
        <w:rPr>
          <w:rFonts w:asciiTheme="majorHAnsi" w:eastAsia="Times New Roman" w:hAnsiTheme="majorHAnsi" w:cstheme="majorBidi"/>
          <w:sz w:val="23"/>
          <w:szCs w:val="23"/>
          <w:lang w:eastAsia="en-GB"/>
        </w:rPr>
      </w:pPr>
      <w:r w:rsidRPr="5EF94835">
        <w:rPr>
          <w:rFonts w:asciiTheme="majorHAnsi" w:eastAsia="Times New Roman" w:hAnsiTheme="majorHAnsi" w:cstheme="majorBidi"/>
          <w:sz w:val="23"/>
          <w:szCs w:val="23"/>
          <w:lang w:eastAsia="en-GB"/>
        </w:rPr>
        <w:t xml:space="preserve">Two </w:t>
      </w:r>
      <w:r w:rsidR="00115696">
        <w:rPr>
          <w:rFonts w:asciiTheme="majorHAnsi" w:eastAsia="Times New Roman" w:hAnsiTheme="majorHAnsi" w:cstheme="majorBidi"/>
          <w:sz w:val="23"/>
          <w:szCs w:val="23"/>
          <w:lang w:eastAsia="en-GB"/>
        </w:rPr>
        <w:t>E</w:t>
      </w:r>
      <w:r w:rsidRPr="5EF94835">
        <w:rPr>
          <w:rFonts w:asciiTheme="majorHAnsi" w:eastAsia="Times New Roman" w:hAnsiTheme="majorHAnsi" w:cstheme="majorBidi"/>
          <w:sz w:val="23"/>
          <w:szCs w:val="23"/>
          <w:lang w:eastAsia="en-GB"/>
        </w:rPr>
        <w:t xml:space="preserve">vidence </w:t>
      </w:r>
      <w:r w:rsidR="00115696" w:rsidRPr="00CC521D">
        <w:rPr>
          <w:rFonts w:asciiTheme="majorHAnsi" w:eastAsia="Times New Roman" w:hAnsiTheme="majorHAnsi" w:cstheme="majorBidi"/>
          <w:sz w:val="23"/>
          <w:szCs w:val="23"/>
          <w:lang w:eastAsia="en-GB"/>
        </w:rPr>
        <w:t>M</w:t>
      </w:r>
      <w:r w:rsidRPr="00CC521D">
        <w:rPr>
          <w:rFonts w:asciiTheme="majorHAnsi" w:eastAsia="Times New Roman" w:hAnsiTheme="majorHAnsi" w:cstheme="majorBidi"/>
          <w:sz w:val="23"/>
          <w:szCs w:val="23"/>
          <w:lang w:eastAsia="en-GB"/>
        </w:rPr>
        <w:t>aps (</w:t>
      </w:r>
      <w:r w:rsidR="006D2A97" w:rsidRPr="00CC521D">
        <w:rPr>
          <w:rFonts w:asciiTheme="majorHAnsi" w:eastAsia="Times New Roman" w:hAnsiTheme="majorHAnsi" w:cstheme="majorBidi"/>
          <w:sz w:val="23"/>
          <w:szCs w:val="23"/>
          <w:lang w:eastAsia="en-GB"/>
        </w:rPr>
        <w:t xml:space="preserve">see </w:t>
      </w:r>
      <w:r w:rsidRPr="00CC521D">
        <w:rPr>
          <w:rFonts w:asciiTheme="majorHAnsi" w:eastAsia="Times New Roman" w:hAnsiTheme="majorHAnsi" w:cstheme="majorBidi"/>
          <w:sz w:val="23"/>
          <w:szCs w:val="23"/>
          <w:lang w:eastAsia="en-GB"/>
        </w:rPr>
        <w:t>Section 4) visually</w:t>
      </w:r>
      <w:r>
        <w:rPr>
          <w:rFonts w:asciiTheme="majorHAnsi" w:eastAsia="Times New Roman" w:hAnsiTheme="majorHAnsi" w:cstheme="majorBidi"/>
          <w:sz w:val="23"/>
          <w:szCs w:val="23"/>
          <w:lang w:eastAsia="en-GB"/>
        </w:rPr>
        <w:t xml:space="preserve"> summarise the spread of data described in the </w:t>
      </w:r>
      <w:r w:rsidR="00B14496">
        <w:rPr>
          <w:rFonts w:asciiTheme="majorHAnsi" w:hAnsiTheme="majorHAnsi" w:cstheme="majorHAnsi"/>
          <w:noProof/>
          <w:sz w:val="23"/>
          <w:szCs w:val="23"/>
          <w:lang w:val="en-US"/>
        </w:rPr>
        <w:t>r</w:t>
      </w:r>
      <w:r w:rsidR="00B14496" w:rsidRPr="00E4174E">
        <w:rPr>
          <w:rFonts w:asciiTheme="majorHAnsi" w:hAnsiTheme="majorHAnsi" w:cstheme="majorHAnsi"/>
          <w:noProof/>
          <w:sz w:val="23"/>
          <w:szCs w:val="23"/>
          <w:lang w:val="en-US"/>
        </w:rPr>
        <w:t xml:space="preserve">eview of </w:t>
      </w:r>
      <w:r w:rsidR="00B14496">
        <w:rPr>
          <w:rFonts w:asciiTheme="majorHAnsi" w:hAnsiTheme="majorHAnsi" w:cstheme="majorHAnsi"/>
          <w:noProof/>
          <w:sz w:val="23"/>
          <w:szCs w:val="23"/>
          <w:lang w:val="en-US"/>
        </w:rPr>
        <w:t>k</w:t>
      </w:r>
      <w:r w:rsidR="00B14496" w:rsidRPr="00E4174E">
        <w:rPr>
          <w:rFonts w:asciiTheme="majorHAnsi" w:hAnsiTheme="majorHAnsi" w:cstheme="majorHAnsi"/>
          <w:noProof/>
          <w:sz w:val="23"/>
          <w:szCs w:val="23"/>
          <w:lang w:val="en-US"/>
        </w:rPr>
        <w:t xml:space="preserve">ey </w:t>
      </w:r>
      <w:r w:rsidR="00B14496">
        <w:rPr>
          <w:rFonts w:asciiTheme="majorHAnsi" w:hAnsiTheme="majorHAnsi" w:cstheme="majorHAnsi"/>
          <w:noProof/>
          <w:sz w:val="23"/>
          <w:szCs w:val="23"/>
          <w:lang w:val="en-US"/>
        </w:rPr>
        <w:t>a</w:t>
      </w:r>
      <w:r w:rsidR="00B14496" w:rsidRPr="00E4174E">
        <w:rPr>
          <w:rFonts w:asciiTheme="majorHAnsi" w:hAnsiTheme="majorHAnsi" w:cstheme="majorHAnsi"/>
          <w:noProof/>
          <w:sz w:val="23"/>
          <w:szCs w:val="23"/>
          <w:lang w:val="en-US"/>
        </w:rPr>
        <w:t xml:space="preserve">cademic </w:t>
      </w:r>
      <w:r w:rsidR="00B14496">
        <w:rPr>
          <w:rFonts w:asciiTheme="majorHAnsi" w:hAnsiTheme="majorHAnsi" w:cstheme="majorHAnsi"/>
          <w:noProof/>
          <w:sz w:val="23"/>
          <w:szCs w:val="23"/>
          <w:lang w:val="en-US"/>
        </w:rPr>
        <w:t>r</w:t>
      </w:r>
      <w:r w:rsidR="00B14496" w:rsidRPr="00E4174E">
        <w:rPr>
          <w:rFonts w:asciiTheme="majorHAnsi" w:hAnsiTheme="majorHAnsi" w:cstheme="majorHAnsi"/>
          <w:noProof/>
          <w:sz w:val="23"/>
          <w:szCs w:val="23"/>
          <w:lang w:val="en-US"/>
        </w:rPr>
        <w:t>esearch</w:t>
      </w:r>
      <w:r w:rsidR="00B14496">
        <w:rPr>
          <w:rFonts w:asciiTheme="majorHAnsi" w:hAnsiTheme="majorHAnsi" w:cstheme="majorHAnsi"/>
          <w:noProof/>
          <w:sz w:val="23"/>
          <w:szCs w:val="23"/>
          <w:lang w:val="en-US"/>
        </w:rPr>
        <w:t xml:space="preserve"> </w:t>
      </w:r>
      <w:r>
        <w:rPr>
          <w:rFonts w:asciiTheme="majorHAnsi" w:eastAsia="Times New Roman" w:hAnsiTheme="majorHAnsi" w:cstheme="majorBidi"/>
          <w:sz w:val="23"/>
          <w:szCs w:val="23"/>
          <w:lang w:eastAsia="en-GB"/>
        </w:rPr>
        <w:t xml:space="preserve">(Section 3). These maps depict the </w:t>
      </w:r>
      <w:r w:rsidRPr="5EF94835">
        <w:rPr>
          <w:rFonts w:asciiTheme="majorHAnsi" w:eastAsia="Times New Roman" w:hAnsiTheme="majorHAnsi" w:cstheme="majorBidi"/>
          <w:sz w:val="23"/>
          <w:szCs w:val="23"/>
          <w:lang w:eastAsia="en-GB"/>
        </w:rPr>
        <w:t>spread of research on</w:t>
      </w:r>
      <w:r>
        <w:rPr>
          <w:rFonts w:asciiTheme="majorHAnsi" w:eastAsia="Times New Roman" w:hAnsiTheme="majorHAnsi" w:cstheme="majorBidi"/>
          <w:sz w:val="23"/>
          <w:szCs w:val="23"/>
          <w:lang w:eastAsia="en-GB"/>
        </w:rPr>
        <w:t>:</w:t>
      </w:r>
    </w:p>
    <w:p w14:paraId="66F3C374" w14:textId="6AEE70FF" w:rsidR="00F00E3D" w:rsidRPr="00C90C11" w:rsidRDefault="00F00E3D" w:rsidP="00364C5D">
      <w:pPr>
        <w:pStyle w:val="ListParagraph"/>
        <w:numPr>
          <w:ilvl w:val="0"/>
          <w:numId w:val="20"/>
        </w:numPr>
        <w:spacing w:after="0" w:line="276" w:lineRule="auto"/>
        <w:rPr>
          <w:rFonts w:asciiTheme="majorHAnsi" w:eastAsia="Times New Roman" w:hAnsiTheme="majorHAnsi" w:cstheme="majorHAnsi"/>
          <w:sz w:val="23"/>
          <w:szCs w:val="23"/>
          <w:lang w:eastAsia="en-GB"/>
        </w:rPr>
      </w:pPr>
      <w:r w:rsidRPr="00456C7A">
        <w:rPr>
          <w:rFonts w:asciiTheme="majorHAnsi" w:eastAsia="Times New Roman" w:hAnsiTheme="majorHAnsi" w:cstheme="majorHAnsi"/>
          <w:sz w:val="23"/>
          <w:szCs w:val="23"/>
          <w:lang w:eastAsia="en-GB"/>
        </w:rPr>
        <w:t>the socioeconomic factors of disadvantage</w:t>
      </w:r>
      <w:r>
        <w:rPr>
          <w:rFonts w:asciiTheme="majorHAnsi" w:eastAsia="Times New Roman" w:hAnsiTheme="majorHAnsi" w:cstheme="majorHAnsi"/>
          <w:sz w:val="23"/>
          <w:szCs w:val="23"/>
          <w:lang w:eastAsia="en-GB"/>
        </w:rPr>
        <w:t>,</w:t>
      </w:r>
      <w:r w:rsidRPr="00456C7A">
        <w:rPr>
          <w:rFonts w:asciiTheme="majorHAnsi" w:eastAsia="Times New Roman" w:hAnsiTheme="majorHAnsi" w:cstheme="majorHAnsi"/>
          <w:sz w:val="23"/>
          <w:szCs w:val="23"/>
          <w:lang w:eastAsia="en-GB"/>
        </w:rPr>
        <w:t xml:space="preserve"> according </w:t>
      </w:r>
      <w:r w:rsidRPr="00C90C11">
        <w:rPr>
          <w:rFonts w:asciiTheme="majorHAnsi" w:eastAsia="Times New Roman" w:hAnsiTheme="majorHAnsi" w:cstheme="majorHAnsi"/>
          <w:sz w:val="23"/>
          <w:szCs w:val="23"/>
          <w:lang w:eastAsia="en-GB"/>
        </w:rPr>
        <w:t xml:space="preserve">to </w:t>
      </w:r>
      <w:r w:rsidR="00D95573" w:rsidRPr="00C90C11">
        <w:rPr>
          <w:rFonts w:asciiTheme="majorHAnsi" w:eastAsia="Times New Roman" w:hAnsiTheme="majorHAnsi" w:cstheme="majorHAnsi"/>
          <w:sz w:val="23"/>
          <w:szCs w:val="23"/>
          <w:lang w:eastAsia="en-GB"/>
        </w:rPr>
        <w:t>Practice Domain</w:t>
      </w:r>
      <w:r w:rsidRPr="00C90C11">
        <w:rPr>
          <w:rFonts w:asciiTheme="majorHAnsi" w:eastAsia="Times New Roman" w:hAnsiTheme="majorHAnsi" w:cstheme="majorHAnsi"/>
          <w:sz w:val="23"/>
          <w:szCs w:val="23"/>
          <w:lang w:eastAsia="en-GB"/>
        </w:rPr>
        <w:t xml:space="preserve"> (</w:t>
      </w:r>
      <w:hyperlink w:anchor="OLE_LINKFigure2" w:history="1">
        <w:r w:rsidR="00CC521D" w:rsidRPr="00C90C11">
          <w:rPr>
            <w:rStyle w:val="Hyperlink"/>
            <w:rFonts w:asciiTheme="majorHAnsi" w:hAnsiTheme="majorHAnsi" w:cstheme="majorHAnsi"/>
            <w:sz w:val="23"/>
            <w:szCs w:val="23"/>
          </w:rPr>
          <w:t>Figure 4.1</w:t>
        </w:r>
      </w:hyperlink>
      <w:r w:rsidRPr="00C90C11">
        <w:rPr>
          <w:rFonts w:asciiTheme="majorHAnsi" w:eastAsia="Times New Roman" w:hAnsiTheme="majorHAnsi" w:cstheme="majorHAnsi"/>
          <w:sz w:val="23"/>
          <w:szCs w:val="23"/>
          <w:lang w:eastAsia="en-GB"/>
        </w:rPr>
        <w:t>).</w:t>
      </w:r>
    </w:p>
    <w:p w14:paraId="309E390B" w14:textId="11C38764" w:rsidR="00F00E3D" w:rsidRPr="00C90C11" w:rsidRDefault="00F00E3D" w:rsidP="00364C5D">
      <w:pPr>
        <w:pStyle w:val="ListParagraph"/>
        <w:numPr>
          <w:ilvl w:val="0"/>
          <w:numId w:val="20"/>
        </w:numPr>
        <w:spacing w:after="0" w:line="276" w:lineRule="auto"/>
        <w:rPr>
          <w:rFonts w:asciiTheme="majorHAnsi" w:eastAsia="Times New Roman" w:hAnsiTheme="majorHAnsi" w:cstheme="majorHAnsi"/>
          <w:sz w:val="23"/>
          <w:szCs w:val="23"/>
          <w:lang w:eastAsia="en-GB"/>
        </w:rPr>
      </w:pPr>
      <w:r w:rsidRPr="00C90C11">
        <w:rPr>
          <w:rFonts w:asciiTheme="majorHAnsi" w:eastAsia="Times New Roman" w:hAnsiTheme="majorHAnsi" w:cstheme="majorHAnsi"/>
          <w:sz w:val="23"/>
          <w:szCs w:val="23"/>
          <w:lang w:eastAsia="en-GB"/>
        </w:rPr>
        <w:t xml:space="preserve">global interventions to address locational disadvantage, </w:t>
      </w:r>
      <w:r w:rsidR="00CC521D" w:rsidRPr="00C90C11">
        <w:rPr>
          <w:rFonts w:asciiTheme="majorHAnsi" w:eastAsia="Times New Roman" w:hAnsiTheme="majorHAnsi" w:cstheme="majorHAnsi"/>
          <w:sz w:val="23"/>
          <w:szCs w:val="23"/>
          <w:lang w:eastAsia="en-GB"/>
        </w:rPr>
        <w:t>by</w:t>
      </w:r>
      <w:r w:rsidRPr="00C90C11">
        <w:rPr>
          <w:rFonts w:asciiTheme="majorHAnsi" w:eastAsia="Times New Roman" w:hAnsiTheme="majorHAnsi" w:cstheme="majorHAnsi"/>
          <w:sz w:val="23"/>
          <w:szCs w:val="23"/>
          <w:lang w:eastAsia="en-GB"/>
        </w:rPr>
        <w:t xml:space="preserve"> </w:t>
      </w:r>
      <w:r w:rsidR="00D95573" w:rsidRPr="00C90C11">
        <w:rPr>
          <w:rFonts w:asciiTheme="majorHAnsi" w:eastAsia="Times New Roman" w:hAnsiTheme="majorHAnsi" w:cstheme="majorHAnsi"/>
          <w:sz w:val="23"/>
          <w:szCs w:val="23"/>
          <w:lang w:eastAsia="en-GB"/>
        </w:rPr>
        <w:t>Practice Domain</w:t>
      </w:r>
      <w:r w:rsidRPr="00C90C11">
        <w:rPr>
          <w:rFonts w:asciiTheme="majorHAnsi" w:eastAsia="Times New Roman" w:hAnsiTheme="majorHAnsi" w:cstheme="majorHAnsi"/>
          <w:sz w:val="23"/>
          <w:szCs w:val="23"/>
          <w:lang w:eastAsia="en-GB"/>
        </w:rPr>
        <w:t xml:space="preserve"> (</w:t>
      </w:r>
      <w:hyperlink w:anchor="OLE_LINKFigure3" w:history="1">
        <w:r w:rsidR="00CC521D" w:rsidRPr="00C90C11">
          <w:rPr>
            <w:rStyle w:val="Hyperlink"/>
            <w:rFonts w:asciiTheme="majorHAnsi" w:hAnsiTheme="majorHAnsi" w:cstheme="majorHAnsi"/>
            <w:sz w:val="23"/>
            <w:szCs w:val="23"/>
          </w:rPr>
          <w:t>Figure 4.2</w:t>
        </w:r>
      </w:hyperlink>
      <w:r w:rsidRPr="00C90C11">
        <w:rPr>
          <w:rFonts w:asciiTheme="majorHAnsi" w:eastAsia="Times New Roman" w:hAnsiTheme="majorHAnsi" w:cstheme="majorHAnsi"/>
          <w:sz w:val="23"/>
          <w:szCs w:val="23"/>
          <w:lang w:eastAsia="en-GB"/>
        </w:rPr>
        <w:t>).</w:t>
      </w:r>
    </w:p>
    <w:p w14:paraId="40FF3728" w14:textId="77777777" w:rsidR="00F00E3D" w:rsidRPr="00167AA8" w:rsidRDefault="00F00E3D" w:rsidP="009B2FA7">
      <w:pPr>
        <w:spacing w:after="0" w:line="276" w:lineRule="auto"/>
        <w:contextualSpacing/>
        <w:rPr>
          <w:rFonts w:asciiTheme="majorHAnsi" w:hAnsiTheme="majorHAnsi" w:cstheme="majorBidi"/>
          <w:sz w:val="12"/>
          <w:szCs w:val="12"/>
        </w:rPr>
      </w:pPr>
    </w:p>
    <w:p w14:paraId="19F3E368" w14:textId="6B2933F7" w:rsidR="00F00E3D" w:rsidRDefault="00F00E3D" w:rsidP="009B2FA7">
      <w:pPr>
        <w:spacing w:after="0" w:line="276" w:lineRule="auto"/>
        <w:contextualSpacing/>
        <w:rPr>
          <w:rFonts w:asciiTheme="majorHAnsi" w:hAnsiTheme="majorHAnsi" w:cstheme="majorBidi"/>
          <w:sz w:val="23"/>
          <w:szCs w:val="23"/>
        </w:rPr>
      </w:pPr>
      <w:r>
        <w:rPr>
          <w:rFonts w:asciiTheme="majorHAnsi" w:hAnsiTheme="majorHAnsi" w:cstheme="majorBidi"/>
          <w:sz w:val="23"/>
          <w:szCs w:val="23"/>
        </w:rPr>
        <w:t xml:space="preserve">In </w:t>
      </w:r>
      <w:r w:rsidR="002E4C92">
        <w:rPr>
          <w:rFonts w:asciiTheme="majorHAnsi" w:hAnsiTheme="majorHAnsi" w:cstheme="majorBidi"/>
          <w:sz w:val="23"/>
          <w:szCs w:val="23"/>
        </w:rPr>
        <w:t xml:space="preserve">the </w:t>
      </w:r>
      <w:r w:rsidR="00AD2DA5">
        <w:rPr>
          <w:rFonts w:asciiTheme="majorHAnsi" w:hAnsiTheme="majorHAnsi" w:cstheme="majorBidi"/>
          <w:sz w:val="23"/>
          <w:szCs w:val="23"/>
        </w:rPr>
        <w:t>Case Studies</w:t>
      </w:r>
      <w:r w:rsidR="002E4C92">
        <w:rPr>
          <w:rFonts w:asciiTheme="majorHAnsi" w:hAnsiTheme="majorHAnsi" w:cstheme="majorBidi"/>
          <w:sz w:val="23"/>
          <w:szCs w:val="23"/>
        </w:rPr>
        <w:t xml:space="preserve"> section</w:t>
      </w:r>
      <w:r w:rsidRPr="44728735">
        <w:rPr>
          <w:rFonts w:asciiTheme="majorHAnsi" w:hAnsiTheme="majorHAnsi" w:cstheme="majorBidi"/>
          <w:sz w:val="23"/>
          <w:szCs w:val="23"/>
        </w:rPr>
        <w:t xml:space="preserve"> (</w:t>
      </w:r>
      <w:r w:rsidR="00940B71">
        <w:rPr>
          <w:rFonts w:asciiTheme="majorHAnsi" w:hAnsiTheme="majorHAnsi" w:cstheme="majorBidi"/>
          <w:sz w:val="23"/>
          <w:szCs w:val="23"/>
        </w:rPr>
        <w:t xml:space="preserve">see </w:t>
      </w:r>
      <w:hyperlink w:anchor="OLE_LINKSECTION5">
        <w:r w:rsidRPr="44728735">
          <w:rPr>
            <w:rStyle w:val="Hyperlink"/>
            <w:rFonts w:asciiTheme="majorHAnsi" w:hAnsiTheme="majorHAnsi" w:cstheme="majorBidi"/>
            <w:sz w:val="23"/>
            <w:szCs w:val="23"/>
          </w:rPr>
          <w:t>Section 5</w:t>
        </w:r>
      </w:hyperlink>
      <w:r w:rsidRPr="44728735">
        <w:rPr>
          <w:rFonts w:asciiTheme="majorHAnsi" w:hAnsiTheme="majorHAnsi" w:cstheme="majorBidi"/>
          <w:sz w:val="23"/>
          <w:szCs w:val="23"/>
        </w:rPr>
        <w:t>), we pr</w:t>
      </w:r>
      <w:r w:rsidR="00440CF4">
        <w:rPr>
          <w:rFonts w:asciiTheme="majorHAnsi" w:hAnsiTheme="majorHAnsi" w:cstheme="majorBidi"/>
          <w:sz w:val="23"/>
          <w:szCs w:val="23"/>
        </w:rPr>
        <w:t>ofile</w:t>
      </w:r>
      <w:r>
        <w:rPr>
          <w:rFonts w:asciiTheme="majorHAnsi" w:hAnsiTheme="majorHAnsi" w:cstheme="majorBidi"/>
          <w:sz w:val="23"/>
          <w:szCs w:val="23"/>
        </w:rPr>
        <w:t xml:space="preserve"> </w:t>
      </w:r>
      <w:r w:rsidRPr="47C6F23B">
        <w:rPr>
          <w:rFonts w:asciiTheme="majorHAnsi" w:hAnsiTheme="majorHAnsi" w:cstheme="majorBidi"/>
          <w:sz w:val="23"/>
          <w:szCs w:val="23"/>
        </w:rPr>
        <w:t>2</w:t>
      </w:r>
      <w:r w:rsidR="00FA578C">
        <w:rPr>
          <w:rFonts w:asciiTheme="majorHAnsi" w:hAnsiTheme="majorHAnsi" w:cstheme="majorBidi"/>
          <w:sz w:val="23"/>
          <w:szCs w:val="23"/>
        </w:rPr>
        <w:t>5</w:t>
      </w:r>
      <w:r w:rsidRPr="47C6F23B">
        <w:rPr>
          <w:rFonts w:asciiTheme="majorHAnsi" w:hAnsiTheme="majorHAnsi" w:cstheme="majorBidi"/>
          <w:sz w:val="23"/>
          <w:szCs w:val="23"/>
        </w:rPr>
        <w:t xml:space="preserve"> </w:t>
      </w:r>
      <w:r w:rsidRPr="44728735">
        <w:rPr>
          <w:rFonts w:asciiTheme="majorHAnsi" w:hAnsiTheme="majorHAnsi" w:cstheme="majorBidi"/>
          <w:sz w:val="23"/>
          <w:szCs w:val="23"/>
        </w:rPr>
        <w:t xml:space="preserve">place-based initiatives </w:t>
      </w:r>
      <w:r w:rsidR="00176C70">
        <w:rPr>
          <w:rFonts w:asciiTheme="majorHAnsi" w:hAnsiTheme="majorHAnsi" w:cstheme="majorBidi"/>
          <w:sz w:val="23"/>
          <w:szCs w:val="23"/>
        </w:rPr>
        <w:t xml:space="preserve">designed to </w:t>
      </w:r>
      <w:r w:rsidRPr="44728735">
        <w:rPr>
          <w:rFonts w:asciiTheme="majorHAnsi" w:hAnsiTheme="majorHAnsi" w:cstheme="majorBidi"/>
          <w:sz w:val="23"/>
          <w:szCs w:val="23"/>
        </w:rPr>
        <w:t xml:space="preserve">tackle social, economic, and spatial disadvantage in local communities. </w:t>
      </w:r>
      <w:r w:rsidR="00B63AA0">
        <w:rPr>
          <w:rFonts w:asciiTheme="majorHAnsi" w:hAnsiTheme="majorHAnsi" w:cstheme="majorBidi"/>
          <w:sz w:val="23"/>
          <w:szCs w:val="23"/>
        </w:rPr>
        <w:t>We</w:t>
      </w:r>
      <w:r w:rsidRPr="44728735">
        <w:rPr>
          <w:rFonts w:asciiTheme="majorHAnsi" w:hAnsiTheme="majorHAnsi" w:cstheme="majorBidi"/>
          <w:sz w:val="23"/>
          <w:szCs w:val="23"/>
        </w:rPr>
        <w:t xml:space="preserve"> </w:t>
      </w:r>
      <w:r w:rsidR="0080149E">
        <w:rPr>
          <w:rFonts w:asciiTheme="majorHAnsi" w:hAnsiTheme="majorHAnsi" w:cstheme="majorBidi"/>
          <w:sz w:val="23"/>
          <w:szCs w:val="23"/>
        </w:rPr>
        <w:t xml:space="preserve">discuss </w:t>
      </w:r>
      <w:r w:rsidRPr="47C6F23B">
        <w:rPr>
          <w:rFonts w:asciiTheme="majorHAnsi" w:hAnsiTheme="majorHAnsi" w:cstheme="majorBidi"/>
          <w:sz w:val="23"/>
          <w:szCs w:val="23"/>
        </w:rPr>
        <w:t xml:space="preserve">a diverse selection of </w:t>
      </w:r>
      <w:r w:rsidR="00C17484">
        <w:rPr>
          <w:rFonts w:asciiTheme="majorHAnsi" w:hAnsiTheme="majorHAnsi" w:cstheme="majorBidi"/>
          <w:sz w:val="23"/>
          <w:szCs w:val="23"/>
        </w:rPr>
        <w:t>successful</w:t>
      </w:r>
      <w:r w:rsidRPr="44728735">
        <w:rPr>
          <w:rFonts w:asciiTheme="majorHAnsi" w:hAnsiTheme="majorHAnsi" w:cstheme="majorBidi"/>
          <w:sz w:val="23"/>
          <w:szCs w:val="23"/>
        </w:rPr>
        <w:t xml:space="preserve"> </w:t>
      </w:r>
      <w:r w:rsidR="0027064F">
        <w:rPr>
          <w:rFonts w:asciiTheme="majorHAnsi" w:hAnsiTheme="majorHAnsi" w:cstheme="majorBidi"/>
          <w:sz w:val="23"/>
          <w:szCs w:val="23"/>
        </w:rPr>
        <w:t xml:space="preserve">and innovative </w:t>
      </w:r>
      <w:r w:rsidRPr="47C6F23B">
        <w:rPr>
          <w:rFonts w:asciiTheme="majorHAnsi" w:hAnsiTheme="majorHAnsi" w:cstheme="majorBidi"/>
          <w:sz w:val="23"/>
          <w:szCs w:val="23"/>
        </w:rPr>
        <w:t>projects, models</w:t>
      </w:r>
      <w:r w:rsidR="008E11C1">
        <w:rPr>
          <w:rFonts w:asciiTheme="majorHAnsi" w:hAnsiTheme="majorHAnsi" w:cstheme="majorBidi"/>
          <w:sz w:val="23"/>
          <w:szCs w:val="23"/>
        </w:rPr>
        <w:t>,</w:t>
      </w:r>
      <w:r w:rsidRPr="44728735">
        <w:rPr>
          <w:rFonts w:asciiTheme="majorHAnsi" w:hAnsiTheme="majorHAnsi" w:cstheme="majorBidi"/>
          <w:sz w:val="23"/>
          <w:szCs w:val="23"/>
        </w:rPr>
        <w:t xml:space="preserve"> and</w:t>
      </w:r>
      <w:r w:rsidRPr="47C6F23B">
        <w:rPr>
          <w:rFonts w:asciiTheme="majorHAnsi" w:hAnsiTheme="majorHAnsi" w:cstheme="majorBidi"/>
          <w:sz w:val="23"/>
          <w:szCs w:val="23"/>
        </w:rPr>
        <w:t xml:space="preserve"> policies</w:t>
      </w:r>
      <w:r w:rsidR="00C17484">
        <w:rPr>
          <w:rFonts w:asciiTheme="majorHAnsi" w:hAnsiTheme="majorHAnsi" w:cstheme="majorBidi"/>
          <w:sz w:val="23"/>
          <w:szCs w:val="23"/>
        </w:rPr>
        <w:t xml:space="preserve"> </w:t>
      </w:r>
      <w:r w:rsidRPr="44728735">
        <w:rPr>
          <w:rFonts w:asciiTheme="majorHAnsi" w:hAnsiTheme="majorHAnsi" w:cstheme="majorBidi"/>
          <w:sz w:val="23"/>
          <w:szCs w:val="23"/>
        </w:rPr>
        <w:t>from Australia and overseas. Most</w:t>
      </w:r>
      <w:r w:rsidR="005930FA">
        <w:rPr>
          <w:rFonts w:asciiTheme="majorHAnsi" w:hAnsiTheme="majorHAnsi" w:cstheme="majorBidi"/>
          <w:sz w:val="23"/>
          <w:szCs w:val="23"/>
        </w:rPr>
        <w:t xml:space="preserve"> </w:t>
      </w:r>
      <w:r w:rsidRPr="44728735">
        <w:rPr>
          <w:rFonts w:asciiTheme="majorHAnsi" w:hAnsiTheme="majorHAnsi" w:cstheme="majorBidi"/>
          <w:sz w:val="23"/>
          <w:szCs w:val="23"/>
        </w:rPr>
        <w:t>are tailored to a neighbourhood or local scale, but several city-wide</w:t>
      </w:r>
      <w:r w:rsidR="00C17484">
        <w:rPr>
          <w:rFonts w:asciiTheme="majorHAnsi" w:hAnsiTheme="majorHAnsi" w:cstheme="majorBidi"/>
          <w:sz w:val="23"/>
          <w:szCs w:val="23"/>
        </w:rPr>
        <w:t>, state-funded,</w:t>
      </w:r>
      <w:r w:rsidRPr="44728735">
        <w:rPr>
          <w:rFonts w:asciiTheme="majorHAnsi" w:hAnsiTheme="majorHAnsi" w:cstheme="majorBidi"/>
          <w:sz w:val="23"/>
          <w:szCs w:val="23"/>
        </w:rPr>
        <w:t xml:space="preserve"> and national</w:t>
      </w:r>
      <w:r w:rsidR="008E11C1">
        <w:rPr>
          <w:rFonts w:asciiTheme="majorHAnsi" w:hAnsiTheme="majorHAnsi" w:cstheme="majorBidi"/>
          <w:sz w:val="23"/>
          <w:szCs w:val="23"/>
        </w:rPr>
        <w:t xml:space="preserve">ly </w:t>
      </w:r>
      <w:r w:rsidR="008B2268">
        <w:rPr>
          <w:rFonts w:asciiTheme="majorHAnsi" w:hAnsiTheme="majorHAnsi" w:cstheme="majorBidi"/>
          <w:sz w:val="23"/>
          <w:szCs w:val="23"/>
        </w:rPr>
        <w:t>scaled</w:t>
      </w:r>
      <w:r w:rsidRPr="44728735">
        <w:rPr>
          <w:rFonts w:asciiTheme="majorHAnsi" w:hAnsiTheme="majorHAnsi" w:cstheme="majorBidi"/>
          <w:sz w:val="23"/>
          <w:szCs w:val="23"/>
        </w:rPr>
        <w:t xml:space="preserve"> programs </w:t>
      </w:r>
      <w:r w:rsidR="008B2268">
        <w:rPr>
          <w:rFonts w:asciiTheme="majorHAnsi" w:hAnsiTheme="majorHAnsi" w:cstheme="majorBidi"/>
          <w:sz w:val="23"/>
          <w:szCs w:val="23"/>
        </w:rPr>
        <w:t>are also</w:t>
      </w:r>
      <w:r w:rsidRPr="44728735">
        <w:rPr>
          <w:rFonts w:asciiTheme="majorHAnsi" w:hAnsiTheme="majorHAnsi" w:cstheme="majorBidi"/>
          <w:sz w:val="23"/>
          <w:szCs w:val="23"/>
        </w:rPr>
        <w:t xml:space="preserve"> included.</w:t>
      </w:r>
      <w:r w:rsidR="00795759">
        <w:rPr>
          <w:rFonts w:asciiTheme="majorHAnsi" w:hAnsiTheme="majorHAnsi" w:cstheme="majorBidi"/>
          <w:sz w:val="23"/>
          <w:szCs w:val="23"/>
        </w:rPr>
        <w:t xml:space="preserve"> </w:t>
      </w:r>
      <w:r w:rsidR="00194853" w:rsidRPr="47C6F23B">
        <w:rPr>
          <w:rFonts w:asciiTheme="majorHAnsi" w:hAnsiTheme="majorHAnsi" w:cstheme="majorBidi"/>
          <w:sz w:val="23"/>
          <w:szCs w:val="23"/>
        </w:rPr>
        <w:t xml:space="preserve">The </w:t>
      </w:r>
      <w:r w:rsidR="00AD2DA5">
        <w:rPr>
          <w:rFonts w:asciiTheme="majorHAnsi" w:hAnsiTheme="majorHAnsi" w:cstheme="majorBidi"/>
          <w:sz w:val="23"/>
          <w:szCs w:val="23"/>
        </w:rPr>
        <w:t>Case Studies</w:t>
      </w:r>
      <w:r w:rsidR="00194853" w:rsidRPr="47C6F23B">
        <w:rPr>
          <w:rFonts w:asciiTheme="majorHAnsi" w:hAnsiTheme="majorHAnsi" w:cstheme="majorBidi"/>
          <w:sz w:val="23"/>
          <w:szCs w:val="23"/>
        </w:rPr>
        <w:t xml:space="preserve"> </w:t>
      </w:r>
      <w:r w:rsidR="000E689A">
        <w:rPr>
          <w:rFonts w:asciiTheme="majorHAnsi" w:hAnsiTheme="majorHAnsi" w:cstheme="majorBidi"/>
          <w:sz w:val="23"/>
          <w:szCs w:val="23"/>
        </w:rPr>
        <w:t>are not intended to</w:t>
      </w:r>
      <w:r w:rsidR="00194853">
        <w:rPr>
          <w:rFonts w:asciiTheme="majorHAnsi" w:hAnsiTheme="majorHAnsi" w:cstheme="majorBidi"/>
          <w:sz w:val="23"/>
          <w:szCs w:val="23"/>
        </w:rPr>
        <w:t xml:space="preserve"> comprise</w:t>
      </w:r>
      <w:r w:rsidR="00194853" w:rsidRPr="47C6F23B">
        <w:rPr>
          <w:rFonts w:asciiTheme="majorHAnsi" w:hAnsiTheme="majorHAnsi" w:cstheme="majorBidi"/>
          <w:sz w:val="23"/>
          <w:szCs w:val="23"/>
        </w:rPr>
        <w:t xml:space="preserve"> off-the-shelf solutions</w:t>
      </w:r>
      <w:r w:rsidR="00194853">
        <w:rPr>
          <w:rFonts w:asciiTheme="majorHAnsi" w:hAnsiTheme="majorHAnsi" w:cstheme="majorBidi"/>
          <w:sz w:val="23"/>
          <w:szCs w:val="23"/>
        </w:rPr>
        <w:t>, but rather offer a</w:t>
      </w:r>
      <w:r w:rsidR="00194853" w:rsidRPr="47C6F23B">
        <w:rPr>
          <w:rFonts w:asciiTheme="majorHAnsi" w:hAnsiTheme="majorHAnsi" w:cstheme="majorBidi"/>
          <w:sz w:val="23"/>
          <w:szCs w:val="23"/>
        </w:rPr>
        <w:t xml:space="preserve"> suite of ideas, activities, frameworks, inspirations, and options for further exploration.</w:t>
      </w:r>
    </w:p>
    <w:p w14:paraId="3C67D982" w14:textId="77777777" w:rsidR="00F00E3D" w:rsidRPr="006D2A97" w:rsidRDefault="00F00E3D" w:rsidP="009B2FA7">
      <w:pPr>
        <w:spacing w:after="0" w:line="276" w:lineRule="auto"/>
        <w:contextualSpacing/>
        <w:rPr>
          <w:rFonts w:asciiTheme="majorHAnsi" w:hAnsiTheme="majorHAnsi" w:cstheme="majorBidi"/>
          <w:sz w:val="12"/>
          <w:szCs w:val="12"/>
        </w:rPr>
      </w:pPr>
    </w:p>
    <w:p w14:paraId="7BAA1B28" w14:textId="2292BBF7" w:rsidR="000E0FAB" w:rsidRDefault="000E689A" w:rsidP="000E0FAB">
      <w:pPr>
        <w:spacing w:after="0" w:line="276" w:lineRule="auto"/>
        <w:contextualSpacing/>
        <w:rPr>
          <w:rFonts w:asciiTheme="majorHAnsi" w:hAnsiTheme="majorHAnsi" w:cstheme="majorBidi"/>
          <w:sz w:val="23"/>
          <w:szCs w:val="23"/>
        </w:rPr>
      </w:pPr>
      <w:r>
        <w:rPr>
          <w:rFonts w:asciiTheme="majorHAnsi" w:hAnsiTheme="majorHAnsi" w:cstheme="majorBidi"/>
          <w:sz w:val="23"/>
          <w:szCs w:val="23"/>
        </w:rPr>
        <w:t>Drawing</w:t>
      </w:r>
      <w:r w:rsidR="006C3764">
        <w:rPr>
          <w:rFonts w:asciiTheme="majorHAnsi" w:hAnsiTheme="majorHAnsi" w:cstheme="majorBidi"/>
          <w:sz w:val="23"/>
          <w:szCs w:val="23"/>
        </w:rPr>
        <w:t xml:space="preserve"> on the research </w:t>
      </w:r>
      <w:r w:rsidR="00300A55">
        <w:rPr>
          <w:rFonts w:asciiTheme="majorHAnsi" w:hAnsiTheme="majorHAnsi" w:cstheme="majorBidi"/>
          <w:sz w:val="23"/>
          <w:szCs w:val="23"/>
        </w:rPr>
        <w:t>that informed</w:t>
      </w:r>
      <w:r w:rsidR="006C3764">
        <w:rPr>
          <w:rFonts w:asciiTheme="majorHAnsi" w:hAnsiTheme="majorHAnsi" w:cstheme="majorBidi"/>
          <w:sz w:val="23"/>
          <w:szCs w:val="23"/>
        </w:rPr>
        <w:t xml:space="preserve"> the</w:t>
      </w:r>
      <w:r w:rsidR="00312D02">
        <w:rPr>
          <w:rFonts w:asciiTheme="majorHAnsi" w:hAnsiTheme="majorHAnsi" w:cstheme="majorBidi"/>
          <w:sz w:val="23"/>
          <w:szCs w:val="23"/>
        </w:rPr>
        <w:t xml:space="preserve"> </w:t>
      </w:r>
      <w:r w:rsidR="00AD2DA5">
        <w:rPr>
          <w:rFonts w:asciiTheme="majorHAnsi" w:hAnsiTheme="majorHAnsi" w:cstheme="majorBidi"/>
          <w:sz w:val="23"/>
          <w:szCs w:val="23"/>
        </w:rPr>
        <w:t>Case Studies</w:t>
      </w:r>
      <w:r w:rsidR="006C3764">
        <w:rPr>
          <w:rFonts w:asciiTheme="majorHAnsi" w:hAnsiTheme="majorHAnsi" w:cstheme="majorBidi"/>
          <w:sz w:val="23"/>
          <w:szCs w:val="23"/>
        </w:rPr>
        <w:t xml:space="preserve">, we </w:t>
      </w:r>
      <w:r w:rsidR="00681C7C">
        <w:rPr>
          <w:rFonts w:asciiTheme="majorHAnsi" w:hAnsiTheme="majorHAnsi" w:cstheme="majorBidi"/>
          <w:sz w:val="23"/>
          <w:szCs w:val="23"/>
        </w:rPr>
        <w:t>identify</w:t>
      </w:r>
      <w:r w:rsidR="006C3764">
        <w:rPr>
          <w:rFonts w:asciiTheme="majorHAnsi" w:hAnsiTheme="majorHAnsi" w:cstheme="majorBidi"/>
          <w:sz w:val="23"/>
          <w:szCs w:val="23"/>
        </w:rPr>
        <w:t xml:space="preserve"> </w:t>
      </w:r>
      <w:r w:rsidR="000E0FAB" w:rsidRPr="37EA9A9A">
        <w:rPr>
          <w:rFonts w:asciiTheme="majorHAnsi" w:hAnsiTheme="majorHAnsi" w:cstheme="majorBidi"/>
          <w:sz w:val="23"/>
          <w:szCs w:val="23"/>
        </w:rPr>
        <w:t xml:space="preserve">some key tendencies of effective place-based </w:t>
      </w:r>
      <w:r w:rsidR="000E0FAB" w:rsidRPr="00CC521D">
        <w:rPr>
          <w:rFonts w:asciiTheme="majorHAnsi" w:hAnsiTheme="majorHAnsi" w:cstheme="majorBidi"/>
          <w:sz w:val="23"/>
          <w:szCs w:val="23"/>
        </w:rPr>
        <w:t xml:space="preserve">interventions. </w:t>
      </w:r>
      <w:r w:rsidR="00E4428A">
        <w:rPr>
          <w:rFonts w:asciiTheme="majorHAnsi" w:hAnsiTheme="majorHAnsi" w:cstheme="majorBidi"/>
          <w:sz w:val="23"/>
          <w:szCs w:val="23"/>
        </w:rPr>
        <w:t xml:space="preserve">These </w:t>
      </w:r>
      <w:r w:rsidR="00D27F4B" w:rsidRPr="00CC521D">
        <w:rPr>
          <w:rFonts w:asciiTheme="majorHAnsi" w:hAnsiTheme="majorHAnsi" w:cstheme="majorBidi"/>
          <w:sz w:val="23"/>
          <w:szCs w:val="23"/>
        </w:rPr>
        <w:t>programs</w:t>
      </w:r>
      <w:r w:rsidR="000E0FAB" w:rsidRPr="00CC521D">
        <w:rPr>
          <w:rFonts w:asciiTheme="majorHAnsi" w:hAnsiTheme="majorHAnsi" w:cstheme="majorBidi"/>
          <w:sz w:val="23"/>
          <w:szCs w:val="23"/>
        </w:rPr>
        <w:t xml:space="preserve"> often:</w:t>
      </w:r>
    </w:p>
    <w:p w14:paraId="47E0CD49" w14:textId="067521DB" w:rsidR="000E0FAB" w:rsidRPr="00D27F4B" w:rsidRDefault="006A2F9B" w:rsidP="000E0FAB">
      <w:pPr>
        <w:pStyle w:val="ListParagraph"/>
        <w:numPr>
          <w:ilvl w:val="0"/>
          <w:numId w:val="2"/>
        </w:numPr>
        <w:spacing w:after="0" w:line="276" w:lineRule="auto"/>
        <w:rPr>
          <w:rFonts w:asciiTheme="majorHAnsi" w:eastAsiaTheme="majorEastAsia" w:hAnsiTheme="majorHAnsi" w:cstheme="majorBidi"/>
          <w:sz w:val="23"/>
          <w:szCs w:val="23"/>
        </w:rPr>
      </w:pPr>
      <w:r>
        <w:rPr>
          <w:rFonts w:asciiTheme="majorHAnsi" w:hAnsiTheme="majorHAnsi" w:cstheme="majorBidi"/>
          <w:sz w:val="23"/>
          <w:szCs w:val="23"/>
        </w:rPr>
        <w:t>have a</w:t>
      </w:r>
      <w:r w:rsidR="000E0FAB">
        <w:rPr>
          <w:rFonts w:asciiTheme="majorHAnsi" w:hAnsiTheme="majorHAnsi" w:cstheme="majorBidi"/>
          <w:sz w:val="23"/>
          <w:szCs w:val="23"/>
        </w:rPr>
        <w:t xml:space="preserve"> </w:t>
      </w:r>
      <w:r w:rsidR="000E0FAB" w:rsidRPr="37EA9A9A">
        <w:rPr>
          <w:rFonts w:asciiTheme="majorHAnsi" w:hAnsiTheme="majorHAnsi" w:cstheme="majorBidi"/>
          <w:sz w:val="23"/>
          <w:szCs w:val="23"/>
        </w:rPr>
        <w:t xml:space="preserve">multi-pronged focus, </w:t>
      </w:r>
      <w:r>
        <w:rPr>
          <w:rFonts w:asciiTheme="majorHAnsi" w:hAnsiTheme="majorHAnsi" w:cstheme="majorBidi"/>
          <w:sz w:val="23"/>
          <w:szCs w:val="23"/>
        </w:rPr>
        <w:t>involv</w:t>
      </w:r>
      <w:r w:rsidR="00E4428A">
        <w:rPr>
          <w:rFonts w:asciiTheme="majorHAnsi" w:hAnsiTheme="majorHAnsi" w:cstheme="majorBidi"/>
          <w:sz w:val="23"/>
          <w:szCs w:val="23"/>
        </w:rPr>
        <w:t>ing</w:t>
      </w:r>
      <w:r w:rsidR="000E0FAB" w:rsidRPr="37EA9A9A">
        <w:rPr>
          <w:rFonts w:asciiTheme="majorHAnsi" w:hAnsiTheme="majorHAnsi" w:cstheme="majorBidi"/>
          <w:sz w:val="23"/>
          <w:szCs w:val="23"/>
        </w:rPr>
        <w:t xml:space="preserve"> cross-sector collaboration</w:t>
      </w:r>
      <w:r w:rsidR="000D4DB4">
        <w:rPr>
          <w:rFonts w:asciiTheme="majorHAnsi" w:hAnsiTheme="majorHAnsi" w:cstheme="majorBidi"/>
          <w:sz w:val="23"/>
          <w:szCs w:val="23"/>
        </w:rPr>
        <w:t>,</w:t>
      </w:r>
      <w:r w:rsidR="00E4428A">
        <w:rPr>
          <w:rFonts w:asciiTheme="majorHAnsi" w:hAnsiTheme="majorHAnsi" w:cstheme="majorBidi"/>
          <w:sz w:val="23"/>
          <w:szCs w:val="23"/>
        </w:rPr>
        <w:t xml:space="preserve"> and</w:t>
      </w:r>
      <w:r w:rsidR="000E0FAB" w:rsidRPr="37EA9A9A">
        <w:rPr>
          <w:rFonts w:asciiTheme="majorHAnsi" w:hAnsiTheme="majorHAnsi" w:cstheme="majorBidi"/>
          <w:sz w:val="23"/>
          <w:szCs w:val="23"/>
        </w:rPr>
        <w:t xml:space="preserve"> span</w:t>
      </w:r>
      <w:r w:rsidR="00E4428A">
        <w:rPr>
          <w:rFonts w:asciiTheme="majorHAnsi" w:hAnsiTheme="majorHAnsi" w:cstheme="majorBidi"/>
          <w:sz w:val="23"/>
          <w:szCs w:val="23"/>
        </w:rPr>
        <w:t>ning</w:t>
      </w:r>
      <w:r w:rsidR="000E0FAB" w:rsidRPr="37EA9A9A">
        <w:rPr>
          <w:rFonts w:asciiTheme="majorHAnsi" w:hAnsiTheme="majorHAnsi" w:cstheme="majorBidi"/>
          <w:sz w:val="23"/>
          <w:szCs w:val="23"/>
        </w:rPr>
        <w:t xml:space="preserve"> </w:t>
      </w:r>
      <w:r w:rsidR="000E0FAB">
        <w:rPr>
          <w:rFonts w:asciiTheme="majorHAnsi" w:hAnsiTheme="majorHAnsi" w:cstheme="majorBidi"/>
          <w:sz w:val="23"/>
          <w:szCs w:val="23"/>
        </w:rPr>
        <w:t>more than one</w:t>
      </w:r>
      <w:r w:rsidR="000E0FAB" w:rsidRPr="37EA9A9A">
        <w:rPr>
          <w:rFonts w:asciiTheme="majorHAnsi" w:hAnsiTheme="majorHAnsi" w:cstheme="majorBidi"/>
          <w:sz w:val="23"/>
          <w:szCs w:val="23"/>
        </w:rPr>
        <w:t xml:space="preserve"> </w:t>
      </w:r>
      <w:r w:rsidR="00D95573">
        <w:rPr>
          <w:rFonts w:asciiTheme="majorHAnsi" w:hAnsiTheme="majorHAnsi" w:cstheme="majorBidi"/>
          <w:sz w:val="23"/>
          <w:szCs w:val="23"/>
        </w:rPr>
        <w:t>Practice Domain</w:t>
      </w:r>
    </w:p>
    <w:p w14:paraId="51E3C052" w14:textId="703FA6EC" w:rsidR="00D27F4B" w:rsidRDefault="00797F09" w:rsidP="000E0FAB">
      <w:pPr>
        <w:pStyle w:val="ListParagraph"/>
        <w:numPr>
          <w:ilvl w:val="0"/>
          <w:numId w:val="2"/>
        </w:numPr>
        <w:spacing w:after="0" w:line="276" w:lineRule="auto"/>
        <w:rPr>
          <w:rFonts w:asciiTheme="majorHAnsi" w:eastAsiaTheme="majorEastAsia" w:hAnsiTheme="majorHAnsi" w:cstheme="majorBidi"/>
          <w:sz w:val="23"/>
          <w:szCs w:val="23"/>
        </w:rPr>
      </w:pPr>
      <w:r>
        <w:rPr>
          <w:rFonts w:asciiTheme="majorHAnsi" w:hAnsiTheme="majorHAnsi" w:cstheme="majorBidi"/>
          <w:sz w:val="23"/>
          <w:szCs w:val="23"/>
        </w:rPr>
        <w:t>support</w:t>
      </w:r>
      <w:r w:rsidR="00C93733">
        <w:rPr>
          <w:rFonts w:asciiTheme="majorHAnsi" w:hAnsiTheme="majorHAnsi" w:cstheme="majorBidi"/>
          <w:sz w:val="23"/>
          <w:szCs w:val="23"/>
        </w:rPr>
        <w:t xml:space="preserve"> </w:t>
      </w:r>
      <w:r w:rsidR="007F3721">
        <w:rPr>
          <w:rFonts w:asciiTheme="majorHAnsi" w:hAnsiTheme="majorHAnsi" w:cstheme="majorBidi"/>
          <w:sz w:val="23"/>
          <w:szCs w:val="23"/>
        </w:rPr>
        <w:t xml:space="preserve">and </w:t>
      </w:r>
      <w:r w:rsidR="000D4DB4">
        <w:rPr>
          <w:rFonts w:asciiTheme="majorHAnsi" w:hAnsiTheme="majorHAnsi" w:cstheme="majorBidi"/>
          <w:sz w:val="23"/>
          <w:szCs w:val="23"/>
        </w:rPr>
        <w:t>empower</w:t>
      </w:r>
      <w:r w:rsidR="007F3721">
        <w:rPr>
          <w:rFonts w:asciiTheme="majorHAnsi" w:hAnsiTheme="majorHAnsi" w:cstheme="majorBidi"/>
          <w:sz w:val="23"/>
          <w:szCs w:val="23"/>
        </w:rPr>
        <w:t xml:space="preserve"> </w:t>
      </w:r>
      <w:r w:rsidR="00300A55">
        <w:rPr>
          <w:rFonts w:asciiTheme="majorHAnsi" w:hAnsiTheme="majorHAnsi" w:cstheme="majorBidi"/>
          <w:sz w:val="23"/>
          <w:szCs w:val="23"/>
        </w:rPr>
        <w:t>community members</w:t>
      </w:r>
      <w:r w:rsidR="001B7A14">
        <w:rPr>
          <w:rFonts w:asciiTheme="majorHAnsi" w:hAnsiTheme="majorHAnsi" w:cstheme="majorBidi"/>
          <w:sz w:val="23"/>
          <w:szCs w:val="23"/>
        </w:rPr>
        <w:t xml:space="preserve"> to</w:t>
      </w:r>
      <w:r w:rsidR="00596E6E">
        <w:rPr>
          <w:rFonts w:asciiTheme="majorHAnsi" w:hAnsiTheme="majorHAnsi" w:cstheme="majorBidi"/>
          <w:sz w:val="23"/>
          <w:szCs w:val="23"/>
        </w:rPr>
        <w:t xml:space="preserve"> </w:t>
      </w:r>
      <w:r w:rsidR="00C93733">
        <w:rPr>
          <w:rFonts w:asciiTheme="majorHAnsi" w:hAnsiTheme="majorHAnsi" w:cstheme="majorBidi"/>
          <w:sz w:val="23"/>
          <w:szCs w:val="23"/>
        </w:rPr>
        <w:t>p</w:t>
      </w:r>
      <w:r w:rsidR="00E4428A">
        <w:rPr>
          <w:rFonts w:asciiTheme="majorHAnsi" w:hAnsiTheme="majorHAnsi" w:cstheme="majorBidi"/>
          <w:sz w:val="23"/>
          <w:szCs w:val="23"/>
        </w:rPr>
        <w:t>l</w:t>
      </w:r>
      <w:r w:rsidR="00C93733">
        <w:rPr>
          <w:rFonts w:asciiTheme="majorHAnsi" w:hAnsiTheme="majorHAnsi" w:cstheme="majorBidi"/>
          <w:sz w:val="23"/>
          <w:szCs w:val="23"/>
        </w:rPr>
        <w:t>ay an active role in identifying</w:t>
      </w:r>
      <w:r w:rsidR="00596E6E">
        <w:rPr>
          <w:rFonts w:asciiTheme="majorHAnsi" w:hAnsiTheme="majorHAnsi" w:cstheme="majorBidi"/>
          <w:sz w:val="23"/>
          <w:szCs w:val="23"/>
        </w:rPr>
        <w:t xml:space="preserve"> issues</w:t>
      </w:r>
      <w:r w:rsidR="001B7A14">
        <w:rPr>
          <w:rFonts w:asciiTheme="majorHAnsi" w:hAnsiTheme="majorHAnsi" w:cstheme="majorBidi"/>
          <w:sz w:val="23"/>
          <w:szCs w:val="23"/>
        </w:rPr>
        <w:t>, solving problems,</w:t>
      </w:r>
      <w:r w:rsidR="001B7A14" w:rsidRPr="001B7A14">
        <w:rPr>
          <w:rFonts w:asciiTheme="majorHAnsi" w:hAnsiTheme="majorHAnsi" w:cstheme="majorBidi"/>
          <w:sz w:val="23"/>
          <w:szCs w:val="23"/>
        </w:rPr>
        <w:t xml:space="preserve"> </w:t>
      </w:r>
      <w:r w:rsidR="001B7A14">
        <w:rPr>
          <w:rFonts w:asciiTheme="majorHAnsi" w:hAnsiTheme="majorHAnsi" w:cstheme="majorBidi"/>
          <w:sz w:val="23"/>
          <w:szCs w:val="23"/>
        </w:rPr>
        <w:t xml:space="preserve">and shaping </w:t>
      </w:r>
      <w:r w:rsidR="00E4428A">
        <w:rPr>
          <w:rFonts w:asciiTheme="majorHAnsi" w:hAnsiTheme="majorHAnsi" w:cstheme="majorBidi"/>
          <w:sz w:val="23"/>
          <w:szCs w:val="23"/>
        </w:rPr>
        <w:t>and evaluating programs</w:t>
      </w:r>
    </w:p>
    <w:p w14:paraId="163037D3" w14:textId="64ECA996" w:rsidR="000E0FAB" w:rsidRDefault="000E0FAB" w:rsidP="000E0FAB">
      <w:pPr>
        <w:pStyle w:val="ListParagraph"/>
        <w:numPr>
          <w:ilvl w:val="0"/>
          <w:numId w:val="2"/>
        </w:numPr>
        <w:spacing w:after="0" w:line="276" w:lineRule="auto"/>
        <w:rPr>
          <w:rFonts w:eastAsiaTheme="minorEastAsia"/>
          <w:sz w:val="23"/>
          <w:szCs w:val="23"/>
        </w:rPr>
      </w:pPr>
      <w:r>
        <w:rPr>
          <w:rFonts w:asciiTheme="majorHAnsi" w:hAnsiTheme="majorHAnsi" w:cstheme="majorBidi"/>
          <w:sz w:val="23"/>
          <w:szCs w:val="23"/>
        </w:rPr>
        <w:t xml:space="preserve">are </w:t>
      </w:r>
      <w:r w:rsidRPr="37EA9A9A">
        <w:rPr>
          <w:rFonts w:asciiTheme="majorHAnsi" w:hAnsiTheme="majorHAnsi" w:cstheme="majorBidi"/>
          <w:sz w:val="23"/>
          <w:szCs w:val="23"/>
        </w:rPr>
        <w:t xml:space="preserve">based on sound community engagement </w:t>
      </w:r>
      <w:r w:rsidR="00596E6E">
        <w:rPr>
          <w:rFonts w:asciiTheme="majorHAnsi" w:hAnsiTheme="majorHAnsi" w:cstheme="majorBidi"/>
          <w:sz w:val="23"/>
          <w:szCs w:val="23"/>
        </w:rPr>
        <w:t>strategies</w:t>
      </w:r>
      <w:r w:rsidR="00176C70">
        <w:rPr>
          <w:rFonts w:asciiTheme="majorHAnsi" w:hAnsiTheme="majorHAnsi" w:cstheme="majorBidi"/>
          <w:sz w:val="23"/>
          <w:szCs w:val="23"/>
        </w:rPr>
        <w:t xml:space="preserve">, </w:t>
      </w:r>
      <w:r w:rsidRPr="37EA9A9A">
        <w:rPr>
          <w:rFonts w:asciiTheme="majorHAnsi" w:hAnsiTheme="majorHAnsi" w:cstheme="majorBidi"/>
          <w:sz w:val="23"/>
          <w:szCs w:val="23"/>
        </w:rPr>
        <w:t xml:space="preserve">including co-design </w:t>
      </w:r>
      <w:r w:rsidR="00C93733">
        <w:rPr>
          <w:rFonts w:asciiTheme="majorHAnsi" w:hAnsiTheme="majorHAnsi" w:cstheme="majorBidi"/>
          <w:sz w:val="23"/>
          <w:szCs w:val="23"/>
        </w:rPr>
        <w:t>methods</w:t>
      </w:r>
      <w:r w:rsidRPr="37EA9A9A">
        <w:rPr>
          <w:rFonts w:asciiTheme="majorHAnsi" w:hAnsiTheme="majorHAnsi" w:cstheme="majorBidi"/>
          <w:sz w:val="23"/>
          <w:szCs w:val="23"/>
        </w:rPr>
        <w:t xml:space="preserve">, that are </w:t>
      </w:r>
      <w:r w:rsidRPr="37EA9A9A">
        <w:rPr>
          <w:rFonts w:ascii="Calibri Light" w:eastAsia="Calibri Light" w:hAnsi="Calibri Light" w:cs="Calibri Light"/>
          <w:sz w:val="23"/>
          <w:szCs w:val="23"/>
        </w:rPr>
        <w:t>genuinely participatory</w:t>
      </w:r>
      <w:r>
        <w:rPr>
          <w:rFonts w:ascii="Calibri Light" w:eastAsia="Calibri Light" w:hAnsi="Calibri Light" w:cs="Calibri Light"/>
          <w:sz w:val="23"/>
          <w:szCs w:val="23"/>
        </w:rPr>
        <w:t>,</w:t>
      </w:r>
      <w:r w:rsidRPr="37EA9A9A">
        <w:rPr>
          <w:rFonts w:ascii="Calibri Light" w:eastAsia="Calibri Light" w:hAnsi="Calibri Light" w:cs="Calibri Light"/>
          <w:sz w:val="23"/>
          <w:szCs w:val="23"/>
        </w:rPr>
        <w:t xml:space="preserve"> respectful, empowering, </w:t>
      </w:r>
      <w:r w:rsidR="00E4428A">
        <w:rPr>
          <w:rFonts w:ascii="Calibri Light" w:eastAsia="Calibri Light" w:hAnsi="Calibri Light" w:cs="Calibri Light"/>
          <w:sz w:val="23"/>
          <w:szCs w:val="23"/>
        </w:rPr>
        <w:t xml:space="preserve">and </w:t>
      </w:r>
      <w:r w:rsidRPr="37EA9A9A">
        <w:rPr>
          <w:rFonts w:ascii="Calibri Light" w:eastAsia="Calibri Light" w:hAnsi="Calibri Light" w:cs="Calibri Light"/>
          <w:sz w:val="23"/>
          <w:szCs w:val="23"/>
        </w:rPr>
        <w:t xml:space="preserve">inclusive </w:t>
      </w:r>
    </w:p>
    <w:p w14:paraId="52DA4602" w14:textId="4133D9B2" w:rsidR="000E0FAB" w:rsidRDefault="000E0FAB" w:rsidP="000E0FAB">
      <w:pPr>
        <w:pStyle w:val="ListParagraph"/>
        <w:numPr>
          <w:ilvl w:val="0"/>
          <w:numId w:val="2"/>
        </w:numPr>
        <w:spacing w:after="0" w:line="276" w:lineRule="auto"/>
        <w:rPr>
          <w:rFonts w:eastAsiaTheme="minorEastAsia"/>
          <w:sz w:val="23"/>
          <w:szCs w:val="23"/>
        </w:rPr>
      </w:pPr>
      <w:r w:rsidRPr="37EA9A9A">
        <w:rPr>
          <w:rFonts w:ascii="Calibri Light" w:eastAsia="Calibri Light" w:hAnsi="Calibri Light" w:cs="Calibri Light"/>
          <w:sz w:val="23"/>
          <w:szCs w:val="23"/>
        </w:rPr>
        <w:t>recognise</w:t>
      </w:r>
      <w:r w:rsidR="006A2F9B">
        <w:rPr>
          <w:rFonts w:ascii="Calibri Light" w:eastAsia="Calibri Light" w:hAnsi="Calibri Light" w:cs="Calibri Light"/>
          <w:sz w:val="23"/>
          <w:szCs w:val="23"/>
        </w:rPr>
        <w:t>,</w:t>
      </w:r>
      <w:r w:rsidRPr="37EA9A9A">
        <w:rPr>
          <w:rFonts w:ascii="Calibri Light" w:eastAsia="Calibri Light" w:hAnsi="Calibri Light" w:cs="Calibri Light"/>
          <w:sz w:val="23"/>
          <w:szCs w:val="23"/>
        </w:rPr>
        <w:t xml:space="preserve"> build</w:t>
      </w:r>
      <w:r w:rsidR="00A67CAB">
        <w:rPr>
          <w:rFonts w:ascii="Calibri Light" w:eastAsia="Calibri Light" w:hAnsi="Calibri Light" w:cs="Calibri Light"/>
          <w:sz w:val="23"/>
          <w:szCs w:val="23"/>
        </w:rPr>
        <w:t xml:space="preserve"> on</w:t>
      </w:r>
      <w:r w:rsidR="00015CC7">
        <w:rPr>
          <w:rFonts w:ascii="Calibri Light" w:eastAsia="Calibri Light" w:hAnsi="Calibri Light" w:cs="Calibri Light"/>
          <w:sz w:val="23"/>
          <w:szCs w:val="23"/>
        </w:rPr>
        <w:t>,</w:t>
      </w:r>
      <w:r w:rsidR="006A2F9B">
        <w:rPr>
          <w:rFonts w:ascii="Calibri Light" w:eastAsia="Calibri Light" w:hAnsi="Calibri Light" w:cs="Calibri Light"/>
          <w:sz w:val="23"/>
          <w:szCs w:val="23"/>
        </w:rPr>
        <w:t xml:space="preserve"> and celebrate </w:t>
      </w:r>
      <w:r w:rsidR="00E4428A">
        <w:rPr>
          <w:rFonts w:ascii="Calibri Light" w:eastAsia="Calibri Light" w:hAnsi="Calibri Light" w:cs="Calibri Light"/>
          <w:sz w:val="23"/>
          <w:szCs w:val="23"/>
        </w:rPr>
        <w:t xml:space="preserve">existing </w:t>
      </w:r>
      <w:r w:rsidRPr="37EA9A9A">
        <w:rPr>
          <w:rFonts w:ascii="Calibri Light" w:eastAsia="Calibri Light" w:hAnsi="Calibri Light" w:cs="Calibri Light"/>
          <w:sz w:val="23"/>
          <w:szCs w:val="23"/>
        </w:rPr>
        <w:t>community assets,</w:t>
      </w:r>
      <w:r w:rsidR="00015CC7">
        <w:rPr>
          <w:rFonts w:ascii="Calibri Light" w:eastAsia="Calibri Light" w:hAnsi="Calibri Light" w:cs="Calibri Light"/>
          <w:sz w:val="23"/>
          <w:szCs w:val="23"/>
        </w:rPr>
        <w:t xml:space="preserve"> strengths,</w:t>
      </w:r>
      <w:r w:rsidRPr="37EA9A9A">
        <w:rPr>
          <w:rFonts w:ascii="Calibri Light" w:eastAsia="Calibri Light" w:hAnsi="Calibri Light" w:cs="Calibri Light"/>
          <w:sz w:val="23"/>
          <w:szCs w:val="23"/>
        </w:rPr>
        <w:t xml:space="preserve"> knowledge, </w:t>
      </w:r>
      <w:r w:rsidR="00015CC7">
        <w:rPr>
          <w:rFonts w:ascii="Calibri Light" w:eastAsia="Calibri Light" w:hAnsi="Calibri Light" w:cs="Calibri Light"/>
          <w:sz w:val="23"/>
          <w:szCs w:val="23"/>
        </w:rPr>
        <w:t xml:space="preserve">and </w:t>
      </w:r>
      <w:r>
        <w:rPr>
          <w:rFonts w:ascii="Calibri Light" w:eastAsia="Calibri Light" w:hAnsi="Calibri Light" w:cs="Calibri Light"/>
          <w:sz w:val="23"/>
          <w:szCs w:val="23"/>
        </w:rPr>
        <w:t>skills</w:t>
      </w:r>
    </w:p>
    <w:p w14:paraId="1ABCA8F3" w14:textId="77777777" w:rsidR="000E0FAB" w:rsidRDefault="000E0FAB" w:rsidP="000E0FAB">
      <w:pPr>
        <w:pStyle w:val="ListParagraph"/>
        <w:numPr>
          <w:ilvl w:val="0"/>
          <w:numId w:val="2"/>
        </w:numPr>
        <w:spacing w:after="0" w:line="276" w:lineRule="auto"/>
        <w:rPr>
          <w:sz w:val="23"/>
          <w:szCs w:val="23"/>
        </w:rPr>
      </w:pPr>
      <w:r w:rsidRPr="37EA9A9A">
        <w:rPr>
          <w:rFonts w:asciiTheme="majorHAnsi" w:hAnsiTheme="majorHAnsi" w:cstheme="majorBidi"/>
          <w:sz w:val="23"/>
          <w:szCs w:val="23"/>
        </w:rPr>
        <w:t>are overseen by a highly capable lead agency with strong local connections</w:t>
      </w:r>
    </w:p>
    <w:p w14:paraId="52AA2D2C" w14:textId="476BC9A8" w:rsidR="000E0FAB" w:rsidRDefault="000E0FAB" w:rsidP="000E0FAB">
      <w:pPr>
        <w:pStyle w:val="ListParagraph"/>
        <w:numPr>
          <w:ilvl w:val="0"/>
          <w:numId w:val="2"/>
        </w:numPr>
        <w:spacing w:after="0" w:line="276" w:lineRule="auto"/>
        <w:rPr>
          <w:rFonts w:eastAsiaTheme="minorEastAsia"/>
          <w:sz w:val="23"/>
          <w:szCs w:val="23"/>
        </w:rPr>
      </w:pPr>
      <w:r w:rsidRPr="37EA9A9A">
        <w:rPr>
          <w:rFonts w:ascii="Calibri Light" w:eastAsia="Calibri Light" w:hAnsi="Calibri Light" w:cs="Calibri Light"/>
          <w:sz w:val="23"/>
          <w:szCs w:val="23"/>
        </w:rPr>
        <w:t xml:space="preserve">involve </w:t>
      </w:r>
      <w:r>
        <w:rPr>
          <w:rFonts w:ascii="Calibri Light" w:eastAsia="Calibri Light" w:hAnsi="Calibri Light" w:cs="Calibri Light"/>
          <w:sz w:val="23"/>
          <w:szCs w:val="23"/>
        </w:rPr>
        <w:t>effective</w:t>
      </w:r>
      <w:r w:rsidRPr="37EA9A9A">
        <w:rPr>
          <w:rFonts w:ascii="Calibri Light" w:eastAsia="Calibri Light" w:hAnsi="Calibri Light" w:cs="Calibri Light"/>
          <w:sz w:val="23"/>
          <w:szCs w:val="23"/>
        </w:rPr>
        <w:t xml:space="preserve"> partnerships, sound governance</w:t>
      </w:r>
      <w:r>
        <w:rPr>
          <w:rFonts w:ascii="Calibri Light" w:eastAsia="Calibri Light" w:hAnsi="Calibri Light" w:cs="Calibri Light"/>
          <w:sz w:val="23"/>
          <w:szCs w:val="23"/>
        </w:rPr>
        <w:t>,</w:t>
      </w:r>
      <w:r w:rsidRPr="37EA9A9A">
        <w:rPr>
          <w:rFonts w:ascii="Calibri Light" w:eastAsia="Calibri Light" w:hAnsi="Calibri Light" w:cs="Calibri Light"/>
          <w:sz w:val="23"/>
          <w:szCs w:val="23"/>
        </w:rPr>
        <w:t xml:space="preserve"> and relationships of trust</w:t>
      </w:r>
    </w:p>
    <w:p w14:paraId="6593C1FB" w14:textId="2A8775C3" w:rsidR="000E0FAB" w:rsidRDefault="000E0FAB" w:rsidP="000E0FAB">
      <w:pPr>
        <w:pStyle w:val="ListParagraph"/>
        <w:numPr>
          <w:ilvl w:val="0"/>
          <w:numId w:val="2"/>
        </w:numPr>
        <w:spacing w:after="0" w:line="276" w:lineRule="auto"/>
        <w:rPr>
          <w:sz w:val="23"/>
          <w:szCs w:val="23"/>
        </w:rPr>
      </w:pPr>
      <w:r w:rsidRPr="37EA9A9A">
        <w:rPr>
          <w:rFonts w:ascii="Calibri Light" w:eastAsia="Calibri Light" w:hAnsi="Calibri Light" w:cs="Calibri Light"/>
          <w:sz w:val="23"/>
          <w:szCs w:val="23"/>
        </w:rPr>
        <w:t xml:space="preserve">are adequately funded and resourced, with generous timeframes and </w:t>
      </w:r>
      <w:r w:rsidR="00E4428A">
        <w:rPr>
          <w:rFonts w:ascii="Calibri Light" w:eastAsia="Calibri Light" w:hAnsi="Calibri Light" w:cs="Calibri Light"/>
          <w:sz w:val="23"/>
          <w:szCs w:val="23"/>
        </w:rPr>
        <w:t>workable</w:t>
      </w:r>
      <w:r w:rsidRPr="37EA9A9A">
        <w:rPr>
          <w:rFonts w:ascii="Calibri Light" w:eastAsia="Calibri Light" w:hAnsi="Calibri Light" w:cs="Calibri Light"/>
          <w:sz w:val="23"/>
          <w:szCs w:val="23"/>
        </w:rPr>
        <w:t xml:space="preserve"> evaluation methods</w:t>
      </w:r>
    </w:p>
    <w:p w14:paraId="7085A195" w14:textId="10EA7AA6" w:rsidR="000E0FAB" w:rsidRDefault="00E4428A" w:rsidP="000E0FAB">
      <w:pPr>
        <w:pStyle w:val="ListParagraph"/>
        <w:numPr>
          <w:ilvl w:val="0"/>
          <w:numId w:val="2"/>
        </w:numPr>
        <w:spacing w:after="0" w:line="276" w:lineRule="auto"/>
        <w:rPr>
          <w:rFonts w:eastAsiaTheme="minorEastAsia"/>
          <w:sz w:val="23"/>
          <w:szCs w:val="23"/>
        </w:rPr>
      </w:pPr>
      <w:r>
        <w:rPr>
          <w:rFonts w:ascii="Calibri Light" w:eastAsia="Calibri Light" w:hAnsi="Calibri Light" w:cs="Calibri Light"/>
          <w:sz w:val="23"/>
          <w:szCs w:val="23"/>
        </w:rPr>
        <w:t>enable</w:t>
      </w:r>
      <w:r w:rsidR="000E0FAB" w:rsidRPr="37EA9A9A">
        <w:rPr>
          <w:rFonts w:ascii="Calibri Light" w:eastAsia="Calibri Light" w:hAnsi="Calibri Light" w:cs="Calibri Light"/>
          <w:sz w:val="23"/>
          <w:szCs w:val="23"/>
        </w:rPr>
        <w:t xml:space="preserve"> holistic thinking and</w:t>
      </w:r>
      <w:r>
        <w:rPr>
          <w:rFonts w:ascii="Calibri Light" w:eastAsia="Calibri Light" w:hAnsi="Calibri Light" w:cs="Calibri Light"/>
          <w:sz w:val="23"/>
          <w:szCs w:val="23"/>
        </w:rPr>
        <w:t xml:space="preserve"> </w:t>
      </w:r>
      <w:r w:rsidR="000E0FAB">
        <w:rPr>
          <w:rFonts w:ascii="Calibri Light" w:eastAsia="Calibri Light" w:hAnsi="Calibri Light" w:cs="Calibri Light"/>
          <w:sz w:val="23"/>
          <w:szCs w:val="23"/>
        </w:rPr>
        <w:t>program flexibility</w:t>
      </w:r>
    </w:p>
    <w:p w14:paraId="7766E9FE" w14:textId="28CD7C6F" w:rsidR="000F2BC9" w:rsidRPr="000F2BC9" w:rsidRDefault="000E0FAB" w:rsidP="000F2BC9">
      <w:pPr>
        <w:pStyle w:val="ListParagraph"/>
        <w:numPr>
          <w:ilvl w:val="0"/>
          <w:numId w:val="2"/>
        </w:numPr>
        <w:spacing w:after="0" w:line="276" w:lineRule="auto"/>
        <w:rPr>
          <w:rFonts w:ascii="Calibri Light" w:eastAsia="Calibri Light" w:hAnsi="Calibri Light" w:cs="Calibri Light"/>
          <w:sz w:val="23"/>
          <w:szCs w:val="23"/>
        </w:rPr>
      </w:pPr>
      <w:r w:rsidRPr="37EA9A9A">
        <w:rPr>
          <w:rFonts w:ascii="Calibri Light" w:eastAsia="Calibri Light" w:hAnsi="Calibri Light" w:cs="Calibri Light"/>
          <w:sz w:val="23"/>
          <w:szCs w:val="23"/>
        </w:rPr>
        <w:t xml:space="preserve">are connected to broader socioeconomic contexts, including </w:t>
      </w:r>
      <w:r w:rsidR="00E31F69">
        <w:rPr>
          <w:rFonts w:ascii="Calibri Light" w:eastAsia="Calibri Light" w:hAnsi="Calibri Light" w:cs="Calibri Light"/>
          <w:sz w:val="23"/>
          <w:szCs w:val="23"/>
        </w:rPr>
        <w:t>local, regional,</w:t>
      </w:r>
      <w:r w:rsidRPr="37EA9A9A">
        <w:rPr>
          <w:rFonts w:ascii="Calibri Light" w:eastAsia="Calibri Light" w:hAnsi="Calibri Light" w:cs="Calibri Light"/>
          <w:sz w:val="23"/>
          <w:szCs w:val="23"/>
        </w:rPr>
        <w:t xml:space="preserve"> and national policy.</w:t>
      </w:r>
      <w:r w:rsidR="000F2BC9" w:rsidRPr="000F2BC9">
        <w:rPr>
          <w:rFonts w:ascii="Calibri Light" w:eastAsia="Calibri Light" w:hAnsi="Calibri Light" w:cs="Calibri Light"/>
          <w:sz w:val="23"/>
          <w:szCs w:val="23"/>
        </w:rPr>
        <w:br w:type="page"/>
      </w:r>
    </w:p>
    <w:p w14:paraId="373E777F" w14:textId="2B5ADEDC" w:rsidR="00F00E3D" w:rsidRPr="000B1497" w:rsidRDefault="00F00E3D" w:rsidP="00D27549">
      <w:pPr>
        <w:pStyle w:val="Default"/>
        <w:spacing w:line="276" w:lineRule="auto"/>
        <w:rPr>
          <w:rFonts w:asciiTheme="minorHAnsi" w:hAnsiTheme="minorHAnsi" w:cstheme="minorBidi"/>
          <w:b/>
          <w:color w:val="2E74B5" w:themeColor="accent5" w:themeShade="BF"/>
          <w:sz w:val="25"/>
          <w:szCs w:val="25"/>
        </w:rPr>
      </w:pPr>
      <w:r w:rsidRPr="000B1497">
        <w:rPr>
          <w:rFonts w:asciiTheme="minorHAnsi" w:hAnsiTheme="minorHAnsi" w:cstheme="minorBidi"/>
          <w:b/>
          <w:color w:val="2E74B5" w:themeColor="accent5" w:themeShade="BF"/>
          <w:sz w:val="25"/>
          <w:szCs w:val="25"/>
        </w:rPr>
        <w:lastRenderedPageBreak/>
        <w:t>3. What</w:t>
      </w:r>
      <w:r w:rsidR="000765D4" w:rsidRPr="000B1497">
        <w:rPr>
          <w:rFonts w:asciiTheme="minorHAnsi" w:hAnsiTheme="minorHAnsi" w:cstheme="minorBidi"/>
          <w:b/>
          <w:color w:val="2E74B5" w:themeColor="accent5" w:themeShade="BF"/>
          <w:sz w:val="25"/>
          <w:szCs w:val="25"/>
        </w:rPr>
        <w:t xml:space="preserve"> are the key</w:t>
      </w:r>
      <w:r w:rsidRPr="000B1497">
        <w:rPr>
          <w:rFonts w:asciiTheme="minorHAnsi" w:hAnsiTheme="minorHAnsi" w:cstheme="minorBidi"/>
          <w:b/>
          <w:color w:val="2E74B5" w:themeColor="accent5" w:themeShade="BF"/>
          <w:sz w:val="25"/>
          <w:szCs w:val="25"/>
        </w:rPr>
        <w:t xml:space="preserve"> </w:t>
      </w:r>
      <w:r w:rsidR="00C34B9E" w:rsidRPr="000B1497">
        <w:rPr>
          <w:rFonts w:asciiTheme="minorHAnsi" w:hAnsiTheme="minorHAnsi" w:cstheme="minorBidi"/>
          <w:b/>
          <w:color w:val="2E74B5" w:themeColor="accent5" w:themeShade="BF"/>
          <w:sz w:val="25"/>
          <w:szCs w:val="25"/>
        </w:rPr>
        <w:t>f</w:t>
      </w:r>
      <w:r w:rsidRPr="000B1497">
        <w:rPr>
          <w:rFonts w:asciiTheme="minorHAnsi" w:hAnsiTheme="minorHAnsi" w:cstheme="minorBidi"/>
          <w:b/>
          <w:color w:val="2E74B5" w:themeColor="accent5" w:themeShade="BF"/>
          <w:sz w:val="25"/>
          <w:szCs w:val="25"/>
        </w:rPr>
        <w:t xml:space="preserve">ederal and </w:t>
      </w:r>
      <w:r w:rsidR="00C34B9E" w:rsidRPr="000B1497">
        <w:rPr>
          <w:rFonts w:asciiTheme="minorHAnsi" w:hAnsiTheme="minorHAnsi" w:cstheme="minorBidi"/>
          <w:b/>
          <w:color w:val="2E74B5" w:themeColor="accent5" w:themeShade="BF"/>
          <w:sz w:val="25"/>
          <w:szCs w:val="25"/>
        </w:rPr>
        <w:t>s</w:t>
      </w:r>
      <w:r w:rsidRPr="000B1497">
        <w:rPr>
          <w:rFonts w:asciiTheme="minorHAnsi" w:hAnsiTheme="minorHAnsi" w:cstheme="minorBidi"/>
          <w:b/>
          <w:color w:val="2E74B5" w:themeColor="accent5" w:themeShade="BF"/>
          <w:sz w:val="25"/>
          <w:szCs w:val="25"/>
        </w:rPr>
        <w:t>tate policies, programs</w:t>
      </w:r>
      <w:r w:rsidR="009F5285" w:rsidRPr="000B1497">
        <w:rPr>
          <w:rFonts w:asciiTheme="minorHAnsi" w:hAnsiTheme="minorHAnsi" w:cstheme="minorBidi"/>
          <w:b/>
          <w:color w:val="2E74B5" w:themeColor="accent5" w:themeShade="BF"/>
          <w:sz w:val="25"/>
          <w:szCs w:val="25"/>
        </w:rPr>
        <w:t>,</w:t>
      </w:r>
      <w:r w:rsidRPr="000B1497">
        <w:rPr>
          <w:rFonts w:asciiTheme="minorHAnsi" w:hAnsiTheme="minorHAnsi" w:cstheme="minorBidi"/>
          <w:b/>
          <w:color w:val="2E74B5" w:themeColor="accent5" w:themeShade="BF"/>
          <w:sz w:val="25"/>
          <w:szCs w:val="25"/>
        </w:rPr>
        <w:t xml:space="preserve"> and funding </w:t>
      </w:r>
      <w:r w:rsidR="00B229B7" w:rsidRPr="000B1497">
        <w:rPr>
          <w:rFonts w:asciiTheme="minorHAnsi" w:hAnsiTheme="minorHAnsi" w:cstheme="minorBidi"/>
          <w:b/>
          <w:color w:val="2E74B5" w:themeColor="accent5" w:themeShade="BF"/>
          <w:sz w:val="25"/>
          <w:szCs w:val="25"/>
        </w:rPr>
        <w:t xml:space="preserve">initiatives </w:t>
      </w:r>
      <w:r w:rsidR="000765D4" w:rsidRPr="000B1497">
        <w:rPr>
          <w:rFonts w:asciiTheme="minorHAnsi" w:hAnsiTheme="minorHAnsi" w:cstheme="minorBidi"/>
          <w:b/>
          <w:color w:val="2E74B5" w:themeColor="accent5" w:themeShade="BF"/>
          <w:sz w:val="25"/>
          <w:szCs w:val="25"/>
        </w:rPr>
        <w:t xml:space="preserve">that </w:t>
      </w:r>
      <w:r w:rsidRPr="000B1497">
        <w:rPr>
          <w:rFonts w:asciiTheme="minorHAnsi" w:hAnsiTheme="minorHAnsi" w:cstheme="minorBidi"/>
          <w:b/>
          <w:color w:val="2E74B5" w:themeColor="accent5" w:themeShade="BF"/>
          <w:sz w:val="25"/>
          <w:szCs w:val="25"/>
        </w:rPr>
        <w:t>target social and economic development to improve community outcomes?</w:t>
      </w:r>
    </w:p>
    <w:p w14:paraId="727B1628" w14:textId="77777777" w:rsidR="00F00E3D" w:rsidRPr="00681C7C" w:rsidRDefault="00F00E3D" w:rsidP="00D27549">
      <w:pPr>
        <w:spacing w:after="0" w:line="276" w:lineRule="auto"/>
        <w:rPr>
          <w:rFonts w:asciiTheme="majorHAnsi" w:eastAsia="Times New Roman" w:hAnsiTheme="majorHAnsi" w:cstheme="majorBidi"/>
          <w:sz w:val="12"/>
          <w:szCs w:val="12"/>
          <w:lang w:val="en-GB"/>
        </w:rPr>
      </w:pPr>
    </w:p>
    <w:p w14:paraId="770DE042" w14:textId="54312E55" w:rsidR="00F00E3D" w:rsidRDefault="00A67CAB" w:rsidP="00D27549">
      <w:pPr>
        <w:pStyle w:val="Default"/>
        <w:spacing w:line="276" w:lineRule="auto"/>
        <w:rPr>
          <w:rFonts w:asciiTheme="majorHAnsi" w:eastAsia="Times New Roman" w:hAnsiTheme="majorHAnsi" w:cstheme="majorBidi"/>
          <w:sz w:val="23"/>
          <w:szCs w:val="23"/>
          <w:lang w:val="en-GB"/>
        </w:rPr>
      </w:pPr>
      <w:r>
        <w:rPr>
          <w:rFonts w:asciiTheme="majorHAnsi" w:eastAsia="Times New Roman" w:hAnsiTheme="majorHAnsi" w:cstheme="majorBidi"/>
          <w:sz w:val="23"/>
          <w:szCs w:val="23"/>
          <w:lang w:val="en-GB"/>
        </w:rPr>
        <w:t xml:space="preserve">The </w:t>
      </w:r>
      <w:r w:rsidR="00012FD0">
        <w:rPr>
          <w:rFonts w:asciiTheme="majorHAnsi" w:eastAsia="Times New Roman" w:hAnsiTheme="majorHAnsi" w:cstheme="majorBidi"/>
          <w:sz w:val="23"/>
          <w:szCs w:val="23"/>
          <w:lang w:val="en-GB"/>
        </w:rPr>
        <w:t xml:space="preserve">most significant </w:t>
      </w:r>
      <w:r w:rsidR="00E33A86">
        <w:rPr>
          <w:rFonts w:asciiTheme="majorHAnsi" w:eastAsia="Times New Roman" w:hAnsiTheme="majorHAnsi" w:cstheme="majorBidi"/>
          <w:sz w:val="23"/>
          <w:szCs w:val="23"/>
          <w:lang w:val="en-GB"/>
        </w:rPr>
        <w:t xml:space="preserve">and currently relevant </w:t>
      </w:r>
      <w:r w:rsidR="00012FD0">
        <w:rPr>
          <w:rFonts w:asciiTheme="majorHAnsi" w:eastAsia="Times New Roman" w:hAnsiTheme="majorHAnsi" w:cstheme="majorBidi"/>
          <w:sz w:val="23"/>
          <w:szCs w:val="23"/>
          <w:lang w:val="en-GB"/>
        </w:rPr>
        <w:t>policy contexts for the</w:t>
      </w:r>
      <w:r w:rsidR="00012FD0" w:rsidRPr="502830E4">
        <w:rPr>
          <w:rFonts w:asciiTheme="majorHAnsi" w:eastAsia="Times New Roman" w:hAnsiTheme="majorHAnsi" w:cstheme="majorBidi"/>
          <w:sz w:val="23"/>
          <w:szCs w:val="23"/>
          <w:lang w:val="en-GB"/>
        </w:rPr>
        <w:t xml:space="preserve"> three </w:t>
      </w:r>
      <w:r w:rsidR="00012FD0">
        <w:rPr>
          <w:rFonts w:asciiTheme="majorHAnsi" w:eastAsia="Times New Roman" w:hAnsiTheme="majorHAnsi" w:cstheme="majorBidi"/>
          <w:sz w:val="23"/>
          <w:szCs w:val="23"/>
          <w:lang w:val="en-GB"/>
        </w:rPr>
        <w:t xml:space="preserve">localities </w:t>
      </w:r>
      <w:r w:rsidR="00F00E3D" w:rsidRPr="502830E4">
        <w:rPr>
          <w:rFonts w:asciiTheme="majorHAnsi" w:eastAsia="Times New Roman" w:hAnsiTheme="majorHAnsi" w:cstheme="majorBidi"/>
          <w:sz w:val="23"/>
          <w:szCs w:val="23"/>
          <w:lang w:val="en-GB"/>
        </w:rPr>
        <w:t xml:space="preserve">policy </w:t>
      </w:r>
      <w:r w:rsidR="00276D2E">
        <w:rPr>
          <w:rFonts w:asciiTheme="majorHAnsi" w:eastAsia="Times New Roman" w:hAnsiTheme="majorHAnsi" w:cstheme="majorBidi"/>
          <w:sz w:val="23"/>
          <w:szCs w:val="23"/>
          <w:lang w:val="en-GB"/>
        </w:rPr>
        <w:t xml:space="preserve">are </w:t>
      </w:r>
      <w:r w:rsidR="00E33A86">
        <w:rPr>
          <w:rFonts w:asciiTheme="majorHAnsi" w:eastAsia="Times New Roman" w:hAnsiTheme="majorHAnsi" w:cstheme="majorBidi"/>
          <w:sz w:val="23"/>
          <w:szCs w:val="23"/>
          <w:lang w:val="en-GB"/>
        </w:rPr>
        <w:t>summarised below</w:t>
      </w:r>
      <w:r w:rsidR="0053102A">
        <w:rPr>
          <w:rFonts w:asciiTheme="majorHAnsi" w:eastAsia="Times New Roman" w:hAnsiTheme="majorHAnsi" w:cstheme="majorBidi"/>
          <w:sz w:val="23"/>
          <w:szCs w:val="23"/>
          <w:lang w:val="en-GB"/>
        </w:rPr>
        <w:t xml:space="preserve">. </w:t>
      </w:r>
      <w:r w:rsidR="0053102A" w:rsidRPr="008002B0">
        <w:rPr>
          <w:rFonts w:asciiTheme="majorHAnsi" w:hAnsiTheme="majorHAnsi" w:cstheme="majorHAnsi"/>
          <w:color w:val="auto"/>
          <w:sz w:val="23"/>
          <w:szCs w:val="23"/>
        </w:rPr>
        <w:t xml:space="preserve">These </w:t>
      </w:r>
      <w:r w:rsidR="0053102A">
        <w:rPr>
          <w:rFonts w:asciiTheme="majorHAnsi" w:hAnsiTheme="majorHAnsi" w:cstheme="majorHAnsi"/>
          <w:color w:val="auto"/>
          <w:sz w:val="23"/>
          <w:szCs w:val="23"/>
        </w:rPr>
        <w:t xml:space="preserve">policy </w:t>
      </w:r>
      <w:r w:rsidR="0053102A" w:rsidRPr="008002B0">
        <w:rPr>
          <w:rFonts w:asciiTheme="majorHAnsi" w:hAnsiTheme="majorHAnsi" w:cstheme="majorHAnsi"/>
          <w:color w:val="auto"/>
          <w:sz w:val="23"/>
          <w:szCs w:val="23"/>
        </w:rPr>
        <w:t xml:space="preserve">contexts </w:t>
      </w:r>
      <w:r w:rsidR="0053102A">
        <w:rPr>
          <w:rFonts w:asciiTheme="majorHAnsi" w:hAnsiTheme="majorHAnsi" w:cstheme="majorHAnsi"/>
          <w:color w:val="auto"/>
          <w:sz w:val="23"/>
          <w:szCs w:val="23"/>
        </w:rPr>
        <w:t>are</w:t>
      </w:r>
      <w:r w:rsidR="0053102A" w:rsidRPr="008002B0">
        <w:rPr>
          <w:rFonts w:asciiTheme="majorHAnsi" w:hAnsiTheme="majorHAnsi" w:cstheme="majorHAnsi"/>
          <w:color w:val="auto"/>
          <w:sz w:val="23"/>
          <w:szCs w:val="23"/>
        </w:rPr>
        <w:t xml:space="preserve"> </w:t>
      </w:r>
      <w:r w:rsidR="00012FD0" w:rsidRPr="00A239A4">
        <w:rPr>
          <w:rFonts w:asciiTheme="majorHAnsi" w:eastAsia="Times New Roman" w:hAnsiTheme="majorHAnsi" w:cstheme="majorBidi"/>
          <w:sz w:val="23"/>
          <w:szCs w:val="23"/>
          <w:lang w:val="en-GB"/>
        </w:rPr>
        <w:t>detailed</w:t>
      </w:r>
      <w:r w:rsidRPr="00A239A4">
        <w:rPr>
          <w:rFonts w:asciiTheme="majorHAnsi" w:eastAsia="Times New Roman" w:hAnsiTheme="majorHAnsi" w:cstheme="majorBidi"/>
          <w:sz w:val="23"/>
          <w:szCs w:val="23"/>
          <w:lang w:val="en-GB"/>
        </w:rPr>
        <w:t xml:space="preserve"> in </w:t>
      </w:r>
      <w:hyperlink w:anchor="OLE_LINKSECTION2" w:history="1">
        <w:r w:rsidRPr="00A239A4">
          <w:rPr>
            <w:rStyle w:val="Hyperlink"/>
            <w:rFonts w:asciiTheme="majorHAnsi" w:eastAsia="Times New Roman" w:hAnsiTheme="majorHAnsi" w:cstheme="majorBidi"/>
            <w:sz w:val="23"/>
            <w:szCs w:val="23"/>
            <w:lang w:val="en-GB"/>
          </w:rPr>
          <w:t>Section 2.1</w:t>
        </w:r>
      </w:hyperlink>
      <w:r w:rsidR="0053102A" w:rsidRPr="00A239A4">
        <w:rPr>
          <w:rFonts w:asciiTheme="majorHAnsi" w:eastAsia="Times New Roman" w:hAnsiTheme="majorHAnsi" w:cstheme="majorBidi"/>
          <w:sz w:val="23"/>
          <w:szCs w:val="23"/>
          <w:lang w:val="en-GB"/>
        </w:rPr>
        <w:t xml:space="preserve"> (see </w:t>
      </w:r>
      <w:r w:rsidR="00483ECE" w:rsidRPr="00A239A4">
        <w:rPr>
          <w:rFonts w:asciiTheme="majorHAnsi" w:hAnsiTheme="majorHAnsi" w:cstheme="majorHAnsi"/>
          <w:color w:val="auto"/>
          <w:sz w:val="23"/>
          <w:szCs w:val="23"/>
        </w:rPr>
        <w:t>Tables</w:t>
      </w:r>
      <w:r w:rsidR="00AF224C" w:rsidRPr="00A239A4">
        <w:rPr>
          <w:rStyle w:val="Hyperlink"/>
          <w:rFonts w:asciiTheme="majorHAnsi" w:hAnsiTheme="majorHAnsi" w:cstheme="majorHAnsi"/>
          <w:sz w:val="23"/>
          <w:szCs w:val="23"/>
        </w:rPr>
        <w:t xml:space="preserve"> </w:t>
      </w:r>
      <w:hyperlink w:anchor="OLE_LINKTable12" w:history="1">
        <w:r w:rsidR="00AF224C" w:rsidRPr="00A239A4">
          <w:rPr>
            <w:rStyle w:val="Hyperlink"/>
            <w:rFonts w:asciiTheme="majorHAnsi" w:hAnsiTheme="majorHAnsi" w:cstheme="majorHAnsi"/>
            <w:sz w:val="23"/>
            <w:szCs w:val="23"/>
          </w:rPr>
          <w:t>2.1</w:t>
        </w:r>
      </w:hyperlink>
      <w:r w:rsidR="00483ECE" w:rsidRPr="00A239A4">
        <w:rPr>
          <w:rFonts w:asciiTheme="majorHAnsi" w:hAnsiTheme="majorHAnsi" w:cstheme="majorHAnsi"/>
          <w:color w:val="auto"/>
          <w:sz w:val="23"/>
          <w:szCs w:val="23"/>
        </w:rPr>
        <w:t>,</w:t>
      </w:r>
      <w:r w:rsidR="00AF224C" w:rsidRPr="00A239A4">
        <w:rPr>
          <w:rStyle w:val="Hyperlink"/>
          <w:rFonts w:asciiTheme="majorHAnsi" w:hAnsiTheme="majorHAnsi" w:cstheme="majorHAnsi"/>
          <w:sz w:val="23"/>
          <w:szCs w:val="23"/>
        </w:rPr>
        <w:t xml:space="preserve"> </w:t>
      </w:r>
      <w:hyperlink w:anchor="OLE_LINKTable13" w:history="1">
        <w:r w:rsidR="00AF224C" w:rsidRPr="00A239A4">
          <w:rPr>
            <w:rStyle w:val="Hyperlink"/>
            <w:rFonts w:asciiTheme="majorHAnsi" w:hAnsiTheme="majorHAnsi" w:cstheme="majorHAnsi"/>
            <w:sz w:val="23"/>
            <w:szCs w:val="23"/>
          </w:rPr>
          <w:t>2.2</w:t>
        </w:r>
      </w:hyperlink>
      <w:r w:rsidR="00483ECE" w:rsidRPr="00A239A4">
        <w:rPr>
          <w:rFonts w:asciiTheme="majorHAnsi" w:hAnsiTheme="majorHAnsi" w:cstheme="majorHAnsi"/>
          <w:color w:val="auto"/>
          <w:sz w:val="23"/>
          <w:szCs w:val="23"/>
        </w:rPr>
        <w:t>,</w:t>
      </w:r>
      <w:r w:rsidR="00AF224C" w:rsidRPr="00A239A4">
        <w:rPr>
          <w:rStyle w:val="Hyperlink"/>
          <w:rFonts w:asciiTheme="majorHAnsi" w:hAnsiTheme="majorHAnsi" w:cstheme="majorHAnsi"/>
          <w:sz w:val="23"/>
          <w:szCs w:val="23"/>
        </w:rPr>
        <w:t xml:space="preserve"> </w:t>
      </w:r>
      <w:hyperlink w:anchor="OLE_LINKTable14" w:history="1">
        <w:r w:rsidR="00AF224C" w:rsidRPr="00A239A4">
          <w:rPr>
            <w:rStyle w:val="Hyperlink"/>
            <w:rFonts w:asciiTheme="majorHAnsi" w:hAnsiTheme="majorHAnsi" w:cstheme="majorHAnsi"/>
            <w:sz w:val="23"/>
            <w:szCs w:val="23"/>
          </w:rPr>
          <w:t>2.3</w:t>
        </w:r>
      </w:hyperlink>
      <w:r w:rsidR="00483ECE" w:rsidRPr="00A239A4">
        <w:rPr>
          <w:rFonts w:asciiTheme="majorHAnsi" w:hAnsiTheme="majorHAnsi" w:cstheme="majorHAnsi"/>
          <w:color w:val="auto"/>
          <w:sz w:val="23"/>
          <w:szCs w:val="23"/>
        </w:rPr>
        <w:t>,</w:t>
      </w:r>
      <w:r w:rsidR="00AF224C" w:rsidRPr="00A239A4">
        <w:rPr>
          <w:rStyle w:val="Hyperlink"/>
          <w:rFonts w:asciiTheme="majorHAnsi" w:hAnsiTheme="majorHAnsi" w:cstheme="majorHAnsi"/>
          <w:sz w:val="23"/>
          <w:szCs w:val="23"/>
        </w:rPr>
        <w:t xml:space="preserve"> </w:t>
      </w:r>
      <w:hyperlink w:anchor="OLE_LINKTable15" w:history="1">
        <w:r w:rsidR="00AF224C" w:rsidRPr="00A239A4">
          <w:rPr>
            <w:rStyle w:val="Hyperlink"/>
            <w:rFonts w:asciiTheme="majorHAnsi" w:hAnsiTheme="majorHAnsi" w:cstheme="majorHAnsi"/>
            <w:sz w:val="23"/>
            <w:szCs w:val="23"/>
          </w:rPr>
          <w:t>2.4</w:t>
        </w:r>
      </w:hyperlink>
      <w:r w:rsidR="00AF224C" w:rsidRPr="00A239A4">
        <w:rPr>
          <w:rStyle w:val="Hyperlink"/>
          <w:rFonts w:asciiTheme="majorHAnsi" w:hAnsiTheme="majorHAnsi" w:cstheme="majorHAnsi"/>
          <w:sz w:val="23"/>
          <w:szCs w:val="23"/>
        </w:rPr>
        <w:t>,</w:t>
      </w:r>
      <w:r w:rsidR="00483ECE" w:rsidRPr="00A239A4">
        <w:rPr>
          <w:rFonts w:asciiTheme="majorHAnsi" w:hAnsiTheme="majorHAnsi" w:cstheme="majorHAnsi"/>
          <w:color w:val="auto"/>
          <w:sz w:val="23"/>
          <w:szCs w:val="23"/>
        </w:rPr>
        <w:t xml:space="preserve"> and</w:t>
      </w:r>
      <w:r w:rsidR="00AF224C" w:rsidRPr="00A239A4">
        <w:rPr>
          <w:rStyle w:val="Hyperlink"/>
          <w:rFonts w:asciiTheme="majorHAnsi" w:hAnsiTheme="majorHAnsi" w:cstheme="majorHAnsi"/>
          <w:sz w:val="23"/>
          <w:szCs w:val="23"/>
        </w:rPr>
        <w:t xml:space="preserve"> </w:t>
      </w:r>
      <w:hyperlink w:anchor="OLE_LINKTable16" w:history="1">
        <w:r w:rsidR="00AF224C" w:rsidRPr="00A239A4">
          <w:rPr>
            <w:rStyle w:val="Hyperlink"/>
            <w:rFonts w:asciiTheme="majorHAnsi" w:hAnsiTheme="majorHAnsi" w:cstheme="majorHAnsi"/>
            <w:sz w:val="23"/>
            <w:szCs w:val="23"/>
          </w:rPr>
          <w:t>2.5</w:t>
        </w:r>
      </w:hyperlink>
      <w:r w:rsidR="0053102A" w:rsidRPr="00A239A4">
        <w:rPr>
          <w:rStyle w:val="Hyperlink"/>
          <w:rFonts w:asciiTheme="majorHAnsi" w:hAnsiTheme="majorHAnsi" w:cstheme="majorHAnsi"/>
          <w:sz w:val="23"/>
          <w:szCs w:val="23"/>
        </w:rPr>
        <w:t>)</w:t>
      </w:r>
      <w:r w:rsidR="00483ECE" w:rsidRPr="00A239A4">
        <w:rPr>
          <w:rFonts w:asciiTheme="majorHAnsi" w:hAnsiTheme="majorHAnsi" w:cstheme="majorHAnsi"/>
          <w:color w:val="auto"/>
          <w:sz w:val="23"/>
          <w:szCs w:val="23"/>
        </w:rPr>
        <w:t>.</w:t>
      </w:r>
    </w:p>
    <w:p w14:paraId="3E244D7E" w14:textId="77777777" w:rsidR="00483ECE" w:rsidRPr="00C64967" w:rsidRDefault="00483ECE" w:rsidP="00D27549">
      <w:pPr>
        <w:pStyle w:val="Default"/>
        <w:spacing w:line="276" w:lineRule="auto"/>
        <w:rPr>
          <w:rFonts w:asciiTheme="majorHAnsi" w:hAnsiTheme="majorHAnsi" w:cstheme="majorHAnsi"/>
          <w:color w:val="auto"/>
          <w:sz w:val="12"/>
          <w:szCs w:val="12"/>
        </w:rPr>
      </w:pPr>
    </w:p>
    <w:p w14:paraId="318486F5" w14:textId="5D92A75F" w:rsidR="002E4C92" w:rsidRPr="005A34C4" w:rsidRDefault="00F00E3D" w:rsidP="00D27549">
      <w:pPr>
        <w:spacing w:after="0" w:line="276" w:lineRule="auto"/>
        <w:rPr>
          <w:rFonts w:eastAsia="Calibri Light" w:cstheme="minorHAnsi"/>
          <w:b/>
          <w:bCs/>
          <w:sz w:val="23"/>
          <w:szCs w:val="23"/>
          <w:lang w:val="en-GB"/>
        </w:rPr>
      </w:pPr>
      <w:r w:rsidRPr="009F5285">
        <w:rPr>
          <w:rFonts w:eastAsia="Calibri Light" w:cstheme="minorHAnsi"/>
          <w:b/>
          <w:bCs/>
          <w:sz w:val="23"/>
          <w:szCs w:val="23"/>
          <w:lang w:val="en-GB"/>
        </w:rPr>
        <w:t xml:space="preserve">International </w:t>
      </w:r>
      <w:r w:rsidR="00E33A86" w:rsidRPr="009F5285">
        <w:rPr>
          <w:rFonts w:eastAsia="Calibri Light" w:cstheme="minorHAnsi"/>
          <w:b/>
          <w:bCs/>
          <w:sz w:val="23"/>
          <w:szCs w:val="23"/>
          <w:lang w:val="en-GB"/>
        </w:rPr>
        <w:t>Policy Context</w:t>
      </w:r>
    </w:p>
    <w:p w14:paraId="2F2879FA" w14:textId="28FE253D" w:rsidR="00F00E3D" w:rsidRPr="002E4C92" w:rsidRDefault="00F00E3D" w:rsidP="00364C5D">
      <w:pPr>
        <w:pStyle w:val="ListParagraph"/>
        <w:numPr>
          <w:ilvl w:val="0"/>
          <w:numId w:val="32"/>
        </w:numPr>
        <w:spacing w:after="0" w:line="276" w:lineRule="auto"/>
        <w:rPr>
          <w:rFonts w:asciiTheme="majorHAnsi" w:eastAsiaTheme="minorEastAsia" w:hAnsiTheme="majorHAnsi" w:cstheme="majorHAnsi"/>
          <w:sz w:val="23"/>
          <w:szCs w:val="23"/>
        </w:rPr>
      </w:pPr>
      <w:r w:rsidRPr="008002B0">
        <w:rPr>
          <w:rFonts w:asciiTheme="majorHAnsi" w:eastAsia="Calibri Light" w:hAnsiTheme="majorHAnsi" w:cstheme="majorHAnsi"/>
          <w:sz w:val="23"/>
          <w:szCs w:val="23"/>
          <w:lang w:val="en-GB"/>
        </w:rPr>
        <w:t>City of Greater Geelong designated a UNESCO City of Design in 2017</w:t>
      </w:r>
      <w:r w:rsidR="00483ECE">
        <w:rPr>
          <w:rFonts w:asciiTheme="majorHAnsi" w:eastAsia="Calibri Light" w:hAnsiTheme="majorHAnsi" w:cstheme="majorHAnsi"/>
          <w:sz w:val="23"/>
          <w:szCs w:val="23"/>
          <w:lang w:val="en-GB"/>
        </w:rPr>
        <w:t>.</w:t>
      </w:r>
    </w:p>
    <w:p w14:paraId="055F4620" w14:textId="77777777" w:rsidR="002E4C92" w:rsidRPr="00483ECE" w:rsidRDefault="002E4C92" w:rsidP="00D27549">
      <w:pPr>
        <w:spacing w:after="0" w:line="276" w:lineRule="auto"/>
        <w:ind w:left="360"/>
        <w:rPr>
          <w:rFonts w:asciiTheme="majorHAnsi" w:eastAsiaTheme="minorEastAsia" w:hAnsiTheme="majorHAnsi" w:cstheme="majorHAnsi"/>
          <w:sz w:val="12"/>
          <w:szCs w:val="12"/>
        </w:rPr>
      </w:pPr>
    </w:p>
    <w:p w14:paraId="3EDC47FC" w14:textId="5137D943" w:rsidR="00F00E3D" w:rsidRPr="005A34C4" w:rsidRDefault="00F00E3D" w:rsidP="00D27549">
      <w:pPr>
        <w:spacing w:after="0" w:line="276" w:lineRule="auto"/>
        <w:rPr>
          <w:rFonts w:eastAsiaTheme="minorEastAsia" w:cstheme="minorHAnsi"/>
          <w:b/>
          <w:bCs/>
          <w:sz w:val="23"/>
          <w:szCs w:val="23"/>
        </w:rPr>
      </w:pPr>
      <w:r w:rsidRPr="005A34C4">
        <w:rPr>
          <w:rFonts w:eastAsia="Calibri Light" w:cstheme="minorHAnsi"/>
          <w:b/>
          <w:bCs/>
          <w:sz w:val="23"/>
          <w:szCs w:val="23"/>
          <w:lang w:val="en-GB"/>
        </w:rPr>
        <w:t xml:space="preserve">Federal </w:t>
      </w:r>
      <w:r w:rsidR="00E33A86" w:rsidRPr="005A34C4">
        <w:rPr>
          <w:rFonts w:eastAsia="Calibri Light" w:cstheme="minorHAnsi"/>
          <w:b/>
          <w:bCs/>
          <w:sz w:val="23"/>
          <w:szCs w:val="23"/>
          <w:lang w:val="en-GB"/>
        </w:rPr>
        <w:t>Policy Context</w:t>
      </w:r>
    </w:p>
    <w:p w14:paraId="23C2520F" w14:textId="77777777" w:rsidR="00F00E3D" w:rsidRPr="008002B0" w:rsidRDefault="00F00E3D" w:rsidP="00364C5D">
      <w:pPr>
        <w:pStyle w:val="ListParagraph"/>
        <w:numPr>
          <w:ilvl w:val="0"/>
          <w:numId w:val="46"/>
        </w:numPr>
        <w:spacing w:after="0" w:line="276" w:lineRule="auto"/>
        <w:rPr>
          <w:rFonts w:asciiTheme="majorHAnsi" w:eastAsiaTheme="minorEastAsia" w:hAnsiTheme="majorHAnsi" w:cstheme="majorHAnsi"/>
          <w:sz w:val="23"/>
          <w:szCs w:val="23"/>
        </w:rPr>
      </w:pPr>
      <w:r w:rsidRPr="008002B0">
        <w:rPr>
          <w:rFonts w:asciiTheme="majorHAnsi" w:eastAsia="Calibri Light" w:hAnsiTheme="majorHAnsi" w:cstheme="majorHAnsi"/>
          <w:sz w:val="23"/>
          <w:szCs w:val="23"/>
          <w:lang w:val="en-GB"/>
        </w:rPr>
        <w:t>Education: programs to support Aboriginal and Torres Strait Islander (ATSI) students, and students from lower socioeconomic backgrounds</w:t>
      </w:r>
    </w:p>
    <w:p w14:paraId="70D2D62C" w14:textId="77777777" w:rsidR="00F00E3D" w:rsidRPr="008002B0" w:rsidRDefault="00F00E3D" w:rsidP="00364C5D">
      <w:pPr>
        <w:pStyle w:val="ListParagraph"/>
        <w:numPr>
          <w:ilvl w:val="0"/>
          <w:numId w:val="46"/>
        </w:numPr>
        <w:spacing w:after="0" w:line="276" w:lineRule="auto"/>
        <w:rPr>
          <w:rFonts w:asciiTheme="majorHAnsi" w:eastAsiaTheme="minorEastAsia" w:hAnsiTheme="majorHAnsi" w:cstheme="majorHAnsi"/>
          <w:sz w:val="23"/>
          <w:szCs w:val="23"/>
        </w:rPr>
      </w:pPr>
      <w:r w:rsidRPr="008002B0">
        <w:rPr>
          <w:rFonts w:asciiTheme="majorHAnsi" w:eastAsia="Calibri Light" w:hAnsiTheme="majorHAnsi" w:cstheme="majorHAnsi"/>
          <w:sz w:val="23"/>
          <w:szCs w:val="23"/>
          <w:lang w:val="en-GB"/>
        </w:rPr>
        <w:t>Housing: Commonwealth Rent Assistance, support for home ownership investment, settlement policies for refugees in regional areas</w:t>
      </w:r>
    </w:p>
    <w:p w14:paraId="636F562F" w14:textId="77777777" w:rsidR="00F00E3D" w:rsidRPr="008002B0" w:rsidRDefault="00F00E3D" w:rsidP="00364C5D">
      <w:pPr>
        <w:pStyle w:val="ListParagraph"/>
        <w:numPr>
          <w:ilvl w:val="0"/>
          <w:numId w:val="46"/>
        </w:numPr>
        <w:spacing w:after="0" w:line="276" w:lineRule="auto"/>
        <w:rPr>
          <w:rFonts w:asciiTheme="majorHAnsi" w:eastAsiaTheme="minorEastAsia" w:hAnsiTheme="majorHAnsi" w:cstheme="majorHAnsi"/>
          <w:sz w:val="23"/>
          <w:szCs w:val="23"/>
        </w:rPr>
      </w:pPr>
      <w:r w:rsidRPr="008002B0">
        <w:rPr>
          <w:rFonts w:asciiTheme="majorHAnsi" w:eastAsia="Calibri Light" w:hAnsiTheme="majorHAnsi" w:cstheme="majorHAnsi"/>
          <w:sz w:val="23"/>
          <w:szCs w:val="23"/>
          <w:lang w:val="en-GB"/>
        </w:rPr>
        <w:t>Employment: Regional Jobs and Investment Package</w:t>
      </w:r>
    </w:p>
    <w:p w14:paraId="414A412F" w14:textId="77777777" w:rsidR="00F00E3D" w:rsidRPr="008002B0" w:rsidRDefault="00F00E3D" w:rsidP="00364C5D">
      <w:pPr>
        <w:pStyle w:val="ListParagraph"/>
        <w:numPr>
          <w:ilvl w:val="0"/>
          <w:numId w:val="46"/>
        </w:numPr>
        <w:spacing w:after="0" w:line="276" w:lineRule="auto"/>
        <w:rPr>
          <w:rFonts w:asciiTheme="majorHAnsi" w:eastAsiaTheme="minorEastAsia" w:hAnsiTheme="majorHAnsi" w:cstheme="majorHAnsi"/>
          <w:sz w:val="23"/>
          <w:szCs w:val="23"/>
        </w:rPr>
      </w:pPr>
      <w:r w:rsidRPr="008002B0">
        <w:rPr>
          <w:rFonts w:asciiTheme="majorHAnsi" w:eastAsia="Calibri Light" w:hAnsiTheme="majorHAnsi" w:cstheme="majorHAnsi"/>
          <w:sz w:val="23"/>
          <w:szCs w:val="23"/>
          <w:lang w:val="en-GB"/>
        </w:rPr>
        <w:t>Health and Wellbeing: NDIS location and activity</w:t>
      </w:r>
    </w:p>
    <w:p w14:paraId="58B3886E" w14:textId="286462CE" w:rsidR="00F00E3D" w:rsidRPr="002E4C92" w:rsidRDefault="00F00E3D" w:rsidP="00364C5D">
      <w:pPr>
        <w:pStyle w:val="ListParagraph"/>
        <w:numPr>
          <w:ilvl w:val="0"/>
          <w:numId w:val="46"/>
        </w:numPr>
        <w:spacing w:after="0" w:line="276" w:lineRule="auto"/>
        <w:rPr>
          <w:rFonts w:asciiTheme="majorHAnsi" w:eastAsiaTheme="minorEastAsia" w:hAnsiTheme="majorHAnsi" w:cstheme="majorHAnsi"/>
          <w:sz w:val="23"/>
          <w:szCs w:val="23"/>
        </w:rPr>
      </w:pPr>
      <w:r w:rsidRPr="008002B0">
        <w:rPr>
          <w:rFonts w:asciiTheme="majorHAnsi" w:eastAsia="Calibri Light" w:hAnsiTheme="majorHAnsi" w:cstheme="majorHAnsi"/>
          <w:sz w:val="23"/>
          <w:szCs w:val="23"/>
          <w:lang w:val="en-GB"/>
        </w:rPr>
        <w:t>Liveability: The City Deal (Geelong).</w:t>
      </w:r>
    </w:p>
    <w:p w14:paraId="2E2F4304" w14:textId="77777777" w:rsidR="002E4C92" w:rsidRPr="00483ECE" w:rsidRDefault="002E4C92" w:rsidP="00D27549">
      <w:pPr>
        <w:spacing w:after="0" w:line="276" w:lineRule="auto"/>
        <w:ind w:left="360"/>
        <w:rPr>
          <w:rFonts w:asciiTheme="majorHAnsi" w:eastAsiaTheme="minorEastAsia" w:hAnsiTheme="majorHAnsi" w:cstheme="majorHAnsi"/>
          <w:sz w:val="12"/>
          <w:szCs w:val="12"/>
        </w:rPr>
      </w:pPr>
    </w:p>
    <w:p w14:paraId="7A85D46D" w14:textId="69D49E72" w:rsidR="00F00E3D" w:rsidRPr="00483ECE" w:rsidRDefault="00F00E3D" w:rsidP="00D27549">
      <w:pPr>
        <w:spacing w:after="0" w:line="276" w:lineRule="auto"/>
        <w:rPr>
          <w:rFonts w:eastAsiaTheme="minorEastAsia" w:cstheme="minorHAnsi"/>
          <w:b/>
          <w:bCs/>
          <w:sz w:val="23"/>
          <w:szCs w:val="23"/>
        </w:rPr>
      </w:pPr>
      <w:r w:rsidRPr="00483ECE">
        <w:rPr>
          <w:rFonts w:eastAsia="Calibri Light" w:cstheme="minorHAnsi"/>
          <w:b/>
          <w:bCs/>
          <w:sz w:val="23"/>
          <w:szCs w:val="23"/>
          <w:lang w:val="en-GB"/>
        </w:rPr>
        <w:t xml:space="preserve">State </w:t>
      </w:r>
      <w:r w:rsidR="00E33A86">
        <w:rPr>
          <w:rFonts w:eastAsia="Calibri Light" w:cstheme="minorHAnsi"/>
          <w:b/>
          <w:bCs/>
          <w:sz w:val="23"/>
          <w:szCs w:val="23"/>
          <w:lang w:val="en-GB"/>
        </w:rPr>
        <w:t>P</w:t>
      </w:r>
      <w:r w:rsidRPr="00483ECE">
        <w:rPr>
          <w:rFonts w:eastAsia="Calibri Light" w:cstheme="minorHAnsi"/>
          <w:b/>
          <w:bCs/>
          <w:sz w:val="23"/>
          <w:szCs w:val="23"/>
          <w:lang w:val="en-GB"/>
        </w:rPr>
        <w:t xml:space="preserve">olicy </w:t>
      </w:r>
      <w:r w:rsidR="00E33A86">
        <w:rPr>
          <w:rFonts w:eastAsia="Calibri Light" w:cstheme="minorHAnsi"/>
          <w:b/>
          <w:bCs/>
          <w:sz w:val="23"/>
          <w:szCs w:val="23"/>
          <w:lang w:val="en-GB"/>
        </w:rPr>
        <w:t>C</w:t>
      </w:r>
      <w:r w:rsidRPr="00483ECE">
        <w:rPr>
          <w:rFonts w:eastAsia="Calibri Light" w:cstheme="minorHAnsi"/>
          <w:b/>
          <w:bCs/>
          <w:sz w:val="23"/>
          <w:szCs w:val="23"/>
          <w:lang w:val="en-GB"/>
        </w:rPr>
        <w:t>ontext</w:t>
      </w:r>
      <w:r w:rsidR="000765D4" w:rsidRPr="00483ECE">
        <w:rPr>
          <w:rFonts w:eastAsia="Calibri Light" w:cstheme="minorHAnsi"/>
          <w:b/>
          <w:bCs/>
          <w:sz w:val="23"/>
          <w:szCs w:val="23"/>
          <w:lang w:val="en-GB"/>
        </w:rPr>
        <w:t xml:space="preserve"> (Victorian State Government)</w:t>
      </w:r>
    </w:p>
    <w:p w14:paraId="7B334C16" w14:textId="77777777" w:rsidR="00F00E3D" w:rsidRPr="008002B0" w:rsidRDefault="00F00E3D" w:rsidP="00364C5D">
      <w:pPr>
        <w:pStyle w:val="ListParagraph"/>
        <w:numPr>
          <w:ilvl w:val="0"/>
          <w:numId w:val="27"/>
        </w:numPr>
        <w:spacing w:after="0" w:line="276" w:lineRule="auto"/>
        <w:rPr>
          <w:rFonts w:asciiTheme="majorHAnsi" w:eastAsiaTheme="minorEastAsia" w:hAnsiTheme="majorHAnsi" w:cstheme="majorHAnsi"/>
          <w:sz w:val="23"/>
          <w:szCs w:val="23"/>
        </w:rPr>
      </w:pPr>
      <w:r w:rsidRPr="008002B0">
        <w:rPr>
          <w:rFonts w:asciiTheme="majorHAnsi" w:eastAsia="Calibri Light" w:hAnsiTheme="majorHAnsi" w:cstheme="majorHAnsi"/>
          <w:sz w:val="23"/>
          <w:szCs w:val="23"/>
          <w:lang w:val="en-GB"/>
        </w:rPr>
        <w:t xml:space="preserve">Housing: Homes for Victorians, commitment to expand and upgrade social housing stock </w:t>
      </w:r>
    </w:p>
    <w:p w14:paraId="79FAD6CF" w14:textId="3FC637D7" w:rsidR="00F00E3D" w:rsidRPr="008002B0" w:rsidRDefault="00F00E3D" w:rsidP="00364C5D">
      <w:pPr>
        <w:pStyle w:val="ListParagraph"/>
        <w:numPr>
          <w:ilvl w:val="0"/>
          <w:numId w:val="27"/>
        </w:numPr>
        <w:spacing w:after="0" w:line="276" w:lineRule="auto"/>
        <w:rPr>
          <w:rFonts w:asciiTheme="majorHAnsi" w:eastAsiaTheme="minorEastAsia" w:hAnsiTheme="majorHAnsi" w:cstheme="majorHAnsi"/>
          <w:sz w:val="23"/>
          <w:szCs w:val="23"/>
        </w:rPr>
      </w:pPr>
      <w:r w:rsidRPr="008002B0">
        <w:rPr>
          <w:rFonts w:asciiTheme="majorHAnsi" w:eastAsia="Calibri Light" w:hAnsiTheme="majorHAnsi" w:cstheme="majorHAnsi"/>
          <w:sz w:val="23"/>
          <w:szCs w:val="23"/>
          <w:lang w:val="en-GB"/>
        </w:rPr>
        <w:t xml:space="preserve">Employment: Social </w:t>
      </w:r>
      <w:r w:rsidR="00E33A86">
        <w:rPr>
          <w:rFonts w:asciiTheme="majorHAnsi" w:eastAsia="Calibri Light" w:hAnsiTheme="majorHAnsi" w:cstheme="majorHAnsi"/>
          <w:sz w:val="23"/>
          <w:szCs w:val="23"/>
          <w:lang w:val="en-GB"/>
        </w:rPr>
        <w:t>P</w:t>
      </w:r>
      <w:r w:rsidRPr="008002B0">
        <w:rPr>
          <w:rFonts w:asciiTheme="majorHAnsi" w:eastAsia="Calibri Light" w:hAnsiTheme="majorHAnsi" w:cstheme="majorHAnsi"/>
          <w:sz w:val="23"/>
          <w:szCs w:val="23"/>
          <w:lang w:val="en-GB"/>
        </w:rPr>
        <w:t xml:space="preserve">rocurement </w:t>
      </w:r>
      <w:r w:rsidR="00E33A86">
        <w:rPr>
          <w:rFonts w:asciiTheme="majorHAnsi" w:eastAsia="Calibri Light" w:hAnsiTheme="majorHAnsi" w:cstheme="majorHAnsi"/>
          <w:sz w:val="23"/>
          <w:szCs w:val="23"/>
          <w:lang w:val="en-GB"/>
        </w:rPr>
        <w:t>F</w:t>
      </w:r>
      <w:r w:rsidRPr="008002B0">
        <w:rPr>
          <w:rFonts w:asciiTheme="majorHAnsi" w:eastAsia="Calibri Light" w:hAnsiTheme="majorHAnsi" w:cstheme="majorHAnsi"/>
          <w:sz w:val="23"/>
          <w:szCs w:val="23"/>
          <w:lang w:val="en-GB"/>
        </w:rPr>
        <w:t>ramework, Regional Jobs Fund</w:t>
      </w:r>
      <w:r w:rsidR="005F4D0B">
        <w:rPr>
          <w:rFonts w:asciiTheme="majorHAnsi" w:eastAsia="Calibri Light" w:hAnsiTheme="majorHAnsi" w:cstheme="majorHAnsi"/>
          <w:sz w:val="23"/>
          <w:szCs w:val="23"/>
          <w:lang w:val="en-GB"/>
        </w:rPr>
        <w:t>, Jobs Victoria Fund</w:t>
      </w:r>
    </w:p>
    <w:p w14:paraId="270FB5EB" w14:textId="758ECADB" w:rsidR="00F00E3D" w:rsidRPr="002E4C92" w:rsidRDefault="00F00E3D" w:rsidP="00364C5D">
      <w:pPr>
        <w:pStyle w:val="ListParagraph"/>
        <w:numPr>
          <w:ilvl w:val="0"/>
          <w:numId w:val="27"/>
        </w:numPr>
        <w:spacing w:after="0" w:line="276" w:lineRule="auto"/>
        <w:rPr>
          <w:rFonts w:asciiTheme="majorHAnsi" w:eastAsiaTheme="minorEastAsia" w:hAnsiTheme="majorHAnsi" w:cstheme="majorHAnsi"/>
          <w:sz w:val="23"/>
          <w:szCs w:val="23"/>
        </w:rPr>
      </w:pPr>
      <w:r w:rsidRPr="008002B0">
        <w:rPr>
          <w:rFonts w:asciiTheme="majorHAnsi" w:eastAsia="Calibri Light" w:hAnsiTheme="majorHAnsi" w:cstheme="majorHAnsi"/>
          <w:sz w:val="23"/>
          <w:szCs w:val="23"/>
          <w:lang w:val="en-GB"/>
        </w:rPr>
        <w:t>Liveability: Regional Development Partnership, G21 Regional Growth Plan, partnerships addressing disadvantage.</w:t>
      </w:r>
    </w:p>
    <w:p w14:paraId="02092BAC" w14:textId="77777777" w:rsidR="002E4C92" w:rsidRPr="00483ECE" w:rsidRDefault="002E4C92" w:rsidP="00D27549">
      <w:pPr>
        <w:spacing w:after="0" w:line="276" w:lineRule="auto"/>
        <w:rPr>
          <w:rFonts w:asciiTheme="majorHAnsi" w:eastAsiaTheme="minorEastAsia" w:hAnsiTheme="majorHAnsi" w:cstheme="majorHAnsi"/>
          <w:sz w:val="12"/>
          <w:szCs w:val="12"/>
        </w:rPr>
      </w:pPr>
    </w:p>
    <w:p w14:paraId="20C2AF72" w14:textId="37C46106" w:rsidR="00F00E3D" w:rsidRPr="00483ECE" w:rsidRDefault="00F00E3D" w:rsidP="00D27549">
      <w:pPr>
        <w:spacing w:after="0" w:line="276" w:lineRule="auto"/>
        <w:rPr>
          <w:rFonts w:eastAsia="Calibri Light" w:cstheme="minorHAnsi"/>
          <w:sz w:val="23"/>
          <w:szCs w:val="23"/>
          <w:lang w:val="en-GB"/>
        </w:rPr>
      </w:pPr>
      <w:r w:rsidRPr="00483ECE">
        <w:rPr>
          <w:rFonts w:eastAsia="Calibri Light" w:cstheme="minorHAnsi"/>
          <w:b/>
          <w:bCs/>
          <w:sz w:val="23"/>
          <w:szCs w:val="23"/>
          <w:lang w:val="en-GB"/>
        </w:rPr>
        <w:t xml:space="preserve">Local </w:t>
      </w:r>
      <w:r w:rsidR="00E33A86" w:rsidRPr="00483ECE">
        <w:rPr>
          <w:rFonts w:eastAsia="Calibri Light" w:cstheme="minorHAnsi"/>
          <w:b/>
          <w:bCs/>
          <w:sz w:val="23"/>
          <w:szCs w:val="23"/>
          <w:lang w:val="en-GB"/>
        </w:rPr>
        <w:t>Policy Context</w:t>
      </w:r>
      <w:r w:rsidR="00E33A86" w:rsidRPr="00483ECE">
        <w:rPr>
          <w:rFonts w:eastAsia="Calibri Light" w:cstheme="minorHAnsi"/>
          <w:sz w:val="23"/>
          <w:szCs w:val="23"/>
          <w:lang w:val="en-GB"/>
        </w:rPr>
        <w:t xml:space="preserve"> </w:t>
      </w:r>
      <w:r w:rsidRPr="005F4D0B">
        <w:rPr>
          <w:rFonts w:eastAsia="Calibri Light" w:cstheme="minorHAnsi"/>
          <w:b/>
          <w:bCs/>
          <w:sz w:val="23"/>
          <w:szCs w:val="23"/>
          <w:lang w:val="en-GB"/>
        </w:rPr>
        <w:t>(City of Greater Geelong)</w:t>
      </w:r>
    </w:p>
    <w:p w14:paraId="67D16F4B" w14:textId="35A65C1B" w:rsidR="00F00E3D" w:rsidRPr="00E33A86" w:rsidRDefault="00F00E3D" w:rsidP="00364C5D">
      <w:pPr>
        <w:pStyle w:val="ListParagraph"/>
        <w:numPr>
          <w:ilvl w:val="0"/>
          <w:numId w:val="28"/>
        </w:numPr>
        <w:spacing w:after="0" w:line="276" w:lineRule="auto"/>
        <w:rPr>
          <w:rFonts w:asciiTheme="majorHAnsi" w:hAnsiTheme="majorHAnsi" w:cstheme="majorHAnsi"/>
          <w:sz w:val="23"/>
          <w:szCs w:val="23"/>
        </w:rPr>
      </w:pPr>
      <w:r w:rsidRPr="0052710A">
        <w:rPr>
          <w:rFonts w:asciiTheme="majorHAnsi" w:eastAsia="Calibri Light" w:hAnsiTheme="majorHAnsi" w:cstheme="majorHAnsi"/>
          <w:sz w:val="23"/>
          <w:szCs w:val="23"/>
          <w:lang w:val="en-GB"/>
        </w:rPr>
        <w:t>Clever and Creative Future, Social Infrastructure Plan, Social Housing Plan 2020–2041, Skilling the Bay, GROW</w:t>
      </w:r>
      <w:r>
        <w:rPr>
          <w:rFonts w:asciiTheme="majorHAnsi" w:eastAsia="Calibri Light" w:hAnsiTheme="majorHAnsi" w:cstheme="majorHAnsi"/>
          <w:sz w:val="23"/>
          <w:szCs w:val="23"/>
          <w:lang w:val="en-GB"/>
        </w:rPr>
        <w:t xml:space="preserve">, </w:t>
      </w:r>
      <w:r w:rsidRPr="00936EB9">
        <w:rPr>
          <w:rFonts w:asciiTheme="majorHAnsi" w:eastAsia="Calibri Light" w:hAnsiTheme="majorHAnsi" w:cstheme="majorHAnsi"/>
          <w:sz w:val="23"/>
          <w:szCs w:val="23"/>
          <w:lang w:val="en-GB"/>
        </w:rPr>
        <w:t>Corio Norlane Structure Plan</w:t>
      </w:r>
      <w:r>
        <w:rPr>
          <w:rFonts w:asciiTheme="majorHAnsi" w:eastAsia="Calibri Light" w:hAnsiTheme="majorHAnsi" w:cstheme="majorHAnsi"/>
          <w:sz w:val="23"/>
          <w:szCs w:val="23"/>
          <w:lang w:val="en-GB"/>
        </w:rPr>
        <w:t>.</w:t>
      </w:r>
    </w:p>
    <w:p w14:paraId="4A283A45" w14:textId="5E0DB144" w:rsidR="00E33A86" w:rsidRPr="00E33A86" w:rsidRDefault="00E33A86" w:rsidP="00E33A86">
      <w:pPr>
        <w:spacing w:after="0" w:line="276" w:lineRule="auto"/>
        <w:rPr>
          <w:rFonts w:asciiTheme="majorHAnsi" w:hAnsiTheme="majorHAnsi" w:cstheme="majorHAnsi"/>
          <w:sz w:val="12"/>
          <w:szCs w:val="12"/>
        </w:rPr>
      </w:pPr>
    </w:p>
    <w:p w14:paraId="4E565A04" w14:textId="0279C49D" w:rsidR="00E33A86" w:rsidRDefault="00E33A86" w:rsidP="00E33A86">
      <w:pPr>
        <w:spacing w:after="0" w:line="276" w:lineRule="auto"/>
        <w:rPr>
          <w:rFonts w:cstheme="minorHAnsi"/>
          <w:b/>
          <w:bCs/>
          <w:sz w:val="23"/>
          <w:szCs w:val="23"/>
        </w:rPr>
      </w:pPr>
      <w:r w:rsidRPr="00E33A86">
        <w:rPr>
          <w:rFonts w:cstheme="minorHAnsi"/>
          <w:b/>
          <w:bCs/>
          <w:sz w:val="23"/>
          <w:szCs w:val="23"/>
        </w:rPr>
        <w:t>COVID-19 Policy Context</w:t>
      </w:r>
    </w:p>
    <w:p w14:paraId="17EECD27" w14:textId="5457DA7C" w:rsidR="00E33A86" w:rsidRPr="00E33A86" w:rsidRDefault="00E33A86" w:rsidP="00364C5D">
      <w:pPr>
        <w:numPr>
          <w:ilvl w:val="0"/>
          <w:numId w:val="77"/>
        </w:numPr>
        <w:spacing w:after="0" w:line="276" w:lineRule="auto"/>
        <w:rPr>
          <w:rFonts w:asciiTheme="majorHAnsi" w:hAnsiTheme="majorHAnsi" w:cstheme="majorHAnsi"/>
          <w:sz w:val="23"/>
          <w:szCs w:val="23"/>
          <w:lang w:val="en-GB"/>
        </w:rPr>
      </w:pPr>
      <w:r w:rsidRPr="00E33A86">
        <w:rPr>
          <w:rFonts w:asciiTheme="majorHAnsi" w:hAnsiTheme="majorHAnsi" w:cstheme="majorHAnsi"/>
          <w:sz w:val="23"/>
          <w:szCs w:val="23"/>
          <w:lang w:val="en-GB"/>
        </w:rPr>
        <w:t xml:space="preserve">Employment/Income Support: </w:t>
      </w:r>
      <w:r>
        <w:rPr>
          <w:rFonts w:asciiTheme="majorHAnsi" w:hAnsiTheme="majorHAnsi" w:cstheme="majorHAnsi"/>
          <w:sz w:val="23"/>
          <w:szCs w:val="23"/>
          <w:lang w:val="en-GB"/>
        </w:rPr>
        <w:t xml:space="preserve">Federal </w:t>
      </w:r>
      <w:r w:rsidRPr="00E33A86">
        <w:rPr>
          <w:rFonts w:asciiTheme="majorHAnsi" w:hAnsiTheme="majorHAnsi" w:cstheme="majorHAnsi"/>
          <w:sz w:val="23"/>
          <w:szCs w:val="23"/>
          <w:lang w:val="en-GB"/>
        </w:rPr>
        <w:t>JobSeeker supplement and JobKeeper scheme</w:t>
      </w:r>
    </w:p>
    <w:p w14:paraId="3F4107DE" w14:textId="5A3074C5" w:rsidR="00E33A86" w:rsidRPr="00E33A86" w:rsidRDefault="00E33A86" w:rsidP="00364C5D">
      <w:pPr>
        <w:numPr>
          <w:ilvl w:val="0"/>
          <w:numId w:val="77"/>
        </w:numPr>
        <w:spacing w:after="0" w:line="276" w:lineRule="auto"/>
        <w:rPr>
          <w:rFonts w:asciiTheme="majorHAnsi" w:hAnsiTheme="majorHAnsi" w:cstheme="majorHAnsi"/>
          <w:sz w:val="23"/>
          <w:szCs w:val="23"/>
          <w:lang w:val="en-GB"/>
        </w:rPr>
      </w:pPr>
      <w:r w:rsidRPr="00E33A86">
        <w:rPr>
          <w:rFonts w:asciiTheme="majorHAnsi" w:hAnsiTheme="majorHAnsi" w:cstheme="majorHAnsi"/>
          <w:sz w:val="23"/>
          <w:szCs w:val="23"/>
          <w:lang w:val="en-GB"/>
        </w:rPr>
        <w:t xml:space="preserve">Victorian State Budget: </w:t>
      </w:r>
      <w:r>
        <w:rPr>
          <w:rFonts w:asciiTheme="majorHAnsi" w:hAnsiTheme="majorHAnsi" w:cstheme="majorHAnsi"/>
          <w:sz w:val="23"/>
          <w:szCs w:val="23"/>
          <w:lang w:val="en-GB"/>
        </w:rPr>
        <w:t>r</w:t>
      </w:r>
      <w:r w:rsidRPr="00E33A86">
        <w:rPr>
          <w:rFonts w:asciiTheme="majorHAnsi" w:hAnsiTheme="majorHAnsi" w:cstheme="majorHAnsi"/>
          <w:sz w:val="23"/>
          <w:szCs w:val="23"/>
          <w:lang w:val="en-GB"/>
        </w:rPr>
        <w:t>ange of funding for Geelong</w:t>
      </w:r>
    </w:p>
    <w:p w14:paraId="3CD79A0E" w14:textId="65CE3881" w:rsidR="00E33A86" w:rsidRPr="00E33A86" w:rsidRDefault="00E33A86" w:rsidP="00364C5D">
      <w:pPr>
        <w:numPr>
          <w:ilvl w:val="0"/>
          <w:numId w:val="77"/>
        </w:numPr>
        <w:spacing w:after="0" w:line="276" w:lineRule="auto"/>
        <w:rPr>
          <w:rFonts w:asciiTheme="majorHAnsi" w:hAnsiTheme="majorHAnsi" w:cstheme="majorHAnsi"/>
          <w:sz w:val="23"/>
          <w:szCs w:val="23"/>
          <w:lang w:val="en-GB"/>
        </w:rPr>
      </w:pPr>
      <w:r w:rsidRPr="00E33A86">
        <w:rPr>
          <w:rFonts w:asciiTheme="majorHAnsi" w:hAnsiTheme="majorHAnsi" w:cstheme="majorHAnsi"/>
          <w:sz w:val="23"/>
          <w:szCs w:val="23"/>
          <w:lang w:val="en-GB"/>
        </w:rPr>
        <w:t xml:space="preserve">Health: </w:t>
      </w:r>
      <w:r>
        <w:rPr>
          <w:rFonts w:asciiTheme="majorHAnsi" w:hAnsiTheme="majorHAnsi" w:cstheme="majorHAnsi"/>
          <w:sz w:val="23"/>
          <w:szCs w:val="23"/>
          <w:lang w:val="en-GB"/>
        </w:rPr>
        <w:t>e</w:t>
      </w:r>
      <w:r w:rsidRPr="00E33A86">
        <w:rPr>
          <w:rFonts w:asciiTheme="majorHAnsi" w:hAnsiTheme="majorHAnsi" w:cstheme="majorHAnsi"/>
          <w:sz w:val="23"/>
          <w:szCs w:val="23"/>
          <w:lang w:val="en-GB"/>
        </w:rPr>
        <w:t>xtra funding for mental health and telehealth services</w:t>
      </w:r>
    </w:p>
    <w:p w14:paraId="147863F3" w14:textId="7A7E0BDA" w:rsidR="00E33A86" w:rsidRPr="00E33A86" w:rsidRDefault="00E33A86" w:rsidP="00364C5D">
      <w:pPr>
        <w:numPr>
          <w:ilvl w:val="0"/>
          <w:numId w:val="77"/>
        </w:numPr>
        <w:spacing w:after="0" w:line="276" w:lineRule="auto"/>
        <w:rPr>
          <w:rFonts w:asciiTheme="majorHAnsi" w:hAnsiTheme="majorHAnsi" w:cstheme="majorHAnsi"/>
          <w:sz w:val="23"/>
          <w:szCs w:val="23"/>
          <w:lang w:val="en-GB"/>
        </w:rPr>
      </w:pPr>
      <w:r w:rsidRPr="00E33A86">
        <w:rPr>
          <w:rFonts w:asciiTheme="majorHAnsi" w:hAnsiTheme="majorHAnsi" w:cstheme="majorHAnsi"/>
          <w:sz w:val="23"/>
          <w:szCs w:val="23"/>
          <w:lang w:val="en-GB"/>
        </w:rPr>
        <w:t xml:space="preserve">Education: </w:t>
      </w:r>
      <w:bookmarkStart w:id="15" w:name="_Hlk71048831"/>
      <w:r w:rsidRPr="00E33A86">
        <w:rPr>
          <w:rFonts w:asciiTheme="majorHAnsi" w:hAnsiTheme="majorHAnsi" w:cstheme="majorHAnsi"/>
          <w:sz w:val="23"/>
          <w:szCs w:val="23"/>
          <w:lang w:val="en-GB"/>
        </w:rPr>
        <w:t xml:space="preserve">Tutor Learning Initiative 2021 </w:t>
      </w:r>
      <w:bookmarkEnd w:id="15"/>
      <w:r w:rsidRPr="00E33A86">
        <w:rPr>
          <w:rFonts w:asciiTheme="majorHAnsi" w:hAnsiTheme="majorHAnsi" w:cstheme="majorHAnsi"/>
          <w:sz w:val="23"/>
          <w:szCs w:val="23"/>
          <w:lang w:val="en-GB"/>
        </w:rPr>
        <w:t>(</w:t>
      </w:r>
      <w:r>
        <w:rPr>
          <w:rFonts w:asciiTheme="majorHAnsi" w:hAnsiTheme="majorHAnsi" w:cstheme="majorHAnsi"/>
          <w:sz w:val="23"/>
          <w:szCs w:val="23"/>
          <w:lang w:val="en-GB"/>
        </w:rPr>
        <w:t>Victorian Government</w:t>
      </w:r>
      <w:r w:rsidRPr="00E33A86">
        <w:rPr>
          <w:rFonts w:asciiTheme="majorHAnsi" w:hAnsiTheme="majorHAnsi" w:cstheme="majorHAnsi"/>
          <w:sz w:val="23"/>
          <w:szCs w:val="23"/>
          <w:lang w:val="en-GB"/>
        </w:rPr>
        <w:t>)</w:t>
      </w:r>
    </w:p>
    <w:p w14:paraId="7E662891" w14:textId="3F6F7F59" w:rsidR="00F00E3D" w:rsidRPr="00260EBE" w:rsidRDefault="00F00E3D" w:rsidP="009B2FA7">
      <w:pPr>
        <w:pStyle w:val="Default"/>
        <w:spacing w:line="276" w:lineRule="auto"/>
        <w:rPr>
          <w:rFonts w:asciiTheme="majorHAnsi" w:hAnsiTheme="majorHAnsi" w:cstheme="majorHAnsi"/>
          <w:color w:val="auto"/>
          <w:sz w:val="16"/>
          <w:szCs w:val="16"/>
        </w:rPr>
      </w:pPr>
    </w:p>
    <w:p w14:paraId="2172F47C" w14:textId="1CCBB354" w:rsidR="00F00E3D" w:rsidRPr="00276D2E" w:rsidRDefault="00F00E3D" w:rsidP="00D27549">
      <w:pPr>
        <w:pStyle w:val="Default"/>
        <w:spacing w:line="276" w:lineRule="auto"/>
        <w:rPr>
          <w:rFonts w:asciiTheme="minorHAnsi" w:hAnsiTheme="minorHAnsi" w:cstheme="minorBidi"/>
          <w:b/>
          <w:color w:val="2E74B5" w:themeColor="accent5" w:themeShade="BF"/>
          <w:sz w:val="25"/>
          <w:szCs w:val="25"/>
        </w:rPr>
      </w:pPr>
      <w:r w:rsidRPr="00276D2E">
        <w:rPr>
          <w:rFonts w:asciiTheme="minorHAnsi" w:hAnsiTheme="minorHAnsi" w:cstheme="minorBidi"/>
          <w:b/>
          <w:color w:val="2E74B5" w:themeColor="accent5" w:themeShade="BF"/>
          <w:sz w:val="25"/>
          <w:szCs w:val="25"/>
        </w:rPr>
        <w:t xml:space="preserve">4. What policy gaps </w:t>
      </w:r>
      <w:r w:rsidR="003E7BEA" w:rsidRPr="00276D2E">
        <w:rPr>
          <w:rFonts w:asciiTheme="minorHAnsi" w:hAnsiTheme="minorHAnsi" w:cstheme="minorBidi"/>
          <w:b/>
          <w:color w:val="2E74B5" w:themeColor="accent5" w:themeShade="BF"/>
          <w:sz w:val="25"/>
          <w:szCs w:val="25"/>
        </w:rPr>
        <w:t>could be addressed to</w:t>
      </w:r>
      <w:r w:rsidRPr="00276D2E">
        <w:rPr>
          <w:rFonts w:asciiTheme="minorHAnsi" w:hAnsiTheme="minorHAnsi" w:cstheme="minorBidi"/>
          <w:b/>
          <w:color w:val="2E74B5" w:themeColor="accent5" w:themeShade="BF"/>
          <w:sz w:val="25"/>
          <w:szCs w:val="25"/>
        </w:rPr>
        <w:t xml:space="preserve"> </w:t>
      </w:r>
      <w:r w:rsidR="00B229B7" w:rsidRPr="00276D2E">
        <w:rPr>
          <w:rFonts w:asciiTheme="minorHAnsi" w:hAnsiTheme="minorHAnsi" w:cstheme="minorBidi"/>
          <w:b/>
          <w:color w:val="2E74B5" w:themeColor="accent5" w:themeShade="BF"/>
          <w:sz w:val="25"/>
          <w:szCs w:val="25"/>
        </w:rPr>
        <w:t>help improve</w:t>
      </w:r>
      <w:r w:rsidRPr="00276D2E">
        <w:rPr>
          <w:rFonts w:asciiTheme="minorHAnsi" w:hAnsiTheme="minorHAnsi" w:cstheme="minorBidi"/>
          <w:b/>
          <w:color w:val="2E74B5" w:themeColor="accent5" w:themeShade="BF"/>
          <w:sz w:val="25"/>
          <w:szCs w:val="25"/>
        </w:rPr>
        <w:t xml:space="preserve"> </w:t>
      </w:r>
      <w:r w:rsidR="00B229B7" w:rsidRPr="00276D2E">
        <w:rPr>
          <w:rFonts w:asciiTheme="minorHAnsi" w:hAnsiTheme="minorHAnsi" w:cstheme="minorBidi"/>
          <w:b/>
          <w:color w:val="2E74B5" w:themeColor="accent5" w:themeShade="BF"/>
          <w:sz w:val="25"/>
          <w:szCs w:val="25"/>
        </w:rPr>
        <w:t>community</w:t>
      </w:r>
      <w:r w:rsidRPr="00276D2E">
        <w:rPr>
          <w:rFonts w:asciiTheme="minorHAnsi" w:hAnsiTheme="minorHAnsi" w:cstheme="minorBidi"/>
          <w:b/>
          <w:color w:val="2E74B5" w:themeColor="accent5" w:themeShade="BF"/>
          <w:sz w:val="25"/>
          <w:szCs w:val="25"/>
        </w:rPr>
        <w:t xml:space="preserve"> outcomes?</w:t>
      </w:r>
    </w:p>
    <w:p w14:paraId="61A519BB" w14:textId="77777777" w:rsidR="00B229B7" w:rsidRPr="003E7BEA" w:rsidRDefault="00B229B7" w:rsidP="00D27549">
      <w:pPr>
        <w:pStyle w:val="Default"/>
        <w:spacing w:line="276" w:lineRule="auto"/>
        <w:rPr>
          <w:rFonts w:asciiTheme="minorHAnsi" w:hAnsiTheme="minorHAnsi" w:cstheme="minorBidi"/>
          <w:b/>
          <w:color w:val="2F5496" w:themeColor="accent1" w:themeShade="BF"/>
          <w:sz w:val="16"/>
          <w:szCs w:val="16"/>
        </w:rPr>
      </w:pPr>
    </w:p>
    <w:p w14:paraId="521A07B9" w14:textId="11255239" w:rsidR="00F00E3D" w:rsidRPr="00E91887" w:rsidRDefault="001B7C91" w:rsidP="00D27549">
      <w:pPr>
        <w:spacing w:line="276" w:lineRule="auto"/>
        <w:rPr>
          <w:rFonts w:asciiTheme="majorHAnsi" w:eastAsiaTheme="majorEastAsia" w:hAnsiTheme="majorHAnsi" w:cstheme="majorBidi"/>
          <w:sz w:val="23"/>
          <w:szCs w:val="23"/>
        </w:rPr>
      </w:pPr>
      <w:r>
        <w:rPr>
          <w:rFonts w:asciiTheme="majorHAnsi" w:hAnsiTheme="majorHAnsi" w:cstheme="majorBidi"/>
          <w:sz w:val="23"/>
          <w:szCs w:val="23"/>
        </w:rPr>
        <w:t>We review</w:t>
      </w:r>
      <w:r w:rsidR="00F00E3D" w:rsidRPr="00E91887">
        <w:rPr>
          <w:rFonts w:asciiTheme="majorHAnsi" w:eastAsia="Times New Roman" w:hAnsiTheme="majorHAnsi" w:cstheme="majorBidi"/>
          <w:sz w:val="23"/>
          <w:szCs w:val="23"/>
        </w:rPr>
        <w:t xml:space="preserve"> 15 relevant City of Greater Geelong policies, their main priorities</w:t>
      </w:r>
      <w:r>
        <w:rPr>
          <w:rFonts w:asciiTheme="majorHAnsi" w:eastAsia="Times New Roman" w:hAnsiTheme="majorHAnsi" w:cstheme="majorBidi"/>
          <w:sz w:val="23"/>
          <w:szCs w:val="23"/>
        </w:rPr>
        <w:t>,</w:t>
      </w:r>
      <w:r w:rsidR="00F00E3D" w:rsidRPr="00E91887">
        <w:rPr>
          <w:rFonts w:asciiTheme="majorHAnsi" w:eastAsia="Times New Roman" w:hAnsiTheme="majorHAnsi" w:cstheme="majorBidi"/>
          <w:sz w:val="23"/>
          <w:szCs w:val="23"/>
        </w:rPr>
        <w:t xml:space="preserve"> and how they specifically relate to Corio, Norlane</w:t>
      </w:r>
      <w:r>
        <w:rPr>
          <w:rFonts w:asciiTheme="majorHAnsi" w:eastAsia="Times New Roman" w:hAnsiTheme="majorHAnsi" w:cstheme="majorBidi"/>
          <w:sz w:val="23"/>
          <w:szCs w:val="23"/>
        </w:rPr>
        <w:t>,</w:t>
      </w:r>
      <w:r w:rsidR="00F00E3D" w:rsidRPr="00E91887">
        <w:rPr>
          <w:rFonts w:asciiTheme="majorHAnsi" w:eastAsia="Times New Roman" w:hAnsiTheme="majorHAnsi" w:cstheme="majorBidi"/>
          <w:sz w:val="23"/>
          <w:szCs w:val="23"/>
        </w:rPr>
        <w:t xml:space="preserve"> and Whittington</w:t>
      </w:r>
      <w:r w:rsidR="00F00E3D">
        <w:rPr>
          <w:rFonts w:asciiTheme="majorHAnsi" w:eastAsia="Times New Roman" w:hAnsiTheme="majorHAnsi" w:cstheme="majorBidi"/>
          <w:sz w:val="23"/>
          <w:szCs w:val="23"/>
        </w:rPr>
        <w:t xml:space="preserve"> </w:t>
      </w:r>
      <w:r w:rsidR="00F00E3D">
        <w:rPr>
          <w:rFonts w:asciiTheme="majorHAnsi" w:eastAsiaTheme="majorEastAsia" w:hAnsiTheme="majorHAnsi" w:cstheme="majorBidi"/>
          <w:sz w:val="23"/>
          <w:szCs w:val="23"/>
        </w:rPr>
        <w:t>(</w:t>
      </w:r>
      <w:r w:rsidR="00E4428A">
        <w:rPr>
          <w:rFonts w:asciiTheme="majorHAnsi" w:hAnsiTheme="majorHAnsi" w:cstheme="majorBidi"/>
          <w:sz w:val="23"/>
          <w:szCs w:val="23"/>
        </w:rPr>
        <w:t xml:space="preserve">see Section </w:t>
      </w:r>
      <w:hyperlink w:anchor="OLE_LINKSECTION225">
        <w:r>
          <w:rPr>
            <w:rStyle w:val="Hyperlink"/>
            <w:rFonts w:asciiTheme="majorHAnsi" w:hAnsiTheme="majorHAnsi" w:cstheme="majorBidi"/>
            <w:sz w:val="23"/>
            <w:szCs w:val="23"/>
          </w:rPr>
          <w:t>7.4</w:t>
        </w:r>
      </w:hyperlink>
      <w:r w:rsidR="00F00E3D" w:rsidRPr="44728735">
        <w:rPr>
          <w:rFonts w:asciiTheme="majorHAnsi" w:eastAsiaTheme="majorEastAsia" w:hAnsiTheme="majorHAnsi" w:cstheme="majorBidi"/>
          <w:sz w:val="23"/>
          <w:szCs w:val="23"/>
        </w:rPr>
        <w:t>)</w:t>
      </w:r>
      <w:r w:rsidR="00F00E3D" w:rsidRPr="44728735">
        <w:rPr>
          <w:rFonts w:asciiTheme="majorHAnsi" w:eastAsia="Times New Roman" w:hAnsiTheme="majorHAnsi" w:cstheme="majorBidi"/>
          <w:sz w:val="23"/>
          <w:szCs w:val="23"/>
        </w:rPr>
        <w:t>.</w:t>
      </w:r>
      <w:r w:rsidR="00F00E3D" w:rsidRPr="00E91887">
        <w:rPr>
          <w:rFonts w:asciiTheme="majorHAnsi" w:eastAsia="Times New Roman" w:hAnsiTheme="majorHAnsi" w:cstheme="majorBidi"/>
          <w:sz w:val="23"/>
          <w:szCs w:val="23"/>
        </w:rPr>
        <w:t xml:space="preserve"> From analysis</w:t>
      </w:r>
      <w:r w:rsidR="00F00E3D">
        <w:rPr>
          <w:rFonts w:asciiTheme="majorHAnsi" w:eastAsia="Times New Roman" w:hAnsiTheme="majorHAnsi" w:cstheme="majorBidi"/>
          <w:sz w:val="23"/>
          <w:szCs w:val="23"/>
        </w:rPr>
        <w:t xml:space="preserve"> of these policies and programs</w:t>
      </w:r>
      <w:r w:rsidR="00F00E3D" w:rsidRPr="00E91887">
        <w:rPr>
          <w:rFonts w:asciiTheme="majorHAnsi" w:eastAsia="Times New Roman" w:hAnsiTheme="majorHAnsi" w:cstheme="majorBidi"/>
          <w:sz w:val="23"/>
          <w:szCs w:val="23"/>
        </w:rPr>
        <w:t>, across strategic, operational, or</w:t>
      </w:r>
      <w:r w:rsidR="00F00E3D" w:rsidRPr="00E91887">
        <w:rPr>
          <w:rFonts w:asciiTheme="majorHAnsi" w:eastAsiaTheme="majorEastAsia" w:hAnsiTheme="majorHAnsi" w:cstheme="majorBidi"/>
          <w:sz w:val="23"/>
          <w:szCs w:val="23"/>
        </w:rPr>
        <w:t xml:space="preserve"> sectoral and social group scales, </w:t>
      </w:r>
      <w:r w:rsidR="00DC1E9F">
        <w:rPr>
          <w:rFonts w:asciiTheme="majorHAnsi" w:eastAsiaTheme="majorEastAsia" w:hAnsiTheme="majorHAnsi" w:cstheme="majorBidi"/>
          <w:sz w:val="23"/>
          <w:szCs w:val="23"/>
        </w:rPr>
        <w:t>we identif</w:t>
      </w:r>
      <w:r>
        <w:rPr>
          <w:rFonts w:asciiTheme="majorHAnsi" w:eastAsiaTheme="majorEastAsia" w:hAnsiTheme="majorHAnsi" w:cstheme="majorBidi"/>
          <w:sz w:val="23"/>
          <w:szCs w:val="23"/>
        </w:rPr>
        <w:t>y</w:t>
      </w:r>
      <w:r w:rsidR="00DC1E9F">
        <w:rPr>
          <w:rFonts w:asciiTheme="majorHAnsi" w:eastAsiaTheme="majorEastAsia" w:hAnsiTheme="majorHAnsi" w:cstheme="majorBidi"/>
          <w:sz w:val="23"/>
          <w:szCs w:val="23"/>
        </w:rPr>
        <w:t xml:space="preserve"> </w:t>
      </w:r>
      <w:r w:rsidR="00F00E3D" w:rsidRPr="00E91887">
        <w:rPr>
          <w:rFonts w:asciiTheme="majorHAnsi" w:eastAsiaTheme="majorEastAsia" w:hAnsiTheme="majorHAnsi" w:cstheme="majorBidi"/>
          <w:sz w:val="23"/>
          <w:szCs w:val="23"/>
        </w:rPr>
        <w:t xml:space="preserve">a series of gaps </w:t>
      </w:r>
      <w:r w:rsidR="00F00E3D" w:rsidRPr="502830E4">
        <w:rPr>
          <w:rFonts w:asciiTheme="majorHAnsi" w:eastAsiaTheme="majorEastAsia" w:hAnsiTheme="majorHAnsi" w:cstheme="majorBidi"/>
          <w:sz w:val="23"/>
          <w:szCs w:val="23"/>
        </w:rPr>
        <w:t>across</w:t>
      </w:r>
      <w:r w:rsidR="00F00E3D" w:rsidRPr="00E91887">
        <w:rPr>
          <w:rFonts w:asciiTheme="majorHAnsi" w:eastAsiaTheme="majorEastAsia" w:hAnsiTheme="majorHAnsi" w:cstheme="majorBidi"/>
          <w:sz w:val="23"/>
          <w:szCs w:val="23"/>
        </w:rPr>
        <w:t xml:space="preserve"> the </w:t>
      </w:r>
      <w:r w:rsidR="00F00E3D" w:rsidRPr="001A3B9D">
        <w:rPr>
          <w:rFonts w:asciiTheme="majorHAnsi" w:eastAsiaTheme="majorEastAsia" w:hAnsiTheme="majorHAnsi" w:cstheme="majorBidi"/>
          <w:sz w:val="23"/>
          <w:szCs w:val="23"/>
        </w:rPr>
        <w:t xml:space="preserve">five </w:t>
      </w:r>
      <w:r w:rsidR="00D95573">
        <w:rPr>
          <w:rFonts w:asciiTheme="majorHAnsi" w:eastAsiaTheme="majorEastAsia" w:hAnsiTheme="majorHAnsi" w:cstheme="majorBidi"/>
          <w:sz w:val="23"/>
          <w:szCs w:val="23"/>
        </w:rPr>
        <w:t>Practice Domain</w:t>
      </w:r>
      <w:r w:rsidR="00F00E3D" w:rsidRPr="001A3B9D">
        <w:rPr>
          <w:rFonts w:asciiTheme="majorHAnsi" w:eastAsiaTheme="majorEastAsia" w:hAnsiTheme="majorHAnsi" w:cstheme="majorBidi"/>
          <w:sz w:val="23"/>
          <w:szCs w:val="23"/>
        </w:rPr>
        <w:t>s for particular and perhaps urgent attention</w:t>
      </w:r>
      <w:r w:rsidR="00F82531" w:rsidRPr="001A3B9D">
        <w:rPr>
          <w:rFonts w:asciiTheme="majorHAnsi" w:eastAsiaTheme="majorEastAsia" w:hAnsiTheme="majorHAnsi" w:cstheme="majorBidi"/>
          <w:sz w:val="23"/>
          <w:szCs w:val="23"/>
        </w:rPr>
        <w:t xml:space="preserve">. These are summarised below. </w:t>
      </w:r>
      <w:r w:rsidR="00296988" w:rsidRPr="001A3B9D">
        <w:rPr>
          <w:rFonts w:asciiTheme="majorHAnsi" w:eastAsiaTheme="majorEastAsia" w:hAnsiTheme="majorHAnsi" w:cstheme="majorBidi"/>
          <w:sz w:val="23"/>
          <w:szCs w:val="23"/>
        </w:rPr>
        <w:t>Further</w:t>
      </w:r>
      <w:r w:rsidR="00BB38D0" w:rsidRPr="001A3B9D">
        <w:rPr>
          <w:rFonts w:asciiTheme="majorHAnsi" w:eastAsiaTheme="majorEastAsia" w:hAnsiTheme="majorHAnsi" w:cstheme="majorBidi"/>
          <w:sz w:val="23"/>
          <w:szCs w:val="23"/>
        </w:rPr>
        <w:t xml:space="preserve"> to that</w:t>
      </w:r>
      <w:r w:rsidR="00F82531" w:rsidRPr="001A3B9D">
        <w:rPr>
          <w:rFonts w:asciiTheme="majorHAnsi" w:eastAsiaTheme="majorEastAsia" w:hAnsiTheme="majorHAnsi" w:cstheme="majorBidi"/>
          <w:sz w:val="23"/>
          <w:szCs w:val="23"/>
        </w:rPr>
        <w:t xml:space="preserve"> analysis, </w:t>
      </w:r>
      <w:r w:rsidR="000457CC" w:rsidRPr="001A3B9D">
        <w:rPr>
          <w:rFonts w:asciiTheme="majorHAnsi" w:eastAsiaTheme="majorEastAsia" w:hAnsiTheme="majorHAnsi" w:cstheme="majorBidi"/>
          <w:sz w:val="23"/>
          <w:szCs w:val="23"/>
        </w:rPr>
        <w:t xml:space="preserve">in </w:t>
      </w:r>
      <w:r>
        <w:rPr>
          <w:rFonts w:asciiTheme="majorHAnsi" w:eastAsiaTheme="majorEastAsia" w:hAnsiTheme="majorHAnsi" w:cstheme="majorBidi"/>
          <w:sz w:val="23"/>
          <w:szCs w:val="23"/>
        </w:rPr>
        <w:t>Section 8</w:t>
      </w:r>
      <w:r w:rsidR="000457CC" w:rsidRPr="001A3B9D">
        <w:rPr>
          <w:rFonts w:asciiTheme="majorHAnsi" w:eastAsiaTheme="majorEastAsia" w:hAnsiTheme="majorHAnsi" w:cstheme="majorBidi"/>
          <w:sz w:val="23"/>
          <w:szCs w:val="23"/>
        </w:rPr>
        <w:t xml:space="preserve"> </w:t>
      </w:r>
      <w:r w:rsidR="00F82531" w:rsidRPr="001A3B9D">
        <w:rPr>
          <w:rFonts w:asciiTheme="majorHAnsi" w:eastAsiaTheme="majorEastAsia" w:hAnsiTheme="majorHAnsi" w:cstheme="majorBidi"/>
          <w:sz w:val="23"/>
          <w:szCs w:val="23"/>
        </w:rPr>
        <w:t xml:space="preserve">we </w:t>
      </w:r>
      <w:r w:rsidR="000457CC" w:rsidRPr="001A3B9D">
        <w:rPr>
          <w:rFonts w:asciiTheme="majorHAnsi" w:eastAsiaTheme="majorEastAsia" w:hAnsiTheme="majorHAnsi" w:cstheme="majorBidi"/>
          <w:sz w:val="23"/>
          <w:szCs w:val="23"/>
        </w:rPr>
        <w:t>summarise findings from</w:t>
      </w:r>
      <w:r w:rsidR="00F82531" w:rsidRPr="001A3B9D">
        <w:rPr>
          <w:rFonts w:asciiTheme="majorHAnsi" w:eastAsiaTheme="majorEastAsia" w:hAnsiTheme="majorHAnsi" w:cstheme="majorBidi"/>
          <w:sz w:val="23"/>
          <w:szCs w:val="23"/>
        </w:rPr>
        <w:t xml:space="preserve"> consultations with key community workers to identify </w:t>
      </w:r>
      <w:r w:rsidR="00BB38D0" w:rsidRPr="001A3B9D">
        <w:rPr>
          <w:rFonts w:asciiTheme="majorHAnsi" w:eastAsiaTheme="majorEastAsia" w:hAnsiTheme="majorHAnsi" w:cstheme="majorBidi"/>
          <w:sz w:val="23"/>
          <w:szCs w:val="23"/>
        </w:rPr>
        <w:t>gaps</w:t>
      </w:r>
      <w:r w:rsidR="000457CC" w:rsidRPr="001A3B9D">
        <w:rPr>
          <w:rFonts w:asciiTheme="majorHAnsi" w:eastAsiaTheme="majorEastAsia" w:hAnsiTheme="majorHAnsi" w:cstheme="majorBidi"/>
          <w:sz w:val="23"/>
          <w:szCs w:val="23"/>
        </w:rPr>
        <w:t xml:space="preserve"> and</w:t>
      </w:r>
      <w:r w:rsidR="00BB38D0" w:rsidRPr="001A3B9D">
        <w:rPr>
          <w:rFonts w:asciiTheme="majorHAnsi" w:eastAsiaTheme="majorEastAsia" w:hAnsiTheme="majorHAnsi" w:cstheme="majorBidi"/>
          <w:sz w:val="23"/>
          <w:szCs w:val="23"/>
        </w:rPr>
        <w:t xml:space="preserve"> </w:t>
      </w:r>
      <w:r w:rsidR="00F82531" w:rsidRPr="001A3B9D">
        <w:rPr>
          <w:rFonts w:asciiTheme="majorHAnsi" w:eastAsiaTheme="majorEastAsia" w:hAnsiTheme="majorHAnsi" w:cstheme="majorBidi"/>
          <w:sz w:val="23"/>
          <w:szCs w:val="23"/>
        </w:rPr>
        <w:t>unmet needs</w:t>
      </w:r>
      <w:r w:rsidR="00BB38D0" w:rsidRPr="001A3B9D">
        <w:rPr>
          <w:rFonts w:asciiTheme="majorHAnsi" w:eastAsiaTheme="majorEastAsia" w:hAnsiTheme="majorHAnsi" w:cstheme="majorBidi"/>
          <w:sz w:val="23"/>
          <w:szCs w:val="23"/>
        </w:rPr>
        <w:t xml:space="preserve"> </w:t>
      </w:r>
      <w:r w:rsidR="000457CC" w:rsidRPr="001A3B9D">
        <w:rPr>
          <w:rFonts w:asciiTheme="majorHAnsi" w:eastAsiaTheme="majorEastAsia" w:hAnsiTheme="majorHAnsi" w:cstheme="majorBidi"/>
          <w:sz w:val="23"/>
          <w:szCs w:val="23"/>
        </w:rPr>
        <w:t>within the three localities.</w:t>
      </w:r>
    </w:p>
    <w:p w14:paraId="4BA71368" w14:textId="2F5B8CA0" w:rsidR="00F00E3D" w:rsidRPr="008B410A" w:rsidRDefault="00F00E3D" w:rsidP="00D27549">
      <w:pPr>
        <w:spacing w:after="0" w:line="276" w:lineRule="auto"/>
        <w:rPr>
          <w:rFonts w:eastAsiaTheme="majorEastAsia" w:cstheme="minorHAnsi"/>
          <w:color w:val="000000" w:themeColor="text1"/>
          <w:sz w:val="23"/>
          <w:szCs w:val="23"/>
        </w:rPr>
      </w:pPr>
      <w:r w:rsidRPr="008B410A">
        <w:rPr>
          <w:rFonts w:eastAsiaTheme="majorEastAsia" w:cstheme="minorHAnsi"/>
          <w:b/>
          <w:sz w:val="23"/>
          <w:szCs w:val="23"/>
        </w:rPr>
        <w:t>Education</w:t>
      </w:r>
    </w:p>
    <w:p w14:paraId="63A05665" w14:textId="58CBA52E" w:rsidR="00F00E3D" w:rsidRPr="00E91887" w:rsidRDefault="00F00E3D" w:rsidP="006F7BCE">
      <w:pPr>
        <w:pStyle w:val="ListParagraph"/>
        <w:numPr>
          <w:ilvl w:val="0"/>
          <w:numId w:val="5"/>
        </w:numPr>
        <w:spacing w:after="0" w:line="276" w:lineRule="auto"/>
        <w:rPr>
          <w:rFonts w:asciiTheme="majorHAnsi" w:eastAsiaTheme="majorEastAsia" w:hAnsiTheme="majorHAnsi" w:cstheme="majorBidi"/>
          <w:color w:val="000000" w:themeColor="text1"/>
          <w:sz w:val="23"/>
          <w:szCs w:val="23"/>
        </w:rPr>
      </w:pPr>
      <w:r w:rsidRPr="00E91887">
        <w:rPr>
          <w:rFonts w:asciiTheme="majorHAnsi" w:eastAsiaTheme="majorEastAsia" w:hAnsiTheme="majorHAnsi" w:cstheme="majorBidi"/>
          <w:sz w:val="23"/>
          <w:szCs w:val="23"/>
        </w:rPr>
        <w:t xml:space="preserve">Grow digital </w:t>
      </w:r>
      <w:r w:rsidRPr="42078E23">
        <w:rPr>
          <w:rFonts w:asciiTheme="majorHAnsi" w:eastAsiaTheme="majorEastAsia" w:hAnsiTheme="majorHAnsi" w:cstheme="majorBidi"/>
          <w:sz w:val="23"/>
          <w:szCs w:val="23"/>
        </w:rPr>
        <w:t>inclusion</w:t>
      </w:r>
      <w:r w:rsidRPr="00E91887">
        <w:rPr>
          <w:rFonts w:asciiTheme="majorHAnsi" w:eastAsiaTheme="majorEastAsia" w:hAnsiTheme="majorHAnsi" w:cstheme="majorBidi"/>
          <w:sz w:val="23"/>
          <w:szCs w:val="23"/>
        </w:rPr>
        <w:t xml:space="preserve"> in areas </w:t>
      </w:r>
      <w:r>
        <w:rPr>
          <w:rFonts w:asciiTheme="majorHAnsi" w:eastAsiaTheme="majorEastAsia" w:hAnsiTheme="majorHAnsi" w:cstheme="majorBidi"/>
          <w:sz w:val="23"/>
          <w:szCs w:val="23"/>
        </w:rPr>
        <w:t>with</w:t>
      </w:r>
      <w:r w:rsidRPr="00E91887">
        <w:rPr>
          <w:rFonts w:asciiTheme="majorHAnsi" w:eastAsiaTheme="majorEastAsia" w:hAnsiTheme="majorHAnsi" w:cstheme="majorBidi"/>
          <w:sz w:val="23"/>
          <w:szCs w:val="23"/>
        </w:rPr>
        <w:t xml:space="preserve"> limited skills</w:t>
      </w:r>
      <w:r w:rsidRPr="42078E23">
        <w:rPr>
          <w:rFonts w:asciiTheme="majorHAnsi" w:eastAsiaTheme="majorEastAsia" w:hAnsiTheme="majorHAnsi" w:cstheme="majorBidi"/>
          <w:sz w:val="23"/>
          <w:szCs w:val="23"/>
        </w:rPr>
        <w:t>, affordability challenges</w:t>
      </w:r>
      <w:r w:rsidR="00D12930">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w:t>
      </w:r>
      <w:r>
        <w:rPr>
          <w:rFonts w:asciiTheme="majorHAnsi" w:eastAsiaTheme="majorEastAsia" w:hAnsiTheme="majorHAnsi" w:cstheme="majorBidi"/>
          <w:sz w:val="23"/>
          <w:szCs w:val="23"/>
        </w:rPr>
        <w:t xml:space="preserve">and </w:t>
      </w:r>
      <w:r w:rsidRPr="00E91887">
        <w:rPr>
          <w:rFonts w:asciiTheme="majorHAnsi" w:eastAsiaTheme="majorEastAsia" w:hAnsiTheme="majorHAnsi" w:cstheme="majorBidi"/>
          <w:sz w:val="23"/>
          <w:szCs w:val="23"/>
        </w:rPr>
        <w:t xml:space="preserve">poor access to computers and </w:t>
      </w:r>
      <w:r>
        <w:rPr>
          <w:rFonts w:asciiTheme="majorHAnsi" w:eastAsiaTheme="majorEastAsia" w:hAnsiTheme="majorHAnsi" w:cstheme="majorBidi"/>
          <w:sz w:val="23"/>
          <w:szCs w:val="23"/>
        </w:rPr>
        <w:t>the internet</w:t>
      </w:r>
      <w:r w:rsidRPr="00E91887">
        <w:rPr>
          <w:rFonts w:asciiTheme="majorHAnsi" w:eastAsiaTheme="majorEastAsia" w:hAnsiTheme="majorHAnsi" w:cstheme="majorBidi"/>
          <w:sz w:val="23"/>
          <w:szCs w:val="23"/>
        </w:rPr>
        <w:t xml:space="preserve">. </w:t>
      </w:r>
    </w:p>
    <w:p w14:paraId="65A01799" w14:textId="5C0427B2" w:rsidR="002E4C92" w:rsidRPr="002E4C92" w:rsidRDefault="00F00E3D" w:rsidP="006F7BCE">
      <w:pPr>
        <w:pStyle w:val="ListParagraph"/>
        <w:numPr>
          <w:ilvl w:val="0"/>
          <w:numId w:val="5"/>
        </w:numPr>
        <w:spacing w:after="0" w:line="276" w:lineRule="auto"/>
        <w:rPr>
          <w:rFonts w:asciiTheme="majorHAnsi" w:eastAsiaTheme="majorEastAsia" w:hAnsiTheme="majorHAnsi" w:cstheme="majorBidi"/>
          <w:color w:val="000000" w:themeColor="text1"/>
          <w:sz w:val="23"/>
          <w:szCs w:val="23"/>
        </w:rPr>
      </w:pPr>
      <w:r w:rsidRPr="008F0556">
        <w:rPr>
          <w:rFonts w:asciiTheme="majorHAnsi" w:eastAsiaTheme="majorEastAsia" w:hAnsiTheme="majorHAnsi" w:cstheme="majorBidi"/>
          <w:iCs/>
          <w:sz w:val="23"/>
          <w:szCs w:val="23"/>
        </w:rPr>
        <w:t>P</w:t>
      </w:r>
      <w:r w:rsidRPr="00E91887">
        <w:rPr>
          <w:rFonts w:asciiTheme="majorHAnsi" w:eastAsiaTheme="majorEastAsia" w:hAnsiTheme="majorHAnsi" w:cstheme="majorBidi"/>
          <w:sz w:val="23"/>
          <w:szCs w:val="23"/>
        </w:rPr>
        <w:t>rovide transport and culturally appropriate services for</w:t>
      </w:r>
      <w:r>
        <w:rPr>
          <w:rFonts w:asciiTheme="majorHAnsi" w:eastAsiaTheme="majorEastAsia" w:hAnsiTheme="majorHAnsi" w:cstheme="majorBidi"/>
          <w:sz w:val="23"/>
          <w:szCs w:val="23"/>
        </w:rPr>
        <w:t xml:space="preserve"> </w:t>
      </w:r>
      <w:r w:rsidRPr="00E91887">
        <w:rPr>
          <w:rFonts w:asciiTheme="majorHAnsi" w:eastAsiaTheme="majorEastAsia" w:hAnsiTheme="majorHAnsi" w:cstheme="majorBidi"/>
          <w:sz w:val="23"/>
          <w:szCs w:val="23"/>
        </w:rPr>
        <w:t xml:space="preserve">early education </w:t>
      </w:r>
      <w:r>
        <w:rPr>
          <w:rFonts w:asciiTheme="majorHAnsi" w:eastAsiaTheme="majorEastAsia" w:hAnsiTheme="majorHAnsi" w:cstheme="majorBidi"/>
          <w:sz w:val="23"/>
          <w:szCs w:val="23"/>
        </w:rPr>
        <w:t>of Aboriginal children</w:t>
      </w:r>
      <w:r w:rsidRPr="00E91887">
        <w:rPr>
          <w:rFonts w:asciiTheme="majorHAnsi" w:eastAsiaTheme="majorEastAsia" w:hAnsiTheme="majorHAnsi" w:cstheme="majorBidi"/>
          <w:sz w:val="23"/>
          <w:szCs w:val="23"/>
        </w:rPr>
        <w:t>.</w:t>
      </w:r>
    </w:p>
    <w:p w14:paraId="191F43D3" w14:textId="4A4574D6" w:rsidR="00F00E3D" w:rsidRPr="00B064CD" w:rsidRDefault="00F00E3D" w:rsidP="00D27549">
      <w:pPr>
        <w:spacing w:after="0" w:line="276" w:lineRule="auto"/>
        <w:rPr>
          <w:rFonts w:asciiTheme="majorHAnsi" w:eastAsiaTheme="majorEastAsia" w:hAnsiTheme="majorHAnsi" w:cstheme="majorBidi"/>
          <w:color w:val="000000" w:themeColor="text1"/>
          <w:sz w:val="12"/>
          <w:szCs w:val="12"/>
        </w:rPr>
      </w:pPr>
      <w:r w:rsidRPr="002E4C92">
        <w:rPr>
          <w:rFonts w:asciiTheme="majorHAnsi" w:eastAsiaTheme="majorEastAsia" w:hAnsiTheme="majorHAnsi" w:cstheme="majorBidi"/>
          <w:sz w:val="23"/>
          <w:szCs w:val="23"/>
        </w:rPr>
        <w:t xml:space="preserve"> </w:t>
      </w:r>
    </w:p>
    <w:p w14:paraId="5F79B50A" w14:textId="2A9DB8AA" w:rsidR="00F00E3D" w:rsidRPr="008B410A" w:rsidRDefault="00F00E3D" w:rsidP="00D27549">
      <w:pPr>
        <w:spacing w:after="0" w:line="276" w:lineRule="auto"/>
        <w:rPr>
          <w:rFonts w:cstheme="minorHAnsi"/>
          <w:sz w:val="23"/>
          <w:szCs w:val="23"/>
        </w:rPr>
      </w:pPr>
      <w:r w:rsidRPr="008B410A">
        <w:rPr>
          <w:rFonts w:eastAsia="Times New Roman" w:cstheme="minorHAnsi"/>
          <w:b/>
          <w:bCs/>
          <w:sz w:val="23"/>
          <w:szCs w:val="23"/>
        </w:rPr>
        <w:lastRenderedPageBreak/>
        <w:t>Employment</w:t>
      </w:r>
    </w:p>
    <w:p w14:paraId="5B233419" w14:textId="44A0683C" w:rsidR="00F00E3D" w:rsidRPr="00E91887" w:rsidRDefault="00F00E3D" w:rsidP="00364C5D">
      <w:pPr>
        <w:pStyle w:val="ListParagraph"/>
        <w:numPr>
          <w:ilvl w:val="0"/>
          <w:numId w:val="55"/>
        </w:numPr>
        <w:spacing w:after="0" w:line="276" w:lineRule="auto"/>
        <w:rPr>
          <w:rFonts w:asciiTheme="majorHAnsi" w:eastAsiaTheme="majorEastAsia" w:hAnsiTheme="majorHAnsi" w:cstheme="majorBidi"/>
          <w:color w:val="000000" w:themeColor="text1"/>
          <w:sz w:val="23"/>
          <w:szCs w:val="23"/>
        </w:rPr>
      </w:pPr>
      <w:r w:rsidRPr="00E91887">
        <w:rPr>
          <w:rFonts w:asciiTheme="majorHAnsi" w:eastAsiaTheme="majorEastAsia" w:hAnsiTheme="majorHAnsi" w:cstheme="majorBidi"/>
          <w:sz w:val="23"/>
          <w:szCs w:val="23"/>
        </w:rPr>
        <w:t xml:space="preserve">Revitalisation of industrial precincts and </w:t>
      </w:r>
      <w:r w:rsidRPr="72EF3811">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executing strategies for economic growth</w:t>
      </w:r>
      <w:r w:rsidRPr="72EF3811">
        <w:rPr>
          <w:rFonts w:asciiTheme="majorHAnsi" w:eastAsiaTheme="majorEastAsia" w:hAnsiTheme="majorHAnsi" w:cstheme="majorBidi"/>
          <w:sz w:val="23"/>
          <w:szCs w:val="23"/>
        </w:rPr>
        <w:t xml:space="preserve"> in the region’s north” </w:t>
      </w:r>
      <w:r w:rsidR="00D12930">
        <w:rPr>
          <w:rFonts w:asciiTheme="majorHAnsi" w:eastAsiaTheme="majorEastAsia" w:hAnsiTheme="majorHAnsi" w:cstheme="majorBidi"/>
          <w:sz w:val="23"/>
          <w:szCs w:val="23"/>
        </w:rPr>
        <w:t>(</w:t>
      </w:r>
      <w:r w:rsidRPr="72EF3811">
        <w:rPr>
          <w:rFonts w:asciiTheme="majorHAnsi" w:eastAsiaTheme="majorEastAsia" w:hAnsiTheme="majorHAnsi" w:cstheme="majorBidi"/>
          <w:sz w:val="23"/>
          <w:szCs w:val="23"/>
        </w:rPr>
        <w:t xml:space="preserve">no actions </w:t>
      </w:r>
      <w:r w:rsidR="00D12930">
        <w:rPr>
          <w:rFonts w:asciiTheme="majorHAnsi" w:eastAsiaTheme="majorEastAsia" w:hAnsiTheme="majorHAnsi" w:cstheme="majorBidi"/>
          <w:sz w:val="23"/>
          <w:szCs w:val="23"/>
        </w:rPr>
        <w:t xml:space="preserve">were </w:t>
      </w:r>
      <w:r w:rsidRPr="72EF3811">
        <w:rPr>
          <w:rFonts w:asciiTheme="majorHAnsi" w:eastAsiaTheme="majorEastAsia" w:hAnsiTheme="majorHAnsi" w:cstheme="majorBidi"/>
          <w:sz w:val="23"/>
          <w:szCs w:val="23"/>
        </w:rPr>
        <w:t>specified</w:t>
      </w:r>
      <w:r w:rsidR="00D12930">
        <w:rPr>
          <w:rFonts w:asciiTheme="majorHAnsi" w:eastAsiaTheme="majorEastAsia" w:hAnsiTheme="majorHAnsi" w:cstheme="majorBidi"/>
          <w:sz w:val="23"/>
          <w:szCs w:val="23"/>
        </w:rPr>
        <w:t>)</w:t>
      </w:r>
      <w:r>
        <w:rPr>
          <w:rFonts w:asciiTheme="majorHAnsi" w:eastAsiaTheme="majorEastAsia" w:hAnsiTheme="majorHAnsi" w:cstheme="majorBidi"/>
          <w:sz w:val="23"/>
          <w:szCs w:val="23"/>
        </w:rPr>
        <w:t>.</w:t>
      </w:r>
    </w:p>
    <w:p w14:paraId="70927966" w14:textId="77777777" w:rsidR="00F00E3D" w:rsidRPr="00E91887" w:rsidRDefault="00F00E3D" w:rsidP="00364C5D">
      <w:pPr>
        <w:pStyle w:val="ListParagraph"/>
        <w:numPr>
          <w:ilvl w:val="0"/>
          <w:numId w:val="55"/>
        </w:numPr>
        <w:spacing w:after="0" w:line="276" w:lineRule="auto"/>
        <w:rPr>
          <w:rFonts w:eastAsiaTheme="minorEastAsia"/>
          <w:color w:val="000000" w:themeColor="text1"/>
          <w:sz w:val="23"/>
          <w:szCs w:val="23"/>
        </w:rPr>
      </w:pPr>
      <w:r w:rsidRPr="00E91887">
        <w:rPr>
          <w:rFonts w:asciiTheme="majorHAnsi" w:eastAsiaTheme="majorEastAsia" w:hAnsiTheme="majorHAnsi" w:cstheme="majorBidi"/>
          <w:sz w:val="23"/>
          <w:szCs w:val="23"/>
        </w:rPr>
        <w:t>RISE and GROW can usefully be extended</w:t>
      </w:r>
      <w:r>
        <w:rPr>
          <w:rFonts w:asciiTheme="majorHAnsi" w:eastAsiaTheme="majorEastAsia" w:hAnsiTheme="majorHAnsi" w:cstheme="majorBidi"/>
          <w:sz w:val="23"/>
          <w:szCs w:val="23"/>
        </w:rPr>
        <w:t>.</w:t>
      </w:r>
    </w:p>
    <w:p w14:paraId="3E48217C" w14:textId="77777777" w:rsidR="00F00E3D" w:rsidRPr="00E91887" w:rsidRDefault="00F00E3D" w:rsidP="00364C5D">
      <w:pPr>
        <w:pStyle w:val="ListParagraph"/>
        <w:numPr>
          <w:ilvl w:val="0"/>
          <w:numId w:val="55"/>
        </w:numPr>
        <w:spacing w:after="0" w:line="276" w:lineRule="auto"/>
        <w:rPr>
          <w:rFonts w:asciiTheme="majorHAnsi" w:eastAsiaTheme="majorEastAsia" w:hAnsiTheme="majorHAnsi" w:cstheme="majorBidi"/>
          <w:sz w:val="23"/>
          <w:szCs w:val="23"/>
        </w:rPr>
      </w:pPr>
      <w:r w:rsidRPr="00E91887">
        <w:rPr>
          <w:rFonts w:asciiTheme="majorHAnsi" w:eastAsiaTheme="majorEastAsia" w:hAnsiTheme="majorHAnsi" w:cstheme="majorBidi"/>
          <w:sz w:val="23"/>
          <w:szCs w:val="23"/>
        </w:rPr>
        <w:t>Specific support for Aboriginal people</w:t>
      </w:r>
      <w:r>
        <w:rPr>
          <w:rFonts w:asciiTheme="majorHAnsi" w:eastAsiaTheme="majorEastAsia" w:hAnsiTheme="majorHAnsi" w:cstheme="majorBidi"/>
          <w:sz w:val="23"/>
          <w:szCs w:val="23"/>
        </w:rPr>
        <w:t>.</w:t>
      </w:r>
    </w:p>
    <w:p w14:paraId="4B7A8207" w14:textId="77777777" w:rsidR="002E4C92" w:rsidRPr="00B064CD" w:rsidRDefault="002E4C92" w:rsidP="00D27549">
      <w:pPr>
        <w:spacing w:after="0" w:line="276" w:lineRule="auto"/>
        <w:rPr>
          <w:rFonts w:asciiTheme="majorHAnsi" w:eastAsiaTheme="majorEastAsia" w:hAnsiTheme="majorHAnsi" w:cstheme="majorBidi"/>
          <w:b/>
          <w:sz w:val="12"/>
          <w:szCs w:val="12"/>
        </w:rPr>
      </w:pPr>
    </w:p>
    <w:p w14:paraId="70396D62" w14:textId="7FC22B98" w:rsidR="00F00E3D" w:rsidRPr="008B410A" w:rsidRDefault="00F00E3D" w:rsidP="00D27549">
      <w:pPr>
        <w:spacing w:after="0" w:line="276" w:lineRule="auto"/>
        <w:rPr>
          <w:rFonts w:eastAsiaTheme="majorEastAsia" w:cstheme="minorHAnsi"/>
          <w:b/>
          <w:sz w:val="23"/>
          <w:szCs w:val="23"/>
        </w:rPr>
      </w:pPr>
      <w:r w:rsidRPr="008B410A">
        <w:rPr>
          <w:rFonts w:eastAsiaTheme="majorEastAsia" w:cstheme="minorHAnsi"/>
          <w:b/>
          <w:sz w:val="23"/>
          <w:szCs w:val="23"/>
        </w:rPr>
        <w:t xml:space="preserve">Health </w:t>
      </w:r>
      <w:r w:rsidRPr="008B410A">
        <w:rPr>
          <w:rFonts w:eastAsiaTheme="majorEastAsia" w:cstheme="minorHAnsi"/>
          <w:b/>
          <w:bCs/>
          <w:sz w:val="23"/>
          <w:szCs w:val="23"/>
        </w:rPr>
        <w:t>and</w:t>
      </w:r>
      <w:r w:rsidRPr="008B410A">
        <w:rPr>
          <w:rFonts w:eastAsiaTheme="majorEastAsia" w:cstheme="minorHAnsi"/>
          <w:b/>
          <w:sz w:val="23"/>
          <w:szCs w:val="23"/>
        </w:rPr>
        <w:t xml:space="preserve"> Wellbeing</w:t>
      </w:r>
    </w:p>
    <w:p w14:paraId="6626328C" w14:textId="31582FC6" w:rsidR="00F00E3D" w:rsidRPr="00E91887" w:rsidRDefault="00F00E3D" w:rsidP="00364C5D">
      <w:pPr>
        <w:pStyle w:val="ListParagraph"/>
        <w:numPr>
          <w:ilvl w:val="0"/>
          <w:numId w:val="40"/>
        </w:numPr>
        <w:spacing w:after="0" w:line="276" w:lineRule="auto"/>
        <w:rPr>
          <w:rFonts w:asciiTheme="majorHAnsi" w:eastAsiaTheme="majorEastAsia" w:hAnsiTheme="majorHAnsi" w:cstheme="majorBidi"/>
          <w:sz w:val="23"/>
          <w:szCs w:val="23"/>
        </w:rPr>
      </w:pPr>
      <w:r w:rsidRPr="00E91887">
        <w:rPr>
          <w:rFonts w:asciiTheme="majorHAnsi" w:eastAsiaTheme="majorEastAsia" w:hAnsiTheme="majorHAnsi" w:cstheme="majorBidi"/>
          <w:sz w:val="23"/>
          <w:szCs w:val="23"/>
        </w:rPr>
        <w:t xml:space="preserve">Full development of the </w:t>
      </w:r>
      <w:r w:rsidR="00C060B7" w:rsidRPr="0005244D">
        <w:rPr>
          <w:rFonts w:asciiTheme="majorHAnsi" w:eastAsia="Calibri Light" w:hAnsiTheme="majorHAnsi" w:cstheme="majorHAnsi"/>
          <w:sz w:val="21"/>
          <w:szCs w:val="21"/>
        </w:rPr>
        <w:t xml:space="preserve">Northern Aquatic </w:t>
      </w:r>
      <w:r w:rsidR="00C060B7">
        <w:rPr>
          <w:rFonts w:asciiTheme="majorHAnsi" w:eastAsia="Calibri Light" w:hAnsiTheme="majorHAnsi" w:cstheme="majorHAnsi"/>
          <w:sz w:val="21"/>
          <w:szCs w:val="21"/>
        </w:rPr>
        <w:t xml:space="preserve">and </w:t>
      </w:r>
      <w:r w:rsidR="00C060B7" w:rsidRPr="0005244D">
        <w:rPr>
          <w:rFonts w:asciiTheme="majorHAnsi" w:eastAsia="Calibri Light" w:hAnsiTheme="majorHAnsi" w:cstheme="majorHAnsi"/>
          <w:sz w:val="21"/>
          <w:szCs w:val="21"/>
        </w:rPr>
        <w:t xml:space="preserve">Community </w:t>
      </w:r>
      <w:r w:rsidR="00C060B7">
        <w:rPr>
          <w:rFonts w:asciiTheme="majorHAnsi" w:eastAsia="Calibri Light" w:hAnsiTheme="majorHAnsi" w:cstheme="majorHAnsi"/>
          <w:sz w:val="21"/>
          <w:szCs w:val="21"/>
        </w:rPr>
        <w:t>Hub</w:t>
      </w:r>
      <w:r w:rsidR="00C060B7">
        <w:rPr>
          <w:rFonts w:asciiTheme="majorHAnsi" w:hAnsiTheme="majorHAnsi" w:cstheme="majorHAnsi"/>
          <w:sz w:val="23"/>
          <w:szCs w:val="23"/>
          <w:lang w:val="en-GB"/>
        </w:rPr>
        <w:t xml:space="preserve"> </w:t>
      </w:r>
      <w:r w:rsidR="00C5740D">
        <w:rPr>
          <w:rFonts w:asciiTheme="majorHAnsi" w:hAnsiTheme="majorHAnsi" w:cstheme="majorHAnsi"/>
          <w:sz w:val="23"/>
          <w:szCs w:val="23"/>
          <w:lang w:val="en-GB"/>
        </w:rPr>
        <w:t>(</w:t>
      </w:r>
      <w:r w:rsidR="00C5740D" w:rsidRPr="00FF6C06">
        <w:rPr>
          <w:rFonts w:asciiTheme="majorHAnsi" w:hAnsiTheme="majorHAnsi" w:cstheme="majorHAnsi"/>
          <w:sz w:val="23"/>
          <w:szCs w:val="23"/>
          <w:lang w:val="en-GB"/>
        </w:rPr>
        <w:t>NACH</w:t>
      </w:r>
      <w:r w:rsidR="00C5740D">
        <w:rPr>
          <w:rFonts w:asciiTheme="majorHAnsi" w:hAnsiTheme="majorHAnsi" w:cstheme="majorHAnsi"/>
          <w:sz w:val="23"/>
          <w:szCs w:val="23"/>
          <w:lang w:val="en-GB"/>
        </w:rPr>
        <w:t>)</w:t>
      </w:r>
      <w:r w:rsidRPr="00E91887">
        <w:rPr>
          <w:rFonts w:asciiTheme="majorHAnsi" w:eastAsiaTheme="majorEastAsia" w:hAnsiTheme="majorHAnsi" w:cstheme="majorBidi"/>
          <w:sz w:val="23"/>
          <w:szCs w:val="23"/>
        </w:rPr>
        <w:t>, Norlane</w:t>
      </w:r>
      <w:r>
        <w:rPr>
          <w:rFonts w:asciiTheme="majorHAnsi" w:eastAsiaTheme="majorEastAsia" w:hAnsiTheme="majorHAnsi" w:cstheme="majorBidi"/>
          <w:sz w:val="23"/>
          <w:szCs w:val="23"/>
        </w:rPr>
        <w:t>.</w:t>
      </w:r>
    </w:p>
    <w:p w14:paraId="626E1F11" w14:textId="2333A471" w:rsidR="00F00E3D" w:rsidRPr="002E4C92" w:rsidRDefault="00F00E3D" w:rsidP="00364C5D">
      <w:pPr>
        <w:pStyle w:val="ListParagraph"/>
        <w:numPr>
          <w:ilvl w:val="0"/>
          <w:numId w:val="40"/>
        </w:numPr>
        <w:spacing w:after="0" w:line="276" w:lineRule="auto"/>
        <w:rPr>
          <w:rFonts w:asciiTheme="majorHAnsi" w:eastAsiaTheme="majorEastAsia" w:hAnsiTheme="majorHAnsi" w:cstheme="majorBidi"/>
          <w:color w:val="000000" w:themeColor="text1"/>
          <w:sz w:val="23"/>
          <w:szCs w:val="23"/>
        </w:rPr>
      </w:pPr>
      <w:r w:rsidRPr="00E91887">
        <w:rPr>
          <w:rFonts w:asciiTheme="majorHAnsi" w:eastAsiaTheme="majorEastAsia" w:hAnsiTheme="majorHAnsi" w:cstheme="majorBidi"/>
          <w:sz w:val="23"/>
          <w:szCs w:val="23"/>
        </w:rPr>
        <w:t xml:space="preserve">Further action to </w:t>
      </w:r>
      <w:r w:rsidR="00C5740D">
        <w:rPr>
          <w:rFonts w:asciiTheme="majorHAnsi" w:eastAsiaTheme="majorEastAsia" w:hAnsiTheme="majorHAnsi" w:cstheme="majorBidi"/>
          <w:sz w:val="23"/>
          <w:szCs w:val="23"/>
        </w:rPr>
        <w:t>improve</w:t>
      </w:r>
      <w:r w:rsidRPr="00E91887">
        <w:rPr>
          <w:rFonts w:asciiTheme="majorHAnsi" w:eastAsiaTheme="majorEastAsia" w:hAnsiTheme="majorHAnsi" w:cstheme="majorBidi"/>
          <w:sz w:val="23"/>
          <w:szCs w:val="23"/>
        </w:rPr>
        <w:t xml:space="preserve"> food security</w:t>
      </w:r>
      <w:r>
        <w:rPr>
          <w:rFonts w:asciiTheme="majorHAnsi" w:eastAsiaTheme="majorEastAsia" w:hAnsiTheme="majorHAnsi" w:cstheme="majorBidi"/>
          <w:sz w:val="23"/>
          <w:szCs w:val="23"/>
        </w:rPr>
        <w:t>.</w:t>
      </w:r>
    </w:p>
    <w:p w14:paraId="1F3FC659" w14:textId="77777777" w:rsidR="002E4C92" w:rsidRPr="00B064CD" w:rsidRDefault="002E4C92" w:rsidP="00D27549">
      <w:pPr>
        <w:spacing w:after="0" w:line="276" w:lineRule="auto"/>
        <w:rPr>
          <w:rFonts w:asciiTheme="majorHAnsi" w:eastAsiaTheme="majorEastAsia" w:hAnsiTheme="majorHAnsi" w:cstheme="majorBidi"/>
          <w:color w:val="000000" w:themeColor="text1"/>
          <w:sz w:val="12"/>
          <w:szCs w:val="12"/>
        </w:rPr>
      </w:pPr>
    </w:p>
    <w:p w14:paraId="35AAB2D5" w14:textId="570F5E41" w:rsidR="00F00E3D" w:rsidRPr="00881210" w:rsidRDefault="00F00E3D" w:rsidP="00D27549">
      <w:pPr>
        <w:spacing w:after="0" w:line="276" w:lineRule="auto"/>
        <w:rPr>
          <w:rFonts w:eastAsiaTheme="majorEastAsia" w:cstheme="minorHAnsi"/>
          <w:color w:val="000000" w:themeColor="text1"/>
          <w:sz w:val="23"/>
          <w:szCs w:val="23"/>
        </w:rPr>
      </w:pPr>
      <w:r w:rsidRPr="00881210">
        <w:rPr>
          <w:rFonts w:eastAsiaTheme="majorEastAsia" w:cstheme="minorHAnsi"/>
          <w:b/>
          <w:sz w:val="23"/>
          <w:szCs w:val="23"/>
        </w:rPr>
        <w:t>Housing</w:t>
      </w:r>
    </w:p>
    <w:p w14:paraId="709B5F2E" w14:textId="6C4842C8" w:rsidR="00F00E3D" w:rsidRPr="001A3B9D" w:rsidRDefault="00F00E3D" w:rsidP="00364C5D">
      <w:pPr>
        <w:pStyle w:val="ListParagraph"/>
        <w:numPr>
          <w:ilvl w:val="0"/>
          <w:numId w:val="40"/>
        </w:numPr>
        <w:spacing w:after="0" w:line="276" w:lineRule="auto"/>
        <w:rPr>
          <w:rFonts w:asciiTheme="majorHAnsi" w:eastAsiaTheme="majorEastAsia" w:hAnsiTheme="majorHAnsi" w:cstheme="majorBidi"/>
          <w:b/>
          <w:bCs/>
          <w:sz w:val="23"/>
          <w:szCs w:val="23"/>
        </w:rPr>
      </w:pPr>
      <w:r w:rsidRPr="001A3B9D">
        <w:rPr>
          <w:rFonts w:asciiTheme="majorHAnsi" w:eastAsiaTheme="majorEastAsia" w:hAnsiTheme="majorHAnsi" w:cstheme="majorBidi"/>
          <w:sz w:val="23"/>
          <w:szCs w:val="23"/>
        </w:rPr>
        <w:t>Council to contribute to continued urban revitalisation in partnership with State Government.</w:t>
      </w:r>
    </w:p>
    <w:p w14:paraId="2B36EC44" w14:textId="3243DAAF" w:rsidR="00AD1AF1" w:rsidRPr="001A3B9D" w:rsidRDefault="00AD1AF1" w:rsidP="00364C5D">
      <w:pPr>
        <w:pStyle w:val="ListParagraph"/>
        <w:numPr>
          <w:ilvl w:val="0"/>
          <w:numId w:val="40"/>
        </w:numPr>
        <w:spacing w:after="0" w:line="276" w:lineRule="auto"/>
        <w:rPr>
          <w:rFonts w:asciiTheme="majorHAnsi" w:eastAsiaTheme="majorEastAsia" w:hAnsiTheme="majorHAnsi" w:cstheme="majorBidi"/>
          <w:b/>
          <w:bCs/>
          <w:sz w:val="23"/>
          <w:szCs w:val="23"/>
        </w:rPr>
      </w:pPr>
      <w:r w:rsidRPr="001A3B9D">
        <w:rPr>
          <w:rFonts w:asciiTheme="majorHAnsi" w:eastAsiaTheme="majorEastAsia" w:hAnsiTheme="majorHAnsi" w:cstheme="majorBidi"/>
          <w:sz w:val="23"/>
          <w:szCs w:val="23"/>
        </w:rPr>
        <w:t>Increase local supply of affordable housing in partnership with State Government.</w:t>
      </w:r>
    </w:p>
    <w:p w14:paraId="139F64B2" w14:textId="77777777" w:rsidR="00F00E3D" w:rsidRPr="008A7911" w:rsidRDefault="00F00E3D" w:rsidP="00364C5D">
      <w:pPr>
        <w:pStyle w:val="ListParagraph"/>
        <w:numPr>
          <w:ilvl w:val="0"/>
          <w:numId w:val="40"/>
        </w:numPr>
        <w:spacing w:after="0" w:line="276" w:lineRule="auto"/>
        <w:rPr>
          <w:b/>
          <w:bCs/>
          <w:color w:val="000000" w:themeColor="text1"/>
          <w:sz w:val="23"/>
          <w:szCs w:val="23"/>
        </w:rPr>
      </w:pPr>
      <w:r w:rsidRPr="00E91887">
        <w:rPr>
          <w:rFonts w:asciiTheme="majorHAnsi" w:eastAsiaTheme="majorEastAsia" w:hAnsiTheme="majorHAnsi" w:cstheme="majorBidi"/>
          <w:sz w:val="23"/>
          <w:szCs w:val="23"/>
        </w:rPr>
        <w:t>Improve streetscapes and neighbourhood character through a “greening</w:t>
      </w:r>
      <w:r w:rsidRPr="502830E4">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approach</w:t>
      </w:r>
      <w:r w:rsidRPr="502830E4">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w:t>
      </w:r>
    </w:p>
    <w:p w14:paraId="7FC9DD8E" w14:textId="77777777" w:rsidR="002E4C92" w:rsidRPr="00B064CD" w:rsidRDefault="002E4C92" w:rsidP="00D27549">
      <w:pPr>
        <w:spacing w:after="0" w:line="276" w:lineRule="auto"/>
        <w:rPr>
          <w:rFonts w:asciiTheme="majorHAnsi" w:eastAsiaTheme="majorEastAsia" w:hAnsiTheme="majorHAnsi" w:cstheme="majorBidi"/>
          <w:b/>
          <w:sz w:val="12"/>
          <w:szCs w:val="12"/>
        </w:rPr>
      </w:pPr>
    </w:p>
    <w:p w14:paraId="64E6B33D" w14:textId="039FBD28" w:rsidR="00F00E3D" w:rsidRPr="00881210" w:rsidRDefault="00F00E3D" w:rsidP="00D27549">
      <w:pPr>
        <w:spacing w:after="0" w:line="276" w:lineRule="auto"/>
        <w:rPr>
          <w:rFonts w:eastAsiaTheme="majorEastAsia" w:cstheme="minorHAnsi"/>
          <w:color w:val="000000" w:themeColor="text1"/>
          <w:sz w:val="23"/>
          <w:szCs w:val="23"/>
        </w:rPr>
      </w:pPr>
      <w:r w:rsidRPr="00881210">
        <w:rPr>
          <w:rFonts w:eastAsiaTheme="majorEastAsia" w:cstheme="minorHAnsi"/>
          <w:b/>
          <w:sz w:val="23"/>
          <w:szCs w:val="23"/>
        </w:rPr>
        <w:t>Liveability</w:t>
      </w:r>
    </w:p>
    <w:p w14:paraId="01771C4E" w14:textId="77777777" w:rsidR="00F00E3D" w:rsidRDefault="00F00E3D" w:rsidP="00364C5D">
      <w:pPr>
        <w:pStyle w:val="ListParagraph"/>
        <w:numPr>
          <w:ilvl w:val="0"/>
          <w:numId w:val="26"/>
        </w:numPr>
        <w:spacing w:after="0" w:line="276" w:lineRule="auto"/>
        <w:rPr>
          <w:rFonts w:asciiTheme="majorHAnsi" w:eastAsiaTheme="majorEastAsia" w:hAnsiTheme="majorHAnsi" w:cstheme="majorBidi"/>
          <w:sz w:val="23"/>
          <w:szCs w:val="23"/>
        </w:rPr>
      </w:pPr>
      <w:r>
        <w:rPr>
          <w:rFonts w:asciiTheme="majorHAnsi" w:eastAsiaTheme="majorEastAsia" w:hAnsiTheme="majorHAnsi" w:cstheme="majorBidi"/>
          <w:sz w:val="23"/>
          <w:szCs w:val="23"/>
        </w:rPr>
        <w:t>Prioritise p</w:t>
      </w:r>
      <w:r w:rsidRPr="008031C4">
        <w:rPr>
          <w:rFonts w:asciiTheme="majorHAnsi" w:eastAsiaTheme="majorEastAsia" w:hAnsiTheme="majorHAnsi" w:cstheme="majorBidi"/>
          <w:sz w:val="23"/>
          <w:szCs w:val="23"/>
        </w:rPr>
        <w:t>rovision of basic social infrastructure.</w:t>
      </w:r>
    </w:p>
    <w:p w14:paraId="51859A73" w14:textId="77777777" w:rsidR="00F00E3D" w:rsidRPr="00202E8D" w:rsidRDefault="00F00E3D" w:rsidP="00364C5D">
      <w:pPr>
        <w:pStyle w:val="ListParagraph"/>
        <w:numPr>
          <w:ilvl w:val="0"/>
          <w:numId w:val="26"/>
        </w:numPr>
        <w:spacing w:after="0" w:line="276" w:lineRule="auto"/>
        <w:rPr>
          <w:rFonts w:asciiTheme="majorHAnsi" w:eastAsiaTheme="majorEastAsia" w:hAnsiTheme="majorHAnsi" w:cstheme="majorBidi"/>
          <w:color w:val="000000" w:themeColor="text1"/>
          <w:sz w:val="23"/>
          <w:szCs w:val="23"/>
        </w:rPr>
      </w:pPr>
      <w:r w:rsidRPr="502830E4">
        <w:rPr>
          <w:rFonts w:asciiTheme="majorHAnsi" w:eastAsiaTheme="majorEastAsia" w:hAnsiTheme="majorHAnsi" w:cstheme="majorBidi"/>
          <w:sz w:val="23"/>
          <w:szCs w:val="23"/>
        </w:rPr>
        <w:t>Increase safety</w:t>
      </w:r>
      <w:r w:rsidRPr="00202E8D">
        <w:rPr>
          <w:rFonts w:asciiTheme="majorHAnsi" w:eastAsiaTheme="majorEastAsia" w:hAnsiTheme="majorHAnsi" w:cstheme="majorBidi"/>
          <w:sz w:val="23"/>
          <w:szCs w:val="23"/>
        </w:rPr>
        <w:t xml:space="preserve"> and </w:t>
      </w:r>
      <w:r w:rsidRPr="502830E4">
        <w:rPr>
          <w:rFonts w:asciiTheme="majorHAnsi" w:eastAsiaTheme="majorEastAsia" w:hAnsiTheme="majorHAnsi" w:cstheme="majorBidi"/>
          <w:sz w:val="23"/>
          <w:szCs w:val="23"/>
        </w:rPr>
        <w:t>prevent</w:t>
      </w:r>
      <w:r w:rsidRPr="00202E8D">
        <w:rPr>
          <w:rFonts w:asciiTheme="majorHAnsi" w:eastAsiaTheme="majorEastAsia" w:hAnsiTheme="majorHAnsi" w:cstheme="majorBidi"/>
          <w:sz w:val="23"/>
          <w:szCs w:val="23"/>
        </w:rPr>
        <w:t xml:space="preserve"> domestic violence</w:t>
      </w:r>
      <w:r>
        <w:rPr>
          <w:rFonts w:asciiTheme="majorHAnsi" w:eastAsiaTheme="majorEastAsia" w:hAnsiTheme="majorHAnsi" w:cstheme="majorBidi"/>
          <w:sz w:val="23"/>
          <w:szCs w:val="23"/>
        </w:rPr>
        <w:t>.</w:t>
      </w:r>
    </w:p>
    <w:p w14:paraId="0D831DE0" w14:textId="13609C85" w:rsidR="00F00E3D" w:rsidRPr="00202E8D" w:rsidRDefault="00F00E3D" w:rsidP="00364C5D">
      <w:pPr>
        <w:pStyle w:val="ListParagraph"/>
        <w:numPr>
          <w:ilvl w:val="0"/>
          <w:numId w:val="26"/>
        </w:numPr>
        <w:spacing w:after="0" w:line="276" w:lineRule="auto"/>
        <w:rPr>
          <w:rFonts w:asciiTheme="majorHAnsi" w:eastAsiaTheme="majorEastAsia" w:hAnsiTheme="majorHAnsi" w:cstheme="majorBidi"/>
          <w:color w:val="000000" w:themeColor="text1"/>
          <w:sz w:val="23"/>
          <w:szCs w:val="23"/>
        </w:rPr>
      </w:pPr>
      <w:r>
        <w:rPr>
          <w:rFonts w:asciiTheme="majorHAnsi" w:eastAsiaTheme="majorEastAsia" w:hAnsiTheme="majorHAnsi" w:cstheme="majorBidi"/>
          <w:sz w:val="23"/>
          <w:szCs w:val="23"/>
        </w:rPr>
        <w:t>G</w:t>
      </w:r>
      <w:r w:rsidRPr="00202E8D">
        <w:rPr>
          <w:rFonts w:asciiTheme="majorHAnsi" w:eastAsiaTheme="majorEastAsia" w:hAnsiTheme="majorHAnsi" w:cstheme="majorBidi"/>
          <w:sz w:val="23"/>
          <w:szCs w:val="23"/>
        </w:rPr>
        <w:t>row pride of place via community arts projects</w:t>
      </w:r>
      <w:r w:rsidR="00693AEC">
        <w:rPr>
          <w:rFonts w:asciiTheme="majorHAnsi" w:eastAsiaTheme="majorEastAsia" w:hAnsiTheme="majorHAnsi" w:cstheme="majorBidi"/>
          <w:sz w:val="23"/>
          <w:szCs w:val="23"/>
        </w:rPr>
        <w:t xml:space="preserve"> and events</w:t>
      </w:r>
      <w:r>
        <w:rPr>
          <w:rFonts w:asciiTheme="majorHAnsi" w:eastAsiaTheme="majorEastAsia" w:hAnsiTheme="majorHAnsi" w:cstheme="majorBidi"/>
          <w:sz w:val="23"/>
          <w:szCs w:val="23"/>
        </w:rPr>
        <w:t xml:space="preserve">, </w:t>
      </w:r>
      <w:r w:rsidRPr="00202E8D">
        <w:rPr>
          <w:rFonts w:asciiTheme="majorHAnsi" w:eastAsiaTheme="majorEastAsia" w:hAnsiTheme="majorHAnsi" w:cstheme="majorBidi"/>
          <w:sz w:val="23"/>
          <w:szCs w:val="23"/>
        </w:rPr>
        <w:t xml:space="preserve">greening </w:t>
      </w:r>
      <w:r w:rsidRPr="502830E4">
        <w:rPr>
          <w:rFonts w:asciiTheme="majorHAnsi" w:eastAsiaTheme="majorEastAsia" w:hAnsiTheme="majorHAnsi" w:cstheme="majorBidi"/>
          <w:sz w:val="23"/>
          <w:szCs w:val="23"/>
        </w:rPr>
        <w:t>neighbourhoods</w:t>
      </w:r>
      <w:r w:rsidR="00693AEC">
        <w:rPr>
          <w:rFonts w:asciiTheme="majorHAnsi" w:eastAsiaTheme="majorEastAsia" w:hAnsiTheme="majorHAnsi" w:cstheme="majorBidi"/>
          <w:sz w:val="23"/>
          <w:szCs w:val="23"/>
        </w:rPr>
        <w:t xml:space="preserve"> and improving public spaces</w:t>
      </w:r>
      <w:r>
        <w:rPr>
          <w:rFonts w:asciiTheme="majorHAnsi" w:eastAsiaTheme="majorEastAsia" w:hAnsiTheme="majorHAnsi" w:cstheme="majorBidi"/>
          <w:sz w:val="23"/>
          <w:szCs w:val="23"/>
        </w:rPr>
        <w:t xml:space="preserve">, and </w:t>
      </w:r>
      <w:r w:rsidRPr="00202E8D">
        <w:rPr>
          <w:rFonts w:asciiTheme="majorHAnsi" w:eastAsiaTheme="majorEastAsia" w:hAnsiTheme="majorHAnsi" w:cstheme="majorBidi"/>
          <w:sz w:val="23"/>
          <w:szCs w:val="23"/>
        </w:rPr>
        <w:t>shar</w:t>
      </w:r>
      <w:r>
        <w:rPr>
          <w:rFonts w:asciiTheme="majorHAnsi" w:eastAsiaTheme="majorEastAsia" w:hAnsiTheme="majorHAnsi" w:cstheme="majorBidi"/>
          <w:sz w:val="23"/>
          <w:szCs w:val="23"/>
        </w:rPr>
        <w:t>ing</w:t>
      </w:r>
      <w:r w:rsidRPr="00202E8D">
        <w:rPr>
          <w:rFonts w:asciiTheme="majorHAnsi" w:eastAsiaTheme="majorEastAsia" w:hAnsiTheme="majorHAnsi" w:cstheme="majorBidi"/>
          <w:sz w:val="23"/>
          <w:szCs w:val="23"/>
        </w:rPr>
        <w:t xml:space="preserve"> heritage through storytelling and </w:t>
      </w:r>
      <w:r w:rsidR="00E2384C">
        <w:rPr>
          <w:rFonts w:asciiTheme="majorHAnsi" w:eastAsiaTheme="majorEastAsia" w:hAnsiTheme="majorHAnsi" w:cstheme="majorBidi"/>
          <w:sz w:val="23"/>
          <w:szCs w:val="23"/>
        </w:rPr>
        <w:t xml:space="preserve">public </w:t>
      </w:r>
      <w:r w:rsidRPr="502830E4">
        <w:rPr>
          <w:rFonts w:asciiTheme="majorHAnsi" w:eastAsiaTheme="majorEastAsia" w:hAnsiTheme="majorHAnsi" w:cstheme="majorBidi"/>
          <w:sz w:val="23"/>
          <w:szCs w:val="23"/>
        </w:rPr>
        <w:t>artworks</w:t>
      </w:r>
      <w:r w:rsidRPr="00202E8D">
        <w:rPr>
          <w:rFonts w:asciiTheme="majorHAnsi" w:eastAsiaTheme="majorEastAsia" w:hAnsiTheme="majorHAnsi" w:cstheme="majorBidi"/>
          <w:sz w:val="23"/>
          <w:szCs w:val="23"/>
        </w:rPr>
        <w:t>.</w:t>
      </w:r>
    </w:p>
    <w:p w14:paraId="7A1DCF1F" w14:textId="77777777" w:rsidR="00F00E3D" w:rsidRPr="00636494" w:rsidRDefault="00F00E3D" w:rsidP="00D27549">
      <w:pPr>
        <w:pStyle w:val="Default"/>
        <w:spacing w:line="276" w:lineRule="auto"/>
        <w:rPr>
          <w:rFonts w:asciiTheme="majorHAnsi" w:hAnsiTheme="majorHAnsi" w:cstheme="majorHAnsi"/>
          <w:color w:val="auto"/>
          <w:sz w:val="16"/>
          <w:szCs w:val="16"/>
        </w:rPr>
      </w:pPr>
    </w:p>
    <w:p w14:paraId="649FD3AB" w14:textId="3EBD5B2A" w:rsidR="00F00E3D" w:rsidRPr="00276D2E" w:rsidRDefault="00F00E3D" w:rsidP="00D27549">
      <w:pPr>
        <w:pStyle w:val="Default"/>
        <w:spacing w:line="276" w:lineRule="auto"/>
        <w:rPr>
          <w:rFonts w:asciiTheme="minorHAnsi" w:hAnsiTheme="minorHAnsi" w:cstheme="minorBidi"/>
          <w:b/>
          <w:color w:val="2E74B5" w:themeColor="accent5" w:themeShade="BF"/>
          <w:sz w:val="25"/>
          <w:szCs w:val="25"/>
        </w:rPr>
      </w:pPr>
      <w:r w:rsidRPr="00276D2E">
        <w:rPr>
          <w:rFonts w:asciiTheme="minorHAnsi" w:hAnsiTheme="minorHAnsi" w:cstheme="minorBidi"/>
          <w:b/>
          <w:color w:val="2E74B5" w:themeColor="accent5" w:themeShade="BF"/>
          <w:sz w:val="25"/>
          <w:szCs w:val="25"/>
        </w:rPr>
        <w:t>5. What are the key issues to</w:t>
      </w:r>
      <w:r w:rsidR="00E35346" w:rsidRPr="00276D2E">
        <w:rPr>
          <w:rFonts w:asciiTheme="minorHAnsi" w:hAnsiTheme="minorHAnsi" w:cstheme="minorBidi"/>
          <w:b/>
          <w:color w:val="2E74B5" w:themeColor="accent5" w:themeShade="BF"/>
          <w:sz w:val="25"/>
          <w:szCs w:val="25"/>
        </w:rPr>
        <w:t xml:space="preserve"> be addressed</w:t>
      </w:r>
      <w:r w:rsidRPr="00276D2E">
        <w:rPr>
          <w:rFonts w:asciiTheme="minorHAnsi" w:hAnsiTheme="minorHAnsi" w:cstheme="minorBidi"/>
          <w:b/>
          <w:color w:val="2E74B5" w:themeColor="accent5" w:themeShade="BF"/>
          <w:sz w:val="25"/>
          <w:szCs w:val="25"/>
        </w:rPr>
        <w:t xml:space="preserve"> in a </w:t>
      </w:r>
      <w:r w:rsidR="008B410A" w:rsidRPr="00276D2E">
        <w:rPr>
          <w:rFonts w:asciiTheme="minorHAnsi" w:hAnsiTheme="minorHAnsi" w:cstheme="minorBidi"/>
          <w:b/>
          <w:color w:val="2E74B5" w:themeColor="accent5" w:themeShade="BF"/>
          <w:sz w:val="25"/>
          <w:szCs w:val="25"/>
        </w:rPr>
        <w:t>COVID-19</w:t>
      </w:r>
      <w:r w:rsidRPr="00276D2E">
        <w:rPr>
          <w:rFonts w:asciiTheme="minorHAnsi" w:hAnsiTheme="minorHAnsi" w:cstheme="minorBidi"/>
          <w:b/>
          <w:color w:val="2E74B5" w:themeColor="accent5" w:themeShade="BF"/>
          <w:sz w:val="25"/>
          <w:szCs w:val="25"/>
        </w:rPr>
        <w:t xml:space="preserve"> </w:t>
      </w:r>
      <w:r w:rsidR="00881210" w:rsidRPr="00276D2E">
        <w:rPr>
          <w:rFonts w:asciiTheme="minorHAnsi" w:hAnsiTheme="minorHAnsi" w:cstheme="minorBidi"/>
          <w:b/>
          <w:color w:val="2E74B5" w:themeColor="accent5" w:themeShade="BF"/>
          <w:sz w:val="25"/>
          <w:szCs w:val="25"/>
        </w:rPr>
        <w:t>i</w:t>
      </w:r>
      <w:r w:rsidRPr="00276D2E">
        <w:rPr>
          <w:rFonts w:asciiTheme="minorHAnsi" w:hAnsiTheme="minorHAnsi" w:cstheme="minorBidi"/>
          <w:b/>
          <w:color w:val="2E74B5" w:themeColor="accent5" w:themeShade="BF"/>
          <w:sz w:val="25"/>
          <w:szCs w:val="25"/>
        </w:rPr>
        <w:t>mpact assessment?</w:t>
      </w:r>
    </w:p>
    <w:p w14:paraId="62882741" w14:textId="77777777" w:rsidR="00F00E3D" w:rsidRPr="00881210" w:rsidRDefault="00F00E3D" w:rsidP="00D27549">
      <w:pPr>
        <w:spacing w:after="0" w:line="276" w:lineRule="auto"/>
        <w:rPr>
          <w:rFonts w:asciiTheme="majorHAnsi" w:eastAsiaTheme="majorEastAsia" w:hAnsiTheme="majorHAnsi" w:cstheme="majorBidi"/>
          <w:sz w:val="12"/>
          <w:szCs w:val="12"/>
        </w:rPr>
      </w:pPr>
    </w:p>
    <w:p w14:paraId="1C56C42E" w14:textId="6ED3B8DA" w:rsidR="00F00E3D" w:rsidRPr="008002B0" w:rsidRDefault="00F00E3D" w:rsidP="00D27549">
      <w:pPr>
        <w:spacing w:line="276" w:lineRule="auto"/>
        <w:rPr>
          <w:rFonts w:asciiTheme="majorHAnsi" w:eastAsiaTheme="majorEastAsia" w:hAnsiTheme="majorHAnsi" w:cstheme="majorBidi"/>
          <w:sz w:val="23"/>
          <w:szCs w:val="23"/>
        </w:rPr>
      </w:pPr>
      <w:r w:rsidRPr="502830E4">
        <w:rPr>
          <w:rFonts w:asciiTheme="majorHAnsi" w:eastAsiaTheme="majorEastAsia" w:hAnsiTheme="majorHAnsi" w:cstheme="majorBidi"/>
          <w:sz w:val="23"/>
          <w:szCs w:val="23"/>
        </w:rPr>
        <w:t xml:space="preserve">The key issues addressed in our </w:t>
      </w:r>
      <w:r w:rsidR="00881210">
        <w:rPr>
          <w:rFonts w:asciiTheme="majorHAnsi" w:eastAsiaTheme="majorEastAsia" w:hAnsiTheme="majorHAnsi" w:cstheme="majorBidi"/>
          <w:sz w:val="23"/>
          <w:szCs w:val="23"/>
        </w:rPr>
        <w:t>COVID-19 I</w:t>
      </w:r>
      <w:r w:rsidRPr="502830E4">
        <w:rPr>
          <w:rFonts w:asciiTheme="majorHAnsi" w:eastAsiaTheme="majorEastAsia" w:hAnsiTheme="majorHAnsi" w:cstheme="majorBidi"/>
          <w:sz w:val="23"/>
          <w:szCs w:val="23"/>
        </w:rPr>
        <w:t xml:space="preserve">mpact </w:t>
      </w:r>
      <w:r w:rsidR="00881210">
        <w:rPr>
          <w:rFonts w:asciiTheme="majorHAnsi" w:eastAsiaTheme="majorEastAsia" w:hAnsiTheme="majorHAnsi" w:cstheme="majorBidi"/>
          <w:sz w:val="23"/>
          <w:szCs w:val="23"/>
        </w:rPr>
        <w:t xml:space="preserve">Study </w:t>
      </w:r>
      <w:r>
        <w:rPr>
          <w:rFonts w:asciiTheme="majorHAnsi" w:eastAsiaTheme="majorEastAsia" w:hAnsiTheme="majorHAnsi" w:cstheme="majorBidi"/>
          <w:sz w:val="23"/>
          <w:szCs w:val="23"/>
        </w:rPr>
        <w:t>(</w:t>
      </w:r>
      <w:r w:rsidR="00C764D2">
        <w:rPr>
          <w:rStyle w:val="Hyperlink"/>
          <w:rFonts w:asciiTheme="majorHAnsi" w:eastAsiaTheme="majorEastAsia" w:hAnsiTheme="majorHAnsi" w:cstheme="majorBidi"/>
          <w:sz w:val="23"/>
          <w:szCs w:val="23"/>
        </w:rPr>
        <w:t>Part B</w:t>
      </w:r>
      <w:r>
        <w:rPr>
          <w:rFonts w:asciiTheme="majorHAnsi" w:eastAsiaTheme="majorEastAsia" w:hAnsiTheme="majorHAnsi" w:cstheme="majorBidi"/>
          <w:sz w:val="23"/>
          <w:szCs w:val="23"/>
        </w:rPr>
        <w:t xml:space="preserve">) </w:t>
      </w:r>
      <w:r w:rsidRPr="502830E4">
        <w:rPr>
          <w:rFonts w:asciiTheme="majorHAnsi" w:eastAsiaTheme="majorEastAsia" w:hAnsiTheme="majorHAnsi" w:cstheme="majorBidi"/>
          <w:sz w:val="23"/>
          <w:szCs w:val="23"/>
        </w:rPr>
        <w:t>were revealed by national trends</w:t>
      </w:r>
      <w:r w:rsidR="006273E8">
        <w:rPr>
          <w:rFonts w:asciiTheme="majorHAnsi" w:eastAsiaTheme="majorEastAsia" w:hAnsiTheme="majorHAnsi" w:cstheme="majorBidi"/>
          <w:sz w:val="23"/>
          <w:szCs w:val="23"/>
        </w:rPr>
        <w:t xml:space="preserve"> </w:t>
      </w:r>
      <w:r w:rsidRPr="502830E4">
        <w:rPr>
          <w:rFonts w:asciiTheme="majorHAnsi" w:eastAsiaTheme="majorEastAsia" w:hAnsiTheme="majorHAnsi" w:cstheme="majorBidi"/>
          <w:sz w:val="23"/>
          <w:szCs w:val="23"/>
        </w:rPr>
        <w:t xml:space="preserve">impacting </w:t>
      </w:r>
      <w:r>
        <w:rPr>
          <w:rFonts w:asciiTheme="majorHAnsi" w:eastAsiaTheme="majorEastAsia" w:hAnsiTheme="majorHAnsi" w:cstheme="majorBidi"/>
          <w:sz w:val="23"/>
          <w:szCs w:val="23"/>
        </w:rPr>
        <w:t>communities affected by disadvantage</w:t>
      </w:r>
      <w:r w:rsidR="00275F73" w:rsidRPr="00275F73">
        <w:rPr>
          <w:rFonts w:asciiTheme="majorHAnsi" w:eastAsiaTheme="majorEastAsia" w:hAnsiTheme="majorHAnsi" w:cstheme="majorBidi"/>
          <w:sz w:val="23"/>
          <w:szCs w:val="23"/>
        </w:rPr>
        <w:t xml:space="preserve"> </w:t>
      </w:r>
      <w:r w:rsidR="00275F73" w:rsidRPr="502830E4">
        <w:rPr>
          <w:rFonts w:asciiTheme="majorHAnsi" w:eastAsiaTheme="majorEastAsia" w:hAnsiTheme="majorHAnsi" w:cstheme="majorBidi"/>
          <w:sz w:val="23"/>
          <w:szCs w:val="23"/>
        </w:rPr>
        <w:t>during the pandemic</w:t>
      </w:r>
      <w:r w:rsidR="007E76B5">
        <w:rPr>
          <w:rFonts w:asciiTheme="majorHAnsi" w:eastAsiaTheme="majorEastAsia" w:hAnsiTheme="majorHAnsi" w:cstheme="majorBidi"/>
          <w:sz w:val="23"/>
          <w:szCs w:val="23"/>
        </w:rPr>
        <w:t xml:space="preserve">. </w:t>
      </w:r>
      <w:r w:rsidR="009B2795">
        <w:rPr>
          <w:rFonts w:asciiTheme="majorHAnsi" w:eastAsiaTheme="majorEastAsia" w:hAnsiTheme="majorHAnsi" w:cstheme="majorBidi"/>
          <w:sz w:val="23"/>
          <w:szCs w:val="23"/>
        </w:rPr>
        <w:t>We also conducted a detailed analysis of housing costs in the three focal suburbs of Corio, Norlane, and Whittington over recent years. Key issues</w:t>
      </w:r>
      <w:r w:rsidR="00D33751">
        <w:rPr>
          <w:rFonts w:asciiTheme="majorHAnsi" w:eastAsiaTheme="majorEastAsia" w:hAnsiTheme="majorHAnsi" w:cstheme="majorBidi"/>
          <w:sz w:val="23"/>
          <w:szCs w:val="23"/>
        </w:rPr>
        <w:t xml:space="preserve"> </w:t>
      </w:r>
      <w:r w:rsidR="009B2795">
        <w:rPr>
          <w:rFonts w:asciiTheme="majorHAnsi" w:eastAsiaTheme="majorEastAsia" w:hAnsiTheme="majorHAnsi" w:cstheme="majorBidi"/>
          <w:sz w:val="23"/>
          <w:szCs w:val="23"/>
        </w:rPr>
        <w:t>and findings include</w:t>
      </w:r>
      <w:r w:rsidR="00D33751">
        <w:rPr>
          <w:rFonts w:asciiTheme="majorHAnsi" w:eastAsiaTheme="majorEastAsia" w:hAnsiTheme="majorHAnsi" w:cstheme="majorBidi"/>
          <w:sz w:val="23"/>
          <w:szCs w:val="23"/>
        </w:rPr>
        <w:t>:</w:t>
      </w:r>
    </w:p>
    <w:p w14:paraId="47B0CAD6" w14:textId="77777777" w:rsidR="00F00E3D" w:rsidRPr="002E4C92" w:rsidRDefault="00F00E3D" w:rsidP="00D27549">
      <w:pPr>
        <w:spacing w:line="276" w:lineRule="auto"/>
        <w:rPr>
          <w:rFonts w:asciiTheme="majorHAnsi" w:eastAsiaTheme="majorEastAsia" w:hAnsiTheme="majorHAnsi" w:cstheme="majorBidi"/>
          <w:color w:val="000000" w:themeColor="text1"/>
          <w:sz w:val="23"/>
          <w:szCs w:val="23"/>
        </w:rPr>
      </w:pPr>
      <w:r w:rsidRPr="00E909D8">
        <w:rPr>
          <w:rFonts w:eastAsiaTheme="majorEastAsia" w:cstheme="minorHAnsi"/>
          <w:b/>
          <w:bCs/>
          <w:color w:val="000000" w:themeColor="text1"/>
          <w:sz w:val="23"/>
          <w:szCs w:val="23"/>
        </w:rPr>
        <w:t>Education:</w:t>
      </w:r>
      <w:r w:rsidRPr="002E4C92">
        <w:rPr>
          <w:rFonts w:asciiTheme="majorHAnsi" w:eastAsiaTheme="majorEastAsia" w:hAnsiTheme="majorHAnsi" w:cstheme="majorBidi"/>
          <w:color w:val="000000" w:themeColor="text1"/>
          <w:sz w:val="23"/>
          <w:szCs w:val="23"/>
        </w:rPr>
        <w:t xml:space="preserve"> targeted programs to redress the challenges of online learning and home schooling. </w:t>
      </w:r>
    </w:p>
    <w:p w14:paraId="6462616F" w14:textId="7EB53191" w:rsidR="00F00E3D" w:rsidRPr="002E4C92" w:rsidRDefault="00F00E3D" w:rsidP="00D27549">
      <w:pPr>
        <w:spacing w:line="276" w:lineRule="auto"/>
        <w:rPr>
          <w:rFonts w:asciiTheme="majorHAnsi" w:hAnsiTheme="majorHAnsi" w:cstheme="majorBidi"/>
          <w:color w:val="000000" w:themeColor="text1"/>
          <w:sz w:val="23"/>
          <w:szCs w:val="23"/>
        </w:rPr>
      </w:pPr>
      <w:r w:rsidRPr="00E909D8">
        <w:rPr>
          <w:rFonts w:eastAsiaTheme="majorEastAsia" w:cstheme="minorHAnsi"/>
          <w:b/>
          <w:color w:val="000000" w:themeColor="text1"/>
          <w:sz w:val="23"/>
          <w:szCs w:val="23"/>
        </w:rPr>
        <w:t>Employment</w:t>
      </w:r>
      <w:r w:rsidRPr="00E909D8">
        <w:rPr>
          <w:rFonts w:eastAsiaTheme="majorEastAsia" w:cstheme="minorHAnsi"/>
          <w:b/>
          <w:bCs/>
          <w:color w:val="000000" w:themeColor="text1"/>
          <w:sz w:val="23"/>
          <w:szCs w:val="23"/>
        </w:rPr>
        <w:t>:</w:t>
      </w:r>
      <w:r w:rsidRPr="002E4C92">
        <w:rPr>
          <w:rFonts w:asciiTheme="majorHAnsi" w:eastAsiaTheme="majorEastAsia" w:hAnsiTheme="majorHAnsi" w:cstheme="majorBidi"/>
          <w:b/>
          <w:bCs/>
          <w:color w:val="000000" w:themeColor="text1"/>
          <w:sz w:val="23"/>
          <w:szCs w:val="23"/>
        </w:rPr>
        <w:t xml:space="preserve"> </w:t>
      </w:r>
      <w:r w:rsidRPr="002E4C92">
        <w:rPr>
          <w:rFonts w:asciiTheme="majorHAnsi" w:eastAsiaTheme="majorEastAsia" w:hAnsiTheme="majorHAnsi" w:cstheme="majorBidi"/>
          <w:color w:val="000000" w:themeColor="text1"/>
          <w:sz w:val="23"/>
          <w:szCs w:val="23"/>
        </w:rPr>
        <w:t xml:space="preserve">high unemployment in retail, tourism and accommodation, </w:t>
      </w:r>
      <w:r w:rsidR="00D67D0F" w:rsidRPr="002E4C92">
        <w:rPr>
          <w:rFonts w:asciiTheme="majorHAnsi" w:eastAsiaTheme="majorEastAsia" w:hAnsiTheme="majorHAnsi" w:cstheme="majorBidi"/>
          <w:color w:val="000000" w:themeColor="text1"/>
          <w:sz w:val="23"/>
          <w:szCs w:val="23"/>
        </w:rPr>
        <w:t xml:space="preserve">the arts, </w:t>
      </w:r>
      <w:r w:rsidRPr="002E4C92">
        <w:rPr>
          <w:rFonts w:asciiTheme="majorHAnsi" w:eastAsiaTheme="majorEastAsia" w:hAnsiTheme="majorHAnsi" w:cstheme="majorBidi"/>
          <w:color w:val="000000" w:themeColor="text1"/>
          <w:sz w:val="23"/>
          <w:szCs w:val="23"/>
        </w:rPr>
        <w:t>hospitality</w:t>
      </w:r>
      <w:r w:rsidR="00E9194E">
        <w:rPr>
          <w:rFonts w:asciiTheme="majorHAnsi" w:eastAsiaTheme="majorEastAsia" w:hAnsiTheme="majorHAnsi" w:cstheme="majorBidi"/>
          <w:color w:val="000000" w:themeColor="text1"/>
          <w:sz w:val="23"/>
          <w:szCs w:val="23"/>
        </w:rPr>
        <w:t>,</w:t>
      </w:r>
      <w:r w:rsidRPr="002E4C92">
        <w:rPr>
          <w:rFonts w:asciiTheme="majorHAnsi" w:eastAsiaTheme="majorEastAsia" w:hAnsiTheme="majorHAnsi" w:cstheme="majorBidi"/>
          <w:color w:val="000000" w:themeColor="text1"/>
          <w:sz w:val="23"/>
          <w:szCs w:val="23"/>
        </w:rPr>
        <w:t xml:space="preserve"> personal services, </w:t>
      </w:r>
      <w:r w:rsidR="00E9194E">
        <w:rPr>
          <w:rFonts w:asciiTheme="majorHAnsi" w:eastAsiaTheme="majorEastAsia" w:hAnsiTheme="majorHAnsi" w:cstheme="majorBidi"/>
          <w:color w:val="000000" w:themeColor="text1"/>
          <w:sz w:val="23"/>
          <w:szCs w:val="23"/>
        </w:rPr>
        <w:t xml:space="preserve">and </w:t>
      </w:r>
      <w:r w:rsidRPr="002E4C92">
        <w:rPr>
          <w:rFonts w:asciiTheme="majorHAnsi" w:eastAsiaTheme="majorEastAsia" w:hAnsiTheme="majorHAnsi" w:cstheme="majorBidi"/>
          <w:color w:val="000000" w:themeColor="text1"/>
          <w:sz w:val="23"/>
          <w:szCs w:val="23"/>
        </w:rPr>
        <w:t>higher education, especially for young</w:t>
      </w:r>
      <w:r w:rsidR="00D67D0F">
        <w:rPr>
          <w:rFonts w:asciiTheme="majorHAnsi" w:eastAsiaTheme="majorEastAsia" w:hAnsiTheme="majorHAnsi" w:cstheme="majorBidi"/>
          <w:color w:val="000000" w:themeColor="text1"/>
          <w:sz w:val="23"/>
          <w:szCs w:val="23"/>
        </w:rPr>
        <w:t xml:space="preserve"> people</w:t>
      </w:r>
      <w:r w:rsidRPr="002E4C92">
        <w:rPr>
          <w:rFonts w:asciiTheme="majorHAnsi" w:eastAsiaTheme="majorEastAsia" w:hAnsiTheme="majorHAnsi" w:cstheme="majorBidi"/>
          <w:color w:val="000000" w:themeColor="text1"/>
          <w:sz w:val="23"/>
          <w:szCs w:val="23"/>
        </w:rPr>
        <w:t>, women</w:t>
      </w:r>
      <w:r w:rsidR="00D67D0F">
        <w:rPr>
          <w:rFonts w:asciiTheme="majorHAnsi" w:eastAsiaTheme="majorEastAsia" w:hAnsiTheme="majorHAnsi" w:cstheme="majorBidi"/>
          <w:color w:val="000000" w:themeColor="text1"/>
          <w:sz w:val="23"/>
          <w:szCs w:val="23"/>
        </w:rPr>
        <w:t xml:space="preserve">, and </w:t>
      </w:r>
      <w:r w:rsidRPr="002E4C92">
        <w:rPr>
          <w:rFonts w:asciiTheme="majorHAnsi" w:eastAsiaTheme="majorEastAsia" w:hAnsiTheme="majorHAnsi" w:cstheme="majorBidi"/>
          <w:color w:val="000000" w:themeColor="text1"/>
          <w:sz w:val="23"/>
          <w:szCs w:val="23"/>
        </w:rPr>
        <w:t xml:space="preserve">casual and part-time workers. </w:t>
      </w:r>
    </w:p>
    <w:p w14:paraId="2D40DC88" w14:textId="029BF746" w:rsidR="00F00E3D" w:rsidRPr="00E909D8" w:rsidRDefault="00F00E3D" w:rsidP="00D27549">
      <w:pPr>
        <w:spacing w:after="0" w:line="276" w:lineRule="auto"/>
        <w:rPr>
          <w:rFonts w:eastAsiaTheme="majorEastAsia" w:cstheme="minorHAnsi"/>
          <w:color w:val="000000" w:themeColor="text1"/>
          <w:sz w:val="23"/>
          <w:szCs w:val="23"/>
        </w:rPr>
      </w:pPr>
      <w:r w:rsidRPr="00E909D8">
        <w:rPr>
          <w:rFonts w:eastAsiaTheme="majorEastAsia" w:cstheme="minorHAnsi"/>
          <w:b/>
          <w:bCs/>
          <w:color w:val="000000" w:themeColor="text1"/>
          <w:sz w:val="23"/>
          <w:szCs w:val="23"/>
        </w:rPr>
        <w:t xml:space="preserve">Health and </w:t>
      </w:r>
      <w:r w:rsidR="00275F73" w:rsidRPr="00E909D8">
        <w:rPr>
          <w:rFonts w:eastAsiaTheme="majorEastAsia" w:cstheme="minorHAnsi"/>
          <w:b/>
          <w:bCs/>
          <w:color w:val="000000" w:themeColor="text1"/>
          <w:sz w:val="23"/>
          <w:szCs w:val="23"/>
        </w:rPr>
        <w:t>W</w:t>
      </w:r>
      <w:r w:rsidRPr="00E909D8">
        <w:rPr>
          <w:rFonts w:eastAsiaTheme="majorEastAsia" w:cstheme="minorHAnsi"/>
          <w:b/>
          <w:bCs/>
          <w:color w:val="000000" w:themeColor="text1"/>
          <w:sz w:val="23"/>
          <w:szCs w:val="23"/>
        </w:rPr>
        <w:t>ellbeing</w:t>
      </w:r>
    </w:p>
    <w:p w14:paraId="2C5914E4" w14:textId="0839C118" w:rsidR="00F00E3D" w:rsidRPr="002E4C92" w:rsidRDefault="00F00E3D" w:rsidP="00364C5D">
      <w:pPr>
        <w:pStyle w:val="ListParagraph"/>
        <w:numPr>
          <w:ilvl w:val="0"/>
          <w:numId w:val="62"/>
        </w:numPr>
        <w:spacing w:after="0" w:line="276" w:lineRule="auto"/>
        <w:rPr>
          <w:rFonts w:asciiTheme="majorHAnsi" w:eastAsiaTheme="majorEastAsia" w:hAnsiTheme="majorHAnsi" w:cstheme="majorHAnsi"/>
          <w:color w:val="000000" w:themeColor="text1"/>
          <w:sz w:val="23"/>
          <w:szCs w:val="23"/>
        </w:rPr>
      </w:pPr>
      <w:r w:rsidRPr="002E4C92">
        <w:rPr>
          <w:rFonts w:asciiTheme="majorHAnsi" w:eastAsiaTheme="majorEastAsia" w:hAnsiTheme="majorHAnsi" w:cstheme="majorHAnsi"/>
          <w:color w:val="000000" w:themeColor="text1"/>
          <w:sz w:val="23"/>
          <w:szCs w:val="23"/>
        </w:rPr>
        <w:t>Mental health, physical activity levels</w:t>
      </w:r>
      <w:r w:rsidR="00C764D2">
        <w:rPr>
          <w:rFonts w:asciiTheme="majorHAnsi" w:eastAsiaTheme="majorEastAsia" w:hAnsiTheme="majorHAnsi" w:cstheme="majorHAnsi"/>
          <w:color w:val="000000" w:themeColor="text1"/>
          <w:sz w:val="23"/>
          <w:szCs w:val="23"/>
        </w:rPr>
        <w:t>,</w:t>
      </w:r>
      <w:r w:rsidRPr="002E4C92">
        <w:rPr>
          <w:rFonts w:asciiTheme="majorHAnsi" w:eastAsiaTheme="majorEastAsia" w:hAnsiTheme="majorHAnsi" w:cstheme="majorHAnsi"/>
          <w:color w:val="000000" w:themeColor="text1"/>
          <w:sz w:val="23"/>
          <w:szCs w:val="23"/>
        </w:rPr>
        <w:t xml:space="preserve"> and wellbeing. </w:t>
      </w:r>
    </w:p>
    <w:p w14:paraId="70832D3E" w14:textId="77777777" w:rsidR="00F00E3D" w:rsidRPr="002E4C92" w:rsidRDefault="00F00E3D" w:rsidP="00364C5D">
      <w:pPr>
        <w:pStyle w:val="ListParagraph"/>
        <w:numPr>
          <w:ilvl w:val="0"/>
          <w:numId w:val="62"/>
        </w:numPr>
        <w:spacing w:after="0" w:line="276" w:lineRule="auto"/>
        <w:rPr>
          <w:rFonts w:asciiTheme="majorHAnsi" w:eastAsiaTheme="majorEastAsia" w:hAnsiTheme="majorHAnsi" w:cstheme="majorHAnsi"/>
          <w:color w:val="000000" w:themeColor="text1"/>
          <w:sz w:val="23"/>
          <w:szCs w:val="23"/>
        </w:rPr>
      </w:pPr>
      <w:r w:rsidRPr="002E4C92">
        <w:rPr>
          <w:rFonts w:asciiTheme="majorHAnsi" w:eastAsiaTheme="majorEastAsia" w:hAnsiTheme="majorHAnsi" w:cstheme="majorHAnsi"/>
          <w:color w:val="000000" w:themeColor="text1"/>
          <w:sz w:val="23"/>
          <w:szCs w:val="23"/>
        </w:rPr>
        <w:t>More pronounced food security issues.</w:t>
      </w:r>
    </w:p>
    <w:p w14:paraId="736B8920" w14:textId="464B5348" w:rsidR="00F00E3D" w:rsidRPr="002E4C92" w:rsidRDefault="00F00E3D" w:rsidP="00364C5D">
      <w:pPr>
        <w:pStyle w:val="ListParagraph"/>
        <w:numPr>
          <w:ilvl w:val="0"/>
          <w:numId w:val="62"/>
        </w:numPr>
        <w:spacing w:after="0" w:line="276" w:lineRule="auto"/>
        <w:rPr>
          <w:rFonts w:asciiTheme="majorHAnsi" w:eastAsiaTheme="majorEastAsia" w:hAnsiTheme="majorHAnsi" w:cstheme="majorBidi"/>
          <w:color w:val="000000" w:themeColor="text1"/>
          <w:sz w:val="23"/>
          <w:szCs w:val="23"/>
        </w:rPr>
      </w:pPr>
      <w:r w:rsidRPr="002E4C92">
        <w:rPr>
          <w:rFonts w:asciiTheme="majorHAnsi" w:eastAsiaTheme="majorEastAsia" w:hAnsiTheme="majorHAnsi" w:cstheme="majorBidi"/>
          <w:color w:val="000000" w:themeColor="text1"/>
          <w:sz w:val="23"/>
          <w:szCs w:val="23"/>
        </w:rPr>
        <w:t xml:space="preserve">Limited capacity to access telehealth services. </w:t>
      </w:r>
    </w:p>
    <w:p w14:paraId="7F787626" w14:textId="0D0D843B" w:rsidR="00F00E3D" w:rsidRPr="002E4C92" w:rsidRDefault="00F00E3D" w:rsidP="00364C5D">
      <w:pPr>
        <w:pStyle w:val="ListParagraph"/>
        <w:numPr>
          <w:ilvl w:val="0"/>
          <w:numId w:val="62"/>
        </w:numPr>
        <w:spacing w:after="0" w:line="276" w:lineRule="auto"/>
        <w:rPr>
          <w:rFonts w:asciiTheme="majorHAnsi" w:eastAsiaTheme="majorEastAsia" w:hAnsiTheme="majorHAnsi" w:cstheme="majorBidi"/>
          <w:color w:val="000000" w:themeColor="text1"/>
          <w:sz w:val="23"/>
          <w:szCs w:val="23"/>
        </w:rPr>
      </w:pPr>
      <w:r w:rsidRPr="002E4C92">
        <w:rPr>
          <w:rFonts w:asciiTheme="majorHAnsi" w:eastAsiaTheme="majorEastAsia" w:hAnsiTheme="majorHAnsi" w:cstheme="majorBidi"/>
          <w:color w:val="000000" w:themeColor="text1"/>
          <w:sz w:val="23"/>
          <w:szCs w:val="23"/>
        </w:rPr>
        <w:t xml:space="preserve">Long-term health impacts of suspended </w:t>
      </w:r>
      <w:r w:rsidR="00D33751">
        <w:rPr>
          <w:rFonts w:asciiTheme="majorHAnsi" w:eastAsiaTheme="majorEastAsia" w:hAnsiTheme="majorHAnsi" w:cstheme="majorBidi"/>
          <w:color w:val="000000" w:themeColor="text1"/>
          <w:sz w:val="23"/>
          <w:szCs w:val="23"/>
        </w:rPr>
        <w:t xml:space="preserve">access to </w:t>
      </w:r>
      <w:r w:rsidRPr="002E4C92">
        <w:rPr>
          <w:rFonts w:asciiTheme="majorHAnsi" w:eastAsiaTheme="majorEastAsia" w:hAnsiTheme="majorHAnsi" w:cstheme="majorBidi"/>
          <w:color w:val="000000" w:themeColor="text1"/>
          <w:sz w:val="23"/>
          <w:szCs w:val="23"/>
        </w:rPr>
        <w:t xml:space="preserve">health services. </w:t>
      </w:r>
    </w:p>
    <w:p w14:paraId="4E545394" w14:textId="77777777" w:rsidR="00E909D8" w:rsidRPr="00E909D8" w:rsidRDefault="00E909D8" w:rsidP="00D27549">
      <w:pPr>
        <w:spacing w:after="0" w:line="276" w:lineRule="auto"/>
        <w:rPr>
          <w:rFonts w:asciiTheme="majorHAnsi" w:eastAsiaTheme="majorEastAsia" w:hAnsiTheme="majorHAnsi" w:cstheme="majorHAnsi"/>
          <w:b/>
          <w:bCs/>
          <w:color w:val="000000" w:themeColor="text1"/>
          <w:sz w:val="12"/>
          <w:szCs w:val="12"/>
        </w:rPr>
      </w:pPr>
    </w:p>
    <w:p w14:paraId="4B5994CD" w14:textId="1CBD7972" w:rsidR="00F00E3D" w:rsidRPr="00E909D8" w:rsidRDefault="00F00E3D" w:rsidP="00D27549">
      <w:pPr>
        <w:spacing w:after="0" w:line="276" w:lineRule="auto"/>
        <w:rPr>
          <w:rFonts w:eastAsiaTheme="majorEastAsia" w:cstheme="minorHAnsi"/>
          <w:color w:val="000000" w:themeColor="text1"/>
          <w:sz w:val="23"/>
          <w:szCs w:val="23"/>
        </w:rPr>
      </w:pPr>
      <w:r w:rsidRPr="00E909D8">
        <w:rPr>
          <w:rFonts w:eastAsiaTheme="majorEastAsia" w:cstheme="minorHAnsi"/>
          <w:b/>
          <w:bCs/>
          <w:color w:val="000000" w:themeColor="text1"/>
          <w:sz w:val="23"/>
          <w:szCs w:val="23"/>
        </w:rPr>
        <w:t>Housing</w:t>
      </w:r>
    </w:p>
    <w:p w14:paraId="2B937152" w14:textId="75CCA4E0" w:rsidR="00F00E3D" w:rsidRPr="002E4C92" w:rsidRDefault="00F00E3D" w:rsidP="00364C5D">
      <w:pPr>
        <w:pStyle w:val="ListParagraph"/>
        <w:numPr>
          <w:ilvl w:val="0"/>
          <w:numId w:val="61"/>
        </w:numPr>
        <w:spacing w:after="0" w:line="276" w:lineRule="auto"/>
        <w:rPr>
          <w:rFonts w:asciiTheme="majorHAnsi" w:eastAsiaTheme="majorEastAsia" w:hAnsiTheme="majorHAnsi" w:cstheme="majorHAnsi"/>
          <w:color w:val="000000" w:themeColor="text1"/>
          <w:sz w:val="23"/>
          <w:szCs w:val="23"/>
        </w:rPr>
      </w:pPr>
      <w:r w:rsidRPr="002E4C92">
        <w:rPr>
          <w:rFonts w:asciiTheme="majorHAnsi" w:eastAsiaTheme="majorEastAsia" w:hAnsiTheme="majorHAnsi" w:cstheme="majorHAnsi"/>
          <w:color w:val="000000" w:themeColor="text1"/>
          <w:sz w:val="23"/>
          <w:szCs w:val="23"/>
        </w:rPr>
        <w:t xml:space="preserve">Rapid re-acceleration of housing prices in big cities and many regions when </w:t>
      </w:r>
      <w:r w:rsidR="00D00E61">
        <w:rPr>
          <w:rFonts w:asciiTheme="majorHAnsi" w:eastAsiaTheme="majorEastAsia" w:hAnsiTheme="majorHAnsi" w:cstheme="majorHAnsi"/>
          <w:color w:val="000000" w:themeColor="text1"/>
          <w:sz w:val="23"/>
          <w:szCs w:val="23"/>
        </w:rPr>
        <w:t>Australian</w:t>
      </w:r>
      <w:r w:rsidR="002C5F2B">
        <w:rPr>
          <w:rFonts w:asciiTheme="majorHAnsi" w:eastAsiaTheme="majorEastAsia" w:hAnsiTheme="majorHAnsi" w:cstheme="majorHAnsi"/>
          <w:color w:val="000000" w:themeColor="text1"/>
          <w:sz w:val="23"/>
          <w:szCs w:val="23"/>
        </w:rPr>
        <w:t>s</w:t>
      </w:r>
      <w:r w:rsidRPr="002E4C92">
        <w:rPr>
          <w:rFonts w:asciiTheme="majorHAnsi" w:eastAsiaTheme="majorEastAsia" w:hAnsiTheme="majorHAnsi" w:cstheme="majorHAnsi"/>
          <w:color w:val="000000" w:themeColor="text1"/>
          <w:sz w:val="23"/>
          <w:szCs w:val="23"/>
        </w:rPr>
        <w:t xml:space="preserve"> on low incomes are losing the short-term protection of Job</w:t>
      </w:r>
      <w:r w:rsidR="00BF13C7">
        <w:rPr>
          <w:rFonts w:asciiTheme="majorHAnsi" w:eastAsiaTheme="majorEastAsia" w:hAnsiTheme="majorHAnsi" w:cstheme="majorHAnsi"/>
          <w:color w:val="000000" w:themeColor="text1"/>
          <w:sz w:val="23"/>
          <w:szCs w:val="23"/>
        </w:rPr>
        <w:t>K</w:t>
      </w:r>
      <w:r w:rsidRPr="002E4C92">
        <w:rPr>
          <w:rFonts w:asciiTheme="majorHAnsi" w:eastAsiaTheme="majorEastAsia" w:hAnsiTheme="majorHAnsi" w:cstheme="majorHAnsi"/>
          <w:color w:val="000000" w:themeColor="text1"/>
          <w:sz w:val="23"/>
          <w:szCs w:val="23"/>
        </w:rPr>
        <w:t>eeper</w:t>
      </w:r>
      <w:r w:rsidR="00BF13C7">
        <w:rPr>
          <w:rFonts w:asciiTheme="majorHAnsi" w:eastAsiaTheme="majorEastAsia" w:hAnsiTheme="majorHAnsi" w:cstheme="majorHAnsi"/>
          <w:color w:val="000000" w:themeColor="text1"/>
          <w:sz w:val="23"/>
          <w:szCs w:val="23"/>
        </w:rPr>
        <w:t xml:space="preserve"> and</w:t>
      </w:r>
      <w:r w:rsidR="00D00E61">
        <w:rPr>
          <w:rFonts w:asciiTheme="majorHAnsi" w:eastAsiaTheme="majorEastAsia" w:hAnsiTheme="majorHAnsi" w:cstheme="majorHAnsi"/>
          <w:color w:val="000000" w:themeColor="text1"/>
          <w:sz w:val="23"/>
          <w:szCs w:val="23"/>
        </w:rPr>
        <w:t xml:space="preserve"> the</w:t>
      </w:r>
      <w:r w:rsidR="00BF13C7" w:rsidRPr="00BF13C7">
        <w:rPr>
          <w:rFonts w:asciiTheme="majorHAnsi" w:eastAsiaTheme="majorEastAsia" w:hAnsiTheme="majorHAnsi" w:cstheme="majorHAnsi"/>
          <w:color w:val="000000" w:themeColor="text1"/>
          <w:sz w:val="23"/>
          <w:szCs w:val="23"/>
        </w:rPr>
        <w:t xml:space="preserve"> </w:t>
      </w:r>
      <w:r w:rsidR="00BF13C7">
        <w:rPr>
          <w:rFonts w:asciiTheme="majorHAnsi" w:eastAsiaTheme="majorEastAsia" w:hAnsiTheme="majorHAnsi" w:cstheme="majorHAnsi"/>
          <w:color w:val="000000" w:themeColor="text1"/>
          <w:sz w:val="23"/>
          <w:szCs w:val="23"/>
        </w:rPr>
        <w:t>JobSeeker</w:t>
      </w:r>
      <w:r w:rsidR="00D00E61">
        <w:rPr>
          <w:rFonts w:asciiTheme="majorHAnsi" w:eastAsiaTheme="majorEastAsia" w:hAnsiTheme="majorHAnsi" w:cstheme="majorHAnsi"/>
          <w:color w:val="000000" w:themeColor="text1"/>
          <w:sz w:val="23"/>
          <w:szCs w:val="23"/>
        </w:rPr>
        <w:t xml:space="preserve"> subsidy</w:t>
      </w:r>
      <w:r w:rsidRPr="002E4C92">
        <w:rPr>
          <w:rFonts w:asciiTheme="majorHAnsi" w:eastAsiaTheme="majorEastAsia" w:hAnsiTheme="majorHAnsi" w:cstheme="majorHAnsi"/>
          <w:color w:val="000000" w:themeColor="text1"/>
          <w:sz w:val="23"/>
          <w:szCs w:val="23"/>
        </w:rPr>
        <w:t>.</w:t>
      </w:r>
    </w:p>
    <w:p w14:paraId="526F1282" w14:textId="08B522E3" w:rsidR="00F00E3D" w:rsidRDefault="00F00E3D" w:rsidP="78F9AF82">
      <w:pPr>
        <w:pStyle w:val="ListParagraph"/>
        <w:numPr>
          <w:ilvl w:val="0"/>
          <w:numId w:val="61"/>
        </w:numPr>
        <w:spacing w:after="0" w:line="276" w:lineRule="auto"/>
        <w:rPr>
          <w:rFonts w:asciiTheme="majorHAnsi" w:eastAsiaTheme="majorEastAsia" w:hAnsiTheme="majorHAnsi" w:cstheme="majorBidi"/>
          <w:color w:val="000000" w:themeColor="text1"/>
          <w:sz w:val="23"/>
          <w:szCs w:val="23"/>
        </w:rPr>
      </w:pPr>
      <w:r w:rsidRPr="78F9AF82">
        <w:rPr>
          <w:rFonts w:asciiTheme="majorHAnsi" w:eastAsiaTheme="majorEastAsia" w:hAnsiTheme="majorHAnsi" w:cstheme="majorBidi"/>
          <w:color w:val="000000" w:themeColor="text1"/>
          <w:sz w:val="23"/>
          <w:szCs w:val="23"/>
        </w:rPr>
        <w:t>Increase</w:t>
      </w:r>
      <w:r w:rsidR="05ABA0AA" w:rsidRPr="78F9AF82">
        <w:rPr>
          <w:rFonts w:asciiTheme="majorHAnsi" w:eastAsiaTheme="majorEastAsia" w:hAnsiTheme="majorHAnsi" w:cstheme="majorBidi"/>
          <w:color w:val="000000" w:themeColor="text1"/>
          <w:sz w:val="23"/>
          <w:szCs w:val="23"/>
        </w:rPr>
        <w:t>d</w:t>
      </w:r>
      <w:r w:rsidRPr="78F9AF82">
        <w:rPr>
          <w:rFonts w:asciiTheme="majorHAnsi" w:eastAsiaTheme="majorEastAsia" w:hAnsiTheme="majorHAnsi" w:cstheme="majorBidi"/>
          <w:color w:val="000000" w:themeColor="text1"/>
          <w:sz w:val="23"/>
          <w:szCs w:val="23"/>
        </w:rPr>
        <w:t xml:space="preserve"> risk in the property market impact</w:t>
      </w:r>
      <w:r w:rsidR="00231031" w:rsidRPr="78F9AF82">
        <w:rPr>
          <w:rFonts w:asciiTheme="majorHAnsi" w:eastAsiaTheme="majorEastAsia" w:hAnsiTheme="majorHAnsi" w:cstheme="majorBidi"/>
          <w:color w:val="000000" w:themeColor="text1"/>
          <w:sz w:val="23"/>
          <w:szCs w:val="23"/>
        </w:rPr>
        <w:t>ing</w:t>
      </w:r>
      <w:r w:rsidRPr="78F9AF82">
        <w:rPr>
          <w:rFonts w:asciiTheme="majorHAnsi" w:eastAsiaTheme="majorEastAsia" w:hAnsiTheme="majorHAnsi" w:cstheme="majorBidi"/>
          <w:color w:val="000000" w:themeColor="text1"/>
          <w:sz w:val="23"/>
          <w:szCs w:val="23"/>
        </w:rPr>
        <w:t xml:space="preserve"> housing affordability, particularly for households with children and lower liquidity.</w:t>
      </w:r>
    </w:p>
    <w:p w14:paraId="4464B964" w14:textId="2D4E6EC8" w:rsidR="0068686C" w:rsidRPr="009B2795" w:rsidRDefault="0068686C" w:rsidP="00364C5D">
      <w:pPr>
        <w:pStyle w:val="ListParagraph"/>
        <w:numPr>
          <w:ilvl w:val="0"/>
          <w:numId w:val="61"/>
        </w:numPr>
        <w:spacing w:after="0" w:line="276" w:lineRule="auto"/>
        <w:rPr>
          <w:rFonts w:asciiTheme="majorHAnsi" w:eastAsiaTheme="majorEastAsia" w:hAnsiTheme="majorHAnsi" w:cstheme="majorHAnsi"/>
          <w:color w:val="000000" w:themeColor="text1"/>
          <w:sz w:val="23"/>
          <w:szCs w:val="23"/>
        </w:rPr>
      </w:pPr>
      <w:r>
        <w:rPr>
          <w:rFonts w:asciiTheme="majorHAnsi" w:eastAsiaTheme="majorEastAsia" w:hAnsiTheme="majorHAnsi" w:cstheme="majorBidi"/>
          <w:color w:val="000000" w:themeColor="text1"/>
          <w:sz w:val="23"/>
          <w:szCs w:val="23"/>
        </w:rPr>
        <w:t>Increased risk of housing stress, housing precarity, and homelessness</w:t>
      </w:r>
      <w:r w:rsidR="009B2795">
        <w:rPr>
          <w:rFonts w:asciiTheme="majorHAnsi" w:eastAsiaTheme="majorEastAsia" w:hAnsiTheme="majorHAnsi" w:cstheme="majorBidi"/>
          <w:color w:val="000000" w:themeColor="text1"/>
          <w:sz w:val="23"/>
          <w:szCs w:val="23"/>
        </w:rPr>
        <w:t xml:space="preserve"> across Australia</w:t>
      </w:r>
      <w:r>
        <w:rPr>
          <w:rFonts w:asciiTheme="majorHAnsi" w:eastAsiaTheme="majorEastAsia" w:hAnsiTheme="majorHAnsi" w:cstheme="majorBidi"/>
          <w:color w:val="000000" w:themeColor="text1"/>
          <w:sz w:val="23"/>
          <w:szCs w:val="23"/>
        </w:rPr>
        <w:t>.</w:t>
      </w:r>
    </w:p>
    <w:p w14:paraId="65663F49" w14:textId="3FAC6750" w:rsidR="009B2795" w:rsidRPr="009B2795" w:rsidRDefault="009B2795" w:rsidP="00364C5D">
      <w:pPr>
        <w:pStyle w:val="ListParagraph"/>
        <w:numPr>
          <w:ilvl w:val="0"/>
          <w:numId w:val="61"/>
        </w:numPr>
        <w:spacing w:after="0" w:line="276" w:lineRule="auto"/>
        <w:rPr>
          <w:rFonts w:asciiTheme="majorHAnsi" w:eastAsiaTheme="majorEastAsia" w:hAnsiTheme="majorHAnsi" w:cstheme="majorHAnsi"/>
          <w:color w:val="000000" w:themeColor="text1"/>
          <w:sz w:val="23"/>
          <w:szCs w:val="23"/>
        </w:rPr>
      </w:pPr>
      <w:r>
        <w:rPr>
          <w:rFonts w:asciiTheme="majorHAnsi" w:eastAsiaTheme="majorEastAsia" w:hAnsiTheme="majorHAnsi" w:cstheme="majorHAnsi"/>
          <w:color w:val="000000" w:themeColor="text1"/>
          <w:sz w:val="23"/>
          <w:szCs w:val="23"/>
        </w:rPr>
        <w:t xml:space="preserve">Housing costs in the three focal suburbs rising </w:t>
      </w:r>
      <w:r w:rsidR="00E4428A">
        <w:rPr>
          <w:rFonts w:asciiTheme="majorHAnsi" w:eastAsiaTheme="majorEastAsia" w:hAnsiTheme="majorHAnsi" w:cstheme="majorHAnsi"/>
          <w:color w:val="000000" w:themeColor="text1"/>
          <w:sz w:val="23"/>
          <w:szCs w:val="23"/>
        </w:rPr>
        <w:t>faster</w:t>
      </w:r>
      <w:r>
        <w:rPr>
          <w:rFonts w:asciiTheme="majorHAnsi" w:eastAsiaTheme="majorEastAsia" w:hAnsiTheme="majorHAnsi" w:cstheme="majorHAnsi"/>
          <w:color w:val="000000" w:themeColor="text1"/>
          <w:sz w:val="23"/>
          <w:szCs w:val="23"/>
        </w:rPr>
        <w:t xml:space="preserve"> than elsewhere, raising concerns around declining local affordability and increased rates of housing stress.</w:t>
      </w:r>
    </w:p>
    <w:p w14:paraId="0A25D627" w14:textId="33F10322" w:rsidR="00F00E3D" w:rsidRPr="002E4C92" w:rsidRDefault="00F00E3D" w:rsidP="00364C5D">
      <w:pPr>
        <w:pStyle w:val="ListParagraph"/>
        <w:numPr>
          <w:ilvl w:val="0"/>
          <w:numId w:val="61"/>
        </w:numPr>
        <w:spacing w:after="0" w:line="276" w:lineRule="auto"/>
        <w:rPr>
          <w:rFonts w:asciiTheme="majorHAnsi" w:eastAsiaTheme="majorEastAsia" w:hAnsiTheme="majorHAnsi" w:cstheme="majorHAnsi"/>
          <w:color w:val="000000" w:themeColor="text1"/>
          <w:sz w:val="23"/>
          <w:szCs w:val="23"/>
        </w:rPr>
      </w:pPr>
      <w:r w:rsidRPr="002E4C92">
        <w:rPr>
          <w:rFonts w:asciiTheme="majorHAnsi" w:eastAsiaTheme="majorEastAsia" w:hAnsiTheme="majorHAnsi" w:cstheme="majorHAnsi"/>
          <w:color w:val="000000" w:themeColor="text1"/>
          <w:sz w:val="23"/>
          <w:szCs w:val="23"/>
        </w:rPr>
        <w:t xml:space="preserve">Ending of </w:t>
      </w:r>
      <w:r w:rsidR="009B2795">
        <w:rPr>
          <w:rFonts w:asciiTheme="majorHAnsi" w:eastAsiaTheme="majorEastAsia" w:hAnsiTheme="majorHAnsi" w:cstheme="majorHAnsi"/>
          <w:color w:val="000000" w:themeColor="text1"/>
          <w:sz w:val="23"/>
          <w:szCs w:val="23"/>
        </w:rPr>
        <w:t xml:space="preserve">JobKeeper, JobSeeker subsidy, </w:t>
      </w:r>
      <w:r w:rsidRPr="002E4C92">
        <w:rPr>
          <w:rFonts w:asciiTheme="majorHAnsi" w:eastAsiaTheme="majorEastAsia" w:hAnsiTheme="majorHAnsi" w:cstheme="majorHAnsi"/>
          <w:color w:val="000000" w:themeColor="text1"/>
          <w:sz w:val="23"/>
          <w:szCs w:val="23"/>
        </w:rPr>
        <w:t>eviction</w:t>
      </w:r>
      <w:r w:rsidR="009B2795">
        <w:rPr>
          <w:rFonts w:asciiTheme="majorHAnsi" w:eastAsiaTheme="majorEastAsia" w:hAnsiTheme="majorHAnsi" w:cstheme="majorHAnsi"/>
          <w:color w:val="000000" w:themeColor="text1"/>
          <w:sz w:val="23"/>
          <w:szCs w:val="23"/>
        </w:rPr>
        <w:t xml:space="preserve"> bans</w:t>
      </w:r>
      <w:r w:rsidRPr="002E4C92">
        <w:rPr>
          <w:rFonts w:asciiTheme="majorHAnsi" w:eastAsiaTheme="majorEastAsia" w:hAnsiTheme="majorHAnsi" w:cstheme="majorHAnsi"/>
          <w:color w:val="000000" w:themeColor="text1"/>
          <w:sz w:val="23"/>
          <w:szCs w:val="23"/>
        </w:rPr>
        <w:t xml:space="preserve">, </w:t>
      </w:r>
      <w:r w:rsidR="009B2795">
        <w:rPr>
          <w:rFonts w:asciiTheme="majorHAnsi" w:eastAsiaTheme="majorEastAsia" w:hAnsiTheme="majorHAnsi" w:cstheme="majorHAnsi"/>
          <w:color w:val="000000" w:themeColor="text1"/>
          <w:sz w:val="23"/>
          <w:szCs w:val="23"/>
        </w:rPr>
        <w:t xml:space="preserve">rental variations, </w:t>
      </w:r>
      <w:r w:rsidRPr="002E4C92">
        <w:rPr>
          <w:rFonts w:asciiTheme="majorHAnsi" w:eastAsiaTheme="majorEastAsia" w:hAnsiTheme="majorHAnsi" w:cstheme="majorHAnsi"/>
          <w:color w:val="000000" w:themeColor="text1"/>
          <w:sz w:val="23"/>
          <w:szCs w:val="23"/>
        </w:rPr>
        <w:t>mortgage holidays.</w:t>
      </w:r>
    </w:p>
    <w:p w14:paraId="6895503C" w14:textId="031B7DB9" w:rsidR="00F00E3D" w:rsidRDefault="00F00E3D" w:rsidP="00364C5D">
      <w:pPr>
        <w:pStyle w:val="ListParagraph"/>
        <w:numPr>
          <w:ilvl w:val="0"/>
          <w:numId w:val="61"/>
        </w:numPr>
        <w:spacing w:after="0" w:line="276" w:lineRule="auto"/>
        <w:rPr>
          <w:rFonts w:asciiTheme="majorHAnsi" w:eastAsiaTheme="majorEastAsia" w:hAnsiTheme="majorHAnsi" w:cstheme="majorBidi"/>
          <w:color w:val="000000" w:themeColor="text1"/>
          <w:sz w:val="23"/>
          <w:szCs w:val="23"/>
        </w:rPr>
      </w:pPr>
      <w:r w:rsidRPr="002E4C92">
        <w:rPr>
          <w:rFonts w:asciiTheme="majorHAnsi" w:eastAsiaTheme="majorEastAsia" w:hAnsiTheme="majorHAnsi" w:cstheme="majorBidi"/>
          <w:color w:val="000000" w:themeColor="text1"/>
          <w:sz w:val="23"/>
          <w:szCs w:val="23"/>
        </w:rPr>
        <w:lastRenderedPageBreak/>
        <w:t>Termination of rough sleepers’ access to short-term accommodation in hotels.</w:t>
      </w:r>
    </w:p>
    <w:p w14:paraId="50B2CDF7" w14:textId="42C1AF96" w:rsidR="00181EB7" w:rsidRPr="00D00E61" w:rsidRDefault="0068686C" w:rsidP="00364C5D">
      <w:pPr>
        <w:pStyle w:val="ListParagraph"/>
        <w:numPr>
          <w:ilvl w:val="0"/>
          <w:numId w:val="61"/>
        </w:numPr>
        <w:spacing w:after="0" w:line="276" w:lineRule="auto"/>
        <w:rPr>
          <w:rFonts w:asciiTheme="majorHAnsi" w:eastAsiaTheme="majorEastAsia" w:hAnsiTheme="majorHAnsi" w:cstheme="majorHAnsi"/>
          <w:color w:val="000000" w:themeColor="text1"/>
          <w:sz w:val="23"/>
          <w:szCs w:val="23"/>
        </w:rPr>
      </w:pPr>
      <w:r w:rsidRPr="00D00E61">
        <w:rPr>
          <w:rFonts w:asciiTheme="majorHAnsi" w:eastAsiaTheme="majorEastAsia" w:hAnsiTheme="majorHAnsi" w:cstheme="majorHAnsi"/>
          <w:color w:val="000000" w:themeColor="text1"/>
          <w:sz w:val="23"/>
          <w:szCs w:val="23"/>
        </w:rPr>
        <w:t>Potential long-term shifts in geographical patterns in housing markets.</w:t>
      </w:r>
    </w:p>
    <w:p w14:paraId="4384E719" w14:textId="77777777" w:rsidR="007E76B5" w:rsidRPr="007E76B5" w:rsidRDefault="007E76B5" w:rsidP="00D27549">
      <w:pPr>
        <w:spacing w:after="0" w:line="276" w:lineRule="auto"/>
        <w:rPr>
          <w:rFonts w:asciiTheme="majorHAnsi" w:eastAsiaTheme="majorEastAsia" w:hAnsiTheme="majorHAnsi" w:cstheme="majorBidi"/>
          <w:b/>
          <w:color w:val="000000" w:themeColor="text1"/>
          <w:sz w:val="12"/>
          <w:szCs w:val="12"/>
        </w:rPr>
      </w:pPr>
    </w:p>
    <w:p w14:paraId="4334053C" w14:textId="0B6F2FAE" w:rsidR="00F00E3D" w:rsidRPr="002E4C92" w:rsidRDefault="00F00E3D" w:rsidP="00D27549">
      <w:pPr>
        <w:spacing w:after="0" w:line="276" w:lineRule="auto"/>
        <w:rPr>
          <w:rFonts w:asciiTheme="majorHAnsi" w:eastAsiaTheme="majorEastAsia" w:hAnsiTheme="majorHAnsi" w:cstheme="majorBidi"/>
          <w:color w:val="000000" w:themeColor="text1"/>
          <w:sz w:val="23"/>
          <w:szCs w:val="23"/>
        </w:rPr>
      </w:pPr>
      <w:r w:rsidRPr="00155F53">
        <w:rPr>
          <w:rFonts w:eastAsiaTheme="majorEastAsia" w:cstheme="minorHAnsi"/>
          <w:b/>
          <w:color w:val="000000" w:themeColor="text1"/>
          <w:sz w:val="23"/>
          <w:szCs w:val="23"/>
        </w:rPr>
        <w:t>Liveability</w:t>
      </w:r>
      <w:r w:rsidRPr="00155F53">
        <w:rPr>
          <w:rFonts w:eastAsiaTheme="majorEastAsia" w:cstheme="minorHAnsi"/>
          <w:b/>
          <w:bCs/>
          <w:color w:val="000000" w:themeColor="text1"/>
          <w:sz w:val="23"/>
          <w:szCs w:val="23"/>
        </w:rPr>
        <w:t>:</w:t>
      </w:r>
      <w:r w:rsidRPr="002E4C92">
        <w:rPr>
          <w:rFonts w:asciiTheme="majorHAnsi" w:eastAsiaTheme="majorEastAsia" w:hAnsiTheme="majorHAnsi" w:cstheme="majorBidi"/>
          <w:b/>
          <w:bCs/>
          <w:color w:val="000000" w:themeColor="text1"/>
          <w:sz w:val="23"/>
          <w:szCs w:val="23"/>
        </w:rPr>
        <w:t xml:space="preserve"> </w:t>
      </w:r>
      <w:r w:rsidRPr="002E4C92">
        <w:rPr>
          <w:rFonts w:asciiTheme="majorHAnsi" w:eastAsiaTheme="majorEastAsia" w:hAnsiTheme="majorHAnsi" w:cstheme="majorBidi"/>
          <w:color w:val="000000" w:themeColor="text1"/>
          <w:sz w:val="23"/>
          <w:szCs w:val="23"/>
        </w:rPr>
        <w:t xml:space="preserve">reduced access to local gathering spaces, parks and shops, walkable neighbourhoods, local arts and culture. The future design of environments will require greater co-design with communities. </w:t>
      </w:r>
    </w:p>
    <w:p w14:paraId="3DB996CE" w14:textId="77777777" w:rsidR="00F00E3D" w:rsidRPr="00E84488" w:rsidRDefault="00F00E3D" w:rsidP="00D27549">
      <w:pPr>
        <w:pStyle w:val="Default"/>
        <w:spacing w:line="276" w:lineRule="auto"/>
        <w:rPr>
          <w:rFonts w:asciiTheme="minorHAnsi" w:hAnsiTheme="minorHAnsi" w:cstheme="minorHAnsi"/>
          <w:color w:val="auto"/>
          <w:sz w:val="16"/>
          <w:szCs w:val="16"/>
        </w:rPr>
      </w:pPr>
    </w:p>
    <w:p w14:paraId="13DB25AB" w14:textId="77777777" w:rsidR="00F00E3D" w:rsidRPr="00276D2E" w:rsidRDefault="00F00E3D" w:rsidP="009B2FA7">
      <w:pPr>
        <w:pStyle w:val="Default"/>
        <w:spacing w:line="276" w:lineRule="auto"/>
        <w:rPr>
          <w:rFonts w:asciiTheme="minorHAnsi" w:hAnsiTheme="minorHAnsi" w:cstheme="minorBidi"/>
          <w:b/>
          <w:color w:val="2E74B5" w:themeColor="accent5" w:themeShade="BF"/>
          <w:sz w:val="25"/>
          <w:szCs w:val="25"/>
        </w:rPr>
      </w:pPr>
      <w:r w:rsidRPr="00276D2E">
        <w:rPr>
          <w:rFonts w:asciiTheme="minorHAnsi" w:hAnsiTheme="minorHAnsi" w:cstheme="minorBidi"/>
          <w:b/>
          <w:color w:val="2E74B5" w:themeColor="accent5" w:themeShade="BF"/>
          <w:sz w:val="25"/>
          <w:szCs w:val="25"/>
        </w:rPr>
        <w:t>6. How have “disadvantaged” communities in Geelong dealt with the pandemic?</w:t>
      </w:r>
    </w:p>
    <w:p w14:paraId="5940D9E0" w14:textId="77777777" w:rsidR="00F00E3D" w:rsidRPr="00E84488" w:rsidRDefault="00F00E3D" w:rsidP="00E35346">
      <w:pPr>
        <w:spacing w:after="0"/>
        <w:rPr>
          <w:rFonts w:asciiTheme="majorHAnsi" w:eastAsiaTheme="majorEastAsia" w:hAnsiTheme="majorHAnsi" w:cstheme="majorBidi"/>
          <w:sz w:val="12"/>
          <w:szCs w:val="12"/>
          <w:lang w:val="en-GB"/>
        </w:rPr>
      </w:pPr>
    </w:p>
    <w:p w14:paraId="27F34E87" w14:textId="200E2018" w:rsidR="00F00E3D" w:rsidRDefault="00F00E3D" w:rsidP="009B2FA7">
      <w:pPr>
        <w:rPr>
          <w:rFonts w:asciiTheme="majorHAnsi" w:eastAsiaTheme="majorEastAsia" w:hAnsiTheme="majorHAnsi" w:cstheme="majorBidi"/>
          <w:sz w:val="23"/>
          <w:szCs w:val="23"/>
          <w:lang w:val="en-GB"/>
        </w:rPr>
      </w:pPr>
      <w:r>
        <w:rPr>
          <w:rFonts w:asciiTheme="majorHAnsi" w:eastAsiaTheme="majorEastAsia" w:hAnsiTheme="majorHAnsi" w:cstheme="majorBidi"/>
          <w:sz w:val="23"/>
          <w:szCs w:val="23"/>
          <w:lang w:val="en-GB"/>
        </w:rPr>
        <w:t>E</w:t>
      </w:r>
      <w:r w:rsidRPr="766E2159">
        <w:rPr>
          <w:rFonts w:asciiTheme="majorHAnsi" w:eastAsiaTheme="majorEastAsia" w:hAnsiTheme="majorHAnsi" w:cstheme="majorBidi"/>
          <w:sz w:val="23"/>
          <w:szCs w:val="23"/>
          <w:lang w:val="en-GB"/>
        </w:rPr>
        <w:t xml:space="preserve">xisting or entrenched issues for </w:t>
      </w:r>
      <w:r>
        <w:rPr>
          <w:rFonts w:asciiTheme="majorHAnsi" w:eastAsiaTheme="majorEastAsia" w:hAnsiTheme="majorHAnsi" w:cstheme="majorBidi"/>
          <w:sz w:val="23"/>
          <w:szCs w:val="23"/>
          <w:lang w:val="en-GB"/>
        </w:rPr>
        <w:t>the three</w:t>
      </w:r>
      <w:r w:rsidRPr="766E2159">
        <w:rPr>
          <w:rFonts w:asciiTheme="majorHAnsi" w:eastAsiaTheme="majorEastAsia" w:hAnsiTheme="majorHAnsi" w:cstheme="majorBidi"/>
          <w:sz w:val="23"/>
          <w:szCs w:val="23"/>
          <w:lang w:val="en-GB"/>
        </w:rPr>
        <w:t xml:space="preserve"> </w:t>
      </w:r>
      <w:r>
        <w:rPr>
          <w:rFonts w:asciiTheme="majorHAnsi" w:eastAsiaTheme="majorEastAsia" w:hAnsiTheme="majorHAnsi" w:cstheme="majorBidi"/>
          <w:sz w:val="23"/>
          <w:szCs w:val="23"/>
          <w:lang w:val="en-GB"/>
        </w:rPr>
        <w:t xml:space="preserve">communities </w:t>
      </w:r>
      <w:r w:rsidRPr="766E2159">
        <w:rPr>
          <w:rFonts w:asciiTheme="majorHAnsi" w:eastAsiaTheme="majorEastAsia" w:hAnsiTheme="majorHAnsi" w:cstheme="majorBidi"/>
          <w:sz w:val="23"/>
          <w:szCs w:val="23"/>
          <w:lang w:val="en-GB"/>
        </w:rPr>
        <w:t xml:space="preserve">were amplified or compounded by the challenges </w:t>
      </w:r>
      <w:r w:rsidR="00E84488">
        <w:rPr>
          <w:rFonts w:asciiTheme="majorHAnsi" w:eastAsiaTheme="majorEastAsia" w:hAnsiTheme="majorHAnsi" w:cstheme="majorBidi"/>
          <w:sz w:val="23"/>
          <w:szCs w:val="23"/>
          <w:lang w:val="en-GB"/>
        </w:rPr>
        <w:t>of the</w:t>
      </w:r>
      <w:r w:rsidRPr="766E2159">
        <w:rPr>
          <w:rFonts w:asciiTheme="majorHAnsi" w:eastAsiaTheme="majorEastAsia" w:hAnsiTheme="majorHAnsi" w:cstheme="majorBidi"/>
          <w:sz w:val="23"/>
          <w:szCs w:val="23"/>
          <w:lang w:val="en-GB"/>
        </w:rPr>
        <w:t xml:space="preserve"> pandemic. The history of </w:t>
      </w:r>
      <w:r>
        <w:rPr>
          <w:rFonts w:asciiTheme="majorHAnsi" w:eastAsiaTheme="majorEastAsia" w:hAnsiTheme="majorHAnsi" w:cstheme="majorBidi"/>
          <w:sz w:val="23"/>
          <w:szCs w:val="23"/>
          <w:lang w:val="en-GB"/>
        </w:rPr>
        <w:t>the</w:t>
      </w:r>
      <w:r w:rsidRPr="766E2159">
        <w:rPr>
          <w:rFonts w:asciiTheme="majorHAnsi" w:eastAsiaTheme="majorEastAsia" w:hAnsiTheme="majorHAnsi" w:cstheme="majorBidi"/>
          <w:sz w:val="23"/>
          <w:szCs w:val="23"/>
          <w:lang w:val="en-GB"/>
        </w:rPr>
        <w:t xml:space="preserve"> communit</w:t>
      </w:r>
      <w:r>
        <w:rPr>
          <w:rFonts w:asciiTheme="majorHAnsi" w:eastAsiaTheme="majorEastAsia" w:hAnsiTheme="majorHAnsi" w:cstheme="majorBidi"/>
          <w:sz w:val="23"/>
          <w:szCs w:val="23"/>
          <w:lang w:val="en-GB"/>
        </w:rPr>
        <w:t>ies</w:t>
      </w:r>
      <w:r w:rsidRPr="766E2159">
        <w:rPr>
          <w:rFonts w:asciiTheme="majorHAnsi" w:eastAsiaTheme="majorEastAsia" w:hAnsiTheme="majorHAnsi" w:cstheme="majorBidi"/>
          <w:sz w:val="23"/>
          <w:szCs w:val="23"/>
          <w:lang w:val="en-GB"/>
        </w:rPr>
        <w:t xml:space="preserve"> was also acknowledged to be an important contextual factor, </w:t>
      </w:r>
      <w:r w:rsidR="00E84488">
        <w:rPr>
          <w:rFonts w:asciiTheme="majorHAnsi" w:eastAsiaTheme="majorEastAsia" w:hAnsiTheme="majorHAnsi" w:cstheme="majorBidi"/>
          <w:sz w:val="23"/>
          <w:szCs w:val="23"/>
          <w:lang w:val="en-GB"/>
        </w:rPr>
        <w:t>including</w:t>
      </w:r>
      <w:r w:rsidRPr="766E2159">
        <w:rPr>
          <w:rFonts w:asciiTheme="majorHAnsi" w:eastAsiaTheme="majorEastAsia" w:hAnsiTheme="majorHAnsi" w:cstheme="majorBidi"/>
          <w:sz w:val="23"/>
          <w:szCs w:val="23"/>
          <w:lang w:val="en-GB"/>
        </w:rPr>
        <w:t xml:space="preserve"> both the recent past and longer-term trends such as demographic changes. </w:t>
      </w:r>
    </w:p>
    <w:p w14:paraId="3C1856F4" w14:textId="52CD3312" w:rsidR="00F00E3D" w:rsidRPr="00D044DE" w:rsidRDefault="00300D6F" w:rsidP="009B2FA7">
      <w:pPr>
        <w:rPr>
          <w:rFonts w:asciiTheme="majorHAnsi" w:eastAsiaTheme="majorEastAsia" w:hAnsiTheme="majorHAnsi" w:cstheme="majorBidi"/>
          <w:sz w:val="23"/>
          <w:szCs w:val="23"/>
          <w:lang w:val="en-GB"/>
        </w:rPr>
      </w:pPr>
      <w:r>
        <w:rPr>
          <w:rFonts w:asciiTheme="majorHAnsi" w:eastAsiaTheme="majorEastAsia" w:hAnsiTheme="majorHAnsi" w:cstheme="majorBidi"/>
          <w:sz w:val="23"/>
          <w:szCs w:val="23"/>
          <w:lang w:val="en-GB"/>
        </w:rPr>
        <w:t>At the time of writing</w:t>
      </w:r>
      <w:r w:rsidR="00B442EA">
        <w:rPr>
          <w:rFonts w:asciiTheme="majorHAnsi" w:eastAsiaTheme="majorEastAsia" w:hAnsiTheme="majorHAnsi" w:cstheme="majorBidi"/>
          <w:sz w:val="23"/>
          <w:szCs w:val="23"/>
          <w:lang w:val="en-GB"/>
        </w:rPr>
        <w:t>,</w:t>
      </w:r>
      <w:r w:rsidR="00880F1A">
        <w:rPr>
          <w:rFonts w:asciiTheme="majorHAnsi" w:eastAsiaTheme="majorEastAsia" w:hAnsiTheme="majorHAnsi" w:cstheme="majorBidi"/>
          <w:sz w:val="23"/>
          <w:szCs w:val="23"/>
          <w:lang w:val="en-GB"/>
        </w:rPr>
        <w:t xml:space="preserve"> </w:t>
      </w:r>
      <w:r w:rsidR="003F3B51">
        <w:rPr>
          <w:rFonts w:asciiTheme="majorHAnsi" w:eastAsiaTheme="majorEastAsia" w:hAnsiTheme="majorHAnsi" w:cstheme="majorBidi"/>
          <w:sz w:val="23"/>
          <w:szCs w:val="23"/>
          <w:lang w:val="en-GB"/>
        </w:rPr>
        <w:t>COVID-19</w:t>
      </w:r>
      <w:r w:rsidR="00F00E3D" w:rsidRPr="766E2159">
        <w:rPr>
          <w:rFonts w:asciiTheme="majorHAnsi" w:eastAsiaTheme="majorEastAsia" w:hAnsiTheme="majorHAnsi" w:cstheme="majorBidi"/>
          <w:sz w:val="23"/>
          <w:szCs w:val="23"/>
          <w:lang w:val="en-GB"/>
        </w:rPr>
        <w:t xml:space="preserve"> was not perceived to have </w:t>
      </w:r>
      <w:r w:rsidR="00E84488">
        <w:rPr>
          <w:rFonts w:asciiTheme="majorHAnsi" w:eastAsiaTheme="majorEastAsia" w:hAnsiTheme="majorHAnsi" w:cstheme="majorBidi"/>
          <w:sz w:val="23"/>
          <w:szCs w:val="23"/>
          <w:lang w:val="en-GB"/>
        </w:rPr>
        <w:t>had</w:t>
      </w:r>
      <w:r w:rsidR="00F00E3D" w:rsidRPr="766E2159">
        <w:rPr>
          <w:rFonts w:asciiTheme="majorHAnsi" w:eastAsiaTheme="majorEastAsia" w:hAnsiTheme="majorHAnsi" w:cstheme="majorBidi"/>
          <w:sz w:val="23"/>
          <w:szCs w:val="23"/>
          <w:lang w:val="en-GB"/>
        </w:rPr>
        <w:t xml:space="preserve"> a significant negative </w:t>
      </w:r>
      <w:r>
        <w:rPr>
          <w:rFonts w:asciiTheme="majorHAnsi" w:eastAsiaTheme="majorEastAsia" w:hAnsiTheme="majorHAnsi" w:cstheme="majorBidi"/>
          <w:sz w:val="23"/>
          <w:szCs w:val="23"/>
          <w:lang w:val="en-GB"/>
        </w:rPr>
        <w:t>effect</w:t>
      </w:r>
      <w:r w:rsidR="00F00E3D" w:rsidRPr="766E2159">
        <w:rPr>
          <w:rFonts w:asciiTheme="majorHAnsi" w:eastAsiaTheme="majorEastAsia" w:hAnsiTheme="majorHAnsi" w:cstheme="majorBidi"/>
          <w:sz w:val="23"/>
          <w:szCs w:val="23"/>
          <w:lang w:val="en-GB"/>
        </w:rPr>
        <w:t xml:space="preserve"> on </w:t>
      </w:r>
      <w:r w:rsidR="004A0AD3">
        <w:rPr>
          <w:rFonts w:asciiTheme="majorHAnsi" w:eastAsiaTheme="majorEastAsia" w:hAnsiTheme="majorHAnsi" w:cstheme="majorBidi"/>
          <w:sz w:val="23"/>
          <w:szCs w:val="23"/>
          <w:lang w:val="en-GB"/>
        </w:rPr>
        <w:t>local</w:t>
      </w:r>
      <w:r w:rsidR="00F00E3D" w:rsidRPr="766E2159">
        <w:rPr>
          <w:rFonts w:asciiTheme="majorHAnsi" w:eastAsiaTheme="majorEastAsia" w:hAnsiTheme="majorHAnsi" w:cstheme="majorBidi"/>
          <w:sz w:val="23"/>
          <w:szCs w:val="23"/>
          <w:lang w:val="en-GB"/>
        </w:rPr>
        <w:t xml:space="preserve"> unemployment,</w:t>
      </w:r>
      <w:r w:rsidR="00880F1A">
        <w:rPr>
          <w:rFonts w:asciiTheme="majorHAnsi" w:eastAsiaTheme="majorEastAsia" w:hAnsiTheme="majorHAnsi" w:cstheme="majorBidi"/>
          <w:sz w:val="23"/>
          <w:szCs w:val="23"/>
          <w:lang w:val="en-GB"/>
        </w:rPr>
        <w:t xml:space="preserve"> </w:t>
      </w:r>
      <w:r>
        <w:rPr>
          <w:rFonts w:asciiTheme="majorHAnsi" w:eastAsiaTheme="majorEastAsia" w:hAnsiTheme="majorHAnsi" w:cstheme="majorBidi"/>
          <w:sz w:val="23"/>
          <w:szCs w:val="23"/>
          <w:lang w:val="en-GB"/>
        </w:rPr>
        <w:t xml:space="preserve">but </w:t>
      </w:r>
      <w:r w:rsidR="00880F1A">
        <w:rPr>
          <w:rFonts w:asciiTheme="majorHAnsi" w:eastAsiaTheme="majorEastAsia" w:hAnsiTheme="majorHAnsi" w:cstheme="majorBidi"/>
          <w:sz w:val="23"/>
          <w:szCs w:val="23"/>
          <w:lang w:val="en-GB"/>
        </w:rPr>
        <w:t>th</w:t>
      </w:r>
      <w:r w:rsidR="004A0AD3">
        <w:rPr>
          <w:rFonts w:asciiTheme="majorHAnsi" w:eastAsiaTheme="majorEastAsia" w:hAnsiTheme="majorHAnsi" w:cstheme="majorBidi"/>
          <w:sz w:val="23"/>
          <w:szCs w:val="23"/>
          <w:lang w:val="en-GB"/>
        </w:rPr>
        <w:t xml:space="preserve">e true impacts </w:t>
      </w:r>
      <w:r>
        <w:rPr>
          <w:rFonts w:asciiTheme="majorHAnsi" w:eastAsiaTheme="majorEastAsia" w:hAnsiTheme="majorHAnsi" w:cstheme="majorBidi"/>
          <w:sz w:val="23"/>
          <w:szCs w:val="23"/>
          <w:lang w:val="en-GB"/>
        </w:rPr>
        <w:t>will</w:t>
      </w:r>
      <w:r w:rsidR="004A0AD3">
        <w:rPr>
          <w:rFonts w:asciiTheme="majorHAnsi" w:eastAsiaTheme="majorEastAsia" w:hAnsiTheme="majorHAnsi" w:cstheme="majorBidi"/>
          <w:sz w:val="23"/>
          <w:szCs w:val="23"/>
          <w:lang w:val="en-GB"/>
        </w:rPr>
        <w:t xml:space="preserve"> </w:t>
      </w:r>
      <w:r>
        <w:rPr>
          <w:rFonts w:asciiTheme="majorHAnsi" w:eastAsiaTheme="majorEastAsia" w:hAnsiTheme="majorHAnsi" w:cstheme="majorBidi"/>
          <w:sz w:val="23"/>
          <w:szCs w:val="23"/>
          <w:lang w:val="en-GB"/>
        </w:rPr>
        <w:t>emerge</w:t>
      </w:r>
      <w:r w:rsidR="00B66FC0">
        <w:rPr>
          <w:rFonts w:asciiTheme="majorHAnsi" w:eastAsiaTheme="majorEastAsia" w:hAnsiTheme="majorHAnsi" w:cstheme="majorBidi"/>
          <w:sz w:val="23"/>
          <w:szCs w:val="23"/>
          <w:lang w:val="en-GB"/>
        </w:rPr>
        <w:t xml:space="preserve"> in coming months</w:t>
      </w:r>
      <w:r w:rsidR="006F4C3A">
        <w:rPr>
          <w:rFonts w:asciiTheme="majorHAnsi" w:eastAsiaTheme="majorEastAsia" w:hAnsiTheme="majorHAnsi" w:cstheme="majorBidi"/>
          <w:sz w:val="23"/>
          <w:szCs w:val="23"/>
          <w:lang w:val="en-GB"/>
        </w:rPr>
        <w:t>, as</w:t>
      </w:r>
      <w:r w:rsidR="00A07843">
        <w:rPr>
          <w:rFonts w:asciiTheme="majorHAnsi" w:eastAsiaTheme="majorEastAsia" w:hAnsiTheme="majorHAnsi" w:cstheme="majorBidi"/>
          <w:sz w:val="23"/>
          <w:szCs w:val="23"/>
          <w:lang w:val="en-GB"/>
        </w:rPr>
        <w:t xml:space="preserve"> </w:t>
      </w:r>
      <w:r w:rsidR="00250747">
        <w:rPr>
          <w:rFonts w:asciiTheme="majorHAnsi" w:eastAsiaTheme="majorEastAsia" w:hAnsiTheme="majorHAnsi" w:cstheme="majorBidi"/>
          <w:sz w:val="23"/>
          <w:szCs w:val="23"/>
          <w:lang w:val="en-GB"/>
        </w:rPr>
        <w:t xml:space="preserve">key </w:t>
      </w:r>
      <w:r>
        <w:rPr>
          <w:rFonts w:asciiTheme="majorHAnsi" w:eastAsiaTheme="majorEastAsia" w:hAnsiTheme="majorHAnsi" w:cstheme="majorBidi"/>
          <w:sz w:val="23"/>
          <w:szCs w:val="23"/>
          <w:lang w:val="en-GB"/>
        </w:rPr>
        <w:t>F</w:t>
      </w:r>
      <w:r w:rsidR="006F4C3A">
        <w:rPr>
          <w:rFonts w:asciiTheme="majorHAnsi" w:eastAsiaTheme="majorEastAsia" w:hAnsiTheme="majorHAnsi" w:cstheme="majorBidi"/>
          <w:sz w:val="23"/>
          <w:szCs w:val="23"/>
          <w:lang w:val="en-GB"/>
        </w:rPr>
        <w:t>ederal</w:t>
      </w:r>
      <w:r>
        <w:rPr>
          <w:rFonts w:asciiTheme="majorHAnsi" w:eastAsiaTheme="majorEastAsia" w:hAnsiTheme="majorHAnsi" w:cstheme="majorBidi"/>
          <w:sz w:val="23"/>
          <w:szCs w:val="23"/>
          <w:lang w:val="en-GB"/>
        </w:rPr>
        <w:t xml:space="preserve"> Government</w:t>
      </w:r>
      <w:r w:rsidR="00A07843">
        <w:rPr>
          <w:rFonts w:asciiTheme="majorHAnsi" w:eastAsiaTheme="majorEastAsia" w:hAnsiTheme="majorHAnsi" w:cstheme="majorBidi"/>
          <w:sz w:val="23"/>
          <w:szCs w:val="23"/>
          <w:lang w:val="en-GB"/>
        </w:rPr>
        <w:t xml:space="preserve"> support </w:t>
      </w:r>
      <w:r>
        <w:rPr>
          <w:rFonts w:asciiTheme="majorHAnsi" w:eastAsiaTheme="majorEastAsia" w:hAnsiTheme="majorHAnsi" w:cstheme="majorBidi"/>
          <w:sz w:val="23"/>
          <w:szCs w:val="23"/>
          <w:lang w:val="en-GB"/>
        </w:rPr>
        <w:t>payments</w:t>
      </w:r>
      <w:r w:rsidR="00250747">
        <w:rPr>
          <w:rFonts w:asciiTheme="majorHAnsi" w:eastAsiaTheme="majorEastAsia" w:hAnsiTheme="majorHAnsi" w:cstheme="majorBidi"/>
          <w:sz w:val="23"/>
          <w:szCs w:val="23"/>
          <w:lang w:val="en-GB"/>
        </w:rPr>
        <w:t xml:space="preserve"> </w:t>
      </w:r>
      <w:r>
        <w:rPr>
          <w:rFonts w:asciiTheme="majorHAnsi" w:eastAsiaTheme="majorEastAsia" w:hAnsiTheme="majorHAnsi" w:cstheme="majorBidi"/>
          <w:sz w:val="23"/>
          <w:szCs w:val="23"/>
          <w:lang w:val="en-GB"/>
        </w:rPr>
        <w:t>are</w:t>
      </w:r>
      <w:r w:rsidR="006F4C3A">
        <w:rPr>
          <w:rFonts w:asciiTheme="majorHAnsi" w:eastAsiaTheme="majorEastAsia" w:hAnsiTheme="majorHAnsi" w:cstheme="majorBidi"/>
          <w:sz w:val="23"/>
          <w:szCs w:val="23"/>
          <w:lang w:val="en-GB"/>
        </w:rPr>
        <w:t xml:space="preserve"> </w:t>
      </w:r>
      <w:r>
        <w:rPr>
          <w:rFonts w:asciiTheme="majorHAnsi" w:eastAsiaTheme="majorEastAsia" w:hAnsiTheme="majorHAnsi" w:cstheme="majorBidi"/>
          <w:sz w:val="23"/>
          <w:szCs w:val="23"/>
          <w:lang w:val="en-GB"/>
        </w:rPr>
        <w:t>discontinued (from 28 March 2021)</w:t>
      </w:r>
      <w:r w:rsidR="004A0AD3">
        <w:rPr>
          <w:rFonts w:asciiTheme="majorHAnsi" w:eastAsiaTheme="majorEastAsia" w:hAnsiTheme="majorHAnsi" w:cstheme="majorBidi"/>
          <w:sz w:val="23"/>
          <w:szCs w:val="23"/>
          <w:lang w:val="en-GB"/>
        </w:rPr>
        <w:t>.</w:t>
      </w:r>
      <w:r w:rsidR="00F00E3D" w:rsidRPr="766E2159">
        <w:rPr>
          <w:rFonts w:asciiTheme="majorHAnsi" w:eastAsiaTheme="majorEastAsia" w:hAnsiTheme="majorHAnsi" w:cstheme="majorBidi"/>
          <w:sz w:val="23"/>
          <w:szCs w:val="23"/>
          <w:lang w:val="en-GB"/>
        </w:rPr>
        <w:t xml:space="preserve"> </w:t>
      </w:r>
      <w:r w:rsidR="003E4C9A">
        <w:rPr>
          <w:rFonts w:asciiTheme="majorHAnsi" w:eastAsiaTheme="majorEastAsia" w:hAnsiTheme="majorHAnsi" w:cstheme="majorBidi"/>
          <w:sz w:val="23"/>
          <w:szCs w:val="23"/>
          <w:lang w:val="en-GB"/>
        </w:rPr>
        <w:t>However</w:t>
      </w:r>
      <w:r w:rsidR="00E84488">
        <w:rPr>
          <w:rFonts w:asciiTheme="majorHAnsi" w:eastAsiaTheme="majorEastAsia" w:hAnsiTheme="majorHAnsi" w:cstheme="majorBidi"/>
          <w:sz w:val="23"/>
          <w:szCs w:val="23"/>
          <w:lang w:val="en-GB"/>
        </w:rPr>
        <w:t>,</w:t>
      </w:r>
      <w:r w:rsidR="003E4C9A">
        <w:rPr>
          <w:rFonts w:asciiTheme="majorHAnsi" w:eastAsiaTheme="majorEastAsia" w:hAnsiTheme="majorHAnsi" w:cstheme="majorBidi"/>
          <w:sz w:val="23"/>
          <w:szCs w:val="23"/>
          <w:lang w:val="en-GB"/>
        </w:rPr>
        <w:t xml:space="preserve"> </w:t>
      </w:r>
      <w:r>
        <w:rPr>
          <w:rFonts w:asciiTheme="majorHAnsi" w:eastAsiaTheme="majorEastAsia" w:hAnsiTheme="majorHAnsi" w:cstheme="majorBidi"/>
          <w:sz w:val="23"/>
          <w:szCs w:val="23"/>
          <w:lang w:val="en-GB"/>
        </w:rPr>
        <w:t xml:space="preserve">local </w:t>
      </w:r>
      <w:r w:rsidR="003E4C9A">
        <w:rPr>
          <w:rFonts w:asciiTheme="majorHAnsi" w:eastAsiaTheme="majorEastAsia" w:hAnsiTheme="majorHAnsi" w:cstheme="majorBidi"/>
          <w:sz w:val="23"/>
          <w:szCs w:val="23"/>
          <w:lang w:val="en-GB"/>
        </w:rPr>
        <w:t>v</w:t>
      </w:r>
      <w:r w:rsidR="00F00E3D" w:rsidRPr="766E2159">
        <w:rPr>
          <w:rFonts w:asciiTheme="majorHAnsi" w:eastAsiaTheme="majorEastAsia" w:hAnsiTheme="majorHAnsi" w:cstheme="majorBidi"/>
          <w:sz w:val="23"/>
          <w:szCs w:val="23"/>
          <w:lang w:val="en-GB"/>
        </w:rPr>
        <w:t>olunteer employment</w:t>
      </w:r>
      <w:r>
        <w:rPr>
          <w:rFonts w:asciiTheme="majorHAnsi" w:eastAsiaTheme="majorEastAsia" w:hAnsiTheme="majorHAnsi" w:cstheme="majorBidi"/>
          <w:sz w:val="23"/>
          <w:szCs w:val="23"/>
          <w:lang w:val="en-GB"/>
        </w:rPr>
        <w:t xml:space="preserve"> </w:t>
      </w:r>
      <w:r w:rsidR="00F00E3D" w:rsidRPr="766E2159">
        <w:rPr>
          <w:rFonts w:asciiTheme="majorHAnsi" w:eastAsiaTheme="majorEastAsia" w:hAnsiTheme="majorHAnsi" w:cstheme="majorBidi"/>
          <w:sz w:val="23"/>
          <w:szCs w:val="23"/>
          <w:lang w:val="en-GB"/>
        </w:rPr>
        <w:t>was significantly impacted</w:t>
      </w:r>
      <w:r w:rsidR="003E4C9A">
        <w:rPr>
          <w:rFonts w:asciiTheme="majorHAnsi" w:eastAsiaTheme="majorEastAsia" w:hAnsiTheme="majorHAnsi" w:cstheme="majorBidi"/>
          <w:sz w:val="23"/>
          <w:szCs w:val="23"/>
          <w:lang w:val="en-GB"/>
        </w:rPr>
        <w:t>,</w:t>
      </w:r>
      <w:r w:rsidR="00F00E3D" w:rsidRPr="766E2159">
        <w:rPr>
          <w:rFonts w:asciiTheme="majorHAnsi" w:eastAsiaTheme="majorEastAsia" w:hAnsiTheme="majorHAnsi" w:cstheme="majorBidi"/>
          <w:sz w:val="23"/>
          <w:szCs w:val="23"/>
          <w:lang w:val="en-GB"/>
        </w:rPr>
        <w:t xml:space="preserve"> as these workers were not considered </w:t>
      </w:r>
      <w:r w:rsidR="00F73019">
        <w:rPr>
          <w:rFonts w:asciiTheme="majorHAnsi" w:eastAsiaTheme="majorEastAsia" w:hAnsiTheme="majorHAnsi" w:cstheme="majorBidi"/>
          <w:sz w:val="23"/>
          <w:szCs w:val="23"/>
          <w:lang w:val="en-GB"/>
        </w:rPr>
        <w:t>“</w:t>
      </w:r>
      <w:r w:rsidR="00F00E3D" w:rsidRPr="766E2159">
        <w:rPr>
          <w:rFonts w:asciiTheme="majorHAnsi" w:eastAsiaTheme="majorEastAsia" w:hAnsiTheme="majorHAnsi" w:cstheme="majorBidi"/>
          <w:sz w:val="23"/>
          <w:szCs w:val="23"/>
          <w:lang w:val="en-GB"/>
        </w:rPr>
        <w:t>essential</w:t>
      </w:r>
      <w:r w:rsidR="00F73019">
        <w:rPr>
          <w:rFonts w:asciiTheme="majorHAnsi" w:eastAsiaTheme="majorEastAsia" w:hAnsiTheme="majorHAnsi" w:cstheme="majorBidi"/>
          <w:sz w:val="23"/>
          <w:szCs w:val="23"/>
          <w:lang w:val="en-GB"/>
        </w:rPr>
        <w:t>”,</w:t>
      </w:r>
      <w:r w:rsidR="00F00E3D" w:rsidRPr="766E2159">
        <w:rPr>
          <w:rFonts w:asciiTheme="majorHAnsi" w:eastAsiaTheme="majorEastAsia" w:hAnsiTheme="majorHAnsi" w:cstheme="majorBidi"/>
          <w:sz w:val="23"/>
          <w:szCs w:val="23"/>
          <w:lang w:val="en-GB"/>
        </w:rPr>
        <w:t xml:space="preserve"> and became disengaged from their usual roles.</w:t>
      </w:r>
      <w:r w:rsidR="00F00E3D">
        <w:rPr>
          <w:rFonts w:asciiTheme="majorHAnsi" w:eastAsiaTheme="majorEastAsia" w:hAnsiTheme="majorHAnsi" w:cstheme="majorBidi"/>
          <w:sz w:val="23"/>
          <w:szCs w:val="23"/>
          <w:lang w:val="en-GB"/>
        </w:rPr>
        <w:t xml:space="preserve"> </w:t>
      </w:r>
      <w:r w:rsidR="00F00E3D" w:rsidRPr="006325CF">
        <w:rPr>
          <w:rFonts w:asciiTheme="majorHAnsi" w:eastAsiaTheme="majorEastAsia" w:hAnsiTheme="majorHAnsi" w:cstheme="majorBidi"/>
          <w:sz w:val="23"/>
          <w:szCs w:val="23"/>
          <w:lang w:val="en-GB"/>
        </w:rPr>
        <w:t xml:space="preserve">Employment </w:t>
      </w:r>
      <w:r w:rsidR="003E4C9A">
        <w:rPr>
          <w:rFonts w:asciiTheme="majorHAnsi" w:eastAsiaTheme="majorEastAsia" w:hAnsiTheme="majorHAnsi" w:cstheme="majorBidi"/>
          <w:sz w:val="23"/>
          <w:szCs w:val="23"/>
          <w:lang w:val="en-GB"/>
        </w:rPr>
        <w:t>was also</w:t>
      </w:r>
      <w:r w:rsidR="00F00E3D">
        <w:rPr>
          <w:rFonts w:asciiTheme="majorHAnsi" w:eastAsiaTheme="majorEastAsia" w:hAnsiTheme="majorHAnsi" w:cstheme="majorBidi"/>
          <w:sz w:val="23"/>
          <w:szCs w:val="23"/>
          <w:lang w:val="en-GB"/>
        </w:rPr>
        <w:t xml:space="preserve"> identified in a recent report for </w:t>
      </w:r>
      <w:r w:rsidR="001B7DDF">
        <w:rPr>
          <w:rFonts w:asciiTheme="majorHAnsi" w:eastAsiaTheme="majorEastAsia" w:hAnsiTheme="majorHAnsi" w:cstheme="majorBidi"/>
          <w:sz w:val="23"/>
          <w:szCs w:val="23"/>
          <w:lang w:val="en-GB"/>
        </w:rPr>
        <w:t>CoGG</w:t>
      </w:r>
      <w:r w:rsidR="00F00E3D">
        <w:rPr>
          <w:rFonts w:asciiTheme="majorHAnsi" w:eastAsiaTheme="majorEastAsia" w:hAnsiTheme="majorHAnsi" w:cstheme="majorBidi"/>
          <w:sz w:val="23"/>
          <w:szCs w:val="23"/>
          <w:lang w:val="en-GB"/>
        </w:rPr>
        <w:t xml:space="preserve"> as a</w:t>
      </w:r>
      <w:r w:rsidR="00F00E3D" w:rsidRPr="006325CF">
        <w:rPr>
          <w:rFonts w:asciiTheme="majorHAnsi" w:eastAsiaTheme="majorEastAsia" w:hAnsiTheme="majorHAnsi" w:cstheme="majorBidi"/>
          <w:sz w:val="23"/>
          <w:szCs w:val="23"/>
          <w:lang w:val="en-GB"/>
        </w:rPr>
        <w:t xml:space="preserve"> standout area of significant impact, both positive and negative, for women</w:t>
      </w:r>
      <w:r w:rsidR="00F00E3D">
        <w:rPr>
          <w:rFonts w:asciiTheme="majorHAnsi" w:eastAsiaTheme="majorEastAsia" w:hAnsiTheme="majorHAnsi" w:cstheme="majorBidi"/>
          <w:sz w:val="23"/>
          <w:szCs w:val="23"/>
          <w:lang w:val="en-GB"/>
        </w:rPr>
        <w:t xml:space="preserve"> </w:t>
      </w:r>
      <w:r w:rsidR="00F00E3D">
        <w:rPr>
          <w:rFonts w:asciiTheme="majorHAnsi" w:eastAsiaTheme="majorEastAsia" w:hAnsiTheme="majorHAnsi" w:cstheme="majorBidi"/>
          <w:noProof/>
          <w:sz w:val="23"/>
          <w:szCs w:val="23"/>
          <w:lang w:val="en-GB"/>
        </w:rPr>
        <w:t>(Montague &amp; Stubbings, 2021)</w:t>
      </w:r>
      <w:r w:rsidR="00F00E3D" w:rsidRPr="006325CF">
        <w:rPr>
          <w:rFonts w:asciiTheme="majorHAnsi" w:eastAsiaTheme="majorEastAsia" w:hAnsiTheme="majorHAnsi" w:cstheme="majorBidi"/>
          <w:sz w:val="23"/>
          <w:szCs w:val="23"/>
          <w:lang w:val="en-GB"/>
        </w:rPr>
        <w:t>.</w:t>
      </w:r>
    </w:p>
    <w:p w14:paraId="0CCC942D" w14:textId="105799B3" w:rsidR="00F00E3D" w:rsidRDefault="00F00E3D" w:rsidP="009B2FA7">
      <w:pPr>
        <w:rPr>
          <w:rFonts w:asciiTheme="majorHAnsi" w:eastAsiaTheme="majorEastAsia" w:hAnsiTheme="majorHAnsi" w:cstheme="majorBidi"/>
          <w:sz w:val="23"/>
          <w:szCs w:val="23"/>
          <w:lang w:val="en-GB"/>
        </w:rPr>
      </w:pPr>
      <w:r w:rsidRPr="766E2159">
        <w:rPr>
          <w:rFonts w:asciiTheme="majorHAnsi" w:eastAsiaTheme="majorEastAsia" w:hAnsiTheme="majorHAnsi" w:cstheme="majorBidi"/>
          <w:sz w:val="23"/>
          <w:szCs w:val="23"/>
          <w:lang w:val="en-GB"/>
        </w:rPr>
        <w:t>Negative education</w:t>
      </w:r>
      <w:r w:rsidR="0012692C">
        <w:rPr>
          <w:rFonts w:asciiTheme="majorHAnsi" w:eastAsiaTheme="majorEastAsia" w:hAnsiTheme="majorHAnsi" w:cstheme="majorBidi"/>
          <w:sz w:val="23"/>
          <w:szCs w:val="23"/>
          <w:lang w:val="en-GB"/>
        </w:rPr>
        <w:t xml:space="preserve"> impacts</w:t>
      </w:r>
      <w:r w:rsidRPr="766E2159">
        <w:rPr>
          <w:rFonts w:asciiTheme="majorHAnsi" w:eastAsiaTheme="majorEastAsia" w:hAnsiTheme="majorHAnsi" w:cstheme="majorBidi"/>
          <w:sz w:val="23"/>
          <w:szCs w:val="23"/>
          <w:lang w:val="en-GB"/>
        </w:rPr>
        <w:t xml:space="preserve"> were reported</w:t>
      </w:r>
      <w:r w:rsidR="00F73019">
        <w:rPr>
          <w:rFonts w:asciiTheme="majorHAnsi" w:eastAsiaTheme="majorEastAsia" w:hAnsiTheme="majorHAnsi" w:cstheme="majorBidi"/>
          <w:sz w:val="23"/>
          <w:szCs w:val="23"/>
          <w:lang w:val="en-GB"/>
        </w:rPr>
        <w:t xml:space="preserve">, including </w:t>
      </w:r>
      <w:r w:rsidRPr="766E2159">
        <w:rPr>
          <w:rFonts w:asciiTheme="majorHAnsi" w:eastAsiaTheme="majorEastAsia" w:hAnsiTheme="majorHAnsi" w:cstheme="majorBidi"/>
          <w:sz w:val="23"/>
          <w:szCs w:val="23"/>
          <w:lang w:val="en-GB"/>
        </w:rPr>
        <w:t>“</w:t>
      </w:r>
      <w:r w:rsidR="00940D80">
        <w:rPr>
          <w:rFonts w:asciiTheme="majorHAnsi" w:eastAsiaTheme="majorEastAsia" w:hAnsiTheme="majorHAnsi" w:cstheme="majorBidi"/>
          <w:sz w:val="23"/>
          <w:szCs w:val="23"/>
          <w:lang w:val="en-GB"/>
        </w:rPr>
        <w:t>COVID</w:t>
      </w:r>
      <w:r w:rsidRPr="766E2159">
        <w:rPr>
          <w:rFonts w:asciiTheme="majorHAnsi" w:eastAsiaTheme="majorEastAsia" w:hAnsiTheme="majorHAnsi" w:cstheme="majorBidi"/>
          <w:sz w:val="23"/>
          <w:szCs w:val="23"/>
          <w:lang w:val="en-GB"/>
        </w:rPr>
        <w:t xml:space="preserve"> babies</w:t>
      </w:r>
      <w:r>
        <w:rPr>
          <w:rFonts w:asciiTheme="majorHAnsi" w:eastAsiaTheme="majorEastAsia" w:hAnsiTheme="majorHAnsi" w:cstheme="majorBidi"/>
          <w:sz w:val="23"/>
          <w:szCs w:val="23"/>
          <w:lang w:val="en-GB"/>
        </w:rPr>
        <w:t>” and</w:t>
      </w:r>
      <w:r w:rsidRPr="766E2159">
        <w:rPr>
          <w:rFonts w:asciiTheme="majorHAnsi" w:eastAsiaTheme="majorEastAsia" w:hAnsiTheme="majorHAnsi" w:cstheme="majorBidi"/>
          <w:sz w:val="23"/>
          <w:szCs w:val="23"/>
          <w:lang w:val="en-GB"/>
        </w:rPr>
        <w:t xml:space="preserve"> pre-school children missing out on socialisation. The education of school-age children was </w:t>
      </w:r>
      <w:r>
        <w:rPr>
          <w:rFonts w:asciiTheme="majorHAnsi" w:eastAsiaTheme="majorEastAsia" w:hAnsiTheme="majorHAnsi" w:cstheme="majorBidi"/>
          <w:sz w:val="23"/>
          <w:szCs w:val="23"/>
          <w:lang w:val="en-GB"/>
        </w:rPr>
        <w:t xml:space="preserve">also </w:t>
      </w:r>
      <w:r w:rsidRPr="766E2159">
        <w:rPr>
          <w:rFonts w:asciiTheme="majorHAnsi" w:eastAsiaTheme="majorEastAsia" w:hAnsiTheme="majorHAnsi" w:cstheme="majorBidi"/>
          <w:sz w:val="23"/>
          <w:szCs w:val="23"/>
          <w:lang w:val="en-GB"/>
        </w:rPr>
        <w:t>profoundly affected by the pandemic due to the shift to online learning</w:t>
      </w:r>
      <w:r w:rsidR="00097A01">
        <w:rPr>
          <w:rFonts w:asciiTheme="majorHAnsi" w:eastAsiaTheme="majorEastAsia" w:hAnsiTheme="majorHAnsi" w:cstheme="majorBidi"/>
          <w:sz w:val="23"/>
          <w:szCs w:val="23"/>
          <w:lang w:val="en-GB"/>
        </w:rPr>
        <w:t>,</w:t>
      </w:r>
      <w:r w:rsidRPr="766E2159">
        <w:rPr>
          <w:rFonts w:asciiTheme="majorHAnsi" w:eastAsiaTheme="majorEastAsia" w:hAnsiTheme="majorHAnsi" w:cstheme="majorBidi"/>
          <w:sz w:val="23"/>
          <w:szCs w:val="23"/>
          <w:lang w:val="en-GB"/>
        </w:rPr>
        <w:t xml:space="preserve"> loss of social interaction with peers</w:t>
      </w:r>
      <w:r w:rsidR="00097A01">
        <w:rPr>
          <w:rFonts w:asciiTheme="majorHAnsi" w:eastAsiaTheme="majorEastAsia" w:hAnsiTheme="majorHAnsi" w:cstheme="majorBidi"/>
          <w:sz w:val="23"/>
          <w:szCs w:val="23"/>
          <w:lang w:val="en-GB"/>
        </w:rPr>
        <w:t xml:space="preserve">, and </w:t>
      </w:r>
      <w:r w:rsidR="00A30651">
        <w:rPr>
          <w:rFonts w:asciiTheme="majorHAnsi" w:eastAsiaTheme="majorEastAsia" w:hAnsiTheme="majorHAnsi" w:cstheme="majorBidi"/>
          <w:sz w:val="23"/>
          <w:szCs w:val="23"/>
          <w:lang w:val="en-GB"/>
        </w:rPr>
        <w:t>other</w:t>
      </w:r>
      <w:r w:rsidR="00097A01">
        <w:rPr>
          <w:rFonts w:asciiTheme="majorHAnsi" w:eastAsiaTheme="majorEastAsia" w:hAnsiTheme="majorHAnsi" w:cstheme="majorBidi"/>
          <w:sz w:val="23"/>
          <w:szCs w:val="23"/>
          <w:lang w:val="en-GB"/>
        </w:rPr>
        <w:t xml:space="preserve"> challenges of home schooling</w:t>
      </w:r>
      <w:r w:rsidRPr="766E2159">
        <w:rPr>
          <w:rFonts w:asciiTheme="majorHAnsi" w:eastAsiaTheme="majorEastAsia" w:hAnsiTheme="majorHAnsi" w:cstheme="majorBidi"/>
          <w:sz w:val="23"/>
          <w:szCs w:val="23"/>
          <w:lang w:val="en-GB"/>
        </w:rPr>
        <w:t xml:space="preserve">. Disengagement from education </w:t>
      </w:r>
      <w:r w:rsidR="00166814">
        <w:rPr>
          <w:rFonts w:asciiTheme="majorHAnsi" w:eastAsiaTheme="majorEastAsia" w:hAnsiTheme="majorHAnsi" w:cstheme="majorBidi"/>
          <w:sz w:val="23"/>
          <w:szCs w:val="23"/>
          <w:lang w:val="en-GB"/>
        </w:rPr>
        <w:t>was a</w:t>
      </w:r>
      <w:r w:rsidR="00337FFD">
        <w:rPr>
          <w:rFonts w:asciiTheme="majorHAnsi" w:eastAsiaTheme="majorEastAsia" w:hAnsiTheme="majorHAnsi" w:cstheme="majorBidi"/>
          <w:sz w:val="23"/>
          <w:szCs w:val="23"/>
          <w:lang w:val="en-GB"/>
        </w:rPr>
        <w:t>n issue</w:t>
      </w:r>
      <w:r w:rsidR="00166814">
        <w:rPr>
          <w:rFonts w:asciiTheme="majorHAnsi" w:eastAsiaTheme="majorEastAsia" w:hAnsiTheme="majorHAnsi" w:cstheme="majorBidi"/>
          <w:sz w:val="23"/>
          <w:szCs w:val="23"/>
          <w:lang w:val="en-GB"/>
        </w:rPr>
        <w:t xml:space="preserve">, particularly </w:t>
      </w:r>
      <w:r w:rsidR="00337FFD">
        <w:rPr>
          <w:rFonts w:asciiTheme="majorHAnsi" w:eastAsiaTheme="majorEastAsia" w:hAnsiTheme="majorHAnsi" w:cstheme="majorBidi"/>
          <w:sz w:val="23"/>
          <w:szCs w:val="23"/>
          <w:lang w:val="en-GB"/>
        </w:rPr>
        <w:t xml:space="preserve">for </w:t>
      </w:r>
      <w:r w:rsidRPr="766E2159">
        <w:rPr>
          <w:rFonts w:asciiTheme="majorHAnsi" w:eastAsiaTheme="majorEastAsia" w:hAnsiTheme="majorHAnsi" w:cstheme="majorBidi"/>
          <w:sz w:val="23"/>
          <w:szCs w:val="23"/>
          <w:lang w:val="en-GB"/>
        </w:rPr>
        <w:t xml:space="preserve">vulnerable young people </w:t>
      </w:r>
      <w:r w:rsidR="00337FFD">
        <w:rPr>
          <w:rFonts w:asciiTheme="majorHAnsi" w:eastAsiaTheme="majorEastAsia" w:hAnsiTheme="majorHAnsi" w:cstheme="majorBidi"/>
          <w:sz w:val="23"/>
          <w:szCs w:val="23"/>
          <w:lang w:val="en-GB"/>
        </w:rPr>
        <w:t>including</w:t>
      </w:r>
      <w:r w:rsidRPr="766E2159">
        <w:rPr>
          <w:rFonts w:asciiTheme="majorHAnsi" w:eastAsiaTheme="majorEastAsia" w:hAnsiTheme="majorHAnsi" w:cstheme="majorBidi"/>
          <w:sz w:val="23"/>
          <w:szCs w:val="23"/>
          <w:lang w:val="en-GB"/>
        </w:rPr>
        <w:t xml:space="preserve"> those from CALD or Indigenous communities, children with disability</w:t>
      </w:r>
      <w:r w:rsidR="007F0B83">
        <w:rPr>
          <w:rFonts w:asciiTheme="majorHAnsi" w:eastAsiaTheme="majorEastAsia" w:hAnsiTheme="majorHAnsi" w:cstheme="majorBidi"/>
          <w:sz w:val="23"/>
          <w:szCs w:val="23"/>
          <w:lang w:val="en-GB"/>
        </w:rPr>
        <w:t>,</w:t>
      </w:r>
      <w:r w:rsidRPr="766E2159">
        <w:rPr>
          <w:rFonts w:asciiTheme="majorHAnsi" w:eastAsiaTheme="majorEastAsia" w:hAnsiTheme="majorHAnsi" w:cstheme="majorBidi"/>
          <w:sz w:val="23"/>
          <w:szCs w:val="23"/>
          <w:lang w:val="en-GB"/>
        </w:rPr>
        <w:t xml:space="preserve"> and </w:t>
      </w:r>
      <w:r w:rsidR="00337FFD">
        <w:rPr>
          <w:rFonts w:asciiTheme="majorHAnsi" w:eastAsiaTheme="majorEastAsia" w:hAnsiTheme="majorHAnsi" w:cstheme="majorBidi"/>
          <w:sz w:val="23"/>
          <w:szCs w:val="23"/>
          <w:lang w:val="en-GB"/>
        </w:rPr>
        <w:t>the digitally excluded</w:t>
      </w:r>
      <w:r w:rsidRPr="766E2159">
        <w:rPr>
          <w:rFonts w:asciiTheme="majorHAnsi" w:eastAsiaTheme="majorEastAsia" w:hAnsiTheme="majorHAnsi" w:cstheme="majorBidi"/>
          <w:sz w:val="23"/>
          <w:szCs w:val="23"/>
          <w:lang w:val="en-GB"/>
        </w:rPr>
        <w:t xml:space="preserve">. In some cases, this led to </w:t>
      </w:r>
      <w:r w:rsidR="00A30651">
        <w:rPr>
          <w:rFonts w:asciiTheme="majorHAnsi" w:eastAsiaTheme="majorEastAsia" w:hAnsiTheme="majorHAnsi" w:cstheme="majorBidi"/>
          <w:sz w:val="23"/>
          <w:szCs w:val="23"/>
          <w:lang w:val="en-GB"/>
        </w:rPr>
        <w:t>young people</w:t>
      </w:r>
      <w:r w:rsidRPr="766E2159">
        <w:rPr>
          <w:rFonts w:asciiTheme="majorHAnsi" w:eastAsiaTheme="majorEastAsia" w:hAnsiTheme="majorHAnsi" w:cstheme="majorBidi"/>
          <w:sz w:val="23"/>
          <w:szCs w:val="23"/>
          <w:lang w:val="en-GB"/>
        </w:rPr>
        <w:t xml:space="preserve"> dropping out of formal education. Adult learners </w:t>
      </w:r>
      <w:r w:rsidR="00A30651">
        <w:rPr>
          <w:rFonts w:asciiTheme="majorHAnsi" w:eastAsiaTheme="majorEastAsia" w:hAnsiTheme="majorHAnsi" w:cstheme="majorBidi"/>
          <w:sz w:val="23"/>
          <w:szCs w:val="23"/>
          <w:lang w:val="en-GB"/>
        </w:rPr>
        <w:t>also struggled</w:t>
      </w:r>
      <w:r w:rsidRPr="766E2159">
        <w:rPr>
          <w:rFonts w:asciiTheme="majorHAnsi" w:eastAsiaTheme="majorEastAsia" w:hAnsiTheme="majorHAnsi" w:cstheme="majorBidi"/>
          <w:sz w:val="23"/>
          <w:szCs w:val="23"/>
          <w:lang w:val="en-GB"/>
        </w:rPr>
        <w:t xml:space="preserve"> with changes to their educational experience</w:t>
      </w:r>
      <w:r w:rsidR="00A30651">
        <w:rPr>
          <w:rFonts w:asciiTheme="majorHAnsi" w:eastAsiaTheme="majorEastAsia" w:hAnsiTheme="majorHAnsi" w:cstheme="majorBidi"/>
          <w:sz w:val="23"/>
          <w:szCs w:val="23"/>
          <w:lang w:val="en-GB"/>
        </w:rPr>
        <w:t xml:space="preserve">, </w:t>
      </w:r>
      <w:r w:rsidR="00337FFD">
        <w:rPr>
          <w:rFonts w:asciiTheme="majorHAnsi" w:eastAsiaTheme="majorEastAsia" w:hAnsiTheme="majorHAnsi" w:cstheme="majorBidi"/>
          <w:sz w:val="23"/>
          <w:szCs w:val="23"/>
          <w:lang w:val="en-GB"/>
        </w:rPr>
        <w:t>with many</w:t>
      </w:r>
      <w:r w:rsidR="00A30651">
        <w:rPr>
          <w:rFonts w:asciiTheme="majorHAnsi" w:eastAsiaTheme="majorEastAsia" w:hAnsiTheme="majorHAnsi" w:cstheme="majorBidi"/>
          <w:sz w:val="23"/>
          <w:szCs w:val="23"/>
          <w:lang w:val="en-GB"/>
        </w:rPr>
        <w:t xml:space="preserve"> </w:t>
      </w:r>
      <w:r w:rsidR="00510CBC">
        <w:rPr>
          <w:rFonts w:asciiTheme="majorHAnsi" w:eastAsiaTheme="majorEastAsia" w:hAnsiTheme="majorHAnsi" w:cstheme="majorBidi"/>
          <w:sz w:val="23"/>
          <w:szCs w:val="23"/>
          <w:lang w:val="en-GB"/>
        </w:rPr>
        <w:t>discontinu</w:t>
      </w:r>
      <w:r w:rsidR="00337FFD">
        <w:rPr>
          <w:rFonts w:asciiTheme="majorHAnsi" w:eastAsiaTheme="majorEastAsia" w:hAnsiTheme="majorHAnsi" w:cstheme="majorBidi"/>
          <w:sz w:val="23"/>
          <w:szCs w:val="23"/>
          <w:lang w:val="en-GB"/>
        </w:rPr>
        <w:t>ing</w:t>
      </w:r>
      <w:r w:rsidR="00510CBC">
        <w:rPr>
          <w:rFonts w:asciiTheme="majorHAnsi" w:eastAsiaTheme="majorEastAsia" w:hAnsiTheme="majorHAnsi" w:cstheme="majorBidi"/>
          <w:sz w:val="23"/>
          <w:szCs w:val="23"/>
          <w:lang w:val="en-GB"/>
        </w:rPr>
        <w:t xml:space="preserve"> their courses</w:t>
      </w:r>
      <w:r w:rsidRPr="766E2159">
        <w:rPr>
          <w:rFonts w:asciiTheme="majorHAnsi" w:eastAsiaTheme="majorEastAsia" w:hAnsiTheme="majorHAnsi" w:cstheme="majorBidi"/>
          <w:sz w:val="23"/>
          <w:szCs w:val="23"/>
          <w:lang w:val="en-GB"/>
        </w:rPr>
        <w:t xml:space="preserve">. </w:t>
      </w:r>
    </w:p>
    <w:p w14:paraId="1F5D4B68" w14:textId="53F07BFD" w:rsidR="00F00E3D" w:rsidRPr="00BF7601" w:rsidRDefault="0012692C" w:rsidP="78F9AF82">
      <w:pPr>
        <w:rPr>
          <w:rFonts w:asciiTheme="majorHAnsi" w:eastAsiaTheme="majorEastAsia" w:hAnsiTheme="majorHAnsi" w:cstheme="majorBidi"/>
          <w:i/>
          <w:iCs/>
          <w:sz w:val="23"/>
          <w:szCs w:val="23"/>
        </w:rPr>
      </w:pPr>
      <w:r w:rsidRPr="78F9AF82">
        <w:rPr>
          <w:rFonts w:asciiTheme="majorHAnsi" w:eastAsiaTheme="majorEastAsia" w:hAnsiTheme="majorHAnsi" w:cstheme="majorBidi"/>
          <w:sz w:val="23"/>
          <w:szCs w:val="23"/>
          <w:lang w:val="en-GB"/>
        </w:rPr>
        <w:t>One key local</w:t>
      </w:r>
      <w:r w:rsidR="00F00E3D" w:rsidRPr="78F9AF82">
        <w:rPr>
          <w:rFonts w:asciiTheme="majorHAnsi" w:eastAsiaTheme="majorEastAsia" w:hAnsiTheme="majorHAnsi" w:cstheme="majorBidi"/>
          <w:sz w:val="23"/>
          <w:szCs w:val="23"/>
          <w:lang w:val="en-GB"/>
        </w:rPr>
        <w:t xml:space="preserve"> </w:t>
      </w:r>
      <w:r w:rsidRPr="78F9AF82">
        <w:rPr>
          <w:rFonts w:asciiTheme="majorHAnsi" w:eastAsiaTheme="majorEastAsia" w:hAnsiTheme="majorHAnsi" w:cstheme="majorBidi"/>
          <w:sz w:val="23"/>
          <w:szCs w:val="23"/>
          <w:lang w:val="en-GB"/>
        </w:rPr>
        <w:t>impact</w:t>
      </w:r>
      <w:r w:rsidR="00F00E3D" w:rsidRPr="78F9AF82">
        <w:rPr>
          <w:rFonts w:asciiTheme="majorHAnsi" w:eastAsiaTheme="majorEastAsia" w:hAnsiTheme="majorHAnsi" w:cstheme="majorBidi"/>
          <w:sz w:val="23"/>
          <w:szCs w:val="23"/>
          <w:lang w:val="en-GB"/>
        </w:rPr>
        <w:t xml:space="preserve"> on housing was the enforced use of domestic environments not well</w:t>
      </w:r>
      <w:r w:rsidR="00D04F26" w:rsidRPr="78F9AF82">
        <w:rPr>
          <w:rFonts w:asciiTheme="majorHAnsi" w:eastAsiaTheme="majorEastAsia" w:hAnsiTheme="majorHAnsi" w:cstheme="majorBidi"/>
          <w:sz w:val="23"/>
          <w:szCs w:val="23"/>
          <w:lang w:val="en-GB"/>
        </w:rPr>
        <w:t>-</w:t>
      </w:r>
      <w:r w:rsidR="00F00E3D" w:rsidRPr="78F9AF82">
        <w:rPr>
          <w:rFonts w:asciiTheme="majorHAnsi" w:eastAsiaTheme="majorEastAsia" w:hAnsiTheme="majorHAnsi" w:cstheme="majorBidi"/>
          <w:sz w:val="23"/>
          <w:szCs w:val="23"/>
          <w:lang w:val="en-GB"/>
        </w:rPr>
        <w:t>equipped for habitation by multiple residents around the clock. These changes had a knock-on effect on family dynamics</w:t>
      </w:r>
      <w:r w:rsidRPr="78F9AF82">
        <w:rPr>
          <w:rFonts w:asciiTheme="majorHAnsi" w:eastAsiaTheme="majorEastAsia" w:hAnsiTheme="majorHAnsi" w:cstheme="majorBidi"/>
          <w:sz w:val="23"/>
          <w:szCs w:val="23"/>
          <w:lang w:val="en-GB"/>
        </w:rPr>
        <w:t xml:space="preserve">, </w:t>
      </w:r>
      <w:r w:rsidR="00F00E3D" w:rsidRPr="78F9AF82">
        <w:rPr>
          <w:rFonts w:asciiTheme="majorHAnsi" w:eastAsiaTheme="majorEastAsia" w:hAnsiTheme="majorHAnsi" w:cstheme="majorBidi"/>
          <w:sz w:val="23"/>
          <w:szCs w:val="23"/>
          <w:lang w:val="en-GB"/>
        </w:rPr>
        <w:t xml:space="preserve">increasing friction between family or household members and neighbours. </w:t>
      </w:r>
      <w:r w:rsidRPr="78F9AF82">
        <w:rPr>
          <w:rFonts w:asciiTheme="majorHAnsi" w:eastAsiaTheme="majorEastAsia" w:hAnsiTheme="majorHAnsi" w:cstheme="majorBidi"/>
          <w:sz w:val="23"/>
          <w:szCs w:val="23"/>
          <w:lang w:val="en-GB"/>
        </w:rPr>
        <w:t>COVID-19 also</w:t>
      </w:r>
      <w:r w:rsidR="00F00E3D" w:rsidRPr="78F9AF82">
        <w:rPr>
          <w:rFonts w:asciiTheme="majorHAnsi" w:eastAsiaTheme="majorEastAsia" w:hAnsiTheme="majorHAnsi" w:cstheme="majorBidi"/>
          <w:sz w:val="23"/>
          <w:szCs w:val="23"/>
          <w:lang w:val="en-GB"/>
        </w:rPr>
        <w:t xml:space="preserve"> exacerbated existing problems </w:t>
      </w:r>
      <w:r w:rsidRPr="78F9AF82">
        <w:rPr>
          <w:rFonts w:asciiTheme="majorHAnsi" w:eastAsiaTheme="majorEastAsia" w:hAnsiTheme="majorHAnsi" w:cstheme="majorBidi"/>
          <w:sz w:val="23"/>
          <w:szCs w:val="23"/>
          <w:lang w:val="en-GB"/>
        </w:rPr>
        <w:t>of</w:t>
      </w:r>
      <w:r w:rsidR="00F00E3D" w:rsidRPr="78F9AF82">
        <w:rPr>
          <w:rFonts w:asciiTheme="majorHAnsi" w:eastAsiaTheme="majorEastAsia" w:hAnsiTheme="majorHAnsi" w:cstheme="majorBidi"/>
          <w:sz w:val="23"/>
          <w:szCs w:val="23"/>
          <w:lang w:val="en-GB"/>
        </w:rPr>
        <w:t xml:space="preserve"> housing stress, precarious accommodation</w:t>
      </w:r>
      <w:r w:rsidR="00510CBC" w:rsidRPr="78F9AF82">
        <w:rPr>
          <w:rFonts w:asciiTheme="majorHAnsi" w:eastAsiaTheme="majorEastAsia" w:hAnsiTheme="majorHAnsi" w:cstheme="majorBidi"/>
          <w:sz w:val="23"/>
          <w:szCs w:val="23"/>
          <w:lang w:val="en-GB"/>
        </w:rPr>
        <w:t>,</w:t>
      </w:r>
      <w:r w:rsidR="00F00E3D" w:rsidRPr="78F9AF82">
        <w:rPr>
          <w:rFonts w:asciiTheme="majorHAnsi" w:eastAsiaTheme="majorEastAsia" w:hAnsiTheme="majorHAnsi" w:cstheme="majorBidi"/>
          <w:sz w:val="23"/>
          <w:szCs w:val="23"/>
          <w:lang w:val="en-GB"/>
        </w:rPr>
        <w:t xml:space="preserve"> and </w:t>
      </w:r>
      <w:r w:rsidRPr="78F9AF82">
        <w:rPr>
          <w:rFonts w:asciiTheme="majorHAnsi" w:eastAsiaTheme="majorEastAsia" w:hAnsiTheme="majorHAnsi" w:cstheme="majorBidi"/>
          <w:sz w:val="23"/>
          <w:szCs w:val="23"/>
          <w:lang w:val="en-GB"/>
        </w:rPr>
        <w:t xml:space="preserve">low </w:t>
      </w:r>
      <w:r w:rsidR="00F00E3D" w:rsidRPr="78F9AF82">
        <w:rPr>
          <w:rFonts w:asciiTheme="majorHAnsi" w:eastAsiaTheme="majorEastAsia" w:hAnsiTheme="majorHAnsi" w:cstheme="majorBidi"/>
          <w:sz w:val="23"/>
          <w:szCs w:val="23"/>
          <w:lang w:val="en-GB"/>
        </w:rPr>
        <w:t>affordability</w:t>
      </w:r>
      <w:r w:rsidR="00353C3D" w:rsidRPr="78F9AF82">
        <w:rPr>
          <w:rFonts w:asciiTheme="majorHAnsi" w:eastAsiaTheme="majorEastAsia" w:hAnsiTheme="majorHAnsi" w:cstheme="majorBidi"/>
          <w:sz w:val="23"/>
          <w:szCs w:val="23"/>
          <w:lang w:val="en-GB"/>
        </w:rPr>
        <w:t>, with the latter</w:t>
      </w:r>
      <w:r w:rsidR="00F00E3D" w:rsidRPr="78F9AF82">
        <w:rPr>
          <w:rFonts w:asciiTheme="majorHAnsi" w:eastAsiaTheme="majorEastAsia" w:hAnsiTheme="majorHAnsi" w:cstheme="majorBidi"/>
          <w:sz w:val="23"/>
          <w:szCs w:val="23"/>
          <w:lang w:val="en-GB"/>
        </w:rPr>
        <w:t xml:space="preserve"> </w:t>
      </w:r>
      <w:r w:rsidR="31615745" w:rsidRPr="78F9AF82">
        <w:rPr>
          <w:rFonts w:asciiTheme="majorHAnsi" w:eastAsiaTheme="majorEastAsia" w:hAnsiTheme="majorHAnsi" w:cstheme="majorBidi"/>
          <w:sz w:val="23"/>
          <w:szCs w:val="23"/>
          <w:lang w:val="en-GB"/>
        </w:rPr>
        <w:t>increased</w:t>
      </w:r>
      <w:r w:rsidR="00F00E3D" w:rsidRPr="78F9AF82">
        <w:rPr>
          <w:rFonts w:asciiTheme="majorHAnsi" w:eastAsiaTheme="majorEastAsia" w:hAnsiTheme="majorHAnsi" w:cstheme="majorBidi"/>
          <w:sz w:val="23"/>
          <w:szCs w:val="23"/>
          <w:lang w:val="en-GB"/>
        </w:rPr>
        <w:t xml:space="preserve"> by gentrification due to </w:t>
      </w:r>
      <w:r w:rsidR="00353C3D" w:rsidRPr="78F9AF82">
        <w:rPr>
          <w:rFonts w:asciiTheme="majorHAnsi" w:eastAsiaTheme="majorEastAsia" w:hAnsiTheme="majorHAnsi" w:cstheme="majorBidi"/>
          <w:sz w:val="23"/>
          <w:szCs w:val="23"/>
          <w:lang w:val="en-GB"/>
        </w:rPr>
        <w:t xml:space="preserve">property speculation and </w:t>
      </w:r>
      <w:r w:rsidR="00F00E3D" w:rsidRPr="78F9AF82">
        <w:rPr>
          <w:rFonts w:asciiTheme="majorHAnsi" w:eastAsiaTheme="majorEastAsia" w:hAnsiTheme="majorHAnsi" w:cstheme="majorBidi"/>
          <w:sz w:val="23"/>
          <w:szCs w:val="23"/>
          <w:lang w:val="en-GB"/>
        </w:rPr>
        <w:t xml:space="preserve">in-migration of </w:t>
      </w:r>
      <w:r w:rsidR="00EE5DE0" w:rsidRPr="78F9AF82">
        <w:rPr>
          <w:rFonts w:asciiTheme="majorHAnsi" w:eastAsiaTheme="majorEastAsia" w:hAnsiTheme="majorHAnsi" w:cstheme="majorBidi"/>
          <w:sz w:val="23"/>
          <w:szCs w:val="23"/>
          <w:lang w:val="en-GB"/>
        </w:rPr>
        <w:t>new residents</w:t>
      </w:r>
      <w:r w:rsidR="00F00E3D" w:rsidRPr="78F9AF82">
        <w:rPr>
          <w:rFonts w:asciiTheme="majorHAnsi" w:eastAsiaTheme="majorEastAsia" w:hAnsiTheme="majorHAnsi" w:cstheme="majorBidi"/>
          <w:sz w:val="23"/>
          <w:szCs w:val="23"/>
          <w:lang w:val="en-GB"/>
        </w:rPr>
        <w:t>.</w:t>
      </w:r>
    </w:p>
    <w:p w14:paraId="59228C14" w14:textId="6F9873C8" w:rsidR="00F00E3D" w:rsidRPr="006D4176" w:rsidRDefault="0012692C" w:rsidP="009B2FA7">
      <w:pPr>
        <w:rPr>
          <w:rFonts w:asciiTheme="majorHAnsi" w:eastAsiaTheme="majorEastAsia" w:hAnsiTheme="majorHAnsi" w:cstheme="majorBidi"/>
          <w:i/>
          <w:iCs/>
          <w:sz w:val="23"/>
          <w:szCs w:val="23"/>
        </w:rPr>
      </w:pPr>
      <w:r>
        <w:rPr>
          <w:rFonts w:asciiTheme="majorHAnsi" w:eastAsiaTheme="majorEastAsia" w:hAnsiTheme="majorHAnsi" w:cstheme="majorBidi"/>
          <w:sz w:val="23"/>
          <w:szCs w:val="23"/>
          <w:lang w:val="en-GB"/>
        </w:rPr>
        <w:t>COVID-19’s local impact</w:t>
      </w:r>
      <w:r w:rsidR="00F00E3D" w:rsidRPr="0AD545B5">
        <w:rPr>
          <w:rFonts w:asciiTheme="majorHAnsi" w:eastAsiaTheme="majorEastAsia" w:hAnsiTheme="majorHAnsi" w:cstheme="majorBidi"/>
          <w:sz w:val="23"/>
          <w:szCs w:val="23"/>
          <w:lang w:val="en-GB"/>
        </w:rPr>
        <w:t xml:space="preserve"> on health and wellbeing was </w:t>
      </w:r>
      <w:r w:rsidR="00F00E3D">
        <w:rPr>
          <w:rFonts w:asciiTheme="majorHAnsi" w:eastAsiaTheme="majorEastAsia" w:hAnsiTheme="majorHAnsi" w:cstheme="majorBidi"/>
          <w:sz w:val="23"/>
          <w:szCs w:val="23"/>
          <w:lang w:val="en-GB"/>
        </w:rPr>
        <w:t>conspicuous</w:t>
      </w:r>
      <w:r w:rsidR="00F00E3D" w:rsidRPr="0AD545B5">
        <w:rPr>
          <w:rFonts w:asciiTheme="majorHAnsi" w:eastAsiaTheme="majorEastAsia" w:hAnsiTheme="majorHAnsi" w:cstheme="majorBidi"/>
          <w:sz w:val="23"/>
          <w:szCs w:val="23"/>
          <w:lang w:val="en-GB"/>
        </w:rPr>
        <w:t xml:space="preserve">. Family violence was </w:t>
      </w:r>
      <w:r w:rsidR="00F00E3D">
        <w:rPr>
          <w:rFonts w:asciiTheme="majorHAnsi" w:eastAsiaTheme="majorEastAsia" w:hAnsiTheme="majorHAnsi" w:cstheme="majorBidi"/>
          <w:sz w:val="23"/>
          <w:szCs w:val="23"/>
          <w:lang w:val="en-GB"/>
        </w:rPr>
        <w:t>commonly</w:t>
      </w:r>
      <w:r w:rsidR="00F00E3D" w:rsidRPr="0AD545B5">
        <w:rPr>
          <w:rFonts w:asciiTheme="majorHAnsi" w:eastAsiaTheme="majorEastAsia" w:hAnsiTheme="majorHAnsi" w:cstheme="majorBidi"/>
          <w:sz w:val="23"/>
          <w:szCs w:val="23"/>
          <w:lang w:val="en-GB"/>
        </w:rPr>
        <w:t xml:space="preserve"> </w:t>
      </w:r>
      <w:r w:rsidR="00D04F26">
        <w:rPr>
          <w:rFonts w:asciiTheme="majorHAnsi" w:eastAsiaTheme="majorEastAsia" w:hAnsiTheme="majorHAnsi" w:cstheme="majorBidi"/>
          <w:sz w:val="23"/>
          <w:szCs w:val="23"/>
          <w:lang w:val="en-GB"/>
        </w:rPr>
        <w:t>cited as</w:t>
      </w:r>
      <w:r w:rsidR="00F00E3D" w:rsidRPr="0AD545B5">
        <w:rPr>
          <w:rFonts w:asciiTheme="majorHAnsi" w:eastAsiaTheme="majorEastAsia" w:hAnsiTheme="majorHAnsi" w:cstheme="majorBidi"/>
          <w:sz w:val="23"/>
          <w:szCs w:val="23"/>
          <w:lang w:val="en-GB"/>
        </w:rPr>
        <w:t xml:space="preserve"> significantly</w:t>
      </w:r>
      <w:r w:rsidR="00847B72">
        <w:rPr>
          <w:rFonts w:asciiTheme="majorHAnsi" w:eastAsiaTheme="majorEastAsia" w:hAnsiTheme="majorHAnsi" w:cstheme="majorBidi"/>
          <w:sz w:val="23"/>
          <w:szCs w:val="23"/>
          <w:lang w:val="en-GB"/>
        </w:rPr>
        <w:t xml:space="preserve"> increased</w:t>
      </w:r>
      <w:r w:rsidR="00F00E3D">
        <w:rPr>
          <w:rFonts w:asciiTheme="majorHAnsi" w:eastAsiaTheme="majorEastAsia" w:hAnsiTheme="majorHAnsi" w:cstheme="majorBidi"/>
          <w:sz w:val="23"/>
          <w:szCs w:val="23"/>
          <w:lang w:val="en-GB"/>
        </w:rPr>
        <w:t>, and s</w:t>
      </w:r>
      <w:r w:rsidR="00F00E3D" w:rsidRPr="766E2159">
        <w:rPr>
          <w:rFonts w:asciiTheme="majorHAnsi" w:eastAsiaTheme="majorEastAsia" w:hAnsiTheme="majorHAnsi" w:cstheme="majorBidi"/>
          <w:sz w:val="23"/>
          <w:szCs w:val="23"/>
          <w:lang w:val="en-GB"/>
        </w:rPr>
        <w:t xml:space="preserve">ocial isolation was </w:t>
      </w:r>
      <w:r w:rsidR="00847B72">
        <w:rPr>
          <w:rFonts w:asciiTheme="majorHAnsi" w:eastAsiaTheme="majorEastAsia" w:hAnsiTheme="majorHAnsi" w:cstheme="majorBidi"/>
          <w:sz w:val="23"/>
          <w:szCs w:val="23"/>
          <w:lang w:val="en-GB"/>
        </w:rPr>
        <w:t>a major theme</w:t>
      </w:r>
      <w:r w:rsidR="00B442EA">
        <w:rPr>
          <w:rFonts w:asciiTheme="majorHAnsi" w:eastAsiaTheme="majorEastAsia" w:hAnsiTheme="majorHAnsi" w:cstheme="majorBidi"/>
          <w:sz w:val="23"/>
          <w:szCs w:val="23"/>
          <w:lang w:val="en-GB"/>
        </w:rPr>
        <w:t>,</w:t>
      </w:r>
      <w:r w:rsidR="00F00E3D" w:rsidRPr="766E2159">
        <w:rPr>
          <w:rFonts w:asciiTheme="majorHAnsi" w:eastAsiaTheme="majorEastAsia" w:hAnsiTheme="majorHAnsi" w:cstheme="majorBidi"/>
          <w:sz w:val="23"/>
          <w:szCs w:val="23"/>
          <w:lang w:val="en-GB"/>
        </w:rPr>
        <w:t xml:space="preserve"> particularly </w:t>
      </w:r>
      <w:r w:rsidR="00847B72">
        <w:rPr>
          <w:rFonts w:asciiTheme="majorHAnsi" w:eastAsiaTheme="majorEastAsia" w:hAnsiTheme="majorHAnsi" w:cstheme="majorBidi"/>
          <w:sz w:val="23"/>
          <w:szCs w:val="23"/>
          <w:lang w:val="en-GB"/>
        </w:rPr>
        <w:t>for</w:t>
      </w:r>
      <w:r w:rsidR="00F00E3D" w:rsidRPr="766E2159">
        <w:rPr>
          <w:rFonts w:asciiTheme="majorHAnsi" w:eastAsiaTheme="majorEastAsia" w:hAnsiTheme="majorHAnsi" w:cstheme="majorBidi"/>
          <w:sz w:val="23"/>
          <w:szCs w:val="23"/>
          <w:lang w:val="en-GB"/>
        </w:rPr>
        <w:t xml:space="preserve"> vulnerable cohorts (people with disability, both ends of the lifespan, single households, CALD communities, women</w:t>
      </w:r>
      <w:r w:rsidR="00D04F26">
        <w:rPr>
          <w:rFonts w:asciiTheme="majorHAnsi" w:eastAsiaTheme="majorEastAsia" w:hAnsiTheme="majorHAnsi" w:cstheme="majorBidi"/>
          <w:sz w:val="23"/>
          <w:szCs w:val="23"/>
          <w:lang w:val="en-GB"/>
        </w:rPr>
        <w:t>,</w:t>
      </w:r>
      <w:r w:rsidR="00F00E3D" w:rsidRPr="766E2159">
        <w:rPr>
          <w:rFonts w:asciiTheme="majorHAnsi" w:eastAsiaTheme="majorEastAsia" w:hAnsiTheme="majorHAnsi" w:cstheme="majorBidi"/>
          <w:sz w:val="23"/>
          <w:szCs w:val="23"/>
          <w:lang w:val="en-GB"/>
        </w:rPr>
        <w:t xml:space="preserve"> and the digitally excluded). </w:t>
      </w:r>
      <w:r w:rsidR="002A5609">
        <w:rPr>
          <w:rFonts w:asciiTheme="majorHAnsi" w:eastAsiaTheme="majorEastAsia" w:hAnsiTheme="majorHAnsi" w:cstheme="majorBidi"/>
          <w:sz w:val="23"/>
          <w:szCs w:val="23"/>
          <w:lang w:val="en-GB"/>
        </w:rPr>
        <w:t xml:space="preserve">There were </w:t>
      </w:r>
      <w:r w:rsidR="00F00E3D" w:rsidRPr="766E2159">
        <w:rPr>
          <w:rFonts w:asciiTheme="majorHAnsi" w:eastAsiaTheme="majorEastAsia" w:hAnsiTheme="majorHAnsi" w:cstheme="majorBidi"/>
          <w:sz w:val="23"/>
          <w:szCs w:val="23"/>
          <w:lang w:val="en-GB"/>
        </w:rPr>
        <w:t>deeply negative impact</w:t>
      </w:r>
      <w:r w:rsidR="002A5609">
        <w:rPr>
          <w:rFonts w:asciiTheme="majorHAnsi" w:eastAsiaTheme="majorEastAsia" w:hAnsiTheme="majorHAnsi" w:cstheme="majorBidi"/>
          <w:sz w:val="23"/>
          <w:szCs w:val="23"/>
          <w:lang w:val="en-GB"/>
        </w:rPr>
        <w:t>s</w:t>
      </w:r>
      <w:r w:rsidR="00F00E3D" w:rsidRPr="766E2159">
        <w:rPr>
          <w:rFonts w:asciiTheme="majorHAnsi" w:eastAsiaTheme="majorEastAsia" w:hAnsiTheme="majorHAnsi" w:cstheme="majorBidi"/>
          <w:sz w:val="23"/>
          <w:szCs w:val="23"/>
          <w:lang w:val="en-GB"/>
        </w:rPr>
        <w:t xml:space="preserve"> on mental health and wellbeing due to restricted social networks and access </w:t>
      </w:r>
      <w:r w:rsidR="00F00E3D" w:rsidRPr="23F7222E">
        <w:rPr>
          <w:rFonts w:asciiTheme="majorHAnsi" w:eastAsiaTheme="majorEastAsia" w:hAnsiTheme="majorHAnsi" w:cstheme="majorBidi"/>
          <w:sz w:val="23"/>
          <w:szCs w:val="23"/>
          <w:lang w:val="en-GB"/>
        </w:rPr>
        <w:t xml:space="preserve">to </w:t>
      </w:r>
      <w:r w:rsidR="00F00E3D" w:rsidRPr="766E2159">
        <w:rPr>
          <w:rFonts w:asciiTheme="majorHAnsi" w:eastAsiaTheme="majorEastAsia" w:hAnsiTheme="majorHAnsi" w:cstheme="majorBidi"/>
          <w:sz w:val="23"/>
          <w:szCs w:val="23"/>
          <w:lang w:val="en-GB"/>
        </w:rPr>
        <w:t>wellbeing resources</w:t>
      </w:r>
      <w:r w:rsidR="00F00E3D" w:rsidRPr="23F7222E">
        <w:rPr>
          <w:rFonts w:asciiTheme="majorHAnsi" w:eastAsiaTheme="majorEastAsia" w:hAnsiTheme="majorHAnsi" w:cstheme="majorBidi"/>
          <w:sz w:val="23"/>
          <w:szCs w:val="23"/>
          <w:lang w:val="en-GB"/>
        </w:rPr>
        <w:t>,</w:t>
      </w:r>
      <w:r w:rsidR="00F00E3D" w:rsidRPr="766E2159">
        <w:rPr>
          <w:rFonts w:asciiTheme="majorHAnsi" w:eastAsiaTheme="majorEastAsia" w:hAnsiTheme="majorHAnsi" w:cstheme="majorBidi"/>
          <w:sz w:val="23"/>
          <w:szCs w:val="23"/>
          <w:lang w:val="en-GB"/>
        </w:rPr>
        <w:t xml:space="preserve"> and loss of spontaneous or unstructured community activities.</w:t>
      </w:r>
      <w:r w:rsidR="00F00E3D">
        <w:rPr>
          <w:rFonts w:asciiTheme="majorHAnsi" w:eastAsiaTheme="majorEastAsia" w:hAnsiTheme="majorHAnsi" w:cstheme="majorBidi"/>
          <w:sz w:val="23"/>
          <w:szCs w:val="23"/>
          <w:lang w:val="en-GB"/>
        </w:rPr>
        <w:t xml:space="preserve"> </w:t>
      </w:r>
      <w:r w:rsidR="00F00E3D" w:rsidRPr="766E2159">
        <w:rPr>
          <w:rFonts w:asciiTheme="majorHAnsi" w:eastAsiaTheme="majorEastAsia" w:hAnsiTheme="majorHAnsi" w:cstheme="majorBidi"/>
          <w:sz w:val="23"/>
          <w:szCs w:val="23"/>
          <w:lang w:val="en-GB"/>
        </w:rPr>
        <w:t xml:space="preserve">Mental and cognitive exhaustion was also </w:t>
      </w:r>
      <w:r w:rsidR="001E6ECB">
        <w:rPr>
          <w:rFonts w:asciiTheme="majorHAnsi" w:eastAsiaTheme="majorEastAsia" w:hAnsiTheme="majorHAnsi" w:cstheme="majorBidi"/>
          <w:sz w:val="23"/>
          <w:szCs w:val="23"/>
          <w:lang w:val="en-GB"/>
        </w:rPr>
        <w:t>common for</w:t>
      </w:r>
      <w:r w:rsidR="00F00E3D" w:rsidRPr="766E2159">
        <w:rPr>
          <w:rFonts w:asciiTheme="majorHAnsi" w:eastAsiaTheme="majorEastAsia" w:hAnsiTheme="majorHAnsi" w:cstheme="majorBidi"/>
          <w:sz w:val="23"/>
          <w:szCs w:val="23"/>
          <w:lang w:val="en-GB"/>
        </w:rPr>
        <w:t xml:space="preserve"> both service providers and </w:t>
      </w:r>
      <w:r w:rsidR="00B442EA">
        <w:rPr>
          <w:rFonts w:asciiTheme="majorHAnsi" w:eastAsiaTheme="majorEastAsia" w:hAnsiTheme="majorHAnsi" w:cstheme="majorBidi"/>
          <w:sz w:val="23"/>
          <w:szCs w:val="23"/>
          <w:lang w:val="en-GB"/>
        </w:rPr>
        <w:t>residents</w:t>
      </w:r>
      <w:r w:rsidR="00F00E3D" w:rsidRPr="766E2159">
        <w:rPr>
          <w:rFonts w:asciiTheme="majorHAnsi" w:eastAsiaTheme="majorEastAsia" w:hAnsiTheme="majorHAnsi" w:cstheme="majorBidi"/>
          <w:sz w:val="23"/>
          <w:szCs w:val="23"/>
          <w:lang w:val="en-GB"/>
        </w:rPr>
        <w:t xml:space="preserve">. </w:t>
      </w:r>
      <w:r w:rsidR="00B442EA">
        <w:rPr>
          <w:rFonts w:asciiTheme="majorHAnsi" w:eastAsiaTheme="majorEastAsia" w:hAnsiTheme="majorHAnsi" w:cstheme="majorBidi"/>
          <w:sz w:val="23"/>
          <w:szCs w:val="23"/>
        </w:rPr>
        <w:t>COVID-19 has also</w:t>
      </w:r>
      <w:r w:rsidR="00F00E3D" w:rsidRPr="766E2159">
        <w:rPr>
          <w:rFonts w:asciiTheme="majorHAnsi" w:eastAsiaTheme="majorEastAsia" w:hAnsiTheme="majorHAnsi" w:cstheme="majorBidi"/>
          <w:sz w:val="23"/>
          <w:szCs w:val="23"/>
          <w:lang w:val="en-GB"/>
        </w:rPr>
        <w:t xml:space="preserve"> resulted in missed opportunities for early intervention and reduced</w:t>
      </w:r>
      <w:r w:rsidR="00F00E3D" w:rsidRPr="42078E23">
        <w:rPr>
          <w:rFonts w:asciiTheme="majorHAnsi" w:eastAsiaTheme="majorEastAsia" w:hAnsiTheme="majorHAnsi" w:cstheme="majorBidi"/>
          <w:i/>
          <w:iCs/>
          <w:sz w:val="23"/>
          <w:szCs w:val="23"/>
        </w:rPr>
        <w:t xml:space="preserve"> </w:t>
      </w:r>
      <w:r w:rsidR="00F00E3D" w:rsidRPr="766E2159">
        <w:rPr>
          <w:rFonts w:asciiTheme="majorHAnsi" w:eastAsiaTheme="majorEastAsia" w:hAnsiTheme="majorHAnsi" w:cstheme="majorBidi"/>
          <w:sz w:val="23"/>
          <w:szCs w:val="23"/>
          <w:lang w:val="en-GB"/>
        </w:rPr>
        <w:t xml:space="preserve">access to usual healthcare supports. While telehealth helped, not everyone </w:t>
      </w:r>
      <w:r w:rsidR="00B442EA">
        <w:rPr>
          <w:rFonts w:asciiTheme="majorHAnsi" w:eastAsiaTheme="majorEastAsia" w:hAnsiTheme="majorHAnsi" w:cstheme="majorBidi"/>
          <w:sz w:val="23"/>
          <w:szCs w:val="23"/>
          <w:lang w:val="en-GB"/>
        </w:rPr>
        <w:t>could access it</w:t>
      </w:r>
      <w:r w:rsidR="00F00E3D" w:rsidRPr="766E2159">
        <w:rPr>
          <w:rFonts w:asciiTheme="majorHAnsi" w:eastAsiaTheme="majorEastAsia" w:hAnsiTheme="majorHAnsi" w:cstheme="majorBidi"/>
          <w:sz w:val="23"/>
          <w:szCs w:val="23"/>
          <w:lang w:val="en-GB"/>
        </w:rPr>
        <w:t>.</w:t>
      </w:r>
    </w:p>
    <w:p w14:paraId="75A30265" w14:textId="24395257" w:rsidR="00E33A86" w:rsidRDefault="005F55D6" w:rsidP="00E35346">
      <w:pPr>
        <w:rPr>
          <w:rFonts w:asciiTheme="majorHAnsi" w:eastAsiaTheme="majorEastAsia" w:hAnsiTheme="majorHAnsi" w:cstheme="majorBidi"/>
          <w:sz w:val="23"/>
          <w:szCs w:val="23"/>
          <w:lang w:val="en-GB"/>
        </w:rPr>
      </w:pPr>
      <w:r>
        <w:rPr>
          <w:rFonts w:asciiTheme="majorHAnsi" w:eastAsiaTheme="majorEastAsia" w:hAnsiTheme="majorHAnsi" w:cstheme="majorBidi"/>
          <w:sz w:val="23"/>
          <w:szCs w:val="23"/>
          <w:lang w:val="en-GB"/>
        </w:rPr>
        <w:t xml:space="preserve">There were communication </w:t>
      </w:r>
      <w:r w:rsidR="00A70CED">
        <w:rPr>
          <w:rFonts w:asciiTheme="majorHAnsi" w:eastAsiaTheme="majorEastAsia" w:hAnsiTheme="majorHAnsi" w:cstheme="majorBidi"/>
          <w:sz w:val="23"/>
          <w:szCs w:val="23"/>
          <w:lang w:val="en-GB"/>
        </w:rPr>
        <w:t xml:space="preserve">gaps </w:t>
      </w:r>
      <w:r w:rsidR="00F00E3D" w:rsidRPr="766E2159">
        <w:rPr>
          <w:rFonts w:asciiTheme="majorHAnsi" w:eastAsiaTheme="majorEastAsia" w:hAnsiTheme="majorHAnsi" w:cstheme="majorBidi"/>
          <w:sz w:val="23"/>
          <w:szCs w:val="23"/>
          <w:lang w:val="en-GB"/>
        </w:rPr>
        <w:t xml:space="preserve">around </w:t>
      </w:r>
      <w:r w:rsidR="00940D80">
        <w:rPr>
          <w:rFonts w:asciiTheme="majorHAnsi" w:eastAsiaTheme="majorEastAsia" w:hAnsiTheme="majorHAnsi" w:cstheme="majorBidi"/>
          <w:sz w:val="23"/>
          <w:szCs w:val="23"/>
          <w:lang w:val="en-GB"/>
        </w:rPr>
        <w:t>COVID-safe</w:t>
      </w:r>
      <w:r w:rsidR="00F00E3D" w:rsidRPr="766E2159">
        <w:rPr>
          <w:rFonts w:asciiTheme="majorHAnsi" w:eastAsiaTheme="majorEastAsia" w:hAnsiTheme="majorHAnsi" w:cstheme="majorBidi"/>
          <w:sz w:val="23"/>
          <w:szCs w:val="23"/>
          <w:lang w:val="en-GB"/>
        </w:rPr>
        <w:t xml:space="preserve"> practices</w:t>
      </w:r>
      <w:r w:rsidR="006116E2">
        <w:rPr>
          <w:rFonts w:asciiTheme="majorHAnsi" w:eastAsiaTheme="majorEastAsia" w:hAnsiTheme="majorHAnsi" w:cstheme="majorBidi"/>
          <w:sz w:val="23"/>
          <w:szCs w:val="23"/>
          <w:lang w:val="en-GB"/>
        </w:rPr>
        <w:t xml:space="preserve"> and timely health information</w:t>
      </w:r>
      <w:r w:rsidR="00F00E3D" w:rsidRPr="766E2159">
        <w:rPr>
          <w:rFonts w:asciiTheme="majorHAnsi" w:eastAsiaTheme="majorEastAsia" w:hAnsiTheme="majorHAnsi" w:cstheme="majorBidi"/>
          <w:sz w:val="23"/>
          <w:szCs w:val="23"/>
          <w:lang w:val="en-GB"/>
        </w:rPr>
        <w:t>, leading to</w:t>
      </w:r>
      <w:r>
        <w:rPr>
          <w:rFonts w:asciiTheme="majorHAnsi" w:eastAsiaTheme="majorEastAsia" w:hAnsiTheme="majorHAnsi" w:cstheme="majorBidi"/>
          <w:sz w:val="23"/>
          <w:szCs w:val="23"/>
          <w:lang w:val="en-GB"/>
        </w:rPr>
        <w:t xml:space="preserve"> uncertainty and</w:t>
      </w:r>
      <w:r w:rsidR="00F00E3D" w:rsidRPr="766E2159">
        <w:rPr>
          <w:rFonts w:asciiTheme="majorHAnsi" w:eastAsiaTheme="majorEastAsia" w:hAnsiTheme="majorHAnsi" w:cstheme="majorBidi"/>
          <w:sz w:val="23"/>
          <w:szCs w:val="23"/>
          <w:lang w:val="en-GB"/>
        </w:rPr>
        <w:t xml:space="preserve"> misinformation</w:t>
      </w:r>
      <w:r w:rsidR="006116E2">
        <w:rPr>
          <w:rFonts w:asciiTheme="majorHAnsi" w:eastAsiaTheme="majorEastAsia" w:hAnsiTheme="majorHAnsi" w:cstheme="majorBidi"/>
          <w:sz w:val="23"/>
          <w:szCs w:val="23"/>
          <w:lang w:val="en-GB"/>
        </w:rPr>
        <w:t>,</w:t>
      </w:r>
      <w:r w:rsidR="00F00E3D" w:rsidRPr="766E2159">
        <w:rPr>
          <w:rFonts w:asciiTheme="majorHAnsi" w:eastAsiaTheme="majorEastAsia" w:hAnsiTheme="majorHAnsi" w:cstheme="majorBidi"/>
          <w:sz w:val="23"/>
          <w:szCs w:val="23"/>
          <w:lang w:val="en-GB"/>
        </w:rPr>
        <w:t xml:space="preserve"> especially among</w:t>
      </w:r>
      <w:r w:rsidR="006116E2">
        <w:rPr>
          <w:rFonts w:asciiTheme="majorHAnsi" w:eastAsiaTheme="majorEastAsia" w:hAnsiTheme="majorHAnsi" w:cstheme="majorBidi"/>
          <w:sz w:val="23"/>
          <w:szCs w:val="23"/>
          <w:lang w:val="en-GB"/>
        </w:rPr>
        <w:t>st</w:t>
      </w:r>
      <w:r w:rsidR="00F00E3D" w:rsidRPr="766E2159">
        <w:rPr>
          <w:rFonts w:asciiTheme="majorHAnsi" w:eastAsiaTheme="majorEastAsia" w:hAnsiTheme="majorHAnsi" w:cstheme="majorBidi"/>
          <w:sz w:val="23"/>
          <w:szCs w:val="23"/>
          <w:lang w:val="en-GB"/>
        </w:rPr>
        <w:t xml:space="preserve"> CALD communities </w:t>
      </w:r>
      <w:r w:rsidR="006116E2">
        <w:rPr>
          <w:rFonts w:asciiTheme="majorHAnsi" w:eastAsiaTheme="majorEastAsia" w:hAnsiTheme="majorHAnsi" w:cstheme="majorBidi"/>
          <w:sz w:val="23"/>
          <w:szCs w:val="23"/>
          <w:lang w:val="en-GB"/>
        </w:rPr>
        <w:t>and the digitally excluded.</w:t>
      </w:r>
      <w:r w:rsidR="00F00E3D" w:rsidRPr="766E2159">
        <w:rPr>
          <w:rFonts w:asciiTheme="majorHAnsi" w:eastAsiaTheme="majorEastAsia" w:hAnsiTheme="majorHAnsi" w:cstheme="majorBidi"/>
          <w:sz w:val="23"/>
          <w:szCs w:val="23"/>
          <w:lang w:val="en-GB"/>
        </w:rPr>
        <w:t xml:space="preserve"> Food insecurity </w:t>
      </w:r>
      <w:r w:rsidR="00B442EA">
        <w:rPr>
          <w:rFonts w:asciiTheme="majorHAnsi" w:eastAsiaTheme="majorEastAsia" w:hAnsiTheme="majorHAnsi" w:cstheme="majorBidi"/>
          <w:sz w:val="23"/>
          <w:szCs w:val="23"/>
          <w:lang w:val="en-GB"/>
        </w:rPr>
        <w:t>was also amplified</w:t>
      </w:r>
      <w:r>
        <w:rPr>
          <w:rFonts w:asciiTheme="majorHAnsi" w:eastAsiaTheme="majorEastAsia" w:hAnsiTheme="majorHAnsi" w:cstheme="majorBidi"/>
          <w:sz w:val="23"/>
          <w:szCs w:val="23"/>
          <w:lang w:val="en-GB"/>
        </w:rPr>
        <w:t>,</w:t>
      </w:r>
      <w:r w:rsidR="00F00E3D" w:rsidRPr="766E2159">
        <w:rPr>
          <w:rFonts w:asciiTheme="majorHAnsi" w:eastAsiaTheme="majorEastAsia" w:hAnsiTheme="majorHAnsi" w:cstheme="majorBidi"/>
          <w:sz w:val="23"/>
          <w:szCs w:val="23"/>
          <w:lang w:val="en-GB"/>
        </w:rPr>
        <w:t xml:space="preserve"> with reduced access </w:t>
      </w:r>
      <w:r>
        <w:rPr>
          <w:rFonts w:asciiTheme="majorHAnsi" w:eastAsiaTheme="majorEastAsia" w:hAnsiTheme="majorHAnsi" w:cstheme="majorBidi"/>
          <w:sz w:val="23"/>
          <w:szCs w:val="23"/>
          <w:lang w:val="en-GB"/>
        </w:rPr>
        <w:t xml:space="preserve">to </w:t>
      </w:r>
      <w:r w:rsidR="00F00E3D" w:rsidRPr="766E2159">
        <w:rPr>
          <w:rFonts w:asciiTheme="majorHAnsi" w:eastAsiaTheme="majorEastAsia" w:hAnsiTheme="majorHAnsi" w:cstheme="majorBidi"/>
          <w:sz w:val="23"/>
          <w:szCs w:val="23"/>
          <w:lang w:val="en-GB"/>
        </w:rPr>
        <w:t>nutritious and fresh food, and vulnerable community members dependant on others for shopping and meal preparation. Significant liveability issues</w:t>
      </w:r>
      <w:r w:rsidR="00F00E3D" w:rsidRPr="44728735">
        <w:rPr>
          <w:rFonts w:asciiTheme="majorHAnsi" w:eastAsiaTheme="majorEastAsia" w:hAnsiTheme="majorHAnsi" w:cstheme="majorBidi"/>
          <w:sz w:val="23"/>
          <w:szCs w:val="23"/>
          <w:lang w:val="en-GB"/>
        </w:rPr>
        <w:t xml:space="preserve"> </w:t>
      </w:r>
      <w:r w:rsidR="00F00E3D">
        <w:rPr>
          <w:rFonts w:asciiTheme="majorHAnsi" w:eastAsiaTheme="majorEastAsia" w:hAnsiTheme="majorHAnsi" w:cstheme="majorBidi"/>
          <w:sz w:val="23"/>
          <w:szCs w:val="23"/>
          <w:lang w:val="en-GB"/>
        </w:rPr>
        <w:t>included</w:t>
      </w:r>
      <w:r w:rsidR="00F00E3D" w:rsidRPr="766E2159">
        <w:rPr>
          <w:rFonts w:asciiTheme="majorHAnsi" w:eastAsiaTheme="majorEastAsia" w:hAnsiTheme="majorHAnsi" w:cstheme="majorBidi"/>
          <w:sz w:val="23"/>
          <w:szCs w:val="23"/>
          <w:lang w:val="en-GB"/>
        </w:rPr>
        <w:t xml:space="preserve"> </w:t>
      </w:r>
      <w:r w:rsidR="00F00E3D" w:rsidRPr="44728735">
        <w:rPr>
          <w:rFonts w:asciiTheme="majorHAnsi" w:eastAsiaTheme="majorEastAsia" w:hAnsiTheme="majorHAnsi" w:cstheme="majorBidi"/>
          <w:sz w:val="23"/>
          <w:szCs w:val="23"/>
          <w:lang w:val="en-GB"/>
        </w:rPr>
        <w:t>digital exclusion</w:t>
      </w:r>
      <w:r w:rsidR="00F00E3D" w:rsidRPr="766E2159">
        <w:rPr>
          <w:rFonts w:asciiTheme="majorHAnsi" w:eastAsiaTheme="majorEastAsia" w:hAnsiTheme="majorHAnsi" w:cstheme="majorBidi"/>
          <w:sz w:val="23"/>
          <w:szCs w:val="23"/>
          <w:lang w:val="en-GB"/>
        </w:rPr>
        <w:t xml:space="preserve">, </w:t>
      </w:r>
      <w:r w:rsidR="00F00E3D">
        <w:rPr>
          <w:rFonts w:asciiTheme="majorHAnsi" w:eastAsiaTheme="majorEastAsia" w:hAnsiTheme="majorHAnsi" w:cstheme="majorBidi"/>
          <w:sz w:val="23"/>
          <w:szCs w:val="23"/>
          <w:lang w:val="en-GB"/>
        </w:rPr>
        <w:t xml:space="preserve">and </w:t>
      </w:r>
      <w:r w:rsidR="00F00E3D" w:rsidRPr="766E2159">
        <w:rPr>
          <w:rFonts w:asciiTheme="majorHAnsi" w:eastAsiaTheme="majorEastAsia" w:hAnsiTheme="majorHAnsi" w:cstheme="majorBidi"/>
          <w:sz w:val="23"/>
          <w:szCs w:val="23"/>
          <w:lang w:val="en-GB"/>
        </w:rPr>
        <w:t xml:space="preserve">limited access to </w:t>
      </w:r>
      <w:r w:rsidR="00F00E3D" w:rsidRPr="44728735">
        <w:rPr>
          <w:rFonts w:asciiTheme="majorHAnsi" w:eastAsiaTheme="majorEastAsia" w:hAnsiTheme="majorHAnsi" w:cstheme="majorBidi"/>
          <w:sz w:val="23"/>
          <w:szCs w:val="23"/>
          <w:lang w:val="en-GB"/>
        </w:rPr>
        <w:t xml:space="preserve">quality, safe </w:t>
      </w:r>
      <w:r w:rsidR="00F00E3D" w:rsidRPr="766E2159">
        <w:rPr>
          <w:rFonts w:asciiTheme="majorHAnsi" w:eastAsiaTheme="majorEastAsia" w:hAnsiTheme="majorHAnsi" w:cstheme="majorBidi"/>
          <w:sz w:val="23"/>
          <w:szCs w:val="23"/>
          <w:lang w:val="en-GB"/>
        </w:rPr>
        <w:t>public spaces (including agencies, retail</w:t>
      </w:r>
      <w:r w:rsidR="00F00E3D" w:rsidRPr="44728735">
        <w:rPr>
          <w:rFonts w:asciiTheme="majorHAnsi" w:eastAsiaTheme="majorEastAsia" w:hAnsiTheme="majorHAnsi" w:cstheme="majorBidi"/>
          <w:sz w:val="23"/>
          <w:szCs w:val="23"/>
          <w:lang w:val="en-GB"/>
        </w:rPr>
        <w:t>, green space</w:t>
      </w:r>
      <w:r w:rsidR="00A70CED">
        <w:rPr>
          <w:rFonts w:asciiTheme="majorHAnsi" w:eastAsiaTheme="majorEastAsia" w:hAnsiTheme="majorHAnsi" w:cstheme="majorBidi"/>
          <w:sz w:val="23"/>
          <w:szCs w:val="23"/>
          <w:lang w:val="en-GB"/>
        </w:rPr>
        <w:t>s,</w:t>
      </w:r>
      <w:r w:rsidR="00F00E3D" w:rsidRPr="766E2159">
        <w:rPr>
          <w:rFonts w:asciiTheme="majorHAnsi" w:eastAsiaTheme="majorEastAsia" w:hAnsiTheme="majorHAnsi" w:cstheme="majorBidi"/>
          <w:sz w:val="23"/>
          <w:szCs w:val="23"/>
          <w:lang w:val="en-GB"/>
        </w:rPr>
        <w:t xml:space="preserve"> and outdoor facilities)</w:t>
      </w:r>
      <w:r w:rsidR="00A70CED">
        <w:rPr>
          <w:rFonts w:asciiTheme="majorHAnsi" w:eastAsiaTheme="majorEastAsia" w:hAnsiTheme="majorHAnsi" w:cstheme="majorBidi"/>
          <w:sz w:val="23"/>
          <w:szCs w:val="23"/>
          <w:lang w:val="en-GB"/>
        </w:rPr>
        <w:t>,</w:t>
      </w:r>
      <w:r w:rsidR="00F00E3D" w:rsidRPr="766E2159">
        <w:rPr>
          <w:rFonts w:asciiTheme="majorHAnsi" w:eastAsiaTheme="majorEastAsia" w:hAnsiTheme="majorHAnsi" w:cstheme="majorBidi"/>
          <w:sz w:val="23"/>
          <w:szCs w:val="23"/>
          <w:lang w:val="en-GB"/>
        </w:rPr>
        <w:t xml:space="preserve"> </w:t>
      </w:r>
      <w:r w:rsidR="00F00E3D" w:rsidRPr="766E2159">
        <w:rPr>
          <w:rFonts w:asciiTheme="majorHAnsi" w:eastAsiaTheme="majorEastAsia" w:hAnsiTheme="majorHAnsi" w:cstheme="majorBidi"/>
          <w:sz w:val="23"/>
          <w:szCs w:val="23"/>
        </w:rPr>
        <w:t xml:space="preserve">and </w:t>
      </w:r>
      <w:r w:rsidR="00F00E3D">
        <w:rPr>
          <w:rFonts w:asciiTheme="majorHAnsi" w:eastAsiaTheme="majorEastAsia" w:hAnsiTheme="majorHAnsi" w:cstheme="majorBidi"/>
          <w:sz w:val="23"/>
          <w:szCs w:val="23"/>
        </w:rPr>
        <w:t xml:space="preserve">to </w:t>
      </w:r>
      <w:r w:rsidR="00F00E3D" w:rsidRPr="0DFCA7BF">
        <w:rPr>
          <w:rFonts w:asciiTheme="majorHAnsi" w:eastAsiaTheme="majorEastAsia" w:hAnsiTheme="majorHAnsi" w:cstheme="majorBidi"/>
          <w:sz w:val="23"/>
          <w:szCs w:val="23"/>
          <w:lang w:val="en-GB"/>
        </w:rPr>
        <w:t>public transport</w:t>
      </w:r>
      <w:r w:rsidR="00F00E3D">
        <w:rPr>
          <w:rFonts w:asciiTheme="majorHAnsi" w:eastAsiaTheme="majorEastAsia" w:hAnsiTheme="majorHAnsi" w:cstheme="majorBidi"/>
          <w:sz w:val="23"/>
          <w:szCs w:val="23"/>
          <w:lang w:val="en-GB"/>
        </w:rPr>
        <w:t xml:space="preserve"> because </w:t>
      </w:r>
      <w:r w:rsidR="00F00E3D" w:rsidRPr="44728735">
        <w:rPr>
          <w:rFonts w:asciiTheme="majorHAnsi" w:eastAsiaTheme="majorEastAsia" w:hAnsiTheme="majorHAnsi" w:cstheme="majorBidi"/>
          <w:sz w:val="23"/>
          <w:szCs w:val="23"/>
          <w:lang w:val="en-GB"/>
        </w:rPr>
        <w:t>transit facilities</w:t>
      </w:r>
      <w:r w:rsidR="00F00E3D">
        <w:rPr>
          <w:rFonts w:asciiTheme="majorHAnsi" w:eastAsiaTheme="majorEastAsia" w:hAnsiTheme="majorHAnsi" w:cstheme="majorBidi"/>
          <w:sz w:val="23"/>
          <w:szCs w:val="23"/>
          <w:lang w:val="en-GB"/>
        </w:rPr>
        <w:t xml:space="preserve"> were perceived as </w:t>
      </w:r>
      <w:r w:rsidR="00F00E3D" w:rsidRPr="0DFCA7BF">
        <w:rPr>
          <w:rFonts w:asciiTheme="majorHAnsi" w:eastAsiaTheme="majorEastAsia" w:hAnsiTheme="majorHAnsi" w:cstheme="majorBidi"/>
          <w:sz w:val="23"/>
          <w:szCs w:val="23"/>
          <w:lang w:val="en-GB"/>
        </w:rPr>
        <w:t>a high</w:t>
      </w:r>
      <w:r w:rsidR="00A70CED">
        <w:rPr>
          <w:rFonts w:asciiTheme="majorHAnsi" w:eastAsiaTheme="majorEastAsia" w:hAnsiTheme="majorHAnsi" w:cstheme="majorBidi"/>
          <w:sz w:val="23"/>
          <w:szCs w:val="23"/>
          <w:lang w:val="en-GB"/>
        </w:rPr>
        <w:t>-</w:t>
      </w:r>
      <w:r w:rsidR="00F00E3D" w:rsidRPr="0DFCA7BF">
        <w:rPr>
          <w:rFonts w:asciiTheme="majorHAnsi" w:eastAsiaTheme="majorEastAsia" w:hAnsiTheme="majorHAnsi" w:cstheme="majorBidi"/>
          <w:sz w:val="23"/>
          <w:szCs w:val="23"/>
          <w:lang w:val="en-GB"/>
        </w:rPr>
        <w:t xml:space="preserve">risk setting for </w:t>
      </w:r>
      <w:r w:rsidR="00940D80">
        <w:rPr>
          <w:rFonts w:asciiTheme="majorHAnsi" w:eastAsiaTheme="majorEastAsia" w:hAnsiTheme="majorHAnsi" w:cstheme="majorBidi"/>
          <w:sz w:val="23"/>
          <w:szCs w:val="23"/>
          <w:lang w:val="en-GB"/>
        </w:rPr>
        <w:t>COVID-19</w:t>
      </w:r>
      <w:r w:rsidR="00F00E3D" w:rsidRPr="0DFCA7BF">
        <w:rPr>
          <w:rFonts w:asciiTheme="majorHAnsi" w:eastAsiaTheme="majorEastAsia" w:hAnsiTheme="majorHAnsi" w:cstheme="majorBidi"/>
          <w:sz w:val="23"/>
          <w:szCs w:val="23"/>
          <w:lang w:val="en-GB"/>
        </w:rPr>
        <w:t xml:space="preserve"> transmission.</w:t>
      </w:r>
    </w:p>
    <w:p w14:paraId="461891F2" w14:textId="77777777" w:rsidR="00E33A86" w:rsidRDefault="00E33A86">
      <w:pPr>
        <w:spacing w:after="0" w:line="240" w:lineRule="auto"/>
        <w:rPr>
          <w:rFonts w:asciiTheme="majorHAnsi" w:eastAsiaTheme="majorEastAsia" w:hAnsiTheme="majorHAnsi" w:cstheme="majorBidi"/>
          <w:sz w:val="23"/>
          <w:szCs w:val="23"/>
          <w:lang w:val="en-GB"/>
        </w:rPr>
      </w:pPr>
      <w:r>
        <w:rPr>
          <w:rFonts w:asciiTheme="majorHAnsi" w:eastAsiaTheme="majorEastAsia" w:hAnsiTheme="majorHAnsi" w:cstheme="majorBidi"/>
          <w:sz w:val="23"/>
          <w:szCs w:val="23"/>
          <w:lang w:val="en-GB"/>
        </w:rPr>
        <w:br w:type="page"/>
      </w:r>
    </w:p>
    <w:p w14:paraId="56543EA4" w14:textId="64AF7A3D" w:rsidR="00F00E3D" w:rsidRPr="00276D2E" w:rsidRDefault="00F00E3D" w:rsidP="00E35346">
      <w:pPr>
        <w:pStyle w:val="Default"/>
        <w:spacing w:line="276" w:lineRule="auto"/>
        <w:rPr>
          <w:rFonts w:asciiTheme="minorHAnsi" w:hAnsiTheme="minorHAnsi" w:cstheme="minorBidi"/>
          <w:b/>
          <w:color w:val="2E74B5" w:themeColor="accent5" w:themeShade="BF"/>
          <w:sz w:val="25"/>
          <w:szCs w:val="25"/>
        </w:rPr>
      </w:pPr>
      <w:r w:rsidRPr="00276D2E">
        <w:rPr>
          <w:rFonts w:asciiTheme="minorHAnsi" w:hAnsiTheme="minorHAnsi" w:cstheme="minorBidi"/>
          <w:b/>
          <w:color w:val="2E74B5" w:themeColor="accent5" w:themeShade="BF"/>
          <w:sz w:val="25"/>
          <w:szCs w:val="25"/>
        </w:rPr>
        <w:lastRenderedPageBreak/>
        <w:t xml:space="preserve">7. What factors </w:t>
      </w:r>
      <w:r w:rsidR="001B0460" w:rsidRPr="00276D2E">
        <w:rPr>
          <w:rFonts w:asciiTheme="minorHAnsi" w:hAnsiTheme="minorHAnsi" w:cstheme="minorBidi"/>
          <w:b/>
          <w:color w:val="2E74B5" w:themeColor="accent5" w:themeShade="BF"/>
          <w:sz w:val="25"/>
          <w:szCs w:val="25"/>
        </w:rPr>
        <w:t>supported</w:t>
      </w:r>
      <w:r w:rsidRPr="00276D2E">
        <w:rPr>
          <w:rFonts w:asciiTheme="minorHAnsi" w:hAnsiTheme="minorHAnsi" w:cstheme="minorBidi"/>
          <w:b/>
          <w:color w:val="2E74B5" w:themeColor="accent5" w:themeShade="BF"/>
          <w:sz w:val="25"/>
          <w:szCs w:val="25"/>
        </w:rPr>
        <w:t xml:space="preserve"> </w:t>
      </w:r>
      <w:r w:rsidR="00A70CED" w:rsidRPr="00276D2E">
        <w:rPr>
          <w:rFonts w:asciiTheme="minorHAnsi" w:hAnsiTheme="minorHAnsi" w:cstheme="minorBidi"/>
          <w:b/>
          <w:color w:val="2E74B5" w:themeColor="accent5" w:themeShade="BF"/>
          <w:sz w:val="25"/>
          <w:szCs w:val="25"/>
        </w:rPr>
        <w:t xml:space="preserve">local </w:t>
      </w:r>
      <w:r w:rsidRPr="00276D2E">
        <w:rPr>
          <w:rFonts w:asciiTheme="minorHAnsi" w:hAnsiTheme="minorHAnsi" w:cstheme="minorBidi"/>
          <w:b/>
          <w:color w:val="2E74B5" w:themeColor="accent5" w:themeShade="BF"/>
          <w:sz w:val="25"/>
          <w:szCs w:val="25"/>
        </w:rPr>
        <w:t>economic resilience and social cohesion?</w:t>
      </w:r>
    </w:p>
    <w:p w14:paraId="3C578FA8" w14:textId="77777777" w:rsidR="00E35346" w:rsidRPr="00A70CED" w:rsidRDefault="00E35346" w:rsidP="00E35346">
      <w:pPr>
        <w:pStyle w:val="Default"/>
        <w:spacing w:line="276" w:lineRule="auto"/>
        <w:rPr>
          <w:rFonts w:asciiTheme="minorHAnsi" w:hAnsiTheme="minorHAnsi" w:cstheme="minorBidi"/>
          <w:b/>
          <w:color w:val="2F5496" w:themeColor="accent1" w:themeShade="BF"/>
          <w:sz w:val="12"/>
          <w:szCs w:val="12"/>
        </w:rPr>
      </w:pPr>
    </w:p>
    <w:p w14:paraId="78F40BC4" w14:textId="7DAD4CFB" w:rsidR="00F00E3D" w:rsidRDefault="00A70CED" w:rsidP="004536A3">
      <w:pPr>
        <w:widowControl w:val="0"/>
        <w:rPr>
          <w:rFonts w:asciiTheme="majorHAnsi" w:eastAsiaTheme="majorEastAsia" w:hAnsiTheme="majorHAnsi" w:cstheme="majorBidi"/>
          <w:sz w:val="23"/>
          <w:szCs w:val="23"/>
          <w:lang w:val="en-GB"/>
        </w:rPr>
      </w:pPr>
      <w:r>
        <w:rPr>
          <w:rFonts w:asciiTheme="majorHAnsi" w:eastAsiaTheme="majorEastAsia" w:hAnsiTheme="majorHAnsi" w:cstheme="majorBidi"/>
          <w:sz w:val="23"/>
          <w:szCs w:val="23"/>
          <w:lang w:val="en-GB"/>
        </w:rPr>
        <w:t>Some p</w:t>
      </w:r>
      <w:r w:rsidR="00F00E3D" w:rsidRPr="368497C5">
        <w:rPr>
          <w:rFonts w:asciiTheme="majorHAnsi" w:eastAsiaTheme="majorEastAsia" w:hAnsiTheme="majorHAnsi" w:cstheme="majorBidi"/>
          <w:sz w:val="23"/>
          <w:szCs w:val="23"/>
          <w:lang w:val="en-GB"/>
        </w:rPr>
        <w:t xml:space="preserve">ositive </w:t>
      </w:r>
      <w:r w:rsidR="000B62E3">
        <w:rPr>
          <w:rFonts w:asciiTheme="majorHAnsi" w:eastAsiaTheme="majorEastAsia" w:hAnsiTheme="majorHAnsi" w:cstheme="majorBidi"/>
          <w:sz w:val="23"/>
          <w:szCs w:val="23"/>
          <w:lang w:val="en-GB"/>
        </w:rPr>
        <w:t>outcomes during</w:t>
      </w:r>
      <w:r w:rsidR="00F00E3D">
        <w:rPr>
          <w:rFonts w:asciiTheme="majorHAnsi" w:eastAsiaTheme="majorEastAsia" w:hAnsiTheme="majorHAnsi" w:cstheme="majorBidi"/>
          <w:sz w:val="23"/>
          <w:szCs w:val="23"/>
          <w:lang w:val="en-GB"/>
        </w:rPr>
        <w:t xml:space="preserve"> the pandemic </w:t>
      </w:r>
      <w:r w:rsidR="00F00E3D" w:rsidRPr="368497C5">
        <w:rPr>
          <w:rFonts w:asciiTheme="majorHAnsi" w:eastAsiaTheme="majorEastAsia" w:hAnsiTheme="majorHAnsi" w:cstheme="majorBidi"/>
          <w:sz w:val="23"/>
          <w:szCs w:val="23"/>
          <w:lang w:val="en-GB"/>
        </w:rPr>
        <w:t xml:space="preserve">were reported across all five </w:t>
      </w:r>
      <w:r w:rsidR="00D95573">
        <w:rPr>
          <w:rFonts w:asciiTheme="majorHAnsi" w:eastAsiaTheme="majorEastAsia" w:hAnsiTheme="majorHAnsi" w:cstheme="majorBidi"/>
          <w:sz w:val="23"/>
          <w:szCs w:val="23"/>
          <w:lang w:val="en-GB"/>
        </w:rPr>
        <w:t>Practice Domain</w:t>
      </w:r>
      <w:r w:rsidR="00F00E3D" w:rsidRPr="368497C5">
        <w:rPr>
          <w:rFonts w:asciiTheme="majorHAnsi" w:eastAsiaTheme="majorEastAsia" w:hAnsiTheme="majorHAnsi" w:cstheme="majorBidi"/>
          <w:sz w:val="23"/>
          <w:szCs w:val="23"/>
          <w:lang w:val="en-GB"/>
        </w:rPr>
        <w:t xml:space="preserve">s, </w:t>
      </w:r>
      <w:r w:rsidR="000B62E3">
        <w:rPr>
          <w:rFonts w:asciiTheme="majorHAnsi" w:eastAsiaTheme="majorEastAsia" w:hAnsiTheme="majorHAnsi" w:cstheme="majorBidi"/>
          <w:sz w:val="23"/>
          <w:szCs w:val="23"/>
          <w:lang w:val="en-GB"/>
        </w:rPr>
        <w:t>some of which</w:t>
      </w:r>
      <w:r w:rsidR="00F00E3D" w:rsidRPr="368497C5">
        <w:rPr>
          <w:rFonts w:asciiTheme="majorHAnsi" w:eastAsiaTheme="majorEastAsia" w:hAnsiTheme="majorHAnsi" w:cstheme="majorBidi"/>
          <w:sz w:val="23"/>
          <w:szCs w:val="23"/>
          <w:lang w:val="en-GB"/>
        </w:rPr>
        <w:t xml:space="preserve"> reflect</w:t>
      </w:r>
      <w:r w:rsidR="000B62E3">
        <w:rPr>
          <w:rFonts w:asciiTheme="majorHAnsi" w:eastAsiaTheme="majorEastAsia" w:hAnsiTheme="majorHAnsi" w:cstheme="majorBidi"/>
          <w:sz w:val="23"/>
          <w:szCs w:val="23"/>
          <w:lang w:val="en-GB"/>
        </w:rPr>
        <w:t>ed</w:t>
      </w:r>
      <w:r w:rsidR="00F00E3D" w:rsidRPr="368497C5">
        <w:rPr>
          <w:rFonts w:asciiTheme="majorHAnsi" w:eastAsiaTheme="majorEastAsia" w:hAnsiTheme="majorHAnsi" w:cstheme="majorBidi"/>
          <w:sz w:val="23"/>
          <w:szCs w:val="23"/>
          <w:lang w:val="en-GB"/>
        </w:rPr>
        <w:t xml:space="preserve"> community response</w:t>
      </w:r>
      <w:r w:rsidR="000B62E3">
        <w:rPr>
          <w:rFonts w:asciiTheme="majorHAnsi" w:eastAsiaTheme="majorEastAsia" w:hAnsiTheme="majorHAnsi" w:cstheme="majorBidi"/>
          <w:sz w:val="23"/>
          <w:szCs w:val="23"/>
          <w:lang w:val="en-GB"/>
        </w:rPr>
        <w:t>s</w:t>
      </w:r>
      <w:r w:rsidR="00F00E3D" w:rsidRPr="368497C5">
        <w:rPr>
          <w:rFonts w:asciiTheme="majorHAnsi" w:eastAsiaTheme="majorEastAsia" w:hAnsiTheme="majorHAnsi" w:cstheme="majorBidi"/>
          <w:sz w:val="23"/>
          <w:szCs w:val="23"/>
          <w:lang w:val="en-GB"/>
        </w:rPr>
        <w:t xml:space="preserve"> to the </w:t>
      </w:r>
      <w:r w:rsidR="008B7225">
        <w:rPr>
          <w:rFonts w:asciiTheme="majorHAnsi" w:eastAsiaTheme="majorEastAsia" w:hAnsiTheme="majorHAnsi" w:cstheme="majorBidi"/>
          <w:sz w:val="23"/>
          <w:szCs w:val="23"/>
          <w:lang w:val="en-GB"/>
        </w:rPr>
        <w:t xml:space="preserve">challenges and </w:t>
      </w:r>
      <w:r w:rsidR="00F00E3D" w:rsidRPr="368497C5">
        <w:rPr>
          <w:rFonts w:asciiTheme="majorHAnsi" w:eastAsiaTheme="majorEastAsia" w:hAnsiTheme="majorHAnsi" w:cstheme="majorBidi"/>
          <w:sz w:val="23"/>
          <w:szCs w:val="23"/>
          <w:lang w:val="en-GB"/>
        </w:rPr>
        <w:t xml:space="preserve">negative impacts described above. </w:t>
      </w:r>
      <w:r w:rsidR="008B7225">
        <w:rPr>
          <w:rFonts w:asciiTheme="majorHAnsi" w:eastAsiaTheme="majorEastAsia" w:hAnsiTheme="majorHAnsi" w:cstheme="majorBidi"/>
          <w:sz w:val="23"/>
          <w:szCs w:val="23"/>
          <w:lang w:val="en-GB"/>
        </w:rPr>
        <w:t>T</w:t>
      </w:r>
      <w:r w:rsidR="00F00E3D" w:rsidRPr="368497C5">
        <w:rPr>
          <w:rFonts w:asciiTheme="majorHAnsi" w:eastAsiaTheme="majorEastAsia" w:hAnsiTheme="majorHAnsi" w:cstheme="majorBidi"/>
          <w:sz w:val="23"/>
          <w:szCs w:val="23"/>
          <w:lang w:val="en-GB"/>
        </w:rPr>
        <w:t xml:space="preserve">he overarching theme was </w:t>
      </w:r>
      <w:r w:rsidR="00BE651D">
        <w:rPr>
          <w:rFonts w:asciiTheme="majorHAnsi" w:eastAsiaTheme="majorEastAsia" w:hAnsiTheme="majorHAnsi" w:cstheme="majorBidi"/>
          <w:sz w:val="23"/>
          <w:szCs w:val="23"/>
          <w:lang w:val="en-GB"/>
        </w:rPr>
        <w:t>the community’s ability to leverage</w:t>
      </w:r>
      <w:r w:rsidR="00F00E3D" w:rsidRPr="368497C5">
        <w:rPr>
          <w:rFonts w:asciiTheme="majorHAnsi" w:eastAsiaTheme="majorEastAsia" w:hAnsiTheme="majorHAnsi" w:cstheme="majorBidi"/>
          <w:sz w:val="23"/>
          <w:szCs w:val="23"/>
          <w:lang w:val="en-GB"/>
        </w:rPr>
        <w:t xml:space="preserve"> pre-existing economic and social resilience</w:t>
      </w:r>
      <w:r w:rsidR="00BE651D">
        <w:rPr>
          <w:rFonts w:asciiTheme="majorHAnsi" w:eastAsiaTheme="majorEastAsia" w:hAnsiTheme="majorHAnsi" w:cstheme="majorBidi"/>
          <w:sz w:val="23"/>
          <w:szCs w:val="23"/>
          <w:lang w:val="en-GB"/>
        </w:rPr>
        <w:t xml:space="preserve">, </w:t>
      </w:r>
      <w:r w:rsidR="00F00E3D" w:rsidRPr="368497C5">
        <w:rPr>
          <w:rFonts w:asciiTheme="majorHAnsi" w:eastAsiaTheme="majorEastAsia" w:hAnsiTheme="majorHAnsi" w:cstheme="majorBidi"/>
          <w:sz w:val="23"/>
          <w:szCs w:val="23"/>
          <w:lang w:val="en-GB"/>
        </w:rPr>
        <w:t>developed from years of experience with disadvantage.</w:t>
      </w:r>
    </w:p>
    <w:p w14:paraId="45745783" w14:textId="77B0FF47" w:rsidR="00F00E3D" w:rsidRPr="00ED48DE" w:rsidRDefault="00CF4907" w:rsidP="78F9AF82">
      <w:pPr>
        <w:widowControl w:val="0"/>
        <w:rPr>
          <w:rFonts w:asciiTheme="majorHAnsi" w:eastAsiaTheme="majorEastAsia" w:hAnsiTheme="majorHAnsi" w:cstheme="majorBidi"/>
          <w:sz w:val="23"/>
          <w:szCs w:val="23"/>
          <w:lang w:val="en-GB"/>
        </w:rPr>
      </w:pPr>
      <w:r w:rsidRPr="78F9AF82">
        <w:rPr>
          <w:rFonts w:asciiTheme="majorHAnsi" w:eastAsiaTheme="majorEastAsia" w:hAnsiTheme="majorHAnsi" w:cstheme="majorBidi"/>
          <w:sz w:val="23"/>
          <w:szCs w:val="23"/>
          <w:lang w:val="en-GB"/>
        </w:rPr>
        <w:t xml:space="preserve">The </w:t>
      </w:r>
      <w:r w:rsidR="00F00E3D" w:rsidRPr="78F9AF82">
        <w:rPr>
          <w:rFonts w:asciiTheme="majorHAnsi" w:eastAsiaTheme="majorEastAsia" w:hAnsiTheme="majorHAnsi" w:cstheme="majorBidi"/>
          <w:sz w:val="23"/>
          <w:szCs w:val="23"/>
          <w:lang w:val="en-GB"/>
        </w:rPr>
        <w:t>JobKeeper</w:t>
      </w:r>
      <w:r w:rsidR="004B377E" w:rsidRPr="78F9AF82">
        <w:rPr>
          <w:rFonts w:asciiTheme="majorHAnsi" w:eastAsiaTheme="majorEastAsia" w:hAnsiTheme="majorHAnsi" w:cstheme="majorBidi"/>
          <w:sz w:val="23"/>
          <w:szCs w:val="23"/>
          <w:lang w:val="en-GB"/>
        </w:rPr>
        <w:t xml:space="preserve"> </w:t>
      </w:r>
      <w:r w:rsidRPr="78F9AF82">
        <w:rPr>
          <w:rFonts w:asciiTheme="majorHAnsi" w:eastAsiaTheme="majorEastAsia" w:hAnsiTheme="majorHAnsi" w:cstheme="majorBidi"/>
          <w:sz w:val="23"/>
          <w:szCs w:val="23"/>
          <w:lang w:val="en-GB"/>
        </w:rPr>
        <w:t xml:space="preserve">scheme </w:t>
      </w:r>
      <w:r w:rsidR="004B377E" w:rsidRPr="78F9AF82">
        <w:rPr>
          <w:rFonts w:asciiTheme="majorHAnsi" w:eastAsiaTheme="majorEastAsia" w:hAnsiTheme="majorHAnsi" w:cstheme="majorBidi"/>
          <w:sz w:val="23"/>
          <w:szCs w:val="23"/>
          <w:lang w:val="en-GB"/>
        </w:rPr>
        <w:t>and the JobSeeker</w:t>
      </w:r>
      <w:r w:rsidR="00300D6F" w:rsidRPr="78F9AF82">
        <w:rPr>
          <w:rFonts w:asciiTheme="majorHAnsi" w:eastAsiaTheme="majorEastAsia" w:hAnsiTheme="majorHAnsi" w:cstheme="majorBidi"/>
          <w:sz w:val="23"/>
          <w:szCs w:val="23"/>
          <w:lang w:val="en-GB"/>
        </w:rPr>
        <w:t xml:space="preserve"> Coronavirus</w:t>
      </w:r>
      <w:r w:rsidR="004B377E" w:rsidRPr="78F9AF82">
        <w:rPr>
          <w:rFonts w:asciiTheme="majorHAnsi" w:eastAsiaTheme="majorEastAsia" w:hAnsiTheme="majorHAnsi" w:cstheme="majorBidi"/>
          <w:sz w:val="23"/>
          <w:szCs w:val="23"/>
          <w:lang w:val="en-GB"/>
        </w:rPr>
        <w:t xml:space="preserve"> </w:t>
      </w:r>
      <w:r w:rsidR="00300D6F" w:rsidRPr="78F9AF82">
        <w:rPr>
          <w:rFonts w:asciiTheme="majorHAnsi" w:eastAsiaTheme="majorEastAsia" w:hAnsiTheme="majorHAnsi" w:cstheme="majorBidi"/>
          <w:sz w:val="23"/>
          <w:szCs w:val="23"/>
          <w:lang w:val="en-GB"/>
        </w:rPr>
        <w:t>S</w:t>
      </w:r>
      <w:r w:rsidR="004B377E" w:rsidRPr="78F9AF82">
        <w:rPr>
          <w:rFonts w:asciiTheme="majorHAnsi" w:eastAsiaTheme="majorEastAsia" w:hAnsiTheme="majorHAnsi" w:cstheme="majorBidi"/>
          <w:sz w:val="23"/>
          <w:szCs w:val="23"/>
          <w:lang w:val="en-GB"/>
        </w:rPr>
        <w:t>upplement</w:t>
      </w:r>
      <w:r w:rsidR="00F00E3D" w:rsidRPr="78F9AF82">
        <w:rPr>
          <w:rFonts w:asciiTheme="majorHAnsi" w:eastAsiaTheme="majorEastAsia" w:hAnsiTheme="majorHAnsi" w:cstheme="majorBidi"/>
          <w:sz w:val="23"/>
          <w:szCs w:val="23"/>
          <w:lang w:val="en-GB"/>
        </w:rPr>
        <w:t xml:space="preserve"> w</w:t>
      </w:r>
      <w:r w:rsidR="004B377E" w:rsidRPr="78F9AF82">
        <w:rPr>
          <w:rFonts w:asciiTheme="majorHAnsi" w:eastAsiaTheme="majorEastAsia" w:hAnsiTheme="majorHAnsi" w:cstheme="majorBidi"/>
          <w:sz w:val="23"/>
          <w:szCs w:val="23"/>
          <w:lang w:val="en-GB"/>
        </w:rPr>
        <w:t>ere</w:t>
      </w:r>
      <w:r w:rsidR="00F00E3D" w:rsidRPr="78F9AF82">
        <w:rPr>
          <w:rFonts w:asciiTheme="majorHAnsi" w:eastAsiaTheme="majorEastAsia" w:hAnsiTheme="majorHAnsi" w:cstheme="majorBidi"/>
          <w:sz w:val="23"/>
          <w:szCs w:val="23"/>
          <w:lang w:val="en-GB"/>
        </w:rPr>
        <w:t xml:space="preserve"> cited as key</w:t>
      </w:r>
      <w:r w:rsidR="004B377E" w:rsidRPr="78F9AF82">
        <w:rPr>
          <w:rFonts w:asciiTheme="majorHAnsi" w:eastAsiaTheme="majorEastAsia" w:hAnsiTheme="majorHAnsi" w:cstheme="majorBidi"/>
          <w:sz w:val="23"/>
          <w:szCs w:val="23"/>
          <w:lang w:val="en-GB"/>
        </w:rPr>
        <w:t xml:space="preserve"> factors in</w:t>
      </w:r>
      <w:r w:rsidR="00F00E3D" w:rsidRPr="78F9AF82">
        <w:rPr>
          <w:rFonts w:asciiTheme="majorHAnsi" w:eastAsiaTheme="majorEastAsia" w:hAnsiTheme="majorHAnsi" w:cstheme="majorBidi"/>
          <w:sz w:val="23"/>
          <w:szCs w:val="23"/>
          <w:lang w:val="en-GB"/>
        </w:rPr>
        <w:t xml:space="preserve"> alleviating severe financial stress, provid</w:t>
      </w:r>
      <w:r w:rsidR="001B7C91" w:rsidRPr="78F9AF82">
        <w:rPr>
          <w:rFonts w:asciiTheme="majorHAnsi" w:eastAsiaTheme="majorEastAsia" w:hAnsiTheme="majorHAnsi" w:cstheme="majorBidi"/>
          <w:sz w:val="23"/>
          <w:szCs w:val="23"/>
          <w:lang w:val="en-GB"/>
        </w:rPr>
        <w:t>ing</w:t>
      </w:r>
      <w:r w:rsidR="00F00E3D" w:rsidRPr="78F9AF82">
        <w:rPr>
          <w:rFonts w:asciiTheme="majorHAnsi" w:eastAsiaTheme="majorEastAsia" w:hAnsiTheme="majorHAnsi" w:cstheme="majorBidi"/>
          <w:sz w:val="23"/>
          <w:szCs w:val="23"/>
          <w:lang w:val="en-GB"/>
        </w:rPr>
        <w:t xml:space="preserve"> a </w:t>
      </w:r>
      <w:r w:rsidR="00BE651D" w:rsidRPr="78F9AF82">
        <w:rPr>
          <w:rFonts w:asciiTheme="majorHAnsi" w:eastAsiaTheme="majorEastAsia" w:hAnsiTheme="majorHAnsi" w:cstheme="majorBidi"/>
          <w:sz w:val="23"/>
          <w:szCs w:val="23"/>
          <w:lang w:val="en-GB"/>
        </w:rPr>
        <w:t xml:space="preserve">higher </w:t>
      </w:r>
      <w:r w:rsidR="00F00E3D" w:rsidRPr="78F9AF82">
        <w:rPr>
          <w:rFonts w:asciiTheme="majorHAnsi" w:eastAsiaTheme="majorEastAsia" w:hAnsiTheme="majorHAnsi" w:cstheme="majorBidi"/>
          <w:sz w:val="23"/>
          <w:szCs w:val="23"/>
          <w:lang w:val="en-GB"/>
        </w:rPr>
        <w:t xml:space="preserve">income </w:t>
      </w:r>
      <w:r w:rsidR="004B377E" w:rsidRPr="78F9AF82">
        <w:rPr>
          <w:rFonts w:asciiTheme="majorHAnsi" w:eastAsiaTheme="majorEastAsia" w:hAnsiTheme="majorHAnsi" w:cstheme="majorBidi"/>
          <w:sz w:val="23"/>
          <w:szCs w:val="23"/>
          <w:lang w:val="en-GB"/>
        </w:rPr>
        <w:t>than many residents had</w:t>
      </w:r>
      <w:r w:rsidR="00F00E3D" w:rsidRPr="78F9AF82">
        <w:rPr>
          <w:rFonts w:asciiTheme="majorHAnsi" w:eastAsiaTheme="majorEastAsia" w:hAnsiTheme="majorHAnsi" w:cstheme="majorBidi"/>
          <w:sz w:val="23"/>
          <w:szCs w:val="23"/>
          <w:lang w:val="en-GB"/>
        </w:rPr>
        <w:t xml:space="preserve"> </w:t>
      </w:r>
      <w:r w:rsidR="004B377E" w:rsidRPr="78F9AF82">
        <w:rPr>
          <w:rFonts w:asciiTheme="majorHAnsi" w:eastAsiaTheme="majorEastAsia" w:hAnsiTheme="majorHAnsi" w:cstheme="majorBidi"/>
          <w:sz w:val="23"/>
          <w:szCs w:val="23"/>
          <w:lang w:val="en-GB"/>
        </w:rPr>
        <w:t>pre-</w:t>
      </w:r>
      <w:r w:rsidR="00F00E3D" w:rsidRPr="78F9AF82">
        <w:rPr>
          <w:rFonts w:asciiTheme="majorHAnsi" w:eastAsiaTheme="majorEastAsia" w:hAnsiTheme="majorHAnsi" w:cstheme="majorBidi"/>
          <w:sz w:val="23"/>
          <w:szCs w:val="23"/>
          <w:lang w:val="en-GB"/>
        </w:rPr>
        <w:t xml:space="preserve"> pandemic.</w:t>
      </w:r>
      <w:r w:rsidR="00D00E61" w:rsidRPr="78F9AF82">
        <w:rPr>
          <w:rStyle w:val="FootnoteReference"/>
          <w:rFonts w:asciiTheme="majorHAnsi" w:eastAsiaTheme="majorEastAsia" w:hAnsiTheme="majorHAnsi" w:cstheme="majorBidi"/>
          <w:sz w:val="23"/>
          <w:szCs w:val="23"/>
          <w:lang w:val="en-GB"/>
        </w:rPr>
        <w:footnoteReference w:id="3"/>
      </w:r>
      <w:r w:rsidR="00F00E3D" w:rsidRPr="78F9AF82">
        <w:rPr>
          <w:rFonts w:asciiTheme="majorHAnsi" w:eastAsiaTheme="majorEastAsia" w:hAnsiTheme="majorHAnsi" w:cstheme="majorBidi"/>
          <w:sz w:val="23"/>
          <w:szCs w:val="23"/>
          <w:lang w:val="en-GB"/>
        </w:rPr>
        <w:t xml:space="preserve"> This extra income </w:t>
      </w:r>
      <w:r w:rsidR="0028718E" w:rsidRPr="78F9AF82">
        <w:rPr>
          <w:rFonts w:asciiTheme="majorHAnsi" w:eastAsiaTheme="majorEastAsia" w:hAnsiTheme="majorHAnsi" w:cstheme="majorBidi"/>
          <w:sz w:val="23"/>
          <w:szCs w:val="23"/>
          <w:lang w:val="en-GB"/>
        </w:rPr>
        <w:t>enabled</w:t>
      </w:r>
      <w:r w:rsidR="00F00E3D" w:rsidRPr="78F9AF82">
        <w:rPr>
          <w:rFonts w:asciiTheme="majorHAnsi" w:eastAsiaTheme="majorEastAsia" w:hAnsiTheme="majorHAnsi" w:cstheme="majorBidi"/>
          <w:sz w:val="23"/>
          <w:szCs w:val="23"/>
          <w:lang w:val="en-GB"/>
        </w:rPr>
        <w:t xml:space="preserve"> spending on </w:t>
      </w:r>
      <w:r w:rsidR="00B442EA" w:rsidRPr="78F9AF82">
        <w:rPr>
          <w:rFonts w:asciiTheme="majorHAnsi" w:eastAsiaTheme="majorEastAsia" w:hAnsiTheme="majorHAnsi" w:cstheme="majorBidi"/>
          <w:sz w:val="23"/>
          <w:szCs w:val="23"/>
          <w:lang w:val="en-GB"/>
        </w:rPr>
        <w:t xml:space="preserve">both immediate needs (food, rent) and </w:t>
      </w:r>
      <w:r w:rsidR="00F00E3D" w:rsidRPr="78F9AF82">
        <w:rPr>
          <w:rFonts w:asciiTheme="majorHAnsi" w:eastAsiaTheme="majorEastAsia" w:hAnsiTheme="majorHAnsi" w:cstheme="majorBidi"/>
          <w:sz w:val="23"/>
          <w:szCs w:val="23"/>
          <w:lang w:val="en-GB"/>
        </w:rPr>
        <w:t>long</w:t>
      </w:r>
      <w:r w:rsidR="0028718E" w:rsidRPr="78F9AF82">
        <w:rPr>
          <w:rFonts w:asciiTheme="majorHAnsi" w:eastAsiaTheme="majorEastAsia" w:hAnsiTheme="majorHAnsi" w:cstheme="majorBidi"/>
          <w:sz w:val="23"/>
          <w:szCs w:val="23"/>
          <w:lang w:val="en-GB"/>
        </w:rPr>
        <w:t>-</w:t>
      </w:r>
      <w:r w:rsidR="00F00E3D" w:rsidRPr="78F9AF82">
        <w:rPr>
          <w:rFonts w:asciiTheme="majorHAnsi" w:eastAsiaTheme="majorEastAsia" w:hAnsiTheme="majorHAnsi" w:cstheme="majorBidi"/>
          <w:sz w:val="23"/>
          <w:szCs w:val="23"/>
          <w:lang w:val="en-GB"/>
        </w:rPr>
        <w:t>term needs important to economic resilience</w:t>
      </w:r>
      <w:r w:rsidR="00B442EA" w:rsidRPr="78F9AF82">
        <w:rPr>
          <w:rFonts w:asciiTheme="majorHAnsi" w:eastAsiaTheme="majorEastAsia" w:hAnsiTheme="majorHAnsi" w:cstheme="majorBidi"/>
          <w:sz w:val="23"/>
          <w:szCs w:val="23"/>
          <w:lang w:val="en-GB"/>
        </w:rPr>
        <w:t xml:space="preserve"> (</w:t>
      </w:r>
      <w:r w:rsidR="00F00E3D" w:rsidRPr="78F9AF82">
        <w:rPr>
          <w:rFonts w:asciiTheme="majorHAnsi" w:eastAsiaTheme="majorEastAsia" w:hAnsiTheme="majorHAnsi" w:cstheme="majorBidi"/>
          <w:sz w:val="23"/>
          <w:szCs w:val="23"/>
          <w:lang w:val="en-GB"/>
        </w:rPr>
        <w:t>computers, training</w:t>
      </w:r>
      <w:r w:rsidR="00B442EA" w:rsidRPr="78F9AF82">
        <w:rPr>
          <w:rFonts w:asciiTheme="majorHAnsi" w:eastAsiaTheme="majorEastAsia" w:hAnsiTheme="majorHAnsi" w:cstheme="majorBidi"/>
          <w:sz w:val="23"/>
          <w:szCs w:val="23"/>
          <w:lang w:val="en-GB"/>
        </w:rPr>
        <w:t>,</w:t>
      </w:r>
      <w:r w:rsidR="00F00E3D" w:rsidRPr="78F9AF82">
        <w:rPr>
          <w:rFonts w:asciiTheme="majorHAnsi" w:eastAsiaTheme="majorEastAsia" w:hAnsiTheme="majorHAnsi" w:cstheme="majorBidi"/>
          <w:sz w:val="23"/>
          <w:szCs w:val="23"/>
          <w:lang w:val="en-GB"/>
        </w:rPr>
        <w:t xml:space="preserve"> or education</w:t>
      </w:r>
      <w:r w:rsidR="00B442EA" w:rsidRPr="78F9AF82">
        <w:rPr>
          <w:rFonts w:asciiTheme="majorHAnsi" w:eastAsiaTheme="majorEastAsia" w:hAnsiTheme="majorHAnsi" w:cstheme="majorBidi"/>
          <w:sz w:val="23"/>
          <w:szCs w:val="23"/>
          <w:lang w:val="en-GB"/>
        </w:rPr>
        <w:t>)</w:t>
      </w:r>
      <w:r w:rsidR="00F00E3D" w:rsidRPr="78F9AF82">
        <w:rPr>
          <w:rFonts w:asciiTheme="majorHAnsi" w:eastAsiaTheme="majorEastAsia" w:hAnsiTheme="majorHAnsi" w:cstheme="majorBidi"/>
          <w:sz w:val="23"/>
          <w:szCs w:val="23"/>
          <w:lang w:val="en-GB"/>
        </w:rPr>
        <w:t xml:space="preserve">. </w:t>
      </w:r>
      <w:r w:rsidR="004536A3" w:rsidRPr="78F9AF82">
        <w:rPr>
          <w:rFonts w:asciiTheme="majorHAnsi" w:eastAsiaTheme="majorEastAsia" w:hAnsiTheme="majorHAnsi" w:cstheme="majorBidi"/>
          <w:sz w:val="23"/>
          <w:szCs w:val="23"/>
          <w:lang w:val="en-GB"/>
        </w:rPr>
        <w:t>However</w:t>
      </w:r>
      <w:r w:rsidR="00B442EA" w:rsidRPr="78F9AF82">
        <w:rPr>
          <w:rFonts w:asciiTheme="majorHAnsi" w:eastAsiaTheme="majorEastAsia" w:hAnsiTheme="majorHAnsi" w:cstheme="majorBidi"/>
          <w:sz w:val="23"/>
          <w:szCs w:val="23"/>
          <w:lang w:val="en-GB"/>
        </w:rPr>
        <w:t>,</w:t>
      </w:r>
      <w:r w:rsidR="004536A3" w:rsidRPr="78F9AF82">
        <w:rPr>
          <w:rFonts w:asciiTheme="majorHAnsi" w:eastAsiaTheme="majorEastAsia" w:hAnsiTheme="majorHAnsi" w:cstheme="majorBidi"/>
          <w:sz w:val="23"/>
          <w:szCs w:val="23"/>
          <w:lang w:val="en-GB"/>
        </w:rPr>
        <w:t xml:space="preserve"> there was clear</w:t>
      </w:r>
      <w:r w:rsidR="00F00E3D" w:rsidRPr="78F9AF82">
        <w:rPr>
          <w:rFonts w:asciiTheme="majorHAnsi" w:eastAsiaTheme="majorEastAsia" w:hAnsiTheme="majorHAnsi" w:cstheme="majorBidi"/>
          <w:sz w:val="23"/>
          <w:szCs w:val="23"/>
          <w:lang w:val="en-GB"/>
        </w:rPr>
        <w:t xml:space="preserve"> anxiety about the impacts of the</w:t>
      </w:r>
      <w:r w:rsidR="0028718E" w:rsidRPr="78F9AF82">
        <w:rPr>
          <w:rFonts w:asciiTheme="majorHAnsi" w:eastAsiaTheme="majorEastAsia" w:hAnsiTheme="majorHAnsi" w:cstheme="majorBidi"/>
          <w:sz w:val="23"/>
          <w:szCs w:val="23"/>
          <w:lang w:val="en-GB"/>
        </w:rPr>
        <w:t>se</w:t>
      </w:r>
      <w:r w:rsidR="00F00E3D" w:rsidRPr="78F9AF82">
        <w:rPr>
          <w:rFonts w:asciiTheme="majorHAnsi" w:eastAsiaTheme="majorEastAsia" w:hAnsiTheme="majorHAnsi" w:cstheme="majorBidi"/>
          <w:sz w:val="23"/>
          <w:szCs w:val="23"/>
          <w:lang w:val="en-GB"/>
        </w:rPr>
        <w:t xml:space="preserve"> payments ceasing </w:t>
      </w:r>
      <w:r w:rsidR="004536A3" w:rsidRPr="78F9AF82">
        <w:rPr>
          <w:rFonts w:asciiTheme="majorHAnsi" w:eastAsiaTheme="majorEastAsia" w:hAnsiTheme="majorHAnsi" w:cstheme="majorBidi"/>
          <w:sz w:val="23"/>
          <w:szCs w:val="23"/>
          <w:lang w:val="en-GB"/>
        </w:rPr>
        <w:t>from late March</w:t>
      </w:r>
      <w:r w:rsidR="00F00E3D" w:rsidRPr="78F9AF82">
        <w:rPr>
          <w:rFonts w:asciiTheme="majorHAnsi" w:eastAsiaTheme="majorEastAsia" w:hAnsiTheme="majorHAnsi" w:cstheme="majorBidi"/>
          <w:sz w:val="23"/>
          <w:szCs w:val="23"/>
          <w:lang w:val="en-GB"/>
        </w:rPr>
        <w:t xml:space="preserve"> 2021. </w:t>
      </w:r>
      <w:r w:rsidR="00B442EA" w:rsidRPr="78F9AF82">
        <w:rPr>
          <w:rFonts w:asciiTheme="majorHAnsi" w:eastAsiaTheme="majorEastAsia" w:hAnsiTheme="majorHAnsi" w:cstheme="majorBidi"/>
          <w:sz w:val="23"/>
          <w:szCs w:val="23"/>
          <w:lang w:val="en-GB"/>
        </w:rPr>
        <w:t>Initially, there was some reported</w:t>
      </w:r>
      <w:r w:rsidR="00F00E3D" w:rsidRPr="78F9AF82">
        <w:rPr>
          <w:rFonts w:asciiTheme="majorHAnsi" w:eastAsiaTheme="majorEastAsia" w:hAnsiTheme="majorHAnsi" w:cstheme="majorBidi"/>
          <w:sz w:val="23"/>
          <w:szCs w:val="23"/>
          <w:lang w:val="en-GB"/>
        </w:rPr>
        <w:t xml:space="preserve"> increase in employment opportunities </w:t>
      </w:r>
      <w:r w:rsidR="207F099A" w:rsidRPr="78F9AF82">
        <w:rPr>
          <w:rFonts w:asciiTheme="majorHAnsi" w:eastAsiaTheme="majorEastAsia" w:hAnsiTheme="majorHAnsi" w:cstheme="majorBidi"/>
          <w:sz w:val="23"/>
          <w:szCs w:val="23"/>
          <w:lang w:val="en-GB"/>
        </w:rPr>
        <w:t xml:space="preserve">for </w:t>
      </w:r>
      <w:r w:rsidR="00F00E3D" w:rsidRPr="78F9AF82">
        <w:rPr>
          <w:rFonts w:asciiTheme="majorHAnsi" w:eastAsiaTheme="majorEastAsia" w:hAnsiTheme="majorHAnsi" w:cstheme="majorBidi"/>
          <w:sz w:val="23"/>
          <w:szCs w:val="23"/>
          <w:lang w:val="en-GB"/>
        </w:rPr>
        <w:t xml:space="preserve">residents in “essential” service roles, such as cleaning, take away food delivery, aged care, health and </w:t>
      </w:r>
      <w:r w:rsidR="00940D80" w:rsidRPr="78F9AF82">
        <w:rPr>
          <w:rFonts w:asciiTheme="majorHAnsi" w:eastAsiaTheme="majorEastAsia" w:hAnsiTheme="majorHAnsi" w:cstheme="majorBidi"/>
          <w:sz w:val="23"/>
          <w:szCs w:val="23"/>
          <w:lang w:val="en-GB"/>
        </w:rPr>
        <w:t>COVID</w:t>
      </w:r>
      <w:r w:rsidR="00F00E3D" w:rsidRPr="78F9AF82">
        <w:rPr>
          <w:rFonts w:asciiTheme="majorHAnsi" w:eastAsiaTheme="majorEastAsia" w:hAnsiTheme="majorHAnsi" w:cstheme="majorBidi"/>
          <w:sz w:val="23"/>
          <w:szCs w:val="23"/>
          <w:lang w:val="en-GB"/>
        </w:rPr>
        <w:t xml:space="preserve">-testing, transport, and logistics. </w:t>
      </w:r>
    </w:p>
    <w:p w14:paraId="1E324676" w14:textId="766F2149" w:rsidR="00F00E3D" w:rsidRDefault="007648EC" w:rsidP="009B2FA7">
      <w:pPr>
        <w:rPr>
          <w:rFonts w:asciiTheme="majorHAnsi" w:eastAsiaTheme="majorEastAsia" w:hAnsiTheme="majorHAnsi" w:cstheme="majorBidi"/>
          <w:sz w:val="23"/>
          <w:szCs w:val="23"/>
          <w:lang w:val="en-GB"/>
        </w:rPr>
      </w:pPr>
      <w:r>
        <w:rPr>
          <w:rFonts w:asciiTheme="majorHAnsi" w:eastAsiaTheme="majorEastAsia" w:hAnsiTheme="majorHAnsi" w:cstheme="majorBidi"/>
          <w:sz w:val="23"/>
          <w:szCs w:val="23"/>
          <w:lang w:val="en-GB"/>
        </w:rPr>
        <w:t>For those residents who could access the technology and equipment, the</w:t>
      </w:r>
      <w:r w:rsidR="00F00E3D" w:rsidRPr="368497C5">
        <w:rPr>
          <w:rFonts w:asciiTheme="majorHAnsi" w:eastAsiaTheme="majorEastAsia" w:hAnsiTheme="majorHAnsi" w:cstheme="majorBidi"/>
          <w:sz w:val="23"/>
          <w:szCs w:val="23"/>
          <w:lang w:val="en-GB"/>
        </w:rPr>
        <w:t xml:space="preserve"> development of greater digital and other literacy skills was identified as a</w:t>
      </w:r>
      <w:r>
        <w:rPr>
          <w:rFonts w:asciiTheme="majorHAnsi" w:eastAsiaTheme="majorEastAsia" w:hAnsiTheme="majorHAnsi" w:cstheme="majorBidi"/>
          <w:sz w:val="23"/>
          <w:szCs w:val="23"/>
          <w:lang w:val="en-GB"/>
        </w:rPr>
        <w:t xml:space="preserve"> </w:t>
      </w:r>
      <w:r w:rsidR="00F00E3D" w:rsidRPr="368497C5">
        <w:rPr>
          <w:rFonts w:asciiTheme="majorHAnsi" w:eastAsiaTheme="majorEastAsia" w:hAnsiTheme="majorHAnsi" w:cstheme="majorBidi"/>
          <w:sz w:val="23"/>
          <w:szCs w:val="23"/>
          <w:lang w:val="en-GB"/>
        </w:rPr>
        <w:t>positive community outcome</w:t>
      </w:r>
      <w:r>
        <w:rPr>
          <w:rFonts w:asciiTheme="majorHAnsi" w:eastAsiaTheme="majorEastAsia" w:hAnsiTheme="majorHAnsi" w:cstheme="majorBidi"/>
          <w:sz w:val="23"/>
          <w:szCs w:val="23"/>
          <w:lang w:val="en-GB"/>
        </w:rPr>
        <w:t>.</w:t>
      </w:r>
      <w:r w:rsidR="00847B72">
        <w:rPr>
          <w:rFonts w:asciiTheme="majorHAnsi" w:eastAsiaTheme="majorEastAsia" w:hAnsiTheme="majorHAnsi" w:cstheme="majorBidi"/>
          <w:sz w:val="23"/>
          <w:szCs w:val="23"/>
          <w:lang w:val="en-GB"/>
        </w:rPr>
        <w:t xml:space="preserve"> </w:t>
      </w:r>
      <w:r w:rsidR="00F00E3D" w:rsidRPr="368497C5">
        <w:rPr>
          <w:rFonts w:asciiTheme="majorHAnsi" w:eastAsiaTheme="majorEastAsia" w:hAnsiTheme="majorHAnsi" w:cstheme="majorBidi"/>
          <w:sz w:val="23"/>
          <w:szCs w:val="23"/>
          <w:lang w:val="en-GB"/>
        </w:rPr>
        <w:t>Housing improvement</w:t>
      </w:r>
      <w:r w:rsidR="00497A1F">
        <w:rPr>
          <w:rFonts w:asciiTheme="majorHAnsi" w:eastAsiaTheme="majorEastAsia" w:hAnsiTheme="majorHAnsi" w:cstheme="majorBidi"/>
          <w:sz w:val="23"/>
          <w:szCs w:val="23"/>
          <w:lang w:val="en-GB"/>
        </w:rPr>
        <w:t xml:space="preserve">s were </w:t>
      </w:r>
      <w:r w:rsidR="00F00E3D" w:rsidRPr="368497C5">
        <w:rPr>
          <w:rFonts w:asciiTheme="majorHAnsi" w:eastAsiaTheme="majorEastAsia" w:hAnsiTheme="majorHAnsi" w:cstheme="majorBidi"/>
          <w:sz w:val="23"/>
          <w:szCs w:val="23"/>
          <w:lang w:val="en-GB"/>
        </w:rPr>
        <w:t>experienced by some</w:t>
      </w:r>
      <w:r w:rsidR="00F00E3D" w:rsidRPr="42078E23">
        <w:rPr>
          <w:rFonts w:asciiTheme="majorHAnsi" w:eastAsiaTheme="majorEastAsia" w:hAnsiTheme="majorHAnsi" w:cstheme="majorBidi"/>
          <w:sz w:val="23"/>
          <w:szCs w:val="23"/>
          <w:lang w:val="en-GB"/>
        </w:rPr>
        <w:t xml:space="preserve"> residents, albeit a minority</w:t>
      </w:r>
      <w:r w:rsidR="00F00E3D" w:rsidRPr="368497C5">
        <w:rPr>
          <w:rFonts w:asciiTheme="majorHAnsi" w:eastAsiaTheme="majorEastAsia" w:hAnsiTheme="majorHAnsi" w:cstheme="majorBidi"/>
          <w:sz w:val="23"/>
          <w:szCs w:val="23"/>
          <w:lang w:val="en-GB"/>
        </w:rPr>
        <w:t xml:space="preserve">: those with more time </w:t>
      </w:r>
      <w:r w:rsidR="00F00E3D" w:rsidRPr="42078E23">
        <w:rPr>
          <w:rFonts w:asciiTheme="majorHAnsi" w:eastAsiaTheme="majorEastAsia" w:hAnsiTheme="majorHAnsi" w:cstheme="majorBidi"/>
          <w:sz w:val="23"/>
          <w:szCs w:val="23"/>
          <w:lang w:val="en-GB"/>
        </w:rPr>
        <w:t xml:space="preserve">and income </w:t>
      </w:r>
      <w:r w:rsidR="00F00E3D" w:rsidRPr="368497C5">
        <w:rPr>
          <w:rFonts w:asciiTheme="majorHAnsi" w:eastAsiaTheme="majorEastAsia" w:hAnsiTheme="majorHAnsi" w:cstheme="majorBidi"/>
          <w:sz w:val="23"/>
          <w:szCs w:val="23"/>
          <w:lang w:val="en-GB"/>
        </w:rPr>
        <w:t>to complete maintenance and repairs, public housing residents whose homes were upgraded, and those able to find creative solutions for the combined use of space for work and play.</w:t>
      </w:r>
    </w:p>
    <w:p w14:paraId="09C5EADF" w14:textId="7F3BD78C" w:rsidR="00F00E3D" w:rsidRPr="00D044DE" w:rsidRDefault="001A3B9D" w:rsidP="78F9AF82">
      <w:pPr>
        <w:rPr>
          <w:rFonts w:asciiTheme="majorHAnsi" w:eastAsiaTheme="majorEastAsia" w:hAnsiTheme="majorHAnsi" w:cstheme="majorBidi"/>
          <w:sz w:val="23"/>
          <w:szCs w:val="23"/>
          <w:lang w:val="en-GB"/>
        </w:rPr>
      </w:pPr>
      <w:r w:rsidRPr="78F9AF82">
        <w:rPr>
          <w:rFonts w:asciiTheme="majorHAnsi" w:eastAsiaTheme="majorEastAsia" w:hAnsiTheme="majorHAnsi" w:cstheme="majorBidi"/>
          <w:sz w:val="23"/>
          <w:szCs w:val="23"/>
          <w:lang w:val="en-GB"/>
        </w:rPr>
        <w:t xml:space="preserve">In terms of </w:t>
      </w:r>
      <w:r w:rsidR="00497A1F" w:rsidRPr="78F9AF82">
        <w:rPr>
          <w:rFonts w:asciiTheme="majorHAnsi" w:eastAsiaTheme="majorEastAsia" w:hAnsiTheme="majorHAnsi" w:cstheme="majorBidi"/>
          <w:sz w:val="23"/>
          <w:szCs w:val="23"/>
          <w:lang w:val="en-GB"/>
        </w:rPr>
        <w:t>H</w:t>
      </w:r>
      <w:r w:rsidR="00F00E3D" w:rsidRPr="78F9AF82">
        <w:rPr>
          <w:rFonts w:asciiTheme="majorHAnsi" w:eastAsiaTheme="majorEastAsia" w:hAnsiTheme="majorHAnsi" w:cstheme="majorBidi"/>
          <w:sz w:val="23"/>
          <w:szCs w:val="23"/>
          <w:lang w:val="en-GB"/>
        </w:rPr>
        <w:t xml:space="preserve">ealth and </w:t>
      </w:r>
      <w:r w:rsidR="00497A1F" w:rsidRPr="78F9AF82">
        <w:rPr>
          <w:rFonts w:asciiTheme="majorHAnsi" w:eastAsiaTheme="majorEastAsia" w:hAnsiTheme="majorHAnsi" w:cstheme="majorBidi"/>
          <w:sz w:val="23"/>
          <w:szCs w:val="23"/>
          <w:lang w:val="en-GB"/>
        </w:rPr>
        <w:t>W</w:t>
      </w:r>
      <w:r w:rsidR="00F00E3D" w:rsidRPr="78F9AF82">
        <w:rPr>
          <w:rFonts w:asciiTheme="majorHAnsi" w:eastAsiaTheme="majorEastAsia" w:hAnsiTheme="majorHAnsi" w:cstheme="majorBidi"/>
          <w:sz w:val="23"/>
          <w:szCs w:val="23"/>
          <w:lang w:val="en-GB"/>
        </w:rPr>
        <w:t xml:space="preserve">ellbeing, there were reported examples of informal neighbourhood socialisation and the development of stronger connections to place. Reduced access to gambling also had obvious benefits. Lockdowns prompted </w:t>
      </w:r>
      <w:r w:rsidR="00803A9B" w:rsidRPr="78F9AF82">
        <w:rPr>
          <w:rFonts w:asciiTheme="majorHAnsi" w:eastAsiaTheme="majorEastAsia" w:hAnsiTheme="majorHAnsi" w:cstheme="majorBidi"/>
          <w:sz w:val="23"/>
          <w:szCs w:val="23"/>
          <w:lang w:val="en-GB"/>
        </w:rPr>
        <w:t xml:space="preserve">some </w:t>
      </w:r>
      <w:r w:rsidR="00F00E3D" w:rsidRPr="78F9AF82">
        <w:rPr>
          <w:rFonts w:asciiTheme="majorHAnsi" w:eastAsiaTheme="majorEastAsia" w:hAnsiTheme="majorHAnsi" w:cstheme="majorBidi"/>
          <w:sz w:val="23"/>
          <w:szCs w:val="23"/>
          <w:lang w:val="en-GB"/>
        </w:rPr>
        <w:t>systemic and responsive changes to outreach and service delivery</w:t>
      </w:r>
      <w:r w:rsidR="0014182B" w:rsidRPr="78F9AF82">
        <w:rPr>
          <w:rFonts w:asciiTheme="majorHAnsi" w:eastAsiaTheme="majorEastAsia" w:hAnsiTheme="majorHAnsi" w:cstheme="majorBidi"/>
          <w:sz w:val="23"/>
          <w:szCs w:val="23"/>
          <w:lang w:val="en-GB"/>
        </w:rPr>
        <w:t>, and some welfare and service agencies pooled resources, resulting in a perceived higher degree of cooperation and collaboration to meet community</w:t>
      </w:r>
      <w:r w:rsidR="00B442EA" w:rsidRPr="78F9AF82">
        <w:rPr>
          <w:rFonts w:asciiTheme="majorHAnsi" w:eastAsiaTheme="majorEastAsia" w:hAnsiTheme="majorHAnsi" w:cstheme="majorBidi"/>
          <w:sz w:val="23"/>
          <w:szCs w:val="23"/>
          <w:lang w:val="en-GB"/>
        </w:rPr>
        <w:t xml:space="preserve"> needs</w:t>
      </w:r>
      <w:r w:rsidR="0014182B" w:rsidRPr="78F9AF82">
        <w:rPr>
          <w:rFonts w:asciiTheme="majorHAnsi" w:eastAsiaTheme="majorEastAsia" w:hAnsiTheme="majorHAnsi" w:cstheme="majorBidi"/>
          <w:sz w:val="23"/>
          <w:szCs w:val="23"/>
          <w:lang w:val="en-GB"/>
        </w:rPr>
        <w:t xml:space="preserve">. </w:t>
      </w:r>
      <w:r w:rsidR="00F00E3D" w:rsidRPr="78F9AF82">
        <w:rPr>
          <w:rFonts w:asciiTheme="majorHAnsi" w:eastAsiaTheme="majorEastAsia" w:hAnsiTheme="majorHAnsi" w:cstheme="majorBidi"/>
          <w:sz w:val="23"/>
          <w:szCs w:val="23"/>
          <w:lang w:val="en-GB"/>
        </w:rPr>
        <w:t xml:space="preserve">Peer support via ad hoc residents’ initiatives also grew, </w:t>
      </w:r>
      <w:r w:rsidR="00803A9B" w:rsidRPr="78F9AF82">
        <w:rPr>
          <w:rFonts w:asciiTheme="majorHAnsi" w:eastAsiaTheme="majorEastAsia" w:hAnsiTheme="majorHAnsi" w:cstheme="majorBidi"/>
          <w:sz w:val="23"/>
          <w:szCs w:val="23"/>
          <w:lang w:val="en-GB"/>
        </w:rPr>
        <w:t>including</w:t>
      </w:r>
      <w:r w:rsidR="00F00E3D" w:rsidRPr="78F9AF82">
        <w:rPr>
          <w:rFonts w:asciiTheme="majorHAnsi" w:eastAsiaTheme="majorEastAsia" w:hAnsiTheme="majorHAnsi" w:cstheme="majorBidi"/>
          <w:sz w:val="23"/>
          <w:szCs w:val="23"/>
          <w:lang w:val="en-GB"/>
        </w:rPr>
        <w:t xml:space="preserve"> </w:t>
      </w:r>
      <w:r w:rsidR="0014182B" w:rsidRPr="78F9AF82">
        <w:rPr>
          <w:rFonts w:asciiTheme="majorHAnsi" w:eastAsiaTheme="majorEastAsia" w:hAnsiTheme="majorHAnsi" w:cstheme="majorBidi"/>
          <w:sz w:val="23"/>
          <w:szCs w:val="23"/>
          <w:lang w:val="en-GB"/>
        </w:rPr>
        <w:t xml:space="preserve">local </w:t>
      </w:r>
      <w:r w:rsidR="00803A9B" w:rsidRPr="78F9AF82">
        <w:rPr>
          <w:rFonts w:asciiTheme="majorHAnsi" w:eastAsiaTheme="majorEastAsia" w:hAnsiTheme="majorHAnsi" w:cstheme="majorBidi"/>
          <w:sz w:val="23"/>
          <w:szCs w:val="23"/>
          <w:lang w:val="en-GB"/>
        </w:rPr>
        <w:t>provision of</w:t>
      </w:r>
      <w:r w:rsidR="00F00E3D" w:rsidRPr="78F9AF82">
        <w:rPr>
          <w:rFonts w:asciiTheme="majorHAnsi" w:eastAsiaTheme="majorEastAsia" w:hAnsiTheme="majorHAnsi" w:cstheme="majorBidi"/>
          <w:sz w:val="23"/>
          <w:szCs w:val="23"/>
          <w:lang w:val="en-GB"/>
        </w:rPr>
        <w:t xml:space="preserve"> food packages and hot meals, establishing safe places, community gardens, online communities of practice, and informal mental health support. </w:t>
      </w:r>
      <w:r w:rsidR="000F66A9" w:rsidRPr="78F9AF82">
        <w:rPr>
          <w:rFonts w:asciiTheme="majorHAnsi" w:eastAsiaTheme="majorEastAsia" w:hAnsiTheme="majorHAnsi" w:cstheme="majorBidi"/>
          <w:sz w:val="23"/>
          <w:szCs w:val="23"/>
          <w:lang w:val="en-GB"/>
        </w:rPr>
        <w:t xml:space="preserve">There were </w:t>
      </w:r>
      <w:r w:rsidR="00E1607F" w:rsidRPr="78F9AF82">
        <w:rPr>
          <w:rFonts w:asciiTheme="majorHAnsi" w:eastAsiaTheme="majorEastAsia" w:hAnsiTheme="majorHAnsi" w:cstheme="majorBidi"/>
          <w:sz w:val="23"/>
          <w:szCs w:val="23"/>
          <w:lang w:val="en-GB"/>
        </w:rPr>
        <w:t xml:space="preserve">also </w:t>
      </w:r>
      <w:r w:rsidR="000F66A9" w:rsidRPr="78F9AF82">
        <w:rPr>
          <w:rFonts w:asciiTheme="majorHAnsi" w:eastAsiaTheme="majorEastAsia" w:hAnsiTheme="majorHAnsi" w:cstheme="majorBidi"/>
          <w:sz w:val="23"/>
          <w:szCs w:val="23"/>
          <w:lang w:val="en-GB"/>
        </w:rPr>
        <w:t>reports of a</w:t>
      </w:r>
      <w:r w:rsidR="00F00E3D" w:rsidRPr="78F9AF82">
        <w:rPr>
          <w:rFonts w:asciiTheme="majorHAnsi" w:eastAsiaTheme="majorEastAsia" w:hAnsiTheme="majorHAnsi" w:cstheme="majorBidi"/>
          <w:sz w:val="23"/>
          <w:szCs w:val="23"/>
          <w:lang w:val="en-GB"/>
        </w:rPr>
        <w:t xml:space="preserve"> </w:t>
      </w:r>
      <w:r w:rsidR="000F66A9" w:rsidRPr="78F9AF82">
        <w:rPr>
          <w:rFonts w:asciiTheme="majorHAnsi" w:eastAsiaTheme="majorEastAsia" w:hAnsiTheme="majorHAnsi" w:cstheme="majorBidi"/>
          <w:sz w:val="23"/>
          <w:szCs w:val="23"/>
          <w:lang w:val="en-GB"/>
        </w:rPr>
        <w:t>united</w:t>
      </w:r>
      <w:r w:rsidR="00F00E3D" w:rsidRPr="78F9AF82">
        <w:rPr>
          <w:rFonts w:asciiTheme="majorHAnsi" w:eastAsiaTheme="majorEastAsia" w:hAnsiTheme="majorHAnsi" w:cstheme="majorBidi"/>
          <w:sz w:val="23"/>
          <w:szCs w:val="23"/>
          <w:lang w:val="en-GB"/>
        </w:rPr>
        <w:t xml:space="preserve"> community response to public health </w:t>
      </w:r>
      <w:r w:rsidR="00DF47FE" w:rsidRPr="78F9AF82">
        <w:rPr>
          <w:rFonts w:asciiTheme="majorHAnsi" w:eastAsiaTheme="majorEastAsia" w:hAnsiTheme="majorHAnsi" w:cstheme="majorBidi"/>
          <w:sz w:val="23"/>
          <w:szCs w:val="23"/>
          <w:lang w:val="en-GB"/>
        </w:rPr>
        <w:t>measures</w:t>
      </w:r>
      <w:r w:rsidR="00F00E3D" w:rsidRPr="78F9AF82">
        <w:rPr>
          <w:rFonts w:asciiTheme="majorHAnsi" w:eastAsiaTheme="majorEastAsia" w:hAnsiTheme="majorHAnsi" w:cstheme="majorBidi"/>
          <w:sz w:val="23"/>
          <w:szCs w:val="23"/>
          <w:lang w:val="en-GB"/>
        </w:rPr>
        <w:t>, as people worked together against a common “foe”</w:t>
      </w:r>
      <w:r w:rsidR="00DF47FE" w:rsidRPr="78F9AF82">
        <w:rPr>
          <w:rFonts w:asciiTheme="majorHAnsi" w:eastAsiaTheme="majorEastAsia" w:hAnsiTheme="majorHAnsi" w:cstheme="majorBidi"/>
          <w:sz w:val="23"/>
          <w:szCs w:val="23"/>
          <w:lang w:val="en-GB"/>
        </w:rPr>
        <w:t>.</w:t>
      </w:r>
      <w:r w:rsidR="00F00E3D" w:rsidRPr="78F9AF82">
        <w:rPr>
          <w:rFonts w:asciiTheme="majorHAnsi" w:eastAsiaTheme="majorEastAsia" w:hAnsiTheme="majorHAnsi" w:cstheme="majorBidi"/>
          <w:sz w:val="23"/>
          <w:szCs w:val="23"/>
          <w:lang w:val="en-GB"/>
        </w:rPr>
        <w:t xml:space="preserve"> </w:t>
      </w:r>
      <w:r w:rsidR="0039078F" w:rsidRPr="78F9AF82">
        <w:rPr>
          <w:rFonts w:asciiTheme="majorHAnsi" w:eastAsiaTheme="majorEastAsia" w:hAnsiTheme="majorHAnsi" w:cstheme="majorBidi"/>
          <w:sz w:val="23"/>
          <w:szCs w:val="23"/>
          <w:lang w:val="en-GB"/>
        </w:rPr>
        <w:t xml:space="preserve">These </w:t>
      </w:r>
      <w:r w:rsidR="00B442EA" w:rsidRPr="78F9AF82">
        <w:rPr>
          <w:rFonts w:asciiTheme="majorHAnsi" w:eastAsiaTheme="majorEastAsia" w:hAnsiTheme="majorHAnsi" w:cstheme="majorBidi"/>
          <w:sz w:val="23"/>
          <w:szCs w:val="23"/>
          <w:lang w:val="en-GB"/>
        </w:rPr>
        <w:t>local</w:t>
      </w:r>
      <w:r w:rsidR="0039078F" w:rsidRPr="78F9AF82">
        <w:rPr>
          <w:rFonts w:asciiTheme="majorHAnsi" w:eastAsiaTheme="majorEastAsia" w:hAnsiTheme="majorHAnsi" w:cstheme="majorBidi"/>
          <w:sz w:val="23"/>
          <w:szCs w:val="23"/>
          <w:lang w:val="en-GB"/>
        </w:rPr>
        <w:t xml:space="preserve"> responses </w:t>
      </w:r>
      <w:r w:rsidR="00B442EA" w:rsidRPr="78F9AF82">
        <w:rPr>
          <w:rFonts w:asciiTheme="majorHAnsi" w:eastAsiaTheme="majorEastAsia" w:hAnsiTheme="majorHAnsi" w:cstheme="majorBidi"/>
          <w:sz w:val="23"/>
          <w:szCs w:val="23"/>
          <w:lang w:val="en-GB"/>
        </w:rPr>
        <w:t>gave a tangible boost to</w:t>
      </w:r>
      <w:r w:rsidR="0039078F" w:rsidRPr="78F9AF82">
        <w:rPr>
          <w:rFonts w:asciiTheme="majorHAnsi" w:eastAsiaTheme="majorEastAsia" w:hAnsiTheme="majorHAnsi" w:cstheme="majorBidi"/>
          <w:sz w:val="23"/>
          <w:szCs w:val="23"/>
          <w:lang w:val="en-GB"/>
        </w:rPr>
        <w:t xml:space="preserve"> “community spirit”.</w:t>
      </w:r>
    </w:p>
    <w:p w14:paraId="33FC8743" w14:textId="4B74CA9F" w:rsidR="00F00E3D" w:rsidRPr="00D044DE" w:rsidRDefault="001A3B9D" w:rsidP="000729CE">
      <w:pPr>
        <w:spacing w:after="0"/>
        <w:rPr>
          <w:rFonts w:asciiTheme="majorHAnsi" w:eastAsiaTheme="majorEastAsia" w:hAnsiTheme="majorHAnsi" w:cstheme="majorBidi"/>
          <w:sz w:val="23"/>
          <w:szCs w:val="23"/>
          <w:lang w:val="en-GB"/>
        </w:rPr>
      </w:pPr>
      <w:r>
        <w:rPr>
          <w:rFonts w:asciiTheme="majorHAnsi" w:eastAsiaTheme="majorEastAsia" w:hAnsiTheme="majorHAnsi" w:cstheme="majorBidi"/>
          <w:sz w:val="23"/>
          <w:szCs w:val="23"/>
          <w:lang w:val="en-GB"/>
        </w:rPr>
        <w:t xml:space="preserve">Looking at </w:t>
      </w:r>
      <w:r w:rsidR="00E1607F">
        <w:rPr>
          <w:rFonts w:asciiTheme="majorHAnsi" w:eastAsiaTheme="majorEastAsia" w:hAnsiTheme="majorHAnsi" w:cstheme="majorBidi"/>
          <w:sz w:val="23"/>
          <w:szCs w:val="23"/>
          <w:lang w:val="en-GB"/>
        </w:rPr>
        <w:t>L</w:t>
      </w:r>
      <w:r w:rsidR="00F00E3D" w:rsidRPr="368497C5">
        <w:rPr>
          <w:rFonts w:asciiTheme="majorHAnsi" w:eastAsiaTheme="majorEastAsia" w:hAnsiTheme="majorHAnsi" w:cstheme="majorBidi"/>
          <w:sz w:val="23"/>
          <w:szCs w:val="23"/>
          <w:lang w:val="en-GB"/>
        </w:rPr>
        <w:t xml:space="preserve">iveability, the shift of many community activities online provided opportunities for </w:t>
      </w:r>
      <w:r w:rsidR="00F00E3D" w:rsidRPr="502830E4">
        <w:rPr>
          <w:rFonts w:asciiTheme="majorHAnsi" w:eastAsiaTheme="majorEastAsia" w:hAnsiTheme="majorHAnsi" w:cstheme="majorBidi"/>
          <w:sz w:val="23"/>
          <w:szCs w:val="23"/>
          <w:lang w:val="en-GB"/>
        </w:rPr>
        <w:t xml:space="preserve">digitally engaged residents to </w:t>
      </w:r>
      <w:r w:rsidR="00F00E3D" w:rsidRPr="368497C5">
        <w:rPr>
          <w:rFonts w:asciiTheme="majorHAnsi" w:eastAsiaTheme="majorEastAsia" w:hAnsiTheme="majorHAnsi" w:cstheme="majorBidi"/>
          <w:sz w:val="23"/>
          <w:szCs w:val="23"/>
          <w:lang w:val="en-GB"/>
        </w:rPr>
        <w:t xml:space="preserve">access </w:t>
      </w:r>
      <w:r w:rsidR="00F00E3D" w:rsidRPr="502830E4">
        <w:rPr>
          <w:rFonts w:asciiTheme="majorHAnsi" w:eastAsiaTheme="majorEastAsia" w:hAnsiTheme="majorHAnsi" w:cstheme="majorBidi"/>
          <w:sz w:val="23"/>
          <w:szCs w:val="23"/>
          <w:lang w:val="en-GB"/>
        </w:rPr>
        <w:t>online</w:t>
      </w:r>
      <w:r w:rsidR="00F00E3D" w:rsidRPr="368497C5">
        <w:rPr>
          <w:rFonts w:asciiTheme="majorHAnsi" w:eastAsiaTheme="majorEastAsia" w:hAnsiTheme="majorHAnsi" w:cstheme="majorBidi"/>
          <w:sz w:val="23"/>
          <w:szCs w:val="23"/>
          <w:lang w:val="en-GB"/>
        </w:rPr>
        <w:t xml:space="preserve"> arts and cultural events, education and training, and fitness support. Young people </w:t>
      </w:r>
      <w:r w:rsidR="00F00E3D">
        <w:rPr>
          <w:rFonts w:asciiTheme="majorHAnsi" w:eastAsiaTheme="majorEastAsia" w:hAnsiTheme="majorHAnsi" w:cstheme="majorBidi"/>
          <w:sz w:val="23"/>
          <w:szCs w:val="23"/>
          <w:lang w:val="en-GB"/>
        </w:rPr>
        <w:t>also</w:t>
      </w:r>
      <w:r w:rsidR="00F00E3D" w:rsidRPr="368497C5">
        <w:rPr>
          <w:rFonts w:asciiTheme="majorHAnsi" w:eastAsiaTheme="majorEastAsia" w:hAnsiTheme="majorHAnsi" w:cstheme="majorBidi"/>
          <w:sz w:val="23"/>
          <w:szCs w:val="23"/>
          <w:lang w:val="en-GB"/>
        </w:rPr>
        <w:t xml:space="preserve"> made an important contribution to community life</w:t>
      </w:r>
      <w:r w:rsidR="00F00E3D" w:rsidRPr="502830E4">
        <w:rPr>
          <w:rFonts w:asciiTheme="majorHAnsi" w:eastAsiaTheme="majorEastAsia" w:hAnsiTheme="majorHAnsi" w:cstheme="majorBidi"/>
          <w:sz w:val="23"/>
          <w:szCs w:val="23"/>
          <w:lang w:val="en-GB"/>
        </w:rPr>
        <w:t>,</w:t>
      </w:r>
      <w:r w:rsidR="00F00E3D" w:rsidRPr="368497C5">
        <w:rPr>
          <w:rFonts w:asciiTheme="majorHAnsi" w:eastAsiaTheme="majorEastAsia" w:hAnsiTheme="majorHAnsi" w:cstheme="majorBidi"/>
          <w:sz w:val="23"/>
          <w:szCs w:val="23"/>
          <w:lang w:val="en-GB"/>
        </w:rPr>
        <w:t xml:space="preserve"> for </w:t>
      </w:r>
      <w:r w:rsidR="00F00E3D" w:rsidRPr="502830E4">
        <w:rPr>
          <w:rFonts w:asciiTheme="majorHAnsi" w:eastAsiaTheme="majorEastAsia" w:hAnsiTheme="majorHAnsi" w:cstheme="majorBidi"/>
          <w:sz w:val="23"/>
          <w:szCs w:val="23"/>
          <w:lang w:val="en-GB"/>
        </w:rPr>
        <w:t xml:space="preserve">example doing grocery shopping for </w:t>
      </w:r>
      <w:r w:rsidR="00F00E3D" w:rsidRPr="368497C5">
        <w:rPr>
          <w:rFonts w:asciiTheme="majorHAnsi" w:eastAsiaTheme="majorEastAsia" w:hAnsiTheme="majorHAnsi" w:cstheme="majorBidi"/>
          <w:sz w:val="23"/>
          <w:szCs w:val="23"/>
          <w:lang w:val="en-GB"/>
        </w:rPr>
        <w:t>vulnerable residents</w:t>
      </w:r>
      <w:r w:rsidR="00F00E3D" w:rsidRPr="502830E4">
        <w:rPr>
          <w:rFonts w:asciiTheme="majorHAnsi" w:eastAsiaTheme="majorEastAsia" w:hAnsiTheme="majorHAnsi" w:cstheme="majorBidi"/>
          <w:sz w:val="23"/>
          <w:szCs w:val="23"/>
          <w:lang w:val="en-GB"/>
        </w:rPr>
        <w:t xml:space="preserve"> at greater</w:t>
      </w:r>
      <w:r w:rsidR="00F00E3D" w:rsidRPr="368497C5">
        <w:rPr>
          <w:rFonts w:asciiTheme="majorHAnsi" w:eastAsiaTheme="majorEastAsia" w:hAnsiTheme="majorHAnsi" w:cstheme="majorBidi"/>
          <w:sz w:val="23"/>
          <w:szCs w:val="23"/>
          <w:lang w:val="en-GB"/>
        </w:rPr>
        <w:t xml:space="preserve"> risk of illness from </w:t>
      </w:r>
      <w:r w:rsidR="00940D80">
        <w:rPr>
          <w:rFonts w:asciiTheme="majorHAnsi" w:eastAsiaTheme="majorEastAsia" w:hAnsiTheme="majorHAnsi" w:cstheme="majorBidi"/>
          <w:sz w:val="23"/>
          <w:szCs w:val="23"/>
          <w:lang w:val="en-GB"/>
        </w:rPr>
        <w:t>COVID</w:t>
      </w:r>
      <w:r w:rsidR="00F00E3D" w:rsidRPr="368497C5">
        <w:rPr>
          <w:rFonts w:asciiTheme="majorHAnsi" w:eastAsiaTheme="majorEastAsia" w:hAnsiTheme="majorHAnsi" w:cstheme="majorBidi"/>
          <w:sz w:val="23"/>
          <w:szCs w:val="23"/>
          <w:lang w:val="en-GB"/>
        </w:rPr>
        <w:t xml:space="preserve">-19. </w:t>
      </w:r>
    </w:p>
    <w:p w14:paraId="79DDF518" w14:textId="77777777" w:rsidR="00F00E3D" w:rsidRPr="0039078F" w:rsidRDefault="00F00E3D" w:rsidP="009B2FA7">
      <w:pPr>
        <w:pStyle w:val="Default"/>
        <w:spacing w:line="276" w:lineRule="auto"/>
        <w:rPr>
          <w:rFonts w:eastAsia="Calibri"/>
          <w:color w:val="000000" w:themeColor="text1"/>
          <w:sz w:val="12"/>
          <w:szCs w:val="12"/>
          <w:lang w:val="en-GB"/>
        </w:rPr>
      </w:pPr>
    </w:p>
    <w:p w14:paraId="3FB6FB6E" w14:textId="375D942B" w:rsidR="00F00E3D" w:rsidRPr="00276D2E" w:rsidRDefault="00F00E3D" w:rsidP="00E35346">
      <w:pPr>
        <w:pStyle w:val="Default"/>
        <w:spacing w:line="276" w:lineRule="auto"/>
        <w:rPr>
          <w:rFonts w:asciiTheme="minorHAnsi" w:hAnsiTheme="minorHAnsi" w:cstheme="minorBidi"/>
          <w:b/>
          <w:color w:val="2E74B5" w:themeColor="accent5" w:themeShade="BF"/>
          <w:sz w:val="25"/>
          <w:szCs w:val="25"/>
        </w:rPr>
      </w:pPr>
      <w:r w:rsidRPr="00276D2E">
        <w:rPr>
          <w:rFonts w:asciiTheme="minorHAnsi" w:hAnsiTheme="minorHAnsi" w:cstheme="minorBidi"/>
          <w:b/>
          <w:color w:val="2E74B5" w:themeColor="accent5" w:themeShade="BF"/>
          <w:sz w:val="25"/>
          <w:szCs w:val="25"/>
        </w:rPr>
        <w:t xml:space="preserve">8. What interventions worked best, and what other approaches could have enhanced </w:t>
      </w:r>
      <w:r w:rsidR="0039078F" w:rsidRPr="00276D2E">
        <w:rPr>
          <w:rFonts w:asciiTheme="minorHAnsi" w:hAnsiTheme="minorHAnsi" w:cstheme="minorBidi"/>
          <w:b/>
          <w:color w:val="2E74B5" w:themeColor="accent5" w:themeShade="BF"/>
          <w:sz w:val="25"/>
          <w:szCs w:val="25"/>
        </w:rPr>
        <w:t xml:space="preserve">residents’ </w:t>
      </w:r>
      <w:r w:rsidRPr="00276D2E">
        <w:rPr>
          <w:rFonts w:asciiTheme="minorHAnsi" w:hAnsiTheme="minorHAnsi" w:cstheme="minorBidi"/>
          <w:b/>
          <w:color w:val="2E74B5" w:themeColor="accent5" w:themeShade="BF"/>
          <w:sz w:val="25"/>
          <w:szCs w:val="25"/>
        </w:rPr>
        <w:t>experience?</w:t>
      </w:r>
    </w:p>
    <w:p w14:paraId="6D4C4EE1" w14:textId="77777777" w:rsidR="00E35346" w:rsidRPr="0039078F" w:rsidRDefault="00E35346" w:rsidP="00E35346">
      <w:pPr>
        <w:pStyle w:val="Default"/>
        <w:spacing w:line="276" w:lineRule="auto"/>
        <w:rPr>
          <w:rFonts w:asciiTheme="minorHAnsi" w:hAnsiTheme="minorHAnsi" w:cstheme="minorBidi"/>
          <w:b/>
          <w:color w:val="2F5496" w:themeColor="accent1" w:themeShade="BF"/>
          <w:sz w:val="12"/>
          <w:szCs w:val="12"/>
        </w:rPr>
      </w:pPr>
    </w:p>
    <w:p w14:paraId="69D87763" w14:textId="264C62B0" w:rsidR="00F00E3D" w:rsidRPr="001A0073" w:rsidRDefault="00936819" w:rsidP="009B2FA7">
      <w:pPr>
        <w:spacing w:line="257" w:lineRule="auto"/>
        <w:rPr>
          <w:rFonts w:asciiTheme="majorHAnsi" w:hAnsiTheme="majorHAnsi" w:cstheme="majorBidi"/>
          <w:color w:val="000000" w:themeColor="text1"/>
          <w:sz w:val="23"/>
          <w:szCs w:val="23"/>
        </w:rPr>
      </w:pPr>
      <w:r>
        <w:rPr>
          <w:rFonts w:asciiTheme="majorHAnsi" w:eastAsia="Calibri Light" w:hAnsiTheme="majorHAnsi" w:cstheme="majorBidi"/>
          <w:sz w:val="23"/>
          <w:szCs w:val="23"/>
          <w:lang w:val="en-GB"/>
        </w:rPr>
        <w:t>Local</w:t>
      </w:r>
      <w:r w:rsidR="00F00E3D" w:rsidRPr="7667331C">
        <w:rPr>
          <w:rFonts w:asciiTheme="majorHAnsi" w:eastAsia="Calibri Light" w:hAnsiTheme="majorHAnsi" w:cstheme="majorBidi"/>
          <w:sz w:val="23"/>
          <w:szCs w:val="23"/>
          <w:lang w:val="en-GB"/>
        </w:rPr>
        <w:t xml:space="preserve"> community workers stressed that </w:t>
      </w:r>
      <w:r w:rsidR="00EB4A5E">
        <w:rPr>
          <w:rFonts w:asciiTheme="majorHAnsi" w:eastAsia="Calibri Light" w:hAnsiTheme="majorHAnsi" w:cstheme="majorBidi"/>
          <w:sz w:val="23"/>
          <w:szCs w:val="23"/>
          <w:lang w:val="en-GB"/>
        </w:rPr>
        <w:t>the approach taken to developing any new</w:t>
      </w:r>
      <w:r w:rsidR="00F00E3D" w:rsidRPr="7667331C">
        <w:rPr>
          <w:rFonts w:asciiTheme="majorHAnsi" w:eastAsia="Calibri Light" w:hAnsiTheme="majorHAnsi" w:cstheme="majorBidi"/>
          <w:sz w:val="23"/>
          <w:szCs w:val="23"/>
          <w:lang w:val="en-GB"/>
        </w:rPr>
        <w:t xml:space="preserve"> initiatives </w:t>
      </w:r>
      <w:r w:rsidR="00EB4A5E">
        <w:rPr>
          <w:rFonts w:asciiTheme="majorHAnsi" w:eastAsia="Calibri Light" w:hAnsiTheme="majorHAnsi" w:cstheme="majorBidi"/>
          <w:sz w:val="23"/>
          <w:szCs w:val="23"/>
          <w:lang w:val="en-GB"/>
        </w:rPr>
        <w:t>i</w:t>
      </w:r>
      <w:r w:rsidR="00F00E3D" w:rsidRPr="7667331C">
        <w:rPr>
          <w:rFonts w:asciiTheme="majorHAnsi" w:eastAsia="Calibri Light" w:hAnsiTheme="majorHAnsi" w:cstheme="majorBidi"/>
          <w:sz w:val="23"/>
          <w:szCs w:val="23"/>
          <w:lang w:val="en-GB"/>
        </w:rPr>
        <w:t>s of equal if not greater importance than the initiatives themselves</w:t>
      </w:r>
      <w:r>
        <w:rPr>
          <w:rFonts w:asciiTheme="majorHAnsi" w:eastAsia="Calibri Light" w:hAnsiTheme="majorHAnsi" w:cstheme="majorBidi"/>
          <w:sz w:val="23"/>
          <w:szCs w:val="23"/>
          <w:lang w:val="en-GB"/>
        </w:rPr>
        <w:t xml:space="preserve">. </w:t>
      </w:r>
      <w:r w:rsidR="00E562EE">
        <w:rPr>
          <w:rFonts w:asciiTheme="majorHAnsi" w:eastAsia="Calibri Light" w:hAnsiTheme="majorHAnsi" w:cstheme="majorBidi"/>
          <w:sz w:val="23"/>
          <w:szCs w:val="23"/>
          <w:lang w:val="en-GB"/>
        </w:rPr>
        <w:t>Our i</w:t>
      </w:r>
      <w:r w:rsidR="00EB4A5E">
        <w:rPr>
          <w:rFonts w:asciiTheme="majorHAnsi" w:eastAsia="Calibri Light" w:hAnsiTheme="majorHAnsi" w:cstheme="majorBidi"/>
          <w:sz w:val="23"/>
          <w:szCs w:val="23"/>
          <w:lang w:val="en-GB"/>
        </w:rPr>
        <w:t>nformants</w:t>
      </w:r>
      <w:r>
        <w:rPr>
          <w:rFonts w:asciiTheme="majorHAnsi" w:eastAsia="Calibri Light" w:hAnsiTheme="majorHAnsi" w:cstheme="majorBidi"/>
          <w:sz w:val="23"/>
          <w:szCs w:val="23"/>
          <w:lang w:val="en-GB"/>
        </w:rPr>
        <w:t xml:space="preserve"> advised that</w:t>
      </w:r>
      <w:r w:rsidR="00F00E3D" w:rsidRPr="7667331C">
        <w:rPr>
          <w:rFonts w:asciiTheme="majorHAnsi" w:eastAsia="Calibri Light" w:hAnsiTheme="majorHAnsi" w:cstheme="majorBidi"/>
          <w:sz w:val="23"/>
          <w:szCs w:val="23"/>
          <w:lang w:val="en-GB"/>
        </w:rPr>
        <w:t xml:space="preserve"> successful approaches need to </w:t>
      </w:r>
      <w:r w:rsidR="00F00E3D" w:rsidRPr="7667331C">
        <w:rPr>
          <w:rFonts w:asciiTheme="majorHAnsi" w:hAnsiTheme="majorHAnsi" w:cstheme="majorBidi"/>
          <w:color w:val="000000" w:themeColor="text1"/>
          <w:sz w:val="23"/>
          <w:szCs w:val="23"/>
        </w:rPr>
        <w:t xml:space="preserve">build trust, </w:t>
      </w:r>
      <w:r w:rsidR="00E562EE">
        <w:rPr>
          <w:rFonts w:asciiTheme="majorHAnsi" w:hAnsiTheme="majorHAnsi" w:cstheme="majorBidi"/>
          <w:color w:val="000000" w:themeColor="text1"/>
          <w:sz w:val="23"/>
          <w:szCs w:val="23"/>
        </w:rPr>
        <w:t xml:space="preserve">identify and </w:t>
      </w:r>
      <w:r w:rsidRPr="7667331C">
        <w:rPr>
          <w:rFonts w:asciiTheme="majorHAnsi" w:hAnsiTheme="majorHAnsi" w:cstheme="majorBidi"/>
          <w:color w:val="000000" w:themeColor="text1"/>
          <w:sz w:val="23"/>
          <w:szCs w:val="23"/>
        </w:rPr>
        <w:t xml:space="preserve">build on existing </w:t>
      </w:r>
      <w:r>
        <w:rPr>
          <w:rFonts w:asciiTheme="majorHAnsi" w:hAnsiTheme="majorHAnsi" w:cstheme="majorBidi"/>
          <w:color w:val="000000" w:themeColor="text1"/>
          <w:sz w:val="23"/>
          <w:szCs w:val="23"/>
        </w:rPr>
        <w:t xml:space="preserve">local </w:t>
      </w:r>
      <w:r w:rsidRPr="7667331C">
        <w:rPr>
          <w:rFonts w:asciiTheme="majorHAnsi" w:hAnsiTheme="majorHAnsi" w:cstheme="majorBidi"/>
          <w:color w:val="000000" w:themeColor="text1"/>
          <w:sz w:val="23"/>
          <w:szCs w:val="23"/>
        </w:rPr>
        <w:t xml:space="preserve">strengths, </w:t>
      </w:r>
      <w:r w:rsidR="00F00E3D" w:rsidRPr="7667331C">
        <w:rPr>
          <w:rFonts w:asciiTheme="majorHAnsi" w:hAnsiTheme="majorHAnsi" w:cstheme="majorBidi"/>
          <w:color w:val="000000" w:themeColor="text1"/>
          <w:sz w:val="23"/>
          <w:szCs w:val="23"/>
        </w:rPr>
        <w:t>support community confidence and empowerment</w:t>
      </w:r>
      <w:r w:rsidR="00FE6698">
        <w:rPr>
          <w:rFonts w:asciiTheme="majorHAnsi" w:hAnsiTheme="majorHAnsi" w:cstheme="majorBidi"/>
          <w:color w:val="000000" w:themeColor="text1"/>
          <w:sz w:val="23"/>
          <w:szCs w:val="23"/>
        </w:rPr>
        <w:t xml:space="preserve">, </w:t>
      </w:r>
      <w:r w:rsidR="00F00E3D" w:rsidRPr="7667331C">
        <w:rPr>
          <w:rFonts w:asciiTheme="majorHAnsi" w:hAnsiTheme="majorHAnsi" w:cstheme="majorBidi"/>
          <w:color w:val="000000" w:themeColor="text1"/>
          <w:sz w:val="23"/>
          <w:szCs w:val="23"/>
        </w:rPr>
        <w:t>recognis</w:t>
      </w:r>
      <w:r w:rsidR="00FE6698">
        <w:rPr>
          <w:rFonts w:asciiTheme="majorHAnsi" w:hAnsiTheme="majorHAnsi" w:cstheme="majorBidi"/>
          <w:color w:val="000000" w:themeColor="text1"/>
          <w:sz w:val="23"/>
          <w:szCs w:val="23"/>
        </w:rPr>
        <w:t>e and support</w:t>
      </w:r>
      <w:r w:rsidR="00F00E3D" w:rsidRPr="7667331C">
        <w:rPr>
          <w:rFonts w:asciiTheme="majorHAnsi" w:hAnsiTheme="majorHAnsi" w:cstheme="majorBidi"/>
          <w:color w:val="000000" w:themeColor="text1"/>
          <w:sz w:val="23"/>
          <w:szCs w:val="23"/>
        </w:rPr>
        <w:t xml:space="preserve"> the community’s ability to design solutions to problems, </w:t>
      </w:r>
      <w:r w:rsidR="00FE6698">
        <w:rPr>
          <w:rFonts w:asciiTheme="majorHAnsi" w:hAnsiTheme="majorHAnsi" w:cstheme="majorBidi"/>
          <w:color w:val="000000" w:themeColor="text1"/>
          <w:sz w:val="23"/>
          <w:szCs w:val="23"/>
        </w:rPr>
        <w:t>provide appropriate funding</w:t>
      </w:r>
      <w:r w:rsidR="00F00E3D" w:rsidRPr="7667331C">
        <w:rPr>
          <w:rFonts w:asciiTheme="majorHAnsi" w:hAnsiTheme="majorHAnsi" w:cstheme="majorBidi"/>
          <w:color w:val="000000" w:themeColor="text1"/>
          <w:sz w:val="23"/>
          <w:szCs w:val="23"/>
        </w:rPr>
        <w:t xml:space="preserve">, plan for long-term delivery and evaluation, support collaboration </w:t>
      </w:r>
      <w:r w:rsidR="00F00E3D" w:rsidRPr="502830E4">
        <w:rPr>
          <w:rFonts w:asciiTheme="majorHAnsi" w:hAnsiTheme="majorHAnsi" w:cstheme="majorBidi"/>
          <w:color w:val="000000" w:themeColor="text1"/>
          <w:sz w:val="23"/>
          <w:szCs w:val="23"/>
        </w:rPr>
        <w:t>(</w:t>
      </w:r>
      <w:r w:rsidR="00F00E3D" w:rsidRPr="7667331C">
        <w:rPr>
          <w:rFonts w:asciiTheme="majorHAnsi" w:hAnsiTheme="majorHAnsi" w:cstheme="majorBidi"/>
          <w:color w:val="000000" w:themeColor="text1"/>
          <w:sz w:val="23"/>
          <w:szCs w:val="23"/>
        </w:rPr>
        <w:t>across organisations, sectors, levels of government</w:t>
      </w:r>
      <w:r w:rsidR="00F00E3D" w:rsidRPr="502830E4">
        <w:rPr>
          <w:rFonts w:asciiTheme="majorHAnsi" w:hAnsiTheme="majorHAnsi" w:cstheme="majorBidi"/>
          <w:color w:val="000000" w:themeColor="text1"/>
          <w:sz w:val="23"/>
          <w:szCs w:val="23"/>
        </w:rPr>
        <w:t>),</w:t>
      </w:r>
      <w:r w:rsidR="00F00E3D" w:rsidRPr="7667331C">
        <w:rPr>
          <w:rFonts w:asciiTheme="majorHAnsi" w:hAnsiTheme="majorHAnsi" w:cstheme="majorBidi"/>
          <w:color w:val="000000" w:themeColor="text1"/>
          <w:sz w:val="23"/>
          <w:szCs w:val="23"/>
        </w:rPr>
        <w:t xml:space="preserve"> and </w:t>
      </w:r>
      <w:r w:rsidR="002B5A1C">
        <w:rPr>
          <w:rFonts w:asciiTheme="majorHAnsi" w:hAnsiTheme="majorHAnsi" w:cstheme="majorBidi"/>
          <w:color w:val="000000" w:themeColor="text1"/>
          <w:sz w:val="23"/>
          <w:szCs w:val="23"/>
        </w:rPr>
        <w:t>take a</w:t>
      </w:r>
      <w:r w:rsidR="00F00E3D" w:rsidRPr="7667331C">
        <w:rPr>
          <w:rFonts w:asciiTheme="majorHAnsi" w:hAnsiTheme="majorHAnsi" w:cstheme="majorBidi"/>
          <w:color w:val="000000" w:themeColor="text1"/>
          <w:sz w:val="23"/>
          <w:szCs w:val="23"/>
        </w:rPr>
        <w:t xml:space="preserve"> holistic </w:t>
      </w:r>
      <w:r w:rsidR="002B5A1C">
        <w:rPr>
          <w:rFonts w:asciiTheme="majorHAnsi" w:hAnsiTheme="majorHAnsi" w:cstheme="majorBidi"/>
          <w:color w:val="000000" w:themeColor="text1"/>
          <w:sz w:val="23"/>
          <w:szCs w:val="23"/>
        </w:rPr>
        <w:t>view</w:t>
      </w:r>
      <w:r w:rsidR="00F00E3D" w:rsidRPr="7667331C">
        <w:rPr>
          <w:rFonts w:asciiTheme="majorHAnsi" w:hAnsiTheme="majorHAnsi" w:cstheme="majorBidi"/>
          <w:color w:val="000000" w:themeColor="text1"/>
          <w:sz w:val="23"/>
          <w:szCs w:val="23"/>
        </w:rPr>
        <w:t>.</w:t>
      </w:r>
    </w:p>
    <w:p w14:paraId="3CD4C095" w14:textId="50868D78" w:rsidR="00D00E61" w:rsidRDefault="002B5A1C" w:rsidP="00DF47BE">
      <w:pPr>
        <w:rPr>
          <w:rFonts w:asciiTheme="majorHAnsi" w:hAnsiTheme="majorHAnsi" w:cstheme="majorBidi"/>
          <w:sz w:val="23"/>
          <w:szCs w:val="23"/>
        </w:rPr>
      </w:pPr>
      <w:r>
        <w:rPr>
          <w:rFonts w:asciiTheme="majorHAnsi" w:eastAsia="Calibri Light" w:hAnsiTheme="majorHAnsi" w:cstheme="majorBidi"/>
          <w:sz w:val="23"/>
          <w:szCs w:val="23"/>
          <w:lang w:val="en-GB"/>
        </w:rPr>
        <w:lastRenderedPageBreak/>
        <w:t>Our</w:t>
      </w:r>
      <w:r w:rsidR="00F00E3D" w:rsidRPr="7667331C">
        <w:rPr>
          <w:rFonts w:asciiTheme="majorHAnsi" w:eastAsia="Calibri Light" w:hAnsiTheme="majorHAnsi" w:cstheme="majorBidi"/>
          <w:sz w:val="23"/>
          <w:szCs w:val="23"/>
          <w:lang w:val="en-GB"/>
        </w:rPr>
        <w:t xml:space="preserve"> interviews and</w:t>
      </w:r>
      <w:r w:rsidR="00E562EE">
        <w:rPr>
          <w:rFonts w:asciiTheme="majorHAnsi" w:eastAsia="Calibri Light" w:hAnsiTheme="majorHAnsi" w:cstheme="majorBidi"/>
          <w:sz w:val="23"/>
          <w:szCs w:val="23"/>
          <w:lang w:val="en-GB"/>
        </w:rPr>
        <w:t xml:space="preserve"> </w:t>
      </w:r>
      <w:r w:rsidR="00F00E3D" w:rsidRPr="7667331C">
        <w:rPr>
          <w:rFonts w:asciiTheme="majorHAnsi" w:eastAsia="Calibri Light" w:hAnsiTheme="majorHAnsi" w:cstheme="majorBidi"/>
          <w:sz w:val="23"/>
          <w:szCs w:val="23"/>
          <w:lang w:val="en-GB"/>
        </w:rPr>
        <w:t xml:space="preserve">focus group identified key priorities for action </w:t>
      </w:r>
      <w:r w:rsidR="007428A8">
        <w:rPr>
          <w:rFonts w:asciiTheme="majorHAnsi" w:eastAsia="Calibri Light" w:hAnsiTheme="majorHAnsi" w:cstheme="majorBidi"/>
          <w:sz w:val="23"/>
          <w:szCs w:val="23"/>
          <w:lang w:val="en-GB"/>
        </w:rPr>
        <w:t>spanning</w:t>
      </w:r>
      <w:r w:rsidR="00F00E3D" w:rsidRPr="7667331C">
        <w:rPr>
          <w:rFonts w:asciiTheme="majorHAnsi" w:eastAsia="Calibri Light" w:hAnsiTheme="majorHAnsi" w:cstheme="majorBidi"/>
          <w:sz w:val="23"/>
          <w:szCs w:val="23"/>
          <w:lang w:val="en-GB"/>
        </w:rPr>
        <w:t xml:space="preserve"> the </w:t>
      </w:r>
      <w:r w:rsidR="00F00E3D" w:rsidRPr="502830E4">
        <w:rPr>
          <w:rFonts w:asciiTheme="majorHAnsi" w:eastAsia="Calibri Light" w:hAnsiTheme="majorHAnsi" w:cstheme="majorBidi"/>
          <w:sz w:val="23"/>
          <w:szCs w:val="23"/>
          <w:lang w:val="en-GB"/>
        </w:rPr>
        <w:t xml:space="preserve">five </w:t>
      </w:r>
      <w:r w:rsidR="00D95573">
        <w:rPr>
          <w:rFonts w:asciiTheme="majorHAnsi" w:eastAsia="Calibri Light" w:hAnsiTheme="majorHAnsi" w:cstheme="majorBidi"/>
          <w:sz w:val="23"/>
          <w:szCs w:val="23"/>
          <w:lang w:val="en-GB"/>
        </w:rPr>
        <w:t>Practice Domain</w:t>
      </w:r>
      <w:r w:rsidR="00F00E3D" w:rsidRPr="7667331C">
        <w:rPr>
          <w:rFonts w:asciiTheme="majorHAnsi" w:eastAsia="Calibri Light" w:hAnsiTheme="majorHAnsi" w:cstheme="majorBidi"/>
          <w:sz w:val="23"/>
          <w:szCs w:val="23"/>
          <w:lang w:val="en-GB"/>
        </w:rPr>
        <w:t xml:space="preserve">s. </w:t>
      </w:r>
      <w:r w:rsidR="004B41BB">
        <w:rPr>
          <w:rFonts w:asciiTheme="majorHAnsi" w:hAnsiTheme="majorHAnsi" w:cstheme="majorBidi"/>
          <w:sz w:val="23"/>
          <w:szCs w:val="23"/>
          <w:lang w:val="en-GB"/>
        </w:rPr>
        <w:t>Informants advised that the</w:t>
      </w:r>
      <w:r w:rsidR="00F00E3D" w:rsidRPr="7667331C">
        <w:rPr>
          <w:rFonts w:asciiTheme="majorHAnsi" w:hAnsiTheme="majorHAnsi" w:cstheme="majorBidi"/>
          <w:sz w:val="23"/>
          <w:szCs w:val="23"/>
          <w:lang w:val="en-GB"/>
        </w:rPr>
        <w:t xml:space="preserve"> City of Greater Geelong</w:t>
      </w:r>
      <w:r w:rsidR="0071676C">
        <w:rPr>
          <w:rFonts w:asciiTheme="majorHAnsi" w:hAnsiTheme="majorHAnsi" w:cstheme="majorBidi"/>
          <w:sz w:val="23"/>
          <w:szCs w:val="23"/>
          <w:lang w:val="en-GB"/>
        </w:rPr>
        <w:t>’s role</w:t>
      </w:r>
      <w:r w:rsidR="00F00E3D" w:rsidRPr="502830E4">
        <w:rPr>
          <w:rFonts w:asciiTheme="majorHAnsi" w:hAnsiTheme="majorHAnsi" w:cstheme="majorBidi"/>
          <w:sz w:val="23"/>
          <w:szCs w:val="23"/>
          <w:lang w:val="en-GB"/>
        </w:rPr>
        <w:t xml:space="preserve"> </w:t>
      </w:r>
      <w:r w:rsidR="00F00E3D" w:rsidRPr="7667331C">
        <w:rPr>
          <w:rFonts w:asciiTheme="majorHAnsi" w:hAnsiTheme="majorHAnsi" w:cstheme="majorBidi"/>
          <w:sz w:val="23"/>
          <w:szCs w:val="23"/>
          <w:lang w:val="en-GB"/>
        </w:rPr>
        <w:t xml:space="preserve">in helping to meet these needs </w:t>
      </w:r>
      <w:r w:rsidR="00F00E3D">
        <w:rPr>
          <w:rFonts w:asciiTheme="majorHAnsi" w:hAnsiTheme="majorHAnsi" w:cstheme="majorBidi"/>
          <w:sz w:val="23"/>
          <w:szCs w:val="23"/>
          <w:lang w:val="en-GB"/>
        </w:rPr>
        <w:t xml:space="preserve">should </w:t>
      </w:r>
      <w:r w:rsidR="00F00E3D" w:rsidRPr="502830E4">
        <w:rPr>
          <w:rFonts w:asciiTheme="majorHAnsi" w:hAnsiTheme="majorHAnsi" w:cstheme="majorBidi"/>
          <w:sz w:val="23"/>
          <w:szCs w:val="23"/>
          <w:lang w:val="en-GB"/>
        </w:rPr>
        <w:t xml:space="preserve">include: </w:t>
      </w:r>
      <w:r w:rsidR="0071676C">
        <w:rPr>
          <w:rFonts w:asciiTheme="majorHAnsi" w:hAnsiTheme="majorHAnsi" w:cstheme="majorBidi"/>
          <w:sz w:val="23"/>
          <w:szCs w:val="23"/>
          <w:lang w:val="en-GB"/>
        </w:rPr>
        <w:t xml:space="preserve">working with </w:t>
      </w:r>
      <w:r w:rsidR="007428A8">
        <w:rPr>
          <w:rFonts w:asciiTheme="majorHAnsi" w:hAnsiTheme="majorHAnsi" w:cstheme="majorBidi"/>
          <w:sz w:val="23"/>
          <w:szCs w:val="23"/>
          <w:lang w:val="en-GB"/>
        </w:rPr>
        <w:t>community members</w:t>
      </w:r>
      <w:r w:rsidR="0071676C">
        <w:rPr>
          <w:rFonts w:asciiTheme="majorHAnsi" w:hAnsiTheme="majorHAnsi" w:cstheme="majorBidi"/>
          <w:sz w:val="23"/>
          <w:szCs w:val="23"/>
          <w:lang w:val="en-GB"/>
        </w:rPr>
        <w:t xml:space="preserve"> to </w:t>
      </w:r>
      <w:r w:rsidR="00F00E3D" w:rsidRPr="502830E4">
        <w:rPr>
          <w:rFonts w:asciiTheme="majorHAnsi" w:hAnsiTheme="majorHAnsi" w:cstheme="majorBidi"/>
          <w:sz w:val="23"/>
          <w:szCs w:val="23"/>
          <w:lang w:val="en-GB"/>
        </w:rPr>
        <w:t>d</w:t>
      </w:r>
      <w:r w:rsidR="00F00E3D" w:rsidRPr="7667331C">
        <w:rPr>
          <w:rFonts w:asciiTheme="majorHAnsi" w:hAnsiTheme="majorHAnsi" w:cstheme="majorBidi"/>
          <w:sz w:val="23"/>
          <w:szCs w:val="23"/>
          <w:lang w:val="en-GB"/>
        </w:rPr>
        <w:t>evelop</w:t>
      </w:r>
      <w:r w:rsidR="0071676C">
        <w:rPr>
          <w:rFonts w:asciiTheme="majorHAnsi" w:hAnsiTheme="majorHAnsi" w:cstheme="majorBidi"/>
          <w:sz w:val="23"/>
          <w:szCs w:val="23"/>
          <w:lang w:val="en-GB"/>
        </w:rPr>
        <w:t xml:space="preserve"> </w:t>
      </w:r>
      <w:r w:rsidR="00F00E3D" w:rsidRPr="7667331C">
        <w:rPr>
          <w:rFonts w:asciiTheme="majorHAnsi" w:hAnsiTheme="majorHAnsi" w:cstheme="majorBidi"/>
          <w:sz w:val="23"/>
          <w:szCs w:val="23"/>
          <w:lang w:val="en-GB"/>
        </w:rPr>
        <w:t xml:space="preserve">an information and accountability </w:t>
      </w:r>
      <w:r w:rsidR="00F00E3D" w:rsidRPr="502830E4">
        <w:rPr>
          <w:rFonts w:asciiTheme="majorHAnsi" w:hAnsiTheme="majorHAnsi" w:cstheme="majorBidi"/>
          <w:sz w:val="23"/>
          <w:szCs w:val="23"/>
          <w:lang w:val="en-GB"/>
        </w:rPr>
        <w:t>Digital Dashboard</w:t>
      </w:r>
      <w:r w:rsidR="00F00E3D" w:rsidRPr="7667331C">
        <w:rPr>
          <w:rFonts w:asciiTheme="majorHAnsi" w:hAnsiTheme="majorHAnsi" w:cstheme="majorBidi"/>
          <w:sz w:val="23"/>
          <w:szCs w:val="23"/>
          <w:lang w:val="en-GB"/>
        </w:rPr>
        <w:t xml:space="preserve"> to collate, inform</w:t>
      </w:r>
      <w:r w:rsidR="007428A8">
        <w:rPr>
          <w:rFonts w:asciiTheme="majorHAnsi" w:hAnsiTheme="majorHAnsi" w:cstheme="majorBidi"/>
          <w:sz w:val="23"/>
          <w:szCs w:val="23"/>
          <w:lang w:val="en-GB"/>
        </w:rPr>
        <w:t>,</w:t>
      </w:r>
      <w:r w:rsidR="00F00E3D" w:rsidRPr="7667331C">
        <w:rPr>
          <w:rFonts w:asciiTheme="majorHAnsi" w:hAnsiTheme="majorHAnsi" w:cstheme="majorBidi"/>
          <w:sz w:val="23"/>
          <w:szCs w:val="23"/>
          <w:lang w:val="en-GB"/>
        </w:rPr>
        <w:t xml:space="preserve"> and evaluate progress on agreed indicators that matter to </w:t>
      </w:r>
      <w:r w:rsidR="007428A8">
        <w:rPr>
          <w:rFonts w:asciiTheme="majorHAnsi" w:hAnsiTheme="majorHAnsi" w:cstheme="majorBidi"/>
          <w:sz w:val="23"/>
          <w:szCs w:val="23"/>
          <w:lang w:val="en-GB"/>
        </w:rPr>
        <w:t>residents living in the</w:t>
      </w:r>
      <w:r w:rsidR="00F00E3D" w:rsidRPr="502830E4">
        <w:rPr>
          <w:rFonts w:asciiTheme="majorHAnsi" w:hAnsiTheme="majorHAnsi" w:cstheme="majorBidi"/>
          <w:sz w:val="23"/>
          <w:szCs w:val="23"/>
          <w:lang w:val="en-GB"/>
        </w:rPr>
        <w:t xml:space="preserve"> </w:t>
      </w:r>
      <w:r w:rsidR="00F00E3D" w:rsidRPr="7B338BD7">
        <w:rPr>
          <w:rFonts w:asciiTheme="majorHAnsi" w:hAnsiTheme="majorHAnsi" w:cstheme="majorBidi"/>
          <w:sz w:val="23"/>
          <w:szCs w:val="23"/>
          <w:lang w:val="en-GB"/>
        </w:rPr>
        <w:t>three</w:t>
      </w:r>
      <w:r w:rsidR="00F00E3D" w:rsidRPr="502830E4">
        <w:rPr>
          <w:rFonts w:asciiTheme="majorHAnsi" w:hAnsiTheme="majorHAnsi" w:cstheme="majorBidi"/>
          <w:sz w:val="23"/>
          <w:szCs w:val="23"/>
          <w:lang w:val="en-GB"/>
        </w:rPr>
        <w:t xml:space="preserve"> areas</w:t>
      </w:r>
      <w:r w:rsidR="00F00E3D" w:rsidRPr="7667331C">
        <w:rPr>
          <w:rFonts w:asciiTheme="majorHAnsi" w:hAnsiTheme="majorHAnsi" w:cstheme="majorBidi"/>
          <w:sz w:val="23"/>
          <w:szCs w:val="23"/>
          <w:lang w:val="en-GB"/>
        </w:rPr>
        <w:t>;</w:t>
      </w:r>
      <w:r w:rsidR="00F00E3D">
        <w:rPr>
          <w:rFonts w:asciiTheme="majorHAnsi" w:hAnsiTheme="majorHAnsi" w:cstheme="majorBidi"/>
          <w:sz w:val="23"/>
          <w:szCs w:val="23"/>
          <w:lang w:val="en-GB"/>
        </w:rPr>
        <w:t xml:space="preserve"> h</w:t>
      </w:r>
      <w:r w:rsidR="00F00E3D" w:rsidRPr="502830E4">
        <w:rPr>
          <w:rFonts w:asciiTheme="majorHAnsi" w:hAnsiTheme="majorHAnsi" w:cstheme="majorBidi"/>
          <w:sz w:val="23"/>
          <w:szCs w:val="23"/>
          <w:lang w:val="en-GB"/>
        </w:rPr>
        <w:t xml:space="preserve">olding regular meetings between community members and a dedicated Council team so </w:t>
      </w:r>
      <w:r w:rsidR="001B7DDF">
        <w:rPr>
          <w:rFonts w:asciiTheme="majorHAnsi" w:hAnsiTheme="majorHAnsi" w:cstheme="majorBidi"/>
          <w:sz w:val="23"/>
          <w:szCs w:val="23"/>
          <w:lang w:val="en-GB"/>
        </w:rPr>
        <w:t>CoGG</w:t>
      </w:r>
      <w:r w:rsidR="00F00E3D" w:rsidRPr="502830E4">
        <w:rPr>
          <w:rFonts w:asciiTheme="majorHAnsi" w:hAnsiTheme="majorHAnsi" w:cstheme="majorBidi"/>
          <w:sz w:val="23"/>
          <w:szCs w:val="23"/>
          <w:lang w:val="en-GB"/>
        </w:rPr>
        <w:t xml:space="preserve"> can </w:t>
      </w:r>
      <w:r w:rsidR="00F00E3D" w:rsidRPr="009660AD">
        <w:rPr>
          <w:rFonts w:asciiTheme="majorHAnsi" w:hAnsiTheme="majorHAnsi" w:cstheme="majorBidi"/>
          <w:sz w:val="23"/>
          <w:szCs w:val="23"/>
          <w:lang w:val="en-GB"/>
        </w:rPr>
        <w:t>learn from local experts and coordinate programs internally; and providing a regular public forum where progress on indicators can be shared, revised</w:t>
      </w:r>
      <w:r w:rsidR="0071676C" w:rsidRPr="009660AD">
        <w:rPr>
          <w:rFonts w:asciiTheme="majorHAnsi" w:hAnsiTheme="majorHAnsi" w:cstheme="majorBidi"/>
          <w:sz w:val="23"/>
          <w:szCs w:val="23"/>
          <w:lang w:val="en-GB"/>
        </w:rPr>
        <w:t>,</w:t>
      </w:r>
      <w:r w:rsidR="00F00E3D" w:rsidRPr="009660AD">
        <w:rPr>
          <w:rFonts w:asciiTheme="majorHAnsi" w:hAnsiTheme="majorHAnsi" w:cstheme="majorBidi"/>
          <w:sz w:val="23"/>
          <w:szCs w:val="23"/>
          <w:lang w:val="en-GB"/>
        </w:rPr>
        <w:t xml:space="preserve"> and celebrated.</w:t>
      </w:r>
      <w:r w:rsidR="0071676C" w:rsidRPr="009660AD">
        <w:rPr>
          <w:rFonts w:asciiTheme="majorHAnsi" w:hAnsiTheme="majorHAnsi" w:cstheme="majorBidi"/>
          <w:sz w:val="23"/>
          <w:szCs w:val="23"/>
        </w:rPr>
        <w:t xml:space="preserve"> </w:t>
      </w:r>
      <w:r w:rsidR="007428A8" w:rsidRPr="009660AD">
        <w:rPr>
          <w:rFonts w:asciiTheme="majorHAnsi" w:hAnsiTheme="majorHAnsi" w:cstheme="majorBidi"/>
          <w:sz w:val="23"/>
          <w:szCs w:val="23"/>
        </w:rPr>
        <w:t>More</w:t>
      </w:r>
      <w:r w:rsidR="0071676C" w:rsidRPr="009660AD">
        <w:rPr>
          <w:rFonts w:asciiTheme="majorHAnsi" w:hAnsiTheme="majorHAnsi" w:cstheme="majorBidi"/>
          <w:sz w:val="23"/>
          <w:szCs w:val="23"/>
        </w:rPr>
        <w:t xml:space="preserve"> detail</w:t>
      </w:r>
      <w:r w:rsidR="007428A8" w:rsidRPr="009660AD">
        <w:rPr>
          <w:rFonts w:asciiTheme="majorHAnsi" w:hAnsiTheme="majorHAnsi" w:cstheme="majorBidi"/>
          <w:sz w:val="23"/>
          <w:szCs w:val="23"/>
        </w:rPr>
        <w:t xml:space="preserve"> is provided in the</w:t>
      </w:r>
      <w:r w:rsidR="0071676C" w:rsidRPr="009660AD">
        <w:rPr>
          <w:rFonts w:asciiTheme="majorHAnsi" w:hAnsiTheme="majorHAnsi" w:cstheme="majorBidi"/>
          <w:sz w:val="23"/>
          <w:szCs w:val="23"/>
        </w:rPr>
        <w:t xml:space="preserve"> Recommendations</w:t>
      </w:r>
      <w:r w:rsidR="00741FC8" w:rsidRPr="009660AD">
        <w:rPr>
          <w:rFonts w:asciiTheme="majorHAnsi" w:hAnsiTheme="majorHAnsi" w:cstheme="majorBidi"/>
          <w:sz w:val="23"/>
          <w:szCs w:val="23"/>
        </w:rPr>
        <w:t>, outlined</w:t>
      </w:r>
      <w:r w:rsidR="00741FC8">
        <w:rPr>
          <w:rFonts w:asciiTheme="majorHAnsi" w:hAnsiTheme="majorHAnsi" w:cstheme="majorBidi"/>
          <w:sz w:val="23"/>
          <w:szCs w:val="23"/>
        </w:rPr>
        <w:t xml:space="preserve"> in the next section</w:t>
      </w:r>
      <w:r w:rsidR="0071676C">
        <w:rPr>
          <w:rFonts w:asciiTheme="majorHAnsi" w:hAnsiTheme="majorHAnsi" w:cstheme="majorBidi"/>
          <w:sz w:val="23"/>
          <w:szCs w:val="23"/>
        </w:rPr>
        <w:t>.</w:t>
      </w:r>
    </w:p>
    <w:p w14:paraId="193B3F9D" w14:textId="19785CB3" w:rsidR="00933DD5" w:rsidRPr="00276D2E" w:rsidRDefault="00933DD5" w:rsidP="00E35346">
      <w:pPr>
        <w:spacing w:after="0"/>
        <w:rPr>
          <w:rFonts w:asciiTheme="majorHAnsi" w:hAnsiTheme="majorHAnsi" w:cstheme="majorBidi"/>
          <w:color w:val="2E74B5" w:themeColor="accent5" w:themeShade="BF"/>
          <w:sz w:val="23"/>
          <w:szCs w:val="23"/>
        </w:rPr>
      </w:pPr>
      <w:r w:rsidRPr="00276D2E">
        <w:rPr>
          <w:b/>
          <w:color w:val="2E74B5" w:themeColor="accent5" w:themeShade="BF"/>
          <w:sz w:val="28"/>
          <w:szCs w:val="28"/>
        </w:rPr>
        <w:t>Conclusion</w:t>
      </w:r>
    </w:p>
    <w:p w14:paraId="6151DE0C" w14:textId="77777777" w:rsidR="00E35346" w:rsidRPr="00352812" w:rsidRDefault="00E35346" w:rsidP="00933DD5">
      <w:pPr>
        <w:pStyle w:val="Default"/>
        <w:spacing w:line="276" w:lineRule="auto"/>
        <w:rPr>
          <w:rFonts w:asciiTheme="minorHAnsi" w:hAnsiTheme="minorHAnsi" w:cstheme="minorBidi"/>
          <w:b/>
          <w:color w:val="2F5496" w:themeColor="accent1" w:themeShade="BF"/>
          <w:sz w:val="12"/>
          <w:szCs w:val="12"/>
        </w:rPr>
      </w:pPr>
    </w:p>
    <w:p w14:paraId="1EC1D6D1" w14:textId="0A9FD1A0" w:rsidR="00933DD5" w:rsidRDefault="00933DD5" w:rsidP="00933DD5">
      <w:pPr>
        <w:spacing w:line="276" w:lineRule="auto"/>
        <w:rPr>
          <w:rFonts w:ascii="Calibri Light" w:eastAsia="Calibri" w:hAnsi="Calibri Light" w:cs="Calibri Light"/>
          <w:sz w:val="23"/>
          <w:szCs w:val="23"/>
        </w:rPr>
      </w:pPr>
      <w:r w:rsidRPr="486CEB1E">
        <w:rPr>
          <w:rFonts w:ascii="Calibri Light" w:eastAsia="Calibri" w:hAnsi="Calibri Light" w:cs="Calibri Light"/>
          <w:sz w:val="23"/>
          <w:szCs w:val="23"/>
        </w:rPr>
        <w:t xml:space="preserve">This research </w:t>
      </w:r>
      <w:r w:rsidR="008B799B">
        <w:rPr>
          <w:rFonts w:ascii="Calibri Light" w:eastAsia="Calibri" w:hAnsi="Calibri Light" w:cs="Calibri Light"/>
          <w:sz w:val="23"/>
          <w:szCs w:val="23"/>
        </w:rPr>
        <w:t>project was designed to</w:t>
      </w:r>
      <w:r w:rsidRPr="486CEB1E">
        <w:rPr>
          <w:rFonts w:ascii="Calibri Light" w:eastAsia="Calibri" w:hAnsi="Calibri Light" w:cs="Calibri Light"/>
          <w:sz w:val="23"/>
          <w:szCs w:val="23"/>
        </w:rPr>
        <w:t xml:space="preserve"> inform </w:t>
      </w:r>
      <w:r w:rsidR="00F214D7">
        <w:rPr>
          <w:rFonts w:ascii="Calibri Light" w:eastAsia="Calibri" w:hAnsi="Calibri Light" w:cs="Calibri Light"/>
          <w:sz w:val="23"/>
          <w:szCs w:val="23"/>
        </w:rPr>
        <w:t>R</w:t>
      </w:r>
      <w:r w:rsidRPr="486CEB1E">
        <w:rPr>
          <w:rFonts w:ascii="Calibri Light" w:eastAsia="Calibri" w:hAnsi="Calibri Light" w:cs="Calibri Light"/>
          <w:sz w:val="23"/>
          <w:szCs w:val="23"/>
        </w:rPr>
        <w:t xml:space="preserve">ecommendations for strategic approaches and policy needs to progress social equity in the Geelong municipality, in particular for the </w:t>
      </w:r>
      <w:r w:rsidR="00352812">
        <w:rPr>
          <w:rFonts w:ascii="Calibri Light" w:eastAsia="Calibri" w:hAnsi="Calibri Light" w:cs="Calibri Light"/>
          <w:sz w:val="23"/>
          <w:szCs w:val="23"/>
        </w:rPr>
        <w:t>suburbs</w:t>
      </w:r>
      <w:r w:rsidRPr="486CEB1E">
        <w:rPr>
          <w:rFonts w:ascii="Calibri Light" w:eastAsia="Calibri" w:hAnsi="Calibri Light" w:cs="Calibri Light"/>
          <w:sz w:val="23"/>
          <w:szCs w:val="23"/>
        </w:rPr>
        <w:t xml:space="preserve"> of Corio, Norlane</w:t>
      </w:r>
      <w:r w:rsidR="00352812">
        <w:rPr>
          <w:rFonts w:ascii="Calibri Light" w:eastAsia="Calibri" w:hAnsi="Calibri Light" w:cs="Calibri Light"/>
          <w:sz w:val="23"/>
          <w:szCs w:val="23"/>
        </w:rPr>
        <w:t>,</w:t>
      </w:r>
      <w:r w:rsidRPr="486CEB1E">
        <w:rPr>
          <w:rFonts w:ascii="Calibri Light" w:eastAsia="Calibri" w:hAnsi="Calibri Light" w:cs="Calibri Light"/>
          <w:sz w:val="23"/>
          <w:szCs w:val="23"/>
        </w:rPr>
        <w:t xml:space="preserve"> and Whittington. Asked to consider the drivers of “disadvantage”, especially in the light of </w:t>
      </w:r>
      <w:r w:rsidR="00940D80">
        <w:rPr>
          <w:rFonts w:ascii="Calibri Light" w:eastAsia="Calibri" w:hAnsi="Calibri Light" w:cs="Calibri Light"/>
          <w:sz w:val="23"/>
          <w:szCs w:val="23"/>
        </w:rPr>
        <w:t>COVID</w:t>
      </w:r>
      <w:r w:rsidRPr="486CEB1E">
        <w:rPr>
          <w:rFonts w:ascii="Calibri Light" w:eastAsia="Calibri" w:hAnsi="Calibri Light" w:cs="Calibri Light"/>
          <w:sz w:val="23"/>
          <w:szCs w:val="23"/>
        </w:rPr>
        <w:t xml:space="preserve">-19, the research team </w:t>
      </w:r>
      <w:r w:rsidRPr="083AB5C9">
        <w:rPr>
          <w:rFonts w:ascii="Calibri Light" w:eastAsia="Calibri" w:hAnsi="Calibri Light" w:cs="Calibri Light"/>
          <w:sz w:val="23"/>
          <w:szCs w:val="23"/>
        </w:rPr>
        <w:t>outlined how</w:t>
      </w:r>
      <w:r w:rsidRPr="486CEB1E">
        <w:rPr>
          <w:rFonts w:ascii="Calibri Light" w:eastAsia="Calibri" w:hAnsi="Calibri Light" w:cs="Calibri Light"/>
          <w:sz w:val="23"/>
          <w:szCs w:val="23"/>
        </w:rPr>
        <w:t xml:space="preserve"> “disadvantage” ha</w:t>
      </w:r>
      <w:r w:rsidR="008B799B">
        <w:rPr>
          <w:rFonts w:ascii="Calibri Light" w:eastAsia="Calibri" w:hAnsi="Calibri Light" w:cs="Calibri Light"/>
          <w:sz w:val="23"/>
          <w:szCs w:val="23"/>
        </w:rPr>
        <w:t>s</w:t>
      </w:r>
      <w:r w:rsidRPr="486CEB1E">
        <w:rPr>
          <w:rFonts w:ascii="Calibri Light" w:eastAsia="Calibri" w:hAnsi="Calibri Light" w:cs="Calibri Light"/>
          <w:sz w:val="23"/>
          <w:szCs w:val="23"/>
        </w:rPr>
        <w:t xml:space="preserve"> been conceptualised and interventions formulated</w:t>
      </w:r>
      <w:r w:rsidR="005328F4">
        <w:rPr>
          <w:rFonts w:ascii="Calibri Light" w:eastAsia="Calibri" w:hAnsi="Calibri Light" w:cs="Calibri Light"/>
          <w:sz w:val="23"/>
          <w:szCs w:val="23"/>
        </w:rPr>
        <w:t>;</w:t>
      </w:r>
      <w:r w:rsidRPr="486CEB1E">
        <w:rPr>
          <w:rFonts w:ascii="Calibri Light" w:eastAsia="Calibri" w:hAnsi="Calibri Light" w:cs="Calibri Light"/>
          <w:sz w:val="23"/>
          <w:szCs w:val="23"/>
        </w:rPr>
        <w:t xml:space="preserve"> </w:t>
      </w:r>
      <w:r w:rsidR="003C18D5">
        <w:rPr>
          <w:rFonts w:ascii="Calibri Light" w:eastAsia="Calibri" w:hAnsi="Calibri Light" w:cs="Calibri Light"/>
          <w:sz w:val="23"/>
          <w:szCs w:val="23"/>
        </w:rPr>
        <w:t xml:space="preserve">surveyed the relevant policy contexts; </w:t>
      </w:r>
      <w:r w:rsidRPr="486CEB1E">
        <w:rPr>
          <w:rFonts w:ascii="Calibri Light" w:eastAsia="Calibri" w:hAnsi="Calibri Light" w:cs="Calibri Light"/>
          <w:sz w:val="23"/>
          <w:szCs w:val="23"/>
        </w:rPr>
        <w:t xml:space="preserve">engaged in a wide-ranging review of </w:t>
      </w:r>
      <w:r w:rsidR="005328F4">
        <w:rPr>
          <w:rFonts w:ascii="Calibri Light" w:eastAsia="Calibri" w:hAnsi="Calibri Light" w:cs="Calibri Light"/>
          <w:sz w:val="23"/>
          <w:szCs w:val="23"/>
        </w:rPr>
        <w:t xml:space="preserve">relevant </w:t>
      </w:r>
      <w:r w:rsidRPr="486CEB1E">
        <w:rPr>
          <w:rFonts w:ascii="Calibri Light" w:eastAsia="Calibri" w:hAnsi="Calibri Light" w:cs="Calibri Light"/>
          <w:sz w:val="23"/>
          <w:szCs w:val="23"/>
        </w:rPr>
        <w:t xml:space="preserve">academic </w:t>
      </w:r>
      <w:r w:rsidR="008B799B">
        <w:rPr>
          <w:rFonts w:ascii="Calibri Light" w:eastAsia="Calibri" w:hAnsi="Calibri Light" w:cs="Calibri Light"/>
          <w:sz w:val="23"/>
          <w:szCs w:val="23"/>
        </w:rPr>
        <w:t>research</w:t>
      </w:r>
      <w:r w:rsidRPr="486CEB1E">
        <w:rPr>
          <w:rFonts w:ascii="Calibri Light" w:eastAsia="Calibri" w:hAnsi="Calibri Light" w:cs="Calibri Light"/>
          <w:sz w:val="23"/>
          <w:szCs w:val="23"/>
        </w:rPr>
        <w:t xml:space="preserve"> in the nominated domains of </w:t>
      </w:r>
      <w:r w:rsidR="005328F4" w:rsidRPr="486CEB1E">
        <w:rPr>
          <w:rFonts w:ascii="Calibri Light" w:eastAsia="Calibri" w:hAnsi="Calibri Light" w:cs="Calibri Light"/>
          <w:sz w:val="23"/>
          <w:szCs w:val="23"/>
        </w:rPr>
        <w:t xml:space="preserve">Employment, Education, Housing, Health </w:t>
      </w:r>
      <w:r w:rsidR="005328F4">
        <w:rPr>
          <w:rFonts w:ascii="Calibri Light" w:eastAsia="Calibri" w:hAnsi="Calibri Light" w:cs="Calibri Light"/>
          <w:sz w:val="23"/>
          <w:szCs w:val="23"/>
        </w:rPr>
        <w:t>a</w:t>
      </w:r>
      <w:r w:rsidR="005328F4" w:rsidRPr="486CEB1E">
        <w:rPr>
          <w:rFonts w:ascii="Calibri Light" w:eastAsia="Calibri" w:hAnsi="Calibri Light" w:cs="Calibri Light"/>
          <w:sz w:val="23"/>
          <w:szCs w:val="23"/>
        </w:rPr>
        <w:t xml:space="preserve">nd </w:t>
      </w:r>
      <w:r w:rsidR="005328F4" w:rsidRPr="01C09FB4">
        <w:rPr>
          <w:rFonts w:ascii="Calibri Light" w:eastAsia="Calibri" w:hAnsi="Calibri Light" w:cs="Calibri Light"/>
          <w:sz w:val="23"/>
          <w:szCs w:val="23"/>
        </w:rPr>
        <w:t>Wellbeing</w:t>
      </w:r>
      <w:r w:rsidR="005328F4">
        <w:rPr>
          <w:rFonts w:ascii="Calibri Light" w:eastAsia="Calibri" w:hAnsi="Calibri Light" w:cs="Calibri Light"/>
          <w:sz w:val="23"/>
          <w:szCs w:val="23"/>
        </w:rPr>
        <w:t>,</w:t>
      </w:r>
      <w:r w:rsidR="005328F4" w:rsidRPr="486CEB1E">
        <w:rPr>
          <w:rFonts w:ascii="Calibri Light" w:eastAsia="Calibri" w:hAnsi="Calibri Light" w:cs="Calibri Light"/>
          <w:sz w:val="23"/>
          <w:szCs w:val="23"/>
        </w:rPr>
        <w:t xml:space="preserve"> </w:t>
      </w:r>
      <w:r w:rsidR="005328F4">
        <w:rPr>
          <w:rFonts w:ascii="Calibri Light" w:eastAsia="Calibri" w:hAnsi="Calibri Light" w:cs="Calibri Light"/>
          <w:sz w:val="23"/>
          <w:szCs w:val="23"/>
        </w:rPr>
        <w:t>a</w:t>
      </w:r>
      <w:r w:rsidR="005328F4" w:rsidRPr="486CEB1E">
        <w:rPr>
          <w:rFonts w:ascii="Calibri Light" w:eastAsia="Calibri" w:hAnsi="Calibri Light" w:cs="Calibri Light"/>
          <w:sz w:val="23"/>
          <w:szCs w:val="23"/>
        </w:rPr>
        <w:t>nd Liveability</w:t>
      </w:r>
      <w:r w:rsidR="005328F4">
        <w:rPr>
          <w:rFonts w:ascii="Calibri Light" w:eastAsia="Calibri" w:hAnsi="Calibri Light" w:cs="Calibri Light"/>
          <w:sz w:val="23"/>
          <w:szCs w:val="23"/>
        </w:rPr>
        <w:t>; and</w:t>
      </w:r>
      <w:r w:rsidRPr="01C09FB4">
        <w:rPr>
          <w:rFonts w:ascii="Calibri Light" w:eastAsia="Calibri" w:hAnsi="Calibri Light" w:cs="Calibri Light"/>
          <w:sz w:val="23"/>
          <w:szCs w:val="23"/>
        </w:rPr>
        <w:t xml:space="preserve"> documented</w:t>
      </w:r>
      <w:r w:rsidRPr="486CEB1E">
        <w:rPr>
          <w:rFonts w:ascii="Calibri Light" w:eastAsia="Calibri" w:hAnsi="Calibri Light" w:cs="Calibri Light"/>
          <w:sz w:val="23"/>
          <w:szCs w:val="23"/>
        </w:rPr>
        <w:t xml:space="preserve"> an array of successful </w:t>
      </w:r>
      <w:r w:rsidRPr="01C09FB4">
        <w:rPr>
          <w:rFonts w:ascii="Calibri Light" w:eastAsia="Calibri" w:hAnsi="Calibri Light" w:cs="Calibri Light"/>
          <w:sz w:val="23"/>
          <w:szCs w:val="23"/>
        </w:rPr>
        <w:t xml:space="preserve">and innovative </w:t>
      </w:r>
      <w:r w:rsidRPr="486CEB1E">
        <w:rPr>
          <w:rFonts w:ascii="Calibri Light" w:eastAsia="Calibri" w:hAnsi="Calibri Light" w:cs="Calibri Light"/>
          <w:sz w:val="23"/>
          <w:szCs w:val="23"/>
        </w:rPr>
        <w:t>interventions</w:t>
      </w:r>
      <w:r w:rsidR="003C18D5">
        <w:rPr>
          <w:rFonts w:ascii="Calibri Light" w:eastAsia="Calibri" w:hAnsi="Calibri Light" w:cs="Calibri Light"/>
          <w:sz w:val="23"/>
          <w:szCs w:val="23"/>
        </w:rPr>
        <w:t xml:space="preserve"> from Australia and overseas</w:t>
      </w:r>
      <w:r w:rsidRPr="486CEB1E">
        <w:rPr>
          <w:rFonts w:ascii="Calibri Light" w:eastAsia="Calibri" w:hAnsi="Calibri Light" w:cs="Calibri Light"/>
          <w:sz w:val="23"/>
          <w:szCs w:val="23"/>
        </w:rPr>
        <w:t>. The team then moved on to detail how Australia, Geelong</w:t>
      </w:r>
      <w:r w:rsidR="003C18D5">
        <w:rPr>
          <w:rFonts w:ascii="Calibri Light" w:eastAsia="Calibri" w:hAnsi="Calibri Light" w:cs="Calibri Light"/>
          <w:sz w:val="23"/>
          <w:szCs w:val="23"/>
        </w:rPr>
        <w:t>,</w:t>
      </w:r>
      <w:r w:rsidRPr="486CEB1E">
        <w:rPr>
          <w:rFonts w:ascii="Calibri Light" w:eastAsia="Calibri" w:hAnsi="Calibri Light" w:cs="Calibri Light"/>
          <w:sz w:val="23"/>
          <w:szCs w:val="23"/>
        </w:rPr>
        <w:t xml:space="preserve"> and </w:t>
      </w:r>
      <w:r w:rsidR="003C18D5">
        <w:rPr>
          <w:rFonts w:ascii="Calibri Light" w:eastAsia="Calibri" w:hAnsi="Calibri Light" w:cs="Calibri Light"/>
          <w:sz w:val="23"/>
          <w:szCs w:val="23"/>
        </w:rPr>
        <w:t>the</w:t>
      </w:r>
      <w:r w:rsidRPr="486CEB1E">
        <w:rPr>
          <w:rFonts w:ascii="Calibri Light" w:eastAsia="Calibri" w:hAnsi="Calibri Light" w:cs="Calibri Light"/>
          <w:sz w:val="23"/>
          <w:szCs w:val="23"/>
        </w:rPr>
        <w:t xml:space="preserve"> localities of Corio</w:t>
      </w:r>
      <w:r w:rsidR="003C18D5">
        <w:rPr>
          <w:rFonts w:ascii="Calibri Light" w:eastAsia="Calibri" w:hAnsi="Calibri Light" w:cs="Calibri Light"/>
          <w:sz w:val="23"/>
          <w:szCs w:val="23"/>
        </w:rPr>
        <w:t xml:space="preserve">, </w:t>
      </w:r>
      <w:r w:rsidRPr="486CEB1E">
        <w:rPr>
          <w:rFonts w:ascii="Calibri Light" w:eastAsia="Calibri" w:hAnsi="Calibri Light" w:cs="Calibri Light"/>
          <w:sz w:val="23"/>
          <w:szCs w:val="23"/>
        </w:rPr>
        <w:t>Norlane</w:t>
      </w:r>
      <w:r w:rsidR="003C18D5">
        <w:rPr>
          <w:rFonts w:ascii="Calibri Light" w:eastAsia="Calibri" w:hAnsi="Calibri Light" w:cs="Calibri Light"/>
          <w:sz w:val="23"/>
          <w:szCs w:val="23"/>
        </w:rPr>
        <w:t>,</w:t>
      </w:r>
      <w:r w:rsidRPr="486CEB1E">
        <w:rPr>
          <w:rFonts w:ascii="Calibri Light" w:eastAsia="Calibri" w:hAnsi="Calibri Light" w:cs="Calibri Light"/>
          <w:sz w:val="23"/>
          <w:szCs w:val="23"/>
        </w:rPr>
        <w:t xml:space="preserve"> and Whittington </w:t>
      </w:r>
      <w:r w:rsidR="003C18D5">
        <w:rPr>
          <w:rFonts w:ascii="Calibri Light" w:eastAsia="Calibri" w:hAnsi="Calibri Light" w:cs="Calibri Light"/>
          <w:sz w:val="23"/>
          <w:szCs w:val="23"/>
        </w:rPr>
        <w:t>are being</w:t>
      </w:r>
      <w:r w:rsidRPr="486CEB1E">
        <w:rPr>
          <w:rFonts w:ascii="Calibri Light" w:eastAsia="Calibri" w:hAnsi="Calibri Light" w:cs="Calibri Light"/>
          <w:sz w:val="23"/>
          <w:szCs w:val="23"/>
        </w:rPr>
        <w:t xml:space="preserve"> impacted by </w:t>
      </w:r>
      <w:r w:rsidR="00940D80">
        <w:rPr>
          <w:rFonts w:ascii="Calibri Light" w:eastAsia="Calibri" w:hAnsi="Calibri Light" w:cs="Calibri Light"/>
          <w:sz w:val="23"/>
          <w:szCs w:val="23"/>
        </w:rPr>
        <w:t>COVID</w:t>
      </w:r>
      <w:r w:rsidRPr="486CEB1E">
        <w:rPr>
          <w:rFonts w:ascii="Calibri Light" w:eastAsia="Calibri" w:hAnsi="Calibri Light" w:cs="Calibri Light"/>
          <w:sz w:val="23"/>
          <w:szCs w:val="23"/>
        </w:rPr>
        <w:t>-19</w:t>
      </w:r>
      <w:r w:rsidRPr="01C09FB4">
        <w:rPr>
          <w:rFonts w:ascii="Calibri Light" w:eastAsia="Calibri" w:hAnsi="Calibri Light" w:cs="Calibri Light"/>
          <w:sz w:val="23"/>
          <w:szCs w:val="23"/>
        </w:rPr>
        <w:t>,</w:t>
      </w:r>
      <w:r w:rsidRPr="486CEB1E">
        <w:rPr>
          <w:rFonts w:ascii="Calibri Light" w:eastAsia="Calibri" w:hAnsi="Calibri Light" w:cs="Calibri Light"/>
          <w:sz w:val="23"/>
          <w:szCs w:val="23"/>
        </w:rPr>
        <w:t xml:space="preserve"> </w:t>
      </w:r>
      <w:r w:rsidR="0060792A">
        <w:rPr>
          <w:rFonts w:ascii="Calibri Light" w:eastAsia="Calibri" w:hAnsi="Calibri Light" w:cs="Calibri Light"/>
          <w:sz w:val="23"/>
          <w:szCs w:val="23"/>
        </w:rPr>
        <w:t xml:space="preserve">and summarised </w:t>
      </w:r>
      <w:r w:rsidRPr="486CEB1E">
        <w:rPr>
          <w:rFonts w:ascii="Calibri Light" w:eastAsia="Calibri" w:hAnsi="Calibri Light" w:cs="Calibri Light"/>
          <w:sz w:val="23"/>
          <w:szCs w:val="23"/>
        </w:rPr>
        <w:t>their history, socio-economic profile</w:t>
      </w:r>
      <w:r w:rsidR="0060792A">
        <w:rPr>
          <w:rFonts w:ascii="Calibri Light" w:eastAsia="Calibri" w:hAnsi="Calibri Light" w:cs="Calibri Light"/>
          <w:sz w:val="23"/>
          <w:szCs w:val="23"/>
        </w:rPr>
        <w:t>s,</w:t>
      </w:r>
      <w:r w:rsidRPr="486CEB1E">
        <w:rPr>
          <w:rFonts w:ascii="Calibri Light" w:eastAsia="Calibri" w:hAnsi="Calibri Light" w:cs="Calibri Light"/>
          <w:sz w:val="23"/>
          <w:szCs w:val="23"/>
        </w:rPr>
        <w:t xml:space="preserve"> and the policies that </w:t>
      </w:r>
      <w:r w:rsidR="009F46D2">
        <w:rPr>
          <w:rFonts w:ascii="Calibri Light" w:eastAsia="Calibri" w:hAnsi="Calibri Light" w:cs="Calibri Light"/>
          <w:sz w:val="23"/>
          <w:szCs w:val="23"/>
        </w:rPr>
        <w:t>affect</w:t>
      </w:r>
      <w:r w:rsidRPr="083AB5C9">
        <w:rPr>
          <w:rFonts w:ascii="Calibri Light" w:eastAsia="Calibri" w:hAnsi="Calibri Light" w:cs="Calibri Light"/>
          <w:sz w:val="23"/>
          <w:szCs w:val="23"/>
        </w:rPr>
        <w:t xml:space="preserve"> </w:t>
      </w:r>
      <w:r w:rsidRPr="01C09FB4">
        <w:rPr>
          <w:rFonts w:ascii="Calibri Light" w:eastAsia="Calibri" w:hAnsi="Calibri Light" w:cs="Calibri Light"/>
          <w:sz w:val="23"/>
          <w:szCs w:val="23"/>
        </w:rPr>
        <w:t>communities</w:t>
      </w:r>
      <w:r w:rsidRPr="083AB5C9">
        <w:rPr>
          <w:rFonts w:ascii="Calibri Light" w:eastAsia="Calibri" w:hAnsi="Calibri Light" w:cs="Calibri Light"/>
          <w:sz w:val="23"/>
          <w:szCs w:val="23"/>
        </w:rPr>
        <w:t xml:space="preserve"> in these areas</w:t>
      </w:r>
      <w:r w:rsidRPr="486CEB1E">
        <w:rPr>
          <w:rFonts w:ascii="Calibri Light" w:eastAsia="Calibri" w:hAnsi="Calibri Light" w:cs="Calibri Light"/>
          <w:sz w:val="23"/>
          <w:szCs w:val="23"/>
        </w:rPr>
        <w:t>.</w:t>
      </w:r>
    </w:p>
    <w:p w14:paraId="0D5AC714" w14:textId="5DA69E42" w:rsidR="000729CE" w:rsidRDefault="00933DD5" w:rsidP="00933DD5">
      <w:pPr>
        <w:pStyle w:val="Default"/>
        <w:spacing w:line="276" w:lineRule="auto"/>
        <w:rPr>
          <w:rFonts w:ascii="Calibri Light" w:eastAsia="Calibri" w:hAnsi="Calibri Light" w:cs="Calibri Light"/>
          <w:sz w:val="23"/>
          <w:szCs w:val="23"/>
        </w:rPr>
      </w:pPr>
      <w:r w:rsidRPr="486CEB1E">
        <w:rPr>
          <w:rFonts w:ascii="Calibri Light" w:eastAsia="Calibri" w:hAnsi="Calibri Light" w:cs="Calibri Light"/>
          <w:sz w:val="23"/>
          <w:szCs w:val="23"/>
        </w:rPr>
        <w:t xml:space="preserve">Engaging with </w:t>
      </w:r>
      <w:r w:rsidR="009F46D2">
        <w:rPr>
          <w:rFonts w:ascii="Calibri Light" w:eastAsia="Calibri" w:hAnsi="Calibri Light" w:cs="Calibri Light"/>
          <w:sz w:val="23"/>
          <w:szCs w:val="23"/>
        </w:rPr>
        <w:t xml:space="preserve">key </w:t>
      </w:r>
      <w:r w:rsidRPr="486CEB1E">
        <w:rPr>
          <w:rFonts w:ascii="Calibri Light" w:eastAsia="Calibri" w:hAnsi="Calibri Light" w:cs="Calibri Light"/>
          <w:sz w:val="23"/>
          <w:szCs w:val="23"/>
        </w:rPr>
        <w:t xml:space="preserve">community workers in the three </w:t>
      </w:r>
      <w:r w:rsidRPr="01C09FB4">
        <w:rPr>
          <w:rFonts w:ascii="Calibri Light" w:eastAsia="Calibri" w:hAnsi="Calibri Light" w:cs="Calibri Light"/>
          <w:sz w:val="23"/>
          <w:szCs w:val="23"/>
        </w:rPr>
        <w:t>localities</w:t>
      </w:r>
      <w:r w:rsidRPr="486CEB1E">
        <w:rPr>
          <w:rFonts w:ascii="Calibri Light" w:eastAsia="Calibri" w:hAnsi="Calibri Light" w:cs="Calibri Light"/>
          <w:sz w:val="23"/>
          <w:szCs w:val="23"/>
        </w:rPr>
        <w:t xml:space="preserve"> </w:t>
      </w:r>
      <w:r w:rsidRPr="083AB5C9">
        <w:rPr>
          <w:rFonts w:ascii="Calibri Light" w:eastAsia="Calibri" w:hAnsi="Calibri Light" w:cs="Calibri Light"/>
          <w:sz w:val="23"/>
          <w:szCs w:val="23"/>
        </w:rPr>
        <w:t>via</w:t>
      </w:r>
      <w:r w:rsidRPr="486CEB1E">
        <w:rPr>
          <w:rFonts w:ascii="Calibri Light" w:eastAsia="Calibri" w:hAnsi="Calibri Light" w:cs="Calibri Light"/>
          <w:sz w:val="23"/>
          <w:szCs w:val="23"/>
        </w:rPr>
        <w:t xml:space="preserve"> interviews and a focus group </w:t>
      </w:r>
      <w:r w:rsidRPr="38826315">
        <w:rPr>
          <w:rFonts w:ascii="Calibri Light" w:eastAsia="Calibri" w:hAnsi="Calibri Light" w:cs="Calibri Light"/>
          <w:sz w:val="23"/>
          <w:szCs w:val="23"/>
        </w:rPr>
        <w:t>enabled</w:t>
      </w:r>
      <w:r w:rsidRPr="486CEB1E">
        <w:rPr>
          <w:rFonts w:ascii="Calibri Light" w:eastAsia="Calibri" w:hAnsi="Calibri Light" w:cs="Calibri Light"/>
          <w:sz w:val="23"/>
          <w:szCs w:val="23"/>
        </w:rPr>
        <w:t xml:space="preserve"> the </w:t>
      </w:r>
      <w:r w:rsidRPr="38826315">
        <w:rPr>
          <w:rFonts w:ascii="Calibri Light" w:eastAsia="Calibri" w:hAnsi="Calibri Light" w:cs="Calibri Light"/>
          <w:sz w:val="23"/>
          <w:szCs w:val="23"/>
        </w:rPr>
        <w:t xml:space="preserve">research team to elaborate on </w:t>
      </w:r>
      <w:r w:rsidRPr="486CEB1E">
        <w:rPr>
          <w:rFonts w:ascii="Calibri Light" w:eastAsia="Calibri" w:hAnsi="Calibri Light" w:cs="Calibri Light"/>
          <w:sz w:val="23"/>
          <w:szCs w:val="23"/>
        </w:rPr>
        <w:t>data-driven impacts</w:t>
      </w:r>
      <w:r w:rsidRPr="38826315">
        <w:rPr>
          <w:rFonts w:ascii="Calibri Light" w:eastAsia="Calibri" w:hAnsi="Calibri Light" w:cs="Calibri Light"/>
          <w:sz w:val="23"/>
          <w:szCs w:val="23"/>
        </w:rPr>
        <w:t>, identify the most pertinent</w:t>
      </w:r>
      <w:r w:rsidRPr="486CEB1E">
        <w:rPr>
          <w:rFonts w:ascii="Calibri Light" w:eastAsia="Calibri" w:hAnsi="Calibri Light" w:cs="Calibri Light"/>
          <w:sz w:val="23"/>
          <w:szCs w:val="23"/>
        </w:rPr>
        <w:t xml:space="preserve"> issues</w:t>
      </w:r>
      <w:r w:rsidRPr="38826315">
        <w:rPr>
          <w:rFonts w:ascii="Calibri Light" w:eastAsia="Calibri" w:hAnsi="Calibri Light" w:cs="Calibri Light"/>
          <w:sz w:val="23"/>
          <w:szCs w:val="23"/>
        </w:rPr>
        <w:t>,</w:t>
      </w:r>
      <w:r w:rsidRPr="486CEB1E">
        <w:rPr>
          <w:rFonts w:ascii="Calibri Light" w:eastAsia="Calibri" w:hAnsi="Calibri Light" w:cs="Calibri Light"/>
          <w:sz w:val="23"/>
          <w:szCs w:val="23"/>
        </w:rPr>
        <w:t xml:space="preserve"> and </w:t>
      </w:r>
      <w:r w:rsidRPr="38826315">
        <w:rPr>
          <w:rFonts w:ascii="Calibri Light" w:eastAsia="Calibri" w:hAnsi="Calibri Light" w:cs="Calibri Light"/>
          <w:sz w:val="23"/>
          <w:szCs w:val="23"/>
        </w:rPr>
        <w:t>explore how they might be addressed.</w:t>
      </w:r>
      <w:r w:rsidRPr="486CEB1E">
        <w:rPr>
          <w:rFonts w:ascii="Calibri Light" w:eastAsia="Calibri" w:hAnsi="Calibri Light" w:cs="Calibri Light"/>
          <w:sz w:val="23"/>
          <w:szCs w:val="23"/>
        </w:rPr>
        <w:t xml:space="preserve"> </w:t>
      </w:r>
      <w:r w:rsidR="009F46D2">
        <w:rPr>
          <w:rFonts w:ascii="Calibri Light" w:eastAsia="Calibri" w:hAnsi="Calibri Light" w:cs="Calibri Light"/>
          <w:sz w:val="23"/>
          <w:szCs w:val="23"/>
        </w:rPr>
        <w:t>Based on these</w:t>
      </w:r>
      <w:r w:rsidRPr="486CEB1E">
        <w:rPr>
          <w:rFonts w:ascii="Calibri Light" w:eastAsia="Calibri" w:hAnsi="Calibri Light" w:cs="Calibri Light"/>
          <w:sz w:val="23"/>
          <w:szCs w:val="23"/>
        </w:rPr>
        <w:t xml:space="preserve"> consultations</w:t>
      </w:r>
      <w:r w:rsidR="009F46D2">
        <w:rPr>
          <w:rFonts w:ascii="Calibri Light" w:eastAsia="Calibri" w:hAnsi="Calibri Light" w:cs="Calibri Light"/>
          <w:sz w:val="23"/>
          <w:szCs w:val="23"/>
        </w:rPr>
        <w:t xml:space="preserve">, and drawing on our broader research, we outline </w:t>
      </w:r>
      <w:r w:rsidRPr="38826315">
        <w:rPr>
          <w:rFonts w:ascii="Calibri Light" w:eastAsia="Calibri" w:hAnsi="Calibri Light" w:cs="Calibri Light"/>
          <w:sz w:val="23"/>
          <w:szCs w:val="23"/>
        </w:rPr>
        <w:t>10</w:t>
      </w:r>
      <w:r w:rsidRPr="486CEB1E">
        <w:rPr>
          <w:rFonts w:ascii="Calibri Light" w:eastAsia="Calibri" w:hAnsi="Calibri Light" w:cs="Calibri Light"/>
          <w:sz w:val="23"/>
          <w:szCs w:val="23"/>
        </w:rPr>
        <w:t xml:space="preserve"> </w:t>
      </w:r>
      <w:r w:rsidRPr="01C09FB4">
        <w:rPr>
          <w:rFonts w:ascii="Calibri Light" w:eastAsia="Calibri" w:hAnsi="Calibri Light" w:cs="Calibri Light"/>
          <w:sz w:val="23"/>
          <w:szCs w:val="23"/>
        </w:rPr>
        <w:t xml:space="preserve">proposed </w:t>
      </w:r>
      <w:r w:rsidR="00052574">
        <w:rPr>
          <w:rFonts w:ascii="Calibri Light" w:eastAsia="Calibri" w:hAnsi="Calibri Light" w:cs="Calibri Light"/>
          <w:sz w:val="23"/>
          <w:szCs w:val="23"/>
        </w:rPr>
        <w:t>initiatives</w:t>
      </w:r>
      <w:r w:rsidRPr="486CEB1E">
        <w:rPr>
          <w:rFonts w:ascii="Calibri Light" w:eastAsia="Calibri" w:hAnsi="Calibri Light" w:cs="Calibri Light"/>
          <w:sz w:val="23"/>
          <w:szCs w:val="23"/>
        </w:rPr>
        <w:t xml:space="preserve">, </w:t>
      </w:r>
      <w:r w:rsidRPr="01C09FB4">
        <w:rPr>
          <w:rFonts w:ascii="Calibri Light" w:eastAsia="Calibri" w:hAnsi="Calibri Light" w:cs="Calibri Light"/>
          <w:sz w:val="23"/>
          <w:szCs w:val="23"/>
        </w:rPr>
        <w:t>emphasising</w:t>
      </w:r>
      <w:r w:rsidRPr="486CEB1E">
        <w:rPr>
          <w:rFonts w:ascii="Calibri Light" w:eastAsia="Calibri" w:hAnsi="Calibri Light" w:cs="Calibri Light"/>
          <w:sz w:val="23"/>
          <w:szCs w:val="23"/>
        </w:rPr>
        <w:t xml:space="preserve"> the </w:t>
      </w:r>
      <w:r w:rsidR="00C679CE" w:rsidRPr="01C09FB4">
        <w:rPr>
          <w:rFonts w:ascii="Calibri Light" w:eastAsia="Calibri" w:hAnsi="Calibri Light" w:cs="Calibri Light"/>
          <w:sz w:val="23"/>
          <w:szCs w:val="23"/>
        </w:rPr>
        <w:t>need for cross-domain approaches</w:t>
      </w:r>
      <w:r w:rsidR="00C679CE" w:rsidRPr="486CEB1E">
        <w:rPr>
          <w:rFonts w:ascii="Calibri Light" w:eastAsia="Calibri" w:hAnsi="Calibri Light" w:cs="Calibri Light"/>
          <w:sz w:val="23"/>
          <w:szCs w:val="23"/>
        </w:rPr>
        <w:t xml:space="preserve"> </w:t>
      </w:r>
      <w:r w:rsidR="00C679CE">
        <w:rPr>
          <w:rFonts w:ascii="Calibri Light" w:eastAsia="Calibri" w:hAnsi="Calibri Light" w:cs="Calibri Light"/>
          <w:sz w:val="23"/>
          <w:szCs w:val="23"/>
        </w:rPr>
        <w:t xml:space="preserve">and the </w:t>
      </w:r>
      <w:r w:rsidRPr="486CEB1E">
        <w:rPr>
          <w:rFonts w:ascii="Calibri Light" w:eastAsia="Calibri" w:hAnsi="Calibri Light" w:cs="Calibri Light"/>
          <w:sz w:val="23"/>
          <w:szCs w:val="23"/>
        </w:rPr>
        <w:t>importance of genuine collaboration</w:t>
      </w:r>
      <w:r w:rsidR="00C679CE">
        <w:rPr>
          <w:rFonts w:ascii="Calibri Light" w:eastAsia="Calibri" w:hAnsi="Calibri Light" w:cs="Calibri Light"/>
          <w:sz w:val="23"/>
          <w:szCs w:val="23"/>
        </w:rPr>
        <w:t xml:space="preserve"> with communities</w:t>
      </w:r>
      <w:r w:rsidRPr="486CEB1E">
        <w:rPr>
          <w:rFonts w:ascii="Calibri Light" w:eastAsia="Calibri" w:hAnsi="Calibri Light" w:cs="Calibri Light"/>
          <w:sz w:val="23"/>
          <w:szCs w:val="23"/>
        </w:rPr>
        <w:t>.</w:t>
      </w:r>
    </w:p>
    <w:p w14:paraId="0A85950C" w14:textId="77777777" w:rsidR="000729CE" w:rsidRDefault="000729CE">
      <w:pPr>
        <w:spacing w:after="0" w:line="240" w:lineRule="auto"/>
        <w:rPr>
          <w:rFonts w:ascii="Calibri Light" w:eastAsia="Calibri" w:hAnsi="Calibri Light" w:cs="Calibri Light"/>
          <w:color w:val="000000"/>
          <w:sz w:val="23"/>
          <w:szCs w:val="23"/>
        </w:rPr>
      </w:pPr>
      <w:r>
        <w:rPr>
          <w:rFonts w:ascii="Calibri Light" w:eastAsia="Calibri" w:hAnsi="Calibri Light" w:cs="Calibri Light"/>
          <w:sz w:val="23"/>
          <w:szCs w:val="23"/>
        </w:rPr>
        <w:br w:type="page"/>
      </w:r>
    </w:p>
    <w:p w14:paraId="51C2E74F" w14:textId="77777777" w:rsidR="00F00E3D" w:rsidRPr="00C351F0" w:rsidRDefault="00F00E3D" w:rsidP="009B2FA7">
      <w:pPr>
        <w:pStyle w:val="Default"/>
        <w:spacing w:line="276" w:lineRule="auto"/>
        <w:rPr>
          <w:rFonts w:asciiTheme="minorHAnsi" w:hAnsiTheme="minorHAnsi" w:cstheme="minorBidi"/>
          <w:b/>
          <w:color w:val="2E74B5" w:themeColor="accent5" w:themeShade="BF"/>
          <w:sz w:val="36"/>
          <w:szCs w:val="36"/>
        </w:rPr>
      </w:pPr>
      <w:bookmarkStart w:id="18" w:name="OLE_LINKRecommendations"/>
      <w:r w:rsidRPr="00C351F0">
        <w:rPr>
          <w:rFonts w:asciiTheme="minorHAnsi" w:hAnsiTheme="minorHAnsi" w:cstheme="minorBidi"/>
          <w:b/>
          <w:color w:val="2E74B5" w:themeColor="accent5" w:themeShade="BF"/>
          <w:sz w:val="36"/>
          <w:szCs w:val="36"/>
        </w:rPr>
        <w:lastRenderedPageBreak/>
        <w:t>Recommendations</w:t>
      </w:r>
    </w:p>
    <w:bookmarkEnd w:id="18"/>
    <w:p w14:paraId="3D309E03" w14:textId="77777777" w:rsidR="00F00E3D" w:rsidRPr="00DD097B" w:rsidRDefault="00F00E3D" w:rsidP="00E35346">
      <w:pPr>
        <w:spacing w:after="0"/>
        <w:rPr>
          <w:rFonts w:asciiTheme="majorHAnsi" w:hAnsiTheme="majorHAnsi" w:cstheme="majorBidi"/>
          <w:sz w:val="12"/>
          <w:szCs w:val="12"/>
        </w:rPr>
      </w:pPr>
    </w:p>
    <w:p w14:paraId="7FBD0BE4" w14:textId="36C4A223" w:rsidR="00C679CE" w:rsidRDefault="00C679CE" w:rsidP="00C679CE">
      <w:pPr>
        <w:spacing w:after="0" w:line="276" w:lineRule="auto"/>
        <w:rPr>
          <w:rFonts w:ascii="Calibri Light" w:eastAsia="Calibri" w:hAnsi="Calibri Light" w:cs="Calibri Light"/>
          <w:sz w:val="23"/>
          <w:szCs w:val="23"/>
        </w:rPr>
      </w:pPr>
      <w:r>
        <w:rPr>
          <w:rFonts w:ascii="Calibri Light" w:eastAsia="Calibri" w:hAnsi="Calibri Light" w:cs="Calibri Light"/>
          <w:sz w:val="23"/>
          <w:szCs w:val="23"/>
        </w:rPr>
        <w:t>The R</w:t>
      </w:r>
      <w:r w:rsidRPr="5397A458">
        <w:rPr>
          <w:rFonts w:ascii="Calibri Light" w:eastAsia="Calibri" w:hAnsi="Calibri Light" w:cs="Calibri Light"/>
          <w:sz w:val="23"/>
          <w:szCs w:val="23"/>
        </w:rPr>
        <w:t xml:space="preserve">ecommendations </w:t>
      </w:r>
      <w:r>
        <w:rPr>
          <w:rFonts w:ascii="Calibri Light" w:eastAsia="Calibri" w:hAnsi="Calibri Light" w:cs="Calibri Light"/>
          <w:sz w:val="23"/>
          <w:szCs w:val="23"/>
        </w:rPr>
        <w:t xml:space="preserve">arising </w:t>
      </w:r>
      <w:r w:rsidRPr="5397A458">
        <w:rPr>
          <w:rFonts w:ascii="Calibri Light" w:eastAsia="Calibri" w:hAnsi="Calibri Light" w:cs="Calibri Light"/>
          <w:sz w:val="23"/>
          <w:szCs w:val="23"/>
        </w:rPr>
        <w:t xml:space="preserve">from this research are designed to help shape the long-term strategy of </w:t>
      </w:r>
      <w:r w:rsidR="001B7DDF">
        <w:rPr>
          <w:rFonts w:ascii="Calibri Light" w:eastAsia="Calibri" w:hAnsi="Calibri Light" w:cs="Calibri Light"/>
          <w:sz w:val="23"/>
          <w:szCs w:val="23"/>
        </w:rPr>
        <w:t>COGG</w:t>
      </w:r>
      <w:r w:rsidRPr="5397A458">
        <w:rPr>
          <w:rFonts w:ascii="Calibri Light" w:eastAsia="Calibri" w:hAnsi="Calibri Light" w:cs="Calibri Light"/>
          <w:sz w:val="23"/>
          <w:szCs w:val="23"/>
        </w:rPr>
        <w:t>’s Vital Communities Project</w:t>
      </w:r>
      <w:r>
        <w:rPr>
          <w:rFonts w:ascii="Calibri Light" w:eastAsia="Calibri" w:hAnsi="Calibri Light" w:cs="Calibri Light"/>
          <w:sz w:val="23"/>
          <w:szCs w:val="23"/>
        </w:rPr>
        <w:t>,</w:t>
      </w:r>
      <w:r w:rsidRPr="486CEB1E">
        <w:rPr>
          <w:rFonts w:ascii="Calibri Light" w:eastAsia="Calibri" w:hAnsi="Calibri Light" w:cs="Calibri Light"/>
          <w:sz w:val="23"/>
          <w:szCs w:val="23"/>
        </w:rPr>
        <w:t xml:space="preserve"> and</w:t>
      </w:r>
      <w:r w:rsidR="00DD097B">
        <w:rPr>
          <w:rFonts w:ascii="Calibri Light" w:eastAsia="Calibri" w:hAnsi="Calibri Light" w:cs="Calibri Light"/>
          <w:sz w:val="23"/>
          <w:szCs w:val="23"/>
        </w:rPr>
        <w:t xml:space="preserve"> to</w:t>
      </w:r>
      <w:r w:rsidRPr="5397A458">
        <w:rPr>
          <w:rFonts w:ascii="Calibri Light" w:eastAsia="Calibri" w:hAnsi="Calibri Light" w:cs="Calibri Light"/>
          <w:sz w:val="23"/>
          <w:szCs w:val="23"/>
        </w:rPr>
        <w:t xml:space="preserve"> inform</w:t>
      </w:r>
      <w:r w:rsidR="000729CE">
        <w:rPr>
          <w:rFonts w:ascii="Calibri Light" w:eastAsia="Calibri" w:hAnsi="Calibri Light" w:cs="Calibri Light"/>
          <w:sz w:val="23"/>
          <w:szCs w:val="23"/>
        </w:rPr>
        <w:t xml:space="preserve"> Council’s</w:t>
      </w:r>
      <w:r w:rsidRPr="5397A458">
        <w:rPr>
          <w:rFonts w:ascii="Calibri Light" w:eastAsia="Calibri" w:hAnsi="Calibri Light" w:cs="Calibri Light"/>
          <w:sz w:val="23"/>
          <w:szCs w:val="23"/>
        </w:rPr>
        <w:t xml:space="preserve"> long- and medium-term strategy to assist with recovery from the impacts of </w:t>
      </w:r>
      <w:r>
        <w:rPr>
          <w:rFonts w:ascii="Calibri Light" w:eastAsia="Calibri" w:hAnsi="Calibri Light" w:cs="Calibri Light"/>
          <w:sz w:val="23"/>
          <w:szCs w:val="23"/>
        </w:rPr>
        <w:t>COVID</w:t>
      </w:r>
      <w:r w:rsidRPr="5397A458">
        <w:rPr>
          <w:rFonts w:ascii="Calibri Light" w:eastAsia="Calibri" w:hAnsi="Calibri Light" w:cs="Calibri Light"/>
          <w:sz w:val="23"/>
          <w:szCs w:val="23"/>
        </w:rPr>
        <w:t>-19.</w:t>
      </w:r>
    </w:p>
    <w:p w14:paraId="0A732570" w14:textId="77777777" w:rsidR="00C679CE" w:rsidRPr="000729CE" w:rsidRDefault="00C679CE" w:rsidP="00C679CE">
      <w:pPr>
        <w:spacing w:after="0" w:line="276" w:lineRule="auto"/>
        <w:rPr>
          <w:rFonts w:ascii="Calibri Light" w:eastAsia="Calibri" w:hAnsi="Calibri Light" w:cs="Calibri Light"/>
          <w:sz w:val="12"/>
          <w:szCs w:val="12"/>
        </w:rPr>
      </w:pPr>
    </w:p>
    <w:p w14:paraId="0D2AAA8A" w14:textId="28AF955D" w:rsidR="00F00E3D" w:rsidRDefault="00644CE9" w:rsidP="00E35346">
      <w:pPr>
        <w:spacing w:after="0"/>
      </w:pPr>
      <w:r>
        <w:rPr>
          <w:rFonts w:asciiTheme="majorHAnsi" w:hAnsiTheme="majorHAnsi" w:cstheme="majorBidi"/>
          <w:sz w:val="23"/>
          <w:szCs w:val="23"/>
        </w:rPr>
        <w:t>The research team makes</w:t>
      </w:r>
      <w:r w:rsidR="00F00E3D">
        <w:rPr>
          <w:rFonts w:asciiTheme="majorHAnsi" w:hAnsiTheme="majorHAnsi" w:cstheme="majorBidi"/>
          <w:sz w:val="23"/>
          <w:szCs w:val="23"/>
        </w:rPr>
        <w:t xml:space="preserve"> </w:t>
      </w:r>
      <w:r w:rsidR="005A2565">
        <w:rPr>
          <w:rFonts w:asciiTheme="majorHAnsi" w:hAnsiTheme="majorHAnsi" w:cstheme="majorBidi"/>
          <w:sz w:val="23"/>
          <w:szCs w:val="23"/>
        </w:rPr>
        <w:t xml:space="preserve">three </w:t>
      </w:r>
      <w:r w:rsidR="00DD097B">
        <w:rPr>
          <w:rFonts w:asciiTheme="majorHAnsi" w:hAnsiTheme="majorHAnsi" w:cstheme="majorBidi"/>
          <w:sz w:val="23"/>
          <w:szCs w:val="23"/>
        </w:rPr>
        <w:t>R</w:t>
      </w:r>
      <w:r w:rsidR="00F00E3D">
        <w:rPr>
          <w:rFonts w:asciiTheme="majorHAnsi" w:hAnsiTheme="majorHAnsi" w:cstheme="majorBidi"/>
          <w:sz w:val="23"/>
          <w:szCs w:val="23"/>
        </w:rPr>
        <w:t>ecommendations. The first</w:t>
      </w:r>
      <w:r w:rsidR="005A2565">
        <w:rPr>
          <w:rFonts w:asciiTheme="majorHAnsi" w:hAnsiTheme="majorHAnsi" w:cstheme="majorBidi"/>
          <w:sz w:val="23"/>
          <w:szCs w:val="23"/>
        </w:rPr>
        <w:t xml:space="preserve"> </w:t>
      </w:r>
      <w:r w:rsidR="00F00E3D">
        <w:rPr>
          <w:rFonts w:asciiTheme="majorHAnsi" w:hAnsiTheme="majorHAnsi" w:cstheme="majorBidi"/>
          <w:sz w:val="23"/>
          <w:szCs w:val="23"/>
        </w:rPr>
        <w:t xml:space="preserve">describes an approach </w:t>
      </w:r>
      <w:r w:rsidR="003752D3">
        <w:rPr>
          <w:rFonts w:asciiTheme="majorHAnsi" w:hAnsiTheme="majorHAnsi" w:cstheme="majorBidi"/>
          <w:sz w:val="23"/>
          <w:szCs w:val="23"/>
        </w:rPr>
        <w:t>for</w:t>
      </w:r>
      <w:r w:rsidR="00F00E3D">
        <w:rPr>
          <w:rFonts w:asciiTheme="majorHAnsi" w:hAnsiTheme="majorHAnsi" w:cstheme="majorBidi"/>
          <w:sz w:val="23"/>
          <w:szCs w:val="23"/>
        </w:rPr>
        <w:t xml:space="preserve"> governmental agencies </w:t>
      </w:r>
      <w:r w:rsidR="003752D3">
        <w:rPr>
          <w:rFonts w:asciiTheme="majorHAnsi" w:hAnsiTheme="majorHAnsi" w:cstheme="majorBidi"/>
          <w:sz w:val="23"/>
          <w:szCs w:val="23"/>
        </w:rPr>
        <w:t>to follow in</w:t>
      </w:r>
      <w:r w:rsidR="00F00E3D">
        <w:rPr>
          <w:rFonts w:asciiTheme="majorHAnsi" w:hAnsiTheme="majorHAnsi" w:cstheme="majorBidi"/>
          <w:sz w:val="23"/>
          <w:szCs w:val="23"/>
        </w:rPr>
        <w:t xml:space="preserve"> work</w:t>
      </w:r>
      <w:r w:rsidR="003752D3">
        <w:rPr>
          <w:rFonts w:asciiTheme="majorHAnsi" w:hAnsiTheme="majorHAnsi" w:cstheme="majorBidi"/>
          <w:sz w:val="23"/>
          <w:szCs w:val="23"/>
        </w:rPr>
        <w:t>ing</w:t>
      </w:r>
      <w:r w:rsidR="00F00E3D">
        <w:rPr>
          <w:rFonts w:asciiTheme="majorHAnsi" w:hAnsiTheme="majorHAnsi" w:cstheme="majorBidi"/>
          <w:sz w:val="23"/>
          <w:szCs w:val="23"/>
        </w:rPr>
        <w:t xml:space="preserve"> with communities </w:t>
      </w:r>
      <w:r w:rsidR="003752D3">
        <w:rPr>
          <w:rFonts w:asciiTheme="majorHAnsi" w:hAnsiTheme="majorHAnsi" w:cstheme="majorBidi"/>
          <w:sz w:val="23"/>
          <w:szCs w:val="23"/>
        </w:rPr>
        <w:t>in</w:t>
      </w:r>
      <w:r w:rsidR="00F00E3D">
        <w:rPr>
          <w:rFonts w:asciiTheme="majorHAnsi" w:hAnsiTheme="majorHAnsi" w:cstheme="majorBidi"/>
          <w:sz w:val="23"/>
          <w:szCs w:val="23"/>
        </w:rPr>
        <w:t xml:space="preserve"> </w:t>
      </w:r>
      <w:r w:rsidR="00F00E3D" w:rsidRPr="236DC7AB">
        <w:rPr>
          <w:rFonts w:asciiTheme="majorHAnsi" w:eastAsiaTheme="minorEastAsia" w:hAnsiTheme="majorHAnsi" w:cstheme="majorBidi"/>
          <w:sz w:val="23"/>
          <w:szCs w:val="23"/>
          <w:lang w:val="en-GB"/>
        </w:rPr>
        <w:t>Corio, Norlane</w:t>
      </w:r>
      <w:r w:rsidR="00DD097B">
        <w:rPr>
          <w:rFonts w:asciiTheme="majorHAnsi" w:eastAsiaTheme="minorEastAsia" w:hAnsiTheme="majorHAnsi" w:cstheme="majorBidi"/>
          <w:sz w:val="23"/>
          <w:szCs w:val="23"/>
          <w:lang w:val="en-GB"/>
        </w:rPr>
        <w:t>,</w:t>
      </w:r>
      <w:r w:rsidR="00F00E3D" w:rsidRPr="236DC7AB">
        <w:rPr>
          <w:rFonts w:asciiTheme="majorHAnsi" w:eastAsiaTheme="minorEastAsia" w:hAnsiTheme="majorHAnsi" w:cstheme="majorBidi"/>
          <w:sz w:val="23"/>
          <w:szCs w:val="23"/>
          <w:lang w:val="en-GB"/>
        </w:rPr>
        <w:t xml:space="preserve"> and Whittington</w:t>
      </w:r>
      <w:r w:rsidR="00F00E3D">
        <w:rPr>
          <w:rFonts w:asciiTheme="majorHAnsi" w:hAnsiTheme="majorHAnsi" w:cstheme="majorBidi"/>
          <w:sz w:val="23"/>
          <w:szCs w:val="23"/>
        </w:rPr>
        <w:t xml:space="preserve"> on the issues that require priority action.</w:t>
      </w:r>
      <w:r w:rsidR="005A2565">
        <w:rPr>
          <w:rFonts w:asciiTheme="majorHAnsi" w:hAnsiTheme="majorHAnsi" w:cstheme="majorBidi"/>
          <w:sz w:val="23"/>
          <w:szCs w:val="23"/>
        </w:rPr>
        <w:t xml:space="preserve"> It</w:t>
      </w:r>
      <w:r w:rsidR="00F00E3D">
        <w:rPr>
          <w:rFonts w:asciiTheme="majorHAnsi" w:hAnsiTheme="majorHAnsi" w:cstheme="majorBidi"/>
          <w:sz w:val="23"/>
          <w:szCs w:val="23"/>
        </w:rPr>
        <w:t xml:space="preserve"> also describe</w:t>
      </w:r>
      <w:r w:rsidR="005A2565">
        <w:rPr>
          <w:rFonts w:asciiTheme="majorHAnsi" w:hAnsiTheme="majorHAnsi" w:cstheme="majorBidi"/>
          <w:sz w:val="23"/>
          <w:szCs w:val="23"/>
        </w:rPr>
        <w:t>s</w:t>
      </w:r>
      <w:r w:rsidR="00F00E3D">
        <w:rPr>
          <w:rFonts w:asciiTheme="majorHAnsi" w:hAnsiTheme="majorHAnsi" w:cstheme="majorBidi"/>
          <w:sz w:val="23"/>
          <w:szCs w:val="23"/>
        </w:rPr>
        <w:t xml:space="preserve"> the roles </w:t>
      </w:r>
      <w:r w:rsidR="00552DE0">
        <w:rPr>
          <w:rFonts w:asciiTheme="majorHAnsi" w:hAnsiTheme="majorHAnsi" w:cstheme="majorBidi"/>
          <w:sz w:val="23"/>
          <w:szCs w:val="23"/>
        </w:rPr>
        <w:t xml:space="preserve">that </w:t>
      </w:r>
      <w:r w:rsidR="003752D3">
        <w:rPr>
          <w:rFonts w:asciiTheme="majorHAnsi" w:hAnsiTheme="majorHAnsi" w:cstheme="majorBidi"/>
          <w:sz w:val="23"/>
          <w:szCs w:val="23"/>
        </w:rPr>
        <w:t>key community informants</w:t>
      </w:r>
      <w:r w:rsidR="00F00E3D">
        <w:rPr>
          <w:rFonts w:asciiTheme="majorHAnsi" w:hAnsiTheme="majorHAnsi" w:cstheme="majorBidi"/>
          <w:sz w:val="23"/>
          <w:szCs w:val="23"/>
        </w:rPr>
        <w:t xml:space="preserve"> </w:t>
      </w:r>
      <w:r w:rsidR="00552DE0">
        <w:rPr>
          <w:rFonts w:asciiTheme="majorHAnsi" w:hAnsiTheme="majorHAnsi" w:cstheme="majorBidi"/>
          <w:sz w:val="23"/>
          <w:szCs w:val="23"/>
        </w:rPr>
        <w:t xml:space="preserve">have </w:t>
      </w:r>
      <w:r w:rsidR="005A2565">
        <w:rPr>
          <w:rFonts w:asciiTheme="majorHAnsi" w:hAnsiTheme="majorHAnsi" w:cstheme="majorBidi"/>
          <w:sz w:val="23"/>
          <w:szCs w:val="23"/>
        </w:rPr>
        <w:t>suggested</w:t>
      </w:r>
      <w:r w:rsidR="00F00E3D">
        <w:rPr>
          <w:rFonts w:asciiTheme="majorHAnsi" w:hAnsiTheme="majorHAnsi" w:cstheme="majorBidi"/>
          <w:sz w:val="23"/>
          <w:szCs w:val="23"/>
        </w:rPr>
        <w:t xml:space="preserve"> </w:t>
      </w:r>
      <w:r w:rsidR="001B7DDF">
        <w:rPr>
          <w:rFonts w:asciiTheme="majorHAnsi" w:hAnsiTheme="majorHAnsi" w:cstheme="majorBidi"/>
          <w:sz w:val="23"/>
          <w:szCs w:val="23"/>
        </w:rPr>
        <w:t>CoGG</w:t>
      </w:r>
      <w:r w:rsidR="00F00E3D">
        <w:rPr>
          <w:rFonts w:asciiTheme="majorHAnsi" w:hAnsiTheme="majorHAnsi" w:cstheme="majorBidi"/>
          <w:sz w:val="23"/>
          <w:szCs w:val="23"/>
        </w:rPr>
        <w:t xml:space="preserve"> can play in this work.</w:t>
      </w:r>
      <w:r w:rsidR="00552DE0">
        <w:rPr>
          <w:rFonts w:asciiTheme="majorHAnsi" w:hAnsiTheme="majorHAnsi" w:cstheme="majorBidi"/>
          <w:sz w:val="23"/>
          <w:szCs w:val="23"/>
        </w:rPr>
        <w:t xml:space="preserve"> </w:t>
      </w:r>
      <w:r w:rsidR="00DD097B">
        <w:rPr>
          <w:rFonts w:asciiTheme="majorHAnsi" w:hAnsiTheme="majorHAnsi" w:cstheme="majorBidi"/>
          <w:sz w:val="23"/>
          <w:szCs w:val="23"/>
        </w:rPr>
        <w:t>Recommendation</w:t>
      </w:r>
      <w:r w:rsidR="009444E3">
        <w:rPr>
          <w:rFonts w:asciiTheme="majorHAnsi" w:hAnsiTheme="majorHAnsi" w:cstheme="majorBidi"/>
          <w:sz w:val="23"/>
          <w:szCs w:val="23"/>
        </w:rPr>
        <w:t xml:space="preserve"> Two</w:t>
      </w:r>
      <w:r w:rsidR="00DD097B">
        <w:rPr>
          <w:rFonts w:asciiTheme="majorHAnsi" w:hAnsiTheme="majorHAnsi" w:cstheme="majorBidi"/>
          <w:sz w:val="23"/>
          <w:szCs w:val="23"/>
        </w:rPr>
        <w:t xml:space="preserve"> </w:t>
      </w:r>
      <w:r w:rsidR="00F00E3D">
        <w:rPr>
          <w:rFonts w:asciiTheme="majorHAnsi" w:hAnsiTheme="majorHAnsi" w:cstheme="majorBidi"/>
          <w:sz w:val="23"/>
          <w:szCs w:val="23"/>
        </w:rPr>
        <w:t xml:space="preserve">identifies 14 </w:t>
      </w:r>
      <w:r w:rsidR="00DD097B">
        <w:rPr>
          <w:rFonts w:asciiTheme="majorHAnsi" w:hAnsiTheme="majorHAnsi" w:cstheme="majorBidi"/>
          <w:sz w:val="23"/>
          <w:szCs w:val="23"/>
        </w:rPr>
        <w:t>priority areas for action</w:t>
      </w:r>
      <w:r w:rsidR="005A2565">
        <w:rPr>
          <w:rFonts w:asciiTheme="majorHAnsi" w:hAnsiTheme="majorHAnsi" w:cstheme="majorBidi"/>
          <w:sz w:val="23"/>
          <w:szCs w:val="23"/>
        </w:rPr>
        <w:t>.</w:t>
      </w:r>
      <w:r w:rsidR="00F00E3D">
        <w:rPr>
          <w:rFonts w:asciiTheme="majorHAnsi" w:hAnsiTheme="majorHAnsi" w:cstheme="majorBidi"/>
          <w:sz w:val="23"/>
          <w:szCs w:val="23"/>
        </w:rPr>
        <w:t xml:space="preserve"> </w:t>
      </w:r>
      <w:r w:rsidR="001D1AD0">
        <w:rPr>
          <w:rFonts w:asciiTheme="majorHAnsi" w:hAnsiTheme="majorHAnsi" w:cstheme="majorBidi"/>
          <w:sz w:val="23"/>
          <w:szCs w:val="23"/>
        </w:rPr>
        <w:t>Our</w:t>
      </w:r>
      <w:r w:rsidR="00F00E3D">
        <w:rPr>
          <w:rFonts w:asciiTheme="majorHAnsi" w:hAnsiTheme="majorHAnsi" w:cstheme="majorBidi"/>
          <w:sz w:val="23"/>
          <w:szCs w:val="23"/>
        </w:rPr>
        <w:t xml:space="preserve"> </w:t>
      </w:r>
      <w:r w:rsidR="00AD3306">
        <w:rPr>
          <w:rFonts w:asciiTheme="majorHAnsi" w:hAnsiTheme="majorHAnsi" w:cstheme="majorBidi"/>
          <w:sz w:val="23"/>
          <w:szCs w:val="23"/>
        </w:rPr>
        <w:t xml:space="preserve">final </w:t>
      </w:r>
      <w:r w:rsidR="00945A44">
        <w:rPr>
          <w:rFonts w:asciiTheme="majorHAnsi" w:hAnsiTheme="majorHAnsi" w:cstheme="majorBidi"/>
          <w:sz w:val="23"/>
          <w:szCs w:val="23"/>
        </w:rPr>
        <w:t>Recommendation outlines</w:t>
      </w:r>
      <w:r w:rsidR="00F00E3D">
        <w:rPr>
          <w:rFonts w:asciiTheme="majorHAnsi" w:hAnsiTheme="majorHAnsi" w:cstheme="majorBidi"/>
          <w:sz w:val="23"/>
          <w:szCs w:val="23"/>
        </w:rPr>
        <w:t xml:space="preserve"> how these </w:t>
      </w:r>
      <w:r w:rsidR="005A2565">
        <w:rPr>
          <w:rFonts w:asciiTheme="majorHAnsi" w:hAnsiTheme="majorHAnsi" w:cstheme="majorBidi"/>
          <w:sz w:val="23"/>
          <w:szCs w:val="23"/>
        </w:rPr>
        <w:t>priority areas could</w:t>
      </w:r>
      <w:r w:rsidR="00F00E3D">
        <w:rPr>
          <w:rFonts w:asciiTheme="majorHAnsi" w:hAnsiTheme="majorHAnsi" w:cstheme="majorBidi"/>
          <w:sz w:val="23"/>
          <w:szCs w:val="23"/>
        </w:rPr>
        <w:t xml:space="preserve"> be addressed through 10 </w:t>
      </w:r>
      <w:r w:rsidR="00945A44">
        <w:rPr>
          <w:rFonts w:asciiTheme="majorHAnsi" w:hAnsiTheme="majorHAnsi" w:cstheme="majorBidi"/>
          <w:sz w:val="23"/>
          <w:szCs w:val="23"/>
        </w:rPr>
        <w:t>types</w:t>
      </w:r>
      <w:r w:rsidR="00F00E3D">
        <w:rPr>
          <w:rFonts w:asciiTheme="majorHAnsi" w:hAnsiTheme="majorHAnsi" w:cstheme="majorBidi"/>
          <w:sz w:val="23"/>
          <w:szCs w:val="23"/>
        </w:rPr>
        <w:t xml:space="preserve"> of initiative.</w:t>
      </w:r>
    </w:p>
    <w:p w14:paraId="38DD349E" w14:textId="77777777" w:rsidR="00F00E3D" w:rsidRPr="00945A44" w:rsidRDefault="00F00E3D" w:rsidP="009B2FA7">
      <w:pPr>
        <w:pStyle w:val="Default"/>
        <w:spacing w:line="276" w:lineRule="auto"/>
        <w:rPr>
          <w:rFonts w:asciiTheme="minorHAnsi" w:hAnsiTheme="minorHAnsi" w:cstheme="minorBidi"/>
          <w:b/>
          <w:bCs/>
          <w:color w:val="4472C4" w:themeColor="accent1"/>
          <w:sz w:val="16"/>
          <w:szCs w:val="16"/>
        </w:rPr>
      </w:pPr>
    </w:p>
    <w:p w14:paraId="19386BFD" w14:textId="2B3B2C9A" w:rsidR="00F00E3D" w:rsidRPr="00C351F0" w:rsidRDefault="00F00E3D" w:rsidP="009B2FA7">
      <w:pPr>
        <w:pStyle w:val="Default"/>
        <w:spacing w:line="276" w:lineRule="auto"/>
        <w:rPr>
          <w:rFonts w:asciiTheme="minorHAnsi" w:hAnsiTheme="minorHAnsi" w:cstheme="minorBidi"/>
          <w:b/>
          <w:color w:val="2E74B5" w:themeColor="accent5" w:themeShade="BF"/>
          <w:sz w:val="28"/>
          <w:szCs w:val="28"/>
        </w:rPr>
      </w:pPr>
      <w:r w:rsidRPr="00C351F0">
        <w:rPr>
          <w:rFonts w:asciiTheme="minorHAnsi" w:hAnsiTheme="minorHAnsi" w:cstheme="minorBidi"/>
          <w:b/>
          <w:color w:val="2E74B5" w:themeColor="accent5" w:themeShade="BF"/>
          <w:sz w:val="28"/>
          <w:szCs w:val="28"/>
        </w:rPr>
        <w:t xml:space="preserve">Recommendation </w:t>
      </w:r>
      <w:r w:rsidR="00C351F0" w:rsidRPr="00C351F0">
        <w:rPr>
          <w:rFonts w:asciiTheme="minorHAnsi" w:hAnsiTheme="minorHAnsi" w:cstheme="minorBidi"/>
          <w:b/>
          <w:color w:val="2E74B5" w:themeColor="accent5" w:themeShade="BF"/>
          <w:sz w:val="28"/>
          <w:szCs w:val="28"/>
        </w:rPr>
        <w:t>1</w:t>
      </w:r>
      <w:r w:rsidRPr="00C351F0">
        <w:rPr>
          <w:rFonts w:asciiTheme="minorHAnsi" w:hAnsiTheme="minorHAnsi" w:cstheme="minorBidi"/>
          <w:b/>
          <w:color w:val="2E74B5" w:themeColor="accent5" w:themeShade="BF"/>
          <w:sz w:val="28"/>
          <w:szCs w:val="28"/>
        </w:rPr>
        <w:t>:</w:t>
      </w:r>
      <w:r w:rsidR="00A91025" w:rsidRPr="00C351F0">
        <w:rPr>
          <w:rFonts w:asciiTheme="minorHAnsi" w:hAnsiTheme="minorHAnsi" w:cstheme="minorBidi"/>
          <w:b/>
          <w:color w:val="2E74B5" w:themeColor="accent5" w:themeShade="BF"/>
          <w:sz w:val="28"/>
          <w:szCs w:val="28"/>
        </w:rPr>
        <w:t xml:space="preserve"> </w:t>
      </w:r>
      <w:r w:rsidR="00E35346" w:rsidRPr="00C351F0">
        <w:rPr>
          <w:rFonts w:asciiTheme="minorHAnsi" w:hAnsiTheme="minorHAnsi" w:cstheme="minorBidi"/>
          <w:b/>
          <w:color w:val="2E74B5" w:themeColor="accent5" w:themeShade="BF"/>
          <w:sz w:val="28"/>
          <w:szCs w:val="28"/>
        </w:rPr>
        <w:t xml:space="preserve">Adopt </w:t>
      </w:r>
      <w:r w:rsidRPr="00C351F0">
        <w:rPr>
          <w:rFonts w:asciiTheme="minorHAnsi" w:hAnsiTheme="minorHAnsi" w:cstheme="minorBidi"/>
          <w:b/>
          <w:color w:val="2E74B5" w:themeColor="accent5" w:themeShade="BF"/>
          <w:sz w:val="28"/>
          <w:szCs w:val="28"/>
        </w:rPr>
        <w:t>Core Principles</w:t>
      </w:r>
      <w:r w:rsidR="00A91025" w:rsidRPr="00C351F0">
        <w:rPr>
          <w:rFonts w:asciiTheme="minorHAnsi" w:hAnsiTheme="minorHAnsi" w:cstheme="minorBidi"/>
          <w:b/>
          <w:color w:val="2E74B5" w:themeColor="accent5" w:themeShade="BF"/>
          <w:sz w:val="28"/>
          <w:szCs w:val="28"/>
        </w:rPr>
        <w:t xml:space="preserve"> for</w:t>
      </w:r>
      <w:r w:rsidRPr="00C351F0">
        <w:rPr>
          <w:rFonts w:asciiTheme="minorHAnsi" w:hAnsiTheme="minorHAnsi" w:cstheme="minorBidi"/>
          <w:b/>
          <w:color w:val="2E74B5" w:themeColor="accent5" w:themeShade="BF"/>
          <w:sz w:val="28"/>
          <w:szCs w:val="28"/>
        </w:rPr>
        <w:t xml:space="preserve"> Working with Communities</w:t>
      </w:r>
    </w:p>
    <w:p w14:paraId="2493938A" w14:textId="77777777" w:rsidR="00F00E3D" w:rsidRPr="000729CE" w:rsidRDefault="00F00E3D" w:rsidP="009B2FA7">
      <w:pPr>
        <w:pStyle w:val="Default"/>
        <w:spacing w:line="276" w:lineRule="auto"/>
        <w:rPr>
          <w:rFonts w:eastAsia="Calibri"/>
          <w:b/>
          <w:bCs/>
          <w:color w:val="000000" w:themeColor="text1"/>
          <w:sz w:val="12"/>
          <w:szCs w:val="12"/>
        </w:rPr>
      </w:pPr>
    </w:p>
    <w:p w14:paraId="4C8FEBAD" w14:textId="549DD16B" w:rsidR="00F00E3D" w:rsidRPr="00184EB6" w:rsidRDefault="00F00E3D" w:rsidP="009B2FA7">
      <w:pPr>
        <w:spacing w:line="276" w:lineRule="auto"/>
        <w:rPr>
          <w:rFonts w:asciiTheme="majorHAnsi" w:hAnsiTheme="majorHAnsi" w:cstheme="majorBidi"/>
          <w:sz w:val="23"/>
          <w:szCs w:val="23"/>
        </w:rPr>
      </w:pPr>
      <w:r w:rsidRPr="00065573">
        <w:rPr>
          <w:rFonts w:asciiTheme="majorHAnsi" w:hAnsiTheme="majorHAnsi" w:cstheme="majorBidi"/>
          <w:b/>
          <w:bCs/>
          <w:sz w:val="23"/>
          <w:szCs w:val="23"/>
        </w:rPr>
        <w:t>What:</w:t>
      </w:r>
      <w:r>
        <w:rPr>
          <w:rFonts w:asciiTheme="majorHAnsi" w:hAnsiTheme="majorHAnsi" w:cstheme="majorBidi"/>
          <w:sz w:val="23"/>
          <w:szCs w:val="23"/>
        </w:rPr>
        <w:t xml:space="preserve"> </w:t>
      </w:r>
      <w:r w:rsidRPr="00184EB6">
        <w:rPr>
          <w:rFonts w:asciiTheme="majorHAnsi" w:hAnsiTheme="majorHAnsi" w:cstheme="majorBidi"/>
          <w:sz w:val="23"/>
          <w:szCs w:val="23"/>
        </w:rPr>
        <w:t>There is a need to respect, trust</w:t>
      </w:r>
      <w:r w:rsidR="00841538">
        <w:rPr>
          <w:rFonts w:asciiTheme="majorHAnsi" w:hAnsiTheme="majorHAnsi" w:cstheme="majorBidi"/>
          <w:sz w:val="23"/>
          <w:szCs w:val="23"/>
        </w:rPr>
        <w:t>,</w:t>
      </w:r>
      <w:r w:rsidRPr="00184EB6">
        <w:rPr>
          <w:rFonts w:asciiTheme="majorHAnsi" w:hAnsiTheme="majorHAnsi" w:cstheme="majorBidi"/>
          <w:sz w:val="23"/>
          <w:szCs w:val="23"/>
        </w:rPr>
        <w:t xml:space="preserve"> and listen to </w:t>
      </w:r>
      <w:r w:rsidR="005D1C5B">
        <w:rPr>
          <w:rFonts w:asciiTheme="majorHAnsi" w:hAnsiTheme="majorHAnsi" w:cstheme="majorBidi"/>
          <w:sz w:val="23"/>
          <w:szCs w:val="23"/>
        </w:rPr>
        <w:t>residents</w:t>
      </w:r>
      <w:r w:rsidRPr="00184EB6">
        <w:rPr>
          <w:rFonts w:asciiTheme="majorHAnsi" w:hAnsiTheme="majorHAnsi" w:cstheme="majorBidi"/>
          <w:sz w:val="23"/>
          <w:szCs w:val="23"/>
        </w:rPr>
        <w:t xml:space="preserve"> in Corio, Norlane</w:t>
      </w:r>
      <w:r w:rsidR="00945A44">
        <w:rPr>
          <w:rFonts w:asciiTheme="majorHAnsi" w:hAnsiTheme="majorHAnsi" w:cstheme="majorBidi"/>
          <w:sz w:val="23"/>
          <w:szCs w:val="23"/>
        </w:rPr>
        <w:t>,</w:t>
      </w:r>
      <w:r w:rsidRPr="00184EB6">
        <w:rPr>
          <w:rFonts w:asciiTheme="majorHAnsi" w:hAnsiTheme="majorHAnsi" w:cstheme="majorBidi"/>
          <w:sz w:val="23"/>
          <w:szCs w:val="23"/>
        </w:rPr>
        <w:t xml:space="preserve"> and Whittington</w:t>
      </w:r>
      <w:r w:rsidR="005D1C5B">
        <w:rPr>
          <w:rFonts w:asciiTheme="majorHAnsi" w:hAnsiTheme="majorHAnsi" w:cstheme="majorBidi"/>
          <w:sz w:val="23"/>
          <w:szCs w:val="23"/>
        </w:rPr>
        <w:t>,</w:t>
      </w:r>
      <w:r w:rsidRPr="00184EB6">
        <w:rPr>
          <w:rFonts w:asciiTheme="majorHAnsi" w:hAnsiTheme="majorHAnsi" w:cstheme="majorBidi"/>
          <w:sz w:val="23"/>
          <w:szCs w:val="23"/>
        </w:rPr>
        <w:t xml:space="preserve"> as </w:t>
      </w:r>
      <w:r w:rsidR="00841538">
        <w:rPr>
          <w:rFonts w:asciiTheme="majorHAnsi" w:hAnsiTheme="majorHAnsi" w:cstheme="majorBidi"/>
          <w:sz w:val="23"/>
          <w:szCs w:val="23"/>
        </w:rPr>
        <w:t>community members</w:t>
      </w:r>
      <w:r w:rsidRPr="00184EB6">
        <w:rPr>
          <w:rFonts w:asciiTheme="majorHAnsi" w:hAnsiTheme="majorHAnsi" w:cstheme="majorBidi"/>
          <w:sz w:val="23"/>
          <w:szCs w:val="23"/>
        </w:rPr>
        <w:t xml:space="preserve"> </w:t>
      </w:r>
      <w:r w:rsidR="005D1C5B">
        <w:rPr>
          <w:rFonts w:asciiTheme="majorHAnsi" w:hAnsiTheme="majorHAnsi" w:cstheme="majorBidi"/>
          <w:sz w:val="23"/>
          <w:szCs w:val="23"/>
        </w:rPr>
        <w:t>possess</w:t>
      </w:r>
      <w:r w:rsidRPr="00184EB6">
        <w:rPr>
          <w:rFonts w:asciiTheme="majorHAnsi" w:hAnsiTheme="majorHAnsi" w:cstheme="majorBidi"/>
          <w:sz w:val="23"/>
          <w:szCs w:val="23"/>
        </w:rPr>
        <w:t xml:space="preserve"> the </w:t>
      </w:r>
      <w:r w:rsidR="00536B45">
        <w:rPr>
          <w:rFonts w:asciiTheme="majorHAnsi" w:hAnsiTheme="majorHAnsi" w:cstheme="majorBidi"/>
          <w:sz w:val="23"/>
          <w:szCs w:val="23"/>
        </w:rPr>
        <w:t xml:space="preserve">required </w:t>
      </w:r>
      <w:r w:rsidR="00841538">
        <w:rPr>
          <w:rFonts w:asciiTheme="majorHAnsi" w:hAnsiTheme="majorHAnsi" w:cstheme="majorBidi"/>
          <w:sz w:val="23"/>
          <w:szCs w:val="23"/>
        </w:rPr>
        <w:t xml:space="preserve">knowledge and </w:t>
      </w:r>
      <w:r w:rsidR="005D1C5B">
        <w:rPr>
          <w:rFonts w:asciiTheme="majorHAnsi" w:hAnsiTheme="majorHAnsi" w:cstheme="majorBidi"/>
          <w:sz w:val="23"/>
          <w:szCs w:val="23"/>
        </w:rPr>
        <w:t>insights to</w:t>
      </w:r>
      <w:r w:rsidRPr="00184EB6">
        <w:rPr>
          <w:rFonts w:asciiTheme="majorHAnsi" w:hAnsiTheme="majorHAnsi" w:cstheme="majorBidi"/>
          <w:sz w:val="23"/>
          <w:szCs w:val="23"/>
        </w:rPr>
        <w:t xml:space="preserve"> address many of the problems </w:t>
      </w:r>
      <w:r w:rsidR="00013F55">
        <w:rPr>
          <w:rFonts w:asciiTheme="majorHAnsi" w:hAnsiTheme="majorHAnsi" w:cstheme="majorBidi"/>
          <w:sz w:val="23"/>
          <w:szCs w:val="23"/>
        </w:rPr>
        <w:t>and challenges in the</w:t>
      </w:r>
      <w:r w:rsidR="004F3C37">
        <w:rPr>
          <w:rFonts w:asciiTheme="majorHAnsi" w:hAnsiTheme="majorHAnsi" w:cstheme="majorBidi"/>
          <w:sz w:val="23"/>
          <w:szCs w:val="23"/>
        </w:rPr>
        <w:t>ir local</w:t>
      </w:r>
      <w:r w:rsidRPr="00184EB6">
        <w:rPr>
          <w:rFonts w:asciiTheme="majorHAnsi" w:hAnsiTheme="majorHAnsi" w:cstheme="majorBidi"/>
          <w:sz w:val="23"/>
          <w:szCs w:val="23"/>
        </w:rPr>
        <w:t xml:space="preserve"> areas. There </w:t>
      </w:r>
      <w:r w:rsidR="00013F55">
        <w:rPr>
          <w:rFonts w:asciiTheme="majorHAnsi" w:hAnsiTheme="majorHAnsi" w:cstheme="majorBidi"/>
          <w:sz w:val="23"/>
          <w:szCs w:val="23"/>
        </w:rPr>
        <w:t>is also a clear</w:t>
      </w:r>
      <w:r w:rsidRPr="00184EB6">
        <w:rPr>
          <w:rFonts w:asciiTheme="majorHAnsi" w:hAnsiTheme="majorHAnsi" w:cstheme="majorBidi"/>
          <w:sz w:val="23"/>
          <w:szCs w:val="23"/>
        </w:rPr>
        <w:t xml:space="preserve"> need to build on existing </w:t>
      </w:r>
      <w:r w:rsidR="001B7C91">
        <w:rPr>
          <w:rFonts w:asciiTheme="majorHAnsi" w:hAnsiTheme="majorHAnsi" w:cstheme="majorBidi"/>
          <w:sz w:val="23"/>
          <w:szCs w:val="23"/>
        </w:rPr>
        <w:t xml:space="preserve">local </w:t>
      </w:r>
      <w:r w:rsidRPr="00184EB6">
        <w:rPr>
          <w:rFonts w:asciiTheme="majorHAnsi" w:hAnsiTheme="majorHAnsi" w:cstheme="majorBidi"/>
          <w:sz w:val="23"/>
          <w:szCs w:val="23"/>
        </w:rPr>
        <w:t>strengths, programs, networks, capacities</w:t>
      </w:r>
      <w:r w:rsidR="001B7C91">
        <w:rPr>
          <w:rFonts w:asciiTheme="majorHAnsi" w:hAnsiTheme="majorHAnsi" w:cstheme="majorBidi"/>
          <w:sz w:val="23"/>
          <w:szCs w:val="23"/>
        </w:rPr>
        <w:t>, knowledge,</w:t>
      </w:r>
      <w:r w:rsidRPr="00184EB6">
        <w:rPr>
          <w:rFonts w:asciiTheme="majorHAnsi" w:hAnsiTheme="majorHAnsi" w:cstheme="majorBidi"/>
          <w:sz w:val="23"/>
          <w:szCs w:val="23"/>
        </w:rPr>
        <w:t xml:space="preserve"> </w:t>
      </w:r>
      <w:r w:rsidR="001B7C91">
        <w:rPr>
          <w:rFonts w:asciiTheme="majorHAnsi" w:hAnsiTheme="majorHAnsi" w:cstheme="majorBidi"/>
          <w:sz w:val="23"/>
          <w:szCs w:val="23"/>
        </w:rPr>
        <w:t xml:space="preserve">organisations, </w:t>
      </w:r>
      <w:r w:rsidRPr="00184EB6">
        <w:rPr>
          <w:rFonts w:asciiTheme="majorHAnsi" w:hAnsiTheme="majorHAnsi" w:cstheme="majorBidi"/>
          <w:sz w:val="23"/>
          <w:szCs w:val="23"/>
        </w:rPr>
        <w:t>and people</w:t>
      </w:r>
      <w:r w:rsidR="00852926">
        <w:rPr>
          <w:rFonts w:asciiTheme="majorHAnsi" w:hAnsiTheme="majorHAnsi" w:cstheme="majorBidi"/>
          <w:sz w:val="23"/>
          <w:szCs w:val="23"/>
        </w:rPr>
        <w:t>. This includes</w:t>
      </w:r>
      <w:r w:rsidR="004F3C37">
        <w:rPr>
          <w:rFonts w:asciiTheme="majorHAnsi" w:hAnsiTheme="majorHAnsi" w:cstheme="majorBidi"/>
          <w:sz w:val="23"/>
          <w:szCs w:val="23"/>
        </w:rPr>
        <w:t xml:space="preserve"> identify</w:t>
      </w:r>
      <w:r w:rsidR="00852926">
        <w:rPr>
          <w:rFonts w:asciiTheme="majorHAnsi" w:hAnsiTheme="majorHAnsi" w:cstheme="majorBidi"/>
          <w:sz w:val="23"/>
          <w:szCs w:val="23"/>
        </w:rPr>
        <w:t>ing</w:t>
      </w:r>
      <w:r w:rsidR="004F3C37">
        <w:rPr>
          <w:rFonts w:asciiTheme="majorHAnsi" w:hAnsiTheme="majorHAnsi" w:cstheme="majorBidi"/>
          <w:sz w:val="23"/>
          <w:szCs w:val="23"/>
        </w:rPr>
        <w:t xml:space="preserve"> </w:t>
      </w:r>
      <w:r w:rsidRPr="00184EB6">
        <w:rPr>
          <w:rFonts w:asciiTheme="majorHAnsi" w:hAnsiTheme="majorHAnsi" w:cstheme="majorBidi"/>
          <w:sz w:val="23"/>
          <w:szCs w:val="23"/>
        </w:rPr>
        <w:t xml:space="preserve">successful programs </w:t>
      </w:r>
      <w:r w:rsidR="004F3C37">
        <w:rPr>
          <w:rFonts w:asciiTheme="majorHAnsi" w:hAnsiTheme="majorHAnsi" w:cstheme="majorBidi"/>
          <w:sz w:val="23"/>
          <w:szCs w:val="23"/>
        </w:rPr>
        <w:t>and fund</w:t>
      </w:r>
      <w:r w:rsidR="00852926">
        <w:rPr>
          <w:rFonts w:asciiTheme="majorHAnsi" w:hAnsiTheme="majorHAnsi" w:cstheme="majorBidi"/>
          <w:sz w:val="23"/>
          <w:szCs w:val="23"/>
        </w:rPr>
        <w:t>ing</w:t>
      </w:r>
      <w:r w:rsidR="004F3C37">
        <w:rPr>
          <w:rFonts w:asciiTheme="majorHAnsi" w:hAnsiTheme="majorHAnsi" w:cstheme="majorBidi"/>
          <w:sz w:val="23"/>
          <w:szCs w:val="23"/>
        </w:rPr>
        <w:t xml:space="preserve"> them</w:t>
      </w:r>
      <w:r w:rsidR="004F3C37" w:rsidRPr="00184EB6">
        <w:rPr>
          <w:rFonts w:asciiTheme="majorHAnsi" w:hAnsiTheme="majorHAnsi" w:cstheme="majorBidi"/>
          <w:sz w:val="23"/>
          <w:szCs w:val="23"/>
        </w:rPr>
        <w:t xml:space="preserve"> </w:t>
      </w:r>
      <w:r w:rsidRPr="00184EB6">
        <w:rPr>
          <w:rFonts w:asciiTheme="majorHAnsi" w:hAnsiTheme="majorHAnsi" w:cstheme="majorBidi"/>
          <w:sz w:val="23"/>
          <w:szCs w:val="23"/>
        </w:rPr>
        <w:t>appropriately</w:t>
      </w:r>
      <w:r w:rsidR="004F3C37">
        <w:rPr>
          <w:rFonts w:asciiTheme="majorHAnsi" w:hAnsiTheme="majorHAnsi" w:cstheme="majorBidi"/>
          <w:sz w:val="23"/>
          <w:szCs w:val="23"/>
        </w:rPr>
        <w:t>;</w:t>
      </w:r>
      <w:r w:rsidRPr="00184EB6">
        <w:rPr>
          <w:rFonts w:asciiTheme="majorHAnsi" w:hAnsiTheme="majorHAnsi" w:cstheme="majorBidi"/>
          <w:sz w:val="23"/>
          <w:szCs w:val="23"/>
        </w:rPr>
        <w:t xml:space="preserve"> </w:t>
      </w:r>
      <w:r w:rsidR="00852926">
        <w:rPr>
          <w:rFonts w:asciiTheme="majorHAnsi" w:hAnsiTheme="majorHAnsi" w:cstheme="majorBidi"/>
          <w:sz w:val="23"/>
          <w:szCs w:val="23"/>
        </w:rPr>
        <w:t>taking a</w:t>
      </w:r>
      <w:r w:rsidR="00852926" w:rsidRPr="00852926">
        <w:rPr>
          <w:rFonts w:asciiTheme="majorHAnsi" w:hAnsiTheme="majorHAnsi" w:cstheme="majorBidi"/>
          <w:sz w:val="23"/>
          <w:szCs w:val="23"/>
        </w:rPr>
        <w:t xml:space="preserve"> systemic and holistic approach</w:t>
      </w:r>
      <w:r w:rsidR="00852926">
        <w:rPr>
          <w:rFonts w:asciiTheme="majorHAnsi" w:hAnsiTheme="majorHAnsi" w:cstheme="majorBidi"/>
          <w:sz w:val="23"/>
          <w:szCs w:val="23"/>
        </w:rPr>
        <w:t xml:space="preserve">; </w:t>
      </w:r>
      <w:r w:rsidRPr="00184EB6">
        <w:rPr>
          <w:rFonts w:asciiTheme="majorHAnsi" w:hAnsiTheme="majorHAnsi" w:cstheme="majorBidi"/>
          <w:sz w:val="23"/>
          <w:szCs w:val="23"/>
        </w:rPr>
        <w:t xml:space="preserve">and co-designing future </w:t>
      </w:r>
      <w:r w:rsidR="0088084B">
        <w:rPr>
          <w:rFonts w:asciiTheme="majorHAnsi" w:hAnsiTheme="majorHAnsi" w:cstheme="majorBidi"/>
          <w:sz w:val="23"/>
          <w:szCs w:val="23"/>
        </w:rPr>
        <w:t xml:space="preserve">initiatives </w:t>
      </w:r>
      <w:r w:rsidR="00536B45">
        <w:rPr>
          <w:rFonts w:asciiTheme="majorHAnsi" w:hAnsiTheme="majorHAnsi" w:cstheme="majorBidi"/>
          <w:sz w:val="23"/>
          <w:szCs w:val="23"/>
        </w:rPr>
        <w:t xml:space="preserve">in a way that is </w:t>
      </w:r>
      <w:r w:rsidR="0088084B">
        <w:rPr>
          <w:rFonts w:asciiTheme="majorHAnsi" w:hAnsiTheme="majorHAnsi" w:cstheme="majorBidi"/>
          <w:sz w:val="23"/>
          <w:szCs w:val="23"/>
        </w:rPr>
        <w:t>genuinely</w:t>
      </w:r>
      <w:r>
        <w:rPr>
          <w:rFonts w:asciiTheme="majorHAnsi" w:hAnsiTheme="majorHAnsi" w:cstheme="majorBidi"/>
          <w:sz w:val="23"/>
          <w:szCs w:val="23"/>
        </w:rPr>
        <w:t xml:space="preserve"> inclusive</w:t>
      </w:r>
      <w:r w:rsidR="004F3C37">
        <w:rPr>
          <w:rFonts w:asciiTheme="majorHAnsi" w:hAnsiTheme="majorHAnsi" w:cstheme="majorBidi"/>
          <w:sz w:val="23"/>
          <w:szCs w:val="23"/>
        </w:rPr>
        <w:t xml:space="preserve"> and</w:t>
      </w:r>
      <w:r w:rsidR="0088084B">
        <w:rPr>
          <w:rFonts w:asciiTheme="majorHAnsi" w:hAnsiTheme="majorHAnsi" w:cstheme="majorBidi"/>
          <w:sz w:val="23"/>
          <w:szCs w:val="23"/>
        </w:rPr>
        <w:t xml:space="preserve"> </w:t>
      </w:r>
      <w:r>
        <w:rPr>
          <w:rFonts w:asciiTheme="majorHAnsi" w:hAnsiTheme="majorHAnsi" w:cstheme="majorBidi"/>
          <w:sz w:val="23"/>
          <w:szCs w:val="23"/>
        </w:rPr>
        <w:t>participatory</w:t>
      </w:r>
      <w:r w:rsidRPr="00184EB6">
        <w:rPr>
          <w:rFonts w:asciiTheme="majorHAnsi" w:hAnsiTheme="majorHAnsi" w:cstheme="majorBidi"/>
          <w:sz w:val="23"/>
          <w:szCs w:val="23"/>
        </w:rPr>
        <w:t>.</w:t>
      </w:r>
    </w:p>
    <w:p w14:paraId="48511DD2" w14:textId="01AB147D" w:rsidR="00F00E3D" w:rsidRPr="00FB12F7" w:rsidRDefault="00F00E3D" w:rsidP="009B2FA7">
      <w:pPr>
        <w:spacing w:line="276" w:lineRule="auto"/>
        <w:rPr>
          <w:rFonts w:asciiTheme="majorHAnsi" w:hAnsiTheme="majorHAnsi" w:cstheme="majorBidi"/>
          <w:sz w:val="23"/>
          <w:szCs w:val="23"/>
        </w:rPr>
      </w:pPr>
      <w:r w:rsidRPr="00065573">
        <w:rPr>
          <w:rFonts w:asciiTheme="majorHAnsi" w:hAnsiTheme="majorHAnsi" w:cstheme="majorBidi"/>
          <w:b/>
          <w:bCs/>
          <w:sz w:val="23"/>
          <w:szCs w:val="23"/>
        </w:rPr>
        <w:t>How?</w:t>
      </w:r>
      <w:r>
        <w:rPr>
          <w:rFonts w:asciiTheme="majorHAnsi" w:hAnsiTheme="majorHAnsi" w:cstheme="majorBidi"/>
          <w:b/>
          <w:bCs/>
          <w:sz w:val="23"/>
          <w:szCs w:val="23"/>
        </w:rPr>
        <w:t xml:space="preserve"> </w:t>
      </w:r>
      <w:r>
        <w:rPr>
          <w:rFonts w:asciiTheme="majorHAnsi" w:hAnsiTheme="majorHAnsi" w:cstheme="majorBidi"/>
          <w:sz w:val="23"/>
          <w:szCs w:val="23"/>
        </w:rPr>
        <w:t>Six support</w:t>
      </w:r>
      <w:r w:rsidR="00852926">
        <w:rPr>
          <w:rFonts w:asciiTheme="majorHAnsi" w:hAnsiTheme="majorHAnsi" w:cstheme="majorBidi"/>
          <w:sz w:val="23"/>
          <w:szCs w:val="23"/>
        </w:rPr>
        <w:t>ing</w:t>
      </w:r>
      <w:r>
        <w:rPr>
          <w:rFonts w:asciiTheme="majorHAnsi" w:hAnsiTheme="majorHAnsi" w:cstheme="majorBidi"/>
          <w:sz w:val="23"/>
          <w:szCs w:val="23"/>
        </w:rPr>
        <w:t xml:space="preserve"> activities are recommended</w:t>
      </w:r>
      <w:r w:rsidR="00C351F0">
        <w:rPr>
          <w:rFonts w:asciiTheme="majorHAnsi" w:hAnsiTheme="majorHAnsi" w:cstheme="majorBidi"/>
          <w:sz w:val="23"/>
          <w:szCs w:val="23"/>
        </w:rPr>
        <w:t xml:space="preserve"> for action</w:t>
      </w:r>
      <w:r>
        <w:rPr>
          <w:rFonts w:asciiTheme="majorHAnsi" w:hAnsiTheme="majorHAnsi" w:cstheme="majorBidi"/>
          <w:sz w:val="23"/>
          <w:szCs w:val="23"/>
        </w:rPr>
        <w:t>:</w:t>
      </w:r>
    </w:p>
    <w:p w14:paraId="6AF1D030" w14:textId="2BBB0BFD" w:rsidR="00F00E3D" w:rsidRDefault="00F00E3D" w:rsidP="009B2FA7">
      <w:pPr>
        <w:spacing w:line="276" w:lineRule="auto"/>
        <w:rPr>
          <w:rFonts w:asciiTheme="majorHAnsi" w:eastAsiaTheme="majorEastAsia" w:hAnsiTheme="majorHAnsi" w:cstheme="majorBidi"/>
          <w:sz w:val="23"/>
          <w:szCs w:val="23"/>
        </w:rPr>
      </w:pPr>
      <w:r w:rsidRPr="00C351F0">
        <w:rPr>
          <w:rFonts w:cstheme="minorHAnsi"/>
          <w:b/>
          <w:bCs/>
          <w:color w:val="2E74B5" w:themeColor="accent5" w:themeShade="BF"/>
          <w:sz w:val="23"/>
          <w:szCs w:val="23"/>
        </w:rPr>
        <w:t>1.1</w:t>
      </w:r>
      <w:r w:rsidRPr="00C351F0">
        <w:rPr>
          <w:rFonts w:asciiTheme="majorHAnsi" w:hAnsiTheme="majorHAnsi" w:cstheme="majorBidi"/>
          <w:color w:val="2E74B5" w:themeColor="accent5" w:themeShade="BF"/>
          <w:sz w:val="23"/>
          <w:szCs w:val="23"/>
        </w:rPr>
        <w:t xml:space="preserve"> </w:t>
      </w:r>
      <w:r w:rsidR="00852926" w:rsidRPr="00852926">
        <w:rPr>
          <w:rFonts w:asciiTheme="majorHAnsi" w:hAnsiTheme="majorHAnsi" w:cstheme="majorBidi"/>
          <w:sz w:val="23"/>
          <w:szCs w:val="23"/>
        </w:rPr>
        <w:t xml:space="preserve">That </w:t>
      </w:r>
      <w:r w:rsidR="001B7DDF">
        <w:rPr>
          <w:rFonts w:asciiTheme="majorHAnsi" w:hAnsiTheme="majorHAnsi" w:cstheme="majorBidi"/>
          <w:sz w:val="23"/>
          <w:szCs w:val="23"/>
        </w:rPr>
        <w:t>CoGG</w:t>
      </w:r>
      <w:r w:rsidRPr="428BD051">
        <w:rPr>
          <w:rFonts w:asciiTheme="majorHAnsi" w:hAnsiTheme="majorHAnsi" w:cstheme="majorBidi"/>
          <w:sz w:val="23"/>
          <w:szCs w:val="23"/>
        </w:rPr>
        <w:t xml:space="preserve"> support</w:t>
      </w:r>
      <w:r w:rsidR="000166FC">
        <w:rPr>
          <w:rFonts w:asciiTheme="majorHAnsi" w:hAnsiTheme="majorHAnsi" w:cstheme="majorBidi"/>
          <w:sz w:val="23"/>
          <w:szCs w:val="23"/>
        </w:rPr>
        <w:t>s</w:t>
      </w:r>
      <w:r w:rsidRPr="428BD051">
        <w:rPr>
          <w:rFonts w:asciiTheme="majorHAnsi" w:hAnsiTheme="majorHAnsi" w:cstheme="majorBidi"/>
          <w:sz w:val="23"/>
          <w:szCs w:val="23"/>
        </w:rPr>
        <w:t xml:space="preserve"> the use of inclusive co-research and co-design approaches </w:t>
      </w:r>
      <w:r w:rsidR="00852926">
        <w:rPr>
          <w:rFonts w:asciiTheme="majorHAnsi" w:hAnsiTheme="majorHAnsi" w:cstheme="majorBidi"/>
          <w:sz w:val="23"/>
          <w:szCs w:val="23"/>
        </w:rPr>
        <w:t>to develop, implement, and evaluate</w:t>
      </w:r>
      <w:r w:rsidRPr="009A787F">
        <w:rPr>
          <w:rFonts w:asciiTheme="majorHAnsi" w:eastAsiaTheme="majorEastAsia" w:hAnsiTheme="majorHAnsi" w:cstheme="majorBidi"/>
          <w:sz w:val="23"/>
          <w:szCs w:val="23"/>
        </w:rPr>
        <w:t xml:space="preserve"> all</w:t>
      </w:r>
      <w:r w:rsidR="00E60236">
        <w:rPr>
          <w:rFonts w:asciiTheme="majorHAnsi" w:eastAsiaTheme="majorEastAsia" w:hAnsiTheme="majorHAnsi" w:cstheme="majorBidi"/>
          <w:sz w:val="23"/>
          <w:szCs w:val="23"/>
        </w:rPr>
        <w:t xml:space="preserve"> community</w:t>
      </w:r>
      <w:r w:rsidRPr="009A787F">
        <w:rPr>
          <w:rFonts w:asciiTheme="majorHAnsi" w:eastAsiaTheme="majorEastAsia" w:hAnsiTheme="majorHAnsi" w:cstheme="majorBidi"/>
          <w:sz w:val="23"/>
          <w:szCs w:val="23"/>
        </w:rPr>
        <w:t xml:space="preserve"> initiatives and programs in Corio, Norlane</w:t>
      </w:r>
      <w:r w:rsidR="00E60236">
        <w:rPr>
          <w:rFonts w:asciiTheme="majorHAnsi" w:eastAsiaTheme="majorEastAsia" w:hAnsiTheme="majorHAnsi" w:cstheme="majorBidi"/>
          <w:sz w:val="23"/>
          <w:szCs w:val="23"/>
        </w:rPr>
        <w:t>,</w:t>
      </w:r>
      <w:r w:rsidRPr="009A787F">
        <w:rPr>
          <w:rFonts w:asciiTheme="majorHAnsi" w:eastAsiaTheme="majorEastAsia" w:hAnsiTheme="majorHAnsi" w:cstheme="majorBidi"/>
          <w:sz w:val="23"/>
          <w:szCs w:val="23"/>
        </w:rPr>
        <w:t xml:space="preserve"> and Wittington</w:t>
      </w:r>
      <w:r w:rsidR="003430A3">
        <w:rPr>
          <w:rFonts w:asciiTheme="majorHAnsi" w:eastAsiaTheme="majorEastAsia" w:hAnsiTheme="majorHAnsi" w:cstheme="majorBidi"/>
          <w:sz w:val="23"/>
          <w:szCs w:val="23"/>
        </w:rPr>
        <w:t xml:space="preserve"> in collaboration with residents</w:t>
      </w:r>
      <w:r w:rsidRPr="009A787F">
        <w:rPr>
          <w:rFonts w:asciiTheme="majorHAnsi" w:eastAsiaTheme="majorEastAsia" w:hAnsiTheme="majorHAnsi" w:cstheme="majorBidi"/>
          <w:sz w:val="23"/>
          <w:szCs w:val="23"/>
        </w:rPr>
        <w:t>.</w:t>
      </w:r>
      <w:r w:rsidRPr="428BD051">
        <w:rPr>
          <w:rFonts w:asciiTheme="majorHAnsi" w:eastAsiaTheme="majorEastAsia" w:hAnsiTheme="majorHAnsi" w:cstheme="majorBidi"/>
          <w:sz w:val="23"/>
          <w:szCs w:val="23"/>
        </w:rPr>
        <w:t xml:space="preserve"> </w:t>
      </w:r>
    </w:p>
    <w:p w14:paraId="59CCA58A" w14:textId="24903391" w:rsidR="00F00E3D" w:rsidRDefault="00F00E3D" w:rsidP="009B2FA7">
      <w:pPr>
        <w:spacing w:line="276" w:lineRule="auto"/>
        <w:rPr>
          <w:rFonts w:asciiTheme="majorHAnsi" w:hAnsiTheme="majorHAnsi" w:cstheme="majorBidi"/>
          <w:sz w:val="23"/>
          <w:szCs w:val="23"/>
        </w:rPr>
      </w:pPr>
      <w:r w:rsidRPr="00C351F0">
        <w:rPr>
          <w:rFonts w:eastAsiaTheme="majorEastAsia" w:cstheme="minorHAnsi"/>
          <w:b/>
          <w:bCs/>
          <w:color w:val="2E74B5" w:themeColor="accent5" w:themeShade="BF"/>
          <w:sz w:val="23"/>
          <w:szCs w:val="23"/>
        </w:rPr>
        <w:t>1.2</w:t>
      </w:r>
      <w:r w:rsidRPr="00C351F0">
        <w:rPr>
          <w:rFonts w:asciiTheme="majorHAnsi" w:eastAsiaTheme="majorEastAsia" w:hAnsiTheme="majorHAnsi" w:cstheme="majorBidi"/>
          <w:color w:val="2E74B5" w:themeColor="accent5" w:themeShade="BF"/>
          <w:sz w:val="23"/>
          <w:szCs w:val="23"/>
        </w:rPr>
        <w:t xml:space="preserve"> </w:t>
      </w:r>
      <w:r w:rsidR="00E60236" w:rsidRPr="00E60236">
        <w:rPr>
          <w:rFonts w:asciiTheme="majorHAnsi" w:eastAsiaTheme="majorEastAsia" w:hAnsiTheme="majorHAnsi" w:cstheme="majorBidi"/>
          <w:sz w:val="23"/>
          <w:szCs w:val="23"/>
        </w:rPr>
        <w:t xml:space="preserve">That </w:t>
      </w:r>
      <w:r w:rsidR="001B7DDF">
        <w:rPr>
          <w:rFonts w:asciiTheme="majorHAnsi" w:eastAsiaTheme="majorEastAsia" w:hAnsiTheme="majorHAnsi" w:cstheme="majorBidi"/>
          <w:sz w:val="23"/>
          <w:szCs w:val="23"/>
        </w:rPr>
        <w:t>CoGG</w:t>
      </w:r>
      <w:r w:rsidRPr="00E60236">
        <w:rPr>
          <w:rFonts w:asciiTheme="majorHAnsi" w:eastAsiaTheme="majorEastAsia" w:hAnsiTheme="majorHAnsi" w:cstheme="majorBidi"/>
          <w:sz w:val="23"/>
          <w:szCs w:val="23"/>
        </w:rPr>
        <w:t xml:space="preserve"> </w:t>
      </w:r>
      <w:r w:rsidRPr="00E60236">
        <w:rPr>
          <w:rFonts w:asciiTheme="majorHAnsi" w:hAnsiTheme="majorHAnsi" w:cstheme="majorBidi"/>
          <w:sz w:val="23"/>
          <w:szCs w:val="23"/>
        </w:rPr>
        <w:t>support</w:t>
      </w:r>
      <w:r w:rsidR="000166FC">
        <w:rPr>
          <w:rFonts w:asciiTheme="majorHAnsi" w:hAnsiTheme="majorHAnsi" w:cstheme="majorBidi"/>
          <w:sz w:val="23"/>
          <w:szCs w:val="23"/>
        </w:rPr>
        <w:t>s</w:t>
      </w:r>
      <w:r w:rsidRPr="00E60236">
        <w:rPr>
          <w:rFonts w:asciiTheme="majorHAnsi" w:hAnsiTheme="majorHAnsi" w:cstheme="majorBidi"/>
          <w:sz w:val="23"/>
          <w:szCs w:val="23"/>
        </w:rPr>
        <w:t xml:space="preserve"> the bringing</w:t>
      </w:r>
      <w:r w:rsidR="00E60236">
        <w:rPr>
          <w:rFonts w:asciiTheme="majorHAnsi" w:hAnsiTheme="majorHAnsi" w:cstheme="majorBidi"/>
          <w:sz w:val="23"/>
          <w:szCs w:val="23"/>
        </w:rPr>
        <w:t>-</w:t>
      </w:r>
      <w:r w:rsidRPr="00E60236">
        <w:rPr>
          <w:rFonts w:asciiTheme="majorHAnsi" w:hAnsiTheme="majorHAnsi" w:cstheme="majorBidi"/>
          <w:sz w:val="23"/>
          <w:szCs w:val="23"/>
        </w:rPr>
        <w:t xml:space="preserve">together of existing knowledge and </w:t>
      </w:r>
      <w:r w:rsidR="009D6E5D">
        <w:rPr>
          <w:rFonts w:asciiTheme="majorHAnsi" w:hAnsiTheme="majorHAnsi" w:cstheme="majorBidi"/>
          <w:sz w:val="23"/>
          <w:szCs w:val="23"/>
        </w:rPr>
        <w:t xml:space="preserve">Council </w:t>
      </w:r>
      <w:r w:rsidR="00413224">
        <w:rPr>
          <w:rFonts w:asciiTheme="majorHAnsi" w:hAnsiTheme="majorHAnsi" w:cstheme="majorBidi"/>
          <w:sz w:val="23"/>
          <w:szCs w:val="23"/>
        </w:rPr>
        <w:t>staff</w:t>
      </w:r>
      <w:r w:rsidRPr="00E60236">
        <w:rPr>
          <w:rFonts w:asciiTheme="majorHAnsi" w:hAnsiTheme="majorHAnsi" w:cstheme="majorBidi"/>
          <w:sz w:val="23"/>
          <w:szCs w:val="23"/>
        </w:rPr>
        <w:t xml:space="preserve"> who have an interest in these three localities</w:t>
      </w:r>
      <w:r w:rsidR="00E60236">
        <w:rPr>
          <w:rFonts w:asciiTheme="majorHAnsi" w:hAnsiTheme="majorHAnsi" w:cstheme="majorBidi"/>
          <w:sz w:val="23"/>
          <w:szCs w:val="23"/>
        </w:rPr>
        <w:t>,</w:t>
      </w:r>
      <w:r w:rsidRPr="00E60236">
        <w:rPr>
          <w:rFonts w:asciiTheme="majorHAnsi" w:hAnsiTheme="majorHAnsi" w:cstheme="majorBidi"/>
          <w:sz w:val="23"/>
          <w:szCs w:val="23"/>
        </w:rPr>
        <w:t xml:space="preserve"> via a cross</w:t>
      </w:r>
      <w:r w:rsidR="009D6E5D">
        <w:rPr>
          <w:rFonts w:asciiTheme="majorHAnsi" w:hAnsiTheme="majorHAnsi" w:cstheme="majorBidi"/>
          <w:sz w:val="23"/>
          <w:szCs w:val="23"/>
        </w:rPr>
        <w:t>-</w:t>
      </w:r>
      <w:r w:rsidRPr="00E60236">
        <w:rPr>
          <w:rFonts w:asciiTheme="majorHAnsi" w:hAnsiTheme="majorHAnsi" w:cstheme="majorBidi"/>
          <w:sz w:val="23"/>
          <w:szCs w:val="23"/>
        </w:rPr>
        <w:t>departmental Lead Group that meet</w:t>
      </w:r>
      <w:r w:rsidR="009D6E5D">
        <w:rPr>
          <w:rFonts w:asciiTheme="majorHAnsi" w:hAnsiTheme="majorHAnsi" w:cstheme="majorBidi"/>
          <w:sz w:val="23"/>
          <w:szCs w:val="23"/>
        </w:rPr>
        <w:t>s</w:t>
      </w:r>
      <w:r w:rsidRPr="00E60236">
        <w:rPr>
          <w:rFonts w:asciiTheme="majorHAnsi" w:hAnsiTheme="majorHAnsi" w:cstheme="majorBidi"/>
          <w:sz w:val="23"/>
          <w:szCs w:val="23"/>
        </w:rPr>
        <w:t xml:space="preserve"> regularly to coordinate plans and activities.</w:t>
      </w:r>
    </w:p>
    <w:p w14:paraId="1AF792C0" w14:textId="4CC753D2" w:rsidR="00F00E3D" w:rsidRDefault="00F00E3D" w:rsidP="009B2FA7">
      <w:pPr>
        <w:spacing w:line="276" w:lineRule="auto"/>
        <w:rPr>
          <w:rFonts w:asciiTheme="majorHAnsi" w:hAnsiTheme="majorHAnsi" w:cstheme="majorBidi"/>
          <w:sz w:val="23"/>
          <w:szCs w:val="23"/>
        </w:rPr>
      </w:pPr>
      <w:r w:rsidRPr="00C351F0">
        <w:rPr>
          <w:rFonts w:cstheme="minorHAnsi"/>
          <w:b/>
          <w:bCs/>
          <w:color w:val="2E74B5" w:themeColor="accent5" w:themeShade="BF"/>
          <w:sz w:val="23"/>
          <w:szCs w:val="23"/>
        </w:rPr>
        <w:t>1.3</w:t>
      </w:r>
      <w:r w:rsidRPr="00C351F0">
        <w:rPr>
          <w:rFonts w:asciiTheme="majorHAnsi" w:hAnsiTheme="majorHAnsi" w:cstheme="majorBidi"/>
          <w:color w:val="2E74B5" w:themeColor="accent5" w:themeShade="BF"/>
          <w:sz w:val="23"/>
          <w:szCs w:val="23"/>
        </w:rPr>
        <w:t xml:space="preserve"> </w:t>
      </w:r>
      <w:r w:rsidRPr="008506A8">
        <w:rPr>
          <w:rFonts w:asciiTheme="majorHAnsi" w:hAnsiTheme="majorHAnsi" w:cstheme="majorBidi"/>
          <w:sz w:val="23"/>
          <w:szCs w:val="23"/>
        </w:rPr>
        <w:t>Th</w:t>
      </w:r>
      <w:r w:rsidR="009D6E5D">
        <w:rPr>
          <w:rFonts w:asciiTheme="majorHAnsi" w:hAnsiTheme="majorHAnsi" w:cstheme="majorBidi"/>
          <w:sz w:val="23"/>
          <w:szCs w:val="23"/>
        </w:rPr>
        <w:t>at the</w:t>
      </w:r>
      <w:r w:rsidRPr="008506A8">
        <w:rPr>
          <w:rFonts w:asciiTheme="majorHAnsi" w:hAnsiTheme="majorHAnsi" w:cstheme="majorBidi"/>
          <w:sz w:val="23"/>
          <w:szCs w:val="23"/>
        </w:rPr>
        <w:t xml:space="preserve"> </w:t>
      </w:r>
      <w:r w:rsidR="001B7DDF">
        <w:rPr>
          <w:rFonts w:asciiTheme="majorHAnsi" w:hAnsiTheme="majorHAnsi" w:cstheme="majorBidi"/>
          <w:sz w:val="23"/>
          <w:szCs w:val="23"/>
        </w:rPr>
        <w:t>CoGG</w:t>
      </w:r>
      <w:r w:rsidRPr="008506A8">
        <w:rPr>
          <w:rFonts w:asciiTheme="majorHAnsi" w:hAnsiTheme="majorHAnsi" w:cstheme="majorBidi"/>
          <w:sz w:val="23"/>
          <w:szCs w:val="23"/>
        </w:rPr>
        <w:t xml:space="preserve"> Lead Group ensures </w:t>
      </w:r>
      <w:r w:rsidR="009D6E5D">
        <w:rPr>
          <w:rFonts w:asciiTheme="majorHAnsi" w:hAnsiTheme="majorHAnsi" w:cstheme="majorBidi"/>
          <w:sz w:val="23"/>
          <w:szCs w:val="23"/>
        </w:rPr>
        <w:t>th</w:t>
      </w:r>
      <w:r w:rsidR="00074C14">
        <w:rPr>
          <w:rFonts w:asciiTheme="majorHAnsi" w:hAnsiTheme="majorHAnsi" w:cstheme="majorBidi"/>
          <w:sz w:val="23"/>
          <w:szCs w:val="23"/>
        </w:rPr>
        <w:t>e</w:t>
      </w:r>
      <w:r w:rsidR="009D6E5D">
        <w:rPr>
          <w:rFonts w:asciiTheme="majorHAnsi" w:hAnsiTheme="majorHAnsi" w:cstheme="majorBidi"/>
          <w:sz w:val="23"/>
          <w:szCs w:val="23"/>
        </w:rPr>
        <w:t xml:space="preserve"> </w:t>
      </w:r>
      <w:r w:rsidRPr="008506A8">
        <w:rPr>
          <w:rFonts w:asciiTheme="majorHAnsi" w:hAnsiTheme="majorHAnsi" w:cstheme="majorBidi"/>
          <w:sz w:val="23"/>
          <w:szCs w:val="23"/>
        </w:rPr>
        <w:t>genuine, long</w:t>
      </w:r>
      <w:r w:rsidR="009D6E5D">
        <w:rPr>
          <w:rFonts w:asciiTheme="majorHAnsi" w:hAnsiTheme="majorHAnsi" w:cstheme="majorBidi"/>
          <w:sz w:val="23"/>
          <w:szCs w:val="23"/>
        </w:rPr>
        <w:t>-</w:t>
      </w:r>
      <w:r w:rsidRPr="008506A8">
        <w:rPr>
          <w:rFonts w:asciiTheme="majorHAnsi" w:hAnsiTheme="majorHAnsi" w:cstheme="majorBidi"/>
          <w:sz w:val="23"/>
          <w:szCs w:val="23"/>
        </w:rPr>
        <w:t>term</w:t>
      </w:r>
      <w:r w:rsidR="009D6E5D">
        <w:rPr>
          <w:rFonts w:asciiTheme="majorHAnsi" w:hAnsiTheme="majorHAnsi" w:cstheme="majorBidi"/>
          <w:sz w:val="23"/>
          <w:szCs w:val="23"/>
        </w:rPr>
        <w:t>,</w:t>
      </w:r>
      <w:r w:rsidRPr="008506A8">
        <w:rPr>
          <w:rFonts w:asciiTheme="majorHAnsi" w:hAnsiTheme="majorHAnsi" w:cstheme="majorBidi"/>
          <w:sz w:val="23"/>
          <w:szCs w:val="23"/>
        </w:rPr>
        <w:t xml:space="preserve"> and supported co-design of plans and programs </w:t>
      </w:r>
      <w:r w:rsidR="00074C14">
        <w:rPr>
          <w:rFonts w:asciiTheme="majorHAnsi" w:hAnsiTheme="majorHAnsi" w:cstheme="majorBidi"/>
          <w:sz w:val="23"/>
          <w:szCs w:val="23"/>
        </w:rPr>
        <w:t>via</w:t>
      </w:r>
      <w:r w:rsidR="008C47E0">
        <w:rPr>
          <w:rFonts w:asciiTheme="majorHAnsi" w:hAnsiTheme="majorHAnsi" w:cstheme="majorBidi"/>
          <w:sz w:val="23"/>
          <w:szCs w:val="23"/>
        </w:rPr>
        <w:t xml:space="preserve"> regular</w:t>
      </w:r>
      <w:r w:rsidRPr="008506A8">
        <w:rPr>
          <w:rFonts w:asciiTheme="majorHAnsi" w:hAnsiTheme="majorHAnsi" w:cstheme="majorBidi"/>
          <w:sz w:val="23"/>
          <w:szCs w:val="23"/>
        </w:rPr>
        <w:t xml:space="preserve"> </w:t>
      </w:r>
      <w:r w:rsidR="00074C14">
        <w:rPr>
          <w:rFonts w:asciiTheme="majorHAnsi" w:hAnsiTheme="majorHAnsi" w:cstheme="majorBidi"/>
          <w:sz w:val="23"/>
          <w:szCs w:val="23"/>
        </w:rPr>
        <w:t xml:space="preserve">collaboration and </w:t>
      </w:r>
      <w:r w:rsidRPr="008506A8">
        <w:rPr>
          <w:rFonts w:asciiTheme="majorHAnsi" w:hAnsiTheme="majorHAnsi" w:cstheme="majorBidi"/>
          <w:sz w:val="23"/>
          <w:szCs w:val="23"/>
        </w:rPr>
        <w:t>engagement</w:t>
      </w:r>
      <w:r w:rsidR="008C47E0" w:rsidRPr="008506A8">
        <w:rPr>
          <w:rFonts w:asciiTheme="majorHAnsi" w:hAnsiTheme="majorHAnsi" w:cstheme="majorBidi"/>
          <w:sz w:val="23"/>
          <w:szCs w:val="23"/>
        </w:rPr>
        <w:t xml:space="preserve"> </w:t>
      </w:r>
      <w:r w:rsidRPr="008506A8">
        <w:rPr>
          <w:rFonts w:asciiTheme="majorHAnsi" w:hAnsiTheme="majorHAnsi" w:cstheme="majorBidi"/>
          <w:sz w:val="23"/>
          <w:szCs w:val="23"/>
        </w:rPr>
        <w:t>sessions with paid residents in the three localities</w:t>
      </w:r>
      <w:r w:rsidR="00074C14">
        <w:rPr>
          <w:rFonts w:asciiTheme="majorHAnsi" w:hAnsiTheme="majorHAnsi" w:cstheme="majorBidi"/>
          <w:sz w:val="23"/>
          <w:szCs w:val="23"/>
        </w:rPr>
        <w:t>.</w:t>
      </w:r>
    </w:p>
    <w:p w14:paraId="26C58DA5" w14:textId="3D40771C" w:rsidR="00F00E3D" w:rsidRDefault="00F00E3D" w:rsidP="78F9AF82">
      <w:pPr>
        <w:spacing w:line="276" w:lineRule="auto"/>
        <w:rPr>
          <w:rFonts w:asciiTheme="majorHAnsi" w:hAnsiTheme="majorHAnsi" w:cstheme="majorBidi"/>
          <w:sz w:val="23"/>
          <w:szCs w:val="23"/>
        </w:rPr>
      </w:pPr>
      <w:r w:rsidRPr="78F9AF82">
        <w:rPr>
          <w:b/>
          <w:bCs/>
          <w:color w:val="2E74B5" w:themeColor="accent5" w:themeShade="BF"/>
          <w:sz w:val="23"/>
          <w:szCs w:val="23"/>
        </w:rPr>
        <w:t>1.4</w:t>
      </w:r>
      <w:r w:rsidRPr="78F9AF82">
        <w:rPr>
          <w:rFonts w:asciiTheme="majorHAnsi" w:hAnsiTheme="majorHAnsi" w:cstheme="majorBidi"/>
          <w:color w:val="2E74B5" w:themeColor="accent5" w:themeShade="BF"/>
          <w:sz w:val="23"/>
          <w:szCs w:val="23"/>
        </w:rPr>
        <w:t xml:space="preserve"> </w:t>
      </w:r>
      <w:r w:rsidR="00074C14" w:rsidRPr="78F9AF82">
        <w:rPr>
          <w:rFonts w:asciiTheme="majorHAnsi" w:hAnsiTheme="majorHAnsi" w:cstheme="majorBidi"/>
          <w:sz w:val="23"/>
          <w:szCs w:val="23"/>
        </w:rPr>
        <w:t xml:space="preserve">That </w:t>
      </w:r>
      <w:r w:rsidR="001B7DDF" w:rsidRPr="78F9AF82">
        <w:rPr>
          <w:rFonts w:asciiTheme="majorHAnsi" w:hAnsiTheme="majorHAnsi" w:cstheme="majorBidi"/>
          <w:sz w:val="23"/>
          <w:szCs w:val="23"/>
        </w:rPr>
        <w:t>CoGG</w:t>
      </w:r>
      <w:r w:rsidR="00074C14" w:rsidRPr="78F9AF82">
        <w:rPr>
          <w:rFonts w:asciiTheme="majorHAnsi" w:hAnsiTheme="majorHAnsi" w:cstheme="majorBidi"/>
          <w:sz w:val="23"/>
          <w:szCs w:val="23"/>
        </w:rPr>
        <w:t xml:space="preserve">, </w:t>
      </w:r>
      <w:r w:rsidRPr="78F9AF82">
        <w:rPr>
          <w:rFonts w:asciiTheme="majorHAnsi" w:hAnsiTheme="majorHAnsi" w:cstheme="majorBidi"/>
          <w:sz w:val="23"/>
          <w:szCs w:val="23"/>
        </w:rPr>
        <w:t>in collaboration with the three communities, develop</w:t>
      </w:r>
      <w:r w:rsidR="00074C14" w:rsidRPr="78F9AF82">
        <w:rPr>
          <w:rFonts w:asciiTheme="majorHAnsi" w:hAnsiTheme="majorHAnsi" w:cstheme="majorBidi"/>
          <w:sz w:val="23"/>
          <w:szCs w:val="23"/>
        </w:rPr>
        <w:t>s</w:t>
      </w:r>
      <w:r w:rsidRPr="78F9AF82">
        <w:rPr>
          <w:rFonts w:asciiTheme="majorHAnsi" w:hAnsiTheme="majorHAnsi" w:cstheme="majorBidi"/>
          <w:sz w:val="23"/>
          <w:szCs w:val="23"/>
        </w:rPr>
        <w:t xml:space="preserve"> a set of </w:t>
      </w:r>
      <w:r w:rsidR="000166FC" w:rsidRPr="78F9AF82">
        <w:rPr>
          <w:rFonts w:asciiTheme="majorHAnsi" w:hAnsiTheme="majorHAnsi" w:cstheme="majorBidi"/>
          <w:sz w:val="23"/>
          <w:szCs w:val="23"/>
        </w:rPr>
        <w:t xml:space="preserve">agreed </w:t>
      </w:r>
      <w:r w:rsidRPr="78F9AF82">
        <w:rPr>
          <w:rFonts w:asciiTheme="majorHAnsi" w:hAnsiTheme="majorHAnsi" w:cstheme="majorBidi"/>
          <w:sz w:val="23"/>
          <w:szCs w:val="23"/>
        </w:rPr>
        <w:t xml:space="preserve">indicators for improvement and a </w:t>
      </w:r>
      <w:r w:rsidR="00074C14" w:rsidRPr="78F9AF82">
        <w:rPr>
          <w:rFonts w:asciiTheme="majorHAnsi" w:hAnsiTheme="majorHAnsi" w:cstheme="majorBidi"/>
          <w:sz w:val="23"/>
          <w:szCs w:val="23"/>
        </w:rPr>
        <w:t>publicly accessibl</w:t>
      </w:r>
      <w:r w:rsidR="0B5BB8AF" w:rsidRPr="78F9AF82">
        <w:rPr>
          <w:rFonts w:asciiTheme="majorHAnsi" w:hAnsiTheme="majorHAnsi" w:cstheme="majorBidi"/>
          <w:sz w:val="23"/>
          <w:szCs w:val="23"/>
        </w:rPr>
        <w:t>e</w:t>
      </w:r>
      <w:r w:rsidR="00074C14" w:rsidRPr="78F9AF82">
        <w:rPr>
          <w:rFonts w:asciiTheme="majorHAnsi" w:hAnsiTheme="majorHAnsi" w:cstheme="majorBidi"/>
          <w:sz w:val="23"/>
          <w:szCs w:val="23"/>
        </w:rPr>
        <w:t xml:space="preserve"> Digital </w:t>
      </w:r>
      <w:r w:rsidRPr="78F9AF82">
        <w:rPr>
          <w:rFonts w:asciiTheme="majorHAnsi" w:hAnsiTheme="majorHAnsi" w:cstheme="majorBidi"/>
          <w:sz w:val="23"/>
          <w:szCs w:val="23"/>
        </w:rPr>
        <w:t>Dashboard to monitor progress.</w:t>
      </w:r>
    </w:p>
    <w:p w14:paraId="03D7A7C5" w14:textId="1C421389" w:rsidR="00F00E3D" w:rsidRPr="008506A8" w:rsidRDefault="00F00E3D" w:rsidP="009B2FA7">
      <w:pPr>
        <w:spacing w:line="276" w:lineRule="auto"/>
        <w:rPr>
          <w:rFonts w:asciiTheme="majorHAnsi" w:hAnsiTheme="majorHAnsi" w:cstheme="majorBidi"/>
          <w:sz w:val="23"/>
          <w:szCs w:val="23"/>
        </w:rPr>
      </w:pPr>
      <w:r w:rsidRPr="00C351F0">
        <w:rPr>
          <w:rFonts w:cstheme="minorHAnsi"/>
          <w:b/>
          <w:bCs/>
          <w:color w:val="2E74B5" w:themeColor="accent5" w:themeShade="BF"/>
          <w:sz w:val="23"/>
          <w:szCs w:val="23"/>
        </w:rPr>
        <w:t>1.5</w:t>
      </w:r>
      <w:r w:rsidRPr="00C351F0">
        <w:rPr>
          <w:rFonts w:asciiTheme="majorHAnsi" w:hAnsiTheme="majorHAnsi" w:cstheme="majorBidi"/>
          <w:color w:val="2E74B5" w:themeColor="accent5" w:themeShade="BF"/>
          <w:sz w:val="23"/>
          <w:szCs w:val="23"/>
        </w:rPr>
        <w:t xml:space="preserve"> </w:t>
      </w:r>
      <w:r w:rsidR="00074C14">
        <w:rPr>
          <w:rFonts w:asciiTheme="majorHAnsi" w:hAnsiTheme="majorHAnsi" w:cstheme="majorBidi"/>
          <w:sz w:val="23"/>
          <w:szCs w:val="23"/>
        </w:rPr>
        <w:t xml:space="preserve">That </w:t>
      </w:r>
      <w:r w:rsidR="001B7DDF">
        <w:rPr>
          <w:rFonts w:asciiTheme="majorHAnsi" w:hAnsiTheme="majorHAnsi" w:cstheme="majorBidi"/>
          <w:sz w:val="23"/>
          <w:szCs w:val="23"/>
        </w:rPr>
        <w:t>CoGG</w:t>
      </w:r>
      <w:r w:rsidRPr="008506A8">
        <w:rPr>
          <w:rFonts w:asciiTheme="majorHAnsi" w:hAnsiTheme="majorHAnsi" w:cstheme="majorBidi"/>
          <w:sz w:val="23"/>
          <w:szCs w:val="23"/>
        </w:rPr>
        <w:t xml:space="preserve"> adequately support –</w:t>
      </w:r>
      <w:r w:rsidR="00074C14">
        <w:rPr>
          <w:rFonts w:asciiTheme="majorHAnsi" w:hAnsiTheme="majorHAnsi" w:cstheme="majorBidi"/>
          <w:sz w:val="23"/>
          <w:szCs w:val="23"/>
        </w:rPr>
        <w:t xml:space="preserve"> both</w:t>
      </w:r>
      <w:r w:rsidRPr="008506A8">
        <w:rPr>
          <w:rFonts w:asciiTheme="majorHAnsi" w:hAnsiTheme="majorHAnsi" w:cstheme="majorBidi"/>
          <w:sz w:val="23"/>
          <w:szCs w:val="23"/>
        </w:rPr>
        <w:t xml:space="preserve"> financially and in kind – proven and effective local organisations and initiatives within the three localities (subject to regular</w:t>
      </w:r>
      <w:r w:rsidR="00074C14">
        <w:rPr>
          <w:rFonts w:asciiTheme="majorHAnsi" w:hAnsiTheme="majorHAnsi" w:cstheme="majorBidi"/>
          <w:sz w:val="23"/>
          <w:szCs w:val="23"/>
        </w:rPr>
        <w:t xml:space="preserve"> </w:t>
      </w:r>
      <w:r w:rsidRPr="008506A8">
        <w:rPr>
          <w:rFonts w:asciiTheme="majorHAnsi" w:hAnsiTheme="majorHAnsi" w:cstheme="majorBidi"/>
          <w:sz w:val="23"/>
          <w:szCs w:val="23"/>
        </w:rPr>
        <w:t>reviews and evaluations)</w:t>
      </w:r>
      <w:r>
        <w:rPr>
          <w:rFonts w:asciiTheme="majorHAnsi" w:hAnsiTheme="majorHAnsi" w:cstheme="majorBidi"/>
          <w:sz w:val="23"/>
          <w:szCs w:val="23"/>
        </w:rPr>
        <w:t>.</w:t>
      </w:r>
    </w:p>
    <w:p w14:paraId="034BE638" w14:textId="66233C03" w:rsidR="00F00E3D" w:rsidRDefault="00F00E3D" w:rsidP="009B2FA7">
      <w:pPr>
        <w:spacing w:line="276" w:lineRule="auto"/>
        <w:rPr>
          <w:rFonts w:asciiTheme="majorHAnsi" w:hAnsiTheme="majorHAnsi" w:cstheme="majorBidi"/>
          <w:sz w:val="23"/>
          <w:szCs w:val="23"/>
        </w:rPr>
      </w:pPr>
      <w:r w:rsidRPr="00C351F0">
        <w:rPr>
          <w:rFonts w:cstheme="minorHAnsi"/>
          <w:b/>
          <w:bCs/>
          <w:color w:val="2E74B5" w:themeColor="accent5" w:themeShade="BF"/>
          <w:sz w:val="23"/>
          <w:szCs w:val="23"/>
        </w:rPr>
        <w:t>1.6</w:t>
      </w:r>
      <w:r w:rsidRPr="00C351F0">
        <w:rPr>
          <w:rFonts w:asciiTheme="majorHAnsi" w:hAnsiTheme="majorHAnsi" w:cstheme="majorBidi"/>
          <w:color w:val="2E74B5" w:themeColor="accent5" w:themeShade="BF"/>
          <w:sz w:val="23"/>
          <w:szCs w:val="23"/>
        </w:rPr>
        <w:t xml:space="preserve"> </w:t>
      </w:r>
      <w:r w:rsidR="00074C14">
        <w:rPr>
          <w:rFonts w:asciiTheme="majorHAnsi" w:hAnsiTheme="majorHAnsi" w:cstheme="majorBidi"/>
          <w:sz w:val="23"/>
          <w:szCs w:val="23"/>
        </w:rPr>
        <w:t>That be</w:t>
      </w:r>
      <w:r w:rsidRPr="00184EB6">
        <w:rPr>
          <w:rFonts w:asciiTheme="majorHAnsi" w:hAnsiTheme="majorHAnsi" w:cstheme="majorBidi"/>
          <w:sz w:val="23"/>
          <w:szCs w:val="23"/>
        </w:rPr>
        <w:t xml:space="preserve">fore any of the subsequent </w:t>
      </w:r>
      <w:r w:rsidR="00074C14">
        <w:rPr>
          <w:rFonts w:asciiTheme="majorHAnsi" w:hAnsiTheme="majorHAnsi" w:cstheme="majorBidi"/>
          <w:sz w:val="23"/>
          <w:szCs w:val="23"/>
        </w:rPr>
        <w:t>R</w:t>
      </w:r>
      <w:r w:rsidRPr="00184EB6">
        <w:rPr>
          <w:rFonts w:asciiTheme="majorHAnsi" w:hAnsiTheme="majorHAnsi" w:cstheme="majorBidi"/>
          <w:sz w:val="23"/>
          <w:szCs w:val="23"/>
        </w:rPr>
        <w:t xml:space="preserve">ecommendations are considered further, they </w:t>
      </w:r>
      <w:r w:rsidR="00074C14">
        <w:rPr>
          <w:rFonts w:asciiTheme="majorHAnsi" w:hAnsiTheme="majorHAnsi" w:cstheme="majorBidi"/>
          <w:sz w:val="23"/>
          <w:szCs w:val="23"/>
        </w:rPr>
        <w:t>must be</w:t>
      </w:r>
      <w:r w:rsidRPr="00184EB6">
        <w:rPr>
          <w:rFonts w:asciiTheme="majorHAnsi" w:hAnsiTheme="majorHAnsi" w:cstheme="majorBidi"/>
          <w:sz w:val="23"/>
          <w:szCs w:val="23"/>
        </w:rPr>
        <w:t xml:space="preserve"> critically assessed by the three communities. </w:t>
      </w:r>
    </w:p>
    <w:p w14:paraId="11CBA7EC" w14:textId="36BB3547" w:rsidR="00F00E3D" w:rsidRDefault="00074C14" w:rsidP="009B2FA7">
      <w:pPr>
        <w:spacing w:line="276" w:lineRule="auto"/>
        <w:rPr>
          <w:rFonts w:asciiTheme="majorHAnsi" w:hAnsiTheme="majorHAnsi" w:cstheme="majorBidi"/>
          <w:sz w:val="23"/>
          <w:szCs w:val="23"/>
        </w:rPr>
      </w:pPr>
      <w:r>
        <w:rPr>
          <w:rFonts w:asciiTheme="majorHAnsi" w:hAnsiTheme="majorHAnsi" w:cstheme="majorBidi"/>
          <w:sz w:val="23"/>
          <w:szCs w:val="23"/>
        </w:rPr>
        <w:t>Unless these supporting</w:t>
      </w:r>
      <w:r w:rsidR="00F00E3D">
        <w:rPr>
          <w:rFonts w:asciiTheme="majorHAnsi" w:hAnsiTheme="majorHAnsi" w:cstheme="majorBidi"/>
          <w:sz w:val="23"/>
          <w:szCs w:val="23"/>
        </w:rPr>
        <w:t xml:space="preserve"> activities are adopted</w:t>
      </w:r>
      <w:r w:rsidR="00F00E3D" w:rsidRPr="00184EB6">
        <w:rPr>
          <w:rFonts w:asciiTheme="majorHAnsi" w:hAnsiTheme="majorHAnsi" w:cstheme="majorBidi"/>
          <w:sz w:val="23"/>
          <w:szCs w:val="23"/>
        </w:rPr>
        <w:t xml:space="preserve">, </w:t>
      </w:r>
      <w:r>
        <w:rPr>
          <w:rFonts w:asciiTheme="majorHAnsi" w:hAnsiTheme="majorHAnsi" w:cstheme="majorBidi"/>
          <w:sz w:val="23"/>
          <w:szCs w:val="23"/>
        </w:rPr>
        <w:t>past</w:t>
      </w:r>
      <w:r w:rsidR="00F00E3D" w:rsidRPr="00184EB6">
        <w:rPr>
          <w:rFonts w:asciiTheme="majorHAnsi" w:hAnsiTheme="majorHAnsi" w:cstheme="majorBidi"/>
          <w:sz w:val="23"/>
          <w:szCs w:val="23"/>
        </w:rPr>
        <w:t xml:space="preserve"> problems and issues will </w:t>
      </w:r>
      <w:r>
        <w:rPr>
          <w:rFonts w:asciiTheme="majorHAnsi" w:hAnsiTheme="majorHAnsi" w:cstheme="majorBidi"/>
          <w:sz w:val="23"/>
          <w:szCs w:val="23"/>
        </w:rPr>
        <w:t>recur</w:t>
      </w:r>
      <w:r w:rsidR="00203685">
        <w:rPr>
          <w:rFonts w:asciiTheme="majorHAnsi" w:hAnsiTheme="majorHAnsi" w:cstheme="majorBidi"/>
          <w:sz w:val="23"/>
          <w:szCs w:val="23"/>
        </w:rPr>
        <w:t>;</w:t>
      </w:r>
      <w:r w:rsidR="00F00E3D" w:rsidRPr="00184EB6">
        <w:rPr>
          <w:rFonts w:asciiTheme="majorHAnsi" w:hAnsiTheme="majorHAnsi" w:cstheme="majorBidi"/>
          <w:sz w:val="23"/>
          <w:szCs w:val="23"/>
        </w:rPr>
        <w:t xml:space="preserve"> </w:t>
      </w:r>
      <w:r>
        <w:rPr>
          <w:rFonts w:asciiTheme="majorHAnsi" w:hAnsiTheme="majorHAnsi" w:cstheme="majorBidi"/>
          <w:sz w:val="23"/>
          <w:szCs w:val="23"/>
        </w:rPr>
        <w:t>namely</w:t>
      </w:r>
      <w:r w:rsidR="006A7F38">
        <w:rPr>
          <w:rFonts w:asciiTheme="majorHAnsi" w:hAnsiTheme="majorHAnsi" w:cstheme="majorBidi"/>
          <w:sz w:val="23"/>
          <w:szCs w:val="23"/>
        </w:rPr>
        <w:t xml:space="preserve">, </w:t>
      </w:r>
      <w:r>
        <w:rPr>
          <w:rFonts w:asciiTheme="majorHAnsi" w:hAnsiTheme="majorHAnsi" w:cstheme="majorBidi"/>
          <w:sz w:val="23"/>
          <w:szCs w:val="23"/>
        </w:rPr>
        <w:t xml:space="preserve">future </w:t>
      </w:r>
      <w:r w:rsidR="00F00E3D">
        <w:rPr>
          <w:rFonts w:asciiTheme="majorHAnsi" w:hAnsiTheme="majorHAnsi" w:cstheme="majorBidi"/>
          <w:sz w:val="23"/>
          <w:szCs w:val="23"/>
        </w:rPr>
        <w:t>interventions in the</w:t>
      </w:r>
      <w:r>
        <w:rPr>
          <w:rFonts w:asciiTheme="majorHAnsi" w:hAnsiTheme="majorHAnsi" w:cstheme="majorBidi"/>
          <w:sz w:val="23"/>
          <w:szCs w:val="23"/>
        </w:rPr>
        <w:t>se</w:t>
      </w:r>
      <w:r w:rsidR="00F00E3D">
        <w:rPr>
          <w:rFonts w:asciiTheme="majorHAnsi" w:hAnsiTheme="majorHAnsi" w:cstheme="majorBidi"/>
          <w:sz w:val="23"/>
          <w:szCs w:val="23"/>
        </w:rPr>
        <w:t xml:space="preserve"> communities </w:t>
      </w:r>
      <w:r w:rsidR="00F00E3D" w:rsidRPr="00184EB6">
        <w:rPr>
          <w:rFonts w:asciiTheme="majorHAnsi" w:hAnsiTheme="majorHAnsi" w:cstheme="majorBidi"/>
          <w:sz w:val="23"/>
          <w:szCs w:val="23"/>
        </w:rPr>
        <w:t xml:space="preserve">will </w:t>
      </w:r>
      <w:r>
        <w:rPr>
          <w:rFonts w:asciiTheme="majorHAnsi" w:hAnsiTheme="majorHAnsi" w:cstheme="majorBidi"/>
          <w:sz w:val="23"/>
          <w:szCs w:val="23"/>
        </w:rPr>
        <w:t>be seen as</w:t>
      </w:r>
      <w:r w:rsidR="00F00E3D" w:rsidRPr="00184EB6">
        <w:rPr>
          <w:rFonts w:asciiTheme="majorHAnsi" w:hAnsiTheme="majorHAnsi" w:cstheme="majorBidi"/>
          <w:sz w:val="23"/>
          <w:szCs w:val="23"/>
        </w:rPr>
        <w:t xml:space="preserve"> </w:t>
      </w:r>
      <w:r w:rsidR="00A1279E">
        <w:rPr>
          <w:rFonts w:asciiTheme="majorHAnsi" w:hAnsiTheme="majorHAnsi" w:cstheme="majorBidi"/>
          <w:sz w:val="23"/>
          <w:szCs w:val="23"/>
        </w:rPr>
        <w:t xml:space="preserve">externally imposed </w:t>
      </w:r>
      <w:r w:rsidR="00F00E3D" w:rsidRPr="00184EB6">
        <w:rPr>
          <w:rFonts w:asciiTheme="majorHAnsi" w:hAnsiTheme="majorHAnsi" w:cstheme="majorBidi"/>
          <w:sz w:val="23"/>
          <w:szCs w:val="23"/>
        </w:rPr>
        <w:t>“fixes”</w:t>
      </w:r>
      <w:r w:rsidR="00A1279E">
        <w:rPr>
          <w:rFonts w:asciiTheme="majorHAnsi" w:hAnsiTheme="majorHAnsi" w:cstheme="majorBidi"/>
          <w:sz w:val="23"/>
          <w:szCs w:val="23"/>
        </w:rPr>
        <w:t xml:space="preserve"> </w:t>
      </w:r>
      <w:r w:rsidR="00F00E3D" w:rsidRPr="00184EB6">
        <w:rPr>
          <w:rFonts w:asciiTheme="majorHAnsi" w:hAnsiTheme="majorHAnsi" w:cstheme="majorBidi"/>
          <w:sz w:val="23"/>
          <w:szCs w:val="23"/>
        </w:rPr>
        <w:t>that the residents do not condone, engage with</w:t>
      </w:r>
      <w:r w:rsidR="00A1279E">
        <w:rPr>
          <w:rFonts w:asciiTheme="majorHAnsi" w:hAnsiTheme="majorHAnsi" w:cstheme="majorBidi"/>
          <w:sz w:val="23"/>
          <w:szCs w:val="23"/>
        </w:rPr>
        <w:t>,</w:t>
      </w:r>
      <w:r w:rsidR="00F00E3D" w:rsidRPr="00184EB6">
        <w:rPr>
          <w:rFonts w:asciiTheme="majorHAnsi" w:hAnsiTheme="majorHAnsi" w:cstheme="majorBidi"/>
          <w:sz w:val="23"/>
          <w:szCs w:val="23"/>
        </w:rPr>
        <w:t xml:space="preserve"> or own.</w:t>
      </w:r>
    </w:p>
    <w:p w14:paraId="4CF5B757" w14:textId="6380BA52" w:rsidR="00F00E3D" w:rsidRDefault="00F00E3D" w:rsidP="00B974F3">
      <w:pPr>
        <w:spacing w:after="0" w:line="276" w:lineRule="auto"/>
        <w:rPr>
          <w:rFonts w:asciiTheme="majorHAnsi" w:hAnsiTheme="majorHAnsi" w:cstheme="majorBidi"/>
          <w:sz w:val="23"/>
          <w:szCs w:val="23"/>
        </w:rPr>
      </w:pPr>
      <w:r w:rsidRPr="00184EB6">
        <w:rPr>
          <w:rFonts w:asciiTheme="majorHAnsi" w:hAnsiTheme="majorHAnsi" w:cstheme="majorBidi"/>
          <w:sz w:val="23"/>
          <w:szCs w:val="23"/>
        </w:rPr>
        <w:t xml:space="preserve">The following </w:t>
      </w:r>
      <w:r>
        <w:rPr>
          <w:rFonts w:asciiTheme="majorHAnsi" w:hAnsiTheme="majorHAnsi" w:cstheme="majorBidi"/>
          <w:sz w:val="23"/>
          <w:szCs w:val="23"/>
        </w:rPr>
        <w:t xml:space="preserve">priority areas and </w:t>
      </w:r>
      <w:r w:rsidR="006A7F38">
        <w:rPr>
          <w:rFonts w:asciiTheme="majorHAnsi" w:hAnsiTheme="majorHAnsi" w:cstheme="majorBidi"/>
          <w:sz w:val="23"/>
          <w:szCs w:val="23"/>
        </w:rPr>
        <w:t xml:space="preserve">their </w:t>
      </w:r>
      <w:r>
        <w:rPr>
          <w:rFonts w:asciiTheme="majorHAnsi" w:hAnsiTheme="majorHAnsi" w:cstheme="majorBidi"/>
          <w:sz w:val="23"/>
          <w:szCs w:val="23"/>
        </w:rPr>
        <w:t xml:space="preserve">attendant initiatives </w:t>
      </w:r>
      <w:r w:rsidR="0084260A">
        <w:rPr>
          <w:rFonts w:asciiTheme="majorHAnsi" w:hAnsiTheme="majorHAnsi" w:cstheme="majorBidi"/>
          <w:sz w:val="23"/>
          <w:szCs w:val="23"/>
        </w:rPr>
        <w:t>should thus</w:t>
      </w:r>
      <w:r w:rsidRPr="00184EB6">
        <w:rPr>
          <w:rFonts w:asciiTheme="majorHAnsi" w:hAnsiTheme="majorHAnsi" w:cstheme="majorBidi"/>
          <w:sz w:val="23"/>
          <w:szCs w:val="23"/>
        </w:rPr>
        <w:t xml:space="preserve"> be viewed as </w:t>
      </w:r>
      <w:r>
        <w:rPr>
          <w:rFonts w:asciiTheme="majorHAnsi" w:hAnsiTheme="majorHAnsi" w:cstheme="majorBidi"/>
          <w:sz w:val="23"/>
          <w:szCs w:val="23"/>
        </w:rPr>
        <w:t>p</w:t>
      </w:r>
      <w:r w:rsidRPr="00184EB6">
        <w:rPr>
          <w:rFonts w:asciiTheme="majorHAnsi" w:hAnsiTheme="majorHAnsi" w:cstheme="majorBidi"/>
          <w:sz w:val="23"/>
          <w:szCs w:val="23"/>
        </w:rPr>
        <w:t xml:space="preserve">rovisional </w:t>
      </w:r>
      <w:r w:rsidR="0084260A">
        <w:rPr>
          <w:rFonts w:asciiTheme="majorHAnsi" w:hAnsiTheme="majorHAnsi" w:cstheme="majorBidi"/>
          <w:sz w:val="23"/>
          <w:szCs w:val="23"/>
        </w:rPr>
        <w:t>R</w:t>
      </w:r>
      <w:r w:rsidRPr="00184EB6">
        <w:rPr>
          <w:rFonts w:asciiTheme="majorHAnsi" w:hAnsiTheme="majorHAnsi" w:cstheme="majorBidi"/>
          <w:sz w:val="23"/>
          <w:szCs w:val="23"/>
        </w:rPr>
        <w:t>ecommendations</w:t>
      </w:r>
      <w:r w:rsidR="0084260A">
        <w:rPr>
          <w:rFonts w:asciiTheme="majorHAnsi" w:hAnsiTheme="majorHAnsi" w:cstheme="majorBidi"/>
          <w:sz w:val="23"/>
          <w:szCs w:val="23"/>
        </w:rPr>
        <w:t>,</w:t>
      </w:r>
      <w:r w:rsidRPr="00184EB6">
        <w:rPr>
          <w:rFonts w:asciiTheme="majorHAnsi" w:hAnsiTheme="majorHAnsi" w:cstheme="majorBidi"/>
          <w:sz w:val="23"/>
          <w:szCs w:val="23"/>
        </w:rPr>
        <w:t xml:space="preserve"> </w:t>
      </w:r>
      <w:r w:rsidR="0084260A">
        <w:rPr>
          <w:rFonts w:asciiTheme="majorHAnsi" w:hAnsiTheme="majorHAnsi" w:cstheme="majorBidi"/>
          <w:sz w:val="23"/>
          <w:szCs w:val="23"/>
        </w:rPr>
        <w:t xml:space="preserve">and </w:t>
      </w:r>
      <w:r w:rsidR="00C45551">
        <w:rPr>
          <w:rFonts w:asciiTheme="majorHAnsi" w:hAnsiTheme="majorHAnsi" w:cstheme="majorBidi"/>
          <w:sz w:val="23"/>
          <w:szCs w:val="23"/>
        </w:rPr>
        <w:t xml:space="preserve">are </w:t>
      </w:r>
      <w:r w:rsidRPr="00184EB6">
        <w:rPr>
          <w:rFonts w:asciiTheme="majorHAnsi" w:hAnsiTheme="majorHAnsi" w:cstheme="majorBidi"/>
          <w:sz w:val="23"/>
          <w:szCs w:val="23"/>
        </w:rPr>
        <w:t>subject to community discussion, amendment</w:t>
      </w:r>
      <w:r w:rsidR="0084260A">
        <w:rPr>
          <w:rFonts w:asciiTheme="majorHAnsi" w:hAnsiTheme="majorHAnsi" w:cstheme="majorBidi"/>
          <w:sz w:val="23"/>
          <w:szCs w:val="23"/>
        </w:rPr>
        <w:t>,</w:t>
      </w:r>
      <w:r w:rsidRPr="00184EB6">
        <w:rPr>
          <w:rFonts w:asciiTheme="majorHAnsi" w:hAnsiTheme="majorHAnsi" w:cstheme="majorBidi"/>
          <w:sz w:val="23"/>
          <w:szCs w:val="23"/>
        </w:rPr>
        <w:t xml:space="preserve"> and endorsement.</w:t>
      </w:r>
      <w:r w:rsidR="00A623AE">
        <w:rPr>
          <w:rFonts w:asciiTheme="majorHAnsi" w:hAnsiTheme="majorHAnsi" w:cstheme="majorBidi"/>
          <w:sz w:val="23"/>
          <w:szCs w:val="23"/>
        </w:rPr>
        <w:t xml:space="preserve"> </w:t>
      </w:r>
    </w:p>
    <w:p w14:paraId="098774B4" w14:textId="77777777" w:rsidR="00F00E3D" w:rsidRPr="0084260A" w:rsidRDefault="00F00E3D" w:rsidP="009B2FA7">
      <w:pPr>
        <w:pStyle w:val="Default"/>
        <w:spacing w:line="276" w:lineRule="auto"/>
        <w:rPr>
          <w:rFonts w:eastAsia="Calibri"/>
          <w:b/>
          <w:bCs/>
          <w:color w:val="000000" w:themeColor="text1"/>
          <w:sz w:val="16"/>
          <w:szCs w:val="16"/>
        </w:rPr>
      </w:pPr>
    </w:p>
    <w:p w14:paraId="2C94C6AD" w14:textId="392D49ED" w:rsidR="00F00E3D" w:rsidRPr="00C351F0" w:rsidRDefault="00F00E3D" w:rsidP="009B2FA7">
      <w:pPr>
        <w:pStyle w:val="Default"/>
        <w:spacing w:line="276" w:lineRule="auto"/>
        <w:rPr>
          <w:rFonts w:asciiTheme="minorHAnsi" w:hAnsiTheme="minorHAnsi" w:cstheme="minorBidi"/>
          <w:b/>
          <w:color w:val="2E74B5" w:themeColor="accent5" w:themeShade="BF"/>
          <w:sz w:val="28"/>
          <w:szCs w:val="28"/>
        </w:rPr>
      </w:pPr>
      <w:r w:rsidRPr="00C351F0">
        <w:rPr>
          <w:rFonts w:asciiTheme="minorHAnsi" w:hAnsiTheme="minorHAnsi" w:cstheme="minorBidi"/>
          <w:b/>
          <w:color w:val="2E74B5" w:themeColor="accent5" w:themeShade="BF"/>
          <w:sz w:val="28"/>
          <w:szCs w:val="28"/>
        </w:rPr>
        <w:lastRenderedPageBreak/>
        <w:t xml:space="preserve">Recommendation </w:t>
      </w:r>
      <w:r w:rsidR="00C351F0" w:rsidRPr="00C351F0">
        <w:rPr>
          <w:rFonts w:asciiTheme="minorHAnsi" w:hAnsiTheme="minorHAnsi" w:cstheme="minorBidi"/>
          <w:b/>
          <w:color w:val="2E74B5" w:themeColor="accent5" w:themeShade="BF"/>
          <w:sz w:val="28"/>
          <w:szCs w:val="28"/>
        </w:rPr>
        <w:t>2</w:t>
      </w:r>
      <w:r w:rsidRPr="00C351F0">
        <w:rPr>
          <w:rFonts w:asciiTheme="minorHAnsi" w:hAnsiTheme="minorHAnsi" w:cstheme="minorBidi"/>
          <w:b/>
          <w:color w:val="2E74B5" w:themeColor="accent5" w:themeShade="BF"/>
          <w:sz w:val="28"/>
          <w:szCs w:val="28"/>
        </w:rPr>
        <w:t xml:space="preserve">: </w:t>
      </w:r>
      <w:r w:rsidR="00557C81" w:rsidRPr="00C351F0">
        <w:rPr>
          <w:rFonts w:asciiTheme="minorHAnsi" w:hAnsiTheme="minorHAnsi" w:cstheme="minorBidi"/>
          <w:b/>
          <w:color w:val="2E74B5" w:themeColor="accent5" w:themeShade="BF"/>
          <w:sz w:val="28"/>
          <w:szCs w:val="28"/>
        </w:rPr>
        <w:t>Address</w:t>
      </w:r>
      <w:r w:rsidR="00B974F3" w:rsidRPr="00C351F0">
        <w:rPr>
          <w:rFonts w:asciiTheme="minorHAnsi" w:hAnsiTheme="minorHAnsi" w:cstheme="minorBidi"/>
          <w:b/>
          <w:color w:val="2E74B5" w:themeColor="accent5" w:themeShade="BF"/>
          <w:sz w:val="28"/>
          <w:szCs w:val="28"/>
        </w:rPr>
        <w:t xml:space="preserve"> 14 </w:t>
      </w:r>
      <w:r w:rsidRPr="00C351F0">
        <w:rPr>
          <w:rFonts w:asciiTheme="minorHAnsi" w:hAnsiTheme="minorHAnsi" w:cstheme="minorBidi"/>
          <w:b/>
          <w:color w:val="2E74B5" w:themeColor="accent5" w:themeShade="BF"/>
          <w:sz w:val="28"/>
          <w:szCs w:val="28"/>
        </w:rPr>
        <w:t>Priority Areas</w:t>
      </w:r>
    </w:p>
    <w:p w14:paraId="6296B7E8" w14:textId="77777777" w:rsidR="00F00E3D" w:rsidRPr="009D3658" w:rsidRDefault="00F00E3D" w:rsidP="009B2FA7">
      <w:pPr>
        <w:pStyle w:val="Default"/>
        <w:spacing w:line="276" w:lineRule="auto"/>
        <w:rPr>
          <w:rFonts w:eastAsia="Calibri"/>
          <w:b/>
          <w:color w:val="4472C4" w:themeColor="accent1"/>
          <w:sz w:val="12"/>
          <w:szCs w:val="12"/>
        </w:rPr>
      </w:pPr>
    </w:p>
    <w:p w14:paraId="0190FCE1" w14:textId="4CE2FC07" w:rsidR="0079318F" w:rsidRDefault="00F00E3D" w:rsidP="00B62E03">
      <w:pPr>
        <w:spacing w:after="0" w:line="276" w:lineRule="auto"/>
        <w:rPr>
          <w:rFonts w:asciiTheme="majorHAnsi" w:hAnsiTheme="majorHAnsi" w:cstheme="majorBidi"/>
          <w:sz w:val="23"/>
          <w:szCs w:val="23"/>
        </w:rPr>
      </w:pPr>
      <w:r w:rsidRPr="00E7632E">
        <w:rPr>
          <w:rFonts w:cstheme="minorHAnsi"/>
          <w:b/>
          <w:bCs/>
          <w:sz w:val="23"/>
          <w:szCs w:val="23"/>
        </w:rPr>
        <w:t>What</w:t>
      </w:r>
      <w:r w:rsidRPr="00E7632E">
        <w:rPr>
          <w:rFonts w:cstheme="minorHAnsi"/>
          <w:sz w:val="23"/>
          <w:szCs w:val="23"/>
        </w:rPr>
        <w:t>:</w:t>
      </w:r>
      <w:r w:rsidRPr="00552857">
        <w:rPr>
          <w:rFonts w:asciiTheme="majorHAnsi" w:hAnsiTheme="majorHAnsi" w:cstheme="majorHAnsi"/>
          <w:sz w:val="23"/>
          <w:szCs w:val="23"/>
        </w:rPr>
        <w:t xml:space="preserve"> Fourteen issues are </w:t>
      </w:r>
      <w:r w:rsidRPr="00552857">
        <w:rPr>
          <w:rFonts w:asciiTheme="majorHAnsi" w:eastAsia="Calibri" w:hAnsiTheme="majorHAnsi" w:cstheme="majorHAnsi"/>
          <w:sz w:val="23"/>
          <w:szCs w:val="23"/>
        </w:rPr>
        <w:t xml:space="preserve">identified as priority areas that </w:t>
      </w:r>
      <w:r w:rsidR="0079318F">
        <w:rPr>
          <w:rFonts w:asciiTheme="majorHAnsi" w:eastAsia="Calibri" w:hAnsiTheme="majorHAnsi" w:cstheme="majorHAnsi"/>
          <w:sz w:val="23"/>
          <w:szCs w:val="23"/>
        </w:rPr>
        <w:t>need to be addressed in collaboration with</w:t>
      </w:r>
      <w:r w:rsidRPr="00552857">
        <w:rPr>
          <w:rFonts w:asciiTheme="majorHAnsi" w:eastAsia="Calibri" w:hAnsiTheme="majorHAnsi" w:cstheme="majorHAnsi"/>
          <w:sz w:val="23"/>
          <w:szCs w:val="23"/>
        </w:rPr>
        <w:t xml:space="preserve"> residents</w:t>
      </w:r>
      <w:r w:rsidR="0079318F">
        <w:rPr>
          <w:rFonts w:asciiTheme="majorHAnsi" w:eastAsia="Calibri" w:hAnsiTheme="majorHAnsi" w:cstheme="majorHAnsi"/>
          <w:sz w:val="23"/>
          <w:szCs w:val="23"/>
        </w:rPr>
        <w:t>,</w:t>
      </w:r>
      <w:r w:rsidRPr="00552857">
        <w:rPr>
          <w:rFonts w:asciiTheme="majorHAnsi" w:eastAsia="Calibri" w:hAnsiTheme="majorHAnsi" w:cstheme="majorHAnsi"/>
          <w:sz w:val="23"/>
          <w:szCs w:val="23"/>
        </w:rPr>
        <w:t xml:space="preserve"> support agencies</w:t>
      </w:r>
      <w:r w:rsidR="0079318F">
        <w:rPr>
          <w:rFonts w:asciiTheme="majorHAnsi" w:eastAsia="Calibri" w:hAnsiTheme="majorHAnsi" w:cstheme="majorHAnsi"/>
          <w:sz w:val="23"/>
          <w:szCs w:val="23"/>
        </w:rPr>
        <w:t>,</w:t>
      </w:r>
      <w:r w:rsidRPr="00552857">
        <w:rPr>
          <w:rFonts w:asciiTheme="majorHAnsi" w:eastAsia="Calibri" w:hAnsiTheme="majorHAnsi" w:cstheme="majorHAnsi"/>
          <w:sz w:val="23"/>
          <w:szCs w:val="23"/>
        </w:rPr>
        <w:t xml:space="preserve"> and </w:t>
      </w:r>
      <w:r w:rsidR="0079318F" w:rsidRPr="00552857">
        <w:rPr>
          <w:rFonts w:asciiTheme="majorHAnsi" w:eastAsia="Calibri" w:hAnsiTheme="majorHAnsi" w:cstheme="majorHAnsi"/>
          <w:sz w:val="23"/>
          <w:szCs w:val="23"/>
        </w:rPr>
        <w:t xml:space="preserve">community </w:t>
      </w:r>
      <w:r w:rsidRPr="00552857">
        <w:rPr>
          <w:rFonts w:asciiTheme="majorHAnsi" w:eastAsia="Calibri" w:hAnsiTheme="majorHAnsi" w:cstheme="majorHAnsi"/>
          <w:sz w:val="23"/>
          <w:szCs w:val="23"/>
        </w:rPr>
        <w:t xml:space="preserve">advocates in </w:t>
      </w:r>
      <w:r w:rsidRPr="00552857">
        <w:rPr>
          <w:rFonts w:asciiTheme="majorHAnsi" w:eastAsiaTheme="minorEastAsia" w:hAnsiTheme="majorHAnsi" w:cstheme="majorHAnsi"/>
          <w:sz w:val="23"/>
          <w:szCs w:val="23"/>
          <w:lang w:val="en-GB"/>
        </w:rPr>
        <w:t>Corio, Norlane</w:t>
      </w:r>
      <w:r w:rsidR="0079318F">
        <w:rPr>
          <w:rFonts w:asciiTheme="majorHAnsi" w:eastAsiaTheme="minorEastAsia" w:hAnsiTheme="majorHAnsi" w:cstheme="majorHAnsi"/>
          <w:sz w:val="23"/>
          <w:szCs w:val="23"/>
          <w:lang w:val="en-GB"/>
        </w:rPr>
        <w:t>,</w:t>
      </w:r>
      <w:r w:rsidRPr="00552857">
        <w:rPr>
          <w:rFonts w:asciiTheme="majorHAnsi" w:eastAsiaTheme="minorEastAsia" w:hAnsiTheme="majorHAnsi" w:cstheme="majorHAnsi"/>
          <w:sz w:val="23"/>
          <w:szCs w:val="23"/>
          <w:lang w:val="en-GB"/>
        </w:rPr>
        <w:t xml:space="preserve"> and Whittington</w:t>
      </w:r>
      <w:r w:rsidR="0079318F">
        <w:rPr>
          <w:rFonts w:asciiTheme="majorHAnsi" w:eastAsiaTheme="minorEastAsia" w:hAnsiTheme="majorHAnsi" w:cstheme="majorHAnsi"/>
          <w:sz w:val="23"/>
          <w:szCs w:val="23"/>
          <w:lang w:val="en-GB"/>
        </w:rPr>
        <w:t>.</w:t>
      </w:r>
      <w:r w:rsidR="00A623AE" w:rsidRPr="00184EB6">
        <w:rPr>
          <w:rFonts w:asciiTheme="majorHAnsi" w:hAnsiTheme="majorHAnsi" w:cstheme="majorBidi"/>
          <w:sz w:val="23"/>
          <w:szCs w:val="23"/>
        </w:rPr>
        <w:t xml:space="preserve"> </w:t>
      </w:r>
      <w:r w:rsidR="00A623AE">
        <w:rPr>
          <w:rFonts w:asciiTheme="majorHAnsi" w:hAnsiTheme="majorHAnsi" w:cstheme="majorBidi"/>
          <w:sz w:val="23"/>
          <w:szCs w:val="23"/>
        </w:rPr>
        <w:t>For convenience, t</w:t>
      </w:r>
      <w:r w:rsidR="00A623AE" w:rsidRPr="00184EB6">
        <w:rPr>
          <w:rFonts w:asciiTheme="majorHAnsi" w:hAnsiTheme="majorHAnsi" w:cstheme="majorBidi"/>
          <w:sz w:val="23"/>
          <w:szCs w:val="23"/>
        </w:rPr>
        <w:t xml:space="preserve">hey are arranged </w:t>
      </w:r>
      <w:r w:rsidR="00A623AE">
        <w:rPr>
          <w:rFonts w:asciiTheme="majorHAnsi" w:hAnsiTheme="majorHAnsi" w:cstheme="majorBidi"/>
          <w:sz w:val="23"/>
          <w:szCs w:val="23"/>
        </w:rPr>
        <w:t>by</w:t>
      </w:r>
      <w:r w:rsidR="00F85B8C">
        <w:rPr>
          <w:rFonts w:asciiTheme="majorHAnsi" w:hAnsiTheme="majorHAnsi" w:cstheme="majorBidi"/>
          <w:sz w:val="23"/>
          <w:szCs w:val="23"/>
        </w:rPr>
        <w:t xml:space="preserve"> </w:t>
      </w:r>
      <w:r w:rsidR="00D95573">
        <w:rPr>
          <w:rFonts w:asciiTheme="majorHAnsi" w:hAnsiTheme="majorHAnsi" w:cstheme="majorBidi"/>
          <w:sz w:val="23"/>
          <w:szCs w:val="23"/>
        </w:rPr>
        <w:t>Practice Domain</w:t>
      </w:r>
      <w:r w:rsidR="00A623AE">
        <w:rPr>
          <w:rFonts w:asciiTheme="majorHAnsi" w:hAnsiTheme="majorHAnsi" w:cstheme="majorBidi"/>
          <w:sz w:val="23"/>
          <w:szCs w:val="23"/>
        </w:rPr>
        <w:t xml:space="preserve"> in the table below.</w:t>
      </w:r>
    </w:p>
    <w:p w14:paraId="7757A00A" w14:textId="77777777" w:rsidR="009D3658" w:rsidRPr="009D3658" w:rsidRDefault="009D3658" w:rsidP="00B62E03">
      <w:pPr>
        <w:spacing w:after="0" w:line="276" w:lineRule="auto"/>
        <w:rPr>
          <w:rFonts w:asciiTheme="majorHAnsi" w:hAnsiTheme="majorHAnsi" w:cstheme="majorBidi"/>
          <w:sz w:val="12"/>
          <w:szCs w:val="12"/>
        </w:rPr>
      </w:pPr>
    </w:p>
    <w:p w14:paraId="153A78D7" w14:textId="53EEC63B" w:rsidR="009D3658" w:rsidRPr="009D3658" w:rsidRDefault="009D3658" w:rsidP="00B62E03">
      <w:pPr>
        <w:spacing w:after="0" w:line="276" w:lineRule="auto"/>
        <w:rPr>
          <w:rStyle w:val="Hyperlink"/>
          <w:rFonts w:asciiTheme="majorHAnsi" w:hAnsiTheme="majorHAnsi" w:cstheme="majorBidi"/>
          <w:color w:val="auto"/>
          <w:sz w:val="23"/>
          <w:szCs w:val="23"/>
          <w:u w:val="none"/>
        </w:rPr>
      </w:pPr>
      <w:r w:rsidRPr="00E7632E">
        <w:rPr>
          <w:rFonts w:cstheme="minorHAnsi"/>
          <w:b/>
          <w:bCs/>
          <w:sz w:val="23"/>
          <w:szCs w:val="23"/>
        </w:rPr>
        <w:t>How</w:t>
      </w:r>
      <w:r w:rsidRPr="00E7632E">
        <w:rPr>
          <w:rFonts w:cstheme="minorHAnsi"/>
          <w:sz w:val="23"/>
          <w:szCs w:val="23"/>
        </w:rPr>
        <w:t>:</w:t>
      </w:r>
      <w:r>
        <w:rPr>
          <w:rFonts w:asciiTheme="majorHAnsi" w:hAnsiTheme="majorHAnsi" w:cstheme="majorBidi"/>
          <w:sz w:val="23"/>
          <w:szCs w:val="23"/>
        </w:rPr>
        <w:t xml:space="preserve"> T</w:t>
      </w:r>
      <w:r w:rsidRPr="00BC2147">
        <w:rPr>
          <w:rFonts w:asciiTheme="majorHAnsi" w:hAnsiTheme="majorHAnsi" w:cstheme="majorBidi"/>
          <w:sz w:val="23"/>
          <w:szCs w:val="23"/>
        </w:rPr>
        <w:t xml:space="preserve">o address these 14 priority areas, </w:t>
      </w:r>
      <w:r>
        <w:rPr>
          <w:rFonts w:asciiTheme="majorHAnsi" w:hAnsiTheme="majorHAnsi" w:cstheme="majorBidi"/>
          <w:sz w:val="23"/>
          <w:szCs w:val="23"/>
        </w:rPr>
        <w:t>our final Recommendation (see overleaf) outlines a set of</w:t>
      </w:r>
      <w:r w:rsidRPr="00BC2147">
        <w:rPr>
          <w:rFonts w:asciiTheme="majorHAnsi" w:hAnsiTheme="majorHAnsi" w:cstheme="majorBidi"/>
          <w:sz w:val="23"/>
          <w:szCs w:val="23"/>
        </w:rPr>
        <w:t xml:space="preserve"> initiative</w:t>
      </w:r>
      <w:r>
        <w:rPr>
          <w:rFonts w:asciiTheme="majorHAnsi" w:hAnsiTheme="majorHAnsi" w:cstheme="majorBidi"/>
          <w:sz w:val="23"/>
          <w:szCs w:val="23"/>
        </w:rPr>
        <w:t>s</w:t>
      </w:r>
      <w:r w:rsidRPr="00BC2147">
        <w:rPr>
          <w:rFonts w:asciiTheme="majorHAnsi" w:hAnsiTheme="majorHAnsi" w:cstheme="majorBidi"/>
          <w:sz w:val="23"/>
          <w:szCs w:val="23"/>
        </w:rPr>
        <w:t xml:space="preserve"> </w:t>
      </w:r>
      <w:r>
        <w:rPr>
          <w:rFonts w:asciiTheme="majorHAnsi" w:hAnsiTheme="majorHAnsi" w:cstheme="majorBidi"/>
          <w:sz w:val="23"/>
          <w:szCs w:val="23"/>
        </w:rPr>
        <w:t xml:space="preserve">as </w:t>
      </w:r>
      <w:r w:rsidRPr="00BC2147">
        <w:rPr>
          <w:rFonts w:asciiTheme="majorHAnsi" w:hAnsiTheme="majorHAnsi" w:cstheme="majorBidi"/>
          <w:sz w:val="23"/>
          <w:szCs w:val="23"/>
        </w:rPr>
        <w:t>a basis for future action</w:t>
      </w:r>
      <w:r>
        <w:rPr>
          <w:rFonts w:asciiTheme="majorHAnsi" w:hAnsiTheme="majorHAnsi" w:cstheme="majorBidi"/>
          <w:sz w:val="23"/>
          <w:szCs w:val="23"/>
        </w:rPr>
        <w:t>.</w:t>
      </w:r>
    </w:p>
    <w:p w14:paraId="0AA3C738" w14:textId="77777777" w:rsidR="00B62E03" w:rsidRPr="00D04153" w:rsidRDefault="00B62E03" w:rsidP="0079318F">
      <w:pPr>
        <w:spacing w:line="276" w:lineRule="auto"/>
        <w:rPr>
          <w:rFonts w:asciiTheme="majorHAnsi" w:hAnsiTheme="majorHAnsi" w:cstheme="majorBidi"/>
          <w:color w:val="0563C1" w:themeColor="hyperlink"/>
          <w:sz w:val="8"/>
          <w:szCs w:val="8"/>
          <w:u w:val="single"/>
        </w:rPr>
      </w:pPr>
    </w:p>
    <w:tbl>
      <w:tblPr>
        <w:tblStyle w:val="TableGrid1"/>
        <w:tblW w:w="0" w:type="auto"/>
        <w:tblInd w:w="-5" w:type="dxa"/>
        <w:tblLayout w:type="fixed"/>
        <w:tblLook w:val="04A0" w:firstRow="1" w:lastRow="0" w:firstColumn="1" w:lastColumn="0" w:noHBand="0" w:noVBand="1"/>
      </w:tblPr>
      <w:tblGrid>
        <w:gridCol w:w="724"/>
        <w:gridCol w:w="5790"/>
        <w:gridCol w:w="2895"/>
      </w:tblGrid>
      <w:tr w:rsidR="00716FE3" w:rsidRPr="001A3B9D" w14:paraId="0B45F414" w14:textId="78871EC7" w:rsidTr="004A0AA8">
        <w:trPr>
          <w:trHeight w:val="269"/>
        </w:trPr>
        <w:tc>
          <w:tcPr>
            <w:tcW w:w="724" w:type="dxa"/>
            <w:tcBorders>
              <w:top w:val="single" w:sz="4" w:space="0" w:color="auto"/>
            </w:tcBorders>
            <w:shd w:val="clear" w:color="auto" w:fill="D9D9D9" w:themeFill="background1" w:themeFillShade="D9"/>
            <w:vAlign w:val="center"/>
          </w:tcPr>
          <w:p w14:paraId="4B14CF40" w14:textId="77079B2B" w:rsidR="00716FE3" w:rsidRPr="001A3B9D" w:rsidRDefault="00716FE3" w:rsidP="00741FC8">
            <w:pPr>
              <w:spacing w:line="240" w:lineRule="auto"/>
              <w:rPr>
                <w:rFonts w:cstheme="minorHAnsi"/>
                <w:b/>
                <w:bCs/>
                <w:sz w:val="21"/>
                <w:szCs w:val="21"/>
              </w:rPr>
            </w:pPr>
          </w:p>
        </w:tc>
        <w:tc>
          <w:tcPr>
            <w:tcW w:w="5790" w:type="dxa"/>
            <w:tcBorders>
              <w:top w:val="single" w:sz="4" w:space="0" w:color="auto"/>
            </w:tcBorders>
            <w:shd w:val="clear" w:color="auto" w:fill="D9D9D9" w:themeFill="background1" w:themeFillShade="D9"/>
            <w:vAlign w:val="bottom"/>
          </w:tcPr>
          <w:p w14:paraId="1C7B4FB6" w14:textId="77777777" w:rsidR="00AA2F81" w:rsidRPr="001A3B9D" w:rsidRDefault="00AA2F81" w:rsidP="00741FC8">
            <w:pPr>
              <w:spacing w:line="240" w:lineRule="auto"/>
              <w:rPr>
                <w:rFonts w:cstheme="minorHAnsi"/>
                <w:b/>
                <w:bCs/>
                <w:sz w:val="8"/>
                <w:szCs w:val="8"/>
              </w:rPr>
            </w:pPr>
          </w:p>
          <w:p w14:paraId="785FB8EA" w14:textId="76D1CD0D" w:rsidR="00716FE3" w:rsidRPr="001A3B9D" w:rsidRDefault="00716FE3" w:rsidP="00741FC8">
            <w:pPr>
              <w:spacing w:line="240" w:lineRule="auto"/>
              <w:rPr>
                <w:rFonts w:cstheme="minorHAnsi"/>
                <w:b/>
                <w:bCs/>
                <w:sz w:val="21"/>
                <w:szCs w:val="21"/>
              </w:rPr>
            </w:pPr>
            <w:r w:rsidRPr="001A3B9D">
              <w:rPr>
                <w:rFonts w:cstheme="minorHAnsi"/>
                <w:b/>
                <w:bCs/>
                <w:sz w:val="21"/>
                <w:szCs w:val="21"/>
              </w:rPr>
              <w:t>Priority Area</w:t>
            </w:r>
            <w:r w:rsidR="00741FC8">
              <w:rPr>
                <w:rFonts w:cstheme="minorHAnsi"/>
                <w:b/>
                <w:bCs/>
                <w:sz w:val="21"/>
                <w:szCs w:val="21"/>
              </w:rPr>
              <w:t xml:space="preserve"> Identified</w:t>
            </w:r>
          </w:p>
        </w:tc>
        <w:tc>
          <w:tcPr>
            <w:tcW w:w="2895" w:type="dxa"/>
            <w:tcBorders>
              <w:top w:val="single" w:sz="4" w:space="0" w:color="auto"/>
            </w:tcBorders>
            <w:shd w:val="clear" w:color="auto" w:fill="D9D9D9" w:themeFill="background1" w:themeFillShade="D9"/>
            <w:vAlign w:val="bottom"/>
          </w:tcPr>
          <w:p w14:paraId="72B4C06F" w14:textId="77C911AA" w:rsidR="00716FE3" w:rsidRPr="001A3B9D" w:rsidRDefault="00716FE3" w:rsidP="00741FC8">
            <w:pPr>
              <w:spacing w:line="240" w:lineRule="auto"/>
              <w:rPr>
                <w:rFonts w:cstheme="minorHAnsi"/>
                <w:b/>
                <w:bCs/>
                <w:sz w:val="21"/>
                <w:szCs w:val="21"/>
              </w:rPr>
            </w:pPr>
            <w:r w:rsidRPr="001A3B9D">
              <w:rPr>
                <w:rFonts w:cstheme="minorHAnsi"/>
                <w:b/>
                <w:bCs/>
                <w:sz w:val="21"/>
                <w:szCs w:val="21"/>
              </w:rPr>
              <w:t xml:space="preserve">Main </w:t>
            </w:r>
            <w:r w:rsidR="00D95573">
              <w:rPr>
                <w:rFonts w:cstheme="minorHAnsi"/>
                <w:b/>
                <w:bCs/>
                <w:sz w:val="21"/>
                <w:szCs w:val="21"/>
              </w:rPr>
              <w:t>Practice Domain</w:t>
            </w:r>
          </w:p>
        </w:tc>
      </w:tr>
      <w:tr w:rsidR="00716FE3" w:rsidRPr="001A3B9D" w14:paraId="08166A4B" w14:textId="14678D57" w:rsidTr="00D57C9D">
        <w:trPr>
          <w:trHeight w:val="468"/>
        </w:trPr>
        <w:tc>
          <w:tcPr>
            <w:tcW w:w="724" w:type="dxa"/>
            <w:shd w:val="clear" w:color="auto" w:fill="auto"/>
            <w:vAlign w:val="center"/>
          </w:tcPr>
          <w:p w14:paraId="5011806B" w14:textId="77777777" w:rsidR="00716FE3" w:rsidRPr="001A3B9D" w:rsidRDefault="00716FE3" w:rsidP="00741FC8">
            <w:pPr>
              <w:spacing w:before="140" w:after="140" w:line="240" w:lineRule="auto"/>
              <w:rPr>
                <w:rFonts w:asciiTheme="majorHAnsi" w:hAnsiTheme="majorHAnsi" w:cstheme="majorHAnsi"/>
              </w:rPr>
            </w:pPr>
            <w:r w:rsidRPr="001A3B9D">
              <w:rPr>
                <w:rFonts w:asciiTheme="majorHAnsi" w:hAnsiTheme="majorHAnsi" w:cstheme="majorHAnsi"/>
              </w:rPr>
              <w:t>1</w:t>
            </w:r>
          </w:p>
        </w:tc>
        <w:tc>
          <w:tcPr>
            <w:tcW w:w="5790" w:type="dxa"/>
            <w:shd w:val="clear" w:color="auto" w:fill="auto"/>
            <w:vAlign w:val="center"/>
          </w:tcPr>
          <w:p w14:paraId="4A78670E" w14:textId="1D6E2D06" w:rsidR="00716FE3" w:rsidRPr="001A3B9D" w:rsidRDefault="00716FE3" w:rsidP="00D57C9D">
            <w:pPr>
              <w:spacing w:before="140" w:after="140" w:line="240" w:lineRule="auto"/>
              <w:rPr>
                <w:rFonts w:asciiTheme="majorHAnsi" w:hAnsiTheme="majorHAnsi" w:cstheme="majorHAnsi"/>
              </w:rPr>
            </w:pPr>
            <w:r w:rsidRPr="001A3B9D">
              <w:rPr>
                <w:rFonts w:asciiTheme="majorHAnsi" w:hAnsiTheme="majorHAnsi" w:cstheme="majorHAnsi"/>
              </w:rPr>
              <w:t xml:space="preserve">Digital </w:t>
            </w:r>
            <w:r w:rsidR="00D57C9D" w:rsidRPr="001A3B9D">
              <w:rPr>
                <w:rFonts w:asciiTheme="majorHAnsi" w:hAnsiTheme="majorHAnsi" w:cstheme="majorHAnsi"/>
              </w:rPr>
              <w:t>Exclusion</w:t>
            </w:r>
          </w:p>
        </w:tc>
        <w:tc>
          <w:tcPr>
            <w:tcW w:w="2895" w:type="dxa"/>
            <w:vMerge w:val="restart"/>
            <w:vAlign w:val="center"/>
          </w:tcPr>
          <w:p w14:paraId="63A5EE96" w14:textId="0A9E8004" w:rsidR="00716FE3" w:rsidRPr="001A3B9D" w:rsidRDefault="006B4429" w:rsidP="00741FC8">
            <w:pPr>
              <w:spacing w:before="140" w:after="140" w:line="240" w:lineRule="auto"/>
              <w:rPr>
                <w:rFonts w:asciiTheme="majorHAnsi" w:hAnsiTheme="majorHAnsi" w:cstheme="majorHAnsi"/>
              </w:rPr>
            </w:pPr>
            <w:r w:rsidRPr="001A3B9D">
              <w:rPr>
                <w:rFonts w:asciiTheme="majorHAnsi" w:hAnsiTheme="majorHAnsi" w:cstheme="majorHAnsi"/>
              </w:rPr>
              <w:t xml:space="preserve">  </w:t>
            </w:r>
            <w:r w:rsidR="00716FE3" w:rsidRPr="001A3B9D">
              <w:rPr>
                <w:rFonts w:asciiTheme="majorHAnsi" w:hAnsiTheme="majorHAnsi" w:cstheme="majorHAnsi"/>
              </w:rPr>
              <w:t>Education</w:t>
            </w:r>
          </w:p>
        </w:tc>
      </w:tr>
      <w:tr w:rsidR="00716FE3" w:rsidRPr="001A3B9D" w14:paraId="6C2C2825" w14:textId="762B1DCE" w:rsidTr="00D57C9D">
        <w:trPr>
          <w:trHeight w:val="468"/>
        </w:trPr>
        <w:tc>
          <w:tcPr>
            <w:tcW w:w="724" w:type="dxa"/>
            <w:shd w:val="clear" w:color="auto" w:fill="auto"/>
            <w:vAlign w:val="center"/>
          </w:tcPr>
          <w:p w14:paraId="7AF184E9" w14:textId="77777777" w:rsidR="00716FE3" w:rsidRPr="001A3B9D" w:rsidRDefault="00716FE3" w:rsidP="00741FC8">
            <w:pPr>
              <w:spacing w:before="140" w:after="140" w:line="240" w:lineRule="auto"/>
              <w:rPr>
                <w:rFonts w:asciiTheme="majorHAnsi" w:hAnsiTheme="majorHAnsi" w:cstheme="majorHAnsi"/>
              </w:rPr>
            </w:pPr>
            <w:r w:rsidRPr="001A3B9D">
              <w:rPr>
                <w:rFonts w:asciiTheme="majorHAnsi" w:hAnsiTheme="majorHAnsi" w:cstheme="majorHAnsi"/>
              </w:rPr>
              <w:t>2</w:t>
            </w:r>
          </w:p>
        </w:tc>
        <w:tc>
          <w:tcPr>
            <w:tcW w:w="5790" w:type="dxa"/>
            <w:shd w:val="clear" w:color="auto" w:fill="auto"/>
            <w:vAlign w:val="center"/>
          </w:tcPr>
          <w:p w14:paraId="1E84EAB0" w14:textId="3B764947" w:rsidR="00716FE3" w:rsidRPr="001A3B9D" w:rsidRDefault="00716FE3" w:rsidP="00D57C9D">
            <w:pPr>
              <w:spacing w:before="140" w:after="140" w:line="240" w:lineRule="auto"/>
              <w:rPr>
                <w:rFonts w:asciiTheme="majorHAnsi" w:hAnsiTheme="majorHAnsi" w:cstheme="majorHAnsi"/>
              </w:rPr>
            </w:pPr>
            <w:r w:rsidRPr="001A3B9D">
              <w:rPr>
                <w:rFonts w:asciiTheme="majorHAnsi" w:hAnsiTheme="majorHAnsi" w:cstheme="majorHAnsi"/>
              </w:rPr>
              <w:t xml:space="preserve">Disengagement </w:t>
            </w:r>
            <w:r w:rsidR="00D57C9D">
              <w:rPr>
                <w:rFonts w:asciiTheme="majorHAnsi" w:hAnsiTheme="majorHAnsi" w:cstheme="majorHAnsi"/>
              </w:rPr>
              <w:t>f</w:t>
            </w:r>
            <w:r w:rsidR="00D57C9D" w:rsidRPr="001A3B9D">
              <w:rPr>
                <w:rFonts w:asciiTheme="majorHAnsi" w:hAnsiTheme="majorHAnsi" w:cstheme="majorHAnsi"/>
              </w:rPr>
              <w:t xml:space="preserve">rom School </w:t>
            </w:r>
            <w:r w:rsidR="00D57C9D">
              <w:rPr>
                <w:rFonts w:asciiTheme="majorHAnsi" w:hAnsiTheme="majorHAnsi" w:cstheme="majorHAnsi"/>
              </w:rPr>
              <w:t>a</w:t>
            </w:r>
            <w:r w:rsidR="00D57C9D" w:rsidRPr="001A3B9D">
              <w:rPr>
                <w:rFonts w:asciiTheme="majorHAnsi" w:hAnsiTheme="majorHAnsi" w:cstheme="majorHAnsi"/>
              </w:rPr>
              <w:t>nd Adult Education</w:t>
            </w:r>
          </w:p>
        </w:tc>
        <w:tc>
          <w:tcPr>
            <w:tcW w:w="2895" w:type="dxa"/>
            <w:vMerge/>
            <w:vAlign w:val="center"/>
          </w:tcPr>
          <w:p w14:paraId="6F2367D0" w14:textId="77777777" w:rsidR="00716FE3" w:rsidRPr="001A3B9D" w:rsidRDefault="00716FE3" w:rsidP="00741FC8">
            <w:pPr>
              <w:spacing w:before="140" w:after="140" w:line="240" w:lineRule="auto"/>
              <w:rPr>
                <w:rFonts w:asciiTheme="majorHAnsi" w:hAnsiTheme="majorHAnsi" w:cstheme="majorHAnsi"/>
              </w:rPr>
            </w:pPr>
          </w:p>
        </w:tc>
      </w:tr>
      <w:tr w:rsidR="00716FE3" w:rsidRPr="001A3B9D" w14:paraId="7844A25A" w14:textId="5982030E" w:rsidTr="00D57C9D">
        <w:trPr>
          <w:trHeight w:val="468"/>
        </w:trPr>
        <w:tc>
          <w:tcPr>
            <w:tcW w:w="724" w:type="dxa"/>
            <w:vAlign w:val="bottom"/>
          </w:tcPr>
          <w:p w14:paraId="0D1A07C5" w14:textId="77777777" w:rsidR="00716FE3" w:rsidRPr="001A3B9D" w:rsidRDefault="00716FE3" w:rsidP="00D57C9D">
            <w:pPr>
              <w:spacing w:line="240" w:lineRule="auto"/>
              <w:rPr>
                <w:rFonts w:asciiTheme="majorHAnsi" w:hAnsiTheme="majorHAnsi" w:cstheme="majorHAnsi"/>
              </w:rPr>
            </w:pPr>
            <w:r w:rsidRPr="001A3B9D">
              <w:rPr>
                <w:rFonts w:asciiTheme="majorHAnsi" w:hAnsiTheme="majorHAnsi" w:cstheme="majorHAnsi"/>
              </w:rPr>
              <w:t>3</w:t>
            </w:r>
          </w:p>
        </w:tc>
        <w:tc>
          <w:tcPr>
            <w:tcW w:w="5790" w:type="dxa"/>
            <w:vAlign w:val="bottom"/>
          </w:tcPr>
          <w:p w14:paraId="3AA8C970" w14:textId="77777777" w:rsidR="00716FE3" w:rsidRPr="001A3B9D" w:rsidRDefault="00716FE3" w:rsidP="00D57C9D">
            <w:pPr>
              <w:spacing w:line="240" w:lineRule="auto"/>
              <w:rPr>
                <w:rFonts w:asciiTheme="majorHAnsi" w:hAnsiTheme="majorHAnsi" w:cstheme="majorHAnsi"/>
              </w:rPr>
            </w:pPr>
            <w:r w:rsidRPr="001A3B9D">
              <w:rPr>
                <w:rFonts w:asciiTheme="majorHAnsi" w:hAnsiTheme="majorHAnsi" w:cstheme="majorHAnsi"/>
              </w:rPr>
              <w:t>Unemployment</w:t>
            </w:r>
          </w:p>
        </w:tc>
        <w:tc>
          <w:tcPr>
            <w:tcW w:w="2895" w:type="dxa"/>
            <w:vAlign w:val="bottom"/>
          </w:tcPr>
          <w:p w14:paraId="6BBC28A5" w14:textId="06FA483A" w:rsidR="00716FE3" w:rsidRPr="001A3B9D" w:rsidRDefault="00716FE3" w:rsidP="00D57C9D">
            <w:pPr>
              <w:spacing w:line="240" w:lineRule="auto"/>
              <w:rPr>
                <w:rFonts w:asciiTheme="majorHAnsi" w:hAnsiTheme="majorHAnsi" w:cstheme="majorHAnsi"/>
              </w:rPr>
            </w:pPr>
            <w:r w:rsidRPr="001A3B9D">
              <w:rPr>
                <w:rFonts w:asciiTheme="majorHAnsi" w:hAnsiTheme="majorHAnsi" w:cstheme="majorHAnsi"/>
              </w:rPr>
              <w:t>Employment</w:t>
            </w:r>
          </w:p>
        </w:tc>
      </w:tr>
      <w:tr w:rsidR="00716FE3" w:rsidRPr="001A3B9D" w14:paraId="7117A236" w14:textId="6B2A085C" w:rsidTr="00D57C9D">
        <w:trPr>
          <w:trHeight w:val="468"/>
        </w:trPr>
        <w:tc>
          <w:tcPr>
            <w:tcW w:w="724" w:type="dxa"/>
            <w:vAlign w:val="center"/>
          </w:tcPr>
          <w:p w14:paraId="5B29367D" w14:textId="77777777" w:rsidR="00716FE3" w:rsidRPr="001A3B9D" w:rsidRDefault="00716FE3" w:rsidP="00741FC8">
            <w:pPr>
              <w:spacing w:line="240" w:lineRule="auto"/>
              <w:rPr>
                <w:rFonts w:asciiTheme="majorHAnsi" w:hAnsiTheme="majorHAnsi" w:cstheme="majorHAnsi"/>
              </w:rPr>
            </w:pPr>
            <w:r w:rsidRPr="001A3B9D">
              <w:rPr>
                <w:rFonts w:asciiTheme="majorHAnsi" w:hAnsiTheme="majorHAnsi" w:cstheme="majorHAnsi"/>
              </w:rPr>
              <w:t>4</w:t>
            </w:r>
          </w:p>
        </w:tc>
        <w:tc>
          <w:tcPr>
            <w:tcW w:w="5790" w:type="dxa"/>
            <w:vAlign w:val="center"/>
          </w:tcPr>
          <w:p w14:paraId="571C3B31" w14:textId="68CC405C" w:rsidR="00716FE3" w:rsidRPr="001A3B9D" w:rsidRDefault="00716FE3" w:rsidP="00D57C9D">
            <w:pPr>
              <w:spacing w:line="240" w:lineRule="auto"/>
              <w:rPr>
                <w:rFonts w:asciiTheme="majorHAnsi" w:hAnsiTheme="majorHAnsi" w:cstheme="majorHAnsi"/>
              </w:rPr>
            </w:pPr>
            <w:r w:rsidRPr="001A3B9D">
              <w:rPr>
                <w:rFonts w:asciiTheme="majorHAnsi" w:hAnsiTheme="majorHAnsi" w:cstheme="majorHAnsi"/>
              </w:rPr>
              <w:t xml:space="preserve">Indigenous </w:t>
            </w:r>
            <w:r w:rsidR="00D57C9D" w:rsidRPr="001A3B9D">
              <w:rPr>
                <w:rFonts w:asciiTheme="majorHAnsi" w:hAnsiTheme="majorHAnsi" w:cstheme="majorHAnsi"/>
              </w:rPr>
              <w:t xml:space="preserve">Health </w:t>
            </w:r>
            <w:r w:rsidR="00D57C9D">
              <w:rPr>
                <w:rFonts w:asciiTheme="majorHAnsi" w:hAnsiTheme="majorHAnsi" w:cstheme="majorHAnsi"/>
              </w:rPr>
              <w:t>a</w:t>
            </w:r>
            <w:r w:rsidR="00D57C9D" w:rsidRPr="001A3B9D">
              <w:rPr>
                <w:rFonts w:asciiTheme="majorHAnsi" w:hAnsiTheme="majorHAnsi" w:cstheme="majorHAnsi"/>
              </w:rPr>
              <w:t>nd Wellbeing</w:t>
            </w:r>
          </w:p>
        </w:tc>
        <w:tc>
          <w:tcPr>
            <w:tcW w:w="2895" w:type="dxa"/>
            <w:vMerge w:val="restart"/>
            <w:vAlign w:val="center"/>
          </w:tcPr>
          <w:p w14:paraId="468FB179" w14:textId="08FA756E" w:rsidR="00716FE3" w:rsidRPr="001A3B9D" w:rsidRDefault="006B4429" w:rsidP="00741FC8">
            <w:pPr>
              <w:spacing w:line="240" w:lineRule="auto"/>
              <w:rPr>
                <w:rFonts w:asciiTheme="majorHAnsi" w:hAnsiTheme="majorHAnsi" w:cstheme="majorHAnsi"/>
              </w:rPr>
            </w:pPr>
            <w:r w:rsidRPr="001A3B9D">
              <w:rPr>
                <w:rFonts w:asciiTheme="majorHAnsi" w:hAnsiTheme="majorHAnsi" w:cstheme="majorHAnsi"/>
              </w:rPr>
              <w:t xml:space="preserve">  </w:t>
            </w:r>
            <w:r w:rsidR="00716FE3" w:rsidRPr="001A3B9D">
              <w:rPr>
                <w:rFonts w:asciiTheme="majorHAnsi" w:hAnsiTheme="majorHAnsi" w:cstheme="majorHAnsi"/>
              </w:rPr>
              <w:t>Health and Wellbeing</w:t>
            </w:r>
          </w:p>
        </w:tc>
      </w:tr>
      <w:tr w:rsidR="00716FE3" w:rsidRPr="001A3B9D" w14:paraId="3638853B" w14:textId="484E7D36" w:rsidTr="00D57C9D">
        <w:trPr>
          <w:trHeight w:val="468"/>
        </w:trPr>
        <w:tc>
          <w:tcPr>
            <w:tcW w:w="724" w:type="dxa"/>
            <w:vAlign w:val="center"/>
          </w:tcPr>
          <w:p w14:paraId="2D1D716B" w14:textId="77777777" w:rsidR="00716FE3" w:rsidRPr="001A3B9D" w:rsidRDefault="00716FE3" w:rsidP="00741FC8">
            <w:pPr>
              <w:spacing w:line="240" w:lineRule="auto"/>
              <w:rPr>
                <w:rFonts w:asciiTheme="majorHAnsi" w:hAnsiTheme="majorHAnsi" w:cstheme="majorHAnsi"/>
              </w:rPr>
            </w:pPr>
            <w:r w:rsidRPr="001A3B9D">
              <w:rPr>
                <w:rFonts w:asciiTheme="majorHAnsi" w:hAnsiTheme="majorHAnsi" w:cstheme="majorHAnsi"/>
              </w:rPr>
              <w:t>5</w:t>
            </w:r>
          </w:p>
        </w:tc>
        <w:tc>
          <w:tcPr>
            <w:tcW w:w="5790" w:type="dxa"/>
            <w:vAlign w:val="center"/>
          </w:tcPr>
          <w:p w14:paraId="5D94F2EE" w14:textId="173ACD7D" w:rsidR="00716FE3" w:rsidRPr="001A3B9D" w:rsidRDefault="00716FE3" w:rsidP="00D57C9D">
            <w:pPr>
              <w:spacing w:line="240" w:lineRule="auto"/>
              <w:rPr>
                <w:rFonts w:asciiTheme="majorHAnsi" w:hAnsiTheme="majorHAnsi" w:cstheme="majorHAnsi"/>
              </w:rPr>
            </w:pPr>
            <w:r w:rsidRPr="001A3B9D">
              <w:rPr>
                <w:rFonts w:asciiTheme="majorHAnsi" w:hAnsiTheme="majorHAnsi" w:cstheme="majorHAnsi"/>
              </w:rPr>
              <w:t xml:space="preserve">Food </w:t>
            </w:r>
            <w:r w:rsidR="00D57C9D" w:rsidRPr="001A3B9D">
              <w:rPr>
                <w:rFonts w:asciiTheme="majorHAnsi" w:hAnsiTheme="majorHAnsi" w:cstheme="majorHAnsi"/>
              </w:rPr>
              <w:t>Security</w:t>
            </w:r>
          </w:p>
        </w:tc>
        <w:tc>
          <w:tcPr>
            <w:tcW w:w="2895" w:type="dxa"/>
            <w:vMerge/>
            <w:vAlign w:val="center"/>
          </w:tcPr>
          <w:p w14:paraId="062653CB" w14:textId="77777777" w:rsidR="00716FE3" w:rsidRPr="001A3B9D" w:rsidRDefault="00716FE3" w:rsidP="00741FC8">
            <w:pPr>
              <w:spacing w:line="240" w:lineRule="auto"/>
              <w:rPr>
                <w:rFonts w:asciiTheme="majorHAnsi" w:hAnsiTheme="majorHAnsi" w:cstheme="majorHAnsi"/>
              </w:rPr>
            </w:pPr>
          </w:p>
        </w:tc>
      </w:tr>
      <w:tr w:rsidR="00716FE3" w:rsidRPr="001A3B9D" w14:paraId="2D28C57A" w14:textId="507F85D7" w:rsidTr="00D57C9D">
        <w:trPr>
          <w:trHeight w:val="468"/>
        </w:trPr>
        <w:tc>
          <w:tcPr>
            <w:tcW w:w="724" w:type="dxa"/>
            <w:vAlign w:val="center"/>
          </w:tcPr>
          <w:p w14:paraId="2E2F92E0" w14:textId="77777777" w:rsidR="00716FE3" w:rsidRPr="001A3B9D" w:rsidRDefault="00716FE3" w:rsidP="00741FC8">
            <w:pPr>
              <w:spacing w:line="240" w:lineRule="auto"/>
              <w:rPr>
                <w:rFonts w:asciiTheme="majorHAnsi" w:hAnsiTheme="majorHAnsi" w:cstheme="majorHAnsi"/>
              </w:rPr>
            </w:pPr>
            <w:r w:rsidRPr="001A3B9D">
              <w:rPr>
                <w:rFonts w:asciiTheme="majorHAnsi" w:hAnsiTheme="majorHAnsi" w:cstheme="majorHAnsi"/>
              </w:rPr>
              <w:t>6</w:t>
            </w:r>
          </w:p>
        </w:tc>
        <w:tc>
          <w:tcPr>
            <w:tcW w:w="5790" w:type="dxa"/>
            <w:vAlign w:val="center"/>
          </w:tcPr>
          <w:p w14:paraId="72226926" w14:textId="3E5A5312" w:rsidR="00716FE3" w:rsidRPr="001A3B9D" w:rsidRDefault="00716FE3" w:rsidP="00D57C9D">
            <w:pPr>
              <w:spacing w:line="240" w:lineRule="auto"/>
              <w:rPr>
                <w:rFonts w:asciiTheme="majorHAnsi" w:hAnsiTheme="majorHAnsi" w:cstheme="majorHAnsi"/>
              </w:rPr>
            </w:pPr>
            <w:r w:rsidRPr="001A3B9D">
              <w:rPr>
                <w:rFonts w:asciiTheme="majorHAnsi" w:hAnsiTheme="majorHAnsi" w:cstheme="majorHAnsi"/>
              </w:rPr>
              <w:t xml:space="preserve">Access </w:t>
            </w:r>
            <w:r w:rsidR="00D57C9D">
              <w:rPr>
                <w:rFonts w:asciiTheme="majorHAnsi" w:hAnsiTheme="majorHAnsi" w:cstheme="majorHAnsi"/>
              </w:rPr>
              <w:t>t</w:t>
            </w:r>
            <w:r w:rsidR="00D57C9D" w:rsidRPr="001A3B9D">
              <w:rPr>
                <w:rFonts w:asciiTheme="majorHAnsi" w:hAnsiTheme="majorHAnsi" w:cstheme="majorHAnsi"/>
              </w:rPr>
              <w:t>o Health Services</w:t>
            </w:r>
          </w:p>
        </w:tc>
        <w:tc>
          <w:tcPr>
            <w:tcW w:w="2895" w:type="dxa"/>
            <w:vMerge/>
            <w:vAlign w:val="center"/>
          </w:tcPr>
          <w:p w14:paraId="473E5B60" w14:textId="77777777" w:rsidR="00716FE3" w:rsidRPr="001A3B9D" w:rsidRDefault="00716FE3" w:rsidP="00741FC8">
            <w:pPr>
              <w:spacing w:line="240" w:lineRule="auto"/>
              <w:rPr>
                <w:rFonts w:asciiTheme="majorHAnsi" w:hAnsiTheme="majorHAnsi" w:cstheme="majorHAnsi"/>
              </w:rPr>
            </w:pPr>
          </w:p>
        </w:tc>
      </w:tr>
      <w:tr w:rsidR="00716FE3" w:rsidRPr="001A3B9D" w14:paraId="72B51930" w14:textId="100C95DA" w:rsidTr="00D57C9D">
        <w:trPr>
          <w:trHeight w:val="468"/>
        </w:trPr>
        <w:tc>
          <w:tcPr>
            <w:tcW w:w="724" w:type="dxa"/>
            <w:vAlign w:val="center"/>
          </w:tcPr>
          <w:p w14:paraId="19C5ECE7" w14:textId="77777777" w:rsidR="00716FE3" w:rsidRPr="001A3B9D" w:rsidRDefault="00716FE3" w:rsidP="00741FC8">
            <w:pPr>
              <w:spacing w:line="240" w:lineRule="auto"/>
              <w:rPr>
                <w:rFonts w:asciiTheme="majorHAnsi" w:hAnsiTheme="majorHAnsi" w:cstheme="majorHAnsi"/>
              </w:rPr>
            </w:pPr>
            <w:r w:rsidRPr="001A3B9D">
              <w:rPr>
                <w:rFonts w:asciiTheme="majorHAnsi" w:hAnsiTheme="majorHAnsi" w:cstheme="majorHAnsi"/>
              </w:rPr>
              <w:t>7</w:t>
            </w:r>
          </w:p>
        </w:tc>
        <w:tc>
          <w:tcPr>
            <w:tcW w:w="5790" w:type="dxa"/>
            <w:vAlign w:val="center"/>
          </w:tcPr>
          <w:p w14:paraId="591E1915" w14:textId="4C9C45DD" w:rsidR="00716FE3" w:rsidRPr="001A3B9D" w:rsidRDefault="00716FE3" w:rsidP="00D57C9D">
            <w:pPr>
              <w:spacing w:line="240" w:lineRule="auto"/>
              <w:rPr>
                <w:rFonts w:asciiTheme="majorHAnsi" w:hAnsiTheme="majorHAnsi" w:cstheme="majorHAnsi"/>
              </w:rPr>
            </w:pPr>
            <w:r w:rsidRPr="001A3B9D">
              <w:rPr>
                <w:rFonts w:asciiTheme="majorHAnsi" w:hAnsiTheme="majorHAnsi" w:cstheme="majorHAnsi"/>
              </w:rPr>
              <w:t xml:space="preserve">Mental </w:t>
            </w:r>
            <w:r w:rsidR="00D57C9D" w:rsidRPr="001A3B9D">
              <w:rPr>
                <w:rFonts w:asciiTheme="majorHAnsi" w:hAnsiTheme="majorHAnsi" w:cstheme="majorHAnsi"/>
              </w:rPr>
              <w:t xml:space="preserve">Health </w:t>
            </w:r>
            <w:r w:rsidR="00D57C9D">
              <w:rPr>
                <w:rFonts w:asciiTheme="majorHAnsi" w:hAnsiTheme="majorHAnsi" w:cstheme="majorHAnsi"/>
              </w:rPr>
              <w:t>a</w:t>
            </w:r>
            <w:r w:rsidR="00D57C9D" w:rsidRPr="001A3B9D">
              <w:rPr>
                <w:rFonts w:asciiTheme="majorHAnsi" w:hAnsiTheme="majorHAnsi" w:cstheme="majorHAnsi"/>
              </w:rPr>
              <w:t>nd Wellbeing</w:t>
            </w:r>
          </w:p>
        </w:tc>
        <w:tc>
          <w:tcPr>
            <w:tcW w:w="2895" w:type="dxa"/>
            <w:vMerge/>
            <w:vAlign w:val="center"/>
          </w:tcPr>
          <w:p w14:paraId="4DDD7C00" w14:textId="77777777" w:rsidR="00716FE3" w:rsidRPr="001A3B9D" w:rsidRDefault="00716FE3" w:rsidP="00741FC8">
            <w:pPr>
              <w:spacing w:line="240" w:lineRule="auto"/>
              <w:rPr>
                <w:rFonts w:asciiTheme="majorHAnsi" w:hAnsiTheme="majorHAnsi" w:cstheme="majorHAnsi"/>
              </w:rPr>
            </w:pPr>
          </w:p>
        </w:tc>
      </w:tr>
      <w:tr w:rsidR="00716FE3" w:rsidRPr="001A3B9D" w14:paraId="3C41B6CE" w14:textId="1067C007" w:rsidTr="00D57C9D">
        <w:trPr>
          <w:trHeight w:val="468"/>
        </w:trPr>
        <w:tc>
          <w:tcPr>
            <w:tcW w:w="724" w:type="dxa"/>
            <w:vAlign w:val="center"/>
          </w:tcPr>
          <w:p w14:paraId="56FA4647" w14:textId="77777777" w:rsidR="00716FE3" w:rsidRPr="001A3B9D" w:rsidRDefault="00716FE3" w:rsidP="00741FC8">
            <w:pPr>
              <w:spacing w:line="240" w:lineRule="auto"/>
              <w:rPr>
                <w:rFonts w:asciiTheme="majorHAnsi" w:hAnsiTheme="majorHAnsi" w:cstheme="majorHAnsi"/>
              </w:rPr>
            </w:pPr>
            <w:r w:rsidRPr="001A3B9D">
              <w:rPr>
                <w:rFonts w:asciiTheme="majorHAnsi" w:hAnsiTheme="majorHAnsi" w:cstheme="majorHAnsi"/>
              </w:rPr>
              <w:t>8</w:t>
            </w:r>
          </w:p>
        </w:tc>
        <w:tc>
          <w:tcPr>
            <w:tcW w:w="5790" w:type="dxa"/>
            <w:vAlign w:val="center"/>
          </w:tcPr>
          <w:p w14:paraId="5A66FE96" w14:textId="4CCBBD70" w:rsidR="00716FE3" w:rsidRPr="001A3B9D" w:rsidRDefault="00716FE3" w:rsidP="00D57C9D">
            <w:pPr>
              <w:spacing w:line="240" w:lineRule="auto"/>
              <w:rPr>
                <w:rFonts w:asciiTheme="majorHAnsi" w:hAnsiTheme="majorHAnsi" w:cstheme="majorHAnsi"/>
              </w:rPr>
            </w:pPr>
            <w:r w:rsidRPr="001A3B9D">
              <w:rPr>
                <w:rFonts w:asciiTheme="majorHAnsi" w:hAnsiTheme="majorHAnsi" w:cstheme="majorHAnsi"/>
              </w:rPr>
              <w:t xml:space="preserve">Domestic </w:t>
            </w:r>
            <w:r w:rsidR="00D57C9D" w:rsidRPr="001A3B9D">
              <w:rPr>
                <w:rFonts w:asciiTheme="majorHAnsi" w:hAnsiTheme="majorHAnsi" w:cstheme="majorHAnsi"/>
              </w:rPr>
              <w:t>Violence</w:t>
            </w:r>
          </w:p>
        </w:tc>
        <w:tc>
          <w:tcPr>
            <w:tcW w:w="2895" w:type="dxa"/>
            <w:vMerge/>
            <w:vAlign w:val="center"/>
          </w:tcPr>
          <w:p w14:paraId="773E850A" w14:textId="77777777" w:rsidR="00716FE3" w:rsidRPr="001A3B9D" w:rsidRDefault="00716FE3" w:rsidP="00741FC8">
            <w:pPr>
              <w:spacing w:line="240" w:lineRule="auto"/>
              <w:rPr>
                <w:rFonts w:asciiTheme="majorHAnsi" w:hAnsiTheme="majorHAnsi" w:cstheme="majorHAnsi"/>
              </w:rPr>
            </w:pPr>
          </w:p>
        </w:tc>
      </w:tr>
      <w:tr w:rsidR="00716FE3" w:rsidRPr="001A3B9D" w14:paraId="7ADB314F" w14:textId="59F29DB7" w:rsidTr="00D57C9D">
        <w:trPr>
          <w:trHeight w:val="468"/>
        </w:trPr>
        <w:tc>
          <w:tcPr>
            <w:tcW w:w="724" w:type="dxa"/>
            <w:vAlign w:val="center"/>
          </w:tcPr>
          <w:p w14:paraId="1337A911" w14:textId="77777777" w:rsidR="00716FE3" w:rsidRPr="001A3B9D" w:rsidRDefault="00716FE3" w:rsidP="00741FC8">
            <w:pPr>
              <w:spacing w:before="120" w:after="120" w:line="240" w:lineRule="auto"/>
              <w:rPr>
                <w:rFonts w:asciiTheme="majorHAnsi" w:hAnsiTheme="majorHAnsi" w:cstheme="majorHAnsi"/>
              </w:rPr>
            </w:pPr>
            <w:r w:rsidRPr="001A3B9D">
              <w:rPr>
                <w:rFonts w:asciiTheme="majorHAnsi" w:hAnsiTheme="majorHAnsi" w:cstheme="majorHAnsi"/>
              </w:rPr>
              <w:t>9</w:t>
            </w:r>
          </w:p>
        </w:tc>
        <w:tc>
          <w:tcPr>
            <w:tcW w:w="5790" w:type="dxa"/>
            <w:vAlign w:val="center"/>
          </w:tcPr>
          <w:p w14:paraId="595DB44F" w14:textId="30FD783B" w:rsidR="00716FE3" w:rsidRPr="001A3B9D" w:rsidRDefault="00716FE3" w:rsidP="00D57C9D">
            <w:pPr>
              <w:spacing w:before="120" w:after="120" w:line="240" w:lineRule="auto"/>
              <w:rPr>
                <w:rFonts w:asciiTheme="majorHAnsi" w:hAnsiTheme="majorHAnsi" w:cstheme="majorHAnsi"/>
              </w:rPr>
            </w:pPr>
            <w:r w:rsidRPr="001A3B9D">
              <w:rPr>
                <w:rFonts w:asciiTheme="majorHAnsi" w:hAnsiTheme="majorHAnsi" w:cstheme="majorHAnsi"/>
              </w:rPr>
              <w:t xml:space="preserve">Housing </w:t>
            </w:r>
            <w:r w:rsidR="00D57C9D" w:rsidRPr="001A3B9D">
              <w:rPr>
                <w:rFonts w:asciiTheme="majorHAnsi" w:hAnsiTheme="majorHAnsi" w:cstheme="majorHAnsi"/>
              </w:rPr>
              <w:t>Stress</w:t>
            </w:r>
            <w:r w:rsidR="00D57C9D">
              <w:rPr>
                <w:rFonts w:asciiTheme="majorHAnsi" w:hAnsiTheme="majorHAnsi" w:cstheme="majorHAnsi"/>
              </w:rPr>
              <w:t>, Housing Precarity,</w:t>
            </w:r>
            <w:r w:rsidR="00D57C9D" w:rsidRPr="001A3B9D">
              <w:rPr>
                <w:rFonts w:asciiTheme="majorHAnsi" w:hAnsiTheme="majorHAnsi" w:cstheme="majorHAnsi"/>
              </w:rPr>
              <w:t xml:space="preserve"> </w:t>
            </w:r>
            <w:r w:rsidR="00D57C9D">
              <w:rPr>
                <w:rFonts w:asciiTheme="majorHAnsi" w:hAnsiTheme="majorHAnsi" w:cstheme="majorHAnsi"/>
              </w:rPr>
              <w:t>a</w:t>
            </w:r>
            <w:r w:rsidR="00D57C9D" w:rsidRPr="001A3B9D">
              <w:rPr>
                <w:rFonts w:asciiTheme="majorHAnsi" w:hAnsiTheme="majorHAnsi" w:cstheme="majorHAnsi"/>
              </w:rPr>
              <w:t>nd Homelessness</w:t>
            </w:r>
          </w:p>
        </w:tc>
        <w:tc>
          <w:tcPr>
            <w:tcW w:w="2895" w:type="dxa"/>
            <w:vMerge w:val="restart"/>
            <w:vAlign w:val="center"/>
          </w:tcPr>
          <w:p w14:paraId="4B9961C0" w14:textId="5CD17535" w:rsidR="00716FE3" w:rsidRPr="001A3B9D" w:rsidRDefault="006B4429" w:rsidP="00741FC8">
            <w:pPr>
              <w:spacing w:before="120" w:after="120" w:line="240" w:lineRule="auto"/>
              <w:rPr>
                <w:rFonts w:asciiTheme="majorHAnsi" w:hAnsiTheme="majorHAnsi" w:cstheme="majorHAnsi"/>
              </w:rPr>
            </w:pPr>
            <w:r w:rsidRPr="001A3B9D">
              <w:rPr>
                <w:rFonts w:asciiTheme="majorHAnsi" w:hAnsiTheme="majorHAnsi" w:cstheme="majorHAnsi"/>
              </w:rPr>
              <w:t xml:space="preserve">  </w:t>
            </w:r>
            <w:r w:rsidR="00716FE3" w:rsidRPr="001A3B9D">
              <w:rPr>
                <w:rFonts w:asciiTheme="majorHAnsi" w:hAnsiTheme="majorHAnsi" w:cstheme="majorHAnsi"/>
              </w:rPr>
              <w:t>Housing</w:t>
            </w:r>
          </w:p>
        </w:tc>
      </w:tr>
      <w:tr w:rsidR="00716FE3" w:rsidRPr="001A3B9D" w14:paraId="26837AFD" w14:textId="7A0EEA14" w:rsidTr="00D57C9D">
        <w:trPr>
          <w:trHeight w:val="468"/>
        </w:trPr>
        <w:tc>
          <w:tcPr>
            <w:tcW w:w="724" w:type="dxa"/>
            <w:vAlign w:val="center"/>
          </w:tcPr>
          <w:p w14:paraId="78966563" w14:textId="77777777" w:rsidR="00716FE3" w:rsidRPr="001A3B9D" w:rsidRDefault="00716FE3" w:rsidP="00741FC8">
            <w:pPr>
              <w:spacing w:before="120" w:after="120" w:line="240" w:lineRule="auto"/>
              <w:rPr>
                <w:rFonts w:asciiTheme="majorHAnsi" w:hAnsiTheme="majorHAnsi" w:cstheme="majorHAnsi"/>
              </w:rPr>
            </w:pPr>
            <w:r w:rsidRPr="001A3B9D">
              <w:rPr>
                <w:rFonts w:asciiTheme="majorHAnsi" w:hAnsiTheme="majorHAnsi" w:cstheme="majorHAnsi"/>
              </w:rPr>
              <w:t>10</w:t>
            </w:r>
          </w:p>
        </w:tc>
        <w:tc>
          <w:tcPr>
            <w:tcW w:w="5790" w:type="dxa"/>
            <w:vAlign w:val="center"/>
          </w:tcPr>
          <w:p w14:paraId="3CBC7FE6" w14:textId="117E0260" w:rsidR="00716FE3" w:rsidRPr="001A3B9D" w:rsidRDefault="00716FE3" w:rsidP="00D57C9D">
            <w:pPr>
              <w:spacing w:before="120" w:after="120" w:line="240" w:lineRule="auto"/>
              <w:rPr>
                <w:rFonts w:asciiTheme="majorHAnsi" w:hAnsiTheme="majorHAnsi" w:cstheme="majorHAnsi"/>
              </w:rPr>
            </w:pPr>
            <w:r w:rsidRPr="001A3B9D">
              <w:rPr>
                <w:rFonts w:asciiTheme="majorHAnsi" w:hAnsiTheme="majorHAnsi" w:cstheme="majorHAnsi"/>
              </w:rPr>
              <w:t xml:space="preserve">Housing </w:t>
            </w:r>
            <w:r w:rsidR="00D57C9D" w:rsidRPr="001A3B9D">
              <w:rPr>
                <w:rFonts w:asciiTheme="majorHAnsi" w:hAnsiTheme="majorHAnsi" w:cstheme="majorHAnsi"/>
              </w:rPr>
              <w:t>Upgrade</w:t>
            </w:r>
          </w:p>
        </w:tc>
        <w:tc>
          <w:tcPr>
            <w:tcW w:w="2895" w:type="dxa"/>
            <w:vMerge/>
            <w:vAlign w:val="center"/>
          </w:tcPr>
          <w:p w14:paraId="2937036B" w14:textId="77777777" w:rsidR="00716FE3" w:rsidRPr="001A3B9D" w:rsidRDefault="00716FE3" w:rsidP="00741FC8">
            <w:pPr>
              <w:spacing w:before="120" w:after="120" w:line="240" w:lineRule="auto"/>
              <w:rPr>
                <w:rFonts w:asciiTheme="majorHAnsi" w:hAnsiTheme="majorHAnsi" w:cstheme="majorHAnsi"/>
              </w:rPr>
            </w:pPr>
          </w:p>
        </w:tc>
      </w:tr>
      <w:tr w:rsidR="00716FE3" w:rsidRPr="001A3B9D" w14:paraId="73E500A0" w14:textId="3754921B" w:rsidTr="00D57C9D">
        <w:trPr>
          <w:trHeight w:val="468"/>
        </w:trPr>
        <w:tc>
          <w:tcPr>
            <w:tcW w:w="724" w:type="dxa"/>
            <w:vAlign w:val="center"/>
          </w:tcPr>
          <w:p w14:paraId="5888E78D" w14:textId="77777777" w:rsidR="00716FE3" w:rsidRPr="001A3B9D" w:rsidRDefault="00716FE3" w:rsidP="00741FC8">
            <w:pPr>
              <w:spacing w:line="240" w:lineRule="auto"/>
              <w:rPr>
                <w:rFonts w:asciiTheme="majorHAnsi" w:hAnsiTheme="majorHAnsi" w:cstheme="majorHAnsi"/>
              </w:rPr>
            </w:pPr>
            <w:r w:rsidRPr="001A3B9D">
              <w:rPr>
                <w:rFonts w:asciiTheme="majorHAnsi" w:hAnsiTheme="majorHAnsi" w:cstheme="majorHAnsi"/>
              </w:rPr>
              <w:t>11</w:t>
            </w:r>
          </w:p>
        </w:tc>
        <w:tc>
          <w:tcPr>
            <w:tcW w:w="5790" w:type="dxa"/>
            <w:vAlign w:val="center"/>
          </w:tcPr>
          <w:p w14:paraId="1727FB6B" w14:textId="5AFB99D0" w:rsidR="00716FE3" w:rsidRPr="001A3B9D" w:rsidRDefault="00716FE3" w:rsidP="00D57C9D">
            <w:pPr>
              <w:spacing w:line="240" w:lineRule="auto"/>
              <w:rPr>
                <w:rFonts w:asciiTheme="majorHAnsi" w:hAnsiTheme="majorHAnsi" w:cstheme="majorHAnsi"/>
              </w:rPr>
            </w:pPr>
            <w:r w:rsidRPr="001A3B9D">
              <w:rPr>
                <w:rFonts w:asciiTheme="majorHAnsi" w:hAnsiTheme="majorHAnsi" w:cstheme="majorHAnsi"/>
              </w:rPr>
              <w:t xml:space="preserve">Mobility </w:t>
            </w:r>
            <w:r w:rsidR="00D57C9D">
              <w:rPr>
                <w:rFonts w:asciiTheme="majorHAnsi" w:hAnsiTheme="majorHAnsi" w:cstheme="majorHAnsi"/>
              </w:rPr>
              <w:t>a</w:t>
            </w:r>
            <w:r w:rsidR="00D57C9D" w:rsidRPr="001A3B9D">
              <w:rPr>
                <w:rFonts w:asciiTheme="majorHAnsi" w:hAnsiTheme="majorHAnsi" w:cstheme="majorHAnsi"/>
              </w:rPr>
              <w:t>nd Accessibility</w:t>
            </w:r>
          </w:p>
        </w:tc>
        <w:tc>
          <w:tcPr>
            <w:tcW w:w="2895" w:type="dxa"/>
            <w:vMerge w:val="restart"/>
            <w:vAlign w:val="center"/>
          </w:tcPr>
          <w:p w14:paraId="4275F98A" w14:textId="5720002F" w:rsidR="00716FE3" w:rsidRPr="001A3B9D" w:rsidRDefault="006B4429" w:rsidP="00741FC8">
            <w:pPr>
              <w:spacing w:line="240" w:lineRule="auto"/>
              <w:rPr>
                <w:rFonts w:asciiTheme="majorHAnsi" w:hAnsiTheme="majorHAnsi" w:cstheme="majorHAnsi"/>
              </w:rPr>
            </w:pPr>
            <w:r w:rsidRPr="001A3B9D">
              <w:rPr>
                <w:rFonts w:asciiTheme="majorHAnsi" w:hAnsiTheme="majorHAnsi" w:cstheme="majorHAnsi"/>
              </w:rPr>
              <w:t xml:space="preserve">  </w:t>
            </w:r>
            <w:r w:rsidR="00716FE3" w:rsidRPr="001A3B9D">
              <w:rPr>
                <w:rFonts w:asciiTheme="majorHAnsi" w:hAnsiTheme="majorHAnsi" w:cstheme="majorHAnsi"/>
              </w:rPr>
              <w:t>Liveability</w:t>
            </w:r>
          </w:p>
        </w:tc>
      </w:tr>
      <w:tr w:rsidR="00716FE3" w:rsidRPr="001A3B9D" w14:paraId="7F8501EF" w14:textId="46DFF49B" w:rsidTr="00D57C9D">
        <w:trPr>
          <w:trHeight w:val="468"/>
        </w:trPr>
        <w:tc>
          <w:tcPr>
            <w:tcW w:w="724" w:type="dxa"/>
            <w:vAlign w:val="center"/>
          </w:tcPr>
          <w:p w14:paraId="00D683DB" w14:textId="77777777" w:rsidR="00716FE3" w:rsidRPr="001A3B9D" w:rsidRDefault="00716FE3" w:rsidP="00741FC8">
            <w:pPr>
              <w:spacing w:line="240" w:lineRule="auto"/>
              <w:rPr>
                <w:rFonts w:asciiTheme="majorHAnsi" w:hAnsiTheme="majorHAnsi" w:cstheme="majorHAnsi"/>
              </w:rPr>
            </w:pPr>
            <w:r w:rsidRPr="001A3B9D">
              <w:rPr>
                <w:rFonts w:asciiTheme="majorHAnsi" w:hAnsiTheme="majorHAnsi" w:cstheme="majorHAnsi"/>
              </w:rPr>
              <w:t>12</w:t>
            </w:r>
          </w:p>
        </w:tc>
        <w:tc>
          <w:tcPr>
            <w:tcW w:w="5790" w:type="dxa"/>
            <w:vAlign w:val="center"/>
          </w:tcPr>
          <w:p w14:paraId="408D15AA" w14:textId="7590099E" w:rsidR="00716FE3" w:rsidRPr="001A3B9D" w:rsidRDefault="00A545DD" w:rsidP="00D57C9D">
            <w:pPr>
              <w:spacing w:line="240" w:lineRule="auto"/>
              <w:rPr>
                <w:rFonts w:asciiTheme="majorHAnsi" w:hAnsiTheme="majorHAnsi" w:cstheme="majorHAnsi"/>
              </w:rPr>
            </w:pPr>
            <w:r w:rsidRPr="00A545DD">
              <w:rPr>
                <w:rFonts w:asciiTheme="majorHAnsi" w:hAnsiTheme="majorHAnsi" w:cstheme="majorHAnsi"/>
              </w:rPr>
              <w:t xml:space="preserve">Neighbourhood Revitalisation </w:t>
            </w:r>
            <w:r>
              <w:rPr>
                <w:rFonts w:asciiTheme="majorHAnsi" w:hAnsiTheme="majorHAnsi" w:cstheme="majorHAnsi"/>
              </w:rPr>
              <w:t>a</w:t>
            </w:r>
            <w:r w:rsidRPr="00A545DD">
              <w:rPr>
                <w:rFonts w:asciiTheme="majorHAnsi" w:hAnsiTheme="majorHAnsi" w:cstheme="majorHAnsi"/>
              </w:rPr>
              <w:t xml:space="preserve">nd Public Space </w:t>
            </w:r>
            <w:r>
              <w:rPr>
                <w:rFonts w:asciiTheme="majorHAnsi" w:hAnsiTheme="majorHAnsi" w:cstheme="majorHAnsi"/>
              </w:rPr>
              <w:t>Improvements</w:t>
            </w:r>
          </w:p>
        </w:tc>
        <w:tc>
          <w:tcPr>
            <w:tcW w:w="2895" w:type="dxa"/>
            <w:vMerge/>
          </w:tcPr>
          <w:p w14:paraId="18B7CBEE" w14:textId="77777777" w:rsidR="00716FE3" w:rsidRPr="001A3B9D" w:rsidRDefault="00716FE3" w:rsidP="00741FC8">
            <w:pPr>
              <w:spacing w:line="240" w:lineRule="auto"/>
              <w:rPr>
                <w:rFonts w:asciiTheme="majorHAnsi" w:hAnsiTheme="majorHAnsi" w:cstheme="majorHAnsi"/>
              </w:rPr>
            </w:pPr>
          </w:p>
        </w:tc>
      </w:tr>
      <w:tr w:rsidR="00716FE3" w:rsidRPr="001A3B9D" w14:paraId="74A1A733" w14:textId="4FA639DF" w:rsidTr="00D57C9D">
        <w:trPr>
          <w:trHeight w:val="468"/>
        </w:trPr>
        <w:tc>
          <w:tcPr>
            <w:tcW w:w="724" w:type="dxa"/>
            <w:vAlign w:val="center"/>
          </w:tcPr>
          <w:p w14:paraId="47A1FAD4" w14:textId="77777777" w:rsidR="00716FE3" w:rsidRPr="001A3B9D" w:rsidRDefault="00716FE3" w:rsidP="00741FC8">
            <w:pPr>
              <w:spacing w:line="240" w:lineRule="auto"/>
              <w:rPr>
                <w:rFonts w:asciiTheme="majorHAnsi" w:hAnsiTheme="majorHAnsi" w:cstheme="majorHAnsi"/>
              </w:rPr>
            </w:pPr>
            <w:r w:rsidRPr="001A3B9D">
              <w:rPr>
                <w:rFonts w:asciiTheme="majorHAnsi" w:hAnsiTheme="majorHAnsi" w:cstheme="majorHAnsi"/>
              </w:rPr>
              <w:t>13</w:t>
            </w:r>
          </w:p>
        </w:tc>
        <w:tc>
          <w:tcPr>
            <w:tcW w:w="5790" w:type="dxa"/>
            <w:vAlign w:val="center"/>
          </w:tcPr>
          <w:p w14:paraId="2C2077D3" w14:textId="796162C9" w:rsidR="00716FE3" w:rsidRPr="001A3B9D" w:rsidRDefault="00716FE3" w:rsidP="00D57C9D">
            <w:pPr>
              <w:spacing w:line="240" w:lineRule="auto"/>
              <w:rPr>
                <w:rFonts w:asciiTheme="majorHAnsi" w:hAnsiTheme="majorHAnsi" w:cstheme="majorHAnsi"/>
              </w:rPr>
            </w:pPr>
            <w:r w:rsidRPr="001A3B9D">
              <w:rPr>
                <w:rFonts w:asciiTheme="majorHAnsi" w:hAnsiTheme="majorHAnsi" w:cstheme="majorHAnsi"/>
              </w:rPr>
              <w:t xml:space="preserve">Social </w:t>
            </w:r>
            <w:r w:rsidR="00D57C9D" w:rsidRPr="001A3B9D">
              <w:rPr>
                <w:rFonts w:asciiTheme="majorHAnsi" w:hAnsiTheme="majorHAnsi" w:cstheme="majorHAnsi"/>
              </w:rPr>
              <w:t>Isolation</w:t>
            </w:r>
          </w:p>
        </w:tc>
        <w:tc>
          <w:tcPr>
            <w:tcW w:w="2895" w:type="dxa"/>
            <w:vMerge/>
          </w:tcPr>
          <w:p w14:paraId="37070923" w14:textId="77777777" w:rsidR="00716FE3" w:rsidRPr="001A3B9D" w:rsidRDefault="00716FE3" w:rsidP="00741FC8">
            <w:pPr>
              <w:spacing w:line="240" w:lineRule="auto"/>
              <w:rPr>
                <w:rFonts w:asciiTheme="majorHAnsi" w:hAnsiTheme="majorHAnsi" w:cstheme="majorHAnsi"/>
              </w:rPr>
            </w:pPr>
          </w:p>
        </w:tc>
      </w:tr>
      <w:tr w:rsidR="00716FE3" w:rsidRPr="001A3B9D" w14:paraId="03D545B5" w14:textId="24005639" w:rsidTr="00D57C9D">
        <w:trPr>
          <w:trHeight w:val="468"/>
        </w:trPr>
        <w:tc>
          <w:tcPr>
            <w:tcW w:w="724" w:type="dxa"/>
            <w:vAlign w:val="center"/>
          </w:tcPr>
          <w:p w14:paraId="0634AAE3" w14:textId="77777777" w:rsidR="00716FE3" w:rsidRPr="001A3B9D" w:rsidRDefault="00716FE3" w:rsidP="00741FC8">
            <w:pPr>
              <w:spacing w:line="240" w:lineRule="auto"/>
              <w:rPr>
                <w:rFonts w:asciiTheme="majorHAnsi" w:hAnsiTheme="majorHAnsi" w:cstheme="majorHAnsi"/>
              </w:rPr>
            </w:pPr>
            <w:r w:rsidRPr="001A3B9D">
              <w:rPr>
                <w:rFonts w:asciiTheme="majorHAnsi" w:hAnsiTheme="majorHAnsi" w:cstheme="majorHAnsi"/>
              </w:rPr>
              <w:t>14</w:t>
            </w:r>
          </w:p>
        </w:tc>
        <w:tc>
          <w:tcPr>
            <w:tcW w:w="5790" w:type="dxa"/>
            <w:vAlign w:val="center"/>
          </w:tcPr>
          <w:p w14:paraId="2D8C8BA0" w14:textId="29E69F1F" w:rsidR="00716FE3" w:rsidRPr="001A3B9D" w:rsidRDefault="00716FE3" w:rsidP="00D57C9D">
            <w:pPr>
              <w:spacing w:line="240" w:lineRule="auto"/>
              <w:rPr>
                <w:rFonts w:asciiTheme="majorHAnsi" w:hAnsiTheme="majorHAnsi" w:cstheme="majorHAnsi"/>
              </w:rPr>
            </w:pPr>
            <w:r w:rsidRPr="001A3B9D">
              <w:rPr>
                <w:rFonts w:asciiTheme="majorHAnsi" w:hAnsiTheme="majorHAnsi" w:cstheme="majorHAnsi"/>
              </w:rPr>
              <w:t>Place</w:t>
            </w:r>
            <w:r w:rsidR="00D57C9D" w:rsidRPr="001A3B9D">
              <w:rPr>
                <w:rFonts w:asciiTheme="majorHAnsi" w:hAnsiTheme="majorHAnsi" w:cstheme="majorHAnsi"/>
              </w:rPr>
              <w:t>-Based Stigma</w:t>
            </w:r>
          </w:p>
        </w:tc>
        <w:tc>
          <w:tcPr>
            <w:tcW w:w="2895" w:type="dxa"/>
            <w:vMerge/>
          </w:tcPr>
          <w:p w14:paraId="3BF89EF3" w14:textId="77777777" w:rsidR="00716FE3" w:rsidRPr="001A3B9D" w:rsidRDefault="00716FE3" w:rsidP="00741FC8">
            <w:pPr>
              <w:spacing w:line="240" w:lineRule="auto"/>
              <w:rPr>
                <w:rFonts w:asciiTheme="majorHAnsi" w:hAnsiTheme="majorHAnsi" w:cstheme="majorHAnsi"/>
              </w:rPr>
            </w:pPr>
          </w:p>
        </w:tc>
      </w:tr>
    </w:tbl>
    <w:p w14:paraId="27DFD64B" w14:textId="59EF0FBC" w:rsidR="00F00E3D" w:rsidRPr="008E171B" w:rsidRDefault="00A623AE" w:rsidP="00D04153">
      <w:pPr>
        <w:spacing w:after="0"/>
        <w:rPr>
          <w:rFonts w:cstheme="minorHAnsi"/>
          <w:b/>
          <w:bCs/>
          <w:sz w:val="21"/>
          <w:szCs w:val="21"/>
        </w:rPr>
      </w:pPr>
      <w:r w:rsidRPr="001A3B9D">
        <w:rPr>
          <w:rFonts w:cstheme="minorHAnsi"/>
          <w:b/>
          <w:bCs/>
          <w:sz w:val="21"/>
          <w:szCs w:val="21"/>
        </w:rPr>
        <w:t xml:space="preserve">Table </w:t>
      </w:r>
      <w:r w:rsidR="001A3B9D" w:rsidRPr="001A3B9D">
        <w:rPr>
          <w:rFonts w:cstheme="minorHAnsi"/>
          <w:b/>
          <w:bCs/>
          <w:sz w:val="21"/>
          <w:szCs w:val="21"/>
        </w:rPr>
        <w:t>R1</w:t>
      </w:r>
      <w:r w:rsidRPr="001A3B9D">
        <w:rPr>
          <w:rFonts w:cstheme="minorHAnsi"/>
          <w:b/>
          <w:bCs/>
          <w:sz w:val="21"/>
          <w:szCs w:val="21"/>
        </w:rPr>
        <w:t xml:space="preserve">: </w:t>
      </w:r>
      <w:r w:rsidR="001A3B9D" w:rsidRPr="001A3B9D">
        <w:rPr>
          <w:rFonts w:cstheme="minorHAnsi"/>
          <w:b/>
          <w:bCs/>
          <w:sz w:val="21"/>
          <w:szCs w:val="21"/>
        </w:rPr>
        <w:t xml:space="preserve">Recommended </w:t>
      </w:r>
      <w:r w:rsidRPr="001A3B9D">
        <w:rPr>
          <w:rFonts w:cstheme="minorHAnsi"/>
          <w:b/>
          <w:bCs/>
          <w:sz w:val="21"/>
          <w:szCs w:val="21"/>
        </w:rPr>
        <w:t>Priority Areas</w:t>
      </w:r>
      <w:r w:rsidR="001A3B9D" w:rsidRPr="001A3B9D">
        <w:rPr>
          <w:rFonts w:cstheme="minorHAnsi"/>
          <w:b/>
          <w:bCs/>
          <w:sz w:val="21"/>
          <w:szCs w:val="21"/>
        </w:rPr>
        <w:t>,</w:t>
      </w:r>
      <w:r w:rsidRPr="001A3B9D">
        <w:rPr>
          <w:rFonts w:cstheme="minorHAnsi"/>
          <w:b/>
          <w:bCs/>
          <w:sz w:val="21"/>
          <w:szCs w:val="21"/>
        </w:rPr>
        <w:t xml:space="preserve"> by </w:t>
      </w:r>
      <w:r w:rsidR="00D95573">
        <w:rPr>
          <w:rFonts w:cstheme="minorHAnsi"/>
          <w:b/>
          <w:bCs/>
          <w:sz w:val="21"/>
          <w:szCs w:val="21"/>
        </w:rPr>
        <w:t>Practice Domain</w:t>
      </w:r>
    </w:p>
    <w:p w14:paraId="3FFA5E89" w14:textId="77777777" w:rsidR="00F00E3D" w:rsidRPr="00157FC1" w:rsidRDefault="00F00E3D" w:rsidP="00815D3A">
      <w:pPr>
        <w:pStyle w:val="Default"/>
        <w:spacing w:line="276" w:lineRule="auto"/>
        <w:rPr>
          <w:rFonts w:eastAsia="Calibri"/>
          <w:b/>
          <w:bCs/>
          <w:color w:val="auto"/>
          <w:sz w:val="16"/>
          <w:szCs w:val="16"/>
        </w:rPr>
      </w:pPr>
    </w:p>
    <w:p w14:paraId="0309830B" w14:textId="1E22FE94" w:rsidR="00F00E3D" w:rsidRPr="00C351F0" w:rsidRDefault="00F00E3D" w:rsidP="00815D3A">
      <w:pPr>
        <w:pStyle w:val="Default"/>
        <w:spacing w:line="276" w:lineRule="auto"/>
        <w:rPr>
          <w:rFonts w:asciiTheme="minorHAnsi" w:hAnsiTheme="minorHAnsi" w:cstheme="minorBidi"/>
          <w:b/>
          <w:color w:val="2E74B5" w:themeColor="accent5" w:themeShade="BF"/>
          <w:sz w:val="28"/>
          <w:szCs w:val="28"/>
        </w:rPr>
      </w:pPr>
      <w:r w:rsidRPr="00C351F0">
        <w:rPr>
          <w:rFonts w:asciiTheme="minorHAnsi" w:hAnsiTheme="minorHAnsi" w:cstheme="minorBidi"/>
          <w:b/>
          <w:color w:val="2E74B5" w:themeColor="accent5" w:themeShade="BF"/>
          <w:sz w:val="28"/>
          <w:szCs w:val="28"/>
        </w:rPr>
        <w:t xml:space="preserve">Recommendation </w:t>
      </w:r>
      <w:r w:rsidR="00C351F0" w:rsidRPr="00C351F0">
        <w:rPr>
          <w:rFonts w:asciiTheme="minorHAnsi" w:hAnsiTheme="minorHAnsi" w:cstheme="minorBidi"/>
          <w:b/>
          <w:color w:val="2E74B5" w:themeColor="accent5" w:themeShade="BF"/>
          <w:sz w:val="28"/>
          <w:szCs w:val="28"/>
        </w:rPr>
        <w:t>3</w:t>
      </w:r>
      <w:r w:rsidRPr="00C351F0">
        <w:rPr>
          <w:rFonts w:asciiTheme="minorHAnsi" w:hAnsiTheme="minorHAnsi" w:cstheme="minorBidi"/>
          <w:b/>
          <w:color w:val="2E74B5" w:themeColor="accent5" w:themeShade="BF"/>
          <w:sz w:val="28"/>
          <w:szCs w:val="28"/>
        </w:rPr>
        <w:t>:</w:t>
      </w:r>
      <w:r w:rsidR="009573A6" w:rsidRPr="00C351F0">
        <w:rPr>
          <w:rFonts w:asciiTheme="minorHAnsi" w:hAnsiTheme="minorHAnsi" w:cstheme="minorBidi"/>
          <w:b/>
          <w:color w:val="2E74B5" w:themeColor="accent5" w:themeShade="BF"/>
          <w:sz w:val="28"/>
          <w:szCs w:val="28"/>
        </w:rPr>
        <w:t xml:space="preserve"> </w:t>
      </w:r>
      <w:r w:rsidR="00801CCE" w:rsidRPr="00C351F0">
        <w:rPr>
          <w:rFonts w:asciiTheme="minorHAnsi" w:hAnsiTheme="minorHAnsi" w:cstheme="minorBidi"/>
          <w:b/>
          <w:color w:val="2E74B5" w:themeColor="accent5" w:themeShade="BF"/>
          <w:sz w:val="28"/>
          <w:szCs w:val="28"/>
        </w:rPr>
        <w:t>Develop</w:t>
      </w:r>
      <w:r w:rsidR="00FA5497" w:rsidRPr="00C351F0">
        <w:rPr>
          <w:rFonts w:asciiTheme="minorHAnsi" w:hAnsiTheme="minorHAnsi" w:cstheme="minorBidi"/>
          <w:b/>
          <w:color w:val="2E74B5" w:themeColor="accent5" w:themeShade="BF"/>
          <w:sz w:val="28"/>
          <w:szCs w:val="28"/>
        </w:rPr>
        <w:t xml:space="preserve"> </w:t>
      </w:r>
      <w:r w:rsidR="00B974F3" w:rsidRPr="00C351F0">
        <w:rPr>
          <w:rFonts w:asciiTheme="minorHAnsi" w:hAnsiTheme="minorHAnsi" w:cstheme="minorBidi"/>
          <w:b/>
          <w:color w:val="2E74B5" w:themeColor="accent5" w:themeShade="BF"/>
          <w:sz w:val="28"/>
          <w:szCs w:val="28"/>
        </w:rPr>
        <w:t>10</w:t>
      </w:r>
      <w:r w:rsidRPr="00C351F0">
        <w:rPr>
          <w:rFonts w:asciiTheme="minorHAnsi" w:hAnsiTheme="minorHAnsi" w:cstheme="minorBidi"/>
          <w:b/>
          <w:color w:val="2E74B5" w:themeColor="accent5" w:themeShade="BF"/>
          <w:sz w:val="28"/>
          <w:szCs w:val="28"/>
        </w:rPr>
        <w:t xml:space="preserve"> Initiatives</w:t>
      </w:r>
    </w:p>
    <w:p w14:paraId="64691DF5" w14:textId="77777777" w:rsidR="00B974F3" w:rsidRPr="00157FC1" w:rsidRDefault="00B974F3" w:rsidP="00815D3A">
      <w:pPr>
        <w:pStyle w:val="Default"/>
        <w:spacing w:line="276" w:lineRule="auto"/>
        <w:rPr>
          <w:rFonts w:asciiTheme="minorHAnsi" w:hAnsiTheme="minorHAnsi" w:cstheme="minorBidi"/>
          <w:b/>
          <w:color w:val="2F5496" w:themeColor="accent1" w:themeShade="BF"/>
          <w:sz w:val="12"/>
          <w:szCs w:val="12"/>
        </w:rPr>
      </w:pPr>
    </w:p>
    <w:p w14:paraId="385400EF" w14:textId="68C62B42" w:rsidR="00872000" w:rsidRPr="00872000" w:rsidRDefault="003A2AEF" w:rsidP="78F9AF82">
      <w:pPr>
        <w:spacing w:line="276" w:lineRule="auto"/>
        <w:rPr>
          <w:rFonts w:asciiTheme="majorHAnsi" w:eastAsiaTheme="minorEastAsia" w:hAnsiTheme="majorHAnsi" w:cstheme="majorBidi"/>
          <w:sz w:val="23"/>
          <w:szCs w:val="23"/>
          <w:lang w:val="en-GB"/>
        </w:rPr>
      </w:pPr>
      <w:r w:rsidRPr="78F9AF82">
        <w:rPr>
          <w:rFonts w:asciiTheme="majorHAnsi" w:eastAsiaTheme="minorEastAsia" w:hAnsiTheme="majorHAnsi" w:cstheme="majorBidi"/>
          <w:sz w:val="23"/>
          <w:szCs w:val="23"/>
          <w:lang w:val="en-GB"/>
        </w:rPr>
        <w:t xml:space="preserve">Our final Recommendation </w:t>
      </w:r>
      <w:r w:rsidR="00F54A39" w:rsidRPr="78F9AF82">
        <w:rPr>
          <w:rFonts w:asciiTheme="majorHAnsi" w:eastAsiaTheme="minorEastAsia" w:hAnsiTheme="majorHAnsi" w:cstheme="majorBidi"/>
          <w:sz w:val="23"/>
          <w:szCs w:val="23"/>
          <w:lang w:val="en-GB"/>
        </w:rPr>
        <w:t>sets out</w:t>
      </w:r>
      <w:r w:rsidR="00727BE6" w:rsidRPr="78F9AF82">
        <w:rPr>
          <w:rFonts w:asciiTheme="majorHAnsi" w:eastAsiaTheme="minorEastAsia" w:hAnsiTheme="majorHAnsi" w:cstheme="majorBidi"/>
          <w:sz w:val="23"/>
          <w:szCs w:val="23"/>
          <w:lang w:val="en-GB"/>
        </w:rPr>
        <w:t xml:space="preserve"> 10 proposed initiatives, </w:t>
      </w:r>
      <w:r w:rsidR="00A35F5F" w:rsidRPr="78F9AF82">
        <w:rPr>
          <w:rFonts w:asciiTheme="majorHAnsi" w:eastAsiaTheme="minorEastAsia" w:hAnsiTheme="majorHAnsi" w:cstheme="majorBidi"/>
          <w:sz w:val="23"/>
          <w:szCs w:val="23"/>
          <w:lang w:val="en-GB"/>
        </w:rPr>
        <w:t xml:space="preserve">along </w:t>
      </w:r>
      <w:r w:rsidR="00AC7599" w:rsidRPr="78F9AF82">
        <w:rPr>
          <w:rFonts w:asciiTheme="majorHAnsi" w:eastAsiaTheme="minorEastAsia" w:hAnsiTheme="majorHAnsi" w:cstheme="majorBidi"/>
          <w:sz w:val="23"/>
          <w:szCs w:val="23"/>
          <w:lang w:val="en-GB"/>
        </w:rPr>
        <w:t>with a</w:t>
      </w:r>
      <w:r w:rsidR="00727BE6" w:rsidRPr="78F9AF82">
        <w:rPr>
          <w:rFonts w:asciiTheme="majorHAnsi" w:eastAsiaTheme="minorEastAsia" w:hAnsiTheme="majorHAnsi" w:cstheme="majorBidi"/>
          <w:sz w:val="23"/>
          <w:szCs w:val="23"/>
          <w:lang w:val="en-GB"/>
        </w:rPr>
        <w:t xml:space="preserve"> rationale for why each initiative is needed, and suggestions for how it might be approached. </w:t>
      </w:r>
      <w:r w:rsidR="00AD0F66" w:rsidRPr="78F9AF82">
        <w:rPr>
          <w:rFonts w:asciiTheme="majorHAnsi" w:eastAsiaTheme="minorEastAsia" w:hAnsiTheme="majorHAnsi" w:cstheme="majorBidi"/>
          <w:sz w:val="23"/>
          <w:szCs w:val="23"/>
          <w:lang w:val="en-GB"/>
        </w:rPr>
        <w:t>The</w:t>
      </w:r>
      <w:r w:rsidR="008D036C" w:rsidRPr="78F9AF82">
        <w:rPr>
          <w:rFonts w:asciiTheme="majorHAnsi" w:eastAsiaTheme="minorEastAsia" w:hAnsiTheme="majorHAnsi" w:cstheme="majorBidi"/>
          <w:sz w:val="23"/>
          <w:szCs w:val="23"/>
          <w:lang w:val="en-GB"/>
        </w:rPr>
        <w:t xml:space="preserve">se </w:t>
      </w:r>
      <w:r w:rsidR="00F00E3D" w:rsidRPr="78F9AF82">
        <w:rPr>
          <w:rFonts w:asciiTheme="majorHAnsi" w:eastAsiaTheme="minorEastAsia" w:hAnsiTheme="majorHAnsi" w:cstheme="majorBidi"/>
          <w:sz w:val="23"/>
          <w:szCs w:val="23"/>
          <w:lang w:val="en-GB"/>
        </w:rPr>
        <w:t>10 initiatives</w:t>
      </w:r>
      <w:r w:rsidR="00AD0F66" w:rsidRPr="78F9AF82">
        <w:rPr>
          <w:rFonts w:asciiTheme="majorHAnsi" w:eastAsiaTheme="minorEastAsia" w:hAnsiTheme="majorHAnsi" w:cstheme="majorBidi"/>
          <w:sz w:val="23"/>
          <w:szCs w:val="23"/>
          <w:lang w:val="en-GB"/>
        </w:rPr>
        <w:t xml:space="preserve"> offer a framework to develop more specific programs and targeted local responses.</w:t>
      </w:r>
      <w:r w:rsidR="00F00E3D" w:rsidRPr="78F9AF82">
        <w:rPr>
          <w:rFonts w:asciiTheme="majorHAnsi" w:eastAsiaTheme="minorEastAsia" w:hAnsiTheme="majorHAnsi" w:cstheme="majorBidi"/>
          <w:sz w:val="23"/>
          <w:szCs w:val="23"/>
          <w:lang w:val="en-GB"/>
        </w:rPr>
        <w:t xml:space="preserve"> </w:t>
      </w:r>
      <w:r w:rsidR="00F00E3D" w:rsidRPr="78F9AF82">
        <w:rPr>
          <w:rFonts w:asciiTheme="majorHAnsi" w:hAnsiTheme="majorHAnsi" w:cstheme="majorBidi"/>
          <w:sz w:val="23"/>
          <w:szCs w:val="23"/>
        </w:rPr>
        <w:t>Broadly speaking, t</w:t>
      </w:r>
      <w:r w:rsidR="00F00E3D" w:rsidRPr="78F9AF82">
        <w:rPr>
          <w:rFonts w:asciiTheme="majorHAnsi" w:eastAsiaTheme="minorEastAsia" w:hAnsiTheme="majorHAnsi" w:cstheme="majorBidi"/>
          <w:sz w:val="23"/>
          <w:szCs w:val="23"/>
          <w:lang w:val="en-GB"/>
        </w:rPr>
        <w:t>he</w:t>
      </w:r>
      <w:r w:rsidR="00F54A39" w:rsidRPr="78F9AF82">
        <w:rPr>
          <w:rFonts w:asciiTheme="majorHAnsi" w:eastAsiaTheme="minorEastAsia" w:hAnsiTheme="majorHAnsi" w:cstheme="majorBidi"/>
          <w:sz w:val="23"/>
          <w:szCs w:val="23"/>
          <w:lang w:val="en-GB"/>
        </w:rPr>
        <w:t>y</w:t>
      </w:r>
      <w:r w:rsidR="00F00E3D" w:rsidRPr="78F9AF82">
        <w:rPr>
          <w:rFonts w:asciiTheme="majorHAnsi" w:hAnsiTheme="majorHAnsi" w:cstheme="majorBidi"/>
          <w:sz w:val="23"/>
          <w:szCs w:val="23"/>
        </w:rPr>
        <w:t xml:space="preserve"> should be multi-pronged in focus, drawing on cross-sector collaboration and spanning </w:t>
      </w:r>
      <w:r w:rsidR="00D95573" w:rsidRPr="78F9AF82">
        <w:rPr>
          <w:rFonts w:asciiTheme="majorHAnsi" w:hAnsiTheme="majorHAnsi" w:cstheme="majorBidi"/>
          <w:sz w:val="23"/>
          <w:szCs w:val="23"/>
        </w:rPr>
        <w:t>Practice Domain</w:t>
      </w:r>
      <w:r w:rsidR="00F00E3D" w:rsidRPr="78F9AF82">
        <w:rPr>
          <w:rFonts w:asciiTheme="majorHAnsi" w:hAnsiTheme="majorHAnsi" w:cstheme="majorBidi"/>
          <w:sz w:val="23"/>
          <w:szCs w:val="23"/>
        </w:rPr>
        <w:t xml:space="preserve">s and local issues (as indicated in </w:t>
      </w:r>
      <w:hyperlink w:anchor="OLE_LINKTable91">
        <w:r w:rsidR="00A7593A">
          <w:rPr>
            <w:rStyle w:val="Hyperlink"/>
            <w:rFonts w:asciiTheme="majorHAnsi" w:hAnsiTheme="majorHAnsi" w:cstheme="majorBidi"/>
            <w:sz w:val="23"/>
            <w:szCs w:val="23"/>
          </w:rPr>
          <w:t>Table</w:t>
        </w:r>
      </w:hyperlink>
      <w:r w:rsidR="00A7593A">
        <w:rPr>
          <w:rStyle w:val="Hyperlink"/>
          <w:rFonts w:asciiTheme="majorHAnsi" w:hAnsiTheme="majorHAnsi" w:cstheme="majorBidi"/>
          <w:sz w:val="23"/>
          <w:szCs w:val="23"/>
        </w:rPr>
        <w:t xml:space="preserve"> 9.1</w:t>
      </w:r>
      <w:r w:rsidR="00F00E3D" w:rsidRPr="78F9AF82">
        <w:rPr>
          <w:rFonts w:asciiTheme="majorHAnsi" w:hAnsiTheme="majorHAnsi" w:cstheme="majorBidi"/>
          <w:sz w:val="23"/>
          <w:szCs w:val="23"/>
        </w:rPr>
        <w:t>).</w:t>
      </w:r>
      <w:r w:rsidR="5F3C4AED" w:rsidRPr="78F9AF82">
        <w:rPr>
          <w:rFonts w:asciiTheme="majorHAnsi" w:hAnsiTheme="majorHAnsi" w:cstheme="majorBidi"/>
          <w:sz w:val="23"/>
          <w:szCs w:val="23"/>
        </w:rPr>
        <w:t xml:space="preserve"> T</w:t>
      </w:r>
      <w:r w:rsidR="007A027B" w:rsidRPr="78F9AF82">
        <w:rPr>
          <w:rFonts w:asciiTheme="majorHAnsi" w:hAnsiTheme="majorHAnsi" w:cstheme="majorBidi"/>
          <w:sz w:val="23"/>
          <w:szCs w:val="23"/>
        </w:rPr>
        <w:t>he</w:t>
      </w:r>
      <w:r w:rsidR="00E7253C" w:rsidRPr="78F9AF82">
        <w:rPr>
          <w:rFonts w:asciiTheme="majorHAnsi" w:hAnsiTheme="majorHAnsi" w:cstheme="majorBidi"/>
          <w:sz w:val="23"/>
          <w:szCs w:val="23"/>
        </w:rPr>
        <w:t>se</w:t>
      </w:r>
      <w:r w:rsidR="00E83C01" w:rsidRPr="78F9AF82">
        <w:rPr>
          <w:rFonts w:asciiTheme="majorHAnsi" w:hAnsiTheme="majorHAnsi" w:cstheme="majorBidi"/>
          <w:sz w:val="23"/>
          <w:szCs w:val="23"/>
        </w:rPr>
        <w:t xml:space="preserve"> </w:t>
      </w:r>
      <w:r w:rsidR="00AD2DA5" w:rsidRPr="78F9AF82">
        <w:rPr>
          <w:rFonts w:asciiTheme="majorHAnsi" w:hAnsiTheme="majorHAnsi" w:cstheme="majorBidi"/>
          <w:sz w:val="23"/>
          <w:szCs w:val="23"/>
        </w:rPr>
        <w:t>Case Studies</w:t>
      </w:r>
      <w:r w:rsidR="00F00E3D" w:rsidRPr="78F9AF82">
        <w:rPr>
          <w:rFonts w:asciiTheme="majorHAnsi" w:hAnsiTheme="majorHAnsi" w:cstheme="majorBidi"/>
          <w:sz w:val="23"/>
          <w:szCs w:val="23"/>
        </w:rPr>
        <w:t xml:space="preserve"> offer potential models, ideas, and inspiration to help inform </w:t>
      </w:r>
      <w:r w:rsidR="00CB24B4" w:rsidRPr="78F9AF82">
        <w:rPr>
          <w:rFonts w:asciiTheme="majorHAnsi" w:hAnsiTheme="majorHAnsi" w:cstheme="majorBidi"/>
          <w:sz w:val="23"/>
          <w:szCs w:val="23"/>
        </w:rPr>
        <w:t xml:space="preserve">the </w:t>
      </w:r>
      <w:r w:rsidR="00547F58" w:rsidRPr="78F9AF82">
        <w:rPr>
          <w:rFonts w:asciiTheme="majorHAnsi" w:hAnsiTheme="majorHAnsi" w:cstheme="majorBidi"/>
          <w:sz w:val="23"/>
          <w:szCs w:val="23"/>
        </w:rPr>
        <w:t xml:space="preserve">development of </w:t>
      </w:r>
      <w:r w:rsidR="00E83C01" w:rsidRPr="78F9AF82">
        <w:rPr>
          <w:rFonts w:asciiTheme="majorHAnsi" w:hAnsiTheme="majorHAnsi" w:cstheme="majorBidi"/>
          <w:sz w:val="23"/>
          <w:szCs w:val="23"/>
        </w:rPr>
        <w:t xml:space="preserve">locally tailored </w:t>
      </w:r>
      <w:r w:rsidR="00F00E3D" w:rsidRPr="78F9AF82">
        <w:rPr>
          <w:rFonts w:asciiTheme="majorHAnsi" w:hAnsiTheme="majorHAnsi" w:cstheme="majorBidi"/>
          <w:sz w:val="23"/>
          <w:szCs w:val="23"/>
        </w:rPr>
        <w:t>prog</w:t>
      </w:r>
      <w:r w:rsidR="00CD62E9" w:rsidRPr="78F9AF82">
        <w:rPr>
          <w:rFonts w:asciiTheme="majorHAnsi" w:hAnsiTheme="majorHAnsi" w:cstheme="majorBidi"/>
          <w:sz w:val="23"/>
          <w:szCs w:val="23"/>
        </w:rPr>
        <w:t>rams</w:t>
      </w:r>
      <w:r w:rsidR="00F00E3D" w:rsidRPr="78F9AF82">
        <w:rPr>
          <w:rFonts w:asciiTheme="majorHAnsi" w:hAnsiTheme="majorHAnsi" w:cstheme="majorBidi"/>
          <w:sz w:val="23"/>
          <w:szCs w:val="23"/>
        </w:rPr>
        <w:t>.</w:t>
      </w:r>
    </w:p>
    <w:p w14:paraId="0A95D2AE" w14:textId="537CACA6" w:rsidR="002F0B26" w:rsidRPr="00416AB1" w:rsidRDefault="00001674" w:rsidP="00815D3A">
      <w:pPr>
        <w:spacing w:line="276" w:lineRule="auto"/>
        <w:rPr>
          <w:rFonts w:asciiTheme="majorHAnsi" w:hAnsiTheme="majorHAnsi" w:cstheme="majorBidi"/>
          <w:sz w:val="23"/>
          <w:szCs w:val="23"/>
        </w:rPr>
      </w:pPr>
      <w:r>
        <w:rPr>
          <w:rFonts w:asciiTheme="majorHAnsi" w:hAnsiTheme="majorHAnsi" w:cstheme="majorBidi"/>
          <w:sz w:val="23"/>
          <w:szCs w:val="23"/>
        </w:rPr>
        <w:t xml:space="preserve">While </w:t>
      </w:r>
      <w:r w:rsidR="00D07F6B">
        <w:rPr>
          <w:rFonts w:asciiTheme="majorHAnsi" w:hAnsiTheme="majorHAnsi" w:cstheme="majorBidi"/>
          <w:sz w:val="23"/>
          <w:szCs w:val="23"/>
        </w:rPr>
        <w:t>each</w:t>
      </w:r>
      <w:r w:rsidR="00052835">
        <w:rPr>
          <w:rFonts w:asciiTheme="majorHAnsi" w:hAnsiTheme="majorHAnsi" w:cstheme="majorBidi"/>
          <w:sz w:val="23"/>
          <w:szCs w:val="23"/>
        </w:rPr>
        <w:t xml:space="preserve"> of the ten</w:t>
      </w:r>
      <w:r w:rsidR="00994845">
        <w:rPr>
          <w:rFonts w:asciiTheme="majorHAnsi" w:hAnsiTheme="majorHAnsi" w:cstheme="majorBidi"/>
          <w:sz w:val="23"/>
          <w:szCs w:val="23"/>
        </w:rPr>
        <w:t xml:space="preserve"> </w:t>
      </w:r>
      <w:r w:rsidR="002F0B26">
        <w:rPr>
          <w:rFonts w:asciiTheme="majorHAnsi" w:hAnsiTheme="majorHAnsi" w:cstheme="majorBidi"/>
          <w:sz w:val="23"/>
          <w:szCs w:val="23"/>
        </w:rPr>
        <w:t>initiative</w:t>
      </w:r>
      <w:r w:rsidR="00052835">
        <w:rPr>
          <w:rFonts w:asciiTheme="majorHAnsi" w:hAnsiTheme="majorHAnsi" w:cstheme="majorBidi"/>
          <w:sz w:val="23"/>
          <w:szCs w:val="23"/>
        </w:rPr>
        <w:t>s</w:t>
      </w:r>
      <w:r w:rsidR="001A3B9D">
        <w:rPr>
          <w:rFonts w:asciiTheme="majorHAnsi" w:hAnsiTheme="majorHAnsi" w:cstheme="majorBidi"/>
          <w:sz w:val="23"/>
          <w:szCs w:val="23"/>
        </w:rPr>
        <w:t xml:space="preserve"> below</w:t>
      </w:r>
      <w:r w:rsidR="00D07F6B">
        <w:rPr>
          <w:rFonts w:asciiTheme="majorHAnsi" w:hAnsiTheme="majorHAnsi" w:cstheme="majorBidi"/>
          <w:sz w:val="23"/>
          <w:szCs w:val="23"/>
        </w:rPr>
        <w:t xml:space="preserve"> </w:t>
      </w:r>
      <w:r w:rsidR="00A918B4">
        <w:rPr>
          <w:rFonts w:asciiTheme="majorHAnsi" w:hAnsiTheme="majorHAnsi" w:cstheme="majorBidi"/>
          <w:sz w:val="23"/>
          <w:szCs w:val="23"/>
        </w:rPr>
        <w:t xml:space="preserve">is framed </w:t>
      </w:r>
      <w:r w:rsidR="00872000">
        <w:rPr>
          <w:rFonts w:asciiTheme="majorHAnsi" w:hAnsiTheme="majorHAnsi" w:cstheme="majorBidi"/>
          <w:sz w:val="23"/>
          <w:szCs w:val="23"/>
        </w:rPr>
        <w:t>to address a</w:t>
      </w:r>
      <w:r w:rsidR="00A918B4">
        <w:rPr>
          <w:rFonts w:asciiTheme="majorHAnsi" w:hAnsiTheme="majorHAnsi" w:cstheme="majorBidi"/>
          <w:sz w:val="23"/>
          <w:szCs w:val="23"/>
        </w:rPr>
        <w:t xml:space="preserve"> specific priority area</w:t>
      </w:r>
      <w:r w:rsidR="00C02679">
        <w:rPr>
          <w:rFonts w:asciiTheme="majorHAnsi" w:hAnsiTheme="majorHAnsi" w:cstheme="majorBidi"/>
          <w:sz w:val="23"/>
          <w:szCs w:val="23"/>
        </w:rPr>
        <w:t xml:space="preserve">, </w:t>
      </w:r>
      <w:r w:rsidR="002472BB">
        <w:rPr>
          <w:rFonts w:asciiTheme="majorHAnsi" w:hAnsiTheme="majorHAnsi" w:cstheme="majorBidi"/>
          <w:sz w:val="23"/>
          <w:szCs w:val="23"/>
        </w:rPr>
        <w:t xml:space="preserve">there </w:t>
      </w:r>
      <w:r w:rsidR="00462D0D">
        <w:rPr>
          <w:rFonts w:asciiTheme="majorHAnsi" w:hAnsiTheme="majorHAnsi" w:cstheme="majorBidi"/>
          <w:sz w:val="23"/>
          <w:szCs w:val="23"/>
        </w:rPr>
        <w:t xml:space="preserve">are some </w:t>
      </w:r>
      <w:r w:rsidR="00C53114">
        <w:rPr>
          <w:rFonts w:asciiTheme="majorHAnsi" w:hAnsiTheme="majorHAnsi" w:cstheme="majorBidi"/>
          <w:sz w:val="23"/>
          <w:szCs w:val="23"/>
        </w:rPr>
        <w:t>clear synergies and</w:t>
      </w:r>
      <w:r w:rsidR="00426C81">
        <w:rPr>
          <w:rFonts w:asciiTheme="majorHAnsi" w:hAnsiTheme="majorHAnsi" w:cstheme="majorBidi"/>
          <w:sz w:val="23"/>
          <w:szCs w:val="23"/>
        </w:rPr>
        <w:t xml:space="preserve"> areas of</w:t>
      </w:r>
      <w:r w:rsidR="00C53114">
        <w:rPr>
          <w:rFonts w:asciiTheme="majorHAnsi" w:hAnsiTheme="majorHAnsi" w:cstheme="majorBidi"/>
          <w:sz w:val="23"/>
          <w:szCs w:val="23"/>
        </w:rPr>
        <w:t xml:space="preserve"> </w:t>
      </w:r>
      <w:r w:rsidR="00BF1B26">
        <w:rPr>
          <w:rFonts w:asciiTheme="majorHAnsi" w:hAnsiTheme="majorHAnsi" w:cstheme="majorBidi"/>
          <w:sz w:val="23"/>
          <w:szCs w:val="23"/>
        </w:rPr>
        <w:t>potential</w:t>
      </w:r>
      <w:r w:rsidR="00660A16">
        <w:rPr>
          <w:rFonts w:asciiTheme="majorHAnsi" w:hAnsiTheme="majorHAnsi" w:cstheme="majorBidi"/>
          <w:sz w:val="23"/>
          <w:szCs w:val="23"/>
        </w:rPr>
        <w:t xml:space="preserve"> </w:t>
      </w:r>
      <w:r w:rsidR="00BF1B26">
        <w:rPr>
          <w:rFonts w:asciiTheme="majorHAnsi" w:hAnsiTheme="majorHAnsi" w:cstheme="majorBidi"/>
          <w:sz w:val="23"/>
          <w:szCs w:val="23"/>
        </w:rPr>
        <w:t>overla</w:t>
      </w:r>
      <w:r w:rsidR="00426C81">
        <w:rPr>
          <w:rFonts w:asciiTheme="majorHAnsi" w:hAnsiTheme="majorHAnsi" w:cstheme="majorBidi"/>
          <w:sz w:val="23"/>
          <w:szCs w:val="23"/>
        </w:rPr>
        <w:t>p</w:t>
      </w:r>
      <w:r w:rsidR="002472BB">
        <w:rPr>
          <w:rFonts w:asciiTheme="majorHAnsi" w:hAnsiTheme="majorHAnsi" w:cstheme="majorBidi"/>
          <w:sz w:val="23"/>
          <w:szCs w:val="23"/>
        </w:rPr>
        <w:t xml:space="preserve">. </w:t>
      </w:r>
      <w:r w:rsidR="009E7826">
        <w:rPr>
          <w:rFonts w:asciiTheme="majorHAnsi" w:hAnsiTheme="majorHAnsi" w:cstheme="majorBidi"/>
          <w:sz w:val="23"/>
          <w:szCs w:val="23"/>
        </w:rPr>
        <w:t>W</w:t>
      </w:r>
      <w:r w:rsidR="00ED67D0">
        <w:rPr>
          <w:rFonts w:asciiTheme="majorHAnsi" w:hAnsiTheme="majorHAnsi" w:cstheme="majorBidi"/>
          <w:sz w:val="23"/>
          <w:szCs w:val="23"/>
        </w:rPr>
        <w:t>here</w:t>
      </w:r>
      <w:r w:rsidR="00387727">
        <w:rPr>
          <w:rFonts w:asciiTheme="majorHAnsi" w:hAnsiTheme="majorHAnsi" w:cstheme="majorBidi"/>
          <w:sz w:val="23"/>
          <w:szCs w:val="23"/>
        </w:rPr>
        <w:t xml:space="preserve"> </w:t>
      </w:r>
      <w:r w:rsidR="001A3B9D">
        <w:rPr>
          <w:rFonts w:asciiTheme="majorHAnsi" w:hAnsiTheme="majorHAnsi" w:cstheme="majorBidi"/>
          <w:sz w:val="23"/>
          <w:szCs w:val="23"/>
        </w:rPr>
        <w:t xml:space="preserve">needs converge or </w:t>
      </w:r>
      <w:r w:rsidR="00FA745B">
        <w:rPr>
          <w:rFonts w:asciiTheme="majorHAnsi" w:hAnsiTheme="majorHAnsi" w:cstheme="majorBidi"/>
          <w:sz w:val="23"/>
          <w:szCs w:val="23"/>
        </w:rPr>
        <w:t>opportunit</w:t>
      </w:r>
      <w:r w:rsidR="00623929">
        <w:rPr>
          <w:rFonts w:asciiTheme="majorHAnsi" w:hAnsiTheme="majorHAnsi" w:cstheme="majorBidi"/>
          <w:sz w:val="23"/>
          <w:szCs w:val="23"/>
        </w:rPr>
        <w:t>ies</w:t>
      </w:r>
      <w:r w:rsidR="006E1FE8">
        <w:rPr>
          <w:rFonts w:asciiTheme="majorHAnsi" w:hAnsiTheme="majorHAnsi" w:cstheme="majorBidi"/>
          <w:sz w:val="23"/>
          <w:szCs w:val="23"/>
        </w:rPr>
        <w:t xml:space="preserve"> for greater</w:t>
      </w:r>
      <w:r w:rsidR="00EF3B62">
        <w:rPr>
          <w:rFonts w:asciiTheme="majorHAnsi" w:hAnsiTheme="majorHAnsi" w:cstheme="majorBidi"/>
          <w:sz w:val="23"/>
          <w:szCs w:val="23"/>
        </w:rPr>
        <w:t xml:space="preserve"> </w:t>
      </w:r>
      <w:r w:rsidR="006E1FE8">
        <w:rPr>
          <w:rFonts w:asciiTheme="majorHAnsi" w:hAnsiTheme="majorHAnsi" w:cstheme="majorBidi"/>
          <w:sz w:val="23"/>
          <w:szCs w:val="23"/>
        </w:rPr>
        <w:t>impact</w:t>
      </w:r>
      <w:r w:rsidR="00623929">
        <w:rPr>
          <w:rFonts w:asciiTheme="majorHAnsi" w:hAnsiTheme="majorHAnsi" w:cstheme="majorBidi"/>
          <w:sz w:val="23"/>
          <w:szCs w:val="23"/>
        </w:rPr>
        <w:t xml:space="preserve"> can be identified</w:t>
      </w:r>
      <w:r w:rsidR="00ED67D0">
        <w:rPr>
          <w:rFonts w:asciiTheme="majorHAnsi" w:hAnsiTheme="majorHAnsi" w:cstheme="majorBidi"/>
          <w:sz w:val="23"/>
          <w:szCs w:val="23"/>
        </w:rPr>
        <w:t xml:space="preserve">, </w:t>
      </w:r>
      <w:r w:rsidR="002E0E1C">
        <w:rPr>
          <w:rFonts w:asciiTheme="majorHAnsi" w:hAnsiTheme="majorHAnsi" w:cstheme="majorBidi"/>
          <w:sz w:val="23"/>
          <w:szCs w:val="23"/>
        </w:rPr>
        <w:t xml:space="preserve">programs </w:t>
      </w:r>
      <w:r w:rsidR="00E7636A">
        <w:rPr>
          <w:rFonts w:asciiTheme="majorHAnsi" w:hAnsiTheme="majorHAnsi" w:cstheme="majorBidi"/>
          <w:sz w:val="23"/>
          <w:szCs w:val="23"/>
        </w:rPr>
        <w:t xml:space="preserve">could </w:t>
      </w:r>
      <w:r w:rsidR="00E5763A">
        <w:rPr>
          <w:rFonts w:asciiTheme="majorHAnsi" w:hAnsiTheme="majorHAnsi" w:cstheme="majorBidi"/>
          <w:sz w:val="23"/>
          <w:szCs w:val="23"/>
        </w:rPr>
        <w:t xml:space="preserve">be designed to </w:t>
      </w:r>
      <w:r w:rsidR="001A3B9D">
        <w:rPr>
          <w:rFonts w:asciiTheme="majorHAnsi" w:hAnsiTheme="majorHAnsi" w:cstheme="majorBidi"/>
          <w:sz w:val="23"/>
          <w:szCs w:val="23"/>
        </w:rPr>
        <w:t>span more than one initiative</w:t>
      </w:r>
      <w:r w:rsidR="00E7636A">
        <w:rPr>
          <w:rFonts w:asciiTheme="majorHAnsi" w:hAnsiTheme="majorHAnsi" w:cstheme="majorBidi"/>
          <w:sz w:val="23"/>
          <w:szCs w:val="23"/>
        </w:rPr>
        <w:t>.</w:t>
      </w:r>
    </w:p>
    <w:p w14:paraId="414AEFD8" w14:textId="2CC98BAB" w:rsidR="00F00E3D" w:rsidRPr="00C351F0" w:rsidRDefault="00F00E3D" w:rsidP="00815D3A">
      <w:pPr>
        <w:pStyle w:val="Default"/>
        <w:spacing w:line="276" w:lineRule="auto"/>
        <w:rPr>
          <w:rFonts w:eastAsia="Calibri"/>
          <w:b/>
          <w:color w:val="2E74B5" w:themeColor="accent5" w:themeShade="BF"/>
          <w:sz w:val="25"/>
          <w:szCs w:val="25"/>
        </w:rPr>
      </w:pPr>
      <w:r w:rsidRPr="00C351F0">
        <w:rPr>
          <w:rFonts w:eastAsia="Calibri"/>
          <w:b/>
          <w:color w:val="2E74B5" w:themeColor="accent5" w:themeShade="BF"/>
          <w:sz w:val="25"/>
          <w:szCs w:val="25"/>
        </w:rPr>
        <w:lastRenderedPageBreak/>
        <w:t xml:space="preserve">3.1 </w:t>
      </w:r>
      <w:r w:rsidR="009D3658">
        <w:rPr>
          <w:rFonts w:eastAsia="Calibri"/>
          <w:b/>
          <w:color w:val="2E74B5" w:themeColor="accent5" w:themeShade="BF"/>
          <w:sz w:val="25"/>
          <w:szCs w:val="25"/>
        </w:rPr>
        <w:t xml:space="preserve">Program Extension Initiative: </w:t>
      </w:r>
      <w:r w:rsidRPr="00C351F0">
        <w:rPr>
          <w:rFonts w:eastAsia="Calibri"/>
          <w:b/>
          <w:color w:val="2E74B5" w:themeColor="accent5" w:themeShade="BF"/>
          <w:sz w:val="25"/>
          <w:szCs w:val="25"/>
        </w:rPr>
        <w:t>Identify and Extend Successful Programs</w:t>
      </w:r>
    </w:p>
    <w:p w14:paraId="0D7780B7" w14:textId="77777777" w:rsidR="00B974F3" w:rsidRPr="008E171B" w:rsidRDefault="00B974F3" w:rsidP="00815D3A">
      <w:pPr>
        <w:pStyle w:val="Default"/>
        <w:spacing w:line="276" w:lineRule="auto"/>
        <w:rPr>
          <w:rFonts w:asciiTheme="minorHAnsi" w:eastAsiaTheme="minorEastAsia" w:hAnsiTheme="minorHAnsi" w:cstheme="minorBidi"/>
          <w:b/>
          <w:color w:val="0070C0"/>
          <w:sz w:val="16"/>
          <w:szCs w:val="16"/>
          <w:lang w:val="en-GB"/>
        </w:rPr>
      </w:pPr>
    </w:p>
    <w:p w14:paraId="72E01B90" w14:textId="5299B3CA" w:rsidR="00F00E3D" w:rsidRPr="00AB31C9" w:rsidRDefault="003579A6" w:rsidP="00623929">
      <w:pPr>
        <w:spacing w:after="0" w:line="276" w:lineRule="auto"/>
        <w:rPr>
          <w:rFonts w:asciiTheme="majorHAnsi" w:eastAsiaTheme="minorEastAsia" w:hAnsiTheme="majorHAnsi" w:cstheme="majorBidi"/>
          <w:sz w:val="23"/>
          <w:szCs w:val="23"/>
          <w:lang w:val="en-GB"/>
        </w:rPr>
      </w:pPr>
      <w:r>
        <w:rPr>
          <w:rFonts w:asciiTheme="majorHAnsi" w:eastAsiaTheme="minorEastAsia" w:hAnsiTheme="majorHAnsi" w:cstheme="majorBidi"/>
          <w:sz w:val="23"/>
          <w:szCs w:val="23"/>
          <w:lang w:val="en-GB"/>
        </w:rPr>
        <w:t>Our r</w:t>
      </w:r>
      <w:r w:rsidR="00F00E3D" w:rsidRPr="00AB31C9">
        <w:rPr>
          <w:rFonts w:asciiTheme="majorHAnsi" w:eastAsiaTheme="minorEastAsia" w:hAnsiTheme="majorHAnsi" w:cstheme="majorBidi"/>
          <w:sz w:val="23"/>
          <w:szCs w:val="23"/>
          <w:lang w:val="en-GB"/>
        </w:rPr>
        <w:t>esearch into the three localities and consultation</w:t>
      </w:r>
      <w:r w:rsidR="00F93F22">
        <w:rPr>
          <w:rFonts w:asciiTheme="majorHAnsi" w:eastAsiaTheme="minorEastAsia" w:hAnsiTheme="majorHAnsi" w:cstheme="majorBidi"/>
          <w:sz w:val="23"/>
          <w:szCs w:val="23"/>
          <w:lang w:val="en-GB"/>
        </w:rPr>
        <w:t>s</w:t>
      </w:r>
      <w:r w:rsidR="00F00E3D" w:rsidRPr="00AB31C9">
        <w:rPr>
          <w:rFonts w:asciiTheme="majorHAnsi" w:eastAsiaTheme="minorEastAsia" w:hAnsiTheme="majorHAnsi" w:cstheme="majorBidi"/>
          <w:sz w:val="23"/>
          <w:szCs w:val="23"/>
          <w:lang w:val="en-GB"/>
        </w:rPr>
        <w:t xml:space="preserve"> with key workers identified a range of highly effective existing programs and promising approaches. Rather than attempting to implement new programs from scratch, it is strongly recommended that an audit of existing programs be conducted, with a view to supporting and extending those that are effective, mapping potential overlaps, and identifying possible partnerships and lead agencies </w:t>
      </w:r>
      <w:r w:rsidR="006F3B3F">
        <w:rPr>
          <w:rFonts w:asciiTheme="majorHAnsi" w:eastAsiaTheme="minorEastAsia" w:hAnsiTheme="majorHAnsi" w:cstheme="majorBidi"/>
          <w:sz w:val="23"/>
          <w:szCs w:val="23"/>
          <w:lang w:val="en-GB"/>
        </w:rPr>
        <w:t>to develop</w:t>
      </w:r>
      <w:r w:rsidR="00F00E3D" w:rsidRPr="00AB31C9">
        <w:rPr>
          <w:rFonts w:asciiTheme="majorHAnsi" w:eastAsiaTheme="minorEastAsia" w:hAnsiTheme="majorHAnsi" w:cstheme="majorBidi"/>
          <w:sz w:val="23"/>
          <w:szCs w:val="23"/>
          <w:lang w:val="en-GB"/>
        </w:rPr>
        <w:t xml:space="preserve"> future initiatives. There is also </w:t>
      </w:r>
      <w:r w:rsidR="00F00E3D">
        <w:rPr>
          <w:rFonts w:asciiTheme="majorHAnsi" w:eastAsiaTheme="minorEastAsia" w:hAnsiTheme="majorHAnsi" w:cstheme="majorBidi"/>
          <w:sz w:val="23"/>
          <w:szCs w:val="23"/>
          <w:lang w:val="en-GB"/>
        </w:rPr>
        <w:t xml:space="preserve">some </w:t>
      </w:r>
      <w:r w:rsidR="00F00E3D" w:rsidRPr="00AB31C9">
        <w:rPr>
          <w:rFonts w:asciiTheme="majorHAnsi" w:eastAsiaTheme="minorEastAsia" w:hAnsiTheme="majorHAnsi" w:cstheme="majorBidi"/>
          <w:sz w:val="23"/>
          <w:szCs w:val="23"/>
          <w:lang w:val="en-GB"/>
        </w:rPr>
        <w:t>scope to build upon or leverage existing government policies and plans. While this list is only a starting point, we have identified the following candidates (listed by</w:t>
      </w:r>
      <w:r w:rsidR="00F00E3D">
        <w:rPr>
          <w:rFonts w:asciiTheme="majorHAnsi" w:eastAsiaTheme="minorEastAsia" w:hAnsiTheme="majorHAnsi" w:cstheme="majorBidi"/>
          <w:sz w:val="23"/>
          <w:szCs w:val="23"/>
          <w:lang w:val="en-GB"/>
        </w:rPr>
        <w:t xml:space="preserve"> </w:t>
      </w:r>
      <w:r w:rsidR="00D95573">
        <w:rPr>
          <w:rFonts w:asciiTheme="majorHAnsi" w:eastAsiaTheme="minorEastAsia" w:hAnsiTheme="majorHAnsi" w:cstheme="majorBidi"/>
          <w:sz w:val="23"/>
          <w:szCs w:val="23"/>
          <w:lang w:val="en-GB"/>
        </w:rPr>
        <w:t>Practice Domain</w:t>
      </w:r>
      <w:r w:rsidR="00F00E3D" w:rsidRPr="00AB31C9">
        <w:rPr>
          <w:rFonts w:asciiTheme="majorHAnsi" w:eastAsiaTheme="minorEastAsia" w:hAnsiTheme="majorHAnsi" w:cstheme="majorBidi"/>
          <w:sz w:val="23"/>
          <w:szCs w:val="23"/>
          <w:lang w:val="en-GB"/>
        </w:rPr>
        <w:t>):</w:t>
      </w:r>
    </w:p>
    <w:p w14:paraId="1A8E6B4F" w14:textId="2868BB8B" w:rsidR="00F00E3D" w:rsidRPr="00552857" w:rsidRDefault="00F00E3D" w:rsidP="00364C5D">
      <w:pPr>
        <w:pStyle w:val="ListParagraph"/>
        <w:numPr>
          <w:ilvl w:val="0"/>
          <w:numId w:val="56"/>
        </w:numPr>
        <w:spacing w:line="276" w:lineRule="auto"/>
        <w:rPr>
          <w:rFonts w:asciiTheme="majorHAnsi" w:eastAsiaTheme="majorEastAsia" w:hAnsiTheme="majorHAnsi" w:cstheme="majorBidi"/>
          <w:sz w:val="23"/>
          <w:szCs w:val="23"/>
        </w:rPr>
      </w:pPr>
      <w:r w:rsidRPr="006F3B3F">
        <w:rPr>
          <w:rFonts w:cstheme="minorHAnsi"/>
          <w:b/>
          <w:bCs/>
          <w:sz w:val="23"/>
          <w:szCs w:val="23"/>
        </w:rPr>
        <w:t>Employment:</w:t>
      </w:r>
      <w:r w:rsidRPr="4061B100">
        <w:rPr>
          <w:rFonts w:asciiTheme="majorHAnsi" w:hAnsiTheme="majorHAnsi" w:cstheme="majorBidi"/>
          <w:sz w:val="23"/>
          <w:szCs w:val="23"/>
        </w:rPr>
        <w:t xml:space="preserve"> </w:t>
      </w:r>
      <w:r w:rsidR="006F3B3F">
        <w:rPr>
          <w:rFonts w:asciiTheme="majorHAnsi" w:hAnsiTheme="majorHAnsi" w:cstheme="majorBidi"/>
          <w:sz w:val="23"/>
          <w:szCs w:val="23"/>
        </w:rPr>
        <w:t>E</w:t>
      </w:r>
      <w:r w:rsidRPr="4061B100">
        <w:rPr>
          <w:rFonts w:asciiTheme="majorHAnsi" w:hAnsiTheme="majorHAnsi" w:cstheme="majorBidi"/>
          <w:sz w:val="23"/>
          <w:szCs w:val="23"/>
        </w:rPr>
        <w:t xml:space="preserve">xplore options </w:t>
      </w:r>
      <w:r w:rsidR="006F3B3F">
        <w:rPr>
          <w:rFonts w:asciiTheme="majorHAnsi" w:hAnsiTheme="majorHAnsi" w:cstheme="majorBidi"/>
          <w:sz w:val="23"/>
          <w:szCs w:val="23"/>
        </w:rPr>
        <w:t>to extend and work</w:t>
      </w:r>
      <w:r>
        <w:rPr>
          <w:rFonts w:asciiTheme="majorHAnsi" w:hAnsiTheme="majorHAnsi" w:cstheme="majorBidi"/>
          <w:sz w:val="23"/>
          <w:szCs w:val="23"/>
        </w:rPr>
        <w:t xml:space="preserve"> with </w:t>
      </w:r>
      <w:r w:rsidRPr="4061B100">
        <w:rPr>
          <w:rFonts w:asciiTheme="majorHAnsi" w:hAnsiTheme="majorHAnsi" w:cstheme="majorBidi"/>
          <w:sz w:val="23"/>
          <w:szCs w:val="23"/>
        </w:rPr>
        <w:t xml:space="preserve">GROW, RISE, Diversitat’s Reconnect program, Learn Locals, Encompass, and Northern Futures, </w:t>
      </w:r>
      <w:r w:rsidR="00C55018">
        <w:rPr>
          <w:rFonts w:asciiTheme="majorHAnsi" w:hAnsiTheme="majorHAnsi" w:cstheme="majorBidi"/>
          <w:sz w:val="23"/>
          <w:szCs w:val="23"/>
        </w:rPr>
        <w:t>extending</w:t>
      </w:r>
      <w:r w:rsidRPr="4061B100">
        <w:rPr>
          <w:rFonts w:asciiTheme="majorHAnsi" w:hAnsiTheme="majorHAnsi" w:cstheme="majorBidi"/>
          <w:sz w:val="23"/>
          <w:szCs w:val="23"/>
        </w:rPr>
        <w:t xml:space="preserve"> the latter model to Whittington. Connect local employment actions to the Victorian State Government’s social procurement policy</w:t>
      </w:r>
      <w:r w:rsidR="00C55018">
        <w:rPr>
          <w:rFonts w:asciiTheme="majorHAnsi" w:hAnsiTheme="majorHAnsi" w:cstheme="majorBidi"/>
          <w:sz w:val="23"/>
          <w:szCs w:val="23"/>
        </w:rPr>
        <w:t xml:space="preserve"> and explore other</w:t>
      </w:r>
      <w:r w:rsidR="00D86BF8">
        <w:rPr>
          <w:rFonts w:asciiTheme="majorHAnsi" w:hAnsiTheme="majorHAnsi" w:cstheme="majorBidi"/>
          <w:sz w:val="23"/>
          <w:szCs w:val="23"/>
        </w:rPr>
        <w:t xml:space="preserve"> </w:t>
      </w:r>
      <w:r w:rsidR="00A968F7">
        <w:rPr>
          <w:rFonts w:asciiTheme="majorHAnsi" w:hAnsiTheme="majorHAnsi" w:cstheme="majorBidi"/>
          <w:sz w:val="23"/>
          <w:szCs w:val="23"/>
        </w:rPr>
        <w:t xml:space="preserve">funding </w:t>
      </w:r>
      <w:r w:rsidR="00DE7277">
        <w:rPr>
          <w:rFonts w:asciiTheme="majorHAnsi" w:hAnsiTheme="majorHAnsi" w:cstheme="majorBidi"/>
          <w:sz w:val="23"/>
          <w:szCs w:val="23"/>
        </w:rPr>
        <w:t xml:space="preserve">opportunities </w:t>
      </w:r>
      <w:r w:rsidR="00D86BF8">
        <w:rPr>
          <w:rFonts w:asciiTheme="majorHAnsi" w:hAnsiTheme="majorHAnsi" w:cstheme="majorBidi"/>
          <w:sz w:val="23"/>
          <w:szCs w:val="23"/>
        </w:rPr>
        <w:t>(</w:t>
      </w:r>
      <w:proofErr w:type="gramStart"/>
      <w:r w:rsidR="00D86BF8">
        <w:rPr>
          <w:rFonts w:asciiTheme="majorHAnsi" w:hAnsiTheme="majorHAnsi" w:cstheme="majorBidi"/>
          <w:sz w:val="23"/>
          <w:szCs w:val="23"/>
        </w:rPr>
        <w:t>e.g.</w:t>
      </w:r>
      <w:proofErr w:type="gramEnd"/>
      <w:r w:rsidR="00DE7277">
        <w:rPr>
          <w:rFonts w:asciiTheme="majorHAnsi" w:hAnsiTheme="majorHAnsi" w:cstheme="majorBidi"/>
          <w:sz w:val="23"/>
          <w:szCs w:val="23"/>
        </w:rPr>
        <w:t xml:space="preserve"> </w:t>
      </w:r>
      <w:r w:rsidR="00F64B58">
        <w:rPr>
          <w:rFonts w:asciiTheme="majorHAnsi" w:hAnsiTheme="majorHAnsi" w:cstheme="majorBidi"/>
          <w:sz w:val="23"/>
          <w:szCs w:val="23"/>
        </w:rPr>
        <w:t>Jobs Victoria Fund</w:t>
      </w:r>
      <w:r w:rsidR="00D86BF8">
        <w:rPr>
          <w:rFonts w:asciiTheme="majorHAnsi" w:hAnsiTheme="majorHAnsi" w:cstheme="majorBidi"/>
          <w:sz w:val="23"/>
          <w:szCs w:val="23"/>
        </w:rPr>
        <w:t>)</w:t>
      </w:r>
      <w:r w:rsidRPr="4061B100">
        <w:rPr>
          <w:rFonts w:asciiTheme="majorHAnsi" w:hAnsiTheme="majorHAnsi" w:cstheme="majorBidi"/>
          <w:sz w:val="23"/>
          <w:szCs w:val="23"/>
        </w:rPr>
        <w:t xml:space="preserve">. </w:t>
      </w:r>
    </w:p>
    <w:p w14:paraId="64B78340" w14:textId="4CF824AD" w:rsidR="00F00E3D" w:rsidRPr="00552857" w:rsidRDefault="00F00E3D" w:rsidP="00364C5D">
      <w:pPr>
        <w:pStyle w:val="ListParagraph"/>
        <w:numPr>
          <w:ilvl w:val="0"/>
          <w:numId w:val="56"/>
        </w:numPr>
        <w:spacing w:line="276" w:lineRule="auto"/>
        <w:rPr>
          <w:rFonts w:asciiTheme="majorHAnsi" w:hAnsiTheme="majorHAnsi" w:cstheme="majorBidi"/>
          <w:sz w:val="23"/>
          <w:szCs w:val="23"/>
        </w:rPr>
      </w:pPr>
      <w:r w:rsidRPr="006F3B3F">
        <w:rPr>
          <w:rFonts w:cstheme="minorHAnsi"/>
          <w:b/>
          <w:bCs/>
          <w:sz w:val="23"/>
          <w:szCs w:val="23"/>
        </w:rPr>
        <w:t>Education:</w:t>
      </w:r>
      <w:r w:rsidRPr="2B87D1CA">
        <w:rPr>
          <w:rFonts w:asciiTheme="majorHAnsi" w:hAnsiTheme="majorHAnsi" w:cstheme="majorBidi"/>
          <w:sz w:val="23"/>
          <w:szCs w:val="23"/>
        </w:rPr>
        <w:t xml:space="preserve"> Extend outreach and partnering activities by local primary and secondary schools, especially to disengaged youth, Aboriginal and Torres Strait Islander communities, CALD students, </w:t>
      </w:r>
      <w:r w:rsidR="009334A1">
        <w:rPr>
          <w:rFonts w:asciiTheme="majorHAnsi" w:hAnsiTheme="majorHAnsi" w:cstheme="majorBidi"/>
          <w:sz w:val="23"/>
          <w:szCs w:val="23"/>
        </w:rPr>
        <w:t>and</w:t>
      </w:r>
      <w:r w:rsidRPr="2B87D1CA">
        <w:rPr>
          <w:rFonts w:asciiTheme="majorHAnsi" w:hAnsiTheme="majorHAnsi" w:cstheme="majorBidi"/>
          <w:sz w:val="23"/>
          <w:szCs w:val="23"/>
        </w:rPr>
        <w:t xml:space="preserve"> young people with disability.</w:t>
      </w:r>
    </w:p>
    <w:p w14:paraId="6F330803" w14:textId="5DCC2549" w:rsidR="00F00E3D" w:rsidRPr="00552857" w:rsidRDefault="00F00E3D" w:rsidP="00364C5D">
      <w:pPr>
        <w:pStyle w:val="ListParagraph"/>
        <w:numPr>
          <w:ilvl w:val="0"/>
          <w:numId w:val="56"/>
        </w:numPr>
        <w:spacing w:line="276" w:lineRule="auto"/>
        <w:rPr>
          <w:rFonts w:asciiTheme="majorHAnsi" w:eastAsiaTheme="majorEastAsia" w:hAnsiTheme="majorHAnsi" w:cstheme="majorBidi"/>
          <w:sz w:val="23"/>
          <w:szCs w:val="23"/>
        </w:rPr>
      </w:pPr>
      <w:r w:rsidRPr="006F3B3F">
        <w:rPr>
          <w:rFonts w:cstheme="minorHAnsi"/>
          <w:b/>
          <w:bCs/>
          <w:sz w:val="23"/>
          <w:szCs w:val="23"/>
        </w:rPr>
        <w:t xml:space="preserve">Health and </w:t>
      </w:r>
      <w:r w:rsidR="006F3B3F">
        <w:rPr>
          <w:rFonts w:cstheme="minorHAnsi"/>
          <w:b/>
          <w:bCs/>
          <w:sz w:val="23"/>
          <w:szCs w:val="23"/>
        </w:rPr>
        <w:t>W</w:t>
      </w:r>
      <w:r w:rsidRPr="006F3B3F">
        <w:rPr>
          <w:rFonts w:cstheme="minorHAnsi"/>
          <w:b/>
          <w:bCs/>
          <w:sz w:val="23"/>
          <w:szCs w:val="23"/>
        </w:rPr>
        <w:t>ellbeing</w:t>
      </w:r>
      <w:r w:rsidRPr="006F3B3F">
        <w:rPr>
          <w:rFonts w:asciiTheme="majorHAnsi" w:hAnsiTheme="majorHAnsi" w:cstheme="majorBidi"/>
          <w:b/>
          <w:bCs/>
          <w:sz w:val="23"/>
          <w:szCs w:val="23"/>
        </w:rPr>
        <w:t>:</w:t>
      </w:r>
      <w:r w:rsidRPr="502830E4">
        <w:rPr>
          <w:rFonts w:asciiTheme="majorHAnsi" w:hAnsiTheme="majorHAnsi" w:cstheme="majorBidi"/>
          <w:sz w:val="23"/>
          <w:szCs w:val="23"/>
        </w:rPr>
        <w:t xml:space="preserve"> Deepen the connection of Barwon Health North to the northern suburbs and examin</w:t>
      </w:r>
      <w:r w:rsidR="00DE7277">
        <w:rPr>
          <w:rFonts w:asciiTheme="majorHAnsi" w:hAnsiTheme="majorHAnsi" w:cstheme="majorBidi"/>
          <w:sz w:val="23"/>
          <w:szCs w:val="23"/>
        </w:rPr>
        <w:t>e feasibility of</w:t>
      </w:r>
      <w:r w:rsidR="00137580">
        <w:rPr>
          <w:rFonts w:asciiTheme="majorHAnsi" w:hAnsiTheme="majorHAnsi" w:cstheme="majorBidi"/>
          <w:sz w:val="23"/>
          <w:szCs w:val="23"/>
        </w:rPr>
        <w:t xml:space="preserve"> </w:t>
      </w:r>
      <w:r w:rsidRPr="502830E4">
        <w:rPr>
          <w:rFonts w:asciiTheme="majorHAnsi" w:hAnsiTheme="majorHAnsi" w:cstheme="majorBidi"/>
          <w:sz w:val="23"/>
          <w:szCs w:val="23"/>
        </w:rPr>
        <w:t xml:space="preserve">a comparable facility in/around Whittington. </w:t>
      </w:r>
      <w:r w:rsidRPr="502830E4">
        <w:rPr>
          <w:rFonts w:asciiTheme="majorHAnsi" w:eastAsia="Calibri" w:hAnsiTheme="majorHAnsi" w:cstheme="majorBidi"/>
          <w:sz w:val="23"/>
          <w:szCs w:val="23"/>
          <w:lang w:val="en-GB"/>
        </w:rPr>
        <w:t xml:space="preserve">Ensure domestic violence and mental health programs are active in </w:t>
      </w:r>
      <w:r w:rsidR="00137580">
        <w:rPr>
          <w:rFonts w:asciiTheme="majorHAnsi" w:eastAsia="Calibri" w:hAnsiTheme="majorHAnsi" w:cstheme="majorBidi"/>
          <w:sz w:val="23"/>
          <w:szCs w:val="23"/>
          <w:lang w:val="en-GB"/>
        </w:rPr>
        <w:t>all</w:t>
      </w:r>
      <w:r w:rsidRPr="502830E4">
        <w:rPr>
          <w:rFonts w:asciiTheme="majorHAnsi" w:eastAsia="Calibri" w:hAnsiTheme="majorHAnsi" w:cstheme="majorBidi"/>
          <w:sz w:val="23"/>
          <w:szCs w:val="23"/>
          <w:lang w:val="en-GB"/>
        </w:rPr>
        <w:t xml:space="preserve"> three localities, and monitor effectiveness. </w:t>
      </w:r>
    </w:p>
    <w:p w14:paraId="13C74C29" w14:textId="0A25F8D0" w:rsidR="00F00E3D" w:rsidRPr="00552857" w:rsidRDefault="00F00E3D" w:rsidP="00364C5D">
      <w:pPr>
        <w:pStyle w:val="ListParagraph"/>
        <w:numPr>
          <w:ilvl w:val="0"/>
          <w:numId w:val="56"/>
        </w:numPr>
        <w:spacing w:line="276" w:lineRule="auto"/>
        <w:rPr>
          <w:rFonts w:asciiTheme="majorHAnsi" w:hAnsiTheme="majorHAnsi" w:cstheme="majorBidi"/>
          <w:sz w:val="23"/>
          <w:szCs w:val="23"/>
        </w:rPr>
      </w:pPr>
      <w:r w:rsidRPr="00A968F7">
        <w:rPr>
          <w:rFonts w:cstheme="minorHAnsi"/>
          <w:b/>
          <w:bCs/>
          <w:sz w:val="23"/>
          <w:szCs w:val="23"/>
        </w:rPr>
        <w:t>Housing:</w:t>
      </w:r>
      <w:r w:rsidRPr="39226A36">
        <w:rPr>
          <w:rFonts w:asciiTheme="majorHAnsi" w:hAnsiTheme="majorHAnsi" w:cstheme="majorBidi"/>
          <w:sz w:val="23"/>
          <w:szCs w:val="23"/>
        </w:rPr>
        <w:t xml:space="preserve"> Exten</w:t>
      </w:r>
      <w:r w:rsidR="00A968F7">
        <w:rPr>
          <w:rFonts w:asciiTheme="majorHAnsi" w:hAnsiTheme="majorHAnsi" w:cstheme="majorBidi"/>
          <w:sz w:val="23"/>
          <w:szCs w:val="23"/>
        </w:rPr>
        <w:t>d</w:t>
      </w:r>
      <w:r w:rsidRPr="39226A36">
        <w:rPr>
          <w:rFonts w:asciiTheme="majorHAnsi" w:hAnsiTheme="majorHAnsi" w:cstheme="majorBidi"/>
          <w:sz w:val="23"/>
          <w:szCs w:val="23"/>
        </w:rPr>
        <w:t xml:space="preserve"> </w:t>
      </w:r>
      <w:r w:rsidR="001B7DDF">
        <w:rPr>
          <w:rFonts w:asciiTheme="majorHAnsi" w:hAnsiTheme="majorHAnsi" w:cstheme="majorBidi"/>
          <w:sz w:val="23"/>
          <w:szCs w:val="23"/>
        </w:rPr>
        <w:t>CoGG</w:t>
      </w:r>
      <w:r w:rsidR="00A968F7">
        <w:rPr>
          <w:rFonts w:asciiTheme="majorHAnsi" w:hAnsiTheme="majorHAnsi" w:cstheme="majorBidi"/>
          <w:sz w:val="23"/>
          <w:szCs w:val="23"/>
        </w:rPr>
        <w:t>’s</w:t>
      </w:r>
      <w:r w:rsidRPr="39226A36">
        <w:rPr>
          <w:rFonts w:asciiTheme="majorHAnsi" w:hAnsiTheme="majorHAnsi" w:cstheme="majorBidi"/>
          <w:sz w:val="23"/>
          <w:szCs w:val="23"/>
        </w:rPr>
        <w:t xml:space="preserve"> Social Housing </w:t>
      </w:r>
      <w:r w:rsidR="00A968F7">
        <w:rPr>
          <w:rFonts w:asciiTheme="majorHAnsi" w:hAnsiTheme="majorHAnsi" w:cstheme="majorBidi"/>
          <w:sz w:val="23"/>
          <w:szCs w:val="23"/>
        </w:rPr>
        <w:t>P</w:t>
      </w:r>
      <w:r w:rsidRPr="39226A36">
        <w:rPr>
          <w:rFonts w:asciiTheme="majorHAnsi" w:hAnsiTheme="majorHAnsi" w:cstheme="majorBidi"/>
          <w:sz w:val="23"/>
          <w:szCs w:val="23"/>
        </w:rPr>
        <w:t>olicy – for new builds and renovation – to Corio, Norlane</w:t>
      </w:r>
      <w:r w:rsidR="00A968F7">
        <w:rPr>
          <w:rFonts w:asciiTheme="majorHAnsi" w:hAnsiTheme="majorHAnsi" w:cstheme="majorBidi"/>
          <w:sz w:val="23"/>
          <w:szCs w:val="23"/>
        </w:rPr>
        <w:t>,</w:t>
      </w:r>
      <w:r w:rsidRPr="39226A36">
        <w:rPr>
          <w:rFonts w:asciiTheme="majorHAnsi" w:hAnsiTheme="majorHAnsi" w:cstheme="majorBidi"/>
          <w:sz w:val="23"/>
          <w:szCs w:val="23"/>
        </w:rPr>
        <w:t xml:space="preserve"> and Whittington.</w:t>
      </w:r>
    </w:p>
    <w:p w14:paraId="5FC1781D" w14:textId="2F85D4F7" w:rsidR="00F00E3D" w:rsidRPr="00067115" w:rsidRDefault="00F00E3D" w:rsidP="00364C5D">
      <w:pPr>
        <w:pStyle w:val="ListParagraph"/>
        <w:numPr>
          <w:ilvl w:val="0"/>
          <w:numId w:val="56"/>
        </w:numPr>
        <w:spacing w:after="0" w:line="276" w:lineRule="auto"/>
        <w:rPr>
          <w:rFonts w:asciiTheme="majorHAnsi" w:hAnsiTheme="majorHAnsi" w:cstheme="majorBidi"/>
          <w:sz w:val="23"/>
          <w:szCs w:val="23"/>
        </w:rPr>
      </w:pPr>
      <w:r w:rsidRPr="006F3B3F">
        <w:rPr>
          <w:rFonts w:cstheme="minorHAnsi"/>
          <w:b/>
          <w:bCs/>
          <w:sz w:val="23"/>
          <w:szCs w:val="23"/>
        </w:rPr>
        <w:t>Liveability:</w:t>
      </w:r>
      <w:r w:rsidRPr="502830E4">
        <w:rPr>
          <w:rFonts w:asciiTheme="majorHAnsi" w:hAnsiTheme="majorHAnsi" w:cstheme="majorBidi"/>
          <w:sz w:val="23"/>
          <w:szCs w:val="23"/>
        </w:rPr>
        <w:t xml:space="preserve"> Revisit and refresh the Corio-Norlane Structure Plan (especially around</w:t>
      </w:r>
      <w:r w:rsidR="008E4DC2">
        <w:rPr>
          <w:rFonts w:asciiTheme="majorHAnsi" w:hAnsiTheme="majorHAnsi" w:cstheme="majorBidi"/>
          <w:sz w:val="23"/>
          <w:szCs w:val="23"/>
        </w:rPr>
        <w:t xml:space="preserve"> revitalising</w:t>
      </w:r>
      <w:r w:rsidRPr="502830E4">
        <w:rPr>
          <w:rFonts w:asciiTheme="majorHAnsi" w:hAnsiTheme="majorHAnsi" w:cstheme="majorBidi"/>
          <w:sz w:val="23"/>
          <w:szCs w:val="23"/>
        </w:rPr>
        <w:t xml:space="preserve"> </w:t>
      </w:r>
      <w:r w:rsidR="006944F9">
        <w:rPr>
          <w:rFonts w:asciiTheme="majorHAnsi" w:hAnsiTheme="majorHAnsi" w:cstheme="majorBidi"/>
          <w:sz w:val="23"/>
          <w:szCs w:val="23"/>
        </w:rPr>
        <w:t xml:space="preserve">local </w:t>
      </w:r>
      <w:r w:rsidRPr="502830E4">
        <w:rPr>
          <w:rFonts w:asciiTheme="majorHAnsi" w:hAnsiTheme="majorHAnsi" w:cstheme="majorBidi"/>
          <w:sz w:val="23"/>
          <w:szCs w:val="23"/>
        </w:rPr>
        <w:t>retail strips, railway station renewal, street safety</w:t>
      </w:r>
      <w:r w:rsidR="006944F9">
        <w:rPr>
          <w:rFonts w:asciiTheme="majorHAnsi" w:hAnsiTheme="majorHAnsi" w:cstheme="majorBidi"/>
          <w:sz w:val="23"/>
          <w:szCs w:val="23"/>
        </w:rPr>
        <w:t>,</w:t>
      </w:r>
      <w:r w:rsidRPr="502830E4">
        <w:rPr>
          <w:rFonts w:asciiTheme="majorHAnsi" w:hAnsiTheme="majorHAnsi" w:cstheme="majorBidi"/>
          <w:sz w:val="23"/>
          <w:szCs w:val="23"/>
        </w:rPr>
        <w:t xml:space="preserve"> and neighbourhood</w:t>
      </w:r>
      <w:r w:rsidR="006944F9">
        <w:rPr>
          <w:rFonts w:asciiTheme="majorHAnsi" w:hAnsiTheme="majorHAnsi" w:cstheme="majorBidi"/>
          <w:sz w:val="23"/>
          <w:szCs w:val="23"/>
        </w:rPr>
        <w:t xml:space="preserve"> greening</w:t>
      </w:r>
      <w:r w:rsidRPr="502830E4">
        <w:rPr>
          <w:rFonts w:asciiTheme="majorHAnsi" w:hAnsiTheme="majorHAnsi" w:cstheme="majorBidi"/>
          <w:sz w:val="23"/>
          <w:szCs w:val="23"/>
        </w:rPr>
        <w:t xml:space="preserve">). Replicate a similar consultation and planning exercise for Whittington. </w:t>
      </w:r>
      <w:r w:rsidR="00B212DD">
        <w:rPr>
          <w:rFonts w:asciiTheme="majorHAnsi" w:hAnsiTheme="majorHAnsi" w:cstheme="majorBidi"/>
          <w:sz w:val="23"/>
          <w:szCs w:val="23"/>
        </w:rPr>
        <w:t>Review existing</w:t>
      </w:r>
      <w:r w:rsidR="00B212DD" w:rsidRPr="00E43E4B">
        <w:rPr>
          <w:rFonts w:asciiTheme="majorHAnsi" w:hAnsiTheme="majorHAnsi" w:cstheme="majorBidi"/>
          <w:sz w:val="23"/>
          <w:szCs w:val="23"/>
        </w:rPr>
        <w:t xml:space="preserve"> social infrastructure</w:t>
      </w:r>
      <w:r w:rsidR="00B212DD">
        <w:rPr>
          <w:rFonts w:asciiTheme="majorHAnsi" w:hAnsiTheme="majorHAnsi" w:cstheme="majorBidi"/>
          <w:sz w:val="23"/>
          <w:szCs w:val="23"/>
        </w:rPr>
        <w:t xml:space="preserve"> in these </w:t>
      </w:r>
      <w:r w:rsidR="006E2F24">
        <w:rPr>
          <w:rFonts w:asciiTheme="majorHAnsi" w:hAnsiTheme="majorHAnsi" w:cstheme="majorBidi"/>
          <w:sz w:val="23"/>
          <w:szCs w:val="23"/>
        </w:rPr>
        <w:t>suburbs and</w:t>
      </w:r>
      <w:r w:rsidR="00B212DD">
        <w:rPr>
          <w:rFonts w:asciiTheme="majorHAnsi" w:hAnsiTheme="majorHAnsi" w:cstheme="majorBidi"/>
          <w:sz w:val="23"/>
          <w:szCs w:val="23"/>
        </w:rPr>
        <w:t xml:space="preserve"> identify and address important gaps. </w:t>
      </w:r>
      <w:r w:rsidRPr="502830E4">
        <w:rPr>
          <w:rFonts w:asciiTheme="majorHAnsi" w:hAnsiTheme="majorHAnsi" w:cstheme="majorBidi"/>
          <w:sz w:val="23"/>
          <w:szCs w:val="23"/>
        </w:rPr>
        <w:t>Explore potential collaborations between existing community centres to build capacity.</w:t>
      </w:r>
    </w:p>
    <w:p w14:paraId="51B52587" w14:textId="77777777" w:rsidR="008B6F0C" w:rsidRPr="008B6F0C" w:rsidRDefault="008B6F0C" w:rsidP="00815D3A">
      <w:pPr>
        <w:pStyle w:val="Default"/>
        <w:spacing w:line="276" w:lineRule="auto"/>
        <w:rPr>
          <w:rFonts w:eastAsia="Calibri"/>
          <w:b/>
          <w:color w:val="2F5496" w:themeColor="accent1" w:themeShade="BF"/>
          <w:sz w:val="16"/>
          <w:szCs w:val="16"/>
        </w:rPr>
      </w:pPr>
    </w:p>
    <w:p w14:paraId="1C29EBB8" w14:textId="7D6E07FE" w:rsidR="00F00E3D" w:rsidRPr="00C351F0" w:rsidRDefault="00F00E3D" w:rsidP="00815D3A">
      <w:pPr>
        <w:pStyle w:val="Default"/>
        <w:spacing w:line="276" w:lineRule="auto"/>
        <w:rPr>
          <w:rFonts w:eastAsia="Calibri"/>
          <w:b/>
          <w:color w:val="2E74B5" w:themeColor="accent5" w:themeShade="BF"/>
          <w:sz w:val="25"/>
          <w:szCs w:val="25"/>
        </w:rPr>
      </w:pPr>
      <w:r w:rsidRPr="00C351F0">
        <w:rPr>
          <w:rFonts w:eastAsia="Calibri"/>
          <w:b/>
          <w:color w:val="2E74B5" w:themeColor="accent5" w:themeShade="BF"/>
          <w:sz w:val="25"/>
          <w:szCs w:val="25"/>
        </w:rPr>
        <w:t>3.2 Safe and Affordable Housing</w:t>
      </w:r>
      <w:r w:rsidR="00AB0FF9">
        <w:rPr>
          <w:rFonts w:eastAsia="Calibri"/>
          <w:b/>
          <w:color w:val="2E74B5" w:themeColor="accent5" w:themeShade="BF"/>
          <w:sz w:val="25"/>
          <w:szCs w:val="25"/>
        </w:rPr>
        <w:t xml:space="preserve"> Initiative</w:t>
      </w:r>
    </w:p>
    <w:p w14:paraId="0A191424" w14:textId="77777777" w:rsidR="00801CCE" w:rsidRPr="00815D3A" w:rsidRDefault="00801CCE" w:rsidP="00815D3A">
      <w:pPr>
        <w:pStyle w:val="Default"/>
        <w:spacing w:line="276" w:lineRule="auto"/>
        <w:rPr>
          <w:rFonts w:eastAsia="Calibri"/>
          <w:b/>
          <w:color w:val="0070C0"/>
          <w:sz w:val="12"/>
          <w:szCs w:val="12"/>
        </w:rPr>
      </w:pPr>
    </w:p>
    <w:p w14:paraId="0F44BD00" w14:textId="01AE2D34" w:rsidR="00F00E3D" w:rsidRPr="000C78E4" w:rsidRDefault="00793DF1" w:rsidP="00815D3A">
      <w:pPr>
        <w:spacing w:line="276" w:lineRule="auto"/>
        <w:rPr>
          <w:rFonts w:asciiTheme="majorHAnsi" w:hAnsiTheme="majorHAnsi" w:cstheme="majorHAnsi"/>
          <w:bCs/>
          <w:sz w:val="23"/>
          <w:szCs w:val="23"/>
        </w:rPr>
      </w:pPr>
      <w:r>
        <w:rPr>
          <w:rFonts w:asciiTheme="majorHAnsi" w:hAnsiTheme="majorHAnsi" w:cstheme="majorHAnsi"/>
          <w:bCs/>
          <w:sz w:val="23"/>
          <w:szCs w:val="23"/>
        </w:rPr>
        <w:t>COVID-19</w:t>
      </w:r>
      <w:r w:rsidRPr="000C78E4">
        <w:rPr>
          <w:rFonts w:asciiTheme="majorHAnsi" w:hAnsiTheme="majorHAnsi" w:cstheme="majorHAnsi"/>
          <w:bCs/>
          <w:sz w:val="23"/>
          <w:szCs w:val="23"/>
        </w:rPr>
        <w:t xml:space="preserve"> </w:t>
      </w:r>
      <w:r>
        <w:rPr>
          <w:rFonts w:asciiTheme="majorHAnsi" w:hAnsiTheme="majorHAnsi" w:cstheme="majorHAnsi"/>
          <w:bCs/>
          <w:sz w:val="23"/>
          <w:szCs w:val="23"/>
        </w:rPr>
        <w:t>has</w:t>
      </w:r>
      <w:r w:rsidRPr="000C78E4">
        <w:rPr>
          <w:rFonts w:asciiTheme="majorHAnsi" w:hAnsiTheme="majorHAnsi" w:cstheme="majorHAnsi"/>
          <w:bCs/>
          <w:sz w:val="23"/>
          <w:szCs w:val="23"/>
        </w:rPr>
        <w:t xml:space="preserve"> highlighted several</w:t>
      </w:r>
      <w:r>
        <w:rPr>
          <w:rFonts w:asciiTheme="majorHAnsi" w:hAnsiTheme="majorHAnsi" w:cstheme="majorHAnsi"/>
          <w:bCs/>
          <w:sz w:val="23"/>
          <w:szCs w:val="23"/>
        </w:rPr>
        <w:t xml:space="preserve"> local</w:t>
      </w:r>
      <w:r w:rsidRPr="000C78E4">
        <w:rPr>
          <w:rFonts w:asciiTheme="majorHAnsi" w:hAnsiTheme="majorHAnsi" w:cstheme="majorHAnsi"/>
          <w:bCs/>
          <w:sz w:val="23"/>
          <w:szCs w:val="23"/>
        </w:rPr>
        <w:t xml:space="preserve"> housing issues that require urgent remedy.</w:t>
      </w:r>
      <w:r>
        <w:rPr>
          <w:rFonts w:asciiTheme="majorHAnsi" w:hAnsiTheme="majorHAnsi" w:cstheme="majorHAnsi"/>
          <w:bCs/>
          <w:sz w:val="23"/>
          <w:szCs w:val="23"/>
        </w:rPr>
        <w:t xml:space="preserve"> </w:t>
      </w:r>
      <w:r w:rsidR="003903BF">
        <w:rPr>
          <w:rFonts w:asciiTheme="majorHAnsi" w:hAnsiTheme="majorHAnsi" w:cstheme="majorHAnsi"/>
          <w:bCs/>
          <w:sz w:val="23"/>
          <w:szCs w:val="23"/>
        </w:rPr>
        <w:t xml:space="preserve">The pandemic </w:t>
      </w:r>
      <w:r w:rsidR="001B7C91">
        <w:rPr>
          <w:rFonts w:asciiTheme="majorHAnsi" w:hAnsiTheme="majorHAnsi" w:cstheme="majorHAnsi"/>
          <w:bCs/>
          <w:sz w:val="23"/>
          <w:szCs w:val="23"/>
        </w:rPr>
        <w:t xml:space="preserve">has </w:t>
      </w:r>
      <w:r w:rsidR="003903BF">
        <w:rPr>
          <w:rFonts w:asciiTheme="majorHAnsi" w:hAnsiTheme="majorHAnsi" w:cstheme="majorHAnsi"/>
          <w:bCs/>
          <w:sz w:val="23"/>
          <w:szCs w:val="23"/>
        </w:rPr>
        <w:t>heightened l</w:t>
      </w:r>
      <w:r w:rsidR="00F00E3D" w:rsidRPr="000C78E4">
        <w:rPr>
          <w:rFonts w:asciiTheme="majorHAnsi" w:hAnsiTheme="majorHAnsi" w:cstheme="majorHAnsi"/>
          <w:bCs/>
          <w:sz w:val="23"/>
          <w:szCs w:val="23"/>
        </w:rPr>
        <w:t xml:space="preserve">ong-term issues around </w:t>
      </w:r>
      <w:r w:rsidR="003903BF">
        <w:rPr>
          <w:rFonts w:asciiTheme="majorHAnsi" w:hAnsiTheme="majorHAnsi" w:cstheme="majorHAnsi"/>
          <w:bCs/>
          <w:sz w:val="23"/>
          <w:szCs w:val="23"/>
        </w:rPr>
        <w:t xml:space="preserve">local </w:t>
      </w:r>
      <w:r w:rsidR="00F00E3D" w:rsidRPr="000C78E4">
        <w:rPr>
          <w:rFonts w:asciiTheme="majorHAnsi" w:hAnsiTheme="majorHAnsi" w:cstheme="majorBidi"/>
          <w:bCs/>
          <w:sz w:val="23"/>
          <w:szCs w:val="23"/>
        </w:rPr>
        <w:t xml:space="preserve">housing </w:t>
      </w:r>
      <w:r w:rsidR="00F00E3D" w:rsidRPr="000C78E4">
        <w:rPr>
          <w:rFonts w:asciiTheme="majorHAnsi" w:hAnsiTheme="majorHAnsi" w:cstheme="majorHAnsi"/>
          <w:bCs/>
          <w:sz w:val="23"/>
          <w:szCs w:val="23"/>
        </w:rPr>
        <w:t>affordability</w:t>
      </w:r>
      <w:r w:rsidR="00F00E3D" w:rsidRPr="000C78E4">
        <w:rPr>
          <w:rFonts w:asciiTheme="majorHAnsi" w:hAnsiTheme="majorHAnsi" w:cstheme="majorBidi"/>
          <w:bCs/>
          <w:sz w:val="23"/>
          <w:szCs w:val="23"/>
        </w:rPr>
        <w:t>, quality</w:t>
      </w:r>
      <w:r w:rsidR="003903BF">
        <w:rPr>
          <w:rFonts w:asciiTheme="majorHAnsi" w:hAnsiTheme="majorHAnsi" w:cstheme="majorBidi"/>
          <w:bCs/>
          <w:sz w:val="23"/>
          <w:szCs w:val="23"/>
        </w:rPr>
        <w:t>,</w:t>
      </w:r>
      <w:r w:rsidR="00F00E3D" w:rsidRPr="000C78E4">
        <w:rPr>
          <w:rFonts w:asciiTheme="majorHAnsi" w:hAnsiTheme="majorHAnsi" w:cstheme="majorHAnsi"/>
          <w:bCs/>
          <w:sz w:val="23"/>
          <w:szCs w:val="23"/>
        </w:rPr>
        <w:t xml:space="preserve"> and </w:t>
      </w:r>
      <w:r w:rsidR="00F00E3D" w:rsidRPr="000C78E4">
        <w:rPr>
          <w:rFonts w:asciiTheme="majorHAnsi" w:hAnsiTheme="majorHAnsi" w:cstheme="majorBidi"/>
          <w:bCs/>
          <w:sz w:val="23"/>
          <w:szCs w:val="23"/>
        </w:rPr>
        <w:t xml:space="preserve">capacity </w:t>
      </w:r>
      <w:r w:rsidR="00F00E3D" w:rsidRPr="000C78E4">
        <w:rPr>
          <w:rFonts w:asciiTheme="majorHAnsi" w:hAnsiTheme="majorHAnsi" w:cstheme="majorHAnsi"/>
          <w:bCs/>
          <w:sz w:val="23"/>
          <w:szCs w:val="23"/>
        </w:rPr>
        <w:t xml:space="preserve">to meet </w:t>
      </w:r>
      <w:r w:rsidR="00F00E3D" w:rsidRPr="000C78E4">
        <w:rPr>
          <w:rFonts w:asciiTheme="majorHAnsi" w:hAnsiTheme="majorHAnsi" w:cstheme="majorBidi"/>
          <w:bCs/>
          <w:sz w:val="23"/>
          <w:szCs w:val="23"/>
        </w:rPr>
        <w:t>residents’</w:t>
      </w:r>
      <w:r w:rsidR="00F00E3D" w:rsidRPr="000C78E4">
        <w:rPr>
          <w:rFonts w:asciiTheme="majorHAnsi" w:hAnsiTheme="majorHAnsi" w:cstheme="majorHAnsi"/>
          <w:bCs/>
          <w:sz w:val="23"/>
          <w:szCs w:val="23"/>
        </w:rPr>
        <w:t xml:space="preserve"> lifelong needs </w:t>
      </w:r>
      <w:r w:rsidR="00F00E3D" w:rsidRPr="000C78E4">
        <w:rPr>
          <w:rFonts w:asciiTheme="majorHAnsi" w:hAnsiTheme="majorHAnsi" w:cstheme="majorBidi"/>
          <w:bCs/>
          <w:sz w:val="23"/>
          <w:szCs w:val="23"/>
        </w:rPr>
        <w:t>–</w:t>
      </w:r>
      <w:r w:rsidR="00F00E3D" w:rsidRPr="000C78E4">
        <w:rPr>
          <w:rFonts w:asciiTheme="majorHAnsi" w:hAnsiTheme="majorHAnsi" w:cstheme="majorHAnsi"/>
          <w:bCs/>
          <w:sz w:val="23"/>
          <w:szCs w:val="23"/>
        </w:rPr>
        <w:t xml:space="preserve"> to live, work and learn together.</w:t>
      </w:r>
      <w:r w:rsidR="00431FE4">
        <w:rPr>
          <w:rFonts w:asciiTheme="majorHAnsi" w:hAnsiTheme="majorHAnsi" w:cstheme="majorHAnsi"/>
          <w:bCs/>
          <w:sz w:val="23"/>
          <w:szCs w:val="23"/>
        </w:rPr>
        <w:t xml:space="preserve"> </w:t>
      </w:r>
      <w:r w:rsidR="00F96A80">
        <w:rPr>
          <w:rFonts w:asciiTheme="majorHAnsi" w:hAnsiTheme="majorHAnsi" w:cstheme="majorHAnsi"/>
          <w:bCs/>
          <w:sz w:val="23"/>
          <w:szCs w:val="23"/>
        </w:rPr>
        <w:t>Unless decisive action is taken, t</w:t>
      </w:r>
      <w:r w:rsidR="00DF4568">
        <w:rPr>
          <w:rFonts w:asciiTheme="majorHAnsi" w:hAnsiTheme="majorHAnsi" w:cstheme="majorHAnsi"/>
          <w:bCs/>
          <w:sz w:val="23"/>
          <w:szCs w:val="23"/>
        </w:rPr>
        <w:t xml:space="preserve">here </w:t>
      </w:r>
      <w:r w:rsidR="00741FC8">
        <w:rPr>
          <w:rFonts w:asciiTheme="majorHAnsi" w:hAnsiTheme="majorHAnsi" w:cstheme="majorHAnsi"/>
          <w:bCs/>
          <w:sz w:val="23"/>
          <w:szCs w:val="23"/>
        </w:rPr>
        <w:t>are clear indications</w:t>
      </w:r>
      <w:r w:rsidR="00DF4568">
        <w:rPr>
          <w:rFonts w:asciiTheme="majorHAnsi" w:hAnsiTheme="majorHAnsi" w:cstheme="majorHAnsi"/>
          <w:bCs/>
          <w:sz w:val="23"/>
          <w:szCs w:val="23"/>
        </w:rPr>
        <w:t xml:space="preserve"> that </w:t>
      </w:r>
      <w:r w:rsidR="00431FE4">
        <w:rPr>
          <w:rFonts w:asciiTheme="majorHAnsi" w:hAnsiTheme="majorHAnsi" w:cstheme="majorHAnsi"/>
          <w:bCs/>
          <w:sz w:val="23"/>
          <w:szCs w:val="23"/>
        </w:rPr>
        <w:t>rates of housing stress</w:t>
      </w:r>
      <w:r w:rsidR="00370DE8">
        <w:rPr>
          <w:rFonts w:asciiTheme="majorHAnsi" w:hAnsiTheme="majorHAnsi" w:cstheme="majorHAnsi"/>
          <w:bCs/>
          <w:sz w:val="23"/>
          <w:szCs w:val="23"/>
        </w:rPr>
        <w:t xml:space="preserve"> and homelessness</w:t>
      </w:r>
      <w:r w:rsidR="00DF4568">
        <w:rPr>
          <w:rFonts w:asciiTheme="majorHAnsi" w:hAnsiTheme="majorHAnsi" w:cstheme="majorHAnsi"/>
          <w:bCs/>
          <w:sz w:val="23"/>
          <w:szCs w:val="23"/>
        </w:rPr>
        <w:t xml:space="preserve"> </w:t>
      </w:r>
      <w:r w:rsidR="00741FC8">
        <w:rPr>
          <w:rFonts w:asciiTheme="majorHAnsi" w:hAnsiTheme="majorHAnsi" w:cstheme="majorHAnsi"/>
          <w:bCs/>
          <w:sz w:val="23"/>
          <w:szCs w:val="23"/>
        </w:rPr>
        <w:t xml:space="preserve">will likely increase in these </w:t>
      </w:r>
      <w:r w:rsidR="001B7C91">
        <w:rPr>
          <w:rFonts w:asciiTheme="majorHAnsi" w:hAnsiTheme="majorHAnsi" w:cstheme="majorHAnsi"/>
          <w:bCs/>
          <w:sz w:val="23"/>
          <w:szCs w:val="23"/>
        </w:rPr>
        <w:t xml:space="preserve">three </w:t>
      </w:r>
      <w:r w:rsidR="00741FC8">
        <w:rPr>
          <w:rFonts w:asciiTheme="majorHAnsi" w:hAnsiTheme="majorHAnsi" w:cstheme="majorHAnsi"/>
          <w:bCs/>
          <w:sz w:val="23"/>
          <w:szCs w:val="23"/>
        </w:rPr>
        <w:t xml:space="preserve">localities </w:t>
      </w:r>
      <w:r w:rsidR="00166756">
        <w:rPr>
          <w:rFonts w:asciiTheme="majorHAnsi" w:hAnsiTheme="majorHAnsi" w:cstheme="majorHAnsi"/>
          <w:bCs/>
          <w:sz w:val="23"/>
          <w:szCs w:val="23"/>
        </w:rPr>
        <w:t>as the impacts of COVID-19 continue to unfold</w:t>
      </w:r>
      <w:r w:rsidR="00370DE8">
        <w:rPr>
          <w:rFonts w:asciiTheme="majorHAnsi" w:hAnsiTheme="majorHAnsi" w:cstheme="majorHAnsi"/>
          <w:bCs/>
          <w:sz w:val="23"/>
          <w:szCs w:val="23"/>
        </w:rPr>
        <w:t>.</w:t>
      </w:r>
      <w:r w:rsidR="00EC75DE">
        <w:rPr>
          <w:rFonts w:asciiTheme="majorHAnsi" w:hAnsiTheme="majorHAnsi" w:cstheme="majorHAnsi"/>
          <w:bCs/>
          <w:sz w:val="23"/>
          <w:szCs w:val="23"/>
        </w:rPr>
        <w:t xml:space="preserve"> </w:t>
      </w:r>
      <w:r w:rsidR="008236B4">
        <w:rPr>
          <w:rFonts w:asciiTheme="majorHAnsi" w:hAnsiTheme="majorHAnsi" w:cstheme="majorHAnsi"/>
          <w:bCs/>
          <w:sz w:val="23"/>
          <w:szCs w:val="23"/>
        </w:rPr>
        <w:t>One study predicts that</w:t>
      </w:r>
      <w:r w:rsidR="008236B4" w:rsidRPr="008236B4">
        <w:rPr>
          <w:rFonts w:asciiTheme="majorHAnsi" w:hAnsiTheme="majorHAnsi" w:cstheme="majorHAnsi"/>
          <w:bCs/>
          <w:sz w:val="23"/>
          <w:szCs w:val="23"/>
        </w:rPr>
        <w:t xml:space="preserve"> </w:t>
      </w:r>
      <w:r w:rsidR="008236B4">
        <w:rPr>
          <w:rFonts w:asciiTheme="majorHAnsi" w:hAnsiTheme="majorHAnsi" w:cstheme="majorHAnsi"/>
          <w:bCs/>
          <w:sz w:val="23"/>
          <w:szCs w:val="23"/>
        </w:rPr>
        <w:t xml:space="preserve">by mid-2021 </w:t>
      </w:r>
      <w:r w:rsidR="00E310C4">
        <w:rPr>
          <w:rFonts w:asciiTheme="majorHAnsi" w:hAnsiTheme="majorHAnsi" w:cstheme="majorHAnsi"/>
          <w:bCs/>
          <w:sz w:val="23"/>
          <w:szCs w:val="23"/>
        </w:rPr>
        <w:t xml:space="preserve">national </w:t>
      </w:r>
      <w:r w:rsidR="008236B4" w:rsidRPr="008236B4">
        <w:rPr>
          <w:rFonts w:asciiTheme="majorHAnsi" w:hAnsiTheme="majorHAnsi" w:cstheme="majorHAnsi"/>
          <w:bCs/>
          <w:sz w:val="23"/>
          <w:szCs w:val="23"/>
        </w:rPr>
        <w:t xml:space="preserve">homelessness </w:t>
      </w:r>
      <w:r w:rsidR="008236B4">
        <w:rPr>
          <w:rFonts w:asciiTheme="majorHAnsi" w:hAnsiTheme="majorHAnsi" w:cstheme="majorHAnsi"/>
          <w:bCs/>
          <w:sz w:val="23"/>
          <w:szCs w:val="23"/>
        </w:rPr>
        <w:t>will</w:t>
      </w:r>
      <w:r w:rsidR="008236B4" w:rsidRPr="008236B4">
        <w:rPr>
          <w:rFonts w:asciiTheme="majorHAnsi" w:hAnsiTheme="majorHAnsi" w:cstheme="majorHAnsi"/>
          <w:bCs/>
          <w:sz w:val="23"/>
          <w:szCs w:val="23"/>
        </w:rPr>
        <w:t xml:space="preserve"> increase </w:t>
      </w:r>
      <w:r w:rsidR="008236B4">
        <w:rPr>
          <w:rFonts w:asciiTheme="majorHAnsi" w:hAnsiTheme="majorHAnsi" w:cstheme="majorHAnsi"/>
          <w:bCs/>
          <w:sz w:val="23"/>
          <w:szCs w:val="23"/>
        </w:rPr>
        <w:t>9 percent</w:t>
      </w:r>
      <w:r w:rsidR="00E310C4">
        <w:rPr>
          <w:rFonts w:asciiTheme="majorHAnsi" w:hAnsiTheme="majorHAnsi" w:cstheme="majorHAnsi"/>
          <w:bCs/>
          <w:sz w:val="23"/>
          <w:szCs w:val="23"/>
        </w:rPr>
        <w:t>, and housing stress will affect</w:t>
      </w:r>
      <w:r w:rsidR="00E310C4">
        <w:rPr>
          <w:rFonts w:ascii="Calibri Light" w:eastAsia="Calibri" w:hAnsi="Calibri Light" w:cs="Calibri Light"/>
          <w:sz w:val="23"/>
          <w:szCs w:val="23"/>
        </w:rPr>
        <w:t xml:space="preserve"> 24 percent more Australian households</w:t>
      </w:r>
      <w:r w:rsidR="00E310C4">
        <w:rPr>
          <w:rFonts w:asciiTheme="majorHAnsi" w:hAnsiTheme="majorHAnsi" w:cstheme="majorHAnsi"/>
          <w:bCs/>
          <w:sz w:val="23"/>
          <w:szCs w:val="23"/>
        </w:rPr>
        <w:t>. The</w:t>
      </w:r>
      <w:r w:rsidR="008236B4">
        <w:rPr>
          <w:rFonts w:asciiTheme="majorHAnsi" w:hAnsiTheme="majorHAnsi" w:cstheme="majorHAnsi"/>
          <w:bCs/>
          <w:sz w:val="23"/>
          <w:szCs w:val="23"/>
        </w:rPr>
        <w:t xml:space="preserve"> Geelong</w:t>
      </w:r>
      <w:r w:rsidR="00E310C4">
        <w:rPr>
          <w:rFonts w:asciiTheme="majorHAnsi" w:hAnsiTheme="majorHAnsi" w:cstheme="majorHAnsi"/>
          <w:bCs/>
          <w:sz w:val="23"/>
          <w:szCs w:val="23"/>
        </w:rPr>
        <w:t xml:space="preserve"> forecast is even more alarming: homelessness in Geelong </w:t>
      </w:r>
      <w:r w:rsidR="008236B4">
        <w:rPr>
          <w:rFonts w:asciiTheme="majorHAnsi" w:hAnsiTheme="majorHAnsi" w:cstheme="majorHAnsi"/>
          <w:bCs/>
          <w:sz w:val="23"/>
          <w:szCs w:val="23"/>
        </w:rPr>
        <w:t xml:space="preserve">is expected to increase </w:t>
      </w:r>
      <w:r w:rsidR="008236B4" w:rsidRPr="008236B4">
        <w:rPr>
          <w:rFonts w:asciiTheme="majorHAnsi" w:hAnsiTheme="majorHAnsi" w:cstheme="majorHAnsi"/>
          <w:bCs/>
          <w:sz w:val="23"/>
          <w:szCs w:val="23"/>
        </w:rPr>
        <w:t>23 percent, and housing stress by 62.7 percent (Equity Economics, 2020b, p. 8–9, 4).</w:t>
      </w:r>
    </w:p>
    <w:p w14:paraId="5B136398" w14:textId="4375F357" w:rsidR="00F00E3D" w:rsidRPr="00552857" w:rsidRDefault="00B80A06" w:rsidP="00815D3A">
      <w:pPr>
        <w:spacing w:line="276" w:lineRule="auto"/>
        <w:rPr>
          <w:rFonts w:asciiTheme="majorHAnsi" w:hAnsiTheme="majorHAnsi" w:cstheme="majorBidi"/>
          <w:sz w:val="23"/>
          <w:szCs w:val="23"/>
        </w:rPr>
      </w:pPr>
      <w:r>
        <w:rPr>
          <w:rFonts w:asciiTheme="majorHAnsi" w:hAnsiTheme="majorHAnsi" w:cstheme="majorBidi"/>
          <w:sz w:val="23"/>
          <w:szCs w:val="23"/>
        </w:rPr>
        <w:t>A</w:t>
      </w:r>
      <w:r w:rsidR="00942F98">
        <w:rPr>
          <w:rFonts w:asciiTheme="majorHAnsi" w:hAnsiTheme="majorHAnsi" w:cstheme="majorBidi"/>
          <w:sz w:val="23"/>
          <w:szCs w:val="23"/>
        </w:rPr>
        <w:t xml:space="preserve"> </w:t>
      </w:r>
      <w:r w:rsidR="00F96A80" w:rsidRPr="502830E4">
        <w:rPr>
          <w:rFonts w:asciiTheme="majorHAnsi" w:hAnsiTheme="majorHAnsi" w:cstheme="majorBidi"/>
          <w:sz w:val="23"/>
          <w:szCs w:val="23"/>
        </w:rPr>
        <w:t>local shortage of social housing</w:t>
      </w:r>
      <w:r w:rsidR="00D54A75">
        <w:rPr>
          <w:rFonts w:asciiTheme="majorHAnsi" w:hAnsiTheme="majorHAnsi" w:cstheme="majorBidi"/>
          <w:sz w:val="23"/>
          <w:szCs w:val="23"/>
        </w:rPr>
        <w:t xml:space="preserve">, </w:t>
      </w:r>
      <w:r>
        <w:rPr>
          <w:rFonts w:asciiTheme="majorHAnsi" w:hAnsiTheme="majorHAnsi" w:cstheme="majorBidi"/>
          <w:sz w:val="23"/>
          <w:szCs w:val="23"/>
        </w:rPr>
        <w:t xml:space="preserve">along with </w:t>
      </w:r>
      <w:r w:rsidR="00946704">
        <w:rPr>
          <w:rFonts w:asciiTheme="majorHAnsi" w:hAnsiTheme="majorHAnsi" w:cstheme="majorBidi"/>
          <w:sz w:val="23"/>
          <w:szCs w:val="23"/>
        </w:rPr>
        <w:t xml:space="preserve">ongoing </w:t>
      </w:r>
      <w:r w:rsidR="00942F98" w:rsidRPr="502830E4">
        <w:rPr>
          <w:rFonts w:asciiTheme="majorHAnsi" w:hAnsiTheme="majorHAnsi" w:cstheme="majorBidi"/>
          <w:sz w:val="23"/>
          <w:szCs w:val="23"/>
        </w:rPr>
        <w:t>mortgage and rental stress</w:t>
      </w:r>
      <w:r w:rsidR="00D54A75">
        <w:rPr>
          <w:rFonts w:asciiTheme="majorHAnsi" w:hAnsiTheme="majorHAnsi" w:cstheme="majorBidi"/>
          <w:sz w:val="23"/>
          <w:szCs w:val="23"/>
        </w:rPr>
        <w:t>,</w:t>
      </w:r>
      <w:r w:rsidR="00623A27">
        <w:rPr>
          <w:rFonts w:asciiTheme="majorHAnsi" w:hAnsiTheme="majorHAnsi" w:cstheme="majorBidi"/>
          <w:sz w:val="23"/>
          <w:szCs w:val="23"/>
        </w:rPr>
        <w:t xml:space="preserve"> are now</w:t>
      </w:r>
      <w:r w:rsidR="00F96A80" w:rsidRPr="502830E4">
        <w:rPr>
          <w:rFonts w:asciiTheme="majorHAnsi" w:hAnsiTheme="majorHAnsi" w:cstheme="majorBidi"/>
          <w:sz w:val="23"/>
          <w:szCs w:val="23"/>
        </w:rPr>
        <w:t xml:space="preserve"> being exacerbated by gentrification</w:t>
      </w:r>
      <w:r w:rsidR="005520A0">
        <w:rPr>
          <w:rFonts w:asciiTheme="majorHAnsi" w:hAnsiTheme="majorHAnsi" w:cstheme="majorBidi"/>
          <w:sz w:val="23"/>
          <w:szCs w:val="23"/>
        </w:rPr>
        <w:t xml:space="preserve"> and </w:t>
      </w:r>
      <w:r w:rsidR="00FF459A">
        <w:rPr>
          <w:rFonts w:asciiTheme="majorHAnsi" w:hAnsiTheme="majorHAnsi" w:cstheme="majorBidi"/>
          <w:sz w:val="23"/>
          <w:szCs w:val="23"/>
        </w:rPr>
        <w:t>declining affordability</w:t>
      </w:r>
      <w:r w:rsidR="00E310C4">
        <w:rPr>
          <w:rFonts w:asciiTheme="majorHAnsi" w:hAnsiTheme="majorHAnsi" w:cstheme="majorBidi"/>
          <w:sz w:val="23"/>
          <w:szCs w:val="23"/>
        </w:rPr>
        <w:t xml:space="preserve"> in Corio, Norlane, and Whittington</w:t>
      </w:r>
      <w:r w:rsidR="00F96A80" w:rsidRPr="502830E4">
        <w:rPr>
          <w:rFonts w:asciiTheme="majorHAnsi" w:hAnsiTheme="majorHAnsi" w:cstheme="majorBidi"/>
          <w:sz w:val="23"/>
          <w:szCs w:val="23"/>
        </w:rPr>
        <w:t xml:space="preserve">. More </w:t>
      </w:r>
      <w:r w:rsidR="00A5286B">
        <w:rPr>
          <w:rFonts w:asciiTheme="majorHAnsi" w:hAnsiTheme="majorHAnsi" w:cstheme="majorBidi"/>
          <w:sz w:val="23"/>
          <w:szCs w:val="23"/>
        </w:rPr>
        <w:t xml:space="preserve">permanent </w:t>
      </w:r>
      <w:r w:rsidR="00F96A80" w:rsidRPr="502830E4">
        <w:rPr>
          <w:rFonts w:asciiTheme="majorHAnsi" w:hAnsiTheme="majorHAnsi" w:cstheme="majorBidi"/>
          <w:sz w:val="23"/>
          <w:szCs w:val="23"/>
        </w:rPr>
        <w:t xml:space="preserve">housing is </w:t>
      </w:r>
      <w:r w:rsidR="00F96A80">
        <w:rPr>
          <w:rFonts w:asciiTheme="majorHAnsi" w:hAnsiTheme="majorHAnsi" w:cstheme="majorBidi"/>
          <w:sz w:val="23"/>
          <w:szCs w:val="23"/>
        </w:rPr>
        <w:t xml:space="preserve">particularly </w:t>
      </w:r>
      <w:r w:rsidR="00F96A80" w:rsidRPr="502830E4">
        <w:rPr>
          <w:rFonts w:asciiTheme="majorHAnsi" w:hAnsiTheme="majorHAnsi" w:cstheme="majorBidi"/>
          <w:sz w:val="23"/>
          <w:szCs w:val="23"/>
        </w:rPr>
        <w:t>needed for women and children escaping domestic violence, vulnerable young people, and others living in precarious housing situations, including secondary homelessness (overcrowding, couch-surfing).</w:t>
      </w:r>
      <w:r w:rsidR="00F96A80">
        <w:rPr>
          <w:rFonts w:asciiTheme="majorHAnsi" w:hAnsiTheme="majorHAnsi" w:cstheme="majorBidi"/>
          <w:sz w:val="23"/>
          <w:szCs w:val="23"/>
        </w:rPr>
        <w:t xml:space="preserve"> </w:t>
      </w:r>
      <w:r w:rsidR="00F00E3D" w:rsidRPr="502830E4">
        <w:rPr>
          <w:rFonts w:asciiTheme="majorHAnsi" w:hAnsiTheme="majorHAnsi" w:cstheme="majorBidi"/>
          <w:sz w:val="23"/>
          <w:szCs w:val="23"/>
        </w:rPr>
        <w:t>The three localities</w:t>
      </w:r>
      <w:r w:rsidR="003D586D">
        <w:rPr>
          <w:rFonts w:asciiTheme="majorHAnsi" w:hAnsiTheme="majorHAnsi" w:cstheme="majorBidi"/>
          <w:sz w:val="23"/>
          <w:szCs w:val="23"/>
        </w:rPr>
        <w:t xml:space="preserve"> also</w:t>
      </w:r>
      <w:r w:rsidR="00F00E3D" w:rsidRPr="502830E4">
        <w:rPr>
          <w:rFonts w:asciiTheme="majorHAnsi" w:hAnsiTheme="majorHAnsi" w:cstheme="majorBidi"/>
          <w:sz w:val="23"/>
          <w:szCs w:val="23"/>
        </w:rPr>
        <w:t xml:space="preserve"> have significant proportions of public housing, most of which was built in the 1950s</w:t>
      </w:r>
      <w:r w:rsidR="00815D3A">
        <w:rPr>
          <w:rFonts w:asciiTheme="majorHAnsi" w:hAnsiTheme="majorHAnsi" w:cstheme="majorBidi"/>
          <w:sz w:val="23"/>
          <w:szCs w:val="23"/>
        </w:rPr>
        <w:t>–</w:t>
      </w:r>
      <w:r w:rsidR="00F00E3D" w:rsidRPr="502830E4">
        <w:rPr>
          <w:rFonts w:asciiTheme="majorHAnsi" w:hAnsiTheme="majorHAnsi" w:cstheme="majorBidi"/>
          <w:sz w:val="23"/>
          <w:szCs w:val="23"/>
        </w:rPr>
        <w:t>1970s, and is increasingly run-down, cramped</w:t>
      </w:r>
      <w:r w:rsidR="007E6D39">
        <w:rPr>
          <w:rFonts w:asciiTheme="majorHAnsi" w:hAnsiTheme="majorHAnsi" w:cstheme="majorBidi"/>
          <w:sz w:val="23"/>
          <w:szCs w:val="23"/>
        </w:rPr>
        <w:t>,</w:t>
      </w:r>
      <w:r w:rsidR="00F00E3D" w:rsidRPr="502830E4">
        <w:rPr>
          <w:rFonts w:asciiTheme="majorHAnsi" w:hAnsiTheme="majorHAnsi" w:cstheme="majorBidi"/>
          <w:sz w:val="23"/>
          <w:szCs w:val="23"/>
        </w:rPr>
        <w:t xml:space="preserve"> and unfit for current use. </w:t>
      </w:r>
      <w:r w:rsidR="00F96A80">
        <w:rPr>
          <w:rFonts w:asciiTheme="majorHAnsi" w:hAnsiTheme="majorHAnsi" w:cstheme="majorHAnsi"/>
          <w:bCs/>
          <w:sz w:val="23"/>
          <w:szCs w:val="23"/>
        </w:rPr>
        <w:t>Lockdowns</w:t>
      </w:r>
      <w:r w:rsidR="00EA1F50">
        <w:rPr>
          <w:rFonts w:asciiTheme="majorHAnsi" w:hAnsiTheme="majorHAnsi" w:cstheme="majorHAnsi"/>
          <w:bCs/>
          <w:sz w:val="23"/>
          <w:szCs w:val="23"/>
        </w:rPr>
        <w:t xml:space="preserve"> compounded</w:t>
      </w:r>
      <w:r w:rsidR="009D3F84">
        <w:rPr>
          <w:rFonts w:asciiTheme="majorHAnsi" w:hAnsiTheme="majorHAnsi" w:cstheme="majorHAnsi"/>
          <w:bCs/>
          <w:sz w:val="23"/>
          <w:szCs w:val="23"/>
        </w:rPr>
        <w:t xml:space="preserve"> </w:t>
      </w:r>
      <w:r w:rsidR="00F96A80">
        <w:rPr>
          <w:rFonts w:asciiTheme="majorHAnsi" w:hAnsiTheme="majorHAnsi" w:cstheme="majorHAnsi"/>
          <w:bCs/>
          <w:sz w:val="23"/>
          <w:szCs w:val="23"/>
        </w:rPr>
        <w:t>existing housing quality issues and precarity</w:t>
      </w:r>
      <w:r w:rsidR="00EA1F50">
        <w:rPr>
          <w:rFonts w:asciiTheme="majorHAnsi" w:hAnsiTheme="majorHAnsi" w:cstheme="majorHAnsi"/>
          <w:bCs/>
          <w:sz w:val="23"/>
          <w:szCs w:val="23"/>
        </w:rPr>
        <w:t>,</w:t>
      </w:r>
      <w:r w:rsidR="00F96A80">
        <w:rPr>
          <w:rFonts w:asciiTheme="majorHAnsi" w:hAnsiTheme="majorHAnsi" w:cstheme="majorHAnsi"/>
          <w:bCs/>
          <w:sz w:val="23"/>
          <w:szCs w:val="23"/>
        </w:rPr>
        <w:t xml:space="preserve"> </w:t>
      </w:r>
      <w:r w:rsidR="00572C92">
        <w:rPr>
          <w:rFonts w:asciiTheme="majorHAnsi" w:hAnsiTheme="majorHAnsi" w:cstheme="majorHAnsi"/>
          <w:bCs/>
          <w:sz w:val="23"/>
          <w:szCs w:val="23"/>
        </w:rPr>
        <w:t>resulting</w:t>
      </w:r>
      <w:r w:rsidR="00F96A80">
        <w:rPr>
          <w:rFonts w:asciiTheme="majorHAnsi" w:hAnsiTheme="majorHAnsi" w:cstheme="majorHAnsi"/>
          <w:bCs/>
          <w:sz w:val="23"/>
          <w:szCs w:val="23"/>
        </w:rPr>
        <w:t xml:space="preserve"> in </w:t>
      </w:r>
      <w:r w:rsidR="00F96A80" w:rsidRPr="000C78E4">
        <w:rPr>
          <w:rFonts w:asciiTheme="majorHAnsi" w:hAnsiTheme="majorHAnsi" w:cstheme="majorHAnsi"/>
          <w:bCs/>
          <w:sz w:val="23"/>
          <w:szCs w:val="23"/>
        </w:rPr>
        <w:lastRenderedPageBreak/>
        <w:t xml:space="preserve">disharmony between residents, family members and neighbours, </w:t>
      </w:r>
      <w:r w:rsidR="00572C92">
        <w:rPr>
          <w:rFonts w:asciiTheme="majorHAnsi" w:hAnsiTheme="majorHAnsi" w:cstheme="majorHAnsi"/>
          <w:bCs/>
          <w:sz w:val="23"/>
          <w:szCs w:val="23"/>
        </w:rPr>
        <w:t xml:space="preserve">and </w:t>
      </w:r>
      <w:r w:rsidR="00F96A80" w:rsidRPr="000D0CDD">
        <w:rPr>
          <w:rFonts w:asciiTheme="majorHAnsi" w:hAnsiTheme="majorHAnsi" w:cstheme="majorHAnsi"/>
          <w:bCs/>
          <w:sz w:val="23"/>
          <w:szCs w:val="23"/>
        </w:rPr>
        <w:t>contributing in the worst case</w:t>
      </w:r>
      <w:r w:rsidR="00572C92">
        <w:rPr>
          <w:rFonts w:asciiTheme="majorHAnsi" w:hAnsiTheme="majorHAnsi" w:cstheme="majorHAnsi"/>
          <w:bCs/>
          <w:sz w:val="23"/>
          <w:szCs w:val="23"/>
        </w:rPr>
        <w:t>s</w:t>
      </w:r>
      <w:r w:rsidR="00F96A80" w:rsidRPr="000D0CDD">
        <w:rPr>
          <w:rFonts w:asciiTheme="majorHAnsi" w:hAnsiTheme="majorHAnsi" w:cstheme="majorHAnsi"/>
          <w:bCs/>
          <w:sz w:val="23"/>
          <w:szCs w:val="23"/>
        </w:rPr>
        <w:t xml:space="preserve"> to</w:t>
      </w:r>
      <w:r w:rsidR="00F96A80" w:rsidRPr="000C78E4">
        <w:rPr>
          <w:rFonts w:asciiTheme="majorHAnsi" w:hAnsiTheme="majorHAnsi" w:cstheme="majorHAnsi"/>
          <w:bCs/>
          <w:sz w:val="23"/>
          <w:szCs w:val="23"/>
        </w:rPr>
        <w:t xml:space="preserve"> domestic violence</w:t>
      </w:r>
      <w:r w:rsidR="00F96A80" w:rsidRPr="000C78E4">
        <w:rPr>
          <w:rFonts w:asciiTheme="majorHAnsi" w:hAnsiTheme="majorHAnsi" w:cstheme="majorBidi"/>
          <w:bCs/>
          <w:sz w:val="23"/>
          <w:szCs w:val="23"/>
        </w:rPr>
        <w:t xml:space="preserve"> situations.</w:t>
      </w:r>
      <w:r w:rsidR="00F96A80" w:rsidRPr="000C78E4">
        <w:rPr>
          <w:rFonts w:asciiTheme="majorHAnsi" w:hAnsiTheme="majorHAnsi" w:cstheme="majorHAnsi"/>
          <w:bCs/>
          <w:sz w:val="23"/>
          <w:szCs w:val="23"/>
        </w:rPr>
        <w:t xml:space="preserve"> </w:t>
      </w:r>
    </w:p>
    <w:p w14:paraId="47C5EFF5" w14:textId="5FD06C51" w:rsidR="00C54070" w:rsidRPr="00ED5E90" w:rsidRDefault="005566CF" w:rsidP="00815D3A">
      <w:pPr>
        <w:spacing w:after="0" w:line="276" w:lineRule="auto"/>
        <w:rPr>
          <w:rFonts w:asciiTheme="majorHAnsi" w:hAnsiTheme="majorHAnsi" w:cstheme="majorBidi"/>
          <w:sz w:val="23"/>
          <w:szCs w:val="23"/>
        </w:rPr>
      </w:pPr>
      <w:r>
        <w:rPr>
          <w:rFonts w:asciiTheme="majorHAnsi" w:hAnsiTheme="majorHAnsi" w:cstheme="majorBidi"/>
          <w:sz w:val="23"/>
          <w:szCs w:val="23"/>
        </w:rPr>
        <w:t xml:space="preserve">The </w:t>
      </w:r>
      <w:r w:rsidR="00AB0FF9">
        <w:rPr>
          <w:rFonts w:asciiTheme="majorHAnsi" w:hAnsiTheme="majorHAnsi" w:cstheme="majorBidi"/>
          <w:sz w:val="23"/>
          <w:szCs w:val="23"/>
        </w:rPr>
        <w:t xml:space="preserve">Safe and Affordable </w:t>
      </w:r>
      <w:r>
        <w:rPr>
          <w:rFonts w:asciiTheme="majorHAnsi" w:hAnsiTheme="majorHAnsi" w:cstheme="majorBidi"/>
          <w:sz w:val="23"/>
          <w:szCs w:val="23"/>
        </w:rPr>
        <w:t xml:space="preserve">Housing Initiative </w:t>
      </w:r>
      <w:r w:rsidR="007301AB">
        <w:rPr>
          <w:rFonts w:asciiTheme="majorHAnsi" w:hAnsiTheme="majorHAnsi" w:cstheme="majorBidi"/>
          <w:sz w:val="23"/>
          <w:szCs w:val="23"/>
        </w:rPr>
        <w:t>focuses on three key interventions:</w:t>
      </w:r>
    </w:p>
    <w:p w14:paraId="70758646" w14:textId="275A2D15" w:rsidR="00F00E3D" w:rsidRPr="00552857" w:rsidRDefault="00F00E3D" w:rsidP="00364C5D">
      <w:pPr>
        <w:pStyle w:val="ListParagraph"/>
        <w:numPr>
          <w:ilvl w:val="0"/>
          <w:numId w:val="58"/>
        </w:numPr>
        <w:spacing w:after="0" w:line="276" w:lineRule="auto"/>
        <w:rPr>
          <w:rFonts w:asciiTheme="majorHAnsi" w:eastAsiaTheme="majorEastAsia" w:hAnsiTheme="majorHAnsi" w:cstheme="majorBidi"/>
          <w:sz w:val="23"/>
          <w:szCs w:val="23"/>
        </w:rPr>
      </w:pPr>
      <w:r w:rsidRPr="502830E4">
        <w:rPr>
          <w:rFonts w:asciiTheme="majorHAnsi" w:hAnsiTheme="majorHAnsi" w:cstheme="majorBidi"/>
          <w:sz w:val="23"/>
          <w:szCs w:val="23"/>
        </w:rPr>
        <w:t>Increase the supply of social and affordable housing in accessible and well-serviced locations in Corio</w:t>
      </w:r>
      <w:r w:rsidR="00DE17A7">
        <w:rPr>
          <w:rFonts w:asciiTheme="majorHAnsi" w:hAnsiTheme="majorHAnsi" w:cstheme="majorBidi"/>
          <w:sz w:val="23"/>
          <w:szCs w:val="23"/>
        </w:rPr>
        <w:t xml:space="preserve"> and </w:t>
      </w:r>
      <w:r w:rsidRPr="502830E4">
        <w:rPr>
          <w:rFonts w:asciiTheme="majorHAnsi" w:hAnsiTheme="majorHAnsi" w:cstheme="majorBidi"/>
          <w:sz w:val="23"/>
          <w:szCs w:val="23"/>
        </w:rPr>
        <w:t>Norlane, including quality communal spaces for residents.</w:t>
      </w:r>
    </w:p>
    <w:p w14:paraId="67AD1D3E" w14:textId="044534B7" w:rsidR="00F00E3D" w:rsidRDefault="00F00E3D" w:rsidP="00364C5D">
      <w:pPr>
        <w:pStyle w:val="ListParagraph"/>
        <w:numPr>
          <w:ilvl w:val="0"/>
          <w:numId w:val="58"/>
        </w:numPr>
        <w:spacing w:line="276" w:lineRule="auto"/>
        <w:rPr>
          <w:rFonts w:asciiTheme="majorHAnsi" w:eastAsiaTheme="majorEastAsia" w:hAnsiTheme="majorHAnsi" w:cstheme="majorBidi"/>
          <w:sz w:val="23"/>
          <w:szCs w:val="23"/>
        </w:rPr>
      </w:pPr>
      <w:r w:rsidRPr="502830E4">
        <w:rPr>
          <w:rFonts w:asciiTheme="majorHAnsi" w:hAnsiTheme="majorHAnsi" w:cstheme="majorBidi"/>
          <w:sz w:val="23"/>
          <w:szCs w:val="23"/>
        </w:rPr>
        <w:t xml:space="preserve">Upgrade existing public housing stock (in line with the </w:t>
      </w:r>
      <w:r w:rsidR="001B7DDF">
        <w:rPr>
          <w:rFonts w:asciiTheme="majorHAnsi" w:hAnsiTheme="majorHAnsi" w:cstheme="majorBidi"/>
          <w:sz w:val="23"/>
          <w:szCs w:val="23"/>
        </w:rPr>
        <w:t>COGG</w:t>
      </w:r>
      <w:r w:rsidRPr="502830E4">
        <w:rPr>
          <w:rFonts w:asciiTheme="majorHAnsi" w:hAnsiTheme="majorHAnsi" w:cstheme="majorBidi"/>
          <w:sz w:val="23"/>
          <w:szCs w:val="23"/>
        </w:rPr>
        <w:t xml:space="preserve"> Social Housing Plan and the Victorian Government’s Big Build program).</w:t>
      </w:r>
    </w:p>
    <w:p w14:paraId="7747D06D" w14:textId="4F588684" w:rsidR="00F00E3D" w:rsidRDefault="00F00E3D" w:rsidP="00364C5D">
      <w:pPr>
        <w:pStyle w:val="ListParagraph"/>
        <w:numPr>
          <w:ilvl w:val="0"/>
          <w:numId w:val="58"/>
        </w:numPr>
        <w:spacing w:line="276" w:lineRule="auto"/>
        <w:rPr>
          <w:sz w:val="23"/>
          <w:szCs w:val="23"/>
        </w:rPr>
      </w:pPr>
      <w:r w:rsidRPr="502830E4">
        <w:rPr>
          <w:rFonts w:asciiTheme="majorHAnsi" w:hAnsiTheme="majorHAnsi" w:cstheme="majorBidi"/>
          <w:sz w:val="23"/>
          <w:szCs w:val="23"/>
        </w:rPr>
        <w:t>Improve access to housing and support services, including for residents at risk of homelessness</w:t>
      </w:r>
      <w:r w:rsidR="005A2126">
        <w:rPr>
          <w:rFonts w:asciiTheme="majorHAnsi" w:hAnsiTheme="majorHAnsi" w:cstheme="majorBidi"/>
          <w:sz w:val="23"/>
          <w:szCs w:val="23"/>
        </w:rPr>
        <w:t>,</w:t>
      </w:r>
      <w:r w:rsidR="00094226">
        <w:rPr>
          <w:rFonts w:asciiTheme="majorHAnsi" w:hAnsiTheme="majorHAnsi" w:cstheme="majorBidi"/>
          <w:sz w:val="23"/>
          <w:szCs w:val="23"/>
        </w:rPr>
        <w:t xml:space="preserve"> </w:t>
      </w:r>
      <w:r w:rsidR="00D9154D">
        <w:rPr>
          <w:rFonts w:asciiTheme="majorHAnsi" w:hAnsiTheme="majorHAnsi" w:cstheme="majorBidi"/>
          <w:sz w:val="23"/>
          <w:szCs w:val="23"/>
        </w:rPr>
        <w:t xml:space="preserve">prioritising </w:t>
      </w:r>
      <w:r w:rsidR="005A2126">
        <w:rPr>
          <w:rFonts w:asciiTheme="majorHAnsi" w:hAnsiTheme="majorHAnsi" w:cstheme="majorBidi"/>
          <w:sz w:val="23"/>
          <w:szCs w:val="23"/>
        </w:rPr>
        <w:t xml:space="preserve">Housing First </w:t>
      </w:r>
      <w:r w:rsidR="00D9154D">
        <w:rPr>
          <w:rFonts w:asciiTheme="majorHAnsi" w:hAnsiTheme="majorHAnsi" w:cstheme="majorBidi"/>
          <w:sz w:val="23"/>
          <w:szCs w:val="23"/>
        </w:rPr>
        <w:t>approaches.</w:t>
      </w:r>
    </w:p>
    <w:p w14:paraId="1913DDEF" w14:textId="2D271DA3" w:rsidR="00F00E3D" w:rsidRPr="004E04B0" w:rsidRDefault="00F00E3D" w:rsidP="00572C92">
      <w:pPr>
        <w:spacing w:after="0" w:line="276" w:lineRule="auto"/>
        <w:rPr>
          <w:rFonts w:asciiTheme="majorHAnsi" w:eastAsiaTheme="majorEastAsia" w:hAnsiTheme="majorHAnsi" w:cstheme="majorBidi"/>
          <w:color w:val="595959" w:themeColor="text1" w:themeTint="A6"/>
          <w:sz w:val="23"/>
          <w:szCs w:val="23"/>
        </w:rPr>
      </w:pPr>
      <w:r w:rsidRPr="00D9154D">
        <w:rPr>
          <w:rFonts w:eastAsiaTheme="majorEastAsia" w:cstheme="minorHAnsi"/>
          <w:b/>
          <w:bCs/>
          <w:color w:val="595959" w:themeColor="text1" w:themeTint="A6"/>
          <w:sz w:val="23"/>
          <w:szCs w:val="23"/>
        </w:rPr>
        <w:t xml:space="preserve">Relevant </w:t>
      </w:r>
      <w:r w:rsidR="00AD2DA5">
        <w:rPr>
          <w:rFonts w:eastAsiaTheme="majorEastAsia" w:cstheme="minorHAnsi"/>
          <w:b/>
          <w:bCs/>
          <w:color w:val="595959" w:themeColor="text1" w:themeTint="A6"/>
          <w:sz w:val="23"/>
          <w:szCs w:val="23"/>
        </w:rPr>
        <w:t>Case Studies</w:t>
      </w:r>
      <w:r w:rsidRPr="00D9154D">
        <w:rPr>
          <w:rFonts w:eastAsiaTheme="majorEastAsia" w:cstheme="minorHAnsi"/>
          <w:b/>
          <w:bCs/>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Towards Home </w:t>
      </w:r>
      <w:r w:rsidRPr="004E04B0">
        <w:rPr>
          <w:rFonts w:asciiTheme="majorHAnsi" w:eastAsiaTheme="majorEastAsia" w:hAnsiTheme="majorHAnsi" w:cstheme="majorBidi"/>
          <w:color w:val="595959" w:themeColor="text1" w:themeTint="A6"/>
          <w:sz w:val="23"/>
          <w:szCs w:val="23"/>
        </w:rPr>
        <w:t xml:space="preserve">Plus, Geelong </w:t>
      </w:r>
      <w:r w:rsidR="004E04B0" w:rsidRPr="004E04B0">
        <w:rPr>
          <w:rFonts w:asciiTheme="majorHAnsi" w:eastAsiaTheme="majorEastAsia" w:hAnsiTheme="majorHAnsi" w:cstheme="majorBidi"/>
          <w:color w:val="595959" w:themeColor="text1" w:themeTint="A6"/>
          <w:sz w:val="23"/>
          <w:szCs w:val="23"/>
        </w:rPr>
        <w:t>(</w:t>
      </w:r>
      <w:r w:rsidRPr="004E04B0">
        <w:rPr>
          <w:rFonts w:asciiTheme="majorHAnsi" w:eastAsiaTheme="majorEastAsia" w:hAnsiTheme="majorHAnsi" w:cstheme="majorBidi"/>
          <w:color w:val="595959" w:themeColor="text1" w:themeTint="A6"/>
          <w:sz w:val="23"/>
          <w:szCs w:val="23"/>
        </w:rPr>
        <w:t>p</w:t>
      </w:r>
      <w:r w:rsidR="004E04B0" w:rsidRPr="004E04B0">
        <w:rPr>
          <w:rFonts w:asciiTheme="majorHAnsi" w:eastAsiaTheme="majorEastAsia" w:hAnsiTheme="majorHAnsi" w:cstheme="majorBidi"/>
          <w:color w:val="595959" w:themeColor="text1" w:themeTint="A6"/>
          <w:sz w:val="23"/>
          <w:szCs w:val="23"/>
        </w:rPr>
        <w:t>.61)</w:t>
      </w:r>
      <w:r w:rsidRPr="004E04B0">
        <w:rPr>
          <w:rFonts w:asciiTheme="majorHAnsi" w:eastAsiaTheme="majorEastAsia" w:hAnsiTheme="majorHAnsi" w:cstheme="majorBidi"/>
          <w:color w:val="595959" w:themeColor="text1" w:themeTint="A6"/>
          <w:sz w:val="23"/>
          <w:szCs w:val="23"/>
        </w:rPr>
        <w:t xml:space="preserve">; </w:t>
      </w:r>
      <w:r w:rsidR="00401B41" w:rsidRPr="502830E4">
        <w:rPr>
          <w:rFonts w:asciiTheme="majorHAnsi" w:eastAsiaTheme="majorEastAsia" w:hAnsiTheme="majorHAnsi" w:cstheme="majorBidi"/>
          <w:color w:val="525252" w:themeColor="accent3" w:themeShade="80"/>
          <w:sz w:val="23"/>
          <w:szCs w:val="23"/>
        </w:rPr>
        <w:t>Neighbourhood Renewal</w:t>
      </w:r>
      <w:r w:rsidR="00401B41">
        <w:rPr>
          <w:rFonts w:asciiTheme="majorHAnsi" w:eastAsiaTheme="majorEastAsia" w:hAnsiTheme="majorHAnsi" w:cstheme="majorBidi"/>
          <w:color w:val="525252" w:themeColor="accent3" w:themeShade="80"/>
          <w:sz w:val="23"/>
          <w:szCs w:val="23"/>
        </w:rPr>
        <w:t xml:space="preserve"> Program</w:t>
      </w:r>
      <w:r w:rsidR="00401B41" w:rsidRPr="502830E4">
        <w:rPr>
          <w:rFonts w:asciiTheme="majorHAnsi" w:eastAsiaTheme="majorEastAsia" w:hAnsiTheme="majorHAnsi" w:cstheme="majorBidi"/>
          <w:color w:val="525252" w:themeColor="accent3" w:themeShade="80"/>
          <w:sz w:val="23"/>
          <w:szCs w:val="23"/>
        </w:rPr>
        <w:t>, Victoria</w:t>
      </w:r>
      <w:r w:rsidR="00401B41">
        <w:rPr>
          <w:rFonts w:asciiTheme="majorHAnsi" w:eastAsiaTheme="majorEastAsia" w:hAnsiTheme="majorHAnsi" w:cstheme="majorBidi"/>
          <w:color w:val="525252" w:themeColor="accent3" w:themeShade="80"/>
          <w:sz w:val="23"/>
          <w:szCs w:val="23"/>
        </w:rPr>
        <w:t xml:space="preserve"> (p.66)</w:t>
      </w:r>
      <w:r w:rsidR="00401B41" w:rsidRPr="502830E4">
        <w:rPr>
          <w:rFonts w:asciiTheme="majorHAnsi" w:eastAsiaTheme="majorEastAsia" w:hAnsiTheme="majorHAnsi" w:cstheme="majorBidi"/>
          <w:color w:val="525252" w:themeColor="accent3" w:themeShade="80"/>
          <w:sz w:val="23"/>
          <w:szCs w:val="23"/>
        </w:rPr>
        <w:t xml:space="preserve">; </w:t>
      </w:r>
      <w:r w:rsidRPr="004E04B0">
        <w:rPr>
          <w:rFonts w:asciiTheme="majorHAnsi" w:eastAsiaTheme="majorEastAsia" w:hAnsiTheme="majorHAnsi" w:cstheme="majorBidi"/>
          <w:color w:val="595959" w:themeColor="text1" w:themeTint="A6"/>
          <w:sz w:val="23"/>
          <w:szCs w:val="23"/>
        </w:rPr>
        <w:t xml:space="preserve">Perpetrator Intervention Pilot, South Australia </w:t>
      </w:r>
      <w:r w:rsidR="004E04B0" w:rsidRPr="004E04B0">
        <w:rPr>
          <w:rFonts w:asciiTheme="majorHAnsi" w:eastAsiaTheme="majorEastAsia" w:hAnsiTheme="majorHAnsi" w:cstheme="majorBidi"/>
          <w:color w:val="595959" w:themeColor="text1" w:themeTint="A6"/>
          <w:sz w:val="23"/>
          <w:szCs w:val="23"/>
        </w:rPr>
        <w:t>(</w:t>
      </w:r>
      <w:r w:rsidRPr="004E04B0">
        <w:rPr>
          <w:rFonts w:asciiTheme="majorHAnsi" w:eastAsiaTheme="majorEastAsia" w:hAnsiTheme="majorHAnsi" w:cstheme="majorBidi"/>
          <w:color w:val="595959" w:themeColor="text1" w:themeTint="A6"/>
          <w:sz w:val="23"/>
          <w:szCs w:val="23"/>
        </w:rPr>
        <w:t>p.</w:t>
      </w:r>
      <w:r w:rsidR="004E04B0" w:rsidRPr="004E04B0">
        <w:rPr>
          <w:rFonts w:asciiTheme="majorHAnsi" w:eastAsiaTheme="majorEastAsia" w:hAnsiTheme="majorHAnsi" w:cstheme="majorBidi"/>
          <w:color w:val="595959" w:themeColor="text1" w:themeTint="A6"/>
          <w:sz w:val="23"/>
          <w:szCs w:val="23"/>
        </w:rPr>
        <w:t>69)</w:t>
      </w:r>
      <w:r w:rsidRPr="004E04B0">
        <w:rPr>
          <w:rFonts w:asciiTheme="majorHAnsi" w:eastAsiaTheme="majorEastAsia" w:hAnsiTheme="majorHAnsi" w:cstheme="majorBidi"/>
          <w:color w:val="595959" w:themeColor="text1" w:themeTint="A6"/>
          <w:sz w:val="23"/>
          <w:szCs w:val="23"/>
        </w:rPr>
        <w:t>; The Broomhill Project, Glasgow</w:t>
      </w:r>
      <w:r w:rsidR="008C6752" w:rsidRPr="004E04B0">
        <w:rPr>
          <w:rFonts w:asciiTheme="majorHAnsi" w:eastAsiaTheme="majorEastAsia" w:hAnsiTheme="majorHAnsi" w:cstheme="majorBidi"/>
          <w:color w:val="595959" w:themeColor="text1" w:themeTint="A6"/>
          <w:sz w:val="23"/>
          <w:szCs w:val="23"/>
        </w:rPr>
        <w:t xml:space="preserve"> (</w:t>
      </w:r>
      <w:r w:rsidRPr="004E04B0">
        <w:rPr>
          <w:rFonts w:asciiTheme="majorHAnsi" w:eastAsiaTheme="majorEastAsia" w:hAnsiTheme="majorHAnsi" w:cstheme="majorBidi"/>
          <w:color w:val="595959" w:themeColor="text1" w:themeTint="A6"/>
          <w:sz w:val="23"/>
          <w:szCs w:val="23"/>
        </w:rPr>
        <w:t xml:space="preserve">Broomy’s Bees </w:t>
      </w:r>
      <w:r w:rsidR="00505AB0">
        <w:rPr>
          <w:rFonts w:asciiTheme="majorHAnsi" w:eastAsiaTheme="majorEastAsia" w:hAnsiTheme="majorHAnsi" w:cstheme="majorBidi"/>
          <w:color w:val="595959" w:themeColor="text1" w:themeTint="A6"/>
          <w:sz w:val="23"/>
          <w:szCs w:val="23"/>
        </w:rPr>
        <w:t>c</w:t>
      </w:r>
      <w:r w:rsidRPr="004E04B0">
        <w:rPr>
          <w:rFonts w:asciiTheme="majorHAnsi" w:eastAsiaTheme="majorEastAsia" w:hAnsiTheme="majorHAnsi" w:cstheme="majorBidi"/>
          <w:color w:val="595959" w:themeColor="text1" w:themeTint="A6"/>
          <w:sz w:val="23"/>
          <w:szCs w:val="23"/>
        </w:rPr>
        <w:t>ommunity pocket park</w:t>
      </w:r>
      <w:r w:rsidR="008C6752" w:rsidRPr="004E04B0">
        <w:rPr>
          <w:rFonts w:asciiTheme="majorHAnsi" w:eastAsiaTheme="majorEastAsia" w:hAnsiTheme="majorHAnsi" w:cstheme="majorBidi"/>
          <w:color w:val="595959" w:themeColor="text1" w:themeTint="A6"/>
          <w:sz w:val="23"/>
          <w:szCs w:val="23"/>
        </w:rPr>
        <w:t>)</w:t>
      </w:r>
      <w:r w:rsidRPr="004E04B0">
        <w:rPr>
          <w:rFonts w:asciiTheme="majorHAnsi" w:eastAsiaTheme="majorEastAsia" w:hAnsiTheme="majorHAnsi" w:cstheme="majorBidi"/>
          <w:color w:val="595959" w:themeColor="text1" w:themeTint="A6"/>
          <w:sz w:val="23"/>
          <w:szCs w:val="23"/>
        </w:rPr>
        <w:t xml:space="preserve"> </w:t>
      </w:r>
      <w:r w:rsidR="004E04B0" w:rsidRPr="004E04B0">
        <w:rPr>
          <w:rFonts w:asciiTheme="majorHAnsi" w:eastAsiaTheme="majorEastAsia" w:hAnsiTheme="majorHAnsi" w:cstheme="majorBidi"/>
          <w:color w:val="595959" w:themeColor="text1" w:themeTint="A6"/>
          <w:sz w:val="23"/>
          <w:szCs w:val="23"/>
        </w:rPr>
        <w:t>(</w:t>
      </w:r>
      <w:r w:rsidRPr="004E04B0">
        <w:rPr>
          <w:rFonts w:asciiTheme="majorHAnsi" w:eastAsiaTheme="majorEastAsia" w:hAnsiTheme="majorHAnsi" w:cstheme="majorBidi"/>
          <w:color w:val="595959" w:themeColor="text1" w:themeTint="A6"/>
          <w:sz w:val="23"/>
          <w:szCs w:val="23"/>
        </w:rPr>
        <w:t>p.</w:t>
      </w:r>
      <w:r w:rsidR="004E04B0" w:rsidRPr="004E04B0">
        <w:rPr>
          <w:rFonts w:asciiTheme="majorHAnsi" w:eastAsiaTheme="majorEastAsia" w:hAnsiTheme="majorHAnsi" w:cstheme="majorBidi"/>
          <w:color w:val="595959" w:themeColor="text1" w:themeTint="A6"/>
          <w:sz w:val="23"/>
          <w:szCs w:val="23"/>
        </w:rPr>
        <w:t>76)</w:t>
      </w:r>
      <w:r w:rsidRPr="004E04B0">
        <w:rPr>
          <w:rFonts w:asciiTheme="majorHAnsi" w:eastAsiaTheme="majorEastAsia" w:hAnsiTheme="majorHAnsi" w:cstheme="majorBidi"/>
          <w:color w:val="595959" w:themeColor="text1" w:themeTint="A6"/>
          <w:sz w:val="23"/>
          <w:szCs w:val="23"/>
        </w:rPr>
        <w:t>.</w:t>
      </w:r>
    </w:p>
    <w:p w14:paraId="7E52488A" w14:textId="77777777" w:rsidR="00F93F22" w:rsidRPr="004E04B0" w:rsidRDefault="00F93F22" w:rsidP="00815D3A">
      <w:pPr>
        <w:pStyle w:val="Default"/>
        <w:spacing w:line="276" w:lineRule="auto"/>
        <w:rPr>
          <w:b/>
          <w:color w:val="2F5496" w:themeColor="accent1" w:themeShade="BF"/>
          <w:sz w:val="16"/>
          <w:szCs w:val="16"/>
        </w:rPr>
      </w:pPr>
    </w:p>
    <w:p w14:paraId="2A35E8E0" w14:textId="38D938DC" w:rsidR="00F00E3D" w:rsidRPr="00C351F0" w:rsidRDefault="00F00E3D" w:rsidP="00815D3A">
      <w:pPr>
        <w:pStyle w:val="Default"/>
        <w:spacing w:line="276" w:lineRule="auto"/>
        <w:rPr>
          <w:rFonts w:eastAsia="Calibri"/>
          <w:b/>
          <w:color w:val="2E74B5" w:themeColor="accent5" w:themeShade="BF"/>
          <w:sz w:val="25"/>
          <w:szCs w:val="25"/>
          <w:lang w:val="en-GB"/>
        </w:rPr>
      </w:pPr>
      <w:r w:rsidRPr="004E04B0">
        <w:rPr>
          <w:b/>
          <w:color w:val="2E74B5" w:themeColor="accent5" w:themeShade="BF"/>
          <w:sz w:val="25"/>
          <w:szCs w:val="25"/>
        </w:rPr>
        <w:t xml:space="preserve">3.3 Local Training and Employment </w:t>
      </w:r>
      <w:r w:rsidR="00AB0FF9" w:rsidRPr="004E04B0">
        <w:rPr>
          <w:b/>
          <w:color w:val="2E74B5" w:themeColor="accent5" w:themeShade="BF"/>
          <w:sz w:val="25"/>
          <w:szCs w:val="25"/>
        </w:rPr>
        <w:t>Initiative</w:t>
      </w:r>
    </w:p>
    <w:p w14:paraId="14892C73" w14:textId="77777777" w:rsidR="00557C81" w:rsidRPr="00C54070" w:rsidRDefault="00557C81" w:rsidP="00815D3A">
      <w:pPr>
        <w:spacing w:after="0" w:line="276" w:lineRule="auto"/>
        <w:rPr>
          <w:rFonts w:asciiTheme="majorHAnsi" w:eastAsia="Calibri" w:hAnsiTheme="majorHAnsi" w:cstheme="majorBidi"/>
          <w:sz w:val="12"/>
          <w:szCs w:val="12"/>
          <w:lang w:val="en-GB"/>
        </w:rPr>
      </w:pPr>
    </w:p>
    <w:p w14:paraId="7133A50D" w14:textId="16B25695" w:rsidR="00F00E3D" w:rsidRPr="00552857" w:rsidRDefault="000F2C9A" w:rsidP="78F9AF82">
      <w:pPr>
        <w:spacing w:line="276" w:lineRule="auto"/>
        <w:rPr>
          <w:rFonts w:asciiTheme="majorHAnsi" w:eastAsia="Calibri" w:hAnsiTheme="majorHAnsi" w:cstheme="majorBidi"/>
          <w:sz w:val="23"/>
          <w:szCs w:val="23"/>
          <w:lang w:val="en-GB"/>
        </w:rPr>
      </w:pPr>
      <w:r w:rsidRPr="78F9AF82">
        <w:rPr>
          <w:rFonts w:asciiTheme="majorHAnsi" w:eastAsia="Calibri" w:hAnsiTheme="majorHAnsi" w:cstheme="majorBidi"/>
          <w:sz w:val="23"/>
          <w:szCs w:val="23"/>
          <w:lang w:val="en-GB"/>
        </w:rPr>
        <w:t xml:space="preserve">All </w:t>
      </w:r>
      <w:r w:rsidR="00F00E3D" w:rsidRPr="78F9AF82">
        <w:rPr>
          <w:rFonts w:asciiTheme="majorHAnsi" w:eastAsia="Calibri" w:hAnsiTheme="majorHAnsi" w:cstheme="majorBidi"/>
          <w:sz w:val="23"/>
          <w:szCs w:val="23"/>
          <w:lang w:val="en-GB"/>
        </w:rPr>
        <w:t>three localities</w:t>
      </w:r>
      <w:r w:rsidR="00190070" w:rsidRPr="78F9AF82">
        <w:rPr>
          <w:rFonts w:asciiTheme="majorHAnsi" w:eastAsia="Calibri" w:hAnsiTheme="majorHAnsi" w:cstheme="majorBidi"/>
          <w:sz w:val="23"/>
          <w:szCs w:val="23"/>
          <w:lang w:val="en-GB"/>
        </w:rPr>
        <w:t xml:space="preserve"> have high unemployment</w:t>
      </w:r>
      <w:r w:rsidR="00F00E3D" w:rsidRPr="78F9AF82">
        <w:rPr>
          <w:rFonts w:asciiTheme="majorHAnsi" w:eastAsia="Calibri" w:hAnsiTheme="majorHAnsi" w:cstheme="majorBidi"/>
          <w:sz w:val="23"/>
          <w:szCs w:val="23"/>
          <w:lang w:val="en-GB"/>
        </w:rPr>
        <w:t xml:space="preserve">, </w:t>
      </w:r>
      <w:r w:rsidRPr="78F9AF82">
        <w:rPr>
          <w:rFonts w:asciiTheme="majorHAnsi" w:eastAsia="Calibri" w:hAnsiTheme="majorHAnsi" w:cstheme="majorBidi"/>
          <w:sz w:val="23"/>
          <w:szCs w:val="23"/>
          <w:lang w:val="en-GB"/>
        </w:rPr>
        <w:t>some of which is</w:t>
      </w:r>
      <w:r w:rsidR="00F93F22" w:rsidRPr="78F9AF82">
        <w:rPr>
          <w:rFonts w:asciiTheme="majorHAnsi" w:eastAsia="Calibri" w:hAnsiTheme="majorHAnsi" w:cstheme="majorBidi"/>
          <w:sz w:val="23"/>
          <w:szCs w:val="23"/>
          <w:lang w:val="en-GB"/>
        </w:rPr>
        <w:t xml:space="preserve"> </w:t>
      </w:r>
      <w:r w:rsidR="00F00E3D" w:rsidRPr="78F9AF82">
        <w:rPr>
          <w:rFonts w:asciiTheme="majorHAnsi" w:eastAsia="Calibri" w:hAnsiTheme="majorHAnsi" w:cstheme="majorBidi"/>
          <w:sz w:val="23"/>
          <w:szCs w:val="23"/>
          <w:lang w:val="en-GB"/>
        </w:rPr>
        <w:t xml:space="preserve">intergenerational. </w:t>
      </w:r>
      <w:r w:rsidR="688C4423" w:rsidRPr="78F9AF82">
        <w:rPr>
          <w:rFonts w:asciiTheme="majorHAnsi" w:eastAsia="Calibri" w:hAnsiTheme="majorHAnsi" w:cstheme="majorBidi"/>
          <w:sz w:val="23"/>
          <w:szCs w:val="23"/>
          <w:lang w:val="en-GB"/>
        </w:rPr>
        <w:t>While t</w:t>
      </w:r>
      <w:r w:rsidR="008C6752" w:rsidRPr="78F9AF82">
        <w:rPr>
          <w:rFonts w:asciiTheme="majorHAnsi" w:eastAsia="Calibri" w:hAnsiTheme="majorHAnsi" w:cstheme="majorBidi"/>
          <w:sz w:val="23"/>
          <w:szCs w:val="23"/>
          <w:lang w:val="en-GB"/>
        </w:rPr>
        <w:t xml:space="preserve">he </w:t>
      </w:r>
      <w:r w:rsidR="00F00E3D" w:rsidRPr="78F9AF82">
        <w:rPr>
          <w:rFonts w:asciiTheme="majorHAnsi" w:eastAsia="Calibri" w:hAnsiTheme="majorHAnsi" w:cstheme="majorBidi"/>
          <w:sz w:val="23"/>
          <w:szCs w:val="23"/>
          <w:lang w:val="en-GB"/>
        </w:rPr>
        <w:t xml:space="preserve">pandemic </w:t>
      </w:r>
      <w:r w:rsidR="008C6752" w:rsidRPr="78F9AF82">
        <w:rPr>
          <w:rFonts w:asciiTheme="majorHAnsi" w:eastAsia="Calibri" w:hAnsiTheme="majorHAnsi" w:cstheme="majorBidi"/>
          <w:sz w:val="23"/>
          <w:szCs w:val="23"/>
          <w:lang w:val="en-GB"/>
        </w:rPr>
        <w:t xml:space="preserve">temporarily </w:t>
      </w:r>
      <w:r w:rsidR="008E7A74" w:rsidRPr="78F9AF82">
        <w:rPr>
          <w:rFonts w:asciiTheme="majorHAnsi" w:eastAsia="Calibri" w:hAnsiTheme="majorHAnsi" w:cstheme="majorBidi"/>
          <w:sz w:val="23"/>
          <w:szCs w:val="23"/>
          <w:lang w:val="en-GB"/>
        </w:rPr>
        <w:t>boosted</w:t>
      </w:r>
      <w:r w:rsidR="00F00E3D" w:rsidRPr="78F9AF82">
        <w:rPr>
          <w:rFonts w:asciiTheme="majorHAnsi" w:eastAsia="Calibri" w:hAnsiTheme="majorHAnsi" w:cstheme="majorBidi"/>
          <w:sz w:val="23"/>
          <w:szCs w:val="23"/>
          <w:lang w:val="en-GB"/>
        </w:rPr>
        <w:t xml:space="preserve"> </w:t>
      </w:r>
      <w:r w:rsidR="00955630" w:rsidRPr="78F9AF82">
        <w:rPr>
          <w:rFonts w:asciiTheme="majorHAnsi" w:eastAsia="Calibri" w:hAnsiTheme="majorHAnsi" w:cstheme="majorBidi"/>
          <w:sz w:val="23"/>
          <w:szCs w:val="23"/>
          <w:lang w:val="en-GB"/>
        </w:rPr>
        <w:t xml:space="preserve">some </w:t>
      </w:r>
      <w:r w:rsidR="00DF7D3B" w:rsidRPr="78F9AF82">
        <w:rPr>
          <w:rFonts w:asciiTheme="majorHAnsi" w:eastAsia="Calibri" w:hAnsiTheme="majorHAnsi" w:cstheme="majorBidi"/>
          <w:sz w:val="23"/>
          <w:szCs w:val="23"/>
          <w:lang w:val="en-GB"/>
        </w:rPr>
        <w:t xml:space="preserve">prevalent </w:t>
      </w:r>
      <w:r w:rsidR="00A2105E" w:rsidRPr="78F9AF82">
        <w:rPr>
          <w:rFonts w:asciiTheme="majorHAnsi" w:eastAsia="Calibri" w:hAnsiTheme="majorHAnsi" w:cstheme="majorBidi"/>
          <w:sz w:val="23"/>
          <w:szCs w:val="23"/>
          <w:lang w:val="en-GB"/>
        </w:rPr>
        <w:t>local job sectors –</w:t>
      </w:r>
      <w:r w:rsidR="00DF7D3B" w:rsidRPr="78F9AF82">
        <w:rPr>
          <w:rFonts w:asciiTheme="majorHAnsi" w:eastAsia="Calibri" w:hAnsiTheme="majorHAnsi" w:cstheme="majorBidi"/>
          <w:sz w:val="23"/>
          <w:szCs w:val="23"/>
          <w:lang w:val="en-GB"/>
        </w:rPr>
        <w:t xml:space="preserve"> </w:t>
      </w:r>
      <w:r w:rsidR="00F00E3D" w:rsidRPr="78F9AF82">
        <w:rPr>
          <w:rFonts w:asciiTheme="majorHAnsi" w:eastAsia="Calibri" w:hAnsiTheme="majorHAnsi" w:cstheme="majorBidi"/>
          <w:sz w:val="23"/>
          <w:szCs w:val="23"/>
          <w:lang w:val="en-GB"/>
        </w:rPr>
        <w:t xml:space="preserve">aged care, </w:t>
      </w:r>
      <w:r w:rsidR="00DF7D3B" w:rsidRPr="78F9AF82">
        <w:rPr>
          <w:rFonts w:asciiTheme="majorHAnsi" w:eastAsia="Calibri" w:hAnsiTheme="majorHAnsi" w:cstheme="majorBidi"/>
          <w:sz w:val="23"/>
          <w:szCs w:val="23"/>
          <w:lang w:val="en-GB"/>
        </w:rPr>
        <w:t>cleaning</w:t>
      </w:r>
      <w:r w:rsidR="00F00E3D" w:rsidRPr="78F9AF82">
        <w:rPr>
          <w:rFonts w:asciiTheme="majorHAnsi" w:eastAsia="Calibri" w:hAnsiTheme="majorHAnsi" w:cstheme="majorBidi"/>
          <w:sz w:val="23"/>
          <w:szCs w:val="23"/>
          <w:lang w:val="en-GB"/>
        </w:rPr>
        <w:t>, transport</w:t>
      </w:r>
      <w:r w:rsidR="00DF7D3B" w:rsidRPr="78F9AF82">
        <w:rPr>
          <w:rFonts w:asciiTheme="majorHAnsi" w:eastAsia="Calibri" w:hAnsiTheme="majorHAnsi" w:cstheme="majorBidi"/>
          <w:sz w:val="23"/>
          <w:szCs w:val="23"/>
          <w:lang w:val="en-GB"/>
        </w:rPr>
        <w:t>,</w:t>
      </w:r>
      <w:r w:rsidR="00F00E3D" w:rsidRPr="78F9AF82">
        <w:rPr>
          <w:rFonts w:asciiTheme="majorHAnsi" w:eastAsia="Calibri" w:hAnsiTheme="majorHAnsi" w:cstheme="majorBidi"/>
          <w:sz w:val="23"/>
          <w:szCs w:val="23"/>
          <w:lang w:val="en-GB"/>
        </w:rPr>
        <w:t xml:space="preserve"> logistics</w:t>
      </w:r>
      <w:r w:rsidR="00AE230F" w:rsidRPr="78F9AF82">
        <w:rPr>
          <w:rFonts w:asciiTheme="majorHAnsi" w:eastAsia="Calibri" w:hAnsiTheme="majorHAnsi" w:cstheme="majorBidi"/>
          <w:sz w:val="23"/>
          <w:szCs w:val="23"/>
          <w:lang w:val="en-GB"/>
        </w:rPr>
        <w:t xml:space="preserve"> – </w:t>
      </w:r>
      <w:r w:rsidRPr="78F9AF82">
        <w:rPr>
          <w:rFonts w:asciiTheme="majorHAnsi" w:eastAsia="Calibri" w:hAnsiTheme="majorHAnsi" w:cstheme="majorBidi"/>
          <w:sz w:val="23"/>
          <w:szCs w:val="23"/>
          <w:lang w:val="en-GB"/>
        </w:rPr>
        <w:t xml:space="preserve">and prompted </w:t>
      </w:r>
      <w:r w:rsidR="00023D74" w:rsidRPr="78F9AF82">
        <w:rPr>
          <w:rFonts w:asciiTheme="majorHAnsi" w:eastAsia="Calibri" w:hAnsiTheme="majorHAnsi" w:cstheme="majorBidi"/>
          <w:sz w:val="23"/>
          <w:szCs w:val="23"/>
          <w:lang w:val="en-GB"/>
        </w:rPr>
        <w:t>some</w:t>
      </w:r>
      <w:r w:rsidR="00CE7B49" w:rsidRPr="78F9AF82">
        <w:rPr>
          <w:rFonts w:asciiTheme="majorHAnsi" w:eastAsia="Calibri" w:hAnsiTheme="majorHAnsi" w:cstheme="majorBidi"/>
          <w:sz w:val="23"/>
          <w:szCs w:val="23"/>
          <w:lang w:val="en-GB"/>
        </w:rPr>
        <w:t xml:space="preserve"> expansion into </w:t>
      </w:r>
      <w:r w:rsidR="00F00E3D" w:rsidRPr="78F9AF82">
        <w:rPr>
          <w:rFonts w:asciiTheme="majorHAnsi" w:eastAsia="Calibri" w:hAnsiTheme="majorHAnsi" w:cstheme="majorBidi"/>
          <w:sz w:val="23"/>
          <w:szCs w:val="23"/>
          <w:lang w:val="en-GB"/>
        </w:rPr>
        <w:t xml:space="preserve">health, unemployment </w:t>
      </w:r>
      <w:r w:rsidR="00CA55EA" w:rsidRPr="78F9AF82">
        <w:rPr>
          <w:rFonts w:asciiTheme="majorHAnsi" w:eastAsia="Calibri" w:hAnsiTheme="majorHAnsi" w:cstheme="majorBidi"/>
          <w:sz w:val="23"/>
          <w:szCs w:val="23"/>
          <w:lang w:val="en-GB"/>
        </w:rPr>
        <w:t>is now</w:t>
      </w:r>
      <w:r w:rsidR="003A4C15" w:rsidRPr="78F9AF82">
        <w:rPr>
          <w:rFonts w:asciiTheme="majorHAnsi" w:eastAsia="Calibri" w:hAnsiTheme="majorHAnsi" w:cstheme="majorBidi"/>
          <w:sz w:val="23"/>
          <w:szCs w:val="23"/>
          <w:lang w:val="en-GB"/>
        </w:rPr>
        <w:t xml:space="preserve"> </w:t>
      </w:r>
      <w:r w:rsidR="00F00E3D" w:rsidRPr="78F9AF82">
        <w:rPr>
          <w:rFonts w:asciiTheme="majorHAnsi" w:eastAsia="Calibri" w:hAnsiTheme="majorHAnsi" w:cstheme="majorBidi"/>
          <w:sz w:val="23"/>
          <w:szCs w:val="23"/>
          <w:lang w:val="en-GB"/>
        </w:rPr>
        <w:t>surg</w:t>
      </w:r>
      <w:r w:rsidR="00CA55EA" w:rsidRPr="78F9AF82">
        <w:rPr>
          <w:rFonts w:asciiTheme="majorHAnsi" w:eastAsia="Calibri" w:hAnsiTheme="majorHAnsi" w:cstheme="majorBidi"/>
          <w:sz w:val="23"/>
          <w:szCs w:val="23"/>
          <w:lang w:val="en-GB"/>
        </w:rPr>
        <w:t>ing</w:t>
      </w:r>
      <w:r w:rsidR="00F00E3D" w:rsidRPr="78F9AF82">
        <w:rPr>
          <w:rFonts w:asciiTheme="majorHAnsi" w:eastAsia="Calibri" w:hAnsiTheme="majorHAnsi" w:cstheme="majorBidi"/>
          <w:sz w:val="23"/>
          <w:szCs w:val="23"/>
          <w:lang w:val="en-GB"/>
        </w:rPr>
        <w:t xml:space="preserve"> again.</w:t>
      </w:r>
    </w:p>
    <w:p w14:paraId="654FCF18" w14:textId="1F544605" w:rsidR="00F00E3D" w:rsidRPr="00552857" w:rsidRDefault="00133E62" w:rsidP="00ED5E90">
      <w:pPr>
        <w:spacing w:after="0" w:line="276" w:lineRule="auto"/>
        <w:rPr>
          <w:rFonts w:asciiTheme="majorHAnsi" w:hAnsiTheme="majorHAnsi" w:cstheme="majorBidi"/>
          <w:sz w:val="23"/>
          <w:szCs w:val="23"/>
        </w:rPr>
      </w:pPr>
      <w:r>
        <w:rPr>
          <w:rFonts w:asciiTheme="majorHAnsi" w:eastAsia="Calibri" w:hAnsiTheme="majorHAnsi" w:cstheme="majorBidi"/>
          <w:sz w:val="23"/>
          <w:szCs w:val="23"/>
          <w:lang w:val="en-GB"/>
        </w:rPr>
        <w:t>The Local Training and Employment Initiative addresses</w:t>
      </w:r>
      <w:r w:rsidR="00F00E3D" w:rsidRPr="502830E4">
        <w:rPr>
          <w:rFonts w:asciiTheme="majorHAnsi" w:eastAsia="Calibri" w:hAnsiTheme="majorHAnsi" w:cstheme="majorBidi"/>
          <w:sz w:val="23"/>
          <w:szCs w:val="23"/>
          <w:lang w:val="en-GB"/>
        </w:rPr>
        <w:t xml:space="preserve"> </w:t>
      </w:r>
      <w:r w:rsidR="004572CB">
        <w:rPr>
          <w:rFonts w:asciiTheme="majorHAnsi" w:eastAsia="Calibri" w:hAnsiTheme="majorHAnsi" w:cstheme="majorBidi"/>
          <w:sz w:val="23"/>
          <w:szCs w:val="23"/>
          <w:lang w:val="en-GB"/>
        </w:rPr>
        <w:t>a dual</w:t>
      </w:r>
      <w:r w:rsidR="00F00E3D" w:rsidRPr="502830E4">
        <w:rPr>
          <w:rFonts w:asciiTheme="majorHAnsi" w:eastAsia="Calibri" w:hAnsiTheme="majorHAnsi" w:cstheme="majorBidi"/>
          <w:sz w:val="23"/>
          <w:szCs w:val="23"/>
          <w:lang w:val="en-GB"/>
        </w:rPr>
        <w:t xml:space="preserve"> need</w:t>
      </w:r>
      <w:r w:rsidR="004572CB">
        <w:rPr>
          <w:rFonts w:asciiTheme="majorHAnsi" w:eastAsia="Calibri" w:hAnsiTheme="majorHAnsi" w:cstheme="majorBidi"/>
          <w:sz w:val="23"/>
          <w:szCs w:val="23"/>
          <w:lang w:val="en-GB"/>
        </w:rPr>
        <w:t>:</w:t>
      </w:r>
      <w:r w:rsidR="00F00E3D" w:rsidRPr="502830E4">
        <w:rPr>
          <w:rFonts w:asciiTheme="majorHAnsi" w:eastAsia="Calibri" w:hAnsiTheme="majorHAnsi" w:cstheme="majorBidi"/>
          <w:sz w:val="23"/>
          <w:szCs w:val="23"/>
          <w:lang w:val="en-GB"/>
        </w:rPr>
        <w:t xml:space="preserve"> to </w:t>
      </w:r>
      <w:r w:rsidR="0016521E">
        <w:rPr>
          <w:rFonts w:asciiTheme="majorHAnsi" w:eastAsia="Calibri" w:hAnsiTheme="majorHAnsi" w:cstheme="majorBidi"/>
          <w:sz w:val="23"/>
          <w:szCs w:val="23"/>
          <w:lang w:val="en-GB"/>
        </w:rPr>
        <w:t xml:space="preserve">support and </w:t>
      </w:r>
      <w:r w:rsidR="00F00E3D" w:rsidRPr="502830E4">
        <w:rPr>
          <w:rFonts w:asciiTheme="majorHAnsi" w:eastAsia="Calibri" w:hAnsiTheme="majorHAnsi" w:cstheme="majorBidi"/>
          <w:sz w:val="23"/>
          <w:szCs w:val="23"/>
          <w:lang w:val="en-GB"/>
        </w:rPr>
        <w:t xml:space="preserve">extend existing training and employment programs (see Recommendation </w:t>
      </w:r>
      <w:r w:rsidR="003A4C15">
        <w:rPr>
          <w:rFonts w:asciiTheme="majorHAnsi" w:eastAsia="Calibri" w:hAnsiTheme="majorHAnsi" w:cstheme="majorBidi"/>
          <w:sz w:val="23"/>
          <w:szCs w:val="23"/>
          <w:lang w:val="en-GB"/>
        </w:rPr>
        <w:t>1</w:t>
      </w:r>
      <w:r w:rsidR="00F00E3D" w:rsidRPr="502830E4">
        <w:rPr>
          <w:rFonts w:asciiTheme="majorHAnsi" w:eastAsia="Calibri" w:hAnsiTheme="majorHAnsi" w:cstheme="majorBidi"/>
          <w:sz w:val="23"/>
          <w:szCs w:val="23"/>
          <w:lang w:val="en-GB"/>
        </w:rPr>
        <w:t>)</w:t>
      </w:r>
      <w:r w:rsidR="0016521E">
        <w:rPr>
          <w:rFonts w:asciiTheme="majorHAnsi" w:eastAsia="Calibri" w:hAnsiTheme="majorHAnsi" w:cstheme="majorBidi"/>
          <w:sz w:val="23"/>
          <w:szCs w:val="23"/>
          <w:lang w:val="en-GB"/>
        </w:rPr>
        <w:t>;</w:t>
      </w:r>
      <w:r w:rsidR="003A4C15">
        <w:rPr>
          <w:rFonts w:asciiTheme="majorHAnsi" w:eastAsia="Calibri" w:hAnsiTheme="majorHAnsi" w:cstheme="majorBidi"/>
          <w:sz w:val="23"/>
          <w:szCs w:val="23"/>
          <w:lang w:val="en-GB"/>
        </w:rPr>
        <w:t xml:space="preserve"> and to </w:t>
      </w:r>
      <w:r w:rsidR="00F00E3D" w:rsidRPr="502830E4">
        <w:rPr>
          <w:rFonts w:asciiTheme="majorHAnsi" w:eastAsia="Calibri" w:hAnsiTheme="majorHAnsi" w:cstheme="majorBidi"/>
          <w:sz w:val="23"/>
          <w:szCs w:val="23"/>
          <w:lang w:val="en-GB"/>
        </w:rPr>
        <w:t xml:space="preserve">explore </w:t>
      </w:r>
      <w:r w:rsidR="0016521E">
        <w:rPr>
          <w:rFonts w:asciiTheme="majorHAnsi" w:eastAsia="Calibri" w:hAnsiTheme="majorHAnsi" w:cstheme="majorBidi"/>
          <w:sz w:val="23"/>
          <w:szCs w:val="23"/>
          <w:lang w:val="en-GB"/>
        </w:rPr>
        <w:t xml:space="preserve">and expand </w:t>
      </w:r>
      <w:r w:rsidR="00E608B5">
        <w:rPr>
          <w:rFonts w:asciiTheme="majorHAnsi" w:eastAsia="Calibri" w:hAnsiTheme="majorHAnsi" w:cstheme="majorBidi"/>
          <w:sz w:val="23"/>
          <w:szCs w:val="23"/>
          <w:lang w:val="en-GB"/>
        </w:rPr>
        <w:t>new</w:t>
      </w:r>
      <w:r w:rsidR="00F00E3D" w:rsidRPr="502830E4">
        <w:rPr>
          <w:rFonts w:asciiTheme="majorHAnsi" w:eastAsia="Calibri" w:hAnsiTheme="majorHAnsi" w:cstheme="majorBidi"/>
          <w:sz w:val="23"/>
          <w:szCs w:val="23"/>
          <w:lang w:val="en-GB"/>
        </w:rPr>
        <w:t xml:space="preserve"> local </w:t>
      </w:r>
      <w:r w:rsidR="006D4AFF">
        <w:rPr>
          <w:rFonts w:asciiTheme="majorHAnsi" w:eastAsia="Calibri" w:hAnsiTheme="majorHAnsi" w:cstheme="majorBidi"/>
          <w:sz w:val="23"/>
          <w:szCs w:val="23"/>
          <w:lang w:val="en-GB"/>
        </w:rPr>
        <w:t xml:space="preserve">work </w:t>
      </w:r>
      <w:r w:rsidR="00F00E3D" w:rsidRPr="502830E4">
        <w:rPr>
          <w:rFonts w:asciiTheme="majorHAnsi" w:eastAsia="Calibri" w:hAnsiTheme="majorHAnsi" w:cstheme="majorBidi"/>
          <w:sz w:val="23"/>
          <w:szCs w:val="23"/>
          <w:lang w:val="en-GB"/>
        </w:rPr>
        <w:t>opportunities.</w:t>
      </w:r>
      <w:r w:rsidR="00993F64">
        <w:rPr>
          <w:rFonts w:asciiTheme="majorHAnsi" w:eastAsia="Calibri" w:hAnsiTheme="majorHAnsi" w:cstheme="majorBidi"/>
          <w:sz w:val="23"/>
          <w:szCs w:val="23"/>
          <w:lang w:val="en-GB"/>
        </w:rPr>
        <w:t xml:space="preserve"> </w:t>
      </w:r>
      <w:r>
        <w:rPr>
          <w:rFonts w:asciiTheme="majorHAnsi" w:eastAsia="Calibri" w:hAnsiTheme="majorHAnsi" w:cstheme="majorBidi"/>
          <w:sz w:val="23"/>
          <w:szCs w:val="23"/>
          <w:lang w:val="en-GB"/>
        </w:rPr>
        <w:t>S</w:t>
      </w:r>
      <w:r w:rsidR="00B36CC7">
        <w:rPr>
          <w:rFonts w:asciiTheme="majorHAnsi" w:eastAsia="Calibri" w:hAnsiTheme="majorHAnsi" w:cstheme="majorBidi"/>
          <w:sz w:val="23"/>
          <w:szCs w:val="23"/>
          <w:lang w:val="en-GB"/>
        </w:rPr>
        <w:t>pecific needs and activities include</w:t>
      </w:r>
      <w:r w:rsidR="00F00E3D" w:rsidRPr="502830E4">
        <w:rPr>
          <w:rFonts w:asciiTheme="majorHAnsi" w:eastAsia="Calibri" w:hAnsiTheme="majorHAnsi" w:cstheme="majorBidi"/>
          <w:sz w:val="23"/>
          <w:szCs w:val="23"/>
          <w:lang w:val="en-GB"/>
        </w:rPr>
        <w:t>:</w:t>
      </w:r>
    </w:p>
    <w:p w14:paraId="41C8B0CC" w14:textId="4066569F" w:rsidR="00F00E3D" w:rsidRPr="00552857" w:rsidRDefault="00F00E3D" w:rsidP="00364C5D">
      <w:pPr>
        <w:pStyle w:val="ListParagraph"/>
        <w:numPr>
          <w:ilvl w:val="0"/>
          <w:numId w:val="57"/>
        </w:numPr>
        <w:spacing w:line="276" w:lineRule="auto"/>
        <w:rPr>
          <w:rFonts w:asciiTheme="majorHAnsi" w:eastAsiaTheme="majorEastAsia" w:hAnsiTheme="majorHAnsi" w:cstheme="majorBidi"/>
          <w:sz w:val="23"/>
          <w:szCs w:val="23"/>
        </w:rPr>
      </w:pPr>
      <w:r w:rsidRPr="63D43B28">
        <w:rPr>
          <w:rFonts w:asciiTheme="majorHAnsi" w:eastAsia="Calibri Light" w:hAnsiTheme="majorHAnsi" w:cstheme="majorBidi"/>
          <w:sz w:val="23"/>
          <w:szCs w:val="23"/>
          <w:lang w:val="en-GB"/>
        </w:rPr>
        <w:t>Train</w:t>
      </w:r>
      <w:r w:rsidRPr="4061B100">
        <w:rPr>
          <w:rFonts w:asciiTheme="majorHAnsi" w:eastAsia="Calibri Light" w:hAnsiTheme="majorHAnsi" w:cstheme="majorBidi"/>
          <w:sz w:val="23"/>
          <w:szCs w:val="23"/>
          <w:lang w:val="en-GB"/>
        </w:rPr>
        <w:t xml:space="preserve"> and </w:t>
      </w:r>
      <w:r w:rsidRPr="63D43B28">
        <w:rPr>
          <w:rFonts w:asciiTheme="majorHAnsi" w:eastAsia="Calibri Light" w:hAnsiTheme="majorHAnsi" w:cstheme="majorBidi"/>
          <w:sz w:val="23"/>
          <w:szCs w:val="23"/>
          <w:lang w:val="en-GB"/>
        </w:rPr>
        <w:t>employ</w:t>
      </w:r>
      <w:r w:rsidRPr="4061B100">
        <w:rPr>
          <w:rFonts w:asciiTheme="majorHAnsi" w:eastAsia="Calibri Light" w:hAnsiTheme="majorHAnsi" w:cstheme="majorBidi"/>
          <w:sz w:val="23"/>
          <w:szCs w:val="23"/>
          <w:lang w:val="en-GB"/>
        </w:rPr>
        <w:t xml:space="preserve"> </w:t>
      </w:r>
      <w:r w:rsidR="00DC6DCD">
        <w:rPr>
          <w:rFonts w:asciiTheme="majorHAnsi" w:eastAsia="Calibri Light" w:hAnsiTheme="majorHAnsi" w:cstheme="majorBidi"/>
          <w:sz w:val="23"/>
          <w:szCs w:val="23"/>
          <w:lang w:val="en-GB"/>
        </w:rPr>
        <w:t>residents</w:t>
      </w:r>
      <w:r w:rsidRPr="4061B100">
        <w:rPr>
          <w:rFonts w:asciiTheme="majorHAnsi" w:eastAsia="Calibri Light" w:hAnsiTheme="majorHAnsi" w:cstheme="majorBidi"/>
          <w:sz w:val="23"/>
          <w:szCs w:val="23"/>
          <w:lang w:val="en-GB"/>
        </w:rPr>
        <w:t xml:space="preserve"> in </w:t>
      </w:r>
      <w:r w:rsidR="00E76E17">
        <w:rPr>
          <w:rFonts w:asciiTheme="majorHAnsi" w:eastAsia="Calibri Light" w:hAnsiTheme="majorHAnsi" w:cstheme="majorBidi"/>
          <w:sz w:val="23"/>
          <w:szCs w:val="23"/>
          <w:lang w:val="en-GB"/>
        </w:rPr>
        <w:t xml:space="preserve">local </w:t>
      </w:r>
      <w:r w:rsidRPr="4061B100">
        <w:rPr>
          <w:rFonts w:asciiTheme="majorHAnsi" w:eastAsia="Calibri Light" w:hAnsiTheme="majorHAnsi" w:cstheme="majorBidi"/>
          <w:sz w:val="23"/>
          <w:szCs w:val="23"/>
          <w:lang w:val="en-GB"/>
        </w:rPr>
        <w:t xml:space="preserve">neighbourhood regeneration, </w:t>
      </w:r>
      <w:r w:rsidR="00DC6DCD" w:rsidRPr="00552857">
        <w:rPr>
          <w:rFonts w:asciiTheme="majorHAnsi" w:eastAsia="Calibri Light" w:hAnsiTheme="majorHAnsi" w:cstheme="majorHAnsi"/>
          <w:sz w:val="23"/>
          <w:szCs w:val="23"/>
          <w:lang w:val="en-GB"/>
        </w:rPr>
        <w:t>social infrastructure</w:t>
      </w:r>
      <w:r w:rsidR="00DC6DCD">
        <w:rPr>
          <w:rFonts w:asciiTheme="majorHAnsi" w:eastAsia="Calibri Light" w:hAnsiTheme="majorHAnsi" w:cstheme="majorHAnsi"/>
          <w:sz w:val="23"/>
          <w:szCs w:val="23"/>
          <w:lang w:val="en-GB"/>
        </w:rPr>
        <w:t>,</w:t>
      </w:r>
      <w:r w:rsidR="00DC6DCD" w:rsidRPr="00552857">
        <w:rPr>
          <w:rFonts w:asciiTheme="majorHAnsi" w:eastAsia="Calibri Light" w:hAnsiTheme="majorHAnsi" w:cstheme="majorHAnsi"/>
          <w:sz w:val="23"/>
          <w:szCs w:val="23"/>
          <w:lang w:val="en-GB"/>
        </w:rPr>
        <w:t xml:space="preserve"> </w:t>
      </w:r>
      <w:r w:rsidR="00DC6DCD" w:rsidRPr="63D43B28">
        <w:rPr>
          <w:rFonts w:asciiTheme="majorHAnsi" w:eastAsia="Calibri Light" w:hAnsiTheme="majorHAnsi" w:cstheme="majorBidi"/>
          <w:sz w:val="23"/>
          <w:szCs w:val="23"/>
          <w:lang w:val="en-GB"/>
        </w:rPr>
        <w:t>placemaking</w:t>
      </w:r>
      <w:r w:rsidR="00DC6DCD">
        <w:rPr>
          <w:rFonts w:asciiTheme="majorHAnsi" w:eastAsia="Calibri Light" w:hAnsiTheme="majorHAnsi" w:cstheme="majorHAnsi"/>
          <w:sz w:val="23"/>
          <w:szCs w:val="23"/>
          <w:lang w:val="en-GB"/>
        </w:rPr>
        <w:t xml:space="preserve">, </w:t>
      </w:r>
      <w:r w:rsidRPr="4061B100">
        <w:rPr>
          <w:rFonts w:asciiTheme="majorHAnsi" w:eastAsia="Calibri Light" w:hAnsiTheme="majorHAnsi" w:cstheme="majorBidi"/>
          <w:sz w:val="23"/>
          <w:szCs w:val="23"/>
          <w:lang w:val="en-GB"/>
        </w:rPr>
        <w:t>community centre</w:t>
      </w:r>
      <w:r w:rsidRPr="63D43B28">
        <w:rPr>
          <w:rFonts w:asciiTheme="majorHAnsi" w:eastAsia="Calibri Light" w:hAnsiTheme="majorHAnsi" w:cstheme="majorBidi"/>
          <w:sz w:val="23"/>
          <w:szCs w:val="23"/>
          <w:lang w:val="en-GB"/>
        </w:rPr>
        <w:t>, digital inclusion</w:t>
      </w:r>
      <w:r w:rsidR="0036400F">
        <w:rPr>
          <w:rFonts w:asciiTheme="majorHAnsi" w:eastAsia="Calibri Light" w:hAnsiTheme="majorHAnsi" w:cstheme="majorBidi"/>
          <w:sz w:val="23"/>
          <w:szCs w:val="23"/>
          <w:lang w:val="en-GB"/>
        </w:rPr>
        <w:t>,</w:t>
      </w:r>
      <w:r w:rsidRPr="4061B100">
        <w:rPr>
          <w:rFonts w:asciiTheme="majorHAnsi" w:eastAsia="Calibri Light" w:hAnsiTheme="majorHAnsi" w:cstheme="majorBidi"/>
          <w:sz w:val="23"/>
          <w:szCs w:val="23"/>
          <w:lang w:val="en-GB"/>
        </w:rPr>
        <w:t xml:space="preserve"> and food security </w:t>
      </w:r>
      <w:r w:rsidR="00E011BB">
        <w:rPr>
          <w:rFonts w:asciiTheme="majorHAnsi" w:eastAsia="Calibri Light" w:hAnsiTheme="majorHAnsi" w:cstheme="majorBidi"/>
          <w:sz w:val="23"/>
          <w:szCs w:val="23"/>
          <w:lang w:val="en-GB"/>
        </w:rPr>
        <w:t>programs</w:t>
      </w:r>
      <w:r w:rsidRPr="4061B100">
        <w:rPr>
          <w:rFonts w:asciiTheme="majorHAnsi" w:eastAsia="Calibri Light" w:hAnsiTheme="majorHAnsi" w:cstheme="majorBidi"/>
          <w:sz w:val="23"/>
          <w:szCs w:val="23"/>
          <w:lang w:val="en-GB"/>
        </w:rPr>
        <w:t xml:space="preserve">. </w:t>
      </w:r>
      <w:r w:rsidRPr="4061B100">
        <w:rPr>
          <w:rFonts w:asciiTheme="majorHAnsi" w:hAnsiTheme="majorHAnsi" w:cstheme="majorBidi"/>
          <w:sz w:val="23"/>
          <w:szCs w:val="23"/>
        </w:rPr>
        <w:t>Connect to State Government social procurement policy.</w:t>
      </w:r>
    </w:p>
    <w:p w14:paraId="74FF0C5F" w14:textId="77777777" w:rsidR="00E76E17" w:rsidRPr="00552857" w:rsidRDefault="00E76E17" w:rsidP="00E76E17">
      <w:pPr>
        <w:pStyle w:val="ListParagraph"/>
        <w:numPr>
          <w:ilvl w:val="0"/>
          <w:numId w:val="57"/>
        </w:numPr>
        <w:spacing w:line="276" w:lineRule="auto"/>
        <w:rPr>
          <w:rFonts w:asciiTheme="majorHAnsi" w:eastAsiaTheme="minorEastAsia" w:hAnsiTheme="majorHAnsi" w:cstheme="majorHAnsi"/>
          <w:sz w:val="23"/>
          <w:szCs w:val="23"/>
        </w:rPr>
      </w:pPr>
      <w:r>
        <w:rPr>
          <w:rFonts w:asciiTheme="majorHAnsi" w:eastAsia="Calibri Light" w:hAnsiTheme="majorHAnsi" w:cstheme="majorHAnsi"/>
          <w:sz w:val="23"/>
          <w:szCs w:val="23"/>
          <w:lang w:val="en-GB"/>
        </w:rPr>
        <w:t>M</w:t>
      </w:r>
      <w:r w:rsidRPr="00552857">
        <w:rPr>
          <w:rFonts w:asciiTheme="majorHAnsi" w:eastAsia="Calibri Light" w:hAnsiTheme="majorHAnsi" w:cstheme="majorHAnsi"/>
          <w:sz w:val="23"/>
          <w:szCs w:val="23"/>
          <w:lang w:val="en-GB"/>
        </w:rPr>
        <w:t>obilis</w:t>
      </w:r>
      <w:r>
        <w:rPr>
          <w:rFonts w:asciiTheme="majorHAnsi" w:eastAsia="Calibri Light" w:hAnsiTheme="majorHAnsi" w:cstheme="majorHAnsi"/>
          <w:sz w:val="23"/>
          <w:szCs w:val="23"/>
          <w:lang w:val="en-GB"/>
        </w:rPr>
        <w:t>e local</w:t>
      </w:r>
      <w:r w:rsidRPr="00552857">
        <w:rPr>
          <w:rFonts w:asciiTheme="majorHAnsi" w:eastAsia="Calibri Light" w:hAnsiTheme="majorHAnsi" w:cstheme="majorHAnsi"/>
          <w:sz w:val="23"/>
          <w:szCs w:val="23"/>
          <w:lang w:val="en-GB"/>
        </w:rPr>
        <w:t xml:space="preserve"> skills </w:t>
      </w:r>
      <w:r>
        <w:rPr>
          <w:rFonts w:asciiTheme="majorHAnsi" w:eastAsia="Calibri Light" w:hAnsiTheme="majorHAnsi" w:cstheme="majorHAnsi"/>
          <w:sz w:val="23"/>
          <w:szCs w:val="23"/>
          <w:lang w:val="en-GB"/>
        </w:rPr>
        <w:t>via</w:t>
      </w:r>
      <w:r w:rsidRPr="00552857">
        <w:rPr>
          <w:rFonts w:asciiTheme="majorHAnsi" w:eastAsia="Calibri Light" w:hAnsiTheme="majorHAnsi" w:cstheme="majorHAnsi"/>
          <w:sz w:val="23"/>
          <w:szCs w:val="23"/>
          <w:lang w:val="en-GB"/>
        </w:rPr>
        <w:t xml:space="preserve"> arts, cooking, </w:t>
      </w:r>
      <w:r>
        <w:rPr>
          <w:rFonts w:asciiTheme="majorHAnsi" w:eastAsia="Calibri Light" w:hAnsiTheme="majorHAnsi" w:cstheme="majorHAnsi"/>
          <w:sz w:val="23"/>
          <w:szCs w:val="23"/>
          <w:lang w:val="en-GB"/>
        </w:rPr>
        <w:t xml:space="preserve">gardening, cycling, </w:t>
      </w:r>
      <w:r w:rsidRPr="00552857">
        <w:rPr>
          <w:rFonts w:asciiTheme="majorHAnsi" w:eastAsia="Calibri Light" w:hAnsiTheme="majorHAnsi" w:cstheme="majorHAnsi"/>
          <w:sz w:val="23"/>
          <w:szCs w:val="23"/>
          <w:lang w:val="en-GB"/>
        </w:rPr>
        <w:t>music</w:t>
      </w:r>
      <w:r>
        <w:rPr>
          <w:rFonts w:asciiTheme="majorHAnsi" w:eastAsia="Calibri Light" w:hAnsiTheme="majorHAnsi" w:cstheme="majorHAnsi"/>
          <w:sz w:val="23"/>
          <w:szCs w:val="23"/>
          <w:lang w:val="en-GB"/>
        </w:rPr>
        <w:t xml:space="preserve">, carpentry, and craft </w:t>
      </w:r>
      <w:r w:rsidRPr="00552857">
        <w:rPr>
          <w:rFonts w:asciiTheme="majorHAnsi" w:eastAsia="Calibri Light" w:hAnsiTheme="majorHAnsi" w:cstheme="majorHAnsi"/>
          <w:sz w:val="23"/>
          <w:szCs w:val="23"/>
          <w:lang w:val="en-GB"/>
        </w:rPr>
        <w:t>programs.</w:t>
      </w:r>
    </w:p>
    <w:p w14:paraId="4B335D39" w14:textId="0D580057" w:rsidR="00F00E3D" w:rsidRPr="00552857" w:rsidRDefault="001A6187" w:rsidP="00364C5D">
      <w:pPr>
        <w:pStyle w:val="ListParagraph"/>
        <w:numPr>
          <w:ilvl w:val="0"/>
          <w:numId w:val="57"/>
        </w:numPr>
        <w:spacing w:line="276" w:lineRule="auto"/>
        <w:rPr>
          <w:rFonts w:asciiTheme="majorHAnsi" w:eastAsiaTheme="minorEastAsia" w:hAnsiTheme="majorHAnsi" w:cstheme="majorHAnsi"/>
          <w:sz w:val="23"/>
          <w:szCs w:val="23"/>
        </w:rPr>
      </w:pPr>
      <w:r>
        <w:rPr>
          <w:rFonts w:asciiTheme="majorHAnsi" w:eastAsia="Calibri Light" w:hAnsiTheme="majorHAnsi" w:cstheme="majorHAnsi"/>
          <w:sz w:val="23"/>
          <w:szCs w:val="23"/>
          <w:lang w:val="en-GB"/>
        </w:rPr>
        <w:t>Develop l</w:t>
      </w:r>
      <w:r w:rsidR="00F00E3D" w:rsidRPr="00552857">
        <w:rPr>
          <w:rFonts w:asciiTheme="majorHAnsi" w:eastAsia="Calibri Light" w:hAnsiTheme="majorHAnsi" w:cstheme="majorHAnsi"/>
          <w:sz w:val="23"/>
          <w:szCs w:val="23"/>
          <w:lang w:val="en-GB"/>
        </w:rPr>
        <w:t>ocal leadership programs (in partnership with schools and G21)</w:t>
      </w:r>
      <w:r>
        <w:rPr>
          <w:rFonts w:asciiTheme="majorHAnsi" w:eastAsia="Calibri Light" w:hAnsiTheme="majorHAnsi" w:cstheme="majorHAnsi"/>
          <w:sz w:val="23"/>
          <w:szCs w:val="23"/>
          <w:lang w:val="en-GB"/>
        </w:rPr>
        <w:t>.</w:t>
      </w:r>
    </w:p>
    <w:p w14:paraId="78042DCE" w14:textId="79A31F71" w:rsidR="00F00E3D" w:rsidRPr="00552857" w:rsidRDefault="00F00E3D" w:rsidP="00364C5D">
      <w:pPr>
        <w:pStyle w:val="ListParagraph"/>
        <w:numPr>
          <w:ilvl w:val="0"/>
          <w:numId w:val="57"/>
        </w:numPr>
        <w:spacing w:line="276" w:lineRule="auto"/>
        <w:rPr>
          <w:rFonts w:asciiTheme="majorHAnsi" w:eastAsiaTheme="minorEastAsia" w:hAnsiTheme="majorHAnsi" w:cstheme="majorHAnsi"/>
          <w:sz w:val="23"/>
          <w:szCs w:val="23"/>
        </w:rPr>
      </w:pPr>
      <w:r w:rsidRPr="00552857">
        <w:rPr>
          <w:rFonts w:asciiTheme="majorHAnsi" w:eastAsia="Calibri Light" w:hAnsiTheme="majorHAnsi" w:cstheme="majorHAnsi"/>
          <w:sz w:val="23"/>
          <w:szCs w:val="23"/>
          <w:lang w:val="en-GB"/>
        </w:rPr>
        <w:t xml:space="preserve">Further </w:t>
      </w:r>
      <w:r w:rsidRPr="63D43B28">
        <w:rPr>
          <w:rFonts w:asciiTheme="majorHAnsi" w:eastAsia="Calibri Light" w:hAnsiTheme="majorHAnsi" w:cstheme="majorBidi"/>
          <w:sz w:val="23"/>
          <w:szCs w:val="23"/>
          <w:lang w:val="en-GB"/>
        </w:rPr>
        <w:t>explore local</w:t>
      </w:r>
      <w:r w:rsidRPr="00552857">
        <w:rPr>
          <w:rFonts w:asciiTheme="majorHAnsi" w:eastAsia="Calibri Light" w:hAnsiTheme="majorHAnsi" w:cstheme="majorHAnsi"/>
          <w:sz w:val="23"/>
          <w:szCs w:val="23"/>
          <w:lang w:val="en-GB"/>
        </w:rPr>
        <w:t xml:space="preserve"> employment expansion </w:t>
      </w:r>
      <w:r w:rsidRPr="63D43B28">
        <w:rPr>
          <w:rFonts w:asciiTheme="majorHAnsi" w:eastAsia="Calibri Light" w:hAnsiTheme="majorHAnsi" w:cstheme="majorBidi"/>
          <w:sz w:val="23"/>
          <w:szCs w:val="23"/>
          <w:lang w:val="en-GB"/>
        </w:rPr>
        <w:t>options</w:t>
      </w:r>
      <w:r w:rsidRPr="00552857">
        <w:rPr>
          <w:rFonts w:asciiTheme="majorHAnsi" w:eastAsia="Calibri Light" w:hAnsiTheme="majorHAnsi" w:cstheme="majorHAnsi"/>
          <w:sz w:val="23"/>
          <w:szCs w:val="23"/>
          <w:lang w:val="en-GB"/>
        </w:rPr>
        <w:t>, such as construction, health, aged and disability care, as sectors where more locals can be trained and employed</w:t>
      </w:r>
      <w:r w:rsidR="00533821">
        <w:rPr>
          <w:rFonts w:asciiTheme="majorHAnsi" w:eastAsia="Calibri Light" w:hAnsiTheme="majorHAnsi" w:cstheme="majorHAnsi"/>
          <w:sz w:val="23"/>
          <w:szCs w:val="23"/>
          <w:lang w:val="en-GB"/>
        </w:rPr>
        <w:t>.</w:t>
      </w:r>
    </w:p>
    <w:p w14:paraId="535E32CB" w14:textId="1DA0E462" w:rsidR="00F00E3D" w:rsidRPr="00552857" w:rsidRDefault="00F00E3D" w:rsidP="00364C5D">
      <w:pPr>
        <w:pStyle w:val="ListParagraph"/>
        <w:numPr>
          <w:ilvl w:val="0"/>
          <w:numId w:val="57"/>
        </w:numPr>
        <w:spacing w:line="276" w:lineRule="auto"/>
        <w:rPr>
          <w:rFonts w:asciiTheme="majorHAnsi" w:eastAsiaTheme="minorEastAsia" w:hAnsiTheme="majorHAnsi" w:cstheme="majorBidi"/>
          <w:sz w:val="23"/>
          <w:szCs w:val="23"/>
        </w:rPr>
      </w:pPr>
      <w:r w:rsidRPr="39226A36">
        <w:rPr>
          <w:rFonts w:asciiTheme="majorHAnsi" w:eastAsia="Calibri Light" w:hAnsiTheme="majorHAnsi" w:cstheme="majorBidi"/>
          <w:sz w:val="23"/>
          <w:szCs w:val="23"/>
          <w:lang w:val="en-GB"/>
        </w:rPr>
        <w:t>More active outreach to long</w:t>
      </w:r>
      <w:r w:rsidRPr="63D43B28">
        <w:rPr>
          <w:rFonts w:asciiTheme="majorHAnsi" w:eastAsia="Calibri Light" w:hAnsiTheme="majorHAnsi" w:cstheme="majorBidi"/>
          <w:sz w:val="23"/>
          <w:szCs w:val="23"/>
          <w:lang w:val="en-GB"/>
        </w:rPr>
        <w:t>-</w:t>
      </w:r>
      <w:r w:rsidRPr="39226A36">
        <w:rPr>
          <w:rFonts w:asciiTheme="majorHAnsi" w:eastAsia="Calibri Light" w:hAnsiTheme="majorHAnsi" w:cstheme="majorBidi"/>
          <w:sz w:val="23"/>
          <w:szCs w:val="23"/>
          <w:lang w:val="en-GB"/>
        </w:rPr>
        <w:t xml:space="preserve">term </w:t>
      </w:r>
      <w:r w:rsidRPr="63D43B28">
        <w:rPr>
          <w:rFonts w:asciiTheme="majorHAnsi" w:eastAsia="Calibri Light" w:hAnsiTheme="majorHAnsi" w:cstheme="majorBidi"/>
          <w:sz w:val="23"/>
          <w:szCs w:val="23"/>
          <w:lang w:val="en-GB"/>
        </w:rPr>
        <w:t xml:space="preserve">unemployed </w:t>
      </w:r>
      <w:r w:rsidRPr="25A5A516">
        <w:rPr>
          <w:rFonts w:asciiTheme="majorHAnsi" w:eastAsia="Calibri Light" w:hAnsiTheme="majorHAnsi" w:cstheme="majorBidi"/>
          <w:sz w:val="23"/>
          <w:szCs w:val="23"/>
          <w:lang w:val="en-GB"/>
        </w:rPr>
        <w:t>people</w:t>
      </w:r>
      <w:r w:rsidRPr="39226A36">
        <w:rPr>
          <w:rFonts w:asciiTheme="majorHAnsi" w:eastAsia="Calibri Light" w:hAnsiTheme="majorHAnsi" w:cstheme="majorBidi"/>
          <w:sz w:val="23"/>
          <w:szCs w:val="23"/>
          <w:lang w:val="en-GB"/>
        </w:rPr>
        <w:t xml:space="preserve"> to engage them into existing programs</w:t>
      </w:r>
      <w:r w:rsidRPr="25A5A516">
        <w:rPr>
          <w:rFonts w:asciiTheme="majorHAnsi" w:eastAsia="Calibri Light" w:hAnsiTheme="majorHAnsi" w:cstheme="majorBidi"/>
          <w:sz w:val="23"/>
          <w:szCs w:val="23"/>
          <w:lang w:val="en-GB"/>
        </w:rPr>
        <w:t>,</w:t>
      </w:r>
      <w:r w:rsidRPr="39226A36">
        <w:rPr>
          <w:rFonts w:asciiTheme="majorHAnsi" w:eastAsia="Calibri Light" w:hAnsiTheme="majorHAnsi" w:cstheme="majorBidi"/>
          <w:sz w:val="23"/>
          <w:szCs w:val="23"/>
          <w:lang w:val="en-GB"/>
        </w:rPr>
        <w:t xml:space="preserve"> or custom</w:t>
      </w:r>
      <w:r w:rsidR="00D95A57">
        <w:rPr>
          <w:rFonts w:asciiTheme="majorHAnsi" w:eastAsia="Calibri Light" w:hAnsiTheme="majorHAnsi" w:cstheme="majorBidi"/>
          <w:sz w:val="23"/>
          <w:szCs w:val="23"/>
          <w:lang w:val="en-GB"/>
        </w:rPr>
        <w:t>-</w:t>
      </w:r>
      <w:r w:rsidRPr="39226A36">
        <w:rPr>
          <w:rFonts w:asciiTheme="majorHAnsi" w:eastAsia="Calibri Light" w:hAnsiTheme="majorHAnsi" w:cstheme="majorBidi"/>
          <w:sz w:val="23"/>
          <w:szCs w:val="23"/>
          <w:lang w:val="en-GB"/>
        </w:rPr>
        <w:t>design programs to meet their needs.</w:t>
      </w:r>
    </w:p>
    <w:p w14:paraId="5FCF726E" w14:textId="77777777" w:rsidR="00F00E3D" w:rsidRDefault="00F00E3D" w:rsidP="00364C5D">
      <w:pPr>
        <w:pStyle w:val="ListParagraph"/>
        <w:numPr>
          <w:ilvl w:val="0"/>
          <w:numId w:val="57"/>
        </w:numPr>
        <w:spacing w:line="276" w:lineRule="auto"/>
        <w:rPr>
          <w:rFonts w:asciiTheme="majorHAnsi" w:eastAsiaTheme="majorEastAsia" w:hAnsiTheme="majorHAnsi" w:cstheme="majorBidi"/>
          <w:sz w:val="23"/>
          <w:szCs w:val="23"/>
        </w:rPr>
      </w:pPr>
      <w:r w:rsidRPr="4D79C869">
        <w:rPr>
          <w:rFonts w:asciiTheme="majorHAnsi" w:hAnsiTheme="majorHAnsi" w:cstheme="majorBidi"/>
          <w:sz w:val="23"/>
          <w:szCs w:val="23"/>
        </w:rPr>
        <w:t>Revitalise old industrial precincts and retail strips as employment hubs.</w:t>
      </w:r>
    </w:p>
    <w:p w14:paraId="3465DA40" w14:textId="54BAC2D4" w:rsidR="00F00E3D" w:rsidRPr="00856CD1" w:rsidRDefault="00F00E3D" w:rsidP="00364C5D">
      <w:pPr>
        <w:pStyle w:val="ListParagraph"/>
        <w:numPr>
          <w:ilvl w:val="0"/>
          <w:numId w:val="57"/>
        </w:numPr>
        <w:spacing w:line="276" w:lineRule="auto"/>
        <w:rPr>
          <w:sz w:val="23"/>
          <w:szCs w:val="23"/>
        </w:rPr>
      </w:pPr>
      <w:r w:rsidRPr="72EF3811">
        <w:rPr>
          <w:rFonts w:asciiTheme="majorHAnsi" w:hAnsiTheme="majorHAnsi" w:cstheme="majorBidi"/>
          <w:sz w:val="23"/>
          <w:szCs w:val="23"/>
        </w:rPr>
        <w:t>Capitalise on the projected residential growth in the</w:t>
      </w:r>
      <w:r w:rsidR="00856CD1">
        <w:rPr>
          <w:rFonts w:asciiTheme="majorHAnsi" w:hAnsiTheme="majorHAnsi" w:cstheme="majorBidi"/>
          <w:sz w:val="23"/>
          <w:szCs w:val="23"/>
        </w:rPr>
        <w:t xml:space="preserve"> city’s</w:t>
      </w:r>
      <w:r w:rsidRPr="72EF3811">
        <w:rPr>
          <w:rFonts w:asciiTheme="majorHAnsi" w:hAnsiTheme="majorHAnsi" w:cstheme="majorBidi"/>
          <w:sz w:val="23"/>
          <w:szCs w:val="23"/>
        </w:rPr>
        <w:t xml:space="preserve"> North West corridor, primarily the increase in construction employment possibilities.</w:t>
      </w:r>
    </w:p>
    <w:p w14:paraId="1BD11530" w14:textId="14C8C813" w:rsidR="00856CD1" w:rsidRDefault="00856CD1" w:rsidP="00364C5D">
      <w:pPr>
        <w:pStyle w:val="ListParagraph"/>
        <w:numPr>
          <w:ilvl w:val="0"/>
          <w:numId w:val="57"/>
        </w:numPr>
        <w:spacing w:line="276" w:lineRule="auto"/>
        <w:rPr>
          <w:sz w:val="23"/>
          <w:szCs w:val="23"/>
        </w:rPr>
      </w:pPr>
      <w:r>
        <w:rPr>
          <w:rFonts w:asciiTheme="majorHAnsi" w:hAnsiTheme="majorHAnsi" w:cstheme="majorBidi"/>
          <w:sz w:val="23"/>
          <w:szCs w:val="23"/>
        </w:rPr>
        <w:t>Explore</w:t>
      </w:r>
      <w:r w:rsidR="00D95A57">
        <w:rPr>
          <w:rFonts w:asciiTheme="majorHAnsi" w:hAnsiTheme="majorHAnsi" w:cstheme="majorBidi"/>
          <w:sz w:val="23"/>
          <w:szCs w:val="23"/>
        </w:rPr>
        <w:t xml:space="preserve"> </w:t>
      </w:r>
      <w:r w:rsidR="009B13B7">
        <w:rPr>
          <w:rFonts w:asciiTheme="majorHAnsi" w:hAnsiTheme="majorHAnsi" w:cstheme="majorBidi"/>
          <w:sz w:val="23"/>
          <w:szCs w:val="23"/>
        </w:rPr>
        <w:t xml:space="preserve">and tap into </w:t>
      </w:r>
      <w:r w:rsidR="00D95A57">
        <w:rPr>
          <w:rFonts w:asciiTheme="majorHAnsi" w:hAnsiTheme="majorHAnsi" w:cstheme="majorBidi"/>
          <w:sz w:val="23"/>
          <w:szCs w:val="23"/>
        </w:rPr>
        <w:t>relevant</w:t>
      </w:r>
      <w:r>
        <w:rPr>
          <w:rFonts w:asciiTheme="majorHAnsi" w:hAnsiTheme="majorHAnsi" w:cstheme="majorBidi"/>
          <w:sz w:val="23"/>
          <w:szCs w:val="23"/>
        </w:rPr>
        <w:t xml:space="preserve"> funding opportunities</w:t>
      </w:r>
      <w:r w:rsidR="00EE7F97">
        <w:rPr>
          <w:rFonts w:asciiTheme="majorHAnsi" w:hAnsiTheme="majorHAnsi" w:cstheme="majorBidi"/>
          <w:sz w:val="23"/>
          <w:szCs w:val="23"/>
        </w:rPr>
        <w:t xml:space="preserve"> </w:t>
      </w:r>
      <w:r>
        <w:rPr>
          <w:rFonts w:asciiTheme="majorHAnsi" w:hAnsiTheme="majorHAnsi" w:cstheme="majorBidi"/>
          <w:sz w:val="23"/>
          <w:szCs w:val="23"/>
        </w:rPr>
        <w:t xml:space="preserve">(such as </w:t>
      </w:r>
      <w:r w:rsidR="00CF701B">
        <w:rPr>
          <w:rFonts w:asciiTheme="majorHAnsi" w:hAnsiTheme="majorHAnsi" w:cstheme="majorBidi"/>
          <w:sz w:val="23"/>
          <w:szCs w:val="23"/>
        </w:rPr>
        <w:t xml:space="preserve">the </w:t>
      </w:r>
      <w:r w:rsidR="00EE7F97">
        <w:rPr>
          <w:rFonts w:asciiTheme="majorHAnsi" w:hAnsiTheme="majorHAnsi" w:cstheme="majorBidi"/>
          <w:sz w:val="23"/>
          <w:szCs w:val="23"/>
        </w:rPr>
        <w:t xml:space="preserve">new </w:t>
      </w:r>
      <w:r>
        <w:rPr>
          <w:rFonts w:asciiTheme="majorHAnsi" w:hAnsiTheme="majorHAnsi" w:cstheme="majorBidi"/>
          <w:sz w:val="23"/>
          <w:szCs w:val="23"/>
        </w:rPr>
        <w:t>Jobs Victoria Fund).</w:t>
      </w:r>
    </w:p>
    <w:p w14:paraId="24107F63" w14:textId="6AEF46B9" w:rsidR="00623929" w:rsidRDefault="00F00E3D" w:rsidP="00CA55EA">
      <w:pPr>
        <w:spacing w:line="276" w:lineRule="auto"/>
        <w:rPr>
          <w:rFonts w:asciiTheme="majorHAnsi" w:eastAsiaTheme="majorEastAsia" w:hAnsiTheme="majorHAnsi" w:cstheme="majorBidi"/>
          <w:color w:val="525252" w:themeColor="accent3" w:themeShade="80"/>
          <w:sz w:val="23"/>
          <w:szCs w:val="23"/>
        </w:rPr>
      </w:pPr>
      <w:r w:rsidRPr="003579A6">
        <w:rPr>
          <w:rFonts w:eastAsiaTheme="majorEastAsia" w:cstheme="minorHAnsi"/>
          <w:b/>
          <w:bCs/>
          <w:color w:val="525252" w:themeColor="accent3" w:themeShade="80"/>
          <w:sz w:val="23"/>
          <w:szCs w:val="23"/>
        </w:rPr>
        <w:t xml:space="preserve">Relevant </w:t>
      </w:r>
      <w:r w:rsidR="00AD2DA5">
        <w:rPr>
          <w:rFonts w:eastAsiaTheme="majorEastAsia" w:cstheme="minorHAnsi"/>
          <w:b/>
          <w:bCs/>
          <w:color w:val="525252" w:themeColor="accent3" w:themeShade="80"/>
          <w:sz w:val="23"/>
          <w:szCs w:val="23"/>
        </w:rPr>
        <w:t>Case Studies</w:t>
      </w:r>
      <w:r w:rsidRPr="003579A6">
        <w:rPr>
          <w:rFonts w:eastAsiaTheme="majorEastAsia" w:cstheme="minorHAnsi"/>
          <w:b/>
          <w:bCs/>
          <w:color w:val="525252" w:themeColor="accent3" w:themeShade="80"/>
          <w:sz w:val="23"/>
          <w:szCs w:val="23"/>
        </w:rPr>
        <w:t>:</w:t>
      </w:r>
      <w:r w:rsidRPr="502830E4">
        <w:rPr>
          <w:rFonts w:asciiTheme="majorHAnsi" w:eastAsiaTheme="majorEastAsia" w:hAnsiTheme="majorHAnsi" w:cstheme="majorBidi"/>
          <w:b/>
          <w:bCs/>
          <w:color w:val="525252" w:themeColor="accent3" w:themeShade="80"/>
          <w:sz w:val="23"/>
          <w:szCs w:val="23"/>
        </w:rPr>
        <w:t xml:space="preserve"> </w:t>
      </w:r>
      <w:r w:rsidRPr="502830E4">
        <w:rPr>
          <w:rFonts w:asciiTheme="majorHAnsi" w:eastAsiaTheme="majorEastAsia" w:hAnsiTheme="majorHAnsi" w:cstheme="majorBidi"/>
          <w:color w:val="525252" w:themeColor="accent3" w:themeShade="80"/>
          <w:sz w:val="23"/>
          <w:szCs w:val="23"/>
        </w:rPr>
        <w:t xml:space="preserve"> GROW, Geelong </w:t>
      </w:r>
      <w:r w:rsidR="00B6458B">
        <w:rPr>
          <w:rFonts w:asciiTheme="majorHAnsi" w:eastAsiaTheme="majorEastAsia" w:hAnsiTheme="majorHAnsi" w:cstheme="majorBidi"/>
          <w:color w:val="525252" w:themeColor="accent3" w:themeShade="80"/>
          <w:sz w:val="23"/>
          <w:szCs w:val="23"/>
        </w:rPr>
        <w:t>(p.61)</w:t>
      </w:r>
      <w:r w:rsidRPr="502830E4">
        <w:rPr>
          <w:rFonts w:asciiTheme="majorHAnsi" w:eastAsiaTheme="majorEastAsia" w:hAnsiTheme="majorHAnsi" w:cstheme="majorBidi"/>
          <w:color w:val="525252" w:themeColor="accent3" w:themeShade="80"/>
          <w:sz w:val="23"/>
          <w:szCs w:val="23"/>
        </w:rPr>
        <w:t xml:space="preserve">; Whittington Works, Geelong </w:t>
      </w:r>
      <w:r w:rsidR="00B6458B">
        <w:rPr>
          <w:rFonts w:asciiTheme="majorHAnsi" w:eastAsiaTheme="majorEastAsia" w:hAnsiTheme="majorHAnsi" w:cstheme="majorBidi"/>
          <w:color w:val="525252" w:themeColor="accent3" w:themeShade="80"/>
          <w:sz w:val="23"/>
          <w:szCs w:val="23"/>
        </w:rPr>
        <w:t>(p.60)</w:t>
      </w:r>
      <w:r w:rsidRPr="502830E4">
        <w:rPr>
          <w:rFonts w:asciiTheme="majorHAnsi" w:eastAsiaTheme="majorEastAsia" w:hAnsiTheme="majorHAnsi" w:cstheme="majorBidi"/>
          <w:color w:val="525252" w:themeColor="accent3" w:themeShade="80"/>
          <w:sz w:val="23"/>
          <w:szCs w:val="23"/>
        </w:rPr>
        <w:t>; Neighbourhood Renewal</w:t>
      </w:r>
      <w:r w:rsidR="00B6458B">
        <w:rPr>
          <w:rFonts w:asciiTheme="majorHAnsi" w:eastAsiaTheme="majorEastAsia" w:hAnsiTheme="majorHAnsi" w:cstheme="majorBidi"/>
          <w:color w:val="525252" w:themeColor="accent3" w:themeShade="80"/>
          <w:sz w:val="23"/>
          <w:szCs w:val="23"/>
        </w:rPr>
        <w:t xml:space="preserve"> Program</w:t>
      </w:r>
      <w:r w:rsidRPr="502830E4">
        <w:rPr>
          <w:rFonts w:asciiTheme="majorHAnsi" w:eastAsiaTheme="majorEastAsia" w:hAnsiTheme="majorHAnsi" w:cstheme="majorBidi"/>
          <w:color w:val="525252" w:themeColor="accent3" w:themeShade="80"/>
          <w:sz w:val="23"/>
          <w:szCs w:val="23"/>
        </w:rPr>
        <w:t>, Victoria</w:t>
      </w:r>
      <w:r w:rsidR="00B6458B">
        <w:rPr>
          <w:rFonts w:asciiTheme="majorHAnsi" w:eastAsiaTheme="majorEastAsia" w:hAnsiTheme="majorHAnsi" w:cstheme="majorBidi"/>
          <w:color w:val="525252" w:themeColor="accent3" w:themeShade="80"/>
          <w:sz w:val="23"/>
          <w:szCs w:val="23"/>
        </w:rPr>
        <w:t xml:space="preserve"> (p.66)</w:t>
      </w:r>
      <w:r w:rsidRPr="502830E4">
        <w:rPr>
          <w:rFonts w:asciiTheme="majorHAnsi" w:eastAsiaTheme="majorEastAsia" w:hAnsiTheme="majorHAnsi" w:cstheme="majorBidi"/>
          <w:color w:val="525252" w:themeColor="accent3" w:themeShade="80"/>
          <w:sz w:val="23"/>
          <w:szCs w:val="23"/>
        </w:rPr>
        <w:t xml:space="preserve">; Sustainable South Bronx Project, New York </w:t>
      </w:r>
      <w:r w:rsidR="00B6458B">
        <w:rPr>
          <w:rFonts w:asciiTheme="majorHAnsi" w:eastAsiaTheme="majorEastAsia" w:hAnsiTheme="majorHAnsi" w:cstheme="majorBidi"/>
          <w:color w:val="525252" w:themeColor="accent3" w:themeShade="80"/>
          <w:sz w:val="23"/>
          <w:szCs w:val="23"/>
        </w:rPr>
        <w:t>(p.73)</w:t>
      </w:r>
      <w:r w:rsidRPr="502830E4">
        <w:rPr>
          <w:rFonts w:asciiTheme="majorHAnsi" w:eastAsiaTheme="majorEastAsia" w:hAnsiTheme="majorHAnsi" w:cstheme="majorBidi"/>
          <w:color w:val="525252" w:themeColor="accent3" w:themeShade="80"/>
          <w:sz w:val="23"/>
          <w:szCs w:val="23"/>
        </w:rPr>
        <w:t xml:space="preserve">; Oslo Living Lab, Norway </w:t>
      </w:r>
      <w:r w:rsidR="00505AB0">
        <w:rPr>
          <w:rFonts w:ascii="Calibri" w:eastAsia="Calibri" w:hAnsi="Calibri" w:cs="Calibri"/>
          <w:color w:val="525252" w:themeColor="accent3" w:themeShade="80"/>
        </w:rPr>
        <w:t>(</w:t>
      </w:r>
      <w:r w:rsidRPr="502830E4">
        <w:rPr>
          <w:rFonts w:asciiTheme="majorHAnsi" w:eastAsiaTheme="majorEastAsia" w:hAnsiTheme="majorHAnsi" w:cstheme="majorBidi"/>
          <w:color w:val="525252" w:themeColor="accent3" w:themeShade="80"/>
          <w:sz w:val="23"/>
          <w:szCs w:val="23"/>
        </w:rPr>
        <w:t>Rooftop Garden + Circular Business Model</w:t>
      </w:r>
      <w:r w:rsidR="00505AB0">
        <w:rPr>
          <w:rFonts w:asciiTheme="majorHAnsi" w:eastAsiaTheme="majorEastAsia" w:hAnsiTheme="majorHAnsi" w:cstheme="majorBidi"/>
          <w:color w:val="525252" w:themeColor="accent3" w:themeShade="80"/>
          <w:sz w:val="23"/>
          <w:szCs w:val="23"/>
        </w:rPr>
        <w:t>)</w:t>
      </w:r>
      <w:r w:rsidRPr="502830E4">
        <w:rPr>
          <w:rFonts w:asciiTheme="majorHAnsi" w:eastAsiaTheme="majorEastAsia" w:hAnsiTheme="majorHAnsi" w:cstheme="majorBidi"/>
          <w:color w:val="525252" w:themeColor="accent3" w:themeShade="80"/>
          <w:sz w:val="23"/>
          <w:szCs w:val="23"/>
        </w:rPr>
        <w:t xml:space="preserve"> </w:t>
      </w:r>
      <w:r w:rsidR="00B6458B">
        <w:rPr>
          <w:rFonts w:asciiTheme="majorHAnsi" w:eastAsiaTheme="majorEastAsia" w:hAnsiTheme="majorHAnsi" w:cstheme="majorBidi"/>
          <w:color w:val="525252" w:themeColor="accent3" w:themeShade="80"/>
          <w:sz w:val="23"/>
          <w:szCs w:val="23"/>
        </w:rPr>
        <w:t>(p.82)</w:t>
      </w:r>
      <w:r w:rsidRPr="502830E4">
        <w:rPr>
          <w:rFonts w:asciiTheme="majorHAnsi" w:eastAsiaTheme="majorEastAsia" w:hAnsiTheme="majorHAnsi" w:cstheme="majorBidi"/>
          <w:color w:val="525252" w:themeColor="accent3" w:themeShade="80"/>
          <w:sz w:val="23"/>
          <w:szCs w:val="23"/>
        </w:rPr>
        <w:t>; We Design For Life, Kolding, Denmark</w:t>
      </w:r>
      <w:r w:rsidR="00505AB0">
        <w:rPr>
          <w:rFonts w:asciiTheme="majorHAnsi" w:eastAsiaTheme="majorEastAsia" w:hAnsiTheme="majorHAnsi" w:cstheme="majorBidi"/>
          <w:color w:val="525252" w:themeColor="accent3" w:themeShade="80"/>
          <w:sz w:val="23"/>
          <w:szCs w:val="23"/>
        </w:rPr>
        <w:t xml:space="preserve"> (</w:t>
      </w:r>
      <w:r w:rsidRPr="502830E4">
        <w:rPr>
          <w:rFonts w:asciiTheme="majorHAnsi" w:eastAsiaTheme="majorEastAsia" w:hAnsiTheme="majorHAnsi" w:cstheme="majorBidi"/>
          <w:color w:val="525252" w:themeColor="accent3" w:themeShade="80"/>
          <w:sz w:val="23"/>
          <w:szCs w:val="23"/>
        </w:rPr>
        <w:t>RE:USE circular economy project</w:t>
      </w:r>
      <w:r w:rsidR="00505AB0">
        <w:rPr>
          <w:rFonts w:asciiTheme="majorHAnsi" w:eastAsiaTheme="majorEastAsia" w:hAnsiTheme="majorHAnsi" w:cstheme="majorBidi"/>
          <w:color w:val="525252" w:themeColor="accent3" w:themeShade="80"/>
          <w:sz w:val="23"/>
          <w:szCs w:val="23"/>
        </w:rPr>
        <w:t>)</w:t>
      </w:r>
      <w:r w:rsidRPr="502830E4">
        <w:rPr>
          <w:rFonts w:asciiTheme="majorHAnsi" w:eastAsiaTheme="majorEastAsia" w:hAnsiTheme="majorHAnsi" w:cstheme="majorBidi"/>
          <w:color w:val="525252" w:themeColor="accent3" w:themeShade="80"/>
          <w:sz w:val="23"/>
          <w:szCs w:val="23"/>
        </w:rPr>
        <w:t xml:space="preserve"> </w:t>
      </w:r>
      <w:r w:rsidR="00B6458B">
        <w:rPr>
          <w:rFonts w:asciiTheme="majorHAnsi" w:eastAsiaTheme="majorEastAsia" w:hAnsiTheme="majorHAnsi" w:cstheme="majorBidi"/>
          <w:color w:val="525252" w:themeColor="accent3" w:themeShade="80"/>
          <w:sz w:val="23"/>
          <w:szCs w:val="23"/>
        </w:rPr>
        <w:t>(p.83).</w:t>
      </w:r>
    </w:p>
    <w:p w14:paraId="425D813C" w14:textId="77E447BF" w:rsidR="00F00E3D" w:rsidRPr="00C351F0" w:rsidRDefault="00F00E3D" w:rsidP="00815D3A">
      <w:pPr>
        <w:pStyle w:val="Default"/>
        <w:spacing w:line="276" w:lineRule="auto"/>
        <w:rPr>
          <w:rFonts w:eastAsia="Calibri"/>
          <w:b/>
          <w:color w:val="2E74B5" w:themeColor="accent5" w:themeShade="BF"/>
          <w:sz w:val="25"/>
          <w:szCs w:val="25"/>
        </w:rPr>
      </w:pPr>
      <w:r w:rsidRPr="00C351F0">
        <w:rPr>
          <w:rFonts w:eastAsia="Calibri"/>
          <w:b/>
          <w:color w:val="2E74B5" w:themeColor="accent5" w:themeShade="BF"/>
          <w:sz w:val="25"/>
          <w:szCs w:val="25"/>
        </w:rPr>
        <w:t>3.4 Local Health Services and Infrastructure</w:t>
      </w:r>
      <w:r w:rsidR="00AB0FF9">
        <w:rPr>
          <w:rFonts w:eastAsia="Calibri"/>
          <w:b/>
          <w:color w:val="2E74B5" w:themeColor="accent5" w:themeShade="BF"/>
          <w:sz w:val="25"/>
          <w:szCs w:val="25"/>
        </w:rPr>
        <w:t xml:space="preserve"> Initiative</w:t>
      </w:r>
    </w:p>
    <w:p w14:paraId="0BEAF34E" w14:textId="77777777" w:rsidR="00557C81" w:rsidRPr="00C11777" w:rsidRDefault="00557C81" w:rsidP="00815D3A">
      <w:pPr>
        <w:pStyle w:val="Default"/>
        <w:spacing w:line="276" w:lineRule="auto"/>
        <w:rPr>
          <w:rFonts w:eastAsia="Calibri"/>
          <w:b/>
          <w:color w:val="0070C0"/>
          <w:sz w:val="12"/>
          <w:szCs w:val="12"/>
        </w:rPr>
      </w:pPr>
    </w:p>
    <w:p w14:paraId="1833BA2F" w14:textId="25635BDF" w:rsidR="00F00E3D" w:rsidRDefault="00F00E3D" w:rsidP="00815D3A">
      <w:pPr>
        <w:spacing w:line="276" w:lineRule="auto"/>
        <w:rPr>
          <w:rFonts w:asciiTheme="majorHAnsi" w:hAnsiTheme="majorHAnsi" w:cstheme="majorBidi"/>
          <w:sz w:val="23"/>
          <w:szCs w:val="23"/>
        </w:rPr>
      </w:pPr>
      <w:r w:rsidRPr="3EA87273">
        <w:rPr>
          <w:rFonts w:asciiTheme="majorHAnsi" w:hAnsiTheme="majorHAnsi" w:cstheme="majorBidi"/>
          <w:sz w:val="23"/>
          <w:szCs w:val="23"/>
        </w:rPr>
        <w:t xml:space="preserve">The pandemic </w:t>
      </w:r>
      <w:r w:rsidRPr="0E3C9592">
        <w:rPr>
          <w:rFonts w:asciiTheme="majorHAnsi" w:hAnsiTheme="majorHAnsi" w:cstheme="majorBidi"/>
          <w:sz w:val="23"/>
          <w:szCs w:val="23"/>
        </w:rPr>
        <w:t>has</w:t>
      </w:r>
      <w:r w:rsidRPr="3EA87273">
        <w:rPr>
          <w:rFonts w:asciiTheme="majorHAnsi" w:hAnsiTheme="majorHAnsi" w:cstheme="majorBidi"/>
          <w:sz w:val="23"/>
          <w:szCs w:val="23"/>
        </w:rPr>
        <w:t xml:space="preserve"> </w:t>
      </w:r>
      <w:r w:rsidR="00033DCA">
        <w:rPr>
          <w:rFonts w:asciiTheme="majorHAnsi" w:hAnsiTheme="majorHAnsi" w:cstheme="majorBidi"/>
          <w:sz w:val="23"/>
          <w:szCs w:val="23"/>
        </w:rPr>
        <w:t>underlined the fact that</w:t>
      </w:r>
      <w:r w:rsidRPr="3EA87273">
        <w:rPr>
          <w:rFonts w:asciiTheme="majorHAnsi" w:hAnsiTheme="majorHAnsi" w:cstheme="majorBidi"/>
          <w:sz w:val="23"/>
          <w:szCs w:val="23"/>
        </w:rPr>
        <w:t xml:space="preserve"> Corio, Norlane</w:t>
      </w:r>
      <w:r w:rsidR="00C11777">
        <w:rPr>
          <w:rFonts w:asciiTheme="majorHAnsi" w:hAnsiTheme="majorHAnsi" w:cstheme="majorBidi"/>
          <w:sz w:val="23"/>
          <w:szCs w:val="23"/>
        </w:rPr>
        <w:t>,</w:t>
      </w:r>
      <w:r w:rsidRPr="3EA87273">
        <w:rPr>
          <w:rFonts w:asciiTheme="majorHAnsi" w:hAnsiTheme="majorHAnsi" w:cstheme="majorBidi"/>
          <w:sz w:val="23"/>
          <w:szCs w:val="23"/>
        </w:rPr>
        <w:t xml:space="preserve"> and </w:t>
      </w:r>
      <w:r w:rsidRPr="0E3C9592">
        <w:rPr>
          <w:rFonts w:asciiTheme="majorHAnsi" w:hAnsiTheme="majorHAnsi" w:cstheme="majorBidi"/>
          <w:sz w:val="23"/>
          <w:szCs w:val="23"/>
        </w:rPr>
        <w:t>Whittington</w:t>
      </w:r>
      <w:r w:rsidRPr="3EA87273">
        <w:rPr>
          <w:rFonts w:asciiTheme="majorHAnsi" w:hAnsiTheme="majorHAnsi" w:cstheme="majorBidi"/>
          <w:sz w:val="23"/>
          <w:szCs w:val="23"/>
        </w:rPr>
        <w:t xml:space="preserve"> </w:t>
      </w:r>
      <w:r w:rsidRPr="1EB97985">
        <w:rPr>
          <w:rFonts w:asciiTheme="majorHAnsi" w:hAnsiTheme="majorHAnsi" w:cstheme="majorBidi"/>
          <w:sz w:val="23"/>
          <w:szCs w:val="23"/>
        </w:rPr>
        <w:t xml:space="preserve">residents </w:t>
      </w:r>
      <w:r w:rsidRPr="3EA87273">
        <w:rPr>
          <w:rFonts w:asciiTheme="majorHAnsi" w:hAnsiTheme="majorHAnsi" w:cstheme="majorBidi"/>
          <w:sz w:val="23"/>
          <w:szCs w:val="23"/>
        </w:rPr>
        <w:t xml:space="preserve">have a range of unmet health needs, and that </w:t>
      </w:r>
      <w:r w:rsidRPr="1EB97985">
        <w:rPr>
          <w:rFonts w:asciiTheme="majorHAnsi" w:hAnsiTheme="majorHAnsi" w:cstheme="majorBidi"/>
          <w:sz w:val="23"/>
          <w:szCs w:val="23"/>
        </w:rPr>
        <w:t xml:space="preserve">community </w:t>
      </w:r>
      <w:r w:rsidRPr="3EA87273">
        <w:rPr>
          <w:rFonts w:asciiTheme="majorHAnsi" w:hAnsiTheme="majorHAnsi" w:cstheme="majorBidi"/>
          <w:sz w:val="23"/>
          <w:szCs w:val="23"/>
        </w:rPr>
        <w:t xml:space="preserve">health </w:t>
      </w:r>
      <w:r w:rsidRPr="25A5A516">
        <w:rPr>
          <w:rFonts w:asciiTheme="majorHAnsi" w:hAnsiTheme="majorHAnsi" w:cstheme="majorBidi"/>
          <w:sz w:val="23"/>
          <w:szCs w:val="23"/>
        </w:rPr>
        <w:t>outcomes urgently</w:t>
      </w:r>
      <w:r w:rsidRPr="725A9B61">
        <w:rPr>
          <w:rFonts w:asciiTheme="majorHAnsi" w:hAnsiTheme="majorHAnsi" w:cstheme="majorBidi"/>
          <w:sz w:val="23"/>
          <w:szCs w:val="23"/>
        </w:rPr>
        <w:t xml:space="preserve"> </w:t>
      </w:r>
      <w:r w:rsidRPr="60E77707">
        <w:rPr>
          <w:rFonts w:asciiTheme="majorHAnsi" w:hAnsiTheme="majorHAnsi" w:cstheme="majorBidi"/>
          <w:sz w:val="23"/>
          <w:szCs w:val="23"/>
        </w:rPr>
        <w:t>need to be improved.</w:t>
      </w:r>
      <w:r w:rsidRPr="3EA87273">
        <w:rPr>
          <w:rFonts w:asciiTheme="majorHAnsi" w:hAnsiTheme="majorHAnsi" w:cstheme="majorBidi"/>
          <w:sz w:val="23"/>
          <w:szCs w:val="23"/>
        </w:rPr>
        <w:t xml:space="preserve"> </w:t>
      </w:r>
      <w:r w:rsidRPr="0E3C9592">
        <w:rPr>
          <w:rFonts w:asciiTheme="majorHAnsi" w:hAnsiTheme="majorHAnsi" w:cstheme="majorBidi"/>
          <w:sz w:val="23"/>
          <w:szCs w:val="23"/>
        </w:rPr>
        <w:t>Our consultations identified both service gaps and access problems.</w:t>
      </w:r>
    </w:p>
    <w:p w14:paraId="137A5952" w14:textId="4338424E" w:rsidR="00F00E3D" w:rsidRDefault="00F00E3D" w:rsidP="00815D3A">
      <w:pPr>
        <w:spacing w:line="276" w:lineRule="auto"/>
        <w:rPr>
          <w:rFonts w:asciiTheme="majorHAnsi" w:hAnsiTheme="majorHAnsi" w:cstheme="majorBidi"/>
          <w:sz w:val="23"/>
          <w:szCs w:val="23"/>
        </w:rPr>
      </w:pPr>
      <w:r w:rsidRPr="502830E4">
        <w:rPr>
          <w:rFonts w:asciiTheme="majorHAnsi" w:hAnsiTheme="majorHAnsi" w:cstheme="majorBidi"/>
          <w:sz w:val="23"/>
          <w:szCs w:val="23"/>
        </w:rPr>
        <w:lastRenderedPageBreak/>
        <w:t xml:space="preserve">The </w:t>
      </w:r>
      <w:r w:rsidRPr="6BA363F9">
        <w:rPr>
          <w:rFonts w:asciiTheme="majorHAnsi" w:hAnsiTheme="majorHAnsi" w:cstheme="majorBidi"/>
          <w:sz w:val="23"/>
          <w:szCs w:val="23"/>
        </w:rPr>
        <w:t>Local Health Services</w:t>
      </w:r>
      <w:r w:rsidRPr="502830E4">
        <w:rPr>
          <w:rFonts w:asciiTheme="majorHAnsi" w:hAnsiTheme="majorHAnsi" w:cstheme="majorBidi"/>
          <w:sz w:val="23"/>
          <w:szCs w:val="23"/>
        </w:rPr>
        <w:t xml:space="preserve"> and </w:t>
      </w:r>
      <w:r w:rsidRPr="6BA363F9">
        <w:rPr>
          <w:rFonts w:asciiTheme="majorHAnsi" w:hAnsiTheme="majorHAnsi" w:cstheme="majorBidi"/>
          <w:sz w:val="23"/>
          <w:szCs w:val="23"/>
        </w:rPr>
        <w:t>Infrastructure</w:t>
      </w:r>
      <w:r w:rsidRPr="502830E4">
        <w:rPr>
          <w:rFonts w:asciiTheme="majorHAnsi" w:hAnsiTheme="majorHAnsi" w:cstheme="majorBidi"/>
          <w:sz w:val="23"/>
          <w:szCs w:val="23"/>
        </w:rPr>
        <w:t xml:space="preserve"> initiative aims to ensure residents can </w:t>
      </w:r>
      <w:r w:rsidRPr="725A9B61">
        <w:rPr>
          <w:rFonts w:asciiTheme="majorHAnsi" w:hAnsiTheme="majorHAnsi" w:cstheme="majorBidi"/>
          <w:sz w:val="23"/>
          <w:szCs w:val="23"/>
        </w:rPr>
        <w:t xml:space="preserve">more </w:t>
      </w:r>
      <w:r w:rsidRPr="3EA87273">
        <w:rPr>
          <w:rFonts w:asciiTheme="majorHAnsi" w:hAnsiTheme="majorHAnsi" w:cstheme="majorBidi"/>
          <w:sz w:val="23"/>
          <w:szCs w:val="23"/>
        </w:rPr>
        <w:t xml:space="preserve">readily </w:t>
      </w:r>
      <w:r w:rsidRPr="502830E4">
        <w:rPr>
          <w:rFonts w:asciiTheme="majorHAnsi" w:hAnsiTheme="majorHAnsi" w:cstheme="majorBidi"/>
          <w:sz w:val="23"/>
          <w:szCs w:val="23"/>
        </w:rPr>
        <w:t xml:space="preserve">access the health services </w:t>
      </w:r>
      <w:r w:rsidRPr="3EA87273">
        <w:rPr>
          <w:rFonts w:asciiTheme="majorHAnsi" w:hAnsiTheme="majorHAnsi" w:cstheme="majorBidi"/>
          <w:sz w:val="23"/>
          <w:szCs w:val="23"/>
        </w:rPr>
        <w:t>they need.</w:t>
      </w:r>
      <w:r w:rsidRPr="502830E4">
        <w:rPr>
          <w:rFonts w:asciiTheme="majorHAnsi" w:hAnsiTheme="majorHAnsi" w:cstheme="majorBidi"/>
          <w:sz w:val="23"/>
          <w:szCs w:val="23"/>
        </w:rPr>
        <w:t xml:space="preserve"> Limited local access to important health infrastructure means many </w:t>
      </w:r>
      <w:r w:rsidRPr="3EA87273">
        <w:rPr>
          <w:rFonts w:asciiTheme="majorHAnsi" w:hAnsiTheme="majorHAnsi" w:cstheme="majorBidi"/>
          <w:sz w:val="23"/>
          <w:szCs w:val="23"/>
        </w:rPr>
        <w:t xml:space="preserve">existing </w:t>
      </w:r>
      <w:r w:rsidRPr="38924F7F">
        <w:rPr>
          <w:rFonts w:asciiTheme="majorHAnsi" w:hAnsiTheme="majorHAnsi" w:cstheme="majorBidi"/>
          <w:sz w:val="23"/>
          <w:szCs w:val="23"/>
        </w:rPr>
        <w:t>medical</w:t>
      </w:r>
      <w:r w:rsidRPr="502830E4">
        <w:rPr>
          <w:rFonts w:asciiTheme="majorHAnsi" w:hAnsiTheme="majorHAnsi" w:cstheme="majorBidi"/>
          <w:sz w:val="23"/>
          <w:szCs w:val="23"/>
        </w:rPr>
        <w:t xml:space="preserve"> conditions will remain untreated. </w:t>
      </w:r>
      <w:r w:rsidRPr="0E3C9592">
        <w:rPr>
          <w:rFonts w:asciiTheme="majorHAnsi" w:hAnsiTheme="majorHAnsi" w:cstheme="majorBidi"/>
          <w:sz w:val="23"/>
          <w:szCs w:val="23"/>
        </w:rPr>
        <w:t>There</w:t>
      </w:r>
      <w:r w:rsidRPr="58CD555A">
        <w:rPr>
          <w:rFonts w:asciiTheme="majorHAnsi" w:hAnsiTheme="majorHAnsi" w:cstheme="majorBidi"/>
          <w:sz w:val="23"/>
          <w:szCs w:val="23"/>
        </w:rPr>
        <w:t xml:space="preserve"> is </w:t>
      </w:r>
      <w:r w:rsidRPr="0E3C9592">
        <w:rPr>
          <w:rFonts w:asciiTheme="majorHAnsi" w:hAnsiTheme="majorHAnsi" w:cstheme="majorBidi"/>
          <w:sz w:val="23"/>
          <w:szCs w:val="23"/>
        </w:rPr>
        <w:t>a need to assess community needs,</w:t>
      </w:r>
      <w:r w:rsidRPr="60E77707">
        <w:rPr>
          <w:rFonts w:asciiTheme="majorHAnsi" w:hAnsiTheme="majorHAnsi" w:cstheme="majorBidi"/>
          <w:sz w:val="23"/>
          <w:szCs w:val="23"/>
        </w:rPr>
        <w:t xml:space="preserve"> recognise</w:t>
      </w:r>
      <w:r w:rsidR="00CA55EA">
        <w:rPr>
          <w:rFonts w:asciiTheme="majorHAnsi" w:hAnsiTheme="majorHAnsi" w:cstheme="majorBidi"/>
          <w:sz w:val="23"/>
          <w:szCs w:val="23"/>
        </w:rPr>
        <w:t xml:space="preserve"> and address</w:t>
      </w:r>
      <w:r w:rsidRPr="502830E4">
        <w:rPr>
          <w:rFonts w:asciiTheme="majorHAnsi" w:hAnsiTheme="majorHAnsi" w:cstheme="majorBidi"/>
          <w:sz w:val="23"/>
          <w:szCs w:val="23"/>
        </w:rPr>
        <w:t xml:space="preserve"> mobility</w:t>
      </w:r>
      <w:r w:rsidR="00CA55EA">
        <w:rPr>
          <w:rFonts w:asciiTheme="majorHAnsi" w:hAnsiTheme="majorHAnsi" w:cstheme="majorBidi"/>
          <w:sz w:val="23"/>
          <w:szCs w:val="23"/>
        </w:rPr>
        <w:t xml:space="preserve"> barriers</w:t>
      </w:r>
      <w:r w:rsidRPr="0E3C9592">
        <w:rPr>
          <w:rFonts w:asciiTheme="majorHAnsi" w:hAnsiTheme="majorHAnsi" w:cstheme="majorBidi"/>
          <w:sz w:val="23"/>
          <w:szCs w:val="23"/>
        </w:rPr>
        <w:t xml:space="preserve">, </w:t>
      </w:r>
      <w:r w:rsidRPr="38924F7F">
        <w:rPr>
          <w:rFonts w:asciiTheme="majorHAnsi" w:hAnsiTheme="majorHAnsi" w:cstheme="majorBidi"/>
          <w:sz w:val="23"/>
          <w:szCs w:val="23"/>
        </w:rPr>
        <w:t xml:space="preserve">adopt more holistic and collaborative systems, and </w:t>
      </w:r>
      <w:r w:rsidRPr="60E77707">
        <w:rPr>
          <w:rFonts w:asciiTheme="majorHAnsi" w:hAnsiTheme="majorHAnsi" w:cstheme="majorBidi"/>
          <w:sz w:val="23"/>
          <w:szCs w:val="23"/>
        </w:rPr>
        <w:t>make</w:t>
      </w:r>
      <w:r w:rsidRPr="502830E4">
        <w:rPr>
          <w:rFonts w:asciiTheme="majorHAnsi" w:hAnsiTheme="majorHAnsi" w:cstheme="majorBidi"/>
          <w:sz w:val="23"/>
          <w:szCs w:val="23"/>
        </w:rPr>
        <w:t xml:space="preserve"> services easier for </w:t>
      </w:r>
      <w:r w:rsidRPr="60E77707">
        <w:rPr>
          <w:rFonts w:asciiTheme="majorHAnsi" w:hAnsiTheme="majorHAnsi" w:cstheme="majorBidi"/>
          <w:sz w:val="23"/>
          <w:szCs w:val="23"/>
        </w:rPr>
        <w:t>residents</w:t>
      </w:r>
      <w:r w:rsidRPr="502830E4">
        <w:rPr>
          <w:rFonts w:asciiTheme="majorHAnsi" w:hAnsiTheme="majorHAnsi" w:cstheme="majorBidi"/>
          <w:sz w:val="23"/>
          <w:szCs w:val="23"/>
        </w:rPr>
        <w:t xml:space="preserve"> to access. This includes </w:t>
      </w:r>
      <w:r w:rsidRPr="38924F7F">
        <w:rPr>
          <w:rFonts w:asciiTheme="majorHAnsi" w:hAnsiTheme="majorHAnsi" w:cstheme="majorBidi"/>
          <w:sz w:val="23"/>
          <w:szCs w:val="23"/>
        </w:rPr>
        <w:t>providing both effective outreach programs and</w:t>
      </w:r>
      <w:r w:rsidRPr="58CD555A">
        <w:rPr>
          <w:rFonts w:asciiTheme="majorHAnsi" w:hAnsiTheme="majorHAnsi" w:cstheme="majorBidi"/>
          <w:sz w:val="23"/>
          <w:szCs w:val="23"/>
        </w:rPr>
        <w:t xml:space="preserve"> nearby “one-stop”</w:t>
      </w:r>
      <w:r w:rsidRPr="502830E4">
        <w:rPr>
          <w:rFonts w:asciiTheme="majorHAnsi" w:hAnsiTheme="majorHAnsi" w:cstheme="majorBidi"/>
          <w:sz w:val="23"/>
          <w:szCs w:val="23"/>
        </w:rPr>
        <w:t xml:space="preserve"> service hubs </w:t>
      </w:r>
      <w:r w:rsidRPr="38924F7F">
        <w:rPr>
          <w:rFonts w:asciiTheme="majorHAnsi" w:hAnsiTheme="majorHAnsi" w:cstheme="majorBidi"/>
          <w:sz w:val="23"/>
          <w:szCs w:val="23"/>
        </w:rPr>
        <w:t>offering</w:t>
      </w:r>
      <w:r w:rsidRPr="502830E4">
        <w:rPr>
          <w:rFonts w:asciiTheme="majorHAnsi" w:hAnsiTheme="majorHAnsi" w:cstheme="majorBidi"/>
          <w:sz w:val="23"/>
          <w:szCs w:val="23"/>
        </w:rPr>
        <w:t xml:space="preserve"> a range of </w:t>
      </w:r>
      <w:r w:rsidR="006C2B2C">
        <w:rPr>
          <w:rFonts w:asciiTheme="majorHAnsi" w:hAnsiTheme="majorHAnsi" w:cstheme="majorBidi"/>
          <w:sz w:val="23"/>
          <w:szCs w:val="23"/>
        </w:rPr>
        <w:t xml:space="preserve">required </w:t>
      </w:r>
      <w:r w:rsidRPr="502830E4">
        <w:rPr>
          <w:rFonts w:asciiTheme="majorHAnsi" w:hAnsiTheme="majorHAnsi" w:cstheme="majorBidi"/>
          <w:sz w:val="23"/>
          <w:szCs w:val="23"/>
        </w:rPr>
        <w:t xml:space="preserve">health services including </w:t>
      </w:r>
      <w:r w:rsidR="00644CE9">
        <w:rPr>
          <w:rFonts w:asciiTheme="majorHAnsi" w:hAnsiTheme="majorHAnsi" w:cstheme="majorBidi"/>
          <w:sz w:val="23"/>
          <w:szCs w:val="23"/>
        </w:rPr>
        <w:t xml:space="preserve">support for </w:t>
      </w:r>
      <w:r w:rsidRPr="502830E4">
        <w:rPr>
          <w:rFonts w:asciiTheme="majorHAnsi" w:hAnsiTheme="majorHAnsi" w:cstheme="majorBidi"/>
          <w:sz w:val="23"/>
          <w:szCs w:val="23"/>
        </w:rPr>
        <w:t xml:space="preserve">mental health, suicide prevention, </w:t>
      </w:r>
      <w:r w:rsidRPr="38924F7F">
        <w:rPr>
          <w:rFonts w:asciiTheme="majorHAnsi" w:hAnsiTheme="majorHAnsi" w:cstheme="majorBidi"/>
          <w:sz w:val="23"/>
          <w:szCs w:val="23"/>
        </w:rPr>
        <w:t xml:space="preserve">wellbeing, </w:t>
      </w:r>
      <w:r w:rsidRPr="502830E4">
        <w:rPr>
          <w:rFonts w:asciiTheme="majorHAnsi" w:hAnsiTheme="majorHAnsi" w:cstheme="majorBidi"/>
          <w:sz w:val="23"/>
          <w:szCs w:val="23"/>
        </w:rPr>
        <w:t>and drug and alcohol abuse</w:t>
      </w:r>
      <w:r w:rsidRPr="38924F7F">
        <w:rPr>
          <w:rFonts w:asciiTheme="majorHAnsi" w:hAnsiTheme="majorHAnsi" w:cstheme="majorBidi"/>
          <w:sz w:val="23"/>
          <w:szCs w:val="23"/>
        </w:rPr>
        <w:t>.</w:t>
      </w:r>
      <w:r w:rsidRPr="0E3C9592">
        <w:rPr>
          <w:rFonts w:asciiTheme="majorHAnsi" w:hAnsiTheme="majorHAnsi" w:cstheme="majorBidi"/>
          <w:sz w:val="23"/>
          <w:szCs w:val="23"/>
        </w:rPr>
        <w:t xml:space="preserve"> Improving access to domestic violence services is also a crucial priority, including men’s anti-violence programs.</w:t>
      </w:r>
    </w:p>
    <w:p w14:paraId="57C153C3" w14:textId="7D6CBE11" w:rsidR="00F00E3D" w:rsidRDefault="00F00E3D" w:rsidP="00815D3A">
      <w:pPr>
        <w:spacing w:line="276" w:lineRule="auto"/>
        <w:rPr>
          <w:rFonts w:asciiTheme="majorHAnsi" w:hAnsiTheme="majorHAnsi" w:cstheme="majorBidi"/>
          <w:sz w:val="23"/>
          <w:szCs w:val="23"/>
        </w:rPr>
      </w:pPr>
      <w:r w:rsidRPr="0E3C9592">
        <w:rPr>
          <w:rFonts w:asciiTheme="majorHAnsi" w:hAnsiTheme="majorHAnsi" w:cstheme="majorBidi"/>
          <w:sz w:val="23"/>
          <w:szCs w:val="23"/>
        </w:rPr>
        <w:t xml:space="preserve">Health information and </w:t>
      </w:r>
      <w:r w:rsidR="009B0F5A">
        <w:rPr>
          <w:rFonts w:asciiTheme="majorHAnsi" w:hAnsiTheme="majorHAnsi" w:cstheme="majorBidi"/>
          <w:sz w:val="23"/>
          <w:szCs w:val="23"/>
        </w:rPr>
        <w:t>service</w:t>
      </w:r>
      <w:r w:rsidRPr="0E3C9592">
        <w:rPr>
          <w:rFonts w:asciiTheme="majorHAnsi" w:hAnsiTheme="majorHAnsi" w:cstheme="majorBidi"/>
          <w:sz w:val="23"/>
          <w:szCs w:val="23"/>
        </w:rPr>
        <w:t xml:space="preserve"> </w:t>
      </w:r>
      <w:r w:rsidR="00AB2CFC">
        <w:rPr>
          <w:rFonts w:asciiTheme="majorHAnsi" w:hAnsiTheme="majorHAnsi" w:cstheme="majorBidi"/>
          <w:sz w:val="23"/>
          <w:szCs w:val="23"/>
        </w:rPr>
        <w:t>detail</w:t>
      </w:r>
      <w:r w:rsidRPr="38924F7F">
        <w:rPr>
          <w:rFonts w:asciiTheme="majorHAnsi" w:hAnsiTheme="majorHAnsi" w:cstheme="majorBidi"/>
          <w:sz w:val="23"/>
          <w:szCs w:val="23"/>
        </w:rPr>
        <w:t>s</w:t>
      </w:r>
      <w:r w:rsidRPr="0E3C9592">
        <w:rPr>
          <w:rFonts w:asciiTheme="majorHAnsi" w:hAnsiTheme="majorHAnsi" w:cstheme="majorBidi"/>
          <w:sz w:val="23"/>
          <w:szCs w:val="23"/>
        </w:rPr>
        <w:t xml:space="preserve"> need to be communicated effectively</w:t>
      </w:r>
      <w:r w:rsidR="00AB2CFC">
        <w:rPr>
          <w:rFonts w:asciiTheme="majorHAnsi" w:hAnsiTheme="majorHAnsi" w:cstheme="majorBidi"/>
          <w:sz w:val="23"/>
          <w:szCs w:val="23"/>
        </w:rPr>
        <w:t>,</w:t>
      </w:r>
      <w:r w:rsidRPr="0E3C9592">
        <w:rPr>
          <w:rFonts w:asciiTheme="majorHAnsi" w:hAnsiTheme="majorHAnsi" w:cstheme="majorBidi"/>
          <w:sz w:val="23"/>
          <w:szCs w:val="23"/>
        </w:rPr>
        <w:t xml:space="preserve"> and disseminated in a range of accessible formats, including culturally appropriate, digital, and non-digital</w:t>
      </w:r>
      <w:r w:rsidRPr="38924F7F">
        <w:rPr>
          <w:rFonts w:asciiTheme="majorHAnsi" w:hAnsiTheme="majorHAnsi" w:cstheme="majorBidi"/>
          <w:sz w:val="23"/>
          <w:szCs w:val="23"/>
        </w:rPr>
        <w:t xml:space="preserve"> forms.</w:t>
      </w:r>
      <w:r w:rsidRPr="0E3C9592">
        <w:rPr>
          <w:rFonts w:asciiTheme="majorHAnsi" w:hAnsiTheme="majorHAnsi" w:cstheme="majorBidi"/>
          <w:sz w:val="23"/>
          <w:szCs w:val="23"/>
        </w:rPr>
        <w:t xml:space="preserve"> </w:t>
      </w:r>
      <w:r w:rsidRPr="502830E4">
        <w:rPr>
          <w:rFonts w:asciiTheme="majorHAnsi" w:hAnsiTheme="majorHAnsi" w:cstheme="majorBidi"/>
          <w:sz w:val="23"/>
          <w:szCs w:val="23"/>
        </w:rPr>
        <w:t xml:space="preserve">Local </w:t>
      </w:r>
      <w:r w:rsidR="00AB2CFC">
        <w:rPr>
          <w:rFonts w:asciiTheme="majorHAnsi" w:hAnsiTheme="majorHAnsi" w:cstheme="majorBidi"/>
          <w:sz w:val="23"/>
          <w:szCs w:val="23"/>
        </w:rPr>
        <w:t xml:space="preserve">“health </w:t>
      </w:r>
      <w:r w:rsidRPr="502830E4">
        <w:rPr>
          <w:rFonts w:asciiTheme="majorHAnsi" w:hAnsiTheme="majorHAnsi" w:cstheme="majorBidi"/>
          <w:sz w:val="23"/>
          <w:szCs w:val="23"/>
        </w:rPr>
        <w:t>champions</w:t>
      </w:r>
      <w:r w:rsidR="00AB2CFC">
        <w:rPr>
          <w:rFonts w:asciiTheme="majorHAnsi" w:hAnsiTheme="majorHAnsi" w:cstheme="majorBidi"/>
          <w:sz w:val="23"/>
          <w:szCs w:val="23"/>
        </w:rPr>
        <w:t>”</w:t>
      </w:r>
      <w:r w:rsidRPr="502830E4">
        <w:rPr>
          <w:rFonts w:asciiTheme="majorHAnsi" w:hAnsiTheme="majorHAnsi" w:cstheme="majorBidi"/>
          <w:sz w:val="23"/>
          <w:szCs w:val="23"/>
        </w:rPr>
        <w:t>, including young people</w:t>
      </w:r>
      <w:r w:rsidRPr="58CD555A">
        <w:rPr>
          <w:rFonts w:asciiTheme="majorHAnsi" w:hAnsiTheme="majorHAnsi" w:cstheme="majorBidi"/>
          <w:sz w:val="23"/>
          <w:szCs w:val="23"/>
        </w:rPr>
        <w:t xml:space="preserve"> and </w:t>
      </w:r>
      <w:r w:rsidRPr="0E3C9592">
        <w:rPr>
          <w:rFonts w:asciiTheme="majorHAnsi" w:hAnsiTheme="majorHAnsi" w:cstheme="majorBidi"/>
          <w:sz w:val="23"/>
          <w:szCs w:val="23"/>
        </w:rPr>
        <w:t>athletes, could</w:t>
      </w:r>
      <w:r w:rsidRPr="502830E4">
        <w:rPr>
          <w:rFonts w:asciiTheme="majorHAnsi" w:hAnsiTheme="majorHAnsi" w:cstheme="majorBidi"/>
          <w:sz w:val="23"/>
          <w:szCs w:val="23"/>
        </w:rPr>
        <w:t xml:space="preserve"> be </w:t>
      </w:r>
      <w:r w:rsidRPr="58CD555A">
        <w:rPr>
          <w:rFonts w:asciiTheme="majorHAnsi" w:hAnsiTheme="majorHAnsi" w:cstheme="majorBidi"/>
          <w:sz w:val="23"/>
          <w:szCs w:val="23"/>
        </w:rPr>
        <w:t>recruited</w:t>
      </w:r>
      <w:r w:rsidRPr="502830E4">
        <w:rPr>
          <w:rFonts w:asciiTheme="majorHAnsi" w:hAnsiTheme="majorHAnsi" w:cstheme="majorBidi"/>
          <w:sz w:val="23"/>
          <w:szCs w:val="23"/>
        </w:rPr>
        <w:t xml:space="preserve"> to help </w:t>
      </w:r>
      <w:r w:rsidRPr="38924F7F">
        <w:rPr>
          <w:rFonts w:asciiTheme="majorHAnsi" w:hAnsiTheme="majorHAnsi" w:cstheme="majorBidi"/>
          <w:sz w:val="23"/>
          <w:szCs w:val="23"/>
        </w:rPr>
        <w:t xml:space="preserve">co-design outreach pilot projects and </w:t>
      </w:r>
      <w:r w:rsidRPr="502830E4">
        <w:rPr>
          <w:rFonts w:asciiTheme="majorHAnsi" w:hAnsiTheme="majorHAnsi" w:cstheme="majorBidi"/>
          <w:sz w:val="23"/>
          <w:szCs w:val="23"/>
        </w:rPr>
        <w:t xml:space="preserve">build the confidence and desire of </w:t>
      </w:r>
      <w:r w:rsidR="002037F1">
        <w:rPr>
          <w:rFonts w:asciiTheme="majorHAnsi" w:hAnsiTheme="majorHAnsi" w:cstheme="majorBidi"/>
          <w:sz w:val="23"/>
          <w:szCs w:val="23"/>
        </w:rPr>
        <w:t>fellow residents</w:t>
      </w:r>
      <w:r w:rsidRPr="502830E4">
        <w:rPr>
          <w:rFonts w:asciiTheme="majorHAnsi" w:hAnsiTheme="majorHAnsi" w:cstheme="majorBidi"/>
          <w:sz w:val="23"/>
          <w:szCs w:val="23"/>
        </w:rPr>
        <w:t xml:space="preserve"> to use </w:t>
      </w:r>
      <w:r w:rsidRPr="38924F7F">
        <w:rPr>
          <w:rFonts w:asciiTheme="majorHAnsi" w:hAnsiTheme="majorHAnsi" w:cstheme="majorBidi"/>
          <w:sz w:val="23"/>
          <w:szCs w:val="23"/>
        </w:rPr>
        <w:t>local health</w:t>
      </w:r>
      <w:r w:rsidRPr="502830E4">
        <w:rPr>
          <w:rFonts w:asciiTheme="majorHAnsi" w:hAnsiTheme="majorHAnsi" w:cstheme="majorBidi"/>
          <w:sz w:val="23"/>
          <w:szCs w:val="23"/>
        </w:rPr>
        <w:t xml:space="preserve"> services. </w:t>
      </w:r>
    </w:p>
    <w:p w14:paraId="2EB749CA" w14:textId="588E140C" w:rsidR="00F00E3D" w:rsidRPr="00D9154D" w:rsidRDefault="00F00E3D" w:rsidP="00572C92">
      <w:pPr>
        <w:spacing w:after="0" w:line="276" w:lineRule="auto"/>
        <w:rPr>
          <w:rFonts w:asciiTheme="majorHAnsi" w:eastAsiaTheme="majorEastAsia" w:hAnsiTheme="majorHAnsi" w:cstheme="majorBidi"/>
          <w:color w:val="595959" w:themeColor="text1" w:themeTint="A6"/>
          <w:sz w:val="23"/>
          <w:szCs w:val="23"/>
        </w:rPr>
      </w:pPr>
      <w:r w:rsidRPr="00D9154D">
        <w:rPr>
          <w:rFonts w:eastAsiaTheme="majorEastAsia" w:cstheme="minorHAnsi"/>
          <w:b/>
          <w:bCs/>
          <w:color w:val="595959" w:themeColor="text1" w:themeTint="A6"/>
          <w:sz w:val="23"/>
          <w:szCs w:val="23"/>
        </w:rPr>
        <w:t xml:space="preserve">Relevant </w:t>
      </w:r>
      <w:r w:rsidR="00AD2DA5">
        <w:rPr>
          <w:rFonts w:eastAsiaTheme="majorEastAsia" w:cstheme="minorHAnsi"/>
          <w:b/>
          <w:bCs/>
          <w:color w:val="595959" w:themeColor="text1" w:themeTint="A6"/>
          <w:sz w:val="23"/>
          <w:szCs w:val="23"/>
        </w:rPr>
        <w:t>Case Studies</w:t>
      </w:r>
      <w:r w:rsidRPr="00D9154D">
        <w:rPr>
          <w:rFonts w:eastAsiaTheme="majorEastAsia" w:cstheme="minorHAnsi"/>
          <w:b/>
          <w:bCs/>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Ten Ideas Three Ventures, western suburbs, Melbourne </w:t>
      </w:r>
      <w:r w:rsidR="00505AB0">
        <w:rPr>
          <w:rFonts w:asciiTheme="majorHAnsi" w:eastAsiaTheme="majorEastAsia" w:hAnsiTheme="majorHAnsi" w:cstheme="majorBidi"/>
          <w:color w:val="595959" w:themeColor="text1" w:themeTint="A6"/>
          <w:sz w:val="23"/>
          <w:szCs w:val="23"/>
        </w:rPr>
        <w:t>(p.65)</w:t>
      </w:r>
      <w:r w:rsidRPr="00D9154D">
        <w:rPr>
          <w:rFonts w:asciiTheme="majorHAnsi" w:eastAsiaTheme="majorEastAsia" w:hAnsiTheme="majorHAnsi" w:cstheme="majorBidi"/>
          <w:color w:val="595959" w:themeColor="text1" w:themeTint="A6"/>
          <w:sz w:val="23"/>
          <w:szCs w:val="23"/>
        </w:rPr>
        <w:t xml:space="preserve">; Perpetrator Intervention Pilot + Don’t Become That Man, South Australia </w:t>
      </w:r>
      <w:r w:rsidR="00505AB0">
        <w:rPr>
          <w:rFonts w:asciiTheme="majorHAnsi" w:eastAsiaTheme="majorEastAsia" w:hAnsiTheme="majorHAnsi" w:cstheme="majorBidi"/>
          <w:color w:val="595959" w:themeColor="text1" w:themeTint="A6"/>
          <w:sz w:val="23"/>
          <w:szCs w:val="23"/>
        </w:rPr>
        <w:t>(p.60)</w:t>
      </w:r>
      <w:r w:rsidRPr="00D9154D">
        <w:rPr>
          <w:rFonts w:asciiTheme="majorHAnsi" w:eastAsiaTheme="majorEastAsia" w:hAnsiTheme="majorHAnsi" w:cstheme="majorBidi"/>
          <w:color w:val="595959" w:themeColor="text1" w:themeTint="A6"/>
          <w:sz w:val="23"/>
          <w:szCs w:val="23"/>
        </w:rPr>
        <w:t xml:space="preserve">; Best Babies Zone, US </w:t>
      </w:r>
      <w:r w:rsidR="00505AB0">
        <w:rPr>
          <w:rFonts w:asciiTheme="majorHAnsi" w:eastAsiaTheme="majorEastAsia" w:hAnsiTheme="majorHAnsi" w:cstheme="majorBidi"/>
          <w:color w:val="595959" w:themeColor="text1" w:themeTint="A6"/>
          <w:sz w:val="23"/>
          <w:szCs w:val="23"/>
        </w:rPr>
        <w:t>(p.71)</w:t>
      </w:r>
      <w:r w:rsidRPr="00D9154D">
        <w:rPr>
          <w:rFonts w:asciiTheme="majorHAnsi" w:eastAsiaTheme="majorEastAsia" w:hAnsiTheme="majorHAnsi" w:cstheme="majorBidi"/>
          <w:color w:val="595959" w:themeColor="text1" w:themeTint="A6"/>
          <w:sz w:val="23"/>
          <w:szCs w:val="23"/>
        </w:rPr>
        <w:t xml:space="preserve">; My Community Matters, UK </w:t>
      </w:r>
      <w:r w:rsidR="00505AB0">
        <w:rPr>
          <w:rFonts w:asciiTheme="majorHAnsi" w:eastAsiaTheme="majorEastAsia" w:hAnsiTheme="majorHAnsi" w:cstheme="majorBidi"/>
          <w:color w:val="595959" w:themeColor="text1" w:themeTint="A6"/>
          <w:sz w:val="23"/>
          <w:szCs w:val="23"/>
        </w:rPr>
        <w:t>(p.77)</w:t>
      </w:r>
      <w:r w:rsidRPr="00D9154D">
        <w:rPr>
          <w:rFonts w:asciiTheme="majorHAnsi" w:eastAsiaTheme="majorEastAsia" w:hAnsiTheme="majorHAnsi" w:cstheme="majorBidi"/>
          <w:color w:val="595959" w:themeColor="text1" w:themeTint="A6"/>
          <w:sz w:val="23"/>
          <w:szCs w:val="23"/>
        </w:rPr>
        <w:t xml:space="preserve">; All Right? Christchurch, New Zealand </w:t>
      </w:r>
      <w:r w:rsidR="00505AB0">
        <w:rPr>
          <w:rFonts w:asciiTheme="majorHAnsi" w:eastAsiaTheme="majorEastAsia" w:hAnsiTheme="majorHAnsi" w:cstheme="majorBidi"/>
          <w:color w:val="595959" w:themeColor="text1" w:themeTint="A6"/>
          <w:sz w:val="23"/>
          <w:szCs w:val="23"/>
        </w:rPr>
        <w:t>(p.85).</w:t>
      </w:r>
    </w:p>
    <w:p w14:paraId="368E2BA3" w14:textId="77777777" w:rsidR="00572C92" w:rsidRPr="00572C92" w:rsidRDefault="00572C92" w:rsidP="00572C92">
      <w:pPr>
        <w:spacing w:after="0" w:line="276" w:lineRule="auto"/>
        <w:rPr>
          <w:rFonts w:asciiTheme="majorHAnsi" w:eastAsiaTheme="majorEastAsia" w:hAnsiTheme="majorHAnsi" w:cstheme="majorBidi"/>
          <w:color w:val="525252" w:themeColor="accent3" w:themeShade="80"/>
          <w:sz w:val="16"/>
          <w:szCs w:val="16"/>
        </w:rPr>
      </w:pPr>
    </w:p>
    <w:p w14:paraId="48969E14" w14:textId="7A209281" w:rsidR="00F00E3D" w:rsidRPr="00C351F0" w:rsidRDefault="00F00E3D" w:rsidP="78F9AF82">
      <w:pPr>
        <w:pStyle w:val="Default"/>
        <w:spacing w:line="276" w:lineRule="auto"/>
        <w:rPr>
          <w:rFonts w:eastAsia="Calibri"/>
          <w:b/>
          <w:bCs/>
          <w:color w:val="2E74B5" w:themeColor="accent5" w:themeShade="BF"/>
          <w:sz w:val="25"/>
          <w:szCs w:val="25"/>
        </w:rPr>
      </w:pPr>
      <w:r w:rsidRPr="78F9AF82">
        <w:rPr>
          <w:rFonts w:eastAsia="Calibri"/>
          <w:b/>
          <w:bCs/>
          <w:color w:val="2E74B5" w:themeColor="accent5" w:themeShade="BF"/>
          <w:sz w:val="25"/>
          <w:szCs w:val="25"/>
        </w:rPr>
        <w:t>3.5 Placemaking</w:t>
      </w:r>
      <w:r w:rsidR="00AB0FF9" w:rsidRPr="78F9AF82">
        <w:rPr>
          <w:rFonts w:eastAsia="Calibri"/>
          <w:b/>
          <w:bCs/>
          <w:color w:val="2E74B5" w:themeColor="accent5" w:themeShade="BF"/>
          <w:sz w:val="25"/>
          <w:szCs w:val="25"/>
        </w:rPr>
        <w:t xml:space="preserve"> Initiative</w:t>
      </w:r>
    </w:p>
    <w:p w14:paraId="53589CBC" w14:textId="77777777" w:rsidR="00557C81" w:rsidRPr="000A4799" w:rsidRDefault="00557C81" w:rsidP="00815D3A">
      <w:pPr>
        <w:pStyle w:val="Default"/>
        <w:spacing w:line="276" w:lineRule="auto"/>
        <w:rPr>
          <w:rFonts w:eastAsia="Calibri"/>
          <w:b/>
          <w:bCs/>
          <w:color w:val="000000" w:themeColor="text1"/>
          <w:sz w:val="12"/>
          <w:szCs w:val="12"/>
        </w:rPr>
      </w:pPr>
    </w:p>
    <w:p w14:paraId="553B3AFC" w14:textId="50445485" w:rsidR="00F00E3D" w:rsidRDefault="00C143EF" w:rsidP="00815D3A">
      <w:pPr>
        <w:spacing w:after="0" w:line="276" w:lineRule="auto"/>
        <w:rPr>
          <w:rFonts w:ascii="Calibri Light" w:eastAsia="Calibri Light" w:hAnsi="Calibri Light" w:cs="Calibri Light"/>
          <w:color w:val="000000" w:themeColor="text1"/>
          <w:sz w:val="23"/>
          <w:szCs w:val="23"/>
        </w:rPr>
      </w:pPr>
      <w:r>
        <w:rPr>
          <w:rFonts w:ascii="Calibri Light" w:eastAsia="Calibri Light" w:hAnsi="Calibri Light" w:cs="Calibri Light"/>
          <w:color w:val="000000" w:themeColor="text1"/>
          <w:sz w:val="23"/>
          <w:szCs w:val="23"/>
        </w:rPr>
        <w:t xml:space="preserve">Having </w:t>
      </w:r>
      <w:r w:rsidR="00233342">
        <w:rPr>
          <w:rFonts w:ascii="Calibri Light" w:eastAsia="Calibri Light" w:hAnsi="Calibri Light" w:cs="Calibri Light"/>
          <w:color w:val="000000" w:themeColor="text1"/>
          <w:sz w:val="23"/>
          <w:szCs w:val="23"/>
        </w:rPr>
        <w:t xml:space="preserve">ready </w:t>
      </w:r>
      <w:r>
        <w:rPr>
          <w:rFonts w:ascii="Calibri Light" w:eastAsia="Calibri Light" w:hAnsi="Calibri Light" w:cs="Calibri Light"/>
          <w:color w:val="000000" w:themeColor="text1"/>
          <w:sz w:val="23"/>
          <w:szCs w:val="23"/>
        </w:rPr>
        <w:t>a</w:t>
      </w:r>
      <w:r w:rsidR="00F00E3D" w:rsidRPr="502830E4">
        <w:rPr>
          <w:rFonts w:ascii="Calibri Light" w:eastAsia="Calibri Light" w:hAnsi="Calibri Light" w:cs="Calibri Light"/>
          <w:color w:val="000000" w:themeColor="text1"/>
          <w:sz w:val="23"/>
          <w:szCs w:val="23"/>
        </w:rPr>
        <w:t>ccess to quality communal spaces can benefit health and wellbeing, reduce social isolation, help counter place-</w:t>
      </w:r>
      <w:r w:rsidR="0055529D">
        <w:rPr>
          <w:rFonts w:ascii="Calibri Light" w:eastAsia="Calibri Light" w:hAnsi="Calibri Light" w:cs="Calibri Light"/>
          <w:color w:val="000000" w:themeColor="text1"/>
          <w:sz w:val="23"/>
          <w:szCs w:val="23"/>
        </w:rPr>
        <w:t xml:space="preserve">based </w:t>
      </w:r>
      <w:r w:rsidR="00F00E3D" w:rsidRPr="502830E4">
        <w:rPr>
          <w:rFonts w:ascii="Calibri Light" w:eastAsia="Calibri Light" w:hAnsi="Calibri Light" w:cs="Calibri Light"/>
          <w:color w:val="000000" w:themeColor="text1"/>
          <w:sz w:val="23"/>
          <w:szCs w:val="23"/>
        </w:rPr>
        <w:t xml:space="preserve">stigma, and foster community pride. </w:t>
      </w:r>
      <w:r w:rsidR="00940D80">
        <w:rPr>
          <w:rFonts w:ascii="Calibri Light" w:eastAsia="Calibri Light" w:hAnsi="Calibri Light" w:cs="Calibri Light"/>
          <w:color w:val="000000" w:themeColor="text1"/>
          <w:sz w:val="23"/>
          <w:szCs w:val="23"/>
        </w:rPr>
        <w:t>COVID</w:t>
      </w:r>
      <w:r w:rsidR="00F00E3D" w:rsidRPr="502830E4">
        <w:rPr>
          <w:rFonts w:ascii="Calibri Light" w:eastAsia="Calibri Light" w:hAnsi="Calibri Light" w:cs="Calibri Light"/>
          <w:color w:val="000000" w:themeColor="text1"/>
          <w:sz w:val="23"/>
          <w:szCs w:val="23"/>
        </w:rPr>
        <w:t xml:space="preserve">-19 highlighted a shortage of welcoming, accessible public and open spaces in all three localities. </w:t>
      </w:r>
      <w:r w:rsidR="00233342">
        <w:rPr>
          <w:rFonts w:ascii="Calibri Light" w:eastAsia="Calibri Light" w:hAnsi="Calibri Light" w:cs="Calibri Light"/>
          <w:color w:val="000000" w:themeColor="text1"/>
          <w:sz w:val="23"/>
          <w:szCs w:val="23"/>
        </w:rPr>
        <w:t>It</w:t>
      </w:r>
      <w:r w:rsidR="00F00E3D" w:rsidRPr="502830E4">
        <w:rPr>
          <w:rFonts w:ascii="Calibri Light" w:eastAsia="Calibri Light" w:hAnsi="Calibri Light" w:cs="Calibri Light"/>
          <w:color w:val="000000" w:themeColor="text1"/>
          <w:sz w:val="23"/>
          <w:szCs w:val="23"/>
        </w:rPr>
        <w:t xml:space="preserve"> also underlined the importance of neighbourhood shopping strips, many of which are run-down or boarded up.</w:t>
      </w:r>
    </w:p>
    <w:p w14:paraId="5C52A798" w14:textId="77777777" w:rsidR="00F00E3D" w:rsidRPr="000A4799" w:rsidRDefault="00F00E3D" w:rsidP="00815D3A">
      <w:pPr>
        <w:spacing w:after="0" w:line="276" w:lineRule="auto"/>
        <w:rPr>
          <w:rFonts w:ascii="Calibri Light" w:eastAsia="Calibri Light" w:hAnsi="Calibri Light" w:cs="Calibri Light"/>
          <w:color w:val="000000" w:themeColor="text1"/>
          <w:sz w:val="12"/>
          <w:szCs w:val="12"/>
        </w:rPr>
      </w:pPr>
    </w:p>
    <w:p w14:paraId="69F44816" w14:textId="300F210A" w:rsidR="00F00E3D" w:rsidRDefault="00F00E3D" w:rsidP="00815D3A">
      <w:pPr>
        <w:spacing w:after="0" w:line="276" w:lineRule="auto"/>
        <w:rPr>
          <w:rFonts w:ascii="Calibri Light" w:eastAsia="Calibri Light" w:hAnsi="Calibri Light" w:cs="Calibri Light"/>
          <w:color w:val="000000" w:themeColor="text1"/>
          <w:sz w:val="23"/>
          <w:szCs w:val="23"/>
        </w:rPr>
      </w:pPr>
      <w:r w:rsidRPr="502830E4">
        <w:rPr>
          <w:rFonts w:ascii="Calibri Light" w:eastAsia="Calibri Light" w:hAnsi="Calibri Light" w:cs="Calibri Light"/>
          <w:color w:val="000000" w:themeColor="text1"/>
          <w:sz w:val="23"/>
          <w:szCs w:val="23"/>
        </w:rPr>
        <w:t xml:space="preserve">The Placemaking Initiative aims to </w:t>
      </w:r>
      <w:r w:rsidR="0017557F">
        <w:rPr>
          <w:rFonts w:ascii="Calibri Light" w:eastAsia="Calibri Light" w:hAnsi="Calibri Light" w:cs="Calibri Light"/>
          <w:color w:val="000000" w:themeColor="text1"/>
          <w:sz w:val="23"/>
          <w:szCs w:val="23"/>
        </w:rPr>
        <w:t>co-</w:t>
      </w:r>
      <w:r w:rsidRPr="502830E4">
        <w:rPr>
          <w:rFonts w:ascii="Calibri Light" w:eastAsia="Calibri Light" w:hAnsi="Calibri Light" w:cs="Calibri Light"/>
          <w:color w:val="000000" w:themeColor="text1"/>
          <w:sz w:val="23"/>
          <w:szCs w:val="23"/>
        </w:rPr>
        <w:t xml:space="preserve">create </w:t>
      </w:r>
      <w:r w:rsidRPr="502830E4">
        <w:rPr>
          <w:rFonts w:ascii="Calibri Light" w:eastAsia="Calibri Light" w:hAnsi="Calibri Light" w:cs="Calibri Light"/>
          <w:sz w:val="23"/>
          <w:szCs w:val="23"/>
        </w:rPr>
        <w:t>more inclusive, safe</w:t>
      </w:r>
      <w:r w:rsidR="002A7FC6">
        <w:rPr>
          <w:rFonts w:ascii="Calibri Light" w:eastAsia="Calibri Light" w:hAnsi="Calibri Light" w:cs="Calibri Light"/>
          <w:sz w:val="23"/>
          <w:szCs w:val="23"/>
        </w:rPr>
        <w:t>, high-quality</w:t>
      </w:r>
      <w:r w:rsidRPr="502830E4">
        <w:rPr>
          <w:rFonts w:ascii="Calibri Light" w:eastAsia="Calibri Light" w:hAnsi="Calibri Light" w:cs="Calibri Light"/>
          <w:sz w:val="23"/>
          <w:szCs w:val="23"/>
        </w:rPr>
        <w:t xml:space="preserve"> </w:t>
      </w:r>
      <w:r w:rsidR="00E9187A">
        <w:rPr>
          <w:rFonts w:ascii="Calibri Light" w:eastAsia="Calibri Light" w:hAnsi="Calibri Light" w:cs="Calibri Light"/>
          <w:sz w:val="23"/>
          <w:szCs w:val="23"/>
        </w:rPr>
        <w:t xml:space="preserve">shared </w:t>
      </w:r>
      <w:r w:rsidRPr="502830E4">
        <w:rPr>
          <w:rFonts w:ascii="Calibri Light" w:eastAsia="Calibri Light" w:hAnsi="Calibri Light" w:cs="Calibri Light"/>
          <w:sz w:val="23"/>
          <w:szCs w:val="23"/>
        </w:rPr>
        <w:t>places where residents can gather, exercise, play</w:t>
      </w:r>
      <w:r w:rsidR="00FF02B0">
        <w:rPr>
          <w:rFonts w:ascii="Calibri Light" w:eastAsia="Calibri Light" w:hAnsi="Calibri Light" w:cs="Calibri Light"/>
          <w:sz w:val="23"/>
          <w:szCs w:val="23"/>
        </w:rPr>
        <w:t>,</w:t>
      </w:r>
      <w:r w:rsidRPr="502830E4">
        <w:rPr>
          <w:rFonts w:ascii="Calibri Light" w:eastAsia="Calibri Light" w:hAnsi="Calibri Light" w:cs="Calibri Light"/>
          <w:sz w:val="23"/>
          <w:szCs w:val="23"/>
        </w:rPr>
        <w:t xml:space="preserve"> and interact. This includes</w:t>
      </w:r>
      <w:r w:rsidRPr="502830E4">
        <w:rPr>
          <w:rFonts w:ascii="Calibri Light" w:eastAsia="Calibri Light" w:hAnsi="Calibri Light" w:cs="Calibri Light"/>
          <w:color w:val="000000" w:themeColor="text1"/>
          <w:sz w:val="23"/>
          <w:szCs w:val="23"/>
        </w:rPr>
        <w:t xml:space="preserve"> extending and improving parks and green spaces (such as Cowie Creek</w:t>
      </w:r>
      <w:r w:rsidRPr="502830E4">
        <w:rPr>
          <w:rFonts w:ascii="Calibri Light" w:eastAsia="Calibri Light" w:hAnsi="Calibri Light" w:cs="Calibri Light"/>
          <w:sz w:val="23"/>
          <w:szCs w:val="23"/>
        </w:rPr>
        <w:t xml:space="preserve">, Seagull Paddock, </w:t>
      </w:r>
      <w:r w:rsidR="00762F8E">
        <w:rPr>
          <w:rFonts w:ascii="Calibri Light" w:eastAsia="Calibri Light" w:hAnsi="Calibri Light" w:cs="Calibri Light"/>
          <w:sz w:val="23"/>
          <w:szCs w:val="23"/>
        </w:rPr>
        <w:t xml:space="preserve">and </w:t>
      </w:r>
      <w:r w:rsidRPr="502830E4">
        <w:rPr>
          <w:rFonts w:ascii="Calibri Light" w:eastAsia="Calibri Light" w:hAnsi="Calibri Light" w:cs="Calibri Light"/>
          <w:sz w:val="23"/>
          <w:szCs w:val="23"/>
        </w:rPr>
        <w:t xml:space="preserve">the </w:t>
      </w:r>
      <w:r w:rsidRPr="6C560592">
        <w:rPr>
          <w:rFonts w:ascii="Calibri Light" w:eastAsia="Calibri Light" w:hAnsi="Calibri Light" w:cs="Calibri Light"/>
          <w:sz w:val="23"/>
          <w:szCs w:val="23"/>
        </w:rPr>
        <w:t>St</w:t>
      </w:r>
      <w:r w:rsidRPr="502830E4">
        <w:rPr>
          <w:rFonts w:ascii="Calibri Light" w:eastAsia="Calibri Light" w:hAnsi="Calibri Light" w:cs="Calibri Light"/>
          <w:sz w:val="23"/>
          <w:szCs w:val="23"/>
        </w:rPr>
        <w:t xml:space="preserve"> Helens area); upgrading streetscapes and outdoor facilities; enhancing neighbourhood walkability and connectivity</w:t>
      </w:r>
      <w:r w:rsidR="00CA55EA">
        <w:rPr>
          <w:rFonts w:ascii="Calibri Light" w:eastAsia="Calibri Light" w:hAnsi="Calibri Light" w:cs="Calibri Light"/>
          <w:sz w:val="23"/>
          <w:szCs w:val="23"/>
        </w:rPr>
        <w:t>; improving</w:t>
      </w:r>
      <w:r w:rsidR="00F82B48">
        <w:rPr>
          <w:rFonts w:ascii="Calibri Light" w:eastAsia="Calibri Light" w:hAnsi="Calibri Light" w:cs="Calibri Light"/>
          <w:sz w:val="23"/>
          <w:szCs w:val="23"/>
        </w:rPr>
        <w:t xml:space="preserve"> active transport </w:t>
      </w:r>
      <w:r w:rsidR="00CA55EA">
        <w:rPr>
          <w:rFonts w:ascii="Calibri Light" w:eastAsia="Calibri Light" w:hAnsi="Calibri Light" w:cs="Calibri Light"/>
          <w:sz w:val="23"/>
          <w:szCs w:val="23"/>
        </w:rPr>
        <w:t xml:space="preserve">infrastructure </w:t>
      </w:r>
      <w:r w:rsidR="00F82B48">
        <w:rPr>
          <w:rFonts w:ascii="Calibri Light" w:eastAsia="Calibri Light" w:hAnsi="Calibri Light" w:cs="Calibri Light"/>
          <w:sz w:val="23"/>
          <w:szCs w:val="23"/>
        </w:rPr>
        <w:t>(</w:t>
      </w:r>
      <w:r w:rsidR="0029186B">
        <w:rPr>
          <w:rFonts w:ascii="Calibri Light" w:eastAsia="Calibri Light" w:hAnsi="Calibri Light" w:cs="Calibri Light"/>
          <w:sz w:val="23"/>
          <w:szCs w:val="23"/>
        </w:rPr>
        <w:t>walking</w:t>
      </w:r>
      <w:r w:rsidR="00CA55EA">
        <w:rPr>
          <w:rFonts w:ascii="Calibri Light" w:eastAsia="Calibri Light" w:hAnsi="Calibri Light" w:cs="Calibri Light"/>
          <w:sz w:val="23"/>
          <w:szCs w:val="23"/>
        </w:rPr>
        <w:t xml:space="preserve"> trails</w:t>
      </w:r>
      <w:r w:rsidR="0029186B">
        <w:rPr>
          <w:rFonts w:ascii="Calibri Light" w:eastAsia="Calibri Light" w:hAnsi="Calibri Light" w:cs="Calibri Light"/>
          <w:sz w:val="23"/>
          <w:szCs w:val="23"/>
        </w:rPr>
        <w:t>,</w:t>
      </w:r>
      <w:r w:rsidR="00CA55EA">
        <w:rPr>
          <w:rFonts w:ascii="Calibri Light" w:eastAsia="Calibri Light" w:hAnsi="Calibri Light" w:cs="Calibri Light"/>
          <w:sz w:val="23"/>
          <w:szCs w:val="23"/>
        </w:rPr>
        <w:t xml:space="preserve"> bike</w:t>
      </w:r>
      <w:r w:rsidR="0029186B">
        <w:rPr>
          <w:rFonts w:ascii="Calibri Light" w:eastAsia="Calibri Light" w:hAnsi="Calibri Light" w:cs="Calibri Light"/>
          <w:sz w:val="23"/>
          <w:szCs w:val="23"/>
        </w:rPr>
        <w:t xml:space="preserve"> paths</w:t>
      </w:r>
      <w:r w:rsidR="00F82B48">
        <w:rPr>
          <w:rFonts w:ascii="Calibri Light" w:eastAsia="Calibri Light" w:hAnsi="Calibri Light" w:cs="Calibri Light"/>
          <w:sz w:val="23"/>
          <w:szCs w:val="23"/>
        </w:rPr>
        <w:t>);</w:t>
      </w:r>
      <w:r w:rsidRPr="502830E4">
        <w:rPr>
          <w:rFonts w:ascii="Calibri Light" w:eastAsia="Calibri Light" w:hAnsi="Calibri Light" w:cs="Calibri Light"/>
          <w:sz w:val="23"/>
          <w:szCs w:val="23"/>
        </w:rPr>
        <w:t xml:space="preserve"> fixing unsafe or problematic spaces; and revitalising local retail strips, especially Labuan Square, Rose Street</w:t>
      </w:r>
      <w:r w:rsidR="0029186B">
        <w:rPr>
          <w:rFonts w:ascii="Calibri Light" w:eastAsia="Calibri Light" w:hAnsi="Calibri Light" w:cs="Calibri Light"/>
          <w:sz w:val="23"/>
          <w:szCs w:val="23"/>
        </w:rPr>
        <w:t>,</w:t>
      </w:r>
      <w:r w:rsidRPr="502830E4">
        <w:rPr>
          <w:rFonts w:ascii="Calibri Light" w:eastAsia="Calibri Light" w:hAnsi="Calibri Light" w:cs="Calibri Light"/>
          <w:sz w:val="23"/>
          <w:szCs w:val="23"/>
        </w:rPr>
        <w:t xml:space="preserve"> and Whittington shops, ensuring a good tenant mix (retailers, decent food outlets, community services, social enterprises).</w:t>
      </w:r>
    </w:p>
    <w:p w14:paraId="5B7E53F9" w14:textId="77777777" w:rsidR="00F00E3D" w:rsidRPr="000A4799" w:rsidRDefault="00F00E3D" w:rsidP="00815D3A">
      <w:pPr>
        <w:spacing w:after="0" w:line="276" w:lineRule="auto"/>
        <w:rPr>
          <w:rFonts w:ascii="Calibri Light" w:eastAsia="Calibri Light" w:hAnsi="Calibri Light" w:cs="Calibri Light"/>
          <w:color w:val="000000" w:themeColor="text1"/>
          <w:sz w:val="12"/>
          <w:szCs w:val="12"/>
        </w:rPr>
      </w:pPr>
    </w:p>
    <w:p w14:paraId="18686B73" w14:textId="1114AD34" w:rsidR="00F00E3D" w:rsidRDefault="00F00E3D" w:rsidP="00815D3A">
      <w:pPr>
        <w:spacing w:after="0" w:line="276" w:lineRule="auto"/>
        <w:rPr>
          <w:rFonts w:ascii="Calibri Light" w:eastAsia="Calibri Light" w:hAnsi="Calibri Light" w:cs="Calibri Light"/>
          <w:color w:val="000000" w:themeColor="text1"/>
          <w:sz w:val="23"/>
          <w:szCs w:val="23"/>
        </w:rPr>
      </w:pPr>
      <w:r w:rsidRPr="502830E4">
        <w:rPr>
          <w:rFonts w:ascii="Calibri Light" w:eastAsia="Calibri Light" w:hAnsi="Calibri Light" w:cs="Calibri Light"/>
          <w:color w:val="000000" w:themeColor="text1"/>
          <w:sz w:val="23"/>
          <w:szCs w:val="23"/>
        </w:rPr>
        <w:t xml:space="preserve">Residents could be </w:t>
      </w:r>
      <w:r w:rsidR="004A0AA8">
        <w:rPr>
          <w:rFonts w:ascii="Calibri Light" w:eastAsia="Calibri Light" w:hAnsi="Calibri Light" w:cs="Calibri Light"/>
          <w:color w:val="000000" w:themeColor="text1"/>
          <w:sz w:val="23"/>
          <w:szCs w:val="23"/>
        </w:rPr>
        <w:t xml:space="preserve">trained and </w:t>
      </w:r>
      <w:r w:rsidRPr="502830E4">
        <w:rPr>
          <w:rFonts w:ascii="Calibri Light" w:eastAsia="Calibri Light" w:hAnsi="Calibri Light" w:cs="Calibri Light"/>
          <w:color w:val="000000" w:themeColor="text1"/>
          <w:sz w:val="23"/>
          <w:szCs w:val="23"/>
        </w:rPr>
        <w:t>employed to co-design and undertake placemaking projects, with local artists engaged to enliven streetscapes. Tactical urbanism could be used to test options</w:t>
      </w:r>
      <w:r w:rsidR="002A7FC6">
        <w:rPr>
          <w:rFonts w:ascii="Calibri Light" w:eastAsia="Calibri Light" w:hAnsi="Calibri Light" w:cs="Calibri Light"/>
          <w:color w:val="000000" w:themeColor="text1"/>
          <w:sz w:val="23"/>
          <w:szCs w:val="23"/>
        </w:rPr>
        <w:t xml:space="preserve"> with the community</w:t>
      </w:r>
      <w:r w:rsidRPr="502830E4">
        <w:rPr>
          <w:rFonts w:ascii="Calibri Light" w:eastAsia="Calibri Light" w:hAnsi="Calibri Light" w:cs="Calibri Light"/>
          <w:color w:val="000000" w:themeColor="text1"/>
          <w:sz w:val="23"/>
          <w:szCs w:val="23"/>
        </w:rPr>
        <w:t>.</w:t>
      </w:r>
      <w:r w:rsidR="00E66A25">
        <w:rPr>
          <w:rFonts w:ascii="Calibri Light" w:eastAsia="Calibri Light" w:hAnsi="Calibri Light" w:cs="Calibri Light"/>
          <w:color w:val="000000" w:themeColor="text1"/>
          <w:sz w:val="23"/>
          <w:szCs w:val="23"/>
        </w:rPr>
        <w:t xml:space="preserve"> Community events and outdoor activities could be held in revamped sites.</w:t>
      </w:r>
    </w:p>
    <w:p w14:paraId="78EED525" w14:textId="77777777" w:rsidR="00F00E3D" w:rsidRPr="004A171D" w:rsidRDefault="00F00E3D" w:rsidP="00815D3A">
      <w:pPr>
        <w:spacing w:after="0" w:line="276" w:lineRule="auto"/>
        <w:rPr>
          <w:rFonts w:ascii="Calibri Light" w:eastAsia="Calibri Light" w:hAnsi="Calibri Light" w:cs="Calibri Light"/>
          <w:color w:val="000000" w:themeColor="text1"/>
          <w:sz w:val="12"/>
          <w:szCs w:val="12"/>
        </w:rPr>
      </w:pPr>
    </w:p>
    <w:p w14:paraId="7D73D962" w14:textId="788F87D4" w:rsidR="00F00E3D" w:rsidRDefault="00F00E3D" w:rsidP="00ED5E90">
      <w:pPr>
        <w:spacing w:after="0" w:line="276" w:lineRule="auto"/>
        <w:rPr>
          <w:rFonts w:asciiTheme="majorHAnsi" w:eastAsiaTheme="majorEastAsia" w:hAnsiTheme="majorHAnsi" w:cstheme="majorBidi"/>
          <w:color w:val="525252" w:themeColor="accent3" w:themeShade="80"/>
          <w:sz w:val="23"/>
          <w:szCs w:val="23"/>
        </w:rPr>
      </w:pPr>
      <w:r w:rsidRPr="00D9154D">
        <w:rPr>
          <w:rFonts w:eastAsiaTheme="majorEastAsia" w:cstheme="minorHAnsi"/>
          <w:b/>
          <w:bCs/>
          <w:color w:val="595959" w:themeColor="text1" w:themeTint="A6"/>
          <w:sz w:val="23"/>
          <w:szCs w:val="23"/>
        </w:rPr>
        <w:t xml:space="preserve">Relevant </w:t>
      </w:r>
      <w:r w:rsidR="00AD2DA5">
        <w:rPr>
          <w:rFonts w:eastAsiaTheme="majorEastAsia" w:cstheme="minorHAnsi"/>
          <w:b/>
          <w:bCs/>
          <w:color w:val="595959" w:themeColor="text1" w:themeTint="A6"/>
          <w:sz w:val="23"/>
          <w:szCs w:val="23"/>
        </w:rPr>
        <w:t>Case Studies</w:t>
      </w:r>
      <w:r w:rsidRPr="00D9154D">
        <w:rPr>
          <w:rFonts w:eastAsiaTheme="majorEastAsia" w:cstheme="minorHAnsi"/>
          <w:b/>
          <w:bCs/>
          <w:color w:val="595959" w:themeColor="text1" w:themeTint="A6"/>
          <w:sz w:val="23"/>
          <w:szCs w:val="23"/>
        </w:rPr>
        <w:t>:</w:t>
      </w:r>
      <w:r w:rsidRPr="00D9154D">
        <w:rPr>
          <w:rFonts w:asciiTheme="majorHAnsi" w:eastAsiaTheme="majorEastAsia" w:hAnsiTheme="majorHAnsi" w:cstheme="majorBidi"/>
          <w:b/>
          <w:bCs/>
          <w:color w:val="595959" w:themeColor="text1" w:themeTint="A6"/>
          <w:sz w:val="23"/>
          <w:szCs w:val="23"/>
        </w:rPr>
        <w:t xml:space="preserve"> </w:t>
      </w:r>
      <w:r w:rsidRPr="00D9154D">
        <w:rPr>
          <w:rFonts w:asciiTheme="majorHAnsi" w:eastAsiaTheme="majorEastAsia" w:hAnsiTheme="majorHAnsi" w:cstheme="majorBidi"/>
          <w:color w:val="595959" w:themeColor="text1" w:themeTint="A6"/>
          <w:sz w:val="23"/>
          <w:szCs w:val="23"/>
        </w:rPr>
        <w:t xml:space="preserve">Streets Ahead, Victoria </w:t>
      </w:r>
      <w:r w:rsidR="00EC2225">
        <w:rPr>
          <w:rFonts w:asciiTheme="majorHAnsi" w:eastAsiaTheme="majorEastAsia" w:hAnsiTheme="majorHAnsi" w:cstheme="majorBidi"/>
          <w:color w:val="595959" w:themeColor="text1" w:themeTint="A6"/>
          <w:sz w:val="23"/>
          <w:szCs w:val="23"/>
        </w:rPr>
        <w:t>(p.64)</w:t>
      </w:r>
      <w:r w:rsidRPr="00D9154D">
        <w:rPr>
          <w:rFonts w:asciiTheme="majorHAnsi" w:eastAsiaTheme="majorEastAsia" w:hAnsiTheme="majorHAnsi" w:cstheme="majorBidi"/>
          <w:color w:val="595959" w:themeColor="text1" w:themeTint="A6"/>
          <w:sz w:val="23"/>
          <w:szCs w:val="23"/>
        </w:rPr>
        <w:t xml:space="preserve">; Best Babies Zone, USA </w:t>
      </w:r>
      <w:r w:rsidR="00D46139">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Design Sprints</w:t>
      </w:r>
      <w:r w:rsidR="00D46139">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w:t>
      </w:r>
      <w:r w:rsidR="00505AB0">
        <w:rPr>
          <w:rFonts w:asciiTheme="majorHAnsi" w:eastAsiaTheme="majorEastAsia" w:hAnsiTheme="majorHAnsi" w:cstheme="majorBidi"/>
          <w:color w:val="595959" w:themeColor="text1" w:themeTint="A6"/>
          <w:sz w:val="23"/>
          <w:szCs w:val="23"/>
        </w:rPr>
        <w:t>(p.71)</w:t>
      </w:r>
      <w:r w:rsidR="00505AB0" w:rsidRPr="00D9154D">
        <w:rPr>
          <w:rFonts w:asciiTheme="majorHAnsi" w:eastAsiaTheme="majorEastAsia" w:hAnsiTheme="majorHAnsi" w:cstheme="majorBidi"/>
          <w:color w:val="595959" w:themeColor="text1" w:themeTint="A6"/>
          <w:sz w:val="23"/>
          <w:szCs w:val="23"/>
        </w:rPr>
        <w:t xml:space="preserve">; </w:t>
      </w:r>
      <w:r w:rsidRPr="00D9154D">
        <w:rPr>
          <w:rFonts w:asciiTheme="majorHAnsi" w:eastAsiaTheme="majorEastAsia" w:hAnsiTheme="majorHAnsi" w:cstheme="majorBidi"/>
          <w:color w:val="595959" w:themeColor="text1" w:themeTint="A6"/>
          <w:sz w:val="23"/>
          <w:szCs w:val="23"/>
        </w:rPr>
        <w:t xml:space="preserve">Sustainable South Bronx Project, New York </w:t>
      </w:r>
      <w:r w:rsidR="00EC2225">
        <w:rPr>
          <w:rFonts w:asciiTheme="majorHAnsi" w:eastAsiaTheme="majorEastAsia" w:hAnsiTheme="majorHAnsi" w:cstheme="majorBidi"/>
          <w:color w:val="595959" w:themeColor="text1" w:themeTint="A6"/>
          <w:sz w:val="23"/>
          <w:szCs w:val="23"/>
        </w:rPr>
        <w:t>(p.73)</w:t>
      </w:r>
      <w:r w:rsidRPr="00D9154D">
        <w:rPr>
          <w:rFonts w:asciiTheme="majorHAnsi" w:eastAsiaTheme="majorEastAsia" w:hAnsiTheme="majorHAnsi" w:cstheme="majorBidi"/>
          <w:color w:val="595959" w:themeColor="text1" w:themeTint="A6"/>
          <w:sz w:val="23"/>
          <w:szCs w:val="23"/>
        </w:rPr>
        <w:t>; Detroit City of Design Co</w:t>
      </w:r>
      <w:r w:rsidR="00D46139">
        <w:rPr>
          <w:rFonts w:asciiTheme="majorHAnsi" w:eastAsiaTheme="majorEastAsia" w:hAnsiTheme="majorHAnsi" w:cstheme="majorBidi"/>
          <w:color w:val="595959" w:themeColor="text1" w:themeTint="A6"/>
          <w:sz w:val="23"/>
          <w:szCs w:val="23"/>
        </w:rPr>
        <w:t>ntest</w:t>
      </w:r>
      <w:r w:rsidRPr="00D9154D">
        <w:rPr>
          <w:rFonts w:asciiTheme="majorHAnsi" w:eastAsiaTheme="majorEastAsia" w:hAnsiTheme="majorHAnsi" w:cstheme="majorBidi"/>
          <w:color w:val="595959" w:themeColor="text1" w:themeTint="A6"/>
          <w:sz w:val="23"/>
          <w:szCs w:val="23"/>
        </w:rPr>
        <w:t xml:space="preserve"> </w:t>
      </w:r>
      <w:r w:rsidR="00EC2225">
        <w:rPr>
          <w:rFonts w:asciiTheme="majorHAnsi" w:eastAsiaTheme="majorEastAsia" w:hAnsiTheme="majorHAnsi" w:cstheme="majorBidi"/>
          <w:color w:val="595959" w:themeColor="text1" w:themeTint="A6"/>
          <w:sz w:val="23"/>
          <w:szCs w:val="23"/>
        </w:rPr>
        <w:t>(p.74)</w:t>
      </w:r>
      <w:r w:rsidRPr="00D9154D">
        <w:rPr>
          <w:rFonts w:asciiTheme="majorHAnsi" w:eastAsiaTheme="majorEastAsia" w:hAnsiTheme="majorHAnsi" w:cstheme="majorBidi"/>
          <w:color w:val="595959" w:themeColor="text1" w:themeTint="A6"/>
          <w:sz w:val="23"/>
          <w:szCs w:val="23"/>
        </w:rPr>
        <w:t xml:space="preserve">; Festival of Neighbourhoods, Canada </w:t>
      </w:r>
      <w:r w:rsidR="00C344E6">
        <w:rPr>
          <w:rFonts w:asciiTheme="majorHAnsi" w:eastAsiaTheme="majorEastAsia" w:hAnsiTheme="majorHAnsi" w:cstheme="majorBidi"/>
          <w:color w:val="595959" w:themeColor="text1" w:themeTint="A6"/>
          <w:sz w:val="23"/>
          <w:szCs w:val="23"/>
        </w:rPr>
        <w:t>(p.75)</w:t>
      </w:r>
      <w:r w:rsidRPr="00D9154D">
        <w:rPr>
          <w:rFonts w:asciiTheme="majorHAnsi" w:eastAsiaTheme="majorEastAsia" w:hAnsiTheme="majorHAnsi" w:cstheme="majorBidi"/>
          <w:color w:val="595959" w:themeColor="text1" w:themeTint="A6"/>
          <w:sz w:val="23"/>
          <w:szCs w:val="23"/>
        </w:rPr>
        <w:t>; The Broomhill Project, Glasgow</w:t>
      </w:r>
      <w:r w:rsidR="005E43F6">
        <w:rPr>
          <w:rFonts w:asciiTheme="majorHAnsi" w:eastAsiaTheme="majorEastAsia" w:hAnsiTheme="majorHAnsi" w:cstheme="majorBidi"/>
          <w:color w:val="595959" w:themeColor="text1" w:themeTint="A6"/>
          <w:sz w:val="23"/>
          <w:szCs w:val="23"/>
        </w:rPr>
        <w:t>, Scotland</w:t>
      </w:r>
      <w:r w:rsidRPr="00D9154D">
        <w:rPr>
          <w:rFonts w:asciiTheme="majorHAnsi" w:eastAsiaTheme="majorEastAsia" w:hAnsiTheme="majorHAnsi" w:cstheme="majorBidi"/>
          <w:color w:val="595959" w:themeColor="text1" w:themeTint="A6"/>
          <w:sz w:val="23"/>
          <w:szCs w:val="23"/>
        </w:rPr>
        <w:t xml:space="preserve"> </w:t>
      </w:r>
      <w:r w:rsidR="00575D6B" w:rsidRPr="004E04B0">
        <w:rPr>
          <w:rFonts w:asciiTheme="majorHAnsi" w:eastAsiaTheme="majorEastAsia" w:hAnsiTheme="majorHAnsi" w:cstheme="majorBidi"/>
          <w:color w:val="595959" w:themeColor="text1" w:themeTint="A6"/>
          <w:sz w:val="23"/>
          <w:szCs w:val="23"/>
        </w:rPr>
        <w:t>(p.76)</w:t>
      </w:r>
      <w:r w:rsidR="00575D6B">
        <w:rPr>
          <w:rFonts w:asciiTheme="majorHAnsi" w:eastAsiaTheme="majorEastAsia" w:hAnsiTheme="majorHAnsi" w:cstheme="majorBidi"/>
          <w:color w:val="595959" w:themeColor="text1" w:themeTint="A6"/>
          <w:sz w:val="23"/>
          <w:szCs w:val="23"/>
        </w:rPr>
        <w:t xml:space="preserve">; </w:t>
      </w:r>
      <w:r w:rsidRPr="00D9154D">
        <w:rPr>
          <w:rFonts w:asciiTheme="majorHAnsi" w:eastAsiaTheme="majorEastAsia" w:hAnsiTheme="majorHAnsi" w:cstheme="majorBidi"/>
          <w:color w:val="595959" w:themeColor="text1" w:themeTint="A6"/>
          <w:sz w:val="23"/>
          <w:szCs w:val="23"/>
        </w:rPr>
        <w:t xml:space="preserve">My Community Matters, </w:t>
      </w:r>
      <w:r w:rsidR="008444B3">
        <w:rPr>
          <w:rFonts w:asciiTheme="majorHAnsi" w:eastAsiaTheme="majorEastAsia" w:hAnsiTheme="majorHAnsi" w:cstheme="majorBidi"/>
          <w:color w:val="595959" w:themeColor="text1" w:themeTint="A6"/>
          <w:sz w:val="23"/>
          <w:szCs w:val="23"/>
        </w:rPr>
        <w:t xml:space="preserve">UK </w:t>
      </w:r>
      <w:r w:rsidR="00D46139">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community walkabouts</w:t>
      </w:r>
      <w:r w:rsidR="00D46139">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w:t>
      </w:r>
      <w:r w:rsidR="00575D6B">
        <w:rPr>
          <w:rFonts w:asciiTheme="majorHAnsi" w:eastAsiaTheme="majorEastAsia" w:hAnsiTheme="majorHAnsi" w:cstheme="majorBidi"/>
          <w:color w:val="595959" w:themeColor="text1" w:themeTint="A6"/>
          <w:sz w:val="23"/>
          <w:szCs w:val="23"/>
        </w:rPr>
        <w:t>(p.77)</w:t>
      </w:r>
      <w:r w:rsidR="00575D6B" w:rsidRPr="00D9154D">
        <w:rPr>
          <w:rFonts w:asciiTheme="majorHAnsi" w:eastAsiaTheme="majorEastAsia" w:hAnsiTheme="majorHAnsi" w:cstheme="majorBidi"/>
          <w:color w:val="595959" w:themeColor="text1" w:themeTint="A6"/>
          <w:sz w:val="23"/>
          <w:szCs w:val="23"/>
        </w:rPr>
        <w:t xml:space="preserve">; </w:t>
      </w:r>
      <w:r w:rsidRPr="00D9154D">
        <w:rPr>
          <w:rFonts w:asciiTheme="majorHAnsi" w:eastAsiaTheme="majorEastAsia" w:hAnsiTheme="majorHAnsi" w:cstheme="majorBidi"/>
          <w:color w:val="595959" w:themeColor="text1" w:themeTint="A6"/>
          <w:sz w:val="23"/>
          <w:szCs w:val="23"/>
        </w:rPr>
        <w:t xml:space="preserve">Skip Garden and Kitchen + </w:t>
      </w:r>
      <w:r w:rsidRPr="502830E4">
        <w:rPr>
          <w:rFonts w:asciiTheme="majorHAnsi" w:eastAsiaTheme="majorEastAsia" w:hAnsiTheme="majorHAnsi" w:cstheme="majorBidi"/>
          <w:color w:val="525252" w:themeColor="accent3" w:themeShade="80"/>
          <w:sz w:val="23"/>
          <w:szCs w:val="23"/>
        </w:rPr>
        <w:t xml:space="preserve">Story Garden, London </w:t>
      </w:r>
      <w:r w:rsidR="00A86F50">
        <w:rPr>
          <w:rFonts w:asciiTheme="majorHAnsi" w:eastAsiaTheme="majorEastAsia" w:hAnsiTheme="majorHAnsi" w:cstheme="majorBidi"/>
          <w:color w:val="525252" w:themeColor="accent3" w:themeShade="80"/>
          <w:sz w:val="23"/>
          <w:szCs w:val="23"/>
        </w:rPr>
        <w:t>(p.78)</w:t>
      </w:r>
      <w:r w:rsidRPr="502830E4">
        <w:rPr>
          <w:rFonts w:asciiTheme="majorHAnsi" w:eastAsiaTheme="majorEastAsia" w:hAnsiTheme="majorHAnsi" w:cstheme="majorBidi"/>
          <w:color w:val="525252" w:themeColor="accent3" w:themeShade="80"/>
          <w:sz w:val="23"/>
          <w:szCs w:val="23"/>
        </w:rPr>
        <w:t xml:space="preserve">; Nourishing Landscapes, France </w:t>
      </w:r>
      <w:r w:rsidR="00A86F50">
        <w:rPr>
          <w:rFonts w:asciiTheme="majorHAnsi" w:eastAsiaTheme="majorEastAsia" w:hAnsiTheme="majorHAnsi" w:cstheme="majorBidi"/>
          <w:color w:val="525252" w:themeColor="accent3" w:themeShade="80"/>
          <w:sz w:val="23"/>
          <w:szCs w:val="23"/>
        </w:rPr>
        <w:t>(p.81)</w:t>
      </w:r>
      <w:r w:rsidRPr="502830E4">
        <w:rPr>
          <w:rFonts w:asciiTheme="majorHAnsi" w:eastAsiaTheme="majorEastAsia" w:hAnsiTheme="majorHAnsi" w:cstheme="majorBidi"/>
          <w:color w:val="525252" w:themeColor="accent3" w:themeShade="80"/>
          <w:sz w:val="23"/>
          <w:szCs w:val="23"/>
        </w:rPr>
        <w:t xml:space="preserve">; Oslo Living Lab, Norway </w:t>
      </w:r>
      <w:r w:rsidR="00D46139">
        <w:rPr>
          <w:rFonts w:asciiTheme="majorHAnsi" w:eastAsiaTheme="majorEastAsia" w:hAnsiTheme="majorHAnsi" w:cstheme="majorBidi"/>
          <w:color w:val="525252" w:themeColor="accent3" w:themeShade="80"/>
          <w:sz w:val="23"/>
          <w:szCs w:val="23"/>
        </w:rPr>
        <w:t>(</w:t>
      </w:r>
      <w:r w:rsidRPr="502830E4">
        <w:rPr>
          <w:rFonts w:asciiTheme="majorHAnsi" w:eastAsiaTheme="majorEastAsia" w:hAnsiTheme="majorHAnsi" w:cstheme="majorBidi"/>
          <w:color w:val="525252" w:themeColor="accent3" w:themeShade="80"/>
          <w:sz w:val="23"/>
          <w:szCs w:val="23"/>
        </w:rPr>
        <w:t>tactical urbanism projects</w:t>
      </w:r>
      <w:r w:rsidR="00D46139">
        <w:rPr>
          <w:rFonts w:asciiTheme="majorHAnsi" w:eastAsiaTheme="majorEastAsia" w:hAnsiTheme="majorHAnsi" w:cstheme="majorBidi"/>
          <w:color w:val="525252" w:themeColor="accent3" w:themeShade="80"/>
          <w:sz w:val="23"/>
          <w:szCs w:val="23"/>
        </w:rPr>
        <w:t>)</w:t>
      </w:r>
      <w:r w:rsidRPr="502830E4">
        <w:rPr>
          <w:rFonts w:asciiTheme="majorHAnsi" w:eastAsiaTheme="majorEastAsia" w:hAnsiTheme="majorHAnsi" w:cstheme="majorBidi"/>
          <w:color w:val="525252" w:themeColor="accent3" w:themeShade="80"/>
          <w:sz w:val="23"/>
          <w:szCs w:val="23"/>
        </w:rPr>
        <w:t xml:space="preserve"> </w:t>
      </w:r>
      <w:r w:rsidR="00A86F50">
        <w:rPr>
          <w:rFonts w:asciiTheme="majorHAnsi" w:eastAsiaTheme="majorEastAsia" w:hAnsiTheme="majorHAnsi" w:cstheme="majorBidi"/>
          <w:color w:val="525252" w:themeColor="accent3" w:themeShade="80"/>
          <w:sz w:val="23"/>
          <w:szCs w:val="23"/>
        </w:rPr>
        <w:t>(p.82).</w:t>
      </w:r>
    </w:p>
    <w:p w14:paraId="0B3127AB" w14:textId="77777777" w:rsidR="002A7FC6" w:rsidRPr="002A7FC6" w:rsidRDefault="002A7FC6" w:rsidP="00815D3A">
      <w:pPr>
        <w:spacing w:after="0" w:line="276" w:lineRule="auto"/>
        <w:rPr>
          <w:rFonts w:asciiTheme="majorHAnsi" w:eastAsiaTheme="majorEastAsia" w:hAnsiTheme="majorHAnsi" w:cstheme="majorBidi"/>
          <w:color w:val="525252" w:themeColor="accent3" w:themeShade="80"/>
          <w:sz w:val="12"/>
          <w:szCs w:val="12"/>
        </w:rPr>
      </w:pPr>
    </w:p>
    <w:p w14:paraId="60678900" w14:textId="7AA0D006" w:rsidR="00F00E3D" w:rsidRPr="00A2141D" w:rsidRDefault="00F00E3D" w:rsidP="00815D3A">
      <w:pPr>
        <w:pStyle w:val="Default"/>
        <w:spacing w:line="276" w:lineRule="auto"/>
        <w:rPr>
          <w:rFonts w:eastAsia="Calibri"/>
          <w:b/>
          <w:color w:val="2E74B5" w:themeColor="accent5" w:themeShade="BF"/>
          <w:sz w:val="25"/>
          <w:szCs w:val="25"/>
        </w:rPr>
      </w:pPr>
      <w:r w:rsidRPr="00A2141D">
        <w:rPr>
          <w:rFonts w:eastAsia="Calibri"/>
          <w:b/>
          <w:color w:val="2E74B5" w:themeColor="accent5" w:themeShade="BF"/>
          <w:sz w:val="25"/>
          <w:szCs w:val="25"/>
        </w:rPr>
        <w:t xml:space="preserve">3.6 Social Connection </w:t>
      </w:r>
      <w:r w:rsidR="00AB0FF9">
        <w:rPr>
          <w:rFonts w:eastAsia="Calibri"/>
          <w:b/>
          <w:color w:val="2E74B5" w:themeColor="accent5" w:themeShade="BF"/>
          <w:sz w:val="25"/>
          <w:szCs w:val="25"/>
        </w:rPr>
        <w:t>Initiative</w:t>
      </w:r>
    </w:p>
    <w:p w14:paraId="1601EE15" w14:textId="77777777" w:rsidR="0055529D" w:rsidRPr="00762F8E" w:rsidRDefault="0055529D" w:rsidP="00815D3A">
      <w:pPr>
        <w:spacing w:after="0" w:line="276" w:lineRule="auto"/>
        <w:rPr>
          <w:rFonts w:asciiTheme="majorHAnsi" w:hAnsiTheme="majorHAnsi" w:cstheme="majorBidi"/>
          <w:sz w:val="12"/>
          <w:szCs w:val="12"/>
        </w:rPr>
      </w:pPr>
    </w:p>
    <w:p w14:paraId="7EFF9D56" w14:textId="236A9264" w:rsidR="00F00E3D" w:rsidRPr="00552857" w:rsidRDefault="005E5209" w:rsidP="00815D3A">
      <w:pPr>
        <w:spacing w:line="276" w:lineRule="auto"/>
        <w:rPr>
          <w:rFonts w:asciiTheme="majorHAnsi" w:hAnsiTheme="majorHAnsi" w:cstheme="majorBidi"/>
          <w:sz w:val="23"/>
          <w:szCs w:val="23"/>
        </w:rPr>
      </w:pPr>
      <w:r>
        <w:rPr>
          <w:rFonts w:asciiTheme="majorHAnsi" w:hAnsiTheme="majorHAnsi" w:cstheme="majorBidi"/>
          <w:sz w:val="23"/>
          <w:szCs w:val="23"/>
        </w:rPr>
        <w:t>The research team</w:t>
      </w:r>
      <w:r w:rsidR="00F00E3D" w:rsidRPr="502830E4">
        <w:rPr>
          <w:rFonts w:asciiTheme="majorHAnsi" w:hAnsiTheme="majorHAnsi" w:cstheme="majorBidi"/>
          <w:sz w:val="23"/>
          <w:szCs w:val="23"/>
        </w:rPr>
        <w:t xml:space="preserve"> </w:t>
      </w:r>
      <w:r w:rsidR="001A5A8F">
        <w:rPr>
          <w:rFonts w:asciiTheme="majorHAnsi" w:hAnsiTheme="majorHAnsi" w:cstheme="majorBidi"/>
          <w:sz w:val="23"/>
          <w:szCs w:val="23"/>
        </w:rPr>
        <w:t>found that</w:t>
      </w:r>
      <w:r w:rsidR="00F00E3D" w:rsidRPr="502830E4">
        <w:rPr>
          <w:rFonts w:asciiTheme="majorHAnsi" w:hAnsiTheme="majorHAnsi" w:cstheme="majorBidi"/>
          <w:sz w:val="23"/>
          <w:szCs w:val="23"/>
        </w:rPr>
        <w:t xml:space="preserve"> the pandemic both caused and exacerbated social isolation for many residents in the three localities. </w:t>
      </w:r>
      <w:r w:rsidR="00F00E3D" w:rsidRPr="0E3C9592">
        <w:rPr>
          <w:rFonts w:asciiTheme="majorHAnsi" w:hAnsiTheme="majorHAnsi" w:cstheme="majorBidi"/>
          <w:sz w:val="23"/>
          <w:szCs w:val="23"/>
        </w:rPr>
        <w:t xml:space="preserve">Addressing this loss of social ties is a vital priority. </w:t>
      </w:r>
      <w:r w:rsidR="00F00E3D" w:rsidRPr="502830E4">
        <w:rPr>
          <w:rFonts w:asciiTheme="majorHAnsi" w:hAnsiTheme="majorHAnsi" w:cstheme="majorBidi"/>
          <w:sz w:val="23"/>
          <w:szCs w:val="23"/>
        </w:rPr>
        <w:t>The Social Connection Initiative aims to build and strengthen the connections between residents</w:t>
      </w:r>
      <w:r w:rsidR="00165A30">
        <w:rPr>
          <w:rFonts w:asciiTheme="majorHAnsi" w:hAnsiTheme="majorHAnsi" w:cstheme="majorBidi"/>
          <w:sz w:val="23"/>
          <w:szCs w:val="23"/>
        </w:rPr>
        <w:t xml:space="preserve"> and </w:t>
      </w:r>
      <w:r w:rsidR="00552840">
        <w:rPr>
          <w:rFonts w:asciiTheme="majorHAnsi" w:hAnsiTheme="majorHAnsi" w:cstheme="majorBidi"/>
          <w:sz w:val="23"/>
          <w:szCs w:val="23"/>
        </w:rPr>
        <w:t xml:space="preserve">their </w:t>
      </w:r>
      <w:r w:rsidR="00EA710B">
        <w:rPr>
          <w:rFonts w:asciiTheme="majorHAnsi" w:hAnsiTheme="majorHAnsi" w:cstheme="majorBidi"/>
          <w:sz w:val="23"/>
          <w:szCs w:val="23"/>
        </w:rPr>
        <w:t>communities.</w:t>
      </w:r>
      <w:r w:rsidR="00F00E3D" w:rsidRPr="72EF3811">
        <w:rPr>
          <w:rFonts w:asciiTheme="majorHAnsi" w:hAnsiTheme="majorHAnsi" w:cstheme="majorBidi"/>
          <w:sz w:val="23"/>
          <w:szCs w:val="23"/>
        </w:rPr>
        <w:t xml:space="preserve"> </w:t>
      </w:r>
    </w:p>
    <w:p w14:paraId="2F43F25D" w14:textId="2868D803" w:rsidR="00F00E3D" w:rsidRPr="00552857" w:rsidRDefault="00F00E3D" w:rsidP="00815D3A">
      <w:pPr>
        <w:spacing w:line="276" w:lineRule="auto"/>
        <w:rPr>
          <w:rFonts w:asciiTheme="majorHAnsi" w:hAnsiTheme="majorHAnsi" w:cstheme="majorBidi"/>
          <w:sz w:val="23"/>
          <w:szCs w:val="23"/>
        </w:rPr>
      </w:pPr>
      <w:r w:rsidRPr="502830E4">
        <w:rPr>
          <w:rFonts w:asciiTheme="majorHAnsi" w:hAnsiTheme="majorHAnsi" w:cstheme="majorBidi"/>
          <w:sz w:val="23"/>
          <w:szCs w:val="23"/>
        </w:rPr>
        <w:lastRenderedPageBreak/>
        <w:t xml:space="preserve">Building connections with neighbours and locals has benefits for individual wellbeing, while helping to build social </w:t>
      </w:r>
      <w:r w:rsidRPr="72EF3811">
        <w:rPr>
          <w:rFonts w:asciiTheme="majorHAnsi" w:hAnsiTheme="majorHAnsi" w:cstheme="majorBidi"/>
          <w:sz w:val="23"/>
          <w:szCs w:val="23"/>
        </w:rPr>
        <w:t>capital</w:t>
      </w:r>
      <w:r w:rsidRPr="502830E4">
        <w:rPr>
          <w:rFonts w:asciiTheme="majorHAnsi" w:hAnsiTheme="majorHAnsi" w:cstheme="majorBidi"/>
          <w:sz w:val="23"/>
          <w:szCs w:val="23"/>
        </w:rPr>
        <w:t xml:space="preserve"> and community pride. </w:t>
      </w:r>
      <w:r w:rsidR="008B269F">
        <w:rPr>
          <w:rFonts w:asciiTheme="majorHAnsi" w:hAnsiTheme="majorHAnsi" w:cstheme="majorBidi"/>
          <w:sz w:val="23"/>
          <w:szCs w:val="23"/>
        </w:rPr>
        <w:t>Social connection can also be a</w:t>
      </w:r>
      <w:r w:rsidRPr="502830E4">
        <w:rPr>
          <w:rFonts w:asciiTheme="majorHAnsi" w:hAnsiTheme="majorHAnsi" w:cstheme="majorBidi"/>
          <w:sz w:val="23"/>
          <w:szCs w:val="23"/>
        </w:rPr>
        <w:t xml:space="preserve"> crucial channel for people to </w:t>
      </w:r>
      <w:r w:rsidR="00552840">
        <w:rPr>
          <w:rFonts w:asciiTheme="majorHAnsi" w:hAnsiTheme="majorHAnsi" w:cstheme="majorBidi"/>
          <w:sz w:val="23"/>
          <w:szCs w:val="23"/>
        </w:rPr>
        <w:t>tap into</w:t>
      </w:r>
      <w:r w:rsidRPr="502830E4">
        <w:rPr>
          <w:rFonts w:asciiTheme="majorHAnsi" w:hAnsiTheme="majorHAnsi" w:cstheme="majorBidi"/>
          <w:sz w:val="23"/>
          <w:szCs w:val="23"/>
        </w:rPr>
        <w:t xml:space="preserve"> personal and family support</w:t>
      </w:r>
      <w:r w:rsidR="00E50FC4">
        <w:rPr>
          <w:rFonts w:asciiTheme="majorHAnsi" w:hAnsiTheme="majorHAnsi" w:cstheme="majorBidi"/>
          <w:sz w:val="23"/>
          <w:szCs w:val="23"/>
        </w:rPr>
        <w:t xml:space="preserve">, </w:t>
      </w:r>
      <w:r w:rsidR="00552840">
        <w:rPr>
          <w:rFonts w:asciiTheme="majorHAnsi" w:hAnsiTheme="majorHAnsi" w:cstheme="majorBidi"/>
          <w:sz w:val="23"/>
          <w:szCs w:val="23"/>
        </w:rPr>
        <w:t xml:space="preserve">access </w:t>
      </w:r>
      <w:r w:rsidRPr="502830E4">
        <w:rPr>
          <w:rFonts w:asciiTheme="majorHAnsi" w:hAnsiTheme="majorHAnsi" w:cstheme="majorBidi"/>
          <w:sz w:val="23"/>
          <w:szCs w:val="23"/>
        </w:rPr>
        <w:t>services and programs</w:t>
      </w:r>
      <w:r w:rsidR="00E50FC4">
        <w:rPr>
          <w:rFonts w:asciiTheme="majorHAnsi" w:hAnsiTheme="majorHAnsi" w:cstheme="majorBidi"/>
          <w:sz w:val="23"/>
          <w:szCs w:val="23"/>
        </w:rPr>
        <w:t>, and shift</w:t>
      </w:r>
      <w:r w:rsidR="00E50FC4" w:rsidRPr="72EF3811">
        <w:rPr>
          <w:rFonts w:asciiTheme="majorHAnsi" w:hAnsiTheme="majorHAnsi" w:cstheme="majorBidi"/>
          <w:sz w:val="23"/>
          <w:szCs w:val="23"/>
        </w:rPr>
        <w:t xml:space="preserve"> from </w:t>
      </w:r>
      <w:r w:rsidR="00E50FC4">
        <w:rPr>
          <w:rFonts w:asciiTheme="majorHAnsi" w:hAnsiTheme="majorHAnsi" w:cstheme="majorBidi"/>
          <w:sz w:val="23"/>
          <w:szCs w:val="23"/>
        </w:rPr>
        <w:t>“</w:t>
      </w:r>
      <w:r w:rsidR="00E50FC4" w:rsidRPr="72EF3811">
        <w:rPr>
          <w:rFonts w:asciiTheme="majorHAnsi" w:hAnsiTheme="majorHAnsi" w:cstheme="majorBidi"/>
          <w:sz w:val="23"/>
          <w:szCs w:val="23"/>
        </w:rPr>
        <w:t>bonding</w:t>
      </w:r>
      <w:r w:rsidR="00E50FC4">
        <w:rPr>
          <w:rFonts w:asciiTheme="majorHAnsi" w:hAnsiTheme="majorHAnsi" w:cstheme="majorBidi"/>
          <w:sz w:val="23"/>
          <w:szCs w:val="23"/>
        </w:rPr>
        <w:t>”</w:t>
      </w:r>
      <w:r w:rsidR="00E50FC4" w:rsidRPr="72EF3811">
        <w:rPr>
          <w:rFonts w:asciiTheme="majorHAnsi" w:hAnsiTheme="majorHAnsi" w:cstheme="majorBidi"/>
          <w:sz w:val="23"/>
          <w:szCs w:val="23"/>
        </w:rPr>
        <w:t xml:space="preserve"> to </w:t>
      </w:r>
      <w:r w:rsidR="00E50FC4">
        <w:rPr>
          <w:rFonts w:asciiTheme="majorHAnsi" w:hAnsiTheme="majorHAnsi" w:cstheme="majorBidi"/>
          <w:sz w:val="23"/>
          <w:szCs w:val="23"/>
        </w:rPr>
        <w:t>“</w:t>
      </w:r>
      <w:r w:rsidR="00E50FC4" w:rsidRPr="72EF3811">
        <w:rPr>
          <w:rFonts w:asciiTheme="majorHAnsi" w:hAnsiTheme="majorHAnsi" w:cstheme="majorBidi"/>
          <w:sz w:val="23"/>
          <w:szCs w:val="23"/>
        </w:rPr>
        <w:t>bridging</w:t>
      </w:r>
      <w:r w:rsidR="00E50FC4">
        <w:rPr>
          <w:rFonts w:asciiTheme="majorHAnsi" w:hAnsiTheme="majorHAnsi" w:cstheme="majorBidi"/>
          <w:sz w:val="23"/>
          <w:szCs w:val="23"/>
        </w:rPr>
        <w:t>”</w:t>
      </w:r>
      <w:r w:rsidR="00E50FC4" w:rsidRPr="72EF3811">
        <w:rPr>
          <w:rFonts w:asciiTheme="majorHAnsi" w:hAnsiTheme="majorHAnsi" w:cstheme="majorBidi"/>
          <w:sz w:val="23"/>
          <w:szCs w:val="23"/>
        </w:rPr>
        <w:t xml:space="preserve"> social capital</w:t>
      </w:r>
      <w:r w:rsidR="00E50FC4">
        <w:rPr>
          <w:rFonts w:asciiTheme="majorHAnsi" w:hAnsiTheme="majorHAnsi" w:cstheme="majorBidi"/>
          <w:sz w:val="23"/>
          <w:szCs w:val="23"/>
        </w:rPr>
        <w:t xml:space="preserve"> </w:t>
      </w:r>
      <w:r w:rsidR="00E50FC4" w:rsidRPr="00EA710B">
        <w:rPr>
          <w:rFonts w:asciiTheme="majorHAnsi" w:hAnsiTheme="majorHAnsi" w:cstheme="majorBidi"/>
          <w:sz w:val="23"/>
          <w:szCs w:val="23"/>
        </w:rPr>
        <w:t>(</w:t>
      </w:r>
      <w:r w:rsidR="00E50FC4">
        <w:rPr>
          <w:rFonts w:asciiTheme="majorHAnsi" w:hAnsiTheme="majorHAnsi" w:cstheme="majorBidi"/>
          <w:sz w:val="23"/>
          <w:szCs w:val="23"/>
        </w:rPr>
        <w:t xml:space="preserve">from building links </w:t>
      </w:r>
      <w:r w:rsidR="00E50FC4" w:rsidRPr="00EA710B">
        <w:rPr>
          <w:rFonts w:asciiTheme="majorHAnsi" w:hAnsiTheme="majorHAnsi" w:cstheme="majorBidi"/>
          <w:sz w:val="23"/>
          <w:szCs w:val="23"/>
        </w:rPr>
        <w:t xml:space="preserve">within groups, </w:t>
      </w:r>
      <w:r w:rsidR="00E50FC4">
        <w:rPr>
          <w:rFonts w:asciiTheme="majorHAnsi" w:hAnsiTheme="majorHAnsi" w:cstheme="majorBidi"/>
          <w:sz w:val="23"/>
          <w:szCs w:val="23"/>
        </w:rPr>
        <w:t>to</w:t>
      </w:r>
      <w:r w:rsidR="00E50FC4" w:rsidRPr="00EA710B">
        <w:rPr>
          <w:rFonts w:asciiTheme="majorHAnsi" w:hAnsiTheme="majorHAnsi" w:cstheme="majorBidi"/>
          <w:sz w:val="23"/>
          <w:szCs w:val="23"/>
        </w:rPr>
        <w:t xml:space="preserve"> </w:t>
      </w:r>
      <w:r w:rsidR="00E50FC4">
        <w:rPr>
          <w:rFonts w:asciiTheme="majorHAnsi" w:hAnsiTheme="majorHAnsi" w:cstheme="majorBidi"/>
          <w:sz w:val="23"/>
          <w:szCs w:val="23"/>
        </w:rPr>
        <w:t xml:space="preserve">forging links </w:t>
      </w:r>
      <w:r w:rsidR="00E50FC4" w:rsidRPr="00EA710B">
        <w:rPr>
          <w:rFonts w:asciiTheme="majorHAnsi" w:hAnsiTheme="majorHAnsi" w:cstheme="majorBidi"/>
          <w:sz w:val="23"/>
          <w:szCs w:val="23"/>
        </w:rPr>
        <w:t>between groups).</w:t>
      </w:r>
      <w:r w:rsidRPr="502830E4">
        <w:rPr>
          <w:rFonts w:asciiTheme="majorHAnsi" w:hAnsiTheme="majorHAnsi" w:cstheme="majorBidi"/>
          <w:sz w:val="23"/>
          <w:szCs w:val="23"/>
        </w:rPr>
        <w:t xml:space="preserve"> </w:t>
      </w:r>
      <w:r w:rsidR="001A5A8F">
        <w:rPr>
          <w:rFonts w:asciiTheme="majorHAnsi" w:hAnsiTheme="majorHAnsi" w:cstheme="majorBidi"/>
          <w:sz w:val="23"/>
          <w:szCs w:val="23"/>
        </w:rPr>
        <w:t>S</w:t>
      </w:r>
      <w:r w:rsidRPr="502830E4">
        <w:rPr>
          <w:rFonts w:asciiTheme="majorHAnsi" w:hAnsiTheme="majorHAnsi" w:cstheme="majorBidi"/>
          <w:sz w:val="23"/>
          <w:szCs w:val="23"/>
        </w:rPr>
        <w:t xml:space="preserve">trengthening social </w:t>
      </w:r>
      <w:r w:rsidRPr="72EF3811">
        <w:rPr>
          <w:rFonts w:asciiTheme="majorHAnsi" w:hAnsiTheme="majorHAnsi" w:cstheme="majorBidi"/>
          <w:sz w:val="23"/>
          <w:szCs w:val="23"/>
        </w:rPr>
        <w:t>c</w:t>
      </w:r>
      <w:r w:rsidR="00E50FC4">
        <w:rPr>
          <w:rFonts w:asciiTheme="majorHAnsi" w:hAnsiTheme="majorHAnsi" w:cstheme="majorBidi"/>
          <w:sz w:val="23"/>
          <w:szCs w:val="23"/>
        </w:rPr>
        <w:t>onnection</w:t>
      </w:r>
      <w:r w:rsidRPr="502830E4">
        <w:rPr>
          <w:rFonts w:asciiTheme="majorHAnsi" w:hAnsiTheme="majorHAnsi" w:cstheme="majorBidi"/>
          <w:sz w:val="23"/>
          <w:szCs w:val="23"/>
        </w:rPr>
        <w:t xml:space="preserve"> can</w:t>
      </w:r>
      <w:r w:rsidR="001A5A8F">
        <w:rPr>
          <w:rFonts w:asciiTheme="majorHAnsi" w:hAnsiTheme="majorHAnsi" w:cstheme="majorBidi"/>
          <w:sz w:val="23"/>
          <w:szCs w:val="23"/>
        </w:rPr>
        <w:t xml:space="preserve"> thus</w:t>
      </w:r>
      <w:r w:rsidRPr="502830E4">
        <w:rPr>
          <w:rFonts w:asciiTheme="majorHAnsi" w:hAnsiTheme="majorHAnsi" w:cstheme="majorBidi"/>
          <w:sz w:val="23"/>
          <w:szCs w:val="23"/>
        </w:rPr>
        <w:t xml:space="preserve"> improve access to education, employment opportunities, public health resources, housing supports, and legal supports for domestic violence issues.</w:t>
      </w:r>
    </w:p>
    <w:p w14:paraId="5CB5B905" w14:textId="59B017B0" w:rsidR="00F00E3D" w:rsidRPr="00552857" w:rsidRDefault="00F00E3D" w:rsidP="78F9AF82">
      <w:pPr>
        <w:spacing w:line="276" w:lineRule="auto"/>
        <w:rPr>
          <w:rFonts w:asciiTheme="majorHAnsi" w:hAnsiTheme="majorHAnsi" w:cstheme="majorBidi"/>
          <w:sz w:val="23"/>
          <w:szCs w:val="23"/>
        </w:rPr>
      </w:pPr>
      <w:r w:rsidRPr="78F9AF82">
        <w:rPr>
          <w:rFonts w:asciiTheme="majorHAnsi" w:hAnsiTheme="majorHAnsi" w:cstheme="majorBidi"/>
          <w:sz w:val="23"/>
          <w:szCs w:val="23"/>
        </w:rPr>
        <w:t>Specific programs could include walking clubs, coffee clubs</w:t>
      </w:r>
      <w:r w:rsidR="005663DD" w:rsidRPr="78F9AF82">
        <w:rPr>
          <w:rFonts w:asciiTheme="majorHAnsi" w:hAnsiTheme="majorHAnsi" w:cstheme="majorBidi"/>
          <w:sz w:val="23"/>
          <w:szCs w:val="23"/>
        </w:rPr>
        <w:t>,</w:t>
      </w:r>
      <w:r w:rsidRPr="78F9AF82">
        <w:rPr>
          <w:rFonts w:asciiTheme="majorHAnsi" w:hAnsiTheme="majorHAnsi" w:cstheme="majorBidi"/>
          <w:sz w:val="23"/>
          <w:szCs w:val="23"/>
        </w:rPr>
        <w:t xml:space="preserve"> and group outings; </w:t>
      </w:r>
      <w:r w:rsidRPr="78F9AF82">
        <w:rPr>
          <w:rFonts w:ascii="Calibri Light" w:eastAsia="Calibri Light" w:hAnsi="Calibri Light" w:cs="Calibri Light"/>
          <w:sz w:val="23"/>
          <w:szCs w:val="23"/>
        </w:rPr>
        <w:t>craft, art, photography, music, cooking, gardening</w:t>
      </w:r>
      <w:r w:rsidR="005817C2" w:rsidRPr="78F9AF82">
        <w:rPr>
          <w:rFonts w:ascii="Calibri Light" w:eastAsia="Calibri Light" w:hAnsi="Calibri Light" w:cs="Calibri Light"/>
          <w:sz w:val="23"/>
          <w:szCs w:val="23"/>
        </w:rPr>
        <w:t>, carpentry,</w:t>
      </w:r>
      <w:r w:rsidRPr="78F9AF82">
        <w:rPr>
          <w:rFonts w:ascii="Calibri Light" w:eastAsia="Calibri Light" w:hAnsi="Calibri Light" w:cs="Calibri Light"/>
          <w:sz w:val="23"/>
          <w:szCs w:val="23"/>
        </w:rPr>
        <w:t xml:space="preserve"> </w:t>
      </w:r>
      <w:r w:rsidR="00285302" w:rsidRPr="78F9AF82">
        <w:rPr>
          <w:rFonts w:ascii="Calibri Light" w:eastAsia="Calibri Light" w:hAnsi="Calibri Light" w:cs="Calibri Light"/>
          <w:sz w:val="23"/>
          <w:szCs w:val="23"/>
        </w:rPr>
        <w:t xml:space="preserve">sewing, </w:t>
      </w:r>
      <w:r w:rsidR="005817C2" w:rsidRPr="78F9AF82">
        <w:rPr>
          <w:rFonts w:ascii="Calibri Light" w:eastAsia="Calibri Light" w:hAnsi="Calibri Light" w:cs="Calibri Light"/>
          <w:sz w:val="23"/>
          <w:szCs w:val="23"/>
        </w:rPr>
        <w:t xml:space="preserve">repair, DIY, </w:t>
      </w:r>
      <w:r w:rsidRPr="78F9AF82">
        <w:rPr>
          <w:rFonts w:ascii="Calibri Light" w:eastAsia="Calibri Light" w:hAnsi="Calibri Light" w:cs="Calibri Light"/>
          <w:sz w:val="23"/>
          <w:szCs w:val="23"/>
        </w:rPr>
        <w:t xml:space="preserve">and other workshops; </w:t>
      </w:r>
      <w:r w:rsidR="002817DC" w:rsidRPr="78F9AF82">
        <w:rPr>
          <w:rFonts w:asciiTheme="majorHAnsi" w:hAnsiTheme="majorHAnsi" w:cstheme="majorBidi"/>
          <w:sz w:val="23"/>
          <w:szCs w:val="23"/>
        </w:rPr>
        <w:t>neighbourhood</w:t>
      </w:r>
      <w:r w:rsidRPr="78F9AF82">
        <w:rPr>
          <w:rFonts w:asciiTheme="majorHAnsi" w:hAnsiTheme="majorHAnsi" w:cstheme="majorBidi"/>
          <w:sz w:val="23"/>
          <w:szCs w:val="23"/>
        </w:rPr>
        <w:t xml:space="preserve"> events</w:t>
      </w:r>
      <w:r w:rsidR="002817DC" w:rsidRPr="78F9AF82">
        <w:rPr>
          <w:rFonts w:asciiTheme="majorHAnsi" w:hAnsiTheme="majorHAnsi" w:cstheme="majorBidi"/>
          <w:sz w:val="23"/>
          <w:szCs w:val="23"/>
        </w:rPr>
        <w:t>, local</w:t>
      </w:r>
      <w:r w:rsidRPr="78F9AF82">
        <w:rPr>
          <w:rFonts w:asciiTheme="majorHAnsi" w:hAnsiTheme="majorHAnsi" w:cstheme="majorBidi"/>
          <w:sz w:val="23"/>
          <w:szCs w:val="23"/>
        </w:rPr>
        <w:t xml:space="preserve"> choirs,</w:t>
      </w:r>
      <w:r w:rsidRPr="78F9AF82">
        <w:rPr>
          <w:rFonts w:ascii="Calibri Light" w:eastAsia="Calibri Light" w:hAnsi="Calibri Light" w:cs="Calibri Light"/>
          <w:sz w:val="23"/>
          <w:szCs w:val="23"/>
        </w:rPr>
        <w:t xml:space="preserve"> </w:t>
      </w:r>
      <w:r w:rsidR="00853993" w:rsidRPr="78F9AF82">
        <w:rPr>
          <w:rFonts w:ascii="Calibri Light" w:eastAsia="Calibri Light" w:hAnsi="Calibri Light" w:cs="Calibri Light"/>
          <w:color w:val="000000" w:themeColor="text1"/>
          <w:sz w:val="23"/>
          <w:szCs w:val="23"/>
          <w:lang w:val="en-GB"/>
        </w:rPr>
        <w:t xml:space="preserve">plant and seed swaps, </w:t>
      </w:r>
      <w:r w:rsidR="00DF5B73" w:rsidRPr="78F9AF82">
        <w:rPr>
          <w:rFonts w:ascii="Calibri Light" w:eastAsia="Calibri Light" w:hAnsi="Calibri Light" w:cs="Calibri Light"/>
          <w:sz w:val="23"/>
          <w:szCs w:val="23"/>
        </w:rPr>
        <w:t xml:space="preserve">treasure hunts, </w:t>
      </w:r>
      <w:r w:rsidR="00746A28" w:rsidRPr="78F9AF82">
        <w:rPr>
          <w:rFonts w:ascii="Calibri Light" w:eastAsia="Calibri Light" w:hAnsi="Calibri Light" w:cs="Calibri Light"/>
          <w:sz w:val="23"/>
          <w:szCs w:val="23"/>
        </w:rPr>
        <w:t xml:space="preserve">and </w:t>
      </w:r>
      <w:r w:rsidR="00DF5B73" w:rsidRPr="78F9AF82">
        <w:rPr>
          <w:rFonts w:ascii="Calibri Light" w:eastAsia="Calibri Light" w:hAnsi="Calibri Light" w:cs="Calibri Light"/>
          <w:sz w:val="23"/>
          <w:szCs w:val="23"/>
        </w:rPr>
        <w:t>geocaching events</w:t>
      </w:r>
      <w:r w:rsidR="00746A28" w:rsidRPr="78F9AF82">
        <w:rPr>
          <w:rFonts w:ascii="Calibri Light" w:eastAsia="Calibri Light" w:hAnsi="Calibri Light" w:cs="Calibri Light"/>
          <w:sz w:val="23"/>
          <w:szCs w:val="23"/>
        </w:rPr>
        <w:t>;</w:t>
      </w:r>
      <w:r w:rsidR="00DF5B73" w:rsidRPr="78F9AF82">
        <w:rPr>
          <w:rFonts w:ascii="Calibri Light" w:eastAsia="Calibri Light" w:hAnsi="Calibri Light" w:cs="Calibri Light"/>
          <w:sz w:val="23"/>
          <w:szCs w:val="23"/>
        </w:rPr>
        <w:t xml:space="preserve"> </w:t>
      </w:r>
      <w:r w:rsidR="00E66A25" w:rsidRPr="78F9AF82">
        <w:rPr>
          <w:rFonts w:ascii="Calibri Light" w:eastAsia="Calibri Light" w:hAnsi="Calibri Light" w:cs="Calibri Light"/>
          <w:sz w:val="23"/>
          <w:szCs w:val="23"/>
        </w:rPr>
        <w:t>youth</w:t>
      </w:r>
      <w:r w:rsidR="00746A28" w:rsidRPr="78F9AF82">
        <w:rPr>
          <w:rFonts w:ascii="Calibri Light" w:eastAsia="Calibri Light" w:hAnsi="Calibri Light" w:cs="Calibri Light"/>
          <w:sz w:val="23"/>
          <w:szCs w:val="23"/>
        </w:rPr>
        <w:t xml:space="preserve"> sports</w:t>
      </w:r>
      <w:r w:rsidR="00285302" w:rsidRPr="78F9AF82">
        <w:rPr>
          <w:rFonts w:ascii="Calibri Light" w:eastAsia="Calibri Light" w:hAnsi="Calibri Light" w:cs="Calibri Light"/>
          <w:sz w:val="23"/>
          <w:szCs w:val="23"/>
        </w:rPr>
        <w:t>,</w:t>
      </w:r>
      <w:r w:rsidR="00746A28" w:rsidRPr="78F9AF82">
        <w:rPr>
          <w:rFonts w:ascii="Calibri Light" w:eastAsia="Calibri Light" w:hAnsi="Calibri Light" w:cs="Calibri Light"/>
          <w:sz w:val="23"/>
          <w:szCs w:val="23"/>
        </w:rPr>
        <w:t xml:space="preserve"> </w:t>
      </w:r>
      <w:r w:rsidR="00F82B48" w:rsidRPr="78F9AF82">
        <w:rPr>
          <w:rFonts w:ascii="Calibri Light" w:eastAsia="Calibri Light" w:hAnsi="Calibri Light" w:cs="Calibri Light"/>
          <w:sz w:val="23"/>
          <w:szCs w:val="23"/>
        </w:rPr>
        <w:t>cycling groups</w:t>
      </w:r>
      <w:r w:rsidR="005E39C1" w:rsidRPr="78F9AF82">
        <w:rPr>
          <w:rFonts w:ascii="Calibri Light" w:eastAsia="Calibri Light" w:hAnsi="Calibri Light" w:cs="Calibri Light"/>
          <w:sz w:val="23"/>
          <w:szCs w:val="23"/>
        </w:rPr>
        <w:t xml:space="preserve">, </w:t>
      </w:r>
      <w:r w:rsidR="00165AC8" w:rsidRPr="78F9AF82">
        <w:rPr>
          <w:rFonts w:ascii="Calibri Light" w:eastAsia="Calibri Light" w:hAnsi="Calibri Light" w:cs="Calibri Light"/>
          <w:sz w:val="23"/>
          <w:szCs w:val="23"/>
        </w:rPr>
        <w:t xml:space="preserve">fitness sessions, </w:t>
      </w:r>
      <w:r w:rsidR="00F82B48" w:rsidRPr="78F9AF82">
        <w:rPr>
          <w:rFonts w:ascii="Calibri Light" w:eastAsia="Calibri Light" w:hAnsi="Calibri Light" w:cs="Calibri Light"/>
          <w:sz w:val="23"/>
          <w:szCs w:val="23"/>
        </w:rPr>
        <w:t>bicycle re</w:t>
      </w:r>
      <w:r w:rsidR="00285302" w:rsidRPr="78F9AF82">
        <w:rPr>
          <w:rFonts w:ascii="Calibri Light" w:eastAsia="Calibri Light" w:hAnsi="Calibri Light" w:cs="Calibri Light"/>
          <w:sz w:val="23"/>
          <w:szCs w:val="23"/>
        </w:rPr>
        <w:t>pair</w:t>
      </w:r>
      <w:r w:rsidR="00F82B48" w:rsidRPr="78F9AF82">
        <w:rPr>
          <w:rFonts w:ascii="Calibri Light" w:eastAsia="Calibri Light" w:hAnsi="Calibri Light" w:cs="Calibri Light"/>
          <w:sz w:val="23"/>
          <w:szCs w:val="23"/>
        </w:rPr>
        <w:t>,</w:t>
      </w:r>
      <w:r w:rsidR="005E39C1" w:rsidRPr="78F9AF82">
        <w:rPr>
          <w:rFonts w:ascii="Calibri Light" w:eastAsia="Calibri Light" w:hAnsi="Calibri Light" w:cs="Calibri Light"/>
          <w:sz w:val="23"/>
          <w:szCs w:val="23"/>
        </w:rPr>
        <w:t xml:space="preserve"> </w:t>
      </w:r>
      <w:r w:rsidRPr="78F9AF82">
        <w:rPr>
          <w:rFonts w:asciiTheme="majorHAnsi" w:hAnsiTheme="majorHAnsi" w:cstheme="majorBidi"/>
          <w:sz w:val="23"/>
          <w:szCs w:val="23"/>
        </w:rPr>
        <w:t>school breakfasts and lunch</w:t>
      </w:r>
      <w:r w:rsidR="005817C2" w:rsidRPr="78F9AF82">
        <w:rPr>
          <w:rFonts w:asciiTheme="majorHAnsi" w:hAnsiTheme="majorHAnsi" w:cstheme="majorBidi"/>
          <w:sz w:val="23"/>
          <w:szCs w:val="23"/>
        </w:rPr>
        <w:t>es;</w:t>
      </w:r>
      <w:r w:rsidR="00F82B48" w:rsidRPr="78F9AF82">
        <w:rPr>
          <w:rFonts w:ascii="Calibri Light" w:eastAsia="Calibri Light" w:hAnsi="Calibri Light" w:cs="Calibri Light"/>
          <w:sz w:val="23"/>
          <w:szCs w:val="23"/>
        </w:rPr>
        <w:t xml:space="preserve"> </w:t>
      </w:r>
      <w:r w:rsidRPr="78F9AF82">
        <w:rPr>
          <w:rFonts w:asciiTheme="majorHAnsi" w:hAnsiTheme="majorHAnsi" w:cstheme="majorBidi"/>
          <w:sz w:val="23"/>
          <w:szCs w:val="23"/>
        </w:rPr>
        <w:t xml:space="preserve">and increasing digital inclusion to better connect </w:t>
      </w:r>
      <w:r w:rsidR="00615451" w:rsidRPr="78F9AF82">
        <w:rPr>
          <w:rFonts w:asciiTheme="majorHAnsi" w:hAnsiTheme="majorHAnsi" w:cstheme="majorBidi"/>
          <w:sz w:val="23"/>
          <w:szCs w:val="23"/>
        </w:rPr>
        <w:t xml:space="preserve">residents </w:t>
      </w:r>
      <w:r w:rsidRPr="78F9AF82">
        <w:rPr>
          <w:rFonts w:asciiTheme="majorHAnsi" w:hAnsiTheme="majorHAnsi" w:cstheme="majorBidi"/>
          <w:sz w:val="23"/>
          <w:szCs w:val="23"/>
        </w:rPr>
        <w:t>with each other and community resources.</w:t>
      </w:r>
      <w:r w:rsidR="0081475A" w:rsidRPr="78F9AF82">
        <w:rPr>
          <w:rFonts w:ascii="Calibri Light" w:eastAsia="Calibri Light" w:hAnsi="Calibri Light" w:cs="Calibri Light"/>
          <w:sz w:val="23"/>
          <w:szCs w:val="23"/>
        </w:rPr>
        <w:t xml:space="preserve"> </w:t>
      </w:r>
      <w:r w:rsidR="000E3412" w:rsidRPr="78F9AF82">
        <w:rPr>
          <w:rFonts w:ascii="Calibri Light" w:eastAsia="Calibri Light" w:hAnsi="Calibri Light" w:cs="Calibri Light"/>
          <w:sz w:val="23"/>
          <w:szCs w:val="23"/>
        </w:rPr>
        <w:t>In (re)building social connection</w:t>
      </w:r>
      <w:r w:rsidR="008F5294" w:rsidRPr="78F9AF82">
        <w:rPr>
          <w:rFonts w:ascii="Calibri Light" w:eastAsia="Calibri Light" w:hAnsi="Calibri Light" w:cs="Calibri Light"/>
          <w:sz w:val="23"/>
          <w:szCs w:val="23"/>
        </w:rPr>
        <w:t>s</w:t>
      </w:r>
      <w:r w:rsidR="000E3412" w:rsidRPr="78F9AF82">
        <w:rPr>
          <w:rFonts w:ascii="Calibri Light" w:eastAsia="Calibri Light" w:hAnsi="Calibri Light" w:cs="Calibri Light"/>
          <w:sz w:val="23"/>
          <w:szCs w:val="23"/>
        </w:rPr>
        <w:t xml:space="preserve"> there</w:t>
      </w:r>
      <w:r w:rsidR="0081475A" w:rsidRPr="78F9AF82">
        <w:rPr>
          <w:rFonts w:ascii="Calibri Light" w:eastAsia="Calibri Light" w:hAnsi="Calibri Light" w:cs="Calibri Light"/>
          <w:sz w:val="23"/>
          <w:szCs w:val="23"/>
        </w:rPr>
        <w:t xml:space="preserve"> is also a clear need for outreach programs</w:t>
      </w:r>
      <w:r w:rsidR="000E3412" w:rsidRPr="78F9AF82">
        <w:rPr>
          <w:rFonts w:asciiTheme="majorHAnsi" w:hAnsiTheme="majorHAnsi" w:cstheme="majorBidi"/>
          <w:sz w:val="23"/>
          <w:szCs w:val="23"/>
        </w:rPr>
        <w:t xml:space="preserve"> and approaches that engage residents on their own terms.</w:t>
      </w:r>
    </w:p>
    <w:p w14:paraId="4287C97C" w14:textId="76DED281" w:rsidR="00F00E3D" w:rsidRPr="00D9154D" w:rsidRDefault="00F00E3D" w:rsidP="00815D3A">
      <w:pPr>
        <w:spacing w:after="0" w:line="276" w:lineRule="auto"/>
        <w:rPr>
          <w:rFonts w:asciiTheme="majorHAnsi" w:hAnsiTheme="majorHAnsi" w:cstheme="majorBidi"/>
          <w:color w:val="595959" w:themeColor="text1" w:themeTint="A6"/>
          <w:sz w:val="23"/>
          <w:szCs w:val="23"/>
        </w:rPr>
      </w:pPr>
      <w:r w:rsidRPr="00D9154D">
        <w:rPr>
          <w:rFonts w:cstheme="minorHAnsi"/>
          <w:b/>
          <w:bCs/>
          <w:color w:val="595959" w:themeColor="text1" w:themeTint="A6"/>
          <w:sz w:val="23"/>
          <w:szCs w:val="23"/>
        </w:rPr>
        <w:t xml:space="preserve">Relevant </w:t>
      </w:r>
      <w:r w:rsidR="00AD2DA5">
        <w:rPr>
          <w:rFonts w:cstheme="minorHAnsi"/>
          <w:b/>
          <w:bCs/>
          <w:color w:val="595959" w:themeColor="text1" w:themeTint="A6"/>
          <w:sz w:val="23"/>
          <w:szCs w:val="23"/>
        </w:rPr>
        <w:t>Case Studies</w:t>
      </w:r>
      <w:r w:rsidRPr="00D9154D">
        <w:rPr>
          <w:rFonts w:cstheme="minorHAnsi"/>
          <w:b/>
          <w:bCs/>
          <w:color w:val="595959" w:themeColor="text1" w:themeTint="A6"/>
          <w:sz w:val="23"/>
          <w:szCs w:val="23"/>
        </w:rPr>
        <w:t>:</w:t>
      </w:r>
      <w:r w:rsidRPr="00D9154D">
        <w:rPr>
          <w:rFonts w:asciiTheme="majorHAnsi" w:hAnsiTheme="majorHAnsi" w:cstheme="majorBidi"/>
          <w:b/>
          <w:bCs/>
          <w:color w:val="595959" w:themeColor="text1" w:themeTint="A6"/>
          <w:sz w:val="23"/>
          <w:szCs w:val="23"/>
        </w:rPr>
        <w:t xml:space="preserve"> </w:t>
      </w:r>
      <w:r w:rsidRPr="00D9154D">
        <w:rPr>
          <w:rFonts w:asciiTheme="majorHAnsi" w:hAnsiTheme="majorHAnsi" w:cstheme="majorBidi"/>
          <w:color w:val="595959" w:themeColor="text1" w:themeTint="A6"/>
          <w:sz w:val="23"/>
          <w:szCs w:val="23"/>
        </w:rPr>
        <w:t xml:space="preserve">Angel Next Door, Australia-wide </w:t>
      </w:r>
      <w:r w:rsidR="00575D6B">
        <w:rPr>
          <w:rFonts w:asciiTheme="majorHAnsi" w:hAnsiTheme="majorHAnsi" w:cstheme="majorBidi"/>
          <w:color w:val="595959" w:themeColor="text1" w:themeTint="A6"/>
          <w:sz w:val="23"/>
          <w:szCs w:val="23"/>
        </w:rPr>
        <w:t>(p.70)</w:t>
      </w:r>
      <w:r w:rsidRPr="00D9154D">
        <w:rPr>
          <w:rFonts w:asciiTheme="majorHAnsi" w:hAnsiTheme="majorHAnsi" w:cstheme="majorBidi"/>
          <w:color w:val="595959" w:themeColor="text1" w:themeTint="A6"/>
          <w:sz w:val="23"/>
          <w:szCs w:val="23"/>
        </w:rPr>
        <w:t xml:space="preserve">; Festival of Neighbourhoods, Kitchener, Canada </w:t>
      </w:r>
      <w:r w:rsidR="00C344E6">
        <w:rPr>
          <w:rFonts w:asciiTheme="majorHAnsi" w:hAnsiTheme="majorHAnsi" w:cstheme="majorBidi"/>
          <w:color w:val="595959" w:themeColor="text1" w:themeTint="A6"/>
          <w:sz w:val="23"/>
          <w:szCs w:val="23"/>
        </w:rPr>
        <w:t>(p.75)</w:t>
      </w:r>
      <w:r w:rsidRPr="00D9154D">
        <w:rPr>
          <w:rFonts w:asciiTheme="majorHAnsi" w:hAnsiTheme="majorHAnsi" w:cstheme="majorBidi"/>
          <w:color w:val="595959" w:themeColor="text1" w:themeTint="A6"/>
          <w:sz w:val="23"/>
          <w:szCs w:val="23"/>
        </w:rPr>
        <w:t>; The</w:t>
      </w:r>
      <w:r w:rsidR="00A86F50">
        <w:rPr>
          <w:rFonts w:asciiTheme="majorHAnsi" w:hAnsiTheme="majorHAnsi" w:cstheme="majorBidi"/>
          <w:color w:val="595959" w:themeColor="text1" w:themeTint="A6"/>
          <w:sz w:val="23"/>
          <w:szCs w:val="23"/>
        </w:rPr>
        <w:t xml:space="preserve"> </w:t>
      </w:r>
      <w:r w:rsidRPr="00D9154D">
        <w:rPr>
          <w:rFonts w:asciiTheme="majorHAnsi" w:hAnsiTheme="majorHAnsi" w:cstheme="majorBidi"/>
          <w:color w:val="595959" w:themeColor="text1" w:themeTint="A6"/>
          <w:sz w:val="23"/>
          <w:szCs w:val="23"/>
        </w:rPr>
        <w:t>Broomhill Projec</w:t>
      </w:r>
      <w:r w:rsidR="00575D6B">
        <w:rPr>
          <w:rFonts w:asciiTheme="majorHAnsi" w:hAnsiTheme="majorHAnsi" w:cstheme="majorBidi"/>
          <w:color w:val="595959" w:themeColor="text1" w:themeTint="A6"/>
          <w:sz w:val="23"/>
          <w:szCs w:val="23"/>
        </w:rPr>
        <w:t>t,</w:t>
      </w:r>
      <w:r w:rsidRPr="00D9154D">
        <w:rPr>
          <w:rFonts w:asciiTheme="majorHAnsi" w:hAnsiTheme="majorHAnsi" w:cstheme="majorBidi"/>
          <w:color w:val="595959" w:themeColor="text1" w:themeTint="A6"/>
          <w:sz w:val="23"/>
          <w:szCs w:val="23"/>
        </w:rPr>
        <w:t xml:space="preserve"> Glasgow</w:t>
      </w:r>
      <w:r w:rsidR="005E43F6">
        <w:rPr>
          <w:rFonts w:asciiTheme="majorHAnsi" w:hAnsiTheme="majorHAnsi" w:cstheme="majorBidi"/>
          <w:color w:val="595959" w:themeColor="text1" w:themeTint="A6"/>
          <w:sz w:val="23"/>
          <w:szCs w:val="23"/>
        </w:rPr>
        <w:t>, Scotland</w:t>
      </w:r>
      <w:r w:rsidR="00575D6B">
        <w:rPr>
          <w:rFonts w:asciiTheme="majorHAnsi" w:hAnsiTheme="majorHAnsi" w:cstheme="majorBidi"/>
          <w:color w:val="595959" w:themeColor="text1" w:themeTint="A6"/>
          <w:sz w:val="23"/>
          <w:szCs w:val="23"/>
        </w:rPr>
        <w:t xml:space="preserve"> (</w:t>
      </w:r>
      <w:r w:rsidR="00575D6B" w:rsidRPr="00D9154D">
        <w:rPr>
          <w:rFonts w:asciiTheme="majorHAnsi" w:hAnsiTheme="majorHAnsi" w:cstheme="majorBidi"/>
          <w:color w:val="595959" w:themeColor="text1" w:themeTint="A6"/>
          <w:sz w:val="23"/>
          <w:szCs w:val="23"/>
        </w:rPr>
        <w:t>Broomhill Art Flat</w:t>
      </w:r>
      <w:r w:rsidR="00575D6B">
        <w:rPr>
          <w:rFonts w:asciiTheme="majorHAnsi" w:hAnsiTheme="majorHAnsi" w:cstheme="majorBidi"/>
          <w:color w:val="595959" w:themeColor="text1" w:themeTint="A6"/>
          <w:sz w:val="23"/>
          <w:szCs w:val="23"/>
        </w:rPr>
        <w:t>)</w:t>
      </w:r>
      <w:r w:rsidR="00575D6B" w:rsidRPr="00D9154D">
        <w:rPr>
          <w:rFonts w:asciiTheme="majorHAnsi" w:hAnsiTheme="majorHAnsi" w:cstheme="majorBidi"/>
          <w:color w:val="595959" w:themeColor="text1" w:themeTint="A6"/>
          <w:sz w:val="23"/>
          <w:szCs w:val="23"/>
        </w:rPr>
        <w:t xml:space="preserve"> </w:t>
      </w:r>
      <w:r w:rsidR="00A86F50">
        <w:rPr>
          <w:rFonts w:asciiTheme="majorHAnsi" w:hAnsiTheme="majorHAnsi" w:cstheme="majorBidi"/>
          <w:color w:val="595959" w:themeColor="text1" w:themeTint="A6"/>
          <w:sz w:val="23"/>
          <w:szCs w:val="23"/>
        </w:rPr>
        <w:t>(p.76)</w:t>
      </w:r>
      <w:r w:rsidRPr="00D9154D">
        <w:rPr>
          <w:rFonts w:asciiTheme="majorHAnsi" w:hAnsiTheme="majorHAnsi" w:cstheme="majorBidi"/>
          <w:color w:val="595959" w:themeColor="text1" w:themeTint="A6"/>
          <w:sz w:val="23"/>
          <w:szCs w:val="23"/>
        </w:rPr>
        <w:t xml:space="preserve">; My Community Matters, UK </w:t>
      </w:r>
      <w:r w:rsidR="005E43F6">
        <w:rPr>
          <w:rFonts w:asciiTheme="majorHAnsi" w:eastAsiaTheme="majorEastAsia" w:hAnsiTheme="majorHAnsi" w:cstheme="majorBidi"/>
          <w:color w:val="595959" w:themeColor="text1" w:themeTint="A6"/>
          <w:sz w:val="23"/>
          <w:szCs w:val="23"/>
        </w:rPr>
        <w:t>(p.77)</w:t>
      </w:r>
      <w:r w:rsidR="005E43F6" w:rsidRPr="00D9154D">
        <w:rPr>
          <w:rFonts w:asciiTheme="majorHAnsi" w:eastAsiaTheme="majorEastAsia" w:hAnsiTheme="majorHAnsi" w:cstheme="majorBidi"/>
          <w:color w:val="595959" w:themeColor="text1" w:themeTint="A6"/>
          <w:sz w:val="23"/>
          <w:szCs w:val="23"/>
        </w:rPr>
        <w:t xml:space="preserve">; </w:t>
      </w:r>
      <w:r w:rsidRPr="00D9154D">
        <w:rPr>
          <w:rFonts w:asciiTheme="majorHAnsi" w:hAnsiTheme="majorHAnsi" w:cstheme="majorBidi"/>
          <w:color w:val="595959" w:themeColor="text1" w:themeTint="A6"/>
          <w:sz w:val="23"/>
          <w:szCs w:val="23"/>
        </w:rPr>
        <w:t xml:space="preserve">Skip Garden and Kitchen + Story Garden, London, UK </w:t>
      </w:r>
      <w:r w:rsidR="005E43F6">
        <w:rPr>
          <w:rFonts w:asciiTheme="majorHAnsi" w:eastAsiaTheme="majorEastAsia" w:hAnsiTheme="majorHAnsi" w:cstheme="majorBidi"/>
          <w:color w:val="525252" w:themeColor="accent3" w:themeShade="80"/>
          <w:sz w:val="23"/>
          <w:szCs w:val="23"/>
        </w:rPr>
        <w:t>(p.78)</w:t>
      </w:r>
      <w:r w:rsidR="006F38B5">
        <w:rPr>
          <w:rFonts w:asciiTheme="majorHAnsi" w:eastAsiaTheme="majorEastAsia" w:hAnsiTheme="majorHAnsi" w:cstheme="majorBidi"/>
          <w:color w:val="525252" w:themeColor="accent3" w:themeShade="80"/>
          <w:sz w:val="23"/>
          <w:szCs w:val="23"/>
        </w:rPr>
        <w:t>;</w:t>
      </w:r>
      <w:r w:rsidR="006F38B5" w:rsidRPr="006F38B5">
        <w:rPr>
          <w:rFonts w:asciiTheme="majorHAnsi" w:eastAsiaTheme="majorEastAsia" w:hAnsiTheme="majorHAnsi" w:cstheme="majorBidi"/>
          <w:color w:val="525252" w:themeColor="accent3" w:themeShade="80"/>
          <w:sz w:val="23"/>
          <w:szCs w:val="23"/>
        </w:rPr>
        <w:t xml:space="preserve"> </w:t>
      </w:r>
      <w:r w:rsidR="006F38B5" w:rsidRPr="065E1C5E">
        <w:rPr>
          <w:rFonts w:asciiTheme="majorHAnsi" w:eastAsiaTheme="majorEastAsia" w:hAnsiTheme="majorHAnsi" w:cstheme="majorBidi"/>
          <w:color w:val="525252" w:themeColor="accent3" w:themeShade="80"/>
          <w:sz w:val="23"/>
          <w:szCs w:val="23"/>
        </w:rPr>
        <w:t>Ten Ideas Three Ventures, western suburbs, Melbourne</w:t>
      </w:r>
      <w:r w:rsidR="006F38B5">
        <w:rPr>
          <w:rFonts w:asciiTheme="majorHAnsi" w:eastAsiaTheme="majorEastAsia" w:hAnsiTheme="majorHAnsi" w:cstheme="majorBidi"/>
          <w:color w:val="525252" w:themeColor="accent3" w:themeShade="80"/>
          <w:sz w:val="23"/>
          <w:szCs w:val="23"/>
        </w:rPr>
        <w:t xml:space="preserve"> </w:t>
      </w:r>
      <w:r w:rsidR="006F38B5">
        <w:rPr>
          <w:rFonts w:asciiTheme="majorHAnsi" w:eastAsiaTheme="majorEastAsia" w:hAnsiTheme="majorHAnsi" w:cstheme="majorBidi"/>
          <w:color w:val="595959" w:themeColor="text1" w:themeTint="A6"/>
          <w:sz w:val="23"/>
          <w:szCs w:val="23"/>
        </w:rPr>
        <w:t>(p.65).</w:t>
      </w:r>
    </w:p>
    <w:p w14:paraId="1495BD20" w14:textId="77777777" w:rsidR="00C71F1F" w:rsidRPr="00C71F1F" w:rsidRDefault="00C71F1F" w:rsidP="00C71F1F">
      <w:pPr>
        <w:spacing w:after="0" w:line="276" w:lineRule="auto"/>
        <w:rPr>
          <w:rFonts w:asciiTheme="majorHAnsi" w:hAnsiTheme="majorHAnsi" w:cstheme="majorBidi"/>
          <w:color w:val="525252" w:themeColor="accent3" w:themeShade="80"/>
          <w:sz w:val="16"/>
          <w:szCs w:val="16"/>
        </w:rPr>
      </w:pPr>
    </w:p>
    <w:p w14:paraId="6E497DA0" w14:textId="735026E7" w:rsidR="00F00E3D" w:rsidRPr="00A2141D" w:rsidRDefault="00F00E3D" w:rsidP="009B2FA7">
      <w:pPr>
        <w:pStyle w:val="Default"/>
        <w:spacing w:line="276" w:lineRule="auto"/>
        <w:rPr>
          <w:rFonts w:eastAsia="Calibri"/>
          <w:b/>
          <w:color w:val="2E74B5" w:themeColor="accent5" w:themeShade="BF"/>
          <w:sz w:val="25"/>
          <w:szCs w:val="25"/>
        </w:rPr>
      </w:pPr>
      <w:r w:rsidRPr="00A2141D">
        <w:rPr>
          <w:rFonts w:eastAsia="Calibri"/>
          <w:b/>
          <w:color w:val="2E74B5" w:themeColor="accent5" w:themeShade="BF"/>
          <w:sz w:val="25"/>
          <w:szCs w:val="25"/>
        </w:rPr>
        <w:t xml:space="preserve">3.7 Arts and </w:t>
      </w:r>
      <w:r w:rsidR="001A3DC6" w:rsidRPr="00A2141D">
        <w:rPr>
          <w:rFonts w:eastAsia="Calibri"/>
          <w:b/>
          <w:color w:val="2E74B5" w:themeColor="accent5" w:themeShade="BF"/>
          <w:sz w:val="25"/>
          <w:szCs w:val="25"/>
        </w:rPr>
        <w:t xml:space="preserve">Community </w:t>
      </w:r>
      <w:r w:rsidRPr="00A2141D">
        <w:rPr>
          <w:rFonts w:eastAsia="Calibri"/>
          <w:b/>
          <w:color w:val="2E74B5" w:themeColor="accent5" w:themeShade="BF"/>
          <w:sz w:val="25"/>
          <w:szCs w:val="25"/>
        </w:rPr>
        <w:t xml:space="preserve">Events </w:t>
      </w:r>
      <w:r w:rsidR="00A2141D">
        <w:rPr>
          <w:rFonts w:eastAsia="Calibri"/>
          <w:b/>
          <w:color w:val="2E74B5" w:themeColor="accent5" w:themeShade="BF"/>
          <w:sz w:val="25"/>
          <w:szCs w:val="25"/>
        </w:rPr>
        <w:t>Initiative</w:t>
      </w:r>
    </w:p>
    <w:p w14:paraId="0FE3B4C0" w14:textId="77777777" w:rsidR="0055529D" w:rsidRPr="00C71F1F" w:rsidRDefault="0055529D" w:rsidP="009B2FA7">
      <w:pPr>
        <w:pStyle w:val="Default"/>
        <w:spacing w:line="276" w:lineRule="auto"/>
        <w:rPr>
          <w:rFonts w:asciiTheme="majorHAnsi" w:eastAsiaTheme="majorEastAsia" w:hAnsiTheme="majorHAnsi" w:cstheme="majorBidi"/>
          <w:color w:val="525252" w:themeColor="accent3" w:themeShade="80"/>
          <w:sz w:val="12"/>
          <w:szCs w:val="12"/>
        </w:rPr>
      </w:pPr>
    </w:p>
    <w:p w14:paraId="14654C54" w14:textId="052E77F3" w:rsidR="00F00E3D" w:rsidRDefault="0055346C" w:rsidP="0055346C">
      <w:pPr>
        <w:spacing w:line="276" w:lineRule="auto"/>
        <w:rPr>
          <w:rFonts w:ascii="Calibri Light" w:eastAsia="Calibri Light" w:hAnsi="Calibri Light" w:cs="Calibri Light"/>
          <w:color w:val="000000" w:themeColor="text1"/>
          <w:sz w:val="23"/>
          <w:szCs w:val="23"/>
        </w:rPr>
      </w:pPr>
      <w:r>
        <w:rPr>
          <w:rFonts w:ascii="Calibri Light" w:eastAsia="Calibri Light" w:hAnsi="Calibri Light" w:cs="Calibri Light"/>
          <w:color w:val="000000" w:themeColor="text1"/>
          <w:sz w:val="23"/>
          <w:szCs w:val="23"/>
        </w:rPr>
        <w:t xml:space="preserve">COVID-19 </w:t>
      </w:r>
      <w:r w:rsidR="009F1A99">
        <w:rPr>
          <w:rFonts w:ascii="Calibri Light" w:eastAsia="Calibri Light" w:hAnsi="Calibri Light" w:cs="Calibri Light"/>
          <w:color w:val="000000" w:themeColor="text1"/>
          <w:sz w:val="23"/>
          <w:szCs w:val="23"/>
        </w:rPr>
        <w:t xml:space="preserve">reportedly </w:t>
      </w:r>
      <w:r>
        <w:rPr>
          <w:rFonts w:ascii="Calibri Light" w:eastAsia="Calibri Light" w:hAnsi="Calibri Light" w:cs="Calibri Light"/>
          <w:color w:val="000000" w:themeColor="text1"/>
          <w:sz w:val="23"/>
          <w:szCs w:val="23"/>
        </w:rPr>
        <w:t>increased s</w:t>
      </w:r>
      <w:r w:rsidR="00F00E3D" w:rsidRPr="502830E4">
        <w:rPr>
          <w:rFonts w:ascii="Calibri Light" w:eastAsia="Calibri Light" w:hAnsi="Calibri Light" w:cs="Calibri Light"/>
          <w:color w:val="000000" w:themeColor="text1"/>
          <w:sz w:val="23"/>
          <w:szCs w:val="23"/>
        </w:rPr>
        <w:t>ocial isolation, stress</w:t>
      </w:r>
      <w:r w:rsidR="00815D3A">
        <w:rPr>
          <w:rFonts w:ascii="Calibri Light" w:eastAsia="Calibri Light" w:hAnsi="Calibri Light" w:cs="Calibri Light"/>
          <w:color w:val="000000" w:themeColor="text1"/>
          <w:sz w:val="23"/>
          <w:szCs w:val="23"/>
        </w:rPr>
        <w:t>,</w:t>
      </w:r>
      <w:r w:rsidR="00F00E3D" w:rsidRPr="502830E4">
        <w:rPr>
          <w:rFonts w:ascii="Calibri Light" w:eastAsia="Calibri Light" w:hAnsi="Calibri Light" w:cs="Calibri Light"/>
          <w:color w:val="000000" w:themeColor="text1"/>
          <w:sz w:val="23"/>
          <w:szCs w:val="23"/>
        </w:rPr>
        <w:t xml:space="preserve"> and anxiety </w:t>
      </w:r>
      <w:r w:rsidR="00C143EF">
        <w:rPr>
          <w:rFonts w:ascii="Calibri Light" w:eastAsia="Calibri Light" w:hAnsi="Calibri Light" w:cs="Calibri Light"/>
          <w:color w:val="000000" w:themeColor="text1"/>
          <w:sz w:val="23"/>
          <w:szCs w:val="23"/>
        </w:rPr>
        <w:t xml:space="preserve">increased </w:t>
      </w:r>
      <w:r w:rsidR="00F00E3D" w:rsidRPr="502830E4">
        <w:rPr>
          <w:rFonts w:ascii="Calibri Light" w:eastAsia="Calibri Light" w:hAnsi="Calibri Light" w:cs="Calibri Light"/>
          <w:color w:val="000000" w:themeColor="text1"/>
          <w:sz w:val="23"/>
          <w:szCs w:val="23"/>
        </w:rPr>
        <w:t xml:space="preserve">across the three localities. Residents </w:t>
      </w:r>
      <w:r>
        <w:rPr>
          <w:rFonts w:ascii="Calibri Light" w:eastAsia="Calibri Light" w:hAnsi="Calibri Light" w:cs="Calibri Light"/>
          <w:color w:val="000000" w:themeColor="text1"/>
          <w:sz w:val="23"/>
          <w:szCs w:val="23"/>
        </w:rPr>
        <w:t>in these neighbourhoods</w:t>
      </w:r>
      <w:r w:rsidR="00F00E3D" w:rsidRPr="502830E4">
        <w:rPr>
          <w:rFonts w:ascii="Calibri Light" w:eastAsia="Calibri Light" w:hAnsi="Calibri Light" w:cs="Calibri Light"/>
          <w:color w:val="000000" w:themeColor="text1"/>
          <w:sz w:val="23"/>
          <w:szCs w:val="23"/>
        </w:rPr>
        <w:t xml:space="preserve"> have limited access to </w:t>
      </w:r>
      <w:r w:rsidR="00765E7B">
        <w:rPr>
          <w:rFonts w:ascii="Calibri Light" w:eastAsia="Calibri Light" w:hAnsi="Calibri Light" w:cs="Calibri Light"/>
          <w:color w:val="000000" w:themeColor="text1"/>
          <w:sz w:val="23"/>
          <w:szCs w:val="23"/>
        </w:rPr>
        <w:t xml:space="preserve">the </w:t>
      </w:r>
      <w:r w:rsidR="00F00E3D" w:rsidRPr="502830E4">
        <w:rPr>
          <w:rFonts w:ascii="Calibri Light" w:eastAsia="Calibri Light" w:hAnsi="Calibri Light" w:cs="Calibri Light"/>
          <w:color w:val="000000" w:themeColor="text1"/>
          <w:sz w:val="23"/>
          <w:szCs w:val="23"/>
        </w:rPr>
        <w:t xml:space="preserve">creative arts, </w:t>
      </w:r>
      <w:r w:rsidR="00F00E3D" w:rsidRPr="502830E4">
        <w:rPr>
          <w:rFonts w:ascii="Calibri Light" w:eastAsia="Calibri Light" w:hAnsi="Calibri Light" w:cs="Calibri Light"/>
          <w:color w:val="000000" w:themeColor="text1"/>
          <w:sz w:val="23"/>
          <w:szCs w:val="23"/>
          <w:lang w:val="en-GB"/>
        </w:rPr>
        <w:t>local entertainment and culture options</w:t>
      </w:r>
      <w:r w:rsidR="00F00E3D" w:rsidRPr="502830E4">
        <w:rPr>
          <w:rFonts w:ascii="Calibri Light" w:eastAsia="Calibri Light" w:hAnsi="Calibri Light" w:cs="Calibri Light"/>
          <w:color w:val="000000" w:themeColor="text1"/>
          <w:sz w:val="23"/>
          <w:szCs w:val="23"/>
        </w:rPr>
        <w:t xml:space="preserve">, and inclusive communal spaces. </w:t>
      </w:r>
      <w:r w:rsidR="00765E7B">
        <w:rPr>
          <w:rFonts w:ascii="Calibri Light" w:eastAsia="Calibri Light" w:hAnsi="Calibri Light" w:cs="Calibri Light"/>
          <w:color w:val="000000" w:themeColor="text1"/>
          <w:sz w:val="23"/>
          <w:szCs w:val="23"/>
        </w:rPr>
        <w:t>Along with the</w:t>
      </w:r>
      <w:r w:rsidR="00F00E3D" w:rsidRPr="0E3C9592">
        <w:rPr>
          <w:rFonts w:ascii="Calibri Light" w:eastAsia="Calibri Light" w:hAnsi="Calibri Light" w:cs="Calibri Light"/>
          <w:color w:val="000000" w:themeColor="text1"/>
          <w:sz w:val="23"/>
          <w:szCs w:val="23"/>
        </w:rPr>
        <w:t xml:space="preserve"> erosion of social </w:t>
      </w:r>
      <w:r w:rsidR="00765E7B">
        <w:rPr>
          <w:rFonts w:ascii="Calibri Light" w:eastAsia="Calibri Light" w:hAnsi="Calibri Light" w:cs="Calibri Light"/>
          <w:color w:val="000000" w:themeColor="text1"/>
          <w:sz w:val="23"/>
          <w:szCs w:val="23"/>
        </w:rPr>
        <w:t xml:space="preserve">connections </w:t>
      </w:r>
      <w:r w:rsidR="00F00E3D" w:rsidRPr="0E3C9592">
        <w:rPr>
          <w:rFonts w:ascii="Calibri Light" w:eastAsia="Calibri Light" w:hAnsi="Calibri Light" w:cs="Calibri Light"/>
          <w:color w:val="000000" w:themeColor="text1"/>
          <w:sz w:val="23"/>
          <w:szCs w:val="23"/>
        </w:rPr>
        <w:t>during the pandemic</w:t>
      </w:r>
      <w:r w:rsidR="00765E7B">
        <w:rPr>
          <w:rFonts w:ascii="Calibri Light" w:eastAsia="Calibri Light" w:hAnsi="Calibri Light" w:cs="Calibri Light"/>
          <w:color w:val="000000" w:themeColor="text1"/>
          <w:sz w:val="23"/>
          <w:szCs w:val="23"/>
        </w:rPr>
        <w:t>,</w:t>
      </w:r>
      <w:r w:rsidR="00765E7B" w:rsidRPr="00765E7B">
        <w:rPr>
          <w:rFonts w:ascii="Calibri Light" w:eastAsia="Calibri Light" w:hAnsi="Calibri Light" w:cs="Calibri Light"/>
          <w:color w:val="000000" w:themeColor="text1"/>
          <w:sz w:val="23"/>
          <w:szCs w:val="23"/>
        </w:rPr>
        <w:t xml:space="preserve"> </w:t>
      </w:r>
      <w:r w:rsidR="00765E7B">
        <w:rPr>
          <w:rFonts w:ascii="Calibri Light" w:eastAsia="Calibri Light" w:hAnsi="Calibri Light" w:cs="Calibri Light"/>
          <w:color w:val="000000" w:themeColor="text1"/>
          <w:sz w:val="23"/>
          <w:szCs w:val="23"/>
        </w:rPr>
        <w:t>t</w:t>
      </w:r>
      <w:r w:rsidR="00765E7B" w:rsidRPr="502830E4">
        <w:rPr>
          <w:rFonts w:ascii="Calibri Light" w:eastAsia="Calibri Light" w:hAnsi="Calibri Light" w:cs="Calibri Light"/>
          <w:color w:val="000000" w:themeColor="text1"/>
          <w:sz w:val="23"/>
          <w:szCs w:val="23"/>
        </w:rPr>
        <w:t>hey also face enduring place-based stigma</w:t>
      </w:r>
      <w:r w:rsidR="00F00E3D" w:rsidRPr="502830E4">
        <w:rPr>
          <w:rFonts w:ascii="Calibri Light" w:eastAsia="Calibri Light" w:hAnsi="Calibri Light" w:cs="Calibri Light"/>
          <w:color w:val="000000" w:themeColor="text1"/>
          <w:sz w:val="23"/>
          <w:szCs w:val="23"/>
        </w:rPr>
        <w:t>.</w:t>
      </w:r>
    </w:p>
    <w:p w14:paraId="0D2DE6E5" w14:textId="5357161B" w:rsidR="00F00E3D" w:rsidRDefault="00F00E3D" w:rsidP="0055346C">
      <w:pPr>
        <w:spacing w:line="276" w:lineRule="auto"/>
      </w:pPr>
      <w:r w:rsidRPr="502830E4">
        <w:rPr>
          <w:rFonts w:ascii="Calibri Light" w:eastAsia="Calibri Light" w:hAnsi="Calibri Light" w:cs="Calibri Light"/>
          <w:color w:val="000000" w:themeColor="text1"/>
          <w:sz w:val="23"/>
          <w:szCs w:val="23"/>
        </w:rPr>
        <w:t xml:space="preserve">Arts-based projects can help rebuild community ties, foster social inclusion, and support healing after traumatic events. The Arts and Community Events Initiative aims to </w:t>
      </w:r>
      <w:r w:rsidRPr="502830E4">
        <w:rPr>
          <w:rFonts w:ascii="Calibri Light" w:eastAsia="Calibri Light" w:hAnsi="Calibri Light" w:cs="Calibri Light"/>
          <w:color w:val="000000" w:themeColor="text1"/>
          <w:sz w:val="23"/>
          <w:szCs w:val="23"/>
          <w:lang w:val="en-GB"/>
        </w:rPr>
        <w:t>bring people together, mobilise creativity, build pride in place, and create more vibrant neighbourhoods. In celebrati</w:t>
      </w:r>
      <w:r w:rsidR="00324F9F">
        <w:rPr>
          <w:rFonts w:ascii="Calibri Light" w:eastAsia="Calibri Light" w:hAnsi="Calibri Light" w:cs="Calibri Light"/>
          <w:color w:val="000000" w:themeColor="text1"/>
          <w:sz w:val="23"/>
          <w:szCs w:val="23"/>
          <w:lang w:val="en-GB"/>
        </w:rPr>
        <w:t xml:space="preserve">ng </w:t>
      </w:r>
      <w:r w:rsidR="00213E94">
        <w:rPr>
          <w:rFonts w:ascii="Calibri Light" w:eastAsia="Calibri Light" w:hAnsi="Calibri Light" w:cs="Calibri Light"/>
          <w:color w:val="000000" w:themeColor="text1"/>
          <w:sz w:val="23"/>
          <w:szCs w:val="23"/>
          <w:lang w:val="en-GB"/>
        </w:rPr>
        <w:t xml:space="preserve">and showcasing the </w:t>
      </w:r>
      <w:r w:rsidRPr="502830E4">
        <w:rPr>
          <w:rFonts w:ascii="Calibri Light" w:eastAsia="Calibri Light" w:hAnsi="Calibri Light" w:cs="Calibri Light"/>
          <w:color w:val="000000" w:themeColor="text1"/>
          <w:sz w:val="23"/>
          <w:szCs w:val="23"/>
          <w:lang w:val="en-GB"/>
        </w:rPr>
        <w:t>community</w:t>
      </w:r>
      <w:r w:rsidR="00213E94">
        <w:rPr>
          <w:rFonts w:ascii="Calibri Light" w:eastAsia="Calibri Light" w:hAnsi="Calibri Light" w:cs="Calibri Light"/>
          <w:color w:val="000000" w:themeColor="text1"/>
          <w:sz w:val="23"/>
          <w:szCs w:val="23"/>
          <w:lang w:val="en-GB"/>
        </w:rPr>
        <w:t>’s strengths</w:t>
      </w:r>
      <w:r w:rsidRPr="502830E4">
        <w:rPr>
          <w:rFonts w:ascii="Calibri Light" w:eastAsia="Calibri Light" w:hAnsi="Calibri Light" w:cs="Calibri Light"/>
          <w:color w:val="000000" w:themeColor="text1"/>
          <w:sz w:val="23"/>
          <w:szCs w:val="23"/>
          <w:lang w:val="en-GB"/>
        </w:rPr>
        <w:t>, it also seeks to counter place-stigma.</w:t>
      </w:r>
    </w:p>
    <w:p w14:paraId="34FF9165" w14:textId="5294654E" w:rsidR="00F00E3D" w:rsidRDefault="00F00E3D" w:rsidP="0055346C">
      <w:pPr>
        <w:spacing w:line="276" w:lineRule="auto"/>
        <w:rPr>
          <w:rFonts w:asciiTheme="majorHAnsi" w:eastAsiaTheme="majorEastAsia" w:hAnsiTheme="majorHAnsi" w:cstheme="majorBidi"/>
          <w:color w:val="000000" w:themeColor="text1"/>
          <w:sz w:val="23"/>
          <w:szCs w:val="23"/>
          <w:lang w:val="en-GB"/>
        </w:rPr>
      </w:pPr>
      <w:r w:rsidRPr="502830E4">
        <w:rPr>
          <w:rFonts w:ascii="Calibri Light" w:eastAsia="Calibri Light" w:hAnsi="Calibri Light" w:cs="Calibri Light"/>
          <w:color w:val="000000" w:themeColor="text1"/>
          <w:sz w:val="23"/>
          <w:szCs w:val="23"/>
        </w:rPr>
        <w:t xml:space="preserve">Residents should be supported to co-design and execute arts-based projects and community pride events, drawing on local expertise and talents (music, visual arts, dance, theatre, writing, cooking, craft). </w:t>
      </w:r>
      <w:r w:rsidRPr="502830E4">
        <w:rPr>
          <w:rFonts w:ascii="Calibri Light" w:eastAsia="Calibri Light" w:hAnsi="Calibri Light" w:cs="Calibri Light"/>
          <w:color w:val="000000" w:themeColor="text1"/>
          <w:sz w:val="23"/>
          <w:szCs w:val="23"/>
          <w:lang w:val="en-GB"/>
        </w:rPr>
        <w:t>Options include public artworks, neighbourhood festivals, live music, food-</w:t>
      </w:r>
      <w:r w:rsidR="00A2514B">
        <w:rPr>
          <w:rFonts w:ascii="Calibri Light" w:eastAsia="Calibri Light" w:hAnsi="Calibri Light" w:cs="Calibri Light"/>
          <w:color w:val="000000" w:themeColor="text1"/>
          <w:sz w:val="23"/>
          <w:szCs w:val="23"/>
          <w:lang w:val="en-GB"/>
        </w:rPr>
        <w:t>focused</w:t>
      </w:r>
      <w:r w:rsidRPr="502830E4">
        <w:rPr>
          <w:rFonts w:ascii="Calibri Light" w:eastAsia="Calibri Light" w:hAnsi="Calibri Light" w:cs="Calibri Light"/>
          <w:color w:val="000000" w:themeColor="text1"/>
          <w:sz w:val="23"/>
          <w:szCs w:val="23"/>
          <w:lang w:val="en-GB"/>
        </w:rPr>
        <w:t xml:space="preserve"> events, </w:t>
      </w:r>
      <w:r w:rsidR="00111C8F">
        <w:rPr>
          <w:rFonts w:ascii="Calibri Light" w:eastAsia="Calibri Light" w:hAnsi="Calibri Light" w:cs="Calibri Light"/>
          <w:color w:val="000000" w:themeColor="text1"/>
          <w:sz w:val="23"/>
          <w:szCs w:val="23"/>
          <w:lang w:val="en-GB"/>
        </w:rPr>
        <w:t xml:space="preserve">local </w:t>
      </w:r>
      <w:r w:rsidR="00853993">
        <w:rPr>
          <w:rFonts w:ascii="Calibri Light" w:eastAsia="Calibri Light" w:hAnsi="Calibri Light" w:cs="Calibri Light"/>
          <w:color w:val="000000" w:themeColor="text1"/>
          <w:sz w:val="23"/>
          <w:szCs w:val="23"/>
          <w:lang w:val="en-GB"/>
        </w:rPr>
        <w:t xml:space="preserve">photography </w:t>
      </w:r>
      <w:r w:rsidR="00E9488B">
        <w:rPr>
          <w:rFonts w:ascii="Calibri Light" w:eastAsia="Calibri Light" w:hAnsi="Calibri Light" w:cs="Calibri Light"/>
          <w:color w:val="000000" w:themeColor="text1"/>
          <w:sz w:val="23"/>
          <w:szCs w:val="23"/>
          <w:lang w:val="en-GB"/>
        </w:rPr>
        <w:t>projects</w:t>
      </w:r>
      <w:r w:rsidR="001F78EA">
        <w:rPr>
          <w:rFonts w:ascii="Calibri Light" w:eastAsia="Calibri Light" w:hAnsi="Calibri Light" w:cs="Calibri Light"/>
          <w:color w:val="000000" w:themeColor="text1"/>
          <w:sz w:val="23"/>
          <w:szCs w:val="23"/>
          <w:lang w:val="en-GB"/>
        </w:rPr>
        <w:t xml:space="preserve">, </w:t>
      </w:r>
      <w:r w:rsidR="00111C8F">
        <w:rPr>
          <w:rFonts w:ascii="Calibri Light" w:eastAsia="Calibri Light" w:hAnsi="Calibri Light" w:cs="Calibri Light"/>
          <w:color w:val="000000" w:themeColor="text1"/>
          <w:sz w:val="23"/>
          <w:szCs w:val="23"/>
          <w:lang w:val="en-GB"/>
        </w:rPr>
        <w:t xml:space="preserve">nature-based art </w:t>
      </w:r>
      <w:r w:rsidR="005A5B46">
        <w:rPr>
          <w:rFonts w:ascii="Calibri Light" w:eastAsia="Calibri Light" w:hAnsi="Calibri Light" w:cs="Calibri Light"/>
          <w:color w:val="000000" w:themeColor="text1"/>
          <w:sz w:val="23"/>
          <w:szCs w:val="23"/>
          <w:lang w:val="en-GB"/>
        </w:rPr>
        <w:t>activities</w:t>
      </w:r>
      <w:r w:rsidR="00111C8F">
        <w:rPr>
          <w:rFonts w:ascii="Calibri Light" w:eastAsia="Calibri Light" w:hAnsi="Calibri Light" w:cs="Calibri Light"/>
          <w:color w:val="000000" w:themeColor="text1"/>
          <w:sz w:val="23"/>
          <w:szCs w:val="23"/>
          <w:lang w:val="en-GB"/>
        </w:rPr>
        <w:t xml:space="preserve">, </w:t>
      </w:r>
      <w:r w:rsidRPr="502830E4">
        <w:rPr>
          <w:rFonts w:ascii="Calibri Light" w:eastAsia="Calibri Light" w:hAnsi="Calibri Light" w:cs="Calibri Light"/>
          <w:color w:val="000000" w:themeColor="text1"/>
          <w:sz w:val="23"/>
          <w:szCs w:val="23"/>
          <w:lang w:val="en-GB"/>
        </w:rPr>
        <w:t xml:space="preserve">and community markets. </w:t>
      </w:r>
      <w:r w:rsidRPr="502830E4">
        <w:rPr>
          <w:rFonts w:ascii="Calibri Light" w:eastAsia="Calibri Light" w:hAnsi="Calibri Light" w:cs="Calibri Light"/>
          <w:color w:val="000000" w:themeColor="text1"/>
          <w:sz w:val="23"/>
          <w:szCs w:val="23"/>
        </w:rPr>
        <w:t>Local heritage – Indigenous, multicultural, industrial, natural, public housing – could be celebrated via storytelling projects</w:t>
      </w:r>
      <w:r w:rsidR="00CA55EA">
        <w:rPr>
          <w:rFonts w:ascii="Calibri Light" w:eastAsia="Calibri Light" w:hAnsi="Calibri Light" w:cs="Calibri Light"/>
          <w:color w:val="000000" w:themeColor="text1"/>
          <w:sz w:val="23"/>
          <w:szCs w:val="23"/>
        </w:rPr>
        <w:t>, heritage walks,</w:t>
      </w:r>
      <w:r w:rsidRPr="502830E4">
        <w:rPr>
          <w:rFonts w:ascii="Calibri Light" w:eastAsia="Calibri Light" w:hAnsi="Calibri Light" w:cs="Calibri Light"/>
          <w:color w:val="000000" w:themeColor="text1"/>
          <w:sz w:val="23"/>
          <w:szCs w:val="23"/>
        </w:rPr>
        <w:t xml:space="preserve"> and public artworks. </w:t>
      </w:r>
      <w:r w:rsidRPr="502830E4">
        <w:rPr>
          <w:rFonts w:ascii="Calibri Light" w:eastAsia="Calibri Light" w:hAnsi="Calibri Light" w:cs="Calibri Light"/>
          <w:color w:val="000000" w:themeColor="text1"/>
          <w:sz w:val="23"/>
          <w:szCs w:val="23"/>
          <w:lang w:val="en-GB"/>
        </w:rPr>
        <w:t>Venues could be upgraded or existing spaces.</w:t>
      </w:r>
    </w:p>
    <w:p w14:paraId="5F364897" w14:textId="130D23F4" w:rsidR="005A5B46" w:rsidRPr="00D9154D" w:rsidRDefault="00F00E3D" w:rsidP="00E9488B">
      <w:pPr>
        <w:spacing w:line="276" w:lineRule="auto"/>
        <w:rPr>
          <w:rFonts w:asciiTheme="majorHAnsi" w:hAnsiTheme="majorHAnsi" w:cstheme="majorBidi"/>
          <w:color w:val="595959" w:themeColor="text1" w:themeTint="A6"/>
          <w:sz w:val="23"/>
          <w:szCs w:val="23"/>
        </w:rPr>
      </w:pPr>
      <w:r w:rsidRPr="00D9154D">
        <w:rPr>
          <w:rFonts w:eastAsiaTheme="majorEastAsia" w:cstheme="minorHAnsi"/>
          <w:b/>
          <w:bCs/>
          <w:color w:val="595959" w:themeColor="text1" w:themeTint="A6"/>
          <w:sz w:val="23"/>
          <w:szCs w:val="23"/>
        </w:rPr>
        <w:t xml:space="preserve">Relevant </w:t>
      </w:r>
      <w:r w:rsidR="00AD2DA5">
        <w:rPr>
          <w:rFonts w:eastAsiaTheme="majorEastAsia" w:cstheme="minorHAnsi"/>
          <w:b/>
          <w:bCs/>
          <w:color w:val="595959" w:themeColor="text1" w:themeTint="A6"/>
          <w:sz w:val="23"/>
          <w:szCs w:val="23"/>
        </w:rPr>
        <w:t>Case Studies</w:t>
      </w:r>
      <w:r w:rsidRPr="00D9154D">
        <w:rPr>
          <w:rFonts w:asciiTheme="majorHAnsi" w:eastAsiaTheme="majorEastAsia" w:hAnsiTheme="majorHAnsi" w:cstheme="majorBidi"/>
          <w:b/>
          <w:bCs/>
          <w:color w:val="595959" w:themeColor="text1" w:themeTint="A6"/>
          <w:sz w:val="23"/>
          <w:szCs w:val="23"/>
        </w:rPr>
        <w:t xml:space="preserve">: </w:t>
      </w:r>
      <w:r w:rsidRPr="00D9154D">
        <w:rPr>
          <w:rFonts w:asciiTheme="majorHAnsi" w:eastAsiaTheme="majorEastAsia" w:hAnsiTheme="majorHAnsi" w:cstheme="majorBidi"/>
          <w:color w:val="595959" w:themeColor="text1" w:themeTint="A6"/>
          <w:sz w:val="23"/>
          <w:szCs w:val="23"/>
        </w:rPr>
        <w:t xml:space="preserve">TBA North, </w:t>
      </w:r>
      <w:r w:rsidR="00D9154D">
        <w:rPr>
          <w:rFonts w:asciiTheme="majorHAnsi" w:eastAsiaTheme="majorEastAsia" w:hAnsiTheme="majorHAnsi" w:cstheme="majorBidi"/>
          <w:color w:val="595959" w:themeColor="text1" w:themeTint="A6"/>
          <w:sz w:val="23"/>
          <w:szCs w:val="23"/>
        </w:rPr>
        <w:t>Geelong</w:t>
      </w:r>
      <w:r w:rsidRPr="00D9154D">
        <w:rPr>
          <w:rFonts w:asciiTheme="majorHAnsi" w:eastAsiaTheme="majorEastAsia" w:hAnsiTheme="majorHAnsi" w:cstheme="majorBidi"/>
          <w:color w:val="595959" w:themeColor="text1" w:themeTint="A6"/>
          <w:sz w:val="23"/>
          <w:szCs w:val="23"/>
        </w:rPr>
        <w:t xml:space="preserve"> </w:t>
      </w:r>
      <w:r w:rsidR="005E43F6">
        <w:rPr>
          <w:rFonts w:asciiTheme="majorHAnsi" w:eastAsiaTheme="majorEastAsia" w:hAnsiTheme="majorHAnsi" w:cstheme="majorBidi"/>
          <w:color w:val="595959" w:themeColor="text1" w:themeTint="A6"/>
          <w:sz w:val="23"/>
          <w:szCs w:val="23"/>
        </w:rPr>
        <w:t>(</w:t>
      </w:r>
      <w:r w:rsidR="005E43F6" w:rsidRPr="00D9154D">
        <w:rPr>
          <w:rFonts w:asciiTheme="majorHAnsi" w:eastAsiaTheme="majorEastAsia" w:hAnsiTheme="majorHAnsi" w:cstheme="majorBidi"/>
          <w:color w:val="595959" w:themeColor="text1" w:themeTint="A6"/>
          <w:sz w:val="23"/>
          <w:szCs w:val="23"/>
        </w:rPr>
        <w:t>Children’s Choir</w:t>
      </w:r>
      <w:r w:rsidR="005E43F6">
        <w:rPr>
          <w:rFonts w:asciiTheme="majorHAnsi" w:eastAsiaTheme="majorEastAsia" w:hAnsiTheme="majorHAnsi" w:cstheme="majorBidi"/>
          <w:color w:val="595959" w:themeColor="text1" w:themeTint="A6"/>
          <w:sz w:val="23"/>
          <w:szCs w:val="23"/>
        </w:rPr>
        <w:t>) (p.59);</w:t>
      </w:r>
      <w:r w:rsidRPr="00D9154D">
        <w:rPr>
          <w:rFonts w:asciiTheme="majorHAnsi" w:eastAsiaTheme="majorEastAsia" w:hAnsiTheme="majorHAnsi" w:cstheme="majorBidi"/>
          <w:color w:val="595959" w:themeColor="text1" w:themeTint="A6"/>
          <w:sz w:val="23"/>
          <w:szCs w:val="23"/>
        </w:rPr>
        <w:t xml:space="preserve"> Fawkner Commons/Fair Share Fare </w:t>
      </w:r>
      <w:r w:rsidR="005E43F6">
        <w:rPr>
          <w:rFonts w:ascii="Calibri" w:eastAsia="Calibri" w:hAnsi="Calibri" w:cs="Calibri"/>
          <w:color w:val="595959" w:themeColor="text1" w:themeTint="A6"/>
        </w:rPr>
        <w:t>(</w:t>
      </w:r>
      <w:r w:rsidRPr="00D9154D">
        <w:rPr>
          <w:rFonts w:asciiTheme="majorHAnsi" w:eastAsiaTheme="majorEastAsia" w:hAnsiTheme="majorHAnsi" w:cstheme="majorBidi"/>
          <w:color w:val="595959" w:themeColor="text1" w:themeTint="A6"/>
          <w:sz w:val="23"/>
          <w:szCs w:val="23"/>
        </w:rPr>
        <w:t>DIY Knowledge Share</w:t>
      </w:r>
      <w:r w:rsidR="005E43F6">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w:t>
      </w:r>
      <w:r w:rsidR="005E43F6">
        <w:rPr>
          <w:rFonts w:asciiTheme="majorHAnsi" w:eastAsiaTheme="majorEastAsia" w:hAnsiTheme="majorHAnsi" w:cstheme="majorBidi"/>
          <w:color w:val="595959" w:themeColor="text1" w:themeTint="A6"/>
          <w:sz w:val="23"/>
          <w:szCs w:val="23"/>
        </w:rPr>
        <w:t>(p.63)</w:t>
      </w:r>
      <w:r w:rsidRPr="00D9154D">
        <w:rPr>
          <w:rFonts w:asciiTheme="majorHAnsi" w:eastAsiaTheme="majorEastAsia" w:hAnsiTheme="majorHAnsi" w:cstheme="majorBidi"/>
          <w:color w:val="595959" w:themeColor="text1" w:themeTint="A6"/>
          <w:sz w:val="23"/>
          <w:szCs w:val="23"/>
        </w:rPr>
        <w:t xml:space="preserve">; Shutterbugs + I Heart Maryborough, Victoria </w:t>
      </w:r>
      <w:r w:rsidR="005E43F6">
        <w:rPr>
          <w:rFonts w:asciiTheme="majorHAnsi" w:eastAsiaTheme="majorEastAsia" w:hAnsiTheme="majorHAnsi" w:cstheme="majorBidi"/>
          <w:color w:val="595959" w:themeColor="text1" w:themeTint="A6"/>
          <w:sz w:val="23"/>
          <w:szCs w:val="23"/>
        </w:rPr>
        <w:t>(p.67)</w:t>
      </w:r>
      <w:r w:rsidRPr="00D9154D">
        <w:rPr>
          <w:rFonts w:asciiTheme="majorHAnsi" w:eastAsiaTheme="majorEastAsia" w:hAnsiTheme="majorHAnsi" w:cstheme="majorBidi"/>
          <w:color w:val="595959" w:themeColor="text1" w:themeTint="A6"/>
          <w:sz w:val="23"/>
          <w:szCs w:val="23"/>
        </w:rPr>
        <w:t xml:space="preserve">; Ten Ideas Three Ventures, Melbourne </w:t>
      </w:r>
      <w:r w:rsidR="005E43F6">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The Culture Party</w:t>
      </w:r>
      <w:r w:rsidR="005E43F6">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w:t>
      </w:r>
      <w:r w:rsidR="00B6458B">
        <w:rPr>
          <w:rFonts w:asciiTheme="majorHAnsi" w:eastAsiaTheme="majorEastAsia" w:hAnsiTheme="majorHAnsi" w:cstheme="majorBidi"/>
          <w:color w:val="595959" w:themeColor="text1" w:themeTint="A6"/>
          <w:sz w:val="23"/>
          <w:szCs w:val="23"/>
        </w:rPr>
        <w:t>(p.65)</w:t>
      </w:r>
      <w:r w:rsidRPr="00D9154D">
        <w:rPr>
          <w:rFonts w:asciiTheme="majorHAnsi" w:eastAsiaTheme="majorEastAsia" w:hAnsiTheme="majorHAnsi" w:cstheme="majorBidi"/>
          <w:color w:val="595959" w:themeColor="text1" w:themeTint="A6"/>
          <w:sz w:val="23"/>
          <w:szCs w:val="23"/>
        </w:rPr>
        <w:t>; The Broomhill Project, Glasgow</w:t>
      </w:r>
      <w:r w:rsidR="00C86031">
        <w:rPr>
          <w:rFonts w:asciiTheme="majorHAnsi" w:eastAsiaTheme="majorEastAsia" w:hAnsiTheme="majorHAnsi" w:cstheme="majorBidi"/>
          <w:color w:val="595959" w:themeColor="text1" w:themeTint="A6"/>
          <w:sz w:val="23"/>
          <w:szCs w:val="23"/>
        </w:rPr>
        <w:t xml:space="preserve"> </w:t>
      </w:r>
      <w:r w:rsidR="005E43F6">
        <w:rPr>
          <w:rFonts w:asciiTheme="majorHAnsi" w:hAnsiTheme="majorHAnsi" w:cstheme="majorBidi"/>
          <w:color w:val="595959" w:themeColor="text1" w:themeTint="A6"/>
          <w:sz w:val="23"/>
          <w:szCs w:val="23"/>
        </w:rPr>
        <w:t>(p.76)</w:t>
      </w:r>
      <w:r w:rsidR="005E43F6" w:rsidRPr="00D9154D">
        <w:rPr>
          <w:rFonts w:asciiTheme="majorHAnsi"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Skip</w:t>
      </w:r>
      <w:r w:rsidRPr="00D9154D">
        <w:rPr>
          <w:rFonts w:asciiTheme="majorHAnsi" w:hAnsiTheme="majorHAnsi" w:cstheme="majorBidi"/>
          <w:color w:val="595959" w:themeColor="text1" w:themeTint="A6"/>
          <w:sz w:val="23"/>
          <w:szCs w:val="23"/>
        </w:rPr>
        <w:t xml:space="preserve"> Garden and Kitchen + Story Garden, London, UK </w:t>
      </w:r>
      <w:r w:rsidR="005E43F6">
        <w:rPr>
          <w:rFonts w:asciiTheme="majorHAnsi" w:hAnsiTheme="majorHAnsi" w:cstheme="majorBidi"/>
          <w:color w:val="595959" w:themeColor="text1" w:themeTint="A6"/>
          <w:sz w:val="23"/>
          <w:szCs w:val="23"/>
        </w:rPr>
        <w:t>(</w:t>
      </w:r>
      <w:r w:rsidRPr="00D9154D">
        <w:rPr>
          <w:rFonts w:asciiTheme="majorHAnsi" w:hAnsiTheme="majorHAnsi" w:cstheme="majorBidi"/>
          <w:color w:val="595959" w:themeColor="text1" w:themeTint="A6"/>
          <w:sz w:val="23"/>
          <w:szCs w:val="23"/>
        </w:rPr>
        <w:t>MAKE Workshops</w:t>
      </w:r>
      <w:r w:rsidR="005E43F6">
        <w:rPr>
          <w:rFonts w:asciiTheme="majorHAnsi" w:hAnsiTheme="majorHAnsi" w:cstheme="majorBidi"/>
          <w:color w:val="595959" w:themeColor="text1" w:themeTint="A6"/>
          <w:sz w:val="23"/>
          <w:szCs w:val="23"/>
        </w:rPr>
        <w:t>)</w:t>
      </w:r>
      <w:r w:rsidRPr="00D9154D">
        <w:rPr>
          <w:rFonts w:asciiTheme="majorHAnsi" w:hAnsiTheme="majorHAnsi" w:cstheme="majorBidi"/>
          <w:color w:val="595959" w:themeColor="text1" w:themeTint="A6"/>
          <w:sz w:val="23"/>
          <w:szCs w:val="23"/>
        </w:rPr>
        <w:t xml:space="preserve"> </w:t>
      </w:r>
      <w:r w:rsidR="005E43F6">
        <w:rPr>
          <w:rFonts w:asciiTheme="majorHAnsi" w:eastAsiaTheme="majorEastAsia" w:hAnsiTheme="majorHAnsi" w:cstheme="majorBidi"/>
          <w:color w:val="525252" w:themeColor="accent3" w:themeShade="80"/>
          <w:sz w:val="23"/>
          <w:szCs w:val="23"/>
        </w:rPr>
        <w:t>(p.78)</w:t>
      </w:r>
      <w:r w:rsidR="00C86031">
        <w:rPr>
          <w:rFonts w:asciiTheme="majorHAnsi" w:eastAsiaTheme="majorEastAsia" w:hAnsiTheme="majorHAnsi" w:cstheme="majorBidi"/>
          <w:color w:val="525252" w:themeColor="accent3" w:themeShade="80"/>
          <w:sz w:val="23"/>
          <w:szCs w:val="23"/>
        </w:rPr>
        <w:t>,</w:t>
      </w:r>
      <w:r w:rsidR="00C86031" w:rsidRPr="00C86031">
        <w:rPr>
          <w:rFonts w:asciiTheme="majorHAnsi" w:eastAsiaTheme="majorEastAsia" w:hAnsiTheme="majorHAnsi" w:cstheme="majorBidi"/>
          <w:color w:val="595959" w:themeColor="text1" w:themeTint="A6"/>
          <w:sz w:val="23"/>
          <w:szCs w:val="23"/>
        </w:rPr>
        <w:t xml:space="preserve"> </w:t>
      </w:r>
      <w:r w:rsidR="00C86031">
        <w:rPr>
          <w:rFonts w:asciiTheme="majorHAnsi" w:eastAsiaTheme="majorEastAsia" w:hAnsiTheme="majorHAnsi" w:cstheme="majorBidi"/>
          <w:color w:val="595959" w:themeColor="text1" w:themeTint="A6"/>
          <w:sz w:val="23"/>
          <w:szCs w:val="23"/>
        </w:rPr>
        <w:t xml:space="preserve">We Design for Life, Denmark </w:t>
      </w:r>
      <w:r w:rsidR="00C86031">
        <w:rPr>
          <w:rFonts w:asciiTheme="majorHAnsi" w:eastAsiaTheme="majorEastAsia" w:hAnsiTheme="majorHAnsi" w:cstheme="majorBidi"/>
          <w:color w:val="525252" w:themeColor="accent3" w:themeShade="80"/>
          <w:sz w:val="23"/>
          <w:szCs w:val="23"/>
        </w:rPr>
        <w:t>(p.83)</w:t>
      </w:r>
      <w:r w:rsidR="005E43F6">
        <w:rPr>
          <w:rFonts w:asciiTheme="majorHAnsi" w:eastAsiaTheme="majorEastAsia" w:hAnsiTheme="majorHAnsi" w:cstheme="majorBidi"/>
          <w:color w:val="525252" w:themeColor="accent3" w:themeShade="80"/>
          <w:sz w:val="23"/>
          <w:szCs w:val="23"/>
        </w:rPr>
        <w:t>.</w:t>
      </w:r>
      <w:r w:rsidR="005A5B46" w:rsidRPr="00D9154D">
        <w:rPr>
          <w:rFonts w:asciiTheme="majorHAnsi" w:hAnsiTheme="majorHAnsi" w:cstheme="majorBidi"/>
          <w:color w:val="595959" w:themeColor="text1" w:themeTint="A6"/>
          <w:sz w:val="23"/>
          <w:szCs w:val="23"/>
        </w:rPr>
        <w:br w:type="page"/>
      </w:r>
    </w:p>
    <w:p w14:paraId="13AEEBFF" w14:textId="7E282D65" w:rsidR="00F00E3D" w:rsidRPr="00A2141D" w:rsidRDefault="00F00E3D" w:rsidP="009B2FA7">
      <w:pPr>
        <w:pStyle w:val="Default"/>
        <w:spacing w:line="276" w:lineRule="auto"/>
        <w:rPr>
          <w:rFonts w:eastAsia="Calibri"/>
          <w:b/>
          <w:color w:val="2E74B5" w:themeColor="accent5" w:themeShade="BF"/>
          <w:sz w:val="25"/>
          <w:szCs w:val="25"/>
        </w:rPr>
      </w:pPr>
      <w:r w:rsidRPr="00A2141D">
        <w:rPr>
          <w:rFonts w:eastAsia="Calibri"/>
          <w:b/>
          <w:color w:val="2E74B5" w:themeColor="accent5" w:themeShade="BF"/>
          <w:sz w:val="25"/>
          <w:szCs w:val="25"/>
        </w:rPr>
        <w:lastRenderedPageBreak/>
        <w:t>3.8 Digital Inclusion</w:t>
      </w:r>
      <w:r w:rsidR="00A2141D">
        <w:rPr>
          <w:rFonts w:eastAsia="Calibri"/>
          <w:b/>
          <w:color w:val="2E74B5" w:themeColor="accent5" w:themeShade="BF"/>
          <w:sz w:val="25"/>
          <w:szCs w:val="25"/>
        </w:rPr>
        <w:t xml:space="preserve"> Initiative</w:t>
      </w:r>
    </w:p>
    <w:p w14:paraId="0553FD91" w14:textId="77777777" w:rsidR="0055529D" w:rsidRPr="001F3E0B" w:rsidRDefault="0055529D" w:rsidP="009B2FA7">
      <w:pPr>
        <w:pStyle w:val="Default"/>
        <w:spacing w:line="276" w:lineRule="auto"/>
        <w:rPr>
          <w:rFonts w:eastAsia="Calibri"/>
          <w:b/>
          <w:color w:val="000000" w:themeColor="text1"/>
          <w:sz w:val="12"/>
          <w:szCs w:val="12"/>
        </w:rPr>
      </w:pPr>
    </w:p>
    <w:p w14:paraId="38A05D7E" w14:textId="27A49CF2" w:rsidR="00F00E3D" w:rsidRDefault="00F00E3D" w:rsidP="00600ED8">
      <w:pPr>
        <w:spacing w:line="276" w:lineRule="auto"/>
      </w:pPr>
      <w:r w:rsidRPr="502830E4">
        <w:rPr>
          <w:rFonts w:ascii="Calibri Light" w:eastAsia="Calibri Light" w:hAnsi="Calibri Light" w:cs="Calibri Light"/>
          <w:color w:val="000000" w:themeColor="text1"/>
          <w:sz w:val="23"/>
          <w:szCs w:val="23"/>
        </w:rPr>
        <w:t xml:space="preserve">Improving digital inclusion is an </w:t>
      </w:r>
      <w:r w:rsidRPr="0E3C9592">
        <w:rPr>
          <w:rFonts w:ascii="Calibri Light" w:eastAsia="Calibri Light" w:hAnsi="Calibri Light" w:cs="Calibri Light"/>
          <w:color w:val="000000" w:themeColor="text1"/>
          <w:sz w:val="23"/>
          <w:szCs w:val="23"/>
        </w:rPr>
        <w:t>urgent</w:t>
      </w:r>
      <w:r w:rsidRPr="502830E4">
        <w:rPr>
          <w:rFonts w:ascii="Calibri Light" w:eastAsia="Calibri Light" w:hAnsi="Calibri Light" w:cs="Calibri Light"/>
          <w:color w:val="000000" w:themeColor="text1"/>
          <w:sz w:val="23"/>
          <w:szCs w:val="23"/>
        </w:rPr>
        <w:t xml:space="preserve"> priority across all three localities. Digital </w:t>
      </w:r>
      <w:r w:rsidRPr="502830E4">
        <w:rPr>
          <w:rFonts w:ascii="Calibri Light" w:eastAsia="Calibri Light" w:hAnsi="Calibri Light" w:cs="Calibri Light"/>
          <w:i/>
          <w:iCs/>
          <w:color w:val="000000" w:themeColor="text1"/>
          <w:sz w:val="23"/>
          <w:szCs w:val="23"/>
        </w:rPr>
        <w:t xml:space="preserve">exclusion </w:t>
      </w:r>
      <w:r w:rsidRPr="502830E4">
        <w:rPr>
          <w:rFonts w:ascii="Calibri Light" w:eastAsia="Calibri Light" w:hAnsi="Calibri Light" w:cs="Calibri Light"/>
          <w:color w:val="000000" w:themeColor="text1"/>
          <w:sz w:val="23"/>
          <w:szCs w:val="23"/>
        </w:rPr>
        <w:t xml:space="preserve">is </w:t>
      </w:r>
      <w:r w:rsidR="00495AEC">
        <w:rPr>
          <w:rFonts w:ascii="Calibri Light" w:eastAsia="Calibri Light" w:hAnsi="Calibri Light" w:cs="Calibri Light"/>
          <w:color w:val="000000" w:themeColor="text1"/>
          <w:sz w:val="23"/>
          <w:szCs w:val="23"/>
        </w:rPr>
        <w:t xml:space="preserve">currently </w:t>
      </w:r>
      <w:r w:rsidRPr="502830E4">
        <w:rPr>
          <w:rFonts w:ascii="Calibri Light" w:eastAsia="Calibri Light" w:hAnsi="Calibri Light" w:cs="Calibri Light"/>
          <w:color w:val="000000" w:themeColor="text1"/>
          <w:sz w:val="23"/>
          <w:szCs w:val="23"/>
        </w:rPr>
        <w:t>contributing to poor health outcomes, financial hardship, social isolation, food insecurity, educational disadvantage, and employment barriers for these communities. Many residents cannot access vital services and information.</w:t>
      </w:r>
    </w:p>
    <w:p w14:paraId="7B2F8C07" w14:textId="04D36C59" w:rsidR="00F00E3D" w:rsidRDefault="00F00E3D" w:rsidP="00600ED8">
      <w:pPr>
        <w:spacing w:line="276" w:lineRule="auto"/>
      </w:pPr>
      <w:r w:rsidRPr="502830E4">
        <w:rPr>
          <w:rFonts w:ascii="Calibri Light" w:eastAsia="Calibri Light" w:hAnsi="Calibri Light" w:cs="Calibri Light"/>
          <w:color w:val="000000" w:themeColor="text1"/>
          <w:sz w:val="23"/>
          <w:szCs w:val="23"/>
        </w:rPr>
        <w:t xml:space="preserve">The Digital Inclusion Initiative </w:t>
      </w:r>
      <w:r w:rsidR="00C74E82">
        <w:rPr>
          <w:rFonts w:ascii="Calibri Light" w:eastAsia="Calibri Light" w:hAnsi="Calibri Light" w:cs="Calibri Light"/>
          <w:color w:val="000000" w:themeColor="text1"/>
          <w:sz w:val="23"/>
          <w:szCs w:val="23"/>
        </w:rPr>
        <w:t>must</w:t>
      </w:r>
      <w:r w:rsidR="007A43BA">
        <w:rPr>
          <w:rFonts w:ascii="Calibri Light" w:eastAsia="Calibri Light" w:hAnsi="Calibri Light" w:cs="Calibri Light"/>
          <w:color w:val="000000" w:themeColor="text1"/>
          <w:sz w:val="23"/>
          <w:szCs w:val="23"/>
        </w:rPr>
        <w:t xml:space="preserve"> be</w:t>
      </w:r>
      <w:r w:rsidRPr="502830E4">
        <w:rPr>
          <w:rFonts w:ascii="Calibri Light" w:eastAsia="Calibri Light" w:hAnsi="Calibri Light" w:cs="Calibri Light"/>
          <w:color w:val="000000" w:themeColor="text1"/>
          <w:sz w:val="23"/>
          <w:szCs w:val="23"/>
        </w:rPr>
        <w:t xml:space="preserve"> properly resourced, integrated, ongoing, and designed to tackle all</w:t>
      </w:r>
      <w:r w:rsidRPr="502830E4">
        <w:rPr>
          <w:rFonts w:ascii="Calibri Light" w:eastAsia="Calibri Light" w:hAnsi="Calibri Light" w:cs="Calibri Light"/>
          <w:sz w:val="23"/>
          <w:szCs w:val="23"/>
          <w:lang w:val="en-GB"/>
        </w:rPr>
        <w:t xml:space="preserve"> three aspects of digital inclusion: affordability, access, and ability. This includes technology, devices, data costs, wi-fi, broadband, confidence, safety, activities, and digital skills.</w:t>
      </w:r>
    </w:p>
    <w:p w14:paraId="06CEED08" w14:textId="579955BA" w:rsidR="00C74E82" w:rsidRDefault="00F00E3D" w:rsidP="00600ED8">
      <w:pPr>
        <w:spacing w:line="276" w:lineRule="auto"/>
        <w:rPr>
          <w:rFonts w:ascii="Calibri Light" w:eastAsia="Calibri Light" w:hAnsi="Calibri Light" w:cs="Calibri Light"/>
          <w:color w:val="000000" w:themeColor="text1"/>
          <w:sz w:val="23"/>
          <w:szCs w:val="23"/>
        </w:rPr>
      </w:pPr>
      <w:r w:rsidRPr="502830E4">
        <w:rPr>
          <w:rFonts w:ascii="Calibri Light" w:eastAsia="Calibri Light" w:hAnsi="Calibri Light" w:cs="Calibri Light"/>
          <w:color w:val="000000" w:themeColor="text1"/>
          <w:sz w:val="23"/>
          <w:szCs w:val="23"/>
        </w:rPr>
        <w:t xml:space="preserve">Programs should build the capacity of key local organisations, including schools, libraries, community centres, employment services, training providers, and not-for-profits. Peer leaders </w:t>
      </w:r>
      <w:r w:rsidR="00CB2F9A">
        <w:rPr>
          <w:rFonts w:ascii="Calibri Light" w:eastAsia="Calibri Light" w:hAnsi="Calibri Light" w:cs="Calibri Light"/>
          <w:color w:val="000000" w:themeColor="text1"/>
          <w:sz w:val="23"/>
          <w:szCs w:val="23"/>
        </w:rPr>
        <w:t xml:space="preserve">or “digital buddies” </w:t>
      </w:r>
      <w:r w:rsidRPr="502830E4">
        <w:rPr>
          <w:rFonts w:ascii="Calibri Light" w:eastAsia="Calibri Light" w:hAnsi="Calibri Light" w:cs="Calibri Light"/>
          <w:color w:val="000000" w:themeColor="text1"/>
          <w:sz w:val="23"/>
          <w:szCs w:val="23"/>
        </w:rPr>
        <w:t xml:space="preserve">could be engaged to share </w:t>
      </w:r>
      <w:r w:rsidR="008A1E7E">
        <w:rPr>
          <w:rFonts w:ascii="Calibri Light" w:eastAsia="Calibri Light" w:hAnsi="Calibri Light" w:cs="Calibri Light"/>
          <w:color w:val="000000" w:themeColor="text1"/>
          <w:sz w:val="23"/>
          <w:szCs w:val="23"/>
        </w:rPr>
        <w:t>their</w:t>
      </w:r>
      <w:r w:rsidRPr="502830E4">
        <w:rPr>
          <w:rFonts w:ascii="Calibri Light" w:eastAsia="Calibri Light" w:hAnsi="Calibri Light" w:cs="Calibri Light"/>
          <w:color w:val="000000" w:themeColor="text1"/>
          <w:sz w:val="23"/>
          <w:szCs w:val="23"/>
        </w:rPr>
        <w:t xml:space="preserve"> knowledge</w:t>
      </w:r>
      <w:r w:rsidR="003A21DC">
        <w:rPr>
          <w:rFonts w:ascii="Calibri Light" w:eastAsia="Calibri Light" w:hAnsi="Calibri Light" w:cs="Calibri Light"/>
          <w:color w:val="000000" w:themeColor="text1"/>
          <w:sz w:val="23"/>
          <w:szCs w:val="23"/>
        </w:rPr>
        <w:t>, including</w:t>
      </w:r>
      <w:r w:rsidR="00CB2F9A">
        <w:rPr>
          <w:rFonts w:ascii="Calibri Light" w:eastAsia="Calibri Light" w:hAnsi="Calibri Light" w:cs="Calibri Light"/>
          <w:color w:val="000000" w:themeColor="text1"/>
          <w:sz w:val="23"/>
          <w:szCs w:val="23"/>
        </w:rPr>
        <w:t xml:space="preserve"> via</w:t>
      </w:r>
      <w:r w:rsidR="003A21DC">
        <w:rPr>
          <w:rFonts w:ascii="Calibri Light" w:eastAsia="Calibri Light" w:hAnsi="Calibri Light" w:cs="Calibri Light"/>
          <w:color w:val="000000" w:themeColor="text1"/>
          <w:sz w:val="23"/>
          <w:szCs w:val="23"/>
        </w:rPr>
        <w:t xml:space="preserve"> </w:t>
      </w:r>
      <w:r w:rsidR="00D7399D">
        <w:rPr>
          <w:rFonts w:ascii="Calibri Light" w:eastAsia="Calibri Light" w:hAnsi="Calibri Light" w:cs="Calibri Light"/>
          <w:color w:val="000000" w:themeColor="text1"/>
          <w:sz w:val="23"/>
          <w:szCs w:val="23"/>
        </w:rPr>
        <w:t>intergenerational learning</w:t>
      </w:r>
      <w:r w:rsidRPr="502830E4">
        <w:rPr>
          <w:rFonts w:ascii="Calibri Light" w:eastAsia="Calibri Light" w:hAnsi="Calibri Light" w:cs="Calibri Light"/>
          <w:color w:val="000000" w:themeColor="text1"/>
          <w:sz w:val="23"/>
          <w:szCs w:val="23"/>
        </w:rPr>
        <w:t xml:space="preserve">. Residents could be </w:t>
      </w:r>
      <w:r w:rsidR="00D7399D">
        <w:rPr>
          <w:rFonts w:ascii="Calibri Light" w:eastAsia="Calibri Light" w:hAnsi="Calibri Light" w:cs="Calibri Light"/>
          <w:color w:val="000000" w:themeColor="text1"/>
          <w:sz w:val="23"/>
          <w:szCs w:val="23"/>
        </w:rPr>
        <w:t xml:space="preserve">trained and </w:t>
      </w:r>
      <w:r w:rsidRPr="502830E4">
        <w:rPr>
          <w:rFonts w:ascii="Calibri Light" w:eastAsia="Calibri Light" w:hAnsi="Calibri Light" w:cs="Calibri Light"/>
          <w:color w:val="000000" w:themeColor="text1"/>
          <w:sz w:val="23"/>
          <w:szCs w:val="23"/>
        </w:rPr>
        <w:t>employed to co-design and update the proposed Digital Dashboard. School students could share community highlights</w:t>
      </w:r>
      <w:r w:rsidR="00931004">
        <w:rPr>
          <w:rFonts w:ascii="Calibri Light" w:eastAsia="Calibri Light" w:hAnsi="Calibri Light" w:cs="Calibri Light"/>
          <w:color w:val="000000" w:themeColor="text1"/>
          <w:sz w:val="23"/>
          <w:szCs w:val="23"/>
        </w:rPr>
        <w:t xml:space="preserve"> and local achievements</w:t>
      </w:r>
      <w:r w:rsidRPr="502830E4">
        <w:rPr>
          <w:rFonts w:ascii="Calibri Light" w:eastAsia="Calibri Light" w:hAnsi="Calibri Light" w:cs="Calibri Light"/>
          <w:color w:val="000000" w:themeColor="text1"/>
          <w:sz w:val="23"/>
          <w:szCs w:val="23"/>
        </w:rPr>
        <w:t xml:space="preserve"> via digital storytelling projects.</w:t>
      </w:r>
    </w:p>
    <w:p w14:paraId="6A1BDFE7" w14:textId="7C5FEB33" w:rsidR="00F00E3D" w:rsidRDefault="00F00E3D" w:rsidP="00600ED8">
      <w:pPr>
        <w:spacing w:line="276" w:lineRule="auto"/>
      </w:pPr>
      <w:r w:rsidRPr="065E1C5E">
        <w:rPr>
          <w:rFonts w:ascii="Calibri Light" w:eastAsia="Calibri Light" w:hAnsi="Calibri Light" w:cs="Calibri Light"/>
          <w:color w:val="000000" w:themeColor="text1"/>
          <w:sz w:val="23"/>
          <w:szCs w:val="23"/>
        </w:rPr>
        <w:t>While digital inclusion is an equity issue, it</w:t>
      </w:r>
      <w:r w:rsidRPr="065E1C5E">
        <w:rPr>
          <w:rFonts w:ascii="Calibri Light" w:eastAsia="Calibri Light" w:hAnsi="Calibri Light" w:cs="Calibri Light"/>
          <w:sz w:val="23"/>
          <w:szCs w:val="23"/>
          <w:lang w:val="en-GB"/>
        </w:rPr>
        <w:t xml:space="preserve"> is </w:t>
      </w:r>
      <w:r w:rsidRPr="502830E4">
        <w:rPr>
          <w:rFonts w:ascii="Calibri Light" w:eastAsia="Calibri Light" w:hAnsi="Calibri Light" w:cs="Calibri Light"/>
          <w:sz w:val="23"/>
          <w:szCs w:val="23"/>
          <w:lang w:val="en-GB"/>
        </w:rPr>
        <w:t>not universally achievable, so important services and information must also be provided in non-digital formats.</w:t>
      </w:r>
    </w:p>
    <w:p w14:paraId="4A698865" w14:textId="6E3C6CFA" w:rsidR="00F00E3D" w:rsidRPr="009C5FC7" w:rsidRDefault="00F00E3D" w:rsidP="003A21DC">
      <w:pPr>
        <w:spacing w:after="0" w:line="276" w:lineRule="auto"/>
        <w:rPr>
          <w:rFonts w:asciiTheme="majorHAnsi" w:eastAsiaTheme="majorEastAsia" w:hAnsiTheme="majorHAnsi" w:cstheme="majorBidi"/>
          <w:color w:val="525252" w:themeColor="accent3" w:themeShade="80"/>
          <w:sz w:val="23"/>
          <w:szCs w:val="23"/>
        </w:rPr>
      </w:pPr>
      <w:r w:rsidRPr="007A43BA">
        <w:rPr>
          <w:rFonts w:cstheme="minorHAnsi"/>
          <w:b/>
          <w:bCs/>
          <w:color w:val="525252" w:themeColor="accent3" w:themeShade="80"/>
          <w:sz w:val="23"/>
          <w:szCs w:val="23"/>
        </w:rPr>
        <w:t xml:space="preserve">Relevant </w:t>
      </w:r>
      <w:r w:rsidR="00AD2DA5">
        <w:rPr>
          <w:rFonts w:cstheme="minorHAnsi"/>
          <w:b/>
          <w:bCs/>
          <w:color w:val="525252" w:themeColor="accent3" w:themeShade="80"/>
          <w:sz w:val="23"/>
          <w:szCs w:val="23"/>
        </w:rPr>
        <w:t>Case Studies</w:t>
      </w:r>
      <w:r w:rsidRPr="007A43BA">
        <w:rPr>
          <w:rFonts w:cstheme="minorHAnsi"/>
          <w:b/>
          <w:bCs/>
          <w:color w:val="525252" w:themeColor="accent3" w:themeShade="80"/>
          <w:sz w:val="23"/>
          <w:szCs w:val="23"/>
        </w:rPr>
        <w:t xml:space="preserve">: </w:t>
      </w:r>
      <w:r w:rsidRPr="001914AB">
        <w:rPr>
          <w:rFonts w:asciiTheme="majorHAnsi" w:hAnsiTheme="majorHAnsi" w:cstheme="majorHAnsi"/>
          <w:color w:val="525252" w:themeColor="accent3" w:themeShade="80"/>
          <w:sz w:val="23"/>
          <w:szCs w:val="23"/>
        </w:rPr>
        <w:t>The</w:t>
      </w:r>
      <w:r w:rsidRPr="502830E4">
        <w:rPr>
          <w:rFonts w:asciiTheme="majorHAnsi" w:hAnsiTheme="majorHAnsi" w:cstheme="majorBidi"/>
          <w:color w:val="525252" w:themeColor="accent3" w:themeShade="80"/>
          <w:sz w:val="23"/>
          <w:szCs w:val="23"/>
        </w:rPr>
        <w:t xml:space="preserve"> Digital Age Project, NSW </w:t>
      </w:r>
      <w:r w:rsidR="005E43F6">
        <w:rPr>
          <w:rFonts w:asciiTheme="majorHAnsi" w:hAnsiTheme="majorHAnsi" w:cstheme="majorBidi"/>
          <w:color w:val="525252" w:themeColor="accent3" w:themeShade="80"/>
          <w:sz w:val="23"/>
          <w:szCs w:val="23"/>
        </w:rPr>
        <w:t>(p.</w:t>
      </w:r>
      <w:r w:rsidR="005E43F6" w:rsidRPr="005E43F6">
        <w:rPr>
          <w:rFonts w:asciiTheme="majorHAnsi" w:hAnsiTheme="majorHAnsi" w:cstheme="majorBidi"/>
          <w:color w:val="525252" w:themeColor="accent3" w:themeShade="80"/>
          <w:sz w:val="23"/>
          <w:szCs w:val="23"/>
        </w:rPr>
        <w:t>68)</w:t>
      </w:r>
      <w:r w:rsidRPr="005E43F6">
        <w:rPr>
          <w:rFonts w:asciiTheme="majorHAnsi" w:hAnsiTheme="majorHAnsi" w:cstheme="majorBidi"/>
          <w:color w:val="525252" w:themeColor="accent3" w:themeShade="80"/>
          <w:sz w:val="23"/>
          <w:szCs w:val="23"/>
        </w:rPr>
        <w:t>; Angel</w:t>
      </w:r>
      <w:r w:rsidRPr="502830E4">
        <w:rPr>
          <w:rFonts w:asciiTheme="majorHAnsi" w:hAnsiTheme="majorHAnsi" w:cstheme="majorBidi"/>
          <w:color w:val="525252" w:themeColor="accent3" w:themeShade="80"/>
          <w:sz w:val="23"/>
          <w:szCs w:val="23"/>
        </w:rPr>
        <w:t xml:space="preserve"> Next Door, Australia-wide </w:t>
      </w:r>
      <w:r w:rsidR="005E43F6">
        <w:rPr>
          <w:rFonts w:asciiTheme="majorHAnsi" w:hAnsiTheme="majorHAnsi" w:cstheme="majorBidi"/>
          <w:color w:val="525252" w:themeColor="accent3" w:themeShade="80"/>
          <w:sz w:val="23"/>
          <w:szCs w:val="23"/>
        </w:rPr>
        <w:t xml:space="preserve">(p.70); </w:t>
      </w:r>
      <w:r w:rsidR="007A43BA">
        <w:rPr>
          <w:rFonts w:asciiTheme="majorHAnsi" w:hAnsiTheme="majorHAnsi" w:cstheme="majorBidi"/>
          <w:color w:val="525252" w:themeColor="accent3" w:themeShade="80"/>
          <w:sz w:val="23"/>
          <w:szCs w:val="23"/>
        </w:rPr>
        <w:t xml:space="preserve">We Dundee, Scotland </w:t>
      </w:r>
      <w:r w:rsidR="005E43F6">
        <w:rPr>
          <w:rFonts w:asciiTheme="majorHAnsi" w:hAnsiTheme="majorHAnsi" w:cstheme="majorBidi"/>
          <w:color w:val="525252" w:themeColor="accent3" w:themeShade="80"/>
          <w:sz w:val="23"/>
          <w:szCs w:val="23"/>
        </w:rPr>
        <w:t>(p.80)</w:t>
      </w:r>
      <w:r w:rsidR="00600ED8">
        <w:rPr>
          <w:rFonts w:asciiTheme="majorHAnsi" w:hAnsiTheme="majorHAnsi" w:cstheme="majorBidi"/>
          <w:color w:val="525252" w:themeColor="accent3" w:themeShade="80"/>
          <w:sz w:val="23"/>
          <w:szCs w:val="23"/>
        </w:rPr>
        <w:t xml:space="preserve">; </w:t>
      </w:r>
      <w:r w:rsidRPr="065E1C5E">
        <w:rPr>
          <w:rFonts w:asciiTheme="majorHAnsi" w:eastAsiaTheme="majorEastAsia" w:hAnsiTheme="majorHAnsi" w:cstheme="majorBidi"/>
          <w:color w:val="525252" w:themeColor="accent3" w:themeShade="80"/>
          <w:sz w:val="23"/>
          <w:szCs w:val="23"/>
        </w:rPr>
        <w:t>Ten Ideas Three Ventures, western suburbs, Melbourne</w:t>
      </w:r>
      <w:r w:rsidR="005E43F6">
        <w:rPr>
          <w:rFonts w:asciiTheme="majorHAnsi" w:eastAsiaTheme="majorEastAsia" w:hAnsiTheme="majorHAnsi" w:cstheme="majorBidi"/>
          <w:color w:val="525252" w:themeColor="accent3" w:themeShade="80"/>
          <w:sz w:val="23"/>
          <w:szCs w:val="23"/>
        </w:rPr>
        <w:t xml:space="preserve"> </w:t>
      </w:r>
      <w:r w:rsidR="005E43F6">
        <w:rPr>
          <w:rFonts w:asciiTheme="majorHAnsi" w:eastAsiaTheme="majorEastAsia" w:hAnsiTheme="majorHAnsi" w:cstheme="majorBidi"/>
          <w:color w:val="595959" w:themeColor="text1" w:themeTint="A6"/>
          <w:sz w:val="23"/>
          <w:szCs w:val="23"/>
        </w:rPr>
        <w:t>(p.65)</w:t>
      </w:r>
      <w:r w:rsidR="00CD48B3">
        <w:rPr>
          <w:rFonts w:asciiTheme="majorHAnsi" w:eastAsiaTheme="majorEastAsia" w:hAnsiTheme="majorHAnsi" w:cstheme="majorBidi"/>
          <w:color w:val="595959" w:themeColor="text1" w:themeTint="A6"/>
          <w:sz w:val="23"/>
          <w:szCs w:val="23"/>
        </w:rPr>
        <w:t xml:space="preserve">; We Design for Life, Kolding, Denmark </w:t>
      </w:r>
      <w:r w:rsidR="00CD48B3">
        <w:rPr>
          <w:rFonts w:asciiTheme="majorHAnsi" w:eastAsiaTheme="majorEastAsia" w:hAnsiTheme="majorHAnsi" w:cstheme="majorBidi"/>
          <w:color w:val="525252" w:themeColor="accent3" w:themeShade="80"/>
          <w:sz w:val="23"/>
          <w:szCs w:val="23"/>
        </w:rPr>
        <w:t>(p.83).</w:t>
      </w:r>
    </w:p>
    <w:p w14:paraId="0250F6FC" w14:textId="77777777" w:rsidR="003A21DC" w:rsidRPr="003A21DC" w:rsidRDefault="003A21DC" w:rsidP="00600ED8">
      <w:pPr>
        <w:pStyle w:val="Default"/>
        <w:spacing w:line="276" w:lineRule="auto"/>
        <w:rPr>
          <w:rFonts w:eastAsia="Calibri"/>
          <w:b/>
          <w:color w:val="2F5496" w:themeColor="accent1" w:themeShade="BF"/>
          <w:sz w:val="16"/>
          <w:szCs w:val="16"/>
        </w:rPr>
      </w:pPr>
    </w:p>
    <w:p w14:paraId="4DA25E9C" w14:textId="3EB6247C" w:rsidR="00F00E3D" w:rsidRPr="00A2141D" w:rsidRDefault="00F00E3D" w:rsidP="00600ED8">
      <w:pPr>
        <w:pStyle w:val="Default"/>
        <w:spacing w:line="276" w:lineRule="auto"/>
        <w:rPr>
          <w:rFonts w:eastAsia="Calibri"/>
          <w:b/>
          <w:color w:val="2E74B5" w:themeColor="accent5" w:themeShade="BF"/>
          <w:sz w:val="25"/>
          <w:szCs w:val="25"/>
        </w:rPr>
      </w:pPr>
      <w:r w:rsidRPr="00A2141D">
        <w:rPr>
          <w:rFonts w:eastAsia="Calibri"/>
          <w:b/>
          <w:color w:val="2E74B5" w:themeColor="accent5" w:themeShade="BF"/>
          <w:sz w:val="25"/>
          <w:szCs w:val="25"/>
        </w:rPr>
        <w:t>3.9 Support for Healthy Eating</w:t>
      </w:r>
      <w:r w:rsidR="00A2141D">
        <w:rPr>
          <w:rFonts w:eastAsia="Calibri"/>
          <w:b/>
          <w:color w:val="2E74B5" w:themeColor="accent5" w:themeShade="BF"/>
          <w:sz w:val="25"/>
          <w:szCs w:val="25"/>
        </w:rPr>
        <w:t xml:space="preserve"> Initiative</w:t>
      </w:r>
    </w:p>
    <w:p w14:paraId="5FBDB529" w14:textId="77777777" w:rsidR="0055529D" w:rsidRPr="003A21DC" w:rsidRDefault="0055529D" w:rsidP="009B2FA7">
      <w:pPr>
        <w:pStyle w:val="Default"/>
        <w:spacing w:line="276" w:lineRule="auto"/>
        <w:rPr>
          <w:rFonts w:eastAsia="Calibri"/>
          <w:b/>
          <w:bCs/>
          <w:color w:val="000000" w:themeColor="text1"/>
          <w:sz w:val="12"/>
          <w:szCs w:val="12"/>
        </w:rPr>
      </w:pPr>
    </w:p>
    <w:p w14:paraId="6914714B" w14:textId="0B2C5045" w:rsidR="00F00E3D" w:rsidRPr="00552857" w:rsidRDefault="00940D80" w:rsidP="00F16367">
      <w:pPr>
        <w:spacing w:line="276" w:lineRule="auto"/>
        <w:rPr>
          <w:rFonts w:asciiTheme="majorHAnsi" w:eastAsia="Calibri" w:hAnsiTheme="majorHAnsi" w:cstheme="majorBidi"/>
          <w:sz w:val="23"/>
          <w:szCs w:val="23"/>
          <w:lang w:val="en-GB"/>
        </w:rPr>
      </w:pPr>
      <w:r>
        <w:rPr>
          <w:rFonts w:asciiTheme="majorHAnsi" w:eastAsia="Calibri" w:hAnsiTheme="majorHAnsi" w:cstheme="majorBidi"/>
          <w:sz w:val="23"/>
          <w:szCs w:val="23"/>
        </w:rPr>
        <w:t>COVID</w:t>
      </w:r>
      <w:r w:rsidR="00F00E3D" w:rsidRPr="2CF940CF">
        <w:rPr>
          <w:rFonts w:asciiTheme="majorHAnsi" w:eastAsia="Calibri" w:hAnsiTheme="majorHAnsi" w:cstheme="majorBidi"/>
          <w:sz w:val="23"/>
          <w:szCs w:val="23"/>
        </w:rPr>
        <w:t>-19 brought the</w:t>
      </w:r>
      <w:r w:rsidR="00F00E3D" w:rsidRPr="0E3C9592">
        <w:rPr>
          <w:rFonts w:asciiTheme="majorHAnsi" w:eastAsia="Calibri" w:hAnsiTheme="majorHAnsi" w:cstheme="majorBidi"/>
          <w:sz w:val="23"/>
          <w:szCs w:val="23"/>
        </w:rPr>
        <w:t xml:space="preserve"> </w:t>
      </w:r>
      <w:r w:rsidR="00F16367">
        <w:rPr>
          <w:rFonts w:asciiTheme="majorHAnsi" w:eastAsia="Calibri" w:hAnsiTheme="majorHAnsi" w:cstheme="majorBidi"/>
          <w:sz w:val="23"/>
          <w:szCs w:val="23"/>
        </w:rPr>
        <w:t>problem</w:t>
      </w:r>
      <w:r w:rsidR="00F00E3D" w:rsidRPr="2CF940CF">
        <w:rPr>
          <w:rFonts w:asciiTheme="majorHAnsi" w:eastAsia="Calibri" w:hAnsiTheme="majorHAnsi" w:cstheme="majorBidi"/>
          <w:sz w:val="23"/>
          <w:szCs w:val="23"/>
        </w:rPr>
        <w:t xml:space="preserve"> of </w:t>
      </w:r>
      <w:r w:rsidR="00F16367">
        <w:rPr>
          <w:rFonts w:asciiTheme="majorHAnsi" w:eastAsia="Calibri" w:hAnsiTheme="majorHAnsi" w:cstheme="majorBidi"/>
          <w:sz w:val="23"/>
          <w:szCs w:val="23"/>
        </w:rPr>
        <w:t>food in</w:t>
      </w:r>
      <w:r w:rsidR="00F00E3D" w:rsidRPr="2CF940CF">
        <w:rPr>
          <w:rFonts w:asciiTheme="majorHAnsi" w:eastAsia="Calibri" w:hAnsiTheme="majorHAnsi" w:cstheme="majorBidi"/>
          <w:sz w:val="23"/>
          <w:szCs w:val="23"/>
        </w:rPr>
        <w:t>security</w:t>
      </w:r>
      <w:r w:rsidR="0049364E">
        <w:rPr>
          <w:rFonts w:asciiTheme="majorHAnsi" w:eastAsia="Calibri" w:hAnsiTheme="majorHAnsi" w:cstheme="majorBidi"/>
          <w:sz w:val="23"/>
          <w:szCs w:val="23"/>
        </w:rPr>
        <w:t xml:space="preserve"> in these three suburbs</w:t>
      </w:r>
      <w:r w:rsidR="00F00E3D" w:rsidRPr="2CF940CF">
        <w:rPr>
          <w:rFonts w:asciiTheme="majorHAnsi" w:eastAsia="Calibri" w:hAnsiTheme="majorHAnsi" w:cstheme="majorBidi"/>
          <w:sz w:val="23"/>
          <w:szCs w:val="23"/>
        </w:rPr>
        <w:t xml:space="preserve"> into stark relief. </w:t>
      </w:r>
      <w:r w:rsidR="00F00E3D" w:rsidRPr="45CA2783">
        <w:rPr>
          <w:rFonts w:asciiTheme="majorHAnsi" w:eastAsia="Calibri" w:hAnsiTheme="majorHAnsi" w:cstheme="majorBidi"/>
          <w:sz w:val="23"/>
          <w:szCs w:val="23"/>
        </w:rPr>
        <w:t xml:space="preserve">The Support for Healthy Eating initiative aims to </w:t>
      </w:r>
      <w:r w:rsidR="00F16367">
        <w:rPr>
          <w:rFonts w:asciiTheme="majorHAnsi" w:eastAsia="Calibri" w:hAnsiTheme="majorHAnsi" w:cstheme="majorBidi"/>
          <w:sz w:val="23"/>
          <w:szCs w:val="23"/>
        </w:rPr>
        <w:t>improve</w:t>
      </w:r>
      <w:r w:rsidR="0049364E">
        <w:rPr>
          <w:rFonts w:asciiTheme="majorHAnsi" w:eastAsia="Calibri" w:hAnsiTheme="majorHAnsi" w:cstheme="majorBidi"/>
          <w:sz w:val="23"/>
          <w:szCs w:val="23"/>
        </w:rPr>
        <w:t xml:space="preserve"> residents’ food security</w:t>
      </w:r>
      <w:r w:rsidR="00F00E3D" w:rsidRPr="45CA2783">
        <w:rPr>
          <w:rFonts w:asciiTheme="majorHAnsi" w:eastAsia="Calibri" w:hAnsiTheme="majorHAnsi" w:cstheme="majorBidi"/>
          <w:sz w:val="23"/>
          <w:szCs w:val="23"/>
        </w:rPr>
        <w:t xml:space="preserve"> and encourage healthier eating </w:t>
      </w:r>
      <w:r w:rsidR="00560899">
        <w:rPr>
          <w:rFonts w:asciiTheme="majorHAnsi" w:eastAsia="Calibri" w:hAnsiTheme="majorHAnsi" w:cstheme="majorBidi"/>
          <w:sz w:val="23"/>
          <w:szCs w:val="23"/>
        </w:rPr>
        <w:t xml:space="preserve">options and </w:t>
      </w:r>
      <w:r w:rsidR="00F00E3D" w:rsidRPr="45CA2783">
        <w:rPr>
          <w:rFonts w:asciiTheme="majorHAnsi" w:eastAsia="Calibri" w:hAnsiTheme="majorHAnsi" w:cstheme="majorBidi"/>
          <w:sz w:val="23"/>
          <w:szCs w:val="23"/>
        </w:rPr>
        <w:t>behaviours across the three localities. A lack of</w:t>
      </w:r>
      <w:r w:rsidR="00F00E3D" w:rsidRPr="0E3C9592">
        <w:rPr>
          <w:rFonts w:asciiTheme="majorHAnsi" w:eastAsia="Calibri" w:hAnsiTheme="majorHAnsi" w:cstheme="majorBidi"/>
          <w:sz w:val="23"/>
          <w:szCs w:val="23"/>
        </w:rPr>
        <w:t xml:space="preserve"> nutritious</w:t>
      </w:r>
      <w:r w:rsidR="00F00E3D" w:rsidRPr="45CA2783">
        <w:rPr>
          <w:rFonts w:asciiTheme="majorHAnsi" w:eastAsia="Calibri" w:hAnsiTheme="majorHAnsi" w:cstheme="majorBidi"/>
          <w:sz w:val="23"/>
          <w:szCs w:val="23"/>
        </w:rPr>
        <w:t xml:space="preserve"> food and/or poor diet contributes to a multitude of chronic health conditions, many of which are already prevalent in these communities. </w:t>
      </w:r>
      <w:r w:rsidR="00560899">
        <w:rPr>
          <w:rFonts w:asciiTheme="majorHAnsi" w:eastAsia="Calibri" w:hAnsiTheme="majorHAnsi" w:cstheme="majorBidi"/>
          <w:sz w:val="23"/>
          <w:szCs w:val="23"/>
        </w:rPr>
        <w:t>C</w:t>
      </w:r>
      <w:r w:rsidR="00F00E3D" w:rsidRPr="45CA2783">
        <w:rPr>
          <w:rFonts w:asciiTheme="majorHAnsi" w:eastAsia="Calibri" w:hAnsiTheme="majorHAnsi" w:cstheme="majorBidi"/>
          <w:sz w:val="23"/>
          <w:szCs w:val="23"/>
        </w:rPr>
        <w:t xml:space="preserve">hildren who go without meals or have unhealthy diets may </w:t>
      </w:r>
      <w:r w:rsidR="00560899">
        <w:rPr>
          <w:rFonts w:asciiTheme="majorHAnsi" w:eastAsia="Calibri" w:hAnsiTheme="majorHAnsi" w:cstheme="majorBidi"/>
          <w:sz w:val="23"/>
          <w:szCs w:val="23"/>
        </w:rPr>
        <w:t xml:space="preserve">also </w:t>
      </w:r>
      <w:r w:rsidR="00F00E3D" w:rsidRPr="45CA2783">
        <w:rPr>
          <w:rFonts w:asciiTheme="majorHAnsi" w:eastAsia="Calibri" w:hAnsiTheme="majorHAnsi" w:cstheme="majorBidi"/>
          <w:sz w:val="23"/>
          <w:szCs w:val="23"/>
        </w:rPr>
        <w:t>have more difficulty concentrating at school, which impacts their education outcomes.</w:t>
      </w:r>
    </w:p>
    <w:p w14:paraId="504B364B" w14:textId="5572F482" w:rsidR="00F00E3D" w:rsidRPr="00552857" w:rsidRDefault="00F00E3D" w:rsidP="00F16367">
      <w:pPr>
        <w:spacing w:line="276" w:lineRule="auto"/>
        <w:rPr>
          <w:rFonts w:asciiTheme="majorHAnsi" w:eastAsia="Calibri" w:hAnsiTheme="majorHAnsi" w:cstheme="majorBidi"/>
          <w:sz w:val="23"/>
          <w:szCs w:val="23"/>
          <w:lang w:val="en-GB"/>
        </w:rPr>
      </w:pPr>
      <w:r w:rsidRPr="45CA2783">
        <w:rPr>
          <w:rFonts w:asciiTheme="majorHAnsi" w:eastAsia="Calibri" w:hAnsiTheme="majorHAnsi" w:cstheme="majorBidi"/>
          <w:sz w:val="23"/>
          <w:szCs w:val="23"/>
        </w:rPr>
        <w:t>Interviews revealed a need for a range of programs,</w:t>
      </w:r>
      <w:r w:rsidR="00560899">
        <w:rPr>
          <w:rFonts w:asciiTheme="majorHAnsi" w:eastAsia="Calibri" w:hAnsiTheme="majorHAnsi" w:cstheme="majorBidi"/>
          <w:sz w:val="23"/>
          <w:szCs w:val="23"/>
        </w:rPr>
        <w:t xml:space="preserve"> including</w:t>
      </w:r>
      <w:r w:rsidRPr="45CA2783">
        <w:rPr>
          <w:rFonts w:asciiTheme="majorHAnsi" w:eastAsia="Calibri" w:hAnsiTheme="majorHAnsi" w:cstheme="majorBidi"/>
          <w:sz w:val="23"/>
          <w:szCs w:val="23"/>
        </w:rPr>
        <w:t xml:space="preserve"> a focus on retail (</w:t>
      </w:r>
      <w:proofErr w:type="gramStart"/>
      <w:r w:rsidRPr="45CA2783">
        <w:rPr>
          <w:rFonts w:asciiTheme="majorHAnsi" w:eastAsia="Calibri" w:hAnsiTheme="majorHAnsi" w:cstheme="majorBidi"/>
          <w:sz w:val="23"/>
          <w:szCs w:val="23"/>
        </w:rPr>
        <w:t>e.g</w:t>
      </w:r>
      <w:r w:rsidRPr="2CF940CF">
        <w:rPr>
          <w:rFonts w:asciiTheme="majorHAnsi" w:eastAsia="Calibri" w:hAnsiTheme="majorHAnsi" w:cstheme="majorBidi"/>
          <w:sz w:val="23"/>
          <w:szCs w:val="23"/>
        </w:rPr>
        <w:t>.</w:t>
      </w:r>
      <w:proofErr w:type="gramEnd"/>
      <w:r w:rsidRPr="45CA2783">
        <w:rPr>
          <w:rFonts w:asciiTheme="majorHAnsi" w:eastAsia="Calibri" w:hAnsiTheme="majorHAnsi" w:cstheme="majorBidi"/>
          <w:sz w:val="23"/>
          <w:szCs w:val="23"/>
        </w:rPr>
        <w:t xml:space="preserve"> improve access to healthy food outlets, including markets), community (e.g</w:t>
      </w:r>
      <w:r w:rsidRPr="2CF940CF">
        <w:rPr>
          <w:rFonts w:asciiTheme="majorHAnsi" w:eastAsia="Calibri" w:hAnsiTheme="majorHAnsi" w:cstheme="majorBidi"/>
          <w:sz w:val="23"/>
          <w:szCs w:val="23"/>
        </w:rPr>
        <w:t>.</w:t>
      </w:r>
      <w:r w:rsidRPr="45CA2783">
        <w:rPr>
          <w:rFonts w:asciiTheme="majorHAnsi" w:eastAsia="Calibri" w:hAnsiTheme="majorHAnsi" w:cstheme="majorBidi"/>
          <w:sz w:val="23"/>
          <w:szCs w:val="23"/>
        </w:rPr>
        <w:t xml:space="preserve"> community gardens, urban farms, food banks, backyard vege</w:t>
      </w:r>
      <w:r>
        <w:rPr>
          <w:rFonts w:asciiTheme="majorHAnsi" w:eastAsia="Calibri" w:hAnsiTheme="majorHAnsi" w:cstheme="majorBidi"/>
          <w:sz w:val="23"/>
          <w:szCs w:val="23"/>
        </w:rPr>
        <w:t>table</w:t>
      </w:r>
      <w:r w:rsidRPr="45CA2783">
        <w:rPr>
          <w:rFonts w:asciiTheme="majorHAnsi" w:eastAsia="Calibri" w:hAnsiTheme="majorHAnsi" w:cstheme="majorBidi"/>
          <w:sz w:val="23"/>
          <w:szCs w:val="23"/>
        </w:rPr>
        <w:t xml:space="preserve"> plots, food-based social enterprises) and personal support services (e.g</w:t>
      </w:r>
      <w:r w:rsidRPr="2CF940CF">
        <w:rPr>
          <w:rFonts w:asciiTheme="majorHAnsi" w:eastAsia="Calibri" w:hAnsiTheme="majorHAnsi" w:cstheme="majorBidi"/>
          <w:sz w:val="23"/>
          <w:szCs w:val="23"/>
        </w:rPr>
        <w:t>.</w:t>
      </w:r>
      <w:r w:rsidRPr="45CA2783">
        <w:rPr>
          <w:rFonts w:asciiTheme="majorHAnsi" w:eastAsia="Calibri" w:hAnsiTheme="majorHAnsi" w:cstheme="majorBidi"/>
          <w:sz w:val="23"/>
          <w:szCs w:val="23"/>
        </w:rPr>
        <w:t xml:space="preserve"> domestic provisioning</w:t>
      </w:r>
      <w:r w:rsidRPr="4C954A4B">
        <w:rPr>
          <w:rFonts w:asciiTheme="majorHAnsi" w:eastAsia="Calibri" w:hAnsiTheme="majorHAnsi" w:cstheme="majorBidi"/>
          <w:sz w:val="23"/>
          <w:szCs w:val="23"/>
        </w:rPr>
        <w:t>, mobility support).</w:t>
      </w:r>
      <w:r w:rsidRPr="45CA2783">
        <w:rPr>
          <w:rFonts w:asciiTheme="majorHAnsi" w:eastAsia="Calibri" w:hAnsiTheme="majorHAnsi" w:cstheme="majorBidi"/>
          <w:sz w:val="23"/>
          <w:szCs w:val="23"/>
        </w:rPr>
        <w:t xml:space="preserve"> Successful existing programs should also be identified and extended.</w:t>
      </w:r>
    </w:p>
    <w:p w14:paraId="706EB23C" w14:textId="7FCE8E08" w:rsidR="00F00E3D" w:rsidRPr="00552857" w:rsidRDefault="00F00E3D" w:rsidP="00F16367">
      <w:pPr>
        <w:spacing w:line="276" w:lineRule="auto"/>
        <w:rPr>
          <w:rFonts w:asciiTheme="majorHAnsi" w:eastAsia="Calibri" w:hAnsiTheme="majorHAnsi" w:cstheme="majorBidi"/>
          <w:sz w:val="23"/>
          <w:szCs w:val="23"/>
          <w:lang w:val="en-GB"/>
        </w:rPr>
      </w:pPr>
      <w:r w:rsidRPr="45CA2783">
        <w:rPr>
          <w:rFonts w:asciiTheme="majorHAnsi" w:eastAsia="Calibri" w:hAnsiTheme="majorHAnsi" w:cstheme="majorBidi"/>
          <w:sz w:val="23"/>
          <w:szCs w:val="23"/>
        </w:rPr>
        <w:t xml:space="preserve">This initiative should not be about forcing specific food choices on a community, but instead empowering them to make healthy choices by making healthy options more readily accessible. Residents should be engaged to co-design and deliver program elements. Options include gardening and cooking workshops, meal-sharing programs, </w:t>
      </w:r>
      <w:r w:rsidR="00C72FA4">
        <w:rPr>
          <w:rFonts w:asciiTheme="majorHAnsi" w:eastAsia="Calibri" w:hAnsiTheme="majorHAnsi" w:cstheme="majorBidi"/>
          <w:sz w:val="23"/>
          <w:szCs w:val="23"/>
        </w:rPr>
        <w:t xml:space="preserve">gardening </w:t>
      </w:r>
      <w:r w:rsidRPr="45CA2783">
        <w:rPr>
          <w:rFonts w:asciiTheme="majorHAnsi" w:eastAsia="Calibri" w:hAnsiTheme="majorHAnsi" w:cstheme="majorBidi"/>
          <w:sz w:val="23"/>
          <w:szCs w:val="23"/>
        </w:rPr>
        <w:t>tool libraries, school breakfasts and lunches, recipe videos</w:t>
      </w:r>
      <w:r w:rsidR="007378B5">
        <w:rPr>
          <w:rFonts w:asciiTheme="majorHAnsi" w:eastAsia="Calibri" w:hAnsiTheme="majorHAnsi" w:cstheme="majorBidi"/>
          <w:sz w:val="23"/>
          <w:szCs w:val="23"/>
        </w:rPr>
        <w:t>,</w:t>
      </w:r>
      <w:r w:rsidRPr="45CA2783">
        <w:rPr>
          <w:rFonts w:asciiTheme="majorHAnsi" w:eastAsia="Calibri" w:hAnsiTheme="majorHAnsi" w:cstheme="majorBidi"/>
          <w:sz w:val="23"/>
          <w:szCs w:val="23"/>
        </w:rPr>
        <w:t xml:space="preserve"> and sports-themed </w:t>
      </w:r>
      <w:r w:rsidR="007378B5">
        <w:rPr>
          <w:rFonts w:asciiTheme="majorHAnsi" w:eastAsia="Calibri" w:hAnsiTheme="majorHAnsi" w:cstheme="majorBidi"/>
          <w:sz w:val="23"/>
          <w:szCs w:val="23"/>
        </w:rPr>
        <w:t>activitie</w:t>
      </w:r>
      <w:r w:rsidRPr="45CA2783">
        <w:rPr>
          <w:rFonts w:asciiTheme="majorHAnsi" w:eastAsia="Calibri" w:hAnsiTheme="majorHAnsi" w:cstheme="majorBidi"/>
          <w:sz w:val="23"/>
          <w:szCs w:val="23"/>
        </w:rPr>
        <w:t>s.</w:t>
      </w:r>
      <w:r w:rsidR="00C63966">
        <w:rPr>
          <w:rFonts w:asciiTheme="majorHAnsi" w:eastAsia="Calibri" w:hAnsiTheme="majorHAnsi" w:cstheme="majorBidi"/>
          <w:sz w:val="23"/>
          <w:szCs w:val="23"/>
        </w:rPr>
        <w:t xml:space="preserve"> There is potential</w:t>
      </w:r>
      <w:r w:rsidR="006A5B4D">
        <w:rPr>
          <w:rFonts w:asciiTheme="majorHAnsi" w:eastAsia="Calibri" w:hAnsiTheme="majorHAnsi" w:cstheme="majorBidi"/>
          <w:sz w:val="23"/>
          <w:szCs w:val="23"/>
        </w:rPr>
        <w:t xml:space="preserve"> for program</w:t>
      </w:r>
      <w:r w:rsidR="00C63966">
        <w:rPr>
          <w:rFonts w:asciiTheme="majorHAnsi" w:eastAsia="Calibri" w:hAnsiTheme="majorHAnsi" w:cstheme="majorBidi"/>
          <w:sz w:val="23"/>
          <w:szCs w:val="23"/>
        </w:rPr>
        <w:t xml:space="preserve"> crossover with </w:t>
      </w:r>
      <w:r w:rsidR="006A5B4D">
        <w:rPr>
          <w:rFonts w:asciiTheme="majorHAnsi" w:eastAsia="Calibri" w:hAnsiTheme="majorHAnsi" w:cstheme="majorBidi"/>
          <w:sz w:val="23"/>
          <w:szCs w:val="23"/>
        </w:rPr>
        <w:t>the S</w:t>
      </w:r>
      <w:r w:rsidR="00C63966">
        <w:rPr>
          <w:rFonts w:asciiTheme="majorHAnsi" w:eastAsia="Calibri" w:hAnsiTheme="majorHAnsi" w:cstheme="majorBidi"/>
          <w:sz w:val="23"/>
          <w:szCs w:val="23"/>
        </w:rPr>
        <w:t xml:space="preserve">ocial </w:t>
      </w:r>
      <w:r w:rsidR="006A5B4D">
        <w:rPr>
          <w:rFonts w:asciiTheme="majorHAnsi" w:eastAsia="Calibri" w:hAnsiTheme="majorHAnsi" w:cstheme="majorBidi"/>
          <w:sz w:val="23"/>
          <w:szCs w:val="23"/>
        </w:rPr>
        <w:t>C</w:t>
      </w:r>
      <w:r w:rsidR="00C63966">
        <w:rPr>
          <w:rFonts w:asciiTheme="majorHAnsi" w:eastAsia="Calibri" w:hAnsiTheme="majorHAnsi" w:cstheme="majorBidi"/>
          <w:sz w:val="23"/>
          <w:szCs w:val="23"/>
        </w:rPr>
        <w:t>onnection</w:t>
      </w:r>
      <w:r w:rsidR="006A5B4D">
        <w:rPr>
          <w:rFonts w:asciiTheme="majorHAnsi" w:eastAsia="Calibri" w:hAnsiTheme="majorHAnsi" w:cstheme="majorBidi"/>
          <w:sz w:val="23"/>
          <w:szCs w:val="23"/>
        </w:rPr>
        <w:t xml:space="preserve">, </w:t>
      </w:r>
      <w:r w:rsidR="006E2949">
        <w:rPr>
          <w:rFonts w:asciiTheme="majorHAnsi" w:eastAsia="Calibri" w:hAnsiTheme="majorHAnsi" w:cstheme="majorBidi"/>
          <w:sz w:val="23"/>
          <w:szCs w:val="23"/>
        </w:rPr>
        <w:t>Local Health Services</w:t>
      </w:r>
      <w:r w:rsidR="006A5B4D">
        <w:rPr>
          <w:rFonts w:asciiTheme="majorHAnsi" w:eastAsia="Calibri" w:hAnsiTheme="majorHAnsi" w:cstheme="majorBidi"/>
          <w:sz w:val="23"/>
          <w:szCs w:val="23"/>
        </w:rPr>
        <w:t xml:space="preserve">, and </w:t>
      </w:r>
      <w:r w:rsidR="008D76D9">
        <w:rPr>
          <w:rFonts w:asciiTheme="majorHAnsi" w:eastAsia="Calibri" w:hAnsiTheme="majorHAnsi" w:cstheme="majorBidi"/>
          <w:sz w:val="23"/>
          <w:szCs w:val="23"/>
        </w:rPr>
        <w:t>Arts and Community Events</w:t>
      </w:r>
      <w:r w:rsidR="006A5B4D">
        <w:rPr>
          <w:rFonts w:asciiTheme="majorHAnsi" w:eastAsia="Calibri" w:hAnsiTheme="majorHAnsi" w:cstheme="majorBidi"/>
          <w:sz w:val="23"/>
          <w:szCs w:val="23"/>
        </w:rPr>
        <w:t xml:space="preserve"> Initiatives.</w:t>
      </w:r>
    </w:p>
    <w:p w14:paraId="61B8A394" w14:textId="371A2046" w:rsidR="00F00E3D" w:rsidRPr="00D9154D" w:rsidRDefault="00F00E3D" w:rsidP="00F16367">
      <w:pPr>
        <w:spacing w:line="276" w:lineRule="auto"/>
        <w:rPr>
          <w:rFonts w:asciiTheme="majorHAnsi" w:eastAsiaTheme="majorEastAsia" w:hAnsiTheme="majorHAnsi" w:cstheme="majorBidi"/>
          <w:color w:val="595959" w:themeColor="text1" w:themeTint="A6"/>
          <w:sz w:val="23"/>
          <w:szCs w:val="23"/>
        </w:rPr>
      </w:pPr>
      <w:r w:rsidRPr="00D9154D">
        <w:rPr>
          <w:rFonts w:eastAsiaTheme="majorEastAsia" w:cstheme="minorHAnsi"/>
          <w:b/>
          <w:bCs/>
          <w:color w:val="595959" w:themeColor="text1" w:themeTint="A6"/>
          <w:sz w:val="23"/>
          <w:szCs w:val="23"/>
        </w:rPr>
        <w:t xml:space="preserve">Relevant </w:t>
      </w:r>
      <w:r w:rsidR="00AD2DA5">
        <w:rPr>
          <w:rFonts w:eastAsiaTheme="majorEastAsia" w:cstheme="minorHAnsi"/>
          <w:b/>
          <w:bCs/>
          <w:color w:val="595959" w:themeColor="text1" w:themeTint="A6"/>
          <w:sz w:val="23"/>
          <w:szCs w:val="23"/>
        </w:rPr>
        <w:t>Case Studies</w:t>
      </w:r>
      <w:r w:rsidRPr="00D9154D">
        <w:rPr>
          <w:rFonts w:eastAsiaTheme="majorEastAsia" w:cstheme="minorHAnsi"/>
          <w:b/>
          <w:bCs/>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Fawkner Commons/Fair Share Fare </w:t>
      </w:r>
      <w:r w:rsidR="00447346">
        <w:rPr>
          <w:rFonts w:asciiTheme="majorHAnsi" w:eastAsiaTheme="majorEastAsia" w:hAnsiTheme="majorHAnsi" w:cstheme="majorBidi"/>
          <w:color w:val="595959" w:themeColor="text1" w:themeTint="A6"/>
          <w:sz w:val="23"/>
          <w:szCs w:val="23"/>
        </w:rPr>
        <w:t>(p.63)</w:t>
      </w:r>
      <w:r w:rsidR="00447346" w:rsidRPr="00D9154D">
        <w:rPr>
          <w:rFonts w:asciiTheme="majorHAnsi" w:eastAsiaTheme="majorEastAsia" w:hAnsiTheme="majorHAnsi" w:cstheme="majorBidi"/>
          <w:color w:val="595959" w:themeColor="text1" w:themeTint="A6"/>
          <w:sz w:val="23"/>
          <w:szCs w:val="23"/>
        </w:rPr>
        <w:t xml:space="preserve">; </w:t>
      </w:r>
      <w:r w:rsidRPr="00D9154D">
        <w:rPr>
          <w:rFonts w:asciiTheme="majorHAnsi" w:hAnsiTheme="majorHAnsi" w:cstheme="majorBidi"/>
          <w:color w:val="595959" w:themeColor="text1" w:themeTint="A6"/>
          <w:sz w:val="23"/>
          <w:szCs w:val="23"/>
        </w:rPr>
        <w:t xml:space="preserve">Best Babies Zone, USA </w:t>
      </w:r>
      <w:r w:rsidR="001914AB">
        <w:rPr>
          <w:rFonts w:asciiTheme="majorHAnsi" w:eastAsiaTheme="majorEastAsia" w:hAnsiTheme="majorHAnsi" w:cstheme="majorBidi"/>
          <w:color w:val="595959" w:themeColor="text1" w:themeTint="A6"/>
          <w:sz w:val="23"/>
          <w:szCs w:val="23"/>
        </w:rPr>
        <w:t>(p.71)</w:t>
      </w:r>
      <w:r w:rsidR="001914AB" w:rsidRPr="00D9154D">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The Skip Garden and Kitchen + Story Garden, London, UK </w:t>
      </w:r>
      <w:r w:rsidR="001914AB">
        <w:rPr>
          <w:rFonts w:ascii="Calibri" w:eastAsia="Calibri" w:hAnsi="Calibri" w:cs="Calibri"/>
          <w:color w:val="595959" w:themeColor="text1" w:themeTint="A6"/>
        </w:rPr>
        <w:t>(</w:t>
      </w:r>
      <w:r w:rsidR="001914AB">
        <w:rPr>
          <w:rFonts w:asciiTheme="majorHAnsi" w:eastAsiaTheme="majorEastAsia" w:hAnsiTheme="majorHAnsi" w:cstheme="majorBidi"/>
          <w:color w:val="595959" w:themeColor="text1" w:themeTint="A6"/>
          <w:sz w:val="23"/>
          <w:szCs w:val="23"/>
        </w:rPr>
        <w:t>c</w:t>
      </w:r>
      <w:r w:rsidRPr="00D9154D">
        <w:rPr>
          <w:rFonts w:asciiTheme="majorHAnsi" w:eastAsiaTheme="majorEastAsia" w:hAnsiTheme="majorHAnsi" w:cstheme="majorBidi"/>
          <w:color w:val="595959" w:themeColor="text1" w:themeTint="A6"/>
          <w:sz w:val="23"/>
          <w:szCs w:val="23"/>
        </w:rPr>
        <w:t>ommunity café, Junior Chef Club, Friday Night Out, Lunch and Learning</w:t>
      </w:r>
      <w:r w:rsidR="001914AB">
        <w:rPr>
          <w:rFonts w:asciiTheme="majorHAnsi" w:eastAsiaTheme="majorEastAsia" w:hAnsiTheme="majorHAnsi" w:cstheme="majorBidi"/>
          <w:color w:val="595959" w:themeColor="text1" w:themeTint="A6"/>
          <w:sz w:val="23"/>
          <w:szCs w:val="23"/>
        </w:rPr>
        <w:t xml:space="preserve">) </w:t>
      </w:r>
      <w:r w:rsidR="001914AB">
        <w:rPr>
          <w:rFonts w:asciiTheme="majorHAnsi" w:eastAsiaTheme="majorEastAsia" w:hAnsiTheme="majorHAnsi" w:cstheme="majorBidi"/>
          <w:color w:val="525252" w:themeColor="accent3" w:themeShade="80"/>
          <w:sz w:val="23"/>
          <w:szCs w:val="23"/>
        </w:rPr>
        <w:t xml:space="preserve">(p.78); </w:t>
      </w:r>
      <w:r w:rsidRPr="00D9154D">
        <w:rPr>
          <w:rFonts w:asciiTheme="majorHAnsi" w:eastAsiaTheme="majorEastAsia" w:hAnsiTheme="majorHAnsi" w:cstheme="majorBidi"/>
          <w:color w:val="595959" w:themeColor="text1" w:themeTint="A6"/>
          <w:sz w:val="23"/>
          <w:szCs w:val="23"/>
        </w:rPr>
        <w:t xml:space="preserve">Nourishing Landscapes, Nantes, France </w:t>
      </w:r>
      <w:r w:rsidR="00457491">
        <w:rPr>
          <w:rFonts w:asciiTheme="majorHAnsi" w:eastAsiaTheme="majorEastAsia" w:hAnsiTheme="majorHAnsi" w:cstheme="majorBidi"/>
          <w:color w:val="525252" w:themeColor="accent3" w:themeShade="80"/>
          <w:sz w:val="23"/>
          <w:szCs w:val="23"/>
        </w:rPr>
        <w:t>(p.81)</w:t>
      </w:r>
      <w:r w:rsidR="00457491" w:rsidRPr="502830E4">
        <w:rPr>
          <w:rFonts w:asciiTheme="majorHAnsi" w:eastAsiaTheme="majorEastAsia" w:hAnsiTheme="majorHAnsi" w:cstheme="majorBidi"/>
          <w:color w:val="525252" w:themeColor="accent3" w:themeShade="80"/>
          <w:sz w:val="23"/>
          <w:szCs w:val="23"/>
        </w:rPr>
        <w:t xml:space="preserve">; </w:t>
      </w:r>
      <w:r w:rsidRPr="00D9154D">
        <w:rPr>
          <w:rFonts w:asciiTheme="majorHAnsi" w:eastAsiaTheme="majorEastAsia" w:hAnsiTheme="majorHAnsi" w:cstheme="majorBidi"/>
          <w:color w:val="595959" w:themeColor="text1" w:themeTint="A6"/>
          <w:sz w:val="23"/>
          <w:szCs w:val="23"/>
        </w:rPr>
        <w:t>Oslo Living Lab, Norway</w:t>
      </w:r>
      <w:r w:rsidR="001914AB">
        <w:rPr>
          <w:rFonts w:asciiTheme="majorHAnsi" w:eastAsiaTheme="majorEastAsia" w:hAnsiTheme="majorHAnsi" w:cstheme="majorBidi"/>
          <w:color w:val="595959" w:themeColor="text1" w:themeTint="A6"/>
          <w:sz w:val="23"/>
          <w:szCs w:val="23"/>
        </w:rPr>
        <w:t xml:space="preserve"> (</w:t>
      </w:r>
      <w:r w:rsidRPr="00D9154D">
        <w:rPr>
          <w:rFonts w:asciiTheme="majorHAnsi" w:eastAsiaTheme="majorEastAsia" w:hAnsiTheme="majorHAnsi" w:cstheme="majorBidi"/>
          <w:color w:val="595959" w:themeColor="text1" w:themeTint="A6"/>
          <w:sz w:val="23"/>
          <w:szCs w:val="23"/>
        </w:rPr>
        <w:t>Rooftop Garden</w:t>
      </w:r>
      <w:r w:rsidR="001914AB">
        <w:rPr>
          <w:rFonts w:asciiTheme="majorHAnsi" w:eastAsiaTheme="majorEastAsia" w:hAnsiTheme="majorHAnsi" w:cstheme="majorBidi"/>
          <w:color w:val="595959" w:themeColor="text1" w:themeTint="A6"/>
          <w:sz w:val="23"/>
          <w:szCs w:val="23"/>
        </w:rPr>
        <w:t>)</w:t>
      </w:r>
      <w:r w:rsidR="00457491">
        <w:rPr>
          <w:rFonts w:asciiTheme="majorHAnsi" w:eastAsiaTheme="majorEastAsia" w:hAnsiTheme="majorHAnsi" w:cstheme="majorBidi"/>
          <w:color w:val="595959" w:themeColor="text1" w:themeTint="A6"/>
          <w:sz w:val="23"/>
          <w:szCs w:val="23"/>
        </w:rPr>
        <w:t xml:space="preserve"> (p.82).</w:t>
      </w:r>
    </w:p>
    <w:p w14:paraId="0368414E" w14:textId="4B65B2DF" w:rsidR="00F00E3D" w:rsidRPr="00623929" w:rsidRDefault="00F00E3D" w:rsidP="009B2FA7">
      <w:pPr>
        <w:pStyle w:val="Default"/>
        <w:spacing w:line="276" w:lineRule="auto"/>
        <w:rPr>
          <w:rFonts w:eastAsia="Calibri"/>
          <w:b/>
          <w:color w:val="2E74B5" w:themeColor="accent5" w:themeShade="BF"/>
          <w:sz w:val="25"/>
          <w:szCs w:val="25"/>
        </w:rPr>
      </w:pPr>
      <w:r w:rsidRPr="00623929">
        <w:rPr>
          <w:rFonts w:eastAsia="Calibri"/>
          <w:b/>
          <w:color w:val="2E74B5" w:themeColor="accent5" w:themeShade="BF"/>
          <w:sz w:val="25"/>
          <w:szCs w:val="25"/>
        </w:rPr>
        <w:lastRenderedPageBreak/>
        <w:t>3.10 Accessibility and Inclusion</w:t>
      </w:r>
      <w:r w:rsidR="00623929">
        <w:rPr>
          <w:rFonts w:eastAsia="Calibri"/>
          <w:b/>
          <w:color w:val="2E74B5" w:themeColor="accent5" w:themeShade="BF"/>
          <w:sz w:val="25"/>
          <w:szCs w:val="25"/>
        </w:rPr>
        <w:t xml:space="preserve"> Init</w:t>
      </w:r>
      <w:r w:rsidR="00CC1A86">
        <w:rPr>
          <w:rFonts w:eastAsia="Calibri"/>
          <w:b/>
          <w:color w:val="2E74B5" w:themeColor="accent5" w:themeShade="BF"/>
          <w:sz w:val="25"/>
          <w:szCs w:val="25"/>
        </w:rPr>
        <w:t>iative</w:t>
      </w:r>
    </w:p>
    <w:p w14:paraId="0959FFF5" w14:textId="77777777" w:rsidR="0055529D" w:rsidRPr="00CC1A86" w:rsidRDefault="0055529D" w:rsidP="009B2FA7">
      <w:pPr>
        <w:pStyle w:val="Default"/>
        <w:spacing w:line="276" w:lineRule="auto"/>
        <w:rPr>
          <w:rFonts w:eastAsia="Calibri"/>
          <w:b/>
          <w:color w:val="000000" w:themeColor="text1"/>
          <w:sz w:val="12"/>
          <w:szCs w:val="12"/>
        </w:rPr>
      </w:pPr>
    </w:p>
    <w:p w14:paraId="519E0D53" w14:textId="16F3E65F" w:rsidR="00F00E3D" w:rsidRPr="002A597F" w:rsidRDefault="00A92B8B" w:rsidP="778E395A">
      <w:pPr>
        <w:spacing w:line="276" w:lineRule="auto"/>
        <w:rPr>
          <w:rFonts w:asciiTheme="majorHAnsi" w:hAnsiTheme="majorHAnsi" w:cstheme="majorBidi"/>
          <w:sz w:val="23"/>
          <w:szCs w:val="23"/>
        </w:rPr>
      </w:pPr>
      <w:r w:rsidRPr="778E395A">
        <w:rPr>
          <w:rFonts w:asciiTheme="majorHAnsi" w:eastAsiaTheme="minorEastAsia" w:hAnsiTheme="majorHAnsi" w:cstheme="majorBidi"/>
          <w:sz w:val="23"/>
          <w:szCs w:val="23"/>
          <w:lang w:val="en-GB"/>
        </w:rPr>
        <w:t>Our final recommended initiative seeks to embed a</w:t>
      </w:r>
      <w:r w:rsidR="002B43BB" w:rsidRPr="778E395A">
        <w:rPr>
          <w:rFonts w:asciiTheme="majorHAnsi" w:eastAsiaTheme="minorEastAsia" w:hAnsiTheme="majorHAnsi" w:cstheme="majorBidi"/>
          <w:sz w:val="23"/>
          <w:szCs w:val="23"/>
          <w:lang w:val="en-GB"/>
        </w:rPr>
        <w:t>n active</w:t>
      </w:r>
      <w:r w:rsidRPr="778E395A">
        <w:rPr>
          <w:rFonts w:asciiTheme="majorHAnsi" w:eastAsiaTheme="minorEastAsia" w:hAnsiTheme="majorHAnsi" w:cstheme="majorBidi"/>
          <w:sz w:val="23"/>
          <w:szCs w:val="23"/>
          <w:lang w:val="en-GB"/>
        </w:rPr>
        <w:t xml:space="preserve"> commitment to social equity across all program areas.</w:t>
      </w:r>
      <w:r w:rsidR="00F00E3D" w:rsidRPr="778E395A">
        <w:rPr>
          <w:rFonts w:asciiTheme="majorHAnsi" w:eastAsiaTheme="minorEastAsia" w:hAnsiTheme="majorHAnsi" w:cstheme="majorBidi"/>
          <w:sz w:val="23"/>
          <w:szCs w:val="23"/>
          <w:lang w:val="en-GB"/>
        </w:rPr>
        <w:t xml:space="preserve"> </w:t>
      </w:r>
      <w:r w:rsidRPr="778E395A">
        <w:rPr>
          <w:rFonts w:asciiTheme="majorHAnsi" w:eastAsiaTheme="minorEastAsia" w:hAnsiTheme="majorHAnsi" w:cstheme="majorBidi"/>
          <w:sz w:val="23"/>
          <w:szCs w:val="23"/>
          <w:lang w:val="en-GB"/>
        </w:rPr>
        <w:t xml:space="preserve">There is a clear </w:t>
      </w:r>
      <w:r w:rsidR="00F00E3D" w:rsidRPr="778E395A">
        <w:rPr>
          <w:rFonts w:asciiTheme="majorHAnsi" w:eastAsiaTheme="minorEastAsia" w:hAnsiTheme="majorHAnsi" w:cstheme="majorBidi"/>
          <w:sz w:val="23"/>
          <w:szCs w:val="23"/>
          <w:lang w:val="en-GB"/>
        </w:rPr>
        <w:t>need</w:t>
      </w:r>
      <w:r w:rsidR="00F00E3D" w:rsidRPr="778E395A">
        <w:rPr>
          <w:rFonts w:asciiTheme="majorHAnsi" w:hAnsiTheme="majorHAnsi" w:cstheme="majorBidi"/>
          <w:sz w:val="23"/>
          <w:szCs w:val="23"/>
        </w:rPr>
        <w:t xml:space="preserve"> to provide</w:t>
      </w:r>
      <w:r w:rsidR="00EA5A3A" w:rsidRPr="778E395A">
        <w:rPr>
          <w:rFonts w:asciiTheme="majorHAnsi" w:hAnsiTheme="majorHAnsi" w:cstheme="majorBidi"/>
          <w:sz w:val="23"/>
          <w:szCs w:val="23"/>
        </w:rPr>
        <w:t xml:space="preserve"> communities </w:t>
      </w:r>
      <w:r w:rsidR="006D52AF" w:rsidRPr="778E395A">
        <w:rPr>
          <w:rFonts w:asciiTheme="majorHAnsi" w:eastAsiaTheme="minorEastAsia" w:hAnsiTheme="majorHAnsi" w:cstheme="majorBidi"/>
          <w:sz w:val="23"/>
          <w:szCs w:val="23"/>
          <w:lang w:val="en-GB"/>
        </w:rPr>
        <w:t xml:space="preserve">in Corio, Norlane, and Whittington </w:t>
      </w:r>
      <w:r w:rsidR="00EA5A3A" w:rsidRPr="778E395A">
        <w:rPr>
          <w:rFonts w:asciiTheme="majorHAnsi" w:hAnsiTheme="majorHAnsi" w:cstheme="majorBidi"/>
          <w:sz w:val="23"/>
          <w:szCs w:val="23"/>
        </w:rPr>
        <w:t>with</w:t>
      </w:r>
      <w:r w:rsidR="00F00E3D" w:rsidRPr="778E395A">
        <w:rPr>
          <w:rFonts w:asciiTheme="majorHAnsi" w:hAnsiTheme="majorHAnsi" w:cstheme="majorBidi"/>
          <w:sz w:val="23"/>
          <w:szCs w:val="23"/>
        </w:rPr>
        <w:t xml:space="preserve"> </w:t>
      </w:r>
      <w:r w:rsidR="00687ADD" w:rsidRPr="778E395A">
        <w:rPr>
          <w:rFonts w:asciiTheme="majorHAnsi" w:hAnsiTheme="majorHAnsi" w:cstheme="majorBidi"/>
          <w:sz w:val="23"/>
          <w:szCs w:val="23"/>
        </w:rPr>
        <w:t xml:space="preserve">more </w:t>
      </w:r>
      <w:r w:rsidR="00F00E3D" w:rsidRPr="778E395A">
        <w:rPr>
          <w:rFonts w:asciiTheme="majorHAnsi" w:hAnsiTheme="majorHAnsi" w:cstheme="majorBidi"/>
          <w:sz w:val="23"/>
          <w:szCs w:val="23"/>
        </w:rPr>
        <w:t>equitable opportunities for social inclusion</w:t>
      </w:r>
      <w:r w:rsidR="00373DAC" w:rsidRPr="778E395A">
        <w:rPr>
          <w:rFonts w:asciiTheme="majorHAnsi" w:hAnsiTheme="majorHAnsi" w:cstheme="majorBidi"/>
          <w:sz w:val="23"/>
          <w:szCs w:val="23"/>
        </w:rPr>
        <w:t>,</w:t>
      </w:r>
      <w:r w:rsidR="00F00E3D" w:rsidRPr="778E395A">
        <w:rPr>
          <w:rFonts w:asciiTheme="majorHAnsi" w:hAnsiTheme="majorHAnsi" w:cstheme="majorBidi"/>
          <w:sz w:val="23"/>
          <w:szCs w:val="23"/>
        </w:rPr>
        <w:t xml:space="preserve"> economic participation, employment, education, </w:t>
      </w:r>
      <w:r w:rsidR="00FF4F22" w:rsidRPr="778E395A">
        <w:rPr>
          <w:rFonts w:asciiTheme="majorHAnsi" w:hAnsiTheme="majorHAnsi" w:cstheme="majorBidi"/>
          <w:sz w:val="23"/>
          <w:szCs w:val="23"/>
        </w:rPr>
        <w:t xml:space="preserve">and </w:t>
      </w:r>
      <w:r w:rsidR="00F00E3D" w:rsidRPr="778E395A">
        <w:rPr>
          <w:rFonts w:asciiTheme="majorHAnsi" w:hAnsiTheme="majorHAnsi" w:cstheme="majorBidi"/>
          <w:sz w:val="23"/>
          <w:szCs w:val="23"/>
        </w:rPr>
        <w:t>housing</w:t>
      </w:r>
      <w:r w:rsidR="006D52AF" w:rsidRPr="778E395A">
        <w:rPr>
          <w:rFonts w:asciiTheme="majorHAnsi" w:hAnsiTheme="majorHAnsi" w:cstheme="majorBidi"/>
          <w:sz w:val="23"/>
          <w:szCs w:val="23"/>
        </w:rPr>
        <w:t>,</w:t>
      </w:r>
      <w:r w:rsidR="00F41B01" w:rsidRPr="778E395A">
        <w:rPr>
          <w:rFonts w:asciiTheme="majorHAnsi" w:hAnsiTheme="majorHAnsi" w:cstheme="majorBidi"/>
          <w:sz w:val="23"/>
          <w:szCs w:val="23"/>
        </w:rPr>
        <w:t xml:space="preserve"> along</w:t>
      </w:r>
      <w:r w:rsidR="00FF4F22" w:rsidRPr="778E395A">
        <w:rPr>
          <w:rFonts w:asciiTheme="majorHAnsi" w:hAnsiTheme="majorHAnsi" w:cstheme="majorBidi"/>
          <w:sz w:val="23"/>
          <w:szCs w:val="23"/>
        </w:rPr>
        <w:t xml:space="preserve"> with</w:t>
      </w:r>
      <w:r w:rsidR="00EA5A3A" w:rsidRPr="778E395A">
        <w:rPr>
          <w:rFonts w:asciiTheme="majorHAnsi" w:hAnsiTheme="majorHAnsi" w:cstheme="majorBidi"/>
          <w:sz w:val="23"/>
          <w:szCs w:val="23"/>
        </w:rPr>
        <w:t xml:space="preserve"> </w:t>
      </w:r>
      <w:r w:rsidR="00FF4F22" w:rsidRPr="778E395A">
        <w:rPr>
          <w:rFonts w:asciiTheme="majorHAnsi" w:hAnsiTheme="majorHAnsi" w:cstheme="majorBidi"/>
          <w:sz w:val="23"/>
          <w:szCs w:val="23"/>
        </w:rPr>
        <w:t>access to</w:t>
      </w:r>
      <w:r w:rsidR="007907F2" w:rsidRPr="778E395A">
        <w:rPr>
          <w:rFonts w:asciiTheme="majorHAnsi" w:hAnsiTheme="majorHAnsi" w:cstheme="majorBidi"/>
          <w:sz w:val="23"/>
          <w:szCs w:val="23"/>
        </w:rPr>
        <w:t xml:space="preserve"> </w:t>
      </w:r>
      <w:r w:rsidR="00F00E3D" w:rsidRPr="778E395A">
        <w:rPr>
          <w:rFonts w:asciiTheme="majorHAnsi" w:hAnsiTheme="majorHAnsi" w:cstheme="majorBidi"/>
          <w:sz w:val="23"/>
          <w:szCs w:val="23"/>
        </w:rPr>
        <w:t>community and social infrastructure that meets the needs and aspirations of all residents. This applies across all 14 priority areas</w:t>
      </w:r>
      <w:r w:rsidRPr="778E395A">
        <w:rPr>
          <w:rFonts w:asciiTheme="majorHAnsi" w:hAnsiTheme="majorHAnsi" w:cstheme="majorBidi"/>
          <w:sz w:val="23"/>
          <w:szCs w:val="23"/>
        </w:rPr>
        <w:t xml:space="preserve"> and all 10 proposed initiatives</w:t>
      </w:r>
      <w:r w:rsidR="00CC1A86" w:rsidRPr="778E395A">
        <w:rPr>
          <w:rFonts w:asciiTheme="majorHAnsi" w:hAnsiTheme="majorHAnsi" w:cstheme="majorBidi"/>
          <w:sz w:val="23"/>
          <w:szCs w:val="23"/>
        </w:rPr>
        <w:t>,</w:t>
      </w:r>
      <w:r w:rsidR="00F00E3D" w:rsidRPr="778E395A">
        <w:rPr>
          <w:rFonts w:asciiTheme="majorHAnsi" w:hAnsiTheme="majorHAnsi" w:cstheme="majorBidi"/>
          <w:sz w:val="23"/>
          <w:szCs w:val="23"/>
        </w:rPr>
        <w:t xml:space="preserve"> and is consistent with the recommendations of the </w:t>
      </w:r>
      <w:hyperlink r:id="rId15" w:history="1">
        <w:r w:rsidR="00F00E3D" w:rsidRPr="00AF0C3C">
          <w:rPr>
            <w:rStyle w:val="Hyperlink"/>
            <w:rFonts w:asciiTheme="majorHAnsi" w:hAnsiTheme="majorHAnsi" w:cstheme="majorBidi"/>
            <w:i/>
            <w:iCs/>
            <w:sz w:val="23"/>
            <w:szCs w:val="23"/>
          </w:rPr>
          <w:t xml:space="preserve">Accessible </w:t>
        </w:r>
        <w:r w:rsidR="00CC1A86" w:rsidRPr="00AF0C3C">
          <w:rPr>
            <w:rStyle w:val="Hyperlink"/>
            <w:rFonts w:asciiTheme="majorHAnsi" w:hAnsiTheme="majorHAnsi" w:cstheme="majorBidi"/>
            <w:i/>
            <w:iCs/>
            <w:sz w:val="23"/>
            <w:szCs w:val="23"/>
          </w:rPr>
          <w:t>and</w:t>
        </w:r>
        <w:r w:rsidR="00F00E3D" w:rsidRPr="00AF0C3C">
          <w:rPr>
            <w:rStyle w:val="Hyperlink"/>
            <w:rFonts w:asciiTheme="majorHAnsi" w:hAnsiTheme="majorHAnsi" w:cstheme="majorBidi"/>
            <w:i/>
            <w:iCs/>
            <w:sz w:val="23"/>
            <w:szCs w:val="23"/>
          </w:rPr>
          <w:t xml:space="preserve"> Inclusive Geelong Feasibility Study</w:t>
        </w:r>
      </w:hyperlink>
      <w:r w:rsidR="0B818DE1" w:rsidRPr="778E395A">
        <w:rPr>
          <w:rFonts w:asciiTheme="majorHAnsi" w:hAnsiTheme="majorHAnsi" w:cstheme="majorBidi"/>
          <w:i/>
          <w:iCs/>
          <w:sz w:val="23"/>
          <w:szCs w:val="23"/>
        </w:rPr>
        <w:t xml:space="preserve"> (Tucker et. al. 2018)</w:t>
      </w:r>
      <w:r w:rsidR="00F00E3D" w:rsidRPr="778E395A">
        <w:rPr>
          <w:rFonts w:asciiTheme="majorHAnsi" w:hAnsiTheme="majorHAnsi" w:cstheme="majorBidi"/>
          <w:sz w:val="23"/>
          <w:szCs w:val="23"/>
        </w:rPr>
        <w:t xml:space="preserve">. </w:t>
      </w:r>
    </w:p>
    <w:p w14:paraId="377207A3" w14:textId="5BA4E91C" w:rsidR="00F00E3D" w:rsidRDefault="00644CE9" w:rsidP="78F9AF82">
      <w:pPr>
        <w:spacing w:line="276" w:lineRule="auto"/>
        <w:rPr>
          <w:rFonts w:asciiTheme="majorHAnsi" w:eastAsiaTheme="majorEastAsia" w:hAnsiTheme="majorHAnsi" w:cstheme="majorBidi"/>
          <w:sz w:val="23"/>
          <w:szCs w:val="23"/>
        </w:rPr>
      </w:pPr>
      <w:r w:rsidRPr="78F9AF82">
        <w:rPr>
          <w:rFonts w:asciiTheme="majorHAnsi" w:hAnsiTheme="majorHAnsi" w:cstheme="majorBidi"/>
          <w:sz w:val="23"/>
          <w:szCs w:val="23"/>
        </w:rPr>
        <w:t xml:space="preserve">Mobility barriers and transport equity </w:t>
      </w:r>
      <w:r w:rsidR="006C73EB" w:rsidRPr="78F9AF82">
        <w:rPr>
          <w:rFonts w:asciiTheme="majorHAnsi" w:hAnsiTheme="majorHAnsi" w:cstheme="majorBidi"/>
          <w:sz w:val="23"/>
          <w:szCs w:val="23"/>
        </w:rPr>
        <w:t xml:space="preserve">were </w:t>
      </w:r>
      <w:r w:rsidRPr="78F9AF82">
        <w:rPr>
          <w:rFonts w:asciiTheme="majorHAnsi" w:hAnsiTheme="majorHAnsi" w:cstheme="majorBidi"/>
          <w:sz w:val="23"/>
          <w:szCs w:val="23"/>
        </w:rPr>
        <w:t>identified issue</w:t>
      </w:r>
      <w:r w:rsidR="006C73EB" w:rsidRPr="78F9AF82">
        <w:rPr>
          <w:rFonts w:asciiTheme="majorHAnsi" w:hAnsiTheme="majorHAnsi" w:cstheme="majorBidi"/>
          <w:sz w:val="23"/>
          <w:szCs w:val="23"/>
        </w:rPr>
        <w:t>s</w:t>
      </w:r>
      <w:r w:rsidRPr="78F9AF82">
        <w:rPr>
          <w:rFonts w:asciiTheme="majorHAnsi" w:hAnsiTheme="majorHAnsi" w:cstheme="majorBidi"/>
          <w:sz w:val="23"/>
          <w:szCs w:val="23"/>
        </w:rPr>
        <w:t>, with</w:t>
      </w:r>
      <w:r w:rsidR="00E874B2" w:rsidRPr="78F9AF82">
        <w:rPr>
          <w:rFonts w:asciiTheme="majorHAnsi" w:eastAsiaTheme="majorEastAsia" w:hAnsiTheme="majorHAnsi" w:cstheme="majorBidi"/>
          <w:sz w:val="23"/>
          <w:szCs w:val="23"/>
        </w:rPr>
        <w:t xml:space="preserve"> </w:t>
      </w:r>
      <w:r w:rsidR="00375840" w:rsidRPr="78F9AF82">
        <w:rPr>
          <w:rFonts w:asciiTheme="majorHAnsi" w:eastAsiaTheme="majorEastAsia" w:hAnsiTheme="majorHAnsi" w:cstheme="majorBidi"/>
          <w:sz w:val="23"/>
          <w:szCs w:val="23"/>
        </w:rPr>
        <w:t>a</w:t>
      </w:r>
      <w:r w:rsidR="00F00E3D" w:rsidRPr="78F9AF82">
        <w:rPr>
          <w:rFonts w:asciiTheme="majorHAnsi" w:eastAsiaTheme="majorEastAsia" w:hAnsiTheme="majorHAnsi" w:cstheme="majorBidi"/>
          <w:sz w:val="23"/>
          <w:szCs w:val="23"/>
        </w:rPr>
        <w:t xml:space="preserve"> need to improve </w:t>
      </w:r>
      <w:r w:rsidR="008C2620" w:rsidRPr="78F9AF82">
        <w:rPr>
          <w:rFonts w:asciiTheme="majorHAnsi" w:eastAsiaTheme="majorEastAsia" w:hAnsiTheme="majorHAnsi" w:cstheme="majorBidi"/>
          <w:sz w:val="23"/>
          <w:szCs w:val="23"/>
        </w:rPr>
        <w:t xml:space="preserve">both </w:t>
      </w:r>
      <w:r w:rsidR="006C73EB" w:rsidRPr="78F9AF82">
        <w:rPr>
          <w:rFonts w:asciiTheme="majorHAnsi" w:eastAsiaTheme="majorEastAsia" w:hAnsiTheme="majorHAnsi" w:cstheme="majorBidi"/>
          <w:sz w:val="23"/>
          <w:szCs w:val="23"/>
        </w:rPr>
        <w:t xml:space="preserve">local </w:t>
      </w:r>
      <w:r w:rsidR="00F00E3D" w:rsidRPr="78F9AF82">
        <w:rPr>
          <w:rFonts w:asciiTheme="majorHAnsi" w:eastAsiaTheme="majorEastAsia" w:hAnsiTheme="majorHAnsi" w:cstheme="majorBidi"/>
          <w:sz w:val="23"/>
          <w:szCs w:val="23"/>
        </w:rPr>
        <w:t>public transport and active transport options</w:t>
      </w:r>
      <w:r w:rsidRPr="78F9AF82">
        <w:rPr>
          <w:rFonts w:asciiTheme="majorHAnsi" w:eastAsiaTheme="majorEastAsia" w:hAnsiTheme="majorHAnsi" w:cstheme="majorBidi"/>
          <w:sz w:val="23"/>
          <w:szCs w:val="23"/>
        </w:rPr>
        <w:t xml:space="preserve">. </w:t>
      </w:r>
      <w:r w:rsidR="00375840" w:rsidRPr="78F9AF82">
        <w:rPr>
          <w:rFonts w:asciiTheme="majorHAnsi" w:eastAsiaTheme="majorEastAsia" w:hAnsiTheme="majorHAnsi" w:cstheme="majorBidi"/>
          <w:sz w:val="23"/>
          <w:szCs w:val="23"/>
        </w:rPr>
        <w:t>R</w:t>
      </w:r>
      <w:r w:rsidRPr="78F9AF82">
        <w:rPr>
          <w:rFonts w:asciiTheme="majorHAnsi" w:eastAsiaTheme="majorEastAsia" w:hAnsiTheme="majorHAnsi" w:cstheme="majorBidi"/>
          <w:sz w:val="23"/>
          <w:szCs w:val="23"/>
        </w:rPr>
        <w:t>esidents</w:t>
      </w:r>
      <w:r w:rsidR="00F00E3D" w:rsidRPr="78F9AF82">
        <w:rPr>
          <w:rFonts w:asciiTheme="majorHAnsi" w:eastAsiaTheme="majorEastAsia" w:hAnsiTheme="majorHAnsi" w:cstheme="majorBidi"/>
          <w:sz w:val="23"/>
          <w:szCs w:val="23"/>
        </w:rPr>
        <w:t xml:space="preserve"> who wish to own and drive cars </w:t>
      </w:r>
      <w:r w:rsidR="00375840" w:rsidRPr="78F9AF82">
        <w:rPr>
          <w:rFonts w:asciiTheme="majorHAnsi" w:eastAsiaTheme="majorEastAsia" w:hAnsiTheme="majorHAnsi" w:cstheme="majorBidi"/>
          <w:sz w:val="23"/>
          <w:szCs w:val="23"/>
        </w:rPr>
        <w:t xml:space="preserve">also need support </w:t>
      </w:r>
      <w:r w:rsidR="00F00E3D" w:rsidRPr="78F9AF82">
        <w:rPr>
          <w:rFonts w:asciiTheme="majorHAnsi" w:eastAsiaTheme="majorEastAsia" w:hAnsiTheme="majorHAnsi" w:cstheme="majorBidi"/>
          <w:sz w:val="23"/>
          <w:szCs w:val="23"/>
        </w:rPr>
        <w:t xml:space="preserve">to obtain </w:t>
      </w:r>
      <w:r w:rsidR="00E874B2" w:rsidRPr="78F9AF82">
        <w:rPr>
          <w:rFonts w:asciiTheme="majorHAnsi" w:eastAsiaTheme="majorEastAsia" w:hAnsiTheme="majorHAnsi" w:cstheme="majorBidi"/>
          <w:sz w:val="23"/>
          <w:szCs w:val="23"/>
        </w:rPr>
        <w:t>driver</w:t>
      </w:r>
      <w:r w:rsidR="00687ADD" w:rsidRPr="78F9AF82">
        <w:rPr>
          <w:rFonts w:asciiTheme="majorHAnsi" w:eastAsiaTheme="majorEastAsia" w:hAnsiTheme="majorHAnsi" w:cstheme="majorBidi"/>
          <w:sz w:val="23"/>
          <w:szCs w:val="23"/>
        </w:rPr>
        <w:t xml:space="preserve">s’ </w:t>
      </w:r>
      <w:r w:rsidR="00F00E3D" w:rsidRPr="78F9AF82">
        <w:rPr>
          <w:rFonts w:asciiTheme="majorHAnsi" w:eastAsiaTheme="majorEastAsia" w:hAnsiTheme="majorHAnsi" w:cstheme="majorBidi"/>
          <w:sz w:val="23"/>
          <w:szCs w:val="23"/>
        </w:rPr>
        <w:t>license</w:t>
      </w:r>
      <w:r w:rsidRPr="78F9AF82">
        <w:rPr>
          <w:rFonts w:asciiTheme="majorHAnsi" w:eastAsiaTheme="majorEastAsia" w:hAnsiTheme="majorHAnsi" w:cstheme="majorBidi"/>
          <w:sz w:val="23"/>
          <w:szCs w:val="23"/>
        </w:rPr>
        <w:t>s</w:t>
      </w:r>
      <w:r w:rsidR="00F00E3D" w:rsidRPr="78F9AF82">
        <w:rPr>
          <w:rFonts w:asciiTheme="majorHAnsi" w:eastAsiaTheme="majorEastAsia" w:hAnsiTheme="majorHAnsi" w:cstheme="majorBidi"/>
          <w:sz w:val="23"/>
          <w:szCs w:val="23"/>
        </w:rPr>
        <w:t>. Inequitable access to education was also highlighted, with support requested for local schools to link with key community organisations – such as Wa</w:t>
      </w:r>
      <w:r w:rsidR="11ACB726" w:rsidRPr="78F9AF82">
        <w:rPr>
          <w:rFonts w:asciiTheme="majorHAnsi" w:eastAsiaTheme="majorEastAsia" w:hAnsiTheme="majorHAnsi" w:cstheme="majorBidi"/>
          <w:sz w:val="23"/>
          <w:szCs w:val="23"/>
        </w:rPr>
        <w:t>d</w:t>
      </w:r>
      <w:r w:rsidR="67DBE6B5" w:rsidRPr="78F9AF82">
        <w:rPr>
          <w:rFonts w:asciiTheme="majorHAnsi" w:eastAsiaTheme="majorEastAsia" w:hAnsiTheme="majorHAnsi" w:cstheme="majorBidi"/>
          <w:sz w:val="23"/>
          <w:szCs w:val="23"/>
        </w:rPr>
        <w:t>d</w:t>
      </w:r>
      <w:r w:rsidR="00F00E3D" w:rsidRPr="78F9AF82">
        <w:rPr>
          <w:rFonts w:asciiTheme="majorHAnsi" w:eastAsiaTheme="majorEastAsia" w:hAnsiTheme="majorHAnsi" w:cstheme="majorBidi"/>
          <w:sz w:val="23"/>
          <w:szCs w:val="23"/>
        </w:rPr>
        <w:t>a</w:t>
      </w:r>
      <w:r w:rsidR="29BB3661" w:rsidRPr="78F9AF82">
        <w:rPr>
          <w:rFonts w:asciiTheme="majorHAnsi" w:eastAsiaTheme="majorEastAsia" w:hAnsiTheme="majorHAnsi" w:cstheme="majorBidi"/>
          <w:sz w:val="23"/>
          <w:szCs w:val="23"/>
        </w:rPr>
        <w:t xml:space="preserve"> W</w:t>
      </w:r>
      <w:r w:rsidR="00F00E3D" w:rsidRPr="78F9AF82">
        <w:rPr>
          <w:rFonts w:asciiTheme="majorHAnsi" w:eastAsiaTheme="majorEastAsia" w:hAnsiTheme="majorHAnsi" w:cstheme="majorBidi"/>
          <w:sz w:val="23"/>
          <w:szCs w:val="23"/>
        </w:rPr>
        <w:t xml:space="preserve">urrung </w:t>
      </w:r>
      <w:r w:rsidR="00687ADD" w:rsidRPr="78F9AF82">
        <w:rPr>
          <w:rFonts w:asciiTheme="majorHAnsi" w:eastAsiaTheme="majorEastAsia" w:hAnsiTheme="majorHAnsi" w:cstheme="majorBidi"/>
          <w:sz w:val="23"/>
          <w:szCs w:val="23"/>
        </w:rPr>
        <w:t>E</w:t>
      </w:r>
      <w:r w:rsidR="00F00E3D" w:rsidRPr="78F9AF82">
        <w:rPr>
          <w:rFonts w:asciiTheme="majorHAnsi" w:eastAsiaTheme="majorEastAsia" w:hAnsiTheme="majorHAnsi" w:cstheme="majorBidi"/>
          <w:sz w:val="23"/>
          <w:szCs w:val="23"/>
        </w:rPr>
        <w:t>lders</w:t>
      </w:r>
      <w:r w:rsidR="00687ADD" w:rsidRPr="78F9AF82">
        <w:rPr>
          <w:rFonts w:asciiTheme="majorHAnsi" w:eastAsiaTheme="majorEastAsia" w:hAnsiTheme="majorHAnsi" w:cstheme="majorBidi"/>
          <w:sz w:val="23"/>
          <w:szCs w:val="23"/>
        </w:rPr>
        <w:t xml:space="preserve">, </w:t>
      </w:r>
      <w:r w:rsidR="00F00E3D" w:rsidRPr="78F9AF82">
        <w:rPr>
          <w:rFonts w:asciiTheme="majorHAnsi" w:eastAsiaTheme="majorEastAsia" w:hAnsiTheme="majorHAnsi" w:cstheme="majorBidi"/>
          <w:sz w:val="23"/>
          <w:szCs w:val="23"/>
        </w:rPr>
        <w:t>Wathaurong Aboriginal Co-operative</w:t>
      </w:r>
      <w:r w:rsidR="00687ADD" w:rsidRPr="78F9AF82">
        <w:rPr>
          <w:rFonts w:asciiTheme="majorHAnsi" w:eastAsiaTheme="majorEastAsia" w:hAnsiTheme="majorHAnsi" w:cstheme="majorBidi"/>
          <w:sz w:val="23"/>
          <w:szCs w:val="23"/>
        </w:rPr>
        <w:t>,</w:t>
      </w:r>
      <w:r w:rsidR="00F00E3D" w:rsidRPr="78F9AF82">
        <w:rPr>
          <w:rFonts w:asciiTheme="majorHAnsi" w:eastAsiaTheme="majorEastAsia" w:hAnsiTheme="majorHAnsi" w:cstheme="majorBidi"/>
          <w:sz w:val="23"/>
          <w:szCs w:val="23"/>
        </w:rPr>
        <w:t xml:space="preserve"> and Diversitat – to develop more culturally appropriate programs to engage ATSI and CALD students, </w:t>
      </w:r>
      <w:r w:rsidR="00687ADD" w:rsidRPr="78F9AF82">
        <w:rPr>
          <w:rFonts w:asciiTheme="majorHAnsi" w:eastAsiaTheme="majorEastAsia" w:hAnsiTheme="majorHAnsi" w:cstheme="majorBidi"/>
          <w:sz w:val="23"/>
          <w:szCs w:val="23"/>
        </w:rPr>
        <w:t>while also supporting</w:t>
      </w:r>
      <w:r w:rsidR="00F00E3D" w:rsidRPr="78F9AF82">
        <w:rPr>
          <w:rFonts w:asciiTheme="majorHAnsi" w:eastAsiaTheme="majorEastAsia" w:hAnsiTheme="majorHAnsi" w:cstheme="majorBidi"/>
          <w:sz w:val="23"/>
          <w:szCs w:val="23"/>
        </w:rPr>
        <w:t xml:space="preserve"> these students with transport to their schools.</w:t>
      </w:r>
    </w:p>
    <w:p w14:paraId="40000832" w14:textId="4426E1C8" w:rsidR="006745EC" w:rsidRPr="002A597F" w:rsidRDefault="006745EC" w:rsidP="008C2620">
      <w:pPr>
        <w:spacing w:line="276" w:lineRule="auto"/>
        <w:rPr>
          <w:rFonts w:asciiTheme="majorHAnsi" w:hAnsiTheme="majorHAnsi" w:cstheme="majorBidi"/>
          <w:bCs/>
          <w:sz w:val="23"/>
          <w:szCs w:val="23"/>
        </w:rPr>
      </w:pPr>
      <w:r>
        <w:rPr>
          <w:rFonts w:asciiTheme="majorHAnsi" w:eastAsiaTheme="majorEastAsia" w:hAnsiTheme="majorHAnsi" w:cstheme="majorBidi"/>
          <w:bCs/>
          <w:sz w:val="23"/>
          <w:szCs w:val="23"/>
        </w:rPr>
        <w:t xml:space="preserve">Specific actions </w:t>
      </w:r>
      <w:r w:rsidR="005C54DF">
        <w:rPr>
          <w:rFonts w:asciiTheme="majorHAnsi" w:eastAsiaTheme="majorEastAsia" w:hAnsiTheme="majorHAnsi" w:cstheme="majorBidi"/>
          <w:bCs/>
          <w:sz w:val="23"/>
          <w:szCs w:val="23"/>
        </w:rPr>
        <w:t>for the</w:t>
      </w:r>
      <w:r w:rsidRPr="006745EC">
        <w:t xml:space="preserve"> </w:t>
      </w:r>
      <w:r w:rsidRPr="006745EC">
        <w:rPr>
          <w:rFonts w:asciiTheme="majorHAnsi" w:eastAsiaTheme="majorEastAsia" w:hAnsiTheme="majorHAnsi" w:cstheme="majorBidi"/>
          <w:bCs/>
          <w:sz w:val="23"/>
          <w:szCs w:val="23"/>
        </w:rPr>
        <w:t>Accessibility and Inclusion Initiative</w:t>
      </w:r>
      <w:r>
        <w:rPr>
          <w:rFonts w:asciiTheme="majorHAnsi" w:eastAsiaTheme="majorEastAsia" w:hAnsiTheme="majorHAnsi" w:cstheme="majorBidi"/>
          <w:bCs/>
          <w:sz w:val="23"/>
          <w:szCs w:val="23"/>
        </w:rPr>
        <w:t xml:space="preserve"> include:</w:t>
      </w:r>
    </w:p>
    <w:p w14:paraId="711E1186" w14:textId="06E7B307" w:rsidR="00F00E3D" w:rsidRPr="008C2620" w:rsidRDefault="00B228D4" w:rsidP="00364C5D">
      <w:pPr>
        <w:pStyle w:val="ListParagraph"/>
        <w:numPr>
          <w:ilvl w:val="0"/>
          <w:numId w:val="66"/>
        </w:numPr>
        <w:spacing w:line="276" w:lineRule="auto"/>
        <w:rPr>
          <w:rFonts w:asciiTheme="majorHAnsi" w:hAnsiTheme="majorHAnsi" w:cstheme="majorBidi"/>
          <w:sz w:val="23"/>
          <w:szCs w:val="23"/>
        </w:rPr>
      </w:pPr>
      <w:r>
        <w:rPr>
          <w:rFonts w:asciiTheme="majorHAnsi" w:hAnsiTheme="majorHAnsi" w:cstheme="majorBidi"/>
          <w:sz w:val="23"/>
          <w:szCs w:val="23"/>
        </w:rPr>
        <w:t>In line with</w:t>
      </w:r>
      <w:r w:rsidR="00F00E3D" w:rsidRPr="008C2620">
        <w:rPr>
          <w:rFonts w:asciiTheme="majorHAnsi" w:hAnsiTheme="majorHAnsi" w:cstheme="majorBidi"/>
          <w:sz w:val="23"/>
          <w:szCs w:val="23"/>
        </w:rPr>
        <w:t xml:space="preserve"> Recommendation 1, adopt inclusive co-research and co-design approaches for development, implementation</w:t>
      </w:r>
      <w:r>
        <w:rPr>
          <w:rFonts w:asciiTheme="majorHAnsi" w:hAnsiTheme="majorHAnsi" w:cstheme="majorBidi"/>
          <w:sz w:val="23"/>
          <w:szCs w:val="23"/>
        </w:rPr>
        <w:t>,</w:t>
      </w:r>
      <w:r w:rsidR="00F00E3D" w:rsidRPr="008C2620">
        <w:rPr>
          <w:rFonts w:asciiTheme="majorHAnsi" w:hAnsiTheme="majorHAnsi" w:cstheme="majorBidi"/>
          <w:sz w:val="23"/>
          <w:szCs w:val="23"/>
        </w:rPr>
        <w:t xml:space="preserve"> and evaluation of all local initiatives and programs. </w:t>
      </w:r>
    </w:p>
    <w:p w14:paraId="29932722" w14:textId="77777777" w:rsidR="00F00E3D" w:rsidRPr="008C2620" w:rsidRDefault="00F00E3D" w:rsidP="00364C5D">
      <w:pPr>
        <w:pStyle w:val="ListParagraph"/>
        <w:numPr>
          <w:ilvl w:val="0"/>
          <w:numId w:val="66"/>
        </w:numPr>
        <w:spacing w:line="276" w:lineRule="auto"/>
        <w:rPr>
          <w:rFonts w:asciiTheme="majorHAnsi" w:hAnsiTheme="majorHAnsi" w:cstheme="majorBidi"/>
          <w:sz w:val="23"/>
          <w:szCs w:val="23"/>
        </w:rPr>
      </w:pPr>
      <w:r w:rsidRPr="008C2620">
        <w:rPr>
          <w:rFonts w:asciiTheme="majorHAnsi" w:hAnsiTheme="majorHAnsi" w:cstheme="majorBidi"/>
          <w:sz w:val="23"/>
          <w:szCs w:val="23"/>
        </w:rPr>
        <w:t xml:space="preserve">Embed principles of Universal Design into the implementation of all actions. </w:t>
      </w:r>
    </w:p>
    <w:p w14:paraId="0D511B19" w14:textId="5624F5C3" w:rsidR="00F00E3D" w:rsidRPr="008C2620" w:rsidRDefault="00F00E3D" w:rsidP="00364C5D">
      <w:pPr>
        <w:pStyle w:val="ListParagraph"/>
        <w:numPr>
          <w:ilvl w:val="0"/>
          <w:numId w:val="66"/>
        </w:numPr>
        <w:spacing w:line="276" w:lineRule="auto"/>
        <w:rPr>
          <w:rFonts w:asciiTheme="majorHAnsi" w:hAnsiTheme="majorHAnsi" w:cstheme="majorBidi"/>
          <w:sz w:val="23"/>
          <w:szCs w:val="23"/>
        </w:rPr>
      </w:pPr>
      <w:r w:rsidRPr="008C2620">
        <w:rPr>
          <w:rFonts w:asciiTheme="majorHAnsi" w:hAnsiTheme="majorHAnsi" w:cstheme="majorBidi"/>
          <w:sz w:val="23"/>
          <w:szCs w:val="23"/>
        </w:rPr>
        <w:t xml:space="preserve">Ensure all residents have equitable access to </w:t>
      </w:r>
      <w:r w:rsidR="006E42F2">
        <w:rPr>
          <w:rFonts w:asciiTheme="majorHAnsi" w:hAnsiTheme="majorHAnsi" w:cstheme="majorBidi"/>
          <w:sz w:val="23"/>
          <w:szCs w:val="23"/>
        </w:rPr>
        <w:t xml:space="preserve">social infrastructure, </w:t>
      </w:r>
      <w:r w:rsidRPr="008C2620">
        <w:rPr>
          <w:rFonts w:asciiTheme="majorHAnsi" w:hAnsiTheme="majorHAnsi" w:cstheme="majorBidi"/>
          <w:sz w:val="23"/>
          <w:szCs w:val="23"/>
        </w:rPr>
        <w:t xml:space="preserve">built environment improvements, </w:t>
      </w:r>
      <w:r w:rsidR="0052650F">
        <w:rPr>
          <w:rFonts w:asciiTheme="majorHAnsi" w:hAnsiTheme="majorHAnsi" w:cstheme="majorBidi"/>
          <w:sz w:val="23"/>
          <w:szCs w:val="23"/>
        </w:rPr>
        <w:t xml:space="preserve">quality public space, </w:t>
      </w:r>
      <w:r w:rsidRPr="008C2620">
        <w:rPr>
          <w:rFonts w:asciiTheme="majorHAnsi" w:hAnsiTheme="majorHAnsi" w:cstheme="majorBidi"/>
          <w:sz w:val="23"/>
          <w:szCs w:val="23"/>
        </w:rPr>
        <w:t>affordable and appropriate housing, dedicated services</w:t>
      </w:r>
      <w:r w:rsidR="00B228D4">
        <w:rPr>
          <w:rFonts w:asciiTheme="majorHAnsi" w:hAnsiTheme="majorHAnsi" w:cstheme="majorBidi"/>
          <w:sz w:val="23"/>
          <w:szCs w:val="23"/>
        </w:rPr>
        <w:t>,</w:t>
      </w:r>
      <w:r w:rsidRPr="008C2620">
        <w:rPr>
          <w:rFonts w:asciiTheme="majorHAnsi" w:hAnsiTheme="majorHAnsi" w:cstheme="majorBidi"/>
          <w:sz w:val="23"/>
          <w:szCs w:val="23"/>
        </w:rPr>
        <w:t xml:space="preserve"> </w:t>
      </w:r>
      <w:r w:rsidR="00644CE9">
        <w:rPr>
          <w:rFonts w:asciiTheme="majorHAnsi" w:hAnsiTheme="majorHAnsi" w:cstheme="majorBidi"/>
          <w:sz w:val="23"/>
          <w:szCs w:val="23"/>
        </w:rPr>
        <w:t xml:space="preserve">public </w:t>
      </w:r>
      <w:r w:rsidR="00A92B8B">
        <w:rPr>
          <w:rFonts w:asciiTheme="majorHAnsi" w:hAnsiTheme="majorHAnsi" w:cstheme="majorBidi"/>
          <w:sz w:val="23"/>
          <w:szCs w:val="23"/>
        </w:rPr>
        <w:t xml:space="preserve">transport options, </w:t>
      </w:r>
      <w:r w:rsidRPr="008C2620">
        <w:rPr>
          <w:rFonts w:asciiTheme="majorHAnsi" w:hAnsiTheme="majorHAnsi" w:cstheme="majorBidi"/>
          <w:sz w:val="23"/>
          <w:szCs w:val="23"/>
        </w:rPr>
        <w:t>and employment opportunities</w:t>
      </w:r>
      <w:r w:rsidR="00B228D4">
        <w:rPr>
          <w:rFonts w:asciiTheme="majorHAnsi" w:hAnsiTheme="majorHAnsi" w:cstheme="majorBidi"/>
          <w:sz w:val="23"/>
          <w:szCs w:val="23"/>
        </w:rPr>
        <w:t>.</w:t>
      </w:r>
    </w:p>
    <w:p w14:paraId="7B893617" w14:textId="48E48E19" w:rsidR="00F00E3D" w:rsidRPr="008C2620" w:rsidRDefault="00F00E3D" w:rsidP="00364C5D">
      <w:pPr>
        <w:pStyle w:val="ListParagraph"/>
        <w:numPr>
          <w:ilvl w:val="0"/>
          <w:numId w:val="66"/>
        </w:numPr>
        <w:spacing w:line="276" w:lineRule="auto"/>
        <w:rPr>
          <w:rFonts w:asciiTheme="majorHAnsi" w:hAnsiTheme="majorHAnsi" w:cstheme="majorBidi"/>
          <w:sz w:val="23"/>
          <w:szCs w:val="23"/>
        </w:rPr>
      </w:pPr>
      <w:r w:rsidRPr="008C2620">
        <w:rPr>
          <w:rFonts w:asciiTheme="majorHAnsi" w:hAnsiTheme="majorHAnsi" w:cstheme="majorBidi"/>
          <w:sz w:val="23"/>
          <w:szCs w:val="23"/>
        </w:rPr>
        <w:t>Prioritise attitudinal change towards inclusion</w:t>
      </w:r>
      <w:r w:rsidR="00A92B8B">
        <w:rPr>
          <w:rFonts w:asciiTheme="majorHAnsi" w:hAnsiTheme="majorHAnsi" w:cstheme="majorBidi"/>
          <w:sz w:val="23"/>
          <w:szCs w:val="23"/>
        </w:rPr>
        <w:t>, equity,</w:t>
      </w:r>
      <w:r w:rsidRPr="008C2620">
        <w:rPr>
          <w:rFonts w:asciiTheme="majorHAnsi" w:hAnsiTheme="majorHAnsi" w:cstheme="majorBidi"/>
          <w:sz w:val="23"/>
          <w:szCs w:val="23"/>
        </w:rPr>
        <w:t xml:space="preserve"> and access.</w:t>
      </w:r>
    </w:p>
    <w:p w14:paraId="59ED1068" w14:textId="3882F730" w:rsidR="00F00E3D" w:rsidRPr="008C2620" w:rsidRDefault="00F00E3D" w:rsidP="00364C5D">
      <w:pPr>
        <w:pStyle w:val="ListParagraph"/>
        <w:numPr>
          <w:ilvl w:val="0"/>
          <w:numId w:val="66"/>
        </w:numPr>
        <w:spacing w:line="276" w:lineRule="auto"/>
        <w:rPr>
          <w:rFonts w:asciiTheme="majorHAnsi" w:hAnsiTheme="majorHAnsi" w:cstheme="majorBidi"/>
          <w:sz w:val="23"/>
          <w:szCs w:val="23"/>
        </w:rPr>
      </w:pPr>
      <w:r w:rsidRPr="008C2620">
        <w:rPr>
          <w:rFonts w:asciiTheme="majorHAnsi" w:hAnsiTheme="majorHAnsi" w:cstheme="majorBidi"/>
          <w:sz w:val="23"/>
          <w:szCs w:val="23"/>
        </w:rPr>
        <w:t xml:space="preserve">Adopt social inclusion as a core value for </w:t>
      </w:r>
      <w:r w:rsidRPr="008C2620">
        <w:rPr>
          <w:rFonts w:asciiTheme="majorHAnsi" w:eastAsiaTheme="minorEastAsia" w:hAnsiTheme="majorHAnsi" w:cstheme="majorBidi"/>
          <w:sz w:val="23"/>
          <w:szCs w:val="23"/>
          <w:lang w:val="en-GB"/>
        </w:rPr>
        <w:t>Corio, Norlane</w:t>
      </w:r>
      <w:r w:rsidR="006745EC">
        <w:rPr>
          <w:rFonts w:asciiTheme="majorHAnsi" w:eastAsiaTheme="minorEastAsia" w:hAnsiTheme="majorHAnsi" w:cstheme="majorBidi"/>
          <w:sz w:val="23"/>
          <w:szCs w:val="23"/>
          <w:lang w:val="en-GB"/>
        </w:rPr>
        <w:t>,</w:t>
      </w:r>
      <w:r w:rsidRPr="008C2620">
        <w:rPr>
          <w:rFonts w:asciiTheme="majorHAnsi" w:eastAsiaTheme="minorEastAsia" w:hAnsiTheme="majorHAnsi" w:cstheme="majorBidi"/>
          <w:sz w:val="23"/>
          <w:szCs w:val="23"/>
          <w:lang w:val="en-GB"/>
        </w:rPr>
        <w:t xml:space="preserve"> and Whittington</w:t>
      </w:r>
      <w:r w:rsidRPr="008C2620">
        <w:rPr>
          <w:rFonts w:asciiTheme="majorHAnsi" w:hAnsiTheme="majorHAnsi" w:cstheme="majorBidi"/>
          <w:sz w:val="23"/>
          <w:szCs w:val="23"/>
        </w:rPr>
        <w:t>.</w:t>
      </w:r>
    </w:p>
    <w:p w14:paraId="769B4FF4" w14:textId="5FF8698C" w:rsidR="00F00E3D" w:rsidRPr="00D9154D" w:rsidRDefault="00F00E3D" w:rsidP="0055529D">
      <w:pPr>
        <w:spacing w:after="0"/>
        <w:rPr>
          <w:color w:val="595959" w:themeColor="text1" w:themeTint="A6"/>
          <w:sz w:val="23"/>
          <w:szCs w:val="23"/>
        </w:rPr>
      </w:pPr>
      <w:r w:rsidRPr="00D9154D">
        <w:rPr>
          <w:rFonts w:cstheme="minorHAnsi"/>
          <w:b/>
          <w:bCs/>
          <w:color w:val="595959" w:themeColor="text1" w:themeTint="A6"/>
          <w:sz w:val="23"/>
          <w:szCs w:val="23"/>
        </w:rPr>
        <w:t xml:space="preserve">Relevant </w:t>
      </w:r>
      <w:r w:rsidR="00AD2DA5">
        <w:rPr>
          <w:rFonts w:cstheme="minorHAnsi"/>
          <w:b/>
          <w:bCs/>
          <w:color w:val="595959" w:themeColor="text1" w:themeTint="A6"/>
          <w:sz w:val="23"/>
          <w:szCs w:val="23"/>
        </w:rPr>
        <w:t>Case Studies</w:t>
      </w:r>
      <w:r w:rsidRPr="00D9154D">
        <w:rPr>
          <w:rFonts w:cstheme="minorHAnsi"/>
          <w:b/>
          <w:bCs/>
          <w:color w:val="595959" w:themeColor="text1" w:themeTint="A6"/>
          <w:sz w:val="23"/>
          <w:szCs w:val="23"/>
        </w:rPr>
        <w:t>:</w:t>
      </w:r>
      <w:r w:rsidRPr="00D9154D">
        <w:rPr>
          <w:rFonts w:asciiTheme="majorHAnsi" w:hAnsiTheme="majorHAnsi" w:cstheme="majorBidi"/>
          <w:color w:val="595959" w:themeColor="text1" w:themeTint="A6"/>
          <w:sz w:val="23"/>
          <w:szCs w:val="23"/>
        </w:rPr>
        <w:t xml:space="preserve"> Afghan Girls Bike Skills Workshops, Bendigo </w:t>
      </w:r>
      <w:r w:rsidR="00457491">
        <w:rPr>
          <w:rFonts w:asciiTheme="majorHAnsi" w:hAnsiTheme="majorHAnsi" w:cstheme="majorBidi"/>
          <w:color w:val="595959" w:themeColor="text1" w:themeTint="A6"/>
          <w:sz w:val="23"/>
          <w:szCs w:val="23"/>
        </w:rPr>
        <w:t>(p.62)</w:t>
      </w:r>
      <w:r w:rsidRPr="00D9154D">
        <w:rPr>
          <w:rFonts w:asciiTheme="majorHAnsi" w:hAnsiTheme="majorHAnsi" w:cstheme="majorBidi"/>
          <w:color w:val="595959" w:themeColor="text1" w:themeTint="A6"/>
          <w:sz w:val="23"/>
          <w:szCs w:val="23"/>
        </w:rPr>
        <w:t>; Australian Indigenous Mentoring Experience</w:t>
      </w:r>
      <w:r w:rsidR="00457491">
        <w:rPr>
          <w:rFonts w:asciiTheme="majorHAnsi" w:hAnsiTheme="majorHAnsi" w:cstheme="majorBidi"/>
          <w:color w:val="595959" w:themeColor="text1" w:themeTint="A6"/>
          <w:sz w:val="23"/>
          <w:szCs w:val="23"/>
        </w:rPr>
        <w:t xml:space="preserve"> (AIME)</w:t>
      </w:r>
      <w:r w:rsidRPr="00D9154D">
        <w:rPr>
          <w:rFonts w:asciiTheme="majorHAnsi" w:hAnsiTheme="majorHAnsi" w:cstheme="majorBidi"/>
          <w:color w:val="595959" w:themeColor="text1" w:themeTint="A6"/>
          <w:sz w:val="23"/>
          <w:szCs w:val="23"/>
        </w:rPr>
        <w:t xml:space="preserve"> </w:t>
      </w:r>
      <w:r w:rsidR="00457491">
        <w:rPr>
          <w:rFonts w:asciiTheme="majorHAnsi" w:hAnsiTheme="majorHAnsi" w:cstheme="majorBidi"/>
          <w:color w:val="595959" w:themeColor="text1" w:themeTint="A6"/>
          <w:sz w:val="23"/>
          <w:szCs w:val="23"/>
        </w:rPr>
        <w:t>(p.70)</w:t>
      </w:r>
      <w:r w:rsidRPr="00D9154D">
        <w:rPr>
          <w:rFonts w:asciiTheme="majorHAnsi" w:hAnsiTheme="majorHAnsi" w:cstheme="majorBidi"/>
          <w:color w:val="595959" w:themeColor="text1" w:themeTint="A6"/>
          <w:sz w:val="23"/>
          <w:szCs w:val="23"/>
        </w:rPr>
        <w:t xml:space="preserve">; </w:t>
      </w:r>
      <w:r w:rsidR="00824658" w:rsidRPr="00D9154D">
        <w:rPr>
          <w:rFonts w:asciiTheme="majorHAnsi" w:eastAsiaTheme="majorEastAsia" w:hAnsiTheme="majorHAnsi" w:cstheme="majorBidi"/>
          <w:color w:val="595959" w:themeColor="text1" w:themeTint="A6"/>
          <w:sz w:val="23"/>
          <w:szCs w:val="23"/>
        </w:rPr>
        <w:t xml:space="preserve">Streets Ahead, Victoria </w:t>
      </w:r>
      <w:r w:rsidR="00824658">
        <w:rPr>
          <w:rFonts w:asciiTheme="majorHAnsi" w:eastAsiaTheme="majorEastAsia" w:hAnsiTheme="majorHAnsi" w:cstheme="majorBidi"/>
          <w:color w:val="595959" w:themeColor="text1" w:themeTint="A6"/>
          <w:sz w:val="23"/>
          <w:szCs w:val="23"/>
        </w:rPr>
        <w:t>(p.64)</w:t>
      </w:r>
      <w:r w:rsidR="00824658" w:rsidRPr="00D9154D">
        <w:rPr>
          <w:rFonts w:asciiTheme="majorHAnsi" w:eastAsiaTheme="majorEastAsia" w:hAnsiTheme="majorHAnsi" w:cstheme="majorBidi"/>
          <w:color w:val="595959" w:themeColor="text1" w:themeTint="A6"/>
          <w:sz w:val="23"/>
          <w:szCs w:val="23"/>
        </w:rPr>
        <w:t xml:space="preserve">; </w:t>
      </w:r>
      <w:r w:rsidRPr="00D9154D">
        <w:rPr>
          <w:rFonts w:asciiTheme="majorHAnsi" w:hAnsiTheme="majorHAnsi" w:cstheme="majorBidi"/>
          <w:color w:val="595959" w:themeColor="text1" w:themeTint="A6"/>
          <w:sz w:val="23"/>
          <w:szCs w:val="23"/>
        </w:rPr>
        <w:t xml:space="preserve">Best Babies Zone, USA </w:t>
      </w:r>
      <w:r w:rsidR="00457491">
        <w:rPr>
          <w:rFonts w:ascii="Calibri" w:eastAsia="Calibri" w:hAnsi="Calibri" w:cs="Calibri"/>
          <w:color w:val="595959" w:themeColor="text1" w:themeTint="A6"/>
          <w:sz w:val="23"/>
          <w:szCs w:val="23"/>
        </w:rPr>
        <w:t>(</w:t>
      </w:r>
      <w:r w:rsidRPr="00D9154D">
        <w:rPr>
          <w:rFonts w:asciiTheme="majorHAnsi" w:hAnsiTheme="majorHAnsi" w:cstheme="majorBidi"/>
          <w:color w:val="595959" w:themeColor="text1" w:themeTint="A6"/>
          <w:sz w:val="23"/>
          <w:szCs w:val="23"/>
        </w:rPr>
        <w:t>East Oakland Innovators</w:t>
      </w:r>
      <w:r w:rsidR="00457491">
        <w:rPr>
          <w:rFonts w:asciiTheme="majorHAnsi" w:hAnsiTheme="majorHAnsi" w:cstheme="majorBidi"/>
          <w:color w:val="595959" w:themeColor="text1" w:themeTint="A6"/>
          <w:sz w:val="23"/>
          <w:szCs w:val="23"/>
        </w:rPr>
        <w:t>)</w:t>
      </w:r>
      <w:r w:rsidRPr="00D9154D">
        <w:rPr>
          <w:rFonts w:asciiTheme="majorHAnsi" w:hAnsiTheme="majorHAnsi" w:cstheme="majorBidi"/>
          <w:color w:val="595959" w:themeColor="text1" w:themeTint="A6"/>
          <w:sz w:val="23"/>
          <w:szCs w:val="23"/>
        </w:rPr>
        <w:t xml:space="preserve"> </w:t>
      </w:r>
      <w:r w:rsidR="00457491">
        <w:rPr>
          <w:rFonts w:asciiTheme="majorHAnsi" w:eastAsiaTheme="majorEastAsia" w:hAnsiTheme="majorHAnsi" w:cstheme="majorBidi"/>
          <w:color w:val="595959" w:themeColor="text1" w:themeTint="A6"/>
          <w:sz w:val="23"/>
          <w:szCs w:val="23"/>
        </w:rPr>
        <w:t>(p.71)</w:t>
      </w:r>
      <w:r w:rsidR="00457491" w:rsidRPr="00D9154D">
        <w:rPr>
          <w:rFonts w:asciiTheme="majorHAnsi" w:eastAsiaTheme="majorEastAsia" w:hAnsiTheme="majorHAnsi" w:cstheme="majorBidi"/>
          <w:color w:val="595959" w:themeColor="text1" w:themeTint="A6"/>
          <w:sz w:val="23"/>
          <w:szCs w:val="23"/>
        </w:rPr>
        <w:t xml:space="preserve">; </w:t>
      </w:r>
      <w:r w:rsidRPr="00D9154D">
        <w:rPr>
          <w:rFonts w:asciiTheme="majorHAnsi" w:hAnsiTheme="majorHAnsi" w:cstheme="majorBidi"/>
          <w:color w:val="595959" w:themeColor="text1" w:themeTint="A6"/>
          <w:sz w:val="23"/>
          <w:szCs w:val="23"/>
        </w:rPr>
        <w:t>My C</w:t>
      </w:r>
      <w:r w:rsidR="008444B3">
        <w:rPr>
          <w:rFonts w:asciiTheme="majorHAnsi" w:hAnsiTheme="majorHAnsi" w:cstheme="majorBidi"/>
          <w:color w:val="595959" w:themeColor="text1" w:themeTint="A6"/>
          <w:sz w:val="23"/>
          <w:szCs w:val="23"/>
        </w:rPr>
        <w:t>o</w:t>
      </w:r>
      <w:r w:rsidRPr="00D9154D">
        <w:rPr>
          <w:rFonts w:asciiTheme="majorHAnsi" w:hAnsiTheme="majorHAnsi" w:cstheme="majorBidi"/>
          <w:color w:val="595959" w:themeColor="text1" w:themeTint="A6"/>
          <w:sz w:val="23"/>
          <w:szCs w:val="23"/>
        </w:rPr>
        <w:t xml:space="preserve">mmunity Matters, UK </w:t>
      </w:r>
      <w:r w:rsidR="008F202D">
        <w:rPr>
          <w:rFonts w:asciiTheme="majorHAnsi" w:eastAsiaTheme="majorEastAsia" w:hAnsiTheme="majorHAnsi" w:cstheme="majorBidi"/>
          <w:color w:val="595959" w:themeColor="text1" w:themeTint="A6"/>
          <w:sz w:val="23"/>
          <w:szCs w:val="23"/>
        </w:rPr>
        <w:t>(p.77)</w:t>
      </w:r>
      <w:r w:rsidR="008F202D" w:rsidRPr="00D9154D">
        <w:rPr>
          <w:rFonts w:asciiTheme="majorHAnsi" w:eastAsiaTheme="majorEastAsia" w:hAnsiTheme="majorHAnsi" w:cstheme="majorBidi"/>
          <w:color w:val="595959" w:themeColor="text1" w:themeTint="A6"/>
          <w:sz w:val="23"/>
          <w:szCs w:val="23"/>
        </w:rPr>
        <w:t xml:space="preserve">; </w:t>
      </w:r>
      <w:r w:rsidRPr="00D9154D">
        <w:rPr>
          <w:rFonts w:asciiTheme="majorHAnsi" w:hAnsiTheme="majorHAnsi" w:cstheme="majorBidi"/>
          <w:color w:val="595959" w:themeColor="text1" w:themeTint="A6"/>
          <w:sz w:val="23"/>
          <w:szCs w:val="23"/>
        </w:rPr>
        <w:t xml:space="preserve">Oslo Living Lab, Norway </w:t>
      </w:r>
      <w:r w:rsidR="00457491">
        <w:rPr>
          <w:rFonts w:asciiTheme="majorHAnsi" w:eastAsiaTheme="majorEastAsia" w:hAnsiTheme="majorHAnsi" w:cstheme="majorBidi"/>
          <w:color w:val="595959" w:themeColor="text1" w:themeTint="A6"/>
          <w:sz w:val="23"/>
          <w:szCs w:val="23"/>
        </w:rPr>
        <w:t xml:space="preserve">(p.82); </w:t>
      </w:r>
      <w:r w:rsidRPr="00D9154D">
        <w:rPr>
          <w:rFonts w:ascii="Calibri Light" w:eastAsia="Calibri Light" w:hAnsi="Calibri Light" w:cs="Calibri Light"/>
          <w:color w:val="595959" w:themeColor="text1" w:themeTint="A6"/>
          <w:sz w:val="23"/>
          <w:szCs w:val="23"/>
        </w:rPr>
        <w:t xml:space="preserve">We Dundee, Scotland </w:t>
      </w:r>
      <w:r w:rsidR="00457491">
        <w:rPr>
          <w:rFonts w:asciiTheme="majorHAnsi" w:hAnsiTheme="majorHAnsi" w:cstheme="majorBidi"/>
          <w:color w:val="525252" w:themeColor="accent3" w:themeShade="80"/>
          <w:sz w:val="23"/>
          <w:szCs w:val="23"/>
        </w:rPr>
        <w:t xml:space="preserve">(p.80); </w:t>
      </w:r>
      <w:r w:rsidRPr="00D9154D">
        <w:rPr>
          <w:rFonts w:ascii="Calibri Light" w:eastAsia="Calibri Light" w:hAnsi="Calibri Light" w:cs="Calibri Light"/>
          <w:color w:val="595959" w:themeColor="text1" w:themeTint="A6"/>
          <w:sz w:val="23"/>
          <w:szCs w:val="23"/>
        </w:rPr>
        <w:t xml:space="preserve">We Design For Life, Kolding, Denmark </w:t>
      </w:r>
      <w:r w:rsidR="008F202D">
        <w:rPr>
          <w:rFonts w:asciiTheme="majorHAnsi" w:eastAsiaTheme="majorEastAsia" w:hAnsiTheme="majorHAnsi" w:cstheme="majorBidi"/>
          <w:color w:val="525252" w:themeColor="accent3" w:themeShade="80"/>
          <w:sz w:val="23"/>
          <w:szCs w:val="23"/>
        </w:rPr>
        <w:t>(p.83).</w:t>
      </w:r>
    </w:p>
    <w:p w14:paraId="3F572C3E" w14:textId="77777777" w:rsidR="00F00E3D" w:rsidRPr="00674177" w:rsidRDefault="00F00E3D" w:rsidP="009B2FA7">
      <w:pPr>
        <w:pStyle w:val="Default"/>
        <w:spacing w:line="276" w:lineRule="auto"/>
        <w:rPr>
          <w:rFonts w:eastAsia="Calibri"/>
          <w:b/>
          <w:bCs/>
          <w:color w:val="000000" w:themeColor="text1"/>
          <w:sz w:val="16"/>
          <w:szCs w:val="16"/>
        </w:rPr>
      </w:pPr>
    </w:p>
    <w:p w14:paraId="0E490FE2" w14:textId="3AE52F0D" w:rsidR="00F00E3D" w:rsidRPr="001F77DA" w:rsidRDefault="005A0B19" w:rsidP="009B2FA7">
      <w:pPr>
        <w:pStyle w:val="Default"/>
        <w:spacing w:line="276" w:lineRule="auto"/>
        <w:rPr>
          <w:rFonts w:asciiTheme="minorHAnsi" w:hAnsiTheme="minorHAnsi" w:cstheme="minorBidi"/>
          <w:b/>
          <w:color w:val="2E74B5" w:themeColor="accent5" w:themeShade="BF"/>
          <w:sz w:val="28"/>
          <w:szCs w:val="28"/>
        </w:rPr>
      </w:pPr>
      <w:r w:rsidRPr="001F77DA">
        <w:rPr>
          <w:rFonts w:asciiTheme="minorHAnsi" w:hAnsiTheme="minorHAnsi" w:cstheme="minorBidi"/>
          <w:b/>
          <w:color w:val="2E74B5" w:themeColor="accent5" w:themeShade="BF"/>
          <w:sz w:val="28"/>
          <w:szCs w:val="28"/>
        </w:rPr>
        <w:t>Next Steps</w:t>
      </w:r>
    </w:p>
    <w:p w14:paraId="23F2FDE9" w14:textId="77777777" w:rsidR="00F00E3D" w:rsidRPr="00674177" w:rsidRDefault="00F00E3D" w:rsidP="009B2FA7">
      <w:pPr>
        <w:pStyle w:val="BodyText1"/>
        <w:spacing w:before="0" w:after="0"/>
        <w:rPr>
          <w:rFonts w:asciiTheme="majorHAnsi" w:eastAsia="Calibri" w:hAnsiTheme="majorHAnsi" w:cstheme="majorBidi"/>
          <w:color w:val="000000" w:themeColor="text1"/>
          <w:sz w:val="16"/>
          <w:szCs w:val="16"/>
        </w:rPr>
      </w:pPr>
    </w:p>
    <w:p w14:paraId="3C039EF3" w14:textId="67F14A2A" w:rsidR="00F00E3D" w:rsidRDefault="00F00E3D" w:rsidP="00364C5D">
      <w:pPr>
        <w:pStyle w:val="BodyText1"/>
        <w:numPr>
          <w:ilvl w:val="0"/>
          <w:numId w:val="59"/>
        </w:numPr>
        <w:spacing w:before="0" w:after="0" w:line="276" w:lineRule="auto"/>
        <w:rPr>
          <w:rFonts w:asciiTheme="majorHAnsi" w:eastAsia="Calibri" w:hAnsiTheme="majorHAnsi" w:cstheme="majorBidi"/>
          <w:color w:val="000000" w:themeColor="text1"/>
          <w:sz w:val="23"/>
          <w:szCs w:val="23"/>
        </w:rPr>
      </w:pPr>
      <w:r>
        <w:rPr>
          <w:rFonts w:asciiTheme="majorHAnsi" w:eastAsia="Calibri" w:hAnsiTheme="majorHAnsi" w:cstheme="majorBidi"/>
          <w:color w:val="000000" w:themeColor="text1"/>
          <w:sz w:val="23"/>
          <w:szCs w:val="23"/>
        </w:rPr>
        <w:t xml:space="preserve">First and foremost, as a vital first step, seek community feedback on </w:t>
      </w:r>
      <w:r w:rsidR="00933DD5">
        <w:rPr>
          <w:rFonts w:asciiTheme="majorHAnsi" w:eastAsia="Calibri" w:hAnsiTheme="majorHAnsi" w:cstheme="majorBidi"/>
          <w:color w:val="000000" w:themeColor="text1"/>
          <w:sz w:val="23"/>
          <w:szCs w:val="23"/>
        </w:rPr>
        <w:t>these</w:t>
      </w:r>
      <w:r>
        <w:rPr>
          <w:rFonts w:asciiTheme="majorHAnsi" w:eastAsia="Calibri" w:hAnsiTheme="majorHAnsi" w:cstheme="majorBidi"/>
          <w:color w:val="000000" w:themeColor="text1"/>
          <w:sz w:val="23"/>
          <w:szCs w:val="23"/>
        </w:rPr>
        <w:t xml:space="preserve"> </w:t>
      </w:r>
      <w:r w:rsidR="005C54DF">
        <w:rPr>
          <w:rFonts w:asciiTheme="majorHAnsi" w:eastAsia="Calibri" w:hAnsiTheme="majorHAnsi" w:cstheme="majorBidi"/>
          <w:color w:val="000000" w:themeColor="text1"/>
          <w:sz w:val="23"/>
          <w:szCs w:val="23"/>
        </w:rPr>
        <w:t>R</w:t>
      </w:r>
      <w:r>
        <w:rPr>
          <w:rFonts w:asciiTheme="majorHAnsi" w:eastAsia="Calibri" w:hAnsiTheme="majorHAnsi" w:cstheme="majorBidi"/>
          <w:color w:val="000000" w:themeColor="text1"/>
          <w:sz w:val="23"/>
          <w:szCs w:val="23"/>
        </w:rPr>
        <w:t>ecommendations.</w:t>
      </w:r>
    </w:p>
    <w:p w14:paraId="71F598CE" w14:textId="2AF0617D" w:rsidR="00F00E3D" w:rsidRPr="00964DCE" w:rsidRDefault="00F00E3D" w:rsidP="00364C5D">
      <w:pPr>
        <w:pStyle w:val="BodyText1"/>
        <w:numPr>
          <w:ilvl w:val="0"/>
          <w:numId w:val="59"/>
        </w:numPr>
        <w:spacing w:before="0" w:after="0" w:line="276" w:lineRule="auto"/>
        <w:rPr>
          <w:rFonts w:asciiTheme="majorHAnsi" w:eastAsia="Calibri" w:hAnsiTheme="majorHAnsi" w:cstheme="majorBidi"/>
          <w:color w:val="000000" w:themeColor="text1"/>
          <w:sz w:val="23"/>
          <w:szCs w:val="23"/>
        </w:rPr>
      </w:pPr>
      <w:r w:rsidRPr="502830E4">
        <w:rPr>
          <w:rFonts w:asciiTheme="majorHAnsi" w:eastAsia="Calibri" w:hAnsiTheme="majorHAnsi" w:cstheme="majorBidi"/>
          <w:color w:val="000000" w:themeColor="text1"/>
          <w:sz w:val="23"/>
          <w:szCs w:val="23"/>
        </w:rPr>
        <w:t xml:space="preserve">Pending </w:t>
      </w:r>
      <w:r w:rsidR="001B7DDF">
        <w:rPr>
          <w:rFonts w:asciiTheme="majorHAnsi" w:eastAsia="Calibri" w:hAnsiTheme="majorHAnsi" w:cstheme="majorBidi"/>
          <w:color w:val="000000" w:themeColor="text1"/>
          <w:sz w:val="23"/>
          <w:szCs w:val="23"/>
        </w:rPr>
        <w:t>CoGG</w:t>
      </w:r>
      <w:r w:rsidRPr="502830E4">
        <w:rPr>
          <w:rFonts w:asciiTheme="majorHAnsi" w:eastAsia="Calibri" w:hAnsiTheme="majorHAnsi" w:cstheme="majorBidi"/>
          <w:color w:val="000000" w:themeColor="text1"/>
          <w:sz w:val="23"/>
          <w:szCs w:val="23"/>
        </w:rPr>
        <w:t xml:space="preserve"> approval, the </w:t>
      </w:r>
      <w:r w:rsidR="00335E9E">
        <w:rPr>
          <w:rFonts w:asciiTheme="majorHAnsi" w:eastAsia="Calibri" w:hAnsiTheme="majorHAnsi" w:cstheme="majorBidi"/>
          <w:color w:val="000000" w:themeColor="text1"/>
          <w:sz w:val="23"/>
          <w:szCs w:val="23"/>
        </w:rPr>
        <w:t xml:space="preserve">HOME </w:t>
      </w:r>
      <w:r w:rsidRPr="42078E23">
        <w:rPr>
          <w:rFonts w:asciiTheme="majorHAnsi" w:eastAsia="Calibri" w:hAnsiTheme="majorHAnsi" w:cstheme="majorBidi"/>
          <w:color w:val="000000" w:themeColor="text1"/>
          <w:sz w:val="23"/>
          <w:szCs w:val="23"/>
        </w:rPr>
        <w:t>research team recommends</w:t>
      </w:r>
      <w:r w:rsidRPr="502830E4">
        <w:rPr>
          <w:rFonts w:asciiTheme="majorHAnsi" w:eastAsia="Calibri" w:hAnsiTheme="majorHAnsi" w:cstheme="majorBidi"/>
          <w:color w:val="000000" w:themeColor="text1"/>
          <w:sz w:val="23"/>
          <w:szCs w:val="23"/>
        </w:rPr>
        <w:t xml:space="preserve"> </w:t>
      </w:r>
      <w:r w:rsidRPr="42078E23">
        <w:rPr>
          <w:rFonts w:asciiTheme="majorHAnsi" w:eastAsia="Calibri" w:hAnsiTheme="majorHAnsi" w:cstheme="majorBidi"/>
          <w:color w:val="000000" w:themeColor="text1"/>
          <w:sz w:val="23"/>
          <w:szCs w:val="23"/>
        </w:rPr>
        <w:t xml:space="preserve">running a </w:t>
      </w:r>
      <w:hyperlink r:id="rId16" w:history="1">
        <w:r w:rsidRPr="00270AD8">
          <w:rPr>
            <w:rStyle w:val="Hyperlink"/>
            <w:rFonts w:asciiTheme="majorHAnsi" w:eastAsia="Calibri" w:hAnsiTheme="majorHAnsi" w:cstheme="majorBidi"/>
            <w:sz w:val="23"/>
            <w:szCs w:val="23"/>
          </w:rPr>
          <w:t>Systems Thinking in Knowledge Exchange (STICKE)</w:t>
        </w:r>
      </w:hyperlink>
      <w:r w:rsidRPr="42078E23">
        <w:rPr>
          <w:rFonts w:asciiTheme="majorHAnsi" w:eastAsia="Calibri" w:hAnsiTheme="majorHAnsi" w:cstheme="majorBidi"/>
          <w:color w:val="000000" w:themeColor="text1"/>
          <w:sz w:val="23"/>
          <w:szCs w:val="23"/>
        </w:rPr>
        <w:t xml:space="preserve"> workshop to engage with key stakeholders and policymakers </w:t>
      </w:r>
      <w:r w:rsidRPr="502830E4">
        <w:rPr>
          <w:rFonts w:asciiTheme="majorHAnsi" w:eastAsia="Calibri" w:hAnsiTheme="majorHAnsi" w:cstheme="majorBidi"/>
          <w:color w:val="000000" w:themeColor="text1"/>
          <w:sz w:val="23"/>
          <w:szCs w:val="23"/>
        </w:rPr>
        <w:t>to</w:t>
      </w:r>
      <w:r w:rsidRPr="42078E23">
        <w:rPr>
          <w:rFonts w:asciiTheme="majorHAnsi" w:eastAsia="Calibri" w:hAnsiTheme="majorHAnsi" w:cstheme="majorBidi"/>
          <w:color w:val="000000" w:themeColor="text1"/>
          <w:sz w:val="23"/>
          <w:szCs w:val="23"/>
        </w:rPr>
        <w:t xml:space="preserve"> help generate </w:t>
      </w:r>
      <w:r>
        <w:rPr>
          <w:rFonts w:asciiTheme="majorHAnsi" w:eastAsia="Calibri" w:hAnsiTheme="majorHAnsi" w:cstheme="majorBidi"/>
          <w:color w:val="000000" w:themeColor="text1"/>
          <w:sz w:val="23"/>
          <w:szCs w:val="23"/>
        </w:rPr>
        <w:t xml:space="preserve">holistic and systemic </w:t>
      </w:r>
      <w:r w:rsidRPr="42078E23">
        <w:rPr>
          <w:rFonts w:asciiTheme="majorHAnsi" w:eastAsia="Calibri" w:hAnsiTheme="majorHAnsi" w:cstheme="majorBidi"/>
          <w:color w:val="000000" w:themeColor="text1"/>
          <w:sz w:val="23"/>
          <w:szCs w:val="23"/>
        </w:rPr>
        <w:t xml:space="preserve">actions to implement the </w:t>
      </w:r>
      <w:r w:rsidR="00677D2B">
        <w:rPr>
          <w:rFonts w:asciiTheme="majorHAnsi" w:eastAsia="Calibri" w:hAnsiTheme="majorHAnsi" w:cstheme="majorBidi"/>
          <w:color w:val="000000" w:themeColor="text1"/>
          <w:sz w:val="23"/>
          <w:szCs w:val="23"/>
        </w:rPr>
        <w:t>R</w:t>
      </w:r>
      <w:r w:rsidRPr="42078E23">
        <w:rPr>
          <w:rFonts w:asciiTheme="majorHAnsi" w:eastAsia="Calibri" w:hAnsiTheme="majorHAnsi" w:cstheme="majorBidi"/>
          <w:color w:val="000000" w:themeColor="text1"/>
          <w:sz w:val="23"/>
          <w:szCs w:val="23"/>
        </w:rPr>
        <w:t xml:space="preserve">ecommendations. </w:t>
      </w:r>
    </w:p>
    <w:p w14:paraId="5EECB3BB" w14:textId="19E9E222" w:rsidR="0021329A" w:rsidRPr="00053B93" w:rsidRDefault="0021329A" w:rsidP="00364C5D">
      <w:pPr>
        <w:pStyle w:val="ListParagraph"/>
        <w:numPr>
          <w:ilvl w:val="0"/>
          <w:numId w:val="59"/>
        </w:numPr>
        <w:spacing w:after="0" w:line="276" w:lineRule="auto"/>
        <w:rPr>
          <w:rFonts w:ascii="Calibri Light" w:eastAsia="Calibri" w:hAnsi="Calibri Light" w:cs="Calibri Light"/>
          <w:sz w:val="23"/>
          <w:szCs w:val="23"/>
        </w:rPr>
      </w:pPr>
      <w:r>
        <w:rPr>
          <w:rFonts w:asciiTheme="majorHAnsi" w:hAnsiTheme="majorHAnsi" w:cstheme="majorBidi"/>
          <w:sz w:val="23"/>
          <w:szCs w:val="23"/>
        </w:rPr>
        <w:t xml:space="preserve">We recommend that </w:t>
      </w:r>
      <w:r w:rsidR="001B7DDF">
        <w:rPr>
          <w:rFonts w:asciiTheme="majorHAnsi" w:hAnsiTheme="majorHAnsi" w:cstheme="majorBidi"/>
          <w:sz w:val="23"/>
          <w:szCs w:val="23"/>
        </w:rPr>
        <w:t>CoGG</w:t>
      </w:r>
      <w:r w:rsidRPr="00053B93">
        <w:rPr>
          <w:rFonts w:asciiTheme="majorHAnsi" w:hAnsiTheme="majorHAnsi" w:cstheme="majorBidi"/>
          <w:sz w:val="23"/>
          <w:szCs w:val="23"/>
        </w:rPr>
        <w:t xml:space="preserve"> fund workshops run by community practitioners </w:t>
      </w:r>
      <w:r>
        <w:rPr>
          <w:rFonts w:asciiTheme="majorHAnsi" w:hAnsiTheme="majorHAnsi" w:cstheme="majorBidi"/>
          <w:sz w:val="23"/>
          <w:szCs w:val="23"/>
        </w:rPr>
        <w:t xml:space="preserve">with </w:t>
      </w:r>
      <w:r w:rsidRPr="00053B93">
        <w:rPr>
          <w:rFonts w:asciiTheme="majorHAnsi" w:hAnsiTheme="majorHAnsi" w:cstheme="majorBidi"/>
          <w:sz w:val="23"/>
          <w:szCs w:val="23"/>
        </w:rPr>
        <w:t>extensive experience in best-practice co-design,</w:t>
      </w:r>
      <w:r>
        <w:rPr>
          <w:rFonts w:asciiTheme="majorHAnsi" w:hAnsiTheme="majorHAnsi" w:cstheme="majorBidi"/>
          <w:sz w:val="23"/>
          <w:szCs w:val="23"/>
        </w:rPr>
        <w:t xml:space="preserve"> support </w:t>
      </w:r>
      <w:r w:rsidRPr="00053B93">
        <w:rPr>
          <w:rFonts w:asciiTheme="majorHAnsi" w:hAnsiTheme="majorHAnsi" w:cstheme="majorBidi"/>
          <w:sz w:val="23"/>
          <w:szCs w:val="23"/>
        </w:rPr>
        <w:t>key local agency staff</w:t>
      </w:r>
      <w:r>
        <w:rPr>
          <w:rFonts w:asciiTheme="majorHAnsi" w:hAnsiTheme="majorHAnsi" w:cstheme="majorBidi"/>
          <w:sz w:val="23"/>
          <w:szCs w:val="23"/>
        </w:rPr>
        <w:t xml:space="preserve"> to participate,</w:t>
      </w:r>
      <w:r w:rsidRPr="5397A458">
        <w:rPr>
          <w:rFonts w:asciiTheme="majorHAnsi" w:hAnsiTheme="majorHAnsi" w:cstheme="majorBidi"/>
          <w:sz w:val="23"/>
          <w:szCs w:val="23"/>
        </w:rPr>
        <w:t xml:space="preserve"> </w:t>
      </w:r>
      <w:r>
        <w:rPr>
          <w:rFonts w:asciiTheme="majorHAnsi" w:hAnsiTheme="majorHAnsi" w:cstheme="majorBidi"/>
          <w:sz w:val="23"/>
          <w:szCs w:val="23"/>
        </w:rPr>
        <w:t>and</w:t>
      </w:r>
      <w:r w:rsidRPr="00053B93">
        <w:rPr>
          <w:rFonts w:asciiTheme="majorHAnsi" w:hAnsiTheme="majorHAnsi" w:cstheme="majorBidi"/>
          <w:sz w:val="23"/>
          <w:szCs w:val="23"/>
        </w:rPr>
        <w:t xml:space="preserve"> produce a</w:t>
      </w:r>
      <w:r>
        <w:rPr>
          <w:rFonts w:asciiTheme="majorHAnsi" w:hAnsiTheme="majorHAnsi" w:cstheme="majorBidi"/>
          <w:sz w:val="23"/>
          <w:szCs w:val="23"/>
        </w:rPr>
        <w:t xml:space="preserve"> practical</w:t>
      </w:r>
      <w:r w:rsidRPr="00053B93">
        <w:rPr>
          <w:rFonts w:asciiTheme="majorHAnsi" w:hAnsiTheme="majorHAnsi" w:cstheme="majorBidi"/>
          <w:sz w:val="23"/>
          <w:szCs w:val="23"/>
        </w:rPr>
        <w:t xml:space="preserve"> “how to” guide for effective co-design strategies</w:t>
      </w:r>
      <w:r>
        <w:rPr>
          <w:rFonts w:asciiTheme="majorHAnsi" w:hAnsiTheme="majorHAnsi" w:cstheme="majorBidi"/>
          <w:sz w:val="23"/>
          <w:szCs w:val="23"/>
        </w:rPr>
        <w:t>. D</w:t>
      </w:r>
      <w:r w:rsidRPr="00053B93">
        <w:rPr>
          <w:rFonts w:asciiTheme="majorHAnsi" w:hAnsiTheme="majorHAnsi" w:cstheme="majorBidi"/>
          <w:sz w:val="23"/>
          <w:szCs w:val="23"/>
        </w:rPr>
        <w:t xml:space="preserve">edicated </w:t>
      </w:r>
      <w:r w:rsidR="001B7DDF">
        <w:rPr>
          <w:rFonts w:asciiTheme="majorHAnsi" w:hAnsiTheme="majorHAnsi" w:cstheme="majorBidi"/>
          <w:sz w:val="23"/>
          <w:szCs w:val="23"/>
        </w:rPr>
        <w:t>CoGG</w:t>
      </w:r>
      <w:r w:rsidRPr="00053B93">
        <w:rPr>
          <w:rFonts w:asciiTheme="majorHAnsi" w:hAnsiTheme="majorHAnsi" w:cstheme="majorBidi"/>
          <w:sz w:val="23"/>
          <w:szCs w:val="23"/>
        </w:rPr>
        <w:t xml:space="preserve"> staff </w:t>
      </w:r>
      <w:r>
        <w:rPr>
          <w:rFonts w:asciiTheme="majorHAnsi" w:hAnsiTheme="majorHAnsi" w:cstheme="majorBidi"/>
          <w:sz w:val="23"/>
          <w:szCs w:val="23"/>
        </w:rPr>
        <w:t xml:space="preserve">could provide </w:t>
      </w:r>
      <w:r w:rsidRPr="00053B93">
        <w:rPr>
          <w:rFonts w:asciiTheme="majorHAnsi" w:hAnsiTheme="majorHAnsi" w:cstheme="majorBidi"/>
          <w:sz w:val="23"/>
          <w:szCs w:val="23"/>
        </w:rPr>
        <w:t xml:space="preserve">support for agencies to embed this approach </w:t>
      </w:r>
      <w:r>
        <w:rPr>
          <w:rFonts w:asciiTheme="majorHAnsi" w:hAnsiTheme="majorHAnsi" w:cstheme="majorBidi"/>
          <w:sz w:val="23"/>
          <w:szCs w:val="23"/>
        </w:rPr>
        <w:t>in</w:t>
      </w:r>
      <w:r w:rsidRPr="00053B93">
        <w:rPr>
          <w:rFonts w:asciiTheme="majorHAnsi" w:hAnsiTheme="majorHAnsi" w:cstheme="majorBidi"/>
          <w:sz w:val="23"/>
          <w:szCs w:val="23"/>
        </w:rPr>
        <w:t>to program development and delivery.</w:t>
      </w:r>
    </w:p>
    <w:p w14:paraId="75F41071" w14:textId="6C207DF2" w:rsidR="00F00E3D" w:rsidRDefault="0041588E" w:rsidP="00364C5D">
      <w:pPr>
        <w:pStyle w:val="ListParagraph"/>
        <w:numPr>
          <w:ilvl w:val="0"/>
          <w:numId w:val="59"/>
        </w:numPr>
        <w:spacing w:after="0" w:line="276" w:lineRule="auto"/>
        <w:rPr>
          <w:rFonts w:ascii="Calibri Light" w:eastAsia="Calibri" w:hAnsi="Calibri Light" w:cs="Calibri Light"/>
          <w:sz w:val="23"/>
          <w:szCs w:val="23"/>
        </w:rPr>
      </w:pPr>
      <w:r w:rsidRPr="00053B93">
        <w:rPr>
          <w:rFonts w:ascii="Calibri Light" w:eastAsia="Calibri" w:hAnsi="Calibri Light" w:cs="Calibri Light"/>
          <w:sz w:val="23"/>
          <w:szCs w:val="23"/>
        </w:rPr>
        <w:t xml:space="preserve">While genuine </w:t>
      </w:r>
      <w:r>
        <w:rPr>
          <w:rFonts w:ascii="Calibri Light" w:eastAsia="Calibri" w:hAnsi="Calibri Light" w:cs="Calibri Light"/>
          <w:sz w:val="23"/>
          <w:szCs w:val="23"/>
        </w:rPr>
        <w:t xml:space="preserve">community </w:t>
      </w:r>
      <w:r w:rsidRPr="00053B93">
        <w:rPr>
          <w:rFonts w:ascii="Calibri Light" w:eastAsia="Calibri" w:hAnsi="Calibri Light" w:cs="Calibri Light"/>
          <w:sz w:val="23"/>
          <w:szCs w:val="23"/>
        </w:rPr>
        <w:t xml:space="preserve">engagement and </w:t>
      </w:r>
      <w:r>
        <w:rPr>
          <w:rFonts w:ascii="Calibri Light" w:eastAsia="Calibri" w:hAnsi="Calibri Light" w:cs="Calibri Light"/>
          <w:sz w:val="23"/>
          <w:szCs w:val="23"/>
        </w:rPr>
        <w:t xml:space="preserve">collaborative </w:t>
      </w:r>
      <w:r w:rsidRPr="00053B93">
        <w:rPr>
          <w:rFonts w:ascii="Calibri Light" w:eastAsia="Calibri" w:hAnsi="Calibri Light" w:cs="Calibri Light"/>
          <w:sz w:val="23"/>
          <w:szCs w:val="23"/>
        </w:rPr>
        <w:t>co-design of programs, interventions</w:t>
      </w:r>
      <w:r>
        <w:rPr>
          <w:rFonts w:ascii="Calibri Light" w:eastAsia="Calibri" w:hAnsi="Calibri Light" w:cs="Calibri Light"/>
          <w:sz w:val="23"/>
          <w:szCs w:val="23"/>
        </w:rPr>
        <w:t>,</w:t>
      </w:r>
      <w:r w:rsidRPr="00053B93">
        <w:rPr>
          <w:rFonts w:ascii="Calibri Light" w:eastAsia="Calibri" w:hAnsi="Calibri Light" w:cs="Calibri Light"/>
          <w:sz w:val="23"/>
          <w:szCs w:val="23"/>
        </w:rPr>
        <w:t xml:space="preserve"> and places is a fine principal, it is a potentially challenging practice. </w:t>
      </w:r>
      <w:r>
        <w:rPr>
          <w:rFonts w:ascii="Calibri Light" w:eastAsia="Calibri" w:hAnsi="Calibri Light" w:cs="Calibri Light"/>
          <w:sz w:val="23"/>
          <w:szCs w:val="23"/>
        </w:rPr>
        <w:t>F</w:t>
      </w:r>
      <w:r w:rsidR="00F00E3D" w:rsidRPr="24E70BAD">
        <w:rPr>
          <w:rFonts w:ascii="Calibri Light" w:eastAsia="Calibri" w:hAnsi="Calibri Light" w:cs="Calibri Light"/>
          <w:sz w:val="23"/>
          <w:szCs w:val="23"/>
        </w:rPr>
        <w:t>uture</w:t>
      </w:r>
      <w:r w:rsidR="00F00E3D" w:rsidRPr="00053B93">
        <w:rPr>
          <w:rFonts w:ascii="Calibri Light" w:eastAsia="Calibri" w:hAnsi="Calibri Light" w:cs="Calibri Light"/>
          <w:sz w:val="23"/>
          <w:szCs w:val="23"/>
        </w:rPr>
        <w:t xml:space="preserve"> research </w:t>
      </w:r>
      <w:r w:rsidR="0021329A">
        <w:rPr>
          <w:rFonts w:ascii="Calibri Light" w:eastAsia="Calibri" w:hAnsi="Calibri Light" w:cs="Calibri Light"/>
          <w:sz w:val="23"/>
          <w:szCs w:val="23"/>
        </w:rPr>
        <w:t xml:space="preserve">should </w:t>
      </w:r>
      <w:r w:rsidR="00F00E3D" w:rsidRPr="00053B93">
        <w:rPr>
          <w:rFonts w:ascii="Calibri Light" w:eastAsia="Calibri" w:hAnsi="Calibri Light" w:cs="Calibri Light"/>
          <w:sz w:val="23"/>
          <w:szCs w:val="23"/>
        </w:rPr>
        <w:t>evaluat</w:t>
      </w:r>
      <w:r w:rsidR="00F00E3D">
        <w:rPr>
          <w:rFonts w:ascii="Calibri Light" w:eastAsia="Calibri" w:hAnsi="Calibri Light" w:cs="Calibri Light"/>
          <w:sz w:val="23"/>
          <w:szCs w:val="23"/>
        </w:rPr>
        <w:t>e</w:t>
      </w:r>
      <w:r w:rsidR="0021329A">
        <w:rPr>
          <w:rFonts w:ascii="Calibri Light" w:eastAsia="Calibri" w:hAnsi="Calibri Light" w:cs="Calibri Light"/>
          <w:sz w:val="23"/>
          <w:szCs w:val="23"/>
        </w:rPr>
        <w:t xml:space="preserve"> not only the</w:t>
      </w:r>
      <w:r w:rsidR="00677D2B">
        <w:rPr>
          <w:rFonts w:ascii="Calibri Light" w:eastAsia="Calibri" w:hAnsi="Calibri Light" w:cs="Calibri Light"/>
          <w:sz w:val="23"/>
          <w:szCs w:val="23"/>
        </w:rPr>
        <w:t xml:space="preserve"> initiatives </w:t>
      </w:r>
      <w:r w:rsidR="0021329A">
        <w:rPr>
          <w:rFonts w:ascii="Calibri Light" w:eastAsia="Calibri" w:hAnsi="Calibri Light" w:cs="Calibri Light"/>
          <w:sz w:val="23"/>
          <w:szCs w:val="23"/>
        </w:rPr>
        <w:t>or</w:t>
      </w:r>
      <w:r w:rsidR="00677D2B">
        <w:rPr>
          <w:rFonts w:ascii="Calibri Light" w:eastAsia="Calibri" w:hAnsi="Calibri Light" w:cs="Calibri Light"/>
          <w:sz w:val="23"/>
          <w:szCs w:val="23"/>
        </w:rPr>
        <w:t xml:space="preserve"> programs</w:t>
      </w:r>
      <w:r w:rsidR="0021329A">
        <w:rPr>
          <w:rFonts w:ascii="Calibri Light" w:eastAsia="Calibri" w:hAnsi="Calibri Light" w:cs="Calibri Light"/>
          <w:sz w:val="23"/>
          <w:szCs w:val="23"/>
        </w:rPr>
        <w:t xml:space="preserve"> themselves</w:t>
      </w:r>
      <w:r w:rsidR="00677D2B">
        <w:rPr>
          <w:rFonts w:ascii="Calibri Light" w:eastAsia="Calibri" w:hAnsi="Calibri Light" w:cs="Calibri Light"/>
          <w:sz w:val="23"/>
          <w:szCs w:val="23"/>
        </w:rPr>
        <w:t>, but also</w:t>
      </w:r>
      <w:r w:rsidR="00677D2B" w:rsidRPr="00053B93">
        <w:rPr>
          <w:rFonts w:ascii="Calibri Light" w:eastAsia="Calibri" w:hAnsi="Calibri Light" w:cs="Calibri Light"/>
          <w:sz w:val="23"/>
          <w:szCs w:val="23"/>
        </w:rPr>
        <w:t xml:space="preserve"> </w:t>
      </w:r>
      <w:r w:rsidR="00F00E3D" w:rsidRPr="00053B93">
        <w:rPr>
          <w:rFonts w:ascii="Calibri Light" w:eastAsia="Calibri" w:hAnsi="Calibri Light" w:cs="Calibri Light"/>
          <w:sz w:val="23"/>
          <w:szCs w:val="23"/>
        </w:rPr>
        <w:t xml:space="preserve">the </w:t>
      </w:r>
      <w:r w:rsidR="00677D2B">
        <w:rPr>
          <w:rFonts w:ascii="Calibri Light" w:eastAsia="Calibri" w:hAnsi="Calibri Light" w:cs="Calibri Light"/>
          <w:sz w:val="23"/>
          <w:szCs w:val="23"/>
        </w:rPr>
        <w:t>effectiveness</w:t>
      </w:r>
      <w:r w:rsidR="00F00E3D" w:rsidRPr="00053B93">
        <w:rPr>
          <w:rFonts w:ascii="Calibri Light" w:eastAsia="Calibri" w:hAnsi="Calibri Light" w:cs="Calibri Light"/>
          <w:sz w:val="23"/>
          <w:szCs w:val="23"/>
        </w:rPr>
        <w:t xml:space="preserve"> </w:t>
      </w:r>
      <w:r w:rsidR="00677D2B">
        <w:rPr>
          <w:rFonts w:ascii="Calibri Light" w:eastAsia="Calibri" w:hAnsi="Calibri Light" w:cs="Calibri Light"/>
          <w:sz w:val="23"/>
          <w:szCs w:val="23"/>
        </w:rPr>
        <w:t xml:space="preserve">of the </w:t>
      </w:r>
      <w:r w:rsidR="00F00E3D" w:rsidRPr="00053B93">
        <w:rPr>
          <w:rFonts w:ascii="Calibri Light" w:eastAsia="Calibri" w:hAnsi="Calibri Light" w:cs="Calibri Light"/>
          <w:sz w:val="23"/>
          <w:szCs w:val="23"/>
        </w:rPr>
        <w:t>engagement</w:t>
      </w:r>
      <w:r w:rsidR="00677D2B">
        <w:rPr>
          <w:rFonts w:ascii="Calibri Light" w:eastAsia="Calibri" w:hAnsi="Calibri Light" w:cs="Calibri Light"/>
          <w:sz w:val="23"/>
          <w:szCs w:val="23"/>
        </w:rPr>
        <w:t xml:space="preserve"> </w:t>
      </w:r>
      <w:r>
        <w:rPr>
          <w:rFonts w:ascii="Calibri Light" w:eastAsia="Calibri" w:hAnsi="Calibri Light" w:cs="Calibri Light"/>
          <w:sz w:val="23"/>
          <w:szCs w:val="23"/>
        </w:rPr>
        <w:t xml:space="preserve">strategies </w:t>
      </w:r>
      <w:r w:rsidR="00677D2B">
        <w:rPr>
          <w:rFonts w:ascii="Calibri Light" w:eastAsia="Calibri" w:hAnsi="Calibri Light" w:cs="Calibri Light"/>
          <w:sz w:val="23"/>
          <w:szCs w:val="23"/>
        </w:rPr>
        <w:t>and</w:t>
      </w:r>
      <w:r>
        <w:rPr>
          <w:rFonts w:ascii="Calibri Light" w:eastAsia="Calibri" w:hAnsi="Calibri Light" w:cs="Calibri Light"/>
          <w:sz w:val="23"/>
          <w:szCs w:val="23"/>
        </w:rPr>
        <w:t xml:space="preserve"> collaborative</w:t>
      </w:r>
      <w:r w:rsidR="00677D2B">
        <w:rPr>
          <w:rFonts w:ascii="Calibri Light" w:eastAsia="Calibri" w:hAnsi="Calibri Light" w:cs="Calibri Light"/>
          <w:sz w:val="23"/>
          <w:szCs w:val="23"/>
        </w:rPr>
        <w:t xml:space="preserve"> processes used to develop them.</w:t>
      </w:r>
    </w:p>
    <w:p w14:paraId="66CAA7DA" w14:textId="0B136641" w:rsidR="00974F0C" w:rsidRPr="00626536" w:rsidRDefault="00974F0C" w:rsidP="001D7247">
      <w:pPr>
        <w:pStyle w:val="EndNoteBibliography"/>
        <w:tabs>
          <w:tab w:val="left" w:pos="8119"/>
        </w:tabs>
        <w:rPr>
          <w:rFonts w:asciiTheme="majorHAnsi" w:hAnsiTheme="majorHAnsi" w:cstheme="majorHAnsi"/>
          <w:noProof/>
        </w:rPr>
        <w:sectPr w:rsidR="00974F0C" w:rsidRPr="00626536" w:rsidSect="009452E8">
          <w:footerReference w:type="default" r:id="rId17"/>
          <w:footerReference w:type="first" r:id="rId18"/>
          <w:pgSz w:w="11900" w:h="16840"/>
          <w:pgMar w:top="1134" w:right="1134" w:bottom="1134" w:left="1134" w:header="708" w:footer="708" w:gutter="0"/>
          <w:pgNumType w:fmt="lowerRoman" w:start="2"/>
          <w:cols w:space="708"/>
          <w:titlePg/>
          <w:docGrid w:linePitch="360"/>
        </w:sectPr>
      </w:pPr>
    </w:p>
    <w:p w14:paraId="25EBB278" w14:textId="26EA5397" w:rsidR="00F00E3D" w:rsidRPr="00674177" w:rsidRDefault="00F00E3D" w:rsidP="009B2FA7">
      <w:pPr>
        <w:pStyle w:val="Title"/>
        <w:rPr>
          <w:rFonts w:cstheme="minorBidi"/>
          <w:color w:val="2E74B5" w:themeColor="accent5" w:themeShade="BF"/>
        </w:rPr>
      </w:pPr>
      <w:r w:rsidRPr="00674177">
        <w:rPr>
          <w:rFonts w:cstheme="minorBidi"/>
          <w:color w:val="2E74B5" w:themeColor="accent5" w:themeShade="BF"/>
        </w:rPr>
        <w:lastRenderedPageBreak/>
        <w:t>P</w:t>
      </w:r>
      <w:r w:rsidR="00FE53A2">
        <w:rPr>
          <w:rFonts w:cstheme="minorBidi"/>
          <w:color w:val="2E74B5" w:themeColor="accent5" w:themeShade="BF"/>
        </w:rPr>
        <w:t>ART</w:t>
      </w:r>
      <w:r w:rsidRPr="00674177">
        <w:rPr>
          <w:rFonts w:cstheme="minorBidi"/>
          <w:color w:val="2E74B5" w:themeColor="accent5" w:themeShade="BF"/>
        </w:rPr>
        <w:t xml:space="preserve"> A:  Environmental Scan</w:t>
      </w:r>
    </w:p>
    <w:p w14:paraId="5E2A7E88" w14:textId="77777777" w:rsidR="00F00E3D" w:rsidRPr="00F07FC7" w:rsidRDefault="00F00E3D" w:rsidP="009B2FA7">
      <w:pPr>
        <w:pStyle w:val="Heading1"/>
        <w:rPr>
          <w:rFonts w:asciiTheme="minorHAnsi" w:hAnsiTheme="minorHAnsi" w:cstheme="minorHAnsi"/>
          <w:b/>
          <w:bCs/>
          <w:color w:val="2E74B5" w:themeColor="accent5" w:themeShade="BF"/>
          <w:sz w:val="28"/>
          <w:szCs w:val="28"/>
        </w:rPr>
      </w:pPr>
      <w:r w:rsidRPr="00F07FC7">
        <w:rPr>
          <w:rFonts w:asciiTheme="minorHAnsi" w:hAnsiTheme="minorHAnsi" w:cstheme="minorHAnsi"/>
          <w:b/>
          <w:bCs/>
          <w:color w:val="2E74B5" w:themeColor="accent5" w:themeShade="BF"/>
          <w:sz w:val="28"/>
          <w:szCs w:val="28"/>
        </w:rPr>
        <w:t>Introduction</w:t>
      </w:r>
    </w:p>
    <w:p w14:paraId="1F45188D" w14:textId="77777777" w:rsidR="00F00E3D" w:rsidRPr="00E159A0" w:rsidRDefault="00F00E3D" w:rsidP="009B2FA7">
      <w:pPr>
        <w:spacing w:after="0" w:line="276" w:lineRule="auto"/>
        <w:rPr>
          <w:rFonts w:asciiTheme="majorHAnsi" w:hAnsiTheme="majorHAnsi" w:cstheme="majorHAnsi"/>
          <w:b/>
          <w:bCs/>
          <w:sz w:val="12"/>
          <w:szCs w:val="12"/>
        </w:rPr>
      </w:pPr>
    </w:p>
    <w:p w14:paraId="3A5DD286" w14:textId="61250869" w:rsidR="00B07F1B" w:rsidRPr="008F00A7" w:rsidRDefault="001154CE" w:rsidP="008E6AD7">
      <w:pPr>
        <w:spacing w:after="0" w:line="276" w:lineRule="auto"/>
        <w:rPr>
          <w:rFonts w:asciiTheme="majorHAnsi" w:hAnsiTheme="majorHAnsi" w:cstheme="majorBidi"/>
          <w:sz w:val="23"/>
          <w:szCs w:val="23"/>
        </w:rPr>
      </w:pPr>
      <w:r w:rsidRPr="008F00A7">
        <w:rPr>
          <w:rFonts w:asciiTheme="majorHAnsi" w:hAnsiTheme="majorHAnsi" w:cstheme="majorBidi"/>
          <w:sz w:val="23"/>
          <w:szCs w:val="23"/>
        </w:rPr>
        <w:t>T</w:t>
      </w:r>
      <w:r w:rsidR="00F00E3D" w:rsidRPr="008F00A7">
        <w:rPr>
          <w:rFonts w:asciiTheme="majorHAnsi" w:hAnsiTheme="majorHAnsi" w:cstheme="majorBidi"/>
          <w:sz w:val="23"/>
          <w:szCs w:val="23"/>
        </w:rPr>
        <w:t>h</w:t>
      </w:r>
      <w:r w:rsidR="00056730" w:rsidRPr="008F00A7">
        <w:rPr>
          <w:rFonts w:asciiTheme="majorHAnsi" w:hAnsiTheme="majorHAnsi" w:cstheme="majorBidi"/>
          <w:sz w:val="23"/>
          <w:szCs w:val="23"/>
        </w:rPr>
        <w:t>e</w:t>
      </w:r>
      <w:r w:rsidR="00F00E3D" w:rsidRPr="008F00A7">
        <w:rPr>
          <w:rFonts w:asciiTheme="majorHAnsi" w:hAnsiTheme="majorHAnsi" w:cstheme="majorBidi"/>
          <w:sz w:val="23"/>
          <w:szCs w:val="23"/>
        </w:rPr>
        <w:t xml:space="preserve"> </w:t>
      </w:r>
      <w:r w:rsidR="00BC1DAE" w:rsidRPr="008F00A7">
        <w:rPr>
          <w:rFonts w:asciiTheme="majorHAnsi" w:hAnsiTheme="majorHAnsi" w:cstheme="majorBidi"/>
          <w:sz w:val="23"/>
          <w:szCs w:val="23"/>
        </w:rPr>
        <w:t>E</w:t>
      </w:r>
      <w:r w:rsidR="00F00E3D" w:rsidRPr="008F00A7">
        <w:rPr>
          <w:rFonts w:asciiTheme="majorHAnsi" w:hAnsiTheme="majorHAnsi" w:cstheme="majorBidi"/>
          <w:sz w:val="23"/>
          <w:szCs w:val="23"/>
        </w:rPr>
        <w:t xml:space="preserve">nvironmental </w:t>
      </w:r>
      <w:r w:rsidR="00BC1DAE" w:rsidRPr="008F00A7">
        <w:rPr>
          <w:rFonts w:asciiTheme="majorHAnsi" w:hAnsiTheme="majorHAnsi" w:cstheme="majorBidi"/>
          <w:sz w:val="23"/>
          <w:szCs w:val="23"/>
        </w:rPr>
        <w:t>S</w:t>
      </w:r>
      <w:r w:rsidR="00F00E3D" w:rsidRPr="008F00A7">
        <w:rPr>
          <w:rFonts w:asciiTheme="majorHAnsi" w:hAnsiTheme="majorHAnsi" w:cstheme="majorBidi"/>
          <w:sz w:val="23"/>
          <w:szCs w:val="23"/>
        </w:rPr>
        <w:t>can</w:t>
      </w:r>
      <w:r w:rsidR="00F00E3D" w:rsidRPr="008F00A7">
        <w:rPr>
          <w:rFonts w:ascii="Calibri Light" w:eastAsia="Calibri Light" w:hAnsi="Calibri Light" w:cs="Calibri Light"/>
          <w:color w:val="000000" w:themeColor="text1"/>
          <w:sz w:val="23"/>
          <w:szCs w:val="23"/>
        </w:rPr>
        <w:t xml:space="preserve"> </w:t>
      </w:r>
      <w:r w:rsidR="00847552" w:rsidRPr="008F00A7">
        <w:rPr>
          <w:rFonts w:ascii="Calibri Light" w:eastAsia="Calibri Light" w:hAnsi="Calibri Light" w:cs="Calibri Light"/>
          <w:color w:val="000000" w:themeColor="text1"/>
          <w:sz w:val="23"/>
          <w:szCs w:val="23"/>
        </w:rPr>
        <w:t>wa</w:t>
      </w:r>
      <w:r w:rsidR="00F00E3D" w:rsidRPr="008F00A7">
        <w:rPr>
          <w:rFonts w:ascii="Calibri Light" w:eastAsia="Calibri Light" w:hAnsi="Calibri Light" w:cs="Calibri Light"/>
          <w:color w:val="000000" w:themeColor="text1"/>
          <w:sz w:val="23"/>
          <w:szCs w:val="23"/>
        </w:rPr>
        <w:t>s HOME Research Hub’s first deliverable under the Vital Communities Research Partnership</w:t>
      </w:r>
      <w:r w:rsidR="00FE2780" w:rsidRPr="008F00A7">
        <w:rPr>
          <w:rFonts w:ascii="Calibri Light" w:eastAsia="Calibri Light" w:hAnsi="Calibri Light" w:cs="Calibri Light"/>
          <w:color w:val="000000" w:themeColor="text1"/>
          <w:sz w:val="23"/>
          <w:szCs w:val="23"/>
        </w:rPr>
        <w:t>.</w:t>
      </w:r>
      <w:r w:rsidR="00527B22" w:rsidRPr="008F00A7">
        <w:rPr>
          <w:rFonts w:ascii="Calibri Light" w:eastAsia="Calibri Light" w:hAnsi="Calibri Light" w:cs="Calibri Light"/>
          <w:color w:val="000000" w:themeColor="text1"/>
          <w:sz w:val="23"/>
          <w:szCs w:val="23"/>
        </w:rPr>
        <w:t xml:space="preserve"> </w:t>
      </w:r>
      <w:r w:rsidR="00847552" w:rsidRPr="008F00A7">
        <w:rPr>
          <w:rFonts w:ascii="Calibri Light" w:eastAsia="Calibri Light" w:hAnsi="Calibri Light" w:cs="Calibri Light"/>
          <w:color w:val="000000" w:themeColor="text1"/>
          <w:sz w:val="23"/>
          <w:szCs w:val="23"/>
        </w:rPr>
        <w:t>T</w:t>
      </w:r>
      <w:r w:rsidR="00BC1184" w:rsidRPr="008F00A7">
        <w:rPr>
          <w:rFonts w:ascii="Calibri Light" w:eastAsia="Calibri Light" w:hAnsi="Calibri Light" w:cs="Calibri Light"/>
          <w:color w:val="000000" w:themeColor="text1"/>
          <w:sz w:val="23"/>
          <w:szCs w:val="23"/>
        </w:rPr>
        <w:t>he scan</w:t>
      </w:r>
      <w:r w:rsidR="00342150" w:rsidRPr="008F00A7">
        <w:rPr>
          <w:rFonts w:ascii="Calibri Light" w:eastAsia="Calibri Light" w:hAnsi="Calibri Light" w:cs="Calibri Light"/>
          <w:color w:val="000000" w:themeColor="text1"/>
          <w:sz w:val="23"/>
          <w:szCs w:val="23"/>
        </w:rPr>
        <w:t xml:space="preserve"> responds to an initial</w:t>
      </w:r>
      <w:r w:rsidR="00342150" w:rsidRPr="008F00A7">
        <w:rPr>
          <w:rFonts w:asciiTheme="majorHAnsi" w:hAnsiTheme="majorHAnsi" w:cstheme="majorBidi"/>
          <w:sz w:val="23"/>
          <w:szCs w:val="23"/>
        </w:rPr>
        <w:t xml:space="preserve"> brief from the City of Greater Geelong to </w:t>
      </w:r>
      <w:r w:rsidR="00BC1184" w:rsidRPr="008F00A7">
        <w:rPr>
          <w:rFonts w:asciiTheme="majorHAnsi" w:hAnsiTheme="majorHAnsi" w:cstheme="majorBidi"/>
          <w:sz w:val="23"/>
          <w:szCs w:val="23"/>
        </w:rPr>
        <w:t xml:space="preserve">investigate </w:t>
      </w:r>
      <w:r w:rsidR="00342150" w:rsidRPr="008F00A7">
        <w:rPr>
          <w:rFonts w:asciiTheme="majorHAnsi" w:hAnsiTheme="majorHAnsi" w:cstheme="majorBidi"/>
          <w:sz w:val="23"/>
          <w:szCs w:val="23"/>
        </w:rPr>
        <w:t xml:space="preserve">successful programs and innovative strategies to improve outcomes for communities affected by disadvantage. </w:t>
      </w:r>
      <w:r w:rsidR="00AE701A" w:rsidRPr="008F00A7">
        <w:rPr>
          <w:rFonts w:asciiTheme="majorHAnsi" w:hAnsiTheme="majorHAnsi" w:cstheme="majorBidi"/>
          <w:sz w:val="23"/>
          <w:szCs w:val="23"/>
        </w:rPr>
        <w:t xml:space="preserve">Guided by the </w:t>
      </w:r>
      <w:hyperlink w:anchor="OLE_LINKTableE1" w:history="1">
        <w:r w:rsidR="00AE701A" w:rsidRPr="00560B47">
          <w:rPr>
            <w:rStyle w:val="Hyperlink"/>
            <w:rFonts w:asciiTheme="majorHAnsi" w:hAnsiTheme="majorHAnsi" w:cstheme="majorBidi"/>
            <w:sz w:val="23"/>
            <w:szCs w:val="23"/>
          </w:rPr>
          <w:t>research questions</w:t>
        </w:r>
      </w:hyperlink>
      <w:r w:rsidR="00AE701A" w:rsidRPr="008F00A7">
        <w:rPr>
          <w:rFonts w:asciiTheme="majorHAnsi" w:hAnsiTheme="majorHAnsi" w:cstheme="majorBidi"/>
          <w:sz w:val="23"/>
          <w:szCs w:val="23"/>
        </w:rPr>
        <w:t xml:space="preserve"> that underpin the project, </w:t>
      </w:r>
      <w:r w:rsidR="00F66105" w:rsidRPr="008F00A7">
        <w:rPr>
          <w:rFonts w:asciiTheme="majorHAnsi" w:hAnsiTheme="majorHAnsi" w:cstheme="majorBidi"/>
          <w:sz w:val="23"/>
          <w:szCs w:val="23"/>
        </w:rPr>
        <w:t xml:space="preserve">the </w:t>
      </w:r>
      <w:r w:rsidR="00B71A6C" w:rsidRPr="008F00A7">
        <w:rPr>
          <w:rFonts w:asciiTheme="majorHAnsi" w:hAnsiTheme="majorHAnsi" w:cstheme="majorBidi"/>
          <w:sz w:val="23"/>
          <w:szCs w:val="23"/>
        </w:rPr>
        <w:t>Environmental Scan</w:t>
      </w:r>
      <w:r w:rsidR="00786A73" w:rsidRPr="008F00A7">
        <w:rPr>
          <w:rFonts w:asciiTheme="majorHAnsi" w:hAnsiTheme="majorHAnsi" w:cstheme="majorBidi"/>
          <w:sz w:val="23"/>
          <w:szCs w:val="23"/>
        </w:rPr>
        <w:t xml:space="preserve"> </w:t>
      </w:r>
      <w:r w:rsidR="005A4525" w:rsidRPr="008F00A7">
        <w:rPr>
          <w:rFonts w:asciiTheme="majorHAnsi" w:hAnsiTheme="majorHAnsi" w:cstheme="majorBidi"/>
          <w:sz w:val="23"/>
          <w:szCs w:val="23"/>
        </w:rPr>
        <w:t>provides robust analysis and overviews of</w:t>
      </w:r>
      <w:r w:rsidR="00786A73" w:rsidRPr="008F00A7">
        <w:rPr>
          <w:rFonts w:asciiTheme="majorHAnsi" w:hAnsiTheme="majorHAnsi" w:cstheme="majorBidi"/>
          <w:sz w:val="23"/>
          <w:szCs w:val="23"/>
        </w:rPr>
        <w:t xml:space="preserve"> key academic studies, </w:t>
      </w:r>
      <w:r w:rsidR="005A4525" w:rsidRPr="008F00A7">
        <w:rPr>
          <w:rFonts w:asciiTheme="majorHAnsi" w:hAnsiTheme="majorHAnsi" w:cstheme="majorBidi"/>
          <w:sz w:val="23"/>
          <w:szCs w:val="23"/>
        </w:rPr>
        <w:t>conceptual frameworks,</w:t>
      </w:r>
      <w:r w:rsidR="00786A73" w:rsidRPr="008F00A7">
        <w:rPr>
          <w:rFonts w:asciiTheme="majorHAnsi" w:hAnsiTheme="majorHAnsi" w:cstheme="majorBidi"/>
          <w:sz w:val="23"/>
          <w:szCs w:val="23"/>
        </w:rPr>
        <w:t xml:space="preserve"> </w:t>
      </w:r>
      <w:r w:rsidR="005A4525" w:rsidRPr="008F00A7">
        <w:rPr>
          <w:rFonts w:asciiTheme="majorHAnsi" w:hAnsiTheme="majorHAnsi" w:cstheme="majorBidi"/>
          <w:sz w:val="23"/>
          <w:szCs w:val="23"/>
        </w:rPr>
        <w:t xml:space="preserve">policy contexts, </w:t>
      </w:r>
      <w:r w:rsidR="00786A73" w:rsidRPr="008F00A7">
        <w:rPr>
          <w:rFonts w:asciiTheme="majorHAnsi" w:hAnsiTheme="majorHAnsi" w:cstheme="majorBidi"/>
          <w:sz w:val="23"/>
          <w:szCs w:val="23"/>
        </w:rPr>
        <w:t xml:space="preserve">and </w:t>
      </w:r>
      <w:r w:rsidR="00137A39" w:rsidRPr="008F00A7">
        <w:rPr>
          <w:rFonts w:asciiTheme="majorHAnsi" w:hAnsiTheme="majorHAnsi" w:cstheme="majorBidi"/>
          <w:sz w:val="23"/>
          <w:szCs w:val="23"/>
        </w:rPr>
        <w:t>potential</w:t>
      </w:r>
      <w:r w:rsidR="000D45E7" w:rsidRPr="008F00A7">
        <w:rPr>
          <w:rFonts w:asciiTheme="majorHAnsi" w:hAnsiTheme="majorHAnsi" w:cstheme="majorBidi"/>
          <w:sz w:val="23"/>
          <w:szCs w:val="23"/>
        </w:rPr>
        <w:t xml:space="preserve"> </w:t>
      </w:r>
      <w:r w:rsidR="0068062B" w:rsidRPr="008F00A7">
        <w:rPr>
          <w:rFonts w:asciiTheme="majorHAnsi" w:hAnsiTheme="majorHAnsi" w:cstheme="majorBidi"/>
          <w:sz w:val="23"/>
          <w:szCs w:val="23"/>
        </w:rPr>
        <w:t xml:space="preserve">models and </w:t>
      </w:r>
      <w:r w:rsidR="000D45E7" w:rsidRPr="008F00A7">
        <w:rPr>
          <w:rFonts w:asciiTheme="majorHAnsi" w:hAnsiTheme="majorHAnsi" w:cstheme="majorBidi"/>
          <w:sz w:val="23"/>
          <w:szCs w:val="23"/>
        </w:rPr>
        <w:t>approaches</w:t>
      </w:r>
      <w:r w:rsidR="00786A73" w:rsidRPr="008F00A7">
        <w:rPr>
          <w:rFonts w:asciiTheme="majorHAnsi" w:hAnsiTheme="majorHAnsi" w:cstheme="majorBidi"/>
          <w:sz w:val="23"/>
          <w:szCs w:val="23"/>
        </w:rPr>
        <w:t>.</w:t>
      </w:r>
    </w:p>
    <w:p w14:paraId="4C95AA92" w14:textId="24BD89B1" w:rsidR="0050009B" w:rsidRPr="008F00A7" w:rsidRDefault="0050009B" w:rsidP="009B2FA7">
      <w:pPr>
        <w:spacing w:after="0" w:line="276" w:lineRule="auto"/>
        <w:rPr>
          <w:rFonts w:asciiTheme="majorHAnsi" w:hAnsiTheme="majorHAnsi" w:cstheme="majorBidi"/>
          <w:sz w:val="12"/>
          <w:szCs w:val="12"/>
        </w:rPr>
      </w:pPr>
    </w:p>
    <w:p w14:paraId="44DD06AB" w14:textId="0B77CB02" w:rsidR="0050009B" w:rsidRPr="008F00A7" w:rsidRDefault="00137A39" w:rsidP="0050009B">
      <w:pPr>
        <w:spacing w:after="0" w:line="276" w:lineRule="auto"/>
        <w:rPr>
          <w:rFonts w:asciiTheme="majorHAnsi" w:hAnsiTheme="majorHAnsi" w:cstheme="majorBidi"/>
          <w:sz w:val="23"/>
          <w:szCs w:val="23"/>
        </w:rPr>
      </w:pPr>
      <w:r>
        <w:rPr>
          <w:rFonts w:asciiTheme="majorHAnsi" w:hAnsiTheme="majorHAnsi" w:cstheme="majorBidi"/>
          <w:sz w:val="23"/>
          <w:szCs w:val="23"/>
        </w:rPr>
        <w:t>F</w:t>
      </w:r>
      <w:r w:rsidR="00EF4FAE">
        <w:rPr>
          <w:rFonts w:asciiTheme="majorHAnsi" w:hAnsiTheme="majorHAnsi" w:cstheme="majorBidi"/>
          <w:sz w:val="23"/>
          <w:szCs w:val="23"/>
        </w:rPr>
        <w:t xml:space="preserve">indings from the </w:t>
      </w:r>
      <w:r w:rsidR="002D4DC7">
        <w:rPr>
          <w:rFonts w:asciiTheme="majorHAnsi" w:hAnsiTheme="majorHAnsi" w:cstheme="majorBidi"/>
          <w:sz w:val="23"/>
          <w:szCs w:val="23"/>
        </w:rPr>
        <w:t>Environmental Scan</w:t>
      </w:r>
      <w:r w:rsidR="00AD1F83">
        <w:rPr>
          <w:rFonts w:asciiTheme="majorHAnsi" w:hAnsiTheme="majorHAnsi" w:cstheme="majorBidi"/>
          <w:sz w:val="23"/>
          <w:szCs w:val="23"/>
        </w:rPr>
        <w:t xml:space="preserve"> </w:t>
      </w:r>
      <w:r w:rsidR="00B71A6C">
        <w:rPr>
          <w:rFonts w:asciiTheme="majorHAnsi" w:hAnsiTheme="majorHAnsi" w:cstheme="majorBidi"/>
          <w:sz w:val="23"/>
          <w:szCs w:val="23"/>
        </w:rPr>
        <w:t xml:space="preserve">make up </w:t>
      </w:r>
      <w:r w:rsidR="00300215">
        <w:rPr>
          <w:rFonts w:asciiTheme="majorHAnsi" w:hAnsiTheme="majorHAnsi" w:cstheme="majorBidi"/>
          <w:sz w:val="23"/>
          <w:szCs w:val="23"/>
        </w:rPr>
        <w:t>Part A</w:t>
      </w:r>
      <w:r w:rsidR="00300215" w:rsidRPr="42078E23">
        <w:rPr>
          <w:rFonts w:asciiTheme="majorHAnsi" w:hAnsiTheme="majorHAnsi" w:cstheme="majorBidi"/>
          <w:sz w:val="23"/>
          <w:szCs w:val="23"/>
        </w:rPr>
        <w:t xml:space="preserve"> of this report</w:t>
      </w:r>
      <w:r w:rsidR="00BF6208">
        <w:rPr>
          <w:rFonts w:asciiTheme="majorHAnsi" w:hAnsiTheme="majorHAnsi" w:cstheme="majorBidi"/>
          <w:sz w:val="23"/>
          <w:szCs w:val="23"/>
        </w:rPr>
        <w:t xml:space="preserve">. </w:t>
      </w:r>
      <w:r w:rsidR="008F00A7">
        <w:rPr>
          <w:rFonts w:asciiTheme="majorHAnsi" w:hAnsiTheme="majorHAnsi" w:cstheme="majorBidi"/>
          <w:sz w:val="23"/>
          <w:szCs w:val="23"/>
        </w:rPr>
        <w:t>There are</w:t>
      </w:r>
      <w:r w:rsidR="00300215">
        <w:rPr>
          <w:rFonts w:asciiTheme="majorHAnsi" w:hAnsiTheme="majorHAnsi" w:cstheme="majorBidi"/>
          <w:sz w:val="23"/>
          <w:szCs w:val="23"/>
        </w:rPr>
        <w:t xml:space="preserve"> five s</w:t>
      </w:r>
      <w:r w:rsidR="00300215" w:rsidRPr="00185337">
        <w:rPr>
          <w:rFonts w:asciiTheme="majorHAnsi" w:hAnsiTheme="majorHAnsi" w:cstheme="majorBidi"/>
          <w:sz w:val="23"/>
          <w:szCs w:val="23"/>
        </w:rPr>
        <w:t>ections</w:t>
      </w:r>
      <w:r w:rsidR="00300215">
        <w:rPr>
          <w:rFonts w:asciiTheme="majorHAnsi" w:hAnsiTheme="majorHAnsi" w:cstheme="majorBidi"/>
          <w:sz w:val="23"/>
          <w:szCs w:val="23"/>
        </w:rPr>
        <w:t>:</w:t>
      </w:r>
    </w:p>
    <w:p w14:paraId="5BB85FA7" w14:textId="432D8160" w:rsidR="00C13AAD" w:rsidRPr="008F00A7" w:rsidRDefault="0050009B" w:rsidP="00364C5D">
      <w:pPr>
        <w:pStyle w:val="ListParagraph"/>
        <w:numPr>
          <w:ilvl w:val="0"/>
          <w:numId w:val="67"/>
        </w:numPr>
        <w:spacing w:after="0" w:line="276" w:lineRule="auto"/>
        <w:rPr>
          <w:rFonts w:asciiTheme="majorHAnsi" w:hAnsiTheme="majorHAnsi" w:cstheme="majorBidi"/>
          <w:sz w:val="23"/>
          <w:szCs w:val="23"/>
        </w:rPr>
      </w:pPr>
      <w:r w:rsidRPr="008F00A7">
        <w:rPr>
          <w:rFonts w:cstheme="minorHAnsi"/>
          <w:b/>
          <w:bCs/>
          <w:sz w:val="23"/>
          <w:szCs w:val="23"/>
        </w:rPr>
        <w:t>Section 1:</w:t>
      </w:r>
      <w:r w:rsidRPr="008F00A7">
        <w:rPr>
          <w:rFonts w:cstheme="minorHAnsi"/>
          <w:sz w:val="23"/>
          <w:szCs w:val="23"/>
        </w:rPr>
        <w:t xml:space="preserve"> </w:t>
      </w:r>
      <w:r w:rsidRPr="008F00A7">
        <w:rPr>
          <w:rFonts w:cstheme="minorHAnsi"/>
          <w:b/>
          <w:bCs/>
          <w:sz w:val="23"/>
          <w:szCs w:val="23"/>
        </w:rPr>
        <w:t>Conceptual Frameworks:</w:t>
      </w:r>
      <w:r w:rsidRPr="008F00A7">
        <w:rPr>
          <w:rFonts w:asciiTheme="majorHAnsi" w:hAnsiTheme="majorHAnsi" w:cstheme="majorBidi"/>
          <w:sz w:val="23"/>
          <w:szCs w:val="23"/>
        </w:rPr>
        <w:t xml:space="preserve"> We commence with an outline of some key conceptual frameworks that inform current efforts to address spatial and socioeconomic disadvantage.</w:t>
      </w:r>
    </w:p>
    <w:p w14:paraId="539A3F31" w14:textId="58A2E09E" w:rsidR="00C13AAD" w:rsidRPr="008F00A7" w:rsidRDefault="0050009B" w:rsidP="00364C5D">
      <w:pPr>
        <w:pStyle w:val="ListParagraph"/>
        <w:numPr>
          <w:ilvl w:val="0"/>
          <w:numId w:val="67"/>
        </w:numPr>
        <w:spacing w:after="0" w:line="276" w:lineRule="auto"/>
        <w:rPr>
          <w:rFonts w:asciiTheme="majorHAnsi" w:hAnsiTheme="majorHAnsi" w:cstheme="majorBidi"/>
          <w:sz w:val="23"/>
          <w:szCs w:val="23"/>
        </w:rPr>
      </w:pPr>
      <w:r w:rsidRPr="008F00A7">
        <w:rPr>
          <w:rFonts w:cstheme="minorHAnsi"/>
          <w:b/>
          <w:bCs/>
          <w:sz w:val="23"/>
          <w:szCs w:val="23"/>
        </w:rPr>
        <w:t>Section 2:</w:t>
      </w:r>
      <w:r w:rsidRPr="008F00A7">
        <w:rPr>
          <w:rFonts w:cstheme="minorHAnsi"/>
          <w:sz w:val="23"/>
          <w:szCs w:val="23"/>
        </w:rPr>
        <w:t xml:space="preserve"> </w:t>
      </w:r>
      <w:r w:rsidRPr="008F00A7">
        <w:rPr>
          <w:rFonts w:cstheme="minorHAnsi"/>
          <w:b/>
          <w:bCs/>
          <w:sz w:val="23"/>
          <w:szCs w:val="23"/>
        </w:rPr>
        <w:t>Policy Contexts:</w:t>
      </w:r>
      <w:r w:rsidRPr="008F00A7">
        <w:rPr>
          <w:rFonts w:asciiTheme="majorHAnsi" w:hAnsiTheme="majorHAnsi" w:cstheme="majorBidi"/>
          <w:sz w:val="23"/>
          <w:szCs w:val="23"/>
        </w:rPr>
        <w:t xml:space="preserve"> </w:t>
      </w:r>
      <w:r w:rsidR="00E05FA4" w:rsidRPr="008F00A7">
        <w:rPr>
          <w:rFonts w:asciiTheme="majorHAnsi" w:hAnsiTheme="majorHAnsi" w:cstheme="majorBidi"/>
          <w:sz w:val="23"/>
          <w:szCs w:val="23"/>
        </w:rPr>
        <w:t>Next we</w:t>
      </w:r>
      <w:r w:rsidRPr="008F00A7">
        <w:rPr>
          <w:rFonts w:asciiTheme="majorHAnsi" w:hAnsiTheme="majorHAnsi" w:cstheme="majorBidi"/>
          <w:sz w:val="23"/>
          <w:szCs w:val="23"/>
        </w:rPr>
        <w:t xml:space="preserve"> pr</w:t>
      </w:r>
      <w:r w:rsidR="00E05FA4" w:rsidRPr="008F00A7">
        <w:rPr>
          <w:rFonts w:asciiTheme="majorHAnsi" w:hAnsiTheme="majorHAnsi" w:cstheme="majorBidi"/>
          <w:sz w:val="23"/>
          <w:szCs w:val="23"/>
        </w:rPr>
        <w:t>ovide</w:t>
      </w:r>
      <w:r w:rsidRPr="008F00A7">
        <w:rPr>
          <w:rFonts w:asciiTheme="majorHAnsi" w:hAnsiTheme="majorHAnsi" w:cstheme="majorBidi"/>
          <w:sz w:val="23"/>
          <w:szCs w:val="23"/>
        </w:rPr>
        <w:t xml:space="preserve"> an overview of current government priorities and policies around social and economic development</w:t>
      </w:r>
      <w:r w:rsidR="00AE3867" w:rsidRPr="008F00A7">
        <w:rPr>
          <w:rFonts w:asciiTheme="majorHAnsi" w:hAnsiTheme="majorHAnsi" w:cstheme="majorBidi"/>
          <w:sz w:val="23"/>
          <w:szCs w:val="23"/>
        </w:rPr>
        <w:t xml:space="preserve"> </w:t>
      </w:r>
      <w:r w:rsidR="00AE3867" w:rsidRPr="00E9488B">
        <w:rPr>
          <w:rFonts w:asciiTheme="majorHAnsi" w:hAnsiTheme="majorHAnsi" w:cstheme="majorBidi"/>
          <w:sz w:val="23"/>
          <w:szCs w:val="23"/>
        </w:rPr>
        <w:t xml:space="preserve">relevant to </w:t>
      </w:r>
      <w:r w:rsidR="00E9488B">
        <w:rPr>
          <w:rFonts w:asciiTheme="majorHAnsi" w:hAnsiTheme="majorHAnsi" w:cstheme="majorBidi"/>
          <w:sz w:val="23"/>
          <w:szCs w:val="23"/>
        </w:rPr>
        <w:t xml:space="preserve">Geelong and </w:t>
      </w:r>
      <w:r w:rsidR="00C6768E" w:rsidRPr="00E9488B">
        <w:rPr>
          <w:rFonts w:asciiTheme="majorHAnsi" w:hAnsiTheme="majorHAnsi" w:cstheme="majorBidi"/>
          <w:sz w:val="23"/>
          <w:szCs w:val="23"/>
        </w:rPr>
        <w:t>the three localities.</w:t>
      </w:r>
    </w:p>
    <w:p w14:paraId="5E344B1C" w14:textId="61870808" w:rsidR="00C13AAD" w:rsidRPr="008F00A7" w:rsidRDefault="0050009B" w:rsidP="00364C5D">
      <w:pPr>
        <w:pStyle w:val="ListParagraph"/>
        <w:numPr>
          <w:ilvl w:val="0"/>
          <w:numId w:val="67"/>
        </w:numPr>
        <w:spacing w:after="0" w:line="276" w:lineRule="auto"/>
        <w:rPr>
          <w:rFonts w:asciiTheme="majorHAnsi" w:eastAsiaTheme="majorEastAsia" w:hAnsiTheme="majorHAnsi" w:cstheme="majorBidi"/>
          <w:sz w:val="23"/>
          <w:szCs w:val="23"/>
        </w:rPr>
      </w:pPr>
      <w:r w:rsidRPr="008F00A7">
        <w:rPr>
          <w:rFonts w:cstheme="minorHAnsi"/>
          <w:b/>
          <w:bCs/>
          <w:sz w:val="23"/>
          <w:szCs w:val="23"/>
        </w:rPr>
        <w:t>Section 3: Review of Key Academic Research:</w:t>
      </w:r>
      <w:r w:rsidRPr="008F00A7">
        <w:rPr>
          <w:rFonts w:asciiTheme="majorHAnsi" w:hAnsiTheme="majorHAnsi" w:cstheme="majorBidi"/>
          <w:sz w:val="23"/>
          <w:szCs w:val="23"/>
        </w:rPr>
        <w:t xml:space="preserve"> </w:t>
      </w:r>
      <w:r w:rsidR="007E1DF8" w:rsidRPr="008F00A7">
        <w:rPr>
          <w:rFonts w:asciiTheme="majorHAnsi" w:hAnsiTheme="majorHAnsi" w:cstheme="majorBidi"/>
          <w:sz w:val="23"/>
          <w:szCs w:val="23"/>
        </w:rPr>
        <w:t>Here we present a</w:t>
      </w:r>
      <w:r w:rsidR="00AD1F83" w:rsidRPr="008F00A7">
        <w:rPr>
          <w:rFonts w:asciiTheme="majorHAnsi" w:hAnsiTheme="majorHAnsi" w:cstheme="majorBidi"/>
          <w:sz w:val="23"/>
          <w:szCs w:val="23"/>
        </w:rPr>
        <w:t xml:space="preserve"> detailed</w:t>
      </w:r>
      <w:r w:rsidRPr="008F00A7">
        <w:rPr>
          <w:rFonts w:asciiTheme="majorHAnsi" w:hAnsiTheme="majorHAnsi" w:cstheme="majorBidi"/>
          <w:sz w:val="23"/>
          <w:szCs w:val="23"/>
        </w:rPr>
        <w:t xml:space="preserve"> review of </w:t>
      </w:r>
      <w:r w:rsidR="00C31801" w:rsidRPr="008F00A7">
        <w:rPr>
          <w:rFonts w:asciiTheme="majorHAnsi" w:hAnsiTheme="majorHAnsi" w:cstheme="majorBidi"/>
          <w:sz w:val="23"/>
          <w:szCs w:val="23"/>
        </w:rPr>
        <w:t xml:space="preserve">peer-reviewed </w:t>
      </w:r>
      <w:r w:rsidRPr="008F00A7">
        <w:rPr>
          <w:rFonts w:asciiTheme="majorHAnsi" w:hAnsiTheme="majorHAnsi" w:cstheme="majorBidi"/>
          <w:sz w:val="23"/>
          <w:szCs w:val="23"/>
        </w:rPr>
        <w:t xml:space="preserve">studies addressing </w:t>
      </w:r>
      <w:r w:rsidRPr="008F00A7">
        <w:rPr>
          <w:rFonts w:asciiTheme="majorHAnsi" w:eastAsia="Times New Roman" w:hAnsiTheme="majorHAnsi" w:cstheme="majorBidi"/>
          <w:sz w:val="23"/>
          <w:szCs w:val="23"/>
          <w:lang w:eastAsia="en-GB"/>
        </w:rPr>
        <w:t xml:space="preserve">the social and economic factors that drive outcomes for </w:t>
      </w:r>
      <w:r w:rsidR="00CF6266" w:rsidRPr="008F00A7">
        <w:rPr>
          <w:rFonts w:asciiTheme="majorHAnsi" w:eastAsia="Times New Roman" w:hAnsiTheme="majorHAnsi" w:cstheme="majorBidi"/>
          <w:sz w:val="23"/>
          <w:szCs w:val="23"/>
          <w:lang w:eastAsia="en-GB"/>
        </w:rPr>
        <w:t xml:space="preserve">disadvantaged </w:t>
      </w:r>
      <w:r w:rsidRPr="008F00A7">
        <w:rPr>
          <w:rFonts w:asciiTheme="majorHAnsi" w:eastAsia="Times New Roman" w:hAnsiTheme="majorHAnsi" w:cstheme="majorBidi"/>
          <w:sz w:val="23"/>
          <w:szCs w:val="23"/>
          <w:lang w:eastAsia="en-GB"/>
        </w:rPr>
        <w:t>communities, a</w:t>
      </w:r>
      <w:r w:rsidR="001727CF">
        <w:rPr>
          <w:rFonts w:asciiTheme="majorHAnsi" w:eastAsia="Times New Roman" w:hAnsiTheme="majorHAnsi" w:cstheme="majorBidi"/>
          <w:sz w:val="23"/>
          <w:szCs w:val="23"/>
          <w:lang w:eastAsia="en-GB"/>
        </w:rPr>
        <w:t>nd</w:t>
      </w:r>
      <w:r w:rsidRPr="008F00A7">
        <w:rPr>
          <w:rFonts w:asciiTheme="majorHAnsi" w:hAnsiTheme="majorHAnsi" w:cstheme="majorBidi"/>
          <w:sz w:val="23"/>
          <w:szCs w:val="23"/>
        </w:rPr>
        <w:t xml:space="preserve"> initiatives implemented globally to improve these outcomes.</w:t>
      </w:r>
    </w:p>
    <w:p w14:paraId="548942E7" w14:textId="1D3AEEFF" w:rsidR="00C13AAD" w:rsidRPr="008F00A7" w:rsidRDefault="0050009B" w:rsidP="00364C5D">
      <w:pPr>
        <w:pStyle w:val="ListParagraph"/>
        <w:numPr>
          <w:ilvl w:val="0"/>
          <w:numId w:val="67"/>
        </w:numPr>
        <w:spacing w:after="0" w:line="276" w:lineRule="auto"/>
        <w:rPr>
          <w:rFonts w:asciiTheme="majorHAnsi" w:eastAsiaTheme="majorEastAsia" w:hAnsiTheme="majorHAnsi" w:cstheme="majorBidi"/>
          <w:sz w:val="23"/>
          <w:szCs w:val="23"/>
        </w:rPr>
      </w:pPr>
      <w:r w:rsidRPr="008F00A7">
        <w:rPr>
          <w:rFonts w:eastAsiaTheme="majorEastAsia" w:cstheme="minorHAnsi"/>
          <w:b/>
          <w:bCs/>
          <w:sz w:val="23"/>
          <w:szCs w:val="23"/>
        </w:rPr>
        <w:t>Section 4: Evidence Maps:</w:t>
      </w:r>
      <w:r w:rsidRPr="008F00A7">
        <w:rPr>
          <w:rFonts w:asciiTheme="majorHAnsi" w:hAnsiTheme="majorHAnsi" w:cstheme="majorBidi"/>
          <w:sz w:val="23"/>
          <w:szCs w:val="23"/>
        </w:rPr>
        <w:t xml:space="preserve"> </w:t>
      </w:r>
      <w:r w:rsidR="001727CF">
        <w:rPr>
          <w:rFonts w:asciiTheme="majorHAnsi" w:hAnsiTheme="majorHAnsi" w:cstheme="majorBidi"/>
          <w:sz w:val="23"/>
          <w:szCs w:val="23"/>
        </w:rPr>
        <w:t>The</w:t>
      </w:r>
      <w:r w:rsidR="00AE6299" w:rsidRPr="008F00A7">
        <w:rPr>
          <w:rFonts w:asciiTheme="majorHAnsi" w:hAnsiTheme="majorHAnsi" w:cstheme="majorBidi"/>
          <w:sz w:val="23"/>
          <w:szCs w:val="23"/>
        </w:rPr>
        <w:t xml:space="preserve"> research</w:t>
      </w:r>
      <w:r w:rsidRPr="008F00A7">
        <w:rPr>
          <w:rFonts w:asciiTheme="majorHAnsi" w:hAnsiTheme="majorHAnsi" w:cstheme="majorBidi"/>
          <w:sz w:val="23"/>
          <w:szCs w:val="23"/>
        </w:rPr>
        <w:t xml:space="preserve"> coverage </w:t>
      </w:r>
      <w:r w:rsidR="00AE6299" w:rsidRPr="008F00A7">
        <w:rPr>
          <w:rFonts w:asciiTheme="majorHAnsi" w:hAnsiTheme="majorHAnsi" w:cstheme="majorBidi"/>
          <w:sz w:val="23"/>
          <w:szCs w:val="23"/>
        </w:rPr>
        <w:t>from</w:t>
      </w:r>
      <w:r w:rsidRPr="008F00A7">
        <w:rPr>
          <w:rFonts w:asciiTheme="majorHAnsi" w:hAnsiTheme="majorHAnsi" w:cstheme="majorBidi"/>
          <w:sz w:val="23"/>
          <w:szCs w:val="23"/>
        </w:rPr>
        <w:t xml:space="preserve"> Section 3</w:t>
      </w:r>
      <w:r w:rsidR="001727CF">
        <w:rPr>
          <w:rFonts w:asciiTheme="majorHAnsi" w:hAnsiTheme="majorHAnsi" w:cstheme="majorBidi"/>
          <w:sz w:val="23"/>
          <w:szCs w:val="23"/>
        </w:rPr>
        <w:t xml:space="preserve"> presented</w:t>
      </w:r>
      <w:r w:rsidRPr="008F00A7">
        <w:rPr>
          <w:rFonts w:asciiTheme="majorHAnsi" w:hAnsiTheme="majorHAnsi" w:cstheme="majorBidi"/>
          <w:sz w:val="23"/>
          <w:szCs w:val="23"/>
        </w:rPr>
        <w:t xml:space="preserve"> in graphic form.</w:t>
      </w:r>
    </w:p>
    <w:p w14:paraId="109663F5" w14:textId="7711B3C0" w:rsidR="00E70048" w:rsidRPr="008F00A7" w:rsidRDefault="0050009B" w:rsidP="00364C5D">
      <w:pPr>
        <w:pStyle w:val="ListParagraph"/>
        <w:numPr>
          <w:ilvl w:val="0"/>
          <w:numId w:val="67"/>
        </w:numPr>
        <w:spacing w:after="0" w:line="276" w:lineRule="auto"/>
        <w:rPr>
          <w:rFonts w:asciiTheme="majorHAnsi" w:eastAsiaTheme="majorEastAsia" w:hAnsiTheme="majorHAnsi" w:cstheme="majorBidi"/>
          <w:sz w:val="23"/>
          <w:szCs w:val="23"/>
        </w:rPr>
      </w:pPr>
      <w:r w:rsidRPr="008F00A7">
        <w:rPr>
          <w:rFonts w:eastAsiaTheme="majorEastAsia" w:cstheme="minorHAnsi"/>
          <w:b/>
          <w:bCs/>
          <w:sz w:val="23"/>
          <w:szCs w:val="23"/>
        </w:rPr>
        <w:t xml:space="preserve">Section 5: </w:t>
      </w:r>
      <w:r w:rsidR="00AD2DA5">
        <w:rPr>
          <w:rFonts w:eastAsiaTheme="majorEastAsia" w:cstheme="minorHAnsi"/>
          <w:b/>
          <w:bCs/>
          <w:sz w:val="23"/>
          <w:szCs w:val="23"/>
        </w:rPr>
        <w:t>Case Studies</w:t>
      </w:r>
      <w:r w:rsidRPr="008F00A7">
        <w:rPr>
          <w:rFonts w:eastAsiaTheme="majorEastAsia" w:cstheme="minorHAnsi"/>
          <w:b/>
          <w:bCs/>
          <w:sz w:val="23"/>
          <w:szCs w:val="23"/>
        </w:rPr>
        <w:t>:</w:t>
      </w:r>
      <w:r w:rsidRPr="008F00A7">
        <w:rPr>
          <w:rFonts w:asciiTheme="majorHAnsi" w:eastAsiaTheme="majorEastAsia" w:hAnsiTheme="majorHAnsi" w:cstheme="majorBidi"/>
          <w:sz w:val="23"/>
          <w:szCs w:val="23"/>
        </w:rPr>
        <w:t xml:space="preserve"> </w:t>
      </w:r>
      <w:r w:rsidR="00A75214" w:rsidRPr="008F00A7">
        <w:rPr>
          <w:rFonts w:asciiTheme="majorHAnsi" w:hAnsiTheme="majorHAnsi" w:cstheme="majorBidi"/>
          <w:sz w:val="23"/>
          <w:szCs w:val="23"/>
        </w:rPr>
        <w:t>In a</w:t>
      </w:r>
      <w:r w:rsidR="00FB1F92" w:rsidRPr="008F00A7">
        <w:rPr>
          <w:rFonts w:asciiTheme="majorHAnsi" w:hAnsiTheme="majorHAnsi" w:cstheme="majorBidi"/>
          <w:sz w:val="23"/>
          <w:szCs w:val="23"/>
        </w:rPr>
        <w:t xml:space="preserve"> series of compact </w:t>
      </w:r>
      <w:r w:rsidR="00AD2DA5">
        <w:rPr>
          <w:rFonts w:asciiTheme="majorHAnsi" w:hAnsiTheme="majorHAnsi" w:cstheme="majorBidi"/>
          <w:sz w:val="23"/>
          <w:szCs w:val="23"/>
        </w:rPr>
        <w:t>Case Studies</w:t>
      </w:r>
      <w:r w:rsidR="00FB1F92" w:rsidRPr="008F00A7">
        <w:rPr>
          <w:rFonts w:asciiTheme="majorHAnsi" w:hAnsiTheme="majorHAnsi" w:cstheme="majorBidi"/>
          <w:sz w:val="23"/>
          <w:szCs w:val="23"/>
        </w:rPr>
        <w:t xml:space="preserve">, </w:t>
      </w:r>
      <w:r w:rsidR="00AE6299" w:rsidRPr="008F00A7">
        <w:rPr>
          <w:rFonts w:asciiTheme="majorHAnsi" w:hAnsiTheme="majorHAnsi" w:cstheme="majorBidi"/>
          <w:sz w:val="23"/>
          <w:szCs w:val="23"/>
        </w:rPr>
        <w:t>we</w:t>
      </w:r>
      <w:r w:rsidRPr="008F00A7">
        <w:rPr>
          <w:rFonts w:asciiTheme="majorHAnsi" w:hAnsiTheme="majorHAnsi" w:cstheme="majorBidi"/>
          <w:sz w:val="23"/>
          <w:szCs w:val="23"/>
        </w:rPr>
        <w:t xml:space="preserve"> profile a range of successful and innovative programs designed </w:t>
      </w:r>
      <w:r w:rsidR="00C13AAD" w:rsidRPr="008F00A7">
        <w:rPr>
          <w:rFonts w:asciiTheme="majorHAnsi" w:hAnsiTheme="majorHAnsi" w:cstheme="majorBidi"/>
          <w:sz w:val="23"/>
          <w:szCs w:val="23"/>
        </w:rPr>
        <w:t xml:space="preserve">to tackle </w:t>
      </w:r>
      <w:r w:rsidR="00C0271F" w:rsidRPr="008F00A7">
        <w:rPr>
          <w:rFonts w:asciiTheme="majorHAnsi" w:hAnsiTheme="majorHAnsi" w:cstheme="majorBidi"/>
          <w:sz w:val="23"/>
          <w:szCs w:val="23"/>
        </w:rPr>
        <w:t xml:space="preserve">social and economic </w:t>
      </w:r>
      <w:r w:rsidR="00C13AAD" w:rsidRPr="008F00A7">
        <w:rPr>
          <w:rFonts w:asciiTheme="majorHAnsi" w:hAnsiTheme="majorHAnsi" w:cstheme="majorBidi"/>
          <w:sz w:val="23"/>
          <w:szCs w:val="23"/>
        </w:rPr>
        <w:t>disadvantage</w:t>
      </w:r>
      <w:r w:rsidR="001727CF">
        <w:rPr>
          <w:rFonts w:asciiTheme="majorHAnsi" w:hAnsiTheme="majorHAnsi" w:cstheme="majorBidi"/>
          <w:sz w:val="23"/>
          <w:szCs w:val="23"/>
        </w:rPr>
        <w:t xml:space="preserve"> </w:t>
      </w:r>
      <w:r w:rsidR="00C13AAD" w:rsidRPr="008F00A7">
        <w:rPr>
          <w:rFonts w:asciiTheme="majorHAnsi" w:hAnsiTheme="majorHAnsi" w:cstheme="majorBidi"/>
          <w:sz w:val="23"/>
          <w:szCs w:val="23"/>
        </w:rPr>
        <w:t>within Australia and overseas</w:t>
      </w:r>
      <w:r w:rsidR="00A75214" w:rsidRPr="008F00A7">
        <w:rPr>
          <w:rFonts w:asciiTheme="majorHAnsi" w:hAnsiTheme="majorHAnsi" w:cstheme="majorBidi"/>
          <w:sz w:val="23"/>
          <w:szCs w:val="23"/>
        </w:rPr>
        <w:t>.</w:t>
      </w:r>
      <w:r w:rsidR="00FB1F92" w:rsidRPr="008F00A7">
        <w:rPr>
          <w:rFonts w:asciiTheme="majorHAnsi" w:hAnsiTheme="majorHAnsi" w:cstheme="majorBidi"/>
          <w:sz w:val="23"/>
          <w:szCs w:val="23"/>
        </w:rPr>
        <w:t xml:space="preserve"> </w:t>
      </w:r>
      <w:r w:rsidR="001727CF">
        <w:rPr>
          <w:rFonts w:asciiTheme="majorHAnsi" w:hAnsiTheme="majorHAnsi" w:cstheme="majorBidi"/>
          <w:sz w:val="23"/>
          <w:szCs w:val="23"/>
        </w:rPr>
        <w:t>We conclude by outlining</w:t>
      </w:r>
      <w:r w:rsidR="00FB1F92" w:rsidRPr="008F00A7">
        <w:rPr>
          <w:rFonts w:asciiTheme="majorHAnsi" w:hAnsiTheme="majorHAnsi" w:cstheme="majorBidi"/>
          <w:sz w:val="23"/>
          <w:szCs w:val="23"/>
        </w:rPr>
        <w:t xml:space="preserve"> </w:t>
      </w:r>
      <w:r w:rsidRPr="008F00A7">
        <w:rPr>
          <w:rFonts w:asciiTheme="majorHAnsi" w:hAnsiTheme="majorHAnsi" w:cstheme="majorBidi"/>
          <w:sz w:val="23"/>
          <w:szCs w:val="23"/>
        </w:rPr>
        <w:t>some factors that can influence program success.</w:t>
      </w:r>
    </w:p>
    <w:p w14:paraId="4938881A" w14:textId="77777777" w:rsidR="00F00E3D" w:rsidRPr="00D536F9" w:rsidRDefault="00F00E3D" w:rsidP="009B2FA7">
      <w:pPr>
        <w:pStyle w:val="Default"/>
        <w:spacing w:line="276" w:lineRule="auto"/>
        <w:rPr>
          <w:rFonts w:asciiTheme="majorHAnsi" w:hAnsiTheme="majorHAnsi" w:cstheme="majorHAnsi"/>
          <w:sz w:val="16"/>
          <w:szCs w:val="16"/>
        </w:rPr>
      </w:pPr>
    </w:p>
    <w:p w14:paraId="1FD31BDD" w14:textId="77777777" w:rsidR="00F00E3D" w:rsidRPr="00F07FC7" w:rsidRDefault="00F00E3D" w:rsidP="009B2FA7">
      <w:pPr>
        <w:spacing w:after="0" w:line="276" w:lineRule="auto"/>
        <w:rPr>
          <w:b/>
          <w:bCs/>
          <w:color w:val="2E74B5" w:themeColor="accent5" w:themeShade="BF"/>
          <w:sz w:val="28"/>
          <w:szCs w:val="28"/>
        </w:rPr>
      </w:pPr>
      <w:bookmarkStart w:id="19" w:name="_Hlk61033101"/>
      <w:r w:rsidRPr="00F07FC7">
        <w:rPr>
          <w:b/>
          <w:bCs/>
          <w:color w:val="2E74B5" w:themeColor="accent5" w:themeShade="BF"/>
          <w:sz w:val="28"/>
          <w:szCs w:val="28"/>
        </w:rPr>
        <w:t>Methodology and Scope: Environmental Scan</w:t>
      </w:r>
    </w:p>
    <w:bookmarkEnd w:id="19"/>
    <w:p w14:paraId="00E0B78B" w14:textId="77777777" w:rsidR="00F00E3D" w:rsidRPr="008F00A7" w:rsidRDefault="00F00E3D" w:rsidP="009B2FA7">
      <w:pPr>
        <w:spacing w:after="0" w:line="276" w:lineRule="auto"/>
        <w:rPr>
          <w:rFonts w:asciiTheme="majorHAnsi" w:hAnsiTheme="majorHAnsi" w:cstheme="majorHAnsi"/>
          <w:sz w:val="12"/>
          <w:szCs w:val="12"/>
        </w:rPr>
      </w:pPr>
    </w:p>
    <w:p w14:paraId="47EE0332" w14:textId="443087B8" w:rsidR="00F00E3D" w:rsidRDefault="00F00E3D" w:rsidP="009B2FA7">
      <w:pPr>
        <w:spacing w:after="0" w:line="276" w:lineRule="auto"/>
        <w:rPr>
          <w:rFonts w:asciiTheme="majorHAnsi" w:hAnsiTheme="majorHAnsi" w:cstheme="majorBidi"/>
          <w:sz w:val="23"/>
          <w:szCs w:val="23"/>
        </w:rPr>
      </w:pPr>
      <w:r w:rsidRPr="359636AC">
        <w:rPr>
          <w:rFonts w:asciiTheme="majorHAnsi" w:hAnsiTheme="majorHAnsi" w:cstheme="majorBidi"/>
          <w:sz w:val="23"/>
          <w:szCs w:val="23"/>
        </w:rPr>
        <w:t>Th</w:t>
      </w:r>
      <w:r w:rsidR="008F00A7">
        <w:rPr>
          <w:rFonts w:asciiTheme="majorHAnsi" w:hAnsiTheme="majorHAnsi" w:cstheme="majorBidi"/>
          <w:sz w:val="23"/>
          <w:szCs w:val="23"/>
        </w:rPr>
        <w:t>is</w:t>
      </w:r>
      <w:r w:rsidR="005C399B">
        <w:rPr>
          <w:rFonts w:asciiTheme="majorHAnsi" w:hAnsiTheme="majorHAnsi" w:cstheme="majorBidi"/>
          <w:sz w:val="23"/>
          <w:szCs w:val="23"/>
        </w:rPr>
        <w:t xml:space="preserve"> </w:t>
      </w:r>
      <w:r w:rsidR="008E6AD7">
        <w:rPr>
          <w:rFonts w:asciiTheme="majorHAnsi" w:hAnsiTheme="majorHAnsi" w:cstheme="majorBidi"/>
          <w:sz w:val="23"/>
          <w:szCs w:val="23"/>
        </w:rPr>
        <w:t>E</w:t>
      </w:r>
      <w:r>
        <w:rPr>
          <w:rFonts w:asciiTheme="majorHAnsi" w:hAnsiTheme="majorHAnsi" w:cstheme="majorBidi"/>
          <w:sz w:val="23"/>
          <w:szCs w:val="23"/>
        </w:rPr>
        <w:t xml:space="preserve">nvironmental </w:t>
      </w:r>
      <w:r w:rsidR="008E6AD7">
        <w:rPr>
          <w:rFonts w:asciiTheme="majorHAnsi" w:hAnsiTheme="majorHAnsi" w:cstheme="majorBidi"/>
          <w:sz w:val="23"/>
          <w:szCs w:val="23"/>
        </w:rPr>
        <w:t>S</w:t>
      </w:r>
      <w:r>
        <w:rPr>
          <w:rFonts w:asciiTheme="majorHAnsi" w:hAnsiTheme="majorHAnsi" w:cstheme="majorBidi"/>
          <w:sz w:val="23"/>
          <w:szCs w:val="23"/>
        </w:rPr>
        <w:t>can</w:t>
      </w:r>
      <w:r w:rsidRPr="5ADA7538">
        <w:rPr>
          <w:rFonts w:ascii="Calibri Light" w:eastAsia="Calibri Light" w:hAnsi="Calibri Light" w:cs="Calibri Light"/>
          <w:color w:val="000000" w:themeColor="text1"/>
        </w:rPr>
        <w:t xml:space="preserve"> </w:t>
      </w:r>
      <w:r w:rsidRPr="359636AC">
        <w:rPr>
          <w:rFonts w:asciiTheme="majorHAnsi" w:hAnsiTheme="majorHAnsi" w:cstheme="majorBidi"/>
          <w:sz w:val="23"/>
          <w:szCs w:val="23"/>
        </w:rPr>
        <w:t>is based on a comprehensive</w:t>
      </w:r>
      <w:r w:rsidR="005C399B">
        <w:rPr>
          <w:rFonts w:asciiTheme="majorHAnsi" w:hAnsiTheme="majorHAnsi" w:cstheme="majorBidi"/>
          <w:sz w:val="23"/>
          <w:szCs w:val="23"/>
        </w:rPr>
        <w:t xml:space="preserve"> survey</w:t>
      </w:r>
      <w:r w:rsidRPr="359636AC">
        <w:rPr>
          <w:rFonts w:asciiTheme="majorHAnsi" w:hAnsiTheme="majorHAnsi" w:cstheme="majorBidi"/>
          <w:sz w:val="23"/>
          <w:szCs w:val="23"/>
        </w:rPr>
        <w:t xml:space="preserve"> of relevant academic and grey literature conducted by the HOME research </w:t>
      </w:r>
      <w:r w:rsidRPr="00661DE7">
        <w:rPr>
          <w:rFonts w:asciiTheme="majorHAnsi" w:hAnsiTheme="majorHAnsi" w:cstheme="majorBidi"/>
          <w:sz w:val="23"/>
          <w:szCs w:val="23"/>
        </w:rPr>
        <w:t xml:space="preserve">team in January 2021. </w:t>
      </w:r>
      <w:r w:rsidR="00C72846">
        <w:rPr>
          <w:rFonts w:asciiTheme="majorHAnsi" w:hAnsiTheme="majorHAnsi" w:cstheme="majorBidi"/>
          <w:sz w:val="23"/>
          <w:szCs w:val="23"/>
        </w:rPr>
        <w:t>F</w:t>
      </w:r>
      <w:r>
        <w:rPr>
          <w:rFonts w:asciiTheme="majorHAnsi" w:hAnsiTheme="majorHAnsi" w:cstheme="majorBidi"/>
          <w:sz w:val="23"/>
          <w:szCs w:val="23"/>
        </w:rPr>
        <w:t>oundational s</w:t>
      </w:r>
      <w:r w:rsidRPr="359636AC">
        <w:rPr>
          <w:rFonts w:asciiTheme="majorHAnsi" w:hAnsiTheme="majorHAnsi" w:cstheme="majorBidi"/>
          <w:sz w:val="23"/>
          <w:szCs w:val="23"/>
        </w:rPr>
        <w:t>earch terms are listed in Appendix A</w:t>
      </w:r>
      <w:r>
        <w:rPr>
          <w:rFonts w:asciiTheme="majorHAnsi" w:hAnsiTheme="majorHAnsi" w:cstheme="majorBidi"/>
          <w:sz w:val="23"/>
          <w:szCs w:val="23"/>
        </w:rPr>
        <w:t>.</w:t>
      </w:r>
      <w:r w:rsidR="00D75F7C" w:rsidRPr="00D75F7C">
        <w:rPr>
          <w:rFonts w:asciiTheme="majorHAnsi" w:hAnsiTheme="majorHAnsi" w:cstheme="majorBidi"/>
          <w:sz w:val="23"/>
          <w:szCs w:val="23"/>
        </w:rPr>
        <w:t xml:space="preserve"> </w:t>
      </w:r>
      <w:r w:rsidR="00E277D1">
        <w:rPr>
          <w:rFonts w:asciiTheme="majorHAnsi" w:hAnsiTheme="majorHAnsi" w:cstheme="majorBidi"/>
          <w:sz w:val="23"/>
          <w:szCs w:val="23"/>
        </w:rPr>
        <w:t>Our d</w:t>
      </w:r>
      <w:r w:rsidR="00D06A69">
        <w:rPr>
          <w:rFonts w:asciiTheme="majorHAnsi" w:hAnsiTheme="majorHAnsi" w:cstheme="majorBidi"/>
          <w:sz w:val="23"/>
          <w:szCs w:val="23"/>
        </w:rPr>
        <w:t xml:space="preserve">ata collection </w:t>
      </w:r>
      <w:r w:rsidR="00C72846">
        <w:rPr>
          <w:rFonts w:asciiTheme="majorHAnsi" w:hAnsiTheme="majorHAnsi" w:cstheme="majorBidi"/>
          <w:sz w:val="23"/>
          <w:szCs w:val="23"/>
        </w:rPr>
        <w:t xml:space="preserve">process </w:t>
      </w:r>
      <w:r w:rsidR="00D06A69">
        <w:rPr>
          <w:rFonts w:asciiTheme="majorHAnsi" w:hAnsiTheme="majorHAnsi" w:cstheme="majorBidi"/>
          <w:sz w:val="23"/>
          <w:szCs w:val="23"/>
        </w:rPr>
        <w:t>and analysis</w:t>
      </w:r>
      <w:r w:rsidR="00C43CC9">
        <w:rPr>
          <w:rFonts w:asciiTheme="majorHAnsi" w:hAnsiTheme="majorHAnsi" w:cstheme="majorBidi"/>
          <w:sz w:val="23"/>
          <w:szCs w:val="23"/>
        </w:rPr>
        <w:t xml:space="preserve"> w</w:t>
      </w:r>
      <w:r w:rsidR="00661DE7">
        <w:rPr>
          <w:rFonts w:asciiTheme="majorHAnsi" w:hAnsiTheme="majorHAnsi" w:cstheme="majorBidi"/>
          <w:sz w:val="23"/>
          <w:szCs w:val="23"/>
        </w:rPr>
        <w:t xml:space="preserve">ere </w:t>
      </w:r>
      <w:r w:rsidR="00C43CC9">
        <w:rPr>
          <w:rFonts w:asciiTheme="majorHAnsi" w:hAnsiTheme="majorHAnsi" w:cstheme="majorBidi"/>
          <w:sz w:val="23"/>
          <w:szCs w:val="23"/>
        </w:rPr>
        <w:t>designed to provide insights across the</w:t>
      </w:r>
      <w:r w:rsidR="00D75F7C" w:rsidRPr="008E6AD7">
        <w:rPr>
          <w:rFonts w:asciiTheme="majorHAnsi" w:hAnsiTheme="majorHAnsi" w:cstheme="majorBidi"/>
          <w:sz w:val="23"/>
          <w:szCs w:val="23"/>
        </w:rPr>
        <w:t xml:space="preserve"> five </w:t>
      </w:r>
      <w:r w:rsidR="00D95573">
        <w:rPr>
          <w:rFonts w:asciiTheme="majorHAnsi" w:hAnsiTheme="majorHAnsi" w:cstheme="majorBidi"/>
          <w:sz w:val="23"/>
          <w:szCs w:val="23"/>
        </w:rPr>
        <w:t>Practice Domain</w:t>
      </w:r>
      <w:r w:rsidR="00D75F7C" w:rsidRPr="008E6AD7">
        <w:rPr>
          <w:rFonts w:asciiTheme="majorHAnsi" w:hAnsiTheme="majorHAnsi" w:cstheme="majorBidi"/>
          <w:sz w:val="23"/>
          <w:szCs w:val="23"/>
        </w:rPr>
        <w:t>s: Education, Housing, Employment, Liveability, and Health and Wellbeing.</w:t>
      </w:r>
    </w:p>
    <w:p w14:paraId="10FD7BBF" w14:textId="77777777" w:rsidR="00F00E3D" w:rsidRPr="006A113B" w:rsidRDefault="00F00E3D" w:rsidP="009B2FA7">
      <w:pPr>
        <w:spacing w:after="0" w:line="276" w:lineRule="auto"/>
        <w:rPr>
          <w:rFonts w:asciiTheme="majorHAnsi" w:hAnsiTheme="majorHAnsi" w:cstheme="majorHAnsi"/>
          <w:sz w:val="16"/>
          <w:szCs w:val="16"/>
        </w:rPr>
      </w:pPr>
    </w:p>
    <w:p w14:paraId="67810083" w14:textId="0E33C961" w:rsidR="00F00E3D" w:rsidRDefault="00F00E3D" w:rsidP="009B2FA7">
      <w:pPr>
        <w:spacing w:after="0" w:line="276" w:lineRule="auto"/>
        <w:rPr>
          <w:rFonts w:asciiTheme="majorHAnsi" w:hAnsiTheme="majorHAnsi" w:cstheme="majorHAnsi"/>
          <w:sz w:val="23"/>
          <w:szCs w:val="23"/>
          <w:highlight w:val="yellow"/>
        </w:rPr>
      </w:pPr>
      <w:r>
        <w:rPr>
          <w:rFonts w:asciiTheme="majorHAnsi" w:hAnsiTheme="majorHAnsi" w:cstheme="majorHAnsi"/>
          <w:sz w:val="23"/>
          <w:szCs w:val="23"/>
        </w:rPr>
        <w:t>This exploratory research unearthed a</w:t>
      </w:r>
      <w:r w:rsidRPr="0080607C">
        <w:rPr>
          <w:rFonts w:asciiTheme="majorHAnsi" w:hAnsiTheme="majorHAnsi" w:cstheme="majorHAnsi"/>
          <w:sz w:val="23"/>
          <w:szCs w:val="23"/>
        </w:rPr>
        <w:t xml:space="preserve"> </w:t>
      </w:r>
      <w:r>
        <w:rPr>
          <w:rFonts w:asciiTheme="majorHAnsi" w:hAnsiTheme="majorHAnsi" w:cstheme="majorHAnsi"/>
          <w:sz w:val="23"/>
          <w:szCs w:val="23"/>
        </w:rPr>
        <w:t>plethora of programs</w:t>
      </w:r>
      <w:r w:rsidR="00C72846">
        <w:rPr>
          <w:rFonts w:asciiTheme="majorHAnsi" w:hAnsiTheme="majorHAnsi" w:cstheme="majorHAnsi"/>
          <w:sz w:val="23"/>
          <w:szCs w:val="23"/>
        </w:rPr>
        <w:t xml:space="preserve">, </w:t>
      </w:r>
      <w:r w:rsidR="001B206B">
        <w:rPr>
          <w:rFonts w:asciiTheme="majorHAnsi" w:hAnsiTheme="majorHAnsi" w:cstheme="majorHAnsi"/>
          <w:sz w:val="23"/>
          <w:szCs w:val="23"/>
        </w:rPr>
        <w:t>models</w:t>
      </w:r>
      <w:r w:rsidR="00C72846">
        <w:rPr>
          <w:rFonts w:asciiTheme="majorHAnsi" w:hAnsiTheme="majorHAnsi" w:cstheme="majorHAnsi"/>
          <w:sz w:val="23"/>
          <w:szCs w:val="23"/>
        </w:rPr>
        <w:t>,</w:t>
      </w:r>
      <w:r w:rsidRPr="0080607C">
        <w:rPr>
          <w:rFonts w:asciiTheme="majorHAnsi" w:hAnsiTheme="majorHAnsi" w:cstheme="majorHAnsi"/>
          <w:sz w:val="23"/>
          <w:szCs w:val="23"/>
        </w:rPr>
        <w:t xml:space="preserve"> </w:t>
      </w:r>
      <w:r w:rsidR="00C72846">
        <w:rPr>
          <w:rFonts w:asciiTheme="majorHAnsi" w:hAnsiTheme="majorHAnsi" w:cstheme="majorHAnsi"/>
          <w:sz w:val="23"/>
          <w:szCs w:val="23"/>
        </w:rPr>
        <w:t xml:space="preserve">and approaches </w:t>
      </w:r>
      <w:r>
        <w:rPr>
          <w:rFonts w:asciiTheme="majorHAnsi" w:hAnsiTheme="majorHAnsi" w:cstheme="majorHAnsi"/>
          <w:sz w:val="23"/>
          <w:szCs w:val="23"/>
        </w:rPr>
        <w:t>designed to</w:t>
      </w:r>
      <w:r w:rsidRPr="0080607C">
        <w:rPr>
          <w:rFonts w:asciiTheme="majorHAnsi" w:hAnsiTheme="majorHAnsi" w:cstheme="majorHAnsi"/>
          <w:sz w:val="23"/>
          <w:szCs w:val="23"/>
        </w:rPr>
        <w:t xml:space="preserve"> tackl</w:t>
      </w:r>
      <w:r>
        <w:rPr>
          <w:rFonts w:asciiTheme="majorHAnsi" w:hAnsiTheme="majorHAnsi" w:cstheme="majorHAnsi"/>
          <w:sz w:val="23"/>
          <w:szCs w:val="23"/>
        </w:rPr>
        <w:t>e</w:t>
      </w:r>
      <w:r w:rsidRPr="0080607C">
        <w:rPr>
          <w:rFonts w:asciiTheme="majorHAnsi" w:hAnsiTheme="majorHAnsi" w:cstheme="majorHAnsi"/>
          <w:sz w:val="23"/>
          <w:szCs w:val="23"/>
        </w:rPr>
        <w:t xml:space="preserve"> social, economic</w:t>
      </w:r>
      <w:r>
        <w:rPr>
          <w:rFonts w:asciiTheme="majorHAnsi" w:hAnsiTheme="majorHAnsi" w:cstheme="majorHAnsi"/>
          <w:sz w:val="23"/>
          <w:szCs w:val="23"/>
        </w:rPr>
        <w:t>,</w:t>
      </w:r>
      <w:r w:rsidRPr="0080607C">
        <w:rPr>
          <w:rFonts w:asciiTheme="majorHAnsi" w:hAnsiTheme="majorHAnsi" w:cstheme="majorHAnsi"/>
          <w:sz w:val="23"/>
          <w:szCs w:val="23"/>
        </w:rPr>
        <w:t xml:space="preserve"> and spatial disadvantage</w:t>
      </w:r>
      <w:r w:rsidR="001B206B">
        <w:rPr>
          <w:rFonts w:asciiTheme="majorHAnsi" w:hAnsiTheme="majorHAnsi" w:cstheme="majorHAnsi"/>
          <w:sz w:val="23"/>
          <w:szCs w:val="23"/>
        </w:rPr>
        <w:t>,</w:t>
      </w:r>
      <w:r w:rsidR="00C72846">
        <w:rPr>
          <w:rFonts w:asciiTheme="majorHAnsi" w:hAnsiTheme="majorHAnsi" w:cstheme="majorHAnsi"/>
          <w:sz w:val="23"/>
          <w:szCs w:val="23"/>
        </w:rPr>
        <w:t xml:space="preserve"> </w:t>
      </w:r>
      <w:r w:rsidR="001B206B">
        <w:rPr>
          <w:rFonts w:asciiTheme="majorHAnsi" w:hAnsiTheme="majorHAnsi" w:cstheme="majorHAnsi"/>
          <w:sz w:val="23"/>
          <w:szCs w:val="23"/>
        </w:rPr>
        <w:t xml:space="preserve">and a range of policy initiatives intended to support </w:t>
      </w:r>
      <w:r w:rsidR="00C72846">
        <w:rPr>
          <w:rFonts w:asciiTheme="majorHAnsi" w:hAnsiTheme="majorHAnsi" w:cstheme="majorHAnsi"/>
          <w:sz w:val="23"/>
          <w:szCs w:val="23"/>
        </w:rPr>
        <w:t>socioeconomic development</w:t>
      </w:r>
      <w:r w:rsidRPr="0080607C">
        <w:rPr>
          <w:rFonts w:asciiTheme="majorHAnsi" w:hAnsiTheme="majorHAnsi" w:cstheme="majorHAnsi"/>
          <w:sz w:val="23"/>
          <w:szCs w:val="23"/>
        </w:rPr>
        <w:t xml:space="preserve">. </w:t>
      </w:r>
      <w:r>
        <w:rPr>
          <w:rFonts w:asciiTheme="majorHAnsi" w:hAnsiTheme="majorHAnsi" w:cstheme="majorHAnsi"/>
          <w:sz w:val="23"/>
          <w:szCs w:val="23"/>
        </w:rPr>
        <w:t xml:space="preserve">The scale of interventions </w:t>
      </w:r>
      <w:r w:rsidR="00C72846">
        <w:rPr>
          <w:rFonts w:asciiTheme="majorHAnsi" w:hAnsiTheme="majorHAnsi" w:cstheme="majorHAnsi"/>
          <w:sz w:val="23"/>
          <w:szCs w:val="23"/>
        </w:rPr>
        <w:t xml:space="preserve">and approaches </w:t>
      </w:r>
      <w:r>
        <w:rPr>
          <w:rFonts w:asciiTheme="majorHAnsi" w:hAnsiTheme="majorHAnsi" w:cstheme="majorHAnsi"/>
          <w:sz w:val="23"/>
          <w:szCs w:val="23"/>
        </w:rPr>
        <w:t>spanned</w:t>
      </w:r>
      <w:r w:rsidRPr="0080607C">
        <w:rPr>
          <w:rFonts w:asciiTheme="majorHAnsi" w:hAnsiTheme="majorHAnsi" w:cstheme="majorHAnsi"/>
          <w:sz w:val="23"/>
          <w:szCs w:val="23"/>
        </w:rPr>
        <w:t xml:space="preserve"> </w:t>
      </w:r>
      <w:r>
        <w:rPr>
          <w:rFonts w:asciiTheme="majorHAnsi" w:hAnsiTheme="majorHAnsi" w:cstheme="majorHAnsi"/>
          <w:sz w:val="23"/>
          <w:szCs w:val="23"/>
        </w:rPr>
        <w:t xml:space="preserve">grassroots </w:t>
      </w:r>
      <w:r w:rsidRPr="0080607C">
        <w:rPr>
          <w:rFonts w:asciiTheme="majorHAnsi" w:hAnsiTheme="majorHAnsi" w:cstheme="majorHAnsi"/>
          <w:sz w:val="23"/>
          <w:szCs w:val="23"/>
        </w:rPr>
        <w:t>community-</w:t>
      </w:r>
      <w:r>
        <w:rPr>
          <w:rFonts w:asciiTheme="majorHAnsi" w:hAnsiTheme="majorHAnsi" w:cstheme="majorHAnsi"/>
          <w:sz w:val="23"/>
          <w:szCs w:val="23"/>
        </w:rPr>
        <w:t>run</w:t>
      </w:r>
      <w:r w:rsidRPr="0080607C">
        <w:rPr>
          <w:rFonts w:asciiTheme="majorHAnsi" w:hAnsiTheme="majorHAnsi" w:cstheme="majorHAnsi"/>
          <w:sz w:val="23"/>
          <w:szCs w:val="23"/>
        </w:rPr>
        <w:t xml:space="preserve"> projects</w:t>
      </w:r>
      <w:r>
        <w:rPr>
          <w:rFonts w:asciiTheme="majorHAnsi" w:hAnsiTheme="majorHAnsi" w:cstheme="majorHAnsi"/>
          <w:sz w:val="23"/>
          <w:szCs w:val="23"/>
        </w:rPr>
        <w:t>, council programs designed for</w:t>
      </w:r>
      <w:r w:rsidRPr="0080607C">
        <w:rPr>
          <w:rFonts w:asciiTheme="majorHAnsi" w:hAnsiTheme="majorHAnsi" w:cstheme="majorHAnsi"/>
          <w:sz w:val="23"/>
          <w:szCs w:val="23"/>
        </w:rPr>
        <w:t xml:space="preserve"> specific municipalities</w:t>
      </w:r>
      <w:r>
        <w:rPr>
          <w:rFonts w:asciiTheme="majorHAnsi" w:hAnsiTheme="majorHAnsi" w:cstheme="majorHAnsi"/>
          <w:sz w:val="23"/>
          <w:szCs w:val="23"/>
        </w:rPr>
        <w:t xml:space="preserve">, models developed by researchers and </w:t>
      </w:r>
      <w:r w:rsidRPr="0080607C">
        <w:rPr>
          <w:rFonts w:asciiTheme="majorHAnsi" w:hAnsiTheme="majorHAnsi" w:cstheme="majorHAnsi"/>
          <w:sz w:val="23"/>
          <w:szCs w:val="23"/>
        </w:rPr>
        <w:t>not-for-profit</w:t>
      </w:r>
      <w:r>
        <w:rPr>
          <w:rFonts w:asciiTheme="majorHAnsi" w:hAnsiTheme="majorHAnsi" w:cstheme="majorHAnsi"/>
          <w:sz w:val="23"/>
          <w:szCs w:val="23"/>
        </w:rPr>
        <w:t xml:space="preserve"> agencies, </w:t>
      </w:r>
      <w:r w:rsidR="00C72846">
        <w:rPr>
          <w:rFonts w:asciiTheme="majorHAnsi" w:hAnsiTheme="majorHAnsi" w:cstheme="majorHAnsi"/>
          <w:sz w:val="23"/>
          <w:szCs w:val="23"/>
        </w:rPr>
        <w:t>state-wide polic</w:t>
      </w:r>
      <w:r w:rsidR="001B206B">
        <w:rPr>
          <w:rFonts w:asciiTheme="majorHAnsi" w:hAnsiTheme="majorHAnsi" w:cstheme="majorHAnsi"/>
          <w:sz w:val="23"/>
          <w:szCs w:val="23"/>
        </w:rPr>
        <w:t>ies</w:t>
      </w:r>
      <w:r w:rsidR="00C72846">
        <w:rPr>
          <w:rFonts w:asciiTheme="majorHAnsi" w:hAnsiTheme="majorHAnsi" w:cstheme="majorHAnsi"/>
          <w:sz w:val="23"/>
          <w:szCs w:val="23"/>
        </w:rPr>
        <w:t xml:space="preserve"> and federal funding initiatives, </w:t>
      </w:r>
      <w:r>
        <w:rPr>
          <w:rFonts w:asciiTheme="majorHAnsi" w:hAnsiTheme="majorHAnsi" w:cstheme="majorHAnsi"/>
          <w:sz w:val="23"/>
          <w:szCs w:val="23"/>
        </w:rPr>
        <w:t>and national</w:t>
      </w:r>
      <w:r w:rsidRPr="0080607C">
        <w:rPr>
          <w:rFonts w:asciiTheme="majorHAnsi" w:hAnsiTheme="majorHAnsi" w:cstheme="majorHAnsi"/>
          <w:sz w:val="23"/>
          <w:szCs w:val="23"/>
        </w:rPr>
        <w:t xml:space="preserve"> </w:t>
      </w:r>
      <w:r>
        <w:rPr>
          <w:rFonts w:asciiTheme="majorHAnsi" w:hAnsiTheme="majorHAnsi" w:cstheme="majorHAnsi"/>
          <w:sz w:val="23"/>
          <w:szCs w:val="23"/>
        </w:rPr>
        <w:t>or transnational</w:t>
      </w:r>
      <w:r w:rsidRPr="0080607C">
        <w:rPr>
          <w:rFonts w:asciiTheme="majorHAnsi" w:hAnsiTheme="majorHAnsi" w:cstheme="majorHAnsi"/>
          <w:sz w:val="23"/>
          <w:szCs w:val="23"/>
        </w:rPr>
        <w:t xml:space="preserve"> </w:t>
      </w:r>
      <w:r w:rsidR="00C72846">
        <w:rPr>
          <w:rFonts w:asciiTheme="majorHAnsi" w:hAnsiTheme="majorHAnsi" w:cstheme="majorHAnsi"/>
          <w:sz w:val="23"/>
          <w:szCs w:val="23"/>
        </w:rPr>
        <w:t>program</w:t>
      </w:r>
      <w:r w:rsidRPr="0080607C">
        <w:rPr>
          <w:rFonts w:asciiTheme="majorHAnsi" w:hAnsiTheme="majorHAnsi" w:cstheme="majorHAnsi"/>
          <w:sz w:val="23"/>
          <w:szCs w:val="23"/>
        </w:rPr>
        <w:t xml:space="preserve">s </w:t>
      </w:r>
      <w:r>
        <w:rPr>
          <w:rFonts w:asciiTheme="majorHAnsi" w:hAnsiTheme="majorHAnsi" w:cstheme="majorHAnsi"/>
          <w:sz w:val="23"/>
          <w:szCs w:val="23"/>
        </w:rPr>
        <w:t>tailored to specific local communities or cohorts.</w:t>
      </w:r>
    </w:p>
    <w:p w14:paraId="5AFD8F49" w14:textId="77777777" w:rsidR="00F00E3D" w:rsidRPr="006A113B" w:rsidRDefault="00F00E3D" w:rsidP="009B2FA7">
      <w:pPr>
        <w:spacing w:after="0" w:line="276" w:lineRule="auto"/>
        <w:rPr>
          <w:rFonts w:asciiTheme="majorHAnsi" w:hAnsiTheme="majorHAnsi" w:cstheme="majorHAnsi"/>
          <w:sz w:val="16"/>
          <w:szCs w:val="16"/>
        </w:rPr>
      </w:pPr>
    </w:p>
    <w:p w14:paraId="12FF9188" w14:textId="42AC572F" w:rsidR="00AF4392" w:rsidRDefault="00F00E3D" w:rsidP="009B2FA7">
      <w:pPr>
        <w:spacing w:after="0" w:line="276" w:lineRule="auto"/>
        <w:rPr>
          <w:rFonts w:asciiTheme="majorHAnsi" w:hAnsiTheme="majorHAnsi" w:cstheme="majorBidi"/>
          <w:sz w:val="23"/>
          <w:szCs w:val="23"/>
        </w:rPr>
      </w:pPr>
      <w:r w:rsidRPr="5ADA7538">
        <w:rPr>
          <w:rFonts w:asciiTheme="majorHAnsi" w:hAnsiTheme="majorHAnsi" w:cstheme="majorBidi"/>
          <w:sz w:val="23"/>
          <w:szCs w:val="23"/>
        </w:rPr>
        <w:t xml:space="preserve">From this extensive body of literature, we </w:t>
      </w:r>
      <w:r w:rsidR="001B206B">
        <w:rPr>
          <w:rFonts w:asciiTheme="majorHAnsi" w:hAnsiTheme="majorHAnsi" w:cstheme="majorBidi"/>
          <w:sz w:val="23"/>
          <w:szCs w:val="23"/>
        </w:rPr>
        <w:t xml:space="preserve">compiled an outline of key conceptual frameworks for addressing disadvantage, collated a summary of relevant policy contexts, undertook an extensive review of relevant academic studies on the factors that drive community outcomes, and profiled a series of </w:t>
      </w:r>
      <w:r w:rsidRPr="5ADA7538">
        <w:rPr>
          <w:rFonts w:asciiTheme="majorHAnsi" w:hAnsiTheme="majorHAnsi" w:cstheme="majorBidi"/>
          <w:sz w:val="23"/>
          <w:szCs w:val="23"/>
        </w:rPr>
        <w:t xml:space="preserve">interventions that </w:t>
      </w:r>
      <w:r w:rsidR="00AF4392">
        <w:rPr>
          <w:rFonts w:asciiTheme="majorHAnsi" w:hAnsiTheme="majorHAnsi" w:cstheme="majorBidi"/>
          <w:sz w:val="23"/>
          <w:szCs w:val="23"/>
        </w:rPr>
        <w:t>evidence</w:t>
      </w:r>
      <w:r w:rsidRPr="5ADA7538">
        <w:rPr>
          <w:rFonts w:asciiTheme="majorHAnsi" w:hAnsiTheme="majorHAnsi" w:cstheme="majorBidi"/>
          <w:sz w:val="23"/>
          <w:szCs w:val="23"/>
        </w:rPr>
        <w:t xml:space="preserve"> positive outcomes, valuable learnings, and</w:t>
      </w:r>
      <w:r>
        <w:rPr>
          <w:rFonts w:asciiTheme="majorHAnsi" w:hAnsiTheme="majorHAnsi" w:cstheme="majorBidi"/>
          <w:sz w:val="23"/>
          <w:szCs w:val="23"/>
        </w:rPr>
        <w:t>/or</w:t>
      </w:r>
      <w:r w:rsidRPr="5ADA7538">
        <w:rPr>
          <w:rFonts w:asciiTheme="majorHAnsi" w:hAnsiTheme="majorHAnsi" w:cstheme="majorBidi"/>
          <w:sz w:val="23"/>
          <w:szCs w:val="23"/>
        </w:rPr>
        <w:t xml:space="preserve"> innovative approaches</w:t>
      </w:r>
      <w:r>
        <w:rPr>
          <w:rFonts w:asciiTheme="majorHAnsi" w:hAnsiTheme="majorHAnsi" w:cstheme="majorBidi"/>
          <w:sz w:val="23"/>
          <w:szCs w:val="23"/>
        </w:rPr>
        <w:t>.</w:t>
      </w:r>
    </w:p>
    <w:p w14:paraId="689984DB" w14:textId="77777777" w:rsidR="00AF4392" w:rsidRDefault="00AF4392">
      <w:pPr>
        <w:spacing w:after="0" w:line="240" w:lineRule="auto"/>
        <w:rPr>
          <w:rFonts w:asciiTheme="majorHAnsi" w:hAnsiTheme="majorHAnsi" w:cstheme="majorBidi"/>
          <w:sz w:val="23"/>
          <w:szCs w:val="23"/>
        </w:rPr>
      </w:pPr>
      <w:r>
        <w:rPr>
          <w:rFonts w:asciiTheme="majorHAnsi" w:hAnsiTheme="majorHAnsi" w:cstheme="majorBidi"/>
          <w:sz w:val="23"/>
          <w:szCs w:val="23"/>
        </w:rPr>
        <w:br w:type="page"/>
      </w:r>
    </w:p>
    <w:p w14:paraId="19ED9360" w14:textId="77777777" w:rsidR="00F00E3D" w:rsidRPr="00F07FC7" w:rsidRDefault="00F00E3D" w:rsidP="009B2FA7">
      <w:pPr>
        <w:spacing w:after="0" w:line="276" w:lineRule="auto"/>
        <w:rPr>
          <w:rFonts w:cstheme="minorHAnsi"/>
          <w:b/>
          <w:bCs/>
          <w:color w:val="2E74B5" w:themeColor="accent5" w:themeShade="BF"/>
          <w:sz w:val="28"/>
          <w:szCs w:val="28"/>
        </w:rPr>
      </w:pPr>
      <w:r w:rsidRPr="00F07FC7">
        <w:rPr>
          <w:rFonts w:cstheme="minorHAnsi"/>
          <w:b/>
          <w:bCs/>
          <w:color w:val="2E74B5" w:themeColor="accent5" w:themeShade="BF"/>
          <w:sz w:val="28"/>
          <w:szCs w:val="28"/>
        </w:rPr>
        <w:lastRenderedPageBreak/>
        <w:t>Defining Liveability</w:t>
      </w:r>
    </w:p>
    <w:p w14:paraId="4A3B77A8" w14:textId="77777777" w:rsidR="00F00E3D" w:rsidRPr="00F662DC" w:rsidRDefault="00F00E3D" w:rsidP="009B2FA7">
      <w:pPr>
        <w:spacing w:after="0" w:line="276" w:lineRule="auto"/>
        <w:rPr>
          <w:rFonts w:cstheme="minorHAnsi"/>
          <w:b/>
          <w:bCs/>
          <w:color w:val="2F5496" w:themeColor="accent1" w:themeShade="BF"/>
          <w:sz w:val="12"/>
          <w:szCs w:val="12"/>
        </w:rPr>
      </w:pPr>
    </w:p>
    <w:p w14:paraId="666A4132" w14:textId="77777777" w:rsidR="00F00E3D" w:rsidRDefault="00F00E3D" w:rsidP="009B2FA7">
      <w:pPr>
        <w:spacing w:after="0" w:line="276" w:lineRule="auto"/>
        <w:rPr>
          <w:rFonts w:asciiTheme="majorHAnsi" w:hAnsiTheme="majorHAnsi" w:cstheme="majorHAnsi"/>
          <w:sz w:val="23"/>
          <w:szCs w:val="23"/>
        </w:rPr>
      </w:pPr>
      <w:r>
        <w:rPr>
          <w:rFonts w:asciiTheme="majorHAnsi" w:hAnsiTheme="majorHAnsi" w:cstheme="majorHAnsi"/>
          <w:sz w:val="23"/>
          <w:szCs w:val="23"/>
        </w:rPr>
        <w:t>“L</w:t>
      </w:r>
      <w:r w:rsidRPr="00E30735">
        <w:rPr>
          <w:rFonts w:asciiTheme="majorHAnsi" w:hAnsiTheme="majorHAnsi" w:cstheme="majorHAnsi"/>
          <w:sz w:val="23"/>
          <w:szCs w:val="23"/>
        </w:rPr>
        <w:t>iveability</w:t>
      </w:r>
      <w:r>
        <w:rPr>
          <w:rFonts w:asciiTheme="majorHAnsi" w:hAnsiTheme="majorHAnsi" w:cstheme="majorHAnsi"/>
          <w:sz w:val="23"/>
          <w:szCs w:val="23"/>
        </w:rPr>
        <w:t>”</w:t>
      </w:r>
      <w:r w:rsidRPr="00E30735">
        <w:rPr>
          <w:rFonts w:asciiTheme="majorHAnsi" w:hAnsiTheme="majorHAnsi" w:cstheme="majorHAnsi"/>
          <w:sz w:val="23"/>
          <w:szCs w:val="23"/>
        </w:rPr>
        <w:t xml:space="preserve"> is a loosely defined concept, used</w:t>
      </w:r>
      <w:r>
        <w:rPr>
          <w:rFonts w:asciiTheme="majorHAnsi" w:hAnsiTheme="majorHAnsi" w:cstheme="majorHAnsi"/>
          <w:sz w:val="23"/>
          <w:szCs w:val="23"/>
        </w:rPr>
        <w:t xml:space="preserve"> </w:t>
      </w:r>
      <w:r w:rsidRPr="00E30735">
        <w:rPr>
          <w:rFonts w:asciiTheme="majorHAnsi" w:hAnsiTheme="majorHAnsi" w:cstheme="majorHAnsi"/>
          <w:sz w:val="23"/>
          <w:szCs w:val="23"/>
        </w:rPr>
        <w:t>as an umbrella term for a range of different indicators</w:t>
      </w:r>
      <w:r>
        <w:rPr>
          <w:rFonts w:asciiTheme="majorHAnsi" w:hAnsiTheme="majorHAnsi" w:cstheme="majorHAnsi"/>
          <w:sz w:val="23"/>
          <w:szCs w:val="23"/>
        </w:rPr>
        <w:t xml:space="preserve"> </w:t>
      </w:r>
      <w:r>
        <w:rPr>
          <w:rFonts w:asciiTheme="majorHAnsi" w:hAnsiTheme="majorHAnsi" w:cstheme="majorHAnsi"/>
          <w:noProof/>
          <w:sz w:val="23"/>
          <w:szCs w:val="23"/>
        </w:rPr>
        <w:t>(Herrman &amp; Lewis, 2017)</w:t>
      </w:r>
      <w:r w:rsidRPr="00E30735">
        <w:rPr>
          <w:rFonts w:asciiTheme="majorHAnsi" w:hAnsiTheme="majorHAnsi" w:cstheme="majorHAnsi"/>
          <w:sz w:val="23"/>
          <w:szCs w:val="23"/>
        </w:rPr>
        <w:t>. While it often refers to features of the local built environment, liveability can also include social elements of a community or neighbourhood</w:t>
      </w:r>
      <w:r>
        <w:rPr>
          <w:rFonts w:asciiTheme="majorHAnsi" w:hAnsiTheme="majorHAnsi" w:cstheme="majorHAnsi"/>
          <w:sz w:val="23"/>
          <w:szCs w:val="23"/>
        </w:rPr>
        <w:t xml:space="preserve"> </w:t>
      </w:r>
      <w:r>
        <w:rPr>
          <w:rFonts w:asciiTheme="majorHAnsi" w:hAnsiTheme="majorHAnsi" w:cstheme="majorHAnsi"/>
          <w:noProof/>
          <w:sz w:val="23"/>
          <w:szCs w:val="23"/>
        </w:rPr>
        <w:t>(Herrman &amp; Lewis, 2017; Kaal, 2011)</w:t>
      </w:r>
      <w:r w:rsidRPr="00E30735">
        <w:rPr>
          <w:rFonts w:asciiTheme="majorHAnsi" w:hAnsiTheme="majorHAnsi" w:cstheme="majorHAnsi"/>
          <w:sz w:val="23"/>
          <w:szCs w:val="23"/>
        </w:rPr>
        <w:t xml:space="preserve">. The term </w:t>
      </w:r>
      <w:r>
        <w:rPr>
          <w:rFonts w:asciiTheme="majorHAnsi" w:hAnsiTheme="majorHAnsi" w:cstheme="majorHAnsi"/>
          <w:sz w:val="23"/>
          <w:szCs w:val="23"/>
        </w:rPr>
        <w:t>can</w:t>
      </w:r>
      <w:r w:rsidRPr="00E30735">
        <w:rPr>
          <w:rFonts w:asciiTheme="majorHAnsi" w:hAnsiTheme="majorHAnsi" w:cstheme="majorHAnsi"/>
          <w:sz w:val="23"/>
          <w:szCs w:val="23"/>
        </w:rPr>
        <w:t xml:space="preserve"> encompass a wide range of urban factors, including affordable housing, transportation, public space, green infrastructure, local services and amenities, education and employment opportunities, neighbourhood walkability, accessibility, sustainability, health and wellbeing, </w:t>
      </w:r>
      <w:r>
        <w:rPr>
          <w:rFonts w:asciiTheme="majorHAnsi" w:hAnsiTheme="majorHAnsi" w:cstheme="majorHAnsi"/>
          <w:sz w:val="23"/>
          <w:szCs w:val="23"/>
        </w:rPr>
        <w:t xml:space="preserve">safety, </w:t>
      </w:r>
      <w:r w:rsidRPr="00E30735">
        <w:rPr>
          <w:rFonts w:asciiTheme="majorHAnsi" w:hAnsiTheme="majorHAnsi" w:cstheme="majorHAnsi"/>
          <w:sz w:val="23"/>
          <w:szCs w:val="23"/>
        </w:rPr>
        <w:t xml:space="preserve">social equity, </w:t>
      </w:r>
      <w:r>
        <w:rPr>
          <w:rFonts w:asciiTheme="majorHAnsi" w:hAnsiTheme="majorHAnsi" w:cstheme="majorHAnsi"/>
          <w:sz w:val="23"/>
          <w:szCs w:val="23"/>
        </w:rPr>
        <w:t xml:space="preserve">and </w:t>
      </w:r>
      <w:r w:rsidRPr="00E30735">
        <w:rPr>
          <w:rFonts w:asciiTheme="majorHAnsi" w:hAnsiTheme="majorHAnsi" w:cstheme="majorHAnsi"/>
          <w:sz w:val="23"/>
          <w:szCs w:val="23"/>
        </w:rPr>
        <w:t>quality of life</w:t>
      </w:r>
      <w:r>
        <w:rPr>
          <w:rFonts w:asciiTheme="majorHAnsi" w:hAnsiTheme="majorHAnsi" w:cstheme="majorHAnsi"/>
          <w:sz w:val="23"/>
          <w:szCs w:val="23"/>
        </w:rPr>
        <w:t xml:space="preserve"> </w:t>
      </w:r>
      <w:r>
        <w:rPr>
          <w:rFonts w:asciiTheme="majorHAnsi" w:hAnsiTheme="majorHAnsi" w:cstheme="majorHAnsi"/>
          <w:noProof/>
          <w:sz w:val="23"/>
          <w:szCs w:val="23"/>
        </w:rPr>
        <w:t>(Herrman &amp; Lewis, 2017; Perkins, 2008)</w:t>
      </w:r>
      <w:r>
        <w:rPr>
          <w:rFonts w:asciiTheme="majorHAnsi" w:hAnsiTheme="majorHAnsi" w:cstheme="majorHAnsi"/>
          <w:sz w:val="23"/>
          <w:szCs w:val="23"/>
        </w:rPr>
        <w:t>.</w:t>
      </w:r>
    </w:p>
    <w:p w14:paraId="1553FADA" w14:textId="77777777" w:rsidR="00F00E3D" w:rsidRPr="00A82A54" w:rsidRDefault="00F00E3D" w:rsidP="009B2FA7">
      <w:pPr>
        <w:spacing w:after="0" w:line="276" w:lineRule="auto"/>
        <w:rPr>
          <w:rFonts w:asciiTheme="majorHAnsi" w:hAnsiTheme="majorHAnsi" w:cstheme="majorHAnsi"/>
          <w:sz w:val="16"/>
          <w:szCs w:val="16"/>
        </w:rPr>
      </w:pPr>
    </w:p>
    <w:p w14:paraId="3A97EBB3" w14:textId="39F9EA57" w:rsidR="00F662DC" w:rsidRDefault="00F00E3D" w:rsidP="00F662DC">
      <w:pPr>
        <w:spacing w:after="0" w:line="276" w:lineRule="auto"/>
        <w:rPr>
          <w:rFonts w:asciiTheme="majorHAnsi" w:hAnsiTheme="majorHAnsi" w:cstheme="majorHAnsi"/>
          <w:sz w:val="23"/>
          <w:szCs w:val="23"/>
        </w:rPr>
      </w:pPr>
      <w:r w:rsidRPr="00E30735">
        <w:rPr>
          <w:rFonts w:asciiTheme="majorHAnsi" w:hAnsiTheme="majorHAnsi" w:cstheme="majorHAnsi"/>
          <w:sz w:val="23"/>
          <w:szCs w:val="23"/>
        </w:rPr>
        <w:t xml:space="preserve">In the Australian context, Badland et al </w:t>
      </w:r>
      <w:r>
        <w:rPr>
          <w:rFonts w:asciiTheme="majorHAnsi" w:hAnsiTheme="majorHAnsi" w:cstheme="majorHAnsi"/>
          <w:noProof/>
          <w:sz w:val="23"/>
          <w:szCs w:val="23"/>
        </w:rPr>
        <w:t>(Badland et al., 2014)</w:t>
      </w:r>
      <w:r w:rsidRPr="00E30735">
        <w:rPr>
          <w:rFonts w:asciiTheme="majorHAnsi" w:hAnsiTheme="majorHAnsi" w:cstheme="majorHAnsi"/>
          <w:sz w:val="23"/>
          <w:szCs w:val="23"/>
        </w:rPr>
        <w:t xml:space="preserve"> identify seven “domains” of urban liveability: employment, food environment, housing, public open space, social infrastructure, transport</w:t>
      </w:r>
      <w:r w:rsidR="00F662DC">
        <w:rPr>
          <w:rFonts w:asciiTheme="majorHAnsi" w:hAnsiTheme="majorHAnsi" w:cstheme="majorHAnsi"/>
          <w:sz w:val="23"/>
          <w:szCs w:val="23"/>
        </w:rPr>
        <w:t>,</w:t>
      </w:r>
      <w:r w:rsidRPr="00E30735">
        <w:rPr>
          <w:rFonts w:asciiTheme="majorHAnsi" w:hAnsiTheme="majorHAnsi" w:cstheme="majorHAnsi"/>
          <w:sz w:val="23"/>
          <w:szCs w:val="23"/>
        </w:rPr>
        <w:t xml:space="preserve"> and walkability. Building on this work,</w:t>
      </w:r>
      <w:r>
        <w:rPr>
          <w:rFonts w:asciiTheme="majorHAnsi" w:hAnsiTheme="majorHAnsi" w:cstheme="majorHAnsi"/>
          <w:sz w:val="23"/>
          <w:szCs w:val="23"/>
        </w:rPr>
        <w:t xml:space="preserve"> Lowe et al </w:t>
      </w:r>
      <w:r w:rsidRPr="00E30735">
        <w:rPr>
          <w:rFonts w:asciiTheme="majorHAnsi" w:hAnsiTheme="majorHAnsi" w:cstheme="majorHAnsi"/>
          <w:sz w:val="23"/>
          <w:szCs w:val="23"/>
        </w:rPr>
        <w:t>define liveability as</w:t>
      </w:r>
      <w:r w:rsidR="00F662DC">
        <w:rPr>
          <w:rFonts w:asciiTheme="majorHAnsi" w:hAnsiTheme="majorHAnsi" w:cstheme="majorHAnsi"/>
          <w:sz w:val="23"/>
          <w:szCs w:val="23"/>
        </w:rPr>
        <w:t xml:space="preserve"> </w:t>
      </w:r>
      <w:r w:rsidRPr="00E30735">
        <w:rPr>
          <w:rFonts w:asciiTheme="majorHAnsi" w:hAnsiTheme="majorHAnsi" w:cstheme="majorHAnsi"/>
          <w:sz w:val="23"/>
          <w:szCs w:val="23"/>
        </w:rPr>
        <w:t>communities that are</w:t>
      </w:r>
      <w:r w:rsidR="00F662DC">
        <w:rPr>
          <w:rFonts w:asciiTheme="majorHAnsi" w:hAnsiTheme="majorHAnsi" w:cstheme="majorHAnsi"/>
          <w:sz w:val="23"/>
          <w:szCs w:val="23"/>
        </w:rPr>
        <w:t>:</w:t>
      </w:r>
    </w:p>
    <w:p w14:paraId="439FCCCB" w14:textId="77777777" w:rsidR="006B0E23" w:rsidRPr="006B0E23" w:rsidRDefault="006B0E23" w:rsidP="00F662DC">
      <w:pPr>
        <w:spacing w:after="0" w:line="276" w:lineRule="auto"/>
        <w:rPr>
          <w:rFonts w:asciiTheme="majorHAnsi" w:hAnsiTheme="majorHAnsi" w:cstheme="majorHAnsi"/>
          <w:sz w:val="12"/>
          <w:szCs w:val="12"/>
        </w:rPr>
      </w:pPr>
    </w:p>
    <w:p w14:paraId="7AD4EB21" w14:textId="0787AEE2" w:rsidR="00F00E3D" w:rsidRPr="00E30735" w:rsidRDefault="00F00E3D" w:rsidP="009B2FA7">
      <w:pPr>
        <w:spacing w:after="0" w:line="276" w:lineRule="auto"/>
        <w:ind w:left="720"/>
        <w:rPr>
          <w:rFonts w:asciiTheme="majorHAnsi" w:hAnsiTheme="majorHAnsi" w:cstheme="majorHAnsi"/>
          <w:sz w:val="23"/>
          <w:szCs w:val="23"/>
        </w:rPr>
      </w:pPr>
      <w:r w:rsidRPr="00E30735">
        <w:rPr>
          <w:rFonts w:asciiTheme="majorHAnsi" w:hAnsiTheme="majorHAnsi" w:cstheme="majorHAnsi"/>
          <w:sz w:val="23"/>
          <w:szCs w:val="23"/>
        </w:rPr>
        <w:t>safe, attractive, socially cohesive and inclusive, and environmentally sustainable; with affordable and diverse housing linked by convenient public transport, walking and cycling infrastructure to employment, education, public open space, local shops, health and community services, and leisure and cultural opportunities</w:t>
      </w:r>
      <w:r w:rsidR="00F662DC">
        <w:rPr>
          <w:rFonts w:asciiTheme="majorHAnsi" w:hAnsiTheme="majorHAnsi" w:cstheme="majorHAnsi"/>
          <w:sz w:val="23"/>
          <w:szCs w:val="23"/>
        </w:rPr>
        <w:t xml:space="preserve"> (Lowe et al, </w:t>
      </w:r>
      <w:r w:rsidR="00F662DC">
        <w:rPr>
          <w:rFonts w:asciiTheme="majorHAnsi" w:hAnsiTheme="majorHAnsi" w:cstheme="majorHAnsi"/>
          <w:noProof/>
          <w:sz w:val="23"/>
          <w:szCs w:val="23"/>
        </w:rPr>
        <w:t>2013, p. 11)</w:t>
      </w:r>
      <w:r w:rsidRPr="00E30735">
        <w:rPr>
          <w:rFonts w:asciiTheme="majorHAnsi" w:hAnsiTheme="majorHAnsi" w:cstheme="majorHAnsi"/>
          <w:sz w:val="23"/>
          <w:szCs w:val="23"/>
        </w:rPr>
        <w:t>. </w:t>
      </w:r>
    </w:p>
    <w:p w14:paraId="554D3C6F" w14:textId="77777777" w:rsidR="00F00E3D" w:rsidRPr="00F662DC" w:rsidRDefault="00F00E3D" w:rsidP="009B2FA7">
      <w:pPr>
        <w:spacing w:after="0" w:line="276" w:lineRule="auto"/>
        <w:rPr>
          <w:rFonts w:asciiTheme="majorHAnsi" w:hAnsiTheme="majorHAnsi" w:cstheme="majorHAnsi"/>
          <w:sz w:val="12"/>
          <w:szCs w:val="12"/>
        </w:rPr>
      </w:pPr>
    </w:p>
    <w:p w14:paraId="0C7F8291" w14:textId="240CDF1C" w:rsidR="00F65BB0" w:rsidRPr="00BD3D77" w:rsidRDefault="00F00E3D" w:rsidP="009B2FA7">
      <w:pPr>
        <w:spacing w:after="0" w:line="276" w:lineRule="auto"/>
        <w:rPr>
          <w:rFonts w:asciiTheme="majorHAnsi" w:hAnsiTheme="majorHAnsi" w:cstheme="majorBidi"/>
          <w:sz w:val="23"/>
          <w:szCs w:val="23"/>
        </w:rPr>
        <w:sectPr w:rsidR="00F65BB0" w:rsidRPr="00BD3D77" w:rsidSect="009452E8">
          <w:footerReference w:type="default" r:id="rId19"/>
          <w:pgSz w:w="11900" w:h="16840"/>
          <w:pgMar w:top="1134" w:right="1134" w:bottom="1134" w:left="1134" w:header="709" w:footer="709" w:gutter="0"/>
          <w:pgNumType w:start="1"/>
          <w:cols w:space="708"/>
          <w:docGrid w:linePitch="360"/>
        </w:sectPr>
      </w:pPr>
      <w:r w:rsidRPr="6C55B8EE">
        <w:rPr>
          <w:rFonts w:asciiTheme="majorHAnsi" w:hAnsiTheme="majorHAnsi" w:cstheme="majorBidi"/>
          <w:sz w:val="23"/>
          <w:szCs w:val="23"/>
        </w:rPr>
        <w:t xml:space="preserve">For the purposes of this project, the term “liveability” is used to encompass important local features and characteristics not already captured by the other four </w:t>
      </w:r>
      <w:r w:rsidR="00D95573">
        <w:rPr>
          <w:rFonts w:asciiTheme="majorHAnsi" w:hAnsiTheme="majorHAnsi" w:cstheme="majorBidi"/>
          <w:sz w:val="23"/>
          <w:szCs w:val="23"/>
        </w:rPr>
        <w:t>Practice Domain</w:t>
      </w:r>
      <w:r w:rsidRPr="6C55B8EE">
        <w:rPr>
          <w:rFonts w:asciiTheme="majorHAnsi" w:hAnsiTheme="majorHAnsi" w:cstheme="majorBidi"/>
          <w:sz w:val="23"/>
          <w:szCs w:val="23"/>
        </w:rPr>
        <w:t xml:space="preserve">s (Education, Housing, Employment, and Health and Wellbeing). The “Liveability” </w:t>
      </w:r>
      <w:r w:rsidR="00D95573">
        <w:rPr>
          <w:rFonts w:asciiTheme="majorHAnsi" w:hAnsiTheme="majorHAnsi" w:cstheme="majorBidi"/>
          <w:sz w:val="23"/>
          <w:szCs w:val="23"/>
        </w:rPr>
        <w:t>Practice Domain</w:t>
      </w:r>
      <w:r w:rsidRPr="6C55B8EE">
        <w:rPr>
          <w:rFonts w:asciiTheme="majorHAnsi" w:hAnsiTheme="majorHAnsi" w:cstheme="majorBidi"/>
          <w:sz w:val="23"/>
          <w:szCs w:val="23"/>
        </w:rPr>
        <w:t xml:space="preserve"> thus includes the following: public open space, transport, walkability, accessibility, sustainability, safety, digital inclusion, social infrastructure, arts and cultural organisations and venues, other local amenities (shops, eateries, community facilities, public events, leisure options, significant places), and intangible community assets (social networks</w:t>
      </w:r>
      <w:r>
        <w:rPr>
          <w:rFonts w:asciiTheme="majorHAnsi" w:hAnsiTheme="majorHAnsi" w:cstheme="majorBidi"/>
          <w:sz w:val="23"/>
          <w:szCs w:val="23"/>
        </w:rPr>
        <w:t xml:space="preserve"> and social capital</w:t>
      </w:r>
      <w:r w:rsidRPr="6C55B8EE">
        <w:rPr>
          <w:rFonts w:asciiTheme="majorHAnsi" w:hAnsiTheme="majorHAnsi" w:cstheme="majorBidi"/>
          <w:sz w:val="23"/>
          <w:szCs w:val="23"/>
        </w:rPr>
        <w:t>, community knowledge, sense of belonging, place attachment)</w:t>
      </w:r>
      <w:r w:rsidR="00CA52E3">
        <w:rPr>
          <w:rFonts w:asciiTheme="majorHAnsi" w:hAnsiTheme="majorHAnsi" w:cstheme="majorBidi"/>
          <w:sz w:val="23"/>
          <w:szCs w:val="23"/>
        </w:rPr>
        <w:t>.</w:t>
      </w:r>
    </w:p>
    <w:p w14:paraId="12C0BE06" w14:textId="77777777" w:rsidR="00F00E3D" w:rsidRPr="00F07FC7" w:rsidRDefault="00F00E3D" w:rsidP="009B2FA7">
      <w:pPr>
        <w:spacing w:after="0" w:line="276" w:lineRule="auto"/>
        <w:rPr>
          <w:rFonts w:asciiTheme="majorHAnsi" w:hAnsiTheme="majorHAnsi" w:cstheme="majorBidi"/>
          <w:color w:val="2E74B5" w:themeColor="accent5" w:themeShade="BF"/>
          <w:sz w:val="23"/>
          <w:szCs w:val="23"/>
        </w:rPr>
      </w:pPr>
      <w:r w:rsidRPr="00F07FC7">
        <w:rPr>
          <w:b/>
          <w:bCs/>
          <w:color w:val="2E74B5" w:themeColor="accent5" w:themeShade="BF"/>
          <w:sz w:val="36"/>
          <w:szCs w:val="36"/>
        </w:rPr>
        <w:lastRenderedPageBreak/>
        <w:t>SECTION 1: Conceptual Frameworks</w:t>
      </w:r>
      <w:r w:rsidRPr="00F07FC7">
        <w:rPr>
          <w:b/>
          <w:bCs/>
          <w:color w:val="2E74B5" w:themeColor="accent5" w:themeShade="BF"/>
          <w:sz w:val="32"/>
          <w:szCs w:val="32"/>
        </w:rPr>
        <w:t xml:space="preserve"> </w:t>
      </w:r>
    </w:p>
    <w:p w14:paraId="0746B019" w14:textId="77777777" w:rsidR="00F00E3D" w:rsidRPr="00D12962" w:rsidRDefault="00F00E3D" w:rsidP="009B2FA7">
      <w:pPr>
        <w:spacing w:after="0" w:line="276" w:lineRule="auto"/>
        <w:rPr>
          <w:b/>
          <w:bCs/>
          <w:color w:val="2F5496" w:themeColor="accent1" w:themeShade="BF"/>
          <w:sz w:val="16"/>
          <w:szCs w:val="16"/>
        </w:rPr>
      </w:pPr>
    </w:p>
    <w:p w14:paraId="3DDE5958" w14:textId="77777777" w:rsidR="00F00E3D" w:rsidRPr="00DA4326" w:rsidRDefault="00F00E3D" w:rsidP="009B2FA7">
      <w:pPr>
        <w:spacing w:after="0" w:line="276" w:lineRule="auto"/>
        <w:rPr>
          <w:rFonts w:asciiTheme="majorHAnsi" w:hAnsiTheme="majorHAnsi" w:cstheme="majorHAnsi"/>
          <w:sz w:val="23"/>
          <w:szCs w:val="23"/>
        </w:rPr>
      </w:pPr>
      <w:r>
        <w:rPr>
          <w:rFonts w:asciiTheme="majorHAnsi" w:hAnsiTheme="majorHAnsi" w:cstheme="majorHAnsi"/>
          <w:sz w:val="23"/>
          <w:szCs w:val="23"/>
        </w:rPr>
        <w:t>In this section we outline</w:t>
      </w:r>
      <w:r w:rsidRPr="00DA4326">
        <w:rPr>
          <w:rFonts w:asciiTheme="majorHAnsi" w:hAnsiTheme="majorHAnsi" w:cstheme="majorHAnsi"/>
          <w:sz w:val="23"/>
          <w:szCs w:val="23"/>
        </w:rPr>
        <w:t xml:space="preserve"> some of the key conceptual frameworks </w:t>
      </w:r>
      <w:r>
        <w:rPr>
          <w:rFonts w:asciiTheme="majorHAnsi" w:hAnsiTheme="majorHAnsi" w:cstheme="majorHAnsi"/>
          <w:sz w:val="23"/>
          <w:szCs w:val="23"/>
        </w:rPr>
        <w:t>that underpin</w:t>
      </w:r>
      <w:r w:rsidRPr="00DA4326">
        <w:rPr>
          <w:rFonts w:asciiTheme="majorHAnsi" w:hAnsiTheme="majorHAnsi" w:cstheme="majorHAnsi"/>
          <w:sz w:val="23"/>
          <w:szCs w:val="23"/>
        </w:rPr>
        <w:t xml:space="preserve"> </w:t>
      </w:r>
      <w:r>
        <w:rPr>
          <w:rFonts w:asciiTheme="majorHAnsi" w:hAnsiTheme="majorHAnsi" w:cstheme="majorHAnsi"/>
          <w:sz w:val="23"/>
          <w:szCs w:val="23"/>
        </w:rPr>
        <w:t>effort</w:t>
      </w:r>
      <w:r w:rsidRPr="00DA4326">
        <w:rPr>
          <w:rFonts w:asciiTheme="majorHAnsi" w:hAnsiTheme="majorHAnsi" w:cstheme="majorHAnsi"/>
          <w:sz w:val="23"/>
          <w:szCs w:val="23"/>
        </w:rPr>
        <w:t>s to</w:t>
      </w:r>
      <w:r>
        <w:rPr>
          <w:rFonts w:asciiTheme="majorHAnsi" w:hAnsiTheme="majorHAnsi" w:cstheme="majorHAnsi"/>
          <w:sz w:val="23"/>
          <w:szCs w:val="23"/>
        </w:rPr>
        <w:t xml:space="preserve"> understand and</w:t>
      </w:r>
      <w:r w:rsidRPr="00DA4326">
        <w:rPr>
          <w:rFonts w:asciiTheme="majorHAnsi" w:hAnsiTheme="majorHAnsi" w:cstheme="majorHAnsi"/>
          <w:sz w:val="23"/>
          <w:szCs w:val="23"/>
        </w:rPr>
        <w:t xml:space="preserve"> address socioeconomic disadvantage.</w:t>
      </w:r>
    </w:p>
    <w:p w14:paraId="16164988" w14:textId="77777777" w:rsidR="00F00E3D" w:rsidRPr="00D12962" w:rsidRDefault="00F00E3D" w:rsidP="009B2FA7">
      <w:pPr>
        <w:spacing w:after="0" w:line="276" w:lineRule="auto"/>
        <w:rPr>
          <w:rFonts w:asciiTheme="majorHAnsi" w:hAnsiTheme="majorHAnsi" w:cstheme="majorHAnsi"/>
          <w:color w:val="595959" w:themeColor="text1" w:themeTint="A6"/>
          <w:sz w:val="16"/>
          <w:szCs w:val="16"/>
        </w:rPr>
      </w:pPr>
    </w:p>
    <w:p w14:paraId="700FA199" w14:textId="77777777" w:rsidR="00F00E3D" w:rsidRPr="00F07FC7" w:rsidRDefault="00F00E3D" w:rsidP="009B2FA7">
      <w:pPr>
        <w:spacing w:after="0" w:line="276" w:lineRule="auto"/>
        <w:rPr>
          <w:rFonts w:cstheme="minorHAnsi"/>
          <w:b/>
          <w:bCs/>
          <w:color w:val="2E74B5" w:themeColor="accent5" w:themeShade="BF"/>
          <w:sz w:val="28"/>
          <w:szCs w:val="28"/>
          <w:lang w:val="en-GB"/>
        </w:rPr>
      </w:pPr>
      <w:r w:rsidRPr="00F07FC7">
        <w:rPr>
          <w:rFonts w:cstheme="minorHAnsi"/>
          <w:b/>
          <w:bCs/>
          <w:color w:val="2E74B5" w:themeColor="accent5" w:themeShade="BF"/>
          <w:sz w:val="28"/>
          <w:szCs w:val="28"/>
          <w:lang w:val="en-GB"/>
        </w:rPr>
        <w:t>1.1 Conceptualising Social and Spatial Disadvantage</w:t>
      </w:r>
    </w:p>
    <w:p w14:paraId="22B75774" w14:textId="77777777" w:rsidR="00F00E3D" w:rsidRPr="00D12962" w:rsidRDefault="00F00E3D" w:rsidP="009B2FA7">
      <w:pPr>
        <w:spacing w:after="0" w:line="276" w:lineRule="auto"/>
        <w:rPr>
          <w:rFonts w:cstheme="minorHAnsi"/>
          <w:b/>
          <w:bCs/>
          <w:color w:val="2F5496" w:themeColor="accent1" w:themeShade="BF"/>
          <w:sz w:val="16"/>
          <w:szCs w:val="16"/>
          <w:lang w:val="en-GB"/>
        </w:rPr>
      </w:pPr>
    </w:p>
    <w:p w14:paraId="6EA2D421" w14:textId="77777777" w:rsidR="00F00E3D" w:rsidRDefault="00F00E3D" w:rsidP="009B2FA7">
      <w:pPr>
        <w:spacing w:line="276" w:lineRule="auto"/>
        <w:rPr>
          <w:rFonts w:asciiTheme="majorHAnsi" w:hAnsiTheme="majorHAnsi" w:cstheme="majorHAnsi"/>
          <w:sz w:val="23"/>
          <w:szCs w:val="23"/>
        </w:rPr>
      </w:pPr>
      <w:r w:rsidRPr="00DA4326">
        <w:rPr>
          <w:rFonts w:asciiTheme="majorHAnsi" w:hAnsiTheme="majorHAnsi" w:cstheme="majorHAnsi"/>
          <w:sz w:val="23"/>
          <w:szCs w:val="23"/>
        </w:rPr>
        <w:t>The challenge posed by social inequality and poverty in affluent Western and Australian cities never disappears, despite the well-meaning efforts of many government initiatives. Explanations for why the poor will seemingly always be with us range from the material and structural relations rooted in capitalism</w:t>
      </w:r>
      <w:r>
        <w:rPr>
          <w:rFonts w:asciiTheme="majorHAnsi" w:hAnsiTheme="majorHAnsi" w:cstheme="majorHAnsi"/>
          <w:sz w:val="23"/>
          <w:szCs w:val="23"/>
        </w:rPr>
        <w:t xml:space="preserve"> </w:t>
      </w:r>
      <w:r>
        <w:rPr>
          <w:rFonts w:asciiTheme="majorHAnsi" w:hAnsiTheme="majorHAnsi" w:cstheme="majorHAnsi"/>
          <w:noProof/>
          <w:sz w:val="23"/>
          <w:szCs w:val="23"/>
        </w:rPr>
        <w:t>(Harvey, 1982; Smith, 2005; Stilwell, 2006)</w:t>
      </w:r>
      <w:r>
        <w:rPr>
          <w:rFonts w:asciiTheme="majorHAnsi" w:hAnsiTheme="majorHAnsi" w:cstheme="majorHAnsi"/>
          <w:sz w:val="23"/>
          <w:szCs w:val="23"/>
        </w:rPr>
        <w:t>,</w:t>
      </w:r>
      <w:r w:rsidRPr="00DA4326">
        <w:rPr>
          <w:rFonts w:asciiTheme="majorHAnsi" w:hAnsiTheme="majorHAnsi" w:cstheme="majorHAnsi"/>
          <w:sz w:val="23"/>
          <w:szCs w:val="23"/>
        </w:rPr>
        <w:t xml:space="preserve"> to seeing the problem in terms of individual victims </w:t>
      </w:r>
      <w:r>
        <w:rPr>
          <w:rFonts w:asciiTheme="majorHAnsi" w:hAnsiTheme="majorHAnsi" w:cstheme="majorHAnsi"/>
          <w:noProof/>
          <w:sz w:val="23"/>
          <w:szCs w:val="23"/>
        </w:rPr>
        <w:t>(Peel, 2012; Swain &amp; Howe, 1995)</w:t>
      </w:r>
      <w:r w:rsidRPr="00DA4326">
        <w:rPr>
          <w:rFonts w:asciiTheme="majorHAnsi" w:hAnsiTheme="majorHAnsi" w:cstheme="majorHAnsi"/>
          <w:sz w:val="23"/>
          <w:szCs w:val="23"/>
        </w:rPr>
        <w:t>.</w:t>
      </w:r>
    </w:p>
    <w:p w14:paraId="77B0F1C4" w14:textId="2B765F0E" w:rsidR="00F00E3D" w:rsidRDefault="00F00E3D" w:rsidP="009B2FA7">
      <w:pPr>
        <w:spacing w:line="276" w:lineRule="auto"/>
        <w:rPr>
          <w:rFonts w:asciiTheme="majorHAnsi" w:hAnsiTheme="majorHAnsi" w:cstheme="majorHAnsi"/>
          <w:sz w:val="23"/>
          <w:szCs w:val="23"/>
        </w:rPr>
      </w:pPr>
      <w:r w:rsidRPr="00DA4326">
        <w:rPr>
          <w:rFonts w:asciiTheme="majorHAnsi" w:hAnsiTheme="majorHAnsi" w:cstheme="majorHAnsi"/>
          <w:sz w:val="23"/>
          <w:szCs w:val="23"/>
        </w:rPr>
        <w:t xml:space="preserve">More recent </w:t>
      </w:r>
      <w:r>
        <w:rPr>
          <w:rFonts w:asciiTheme="majorHAnsi" w:hAnsiTheme="majorHAnsi" w:cstheme="majorHAnsi"/>
          <w:sz w:val="23"/>
          <w:szCs w:val="23"/>
        </w:rPr>
        <w:t>perspectives</w:t>
      </w:r>
      <w:r w:rsidRPr="00DA4326">
        <w:rPr>
          <w:rFonts w:asciiTheme="majorHAnsi" w:hAnsiTheme="majorHAnsi" w:cstheme="majorHAnsi"/>
          <w:sz w:val="23"/>
          <w:szCs w:val="23"/>
        </w:rPr>
        <w:t xml:space="preserve"> broaden the </w:t>
      </w:r>
      <w:r>
        <w:rPr>
          <w:rFonts w:asciiTheme="majorHAnsi" w:hAnsiTheme="majorHAnsi" w:cstheme="majorHAnsi"/>
          <w:sz w:val="23"/>
          <w:szCs w:val="23"/>
        </w:rPr>
        <w:t>“</w:t>
      </w:r>
      <w:r w:rsidRPr="00DA4326">
        <w:rPr>
          <w:rFonts w:asciiTheme="majorHAnsi" w:hAnsiTheme="majorHAnsi" w:cstheme="majorHAnsi"/>
          <w:sz w:val="23"/>
          <w:szCs w:val="23"/>
        </w:rPr>
        <w:t>political economy</w:t>
      </w:r>
      <w:r>
        <w:rPr>
          <w:rFonts w:asciiTheme="majorHAnsi" w:hAnsiTheme="majorHAnsi" w:cstheme="majorHAnsi"/>
          <w:sz w:val="23"/>
          <w:szCs w:val="23"/>
        </w:rPr>
        <w:t>”</w:t>
      </w:r>
      <w:r w:rsidRPr="00DA4326">
        <w:rPr>
          <w:rFonts w:asciiTheme="majorHAnsi" w:hAnsiTheme="majorHAnsi" w:cstheme="majorHAnsi"/>
          <w:sz w:val="23"/>
          <w:szCs w:val="23"/>
        </w:rPr>
        <w:t xml:space="preserve"> approach to connect economic structures with social agency, highlighting the role of race, ethnicity, and gender as well as class cultures and economic change in social structuring</w:t>
      </w:r>
      <w:r>
        <w:rPr>
          <w:rFonts w:asciiTheme="majorHAnsi" w:hAnsiTheme="majorHAnsi" w:cstheme="majorHAnsi"/>
          <w:sz w:val="23"/>
          <w:szCs w:val="23"/>
        </w:rPr>
        <w:t xml:space="preserve"> </w:t>
      </w:r>
      <w:r>
        <w:rPr>
          <w:rFonts w:asciiTheme="majorHAnsi" w:hAnsiTheme="majorHAnsi" w:cstheme="majorHAnsi"/>
          <w:noProof/>
          <w:sz w:val="23"/>
          <w:szCs w:val="23"/>
        </w:rPr>
        <w:t>(Gans, 1995; Marcuse, 1996)</w:t>
      </w:r>
      <w:r w:rsidRPr="00DA4326">
        <w:rPr>
          <w:rFonts w:asciiTheme="majorHAnsi" w:hAnsiTheme="majorHAnsi" w:cstheme="majorHAnsi"/>
          <w:sz w:val="23"/>
          <w:szCs w:val="23"/>
        </w:rPr>
        <w:t>.</w:t>
      </w:r>
      <w:r>
        <w:rPr>
          <w:rFonts w:asciiTheme="majorHAnsi" w:hAnsiTheme="majorHAnsi" w:cstheme="majorHAnsi"/>
          <w:sz w:val="23"/>
          <w:szCs w:val="23"/>
        </w:rPr>
        <w:t xml:space="preserve"> </w:t>
      </w:r>
      <w:r w:rsidRPr="00DA4326">
        <w:rPr>
          <w:rFonts w:asciiTheme="majorHAnsi" w:hAnsiTheme="majorHAnsi" w:cstheme="majorHAnsi"/>
          <w:sz w:val="23"/>
          <w:szCs w:val="23"/>
        </w:rPr>
        <w:t xml:space="preserve">In contrast, </w:t>
      </w:r>
      <w:r>
        <w:rPr>
          <w:rFonts w:asciiTheme="majorHAnsi" w:hAnsiTheme="majorHAnsi" w:cstheme="majorHAnsi"/>
          <w:sz w:val="23"/>
          <w:szCs w:val="23"/>
        </w:rPr>
        <w:t xml:space="preserve">various </w:t>
      </w:r>
      <w:r w:rsidRPr="00DA4326">
        <w:rPr>
          <w:rFonts w:asciiTheme="majorHAnsi" w:hAnsiTheme="majorHAnsi" w:cstheme="majorHAnsi"/>
          <w:sz w:val="23"/>
          <w:szCs w:val="23"/>
        </w:rPr>
        <w:t xml:space="preserve">post-structuralist accounts </w:t>
      </w:r>
      <w:r>
        <w:rPr>
          <w:rFonts w:asciiTheme="majorHAnsi" w:hAnsiTheme="majorHAnsi" w:cstheme="majorHAnsi"/>
          <w:sz w:val="23"/>
          <w:szCs w:val="23"/>
        </w:rPr>
        <w:t>view</w:t>
      </w:r>
      <w:r w:rsidRPr="00DA4326">
        <w:rPr>
          <w:rFonts w:asciiTheme="majorHAnsi" w:hAnsiTheme="majorHAnsi" w:cstheme="majorHAnsi"/>
          <w:sz w:val="23"/>
          <w:szCs w:val="23"/>
        </w:rPr>
        <w:t xml:space="preserve"> populations </w:t>
      </w:r>
      <w:r>
        <w:rPr>
          <w:rFonts w:asciiTheme="majorHAnsi" w:hAnsiTheme="majorHAnsi" w:cstheme="majorHAnsi"/>
          <w:sz w:val="23"/>
          <w:szCs w:val="23"/>
        </w:rPr>
        <w:t xml:space="preserve">as </w:t>
      </w:r>
      <w:r w:rsidRPr="00DA4326">
        <w:rPr>
          <w:rFonts w:asciiTheme="majorHAnsi" w:hAnsiTheme="majorHAnsi" w:cstheme="majorHAnsi"/>
          <w:sz w:val="23"/>
          <w:szCs w:val="23"/>
        </w:rPr>
        <w:t>engaging in a host of labouring practices to produce multiple economies</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 xml:space="preserve">see </w:t>
      </w:r>
      <w:r w:rsidRPr="00DA4326">
        <w:rPr>
          <w:rFonts w:asciiTheme="majorHAnsi" w:hAnsiTheme="majorHAnsi" w:cstheme="majorHAnsi"/>
          <w:sz w:val="23"/>
          <w:szCs w:val="23"/>
        </w:rPr>
        <w:t>the discursive and policy constitution of the “poor” and “disadvantaged neighbourhoods” as integral to the problem</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or conceive of</w:t>
      </w:r>
      <w:r w:rsidRPr="00DA4326">
        <w:rPr>
          <w:rFonts w:asciiTheme="majorHAnsi" w:hAnsiTheme="majorHAnsi" w:cstheme="majorHAnsi"/>
          <w:sz w:val="23"/>
          <w:szCs w:val="23"/>
        </w:rPr>
        <w:t xml:space="preserve"> the State as comprising multiple agendas and trajectories</w:t>
      </w:r>
      <w:r>
        <w:rPr>
          <w:rFonts w:asciiTheme="majorHAnsi" w:hAnsiTheme="majorHAnsi" w:cstheme="majorHAnsi"/>
          <w:sz w:val="23"/>
          <w:szCs w:val="23"/>
        </w:rPr>
        <w:t xml:space="preserve"> </w:t>
      </w:r>
      <w:r>
        <w:rPr>
          <w:rFonts w:asciiTheme="majorHAnsi" w:hAnsiTheme="majorHAnsi" w:cstheme="majorHAnsi"/>
          <w:noProof/>
          <w:sz w:val="23"/>
          <w:szCs w:val="23"/>
        </w:rPr>
        <w:t>(Cameron &amp; Gibson, 2005b; Gibson-Graham, 1997, 2006; Larner</w:t>
      </w:r>
      <w:r w:rsidR="009C16BD">
        <w:rPr>
          <w:rFonts w:asciiTheme="majorHAnsi" w:hAnsiTheme="majorHAnsi" w:cstheme="majorHAnsi"/>
          <w:noProof/>
          <w:sz w:val="23"/>
          <w:szCs w:val="23"/>
        </w:rPr>
        <w:t xml:space="preserve"> et al., </w:t>
      </w:r>
      <w:r>
        <w:rPr>
          <w:rFonts w:asciiTheme="majorHAnsi" w:hAnsiTheme="majorHAnsi" w:cstheme="majorHAnsi"/>
          <w:noProof/>
          <w:sz w:val="23"/>
          <w:szCs w:val="23"/>
        </w:rPr>
        <w:t>2007; McGuirk &amp; O'Neill, 2012)</w:t>
      </w:r>
      <w:r w:rsidRPr="00DA4326">
        <w:rPr>
          <w:rFonts w:asciiTheme="majorHAnsi" w:hAnsiTheme="majorHAnsi" w:cstheme="majorHAnsi"/>
          <w:sz w:val="23"/>
          <w:szCs w:val="23"/>
        </w:rPr>
        <w:t>.</w:t>
      </w:r>
    </w:p>
    <w:p w14:paraId="5A37EF1A" w14:textId="77777777" w:rsidR="00F00E3D" w:rsidRDefault="00F00E3D" w:rsidP="009B2FA7">
      <w:pPr>
        <w:spacing w:line="276" w:lineRule="auto"/>
        <w:rPr>
          <w:rFonts w:asciiTheme="majorHAnsi" w:hAnsiTheme="majorHAnsi" w:cstheme="majorHAnsi"/>
          <w:sz w:val="23"/>
          <w:szCs w:val="23"/>
        </w:rPr>
      </w:pPr>
      <w:r w:rsidRPr="00DA4326">
        <w:rPr>
          <w:rFonts w:asciiTheme="majorHAnsi" w:hAnsiTheme="majorHAnsi" w:cstheme="majorHAnsi"/>
          <w:sz w:val="23"/>
          <w:szCs w:val="23"/>
        </w:rPr>
        <w:t>In addition</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 xml:space="preserve">a range of </w:t>
      </w:r>
      <w:r w:rsidRPr="00DA4326">
        <w:rPr>
          <w:rFonts w:asciiTheme="majorHAnsi" w:hAnsiTheme="majorHAnsi" w:cstheme="majorHAnsi"/>
          <w:sz w:val="23"/>
          <w:szCs w:val="23"/>
        </w:rPr>
        <w:t>more applied</w:t>
      </w:r>
      <w:r>
        <w:rPr>
          <w:rFonts w:asciiTheme="majorHAnsi" w:hAnsiTheme="majorHAnsi" w:cstheme="majorHAnsi"/>
          <w:sz w:val="23"/>
          <w:szCs w:val="23"/>
        </w:rPr>
        <w:t xml:space="preserve"> approaches</w:t>
      </w:r>
      <w:r w:rsidRPr="00DA4326">
        <w:rPr>
          <w:rFonts w:asciiTheme="majorHAnsi" w:hAnsiTheme="majorHAnsi" w:cstheme="majorHAnsi"/>
          <w:sz w:val="23"/>
          <w:szCs w:val="23"/>
        </w:rPr>
        <w:t xml:space="preserve"> link structural </w:t>
      </w:r>
      <w:r>
        <w:rPr>
          <w:rFonts w:asciiTheme="majorHAnsi" w:hAnsiTheme="majorHAnsi" w:cstheme="majorHAnsi"/>
          <w:sz w:val="23"/>
          <w:szCs w:val="23"/>
        </w:rPr>
        <w:t>and</w:t>
      </w:r>
      <w:r w:rsidRPr="00DA4326">
        <w:rPr>
          <w:rFonts w:asciiTheme="majorHAnsi" w:hAnsiTheme="majorHAnsi" w:cstheme="majorHAnsi"/>
          <w:sz w:val="23"/>
          <w:szCs w:val="23"/>
        </w:rPr>
        <w:t xml:space="preserve"> individual cultures</w:t>
      </w:r>
      <w:r>
        <w:rPr>
          <w:rFonts w:asciiTheme="majorHAnsi" w:hAnsiTheme="majorHAnsi" w:cstheme="majorHAnsi"/>
          <w:sz w:val="23"/>
          <w:szCs w:val="23"/>
        </w:rPr>
        <w:t xml:space="preserve"> and</w:t>
      </w:r>
      <w:r w:rsidRPr="00DA4326">
        <w:rPr>
          <w:rFonts w:asciiTheme="majorHAnsi" w:hAnsiTheme="majorHAnsi" w:cstheme="majorHAnsi"/>
          <w:sz w:val="23"/>
          <w:szCs w:val="23"/>
        </w:rPr>
        <w:t xml:space="preserve"> attempt to activate whole</w:t>
      </w:r>
      <w:r>
        <w:rPr>
          <w:rFonts w:asciiTheme="majorHAnsi" w:hAnsiTheme="majorHAnsi" w:cstheme="majorHAnsi"/>
          <w:sz w:val="23"/>
          <w:szCs w:val="23"/>
        </w:rPr>
        <w:t>-</w:t>
      </w:r>
      <w:r w:rsidRPr="00DA4326">
        <w:rPr>
          <w:rFonts w:asciiTheme="majorHAnsi" w:hAnsiTheme="majorHAnsi" w:cstheme="majorHAnsi"/>
          <w:sz w:val="23"/>
          <w:szCs w:val="23"/>
        </w:rPr>
        <w:t>of</w:t>
      </w:r>
      <w:r>
        <w:rPr>
          <w:rFonts w:asciiTheme="majorHAnsi" w:hAnsiTheme="majorHAnsi" w:cstheme="majorHAnsi"/>
          <w:sz w:val="23"/>
          <w:szCs w:val="23"/>
        </w:rPr>
        <w:t>-</w:t>
      </w:r>
      <w:r w:rsidRPr="00DA4326">
        <w:rPr>
          <w:rFonts w:asciiTheme="majorHAnsi" w:hAnsiTheme="majorHAnsi" w:cstheme="majorHAnsi"/>
          <w:sz w:val="23"/>
          <w:szCs w:val="23"/>
        </w:rPr>
        <w:t>government understandings and policy interventions to address social exclusion.</w:t>
      </w:r>
    </w:p>
    <w:p w14:paraId="2EDC9EE0" w14:textId="77777777" w:rsidR="00F00E3D" w:rsidRPr="00F07FC7" w:rsidRDefault="00F00E3D" w:rsidP="009B2FA7">
      <w:pPr>
        <w:spacing w:line="276" w:lineRule="auto"/>
        <w:rPr>
          <w:rFonts w:cstheme="minorHAnsi"/>
          <w:b/>
          <w:color w:val="2E74B5" w:themeColor="accent5" w:themeShade="BF"/>
          <w:sz w:val="28"/>
          <w:szCs w:val="28"/>
        </w:rPr>
      </w:pPr>
      <w:r w:rsidRPr="00F07FC7">
        <w:rPr>
          <w:rFonts w:cstheme="minorHAnsi"/>
          <w:b/>
          <w:color w:val="2E74B5" w:themeColor="accent5" w:themeShade="BF"/>
          <w:sz w:val="28"/>
          <w:szCs w:val="28"/>
        </w:rPr>
        <w:t>1.2 Explaining and Alleviating Social and Spatial Disadvantage</w:t>
      </w:r>
    </w:p>
    <w:p w14:paraId="60C7B677" w14:textId="351CB5C8" w:rsidR="00F00E3D" w:rsidRPr="00B42927" w:rsidRDefault="00F00E3D" w:rsidP="009B2FA7">
      <w:pPr>
        <w:spacing w:line="276" w:lineRule="auto"/>
        <w:rPr>
          <w:rFonts w:asciiTheme="majorHAnsi" w:hAnsiTheme="majorHAnsi" w:cstheme="majorHAnsi"/>
          <w:sz w:val="23"/>
          <w:szCs w:val="23"/>
        </w:rPr>
      </w:pPr>
      <w:r>
        <w:rPr>
          <w:rFonts w:asciiTheme="majorHAnsi" w:hAnsiTheme="majorHAnsi" w:cstheme="majorHAnsi"/>
          <w:sz w:val="23"/>
          <w:szCs w:val="23"/>
        </w:rPr>
        <w:t>The four key</w:t>
      </w:r>
      <w:r w:rsidRPr="00DA4326">
        <w:rPr>
          <w:rFonts w:asciiTheme="majorHAnsi" w:hAnsiTheme="majorHAnsi" w:cstheme="majorHAnsi"/>
          <w:sz w:val="23"/>
          <w:szCs w:val="23"/>
        </w:rPr>
        <w:t xml:space="preserve"> </w:t>
      </w:r>
      <w:r>
        <w:rPr>
          <w:rFonts w:asciiTheme="majorHAnsi" w:hAnsiTheme="majorHAnsi" w:cstheme="majorHAnsi"/>
          <w:sz w:val="23"/>
          <w:szCs w:val="23"/>
        </w:rPr>
        <w:t xml:space="preserve">conceptual </w:t>
      </w:r>
      <w:r w:rsidRPr="00DA4326">
        <w:rPr>
          <w:rFonts w:asciiTheme="majorHAnsi" w:hAnsiTheme="majorHAnsi" w:cstheme="majorHAnsi"/>
          <w:sz w:val="23"/>
          <w:szCs w:val="23"/>
        </w:rPr>
        <w:t xml:space="preserve">frameworks </w:t>
      </w:r>
      <w:r>
        <w:rPr>
          <w:rFonts w:asciiTheme="majorHAnsi" w:hAnsiTheme="majorHAnsi" w:cstheme="majorHAnsi"/>
          <w:sz w:val="23"/>
          <w:szCs w:val="23"/>
        </w:rPr>
        <w:t xml:space="preserve">set out below </w:t>
      </w:r>
      <w:r w:rsidRPr="00DA4326">
        <w:rPr>
          <w:rFonts w:asciiTheme="majorHAnsi" w:hAnsiTheme="majorHAnsi" w:cstheme="majorHAnsi"/>
          <w:sz w:val="23"/>
          <w:szCs w:val="23"/>
        </w:rPr>
        <w:t xml:space="preserve">– </w:t>
      </w:r>
      <w:r>
        <w:rPr>
          <w:rFonts w:asciiTheme="majorHAnsi" w:hAnsiTheme="majorHAnsi" w:cstheme="majorHAnsi"/>
          <w:sz w:val="23"/>
          <w:szCs w:val="23"/>
        </w:rPr>
        <w:t>the P</w:t>
      </w:r>
      <w:r w:rsidRPr="00DA4326">
        <w:rPr>
          <w:rFonts w:asciiTheme="majorHAnsi" w:hAnsiTheme="majorHAnsi" w:cstheme="majorHAnsi"/>
          <w:sz w:val="23"/>
          <w:szCs w:val="23"/>
        </w:rPr>
        <w:t xml:space="preserve">olitical </w:t>
      </w:r>
      <w:r>
        <w:rPr>
          <w:rFonts w:asciiTheme="majorHAnsi" w:hAnsiTheme="majorHAnsi" w:cstheme="majorHAnsi"/>
          <w:sz w:val="23"/>
          <w:szCs w:val="23"/>
        </w:rPr>
        <w:t>E</w:t>
      </w:r>
      <w:r w:rsidRPr="00DA4326">
        <w:rPr>
          <w:rFonts w:asciiTheme="majorHAnsi" w:hAnsiTheme="majorHAnsi" w:cstheme="majorHAnsi"/>
          <w:sz w:val="23"/>
          <w:szCs w:val="23"/>
        </w:rPr>
        <w:t xml:space="preserve">conomy, </w:t>
      </w:r>
      <w:r>
        <w:rPr>
          <w:rFonts w:asciiTheme="majorHAnsi" w:hAnsiTheme="majorHAnsi" w:cstheme="majorHAnsi"/>
          <w:sz w:val="23"/>
          <w:szCs w:val="23"/>
        </w:rPr>
        <w:t>C</w:t>
      </w:r>
      <w:r w:rsidRPr="00DA4326">
        <w:rPr>
          <w:rFonts w:asciiTheme="majorHAnsi" w:hAnsiTheme="majorHAnsi" w:cstheme="majorHAnsi"/>
          <w:sz w:val="23"/>
          <w:szCs w:val="23"/>
        </w:rPr>
        <w:t xml:space="preserve">ommunity </w:t>
      </w:r>
      <w:r>
        <w:rPr>
          <w:rFonts w:asciiTheme="majorHAnsi" w:hAnsiTheme="majorHAnsi" w:cstheme="majorHAnsi"/>
          <w:sz w:val="23"/>
          <w:szCs w:val="23"/>
        </w:rPr>
        <w:t>E</w:t>
      </w:r>
      <w:r w:rsidRPr="00DA4326">
        <w:rPr>
          <w:rFonts w:asciiTheme="majorHAnsi" w:hAnsiTheme="majorHAnsi" w:cstheme="majorHAnsi"/>
          <w:sz w:val="23"/>
          <w:szCs w:val="23"/>
        </w:rPr>
        <w:t xml:space="preserve">conomies, </w:t>
      </w:r>
      <w:r>
        <w:rPr>
          <w:rFonts w:asciiTheme="majorHAnsi" w:hAnsiTheme="majorHAnsi" w:cstheme="majorHAnsi"/>
          <w:sz w:val="23"/>
          <w:szCs w:val="23"/>
        </w:rPr>
        <w:t>B</w:t>
      </w:r>
      <w:r w:rsidRPr="00DA4326">
        <w:rPr>
          <w:rFonts w:asciiTheme="majorHAnsi" w:hAnsiTheme="majorHAnsi" w:cstheme="majorHAnsi"/>
          <w:sz w:val="23"/>
          <w:szCs w:val="23"/>
        </w:rPr>
        <w:t xml:space="preserve">ridges out of </w:t>
      </w:r>
      <w:r>
        <w:rPr>
          <w:rFonts w:asciiTheme="majorHAnsi" w:hAnsiTheme="majorHAnsi" w:cstheme="majorHAnsi"/>
          <w:sz w:val="23"/>
          <w:szCs w:val="23"/>
        </w:rPr>
        <w:t>P</w:t>
      </w:r>
      <w:r w:rsidRPr="00DA4326">
        <w:rPr>
          <w:rFonts w:asciiTheme="majorHAnsi" w:hAnsiTheme="majorHAnsi" w:cstheme="majorHAnsi"/>
          <w:sz w:val="23"/>
          <w:szCs w:val="23"/>
        </w:rPr>
        <w:t>overty</w:t>
      </w:r>
      <w:r>
        <w:rPr>
          <w:rFonts w:asciiTheme="majorHAnsi" w:hAnsiTheme="majorHAnsi" w:cstheme="majorHAnsi"/>
          <w:sz w:val="23"/>
          <w:szCs w:val="23"/>
        </w:rPr>
        <w:t>,</w:t>
      </w:r>
      <w:r w:rsidRPr="00DA4326">
        <w:rPr>
          <w:rFonts w:asciiTheme="majorHAnsi" w:hAnsiTheme="majorHAnsi" w:cstheme="majorHAnsi"/>
          <w:sz w:val="23"/>
          <w:szCs w:val="23"/>
        </w:rPr>
        <w:t xml:space="preserve"> and </w:t>
      </w:r>
      <w:r>
        <w:rPr>
          <w:rFonts w:asciiTheme="majorHAnsi" w:hAnsiTheme="majorHAnsi" w:cstheme="majorHAnsi"/>
          <w:sz w:val="23"/>
          <w:szCs w:val="23"/>
        </w:rPr>
        <w:t>S</w:t>
      </w:r>
      <w:r w:rsidRPr="00DA4326">
        <w:rPr>
          <w:rFonts w:asciiTheme="majorHAnsi" w:hAnsiTheme="majorHAnsi" w:cstheme="majorHAnsi"/>
          <w:sz w:val="23"/>
          <w:szCs w:val="23"/>
        </w:rPr>
        <w:t xml:space="preserve">ocial </w:t>
      </w:r>
      <w:r>
        <w:rPr>
          <w:rFonts w:asciiTheme="majorHAnsi" w:hAnsiTheme="majorHAnsi" w:cstheme="majorHAnsi"/>
          <w:sz w:val="23"/>
          <w:szCs w:val="23"/>
        </w:rPr>
        <w:t>I</w:t>
      </w:r>
      <w:r w:rsidRPr="00DA4326">
        <w:rPr>
          <w:rFonts w:asciiTheme="majorHAnsi" w:hAnsiTheme="majorHAnsi" w:cstheme="majorHAnsi"/>
          <w:sz w:val="23"/>
          <w:szCs w:val="23"/>
        </w:rPr>
        <w:t xml:space="preserve">nclusion </w:t>
      </w:r>
      <w:r w:rsidR="007012ED">
        <w:rPr>
          <w:rFonts w:asciiTheme="majorHAnsi" w:hAnsiTheme="majorHAnsi" w:cstheme="majorHAnsi"/>
          <w:sz w:val="23"/>
          <w:szCs w:val="23"/>
        </w:rPr>
        <w:t>perspectives</w:t>
      </w:r>
      <w:r>
        <w:rPr>
          <w:rFonts w:asciiTheme="majorHAnsi" w:hAnsiTheme="majorHAnsi" w:cstheme="majorHAnsi"/>
          <w:sz w:val="23"/>
          <w:szCs w:val="23"/>
        </w:rPr>
        <w:t xml:space="preserve"> –</w:t>
      </w:r>
      <w:r w:rsidRPr="00DA4326">
        <w:rPr>
          <w:rFonts w:asciiTheme="majorHAnsi" w:hAnsiTheme="majorHAnsi" w:cstheme="majorHAnsi"/>
          <w:sz w:val="23"/>
          <w:szCs w:val="23"/>
        </w:rPr>
        <w:t xml:space="preserve"> variously emphasise the structural or individual causes of disadvantage</w:t>
      </w:r>
      <w:r>
        <w:rPr>
          <w:rFonts w:asciiTheme="majorHAnsi" w:hAnsiTheme="majorHAnsi" w:cstheme="majorHAnsi"/>
          <w:sz w:val="23"/>
          <w:szCs w:val="23"/>
        </w:rPr>
        <w:t>,</w:t>
      </w:r>
      <w:r w:rsidRPr="00DA4326">
        <w:rPr>
          <w:rFonts w:asciiTheme="majorHAnsi" w:hAnsiTheme="majorHAnsi" w:cstheme="majorHAnsi"/>
          <w:sz w:val="23"/>
          <w:szCs w:val="23"/>
        </w:rPr>
        <w:t xml:space="preserve"> while pointing to systemic, place-based</w:t>
      </w:r>
      <w:r>
        <w:rPr>
          <w:rFonts w:asciiTheme="majorHAnsi" w:hAnsiTheme="majorHAnsi" w:cstheme="majorHAnsi"/>
          <w:sz w:val="23"/>
          <w:szCs w:val="23"/>
        </w:rPr>
        <w:t>,</w:t>
      </w:r>
      <w:r w:rsidRPr="00DA4326">
        <w:rPr>
          <w:rFonts w:asciiTheme="majorHAnsi" w:hAnsiTheme="majorHAnsi" w:cstheme="majorHAnsi"/>
          <w:sz w:val="23"/>
          <w:szCs w:val="23"/>
        </w:rPr>
        <w:t xml:space="preserve"> and collective interventions to alleviate the problem of socio-spatial disadvantage.</w:t>
      </w:r>
    </w:p>
    <w:p w14:paraId="68AFCAD2" w14:textId="77777777" w:rsidR="00F00E3D" w:rsidRPr="006B0E23" w:rsidRDefault="00F00E3D" w:rsidP="009B2FA7">
      <w:pPr>
        <w:spacing w:line="276" w:lineRule="auto"/>
        <w:rPr>
          <w:rFonts w:cstheme="minorHAnsi"/>
          <w:b/>
          <w:bCs/>
          <w:color w:val="2E74B5" w:themeColor="accent5" w:themeShade="BF"/>
          <w:sz w:val="25"/>
          <w:szCs w:val="25"/>
        </w:rPr>
      </w:pPr>
      <w:r w:rsidRPr="006B0E23">
        <w:rPr>
          <w:rFonts w:cstheme="minorHAnsi"/>
          <w:b/>
          <w:bCs/>
          <w:color w:val="2E74B5" w:themeColor="accent5" w:themeShade="BF"/>
          <w:sz w:val="25"/>
          <w:szCs w:val="25"/>
        </w:rPr>
        <w:t>1.2.1 Political Economy Approach</w:t>
      </w:r>
    </w:p>
    <w:p w14:paraId="3B04C117" w14:textId="77777777" w:rsidR="00F00E3D"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t>A view of poverty informed by Marxism places the underclass and unemployed into a reserve army of labour who are created as part of a restless, profit-driven capitalist system. Within such a system, the State ultimately acts as the agent of capital, creating and defending the conditions to maximise profitability and minimise social unrest. The larger the pool of unemployed</w:t>
      </w:r>
      <w:r>
        <w:rPr>
          <w:rFonts w:asciiTheme="majorHAnsi" w:hAnsiTheme="majorHAnsi" w:cstheme="majorBidi"/>
          <w:sz w:val="23"/>
          <w:szCs w:val="23"/>
        </w:rPr>
        <w:t xml:space="preserve"> citizens</w:t>
      </w:r>
      <w:r w:rsidRPr="359636AC">
        <w:rPr>
          <w:rFonts w:asciiTheme="majorHAnsi" w:hAnsiTheme="majorHAnsi" w:cstheme="majorBidi"/>
          <w:sz w:val="23"/>
          <w:szCs w:val="23"/>
        </w:rPr>
        <w:t>, the more downward pressure on wages</w:t>
      </w:r>
      <w:r>
        <w:rPr>
          <w:rFonts w:asciiTheme="majorHAnsi" w:hAnsiTheme="majorHAnsi" w:cstheme="majorBidi"/>
          <w:sz w:val="23"/>
          <w:szCs w:val="23"/>
        </w:rPr>
        <w:t>,</w:t>
      </w:r>
      <w:r w:rsidRPr="359636AC">
        <w:rPr>
          <w:rFonts w:asciiTheme="majorHAnsi" w:hAnsiTheme="majorHAnsi" w:cstheme="majorBidi"/>
          <w:sz w:val="23"/>
          <w:szCs w:val="23"/>
        </w:rPr>
        <w:t xml:space="preserve"> and the l</w:t>
      </w:r>
      <w:r>
        <w:rPr>
          <w:rFonts w:asciiTheme="majorHAnsi" w:hAnsiTheme="majorHAnsi" w:cstheme="majorBidi"/>
          <w:sz w:val="23"/>
          <w:szCs w:val="23"/>
        </w:rPr>
        <w:t>ower</w:t>
      </w:r>
      <w:r w:rsidRPr="359636AC">
        <w:rPr>
          <w:rFonts w:asciiTheme="majorHAnsi" w:hAnsiTheme="majorHAnsi" w:cstheme="majorBidi"/>
          <w:sz w:val="23"/>
          <w:szCs w:val="23"/>
        </w:rPr>
        <w:t xml:space="preserve"> the power of workers to bargain for their fair share of produced value </w:t>
      </w:r>
      <w:r>
        <w:rPr>
          <w:rFonts w:asciiTheme="majorHAnsi" w:hAnsiTheme="majorHAnsi" w:cstheme="majorBidi"/>
          <w:noProof/>
          <w:sz w:val="23"/>
          <w:szCs w:val="23"/>
        </w:rPr>
        <w:t>(Marx, 2001)</w:t>
      </w:r>
      <w:r w:rsidRPr="359636AC">
        <w:rPr>
          <w:rFonts w:asciiTheme="majorHAnsi" w:hAnsiTheme="majorHAnsi" w:cstheme="majorBidi"/>
          <w:sz w:val="23"/>
          <w:szCs w:val="23"/>
        </w:rPr>
        <w:t>.</w:t>
      </w:r>
    </w:p>
    <w:p w14:paraId="40707149" w14:textId="77777777" w:rsidR="00F00E3D"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t>Unemployment levels cannot be too high, spatially concentrated or organised, however, as th</w:t>
      </w:r>
      <w:r>
        <w:rPr>
          <w:rFonts w:asciiTheme="majorHAnsi" w:hAnsiTheme="majorHAnsi" w:cstheme="majorBidi"/>
          <w:sz w:val="23"/>
          <w:szCs w:val="23"/>
        </w:rPr>
        <w:t>is</w:t>
      </w:r>
      <w:r w:rsidRPr="359636AC">
        <w:rPr>
          <w:rFonts w:asciiTheme="majorHAnsi" w:hAnsiTheme="majorHAnsi" w:cstheme="majorBidi"/>
          <w:sz w:val="23"/>
          <w:szCs w:val="23"/>
        </w:rPr>
        <w:t xml:space="preserve"> may well challenge the socio-political order. Relatively low levels of unemployment are therefore integral and valuable to the operation of capital accumulation</w:t>
      </w:r>
      <w:r>
        <w:rPr>
          <w:rFonts w:asciiTheme="majorHAnsi" w:hAnsiTheme="majorHAnsi" w:cstheme="majorBidi"/>
          <w:sz w:val="23"/>
          <w:szCs w:val="23"/>
        </w:rPr>
        <w:t>. This means</w:t>
      </w:r>
      <w:r w:rsidRPr="359636AC">
        <w:rPr>
          <w:rFonts w:asciiTheme="majorHAnsi" w:hAnsiTheme="majorHAnsi" w:cstheme="majorBidi"/>
          <w:sz w:val="23"/>
          <w:szCs w:val="23"/>
        </w:rPr>
        <w:t xml:space="preserve"> a policy and social objective of full employment remains aspirational</w:t>
      </w:r>
      <w:r>
        <w:rPr>
          <w:rFonts w:asciiTheme="majorHAnsi" w:hAnsiTheme="majorHAnsi" w:cstheme="majorBidi"/>
          <w:sz w:val="23"/>
          <w:szCs w:val="23"/>
        </w:rPr>
        <w:t>,</w:t>
      </w:r>
      <w:r w:rsidRPr="359636AC">
        <w:rPr>
          <w:rFonts w:asciiTheme="majorHAnsi" w:hAnsiTheme="majorHAnsi" w:cstheme="majorBidi"/>
          <w:sz w:val="23"/>
          <w:szCs w:val="23"/>
        </w:rPr>
        <w:t xml:space="preserve"> and indeed problematical. In Australia</w:t>
      </w:r>
      <w:r>
        <w:rPr>
          <w:rFonts w:asciiTheme="majorHAnsi" w:hAnsiTheme="majorHAnsi" w:cstheme="majorBidi"/>
          <w:sz w:val="23"/>
          <w:szCs w:val="23"/>
        </w:rPr>
        <w:t>,</w:t>
      </w:r>
      <w:r w:rsidRPr="359636AC">
        <w:rPr>
          <w:rFonts w:asciiTheme="majorHAnsi" w:hAnsiTheme="majorHAnsi" w:cstheme="majorBidi"/>
          <w:sz w:val="23"/>
          <w:szCs w:val="23"/>
        </w:rPr>
        <w:t xml:space="preserve"> “full employment” is not equated with </w:t>
      </w:r>
      <w:r>
        <w:rPr>
          <w:rFonts w:asciiTheme="majorHAnsi" w:hAnsiTheme="majorHAnsi" w:cstheme="majorBidi"/>
          <w:sz w:val="23"/>
          <w:szCs w:val="23"/>
        </w:rPr>
        <w:t>having no</w:t>
      </w:r>
      <w:r w:rsidRPr="359636AC">
        <w:rPr>
          <w:rFonts w:asciiTheme="majorHAnsi" w:hAnsiTheme="majorHAnsi" w:cstheme="majorBidi"/>
          <w:sz w:val="23"/>
          <w:szCs w:val="23"/>
        </w:rPr>
        <w:t xml:space="preserve"> unemployed people</w:t>
      </w:r>
      <w:r>
        <w:rPr>
          <w:rFonts w:asciiTheme="majorHAnsi" w:hAnsiTheme="majorHAnsi" w:cstheme="majorBidi"/>
          <w:sz w:val="23"/>
          <w:szCs w:val="23"/>
        </w:rPr>
        <w:t>,</w:t>
      </w:r>
      <w:r w:rsidRPr="359636AC">
        <w:rPr>
          <w:rFonts w:asciiTheme="majorHAnsi" w:hAnsiTheme="majorHAnsi" w:cstheme="majorBidi"/>
          <w:sz w:val="23"/>
          <w:szCs w:val="23"/>
        </w:rPr>
        <w:t xml:space="preserve"> but </w:t>
      </w:r>
      <w:r>
        <w:rPr>
          <w:rFonts w:asciiTheme="majorHAnsi" w:hAnsiTheme="majorHAnsi" w:cstheme="majorBidi"/>
          <w:sz w:val="23"/>
          <w:szCs w:val="23"/>
        </w:rPr>
        <w:t>rather an unemployed population of</w:t>
      </w:r>
      <w:r w:rsidRPr="359636AC">
        <w:rPr>
          <w:rFonts w:asciiTheme="majorHAnsi" w:hAnsiTheme="majorHAnsi" w:cstheme="majorBidi"/>
          <w:sz w:val="23"/>
          <w:szCs w:val="23"/>
        </w:rPr>
        <w:t xml:space="preserve"> around 5</w:t>
      </w:r>
      <w:r>
        <w:rPr>
          <w:rFonts w:asciiTheme="majorHAnsi" w:hAnsiTheme="majorHAnsi" w:cstheme="majorBidi"/>
          <w:sz w:val="23"/>
          <w:szCs w:val="23"/>
        </w:rPr>
        <w:t xml:space="preserve"> percent</w:t>
      </w:r>
      <w:r w:rsidRPr="359636AC">
        <w:rPr>
          <w:rFonts w:asciiTheme="majorHAnsi" w:hAnsiTheme="majorHAnsi" w:cstheme="majorBidi"/>
          <w:sz w:val="23"/>
          <w:szCs w:val="23"/>
        </w:rPr>
        <w:t xml:space="preserve"> of the workforce – or 643</w:t>
      </w:r>
      <w:r>
        <w:rPr>
          <w:rFonts w:asciiTheme="majorHAnsi" w:hAnsiTheme="majorHAnsi" w:cstheme="majorBidi"/>
          <w:sz w:val="23"/>
          <w:szCs w:val="23"/>
        </w:rPr>
        <w:t>,</w:t>
      </w:r>
      <w:r w:rsidRPr="359636AC">
        <w:rPr>
          <w:rFonts w:asciiTheme="majorHAnsi" w:hAnsiTheme="majorHAnsi" w:cstheme="majorBidi"/>
          <w:sz w:val="23"/>
          <w:szCs w:val="23"/>
        </w:rPr>
        <w:t xml:space="preserve">000 people in November 2020 </w:t>
      </w:r>
      <w:r>
        <w:rPr>
          <w:rFonts w:asciiTheme="majorHAnsi" w:hAnsiTheme="majorHAnsi" w:cstheme="majorBidi"/>
          <w:sz w:val="23"/>
          <w:szCs w:val="23"/>
        </w:rPr>
        <w:t>–</w:t>
      </w:r>
      <w:r w:rsidRPr="359636AC">
        <w:rPr>
          <w:rFonts w:asciiTheme="majorHAnsi" w:hAnsiTheme="majorHAnsi" w:cstheme="majorBidi"/>
          <w:sz w:val="23"/>
          <w:szCs w:val="23"/>
        </w:rPr>
        <w:t xml:space="preserve"> </w:t>
      </w:r>
      <w:r>
        <w:rPr>
          <w:rFonts w:asciiTheme="majorHAnsi" w:hAnsiTheme="majorHAnsi" w:cstheme="majorBidi"/>
          <w:sz w:val="23"/>
          <w:szCs w:val="23"/>
        </w:rPr>
        <w:t xml:space="preserve">in order </w:t>
      </w:r>
      <w:r w:rsidRPr="359636AC">
        <w:rPr>
          <w:rFonts w:asciiTheme="majorHAnsi" w:hAnsiTheme="majorHAnsi" w:cstheme="majorBidi"/>
          <w:sz w:val="23"/>
          <w:szCs w:val="23"/>
        </w:rPr>
        <w:t>to allow an ongoing supply of labour to places and sectors</w:t>
      </w:r>
      <w:r>
        <w:rPr>
          <w:rFonts w:asciiTheme="majorHAnsi" w:hAnsiTheme="majorHAnsi" w:cstheme="majorBidi"/>
          <w:sz w:val="23"/>
          <w:szCs w:val="23"/>
        </w:rPr>
        <w:t>,</w:t>
      </w:r>
      <w:r w:rsidRPr="359636AC">
        <w:rPr>
          <w:rFonts w:asciiTheme="majorHAnsi" w:hAnsiTheme="majorHAnsi" w:cstheme="majorBidi"/>
          <w:sz w:val="23"/>
          <w:szCs w:val="23"/>
        </w:rPr>
        <w:t xml:space="preserve"> </w:t>
      </w:r>
      <w:r>
        <w:rPr>
          <w:rFonts w:asciiTheme="majorHAnsi" w:hAnsiTheme="majorHAnsi" w:cstheme="majorBidi"/>
          <w:sz w:val="23"/>
          <w:szCs w:val="23"/>
        </w:rPr>
        <w:t>and to</w:t>
      </w:r>
      <w:r w:rsidRPr="359636AC">
        <w:rPr>
          <w:rFonts w:asciiTheme="majorHAnsi" w:hAnsiTheme="majorHAnsi" w:cstheme="majorBidi"/>
          <w:sz w:val="23"/>
          <w:szCs w:val="23"/>
        </w:rPr>
        <w:t xml:space="preserve"> limit inflationary pressures</w:t>
      </w:r>
      <w:r>
        <w:rPr>
          <w:rFonts w:asciiTheme="majorHAnsi" w:hAnsiTheme="majorHAnsi" w:cstheme="majorBidi"/>
          <w:sz w:val="23"/>
          <w:szCs w:val="23"/>
        </w:rPr>
        <w:t xml:space="preserve"> </w:t>
      </w:r>
      <w:r>
        <w:rPr>
          <w:rFonts w:asciiTheme="majorHAnsi" w:hAnsiTheme="majorHAnsi" w:cstheme="majorBidi"/>
          <w:noProof/>
          <w:sz w:val="23"/>
          <w:szCs w:val="23"/>
        </w:rPr>
        <w:t>(Australian Social Inclusion Board, 2010)</w:t>
      </w:r>
      <w:r w:rsidRPr="359636AC">
        <w:rPr>
          <w:rFonts w:asciiTheme="majorHAnsi" w:hAnsiTheme="majorHAnsi" w:cstheme="majorBidi"/>
          <w:sz w:val="23"/>
          <w:szCs w:val="23"/>
        </w:rPr>
        <w:t>.</w:t>
      </w:r>
    </w:p>
    <w:p w14:paraId="67C3BB52" w14:textId="77777777" w:rsidR="00F00E3D" w:rsidRPr="00EA7043" w:rsidRDefault="00F00E3D" w:rsidP="009B2FA7">
      <w:pPr>
        <w:spacing w:line="276" w:lineRule="auto"/>
        <w:rPr>
          <w:rFonts w:asciiTheme="majorHAnsi" w:hAnsiTheme="majorHAnsi" w:cstheme="majorBidi"/>
          <w:sz w:val="23"/>
          <w:szCs w:val="23"/>
        </w:rPr>
      </w:pPr>
      <w:r w:rsidRPr="00DA4326">
        <w:rPr>
          <w:rFonts w:asciiTheme="majorHAnsi" w:hAnsiTheme="majorHAnsi" w:cstheme="majorHAnsi"/>
          <w:sz w:val="23"/>
          <w:szCs w:val="23"/>
        </w:rPr>
        <w:lastRenderedPageBreak/>
        <w:t>The class system of capital</w:t>
      </w:r>
      <w:r>
        <w:rPr>
          <w:rFonts w:asciiTheme="majorHAnsi" w:hAnsiTheme="majorHAnsi" w:cstheme="majorHAnsi"/>
          <w:sz w:val="23"/>
          <w:szCs w:val="23"/>
        </w:rPr>
        <w:t>-</w:t>
      </w:r>
      <w:r w:rsidRPr="00DA4326">
        <w:rPr>
          <w:rFonts w:asciiTheme="majorHAnsi" w:hAnsiTheme="majorHAnsi" w:cstheme="majorHAnsi"/>
          <w:sz w:val="23"/>
          <w:szCs w:val="23"/>
        </w:rPr>
        <w:t>owners and their workers creates not only ongoing tensions</w:t>
      </w:r>
      <w:r>
        <w:rPr>
          <w:rFonts w:asciiTheme="majorHAnsi" w:hAnsiTheme="majorHAnsi" w:cstheme="majorHAnsi"/>
          <w:sz w:val="23"/>
          <w:szCs w:val="23"/>
        </w:rPr>
        <w:t>,</w:t>
      </w:r>
      <w:r w:rsidRPr="00DA4326">
        <w:rPr>
          <w:rFonts w:asciiTheme="majorHAnsi" w:hAnsiTheme="majorHAnsi" w:cstheme="majorHAnsi"/>
          <w:sz w:val="23"/>
          <w:szCs w:val="23"/>
        </w:rPr>
        <w:t xml:space="preserve"> but also crises of accumulation</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ensuring</w:t>
      </w:r>
      <w:r w:rsidRPr="00DA4326">
        <w:rPr>
          <w:rFonts w:asciiTheme="majorHAnsi" w:hAnsiTheme="majorHAnsi" w:cstheme="majorHAnsi"/>
          <w:sz w:val="23"/>
          <w:szCs w:val="23"/>
        </w:rPr>
        <w:t xml:space="preserve"> that unemployment </w:t>
      </w:r>
      <w:r>
        <w:rPr>
          <w:rFonts w:asciiTheme="majorHAnsi" w:hAnsiTheme="majorHAnsi" w:cstheme="majorHAnsi"/>
          <w:sz w:val="23"/>
          <w:szCs w:val="23"/>
        </w:rPr>
        <w:t xml:space="preserve">levels </w:t>
      </w:r>
      <w:r w:rsidRPr="00DA4326">
        <w:rPr>
          <w:rFonts w:asciiTheme="majorHAnsi" w:hAnsiTheme="majorHAnsi" w:cstheme="majorHAnsi"/>
          <w:sz w:val="23"/>
          <w:szCs w:val="23"/>
        </w:rPr>
        <w:t>fluctuate and there is an ongoing need to restructure capital and labour relations to restore profitability. For Marxist Geographer David Harvey, such waves of restructuring are also associated with the “creative destruction”</w:t>
      </w:r>
      <w:r>
        <w:rPr>
          <w:rFonts w:asciiTheme="majorHAnsi" w:hAnsiTheme="majorHAnsi" w:cstheme="majorHAnsi"/>
          <w:sz w:val="23"/>
          <w:szCs w:val="23"/>
        </w:rPr>
        <w:t>,</w:t>
      </w:r>
      <w:r w:rsidRPr="00DA4326">
        <w:rPr>
          <w:rFonts w:asciiTheme="majorHAnsi" w:hAnsiTheme="majorHAnsi" w:cstheme="majorHAnsi"/>
          <w:sz w:val="23"/>
          <w:szCs w:val="23"/>
        </w:rPr>
        <w:t xml:space="preserve"> or refurbishment of urban areas.</w:t>
      </w:r>
    </w:p>
    <w:p w14:paraId="5AF62F79" w14:textId="77777777" w:rsidR="00F00E3D" w:rsidRPr="00DA4326" w:rsidRDefault="00F00E3D" w:rsidP="009B2FA7">
      <w:pPr>
        <w:spacing w:line="276" w:lineRule="auto"/>
        <w:rPr>
          <w:rFonts w:asciiTheme="majorHAnsi" w:hAnsiTheme="majorHAnsi" w:cstheme="majorHAnsi"/>
          <w:sz w:val="23"/>
          <w:szCs w:val="23"/>
        </w:rPr>
      </w:pPr>
      <w:r w:rsidRPr="00DA4326">
        <w:rPr>
          <w:rFonts w:asciiTheme="majorHAnsi" w:hAnsiTheme="majorHAnsi" w:cstheme="majorHAnsi"/>
          <w:sz w:val="23"/>
          <w:szCs w:val="23"/>
        </w:rPr>
        <w:t>The recent phase of capital globalisation and restructuring – dating from the mid-1970s – is seen by some political economists as emanating from an overaccumulation crisis in the United States and Western Europe</w:t>
      </w:r>
      <w:r>
        <w:rPr>
          <w:rFonts w:asciiTheme="majorHAnsi" w:hAnsiTheme="majorHAnsi" w:cstheme="majorHAnsi"/>
          <w:sz w:val="23"/>
          <w:szCs w:val="23"/>
        </w:rPr>
        <w:t xml:space="preserve">. This crisis of accumulation </w:t>
      </w:r>
      <w:r w:rsidRPr="00DA4326">
        <w:rPr>
          <w:rFonts w:asciiTheme="majorHAnsi" w:hAnsiTheme="majorHAnsi" w:cstheme="majorHAnsi"/>
          <w:sz w:val="23"/>
          <w:szCs w:val="23"/>
        </w:rPr>
        <w:t xml:space="preserve">impelled </w:t>
      </w:r>
      <w:r>
        <w:rPr>
          <w:rFonts w:asciiTheme="majorHAnsi" w:hAnsiTheme="majorHAnsi" w:cstheme="majorHAnsi"/>
          <w:sz w:val="23"/>
          <w:szCs w:val="23"/>
        </w:rPr>
        <w:t xml:space="preserve">the </w:t>
      </w:r>
      <w:r w:rsidRPr="00DA4326">
        <w:rPr>
          <w:rFonts w:asciiTheme="majorHAnsi" w:hAnsiTheme="majorHAnsi" w:cstheme="majorHAnsi"/>
          <w:sz w:val="23"/>
          <w:szCs w:val="23"/>
        </w:rPr>
        <w:t xml:space="preserve">technological transformation of production </w:t>
      </w:r>
      <w:r>
        <w:rPr>
          <w:rFonts w:asciiTheme="majorHAnsi" w:hAnsiTheme="majorHAnsi" w:cstheme="majorHAnsi"/>
          <w:sz w:val="23"/>
          <w:szCs w:val="23"/>
        </w:rPr>
        <w:t xml:space="preserve">and its shift </w:t>
      </w:r>
      <w:r w:rsidRPr="00DA4326">
        <w:rPr>
          <w:rFonts w:asciiTheme="majorHAnsi" w:hAnsiTheme="majorHAnsi" w:cstheme="majorHAnsi"/>
          <w:sz w:val="23"/>
          <w:szCs w:val="23"/>
        </w:rPr>
        <w:t xml:space="preserve">to other parts of the world </w:t>
      </w:r>
      <w:r>
        <w:rPr>
          <w:rFonts w:asciiTheme="majorHAnsi" w:hAnsiTheme="majorHAnsi" w:cstheme="majorHAnsi"/>
          <w:noProof/>
          <w:sz w:val="23"/>
          <w:szCs w:val="23"/>
        </w:rPr>
        <w:t>(Harvey, 1982, 1990, 2001; Smith, 2005; Stilwell, 2006)</w:t>
      </w:r>
      <w:r w:rsidRPr="00DA4326">
        <w:rPr>
          <w:rFonts w:asciiTheme="majorHAnsi" w:hAnsiTheme="majorHAnsi" w:cstheme="majorHAnsi"/>
          <w:sz w:val="23"/>
          <w:szCs w:val="23"/>
        </w:rPr>
        <w:t>. Clearly evident in the car, textile</w:t>
      </w:r>
      <w:r>
        <w:rPr>
          <w:rFonts w:asciiTheme="majorHAnsi" w:hAnsiTheme="majorHAnsi" w:cstheme="majorHAnsi"/>
          <w:sz w:val="23"/>
          <w:szCs w:val="23"/>
        </w:rPr>
        <w:t>,</w:t>
      </w:r>
      <w:r w:rsidRPr="00DA4326">
        <w:rPr>
          <w:rFonts w:asciiTheme="majorHAnsi" w:hAnsiTheme="majorHAnsi" w:cstheme="majorHAnsi"/>
          <w:sz w:val="23"/>
          <w:szCs w:val="23"/>
        </w:rPr>
        <w:t xml:space="preserve"> whitegoods </w:t>
      </w:r>
      <w:r>
        <w:rPr>
          <w:rFonts w:asciiTheme="majorHAnsi" w:hAnsiTheme="majorHAnsi" w:cstheme="majorHAnsi"/>
          <w:sz w:val="23"/>
          <w:szCs w:val="23"/>
        </w:rPr>
        <w:t>and</w:t>
      </w:r>
      <w:r w:rsidRPr="00DA4326">
        <w:rPr>
          <w:rFonts w:asciiTheme="majorHAnsi" w:hAnsiTheme="majorHAnsi" w:cstheme="majorHAnsi"/>
          <w:sz w:val="23"/>
          <w:szCs w:val="23"/>
        </w:rPr>
        <w:t xml:space="preserve"> electronics industries, </w:t>
      </w:r>
      <w:r>
        <w:rPr>
          <w:rFonts w:asciiTheme="majorHAnsi" w:hAnsiTheme="majorHAnsi" w:cstheme="majorHAnsi"/>
          <w:sz w:val="23"/>
          <w:szCs w:val="23"/>
        </w:rPr>
        <w:t>this</w:t>
      </w:r>
      <w:r w:rsidRPr="00DA4326">
        <w:rPr>
          <w:rFonts w:asciiTheme="majorHAnsi" w:hAnsiTheme="majorHAnsi" w:cstheme="majorHAnsi"/>
          <w:sz w:val="23"/>
          <w:szCs w:val="23"/>
        </w:rPr>
        <w:t xml:space="preserve"> global shift in production was facilitated by the rise of a neoliberal</w:t>
      </w:r>
      <w:r>
        <w:rPr>
          <w:rFonts w:asciiTheme="majorHAnsi" w:hAnsiTheme="majorHAnsi" w:cstheme="majorHAnsi"/>
          <w:sz w:val="23"/>
          <w:szCs w:val="23"/>
        </w:rPr>
        <w:t>,</w:t>
      </w:r>
      <w:r w:rsidRPr="00DA4326">
        <w:rPr>
          <w:rFonts w:asciiTheme="majorHAnsi" w:hAnsiTheme="majorHAnsi" w:cstheme="majorHAnsi"/>
          <w:sz w:val="23"/>
          <w:szCs w:val="23"/>
        </w:rPr>
        <w:t xml:space="preserve"> free trade</w:t>
      </w:r>
      <w:r>
        <w:rPr>
          <w:rFonts w:asciiTheme="majorHAnsi" w:hAnsiTheme="majorHAnsi" w:cstheme="majorHAnsi"/>
          <w:sz w:val="23"/>
          <w:szCs w:val="23"/>
        </w:rPr>
        <w:t>,</w:t>
      </w:r>
      <w:r w:rsidRPr="00DA4326">
        <w:rPr>
          <w:rFonts w:asciiTheme="majorHAnsi" w:hAnsiTheme="majorHAnsi" w:cstheme="majorHAnsi"/>
          <w:sz w:val="23"/>
          <w:szCs w:val="23"/>
        </w:rPr>
        <w:t xml:space="preserve"> de-regulative agenda</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In turn, this</w:t>
      </w:r>
      <w:r w:rsidRPr="00DA4326">
        <w:rPr>
          <w:rFonts w:asciiTheme="majorHAnsi" w:hAnsiTheme="majorHAnsi" w:cstheme="majorHAnsi"/>
          <w:sz w:val="23"/>
          <w:szCs w:val="23"/>
        </w:rPr>
        <w:t xml:space="preserve"> had massive impacts on </w:t>
      </w:r>
      <w:r>
        <w:rPr>
          <w:rFonts w:asciiTheme="majorHAnsi" w:hAnsiTheme="majorHAnsi" w:cstheme="majorHAnsi"/>
          <w:sz w:val="23"/>
          <w:szCs w:val="23"/>
        </w:rPr>
        <w:t xml:space="preserve">both </w:t>
      </w:r>
      <w:r w:rsidRPr="00DA4326">
        <w:rPr>
          <w:rFonts w:asciiTheme="majorHAnsi" w:hAnsiTheme="majorHAnsi" w:cstheme="majorHAnsi"/>
          <w:sz w:val="23"/>
          <w:szCs w:val="23"/>
        </w:rPr>
        <w:t xml:space="preserve">the receiving </w:t>
      </w:r>
      <w:r>
        <w:rPr>
          <w:rFonts w:asciiTheme="majorHAnsi" w:hAnsiTheme="majorHAnsi" w:cstheme="majorHAnsi"/>
          <w:sz w:val="23"/>
          <w:szCs w:val="23"/>
        </w:rPr>
        <w:t xml:space="preserve">and </w:t>
      </w:r>
      <w:r w:rsidRPr="00DA4326">
        <w:rPr>
          <w:rFonts w:asciiTheme="majorHAnsi" w:hAnsiTheme="majorHAnsi" w:cstheme="majorHAnsi"/>
          <w:sz w:val="23"/>
          <w:szCs w:val="23"/>
        </w:rPr>
        <w:t xml:space="preserve">abandoned countries and regions </w:t>
      </w:r>
      <w:r>
        <w:rPr>
          <w:rFonts w:asciiTheme="majorHAnsi" w:hAnsiTheme="majorHAnsi" w:cstheme="majorHAnsi"/>
          <w:noProof/>
          <w:sz w:val="23"/>
          <w:szCs w:val="23"/>
        </w:rPr>
        <w:t>(Dicken, 2007)</w:t>
      </w:r>
      <w:r w:rsidRPr="00DA4326">
        <w:rPr>
          <w:rFonts w:asciiTheme="majorHAnsi" w:hAnsiTheme="majorHAnsi" w:cstheme="majorHAnsi"/>
          <w:sz w:val="23"/>
          <w:szCs w:val="23"/>
        </w:rPr>
        <w:t>.</w:t>
      </w:r>
    </w:p>
    <w:p w14:paraId="31882A5F" w14:textId="54E5692F" w:rsidR="00F00E3D" w:rsidRDefault="00F00E3D" w:rsidP="009B2FA7">
      <w:pPr>
        <w:spacing w:line="276" w:lineRule="auto"/>
        <w:rPr>
          <w:rFonts w:asciiTheme="majorHAnsi" w:hAnsiTheme="majorHAnsi" w:cstheme="majorHAnsi"/>
          <w:sz w:val="23"/>
          <w:szCs w:val="23"/>
        </w:rPr>
      </w:pPr>
      <w:r>
        <w:rPr>
          <w:rFonts w:asciiTheme="majorHAnsi" w:hAnsiTheme="majorHAnsi" w:cstheme="majorHAnsi"/>
          <w:sz w:val="23"/>
          <w:szCs w:val="23"/>
        </w:rPr>
        <w:t>Feminist a</w:t>
      </w:r>
      <w:r w:rsidRPr="00DA4326">
        <w:rPr>
          <w:rFonts w:asciiTheme="majorHAnsi" w:hAnsiTheme="majorHAnsi" w:cstheme="majorHAnsi"/>
          <w:sz w:val="23"/>
          <w:szCs w:val="23"/>
        </w:rPr>
        <w:t xml:space="preserve">nalysis of these recent changes </w:t>
      </w:r>
      <w:r>
        <w:rPr>
          <w:rFonts w:asciiTheme="majorHAnsi" w:hAnsiTheme="majorHAnsi" w:cstheme="majorHAnsi"/>
          <w:sz w:val="23"/>
          <w:szCs w:val="23"/>
        </w:rPr>
        <w:t>has</w:t>
      </w:r>
      <w:r w:rsidRPr="00DA4326">
        <w:rPr>
          <w:rFonts w:asciiTheme="majorHAnsi" w:hAnsiTheme="majorHAnsi" w:cstheme="majorHAnsi"/>
          <w:sz w:val="23"/>
          <w:szCs w:val="23"/>
        </w:rPr>
        <w:t xml:space="preserve"> extended the class analysis to take in complications generated by the racialis</w:t>
      </w:r>
      <w:r>
        <w:rPr>
          <w:rFonts w:asciiTheme="majorHAnsi" w:hAnsiTheme="majorHAnsi" w:cstheme="majorHAnsi"/>
          <w:sz w:val="23"/>
          <w:szCs w:val="23"/>
        </w:rPr>
        <w:t>ed</w:t>
      </w:r>
      <w:r w:rsidRPr="00DA4326">
        <w:rPr>
          <w:rFonts w:asciiTheme="majorHAnsi" w:hAnsiTheme="majorHAnsi" w:cstheme="majorHAnsi"/>
          <w:sz w:val="23"/>
          <w:szCs w:val="23"/>
        </w:rPr>
        <w:t xml:space="preserve"> and gender</w:t>
      </w:r>
      <w:r>
        <w:rPr>
          <w:rFonts w:asciiTheme="majorHAnsi" w:hAnsiTheme="majorHAnsi" w:cstheme="majorHAnsi"/>
          <w:sz w:val="23"/>
          <w:szCs w:val="23"/>
        </w:rPr>
        <w:t>ed nature</w:t>
      </w:r>
      <w:r w:rsidRPr="00DA4326">
        <w:rPr>
          <w:rFonts w:asciiTheme="majorHAnsi" w:hAnsiTheme="majorHAnsi" w:cstheme="majorHAnsi"/>
          <w:sz w:val="23"/>
          <w:szCs w:val="23"/>
        </w:rPr>
        <w:t xml:space="preserve"> of these processes (see for example</w:t>
      </w:r>
      <w:r>
        <w:rPr>
          <w:rFonts w:asciiTheme="majorHAnsi" w:hAnsiTheme="majorHAnsi" w:cstheme="majorHAnsi"/>
          <w:sz w:val="23"/>
          <w:szCs w:val="23"/>
        </w:rPr>
        <w:t xml:space="preserve"> </w:t>
      </w:r>
      <w:r>
        <w:rPr>
          <w:rFonts w:asciiTheme="majorHAnsi" w:hAnsiTheme="majorHAnsi" w:cstheme="majorHAnsi"/>
          <w:noProof/>
          <w:sz w:val="23"/>
          <w:szCs w:val="23"/>
        </w:rPr>
        <w:t>Nash &amp; Fernández-Kelly, 1983</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A</w:t>
      </w:r>
      <w:r w:rsidRPr="00DA4326">
        <w:rPr>
          <w:rFonts w:asciiTheme="majorHAnsi" w:hAnsiTheme="majorHAnsi" w:cstheme="majorHAnsi"/>
          <w:sz w:val="23"/>
          <w:szCs w:val="23"/>
        </w:rPr>
        <w:t>pplied to countries like Australia,</w:t>
      </w:r>
      <w:r w:rsidRPr="004C16E2">
        <w:rPr>
          <w:rFonts w:asciiTheme="majorHAnsi" w:hAnsiTheme="majorHAnsi" w:cstheme="majorHAnsi"/>
          <w:sz w:val="23"/>
          <w:szCs w:val="23"/>
        </w:rPr>
        <w:t xml:space="preserve"> </w:t>
      </w:r>
      <w:r>
        <w:rPr>
          <w:rFonts w:asciiTheme="majorHAnsi" w:hAnsiTheme="majorHAnsi" w:cstheme="majorHAnsi"/>
          <w:sz w:val="23"/>
          <w:szCs w:val="23"/>
        </w:rPr>
        <w:t>this</w:t>
      </w:r>
      <w:r w:rsidRPr="00DA4326">
        <w:rPr>
          <w:rFonts w:asciiTheme="majorHAnsi" w:hAnsiTheme="majorHAnsi" w:cstheme="majorHAnsi"/>
          <w:sz w:val="23"/>
          <w:szCs w:val="23"/>
        </w:rPr>
        <w:t xml:space="preserve"> analysis </w:t>
      </w:r>
      <w:r>
        <w:rPr>
          <w:rFonts w:asciiTheme="majorHAnsi" w:hAnsiTheme="majorHAnsi" w:cstheme="majorHAnsi"/>
          <w:sz w:val="23"/>
          <w:szCs w:val="23"/>
        </w:rPr>
        <w:t>sees</w:t>
      </w:r>
      <w:r w:rsidRPr="00DA4326">
        <w:rPr>
          <w:rFonts w:asciiTheme="majorHAnsi" w:hAnsiTheme="majorHAnsi" w:cstheme="majorHAnsi"/>
          <w:sz w:val="23"/>
          <w:szCs w:val="23"/>
        </w:rPr>
        <w:t xml:space="preserve"> the collapse in the local textile industry </w:t>
      </w:r>
      <w:r>
        <w:rPr>
          <w:rFonts w:asciiTheme="majorHAnsi" w:hAnsiTheme="majorHAnsi" w:cstheme="majorHAnsi"/>
          <w:sz w:val="23"/>
          <w:szCs w:val="23"/>
        </w:rPr>
        <w:t xml:space="preserve">as </w:t>
      </w:r>
      <w:r w:rsidRPr="00DA4326">
        <w:rPr>
          <w:rFonts w:asciiTheme="majorHAnsi" w:hAnsiTheme="majorHAnsi" w:cstheme="majorHAnsi"/>
          <w:sz w:val="23"/>
          <w:szCs w:val="23"/>
        </w:rPr>
        <w:t>result</w:t>
      </w:r>
      <w:r>
        <w:rPr>
          <w:rFonts w:asciiTheme="majorHAnsi" w:hAnsiTheme="majorHAnsi" w:cstheme="majorHAnsi"/>
          <w:sz w:val="23"/>
          <w:szCs w:val="23"/>
        </w:rPr>
        <w:t>ing</w:t>
      </w:r>
      <w:r w:rsidRPr="00DA4326">
        <w:rPr>
          <w:rFonts w:asciiTheme="majorHAnsi" w:hAnsiTheme="majorHAnsi" w:cstheme="majorHAnsi"/>
          <w:sz w:val="23"/>
          <w:szCs w:val="23"/>
        </w:rPr>
        <w:t xml:space="preserve"> from the offshore movement of multinational capital and the massive inflow of cheaply produced goods from </w:t>
      </w:r>
      <w:r>
        <w:rPr>
          <w:rFonts w:asciiTheme="majorHAnsi" w:hAnsiTheme="majorHAnsi" w:cstheme="majorHAnsi"/>
          <w:sz w:val="23"/>
          <w:szCs w:val="23"/>
        </w:rPr>
        <w:t>S</w:t>
      </w:r>
      <w:r w:rsidRPr="00DA4326">
        <w:rPr>
          <w:rFonts w:asciiTheme="majorHAnsi" w:hAnsiTheme="majorHAnsi" w:cstheme="majorHAnsi"/>
          <w:sz w:val="23"/>
          <w:szCs w:val="23"/>
        </w:rPr>
        <w:t xml:space="preserve">outh East Asia (see </w:t>
      </w:r>
      <w:r>
        <w:rPr>
          <w:rFonts w:asciiTheme="majorHAnsi" w:hAnsiTheme="majorHAnsi" w:cstheme="majorHAnsi"/>
          <w:noProof/>
          <w:sz w:val="23"/>
          <w:szCs w:val="23"/>
        </w:rPr>
        <w:t>Johnson, 1990</w:t>
      </w:r>
      <w:r w:rsidRPr="00DA4326">
        <w:rPr>
          <w:rFonts w:asciiTheme="majorHAnsi" w:hAnsiTheme="majorHAnsi" w:cstheme="majorHAnsi"/>
          <w:sz w:val="23"/>
          <w:szCs w:val="23"/>
        </w:rPr>
        <w:t>).</w:t>
      </w:r>
    </w:p>
    <w:p w14:paraId="4FCE4A30" w14:textId="09D5E8D0" w:rsidR="00F00E3D" w:rsidRPr="00DA4326" w:rsidRDefault="00F00E3D" w:rsidP="009B2FA7">
      <w:pPr>
        <w:spacing w:line="276" w:lineRule="auto"/>
        <w:rPr>
          <w:rFonts w:asciiTheme="majorHAnsi" w:hAnsiTheme="majorHAnsi" w:cstheme="majorHAnsi"/>
          <w:sz w:val="23"/>
          <w:szCs w:val="23"/>
        </w:rPr>
      </w:pPr>
      <w:r w:rsidRPr="00DA4326">
        <w:rPr>
          <w:rFonts w:asciiTheme="majorHAnsi" w:hAnsiTheme="majorHAnsi" w:cstheme="majorHAnsi"/>
          <w:sz w:val="23"/>
          <w:szCs w:val="23"/>
        </w:rPr>
        <w:t>In regional centres like Geelong, the textile industry began to contract in the mid-1970s and continued to decline</w:t>
      </w:r>
      <w:r w:rsidRPr="001707AF">
        <w:rPr>
          <w:rFonts w:asciiTheme="majorHAnsi" w:hAnsiTheme="majorHAnsi" w:cstheme="majorHAnsi"/>
          <w:sz w:val="23"/>
          <w:szCs w:val="23"/>
        </w:rPr>
        <w:t xml:space="preserve"> </w:t>
      </w:r>
      <w:r w:rsidRPr="00DA4326">
        <w:rPr>
          <w:rFonts w:asciiTheme="majorHAnsi" w:hAnsiTheme="majorHAnsi" w:cstheme="majorHAnsi"/>
          <w:sz w:val="23"/>
          <w:szCs w:val="23"/>
        </w:rPr>
        <w:t>over the subsequent decades</w:t>
      </w:r>
      <w:r>
        <w:rPr>
          <w:rFonts w:asciiTheme="majorHAnsi" w:hAnsiTheme="majorHAnsi" w:cstheme="majorHAnsi"/>
          <w:sz w:val="23"/>
          <w:szCs w:val="23"/>
        </w:rPr>
        <w:t>,</w:t>
      </w:r>
      <w:r w:rsidRPr="00DA4326">
        <w:rPr>
          <w:rFonts w:asciiTheme="majorHAnsi" w:hAnsiTheme="majorHAnsi" w:cstheme="majorHAnsi"/>
          <w:sz w:val="23"/>
          <w:szCs w:val="23"/>
        </w:rPr>
        <w:t xml:space="preserve"> along with car and truck making</w:t>
      </w:r>
      <w:r>
        <w:rPr>
          <w:rFonts w:asciiTheme="majorHAnsi" w:hAnsiTheme="majorHAnsi" w:cstheme="majorHAnsi"/>
          <w:sz w:val="23"/>
          <w:szCs w:val="23"/>
        </w:rPr>
        <w:t>,</w:t>
      </w:r>
      <w:r w:rsidRPr="00DA4326">
        <w:rPr>
          <w:rFonts w:asciiTheme="majorHAnsi" w:hAnsiTheme="majorHAnsi" w:cstheme="majorHAnsi"/>
          <w:sz w:val="23"/>
          <w:szCs w:val="23"/>
        </w:rPr>
        <w:t xml:space="preserve"> to the point where </w:t>
      </w:r>
      <w:r>
        <w:rPr>
          <w:rFonts w:asciiTheme="majorHAnsi" w:hAnsiTheme="majorHAnsi" w:cstheme="majorHAnsi"/>
          <w:sz w:val="23"/>
          <w:szCs w:val="23"/>
        </w:rPr>
        <w:t>the city’s</w:t>
      </w:r>
      <w:r w:rsidRPr="00DA4326">
        <w:rPr>
          <w:rFonts w:asciiTheme="majorHAnsi" w:hAnsiTheme="majorHAnsi" w:cstheme="majorHAnsi"/>
          <w:sz w:val="23"/>
          <w:szCs w:val="23"/>
        </w:rPr>
        <w:t xml:space="preserve"> manufacturing base has all but collapsed. Impacts were unevenly felt on the gendered labour force and across the locality, with large displacements of workers </w:t>
      </w:r>
      <w:r>
        <w:rPr>
          <w:rFonts w:asciiTheme="majorHAnsi" w:hAnsiTheme="majorHAnsi" w:cstheme="majorHAnsi"/>
          <w:sz w:val="23"/>
          <w:szCs w:val="23"/>
        </w:rPr>
        <w:t>living in</w:t>
      </w:r>
      <w:r w:rsidRPr="00DA4326">
        <w:rPr>
          <w:rFonts w:asciiTheme="majorHAnsi" w:hAnsiTheme="majorHAnsi" w:cstheme="majorHAnsi"/>
          <w:sz w:val="23"/>
          <w:szCs w:val="23"/>
        </w:rPr>
        <w:t xml:space="preserve"> the </w:t>
      </w:r>
      <w:r>
        <w:rPr>
          <w:rFonts w:asciiTheme="majorHAnsi" w:hAnsiTheme="majorHAnsi" w:cstheme="majorHAnsi"/>
          <w:sz w:val="23"/>
          <w:szCs w:val="23"/>
        </w:rPr>
        <w:t xml:space="preserve">city’s </w:t>
      </w:r>
      <w:r w:rsidRPr="00DA4326">
        <w:rPr>
          <w:rFonts w:asciiTheme="majorHAnsi" w:hAnsiTheme="majorHAnsi" w:cstheme="majorHAnsi"/>
          <w:sz w:val="23"/>
          <w:szCs w:val="23"/>
        </w:rPr>
        <w:t xml:space="preserve">northern suburbs (see </w:t>
      </w:r>
      <w:r>
        <w:rPr>
          <w:rFonts w:asciiTheme="majorHAnsi" w:hAnsiTheme="majorHAnsi" w:cstheme="majorHAnsi"/>
          <w:noProof/>
          <w:sz w:val="23"/>
          <w:szCs w:val="23"/>
        </w:rPr>
        <w:t>Johnson, 1990</w:t>
      </w:r>
      <w:r w:rsidRPr="00DA4326">
        <w:rPr>
          <w:rFonts w:asciiTheme="majorHAnsi" w:hAnsiTheme="majorHAnsi" w:cstheme="majorHAnsi"/>
          <w:sz w:val="23"/>
          <w:szCs w:val="23"/>
        </w:rPr>
        <w:t xml:space="preserve">). Alongside plant closures </w:t>
      </w:r>
      <w:r>
        <w:rPr>
          <w:rFonts w:asciiTheme="majorHAnsi" w:hAnsiTheme="majorHAnsi" w:cstheme="majorHAnsi"/>
          <w:sz w:val="23"/>
          <w:szCs w:val="23"/>
        </w:rPr>
        <w:t>came</w:t>
      </w:r>
      <w:r w:rsidRPr="00DA4326">
        <w:rPr>
          <w:rFonts w:asciiTheme="majorHAnsi" w:hAnsiTheme="majorHAnsi" w:cstheme="majorHAnsi"/>
          <w:sz w:val="23"/>
          <w:szCs w:val="23"/>
        </w:rPr>
        <w:t xml:space="preserve"> a deregulated currency, the </w:t>
      </w:r>
      <w:r>
        <w:rPr>
          <w:rFonts w:asciiTheme="majorHAnsi" w:hAnsiTheme="majorHAnsi" w:cstheme="majorHAnsi"/>
          <w:sz w:val="23"/>
          <w:szCs w:val="23"/>
        </w:rPr>
        <w:t>dismantling</w:t>
      </w:r>
      <w:r w:rsidRPr="00DA4326">
        <w:rPr>
          <w:rFonts w:asciiTheme="majorHAnsi" w:hAnsiTheme="majorHAnsi" w:cstheme="majorHAnsi"/>
          <w:sz w:val="23"/>
          <w:szCs w:val="23"/>
        </w:rPr>
        <w:t xml:space="preserve"> of trade barriers</w:t>
      </w:r>
      <w:r>
        <w:rPr>
          <w:rFonts w:asciiTheme="majorHAnsi" w:hAnsiTheme="majorHAnsi" w:cstheme="majorHAnsi"/>
          <w:sz w:val="23"/>
          <w:szCs w:val="23"/>
        </w:rPr>
        <w:t>,</w:t>
      </w:r>
      <w:r w:rsidRPr="00DA4326">
        <w:rPr>
          <w:rFonts w:asciiTheme="majorHAnsi" w:hAnsiTheme="majorHAnsi" w:cstheme="majorHAnsi"/>
          <w:sz w:val="23"/>
          <w:szCs w:val="23"/>
        </w:rPr>
        <w:t xml:space="preserve"> and the withdrawal of the State from public housing and service delivery</w:t>
      </w:r>
      <w:r>
        <w:rPr>
          <w:rFonts w:asciiTheme="majorHAnsi" w:hAnsiTheme="majorHAnsi" w:cstheme="majorHAnsi"/>
          <w:sz w:val="23"/>
          <w:szCs w:val="23"/>
        </w:rPr>
        <w:t>. Together, these factors</w:t>
      </w:r>
      <w:r w:rsidRPr="00DA4326">
        <w:rPr>
          <w:rFonts w:asciiTheme="majorHAnsi" w:hAnsiTheme="majorHAnsi" w:cstheme="majorHAnsi"/>
          <w:sz w:val="23"/>
          <w:szCs w:val="23"/>
        </w:rPr>
        <w:t xml:space="preserve"> produce</w:t>
      </w:r>
      <w:r>
        <w:rPr>
          <w:rFonts w:asciiTheme="majorHAnsi" w:hAnsiTheme="majorHAnsi" w:cstheme="majorHAnsi"/>
          <w:sz w:val="23"/>
          <w:szCs w:val="23"/>
        </w:rPr>
        <w:t>d</w:t>
      </w:r>
      <w:r w:rsidRPr="00DA4326">
        <w:rPr>
          <w:rFonts w:asciiTheme="majorHAnsi" w:hAnsiTheme="majorHAnsi" w:cstheme="majorHAnsi"/>
          <w:sz w:val="23"/>
          <w:szCs w:val="23"/>
        </w:rPr>
        <w:t xml:space="preserve"> concentrations of profound social inequality in </w:t>
      </w:r>
      <w:r>
        <w:rPr>
          <w:rFonts w:asciiTheme="majorHAnsi" w:hAnsiTheme="majorHAnsi" w:cstheme="majorHAnsi"/>
          <w:sz w:val="23"/>
          <w:szCs w:val="23"/>
        </w:rPr>
        <w:t xml:space="preserve">Australia’s </w:t>
      </w:r>
      <w:r w:rsidRPr="00DA4326">
        <w:rPr>
          <w:rFonts w:asciiTheme="majorHAnsi" w:hAnsiTheme="majorHAnsi" w:cstheme="majorHAnsi"/>
          <w:sz w:val="23"/>
          <w:szCs w:val="23"/>
        </w:rPr>
        <w:t xml:space="preserve">older industrial cities and regions </w:t>
      </w:r>
      <w:r>
        <w:rPr>
          <w:rFonts w:asciiTheme="majorHAnsi" w:hAnsiTheme="majorHAnsi" w:cstheme="majorHAnsi"/>
          <w:noProof/>
          <w:sz w:val="23"/>
          <w:szCs w:val="23"/>
        </w:rPr>
        <w:t>(Beer, 2009; Gleeson, 2006; Peel, 1995)</w:t>
      </w:r>
      <w:r w:rsidRPr="00DA4326">
        <w:rPr>
          <w:rFonts w:asciiTheme="majorHAnsi" w:hAnsiTheme="majorHAnsi" w:cstheme="majorHAnsi"/>
          <w:sz w:val="23"/>
          <w:szCs w:val="23"/>
        </w:rPr>
        <w:t xml:space="preserve">. </w:t>
      </w:r>
    </w:p>
    <w:p w14:paraId="3800FED0" w14:textId="77777777" w:rsidR="00F00E3D" w:rsidRPr="00DA4326" w:rsidRDefault="00F00E3D" w:rsidP="009B2FA7">
      <w:pPr>
        <w:spacing w:line="276" w:lineRule="auto"/>
        <w:rPr>
          <w:rFonts w:asciiTheme="majorHAnsi" w:hAnsiTheme="majorHAnsi" w:cstheme="majorHAnsi"/>
          <w:sz w:val="23"/>
          <w:szCs w:val="23"/>
        </w:rPr>
      </w:pPr>
      <w:r w:rsidRPr="00DA4326">
        <w:rPr>
          <w:rFonts w:asciiTheme="majorHAnsi" w:hAnsiTheme="majorHAnsi" w:cstheme="majorHAnsi"/>
          <w:sz w:val="23"/>
          <w:szCs w:val="23"/>
        </w:rPr>
        <w:t>A class-based explanation of these changes offers a structural framework by which to understand how</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 xml:space="preserve">in </w:t>
      </w:r>
      <w:r w:rsidRPr="00DA4326">
        <w:rPr>
          <w:rFonts w:asciiTheme="majorHAnsi" w:hAnsiTheme="majorHAnsi" w:cstheme="majorHAnsi"/>
          <w:sz w:val="23"/>
          <w:szCs w:val="23"/>
        </w:rPr>
        <w:t>a regional city like Geelong</w:t>
      </w:r>
      <w:r>
        <w:rPr>
          <w:rFonts w:asciiTheme="majorHAnsi" w:hAnsiTheme="majorHAnsi" w:cstheme="majorHAnsi"/>
          <w:sz w:val="23"/>
          <w:szCs w:val="23"/>
        </w:rPr>
        <w:t>, certain areas become populated by</w:t>
      </w:r>
      <w:r w:rsidRPr="00DA4326">
        <w:rPr>
          <w:rFonts w:asciiTheme="majorHAnsi" w:hAnsiTheme="majorHAnsi" w:cstheme="majorHAnsi"/>
          <w:sz w:val="23"/>
          <w:szCs w:val="23"/>
        </w:rPr>
        <w:t xml:space="preserve"> empty factories and legions of unemployed people. However, the ameliorative policy actions </w:t>
      </w:r>
      <w:r>
        <w:rPr>
          <w:rFonts w:asciiTheme="majorHAnsi" w:hAnsiTheme="majorHAnsi" w:cstheme="majorHAnsi"/>
          <w:sz w:val="23"/>
          <w:szCs w:val="23"/>
        </w:rPr>
        <w:t>flowing</w:t>
      </w:r>
      <w:r w:rsidRPr="00DA4326">
        <w:rPr>
          <w:rFonts w:asciiTheme="majorHAnsi" w:hAnsiTheme="majorHAnsi" w:cstheme="majorHAnsi"/>
          <w:sz w:val="23"/>
          <w:szCs w:val="23"/>
        </w:rPr>
        <w:t xml:space="preserve"> from this analysis are limited, as the fundamental cause lies in the actual model of accumulation and</w:t>
      </w:r>
      <w:r>
        <w:rPr>
          <w:rFonts w:asciiTheme="majorHAnsi" w:hAnsiTheme="majorHAnsi" w:cstheme="majorHAnsi"/>
          <w:sz w:val="23"/>
          <w:szCs w:val="23"/>
        </w:rPr>
        <w:t xml:space="preserve"> in</w:t>
      </w:r>
      <w:r w:rsidRPr="00DA4326">
        <w:rPr>
          <w:rFonts w:asciiTheme="majorHAnsi" w:hAnsiTheme="majorHAnsi" w:cstheme="majorHAnsi"/>
          <w:sz w:val="23"/>
          <w:szCs w:val="23"/>
        </w:rPr>
        <w:t xml:space="preserve"> State complicity, both of which are unlikely to change fundamentally. </w:t>
      </w:r>
      <w:r>
        <w:rPr>
          <w:rFonts w:asciiTheme="majorHAnsi" w:hAnsiTheme="majorHAnsi" w:cstheme="majorHAnsi"/>
          <w:sz w:val="23"/>
          <w:szCs w:val="23"/>
        </w:rPr>
        <w:t>W</w:t>
      </w:r>
      <w:r w:rsidRPr="00DA4326">
        <w:rPr>
          <w:rFonts w:asciiTheme="majorHAnsi" w:hAnsiTheme="majorHAnsi" w:cstheme="majorHAnsi"/>
          <w:sz w:val="23"/>
          <w:szCs w:val="23"/>
        </w:rPr>
        <w:t>hile useful</w:t>
      </w:r>
      <w:r>
        <w:rPr>
          <w:rFonts w:asciiTheme="majorHAnsi" w:hAnsiTheme="majorHAnsi" w:cstheme="majorHAnsi"/>
          <w:sz w:val="23"/>
          <w:szCs w:val="23"/>
        </w:rPr>
        <w:t>, t</w:t>
      </w:r>
      <w:r w:rsidRPr="00DA4326">
        <w:rPr>
          <w:rFonts w:asciiTheme="majorHAnsi" w:hAnsiTheme="majorHAnsi" w:cstheme="majorHAnsi"/>
          <w:sz w:val="23"/>
          <w:szCs w:val="23"/>
        </w:rPr>
        <w:t>he political economy analysis</w:t>
      </w:r>
      <w:r>
        <w:rPr>
          <w:rFonts w:asciiTheme="majorHAnsi" w:hAnsiTheme="majorHAnsi" w:cstheme="majorHAnsi"/>
          <w:sz w:val="23"/>
          <w:szCs w:val="23"/>
        </w:rPr>
        <w:t xml:space="preserve"> thus</w:t>
      </w:r>
      <w:r w:rsidRPr="00DA4326">
        <w:rPr>
          <w:rFonts w:asciiTheme="majorHAnsi" w:hAnsiTheme="majorHAnsi" w:cstheme="majorHAnsi"/>
          <w:sz w:val="23"/>
          <w:szCs w:val="23"/>
        </w:rPr>
        <w:t xml:space="preserve"> produces only limited strategies for action</w:t>
      </w:r>
      <w:r>
        <w:rPr>
          <w:rFonts w:asciiTheme="majorHAnsi" w:hAnsiTheme="majorHAnsi" w:cstheme="majorHAnsi"/>
          <w:sz w:val="23"/>
          <w:szCs w:val="23"/>
        </w:rPr>
        <w:t>. Options include</w:t>
      </w:r>
      <w:r w:rsidRPr="00DA4326">
        <w:rPr>
          <w:rFonts w:asciiTheme="majorHAnsi" w:hAnsiTheme="majorHAnsi" w:cstheme="majorHAnsi"/>
          <w:sz w:val="23"/>
          <w:szCs w:val="23"/>
        </w:rPr>
        <w:t xml:space="preserve"> working with the unemployed themselves to create alternatives and improve conditions; challenging State policies of deregulation, service withdrawal</w:t>
      </w:r>
      <w:r>
        <w:rPr>
          <w:rFonts w:asciiTheme="majorHAnsi" w:hAnsiTheme="majorHAnsi" w:cstheme="majorHAnsi"/>
          <w:sz w:val="23"/>
          <w:szCs w:val="23"/>
        </w:rPr>
        <w:t>,</w:t>
      </w:r>
      <w:r w:rsidRPr="00DA4326">
        <w:rPr>
          <w:rFonts w:asciiTheme="majorHAnsi" w:hAnsiTheme="majorHAnsi" w:cstheme="majorHAnsi"/>
          <w:sz w:val="23"/>
          <w:szCs w:val="23"/>
        </w:rPr>
        <w:t xml:space="preserve"> and privatisation; and</w:t>
      </w:r>
      <w:r>
        <w:rPr>
          <w:rFonts w:asciiTheme="majorHAnsi" w:hAnsiTheme="majorHAnsi" w:cstheme="majorHAnsi"/>
          <w:sz w:val="23"/>
          <w:szCs w:val="23"/>
        </w:rPr>
        <w:t xml:space="preserve"> </w:t>
      </w:r>
      <w:r w:rsidRPr="00DA4326">
        <w:rPr>
          <w:rFonts w:asciiTheme="majorHAnsi" w:hAnsiTheme="majorHAnsi" w:cstheme="majorHAnsi"/>
          <w:sz w:val="23"/>
          <w:szCs w:val="23"/>
        </w:rPr>
        <w:t xml:space="preserve">questioning the subsidy regime </w:t>
      </w:r>
      <w:r>
        <w:rPr>
          <w:rFonts w:asciiTheme="majorHAnsi" w:hAnsiTheme="majorHAnsi" w:cstheme="majorHAnsi"/>
          <w:sz w:val="23"/>
          <w:szCs w:val="23"/>
        </w:rPr>
        <w:t>under</w:t>
      </w:r>
      <w:r w:rsidRPr="00DA4326">
        <w:rPr>
          <w:rFonts w:asciiTheme="majorHAnsi" w:hAnsiTheme="majorHAnsi" w:cstheme="majorHAnsi"/>
          <w:sz w:val="23"/>
          <w:szCs w:val="23"/>
        </w:rPr>
        <w:t xml:space="preserve"> which local and multinational capital operates.  </w:t>
      </w:r>
    </w:p>
    <w:p w14:paraId="193C3035" w14:textId="77777777" w:rsidR="00F00E3D" w:rsidRPr="006B0E23" w:rsidRDefault="00F00E3D" w:rsidP="009B2FA7">
      <w:pPr>
        <w:spacing w:line="276" w:lineRule="auto"/>
        <w:rPr>
          <w:rFonts w:cstheme="minorHAnsi"/>
          <w:b/>
          <w:bCs/>
          <w:color w:val="2E74B5" w:themeColor="accent5" w:themeShade="BF"/>
          <w:sz w:val="25"/>
          <w:szCs w:val="25"/>
        </w:rPr>
      </w:pPr>
      <w:r w:rsidRPr="006B0E23">
        <w:rPr>
          <w:rFonts w:cstheme="minorHAnsi"/>
          <w:b/>
          <w:bCs/>
          <w:color w:val="2E74B5" w:themeColor="accent5" w:themeShade="BF"/>
          <w:sz w:val="25"/>
          <w:szCs w:val="25"/>
        </w:rPr>
        <w:t>1.2.2 Community Economy Approach</w:t>
      </w:r>
    </w:p>
    <w:p w14:paraId="35120F09" w14:textId="77777777" w:rsidR="00F00E3D"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t>For Gibson-Graham</w:t>
      </w:r>
      <w:r>
        <w:rPr>
          <w:rFonts w:asciiTheme="majorHAnsi" w:hAnsiTheme="majorHAnsi" w:cstheme="majorBidi"/>
          <w:sz w:val="23"/>
          <w:szCs w:val="23"/>
        </w:rPr>
        <w:t>,</w:t>
      </w:r>
      <w:r w:rsidRPr="359636AC">
        <w:rPr>
          <w:rFonts w:asciiTheme="majorHAnsi" w:hAnsiTheme="majorHAnsi" w:cstheme="majorBidi"/>
          <w:sz w:val="23"/>
          <w:szCs w:val="23"/>
        </w:rPr>
        <w:t xml:space="preserve"> the political economy narrative unduly elevates capitalism to a dominant place in the interpretative schema, eliding other possible explanations, economies</w:t>
      </w:r>
      <w:r>
        <w:rPr>
          <w:rFonts w:asciiTheme="majorHAnsi" w:hAnsiTheme="majorHAnsi" w:cstheme="majorBidi"/>
          <w:sz w:val="23"/>
          <w:szCs w:val="23"/>
        </w:rPr>
        <w:t>,</w:t>
      </w:r>
      <w:r w:rsidRPr="359636AC">
        <w:rPr>
          <w:rFonts w:asciiTheme="majorHAnsi" w:hAnsiTheme="majorHAnsi" w:cstheme="majorBidi"/>
          <w:sz w:val="23"/>
          <w:szCs w:val="23"/>
        </w:rPr>
        <w:t xml:space="preserve"> and courses of action</w:t>
      </w:r>
      <w:r>
        <w:rPr>
          <w:rFonts w:asciiTheme="majorHAnsi" w:hAnsiTheme="majorHAnsi" w:cstheme="majorBidi"/>
          <w:sz w:val="23"/>
          <w:szCs w:val="23"/>
        </w:rPr>
        <w:t xml:space="preserve"> </w:t>
      </w:r>
      <w:r>
        <w:rPr>
          <w:rFonts w:asciiTheme="majorHAnsi" w:hAnsiTheme="majorHAnsi" w:cstheme="majorBidi"/>
          <w:noProof/>
          <w:sz w:val="23"/>
          <w:szCs w:val="23"/>
        </w:rPr>
        <w:t>(Gibson-Graham, 1997)</w:t>
      </w:r>
      <w:r w:rsidRPr="359636AC">
        <w:rPr>
          <w:rFonts w:asciiTheme="majorHAnsi" w:hAnsiTheme="majorHAnsi" w:cstheme="majorBidi"/>
          <w:sz w:val="23"/>
          <w:szCs w:val="23"/>
        </w:rPr>
        <w:t>. Geographers such as Katherine Gibson, Julie Graham</w:t>
      </w:r>
      <w:r>
        <w:rPr>
          <w:rFonts w:asciiTheme="majorHAnsi" w:hAnsiTheme="majorHAnsi" w:cstheme="majorBidi"/>
          <w:sz w:val="23"/>
          <w:szCs w:val="23"/>
        </w:rPr>
        <w:t>,</w:t>
      </w:r>
      <w:r w:rsidRPr="359636AC">
        <w:rPr>
          <w:rFonts w:asciiTheme="majorHAnsi" w:hAnsiTheme="majorHAnsi" w:cstheme="majorBidi"/>
          <w:sz w:val="23"/>
          <w:szCs w:val="23"/>
        </w:rPr>
        <w:t xml:space="preserve"> and Jenny Cameron provide another model by which capitalist class relations can be conceptualised</w:t>
      </w:r>
      <w:r>
        <w:rPr>
          <w:rFonts w:asciiTheme="majorHAnsi" w:hAnsiTheme="majorHAnsi" w:cstheme="majorBidi"/>
          <w:sz w:val="23"/>
          <w:szCs w:val="23"/>
        </w:rPr>
        <w:t>,</w:t>
      </w:r>
      <w:r w:rsidRPr="359636AC">
        <w:rPr>
          <w:rFonts w:asciiTheme="majorHAnsi" w:hAnsiTheme="majorHAnsi" w:cstheme="majorBidi"/>
          <w:sz w:val="23"/>
          <w:szCs w:val="23"/>
        </w:rPr>
        <w:t xml:space="preserve"> and alternatives derived. Drawing on Michel Foucault</w:t>
      </w:r>
      <w:r>
        <w:rPr>
          <w:rFonts w:asciiTheme="majorHAnsi" w:hAnsiTheme="majorHAnsi" w:cstheme="majorBidi"/>
          <w:sz w:val="23"/>
          <w:szCs w:val="23"/>
        </w:rPr>
        <w:t>’s work</w:t>
      </w:r>
      <w:r w:rsidRPr="359636AC">
        <w:rPr>
          <w:rFonts w:asciiTheme="majorHAnsi" w:hAnsiTheme="majorHAnsi" w:cstheme="majorBidi"/>
          <w:sz w:val="23"/>
          <w:szCs w:val="23"/>
        </w:rPr>
        <w:t>, feminism</w:t>
      </w:r>
      <w:r>
        <w:rPr>
          <w:rFonts w:asciiTheme="majorHAnsi" w:hAnsiTheme="majorHAnsi" w:cstheme="majorBidi"/>
          <w:sz w:val="23"/>
          <w:szCs w:val="23"/>
        </w:rPr>
        <w:t>,</w:t>
      </w:r>
      <w:r w:rsidRPr="359636AC">
        <w:rPr>
          <w:rFonts w:asciiTheme="majorHAnsi" w:hAnsiTheme="majorHAnsi" w:cstheme="majorBidi"/>
          <w:sz w:val="23"/>
          <w:szCs w:val="23"/>
        </w:rPr>
        <w:t xml:space="preserve"> and post-structuralist theory, they conceive of Marxist-derived class relations between capital and labour as but one of </w:t>
      </w:r>
      <w:r>
        <w:rPr>
          <w:rFonts w:asciiTheme="majorHAnsi" w:hAnsiTheme="majorHAnsi" w:cstheme="majorBidi"/>
          <w:sz w:val="23"/>
          <w:szCs w:val="23"/>
        </w:rPr>
        <w:t xml:space="preserve">several </w:t>
      </w:r>
      <w:r w:rsidRPr="359636AC">
        <w:rPr>
          <w:rFonts w:asciiTheme="majorHAnsi" w:hAnsiTheme="majorHAnsi" w:cstheme="majorBidi"/>
          <w:sz w:val="23"/>
          <w:szCs w:val="23"/>
        </w:rPr>
        <w:t>possible social relations between organisations, social groups</w:t>
      </w:r>
      <w:r>
        <w:rPr>
          <w:rFonts w:asciiTheme="majorHAnsi" w:hAnsiTheme="majorHAnsi" w:cstheme="majorBidi"/>
          <w:sz w:val="23"/>
          <w:szCs w:val="23"/>
        </w:rPr>
        <w:t>,</w:t>
      </w:r>
      <w:r w:rsidRPr="359636AC">
        <w:rPr>
          <w:rFonts w:asciiTheme="majorHAnsi" w:hAnsiTheme="majorHAnsi" w:cstheme="majorBidi"/>
          <w:sz w:val="23"/>
          <w:szCs w:val="23"/>
        </w:rPr>
        <w:t xml:space="preserve"> and labour. They emphasise an array of other social and economic relationships</w:t>
      </w:r>
      <w:r>
        <w:rPr>
          <w:rFonts w:asciiTheme="majorHAnsi" w:hAnsiTheme="majorHAnsi" w:cstheme="majorBidi"/>
          <w:sz w:val="23"/>
          <w:szCs w:val="23"/>
        </w:rPr>
        <w:t>,</w:t>
      </w:r>
      <w:r w:rsidRPr="359636AC">
        <w:rPr>
          <w:rFonts w:asciiTheme="majorHAnsi" w:hAnsiTheme="majorHAnsi" w:cstheme="majorBidi"/>
          <w:sz w:val="23"/>
          <w:szCs w:val="23"/>
        </w:rPr>
        <w:t xml:space="preserve"> extend</w:t>
      </w:r>
      <w:r>
        <w:rPr>
          <w:rFonts w:asciiTheme="majorHAnsi" w:hAnsiTheme="majorHAnsi" w:cstheme="majorBidi"/>
          <w:sz w:val="23"/>
          <w:szCs w:val="23"/>
        </w:rPr>
        <w:t>ing</w:t>
      </w:r>
      <w:r w:rsidRPr="359636AC">
        <w:rPr>
          <w:rFonts w:asciiTheme="majorHAnsi" w:hAnsiTheme="majorHAnsi" w:cstheme="majorBidi"/>
          <w:sz w:val="23"/>
          <w:szCs w:val="23"/>
        </w:rPr>
        <w:t xml:space="preserve"> from theft and gift</w:t>
      </w:r>
      <w:r>
        <w:rPr>
          <w:rFonts w:asciiTheme="majorHAnsi" w:hAnsiTheme="majorHAnsi" w:cstheme="majorBidi"/>
          <w:sz w:val="23"/>
          <w:szCs w:val="23"/>
        </w:rPr>
        <w:t>-</w:t>
      </w:r>
      <w:r w:rsidRPr="359636AC">
        <w:rPr>
          <w:rFonts w:asciiTheme="majorHAnsi" w:hAnsiTheme="majorHAnsi" w:cstheme="majorBidi"/>
          <w:sz w:val="23"/>
          <w:szCs w:val="23"/>
        </w:rPr>
        <w:t xml:space="preserve">giving to exchanges of labour associated with </w:t>
      </w:r>
      <w:r w:rsidRPr="359636AC">
        <w:rPr>
          <w:rFonts w:asciiTheme="majorHAnsi" w:hAnsiTheme="majorHAnsi" w:cstheme="majorBidi"/>
          <w:sz w:val="23"/>
          <w:szCs w:val="23"/>
        </w:rPr>
        <w:lastRenderedPageBreak/>
        <w:t>domestic work, volunteering, neighbourliness</w:t>
      </w:r>
      <w:r>
        <w:rPr>
          <w:rFonts w:asciiTheme="majorHAnsi" w:hAnsiTheme="majorHAnsi" w:cstheme="majorBidi"/>
          <w:sz w:val="23"/>
          <w:szCs w:val="23"/>
        </w:rPr>
        <w:t>,</w:t>
      </w:r>
      <w:r w:rsidRPr="359636AC">
        <w:rPr>
          <w:rFonts w:asciiTheme="majorHAnsi" w:hAnsiTheme="majorHAnsi" w:cstheme="majorBidi"/>
          <w:sz w:val="23"/>
          <w:szCs w:val="23"/>
        </w:rPr>
        <w:t xml:space="preserve"> and co-operatives</w:t>
      </w:r>
      <w:r>
        <w:rPr>
          <w:rFonts w:asciiTheme="majorHAnsi" w:hAnsiTheme="majorHAnsi" w:cstheme="majorBidi"/>
          <w:sz w:val="23"/>
          <w:szCs w:val="23"/>
        </w:rPr>
        <w:t xml:space="preserve"> </w:t>
      </w:r>
      <w:r>
        <w:rPr>
          <w:rFonts w:asciiTheme="majorHAnsi" w:hAnsiTheme="majorHAnsi" w:cstheme="majorBidi"/>
          <w:noProof/>
          <w:sz w:val="23"/>
          <w:szCs w:val="23"/>
        </w:rPr>
        <w:t>(Cameron &amp; Gibson, 2005a; Gibson-Graham, 1997, 2006)</w:t>
      </w:r>
      <w:r w:rsidRPr="359636AC">
        <w:rPr>
          <w:rFonts w:asciiTheme="majorHAnsi" w:hAnsiTheme="majorHAnsi" w:cstheme="majorBidi"/>
          <w:sz w:val="23"/>
          <w:szCs w:val="23"/>
        </w:rPr>
        <w:t>.</w:t>
      </w:r>
    </w:p>
    <w:p w14:paraId="10D7A570" w14:textId="3D86B772" w:rsidR="00F00E3D" w:rsidRDefault="00F00E3D" w:rsidP="009B2FA7">
      <w:pPr>
        <w:spacing w:line="276" w:lineRule="auto"/>
        <w:rPr>
          <w:rFonts w:asciiTheme="majorHAnsi" w:hAnsiTheme="majorHAnsi" w:cstheme="majorBidi"/>
          <w:sz w:val="23"/>
          <w:szCs w:val="23"/>
        </w:rPr>
      </w:pPr>
      <w:r>
        <w:rPr>
          <w:rFonts w:asciiTheme="majorHAnsi" w:hAnsiTheme="majorHAnsi" w:cstheme="majorBidi"/>
          <w:sz w:val="23"/>
          <w:szCs w:val="23"/>
        </w:rPr>
        <w:t>T</w:t>
      </w:r>
      <w:r w:rsidRPr="359636AC">
        <w:rPr>
          <w:rFonts w:asciiTheme="majorHAnsi" w:hAnsiTheme="majorHAnsi" w:cstheme="majorBidi"/>
          <w:sz w:val="23"/>
          <w:szCs w:val="23"/>
        </w:rPr>
        <w:t>he</w:t>
      </w:r>
      <w:r>
        <w:rPr>
          <w:rFonts w:asciiTheme="majorHAnsi" w:hAnsiTheme="majorHAnsi" w:cstheme="majorBidi"/>
          <w:sz w:val="23"/>
          <w:szCs w:val="23"/>
        </w:rPr>
        <w:t>se</w:t>
      </w:r>
      <w:r w:rsidRPr="359636AC">
        <w:rPr>
          <w:rFonts w:asciiTheme="majorHAnsi" w:hAnsiTheme="majorHAnsi" w:cstheme="majorBidi"/>
          <w:sz w:val="23"/>
          <w:szCs w:val="23"/>
        </w:rPr>
        <w:t xml:space="preserve"> </w:t>
      </w:r>
      <w:r>
        <w:rPr>
          <w:rFonts w:asciiTheme="majorHAnsi" w:hAnsiTheme="majorHAnsi" w:cstheme="majorBidi"/>
          <w:sz w:val="23"/>
          <w:szCs w:val="23"/>
        </w:rPr>
        <w:t>scholars,</w:t>
      </w:r>
      <w:r w:rsidRPr="00B51122">
        <w:rPr>
          <w:rFonts w:asciiTheme="majorHAnsi" w:hAnsiTheme="majorHAnsi" w:cstheme="majorBidi"/>
          <w:sz w:val="23"/>
          <w:szCs w:val="23"/>
        </w:rPr>
        <w:t xml:space="preserve"> </w:t>
      </w:r>
      <w:r>
        <w:rPr>
          <w:rFonts w:asciiTheme="majorHAnsi" w:hAnsiTheme="majorHAnsi" w:cstheme="majorBidi"/>
          <w:sz w:val="23"/>
          <w:szCs w:val="23"/>
        </w:rPr>
        <w:t>a</w:t>
      </w:r>
      <w:r w:rsidRPr="359636AC">
        <w:rPr>
          <w:rFonts w:asciiTheme="majorHAnsi" w:hAnsiTheme="majorHAnsi" w:cstheme="majorBidi"/>
          <w:sz w:val="23"/>
          <w:szCs w:val="23"/>
        </w:rPr>
        <w:t>long with other</w:t>
      </w:r>
      <w:r>
        <w:rPr>
          <w:rFonts w:asciiTheme="majorHAnsi" w:hAnsiTheme="majorHAnsi" w:cstheme="majorBidi"/>
          <w:sz w:val="23"/>
          <w:szCs w:val="23"/>
        </w:rPr>
        <w:t>s</w:t>
      </w:r>
      <w:r w:rsidRPr="359636AC">
        <w:rPr>
          <w:rFonts w:asciiTheme="majorHAnsi" w:hAnsiTheme="majorHAnsi" w:cstheme="majorBidi"/>
          <w:sz w:val="23"/>
          <w:szCs w:val="23"/>
        </w:rPr>
        <w:t xml:space="preserve"> such as Wendy Larner, Pauline McGuirk</w:t>
      </w:r>
      <w:r>
        <w:rPr>
          <w:rFonts w:asciiTheme="majorHAnsi" w:hAnsiTheme="majorHAnsi" w:cstheme="majorBidi"/>
          <w:sz w:val="23"/>
          <w:szCs w:val="23"/>
        </w:rPr>
        <w:t>,</w:t>
      </w:r>
      <w:r w:rsidRPr="359636AC">
        <w:rPr>
          <w:rFonts w:asciiTheme="majorHAnsi" w:hAnsiTheme="majorHAnsi" w:cstheme="majorBidi"/>
          <w:sz w:val="23"/>
          <w:szCs w:val="23"/>
        </w:rPr>
        <w:t xml:space="preserve"> and Phil O’Neill</w:t>
      </w:r>
      <w:r>
        <w:rPr>
          <w:rFonts w:asciiTheme="majorHAnsi" w:hAnsiTheme="majorHAnsi" w:cstheme="majorBidi"/>
          <w:sz w:val="23"/>
          <w:szCs w:val="23"/>
        </w:rPr>
        <w:t xml:space="preserve">, </w:t>
      </w:r>
      <w:r w:rsidRPr="359636AC">
        <w:rPr>
          <w:rFonts w:asciiTheme="majorHAnsi" w:hAnsiTheme="majorHAnsi" w:cstheme="majorBidi"/>
          <w:sz w:val="23"/>
          <w:szCs w:val="23"/>
        </w:rPr>
        <w:t>think of the State not as a semi-unified set of bourgeois policies and practices, but as an assemblage of rationalities, strategies</w:t>
      </w:r>
      <w:r>
        <w:rPr>
          <w:rFonts w:asciiTheme="majorHAnsi" w:hAnsiTheme="majorHAnsi" w:cstheme="majorBidi"/>
          <w:sz w:val="23"/>
          <w:szCs w:val="23"/>
        </w:rPr>
        <w:t>,</w:t>
      </w:r>
      <w:r w:rsidRPr="359636AC">
        <w:rPr>
          <w:rFonts w:asciiTheme="majorHAnsi" w:hAnsiTheme="majorHAnsi" w:cstheme="majorBidi"/>
          <w:sz w:val="23"/>
          <w:szCs w:val="23"/>
        </w:rPr>
        <w:t xml:space="preserve"> and technologies </w:t>
      </w:r>
      <w:r>
        <w:rPr>
          <w:rFonts w:asciiTheme="majorHAnsi" w:hAnsiTheme="majorHAnsi" w:cstheme="majorBidi"/>
          <w:sz w:val="23"/>
          <w:szCs w:val="23"/>
        </w:rPr>
        <w:t>that</w:t>
      </w:r>
      <w:r w:rsidRPr="359636AC">
        <w:rPr>
          <w:rFonts w:asciiTheme="majorHAnsi" w:hAnsiTheme="majorHAnsi" w:cstheme="majorBidi"/>
          <w:sz w:val="23"/>
          <w:szCs w:val="23"/>
        </w:rPr>
        <w:t xml:space="preserve"> have multiple and often contradictory trajectories (see</w:t>
      </w:r>
      <w:r>
        <w:rPr>
          <w:rFonts w:asciiTheme="majorHAnsi" w:hAnsiTheme="majorHAnsi" w:cstheme="majorBidi"/>
          <w:sz w:val="23"/>
          <w:szCs w:val="23"/>
        </w:rPr>
        <w:t xml:space="preserve"> </w:t>
      </w:r>
      <w:r>
        <w:rPr>
          <w:rFonts w:asciiTheme="majorHAnsi" w:hAnsiTheme="majorHAnsi" w:cstheme="majorBidi"/>
          <w:noProof/>
          <w:sz w:val="23"/>
          <w:szCs w:val="23"/>
        </w:rPr>
        <w:t>England &amp; Ward, 2011; Larner et al., 2007; McGuirk &amp; O'Neill, 2012</w:t>
      </w:r>
      <w:r w:rsidRPr="359636AC">
        <w:rPr>
          <w:rFonts w:asciiTheme="majorHAnsi" w:hAnsiTheme="majorHAnsi" w:cstheme="majorBidi"/>
          <w:sz w:val="23"/>
          <w:szCs w:val="23"/>
        </w:rPr>
        <w:t>).</w:t>
      </w:r>
    </w:p>
    <w:p w14:paraId="3BF27302" w14:textId="3944E493" w:rsidR="00F00E3D"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t>Within such a framework</w:t>
      </w:r>
      <w:r>
        <w:rPr>
          <w:rFonts w:asciiTheme="majorHAnsi" w:hAnsiTheme="majorHAnsi" w:cstheme="majorBidi"/>
          <w:sz w:val="23"/>
          <w:szCs w:val="23"/>
        </w:rPr>
        <w:t>,</w:t>
      </w:r>
      <w:r w:rsidRPr="359636AC">
        <w:rPr>
          <w:rFonts w:asciiTheme="majorHAnsi" w:hAnsiTheme="majorHAnsi" w:cstheme="majorBidi"/>
          <w:sz w:val="23"/>
          <w:szCs w:val="23"/>
        </w:rPr>
        <w:t xml:space="preserve"> Cameron and Gibson (2005b</w:t>
      </w:r>
      <w:r>
        <w:rPr>
          <w:rFonts w:asciiTheme="majorHAnsi" w:hAnsiTheme="majorHAnsi" w:cstheme="majorBidi"/>
          <w:sz w:val="23"/>
          <w:szCs w:val="23"/>
        </w:rPr>
        <w:t>)</w:t>
      </w:r>
      <w:r w:rsidRPr="359636AC">
        <w:rPr>
          <w:rFonts w:asciiTheme="majorHAnsi" w:hAnsiTheme="majorHAnsi" w:cstheme="majorBidi"/>
          <w:sz w:val="23"/>
          <w:szCs w:val="23"/>
        </w:rPr>
        <w:t xml:space="preserve"> emphasise </w:t>
      </w:r>
      <w:r>
        <w:rPr>
          <w:rFonts w:asciiTheme="majorHAnsi" w:hAnsiTheme="majorHAnsi" w:cstheme="majorBidi"/>
          <w:sz w:val="23"/>
          <w:szCs w:val="23"/>
        </w:rPr>
        <w:t>how designations</w:t>
      </w:r>
      <w:r w:rsidRPr="359636AC">
        <w:rPr>
          <w:rFonts w:asciiTheme="majorHAnsi" w:hAnsiTheme="majorHAnsi" w:cstheme="majorBidi"/>
          <w:sz w:val="23"/>
          <w:szCs w:val="23"/>
        </w:rPr>
        <w:t xml:space="preserve"> such as “the unemployed” and “disadvantaged areas”</w:t>
      </w:r>
      <w:r w:rsidRPr="006C3C9E">
        <w:rPr>
          <w:rFonts w:asciiTheme="majorHAnsi" w:hAnsiTheme="majorHAnsi" w:cstheme="majorBidi"/>
          <w:sz w:val="23"/>
          <w:szCs w:val="23"/>
        </w:rPr>
        <w:t xml:space="preserve"> </w:t>
      </w:r>
      <w:r>
        <w:rPr>
          <w:rFonts w:asciiTheme="majorHAnsi" w:hAnsiTheme="majorHAnsi" w:cstheme="majorBidi"/>
          <w:sz w:val="23"/>
          <w:szCs w:val="23"/>
        </w:rPr>
        <w:t xml:space="preserve">are </w:t>
      </w:r>
      <w:r w:rsidRPr="359636AC">
        <w:rPr>
          <w:rFonts w:asciiTheme="majorHAnsi" w:hAnsiTheme="majorHAnsi" w:cstheme="majorBidi"/>
          <w:sz w:val="23"/>
          <w:szCs w:val="23"/>
        </w:rPr>
        <w:t>discursive</w:t>
      </w:r>
      <w:r>
        <w:rPr>
          <w:rFonts w:asciiTheme="majorHAnsi" w:hAnsiTheme="majorHAnsi" w:cstheme="majorBidi"/>
          <w:sz w:val="23"/>
          <w:szCs w:val="23"/>
        </w:rPr>
        <w:t>ly</w:t>
      </w:r>
      <w:r w:rsidRPr="359636AC">
        <w:rPr>
          <w:rFonts w:asciiTheme="majorHAnsi" w:hAnsiTheme="majorHAnsi" w:cstheme="majorBidi"/>
          <w:sz w:val="23"/>
          <w:szCs w:val="23"/>
        </w:rPr>
        <w:t xml:space="preserve"> constitut</w:t>
      </w:r>
      <w:r>
        <w:rPr>
          <w:rFonts w:asciiTheme="majorHAnsi" w:hAnsiTheme="majorHAnsi" w:cstheme="majorBidi"/>
          <w:sz w:val="23"/>
          <w:szCs w:val="23"/>
        </w:rPr>
        <w:t xml:space="preserve">ed </w:t>
      </w:r>
      <w:r w:rsidRPr="359636AC">
        <w:rPr>
          <w:rFonts w:asciiTheme="majorHAnsi" w:hAnsiTheme="majorHAnsi" w:cstheme="majorBidi"/>
          <w:sz w:val="23"/>
          <w:szCs w:val="23"/>
        </w:rPr>
        <w:t xml:space="preserve">by </w:t>
      </w:r>
      <w:r>
        <w:rPr>
          <w:rFonts w:asciiTheme="majorHAnsi" w:hAnsiTheme="majorHAnsi" w:cstheme="majorBidi"/>
          <w:sz w:val="23"/>
          <w:szCs w:val="23"/>
        </w:rPr>
        <w:t>parts</w:t>
      </w:r>
      <w:r w:rsidRPr="359636AC">
        <w:rPr>
          <w:rFonts w:asciiTheme="majorHAnsi" w:hAnsiTheme="majorHAnsi" w:cstheme="majorBidi"/>
          <w:sz w:val="23"/>
          <w:szCs w:val="23"/>
        </w:rPr>
        <w:t xml:space="preserve"> of the Australian State</w:t>
      </w:r>
      <w:r>
        <w:rPr>
          <w:rFonts w:asciiTheme="majorHAnsi" w:hAnsiTheme="majorHAnsi" w:cstheme="majorBidi"/>
          <w:sz w:val="23"/>
          <w:szCs w:val="23"/>
        </w:rPr>
        <w:t>, and how this serves to disempower rather than assist the</w:t>
      </w:r>
      <w:r w:rsidRPr="359636AC">
        <w:rPr>
          <w:rFonts w:asciiTheme="majorHAnsi" w:hAnsiTheme="majorHAnsi" w:cstheme="majorBidi"/>
          <w:sz w:val="23"/>
          <w:szCs w:val="23"/>
        </w:rPr>
        <w:t xml:space="preserve"> poor. In the process, they argue</w:t>
      </w:r>
      <w:r>
        <w:rPr>
          <w:rFonts w:asciiTheme="majorHAnsi" w:hAnsiTheme="majorHAnsi" w:cstheme="majorBidi"/>
          <w:sz w:val="23"/>
          <w:szCs w:val="23"/>
        </w:rPr>
        <w:t>,</w:t>
      </w:r>
      <w:r w:rsidRPr="359636AC">
        <w:rPr>
          <w:rFonts w:asciiTheme="majorHAnsi" w:hAnsiTheme="majorHAnsi" w:cstheme="majorBidi"/>
          <w:sz w:val="23"/>
          <w:szCs w:val="23"/>
        </w:rPr>
        <w:t xml:space="preserve"> 19</w:t>
      </w:r>
      <w:r>
        <w:rPr>
          <w:rFonts w:asciiTheme="majorHAnsi" w:hAnsiTheme="majorHAnsi" w:cstheme="majorBidi"/>
          <w:sz w:val="23"/>
          <w:szCs w:val="23"/>
        </w:rPr>
        <w:t>th-</w:t>
      </w:r>
      <w:r w:rsidRPr="359636AC">
        <w:rPr>
          <w:rFonts w:asciiTheme="majorHAnsi" w:hAnsiTheme="majorHAnsi" w:cstheme="majorBidi"/>
          <w:sz w:val="23"/>
          <w:szCs w:val="23"/>
        </w:rPr>
        <w:t xml:space="preserve">century notions of blaming the </w:t>
      </w:r>
      <w:r>
        <w:rPr>
          <w:rFonts w:asciiTheme="majorHAnsi" w:hAnsiTheme="majorHAnsi" w:cstheme="majorBidi"/>
          <w:sz w:val="23"/>
          <w:szCs w:val="23"/>
        </w:rPr>
        <w:t xml:space="preserve">unemployed </w:t>
      </w:r>
      <w:r w:rsidRPr="359636AC">
        <w:rPr>
          <w:rFonts w:asciiTheme="majorHAnsi" w:hAnsiTheme="majorHAnsi" w:cstheme="majorBidi"/>
          <w:sz w:val="23"/>
          <w:szCs w:val="23"/>
        </w:rPr>
        <w:t xml:space="preserve">for their plight are re-inscribed, such that </w:t>
      </w:r>
      <w:r>
        <w:rPr>
          <w:rFonts w:asciiTheme="majorHAnsi" w:hAnsiTheme="majorHAnsi" w:cstheme="majorBidi"/>
          <w:sz w:val="23"/>
          <w:szCs w:val="23"/>
        </w:rPr>
        <w:t>“problem”</w:t>
      </w:r>
      <w:r w:rsidRPr="359636AC">
        <w:rPr>
          <w:rFonts w:asciiTheme="majorHAnsi" w:hAnsiTheme="majorHAnsi" w:cstheme="majorBidi"/>
          <w:sz w:val="23"/>
          <w:szCs w:val="23"/>
        </w:rPr>
        <w:t xml:space="preserve"> areas and people are characterised as dysfunctional</w:t>
      </w:r>
      <w:r>
        <w:rPr>
          <w:rFonts w:asciiTheme="majorHAnsi" w:hAnsiTheme="majorHAnsi" w:cstheme="majorBidi"/>
          <w:sz w:val="23"/>
          <w:szCs w:val="23"/>
        </w:rPr>
        <w:t>,</w:t>
      </w:r>
      <w:r w:rsidRPr="359636AC">
        <w:rPr>
          <w:rFonts w:asciiTheme="majorHAnsi" w:hAnsiTheme="majorHAnsi" w:cstheme="majorBidi"/>
          <w:sz w:val="23"/>
          <w:szCs w:val="23"/>
        </w:rPr>
        <w:t xml:space="preserve"> requiring solutions and re-normalising.</w:t>
      </w:r>
      <w:r>
        <w:rPr>
          <w:rFonts w:asciiTheme="majorHAnsi" w:hAnsiTheme="majorHAnsi" w:cstheme="majorBidi"/>
          <w:sz w:val="23"/>
          <w:szCs w:val="23"/>
        </w:rPr>
        <w:t xml:space="preserve"> Thus,</w:t>
      </w:r>
      <w:r w:rsidRPr="359636AC">
        <w:rPr>
          <w:rFonts w:asciiTheme="majorHAnsi" w:hAnsiTheme="majorHAnsi" w:cstheme="majorBidi"/>
          <w:sz w:val="23"/>
          <w:szCs w:val="23"/>
        </w:rPr>
        <w:t xml:space="preserve"> Cameron and Gibson suggest that </w:t>
      </w:r>
      <w:r>
        <w:rPr>
          <w:rFonts w:asciiTheme="majorHAnsi" w:hAnsiTheme="majorHAnsi" w:cstheme="majorBidi"/>
          <w:sz w:val="23"/>
          <w:szCs w:val="23"/>
        </w:rPr>
        <w:t>approaches such as</w:t>
      </w:r>
      <w:r w:rsidRPr="359636AC">
        <w:rPr>
          <w:rFonts w:asciiTheme="majorHAnsi" w:hAnsiTheme="majorHAnsi" w:cstheme="majorBidi"/>
          <w:sz w:val="23"/>
          <w:szCs w:val="23"/>
        </w:rPr>
        <w:t xml:space="preserve"> Victoria’s </w:t>
      </w:r>
      <w:r w:rsidRPr="00FF0BA2">
        <w:rPr>
          <w:rFonts w:asciiTheme="majorHAnsi" w:hAnsiTheme="majorHAnsi" w:cstheme="majorBidi"/>
          <w:sz w:val="23"/>
          <w:szCs w:val="23"/>
        </w:rPr>
        <w:t xml:space="preserve">Neighbourhood Renewal </w:t>
      </w:r>
      <w:r>
        <w:rPr>
          <w:rFonts w:asciiTheme="majorHAnsi" w:hAnsiTheme="majorHAnsi" w:cstheme="majorBidi"/>
          <w:sz w:val="23"/>
          <w:szCs w:val="23"/>
        </w:rPr>
        <w:t xml:space="preserve">Program </w:t>
      </w:r>
      <w:r w:rsidRPr="00FF0BA2">
        <w:rPr>
          <w:rFonts w:asciiTheme="majorHAnsi" w:hAnsiTheme="majorHAnsi" w:cstheme="majorBidi"/>
          <w:sz w:val="23"/>
          <w:szCs w:val="23"/>
        </w:rPr>
        <w:t>(</w:t>
      </w:r>
      <w:r>
        <w:rPr>
          <w:rFonts w:asciiTheme="majorHAnsi" w:hAnsiTheme="majorHAnsi" w:cstheme="majorBidi"/>
          <w:sz w:val="23"/>
          <w:szCs w:val="23"/>
        </w:rPr>
        <w:t xml:space="preserve">see </w:t>
      </w:r>
      <w:r>
        <w:rPr>
          <w:rFonts w:asciiTheme="majorHAnsi" w:hAnsiTheme="majorHAnsi" w:cstheme="majorBidi"/>
          <w:noProof/>
          <w:sz w:val="23"/>
          <w:szCs w:val="23"/>
        </w:rPr>
        <w:t>Shield, Graham, &amp; Taket, 2011</w:t>
      </w:r>
      <w:r w:rsidRPr="006F5DCC">
        <w:rPr>
          <w:rFonts w:asciiTheme="majorHAnsi" w:hAnsiTheme="majorHAnsi" w:cstheme="majorBidi"/>
          <w:sz w:val="23"/>
          <w:szCs w:val="23"/>
        </w:rPr>
        <w:t>)</w:t>
      </w:r>
      <w:r w:rsidRPr="359636AC">
        <w:rPr>
          <w:rFonts w:asciiTheme="majorHAnsi" w:hAnsiTheme="majorHAnsi" w:cstheme="majorBidi"/>
          <w:i/>
          <w:iCs/>
          <w:sz w:val="23"/>
          <w:szCs w:val="23"/>
        </w:rPr>
        <w:t xml:space="preserve"> </w:t>
      </w:r>
      <w:r>
        <w:rPr>
          <w:rFonts w:asciiTheme="majorHAnsi" w:hAnsiTheme="majorHAnsi" w:cstheme="majorBidi"/>
          <w:sz w:val="23"/>
          <w:szCs w:val="23"/>
        </w:rPr>
        <w:t>–</w:t>
      </w:r>
      <w:r w:rsidRPr="359636AC">
        <w:rPr>
          <w:rFonts w:asciiTheme="majorHAnsi" w:hAnsiTheme="majorHAnsi" w:cstheme="majorBidi"/>
          <w:sz w:val="23"/>
          <w:szCs w:val="23"/>
        </w:rPr>
        <w:t xml:space="preserve"> which singled out North Geelong for particular attention </w:t>
      </w:r>
      <w:r>
        <w:rPr>
          <w:rFonts w:asciiTheme="majorHAnsi" w:hAnsiTheme="majorHAnsi" w:cstheme="majorBidi"/>
          <w:sz w:val="23"/>
          <w:szCs w:val="23"/>
        </w:rPr>
        <w:t>–</w:t>
      </w:r>
      <w:r w:rsidRPr="359636AC">
        <w:rPr>
          <w:rFonts w:asciiTheme="majorHAnsi" w:hAnsiTheme="majorHAnsi" w:cstheme="majorBidi"/>
          <w:sz w:val="23"/>
          <w:szCs w:val="23"/>
        </w:rPr>
        <w:t xml:space="preserve"> further marginalised and homogenised these places, disavowed residents of agency and position</w:t>
      </w:r>
      <w:r>
        <w:rPr>
          <w:rFonts w:asciiTheme="majorHAnsi" w:hAnsiTheme="majorHAnsi" w:cstheme="majorBidi"/>
          <w:sz w:val="23"/>
          <w:szCs w:val="23"/>
        </w:rPr>
        <w:t>ed</w:t>
      </w:r>
      <w:r w:rsidRPr="359636AC">
        <w:rPr>
          <w:rFonts w:asciiTheme="majorHAnsi" w:hAnsiTheme="majorHAnsi" w:cstheme="majorBidi"/>
          <w:sz w:val="23"/>
          <w:szCs w:val="23"/>
        </w:rPr>
        <w:t xml:space="preserve"> government as experts who devise and implement improvement programs.</w:t>
      </w:r>
    </w:p>
    <w:p w14:paraId="5F32EBD7" w14:textId="55FA2166" w:rsidR="00F00E3D" w:rsidRPr="00DA4326" w:rsidRDefault="00F00E3D" w:rsidP="009B2FA7">
      <w:pPr>
        <w:spacing w:line="276" w:lineRule="auto"/>
        <w:rPr>
          <w:rFonts w:asciiTheme="majorHAnsi" w:hAnsiTheme="majorHAnsi" w:cstheme="majorBidi"/>
          <w:sz w:val="23"/>
          <w:szCs w:val="23"/>
        </w:rPr>
      </w:pPr>
      <w:r>
        <w:rPr>
          <w:rFonts w:asciiTheme="majorHAnsi" w:hAnsiTheme="majorHAnsi" w:cstheme="majorBidi"/>
          <w:sz w:val="23"/>
          <w:szCs w:val="23"/>
        </w:rPr>
        <w:t>These researchers</w:t>
      </w:r>
      <w:r w:rsidRPr="359636AC">
        <w:rPr>
          <w:rFonts w:asciiTheme="majorHAnsi" w:hAnsiTheme="majorHAnsi" w:cstheme="majorBidi"/>
          <w:sz w:val="23"/>
          <w:szCs w:val="23"/>
        </w:rPr>
        <w:t xml:space="preserve"> propose an alternative view</w:t>
      </w:r>
      <w:r>
        <w:rPr>
          <w:rFonts w:asciiTheme="majorHAnsi" w:hAnsiTheme="majorHAnsi" w:cstheme="majorBidi"/>
          <w:sz w:val="23"/>
          <w:szCs w:val="23"/>
        </w:rPr>
        <w:t xml:space="preserve">. The “Community Economy” approach is </w:t>
      </w:r>
      <w:r w:rsidRPr="359636AC">
        <w:rPr>
          <w:rFonts w:asciiTheme="majorHAnsi" w:hAnsiTheme="majorHAnsi" w:cstheme="majorBidi"/>
          <w:sz w:val="23"/>
          <w:szCs w:val="23"/>
        </w:rPr>
        <w:t>built on a foundation of local empowerment and community</w:t>
      </w:r>
      <w:r>
        <w:rPr>
          <w:rFonts w:asciiTheme="majorHAnsi" w:hAnsiTheme="majorHAnsi" w:cstheme="majorBidi"/>
          <w:sz w:val="23"/>
          <w:szCs w:val="23"/>
        </w:rPr>
        <w:t>, whereby</w:t>
      </w:r>
      <w:r w:rsidRPr="359636AC">
        <w:rPr>
          <w:rFonts w:asciiTheme="majorHAnsi" w:hAnsiTheme="majorHAnsi" w:cstheme="majorBidi"/>
          <w:sz w:val="23"/>
          <w:szCs w:val="23"/>
        </w:rPr>
        <w:t xml:space="preserve"> each locality </w:t>
      </w:r>
      <w:r>
        <w:rPr>
          <w:rFonts w:asciiTheme="majorHAnsi" w:hAnsiTheme="majorHAnsi" w:cstheme="majorBidi"/>
          <w:sz w:val="23"/>
          <w:szCs w:val="23"/>
        </w:rPr>
        <w:t>has</w:t>
      </w:r>
      <w:r w:rsidRPr="359636AC">
        <w:rPr>
          <w:rFonts w:asciiTheme="majorHAnsi" w:hAnsiTheme="majorHAnsi" w:cstheme="majorBidi"/>
          <w:sz w:val="23"/>
          <w:szCs w:val="23"/>
        </w:rPr>
        <w:t xml:space="preserve"> an array of assets, alternative economies</w:t>
      </w:r>
      <w:r>
        <w:rPr>
          <w:rFonts w:asciiTheme="majorHAnsi" w:hAnsiTheme="majorHAnsi" w:cstheme="majorBidi"/>
          <w:sz w:val="23"/>
          <w:szCs w:val="23"/>
        </w:rPr>
        <w:t>,</w:t>
      </w:r>
      <w:r w:rsidRPr="359636AC">
        <w:rPr>
          <w:rFonts w:asciiTheme="majorHAnsi" w:hAnsiTheme="majorHAnsi" w:cstheme="majorBidi"/>
          <w:sz w:val="23"/>
          <w:szCs w:val="23"/>
        </w:rPr>
        <w:t xml:space="preserve"> and potentials that can be recognised, mobilised</w:t>
      </w:r>
      <w:r>
        <w:rPr>
          <w:rFonts w:asciiTheme="majorHAnsi" w:hAnsiTheme="majorHAnsi" w:cstheme="majorBidi"/>
          <w:sz w:val="23"/>
          <w:szCs w:val="23"/>
        </w:rPr>
        <w:t>,</w:t>
      </w:r>
      <w:r w:rsidRPr="359636AC">
        <w:rPr>
          <w:rFonts w:asciiTheme="majorHAnsi" w:hAnsiTheme="majorHAnsi" w:cstheme="majorBidi"/>
          <w:sz w:val="23"/>
          <w:szCs w:val="23"/>
        </w:rPr>
        <w:t xml:space="preserve"> and </w:t>
      </w:r>
      <w:r>
        <w:rPr>
          <w:rFonts w:asciiTheme="majorHAnsi" w:hAnsiTheme="majorHAnsi" w:cstheme="majorBidi"/>
          <w:sz w:val="23"/>
          <w:szCs w:val="23"/>
        </w:rPr>
        <w:t>nurtured</w:t>
      </w:r>
      <w:r w:rsidRPr="359636AC">
        <w:rPr>
          <w:rFonts w:asciiTheme="majorHAnsi" w:hAnsiTheme="majorHAnsi" w:cstheme="majorBidi"/>
          <w:sz w:val="23"/>
          <w:szCs w:val="23"/>
        </w:rPr>
        <w:t xml:space="preserve"> to provide effective solutions (Cameron </w:t>
      </w:r>
      <w:r>
        <w:rPr>
          <w:rFonts w:asciiTheme="majorHAnsi" w:hAnsiTheme="majorHAnsi" w:cstheme="majorBidi"/>
          <w:sz w:val="23"/>
          <w:szCs w:val="23"/>
        </w:rPr>
        <w:t>&amp;</w:t>
      </w:r>
      <w:r w:rsidRPr="359636AC">
        <w:rPr>
          <w:rFonts w:asciiTheme="majorHAnsi" w:hAnsiTheme="majorHAnsi" w:cstheme="majorBidi"/>
          <w:sz w:val="23"/>
          <w:szCs w:val="23"/>
        </w:rPr>
        <w:t xml:space="preserve"> Gibson</w:t>
      </w:r>
      <w:r>
        <w:rPr>
          <w:rFonts w:asciiTheme="majorHAnsi" w:hAnsiTheme="majorHAnsi" w:cstheme="majorBidi"/>
          <w:sz w:val="23"/>
          <w:szCs w:val="23"/>
        </w:rPr>
        <w:t>,</w:t>
      </w:r>
      <w:r w:rsidRPr="359636AC">
        <w:rPr>
          <w:rFonts w:asciiTheme="majorHAnsi" w:hAnsiTheme="majorHAnsi" w:cstheme="majorBidi"/>
          <w:sz w:val="23"/>
          <w:szCs w:val="23"/>
        </w:rPr>
        <w:t xml:space="preserve"> 2005a</w:t>
      </w:r>
      <w:r>
        <w:rPr>
          <w:rFonts w:asciiTheme="majorHAnsi" w:hAnsiTheme="majorHAnsi" w:cstheme="majorBidi"/>
          <w:sz w:val="23"/>
          <w:szCs w:val="23"/>
        </w:rPr>
        <w:t>, 2005</w:t>
      </w:r>
      <w:r w:rsidRPr="359636AC">
        <w:rPr>
          <w:rFonts w:asciiTheme="majorHAnsi" w:hAnsiTheme="majorHAnsi" w:cstheme="majorBidi"/>
          <w:sz w:val="23"/>
          <w:szCs w:val="23"/>
        </w:rPr>
        <w:t>b). The</w:t>
      </w:r>
      <w:r>
        <w:rPr>
          <w:rFonts w:asciiTheme="majorHAnsi" w:hAnsiTheme="majorHAnsi" w:cstheme="majorBidi"/>
          <w:sz w:val="23"/>
          <w:szCs w:val="23"/>
        </w:rPr>
        <w:t xml:space="preserve"> </w:t>
      </w:r>
      <w:r w:rsidR="009C3EA5">
        <w:rPr>
          <w:rFonts w:asciiTheme="majorHAnsi" w:hAnsiTheme="majorHAnsi" w:cstheme="majorBidi"/>
          <w:sz w:val="23"/>
          <w:szCs w:val="23"/>
        </w:rPr>
        <w:t>authors</w:t>
      </w:r>
      <w:r>
        <w:rPr>
          <w:rFonts w:asciiTheme="majorHAnsi" w:hAnsiTheme="majorHAnsi" w:cstheme="majorBidi"/>
          <w:sz w:val="23"/>
          <w:szCs w:val="23"/>
        </w:rPr>
        <w:t xml:space="preserve"> </w:t>
      </w:r>
      <w:r w:rsidRPr="359636AC">
        <w:rPr>
          <w:rFonts w:asciiTheme="majorHAnsi" w:hAnsiTheme="majorHAnsi" w:cstheme="majorBidi"/>
          <w:sz w:val="23"/>
          <w:szCs w:val="23"/>
        </w:rPr>
        <w:t xml:space="preserve">give examples from </w:t>
      </w:r>
      <w:r>
        <w:rPr>
          <w:rFonts w:asciiTheme="majorHAnsi" w:hAnsiTheme="majorHAnsi" w:cstheme="majorBidi"/>
          <w:sz w:val="23"/>
          <w:szCs w:val="23"/>
        </w:rPr>
        <w:t>Victoria’s</w:t>
      </w:r>
      <w:r w:rsidRPr="359636AC">
        <w:rPr>
          <w:rFonts w:asciiTheme="majorHAnsi" w:hAnsiTheme="majorHAnsi" w:cstheme="majorBidi"/>
          <w:sz w:val="23"/>
          <w:szCs w:val="23"/>
        </w:rPr>
        <w:t xml:space="preserve"> La Trobe Valley, </w:t>
      </w:r>
      <w:r>
        <w:rPr>
          <w:rFonts w:asciiTheme="majorHAnsi" w:hAnsiTheme="majorHAnsi" w:cstheme="majorBidi"/>
          <w:sz w:val="23"/>
          <w:szCs w:val="23"/>
        </w:rPr>
        <w:t xml:space="preserve">which </w:t>
      </w:r>
      <w:r w:rsidR="00903C49">
        <w:rPr>
          <w:rFonts w:asciiTheme="majorHAnsi" w:hAnsiTheme="majorHAnsi" w:cstheme="majorBidi"/>
          <w:sz w:val="23"/>
          <w:szCs w:val="23"/>
        </w:rPr>
        <w:t>suffered</w:t>
      </w:r>
      <w:r w:rsidRPr="359636AC">
        <w:rPr>
          <w:rFonts w:asciiTheme="majorHAnsi" w:hAnsiTheme="majorHAnsi" w:cstheme="majorBidi"/>
          <w:sz w:val="23"/>
          <w:szCs w:val="23"/>
        </w:rPr>
        <w:t xml:space="preserve"> massive job losses </w:t>
      </w:r>
      <w:r>
        <w:rPr>
          <w:rFonts w:asciiTheme="majorHAnsi" w:hAnsiTheme="majorHAnsi" w:cstheme="majorBidi"/>
          <w:sz w:val="23"/>
          <w:szCs w:val="23"/>
        </w:rPr>
        <w:t xml:space="preserve">due to </w:t>
      </w:r>
      <w:r w:rsidRPr="359636AC">
        <w:rPr>
          <w:rFonts w:asciiTheme="majorHAnsi" w:hAnsiTheme="majorHAnsi" w:cstheme="majorBidi"/>
          <w:sz w:val="23"/>
          <w:szCs w:val="23"/>
        </w:rPr>
        <w:t>privatisation of the electricity</w:t>
      </w:r>
      <w:r>
        <w:rPr>
          <w:rFonts w:asciiTheme="majorHAnsi" w:hAnsiTheme="majorHAnsi" w:cstheme="majorBidi"/>
          <w:sz w:val="23"/>
          <w:szCs w:val="23"/>
        </w:rPr>
        <w:t>-</w:t>
      </w:r>
      <w:r w:rsidRPr="359636AC">
        <w:rPr>
          <w:rFonts w:asciiTheme="majorHAnsi" w:hAnsiTheme="majorHAnsi" w:cstheme="majorBidi"/>
          <w:sz w:val="23"/>
          <w:szCs w:val="23"/>
        </w:rPr>
        <w:t>generation industry in the 1990s</w:t>
      </w:r>
      <w:r>
        <w:rPr>
          <w:rFonts w:asciiTheme="majorHAnsi" w:hAnsiTheme="majorHAnsi" w:cstheme="majorBidi"/>
          <w:sz w:val="23"/>
          <w:szCs w:val="23"/>
        </w:rPr>
        <w:t>. They document</w:t>
      </w:r>
      <w:r w:rsidRPr="359636AC">
        <w:rPr>
          <w:rFonts w:asciiTheme="majorHAnsi" w:hAnsiTheme="majorHAnsi" w:cstheme="majorBidi"/>
          <w:sz w:val="23"/>
          <w:szCs w:val="23"/>
        </w:rPr>
        <w:t xml:space="preserve"> local enterprises that began as exchanges of goods and services between neighbours</w:t>
      </w:r>
      <w:r>
        <w:rPr>
          <w:rFonts w:asciiTheme="majorHAnsi" w:hAnsiTheme="majorHAnsi" w:cstheme="majorBidi"/>
          <w:sz w:val="23"/>
          <w:szCs w:val="23"/>
        </w:rPr>
        <w:t>,</w:t>
      </w:r>
      <w:r w:rsidRPr="359636AC">
        <w:rPr>
          <w:rFonts w:asciiTheme="majorHAnsi" w:hAnsiTheme="majorHAnsi" w:cstheme="majorBidi"/>
          <w:sz w:val="23"/>
          <w:szCs w:val="23"/>
        </w:rPr>
        <w:t xml:space="preserve"> or initiatives </w:t>
      </w:r>
      <w:r>
        <w:rPr>
          <w:rFonts w:asciiTheme="majorHAnsi" w:hAnsiTheme="majorHAnsi" w:cstheme="majorBidi"/>
          <w:sz w:val="23"/>
          <w:szCs w:val="23"/>
        </w:rPr>
        <w:t>to create</w:t>
      </w:r>
      <w:r w:rsidRPr="359636AC">
        <w:rPr>
          <w:rFonts w:asciiTheme="majorHAnsi" w:hAnsiTheme="majorHAnsi" w:cstheme="majorBidi"/>
          <w:sz w:val="23"/>
          <w:szCs w:val="23"/>
        </w:rPr>
        <w:t xml:space="preserve"> Christmas decorations, </w:t>
      </w:r>
      <w:r>
        <w:rPr>
          <w:rFonts w:asciiTheme="majorHAnsi" w:hAnsiTheme="majorHAnsi" w:cstheme="majorBidi"/>
          <w:sz w:val="23"/>
          <w:szCs w:val="23"/>
        </w:rPr>
        <w:t xml:space="preserve">and </w:t>
      </w:r>
      <w:r w:rsidRPr="359636AC">
        <w:rPr>
          <w:rFonts w:asciiTheme="majorHAnsi" w:hAnsiTheme="majorHAnsi" w:cstheme="majorBidi"/>
          <w:sz w:val="23"/>
          <w:szCs w:val="23"/>
        </w:rPr>
        <w:t>gr</w:t>
      </w:r>
      <w:r>
        <w:rPr>
          <w:rFonts w:asciiTheme="majorHAnsi" w:hAnsiTheme="majorHAnsi" w:cstheme="majorBidi"/>
          <w:sz w:val="23"/>
          <w:szCs w:val="23"/>
        </w:rPr>
        <w:t>ew</w:t>
      </w:r>
      <w:r w:rsidRPr="359636AC">
        <w:rPr>
          <w:rFonts w:asciiTheme="majorHAnsi" w:hAnsiTheme="majorHAnsi" w:cstheme="majorBidi"/>
          <w:sz w:val="23"/>
          <w:szCs w:val="23"/>
        </w:rPr>
        <w:t xml:space="preserve"> into cooperatives </w:t>
      </w:r>
      <w:r>
        <w:rPr>
          <w:rFonts w:asciiTheme="majorHAnsi" w:hAnsiTheme="majorHAnsi" w:cstheme="majorBidi"/>
          <w:sz w:val="23"/>
          <w:szCs w:val="23"/>
        </w:rPr>
        <w:t>providing</w:t>
      </w:r>
      <w:r w:rsidRPr="359636AC">
        <w:rPr>
          <w:rFonts w:asciiTheme="majorHAnsi" w:hAnsiTheme="majorHAnsi" w:cstheme="majorBidi"/>
          <w:sz w:val="23"/>
          <w:szCs w:val="23"/>
        </w:rPr>
        <w:t xml:space="preserve"> </w:t>
      </w:r>
      <w:r>
        <w:rPr>
          <w:rFonts w:asciiTheme="majorHAnsi" w:hAnsiTheme="majorHAnsi" w:cstheme="majorBidi"/>
          <w:sz w:val="23"/>
          <w:szCs w:val="23"/>
        </w:rPr>
        <w:t>people with</w:t>
      </w:r>
      <w:r w:rsidRPr="359636AC">
        <w:rPr>
          <w:rFonts w:asciiTheme="majorHAnsi" w:hAnsiTheme="majorHAnsi" w:cstheme="majorBidi"/>
          <w:sz w:val="23"/>
          <w:szCs w:val="23"/>
        </w:rPr>
        <w:t xml:space="preserve"> meaningful work and necessary provisions (Cameron </w:t>
      </w:r>
      <w:r>
        <w:rPr>
          <w:rFonts w:asciiTheme="majorHAnsi" w:hAnsiTheme="majorHAnsi" w:cstheme="majorBidi"/>
          <w:sz w:val="23"/>
          <w:szCs w:val="23"/>
        </w:rPr>
        <w:t>&amp;</w:t>
      </w:r>
      <w:r w:rsidRPr="359636AC">
        <w:rPr>
          <w:rFonts w:asciiTheme="majorHAnsi" w:hAnsiTheme="majorHAnsi" w:cstheme="majorBidi"/>
          <w:sz w:val="23"/>
          <w:szCs w:val="23"/>
        </w:rPr>
        <w:t xml:space="preserve"> Gibson</w:t>
      </w:r>
      <w:r>
        <w:rPr>
          <w:rFonts w:asciiTheme="majorHAnsi" w:hAnsiTheme="majorHAnsi" w:cstheme="majorBidi"/>
          <w:sz w:val="23"/>
          <w:szCs w:val="23"/>
        </w:rPr>
        <w:t>,</w:t>
      </w:r>
      <w:r w:rsidRPr="359636AC">
        <w:rPr>
          <w:rFonts w:asciiTheme="majorHAnsi" w:hAnsiTheme="majorHAnsi" w:cstheme="majorBidi"/>
          <w:sz w:val="23"/>
          <w:szCs w:val="23"/>
        </w:rPr>
        <w:t xml:space="preserve"> 2005a</w:t>
      </w:r>
      <w:r>
        <w:rPr>
          <w:rFonts w:asciiTheme="majorHAnsi" w:hAnsiTheme="majorHAnsi" w:cstheme="majorBidi"/>
          <w:sz w:val="23"/>
          <w:szCs w:val="23"/>
        </w:rPr>
        <w:t>;</w:t>
      </w:r>
      <w:r w:rsidRPr="359636AC">
        <w:rPr>
          <w:rFonts w:asciiTheme="majorHAnsi" w:hAnsiTheme="majorHAnsi" w:cstheme="majorBidi"/>
          <w:sz w:val="23"/>
          <w:szCs w:val="23"/>
        </w:rPr>
        <w:t xml:space="preserve"> 2005b).</w:t>
      </w:r>
    </w:p>
    <w:p w14:paraId="3F8E8853" w14:textId="77777777" w:rsidR="00F00E3D" w:rsidRDefault="00F00E3D" w:rsidP="009B2FA7">
      <w:pPr>
        <w:spacing w:line="276" w:lineRule="auto"/>
        <w:rPr>
          <w:rFonts w:asciiTheme="majorHAnsi" w:hAnsiTheme="majorHAnsi" w:cstheme="majorHAnsi"/>
          <w:sz w:val="23"/>
          <w:szCs w:val="23"/>
        </w:rPr>
      </w:pPr>
      <w:r>
        <w:rPr>
          <w:rFonts w:asciiTheme="majorHAnsi" w:hAnsiTheme="majorHAnsi" w:cstheme="majorHAnsi"/>
          <w:sz w:val="23"/>
          <w:szCs w:val="23"/>
        </w:rPr>
        <w:t xml:space="preserve">This </w:t>
      </w:r>
      <w:r w:rsidRPr="00DA4326">
        <w:rPr>
          <w:rFonts w:asciiTheme="majorHAnsi" w:hAnsiTheme="majorHAnsi" w:cstheme="majorHAnsi"/>
          <w:sz w:val="23"/>
          <w:szCs w:val="23"/>
        </w:rPr>
        <w:t>conceptualisation of alternat</w:t>
      </w:r>
      <w:r>
        <w:rPr>
          <w:rFonts w:asciiTheme="majorHAnsi" w:hAnsiTheme="majorHAnsi" w:cstheme="majorHAnsi"/>
          <w:sz w:val="23"/>
          <w:szCs w:val="23"/>
        </w:rPr>
        <w:t>e</w:t>
      </w:r>
      <w:r w:rsidRPr="00DA4326">
        <w:rPr>
          <w:rFonts w:asciiTheme="majorHAnsi" w:hAnsiTheme="majorHAnsi" w:cstheme="majorHAnsi"/>
          <w:sz w:val="23"/>
          <w:szCs w:val="23"/>
        </w:rPr>
        <w:t xml:space="preserve"> forms of labour and economies is insightful</w:t>
      </w:r>
      <w:r>
        <w:rPr>
          <w:rFonts w:asciiTheme="majorHAnsi" w:hAnsiTheme="majorHAnsi" w:cstheme="majorHAnsi"/>
          <w:sz w:val="23"/>
          <w:szCs w:val="23"/>
        </w:rPr>
        <w:t>; it</w:t>
      </w:r>
      <w:r w:rsidRPr="00DA4326">
        <w:rPr>
          <w:rFonts w:asciiTheme="majorHAnsi" w:hAnsiTheme="majorHAnsi" w:cstheme="majorHAnsi"/>
          <w:sz w:val="23"/>
          <w:szCs w:val="23"/>
        </w:rPr>
        <w:t xml:space="preserve"> </w:t>
      </w:r>
      <w:r>
        <w:rPr>
          <w:rFonts w:asciiTheme="majorHAnsi" w:hAnsiTheme="majorHAnsi" w:cstheme="majorHAnsi"/>
          <w:sz w:val="23"/>
          <w:szCs w:val="23"/>
        </w:rPr>
        <w:t>admits</w:t>
      </w:r>
      <w:r w:rsidRPr="00DA4326">
        <w:rPr>
          <w:rFonts w:asciiTheme="majorHAnsi" w:hAnsiTheme="majorHAnsi" w:cstheme="majorHAnsi"/>
          <w:sz w:val="23"/>
          <w:szCs w:val="23"/>
        </w:rPr>
        <w:t xml:space="preserve"> significant local agency</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acknowledges</w:t>
      </w:r>
      <w:r w:rsidRPr="00DA4326">
        <w:rPr>
          <w:rFonts w:asciiTheme="majorHAnsi" w:hAnsiTheme="majorHAnsi" w:cstheme="majorHAnsi"/>
          <w:sz w:val="23"/>
          <w:szCs w:val="23"/>
        </w:rPr>
        <w:t xml:space="preserve"> existing resources</w:t>
      </w:r>
      <w:r>
        <w:rPr>
          <w:rFonts w:asciiTheme="majorHAnsi" w:hAnsiTheme="majorHAnsi" w:cstheme="majorHAnsi"/>
          <w:sz w:val="23"/>
          <w:szCs w:val="23"/>
        </w:rPr>
        <w:t>,</w:t>
      </w:r>
      <w:r w:rsidRPr="00DA4326">
        <w:rPr>
          <w:rFonts w:asciiTheme="majorHAnsi" w:hAnsiTheme="majorHAnsi" w:cstheme="majorHAnsi"/>
          <w:sz w:val="23"/>
          <w:szCs w:val="23"/>
        </w:rPr>
        <w:t xml:space="preserve"> and</w:t>
      </w:r>
      <w:r>
        <w:rPr>
          <w:rFonts w:asciiTheme="majorHAnsi" w:hAnsiTheme="majorHAnsi" w:cstheme="majorHAnsi"/>
          <w:sz w:val="23"/>
          <w:szCs w:val="23"/>
        </w:rPr>
        <w:t xml:space="preserve"> recognises</w:t>
      </w:r>
      <w:r w:rsidRPr="00DA4326">
        <w:rPr>
          <w:rFonts w:asciiTheme="majorHAnsi" w:hAnsiTheme="majorHAnsi" w:cstheme="majorHAnsi"/>
          <w:sz w:val="23"/>
          <w:szCs w:val="23"/>
        </w:rPr>
        <w:t xml:space="preserve"> different </w:t>
      </w:r>
      <w:r>
        <w:rPr>
          <w:rFonts w:asciiTheme="majorHAnsi" w:hAnsiTheme="majorHAnsi" w:cstheme="majorHAnsi"/>
          <w:sz w:val="23"/>
          <w:szCs w:val="23"/>
        </w:rPr>
        <w:t>ways</w:t>
      </w:r>
      <w:r w:rsidRPr="00DA4326">
        <w:rPr>
          <w:rFonts w:asciiTheme="majorHAnsi" w:hAnsiTheme="majorHAnsi" w:cstheme="majorHAnsi"/>
          <w:sz w:val="23"/>
          <w:szCs w:val="23"/>
        </w:rPr>
        <w:t xml:space="preserve"> of generating value</w:t>
      </w:r>
      <w:r>
        <w:rPr>
          <w:rFonts w:asciiTheme="majorHAnsi" w:hAnsiTheme="majorHAnsi" w:cstheme="majorHAnsi"/>
          <w:sz w:val="23"/>
          <w:szCs w:val="23"/>
        </w:rPr>
        <w:t>. However,</w:t>
      </w:r>
      <w:r w:rsidRPr="00DA4326">
        <w:rPr>
          <w:rFonts w:asciiTheme="majorHAnsi" w:hAnsiTheme="majorHAnsi" w:cstheme="majorHAnsi"/>
          <w:sz w:val="23"/>
          <w:szCs w:val="23"/>
        </w:rPr>
        <w:t xml:space="preserve"> there are problems with </w:t>
      </w:r>
      <w:r>
        <w:rPr>
          <w:rFonts w:asciiTheme="majorHAnsi" w:hAnsiTheme="majorHAnsi" w:cstheme="majorHAnsi"/>
          <w:sz w:val="23"/>
          <w:szCs w:val="23"/>
        </w:rPr>
        <w:t>this</w:t>
      </w:r>
      <w:r w:rsidRPr="00DA4326">
        <w:rPr>
          <w:rFonts w:asciiTheme="majorHAnsi" w:hAnsiTheme="majorHAnsi" w:cstheme="majorHAnsi"/>
          <w:sz w:val="23"/>
          <w:szCs w:val="23"/>
        </w:rPr>
        <w:t xml:space="preserve"> model.</w:t>
      </w:r>
      <w:r>
        <w:rPr>
          <w:rFonts w:asciiTheme="majorHAnsi" w:hAnsiTheme="majorHAnsi" w:cstheme="majorHAnsi"/>
          <w:sz w:val="23"/>
          <w:szCs w:val="23"/>
        </w:rPr>
        <w:t xml:space="preserve"> For one, the</w:t>
      </w:r>
      <w:r w:rsidRPr="00DA4326">
        <w:rPr>
          <w:rFonts w:asciiTheme="majorHAnsi" w:hAnsiTheme="majorHAnsi" w:cstheme="majorHAnsi"/>
          <w:sz w:val="23"/>
          <w:szCs w:val="23"/>
        </w:rPr>
        <w:t xml:space="preserve"> alternative economies </w:t>
      </w:r>
      <w:r>
        <w:rPr>
          <w:rFonts w:asciiTheme="majorHAnsi" w:hAnsiTheme="majorHAnsi" w:cstheme="majorHAnsi"/>
          <w:sz w:val="23"/>
          <w:szCs w:val="23"/>
        </w:rPr>
        <w:t>it celebrates</w:t>
      </w:r>
      <w:r w:rsidRPr="00DA4326">
        <w:rPr>
          <w:rFonts w:asciiTheme="majorHAnsi" w:hAnsiTheme="majorHAnsi" w:cstheme="majorHAnsi"/>
          <w:sz w:val="23"/>
          <w:szCs w:val="23"/>
        </w:rPr>
        <w:t xml:space="preserve"> lie outside the mainstream capitalist </w:t>
      </w:r>
      <w:r>
        <w:rPr>
          <w:rFonts w:asciiTheme="majorHAnsi" w:hAnsiTheme="majorHAnsi" w:cstheme="majorHAnsi"/>
          <w:sz w:val="23"/>
          <w:szCs w:val="23"/>
        </w:rPr>
        <w:t>system</w:t>
      </w:r>
      <w:r w:rsidRPr="00DA4326">
        <w:rPr>
          <w:rFonts w:asciiTheme="majorHAnsi" w:hAnsiTheme="majorHAnsi" w:cstheme="majorHAnsi"/>
          <w:sz w:val="23"/>
          <w:szCs w:val="23"/>
        </w:rPr>
        <w:t xml:space="preserve">. </w:t>
      </w:r>
      <w:r>
        <w:rPr>
          <w:rFonts w:asciiTheme="majorHAnsi" w:hAnsiTheme="majorHAnsi" w:cstheme="majorHAnsi"/>
          <w:sz w:val="23"/>
          <w:szCs w:val="23"/>
        </w:rPr>
        <w:t>They are, by definition,</w:t>
      </w:r>
      <w:r w:rsidRPr="00DA4326">
        <w:rPr>
          <w:rFonts w:asciiTheme="majorHAnsi" w:hAnsiTheme="majorHAnsi" w:cstheme="majorHAnsi"/>
          <w:sz w:val="23"/>
          <w:szCs w:val="23"/>
        </w:rPr>
        <w:t xml:space="preserve"> unconnected to the mainstream and </w:t>
      </w:r>
      <w:r>
        <w:rPr>
          <w:rFonts w:asciiTheme="majorHAnsi" w:hAnsiTheme="majorHAnsi" w:cstheme="majorHAnsi"/>
          <w:sz w:val="23"/>
          <w:szCs w:val="23"/>
        </w:rPr>
        <w:t xml:space="preserve">thus </w:t>
      </w:r>
      <w:r w:rsidRPr="00DA4326">
        <w:rPr>
          <w:rFonts w:asciiTheme="majorHAnsi" w:hAnsiTheme="majorHAnsi" w:cstheme="majorHAnsi"/>
          <w:sz w:val="23"/>
          <w:szCs w:val="23"/>
        </w:rPr>
        <w:t xml:space="preserve">forever consigned to the margins, forming enclaves in which participants may well survive but rarely prosper. </w:t>
      </w:r>
      <w:r>
        <w:rPr>
          <w:rFonts w:asciiTheme="majorHAnsi" w:hAnsiTheme="majorHAnsi" w:cstheme="majorHAnsi"/>
          <w:sz w:val="23"/>
          <w:szCs w:val="23"/>
        </w:rPr>
        <w:t xml:space="preserve">Furthermore, </w:t>
      </w:r>
      <w:r w:rsidRPr="00DA4326">
        <w:rPr>
          <w:rFonts w:asciiTheme="majorHAnsi" w:hAnsiTheme="majorHAnsi" w:cstheme="majorHAnsi"/>
          <w:sz w:val="23"/>
          <w:szCs w:val="23"/>
        </w:rPr>
        <w:t xml:space="preserve">the emphasis on individual and localised agency underplays the massive array of policy and structural elements </w:t>
      </w:r>
      <w:r>
        <w:rPr>
          <w:rFonts w:asciiTheme="majorHAnsi" w:hAnsiTheme="majorHAnsi" w:cstheme="majorHAnsi"/>
          <w:sz w:val="23"/>
          <w:szCs w:val="23"/>
        </w:rPr>
        <w:t>that</w:t>
      </w:r>
      <w:r w:rsidRPr="00DA4326">
        <w:rPr>
          <w:rFonts w:asciiTheme="majorHAnsi" w:hAnsiTheme="majorHAnsi" w:cstheme="majorHAnsi"/>
          <w:sz w:val="23"/>
          <w:szCs w:val="23"/>
        </w:rPr>
        <w:t xml:space="preserve"> </w:t>
      </w:r>
      <w:r>
        <w:rPr>
          <w:rFonts w:asciiTheme="majorHAnsi" w:hAnsiTheme="majorHAnsi" w:cstheme="majorHAnsi"/>
          <w:sz w:val="23"/>
          <w:szCs w:val="23"/>
        </w:rPr>
        <w:t>shape and</w:t>
      </w:r>
      <w:r w:rsidRPr="00DA4326">
        <w:rPr>
          <w:rFonts w:asciiTheme="majorHAnsi" w:hAnsiTheme="majorHAnsi" w:cstheme="majorHAnsi"/>
          <w:sz w:val="23"/>
          <w:szCs w:val="23"/>
        </w:rPr>
        <w:t xml:space="preserve"> constrain individual predicaments. </w:t>
      </w:r>
      <w:r>
        <w:rPr>
          <w:rFonts w:asciiTheme="majorHAnsi" w:hAnsiTheme="majorHAnsi" w:cstheme="majorHAnsi"/>
          <w:sz w:val="23"/>
          <w:szCs w:val="23"/>
        </w:rPr>
        <w:t>Twenty</w:t>
      </w:r>
      <w:r w:rsidRPr="00DA4326">
        <w:rPr>
          <w:rFonts w:asciiTheme="majorHAnsi" w:hAnsiTheme="majorHAnsi" w:cstheme="majorHAnsi"/>
          <w:sz w:val="23"/>
          <w:szCs w:val="23"/>
        </w:rPr>
        <w:t xml:space="preserve"> years on, the La Trobe Valley remains an area seriously blighted by unemployment and social disadvantage</w:t>
      </w:r>
      <w:r>
        <w:rPr>
          <w:rFonts w:asciiTheme="majorHAnsi" w:hAnsiTheme="majorHAnsi" w:cstheme="majorHAnsi"/>
          <w:sz w:val="23"/>
          <w:szCs w:val="23"/>
        </w:rPr>
        <w:t>, and</w:t>
      </w:r>
      <w:r w:rsidRPr="00DA4326">
        <w:rPr>
          <w:rFonts w:asciiTheme="majorHAnsi" w:hAnsiTheme="majorHAnsi" w:cstheme="majorHAnsi"/>
          <w:sz w:val="23"/>
          <w:szCs w:val="23"/>
        </w:rPr>
        <w:t xml:space="preserve"> many of the </w:t>
      </w:r>
      <w:r>
        <w:rPr>
          <w:rFonts w:asciiTheme="majorHAnsi" w:hAnsiTheme="majorHAnsi" w:cstheme="majorHAnsi"/>
          <w:sz w:val="23"/>
          <w:szCs w:val="23"/>
        </w:rPr>
        <w:t>grassroots cooperatives</w:t>
      </w:r>
      <w:r w:rsidRPr="00DA4326">
        <w:rPr>
          <w:rFonts w:asciiTheme="majorHAnsi" w:hAnsiTheme="majorHAnsi" w:cstheme="majorHAnsi"/>
          <w:sz w:val="23"/>
          <w:szCs w:val="23"/>
        </w:rPr>
        <w:t xml:space="preserve"> established </w:t>
      </w:r>
      <w:r>
        <w:rPr>
          <w:rFonts w:asciiTheme="majorHAnsi" w:hAnsiTheme="majorHAnsi" w:cstheme="majorHAnsi"/>
          <w:sz w:val="23"/>
          <w:szCs w:val="23"/>
        </w:rPr>
        <w:t>in</w:t>
      </w:r>
      <w:r w:rsidRPr="00DA4326">
        <w:rPr>
          <w:rFonts w:asciiTheme="majorHAnsi" w:hAnsiTheme="majorHAnsi" w:cstheme="majorHAnsi"/>
          <w:sz w:val="23"/>
          <w:szCs w:val="23"/>
        </w:rPr>
        <w:t xml:space="preserve"> the 1990s </w:t>
      </w:r>
      <w:r>
        <w:rPr>
          <w:rFonts w:asciiTheme="majorHAnsi" w:hAnsiTheme="majorHAnsi" w:cstheme="majorHAnsi"/>
          <w:sz w:val="23"/>
          <w:szCs w:val="23"/>
        </w:rPr>
        <w:t>are no longer operating</w:t>
      </w:r>
      <w:r w:rsidRPr="00DA4326">
        <w:rPr>
          <w:rFonts w:asciiTheme="majorHAnsi" w:hAnsiTheme="majorHAnsi" w:cstheme="majorHAnsi"/>
          <w:sz w:val="23"/>
          <w:szCs w:val="23"/>
        </w:rPr>
        <w:t>.</w:t>
      </w:r>
    </w:p>
    <w:p w14:paraId="5A109D3C" w14:textId="77777777" w:rsidR="00F00E3D" w:rsidRDefault="00F00E3D" w:rsidP="009B2FA7">
      <w:pPr>
        <w:spacing w:line="276" w:lineRule="auto"/>
        <w:rPr>
          <w:rFonts w:asciiTheme="majorHAnsi" w:hAnsiTheme="majorHAnsi" w:cstheme="majorHAnsi"/>
          <w:sz w:val="23"/>
          <w:szCs w:val="23"/>
        </w:rPr>
      </w:pPr>
      <w:r w:rsidRPr="00DA4326">
        <w:rPr>
          <w:rFonts w:asciiTheme="majorHAnsi" w:hAnsiTheme="majorHAnsi" w:cstheme="majorHAnsi"/>
          <w:sz w:val="23"/>
          <w:szCs w:val="23"/>
        </w:rPr>
        <w:t>There is also a serious mismatch between the Community Economy</w:t>
      </w:r>
      <w:r>
        <w:rPr>
          <w:rFonts w:asciiTheme="majorHAnsi" w:hAnsiTheme="majorHAnsi" w:cstheme="majorHAnsi"/>
          <w:sz w:val="23"/>
          <w:szCs w:val="23"/>
        </w:rPr>
        <w:t xml:space="preserve"> </w:t>
      </w:r>
      <w:r w:rsidRPr="00DA4326">
        <w:rPr>
          <w:rFonts w:asciiTheme="majorHAnsi" w:hAnsiTheme="majorHAnsi" w:cstheme="majorHAnsi"/>
          <w:sz w:val="23"/>
          <w:szCs w:val="23"/>
        </w:rPr>
        <w:t>framework and the regulatory and aspirational world in which many unemployed Australia</w:t>
      </w:r>
      <w:r>
        <w:rPr>
          <w:rFonts w:asciiTheme="majorHAnsi" w:hAnsiTheme="majorHAnsi" w:cstheme="majorHAnsi"/>
          <w:sz w:val="23"/>
          <w:szCs w:val="23"/>
        </w:rPr>
        <w:t>ns live</w:t>
      </w:r>
      <w:r w:rsidRPr="00DA4326">
        <w:rPr>
          <w:rFonts w:asciiTheme="majorHAnsi" w:hAnsiTheme="majorHAnsi" w:cstheme="majorHAnsi"/>
          <w:sz w:val="23"/>
          <w:szCs w:val="23"/>
        </w:rPr>
        <w:t xml:space="preserve">. </w:t>
      </w:r>
      <w:r>
        <w:rPr>
          <w:rFonts w:asciiTheme="majorHAnsi" w:hAnsiTheme="majorHAnsi" w:cstheme="majorHAnsi"/>
          <w:sz w:val="23"/>
          <w:szCs w:val="23"/>
        </w:rPr>
        <w:t>The</w:t>
      </w:r>
      <w:r w:rsidRPr="00DA4326">
        <w:rPr>
          <w:rFonts w:asciiTheme="majorHAnsi" w:hAnsiTheme="majorHAnsi" w:cstheme="majorHAnsi"/>
          <w:sz w:val="23"/>
          <w:szCs w:val="23"/>
        </w:rPr>
        <w:t xml:space="preserve"> increasingly punitive </w:t>
      </w:r>
      <w:r>
        <w:rPr>
          <w:rFonts w:asciiTheme="majorHAnsi" w:hAnsiTheme="majorHAnsi" w:cstheme="majorHAnsi"/>
          <w:sz w:val="23"/>
          <w:szCs w:val="23"/>
        </w:rPr>
        <w:t>regulation</w:t>
      </w:r>
      <w:r w:rsidRPr="00DA4326">
        <w:rPr>
          <w:rFonts w:asciiTheme="majorHAnsi" w:hAnsiTheme="majorHAnsi" w:cstheme="majorHAnsi"/>
          <w:sz w:val="23"/>
          <w:szCs w:val="23"/>
        </w:rPr>
        <w:t xml:space="preserve"> of unemployment – part of the messy and contested but no less oppressive regime of the neo-liberal State (see Larner et al</w:t>
      </w:r>
      <w:r>
        <w:rPr>
          <w:rFonts w:asciiTheme="majorHAnsi" w:hAnsiTheme="majorHAnsi" w:cstheme="majorHAnsi"/>
          <w:sz w:val="23"/>
          <w:szCs w:val="23"/>
        </w:rPr>
        <w:t>.,</w:t>
      </w:r>
      <w:r w:rsidRPr="00DA4326">
        <w:rPr>
          <w:rFonts w:asciiTheme="majorHAnsi" w:hAnsiTheme="majorHAnsi" w:cstheme="majorHAnsi"/>
          <w:sz w:val="23"/>
          <w:szCs w:val="23"/>
        </w:rPr>
        <w:t xml:space="preserve"> 2007)</w:t>
      </w:r>
      <w:r>
        <w:rPr>
          <w:rFonts w:asciiTheme="majorHAnsi" w:hAnsiTheme="majorHAnsi" w:cstheme="majorHAnsi"/>
          <w:sz w:val="23"/>
          <w:szCs w:val="23"/>
        </w:rPr>
        <w:t xml:space="preserve"> –</w:t>
      </w:r>
      <w:r w:rsidRPr="00DA4326">
        <w:rPr>
          <w:rFonts w:asciiTheme="majorHAnsi" w:hAnsiTheme="majorHAnsi" w:cstheme="majorHAnsi"/>
          <w:sz w:val="23"/>
          <w:szCs w:val="23"/>
        </w:rPr>
        <w:t xml:space="preserve"> means that to receive any form of social </w:t>
      </w:r>
      <w:r>
        <w:rPr>
          <w:rFonts w:asciiTheme="majorHAnsi" w:hAnsiTheme="majorHAnsi" w:cstheme="majorHAnsi"/>
          <w:sz w:val="23"/>
          <w:szCs w:val="23"/>
        </w:rPr>
        <w:t xml:space="preserve">security </w:t>
      </w:r>
      <w:r w:rsidRPr="00DA4326">
        <w:rPr>
          <w:rFonts w:asciiTheme="majorHAnsi" w:hAnsiTheme="majorHAnsi" w:cstheme="majorHAnsi"/>
          <w:sz w:val="23"/>
          <w:szCs w:val="23"/>
        </w:rPr>
        <w:t xml:space="preserve">benefit, Australians </w:t>
      </w:r>
      <w:r>
        <w:rPr>
          <w:rFonts w:asciiTheme="majorHAnsi" w:hAnsiTheme="majorHAnsi" w:cstheme="majorHAnsi"/>
          <w:sz w:val="23"/>
          <w:szCs w:val="23"/>
        </w:rPr>
        <w:t>must</w:t>
      </w:r>
      <w:r w:rsidRPr="00DA4326">
        <w:rPr>
          <w:rFonts w:asciiTheme="majorHAnsi" w:hAnsiTheme="majorHAnsi" w:cstheme="majorHAnsi"/>
          <w:sz w:val="23"/>
          <w:szCs w:val="23"/>
        </w:rPr>
        <w:t xml:space="preserve"> undertake training and be actively seeking paid employment. If they </w:t>
      </w:r>
      <w:r>
        <w:rPr>
          <w:rFonts w:asciiTheme="majorHAnsi" w:hAnsiTheme="majorHAnsi" w:cstheme="majorHAnsi"/>
          <w:sz w:val="23"/>
          <w:szCs w:val="23"/>
        </w:rPr>
        <w:t>fail to</w:t>
      </w:r>
      <w:r w:rsidRPr="00DA4326">
        <w:rPr>
          <w:rFonts w:asciiTheme="majorHAnsi" w:hAnsiTheme="majorHAnsi" w:cstheme="majorHAnsi"/>
          <w:sz w:val="23"/>
          <w:szCs w:val="23"/>
        </w:rPr>
        <w:t xml:space="preserve"> satisfy these requirements, they are denied an income. </w:t>
      </w:r>
      <w:r>
        <w:rPr>
          <w:rFonts w:asciiTheme="majorHAnsi" w:hAnsiTheme="majorHAnsi" w:cstheme="majorHAnsi"/>
          <w:sz w:val="23"/>
          <w:szCs w:val="23"/>
        </w:rPr>
        <w:t>Under the “mutual obligation” regime,</w:t>
      </w:r>
      <w:r w:rsidRPr="00DA4326">
        <w:rPr>
          <w:rFonts w:asciiTheme="majorHAnsi" w:hAnsiTheme="majorHAnsi" w:cstheme="majorHAnsi"/>
          <w:sz w:val="23"/>
          <w:szCs w:val="23"/>
        </w:rPr>
        <w:t xml:space="preserve"> if </w:t>
      </w:r>
      <w:r>
        <w:rPr>
          <w:rFonts w:asciiTheme="majorHAnsi" w:hAnsiTheme="majorHAnsi" w:cstheme="majorHAnsi"/>
          <w:sz w:val="23"/>
          <w:szCs w:val="23"/>
        </w:rPr>
        <w:t>people</w:t>
      </w:r>
      <w:r w:rsidRPr="00DA4326">
        <w:rPr>
          <w:rFonts w:asciiTheme="majorHAnsi" w:hAnsiTheme="majorHAnsi" w:cstheme="majorHAnsi"/>
          <w:sz w:val="23"/>
          <w:szCs w:val="23"/>
        </w:rPr>
        <w:t xml:space="preserve"> without paid work do not actively seek to re-integrate into Australia’s formal mixed economy, they are denied State assistance.</w:t>
      </w:r>
    </w:p>
    <w:p w14:paraId="4A6CF2C5" w14:textId="3578F875" w:rsidR="00F00E3D" w:rsidRDefault="00F00E3D" w:rsidP="009B2FA7">
      <w:pPr>
        <w:spacing w:line="276" w:lineRule="auto"/>
        <w:rPr>
          <w:rFonts w:asciiTheme="majorHAnsi" w:hAnsiTheme="majorHAnsi" w:cstheme="majorHAnsi"/>
          <w:sz w:val="23"/>
          <w:szCs w:val="23"/>
        </w:rPr>
      </w:pPr>
      <w:r w:rsidRPr="00DA4326">
        <w:rPr>
          <w:rFonts w:asciiTheme="majorHAnsi" w:hAnsiTheme="majorHAnsi" w:cstheme="majorHAnsi"/>
          <w:sz w:val="23"/>
          <w:szCs w:val="23"/>
        </w:rPr>
        <w:t xml:space="preserve">The rationale </w:t>
      </w:r>
      <w:r>
        <w:rPr>
          <w:rFonts w:asciiTheme="majorHAnsi" w:hAnsiTheme="majorHAnsi" w:cstheme="majorHAnsi"/>
          <w:sz w:val="23"/>
          <w:szCs w:val="23"/>
        </w:rPr>
        <w:t xml:space="preserve">here </w:t>
      </w:r>
      <w:r w:rsidRPr="00DA4326">
        <w:rPr>
          <w:rFonts w:asciiTheme="majorHAnsi" w:hAnsiTheme="majorHAnsi" w:cstheme="majorHAnsi"/>
          <w:sz w:val="23"/>
          <w:szCs w:val="23"/>
        </w:rPr>
        <w:t>is not solely about cost cutting</w:t>
      </w:r>
      <w:r>
        <w:rPr>
          <w:rFonts w:asciiTheme="majorHAnsi" w:hAnsiTheme="majorHAnsi" w:cstheme="majorHAnsi"/>
          <w:sz w:val="23"/>
          <w:szCs w:val="23"/>
        </w:rPr>
        <w:t>,</w:t>
      </w:r>
      <w:r w:rsidRPr="00DA4326">
        <w:rPr>
          <w:rFonts w:asciiTheme="majorHAnsi" w:hAnsiTheme="majorHAnsi" w:cstheme="majorHAnsi"/>
          <w:sz w:val="23"/>
          <w:szCs w:val="23"/>
        </w:rPr>
        <w:t xml:space="preserve"> but rests on the assumption that paid work is the main </w:t>
      </w:r>
      <w:r>
        <w:rPr>
          <w:rFonts w:asciiTheme="majorHAnsi" w:hAnsiTheme="majorHAnsi" w:cstheme="majorHAnsi"/>
          <w:sz w:val="23"/>
          <w:szCs w:val="23"/>
        </w:rPr>
        <w:t>avenue for delivering</w:t>
      </w:r>
      <w:r w:rsidRPr="00DA4326">
        <w:rPr>
          <w:rFonts w:asciiTheme="majorHAnsi" w:hAnsiTheme="majorHAnsi" w:cstheme="majorHAnsi"/>
          <w:sz w:val="23"/>
          <w:szCs w:val="23"/>
        </w:rPr>
        <w:t xml:space="preserve"> meaningful lives and livelihoods in modern-day Australia. This view aligns </w:t>
      </w:r>
      <w:r w:rsidRPr="00DA4326">
        <w:rPr>
          <w:rFonts w:asciiTheme="majorHAnsi" w:hAnsiTheme="majorHAnsi" w:cstheme="majorHAnsi"/>
          <w:sz w:val="23"/>
          <w:szCs w:val="23"/>
        </w:rPr>
        <w:lastRenderedPageBreak/>
        <w:t xml:space="preserve">with what </w:t>
      </w:r>
      <w:r>
        <w:rPr>
          <w:rFonts w:asciiTheme="majorHAnsi" w:hAnsiTheme="majorHAnsi" w:cstheme="majorHAnsi"/>
          <w:sz w:val="23"/>
          <w:szCs w:val="23"/>
        </w:rPr>
        <w:t>most Australians envisage for</w:t>
      </w:r>
      <w:r w:rsidRPr="00DA4326">
        <w:rPr>
          <w:rFonts w:asciiTheme="majorHAnsi" w:hAnsiTheme="majorHAnsi" w:cstheme="majorHAnsi"/>
          <w:sz w:val="23"/>
          <w:szCs w:val="23"/>
        </w:rPr>
        <w:t xml:space="preserve"> society, including charitable bodies </w:t>
      </w:r>
      <w:r>
        <w:rPr>
          <w:rFonts w:asciiTheme="majorHAnsi" w:hAnsiTheme="majorHAnsi" w:cstheme="majorHAnsi"/>
          <w:sz w:val="23"/>
          <w:szCs w:val="23"/>
        </w:rPr>
        <w:t>that</w:t>
      </w:r>
      <w:r w:rsidRPr="00DA4326">
        <w:rPr>
          <w:rFonts w:asciiTheme="majorHAnsi" w:hAnsiTheme="majorHAnsi" w:cstheme="majorHAnsi"/>
          <w:sz w:val="23"/>
          <w:szCs w:val="23"/>
        </w:rPr>
        <w:t xml:space="preserve"> work close</w:t>
      </w:r>
      <w:r>
        <w:rPr>
          <w:rFonts w:asciiTheme="majorHAnsi" w:hAnsiTheme="majorHAnsi" w:cstheme="majorHAnsi"/>
          <w:sz w:val="23"/>
          <w:szCs w:val="23"/>
        </w:rPr>
        <w:t>ly</w:t>
      </w:r>
      <w:r w:rsidRPr="00DA4326">
        <w:rPr>
          <w:rFonts w:asciiTheme="majorHAnsi" w:hAnsiTheme="majorHAnsi" w:cstheme="majorHAnsi"/>
          <w:sz w:val="23"/>
          <w:szCs w:val="23"/>
        </w:rPr>
        <w:t xml:space="preserve"> with the unemployed and poor (such as the Brotherhood of St Laurence</w:t>
      </w:r>
      <w:r>
        <w:rPr>
          <w:rFonts w:asciiTheme="majorHAnsi" w:hAnsiTheme="majorHAnsi" w:cstheme="majorHAnsi"/>
          <w:sz w:val="23"/>
          <w:szCs w:val="23"/>
        </w:rPr>
        <w:t>;</w:t>
      </w:r>
      <w:r w:rsidRPr="00DA4326">
        <w:rPr>
          <w:rFonts w:asciiTheme="majorHAnsi" w:hAnsiTheme="majorHAnsi" w:cstheme="majorHAnsi"/>
          <w:sz w:val="23"/>
          <w:szCs w:val="23"/>
        </w:rPr>
        <w:t xml:space="preserve"> see </w:t>
      </w:r>
      <w:r>
        <w:rPr>
          <w:rFonts w:asciiTheme="majorHAnsi" w:hAnsiTheme="majorHAnsi" w:cstheme="majorHAnsi"/>
          <w:noProof/>
          <w:sz w:val="23"/>
          <w:szCs w:val="23"/>
        </w:rPr>
        <w:t>Nicholson, 2007</w:t>
      </w:r>
      <w:r w:rsidRPr="00DA4326">
        <w:rPr>
          <w:rFonts w:asciiTheme="majorHAnsi" w:hAnsiTheme="majorHAnsi" w:cstheme="majorHAnsi"/>
          <w:sz w:val="23"/>
          <w:szCs w:val="23"/>
        </w:rPr>
        <w:t>).</w:t>
      </w:r>
    </w:p>
    <w:p w14:paraId="50AA3F97" w14:textId="77777777" w:rsidR="00F00E3D" w:rsidRPr="00DA4326" w:rsidRDefault="00F00E3D" w:rsidP="009B2FA7">
      <w:pPr>
        <w:spacing w:line="276" w:lineRule="auto"/>
        <w:rPr>
          <w:rFonts w:asciiTheme="majorHAnsi" w:hAnsiTheme="majorHAnsi" w:cstheme="majorHAnsi"/>
          <w:sz w:val="23"/>
          <w:szCs w:val="23"/>
        </w:rPr>
      </w:pPr>
      <w:r>
        <w:rPr>
          <w:rFonts w:asciiTheme="majorHAnsi" w:hAnsiTheme="majorHAnsi" w:cstheme="majorHAnsi"/>
          <w:sz w:val="23"/>
          <w:szCs w:val="23"/>
        </w:rPr>
        <w:t>While multiple forms of</w:t>
      </w:r>
      <w:r w:rsidRPr="00DA4326">
        <w:rPr>
          <w:rFonts w:asciiTheme="majorHAnsi" w:hAnsiTheme="majorHAnsi" w:cstheme="majorHAnsi"/>
          <w:sz w:val="23"/>
          <w:szCs w:val="23"/>
        </w:rPr>
        <w:t xml:space="preserve"> labour </w:t>
      </w:r>
      <w:r>
        <w:rPr>
          <w:rFonts w:asciiTheme="majorHAnsi" w:hAnsiTheme="majorHAnsi" w:cstheme="majorHAnsi"/>
          <w:sz w:val="23"/>
          <w:szCs w:val="23"/>
        </w:rPr>
        <w:t>do indeed exist</w:t>
      </w:r>
      <w:r w:rsidRPr="00DA4326">
        <w:rPr>
          <w:rFonts w:asciiTheme="majorHAnsi" w:hAnsiTheme="majorHAnsi" w:cstheme="majorHAnsi"/>
          <w:sz w:val="23"/>
          <w:szCs w:val="23"/>
        </w:rPr>
        <w:t xml:space="preserve">, </w:t>
      </w:r>
      <w:r>
        <w:rPr>
          <w:rFonts w:asciiTheme="majorHAnsi" w:hAnsiTheme="majorHAnsi" w:cstheme="majorHAnsi"/>
          <w:sz w:val="23"/>
          <w:szCs w:val="23"/>
        </w:rPr>
        <w:t>for Australia’s</w:t>
      </w:r>
      <w:r w:rsidRPr="00DA4326">
        <w:rPr>
          <w:rFonts w:asciiTheme="majorHAnsi" w:hAnsiTheme="majorHAnsi" w:cstheme="majorHAnsi"/>
          <w:sz w:val="23"/>
          <w:szCs w:val="23"/>
        </w:rPr>
        <w:t xml:space="preserve"> unemployed </w:t>
      </w:r>
      <w:r>
        <w:rPr>
          <w:rFonts w:asciiTheme="majorHAnsi" w:hAnsiTheme="majorHAnsi" w:cstheme="majorHAnsi"/>
          <w:sz w:val="23"/>
          <w:szCs w:val="23"/>
        </w:rPr>
        <w:t>the State insists on</w:t>
      </w:r>
      <w:r w:rsidRPr="00DA4326">
        <w:rPr>
          <w:rFonts w:asciiTheme="majorHAnsi" w:hAnsiTheme="majorHAnsi" w:cstheme="majorHAnsi"/>
          <w:sz w:val="23"/>
          <w:szCs w:val="23"/>
        </w:rPr>
        <w:t xml:space="preserve"> the conventional </w:t>
      </w:r>
      <w:r>
        <w:rPr>
          <w:rFonts w:asciiTheme="majorHAnsi" w:hAnsiTheme="majorHAnsi" w:cstheme="majorHAnsi"/>
          <w:sz w:val="23"/>
          <w:szCs w:val="23"/>
        </w:rPr>
        <w:t>definition</w:t>
      </w:r>
      <w:r w:rsidRPr="00DA4326">
        <w:rPr>
          <w:rFonts w:asciiTheme="majorHAnsi" w:hAnsiTheme="majorHAnsi" w:cstheme="majorHAnsi"/>
          <w:sz w:val="23"/>
          <w:szCs w:val="23"/>
        </w:rPr>
        <w:t xml:space="preserve"> </w:t>
      </w:r>
      <w:r>
        <w:rPr>
          <w:rFonts w:asciiTheme="majorHAnsi" w:hAnsiTheme="majorHAnsi" w:cstheme="majorHAnsi"/>
          <w:sz w:val="23"/>
          <w:szCs w:val="23"/>
        </w:rPr>
        <w:t>under the</w:t>
      </w:r>
      <w:r w:rsidRPr="00DA4326">
        <w:rPr>
          <w:rFonts w:asciiTheme="majorHAnsi" w:hAnsiTheme="majorHAnsi" w:cstheme="majorHAnsi"/>
          <w:sz w:val="23"/>
          <w:szCs w:val="23"/>
        </w:rPr>
        <w:t xml:space="preserve"> capitalist</w:t>
      </w:r>
      <w:r>
        <w:rPr>
          <w:rFonts w:asciiTheme="majorHAnsi" w:hAnsiTheme="majorHAnsi" w:cstheme="majorHAnsi"/>
          <w:sz w:val="23"/>
          <w:szCs w:val="23"/>
        </w:rPr>
        <w:t xml:space="preserve"> system</w:t>
      </w:r>
      <w:r w:rsidRPr="00DA4326">
        <w:rPr>
          <w:rFonts w:asciiTheme="majorHAnsi" w:hAnsiTheme="majorHAnsi" w:cstheme="majorHAnsi"/>
          <w:sz w:val="23"/>
          <w:szCs w:val="23"/>
        </w:rPr>
        <w:t xml:space="preserve">. This is </w:t>
      </w:r>
      <w:r>
        <w:rPr>
          <w:rFonts w:asciiTheme="majorHAnsi" w:hAnsiTheme="majorHAnsi" w:cstheme="majorHAnsi"/>
          <w:sz w:val="23"/>
          <w:szCs w:val="23"/>
        </w:rPr>
        <w:t xml:space="preserve">both a </w:t>
      </w:r>
      <w:r w:rsidRPr="00DA4326">
        <w:rPr>
          <w:rFonts w:asciiTheme="majorHAnsi" w:hAnsiTheme="majorHAnsi" w:cstheme="majorHAnsi"/>
          <w:sz w:val="23"/>
          <w:szCs w:val="23"/>
        </w:rPr>
        <w:t>regulatory requirement</w:t>
      </w:r>
      <w:r>
        <w:rPr>
          <w:rFonts w:asciiTheme="majorHAnsi" w:hAnsiTheme="majorHAnsi" w:cstheme="majorHAnsi"/>
          <w:sz w:val="23"/>
          <w:szCs w:val="23"/>
        </w:rPr>
        <w:t xml:space="preserve"> and</w:t>
      </w:r>
      <w:r w:rsidRPr="00DA4326">
        <w:rPr>
          <w:rFonts w:asciiTheme="majorHAnsi" w:hAnsiTheme="majorHAnsi" w:cstheme="majorHAnsi"/>
          <w:sz w:val="23"/>
          <w:szCs w:val="23"/>
        </w:rPr>
        <w:t xml:space="preserve"> a social aspiration for most unemployed</w:t>
      </w:r>
      <w:r>
        <w:rPr>
          <w:rFonts w:asciiTheme="majorHAnsi" w:hAnsiTheme="majorHAnsi" w:cstheme="majorHAnsi"/>
          <w:sz w:val="23"/>
          <w:szCs w:val="23"/>
        </w:rPr>
        <w:t xml:space="preserve"> people</w:t>
      </w:r>
      <w:r w:rsidRPr="00DA4326">
        <w:rPr>
          <w:rFonts w:asciiTheme="majorHAnsi" w:hAnsiTheme="majorHAnsi" w:cstheme="majorHAnsi"/>
          <w:sz w:val="23"/>
          <w:szCs w:val="23"/>
        </w:rPr>
        <w:t xml:space="preserve"> themselves. </w:t>
      </w:r>
      <w:r>
        <w:rPr>
          <w:rFonts w:asciiTheme="majorHAnsi" w:hAnsiTheme="majorHAnsi" w:cstheme="majorHAnsi"/>
          <w:sz w:val="23"/>
          <w:szCs w:val="23"/>
        </w:rPr>
        <w:t>In sum,</w:t>
      </w:r>
      <w:r w:rsidRPr="00DA4326">
        <w:rPr>
          <w:rFonts w:asciiTheme="majorHAnsi" w:hAnsiTheme="majorHAnsi" w:cstheme="majorHAnsi"/>
          <w:sz w:val="23"/>
          <w:szCs w:val="23"/>
        </w:rPr>
        <w:t xml:space="preserve"> while the Community Economy approach offers valuable lessons in the importance of local exchange networks and community organisations, its wider applicability to socially disadvantaged areas is limited.</w:t>
      </w:r>
    </w:p>
    <w:p w14:paraId="2E565D65" w14:textId="77777777" w:rsidR="00F00E3D" w:rsidRPr="006B0E23" w:rsidRDefault="00F00E3D" w:rsidP="009B2FA7">
      <w:pPr>
        <w:spacing w:line="276" w:lineRule="auto"/>
        <w:rPr>
          <w:rFonts w:cstheme="minorHAnsi"/>
          <w:b/>
          <w:bCs/>
          <w:color w:val="2E74B5" w:themeColor="accent5" w:themeShade="BF"/>
          <w:sz w:val="25"/>
          <w:szCs w:val="25"/>
        </w:rPr>
      </w:pPr>
      <w:r w:rsidRPr="006B0E23">
        <w:rPr>
          <w:rFonts w:cstheme="minorHAnsi"/>
          <w:b/>
          <w:bCs/>
          <w:color w:val="2E74B5" w:themeColor="accent5" w:themeShade="BF"/>
          <w:sz w:val="25"/>
          <w:szCs w:val="25"/>
        </w:rPr>
        <w:t>1.2.3 Bridges Out of Poverty Approach</w:t>
      </w:r>
    </w:p>
    <w:p w14:paraId="4249C7DA" w14:textId="793DE9E6" w:rsidR="00F00E3D" w:rsidRPr="0005317A" w:rsidRDefault="00F00E3D" w:rsidP="009B2FA7">
      <w:pPr>
        <w:spacing w:line="276" w:lineRule="auto"/>
        <w:rPr>
          <w:rFonts w:asciiTheme="majorHAnsi" w:hAnsiTheme="majorHAnsi" w:cstheme="majorBidi"/>
          <w:sz w:val="23"/>
          <w:szCs w:val="23"/>
        </w:rPr>
      </w:pPr>
      <w:r>
        <w:rPr>
          <w:rFonts w:asciiTheme="majorHAnsi" w:hAnsiTheme="majorHAnsi" w:cstheme="majorBidi"/>
          <w:sz w:val="23"/>
          <w:szCs w:val="23"/>
        </w:rPr>
        <w:t xml:space="preserve">One </w:t>
      </w:r>
      <w:r w:rsidRPr="359636AC">
        <w:rPr>
          <w:rFonts w:asciiTheme="majorHAnsi" w:hAnsiTheme="majorHAnsi" w:cstheme="majorBidi"/>
          <w:sz w:val="23"/>
          <w:szCs w:val="23"/>
        </w:rPr>
        <w:t xml:space="preserve">approach to </w:t>
      </w:r>
      <w:r>
        <w:rPr>
          <w:rFonts w:asciiTheme="majorHAnsi" w:hAnsiTheme="majorHAnsi" w:cstheme="majorBidi"/>
          <w:sz w:val="23"/>
          <w:szCs w:val="23"/>
        </w:rPr>
        <w:t>defining and ameliorating</w:t>
      </w:r>
      <w:r w:rsidRPr="359636AC">
        <w:rPr>
          <w:rFonts w:asciiTheme="majorHAnsi" w:hAnsiTheme="majorHAnsi" w:cstheme="majorBidi"/>
          <w:sz w:val="23"/>
          <w:szCs w:val="23"/>
        </w:rPr>
        <w:t xml:space="preserve"> poverty </w:t>
      </w:r>
      <w:r w:rsidR="000363C6">
        <w:rPr>
          <w:rFonts w:asciiTheme="majorHAnsi" w:hAnsiTheme="majorHAnsi" w:cstheme="majorBidi"/>
          <w:sz w:val="23"/>
          <w:szCs w:val="23"/>
        </w:rPr>
        <w:t xml:space="preserve">that has been influential </w:t>
      </w:r>
      <w:r w:rsidRPr="359636AC">
        <w:rPr>
          <w:rFonts w:asciiTheme="majorHAnsi" w:hAnsiTheme="majorHAnsi" w:cstheme="majorBidi"/>
          <w:sz w:val="23"/>
          <w:szCs w:val="23"/>
        </w:rPr>
        <w:t>in Geelong</w:t>
      </w:r>
      <w:r w:rsidRPr="00355C92">
        <w:rPr>
          <w:rFonts w:asciiTheme="majorHAnsi" w:hAnsiTheme="majorHAnsi" w:cstheme="majorBidi"/>
          <w:sz w:val="23"/>
          <w:szCs w:val="23"/>
        </w:rPr>
        <w:t xml:space="preserve"> </w:t>
      </w:r>
      <w:r>
        <w:rPr>
          <w:rFonts w:asciiTheme="majorHAnsi" w:hAnsiTheme="majorHAnsi" w:cstheme="majorBidi"/>
          <w:sz w:val="23"/>
          <w:szCs w:val="23"/>
        </w:rPr>
        <w:t xml:space="preserve">was formulated by </w:t>
      </w:r>
      <w:r w:rsidRPr="359636AC">
        <w:rPr>
          <w:rFonts w:asciiTheme="majorHAnsi" w:hAnsiTheme="majorHAnsi" w:cstheme="majorBidi"/>
          <w:sz w:val="23"/>
          <w:szCs w:val="23"/>
        </w:rPr>
        <w:t>American educationalist Ruby Payne</w:t>
      </w:r>
      <w:r>
        <w:rPr>
          <w:rFonts w:asciiTheme="majorHAnsi" w:hAnsiTheme="majorHAnsi" w:cstheme="majorBidi"/>
          <w:sz w:val="23"/>
          <w:szCs w:val="23"/>
        </w:rPr>
        <w:t>. Wi</w:t>
      </w:r>
      <w:r w:rsidRPr="359636AC">
        <w:rPr>
          <w:rFonts w:asciiTheme="majorHAnsi" w:hAnsiTheme="majorHAnsi" w:cstheme="majorBidi"/>
          <w:sz w:val="23"/>
          <w:szCs w:val="23"/>
        </w:rPr>
        <w:t xml:space="preserve">dely utilised across </w:t>
      </w:r>
      <w:r w:rsidR="000363C6">
        <w:rPr>
          <w:rFonts w:asciiTheme="majorHAnsi" w:hAnsiTheme="majorHAnsi" w:cstheme="majorBidi"/>
          <w:sz w:val="23"/>
          <w:szCs w:val="23"/>
        </w:rPr>
        <w:t xml:space="preserve">Geelong’s </w:t>
      </w:r>
      <w:r w:rsidRPr="359636AC">
        <w:rPr>
          <w:rFonts w:asciiTheme="majorHAnsi" w:hAnsiTheme="majorHAnsi" w:cstheme="majorBidi"/>
          <w:sz w:val="23"/>
          <w:szCs w:val="23"/>
        </w:rPr>
        <w:t>social welfare sector in the early 2000s</w:t>
      </w:r>
      <w:r>
        <w:rPr>
          <w:rFonts w:asciiTheme="majorHAnsi" w:hAnsiTheme="majorHAnsi" w:cstheme="majorBidi"/>
          <w:sz w:val="23"/>
          <w:szCs w:val="23"/>
        </w:rPr>
        <w:t xml:space="preserve">, the </w:t>
      </w:r>
      <w:r w:rsidRPr="359636AC">
        <w:rPr>
          <w:rFonts w:asciiTheme="majorHAnsi" w:hAnsiTheme="majorHAnsi" w:cstheme="majorBidi"/>
          <w:sz w:val="23"/>
          <w:szCs w:val="23"/>
        </w:rPr>
        <w:t>“Bridges out of Poverty</w:t>
      </w:r>
      <w:r>
        <w:rPr>
          <w:rFonts w:asciiTheme="majorHAnsi" w:hAnsiTheme="majorHAnsi" w:cstheme="majorBidi"/>
          <w:sz w:val="23"/>
          <w:szCs w:val="23"/>
        </w:rPr>
        <w:t xml:space="preserve">” approach </w:t>
      </w:r>
      <w:r>
        <w:rPr>
          <w:rFonts w:asciiTheme="majorHAnsi" w:hAnsiTheme="majorHAnsi" w:cstheme="majorBidi"/>
          <w:noProof/>
          <w:sz w:val="23"/>
          <w:szCs w:val="23"/>
        </w:rPr>
        <w:t>(Payne</w:t>
      </w:r>
      <w:r w:rsidR="000363C6">
        <w:rPr>
          <w:rFonts w:asciiTheme="majorHAnsi" w:hAnsiTheme="majorHAnsi" w:cstheme="majorBidi"/>
          <w:noProof/>
          <w:sz w:val="23"/>
          <w:szCs w:val="23"/>
        </w:rPr>
        <w:t xml:space="preserve"> et al.</w:t>
      </w:r>
      <w:r>
        <w:rPr>
          <w:rFonts w:asciiTheme="majorHAnsi" w:hAnsiTheme="majorHAnsi" w:cstheme="majorBidi"/>
          <w:noProof/>
          <w:sz w:val="23"/>
          <w:szCs w:val="23"/>
        </w:rPr>
        <w:t>, 2001)</w:t>
      </w:r>
      <w:r>
        <w:rPr>
          <w:rFonts w:asciiTheme="majorHAnsi" w:hAnsiTheme="majorHAnsi" w:cstheme="majorBidi"/>
          <w:sz w:val="23"/>
          <w:szCs w:val="23"/>
        </w:rPr>
        <w:t xml:space="preserve"> </w:t>
      </w:r>
      <w:r w:rsidRPr="359636AC">
        <w:rPr>
          <w:rFonts w:asciiTheme="majorHAnsi" w:hAnsiTheme="majorHAnsi" w:cstheme="majorBidi"/>
          <w:sz w:val="23"/>
          <w:szCs w:val="23"/>
        </w:rPr>
        <w:t>involve</w:t>
      </w:r>
      <w:r>
        <w:rPr>
          <w:rFonts w:asciiTheme="majorHAnsi" w:hAnsiTheme="majorHAnsi" w:cstheme="majorBidi"/>
          <w:sz w:val="23"/>
          <w:szCs w:val="23"/>
        </w:rPr>
        <w:t>d</w:t>
      </w:r>
      <w:r w:rsidRPr="359636AC">
        <w:rPr>
          <w:rFonts w:asciiTheme="majorHAnsi" w:hAnsiTheme="majorHAnsi" w:cstheme="majorBidi"/>
          <w:sz w:val="23"/>
          <w:szCs w:val="23"/>
        </w:rPr>
        <w:t xml:space="preserve"> a hybrid class-based </w:t>
      </w:r>
      <w:r>
        <w:rPr>
          <w:rFonts w:asciiTheme="majorHAnsi" w:hAnsiTheme="majorHAnsi" w:cstheme="majorBidi"/>
          <w:sz w:val="23"/>
          <w:szCs w:val="23"/>
        </w:rPr>
        <w:t>and</w:t>
      </w:r>
      <w:r w:rsidRPr="359636AC">
        <w:rPr>
          <w:rFonts w:asciiTheme="majorHAnsi" w:hAnsiTheme="majorHAnsi" w:cstheme="majorBidi"/>
          <w:sz w:val="23"/>
          <w:szCs w:val="23"/>
        </w:rPr>
        <w:t xml:space="preserve"> individually focused cultural analysis and set of interventions. </w:t>
      </w:r>
      <w:r>
        <w:rPr>
          <w:rFonts w:asciiTheme="majorHAnsi" w:hAnsiTheme="majorHAnsi" w:cstheme="majorBidi"/>
          <w:sz w:val="23"/>
          <w:szCs w:val="23"/>
        </w:rPr>
        <w:t>It</w:t>
      </w:r>
      <w:r w:rsidRPr="359636AC">
        <w:rPr>
          <w:rFonts w:asciiTheme="majorHAnsi" w:hAnsiTheme="majorHAnsi" w:cstheme="majorBidi"/>
          <w:sz w:val="23"/>
          <w:szCs w:val="23"/>
        </w:rPr>
        <w:t xml:space="preserve"> considered here </w:t>
      </w:r>
      <w:r w:rsidR="000363C6">
        <w:rPr>
          <w:rFonts w:asciiTheme="majorHAnsi" w:hAnsiTheme="majorHAnsi" w:cstheme="majorBidi"/>
          <w:sz w:val="23"/>
          <w:szCs w:val="23"/>
        </w:rPr>
        <w:t>due to</w:t>
      </w:r>
      <w:r w:rsidRPr="359636AC">
        <w:rPr>
          <w:rFonts w:asciiTheme="majorHAnsi" w:hAnsiTheme="majorHAnsi" w:cstheme="majorBidi"/>
          <w:sz w:val="23"/>
          <w:szCs w:val="23"/>
        </w:rPr>
        <w:t xml:space="preserve"> its </w:t>
      </w:r>
      <w:r>
        <w:rPr>
          <w:rFonts w:asciiTheme="majorHAnsi" w:hAnsiTheme="majorHAnsi" w:cstheme="majorBidi"/>
          <w:sz w:val="23"/>
          <w:szCs w:val="23"/>
        </w:rPr>
        <w:t xml:space="preserve">wide </w:t>
      </w:r>
      <w:r w:rsidRPr="359636AC">
        <w:rPr>
          <w:rFonts w:asciiTheme="majorHAnsi" w:hAnsiTheme="majorHAnsi" w:cstheme="majorBidi"/>
          <w:sz w:val="23"/>
          <w:szCs w:val="23"/>
        </w:rPr>
        <w:t>use across the region</w:t>
      </w:r>
      <w:r>
        <w:rPr>
          <w:rFonts w:asciiTheme="majorHAnsi" w:hAnsiTheme="majorHAnsi" w:cstheme="majorBidi"/>
          <w:sz w:val="23"/>
          <w:szCs w:val="23"/>
        </w:rPr>
        <w:t>. This strong local uptake was evidenced</w:t>
      </w:r>
      <w:r w:rsidRPr="359636AC">
        <w:rPr>
          <w:rFonts w:asciiTheme="majorHAnsi" w:hAnsiTheme="majorHAnsi" w:cstheme="majorBidi"/>
          <w:sz w:val="23"/>
          <w:szCs w:val="23"/>
        </w:rPr>
        <w:t xml:space="preserve"> </w:t>
      </w:r>
      <w:r>
        <w:rPr>
          <w:rFonts w:asciiTheme="majorHAnsi" w:hAnsiTheme="majorHAnsi" w:cstheme="majorBidi"/>
          <w:sz w:val="23"/>
          <w:szCs w:val="23"/>
        </w:rPr>
        <w:t>in 2013, when</w:t>
      </w:r>
      <w:r w:rsidRPr="359636AC">
        <w:rPr>
          <w:rFonts w:asciiTheme="majorHAnsi" w:hAnsiTheme="majorHAnsi" w:cstheme="majorBidi"/>
          <w:sz w:val="23"/>
          <w:szCs w:val="23"/>
        </w:rPr>
        <w:t xml:space="preserve"> a series of public talks </w:t>
      </w:r>
      <w:r>
        <w:rPr>
          <w:rFonts w:asciiTheme="majorHAnsi" w:hAnsiTheme="majorHAnsi" w:cstheme="majorBidi"/>
          <w:sz w:val="23"/>
          <w:szCs w:val="23"/>
        </w:rPr>
        <w:t xml:space="preserve">about the model </w:t>
      </w:r>
      <w:r w:rsidRPr="359636AC">
        <w:rPr>
          <w:rFonts w:asciiTheme="majorHAnsi" w:hAnsiTheme="majorHAnsi" w:cstheme="majorBidi"/>
          <w:sz w:val="23"/>
          <w:szCs w:val="23"/>
        </w:rPr>
        <w:t xml:space="preserve">by </w:t>
      </w:r>
      <w:r>
        <w:rPr>
          <w:rFonts w:asciiTheme="majorHAnsi" w:hAnsiTheme="majorHAnsi" w:cstheme="majorBidi"/>
          <w:sz w:val="23"/>
          <w:szCs w:val="23"/>
        </w:rPr>
        <w:t>educational consultant Nairn</w:t>
      </w:r>
      <w:r w:rsidRPr="359636AC">
        <w:rPr>
          <w:rFonts w:asciiTheme="majorHAnsi" w:hAnsiTheme="majorHAnsi" w:cstheme="majorBidi"/>
          <w:sz w:val="23"/>
          <w:szCs w:val="23"/>
        </w:rPr>
        <w:t xml:space="preserve"> Walke</w:t>
      </w:r>
      <w:r>
        <w:rPr>
          <w:rFonts w:asciiTheme="majorHAnsi" w:hAnsiTheme="majorHAnsi" w:cstheme="majorBidi"/>
          <w:sz w:val="23"/>
          <w:szCs w:val="23"/>
        </w:rPr>
        <w:t>r drew large</w:t>
      </w:r>
      <w:r w:rsidRPr="0087778C">
        <w:rPr>
          <w:rFonts w:asciiTheme="majorHAnsi" w:hAnsiTheme="majorHAnsi" w:cstheme="majorBidi"/>
          <w:sz w:val="23"/>
          <w:szCs w:val="23"/>
        </w:rPr>
        <w:t xml:space="preserve"> </w:t>
      </w:r>
      <w:r>
        <w:rPr>
          <w:rFonts w:asciiTheme="majorHAnsi" w:hAnsiTheme="majorHAnsi" w:cstheme="majorBidi"/>
          <w:sz w:val="23"/>
          <w:szCs w:val="23"/>
        </w:rPr>
        <w:t>numbers</w:t>
      </w:r>
      <w:r w:rsidRPr="0087778C">
        <w:rPr>
          <w:rFonts w:asciiTheme="majorHAnsi" w:hAnsiTheme="majorHAnsi" w:cstheme="majorBidi"/>
          <w:sz w:val="23"/>
          <w:szCs w:val="23"/>
        </w:rPr>
        <w:t xml:space="preserve"> of Geelong service providers</w:t>
      </w:r>
      <w:r w:rsidRPr="359636AC">
        <w:rPr>
          <w:rFonts w:asciiTheme="majorHAnsi" w:hAnsiTheme="majorHAnsi" w:cstheme="majorBidi"/>
          <w:sz w:val="23"/>
          <w:szCs w:val="23"/>
        </w:rPr>
        <w:t xml:space="preserve"> (</w:t>
      </w:r>
      <w:r w:rsidR="00125765">
        <w:rPr>
          <w:rFonts w:asciiTheme="majorHAnsi" w:hAnsiTheme="majorHAnsi" w:cstheme="majorBidi"/>
          <w:sz w:val="23"/>
          <w:szCs w:val="23"/>
        </w:rPr>
        <w:t>HOME researcher</w:t>
      </w:r>
      <w:r w:rsidRPr="359636AC">
        <w:rPr>
          <w:rFonts w:asciiTheme="majorHAnsi" w:hAnsiTheme="majorHAnsi" w:cstheme="majorBidi"/>
          <w:sz w:val="23"/>
          <w:szCs w:val="23"/>
        </w:rPr>
        <w:t xml:space="preserve"> Louise Johnson</w:t>
      </w:r>
      <w:r w:rsidR="00125765">
        <w:rPr>
          <w:rFonts w:asciiTheme="majorHAnsi" w:hAnsiTheme="majorHAnsi" w:cstheme="majorBidi"/>
          <w:sz w:val="23"/>
          <w:szCs w:val="23"/>
        </w:rPr>
        <w:t xml:space="preserve"> also attended</w:t>
      </w:r>
      <w:r w:rsidRPr="359636AC">
        <w:rPr>
          <w:rFonts w:asciiTheme="majorHAnsi" w:hAnsiTheme="majorHAnsi" w:cstheme="majorBidi"/>
          <w:sz w:val="23"/>
          <w:szCs w:val="23"/>
        </w:rPr>
        <w:t>).</w:t>
      </w:r>
      <w:r>
        <w:rPr>
          <w:rFonts w:asciiTheme="majorHAnsi" w:hAnsiTheme="majorHAnsi" w:cstheme="majorBidi"/>
          <w:sz w:val="23"/>
          <w:szCs w:val="23"/>
        </w:rPr>
        <w:t xml:space="preserve"> </w:t>
      </w:r>
      <w:r>
        <w:rPr>
          <w:rFonts w:asciiTheme="majorHAnsi" w:hAnsiTheme="majorHAnsi" w:cstheme="majorHAnsi"/>
          <w:sz w:val="23"/>
          <w:szCs w:val="23"/>
        </w:rPr>
        <w:t>T</w:t>
      </w:r>
      <w:r w:rsidRPr="00DA4326">
        <w:rPr>
          <w:rFonts w:asciiTheme="majorHAnsi" w:hAnsiTheme="majorHAnsi" w:cstheme="majorHAnsi"/>
          <w:sz w:val="23"/>
          <w:szCs w:val="23"/>
        </w:rPr>
        <w:t>he work of Northern Futures</w:t>
      </w:r>
      <w:r>
        <w:rPr>
          <w:rFonts w:asciiTheme="majorHAnsi" w:hAnsiTheme="majorHAnsi" w:cstheme="majorHAnsi"/>
          <w:sz w:val="23"/>
          <w:szCs w:val="23"/>
        </w:rPr>
        <w:t>,</w:t>
      </w:r>
      <w:r w:rsidRPr="00DA4326">
        <w:rPr>
          <w:rFonts w:asciiTheme="majorHAnsi" w:hAnsiTheme="majorHAnsi" w:cstheme="majorHAnsi"/>
          <w:sz w:val="23"/>
          <w:szCs w:val="23"/>
        </w:rPr>
        <w:t xml:space="preserve"> a Norlane</w:t>
      </w:r>
      <w:r>
        <w:rPr>
          <w:rFonts w:asciiTheme="majorHAnsi" w:hAnsiTheme="majorHAnsi" w:cstheme="majorHAnsi"/>
          <w:sz w:val="23"/>
          <w:szCs w:val="23"/>
        </w:rPr>
        <w:t>-</w:t>
      </w:r>
      <w:r w:rsidRPr="00DA4326">
        <w:rPr>
          <w:rFonts w:asciiTheme="majorHAnsi" w:hAnsiTheme="majorHAnsi" w:cstheme="majorHAnsi"/>
          <w:sz w:val="23"/>
          <w:szCs w:val="23"/>
        </w:rPr>
        <w:t>based training and employment placement service</w:t>
      </w:r>
      <w:r>
        <w:rPr>
          <w:rFonts w:asciiTheme="majorHAnsi" w:hAnsiTheme="majorHAnsi" w:cstheme="majorHAnsi"/>
          <w:sz w:val="23"/>
          <w:szCs w:val="23"/>
        </w:rPr>
        <w:t>,</w:t>
      </w:r>
      <w:r w:rsidRPr="00DA4326">
        <w:rPr>
          <w:rFonts w:asciiTheme="majorHAnsi" w:hAnsiTheme="majorHAnsi" w:cstheme="majorHAnsi"/>
          <w:sz w:val="23"/>
          <w:szCs w:val="23"/>
        </w:rPr>
        <w:t xml:space="preserve"> is </w:t>
      </w:r>
      <w:r>
        <w:rPr>
          <w:rFonts w:asciiTheme="majorHAnsi" w:hAnsiTheme="majorHAnsi" w:cstheme="majorHAnsi"/>
          <w:sz w:val="23"/>
          <w:szCs w:val="23"/>
        </w:rPr>
        <w:t xml:space="preserve">also based </w:t>
      </w:r>
      <w:r w:rsidR="000363C6">
        <w:rPr>
          <w:rFonts w:asciiTheme="majorHAnsi" w:hAnsiTheme="majorHAnsi" w:cstheme="majorHAnsi"/>
          <w:sz w:val="23"/>
          <w:szCs w:val="23"/>
        </w:rPr>
        <w:t>on</w:t>
      </w:r>
      <w:r>
        <w:rPr>
          <w:rFonts w:asciiTheme="majorHAnsi" w:hAnsiTheme="majorHAnsi" w:cstheme="majorHAnsi"/>
          <w:sz w:val="23"/>
          <w:szCs w:val="23"/>
        </w:rPr>
        <w:t xml:space="preserve"> the Bridges Out of Poverty</w:t>
      </w:r>
      <w:r w:rsidRPr="00DA4326">
        <w:rPr>
          <w:rFonts w:asciiTheme="majorHAnsi" w:hAnsiTheme="majorHAnsi" w:cstheme="majorHAnsi"/>
          <w:sz w:val="23"/>
          <w:szCs w:val="23"/>
        </w:rPr>
        <w:t xml:space="preserve"> framework.</w:t>
      </w:r>
    </w:p>
    <w:p w14:paraId="2384E012" w14:textId="77777777" w:rsidR="00F00E3D" w:rsidRPr="00DA4326" w:rsidRDefault="00F00E3D" w:rsidP="009B2FA7">
      <w:pPr>
        <w:spacing w:line="276" w:lineRule="auto"/>
        <w:rPr>
          <w:rFonts w:asciiTheme="majorHAnsi" w:hAnsiTheme="majorHAnsi" w:cstheme="majorHAnsi"/>
          <w:sz w:val="23"/>
          <w:szCs w:val="23"/>
        </w:rPr>
      </w:pPr>
      <w:r>
        <w:rPr>
          <w:rFonts w:asciiTheme="majorHAnsi" w:hAnsiTheme="majorHAnsi" w:cstheme="majorHAnsi"/>
          <w:iCs/>
          <w:sz w:val="23"/>
          <w:szCs w:val="23"/>
        </w:rPr>
        <w:t>Outlining her</w:t>
      </w:r>
      <w:r w:rsidRPr="00DA4326">
        <w:rPr>
          <w:rFonts w:asciiTheme="majorHAnsi" w:hAnsiTheme="majorHAnsi" w:cstheme="majorHAnsi"/>
          <w:iCs/>
          <w:sz w:val="23"/>
          <w:szCs w:val="23"/>
        </w:rPr>
        <w:t xml:space="preserve"> approach</w:t>
      </w:r>
      <w:r>
        <w:rPr>
          <w:rFonts w:asciiTheme="majorHAnsi" w:hAnsiTheme="majorHAnsi" w:cstheme="majorHAnsi"/>
          <w:iCs/>
          <w:sz w:val="23"/>
          <w:szCs w:val="23"/>
        </w:rPr>
        <w:t>,</w:t>
      </w:r>
      <w:r w:rsidRPr="00DA4326">
        <w:rPr>
          <w:rFonts w:asciiTheme="majorHAnsi" w:hAnsiTheme="majorHAnsi" w:cstheme="majorHAnsi"/>
          <w:iCs/>
          <w:sz w:val="23"/>
          <w:szCs w:val="23"/>
        </w:rPr>
        <w:t xml:space="preserve"> </w:t>
      </w:r>
      <w:r w:rsidRPr="00DA4326">
        <w:rPr>
          <w:rFonts w:asciiTheme="majorHAnsi" w:hAnsiTheme="majorHAnsi" w:cstheme="majorHAnsi"/>
          <w:sz w:val="23"/>
          <w:szCs w:val="23"/>
        </w:rPr>
        <w:t xml:space="preserve">Ruby Payne writes </w:t>
      </w:r>
      <w:r>
        <w:rPr>
          <w:rFonts w:asciiTheme="majorHAnsi" w:hAnsiTheme="majorHAnsi" w:cstheme="majorHAnsi"/>
          <w:sz w:val="23"/>
          <w:szCs w:val="23"/>
        </w:rPr>
        <w:t>about</w:t>
      </w:r>
      <w:r w:rsidRPr="00DA4326">
        <w:rPr>
          <w:rFonts w:asciiTheme="majorHAnsi" w:hAnsiTheme="majorHAnsi" w:cstheme="majorHAnsi"/>
          <w:sz w:val="23"/>
          <w:szCs w:val="23"/>
        </w:rPr>
        <w:t xml:space="preserve"> how to address whole</w:t>
      </w:r>
      <w:r>
        <w:rPr>
          <w:rFonts w:asciiTheme="majorHAnsi" w:hAnsiTheme="majorHAnsi" w:cstheme="majorHAnsi"/>
          <w:sz w:val="23"/>
          <w:szCs w:val="23"/>
        </w:rPr>
        <w:t>-</w:t>
      </w:r>
      <w:r w:rsidRPr="00DA4326">
        <w:rPr>
          <w:rFonts w:asciiTheme="majorHAnsi" w:hAnsiTheme="majorHAnsi" w:cstheme="majorHAnsi"/>
          <w:sz w:val="23"/>
          <w:szCs w:val="23"/>
        </w:rPr>
        <w:t>of</w:t>
      </w:r>
      <w:r>
        <w:rPr>
          <w:rFonts w:asciiTheme="majorHAnsi" w:hAnsiTheme="majorHAnsi" w:cstheme="majorHAnsi"/>
          <w:sz w:val="23"/>
          <w:szCs w:val="23"/>
        </w:rPr>
        <w:t>-</w:t>
      </w:r>
      <w:r w:rsidRPr="00DA4326">
        <w:rPr>
          <w:rFonts w:asciiTheme="majorHAnsi" w:hAnsiTheme="majorHAnsi" w:cstheme="majorHAnsi"/>
          <w:sz w:val="23"/>
          <w:szCs w:val="23"/>
        </w:rPr>
        <w:t>life limitations assumed by the lower classes – in education, cultural capital</w:t>
      </w:r>
      <w:r>
        <w:rPr>
          <w:rFonts w:asciiTheme="majorHAnsi" w:hAnsiTheme="majorHAnsi" w:cstheme="majorHAnsi"/>
          <w:sz w:val="23"/>
          <w:szCs w:val="23"/>
        </w:rPr>
        <w:t>,</w:t>
      </w:r>
      <w:r w:rsidRPr="00DA4326">
        <w:rPr>
          <w:rFonts w:asciiTheme="majorHAnsi" w:hAnsiTheme="majorHAnsi" w:cstheme="majorHAnsi"/>
          <w:sz w:val="23"/>
          <w:szCs w:val="23"/>
        </w:rPr>
        <w:t xml:space="preserve"> and confidence</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along with</w:t>
      </w:r>
      <w:r w:rsidRPr="00DA4326">
        <w:rPr>
          <w:rFonts w:asciiTheme="majorHAnsi" w:hAnsiTheme="majorHAnsi" w:cstheme="majorHAnsi"/>
          <w:sz w:val="23"/>
          <w:szCs w:val="23"/>
        </w:rPr>
        <w:t xml:space="preserve"> associated problems of illness, mental health, substance abuse, disability</w:t>
      </w:r>
      <w:r>
        <w:rPr>
          <w:rFonts w:asciiTheme="majorHAnsi" w:hAnsiTheme="majorHAnsi" w:cstheme="majorHAnsi"/>
          <w:sz w:val="23"/>
          <w:szCs w:val="23"/>
        </w:rPr>
        <w:t>,</w:t>
      </w:r>
      <w:r w:rsidRPr="00DA4326">
        <w:rPr>
          <w:rFonts w:asciiTheme="majorHAnsi" w:hAnsiTheme="majorHAnsi" w:cstheme="majorHAnsi"/>
          <w:sz w:val="23"/>
          <w:szCs w:val="23"/>
        </w:rPr>
        <w:t xml:space="preserve"> and marginal housing </w:t>
      </w:r>
      <w:r>
        <w:rPr>
          <w:rFonts w:asciiTheme="majorHAnsi" w:hAnsiTheme="majorHAnsi" w:cstheme="majorHAnsi"/>
          <w:sz w:val="23"/>
          <w:szCs w:val="23"/>
        </w:rPr>
        <w:t xml:space="preserve">– by </w:t>
      </w:r>
      <w:r w:rsidRPr="00DA4326">
        <w:rPr>
          <w:rFonts w:asciiTheme="majorHAnsi" w:hAnsiTheme="majorHAnsi" w:cstheme="majorHAnsi"/>
          <w:sz w:val="23"/>
          <w:szCs w:val="23"/>
        </w:rPr>
        <w:t xml:space="preserve">dealing with what she </w:t>
      </w:r>
      <w:r>
        <w:rPr>
          <w:rFonts w:asciiTheme="majorHAnsi" w:hAnsiTheme="majorHAnsi" w:cstheme="majorHAnsi"/>
          <w:sz w:val="23"/>
          <w:szCs w:val="23"/>
        </w:rPr>
        <w:t xml:space="preserve">calls </w:t>
      </w:r>
      <w:r w:rsidRPr="00DA4326">
        <w:rPr>
          <w:rFonts w:asciiTheme="majorHAnsi" w:hAnsiTheme="majorHAnsi" w:cstheme="majorHAnsi"/>
          <w:sz w:val="23"/>
          <w:szCs w:val="23"/>
        </w:rPr>
        <w:t xml:space="preserve">the </w:t>
      </w:r>
      <w:r>
        <w:rPr>
          <w:rFonts w:asciiTheme="majorHAnsi" w:hAnsiTheme="majorHAnsi" w:cstheme="majorHAnsi"/>
          <w:sz w:val="23"/>
          <w:szCs w:val="23"/>
        </w:rPr>
        <w:t>“</w:t>
      </w:r>
      <w:r w:rsidRPr="00DA4326">
        <w:rPr>
          <w:rFonts w:asciiTheme="majorHAnsi" w:hAnsiTheme="majorHAnsi" w:cstheme="majorHAnsi"/>
          <w:sz w:val="23"/>
          <w:szCs w:val="23"/>
        </w:rPr>
        <w:t>hidden rules</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that</w:t>
      </w:r>
      <w:r w:rsidRPr="00DA4326">
        <w:rPr>
          <w:rFonts w:asciiTheme="majorHAnsi" w:hAnsiTheme="majorHAnsi" w:cstheme="majorHAnsi"/>
          <w:sz w:val="23"/>
          <w:szCs w:val="23"/>
        </w:rPr>
        <w:t xml:space="preserve"> bar entrance to higher class</w:t>
      </w:r>
      <w:r>
        <w:rPr>
          <w:rFonts w:asciiTheme="majorHAnsi" w:hAnsiTheme="majorHAnsi" w:cstheme="majorHAnsi"/>
          <w:sz w:val="23"/>
          <w:szCs w:val="23"/>
        </w:rPr>
        <w:t>-</w:t>
      </w:r>
      <w:r w:rsidRPr="00DA4326">
        <w:rPr>
          <w:rFonts w:asciiTheme="majorHAnsi" w:hAnsiTheme="majorHAnsi" w:cstheme="majorHAnsi"/>
          <w:sz w:val="23"/>
          <w:szCs w:val="23"/>
        </w:rPr>
        <w:t xml:space="preserve">positions </w:t>
      </w:r>
      <w:r>
        <w:rPr>
          <w:rFonts w:asciiTheme="majorHAnsi" w:hAnsiTheme="majorHAnsi" w:cstheme="majorHAnsi"/>
          <w:noProof/>
          <w:sz w:val="23"/>
          <w:szCs w:val="23"/>
        </w:rPr>
        <w:t>(R. Payne, 1996)</w:t>
      </w:r>
      <w:r w:rsidRPr="00DA4326">
        <w:rPr>
          <w:rFonts w:asciiTheme="majorHAnsi" w:hAnsiTheme="majorHAnsi" w:cstheme="majorHAnsi"/>
          <w:sz w:val="23"/>
          <w:szCs w:val="23"/>
        </w:rPr>
        <w:t xml:space="preserve">. </w:t>
      </w:r>
    </w:p>
    <w:p w14:paraId="3B94DF44" w14:textId="77777777" w:rsidR="00F00E3D" w:rsidRDefault="00F00E3D" w:rsidP="009B2FA7">
      <w:pPr>
        <w:spacing w:line="276" w:lineRule="auto"/>
        <w:rPr>
          <w:rFonts w:asciiTheme="majorHAnsi" w:hAnsiTheme="majorHAnsi" w:cstheme="majorHAnsi"/>
          <w:sz w:val="23"/>
          <w:szCs w:val="23"/>
        </w:rPr>
      </w:pPr>
      <w:r w:rsidRPr="00DA4326">
        <w:rPr>
          <w:rFonts w:asciiTheme="majorHAnsi" w:hAnsiTheme="majorHAnsi" w:cstheme="majorHAnsi"/>
          <w:sz w:val="23"/>
          <w:szCs w:val="23"/>
        </w:rPr>
        <w:t xml:space="preserve">Payne </w:t>
      </w:r>
      <w:r w:rsidRPr="00DA4326">
        <w:rPr>
          <w:rFonts w:asciiTheme="majorHAnsi" w:hAnsiTheme="majorHAnsi" w:cstheme="majorHAnsi"/>
          <w:iCs/>
          <w:sz w:val="23"/>
          <w:szCs w:val="23"/>
        </w:rPr>
        <w:t>distinguishes between situational, short</w:t>
      </w:r>
      <w:r>
        <w:rPr>
          <w:rFonts w:asciiTheme="majorHAnsi" w:hAnsiTheme="majorHAnsi" w:cstheme="majorHAnsi"/>
          <w:iCs/>
          <w:sz w:val="23"/>
          <w:szCs w:val="23"/>
        </w:rPr>
        <w:t>-</w:t>
      </w:r>
      <w:r w:rsidRPr="00DA4326">
        <w:rPr>
          <w:rFonts w:asciiTheme="majorHAnsi" w:hAnsiTheme="majorHAnsi" w:cstheme="majorHAnsi"/>
          <w:iCs/>
          <w:sz w:val="23"/>
          <w:szCs w:val="23"/>
        </w:rPr>
        <w:t>term poverty (</w:t>
      </w:r>
      <w:r>
        <w:rPr>
          <w:rFonts w:asciiTheme="majorHAnsi" w:hAnsiTheme="majorHAnsi" w:cstheme="majorHAnsi"/>
          <w:iCs/>
          <w:sz w:val="23"/>
          <w:szCs w:val="23"/>
        </w:rPr>
        <w:t>caused by,</w:t>
      </w:r>
      <w:r w:rsidRPr="00DA4326">
        <w:rPr>
          <w:rFonts w:asciiTheme="majorHAnsi" w:hAnsiTheme="majorHAnsi" w:cstheme="majorHAnsi"/>
          <w:iCs/>
          <w:sz w:val="23"/>
          <w:szCs w:val="23"/>
        </w:rPr>
        <w:t xml:space="preserve"> for example, losing</w:t>
      </w:r>
      <w:r w:rsidRPr="00DA4326">
        <w:rPr>
          <w:rFonts w:asciiTheme="majorHAnsi" w:hAnsiTheme="majorHAnsi" w:cstheme="majorHAnsi"/>
          <w:sz w:val="23"/>
          <w:szCs w:val="23"/>
        </w:rPr>
        <w:t xml:space="preserve"> a job or occasional illness)</w:t>
      </w:r>
      <w:r>
        <w:rPr>
          <w:rFonts w:asciiTheme="majorHAnsi" w:hAnsiTheme="majorHAnsi" w:cstheme="majorHAnsi"/>
          <w:sz w:val="23"/>
          <w:szCs w:val="23"/>
        </w:rPr>
        <w:t>,</w:t>
      </w:r>
      <w:r w:rsidRPr="00DA4326">
        <w:rPr>
          <w:rFonts w:asciiTheme="majorHAnsi" w:hAnsiTheme="majorHAnsi" w:cstheme="majorHAnsi"/>
          <w:sz w:val="23"/>
          <w:szCs w:val="23"/>
        </w:rPr>
        <w:t xml:space="preserve"> and multi-generational poverty</w:t>
      </w:r>
      <w:r>
        <w:rPr>
          <w:rFonts w:asciiTheme="majorHAnsi" w:hAnsiTheme="majorHAnsi" w:cstheme="majorHAnsi"/>
          <w:sz w:val="23"/>
          <w:szCs w:val="23"/>
        </w:rPr>
        <w:t>,</w:t>
      </w:r>
      <w:r w:rsidRPr="00DA4326">
        <w:rPr>
          <w:rFonts w:asciiTheme="majorHAnsi" w:hAnsiTheme="majorHAnsi" w:cstheme="majorHAnsi"/>
          <w:sz w:val="23"/>
          <w:szCs w:val="23"/>
        </w:rPr>
        <w:t xml:space="preserve"> which she argues is both structural and deeply embedded in a </w:t>
      </w:r>
      <w:r>
        <w:rPr>
          <w:rFonts w:asciiTheme="majorHAnsi" w:hAnsiTheme="majorHAnsi" w:cstheme="majorHAnsi"/>
          <w:sz w:val="23"/>
          <w:szCs w:val="23"/>
        </w:rPr>
        <w:t>“</w:t>
      </w:r>
      <w:r w:rsidRPr="00DA4326">
        <w:rPr>
          <w:rFonts w:asciiTheme="majorHAnsi" w:hAnsiTheme="majorHAnsi" w:cstheme="majorHAnsi"/>
          <w:sz w:val="23"/>
          <w:szCs w:val="23"/>
        </w:rPr>
        <w:t>poverty culture</w:t>
      </w:r>
      <w:r>
        <w:rPr>
          <w:rFonts w:asciiTheme="majorHAnsi" w:hAnsiTheme="majorHAnsi" w:cstheme="majorHAnsi"/>
          <w:sz w:val="23"/>
          <w:szCs w:val="23"/>
        </w:rPr>
        <w:t>”</w:t>
      </w:r>
      <w:r w:rsidRPr="00DA4326">
        <w:rPr>
          <w:rFonts w:asciiTheme="majorHAnsi" w:hAnsiTheme="majorHAnsi" w:cstheme="majorHAnsi"/>
          <w:sz w:val="23"/>
          <w:szCs w:val="23"/>
        </w:rPr>
        <w:t xml:space="preserve">. For Payne, </w:t>
      </w:r>
      <w:r>
        <w:rPr>
          <w:rFonts w:asciiTheme="majorHAnsi" w:hAnsiTheme="majorHAnsi" w:cstheme="majorHAnsi"/>
          <w:sz w:val="23"/>
          <w:szCs w:val="23"/>
        </w:rPr>
        <w:t>this “poverty</w:t>
      </w:r>
      <w:r w:rsidRPr="00DA4326">
        <w:rPr>
          <w:rFonts w:asciiTheme="majorHAnsi" w:hAnsiTheme="majorHAnsi" w:cstheme="majorHAnsi"/>
          <w:sz w:val="23"/>
          <w:szCs w:val="23"/>
        </w:rPr>
        <w:t xml:space="preserve"> culture</w:t>
      </w:r>
      <w:r>
        <w:rPr>
          <w:rFonts w:asciiTheme="majorHAnsi" w:hAnsiTheme="majorHAnsi" w:cstheme="majorHAnsi"/>
          <w:sz w:val="23"/>
          <w:szCs w:val="23"/>
        </w:rPr>
        <w:t>”</w:t>
      </w:r>
      <w:r w:rsidRPr="00DA4326">
        <w:rPr>
          <w:rFonts w:asciiTheme="majorHAnsi" w:hAnsiTheme="majorHAnsi" w:cstheme="majorHAnsi"/>
          <w:sz w:val="23"/>
          <w:szCs w:val="23"/>
        </w:rPr>
        <w:t xml:space="preserve"> is not future</w:t>
      </w:r>
      <w:r>
        <w:rPr>
          <w:rFonts w:asciiTheme="majorHAnsi" w:hAnsiTheme="majorHAnsi" w:cstheme="majorHAnsi"/>
          <w:sz w:val="23"/>
          <w:szCs w:val="23"/>
        </w:rPr>
        <w:t>-</w:t>
      </w:r>
      <w:r w:rsidRPr="00DA4326">
        <w:rPr>
          <w:rFonts w:asciiTheme="majorHAnsi" w:hAnsiTheme="majorHAnsi" w:cstheme="majorHAnsi"/>
          <w:sz w:val="23"/>
          <w:szCs w:val="23"/>
        </w:rPr>
        <w:t>oriented</w:t>
      </w:r>
      <w:r>
        <w:rPr>
          <w:rFonts w:asciiTheme="majorHAnsi" w:hAnsiTheme="majorHAnsi" w:cstheme="majorHAnsi"/>
          <w:sz w:val="23"/>
          <w:szCs w:val="23"/>
        </w:rPr>
        <w:t xml:space="preserve"> </w:t>
      </w:r>
      <w:r w:rsidRPr="00DA4326">
        <w:rPr>
          <w:rFonts w:asciiTheme="majorHAnsi" w:hAnsiTheme="majorHAnsi" w:cstheme="majorHAnsi"/>
          <w:sz w:val="23"/>
          <w:szCs w:val="23"/>
        </w:rPr>
        <w:t>and does not value education or delay</w:t>
      </w:r>
      <w:r>
        <w:rPr>
          <w:rFonts w:asciiTheme="majorHAnsi" w:hAnsiTheme="majorHAnsi" w:cstheme="majorHAnsi"/>
          <w:sz w:val="23"/>
          <w:szCs w:val="23"/>
        </w:rPr>
        <w:t>ed</w:t>
      </w:r>
      <w:r w:rsidRPr="00DA4326">
        <w:rPr>
          <w:rFonts w:asciiTheme="majorHAnsi" w:hAnsiTheme="majorHAnsi" w:cstheme="majorHAnsi"/>
          <w:sz w:val="23"/>
          <w:szCs w:val="23"/>
        </w:rPr>
        <w:t xml:space="preserve"> gratification.</w:t>
      </w:r>
      <w:r>
        <w:rPr>
          <w:rFonts w:asciiTheme="majorHAnsi" w:hAnsiTheme="majorHAnsi" w:cstheme="majorHAnsi"/>
          <w:sz w:val="23"/>
          <w:szCs w:val="23"/>
        </w:rPr>
        <w:t xml:space="preserve"> </w:t>
      </w:r>
      <w:r w:rsidRPr="00DA4326">
        <w:rPr>
          <w:rFonts w:asciiTheme="majorHAnsi" w:hAnsiTheme="majorHAnsi" w:cstheme="majorHAnsi"/>
          <w:sz w:val="23"/>
          <w:szCs w:val="23"/>
        </w:rPr>
        <w:t xml:space="preserve">This </w:t>
      </w:r>
      <w:r>
        <w:rPr>
          <w:rFonts w:asciiTheme="majorHAnsi" w:hAnsiTheme="majorHAnsi" w:cstheme="majorHAnsi"/>
          <w:sz w:val="23"/>
          <w:szCs w:val="23"/>
        </w:rPr>
        <w:t>claim</w:t>
      </w:r>
      <w:r w:rsidRPr="00DA4326">
        <w:rPr>
          <w:rFonts w:asciiTheme="majorHAnsi" w:hAnsiTheme="majorHAnsi" w:cstheme="majorHAnsi"/>
          <w:sz w:val="23"/>
          <w:szCs w:val="23"/>
        </w:rPr>
        <w:t xml:space="preserve"> is a problem for anyone </w:t>
      </w:r>
      <w:r>
        <w:rPr>
          <w:rFonts w:asciiTheme="majorHAnsi" w:hAnsiTheme="majorHAnsi" w:cstheme="majorHAnsi"/>
          <w:sz w:val="23"/>
          <w:szCs w:val="23"/>
        </w:rPr>
        <w:t>with</w:t>
      </w:r>
      <w:r w:rsidRPr="00DA4326">
        <w:rPr>
          <w:rFonts w:asciiTheme="majorHAnsi" w:hAnsiTheme="majorHAnsi" w:cstheme="majorHAnsi"/>
          <w:sz w:val="23"/>
          <w:szCs w:val="23"/>
        </w:rPr>
        <w:t xml:space="preserve"> </w:t>
      </w:r>
      <w:r>
        <w:rPr>
          <w:rFonts w:asciiTheme="majorHAnsi" w:hAnsiTheme="majorHAnsi" w:cstheme="majorHAnsi"/>
          <w:sz w:val="23"/>
          <w:szCs w:val="23"/>
        </w:rPr>
        <w:t xml:space="preserve">any </w:t>
      </w:r>
      <w:r w:rsidRPr="00DA4326">
        <w:rPr>
          <w:rFonts w:asciiTheme="majorHAnsi" w:hAnsiTheme="majorHAnsi" w:cstheme="majorHAnsi"/>
          <w:sz w:val="23"/>
          <w:szCs w:val="23"/>
        </w:rPr>
        <w:t>knowledge of working-class cultures</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 xml:space="preserve">or </w:t>
      </w:r>
      <w:r w:rsidRPr="00DA4326">
        <w:rPr>
          <w:rFonts w:asciiTheme="majorHAnsi" w:hAnsiTheme="majorHAnsi" w:cstheme="majorHAnsi"/>
          <w:sz w:val="23"/>
          <w:szCs w:val="23"/>
        </w:rPr>
        <w:t>Australia</w:t>
      </w:r>
      <w:r>
        <w:rPr>
          <w:rFonts w:asciiTheme="majorHAnsi" w:hAnsiTheme="majorHAnsi" w:cstheme="majorHAnsi"/>
          <w:sz w:val="23"/>
          <w:szCs w:val="23"/>
        </w:rPr>
        <w:t>n</w:t>
      </w:r>
      <w:r w:rsidRPr="00DA4326">
        <w:rPr>
          <w:rFonts w:asciiTheme="majorHAnsi" w:hAnsiTheme="majorHAnsi" w:cstheme="majorHAnsi"/>
          <w:sz w:val="23"/>
          <w:szCs w:val="23"/>
        </w:rPr>
        <w:t xml:space="preserve"> research </w:t>
      </w:r>
      <w:r>
        <w:rPr>
          <w:rFonts w:asciiTheme="majorHAnsi" w:hAnsiTheme="majorHAnsi" w:cstheme="majorHAnsi"/>
          <w:sz w:val="23"/>
          <w:szCs w:val="23"/>
        </w:rPr>
        <w:t>examining</w:t>
      </w:r>
      <w:r w:rsidRPr="00DA4326">
        <w:rPr>
          <w:rFonts w:asciiTheme="majorHAnsi" w:hAnsiTheme="majorHAnsi" w:cstheme="majorHAnsi"/>
          <w:sz w:val="23"/>
          <w:szCs w:val="23"/>
        </w:rPr>
        <w:t xml:space="preserve"> working-class parent</w:t>
      </w:r>
      <w:r>
        <w:rPr>
          <w:rFonts w:asciiTheme="majorHAnsi" w:hAnsiTheme="majorHAnsi" w:cstheme="majorHAnsi"/>
          <w:sz w:val="23"/>
          <w:szCs w:val="23"/>
        </w:rPr>
        <w:t>s’</w:t>
      </w:r>
      <w:r w:rsidRPr="00DA4326">
        <w:rPr>
          <w:rFonts w:asciiTheme="majorHAnsi" w:hAnsiTheme="majorHAnsi" w:cstheme="majorHAnsi"/>
          <w:sz w:val="23"/>
          <w:szCs w:val="23"/>
        </w:rPr>
        <w:t xml:space="preserve"> aspirations for their children</w:t>
      </w:r>
      <w:r>
        <w:rPr>
          <w:rFonts w:asciiTheme="majorHAnsi" w:hAnsiTheme="majorHAnsi" w:cstheme="majorHAnsi"/>
          <w:sz w:val="23"/>
          <w:szCs w:val="23"/>
        </w:rPr>
        <w:t>, which were found to be strong</w:t>
      </w:r>
      <w:r w:rsidRPr="00DA4326">
        <w:rPr>
          <w:rFonts w:asciiTheme="majorHAnsi" w:hAnsiTheme="majorHAnsi" w:cstheme="majorHAnsi"/>
          <w:sz w:val="23"/>
          <w:szCs w:val="23"/>
        </w:rPr>
        <w:t xml:space="preserve"> </w:t>
      </w:r>
      <w:r>
        <w:rPr>
          <w:rFonts w:asciiTheme="majorHAnsi" w:hAnsiTheme="majorHAnsi" w:cstheme="majorHAnsi"/>
          <w:noProof/>
          <w:sz w:val="23"/>
          <w:szCs w:val="23"/>
        </w:rPr>
        <w:t>(Gorski, 2005)</w:t>
      </w:r>
      <w:r w:rsidRPr="00DA4326">
        <w:rPr>
          <w:rFonts w:asciiTheme="majorHAnsi" w:hAnsiTheme="majorHAnsi" w:cstheme="majorHAnsi"/>
          <w:sz w:val="23"/>
          <w:szCs w:val="23"/>
        </w:rPr>
        <w:t>.</w:t>
      </w:r>
    </w:p>
    <w:p w14:paraId="59460D8A" w14:textId="4AB33A70" w:rsidR="00F00E3D" w:rsidRPr="00DA4326" w:rsidRDefault="00F00E3D" w:rsidP="009B2FA7">
      <w:pPr>
        <w:spacing w:line="276" w:lineRule="auto"/>
        <w:rPr>
          <w:rFonts w:asciiTheme="majorHAnsi" w:hAnsiTheme="majorHAnsi" w:cstheme="majorHAnsi"/>
          <w:sz w:val="23"/>
          <w:szCs w:val="23"/>
        </w:rPr>
      </w:pPr>
      <w:r>
        <w:rPr>
          <w:rFonts w:asciiTheme="majorHAnsi" w:hAnsiTheme="majorHAnsi" w:cstheme="majorHAnsi"/>
          <w:sz w:val="23"/>
          <w:szCs w:val="23"/>
        </w:rPr>
        <w:t>According to Payne, this</w:t>
      </w:r>
      <w:r w:rsidRPr="00DA4326">
        <w:rPr>
          <w:rFonts w:asciiTheme="majorHAnsi" w:hAnsiTheme="majorHAnsi" w:cstheme="majorHAnsi"/>
          <w:sz w:val="23"/>
          <w:szCs w:val="23"/>
        </w:rPr>
        <w:t xml:space="preserve"> </w:t>
      </w:r>
      <w:r>
        <w:rPr>
          <w:rFonts w:asciiTheme="majorHAnsi" w:hAnsiTheme="majorHAnsi" w:cstheme="majorHAnsi"/>
          <w:sz w:val="23"/>
          <w:szCs w:val="23"/>
        </w:rPr>
        <w:t>“</w:t>
      </w:r>
      <w:r w:rsidRPr="00DA4326">
        <w:rPr>
          <w:rFonts w:asciiTheme="majorHAnsi" w:hAnsiTheme="majorHAnsi" w:cstheme="majorHAnsi"/>
          <w:sz w:val="23"/>
          <w:szCs w:val="23"/>
        </w:rPr>
        <w:t>poverty cultur</w:t>
      </w:r>
      <w:r>
        <w:rPr>
          <w:rFonts w:asciiTheme="majorHAnsi" w:hAnsiTheme="majorHAnsi" w:cstheme="majorHAnsi"/>
          <w:sz w:val="23"/>
          <w:szCs w:val="23"/>
        </w:rPr>
        <w:t xml:space="preserve">e” </w:t>
      </w:r>
      <w:r w:rsidRPr="00DA4326">
        <w:rPr>
          <w:rFonts w:asciiTheme="majorHAnsi" w:hAnsiTheme="majorHAnsi" w:cstheme="majorHAnsi"/>
          <w:sz w:val="23"/>
          <w:szCs w:val="23"/>
        </w:rPr>
        <w:t>emphasises relationships, the here and now</w:t>
      </w:r>
      <w:r>
        <w:rPr>
          <w:rFonts w:asciiTheme="majorHAnsi" w:hAnsiTheme="majorHAnsi" w:cstheme="majorHAnsi"/>
          <w:sz w:val="23"/>
          <w:szCs w:val="23"/>
        </w:rPr>
        <w:t xml:space="preserve">, </w:t>
      </w:r>
      <w:r w:rsidRPr="00DA4326">
        <w:rPr>
          <w:rFonts w:asciiTheme="majorHAnsi" w:hAnsiTheme="majorHAnsi" w:cstheme="majorHAnsi"/>
          <w:sz w:val="23"/>
          <w:szCs w:val="23"/>
        </w:rPr>
        <w:t>pleasure and entertainment</w:t>
      </w:r>
      <w:r>
        <w:rPr>
          <w:rFonts w:asciiTheme="majorHAnsi" w:hAnsiTheme="majorHAnsi" w:cstheme="majorHAnsi"/>
          <w:sz w:val="23"/>
          <w:szCs w:val="23"/>
        </w:rPr>
        <w:t xml:space="preserve">, and </w:t>
      </w:r>
      <w:r w:rsidRPr="00DA4326">
        <w:rPr>
          <w:rFonts w:asciiTheme="majorHAnsi" w:hAnsiTheme="majorHAnsi" w:cstheme="majorHAnsi"/>
          <w:sz w:val="23"/>
          <w:szCs w:val="23"/>
        </w:rPr>
        <w:t xml:space="preserve">a fatalistic view of the future </w:t>
      </w:r>
      <w:r>
        <w:rPr>
          <w:rFonts w:asciiTheme="majorHAnsi" w:hAnsiTheme="majorHAnsi" w:cstheme="majorHAnsi"/>
          <w:noProof/>
          <w:sz w:val="23"/>
          <w:szCs w:val="23"/>
        </w:rPr>
        <w:t>(R. K. Payne et al., 2001)</w:t>
      </w:r>
      <w:r w:rsidRPr="00DA4326">
        <w:rPr>
          <w:rFonts w:asciiTheme="majorHAnsi" w:hAnsiTheme="majorHAnsi" w:cstheme="majorHAnsi"/>
          <w:sz w:val="23"/>
          <w:szCs w:val="23"/>
        </w:rPr>
        <w:t xml:space="preserve">. To move out of poverty, she argues, there is a need to change </w:t>
      </w:r>
      <w:r w:rsidR="0081398B">
        <w:rPr>
          <w:rFonts w:asciiTheme="majorHAnsi" w:hAnsiTheme="majorHAnsi" w:cstheme="majorHAnsi"/>
          <w:sz w:val="23"/>
          <w:szCs w:val="23"/>
        </w:rPr>
        <w:t xml:space="preserve">both </w:t>
      </w:r>
      <w:r>
        <w:rPr>
          <w:rFonts w:asciiTheme="majorHAnsi" w:hAnsiTheme="majorHAnsi" w:cstheme="majorHAnsi"/>
          <w:sz w:val="23"/>
          <w:szCs w:val="23"/>
        </w:rPr>
        <w:t>people’s</w:t>
      </w:r>
      <w:r w:rsidRPr="00DA4326">
        <w:rPr>
          <w:rFonts w:asciiTheme="majorHAnsi" w:hAnsiTheme="majorHAnsi" w:cstheme="majorHAnsi"/>
          <w:sz w:val="23"/>
          <w:szCs w:val="23"/>
        </w:rPr>
        <w:t xml:space="preserve"> mindset </w:t>
      </w:r>
      <w:r>
        <w:rPr>
          <w:rFonts w:asciiTheme="majorHAnsi" w:hAnsiTheme="majorHAnsi" w:cstheme="majorHAnsi"/>
          <w:sz w:val="23"/>
          <w:szCs w:val="23"/>
        </w:rPr>
        <w:t>and their</w:t>
      </w:r>
      <w:r w:rsidRPr="00DA4326">
        <w:rPr>
          <w:rFonts w:asciiTheme="majorHAnsi" w:hAnsiTheme="majorHAnsi" w:cstheme="majorHAnsi"/>
          <w:sz w:val="23"/>
          <w:szCs w:val="23"/>
        </w:rPr>
        <w:t xml:space="preserve"> resource base. For Payne, to change</w:t>
      </w:r>
      <w:r>
        <w:rPr>
          <w:rFonts w:asciiTheme="majorHAnsi" w:hAnsiTheme="majorHAnsi" w:cstheme="majorHAnsi"/>
          <w:sz w:val="23"/>
          <w:szCs w:val="23"/>
        </w:rPr>
        <w:t xml:space="preserve"> only</w:t>
      </w:r>
      <w:r w:rsidRPr="00DA4326">
        <w:rPr>
          <w:rFonts w:asciiTheme="majorHAnsi" w:hAnsiTheme="majorHAnsi" w:cstheme="majorHAnsi"/>
          <w:sz w:val="23"/>
          <w:szCs w:val="23"/>
        </w:rPr>
        <w:t xml:space="preserve"> one element –</w:t>
      </w:r>
      <w:r>
        <w:rPr>
          <w:rFonts w:asciiTheme="majorHAnsi" w:hAnsiTheme="majorHAnsi" w:cstheme="majorHAnsi"/>
          <w:sz w:val="23"/>
          <w:szCs w:val="23"/>
        </w:rPr>
        <w:t xml:space="preserve"> </w:t>
      </w:r>
      <w:r w:rsidRPr="00DA4326">
        <w:rPr>
          <w:rFonts w:asciiTheme="majorHAnsi" w:hAnsiTheme="majorHAnsi" w:cstheme="majorHAnsi"/>
          <w:sz w:val="23"/>
          <w:szCs w:val="23"/>
        </w:rPr>
        <w:t>to organise training or a job</w:t>
      </w:r>
      <w:r w:rsidR="0081398B">
        <w:rPr>
          <w:rFonts w:asciiTheme="majorHAnsi" w:hAnsiTheme="majorHAnsi" w:cstheme="majorHAnsi"/>
          <w:sz w:val="23"/>
          <w:szCs w:val="23"/>
        </w:rPr>
        <w:t>,</w:t>
      </w:r>
      <w:r w:rsidRPr="00885BC7">
        <w:rPr>
          <w:rFonts w:asciiTheme="majorHAnsi" w:hAnsiTheme="majorHAnsi" w:cstheme="majorHAnsi"/>
          <w:sz w:val="23"/>
          <w:szCs w:val="23"/>
        </w:rPr>
        <w:t xml:space="preserve"> </w:t>
      </w:r>
      <w:r w:rsidRPr="00DA4326">
        <w:rPr>
          <w:rFonts w:asciiTheme="majorHAnsi" w:hAnsiTheme="majorHAnsi" w:cstheme="majorHAnsi"/>
          <w:sz w:val="23"/>
          <w:szCs w:val="23"/>
        </w:rPr>
        <w:t xml:space="preserve">for example – without </w:t>
      </w:r>
      <w:r>
        <w:rPr>
          <w:rFonts w:asciiTheme="majorHAnsi" w:hAnsiTheme="majorHAnsi" w:cstheme="majorHAnsi"/>
          <w:sz w:val="23"/>
          <w:szCs w:val="23"/>
        </w:rPr>
        <w:t xml:space="preserve">also </w:t>
      </w:r>
      <w:r w:rsidRPr="00DA4326">
        <w:rPr>
          <w:rFonts w:asciiTheme="majorHAnsi" w:hAnsiTheme="majorHAnsi" w:cstheme="majorHAnsi"/>
          <w:sz w:val="23"/>
          <w:szCs w:val="23"/>
        </w:rPr>
        <w:t xml:space="preserve">changing the mindset will result in regression and failure. </w:t>
      </w:r>
      <w:r>
        <w:rPr>
          <w:rFonts w:asciiTheme="majorHAnsi" w:hAnsiTheme="majorHAnsi" w:cstheme="majorHAnsi"/>
          <w:sz w:val="23"/>
          <w:szCs w:val="23"/>
        </w:rPr>
        <w:t>The program is underpinned by the idea</w:t>
      </w:r>
      <w:r w:rsidRPr="00DA4326">
        <w:rPr>
          <w:rFonts w:asciiTheme="majorHAnsi" w:hAnsiTheme="majorHAnsi" w:cstheme="majorHAnsi"/>
          <w:sz w:val="23"/>
          <w:szCs w:val="23"/>
        </w:rPr>
        <w:t xml:space="preserve"> that </w:t>
      </w:r>
      <w:r w:rsidR="00205940">
        <w:rPr>
          <w:rFonts w:asciiTheme="majorHAnsi" w:hAnsiTheme="majorHAnsi" w:cstheme="majorHAnsi"/>
          <w:sz w:val="23"/>
          <w:szCs w:val="23"/>
        </w:rPr>
        <w:t>exiting</w:t>
      </w:r>
      <w:r w:rsidRPr="00DA4326">
        <w:rPr>
          <w:rFonts w:asciiTheme="majorHAnsi" w:hAnsiTheme="majorHAnsi" w:cstheme="majorHAnsi"/>
          <w:sz w:val="23"/>
          <w:szCs w:val="23"/>
        </w:rPr>
        <w:t xml:space="preserve"> poverty requires </w:t>
      </w:r>
      <w:r>
        <w:rPr>
          <w:rFonts w:asciiTheme="majorHAnsi" w:hAnsiTheme="majorHAnsi" w:cstheme="majorHAnsi"/>
          <w:sz w:val="23"/>
          <w:szCs w:val="23"/>
        </w:rPr>
        <w:t xml:space="preserve">both </w:t>
      </w:r>
      <w:r w:rsidRPr="00DA4326">
        <w:rPr>
          <w:rFonts w:asciiTheme="majorHAnsi" w:hAnsiTheme="majorHAnsi" w:cstheme="majorHAnsi"/>
          <w:sz w:val="23"/>
          <w:szCs w:val="23"/>
        </w:rPr>
        <w:t xml:space="preserve">opportunity </w:t>
      </w:r>
      <w:r>
        <w:rPr>
          <w:rFonts w:asciiTheme="majorHAnsi" w:hAnsiTheme="majorHAnsi" w:cstheme="majorHAnsi"/>
          <w:sz w:val="23"/>
          <w:szCs w:val="23"/>
        </w:rPr>
        <w:t>and</w:t>
      </w:r>
      <w:r w:rsidRPr="00DA4326">
        <w:rPr>
          <w:rFonts w:asciiTheme="majorHAnsi" w:hAnsiTheme="majorHAnsi" w:cstheme="majorHAnsi"/>
          <w:sz w:val="23"/>
          <w:szCs w:val="23"/>
        </w:rPr>
        <w:t xml:space="preserve"> responsibility, </w:t>
      </w:r>
      <w:r w:rsidR="00205940">
        <w:rPr>
          <w:rFonts w:asciiTheme="majorHAnsi" w:hAnsiTheme="majorHAnsi" w:cstheme="majorHAnsi"/>
          <w:sz w:val="23"/>
          <w:szCs w:val="23"/>
        </w:rPr>
        <w:t>and</w:t>
      </w:r>
      <w:r w:rsidRPr="00DA4326">
        <w:rPr>
          <w:rFonts w:asciiTheme="majorHAnsi" w:hAnsiTheme="majorHAnsi" w:cstheme="majorHAnsi"/>
          <w:sz w:val="23"/>
          <w:szCs w:val="23"/>
        </w:rPr>
        <w:t xml:space="preserve"> newly employed people assume a whole new outlook (Hack 2011). </w:t>
      </w:r>
    </w:p>
    <w:p w14:paraId="6F825F2A" w14:textId="77777777" w:rsidR="00F00E3D" w:rsidRPr="00DA4326" w:rsidRDefault="00F00E3D" w:rsidP="009B2FA7">
      <w:pPr>
        <w:spacing w:line="276" w:lineRule="auto"/>
        <w:rPr>
          <w:rFonts w:asciiTheme="majorHAnsi" w:hAnsiTheme="majorHAnsi" w:cstheme="majorHAnsi"/>
          <w:sz w:val="23"/>
          <w:szCs w:val="23"/>
        </w:rPr>
      </w:pPr>
      <w:r>
        <w:rPr>
          <w:rFonts w:asciiTheme="majorHAnsi" w:hAnsiTheme="majorHAnsi" w:cstheme="majorHAnsi"/>
          <w:sz w:val="23"/>
          <w:szCs w:val="23"/>
        </w:rPr>
        <w:t>This</w:t>
      </w:r>
      <w:r w:rsidRPr="00DA4326">
        <w:rPr>
          <w:rFonts w:asciiTheme="majorHAnsi" w:hAnsiTheme="majorHAnsi" w:cstheme="majorHAnsi"/>
          <w:sz w:val="23"/>
          <w:szCs w:val="23"/>
        </w:rPr>
        <w:t xml:space="preserve"> approach</w:t>
      </w:r>
      <w:r>
        <w:rPr>
          <w:rFonts w:asciiTheme="majorHAnsi" w:hAnsiTheme="majorHAnsi" w:cstheme="majorHAnsi"/>
          <w:sz w:val="23"/>
          <w:szCs w:val="23"/>
        </w:rPr>
        <w:t xml:space="preserve"> –</w:t>
      </w:r>
      <w:r w:rsidRPr="00DA4326">
        <w:rPr>
          <w:rFonts w:asciiTheme="majorHAnsi" w:hAnsiTheme="majorHAnsi" w:cstheme="majorHAnsi"/>
          <w:sz w:val="23"/>
          <w:szCs w:val="23"/>
        </w:rPr>
        <w:t xml:space="preserve"> </w:t>
      </w:r>
      <w:r>
        <w:rPr>
          <w:rFonts w:asciiTheme="majorHAnsi" w:hAnsiTheme="majorHAnsi" w:cstheme="majorHAnsi"/>
          <w:sz w:val="23"/>
          <w:szCs w:val="23"/>
        </w:rPr>
        <w:t>with</w:t>
      </w:r>
      <w:r w:rsidRPr="00DA4326">
        <w:rPr>
          <w:rFonts w:asciiTheme="majorHAnsi" w:hAnsiTheme="majorHAnsi" w:cstheme="majorHAnsi"/>
          <w:sz w:val="23"/>
          <w:szCs w:val="23"/>
        </w:rPr>
        <w:t xml:space="preserve"> its emphasis on class cultures</w:t>
      </w:r>
      <w:r>
        <w:rPr>
          <w:rFonts w:asciiTheme="majorHAnsi" w:hAnsiTheme="majorHAnsi" w:cstheme="majorHAnsi"/>
          <w:sz w:val="23"/>
          <w:szCs w:val="23"/>
        </w:rPr>
        <w:t>,</w:t>
      </w:r>
      <w:r w:rsidRPr="00DA4326">
        <w:rPr>
          <w:rFonts w:asciiTheme="majorHAnsi" w:hAnsiTheme="majorHAnsi" w:cstheme="majorHAnsi"/>
          <w:sz w:val="23"/>
          <w:szCs w:val="23"/>
        </w:rPr>
        <w:t xml:space="preserve"> and the possibility of </w:t>
      </w:r>
      <w:r>
        <w:rPr>
          <w:rFonts w:asciiTheme="majorHAnsi" w:hAnsiTheme="majorHAnsi" w:cstheme="majorHAnsi"/>
          <w:sz w:val="23"/>
          <w:szCs w:val="23"/>
        </w:rPr>
        <w:t>understanding</w:t>
      </w:r>
      <w:r w:rsidRPr="00DA4326">
        <w:rPr>
          <w:rFonts w:asciiTheme="majorHAnsi" w:hAnsiTheme="majorHAnsi" w:cstheme="majorHAnsi"/>
          <w:sz w:val="23"/>
          <w:szCs w:val="23"/>
        </w:rPr>
        <w:t xml:space="preserve"> and changing the</w:t>
      </w:r>
      <w:r>
        <w:rPr>
          <w:rFonts w:asciiTheme="majorHAnsi" w:hAnsiTheme="majorHAnsi" w:cstheme="majorHAnsi"/>
          <w:sz w:val="23"/>
          <w:szCs w:val="23"/>
        </w:rPr>
        <w:t>m –</w:t>
      </w:r>
      <w:r w:rsidRPr="00DA4326">
        <w:rPr>
          <w:rFonts w:asciiTheme="majorHAnsi" w:hAnsiTheme="majorHAnsi" w:cstheme="majorHAnsi"/>
          <w:sz w:val="23"/>
          <w:szCs w:val="23"/>
        </w:rPr>
        <w:t xml:space="preserve"> makes the program relevant and accessible </w:t>
      </w:r>
      <w:r>
        <w:rPr>
          <w:rFonts w:asciiTheme="majorHAnsi" w:hAnsiTheme="majorHAnsi" w:cstheme="majorHAnsi"/>
          <w:sz w:val="23"/>
          <w:szCs w:val="23"/>
        </w:rPr>
        <w:t xml:space="preserve">not only to </w:t>
      </w:r>
      <w:r w:rsidRPr="00DA4326">
        <w:rPr>
          <w:rFonts w:asciiTheme="majorHAnsi" w:hAnsiTheme="majorHAnsi" w:cstheme="majorHAnsi"/>
          <w:sz w:val="23"/>
          <w:szCs w:val="23"/>
        </w:rPr>
        <w:t>managers and employers</w:t>
      </w:r>
      <w:r>
        <w:rPr>
          <w:rFonts w:asciiTheme="majorHAnsi" w:hAnsiTheme="majorHAnsi" w:cstheme="majorHAnsi"/>
          <w:sz w:val="23"/>
          <w:szCs w:val="23"/>
        </w:rPr>
        <w:t xml:space="preserve">, but also to </w:t>
      </w:r>
      <w:r w:rsidRPr="00DA4326">
        <w:rPr>
          <w:rFonts w:asciiTheme="majorHAnsi" w:hAnsiTheme="majorHAnsi" w:cstheme="majorHAnsi"/>
          <w:sz w:val="23"/>
          <w:szCs w:val="23"/>
        </w:rPr>
        <w:t xml:space="preserve">welfare sector workers and </w:t>
      </w:r>
      <w:r>
        <w:rPr>
          <w:rFonts w:asciiTheme="majorHAnsi" w:hAnsiTheme="majorHAnsi" w:cstheme="majorHAnsi"/>
          <w:sz w:val="23"/>
          <w:szCs w:val="23"/>
        </w:rPr>
        <w:t>people in</w:t>
      </w:r>
      <w:r w:rsidRPr="00DA4326">
        <w:rPr>
          <w:rFonts w:asciiTheme="majorHAnsi" w:hAnsiTheme="majorHAnsi" w:cstheme="majorHAnsi"/>
          <w:sz w:val="23"/>
          <w:szCs w:val="23"/>
        </w:rPr>
        <w:t xml:space="preserve"> poverty themselves </w:t>
      </w:r>
      <w:r>
        <w:rPr>
          <w:rFonts w:asciiTheme="majorHAnsi" w:hAnsiTheme="majorHAnsi" w:cstheme="majorHAnsi"/>
          <w:noProof/>
          <w:sz w:val="23"/>
          <w:szCs w:val="23"/>
        </w:rPr>
        <w:t>(R. K. Payne et al., 2001)</w:t>
      </w:r>
      <w:r w:rsidRPr="00DA4326">
        <w:rPr>
          <w:rFonts w:asciiTheme="majorHAnsi" w:hAnsiTheme="majorHAnsi" w:cstheme="majorHAnsi"/>
          <w:sz w:val="23"/>
          <w:szCs w:val="23"/>
        </w:rPr>
        <w:t xml:space="preserve">. Widely utilised across the United States, the </w:t>
      </w:r>
      <w:r w:rsidRPr="004F5D95">
        <w:rPr>
          <w:rFonts w:asciiTheme="majorHAnsi" w:hAnsiTheme="majorHAnsi" w:cstheme="majorHAnsi"/>
          <w:iCs/>
          <w:sz w:val="23"/>
          <w:szCs w:val="23"/>
        </w:rPr>
        <w:t>Bridges out of Poverty</w:t>
      </w:r>
      <w:r w:rsidRPr="00DA4326">
        <w:rPr>
          <w:rFonts w:asciiTheme="majorHAnsi" w:hAnsiTheme="majorHAnsi" w:cstheme="majorHAnsi"/>
          <w:sz w:val="23"/>
          <w:szCs w:val="23"/>
        </w:rPr>
        <w:t xml:space="preserve"> approach has informed businesses</w:t>
      </w:r>
      <w:r>
        <w:rPr>
          <w:rFonts w:asciiTheme="majorHAnsi" w:hAnsiTheme="majorHAnsi" w:cstheme="majorHAnsi"/>
          <w:sz w:val="23"/>
          <w:szCs w:val="23"/>
        </w:rPr>
        <w:t>,</w:t>
      </w:r>
      <w:r w:rsidRPr="00DA4326">
        <w:rPr>
          <w:rFonts w:asciiTheme="majorHAnsi" w:hAnsiTheme="majorHAnsi" w:cstheme="majorHAnsi"/>
          <w:sz w:val="23"/>
          <w:szCs w:val="23"/>
        </w:rPr>
        <w:t xml:space="preserve"> communities</w:t>
      </w:r>
      <w:r>
        <w:rPr>
          <w:rFonts w:asciiTheme="majorHAnsi" w:hAnsiTheme="majorHAnsi" w:cstheme="majorHAnsi"/>
          <w:sz w:val="23"/>
          <w:szCs w:val="23"/>
        </w:rPr>
        <w:t xml:space="preserve">, and </w:t>
      </w:r>
      <w:r w:rsidRPr="00DA4326">
        <w:rPr>
          <w:rFonts w:asciiTheme="majorHAnsi" w:hAnsiTheme="majorHAnsi" w:cstheme="majorHAnsi"/>
          <w:sz w:val="23"/>
          <w:szCs w:val="23"/>
        </w:rPr>
        <w:t xml:space="preserve">individuals. </w:t>
      </w:r>
      <w:r>
        <w:rPr>
          <w:rFonts w:asciiTheme="majorHAnsi" w:hAnsiTheme="majorHAnsi" w:cstheme="majorHAnsi"/>
          <w:sz w:val="23"/>
          <w:szCs w:val="23"/>
        </w:rPr>
        <w:t>Some b</w:t>
      </w:r>
      <w:r w:rsidRPr="00DA4326">
        <w:rPr>
          <w:rFonts w:asciiTheme="majorHAnsi" w:hAnsiTheme="majorHAnsi" w:cstheme="majorHAnsi"/>
          <w:sz w:val="23"/>
          <w:szCs w:val="23"/>
        </w:rPr>
        <w:t xml:space="preserve">usinesses </w:t>
      </w:r>
      <w:r>
        <w:rPr>
          <w:rFonts w:asciiTheme="majorHAnsi" w:hAnsiTheme="majorHAnsi" w:cstheme="majorHAnsi"/>
          <w:sz w:val="23"/>
          <w:szCs w:val="23"/>
        </w:rPr>
        <w:t xml:space="preserve">using this framework have reported </w:t>
      </w:r>
      <w:r w:rsidRPr="00DA4326">
        <w:rPr>
          <w:rFonts w:asciiTheme="majorHAnsi" w:hAnsiTheme="majorHAnsi" w:cstheme="majorHAnsi"/>
          <w:sz w:val="23"/>
          <w:szCs w:val="23"/>
        </w:rPr>
        <w:t xml:space="preserve">improved retention rates and </w:t>
      </w:r>
      <w:r>
        <w:rPr>
          <w:rFonts w:asciiTheme="majorHAnsi" w:hAnsiTheme="majorHAnsi" w:cstheme="majorHAnsi"/>
          <w:sz w:val="23"/>
          <w:szCs w:val="23"/>
        </w:rPr>
        <w:t xml:space="preserve">increased </w:t>
      </w:r>
      <w:r w:rsidRPr="00DA4326">
        <w:rPr>
          <w:rFonts w:asciiTheme="majorHAnsi" w:hAnsiTheme="majorHAnsi" w:cstheme="majorHAnsi"/>
          <w:sz w:val="23"/>
          <w:szCs w:val="23"/>
        </w:rPr>
        <w:t>productivity amongst low</w:t>
      </w:r>
      <w:r>
        <w:rPr>
          <w:rFonts w:asciiTheme="majorHAnsi" w:hAnsiTheme="majorHAnsi" w:cstheme="majorHAnsi"/>
          <w:sz w:val="23"/>
          <w:szCs w:val="23"/>
        </w:rPr>
        <w:t>-</w:t>
      </w:r>
      <w:r w:rsidRPr="00DA4326">
        <w:rPr>
          <w:rFonts w:asciiTheme="majorHAnsi" w:hAnsiTheme="majorHAnsi" w:cstheme="majorHAnsi"/>
          <w:sz w:val="23"/>
          <w:szCs w:val="23"/>
        </w:rPr>
        <w:t xml:space="preserve">income workers, while </w:t>
      </w:r>
      <w:r>
        <w:rPr>
          <w:rFonts w:asciiTheme="majorHAnsi" w:hAnsiTheme="majorHAnsi" w:cstheme="majorHAnsi"/>
          <w:sz w:val="23"/>
          <w:szCs w:val="23"/>
        </w:rPr>
        <w:t xml:space="preserve">some </w:t>
      </w:r>
      <w:r w:rsidRPr="00DA4326">
        <w:rPr>
          <w:rFonts w:asciiTheme="majorHAnsi" w:hAnsiTheme="majorHAnsi" w:cstheme="majorHAnsi"/>
          <w:sz w:val="23"/>
          <w:szCs w:val="23"/>
        </w:rPr>
        <w:t>communities</w:t>
      </w:r>
      <w:r>
        <w:rPr>
          <w:rFonts w:asciiTheme="majorHAnsi" w:hAnsiTheme="majorHAnsi" w:cstheme="majorHAnsi"/>
          <w:sz w:val="23"/>
          <w:szCs w:val="23"/>
        </w:rPr>
        <w:t xml:space="preserve"> using it</w:t>
      </w:r>
      <w:r w:rsidRPr="00DA4326">
        <w:rPr>
          <w:rFonts w:asciiTheme="majorHAnsi" w:hAnsiTheme="majorHAnsi" w:cstheme="majorHAnsi"/>
          <w:sz w:val="23"/>
          <w:szCs w:val="23"/>
        </w:rPr>
        <w:t xml:space="preserve"> have moved </w:t>
      </w:r>
      <w:r>
        <w:rPr>
          <w:rFonts w:asciiTheme="majorHAnsi" w:hAnsiTheme="majorHAnsi" w:cstheme="majorHAnsi"/>
          <w:sz w:val="23"/>
          <w:szCs w:val="23"/>
        </w:rPr>
        <w:t xml:space="preserve">people </w:t>
      </w:r>
      <w:r w:rsidRPr="00DA4326">
        <w:rPr>
          <w:rFonts w:asciiTheme="majorHAnsi" w:hAnsiTheme="majorHAnsi" w:cstheme="majorHAnsi"/>
          <w:sz w:val="23"/>
          <w:szCs w:val="23"/>
        </w:rPr>
        <w:t xml:space="preserve">from reliance on public programs to more stable employment and earned income, thereby expand their tax base and overall economic viability </w:t>
      </w:r>
      <w:r>
        <w:rPr>
          <w:rFonts w:asciiTheme="majorHAnsi" w:hAnsiTheme="majorHAnsi" w:cstheme="majorHAnsi"/>
          <w:noProof/>
          <w:sz w:val="23"/>
          <w:szCs w:val="23"/>
        </w:rPr>
        <w:t>(R. K. Payne et al., 2001)</w:t>
      </w:r>
      <w:r w:rsidRPr="00DA4326">
        <w:rPr>
          <w:rFonts w:asciiTheme="majorHAnsi" w:hAnsiTheme="majorHAnsi" w:cstheme="majorHAnsi"/>
          <w:sz w:val="23"/>
          <w:szCs w:val="23"/>
        </w:rPr>
        <w:t>.</w:t>
      </w:r>
    </w:p>
    <w:p w14:paraId="7789CE02" w14:textId="694BB9AB" w:rsidR="00F00E3D" w:rsidRDefault="00F00E3D" w:rsidP="009B2FA7">
      <w:pPr>
        <w:spacing w:line="276" w:lineRule="auto"/>
        <w:rPr>
          <w:rFonts w:asciiTheme="majorHAnsi" w:hAnsiTheme="majorHAnsi" w:cstheme="majorHAnsi"/>
          <w:sz w:val="23"/>
          <w:szCs w:val="23"/>
        </w:rPr>
      </w:pPr>
      <w:r w:rsidRPr="00DA4326">
        <w:rPr>
          <w:rFonts w:asciiTheme="majorHAnsi" w:hAnsiTheme="majorHAnsi" w:cstheme="majorHAnsi"/>
          <w:sz w:val="23"/>
          <w:szCs w:val="23"/>
        </w:rPr>
        <w:lastRenderedPageBreak/>
        <w:t xml:space="preserve">Bridges out of Poverty then is a powerful and persuasive framework. </w:t>
      </w:r>
      <w:r>
        <w:rPr>
          <w:rFonts w:asciiTheme="majorHAnsi" w:hAnsiTheme="majorHAnsi" w:cstheme="majorHAnsi"/>
          <w:sz w:val="23"/>
          <w:szCs w:val="23"/>
        </w:rPr>
        <w:t>It</w:t>
      </w:r>
      <w:r w:rsidRPr="00DA4326">
        <w:rPr>
          <w:rFonts w:asciiTheme="majorHAnsi" w:hAnsiTheme="majorHAnsi" w:cstheme="majorHAnsi"/>
          <w:sz w:val="23"/>
          <w:szCs w:val="23"/>
        </w:rPr>
        <w:t xml:space="preserve"> has been </w:t>
      </w:r>
      <w:r>
        <w:rPr>
          <w:rFonts w:asciiTheme="majorHAnsi" w:hAnsiTheme="majorHAnsi" w:cstheme="majorHAnsi"/>
          <w:sz w:val="23"/>
          <w:szCs w:val="23"/>
        </w:rPr>
        <w:t>critiqued</w:t>
      </w:r>
      <w:r w:rsidRPr="00DA4326">
        <w:rPr>
          <w:rFonts w:asciiTheme="majorHAnsi" w:hAnsiTheme="majorHAnsi" w:cstheme="majorHAnsi"/>
          <w:sz w:val="23"/>
          <w:szCs w:val="23"/>
        </w:rPr>
        <w:t xml:space="preserve"> for its focus on the individual person,</w:t>
      </w:r>
      <w:r>
        <w:rPr>
          <w:rFonts w:asciiTheme="majorHAnsi" w:hAnsiTheme="majorHAnsi" w:cstheme="majorHAnsi"/>
          <w:sz w:val="23"/>
          <w:szCs w:val="23"/>
        </w:rPr>
        <w:t xml:space="preserve"> for using</w:t>
      </w:r>
      <w:r w:rsidRPr="00DA4326">
        <w:rPr>
          <w:rFonts w:asciiTheme="majorHAnsi" w:hAnsiTheme="majorHAnsi" w:cstheme="majorHAnsi"/>
          <w:sz w:val="23"/>
          <w:szCs w:val="23"/>
        </w:rPr>
        <w:t xml:space="preserve"> a deficit model of their capabilities</w:t>
      </w:r>
      <w:r>
        <w:rPr>
          <w:rFonts w:asciiTheme="majorHAnsi" w:hAnsiTheme="majorHAnsi" w:cstheme="majorHAnsi"/>
          <w:sz w:val="23"/>
          <w:szCs w:val="23"/>
        </w:rPr>
        <w:t>,</w:t>
      </w:r>
      <w:r w:rsidRPr="00DA4326">
        <w:rPr>
          <w:rFonts w:asciiTheme="majorHAnsi" w:hAnsiTheme="majorHAnsi" w:cstheme="majorHAnsi"/>
          <w:sz w:val="23"/>
          <w:szCs w:val="23"/>
        </w:rPr>
        <w:t xml:space="preserve"> and </w:t>
      </w:r>
      <w:r>
        <w:rPr>
          <w:rFonts w:asciiTheme="majorHAnsi" w:hAnsiTheme="majorHAnsi" w:cstheme="majorHAnsi"/>
          <w:sz w:val="23"/>
          <w:szCs w:val="23"/>
        </w:rPr>
        <w:t>for emphasising</w:t>
      </w:r>
      <w:r w:rsidRPr="00DA4326">
        <w:rPr>
          <w:rFonts w:asciiTheme="majorHAnsi" w:hAnsiTheme="majorHAnsi" w:cstheme="majorHAnsi"/>
          <w:sz w:val="23"/>
          <w:szCs w:val="23"/>
        </w:rPr>
        <w:t xml:space="preserve"> cultures rather than structures and policies (</w:t>
      </w:r>
      <w:r w:rsidR="005B2C5F">
        <w:rPr>
          <w:rFonts w:asciiTheme="majorHAnsi" w:hAnsiTheme="majorHAnsi" w:cstheme="majorHAnsi"/>
          <w:sz w:val="23"/>
          <w:szCs w:val="23"/>
        </w:rPr>
        <w:t>see</w:t>
      </w:r>
      <w:r w:rsidRPr="00DA4326">
        <w:rPr>
          <w:rFonts w:asciiTheme="majorHAnsi" w:hAnsiTheme="majorHAnsi" w:cstheme="majorHAnsi"/>
          <w:sz w:val="23"/>
          <w:szCs w:val="23"/>
        </w:rPr>
        <w:t xml:space="preserve"> Gorski 2005)</w:t>
      </w:r>
      <w:r>
        <w:rPr>
          <w:rFonts w:asciiTheme="majorHAnsi" w:hAnsiTheme="majorHAnsi" w:cstheme="majorHAnsi"/>
          <w:sz w:val="23"/>
          <w:szCs w:val="23"/>
        </w:rPr>
        <w:t xml:space="preserve">. However, </w:t>
      </w:r>
      <w:r w:rsidR="005B2C5F">
        <w:rPr>
          <w:rFonts w:asciiTheme="majorHAnsi" w:hAnsiTheme="majorHAnsi" w:cstheme="majorHAnsi"/>
          <w:sz w:val="23"/>
          <w:szCs w:val="23"/>
        </w:rPr>
        <w:t>it</w:t>
      </w:r>
      <w:r w:rsidRPr="00DA4326">
        <w:rPr>
          <w:rFonts w:asciiTheme="majorHAnsi" w:hAnsiTheme="majorHAnsi" w:cstheme="majorHAnsi"/>
          <w:sz w:val="23"/>
          <w:szCs w:val="23"/>
        </w:rPr>
        <w:t xml:space="preserve"> has successfully underpinned the </w:t>
      </w:r>
      <w:r>
        <w:rPr>
          <w:rFonts w:asciiTheme="majorHAnsi" w:hAnsiTheme="majorHAnsi" w:cstheme="majorHAnsi"/>
          <w:sz w:val="23"/>
          <w:szCs w:val="23"/>
        </w:rPr>
        <w:t xml:space="preserve">approach of </w:t>
      </w:r>
      <w:r w:rsidRPr="00DA4326">
        <w:rPr>
          <w:rFonts w:asciiTheme="majorHAnsi" w:hAnsiTheme="majorHAnsi" w:cstheme="majorHAnsi"/>
          <w:sz w:val="23"/>
          <w:szCs w:val="23"/>
        </w:rPr>
        <w:t>Northern Futures,</w:t>
      </w:r>
      <w:r>
        <w:rPr>
          <w:rFonts w:asciiTheme="majorHAnsi" w:hAnsiTheme="majorHAnsi" w:cstheme="majorHAnsi"/>
          <w:sz w:val="23"/>
          <w:szCs w:val="23"/>
        </w:rPr>
        <w:t xml:space="preserve"> involving</w:t>
      </w:r>
      <w:r w:rsidRPr="00DA4326">
        <w:rPr>
          <w:rFonts w:asciiTheme="majorHAnsi" w:hAnsiTheme="majorHAnsi" w:cstheme="majorHAnsi"/>
          <w:sz w:val="23"/>
          <w:szCs w:val="23"/>
        </w:rPr>
        <w:t xml:space="preserve"> key workers</w:t>
      </w:r>
      <w:r>
        <w:rPr>
          <w:rFonts w:asciiTheme="majorHAnsi" w:hAnsiTheme="majorHAnsi" w:cstheme="majorHAnsi"/>
          <w:sz w:val="23"/>
          <w:szCs w:val="23"/>
        </w:rPr>
        <w:t xml:space="preserve"> and </w:t>
      </w:r>
      <w:r w:rsidRPr="00DA4326">
        <w:rPr>
          <w:rFonts w:asciiTheme="majorHAnsi" w:hAnsiTheme="majorHAnsi" w:cstheme="majorHAnsi"/>
          <w:sz w:val="23"/>
          <w:szCs w:val="23"/>
        </w:rPr>
        <w:t>local technical education trainers</w:t>
      </w:r>
      <w:r>
        <w:rPr>
          <w:rFonts w:asciiTheme="majorHAnsi" w:hAnsiTheme="majorHAnsi" w:cstheme="majorHAnsi"/>
          <w:sz w:val="23"/>
          <w:szCs w:val="23"/>
        </w:rPr>
        <w:t>,</w:t>
      </w:r>
      <w:r w:rsidRPr="00DA4326">
        <w:rPr>
          <w:rFonts w:asciiTheme="majorHAnsi" w:hAnsiTheme="majorHAnsi" w:cstheme="majorHAnsi"/>
          <w:sz w:val="23"/>
          <w:szCs w:val="23"/>
        </w:rPr>
        <w:t xml:space="preserve"> as well as managers at a major employer. Northern Futures</w:t>
      </w:r>
      <w:r>
        <w:rPr>
          <w:rFonts w:asciiTheme="majorHAnsi" w:hAnsiTheme="majorHAnsi" w:cstheme="majorHAnsi"/>
          <w:sz w:val="23"/>
          <w:szCs w:val="23"/>
        </w:rPr>
        <w:t>’ approach</w:t>
      </w:r>
      <w:r w:rsidRPr="00DA4326">
        <w:rPr>
          <w:rFonts w:asciiTheme="majorHAnsi" w:hAnsiTheme="majorHAnsi" w:cstheme="majorHAnsi"/>
          <w:sz w:val="23"/>
          <w:szCs w:val="23"/>
        </w:rPr>
        <w:t xml:space="preserve"> values the</w:t>
      </w:r>
      <w:r>
        <w:rPr>
          <w:rFonts w:asciiTheme="majorHAnsi" w:hAnsiTheme="majorHAnsi" w:cstheme="majorHAnsi"/>
          <w:sz w:val="23"/>
          <w:szCs w:val="23"/>
        </w:rPr>
        <w:t xml:space="preserve"> organisation’s</w:t>
      </w:r>
      <w:r w:rsidRPr="00DA4326">
        <w:rPr>
          <w:rFonts w:asciiTheme="majorHAnsi" w:hAnsiTheme="majorHAnsi" w:cstheme="majorHAnsi"/>
          <w:sz w:val="23"/>
          <w:szCs w:val="23"/>
        </w:rPr>
        <w:t xml:space="preserve"> clients</w:t>
      </w:r>
      <w:r>
        <w:rPr>
          <w:rFonts w:asciiTheme="majorHAnsi" w:hAnsiTheme="majorHAnsi" w:cstheme="majorHAnsi"/>
          <w:sz w:val="23"/>
          <w:szCs w:val="23"/>
        </w:rPr>
        <w:t>,</w:t>
      </w:r>
      <w:r w:rsidRPr="00DA4326">
        <w:rPr>
          <w:rFonts w:asciiTheme="majorHAnsi" w:hAnsiTheme="majorHAnsi" w:cstheme="majorHAnsi"/>
          <w:sz w:val="23"/>
          <w:szCs w:val="23"/>
        </w:rPr>
        <w:t xml:space="preserve"> while also working to change the</w:t>
      </w:r>
      <w:r>
        <w:rPr>
          <w:rFonts w:asciiTheme="majorHAnsi" w:hAnsiTheme="majorHAnsi" w:cstheme="majorHAnsi"/>
          <w:sz w:val="23"/>
          <w:szCs w:val="23"/>
        </w:rPr>
        <w:t>ir</w:t>
      </w:r>
      <w:r w:rsidRPr="00DA4326">
        <w:rPr>
          <w:rFonts w:asciiTheme="majorHAnsi" w:hAnsiTheme="majorHAnsi" w:cstheme="majorHAnsi"/>
          <w:sz w:val="23"/>
          <w:szCs w:val="23"/>
        </w:rPr>
        <w:t xml:space="preserve"> structural position through confidence</w:t>
      </w:r>
      <w:r>
        <w:rPr>
          <w:rFonts w:asciiTheme="majorHAnsi" w:hAnsiTheme="majorHAnsi" w:cstheme="majorHAnsi"/>
          <w:sz w:val="23"/>
          <w:szCs w:val="23"/>
        </w:rPr>
        <w:t>-</w:t>
      </w:r>
      <w:r w:rsidRPr="00DA4326">
        <w:rPr>
          <w:rFonts w:asciiTheme="majorHAnsi" w:hAnsiTheme="majorHAnsi" w:cstheme="majorHAnsi"/>
          <w:sz w:val="23"/>
          <w:szCs w:val="23"/>
        </w:rPr>
        <w:t>building, learning new “class rules”, training</w:t>
      </w:r>
      <w:r>
        <w:rPr>
          <w:rFonts w:asciiTheme="majorHAnsi" w:hAnsiTheme="majorHAnsi" w:cstheme="majorHAnsi"/>
          <w:sz w:val="23"/>
          <w:szCs w:val="23"/>
        </w:rPr>
        <w:t>,</w:t>
      </w:r>
      <w:r w:rsidRPr="00DA4326">
        <w:rPr>
          <w:rFonts w:asciiTheme="majorHAnsi" w:hAnsiTheme="majorHAnsi" w:cstheme="majorHAnsi"/>
          <w:sz w:val="23"/>
          <w:szCs w:val="23"/>
        </w:rPr>
        <w:t xml:space="preserve"> and employment.</w:t>
      </w:r>
    </w:p>
    <w:p w14:paraId="7CB11763" w14:textId="77777777" w:rsidR="00F00E3D" w:rsidRPr="006B0E23" w:rsidRDefault="00F00E3D" w:rsidP="009B2FA7">
      <w:pPr>
        <w:spacing w:line="276" w:lineRule="auto"/>
        <w:rPr>
          <w:rFonts w:cstheme="minorHAnsi"/>
          <w:b/>
          <w:bCs/>
          <w:color w:val="2E74B5" w:themeColor="accent5" w:themeShade="BF"/>
          <w:sz w:val="25"/>
          <w:szCs w:val="25"/>
        </w:rPr>
      </w:pPr>
      <w:r w:rsidRPr="006B0E23">
        <w:rPr>
          <w:rFonts w:cstheme="minorHAnsi"/>
          <w:b/>
          <w:bCs/>
          <w:color w:val="2E74B5" w:themeColor="accent5" w:themeShade="BF"/>
          <w:sz w:val="25"/>
          <w:szCs w:val="25"/>
        </w:rPr>
        <w:t>1.2.4 Social Inclusion Theories and Actions</w:t>
      </w:r>
    </w:p>
    <w:p w14:paraId="30DB2A20" w14:textId="0EB8C434" w:rsidR="00F00E3D" w:rsidRDefault="00F00E3D" w:rsidP="009B2FA7">
      <w:pPr>
        <w:spacing w:line="276" w:lineRule="auto"/>
        <w:rPr>
          <w:rFonts w:asciiTheme="majorHAnsi" w:hAnsiTheme="majorHAnsi" w:cstheme="majorHAnsi"/>
          <w:sz w:val="23"/>
          <w:szCs w:val="23"/>
        </w:rPr>
      </w:pPr>
      <w:r w:rsidRPr="00DA4326">
        <w:rPr>
          <w:rFonts w:asciiTheme="majorHAnsi" w:hAnsiTheme="majorHAnsi" w:cstheme="majorHAnsi"/>
          <w:sz w:val="23"/>
          <w:szCs w:val="23"/>
        </w:rPr>
        <w:t>From the late 1990s, ameliorating the plight of the “socially excluded” was increasingly central to social policy</w:t>
      </w:r>
      <w:r w:rsidRPr="005D10D8">
        <w:rPr>
          <w:rFonts w:asciiTheme="majorHAnsi" w:hAnsiTheme="majorHAnsi" w:cstheme="majorHAnsi"/>
          <w:sz w:val="23"/>
          <w:szCs w:val="23"/>
        </w:rPr>
        <w:t xml:space="preserve"> </w:t>
      </w:r>
      <w:r w:rsidRPr="00DA4326">
        <w:rPr>
          <w:rFonts w:asciiTheme="majorHAnsi" w:hAnsiTheme="majorHAnsi" w:cstheme="majorHAnsi"/>
          <w:sz w:val="23"/>
          <w:szCs w:val="23"/>
        </w:rPr>
        <w:t xml:space="preserve">in England and Europe. In the face of research </w:t>
      </w:r>
      <w:r w:rsidR="006B0E23">
        <w:rPr>
          <w:rFonts w:asciiTheme="majorHAnsi" w:hAnsiTheme="majorHAnsi" w:cstheme="majorHAnsi"/>
          <w:sz w:val="23"/>
          <w:szCs w:val="23"/>
        </w:rPr>
        <w:t>highlighting</w:t>
      </w:r>
      <w:r w:rsidRPr="00DA4326">
        <w:rPr>
          <w:rFonts w:asciiTheme="majorHAnsi" w:hAnsiTheme="majorHAnsi" w:cstheme="majorHAnsi"/>
          <w:sz w:val="23"/>
          <w:szCs w:val="23"/>
        </w:rPr>
        <w:t xml:space="preserve"> the multiple causes and manifestations of poverty, Tony Blair’s New Labo</w:t>
      </w:r>
      <w:r w:rsidR="00ED7D2A">
        <w:rPr>
          <w:rFonts w:asciiTheme="majorHAnsi" w:hAnsiTheme="majorHAnsi" w:cstheme="majorHAnsi"/>
          <w:sz w:val="23"/>
          <w:szCs w:val="23"/>
        </w:rPr>
        <w:t>u</w:t>
      </w:r>
      <w:r w:rsidRPr="00DA4326">
        <w:rPr>
          <w:rFonts w:asciiTheme="majorHAnsi" w:hAnsiTheme="majorHAnsi" w:cstheme="majorHAnsi"/>
          <w:sz w:val="23"/>
          <w:szCs w:val="23"/>
        </w:rPr>
        <w:t>r considered unemployment, low incomes, poor health, family breakdown, crime</w:t>
      </w:r>
      <w:r>
        <w:rPr>
          <w:rFonts w:asciiTheme="majorHAnsi" w:hAnsiTheme="majorHAnsi" w:cstheme="majorHAnsi"/>
          <w:sz w:val="23"/>
          <w:szCs w:val="23"/>
        </w:rPr>
        <w:t>,</w:t>
      </w:r>
      <w:r w:rsidRPr="00DA4326">
        <w:rPr>
          <w:rFonts w:asciiTheme="majorHAnsi" w:hAnsiTheme="majorHAnsi" w:cstheme="majorHAnsi"/>
          <w:sz w:val="23"/>
          <w:szCs w:val="23"/>
        </w:rPr>
        <w:t xml:space="preserve"> and inadequate housing as interconnected </w:t>
      </w:r>
      <w:r>
        <w:rPr>
          <w:rFonts w:asciiTheme="majorHAnsi" w:hAnsiTheme="majorHAnsi" w:cstheme="majorHAnsi"/>
          <w:sz w:val="23"/>
          <w:szCs w:val="23"/>
        </w:rPr>
        <w:t xml:space="preserve">factors. The UK government </w:t>
      </w:r>
      <w:r w:rsidRPr="00DA4326">
        <w:rPr>
          <w:rFonts w:asciiTheme="majorHAnsi" w:hAnsiTheme="majorHAnsi" w:cstheme="majorHAnsi"/>
          <w:sz w:val="23"/>
          <w:szCs w:val="23"/>
        </w:rPr>
        <w:t>developed “joined up” solutions</w:t>
      </w:r>
      <w:r>
        <w:rPr>
          <w:rFonts w:asciiTheme="majorHAnsi" w:hAnsiTheme="majorHAnsi" w:cstheme="majorHAnsi"/>
          <w:sz w:val="23"/>
          <w:szCs w:val="23"/>
        </w:rPr>
        <w:t>,</w:t>
      </w:r>
      <w:r w:rsidRPr="00DA4326">
        <w:rPr>
          <w:rFonts w:asciiTheme="majorHAnsi" w:hAnsiTheme="majorHAnsi" w:cstheme="majorHAnsi"/>
          <w:sz w:val="23"/>
          <w:szCs w:val="23"/>
        </w:rPr>
        <w:t xml:space="preserve"> to be </w:t>
      </w:r>
      <w:r>
        <w:rPr>
          <w:rFonts w:asciiTheme="majorHAnsi" w:hAnsiTheme="majorHAnsi" w:cstheme="majorHAnsi"/>
          <w:sz w:val="23"/>
          <w:szCs w:val="23"/>
        </w:rPr>
        <w:t>implemented</w:t>
      </w:r>
      <w:r w:rsidRPr="00DA4326">
        <w:rPr>
          <w:rFonts w:asciiTheme="majorHAnsi" w:hAnsiTheme="majorHAnsi" w:cstheme="majorHAnsi"/>
          <w:sz w:val="23"/>
          <w:szCs w:val="23"/>
        </w:rPr>
        <w:t xml:space="preserve"> </w:t>
      </w:r>
      <w:r>
        <w:rPr>
          <w:rFonts w:asciiTheme="majorHAnsi" w:hAnsiTheme="majorHAnsi" w:cstheme="majorHAnsi"/>
          <w:sz w:val="23"/>
          <w:szCs w:val="23"/>
        </w:rPr>
        <w:t>by the</w:t>
      </w:r>
      <w:r w:rsidRPr="00DA4326">
        <w:rPr>
          <w:rFonts w:asciiTheme="majorHAnsi" w:hAnsiTheme="majorHAnsi" w:cstheme="majorHAnsi"/>
          <w:sz w:val="23"/>
          <w:szCs w:val="23"/>
        </w:rPr>
        <w:t xml:space="preserve"> coordinated</w:t>
      </w:r>
      <w:r>
        <w:rPr>
          <w:rFonts w:asciiTheme="majorHAnsi" w:hAnsiTheme="majorHAnsi" w:cstheme="majorHAnsi"/>
          <w:sz w:val="23"/>
          <w:szCs w:val="23"/>
        </w:rPr>
        <w:t xml:space="preserve"> actions of</w:t>
      </w:r>
      <w:r w:rsidRPr="00DA4326">
        <w:rPr>
          <w:rFonts w:asciiTheme="majorHAnsi" w:hAnsiTheme="majorHAnsi" w:cstheme="majorHAnsi"/>
          <w:sz w:val="23"/>
          <w:szCs w:val="23"/>
        </w:rPr>
        <w:t xml:space="preserve"> all relevant government departments. The focus thereby shifted from unemployed </w:t>
      </w:r>
      <w:r>
        <w:rPr>
          <w:rFonts w:asciiTheme="majorHAnsi" w:hAnsiTheme="majorHAnsi" w:cstheme="majorHAnsi"/>
          <w:sz w:val="23"/>
          <w:szCs w:val="23"/>
        </w:rPr>
        <w:t xml:space="preserve">people </w:t>
      </w:r>
      <w:r w:rsidRPr="00DA4326">
        <w:rPr>
          <w:rFonts w:asciiTheme="majorHAnsi" w:hAnsiTheme="majorHAnsi" w:cstheme="majorHAnsi"/>
          <w:sz w:val="23"/>
          <w:szCs w:val="23"/>
        </w:rPr>
        <w:t>themselves to the</w:t>
      </w:r>
      <w:r>
        <w:rPr>
          <w:rFonts w:asciiTheme="majorHAnsi" w:hAnsiTheme="majorHAnsi" w:cstheme="majorHAnsi"/>
          <w:sz w:val="23"/>
          <w:szCs w:val="23"/>
        </w:rPr>
        <w:t xml:space="preserve"> task of</w:t>
      </w:r>
      <w:r w:rsidRPr="00DA4326">
        <w:rPr>
          <w:rFonts w:asciiTheme="majorHAnsi" w:hAnsiTheme="majorHAnsi" w:cstheme="majorHAnsi"/>
          <w:sz w:val="23"/>
          <w:szCs w:val="23"/>
        </w:rPr>
        <w:t xml:space="preserve"> building social capital and neighbourhoods</w:t>
      </w:r>
      <w:r w:rsidR="006B0E23">
        <w:rPr>
          <w:rFonts w:asciiTheme="majorHAnsi" w:hAnsiTheme="majorHAnsi" w:cstheme="majorHAnsi"/>
          <w:sz w:val="23"/>
          <w:szCs w:val="23"/>
        </w:rPr>
        <w:t>,</w:t>
      </w:r>
      <w:r>
        <w:rPr>
          <w:rFonts w:asciiTheme="majorHAnsi" w:hAnsiTheme="majorHAnsi" w:cstheme="majorHAnsi"/>
          <w:sz w:val="23"/>
          <w:szCs w:val="23"/>
        </w:rPr>
        <w:t xml:space="preserve"> while also</w:t>
      </w:r>
      <w:r w:rsidRPr="00DA4326">
        <w:rPr>
          <w:rFonts w:asciiTheme="majorHAnsi" w:hAnsiTheme="majorHAnsi" w:cstheme="majorHAnsi"/>
          <w:sz w:val="23"/>
          <w:szCs w:val="23"/>
        </w:rPr>
        <w:t xml:space="preserve"> </w:t>
      </w:r>
      <w:r>
        <w:rPr>
          <w:rFonts w:asciiTheme="majorHAnsi" w:hAnsiTheme="majorHAnsi" w:cstheme="majorHAnsi"/>
          <w:sz w:val="23"/>
          <w:szCs w:val="23"/>
        </w:rPr>
        <w:t xml:space="preserve">developing </w:t>
      </w:r>
      <w:r w:rsidRPr="00DA4326">
        <w:rPr>
          <w:rFonts w:asciiTheme="majorHAnsi" w:hAnsiTheme="majorHAnsi" w:cstheme="majorHAnsi"/>
          <w:sz w:val="23"/>
          <w:szCs w:val="23"/>
        </w:rPr>
        <w:t>learning and skills.</w:t>
      </w:r>
    </w:p>
    <w:p w14:paraId="62EBDC86" w14:textId="77777777" w:rsidR="00F00E3D" w:rsidRPr="00DA4326" w:rsidRDefault="00F00E3D" w:rsidP="009B2FA7">
      <w:pPr>
        <w:spacing w:line="276" w:lineRule="auto"/>
        <w:rPr>
          <w:rFonts w:asciiTheme="majorHAnsi" w:hAnsiTheme="majorHAnsi" w:cstheme="majorHAnsi"/>
          <w:sz w:val="23"/>
          <w:szCs w:val="23"/>
        </w:rPr>
      </w:pPr>
      <w:r>
        <w:rPr>
          <w:rFonts w:asciiTheme="majorHAnsi" w:hAnsiTheme="majorHAnsi" w:cstheme="majorHAnsi"/>
          <w:sz w:val="23"/>
          <w:szCs w:val="23"/>
        </w:rPr>
        <w:t>F</w:t>
      </w:r>
      <w:r w:rsidRPr="00DA4326">
        <w:rPr>
          <w:rFonts w:asciiTheme="majorHAnsi" w:hAnsiTheme="majorHAnsi" w:cstheme="majorHAnsi"/>
          <w:sz w:val="23"/>
          <w:szCs w:val="23"/>
        </w:rPr>
        <w:t>rom 1997 onwards</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a</w:t>
      </w:r>
      <w:r w:rsidRPr="00DA4326">
        <w:rPr>
          <w:rFonts w:asciiTheme="majorHAnsi" w:hAnsiTheme="majorHAnsi" w:cstheme="majorHAnsi"/>
          <w:sz w:val="23"/>
          <w:szCs w:val="23"/>
        </w:rPr>
        <w:t xml:space="preserve">ddressing socio-spatial problems under the rubric of </w:t>
      </w:r>
      <w:r>
        <w:rPr>
          <w:rFonts w:asciiTheme="majorHAnsi" w:hAnsiTheme="majorHAnsi" w:cstheme="majorHAnsi"/>
          <w:sz w:val="23"/>
          <w:szCs w:val="23"/>
        </w:rPr>
        <w:t>“</w:t>
      </w:r>
      <w:r w:rsidRPr="00DA4326">
        <w:rPr>
          <w:rFonts w:asciiTheme="majorHAnsi" w:hAnsiTheme="majorHAnsi" w:cstheme="majorHAnsi"/>
          <w:sz w:val="23"/>
          <w:szCs w:val="23"/>
        </w:rPr>
        <w:t>social exclusion</w:t>
      </w:r>
      <w:r>
        <w:rPr>
          <w:rFonts w:asciiTheme="majorHAnsi" w:hAnsiTheme="majorHAnsi" w:cstheme="majorHAnsi"/>
          <w:sz w:val="23"/>
          <w:szCs w:val="23"/>
        </w:rPr>
        <w:t>”</w:t>
      </w:r>
      <w:r w:rsidRPr="00DA4326">
        <w:rPr>
          <w:rFonts w:asciiTheme="majorHAnsi" w:hAnsiTheme="majorHAnsi" w:cstheme="majorHAnsi"/>
          <w:sz w:val="23"/>
          <w:szCs w:val="23"/>
        </w:rPr>
        <w:t xml:space="preserve"> formed the basis of </w:t>
      </w:r>
      <w:r>
        <w:rPr>
          <w:rFonts w:asciiTheme="majorHAnsi" w:hAnsiTheme="majorHAnsi" w:cstheme="majorHAnsi"/>
          <w:sz w:val="23"/>
          <w:szCs w:val="23"/>
        </w:rPr>
        <w:t xml:space="preserve">the </w:t>
      </w:r>
      <w:r w:rsidRPr="00DA4326">
        <w:rPr>
          <w:rFonts w:asciiTheme="majorHAnsi" w:hAnsiTheme="majorHAnsi" w:cstheme="majorHAnsi"/>
          <w:sz w:val="23"/>
          <w:szCs w:val="23"/>
        </w:rPr>
        <w:t>Blair Labour Government</w:t>
      </w:r>
      <w:r>
        <w:rPr>
          <w:rFonts w:asciiTheme="majorHAnsi" w:hAnsiTheme="majorHAnsi" w:cstheme="majorHAnsi"/>
          <w:sz w:val="23"/>
          <w:szCs w:val="23"/>
        </w:rPr>
        <w:t>’s</w:t>
      </w:r>
      <w:r w:rsidRPr="00DA4326">
        <w:rPr>
          <w:rFonts w:asciiTheme="majorHAnsi" w:hAnsiTheme="majorHAnsi" w:cstheme="majorHAnsi"/>
          <w:sz w:val="23"/>
          <w:szCs w:val="23"/>
        </w:rPr>
        <w:t xml:space="preserve"> urban renewal and housing program</w:t>
      </w:r>
      <w:r>
        <w:rPr>
          <w:rFonts w:asciiTheme="majorHAnsi" w:hAnsiTheme="majorHAnsi" w:cstheme="majorHAnsi"/>
          <w:sz w:val="23"/>
          <w:szCs w:val="23"/>
        </w:rPr>
        <w:t>s</w:t>
      </w:r>
      <w:r w:rsidRPr="00DA4326">
        <w:rPr>
          <w:rFonts w:asciiTheme="majorHAnsi" w:hAnsiTheme="majorHAnsi" w:cstheme="majorHAnsi"/>
          <w:sz w:val="23"/>
          <w:szCs w:val="23"/>
        </w:rPr>
        <w:t xml:space="preserve">. </w:t>
      </w:r>
      <w:r>
        <w:rPr>
          <w:rFonts w:asciiTheme="majorHAnsi" w:hAnsiTheme="majorHAnsi" w:cstheme="majorHAnsi"/>
          <w:sz w:val="23"/>
          <w:szCs w:val="23"/>
        </w:rPr>
        <w:t>In tandem with this approach, the</w:t>
      </w:r>
      <w:r w:rsidRPr="00DA4326">
        <w:rPr>
          <w:rFonts w:asciiTheme="majorHAnsi" w:hAnsiTheme="majorHAnsi" w:cstheme="majorHAnsi"/>
          <w:sz w:val="23"/>
          <w:szCs w:val="23"/>
        </w:rPr>
        <w:t xml:space="preserve"> New Deal for Communities</w:t>
      </w:r>
      <w:r>
        <w:rPr>
          <w:rFonts w:asciiTheme="majorHAnsi" w:hAnsiTheme="majorHAnsi" w:cstheme="majorHAnsi"/>
          <w:sz w:val="23"/>
          <w:szCs w:val="23"/>
        </w:rPr>
        <w:t xml:space="preserve"> program</w:t>
      </w:r>
      <w:r w:rsidRPr="00DA4326">
        <w:rPr>
          <w:rFonts w:asciiTheme="majorHAnsi" w:hAnsiTheme="majorHAnsi" w:cstheme="majorHAnsi"/>
          <w:sz w:val="23"/>
          <w:szCs w:val="23"/>
        </w:rPr>
        <w:t xml:space="preserve"> focused on employment capabilities, crime levels, inadequate education, health, housing and neighbourhood</w:t>
      </w:r>
      <w:r>
        <w:rPr>
          <w:rFonts w:asciiTheme="majorHAnsi" w:hAnsiTheme="majorHAnsi" w:cstheme="majorHAnsi"/>
          <w:sz w:val="23"/>
          <w:szCs w:val="23"/>
        </w:rPr>
        <w:t>s</w:t>
      </w:r>
      <w:r w:rsidRPr="00DA4326">
        <w:rPr>
          <w:rFonts w:asciiTheme="majorHAnsi" w:hAnsiTheme="majorHAnsi" w:cstheme="majorHAnsi"/>
          <w:sz w:val="23"/>
          <w:szCs w:val="23"/>
        </w:rPr>
        <w:t>, educational underachievement, poor health</w:t>
      </w:r>
      <w:r>
        <w:rPr>
          <w:rFonts w:asciiTheme="majorHAnsi" w:hAnsiTheme="majorHAnsi" w:cstheme="majorHAnsi"/>
          <w:sz w:val="23"/>
          <w:szCs w:val="23"/>
        </w:rPr>
        <w:t>,</w:t>
      </w:r>
      <w:r w:rsidRPr="00DA4326">
        <w:rPr>
          <w:rFonts w:asciiTheme="majorHAnsi" w:hAnsiTheme="majorHAnsi" w:cstheme="majorHAnsi"/>
          <w:sz w:val="23"/>
          <w:szCs w:val="23"/>
        </w:rPr>
        <w:t xml:space="preserve"> and problems with housing and the physical environment.</w:t>
      </w:r>
      <w:r>
        <w:rPr>
          <w:rFonts w:asciiTheme="majorHAnsi" w:hAnsiTheme="majorHAnsi" w:cstheme="majorHAnsi"/>
          <w:sz w:val="23"/>
          <w:szCs w:val="23"/>
        </w:rPr>
        <w:t xml:space="preserve"> </w:t>
      </w:r>
    </w:p>
    <w:p w14:paraId="0D77E4CA" w14:textId="77777777" w:rsidR="00F00E3D"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t xml:space="preserve">The 2000 McClure Report into Australia’s social welfare system </w:t>
      </w:r>
      <w:r>
        <w:rPr>
          <w:rFonts w:asciiTheme="majorHAnsi" w:hAnsiTheme="majorHAnsi" w:cstheme="majorBidi"/>
          <w:sz w:val="23"/>
          <w:szCs w:val="23"/>
        </w:rPr>
        <w:t>advanced the same argument: that</w:t>
      </w:r>
      <w:r w:rsidRPr="359636AC">
        <w:rPr>
          <w:rFonts w:asciiTheme="majorHAnsi" w:hAnsiTheme="majorHAnsi" w:cstheme="majorBidi"/>
          <w:sz w:val="23"/>
          <w:szCs w:val="23"/>
        </w:rPr>
        <w:t xml:space="preserve"> the goal should be to minimise social and economic exclusion. </w:t>
      </w:r>
      <w:r>
        <w:rPr>
          <w:rFonts w:asciiTheme="majorHAnsi" w:hAnsiTheme="majorHAnsi" w:cstheme="majorBidi"/>
          <w:sz w:val="23"/>
          <w:szCs w:val="23"/>
        </w:rPr>
        <w:t xml:space="preserve">The </w:t>
      </w:r>
      <w:r w:rsidRPr="359636AC">
        <w:rPr>
          <w:rFonts w:asciiTheme="majorHAnsi" w:hAnsiTheme="majorHAnsi" w:cstheme="majorBidi"/>
          <w:sz w:val="23"/>
          <w:szCs w:val="23"/>
        </w:rPr>
        <w:t>Brotherhood of St Laurence director</w:t>
      </w:r>
      <w:r>
        <w:rPr>
          <w:rFonts w:asciiTheme="majorHAnsi" w:hAnsiTheme="majorHAnsi" w:cstheme="majorBidi"/>
          <w:sz w:val="23"/>
          <w:szCs w:val="23"/>
        </w:rPr>
        <w:t>,</w:t>
      </w:r>
      <w:r w:rsidRPr="359636AC">
        <w:rPr>
          <w:rFonts w:asciiTheme="majorHAnsi" w:hAnsiTheme="majorHAnsi" w:cstheme="majorBidi"/>
          <w:sz w:val="23"/>
          <w:szCs w:val="23"/>
        </w:rPr>
        <w:t xml:space="preserve"> Tony Nicholson</w:t>
      </w:r>
      <w:r>
        <w:rPr>
          <w:rFonts w:asciiTheme="majorHAnsi" w:hAnsiTheme="majorHAnsi" w:cstheme="majorBidi"/>
          <w:sz w:val="23"/>
          <w:szCs w:val="23"/>
        </w:rPr>
        <w:t>,</w:t>
      </w:r>
      <w:r w:rsidRPr="359636AC">
        <w:rPr>
          <w:rFonts w:asciiTheme="majorHAnsi" w:hAnsiTheme="majorHAnsi" w:cstheme="majorBidi"/>
          <w:sz w:val="23"/>
          <w:szCs w:val="23"/>
        </w:rPr>
        <w:t xml:space="preserve"> </w:t>
      </w:r>
      <w:r>
        <w:rPr>
          <w:rFonts w:asciiTheme="majorHAnsi" w:hAnsiTheme="majorHAnsi" w:cstheme="majorBidi"/>
          <w:sz w:val="23"/>
          <w:szCs w:val="23"/>
        </w:rPr>
        <w:t>argued that this approach should be adopted</w:t>
      </w:r>
      <w:r w:rsidRPr="359636AC">
        <w:rPr>
          <w:rFonts w:asciiTheme="majorHAnsi" w:hAnsiTheme="majorHAnsi" w:cstheme="majorBidi"/>
          <w:sz w:val="23"/>
          <w:szCs w:val="23"/>
        </w:rPr>
        <w:t xml:space="preserve"> in Australia: “To welfare rights was added the right to meaningful participation” </w:t>
      </w:r>
      <w:r>
        <w:rPr>
          <w:rFonts w:asciiTheme="majorHAnsi" w:hAnsiTheme="majorHAnsi" w:cstheme="majorBidi"/>
          <w:noProof/>
          <w:sz w:val="23"/>
          <w:szCs w:val="23"/>
        </w:rPr>
        <w:t>(Nicholson, 2007)</w:t>
      </w:r>
      <w:r w:rsidRPr="359636AC">
        <w:rPr>
          <w:rFonts w:asciiTheme="majorHAnsi" w:hAnsiTheme="majorHAnsi" w:cstheme="majorBidi"/>
          <w:sz w:val="23"/>
          <w:szCs w:val="23"/>
        </w:rPr>
        <w:t>.</w:t>
      </w:r>
    </w:p>
    <w:p w14:paraId="4B90C045" w14:textId="471EFD8B" w:rsidR="00F00E3D" w:rsidRPr="00DA4326" w:rsidRDefault="00F00E3D" w:rsidP="009B2FA7">
      <w:pPr>
        <w:spacing w:line="276" w:lineRule="auto"/>
        <w:rPr>
          <w:rFonts w:asciiTheme="majorHAnsi" w:hAnsiTheme="majorHAnsi" w:cstheme="majorBidi"/>
          <w:sz w:val="23"/>
          <w:szCs w:val="23"/>
        </w:rPr>
      </w:pPr>
      <w:r>
        <w:rPr>
          <w:rFonts w:asciiTheme="majorHAnsi" w:hAnsiTheme="majorHAnsi" w:cstheme="majorBidi"/>
          <w:sz w:val="23"/>
          <w:szCs w:val="23"/>
        </w:rPr>
        <w:t xml:space="preserve">The </w:t>
      </w:r>
      <w:r w:rsidRPr="359636AC">
        <w:rPr>
          <w:rFonts w:asciiTheme="majorHAnsi" w:hAnsiTheme="majorHAnsi" w:cstheme="majorBidi"/>
          <w:sz w:val="23"/>
          <w:szCs w:val="23"/>
        </w:rPr>
        <w:t>State governments</w:t>
      </w:r>
      <w:r>
        <w:rPr>
          <w:rFonts w:asciiTheme="majorHAnsi" w:hAnsiTheme="majorHAnsi" w:cstheme="majorBidi"/>
          <w:sz w:val="23"/>
          <w:szCs w:val="23"/>
        </w:rPr>
        <w:t xml:space="preserve"> of</w:t>
      </w:r>
      <w:r w:rsidRPr="359636AC">
        <w:rPr>
          <w:rFonts w:asciiTheme="majorHAnsi" w:hAnsiTheme="majorHAnsi" w:cstheme="majorBidi"/>
          <w:sz w:val="23"/>
          <w:szCs w:val="23"/>
        </w:rPr>
        <w:t xml:space="preserve"> South Australia and Victoria</w:t>
      </w:r>
      <w:r>
        <w:rPr>
          <w:rFonts w:asciiTheme="majorHAnsi" w:hAnsiTheme="majorHAnsi" w:cstheme="majorBidi"/>
          <w:sz w:val="23"/>
          <w:szCs w:val="23"/>
        </w:rPr>
        <w:t xml:space="preserve"> </w:t>
      </w:r>
      <w:r w:rsidRPr="359636AC">
        <w:rPr>
          <w:rFonts w:asciiTheme="majorHAnsi" w:hAnsiTheme="majorHAnsi" w:cstheme="majorBidi"/>
          <w:sz w:val="23"/>
          <w:szCs w:val="23"/>
        </w:rPr>
        <w:t xml:space="preserve">moved towards this social inclusion agenda </w:t>
      </w:r>
      <w:r>
        <w:rPr>
          <w:rFonts w:asciiTheme="majorHAnsi" w:hAnsiTheme="majorHAnsi" w:cstheme="majorBidi"/>
          <w:noProof/>
          <w:sz w:val="23"/>
          <w:szCs w:val="23"/>
        </w:rPr>
        <w:t>(Hayes, Gray, &amp; Edwards, 2008)</w:t>
      </w:r>
      <w:r>
        <w:rPr>
          <w:rFonts w:asciiTheme="majorHAnsi" w:hAnsiTheme="majorHAnsi" w:cstheme="majorBidi"/>
          <w:sz w:val="23"/>
          <w:szCs w:val="23"/>
        </w:rPr>
        <w:t>, followed by</w:t>
      </w:r>
      <w:r w:rsidRPr="0034777C">
        <w:rPr>
          <w:rFonts w:asciiTheme="majorHAnsi" w:hAnsiTheme="majorHAnsi" w:cstheme="majorHAnsi"/>
          <w:sz w:val="23"/>
          <w:szCs w:val="23"/>
        </w:rPr>
        <w:t xml:space="preserve"> </w:t>
      </w:r>
      <w:r>
        <w:rPr>
          <w:rFonts w:asciiTheme="majorHAnsi" w:hAnsiTheme="majorHAnsi" w:cstheme="majorHAnsi"/>
          <w:sz w:val="23"/>
          <w:szCs w:val="23"/>
        </w:rPr>
        <w:t>t</w:t>
      </w:r>
      <w:r w:rsidRPr="003C3F49">
        <w:rPr>
          <w:rFonts w:asciiTheme="majorHAnsi" w:hAnsiTheme="majorHAnsi" w:cstheme="majorHAnsi"/>
          <w:sz w:val="23"/>
          <w:szCs w:val="23"/>
        </w:rPr>
        <w:t xml:space="preserve">he </w:t>
      </w:r>
      <w:r>
        <w:rPr>
          <w:rFonts w:asciiTheme="majorHAnsi" w:hAnsiTheme="majorHAnsi" w:cstheme="majorHAnsi"/>
          <w:sz w:val="23"/>
          <w:szCs w:val="23"/>
        </w:rPr>
        <w:t>Federal Labor</w:t>
      </w:r>
      <w:r w:rsidRPr="003C3F49">
        <w:rPr>
          <w:rFonts w:asciiTheme="majorHAnsi" w:hAnsiTheme="majorHAnsi" w:cstheme="majorHAnsi"/>
          <w:sz w:val="23"/>
          <w:szCs w:val="23"/>
        </w:rPr>
        <w:t xml:space="preserve"> Government</w:t>
      </w:r>
      <w:r>
        <w:rPr>
          <w:rFonts w:asciiTheme="majorHAnsi" w:hAnsiTheme="majorHAnsi" w:cstheme="majorHAnsi"/>
          <w:sz w:val="23"/>
          <w:szCs w:val="23"/>
        </w:rPr>
        <w:t>, which</w:t>
      </w:r>
      <w:r w:rsidRPr="003C3F49">
        <w:rPr>
          <w:rFonts w:asciiTheme="majorHAnsi" w:hAnsiTheme="majorHAnsi" w:cstheme="majorHAnsi"/>
          <w:sz w:val="23"/>
          <w:szCs w:val="23"/>
        </w:rPr>
        <w:t xml:space="preserve"> </w:t>
      </w:r>
      <w:r>
        <w:rPr>
          <w:rFonts w:asciiTheme="majorHAnsi" w:hAnsiTheme="majorHAnsi" w:cstheme="majorHAnsi"/>
          <w:sz w:val="23"/>
          <w:szCs w:val="23"/>
        </w:rPr>
        <w:t xml:space="preserve">in 2007 </w:t>
      </w:r>
      <w:r w:rsidRPr="003C3F49">
        <w:rPr>
          <w:rFonts w:asciiTheme="majorHAnsi" w:hAnsiTheme="majorHAnsi" w:cstheme="majorHAnsi"/>
          <w:sz w:val="23"/>
          <w:szCs w:val="23"/>
        </w:rPr>
        <w:t>briefly appointed a Minister for Social Inclusion, Julia Gillard</w:t>
      </w:r>
      <w:r>
        <w:rPr>
          <w:rFonts w:asciiTheme="majorHAnsi" w:hAnsiTheme="majorHAnsi" w:cstheme="majorHAnsi"/>
          <w:sz w:val="23"/>
          <w:szCs w:val="23"/>
        </w:rPr>
        <w:t>,</w:t>
      </w:r>
      <w:r w:rsidRPr="003C3F49">
        <w:rPr>
          <w:rFonts w:asciiTheme="majorHAnsi" w:hAnsiTheme="majorHAnsi" w:cstheme="majorHAnsi"/>
          <w:sz w:val="23"/>
          <w:szCs w:val="23"/>
        </w:rPr>
        <w:t xml:space="preserve"> as part of its Stronger Fairer Australia policy</w:t>
      </w:r>
      <w:r>
        <w:rPr>
          <w:rFonts w:asciiTheme="majorHAnsi" w:hAnsiTheme="majorHAnsi" w:cstheme="majorHAnsi"/>
          <w:sz w:val="23"/>
          <w:szCs w:val="23"/>
        </w:rPr>
        <w:t>.</w:t>
      </w:r>
      <w:r w:rsidRPr="359636AC">
        <w:rPr>
          <w:rFonts w:asciiTheme="majorHAnsi" w:hAnsiTheme="majorHAnsi" w:cstheme="majorBidi"/>
          <w:sz w:val="23"/>
          <w:szCs w:val="23"/>
        </w:rPr>
        <w:t xml:space="preserve"> </w:t>
      </w:r>
      <w:r>
        <w:rPr>
          <w:rFonts w:asciiTheme="majorHAnsi" w:hAnsiTheme="majorHAnsi" w:cstheme="majorBidi"/>
          <w:sz w:val="23"/>
          <w:szCs w:val="23"/>
        </w:rPr>
        <w:t>This approach</w:t>
      </w:r>
      <w:r w:rsidRPr="359636AC">
        <w:rPr>
          <w:rFonts w:asciiTheme="majorHAnsi" w:hAnsiTheme="majorHAnsi" w:cstheme="majorBidi"/>
          <w:sz w:val="23"/>
          <w:szCs w:val="23"/>
        </w:rPr>
        <w:t xml:space="preserve"> emphasis</w:t>
      </w:r>
      <w:r>
        <w:rPr>
          <w:rFonts w:asciiTheme="majorHAnsi" w:hAnsiTheme="majorHAnsi" w:cstheme="majorBidi"/>
          <w:sz w:val="23"/>
          <w:szCs w:val="23"/>
        </w:rPr>
        <w:t>ed</w:t>
      </w:r>
      <w:r w:rsidRPr="359636AC">
        <w:rPr>
          <w:rFonts w:asciiTheme="majorHAnsi" w:hAnsiTheme="majorHAnsi" w:cstheme="majorBidi"/>
          <w:sz w:val="23"/>
          <w:szCs w:val="23"/>
        </w:rPr>
        <w:t xml:space="preserve"> </w:t>
      </w:r>
      <w:r>
        <w:rPr>
          <w:rFonts w:asciiTheme="majorHAnsi" w:hAnsiTheme="majorHAnsi" w:cstheme="majorBidi"/>
          <w:sz w:val="23"/>
          <w:szCs w:val="23"/>
        </w:rPr>
        <w:t>the generation and monitoring of</w:t>
      </w:r>
      <w:r w:rsidRPr="359636AC">
        <w:rPr>
          <w:rFonts w:asciiTheme="majorHAnsi" w:hAnsiTheme="majorHAnsi" w:cstheme="majorBidi"/>
          <w:sz w:val="23"/>
          <w:szCs w:val="23"/>
        </w:rPr>
        <w:t xml:space="preserve"> indicator</w:t>
      </w:r>
      <w:r>
        <w:rPr>
          <w:rFonts w:asciiTheme="majorHAnsi" w:hAnsiTheme="majorHAnsi" w:cstheme="majorBidi"/>
          <w:sz w:val="23"/>
          <w:szCs w:val="23"/>
        </w:rPr>
        <w:t>s</w:t>
      </w:r>
      <w:r w:rsidRPr="359636AC">
        <w:rPr>
          <w:rFonts w:asciiTheme="majorHAnsi" w:hAnsiTheme="majorHAnsi" w:cstheme="majorBidi"/>
          <w:sz w:val="23"/>
          <w:szCs w:val="23"/>
        </w:rPr>
        <w:t xml:space="preserve">, delimiting disadvantaged groups </w:t>
      </w:r>
      <w:r>
        <w:rPr>
          <w:rFonts w:asciiTheme="majorHAnsi" w:hAnsiTheme="majorHAnsi" w:cstheme="majorBidi"/>
          <w:sz w:val="23"/>
          <w:szCs w:val="23"/>
        </w:rPr>
        <w:t>and</w:t>
      </w:r>
      <w:r w:rsidRPr="359636AC">
        <w:rPr>
          <w:rFonts w:asciiTheme="majorHAnsi" w:hAnsiTheme="majorHAnsi" w:cstheme="majorBidi"/>
          <w:sz w:val="23"/>
          <w:szCs w:val="23"/>
        </w:rPr>
        <w:t xml:space="preserve"> regions</w:t>
      </w:r>
      <w:r>
        <w:rPr>
          <w:rFonts w:asciiTheme="majorHAnsi" w:hAnsiTheme="majorHAnsi" w:cstheme="majorBidi"/>
          <w:sz w:val="23"/>
          <w:szCs w:val="23"/>
        </w:rPr>
        <w:t xml:space="preserve">, then </w:t>
      </w:r>
      <w:r w:rsidRPr="359636AC">
        <w:rPr>
          <w:rFonts w:asciiTheme="majorHAnsi" w:hAnsiTheme="majorHAnsi" w:cstheme="majorBidi"/>
          <w:sz w:val="23"/>
          <w:szCs w:val="23"/>
        </w:rPr>
        <w:t>target</w:t>
      </w:r>
      <w:r>
        <w:rPr>
          <w:rFonts w:asciiTheme="majorHAnsi" w:hAnsiTheme="majorHAnsi" w:cstheme="majorBidi"/>
          <w:sz w:val="23"/>
          <w:szCs w:val="23"/>
        </w:rPr>
        <w:t>ing them</w:t>
      </w:r>
      <w:r w:rsidRPr="359636AC">
        <w:rPr>
          <w:rFonts w:asciiTheme="majorHAnsi" w:hAnsiTheme="majorHAnsi" w:cstheme="majorBidi"/>
          <w:sz w:val="23"/>
          <w:szCs w:val="23"/>
        </w:rPr>
        <w:t xml:space="preserve"> for whole</w:t>
      </w:r>
      <w:r>
        <w:rPr>
          <w:rFonts w:asciiTheme="majorHAnsi" w:hAnsiTheme="majorHAnsi" w:cstheme="majorBidi"/>
          <w:sz w:val="23"/>
          <w:szCs w:val="23"/>
        </w:rPr>
        <w:t>-</w:t>
      </w:r>
      <w:r w:rsidRPr="359636AC">
        <w:rPr>
          <w:rFonts w:asciiTheme="majorHAnsi" w:hAnsiTheme="majorHAnsi" w:cstheme="majorBidi"/>
          <w:sz w:val="23"/>
          <w:szCs w:val="23"/>
        </w:rPr>
        <w:t>of</w:t>
      </w:r>
      <w:r>
        <w:rPr>
          <w:rFonts w:asciiTheme="majorHAnsi" w:hAnsiTheme="majorHAnsi" w:cstheme="majorBidi"/>
          <w:sz w:val="23"/>
          <w:szCs w:val="23"/>
        </w:rPr>
        <w:t>-</w:t>
      </w:r>
      <w:r w:rsidRPr="359636AC">
        <w:rPr>
          <w:rFonts w:asciiTheme="majorHAnsi" w:hAnsiTheme="majorHAnsi" w:cstheme="majorBidi"/>
          <w:sz w:val="23"/>
          <w:szCs w:val="23"/>
        </w:rPr>
        <w:t>government interventions (see</w:t>
      </w:r>
      <w:r>
        <w:rPr>
          <w:rFonts w:asciiTheme="majorHAnsi" w:hAnsiTheme="majorHAnsi" w:cstheme="majorBidi"/>
          <w:sz w:val="23"/>
          <w:szCs w:val="23"/>
        </w:rPr>
        <w:t xml:space="preserve"> </w:t>
      </w:r>
      <w:r>
        <w:rPr>
          <w:rFonts w:asciiTheme="majorHAnsi" w:hAnsiTheme="majorHAnsi" w:cstheme="majorBidi"/>
          <w:noProof/>
          <w:sz w:val="23"/>
          <w:szCs w:val="23"/>
        </w:rPr>
        <w:t>Australian Social Inclusion Board, 2010</w:t>
      </w:r>
      <w:r w:rsidRPr="359636AC">
        <w:rPr>
          <w:rFonts w:asciiTheme="majorHAnsi" w:hAnsiTheme="majorHAnsi" w:cstheme="majorBidi"/>
          <w:sz w:val="23"/>
          <w:szCs w:val="23"/>
        </w:rPr>
        <w:t xml:space="preserve">).  </w:t>
      </w:r>
    </w:p>
    <w:p w14:paraId="0B2CFB53" w14:textId="77777777" w:rsidR="00F00E3D" w:rsidRPr="006B0E23" w:rsidRDefault="00F00E3D" w:rsidP="009B2FA7">
      <w:pPr>
        <w:tabs>
          <w:tab w:val="left" w:pos="0"/>
        </w:tabs>
        <w:spacing w:after="0" w:line="276" w:lineRule="auto"/>
        <w:rPr>
          <w:rFonts w:cstheme="minorHAnsi"/>
          <w:b/>
          <w:bCs/>
          <w:color w:val="2E74B5" w:themeColor="accent5" w:themeShade="BF"/>
          <w:sz w:val="25"/>
          <w:szCs w:val="25"/>
        </w:rPr>
      </w:pPr>
      <w:r w:rsidRPr="006B0E23">
        <w:rPr>
          <w:rFonts w:cstheme="minorHAnsi"/>
          <w:b/>
          <w:bCs/>
          <w:color w:val="2E74B5" w:themeColor="accent5" w:themeShade="BF"/>
          <w:sz w:val="25"/>
          <w:szCs w:val="25"/>
        </w:rPr>
        <w:t>1.2.5 Social Polarisation and Spatial Disadvantage</w:t>
      </w:r>
    </w:p>
    <w:p w14:paraId="57B253FA" w14:textId="77777777" w:rsidR="00F00E3D" w:rsidRPr="00D256CF" w:rsidRDefault="00F00E3D" w:rsidP="009B2FA7">
      <w:pPr>
        <w:tabs>
          <w:tab w:val="left" w:pos="0"/>
        </w:tabs>
        <w:spacing w:after="0" w:line="276" w:lineRule="auto"/>
        <w:rPr>
          <w:rFonts w:asciiTheme="majorHAnsi" w:hAnsiTheme="majorHAnsi" w:cstheme="majorHAnsi"/>
          <w:sz w:val="16"/>
          <w:szCs w:val="16"/>
        </w:rPr>
      </w:pPr>
    </w:p>
    <w:p w14:paraId="3F474478" w14:textId="76078312" w:rsidR="00F00E3D" w:rsidRDefault="00F00E3D" w:rsidP="009B2FA7">
      <w:pPr>
        <w:tabs>
          <w:tab w:val="left" w:pos="0"/>
        </w:tabs>
        <w:spacing w:after="0" w:line="276" w:lineRule="auto"/>
        <w:rPr>
          <w:rFonts w:asciiTheme="majorHAnsi" w:hAnsiTheme="majorHAnsi" w:cstheme="majorHAnsi"/>
          <w:sz w:val="23"/>
          <w:szCs w:val="23"/>
        </w:rPr>
      </w:pPr>
      <w:r w:rsidRPr="00DA4326">
        <w:rPr>
          <w:rFonts w:asciiTheme="majorHAnsi" w:hAnsiTheme="majorHAnsi" w:cstheme="majorHAnsi"/>
          <w:sz w:val="23"/>
          <w:szCs w:val="23"/>
        </w:rPr>
        <w:t xml:space="preserve">While the Social Inclusion framework focused on </w:t>
      </w:r>
      <w:r>
        <w:rPr>
          <w:rFonts w:asciiTheme="majorHAnsi" w:hAnsiTheme="majorHAnsi" w:cstheme="majorHAnsi"/>
          <w:sz w:val="23"/>
          <w:szCs w:val="23"/>
        </w:rPr>
        <w:t>multiple</w:t>
      </w:r>
      <w:r w:rsidRPr="00DA4326">
        <w:rPr>
          <w:rFonts w:asciiTheme="majorHAnsi" w:hAnsiTheme="majorHAnsi" w:cstheme="majorHAnsi"/>
          <w:sz w:val="23"/>
          <w:szCs w:val="23"/>
        </w:rPr>
        <w:t xml:space="preserve"> elements of disadvantage, related approaches focus on</w:t>
      </w:r>
      <w:r>
        <w:rPr>
          <w:rFonts w:asciiTheme="majorHAnsi" w:hAnsiTheme="majorHAnsi" w:cstheme="majorHAnsi"/>
          <w:sz w:val="23"/>
          <w:szCs w:val="23"/>
        </w:rPr>
        <w:t xml:space="preserve"> some</w:t>
      </w:r>
      <w:r w:rsidRPr="00DA4326">
        <w:rPr>
          <w:rFonts w:asciiTheme="majorHAnsi" w:hAnsiTheme="majorHAnsi" w:cstheme="majorHAnsi"/>
          <w:sz w:val="23"/>
          <w:szCs w:val="23"/>
        </w:rPr>
        <w:t xml:space="preserve"> key domains</w:t>
      </w:r>
      <w:r>
        <w:rPr>
          <w:rFonts w:asciiTheme="majorHAnsi" w:hAnsiTheme="majorHAnsi" w:cstheme="majorHAnsi"/>
          <w:sz w:val="23"/>
          <w:szCs w:val="23"/>
        </w:rPr>
        <w:t xml:space="preserve"> –</w:t>
      </w:r>
      <w:r w:rsidRPr="00DA4326">
        <w:rPr>
          <w:rFonts w:asciiTheme="majorHAnsi" w:hAnsiTheme="majorHAnsi" w:cstheme="majorHAnsi"/>
          <w:sz w:val="23"/>
          <w:szCs w:val="23"/>
        </w:rPr>
        <w:t xml:space="preserve"> </w:t>
      </w:r>
      <w:r>
        <w:rPr>
          <w:rFonts w:asciiTheme="majorHAnsi" w:hAnsiTheme="majorHAnsi" w:cstheme="majorHAnsi"/>
          <w:sz w:val="23"/>
          <w:szCs w:val="23"/>
        </w:rPr>
        <w:t>such as</w:t>
      </w:r>
      <w:r w:rsidRPr="00DA4326">
        <w:rPr>
          <w:rFonts w:asciiTheme="majorHAnsi" w:hAnsiTheme="majorHAnsi" w:cstheme="majorHAnsi"/>
          <w:sz w:val="23"/>
          <w:szCs w:val="23"/>
        </w:rPr>
        <w:t xml:space="preserve"> employment, housing</w:t>
      </w:r>
      <w:r>
        <w:rPr>
          <w:rFonts w:asciiTheme="majorHAnsi" w:hAnsiTheme="majorHAnsi" w:cstheme="majorHAnsi"/>
          <w:sz w:val="23"/>
          <w:szCs w:val="23"/>
        </w:rPr>
        <w:t xml:space="preserve">, </w:t>
      </w:r>
      <w:r w:rsidRPr="00DA4326">
        <w:rPr>
          <w:rFonts w:asciiTheme="majorHAnsi" w:hAnsiTheme="majorHAnsi" w:cstheme="majorHAnsi"/>
          <w:sz w:val="23"/>
          <w:szCs w:val="23"/>
        </w:rPr>
        <w:t>and transport</w:t>
      </w:r>
      <w:r>
        <w:rPr>
          <w:rFonts w:asciiTheme="majorHAnsi" w:hAnsiTheme="majorHAnsi" w:cstheme="majorHAnsi"/>
          <w:sz w:val="23"/>
          <w:szCs w:val="23"/>
        </w:rPr>
        <w:t xml:space="preserve"> –</w:t>
      </w:r>
      <w:r w:rsidRPr="00DA4326">
        <w:rPr>
          <w:rFonts w:asciiTheme="majorHAnsi" w:hAnsiTheme="majorHAnsi" w:cstheme="majorHAnsi"/>
          <w:sz w:val="23"/>
          <w:szCs w:val="23"/>
        </w:rPr>
        <w:t xml:space="preserve"> which singly and together produce and exacerbate socio-spatial disadvantage.</w:t>
      </w:r>
      <w:r w:rsidR="00BF1E46">
        <w:rPr>
          <w:rFonts w:asciiTheme="majorHAnsi" w:hAnsiTheme="majorHAnsi" w:cstheme="majorHAnsi"/>
          <w:sz w:val="23"/>
          <w:szCs w:val="23"/>
        </w:rPr>
        <w:t xml:space="preserve"> </w:t>
      </w:r>
      <w:r>
        <w:rPr>
          <w:rFonts w:asciiTheme="majorHAnsi" w:hAnsiTheme="majorHAnsi" w:cstheme="majorHAnsi"/>
          <w:sz w:val="23"/>
          <w:szCs w:val="23"/>
        </w:rPr>
        <w:t>I</w:t>
      </w:r>
      <w:r w:rsidRPr="00DA4326">
        <w:rPr>
          <w:rFonts w:asciiTheme="majorHAnsi" w:hAnsiTheme="majorHAnsi" w:cstheme="majorHAnsi"/>
          <w:sz w:val="23"/>
          <w:szCs w:val="23"/>
        </w:rPr>
        <w:t xml:space="preserve">n their study of Sydney in the 1980s and </w:t>
      </w:r>
      <w:r>
        <w:rPr>
          <w:rFonts w:asciiTheme="majorHAnsi" w:hAnsiTheme="majorHAnsi" w:cstheme="majorHAnsi"/>
          <w:sz w:val="23"/>
          <w:szCs w:val="23"/>
        </w:rPr>
        <w:t>19</w:t>
      </w:r>
      <w:r w:rsidRPr="00DA4326">
        <w:rPr>
          <w:rFonts w:asciiTheme="majorHAnsi" w:hAnsiTheme="majorHAnsi" w:cstheme="majorHAnsi"/>
          <w:sz w:val="23"/>
          <w:szCs w:val="23"/>
        </w:rPr>
        <w:t>90s</w:t>
      </w:r>
      <w:r>
        <w:rPr>
          <w:rFonts w:asciiTheme="majorHAnsi" w:hAnsiTheme="majorHAnsi" w:cstheme="majorHAnsi"/>
          <w:sz w:val="23"/>
          <w:szCs w:val="23"/>
        </w:rPr>
        <w:t xml:space="preserve">, </w:t>
      </w:r>
      <w:r w:rsidRPr="00DA4326">
        <w:rPr>
          <w:rFonts w:asciiTheme="majorHAnsi" w:hAnsiTheme="majorHAnsi" w:cstheme="majorHAnsi"/>
          <w:sz w:val="23"/>
          <w:szCs w:val="23"/>
        </w:rPr>
        <w:t>Murphy and Watson (1994; 1995) noted the development of an urban core</w:t>
      </w:r>
      <w:r>
        <w:rPr>
          <w:rFonts w:asciiTheme="majorHAnsi" w:hAnsiTheme="majorHAnsi" w:cstheme="majorHAnsi"/>
          <w:sz w:val="23"/>
          <w:szCs w:val="23"/>
        </w:rPr>
        <w:t xml:space="preserve">/urban </w:t>
      </w:r>
      <w:r w:rsidRPr="00DA4326">
        <w:rPr>
          <w:rFonts w:asciiTheme="majorHAnsi" w:hAnsiTheme="majorHAnsi" w:cstheme="majorHAnsi"/>
          <w:sz w:val="23"/>
          <w:szCs w:val="23"/>
        </w:rPr>
        <w:t>fringe socioeconomic divide in Australia</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They noted areas of</w:t>
      </w:r>
      <w:r w:rsidRPr="00DA4326">
        <w:rPr>
          <w:rFonts w:asciiTheme="majorHAnsi" w:hAnsiTheme="majorHAnsi" w:cstheme="majorHAnsi"/>
          <w:sz w:val="23"/>
          <w:szCs w:val="23"/>
        </w:rPr>
        <w:t xml:space="preserve"> poor labour market opportunity</w:t>
      </w:r>
      <w:r>
        <w:rPr>
          <w:rFonts w:asciiTheme="majorHAnsi" w:hAnsiTheme="majorHAnsi" w:cstheme="majorHAnsi"/>
          <w:sz w:val="23"/>
          <w:szCs w:val="23"/>
        </w:rPr>
        <w:t xml:space="preserve"> developing</w:t>
      </w:r>
      <w:r w:rsidRPr="00DA4326">
        <w:rPr>
          <w:rFonts w:asciiTheme="majorHAnsi" w:hAnsiTheme="majorHAnsi" w:cstheme="majorHAnsi"/>
          <w:sz w:val="23"/>
          <w:szCs w:val="23"/>
        </w:rPr>
        <w:t xml:space="preserve"> in outer urban </w:t>
      </w:r>
      <w:r>
        <w:rPr>
          <w:rFonts w:asciiTheme="majorHAnsi" w:hAnsiTheme="majorHAnsi" w:cstheme="majorHAnsi"/>
          <w:sz w:val="23"/>
          <w:szCs w:val="23"/>
        </w:rPr>
        <w:t>regions caused by</w:t>
      </w:r>
      <w:r w:rsidRPr="00DA4326">
        <w:rPr>
          <w:rFonts w:asciiTheme="majorHAnsi" w:hAnsiTheme="majorHAnsi" w:cstheme="majorHAnsi"/>
          <w:sz w:val="23"/>
          <w:szCs w:val="23"/>
        </w:rPr>
        <w:t xml:space="preserve"> gentrification, massive low</w:t>
      </w:r>
      <w:r>
        <w:rPr>
          <w:rFonts w:asciiTheme="majorHAnsi" w:hAnsiTheme="majorHAnsi" w:cstheme="majorHAnsi"/>
          <w:sz w:val="23"/>
          <w:szCs w:val="23"/>
        </w:rPr>
        <w:t>-</w:t>
      </w:r>
      <w:r w:rsidRPr="00DA4326">
        <w:rPr>
          <w:rFonts w:asciiTheme="majorHAnsi" w:hAnsiTheme="majorHAnsi" w:cstheme="majorHAnsi"/>
          <w:sz w:val="23"/>
          <w:szCs w:val="23"/>
        </w:rPr>
        <w:t>cost suburbanisation</w:t>
      </w:r>
      <w:r>
        <w:rPr>
          <w:rFonts w:asciiTheme="majorHAnsi" w:hAnsiTheme="majorHAnsi" w:cstheme="majorHAnsi"/>
          <w:sz w:val="23"/>
          <w:szCs w:val="23"/>
        </w:rPr>
        <w:t>,</w:t>
      </w:r>
      <w:r w:rsidRPr="00DA4326">
        <w:rPr>
          <w:rFonts w:asciiTheme="majorHAnsi" w:hAnsiTheme="majorHAnsi" w:cstheme="majorHAnsi"/>
          <w:sz w:val="23"/>
          <w:szCs w:val="23"/>
        </w:rPr>
        <w:t xml:space="preserve"> and the wind</w:t>
      </w:r>
      <w:r>
        <w:rPr>
          <w:rFonts w:asciiTheme="majorHAnsi" w:hAnsiTheme="majorHAnsi" w:cstheme="majorHAnsi"/>
          <w:sz w:val="23"/>
          <w:szCs w:val="23"/>
        </w:rPr>
        <w:t>ing</w:t>
      </w:r>
      <w:r w:rsidRPr="00DA4326">
        <w:rPr>
          <w:rFonts w:asciiTheme="majorHAnsi" w:hAnsiTheme="majorHAnsi" w:cstheme="majorHAnsi"/>
          <w:sz w:val="23"/>
          <w:szCs w:val="23"/>
        </w:rPr>
        <w:t xml:space="preserve"> down of industry.</w:t>
      </w:r>
    </w:p>
    <w:p w14:paraId="2C1A8FA7" w14:textId="77777777" w:rsidR="00F00E3D" w:rsidRPr="00663622" w:rsidRDefault="00F00E3D" w:rsidP="009B2FA7">
      <w:pPr>
        <w:tabs>
          <w:tab w:val="left" w:pos="0"/>
        </w:tabs>
        <w:spacing w:after="0" w:line="276" w:lineRule="auto"/>
        <w:rPr>
          <w:rFonts w:asciiTheme="majorHAnsi" w:hAnsiTheme="majorHAnsi" w:cstheme="majorHAnsi"/>
          <w:sz w:val="16"/>
          <w:szCs w:val="16"/>
        </w:rPr>
      </w:pPr>
    </w:p>
    <w:p w14:paraId="1205CE44" w14:textId="7ED231AE" w:rsidR="00F00E3D" w:rsidRPr="00DA4326" w:rsidRDefault="00F00E3D" w:rsidP="009B2FA7">
      <w:pPr>
        <w:tabs>
          <w:tab w:val="left" w:pos="0"/>
        </w:tabs>
        <w:spacing w:after="0" w:line="276" w:lineRule="auto"/>
        <w:rPr>
          <w:rFonts w:asciiTheme="majorHAnsi" w:hAnsiTheme="majorHAnsi" w:cstheme="majorHAnsi"/>
          <w:sz w:val="23"/>
          <w:szCs w:val="23"/>
        </w:rPr>
      </w:pPr>
      <w:r w:rsidRPr="00DA4326">
        <w:rPr>
          <w:rFonts w:asciiTheme="majorHAnsi" w:hAnsiTheme="majorHAnsi" w:cstheme="majorHAnsi"/>
          <w:sz w:val="23"/>
          <w:szCs w:val="23"/>
        </w:rPr>
        <w:t xml:space="preserve">This pattern was confirmed by Baum </w:t>
      </w:r>
      <w:r>
        <w:rPr>
          <w:rFonts w:asciiTheme="majorHAnsi" w:hAnsiTheme="majorHAnsi" w:cstheme="majorHAnsi"/>
          <w:sz w:val="23"/>
          <w:szCs w:val="23"/>
        </w:rPr>
        <w:t>and colleagues</w:t>
      </w:r>
      <w:r w:rsidRPr="00DA4326">
        <w:rPr>
          <w:rFonts w:asciiTheme="majorHAnsi" w:hAnsiTheme="majorHAnsi" w:cstheme="majorHAnsi"/>
          <w:sz w:val="23"/>
          <w:szCs w:val="23"/>
        </w:rPr>
        <w:t xml:space="preserve"> in their study of socio</w:t>
      </w:r>
      <w:r>
        <w:rPr>
          <w:rFonts w:asciiTheme="majorHAnsi" w:hAnsiTheme="majorHAnsi" w:cstheme="majorHAnsi"/>
          <w:sz w:val="23"/>
          <w:szCs w:val="23"/>
        </w:rPr>
        <w:t>-</w:t>
      </w:r>
      <w:r w:rsidRPr="00DA4326">
        <w:rPr>
          <w:rFonts w:asciiTheme="majorHAnsi" w:hAnsiTheme="majorHAnsi" w:cstheme="majorHAnsi"/>
          <w:sz w:val="23"/>
          <w:szCs w:val="23"/>
        </w:rPr>
        <w:t>spatial segregation in Australian cities</w:t>
      </w:r>
      <w:r>
        <w:rPr>
          <w:rFonts w:asciiTheme="majorHAnsi" w:hAnsiTheme="majorHAnsi" w:cstheme="majorHAnsi"/>
          <w:sz w:val="23"/>
          <w:szCs w:val="23"/>
        </w:rPr>
        <w:t xml:space="preserve"> </w:t>
      </w:r>
      <w:r>
        <w:rPr>
          <w:rFonts w:asciiTheme="majorHAnsi" w:hAnsiTheme="majorHAnsi" w:cstheme="majorHAnsi"/>
          <w:noProof/>
          <w:sz w:val="23"/>
          <w:szCs w:val="23"/>
        </w:rPr>
        <w:t>(Baum</w:t>
      </w:r>
      <w:r w:rsidR="003A1A2E">
        <w:rPr>
          <w:rFonts w:asciiTheme="majorHAnsi" w:hAnsiTheme="majorHAnsi" w:cstheme="majorHAnsi"/>
          <w:noProof/>
          <w:sz w:val="23"/>
          <w:szCs w:val="23"/>
        </w:rPr>
        <w:t xml:space="preserve"> et al.</w:t>
      </w:r>
      <w:r>
        <w:rPr>
          <w:rFonts w:asciiTheme="majorHAnsi" w:hAnsiTheme="majorHAnsi" w:cstheme="majorHAnsi"/>
          <w:noProof/>
          <w:sz w:val="23"/>
          <w:szCs w:val="23"/>
        </w:rPr>
        <w:t>, 1999)</w:t>
      </w:r>
      <w:r w:rsidRPr="00DA4326">
        <w:rPr>
          <w:rFonts w:asciiTheme="majorHAnsi" w:hAnsiTheme="majorHAnsi" w:cstheme="majorHAnsi"/>
          <w:sz w:val="23"/>
          <w:szCs w:val="23"/>
        </w:rPr>
        <w:t>. The</w:t>
      </w:r>
      <w:r>
        <w:rPr>
          <w:rFonts w:asciiTheme="majorHAnsi" w:hAnsiTheme="majorHAnsi" w:cstheme="majorHAnsi"/>
          <w:sz w:val="23"/>
          <w:szCs w:val="23"/>
        </w:rPr>
        <w:t xml:space="preserve"> researchers</w:t>
      </w:r>
      <w:r w:rsidRPr="00DA4326">
        <w:rPr>
          <w:rFonts w:asciiTheme="majorHAnsi" w:hAnsiTheme="majorHAnsi" w:cstheme="majorHAnsi"/>
          <w:sz w:val="23"/>
          <w:szCs w:val="23"/>
        </w:rPr>
        <w:t xml:space="preserve"> identified nine distinct categories of socioeconomic spatial concentration, capturing a mix of socioeconomic opportunities that ranged from </w:t>
      </w:r>
      <w:r>
        <w:rPr>
          <w:rFonts w:asciiTheme="majorHAnsi" w:hAnsiTheme="majorHAnsi" w:cstheme="majorHAnsi"/>
          <w:sz w:val="23"/>
          <w:szCs w:val="23"/>
        </w:rPr>
        <w:lastRenderedPageBreak/>
        <w:t>“</w:t>
      </w:r>
      <w:r w:rsidRPr="00DA4326">
        <w:rPr>
          <w:rFonts w:asciiTheme="majorHAnsi" w:hAnsiTheme="majorHAnsi" w:cstheme="majorHAnsi"/>
          <w:sz w:val="23"/>
          <w:szCs w:val="23"/>
        </w:rPr>
        <w:t>global economy/high opportunity</w:t>
      </w:r>
      <w:r>
        <w:rPr>
          <w:rFonts w:asciiTheme="majorHAnsi" w:hAnsiTheme="majorHAnsi" w:cstheme="majorHAnsi"/>
          <w:sz w:val="23"/>
          <w:szCs w:val="23"/>
        </w:rPr>
        <w:t>”</w:t>
      </w:r>
      <w:r w:rsidRPr="00DA4326">
        <w:rPr>
          <w:rFonts w:asciiTheme="majorHAnsi" w:hAnsiTheme="majorHAnsi" w:cstheme="majorHAnsi"/>
          <w:sz w:val="23"/>
          <w:szCs w:val="23"/>
        </w:rPr>
        <w:t xml:space="preserve"> locations near the centre of cities such as Sydney and Melbourne, to</w:t>
      </w:r>
      <w:r>
        <w:rPr>
          <w:rFonts w:asciiTheme="majorHAnsi" w:hAnsiTheme="majorHAnsi" w:cstheme="majorHAnsi"/>
          <w:sz w:val="23"/>
          <w:szCs w:val="23"/>
        </w:rPr>
        <w:t xml:space="preserve"> “</w:t>
      </w:r>
      <w:r w:rsidRPr="00DA4326">
        <w:rPr>
          <w:rFonts w:asciiTheme="majorHAnsi" w:hAnsiTheme="majorHAnsi" w:cstheme="majorHAnsi"/>
          <w:sz w:val="23"/>
          <w:szCs w:val="23"/>
        </w:rPr>
        <w:t>extremely vulnerable old manufacturing economy</w:t>
      </w:r>
      <w:r>
        <w:rPr>
          <w:rFonts w:asciiTheme="majorHAnsi" w:hAnsiTheme="majorHAnsi" w:cstheme="majorHAnsi"/>
          <w:sz w:val="23"/>
          <w:szCs w:val="23"/>
        </w:rPr>
        <w:t>”</w:t>
      </w:r>
      <w:r w:rsidRPr="00DA4326">
        <w:rPr>
          <w:rFonts w:asciiTheme="majorHAnsi" w:hAnsiTheme="majorHAnsi" w:cstheme="majorHAnsi"/>
          <w:sz w:val="23"/>
          <w:szCs w:val="23"/>
        </w:rPr>
        <w:t xml:space="preserve"> localities</w:t>
      </w:r>
      <w:r>
        <w:rPr>
          <w:rFonts w:asciiTheme="majorHAnsi" w:hAnsiTheme="majorHAnsi" w:cstheme="majorHAnsi"/>
          <w:sz w:val="23"/>
          <w:szCs w:val="23"/>
        </w:rPr>
        <w:t>,</w:t>
      </w:r>
      <w:r w:rsidRPr="00DA4326">
        <w:rPr>
          <w:rFonts w:asciiTheme="majorHAnsi" w:hAnsiTheme="majorHAnsi" w:cstheme="majorHAnsi"/>
          <w:sz w:val="23"/>
          <w:szCs w:val="23"/>
        </w:rPr>
        <w:t xml:space="preserve"> such as Sunshine in Melbourne, </w:t>
      </w:r>
      <w:r>
        <w:rPr>
          <w:rFonts w:asciiTheme="majorHAnsi" w:hAnsiTheme="majorHAnsi" w:cstheme="majorHAnsi"/>
          <w:sz w:val="23"/>
          <w:szCs w:val="23"/>
        </w:rPr>
        <w:t xml:space="preserve">and </w:t>
      </w:r>
      <w:r w:rsidRPr="00DA4326">
        <w:rPr>
          <w:rFonts w:asciiTheme="majorHAnsi" w:hAnsiTheme="majorHAnsi" w:cstheme="majorHAnsi"/>
          <w:sz w:val="23"/>
          <w:szCs w:val="23"/>
        </w:rPr>
        <w:t>Elizabeth in Adelaide</w:t>
      </w:r>
      <w:r>
        <w:rPr>
          <w:rFonts w:asciiTheme="majorHAnsi" w:hAnsiTheme="majorHAnsi" w:cstheme="majorHAnsi"/>
          <w:sz w:val="23"/>
          <w:szCs w:val="23"/>
        </w:rPr>
        <w:t xml:space="preserve"> –</w:t>
      </w:r>
      <w:r w:rsidRPr="00DA4326">
        <w:rPr>
          <w:rFonts w:asciiTheme="majorHAnsi" w:hAnsiTheme="majorHAnsi" w:cstheme="majorHAnsi"/>
          <w:sz w:val="23"/>
          <w:szCs w:val="23"/>
        </w:rPr>
        <w:t xml:space="preserve"> and</w:t>
      </w:r>
      <w:r>
        <w:rPr>
          <w:rFonts w:asciiTheme="majorHAnsi" w:hAnsiTheme="majorHAnsi" w:cstheme="majorHAnsi"/>
          <w:sz w:val="23"/>
          <w:szCs w:val="23"/>
        </w:rPr>
        <w:t>,</w:t>
      </w:r>
      <w:r w:rsidRPr="00DA4326">
        <w:rPr>
          <w:rFonts w:asciiTheme="majorHAnsi" w:hAnsiTheme="majorHAnsi" w:cstheme="majorHAnsi"/>
          <w:sz w:val="23"/>
          <w:szCs w:val="23"/>
        </w:rPr>
        <w:t xml:space="preserve"> one could add</w:t>
      </w:r>
      <w:r>
        <w:rPr>
          <w:rFonts w:asciiTheme="majorHAnsi" w:hAnsiTheme="majorHAnsi" w:cstheme="majorHAnsi"/>
          <w:sz w:val="23"/>
          <w:szCs w:val="23"/>
        </w:rPr>
        <w:t>,</w:t>
      </w:r>
      <w:r w:rsidRPr="00DA4326">
        <w:rPr>
          <w:rFonts w:asciiTheme="majorHAnsi" w:hAnsiTheme="majorHAnsi" w:cstheme="majorHAnsi"/>
          <w:sz w:val="23"/>
          <w:szCs w:val="23"/>
        </w:rPr>
        <w:t xml:space="preserve"> Corio and Norlane in Geelong</w:t>
      </w:r>
      <w:r>
        <w:rPr>
          <w:rFonts w:asciiTheme="majorHAnsi" w:hAnsiTheme="majorHAnsi" w:cstheme="majorHAnsi"/>
          <w:sz w:val="23"/>
          <w:szCs w:val="23"/>
        </w:rPr>
        <w:t xml:space="preserve"> </w:t>
      </w:r>
      <w:r>
        <w:rPr>
          <w:rFonts w:asciiTheme="majorHAnsi" w:hAnsiTheme="majorHAnsi" w:cstheme="majorHAnsi"/>
          <w:noProof/>
          <w:sz w:val="23"/>
          <w:szCs w:val="23"/>
        </w:rPr>
        <w:t>(Baum et al., 1999; Dodson, Gleeson, &amp; Sipe, 2004)</w:t>
      </w:r>
      <w:r w:rsidRPr="00DA4326">
        <w:rPr>
          <w:rFonts w:asciiTheme="majorHAnsi" w:hAnsiTheme="majorHAnsi" w:cstheme="majorHAnsi"/>
          <w:sz w:val="23"/>
          <w:szCs w:val="23"/>
        </w:rPr>
        <w:t xml:space="preserve">. </w:t>
      </w:r>
    </w:p>
    <w:p w14:paraId="03C6BCF5" w14:textId="77777777" w:rsidR="00F00E3D" w:rsidRPr="00D256CF" w:rsidRDefault="00F00E3D" w:rsidP="009B2FA7">
      <w:pPr>
        <w:tabs>
          <w:tab w:val="left" w:pos="0"/>
        </w:tabs>
        <w:spacing w:after="0" w:line="276" w:lineRule="auto"/>
        <w:rPr>
          <w:rFonts w:asciiTheme="majorHAnsi" w:hAnsiTheme="majorHAnsi" w:cstheme="majorHAnsi"/>
          <w:sz w:val="16"/>
          <w:szCs w:val="16"/>
        </w:rPr>
      </w:pPr>
    </w:p>
    <w:p w14:paraId="7A4BA398" w14:textId="77777777" w:rsidR="00F00E3D" w:rsidRDefault="00F00E3D" w:rsidP="009B2FA7">
      <w:pPr>
        <w:spacing w:after="0" w:line="276" w:lineRule="auto"/>
        <w:rPr>
          <w:rFonts w:asciiTheme="majorHAnsi" w:hAnsiTheme="majorHAnsi" w:cstheme="majorBidi"/>
          <w:sz w:val="23"/>
          <w:szCs w:val="23"/>
        </w:rPr>
      </w:pPr>
      <w:r>
        <w:rPr>
          <w:rFonts w:asciiTheme="majorHAnsi" w:hAnsiTheme="majorHAnsi" w:cstheme="majorBidi"/>
          <w:sz w:val="23"/>
          <w:szCs w:val="23"/>
        </w:rPr>
        <w:t>These</w:t>
      </w:r>
      <w:r w:rsidRPr="2B116086">
        <w:rPr>
          <w:rFonts w:asciiTheme="majorHAnsi" w:hAnsiTheme="majorHAnsi" w:cstheme="majorBidi"/>
          <w:sz w:val="23"/>
          <w:szCs w:val="23"/>
        </w:rPr>
        <w:t xml:space="preserve"> patterns are often exacerbated by the operation of the housing market. Wulff and Evans’ research on Melbourne showed that households receiving Commonwealth Rent Assistance were concentrated either in inner-city suburbs replete with public housing, or in declining outer</w:t>
      </w:r>
      <w:r>
        <w:rPr>
          <w:rFonts w:asciiTheme="majorHAnsi" w:hAnsiTheme="majorHAnsi" w:cstheme="majorBidi"/>
          <w:sz w:val="23"/>
          <w:szCs w:val="23"/>
        </w:rPr>
        <w:t>-</w:t>
      </w:r>
      <w:r w:rsidRPr="2B116086">
        <w:rPr>
          <w:rFonts w:asciiTheme="majorHAnsi" w:hAnsiTheme="majorHAnsi" w:cstheme="majorBidi"/>
          <w:sz w:val="23"/>
          <w:szCs w:val="23"/>
        </w:rPr>
        <w:t xml:space="preserve">suburban industrial areas, such as Sunshine or Dandenong </w:t>
      </w:r>
      <w:r>
        <w:rPr>
          <w:rFonts w:asciiTheme="majorHAnsi" w:hAnsiTheme="majorHAnsi" w:cstheme="majorBidi"/>
          <w:noProof/>
          <w:sz w:val="23"/>
          <w:szCs w:val="23"/>
        </w:rPr>
        <w:t>(Wulff &amp; Evans, 1999)</w:t>
      </w:r>
      <w:r w:rsidRPr="2B116086">
        <w:rPr>
          <w:rFonts w:asciiTheme="majorHAnsi" w:hAnsiTheme="majorHAnsi" w:cstheme="majorBidi"/>
          <w:sz w:val="23"/>
          <w:szCs w:val="23"/>
        </w:rPr>
        <w:t xml:space="preserve">. </w:t>
      </w:r>
      <w:r>
        <w:rPr>
          <w:rFonts w:asciiTheme="majorHAnsi" w:hAnsiTheme="majorHAnsi" w:cstheme="majorBidi"/>
          <w:sz w:val="23"/>
          <w:szCs w:val="23"/>
        </w:rPr>
        <w:t>This</w:t>
      </w:r>
      <w:r w:rsidRPr="2B116086">
        <w:rPr>
          <w:rFonts w:asciiTheme="majorHAnsi" w:hAnsiTheme="majorHAnsi" w:cstheme="majorBidi"/>
          <w:sz w:val="23"/>
          <w:szCs w:val="23"/>
        </w:rPr>
        <w:t xml:space="preserve"> pattern of inner</w:t>
      </w:r>
      <w:r>
        <w:rPr>
          <w:rFonts w:asciiTheme="majorHAnsi" w:hAnsiTheme="majorHAnsi" w:cstheme="majorBidi"/>
          <w:sz w:val="23"/>
          <w:szCs w:val="23"/>
        </w:rPr>
        <w:t>-</w:t>
      </w:r>
      <w:r w:rsidRPr="2B116086">
        <w:rPr>
          <w:rFonts w:asciiTheme="majorHAnsi" w:hAnsiTheme="majorHAnsi" w:cstheme="majorBidi"/>
          <w:sz w:val="23"/>
          <w:szCs w:val="23"/>
        </w:rPr>
        <w:t xml:space="preserve">city gentrification and the suburbanisation of poverty was confirmed by Randolph and Tice </w:t>
      </w:r>
      <w:r>
        <w:rPr>
          <w:rFonts w:asciiTheme="majorHAnsi" w:hAnsiTheme="majorHAnsi" w:cstheme="majorBidi"/>
          <w:noProof/>
          <w:sz w:val="23"/>
          <w:szCs w:val="23"/>
        </w:rPr>
        <w:t>(2014)</w:t>
      </w:r>
      <w:r w:rsidRPr="2B116086">
        <w:rPr>
          <w:rFonts w:asciiTheme="majorHAnsi" w:hAnsiTheme="majorHAnsi" w:cstheme="majorBidi"/>
          <w:sz w:val="23"/>
          <w:szCs w:val="23"/>
        </w:rPr>
        <w:t xml:space="preserve">. Similar spatially exclusionary patterns arising from housing market processes were also found </w:t>
      </w:r>
      <w:r>
        <w:rPr>
          <w:rFonts w:asciiTheme="majorHAnsi" w:hAnsiTheme="majorHAnsi" w:cstheme="majorBidi"/>
          <w:sz w:val="23"/>
          <w:szCs w:val="23"/>
        </w:rPr>
        <w:t>in Melbourne</w:t>
      </w:r>
      <w:r w:rsidRPr="2B116086">
        <w:rPr>
          <w:rFonts w:asciiTheme="majorHAnsi" w:hAnsiTheme="majorHAnsi" w:cstheme="majorBidi"/>
          <w:sz w:val="23"/>
          <w:szCs w:val="23"/>
        </w:rPr>
        <w:t xml:space="preserve"> by Burke and Hayward </w:t>
      </w:r>
      <w:r>
        <w:rPr>
          <w:rFonts w:asciiTheme="majorHAnsi" w:hAnsiTheme="majorHAnsi" w:cstheme="majorBidi"/>
          <w:noProof/>
          <w:sz w:val="23"/>
          <w:szCs w:val="23"/>
        </w:rPr>
        <w:t>(2001)</w:t>
      </w:r>
      <w:r>
        <w:rPr>
          <w:rFonts w:asciiTheme="majorHAnsi" w:hAnsiTheme="majorHAnsi" w:cstheme="majorBidi"/>
          <w:sz w:val="23"/>
          <w:szCs w:val="23"/>
        </w:rPr>
        <w:t>,</w:t>
      </w:r>
      <w:r w:rsidRPr="2B116086">
        <w:rPr>
          <w:rFonts w:asciiTheme="majorHAnsi" w:hAnsiTheme="majorHAnsi" w:cstheme="majorBidi"/>
          <w:sz w:val="23"/>
          <w:szCs w:val="23"/>
        </w:rPr>
        <w:t xml:space="preserve"> and across other major Australian cities by Pawson and Herath</w:t>
      </w:r>
      <w:r>
        <w:rPr>
          <w:rFonts w:asciiTheme="majorHAnsi" w:hAnsiTheme="majorHAnsi" w:cstheme="majorBidi"/>
          <w:sz w:val="23"/>
          <w:szCs w:val="23"/>
        </w:rPr>
        <w:t xml:space="preserve"> </w:t>
      </w:r>
      <w:r>
        <w:rPr>
          <w:rFonts w:asciiTheme="majorHAnsi" w:hAnsiTheme="majorHAnsi" w:cstheme="majorBidi"/>
          <w:noProof/>
          <w:sz w:val="23"/>
          <w:szCs w:val="23"/>
        </w:rPr>
        <w:t>(2015)</w:t>
      </w:r>
      <w:r w:rsidRPr="2B116086">
        <w:rPr>
          <w:rFonts w:asciiTheme="majorHAnsi" w:hAnsiTheme="majorHAnsi" w:cstheme="majorBidi"/>
          <w:sz w:val="23"/>
          <w:szCs w:val="23"/>
        </w:rPr>
        <w:t>.</w:t>
      </w:r>
    </w:p>
    <w:p w14:paraId="42CFFEF2" w14:textId="77777777" w:rsidR="00F00E3D" w:rsidRPr="008769DF" w:rsidRDefault="00F00E3D" w:rsidP="009B2FA7">
      <w:pPr>
        <w:spacing w:after="0" w:line="276" w:lineRule="auto"/>
        <w:rPr>
          <w:rFonts w:asciiTheme="majorHAnsi" w:hAnsiTheme="majorHAnsi" w:cstheme="majorBidi"/>
          <w:sz w:val="16"/>
          <w:szCs w:val="16"/>
        </w:rPr>
      </w:pPr>
    </w:p>
    <w:p w14:paraId="59A898E9" w14:textId="1908FCA9" w:rsidR="00F00E3D" w:rsidRDefault="00F00E3D" w:rsidP="00BF1E46">
      <w:pPr>
        <w:spacing w:after="0" w:line="276" w:lineRule="auto"/>
        <w:rPr>
          <w:rFonts w:asciiTheme="majorHAnsi" w:hAnsiTheme="majorHAnsi" w:cstheme="majorHAnsi"/>
          <w:sz w:val="23"/>
          <w:szCs w:val="23"/>
        </w:rPr>
      </w:pPr>
      <w:r w:rsidRPr="2B116086">
        <w:rPr>
          <w:rFonts w:asciiTheme="majorHAnsi" w:hAnsiTheme="majorHAnsi" w:cstheme="majorBidi"/>
          <w:sz w:val="23"/>
          <w:szCs w:val="23"/>
        </w:rPr>
        <w:t>The notion of “locational disadvantage” capture</w:t>
      </w:r>
      <w:r w:rsidR="000B01F0">
        <w:rPr>
          <w:rFonts w:asciiTheme="majorHAnsi" w:hAnsiTheme="majorHAnsi" w:cstheme="majorBidi"/>
          <w:sz w:val="23"/>
          <w:szCs w:val="23"/>
        </w:rPr>
        <w:t>s</w:t>
      </w:r>
      <w:r w:rsidRPr="2B116086">
        <w:rPr>
          <w:rFonts w:asciiTheme="majorHAnsi" w:hAnsiTheme="majorHAnsi" w:cstheme="majorBidi"/>
          <w:sz w:val="23"/>
          <w:szCs w:val="23"/>
        </w:rPr>
        <w:t xml:space="preserve"> these place-based inequities </w:t>
      </w:r>
      <w:r>
        <w:rPr>
          <w:rFonts w:asciiTheme="majorHAnsi" w:hAnsiTheme="majorHAnsi" w:cstheme="majorBidi"/>
          <w:noProof/>
          <w:sz w:val="23"/>
          <w:szCs w:val="23"/>
        </w:rPr>
        <w:t>(Maher, 1994)</w:t>
      </w:r>
      <w:r>
        <w:rPr>
          <w:rFonts w:asciiTheme="majorHAnsi" w:hAnsiTheme="majorHAnsi" w:cstheme="majorBidi"/>
          <w:sz w:val="23"/>
          <w:szCs w:val="23"/>
        </w:rPr>
        <w:t>.</w:t>
      </w:r>
      <w:r w:rsidRPr="2B116086">
        <w:rPr>
          <w:rFonts w:asciiTheme="majorHAnsi" w:hAnsiTheme="majorHAnsi" w:cstheme="majorBidi"/>
          <w:sz w:val="23"/>
          <w:szCs w:val="23"/>
        </w:rPr>
        <w:t xml:space="preserve"> </w:t>
      </w:r>
      <w:r>
        <w:rPr>
          <w:rFonts w:asciiTheme="majorHAnsi" w:hAnsiTheme="majorHAnsi" w:cstheme="majorBidi"/>
          <w:sz w:val="23"/>
          <w:szCs w:val="23"/>
        </w:rPr>
        <w:t>L</w:t>
      </w:r>
      <w:r w:rsidRPr="2B116086">
        <w:rPr>
          <w:rFonts w:asciiTheme="majorHAnsi" w:hAnsiTheme="majorHAnsi" w:cstheme="majorBidi"/>
          <w:sz w:val="23"/>
          <w:szCs w:val="23"/>
        </w:rPr>
        <w:t xml:space="preserve">ike the social inclusion agenda, </w:t>
      </w:r>
      <w:r>
        <w:rPr>
          <w:rFonts w:asciiTheme="majorHAnsi" w:hAnsiTheme="majorHAnsi" w:cstheme="majorBidi"/>
          <w:sz w:val="23"/>
          <w:szCs w:val="23"/>
        </w:rPr>
        <w:t xml:space="preserve">this approach </w:t>
      </w:r>
      <w:r w:rsidRPr="2B116086">
        <w:rPr>
          <w:rFonts w:asciiTheme="majorHAnsi" w:hAnsiTheme="majorHAnsi" w:cstheme="majorBidi"/>
          <w:sz w:val="23"/>
          <w:szCs w:val="23"/>
        </w:rPr>
        <w:t>directed attention to a range of social determinants and domains</w:t>
      </w:r>
      <w:r>
        <w:rPr>
          <w:rFonts w:asciiTheme="majorHAnsi" w:hAnsiTheme="majorHAnsi" w:cstheme="majorBidi"/>
          <w:sz w:val="23"/>
          <w:szCs w:val="23"/>
        </w:rPr>
        <w:t>,</w:t>
      </w:r>
      <w:r w:rsidRPr="2B116086">
        <w:rPr>
          <w:rFonts w:asciiTheme="majorHAnsi" w:hAnsiTheme="majorHAnsi" w:cstheme="majorBidi"/>
          <w:sz w:val="23"/>
          <w:szCs w:val="23"/>
        </w:rPr>
        <w:t xml:space="preserve"> including housing, health, education, political participation</w:t>
      </w:r>
      <w:r>
        <w:rPr>
          <w:rFonts w:asciiTheme="majorHAnsi" w:hAnsiTheme="majorHAnsi" w:cstheme="majorBidi"/>
          <w:sz w:val="23"/>
          <w:szCs w:val="23"/>
        </w:rPr>
        <w:t>,</w:t>
      </w:r>
      <w:r w:rsidRPr="2B116086">
        <w:rPr>
          <w:rFonts w:asciiTheme="majorHAnsi" w:hAnsiTheme="majorHAnsi" w:cstheme="majorBidi"/>
          <w:sz w:val="23"/>
          <w:szCs w:val="23"/>
        </w:rPr>
        <w:t xml:space="preserve"> </w:t>
      </w:r>
      <w:r>
        <w:rPr>
          <w:rFonts w:asciiTheme="majorHAnsi" w:hAnsiTheme="majorHAnsi" w:cstheme="majorBidi"/>
          <w:sz w:val="23"/>
          <w:szCs w:val="23"/>
        </w:rPr>
        <w:t>and</w:t>
      </w:r>
      <w:r w:rsidRPr="2B116086">
        <w:rPr>
          <w:rFonts w:asciiTheme="majorHAnsi" w:hAnsiTheme="majorHAnsi" w:cstheme="majorBidi"/>
          <w:sz w:val="23"/>
          <w:szCs w:val="23"/>
        </w:rPr>
        <w:t xml:space="preserve"> employment possibilities.</w:t>
      </w:r>
      <w:r w:rsidR="00BF1E46">
        <w:rPr>
          <w:rFonts w:asciiTheme="majorHAnsi" w:hAnsiTheme="majorHAnsi" w:cstheme="majorBidi"/>
          <w:b/>
          <w:bCs/>
          <w:sz w:val="23"/>
          <w:szCs w:val="23"/>
        </w:rPr>
        <w:t xml:space="preserve"> </w:t>
      </w:r>
      <w:r w:rsidRPr="00DA4326">
        <w:rPr>
          <w:rFonts w:asciiTheme="majorHAnsi" w:hAnsiTheme="majorHAnsi" w:cstheme="majorHAnsi"/>
          <w:sz w:val="23"/>
          <w:szCs w:val="23"/>
        </w:rPr>
        <w:t>Finally, Dodson</w:t>
      </w:r>
      <w:r>
        <w:rPr>
          <w:rFonts w:asciiTheme="majorHAnsi" w:hAnsiTheme="majorHAnsi" w:cstheme="majorHAnsi"/>
          <w:sz w:val="23"/>
          <w:szCs w:val="23"/>
        </w:rPr>
        <w:t xml:space="preserve"> et al.</w:t>
      </w:r>
      <w:r w:rsidRPr="00DA4326">
        <w:rPr>
          <w:rFonts w:asciiTheme="majorHAnsi" w:hAnsiTheme="majorHAnsi" w:cstheme="majorHAnsi"/>
          <w:sz w:val="23"/>
          <w:szCs w:val="23"/>
        </w:rPr>
        <w:t xml:space="preserve"> </w:t>
      </w:r>
      <w:r w:rsidR="006B0E23">
        <w:rPr>
          <w:rFonts w:asciiTheme="majorHAnsi" w:hAnsiTheme="majorHAnsi" w:cstheme="majorHAnsi"/>
          <w:sz w:val="23"/>
          <w:szCs w:val="23"/>
        </w:rPr>
        <w:t>c</w:t>
      </w:r>
      <w:r w:rsidRPr="00DA4326">
        <w:rPr>
          <w:rFonts w:asciiTheme="majorHAnsi" w:hAnsiTheme="majorHAnsi" w:cstheme="majorHAnsi"/>
          <w:sz w:val="23"/>
          <w:szCs w:val="23"/>
        </w:rPr>
        <w:t>onsider the role of mobility and transport systems in exacerbating or ameliorating these patterns</w:t>
      </w:r>
      <w:r>
        <w:rPr>
          <w:rFonts w:asciiTheme="majorHAnsi" w:hAnsiTheme="majorHAnsi" w:cstheme="majorHAnsi"/>
          <w:sz w:val="23"/>
          <w:szCs w:val="23"/>
        </w:rPr>
        <w:t>. They</w:t>
      </w:r>
      <w:r w:rsidRPr="00DA4326">
        <w:rPr>
          <w:rFonts w:asciiTheme="majorHAnsi" w:hAnsiTheme="majorHAnsi" w:cstheme="majorHAnsi"/>
          <w:sz w:val="23"/>
          <w:szCs w:val="23"/>
        </w:rPr>
        <w:t xml:space="preserve"> conclude:</w:t>
      </w:r>
    </w:p>
    <w:p w14:paraId="08D1B0B2" w14:textId="77777777" w:rsidR="00741FC8" w:rsidRPr="00741FC8" w:rsidRDefault="00741FC8" w:rsidP="00BF1E46">
      <w:pPr>
        <w:spacing w:after="0" w:line="276" w:lineRule="auto"/>
        <w:rPr>
          <w:rFonts w:asciiTheme="majorHAnsi" w:hAnsiTheme="majorHAnsi" w:cstheme="majorBidi"/>
          <w:b/>
          <w:bCs/>
          <w:sz w:val="8"/>
          <w:szCs w:val="8"/>
        </w:rPr>
      </w:pPr>
    </w:p>
    <w:p w14:paraId="33FEFCDC" w14:textId="77777777" w:rsidR="00F00E3D" w:rsidRPr="00DA4326" w:rsidRDefault="00F00E3D" w:rsidP="009B2FA7">
      <w:pPr>
        <w:spacing w:line="276" w:lineRule="auto"/>
        <w:ind w:left="720"/>
        <w:rPr>
          <w:rFonts w:asciiTheme="majorHAnsi" w:hAnsiTheme="majorHAnsi" w:cstheme="majorHAnsi"/>
          <w:sz w:val="23"/>
          <w:szCs w:val="23"/>
        </w:rPr>
      </w:pPr>
      <w:r w:rsidRPr="00DA4326">
        <w:rPr>
          <w:rFonts w:asciiTheme="majorHAnsi" w:hAnsiTheme="majorHAnsi" w:cstheme="majorHAnsi"/>
          <w:sz w:val="23"/>
          <w:szCs w:val="23"/>
        </w:rPr>
        <w:t>Transportation systems have a role in mediating these dynamics. Access to motor vehicles, or adequate public transport can help socioeconomically disadvantaged households to overcome their situation, but similarly, poor public transport, or an excessive financial burden of vehicle ownership can restrict opportunities (</w:t>
      </w:r>
      <w:r>
        <w:rPr>
          <w:rFonts w:asciiTheme="majorHAnsi" w:hAnsiTheme="majorHAnsi" w:cstheme="majorHAnsi"/>
          <w:sz w:val="23"/>
          <w:szCs w:val="23"/>
        </w:rPr>
        <w:t xml:space="preserve">Dodson et al., </w:t>
      </w:r>
      <w:r w:rsidRPr="00DA4326">
        <w:rPr>
          <w:rFonts w:asciiTheme="majorHAnsi" w:hAnsiTheme="majorHAnsi" w:cstheme="majorHAnsi"/>
          <w:sz w:val="23"/>
          <w:szCs w:val="23"/>
        </w:rPr>
        <w:t>2004: 48).</w:t>
      </w:r>
    </w:p>
    <w:p w14:paraId="58375212" w14:textId="77777777" w:rsidR="00F00E3D" w:rsidRPr="006B0E23" w:rsidRDefault="00F00E3D" w:rsidP="009B2FA7">
      <w:pPr>
        <w:spacing w:line="276" w:lineRule="auto"/>
        <w:rPr>
          <w:rFonts w:cstheme="minorHAnsi"/>
          <w:b/>
          <w:bCs/>
          <w:color w:val="2E74B5" w:themeColor="accent5" w:themeShade="BF"/>
          <w:sz w:val="25"/>
          <w:szCs w:val="25"/>
        </w:rPr>
      </w:pPr>
      <w:r w:rsidRPr="006B0E23">
        <w:rPr>
          <w:rFonts w:cstheme="minorHAnsi"/>
          <w:b/>
          <w:bCs/>
          <w:color w:val="2E74B5" w:themeColor="accent5" w:themeShade="BF"/>
          <w:sz w:val="25"/>
          <w:szCs w:val="25"/>
        </w:rPr>
        <w:t>1.3 Conclusion</w:t>
      </w:r>
    </w:p>
    <w:p w14:paraId="5D5467AF" w14:textId="77777777" w:rsidR="00F00E3D" w:rsidRDefault="00F00E3D" w:rsidP="009B2FA7">
      <w:pPr>
        <w:spacing w:line="276" w:lineRule="auto"/>
        <w:rPr>
          <w:rFonts w:asciiTheme="majorHAnsi" w:hAnsiTheme="majorHAnsi" w:cstheme="majorBidi"/>
          <w:sz w:val="23"/>
          <w:szCs w:val="23"/>
        </w:rPr>
      </w:pPr>
      <w:r>
        <w:rPr>
          <w:rFonts w:asciiTheme="majorHAnsi" w:hAnsiTheme="majorHAnsi" w:cstheme="majorBidi"/>
          <w:sz w:val="23"/>
          <w:szCs w:val="23"/>
        </w:rPr>
        <w:t>There is an</w:t>
      </w:r>
      <w:r w:rsidRPr="2B116086">
        <w:rPr>
          <w:rFonts w:asciiTheme="majorHAnsi" w:hAnsiTheme="majorHAnsi" w:cstheme="majorBidi"/>
          <w:sz w:val="23"/>
          <w:szCs w:val="23"/>
        </w:rPr>
        <w:t xml:space="preserve"> array of possible theoretical frameworks </w:t>
      </w:r>
      <w:r>
        <w:rPr>
          <w:rFonts w:asciiTheme="majorHAnsi" w:hAnsiTheme="majorHAnsi" w:cstheme="majorBidi"/>
          <w:sz w:val="23"/>
          <w:szCs w:val="23"/>
        </w:rPr>
        <w:t>for</w:t>
      </w:r>
      <w:r w:rsidRPr="2B116086">
        <w:rPr>
          <w:rFonts w:asciiTheme="majorHAnsi" w:hAnsiTheme="majorHAnsi" w:cstheme="majorBidi"/>
          <w:sz w:val="23"/>
          <w:szCs w:val="23"/>
        </w:rPr>
        <w:t xml:space="preserve"> consider</w:t>
      </w:r>
      <w:r>
        <w:rPr>
          <w:rFonts w:asciiTheme="majorHAnsi" w:hAnsiTheme="majorHAnsi" w:cstheme="majorBidi"/>
          <w:sz w:val="23"/>
          <w:szCs w:val="23"/>
        </w:rPr>
        <w:t>ing</w:t>
      </w:r>
      <w:r w:rsidRPr="2B116086">
        <w:rPr>
          <w:rFonts w:asciiTheme="majorHAnsi" w:hAnsiTheme="majorHAnsi" w:cstheme="majorBidi"/>
          <w:sz w:val="23"/>
          <w:szCs w:val="23"/>
        </w:rPr>
        <w:t xml:space="preserve"> social and spatial disadvantage. </w:t>
      </w:r>
      <w:r>
        <w:rPr>
          <w:rFonts w:asciiTheme="majorHAnsi" w:hAnsiTheme="majorHAnsi" w:cstheme="majorBidi"/>
          <w:sz w:val="23"/>
          <w:szCs w:val="23"/>
        </w:rPr>
        <w:t>In brief, t</w:t>
      </w:r>
      <w:r w:rsidRPr="2B116086">
        <w:rPr>
          <w:rFonts w:asciiTheme="majorHAnsi" w:hAnsiTheme="majorHAnsi" w:cstheme="majorBidi"/>
          <w:sz w:val="23"/>
          <w:szCs w:val="23"/>
        </w:rPr>
        <w:t xml:space="preserve">he </w:t>
      </w:r>
      <w:r>
        <w:rPr>
          <w:rFonts w:asciiTheme="majorHAnsi" w:hAnsiTheme="majorHAnsi" w:cstheme="majorBidi"/>
          <w:sz w:val="23"/>
          <w:szCs w:val="23"/>
        </w:rPr>
        <w:t>P</w:t>
      </w:r>
      <w:r w:rsidRPr="2B116086">
        <w:rPr>
          <w:rFonts w:asciiTheme="majorHAnsi" w:hAnsiTheme="majorHAnsi" w:cstheme="majorBidi"/>
          <w:sz w:val="23"/>
          <w:szCs w:val="23"/>
        </w:rPr>
        <w:t xml:space="preserve">olitical </w:t>
      </w:r>
      <w:r>
        <w:rPr>
          <w:rFonts w:asciiTheme="majorHAnsi" w:hAnsiTheme="majorHAnsi" w:cstheme="majorBidi"/>
          <w:sz w:val="23"/>
          <w:szCs w:val="23"/>
        </w:rPr>
        <w:t>E</w:t>
      </w:r>
      <w:r w:rsidRPr="2B116086">
        <w:rPr>
          <w:rFonts w:asciiTheme="majorHAnsi" w:hAnsiTheme="majorHAnsi" w:cstheme="majorBidi"/>
          <w:sz w:val="23"/>
          <w:szCs w:val="23"/>
        </w:rPr>
        <w:t>conomy approach emphasises the structural dynamics of capitalist social relations, offering insight but limited policy options. The Community Economy approach broadens this framework and shifts the emphasis onto the complex array of social and economic relationships that sustain communit</w:t>
      </w:r>
      <w:r>
        <w:rPr>
          <w:rFonts w:asciiTheme="majorHAnsi" w:hAnsiTheme="majorHAnsi" w:cstheme="majorBidi"/>
          <w:sz w:val="23"/>
          <w:szCs w:val="23"/>
        </w:rPr>
        <w:t>ies</w:t>
      </w:r>
      <w:r w:rsidRPr="2B116086">
        <w:rPr>
          <w:rFonts w:asciiTheme="majorHAnsi" w:hAnsiTheme="majorHAnsi" w:cstheme="majorBidi"/>
          <w:sz w:val="23"/>
          <w:szCs w:val="23"/>
        </w:rPr>
        <w:t xml:space="preserve">, arguing that these comprise significant assets </w:t>
      </w:r>
      <w:r>
        <w:rPr>
          <w:rFonts w:asciiTheme="majorHAnsi" w:hAnsiTheme="majorHAnsi" w:cstheme="majorBidi"/>
          <w:sz w:val="23"/>
          <w:szCs w:val="23"/>
        </w:rPr>
        <w:t>that</w:t>
      </w:r>
      <w:r w:rsidRPr="2B116086">
        <w:rPr>
          <w:rFonts w:asciiTheme="majorHAnsi" w:hAnsiTheme="majorHAnsi" w:cstheme="majorBidi"/>
          <w:sz w:val="23"/>
          <w:szCs w:val="23"/>
        </w:rPr>
        <w:t xml:space="preserve"> can be mobilised to address disadvantage.</w:t>
      </w:r>
    </w:p>
    <w:p w14:paraId="0A1A9B0A" w14:textId="2CB9D06D" w:rsidR="00F00E3D" w:rsidRPr="00661DE7" w:rsidRDefault="00F00E3D" w:rsidP="009B2FA7">
      <w:pPr>
        <w:spacing w:line="276" w:lineRule="auto"/>
        <w:rPr>
          <w:rFonts w:asciiTheme="majorHAnsi" w:hAnsiTheme="majorHAnsi" w:cstheme="majorBidi"/>
          <w:sz w:val="23"/>
          <w:szCs w:val="23"/>
        </w:rPr>
      </w:pPr>
      <w:r w:rsidRPr="2B116086">
        <w:rPr>
          <w:rFonts w:asciiTheme="majorHAnsi" w:hAnsiTheme="majorHAnsi" w:cstheme="majorBidi"/>
          <w:sz w:val="23"/>
          <w:szCs w:val="23"/>
        </w:rPr>
        <w:t>In contrast</w:t>
      </w:r>
      <w:r>
        <w:rPr>
          <w:rFonts w:asciiTheme="majorHAnsi" w:hAnsiTheme="majorHAnsi" w:cstheme="majorBidi"/>
          <w:sz w:val="23"/>
          <w:szCs w:val="23"/>
        </w:rPr>
        <w:t>,</w:t>
      </w:r>
      <w:r w:rsidRPr="2B116086">
        <w:rPr>
          <w:rFonts w:asciiTheme="majorHAnsi" w:hAnsiTheme="majorHAnsi" w:cstheme="majorBidi"/>
          <w:sz w:val="23"/>
          <w:szCs w:val="23"/>
        </w:rPr>
        <w:t xml:space="preserve"> the Bridges out of Poverty approach </w:t>
      </w:r>
      <w:r>
        <w:rPr>
          <w:rFonts w:asciiTheme="majorHAnsi" w:hAnsiTheme="majorHAnsi" w:cstheme="majorBidi"/>
          <w:sz w:val="23"/>
          <w:szCs w:val="23"/>
        </w:rPr>
        <w:t>focuses far more on</w:t>
      </w:r>
      <w:r w:rsidRPr="2B116086">
        <w:rPr>
          <w:rFonts w:asciiTheme="majorHAnsi" w:hAnsiTheme="majorHAnsi" w:cstheme="majorBidi"/>
          <w:sz w:val="23"/>
          <w:szCs w:val="23"/>
        </w:rPr>
        <w:t xml:space="preserve"> individuals</w:t>
      </w:r>
      <w:r>
        <w:rPr>
          <w:rFonts w:asciiTheme="majorHAnsi" w:hAnsiTheme="majorHAnsi" w:cstheme="majorBidi"/>
          <w:sz w:val="23"/>
          <w:szCs w:val="23"/>
        </w:rPr>
        <w:t>,</w:t>
      </w:r>
      <w:r w:rsidRPr="2B116086">
        <w:rPr>
          <w:rFonts w:asciiTheme="majorHAnsi" w:hAnsiTheme="majorHAnsi" w:cstheme="majorBidi"/>
          <w:sz w:val="23"/>
          <w:szCs w:val="23"/>
        </w:rPr>
        <w:t xml:space="preserve"> their mindset</w:t>
      </w:r>
      <w:r>
        <w:rPr>
          <w:rFonts w:asciiTheme="majorHAnsi" w:hAnsiTheme="majorHAnsi" w:cstheme="majorBidi"/>
          <w:sz w:val="23"/>
          <w:szCs w:val="23"/>
        </w:rPr>
        <w:t>s,</w:t>
      </w:r>
      <w:r w:rsidRPr="2B116086">
        <w:rPr>
          <w:rFonts w:asciiTheme="majorHAnsi" w:hAnsiTheme="majorHAnsi" w:cstheme="majorBidi"/>
          <w:sz w:val="23"/>
          <w:szCs w:val="23"/>
        </w:rPr>
        <w:t xml:space="preserve"> </w:t>
      </w:r>
      <w:r>
        <w:rPr>
          <w:rFonts w:asciiTheme="majorHAnsi" w:hAnsiTheme="majorHAnsi" w:cstheme="majorBidi"/>
          <w:sz w:val="23"/>
          <w:szCs w:val="23"/>
        </w:rPr>
        <w:t>and</w:t>
      </w:r>
      <w:r w:rsidRPr="2B116086">
        <w:rPr>
          <w:rFonts w:asciiTheme="majorHAnsi" w:hAnsiTheme="majorHAnsi" w:cstheme="majorBidi"/>
          <w:sz w:val="23"/>
          <w:szCs w:val="23"/>
        </w:rPr>
        <w:t xml:space="preserve"> the class cultures in which they are</w:t>
      </w:r>
      <w:r>
        <w:rPr>
          <w:rFonts w:asciiTheme="majorHAnsi" w:hAnsiTheme="majorHAnsi" w:cstheme="majorBidi"/>
          <w:sz w:val="23"/>
          <w:szCs w:val="23"/>
        </w:rPr>
        <w:t xml:space="preserve"> situated</w:t>
      </w:r>
      <w:r w:rsidRPr="2B116086">
        <w:rPr>
          <w:rFonts w:asciiTheme="majorHAnsi" w:hAnsiTheme="majorHAnsi" w:cstheme="majorBidi"/>
          <w:sz w:val="23"/>
          <w:szCs w:val="23"/>
        </w:rPr>
        <w:t>,</w:t>
      </w:r>
      <w:r>
        <w:rPr>
          <w:rFonts w:asciiTheme="majorHAnsi" w:hAnsiTheme="majorHAnsi" w:cstheme="majorBidi"/>
          <w:sz w:val="23"/>
          <w:szCs w:val="23"/>
        </w:rPr>
        <w:t xml:space="preserve"> </w:t>
      </w:r>
      <w:r w:rsidRPr="2B116086">
        <w:rPr>
          <w:rFonts w:asciiTheme="majorHAnsi" w:hAnsiTheme="majorHAnsi" w:cstheme="majorBidi"/>
          <w:sz w:val="23"/>
          <w:szCs w:val="23"/>
        </w:rPr>
        <w:t>argu</w:t>
      </w:r>
      <w:r>
        <w:rPr>
          <w:rFonts w:asciiTheme="majorHAnsi" w:hAnsiTheme="majorHAnsi" w:cstheme="majorBidi"/>
          <w:sz w:val="23"/>
          <w:szCs w:val="23"/>
        </w:rPr>
        <w:t>ing</w:t>
      </w:r>
      <w:r w:rsidRPr="2B116086">
        <w:rPr>
          <w:rFonts w:asciiTheme="majorHAnsi" w:hAnsiTheme="majorHAnsi" w:cstheme="majorBidi"/>
          <w:sz w:val="23"/>
          <w:szCs w:val="23"/>
        </w:rPr>
        <w:t xml:space="preserve"> that </w:t>
      </w:r>
      <w:r>
        <w:rPr>
          <w:rFonts w:asciiTheme="majorHAnsi" w:hAnsiTheme="majorHAnsi" w:cstheme="majorBidi"/>
          <w:sz w:val="23"/>
          <w:szCs w:val="23"/>
        </w:rPr>
        <w:t>altering these through</w:t>
      </w:r>
      <w:r w:rsidRPr="2B116086">
        <w:rPr>
          <w:rFonts w:asciiTheme="majorHAnsi" w:hAnsiTheme="majorHAnsi" w:cstheme="majorBidi"/>
          <w:sz w:val="23"/>
          <w:szCs w:val="23"/>
        </w:rPr>
        <w:t xml:space="preserve"> education, training</w:t>
      </w:r>
      <w:r>
        <w:rPr>
          <w:rFonts w:asciiTheme="majorHAnsi" w:hAnsiTheme="majorHAnsi" w:cstheme="majorBidi"/>
          <w:sz w:val="23"/>
          <w:szCs w:val="23"/>
        </w:rPr>
        <w:t>,</w:t>
      </w:r>
      <w:r w:rsidRPr="2B116086">
        <w:rPr>
          <w:rFonts w:asciiTheme="majorHAnsi" w:hAnsiTheme="majorHAnsi" w:cstheme="majorBidi"/>
          <w:sz w:val="23"/>
          <w:szCs w:val="23"/>
        </w:rPr>
        <w:t xml:space="preserve"> and rethinking is critical </w:t>
      </w:r>
      <w:r>
        <w:rPr>
          <w:rFonts w:asciiTheme="majorHAnsi" w:hAnsiTheme="majorHAnsi" w:cstheme="majorBidi"/>
          <w:sz w:val="23"/>
          <w:szCs w:val="23"/>
        </w:rPr>
        <w:t>to</w:t>
      </w:r>
      <w:r w:rsidRPr="2B116086">
        <w:rPr>
          <w:rFonts w:asciiTheme="majorHAnsi" w:hAnsiTheme="majorHAnsi" w:cstheme="majorBidi"/>
          <w:sz w:val="23"/>
          <w:szCs w:val="23"/>
        </w:rPr>
        <w:t xml:space="preserve"> social mobility and inclusion. Finally, </w:t>
      </w:r>
      <w:r>
        <w:rPr>
          <w:rFonts w:asciiTheme="majorHAnsi" w:hAnsiTheme="majorHAnsi" w:cstheme="majorBidi"/>
          <w:sz w:val="23"/>
          <w:szCs w:val="23"/>
        </w:rPr>
        <w:t>some frameworks</w:t>
      </w:r>
      <w:r w:rsidRPr="2B116086">
        <w:rPr>
          <w:rFonts w:asciiTheme="majorHAnsi" w:hAnsiTheme="majorHAnsi" w:cstheme="majorBidi"/>
          <w:sz w:val="23"/>
          <w:szCs w:val="23"/>
        </w:rPr>
        <w:t xml:space="preserve"> conceptualise the city </w:t>
      </w:r>
      <w:r w:rsidRPr="00661DE7">
        <w:rPr>
          <w:rFonts w:asciiTheme="majorHAnsi" w:hAnsiTheme="majorHAnsi" w:cstheme="majorBidi"/>
          <w:sz w:val="23"/>
          <w:szCs w:val="23"/>
        </w:rPr>
        <w:t>itself as a system, one that is regularly reordered by the operation of the property and labour markets, and where the distribution of social and physical infrastructure, including transport, exacerbate social disadvantage.</w:t>
      </w:r>
      <w:r w:rsidRPr="00661DE7">
        <w:rPr>
          <w:rFonts w:asciiTheme="majorHAnsi" w:hAnsiTheme="majorHAnsi" w:cstheme="majorHAnsi"/>
          <w:sz w:val="23"/>
          <w:szCs w:val="23"/>
        </w:rPr>
        <w:t xml:space="preserve"> Table 1</w:t>
      </w:r>
      <w:r w:rsidR="00BF1E46" w:rsidRPr="00661DE7">
        <w:rPr>
          <w:rFonts w:asciiTheme="majorHAnsi" w:hAnsiTheme="majorHAnsi" w:cstheme="majorHAnsi"/>
          <w:sz w:val="23"/>
          <w:szCs w:val="23"/>
        </w:rPr>
        <w:t>.1</w:t>
      </w:r>
      <w:r w:rsidRPr="00661DE7">
        <w:rPr>
          <w:rFonts w:asciiTheme="majorHAnsi" w:hAnsiTheme="majorHAnsi" w:cstheme="majorHAnsi"/>
          <w:sz w:val="23"/>
          <w:szCs w:val="23"/>
        </w:rPr>
        <w:t xml:space="preserve"> (below) summarises these positions and their policy implications.</w:t>
      </w:r>
    </w:p>
    <w:p w14:paraId="39BA88C7" w14:textId="2ED31A9B" w:rsidR="00F00E3D" w:rsidRDefault="00F00E3D" w:rsidP="009B2FA7">
      <w:pPr>
        <w:spacing w:line="276" w:lineRule="auto"/>
        <w:rPr>
          <w:rFonts w:asciiTheme="majorHAnsi" w:hAnsiTheme="majorHAnsi" w:cstheme="majorHAnsi"/>
          <w:sz w:val="23"/>
          <w:szCs w:val="23"/>
        </w:rPr>
      </w:pPr>
      <w:r w:rsidRPr="00661DE7">
        <w:rPr>
          <w:rFonts w:asciiTheme="majorHAnsi" w:hAnsiTheme="majorHAnsi" w:cstheme="majorHAnsi"/>
          <w:sz w:val="23"/>
          <w:szCs w:val="23"/>
        </w:rPr>
        <w:t>While it is not the task of this research</w:t>
      </w:r>
      <w:r w:rsidRPr="00DA4326">
        <w:rPr>
          <w:rFonts w:asciiTheme="majorHAnsi" w:hAnsiTheme="majorHAnsi" w:cstheme="majorHAnsi"/>
          <w:sz w:val="23"/>
          <w:szCs w:val="23"/>
        </w:rPr>
        <w:t xml:space="preserve"> project to choose a framework in which</w:t>
      </w:r>
      <w:r>
        <w:rPr>
          <w:rFonts w:asciiTheme="majorHAnsi" w:hAnsiTheme="majorHAnsi" w:cstheme="majorHAnsi"/>
          <w:sz w:val="23"/>
          <w:szCs w:val="23"/>
        </w:rPr>
        <w:t xml:space="preserve"> to locate</w:t>
      </w:r>
      <w:r w:rsidRPr="00DA4326">
        <w:rPr>
          <w:rFonts w:asciiTheme="majorHAnsi" w:hAnsiTheme="majorHAnsi" w:cstheme="majorHAnsi"/>
          <w:sz w:val="23"/>
          <w:szCs w:val="23"/>
        </w:rPr>
        <w:t xml:space="preserve"> policy options, the ways in which a</w:t>
      </w:r>
      <w:r>
        <w:rPr>
          <w:rFonts w:asciiTheme="majorHAnsi" w:hAnsiTheme="majorHAnsi" w:cstheme="majorHAnsi"/>
          <w:sz w:val="23"/>
          <w:szCs w:val="23"/>
        </w:rPr>
        <w:t xml:space="preserve"> </w:t>
      </w:r>
      <w:r w:rsidRPr="00DA4326">
        <w:rPr>
          <w:rFonts w:asciiTheme="majorHAnsi" w:hAnsiTheme="majorHAnsi" w:cstheme="majorHAnsi"/>
          <w:sz w:val="23"/>
          <w:szCs w:val="23"/>
        </w:rPr>
        <w:t xml:space="preserve">policy </w:t>
      </w:r>
      <w:r w:rsidR="008F7BE6">
        <w:rPr>
          <w:rFonts w:asciiTheme="majorHAnsi" w:hAnsiTheme="majorHAnsi" w:cstheme="majorHAnsi"/>
          <w:sz w:val="23"/>
          <w:szCs w:val="23"/>
        </w:rPr>
        <w:t>impacts on existing</w:t>
      </w:r>
      <w:r w:rsidRPr="00DA4326">
        <w:rPr>
          <w:rFonts w:asciiTheme="majorHAnsi" w:hAnsiTheme="majorHAnsi" w:cstheme="majorHAnsi"/>
          <w:sz w:val="23"/>
          <w:szCs w:val="23"/>
        </w:rPr>
        <w:t xml:space="preserve"> structural </w:t>
      </w:r>
      <w:r w:rsidR="008F7BE6">
        <w:rPr>
          <w:rFonts w:asciiTheme="majorHAnsi" w:hAnsiTheme="majorHAnsi" w:cstheme="majorHAnsi"/>
          <w:sz w:val="23"/>
          <w:szCs w:val="23"/>
        </w:rPr>
        <w:t xml:space="preserve">inequalities, </w:t>
      </w:r>
      <w:r w:rsidRPr="00DA4326">
        <w:rPr>
          <w:rFonts w:asciiTheme="majorHAnsi" w:hAnsiTheme="majorHAnsi" w:cstheme="majorHAnsi"/>
          <w:sz w:val="23"/>
          <w:szCs w:val="23"/>
        </w:rPr>
        <w:t>social relations, community connections, class cultures</w:t>
      </w:r>
      <w:r>
        <w:rPr>
          <w:rFonts w:asciiTheme="majorHAnsi" w:hAnsiTheme="majorHAnsi" w:cstheme="majorHAnsi"/>
          <w:sz w:val="23"/>
          <w:szCs w:val="23"/>
        </w:rPr>
        <w:t>,</w:t>
      </w:r>
      <w:r w:rsidRPr="00DA4326">
        <w:rPr>
          <w:rFonts w:asciiTheme="majorHAnsi" w:hAnsiTheme="majorHAnsi" w:cstheme="majorHAnsi"/>
          <w:sz w:val="23"/>
          <w:szCs w:val="23"/>
        </w:rPr>
        <w:t xml:space="preserve"> </w:t>
      </w:r>
      <w:r>
        <w:rPr>
          <w:rFonts w:asciiTheme="majorHAnsi" w:hAnsiTheme="majorHAnsi" w:cstheme="majorHAnsi"/>
          <w:sz w:val="23"/>
          <w:szCs w:val="23"/>
        </w:rPr>
        <w:t xml:space="preserve">and </w:t>
      </w:r>
      <w:r w:rsidRPr="00DA4326">
        <w:rPr>
          <w:rFonts w:asciiTheme="majorHAnsi" w:hAnsiTheme="majorHAnsi" w:cstheme="majorHAnsi"/>
          <w:sz w:val="23"/>
          <w:szCs w:val="23"/>
        </w:rPr>
        <w:t xml:space="preserve">collective </w:t>
      </w:r>
      <w:r>
        <w:rPr>
          <w:rFonts w:asciiTheme="majorHAnsi" w:hAnsiTheme="majorHAnsi" w:cstheme="majorHAnsi"/>
          <w:sz w:val="23"/>
          <w:szCs w:val="23"/>
        </w:rPr>
        <w:t>or</w:t>
      </w:r>
      <w:r w:rsidRPr="00DA4326">
        <w:rPr>
          <w:rFonts w:asciiTheme="majorHAnsi" w:hAnsiTheme="majorHAnsi" w:cstheme="majorHAnsi"/>
          <w:sz w:val="23"/>
          <w:szCs w:val="23"/>
        </w:rPr>
        <w:t xml:space="preserve"> individual inclusion </w:t>
      </w:r>
      <w:r w:rsidR="008F7BE6">
        <w:rPr>
          <w:rFonts w:asciiTheme="majorHAnsi" w:hAnsiTheme="majorHAnsi" w:cstheme="majorHAnsi"/>
          <w:sz w:val="23"/>
          <w:szCs w:val="23"/>
        </w:rPr>
        <w:t xml:space="preserve">must be considered </w:t>
      </w:r>
      <w:r w:rsidR="00A11470">
        <w:rPr>
          <w:rFonts w:asciiTheme="majorHAnsi" w:hAnsiTheme="majorHAnsi" w:cstheme="majorHAnsi"/>
          <w:sz w:val="23"/>
          <w:szCs w:val="23"/>
        </w:rPr>
        <w:t>when</w:t>
      </w:r>
      <w:r w:rsidR="008F7BE6">
        <w:rPr>
          <w:rFonts w:asciiTheme="majorHAnsi" w:hAnsiTheme="majorHAnsi" w:cstheme="majorHAnsi"/>
          <w:sz w:val="23"/>
          <w:szCs w:val="23"/>
        </w:rPr>
        <w:t xml:space="preserve"> developing any </w:t>
      </w:r>
      <w:r w:rsidR="00A11470">
        <w:rPr>
          <w:rFonts w:asciiTheme="majorHAnsi" w:hAnsiTheme="majorHAnsi" w:cstheme="majorHAnsi"/>
          <w:sz w:val="23"/>
          <w:szCs w:val="23"/>
        </w:rPr>
        <w:t>strategy to</w:t>
      </w:r>
      <w:r w:rsidR="008F7BE6">
        <w:rPr>
          <w:rFonts w:asciiTheme="majorHAnsi" w:hAnsiTheme="majorHAnsi" w:cstheme="majorHAnsi"/>
          <w:sz w:val="23"/>
          <w:szCs w:val="23"/>
        </w:rPr>
        <w:t xml:space="preserve"> address</w:t>
      </w:r>
      <w:r w:rsidR="00A11470">
        <w:rPr>
          <w:rFonts w:asciiTheme="majorHAnsi" w:hAnsiTheme="majorHAnsi" w:cstheme="majorHAnsi"/>
          <w:sz w:val="23"/>
          <w:szCs w:val="23"/>
        </w:rPr>
        <w:t xml:space="preserve"> </w:t>
      </w:r>
      <w:r w:rsidR="00C92BF3">
        <w:rPr>
          <w:rFonts w:asciiTheme="majorHAnsi" w:hAnsiTheme="majorHAnsi" w:cstheme="majorHAnsi"/>
          <w:sz w:val="23"/>
          <w:szCs w:val="23"/>
        </w:rPr>
        <w:t xml:space="preserve">socioeconomic </w:t>
      </w:r>
      <w:r w:rsidR="008F7BE6">
        <w:rPr>
          <w:rFonts w:asciiTheme="majorHAnsi" w:hAnsiTheme="majorHAnsi" w:cstheme="majorHAnsi"/>
          <w:sz w:val="23"/>
          <w:szCs w:val="23"/>
        </w:rPr>
        <w:t>disadvantage.</w:t>
      </w:r>
    </w:p>
    <w:p w14:paraId="441E1255" w14:textId="77777777" w:rsidR="00F00E3D" w:rsidRDefault="00F00E3D">
      <w:pPr>
        <w:rPr>
          <w:rFonts w:asciiTheme="majorHAnsi" w:hAnsiTheme="majorHAnsi" w:cstheme="majorHAnsi"/>
          <w:sz w:val="8"/>
          <w:szCs w:val="8"/>
        </w:rPr>
      </w:pPr>
      <w:r>
        <w:rPr>
          <w:rFonts w:asciiTheme="majorHAnsi" w:hAnsiTheme="majorHAnsi" w:cstheme="majorHAnsi"/>
          <w:sz w:val="8"/>
          <w:szCs w:val="8"/>
        </w:rPr>
        <w:br w:type="page"/>
      </w:r>
    </w:p>
    <w:p w14:paraId="50B23120" w14:textId="77777777" w:rsidR="00F00E3D" w:rsidRPr="0050523B" w:rsidRDefault="00F00E3D" w:rsidP="009B2FA7">
      <w:pPr>
        <w:spacing w:line="276" w:lineRule="auto"/>
        <w:rPr>
          <w:rFonts w:asciiTheme="majorHAnsi" w:hAnsiTheme="majorHAnsi" w:cstheme="majorHAnsi"/>
          <w:sz w:val="8"/>
          <w:szCs w:val="8"/>
        </w:rPr>
      </w:pPr>
    </w:p>
    <w:tbl>
      <w:tblPr>
        <w:tblStyle w:val="TableGrid1"/>
        <w:tblW w:w="0" w:type="auto"/>
        <w:tblLook w:val="04A0" w:firstRow="1" w:lastRow="0" w:firstColumn="1" w:lastColumn="0" w:noHBand="0" w:noVBand="1"/>
      </w:tblPr>
      <w:tblGrid>
        <w:gridCol w:w="1686"/>
        <w:gridCol w:w="3636"/>
        <w:gridCol w:w="4300"/>
      </w:tblGrid>
      <w:tr w:rsidR="00C92BF3" w:rsidRPr="00C92BF3" w14:paraId="0B834ABB" w14:textId="77777777" w:rsidTr="00C92BF3">
        <w:trPr>
          <w:trHeight w:val="532"/>
        </w:trPr>
        <w:tc>
          <w:tcPr>
            <w:tcW w:w="1696" w:type="dxa"/>
            <w:shd w:val="clear" w:color="auto" w:fill="D0CECE" w:themeFill="background2" w:themeFillShade="E6"/>
          </w:tcPr>
          <w:p w14:paraId="5F138831" w14:textId="77777777" w:rsidR="00F00E3D" w:rsidRPr="00C92BF3" w:rsidRDefault="00F00E3D" w:rsidP="00C92BF3">
            <w:pPr>
              <w:spacing w:line="240" w:lineRule="auto"/>
              <w:rPr>
                <w:rFonts w:cstheme="minorHAnsi"/>
                <w:b/>
                <w:bCs/>
              </w:rPr>
            </w:pPr>
            <w:r w:rsidRPr="00C92BF3">
              <w:rPr>
                <w:rFonts w:cstheme="minorHAnsi"/>
                <w:b/>
                <w:bCs/>
              </w:rPr>
              <w:t>Theoretical approach</w:t>
            </w:r>
          </w:p>
        </w:tc>
        <w:tc>
          <w:tcPr>
            <w:tcW w:w="3686" w:type="dxa"/>
            <w:shd w:val="clear" w:color="auto" w:fill="D0CECE" w:themeFill="background2" w:themeFillShade="E6"/>
          </w:tcPr>
          <w:p w14:paraId="0B5CAB67" w14:textId="77777777" w:rsidR="00F00E3D" w:rsidRPr="00C92BF3" w:rsidRDefault="00F00E3D" w:rsidP="00C92BF3">
            <w:pPr>
              <w:spacing w:line="240" w:lineRule="auto"/>
              <w:rPr>
                <w:rFonts w:cstheme="minorHAnsi"/>
                <w:b/>
                <w:bCs/>
              </w:rPr>
            </w:pPr>
            <w:r w:rsidRPr="00C92BF3">
              <w:rPr>
                <w:rFonts w:cstheme="minorHAnsi"/>
                <w:b/>
                <w:bCs/>
              </w:rPr>
              <w:t>Focus</w:t>
            </w:r>
          </w:p>
        </w:tc>
        <w:tc>
          <w:tcPr>
            <w:tcW w:w="4364" w:type="dxa"/>
            <w:shd w:val="clear" w:color="auto" w:fill="D0CECE" w:themeFill="background2" w:themeFillShade="E6"/>
          </w:tcPr>
          <w:p w14:paraId="7D283B99" w14:textId="77777777" w:rsidR="00F00E3D" w:rsidRPr="00C92BF3" w:rsidRDefault="00F00E3D" w:rsidP="00C92BF3">
            <w:pPr>
              <w:spacing w:line="240" w:lineRule="auto"/>
              <w:rPr>
                <w:rFonts w:cstheme="minorHAnsi"/>
                <w:b/>
                <w:bCs/>
              </w:rPr>
            </w:pPr>
            <w:r w:rsidRPr="00C92BF3">
              <w:rPr>
                <w:rFonts w:cstheme="minorHAnsi"/>
                <w:b/>
                <w:bCs/>
              </w:rPr>
              <w:t>Policy implications</w:t>
            </w:r>
          </w:p>
        </w:tc>
      </w:tr>
      <w:tr w:rsidR="00F00E3D" w:rsidRPr="00A25253" w14:paraId="011E01F1" w14:textId="77777777" w:rsidTr="009B2FA7">
        <w:trPr>
          <w:trHeight w:val="1483"/>
        </w:trPr>
        <w:tc>
          <w:tcPr>
            <w:tcW w:w="1696" w:type="dxa"/>
          </w:tcPr>
          <w:p w14:paraId="46D69C02" w14:textId="77777777" w:rsidR="00F00E3D" w:rsidRPr="00A25253" w:rsidRDefault="00F00E3D" w:rsidP="00546314">
            <w:pPr>
              <w:spacing w:line="240" w:lineRule="auto"/>
              <w:rPr>
                <w:rFonts w:cstheme="minorHAnsi"/>
                <w:b/>
                <w:bCs/>
              </w:rPr>
            </w:pPr>
            <w:r w:rsidRPr="00A25253">
              <w:rPr>
                <w:rFonts w:cstheme="minorHAnsi"/>
                <w:b/>
                <w:bCs/>
              </w:rPr>
              <w:t>Political Economy</w:t>
            </w:r>
          </w:p>
        </w:tc>
        <w:tc>
          <w:tcPr>
            <w:tcW w:w="3686" w:type="dxa"/>
          </w:tcPr>
          <w:p w14:paraId="322BDBC8"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Material foundations.</w:t>
            </w:r>
          </w:p>
          <w:p w14:paraId="579B6670"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Class relations.</w:t>
            </w:r>
          </w:p>
          <w:p w14:paraId="7FB5CE45"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Conflicted state actions.</w:t>
            </w:r>
          </w:p>
        </w:tc>
        <w:tc>
          <w:tcPr>
            <w:tcW w:w="4364" w:type="dxa"/>
          </w:tcPr>
          <w:p w14:paraId="7CB7295E"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Address unemployment as a priority.</w:t>
            </w:r>
          </w:p>
          <w:p w14:paraId="19BB088A"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Improve employment wages, social wage, conditions.</w:t>
            </w:r>
          </w:p>
          <w:p w14:paraId="374366AE"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Challenge oppressive regulation.</w:t>
            </w:r>
          </w:p>
          <w:p w14:paraId="2FC7052B"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Ease social and spatial conflict and polarisation.</w:t>
            </w:r>
          </w:p>
        </w:tc>
      </w:tr>
      <w:tr w:rsidR="00F00E3D" w:rsidRPr="00A25253" w14:paraId="62EEA87F" w14:textId="77777777" w:rsidTr="009B2FA7">
        <w:trPr>
          <w:trHeight w:val="1584"/>
        </w:trPr>
        <w:tc>
          <w:tcPr>
            <w:tcW w:w="1696" w:type="dxa"/>
          </w:tcPr>
          <w:p w14:paraId="773D1A51" w14:textId="77777777" w:rsidR="00F00E3D" w:rsidRPr="00A25253" w:rsidRDefault="00F00E3D" w:rsidP="00546314">
            <w:pPr>
              <w:spacing w:line="240" w:lineRule="auto"/>
              <w:rPr>
                <w:rFonts w:cstheme="minorHAnsi"/>
                <w:b/>
                <w:bCs/>
              </w:rPr>
            </w:pPr>
            <w:r w:rsidRPr="00A25253">
              <w:rPr>
                <w:rFonts w:cstheme="minorHAnsi"/>
                <w:b/>
                <w:bCs/>
              </w:rPr>
              <w:t>Community Economy</w:t>
            </w:r>
          </w:p>
        </w:tc>
        <w:tc>
          <w:tcPr>
            <w:tcW w:w="3686" w:type="dxa"/>
          </w:tcPr>
          <w:p w14:paraId="7E27963A"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Material and cultural.</w:t>
            </w:r>
          </w:p>
          <w:p w14:paraId="4FBB1DBD"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Broad set of labour and market relations sustain a place.</w:t>
            </w:r>
          </w:p>
          <w:p w14:paraId="5870C070"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Community asset base.</w:t>
            </w:r>
          </w:p>
          <w:p w14:paraId="78936E4A"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Discursive constitution of disadvantaged places and people.</w:t>
            </w:r>
          </w:p>
        </w:tc>
        <w:tc>
          <w:tcPr>
            <w:tcW w:w="4364" w:type="dxa"/>
          </w:tcPr>
          <w:p w14:paraId="4AFAF269"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Critical engagement with definition of “disadvantage”.</w:t>
            </w:r>
          </w:p>
          <w:p w14:paraId="183284C8"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Challenge deficit views and stigma.</w:t>
            </w:r>
          </w:p>
          <w:p w14:paraId="651CAFF1"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Build on community and individual strengths.</w:t>
            </w:r>
          </w:p>
          <w:p w14:paraId="18968EBD"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Bottom-up solutions.</w:t>
            </w:r>
          </w:p>
        </w:tc>
      </w:tr>
      <w:tr w:rsidR="00F00E3D" w:rsidRPr="00A25253" w14:paraId="4A50F842" w14:textId="77777777" w:rsidTr="009B2FA7">
        <w:trPr>
          <w:trHeight w:val="1445"/>
        </w:trPr>
        <w:tc>
          <w:tcPr>
            <w:tcW w:w="1696" w:type="dxa"/>
          </w:tcPr>
          <w:p w14:paraId="736B4A9B" w14:textId="77777777" w:rsidR="00C92BF3" w:rsidRDefault="00F00E3D" w:rsidP="00546314">
            <w:pPr>
              <w:spacing w:line="240" w:lineRule="auto"/>
              <w:rPr>
                <w:rFonts w:cstheme="minorHAnsi"/>
                <w:b/>
                <w:bCs/>
              </w:rPr>
            </w:pPr>
            <w:r w:rsidRPr="00A25253">
              <w:rPr>
                <w:rFonts w:cstheme="minorHAnsi"/>
                <w:b/>
                <w:bCs/>
              </w:rPr>
              <w:t xml:space="preserve">Bridges out of Poverty </w:t>
            </w:r>
          </w:p>
          <w:p w14:paraId="6CF23B50" w14:textId="39224985" w:rsidR="00F00E3D" w:rsidRPr="00C92BF3" w:rsidRDefault="00F00E3D" w:rsidP="00546314">
            <w:pPr>
              <w:spacing w:line="240" w:lineRule="auto"/>
              <w:rPr>
                <w:rFonts w:cstheme="minorHAnsi"/>
                <w:b/>
                <w:bCs/>
              </w:rPr>
            </w:pPr>
            <w:r w:rsidRPr="00C92BF3">
              <w:rPr>
                <w:rFonts w:cstheme="minorHAnsi"/>
              </w:rPr>
              <w:t>(Ruby Payne)</w:t>
            </w:r>
          </w:p>
        </w:tc>
        <w:tc>
          <w:tcPr>
            <w:tcW w:w="3686" w:type="dxa"/>
          </w:tcPr>
          <w:p w14:paraId="23DA51E4"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Individual class cultures.</w:t>
            </w:r>
          </w:p>
          <w:p w14:paraId="09846BFA"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Assumptions held by upper, middle, and lower classes are the problem.</w:t>
            </w:r>
          </w:p>
          <w:p w14:paraId="382F089F" w14:textId="77777777" w:rsidR="00F00E3D" w:rsidRPr="00A25253" w:rsidRDefault="00F00E3D" w:rsidP="00546314">
            <w:pPr>
              <w:spacing w:line="240" w:lineRule="auto"/>
              <w:rPr>
                <w:rFonts w:asciiTheme="majorHAnsi" w:hAnsiTheme="majorHAnsi" w:cstheme="majorHAnsi"/>
              </w:rPr>
            </w:pPr>
          </w:p>
        </w:tc>
        <w:tc>
          <w:tcPr>
            <w:tcW w:w="4364" w:type="dxa"/>
          </w:tcPr>
          <w:p w14:paraId="7F6A9B71"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Change the cultures, and you change people and the social order.</w:t>
            </w:r>
          </w:p>
          <w:p w14:paraId="37DA3C88" w14:textId="77777777" w:rsidR="00F00E3D" w:rsidRPr="00A25253" w:rsidRDefault="00F00E3D" w:rsidP="00546314">
            <w:pPr>
              <w:spacing w:line="240" w:lineRule="auto"/>
              <w:rPr>
                <w:rFonts w:asciiTheme="majorHAnsi" w:hAnsiTheme="majorHAnsi" w:cstheme="majorHAnsi"/>
              </w:rPr>
            </w:pPr>
            <w:r w:rsidRPr="00A25253">
              <w:rPr>
                <w:rFonts w:asciiTheme="majorHAnsi" w:hAnsiTheme="majorHAnsi" w:cstheme="majorHAnsi"/>
              </w:rPr>
              <w:t>Engage with employers, service providers, and the unemployed to change their assumptions about class cultures and facilitate mobility.</w:t>
            </w:r>
          </w:p>
        </w:tc>
      </w:tr>
      <w:tr w:rsidR="00F00E3D" w:rsidRPr="00A25253" w14:paraId="745987D7" w14:textId="77777777" w:rsidTr="009B2FA7">
        <w:trPr>
          <w:trHeight w:val="1694"/>
        </w:trPr>
        <w:tc>
          <w:tcPr>
            <w:tcW w:w="1696" w:type="dxa"/>
          </w:tcPr>
          <w:p w14:paraId="1F50E76D" w14:textId="77777777" w:rsidR="00F00E3D" w:rsidRPr="00A25253" w:rsidRDefault="00F00E3D" w:rsidP="00FF4BCF">
            <w:pPr>
              <w:spacing w:after="0" w:line="240" w:lineRule="auto"/>
              <w:rPr>
                <w:rFonts w:cstheme="minorHAnsi"/>
                <w:b/>
                <w:bCs/>
              </w:rPr>
            </w:pPr>
            <w:r w:rsidRPr="00A25253">
              <w:rPr>
                <w:rFonts w:cstheme="minorHAnsi"/>
                <w:b/>
                <w:bCs/>
              </w:rPr>
              <w:t>Social Inclusion</w:t>
            </w:r>
          </w:p>
        </w:tc>
        <w:tc>
          <w:tcPr>
            <w:tcW w:w="3686" w:type="dxa"/>
          </w:tcPr>
          <w:p w14:paraId="7DCB0634" w14:textId="77777777" w:rsidR="00F00E3D" w:rsidRPr="00A25253" w:rsidRDefault="00F00E3D" w:rsidP="00FF4BCF">
            <w:pPr>
              <w:spacing w:after="0" w:line="240" w:lineRule="auto"/>
              <w:rPr>
                <w:rFonts w:asciiTheme="majorHAnsi" w:hAnsiTheme="majorHAnsi" w:cstheme="majorHAnsi"/>
              </w:rPr>
            </w:pPr>
            <w:r w:rsidRPr="00A25253">
              <w:rPr>
                <w:rFonts w:asciiTheme="majorHAnsi" w:hAnsiTheme="majorHAnsi" w:cstheme="majorHAnsi"/>
              </w:rPr>
              <w:t xml:space="preserve">Multi-faceted causes and solutions to </w:t>
            </w:r>
            <w:proofErr w:type="gramStart"/>
            <w:r w:rsidRPr="00A25253">
              <w:rPr>
                <w:rFonts w:asciiTheme="majorHAnsi" w:hAnsiTheme="majorHAnsi" w:cstheme="majorHAnsi"/>
              </w:rPr>
              <w:t>disadvantage:</w:t>
            </w:r>
            <w:proofErr w:type="gramEnd"/>
            <w:r w:rsidRPr="00A25253">
              <w:rPr>
                <w:rFonts w:asciiTheme="majorHAnsi" w:hAnsiTheme="majorHAnsi" w:cstheme="majorHAnsi"/>
              </w:rPr>
              <w:t xml:space="preserve"> includes economic (employment), educational, cultural, and political (participation) elements.</w:t>
            </w:r>
          </w:p>
          <w:p w14:paraId="70B9EF46" w14:textId="77777777" w:rsidR="00F00E3D" w:rsidRPr="00A25253" w:rsidRDefault="00F00E3D" w:rsidP="00FF4BCF">
            <w:pPr>
              <w:spacing w:after="0" w:line="240" w:lineRule="auto"/>
              <w:rPr>
                <w:rFonts w:asciiTheme="majorHAnsi" w:hAnsiTheme="majorHAnsi" w:cstheme="majorHAnsi"/>
              </w:rPr>
            </w:pPr>
            <w:r w:rsidRPr="00A25253">
              <w:rPr>
                <w:rFonts w:asciiTheme="majorHAnsi" w:hAnsiTheme="majorHAnsi" w:cstheme="majorHAnsi"/>
              </w:rPr>
              <w:t>Some sub-sets emphasise housing, employment, and transport.</w:t>
            </w:r>
          </w:p>
        </w:tc>
        <w:tc>
          <w:tcPr>
            <w:tcW w:w="4364" w:type="dxa"/>
          </w:tcPr>
          <w:p w14:paraId="281D5056" w14:textId="77777777" w:rsidR="00F00E3D" w:rsidRPr="00A25253" w:rsidRDefault="00F00E3D" w:rsidP="00FF4BCF">
            <w:pPr>
              <w:spacing w:after="0" w:line="240" w:lineRule="auto"/>
              <w:rPr>
                <w:rFonts w:asciiTheme="majorHAnsi" w:hAnsiTheme="majorHAnsi" w:cstheme="majorHAnsi"/>
              </w:rPr>
            </w:pPr>
            <w:r w:rsidRPr="00A25253">
              <w:rPr>
                <w:rFonts w:asciiTheme="majorHAnsi" w:hAnsiTheme="majorHAnsi" w:cstheme="majorHAnsi"/>
              </w:rPr>
              <w:t>Whole-of-government approach.</w:t>
            </w:r>
          </w:p>
          <w:p w14:paraId="079FA91F" w14:textId="77777777" w:rsidR="00F00E3D" w:rsidRPr="00A25253" w:rsidRDefault="00F00E3D" w:rsidP="00FF4BCF">
            <w:pPr>
              <w:spacing w:after="0" w:line="240" w:lineRule="auto"/>
              <w:rPr>
                <w:rFonts w:asciiTheme="majorHAnsi" w:hAnsiTheme="majorHAnsi" w:cstheme="majorHAnsi"/>
              </w:rPr>
            </w:pPr>
            <w:r w:rsidRPr="00A25253">
              <w:rPr>
                <w:rFonts w:asciiTheme="majorHAnsi" w:hAnsiTheme="majorHAnsi" w:cstheme="majorHAnsi"/>
              </w:rPr>
              <w:t>Address service limitations, especially in housing, transport and social service provision (including quality education and health).</w:t>
            </w:r>
          </w:p>
          <w:p w14:paraId="1327AE61" w14:textId="77777777" w:rsidR="00F00E3D" w:rsidRPr="00A25253" w:rsidRDefault="00F00E3D" w:rsidP="00FF4BCF">
            <w:pPr>
              <w:spacing w:after="0" w:line="240" w:lineRule="auto"/>
              <w:rPr>
                <w:rFonts w:asciiTheme="majorHAnsi" w:hAnsiTheme="majorHAnsi" w:cstheme="majorBidi"/>
              </w:rPr>
            </w:pPr>
            <w:r w:rsidRPr="00A25253">
              <w:rPr>
                <w:rFonts w:asciiTheme="majorHAnsi" w:hAnsiTheme="majorHAnsi" w:cstheme="majorBidi"/>
              </w:rPr>
              <w:t>Community participation in decision-making.</w:t>
            </w:r>
          </w:p>
        </w:tc>
      </w:tr>
    </w:tbl>
    <w:p w14:paraId="29BD43AF" w14:textId="77777777" w:rsidR="00F00E3D" w:rsidRPr="00F243A1" w:rsidRDefault="00F00E3D" w:rsidP="00152D83">
      <w:pPr>
        <w:spacing w:after="0"/>
        <w:rPr>
          <w:b/>
          <w:bCs/>
          <w:sz w:val="4"/>
          <w:szCs w:val="4"/>
        </w:rPr>
      </w:pPr>
    </w:p>
    <w:p w14:paraId="5CDA5EB9" w14:textId="50C9581E" w:rsidR="00F00E3D" w:rsidRPr="00661DE7" w:rsidRDefault="00F00E3D">
      <w:pPr>
        <w:rPr>
          <w:b/>
          <w:bCs/>
          <w:sz w:val="21"/>
          <w:szCs w:val="21"/>
        </w:rPr>
      </w:pPr>
      <w:r w:rsidRPr="00661DE7">
        <w:rPr>
          <w:b/>
          <w:bCs/>
          <w:sz w:val="21"/>
          <w:szCs w:val="21"/>
        </w:rPr>
        <w:t xml:space="preserve">Table 1.1: Key </w:t>
      </w:r>
      <w:r w:rsidR="00C92BF3" w:rsidRPr="00661DE7">
        <w:rPr>
          <w:b/>
          <w:bCs/>
          <w:sz w:val="21"/>
          <w:szCs w:val="21"/>
        </w:rPr>
        <w:t>Conceptual Frameworks Underpinning</w:t>
      </w:r>
      <w:r w:rsidR="00C92BF3" w:rsidRPr="00661DE7">
        <w:rPr>
          <w:sz w:val="21"/>
          <w:szCs w:val="21"/>
        </w:rPr>
        <w:t xml:space="preserve"> </w:t>
      </w:r>
      <w:r w:rsidR="00C92BF3" w:rsidRPr="00661DE7">
        <w:rPr>
          <w:b/>
          <w:bCs/>
          <w:sz w:val="21"/>
          <w:szCs w:val="21"/>
        </w:rPr>
        <w:t>Approaches to Socioeconomic Disadvantage</w:t>
      </w:r>
      <w:r w:rsidRPr="00661DE7">
        <w:rPr>
          <w:b/>
          <w:bCs/>
          <w:sz w:val="21"/>
          <w:szCs w:val="21"/>
        </w:rPr>
        <w:br w:type="page"/>
      </w:r>
    </w:p>
    <w:p w14:paraId="3D612DE8" w14:textId="77777777" w:rsidR="00F00E3D" w:rsidRPr="00661DE7" w:rsidRDefault="00F00E3D" w:rsidP="009B2FA7">
      <w:pPr>
        <w:spacing w:after="0" w:line="276" w:lineRule="auto"/>
        <w:rPr>
          <w:b/>
          <w:bCs/>
          <w:color w:val="2F5496" w:themeColor="accent1" w:themeShade="BF"/>
          <w:sz w:val="21"/>
          <w:szCs w:val="21"/>
        </w:rPr>
        <w:sectPr w:rsidR="00F00E3D" w:rsidRPr="00661DE7" w:rsidSect="00F17758">
          <w:pgSz w:w="11900" w:h="16840"/>
          <w:pgMar w:top="1134" w:right="1134" w:bottom="1134" w:left="1134" w:header="709" w:footer="709" w:gutter="0"/>
          <w:cols w:space="708"/>
          <w:docGrid w:linePitch="360"/>
        </w:sectPr>
      </w:pPr>
    </w:p>
    <w:p w14:paraId="542AEE34" w14:textId="77777777" w:rsidR="00F00E3D" w:rsidRPr="001F77DA" w:rsidRDefault="00F00E3D" w:rsidP="009B2FA7">
      <w:pPr>
        <w:spacing w:after="0" w:line="276" w:lineRule="auto"/>
        <w:rPr>
          <w:rFonts w:asciiTheme="majorHAnsi" w:hAnsiTheme="majorHAnsi" w:cstheme="majorBidi"/>
          <w:b/>
          <w:bCs/>
          <w:color w:val="2E74B5" w:themeColor="accent5" w:themeShade="BF"/>
          <w:sz w:val="23"/>
          <w:szCs w:val="23"/>
        </w:rPr>
      </w:pPr>
      <w:bookmarkStart w:id="20" w:name="OLE_LINKSECTION2"/>
      <w:r w:rsidRPr="001F77DA">
        <w:rPr>
          <w:b/>
          <w:bCs/>
          <w:color w:val="2E74B5" w:themeColor="accent5" w:themeShade="BF"/>
          <w:sz w:val="36"/>
          <w:szCs w:val="36"/>
        </w:rPr>
        <w:lastRenderedPageBreak/>
        <w:t>SECTION 2: Policy Contexts</w:t>
      </w:r>
    </w:p>
    <w:bookmarkEnd w:id="20"/>
    <w:p w14:paraId="0E012154" w14:textId="77777777" w:rsidR="00F00E3D" w:rsidRPr="00F243A1" w:rsidRDefault="00F00E3D" w:rsidP="009B2FA7">
      <w:pPr>
        <w:spacing w:after="0" w:line="276" w:lineRule="auto"/>
        <w:rPr>
          <w:rFonts w:asciiTheme="majorHAnsi" w:hAnsiTheme="majorHAnsi" w:cstheme="majorHAnsi"/>
          <w:color w:val="595959" w:themeColor="text1" w:themeTint="A6"/>
          <w:sz w:val="8"/>
          <w:szCs w:val="8"/>
        </w:rPr>
      </w:pPr>
    </w:p>
    <w:p w14:paraId="2D4407E5" w14:textId="2E163FC4" w:rsidR="00F00E3D" w:rsidRPr="00CD22B8" w:rsidRDefault="00F00E3D" w:rsidP="008370EF">
      <w:pPr>
        <w:spacing w:after="0" w:line="276" w:lineRule="auto"/>
        <w:rPr>
          <w:rFonts w:asciiTheme="majorHAnsi" w:eastAsia="Times New Roman" w:hAnsiTheme="majorHAnsi" w:cstheme="majorBidi"/>
          <w:sz w:val="23"/>
          <w:szCs w:val="23"/>
          <w:lang w:val="en-GB"/>
        </w:rPr>
      </w:pPr>
      <w:r>
        <w:rPr>
          <w:rFonts w:asciiTheme="majorHAnsi" w:hAnsiTheme="majorHAnsi" w:cstheme="majorBidi"/>
          <w:sz w:val="23"/>
          <w:szCs w:val="23"/>
        </w:rPr>
        <w:t>This section</w:t>
      </w:r>
      <w:r w:rsidRPr="64875FDB">
        <w:rPr>
          <w:rFonts w:asciiTheme="majorHAnsi" w:hAnsiTheme="majorHAnsi" w:cstheme="majorBidi"/>
          <w:sz w:val="23"/>
          <w:szCs w:val="23"/>
        </w:rPr>
        <w:t xml:space="preserve"> </w:t>
      </w:r>
      <w:r>
        <w:rPr>
          <w:rFonts w:asciiTheme="majorHAnsi" w:eastAsia="Times New Roman" w:hAnsiTheme="majorHAnsi" w:cstheme="majorBidi"/>
          <w:sz w:val="23"/>
          <w:szCs w:val="23"/>
          <w:lang w:val="en-GB"/>
        </w:rPr>
        <w:t>presents a range of relevant</w:t>
      </w:r>
      <w:r w:rsidRPr="64875FDB">
        <w:rPr>
          <w:rFonts w:asciiTheme="majorHAnsi" w:eastAsia="Times New Roman" w:hAnsiTheme="majorHAnsi" w:cstheme="majorBidi"/>
          <w:sz w:val="23"/>
          <w:szCs w:val="23"/>
          <w:lang w:val="en-GB"/>
        </w:rPr>
        <w:t xml:space="preserve"> </w:t>
      </w:r>
      <w:r>
        <w:rPr>
          <w:rFonts w:asciiTheme="majorHAnsi" w:eastAsia="Times New Roman" w:hAnsiTheme="majorHAnsi" w:cstheme="majorBidi"/>
          <w:sz w:val="23"/>
          <w:szCs w:val="23"/>
          <w:lang w:val="en-GB"/>
        </w:rPr>
        <w:t xml:space="preserve">government </w:t>
      </w:r>
      <w:r w:rsidRPr="64875FDB">
        <w:rPr>
          <w:rFonts w:asciiTheme="majorHAnsi" w:eastAsia="Times New Roman" w:hAnsiTheme="majorHAnsi" w:cstheme="majorBidi"/>
          <w:sz w:val="23"/>
          <w:szCs w:val="23"/>
          <w:lang w:val="en-GB"/>
        </w:rPr>
        <w:t>policies</w:t>
      </w:r>
      <w:r>
        <w:rPr>
          <w:rFonts w:asciiTheme="majorHAnsi" w:eastAsia="Times New Roman" w:hAnsiTheme="majorHAnsi" w:cstheme="majorBidi"/>
          <w:sz w:val="23"/>
          <w:szCs w:val="23"/>
          <w:lang w:val="en-GB"/>
        </w:rPr>
        <w:t xml:space="preserve"> </w:t>
      </w:r>
      <w:r w:rsidRPr="64875FDB">
        <w:rPr>
          <w:rFonts w:asciiTheme="majorHAnsi" w:hAnsiTheme="majorHAnsi" w:cstheme="majorBidi"/>
          <w:sz w:val="23"/>
          <w:szCs w:val="23"/>
        </w:rPr>
        <w:t>around social and economic development</w:t>
      </w:r>
      <w:r>
        <w:rPr>
          <w:rFonts w:asciiTheme="majorHAnsi" w:eastAsia="Times New Roman" w:hAnsiTheme="majorHAnsi" w:cstheme="majorBidi"/>
          <w:sz w:val="23"/>
          <w:szCs w:val="23"/>
          <w:lang w:val="en-GB"/>
        </w:rPr>
        <w:t xml:space="preserve"> from over the past decade. </w:t>
      </w:r>
      <w:r w:rsidR="001C4BBB">
        <w:rPr>
          <w:rFonts w:asciiTheme="majorHAnsi" w:eastAsia="Times New Roman" w:hAnsiTheme="majorHAnsi" w:cstheme="majorBidi"/>
          <w:sz w:val="23"/>
          <w:szCs w:val="23"/>
          <w:lang w:val="en-GB"/>
        </w:rPr>
        <w:t>The policies are summarised in the</w:t>
      </w:r>
      <w:r>
        <w:rPr>
          <w:rFonts w:asciiTheme="majorHAnsi" w:eastAsia="Times New Roman" w:hAnsiTheme="majorHAnsi" w:cstheme="majorBidi"/>
          <w:sz w:val="23"/>
          <w:szCs w:val="23"/>
          <w:lang w:val="en-GB"/>
        </w:rPr>
        <w:t xml:space="preserve"> tables </w:t>
      </w:r>
      <w:r w:rsidR="008370EF">
        <w:rPr>
          <w:rFonts w:asciiTheme="majorHAnsi" w:eastAsia="Times New Roman" w:hAnsiTheme="majorHAnsi" w:cstheme="majorBidi"/>
          <w:sz w:val="23"/>
          <w:szCs w:val="23"/>
          <w:lang w:val="en-GB"/>
        </w:rPr>
        <w:t>that follow</w:t>
      </w:r>
      <w:r>
        <w:rPr>
          <w:rFonts w:asciiTheme="majorHAnsi" w:eastAsia="Times New Roman" w:hAnsiTheme="majorHAnsi" w:cstheme="majorBidi"/>
          <w:sz w:val="23"/>
          <w:szCs w:val="23"/>
          <w:lang w:val="en-GB"/>
        </w:rPr>
        <w:t xml:space="preserve">, </w:t>
      </w:r>
      <w:r w:rsidRPr="64875FDB">
        <w:rPr>
          <w:rFonts w:asciiTheme="majorHAnsi" w:eastAsia="Times New Roman" w:hAnsiTheme="majorHAnsi" w:cstheme="majorBidi"/>
          <w:sz w:val="23"/>
          <w:szCs w:val="23"/>
          <w:lang w:val="en-GB"/>
        </w:rPr>
        <w:t xml:space="preserve">organised by scale and </w:t>
      </w:r>
      <w:r w:rsidR="00D95573">
        <w:rPr>
          <w:rFonts w:asciiTheme="majorHAnsi" w:eastAsia="Times New Roman" w:hAnsiTheme="majorHAnsi" w:cstheme="majorBidi"/>
          <w:sz w:val="23"/>
          <w:szCs w:val="23"/>
          <w:lang w:val="en-GB"/>
        </w:rPr>
        <w:t>Practice Domain</w:t>
      </w:r>
      <w:r w:rsidR="00006E5F">
        <w:rPr>
          <w:rFonts w:asciiTheme="majorHAnsi" w:eastAsia="Times New Roman" w:hAnsiTheme="majorHAnsi" w:cstheme="majorBidi"/>
          <w:sz w:val="23"/>
          <w:szCs w:val="23"/>
          <w:lang w:val="en-GB"/>
        </w:rPr>
        <w:t>, noting local relevance</w:t>
      </w:r>
      <w:r>
        <w:rPr>
          <w:rFonts w:asciiTheme="majorHAnsi" w:eastAsia="Times New Roman" w:hAnsiTheme="majorHAnsi" w:cstheme="majorBidi"/>
          <w:sz w:val="23"/>
          <w:szCs w:val="23"/>
          <w:lang w:val="en-GB"/>
        </w:rPr>
        <w:t>.</w:t>
      </w:r>
      <w:r w:rsidRPr="64875FDB">
        <w:rPr>
          <w:rFonts w:asciiTheme="majorHAnsi" w:eastAsia="Times New Roman" w:hAnsiTheme="majorHAnsi" w:cstheme="majorBidi"/>
          <w:sz w:val="23"/>
          <w:szCs w:val="23"/>
          <w:lang w:val="en-GB"/>
        </w:rPr>
        <w:t xml:space="preserve"> </w:t>
      </w:r>
      <w:r w:rsidR="009128F0">
        <w:rPr>
          <w:rFonts w:asciiTheme="majorHAnsi" w:eastAsia="Times New Roman" w:hAnsiTheme="majorHAnsi" w:cstheme="majorBidi"/>
          <w:sz w:val="23"/>
          <w:szCs w:val="23"/>
          <w:lang w:val="en-GB"/>
        </w:rPr>
        <w:t xml:space="preserve">Some </w:t>
      </w:r>
      <w:r>
        <w:rPr>
          <w:rFonts w:asciiTheme="majorHAnsi" w:eastAsia="Times New Roman" w:hAnsiTheme="majorHAnsi" w:cstheme="majorBidi"/>
          <w:sz w:val="23"/>
          <w:szCs w:val="23"/>
          <w:lang w:val="en-GB"/>
        </w:rPr>
        <w:t xml:space="preserve">current and upcoming funding opportunities </w:t>
      </w:r>
      <w:r w:rsidR="009128F0">
        <w:rPr>
          <w:rFonts w:asciiTheme="majorHAnsi" w:eastAsia="Times New Roman" w:hAnsiTheme="majorHAnsi" w:cstheme="majorBidi"/>
          <w:sz w:val="23"/>
          <w:szCs w:val="23"/>
          <w:lang w:val="en-GB"/>
        </w:rPr>
        <w:t>are</w:t>
      </w:r>
      <w:r>
        <w:rPr>
          <w:rFonts w:asciiTheme="majorHAnsi" w:eastAsia="Times New Roman" w:hAnsiTheme="majorHAnsi" w:cstheme="majorBidi"/>
          <w:sz w:val="23"/>
          <w:szCs w:val="23"/>
          <w:lang w:val="en-GB"/>
        </w:rPr>
        <w:t xml:space="preserve"> also included </w:t>
      </w:r>
      <w:r w:rsidR="008370EF">
        <w:rPr>
          <w:rFonts w:asciiTheme="majorHAnsi" w:eastAsia="Times New Roman" w:hAnsiTheme="majorHAnsi" w:cstheme="majorBidi"/>
          <w:sz w:val="23"/>
          <w:szCs w:val="23"/>
          <w:lang w:val="en-GB"/>
        </w:rPr>
        <w:t>(</w:t>
      </w:r>
      <w:r>
        <w:rPr>
          <w:rFonts w:asciiTheme="majorHAnsi" w:eastAsia="Times New Roman" w:hAnsiTheme="majorHAnsi" w:cstheme="majorBidi"/>
          <w:sz w:val="23"/>
          <w:szCs w:val="23"/>
          <w:lang w:val="en-GB"/>
        </w:rPr>
        <w:t>below</w:t>
      </w:r>
      <w:r w:rsidR="008370EF">
        <w:rPr>
          <w:rFonts w:asciiTheme="majorHAnsi" w:eastAsia="Times New Roman" w:hAnsiTheme="majorHAnsi" w:cstheme="majorBidi"/>
          <w:sz w:val="23"/>
          <w:szCs w:val="23"/>
          <w:lang w:val="en-GB"/>
        </w:rPr>
        <w:t>)</w:t>
      </w:r>
      <w:r>
        <w:rPr>
          <w:rFonts w:asciiTheme="majorHAnsi" w:eastAsia="Times New Roman" w:hAnsiTheme="majorHAnsi" w:cstheme="majorBidi"/>
          <w:sz w:val="23"/>
          <w:szCs w:val="23"/>
          <w:lang w:val="en-GB"/>
        </w:rPr>
        <w:t>.</w:t>
      </w:r>
      <w:r w:rsidR="008370EF">
        <w:rPr>
          <w:rFonts w:asciiTheme="majorHAnsi" w:eastAsia="Times New Roman" w:hAnsiTheme="majorHAnsi" w:cstheme="majorBidi"/>
          <w:sz w:val="23"/>
          <w:szCs w:val="23"/>
          <w:lang w:val="en-GB"/>
        </w:rPr>
        <w:t xml:space="preserve"> </w:t>
      </w:r>
      <w:r w:rsidR="009128F0">
        <w:rPr>
          <w:rFonts w:asciiTheme="majorHAnsi" w:eastAsia="Times New Roman" w:hAnsiTheme="majorHAnsi" w:cstheme="majorBidi"/>
          <w:sz w:val="23"/>
          <w:szCs w:val="23"/>
          <w:lang w:val="en-GB"/>
        </w:rPr>
        <w:t>T</w:t>
      </w:r>
      <w:r w:rsidRPr="64875FDB">
        <w:rPr>
          <w:rFonts w:asciiTheme="majorHAnsi" w:eastAsia="Times New Roman" w:hAnsiTheme="majorHAnsi" w:cstheme="majorBidi"/>
          <w:sz w:val="23"/>
          <w:szCs w:val="23"/>
          <w:lang w:val="en-GB"/>
        </w:rPr>
        <w:t xml:space="preserve">he </w:t>
      </w:r>
      <w:r w:rsidR="00815A29">
        <w:rPr>
          <w:rFonts w:asciiTheme="majorHAnsi" w:eastAsia="Times New Roman" w:hAnsiTheme="majorHAnsi" w:cstheme="majorBidi"/>
          <w:sz w:val="23"/>
          <w:szCs w:val="23"/>
          <w:lang w:val="en-GB"/>
        </w:rPr>
        <w:t xml:space="preserve">broader </w:t>
      </w:r>
      <w:r w:rsidRPr="64875FDB">
        <w:rPr>
          <w:rFonts w:asciiTheme="majorHAnsi" w:eastAsia="Times New Roman" w:hAnsiTheme="majorHAnsi" w:cstheme="majorBidi"/>
          <w:sz w:val="23"/>
          <w:szCs w:val="23"/>
          <w:lang w:val="en-GB"/>
        </w:rPr>
        <w:t xml:space="preserve">policy context </w:t>
      </w:r>
      <w:r w:rsidR="009128F0">
        <w:rPr>
          <w:rFonts w:asciiTheme="majorHAnsi" w:eastAsia="Times New Roman" w:hAnsiTheme="majorHAnsi" w:cstheme="majorBidi"/>
          <w:sz w:val="23"/>
          <w:szCs w:val="23"/>
          <w:lang w:val="en-GB"/>
        </w:rPr>
        <w:t>for this study</w:t>
      </w:r>
      <w:r w:rsidR="00815A29">
        <w:rPr>
          <w:rFonts w:asciiTheme="majorHAnsi" w:eastAsia="Times New Roman" w:hAnsiTheme="majorHAnsi" w:cstheme="majorBidi"/>
          <w:sz w:val="23"/>
          <w:szCs w:val="23"/>
          <w:lang w:val="en-GB"/>
        </w:rPr>
        <w:t>,</w:t>
      </w:r>
      <w:r w:rsidR="009128F0">
        <w:rPr>
          <w:rFonts w:asciiTheme="majorHAnsi" w:eastAsia="Times New Roman" w:hAnsiTheme="majorHAnsi" w:cstheme="majorBidi"/>
          <w:sz w:val="23"/>
          <w:szCs w:val="23"/>
          <w:lang w:val="en-GB"/>
        </w:rPr>
        <w:t xml:space="preserve"> </w:t>
      </w:r>
      <w:r w:rsidRPr="64875FDB">
        <w:rPr>
          <w:rFonts w:asciiTheme="majorHAnsi" w:eastAsia="Times New Roman" w:hAnsiTheme="majorHAnsi" w:cstheme="majorBidi"/>
          <w:sz w:val="23"/>
          <w:szCs w:val="23"/>
          <w:lang w:val="en-GB"/>
        </w:rPr>
        <w:t xml:space="preserve">across all five </w:t>
      </w:r>
      <w:r w:rsidR="00D95573">
        <w:rPr>
          <w:rFonts w:asciiTheme="majorHAnsi" w:eastAsia="Times New Roman" w:hAnsiTheme="majorHAnsi" w:cstheme="majorBidi"/>
          <w:sz w:val="23"/>
          <w:szCs w:val="23"/>
          <w:lang w:val="en-GB"/>
        </w:rPr>
        <w:t>Practice Domain</w:t>
      </w:r>
      <w:r w:rsidRPr="64875FDB">
        <w:rPr>
          <w:rFonts w:asciiTheme="majorHAnsi" w:eastAsia="Times New Roman" w:hAnsiTheme="majorHAnsi" w:cstheme="majorBidi"/>
          <w:sz w:val="23"/>
          <w:szCs w:val="23"/>
          <w:lang w:val="en-GB"/>
        </w:rPr>
        <w:t>s</w:t>
      </w:r>
      <w:r w:rsidR="00815A29">
        <w:rPr>
          <w:rFonts w:asciiTheme="majorHAnsi" w:eastAsia="Times New Roman" w:hAnsiTheme="majorHAnsi" w:cstheme="majorBidi"/>
          <w:sz w:val="23"/>
          <w:szCs w:val="23"/>
          <w:lang w:val="en-GB"/>
        </w:rPr>
        <w:t>,</w:t>
      </w:r>
      <w:r w:rsidRPr="64875FDB">
        <w:rPr>
          <w:rFonts w:asciiTheme="majorHAnsi" w:eastAsia="Times New Roman" w:hAnsiTheme="majorHAnsi" w:cstheme="majorBidi"/>
          <w:sz w:val="23"/>
          <w:szCs w:val="23"/>
          <w:lang w:val="en-GB"/>
        </w:rPr>
        <w:t xml:space="preserve"> is enormous. </w:t>
      </w:r>
      <w:bookmarkStart w:id="21" w:name="_Hlk62747770"/>
      <w:r w:rsidR="009128F0">
        <w:rPr>
          <w:rFonts w:asciiTheme="majorHAnsi" w:eastAsia="Times New Roman" w:hAnsiTheme="majorHAnsi" w:cstheme="majorBidi"/>
          <w:sz w:val="23"/>
          <w:szCs w:val="23"/>
          <w:lang w:val="en-GB"/>
        </w:rPr>
        <w:t>In this section we focus on the polic</w:t>
      </w:r>
      <w:r w:rsidR="00815A29">
        <w:rPr>
          <w:rFonts w:asciiTheme="majorHAnsi" w:eastAsia="Times New Roman" w:hAnsiTheme="majorHAnsi" w:cstheme="majorBidi"/>
          <w:sz w:val="23"/>
          <w:szCs w:val="23"/>
          <w:lang w:val="en-GB"/>
        </w:rPr>
        <w:t>y contexts</w:t>
      </w:r>
      <w:r w:rsidR="009128F0">
        <w:rPr>
          <w:rFonts w:asciiTheme="majorHAnsi" w:eastAsia="Times New Roman" w:hAnsiTheme="majorHAnsi" w:cstheme="majorBidi"/>
          <w:sz w:val="23"/>
          <w:szCs w:val="23"/>
          <w:lang w:val="en-GB"/>
        </w:rPr>
        <w:t xml:space="preserve"> most relevant to the City of</w:t>
      </w:r>
      <w:r w:rsidR="009128F0" w:rsidRPr="009128F0">
        <w:rPr>
          <w:rFonts w:asciiTheme="majorHAnsi" w:eastAsia="Times New Roman" w:hAnsiTheme="majorHAnsi" w:cstheme="majorBidi"/>
          <w:sz w:val="23"/>
          <w:szCs w:val="23"/>
          <w:lang w:val="en-GB"/>
        </w:rPr>
        <w:t xml:space="preserve"> Greater Geelong</w:t>
      </w:r>
      <w:r w:rsidR="009128F0">
        <w:rPr>
          <w:rFonts w:asciiTheme="majorHAnsi" w:eastAsia="Times New Roman" w:hAnsiTheme="majorHAnsi" w:cstheme="majorBidi"/>
          <w:sz w:val="23"/>
          <w:szCs w:val="23"/>
          <w:lang w:val="en-GB"/>
        </w:rPr>
        <w:t xml:space="preserve">, and the localities of </w:t>
      </w:r>
      <w:r w:rsidR="009128F0" w:rsidRPr="009128F0">
        <w:rPr>
          <w:rFonts w:asciiTheme="majorHAnsi" w:eastAsia="Times New Roman" w:hAnsiTheme="majorHAnsi" w:cstheme="majorBidi"/>
          <w:sz w:val="23"/>
          <w:szCs w:val="23"/>
          <w:lang w:val="en-GB"/>
        </w:rPr>
        <w:t>Corio, Norlane, and Whittington</w:t>
      </w:r>
      <w:r w:rsidR="009128F0">
        <w:rPr>
          <w:rFonts w:asciiTheme="majorHAnsi" w:eastAsia="Times New Roman" w:hAnsiTheme="majorHAnsi" w:cstheme="majorBidi"/>
          <w:sz w:val="23"/>
          <w:szCs w:val="23"/>
          <w:lang w:val="en-GB"/>
        </w:rPr>
        <w:t>.</w:t>
      </w:r>
      <w:r w:rsidR="009128F0" w:rsidRPr="009128F0">
        <w:rPr>
          <w:rFonts w:asciiTheme="majorHAnsi" w:eastAsia="Times New Roman" w:hAnsiTheme="majorHAnsi" w:cstheme="majorBidi"/>
          <w:sz w:val="23"/>
          <w:szCs w:val="23"/>
          <w:lang w:val="en-GB"/>
        </w:rPr>
        <w:t xml:space="preserve"> </w:t>
      </w:r>
      <w:r>
        <w:rPr>
          <w:rFonts w:asciiTheme="majorHAnsi" w:eastAsia="Times New Roman" w:hAnsiTheme="majorHAnsi" w:cstheme="majorHAnsi"/>
          <w:sz w:val="23"/>
          <w:szCs w:val="23"/>
          <w:lang w:val="en-GB"/>
        </w:rPr>
        <w:t>In sum, the</w:t>
      </w:r>
      <w:r w:rsidRPr="00386CF2">
        <w:rPr>
          <w:rFonts w:asciiTheme="majorHAnsi" w:eastAsia="Times New Roman" w:hAnsiTheme="majorHAnsi" w:cstheme="majorHAnsi"/>
          <w:sz w:val="23"/>
          <w:szCs w:val="23"/>
          <w:lang w:val="en-GB"/>
        </w:rPr>
        <w:t xml:space="preserve"> most significant policy contexts </w:t>
      </w:r>
      <w:r>
        <w:rPr>
          <w:rFonts w:asciiTheme="majorHAnsi" w:eastAsia="Times New Roman" w:hAnsiTheme="majorHAnsi" w:cstheme="majorHAnsi"/>
          <w:sz w:val="23"/>
          <w:szCs w:val="23"/>
          <w:lang w:val="en-GB"/>
        </w:rPr>
        <w:t>are</w:t>
      </w:r>
      <w:r w:rsidRPr="00386CF2">
        <w:rPr>
          <w:rFonts w:asciiTheme="majorHAnsi" w:eastAsia="Times New Roman" w:hAnsiTheme="majorHAnsi" w:cstheme="majorHAnsi"/>
          <w:sz w:val="23"/>
          <w:szCs w:val="23"/>
          <w:lang w:val="en-GB"/>
        </w:rPr>
        <w:t>:</w:t>
      </w:r>
    </w:p>
    <w:bookmarkEnd w:id="21"/>
    <w:p w14:paraId="5791422A" w14:textId="223AED16" w:rsidR="008370EF" w:rsidRDefault="008370EF" w:rsidP="009128F0">
      <w:pPr>
        <w:spacing w:after="0" w:line="276" w:lineRule="auto"/>
        <w:rPr>
          <w:rFonts w:eastAsia="Calibri Light" w:cstheme="minorHAnsi"/>
          <w:b/>
          <w:bCs/>
          <w:sz w:val="12"/>
          <w:szCs w:val="12"/>
          <w:lang w:val="en-GB"/>
        </w:rPr>
      </w:pPr>
    </w:p>
    <w:p w14:paraId="06332C2E" w14:textId="4559DB61" w:rsidR="00241FB1" w:rsidRPr="001F77DA" w:rsidRDefault="00241FB1" w:rsidP="00241FB1">
      <w:pPr>
        <w:spacing w:after="0" w:line="276" w:lineRule="auto"/>
        <w:rPr>
          <w:rFonts w:eastAsia="Times New Roman" w:cstheme="minorHAnsi"/>
          <w:b/>
          <w:bCs/>
          <w:color w:val="2E74B5" w:themeColor="accent5" w:themeShade="BF"/>
          <w:sz w:val="28"/>
          <w:szCs w:val="28"/>
          <w:lang w:val="en-GB"/>
        </w:rPr>
      </w:pPr>
      <w:r w:rsidRPr="001F77DA">
        <w:rPr>
          <w:rFonts w:eastAsia="Times New Roman" w:cstheme="minorHAnsi"/>
          <w:b/>
          <w:bCs/>
          <w:color w:val="2E74B5" w:themeColor="accent5" w:themeShade="BF"/>
          <w:sz w:val="28"/>
          <w:szCs w:val="28"/>
          <w:lang w:val="en-GB"/>
        </w:rPr>
        <w:t>2.1 Policy Overview and Funding Opportunities</w:t>
      </w:r>
    </w:p>
    <w:p w14:paraId="47D71B30" w14:textId="77777777" w:rsidR="00241FB1" w:rsidRPr="008370EF" w:rsidRDefault="00241FB1" w:rsidP="009128F0">
      <w:pPr>
        <w:spacing w:after="0" w:line="276" w:lineRule="auto"/>
        <w:rPr>
          <w:rFonts w:eastAsia="Calibri Light" w:cstheme="minorHAnsi"/>
          <w:b/>
          <w:bCs/>
          <w:sz w:val="12"/>
          <w:szCs w:val="12"/>
          <w:lang w:val="en-GB"/>
        </w:rPr>
      </w:pPr>
    </w:p>
    <w:p w14:paraId="25EFA21A" w14:textId="32468CB8" w:rsidR="00F00E3D" w:rsidRPr="00FC64A0" w:rsidRDefault="00F00E3D" w:rsidP="009128F0">
      <w:pPr>
        <w:spacing w:after="0" w:line="276" w:lineRule="auto"/>
        <w:rPr>
          <w:rFonts w:eastAsia="Calibri Light" w:cstheme="minorHAnsi"/>
          <w:sz w:val="23"/>
          <w:szCs w:val="23"/>
          <w:lang w:val="en-GB"/>
        </w:rPr>
      </w:pPr>
      <w:r w:rsidRPr="00FC64A0">
        <w:rPr>
          <w:rFonts w:eastAsia="Calibri Light" w:cstheme="minorHAnsi"/>
          <w:b/>
          <w:bCs/>
          <w:sz w:val="23"/>
          <w:szCs w:val="23"/>
          <w:lang w:val="en-GB"/>
        </w:rPr>
        <w:t xml:space="preserve">International </w:t>
      </w:r>
      <w:r w:rsidR="00FC64A0" w:rsidRPr="00FC64A0">
        <w:rPr>
          <w:rFonts w:eastAsia="Calibri Light" w:cstheme="minorHAnsi"/>
          <w:b/>
          <w:bCs/>
          <w:sz w:val="23"/>
          <w:szCs w:val="23"/>
          <w:lang w:val="en-GB"/>
        </w:rPr>
        <w:t>Policy Context:</w:t>
      </w:r>
    </w:p>
    <w:p w14:paraId="752A84FA" w14:textId="77777777" w:rsidR="00F00E3D" w:rsidRPr="008E5EEF" w:rsidRDefault="00F00E3D" w:rsidP="00364C5D">
      <w:pPr>
        <w:pStyle w:val="ListParagraph"/>
        <w:numPr>
          <w:ilvl w:val="0"/>
          <w:numId w:val="21"/>
        </w:numPr>
        <w:spacing w:after="0" w:line="276" w:lineRule="auto"/>
        <w:rPr>
          <w:rFonts w:asciiTheme="majorHAnsi" w:eastAsiaTheme="minorEastAsia" w:hAnsiTheme="majorHAnsi" w:cstheme="majorHAnsi"/>
          <w:sz w:val="23"/>
          <w:szCs w:val="23"/>
        </w:rPr>
      </w:pPr>
      <w:r w:rsidRPr="008E5EEF">
        <w:rPr>
          <w:rFonts w:asciiTheme="majorHAnsi" w:eastAsia="Calibri Light" w:hAnsiTheme="majorHAnsi" w:cstheme="majorHAnsi"/>
          <w:sz w:val="23"/>
          <w:szCs w:val="23"/>
          <w:lang w:val="en-GB"/>
        </w:rPr>
        <w:t>City of Greater Geelong designated a UNESCO City of Design in 2017</w:t>
      </w:r>
    </w:p>
    <w:p w14:paraId="7B3C5A3C" w14:textId="77777777" w:rsidR="00F00E3D" w:rsidRPr="000452E5" w:rsidRDefault="00F00E3D" w:rsidP="009128F0">
      <w:pPr>
        <w:spacing w:after="0" w:line="276" w:lineRule="auto"/>
        <w:rPr>
          <w:rFonts w:asciiTheme="majorHAnsi" w:eastAsiaTheme="minorEastAsia" w:hAnsiTheme="majorHAnsi" w:cstheme="majorHAnsi"/>
          <w:sz w:val="8"/>
          <w:szCs w:val="8"/>
        </w:rPr>
      </w:pPr>
    </w:p>
    <w:p w14:paraId="555EB3E5" w14:textId="50BE952D" w:rsidR="00F00E3D" w:rsidRPr="00FC64A0" w:rsidRDefault="00F00E3D" w:rsidP="009128F0">
      <w:pPr>
        <w:spacing w:after="0" w:line="276" w:lineRule="auto"/>
        <w:rPr>
          <w:rFonts w:eastAsiaTheme="minorEastAsia" w:cstheme="minorHAnsi"/>
          <w:b/>
          <w:bCs/>
          <w:sz w:val="23"/>
          <w:szCs w:val="23"/>
        </w:rPr>
      </w:pPr>
      <w:r w:rsidRPr="00FC64A0">
        <w:rPr>
          <w:rFonts w:eastAsia="Calibri Light" w:cstheme="minorHAnsi"/>
          <w:b/>
          <w:bCs/>
          <w:sz w:val="23"/>
          <w:szCs w:val="23"/>
          <w:lang w:val="en-GB"/>
        </w:rPr>
        <w:t xml:space="preserve">Federal </w:t>
      </w:r>
      <w:r w:rsidR="003E652B" w:rsidRPr="00FC64A0">
        <w:rPr>
          <w:rFonts w:eastAsia="Calibri Light" w:cstheme="minorHAnsi"/>
          <w:b/>
          <w:bCs/>
          <w:sz w:val="23"/>
          <w:szCs w:val="23"/>
          <w:lang w:val="en-GB"/>
        </w:rPr>
        <w:t>Policy Context:</w:t>
      </w:r>
    </w:p>
    <w:p w14:paraId="2D283B06" w14:textId="77777777" w:rsidR="00F00E3D" w:rsidRPr="008575E0" w:rsidRDefault="00F00E3D" w:rsidP="00364C5D">
      <w:pPr>
        <w:pStyle w:val="ListParagraph"/>
        <w:numPr>
          <w:ilvl w:val="0"/>
          <w:numId w:val="72"/>
        </w:numPr>
        <w:spacing w:after="0" w:line="276" w:lineRule="auto"/>
        <w:rPr>
          <w:rFonts w:asciiTheme="majorHAnsi" w:eastAsiaTheme="minorEastAsia" w:hAnsiTheme="majorHAnsi" w:cstheme="majorBidi"/>
          <w:sz w:val="23"/>
          <w:szCs w:val="23"/>
        </w:rPr>
      </w:pPr>
      <w:r w:rsidRPr="008575E0">
        <w:rPr>
          <w:rFonts w:asciiTheme="majorHAnsi" w:eastAsia="Calibri Light" w:hAnsiTheme="majorHAnsi" w:cstheme="majorBidi"/>
          <w:sz w:val="23"/>
          <w:szCs w:val="23"/>
          <w:lang w:val="en-GB"/>
        </w:rPr>
        <w:t>Education: programs to support Aboriginal and Torres Strait Islander (ATSI) students, and students from lower socioeconomic backgrounds</w:t>
      </w:r>
    </w:p>
    <w:p w14:paraId="7B6D1F0E" w14:textId="77777777" w:rsidR="00F00E3D" w:rsidRPr="008575E0" w:rsidRDefault="00F00E3D" w:rsidP="00364C5D">
      <w:pPr>
        <w:pStyle w:val="ListParagraph"/>
        <w:numPr>
          <w:ilvl w:val="0"/>
          <w:numId w:val="72"/>
        </w:numPr>
        <w:spacing w:after="0" w:line="276" w:lineRule="auto"/>
        <w:rPr>
          <w:rFonts w:asciiTheme="majorHAnsi" w:eastAsiaTheme="minorEastAsia" w:hAnsiTheme="majorHAnsi" w:cstheme="majorBidi"/>
          <w:sz w:val="23"/>
          <w:szCs w:val="23"/>
        </w:rPr>
      </w:pPr>
      <w:r w:rsidRPr="008575E0">
        <w:rPr>
          <w:rFonts w:asciiTheme="majorHAnsi" w:eastAsia="Calibri Light" w:hAnsiTheme="majorHAnsi" w:cstheme="majorBidi"/>
          <w:sz w:val="23"/>
          <w:szCs w:val="23"/>
          <w:lang w:val="en-GB"/>
        </w:rPr>
        <w:t>Housing: Commonwealth Rent Assistance, support for home ownership investment, settlement policies for refugees in regional areas</w:t>
      </w:r>
    </w:p>
    <w:p w14:paraId="244D6009" w14:textId="77777777" w:rsidR="00F00E3D" w:rsidRPr="008575E0" w:rsidRDefault="00F00E3D" w:rsidP="00364C5D">
      <w:pPr>
        <w:pStyle w:val="ListParagraph"/>
        <w:numPr>
          <w:ilvl w:val="0"/>
          <w:numId w:val="72"/>
        </w:numPr>
        <w:spacing w:after="0" w:line="276" w:lineRule="auto"/>
        <w:rPr>
          <w:rFonts w:asciiTheme="majorHAnsi" w:eastAsiaTheme="minorEastAsia" w:hAnsiTheme="majorHAnsi" w:cstheme="majorBidi"/>
          <w:sz w:val="23"/>
          <w:szCs w:val="23"/>
        </w:rPr>
      </w:pPr>
      <w:r w:rsidRPr="008575E0">
        <w:rPr>
          <w:rFonts w:asciiTheme="majorHAnsi" w:eastAsia="Calibri Light" w:hAnsiTheme="majorHAnsi" w:cstheme="majorBidi"/>
          <w:sz w:val="23"/>
          <w:szCs w:val="23"/>
          <w:lang w:val="en-GB"/>
        </w:rPr>
        <w:t>Employment: Regional Jobs and Investment Package</w:t>
      </w:r>
    </w:p>
    <w:p w14:paraId="476A0E2A" w14:textId="77777777" w:rsidR="00F00E3D" w:rsidRPr="008575E0" w:rsidRDefault="00F00E3D" w:rsidP="00364C5D">
      <w:pPr>
        <w:pStyle w:val="ListParagraph"/>
        <w:numPr>
          <w:ilvl w:val="0"/>
          <w:numId w:val="72"/>
        </w:numPr>
        <w:spacing w:after="0" w:line="276" w:lineRule="auto"/>
        <w:rPr>
          <w:rFonts w:asciiTheme="majorHAnsi" w:eastAsiaTheme="minorEastAsia" w:hAnsiTheme="majorHAnsi" w:cstheme="majorBidi"/>
          <w:sz w:val="23"/>
          <w:szCs w:val="23"/>
        </w:rPr>
      </w:pPr>
      <w:r w:rsidRPr="008575E0">
        <w:rPr>
          <w:rFonts w:asciiTheme="majorHAnsi" w:eastAsia="Calibri Light" w:hAnsiTheme="majorHAnsi" w:cstheme="majorBidi"/>
          <w:sz w:val="23"/>
          <w:szCs w:val="23"/>
          <w:lang w:val="en-GB"/>
        </w:rPr>
        <w:t>Health and Wellbeing: NDIS location and activity</w:t>
      </w:r>
    </w:p>
    <w:p w14:paraId="4AAE3361" w14:textId="77777777" w:rsidR="00F00E3D" w:rsidRPr="008575E0" w:rsidRDefault="00F00E3D" w:rsidP="00364C5D">
      <w:pPr>
        <w:pStyle w:val="ListParagraph"/>
        <w:numPr>
          <w:ilvl w:val="0"/>
          <w:numId w:val="72"/>
        </w:numPr>
        <w:spacing w:after="0" w:line="276" w:lineRule="auto"/>
        <w:rPr>
          <w:rFonts w:asciiTheme="majorHAnsi" w:eastAsiaTheme="minorEastAsia" w:hAnsiTheme="majorHAnsi" w:cstheme="majorBidi"/>
          <w:sz w:val="23"/>
          <w:szCs w:val="23"/>
        </w:rPr>
      </w:pPr>
      <w:r w:rsidRPr="008575E0">
        <w:rPr>
          <w:rFonts w:asciiTheme="majorHAnsi" w:eastAsia="Calibri Light" w:hAnsiTheme="majorHAnsi" w:cstheme="majorBidi"/>
          <w:sz w:val="23"/>
          <w:szCs w:val="23"/>
          <w:lang w:val="en-GB"/>
        </w:rPr>
        <w:t>Liveability: The City Deal (Geelong).</w:t>
      </w:r>
    </w:p>
    <w:p w14:paraId="17F5ED14" w14:textId="77777777" w:rsidR="00F00E3D" w:rsidRPr="000452E5" w:rsidRDefault="00F00E3D" w:rsidP="009128F0">
      <w:pPr>
        <w:spacing w:after="0" w:line="276" w:lineRule="auto"/>
        <w:rPr>
          <w:rFonts w:asciiTheme="majorHAnsi" w:eastAsiaTheme="minorEastAsia" w:hAnsiTheme="majorHAnsi" w:cstheme="majorBidi"/>
          <w:sz w:val="8"/>
          <w:szCs w:val="8"/>
        </w:rPr>
      </w:pPr>
    </w:p>
    <w:p w14:paraId="5094CDC4" w14:textId="4CFEE96C" w:rsidR="00F00E3D" w:rsidRPr="00FC64A0" w:rsidRDefault="00F00E3D" w:rsidP="009128F0">
      <w:pPr>
        <w:spacing w:after="0" w:line="276" w:lineRule="auto"/>
        <w:rPr>
          <w:rFonts w:eastAsiaTheme="minorEastAsia" w:cstheme="minorHAnsi"/>
          <w:b/>
          <w:bCs/>
          <w:sz w:val="23"/>
          <w:szCs w:val="23"/>
        </w:rPr>
      </w:pPr>
      <w:r w:rsidRPr="00FC64A0">
        <w:rPr>
          <w:rFonts w:eastAsia="Calibri Light" w:cstheme="minorHAnsi"/>
          <w:b/>
          <w:bCs/>
          <w:sz w:val="23"/>
          <w:szCs w:val="23"/>
          <w:lang w:val="en-GB"/>
        </w:rPr>
        <w:t xml:space="preserve">State </w:t>
      </w:r>
      <w:r w:rsidR="00FC64A0" w:rsidRPr="00FC64A0">
        <w:rPr>
          <w:rFonts w:eastAsia="Calibri Light" w:cstheme="minorHAnsi"/>
          <w:b/>
          <w:bCs/>
          <w:sz w:val="23"/>
          <w:szCs w:val="23"/>
          <w:lang w:val="en-GB"/>
        </w:rPr>
        <w:t>Policy Context</w:t>
      </w:r>
      <w:r w:rsidR="00FC64A0">
        <w:rPr>
          <w:rFonts w:eastAsia="Calibri Light" w:cstheme="minorHAnsi"/>
          <w:b/>
          <w:bCs/>
          <w:sz w:val="23"/>
          <w:szCs w:val="23"/>
          <w:lang w:val="en-GB"/>
        </w:rPr>
        <w:t xml:space="preserve"> (Victoria)</w:t>
      </w:r>
      <w:r w:rsidR="00FC64A0" w:rsidRPr="00FC64A0">
        <w:rPr>
          <w:rFonts w:eastAsia="Calibri Light" w:cstheme="minorHAnsi"/>
          <w:b/>
          <w:bCs/>
          <w:sz w:val="23"/>
          <w:szCs w:val="23"/>
          <w:lang w:val="en-GB"/>
        </w:rPr>
        <w:t>:</w:t>
      </w:r>
    </w:p>
    <w:p w14:paraId="77A6A633" w14:textId="618A68DA" w:rsidR="00F00E3D" w:rsidRPr="008575E0" w:rsidRDefault="00F00E3D" w:rsidP="009128F0">
      <w:pPr>
        <w:pStyle w:val="ListParagraph"/>
        <w:numPr>
          <w:ilvl w:val="0"/>
          <w:numId w:val="3"/>
        </w:numPr>
        <w:spacing w:after="0" w:line="276" w:lineRule="auto"/>
        <w:rPr>
          <w:rFonts w:asciiTheme="majorHAnsi" w:eastAsiaTheme="minorEastAsia" w:hAnsiTheme="majorHAnsi" w:cstheme="majorBidi"/>
          <w:sz w:val="23"/>
          <w:szCs w:val="23"/>
        </w:rPr>
      </w:pPr>
      <w:r w:rsidRPr="008575E0">
        <w:rPr>
          <w:rFonts w:asciiTheme="majorHAnsi" w:eastAsia="Calibri Light" w:hAnsiTheme="majorHAnsi" w:cstheme="majorBidi"/>
          <w:sz w:val="23"/>
          <w:szCs w:val="23"/>
          <w:lang w:val="en-GB"/>
        </w:rPr>
        <w:t>Housing: Homes for Victorians, commitment to expand and upgrade social housing stock</w:t>
      </w:r>
    </w:p>
    <w:p w14:paraId="4F42F61A" w14:textId="2D6F5CA2" w:rsidR="00F00E3D" w:rsidRPr="008575E0" w:rsidRDefault="00F00E3D" w:rsidP="009128F0">
      <w:pPr>
        <w:pStyle w:val="ListParagraph"/>
        <w:numPr>
          <w:ilvl w:val="0"/>
          <w:numId w:val="3"/>
        </w:numPr>
        <w:spacing w:after="0" w:line="276" w:lineRule="auto"/>
        <w:rPr>
          <w:rFonts w:asciiTheme="majorHAnsi" w:eastAsiaTheme="minorEastAsia" w:hAnsiTheme="majorHAnsi" w:cstheme="majorBidi"/>
          <w:sz w:val="23"/>
          <w:szCs w:val="23"/>
        </w:rPr>
      </w:pPr>
      <w:r w:rsidRPr="008575E0">
        <w:rPr>
          <w:rFonts w:asciiTheme="majorHAnsi" w:eastAsia="Calibri Light" w:hAnsiTheme="majorHAnsi" w:cstheme="majorBidi"/>
          <w:sz w:val="23"/>
          <w:szCs w:val="23"/>
          <w:lang w:val="en-GB"/>
        </w:rPr>
        <w:t>Employment: Social procurement framework, Regional Jobs Fund</w:t>
      </w:r>
      <w:r w:rsidR="00FC64A0">
        <w:rPr>
          <w:rFonts w:asciiTheme="majorHAnsi" w:eastAsia="Calibri Light" w:hAnsiTheme="majorHAnsi" w:cstheme="majorBidi"/>
          <w:sz w:val="23"/>
          <w:szCs w:val="23"/>
          <w:lang w:val="en-GB"/>
        </w:rPr>
        <w:t>, Jobs Victoria Fund</w:t>
      </w:r>
    </w:p>
    <w:p w14:paraId="56E81BC9" w14:textId="77777777" w:rsidR="00F00E3D" w:rsidRPr="008575E0" w:rsidRDefault="00F00E3D" w:rsidP="009128F0">
      <w:pPr>
        <w:pStyle w:val="ListParagraph"/>
        <w:numPr>
          <w:ilvl w:val="0"/>
          <w:numId w:val="3"/>
        </w:numPr>
        <w:spacing w:after="0" w:line="276" w:lineRule="auto"/>
        <w:rPr>
          <w:rFonts w:asciiTheme="majorHAnsi" w:eastAsiaTheme="minorEastAsia" w:hAnsiTheme="majorHAnsi" w:cstheme="majorBidi"/>
          <w:sz w:val="23"/>
          <w:szCs w:val="23"/>
        </w:rPr>
      </w:pPr>
      <w:r w:rsidRPr="008575E0">
        <w:rPr>
          <w:rFonts w:asciiTheme="majorHAnsi" w:eastAsia="Calibri Light" w:hAnsiTheme="majorHAnsi" w:cstheme="majorBidi"/>
          <w:sz w:val="23"/>
          <w:szCs w:val="23"/>
          <w:lang w:val="en-GB"/>
        </w:rPr>
        <w:t>Liveability: Regional Development Partnership, G21 Regional Growth Plan (GROW), partnerships addressing disadvantage.</w:t>
      </w:r>
    </w:p>
    <w:p w14:paraId="217ECDC8" w14:textId="77777777" w:rsidR="00F00E3D" w:rsidRPr="000452E5" w:rsidRDefault="00F00E3D" w:rsidP="009128F0">
      <w:pPr>
        <w:spacing w:after="0" w:line="276" w:lineRule="auto"/>
        <w:rPr>
          <w:rFonts w:asciiTheme="majorHAnsi" w:eastAsiaTheme="minorEastAsia" w:hAnsiTheme="majorHAnsi" w:cstheme="majorBidi"/>
          <w:sz w:val="8"/>
          <w:szCs w:val="8"/>
        </w:rPr>
      </w:pPr>
    </w:p>
    <w:p w14:paraId="18A92A61" w14:textId="2C1B7C8B" w:rsidR="00F00E3D" w:rsidRPr="00FC64A0" w:rsidRDefault="00F00E3D" w:rsidP="009128F0">
      <w:pPr>
        <w:spacing w:after="0" w:line="276" w:lineRule="auto"/>
        <w:rPr>
          <w:rFonts w:eastAsia="Calibri Light" w:cstheme="minorHAnsi"/>
          <w:b/>
          <w:bCs/>
          <w:sz w:val="23"/>
          <w:szCs w:val="23"/>
          <w:lang w:val="en-GB"/>
        </w:rPr>
      </w:pPr>
      <w:r w:rsidRPr="00FC64A0">
        <w:rPr>
          <w:rFonts w:eastAsia="Calibri Light" w:cstheme="minorHAnsi"/>
          <w:b/>
          <w:bCs/>
          <w:sz w:val="23"/>
          <w:szCs w:val="23"/>
          <w:lang w:val="en-GB"/>
        </w:rPr>
        <w:t xml:space="preserve">Local </w:t>
      </w:r>
      <w:r w:rsidR="00FC64A0" w:rsidRPr="00FC64A0">
        <w:rPr>
          <w:rFonts w:eastAsia="Calibri Light" w:cstheme="minorHAnsi"/>
          <w:b/>
          <w:bCs/>
          <w:sz w:val="23"/>
          <w:szCs w:val="23"/>
          <w:lang w:val="en-GB"/>
        </w:rPr>
        <w:t>Policy Context (</w:t>
      </w:r>
      <w:r w:rsidRPr="00FC64A0">
        <w:rPr>
          <w:rFonts w:eastAsia="Calibri Light" w:cstheme="minorHAnsi"/>
          <w:b/>
          <w:bCs/>
          <w:sz w:val="23"/>
          <w:szCs w:val="23"/>
          <w:lang w:val="en-GB"/>
        </w:rPr>
        <w:t xml:space="preserve">City </w:t>
      </w:r>
      <w:r w:rsidR="00FC64A0">
        <w:rPr>
          <w:rFonts w:eastAsia="Calibri Light" w:cstheme="minorHAnsi"/>
          <w:b/>
          <w:bCs/>
          <w:sz w:val="23"/>
          <w:szCs w:val="23"/>
          <w:lang w:val="en-GB"/>
        </w:rPr>
        <w:t>o</w:t>
      </w:r>
      <w:r w:rsidR="00FC64A0" w:rsidRPr="00FC64A0">
        <w:rPr>
          <w:rFonts w:eastAsia="Calibri Light" w:cstheme="minorHAnsi"/>
          <w:b/>
          <w:bCs/>
          <w:sz w:val="23"/>
          <w:szCs w:val="23"/>
          <w:lang w:val="en-GB"/>
        </w:rPr>
        <w:t xml:space="preserve">f </w:t>
      </w:r>
      <w:r w:rsidRPr="00FC64A0">
        <w:rPr>
          <w:rFonts w:eastAsia="Calibri Light" w:cstheme="minorHAnsi"/>
          <w:b/>
          <w:bCs/>
          <w:sz w:val="23"/>
          <w:szCs w:val="23"/>
          <w:lang w:val="en-GB"/>
        </w:rPr>
        <w:t>Greater Geelong</w:t>
      </w:r>
      <w:r w:rsidR="00FC64A0" w:rsidRPr="00FC64A0">
        <w:rPr>
          <w:rFonts w:eastAsia="Calibri Light" w:cstheme="minorHAnsi"/>
          <w:b/>
          <w:bCs/>
          <w:sz w:val="23"/>
          <w:szCs w:val="23"/>
          <w:lang w:val="en-GB"/>
        </w:rPr>
        <w:t>):</w:t>
      </w:r>
    </w:p>
    <w:p w14:paraId="2CCB91F9" w14:textId="693692CB" w:rsidR="00F00E3D" w:rsidRPr="008F22F5" w:rsidRDefault="00F00E3D" w:rsidP="00364C5D">
      <w:pPr>
        <w:pStyle w:val="ListParagraph"/>
        <w:numPr>
          <w:ilvl w:val="0"/>
          <w:numId w:val="73"/>
        </w:numPr>
        <w:spacing w:after="0" w:line="276" w:lineRule="auto"/>
        <w:rPr>
          <w:rFonts w:asciiTheme="majorHAnsi" w:eastAsiaTheme="minorEastAsia" w:hAnsiTheme="majorHAnsi" w:cstheme="majorBidi"/>
          <w:sz w:val="23"/>
          <w:szCs w:val="23"/>
          <w:lang w:val="en-GB"/>
        </w:rPr>
      </w:pPr>
      <w:r w:rsidRPr="178087EA">
        <w:rPr>
          <w:rFonts w:asciiTheme="majorHAnsi" w:eastAsia="Calibri Light" w:hAnsiTheme="majorHAnsi" w:cstheme="majorBidi"/>
          <w:sz w:val="23"/>
          <w:szCs w:val="23"/>
          <w:lang w:val="en-GB"/>
        </w:rPr>
        <w:t xml:space="preserve">Clever and Creative Future, Social Infrastructure Plan, Social Housing Plan 2020–2041, Skilling the Bay, GROW, Northern Geelong Growth Area Plan. </w:t>
      </w:r>
      <w:r w:rsidR="008370EF">
        <w:rPr>
          <w:rFonts w:asciiTheme="majorHAnsi" w:eastAsia="Calibri Light" w:hAnsiTheme="majorHAnsi" w:cstheme="majorBidi"/>
          <w:sz w:val="23"/>
          <w:szCs w:val="23"/>
          <w:lang w:val="en-GB"/>
        </w:rPr>
        <w:t>O</w:t>
      </w:r>
      <w:r w:rsidRPr="178087EA">
        <w:rPr>
          <w:rFonts w:asciiTheme="majorHAnsi" w:eastAsia="Calibri Light" w:hAnsiTheme="majorHAnsi" w:cstheme="majorBidi"/>
          <w:sz w:val="23"/>
          <w:szCs w:val="23"/>
          <w:lang w:val="en-GB"/>
        </w:rPr>
        <w:t xml:space="preserve">ther plans relevant to these three areas are considered in more detail in Part </w:t>
      </w:r>
      <w:r w:rsidR="008370EF">
        <w:rPr>
          <w:rFonts w:asciiTheme="majorHAnsi" w:eastAsia="Calibri Light" w:hAnsiTheme="majorHAnsi" w:cstheme="majorBidi"/>
          <w:sz w:val="23"/>
          <w:szCs w:val="23"/>
          <w:lang w:val="en-GB"/>
        </w:rPr>
        <w:t>B</w:t>
      </w:r>
      <w:r w:rsidRPr="178087EA">
        <w:rPr>
          <w:rFonts w:asciiTheme="majorHAnsi" w:eastAsia="Calibri Light" w:hAnsiTheme="majorHAnsi" w:cstheme="majorBidi"/>
          <w:sz w:val="23"/>
          <w:szCs w:val="23"/>
          <w:lang w:val="en-GB"/>
        </w:rPr>
        <w:t xml:space="preserve"> of this report.</w:t>
      </w:r>
    </w:p>
    <w:p w14:paraId="37508B5B" w14:textId="77777777" w:rsidR="008F22F5" w:rsidRPr="008F22F5" w:rsidRDefault="008F22F5" w:rsidP="008F22F5">
      <w:pPr>
        <w:spacing w:after="0" w:line="276" w:lineRule="auto"/>
        <w:rPr>
          <w:rFonts w:eastAsiaTheme="minorEastAsia" w:cstheme="minorHAnsi"/>
          <w:b/>
          <w:bCs/>
          <w:sz w:val="8"/>
          <w:szCs w:val="8"/>
          <w:lang w:val="en-GB"/>
        </w:rPr>
      </w:pPr>
    </w:p>
    <w:p w14:paraId="5015FAE8" w14:textId="25B0C08C" w:rsidR="008F22F5" w:rsidRDefault="008F22F5" w:rsidP="008F22F5">
      <w:pPr>
        <w:spacing w:after="0" w:line="276" w:lineRule="auto"/>
        <w:rPr>
          <w:rFonts w:eastAsiaTheme="minorEastAsia" w:cstheme="minorHAnsi"/>
          <w:b/>
          <w:bCs/>
          <w:sz w:val="23"/>
          <w:szCs w:val="23"/>
          <w:lang w:val="en-GB"/>
        </w:rPr>
      </w:pPr>
      <w:r w:rsidRPr="00FE5F1B">
        <w:rPr>
          <w:rFonts w:eastAsiaTheme="minorEastAsia" w:cstheme="minorHAnsi"/>
          <w:b/>
          <w:bCs/>
          <w:sz w:val="23"/>
          <w:szCs w:val="23"/>
          <w:lang w:val="en-GB"/>
        </w:rPr>
        <w:t>COVID-19 Polic</w:t>
      </w:r>
      <w:r w:rsidR="00E33A86">
        <w:rPr>
          <w:rFonts w:eastAsiaTheme="minorEastAsia" w:cstheme="minorHAnsi"/>
          <w:b/>
          <w:bCs/>
          <w:sz w:val="23"/>
          <w:szCs w:val="23"/>
          <w:lang w:val="en-GB"/>
        </w:rPr>
        <w:t>y Context</w:t>
      </w:r>
      <w:r w:rsidR="002B770A" w:rsidRPr="00FE5F1B">
        <w:rPr>
          <w:rFonts w:eastAsiaTheme="minorEastAsia" w:cstheme="minorHAnsi"/>
          <w:b/>
          <w:bCs/>
          <w:sz w:val="23"/>
          <w:szCs w:val="23"/>
          <w:lang w:val="en-GB"/>
        </w:rPr>
        <w:t>:</w:t>
      </w:r>
    </w:p>
    <w:p w14:paraId="41BC1F0E" w14:textId="66F749F3" w:rsidR="002B770A" w:rsidRPr="00FE5F1B" w:rsidRDefault="00FE5F1B" w:rsidP="00364C5D">
      <w:pPr>
        <w:pStyle w:val="ListParagraph"/>
        <w:numPr>
          <w:ilvl w:val="0"/>
          <w:numId w:val="77"/>
        </w:numPr>
        <w:spacing w:after="0" w:line="276" w:lineRule="auto"/>
        <w:rPr>
          <w:rFonts w:asciiTheme="majorHAnsi" w:eastAsiaTheme="minorEastAsia" w:hAnsiTheme="majorHAnsi" w:cstheme="majorHAnsi"/>
          <w:sz w:val="23"/>
          <w:szCs w:val="23"/>
          <w:lang w:val="en-GB"/>
        </w:rPr>
      </w:pPr>
      <w:bookmarkStart w:id="22" w:name="_Hlk71033651"/>
      <w:r w:rsidRPr="00FE5F1B">
        <w:rPr>
          <w:rFonts w:asciiTheme="majorHAnsi" w:eastAsiaTheme="minorEastAsia" w:hAnsiTheme="majorHAnsi" w:cstheme="majorHAnsi"/>
          <w:sz w:val="23"/>
          <w:szCs w:val="23"/>
          <w:lang w:val="en-GB"/>
        </w:rPr>
        <w:t>Housing</w:t>
      </w:r>
      <w:r w:rsidR="002B770A" w:rsidRPr="00FE5F1B">
        <w:rPr>
          <w:rFonts w:asciiTheme="majorHAnsi" w:eastAsiaTheme="minorEastAsia" w:hAnsiTheme="majorHAnsi" w:cstheme="majorHAnsi"/>
          <w:sz w:val="23"/>
          <w:szCs w:val="23"/>
          <w:lang w:val="en-GB"/>
        </w:rPr>
        <w:t xml:space="preserve">: </w:t>
      </w:r>
      <w:r w:rsidRPr="00FE5F1B">
        <w:rPr>
          <w:rFonts w:asciiTheme="majorHAnsi" w:eastAsiaTheme="minorEastAsia" w:hAnsiTheme="majorHAnsi" w:cstheme="majorHAnsi"/>
          <w:sz w:val="23"/>
          <w:szCs w:val="23"/>
          <w:lang w:val="en-GB"/>
        </w:rPr>
        <w:t>Rental variations and eviction bans (Federal); tax incentives for landlords to reduce rents and hardship payments for renters (Victoria)</w:t>
      </w:r>
    </w:p>
    <w:p w14:paraId="49FBE16E" w14:textId="3E83C456" w:rsidR="002B770A" w:rsidRPr="00FE5F1B" w:rsidRDefault="00FE5F1B" w:rsidP="00364C5D">
      <w:pPr>
        <w:pStyle w:val="ListParagraph"/>
        <w:numPr>
          <w:ilvl w:val="0"/>
          <w:numId w:val="77"/>
        </w:numPr>
        <w:spacing w:after="0" w:line="276" w:lineRule="auto"/>
        <w:rPr>
          <w:rFonts w:asciiTheme="majorHAnsi" w:eastAsiaTheme="minorEastAsia" w:hAnsiTheme="majorHAnsi" w:cstheme="majorHAnsi"/>
          <w:sz w:val="23"/>
          <w:szCs w:val="23"/>
          <w:lang w:val="en-GB"/>
        </w:rPr>
      </w:pPr>
      <w:r w:rsidRPr="00FE5F1B">
        <w:rPr>
          <w:rFonts w:asciiTheme="majorHAnsi" w:eastAsiaTheme="minorEastAsia" w:hAnsiTheme="majorHAnsi" w:cstheme="majorHAnsi"/>
          <w:sz w:val="23"/>
          <w:szCs w:val="23"/>
          <w:lang w:val="en-GB"/>
        </w:rPr>
        <w:t>Employment</w:t>
      </w:r>
      <w:r>
        <w:rPr>
          <w:rFonts w:asciiTheme="majorHAnsi" w:eastAsiaTheme="minorEastAsia" w:hAnsiTheme="majorHAnsi" w:cstheme="majorHAnsi"/>
          <w:sz w:val="23"/>
          <w:szCs w:val="23"/>
          <w:lang w:val="en-GB"/>
        </w:rPr>
        <w:t>/</w:t>
      </w:r>
      <w:r w:rsidRPr="00FE5F1B">
        <w:rPr>
          <w:rFonts w:asciiTheme="majorHAnsi" w:eastAsiaTheme="minorEastAsia" w:hAnsiTheme="majorHAnsi" w:cstheme="majorHAnsi"/>
          <w:sz w:val="23"/>
          <w:szCs w:val="23"/>
          <w:lang w:val="en-GB"/>
        </w:rPr>
        <w:t xml:space="preserve">Income Support: </w:t>
      </w:r>
      <w:r w:rsidR="002B770A" w:rsidRPr="00FE5F1B">
        <w:rPr>
          <w:rFonts w:asciiTheme="majorHAnsi" w:eastAsiaTheme="minorEastAsia" w:hAnsiTheme="majorHAnsi" w:cstheme="majorHAnsi"/>
          <w:sz w:val="23"/>
          <w:szCs w:val="23"/>
          <w:lang w:val="en-GB"/>
        </w:rPr>
        <w:t>JobSeeker Coronavirus Supplement</w:t>
      </w:r>
      <w:r>
        <w:rPr>
          <w:rFonts w:asciiTheme="majorHAnsi" w:eastAsiaTheme="minorEastAsia" w:hAnsiTheme="majorHAnsi" w:cstheme="majorHAnsi"/>
          <w:sz w:val="23"/>
          <w:szCs w:val="23"/>
          <w:lang w:val="en-GB"/>
        </w:rPr>
        <w:t>,</w:t>
      </w:r>
      <w:r w:rsidRPr="00FE5F1B">
        <w:rPr>
          <w:rFonts w:asciiTheme="majorHAnsi" w:eastAsiaTheme="minorEastAsia" w:hAnsiTheme="majorHAnsi" w:cstheme="majorHAnsi"/>
          <w:sz w:val="23"/>
          <w:szCs w:val="23"/>
          <w:lang w:val="en-GB"/>
        </w:rPr>
        <w:t xml:space="preserve"> </w:t>
      </w:r>
      <w:r w:rsidR="002B770A" w:rsidRPr="00FE5F1B">
        <w:rPr>
          <w:rFonts w:asciiTheme="majorHAnsi" w:eastAsiaTheme="minorEastAsia" w:hAnsiTheme="majorHAnsi" w:cstheme="majorHAnsi"/>
          <w:sz w:val="23"/>
          <w:szCs w:val="23"/>
          <w:lang w:val="en-GB"/>
        </w:rPr>
        <w:t>JobKeeper</w:t>
      </w:r>
      <w:r w:rsidRPr="00FE5F1B">
        <w:rPr>
          <w:rFonts w:asciiTheme="majorHAnsi" w:eastAsiaTheme="minorEastAsia" w:hAnsiTheme="majorHAnsi" w:cstheme="majorHAnsi"/>
          <w:sz w:val="23"/>
          <w:szCs w:val="23"/>
          <w:lang w:val="en-GB"/>
        </w:rPr>
        <w:t xml:space="preserve"> scheme (Federal)</w:t>
      </w:r>
    </w:p>
    <w:p w14:paraId="20FD8013" w14:textId="4F922646" w:rsidR="002B770A" w:rsidRPr="00FE5F1B" w:rsidRDefault="002B770A" w:rsidP="00364C5D">
      <w:pPr>
        <w:pStyle w:val="ListParagraph"/>
        <w:numPr>
          <w:ilvl w:val="0"/>
          <w:numId w:val="77"/>
        </w:numPr>
        <w:spacing w:after="0" w:line="276" w:lineRule="auto"/>
        <w:rPr>
          <w:rFonts w:asciiTheme="majorHAnsi" w:eastAsiaTheme="minorEastAsia" w:hAnsiTheme="majorHAnsi" w:cstheme="majorHAnsi"/>
          <w:sz w:val="23"/>
          <w:szCs w:val="23"/>
          <w:lang w:val="en-GB"/>
        </w:rPr>
      </w:pPr>
      <w:r w:rsidRPr="00FE5F1B">
        <w:rPr>
          <w:rFonts w:asciiTheme="majorHAnsi" w:eastAsiaTheme="minorEastAsia" w:hAnsiTheme="majorHAnsi" w:cstheme="majorHAnsi"/>
          <w:sz w:val="23"/>
          <w:szCs w:val="23"/>
          <w:lang w:val="en-GB"/>
        </w:rPr>
        <w:t xml:space="preserve">Victorian State Budget: </w:t>
      </w:r>
      <w:r w:rsidR="00FE5F1B" w:rsidRPr="00FE5F1B">
        <w:rPr>
          <w:rFonts w:asciiTheme="majorHAnsi" w:eastAsiaTheme="minorEastAsia" w:hAnsiTheme="majorHAnsi" w:cstheme="majorHAnsi"/>
          <w:sz w:val="23"/>
          <w:szCs w:val="23"/>
          <w:lang w:val="en-GB"/>
        </w:rPr>
        <w:t>R</w:t>
      </w:r>
      <w:r w:rsidRPr="00FE5F1B">
        <w:rPr>
          <w:rFonts w:asciiTheme="majorHAnsi" w:eastAsiaTheme="minorEastAsia" w:hAnsiTheme="majorHAnsi" w:cstheme="majorHAnsi"/>
          <w:sz w:val="23"/>
          <w:szCs w:val="23"/>
          <w:lang w:val="en-GB"/>
        </w:rPr>
        <w:t>ange of funding for Geelong</w:t>
      </w:r>
    </w:p>
    <w:p w14:paraId="38270CFA" w14:textId="136E9084" w:rsidR="002B770A" w:rsidRPr="00FE5F1B" w:rsidRDefault="00FE5F1B" w:rsidP="00364C5D">
      <w:pPr>
        <w:pStyle w:val="ListParagraph"/>
        <w:numPr>
          <w:ilvl w:val="0"/>
          <w:numId w:val="77"/>
        </w:numPr>
        <w:spacing w:after="0" w:line="276" w:lineRule="auto"/>
        <w:rPr>
          <w:rFonts w:asciiTheme="majorHAnsi" w:eastAsiaTheme="minorEastAsia" w:hAnsiTheme="majorHAnsi" w:cstheme="majorHAnsi"/>
          <w:sz w:val="23"/>
          <w:szCs w:val="23"/>
          <w:lang w:val="en-GB"/>
        </w:rPr>
      </w:pPr>
      <w:r w:rsidRPr="00FE5F1B">
        <w:rPr>
          <w:rFonts w:asciiTheme="majorHAnsi" w:eastAsiaTheme="minorEastAsia" w:hAnsiTheme="majorHAnsi" w:cstheme="majorHAnsi"/>
          <w:sz w:val="23"/>
          <w:szCs w:val="23"/>
          <w:lang w:val="en-GB"/>
        </w:rPr>
        <w:t>Health: extra</w:t>
      </w:r>
      <w:r w:rsidR="002B770A" w:rsidRPr="00FE5F1B">
        <w:rPr>
          <w:rFonts w:asciiTheme="majorHAnsi" w:eastAsiaTheme="minorEastAsia" w:hAnsiTheme="majorHAnsi" w:cstheme="majorHAnsi"/>
          <w:sz w:val="23"/>
          <w:szCs w:val="23"/>
          <w:lang w:val="en-GB"/>
        </w:rPr>
        <w:t xml:space="preserve"> funding for mental health and telehealth services (</w:t>
      </w:r>
      <w:r w:rsidRPr="00FE5F1B">
        <w:rPr>
          <w:rFonts w:asciiTheme="majorHAnsi" w:eastAsiaTheme="minorEastAsia" w:hAnsiTheme="majorHAnsi" w:cstheme="majorHAnsi"/>
          <w:sz w:val="23"/>
          <w:szCs w:val="23"/>
          <w:lang w:val="en-GB"/>
        </w:rPr>
        <w:t>various)</w:t>
      </w:r>
    </w:p>
    <w:p w14:paraId="4D29B5E0" w14:textId="6E1D2F71" w:rsidR="002B770A" w:rsidRPr="00FE5F1B" w:rsidRDefault="00FE5F1B" w:rsidP="00364C5D">
      <w:pPr>
        <w:pStyle w:val="ListParagraph"/>
        <w:numPr>
          <w:ilvl w:val="0"/>
          <w:numId w:val="77"/>
        </w:numPr>
        <w:spacing w:after="0" w:line="276" w:lineRule="auto"/>
        <w:rPr>
          <w:rFonts w:asciiTheme="majorHAnsi" w:eastAsiaTheme="minorEastAsia" w:hAnsiTheme="majorHAnsi" w:cstheme="majorHAnsi"/>
          <w:sz w:val="23"/>
          <w:szCs w:val="23"/>
          <w:lang w:val="en-GB"/>
        </w:rPr>
      </w:pPr>
      <w:r w:rsidRPr="00FE5F1B">
        <w:rPr>
          <w:rFonts w:asciiTheme="majorHAnsi" w:eastAsiaTheme="minorEastAsia" w:hAnsiTheme="majorHAnsi" w:cstheme="majorHAnsi"/>
          <w:sz w:val="23"/>
          <w:szCs w:val="23"/>
          <w:lang w:val="en-GB"/>
        </w:rPr>
        <w:t>Education</w:t>
      </w:r>
      <w:r w:rsidR="002B770A" w:rsidRPr="00FE5F1B">
        <w:rPr>
          <w:rFonts w:asciiTheme="majorHAnsi" w:eastAsiaTheme="minorEastAsia" w:hAnsiTheme="majorHAnsi" w:cstheme="majorHAnsi"/>
          <w:sz w:val="23"/>
          <w:szCs w:val="23"/>
          <w:lang w:val="en-GB"/>
        </w:rPr>
        <w:t>: Tutor Learning Initiative 2021</w:t>
      </w:r>
      <w:r w:rsidRPr="00FE5F1B">
        <w:rPr>
          <w:rFonts w:asciiTheme="majorHAnsi" w:eastAsiaTheme="minorEastAsia" w:hAnsiTheme="majorHAnsi" w:cstheme="majorHAnsi"/>
          <w:sz w:val="23"/>
          <w:szCs w:val="23"/>
          <w:lang w:val="en-GB"/>
        </w:rPr>
        <w:t xml:space="preserve"> (State)</w:t>
      </w:r>
    </w:p>
    <w:bookmarkEnd w:id="22"/>
    <w:p w14:paraId="60640436" w14:textId="77777777" w:rsidR="002B770A" w:rsidRPr="00FE5F1B" w:rsidRDefault="002B770A" w:rsidP="008F22F5">
      <w:pPr>
        <w:spacing w:after="0" w:line="276" w:lineRule="auto"/>
        <w:rPr>
          <w:rFonts w:eastAsiaTheme="minorEastAsia" w:cstheme="minorHAnsi"/>
          <w:b/>
          <w:bCs/>
          <w:sz w:val="12"/>
          <w:szCs w:val="12"/>
          <w:lang w:val="en-GB"/>
        </w:rPr>
      </w:pPr>
    </w:p>
    <w:p w14:paraId="0597314A" w14:textId="437DA55F" w:rsidR="00F00E3D" w:rsidRDefault="00241FB1" w:rsidP="009128F0">
      <w:pPr>
        <w:spacing w:after="0" w:line="276" w:lineRule="auto"/>
        <w:rPr>
          <w:rFonts w:eastAsiaTheme="minorEastAsia" w:cstheme="minorHAnsi"/>
          <w:b/>
          <w:bCs/>
          <w:color w:val="2F5496" w:themeColor="accent1" w:themeShade="BF"/>
          <w:sz w:val="25"/>
          <w:szCs w:val="25"/>
          <w:lang w:val="en-GB"/>
        </w:rPr>
      </w:pPr>
      <w:r w:rsidRPr="00FE5F1B">
        <w:rPr>
          <w:rFonts w:eastAsiaTheme="minorEastAsia" w:cstheme="minorHAnsi"/>
          <w:b/>
          <w:bCs/>
          <w:color w:val="2F5496" w:themeColor="accent1" w:themeShade="BF"/>
          <w:sz w:val="25"/>
          <w:szCs w:val="25"/>
          <w:lang w:val="en-GB"/>
        </w:rPr>
        <w:t>Current and Potential Funding Opportunities</w:t>
      </w:r>
    </w:p>
    <w:p w14:paraId="463E01A8" w14:textId="77777777" w:rsidR="00FE5F1B" w:rsidRPr="00FE5F1B" w:rsidRDefault="00FE5F1B" w:rsidP="009128F0">
      <w:pPr>
        <w:spacing w:after="0" w:line="276" w:lineRule="auto"/>
        <w:rPr>
          <w:rFonts w:eastAsiaTheme="minorEastAsia" w:cstheme="minorHAnsi"/>
          <w:b/>
          <w:bCs/>
          <w:color w:val="2F5496" w:themeColor="accent1" w:themeShade="BF"/>
          <w:sz w:val="8"/>
          <w:szCs w:val="8"/>
          <w:lang w:val="en-GB"/>
        </w:rPr>
      </w:pPr>
    </w:p>
    <w:p w14:paraId="53B52630" w14:textId="39212585" w:rsidR="008370EF" w:rsidRPr="001C4BBB" w:rsidRDefault="007320D6" w:rsidP="006F7BCE">
      <w:pPr>
        <w:pStyle w:val="ListParagraph"/>
        <w:numPr>
          <w:ilvl w:val="0"/>
          <w:numId w:val="9"/>
        </w:numPr>
        <w:spacing w:after="0" w:line="276" w:lineRule="auto"/>
        <w:rPr>
          <w:rFonts w:asciiTheme="majorHAnsi" w:eastAsia="Times New Roman" w:hAnsiTheme="majorHAnsi" w:cstheme="majorHAnsi"/>
          <w:sz w:val="23"/>
          <w:szCs w:val="23"/>
          <w:lang w:val="en-GB"/>
        </w:rPr>
      </w:pPr>
      <w:hyperlink r:id="rId20" w:history="1">
        <w:r w:rsidR="008370EF" w:rsidRPr="001C4BBB">
          <w:rPr>
            <w:rStyle w:val="Hyperlink"/>
            <w:rFonts w:asciiTheme="majorHAnsi" w:eastAsia="Times New Roman" w:hAnsiTheme="majorHAnsi" w:cstheme="majorHAnsi"/>
            <w:b/>
            <w:bCs/>
            <w:sz w:val="23"/>
            <w:szCs w:val="23"/>
            <w:lang w:val="en-GB"/>
          </w:rPr>
          <w:t>Jobs Victoria Fund (Now</w:t>
        </w:r>
        <w:r w:rsidR="001C4BBB" w:rsidRPr="001C4BBB">
          <w:rPr>
            <w:rStyle w:val="Hyperlink"/>
            <w:rFonts w:asciiTheme="majorHAnsi" w:eastAsia="Times New Roman" w:hAnsiTheme="majorHAnsi" w:cstheme="majorHAnsi"/>
            <w:b/>
            <w:bCs/>
            <w:sz w:val="23"/>
            <w:szCs w:val="23"/>
            <w:lang w:val="en-GB"/>
          </w:rPr>
          <w:t xml:space="preserve"> </w:t>
        </w:r>
        <w:r w:rsidR="001C4BBB">
          <w:rPr>
            <w:rStyle w:val="Hyperlink"/>
            <w:rFonts w:asciiTheme="majorHAnsi" w:eastAsia="Times New Roman" w:hAnsiTheme="majorHAnsi" w:cstheme="majorHAnsi"/>
            <w:b/>
            <w:bCs/>
            <w:sz w:val="23"/>
            <w:szCs w:val="23"/>
            <w:lang w:val="en-GB"/>
          </w:rPr>
          <w:t>o</w:t>
        </w:r>
        <w:r w:rsidR="001C4BBB" w:rsidRPr="001C4BBB">
          <w:rPr>
            <w:rStyle w:val="Hyperlink"/>
            <w:rFonts w:asciiTheme="majorHAnsi" w:eastAsia="Times New Roman" w:hAnsiTheme="majorHAnsi" w:cstheme="majorHAnsi"/>
            <w:b/>
            <w:bCs/>
            <w:sz w:val="23"/>
            <w:szCs w:val="23"/>
            <w:lang w:val="en-GB"/>
          </w:rPr>
          <w:t>pen</w:t>
        </w:r>
        <w:r w:rsidR="008370EF" w:rsidRPr="001C4BBB">
          <w:rPr>
            <w:rStyle w:val="Hyperlink"/>
            <w:rFonts w:asciiTheme="majorHAnsi" w:eastAsia="Times New Roman" w:hAnsiTheme="majorHAnsi" w:cstheme="majorHAnsi"/>
            <w:b/>
            <w:bCs/>
            <w:sz w:val="23"/>
            <w:szCs w:val="23"/>
            <w:lang w:val="en-GB"/>
          </w:rPr>
          <w:t>):</w:t>
        </w:r>
      </w:hyperlink>
      <w:r w:rsidR="008370EF" w:rsidRPr="001C4BBB">
        <w:rPr>
          <w:rFonts w:asciiTheme="majorHAnsi" w:hAnsiTheme="majorHAnsi" w:cstheme="majorHAnsi"/>
          <w:sz w:val="23"/>
          <w:szCs w:val="23"/>
        </w:rPr>
        <w:t xml:space="preserve"> </w:t>
      </w:r>
      <w:r w:rsidR="008370EF" w:rsidRPr="001C4BBB">
        <w:rPr>
          <w:rFonts w:asciiTheme="majorHAnsi" w:eastAsia="Times New Roman" w:hAnsiTheme="majorHAnsi" w:cstheme="majorHAnsi"/>
          <w:sz w:val="23"/>
          <w:szCs w:val="23"/>
          <w:lang w:val="en-GB"/>
        </w:rPr>
        <w:t>Wage subsidies up to $20,000 for eligible employers hiring jobseekers from priority groups (women, people over 45 or under 25, long-term unemployed, people with disability, Aboriginal and Torres Strait Islander people, asylum seekers/refugees, new migrants, veterans).</w:t>
      </w:r>
    </w:p>
    <w:p w14:paraId="144A98EF" w14:textId="569346C1" w:rsidR="00F00E3D" w:rsidRPr="001C4BBB" w:rsidRDefault="007320D6" w:rsidP="006F7BCE">
      <w:pPr>
        <w:pStyle w:val="ListParagraph"/>
        <w:numPr>
          <w:ilvl w:val="0"/>
          <w:numId w:val="9"/>
        </w:numPr>
        <w:spacing w:after="0" w:line="276" w:lineRule="auto"/>
        <w:rPr>
          <w:rFonts w:asciiTheme="majorHAnsi" w:hAnsiTheme="majorHAnsi" w:cstheme="majorHAnsi"/>
          <w:sz w:val="23"/>
          <w:szCs w:val="23"/>
        </w:rPr>
      </w:pPr>
      <w:hyperlink r:id="rId21">
        <w:r w:rsidR="00F00E3D" w:rsidRPr="001C4BBB">
          <w:rPr>
            <w:rStyle w:val="Hyperlink"/>
            <w:rFonts w:asciiTheme="majorHAnsi" w:eastAsia="Times New Roman" w:hAnsiTheme="majorHAnsi" w:cstheme="majorHAnsi"/>
            <w:b/>
            <w:bCs/>
            <w:sz w:val="23"/>
            <w:szCs w:val="23"/>
            <w:lang w:val="en-GB"/>
          </w:rPr>
          <w:t>Building Better Regions (BBRF) Round 5 (Close</w:t>
        </w:r>
        <w:r w:rsidR="001C4BBB">
          <w:rPr>
            <w:rStyle w:val="Hyperlink"/>
            <w:rFonts w:asciiTheme="majorHAnsi" w:eastAsia="Times New Roman" w:hAnsiTheme="majorHAnsi" w:cstheme="majorHAnsi"/>
            <w:b/>
            <w:bCs/>
            <w:sz w:val="23"/>
            <w:szCs w:val="23"/>
            <w:lang w:val="en-GB"/>
          </w:rPr>
          <w:t>d</w:t>
        </w:r>
        <w:r w:rsidR="00F00E3D" w:rsidRPr="001C4BBB">
          <w:rPr>
            <w:rStyle w:val="Hyperlink"/>
            <w:rFonts w:asciiTheme="majorHAnsi" w:eastAsia="Times New Roman" w:hAnsiTheme="majorHAnsi" w:cstheme="majorHAnsi"/>
            <w:b/>
            <w:bCs/>
            <w:sz w:val="23"/>
            <w:szCs w:val="23"/>
            <w:lang w:val="en-GB"/>
          </w:rPr>
          <w:t xml:space="preserve"> 05/03/2021</w:t>
        </w:r>
      </w:hyperlink>
      <w:r w:rsidR="00F00E3D" w:rsidRPr="001C4BBB">
        <w:rPr>
          <w:rStyle w:val="Hyperlink"/>
          <w:rFonts w:asciiTheme="majorHAnsi" w:eastAsia="Times New Roman" w:hAnsiTheme="majorHAnsi" w:cstheme="majorHAnsi"/>
          <w:b/>
          <w:bCs/>
          <w:sz w:val="23"/>
          <w:szCs w:val="23"/>
          <w:lang w:val="en-GB"/>
        </w:rPr>
        <w:t xml:space="preserve">): </w:t>
      </w:r>
      <w:r w:rsidR="00F00E3D" w:rsidRPr="001C4BBB">
        <w:rPr>
          <w:rFonts w:asciiTheme="majorHAnsi" w:eastAsia="Times New Roman" w:hAnsiTheme="majorHAnsi" w:cstheme="majorHAnsi"/>
          <w:sz w:val="23"/>
          <w:szCs w:val="23"/>
          <w:lang w:val="en-GB"/>
        </w:rPr>
        <w:t>Funds projects involving construction of new infrastructure or upgrade of existing infrastructure, and also new or expanded local events, strategic regional plans, leadership and capability building activities.</w:t>
      </w:r>
    </w:p>
    <w:p w14:paraId="0CD9D362" w14:textId="3FC09FFA" w:rsidR="00F00E3D" w:rsidRPr="001C4BBB" w:rsidRDefault="007320D6" w:rsidP="006F7BCE">
      <w:pPr>
        <w:pStyle w:val="ListParagraph"/>
        <w:numPr>
          <w:ilvl w:val="0"/>
          <w:numId w:val="9"/>
        </w:numPr>
        <w:spacing w:after="0" w:line="276" w:lineRule="auto"/>
        <w:rPr>
          <w:rFonts w:asciiTheme="majorHAnsi" w:hAnsiTheme="majorHAnsi" w:cstheme="majorHAnsi"/>
          <w:sz w:val="23"/>
          <w:szCs w:val="23"/>
        </w:rPr>
      </w:pPr>
      <w:hyperlink r:id="rId22">
        <w:r w:rsidR="00F00E3D" w:rsidRPr="001C4BBB">
          <w:rPr>
            <w:rStyle w:val="Hyperlink"/>
            <w:rFonts w:asciiTheme="majorHAnsi" w:eastAsia="Times New Roman" w:hAnsiTheme="majorHAnsi" w:cstheme="majorHAnsi"/>
            <w:b/>
            <w:bCs/>
            <w:sz w:val="23"/>
            <w:szCs w:val="23"/>
            <w:lang w:val="en-GB"/>
          </w:rPr>
          <w:t>Stronger Communities Program Round 6 (Close</w:t>
        </w:r>
        <w:r w:rsidR="001C4BBB">
          <w:rPr>
            <w:rStyle w:val="Hyperlink"/>
            <w:rFonts w:asciiTheme="majorHAnsi" w:eastAsia="Times New Roman" w:hAnsiTheme="majorHAnsi" w:cstheme="majorHAnsi"/>
            <w:b/>
            <w:bCs/>
            <w:sz w:val="23"/>
            <w:szCs w:val="23"/>
            <w:lang w:val="en-GB"/>
          </w:rPr>
          <w:t>d</w:t>
        </w:r>
        <w:r w:rsidR="00F00E3D" w:rsidRPr="001C4BBB">
          <w:rPr>
            <w:rStyle w:val="Hyperlink"/>
            <w:rFonts w:asciiTheme="majorHAnsi" w:eastAsia="Times New Roman" w:hAnsiTheme="majorHAnsi" w:cstheme="majorHAnsi"/>
            <w:b/>
            <w:bCs/>
            <w:sz w:val="23"/>
            <w:szCs w:val="23"/>
            <w:lang w:val="en-GB"/>
          </w:rPr>
          <w:t xml:space="preserve"> 22/03/2021</w:t>
        </w:r>
      </w:hyperlink>
      <w:r w:rsidR="00F00E3D" w:rsidRPr="001C4BBB">
        <w:rPr>
          <w:rStyle w:val="Hyperlink"/>
          <w:rFonts w:asciiTheme="majorHAnsi" w:eastAsia="Times New Roman" w:hAnsiTheme="majorHAnsi" w:cstheme="majorHAnsi"/>
          <w:b/>
          <w:bCs/>
          <w:sz w:val="23"/>
          <w:szCs w:val="23"/>
          <w:lang w:val="en-GB"/>
        </w:rPr>
        <w:t>):</w:t>
      </w:r>
      <w:r w:rsidR="00F00E3D" w:rsidRPr="001C4BBB">
        <w:rPr>
          <w:rStyle w:val="Hyperlink"/>
          <w:rFonts w:asciiTheme="majorHAnsi" w:hAnsiTheme="majorHAnsi" w:cstheme="majorHAnsi"/>
          <w:sz w:val="23"/>
          <w:szCs w:val="23"/>
        </w:rPr>
        <w:t xml:space="preserve"> </w:t>
      </w:r>
      <w:r w:rsidR="00F00E3D" w:rsidRPr="001C4BBB">
        <w:rPr>
          <w:rFonts w:asciiTheme="majorHAnsi" w:eastAsia="Times New Roman" w:hAnsiTheme="majorHAnsi" w:cstheme="majorHAnsi"/>
          <w:sz w:val="23"/>
          <w:szCs w:val="23"/>
          <w:lang w:val="en-GB"/>
        </w:rPr>
        <w:t xml:space="preserve">Up to $20,000 ($150,00 </w:t>
      </w:r>
      <w:r w:rsidR="00241FB1">
        <w:rPr>
          <w:rFonts w:asciiTheme="majorHAnsi" w:eastAsia="Times New Roman" w:hAnsiTheme="majorHAnsi" w:cstheme="majorHAnsi"/>
          <w:sz w:val="23"/>
          <w:szCs w:val="23"/>
          <w:lang w:val="en-GB"/>
        </w:rPr>
        <w:t xml:space="preserve">per </w:t>
      </w:r>
      <w:r w:rsidR="00F00E3D" w:rsidRPr="001C4BBB">
        <w:rPr>
          <w:rFonts w:asciiTheme="majorHAnsi" w:eastAsia="Times New Roman" w:hAnsiTheme="majorHAnsi" w:cstheme="majorHAnsi"/>
          <w:sz w:val="23"/>
          <w:szCs w:val="23"/>
          <w:lang w:val="en-GB"/>
        </w:rPr>
        <w:t>electorate) to fund small capital projects t</w:t>
      </w:r>
      <w:r w:rsidR="00241FB1">
        <w:rPr>
          <w:rFonts w:asciiTheme="majorHAnsi" w:eastAsia="Times New Roman" w:hAnsiTheme="majorHAnsi" w:cstheme="majorHAnsi"/>
          <w:sz w:val="23"/>
          <w:szCs w:val="23"/>
          <w:lang w:val="en-GB"/>
        </w:rPr>
        <w:t>o</w:t>
      </w:r>
      <w:r w:rsidR="00F00E3D" w:rsidRPr="001C4BBB">
        <w:rPr>
          <w:rFonts w:asciiTheme="majorHAnsi" w:eastAsia="Times New Roman" w:hAnsiTheme="majorHAnsi" w:cstheme="majorHAnsi"/>
          <w:sz w:val="23"/>
          <w:szCs w:val="23"/>
          <w:lang w:val="en-GB"/>
        </w:rPr>
        <w:t xml:space="preserve"> improve community participatio</w:t>
      </w:r>
      <w:r w:rsidR="00241FB1">
        <w:rPr>
          <w:rFonts w:asciiTheme="majorHAnsi" w:eastAsia="Times New Roman" w:hAnsiTheme="majorHAnsi" w:cstheme="majorHAnsi"/>
          <w:sz w:val="23"/>
          <w:szCs w:val="23"/>
          <w:lang w:val="en-GB"/>
        </w:rPr>
        <w:t>n, vibrancy, and viability</w:t>
      </w:r>
      <w:r w:rsidR="00F00E3D" w:rsidRPr="001C4BBB">
        <w:rPr>
          <w:rFonts w:asciiTheme="majorHAnsi" w:eastAsia="Times New Roman" w:hAnsiTheme="majorHAnsi" w:cstheme="majorHAnsi"/>
          <w:sz w:val="23"/>
          <w:szCs w:val="23"/>
          <w:lang w:val="en-GB"/>
        </w:rPr>
        <w:t>. Federal MPs identify potential projects and invite applications from their electorate.</w:t>
      </w:r>
    </w:p>
    <w:p w14:paraId="1B8EFFD1" w14:textId="54417420" w:rsidR="00F00E3D" w:rsidRPr="001C4BBB" w:rsidRDefault="007320D6" w:rsidP="006F7BCE">
      <w:pPr>
        <w:pStyle w:val="ListParagraph"/>
        <w:numPr>
          <w:ilvl w:val="0"/>
          <w:numId w:val="9"/>
        </w:numPr>
        <w:spacing w:after="0" w:line="276" w:lineRule="auto"/>
        <w:rPr>
          <w:rFonts w:asciiTheme="majorHAnsi" w:hAnsiTheme="majorHAnsi" w:cstheme="majorHAnsi"/>
          <w:sz w:val="23"/>
          <w:szCs w:val="23"/>
        </w:rPr>
      </w:pPr>
      <w:hyperlink r:id="rId23">
        <w:r w:rsidR="00F00E3D" w:rsidRPr="001C4BBB">
          <w:rPr>
            <w:rStyle w:val="Hyperlink"/>
            <w:rFonts w:asciiTheme="majorHAnsi" w:eastAsia="Times New Roman" w:hAnsiTheme="majorHAnsi" w:cstheme="majorHAnsi"/>
            <w:b/>
            <w:bCs/>
            <w:sz w:val="23"/>
            <w:szCs w:val="23"/>
            <w:lang w:val="en-GB"/>
          </w:rPr>
          <w:t>Community Development Grants Program (</w:t>
        </w:r>
        <w:r w:rsidR="00092843" w:rsidRPr="001C4BBB">
          <w:rPr>
            <w:rStyle w:val="Hyperlink"/>
            <w:rFonts w:asciiTheme="majorHAnsi" w:eastAsia="Times New Roman" w:hAnsiTheme="majorHAnsi" w:cstheme="majorHAnsi"/>
            <w:b/>
            <w:bCs/>
            <w:sz w:val="23"/>
            <w:szCs w:val="23"/>
            <w:lang w:val="en-GB"/>
          </w:rPr>
          <w:t>l</w:t>
        </w:r>
        <w:r w:rsidR="00F00E3D" w:rsidRPr="001C4BBB">
          <w:rPr>
            <w:rStyle w:val="Hyperlink"/>
            <w:rFonts w:asciiTheme="majorHAnsi" w:eastAsia="Times New Roman" w:hAnsiTheme="majorHAnsi" w:cstheme="majorHAnsi"/>
            <w:b/>
            <w:bCs/>
            <w:sz w:val="23"/>
            <w:szCs w:val="23"/>
            <w:lang w:val="en-GB"/>
          </w:rPr>
          <w:t>imited information currently available</w:t>
        </w:r>
      </w:hyperlink>
      <w:r w:rsidR="00F00E3D" w:rsidRPr="001C4BBB">
        <w:rPr>
          <w:rStyle w:val="Hyperlink"/>
          <w:rFonts w:asciiTheme="majorHAnsi" w:eastAsia="Times New Roman" w:hAnsiTheme="majorHAnsi" w:cstheme="majorHAnsi"/>
          <w:b/>
          <w:bCs/>
          <w:sz w:val="23"/>
          <w:szCs w:val="23"/>
          <w:lang w:val="en-GB"/>
        </w:rPr>
        <w:t>)</w:t>
      </w:r>
    </w:p>
    <w:p w14:paraId="742ECAFF" w14:textId="66D988FF" w:rsidR="009128F0" w:rsidRPr="001C4BBB" w:rsidRDefault="007320D6" w:rsidP="006F7BCE">
      <w:pPr>
        <w:pStyle w:val="ListParagraph"/>
        <w:numPr>
          <w:ilvl w:val="0"/>
          <w:numId w:val="9"/>
        </w:numPr>
        <w:spacing w:after="0" w:line="276" w:lineRule="auto"/>
        <w:rPr>
          <w:rFonts w:asciiTheme="majorHAnsi" w:hAnsiTheme="majorHAnsi" w:cstheme="majorHAnsi"/>
          <w:sz w:val="23"/>
          <w:szCs w:val="23"/>
        </w:rPr>
      </w:pPr>
      <w:hyperlink r:id="rId24">
        <w:r w:rsidR="00F00E3D" w:rsidRPr="001C4BBB">
          <w:rPr>
            <w:rStyle w:val="Hyperlink"/>
            <w:rFonts w:asciiTheme="majorHAnsi" w:eastAsia="Times New Roman" w:hAnsiTheme="majorHAnsi" w:cstheme="majorHAnsi"/>
            <w:b/>
            <w:bCs/>
            <w:sz w:val="23"/>
            <w:szCs w:val="23"/>
            <w:lang w:val="en-GB"/>
          </w:rPr>
          <w:t>Stronger Regional Communities Program (</w:t>
        </w:r>
        <w:r w:rsidR="00092843" w:rsidRPr="001C4BBB">
          <w:rPr>
            <w:rStyle w:val="Hyperlink"/>
            <w:rFonts w:asciiTheme="majorHAnsi" w:eastAsia="Times New Roman" w:hAnsiTheme="majorHAnsi" w:cstheme="majorHAnsi"/>
            <w:b/>
            <w:bCs/>
            <w:sz w:val="23"/>
            <w:szCs w:val="23"/>
            <w:lang w:val="en-GB"/>
          </w:rPr>
          <w:t>f</w:t>
        </w:r>
        <w:r w:rsidR="00F00E3D" w:rsidRPr="001C4BBB">
          <w:rPr>
            <w:rStyle w:val="Hyperlink"/>
            <w:rFonts w:asciiTheme="majorHAnsi" w:eastAsia="Times New Roman" w:hAnsiTheme="majorHAnsi" w:cstheme="majorHAnsi"/>
            <w:b/>
            <w:bCs/>
            <w:sz w:val="23"/>
            <w:szCs w:val="23"/>
            <w:lang w:val="en-GB"/>
          </w:rPr>
          <w:t>unding not currently open</w:t>
        </w:r>
      </w:hyperlink>
      <w:r w:rsidR="00F00E3D" w:rsidRPr="001C4BBB">
        <w:rPr>
          <w:rStyle w:val="Hyperlink"/>
          <w:rFonts w:asciiTheme="majorHAnsi" w:eastAsia="Times New Roman" w:hAnsiTheme="majorHAnsi" w:cstheme="majorHAnsi"/>
          <w:b/>
          <w:bCs/>
          <w:sz w:val="23"/>
          <w:szCs w:val="23"/>
          <w:lang w:val="en-GB"/>
        </w:rPr>
        <w:t>)</w:t>
      </w:r>
    </w:p>
    <w:p w14:paraId="57F8A4A7" w14:textId="068D4222" w:rsidR="009128F0" w:rsidRPr="009128F0" w:rsidRDefault="009128F0" w:rsidP="009128F0">
      <w:pPr>
        <w:spacing w:after="0" w:line="276" w:lineRule="auto"/>
        <w:rPr>
          <w:rFonts w:asciiTheme="majorHAnsi" w:hAnsiTheme="majorHAnsi" w:cstheme="majorHAnsi"/>
          <w:sz w:val="23"/>
          <w:szCs w:val="23"/>
        </w:rPr>
        <w:sectPr w:rsidR="009128F0" w:rsidRPr="009128F0" w:rsidSect="00152D83">
          <w:pgSz w:w="11900" w:h="16840"/>
          <w:pgMar w:top="1134" w:right="1134" w:bottom="1134" w:left="1134" w:header="709" w:footer="709" w:gutter="0"/>
          <w:cols w:space="708"/>
          <w:docGrid w:linePitch="360"/>
        </w:sectPr>
      </w:pPr>
    </w:p>
    <w:p w14:paraId="78D18F8E" w14:textId="47AFB15F" w:rsidR="00F00E3D" w:rsidRPr="008F4BF3" w:rsidRDefault="00F00E3D" w:rsidP="009B2FA7">
      <w:pPr>
        <w:spacing w:line="257" w:lineRule="auto"/>
        <w:rPr>
          <w:rFonts w:cstheme="minorHAnsi"/>
          <w:color w:val="2E74B5" w:themeColor="accent5" w:themeShade="BF"/>
          <w:sz w:val="28"/>
          <w:szCs w:val="28"/>
        </w:rPr>
      </w:pPr>
      <w:r w:rsidRPr="008F4BF3">
        <w:rPr>
          <w:rFonts w:eastAsia="Times New Roman" w:cstheme="minorHAnsi"/>
          <w:b/>
          <w:bCs/>
          <w:color w:val="2E74B5" w:themeColor="accent5" w:themeShade="BF"/>
          <w:sz w:val="28"/>
          <w:szCs w:val="28"/>
          <w:lang w:val="en-GB"/>
        </w:rPr>
        <w:lastRenderedPageBreak/>
        <w:t>2.</w:t>
      </w:r>
      <w:r w:rsidR="00B952D5" w:rsidRPr="008F4BF3">
        <w:rPr>
          <w:rFonts w:eastAsia="Times New Roman" w:cstheme="minorHAnsi"/>
          <w:b/>
          <w:bCs/>
          <w:color w:val="2E74B5" w:themeColor="accent5" w:themeShade="BF"/>
          <w:sz w:val="28"/>
          <w:szCs w:val="28"/>
          <w:lang w:val="en-GB"/>
        </w:rPr>
        <w:t>2</w:t>
      </w:r>
      <w:r w:rsidRPr="008F4BF3">
        <w:rPr>
          <w:rFonts w:eastAsia="Times New Roman" w:cstheme="minorHAnsi"/>
          <w:b/>
          <w:bCs/>
          <w:color w:val="2E74B5" w:themeColor="accent5" w:themeShade="BF"/>
          <w:sz w:val="28"/>
          <w:szCs w:val="28"/>
          <w:lang w:val="en-GB"/>
        </w:rPr>
        <w:t xml:space="preserve"> Policy Context: International</w:t>
      </w:r>
    </w:p>
    <w:tbl>
      <w:tblPr>
        <w:tblStyle w:val="TableGrid"/>
        <w:tblW w:w="14587" w:type="dxa"/>
        <w:tblLayout w:type="fixed"/>
        <w:tblLook w:val="04A0" w:firstRow="1" w:lastRow="0" w:firstColumn="1" w:lastColumn="0" w:noHBand="0" w:noVBand="1"/>
      </w:tblPr>
      <w:tblGrid>
        <w:gridCol w:w="960"/>
        <w:gridCol w:w="9650"/>
        <w:gridCol w:w="3977"/>
      </w:tblGrid>
      <w:tr w:rsidR="00902A86" w:rsidRPr="00661DE7" w14:paraId="518AD8EE" w14:textId="77777777" w:rsidTr="004D14EC">
        <w:trPr>
          <w:trHeight w:val="564"/>
        </w:trPr>
        <w:tc>
          <w:tcPr>
            <w:tcW w:w="96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51F67423" w14:textId="056B3BF8" w:rsidR="00902A86" w:rsidRPr="00661DE7" w:rsidRDefault="00902A86" w:rsidP="00902A86">
            <w:pPr>
              <w:spacing w:after="0"/>
              <w:rPr>
                <w:rFonts w:eastAsia="Times New Roman" w:cstheme="minorHAnsi"/>
                <w:b/>
                <w:bCs/>
                <w:sz w:val="21"/>
                <w:szCs w:val="21"/>
                <w:lang w:val="en-GB"/>
              </w:rPr>
            </w:pPr>
            <w:r w:rsidRPr="00661DE7">
              <w:rPr>
                <w:rFonts w:eastAsia="Times New Roman" w:cstheme="minorHAnsi"/>
                <w:b/>
                <w:bCs/>
                <w:sz w:val="21"/>
                <w:szCs w:val="21"/>
                <w:lang w:val="en-GB"/>
              </w:rPr>
              <w:t>Practice</w:t>
            </w:r>
          </w:p>
          <w:p w14:paraId="074D929E" w14:textId="0DC8DE83" w:rsidR="00F00E3D" w:rsidRPr="00661DE7" w:rsidRDefault="00F00E3D" w:rsidP="00902A86">
            <w:pPr>
              <w:spacing w:after="0"/>
              <w:rPr>
                <w:rFonts w:eastAsia="Times New Roman" w:cstheme="minorHAnsi"/>
                <w:b/>
                <w:bCs/>
                <w:sz w:val="21"/>
                <w:szCs w:val="21"/>
                <w:lang w:val="en-GB"/>
              </w:rPr>
            </w:pPr>
            <w:r w:rsidRPr="00661DE7">
              <w:rPr>
                <w:rFonts w:eastAsia="Times New Roman" w:cstheme="minorHAnsi"/>
                <w:b/>
                <w:bCs/>
                <w:sz w:val="21"/>
                <w:szCs w:val="21"/>
                <w:lang w:val="en-GB"/>
              </w:rPr>
              <w:t>Domain</w:t>
            </w:r>
          </w:p>
          <w:p w14:paraId="1A7D2237" w14:textId="77CCCFD2" w:rsidR="00902A86" w:rsidRPr="00661DE7" w:rsidRDefault="00902A86" w:rsidP="00902A86">
            <w:pPr>
              <w:spacing w:after="0"/>
              <w:rPr>
                <w:rFonts w:cstheme="minorHAnsi"/>
                <w:sz w:val="21"/>
                <w:szCs w:val="21"/>
              </w:rPr>
            </w:pPr>
          </w:p>
        </w:tc>
        <w:tc>
          <w:tcPr>
            <w:tcW w:w="965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4D96538C" w14:textId="4F1FC4F9" w:rsidR="00F00E3D" w:rsidRPr="00661DE7" w:rsidRDefault="00F00E3D" w:rsidP="00902A86">
            <w:pPr>
              <w:spacing w:after="0"/>
              <w:rPr>
                <w:rFonts w:cstheme="minorHAnsi"/>
                <w:sz w:val="21"/>
                <w:szCs w:val="21"/>
              </w:rPr>
            </w:pPr>
            <w:r w:rsidRPr="00661DE7">
              <w:rPr>
                <w:rFonts w:eastAsia="Times New Roman" w:cstheme="minorHAnsi"/>
                <w:b/>
                <w:bCs/>
                <w:sz w:val="21"/>
                <w:szCs w:val="21"/>
                <w:lang w:val="en-GB"/>
              </w:rPr>
              <w:t xml:space="preserve">Policy </w:t>
            </w:r>
            <w:r w:rsidR="00902A86" w:rsidRPr="00661DE7">
              <w:rPr>
                <w:rFonts w:eastAsia="Times New Roman" w:cstheme="minorHAnsi"/>
                <w:b/>
                <w:bCs/>
                <w:sz w:val="21"/>
                <w:szCs w:val="21"/>
                <w:lang w:val="en-GB"/>
              </w:rPr>
              <w:t>Name and Purpose</w:t>
            </w:r>
          </w:p>
        </w:tc>
        <w:tc>
          <w:tcPr>
            <w:tcW w:w="3977"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1B100B36" w14:textId="0F4DC99B" w:rsidR="00F00E3D" w:rsidRPr="00661DE7" w:rsidRDefault="00F00E3D" w:rsidP="00902A86">
            <w:pPr>
              <w:spacing w:after="0"/>
              <w:rPr>
                <w:rFonts w:cstheme="minorHAnsi"/>
                <w:sz w:val="21"/>
                <w:szCs w:val="21"/>
              </w:rPr>
            </w:pPr>
            <w:r w:rsidRPr="00661DE7">
              <w:rPr>
                <w:rFonts w:eastAsia="Times New Roman" w:cstheme="minorHAnsi"/>
                <w:b/>
                <w:bCs/>
                <w:sz w:val="21"/>
                <w:szCs w:val="21"/>
                <w:lang w:val="en-GB"/>
              </w:rPr>
              <w:t>Relevance to Geelong</w:t>
            </w:r>
            <w:r w:rsidR="00006E5F" w:rsidRPr="00661DE7">
              <w:rPr>
                <w:rFonts w:eastAsia="Times New Roman" w:cstheme="minorHAnsi"/>
                <w:b/>
                <w:bCs/>
                <w:sz w:val="21"/>
                <w:szCs w:val="21"/>
                <w:lang w:val="en-GB"/>
              </w:rPr>
              <w:t>,</w:t>
            </w:r>
            <w:r w:rsidRPr="00661DE7">
              <w:rPr>
                <w:rFonts w:eastAsia="Times New Roman" w:cstheme="minorHAnsi"/>
                <w:b/>
                <w:bCs/>
                <w:sz w:val="21"/>
                <w:szCs w:val="21"/>
                <w:lang w:val="en-GB"/>
              </w:rPr>
              <w:t xml:space="preserve"> Corio, Norlane, Whittington </w:t>
            </w:r>
          </w:p>
        </w:tc>
      </w:tr>
      <w:tr w:rsidR="00F00E3D" w:rsidRPr="007A72C4" w14:paraId="3718E32C" w14:textId="77777777" w:rsidTr="004D14EC">
        <w:trPr>
          <w:trHeight w:val="1917"/>
        </w:trPr>
        <w:tc>
          <w:tcPr>
            <w:tcW w:w="960" w:type="dxa"/>
            <w:vMerge w:val="restart"/>
            <w:tcBorders>
              <w:top w:val="single" w:sz="8" w:space="0" w:color="auto"/>
              <w:left w:val="single" w:sz="8" w:space="0" w:color="auto"/>
              <w:right w:val="single" w:sz="8" w:space="0" w:color="auto"/>
            </w:tcBorders>
          </w:tcPr>
          <w:p w14:paraId="56B0F2C8" w14:textId="77777777" w:rsidR="00F00E3D" w:rsidRPr="007A72C4" w:rsidRDefault="00F00E3D">
            <w:pPr>
              <w:rPr>
                <w:rFonts w:cstheme="minorHAnsi"/>
              </w:rPr>
            </w:pPr>
            <w:r w:rsidRPr="00F46367">
              <w:rPr>
                <w:rFonts w:cstheme="minorHAnsi"/>
                <w:noProof/>
                <w:color w:val="2B579A"/>
                <w:shd w:val="clear" w:color="auto" w:fill="E6E6E6"/>
                <w:lang w:eastAsia="zh-CN"/>
              </w:rPr>
              <mc:AlternateContent>
                <mc:Choice Requires="wps">
                  <w:drawing>
                    <wp:anchor distT="45720" distB="45720" distL="114300" distR="114300" simplePos="0" relativeHeight="251658250" behindDoc="0" locked="0" layoutInCell="1" allowOverlap="1" wp14:anchorId="5F234C84" wp14:editId="601B6AFD">
                      <wp:simplePos x="0" y="0"/>
                      <wp:positionH relativeFrom="column">
                        <wp:posOffset>-746760</wp:posOffset>
                      </wp:positionH>
                      <wp:positionV relativeFrom="paragraph">
                        <wp:posOffset>995045</wp:posOffset>
                      </wp:positionV>
                      <wp:extent cx="2011680" cy="341630"/>
                      <wp:effectExtent l="0" t="0" r="444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1680" cy="341630"/>
                              </a:xfrm>
                              <a:prstGeom prst="rect">
                                <a:avLst/>
                              </a:prstGeom>
                              <a:noFill/>
                              <a:ln w="9525">
                                <a:noFill/>
                                <a:miter lim="800000"/>
                                <a:headEnd/>
                                <a:tailEnd/>
                              </a:ln>
                            </wps:spPr>
                            <wps:txbx>
                              <w:txbxContent>
                                <w:p w14:paraId="40ED8C04" w14:textId="77777777" w:rsidR="00063AC8" w:rsidRPr="004200CF" w:rsidRDefault="00063AC8" w:rsidP="009B2FA7">
                                  <w:pPr>
                                    <w:jc w:val="right"/>
                                    <w:rPr>
                                      <w:b/>
                                      <w:bCs/>
                                      <w:color w:val="595959" w:themeColor="text1" w:themeTint="A6"/>
                                    </w:rPr>
                                  </w:pPr>
                                  <w:r w:rsidRPr="004200CF">
                                    <w:rPr>
                                      <w:b/>
                                      <w:bCs/>
                                      <w:color w:val="595959" w:themeColor="text1" w:themeTint="A6"/>
                                    </w:rPr>
                                    <w:t>ALL DOMAINS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34C84" id="_x0000_s1030" type="#_x0000_t202" style="position:absolute;margin-left:-58.8pt;margin-top:78.35pt;width:158.4pt;height:26.9pt;rotation:-90;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" filled="f" stroked="f">
                      <v:textbox>
                        <w:txbxContent>
                          <w:p w14:paraId="40ED8C04" w14:textId="77777777" w:rsidR="00063AC8" w:rsidRPr="004200CF" w:rsidRDefault="00063AC8" w:rsidP="009B2FA7">
                            <w:pPr>
                              <w:jc w:val="right"/>
                              <w:rPr>
                                <w:b/>
                                <w:bCs/>
                                <w:color w:val="595959" w:themeColor="text1" w:themeTint="A6"/>
                              </w:rPr>
                            </w:pPr>
                            <w:r w:rsidRPr="004200CF">
                              <w:rPr>
                                <w:b/>
                                <w:bCs/>
                                <w:color w:val="595959" w:themeColor="text1" w:themeTint="A6"/>
                              </w:rPr>
                              <w:t>ALL DOMAINS</w:t>
                            </w:r>
                          </w:p>
                        </w:txbxContent>
                      </v:textbox>
                      <w10:wrap type="square"/>
                    </v:shape>
                  </w:pict>
                </mc:Fallback>
              </mc:AlternateContent>
            </w:r>
          </w:p>
          <w:p w14:paraId="5D5ED811" w14:textId="77777777" w:rsidR="00F00E3D" w:rsidRPr="007A72C4" w:rsidRDefault="00F00E3D" w:rsidP="009B2FA7">
            <w:pPr>
              <w:rPr>
                <w:rFonts w:cstheme="minorHAnsi"/>
              </w:rPr>
            </w:pPr>
          </w:p>
        </w:tc>
        <w:tc>
          <w:tcPr>
            <w:tcW w:w="9650" w:type="dxa"/>
            <w:tcBorders>
              <w:top w:val="single" w:sz="8" w:space="0" w:color="auto"/>
              <w:left w:val="single" w:sz="8" w:space="0" w:color="auto"/>
              <w:bottom w:val="single" w:sz="8" w:space="0" w:color="auto"/>
              <w:right w:val="single" w:sz="8" w:space="0" w:color="auto"/>
            </w:tcBorders>
          </w:tcPr>
          <w:p w14:paraId="1A93F638" w14:textId="77777777" w:rsidR="00F00E3D" w:rsidRPr="00C711E4" w:rsidRDefault="007320D6">
            <w:pPr>
              <w:rPr>
                <w:rFonts w:asciiTheme="majorHAnsi" w:hAnsiTheme="majorHAnsi" w:cstheme="majorHAnsi"/>
                <w:sz w:val="21"/>
                <w:szCs w:val="21"/>
              </w:rPr>
            </w:pPr>
            <w:hyperlink r:id="rId25" w:anchor="page9">
              <w:r w:rsidR="00F00E3D" w:rsidRPr="00C711E4">
                <w:rPr>
                  <w:rStyle w:val="Hyperlink"/>
                  <w:rFonts w:asciiTheme="majorHAnsi" w:eastAsia="Times New Roman" w:hAnsiTheme="majorHAnsi" w:cstheme="majorHAnsi"/>
                  <w:b/>
                  <w:bCs/>
                  <w:sz w:val="21"/>
                  <w:szCs w:val="21"/>
                  <w:lang w:val="en-GB"/>
                </w:rPr>
                <w:t>Leveraging Megatrends for Cities and Rural Areas</w:t>
              </w:r>
            </w:hyperlink>
            <w:r w:rsidR="00F00E3D" w:rsidRPr="00C711E4">
              <w:rPr>
                <w:rFonts w:asciiTheme="majorHAnsi" w:eastAsia="Times New Roman" w:hAnsiTheme="majorHAnsi" w:cstheme="majorHAnsi"/>
                <w:b/>
                <w:bCs/>
                <w:sz w:val="21"/>
                <w:szCs w:val="21"/>
                <w:lang w:val="en-GB"/>
              </w:rPr>
              <w:t xml:space="preserve"> (OECD)</w:t>
            </w:r>
            <w:r w:rsidR="00F00E3D" w:rsidRPr="00C711E4">
              <w:rPr>
                <w:rFonts w:asciiTheme="majorHAnsi" w:hAnsiTheme="majorHAnsi" w:cstheme="majorHAnsi"/>
                <w:sz w:val="21"/>
                <w:szCs w:val="21"/>
              </w:rPr>
              <w:t xml:space="preserve">: </w:t>
            </w:r>
            <w:r w:rsidR="00F00E3D" w:rsidRPr="00C711E4">
              <w:rPr>
                <w:rFonts w:asciiTheme="majorHAnsi" w:eastAsia="Times New Roman" w:hAnsiTheme="majorHAnsi" w:cstheme="majorHAnsi"/>
                <w:sz w:val="21"/>
                <w:szCs w:val="21"/>
                <w:lang w:val="en-GB"/>
              </w:rPr>
              <w:t xml:space="preserve">Identifies regional megatrends in cities and rural communities around the world. Advocates for place-based policies to address weak economic growth and “public discontent”. Notes three global megatrends: digitalisation, automation, and technological changes; demographic changes (urbanisation, ageing, migration); and climate change and resource scarcity. </w:t>
            </w:r>
          </w:p>
          <w:p w14:paraId="3959875A" w14:textId="77777777" w:rsidR="00F00E3D" w:rsidRPr="00C711E4" w:rsidRDefault="00F00E3D">
            <w:pPr>
              <w:rPr>
                <w:rFonts w:asciiTheme="majorHAnsi" w:hAnsiTheme="majorHAnsi" w:cstheme="majorHAnsi"/>
                <w:sz w:val="21"/>
                <w:szCs w:val="21"/>
              </w:rPr>
            </w:pPr>
            <w:r w:rsidRPr="00C711E4">
              <w:rPr>
                <w:rFonts w:asciiTheme="majorHAnsi" w:eastAsia="Times New Roman" w:hAnsiTheme="majorHAnsi" w:cstheme="majorHAnsi"/>
                <w:b/>
                <w:bCs/>
                <w:sz w:val="21"/>
                <w:szCs w:val="21"/>
                <w:lang w:val="en-GB"/>
              </w:rPr>
              <w:t xml:space="preserve"> </w:t>
            </w:r>
          </w:p>
        </w:tc>
        <w:tc>
          <w:tcPr>
            <w:tcW w:w="3977" w:type="dxa"/>
            <w:tcBorders>
              <w:top w:val="single" w:sz="8" w:space="0" w:color="auto"/>
              <w:left w:val="single" w:sz="8" w:space="0" w:color="auto"/>
              <w:bottom w:val="single" w:sz="8" w:space="0" w:color="auto"/>
              <w:right w:val="single" w:sz="8" w:space="0" w:color="auto"/>
            </w:tcBorders>
          </w:tcPr>
          <w:p w14:paraId="3AAA6CB3" w14:textId="77777777" w:rsidR="00F00E3D" w:rsidRPr="00C711E4" w:rsidRDefault="00F00E3D">
            <w:pPr>
              <w:rPr>
                <w:rFonts w:asciiTheme="majorHAnsi" w:hAnsiTheme="majorHAnsi" w:cstheme="majorHAnsi"/>
                <w:sz w:val="21"/>
                <w:szCs w:val="21"/>
              </w:rPr>
            </w:pPr>
            <w:r w:rsidRPr="00C711E4">
              <w:rPr>
                <w:rFonts w:asciiTheme="majorHAnsi" w:eastAsia="Times New Roman" w:hAnsiTheme="majorHAnsi" w:cstheme="majorHAnsi"/>
                <w:sz w:val="21"/>
                <w:szCs w:val="21"/>
                <w:lang w:val="en-GB"/>
              </w:rPr>
              <w:t xml:space="preserve">Discusses some of the issues experienced locally from a global perspective. </w:t>
            </w:r>
          </w:p>
        </w:tc>
      </w:tr>
      <w:tr w:rsidR="00F00E3D" w:rsidRPr="007A72C4" w14:paraId="045BCDE6" w14:textId="77777777" w:rsidTr="004D14EC">
        <w:trPr>
          <w:trHeight w:val="860"/>
        </w:trPr>
        <w:tc>
          <w:tcPr>
            <w:tcW w:w="960" w:type="dxa"/>
            <w:vMerge/>
            <w:tcBorders>
              <w:left w:val="single" w:sz="8" w:space="0" w:color="auto"/>
              <w:right w:val="single" w:sz="8" w:space="0" w:color="auto"/>
            </w:tcBorders>
          </w:tcPr>
          <w:p w14:paraId="50CFE826" w14:textId="77777777" w:rsidR="00F00E3D" w:rsidRPr="007A72C4" w:rsidRDefault="00F00E3D" w:rsidP="009B2FA7">
            <w:pPr>
              <w:rPr>
                <w:rFonts w:cstheme="minorHAnsi"/>
              </w:rPr>
            </w:pPr>
          </w:p>
        </w:tc>
        <w:tc>
          <w:tcPr>
            <w:tcW w:w="9650" w:type="dxa"/>
            <w:tcBorders>
              <w:top w:val="single" w:sz="8" w:space="0" w:color="auto"/>
              <w:left w:val="single" w:sz="8" w:space="0" w:color="auto"/>
              <w:bottom w:val="single" w:sz="8" w:space="0" w:color="auto"/>
              <w:right w:val="single" w:sz="8" w:space="0" w:color="auto"/>
            </w:tcBorders>
          </w:tcPr>
          <w:p w14:paraId="5309D97D" w14:textId="77777777" w:rsidR="00F00E3D" w:rsidRPr="00C711E4" w:rsidRDefault="007320D6">
            <w:pPr>
              <w:rPr>
                <w:rFonts w:asciiTheme="majorHAnsi" w:eastAsia="Times New Roman" w:hAnsiTheme="majorHAnsi" w:cstheme="majorHAnsi"/>
                <w:b/>
                <w:bCs/>
                <w:sz w:val="21"/>
                <w:szCs w:val="21"/>
              </w:rPr>
            </w:pPr>
            <w:hyperlink r:id="rId26">
              <w:r w:rsidR="00F00E3D" w:rsidRPr="00C711E4">
                <w:rPr>
                  <w:rStyle w:val="Hyperlink"/>
                  <w:rFonts w:asciiTheme="majorHAnsi" w:eastAsia="Times New Roman" w:hAnsiTheme="majorHAnsi" w:cstheme="majorHAnsi"/>
                  <w:b/>
                  <w:bCs/>
                  <w:sz w:val="21"/>
                  <w:szCs w:val="21"/>
                </w:rPr>
                <w:t>New Urban Agenda and National Urban Policy</w:t>
              </w:r>
            </w:hyperlink>
            <w:r w:rsidR="00F00E3D" w:rsidRPr="00C711E4">
              <w:rPr>
                <w:rStyle w:val="Hyperlink"/>
                <w:rFonts w:asciiTheme="majorHAnsi" w:eastAsia="Times New Roman" w:hAnsiTheme="majorHAnsi" w:cstheme="majorHAnsi"/>
                <w:b/>
                <w:bCs/>
                <w:sz w:val="21"/>
                <w:szCs w:val="21"/>
              </w:rPr>
              <w:t xml:space="preserve"> (UN): </w:t>
            </w:r>
            <w:r w:rsidR="00F00E3D" w:rsidRPr="00C711E4">
              <w:rPr>
                <w:rFonts w:asciiTheme="majorHAnsi" w:eastAsia="Times New Roman" w:hAnsiTheme="majorHAnsi" w:cstheme="majorHAnsi"/>
                <w:sz w:val="21"/>
                <w:szCs w:val="21"/>
              </w:rPr>
              <w:t xml:space="preserve">Endorsed by Australian government in 2016, but rarely realised as responsibility rests with local authorities. </w:t>
            </w:r>
          </w:p>
        </w:tc>
        <w:tc>
          <w:tcPr>
            <w:tcW w:w="3977" w:type="dxa"/>
            <w:tcBorders>
              <w:top w:val="single" w:sz="8" w:space="0" w:color="auto"/>
              <w:left w:val="single" w:sz="8" w:space="0" w:color="auto"/>
              <w:bottom w:val="single" w:sz="8" w:space="0" w:color="auto"/>
              <w:right w:val="single" w:sz="8" w:space="0" w:color="auto"/>
            </w:tcBorders>
          </w:tcPr>
          <w:p w14:paraId="3BE96887" w14:textId="77777777" w:rsidR="00F00E3D" w:rsidRPr="00C711E4" w:rsidRDefault="00F00E3D">
            <w:pPr>
              <w:rPr>
                <w:rFonts w:asciiTheme="majorHAnsi" w:hAnsiTheme="majorHAnsi" w:cstheme="majorHAnsi"/>
                <w:sz w:val="21"/>
                <w:szCs w:val="21"/>
              </w:rPr>
            </w:pPr>
            <w:r w:rsidRPr="00C711E4">
              <w:rPr>
                <w:rFonts w:asciiTheme="majorHAnsi" w:eastAsia="Times New Roman" w:hAnsiTheme="majorHAnsi" w:cstheme="majorHAnsi"/>
                <w:sz w:val="21"/>
                <w:szCs w:val="21"/>
                <w:lang w:val="en-GB"/>
              </w:rPr>
              <w:t xml:space="preserve">Discusses some of the issues experienced locally from a global perspective. </w:t>
            </w:r>
          </w:p>
        </w:tc>
      </w:tr>
      <w:tr w:rsidR="00F00E3D" w:rsidRPr="007A72C4" w14:paraId="505524F1" w14:textId="77777777" w:rsidTr="004D14EC">
        <w:trPr>
          <w:trHeight w:val="981"/>
        </w:trPr>
        <w:tc>
          <w:tcPr>
            <w:tcW w:w="960" w:type="dxa"/>
            <w:vMerge/>
            <w:tcBorders>
              <w:left w:val="single" w:sz="8" w:space="0" w:color="auto"/>
              <w:bottom w:val="single" w:sz="8" w:space="0" w:color="auto"/>
              <w:right w:val="single" w:sz="8" w:space="0" w:color="auto"/>
            </w:tcBorders>
          </w:tcPr>
          <w:p w14:paraId="50F6B5A3" w14:textId="77777777" w:rsidR="00F00E3D" w:rsidRPr="007A72C4" w:rsidRDefault="00F00E3D">
            <w:pPr>
              <w:rPr>
                <w:rFonts w:cstheme="minorHAnsi"/>
              </w:rPr>
            </w:pPr>
          </w:p>
        </w:tc>
        <w:tc>
          <w:tcPr>
            <w:tcW w:w="9650" w:type="dxa"/>
            <w:tcBorders>
              <w:top w:val="single" w:sz="8" w:space="0" w:color="auto"/>
              <w:left w:val="single" w:sz="8" w:space="0" w:color="auto"/>
              <w:bottom w:val="single" w:sz="8" w:space="0" w:color="auto"/>
              <w:right w:val="single" w:sz="8" w:space="0" w:color="auto"/>
            </w:tcBorders>
          </w:tcPr>
          <w:p w14:paraId="23A31A30" w14:textId="77777777" w:rsidR="00F00E3D" w:rsidRPr="00C711E4" w:rsidRDefault="007320D6">
            <w:pPr>
              <w:rPr>
                <w:rFonts w:asciiTheme="majorHAnsi" w:hAnsiTheme="majorHAnsi" w:cstheme="majorHAnsi"/>
                <w:sz w:val="21"/>
                <w:szCs w:val="21"/>
              </w:rPr>
            </w:pPr>
            <w:hyperlink r:id="rId27">
              <w:r w:rsidR="00F00E3D" w:rsidRPr="00C711E4">
                <w:rPr>
                  <w:rStyle w:val="Hyperlink"/>
                  <w:rFonts w:asciiTheme="majorHAnsi" w:eastAsia="Times New Roman" w:hAnsiTheme="majorHAnsi" w:cstheme="majorHAnsi"/>
                  <w:b/>
                  <w:bCs/>
                  <w:sz w:val="21"/>
                  <w:szCs w:val="21"/>
                </w:rPr>
                <w:t>Triple Helix Model of university</w:t>
              </w:r>
              <w:r w:rsidR="00F00E3D">
                <w:rPr>
                  <w:rStyle w:val="Hyperlink"/>
                  <w:rFonts w:asciiTheme="majorHAnsi" w:eastAsia="Times New Roman" w:hAnsiTheme="majorHAnsi" w:cstheme="majorHAnsi"/>
                  <w:b/>
                  <w:bCs/>
                  <w:sz w:val="21"/>
                  <w:szCs w:val="21"/>
                </w:rPr>
                <w:t>–</w:t>
              </w:r>
              <w:r w:rsidR="00F00E3D" w:rsidRPr="00C711E4">
                <w:rPr>
                  <w:rStyle w:val="Hyperlink"/>
                  <w:rFonts w:asciiTheme="majorHAnsi" w:eastAsia="Times New Roman" w:hAnsiTheme="majorHAnsi" w:cstheme="majorHAnsi"/>
                  <w:b/>
                  <w:bCs/>
                  <w:sz w:val="21"/>
                  <w:szCs w:val="21"/>
                </w:rPr>
                <w:t>industry</w:t>
              </w:r>
              <w:r w:rsidR="00F00E3D">
                <w:rPr>
                  <w:rStyle w:val="Hyperlink"/>
                  <w:rFonts w:asciiTheme="majorHAnsi" w:eastAsia="Times New Roman" w:hAnsiTheme="majorHAnsi" w:cstheme="majorHAnsi"/>
                  <w:b/>
                  <w:bCs/>
                  <w:sz w:val="21"/>
                  <w:szCs w:val="21"/>
                </w:rPr>
                <w:t>–</w:t>
              </w:r>
              <w:r w:rsidR="00F00E3D" w:rsidRPr="00C711E4">
                <w:rPr>
                  <w:rStyle w:val="Hyperlink"/>
                  <w:rFonts w:asciiTheme="majorHAnsi" w:eastAsia="Times New Roman" w:hAnsiTheme="majorHAnsi" w:cstheme="majorHAnsi"/>
                  <w:b/>
                  <w:bCs/>
                  <w:sz w:val="21"/>
                  <w:szCs w:val="21"/>
                </w:rPr>
                <w:t>government relations</w:t>
              </w:r>
            </w:hyperlink>
            <w:r w:rsidR="00F00E3D" w:rsidRPr="00C711E4">
              <w:rPr>
                <w:rFonts w:asciiTheme="majorHAnsi" w:hAnsiTheme="majorHAnsi" w:cstheme="majorHAnsi"/>
                <w:sz w:val="21"/>
                <w:szCs w:val="21"/>
              </w:rPr>
              <w:t xml:space="preserve">: </w:t>
            </w:r>
            <w:r w:rsidR="00F00E3D" w:rsidRPr="00C711E4">
              <w:rPr>
                <w:rFonts w:asciiTheme="majorHAnsi" w:eastAsia="Times New Roman" w:hAnsiTheme="majorHAnsi" w:cstheme="majorHAnsi"/>
                <w:sz w:val="21"/>
                <w:szCs w:val="21"/>
                <w:lang w:val="en-GB"/>
              </w:rPr>
              <w:t>An analytical model that describes how institutional arrangements and policy models work together dynamically. Particularly focused on innovation but also relevant to community development. Used in a range of international settings.</w:t>
            </w:r>
          </w:p>
          <w:p w14:paraId="43307376" w14:textId="77777777" w:rsidR="00F00E3D" w:rsidRPr="00C711E4" w:rsidRDefault="00F00E3D">
            <w:pPr>
              <w:rPr>
                <w:rFonts w:asciiTheme="majorHAnsi" w:hAnsiTheme="majorHAnsi" w:cstheme="majorHAnsi"/>
                <w:sz w:val="21"/>
                <w:szCs w:val="21"/>
              </w:rPr>
            </w:pPr>
            <w:r w:rsidRPr="00C711E4">
              <w:rPr>
                <w:rFonts w:asciiTheme="majorHAnsi" w:eastAsia="Times New Roman" w:hAnsiTheme="majorHAnsi" w:cstheme="majorHAnsi"/>
                <w:b/>
                <w:bCs/>
                <w:sz w:val="21"/>
                <w:szCs w:val="21"/>
              </w:rPr>
              <w:t xml:space="preserve"> </w:t>
            </w:r>
          </w:p>
        </w:tc>
        <w:tc>
          <w:tcPr>
            <w:tcW w:w="3977" w:type="dxa"/>
            <w:tcBorders>
              <w:top w:val="single" w:sz="8" w:space="0" w:color="auto"/>
              <w:left w:val="single" w:sz="8" w:space="0" w:color="auto"/>
              <w:bottom w:val="single" w:sz="8" w:space="0" w:color="auto"/>
              <w:right w:val="single" w:sz="8" w:space="0" w:color="auto"/>
            </w:tcBorders>
          </w:tcPr>
          <w:p w14:paraId="34CA4F68" w14:textId="77777777" w:rsidR="00F00E3D" w:rsidRPr="00C711E4" w:rsidRDefault="00F00E3D">
            <w:pPr>
              <w:rPr>
                <w:rFonts w:asciiTheme="majorHAnsi" w:hAnsiTheme="majorHAnsi" w:cstheme="majorHAnsi"/>
                <w:sz w:val="21"/>
                <w:szCs w:val="21"/>
              </w:rPr>
            </w:pPr>
            <w:r w:rsidRPr="00C711E4">
              <w:rPr>
                <w:rFonts w:asciiTheme="majorHAnsi" w:eastAsia="Times New Roman" w:hAnsiTheme="majorHAnsi" w:cstheme="majorHAnsi"/>
                <w:sz w:val="21"/>
                <w:szCs w:val="21"/>
                <w:lang w:val="en-GB"/>
              </w:rPr>
              <w:t xml:space="preserve"> </w:t>
            </w:r>
          </w:p>
        </w:tc>
      </w:tr>
      <w:tr w:rsidR="00F00E3D" w:rsidRPr="007A72C4" w14:paraId="4F9D9FF2" w14:textId="77777777" w:rsidTr="004D14EC">
        <w:trPr>
          <w:trHeight w:val="1895"/>
        </w:trPr>
        <w:tc>
          <w:tcPr>
            <w:tcW w:w="960" w:type="dxa"/>
            <w:tcBorders>
              <w:top w:val="single" w:sz="8" w:space="0" w:color="auto"/>
              <w:left w:val="single" w:sz="8" w:space="0" w:color="auto"/>
              <w:bottom w:val="single" w:sz="8" w:space="0" w:color="auto"/>
              <w:right w:val="single" w:sz="8" w:space="0" w:color="auto"/>
            </w:tcBorders>
          </w:tcPr>
          <w:p w14:paraId="6D771B6C" w14:textId="77777777" w:rsidR="00F00E3D" w:rsidRPr="007A72C4" w:rsidRDefault="00F00E3D">
            <w:pPr>
              <w:rPr>
                <w:rFonts w:cstheme="minorHAnsi"/>
              </w:rPr>
            </w:pPr>
            <w:r w:rsidRPr="00F46367">
              <w:rPr>
                <w:rFonts w:cstheme="minorHAnsi"/>
                <w:noProof/>
                <w:color w:val="2B579A"/>
                <w:shd w:val="clear" w:color="auto" w:fill="E6E6E6"/>
                <w:lang w:eastAsia="zh-CN"/>
              </w:rPr>
              <mc:AlternateContent>
                <mc:Choice Requires="wps">
                  <w:drawing>
                    <wp:anchor distT="45720" distB="45720" distL="114300" distR="114300" simplePos="0" relativeHeight="251658251" behindDoc="0" locked="0" layoutInCell="1" allowOverlap="1" wp14:anchorId="44458057" wp14:editId="16E45C62">
                      <wp:simplePos x="0" y="0"/>
                      <wp:positionH relativeFrom="column">
                        <wp:posOffset>-211455</wp:posOffset>
                      </wp:positionH>
                      <wp:positionV relativeFrom="paragraph">
                        <wp:posOffset>534035</wp:posOffset>
                      </wp:positionV>
                      <wp:extent cx="979805" cy="341630"/>
                      <wp:effectExtent l="0" t="0" r="6032"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9805" cy="341630"/>
                              </a:xfrm>
                              <a:prstGeom prst="rect">
                                <a:avLst/>
                              </a:prstGeom>
                              <a:noFill/>
                              <a:ln w="9525">
                                <a:noFill/>
                                <a:miter lim="800000"/>
                                <a:headEnd/>
                                <a:tailEnd/>
                              </a:ln>
                            </wps:spPr>
                            <wps:txbx>
                              <w:txbxContent>
                                <w:p w14:paraId="3A315859" w14:textId="77777777" w:rsidR="00063AC8" w:rsidRPr="004200CF" w:rsidRDefault="00063AC8" w:rsidP="009B2FA7">
                                  <w:pPr>
                                    <w:jc w:val="right"/>
                                    <w:rPr>
                                      <w:b/>
                                      <w:bCs/>
                                      <w:color w:val="595959" w:themeColor="text1" w:themeTint="A6"/>
                                    </w:rPr>
                                  </w:pPr>
                                  <w:r>
                                    <w:rPr>
                                      <w:b/>
                                      <w:bCs/>
                                      <w:color w:val="595959" w:themeColor="text1" w:themeTint="A6"/>
                                    </w:rPr>
                                    <w:t>LIVEABILTY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58057" id="_x0000_s1031" type="#_x0000_t202" style="position:absolute;margin-left:-16.65pt;margin-top:42.05pt;width:77.15pt;height:26.9pt;rotation:-90;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" filled="f" stroked="f">
                      <v:textbox>
                        <w:txbxContent>
                          <w:p w14:paraId="3A315859" w14:textId="77777777" w:rsidR="00063AC8" w:rsidRPr="004200CF" w:rsidRDefault="00063AC8" w:rsidP="009B2FA7">
                            <w:pPr>
                              <w:jc w:val="right"/>
                              <w:rPr>
                                <w:b/>
                                <w:bCs/>
                                <w:color w:val="595959" w:themeColor="text1" w:themeTint="A6"/>
                              </w:rPr>
                            </w:pPr>
                            <w:r>
                              <w:rPr>
                                <w:b/>
                                <w:bCs/>
                                <w:color w:val="595959" w:themeColor="text1" w:themeTint="A6"/>
                              </w:rPr>
                              <w:t>LIVEABILTY</w:t>
                            </w:r>
                          </w:p>
                        </w:txbxContent>
                      </v:textbox>
                      <w10:wrap type="square"/>
                    </v:shape>
                  </w:pict>
                </mc:Fallback>
              </mc:AlternateContent>
            </w:r>
          </w:p>
        </w:tc>
        <w:tc>
          <w:tcPr>
            <w:tcW w:w="9650" w:type="dxa"/>
            <w:tcBorders>
              <w:top w:val="single" w:sz="8" w:space="0" w:color="auto"/>
              <w:left w:val="single" w:sz="8" w:space="0" w:color="auto"/>
              <w:bottom w:val="single" w:sz="8" w:space="0" w:color="auto"/>
              <w:right w:val="single" w:sz="8" w:space="0" w:color="auto"/>
            </w:tcBorders>
          </w:tcPr>
          <w:p w14:paraId="0D63F154" w14:textId="77777777" w:rsidR="00F00E3D" w:rsidRPr="00A24011" w:rsidRDefault="00F00E3D">
            <w:pPr>
              <w:rPr>
                <w:rFonts w:asciiTheme="majorHAnsi" w:eastAsia="Source Sans Pro" w:hAnsiTheme="majorHAnsi" w:cstheme="majorHAnsi"/>
                <w:sz w:val="21"/>
                <w:szCs w:val="21"/>
              </w:rPr>
            </w:pPr>
            <w:r w:rsidRPr="00902A86">
              <w:rPr>
                <w:rFonts w:asciiTheme="majorHAnsi" w:eastAsia="Times New Roman" w:hAnsiTheme="majorHAnsi" w:cstheme="majorHAnsi"/>
                <w:b/>
                <w:bCs/>
                <w:sz w:val="21"/>
                <w:szCs w:val="21"/>
              </w:rPr>
              <w:t>UNESCO City of Design</w:t>
            </w:r>
            <w:r w:rsidRPr="00C711E4">
              <w:rPr>
                <w:rFonts w:asciiTheme="majorHAnsi" w:eastAsia="Times New Roman" w:hAnsiTheme="majorHAnsi" w:cstheme="majorHAnsi"/>
                <w:sz w:val="21"/>
                <w:szCs w:val="21"/>
              </w:rPr>
              <w:t>. Designated in October 2017, Geelong is one of 466 members and one of 38 Cit</w:t>
            </w:r>
            <w:r>
              <w:rPr>
                <w:rFonts w:asciiTheme="majorHAnsi" w:eastAsia="Times New Roman" w:hAnsiTheme="majorHAnsi" w:cstheme="majorHAnsi"/>
                <w:sz w:val="21"/>
                <w:szCs w:val="21"/>
              </w:rPr>
              <w:t>ies</w:t>
            </w:r>
            <w:r w:rsidRPr="00C711E4">
              <w:rPr>
                <w:rFonts w:asciiTheme="majorHAnsi" w:eastAsia="Times New Roman" w:hAnsiTheme="majorHAnsi" w:cstheme="majorHAnsi"/>
                <w:sz w:val="21"/>
                <w:szCs w:val="21"/>
              </w:rPr>
              <w:t xml:space="preserve"> of Design</w:t>
            </w:r>
            <w:r>
              <w:rPr>
                <w:rFonts w:asciiTheme="majorHAnsi" w:eastAsia="Times New Roman" w:hAnsiTheme="majorHAnsi" w:cstheme="majorHAnsi"/>
                <w:sz w:val="21"/>
                <w:szCs w:val="21"/>
              </w:rPr>
              <w:t>,</w:t>
            </w:r>
            <w:r w:rsidRPr="00C711E4">
              <w:rPr>
                <w:rFonts w:asciiTheme="majorHAnsi" w:eastAsia="Times New Roman" w:hAnsiTheme="majorHAnsi" w:cstheme="majorHAnsi"/>
                <w:sz w:val="21"/>
                <w:szCs w:val="21"/>
              </w:rPr>
              <w:t xml:space="preserve"> with comparable cities being Dundee (Scotland) and Detroit (USA).</w:t>
            </w:r>
            <w:r w:rsidRPr="00C711E4">
              <w:rPr>
                <w:rFonts w:asciiTheme="majorHAnsi" w:eastAsia="Source Sans Pro" w:hAnsiTheme="majorHAnsi" w:cstheme="majorHAnsi"/>
                <w:color w:val="212529"/>
                <w:sz w:val="21"/>
                <w:szCs w:val="21"/>
              </w:rPr>
              <w:t xml:space="preserve"> </w:t>
            </w:r>
            <w:hyperlink r:id="rId28">
              <w:r w:rsidRPr="00C711E4">
                <w:rPr>
                  <w:rStyle w:val="Hyperlink"/>
                  <w:rFonts w:asciiTheme="majorHAnsi" w:eastAsia="Source Sans Pro" w:hAnsiTheme="majorHAnsi" w:cstheme="majorHAnsi"/>
                  <w:sz w:val="21"/>
                  <w:szCs w:val="21"/>
                </w:rPr>
                <w:t>UNESCO Creative Cities Network (UCCN)</w:t>
              </w:r>
            </w:hyperlink>
            <w:r w:rsidRPr="00C711E4">
              <w:rPr>
                <w:rFonts w:asciiTheme="majorHAnsi" w:eastAsia="Source Sans Pro" w:hAnsiTheme="majorHAnsi" w:cstheme="majorHAnsi"/>
                <w:color w:val="212529"/>
                <w:sz w:val="21"/>
                <w:szCs w:val="21"/>
              </w:rPr>
              <w:t xml:space="preserve">. </w:t>
            </w:r>
            <w:r w:rsidRPr="00C711E4">
              <w:rPr>
                <w:rFonts w:asciiTheme="majorHAnsi" w:eastAsia="Source Sans Pro" w:hAnsiTheme="majorHAnsi" w:cstheme="majorHAnsi"/>
                <w:sz w:val="21"/>
                <w:szCs w:val="21"/>
              </w:rPr>
              <w:t>The City of Design designation is about using creativity and innovation to build more sustainable, resilient</w:t>
            </w:r>
            <w:r>
              <w:rPr>
                <w:rFonts w:asciiTheme="majorHAnsi" w:eastAsia="Source Sans Pro" w:hAnsiTheme="majorHAnsi" w:cstheme="majorHAnsi"/>
                <w:sz w:val="21"/>
                <w:szCs w:val="21"/>
              </w:rPr>
              <w:t>,</w:t>
            </w:r>
            <w:r w:rsidRPr="00C711E4">
              <w:rPr>
                <w:rFonts w:asciiTheme="majorHAnsi" w:eastAsia="Source Sans Pro" w:hAnsiTheme="majorHAnsi" w:cstheme="majorHAnsi"/>
                <w:sz w:val="21"/>
                <w:szCs w:val="21"/>
              </w:rPr>
              <w:t xml:space="preserve"> and inclusive communities. It fits perfectly with </w:t>
            </w:r>
            <w:r>
              <w:rPr>
                <w:rFonts w:asciiTheme="majorHAnsi" w:eastAsia="Source Sans Pro" w:hAnsiTheme="majorHAnsi" w:cstheme="majorHAnsi"/>
                <w:sz w:val="21"/>
                <w:szCs w:val="21"/>
              </w:rPr>
              <w:t>Geelong’s</w:t>
            </w:r>
            <w:r w:rsidRPr="00C711E4">
              <w:rPr>
                <w:rFonts w:asciiTheme="majorHAnsi" w:eastAsia="Source Sans Pro" w:hAnsiTheme="majorHAnsi" w:cstheme="majorHAnsi"/>
                <w:sz w:val="21"/>
                <w:szCs w:val="21"/>
              </w:rPr>
              <w:t xml:space="preserve"> 30-year, community-led vision to be internationally recognised as a </w:t>
            </w:r>
            <w:r w:rsidRPr="00A24011">
              <w:rPr>
                <w:rFonts w:asciiTheme="majorHAnsi" w:eastAsia="Source Sans Pro" w:hAnsiTheme="majorHAnsi" w:cstheme="majorHAnsi"/>
                <w:sz w:val="21"/>
                <w:szCs w:val="21"/>
              </w:rPr>
              <w:t xml:space="preserve">Clever and Creative </w:t>
            </w:r>
            <w:r>
              <w:rPr>
                <w:rFonts w:asciiTheme="majorHAnsi" w:eastAsia="Source Sans Pro" w:hAnsiTheme="majorHAnsi" w:cstheme="majorHAnsi"/>
                <w:sz w:val="21"/>
                <w:szCs w:val="21"/>
              </w:rPr>
              <w:t>C</w:t>
            </w:r>
            <w:r w:rsidRPr="00A24011">
              <w:rPr>
                <w:rFonts w:asciiTheme="majorHAnsi" w:eastAsia="Source Sans Pro" w:hAnsiTheme="majorHAnsi" w:cstheme="majorHAnsi"/>
                <w:sz w:val="21"/>
                <w:szCs w:val="21"/>
              </w:rPr>
              <w:t>ity</w:t>
            </w:r>
            <w:r>
              <w:rPr>
                <w:rFonts w:asciiTheme="majorHAnsi" w:eastAsia="Source Sans Pro" w:hAnsiTheme="majorHAnsi" w:cstheme="majorHAnsi"/>
                <w:sz w:val="21"/>
                <w:szCs w:val="21"/>
              </w:rPr>
              <w:t>–</w:t>
            </w:r>
            <w:r w:rsidRPr="00A24011">
              <w:rPr>
                <w:rFonts w:asciiTheme="majorHAnsi" w:eastAsia="Source Sans Pro" w:hAnsiTheme="majorHAnsi" w:cstheme="majorHAnsi"/>
                <w:sz w:val="21"/>
                <w:szCs w:val="21"/>
              </w:rPr>
              <w:t>region.</w:t>
            </w:r>
          </w:p>
        </w:tc>
        <w:tc>
          <w:tcPr>
            <w:tcW w:w="3977" w:type="dxa"/>
            <w:tcBorders>
              <w:top w:val="single" w:sz="8" w:space="0" w:color="auto"/>
              <w:left w:val="single" w:sz="8" w:space="0" w:color="auto"/>
              <w:bottom w:val="single" w:sz="8" w:space="0" w:color="auto"/>
              <w:right w:val="single" w:sz="8" w:space="0" w:color="auto"/>
            </w:tcBorders>
          </w:tcPr>
          <w:p w14:paraId="4E2DD6FE" w14:textId="79B03421" w:rsidR="00F00E3D" w:rsidRPr="00C711E4" w:rsidRDefault="00F00E3D">
            <w:pPr>
              <w:rPr>
                <w:rFonts w:asciiTheme="majorHAnsi" w:hAnsiTheme="majorHAnsi" w:cstheme="majorHAnsi"/>
                <w:sz w:val="21"/>
                <w:szCs w:val="21"/>
              </w:rPr>
            </w:pPr>
            <w:r>
              <w:rPr>
                <w:rFonts w:asciiTheme="majorHAnsi" w:eastAsia="Times New Roman" w:hAnsiTheme="majorHAnsi" w:cstheme="majorHAnsi"/>
                <w:sz w:val="21"/>
                <w:szCs w:val="21"/>
                <w:lang w:val="en-GB"/>
              </w:rPr>
              <w:t>Under this designation</w:t>
            </w:r>
            <w:r w:rsidRPr="00C711E4">
              <w:rPr>
                <w:rFonts w:asciiTheme="majorHAnsi" w:eastAsia="Times New Roman" w:hAnsiTheme="majorHAnsi" w:cstheme="majorHAnsi"/>
                <w:sz w:val="21"/>
                <w:szCs w:val="21"/>
                <w:lang w:val="en-GB"/>
              </w:rPr>
              <w:t xml:space="preserve"> the City of Greater Geelong has a commitment and an officer to bring better design to urban development</w:t>
            </w:r>
            <w:r>
              <w:rPr>
                <w:rFonts w:asciiTheme="majorHAnsi" w:eastAsia="Times New Roman" w:hAnsiTheme="majorHAnsi" w:cstheme="majorHAnsi"/>
                <w:sz w:val="21"/>
                <w:szCs w:val="21"/>
                <w:lang w:val="en-GB"/>
              </w:rPr>
              <w:t xml:space="preserve"> and</w:t>
            </w:r>
            <w:r w:rsidRPr="00C711E4">
              <w:rPr>
                <w:rFonts w:asciiTheme="majorHAnsi" w:eastAsia="Times New Roman" w:hAnsiTheme="majorHAnsi" w:cstheme="majorHAnsi"/>
                <w:sz w:val="21"/>
                <w:szCs w:val="21"/>
                <w:lang w:val="en-GB"/>
              </w:rPr>
              <w:t xml:space="preserve"> </w:t>
            </w:r>
            <w:r w:rsidR="00902A86">
              <w:rPr>
                <w:rFonts w:asciiTheme="majorHAnsi" w:eastAsia="Times New Roman" w:hAnsiTheme="majorHAnsi" w:cstheme="majorHAnsi"/>
                <w:sz w:val="21"/>
                <w:szCs w:val="21"/>
                <w:lang w:val="en-GB"/>
              </w:rPr>
              <w:t xml:space="preserve">local </w:t>
            </w:r>
            <w:r w:rsidRPr="00C711E4">
              <w:rPr>
                <w:rFonts w:asciiTheme="majorHAnsi" w:eastAsia="Times New Roman" w:hAnsiTheme="majorHAnsi" w:cstheme="majorHAnsi"/>
                <w:sz w:val="21"/>
                <w:szCs w:val="21"/>
                <w:lang w:val="en-GB"/>
              </w:rPr>
              <w:t>communities.</w:t>
            </w:r>
          </w:p>
        </w:tc>
      </w:tr>
    </w:tbl>
    <w:p w14:paraId="6D0DE04D" w14:textId="121D23B6" w:rsidR="00F00E3D" w:rsidRPr="007D6B36" w:rsidRDefault="00F00E3D">
      <w:pPr>
        <w:rPr>
          <w:b/>
          <w:bCs/>
          <w:sz w:val="36"/>
          <w:szCs w:val="36"/>
        </w:rPr>
      </w:pPr>
      <w:bookmarkStart w:id="23" w:name="OLE_LINKTable12"/>
      <w:r w:rsidRPr="00661DE7">
        <w:rPr>
          <w:b/>
          <w:bCs/>
          <w:sz w:val="20"/>
          <w:szCs w:val="20"/>
        </w:rPr>
        <w:t xml:space="preserve">Table </w:t>
      </w:r>
      <w:r w:rsidR="00B952D5" w:rsidRPr="00661DE7">
        <w:rPr>
          <w:b/>
          <w:bCs/>
          <w:sz w:val="20"/>
          <w:szCs w:val="20"/>
        </w:rPr>
        <w:t>2</w:t>
      </w:r>
      <w:r w:rsidR="00902A86" w:rsidRPr="00661DE7">
        <w:rPr>
          <w:b/>
          <w:bCs/>
          <w:sz w:val="20"/>
          <w:szCs w:val="20"/>
        </w:rPr>
        <w:t>.</w:t>
      </w:r>
      <w:r w:rsidR="00661DE7" w:rsidRPr="00661DE7">
        <w:rPr>
          <w:b/>
          <w:bCs/>
          <w:sz w:val="20"/>
          <w:szCs w:val="20"/>
        </w:rPr>
        <w:t>1</w:t>
      </w:r>
      <w:r w:rsidR="00902A86" w:rsidRPr="00661DE7">
        <w:rPr>
          <w:b/>
          <w:bCs/>
          <w:sz w:val="20"/>
          <w:szCs w:val="20"/>
        </w:rPr>
        <w:t xml:space="preserve">: </w:t>
      </w:r>
      <w:r w:rsidRPr="00661DE7">
        <w:rPr>
          <w:b/>
          <w:bCs/>
          <w:sz w:val="20"/>
          <w:szCs w:val="20"/>
        </w:rPr>
        <w:t xml:space="preserve">International </w:t>
      </w:r>
      <w:r w:rsidR="00902A86" w:rsidRPr="00661DE7">
        <w:rPr>
          <w:b/>
          <w:bCs/>
          <w:sz w:val="20"/>
          <w:szCs w:val="20"/>
        </w:rPr>
        <w:t>Policy Context</w:t>
      </w:r>
      <w:bookmarkEnd w:id="23"/>
      <w:r w:rsidRPr="00392140">
        <w:rPr>
          <w:b/>
          <w:bCs/>
          <w:sz w:val="36"/>
          <w:szCs w:val="36"/>
        </w:rPr>
        <w:br w:type="page"/>
      </w:r>
    </w:p>
    <w:p w14:paraId="4862DE90" w14:textId="43558881" w:rsidR="00F00E3D" w:rsidRPr="008F4BF3" w:rsidRDefault="00F00E3D" w:rsidP="009B2FA7">
      <w:pPr>
        <w:spacing w:line="257" w:lineRule="auto"/>
        <w:rPr>
          <w:rFonts w:cstheme="minorHAnsi"/>
          <w:color w:val="2E74B5" w:themeColor="accent5" w:themeShade="BF"/>
          <w:sz w:val="28"/>
          <w:szCs w:val="28"/>
        </w:rPr>
      </w:pPr>
      <w:r w:rsidRPr="008F4BF3">
        <w:rPr>
          <w:rFonts w:eastAsia="Times New Roman" w:cstheme="minorHAnsi"/>
          <w:b/>
          <w:bCs/>
          <w:color w:val="2E74B5" w:themeColor="accent5" w:themeShade="BF"/>
          <w:sz w:val="28"/>
          <w:szCs w:val="28"/>
          <w:lang w:val="en-GB"/>
        </w:rPr>
        <w:lastRenderedPageBreak/>
        <w:t>2.</w:t>
      </w:r>
      <w:r w:rsidR="00B952D5" w:rsidRPr="008F4BF3">
        <w:rPr>
          <w:rFonts w:eastAsia="Times New Roman" w:cstheme="minorHAnsi"/>
          <w:b/>
          <w:bCs/>
          <w:color w:val="2E74B5" w:themeColor="accent5" w:themeShade="BF"/>
          <w:sz w:val="28"/>
          <w:szCs w:val="28"/>
          <w:lang w:val="en-GB"/>
        </w:rPr>
        <w:t>3</w:t>
      </w:r>
      <w:r w:rsidRPr="008F4BF3">
        <w:rPr>
          <w:rFonts w:eastAsia="Times New Roman" w:cstheme="minorHAnsi"/>
          <w:b/>
          <w:bCs/>
          <w:color w:val="2E74B5" w:themeColor="accent5" w:themeShade="BF"/>
          <w:sz w:val="28"/>
          <w:szCs w:val="28"/>
          <w:lang w:val="en-GB"/>
        </w:rPr>
        <w:t xml:space="preserve"> Policy Context: Federal</w:t>
      </w:r>
    </w:p>
    <w:tbl>
      <w:tblPr>
        <w:tblStyle w:val="TableGrid"/>
        <w:tblW w:w="14570" w:type="dxa"/>
        <w:tblLayout w:type="fixed"/>
        <w:tblLook w:val="04A0" w:firstRow="1" w:lastRow="0" w:firstColumn="1" w:lastColumn="0" w:noHBand="0" w:noVBand="1"/>
      </w:tblPr>
      <w:tblGrid>
        <w:gridCol w:w="983"/>
        <w:gridCol w:w="9922"/>
        <w:gridCol w:w="3665"/>
      </w:tblGrid>
      <w:tr w:rsidR="0094479E" w:rsidRPr="00661DE7" w14:paraId="46934A2B" w14:textId="77777777" w:rsidTr="778E395A">
        <w:tc>
          <w:tcPr>
            <w:tcW w:w="983"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52D4D9A9" w14:textId="72B35EDF" w:rsidR="0094479E" w:rsidRPr="00661DE7" w:rsidRDefault="0094479E" w:rsidP="0094479E">
            <w:pPr>
              <w:spacing w:after="0"/>
              <w:rPr>
                <w:rFonts w:eastAsia="Times New Roman" w:cstheme="minorHAnsi"/>
                <w:b/>
                <w:bCs/>
                <w:sz w:val="21"/>
                <w:szCs w:val="21"/>
                <w:lang w:val="en-GB"/>
              </w:rPr>
            </w:pPr>
            <w:r w:rsidRPr="00661DE7">
              <w:rPr>
                <w:rFonts w:eastAsia="Times New Roman" w:cstheme="minorHAnsi"/>
                <w:b/>
                <w:bCs/>
                <w:sz w:val="21"/>
                <w:szCs w:val="21"/>
                <w:lang w:val="en-GB"/>
              </w:rPr>
              <w:t>Practice</w:t>
            </w:r>
          </w:p>
          <w:p w14:paraId="27639CE0" w14:textId="77777777" w:rsidR="00902A86" w:rsidRPr="00661DE7" w:rsidRDefault="00F00E3D" w:rsidP="0094479E">
            <w:pPr>
              <w:spacing w:after="0"/>
              <w:rPr>
                <w:rFonts w:eastAsia="Times New Roman" w:cstheme="minorHAnsi"/>
                <w:b/>
                <w:bCs/>
                <w:sz w:val="21"/>
                <w:szCs w:val="21"/>
                <w:lang w:val="en-GB"/>
              </w:rPr>
            </w:pPr>
            <w:r w:rsidRPr="00661DE7">
              <w:rPr>
                <w:rFonts w:eastAsia="Times New Roman" w:cstheme="minorHAnsi"/>
                <w:b/>
                <w:bCs/>
                <w:sz w:val="21"/>
                <w:szCs w:val="21"/>
                <w:lang w:val="en-GB"/>
              </w:rPr>
              <w:t>Domain</w:t>
            </w:r>
          </w:p>
          <w:p w14:paraId="14010611" w14:textId="5612B982" w:rsidR="00902A86" w:rsidRPr="00661DE7" w:rsidRDefault="00902A86" w:rsidP="0094479E">
            <w:pPr>
              <w:spacing w:after="0"/>
              <w:rPr>
                <w:rFonts w:eastAsia="Times New Roman" w:cstheme="minorHAnsi"/>
                <w:b/>
                <w:bCs/>
                <w:sz w:val="21"/>
                <w:szCs w:val="21"/>
                <w:lang w:val="en-GB"/>
              </w:rPr>
            </w:pPr>
          </w:p>
        </w:tc>
        <w:tc>
          <w:tcPr>
            <w:tcW w:w="9922"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06528628" w14:textId="115CFCBE" w:rsidR="00F00E3D" w:rsidRPr="00661DE7" w:rsidRDefault="00F00E3D" w:rsidP="0094479E">
            <w:pPr>
              <w:spacing w:after="0"/>
              <w:rPr>
                <w:rFonts w:cstheme="minorHAnsi"/>
                <w:sz w:val="21"/>
                <w:szCs w:val="21"/>
              </w:rPr>
            </w:pPr>
            <w:r w:rsidRPr="00661DE7">
              <w:rPr>
                <w:rFonts w:eastAsia="Times New Roman" w:cstheme="minorHAnsi"/>
                <w:b/>
                <w:bCs/>
                <w:sz w:val="21"/>
                <w:szCs w:val="21"/>
                <w:lang w:val="en-GB"/>
              </w:rPr>
              <w:t xml:space="preserve">Policy </w:t>
            </w:r>
            <w:r w:rsidR="0094479E" w:rsidRPr="00661DE7">
              <w:rPr>
                <w:rFonts w:eastAsia="Times New Roman" w:cstheme="minorHAnsi"/>
                <w:b/>
                <w:bCs/>
                <w:sz w:val="21"/>
                <w:szCs w:val="21"/>
                <w:lang w:val="en-GB"/>
              </w:rPr>
              <w:t xml:space="preserve">Name </w:t>
            </w:r>
            <w:r w:rsidR="00902A86" w:rsidRPr="00661DE7">
              <w:rPr>
                <w:rFonts w:eastAsia="Times New Roman" w:cstheme="minorHAnsi"/>
                <w:b/>
                <w:bCs/>
                <w:sz w:val="21"/>
                <w:szCs w:val="21"/>
                <w:lang w:val="en-GB"/>
              </w:rPr>
              <w:t>a</w:t>
            </w:r>
            <w:r w:rsidR="0094479E" w:rsidRPr="00661DE7">
              <w:rPr>
                <w:rFonts w:eastAsia="Times New Roman" w:cstheme="minorHAnsi"/>
                <w:b/>
                <w:bCs/>
                <w:sz w:val="21"/>
                <w:szCs w:val="21"/>
                <w:lang w:val="en-GB"/>
              </w:rPr>
              <w:t>nd Purpose</w:t>
            </w:r>
          </w:p>
        </w:tc>
        <w:tc>
          <w:tcPr>
            <w:tcW w:w="366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26F1670D" w14:textId="77777777" w:rsidR="00F00E3D" w:rsidRPr="00661DE7" w:rsidRDefault="00F00E3D" w:rsidP="0094479E">
            <w:pPr>
              <w:spacing w:after="0"/>
              <w:rPr>
                <w:rFonts w:eastAsia="Times New Roman" w:cstheme="minorHAnsi"/>
                <w:b/>
                <w:bCs/>
                <w:sz w:val="21"/>
                <w:szCs w:val="21"/>
                <w:lang w:val="en-GB"/>
              </w:rPr>
            </w:pPr>
            <w:r w:rsidRPr="00661DE7">
              <w:rPr>
                <w:rFonts w:eastAsia="Times New Roman" w:cstheme="minorHAnsi"/>
                <w:b/>
                <w:bCs/>
                <w:sz w:val="21"/>
                <w:szCs w:val="21"/>
                <w:lang w:val="en-GB"/>
              </w:rPr>
              <w:t xml:space="preserve">Relevance to Geelong, Corio, Norlane, Whittington </w:t>
            </w:r>
          </w:p>
          <w:p w14:paraId="160B323F" w14:textId="77777777" w:rsidR="00F00E3D" w:rsidRPr="00661DE7" w:rsidRDefault="00F00E3D" w:rsidP="0094479E">
            <w:pPr>
              <w:spacing w:after="0"/>
              <w:rPr>
                <w:rFonts w:cstheme="minorHAnsi"/>
                <w:sz w:val="21"/>
                <w:szCs w:val="21"/>
              </w:rPr>
            </w:pPr>
          </w:p>
        </w:tc>
      </w:tr>
      <w:tr w:rsidR="00F00E3D" w:rsidRPr="00386CF2" w14:paraId="26D90960" w14:textId="77777777" w:rsidTr="778E395A">
        <w:tc>
          <w:tcPr>
            <w:tcW w:w="983" w:type="dxa"/>
            <w:tcBorders>
              <w:top w:val="single" w:sz="8" w:space="0" w:color="auto"/>
              <w:left w:val="single" w:sz="8" w:space="0" w:color="auto"/>
              <w:bottom w:val="single" w:sz="8" w:space="0" w:color="auto"/>
              <w:right w:val="single" w:sz="8" w:space="0" w:color="auto"/>
            </w:tcBorders>
          </w:tcPr>
          <w:p w14:paraId="1B911EB4" w14:textId="77777777" w:rsidR="00F00E3D" w:rsidRDefault="00F00E3D" w:rsidP="009B2FA7">
            <w:pPr>
              <w:rPr>
                <w:rFonts w:asciiTheme="majorHAnsi" w:hAnsiTheme="majorHAnsi" w:cstheme="majorHAnsi"/>
                <w:sz w:val="21"/>
                <w:szCs w:val="21"/>
              </w:rPr>
            </w:pPr>
          </w:p>
          <w:p w14:paraId="29539305" w14:textId="77777777" w:rsidR="00F00E3D" w:rsidRDefault="00F00E3D" w:rsidP="009B2FA7">
            <w:pPr>
              <w:rPr>
                <w:rFonts w:asciiTheme="majorHAnsi" w:hAnsiTheme="majorHAnsi" w:cstheme="majorHAnsi"/>
                <w:sz w:val="21"/>
                <w:szCs w:val="21"/>
              </w:rPr>
            </w:pPr>
          </w:p>
          <w:p w14:paraId="063BE011" w14:textId="77777777" w:rsidR="00F00E3D" w:rsidRDefault="00F00E3D" w:rsidP="009B2FA7">
            <w:pPr>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mc:AlternateContent>
                <mc:Choice Requires="wps">
                  <w:drawing>
                    <wp:anchor distT="45720" distB="45720" distL="114300" distR="114300" simplePos="0" relativeHeight="251658256" behindDoc="0" locked="0" layoutInCell="1" allowOverlap="1" wp14:anchorId="34EFC219" wp14:editId="51B8D85E">
                      <wp:simplePos x="0" y="0"/>
                      <wp:positionH relativeFrom="column">
                        <wp:posOffset>-193675</wp:posOffset>
                      </wp:positionH>
                      <wp:positionV relativeFrom="paragraph">
                        <wp:posOffset>541655</wp:posOffset>
                      </wp:positionV>
                      <wp:extent cx="979805" cy="341630"/>
                      <wp:effectExtent l="0" t="0" r="6032"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9805" cy="341630"/>
                              </a:xfrm>
                              <a:prstGeom prst="rect">
                                <a:avLst/>
                              </a:prstGeom>
                              <a:noFill/>
                              <a:ln w="9525">
                                <a:noFill/>
                                <a:miter lim="800000"/>
                                <a:headEnd/>
                                <a:tailEnd/>
                              </a:ln>
                            </wps:spPr>
                            <wps:txbx>
                              <w:txbxContent>
                                <w:p w14:paraId="1C9DFAF8" w14:textId="77777777" w:rsidR="00063AC8" w:rsidRPr="004200CF" w:rsidRDefault="00063AC8" w:rsidP="009B2FA7">
                                  <w:pPr>
                                    <w:jc w:val="right"/>
                                    <w:rPr>
                                      <w:b/>
                                      <w:bCs/>
                                      <w:color w:val="595959" w:themeColor="text1" w:themeTint="A6"/>
                                    </w:rPr>
                                  </w:pPr>
                                  <w:r>
                                    <w:rPr>
                                      <w:b/>
                                      <w:bCs/>
                                      <w:color w:val="595959" w:themeColor="text1" w:themeTint="A6"/>
                                    </w:rPr>
                                    <w:t>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FC219" id="_x0000_s1032" type="#_x0000_t202" style="position:absolute;margin-left:-15.25pt;margin-top:42.65pt;width:77.15pt;height:26.9pt;rotation:-90;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" filled="f" stroked="f">
                      <v:textbox>
                        <w:txbxContent>
                          <w:p w14:paraId="1C9DFAF8" w14:textId="77777777" w:rsidR="00063AC8" w:rsidRPr="004200CF" w:rsidRDefault="00063AC8" w:rsidP="009B2FA7">
                            <w:pPr>
                              <w:jc w:val="right"/>
                              <w:rPr>
                                <w:b/>
                                <w:bCs/>
                                <w:color w:val="595959" w:themeColor="text1" w:themeTint="A6"/>
                              </w:rPr>
                            </w:pPr>
                            <w:r>
                              <w:rPr>
                                <w:b/>
                                <w:bCs/>
                                <w:color w:val="595959" w:themeColor="text1" w:themeTint="A6"/>
                              </w:rPr>
                              <w:t>EDUCATION</w:t>
                            </w:r>
                          </w:p>
                        </w:txbxContent>
                      </v:textbox>
                      <w10:wrap type="square"/>
                    </v:shape>
                  </w:pict>
                </mc:Fallback>
              </mc:AlternateContent>
            </w:r>
          </w:p>
          <w:p w14:paraId="420F96F6" w14:textId="77777777" w:rsidR="00F00E3D" w:rsidRDefault="00F00E3D" w:rsidP="009B2FA7">
            <w:pPr>
              <w:rPr>
                <w:rFonts w:asciiTheme="majorHAnsi" w:hAnsiTheme="majorHAnsi" w:cstheme="majorHAnsi"/>
                <w:sz w:val="21"/>
                <w:szCs w:val="21"/>
              </w:rPr>
            </w:pPr>
          </w:p>
          <w:p w14:paraId="6B1F2A57" w14:textId="77777777" w:rsidR="00F00E3D" w:rsidRDefault="00F00E3D" w:rsidP="009B2FA7">
            <w:pPr>
              <w:rPr>
                <w:rFonts w:asciiTheme="majorHAnsi" w:hAnsiTheme="majorHAnsi" w:cstheme="majorHAnsi"/>
                <w:sz w:val="21"/>
                <w:szCs w:val="21"/>
              </w:rPr>
            </w:pPr>
          </w:p>
          <w:p w14:paraId="25A836AE" w14:textId="77777777" w:rsidR="00F00E3D" w:rsidRDefault="00F00E3D" w:rsidP="009B2FA7">
            <w:pPr>
              <w:rPr>
                <w:rFonts w:asciiTheme="majorHAnsi" w:hAnsiTheme="majorHAnsi" w:cstheme="majorHAnsi"/>
                <w:sz w:val="21"/>
                <w:szCs w:val="21"/>
              </w:rPr>
            </w:pPr>
          </w:p>
          <w:p w14:paraId="41467A6B" w14:textId="77777777" w:rsidR="00F00E3D" w:rsidRDefault="00F00E3D" w:rsidP="009B2FA7">
            <w:pPr>
              <w:rPr>
                <w:rFonts w:asciiTheme="majorHAnsi" w:hAnsiTheme="majorHAnsi" w:cstheme="majorHAnsi"/>
                <w:sz w:val="21"/>
                <w:szCs w:val="21"/>
              </w:rPr>
            </w:pPr>
          </w:p>
          <w:p w14:paraId="47D3201B" w14:textId="77777777" w:rsidR="00F00E3D" w:rsidRDefault="00F00E3D" w:rsidP="009B2FA7">
            <w:pPr>
              <w:rPr>
                <w:rFonts w:asciiTheme="majorHAnsi" w:hAnsiTheme="majorHAnsi" w:cstheme="majorHAnsi"/>
                <w:sz w:val="21"/>
                <w:szCs w:val="21"/>
              </w:rPr>
            </w:pPr>
          </w:p>
          <w:p w14:paraId="09837F5B" w14:textId="77777777" w:rsidR="00F00E3D" w:rsidRDefault="00F00E3D" w:rsidP="009B2FA7">
            <w:pPr>
              <w:rPr>
                <w:rFonts w:asciiTheme="majorHAnsi" w:hAnsiTheme="majorHAnsi" w:cstheme="majorHAnsi"/>
                <w:sz w:val="21"/>
                <w:szCs w:val="21"/>
              </w:rPr>
            </w:pPr>
          </w:p>
          <w:p w14:paraId="14B98DD8" w14:textId="77777777" w:rsidR="00F00E3D" w:rsidRDefault="00F00E3D" w:rsidP="009B2FA7">
            <w:pPr>
              <w:rPr>
                <w:rFonts w:asciiTheme="majorHAnsi" w:hAnsiTheme="majorHAnsi" w:cstheme="majorHAnsi"/>
                <w:sz w:val="21"/>
                <w:szCs w:val="21"/>
              </w:rPr>
            </w:pPr>
          </w:p>
          <w:p w14:paraId="2D834B65" w14:textId="77777777" w:rsidR="00F00E3D" w:rsidRDefault="00F00E3D" w:rsidP="009B2FA7">
            <w:pPr>
              <w:rPr>
                <w:rFonts w:asciiTheme="majorHAnsi" w:hAnsiTheme="majorHAnsi" w:cstheme="majorHAnsi"/>
                <w:sz w:val="21"/>
                <w:szCs w:val="21"/>
              </w:rPr>
            </w:pPr>
          </w:p>
          <w:p w14:paraId="20F036D0" w14:textId="77777777" w:rsidR="00F00E3D" w:rsidRDefault="00F00E3D" w:rsidP="009B2FA7">
            <w:pPr>
              <w:rPr>
                <w:rFonts w:asciiTheme="majorHAnsi" w:hAnsiTheme="majorHAnsi" w:cstheme="majorHAnsi"/>
                <w:sz w:val="21"/>
                <w:szCs w:val="21"/>
              </w:rPr>
            </w:pPr>
          </w:p>
          <w:p w14:paraId="3A738A3A" w14:textId="77777777" w:rsidR="00F00E3D" w:rsidRDefault="00F00E3D" w:rsidP="009B2FA7">
            <w:pPr>
              <w:rPr>
                <w:rFonts w:asciiTheme="majorHAnsi" w:hAnsiTheme="majorHAnsi" w:cstheme="majorHAnsi"/>
                <w:sz w:val="21"/>
                <w:szCs w:val="21"/>
              </w:rPr>
            </w:pPr>
          </w:p>
          <w:p w14:paraId="72AE1456" w14:textId="77777777" w:rsidR="00F00E3D" w:rsidRDefault="00F00E3D" w:rsidP="009B2FA7">
            <w:pPr>
              <w:rPr>
                <w:rFonts w:asciiTheme="majorHAnsi" w:hAnsiTheme="majorHAnsi" w:cstheme="majorHAnsi"/>
                <w:sz w:val="21"/>
                <w:szCs w:val="21"/>
              </w:rPr>
            </w:pPr>
          </w:p>
          <w:p w14:paraId="1B4F2400" w14:textId="77777777" w:rsidR="00F00E3D" w:rsidRPr="00C711E4" w:rsidRDefault="00F00E3D" w:rsidP="009B2FA7">
            <w:pPr>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w:lastRenderedPageBreak/>
              <mc:AlternateContent>
                <mc:Choice Requires="wps">
                  <w:drawing>
                    <wp:anchor distT="45720" distB="45720" distL="114300" distR="114300" simplePos="0" relativeHeight="251658254" behindDoc="0" locked="0" layoutInCell="1" allowOverlap="1" wp14:anchorId="3355868B" wp14:editId="3B5173E7">
                      <wp:simplePos x="0" y="0"/>
                      <wp:positionH relativeFrom="column">
                        <wp:posOffset>-189865</wp:posOffset>
                      </wp:positionH>
                      <wp:positionV relativeFrom="paragraph">
                        <wp:posOffset>615315</wp:posOffset>
                      </wp:positionV>
                      <wp:extent cx="979805" cy="341630"/>
                      <wp:effectExtent l="0" t="0" r="6032"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9805" cy="341630"/>
                              </a:xfrm>
                              <a:prstGeom prst="rect">
                                <a:avLst/>
                              </a:prstGeom>
                              <a:noFill/>
                              <a:ln w="9525">
                                <a:noFill/>
                                <a:miter lim="800000"/>
                                <a:headEnd/>
                                <a:tailEnd/>
                              </a:ln>
                            </wps:spPr>
                            <wps:txbx>
                              <w:txbxContent>
                                <w:p w14:paraId="06D0D5DD" w14:textId="77777777" w:rsidR="00063AC8" w:rsidRPr="004200CF" w:rsidRDefault="00063AC8" w:rsidP="009B2FA7">
                                  <w:pPr>
                                    <w:jc w:val="right"/>
                                    <w:rPr>
                                      <w:b/>
                                      <w:bCs/>
                                      <w:color w:val="595959" w:themeColor="text1" w:themeTint="A6"/>
                                    </w:rPr>
                                  </w:pPr>
                                  <w:r>
                                    <w:rPr>
                                      <w:b/>
                                      <w:bCs/>
                                      <w:color w:val="595959" w:themeColor="text1" w:themeTint="A6"/>
                                    </w:rPr>
                                    <w:t>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5868B" id="_x0000_s1033" type="#_x0000_t202" style="position:absolute;margin-left:-14.95pt;margin-top:48.45pt;width:77.15pt;height:26.9pt;rotation:-90;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" filled="f" stroked="f">
                      <v:textbox>
                        <w:txbxContent>
                          <w:p w14:paraId="06D0D5DD" w14:textId="77777777" w:rsidR="00063AC8" w:rsidRPr="004200CF" w:rsidRDefault="00063AC8" w:rsidP="009B2FA7">
                            <w:pPr>
                              <w:jc w:val="right"/>
                              <w:rPr>
                                <w:b/>
                                <w:bCs/>
                                <w:color w:val="595959" w:themeColor="text1" w:themeTint="A6"/>
                              </w:rPr>
                            </w:pPr>
                            <w:r>
                              <w:rPr>
                                <w:b/>
                                <w:bCs/>
                                <w:color w:val="595959" w:themeColor="text1" w:themeTint="A6"/>
                              </w:rPr>
                              <w:t>EDUCATION</w:t>
                            </w:r>
                          </w:p>
                        </w:txbxContent>
                      </v:textbox>
                      <w10:wrap type="square"/>
                    </v:shape>
                  </w:pict>
                </mc:Fallback>
              </mc:AlternateContent>
            </w:r>
          </w:p>
        </w:tc>
        <w:tc>
          <w:tcPr>
            <w:tcW w:w="9922" w:type="dxa"/>
            <w:tcBorders>
              <w:top w:val="single" w:sz="8" w:space="0" w:color="auto"/>
              <w:left w:val="single" w:sz="8" w:space="0" w:color="auto"/>
              <w:bottom w:val="single" w:sz="8" w:space="0" w:color="auto"/>
              <w:right w:val="single" w:sz="8" w:space="0" w:color="auto"/>
            </w:tcBorders>
          </w:tcPr>
          <w:p w14:paraId="0E838849" w14:textId="733D159B" w:rsidR="00F00E3D" w:rsidRPr="0094479E" w:rsidRDefault="00F00E3D" w:rsidP="009B2FA7">
            <w:pPr>
              <w:rPr>
                <w:rFonts w:asciiTheme="majorHAnsi" w:hAnsiTheme="majorHAnsi" w:cstheme="majorHAnsi"/>
                <w:sz w:val="21"/>
                <w:szCs w:val="21"/>
              </w:rPr>
            </w:pPr>
            <w:r w:rsidRPr="003364BB">
              <w:rPr>
                <w:rFonts w:asciiTheme="majorHAnsi" w:eastAsia="Times New Roman" w:hAnsiTheme="majorHAnsi" w:cstheme="majorHAnsi"/>
                <w:b/>
                <w:bCs/>
                <w:sz w:val="21"/>
                <w:szCs w:val="21"/>
              </w:rPr>
              <w:lastRenderedPageBreak/>
              <w:t>Smarter Schools National Partnership for Low Socioeconomic Status School Communities (2008–2009, 2014–2015)</w:t>
            </w:r>
            <w:r w:rsidRPr="003364BB">
              <w:rPr>
                <w:rFonts w:asciiTheme="majorHAnsi" w:eastAsia="Times New Roman" w:hAnsiTheme="majorHAnsi" w:cstheme="majorHAnsi"/>
                <w:sz w:val="21"/>
                <w:szCs w:val="21"/>
              </w:rPr>
              <w:t xml:space="preserve"> was a comprehensive strategy focused on the learning and wellbeing of disadvantaged students to support transition to further education, work, and community participation. </w:t>
            </w:r>
            <w:r w:rsidR="00E956AA">
              <w:rPr>
                <w:rFonts w:asciiTheme="majorHAnsi" w:eastAsia="Times New Roman" w:hAnsiTheme="majorHAnsi" w:cstheme="majorHAnsi"/>
                <w:sz w:val="21"/>
                <w:szCs w:val="21"/>
              </w:rPr>
              <w:t xml:space="preserve">It </w:t>
            </w:r>
            <w:r w:rsidRPr="003364BB">
              <w:rPr>
                <w:rFonts w:asciiTheme="majorHAnsi" w:eastAsia="Times New Roman" w:hAnsiTheme="majorHAnsi" w:cstheme="majorHAnsi"/>
                <w:sz w:val="21"/>
                <w:szCs w:val="21"/>
              </w:rPr>
              <w:t xml:space="preserve">distributed about $1.5 billion to over 1700 schools in </w:t>
            </w:r>
            <w:r>
              <w:rPr>
                <w:rFonts w:asciiTheme="majorHAnsi" w:eastAsia="Times New Roman" w:hAnsiTheme="majorHAnsi" w:cstheme="majorHAnsi"/>
                <w:sz w:val="21"/>
                <w:szCs w:val="21"/>
              </w:rPr>
              <w:t>disadvantaged communities</w:t>
            </w:r>
            <w:r w:rsidRPr="003364BB">
              <w:rPr>
                <w:rFonts w:asciiTheme="majorHAnsi" w:eastAsia="Times New Roman" w:hAnsiTheme="majorHAnsi" w:cstheme="majorHAnsi"/>
                <w:sz w:val="21"/>
                <w:szCs w:val="21"/>
              </w:rPr>
              <w:t xml:space="preserve">, with extra funding </w:t>
            </w:r>
            <w:r w:rsidR="00E956AA">
              <w:rPr>
                <w:rFonts w:asciiTheme="majorHAnsi" w:eastAsia="Times New Roman" w:hAnsiTheme="majorHAnsi" w:cstheme="majorHAnsi"/>
                <w:sz w:val="21"/>
                <w:szCs w:val="21"/>
              </w:rPr>
              <w:t>from</w:t>
            </w:r>
            <w:r w:rsidRPr="003364BB">
              <w:rPr>
                <w:rFonts w:asciiTheme="majorHAnsi" w:eastAsia="Times New Roman" w:hAnsiTheme="majorHAnsi" w:cstheme="majorHAnsi"/>
                <w:sz w:val="21"/>
                <w:szCs w:val="21"/>
              </w:rPr>
              <w:t xml:space="preserve"> states and territories. One evaluation found </w:t>
            </w:r>
            <w:r w:rsidR="00E956AA">
              <w:rPr>
                <w:rFonts w:asciiTheme="majorHAnsi" w:eastAsia="Times New Roman" w:hAnsiTheme="majorHAnsi" w:cstheme="majorHAnsi"/>
                <w:sz w:val="21"/>
                <w:szCs w:val="21"/>
              </w:rPr>
              <w:t xml:space="preserve">mixed </w:t>
            </w:r>
            <w:r w:rsidRPr="003364BB">
              <w:rPr>
                <w:rFonts w:asciiTheme="majorHAnsi" w:eastAsia="Times New Roman" w:hAnsiTheme="majorHAnsi" w:cstheme="majorHAnsi"/>
                <w:sz w:val="21"/>
                <w:szCs w:val="21"/>
              </w:rPr>
              <w:t xml:space="preserve">results (“hit and miss”), with funding levels too low </w:t>
            </w:r>
            <w:r w:rsidR="00E956AA">
              <w:rPr>
                <w:rFonts w:asciiTheme="majorHAnsi" w:eastAsia="Times New Roman" w:hAnsiTheme="majorHAnsi" w:cstheme="majorHAnsi"/>
                <w:sz w:val="21"/>
                <w:szCs w:val="21"/>
              </w:rPr>
              <w:t>for</w:t>
            </w:r>
            <w:r w:rsidRPr="003364BB">
              <w:rPr>
                <w:rFonts w:asciiTheme="majorHAnsi" w:eastAsia="Times New Roman" w:hAnsiTheme="majorHAnsi" w:cstheme="majorHAnsi"/>
                <w:sz w:val="21"/>
                <w:szCs w:val="21"/>
              </w:rPr>
              <w:t xml:space="preserve"> real impact and many deserving schools missing out.</w:t>
            </w:r>
          </w:p>
          <w:p w14:paraId="6E77FDFF" w14:textId="2BEA9CE8" w:rsidR="00F00E3D" w:rsidRPr="0094479E" w:rsidRDefault="00F00E3D" w:rsidP="009B2FA7">
            <w:pPr>
              <w:rPr>
                <w:rFonts w:asciiTheme="majorHAnsi" w:hAnsiTheme="majorHAnsi" w:cstheme="majorHAnsi"/>
                <w:sz w:val="21"/>
                <w:szCs w:val="21"/>
              </w:rPr>
            </w:pPr>
            <w:r w:rsidRPr="003364BB">
              <w:rPr>
                <w:rFonts w:asciiTheme="majorHAnsi" w:eastAsia="Times New Roman" w:hAnsiTheme="majorHAnsi" w:cstheme="majorHAnsi"/>
                <w:b/>
                <w:bCs/>
                <w:sz w:val="21"/>
                <w:szCs w:val="21"/>
              </w:rPr>
              <w:t>National Partnership on Youth Attainment and Transitions (2009)</w:t>
            </w:r>
            <w:r w:rsidRPr="003364BB">
              <w:rPr>
                <w:rFonts w:asciiTheme="majorHAnsi" w:eastAsia="Times New Roman" w:hAnsiTheme="majorHAnsi" w:cstheme="majorHAnsi"/>
                <w:sz w:val="21"/>
                <w:szCs w:val="21"/>
              </w:rPr>
              <w:t xml:space="preserve"> aims to retain young people in education, and improve their transition to further education, training, or employment to align with the Council of Australian Governments’ goal of a 90% upper secondary (Year 12 equivalent) attainment rate by 2015. It clarified actors’ responsibilities to achieve targets and provides funding to programs related to student engagement, attainment, and transition. Evaluated in 2014, it showed some limited success, but confirmed the need to keep young people at school rather than wait until they disengage to launch support programs.</w:t>
            </w:r>
          </w:p>
          <w:p w14:paraId="27803E42" w14:textId="3836B2F1" w:rsidR="00F00E3D" w:rsidRPr="0094479E" w:rsidRDefault="00F00E3D" w:rsidP="009B2FA7">
            <w:pPr>
              <w:rPr>
                <w:rFonts w:asciiTheme="majorHAnsi" w:hAnsiTheme="majorHAnsi" w:cstheme="majorHAnsi"/>
                <w:sz w:val="21"/>
                <w:szCs w:val="21"/>
              </w:rPr>
            </w:pPr>
            <w:r w:rsidRPr="003364BB">
              <w:rPr>
                <w:rFonts w:asciiTheme="majorHAnsi" w:eastAsia="Times New Roman" w:hAnsiTheme="majorHAnsi" w:cstheme="majorHAnsi"/>
                <w:b/>
                <w:bCs/>
                <w:sz w:val="21"/>
                <w:szCs w:val="21"/>
              </w:rPr>
              <w:t xml:space="preserve">National Partnership Agreement on Skills Reform (2008, renewed in 2012): </w:t>
            </w:r>
            <w:r w:rsidRPr="003364BB">
              <w:rPr>
                <w:rFonts w:asciiTheme="majorHAnsi" w:eastAsia="Times New Roman" w:hAnsiTheme="majorHAnsi" w:cstheme="majorHAnsi"/>
                <w:sz w:val="21"/>
                <w:szCs w:val="21"/>
              </w:rPr>
              <w:t>detailed national reforms, including a new entitlement to a subsidised training place for up to the first Certificate III qualification, and income-contingent loans for Diploma and Advanced Diploma qualifications. An evaluation concluded that this program had failed; its rollout coincided with sliding enrolments and completion rates, declining satisfaction, deteriorating course options, cost-shifting to students and a series of quality disasters</w:t>
            </w:r>
            <w:r w:rsidRPr="003364BB">
              <w:rPr>
                <w:rFonts w:asciiTheme="majorHAnsi" w:eastAsia="Arial" w:hAnsiTheme="majorHAnsi" w:cstheme="majorHAnsi"/>
                <w:sz w:val="21"/>
                <w:szCs w:val="21"/>
              </w:rPr>
              <w:t>.</w:t>
            </w:r>
            <w:r w:rsidRPr="003364BB">
              <w:rPr>
                <w:rFonts w:asciiTheme="majorHAnsi" w:eastAsia="Times New Roman" w:hAnsiTheme="majorHAnsi" w:cstheme="majorHAnsi"/>
                <w:sz w:val="21"/>
                <w:szCs w:val="21"/>
              </w:rPr>
              <w:t xml:space="preserve"> </w:t>
            </w:r>
          </w:p>
          <w:p w14:paraId="41618F3C" w14:textId="5D4F4FAC" w:rsidR="00F00E3D" w:rsidRPr="0094479E" w:rsidRDefault="00F00E3D" w:rsidP="009B2FA7">
            <w:pPr>
              <w:rPr>
                <w:rFonts w:asciiTheme="majorHAnsi" w:hAnsiTheme="majorHAnsi" w:cstheme="majorHAnsi"/>
                <w:sz w:val="21"/>
                <w:szCs w:val="21"/>
              </w:rPr>
            </w:pPr>
            <w:r w:rsidRPr="003364BB">
              <w:rPr>
                <w:rFonts w:asciiTheme="majorHAnsi" w:eastAsia="Times New Roman" w:hAnsiTheme="majorHAnsi" w:cstheme="majorHAnsi"/>
                <w:b/>
                <w:bCs/>
                <w:sz w:val="21"/>
                <w:szCs w:val="21"/>
              </w:rPr>
              <w:t xml:space="preserve">NAPLAN: </w:t>
            </w:r>
            <w:r w:rsidRPr="003364BB">
              <w:rPr>
                <w:rFonts w:asciiTheme="majorHAnsi" w:eastAsia="Times New Roman" w:hAnsiTheme="majorHAnsi" w:cstheme="majorHAnsi"/>
                <w:sz w:val="21"/>
                <w:szCs w:val="21"/>
              </w:rPr>
              <w:t xml:space="preserve">Student performance monitored nationally since 2008 via the National Assessment Program – Literacy and Numeracy. Currently assesses students in Years 3, 5, 7, and 9 in reading, writing, language conventions (spelling, grammar, punctuation), and numeracy. </w:t>
            </w:r>
          </w:p>
          <w:p w14:paraId="3B813407" w14:textId="4A563256" w:rsidR="00F00E3D" w:rsidRPr="0094479E" w:rsidRDefault="007320D6" w:rsidP="009B2FA7">
            <w:pPr>
              <w:rPr>
                <w:rFonts w:asciiTheme="majorHAnsi" w:hAnsiTheme="majorHAnsi" w:cstheme="majorHAnsi"/>
                <w:sz w:val="21"/>
                <w:szCs w:val="21"/>
              </w:rPr>
            </w:pPr>
            <w:hyperlink r:id="rId29">
              <w:r w:rsidR="00F00E3D" w:rsidRPr="003364BB">
                <w:rPr>
                  <w:rStyle w:val="Hyperlink"/>
                  <w:rFonts w:asciiTheme="majorHAnsi" w:eastAsia="Times New Roman" w:hAnsiTheme="majorHAnsi" w:cstheme="majorHAnsi"/>
                  <w:b/>
                  <w:bCs/>
                  <w:sz w:val="21"/>
                  <w:szCs w:val="21"/>
                </w:rPr>
                <w:t>National Aboriginal and Torres Strait Islander Education Strategy</w:t>
              </w:r>
            </w:hyperlink>
            <w:r w:rsidR="00F00E3D" w:rsidRPr="003364BB">
              <w:rPr>
                <w:rFonts w:asciiTheme="majorHAnsi" w:hAnsiTheme="majorHAnsi" w:cstheme="majorHAnsi"/>
              </w:rPr>
              <w:t xml:space="preserve">: </w:t>
            </w:r>
            <w:r w:rsidR="00F00E3D" w:rsidRPr="003364BB">
              <w:rPr>
                <w:rFonts w:asciiTheme="majorHAnsi" w:eastAsia="Times New Roman" w:hAnsiTheme="majorHAnsi" w:cstheme="majorHAnsi"/>
                <w:sz w:val="21"/>
                <w:szCs w:val="21"/>
              </w:rPr>
              <w:t xml:space="preserve">Started in 1989 but remains current. Focuses on attendance and engagement, transition points, early childhood transitions, workforce and Australian Curriculum. </w:t>
            </w:r>
          </w:p>
          <w:p w14:paraId="667B2AC6" w14:textId="49769ABF" w:rsidR="00F00E3D" w:rsidRPr="0094479E" w:rsidRDefault="007320D6" w:rsidP="009B2FA7">
            <w:pPr>
              <w:rPr>
                <w:rFonts w:asciiTheme="majorHAnsi" w:eastAsia="Times New Roman" w:hAnsiTheme="majorHAnsi" w:cstheme="majorHAnsi"/>
                <w:sz w:val="21"/>
                <w:szCs w:val="21"/>
              </w:rPr>
            </w:pPr>
            <w:hyperlink r:id="rId30">
              <w:r w:rsidR="00F00E3D" w:rsidRPr="003364BB">
                <w:rPr>
                  <w:rStyle w:val="Hyperlink"/>
                  <w:rFonts w:asciiTheme="majorHAnsi" w:eastAsia="Times New Roman" w:hAnsiTheme="majorHAnsi" w:cstheme="majorHAnsi"/>
                  <w:b/>
                  <w:bCs/>
                  <w:sz w:val="21"/>
                  <w:szCs w:val="21"/>
                </w:rPr>
                <w:t>National Regional, Rural and Remote Education Strategy</w:t>
              </w:r>
            </w:hyperlink>
            <w:r w:rsidR="00F00E3D" w:rsidRPr="003364BB">
              <w:rPr>
                <w:rFonts w:asciiTheme="majorHAnsi" w:hAnsiTheme="majorHAnsi" w:cstheme="majorHAnsi"/>
              </w:rPr>
              <w:t xml:space="preserve">: </w:t>
            </w:r>
            <w:r w:rsidR="00F00E3D" w:rsidRPr="003364BB">
              <w:rPr>
                <w:rFonts w:asciiTheme="majorHAnsi" w:eastAsia="Times New Roman" w:hAnsiTheme="majorHAnsi" w:cstheme="majorHAnsi"/>
                <w:sz w:val="21"/>
                <w:szCs w:val="21"/>
              </w:rPr>
              <w:t>released in 2019 as a result of Halsey Review recommendations. Led by National Regional Education Expert Advisory Group.</w:t>
            </w:r>
          </w:p>
          <w:p w14:paraId="4BFB2B4E" w14:textId="1463E35A" w:rsidR="00F00E3D" w:rsidRPr="0094479E" w:rsidRDefault="00F00E3D" w:rsidP="009B2FA7">
            <w:pPr>
              <w:rPr>
                <w:rFonts w:asciiTheme="majorHAnsi" w:hAnsiTheme="majorHAnsi" w:cstheme="majorHAnsi"/>
                <w:sz w:val="21"/>
                <w:szCs w:val="21"/>
              </w:rPr>
            </w:pPr>
            <w:r w:rsidRPr="003364BB">
              <w:rPr>
                <w:rFonts w:asciiTheme="majorHAnsi" w:eastAsia="Times New Roman" w:hAnsiTheme="majorHAnsi" w:cstheme="majorHAnsi"/>
                <w:b/>
                <w:bCs/>
                <w:sz w:val="21"/>
                <w:szCs w:val="21"/>
              </w:rPr>
              <w:t>Additional Financial Support for Regional Students</w:t>
            </w:r>
            <w:r w:rsidRPr="003364BB">
              <w:rPr>
                <w:rFonts w:asciiTheme="majorHAnsi" w:hAnsiTheme="majorHAnsi" w:cstheme="majorHAnsi"/>
                <w:sz w:val="21"/>
                <w:szCs w:val="21"/>
              </w:rPr>
              <w:t xml:space="preserve">: </w:t>
            </w:r>
            <w:r w:rsidRPr="003364BB">
              <w:rPr>
                <w:rFonts w:asciiTheme="majorHAnsi" w:eastAsia="Times New Roman" w:hAnsiTheme="majorHAnsi" w:cstheme="majorHAnsi"/>
                <w:sz w:val="21"/>
                <w:szCs w:val="21"/>
              </w:rPr>
              <w:t xml:space="preserve">Fares Allowance: for eligible regional students who </w:t>
            </w:r>
            <w:r w:rsidR="00475B20">
              <w:rPr>
                <w:rFonts w:asciiTheme="majorHAnsi" w:eastAsia="Times New Roman" w:hAnsiTheme="majorHAnsi" w:cstheme="majorHAnsi"/>
                <w:sz w:val="21"/>
                <w:szCs w:val="21"/>
              </w:rPr>
              <w:t>must</w:t>
            </w:r>
            <w:r w:rsidRPr="003364BB">
              <w:rPr>
                <w:rFonts w:asciiTheme="majorHAnsi" w:eastAsia="Times New Roman" w:hAnsiTheme="majorHAnsi" w:cstheme="majorHAnsi"/>
                <w:sz w:val="21"/>
                <w:szCs w:val="21"/>
              </w:rPr>
              <w:t xml:space="preserve"> move away from home to study. Youth Allowance: </w:t>
            </w:r>
            <w:r w:rsidR="00475B20">
              <w:rPr>
                <w:rFonts w:asciiTheme="majorHAnsi" w:eastAsia="Times New Roman" w:hAnsiTheme="majorHAnsi" w:cstheme="majorHAnsi"/>
                <w:sz w:val="21"/>
                <w:szCs w:val="21"/>
              </w:rPr>
              <w:t xml:space="preserve">extra </w:t>
            </w:r>
            <w:r w:rsidRPr="003364BB">
              <w:rPr>
                <w:rFonts w:asciiTheme="majorHAnsi" w:eastAsia="Times New Roman" w:hAnsiTheme="majorHAnsi" w:cstheme="majorHAnsi"/>
                <w:sz w:val="21"/>
                <w:szCs w:val="21"/>
              </w:rPr>
              <w:t>$12,000</w:t>
            </w:r>
            <w:r w:rsidR="00475B20">
              <w:rPr>
                <w:rFonts w:asciiTheme="majorHAnsi" w:eastAsia="Times New Roman" w:hAnsiTheme="majorHAnsi" w:cstheme="majorHAnsi"/>
                <w:sz w:val="21"/>
                <w:szCs w:val="21"/>
              </w:rPr>
              <w:t>/</w:t>
            </w:r>
            <w:r w:rsidRPr="003364BB">
              <w:rPr>
                <w:rFonts w:asciiTheme="majorHAnsi" w:eastAsia="Times New Roman" w:hAnsiTheme="majorHAnsi" w:cstheme="majorHAnsi"/>
                <w:sz w:val="21"/>
                <w:szCs w:val="21"/>
              </w:rPr>
              <w:t>year for regional students living away from home.</w:t>
            </w:r>
          </w:p>
          <w:p w14:paraId="4239E2DC" w14:textId="1CED1BBE" w:rsidR="00F00E3D" w:rsidRPr="0094479E" w:rsidRDefault="007320D6" w:rsidP="009B2FA7">
            <w:pPr>
              <w:rPr>
                <w:rFonts w:asciiTheme="majorHAnsi" w:hAnsiTheme="majorHAnsi" w:cstheme="majorHAnsi"/>
                <w:sz w:val="21"/>
                <w:szCs w:val="21"/>
              </w:rPr>
            </w:pPr>
            <w:hyperlink r:id="rId31">
              <w:r w:rsidR="00F00E3D" w:rsidRPr="003364BB">
                <w:rPr>
                  <w:rStyle w:val="Hyperlink"/>
                  <w:rFonts w:asciiTheme="majorHAnsi" w:eastAsia="Times New Roman" w:hAnsiTheme="majorHAnsi" w:cstheme="majorHAnsi"/>
                  <w:b/>
                  <w:bCs/>
                  <w:sz w:val="21"/>
                  <w:szCs w:val="21"/>
                </w:rPr>
                <w:t>Independent Review into Regional, Rural and Remote Education (Halsey Review</w:t>
              </w:r>
              <w:r w:rsidR="00125378">
                <w:rPr>
                  <w:rStyle w:val="Hyperlink"/>
                  <w:rFonts w:asciiTheme="majorHAnsi" w:eastAsia="Times New Roman" w:hAnsiTheme="majorHAnsi" w:cstheme="majorHAnsi"/>
                  <w:b/>
                  <w:bCs/>
                  <w:sz w:val="21"/>
                  <w:szCs w:val="21"/>
                </w:rPr>
                <w:t>, 2017</w:t>
              </w:r>
              <w:r w:rsidR="00F00E3D" w:rsidRPr="003364BB">
                <w:rPr>
                  <w:rStyle w:val="Hyperlink"/>
                  <w:rFonts w:asciiTheme="majorHAnsi" w:eastAsia="Times New Roman" w:hAnsiTheme="majorHAnsi" w:cstheme="majorHAnsi"/>
                  <w:b/>
                  <w:bCs/>
                  <w:sz w:val="21"/>
                  <w:szCs w:val="21"/>
                </w:rPr>
                <w:t>)</w:t>
              </w:r>
            </w:hyperlink>
            <w:r w:rsidR="00F00E3D" w:rsidRPr="003364BB">
              <w:rPr>
                <w:rStyle w:val="Hyperlink"/>
                <w:rFonts w:asciiTheme="majorHAnsi" w:eastAsia="Times New Roman" w:hAnsiTheme="majorHAnsi" w:cstheme="majorHAnsi"/>
                <w:b/>
                <w:bCs/>
                <w:sz w:val="21"/>
                <w:szCs w:val="21"/>
              </w:rPr>
              <w:t>:</w:t>
            </w:r>
            <w:r w:rsidR="00125378">
              <w:t xml:space="preserve"> </w:t>
            </w:r>
            <w:r w:rsidR="00125378">
              <w:rPr>
                <w:rFonts w:asciiTheme="majorHAnsi" w:eastAsia="Times New Roman" w:hAnsiTheme="majorHAnsi" w:cstheme="majorHAnsi"/>
                <w:sz w:val="21"/>
                <w:szCs w:val="21"/>
              </w:rPr>
              <w:t>examined</w:t>
            </w:r>
            <w:r w:rsidR="00F00E3D" w:rsidRPr="003364BB">
              <w:rPr>
                <w:rFonts w:asciiTheme="majorHAnsi" w:eastAsia="Times New Roman" w:hAnsiTheme="majorHAnsi" w:cstheme="majorHAnsi"/>
                <w:sz w:val="21"/>
                <w:szCs w:val="21"/>
              </w:rPr>
              <w:t xml:space="preserve"> challenges faced by regional students</w:t>
            </w:r>
            <w:r w:rsidR="00475B20">
              <w:rPr>
                <w:rFonts w:asciiTheme="majorHAnsi" w:eastAsia="Times New Roman" w:hAnsiTheme="majorHAnsi" w:cstheme="majorHAnsi"/>
                <w:sz w:val="21"/>
                <w:szCs w:val="21"/>
              </w:rPr>
              <w:t>,</w:t>
            </w:r>
            <w:r w:rsidR="00F00E3D" w:rsidRPr="003364BB">
              <w:rPr>
                <w:rFonts w:asciiTheme="majorHAnsi" w:eastAsia="Times New Roman" w:hAnsiTheme="majorHAnsi" w:cstheme="majorHAnsi"/>
                <w:sz w:val="21"/>
                <w:szCs w:val="21"/>
              </w:rPr>
              <w:t xml:space="preserve"> recommend</w:t>
            </w:r>
            <w:r w:rsidR="00125378">
              <w:rPr>
                <w:rFonts w:asciiTheme="majorHAnsi" w:eastAsia="Times New Roman" w:hAnsiTheme="majorHAnsi" w:cstheme="majorHAnsi"/>
                <w:sz w:val="21"/>
                <w:szCs w:val="21"/>
              </w:rPr>
              <w:t>ed</w:t>
            </w:r>
            <w:r w:rsidR="00F00E3D" w:rsidRPr="003364BB">
              <w:rPr>
                <w:rFonts w:asciiTheme="majorHAnsi" w:eastAsia="Times New Roman" w:hAnsiTheme="majorHAnsi" w:cstheme="majorHAnsi"/>
                <w:sz w:val="21"/>
                <w:szCs w:val="21"/>
              </w:rPr>
              <w:t xml:space="preserve"> </w:t>
            </w:r>
            <w:r w:rsidR="00475B20">
              <w:rPr>
                <w:rFonts w:asciiTheme="majorHAnsi" w:eastAsia="Times New Roman" w:hAnsiTheme="majorHAnsi" w:cstheme="majorHAnsi"/>
                <w:sz w:val="21"/>
                <w:szCs w:val="21"/>
              </w:rPr>
              <w:t xml:space="preserve">actions </w:t>
            </w:r>
            <w:r w:rsidR="00E956AA">
              <w:rPr>
                <w:rFonts w:asciiTheme="majorHAnsi" w:eastAsia="Times New Roman" w:hAnsiTheme="majorHAnsi" w:cstheme="majorHAnsi"/>
                <w:sz w:val="21"/>
                <w:szCs w:val="21"/>
              </w:rPr>
              <w:t>to improve outcomes</w:t>
            </w:r>
            <w:r w:rsidR="00F00E3D" w:rsidRPr="003364BB">
              <w:rPr>
                <w:rFonts w:asciiTheme="majorHAnsi" w:eastAsia="Times New Roman" w:hAnsiTheme="majorHAnsi" w:cstheme="majorHAnsi"/>
                <w:sz w:val="21"/>
                <w:szCs w:val="21"/>
              </w:rPr>
              <w:t xml:space="preserve"> </w:t>
            </w:r>
            <w:r w:rsidR="00475B20">
              <w:rPr>
                <w:rFonts w:asciiTheme="majorHAnsi" w:eastAsia="Times New Roman" w:hAnsiTheme="majorHAnsi" w:cstheme="majorHAnsi"/>
                <w:sz w:val="21"/>
                <w:szCs w:val="21"/>
              </w:rPr>
              <w:t>for</w:t>
            </w:r>
            <w:r w:rsidR="00E956AA">
              <w:rPr>
                <w:rFonts w:asciiTheme="majorHAnsi" w:eastAsia="Times New Roman" w:hAnsiTheme="majorHAnsi" w:cstheme="majorHAnsi"/>
                <w:sz w:val="21"/>
                <w:szCs w:val="21"/>
              </w:rPr>
              <w:t xml:space="preserve"> all</w:t>
            </w:r>
            <w:r w:rsidR="00F00E3D" w:rsidRPr="003364BB">
              <w:rPr>
                <w:rFonts w:asciiTheme="majorHAnsi" w:eastAsia="Times New Roman" w:hAnsiTheme="majorHAnsi" w:cstheme="majorHAnsi"/>
                <w:sz w:val="21"/>
                <w:szCs w:val="21"/>
              </w:rPr>
              <w:t xml:space="preserve"> education</w:t>
            </w:r>
            <w:r w:rsidR="00E956AA">
              <w:rPr>
                <w:rFonts w:asciiTheme="majorHAnsi" w:eastAsia="Times New Roman" w:hAnsiTheme="majorHAnsi" w:cstheme="majorHAnsi"/>
                <w:sz w:val="21"/>
                <w:szCs w:val="21"/>
              </w:rPr>
              <w:t xml:space="preserve"> levels</w:t>
            </w:r>
            <w:r w:rsidR="00F00E3D" w:rsidRPr="003364BB">
              <w:rPr>
                <w:rFonts w:asciiTheme="majorHAnsi" w:eastAsia="Times New Roman" w:hAnsiTheme="majorHAnsi" w:cstheme="majorHAnsi"/>
                <w:sz w:val="21"/>
                <w:szCs w:val="21"/>
              </w:rPr>
              <w:t>. Note</w:t>
            </w:r>
            <w:r w:rsidR="00125378">
              <w:rPr>
                <w:rFonts w:asciiTheme="majorHAnsi" w:eastAsia="Times New Roman" w:hAnsiTheme="majorHAnsi" w:cstheme="majorHAnsi"/>
                <w:sz w:val="21"/>
                <w:szCs w:val="21"/>
              </w:rPr>
              <w:t>d</w:t>
            </w:r>
            <w:r w:rsidR="00F00E3D" w:rsidRPr="003364BB">
              <w:rPr>
                <w:rFonts w:asciiTheme="majorHAnsi" w:eastAsia="Times New Roman" w:hAnsiTheme="majorHAnsi" w:cstheme="majorHAnsi"/>
                <w:sz w:val="21"/>
                <w:szCs w:val="21"/>
              </w:rPr>
              <w:t xml:space="preserve"> </w:t>
            </w:r>
            <w:r w:rsidR="00125378">
              <w:rPr>
                <w:rFonts w:asciiTheme="majorHAnsi" w:eastAsia="Times New Roman" w:hAnsiTheme="majorHAnsi" w:cstheme="majorHAnsi"/>
                <w:sz w:val="21"/>
                <w:szCs w:val="21"/>
              </w:rPr>
              <w:t xml:space="preserve">education policy mainly a </w:t>
            </w:r>
            <w:r w:rsidR="00F00E3D" w:rsidRPr="003364BB">
              <w:rPr>
                <w:rFonts w:asciiTheme="majorHAnsi" w:eastAsia="Times New Roman" w:hAnsiTheme="majorHAnsi" w:cstheme="majorHAnsi"/>
                <w:sz w:val="21"/>
                <w:szCs w:val="21"/>
              </w:rPr>
              <w:t>state government</w:t>
            </w:r>
            <w:r w:rsidR="00125378">
              <w:rPr>
                <w:rFonts w:asciiTheme="majorHAnsi" w:eastAsia="Times New Roman" w:hAnsiTheme="majorHAnsi" w:cstheme="majorHAnsi"/>
                <w:sz w:val="21"/>
                <w:szCs w:val="21"/>
              </w:rPr>
              <w:t xml:space="preserve"> responsibility, and</w:t>
            </w:r>
            <w:r w:rsidR="00F00E3D" w:rsidRPr="003364BB">
              <w:rPr>
                <w:rFonts w:asciiTheme="majorHAnsi" w:eastAsia="Times New Roman" w:hAnsiTheme="majorHAnsi" w:cstheme="majorHAnsi"/>
                <w:sz w:val="21"/>
                <w:szCs w:val="21"/>
              </w:rPr>
              <w:t xml:space="preserve"> </w:t>
            </w:r>
            <w:r w:rsidR="00125378">
              <w:rPr>
                <w:rFonts w:asciiTheme="majorHAnsi" w:eastAsia="Times New Roman" w:hAnsiTheme="majorHAnsi" w:cstheme="majorHAnsi"/>
                <w:sz w:val="21"/>
                <w:szCs w:val="21"/>
              </w:rPr>
              <w:t>s</w:t>
            </w:r>
            <w:r w:rsidR="00F00E3D" w:rsidRPr="003364BB">
              <w:rPr>
                <w:rFonts w:asciiTheme="majorHAnsi" w:eastAsia="Times New Roman" w:hAnsiTheme="majorHAnsi" w:cstheme="majorHAnsi"/>
                <w:sz w:val="21"/>
                <w:szCs w:val="21"/>
              </w:rPr>
              <w:t xml:space="preserve">ignificant policy hurdles </w:t>
            </w:r>
            <w:r w:rsidR="00125378">
              <w:rPr>
                <w:rFonts w:asciiTheme="majorHAnsi" w:eastAsia="Times New Roman" w:hAnsiTheme="majorHAnsi" w:cstheme="majorHAnsi"/>
                <w:sz w:val="21"/>
                <w:szCs w:val="21"/>
              </w:rPr>
              <w:t>re:</w:t>
            </w:r>
            <w:r w:rsidR="00F00E3D" w:rsidRPr="003364BB">
              <w:rPr>
                <w:rFonts w:asciiTheme="majorHAnsi" w:eastAsia="Times New Roman" w:hAnsiTheme="majorHAnsi" w:cstheme="majorHAnsi"/>
                <w:sz w:val="21"/>
                <w:szCs w:val="21"/>
              </w:rPr>
              <w:t xml:space="preserve"> dual enrolment with TAFE providers.</w:t>
            </w:r>
          </w:p>
          <w:p w14:paraId="41C0D7FB" w14:textId="77777777" w:rsidR="00F00E3D" w:rsidRPr="003364BB" w:rsidRDefault="007320D6" w:rsidP="009B2FA7">
            <w:pPr>
              <w:rPr>
                <w:rFonts w:asciiTheme="majorHAnsi" w:hAnsiTheme="majorHAnsi" w:cstheme="majorHAnsi"/>
                <w:sz w:val="21"/>
                <w:szCs w:val="21"/>
              </w:rPr>
            </w:pPr>
            <w:hyperlink r:id="rId32">
              <w:r w:rsidR="00F00E3D" w:rsidRPr="003364BB">
                <w:rPr>
                  <w:rStyle w:val="Hyperlink"/>
                  <w:rFonts w:asciiTheme="majorHAnsi" w:eastAsia="Times New Roman" w:hAnsiTheme="majorHAnsi" w:cstheme="majorHAnsi"/>
                  <w:b/>
                  <w:bCs/>
                  <w:sz w:val="21"/>
                  <w:szCs w:val="21"/>
                </w:rPr>
                <w:t>Successful Outcomes for Regional and Remote Students in Australian Higher Education</w:t>
              </w:r>
            </w:hyperlink>
            <w:r w:rsidR="00F00E3D" w:rsidRPr="003364BB">
              <w:rPr>
                <w:rStyle w:val="Hyperlink"/>
                <w:rFonts w:asciiTheme="majorHAnsi" w:eastAsia="Times New Roman" w:hAnsiTheme="majorHAnsi" w:cstheme="majorHAnsi"/>
                <w:b/>
                <w:bCs/>
                <w:sz w:val="21"/>
                <w:szCs w:val="21"/>
              </w:rPr>
              <w:t>:</w:t>
            </w:r>
            <w:r w:rsidR="00F00E3D" w:rsidRPr="003364BB">
              <w:rPr>
                <w:rFonts w:asciiTheme="majorHAnsi" w:hAnsiTheme="majorHAnsi" w:cstheme="majorHAnsi"/>
              </w:rPr>
              <w:t xml:space="preserve"> </w:t>
            </w:r>
            <w:proofErr w:type="gramStart"/>
            <w:r w:rsidR="00F00E3D" w:rsidRPr="003364BB">
              <w:rPr>
                <w:rFonts w:asciiTheme="majorHAnsi" w:eastAsia="Times New Roman" w:hAnsiTheme="majorHAnsi" w:cstheme="majorHAnsi"/>
                <w:sz w:val="21"/>
                <w:szCs w:val="21"/>
              </w:rPr>
              <w:t>Highlights</w:t>
            </w:r>
            <w:proofErr w:type="gramEnd"/>
            <w:r w:rsidR="00F00E3D" w:rsidRPr="003364BB">
              <w:rPr>
                <w:rFonts w:asciiTheme="majorHAnsi" w:eastAsia="Times New Roman" w:hAnsiTheme="majorHAnsi" w:cstheme="majorHAnsi"/>
                <w:sz w:val="21"/>
                <w:szCs w:val="21"/>
              </w:rPr>
              <w:t xml:space="preserve"> role of HEPPP funding to support students from equity groups (including regional and low SES). Reported 33.1% increase in regional students participating in undergraduate studies from 2008–2015.</w:t>
            </w:r>
          </w:p>
        </w:tc>
        <w:tc>
          <w:tcPr>
            <w:tcW w:w="3665" w:type="dxa"/>
            <w:tcBorders>
              <w:top w:val="single" w:sz="8" w:space="0" w:color="auto"/>
              <w:left w:val="single" w:sz="8" w:space="0" w:color="auto"/>
              <w:bottom w:val="single" w:sz="8" w:space="0" w:color="auto"/>
              <w:right w:val="single" w:sz="8" w:space="0" w:color="auto"/>
            </w:tcBorders>
          </w:tcPr>
          <w:p w14:paraId="705CEE81" w14:textId="0972BE25" w:rsidR="00902A86" w:rsidRPr="00006E5F" w:rsidRDefault="00F00E3D" w:rsidP="009B2FA7">
            <w:pPr>
              <w:rPr>
                <w:rFonts w:asciiTheme="majorHAnsi" w:eastAsia="Times New Roman" w:hAnsiTheme="majorHAnsi" w:cstheme="majorHAnsi"/>
                <w:sz w:val="21"/>
                <w:szCs w:val="21"/>
                <w:lang w:val="en-GB"/>
              </w:rPr>
            </w:pPr>
            <w:r w:rsidRPr="003364BB">
              <w:rPr>
                <w:rFonts w:asciiTheme="majorHAnsi" w:eastAsia="Times New Roman" w:hAnsiTheme="majorHAnsi" w:cstheme="majorHAnsi"/>
                <w:sz w:val="21"/>
                <w:szCs w:val="21"/>
                <w:lang w:val="en-GB"/>
              </w:rPr>
              <w:lastRenderedPageBreak/>
              <w:t>Data indicates young people in Geelong and Corio, Norlane, and Whittington have much lower Year 12 completion rates than the Victorian average.</w:t>
            </w:r>
            <w:r w:rsidRPr="003364BB">
              <w:rPr>
                <w:rFonts w:asciiTheme="majorHAnsi" w:hAnsiTheme="majorHAnsi" w:cstheme="majorHAnsi"/>
                <w:sz w:val="21"/>
                <w:szCs w:val="21"/>
              </w:rPr>
              <w:t xml:space="preserve"> </w:t>
            </w:r>
            <w:r w:rsidRPr="003364BB">
              <w:rPr>
                <w:rFonts w:asciiTheme="majorHAnsi" w:eastAsia="Times New Roman" w:hAnsiTheme="majorHAnsi" w:cstheme="majorHAnsi"/>
                <w:sz w:val="21"/>
                <w:szCs w:val="21"/>
                <w:lang w:val="en-GB"/>
              </w:rPr>
              <w:t>See NAPLAN results over time.</w:t>
            </w:r>
          </w:p>
          <w:p w14:paraId="3C2D6B81" w14:textId="7F8E1379" w:rsidR="00E956AA" w:rsidRPr="00006E5F" w:rsidRDefault="00F00E3D" w:rsidP="778E395A">
            <w:pPr>
              <w:rPr>
                <w:rFonts w:asciiTheme="majorHAnsi" w:hAnsiTheme="majorHAnsi" w:cstheme="majorBidi"/>
                <w:sz w:val="21"/>
                <w:szCs w:val="21"/>
                <w:lang w:val="en-GB"/>
              </w:rPr>
            </w:pPr>
            <w:r w:rsidRPr="778E395A">
              <w:rPr>
                <w:rFonts w:asciiTheme="majorHAnsi" w:eastAsia="Times New Roman" w:hAnsiTheme="majorHAnsi" w:cstheme="majorBidi"/>
                <w:sz w:val="21"/>
                <w:szCs w:val="21"/>
                <w:lang w:val="en-GB"/>
              </w:rPr>
              <w:t xml:space="preserve">Several interventions have sought to improve </w:t>
            </w:r>
            <w:r w:rsidR="00902A86" w:rsidRPr="778E395A">
              <w:rPr>
                <w:rFonts w:asciiTheme="majorHAnsi" w:eastAsia="Times New Roman" w:hAnsiTheme="majorHAnsi" w:cstheme="majorBidi"/>
                <w:sz w:val="21"/>
                <w:szCs w:val="21"/>
                <w:lang w:val="en-GB"/>
              </w:rPr>
              <w:t xml:space="preserve">local </w:t>
            </w:r>
            <w:r w:rsidRPr="778E395A">
              <w:rPr>
                <w:rFonts w:asciiTheme="majorHAnsi" w:eastAsia="Times New Roman" w:hAnsiTheme="majorHAnsi" w:cstheme="majorBidi"/>
                <w:sz w:val="21"/>
                <w:szCs w:val="21"/>
                <w:lang w:val="en-GB"/>
              </w:rPr>
              <w:t>educational participation and outcomes, boost</w:t>
            </w:r>
            <w:r w:rsidR="7CD95506" w:rsidRPr="778E395A">
              <w:rPr>
                <w:rFonts w:asciiTheme="majorHAnsi" w:eastAsia="Times New Roman" w:hAnsiTheme="majorHAnsi" w:cstheme="majorBidi"/>
                <w:sz w:val="21"/>
                <w:szCs w:val="21"/>
                <w:lang w:val="en-GB"/>
              </w:rPr>
              <w:t xml:space="preserve"> school</w:t>
            </w:r>
            <w:r w:rsidRPr="778E395A">
              <w:rPr>
                <w:rFonts w:asciiTheme="majorHAnsi" w:eastAsia="Times New Roman" w:hAnsiTheme="majorHAnsi" w:cstheme="majorBidi"/>
                <w:sz w:val="21"/>
                <w:szCs w:val="21"/>
                <w:lang w:val="en-GB"/>
              </w:rPr>
              <w:t xml:space="preserve"> performance </w:t>
            </w:r>
            <w:r w:rsidR="2E371281" w:rsidRPr="778E395A">
              <w:rPr>
                <w:rFonts w:asciiTheme="majorHAnsi" w:eastAsia="Times New Roman" w:hAnsiTheme="majorHAnsi" w:cstheme="majorBidi"/>
                <w:sz w:val="21"/>
                <w:szCs w:val="21"/>
                <w:lang w:val="en-GB"/>
              </w:rPr>
              <w:t xml:space="preserve">in </w:t>
            </w:r>
            <w:r w:rsidRPr="778E395A">
              <w:rPr>
                <w:rFonts w:asciiTheme="majorHAnsi" w:eastAsia="Times New Roman" w:hAnsiTheme="majorHAnsi" w:cstheme="majorBidi"/>
                <w:sz w:val="21"/>
                <w:szCs w:val="21"/>
                <w:lang w:val="en-GB"/>
              </w:rPr>
              <w:t xml:space="preserve">“disadvantaged” areas, and support young people to </w:t>
            </w:r>
            <w:r w:rsidR="00902A86" w:rsidRPr="778E395A">
              <w:rPr>
                <w:rFonts w:asciiTheme="majorHAnsi" w:eastAsia="Times New Roman" w:hAnsiTheme="majorHAnsi" w:cstheme="majorBidi"/>
                <w:sz w:val="21"/>
                <w:szCs w:val="21"/>
                <w:lang w:val="en-GB"/>
              </w:rPr>
              <w:t>finish</w:t>
            </w:r>
            <w:r w:rsidRPr="778E395A">
              <w:rPr>
                <w:rFonts w:asciiTheme="majorHAnsi" w:eastAsia="Times New Roman" w:hAnsiTheme="majorHAnsi" w:cstheme="majorBidi"/>
                <w:sz w:val="21"/>
                <w:szCs w:val="21"/>
                <w:lang w:val="en-GB"/>
              </w:rPr>
              <w:t xml:space="preserve"> </w:t>
            </w:r>
            <w:r w:rsidR="00902A86" w:rsidRPr="778E395A">
              <w:rPr>
                <w:rFonts w:asciiTheme="majorHAnsi" w:eastAsia="Times New Roman" w:hAnsiTheme="majorHAnsi" w:cstheme="majorBidi"/>
                <w:sz w:val="21"/>
                <w:szCs w:val="21"/>
                <w:lang w:val="en-GB"/>
              </w:rPr>
              <w:t>Y</w:t>
            </w:r>
            <w:r w:rsidRPr="778E395A">
              <w:rPr>
                <w:rFonts w:asciiTheme="majorHAnsi" w:eastAsia="Times New Roman" w:hAnsiTheme="majorHAnsi" w:cstheme="majorBidi"/>
                <w:sz w:val="21"/>
                <w:szCs w:val="21"/>
                <w:lang w:val="en-GB"/>
              </w:rPr>
              <w:t>ear 12 and enter higher education.</w:t>
            </w:r>
          </w:p>
          <w:p w14:paraId="2FB6C9D6" w14:textId="694C714F" w:rsidR="778E395A" w:rsidRDefault="778E395A" w:rsidP="778E395A">
            <w:pPr>
              <w:rPr>
                <w:rFonts w:asciiTheme="majorHAnsi" w:eastAsia="Times New Roman" w:hAnsiTheme="majorHAnsi" w:cstheme="majorBidi"/>
                <w:sz w:val="21"/>
                <w:szCs w:val="21"/>
                <w:lang w:val="en-GB"/>
              </w:rPr>
            </w:pPr>
          </w:p>
          <w:p w14:paraId="0ABAD014" w14:textId="46DEBC96" w:rsidR="778E395A" w:rsidRDefault="778E395A" w:rsidP="778E395A">
            <w:pPr>
              <w:rPr>
                <w:rFonts w:asciiTheme="majorHAnsi" w:eastAsia="Times New Roman" w:hAnsiTheme="majorHAnsi" w:cstheme="majorBidi"/>
                <w:sz w:val="21"/>
                <w:szCs w:val="21"/>
                <w:lang w:val="en-GB"/>
              </w:rPr>
            </w:pPr>
          </w:p>
          <w:p w14:paraId="3CBED897" w14:textId="3D749769" w:rsidR="778E395A" w:rsidRDefault="778E395A" w:rsidP="778E395A">
            <w:pPr>
              <w:rPr>
                <w:rFonts w:asciiTheme="majorHAnsi" w:eastAsia="Times New Roman" w:hAnsiTheme="majorHAnsi" w:cstheme="majorBidi"/>
                <w:sz w:val="21"/>
                <w:szCs w:val="21"/>
                <w:lang w:val="en-GB"/>
              </w:rPr>
            </w:pPr>
          </w:p>
          <w:p w14:paraId="6BBB8A2E" w14:textId="5A7F9F5F" w:rsidR="778E395A" w:rsidRDefault="778E395A" w:rsidP="778E395A">
            <w:pPr>
              <w:rPr>
                <w:rFonts w:asciiTheme="majorHAnsi" w:eastAsia="Times New Roman" w:hAnsiTheme="majorHAnsi" w:cstheme="majorBidi"/>
                <w:sz w:val="21"/>
                <w:szCs w:val="21"/>
                <w:lang w:val="en-GB"/>
              </w:rPr>
            </w:pPr>
          </w:p>
          <w:p w14:paraId="42CC1128" w14:textId="70E46C68" w:rsidR="778E395A" w:rsidRDefault="778E395A" w:rsidP="778E395A">
            <w:pPr>
              <w:rPr>
                <w:rFonts w:asciiTheme="majorHAnsi" w:eastAsia="Times New Roman" w:hAnsiTheme="majorHAnsi" w:cstheme="majorBidi"/>
                <w:sz w:val="21"/>
                <w:szCs w:val="21"/>
                <w:lang w:val="en-GB"/>
              </w:rPr>
            </w:pPr>
          </w:p>
          <w:p w14:paraId="022E6D3C" w14:textId="0A862E48" w:rsidR="00F00E3D" w:rsidRPr="003364BB" w:rsidRDefault="00006E5F" w:rsidP="009B2FA7">
            <w:pPr>
              <w:rPr>
                <w:rFonts w:asciiTheme="majorHAnsi" w:hAnsiTheme="majorHAnsi" w:cstheme="majorHAnsi"/>
                <w:sz w:val="21"/>
                <w:szCs w:val="21"/>
              </w:rPr>
            </w:pPr>
            <w:r>
              <w:rPr>
                <w:rFonts w:asciiTheme="majorHAnsi" w:eastAsia="Times New Roman" w:hAnsiTheme="majorHAnsi" w:cstheme="majorHAnsi"/>
                <w:sz w:val="21"/>
                <w:szCs w:val="21"/>
                <w:lang w:val="en-GB"/>
              </w:rPr>
              <w:t>Little change in</w:t>
            </w:r>
            <w:r w:rsidR="00F00E3D" w:rsidRPr="003364BB">
              <w:rPr>
                <w:rFonts w:asciiTheme="majorHAnsi" w:eastAsia="Times New Roman" w:hAnsiTheme="majorHAnsi" w:cstheme="majorHAnsi"/>
                <w:sz w:val="21"/>
                <w:szCs w:val="21"/>
                <w:lang w:val="en-GB"/>
              </w:rPr>
              <w:t xml:space="preserve"> key indicators</w:t>
            </w:r>
            <w:r w:rsidR="0094479E">
              <w:rPr>
                <w:rFonts w:asciiTheme="majorHAnsi" w:eastAsia="Times New Roman" w:hAnsiTheme="majorHAnsi" w:cstheme="majorHAnsi"/>
                <w:sz w:val="21"/>
                <w:szCs w:val="21"/>
                <w:lang w:val="en-GB"/>
              </w:rPr>
              <w:t xml:space="preserve"> </w:t>
            </w:r>
            <w:r w:rsidR="00F00E3D" w:rsidRPr="003364BB">
              <w:rPr>
                <w:rFonts w:asciiTheme="majorHAnsi" w:eastAsia="Times New Roman" w:hAnsiTheme="majorHAnsi" w:cstheme="majorHAnsi"/>
                <w:sz w:val="21"/>
                <w:szCs w:val="21"/>
                <w:lang w:val="en-GB"/>
              </w:rPr>
              <w:t>suggest</w:t>
            </w:r>
            <w:r w:rsidR="0094479E">
              <w:rPr>
                <w:rFonts w:asciiTheme="majorHAnsi" w:eastAsia="Times New Roman" w:hAnsiTheme="majorHAnsi" w:cstheme="majorHAnsi"/>
                <w:sz w:val="21"/>
                <w:szCs w:val="21"/>
                <w:lang w:val="en-GB"/>
              </w:rPr>
              <w:t>s</w:t>
            </w:r>
            <w:r w:rsidR="00F00E3D" w:rsidRPr="003364BB">
              <w:rPr>
                <w:rFonts w:asciiTheme="majorHAnsi" w:eastAsia="Times New Roman" w:hAnsiTheme="majorHAnsi" w:cstheme="majorHAnsi"/>
                <w:sz w:val="21"/>
                <w:szCs w:val="21"/>
                <w:lang w:val="en-GB"/>
              </w:rPr>
              <w:t xml:space="preserve"> need for </w:t>
            </w:r>
            <w:r>
              <w:rPr>
                <w:rFonts w:asciiTheme="majorHAnsi" w:eastAsia="Times New Roman" w:hAnsiTheme="majorHAnsi" w:cstheme="majorHAnsi"/>
                <w:sz w:val="21"/>
                <w:szCs w:val="21"/>
                <w:lang w:val="en-GB"/>
              </w:rPr>
              <w:t xml:space="preserve">more </w:t>
            </w:r>
            <w:r w:rsidR="00F00E3D" w:rsidRPr="003364BB">
              <w:rPr>
                <w:rFonts w:asciiTheme="majorHAnsi" w:eastAsia="Times New Roman" w:hAnsiTheme="majorHAnsi" w:cstheme="majorHAnsi"/>
                <w:sz w:val="21"/>
                <w:szCs w:val="21"/>
                <w:lang w:val="en-GB"/>
              </w:rPr>
              <w:t xml:space="preserve">targeted interventions </w:t>
            </w:r>
            <w:r>
              <w:rPr>
                <w:rFonts w:asciiTheme="majorHAnsi" w:eastAsia="Times New Roman" w:hAnsiTheme="majorHAnsi" w:cstheme="majorHAnsi"/>
                <w:sz w:val="21"/>
                <w:szCs w:val="21"/>
                <w:lang w:val="en-GB"/>
              </w:rPr>
              <w:t>(</w:t>
            </w:r>
            <w:r w:rsidR="00F00E3D" w:rsidRPr="003364BB">
              <w:rPr>
                <w:rFonts w:asciiTheme="majorHAnsi" w:eastAsia="Times New Roman" w:hAnsiTheme="majorHAnsi" w:cstheme="majorHAnsi"/>
                <w:sz w:val="21"/>
                <w:szCs w:val="21"/>
                <w:lang w:val="en-GB"/>
              </w:rPr>
              <w:t>early years, school completion, further education, ATSI and low</w:t>
            </w:r>
            <w:r w:rsidR="00902A86">
              <w:rPr>
                <w:rFonts w:asciiTheme="majorHAnsi" w:eastAsia="Times New Roman" w:hAnsiTheme="majorHAnsi" w:cstheme="majorHAnsi"/>
                <w:sz w:val="21"/>
                <w:szCs w:val="21"/>
                <w:lang w:val="en-GB"/>
              </w:rPr>
              <w:t>-</w:t>
            </w:r>
            <w:r w:rsidR="00F00E3D" w:rsidRPr="003364BB">
              <w:rPr>
                <w:rFonts w:asciiTheme="majorHAnsi" w:eastAsia="Times New Roman" w:hAnsiTheme="majorHAnsi" w:cstheme="majorHAnsi"/>
                <w:sz w:val="21"/>
                <w:szCs w:val="21"/>
                <w:lang w:val="en-GB"/>
              </w:rPr>
              <w:t>SES students</w:t>
            </w:r>
            <w:r>
              <w:rPr>
                <w:rFonts w:asciiTheme="majorHAnsi" w:eastAsia="Times New Roman" w:hAnsiTheme="majorHAnsi" w:cstheme="majorHAnsi"/>
                <w:sz w:val="21"/>
                <w:szCs w:val="21"/>
                <w:lang w:val="en-GB"/>
              </w:rPr>
              <w:t>)</w:t>
            </w:r>
            <w:r w:rsidR="00F00E3D" w:rsidRPr="003364BB">
              <w:rPr>
                <w:rFonts w:asciiTheme="majorHAnsi" w:eastAsia="Times New Roman" w:hAnsiTheme="majorHAnsi" w:cstheme="majorHAnsi"/>
                <w:sz w:val="21"/>
                <w:szCs w:val="21"/>
                <w:lang w:val="en-GB"/>
              </w:rPr>
              <w:t>.</w:t>
            </w:r>
          </w:p>
          <w:p w14:paraId="3CB5D5D4" w14:textId="0AE9C383" w:rsidR="00F00E3D" w:rsidRPr="003364BB" w:rsidRDefault="00F00E3D" w:rsidP="009B2FA7">
            <w:pPr>
              <w:rPr>
                <w:rFonts w:asciiTheme="majorHAnsi" w:hAnsiTheme="majorHAnsi" w:cstheme="majorHAnsi"/>
                <w:sz w:val="21"/>
                <w:szCs w:val="21"/>
              </w:rPr>
            </w:pPr>
            <w:r w:rsidRPr="003364BB">
              <w:rPr>
                <w:rFonts w:asciiTheme="majorHAnsi" w:eastAsia="Times New Roman" w:hAnsiTheme="majorHAnsi" w:cstheme="majorHAnsi"/>
                <w:sz w:val="21"/>
                <w:szCs w:val="21"/>
                <w:lang w:val="en-GB"/>
              </w:rPr>
              <w:t>Relevant to</w:t>
            </w:r>
            <w:r w:rsidR="0094479E">
              <w:rPr>
                <w:rFonts w:asciiTheme="majorHAnsi" w:eastAsia="Times New Roman" w:hAnsiTheme="majorHAnsi" w:cstheme="majorHAnsi"/>
                <w:sz w:val="21"/>
                <w:szCs w:val="21"/>
                <w:lang w:val="en-GB"/>
              </w:rPr>
              <w:t xml:space="preserve"> local</w:t>
            </w:r>
            <w:r w:rsidRPr="003364BB">
              <w:rPr>
                <w:rFonts w:asciiTheme="majorHAnsi" w:eastAsia="Times New Roman" w:hAnsiTheme="majorHAnsi" w:cstheme="majorHAnsi"/>
                <w:sz w:val="21"/>
                <w:szCs w:val="21"/>
                <w:lang w:val="en-GB"/>
              </w:rPr>
              <w:t xml:space="preserve"> ATSI communities.</w:t>
            </w:r>
          </w:p>
        </w:tc>
      </w:tr>
      <w:tr w:rsidR="00F00E3D" w:rsidRPr="00386CF2" w14:paraId="60F14106" w14:textId="77777777" w:rsidTr="778E395A">
        <w:tc>
          <w:tcPr>
            <w:tcW w:w="983" w:type="dxa"/>
            <w:tcBorders>
              <w:top w:val="single" w:sz="8" w:space="0" w:color="auto"/>
              <w:left w:val="single" w:sz="8" w:space="0" w:color="auto"/>
              <w:bottom w:val="single" w:sz="8" w:space="0" w:color="auto"/>
              <w:right w:val="single" w:sz="8" w:space="0" w:color="auto"/>
            </w:tcBorders>
          </w:tcPr>
          <w:p w14:paraId="20D8B578" w14:textId="77777777" w:rsidR="00125378" w:rsidRDefault="00125378" w:rsidP="009B2FA7">
            <w:pPr>
              <w:rPr>
                <w:rFonts w:asciiTheme="majorHAnsi" w:hAnsiTheme="majorHAnsi" w:cstheme="majorHAnsi"/>
                <w:sz w:val="21"/>
                <w:szCs w:val="21"/>
              </w:rPr>
            </w:pPr>
          </w:p>
          <w:p w14:paraId="5771A324" w14:textId="77777777" w:rsidR="00125378" w:rsidRDefault="00125378" w:rsidP="009B2FA7">
            <w:pPr>
              <w:rPr>
                <w:rFonts w:asciiTheme="majorHAnsi" w:hAnsiTheme="majorHAnsi" w:cstheme="majorHAnsi"/>
                <w:sz w:val="21"/>
                <w:szCs w:val="21"/>
              </w:rPr>
            </w:pPr>
          </w:p>
          <w:p w14:paraId="6F496CCE" w14:textId="34B679F6" w:rsidR="00F00E3D" w:rsidRPr="00C711E4" w:rsidRDefault="00F00E3D" w:rsidP="009B2FA7">
            <w:pPr>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mc:AlternateContent>
                <mc:Choice Requires="wps">
                  <w:drawing>
                    <wp:anchor distT="45720" distB="45720" distL="114300" distR="114300" simplePos="0" relativeHeight="251658262" behindDoc="0" locked="0" layoutInCell="1" allowOverlap="1" wp14:anchorId="5F418350" wp14:editId="3ED83205">
                      <wp:simplePos x="0" y="0"/>
                      <wp:positionH relativeFrom="column">
                        <wp:posOffset>-965835</wp:posOffset>
                      </wp:positionH>
                      <wp:positionV relativeFrom="paragraph">
                        <wp:posOffset>1320800</wp:posOffset>
                      </wp:positionV>
                      <wp:extent cx="2480310" cy="341630"/>
                      <wp:effectExtent l="254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80310" cy="341630"/>
                              </a:xfrm>
                              <a:prstGeom prst="rect">
                                <a:avLst/>
                              </a:prstGeom>
                              <a:noFill/>
                              <a:ln w="9525">
                                <a:noFill/>
                                <a:miter lim="800000"/>
                                <a:headEnd/>
                                <a:tailEnd/>
                              </a:ln>
                            </wps:spPr>
                            <wps:txbx>
                              <w:txbxContent>
                                <w:p w14:paraId="3B71A47A" w14:textId="2253FAED" w:rsidR="00063AC8" w:rsidRPr="004200CF" w:rsidRDefault="00063AC8" w:rsidP="009B2FA7">
                                  <w:pPr>
                                    <w:jc w:val="right"/>
                                    <w:rPr>
                                      <w:b/>
                                      <w:bCs/>
                                      <w:color w:val="595959" w:themeColor="text1" w:themeTint="A6"/>
                                    </w:rPr>
                                  </w:pPr>
                                  <w:r>
                                    <w:rPr>
                                      <w:b/>
                                      <w:bCs/>
                                      <w:color w:val="595959" w:themeColor="text1" w:themeTint="A6"/>
                                    </w:rPr>
                                    <w:t>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18350" id="_x0000_s1034" type="#_x0000_t202" style="position:absolute;margin-left:-76.05pt;margin-top:104pt;width:195.3pt;height:26.9pt;rotation:-90;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" filled="f" stroked="f">
                      <v:textbox>
                        <w:txbxContent>
                          <w:p w14:paraId="3B71A47A" w14:textId="2253FAED" w:rsidR="00063AC8" w:rsidRPr="004200CF" w:rsidRDefault="00063AC8" w:rsidP="009B2FA7">
                            <w:pPr>
                              <w:jc w:val="right"/>
                              <w:rPr>
                                <w:b/>
                                <w:bCs/>
                                <w:color w:val="595959" w:themeColor="text1" w:themeTint="A6"/>
                              </w:rPr>
                            </w:pPr>
                            <w:r>
                              <w:rPr>
                                <w:b/>
                                <w:bCs/>
                                <w:color w:val="595959" w:themeColor="text1" w:themeTint="A6"/>
                              </w:rPr>
                              <w:t>HOUSING</w:t>
                            </w:r>
                          </w:p>
                        </w:txbxContent>
                      </v:textbox>
                      <w10:wrap type="square"/>
                    </v:shape>
                  </w:pict>
                </mc:Fallback>
              </mc:AlternateContent>
            </w:r>
          </w:p>
        </w:tc>
        <w:tc>
          <w:tcPr>
            <w:tcW w:w="9922" w:type="dxa"/>
            <w:tcBorders>
              <w:top w:val="single" w:sz="8" w:space="0" w:color="auto"/>
              <w:left w:val="single" w:sz="8" w:space="0" w:color="auto"/>
              <w:bottom w:val="single" w:sz="8" w:space="0" w:color="auto"/>
              <w:right w:val="single" w:sz="8" w:space="0" w:color="auto"/>
            </w:tcBorders>
          </w:tcPr>
          <w:p w14:paraId="271B1924" w14:textId="32135AD5" w:rsidR="00F00E3D" w:rsidRPr="0094479E" w:rsidRDefault="00F00E3D" w:rsidP="009B2FA7">
            <w:pPr>
              <w:rPr>
                <w:rFonts w:asciiTheme="majorHAnsi" w:eastAsia="Times New Roman" w:hAnsiTheme="majorHAnsi" w:cstheme="majorHAnsi"/>
                <w:sz w:val="21"/>
                <w:szCs w:val="21"/>
                <w:lang w:val="en-GB"/>
              </w:rPr>
            </w:pPr>
            <w:r w:rsidRPr="00AF4BAC">
              <w:rPr>
                <w:rFonts w:asciiTheme="majorHAnsi" w:eastAsia="Times New Roman" w:hAnsiTheme="majorHAnsi" w:cstheme="majorHAnsi"/>
                <w:b/>
                <w:bCs/>
                <w:sz w:val="21"/>
                <w:szCs w:val="21"/>
                <w:lang w:val="en-GB"/>
              </w:rPr>
              <w:t xml:space="preserve">National Housing and Homelessness Agreement/ National Partnership Agreement on Homelessness </w:t>
            </w:r>
            <w:r w:rsidRPr="00AF4BAC">
              <w:rPr>
                <w:rFonts w:asciiTheme="majorHAnsi" w:eastAsia="Times New Roman" w:hAnsiTheme="majorHAnsi" w:cstheme="majorHAnsi"/>
                <w:sz w:val="21"/>
                <w:szCs w:val="21"/>
                <w:lang w:val="en-GB"/>
              </w:rPr>
              <w:t xml:space="preserve">(from 2019): Australian and State government commit $1.1 billion to the National Affordable Housing Agreement to help people who are homeless or at risk </w:t>
            </w:r>
            <w:r w:rsidR="002204B2">
              <w:rPr>
                <w:rFonts w:asciiTheme="majorHAnsi" w:eastAsia="Times New Roman" w:hAnsiTheme="majorHAnsi" w:cstheme="majorHAnsi"/>
                <w:sz w:val="21"/>
                <w:szCs w:val="21"/>
                <w:lang w:val="en-GB"/>
              </w:rPr>
              <w:t>to</w:t>
            </w:r>
            <w:r w:rsidRPr="00AF4BAC">
              <w:rPr>
                <w:rFonts w:asciiTheme="majorHAnsi" w:eastAsia="Times New Roman" w:hAnsiTheme="majorHAnsi" w:cstheme="majorHAnsi"/>
                <w:sz w:val="21"/>
                <w:szCs w:val="21"/>
                <w:lang w:val="en-GB"/>
              </w:rPr>
              <w:t xml:space="preserve"> achieve sustainable housing and social inclusion. Targets jurisdictional specific priorities including supply targets, planning</w:t>
            </w:r>
            <w:r>
              <w:rPr>
                <w:rFonts w:asciiTheme="majorHAnsi" w:eastAsia="Times New Roman" w:hAnsiTheme="majorHAnsi" w:cstheme="majorHAnsi"/>
                <w:sz w:val="21"/>
                <w:szCs w:val="21"/>
                <w:lang w:val="en-GB"/>
              </w:rPr>
              <w:t>,</w:t>
            </w:r>
            <w:r w:rsidRPr="00AF4BAC">
              <w:rPr>
                <w:rFonts w:asciiTheme="majorHAnsi" w:eastAsia="Times New Roman" w:hAnsiTheme="majorHAnsi" w:cstheme="majorHAnsi"/>
                <w:sz w:val="21"/>
                <w:szCs w:val="21"/>
                <w:lang w:val="en-GB"/>
              </w:rPr>
              <w:t xml:space="preserve"> zoning reforms</w:t>
            </w:r>
            <w:r w:rsidR="002204B2">
              <w:rPr>
                <w:rFonts w:asciiTheme="majorHAnsi" w:eastAsia="Times New Roman" w:hAnsiTheme="majorHAnsi" w:cstheme="majorHAnsi"/>
                <w:sz w:val="21"/>
                <w:szCs w:val="21"/>
                <w:lang w:val="en-GB"/>
              </w:rPr>
              <w:t>,</w:t>
            </w:r>
            <w:r w:rsidRPr="00AF4BAC">
              <w:rPr>
                <w:rFonts w:asciiTheme="majorHAnsi" w:eastAsia="Times New Roman" w:hAnsiTheme="majorHAnsi" w:cstheme="majorHAnsi"/>
                <w:sz w:val="21"/>
                <w:szCs w:val="21"/>
                <w:lang w:val="en-GB"/>
              </w:rPr>
              <w:t xml:space="preserve"> and renewal of public housing.</w:t>
            </w:r>
          </w:p>
          <w:p w14:paraId="7DE667E9" w14:textId="3F11034B" w:rsidR="00F00E3D" w:rsidRPr="0094479E" w:rsidRDefault="00F00E3D" w:rsidP="009B2FA7">
            <w:pPr>
              <w:rPr>
                <w:rFonts w:asciiTheme="majorHAnsi" w:hAnsiTheme="majorHAnsi" w:cstheme="majorBidi"/>
                <w:sz w:val="21"/>
                <w:szCs w:val="21"/>
              </w:rPr>
            </w:pPr>
            <w:r w:rsidRPr="701B9583">
              <w:rPr>
                <w:rFonts w:asciiTheme="majorHAnsi" w:eastAsia="Times New Roman" w:hAnsiTheme="majorHAnsi" w:cstheme="majorBidi"/>
                <w:b/>
                <w:sz w:val="21"/>
                <w:szCs w:val="21"/>
                <w:lang w:val="en-GB"/>
              </w:rPr>
              <w:t xml:space="preserve">National Rental Affordability Scheme </w:t>
            </w:r>
            <w:r w:rsidRPr="701B9583">
              <w:rPr>
                <w:rFonts w:asciiTheme="majorHAnsi" w:eastAsia="Times New Roman" w:hAnsiTheme="majorHAnsi" w:cstheme="majorBidi"/>
                <w:sz w:val="21"/>
                <w:szCs w:val="21"/>
                <w:lang w:val="en-GB"/>
              </w:rPr>
              <w:t xml:space="preserve">(from July 2008): </w:t>
            </w:r>
            <w:r w:rsidR="002204B2" w:rsidRPr="701B9583">
              <w:rPr>
                <w:rFonts w:asciiTheme="majorHAnsi" w:eastAsia="Times New Roman" w:hAnsiTheme="majorHAnsi" w:cstheme="majorBidi"/>
                <w:sz w:val="21"/>
                <w:szCs w:val="21"/>
                <w:lang w:val="en-GB"/>
              </w:rPr>
              <w:t>Gives investors</w:t>
            </w:r>
            <w:r w:rsidRPr="701B9583">
              <w:rPr>
                <w:rFonts w:asciiTheme="majorHAnsi" w:eastAsia="Times New Roman" w:hAnsiTheme="majorHAnsi" w:cstheme="majorBidi"/>
                <w:sz w:val="21"/>
                <w:szCs w:val="21"/>
                <w:lang w:val="en-GB"/>
              </w:rPr>
              <w:t xml:space="preserve"> annual incentives (tax credits if paying tax, grants if not) </w:t>
            </w:r>
            <w:r w:rsidR="002204B2" w:rsidRPr="701B9583">
              <w:rPr>
                <w:rFonts w:asciiTheme="majorHAnsi" w:eastAsia="Times New Roman" w:hAnsiTheme="majorHAnsi" w:cstheme="majorBidi"/>
                <w:sz w:val="21"/>
                <w:szCs w:val="21"/>
                <w:lang w:val="en-GB"/>
              </w:rPr>
              <w:t>for</w:t>
            </w:r>
            <w:r w:rsidRPr="701B9583">
              <w:rPr>
                <w:rFonts w:asciiTheme="majorHAnsi" w:eastAsia="Times New Roman" w:hAnsiTheme="majorHAnsi" w:cstheme="majorBidi"/>
                <w:sz w:val="21"/>
                <w:szCs w:val="21"/>
                <w:lang w:val="en-GB"/>
              </w:rPr>
              <w:t xml:space="preserve"> 10 years to create 50</w:t>
            </w:r>
            <w:r w:rsidR="002204B2" w:rsidRPr="701B9583">
              <w:rPr>
                <w:rFonts w:asciiTheme="majorHAnsi" w:eastAsia="Times New Roman" w:hAnsiTheme="majorHAnsi" w:cstheme="majorBidi"/>
                <w:sz w:val="21"/>
                <w:szCs w:val="21"/>
                <w:lang w:val="en-GB"/>
              </w:rPr>
              <w:t>,</w:t>
            </w:r>
            <w:r w:rsidRPr="701B9583">
              <w:rPr>
                <w:rFonts w:asciiTheme="majorHAnsi" w:eastAsia="Times New Roman" w:hAnsiTheme="majorHAnsi" w:cstheme="majorBidi"/>
                <w:sz w:val="21"/>
                <w:szCs w:val="21"/>
                <w:lang w:val="en-GB"/>
              </w:rPr>
              <w:t xml:space="preserve">000 new affordable rental properties </w:t>
            </w:r>
            <w:r w:rsidR="002204B2" w:rsidRPr="701B9583">
              <w:rPr>
                <w:rFonts w:asciiTheme="majorHAnsi" w:eastAsia="Times New Roman" w:hAnsiTheme="majorHAnsi" w:cstheme="majorBidi"/>
                <w:sz w:val="21"/>
                <w:szCs w:val="21"/>
                <w:lang w:val="en-GB"/>
              </w:rPr>
              <w:t xml:space="preserve">for </w:t>
            </w:r>
            <w:r w:rsidRPr="701B9583">
              <w:rPr>
                <w:rFonts w:asciiTheme="majorHAnsi" w:eastAsia="Times New Roman" w:hAnsiTheme="majorHAnsi" w:cstheme="majorBidi"/>
                <w:sz w:val="21"/>
                <w:szCs w:val="21"/>
                <w:lang w:val="en-GB"/>
              </w:rPr>
              <w:t xml:space="preserve">low- and mid-income </w:t>
            </w:r>
            <w:r w:rsidR="002204B2" w:rsidRPr="701B9583">
              <w:rPr>
                <w:rFonts w:asciiTheme="majorHAnsi" w:eastAsia="Times New Roman" w:hAnsiTheme="majorHAnsi" w:cstheme="majorBidi"/>
                <w:sz w:val="21"/>
                <w:szCs w:val="21"/>
                <w:lang w:val="en-GB"/>
              </w:rPr>
              <w:t>households</w:t>
            </w:r>
            <w:r w:rsidRPr="701B9583">
              <w:rPr>
                <w:rFonts w:asciiTheme="majorHAnsi" w:eastAsia="Times New Roman" w:hAnsiTheme="majorHAnsi" w:cstheme="majorBidi"/>
                <w:sz w:val="21"/>
                <w:szCs w:val="21"/>
                <w:lang w:val="en-GB"/>
              </w:rPr>
              <w:t xml:space="preserve"> at 20% below local market rents. </w:t>
            </w:r>
            <w:r w:rsidR="002204B2" w:rsidRPr="701B9583">
              <w:rPr>
                <w:rFonts w:asciiTheme="majorHAnsi" w:eastAsia="Times New Roman" w:hAnsiTheme="majorHAnsi" w:cstheme="majorBidi"/>
                <w:sz w:val="21"/>
                <w:szCs w:val="21"/>
                <w:lang w:val="en-GB"/>
              </w:rPr>
              <w:t>S</w:t>
            </w:r>
            <w:r w:rsidRPr="701B9583">
              <w:rPr>
                <w:rFonts w:asciiTheme="majorHAnsi" w:eastAsia="Times New Roman" w:hAnsiTheme="majorHAnsi" w:cstheme="majorBidi"/>
                <w:sz w:val="21"/>
                <w:szCs w:val="21"/>
                <w:lang w:val="en-GB"/>
              </w:rPr>
              <w:t xml:space="preserve">cheme </w:t>
            </w:r>
            <w:r w:rsidR="31ED0711" w:rsidRPr="701B9583">
              <w:rPr>
                <w:rFonts w:asciiTheme="majorHAnsi" w:eastAsia="Times New Roman" w:hAnsiTheme="majorHAnsi" w:cstheme="majorBidi"/>
                <w:sz w:val="21"/>
                <w:szCs w:val="21"/>
                <w:lang w:val="en-GB"/>
              </w:rPr>
              <w:t>ended</w:t>
            </w:r>
            <w:r w:rsidRPr="701B9583">
              <w:rPr>
                <w:rFonts w:asciiTheme="majorHAnsi" w:eastAsia="Times New Roman" w:hAnsiTheme="majorHAnsi" w:cstheme="majorBidi"/>
                <w:sz w:val="21"/>
                <w:szCs w:val="21"/>
                <w:lang w:val="en-GB"/>
              </w:rPr>
              <w:t xml:space="preserve"> for new property incentives in 2014 after 37,142 units built.</w:t>
            </w:r>
          </w:p>
          <w:p w14:paraId="61C81FAB" w14:textId="5F9EC89D" w:rsidR="00F00E3D" w:rsidRPr="0094479E" w:rsidRDefault="00F00E3D" w:rsidP="009B2FA7">
            <w:pPr>
              <w:rPr>
                <w:rFonts w:asciiTheme="majorHAnsi" w:hAnsiTheme="majorHAnsi" w:cstheme="majorHAnsi"/>
                <w:sz w:val="21"/>
                <w:szCs w:val="21"/>
              </w:rPr>
            </w:pPr>
            <w:r w:rsidRPr="00AF4BAC">
              <w:rPr>
                <w:rFonts w:asciiTheme="majorHAnsi" w:eastAsia="Times New Roman" w:hAnsiTheme="majorHAnsi" w:cstheme="majorHAnsi"/>
                <w:b/>
                <w:bCs/>
                <w:sz w:val="21"/>
                <w:szCs w:val="21"/>
                <w:lang w:val="en-GB"/>
              </w:rPr>
              <w:t xml:space="preserve">Commonwealth Rent Assistance: </w:t>
            </w:r>
            <w:r w:rsidR="00E956AA">
              <w:rPr>
                <w:rFonts w:asciiTheme="majorHAnsi" w:eastAsia="Times New Roman" w:hAnsiTheme="majorHAnsi" w:cstheme="majorHAnsi"/>
                <w:sz w:val="21"/>
                <w:szCs w:val="21"/>
                <w:lang w:val="en-GB"/>
              </w:rPr>
              <w:t>For people on a</w:t>
            </w:r>
            <w:r w:rsidRPr="00AF4BAC">
              <w:rPr>
                <w:rFonts w:asciiTheme="majorHAnsi" w:eastAsia="Times New Roman" w:hAnsiTheme="majorHAnsi" w:cstheme="majorHAnsi"/>
                <w:sz w:val="21"/>
                <w:szCs w:val="21"/>
                <w:lang w:val="en-GB"/>
              </w:rPr>
              <w:t xml:space="preserve"> </w:t>
            </w:r>
            <w:r w:rsidR="00E956AA">
              <w:rPr>
                <w:rFonts w:asciiTheme="majorHAnsi" w:eastAsia="Times New Roman" w:hAnsiTheme="majorHAnsi" w:cstheme="majorHAnsi"/>
                <w:sz w:val="21"/>
                <w:szCs w:val="21"/>
                <w:lang w:val="en-GB"/>
              </w:rPr>
              <w:t>range of</w:t>
            </w:r>
            <w:r w:rsidRPr="00AF4BAC">
              <w:rPr>
                <w:rFonts w:asciiTheme="majorHAnsi" w:eastAsia="Times New Roman" w:hAnsiTheme="majorHAnsi" w:cstheme="majorHAnsi"/>
                <w:sz w:val="21"/>
                <w:szCs w:val="21"/>
                <w:lang w:val="en-GB"/>
              </w:rPr>
              <w:t xml:space="preserve"> welfare payments renting from private o</w:t>
            </w:r>
            <w:r w:rsidR="00E956AA">
              <w:rPr>
                <w:rFonts w:asciiTheme="majorHAnsi" w:eastAsia="Times New Roman" w:hAnsiTheme="majorHAnsi" w:cstheme="majorHAnsi"/>
                <w:sz w:val="21"/>
                <w:szCs w:val="21"/>
                <w:lang w:val="en-GB"/>
              </w:rPr>
              <w:t>r</w:t>
            </w:r>
            <w:r w:rsidRPr="00AF4BAC">
              <w:rPr>
                <w:rFonts w:asciiTheme="majorHAnsi" w:eastAsia="Times New Roman" w:hAnsiTheme="majorHAnsi" w:cstheme="majorHAnsi"/>
                <w:sz w:val="21"/>
                <w:szCs w:val="21"/>
                <w:lang w:val="en-GB"/>
              </w:rPr>
              <w:t xml:space="preserve"> community housing providers</w:t>
            </w:r>
            <w:r w:rsidR="002204B2">
              <w:rPr>
                <w:rFonts w:asciiTheme="majorHAnsi" w:eastAsia="Times New Roman" w:hAnsiTheme="majorHAnsi" w:cstheme="majorHAnsi"/>
                <w:sz w:val="21"/>
                <w:szCs w:val="21"/>
                <w:lang w:val="en-GB"/>
              </w:rPr>
              <w:t>. Fills</w:t>
            </w:r>
            <w:r w:rsidRPr="00AF4BAC">
              <w:rPr>
                <w:rFonts w:asciiTheme="majorHAnsi" w:eastAsia="Times New Roman" w:hAnsiTheme="majorHAnsi" w:cstheme="majorHAnsi"/>
                <w:sz w:val="21"/>
                <w:szCs w:val="21"/>
                <w:lang w:val="en-GB"/>
              </w:rPr>
              <w:t xml:space="preserve"> gap between </w:t>
            </w:r>
            <w:r w:rsidR="00E956AA">
              <w:rPr>
                <w:rFonts w:asciiTheme="majorHAnsi" w:eastAsia="Times New Roman" w:hAnsiTheme="majorHAnsi" w:cstheme="majorHAnsi"/>
                <w:sz w:val="21"/>
                <w:szCs w:val="21"/>
                <w:lang w:val="en-GB"/>
              </w:rPr>
              <w:t>actual</w:t>
            </w:r>
            <w:r w:rsidRPr="00AF4BAC">
              <w:rPr>
                <w:rFonts w:asciiTheme="majorHAnsi" w:eastAsia="Times New Roman" w:hAnsiTheme="majorHAnsi" w:cstheme="majorHAnsi"/>
                <w:sz w:val="21"/>
                <w:szCs w:val="21"/>
                <w:lang w:val="en-GB"/>
              </w:rPr>
              <w:t xml:space="preserve"> rent and “rent threshold” </w:t>
            </w:r>
            <w:r w:rsidR="00E956AA">
              <w:rPr>
                <w:rFonts w:asciiTheme="majorHAnsi" w:eastAsia="Times New Roman" w:hAnsiTheme="majorHAnsi" w:cstheme="majorHAnsi"/>
                <w:sz w:val="21"/>
                <w:szCs w:val="21"/>
                <w:lang w:val="en-GB"/>
              </w:rPr>
              <w:t>(</w:t>
            </w:r>
            <w:r w:rsidRPr="00AF4BAC">
              <w:rPr>
                <w:rFonts w:asciiTheme="majorHAnsi" w:eastAsia="Times New Roman" w:hAnsiTheme="majorHAnsi" w:cstheme="majorHAnsi"/>
                <w:sz w:val="21"/>
                <w:szCs w:val="21"/>
                <w:lang w:val="en-GB"/>
              </w:rPr>
              <w:t>usually 30%</w:t>
            </w:r>
            <w:r w:rsidR="002204B2">
              <w:rPr>
                <w:rFonts w:asciiTheme="majorHAnsi" w:eastAsia="Times New Roman" w:hAnsiTheme="majorHAnsi" w:cstheme="majorHAnsi"/>
                <w:sz w:val="21"/>
                <w:szCs w:val="21"/>
                <w:lang w:val="en-GB"/>
              </w:rPr>
              <w:t>-plus</w:t>
            </w:r>
            <w:r w:rsidRPr="00AF4BAC">
              <w:rPr>
                <w:rFonts w:asciiTheme="majorHAnsi" w:eastAsia="Times New Roman" w:hAnsiTheme="majorHAnsi" w:cstheme="majorHAnsi"/>
                <w:sz w:val="21"/>
                <w:szCs w:val="21"/>
                <w:lang w:val="en-GB"/>
              </w:rPr>
              <w:t xml:space="preserve"> of income </w:t>
            </w:r>
            <w:r w:rsidR="00E956AA">
              <w:rPr>
                <w:rFonts w:asciiTheme="majorHAnsi" w:eastAsia="Times New Roman" w:hAnsiTheme="majorHAnsi" w:cstheme="majorHAnsi"/>
                <w:sz w:val="21"/>
                <w:szCs w:val="21"/>
                <w:lang w:val="en-GB"/>
              </w:rPr>
              <w:t xml:space="preserve">paid </w:t>
            </w:r>
            <w:r w:rsidRPr="00AF4BAC">
              <w:rPr>
                <w:rFonts w:asciiTheme="majorHAnsi" w:eastAsia="Times New Roman" w:hAnsiTheme="majorHAnsi" w:cstheme="majorHAnsi"/>
                <w:sz w:val="21"/>
                <w:szCs w:val="21"/>
                <w:lang w:val="en-GB"/>
              </w:rPr>
              <w:t>in rent</w:t>
            </w:r>
            <w:r w:rsidR="00E956AA">
              <w:rPr>
                <w:rFonts w:asciiTheme="majorHAnsi" w:eastAsia="Times New Roman" w:hAnsiTheme="majorHAnsi" w:cstheme="majorHAnsi"/>
                <w:sz w:val="21"/>
                <w:szCs w:val="21"/>
                <w:lang w:val="en-GB"/>
              </w:rPr>
              <w:t>)</w:t>
            </w:r>
            <w:r>
              <w:rPr>
                <w:rFonts w:asciiTheme="majorHAnsi" w:eastAsia="Times New Roman" w:hAnsiTheme="majorHAnsi" w:cstheme="majorHAnsi"/>
                <w:sz w:val="21"/>
                <w:szCs w:val="21"/>
                <w:lang w:val="en-GB"/>
              </w:rPr>
              <w:t>.</w:t>
            </w:r>
          </w:p>
          <w:p w14:paraId="56D9BBDF" w14:textId="2DAC2735" w:rsidR="00F00E3D" w:rsidRPr="0094479E" w:rsidRDefault="00F00E3D" w:rsidP="009B2FA7">
            <w:pPr>
              <w:rPr>
                <w:rFonts w:asciiTheme="majorHAnsi" w:hAnsiTheme="majorHAnsi" w:cstheme="majorHAnsi"/>
                <w:sz w:val="21"/>
                <w:szCs w:val="21"/>
              </w:rPr>
            </w:pPr>
            <w:r w:rsidRPr="00AF4BAC">
              <w:rPr>
                <w:rFonts w:asciiTheme="majorHAnsi" w:eastAsia="Times New Roman" w:hAnsiTheme="majorHAnsi" w:cstheme="majorHAnsi"/>
                <w:b/>
                <w:bCs/>
                <w:sz w:val="21"/>
                <w:szCs w:val="21"/>
                <w:lang w:val="en-GB"/>
              </w:rPr>
              <w:t xml:space="preserve">Support for home ownership: </w:t>
            </w:r>
            <w:r w:rsidRPr="00AF4BAC">
              <w:rPr>
                <w:rFonts w:asciiTheme="majorHAnsi" w:eastAsia="Times New Roman" w:hAnsiTheme="majorHAnsi" w:cstheme="majorHAnsi"/>
                <w:sz w:val="21"/>
                <w:szCs w:val="21"/>
                <w:lang w:val="en-GB"/>
              </w:rPr>
              <w:t xml:space="preserve">Direct support </w:t>
            </w:r>
            <w:r w:rsidR="002204B2">
              <w:rPr>
                <w:rFonts w:asciiTheme="majorHAnsi" w:eastAsia="Times New Roman" w:hAnsiTheme="majorHAnsi" w:cstheme="majorHAnsi"/>
                <w:sz w:val="21"/>
                <w:szCs w:val="21"/>
                <w:lang w:val="en-GB"/>
              </w:rPr>
              <w:t>via</w:t>
            </w:r>
            <w:r w:rsidRPr="00AF4BAC">
              <w:rPr>
                <w:rFonts w:asciiTheme="majorHAnsi" w:eastAsia="Times New Roman" w:hAnsiTheme="majorHAnsi" w:cstheme="majorHAnsi"/>
                <w:sz w:val="21"/>
                <w:szCs w:val="21"/>
                <w:lang w:val="en-GB"/>
              </w:rPr>
              <w:t xml:space="preserve"> First </w:t>
            </w:r>
            <w:proofErr w:type="gramStart"/>
            <w:r w:rsidRPr="00AF4BAC">
              <w:rPr>
                <w:rFonts w:asciiTheme="majorHAnsi" w:eastAsia="Times New Roman" w:hAnsiTheme="majorHAnsi" w:cstheme="majorHAnsi"/>
                <w:sz w:val="21"/>
                <w:szCs w:val="21"/>
                <w:lang w:val="en-GB"/>
              </w:rPr>
              <w:t>Home Owners</w:t>
            </w:r>
            <w:proofErr w:type="gramEnd"/>
            <w:r w:rsidRPr="00AF4BAC">
              <w:rPr>
                <w:rFonts w:asciiTheme="majorHAnsi" w:eastAsia="Times New Roman" w:hAnsiTheme="majorHAnsi" w:cstheme="majorHAnsi"/>
                <w:sz w:val="21"/>
                <w:szCs w:val="21"/>
                <w:lang w:val="en-GB"/>
              </w:rPr>
              <w:t xml:space="preserve"> Grant Scheme, First Home Super Saver Scheme, First Home Loan Deposit Scheme. All assume regular employment and capacity to save.</w:t>
            </w:r>
            <w:r w:rsidRPr="00AF4BAC">
              <w:rPr>
                <w:rFonts w:asciiTheme="majorHAnsi" w:eastAsia="Times New Roman" w:hAnsiTheme="majorHAnsi" w:cstheme="majorHAnsi"/>
                <w:b/>
                <w:bCs/>
                <w:sz w:val="21"/>
                <w:szCs w:val="21"/>
                <w:lang w:val="en-GB"/>
              </w:rPr>
              <w:t xml:space="preserve"> </w:t>
            </w:r>
            <w:proofErr w:type="gramStart"/>
            <w:r w:rsidR="002204B2">
              <w:rPr>
                <w:rFonts w:asciiTheme="majorHAnsi" w:eastAsia="Times New Roman" w:hAnsiTheme="majorHAnsi" w:cstheme="majorHAnsi"/>
                <w:sz w:val="21"/>
                <w:szCs w:val="21"/>
                <w:lang w:val="en-GB"/>
              </w:rPr>
              <w:t>A</w:t>
            </w:r>
            <w:r w:rsidRPr="00AF4BAC">
              <w:rPr>
                <w:rFonts w:asciiTheme="majorHAnsi" w:eastAsia="Times New Roman" w:hAnsiTheme="majorHAnsi" w:cstheme="majorHAnsi"/>
                <w:sz w:val="21"/>
                <w:szCs w:val="21"/>
                <w:lang w:val="en-GB"/>
              </w:rPr>
              <w:t>lso</w:t>
            </w:r>
            <w:proofErr w:type="gramEnd"/>
            <w:r w:rsidRPr="00AF4BAC">
              <w:rPr>
                <w:rFonts w:asciiTheme="majorHAnsi" w:eastAsia="Times New Roman" w:hAnsiTheme="majorHAnsi" w:cstheme="majorHAnsi"/>
                <w:sz w:val="21"/>
                <w:szCs w:val="21"/>
                <w:lang w:val="en-GB"/>
              </w:rPr>
              <w:t xml:space="preserve"> indirect supports for homeowners:</w:t>
            </w:r>
            <w:r w:rsidRPr="00AF4BAC">
              <w:rPr>
                <w:rFonts w:asciiTheme="majorHAnsi" w:eastAsia="Times New Roman" w:hAnsiTheme="majorHAnsi" w:cstheme="majorHAnsi"/>
                <w:b/>
                <w:bCs/>
                <w:sz w:val="21"/>
                <w:szCs w:val="21"/>
                <w:lang w:val="en-GB"/>
              </w:rPr>
              <w:t xml:space="preserve"> </w:t>
            </w:r>
            <w:r w:rsidRPr="00AF4BAC">
              <w:rPr>
                <w:rFonts w:asciiTheme="majorHAnsi" w:eastAsia="Times New Roman" w:hAnsiTheme="majorHAnsi" w:cstheme="majorHAnsi"/>
                <w:sz w:val="21"/>
                <w:szCs w:val="21"/>
                <w:lang w:val="en-GB"/>
              </w:rPr>
              <w:t>negative gearing, non-taxing of capital gains from housing</w:t>
            </w:r>
            <w:r w:rsidR="002204B2">
              <w:rPr>
                <w:rFonts w:asciiTheme="majorHAnsi" w:eastAsia="Times New Roman" w:hAnsiTheme="majorHAnsi" w:cstheme="majorHAnsi"/>
                <w:sz w:val="21"/>
                <w:szCs w:val="21"/>
                <w:lang w:val="en-GB"/>
              </w:rPr>
              <w:t xml:space="preserve"> sales</w:t>
            </w:r>
            <w:r w:rsidRPr="00AF4BAC">
              <w:rPr>
                <w:rFonts w:asciiTheme="majorHAnsi" w:eastAsia="Times New Roman" w:hAnsiTheme="majorHAnsi" w:cstheme="majorHAnsi"/>
                <w:sz w:val="21"/>
                <w:szCs w:val="21"/>
                <w:lang w:val="en-GB"/>
              </w:rPr>
              <w:t xml:space="preserve"> (after one year), primary residence not considered an asset </w:t>
            </w:r>
            <w:r w:rsidR="002204B2">
              <w:rPr>
                <w:rFonts w:asciiTheme="majorHAnsi" w:eastAsia="Times New Roman" w:hAnsiTheme="majorHAnsi" w:cstheme="majorHAnsi"/>
                <w:sz w:val="21"/>
                <w:szCs w:val="21"/>
                <w:lang w:val="en-GB"/>
              </w:rPr>
              <w:t>in cal</w:t>
            </w:r>
            <w:r w:rsidR="00475B20">
              <w:rPr>
                <w:rFonts w:asciiTheme="majorHAnsi" w:eastAsia="Times New Roman" w:hAnsiTheme="majorHAnsi" w:cstheme="majorHAnsi"/>
                <w:sz w:val="21"/>
                <w:szCs w:val="21"/>
                <w:lang w:val="en-GB"/>
              </w:rPr>
              <w:t>c</w:t>
            </w:r>
            <w:r w:rsidR="002204B2">
              <w:rPr>
                <w:rFonts w:asciiTheme="majorHAnsi" w:eastAsia="Times New Roman" w:hAnsiTheme="majorHAnsi" w:cstheme="majorHAnsi"/>
                <w:sz w:val="21"/>
                <w:szCs w:val="21"/>
                <w:lang w:val="en-GB"/>
              </w:rPr>
              <w:t>u</w:t>
            </w:r>
            <w:r w:rsidR="00475B20">
              <w:rPr>
                <w:rFonts w:asciiTheme="majorHAnsi" w:eastAsia="Times New Roman" w:hAnsiTheme="majorHAnsi" w:cstheme="majorHAnsi"/>
                <w:sz w:val="21"/>
                <w:szCs w:val="21"/>
                <w:lang w:val="en-GB"/>
              </w:rPr>
              <w:t>l</w:t>
            </w:r>
            <w:r w:rsidR="002204B2">
              <w:rPr>
                <w:rFonts w:asciiTheme="majorHAnsi" w:eastAsia="Times New Roman" w:hAnsiTheme="majorHAnsi" w:cstheme="majorHAnsi"/>
                <w:sz w:val="21"/>
                <w:szCs w:val="21"/>
                <w:lang w:val="en-GB"/>
              </w:rPr>
              <w:t>ating</w:t>
            </w:r>
            <w:r w:rsidRPr="00AF4BAC">
              <w:rPr>
                <w:rFonts w:asciiTheme="majorHAnsi" w:eastAsia="Times New Roman" w:hAnsiTheme="majorHAnsi" w:cstheme="majorHAnsi"/>
                <w:sz w:val="21"/>
                <w:szCs w:val="21"/>
                <w:lang w:val="en-GB"/>
              </w:rPr>
              <w:t xml:space="preserve"> social welfare benefits.</w:t>
            </w:r>
          </w:p>
          <w:p w14:paraId="4EA99D45" w14:textId="7DBD46B2" w:rsidR="00F00E3D" w:rsidRPr="0094479E" w:rsidRDefault="00F00E3D" w:rsidP="009B2FA7">
            <w:pPr>
              <w:rPr>
                <w:rFonts w:asciiTheme="majorHAnsi" w:hAnsiTheme="majorHAnsi" w:cstheme="majorHAnsi"/>
                <w:sz w:val="21"/>
                <w:szCs w:val="21"/>
              </w:rPr>
            </w:pPr>
            <w:r w:rsidRPr="00AF4BAC">
              <w:rPr>
                <w:rFonts w:asciiTheme="majorHAnsi" w:eastAsia="Times New Roman" w:hAnsiTheme="majorHAnsi" w:cstheme="majorHAnsi"/>
                <w:b/>
                <w:bCs/>
                <w:sz w:val="21"/>
                <w:szCs w:val="21"/>
                <w:lang w:val="en-GB"/>
              </w:rPr>
              <w:t xml:space="preserve">Negative gearing: </w:t>
            </w:r>
            <w:r w:rsidRPr="00AF4BAC">
              <w:rPr>
                <w:rFonts w:asciiTheme="majorHAnsi" w:eastAsia="Times New Roman" w:hAnsiTheme="majorHAnsi" w:cstheme="majorHAnsi"/>
                <w:sz w:val="21"/>
                <w:szCs w:val="21"/>
                <w:lang w:val="en-GB"/>
              </w:rPr>
              <w:t>Tax concession allowing landlords to deduct the costs and losses of owning a rental property from their overall income. Massive inflow of investors into property market from 2001.</w:t>
            </w:r>
          </w:p>
          <w:p w14:paraId="05C26913" w14:textId="467A9300" w:rsidR="00F00E3D" w:rsidRPr="00E956AA" w:rsidRDefault="00F00E3D" w:rsidP="009B2FA7">
            <w:pPr>
              <w:rPr>
                <w:rFonts w:asciiTheme="majorHAnsi" w:hAnsiTheme="majorHAnsi" w:cstheme="majorHAnsi"/>
                <w:sz w:val="21"/>
                <w:szCs w:val="21"/>
              </w:rPr>
            </w:pPr>
            <w:r w:rsidRPr="00AF4BAC">
              <w:rPr>
                <w:rFonts w:asciiTheme="majorHAnsi" w:eastAsia="Times New Roman" w:hAnsiTheme="majorHAnsi" w:cstheme="majorHAnsi"/>
                <w:b/>
                <w:bCs/>
                <w:sz w:val="21"/>
                <w:szCs w:val="21"/>
                <w:lang w:val="en-GB"/>
              </w:rPr>
              <w:t>Settlement of African Australian in regional areas</w:t>
            </w:r>
            <w:r w:rsidRPr="00AF4BAC">
              <w:rPr>
                <w:rFonts w:asciiTheme="majorHAnsi" w:hAnsiTheme="majorHAnsi" w:cstheme="majorHAnsi"/>
                <w:sz w:val="21"/>
                <w:szCs w:val="21"/>
              </w:rPr>
              <w:t xml:space="preserve">: </w:t>
            </w:r>
            <w:r w:rsidRPr="00AF4BAC">
              <w:rPr>
                <w:rFonts w:asciiTheme="majorHAnsi" w:eastAsia="Times New Roman" w:hAnsiTheme="majorHAnsi" w:cstheme="majorHAnsi"/>
                <w:sz w:val="21"/>
                <w:szCs w:val="21"/>
                <w:lang w:val="en-GB"/>
              </w:rPr>
              <w:t xml:space="preserve">Featured in Federal Immigration Policy. Some evidence it produces better outcomes </w:t>
            </w:r>
            <w:r w:rsidR="002204B2">
              <w:rPr>
                <w:rFonts w:asciiTheme="majorHAnsi" w:eastAsia="Times New Roman" w:hAnsiTheme="majorHAnsi" w:cstheme="majorHAnsi"/>
                <w:sz w:val="21"/>
                <w:szCs w:val="21"/>
                <w:lang w:val="en-GB"/>
              </w:rPr>
              <w:t>for</w:t>
            </w:r>
            <w:r w:rsidRPr="00AF4BAC">
              <w:rPr>
                <w:rFonts w:asciiTheme="majorHAnsi" w:eastAsia="Times New Roman" w:hAnsiTheme="majorHAnsi" w:cstheme="majorHAnsi"/>
                <w:sz w:val="21"/>
                <w:szCs w:val="21"/>
                <w:lang w:val="en-GB"/>
              </w:rPr>
              <w:t xml:space="preserve"> both housing and employment, but also some questions about its sustainability. </w:t>
            </w:r>
          </w:p>
          <w:p w14:paraId="21CCB242" w14:textId="5E2A830F" w:rsidR="00F00E3D" w:rsidRPr="00E956AA" w:rsidRDefault="007320D6" w:rsidP="009B2FA7">
            <w:pPr>
              <w:rPr>
                <w:rFonts w:asciiTheme="majorHAnsi" w:hAnsiTheme="majorHAnsi" w:cstheme="majorHAnsi"/>
                <w:sz w:val="21"/>
                <w:szCs w:val="21"/>
              </w:rPr>
            </w:pPr>
            <w:hyperlink r:id="rId33">
              <w:r w:rsidR="00F00E3D" w:rsidRPr="00AF4BAC">
                <w:rPr>
                  <w:rStyle w:val="Hyperlink"/>
                  <w:rFonts w:asciiTheme="majorHAnsi" w:eastAsia="Times New Roman" w:hAnsiTheme="majorHAnsi" w:cstheme="majorHAnsi"/>
                  <w:b/>
                  <w:sz w:val="21"/>
                  <w:szCs w:val="21"/>
                  <w:lang w:val="en-GB"/>
                </w:rPr>
                <w:t>Housing Australia (2017)</w:t>
              </w:r>
            </w:hyperlink>
            <w:r w:rsidR="00F00E3D" w:rsidRPr="00AF4BAC">
              <w:rPr>
                <w:rFonts w:asciiTheme="majorHAnsi" w:hAnsiTheme="majorHAnsi" w:cstheme="majorHAnsi"/>
                <w:sz w:val="21"/>
                <w:szCs w:val="21"/>
              </w:rPr>
              <w:t xml:space="preserve">: </w:t>
            </w:r>
            <w:r w:rsidR="00F00E3D" w:rsidRPr="00AF4BAC">
              <w:rPr>
                <w:rFonts w:asciiTheme="majorHAnsi" w:eastAsia="Times New Roman" w:hAnsiTheme="majorHAnsi" w:cstheme="majorHAnsi"/>
                <w:sz w:val="21"/>
                <w:szCs w:val="21"/>
                <w:lang w:val="en-GB"/>
              </w:rPr>
              <w:t xml:space="preserve">Housing price and rents growth are lowest in regional Australia. Regional housing impacted by a range of fiscal, transport, infrastructure, and population policies (many controlled </w:t>
            </w:r>
            <w:r w:rsidR="002204B2">
              <w:rPr>
                <w:rFonts w:asciiTheme="majorHAnsi" w:eastAsia="Times New Roman" w:hAnsiTheme="majorHAnsi" w:cstheme="majorHAnsi"/>
                <w:sz w:val="21"/>
                <w:szCs w:val="21"/>
                <w:lang w:val="en-GB"/>
              </w:rPr>
              <w:t>federally</w:t>
            </w:r>
            <w:r w:rsidR="00F00E3D" w:rsidRPr="00AF4BAC">
              <w:rPr>
                <w:rFonts w:asciiTheme="majorHAnsi" w:eastAsia="Times New Roman" w:hAnsiTheme="majorHAnsi" w:cstheme="majorHAnsi"/>
                <w:sz w:val="21"/>
                <w:szCs w:val="21"/>
                <w:lang w:val="en-GB"/>
              </w:rPr>
              <w:t xml:space="preserve">). </w:t>
            </w:r>
          </w:p>
        </w:tc>
        <w:tc>
          <w:tcPr>
            <w:tcW w:w="3665" w:type="dxa"/>
            <w:tcBorders>
              <w:top w:val="single" w:sz="8" w:space="0" w:color="auto"/>
              <w:left w:val="single" w:sz="8" w:space="0" w:color="auto"/>
              <w:bottom w:val="single" w:sz="8" w:space="0" w:color="auto"/>
              <w:right w:val="single" w:sz="8" w:space="0" w:color="auto"/>
            </w:tcBorders>
          </w:tcPr>
          <w:p w14:paraId="44DF57C8" w14:textId="77777777" w:rsidR="00F00E3D" w:rsidRPr="00AF4BAC" w:rsidRDefault="00F00E3D" w:rsidP="009B2FA7">
            <w:pPr>
              <w:rPr>
                <w:rFonts w:asciiTheme="majorHAnsi" w:hAnsiTheme="majorHAnsi" w:cstheme="majorHAnsi"/>
                <w:sz w:val="21"/>
                <w:szCs w:val="21"/>
              </w:rPr>
            </w:pPr>
            <w:r w:rsidRPr="00AF4BAC">
              <w:rPr>
                <w:rFonts w:asciiTheme="majorHAnsi" w:eastAsia="Times New Roman" w:hAnsiTheme="majorHAnsi" w:cstheme="majorHAnsi"/>
                <w:sz w:val="21"/>
                <w:szCs w:val="21"/>
                <w:lang w:val="en-GB"/>
              </w:rPr>
              <w:t xml:space="preserve"> </w:t>
            </w:r>
          </w:p>
          <w:p w14:paraId="47376A46" w14:textId="77777777" w:rsidR="00F00E3D" w:rsidRPr="00AF4BAC" w:rsidRDefault="00F00E3D" w:rsidP="009B2FA7">
            <w:pPr>
              <w:rPr>
                <w:rFonts w:asciiTheme="majorHAnsi" w:hAnsiTheme="majorHAnsi" w:cstheme="majorHAnsi"/>
                <w:sz w:val="21"/>
                <w:szCs w:val="21"/>
              </w:rPr>
            </w:pPr>
            <w:r w:rsidRPr="00AF4BAC">
              <w:rPr>
                <w:rFonts w:asciiTheme="majorHAnsi" w:eastAsia="Times New Roman" w:hAnsiTheme="majorHAnsi" w:cstheme="majorHAnsi"/>
                <w:sz w:val="21"/>
                <w:szCs w:val="21"/>
                <w:lang w:val="en-GB"/>
              </w:rPr>
              <w:t xml:space="preserve"> </w:t>
            </w:r>
          </w:p>
          <w:p w14:paraId="33F4D85F" w14:textId="77777777" w:rsidR="00F00E3D" w:rsidRPr="00AF4BAC" w:rsidRDefault="00F00E3D" w:rsidP="009B2FA7">
            <w:pPr>
              <w:rPr>
                <w:rFonts w:asciiTheme="majorHAnsi" w:hAnsiTheme="majorHAnsi" w:cstheme="majorHAnsi"/>
                <w:sz w:val="21"/>
                <w:szCs w:val="21"/>
              </w:rPr>
            </w:pPr>
            <w:r w:rsidRPr="00AF4BAC">
              <w:rPr>
                <w:rFonts w:asciiTheme="majorHAnsi" w:eastAsia="Times New Roman" w:hAnsiTheme="majorHAnsi" w:cstheme="majorHAnsi"/>
                <w:sz w:val="21"/>
                <w:szCs w:val="21"/>
                <w:lang w:val="en-GB"/>
              </w:rPr>
              <w:t xml:space="preserve"> </w:t>
            </w:r>
          </w:p>
          <w:p w14:paraId="531D7F4A" w14:textId="77777777" w:rsidR="00F00E3D" w:rsidRPr="002204B2" w:rsidRDefault="00F00E3D" w:rsidP="009B2FA7">
            <w:pPr>
              <w:rPr>
                <w:rFonts w:asciiTheme="majorHAnsi" w:hAnsiTheme="majorHAnsi" w:cstheme="majorHAnsi"/>
                <w:sz w:val="12"/>
                <w:szCs w:val="12"/>
              </w:rPr>
            </w:pPr>
            <w:r w:rsidRPr="00AF4BAC">
              <w:rPr>
                <w:rFonts w:asciiTheme="majorHAnsi" w:eastAsia="Times New Roman" w:hAnsiTheme="majorHAnsi" w:cstheme="majorHAnsi"/>
                <w:sz w:val="21"/>
                <w:szCs w:val="21"/>
                <w:lang w:val="en-GB"/>
              </w:rPr>
              <w:t xml:space="preserve"> </w:t>
            </w:r>
          </w:p>
          <w:p w14:paraId="05D223A9" w14:textId="77777777" w:rsidR="002204B2" w:rsidRPr="002204B2" w:rsidRDefault="00F00E3D" w:rsidP="009B2FA7">
            <w:pPr>
              <w:rPr>
                <w:rFonts w:asciiTheme="majorHAnsi" w:eastAsia="Times New Roman" w:hAnsiTheme="majorHAnsi" w:cstheme="majorHAnsi"/>
                <w:sz w:val="24"/>
                <w:szCs w:val="24"/>
                <w:lang w:val="en-GB"/>
              </w:rPr>
            </w:pPr>
            <w:r>
              <w:br/>
            </w:r>
          </w:p>
          <w:p w14:paraId="3DE3073E" w14:textId="7447942C" w:rsidR="778E395A" w:rsidRDefault="778E395A" w:rsidP="778E395A">
            <w:pPr>
              <w:rPr>
                <w:rFonts w:asciiTheme="majorHAnsi" w:eastAsia="Times New Roman" w:hAnsiTheme="majorHAnsi" w:cstheme="majorBidi"/>
                <w:sz w:val="21"/>
                <w:szCs w:val="21"/>
                <w:lang w:val="en-GB"/>
              </w:rPr>
            </w:pPr>
          </w:p>
          <w:p w14:paraId="6639A60D" w14:textId="383E88FF" w:rsidR="778E395A" w:rsidRDefault="778E395A" w:rsidP="778E395A">
            <w:pPr>
              <w:rPr>
                <w:rFonts w:asciiTheme="majorHAnsi" w:eastAsia="Times New Roman" w:hAnsiTheme="majorHAnsi" w:cstheme="majorBidi"/>
                <w:sz w:val="21"/>
                <w:szCs w:val="21"/>
                <w:lang w:val="en-GB"/>
              </w:rPr>
            </w:pPr>
          </w:p>
          <w:p w14:paraId="13B2A302" w14:textId="624C1BD4" w:rsidR="00F00E3D" w:rsidRPr="0094479E" w:rsidRDefault="00F00E3D" w:rsidP="009B2FA7">
            <w:pPr>
              <w:rPr>
                <w:rFonts w:asciiTheme="majorHAnsi" w:eastAsia="Times New Roman" w:hAnsiTheme="majorHAnsi" w:cstheme="majorHAnsi"/>
                <w:sz w:val="21"/>
                <w:szCs w:val="21"/>
                <w:lang w:val="en-GB"/>
              </w:rPr>
            </w:pPr>
            <w:r w:rsidRPr="00AF4BAC">
              <w:rPr>
                <w:rFonts w:asciiTheme="majorHAnsi" w:eastAsia="Times New Roman" w:hAnsiTheme="majorHAnsi" w:cstheme="majorHAnsi"/>
                <w:sz w:val="21"/>
                <w:szCs w:val="21"/>
                <w:lang w:val="en-GB"/>
              </w:rPr>
              <w:t>Many</w:t>
            </w:r>
            <w:r>
              <w:rPr>
                <w:rFonts w:asciiTheme="majorHAnsi" w:eastAsia="Times New Roman" w:hAnsiTheme="majorHAnsi" w:cstheme="majorHAnsi"/>
                <w:sz w:val="21"/>
                <w:szCs w:val="21"/>
                <w:lang w:val="en-GB"/>
              </w:rPr>
              <w:t xml:space="preserve"> </w:t>
            </w:r>
            <w:r w:rsidR="002204B2">
              <w:rPr>
                <w:rFonts w:asciiTheme="majorHAnsi" w:eastAsia="Times New Roman" w:hAnsiTheme="majorHAnsi" w:cstheme="majorHAnsi"/>
                <w:sz w:val="21"/>
                <w:szCs w:val="21"/>
                <w:lang w:val="en-GB"/>
              </w:rPr>
              <w:t xml:space="preserve">low-income </w:t>
            </w:r>
            <w:r w:rsidRPr="00AF4BAC">
              <w:rPr>
                <w:rFonts w:asciiTheme="majorHAnsi" w:eastAsia="Times New Roman" w:hAnsiTheme="majorHAnsi" w:cstheme="majorHAnsi"/>
                <w:sz w:val="21"/>
                <w:szCs w:val="21"/>
                <w:lang w:val="en-GB"/>
              </w:rPr>
              <w:t>residents</w:t>
            </w:r>
            <w:r w:rsidR="002204B2">
              <w:rPr>
                <w:rFonts w:asciiTheme="majorHAnsi" w:eastAsia="Times New Roman" w:hAnsiTheme="majorHAnsi" w:cstheme="majorHAnsi"/>
                <w:sz w:val="21"/>
                <w:szCs w:val="21"/>
                <w:lang w:val="en-GB"/>
              </w:rPr>
              <w:t xml:space="preserve"> on</w:t>
            </w:r>
            <w:r w:rsidRPr="00AF4BAC">
              <w:rPr>
                <w:rFonts w:asciiTheme="majorHAnsi" w:eastAsia="Times New Roman" w:hAnsiTheme="majorHAnsi" w:cstheme="majorHAnsi"/>
                <w:sz w:val="21"/>
                <w:szCs w:val="21"/>
                <w:lang w:val="en-GB"/>
              </w:rPr>
              <w:t xml:space="preserve"> Commonwealth Rent Assistance</w:t>
            </w:r>
            <w:r w:rsidR="002204B2">
              <w:rPr>
                <w:rFonts w:asciiTheme="majorHAnsi" w:eastAsia="Times New Roman" w:hAnsiTheme="majorHAnsi" w:cstheme="majorHAnsi"/>
                <w:sz w:val="21"/>
                <w:szCs w:val="21"/>
                <w:lang w:val="en-GB"/>
              </w:rPr>
              <w:t>,</w:t>
            </w:r>
            <w:r w:rsidRPr="00AF4BAC">
              <w:rPr>
                <w:rFonts w:asciiTheme="majorHAnsi" w:eastAsia="Times New Roman" w:hAnsiTheme="majorHAnsi" w:cstheme="majorHAnsi"/>
                <w:sz w:val="21"/>
                <w:szCs w:val="21"/>
                <w:lang w:val="en-GB"/>
              </w:rPr>
              <w:t xml:space="preserve"> and</w:t>
            </w:r>
            <w:r w:rsidR="002204B2">
              <w:rPr>
                <w:rFonts w:asciiTheme="majorHAnsi" w:eastAsia="Times New Roman" w:hAnsiTheme="majorHAnsi" w:cstheme="majorHAnsi"/>
                <w:sz w:val="21"/>
                <w:szCs w:val="21"/>
                <w:lang w:val="en-GB"/>
              </w:rPr>
              <w:t>/or</w:t>
            </w:r>
            <w:r w:rsidRPr="00AF4BAC">
              <w:rPr>
                <w:rFonts w:asciiTheme="majorHAnsi" w:eastAsia="Times New Roman" w:hAnsiTheme="majorHAnsi" w:cstheme="majorHAnsi"/>
                <w:sz w:val="21"/>
                <w:szCs w:val="21"/>
                <w:lang w:val="en-GB"/>
              </w:rPr>
              <w:t xml:space="preserve"> </w:t>
            </w:r>
            <w:r w:rsidR="00E956AA">
              <w:rPr>
                <w:rFonts w:asciiTheme="majorHAnsi" w:eastAsia="Times New Roman" w:hAnsiTheme="majorHAnsi" w:cstheme="majorHAnsi"/>
                <w:sz w:val="21"/>
                <w:szCs w:val="21"/>
                <w:lang w:val="en-GB"/>
              </w:rPr>
              <w:t>need</w:t>
            </w:r>
            <w:r w:rsidRPr="00AF4BAC">
              <w:rPr>
                <w:rFonts w:asciiTheme="majorHAnsi" w:eastAsia="Times New Roman" w:hAnsiTheme="majorHAnsi" w:cstheme="majorHAnsi"/>
                <w:sz w:val="21"/>
                <w:szCs w:val="21"/>
                <w:lang w:val="en-GB"/>
              </w:rPr>
              <w:t xml:space="preserve"> social housing.</w:t>
            </w:r>
          </w:p>
          <w:p w14:paraId="756E538A" w14:textId="0E219FA8" w:rsidR="00F00E3D" w:rsidRPr="00AF4BAC" w:rsidRDefault="00F00E3D" w:rsidP="009B2FA7">
            <w:pPr>
              <w:rPr>
                <w:rFonts w:asciiTheme="majorHAnsi" w:hAnsiTheme="majorHAnsi" w:cstheme="majorHAnsi"/>
                <w:sz w:val="21"/>
                <w:szCs w:val="21"/>
              </w:rPr>
            </w:pPr>
            <w:r w:rsidRPr="00AF4BAC">
              <w:rPr>
                <w:rFonts w:asciiTheme="majorHAnsi" w:eastAsia="Times New Roman" w:hAnsiTheme="majorHAnsi" w:cstheme="majorHAnsi"/>
                <w:sz w:val="21"/>
                <w:szCs w:val="21"/>
                <w:lang w:val="en-GB"/>
              </w:rPr>
              <w:t>Few residents can access schemes to support entry into home ownership.</w:t>
            </w:r>
          </w:p>
          <w:p w14:paraId="2487CA19" w14:textId="77777777" w:rsidR="00F00E3D" w:rsidRPr="00475B20" w:rsidRDefault="00F00E3D" w:rsidP="009B2FA7">
            <w:pPr>
              <w:rPr>
                <w:rFonts w:asciiTheme="majorHAnsi" w:hAnsiTheme="majorHAnsi" w:cstheme="majorHAnsi"/>
                <w:sz w:val="8"/>
                <w:szCs w:val="8"/>
              </w:rPr>
            </w:pPr>
          </w:p>
          <w:p w14:paraId="08F101C2" w14:textId="0BEA22E0" w:rsidR="00F00E3D" w:rsidRPr="00E956AA" w:rsidRDefault="00E956AA" w:rsidP="009B2FA7">
            <w:pPr>
              <w:rPr>
                <w:rFonts w:asciiTheme="majorHAnsi" w:hAnsiTheme="majorHAnsi" w:cstheme="majorHAnsi"/>
                <w:sz w:val="21"/>
                <w:szCs w:val="21"/>
              </w:rPr>
            </w:pPr>
            <w:r>
              <w:rPr>
                <w:rFonts w:asciiTheme="majorHAnsi" w:eastAsia="Times New Roman" w:hAnsiTheme="majorHAnsi" w:cstheme="majorHAnsi"/>
                <w:sz w:val="21"/>
                <w:szCs w:val="21"/>
                <w:lang w:val="en-GB"/>
              </w:rPr>
              <w:t xml:space="preserve">Investors buying some </w:t>
            </w:r>
            <w:r w:rsidR="00F00E3D" w:rsidRPr="00AF4BAC">
              <w:rPr>
                <w:rFonts w:asciiTheme="majorHAnsi" w:eastAsia="Times New Roman" w:hAnsiTheme="majorHAnsi" w:cstheme="majorHAnsi"/>
                <w:sz w:val="21"/>
                <w:szCs w:val="21"/>
                <w:lang w:val="en-GB"/>
              </w:rPr>
              <w:t>Corio, Norlane, Whittington housing stock to rent out.</w:t>
            </w:r>
          </w:p>
          <w:p w14:paraId="20DD32C4" w14:textId="1D8AAE17" w:rsidR="00F00E3D" w:rsidRPr="00AF4BAC" w:rsidRDefault="00F00E3D" w:rsidP="009B2FA7">
            <w:pPr>
              <w:rPr>
                <w:rFonts w:asciiTheme="majorHAnsi" w:hAnsiTheme="majorHAnsi" w:cstheme="majorHAnsi"/>
                <w:sz w:val="21"/>
                <w:szCs w:val="21"/>
              </w:rPr>
            </w:pPr>
            <w:r w:rsidRPr="00AF4BAC">
              <w:rPr>
                <w:rFonts w:asciiTheme="majorHAnsi" w:eastAsia="Times New Roman" w:hAnsiTheme="majorHAnsi" w:cstheme="majorHAnsi"/>
                <w:sz w:val="21"/>
                <w:szCs w:val="21"/>
                <w:lang w:val="en-GB"/>
              </w:rPr>
              <w:t xml:space="preserve">Notable </w:t>
            </w:r>
            <w:r w:rsidR="00E956AA">
              <w:rPr>
                <w:rFonts w:asciiTheme="majorHAnsi" w:eastAsia="Times New Roman" w:hAnsiTheme="majorHAnsi" w:cstheme="majorHAnsi"/>
                <w:sz w:val="21"/>
                <w:szCs w:val="21"/>
                <w:lang w:val="en-GB"/>
              </w:rPr>
              <w:t xml:space="preserve">local </w:t>
            </w:r>
            <w:r w:rsidRPr="00AF4BAC">
              <w:rPr>
                <w:rFonts w:asciiTheme="majorHAnsi" w:eastAsia="Times New Roman" w:hAnsiTheme="majorHAnsi" w:cstheme="majorHAnsi"/>
                <w:sz w:val="21"/>
                <w:szCs w:val="21"/>
                <w:lang w:val="en-GB"/>
              </w:rPr>
              <w:t xml:space="preserve">settlement of refugees </w:t>
            </w:r>
            <w:r w:rsidR="00E956AA">
              <w:rPr>
                <w:rFonts w:asciiTheme="majorHAnsi" w:eastAsia="Times New Roman" w:hAnsiTheme="majorHAnsi" w:cstheme="majorHAnsi"/>
                <w:sz w:val="21"/>
                <w:szCs w:val="21"/>
                <w:lang w:val="en-GB"/>
              </w:rPr>
              <w:t xml:space="preserve">(including </w:t>
            </w:r>
            <w:r w:rsidRPr="00AF4BAC">
              <w:rPr>
                <w:rFonts w:asciiTheme="majorHAnsi" w:eastAsia="Times New Roman" w:hAnsiTheme="majorHAnsi" w:cstheme="majorHAnsi"/>
                <w:sz w:val="21"/>
                <w:szCs w:val="21"/>
                <w:lang w:val="en-GB"/>
              </w:rPr>
              <w:t>Karen, Afghan, African</w:t>
            </w:r>
            <w:r w:rsidR="00E956AA">
              <w:rPr>
                <w:rFonts w:asciiTheme="majorHAnsi" w:eastAsia="Times New Roman" w:hAnsiTheme="majorHAnsi" w:cstheme="majorHAnsi"/>
                <w:sz w:val="21"/>
                <w:szCs w:val="21"/>
                <w:lang w:val="en-GB"/>
              </w:rPr>
              <w:t>).</w:t>
            </w:r>
          </w:p>
        </w:tc>
      </w:tr>
      <w:tr w:rsidR="00F00E3D" w:rsidRPr="00386CF2" w14:paraId="7FCA1880" w14:textId="77777777" w:rsidTr="778E395A">
        <w:tc>
          <w:tcPr>
            <w:tcW w:w="983" w:type="dxa"/>
            <w:tcBorders>
              <w:top w:val="single" w:sz="8" w:space="0" w:color="auto"/>
              <w:left w:val="single" w:sz="8" w:space="0" w:color="auto"/>
              <w:bottom w:val="single" w:sz="8" w:space="0" w:color="auto"/>
              <w:right w:val="single" w:sz="8" w:space="0" w:color="auto"/>
            </w:tcBorders>
          </w:tcPr>
          <w:p w14:paraId="22586962" w14:textId="77777777" w:rsidR="00F00E3D" w:rsidRPr="00C711E4" w:rsidRDefault="00F00E3D" w:rsidP="009B2FA7">
            <w:pPr>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w:lastRenderedPageBreak/>
              <mc:AlternateContent>
                <mc:Choice Requires="wps">
                  <w:drawing>
                    <wp:anchor distT="45720" distB="45720" distL="114300" distR="114300" simplePos="0" relativeHeight="251658263" behindDoc="0" locked="0" layoutInCell="1" allowOverlap="1" wp14:anchorId="0B5BE359" wp14:editId="0703C023">
                      <wp:simplePos x="0" y="0"/>
                      <wp:positionH relativeFrom="column">
                        <wp:posOffset>-403860</wp:posOffset>
                      </wp:positionH>
                      <wp:positionV relativeFrom="paragraph">
                        <wp:posOffset>690880</wp:posOffset>
                      </wp:positionV>
                      <wp:extent cx="1262380" cy="341630"/>
                      <wp:effectExtent l="3175"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2380" cy="341630"/>
                              </a:xfrm>
                              <a:prstGeom prst="rect">
                                <a:avLst/>
                              </a:prstGeom>
                              <a:noFill/>
                              <a:ln w="9525">
                                <a:noFill/>
                                <a:miter lim="800000"/>
                                <a:headEnd/>
                                <a:tailEnd/>
                              </a:ln>
                            </wps:spPr>
                            <wps:txbx>
                              <w:txbxContent>
                                <w:p w14:paraId="00D36A8E" w14:textId="77777777" w:rsidR="00063AC8" w:rsidRPr="004200CF" w:rsidRDefault="00063AC8" w:rsidP="009B2FA7">
                                  <w:pPr>
                                    <w:jc w:val="right"/>
                                    <w:rPr>
                                      <w:b/>
                                      <w:bCs/>
                                      <w:color w:val="595959" w:themeColor="text1" w:themeTint="A6"/>
                                    </w:rPr>
                                  </w:pPr>
                                  <w:r>
                                    <w:rPr>
                                      <w:b/>
                                      <w:bCs/>
                                      <w:color w:val="595959" w:themeColor="text1" w:themeTint="A6"/>
                                    </w:rPr>
                                    <w:t>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BE359" id="_x0000_s1035" type="#_x0000_t202" style="position:absolute;margin-left:-31.8pt;margin-top:54.4pt;width:99.4pt;height:26.9pt;rotation:-90;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" filled="f" stroked="f">
                      <v:textbox>
                        <w:txbxContent>
                          <w:p w14:paraId="00D36A8E" w14:textId="77777777" w:rsidR="00063AC8" w:rsidRPr="004200CF" w:rsidRDefault="00063AC8" w:rsidP="009B2FA7">
                            <w:pPr>
                              <w:jc w:val="right"/>
                              <w:rPr>
                                <w:b/>
                                <w:bCs/>
                                <w:color w:val="595959" w:themeColor="text1" w:themeTint="A6"/>
                              </w:rPr>
                            </w:pPr>
                            <w:r>
                              <w:rPr>
                                <w:b/>
                                <w:bCs/>
                                <w:color w:val="595959" w:themeColor="text1" w:themeTint="A6"/>
                              </w:rPr>
                              <w:t>EMPLOYMENT</w:t>
                            </w:r>
                          </w:p>
                        </w:txbxContent>
                      </v:textbox>
                      <w10:wrap type="square"/>
                    </v:shape>
                  </w:pict>
                </mc:Fallback>
              </mc:AlternateContent>
            </w:r>
          </w:p>
        </w:tc>
        <w:tc>
          <w:tcPr>
            <w:tcW w:w="9922" w:type="dxa"/>
            <w:tcBorders>
              <w:top w:val="single" w:sz="8" w:space="0" w:color="auto"/>
              <w:left w:val="single" w:sz="8" w:space="0" w:color="auto"/>
              <w:bottom w:val="single" w:sz="8" w:space="0" w:color="auto"/>
              <w:right w:val="single" w:sz="8" w:space="0" w:color="auto"/>
            </w:tcBorders>
          </w:tcPr>
          <w:p w14:paraId="1CFF86C3" w14:textId="012F9317" w:rsidR="00F00E3D" w:rsidRPr="00125378" w:rsidRDefault="00F00E3D" w:rsidP="009B2FA7">
            <w:pPr>
              <w:rPr>
                <w:rFonts w:asciiTheme="majorHAnsi" w:hAnsiTheme="majorHAnsi" w:cstheme="majorBidi"/>
                <w:sz w:val="21"/>
                <w:szCs w:val="21"/>
              </w:rPr>
            </w:pPr>
            <w:r w:rsidRPr="701B9583">
              <w:rPr>
                <w:rFonts w:asciiTheme="majorHAnsi" w:eastAsia="Times New Roman" w:hAnsiTheme="majorHAnsi" w:cstheme="majorBidi"/>
                <w:b/>
                <w:sz w:val="21"/>
                <w:szCs w:val="21"/>
                <w:lang w:val="en-GB"/>
              </w:rPr>
              <w:t>Building Australia’s Future Workforce</w:t>
            </w:r>
            <w:r w:rsidRPr="701B9583">
              <w:rPr>
                <w:rFonts w:asciiTheme="majorHAnsi" w:hAnsiTheme="majorHAnsi" w:cstheme="majorBidi"/>
                <w:sz w:val="21"/>
                <w:szCs w:val="21"/>
              </w:rPr>
              <w:t xml:space="preserve">: (1) </w:t>
            </w:r>
            <w:r w:rsidRPr="701B9583">
              <w:rPr>
                <w:rFonts w:asciiTheme="majorHAnsi" w:eastAsia="Times New Roman" w:hAnsiTheme="majorHAnsi" w:cstheme="majorBidi"/>
                <w:sz w:val="21"/>
                <w:szCs w:val="21"/>
                <w:lang w:val="en-GB"/>
              </w:rPr>
              <w:t>Centrelink payments to unemployed people: comes with “mutual obligations” to actively seek work and report income. Payments are well below the poverty line.</w:t>
            </w:r>
            <w:r w:rsidRPr="701B9583">
              <w:rPr>
                <w:rFonts w:asciiTheme="majorHAnsi" w:hAnsiTheme="majorHAnsi" w:cstheme="majorBidi"/>
                <w:sz w:val="21"/>
                <w:szCs w:val="21"/>
              </w:rPr>
              <w:t xml:space="preserve"> (2) </w:t>
            </w:r>
            <w:r w:rsidRPr="701B9583">
              <w:rPr>
                <w:rFonts w:asciiTheme="majorHAnsi" w:eastAsia="Times New Roman" w:hAnsiTheme="majorHAnsi" w:cstheme="majorBidi"/>
                <w:sz w:val="21"/>
                <w:szCs w:val="21"/>
                <w:lang w:val="en-GB"/>
              </w:rPr>
              <w:t>Job Services</w:t>
            </w:r>
            <w:r w:rsidRPr="701B9583">
              <w:rPr>
                <w:rFonts w:asciiTheme="majorHAnsi" w:eastAsia="Times New Roman" w:hAnsiTheme="majorHAnsi" w:cstheme="majorBidi"/>
                <w:b/>
                <w:sz w:val="21"/>
                <w:szCs w:val="21"/>
                <w:lang w:val="en-GB"/>
              </w:rPr>
              <w:t xml:space="preserve"> </w:t>
            </w:r>
            <w:r w:rsidRPr="701B9583">
              <w:rPr>
                <w:rFonts w:asciiTheme="majorHAnsi" w:eastAsia="Times New Roman" w:hAnsiTheme="majorHAnsi" w:cstheme="majorBidi"/>
                <w:sz w:val="21"/>
                <w:szCs w:val="21"/>
                <w:lang w:val="en-GB"/>
              </w:rPr>
              <w:t>Australia:</w:t>
            </w:r>
            <w:r w:rsidRPr="701B9583">
              <w:rPr>
                <w:rFonts w:asciiTheme="majorHAnsi" w:eastAsia="Times New Roman" w:hAnsiTheme="majorHAnsi" w:cstheme="majorBidi"/>
                <w:b/>
                <w:sz w:val="21"/>
                <w:szCs w:val="21"/>
                <w:lang w:val="en-GB"/>
              </w:rPr>
              <w:t xml:space="preserve"> </w:t>
            </w:r>
            <w:r w:rsidRPr="701B9583">
              <w:rPr>
                <w:rFonts w:asciiTheme="majorHAnsi" w:eastAsia="Times New Roman" w:hAnsiTheme="majorHAnsi" w:cstheme="majorBidi"/>
                <w:sz w:val="21"/>
                <w:szCs w:val="21"/>
                <w:lang w:val="en-GB"/>
              </w:rPr>
              <w:t>provides unemployment services</w:t>
            </w:r>
            <w:r w:rsidRPr="701B9583">
              <w:rPr>
                <w:rFonts w:asciiTheme="majorHAnsi" w:eastAsia="Times New Roman" w:hAnsiTheme="majorHAnsi" w:cstheme="majorBidi"/>
                <w:b/>
                <w:sz w:val="21"/>
                <w:szCs w:val="21"/>
                <w:lang w:val="en-GB"/>
              </w:rPr>
              <w:t xml:space="preserve"> </w:t>
            </w:r>
            <w:r w:rsidRPr="701B9583">
              <w:rPr>
                <w:rFonts w:asciiTheme="majorHAnsi" w:eastAsia="Times New Roman" w:hAnsiTheme="majorHAnsi" w:cstheme="majorBidi"/>
                <w:sz w:val="21"/>
                <w:szCs w:val="21"/>
                <w:lang w:val="en-GB"/>
              </w:rPr>
              <w:t xml:space="preserve">via sub-contracted service providers, paid on a sliding scale </w:t>
            </w:r>
            <w:r w:rsidR="003E652B" w:rsidRPr="701B9583">
              <w:rPr>
                <w:rFonts w:asciiTheme="majorHAnsi" w:eastAsia="Times New Roman" w:hAnsiTheme="majorHAnsi" w:cstheme="majorBidi"/>
                <w:sz w:val="21"/>
                <w:szCs w:val="21"/>
                <w:lang w:val="en-GB"/>
              </w:rPr>
              <w:t xml:space="preserve">based on the </w:t>
            </w:r>
            <w:r w:rsidRPr="701B9583">
              <w:rPr>
                <w:rFonts w:asciiTheme="majorHAnsi" w:eastAsia="Times New Roman" w:hAnsiTheme="majorHAnsi" w:cstheme="majorBidi"/>
                <w:sz w:val="21"/>
                <w:szCs w:val="21"/>
                <w:lang w:val="en-GB"/>
              </w:rPr>
              <w:t>level of difficulty in securing a job for the unemployed person.</w:t>
            </w:r>
          </w:p>
          <w:p w14:paraId="18B012AB" w14:textId="60211281" w:rsidR="00F00E3D" w:rsidRPr="00125378" w:rsidRDefault="00F00E3D" w:rsidP="009B2FA7">
            <w:pPr>
              <w:rPr>
                <w:rFonts w:asciiTheme="majorHAnsi" w:hAnsiTheme="majorHAnsi" w:cstheme="majorHAnsi"/>
                <w:sz w:val="21"/>
                <w:szCs w:val="21"/>
              </w:rPr>
            </w:pPr>
            <w:r w:rsidRPr="001C0F00">
              <w:rPr>
                <w:rFonts w:asciiTheme="majorHAnsi" w:eastAsia="Times New Roman" w:hAnsiTheme="majorHAnsi" w:cstheme="majorHAnsi"/>
                <w:b/>
                <w:bCs/>
                <w:sz w:val="21"/>
                <w:szCs w:val="21"/>
                <w:lang w:val="en-GB"/>
              </w:rPr>
              <w:t xml:space="preserve">Regional Jobs and Investment Packages (RJIP): </w:t>
            </w:r>
            <w:r w:rsidRPr="001C0F00">
              <w:rPr>
                <w:rFonts w:asciiTheme="majorHAnsi" w:eastAsia="Times New Roman" w:hAnsiTheme="majorHAnsi" w:cstheme="majorHAnsi"/>
                <w:sz w:val="21"/>
                <w:szCs w:val="21"/>
                <w:lang w:val="en-GB"/>
              </w:rPr>
              <w:t xml:space="preserve">Funding packages for Australian regions to diversify their economies and support sustained growth and employment. Geelong is a pilot region; received $20million for </w:t>
            </w:r>
            <w:hyperlink r:id="rId34" w:history="1">
              <w:r w:rsidRPr="001C0F00">
                <w:rPr>
                  <w:rStyle w:val="Hyperlink"/>
                  <w:rFonts w:asciiTheme="majorHAnsi" w:eastAsia="Times New Roman" w:hAnsiTheme="majorHAnsi" w:cstheme="majorHAnsi"/>
                  <w:sz w:val="21"/>
                  <w:szCs w:val="21"/>
                  <w:lang w:val="en-GB"/>
                </w:rPr>
                <w:t>these projects.</w:t>
              </w:r>
            </w:hyperlink>
          </w:p>
          <w:p w14:paraId="77A292B5" w14:textId="50BF9A62" w:rsidR="778E395A" w:rsidRDefault="007320D6" w:rsidP="778E395A">
            <w:pPr>
              <w:rPr>
                <w:rFonts w:asciiTheme="majorHAnsi" w:hAnsiTheme="majorHAnsi" w:cstheme="majorBidi"/>
                <w:sz w:val="21"/>
                <w:szCs w:val="21"/>
                <w:lang w:val="en-GB"/>
              </w:rPr>
            </w:pPr>
            <w:hyperlink r:id="rId35">
              <w:r w:rsidR="00F00E3D" w:rsidRPr="778E395A">
                <w:rPr>
                  <w:rStyle w:val="Hyperlink"/>
                  <w:rFonts w:asciiTheme="majorHAnsi" w:eastAsia="Times New Roman" w:hAnsiTheme="majorHAnsi" w:cstheme="majorBidi"/>
                  <w:b/>
                  <w:bCs/>
                  <w:sz w:val="21"/>
                  <w:szCs w:val="21"/>
                  <w:lang w:val="en-GB"/>
                </w:rPr>
                <w:t>Regions at the Ready</w:t>
              </w:r>
            </w:hyperlink>
            <w:r w:rsidR="00F00E3D" w:rsidRPr="778E395A">
              <w:rPr>
                <w:rFonts w:asciiTheme="majorHAnsi" w:hAnsiTheme="majorHAnsi" w:cstheme="majorBidi"/>
              </w:rPr>
              <w:t xml:space="preserve">: </w:t>
            </w:r>
            <w:r w:rsidR="00F00E3D" w:rsidRPr="778E395A">
              <w:rPr>
                <w:rFonts w:asciiTheme="majorHAnsi" w:eastAsia="Times New Roman" w:hAnsiTheme="majorHAnsi" w:cstheme="majorBidi"/>
                <w:sz w:val="21"/>
                <w:szCs w:val="21"/>
                <w:lang w:val="en-GB"/>
              </w:rPr>
              <w:t>Report</w:t>
            </w:r>
            <w:r w:rsidR="71EAED78" w:rsidRPr="778E395A">
              <w:rPr>
                <w:rFonts w:asciiTheme="majorHAnsi" w:eastAsia="Times New Roman" w:hAnsiTheme="majorHAnsi" w:cstheme="majorBidi"/>
                <w:sz w:val="21"/>
                <w:szCs w:val="21"/>
                <w:lang w:val="en-GB"/>
              </w:rPr>
              <w:t>, Federal</w:t>
            </w:r>
            <w:r w:rsidR="00F00E3D" w:rsidRPr="778E395A">
              <w:rPr>
                <w:rFonts w:asciiTheme="majorHAnsi" w:eastAsia="Times New Roman" w:hAnsiTheme="majorHAnsi" w:cstheme="majorBidi"/>
                <w:sz w:val="21"/>
                <w:szCs w:val="21"/>
                <w:lang w:val="en-GB"/>
              </w:rPr>
              <w:t xml:space="preserve"> Inquiry </w:t>
            </w:r>
            <w:r w:rsidR="71EAED78" w:rsidRPr="778E395A">
              <w:rPr>
                <w:rFonts w:asciiTheme="majorHAnsi" w:eastAsia="Times New Roman" w:hAnsiTheme="majorHAnsi" w:cstheme="majorBidi"/>
                <w:sz w:val="21"/>
                <w:szCs w:val="21"/>
                <w:lang w:val="en-GB"/>
              </w:rPr>
              <w:t xml:space="preserve">by </w:t>
            </w:r>
            <w:r w:rsidR="00F00E3D" w:rsidRPr="778E395A">
              <w:rPr>
                <w:rFonts w:asciiTheme="majorHAnsi" w:eastAsia="Times New Roman" w:hAnsiTheme="majorHAnsi" w:cstheme="majorBidi"/>
                <w:sz w:val="21"/>
                <w:szCs w:val="21"/>
                <w:lang w:val="en-GB"/>
              </w:rPr>
              <w:t xml:space="preserve">Select Committee on Regional Development </w:t>
            </w:r>
            <w:r w:rsidR="71EAED78" w:rsidRPr="778E395A">
              <w:rPr>
                <w:rFonts w:asciiTheme="majorHAnsi" w:eastAsia="Times New Roman" w:hAnsiTheme="majorHAnsi" w:cstheme="majorBidi"/>
                <w:sz w:val="21"/>
                <w:szCs w:val="21"/>
                <w:lang w:val="en-GB"/>
              </w:rPr>
              <w:t>and</w:t>
            </w:r>
            <w:r w:rsidR="00F00E3D" w:rsidRPr="778E395A">
              <w:rPr>
                <w:rFonts w:asciiTheme="majorHAnsi" w:eastAsia="Times New Roman" w:hAnsiTheme="majorHAnsi" w:cstheme="majorBidi"/>
                <w:sz w:val="21"/>
                <w:szCs w:val="21"/>
                <w:lang w:val="en-GB"/>
              </w:rPr>
              <w:t xml:space="preserve"> Decentralisation. </w:t>
            </w:r>
          </w:p>
          <w:p w14:paraId="3BB69949" w14:textId="7E6B4D53" w:rsidR="00F00E3D" w:rsidRPr="00125378" w:rsidRDefault="00F00E3D" w:rsidP="009B2FA7">
            <w:pPr>
              <w:rPr>
                <w:rFonts w:asciiTheme="majorHAnsi" w:hAnsiTheme="majorHAnsi" w:cstheme="majorHAnsi"/>
                <w:sz w:val="21"/>
                <w:szCs w:val="21"/>
              </w:rPr>
            </w:pPr>
            <w:r w:rsidRPr="001C0F00">
              <w:rPr>
                <w:rFonts w:asciiTheme="majorHAnsi" w:eastAsia="Times New Roman" w:hAnsiTheme="majorHAnsi" w:cstheme="majorHAnsi"/>
                <w:b/>
                <w:bCs/>
                <w:sz w:val="21"/>
                <w:szCs w:val="21"/>
                <w:lang w:val="en-GB"/>
              </w:rPr>
              <w:t>Government Economic Plans (Annual Federal Budget)</w:t>
            </w:r>
            <w:r w:rsidRPr="001C0F00">
              <w:rPr>
                <w:rFonts w:asciiTheme="majorHAnsi" w:hAnsiTheme="majorHAnsi" w:cstheme="majorHAnsi"/>
                <w:sz w:val="21"/>
                <w:szCs w:val="21"/>
              </w:rPr>
              <w:t xml:space="preserve">: </w:t>
            </w:r>
            <w:r w:rsidRPr="001C0F00">
              <w:rPr>
                <w:rFonts w:asciiTheme="majorHAnsi" w:eastAsia="Times New Roman" w:hAnsiTheme="majorHAnsi" w:cstheme="majorHAnsi"/>
                <w:sz w:val="21"/>
                <w:szCs w:val="21"/>
                <w:lang w:val="en-GB"/>
              </w:rPr>
              <w:t xml:space="preserve">Initiatives to foster growth in regional areas and enable the government to deliver specific services. </w:t>
            </w:r>
          </w:p>
          <w:p w14:paraId="5383F8CA" w14:textId="4D8296FD" w:rsidR="00F00E3D" w:rsidRPr="002204B2" w:rsidRDefault="007320D6" w:rsidP="009B2FA7">
            <w:pPr>
              <w:rPr>
                <w:rFonts w:asciiTheme="majorHAnsi" w:hAnsiTheme="majorHAnsi" w:cstheme="majorHAnsi"/>
                <w:sz w:val="21"/>
                <w:szCs w:val="21"/>
              </w:rPr>
            </w:pPr>
            <w:hyperlink r:id="rId36">
              <w:r w:rsidR="00F00E3D" w:rsidRPr="001C0F00">
                <w:rPr>
                  <w:rStyle w:val="Hyperlink"/>
                  <w:rFonts w:asciiTheme="majorHAnsi" w:eastAsia="Times New Roman" w:hAnsiTheme="majorHAnsi" w:cstheme="majorHAnsi"/>
                  <w:b/>
                  <w:bCs/>
                  <w:sz w:val="21"/>
                  <w:szCs w:val="21"/>
                  <w:lang w:val="en-GB"/>
                </w:rPr>
                <w:t>Submission to Inquiry into Regional Australia</w:t>
              </w:r>
            </w:hyperlink>
            <w:r w:rsidR="00F00E3D" w:rsidRPr="001C0F00">
              <w:rPr>
                <w:rFonts w:asciiTheme="majorHAnsi" w:hAnsiTheme="majorHAnsi" w:cstheme="majorHAnsi"/>
              </w:rPr>
              <w:t xml:space="preserve">: </w:t>
            </w:r>
            <w:r w:rsidR="00F00E3D" w:rsidRPr="001C0F00">
              <w:rPr>
                <w:rFonts w:asciiTheme="majorHAnsi" w:eastAsia="Times New Roman" w:hAnsiTheme="majorHAnsi" w:cstheme="majorHAnsi"/>
                <w:sz w:val="21"/>
                <w:szCs w:val="21"/>
                <w:lang w:val="en-GB"/>
              </w:rPr>
              <w:t xml:space="preserve">Proposed that the four main industries most relevant to modern regional Australia are tourism, food processing, creative industries, and advanced manufacturing. </w:t>
            </w:r>
          </w:p>
          <w:p w14:paraId="6C6AD0B5" w14:textId="2BD958E5" w:rsidR="00F00E3D" w:rsidRPr="002204B2" w:rsidRDefault="007320D6" w:rsidP="009B2FA7">
            <w:pPr>
              <w:rPr>
                <w:rFonts w:asciiTheme="majorHAnsi" w:hAnsiTheme="majorHAnsi" w:cstheme="majorHAnsi"/>
                <w:sz w:val="21"/>
                <w:szCs w:val="21"/>
              </w:rPr>
            </w:pPr>
            <w:hyperlink r:id="rId37">
              <w:r w:rsidR="00F00E3D" w:rsidRPr="001C0F00">
                <w:rPr>
                  <w:rStyle w:val="Hyperlink"/>
                  <w:rFonts w:asciiTheme="majorHAnsi" w:eastAsia="Times New Roman" w:hAnsiTheme="majorHAnsi" w:cstheme="majorHAnsi"/>
                  <w:b/>
                  <w:bCs/>
                  <w:sz w:val="21"/>
                  <w:szCs w:val="21"/>
                  <w:lang w:val="en-GB"/>
                </w:rPr>
                <w:t>Future of Regional Jobs</w:t>
              </w:r>
            </w:hyperlink>
            <w:r w:rsidR="00F00E3D" w:rsidRPr="001C0F00">
              <w:rPr>
                <w:rStyle w:val="Hyperlink"/>
                <w:rFonts w:asciiTheme="majorHAnsi" w:eastAsia="Times New Roman" w:hAnsiTheme="majorHAnsi" w:cstheme="majorHAnsi"/>
                <w:b/>
                <w:bCs/>
                <w:sz w:val="21"/>
                <w:szCs w:val="21"/>
                <w:lang w:val="en-GB"/>
              </w:rPr>
              <w:t>:</w:t>
            </w:r>
            <w:r w:rsidR="00F00E3D" w:rsidRPr="001C0F00">
              <w:rPr>
                <w:rFonts w:asciiTheme="majorHAnsi" w:hAnsiTheme="majorHAnsi" w:cstheme="majorHAnsi"/>
              </w:rPr>
              <w:t xml:space="preserve"> </w:t>
            </w:r>
            <w:r w:rsidR="00F00E3D" w:rsidRPr="001C0F00">
              <w:rPr>
                <w:rFonts w:asciiTheme="majorHAnsi" w:eastAsia="Times New Roman" w:hAnsiTheme="majorHAnsi" w:cstheme="majorHAnsi"/>
                <w:sz w:val="21"/>
                <w:szCs w:val="21"/>
                <w:lang w:val="en-GB"/>
              </w:rPr>
              <w:t xml:space="preserve">Geelong is doing relatively well in increasing tertiary </w:t>
            </w:r>
            <w:r w:rsidR="006E2F24" w:rsidRPr="001C0F00">
              <w:rPr>
                <w:rFonts w:asciiTheme="majorHAnsi" w:eastAsia="Times New Roman" w:hAnsiTheme="majorHAnsi" w:cstheme="majorHAnsi"/>
                <w:sz w:val="21"/>
                <w:szCs w:val="21"/>
                <w:lang w:val="en-GB"/>
              </w:rPr>
              <w:t>qualifications and</w:t>
            </w:r>
            <w:r w:rsidR="00F00E3D" w:rsidRPr="001C0F00">
              <w:rPr>
                <w:rFonts w:asciiTheme="majorHAnsi" w:eastAsia="Times New Roman" w:hAnsiTheme="majorHAnsi" w:cstheme="majorHAnsi"/>
                <w:sz w:val="21"/>
                <w:szCs w:val="21"/>
                <w:lang w:val="en-GB"/>
              </w:rPr>
              <w:t xml:space="preserve"> is experiencing an increase in construction jobs. Regional Learning Systems are proposed as an approach to build jobs prosperity. </w:t>
            </w:r>
          </w:p>
          <w:p w14:paraId="180B8458" w14:textId="415ADC4A" w:rsidR="00F00E3D" w:rsidRPr="002204B2" w:rsidRDefault="007320D6" w:rsidP="009B2FA7">
            <w:pPr>
              <w:rPr>
                <w:rFonts w:asciiTheme="majorHAnsi" w:hAnsiTheme="majorHAnsi" w:cstheme="majorHAnsi"/>
                <w:sz w:val="21"/>
                <w:szCs w:val="21"/>
              </w:rPr>
            </w:pPr>
            <w:hyperlink r:id="rId38">
              <w:r w:rsidR="00F00E3D" w:rsidRPr="001C0F00">
                <w:rPr>
                  <w:rStyle w:val="Hyperlink"/>
                  <w:rFonts w:asciiTheme="majorHAnsi" w:eastAsia="Times New Roman" w:hAnsiTheme="majorHAnsi" w:cstheme="majorHAnsi"/>
                  <w:b/>
                  <w:bCs/>
                  <w:sz w:val="21"/>
                  <w:szCs w:val="21"/>
                  <w:lang w:val="en-GB"/>
                </w:rPr>
                <w:t>Decentralisation Policy</w:t>
              </w:r>
            </w:hyperlink>
            <w:r w:rsidR="00F00E3D" w:rsidRPr="001C0F00">
              <w:rPr>
                <w:rFonts w:asciiTheme="majorHAnsi" w:hAnsiTheme="majorHAnsi" w:cstheme="majorHAnsi"/>
              </w:rPr>
              <w:t xml:space="preserve">: </w:t>
            </w:r>
            <w:r w:rsidR="00F00E3D" w:rsidRPr="001C0F00">
              <w:rPr>
                <w:rFonts w:asciiTheme="majorHAnsi" w:eastAsia="Times New Roman" w:hAnsiTheme="majorHAnsi" w:cstheme="majorHAnsi"/>
                <w:sz w:val="21"/>
                <w:szCs w:val="21"/>
                <w:lang w:val="en-GB"/>
              </w:rPr>
              <w:t xml:space="preserve">Federal Government committed to decentralisation of Federal Agencies. Offers a general review of the advantages and challenges associated with this process. </w:t>
            </w:r>
          </w:p>
        </w:tc>
        <w:tc>
          <w:tcPr>
            <w:tcW w:w="3665" w:type="dxa"/>
            <w:tcBorders>
              <w:top w:val="single" w:sz="8" w:space="0" w:color="auto"/>
              <w:left w:val="single" w:sz="8" w:space="0" w:color="auto"/>
              <w:bottom w:val="single" w:sz="8" w:space="0" w:color="auto"/>
              <w:right w:val="single" w:sz="8" w:space="0" w:color="auto"/>
            </w:tcBorders>
          </w:tcPr>
          <w:p w14:paraId="0CE0DE91" w14:textId="23B610D4" w:rsidR="00F00E3D" w:rsidRPr="00C711E4" w:rsidRDefault="00F00E3D" w:rsidP="009B2FA7">
            <w:pPr>
              <w:rPr>
                <w:rFonts w:asciiTheme="majorHAnsi" w:hAnsiTheme="majorHAnsi" w:cstheme="majorHAnsi"/>
                <w:sz w:val="21"/>
                <w:szCs w:val="21"/>
              </w:rPr>
            </w:pPr>
            <w:r w:rsidRPr="00C711E4">
              <w:rPr>
                <w:rFonts w:asciiTheme="majorHAnsi" w:eastAsia="Times New Roman" w:hAnsiTheme="majorHAnsi" w:cstheme="majorHAnsi"/>
                <w:sz w:val="21"/>
                <w:szCs w:val="21"/>
                <w:lang w:val="en-GB"/>
              </w:rPr>
              <w:t>Key Geelong</w:t>
            </w:r>
            <w:r>
              <w:rPr>
                <w:rFonts w:asciiTheme="majorHAnsi" w:eastAsia="Times New Roman" w:hAnsiTheme="majorHAnsi" w:cstheme="majorHAnsi"/>
                <w:sz w:val="21"/>
                <w:szCs w:val="21"/>
                <w:lang w:val="en-GB"/>
              </w:rPr>
              <w:t xml:space="preserve"> agencies</w:t>
            </w:r>
            <w:r w:rsidRPr="00C711E4">
              <w:rPr>
                <w:rFonts w:asciiTheme="majorHAnsi" w:eastAsia="Times New Roman" w:hAnsiTheme="majorHAnsi" w:cstheme="majorHAnsi"/>
                <w:sz w:val="21"/>
                <w:szCs w:val="21"/>
                <w:lang w:val="en-GB"/>
              </w:rPr>
              <w:t xml:space="preserve"> </w:t>
            </w:r>
            <w:r>
              <w:rPr>
                <w:rFonts w:asciiTheme="majorHAnsi" w:eastAsia="Times New Roman" w:hAnsiTheme="majorHAnsi" w:cstheme="majorHAnsi"/>
                <w:sz w:val="21"/>
                <w:szCs w:val="21"/>
                <w:lang w:val="en-GB"/>
              </w:rPr>
              <w:t>(</w:t>
            </w:r>
            <w:r w:rsidRPr="00C711E4">
              <w:rPr>
                <w:rFonts w:asciiTheme="majorHAnsi" w:eastAsia="Times New Roman" w:hAnsiTheme="majorHAnsi" w:cstheme="majorHAnsi"/>
                <w:sz w:val="21"/>
                <w:szCs w:val="21"/>
                <w:lang w:val="en-GB"/>
              </w:rPr>
              <w:t>Matchworks, GForce</w:t>
            </w:r>
            <w:r>
              <w:rPr>
                <w:rFonts w:asciiTheme="majorHAnsi" w:eastAsia="Times New Roman" w:hAnsiTheme="majorHAnsi" w:cstheme="majorHAnsi"/>
                <w:sz w:val="21"/>
                <w:szCs w:val="21"/>
                <w:lang w:val="en-GB"/>
              </w:rPr>
              <w:t>,</w:t>
            </w:r>
            <w:r w:rsidRPr="00C711E4">
              <w:rPr>
                <w:rFonts w:asciiTheme="majorHAnsi" w:eastAsia="Times New Roman" w:hAnsiTheme="majorHAnsi" w:cstheme="majorHAnsi"/>
                <w:sz w:val="21"/>
                <w:szCs w:val="21"/>
                <w:lang w:val="en-GB"/>
              </w:rPr>
              <w:t xml:space="preserve"> Northern Futures</w:t>
            </w:r>
            <w:r>
              <w:rPr>
                <w:rFonts w:asciiTheme="majorHAnsi" w:eastAsia="Times New Roman" w:hAnsiTheme="majorHAnsi" w:cstheme="majorHAnsi"/>
                <w:sz w:val="21"/>
                <w:szCs w:val="21"/>
                <w:lang w:val="en-GB"/>
              </w:rPr>
              <w:t>)</w:t>
            </w:r>
            <w:r w:rsidRPr="00C711E4">
              <w:rPr>
                <w:rFonts w:asciiTheme="majorHAnsi" w:eastAsia="Times New Roman" w:hAnsiTheme="majorHAnsi" w:cstheme="majorHAnsi"/>
                <w:sz w:val="21"/>
                <w:szCs w:val="21"/>
                <w:lang w:val="en-GB"/>
              </w:rPr>
              <w:t xml:space="preserve"> provide services to </w:t>
            </w:r>
            <w:r w:rsidR="00006E5F">
              <w:rPr>
                <w:rFonts w:asciiTheme="majorHAnsi" w:eastAsia="Times New Roman" w:hAnsiTheme="majorHAnsi" w:cstheme="majorHAnsi"/>
                <w:sz w:val="21"/>
                <w:szCs w:val="21"/>
                <w:lang w:val="en-GB"/>
              </w:rPr>
              <w:t>various</w:t>
            </w:r>
            <w:r w:rsidRPr="00C711E4">
              <w:rPr>
                <w:rFonts w:asciiTheme="majorHAnsi" w:eastAsia="Times New Roman" w:hAnsiTheme="majorHAnsi" w:cstheme="majorHAnsi"/>
                <w:sz w:val="21"/>
                <w:szCs w:val="21"/>
                <w:lang w:val="en-GB"/>
              </w:rPr>
              <w:t xml:space="preserve"> unemployed </w:t>
            </w:r>
            <w:r>
              <w:rPr>
                <w:rFonts w:asciiTheme="majorHAnsi" w:eastAsia="Times New Roman" w:hAnsiTheme="majorHAnsi" w:cstheme="majorHAnsi"/>
                <w:sz w:val="21"/>
                <w:szCs w:val="21"/>
                <w:lang w:val="en-GB"/>
              </w:rPr>
              <w:t>groups.</w:t>
            </w:r>
          </w:p>
          <w:p w14:paraId="29C715CD" w14:textId="77777777" w:rsidR="00F00E3D" w:rsidRPr="00125378" w:rsidRDefault="00F00E3D" w:rsidP="009B2FA7">
            <w:pPr>
              <w:rPr>
                <w:rFonts w:asciiTheme="majorHAnsi" w:hAnsiTheme="majorHAnsi" w:cstheme="majorHAnsi"/>
                <w:sz w:val="8"/>
                <w:szCs w:val="8"/>
              </w:rPr>
            </w:pPr>
          </w:p>
          <w:p w14:paraId="559C2AFE" w14:textId="1D2C6BBA" w:rsidR="00F00E3D" w:rsidRPr="00C711E4" w:rsidRDefault="00125378" w:rsidP="009B2FA7">
            <w:pPr>
              <w:rPr>
                <w:rFonts w:asciiTheme="majorHAnsi" w:hAnsiTheme="majorHAnsi" w:cstheme="majorHAnsi"/>
                <w:sz w:val="21"/>
                <w:szCs w:val="21"/>
              </w:rPr>
            </w:pPr>
            <w:r>
              <w:rPr>
                <w:rFonts w:asciiTheme="majorHAnsi" w:eastAsia="Times New Roman" w:hAnsiTheme="majorHAnsi" w:cstheme="majorHAnsi"/>
                <w:sz w:val="21"/>
                <w:szCs w:val="21"/>
                <w:lang w:val="en-GB"/>
              </w:rPr>
              <w:t>L</w:t>
            </w:r>
            <w:r w:rsidR="00F00E3D">
              <w:rPr>
                <w:rFonts w:asciiTheme="majorHAnsi" w:eastAsia="Times New Roman" w:hAnsiTheme="majorHAnsi" w:cstheme="majorHAnsi"/>
                <w:sz w:val="21"/>
                <w:szCs w:val="21"/>
                <w:lang w:val="en-GB"/>
              </w:rPr>
              <w:t>ocal RJIP-funded projects:</w:t>
            </w:r>
            <w:r w:rsidR="00F00E3D" w:rsidRPr="00C711E4">
              <w:rPr>
                <w:rFonts w:asciiTheme="majorHAnsi" w:eastAsia="Times New Roman" w:hAnsiTheme="majorHAnsi" w:cstheme="majorHAnsi"/>
                <w:sz w:val="21"/>
                <w:szCs w:val="21"/>
                <w:lang w:val="en-GB"/>
              </w:rPr>
              <w:t xml:space="preserve"> $1.9</w:t>
            </w:r>
            <w:r w:rsidR="00F00E3D">
              <w:rPr>
                <w:rFonts w:asciiTheme="majorHAnsi" w:eastAsia="Times New Roman" w:hAnsiTheme="majorHAnsi" w:cstheme="majorHAnsi"/>
                <w:sz w:val="21"/>
                <w:szCs w:val="21"/>
                <w:lang w:val="en-GB"/>
              </w:rPr>
              <w:t>m</w:t>
            </w:r>
            <w:r w:rsidR="00F00E3D" w:rsidRPr="00C711E4">
              <w:rPr>
                <w:rFonts w:asciiTheme="majorHAnsi" w:eastAsia="Times New Roman" w:hAnsiTheme="majorHAnsi" w:cstheme="majorHAnsi"/>
                <w:sz w:val="21"/>
                <w:szCs w:val="21"/>
                <w:lang w:val="en-GB"/>
              </w:rPr>
              <w:t xml:space="preserve"> </w:t>
            </w:r>
            <w:r w:rsidR="00F00E3D">
              <w:rPr>
                <w:rFonts w:asciiTheme="majorHAnsi" w:eastAsia="Times New Roman" w:hAnsiTheme="majorHAnsi" w:cstheme="majorHAnsi"/>
                <w:sz w:val="21"/>
                <w:szCs w:val="21"/>
                <w:lang w:val="en-GB"/>
              </w:rPr>
              <w:t>for</w:t>
            </w:r>
            <w:r w:rsidR="00F00E3D" w:rsidRPr="00C711E4">
              <w:rPr>
                <w:rFonts w:asciiTheme="majorHAnsi" w:eastAsia="Times New Roman" w:hAnsiTheme="majorHAnsi" w:cstheme="majorHAnsi"/>
                <w:sz w:val="21"/>
                <w:szCs w:val="21"/>
                <w:lang w:val="en-GB"/>
              </w:rPr>
              <w:t xml:space="preserve"> advanced glass manufacturing i</w:t>
            </w:r>
            <w:r>
              <w:rPr>
                <w:rFonts w:asciiTheme="majorHAnsi" w:eastAsia="Times New Roman" w:hAnsiTheme="majorHAnsi" w:cstheme="majorHAnsi"/>
                <w:sz w:val="21"/>
                <w:szCs w:val="21"/>
                <w:lang w:val="en-GB"/>
              </w:rPr>
              <w:t xml:space="preserve">n </w:t>
            </w:r>
            <w:r w:rsidR="00F00E3D">
              <w:rPr>
                <w:rFonts w:asciiTheme="majorHAnsi" w:eastAsia="Times New Roman" w:hAnsiTheme="majorHAnsi" w:cstheme="majorHAnsi"/>
                <w:sz w:val="21"/>
                <w:szCs w:val="21"/>
                <w:lang w:val="en-GB"/>
              </w:rPr>
              <w:t xml:space="preserve">north </w:t>
            </w:r>
            <w:r w:rsidR="00F00E3D" w:rsidRPr="00C711E4">
              <w:rPr>
                <w:rFonts w:asciiTheme="majorHAnsi" w:eastAsia="Times New Roman" w:hAnsiTheme="majorHAnsi" w:cstheme="majorHAnsi"/>
                <w:sz w:val="21"/>
                <w:szCs w:val="21"/>
                <w:lang w:val="en-GB"/>
              </w:rPr>
              <w:t>Geelong; $162</w:t>
            </w:r>
            <w:r w:rsidR="00F00E3D">
              <w:rPr>
                <w:rFonts w:asciiTheme="majorHAnsi" w:eastAsia="Times New Roman" w:hAnsiTheme="majorHAnsi" w:cstheme="majorHAnsi"/>
                <w:sz w:val="21"/>
                <w:szCs w:val="21"/>
                <w:lang w:val="en-GB"/>
              </w:rPr>
              <w:t>,</w:t>
            </w:r>
            <w:r w:rsidR="00F00E3D" w:rsidRPr="00C711E4">
              <w:rPr>
                <w:rFonts w:asciiTheme="majorHAnsi" w:eastAsia="Times New Roman" w:hAnsiTheme="majorHAnsi" w:cstheme="majorHAnsi"/>
                <w:sz w:val="21"/>
                <w:szCs w:val="21"/>
                <w:lang w:val="en-GB"/>
              </w:rPr>
              <w:t xml:space="preserve">000 </w:t>
            </w:r>
            <w:r w:rsidR="00F00E3D">
              <w:rPr>
                <w:rFonts w:asciiTheme="majorHAnsi" w:eastAsia="Times New Roman" w:hAnsiTheme="majorHAnsi" w:cstheme="majorHAnsi"/>
                <w:sz w:val="21"/>
                <w:szCs w:val="21"/>
                <w:lang w:val="en-GB"/>
              </w:rPr>
              <w:t xml:space="preserve">for </w:t>
            </w:r>
            <w:r>
              <w:rPr>
                <w:rFonts w:asciiTheme="majorHAnsi" w:eastAsia="Times New Roman" w:hAnsiTheme="majorHAnsi" w:cstheme="majorHAnsi"/>
                <w:sz w:val="21"/>
                <w:szCs w:val="21"/>
                <w:lang w:val="en-GB"/>
              </w:rPr>
              <w:t xml:space="preserve">Moolap </w:t>
            </w:r>
            <w:r w:rsidR="00F00E3D" w:rsidRPr="00C711E4">
              <w:rPr>
                <w:rFonts w:asciiTheme="majorHAnsi" w:eastAsia="Times New Roman" w:hAnsiTheme="majorHAnsi" w:cstheme="majorHAnsi"/>
                <w:sz w:val="21"/>
                <w:szCs w:val="21"/>
                <w:lang w:val="en-GB"/>
              </w:rPr>
              <w:t>wood briquette plant</w:t>
            </w:r>
            <w:r w:rsidR="00F00E3D">
              <w:rPr>
                <w:rFonts w:asciiTheme="majorHAnsi" w:eastAsia="Times New Roman" w:hAnsiTheme="majorHAnsi" w:cstheme="majorHAnsi"/>
                <w:sz w:val="21"/>
                <w:szCs w:val="21"/>
                <w:lang w:val="en-GB"/>
              </w:rPr>
              <w:t>;</w:t>
            </w:r>
            <w:r w:rsidR="00F00E3D" w:rsidRPr="00C711E4">
              <w:rPr>
                <w:rFonts w:asciiTheme="majorHAnsi" w:eastAsia="Times New Roman" w:hAnsiTheme="majorHAnsi" w:cstheme="majorHAnsi"/>
                <w:sz w:val="21"/>
                <w:szCs w:val="21"/>
                <w:lang w:val="en-GB"/>
              </w:rPr>
              <w:t xml:space="preserve"> $95</w:t>
            </w:r>
            <w:r w:rsidR="00F00E3D">
              <w:rPr>
                <w:rFonts w:asciiTheme="majorHAnsi" w:eastAsia="Times New Roman" w:hAnsiTheme="majorHAnsi" w:cstheme="majorHAnsi"/>
                <w:sz w:val="21"/>
                <w:szCs w:val="21"/>
                <w:lang w:val="en-GB"/>
              </w:rPr>
              <w:t>,</w:t>
            </w:r>
            <w:r w:rsidR="00F00E3D" w:rsidRPr="00C711E4">
              <w:rPr>
                <w:rFonts w:asciiTheme="majorHAnsi" w:eastAsia="Times New Roman" w:hAnsiTheme="majorHAnsi" w:cstheme="majorHAnsi"/>
                <w:sz w:val="21"/>
                <w:szCs w:val="21"/>
                <w:lang w:val="en-GB"/>
              </w:rPr>
              <w:t xml:space="preserve">000 </w:t>
            </w:r>
            <w:r w:rsidR="00F00E3D">
              <w:rPr>
                <w:rFonts w:asciiTheme="majorHAnsi" w:eastAsia="Times New Roman" w:hAnsiTheme="majorHAnsi" w:cstheme="majorHAnsi"/>
                <w:sz w:val="21"/>
                <w:szCs w:val="21"/>
                <w:lang w:val="en-GB"/>
              </w:rPr>
              <w:t>for</w:t>
            </w:r>
            <w:r w:rsidR="00F00E3D" w:rsidRPr="00C711E4">
              <w:rPr>
                <w:rFonts w:asciiTheme="majorHAnsi" w:eastAsia="Times New Roman" w:hAnsiTheme="majorHAnsi" w:cstheme="majorHAnsi"/>
                <w:sz w:val="21"/>
                <w:szCs w:val="21"/>
                <w:lang w:val="en-GB"/>
              </w:rPr>
              <w:t xml:space="preserve"> </w:t>
            </w:r>
            <w:r>
              <w:rPr>
                <w:rFonts w:asciiTheme="majorHAnsi" w:eastAsia="Times New Roman" w:hAnsiTheme="majorHAnsi" w:cstheme="majorHAnsi"/>
                <w:sz w:val="21"/>
                <w:szCs w:val="21"/>
                <w:lang w:val="en-GB"/>
              </w:rPr>
              <w:t xml:space="preserve">Norlane </w:t>
            </w:r>
            <w:r w:rsidR="00F00E3D" w:rsidRPr="00C711E4">
              <w:rPr>
                <w:rFonts w:asciiTheme="majorHAnsi" w:eastAsia="Times New Roman" w:hAnsiTheme="majorHAnsi" w:cstheme="majorHAnsi"/>
                <w:sz w:val="21"/>
                <w:szCs w:val="21"/>
                <w:lang w:val="en-GB"/>
              </w:rPr>
              <w:t>maintenance and innovation facility</w:t>
            </w:r>
            <w:r>
              <w:rPr>
                <w:rFonts w:asciiTheme="majorHAnsi" w:eastAsia="Times New Roman" w:hAnsiTheme="majorHAnsi" w:cstheme="majorHAnsi"/>
                <w:sz w:val="21"/>
                <w:szCs w:val="21"/>
                <w:lang w:val="en-GB"/>
              </w:rPr>
              <w:t>.</w:t>
            </w:r>
          </w:p>
          <w:p w14:paraId="6782FCD2" w14:textId="377EED0F" w:rsidR="00F00E3D" w:rsidRPr="00C711E4" w:rsidRDefault="00F00E3D" w:rsidP="778E395A">
            <w:pPr>
              <w:rPr>
                <w:rFonts w:asciiTheme="majorHAnsi" w:hAnsiTheme="majorHAnsi" w:cstheme="majorBidi"/>
                <w:sz w:val="21"/>
                <w:szCs w:val="21"/>
              </w:rPr>
            </w:pPr>
            <w:r w:rsidRPr="778E395A">
              <w:rPr>
                <w:rFonts w:asciiTheme="majorHAnsi" w:eastAsia="Times New Roman" w:hAnsiTheme="majorHAnsi" w:cstheme="majorBidi"/>
                <w:sz w:val="21"/>
                <w:szCs w:val="21"/>
                <w:lang w:val="en-GB"/>
              </w:rPr>
              <w:t xml:space="preserve">One small Norlane project (trucking innovation), two in nearby suburbs. </w:t>
            </w:r>
          </w:p>
          <w:p w14:paraId="05ABBA87" w14:textId="1BF6D5C8" w:rsidR="778E395A" w:rsidRDefault="778E395A" w:rsidP="778E395A">
            <w:pPr>
              <w:rPr>
                <w:rFonts w:asciiTheme="majorHAnsi" w:hAnsiTheme="majorHAnsi" w:cstheme="majorBidi"/>
                <w:lang w:val="en-GB"/>
              </w:rPr>
            </w:pPr>
          </w:p>
          <w:p w14:paraId="7C55B9E9" w14:textId="361C74B8" w:rsidR="00F00E3D" w:rsidRPr="00C711E4" w:rsidRDefault="00F00E3D" w:rsidP="009B2FA7">
            <w:pPr>
              <w:rPr>
                <w:rFonts w:asciiTheme="majorHAnsi" w:hAnsiTheme="majorHAnsi" w:cstheme="majorBidi"/>
                <w:sz w:val="21"/>
                <w:szCs w:val="21"/>
              </w:rPr>
            </w:pPr>
            <w:r w:rsidRPr="701B9583">
              <w:rPr>
                <w:rFonts w:asciiTheme="majorHAnsi" w:eastAsia="Times New Roman" w:hAnsiTheme="majorHAnsi" w:cstheme="majorBidi"/>
                <w:sz w:val="21"/>
                <w:szCs w:val="21"/>
                <w:lang w:val="en-GB"/>
              </w:rPr>
              <w:t xml:space="preserve">Geelong cited as a successful </w:t>
            </w:r>
            <w:r w:rsidR="00125378" w:rsidRPr="701B9583">
              <w:rPr>
                <w:rFonts w:asciiTheme="majorHAnsi" w:eastAsia="Times New Roman" w:hAnsiTheme="majorHAnsi" w:cstheme="majorBidi"/>
                <w:sz w:val="21"/>
                <w:szCs w:val="21"/>
                <w:lang w:val="en-GB"/>
              </w:rPr>
              <w:t xml:space="preserve">decentralisation </w:t>
            </w:r>
            <w:r w:rsidRPr="701B9583">
              <w:rPr>
                <w:rFonts w:asciiTheme="majorHAnsi" w:eastAsia="Times New Roman" w:hAnsiTheme="majorHAnsi" w:cstheme="majorBidi"/>
                <w:sz w:val="21"/>
                <w:szCs w:val="21"/>
                <w:lang w:val="en-GB"/>
              </w:rPr>
              <w:t xml:space="preserve">case study </w:t>
            </w:r>
            <w:r w:rsidR="00125378" w:rsidRPr="701B9583">
              <w:rPr>
                <w:rFonts w:asciiTheme="majorHAnsi" w:eastAsia="Times New Roman" w:hAnsiTheme="majorHAnsi" w:cstheme="majorBidi"/>
                <w:sz w:val="21"/>
                <w:szCs w:val="21"/>
                <w:lang w:val="en-GB"/>
              </w:rPr>
              <w:t>(</w:t>
            </w:r>
            <w:r w:rsidRPr="701B9583">
              <w:rPr>
                <w:rFonts w:asciiTheme="majorHAnsi" w:eastAsia="Times New Roman" w:hAnsiTheme="majorHAnsi" w:cstheme="majorBidi"/>
                <w:sz w:val="21"/>
                <w:szCs w:val="21"/>
                <w:lang w:val="en-GB"/>
              </w:rPr>
              <w:t>social insurance</w:t>
            </w:r>
            <w:r w:rsidR="008F5E2C" w:rsidRPr="701B9583">
              <w:rPr>
                <w:rFonts w:asciiTheme="majorHAnsi" w:eastAsia="Times New Roman" w:hAnsiTheme="majorHAnsi" w:cstheme="majorBidi"/>
                <w:sz w:val="21"/>
                <w:szCs w:val="21"/>
                <w:lang w:val="en-GB"/>
              </w:rPr>
              <w:t xml:space="preserve"> hub</w:t>
            </w:r>
            <w:r w:rsidR="00125378" w:rsidRPr="701B9583">
              <w:rPr>
                <w:rFonts w:asciiTheme="majorHAnsi" w:eastAsia="Times New Roman" w:hAnsiTheme="majorHAnsi" w:cstheme="majorBidi"/>
                <w:sz w:val="21"/>
                <w:szCs w:val="21"/>
                <w:lang w:val="en-GB"/>
              </w:rPr>
              <w:t>)</w:t>
            </w:r>
            <w:r w:rsidRPr="701B9583">
              <w:rPr>
                <w:rFonts w:asciiTheme="majorHAnsi" w:eastAsia="Times New Roman" w:hAnsiTheme="majorHAnsi" w:cstheme="majorBidi"/>
                <w:sz w:val="21"/>
                <w:szCs w:val="21"/>
                <w:lang w:val="en-GB"/>
              </w:rPr>
              <w:t>.</w:t>
            </w:r>
            <w:r w:rsidR="008F5E2C" w:rsidRPr="701B9583">
              <w:rPr>
                <w:rFonts w:asciiTheme="majorHAnsi" w:hAnsiTheme="majorHAnsi" w:cstheme="majorBidi"/>
                <w:sz w:val="21"/>
                <w:szCs w:val="21"/>
              </w:rPr>
              <w:t xml:space="preserve"> </w:t>
            </w:r>
            <w:r w:rsidRPr="701B9583">
              <w:rPr>
                <w:rFonts w:asciiTheme="majorHAnsi" w:eastAsia="Times New Roman" w:hAnsiTheme="majorHAnsi" w:cstheme="majorBidi"/>
                <w:sz w:val="21"/>
                <w:szCs w:val="21"/>
                <w:lang w:val="en-GB"/>
              </w:rPr>
              <w:t xml:space="preserve">NDIS Geelong cited as well-timed decentralisation process. </w:t>
            </w:r>
          </w:p>
        </w:tc>
      </w:tr>
      <w:tr w:rsidR="00F00E3D" w:rsidRPr="00386CF2" w14:paraId="63BCC189" w14:textId="77777777" w:rsidTr="778E395A">
        <w:trPr>
          <w:trHeight w:val="122"/>
        </w:trPr>
        <w:tc>
          <w:tcPr>
            <w:tcW w:w="983" w:type="dxa"/>
            <w:tcBorders>
              <w:top w:val="single" w:sz="8" w:space="0" w:color="auto"/>
              <w:left w:val="single" w:sz="8" w:space="0" w:color="auto"/>
              <w:bottom w:val="single" w:sz="8" w:space="0" w:color="auto"/>
              <w:right w:val="single" w:sz="8" w:space="0" w:color="auto"/>
            </w:tcBorders>
          </w:tcPr>
          <w:p w14:paraId="071AE642" w14:textId="77777777" w:rsidR="00F00E3D" w:rsidRDefault="00F00E3D" w:rsidP="009B2FA7">
            <w:pPr>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mc:AlternateContent>
                <mc:Choice Requires="wps">
                  <w:drawing>
                    <wp:anchor distT="45720" distB="45720" distL="114300" distR="114300" simplePos="0" relativeHeight="251658264" behindDoc="0" locked="0" layoutInCell="1" allowOverlap="1" wp14:anchorId="7003D33F" wp14:editId="35EEBBC8">
                      <wp:simplePos x="0" y="0"/>
                      <wp:positionH relativeFrom="column">
                        <wp:posOffset>-554990</wp:posOffset>
                      </wp:positionH>
                      <wp:positionV relativeFrom="paragraph">
                        <wp:posOffset>850900</wp:posOffset>
                      </wp:positionV>
                      <wp:extent cx="1555115" cy="341630"/>
                      <wp:effectExtent l="0" t="0" r="4127"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5115" cy="341630"/>
                              </a:xfrm>
                              <a:prstGeom prst="rect">
                                <a:avLst/>
                              </a:prstGeom>
                              <a:noFill/>
                              <a:ln w="9525">
                                <a:noFill/>
                                <a:miter lim="800000"/>
                                <a:headEnd/>
                                <a:tailEnd/>
                              </a:ln>
                            </wps:spPr>
                            <wps:txbx>
                              <w:txbxContent>
                                <w:p w14:paraId="54598FEE" w14:textId="77777777" w:rsidR="00063AC8" w:rsidRPr="004200CF" w:rsidRDefault="00063AC8" w:rsidP="009B2FA7">
                                  <w:pPr>
                                    <w:jc w:val="right"/>
                                    <w:rPr>
                                      <w:b/>
                                      <w:bCs/>
                                      <w:color w:val="595959" w:themeColor="text1" w:themeTint="A6"/>
                                    </w:rPr>
                                  </w:pPr>
                                  <w:r>
                                    <w:rPr>
                                      <w:b/>
                                      <w:bCs/>
                                      <w:color w:val="595959" w:themeColor="text1" w:themeTint="A6"/>
                                    </w:rPr>
                                    <w:t>HEALTH &amp;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3D33F" id="_x0000_s1036" type="#_x0000_t202" style="position:absolute;margin-left:-43.7pt;margin-top:67pt;width:122.45pt;height:26.9pt;rotation:-90;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" filled="f" stroked="f">
                      <v:textbox>
                        <w:txbxContent>
                          <w:p w14:paraId="54598FEE" w14:textId="77777777" w:rsidR="00063AC8" w:rsidRPr="004200CF" w:rsidRDefault="00063AC8" w:rsidP="009B2FA7">
                            <w:pPr>
                              <w:jc w:val="right"/>
                              <w:rPr>
                                <w:b/>
                                <w:bCs/>
                                <w:color w:val="595959" w:themeColor="text1" w:themeTint="A6"/>
                              </w:rPr>
                            </w:pPr>
                            <w:r>
                              <w:rPr>
                                <w:b/>
                                <w:bCs/>
                                <w:color w:val="595959" w:themeColor="text1" w:themeTint="A6"/>
                              </w:rPr>
                              <w:t>HEALTH &amp; WELLBEING</w:t>
                            </w:r>
                          </w:p>
                        </w:txbxContent>
                      </v:textbox>
                      <w10:wrap type="square"/>
                    </v:shape>
                  </w:pict>
                </mc:Fallback>
              </mc:AlternateContent>
            </w:r>
          </w:p>
          <w:p w14:paraId="2E0019EA" w14:textId="77777777" w:rsidR="00F00E3D" w:rsidRPr="00C711E4" w:rsidRDefault="00F00E3D" w:rsidP="009B2FA7">
            <w:pPr>
              <w:rPr>
                <w:rFonts w:asciiTheme="majorHAnsi" w:hAnsiTheme="majorHAnsi" w:cstheme="majorHAnsi"/>
                <w:sz w:val="21"/>
                <w:szCs w:val="21"/>
              </w:rPr>
            </w:pPr>
          </w:p>
        </w:tc>
        <w:tc>
          <w:tcPr>
            <w:tcW w:w="9922" w:type="dxa"/>
            <w:tcBorders>
              <w:top w:val="single" w:sz="8" w:space="0" w:color="auto"/>
              <w:left w:val="single" w:sz="8" w:space="0" w:color="auto"/>
              <w:bottom w:val="single" w:sz="8" w:space="0" w:color="auto"/>
              <w:right w:val="single" w:sz="8" w:space="0" w:color="auto"/>
            </w:tcBorders>
          </w:tcPr>
          <w:p w14:paraId="6EC8E5CA" w14:textId="6E8F6E61" w:rsidR="00F00E3D" w:rsidRPr="00006E5F" w:rsidRDefault="007320D6" w:rsidP="009B2FA7">
            <w:pPr>
              <w:rPr>
                <w:rFonts w:asciiTheme="majorHAnsi" w:hAnsiTheme="majorHAnsi" w:cstheme="majorHAnsi"/>
                <w:sz w:val="21"/>
                <w:szCs w:val="21"/>
              </w:rPr>
            </w:pPr>
            <w:hyperlink r:id="rId39">
              <w:r w:rsidR="00F00E3D" w:rsidRPr="00C711E4">
                <w:rPr>
                  <w:rStyle w:val="Hyperlink"/>
                  <w:rFonts w:asciiTheme="majorHAnsi" w:eastAsia="Times New Roman" w:hAnsiTheme="majorHAnsi" w:cstheme="majorHAnsi"/>
                  <w:b/>
                  <w:bCs/>
                  <w:sz w:val="21"/>
                  <w:szCs w:val="21"/>
                </w:rPr>
                <w:t>National Strategic Framework for Rural and Remote Health</w:t>
              </w:r>
            </w:hyperlink>
            <w:r w:rsidR="00F00E3D" w:rsidRPr="00C711E4">
              <w:rPr>
                <w:rFonts w:asciiTheme="majorHAnsi" w:hAnsiTheme="majorHAnsi" w:cstheme="majorHAnsi"/>
                <w:sz w:val="21"/>
                <w:szCs w:val="21"/>
              </w:rPr>
              <w:t xml:space="preserve">: </w:t>
            </w:r>
            <w:r w:rsidR="00F00E3D" w:rsidRPr="00C711E4">
              <w:rPr>
                <w:rFonts w:asciiTheme="majorHAnsi" w:eastAsia="Times New Roman" w:hAnsiTheme="majorHAnsi" w:cstheme="majorHAnsi"/>
                <w:sz w:val="21"/>
                <w:szCs w:val="21"/>
              </w:rPr>
              <w:t>Aims to support policy development. Identified five key outcome measures: access; service models and models of care; health workforce; collaborative partnerships/local planning;</w:t>
            </w:r>
            <w:r w:rsidR="00F00E3D">
              <w:rPr>
                <w:rFonts w:asciiTheme="majorHAnsi" w:eastAsia="Times New Roman" w:hAnsiTheme="majorHAnsi" w:cstheme="majorHAnsi"/>
                <w:sz w:val="21"/>
                <w:szCs w:val="21"/>
              </w:rPr>
              <w:t xml:space="preserve"> and</w:t>
            </w:r>
            <w:r w:rsidR="00F00E3D" w:rsidRPr="00C711E4">
              <w:rPr>
                <w:rFonts w:asciiTheme="majorHAnsi" w:eastAsia="Times New Roman" w:hAnsiTheme="majorHAnsi" w:cstheme="majorHAnsi"/>
                <w:sz w:val="21"/>
                <w:szCs w:val="21"/>
              </w:rPr>
              <w:t xml:space="preserve"> strong leadership/governance/transparency/performance.</w:t>
            </w:r>
          </w:p>
          <w:p w14:paraId="0942FFBB" w14:textId="03910C3F" w:rsidR="00F00E3D" w:rsidRPr="00006E5F" w:rsidRDefault="007320D6" w:rsidP="009B2FA7">
            <w:pPr>
              <w:rPr>
                <w:rFonts w:asciiTheme="majorHAnsi" w:hAnsiTheme="majorHAnsi" w:cstheme="majorHAnsi"/>
                <w:sz w:val="21"/>
                <w:szCs w:val="21"/>
              </w:rPr>
            </w:pPr>
            <w:hyperlink r:id="rId40">
              <w:r w:rsidR="00F00E3D" w:rsidRPr="00C711E4">
                <w:rPr>
                  <w:rStyle w:val="Hyperlink"/>
                  <w:rFonts w:asciiTheme="majorHAnsi" w:eastAsia="Times New Roman" w:hAnsiTheme="majorHAnsi" w:cstheme="majorHAnsi"/>
                  <w:b/>
                  <w:bCs/>
                  <w:sz w:val="21"/>
                  <w:szCs w:val="21"/>
                </w:rPr>
                <w:t>Stronger Rural Health Strategy</w:t>
              </w:r>
            </w:hyperlink>
            <w:r w:rsidR="00F00E3D" w:rsidRPr="00C711E4">
              <w:rPr>
                <w:rFonts w:asciiTheme="majorHAnsi" w:eastAsia="Times New Roman" w:hAnsiTheme="majorHAnsi" w:cstheme="majorHAnsi"/>
                <w:sz w:val="21"/>
                <w:szCs w:val="21"/>
              </w:rPr>
              <w:t>:</w:t>
            </w:r>
            <w:r w:rsidR="00F00E3D" w:rsidRPr="00C711E4">
              <w:rPr>
                <w:rFonts w:asciiTheme="majorHAnsi" w:eastAsia="Times New Roman" w:hAnsiTheme="majorHAnsi" w:cstheme="majorHAnsi"/>
                <w:b/>
                <w:bCs/>
                <w:sz w:val="21"/>
                <w:szCs w:val="21"/>
              </w:rPr>
              <w:t xml:space="preserve"> </w:t>
            </w:r>
            <w:r w:rsidR="00F00E3D" w:rsidRPr="00C711E4">
              <w:rPr>
                <w:rFonts w:asciiTheme="majorHAnsi" w:eastAsia="Times New Roman" w:hAnsiTheme="majorHAnsi" w:cstheme="majorHAnsi"/>
                <w:sz w:val="21"/>
                <w:szCs w:val="21"/>
              </w:rPr>
              <w:t>Aims to ensure workforce is distributed across the country according to need. Includes greater focus on nursing and allied health contribution</w:t>
            </w:r>
            <w:r w:rsidR="00006E5F">
              <w:rPr>
                <w:rFonts w:asciiTheme="majorHAnsi" w:eastAsia="Times New Roman" w:hAnsiTheme="majorHAnsi" w:cstheme="majorHAnsi"/>
                <w:sz w:val="21"/>
                <w:szCs w:val="21"/>
              </w:rPr>
              <w:t>s</w:t>
            </w:r>
            <w:r w:rsidR="00F00E3D" w:rsidRPr="00C711E4">
              <w:rPr>
                <w:rFonts w:asciiTheme="majorHAnsi" w:eastAsia="Times New Roman" w:hAnsiTheme="majorHAnsi" w:cstheme="majorHAnsi"/>
                <w:sz w:val="21"/>
                <w:szCs w:val="21"/>
              </w:rPr>
              <w:t xml:space="preserve"> to multidisciplinary team model of primary care. </w:t>
            </w:r>
          </w:p>
          <w:p w14:paraId="7A4B4251" w14:textId="77777777" w:rsidR="008F5E2C" w:rsidRDefault="007320D6" w:rsidP="009B2FA7">
            <w:pPr>
              <w:rPr>
                <w:rFonts w:asciiTheme="majorHAnsi" w:eastAsia="Times New Roman" w:hAnsiTheme="majorHAnsi" w:cstheme="majorHAnsi"/>
                <w:b/>
                <w:bCs/>
                <w:sz w:val="21"/>
                <w:szCs w:val="21"/>
              </w:rPr>
            </w:pPr>
            <w:hyperlink r:id="rId41">
              <w:r w:rsidR="00F00E3D" w:rsidRPr="00C711E4">
                <w:rPr>
                  <w:rStyle w:val="Hyperlink"/>
                  <w:rFonts w:asciiTheme="majorHAnsi" w:eastAsia="Times New Roman" w:hAnsiTheme="majorHAnsi" w:cstheme="majorHAnsi"/>
                  <w:b/>
                  <w:bCs/>
                  <w:sz w:val="21"/>
                  <w:szCs w:val="21"/>
                </w:rPr>
                <w:t>National Preventative Health Strategies</w:t>
              </w:r>
            </w:hyperlink>
            <w:r w:rsidR="00F00E3D" w:rsidRPr="00C711E4">
              <w:rPr>
                <w:rFonts w:asciiTheme="majorHAnsi" w:hAnsiTheme="majorHAnsi" w:cstheme="majorHAnsi"/>
                <w:sz w:val="21"/>
                <w:szCs w:val="21"/>
              </w:rPr>
              <w:t xml:space="preserve">: </w:t>
            </w:r>
            <w:r w:rsidR="00F00E3D" w:rsidRPr="00C711E4">
              <w:rPr>
                <w:rFonts w:asciiTheme="majorHAnsi" w:eastAsia="Times New Roman" w:hAnsiTheme="majorHAnsi" w:cstheme="majorHAnsi"/>
                <w:sz w:val="21"/>
                <w:szCs w:val="21"/>
              </w:rPr>
              <w:t>Aims to help all Australians improve health across life span via early intervention, better information, and targeting risk factors. Rural and remote consultation held December 2019. Key factors: attracting an appropriate workforce, move away from sickness model to health model.</w:t>
            </w:r>
          </w:p>
          <w:p w14:paraId="15A4BE3E" w14:textId="544932CE" w:rsidR="008F5E2C" w:rsidRPr="008F5E2C" w:rsidRDefault="008F5E2C" w:rsidP="008F5E2C">
            <w:pPr>
              <w:spacing w:after="0"/>
              <w:rPr>
                <w:rFonts w:asciiTheme="majorHAnsi" w:eastAsia="Times New Roman" w:hAnsiTheme="majorHAnsi" w:cstheme="majorBidi"/>
                <w:sz w:val="21"/>
                <w:szCs w:val="21"/>
              </w:rPr>
            </w:pPr>
            <w:r w:rsidRPr="701B9583">
              <w:rPr>
                <w:rFonts w:asciiTheme="majorHAnsi" w:eastAsia="Times New Roman" w:hAnsiTheme="majorHAnsi" w:cstheme="majorBidi"/>
                <w:b/>
                <w:sz w:val="21"/>
                <w:szCs w:val="21"/>
              </w:rPr>
              <w:t xml:space="preserve">National Disability Insurance Scheme: </w:t>
            </w:r>
            <w:r w:rsidRPr="701B9583">
              <w:rPr>
                <w:rFonts w:asciiTheme="majorHAnsi" w:eastAsia="Times New Roman" w:hAnsiTheme="majorHAnsi" w:cstheme="majorBidi"/>
                <w:sz w:val="21"/>
                <w:szCs w:val="21"/>
              </w:rPr>
              <w:t>Additional tailored support for people with disability.</w:t>
            </w:r>
          </w:p>
          <w:p w14:paraId="3FFD02EB" w14:textId="401121E1" w:rsidR="00F00E3D" w:rsidRPr="008F5E2C" w:rsidRDefault="007320D6" w:rsidP="009B2FA7">
            <w:pPr>
              <w:rPr>
                <w:rFonts w:asciiTheme="majorHAnsi" w:eastAsia="Times New Roman" w:hAnsiTheme="majorHAnsi" w:cstheme="majorHAnsi"/>
                <w:sz w:val="21"/>
                <w:szCs w:val="21"/>
              </w:rPr>
            </w:pPr>
            <w:hyperlink r:id="rId42">
              <w:r w:rsidR="00F00E3D" w:rsidRPr="00C711E4">
                <w:rPr>
                  <w:rStyle w:val="Hyperlink"/>
                  <w:rFonts w:asciiTheme="majorHAnsi" w:eastAsia="Times New Roman" w:hAnsiTheme="majorHAnsi" w:cstheme="majorHAnsi"/>
                  <w:b/>
                  <w:bCs/>
                  <w:sz w:val="21"/>
                  <w:szCs w:val="21"/>
                </w:rPr>
                <w:t>National Mental Health and Suicide Prevention Plan</w:t>
              </w:r>
            </w:hyperlink>
            <w:r w:rsidR="00F00E3D" w:rsidRPr="00C711E4">
              <w:rPr>
                <w:rStyle w:val="Hyperlink"/>
                <w:rFonts w:asciiTheme="majorHAnsi" w:eastAsia="Times New Roman" w:hAnsiTheme="majorHAnsi" w:cstheme="majorHAnsi"/>
                <w:b/>
                <w:bCs/>
                <w:sz w:val="21"/>
                <w:szCs w:val="21"/>
              </w:rPr>
              <w:t>:</w:t>
            </w:r>
            <w:r w:rsidR="00F00E3D" w:rsidRPr="00C711E4">
              <w:rPr>
                <w:rFonts w:asciiTheme="majorHAnsi" w:eastAsia="Times New Roman" w:hAnsiTheme="majorHAnsi" w:cstheme="majorHAnsi"/>
                <w:b/>
                <w:bCs/>
                <w:color w:val="0000FF"/>
                <w:sz w:val="21"/>
                <w:szCs w:val="21"/>
                <w:u w:val="single"/>
              </w:rPr>
              <w:t xml:space="preserve"> </w:t>
            </w:r>
            <w:r w:rsidR="00F00E3D" w:rsidRPr="00C711E4">
              <w:rPr>
                <w:rFonts w:asciiTheme="majorHAnsi" w:eastAsia="Times New Roman" w:hAnsiTheme="majorHAnsi" w:cstheme="majorHAnsi"/>
                <w:sz w:val="21"/>
                <w:szCs w:val="21"/>
              </w:rPr>
              <w:t>A key outcome of the fifth plan is achieving integrated regional planning and service delivery. To be achieved by guiding LHNs and PHNs to develop joint regional plans.</w:t>
            </w:r>
          </w:p>
        </w:tc>
        <w:tc>
          <w:tcPr>
            <w:tcW w:w="3665" w:type="dxa"/>
            <w:tcBorders>
              <w:top w:val="single" w:sz="8" w:space="0" w:color="auto"/>
              <w:left w:val="single" w:sz="8" w:space="0" w:color="auto"/>
              <w:bottom w:val="single" w:sz="8" w:space="0" w:color="auto"/>
              <w:right w:val="single" w:sz="8" w:space="0" w:color="auto"/>
            </w:tcBorders>
          </w:tcPr>
          <w:p w14:paraId="217447D9" w14:textId="77777777" w:rsidR="00F00E3D" w:rsidRPr="00C711E4" w:rsidRDefault="00F00E3D" w:rsidP="009B2FA7">
            <w:pPr>
              <w:rPr>
                <w:rFonts w:asciiTheme="majorHAnsi" w:hAnsiTheme="majorHAnsi" w:cstheme="majorHAnsi"/>
                <w:sz w:val="21"/>
                <w:szCs w:val="21"/>
              </w:rPr>
            </w:pPr>
            <w:r w:rsidRPr="00C711E4">
              <w:rPr>
                <w:rFonts w:asciiTheme="majorHAnsi" w:eastAsia="Times New Roman" w:hAnsiTheme="majorHAnsi" w:cstheme="majorHAnsi"/>
                <w:sz w:val="21"/>
                <w:szCs w:val="21"/>
                <w:lang w:val="en-GB"/>
              </w:rPr>
              <w:t xml:space="preserve">Overarching frameworks to influence all regional health services. </w:t>
            </w:r>
          </w:p>
          <w:p w14:paraId="04F50AF4" w14:textId="77777777" w:rsidR="00F00E3D" w:rsidRPr="00C711E4" w:rsidRDefault="00F00E3D" w:rsidP="009B2FA7">
            <w:pPr>
              <w:rPr>
                <w:rFonts w:asciiTheme="majorHAnsi" w:hAnsiTheme="majorHAnsi" w:cstheme="majorHAnsi"/>
                <w:sz w:val="21"/>
                <w:szCs w:val="21"/>
              </w:rPr>
            </w:pPr>
            <w:r w:rsidRPr="00C711E4">
              <w:rPr>
                <w:rFonts w:asciiTheme="majorHAnsi" w:eastAsia="Times New Roman" w:hAnsiTheme="majorHAnsi" w:cstheme="majorHAnsi"/>
                <w:sz w:val="21"/>
                <w:szCs w:val="21"/>
                <w:lang w:val="en-GB"/>
              </w:rPr>
              <w:t xml:space="preserve"> </w:t>
            </w:r>
          </w:p>
          <w:p w14:paraId="47B1F22E" w14:textId="77777777" w:rsidR="00F00E3D" w:rsidRPr="00C711E4" w:rsidRDefault="00F00E3D" w:rsidP="009B2FA7">
            <w:pPr>
              <w:rPr>
                <w:rFonts w:asciiTheme="majorHAnsi" w:hAnsiTheme="majorHAnsi" w:cstheme="majorHAnsi"/>
                <w:sz w:val="21"/>
                <w:szCs w:val="21"/>
              </w:rPr>
            </w:pPr>
            <w:r w:rsidRPr="00C711E4">
              <w:rPr>
                <w:rFonts w:asciiTheme="majorHAnsi" w:eastAsia="Times New Roman" w:hAnsiTheme="majorHAnsi" w:cstheme="majorHAnsi"/>
                <w:sz w:val="21"/>
                <w:szCs w:val="21"/>
                <w:lang w:val="en-GB"/>
              </w:rPr>
              <w:t xml:space="preserve"> </w:t>
            </w:r>
          </w:p>
          <w:p w14:paraId="10A4A9C1" w14:textId="77777777" w:rsidR="00F00E3D" w:rsidRPr="00C711E4" w:rsidRDefault="00F00E3D" w:rsidP="009B2FA7">
            <w:pPr>
              <w:rPr>
                <w:rFonts w:asciiTheme="majorHAnsi" w:hAnsiTheme="majorHAnsi" w:cstheme="majorHAnsi"/>
                <w:sz w:val="21"/>
                <w:szCs w:val="21"/>
              </w:rPr>
            </w:pPr>
            <w:r w:rsidRPr="00C711E4">
              <w:rPr>
                <w:rFonts w:asciiTheme="majorHAnsi" w:eastAsia="Times New Roman" w:hAnsiTheme="majorHAnsi" w:cstheme="majorHAnsi"/>
                <w:sz w:val="21"/>
                <w:szCs w:val="21"/>
                <w:lang w:val="en-GB"/>
              </w:rPr>
              <w:t xml:space="preserve"> </w:t>
            </w:r>
          </w:p>
          <w:p w14:paraId="1810F8D4" w14:textId="77777777" w:rsidR="00F00E3D" w:rsidRPr="00C711E4" w:rsidRDefault="00F00E3D" w:rsidP="009B2FA7">
            <w:pPr>
              <w:rPr>
                <w:rFonts w:asciiTheme="majorHAnsi" w:hAnsiTheme="majorHAnsi" w:cstheme="majorHAnsi"/>
                <w:sz w:val="21"/>
                <w:szCs w:val="21"/>
              </w:rPr>
            </w:pPr>
            <w:r w:rsidRPr="778E395A">
              <w:rPr>
                <w:rFonts w:asciiTheme="majorHAnsi" w:eastAsia="Times New Roman" w:hAnsiTheme="majorHAnsi" w:cstheme="majorBidi"/>
                <w:sz w:val="21"/>
                <w:szCs w:val="21"/>
                <w:lang w:val="en-GB"/>
              </w:rPr>
              <w:t xml:space="preserve"> </w:t>
            </w:r>
          </w:p>
          <w:p w14:paraId="16076DB6" w14:textId="0A59E25A" w:rsidR="778E395A" w:rsidRDefault="778E395A" w:rsidP="778E395A">
            <w:pPr>
              <w:rPr>
                <w:rFonts w:asciiTheme="majorHAnsi" w:eastAsia="Times New Roman" w:hAnsiTheme="majorHAnsi" w:cstheme="majorBidi"/>
                <w:sz w:val="21"/>
                <w:szCs w:val="21"/>
                <w:lang w:val="en-GB"/>
              </w:rPr>
            </w:pPr>
          </w:p>
          <w:p w14:paraId="755E1801" w14:textId="5CEFB730" w:rsidR="778E395A" w:rsidRDefault="778E395A" w:rsidP="778E395A">
            <w:pPr>
              <w:rPr>
                <w:rFonts w:asciiTheme="majorHAnsi" w:eastAsia="Times New Roman" w:hAnsiTheme="majorHAnsi" w:cstheme="majorBidi"/>
                <w:sz w:val="21"/>
                <w:szCs w:val="21"/>
                <w:lang w:val="en-GB"/>
              </w:rPr>
            </w:pPr>
          </w:p>
          <w:p w14:paraId="622FEDA5" w14:textId="1A80DB3F" w:rsidR="00F00E3D" w:rsidRPr="008F5E2C" w:rsidRDefault="008F5E2C" w:rsidP="009B2FA7">
            <w:pPr>
              <w:rPr>
                <w:rFonts w:asciiTheme="majorHAnsi" w:hAnsiTheme="majorHAnsi" w:cstheme="majorHAnsi"/>
                <w:sz w:val="21"/>
                <w:szCs w:val="21"/>
              </w:rPr>
            </w:pPr>
            <w:r>
              <w:rPr>
                <w:rFonts w:asciiTheme="majorHAnsi" w:eastAsia="Times New Roman" w:hAnsiTheme="majorHAnsi" w:cstheme="majorHAnsi"/>
                <w:sz w:val="21"/>
                <w:szCs w:val="21"/>
                <w:lang w:val="en-GB"/>
              </w:rPr>
              <w:t>Many</w:t>
            </w:r>
            <w:r w:rsidRPr="00C711E4">
              <w:rPr>
                <w:rFonts w:asciiTheme="majorHAnsi" w:eastAsia="Times New Roman" w:hAnsiTheme="majorHAnsi" w:cstheme="majorHAnsi"/>
                <w:sz w:val="21"/>
                <w:szCs w:val="21"/>
                <w:lang w:val="en-GB"/>
              </w:rPr>
              <w:t xml:space="preserve"> NDIS clients</w:t>
            </w:r>
            <w:r>
              <w:rPr>
                <w:rFonts w:asciiTheme="majorHAnsi" w:eastAsia="Times New Roman" w:hAnsiTheme="majorHAnsi" w:cstheme="majorHAnsi"/>
                <w:sz w:val="21"/>
                <w:szCs w:val="21"/>
                <w:lang w:val="en-GB"/>
              </w:rPr>
              <w:t xml:space="preserve"> living</w:t>
            </w:r>
            <w:r w:rsidRPr="00C711E4">
              <w:rPr>
                <w:rFonts w:asciiTheme="majorHAnsi" w:eastAsia="Times New Roman" w:hAnsiTheme="majorHAnsi" w:cstheme="majorHAnsi"/>
                <w:sz w:val="21"/>
                <w:szCs w:val="21"/>
                <w:lang w:val="en-GB"/>
              </w:rPr>
              <w:t xml:space="preserve"> </w:t>
            </w:r>
            <w:r>
              <w:rPr>
                <w:rFonts w:asciiTheme="majorHAnsi" w:eastAsia="Times New Roman" w:hAnsiTheme="majorHAnsi" w:cstheme="majorHAnsi"/>
                <w:sz w:val="21"/>
                <w:szCs w:val="21"/>
                <w:lang w:val="en-GB"/>
              </w:rPr>
              <w:t xml:space="preserve">in </w:t>
            </w:r>
            <w:r w:rsidRPr="00C711E4">
              <w:rPr>
                <w:rFonts w:asciiTheme="majorHAnsi" w:eastAsia="Times New Roman" w:hAnsiTheme="majorHAnsi" w:cstheme="majorHAnsi"/>
                <w:sz w:val="21"/>
                <w:szCs w:val="21"/>
                <w:lang w:val="en-GB"/>
              </w:rPr>
              <w:t>Corio, Norlane</w:t>
            </w:r>
            <w:r>
              <w:rPr>
                <w:rFonts w:asciiTheme="majorHAnsi" w:eastAsia="Times New Roman" w:hAnsiTheme="majorHAnsi" w:cstheme="majorHAnsi"/>
                <w:sz w:val="21"/>
                <w:szCs w:val="21"/>
                <w:lang w:val="en-GB"/>
              </w:rPr>
              <w:t>,</w:t>
            </w:r>
            <w:r w:rsidRPr="00C711E4">
              <w:rPr>
                <w:rFonts w:asciiTheme="majorHAnsi" w:eastAsia="Times New Roman" w:hAnsiTheme="majorHAnsi" w:cstheme="majorHAnsi"/>
                <w:sz w:val="21"/>
                <w:szCs w:val="21"/>
                <w:lang w:val="en-GB"/>
              </w:rPr>
              <w:t xml:space="preserve"> and Whittington</w:t>
            </w:r>
            <w:r>
              <w:rPr>
                <w:rFonts w:asciiTheme="majorHAnsi" w:eastAsia="Times New Roman" w:hAnsiTheme="majorHAnsi" w:cstheme="majorHAnsi"/>
                <w:sz w:val="21"/>
                <w:szCs w:val="21"/>
                <w:lang w:val="en-GB"/>
              </w:rPr>
              <w:t>.</w:t>
            </w:r>
          </w:p>
        </w:tc>
      </w:tr>
      <w:tr w:rsidR="00F00E3D" w:rsidRPr="00386CF2" w14:paraId="241DA291" w14:textId="77777777" w:rsidTr="778E395A">
        <w:trPr>
          <w:trHeight w:val="1059"/>
        </w:trPr>
        <w:tc>
          <w:tcPr>
            <w:tcW w:w="983" w:type="dxa"/>
            <w:tcBorders>
              <w:top w:val="single" w:sz="8" w:space="0" w:color="auto"/>
              <w:left w:val="single" w:sz="8" w:space="0" w:color="auto"/>
              <w:bottom w:val="single" w:sz="8" w:space="0" w:color="auto"/>
              <w:right w:val="single" w:sz="8" w:space="0" w:color="auto"/>
            </w:tcBorders>
          </w:tcPr>
          <w:p w14:paraId="5B598281" w14:textId="77777777" w:rsidR="00F00E3D" w:rsidRPr="00C711E4" w:rsidRDefault="00F00E3D" w:rsidP="009B2FA7">
            <w:pPr>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w:lastRenderedPageBreak/>
              <mc:AlternateContent>
                <mc:Choice Requires="wps">
                  <w:drawing>
                    <wp:anchor distT="45720" distB="45720" distL="114300" distR="114300" simplePos="0" relativeHeight="251658267" behindDoc="0" locked="0" layoutInCell="1" allowOverlap="1" wp14:anchorId="79A83D64" wp14:editId="22A6C2EC">
                      <wp:simplePos x="0" y="0"/>
                      <wp:positionH relativeFrom="column">
                        <wp:posOffset>-563880</wp:posOffset>
                      </wp:positionH>
                      <wp:positionV relativeFrom="paragraph">
                        <wp:posOffset>964565</wp:posOffset>
                      </wp:positionV>
                      <wp:extent cx="1555115" cy="341630"/>
                      <wp:effectExtent l="0" t="0" r="4127"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5115" cy="341630"/>
                              </a:xfrm>
                              <a:prstGeom prst="rect">
                                <a:avLst/>
                              </a:prstGeom>
                              <a:noFill/>
                              <a:ln w="9525">
                                <a:noFill/>
                                <a:miter lim="800000"/>
                                <a:headEnd/>
                                <a:tailEnd/>
                              </a:ln>
                            </wps:spPr>
                            <wps:txbx>
                              <w:txbxContent>
                                <w:p w14:paraId="3C4B1315" w14:textId="77777777" w:rsidR="00063AC8" w:rsidRPr="004200CF" w:rsidRDefault="00063AC8" w:rsidP="009B2FA7">
                                  <w:pPr>
                                    <w:jc w:val="right"/>
                                    <w:rPr>
                                      <w:b/>
                                      <w:bCs/>
                                      <w:color w:val="595959" w:themeColor="text1" w:themeTint="A6"/>
                                    </w:rPr>
                                  </w:pPr>
                                  <w:r>
                                    <w:rPr>
                                      <w:b/>
                                      <w:bCs/>
                                      <w:color w:val="595959" w:themeColor="text1" w:themeTint="A6"/>
                                    </w:rPr>
                                    <w:t>LIVEABILTY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83D64" id="_x0000_s1037" type="#_x0000_t202" style="position:absolute;margin-left:-44.4pt;margin-top:75.95pt;width:122.45pt;height:26.9pt;rotation:-90;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" filled="f" stroked="f">
                      <v:textbox>
                        <w:txbxContent>
                          <w:p w14:paraId="3C4B1315" w14:textId="77777777" w:rsidR="00063AC8" w:rsidRPr="004200CF" w:rsidRDefault="00063AC8" w:rsidP="009B2FA7">
                            <w:pPr>
                              <w:jc w:val="right"/>
                              <w:rPr>
                                <w:b/>
                                <w:bCs/>
                                <w:color w:val="595959" w:themeColor="text1" w:themeTint="A6"/>
                              </w:rPr>
                            </w:pPr>
                            <w:r>
                              <w:rPr>
                                <w:b/>
                                <w:bCs/>
                                <w:color w:val="595959" w:themeColor="text1" w:themeTint="A6"/>
                              </w:rPr>
                              <w:t>LIVEABILTY</w:t>
                            </w:r>
                          </w:p>
                        </w:txbxContent>
                      </v:textbox>
                      <w10:wrap type="square"/>
                    </v:shape>
                  </w:pict>
                </mc:Fallback>
              </mc:AlternateContent>
            </w:r>
          </w:p>
        </w:tc>
        <w:tc>
          <w:tcPr>
            <w:tcW w:w="9922" w:type="dxa"/>
            <w:tcBorders>
              <w:top w:val="single" w:sz="8" w:space="0" w:color="auto"/>
              <w:left w:val="single" w:sz="8" w:space="0" w:color="auto"/>
              <w:bottom w:val="single" w:sz="8" w:space="0" w:color="auto"/>
              <w:right w:val="single" w:sz="8" w:space="0" w:color="auto"/>
            </w:tcBorders>
          </w:tcPr>
          <w:p w14:paraId="0A43A3AD" w14:textId="188AD6AC" w:rsidR="00F00E3D" w:rsidRDefault="00F00E3D" w:rsidP="00006E5F">
            <w:pPr>
              <w:spacing w:after="0"/>
              <w:rPr>
                <w:rFonts w:asciiTheme="majorHAnsi" w:hAnsiTheme="majorHAnsi" w:cstheme="majorHAnsi"/>
                <w:sz w:val="21"/>
                <w:szCs w:val="21"/>
              </w:rPr>
            </w:pPr>
            <w:r w:rsidRPr="00E305D7">
              <w:rPr>
                <w:rFonts w:asciiTheme="majorHAnsi" w:eastAsia="Times New Roman" w:hAnsiTheme="majorHAnsi" w:cstheme="majorHAnsi"/>
                <w:b/>
                <w:bCs/>
                <w:sz w:val="21"/>
                <w:szCs w:val="21"/>
                <w:lang w:val="en-GB"/>
              </w:rPr>
              <w:t xml:space="preserve">City Deal: </w:t>
            </w:r>
            <w:r w:rsidRPr="00E305D7">
              <w:rPr>
                <w:rFonts w:asciiTheme="majorHAnsi" w:eastAsia="Times New Roman" w:hAnsiTheme="majorHAnsi" w:cstheme="majorHAnsi"/>
                <w:sz w:val="21"/>
                <w:szCs w:val="21"/>
                <w:lang w:val="en-GB"/>
              </w:rPr>
              <w:t>Formal agreements across all three levels of government to develop “place-based” partnerships to stimulate growth, employment, and urban renewal</w:t>
            </w:r>
            <w:r>
              <w:rPr>
                <w:rFonts w:asciiTheme="majorHAnsi" w:eastAsia="Times New Roman" w:hAnsiTheme="majorHAnsi" w:cstheme="majorHAnsi"/>
                <w:sz w:val="21"/>
                <w:szCs w:val="21"/>
                <w:lang w:val="en-GB"/>
              </w:rPr>
              <w:t>;</w:t>
            </w:r>
            <w:r w:rsidRPr="00E305D7">
              <w:rPr>
                <w:rFonts w:asciiTheme="majorHAnsi" w:eastAsia="Times New Roman" w:hAnsiTheme="majorHAnsi" w:cstheme="majorHAnsi"/>
                <w:sz w:val="21"/>
                <w:szCs w:val="21"/>
                <w:lang w:val="en-GB"/>
              </w:rPr>
              <w:t xml:space="preserve"> $382.48 million over 10 years. </w:t>
            </w:r>
          </w:p>
          <w:p w14:paraId="215A49A5" w14:textId="77777777" w:rsidR="00006E5F" w:rsidRPr="00006E5F" w:rsidRDefault="00006E5F" w:rsidP="009B2FA7">
            <w:pPr>
              <w:rPr>
                <w:rFonts w:asciiTheme="majorHAnsi" w:hAnsiTheme="majorHAnsi" w:cstheme="majorHAnsi"/>
                <w:sz w:val="8"/>
                <w:szCs w:val="8"/>
              </w:rPr>
            </w:pPr>
          </w:p>
          <w:p w14:paraId="50812F3F" w14:textId="44774D5D" w:rsidR="00F00E3D" w:rsidRPr="008F5E2C" w:rsidRDefault="00F00E3D" w:rsidP="009B2FA7">
            <w:pPr>
              <w:rPr>
                <w:rFonts w:asciiTheme="majorHAnsi" w:hAnsiTheme="majorHAnsi" w:cstheme="majorHAnsi"/>
                <w:sz w:val="21"/>
                <w:szCs w:val="21"/>
              </w:rPr>
            </w:pPr>
            <w:r w:rsidRPr="00E305D7">
              <w:rPr>
                <w:rFonts w:asciiTheme="majorHAnsi" w:eastAsia="Times New Roman" w:hAnsiTheme="majorHAnsi" w:cstheme="majorHAnsi"/>
                <w:b/>
                <w:bCs/>
                <w:sz w:val="21"/>
                <w:szCs w:val="21"/>
                <w:lang w:val="en-GB"/>
              </w:rPr>
              <w:t>National Cities Performance Framework</w:t>
            </w:r>
            <w:r w:rsidRPr="00E305D7">
              <w:rPr>
                <w:rFonts w:asciiTheme="majorHAnsi" w:hAnsiTheme="majorHAnsi" w:cstheme="majorHAnsi"/>
                <w:sz w:val="21"/>
                <w:szCs w:val="21"/>
              </w:rPr>
              <w:t xml:space="preserve">: </w:t>
            </w:r>
            <w:r w:rsidRPr="00E305D7">
              <w:rPr>
                <w:rFonts w:asciiTheme="majorHAnsi" w:eastAsia="Times New Roman" w:hAnsiTheme="majorHAnsi" w:cstheme="majorHAnsi"/>
                <w:sz w:val="21"/>
                <w:szCs w:val="21"/>
                <w:lang w:val="en-GB"/>
              </w:rPr>
              <w:t>Geelong is included</w:t>
            </w:r>
            <w:r w:rsidR="008F5E2C">
              <w:rPr>
                <w:rFonts w:asciiTheme="majorHAnsi" w:eastAsia="Times New Roman" w:hAnsiTheme="majorHAnsi" w:cstheme="majorHAnsi"/>
                <w:sz w:val="21"/>
                <w:szCs w:val="21"/>
                <w:lang w:val="en-GB"/>
              </w:rPr>
              <w:t xml:space="preserve">. This </w:t>
            </w:r>
            <w:r w:rsidRPr="00E305D7">
              <w:rPr>
                <w:rFonts w:asciiTheme="majorHAnsi" w:eastAsia="Times New Roman" w:hAnsiTheme="majorHAnsi" w:cstheme="majorHAnsi"/>
                <w:sz w:val="21"/>
                <w:szCs w:val="21"/>
                <w:lang w:val="en-GB"/>
              </w:rPr>
              <w:t>framework</w:t>
            </w:r>
            <w:r w:rsidR="008F5E2C">
              <w:rPr>
                <w:rFonts w:asciiTheme="majorHAnsi" w:eastAsia="Times New Roman" w:hAnsiTheme="majorHAnsi" w:cstheme="majorHAnsi"/>
                <w:sz w:val="21"/>
                <w:szCs w:val="21"/>
                <w:lang w:val="en-GB"/>
              </w:rPr>
              <w:t xml:space="preserve"> </w:t>
            </w:r>
            <w:r w:rsidRPr="00E305D7">
              <w:rPr>
                <w:rFonts w:asciiTheme="majorHAnsi" w:eastAsia="Times New Roman" w:hAnsiTheme="majorHAnsi" w:cstheme="majorHAnsi"/>
                <w:sz w:val="21"/>
                <w:szCs w:val="21"/>
                <w:lang w:val="en-GB"/>
              </w:rPr>
              <w:t>measures performance on jobs and skills, housing, infrastructure, liveability, innovation</w:t>
            </w:r>
            <w:r w:rsidR="00006E5F">
              <w:rPr>
                <w:rFonts w:asciiTheme="majorHAnsi" w:eastAsia="Times New Roman" w:hAnsiTheme="majorHAnsi" w:cstheme="majorHAnsi"/>
                <w:sz w:val="21"/>
                <w:szCs w:val="21"/>
                <w:lang w:val="en-GB"/>
              </w:rPr>
              <w:t>,</w:t>
            </w:r>
            <w:r w:rsidRPr="00E305D7">
              <w:rPr>
                <w:rFonts w:asciiTheme="majorHAnsi" w:eastAsia="Times New Roman" w:hAnsiTheme="majorHAnsi" w:cstheme="majorHAnsi"/>
                <w:sz w:val="21"/>
                <w:szCs w:val="21"/>
                <w:lang w:val="en-GB"/>
              </w:rPr>
              <w:t xml:space="preserve"> and planning. Data dashboard </w:t>
            </w:r>
            <w:hyperlink r:id="rId43">
              <w:r w:rsidRPr="00E305D7">
                <w:rPr>
                  <w:rStyle w:val="Hyperlink"/>
                  <w:rFonts w:asciiTheme="majorHAnsi" w:eastAsia="Times New Roman" w:hAnsiTheme="majorHAnsi" w:cstheme="majorHAnsi"/>
                  <w:sz w:val="21"/>
                  <w:szCs w:val="21"/>
                  <w:lang w:val="en-GB"/>
                </w:rPr>
                <w:t>here</w:t>
              </w:r>
            </w:hyperlink>
            <w:r w:rsidRPr="00E305D7">
              <w:rPr>
                <w:rFonts w:asciiTheme="majorHAnsi" w:eastAsia="Times New Roman" w:hAnsiTheme="majorHAnsi" w:cstheme="majorHAnsi"/>
                <w:sz w:val="21"/>
                <w:szCs w:val="21"/>
                <w:lang w:val="en-GB"/>
              </w:rPr>
              <w:t xml:space="preserve">. Regional databases on economic growth, household wealth, educational qualifications, occupations, income, and social capital </w:t>
            </w:r>
            <w:hyperlink r:id="rId44" w:history="1">
              <w:r w:rsidRPr="00E305D7">
                <w:rPr>
                  <w:rStyle w:val="Hyperlink"/>
                  <w:rFonts w:asciiTheme="majorHAnsi" w:eastAsia="Times New Roman" w:hAnsiTheme="majorHAnsi" w:cstheme="majorHAnsi"/>
                  <w:sz w:val="21"/>
                  <w:szCs w:val="21"/>
                  <w:lang w:val="en-GB"/>
                </w:rPr>
                <w:t>here</w:t>
              </w:r>
            </w:hyperlink>
            <w:r w:rsidRPr="00E305D7">
              <w:rPr>
                <w:rFonts w:asciiTheme="majorHAnsi" w:eastAsia="Times New Roman" w:hAnsiTheme="majorHAnsi" w:cstheme="majorHAnsi"/>
                <w:sz w:val="21"/>
                <w:szCs w:val="21"/>
                <w:lang w:val="en-GB"/>
              </w:rPr>
              <w:t>.</w:t>
            </w:r>
          </w:p>
          <w:p w14:paraId="65B22D82" w14:textId="2FDFCFE3" w:rsidR="00F00E3D" w:rsidRPr="008F5E2C" w:rsidRDefault="00F00E3D" w:rsidP="009B2FA7">
            <w:pPr>
              <w:rPr>
                <w:rFonts w:asciiTheme="majorHAnsi" w:hAnsiTheme="majorHAnsi" w:cstheme="majorHAnsi"/>
                <w:sz w:val="21"/>
                <w:szCs w:val="21"/>
              </w:rPr>
            </w:pPr>
            <w:r w:rsidRPr="00E305D7">
              <w:rPr>
                <w:rFonts w:asciiTheme="majorHAnsi" w:eastAsia="Times New Roman" w:hAnsiTheme="majorHAnsi" w:cstheme="majorHAnsi"/>
                <w:b/>
                <w:bCs/>
                <w:sz w:val="21"/>
                <w:szCs w:val="21"/>
                <w:lang w:val="en-GB"/>
              </w:rPr>
              <w:t>Roads to Recovery Program</w:t>
            </w:r>
            <w:r w:rsidRPr="00E305D7">
              <w:rPr>
                <w:rFonts w:asciiTheme="majorHAnsi" w:eastAsia="Times New Roman" w:hAnsiTheme="majorHAnsi" w:cstheme="majorHAnsi"/>
                <w:sz w:val="21"/>
                <w:szCs w:val="21"/>
                <w:lang w:val="en-GB"/>
              </w:rPr>
              <w:t>: Supports road maintenance to enable safety</w:t>
            </w:r>
            <w:r>
              <w:rPr>
                <w:rFonts w:asciiTheme="majorHAnsi" w:eastAsia="Times New Roman" w:hAnsiTheme="majorHAnsi" w:cstheme="majorHAnsi"/>
                <w:sz w:val="21"/>
                <w:szCs w:val="21"/>
                <w:lang w:val="en-GB"/>
              </w:rPr>
              <w:t>,</w:t>
            </w:r>
            <w:r w:rsidRPr="00E305D7">
              <w:rPr>
                <w:rFonts w:asciiTheme="majorHAnsi" w:eastAsia="Times New Roman" w:hAnsiTheme="majorHAnsi" w:cstheme="majorHAnsi"/>
                <w:sz w:val="21"/>
                <w:szCs w:val="21"/>
                <w:lang w:val="en-GB"/>
              </w:rPr>
              <w:t xml:space="preserve"> social, and economic outcomes. Geelong to receive $10.9 million over life of project. </w:t>
            </w:r>
          </w:p>
          <w:p w14:paraId="3F41B205" w14:textId="38370EE8" w:rsidR="00F00E3D" w:rsidRPr="008F5E2C" w:rsidRDefault="00F00E3D" w:rsidP="009B2FA7">
            <w:pPr>
              <w:rPr>
                <w:rFonts w:asciiTheme="majorHAnsi" w:hAnsiTheme="majorHAnsi" w:cstheme="majorHAnsi"/>
                <w:sz w:val="21"/>
                <w:szCs w:val="21"/>
              </w:rPr>
            </w:pPr>
            <w:r w:rsidRPr="00E305D7">
              <w:rPr>
                <w:rFonts w:asciiTheme="majorHAnsi" w:eastAsia="Times New Roman" w:hAnsiTheme="majorHAnsi" w:cstheme="majorHAnsi"/>
                <w:b/>
                <w:bCs/>
                <w:sz w:val="21"/>
                <w:szCs w:val="21"/>
                <w:lang w:val="en-GB"/>
              </w:rPr>
              <w:t>Regional Rail Revival Package</w:t>
            </w:r>
            <w:r w:rsidRPr="00E305D7">
              <w:rPr>
                <w:rFonts w:asciiTheme="majorHAnsi" w:hAnsiTheme="majorHAnsi" w:cstheme="majorHAnsi"/>
                <w:sz w:val="21"/>
                <w:szCs w:val="21"/>
              </w:rPr>
              <w:t xml:space="preserve">: </w:t>
            </w:r>
            <w:r w:rsidRPr="00E305D7">
              <w:rPr>
                <w:rFonts w:asciiTheme="majorHAnsi" w:eastAsia="Times New Roman" w:hAnsiTheme="majorHAnsi" w:cstheme="majorHAnsi"/>
                <w:sz w:val="21"/>
                <w:szCs w:val="21"/>
                <w:lang w:val="en-GB"/>
              </w:rPr>
              <w:t>$10 million for Geelong Rail Line Upgrade (planned Armstrong Creek corridor extension).</w:t>
            </w:r>
          </w:p>
          <w:p w14:paraId="6E974102" w14:textId="2A33F3DE" w:rsidR="00F00E3D" w:rsidRPr="008F5E2C" w:rsidRDefault="00F00E3D" w:rsidP="009B2FA7">
            <w:pPr>
              <w:rPr>
                <w:rFonts w:asciiTheme="majorHAnsi" w:hAnsiTheme="majorHAnsi" w:cstheme="majorHAnsi"/>
                <w:sz w:val="21"/>
                <w:szCs w:val="21"/>
              </w:rPr>
            </w:pPr>
            <w:r w:rsidRPr="00E305D7">
              <w:rPr>
                <w:rFonts w:asciiTheme="majorHAnsi" w:eastAsia="Times New Roman" w:hAnsiTheme="majorHAnsi" w:cstheme="majorHAnsi"/>
                <w:b/>
                <w:bCs/>
                <w:sz w:val="21"/>
                <w:szCs w:val="21"/>
                <w:lang w:val="en-GB"/>
              </w:rPr>
              <w:t>National Urban Policy</w:t>
            </w:r>
            <w:r w:rsidRPr="00E305D7">
              <w:rPr>
                <w:rFonts w:asciiTheme="majorHAnsi" w:hAnsiTheme="majorHAnsi" w:cstheme="majorHAnsi"/>
                <w:sz w:val="21"/>
                <w:szCs w:val="21"/>
              </w:rPr>
              <w:t xml:space="preserve">: </w:t>
            </w:r>
            <w:r w:rsidRPr="00E305D7">
              <w:rPr>
                <w:rFonts w:asciiTheme="majorHAnsi" w:eastAsia="Times New Roman" w:hAnsiTheme="majorHAnsi" w:cstheme="majorHAnsi"/>
                <w:sz w:val="21"/>
                <w:szCs w:val="21"/>
                <w:lang w:val="en-GB"/>
              </w:rPr>
              <w:t>Aims to facilitate supply of appropriate mixed-income housing, support affordable living, improve accessibility of movement around cities, and support community wellbeing.</w:t>
            </w:r>
          </w:p>
          <w:p w14:paraId="65E6EE66" w14:textId="261F5707" w:rsidR="00F00E3D" w:rsidRPr="008F5E2C" w:rsidRDefault="007320D6" w:rsidP="009B2FA7">
            <w:pPr>
              <w:rPr>
                <w:rFonts w:asciiTheme="majorHAnsi" w:hAnsiTheme="majorHAnsi" w:cstheme="majorHAnsi"/>
                <w:sz w:val="21"/>
                <w:szCs w:val="21"/>
              </w:rPr>
            </w:pPr>
            <w:hyperlink r:id="rId45">
              <w:r w:rsidR="00F00E3D" w:rsidRPr="00E305D7">
                <w:rPr>
                  <w:rStyle w:val="Hyperlink"/>
                  <w:rFonts w:asciiTheme="majorHAnsi" w:eastAsia="Times New Roman" w:hAnsiTheme="majorHAnsi" w:cstheme="majorHAnsi"/>
                  <w:b/>
                  <w:bCs/>
                  <w:sz w:val="21"/>
                  <w:szCs w:val="21"/>
                  <w:lang w:val="en-GB"/>
                </w:rPr>
                <w:t xml:space="preserve">Creating Places for People: </w:t>
              </w:r>
              <w:r w:rsidR="00F00E3D">
                <w:rPr>
                  <w:rStyle w:val="Hyperlink"/>
                  <w:rFonts w:asciiTheme="majorHAnsi" w:eastAsia="Times New Roman" w:hAnsiTheme="majorHAnsi" w:cstheme="majorHAnsi"/>
                  <w:b/>
                  <w:bCs/>
                  <w:sz w:val="21"/>
                  <w:szCs w:val="21"/>
                  <w:lang w:val="en-GB"/>
                </w:rPr>
                <w:t>A</w:t>
              </w:r>
              <w:r w:rsidR="00F00E3D" w:rsidRPr="00E305D7">
                <w:rPr>
                  <w:rStyle w:val="Hyperlink"/>
                  <w:rFonts w:asciiTheme="majorHAnsi" w:eastAsia="Times New Roman" w:hAnsiTheme="majorHAnsi" w:cstheme="majorHAnsi"/>
                  <w:b/>
                  <w:bCs/>
                  <w:sz w:val="21"/>
                  <w:szCs w:val="21"/>
                  <w:lang w:val="en-GB"/>
                </w:rPr>
                <w:t>n Urban Design Protocol for Australian Cities</w:t>
              </w:r>
            </w:hyperlink>
            <w:r w:rsidR="00F00E3D" w:rsidRPr="00E305D7">
              <w:rPr>
                <w:rStyle w:val="Hyperlink"/>
                <w:rFonts w:asciiTheme="majorHAnsi" w:eastAsia="Times New Roman" w:hAnsiTheme="majorHAnsi" w:cstheme="majorHAnsi"/>
                <w:b/>
                <w:bCs/>
                <w:sz w:val="21"/>
                <w:szCs w:val="21"/>
                <w:lang w:val="en-GB"/>
              </w:rPr>
              <w:t>:</w:t>
            </w:r>
            <w:r w:rsidR="00F00E3D" w:rsidRPr="00E305D7">
              <w:rPr>
                <w:rFonts w:asciiTheme="majorHAnsi" w:hAnsiTheme="majorHAnsi" w:cstheme="majorHAnsi"/>
                <w:sz w:val="21"/>
                <w:szCs w:val="21"/>
              </w:rPr>
              <w:t xml:space="preserve"> </w:t>
            </w:r>
            <w:r w:rsidR="00F00E3D" w:rsidRPr="00E305D7">
              <w:rPr>
                <w:rFonts w:asciiTheme="majorHAnsi" w:eastAsia="Times New Roman" w:hAnsiTheme="majorHAnsi" w:cstheme="majorHAnsi"/>
                <w:sz w:val="21"/>
                <w:szCs w:val="21"/>
                <w:lang w:val="en-GB"/>
              </w:rPr>
              <w:t xml:space="preserve">Set of principles for urban design, aligned closely with universal design. </w:t>
            </w:r>
          </w:p>
          <w:p w14:paraId="34353275" w14:textId="03603C78" w:rsidR="00F00E3D" w:rsidRPr="008F5E2C" w:rsidRDefault="007320D6" w:rsidP="009B2FA7">
            <w:pPr>
              <w:rPr>
                <w:rFonts w:asciiTheme="majorHAnsi" w:hAnsiTheme="majorHAnsi" w:cstheme="majorHAnsi"/>
                <w:sz w:val="21"/>
                <w:szCs w:val="21"/>
              </w:rPr>
            </w:pPr>
            <w:hyperlink r:id="rId46">
              <w:r w:rsidR="00F00E3D" w:rsidRPr="00E305D7">
                <w:rPr>
                  <w:rStyle w:val="Hyperlink"/>
                  <w:rFonts w:asciiTheme="majorHAnsi" w:eastAsia="Times New Roman" w:hAnsiTheme="majorHAnsi" w:cstheme="majorHAnsi"/>
                  <w:b/>
                  <w:bCs/>
                  <w:sz w:val="21"/>
                  <w:szCs w:val="21"/>
                  <w:lang w:val="en-GB"/>
                </w:rPr>
                <w:t>Our Regions Rising</w:t>
              </w:r>
              <w:r w:rsidR="008F5E2C">
                <w:rPr>
                  <w:rStyle w:val="Hyperlink"/>
                  <w:rFonts w:asciiTheme="majorHAnsi" w:eastAsia="Times New Roman" w:hAnsiTheme="majorHAnsi" w:cstheme="majorHAnsi"/>
                  <w:b/>
                  <w:bCs/>
                  <w:sz w:val="21"/>
                  <w:szCs w:val="21"/>
                  <w:lang w:val="en-GB"/>
                </w:rPr>
                <w:t>:</w:t>
              </w:r>
              <w:r w:rsidR="00F00E3D" w:rsidRPr="00E305D7">
                <w:rPr>
                  <w:rStyle w:val="Hyperlink"/>
                  <w:rFonts w:asciiTheme="majorHAnsi" w:eastAsia="Times New Roman" w:hAnsiTheme="majorHAnsi" w:cstheme="majorHAnsi"/>
                  <w:b/>
                  <w:bCs/>
                  <w:sz w:val="21"/>
                  <w:szCs w:val="21"/>
                  <w:lang w:val="en-GB"/>
                </w:rPr>
                <w:t xml:space="preserve"> Policy Hack Summary 2019</w:t>
              </w:r>
            </w:hyperlink>
            <w:r w:rsidR="00F00E3D" w:rsidRPr="00E305D7">
              <w:rPr>
                <w:rFonts w:asciiTheme="majorHAnsi" w:hAnsiTheme="majorHAnsi" w:cstheme="majorHAnsi"/>
              </w:rPr>
              <w:t xml:space="preserve">: </w:t>
            </w:r>
            <w:r w:rsidR="00F00E3D" w:rsidRPr="00E305D7">
              <w:rPr>
                <w:rFonts w:asciiTheme="majorHAnsi" w:eastAsia="Times New Roman" w:hAnsiTheme="majorHAnsi" w:cstheme="majorHAnsi"/>
                <w:sz w:val="21"/>
                <w:szCs w:val="21"/>
                <w:lang w:val="en-GB"/>
              </w:rPr>
              <w:t xml:space="preserve">Conference attendees were invited to participate in a “hack session” to problem-solve some major issues facing regional Australia. Key </w:t>
            </w:r>
            <w:r w:rsidR="008F5E2C">
              <w:rPr>
                <w:rFonts w:asciiTheme="majorHAnsi" w:eastAsia="Times New Roman" w:hAnsiTheme="majorHAnsi" w:cstheme="majorHAnsi"/>
                <w:sz w:val="21"/>
                <w:szCs w:val="21"/>
                <w:lang w:val="en-GB"/>
              </w:rPr>
              <w:t xml:space="preserve">emergent </w:t>
            </w:r>
            <w:r w:rsidR="00F00E3D" w:rsidRPr="00E305D7">
              <w:rPr>
                <w:rFonts w:asciiTheme="majorHAnsi" w:eastAsia="Times New Roman" w:hAnsiTheme="majorHAnsi" w:cstheme="majorHAnsi"/>
                <w:sz w:val="21"/>
                <w:szCs w:val="21"/>
                <w:lang w:val="en-GB"/>
              </w:rPr>
              <w:t>themes: 1) Investing in “soft” infrastructure (</w:t>
            </w:r>
            <w:proofErr w:type="gramStart"/>
            <w:r w:rsidR="00F00E3D" w:rsidRPr="00E305D7">
              <w:rPr>
                <w:rFonts w:asciiTheme="majorHAnsi" w:eastAsia="Times New Roman" w:hAnsiTheme="majorHAnsi" w:cstheme="majorHAnsi"/>
                <w:sz w:val="21"/>
                <w:szCs w:val="21"/>
                <w:lang w:val="en-GB"/>
              </w:rPr>
              <w:t>e.g.</w:t>
            </w:r>
            <w:proofErr w:type="gramEnd"/>
            <w:r w:rsidR="00F00E3D" w:rsidRPr="00E305D7">
              <w:rPr>
                <w:rFonts w:asciiTheme="majorHAnsi" w:eastAsia="Times New Roman" w:hAnsiTheme="majorHAnsi" w:cstheme="majorHAnsi"/>
                <w:sz w:val="21"/>
                <w:szCs w:val="21"/>
                <w:lang w:val="en-GB"/>
              </w:rPr>
              <w:t xml:space="preserve"> human capital, liveability), 2) Governments and regions working together, 3) Empowering regions through flexible and place-based policy, and 4) Shifting the narrative from the current country/city binary. </w:t>
            </w:r>
          </w:p>
          <w:p w14:paraId="77DD8C91" w14:textId="7977A86C" w:rsidR="00F00E3D" w:rsidRPr="00E305D7" w:rsidRDefault="007320D6" w:rsidP="009B2FA7">
            <w:pPr>
              <w:rPr>
                <w:rFonts w:asciiTheme="majorHAnsi" w:hAnsiTheme="majorHAnsi" w:cstheme="majorHAnsi"/>
                <w:sz w:val="21"/>
                <w:szCs w:val="21"/>
              </w:rPr>
            </w:pPr>
            <w:hyperlink r:id="rId47">
              <w:r w:rsidR="00F00E3D" w:rsidRPr="00E305D7">
                <w:rPr>
                  <w:rStyle w:val="Hyperlink"/>
                  <w:rFonts w:asciiTheme="majorHAnsi" w:eastAsia="Times New Roman" w:hAnsiTheme="majorHAnsi" w:cstheme="majorHAnsi"/>
                  <w:b/>
                  <w:bCs/>
                  <w:sz w:val="21"/>
                  <w:szCs w:val="21"/>
                  <w:lang w:val="en-GB"/>
                </w:rPr>
                <w:t>Regions 2030</w:t>
              </w:r>
              <w:r w:rsidR="008F5E2C">
                <w:rPr>
                  <w:rStyle w:val="Hyperlink"/>
                  <w:rFonts w:asciiTheme="majorHAnsi" w:eastAsia="Times New Roman" w:hAnsiTheme="majorHAnsi" w:cstheme="majorHAnsi"/>
                  <w:b/>
                  <w:bCs/>
                  <w:sz w:val="21"/>
                  <w:szCs w:val="21"/>
                  <w:lang w:val="en-GB"/>
                </w:rPr>
                <w:t>:</w:t>
              </w:r>
              <w:r w:rsidR="00F00E3D" w:rsidRPr="00E305D7">
                <w:rPr>
                  <w:rStyle w:val="Hyperlink"/>
                  <w:rFonts w:asciiTheme="majorHAnsi" w:eastAsia="Times New Roman" w:hAnsiTheme="majorHAnsi" w:cstheme="majorHAnsi"/>
                  <w:b/>
                  <w:bCs/>
                  <w:sz w:val="21"/>
                  <w:szCs w:val="21"/>
                  <w:lang w:val="en-GB"/>
                </w:rPr>
                <w:t xml:space="preserve"> Unlocking Opportunity</w:t>
              </w:r>
            </w:hyperlink>
            <w:r w:rsidR="00F00E3D" w:rsidRPr="00E305D7">
              <w:rPr>
                <w:rFonts w:asciiTheme="majorHAnsi" w:hAnsiTheme="majorHAnsi" w:cstheme="majorHAnsi"/>
              </w:rPr>
              <w:t xml:space="preserve">: </w:t>
            </w:r>
            <w:r w:rsidR="00F00E3D" w:rsidRPr="00E305D7">
              <w:rPr>
                <w:rFonts w:asciiTheme="majorHAnsi" w:eastAsia="Times New Roman" w:hAnsiTheme="majorHAnsi" w:cstheme="majorHAnsi"/>
                <w:sz w:val="21"/>
                <w:szCs w:val="21"/>
                <w:lang w:val="en-GB"/>
              </w:rPr>
              <w:t xml:space="preserve">Industry Growth Centre in Geelong cited as an exemplar of regional jobs development. Provides an overview of the national vision for regional development. </w:t>
            </w:r>
          </w:p>
        </w:tc>
        <w:tc>
          <w:tcPr>
            <w:tcW w:w="3665" w:type="dxa"/>
            <w:tcBorders>
              <w:top w:val="single" w:sz="8" w:space="0" w:color="auto"/>
              <w:left w:val="single" w:sz="8" w:space="0" w:color="auto"/>
              <w:bottom w:val="single" w:sz="8" w:space="0" w:color="auto"/>
              <w:right w:val="single" w:sz="8" w:space="0" w:color="auto"/>
            </w:tcBorders>
          </w:tcPr>
          <w:p w14:paraId="3BDFF3B7" w14:textId="0DA49060" w:rsidR="00F00E3D" w:rsidRPr="00006E5F" w:rsidRDefault="00F00E3D" w:rsidP="009B2FA7">
            <w:pPr>
              <w:rPr>
                <w:rFonts w:asciiTheme="majorHAnsi" w:hAnsiTheme="majorHAnsi" w:cstheme="majorHAnsi"/>
                <w:sz w:val="21"/>
                <w:szCs w:val="21"/>
              </w:rPr>
            </w:pPr>
            <w:r w:rsidRPr="00E305D7">
              <w:rPr>
                <w:rFonts w:asciiTheme="majorHAnsi" w:eastAsia="Times New Roman" w:hAnsiTheme="majorHAnsi" w:cstheme="majorHAnsi"/>
                <w:sz w:val="21"/>
                <w:szCs w:val="21"/>
                <w:lang w:val="en-GB"/>
              </w:rPr>
              <w:t xml:space="preserve">Nothing specific for three </w:t>
            </w:r>
            <w:proofErr w:type="gramStart"/>
            <w:r w:rsidRPr="00E305D7">
              <w:rPr>
                <w:rFonts w:asciiTheme="majorHAnsi" w:eastAsia="Times New Roman" w:hAnsiTheme="majorHAnsi" w:cstheme="majorHAnsi"/>
                <w:sz w:val="21"/>
                <w:szCs w:val="21"/>
                <w:lang w:val="en-GB"/>
              </w:rPr>
              <w:t>localities, but</w:t>
            </w:r>
            <w:proofErr w:type="gramEnd"/>
            <w:r w:rsidRPr="00E305D7">
              <w:rPr>
                <w:rFonts w:asciiTheme="majorHAnsi" w:eastAsia="Times New Roman" w:hAnsiTheme="majorHAnsi" w:cstheme="majorHAnsi"/>
                <w:sz w:val="21"/>
                <w:szCs w:val="21"/>
                <w:lang w:val="en-GB"/>
              </w:rPr>
              <w:t xml:space="preserve"> involves improvements to Central Geelong that may impact residents. </w:t>
            </w:r>
          </w:p>
          <w:p w14:paraId="199589CD" w14:textId="77777777" w:rsidR="00F00E3D" w:rsidRPr="00E305D7" w:rsidRDefault="00F00E3D" w:rsidP="009B2FA7">
            <w:pPr>
              <w:rPr>
                <w:rFonts w:asciiTheme="majorHAnsi" w:hAnsiTheme="majorHAnsi" w:cstheme="majorHAnsi"/>
                <w:sz w:val="21"/>
                <w:szCs w:val="21"/>
              </w:rPr>
            </w:pPr>
            <w:r w:rsidRPr="00E305D7">
              <w:rPr>
                <w:rFonts w:asciiTheme="majorHAnsi" w:eastAsia="Times New Roman" w:hAnsiTheme="majorHAnsi" w:cstheme="majorHAnsi"/>
                <w:sz w:val="21"/>
                <w:szCs w:val="21"/>
                <w:lang w:val="en-GB"/>
              </w:rPr>
              <w:t xml:space="preserve">Provides citywide data on these domains but can’t drill down to specific areas. </w:t>
            </w:r>
          </w:p>
          <w:p w14:paraId="18D43A8B" w14:textId="77777777" w:rsidR="00F00E3D" w:rsidRPr="00E305D7" w:rsidRDefault="00F00E3D" w:rsidP="009B2FA7">
            <w:pPr>
              <w:rPr>
                <w:rFonts w:asciiTheme="majorHAnsi" w:hAnsiTheme="majorHAnsi" w:cstheme="majorHAnsi"/>
                <w:sz w:val="21"/>
                <w:szCs w:val="21"/>
              </w:rPr>
            </w:pPr>
            <w:r w:rsidRPr="00E305D7">
              <w:rPr>
                <w:rFonts w:asciiTheme="majorHAnsi" w:eastAsia="Times New Roman" w:hAnsiTheme="majorHAnsi" w:cstheme="majorHAnsi"/>
                <w:sz w:val="21"/>
                <w:szCs w:val="21"/>
                <w:lang w:val="en-GB"/>
              </w:rPr>
              <w:t xml:space="preserve"> </w:t>
            </w:r>
          </w:p>
          <w:p w14:paraId="20D69B66" w14:textId="77777777" w:rsidR="00F00E3D" w:rsidRPr="00E305D7" w:rsidRDefault="00F00E3D" w:rsidP="009B2FA7">
            <w:pPr>
              <w:rPr>
                <w:rFonts w:asciiTheme="majorHAnsi" w:hAnsiTheme="majorHAnsi" w:cstheme="majorHAnsi"/>
                <w:sz w:val="21"/>
                <w:szCs w:val="21"/>
              </w:rPr>
            </w:pPr>
            <w:r w:rsidRPr="00E305D7">
              <w:rPr>
                <w:rFonts w:asciiTheme="majorHAnsi" w:eastAsia="Times New Roman" w:hAnsiTheme="majorHAnsi" w:cstheme="majorHAnsi"/>
                <w:sz w:val="21"/>
                <w:szCs w:val="21"/>
                <w:lang w:val="en-GB"/>
              </w:rPr>
              <w:t xml:space="preserve"> </w:t>
            </w:r>
          </w:p>
          <w:p w14:paraId="641454AB" w14:textId="77777777" w:rsidR="00F00E3D" w:rsidRPr="00E305D7" w:rsidRDefault="00F00E3D" w:rsidP="009B2FA7">
            <w:pPr>
              <w:rPr>
                <w:rFonts w:asciiTheme="majorHAnsi" w:hAnsiTheme="majorHAnsi" w:cstheme="majorHAnsi"/>
                <w:sz w:val="21"/>
                <w:szCs w:val="21"/>
              </w:rPr>
            </w:pPr>
            <w:r w:rsidRPr="00E305D7">
              <w:rPr>
                <w:rFonts w:asciiTheme="majorHAnsi" w:eastAsia="Times New Roman" w:hAnsiTheme="majorHAnsi" w:cstheme="majorHAnsi"/>
                <w:sz w:val="21"/>
                <w:szCs w:val="21"/>
                <w:lang w:val="en-GB"/>
              </w:rPr>
              <w:t xml:space="preserve"> </w:t>
            </w:r>
          </w:p>
          <w:p w14:paraId="7B01224C" w14:textId="77777777" w:rsidR="00F00E3D" w:rsidRPr="00E305D7" w:rsidRDefault="00F00E3D" w:rsidP="009B2FA7">
            <w:pPr>
              <w:rPr>
                <w:rFonts w:asciiTheme="majorHAnsi" w:hAnsiTheme="majorHAnsi" w:cstheme="majorHAnsi"/>
                <w:sz w:val="21"/>
                <w:szCs w:val="21"/>
              </w:rPr>
            </w:pPr>
            <w:r w:rsidRPr="00E305D7">
              <w:rPr>
                <w:rFonts w:asciiTheme="majorHAnsi" w:eastAsia="Times New Roman" w:hAnsiTheme="majorHAnsi" w:cstheme="majorHAnsi"/>
                <w:sz w:val="21"/>
                <w:szCs w:val="21"/>
                <w:lang w:val="en-GB"/>
              </w:rPr>
              <w:t xml:space="preserve"> </w:t>
            </w:r>
          </w:p>
          <w:p w14:paraId="758DB950" w14:textId="77777777" w:rsidR="00F00E3D" w:rsidRPr="00E305D7" w:rsidRDefault="00F00E3D" w:rsidP="009B2FA7">
            <w:pPr>
              <w:rPr>
                <w:rFonts w:asciiTheme="majorHAnsi" w:hAnsiTheme="majorHAnsi" w:cstheme="majorHAnsi"/>
                <w:sz w:val="21"/>
                <w:szCs w:val="21"/>
              </w:rPr>
            </w:pPr>
            <w:r w:rsidRPr="778E395A">
              <w:rPr>
                <w:rFonts w:asciiTheme="majorHAnsi" w:eastAsia="Times New Roman" w:hAnsiTheme="majorHAnsi" w:cstheme="majorBidi"/>
                <w:sz w:val="21"/>
                <w:szCs w:val="21"/>
                <w:lang w:val="en-GB"/>
              </w:rPr>
              <w:t xml:space="preserve"> </w:t>
            </w:r>
          </w:p>
          <w:p w14:paraId="78F4AD5D" w14:textId="3F4BCE8F" w:rsidR="778E395A" w:rsidRDefault="778E395A" w:rsidP="778E395A">
            <w:pPr>
              <w:rPr>
                <w:rFonts w:asciiTheme="majorHAnsi" w:eastAsia="Times New Roman" w:hAnsiTheme="majorHAnsi" w:cstheme="majorBidi"/>
                <w:sz w:val="21"/>
                <w:szCs w:val="21"/>
                <w:lang w:val="en-GB"/>
              </w:rPr>
            </w:pPr>
          </w:p>
          <w:p w14:paraId="2E4EE7C1" w14:textId="7895B01E" w:rsidR="00F00E3D" w:rsidRPr="00E305D7" w:rsidRDefault="00F00E3D" w:rsidP="009B2FA7">
            <w:pPr>
              <w:rPr>
                <w:rFonts w:asciiTheme="majorHAnsi" w:hAnsiTheme="majorHAnsi" w:cstheme="majorHAnsi"/>
                <w:sz w:val="21"/>
                <w:szCs w:val="21"/>
              </w:rPr>
            </w:pPr>
            <w:r w:rsidRPr="00E305D7">
              <w:rPr>
                <w:rFonts w:asciiTheme="majorHAnsi" w:eastAsia="Times New Roman" w:hAnsiTheme="majorHAnsi" w:cstheme="majorHAnsi"/>
                <w:sz w:val="21"/>
                <w:szCs w:val="21"/>
                <w:lang w:val="en-GB"/>
              </w:rPr>
              <w:t xml:space="preserve"> </w:t>
            </w:r>
            <w:r w:rsidRPr="008F5E2C">
              <w:rPr>
                <w:rFonts w:asciiTheme="majorHAnsi" w:eastAsia="Times New Roman" w:hAnsiTheme="majorHAnsi" w:cstheme="majorHAnsi"/>
                <w:sz w:val="21"/>
                <w:szCs w:val="21"/>
                <w:lang w:val="en-GB"/>
              </w:rPr>
              <w:t>Geelong Youth Activity Precinct won 2010 Australia Award for Urban Design.</w:t>
            </w:r>
          </w:p>
        </w:tc>
      </w:tr>
    </w:tbl>
    <w:p w14:paraId="1FF26B25" w14:textId="425631DF" w:rsidR="00F00E3D" w:rsidRPr="00661DE7" w:rsidRDefault="00F00E3D">
      <w:pPr>
        <w:rPr>
          <w:sz w:val="21"/>
          <w:szCs w:val="21"/>
        </w:rPr>
      </w:pPr>
      <w:bookmarkStart w:id="24" w:name="OLE_LINKTable13"/>
      <w:r w:rsidRPr="00661DE7">
        <w:rPr>
          <w:b/>
          <w:bCs/>
          <w:sz w:val="20"/>
          <w:szCs w:val="20"/>
        </w:rPr>
        <w:t xml:space="preserve">Table </w:t>
      </w:r>
      <w:r w:rsidR="00B952D5" w:rsidRPr="00661DE7">
        <w:rPr>
          <w:b/>
          <w:bCs/>
          <w:sz w:val="20"/>
          <w:szCs w:val="20"/>
        </w:rPr>
        <w:t>2</w:t>
      </w:r>
      <w:r w:rsidR="00902A86" w:rsidRPr="00661DE7">
        <w:rPr>
          <w:b/>
          <w:bCs/>
          <w:sz w:val="20"/>
          <w:szCs w:val="20"/>
        </w:rPr>
        <w:t>.</w:t>
      </w:r>
      <w:r w:rsidR="00661DE7" w:rsidRPr="00661DE7">
        <w:rPr>
          <w:b/>
          <w:bCs/>
          <w:sz w:val="20"/>
          <w:szCs w:val="20"/>
        </w:rPr>
        <w:t>2</w:t>
      </w:r>
      <w:r w:rsidR="00902A86" w:rsidRPr="00661DE7">
        <w:rPr>
          <w:b/>
          <w:bCs/>
          <w:sz w:val="20"/>
          <w:szCs w:val="20"/>
        </w:rPr>
        <w:t xml:space="preserve">: </w:t>
      </w:r>
      <w:r w:rsidRPr="00661DE7">
        <w:rPr>
          <w:b/>
          <w:bCs/>
          <w:sz w:val="20"/>
          <w:szCs w:val="20"/>
        </w:rPr>
        <w:t xml:space="preserve">Federal </w:t>
      </w:r>
      <w:r w:rsidR="00902A86" w:rsidRPr="00661DE7">
        <w:rPr>
          <w:b/>
          <w:bCs/>
          <w:sz w:val="20"/>
          <w:szCs w:val="20"/>
        </w:rPr>
        <w:t>Policy Context</w:t>
      </w:r>
    </w:p>
    <w:bookmarkEnd w:id="24"/>
    <w:p w14:paraId="32053572" w14:textId="77777777" w:rsidR="00F00E3D" w:rsidRDefault="00F00E3D">
      <w:r>
        <w:br w:type="page"/>
      </w:r>
    </w:p>
    <w:p w14:paraId="0CE02970" w14:textId="4FBB4440" w:rsidR="00F00E3D" w:rsidRPr="008F4BF3" w:rsidRDefault="00F00E3D" w:rsidP="009B2FA7">
      <w:pPr>
        <w:spacing w:line="257" w:lineRule="auto"/>
        <w:rPr>
          <w:rFonts w:eastAsia="Times New Roman" w:cstheme="minorHAnsi"/>
          <w:b/>
          <w:bCs/>
          <w:color w:val="2E74B5" w:themeColor="accent5" w:themeShade="BF"/>
          <w:sz w:val="28"/>
          <w:szCs w:val="28"/>
          <w:lang w:val="en-GB"/>
        </w:rPr>
      </w:pPr>
      <w:r w:rsidRPr="008F4BF3">
        <w:rPr>
          <w:rFonts w:eastAsia="Times New Roman" w:cstheme="minorHAnsi"/>
          <w:b/>
          <w:bCs/>
          <w:color w:val="2E74B5" w:themeColor="accent5" w:themeShade="BF"/>
          <w:sz w:val="28"/>
          <w:szCs w:val="28"/>
          <w:lang w:val="en-GB"/>
        </w:rPr>
        <w:lastRenderedPageBreak/>
        <w:t>2.</w:t>
      </w:r>
      <w:r w:rsidR="00B952D5" w:rsidRPr="008F4BF3">
        <w:rPr>
          <w:rFonts w:eastAsia="Times New Roman" w:cstheme="minorHAnsi"/>
          <w:b/>
          <w:bCs/>
          <w:color w:val="2E74B5" w:themeColor="accent5" w:themeShade="BF"/>
          <w:sz w:val="28"/>
          <w:szCs w:val="28"/>
          <w:lang w:val="en-GB"/>
        </w:rPr>
        <w:t>4</w:t>
      </w:r>
      <w:r w:rsidRPr="008F4BF3">
        <w:rPr>
          <w:rFonts w:eastAsia="Times New Roman" w:cstheme="minorHAnsi"/>
          <w:b/>
          <w:bCs/>
          <w:color w:val="2E74B5" w:themeColor="accent5" w:themeShade="BF"/>
          <w:sz w:val="28"/>
          <w:szCs w:val="28"/>
          <w:lang w:val="en-GB"/>
        </w:rPr>
        <w:t xml:space="preserve"> Policy Context: Victoria</w:t>
      </w:r>
    </w:p>
    <w:p w14:paraId="0EA26B0F" w14:textId="77777777" w:rsidR="00F00E3D" w:rsidRPr="008949E9" w:rsidRDefault="00F00E3D" w:rsidP="009B2FA7">
      <w:pPr>
        <w:spacing w:line="257" w:lineRule="auto"/>
        <w:rPr>
          <w:rFonts w:eastAsia="Times New Roman" w:cstheme="minorHAnsi"/>
          <w:b/>
          <w:bCs/>
          <w:color w:val="2F5496" w:themeColor="accent1" w:themeShade="BF"/>
          <w:sz w:val="4"/>
          <w:szCs w:val="4"/>
          <w:lang w:val="en-GB"/>
        </w:rPr>
      </w:pPr>
    </w:p>
    <w:tbl>
      <w:tblPr>
        <w:tblStyle w:val="TableGrid"/>
        <w:tblW w:w="14587" w:type="dxa"/>
        <w:tblLayout w:type="fixed"/>
        <w:tblLook w:val="04A0" w:firstRow="1" w:lastRow="0" w:firstColumn="1" w:lastColumn="0" w:noHBand="0" w:noVBand="1"/>
      </w:tblPr>
      <w:tblGrid>
        <w:gridCol w:w="960"/>
        <w:gridCol w:w="9934"/>
        <w:gridCol w:w="3693"/>
      </w:tblGrid>
      <w:tr w:rsidR="00502E6C" w:rsidRPr="00661DE7" w14:paraId="7D2C94B1" w14:textId="77777777" w:rsidTr="778E395A">
        <w:trPr>
          <w:trHeight w:val="558"/>
        </w:trPr>
        <w:tc>
          <w:tcPr>
            <w:tcW w:w="96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13FBA198" w14:textId="0B948F9E" w:rsidR="00F00E3D" w:rsidRPr="00661DE7" w:rsidRDefault="00203685" w:rsidP="00A418C1">
            <w:pPr>
              <w:spacing w:after="0"/>
              <w:rPr>
                <w:rFonts w:eastAsia="Times New Roman" w:cstheme="minorHAnsi"/>
                <w:b/>
                <w:bCs/>
                <w:sz w:val="21"/>
                <w:szCs w:val="21"/>
                <w:lang w:val="en-GB"/>
              </w:rPr>
            </w:pPr>
            <w:r w:rsidRPr="00661DE7">
              <w:rPr>
                <w:rFonts w:eastAsia="Times New Roman" w:cstheme="minorHAnsi"/>
                <w:b/>
                <w:bCs/>
                <w:sz w:val="21"/>
                <w:szCs w:val="21"/>
                <w:lang w:val="en-GB"/>
              </w:rPr>
              <w:t>Practice Domain</w:t>
            </w:r>
          </w:p>
          <w:p w14:paraId="07F1C8DD" w14:textId="4AA41663" w:rsidR="00502E6C" w:rsidRPr="00661DE7" w:rsidRDefault="00502E6C" w:rsidP="00A418C1">
            <w:pPr>
              <w:spacing w:after="0"/>
              <w:rPr>
                <w:rFonts w:cstheme="minorHAnsi"/>
                <w:sz w:val="12"/>
                <w:szCs w:val="12"/>
              </w:rPr>
            </w:pPr>
          </w:p>
        </w:tc>
        <w:tc>
          <w:tcPr>
            <w:tcW w:w="9934"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61B3726B" w14:textId="4B34FB93" w:rsidR="00F00E3D" w:rsidRPr="00661DE7" w:rsidRDefault="00F00E3D" w:rsidP="00A418C1">
            <w:pPr>
              <w:spacing w:after="0"/>
              <w:rPr>
                <w:rFonts w:cstheme="minorHAnsi"/>
                <w:sz w:val="21"/>
                <w:szCs w:val="21"/>
              </w:rPr>
            </w:pPr>
            <w:r w:rsidRPr="00661DE7">
              <w:rPr>
                <w:rFonts w:eastAsia="Times New Roman" w:cstheme="minorHAnsi"/>
                <w:b/>
                <w:bCs/>
                <w:sz w:val="21"/>
                <w:szCs w:val="21"/>
                <w:lang w:val="en-GB"/>
              </w:rPr>
              <w:t xml:space="preserve">Policy </w:t>
            </w:r>
            <w:r w:rsidR="00502E6C" w:rsidRPr="00661DE7">
              <w:rPr>
                <w:rFonts w:eastAsia="Times New Roman" w:cstheme="minorHAnsi"/>
                <w:b/>
                <w:bCs/>
                <w:sz w:val="21"/>
                <w:szCs w:val="21"/>
                <w:lang w:val="en-GB"/>
              </w:rPr>
              <w:t>N</w:t>
            </w:r>
            <w:r w:rsidRPr="00661DE7">
              <w:rPr>
                <w:rFonts w:eastAsia="Times New Roman" w:cstheme="minorHAnsi"/>
                <w:b/>
                <w:bCs/>
                <w:sz w:val="21"/>
                <w:szCs w:val="21"/>
                <w:lang w:val="en-GB"/>
              </w:rPr>
              <w:t xml:space="preserve">ame and </w:t>
            </w:r>
            <w:r w:rsidR="00502E6C" w:rsidRPr="00661DE7">
              <w:rPr>
                <w:rFonts w:eastAsia="Times New Roman" w:cstheme="minorHAnsi"/>
                <w:b/>
                <w:bCs/>
                <w:sz w:val="21"/>
                <w:szCs w:val="21"/>
                <w:lang w:val="en-GB"/>
              </w:rPr>
              <w:t>P</w:t>
            </w:r>
            <w:r w:rsidRPr="00661DE7">
              <w:rPr>
                <w:rFonts w:eastAsia="Times New Roman" w:cstheme="minorHAnsi"/>
                <w:b/>
                <w:bCs/>
                <w:sz w:val="21"/>
                <w:szCs w:val="21"/>
                <w:lang w:val="en-GB"/>
              </w:rPr>
              <w:t>urpose</w:t>
            </w:r>
          </w:p>
        </w:tc>
        <w:tc>
          <w:tcPr>
            <w:tcW w:w="3693"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3C394C30" w14:textId="5C5B31B6" w:rsidR="00F00E3D" w:rsidRPr="00661DE7" w:rsidRDefault="00F00E3D" w:rsidP="00A418C1">
            <w:pPr>
              <w:spacing w:after="0"/>
              <w:rPr>
                <w:rFonts w:cstheme="minorHAnsi"/>
                <w:sz w:val="21"/>
                <w:szCs w:val="21"/>
              </w:rPr>
            </w:pPr>
            <w:r w:rsidRPr="00661DE7">
              <w:rPr>
                <w:rFonts w:eastAsia="Times New Roman" w:cstheme="minorHAnsi"/>
                <w:b/>
                <w:bCs/>
                <w:sz w:val="21"/>
                <w:szCs w:val="21"/>
                <w:lang w:val="en-GB"/>
              </w:rPr>
              <w:t>Relevance to Geelong</w:t>
            </w:r>
            <w:r w:rsidR="00502E6C" w:rsidRPr="00661DE7">
              <w:rPr>
                <w:rFonts w:eastAsia="Times New Roman" w:cstheme="minorHAnsi"/>
                <w:b/>
                <w:bCs/>
                <w:sz w:val="21"/>
                <w:szCs w:val="21"/>
                <w:lang w:val="en-GB"/>
              </w:rPr>
              <w:t>,</w:t>
            </w:r>
            <w:r w:rsidRPr="00661DE7">
              <w:rPr>
                <w:rFonts w:eastAsia="Times New Roman" w:cstheme="minorHAnsi"/>
                <w:b/>
                <w:bCs/>
                <w:sz w:val="21"/>
                <w:szCs w:val="21"/>
                <w:lang w:val="en-GB"/>
              </w:rPr>
              <w:t xml:space="preserve"> Corio, Norlane, Whittington </w:t>
            </w:r>
          </w:p>
        </w:tc>
      </w:tr>
      <w:tr w:rsidR="00F00E3D" w:rsidRPr="00386CF2" w14:paraId="0DC96CB2" w14:textId="77777777" w:rsidTr="778E395A">
        <w:trPr>
          <w:trHeight w:val="6198"/>
        </w:trPr>
        <w:tc>
          <w:tcPr>
            <w:tcW w:w="960" w:type="dxa"/>
            <w:tcBorders>
              <w:top w:val="single" w:sz="8" w:space="0" w:color="auto"/>
              <w:left w:val="single" w:sz="8" w:space="0" w:color="auto"/>
              <w:bottom w:val="single" w:sz="8" w:space="0" w:color="auto"/>
              <w:right w:val="single" w:sz="8" w:space="0" w:color="auto"/>
            </w:tcBorders>
          </w:tcPr>
          <w:p w14:paraId="3251408A" w14:textId="77777777" w:rsidR="00F00E3D" w:rsidRPr="006563B1" w:rsidRDefault="00F00E3D" w:rsidP="00A418C1">
            <w:pPr>
              <w:spacing w:after="0"/>
              <w:rPr>
                <w:rFonts w:cstheme="minorHAnsi"/>
              </w:rPr>
            </w:pPr>
            <w:r w:rsidRPr="00C711E4">
              <w:rPr>
                <w:rFonts w:asciiTheme="majorHAnsi" w:hAnsiTheme="majorHAnsi" w:cstheme="majorHAnsi"/>
                <w:noProof/>
                <w:color w:val="2B579A"/>
                <w:sz w:val="21"/>
                <w:szCs w:val="21"/>
                <w:shd w:val="clear" w:color="auto" w:fill="E6E6E6"/>
                <w:lang w:eastAsia="zh-CN"/>
              </w:rPr>
              <mc:AlternateContent>
                <mc:Choice Requires="wps">
                  <w:drawing>
                    <wp:anchor distT="45720" distB="45720" distL="114300" distR="114300" simplePos="0" relativeHeight="251658252" behindDoc="0" locked="0" layoutInCell="1" allowOverlap="1" wp14:anchorId="5A3BF3E9" wp14:editId="72909459">
                      <wp:simplePos x="0" y="0"/>
                      <wp:positionH relativeFrom="column">
                        <wp:posOffset>-540385</wp:posOffset>
                      </wp:positionH>
                      <wp:positionV relativeFrom="paragraph">
                        <wp:posOffset>804545</wp:posOffset>
                      </wp:positionV>
                      <wp:extent cx="1555115" cy="341630"/>
                      <wp:effectExtent l="0" t="0" r="4127"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5115" cy="341630"/>
                              </a:xfrm>
                              <a:prstGeom prst="rect">
                                <a:avLst/>
                              </a:prstGeom>
                              <a:noFill/>
                              <a:ln w="9525">
                                <a:noFill/>
                                <a:miter lim="800000"/>
                                <a:headEnd/>
                                <a:tailEnd/>
                              </a:ln>
                            </wps:spPr>
                            <wps:txbx>
                              <w:txbxContent>
                                <w:p w14:paraId="3D93DFDE" w14:textId="77777777" w:rsidR="00063AC8" w:rsidRPr="004200CF" w:rsidRDefault="00063AC8" w:rsidP="009B2FA7">
                                  <w:pPr>
                                    <w:jc w:val="right"/>
                                    <w:rPr>
                                      <w:b/>
                                      <w:bCs/>
                                      <w:color w:val="595959" w:themeColor="text1" w:themeTint="A6"/>
                                    </w:rPr>
                                  </w:pPr>
                                  <w:r>
                                    <w:rPr>
                                      <w:b/>
                                      <w:bCs/>
                                      <w:color w:val="595959" w:themeColor="text1" w:themeTint="A6"/>
                                    </w:rPr>
                                    <w:t>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BF3E9" id="_x0000_s1038" type="#_x0000_t202" style="position:absolute;margin-left:-42.55pt;margin-top:63.35pt;width:122.45pt;height:26.9pt;rotation:-90;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" filled="f" stroked="f">
                      <v:textbox>
                        <w:txbxContent>
                          <w:p w14:paraId="3D93DFDE" w14:textId="77777777" w:rsidR="00063AC8" w:rsidRPr="004200CF" w:rsidRDefault="00063AC8" w:rsidP="009B2FA7">
                            <w:pPr>
                              <w:jc w:val="right"/>
                              <w:rPr>
                                <w:b/>
                                <w:bCs/>
                                <w:color w:val="595959" w:themeColor="text1" w:themeTint="A6"/>
                              </w:rPr>
                            </w:pPr>
                            <w:r>
                              <w:rPr>
                                <w:b/>
                                <w:bCs/>
                                <w:color w:val="595959" w:themeColor="text1" w:themeTint="A6"/>
                              </w:rPr>
                              <w:t>EDUCATION</w:t>
                            </w:r>
                          </w:p>
                        </w:txbxContent>
                      </v:textbox>
                      <w10:wrap type="square"/>
                    </v:shape>
                  </w:pict>
                </mc:Fallback>
              </mc:AlternateContent>
            </w:r>
          </w:p>
        </w:tc>
        <w:tc>
          <w:tcPr>
            <w:tcW w:w="9934" w:type="dxa"/>
            <w:tcBorders>
              <w:top w:val="single" w:sz="8" w:space="0" w:color="auto"/>
              <w:left w:val="single" w:sz="8" w:space="0" w:color="auto"/>
              <w:bottom w:val="single" w:sz="8" w:space="0" w:color="auto"/>
              <w:right w:val="single" w:sz="8" w:space="0" w:color="auto"/>
            </w:tcBorders>
          </w:tcPr>
          <w:p w14:paraId="7225B9E2"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rPr>
              <w:t>Partnerships Addressing Disadvantage (PADs)</w:t>
            </w:r>
            <w:r w:rsidRPr="00717682">
              <w:rPr>
                <w:rFonts w:asciiTheme="majorHAnsi" w:eastAsia="Times New Roman" w:hAnsiTheme="majorHAnsi" w:cstheme="majorHAnsi"/>
                <w:sz w:val="21"/>
                <w:szCs w:val="21"/>
              </w:rPr>
              <w:t xml:space="preserve">: </w:t>
            </w:r>
            <w:r>
              <w:rPr>
                <w:rFonts w:asciiTheme="majorHAnsi" w:eastAsia="Times New Roman" w:hAnsiTheme="majorHAnsi" w:cstheme="majorHAnsi"/>
                <w:sz w:val="21"/>
                <w:szCs w:val="21"/>
              </w:rPr>
              <w:t>I</w:t>
            </w:r>
            <w:r w:rsidRPr="00717682">
              <w:rPr>
                <w:rFonts w:asciiTheme="majorHAnsi" w:eastAsia="Times New Roman" w:hAnsiTheme="majorHAnsi" w:cstheme="majorHAnsi"/>
                <w:sz w:val="21"/>
                <w:szCs w:val="21"/>
              </w:rPr>
              <w:t>nnovative way to reduce deep-seated disadvantage and provide demonstrably better outcomes for vulnerable Victorians.</w:t>
            </w:r>
            <w:r w:rsidRPr="00717682">
              <w:rPr>
                <w:rFonts w:asciiTheme="majorHAnsi" w:hAnsiTheme="majorHAnsi" w:cstheme="majorHAnsi"/>
                <w:sz w:val="21"/>
                <w:szCs w:val="21"/>
              </w:rPr>
              <w:t xml:space="preserve"> </w:t>
            </w:r>
            <w:r w:rsidRPr="00717682">
              <w:rPr>
                <w:rFonts w:asciiTheme="majorHAnsi" w:eastAsia="Calibri" w:hAnsiTheme="majorHAnsi" w:cstheme="majorHAnsi"/>
                <w:sz w:val="21"/>
                <w:szCs w:val="21"/>
              </w:rPr>
              <w:t xml:space="preserve">Proposals in policy areas of vulnerable </w:t>
            </w:r>
            <w:r w:rsidRPr="00717682">
              <w:rPr>
                <w:rFonts w:asciiTheme="majorHAnsi" w:eastAsia="Calibri" w:hAnsiTheme="majorHAnsi" w:cstheme="majorHAnsi"/>
                <w:color w:val="000000" w:themeColor="text1"/>
                <w:sz w:val="21"/>
                <w:szCs w:val="21"/>
              </w:rPr>
              <w:t>children (age 5–14, or school years 1–10) and disengaged youth (age 15–24). Closed 10 September 2018. Consortium led by Berry Street Victoria, Victorian Aboriginal Child Care Agency (VACCA), and Melbourne CityMission chosen to progress to Joint Development Phase.</w:t>
            </w:r>
          </w:p>
          <w:p w14:paraId="2C590572" w14:textId="77777777" w:rsidR="00F00E3D" w:rsidRPr="00717682" w:rsidRDefault="00F00E3D" w:rsidP="00A418C1">
            <w:pPr>
              <w:spacing w:after="0"/>
              <w:rPr>
                <w:rFonts w:asciiTheme="majorHAnsi" w:hAnsiTheme="majorHAnsi" w:cstheme="majorHAnsi"/>
                <w:sz w:val="16"/>
                <w:szCs w:val="16"/>
              </w:rPr>
            </w:pPr>
          </w:p>
          <w:p w14:paraId="6E32A115" w14:textId="77777777" w:rsidR="00F00E3D" w:rsidRPr="00717682" w:rsidRDefault="00F00E3D" w:rsidP="00A418C1">
            <w:pPr>
              <w:spacing w:after="0"/>
              <w:rPr>
                <w:rFonts w:asciiTheme="majorHAnsi" w:eastAsia="Times New Roman" w:hAnsiTheme="majorHAnsi" w:cstheme="majorHAnsi"/>
                <w:color w:val="000000" w:themeColor="text1"/>
                <w:sz w:val="21"/>
                <w:szCs w:val="21"/>
              </w:rPr>
            </w:pPr>
            <w:r w:rsidRPr="00717682">
              <w:rPr>
                <w:rFonts w:asciiTheme="majorHAnsi" w:eastAsia="Times New Roman" w:hAnsiTheme="majorHAnsi" w:cstheme="majorHAnsi"/>
                <w:b/>
                <w:bCs/>
                <w:color w:val="000000" w:themeColor="text1"/>
                <w:sz w:val="21"/>
                <w:szCs w:val="21"/>
              </w:rPr>
              <w:t>Social Impact Bonds Pilot Program (COMPASS):</w:t>
            </w:r>
            <w:r w:rsidRPr="00717682">
              <w:rPr>
                <w:rFonts w:asciiTheme="majorHAnsi" w:eastAsia="Times New Roman" w:hAnsiTheme="majorHAnsi" w:cstheme="majorHAnsi"/>
                <w:color w:val="000000" w:themeColor="text1"/>
                <w:sz w:val="21"/>
                <w:szCs w:val="21"/>
              </w:rPr>
              <w:t xml:space="preserve"> Co-delivered by Anglicare Victoria and VincentCare, </w:t>
            </w:r>
            <w:r>
              <w:rPr>
                <w:rFonts w:asciiTheme="majorHAnsi" w:eastAsia="Times New Roman" w:hAnsiTheme="majorHAnsi" w:cstheme="majorHAnsi"/>
                <w:color w:val="000000" w:themeColor="text1"/>
                <w:sz w:val="21"/>
                <w:szCs w:val="21"/>
              </w:rPr>
              <w:t>combines</w:t>
            </w:r>
            <w:r w:rsidRPr="00717682">
              <w:rPr>
                <w:rFonts w:asciiTheme="majorHAnsi" w:eastAsia="Times New Roman" w:hAnsiTheme="majorHAnsi" w:cstheme="majorHAnsi"/>
                <w:color w:val="000000" w:themeColor="text1"/>
                <w:sz w:val="21"/>
                <w:szCs w:val="21"/>
              </w:rPr>
              <w:t xml:space="preserve"> individualised case management, specialist support, and stable housing to improve outcomes for young people leaving out-of-home care.</w:t>
            </w:r>
          </w:p>
          <w:p w14:paraId="275A8516" w14:textId="77777777" w:rsidR="00F00E3D" w:rsidRPr="00717682" w:rsidRDefault="00F00E3D" w:rsidP="00A418C1">
            <w:pPr>
              <w:spacing w:after="0"/>
              <w:rPr>
                <w:rFonts w:asciiTheme="majorHAnsi" w:hAnsiTheme="majorHAnsi" w:cstheme="majorHAnsi"/>
                <w:sz w:val="16"/>
                <w:szCs w:val="16"/>
              </w:rPr>
            </w:pPr>
          </w:p>
          <w:p w14:paraId="56B06A8B" w14:textId="77777777" w:rsidR="00F00E3D" w:rsidRPr="00717682" w:rsidRDefault="007320D6" w:rsidP="00A418C1">
            <w:pPr>
              <w:spacing w:after="0"/>
              <w:rPr>
                <w:rFonts w:asciiTheme="majorHAnsi" w:hAnsiTheme="majorHAnsi" w:cstheme="majorHAnsi"/>
                <w:sz w:val="21"/>
                <w:szCs w:val="21"/>
              </w:rPr>
            </w:pPr>
            <w:hyperlink r:id="rId48">
              <w:r w:rsidR="00F00E3D" w:rsidRPr="00717682">
                <w:rPr>
                  <w:rStyle w:val="Hyperlink"/>
                  <w:rFonts w:asciiTheme="majorHAnsi" w:eastAsia="Times New Roman" w:hAnsiTheme="majorHAnsi" w:cstheme="majorHAnsi"/>
                  <w:b/>
                  <w:bCs/>
                  <w:sz w:val="21"/>
                  <w:szCs w:val="21"/>
                </w:rPr>
                <w:t>Expert Advisory Panel for Rural and Regional Students</w:t>
              </w:r>
            </w:hyperlink>
            <w:r w:rsidR="00F00E3D" w:rsidRPr="00717682">
              <w:rPr>
                <w:rStyle w:val="Hyperlink"/>
                <w:rFonts w:asciiTheme="majorHAnsi" w:eastAsia="Times New Roman" w:hAnsiTheme="majorHAnsi" w:cstheme="majorHAnsi"/>
                <w:b/>
                <w:bCs/>
                <w:sz w:val="21"/>
                <w:szCs w:val="21"/>
              </w:rPr>
              <w:t>:</w:t>
            </w:r>
            <w:r w:rsidR="00F00E3D" w:rsidRPr="00717682">
              <w:rPr>
                <w:rFonts w:asciiTheme="majorHAnsi" w:eastAsia="Times New Roman" w:hAnsiTheme="majorHAnsi" w:cstheme="majorHAnsi"/>
                <w:b/>
                <w:bCs/>
                <w:sz w:val="21"/>
                <w:szCs w:val="21"/>
              </w:rPr>
              <w:t xml:space="preserve"> </w:t>
            </w:r>
            <w:r w:rsidR="00F00E3D" w:rsidRPr="00717682">
              <w:rPr>
                <w:rFonts w:asciiTheme="majorHAnsi" w:eastAsia="Times New Roman" w:hAnsiTheme="majorHAnsi" w:cstheme="majorHAnsi"/>
                <w:sz w:val="21"/>
                <w:szCs w:val="21"/>
              </w:rPr>
              <w:t>A</w:t>
            </w:r>
            <w:r w:rsidR="00F00E3D" w:rsidRPr="00717682">
              <w:rPr>
                <w:rFonts w:asciiTheme="majorHAnsi" w:hAnsiTheme="majorHAnsi" w:cstheme="majorHAnsi"/>
                <w:sz w:val="21"/>
                <w:szCs w:val="21"/>
              </w:rPr>
              <w:t xml:space="preserve"> </w:t>
            </w:r>
            <w:r w:rsidR="00F00E3D" w:rsidRPr="00717682">
              <w:rPr>
                <w:rFonts w:asciiTheme="majorHAnsi" w:eastAsia="Times New Roman" w:hAnsiTheme="majorHAnsi" w:cstheme="majorHAnsi"/>
                <w:color w:val="000000" w:themeColor="text1"/>
                <w:sz w:val="21"/>
                <w:szCs w:val="21"/>
              </w:rPr>
              <w:t>2019 panel report made eight recommendations for change. Every local challenge requires a local approach and solution; the vast majority of regional Victorian students are receiving good education, but rural and remote teachers face both common and distinct challenges.</w:t>
            </w:r>
          </w:p>
          <w:p w14:paraId="48F43043" w14:textId="77777777" w:rsidR="00F00E3D" w:rsidRPr="00717682" w:rsidRDefault="00F00E3D" w:rsidP="00A418C1">
            <w:pPr>
              <w:spacing w:after="0"/>
              <w:rPr>
                <w:rFonts w:asciiTheme="majorHAnsi" w:eastAsia="Times New Roman" w:hAnsiTheme="majorHAnsi" w:cstheme="majorHAnsi"/>
                <w:color w:val="000000" w:themeColor="text1"/>
                <w:sz w:val="16"/>
                <w:szCs w:val="16"/>
              </w:rPr>
            </w:pPr>
          </w:p>
          <w:p w14:paraId="5AEC450B"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color w:val="000000" w:themeColor="text1"/>
                <w:sz w:val="21"/>
                <w:szCs w:val="21"/>
              </w:rPr>
              <w:t>Regional Performance Framework</w:t>
            </w:r>
            <w:r w:rsidRPr="00717682">
              <w:rPr>
                <w:rFonts w:asciiTheme="majorHAnsi" w:hAnsiTheme="majorHAnsi" w:cstheme="majorHAnsi"/>
                <w:sz w:val="21"/>
                <w:szCs w:val="21"/>
              </w:rPr>
              <w:t xml:space="preserve">: </w:t>
            </w:r>
            <w:r w:rsidRPr="00717682">
              <w:rPr>
                <w:rFonts w:asciiTheme="majorHAnsi" w:eastAsia="Times New Roman" w:hAnsiTheme="majorHAnsi" w:cstheme="majorHAnsi"/>
                <w:color w:val="000000" w:themeColor="text1"/>
                <w:sz w:val="21"/>
                <w:szCs w:val="21"/>
              </w:rPr>
              <w:t>Supports measurement and monitoring of regional schools’ performance.</w:t>
            </w:r>
          </w:p>
          <w:p w14:paraId="35219482" w14:textId="77777777" w:rsidR="00F00E3D" w:rsidRPr="00717682" w:rsidRDefault="00F00E3D" w:rsidP="00A418C1">
            <w:pPr>
              <w:spacing w:after="0"/>
              <w:rPr>
                <w:rFonts w:asciiTheme="majorHAnsi" w:hAnsiTheme="majorHAnsi" w:cstheme="majorHAnsi"/>
                <w:sz w:val="16"/>
                <w:szCs w:val="16"/>
              </w:rPr>
            </w:pPr>
          </w:p>
          <w:p w14:paraId="644B0D13" w14:textId="77777777" w:rsidR="00F00E3D" w:rsidRPr="00717682" w:rsidRDefault="007320D6" w:rsidP="00A418C1">
            <w:pPr>
              <w:spacing w:after="0"/>
              <w:rPr>
                <w:rFonts w:asciiTheme="majorHAnsi" w:hAnsiTheme="majorHAnsi" w:cstheme="majorHAnsi"/>
                <w:sz w:val="21"/>
                <w:szCs w:val="21"/>
              </w:rPr>
            </w:pPr>
            <w:hyperlink r:id="rId49">
              <w:r w:rsidR="00F00E3D" w:rsidRPr="00717682">
                <w:rPr>
                  <w:rStyle w:val="Hyperlink"/>
                  <w:rFonts w:asciiTheme="majorHAnsi" w:eastAsia="Times New Roman" w:hAnsiTheme="majorHAnsi" w:cstheme="majorHAnsi"/>
                  <w:b/>
                  <w:bCs/>
                  <w:sz w:val="21"/>
                  <w:szCs w:val="21"/>
                </w:rPr>
                <w:t>Skills First</w:t>
              </w:r>
            </w:hyperlink>
            <w:r w:rsidR="00F00E3D" w:rsidRPr="00717682">
              <w:rPr>
                <w:rFonts w:asciiTheme="majorHAnsi" w:hAnsiTheme="majorHAnsi" w:cstheme="majorHAnsi"/>
                <w:sz w:val="21"/>
                <w:szCs w:val="21"/>
              </w:rPr>
              <w:t xml:space="preserve">: </w:t>
            </w:r>
            <w:r w:rsidR="00F00E3D" w:rsidRPr="00717682">
              <w:rPr>
                <w:rFonts w:asciiTheme="majorHAnsi" w:eastAsia="Times New Roman" w:hAnsiTheme="majorHAnsi" w:cstheme="majorHAnsi"/>
                <w:color w:val="000000" w:themeColor="text1"/>
                <w:sz w:val="21"/>
                <w:szCs w:val="21"/>
              </w:rPr>
              <w:t xml:space="preserve">Offers access to targeted and relevant training for students in regional areas. Aim is for training to align with industry and local needs. Funding provided for placements, coordination, and elimination of “dodgy operators”. </w:t>
            </w:r>
          </w:p>
          <w:p w14:paraId="2E41878B" w14:textId="77777777" w:rsidR="00F00E3D" w:rsidRPr="00717682" w:rsidRDefault="00F00E3D" w:rsidP="00A418C1">
            <w:pPr>
              <w:spacing w:after="0"/>
              <w:rPr>
                <w:rFonts w:asciiTheme="majorHAnsi" w:hAnsiTheme="majorHAnsi" w:cstheme="majorHAnsi"/>
                <w:sz w:val="16"/>
                <w:szCs w:val="16"/>
              </w:rPr>
            </w:pPr>
          </w:p>
          <w:p w14:paraId="22F999B8"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color w:val="000000" w:themeColor="text1"/>
                <w:sz w:val="21"/>
                <w:szCs w:val="21"/>
              </w:rPr>
              <w:t>TAFE Asset Maintenance Fund</w:t>
            </w:r>
            <w:r w:rsidRPr="00717682">
              <w:rPr>
                <w:rFonts w:asciiTheme="majorHAnsi" w:hAnsiTheme="majorHAnsi" w:cstheme="majorHAnsi"/>
                <w:sz w:val="21"/>
                <w:szCs w:val="21"/>
              </w:rPr>
              <w:t xml:space="preserve">: </w:t>
            </w:r>
            <w:r w:rsidRPr="00717682">
              <w:rPr>
                <w:rFonts w:asciiTheme="majorHAnsi" w:eastAsia="Times New Roman" w:hAnsiTheme="majorHAnsi" w:cstheme="majorHAnsi"/>
                <w:color w:val="000000" w:themeColor="text1"/>
                <w:sz w:val="21"/>
                <w:szCs w:val="21"/>
              </w:rPr>
              <w:t xml:space="preserve">Included funding in 2019–2020 </w:t>
            </w:r>
            <w:r>
              <w:rPr>
                <w:rFonts w:asciiTheme="majorHAnsi" w:eastAsia="Times New Roman" w:hAnsiTheme="majorHAnsi" w:cstheme="majorHAnsi"/>
                <w:color w:val="000000" w:themeColor="text1"/>
                <w:sz w:val="21"/>
                <w:szCs w:val="21"/>
              </w:rPr>
              <w:t xml:space="preserve">Victorian </w:t>
            </w:r>
            <w:r w:rsidRPr="00717682">
              <w:rPr>
                <w:rFonts w:asciiTheme="majorHAnsi" w:eastAsia="Times New Roman" w:hAnsiTheme="majorHAnsi" w:cstheme="majorHAnsi"/>
                <w:color w:val="000000" w:themeColor="text1"/>
                <w:sz w:val="21"/>
                <w:szCs w:val="21"/>
              </w:rPr>
              <w:t xml:space="preserve">State Budget to upgrade Geelong TAFE Campuses, but few specifics available online. </w:t>
            </w:r>
          </w:p>
          <w:p w14:paraId="5C8AE07D" w14:textId="77777777" w:rsidR="00F00E3D" w:rsidRPr="00717682" w:rsidRDefault="00F00E3D" w:rsidP="00A418C1">
            <w:pPr>
              <w:spacing w:after="0"/>
              <w:rPr>
                <w:rFonts w:asciiTheme="majorHAnsi" w:hAnsiTheme="majorHAnsi" w:cstheme="majorHAnsi"/>
                <w:sz w:val="16"/>
                <w:szCs w:val="16"/>
              </w:rPr>
            </w:pPr>
          </w:p>
          <w:p w14:paraId="56D30189" w14:textId="77777777" w:rsidR="00F00E3D" w:rsidRPr="00717682" w:rsidRDefault="007320D6" w:rsidP="00A418C1">
            <w:pPr>
              <w:spacing w:after="0"/>
              <w:rPr>
                <w:rFonts w:asciiTheme="majorHAnsi" w:hAnsiTheme="majorHAnsi" w:cstheme="majorHAnsi"/>
                <w:sz w:val="21"/>
                <w:szCs w:val="21"/>
              </w:rPr>
            </w:pPr>
            <w:hyperlink r:id="rId50">
              <w:r w:rsidR="00F00E3D" w:rsidRPr="00717682">
                <w:rPr>
                  <w:rStyle w:val="Hyperlink"/>
                  <w:rFonts w:asciiTheme="majorHAnsi" w:eastAsia="Times New Roman" w:hAnsiTheme="majorHAnsi" w:cstheme="majorHAnsi"/>
                  <w:b/>
                  <w:bCs/>
                  <w:sz w:val="21"/>
                  <w:szCs w:val="21"/>
                </w:rPr>
                <w:t>Regional and Specialist Training Fund</w:t>
              </w:r>
            </w:hyperlink>
            <w:r w:rsidR="00F00E3D" w:rsidRPr="00717682">
              <w:rPr>
                <w:rFonts w:asciiTheme="majorHAnsi" w:hAnsiTheme="majorHAnsi" w:cstheme="majorHAnsi"/>
                <w:sz w:val="21"/>
                <w:szCs w:val="21"/>
              </w:rPr>
              <w:t xml:space="preserve">: </w:t>
            </w:r>
            <w:r w:rsidR="00F00E3D" w:rsidRPr="00717682">
              <w:rPr>
                <w:rFonts w:asciiTheme="majorHAnsi" w:eastAsia="Times New Roman" w:hAnsiTheme="majorHAnsi" w:cstheme="majorHAnsi"/>
                <w:color w:val="000000" w:themeColor="text1"/>
                <w:sz w:val="21"/>
                <w:szCs w:val="21"/>
              </w:rPr>
              <w:t xml:space="preserve">Available in 2019, targeted to support training in regional and specialist areas for specific skills not currently being met by the training market. </w:t>
            </w:r>
          </w:p>
          <w:p w14:paraId="77EED4B6" w14:textId="77777777" w:rsidR="00F00E3D" w:rsidRPr="00717682" w:rsidRDefault="00F00E3D" w:rsidP="00A418C1">
            <w:pPr>
              <w:spacing w:after="0"/>
              <w:rPr>
                <w:rFonts w:asciiTheme="majorHAnsi" w:hAnsiTheme="majorHAnsi" w:cstheme="majorHAnsi"/>
                <w:sz w:val="12"/>
                <w:szCs w:val="12"/>
              </w:rPr>
            </w:pPr>
          </w:p>
        </w:tc>
        <w:tc>
          <w:tcPr>
            <w:tcW w:w="3693" w:type="dxa"/>
            <w:tcBorders>
              <w:top w:val="single" w:sz="8" w:space="0" w:color="auto"/>
              <w:left w:val="single" w:sz="8" w:space="0" w:color="auto"/>
              <w:bottom w:val="single" w:sz="8" w:space="0" w:color="auto"/>
              <w:right w:val="single" w:sz="8" w:space="0" w:color="auto"/>
            </w:tcBorders>
          </w:tcPr>
          <w:p w14:paraId="20633232" w14:textId="77777777" w:rsidR="00F00E3D" w:rsidRDefault="00F00E3D" w:rsidP="00A418C1">
            <w:pPr>
              <w:spacing w:after="0"/>
              <w:rPr>
                <w:rFonts w:asciiTheme="majorHAnsi" w:eastAsia="Times New Roman" w:hAnsiTheme="majorHAnsi" w:cstheme="majorHAnsi"/>
                <w:b/>
                <w:bCs/>
                <w:sz w:val="21"/>
                <w:szCs w:val="21"/>
                <w:lang w:val="en-GB"/>
              </w:rPr>
            </w:pPr>
          </w:p>
          <w:p w14:paraId="1889672E"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sz w:val="21"/>
                <w:szCs w:val="21"/>
                <w:lang w:val="en-GB"/>
              </w:rPr>
              <w:t xml:space="preserve">No specific reference to these </w:t>
            </w:r>
            <w:proofErr w:type="gramStart"/>
            <w:r w:rsidRPr="00717682">
              <w:rPr>
                <w:rFonts w:asciiTheme="majorHAnsi" w:eastAsia="Times New Roman" w:hAnsiTheme="majorHAnsi" w:cstheme="majorHAnsi"/>
                <w:sz w:val="21"/>
                <w:szCs w:val="21"/>
                <w:lang w:val="en-GB"/>
              </w:rPr>
              <w:t>localities</w:t>
            </w:r>
            <w:r>
              <w:rPr>
                <w:rFonts w:asciiTheme="majorHAnsi" w:eastAsia="Times New Roman" w:hAnsiTheme="majorHAnsi" w:cstheme="majorHAnsi"/>
                <w:sz w:val="21"/>
                <w:szCs w:val="21"/>
                <w:lang w:val="en-GB"/>
              </w:rPr>
              <w:t>,</w:t>
            </w:r>
            <w:r w:rsidRPr="00717682">
              <w:rPr>
                <w:rFonts w:asciiTheme="majorHAnsi" w:eastAsia="Times New Roman" w:hAnsiTheme="majorHAnsi" w:cstheme="majorHAnsi"/>
                <w:sz w:val="21"/>
                <w:szCs w:val="21"/>
                <w:lang w:val="en-GB"/>
              </w:rPr>
              <w:t xml:space="preserve"> but</w:t>
            </w:r>
            <w:proofErr w:type="gramEnd"/>
            <w:r w:rsidRPr="00717682">
              <w:rPr>
                <w:rFonts w:asciiTheme="majorHAnsi" w:eastAsia="Times New Roman" w:hAnsiTheme="majorHAnsi" w:cstheme="majorHAnsi"/>
                <w:sz w:val="21"/>
                <w:szCs w:val="21"/>
                <w:lang w:val="en-GB"/>
              </w:rPr>
              <w:t xml:space="preserve"> could be relevant.</w:t>
            </w:r>
          </w:p>
          <w:p w14:paraId="6A482055"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sz w:val="21"/>
                <w:szCs w:val="21"/>
                <w:lang w:val="en-GB"/>
              </w:rPr>
              <w:t xml:space="preserve"> </w:t>
            </w:r>
          </w:p>
          <w:p w14:paraId="6C0D47CD"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54886507"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0F98AA91"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6ED43B2A"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5EEEA6D4"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0482F480"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2EEA920A"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77F164AB"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02AFE890"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31799A48"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212077F4"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75A6942B"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128F2F3C"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1A13BCC8"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023E100A"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b/>
                <w:bCs/>
                <w:sz w:val="21"/>
                <w:szCs w:val="21"/>
                <w:lang w:val="en-GB"/>
              </w:rPr>
              <w:t xml:space="preserve"> </w:t>
            </w:r>
          </w:p>
          <w:p w14:paraId="21F9F8C5" w14:textId="77777777" w:rsidR="00F00E3D" w:rsidRPr="00717682" w:rsidRDefault="00F00E3D" w:rsidP="778E395A">
            <w:pPr>
              <w:spacing w:after="0"/>
              <w:rPr>
                <w:rFonts w:asciiTheme="majorHAnsi" w:hAnsiTheme="majorHAnsi" w:cstheme="majorBidi"/>
                <w:sz w:val="21"/>
                <w:szCs w:val="21"/>
              </w:rPr>
            </w:pPr>
            <w:r w:rsidRPr="778E395A">
              <w:rPr>
                <w:rFonts w:asciiTheme="majorHAnsi" w:eastAsia="Times New Roman" w:hAnsiTheme="majorHAnsi" w:cstheme="majorBidi"/>
                <w:sz w:val="21"/>
                <w:szCs w:val="21"/>
                <w:lang w:val="en-GB"/>
              </w:rPr>
              <w:t>No specific reference to these localities.</w:t>
            </w:r>
          </w:p>
        </w:tc>
      </w:tr>
      <w:tr w:rsidR="00F00E3D" w:rsidRPr="008949E9" w14:paraId="71066199" w14:textId="77777777" w:rsidTr="778E395A">
        <w:trPr>
          <w:trHeight w:val="1492"/>
        </w:trPr>
        <w:tc>
          <w:tcPr>
            <w:tcW w:w="960" w:type="dxa"/>
            <w:tcBorders>
              <w:top w:val="single" w:sz="8" w:space="0" w:color="auto"/>
              <w:left w:val="single" w:sz="8" w:space="0" w:color="auto"/>
              <w:bottom w:val="single" w:sz="8" w:space="0" w:color="auto"/>
              <w:right w:val="single" w:sz="8" w:space="0" w:color="auto"/>
            </w:tcBorders>
          </w:tcPr>
          <w:p w14:paraId="6EE06776" w14:textId="014D1CA8" w:rsidR="00F00E3D" w:rsidRPr="008949E9" w:rsidRDefault="00502E6C" w:rsidP="00A418C1">
            <w:pPr>
              <w:spacing w:after="0"/>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w:lastRenderedPageBreak/>
              <mc:AlternateContent>
                <mc:Choice Requires="wps">
                  <w:drawing>
                    <wp:anchor distT="45720" distB="45720" distL="114300" distR="114300" simplePos="0" relativeHeight="251658253" behindDoc="0" locked="0" layoutInCell="1" allowOverlap="1" wp14:anchorId="4E153F37" wp14:editId="2F981883">
                      <wp:simplePos x="0" y="0"/>
                      <wp:positionH relativeFrom="column">
                        <wp:posOffset>-166370</wp:posOffset>
                      </wp:positionH>
                      <wp:positionV relativeFrom="paragraph">
                        <wp:posOffset>560070</wp:posOffset>
                      </wp:positionV>
                      <wp:extent cx="806450" cy="341630"/>
                      <wp:effectExtent l="381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6450" cy="341630"/>
                              </a:xfrm>
                              <a:prstGeom prst="rect">
                                <a:avLst/>
                              </a:prstGeom>
                              <a:noFill/>
                              <a:ln w="9525">
                                <a:noFill/>
                                <a:miter lim="800000"/>
                                <a:headEnd/>
                                <a:tailEnd/>
                              </a:ln>
                            </wps:spPr>
                            <wps:txbx>
                              <w:txbxContent>
                                <w:p w14:paraId="7F135B71" w14:textId="77777777" w:rsidR="00063AC8" w:rsidRPr="004200CF" w:rsidRDefault="00063AC8" w:rsidP="009B2FA7">
                                  <w:pPr>
                                    <w:jc w:val="right"/>
                                    <w:rPr>
                                      <w:b/>
                                      <w:bCs/>
                                      <w:color w:val="595959" w:themeColor="text1" w:themeTint="A6"/>
                                    </w:rPr>
                                  </w:pPr>
                                  <w:r>
                                    <w:rPr>
                                      <w:b/>
                                      <w:bCs/>
                                      <w:color w:val="595959" w:themeColor="text1" w:themeTint="A6"/>
                                    </w:rPr>
                                    <w:t>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53F37" id="_x0000_s1039" type="#_x0000_t202" style="position:absolute;margin-left:-13.1pt;margin-top:44.1pt;width:63.5pt;height:26.9pt;rotation:-90;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" filled="f" stroked="f">
                      <v:textbox>
                        <w:txbxContent>
                          <w:p w14:paraId="7F135B71" w14:textId="77777777" w:rsidR="00063AC8" w:rsidRPr="004200CF" w:rsidRDefault="00063AC8" w:rsidP="009B2FA7">
                            <w:pPr>
                              <w:jc w:val="right"/>
                              <w:rPr>
                                <w:b/>
                                <w:bCs/>
                                <w:color w:val="595959" w:themeColor="text1" w:themeTint="A6"/>
                              </w:rPr>
                            </w:pPr>
                            <w:r>
                              <w:rPr>
                                <w:b/>
                                <w:bCs/>
                                <w:color w:val="595959" w:themeColor="text1" w:themeTint="A6"/>
                              </w:rPr>
                              <w:t>HOUSING</w:t>
                            </w:r>
                          </w:p>
                        </w:txbxContent>
                      </v:textbox>
                      <w10:wrap type="square"/>
                    </v:shape>
                  </w:pict>
                </mc:Fallback>
              </mc:AlternateContent>
            </w:r>
          </w:p>
        </w:tc>
        <w:tc>
          <w:tcPr>
            <w:tcW w:w="9934" w:type="dxa"/>
            <w:tcBorders>
              <w:top w:val="single" w:sz="8" w:space="0" w:color="auto"/>
              <w:left w:val="single" w:sz="8" w:space="0" w:color="auto"/>
              <w:bottom w:val="single" w:sz="8" w:space="0" w:color="auto"/>
              <w:right w:val="single" w:sz="8" w:space="0" w:color="auto"/>
            </w:tcBorders>
          </w:tcPr>
          <w:p w14:paraId="31EE0012" w14:textId="77777777" w:rsidR="00F00E3D" w:rsidRPr="00717682" w:rsidRDefault="00F00E3D" w:rsidP="00A418C1">
            <w:pPr>
              <w:spacing w:after="0"/>
              <w:rPr>
                <w:rFonts w:asciiTheme="majorHAnsi" w:eastAsia="Times New Roman" w:hAnsiTheme="majorHAnsi" w:cstheme="majorHAnsi"/>
                <w:color w:val="000000" w:themeColor="text1"/>
                <w:sz w:val="21"/>
                <w:szCs w:val="21"/>
              </w:rPr>
            </w:pPr>
            <w:r w:rsidRPr="00717682">
              <w:rPr>
                <w:rFonts w:asciiTheme="majorHAnsi" w:eastAsia="Times New Roman" w:hAnsiTheme="majorHAnsi" w:cstheme="majorHAnsi"/>
                <w:b/>
                <w:bCs/>
                <w:color w:val="000000" w:themeColor="text1"/>
                <w:sz w:val="21"/>
                <w:szCs w:val="21"/>
              </w:rPr>
              <w:t>Journey to Social Inclusion:</w:t>
            </w:r>
            <w:r w:rsidRPr="00717682">
              <w:rPr>
                <w:rFonts w:asciiTheme="majorHAnsi" w:eastAsia="Times New Roman" w:hAnsiTheme="majorHAnsi" w:cstheme="majorHAnsi"/>
                <w:color w:val="000000" w:themeColor="text1"/>
                <w:sz w:val="21"/>
                <w:szCs w:val="21"/>
              </w:rPr>
              <w:t xml:space="preserve"> Sacred Heart Mission is delivering a scaled-up version of this program, which has shown promising signs of ending the cycle of chronic homelessness by taking a relationship-based, trauma-informed, and strengths-based approach in the context of long-term assertive case management and access to rapid housing.</w:t>
            </w:r>
          </w:p>
          <w:p w14:paraId="12858317" w14:textId="77777777" w:rsidR="00F00E3D" w:rsidRPr="00717682" w:rsidRDefault="00F00E3D" w:rsidP="00A418C1">
            <w:pPr>
              <w:spacing w:after="0"/>
              <w:rPr>
                <w:rFonts w:asciiTheme="majorHAnsi" w:hAnsiTheme="majorHAnsi" w:cstheme="majorHAnsi"/>
                <w:sz w:val="16"/>
                <w:szCs w:val="16"/>
              </w:rPr>
            </w:pPr>
          </w:p>
          <w:p w14:paraId="2702C6F3" w14:textId="77777777" w:rsidR="00F00E3D" w:rsidRPr="00717682" w:rsidRDefault="00F00E3D" w:rsidP="00A418C1">
            <w:pPr>
              <w:spacing w:after="0"/>
              <w:rPr>
                <w:rFonts w:asciiTheme="majorHAnsi" w:eastAsia="Times New Roman" w:hAnsiTheme="majorHAnsi" w:cstheme="majorHAnsi"/>
                <w:sz w:val="21"/>
                <w:szCs w:val="21"/>
                <w:lang w:val="en-GB"/>
              </w:rPr>
            </w:pPr>
            <w:r w:rsidRPr="00717682">
              <w:rPr>
                <w:rFonts w:asciiTheme="majorHAnsi" w:eastAsia="Times New Roman" w:hAnsiTheme="majorHAnsi" w:cstheme="majorHAnsi"/>
                <w:b/>
                <w:bCs/>
                <w:sz w:val="21"/>
                <w:szCs w:val="21"/>
                <w:lang w:val="en-GB"/>
              </w:rPr>
              <w:t xml:space="preserve">Homes for Victorians: </w:t>
            </w:r>
            <w:r w:rsidRPr="00717682">
              <w:rPr>
                <w:rFonts w:asciiTheme="majorHAnsi" w:eastAsia="Times New Roman" w:hAnsiTheme="majorHAnsi" w:cstheme="majorHAnsi"/>
                <w:sz w:val="21"/>
                <w:szCs w:val="21"/>
                <w:lang w:val="en-GB"/>
              </w:rPr>
              <w:t xml:space="preserve"> Support for low-income people to buy homes, tenancy reform to promote stability and affordability for renters, and renewal and expansion of public/social housing stock.</w:t>
            </w:r>
          </w:p>
          <w:p w14:paraId="30971798" w14:textId="77777777" w:rsidR="00F00E3D" w:rsidRPr="00717682" w:rsidRDefault="00F00E3D" w:rsidP="00A418C1">
            <w:pPr>
              <w:spacing w:after="0"/>
              <w:rPr>
                <w:rFonts w:asciiTheme="majorHAnsi" w:hAnsiTheme="majorHAnsi" w:cstheme="majorHAnsi"/>
                <w:sz w:val="16"/>
                <w:szCs w:val="16"/>
              </w:rPr>
            </w:pPr>
          </w:p>
          <w:p w14:paraId="2F70E85A" w14:textId="77777777" w:rsidR="00F00E3D" w:rsidRPr="00717682" w:rsidRDefault="007320D6" w:rsidP="00A418C1">
            <w:pPr>
              <w:spacing w:after="0"/>
              <w:rPr>
                <w:rFonts w:asciiTheme="majorHAnsi" w:eastAsia="Times New Roman" w:hAnsiTheme="majorHAnsi" w:cstheme="majorHAnsi"/>
                <w:color w:val="000000" w:themeColor="text1"/>
                <w:sz w:val="21"/>
                <w:szCs w:val="21"/>
              </w:rPr>
            </w:pPr>
            <w:hyperlink r:id="rId51">
              <w:r w:rsidR="00F00E3D" w:rsidRPr="00717682">
                <w:rPr>
                  <w:rStyle w:val="Hyperlink"/>
                  <w:rFonts w:asciiTheme="majorHAnsi" w:eastAsia="Times New Roman" w:hAnsiTheme="majorHAnsi" w:cstheme="majorHAnsi"/>
                  <w:b/>
                  <w:bCs/>
                  <w:sz w:val="21"/>
                  <w:szCs w:val="21"/>
                </w:rPr>
                <w:t>Big Housing Build</w:t>
              </w:r>
            </w:hyperlink>
            <w:r w:rsidR="00F00E3D" w:rsidRPr="00717682">
              <w:rPr>
                <w:rFonts w:asciiTheme="majorHAnsi" w:eastAsia="Times New Roman" w:hAnsiTheme="majorHAnsi" w:cstheme="majorHAnsi"/>
                <w:color w:val="000000" w:themeColor="text1"/>
                <w:sz w:val="21"/>
                <w:szCs w:val="21"/>
              </w:rPr>
              <w:t xml:space="preserve"> </w:t>
            </w:r>
            <w:r w:rsidR="00F00E3D" w:rsidRPr="00EF2093">
              <w:rPr>
                <w:rFonts w:asciiTheme="majorHAnsi" w:eastAsia="Times New Roman" w:hAnsiTheme="majorHAnsi" w:cstheme="majorHAnsi"/>
                <w:b/>
                <w:bCs/>
                <w:color w:val="000000" w:themeColor="text1"/>
                <w:sz w:val="21"/>
                <w:szCs w:val="21"/>
              </w:rPr>
              <w:t>(BHB):</w:t>
            </w:r>
            <w:r w:rsidR="00F00E3D" w:rsidRPr="00717682">
              <w:rPr>
                <w:rFonts w:asciiTheme="majorHAnsi" w:eastAsia="Times New Roman" w:hAnsiTheme="majorHAnsi" w:cstheme="majorHAnsi"/>
                <w:color w:val="000000" w:themeColor="text1"/>
                <w:sz w:val="21"/>
                <w:szCs w:val="21"/>
              </w:rPr>
              <w:t xml:space="preserve"> Minimum investment commitment to regional governments with significant growth to build social housing.</w:t>
            </w:r>
          </w:p>
          <w:p w14:paraId="198E9F23" w14:textId="77777777" w:rsidR="00F00E3D" w:rsidRPr="00024F50" w:rsidRDefault="00F00E3D" w:rsidP="00A418C1">
            <w:pPr>
              <w:spacing w:after="0"/>
              <w:rPr>
                <w:rFonts w:asciiTheme="majorHAnsi" w:hAnsiTheme="majorHAnsi" w:cstheme="majorHAnsi"/>
                <w:sz w:val="16"/>
                <w:szCs w:val="16"/>
              </w:rPr>
            </w:pPr>
          </w:p>
          <w:p w14:paraId="0F7BBE69" w14:textId="77777777" w:rsidR="00F00E3D" w:rsidRPr="00717682" w:rsidRDefault="007320D6" w:rsidP="00A418C1">
            <w:pPr>
              <w:spacing w:after="0"/>
              <w:rPr>
                <w:rFonts w:asciiTheme="majorHAnsi" w:hAnsiTheme="majorHAnsi" w:cstheme="majorHAnsi"/>
                <w:sz w:val="21"/>
                <w:szCs w:val="21"/>
              </w:rPr>
            </w:pPr>
            <w:hyperlink r:id="rId52">
              <w:r w:rsidR="00F00E3D" w:rsidRPr="00717682">
                <w:rPr>
                  <w:rStyle w:val="Hyperlink"/>
                  <w:rFonts w:asciiTheme="majorHAnsi" w:eastAsia="Times New Roman" w:hAnsiTheme="majorHAnsi" w:cstheme="majorHAnsi"/>
                  <w:b/>
                  <w:bCs/>
                  <w:sz w:val="21"/>
                  <w:szCs w:val="21"/>
                </w:rPr>
                <w:t>Homes for Victorians – Changes in housing and renting</w:t>
              </w:r>
            </w:hyperlink>
            <w:r w:rsidR="00F00E3D" w:rsidRPr="00717682">
              <w:rPr>
                <w:rFonts w:asciiTheme="majorHAnsi" w:hAnsiTheme="majorHAnsi" w:cstheme="majorHAnsi"/>
                <w:sz w:val="21"/>
                <w:szCs w:val="21"/>
              </w:rPr>
              <w:t xml:space="preserve">: </w:t>
            </w:r>
            <w:r w:rsidR="00F00E3D" w:rsidRPr="00717682">
              <w:rPr>
                <w:rFonts w:asciiTheme="majorHAnsi" w:eastAsia="Times New Roman" w:hAnsiTheme="majorHAnsi" w:cstheme="majorHAnsi"/>
                <w:color w:val="000000" w:themeColor="text1"/>
                <w:sz w:val="21"/>
                <w:szCs w:val="21"/>
              </w:rPr>
              <w:t xml:space="preserve">First </w:t>
            </w:r>
            <w:proofErr w:type="gramStart"/>
            <w:r w:rsidR="00F00E3D" w:rsidRPr="00717682">
              <w:rPr>
                <w:rFonts w:asciiTheme="majorHAnsi" w:eastAsia="Times New Roman" w:hAnsiTheme="majorHAnsi" w:cstheme="majorHAnsi"/>
                <w:color w:val="000000" w:themeColor="text1"/>
                <w:sz w:val="21"/>
                <w:szCs w:val="21"/>
              </w:rPr>
              <w:t>Home Owner</w:t>
            </w:r>
            <w:proofErr w:type="gramEnd"/>
            <w:r w:rsidR="00F00E3D" w:rsidRPr="00717682">
              <w:rPr>
                <w:rFonts w:asciiTheme="majorHAnsi" w:eastAsia="Times New Roman" w:hAnsiTheme="majorHAnsi" w:cstheme="majorHAnsi"/>
                <w:color w:val="000000" w:themeColor="text1"/>
                <w:sz w:val="21"/>
                <w:szCs w:val="21"/>
              </w:rPr>
              <w:t xml:space="preserve"> Grant doubled in regional Victoria (now $20,000 for new homes up to $750,000).</w:t>
            </w:r>
          </w:p>
          <w:p w14:paraId="19447A91" w14:textId="77777777" w:rsidR="00F00E3D" w:rsidRPr="00717682" w:rsidRDefault="00F00E3D" w:rsidP="00A418C1">
            <w:pPr>
              <w:spacing w:after="0"/>
              <w:rPr>
                <w:rFonts w:asciiTheme="majorHAnsi" w:hAnsiTheme="majorHAnsi" w:cstheme="majorHAnsi"/>
                <w:sz w:val="16"/>
                <w:szCs w:val="16"/>
              </w:rPr>
            </w:pPr>
          </w:p>
          <w:p w14:paraId="02339680" w14:textId="169A018A" w:rsidR="00F00E3D" w:rsidRPr="00717682" w:rsidRDefault="007320D6" w:rsidP="00A418C1">
            <w:pPr>
              <w:spacing w:after="0"/>
              <w:rPr>
                <w:rFonts w:asciiTheme="majorHAnsi" w:hAnsiTheme="majorHAnsi" w:cstheme="majorHAnsi"/>
                <w:sz w:val="21"/>
                <w:szCs w:val="21"/>
              </w:rPr>
            </w:pPr>
            <w:hyperlink r:id="rId53">
              <w:r w:rsidR="00F00E3D" w:rsidRPr="00717682">
                <w:rPr>
                  <w:rStyle w:val="Hyperlink"/>
                  <w:rFonts w:asciiTheme="majorHAnsi" w:eastAsia="Times New Roman" w:hAnsiTheme="majorHAnsi" w:cstheme="majorHAnsi"/>
                  <w:b/>
                  <w:bCs/>
                  <w:sz w:val="21"/>
                  <w:szCs w:val="21"/>
                  <w:lang w:val="en-GB"/>
                </w:rPr>
                <w:t>Refugee Resettlement in Regional and Rural Victoria: Impacts and Policy Issues</w:t>
              </w:r>
            </w:hyperlink>
            <w:r w:rsidR="00650BFF">
              <w:t xml:space="preserve">: </w:t>
            </w:r>
            <w:r w:rsidR="00F00E3D" w:rsidRPr="00717682">
              <w:rPr>
                <w:rFonts w:asciiTheme="majorHAnsi" w:eastAsia="Times New Roman" w:hAnsiTheme="majorHAnsi" w:cstheme="majorHAnsi"/>
                <w:sz w:val="21"/>
                <w:szCs w:val="21"/>
                <w:lang w:val="en-GB"/>
              </w:rPr>
              <w:t xml:space="preserve">Settlement in Geelong is encouraged by the Federal Government, and the </w:t>
            </w:r>
            <w:r w:rsidR="00650BFF">
              <w:rPr>
                <w:rFonts w:asciiTheme="majorHAnsi" w:eastAsia="Times New Roman" w:hAnsiTheme="majorHAnsi" w:cstheme="majorHAnsi"/>
                <w:sz w:val="21"/>
                <w:szCs w:val="21"/>
                <w:lang w:val="en-GB"/>
              </w:rPr>
              <w:t>C</w:t>
            </w:r>
            <w:r w:rsidR="00F00E3D" w:rsidRPr="00717682">
              <w:rPr>
                <w:rFonts w:asciiTheme="majorHAnsi" w:eastAsia="Times New Roman" w:hAnsiTheme="majorHAnsi" w:cstheme="majorHAnsi"/>
                <w:sz w:val="21"/>
                <w:szCs w:val="21"/>
                <w:lang w:val="en-GB"/>
              </w:rPr>
              <w:t>ity has long been a destination for direct settlement. However secondary migration to other areas (</w:t>
            </w:r>
            <w:proofErr w:type="gramStart"/>
            <w:r w:rsidR="00F00E3D" w:rsidRPr="00717682">
              <w:rPr>
                <w:rFonts w:asciiTheme="majorHAnsi" w:eastAsia="Times New Roman" w:hAnsiTheme="majorHAnsi" w:cstheme="majorHAnsi"/>
                <w:sz w:val="21"/>
                <w:szCs w:val="21"/>
                <w:lang w:val="en-GB"/>
              </w:rPr>
              <w:t>i.e.</w:t>
            </w:r>
            <w:proofErr w:type="gramEnd"/>
            <w:r w:rsidR="00F00E3D" w:rsidRPr="00717682">
              <w:rPr>
                <w:rFonts w:asciiTheme="majorHAnsi" w:eastAsia="Times New Roman" w:hAnsiTheme="majorHAnsi" w:cstheme="majorHAnsi"/>
                <w:sz w:val="21"/>
                <w:szCs w:val="21"/>
                <w:lang w:val="en-GB"/>
              </w:rPr>
              <w:t xml:space="preserve"> Colac) is also occurring to address skill shortages and population decline.</w:t>
            </w:r>
          </w:p>
        </w:tc>
        <w:tc>
          <w:tcPr>
            <w:tcW w:w="3693" w:type="dxa"/>
            <w:tcBorders>
              <w:top w:val="single" w:sz="8" w:space="0" w:color="auto"/>
              <w:left w:val="single" w:sz="8" w:space="0" w:color="auto"/>
              <w:bottom w:val="single" w:sz="8" w:space="0" w:color="auto"/>
              <w:right w:val="single" w:sz="8" w:space="0" w:color="auto"/>
            </w:tcBorders>
          </w:tcPr>
          <w:p w14:paraId="10216D2B"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sz w:val="21"/>
                <w:szCs w:val="21"/>
                <w:lang w:val="en-GB"/>
              </w:rPr>
              <w:t xml:space="preserve"> </w:t>
            </w:r>
          </w:p>
          <w:p w14:paraId="6D65B4BB"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sz w:val="21"/>
                <w:szCs w:val="21"/>
                <w:lang w:val="en-GB"/>
              </w:rPr>
              <w:t xml:space="preserve"> </w:t>
            </w:r>
          </w:p>
          <w:p w14:paraId="71D35DEB"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sz w:val="21"/>
                <w:szCs w:val="21"/>
                <w:lang w:val="en-GB"/>
              </w:rPr>
              <w:t xml:space="preserve"> </w:t>
            </w:r>
          </w:p>
          <w:p w14:paraId="54C70777" w14:textId="77777777" w:rsidR="00F00E3D" w:rsidRDefault="00F00E3D" w:rsidP="00A418C1">
            <w:pPr>
              <w:spacing w:after="0"/>
              <w:rPr>
                <w:rFonts w:asciiTheme="majorHAnsi" w:eastAsia="Times New Roman" w:hAnsiTheme="majorHAnsi" w:cstheme="majorHAnsi"/>
                <w:sz w:val="21"/>
                <w:szCs w:val="21"/>
                <w:lang w:val="en-GB"/>
              </w:rPr>
            </w:pPr>
          </w:p>
          <w:p w14:paraId="72764D40" w14:textId="77777777" w:rsidR="00F00E3D" w:rsidRDefault="00F00E3D" w:rsidP="00A418C1">
            <w:pPr>
              <w:spacing w:after="0"/>
              <w:rPr>
                <w:rFonts w:asciiTheme="majorHAnsi" w:eastAsia="Times New Roman" w:hAnsiTheme="majorHAnsi" w:cstheme="majorHAnsi"/>
                <w:sz w:val="21"/>
                <w:szCs w:val="21"/>
                <w:lang w:val="en-GB"/>
              </w:rPr>
            </w:pPr>
          </w:p>
          <w:p w14:paraId="1C354E21" w14:textId="77777777" w:rsidR="00650BFF" w:rsidRDefault="00650BFF" w:rsidP="00A418C1">
            <w:pPr>
              <w:spacing w:after="0"/>
              <w:rPr>
                <w:rFonts w:asciiTheme="majorHAnsi" w:eastAsia="Times New Roman" w:hAnsiTheme="majorHAnsi" w:cstheme="majorHAnsi"/>
                <w:sz w:val="21"/>
                <w:szCs w:val="21"/>
                <w:lang w:val="en-GB"/>
              </w:rPr>
            </w:pPr>
          </w:p>
          <w:p w14:paraId="1300381F" w14:textId="6926D705" w:rsidR="778E395A" w:rsidRDefault="778E395A" w:rsidP="778E395A">
            <w:pPr>
              <w:spacing w:after="0"/>
              <w:rPr>
                <w:rFonts w:asciiTheme="majorHAnsi" w:eastAsia="Times New Roman" w:hAnsiTheme="majorHAnsi" w:cstheme="majorBidi"/>
                <w:sz w:val="21"/>
                <w:szCs w:val="21"/>
                <w:lang w:val="en-GB"/>
              </w:rPr>
            </w:pPr>
          </w:p>
          <w:p w14:paraId="115CDA65" w14:textId="025DA34A" w:rsidR="778E395A" w:rsidRDefault="778E395A" w:rsidP="778E395A">
            <w:pPr>
              <w:spacing w:after="0"/>
              <w:rPr>
                <w:rFonts w:asciiTheme="majorHAnsi" w:eastAsia="Times New Roman" w:hAnsiTheme="majorHAnsi" w:cstheme="majorBidi"/>
                <w:sz w:val="21"/>
                <w:szCs w:val="21"/>
                <w:lang w:val="en-GB"/>
              </w:rPr>
            </w:pPr>
          </w:p>
          <w:p w14:paraId="3F7E751B" w14:textId="2D39C488"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sz w:val="21"/>
                <w:szCs w:val="21"/>
                <w:lang w:val="en-GB"/>
              </w:rPr>
              <w:t>Geelong received $180 million from BHB scheme. Committed to build new social housing and revitalise existing public housing estates, especially in Norlane and Whittington</w:t>
            </w:r>
            <w:r>
              <w:rPr>
                <w:rFonts w:asciiTheme="majorHAnsi" w:eastAsia="Times New Roman" w:hAnsiTheme="majorHAnsi" w:cstheme="majorHAnsi"/>
                <w:sz w:val="21"/>
                <w:szCs w:val="21"/>
                <w:lang w:val="en-GB"/>
              </w:rPr>
              <w:t>.</w:t>
            </w:r>
          </w:p>
          <w:p w14:paraId="715F532A" w14:textId="77777777" w:rsidR="00F00E3D" w:rsidRPr="00717682" w:rsidRDefault="00F00E3D" w:rsidP="00A418C1">
            <w:pPr>
              <w:spacing w:after="0"/>
              <w:rPr>
                <w:rFonts w:asciiTheme="majorHAnsi" w:hAnsiTheme="majorHAnsi" w:cstheme="majorHAnsi"/>
                <w:sz w:val="21"/>
                <w:szCs w:val="21"/>
              </w:rPr>
            </w:pPr>
            <w:r w:rsidRPr="00717682">
              <w:rPr>
                <w:rFonts w:asciiTheme="majorHAnsi" w:eastAsia="Times New Roman" w:hAnsiTheme="majorHAnsi" w:cstheme="majorHAnsi"/>
                <w:sz w:val="21"/>
                <w:szCs w:val="21"/>
                <w:lang w:val="en-GB"/>
              </w:rPr>
              <w:t xml:space="preserve"> </w:t>
            </w:r>
          </w:p>
        </w:tc>
      </w:tr>
      <w:tr w:rsidR="00F00E3D" w:rsidRPr="008949E9" w14:paraId="5392B506" w14:textId="77777777" w:rsidTr="778E395A">
        <w:trPr>
          <w:trHeight w:val="4709"/>
        </w:trPr>
        <w:tc>
          <w:tcPr>
            <w:tcW w:w="960" w:type="dxa"/>
            <w:tcBorders>
              <w:top w:val="single" w:sz="8" w:space="0" w:color="auto"/>
              <w:left w:val="single" w:sz="8" w:space="0" w:color="auto"/>
              <w:bottom w:val="single" w:sz="8" w:space="0" w:color="auto"/>
              <w:right w:val="single" w:sz="8" w:space="0" w:color="auto"/>
            </w:tcBorders>
          </w:tcPr>
          <w:p w14:paraId="1CDB27CA" w14:textId="77777777" w:rsidR="00F00E3D" w:rsidRPr="008949E9" w:rsidRDefault="00F00E3D" w:rsidP="00A418C1">
            <w:pPr>
              <w:spacing w:after="0"/>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mc:AlternateContent>
                <mc:Choice Requires="wps">
                  <w:drawing>
                    <wp:anchor distT="45720" distB="45720" distL="114300" distR="114300" simplePos="0" relativeHeight="251658255" behindDoc="0" locked="0" layoutInCell="1" allowOverlap="1" wp14:anchorId="141A88D3" wp14:editId="78F12EEE">
                      <wp:simplePos x="0" y="0"/>
                      <wp:positionH relativeFrom="column">
                        <wp:posOffset>-481330</wp:posOffset>
                      </wp:positionH>
                      <wp:positionV relativeFrom="paragraph">
                        <wp:posOffset>659765</wp:posOffset>
                      </wp:positionV>
                      <wp:extent cx="1438275" cy="341630"/>
                      <wp:effectExtent l="0" t="0" r="5397"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8275" cy="341630"/>
                              </a:xfrm>
                              <a:prstGeom prst="rect">
                                <a:avLst/>
                              </a:prstGeom>
                              <a:noFill/>
                              <a:ln w="9525">
                                <a:noFill/>
                                <a:miter lim="800000"/>
                                <a:headEnd/>
                                <a:tailEnd/>
                              </a:ln>
                            </wps:spPr>
                            <wps:txbx>
                              <w:txbxContent>
                                <w:p w14:paraId="5D4D444A" w14:textId="77777777" w:rsidR="00063AC8" w:rsidRPr="004200CF" w:rsidRDefault="00063AC8" w:rsidP="009B2FA7">
                                  <w:pPr>
                                    <w:jc w:val="right"/>
                                    <w:rPr>
                                      <w:b/>
                                      <w:bCs/>
                                      <w:color w:val="595959" w:themeColor="text1" w:themeTint="A6"/>
                                    </w:rPr>
                                  </w:pPr>
                                  <w:r>
                                    <w:rPr>
                                      <w:b/>
                                      <w:bCs/>
                                      <w:color w:val="595959" w:themeColor="text1" w:themeTint="A6"/>
                                    </w:rPr>
                                    <w:t>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A88D3" id="_x0000_s1040" type="#_x0000_t202" style="position:absolute;margin-left:-37.9pt;margin-top:51.95pt;width:113.25pt;height:26.9pt;rotation:-90;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" filled="f" stroked="f">
                      <v:textbox>
                        <w:txbxContent>
                          <w:p w14:paraId="5D4D444A" w14:textId="77777777" w:rsidR="00063AC8" w:rsidRPr="004200CF" w:rsidRDefault="00063AC8" w:rsidP="009B2FA7">
                            <w:pPr>
                              <w:jc w:val="right"/>
                              <w:rPr>
                                <w:b/>
                                <w:bCs/>
                                <w:color w:val="595959" w:themeColor="text1" w:themeTint="A6"/>
                              </w:rPr>
                            </w:pPr>
                            <w:r>
                              <w:rPr>
                                <w:b/>
                                <w:bCs/>
                                <w:color w:val="595959" w:themeColor="text1" w:themeTint="A6"/>
                              </w:rPr>
                              <w:t>EMPLOYMENT</w:t>
                            </w:r>
                          </w:p>
                        </w:txbxContent>
                      </v:textbox>
                      <w10:wrap type="square"/>
                    </v:shape>
                  </w:pict>
                </mc:Fallback>
              </mc:AlternateContent>
            </w:r>
          </w:p>
        </w:tc>
        <w:tc>
          <w:tcPr>
            <w:tcW w:w="9934" w:type="dxa"/>
            <w:tcBorders>
              <w:top w:val="single" w:sz="8" w:space="0" w:color="auto"/>
              <w:left w:val="single" w:sz="8" w:space="0" w:color="auto"/>
              <w:bottom w:val="single" w:sz="8" w:space="0" w:color="auto"/>
              <w:right w:val="single" w:sz="8" w:space="0" w:color="auto"/>
            </w:tcBorders>
          </w:tcPr>
          <w:p w14:paraId="1E9237F1" w14:textId="377C6115" w:rsidR="00F00E3D" w:rsidRDefault="00F00E3D" w:rsidP="00A418C1">
            <w:pPr>
              <w:spacing w:after="0"/>
              <w:rPr>
                <w:rFonts w:asciiTheme="majorHAnsi" w:eastAsia="Times New Roman" w:hAnsiTheme="majorHAnsi" w:cstheme="majorHAnsi"/>
                <w:sz w:val="21"/>
                <w:szCs w:val="21"/>
              </w:rPr>
            </w:pPr>
            <w:r w:rsidRPr="008949E9">
              <w:rPr>
                <w:rFonts w:asciiTheme="majorHAnsi" w:eastAsia="Times New Roman" w:hAnsiTheme="majorHAnsi" w:cstheme="majorHAnsi"/>
                <w:b/>
                <w:bCs/>
                <w:sz w:val="21"/>
                <w:szCs w:val="21"/>
              </w:rPr>
              <w:t xml:space="preserve">Social Procurement Framework (2019): </w:t>
            </w:r>
            <w:r>
              <w:rPr>
                <w:rFonts w:asciiTheme="majorHAnsi" w:eastAsia="Times New Roman" w:hAnsiTheme="majorHAnsi" w:cstheme="majorHAnsi"/>
                <w:sz w:val="21"/>
                <w:szCs w:val="21"/>
              </w:rPr>
              <w:t>F</w:t>
            </w:r>
            <w:r w:rsidRPr="008949E9">
              <w:rPr>
                <w:rFonts w:asciiTheme="majorHAnsi" w:eastAsia="Times New Roman" w:hAnsiTheme="majorHAnsi" w:cstheme="majorHAnsi"/>
                <w:sz w:val="21"/>
                <w:szCs w:val="21"/>
              </w:rPr>
              <w:t xml:space="preserve">or projects </w:t>
            </w:r>
            <w:r>
              <w:rPr>
                <w:rFonts w:asciiTheme="majorHAnsi" w:eastAsia="Times New Roman" w:hAnsiTheme="majorHAnsi" w:cstheme="majorHAnsi"/>
                <w:sz w:val="21"/>
                <w:szCs w:val="21"/>
              </w:rPr>
              <w:t>under</w:t>
            </w:r>
            <w:r w:rsidRPr="008949E9">
              <w:rPr>
                <w:rFonts w:asciiTheme="majorHAnsi" w:eastAsia="Times New Roman" w:hAnsiTheme="majorHAnsi" w:cstheme="majorHAnsi"/>
                <w:sz w:val="21"/>
                <w:szCs w:val="21"/>
              </w:rPr>
              <w:t xml:space="preserve"> $1 million in regional areas</w:t>
            </w:r>
            <w:r>
              <w:rPr>
                <w:rFonts w:asciiTheme="majorHAnsi" w:eastAsia="Times New Roman" w:hAnsiTheme="majorHAnsi" w:cstheme="majorHAnsi"/>
                <w:sz w:val="21"/>
                <w:szCs w:val="21"/>
              </w:rPr>
              <w:t>. G</w:t>
            </w:r>
            <w:r w:rsidRPr="008949E9">
              <w:rPr>
                <w:rFonts w:asciiTheme="majorHAnsi" w:eastAsia="Times New Roman" w:hAnsiTheme="majorHAnsi" w:cstheme="majorHAnsi"/>
                <w:sz w:val="21"/>
                <w:szCs w:val="21"/>
              </w:rPr>
              <w:t>overnment buyers seek opportunities to procure directly or indirectly from relevant Victorian social enterprises (those creat</w:t>
            </w:r>
            <w:r>
              <w:rPr>
                <w:rFonts w:asciiTheme="majorHAnsi" w:eastAsia="Times New Roman" w:hAnsiTheme="majorHAnsi" w:cstheme="majorHAnsi"/>
                <w:sz w:val="21"/>
                <w:szCs w:val="21"/>
              </w:rPr>
              <w:t>ing</w:t>
            </w:r>
            <w:r w:rsidRPr="008949E9">
              <w:rPr>
                <w:rFonts w:asciiTheme="majorHAnsi" w:eastAsia="Times New Roman" w:hAnsiTheme="majorHAnsi" w:cstheme="majorHAnsi"/>
                <w:sz w:val="21"/>
                <w:szCs w:val="21"/>
              </w:rPr>
              <w:t xml:space="preserve"> job readiness and employment opportunities for disadvantaged Victorians)</w:t>
            </w:r>
            <w:r>
              <w:rPr>
                <w:rFonts w:asciiTheme="majorHAnsi" w:eastAsia="Times New Roman" w:hAnsiTheme="majorHAnsi" w:cstheme="majorHAnsi"/>
                <w:sz w:val="21"/>
                <w:szCs w:val="21"/>
              </w:rPr>
              <w:t xml:space="preserve">. Suppliers must </w:t>
            </w:r>
            <w:r w:rsidRPr="008949E9">
              <w:rPr>
                <w:rFonts w:asciiTheme="majorHAnsi" w:eastAsia="Times New Roman" w:hAnsiTheme="majorHAnsi" w:cstheme="majorHAnsi"/>
                <w:sz w:val="21"/>
                <w:szCs w:val="21"/>
              </w:rPr>
              <w:t>commit to employment/training outcome</w:t>
            </w:r>
            <w:r>
              <w:rPr>
                <w:rFonts w:asciiTheme="majorHAnsi" w:eastAsia="Times New Roman" w:hAnsiTheme="majorHAnsi" w:cstheme="majorHAnsi"/>
                <w:sz w:val="21"/>
                <w:szCs w:val="21"/>
              </w:rPr>
              <w:t xml:space="preserve"> targets</w:t>
            </w:r>
            <w:r w:rsidRPr="008949E9">
              <w:rPr>
                <w:rFonts w:asciiTheme="majorHAnsi" w:eastAsia="Times New Roman" w:hAnsiTheme="majorHAnsi" w:cstheme="majorHAnsi"/>
                <w:sz w:val="21"/>
                <w:szCs w:val="21"/>
              </w:rPr>
              <w:t>.</w:t>
            </w:r>
          </w:p>
          <w:p w14:paraId="39A5447C" w14:textId="14412B6E" w:rsidR="000E215D" w:rsidRPr="0071167A" w:rsidRDefault="000E215D" w:rsidP="00A418C1">
            <w:pPr>
              <w:spacing w:after="0"/>
              <w:rPr>
                <w:rFonts w:asciiTheme="majorHAnsi" w:eastAsia="Times New Roman" w:hAnsiTheme="majorHAnsi" w:cstheme="majorHAnsi"/>
                <w:sz w:val="16"/>
                <w:szCs w:val="16"/>
              </w:rPr>
            </w:pPr>
          </w:p>
          <w:p w14:paraId="232BE165" w14:textId="753A7290" w:rsidR="000E215D" w:rsidRPr="000E215D" w:rsidRDefault="007320D6" w:rsidP="00A418C1">
            <w:pPr>
              <w:spacing w:after="0"/>
              <w:rPr>
                <w:rFonts w:asciiTheme="majorHAnsi" w:eastAsia="Times New Roman" w:hAnsiTheme="majorHAnsi" w:cstheme="majorHAnsi"/>
                <w:sz w:val="21"/>
                <w:szCs w:val="21"/>
                <w:lang w:val="en-GB"/>
              </w:rPr>
            </w:pPr>
            <w:hyperlink r:id="rId54" w:history="1">
              <w:r w:rsidR="000E215D" w:rsidRPr="000E215D">
                <w:rPr>
                  <w:rStyle w:val="Hyperlink"/>
                  <w:rFonts w:asciiTheme="majorHAnsi" w:eastAsia="Times New Roman" w:hAnsiTheme="majorHAnsi" w:cstheme="majorHAnsi"/>
                  <w:b/>
                  <w:bCs/>
                  <w:sz w:val="21"/>
                  <w:szCs w:val="21"/>
                  <w:lang w:val="en-GB"/>
                </w:rPr>
                <w:t>Jobs Victoria Fund (Now Open):</w:t>
              </w:r>
            </w:hyperlink>
            <w:r w:rsidR="000E215D" w:rsidRPr="000E215D">
              <w:rPr>
                <w:rFonts w:asciiTheme="majorHAnsi" w:eastAsia="Times New Roman" w:hAnsiTheme="majorHAnsi" w:cstheme="majorHAnsi"/>
                <w:sz w:val="21"/>
                <w:szCs w:val="21"/>
              </w:rPr>
              <w:t xml:space="preserve"> </w:t>
            </w:r>
            <w:r w:rsidR="000E215D" w:rsidRPr="000E215D">
              <w:rPr>
                <w:rFonts w:asciiTheme="majorHAnsi" w:eastAsia="Times New Roman" w:hAnsiTheme="majorHAnsi" w:cstheme="majorHAnsi"/>
                <w:sz w:val="21"/>
                <w:szCs w:val="21"/>
                <w:lang w:val="en-GB"/>
              </w:rPr>
              <w:t>Wage subsidies up to $20,000 for eligible employers hiring jobseekers from priority groups (women, people over 45 or under 25, long-term unemployed, people with disability, Aboriginal and Torres Strait Islander people, asylum seekers/refugees, new migrants, veterans).</w:t>
            </w:r>
            <w:r w:rsidR="000E215D">
              <w:rPr>
                <w:rFonts w:asciiTheme="majorHAnsi" w:eastAsia="Times New Roman" w:hAnsiTheme="majorHAnsi" w:cstheme="majorHAnsi"/>
                <w:sz w:val="21"/>
                <w:szCs w:val="21"/>
                <w:lang w:val="en-GB"/>
              </w:rPr>
              <w:t xml:space="preserve"> Launched 26 March 2021.</w:t>
            </w:r>
          </w:p>
          <w:p w14:paraId="6A78DDEF" w14:textId="77777777" w:rsidR="00F00E3D" w:rsidRPr="004C47D6" w:rsidRDefault="00F00E3D" w:rsidP="00A418C1">
            <w:pPr>
              <w:spacing w:after="0"/>
              <w:rPr>
                <w:rFonts w:asciiTheme="majorHAnsi" w:hAnsiTheme="majorHAnsi" w:cstheme="majorHAnsi"/>
                <w:sz w:val="16"/>
                <w:szCs w:val="16"/>
              </w:rPr>
            </w:pPr>
          </w:p>
          <w:p w14:paraId="39E6FB4E" w14:textId="77777777" w:rsidR="00F00E3D" w:rsidRPr="00F32F43" w:rsidRDefault="007320D6" w:rsidP="00A418C1">
            <w:pPr>
              <w:spacing w:after="0"/>
              <w:rPr>
                <w:rFonts w:asciiTheme="majorHAnsi" w:hAnsiTheme="majorHAnsi" w:cstheme="majorHAnsi"/>
                <w:sz w:val="21"/>
                <w:szCs w:val="21"/>
              </w:rPr>
            </w:pPr>
            <w:hyperlink r:id="rId55">
              <w:r w:rsidR="00F00E3D" w:rsidRPr="008949E9">
                <w:rPr>
                  <w:rStyle w:val="Hyperlink"/>
                  <w:rFonts w:asciiTheme="majorHAnsi" w:eastAsia="Times New Roman" w:hAnsiTheme="majorHAnsi" w:cstheme="majorHAnsi"/>
                  <w:b/>
                  <w:bCs/>
                  <w:sz w:val="21"/>
                  <w:szCs w:val="21"/>
                </w:rPr>
                <w:t>Regional Development in Western Australia (2016)</w:t>
              </w:r>
            </w:hyperlink>
            <w:r w:rsidR="00F00E3D">
              <w:t xml:space="preserve">: </w:t>
            </w:r>
            <w:r w:rsidR="00F00E3D" w:rsidRPr="008949E9">
              <w:rPr>
                <w:rFonts w:asciiTheme="majorHAnsi" w:eastAsia="Times New Roman" w:hAnsiTheme="majorHAnsi" w:cstheme="majorHAnsi"/>
                <w:sz w:val="21"/>
                <w:szCs w:val="21"/>
              </w:rPr>
              <w:t xml:space="preserve">Example of regional development policy from another Australian state. Actions </w:t>
            </w:r>
            <w:r w:rsidR="00F00E3D" w:rsidRPr="00F32F43">
              <w:rPr>
                <w:rFonts w:asciiTheme="majorHAnsi" w:eastAsia="Times New Roman" w:hAnsiTheme="majorHAnsi" w:cstheme="majorHAnsi"/>
                <w:sz w:val="21"/>
                <w:szCs w:val="21"/>
              </w:rPr>
              <w:t>identified to activate regional change included</w:t>
            </w:r>
            <w:r w:rsidR="00F00E3D">
              <w:rPr>
                <w:rFonts w:asciiTheme="majorHAnsi" w:eastAsia="Times New Roman" w:hAnsiTheme="majorHAnsi" w:cstheme="majorHAnsi"/>
                <w:sz w:val="21"/>
                <w:szCs w:val="21"/>
              </w:rPr>
              <w:t xml:space="preserve"> s</w:t>
            </w:r>
            <w:r w:rsidR="00F00E3D" w:rsidRPr="00F32F43">
              <w:rPr>
                <w:rFonts w:asciiTheme="majorHAnsi" w:hAnsiTheme="majorHAnsi" w:cstheme="majorHAnsi"/>
                <w:sz w:val="21"/>
                <w:szCs w:val="21"/>
              </w:rPr>
              <w:t>trong leadership and accountability in the regions</w:t>
            </w:r>
            <w:r w:rsidR="00F00E3D">
              <w:rPr>
                <w:rFonts w:asciiTheme="majorHAnsi" w:hAnsiTheme="majorHAnsi" w:cstheme="majorHAnsi"/>
                <w:sz w:val="21"/>
                <w:szCs w:val="21"/>
              </w:rPr>
              <w:t>, and a</w:t>
            </w:r>
            <w:r w:rsidR="00F00E3D" w:rsidRPr="00F32F43">
              <w:rPr>
                <w:rFonts w:asciiTheme="majorHAnsi" w:hAnsiTheme="majorHAnsi" w:cstheme="majorHAnsi"/>
                <w:sz w:val="21"/>
                <w:szCs w:val="21"/>
              </w:rPr>
              <w:t>greement</w:t>
            </w:r>
            <w:r w:rsidR="00F00E3D">
              <w:rPr>
                <w:rFonts w:asciiTheme="majorHAnsi" w:hAnsiTheme="majorHAnsi" w:cstheme="majorHAnsi"/>
                <w:sz w:val="21"/>
                <w:szCs w:val="21"/>
              </w:rPr>
              <w:t xml:space="preserve"> on </w:t>
            </w:r>
            <w:r w:rsidR="00F00E3D" w:rsidRPr="00F32F43">
              <w:rPr>
                <w:rFonts w:asciiTheme="majorHAnsi" w:hAnsiTheme="majorHAnsi" w:cstheme="majorHAnsi"/>
                <w:sz w:val="21"/>
                <w:szCs w:val="21"/>
              </w:rPr>
              <w:t>comparative advantages to develop region-specific branding. Includes pipeline of large, transformational investment projects aligned with government priorities; transparent investment prioritisation frame</w:t>
            </w:r>
            <w:r w:rsidR="00F00E3D">
              <w:rPr>
                <w:rFonts w:asciiTheme="majorHAnsi" w:hAnsiTheme="majorHAnsi" w:cstheme="majorHAnsi"/>
                <w:sz w:val="21"/>
                <w:szCs w:val="21"/>
              </w:rPr>
              <w:t>work</w:t>
            </w:r>
            <w:r w:rsidR="00F00E3D" w:rsidRPr="00F32F43">
              <w:rPr>
                <w:rFonts w:asciiTheme="majorHAnsi" w:hAnsiTheme="majorHAnsi" w:cstheme="majorHAnsi"/>
                <w:sz w:val="21"/>
                <w:szCs w:val="21"/>
              </w:rPr>
              <w:t xml:space="preserve"> and evaluation framework; creation of innovation hubs to connect local communities and businesses with government, industry, innovators and financiers. </w:t>
            </w:r>
          </w:p>
          <w:p w14:paraId="6D43C53C" w14:textId="77777777" w:rsidR="00F00E3D" w:rsidRPr="00F32F43" w:rsidRDefault="00F00E3D" w:rsidP="00A418C1">
            <w:pPr>
              <w:spacing w:after="0"/>
              <w:rPr>
                <w:rFonts w:asciiTheme="majorHAnsi" w:hAnsiTheme="majorHAnsi" w:cstheme="majorHAnsi"/>
                <w:sz w:val="16"/>
                <w:szCs w:val="16"/>
              </w:rPr>
            </w:pPr>
          </w:p>
          <w:p w14:paraId="5BF29032" w14:textId="77777777" w:rsidR="00F00E3D" w:rsidRPr="008949E9" w:rsidRDefault="007320D6" w:rsidP="00A418C1">
            <w:pPr>
              <w:spacing w:after="0"/>
              <w:rPr>
                <w:rFonts w:asciiTheme="majorHAnsi" w:hAnsiTheme="majorHAnsi" w:cstheme="majorHAnsi"/>
                <w:sz w:val="21"/>
                <w:szCs w:val="21"/>
              </w:rPr>
            </w:pPr>
            <w:hyperlink r:id="rId56">
              <w:r w:rsidR="00F00E3D" w:rsidRPr="008949E9">
                <w:rPr>
                  <w:rStyle w:val="Hyperlink"/>
                  <w:rFonts w:asciiTheme="majorHAnsi" w:eastAsia="Times New Roman" w:hAnsiTheme="majorHAnsi" w:cstheme="majorHAnsi"/>
                  <w:b/>
                  <w:bCs/>
                  <w:sz w:val="21"/>
                  <w:szCs w:val="21"/>
                </w:rPr>
                <w:t>Regional Jobs and Infrastructure Fund</w:t>
              </w:r>
            </w:hyperlink>
            <w:r w:rsidR="00F00E3D">
              <w:t xml:space="preserve">: </w:t>
            </w:r>
            <w:r w:rsidR="00F00E3D" w:rsidRPr="00BF1CC3">
              <w:rPr>
                <w:rFonts w:asciiTheme="majorHAnsi" w:eastAsia="Times New Roman" w:hAnsiTheme="majorHAnsi" w:cstheme="majorHAnsi"/>
                <w:sz w:val="21"/>
                <w:szCs w:val="21"/>
              </w:rPr>
              <w:t>Includes the Regional Skills Fund. Victoria’s overarching regional development package, which focuses on major projects, employment</w:t>
            </w:r>
            <w:r w:rsidR="00F00E3D">
              <w:rPr>
                <w:rFonts w:asciiTheme="majorHAnsi" w:eastAsia="Times New Roman" w:hAnsiTheme="majorHAnsi" w:cstheme="majorHAnsi"/>
                <w:sz w:val="21"/>
                <w:szCs w:val="21"/>
              </w:rPr>
              <w:t>,</w:t>
            </w:r>
            <w:r w:rsidR="00F00E3D" w:rsidRPr="00BF1CC3">
              <w:rPr>
                <w:rFonts w:asciiTheme="majorHAnsi" w:eastAsia="Times New Roman" w:hAnsiTheme="majorHAnsi" w:cstheme="majorHAnsi"/>
                <w:sz w:val="21"/>
                <w:szCs w:val="21"/>
              </w:rPr>
              <w:t xml:space="preserve"> and communities. </w:t>
            </w:r>
          </w:p>
        </w:tc>
        <w:tc>
          <w:tcPr>
            <w:tcW w:w="3693" w:type="dxa"/>
            <w:tcBorders>
              <w:top w:val="single" w:sz="8" w:space="0" w:color="auto"/>
              <w:left w:val="single" w:sz="8" w:space="0" w:color="auto"/>
              <w:bottom w:val="single" w:sz="8" w:space="0" w:color="auto"/>
              <w:right w:val="single" w:sz="8" w:space="0" w:color="auto"/>
            </w:tcBorders>
          </w:tcPr>
          <w:p w14:paraId="304351FF" w14:textId="60110901" w:rsidR="00F00E3D" w:rsidRDefault="00F00E3D" w:rsidP="778E395A">
            <w:pPr>
              <w:spacing w:after="0"/>
              <w:rPr>
                <w:rFonts w:asciiTheme="majorHAnsi" w:hAnsiTheme="majorHAnsi" w:cstheme="majorBidi"/>
                <w:sz w:val="21"/>
                <w:szCs w:val="21"/>
              </w:rPr>
            </w:pPr>
            <w:r w:rsidRPr="778E395A">
              <w:rPr>
                <w:rFonts w:asciiTheme="majorHAnsi" w:eastAsia="Times New Roman" w:hAnsiTheme="majorHAnsi" w:cstheme="majorBidi"/>
                <w:sz w:val="21"/>
                <w:szCs w:val="21"/>
                <w:lang w:val="en-GB"/>
              </w:rPr>
              <w:t>P</w:t>
            </w:r>
            <w:r w:rsidR="0656B098" w:rsidRPr="778E395A">
              <w:rPr>
                <w:rFonts w:asciiTheme="majorHAnsi" w:eastAsia="Times New Roman" w:hAnsiTheme="majorHAnsi" w:cstheme="majorBidi"/>
                <w:sz w:val="21"/>
                <w:szCs w:val="21"/>
                <w:lang w:val="en-GB"/>
              </w:rPr>
              <w:t>ast</w:t>
            </w:r>
            <w:r w:rsidRPr="778E395A">
              <w:rPr>
                <w:rFonts w:asciiTheme="majorHAnsi" w:eastAsia="Times New Roman" w:hAnsiTheme="majorHAnsi" w:cstheme="majorBidi"/>
                <w:sz w:val="21"/>
                <w:szCs w:val="21"/>
                <w:lang w:val="en-GB"/>
              </w:rPr>
              <w:t xml:space="preserve"> policy ensur</w:t>
            </w:r>
            <w:r w:rsidR="0656B098" w:rsidRPr="778E395A">
              <w:rPr>
                <w:rFonts w:asciiTheme="majorHAnsi" w:eastAsia="Times New Roman" w:hAnsiTheme="majorHAnsi" w:cstheme="majorBidi"/>
                <w:sz w:val="21"/>
                <w:szCs w:val="21"/>
                <w:lang w:val="en-GB"/>
              </w:rPr>
              <w:t>ing</w:t>
            </w:r>
            <w:r w:rsidRPr="778E395A">
              <w:rPr>
                <w:rFonts w:asciiTheme="majorHAnsi" w:eastAsia="Times New Roman" w:hAnsiTheme="majorHAnsi" w:cstheme="majorBidi"/>
                <w:sz w:val="21"/>
                <w:szCs w:val="21"/>
                <w:lang w:val="en-GB"/>
              </w:rPr>
              <w:t xml:space="preserve"> long-term unemployed Corio</w:t>
            </w:r>
            <w:r w:rsidR="0656B098" w:rsidRPr="778E395A">
              <w:rPr>
                <w:rFonts w:asciiTheme="majorHAnsi" w:eastAsia="Times New Roman" w:hAnsiTheme="majorHAnsi" w:cstheme="majorBidi"/>
                <w:sz w:val="21"/>
                <w:szCs w:val="21"/>
                <w:lang w:val="en-GB"/>
              </w:rPr>
              <w:t>/</w:t>
            </w:r>
            <w:r w:rsidRPr="778E395A">
              <w:rPr>
                <w:rFonts w:asciiTheme="majorHAnsi" w:eastAsia="Times New Roman" w:hAnsiTheme="majorHAnsi" w:cstheme="majorBidi"/>
                <w:sz w:val="21"/>
                <w:szCs w:val="21"/>
                <w:lang w:val="en-GB"/>
              </w:rPr>
              <w:t xml:space="preserve">Norlane residents </w:t>
            </w:r>
            <w:r w:rsidR="0656B098" w:rsidRPr="778E395A">
              <w:rPr>
                <w:rFonts w:asciiTheme="majorHAnsi" w:eastAsia="Times New Roman" w:hAnsiTheme="majorHAnsi" w:cstheme="majorBidi"/>
                <w:sz w:val="21"/>
                <w:szCs w:val="21"/>
                <w:lang w:val="en-GB"/>
              </w:rPr>
              <w:t>were hired</w:t>
            </w:r>
            <w:r w:rsidRPr="778E395A">
              <w:rPr>
                <w:rFonts w:asciiTheme="majorHAnsi" w:eastAsia="Times New Roman" w:hAnsiTheme="majorHAnsi" w:cstheme="majorBidi"/>
                <w:sz w:val="21"/>
                <w:szCs w:val="21"/>
                <w:lang w:val="en-GB"/>
              </w:rPr>
              <w:t xml:space="preserve"> on housing renewal projects. Now applicable to Lara prison precinct expansion.</w:t>
            </w:r>
          </w:p>
          <w:p w14:paraId="0A13A479" w14:textId="7A53E7F1" w:rsidR="000E215D" w:rsidRDefault="0656B098" w:rsidP="778E395A">
            <w:pPr>
              <w:spacing w:after="0"/>
              <w:rPr>
                <w:rFonts w:asciiTheme="majorHAnsi" w:hAnsiTheme="majorHAnsi" w:cstheme="majorBidi"/>
                <w:sz w:val="21"/>
                <w:szCs w:val="21"/>
                <w:lang w:val="en-GB"/>
              </w:rPr>
            </w:pPr>
            <w:r w:rsidRPr="778E395A">
              <w:rPr>
                <w:rFonts w:asciiTheme="majorHAnsi" w:hAnsiTheme="majorHAnsi" w:cstheme="majorBidi"/>
                <w:sz w:val="21"/>
                <w:szCs w:val="21"/>
              </w:rPr>
              <w:t xml:space="preserve">For up to 20 full time employees. Priority groups align with </w:t>
            </w:r>
            <w:r w:rsidR="5A00F349" w:rsidRPr="778E395A">
              <w:rPr>
                <w:rFonts w:asciiTheme="majorHAnsi" w:hAnsiTheme="majorHAnsi" w:cstheme="majorBidi"/>
                <w:sz w:val="21"/>
                <w:szCs w:val="21"/>
              </w:rPr>
              <w:t xml:space="preserve">target </w:t>
            </w:r>
            <w:r w:rsidRPr="778E395A">
              <w:rPr>
                <w:rFonts w:asciiTheme="majorHAnsi" w:hAnsiTheme="majorHAnsi" w:cstheme="majorBidi"/>
                <w:sz w:val="21"/>
                <w:szCs w:val="21"/>
              </w:rPr>
              <w:t>suburb</w:t>
            </w:r>
            <w:r w:rsidR="5A00F349" w:rsidRPr="778E395A">
              <w:rPr>
                <w:rFonts w:asciiTheme="majorHAnsi" w:hAnsiTheme="majorHAnsi" w:cstheme="majorBidi"/>
                <w:sz w:val="21"/>
                <w:szCs w:val="21"/>
              </w:rPr>
              <w:t xml:space="preserve"> profiles</w:t>
            </w:r>
            <w:r w:rsidRPr="778E395A">
              <w:rPr>
                <w:rFonts w:asciiTheme="majorHAnsi" w:hAnsiTheme="majorHAnsi" w:cstheme="majorBidi"/>
                <w:sz w:val="21"/>
                <w:szCs w:val="21"/>
              </w:rPr>
              <w:t>. Person must be hired</w:t>
            </w:r>
            <w:r w:rsidRPr="778E395A">
              <w:rPr>
                <w:rFonts w:asciiTheme="majorHAnsi" w:hAnsiTheme="majorHAnsi" w:cstheme="majorBidi"/>
                <w:i/>
                <w:iCs/>
                <w:sz w:val="21"/>
                <w:szCs w:val="21"/>
              </w:rPr>
              <w:t xml:space="preserve"> before</w:t>
            </w:r>
            <w:r w:rsidRPr="778E395A">
              <w:rPr>
                <w:rFonts w:asciiTheme="majorHAnsi" w:hAnsiTheme="majorHAnsi" w:cstheme="majorBidi"/>
                <w:sz w:val="21"/>
                <w:szCs w:val="21"/>
              </w:rPr>
              <w:t xml:space="preserve"> funding application lodged.</w:t>
            </w:r>
          </w:p>
          <w:p w14:paraId="163DD3CF" w14:textId="438F66EA" w:rsidR="00F00E3D" w:rsidRPr="008949E9" w:rsidRDefault="02531190" w:rsidP="778E395A">
            <w:pPr>
              <w:spacing w:after="0"/>
              <w:rPr>
                <w:rFonts w:asciiTheme="majorHAnsi" w:hAnsiTheme="majorHAnsi" w:cstheme="majorBidi"/>
                <w:sz w:val="21"/>
                <w:szCs w:val="21"/>
              </w:rPr>
            </w:pPr>
            <w:r w:rsidRPr="778E395A">
              <w:rPr>
                <w:rFonts w:asciiTheme="majorHAnsi" w:eastAsia="Times New Roman" w:hAnsiTheme="majorHAnsi" w:cstheme="majorBidi"/>
                <w:sz w:val="21"/>
                <w:szCs w:val="21"/>
                <w:lang w:val="en-GB"/>
              </w:rPr>
              <w:t>S</w:t>
            </w:r>
            <w:r w:rsidR="00F00E3D" w:rsidRPr="778E395A">
              <w:rPr>
                <w:rFonts w:asciiTheme="majorHAnsi" w:eastAsia="Times New Roman" w:hAnsiTheme="majorHAnsi" w:cstheme="majorBidi"/>
                <w:sz w:val="21"/>
                <w:szCs w:val="21"/>
                <w:lang w:val="en-GB"/>
              </w:rPr>
              <w:t>hows how it has been done elsewhere.</w:t>
            </w:r>
          </w:p>
          <w:p w14:paraId="5CF35DE0" w14:textId="77777777" w:rsidR="00F00E3D" w:rsidRPr="007664CA" w:rsidRDefault="00F00E3D" w:rsidP="00A418C1">
            <w:pPr>
              <w:spacing w:after="0"/>
              <w:rPr>
                <w:rFonts w:asciiTheme="majorHAnsi" w:hAnsiTheme="majorHAnsi" w:cstheme="majorHAnsi"/>
                <w:sz w:val="16"/>
                <w:szCs w:val="16"/>
              </w:rPr>
            </w:pPr>
          </w:p>
          <w:p w14:paraId="7F65449F" w14:textId="77777777" w:rsidR="00F00E3D" w:rsidRDefault="00F00E3D" w:rsidP="00A418C1">
            <w:pPr>
              <w:spacing w:after="0"/>
              <w:rPr>
                <w:rFonts w:asciiTheme="majorHAnsi" w:eastAsia="Times New Roman" w:hAnsiTheme="majorHAnsi" w:cstheme="majorHAnsi"/>
                <w:sz w:val="21"/>
                <w:szCs w:val="21"/>
                <w:lang w:val="en-GB"/>
              </w:rPr>
            </w:pPr>
          </w:p>
          <w:p w14:paraId="41349132" w14:textId="39C45A48" w:rsidR="778E395A" w:rsidRDefault="778E395A" w:rsidP="778E395A">
            <w:pPr>
              <w:spacing w:after="0"/>
              <w:rPr>
                <w:rFonts w:asciiTheme="majorHAnsi" w:eastAsia="Times New Roman" w:hAnsiTheme="majorHAnsi" w:cstheme="majorBidi"/>
                <w:sz w:val="21"/>
                <w:szCs w:val="21"/>
                <w:lang w:val="en-GB"/>
              </w:rPr>
            </w:pPr>
          </w:p>
          <w:p w14:paraId="2D10AF64" w14:textId="56618FB8" w:rsidR="778E395A" w:rsidRDefault="778E395A" w:rsidP="778E395A">
            <w:pPr>
              <w:spacing w:after="0"/>
              <w:rPr>
                <w:rFonts w:asciiTheme="majorHAnsi" w:eastAsia="Times New Roman" w:hAnsiTheme="majorHAnsi" w:cstheme="majorBidi"/>
                <w:sz w:val="21"/>
                <w:szCs w:val="21"/>
                <w:lang w:val="en-GB"/>
              </w:rPr>
            </w:pPr>
          </w:p>
          <w:p w14:paraId="4E111868" w14:textId="4A02C5B6" w:rsidR="778E395A" w:rsidRDefault="778E395A" w:rsidP="778E395A">
            <w:pPr>
              <w:spacing w:after="0"/>
              <w:rPr>
                <w:rFonts w:asciiTheme="majorHAnsi" w:eastAsia="Times New Roman" w:hAnsiTheme="majorHAnsi" w:cstheme="majorBidi"/>
                <w:sz w:val="21"/>
                <w:szCs w:val="21"/>
                <w:lang w:val="en-GB"/>
              </w:rPr>
            </w:pPr>
          </w:p>
          <w:p w14:paraId="721CBD2F" w14:textId="77777777" w:rsidR="00F00E3D" w:rsidRPr="008949E9" w:rsidRDefault="00F00E3D" w:rsidP="00A418C1">
            <w:pPr>
              <w:spacing w:after="0"/>
              <w:rPr>
                <w:rFonts w:asciiTheme="majorHAnsi" w:hAnsiTheme="majorHAnsi" w:cstheme="majorHAnsi"/>
                <w:sz w:val="21"/>
                <w:szCs w:val="21"/>
              </w:rPr>
            </w:pPr>
            <w:r w:rsidRPr="008949E9">
              <w:rPr>
                <w:rFonts w:asciiTheme="majorHAnsi" w:eastAsia="Times New Roman" w:hAnsiTheme="majorHAnsi" w:cstheme="majorHAnsi"/>
                <w:sz w:val="21"/>
                <w:szCs w:val="21"/>
                <w:lang w:val="en-GB"/>
              </w:rPr>
              <w:t>$2.1 million given to Geelong</w:t>
            </w:r>
            <w:r>
              <w:rPr>
                <w:rFonts w:asciiTheme="majorHAnsi" w:eastAsia="Times New Roman" w:hAnsiTheme="majorHAnsi" w:cstheme="majorHAnsi"/>
                <w:sz w:val="21"/>
                <w:szCs w:val="21"/>
                <w:lang w:val="en-GB"/>
              </w:rPr>
              <w:t>-</w:t>
            </w:r>
            <w:r w:rsidRPr="008949E9">
              <w:rPr>
                <w:rFonts w:asciiTheme="majorHAnsi" w:eastAsia="Times New Roman" w:hAnsiTheme="majorHAnsi" w:cstheme="majorHAnsi"/>
                <w:sz w:val="21"/>
                <w:szCs w:val="21"/>
                <w:lang w:val="en-GB"/>
              </w:rPr>
              <w:t>based projects in 2020. Some specifically identified in Corio/Norlane/Whittington</w:t>
            </w:r>
          </w:p>
        </w:tc>
      </w:tr>
      <w:tr w:rsidR="00F00E3D" w:rsidRPr="008949E9" w14:paraId="29094936" w14:textId="77777777" w:rsidTr="778E395A">
        <w:trPr>
          <w:trHeight w:val="3256"/>
        </w:trPr>
        <w:tc>
          <w:tcPr>
            <w:tcW w:w="960" w:type="dxa"/>
            <w:tcBorders>
              <w:top w:val="single" w:sz="8" w:space="0" w:color="auto"/>
              <w:left w:val="single" w:sz="8" w:space="0" w:color="auto"/>
              <w:bottom w:val="single" w:sz="8" w:space="0" w:color="auto"/>
              <w:right w:val="single" w:sz="8" w:space="0" w:color="auto"/>
            </w:tcBorders>
          </w:tcPr>
          <w:p w14:paraId="3E37983F" w14:textId="77777777" w:rsidR="00F00E3D" w:rsidRPr="008949E9" w:rsidRDefault="00F00E3D" w:rsidP="00A418C1">
            <w:pPr>
              <w:spacing w:after="0"/>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w:lastRenderedPageBreak/>
              <mc:AlternateContent>
                <mc:Choice Requires="wps">
                  <w:drawing>
                    <wp:anchor distT="45720" distB="45720" distL="114300" distR="114300" simplePos="0" relativeHeight="251658258" behindDoc="0" locked="0" layoutInCell="1" allowOverlap="1" wp14:anchorId="66188FB6" wp14:editId="57A25C64">
                      <wp:simplePos x="0" y="0"/>
                      <wp:positionH relativeFrom="column">
                        <wp:posOffset>-642620</wp:posOffset>
                      </wp:positionH>
                      <wp:positionV relativeFrom="paragraph">
                        <wp:posOffset>855345</wp:posOffset>
                      </wp:positionV>
                      <wp:extent cx="1776095" cy="34163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76095" cy="341630"/>
                              </a:xfrm>
                              <a:prstGeom prst="rect">
                                <a:avLst/>
                              </a:prstGeom>
                              <a:noFill/>
                              <a:ln w="9525">
                                <a:noFill/>
                                <a:miter lim="800000"/>
                                <a:headEnd/>
                                <a:tailEnd/>
                              </a:ln>
                            </wps:spPr>
                            <wps:txbx>
                              <w:txbxContent>
                                <w:p w14:paraId="094ABF87" w14:textId="77777777" w:rsidR="00063AC8" w:rsidRPr="004200CF" w:rsidRDefault="00063AC8" w:rsidP="009B2FA7">
                                  <w:pPr>
                                    <w:jc w:val="right"/>
                                    <w:rPr>
                                      <w:b/>
                                      <w:bCs/>
                                      <w:color w:val="595959" w:themeColor="text1" w:themeTint="A6"/>
                                    </w:rPr>
                                  </w:pPr>
                                  <w:r>
                                    <w:rPr>
                                      <w:b/>
                                      <w:bCs/>
                                      <w:color w:val="595959" w:themeColor="text1" w:themeTint="A6"/>
                                    </w:rPr>
                                    <w:t>HEATLH AND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88FB6" id="_x0000_s1041" type="#_x0000_t202" style="position:absolute;margin-left:-50.6pt;margin-top:67.35pt;width:139.85pt;height:26.9pt;rotation:-90;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" filled="f" stroked="f">
                      <v:textbox>
                        <w:txbxContent>
                          <w:p w14:paraId="094ABF87" w14:textId="77777777" w:rsidR="00063AC8" w:rsidRPr="004200CF" w:rsidRDefault="00063AC8" w:rsidP="009B2FA7">
                            <w:pPr>
                              <w:jc w:val="right"/>
                              <w:rPr>
                                <w:b/>
                                <w:bCs/>
                                <w:color w:val="595959" w:themeColor="text1" w:themeTint="A6"/>
                              </w:rPr>
                            </w:pPr>
                            <w:r>
                              <w:rPr>
                                <w:b/>
                                <w:bCs/>
                                <w:color w:val="595959" w:themeColor="text1" w:themeTint="A6"/>
                              </w:rPr>
                              <w:t>HEATLH AND WELLBEING</w:t>
                            </w:r>
                          </w:p>
                        </w:txbxContent>
                      </v:textbox>
                      <w10:wrap type="square"/>
                    </v:shape>
                  </w:pict>
                </mc:Fallback>
              </mc:AlternateContent>
            </w:r>
          </w:p>
        </w:tc>
        <w:tc>
          <w:tcPr>
            <w:tcW w:w="9934" w:type="dxa"/>
            <w:tcBorders>
              <w:top w:val="single" w:sz="8" w:space="0" w:color="auto"/>
              <w:left w:val="single" w:sz="8" w:space="0" w:color="auto"/>
              <w:bottom w:val="single" w:sz="8" w:space="0" w:color="auto"/>
              <w:right w:val="single" w:sz="8" w:space="0" w:color="auto"/>
            </w:tcBorders>
          </w:tcPr>
          <w:p w14:paraId="75D88665" w14:textId="77777777" w:rsidR="00F00E3D" w:rsidRPr="008949E9" w:rsidRDefault="007320D6" w:rsidP="00A418C1">
            <w:pPr>
              <w:spacing w:after="0"/>
              <w:rPr>
                <w:rFonts w:asciiTheme="majorHAnsi" w:hAnsiTheme="majorHAnsi" w:cstheme="majorHAnsi"/>
                <w:sz w:val="21"/>
                <w:szCs w:val="21"/>
              </w:rPr>
            </w:pPr>
            <w:hyperlink r:id="rId57">
              <w:r w:rsidR="00F00E3D" w:rsidRPr="008949E9">
                <w:rPr>
                  <w:rStyle w:val="Hyperlink"/>
                  <w:rFonts w:asciiTheme="majorHAnsi" w:eastAsia="Times New Roman" w:hAnsiTheme="majorHAnsi" w:cstheme="majorHAnsi"/>
                  <w:b/>
                  <w:bCs/>
                  <w:sz w:val="21"/>
                  <w:szCs w:val="21"/>
                  <w:lang w:val="en-GB"/>
                </w:rPr>
                <w:t>Rural and Regional Health Partnerships</w:t>
              </w:r>
            </w:hyperlink>
            <w:r w:rsidR="00F00E3D">
              <w:t xml:space="preserve">: </w:t>
            </w:r>
            <w:r w:rsidR="00F00E3D" w:rsidRPr="008949E9">
              <w:rPr>
                <w:rFonts w:asciiTheme="majorHAnsi" w:eastAsia="Times New Roman" w:hAnsiTheme="majorHAnsi" w:cstheme="majorHAnsi"/>
                <w:sz w:val="21"/>
                <w:szCs w:val="21"/>
                <w:lang w:val="en-GB"/>
              </w:rPr>
              <w:t xml:space="preserve">Established in 2016 and has </w:t>
            </w:r>
            <w:r w:rsidR="00F00E3D">
              <w:rPr>
                <w:rFonts w:asciiTheme="majorHAnsi" w:eastAsia="Times New Roman" w:hAnsiTheme="majorHAnsi" w:cstheme="majorHAnsi"/>
                <w:sz w:val="21"/>
                <w:szCs w:val="21"/>
                <w:lang w:val="en-GB"/>
              </w:rPr>
              <w:t xml:space="preserve">since </w:t>
            </w:r>
            <w:r w:rsidR="00F00E3D" w:rsidRPr="008949E9">
              <w:rPr>
                <w:rFonts w:asciiTheme="majorHAnsi" w:eastAsia="Times New Roman" w:hAnsiTheme="majorHAnsi" w:cstheme="majorHAnsi"/>
                <w:sz w:val="21"/>
                <w:szCs w:val="21"/>
                <w:lang w:val="en-GB"/>
              </w:rPr>
              <w:t xml:space="preserve">expanded. Includes a </w:t>
            </w:r>
            <w:r w:rsidR="00F00E3D">
              <w:rPr>
                <w:rFonts w:asciiTheme="majorHAnsi" w:eastAsia="Times New Roman" w:hAnsiTheme="majorHAnsi" w:cstheme="majorHAnsi"/>
                <w:sz w:val="21"/>
                <w:szCs w:val="21"/>
                <w:lang w:val="en-GB"/>
              </w:rPr>
              <w:t>“</w:t>
            </w:r>
            <w:r w:rsidR="00F00E3D" w:rsidRPr="008949E9">
              <w:rPr>
                <w:rFonts w:asciiTheme="majorHAnsi" w:eastAsia="Times New Roman" w:hAnsiTheme="majorHAnsi" w:cstheme="majorHAnsi"/>
                <w:sz w:val="21"/>
                <w:szCs w:val="21"/>
                <w:lang w:val="en-GB"/>
              </w:rPr>
              <w:t>Domain of Partnership Survey Questionnaire</w:t>
            </w:r>
            <w:r w:rsidR="00F00E3D">
              <w:rPr>
                <w:rFonts w:asciiTheme="majorHAnsi" w:eastAsia="Times New Roman" w:hAnsiTheme="majorHAnsi" w:cstheme="majorHAnsi"/>
                <w:sz w:val="21"/>
                <w:szCs w:val="21"/>
                <w:lang w:val="en-GB"/>
              </w:rPr>
              <w:t>”,</w:t>
            </w:r>
            <w:r w:rsidR="00F00E3D" w:rsidRPr="008949E9">
              <w:rPr>
                <w:rFonts w:asciiTheme="majorHAnsi" w:eastAsia="Times New Roman" w:hAnsiTheme="majorHAnsi" w:cstheme="majorHAnsi"/>
                <w:sz w:val="21"/>
                <w:szCs w:val="21"/>
                <w:lang w:val="en-GB"/>
              </w:rPr>
              <w:t xml:space="preserve"> which will evaluate their function in accordance with shared goals. </w:t>
            </w:r>
          </w:p>
          <w:p w14:paraId="0EA8C4E9" w14:textId="77777777" w:rsidR="00F00E3D" w:rsidRPr="000B690F" w:rsidRDefault="00F00E3D" w:rsidP="00A418C1">
            <w:pPr>
              <w:spacing w:after="0"/>
              <w:rPr>
                <w:rFonts w:asciiTheme="majorHAnsi" w:hAnsiTheme="majorHAnsi" w:cstheme="majorHAnsi"/>
                <w:sz w:val="16"/>
                <w:szCs w:val="16"/>
              </w:rPr>
            </w:pPr>
          </w:p>
          <w:p w14:paraId="7B96C7A1" w14:textId="77777777" w:rsidR="00F00E3D" w:rsidRPr="008949E9" w:rsidRDefault="007320D6" w:rsidP="00A418C1">
            <w:pPr>
              <w:spacing w:after="0"/>
              <w:rPr>
                <w:rFonts w:asciiTheme="majorHAnsi" w:hAnsiTheme="majorHAnsi" w:cstheme="majorHAnsi"/>
                <w:sz w:val="21"/>
                <w:szCs w:val="21"/>
              </w:rPr>
            </w:pPr>
            <w:hyperlink r:id="rId58">
              <w:r w:rsidR="00F00E3D" w:rsidRPr="008949E9">
                <w:rPr>
                  <w:rStyle w:val="Hyperlink"/>
                  <w:rFonts w:asciiTheme="majorHAnsi" w:eastAsia="Times New Roman" w:hAnsiTheme="majorHAnsi" w:cstheme="majorHAnsi"/>
                  <w:b/>
                  <w:bCs/>
                  <w:sz w:val="21"/>
                  <w:szCs w:val="21"/>
                  <w:lang w:val="en-GB"/>
                </w:rPr>
                <w:t>Statewide Design, Service and Infrastructure Plan for Victoria’s Health System 2017</w:t>
              </w:r>
              <w:r w:rsidR="00F00E3D">
                <w:rPr>
                  <w:rStyle w:val="Hyperlink"/>
                  <w:rFonts w:asciiTheme="majorHAnsi" w:eastAsia="Times New Roman" w:hAnsiTheme="majorHAnsi" w:cstheme="majorHAnsi"/>
                  <w:b/>
                  <w:bCs/>
                  <w:sz w:val="21"/>
                  <w:szCs w:val="21"/>
                  <w:lang w:val="en-GB"/>
                </w:rPr>
                <w:t>–</w:t>
              </w:r>
              <w:r w:rsidR="00F00E3D" w:rsidRPr="008949E9">
                <w:rPr>
                  <w:rStyle w:val="Hyperlink"/>
                  <w:rFonts w:asciiTheme="majorHAnsi" w:eastAsia="Times New Roman" w:hAnsiTheme="majorHAnsi" w:cstheme="majorHAnsi"/>
                  <w:b/>
                  <w:bCs/>
                  <w:sz w:val="21"/>
                  <w:szCs w:val="21"/>
                  <w:lang w:val="en-GB"/>
                </w:rPr>
                <w:t>2037</w:t>
              </w:r>
            </w:hyperlink>
            <w:r w:rsidR="00F00E3D">
              <w:t xml:space="preserve">: </w:t>
            </w:r>
            <w:r w:rsidR="00F00E3D" w:rsidRPr="008949E9">
              <w:rPr>
                <w:rFonts w:asciiTheme="majorHAnsi" w:eastAsia="Times New Roman" w:hAnsiTheme="majorHAnsi" w:cstheme="majorHAnsi"/>
                <w:sz w:val="21"/>
                <w:szCs w:val="21"/>
                <w:lang w:val="en-GB"/>
              </w:rPr>
              <w:t xml:space="preserve">Includes section on </w:t>
            </w:r>
            <w:r w:rsidR="00F00E3D">
              <w:rPr>
                <w:rFonts w:asciiTheme="majorHAnsi" w:eastAsia="Times New Roman" w:hAnsiTheme="majorHAnsi" w:cstheme="majorHAnsi"/>
                <w:sz w:val="21"/>
                <w:szCs w:val="21"/>
                <w:lang w:val="en-GB"/>
              </w:rPr>
              <w:t>r</w:t>
            </w:r>
            <w:r w:rsidR="00F00E3D" w:rsidRPr="008949E9">
              <w:rPr>
                <w:rFonts w:asciiTheme="majorHAnsi" w:eastAsia="Times New Roman" w:hAnsiTheme="majorHAnsi" w:cstheme="majorHAnsi"/>
                <w:sz w:val="21"/>
                <w:szCs w:val="21"/>
                <w:lang w:val="en-GB"/>
              </w:rPr>
              <w:t xml:space="preserve">ural and </w:t>
            </w:r>
            <w:r w:rsidR="00F00E3D">
              <w:rPr>
                <w:rFonts w:asciiTheme="majorHAnsi" w:eastAsia="Times New Roman" w:hAnsiTheme="majorHAnsi" w:cstheme="majorHAnsi"/>
                <w:sz w:val="21"/>
                <w:szCs w:val="21"/>
                <w:lang w:val="en-GB"/>
              </w:rPr>
              <w:t>r</w:t>
            </w:r>
            <w:r w:rsidR="00F00E3D" w:rsidRPr="008949E9">
              <w:rPr>
                <w:rFonts w:asciiTheme="majorHAnsi" w:eastAsia="Times New Roman" w:hAnsiTheme="majorHAnsi" w:cstheme="majorHAnsi"/>
                <w:sz w:val="21"/>
                <w:szCs w:val="21"/>
                <w:lang w:val="en-GB"/>
              </w:rPr>
              <w:t xml:space="preserve">egional </w:t>
            </w:r>
            <w:r w:rsidR="00F00E3D">
              <w:rPr>
                <w:rFonts w:asciiTheme="majorHAnsi" w:eastAsia="Times New Roman" w:hAnsiTheme="majorHAnsi" w:cstheme="majorHAnsi"/>
                <w:sz w:val="21"/>
                <w:szCs w:val="21"/>
                <w:lang w:val="en-GB"/>
              </w:rPr>
              <w:t>s</w:t>
            </w:r>
            <w:r w:rsidR="00F00E3D" w:rsidRPr="008949E9">
              <w:rPr>
                <w:rFonts w:asciiTheme="majorHAnsi" w:eastAsia="Times New Roman" w:hAnsiTheme="majorHAnsi" w:cstheme="majorHAnsi"/>
                <w:sz w:val="21"/>
                <w:szCs w:val="21"/>
                <w:lang w:val="en-GB"/>
              </w:rPr>
              <w:t>ervices, which underwent a consultation</w:t>
            </w:r>
            <w:r w:rsidR="00F00E3D">
              <w:rPr>
                <w:rFonts w:asciiTheme="majorHAnsi" w:eastAsia="Times New Roman" w:hAnsiTheme="majorHAnsi" w:cstheme="majorHAnsi"/>
                <w:sz w:val="21"/>
                <w:szCs w:val="21"/>
                <w:lang w:val="en-GB"/>
              </w:rPr>
              <w:t xml:space="preserve"> process</w:t>
            </w:r>
            <w:r w:rsidR="00F00E3D" w:rsidRPr="008949E9">
              <w:rPr>
                <w:rFonts w:asciiTheme="majorHAnsi" w:eastAsia="Times New Roman" w:hAnsiTheme="majorHAnsi" w:cstheme="majorHAnsi"/>
                <w:sz w:val="21"/>
                <w:szCs w:val="21"/>
                <w:lang w:val="en-GB"/>
              </w:rPr>
              <w:t xml:space="preserve">, </w:t>
            </w:r>
            <w:r w:rsidR="00F00E3D">
              <w:rPr>
                <w:rFonts w:asciiTheme="majorHAnsi" w:eastAsia="Times New Roman" w:hAnsiTheme="majorHAnsi" w:cstheme="majorHAnsi"/>
                <w:sz w:val="21"/>
                <w:szCs w:val="21"/>
                <w:lang w:val="en-GB"/>
              </w:rPr>
              <w:t>including</w:t>
            </w:r>
            <w:r w:rsidR="00F00E3D" w:rsidRPr="008949E9">
              <w:rPr>
                <w:rFonts w:asciiTheme="majorHAnsi" w:eastAsia="Times New Roman" w:hAnsiTheme="majorHAnsi" w:cstheme="majorHAnsi"/>
                <w:sz w:val="21"/>
                <w:szCs w:val="21"/>
                <w:lang w:val="en-GB"/>
              </w:rPr>
              <w:t xml:space="preserve"> scan of international plans. </w:t>
            </w:r>
            <w:proofErr w:type="gramStart"/>
            <w:r w:rsidR="00F00E3D" w:rsidRPr="008949E9">
              <w:rPr>
                <w:rFonts w:asciiTheme="majorHAnsi" w:eastAsia="Times New Roman" w:hAnsiTheme="majorHAnsi" w:cstheme="majorHAnsi"/>
                <w:sz w:val="21"/>
                <w:szCs w:val="21"/>
                <w:lang w:val="en-GB"/>
              </w:rPr>
              <w:t>Notes</w:t>
            </w:r>
            <w:proofErr w:type="gramEnd"/>
            <w:r w:rsidR="00F00E3D" w:rsidRPr="008949E9">
              <w:rPr>
                <w:rFonts w:asciiTheme="majorHAnsi" w:eastAsia="Times New Roman" w:hAnsiTheme="majorHAnsi" w:cstheme="majorHAnsi"/>
                <w:sz w:val="21"/>
                <w:szCs w:val="21"/>
                <w:lang w:val="en-GB"/>
              </w:rPr>
              <w:t xml:space="preserve"> health responsibilities </w:t>
            </w:r>
            <w:r w:rsidR="00F00E3D">
              <w:rPr>
                <w:rFonts w:asciiTheme="majorHAnsi" w:eastAsia="Times New Roman" w:hAnsiTheme="majorHAnsi" w:cstheme="majorHAnsi"/>
                <w:sz w:val="21"/>
                <w:szCs w:val="21"/>
                <w:lang w:val="en-GB"/>
              </w:rPr>
              <w:t>shared by</w:t>
            </w:r>
            <w:r w:rsidR="00F00E3D" w:rsidRPr="008949E9">
              <w:rPr>
                <w:rFonts w:asciiTheme="majorHAnsi" w:eastAsia="Times New Roman" w:hAnsiTheme="majorHAnsi" w:cstheme="majorHAnsi"/>
                <w:sz w:val="21"/>
                <w:szCs w:val="21"/>
                <w:lang w:val="en-GB"/>
              </w:rPr>
              <w:t xml:space="preserve"> Federal and State Governments. </w:t>
            </w:r>
          </w:p>
          <w:p w14:paraId="6275530A" w14:textId="77777777" w:rsidR="00F00E3D" w:rsidRPr="000B690F" w:rsidRDefault="00F00E3D" w:rsidP="00A418C1">
            <w:pPr>
              <w:spacing w:after="0"/>
              <w:rPr>
                <w:rFonts w:asciiTheme="majorHAnsi" w:hAnsiTheme="majorHAnsi" w:cstheme="majorHAnsi"/>
                <w:sz w:val="16"/>
                <w:szCs w:val="16"/>
              </w:rPr>
            </w:pPr>
          </w:p>
          <w:p w14:paraId="49FF81AC" w14:textId="77777777" w:rsidR="00F00E3D" w:rsidRPr="008949E9" w:rsidRDefault="007320D6" w:rsidP="00A418C1">
            <w:pPr>
              <w:spacing w:after="0"/>
              <w:rPr>
                <w:rFonts w:asciiTheme="majorHAnsi" w:hAnsiTheme="majorHAnsi" w:cstheme="majorHAnsi"/>
                <w:sz w:val="21"/>
                <w:szCs w:val="21"/>
              </w:rPr>
            </w:pPr>
            <w:hyperlink r:id="rId59">
              <w:r w:rsidR="00F00E3D" w:rsidRPr="008949E9">
                <w:rPr>
                  <w:rStyle w:val="Hyperlink"/>
                  <w:rFonts w:asciiTheme="majorHAnsi" w:eastAsia="Times New Roman" w:hAnsiTheme="majorHAnsi" w:cstheme="majorHAnsi"/>
                  <w:b/>
                  <w:bCs/>
                  <w:sz w:val="21"/>
                  <w:szCs w:val="21"/>
                  <w:lang w:val="en-GB"/>
                </w:rPr>
                <w:t>Victorian Health Priorities Framework 2012-2022: Rural and Regional Health Plan</w:t>
              </w:r>
            </w:hyperlink>
          </w:p>
          <w:p w14:paraId="6A1E718F" w14:textId="77777777" w:rsidR="00F00E3D" w:rsidRPr="008949E9" w:rsidRDefault="00F00E3D" w:rsidP="00A418C1">
            <w:pPr>
              <w:spacing w:after="0"/>
              <w:rPr>
                <w:rFonts w:asciiTheme="majorHAnsi" w:hAnsiTheme="majorHAnsi" w:cstheme="majorHAnsi"/>
                <w:sz w:val="21"/>
                <w:szCs w:val="21"/>
              </w:rPr>
            </w:pPr>
            <w:r w:rsidRPr="008949E9">
              <w:rPr>
                <w:rFonts w:asciiTheme="majorHAnsi" w:eastAsia="Times New Roman" w:hAnsiTheme="majorHAnsi" w:cstheme="majorHAnsi"/>
                <w:sz w:val="21"/>
                <w:szCs w:val="21"/>
                <w:lang w:val="en-GB"/>
              </w:rPr>
              <w:t xml:space="preserve">Provides an overview of the rural and regional healthcare system as it was in 2011. The priorities identified included developing a responsive system, improving all Victorians health and wellbeing, expanding service and workforce capacity, increasing financial sustainability and productivity, implementing continuous improvement and innovation, increased accountability and transparency, and e-health and communication technology. </w:t>
            </w:r>
          </w:p>
        </w:tc>
        <w:tc>
          <w:tcPr>
            <w:tcW w:w="3693" w:type="dxa"/>
            <w:tcBorders>
              <w:top w:val="single" w:sz="8" w:space="0" w:color="auto"/>
              <w:left w:val="single" w:sz="8" w:space="0" w:color="auto"/>
              <w:bottom w:val="single" w:sz="8" w:space="0" w:color="auto"/>
              <w:right w:val="single" w:sz="8" w:space="0" w:color="auto"/>
            </w:tcBorders>
          </w:tcPr>
          <w:p w14:paraId="2CF75F21" w14:textId="77777777" w:rsidR="00F00E3D" w:rsidRPr="008949E9" w:rsidRDefault="00F00E3D" w:rsidP="00A418C1">
            <w:pPr>
              <w:spacing w:after="0"/>
              <w:rPr>
                <w:rFonts w:asciiTheme="majorHAnsi" w:hAnsiTheme="majorHAnsi" w:cstheme="majorHAnsi"/>
                <w:sz w:val="21"/>
                <w:szCs w:val="21"/>
              </w:rPr>
            </w:pPr>
            <w:r w:rsidRPr="008949E9">
              <w:rPr>
                <w:rFonts w:asciiTheme="majorHAnsi" w:eastAsia="Times New Roman" w:hAnsiTheme="majorHAnsi" w:cstheme="majorHAnsi"/>
                <w:sz w:val="21"/>
                <w:szCs w:val="21"/>
                <w:lang w:val="en-GB"/>
              </w:rPr>
              <w:t xml:space="preserve">Barwon Health is a lead partner, and also works with a range of service partners throughout the region. </w:t>
            </w:r>
          </w:p>
        </w:tc>
      </w:tr>
      <w:tr w:rsidR="00F00E3D" w:rsidRPr="008949E9" w14:paraId="07E54752" w14:textId="77777777" w:rsidTr="778E395A">
        <w:trPr>
          <w:trHeight w:val="5617"/>
        </w:trPr>
        <w:tc>
          <w:tcPr>
            <w:tcW w:w="960" w:type="dxa"/>
            <w:tcBorders>
              <w:top w:val="single" w:sz="8" w:space="0" w:color="auto"/>
              <w:left w:val="single" w:sz="8" w:space="0" w:color="auto"/>
              <w:bottom w:val="single" w:sz="8" w:space="0" w:color="auto"/>
              <w:right w:val="single" w:sz="8" w:space="0" w:color="auto"/>
            </w:tcBorders>
          </w:tcPr>
          <w:p w14:paraId="644A5663" w14:textId="77777777" w:rsidR="00F00E3D" w:rsidRPr="008949E9" w:rsidRDefault="00F00E3D" w:rsidP="00A418C1">
            <w:pPr>
              <w:spacing w:after="0"/>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mc:AlternateContent>
                <mc:Choice Requires="wps">
                  <w:drawing>
                    <wp:anchor distT="45720" distB="45720" distL="114300" distR="114300" simplePos="0" relativeHeight="251658261" behindDoc="0" locked="0" layoutInCell="1" allowOverlap="1" wp14:anchorId="697F0F92" wp14:editId="0ABF52F4">
                      <wp:simplePos x="0" y="0"/>
                      <wp:positionH relativeFrom="column">
                        <wp:posOffset>-668655</wp:posOffset>
                      </wp:positionH>
                      <wp:positionV relativeFrom="paragraph">
                        <wp:posOffset>914400</wp:posOffset>
                      </wp:positionV>
                      <wp:extent cx="1776095" cy="34163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76095" cy="341630"/>
                              </a:xfrm>
                              <a:prstGeom prst="rect">
                                <a:avLst/>
                              </a:prstGeom>
                              <a:noFill/>
                              <a:ln w="9525">
                                <a:noFill/>
                                <a:miter lim="800000"/>
                                <a:headEnd/>
                                <a:tailEnd/>
                              </a:ln>
                            </wps:spPr>
                            <wps:txbx>
                              <w:txbxContent>
                                <w:p w14:paraId="58264A12" w14:textId="77777777" w:rsidR="00063AC8" w:rsidRPr="004200CF" w:rsidRDefault="00063AC8" w:rsidP="009B2FA7">
                                  <w:pPr>
                                    <w:jc w:val="right"/>
                                    <w:rPr>
                                      <w:b/>
                                      <w:bCs/>
                                      <w:color w:val="595959" w:themeColor="text1" w:themeTint="A6"/>
                                    </w:rPr>
                                  </w:pPr>
                                  <w:r>
                                    <w:rPr>
                                      <w:b/>
                                      <w:bCs/>
                                      <w:color w:val="595959" w:themeColor="text1" w:themeTint="A6"/>
                                    </w:rPr>
                                    <w:t>LIVEABILITY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F0F92" id="_x0000_s1042" type="#_x0000_t202" style="position:absolute;margin-left:-52.65pt;margin-top:1in;width:139.85pt;height:26.9pt;rotation:-90;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" filled="f" stroked="f">
                      <v:textbox>
                        <w:txbxContent>
                          <w:p w14:paraId="58264A12" w14:textId="77777777" w:rsidR="00063AC8" w:rsidRPr="004200CF" w:rsidRDefault="00063AC8" w:rsidP="009B2FA7">
                            <w:pPr>
                              <w:jc w:val="right"/>
                              <w:rPr>
                                <w:b/>
                                <w:bCs/>
                                <w:color w:val="595959" w:themeColor="text1" w:themeTint="A6"/>
                              </w:rPr>
                            </w:pPr>
                            <w:r>
                              <w:rPr>
                                <w:b/>
                                <w:bCs/>
                                <w:color w:val="595959" w:themeColor="text1" w:themeTint="A6"/>
                              </w:rPr>
                              <w:t>LIVEABILITY</w:t>
                            </w:r>
                          </w:p>
                        </w:txbxContent>
                      </v:textbox>
                      <w10:wrap type="square"/>
                    </v:shape>
                  </w:pict>
                </mc:Fallback>
              </mc:AlternateContent>
            </w:r>
          </w:p>
        </w:tc>
        <w:tc>
          <w:tcPr>
            <w:tcW w:w="9934" w:type="dxa"/>
            <w:tcBorders>
              <w:top w:val="single" w:sz="8" w:space="0" w:color="auto"/>
              <w:left w:val="single" w:sz="8" w:space="0" w:color="auto"/>
              <w:bottom w:val="single" w:sz="8" w:space="0" w:color="auto"/>
              <w:right w:val="single" w:sz="8" w:space="0" w:color="auto"/>
            </w:tcBorders>
          </w:tcPr>
          <w:p w14:paraId="12E0EF88" w14:textId="77777777" w:rsidR="00F00E3D" w:rsidRPr="00D56BD1" w:rsidRDefault="00F00E3D" w:rsidP="00A418C1">
            <w:pPr>
              <w:spacing w:after="0"/>
              <w:rPr>
                <w:rFonts w:asciiTheme="majorHAnsi" w:hAnsiTheme="majorHAnsi" w:cstheme="majorHAnsi"/>
                <w:sz w:val="21"/>
                <w:szCs w:val="21"/>
              </w:rPr>
            </w:pPr>
            <w:r w:rsidRPr="00D56BD1">
              <w:rPr>
                <w:rFonts w:asciiTheme="majorHAnsi" w:eastAsia="Times New Roman" w:hAnsiTheme="majorHAnsi" w:cstheme="majorHAnsi"/>
                <w:b/>
                <w:bCs/>
                <w:sz w:val="21"/>
                <w:szCs w:val="21"/>
                <w:lang w:val="en-GB"/>
              </w:rPr>
              <w:t>Regional Development Partnerships via Regional Development (RDP) Victoria</w:t>
            </w:r>
            <w:r w:rsidRPr="00D56BD1">
              <w:rPr>
                <w:rFonts w:asciiTheme="majorHAnsi" w:hAnsiTheme="majorHAnsi" w:cstheme="majorHAnsi"/>
                <w:sz w:val="21"/>
                <w:szCs w:val="21"/>
              </w:rPr>
              <w:t xml:space="preserve">: </w:t>
            </w:r>
            <w:r w:rsidRPr="00D56BD1">
              <w:rPr>
                <w:rFonts w:asciiTheme="majorHAnsi" w:eastAsia="Times New Roman" w:hAnsiTheme="majorHAnsi" w:cstheme="majorHAnsi"/>
                <w:sz w:val="21"/>
                <w:szCs w:val="21"/>
                <w:lang w:val="en-GB"/>
              </w:rPr>
              <w:t xml:space="preserve">Aims to enable local communities to develop initiatives to meet their challenges and opportunities. Local RDP: Barwon Regional Partnership. Seeks to achieve outcomes in transport connectivity, liveability, climate change, business and innovation, equity and wellbeing, education and tourism. </w:t>
            </w:r>
          </w:p>
          <w:p w14:paraId="5A51E688" w14:textId="77777777" w:rsidR="00F00E3D" w:rsidRPr="00D56BD1" w:rsidRDefault="00F00E3D" w:rsidP="00A418C1">
            <w:pPr>
              <w:spacing w:after="0"/>
              <w:rPr>
                <w:rFonts w:asciiTheme="majorHAnsi" w:hAnsiTheme="majorHAnsi" w:cstheme="majorHAnsi"/>
                <w:sz w:val="16"/>
                <w:szCs w:val="16"/>
              </w:rPr>
            </w:pPr>
          </w:p>
          <w:p w14:paraId="1305DD1B" w14:textId="77777777" w:rsidR="00F00E3D" w:rsidRPr="00D56BD1" w:rsidRDefault="007320D6" w:rsidP="00A418C1">
            <w:pPr>
              <w:spacing w:after="0"/>
              <w:rPr>
                <w:rFonts w:asciiTheme="majorHAnsi" w:hAnsiTheme="majorHAnsi" w:cstheme="majorHAnsi"/>
                <w:sz w:val="21"/>
                <w:szCs w:val="21"/>
              </w:rPr>
            </w:pPr>
            <w:hyperlink r:id="rId60">
              <w:r w:rsidR="00F00E3D" w:rsidRPr="00D56BD1">
                <w:rPr>
                  <w:rStyle w:val="Hyperlink"/>
                  <w:rFonts w:asciiTheme="majorHAnsi" w:eastAsia="Times New Roman" w:hAnsiTheme="majorHAnsi" w:cstheme="majorHAnsi"/>
                  <w:b/>
                  <w:bCs/>
                  <w:sz w:val="21"/>
                  <w:szCs w:val="21"/>
                  <w:lang w:val="en-GB"/>
                </w:rPr>
                <w:t>Urban Design Charter</w:t>
              </w:r>
            </w:hyperlink>
            <w:r w:rsidR="00F00E3D" w:rsidRPr="00D56BD1">
              <w:rPr>
                <w:rFonts w:asciiTheme="majorHAnsi" w:hAnsiTheme="majorHAnsi" w:cstheme="majorHAnsi"/>
              </w:rPr>
              <w:t>:</w:t>
            </w:r>
            <w:r w:rsidR="00F00E3D" w:rsidRPr="00D56BD1">
              <w:rPr>
                <w:rFonts w:asciiTheme="majorHAnsi" w:eastAsia="Times New Roman" w:hAnsiTheme="majorHAnsi" w:cstheme="majorHAnsi"/>
                <w:sz w:val="21"/>
                <w:szCs w:val="21"/>
                <w:lang w:val="en-GB"/>
              </w:rPr>
              <w:t xml:space="preserve"> Set of 11 principles to make cities and towns more liveable. Supported by </w:t>
            </w:r>
            <w:hyperlink r:id="rId61">
              <w:r w:rsidR="00F00E3D" w:rsidRPr="00D56BD1">
                <w:rPr>
                  <w:rStyle w:val="Hyperlink"/>
                  <w:rFonts w:asciiTheme="majorHAnsi" w:eastAsia="Times New Roman" w:hAnsiTheme="majorHAnsi" w:cstheme="majorHAnsi"/>
                  <w:sz w:val="21"/>
                  <w:szCs w:val="21"/>
                  <w:lang w:val="en-GB"/>
                </w:rPr>
                <w:t>Urban Design Guidelines</w:t>
              </w:r>
            </w:hyperlink>
            <w:r w:rsidR="00F00E3D" w:rsidRPr="00D56BD1">
              <w:rPr>
                <w:rFonts w:asciiTheme="majorHAnsi" w:hAnsiTheme="majorHAnsi" w:cstheme="majorHAnsi"/>
                <w:color w:val="2F5496" w:themeColor="accent1" w:themeShade="BF"/>
              </w:rPr>
              <w:t>.</w:t>
            </w:r>
          </w:p>
          <w:p w14:paraId="63000549" w14:textId="77777777" w:rsidR="00F00E3D" w:rsidRPr="00D56BD1" w:rsidRDefault="00F00E3D" w:rsidP="00A418C1">
            <w:pPr>
              <w:spacing w:after="0"/>
              <w:rPr>
                <w:rFonts w:asciiTheme="majorHAnsi" w:hAnsiTheme="majorHAnsi" w:cstheme="majorHAnsi"/>
                <w:sz w:val="16"/>
                <w:szCs w:val="16"/>
              </w:rPr>
            </w:pPr>
          </w:p>
          <w:p w14:paraId="12D7AF5E" w14:textId="77777777" w:rsidR="00F00E3D" w:rsidRPr="00D56BD1" w:rsidRDefault="007320D6" w:rsidP="00A418C1">
            <w:pPr>
              <w:spacing w:after="0"/>
              <w:rPr>
                <w:rFonts w:asciiTheme="majorHAnsi" w:hAnsiTheme="majorHAnsi" w:cstheme="majorHAnsi"/>
                <w:sz w:val="21"/>
                <w:szCs w:val="21"/>
              </w:rPr>
            </w:pPr>
            <w:hyperlink r:id="rId62">
              <w:r w:rsidR="00F00E3D" w:rsidRPr="00D56BD1">
                <w:rPr>
                  <w:rStyle w:val="Hyperlink"/>
                  <w:rFonts w:asciiTheme="majorHAnsi" w:eastAsia="Times New Roman" w:hAnsiTheme="majorHAnsi" w:cstheme="majorHAnsi"/>
                  <w:b/>
                  <w:bCs/>
                  <w:sz w:val="21"/>
                  <w:szCs w:val="21"/>
                  <w:lang w:val="en-GB"/>
                </w:rPr>
                <w:t>Regional Community Leadership Program</w:t>
              </w:r>
            </w:hyperlink>
            <w:r w:rsidR="00F00E3D" w:rsidRPr="00D56BD1">
              <w:rPr>
                <w:rStyle w:val="Hyperlink"/>
                <w:rFonts w:asciiTheme="majorHAnsi" w:eastAsia="Times New Roman" w:hAnsiTheme="majorHAnsi" w:cstheme="majorHAnsi"/>
                <w:b/>
                <w:bCs/>
                <w:sz w:val="21"/>
                <w:szCs w:val="21"/>
                <w:lang w:val="en-GB"/>
              </w:rPr>
              <w:t>:</w:t>
            </w:r>
            <w:r w:rsidR="00F00E3D" w:rsidRPr="00D56BD1">
              <w:rPr>
                <w:rFonts w:asciiTheme="majorHAnsi" w:hAnsiTheme="majorHAnsi" w:cstheme="majorHAnsi"/>
              </w:rPr>
              <w:t xml:space="preserve"> </w:t>
            </w:r>
            <w:r w:rsidR="00F00E3D" w:rsidRPr="00D56BD1">
              <w:rPr>
                <w:rFonts w:asciiTheme="majorHAnsi" w:eastAsia="Times New Roman" w:hAnsiTheme="majorHAnsi" w:cstheme="majorHAnsi"/>
                <w:sz w:val="21"/>
                <w:szCs w:val="21"/>
                <w:lang w:val="en-GB"/>
              </w:rPr>
              <w:t>Capacity-building program to develop leaders from local communities, auspiced by Regional Development Victoria.</w:t>
            </w:r>
          </w:p>
          <w:p w14:paraId="776F6790" w14:textId="77777777" w:rsidR="00F00E3D" w:rsidRPr="00D56BD1" w:rsidRDefault="00F00E3D" w:rsidP="00A418C1">
            <w:pPr>
              <w:spacing w:after="0"/>
              <w:rPr>
                <w:rFonts w:asciiTheme="majorHAnsi" w:hAnsiTheme="majorHAnsi" w:cstheme="majorHAnsi"/>
                <w:sz w:val="16"/>
                <w:szCs w:val="16"/>
              </w:rPr>
            </w:pPr>
          </w:p>
          <w:p w14:paraId="07E4E4EB" w14:textId="77777777" w:rsidR="00F00E3D" w:rsidRPr="00D56BD1" w:rsidRDefault="007320D6" w:rsidP="00A418C1">
            <w:pPr>
              <w:spacing w:after="0"/>
              <w:rPr>
                <w:rFonts w:asciiTheme="majorHAnsi" w:hAnsiTheme="majorHAnsi" w:cstheme="majorHAnsi"/>
                <w:sz w:val="21"/>
                <w:szCs w:val="21"/>
              </w:rPr>
            </w:pPr>
            <w:hyperlink r:id="rId63">
              <w:r w:rsidR="00F00E3D" w:rsidRPr="00D56BD1">
                <w:rPr>
                  <w:rStyle w:val="Hyperlink"/>
                  <w:rFonts w:asciiTheme="majorHAnsi" w:eastAsia="Times New Roman" w:hAnsiTheme="majorHAnsi" w:cstheme="majorHAnsi"/>
                  <w:b/>
                  <w:bCs/>
                  <w:sz w:val="21"/>
                  <w:szCs w:val="21"/>
                </w:rPr>
                <w:t>Regional Growth Plan – G21</w:t>
              </w:r>
            </w:hyperlink>
            <w:r w:rsidR="00F00E3D" w:rsidRPr="00D56BD1">
              <w:rPr>
                <w:rFonts w:asciiTheme="majorHAnsi" w:hAnsiTheme="majorHAnsi" w:cstheme="majorHAnsi"/>
              </w:rPr>
              <w:t xml:space="preserve">: </w:t>
            </w:r>
            <w:r w:rsidR="00F00E3D" w:rsidRPr="00D56BD1">
              <w:rPr>
                <w:rFonts w:asciiTheme="majorHAnsi" w:eastAsia="Times New Roman" w:hAnsiTheme="majorHAnsi" w:cstheme="majorHAnsi"/>
                <w:color w:val="000000" w:themeColor="text1"/>
                <w:sz w:val="21"/>
                <w:szCs w:val="21"/>
              </w:rPr>
              <w:t xml:space="preserve">Overview of growth in the Geelong region, auspiced by Victorian State Government. </w:t>
            </w:r>
          </w:p>
          <w:p w14:paraId="732ECA88" w14:textId="77777777" w:rsidR="00F00E3D" w:rsidRPr="00D56BD1" w:rsidRDefault="00F00E3D" w:rsidP="00A418C1">
            <w:pPr>
              <w:spacing w:after="0"/>
              <w:rPr>
                <w:rFonts w:asciiTheme="majorHAnsi" w:hAnsiTheme="majorHAnsi" w:cstheme="majorHAnsi"/>
                <w:sz w:val="16"/>
                <w:szCs w:val="16"/>
              </w:rPr>
            </w:pPr>
          </w:p>
          <w:p w14:paraId="651CC854" w14:textId="77777777" w:rsidR="00F00E3D" w:rsidRPr="00D56BD1" w:rsidRDefault="007320D6" w:rsidP="00A418C1">
            <w:pPr>
              <w:spacing w:after="0"/>
              <w:rPr>
                <w:rFonts w:asciiTheme="majorHAnsi" w:hAnsiTheme="majorHAnsi" w:cstheme="majorHAnsi"/>
                <w:sz w:val="21"/>
                <w:szCs w:val="21"/>
              </w:rPr>
            </w:pPr>
            <w:hyperlink r:id="rId64">
              <w:r w:rsidR="00F00E3D" w:rsidRPr="00D56BD1">
                <w:rPr>
                  <w:rStyle w:val="Hyperlink"/>
                  <w:rFonts w:asciiTheme="majorHAnsi" w:eastAsia="Times New Roman" w:hAnsiTheme="majorHAnsi" w:cstheme="majorHAnsi"/>
                  <w:b/>
                  <w:bCs/>
                  <w:sz w:val="21"/>
                  <w:szCs w:val="21"/>
                </w:rPr>
                <w:t>2020/2021 Victoria State Budget</w:t>
              </w:r>
            </w:hyperlink>
            <w:r w:rsidR="00F00E3D" w:rsidRPr="00D56BD1">
              <w:rPr>
                <w:rFonts w:asciiTheme="majorHAnsi" w:hAnsiTheme="majorHAnsi" w:cstheme="majorHAnsi"/>
              </w:rPr>
              <w:t xml:space="preserve">: </w:t>
            </w:r>
            <w:r w:rsidR="00F00E3D" w:rsidRPr="00D56BD1">
              <w:rPr>
                <w:rFonts w:asciiTheme="majorHAnsi" w:eastAsia="Times New Roman" w:hAnsiTheme="majorHAnsi" w:cstheme="majorHAnsi"/>
                <w:sz w:val="21"/>
                <w:szCs w:val="21"/>
                <w:lang w:val="en-GB"/>
              </w:rPr>
              <w:t xml:space="preserve">A range of funding announced for Geelong, including building works, supporting tourism, Great Ocean Road revitalisation, subsidies and incentives under the Jobs for Victoria initiative, transition to clean energy, digital futures, agricultural development, post-pandemic business recovery, and building skills. </w:t>
            </w:r>
          </w:p>
          <w:p w14:paraId="1C3E2159" w14:textId="77777777" w:rsidR="00F00E3D" w:rsidRPr="00D56BD1" w:rsidRDefault="00F00E3D" w:rsidP="00A418C1">
            <w:pPr>
              <w:spacing w:after="0"/>
              <w:rPr>
                <w:rFonts w:asciiTheme="majorHAnsi" w:hAnsiTheme="majorHAnsi" w:cstheme="majorHAnsi"/>
                <w:sz w:val="21"/>
                <w:szCs w:val="21"/>
              </w:rPr>
            </w:pPr>
            <w:r w:rsidRPr="00D56BD1">
              <w:rPr>
                <w:rFonts w:asciiTheme="majorHAnsi" w:eastAsia="Times New Roman" w:hAnsiTheme="majorHAnsi" w:cstheme="majorHAnsi"/>
                <w:sz w:val="21"/>
                <w:szCs w:val="21"/>
                <w:lang w:val="en-GB"/>
              </w:rPr>
              <w:t xml:space="preserve"> </w:t>
            </w:r>
          </w:p>
          <w:p w14:paraId="16921D37" w14:textId="77777777" w:rsidR="00F00E3D" w:rsidRPr="00D56BD1" w:rsidRDefault="007320D6" w:rsidP="00A418C1">
            <w:pPr>
              <w:spacing w:after="0"/>
              <w:rPr>
                <w:rFonts w:asciiTheme="majorHAnsi" w:hAnsiTheme="majorHAnsi" w:cstheme="majorHAnsi"/>
                <w:sz w:val="21"/>
                <w:szCs w:val="21"/>
              </w:rPr>
            </w:pPr>
            <w:hyperlink r:id="rId65">
              <w:r w:rsidR="00F00E3D" w:rsidRPr="00D56BD1">
                <w:rPr>
                  <w:rStyle w:val="Hyperlink"/>
                  <w:rFonts w:asciiTheme="majorHAnsi" w:eastAsia="Times New Roman" w:hAnsiTheme="majorHAnsi" w:cstheme="majorHAnsi"/>
                  <w:b/>
                  <w:bCs/>
                  <w:sz w:val="21"/>
                  <w:szCs w:val="21"/>
                  <w:lang w:val="en-GB"/>
                </w:rPr>
                <w:t>Victoria in Future 2019</w:t>
              </w:r>
            </w:hyperlink>
            <w:r w:rsidR="00F00E3D" w:rsidRPr="00D56BD1">
              <w:rPr>
                <w:rFonts w:asciiTheme="majorHAnsi" w:hAnsiTheme="majorHAnsi" w:cstheme="majorHAnsi"/>
              </w:rPr>
              <w:t xml:space="preserve">: </w:t>
            </w:r>
            <w:r w:rsidR="00F00E3D" w:rsidRPr="00D56BD1">
              <w:rPr>
                <w:rFonts w:asciiTheme="majorHAnsi" w:eastAsia="Times New Roman" w:hAnsiTheme="majorHAnsi" w:cstheme="majorHAnsi"/>
                <w:sz w:val="21"/>
                <w:szCs w:val="21"/>
                <w:lang w:val="en-GB"/>
              </w:rPr>
              <w:t>Includes population projections for all regions of Victoria.</w:t>
            </w:r>
          </w:p>
          <w:p w14:paraId="7E777E33" w14:textId="77777777" w:rsidR="00F00E3D" w:rsidRPr="00D56BD1" w:rsidRDefault="00F00E3D" w:rsidP="00A418C1">
            <w:pPr>
              <w:spacing w:after="0"/>
              <w:rPr>
                <w:rFonts w:asciiTheme="majorHAnsi" w:hAnsiTheme="majorHAnsi" w:cstheme="majorHAnsi"/>
                <w:sz w:val="21"/>
                <w:szCs w:val="21"/>
              </w:rPr>
            </w:pPr>
            <w:r w:rsidRPr="00D56BD1">
              <w:rPr>
                <w:rFonts w:asciiTheme="majorHAnsi" w:eastAsia="Times New Roman" w:hAnsiTheme="majorHAnsi" w:cstheme="majorHAnsi"/>
                <w:b/>
                <w:bCs/>
                <w:sz w:val="21"/>
                <w:szCs w:val="21"/>
                <w:lang w:val="en-GB"/>
              </w:rPr>
              <w:t xml:space="preserve"> </w:t>
            </w:r>
          </w:p>
          <w:p w14:paraId="493165B6" w14:textId="3D7AC479" w:rsidR="00F00E3D" w:rsidRPr="00D56BD1" w:rsidRDefault="007320D6" w:rsidP="00A418C1">
            <w:pPr>
              <w:spacing w:after="0"/>
              <w:rPr>
                <w:rFonts w:asciiTheme="majorHAnsi" w:hAnsiTheme="majorHAnsi" w:cstheme="majorHAnsi"/>
                <w:sz w:val="21"/>
                <w:szCs w:val="21"/>
              </w:rPr>
            </w:pPr>
            <w:hyperlink r:id="rId66">
              <w:r w:rsidR="00F00E3D" w:rsidRPr="00D56BD1">
                <w:rPr>
                  <w:rStyle w:val="Hyperlink"/>
                  <w:rFonts w:asciiTheme="majorHAnsi" w:eastAsia="Times New Roman" w:hAnsiTheme="majorHAnsi" w:cstheme="majorHAnsi"/>
                  <w:b/>
                  <w:bCs/>
                  <w:sz w:val="21"/>
                  <w:szCs w:val="21"/>
                  <w:lang w:val="en-GB"/>
                </w:rPr>
                <w:t>Barwon-South Western Region Community Profile</w:t>
              </w:r>
            </w:hyperlink>
            <w:r w:rsidR="00F00E3D" w:rsidRPr="00D56BD1">
              <w:rPr>
                <w:rFonts w:asciiTheme="majorHAnsi" w:hAnsiTheme="majorHAnsi" w:cstheme="majorHAnsi"/>
              </w:rPr>
              <w:t xml:space="preserve">: </w:t>
            </w:r>
            <w:r w:rsidR="00F00E3D" w:rsidRPr="00D56BD1">
              <w:rPr>
                <w:rFonts w:asciiTheme="majorHAnsi" w:eastAsia="Times New Roman" w:hAnsiTheme="majorHAnsi" w:cstheme="majorHAnsi"/>
                <w:sz w:val="21"/>
                <w:szCs w:val="21"/>
                <w:lang w:val="en-GB"/>
              </w:rPr>
              <w:t>Provides region’s overall statistics</w:t>
            </w:r>
            <w:r w:rsidR="00AA72CB">
              <w:rPr>
                <w:rFonts w:asciiTheme="majorHAnsi" w:eastAsia="Times New Roman" w:hAnsiTheme="majorHAnsi" w:cstheme="majorHAnsi"/>
                <w:sz w:val="21"/>
                <w:szCs w:val="21"/>
                <w:lang w:val="en-GB"/>
              </w:rPr>
              <w:t>,</w:t>
            </w:r>
            <w:r w:rsidR="00F00E3D" w:rsidRPr="00D56BD1">
              <w:rPr>
                <w:rFonts w:asciiTheme="majorHAnsi" w:eastAsia="Times New Roman" w:hAnsiTheme="majorHAnsi" w:cstheme="majorHAnsi"/>
                <w:sz w:val="21"/>
                <w:szCs w:val="21"/>
                <w:lang w:val="en-GB"/>
              </w:rPr>
              <w:t xml:space="preserve"> 2015</w:t>
            </w:r>
            <w:r w:rsidR="00F00E3D">
              <w:rPr>
                <w:rFonts w:asciiTheme="majorHAnsi" w:eastAsia="Times New Roman" w:hAnsiTheme="majorHAnsi" w:cstheme="majorHAnsi"/>
                <w:sz w:val="21"/>
                <w:szCs w:val="21"/>
                <w:lang w:val="en-GB"/>
              </w:rPr>
              <w:t xml:space="preserve"> (</w:t>
            </w:r>
            <w:r w:rsidR="00F00E3D" w:rsidRPr="00D56BD1">
              <w:rPr>
                <w:rFonts w:asciiTheme="majorHAnsi" w:eastAsia="Times New Roman" w:hAnsiTheme="majorHAnsi" w:cstheme="majorHAnsi"/>
                <w:sz w:val="21"/>
                <w:szCs w:val="21"/>
                <w:lang w:val="en-GB"/>
              </w:rPr>
              <w:t>most liveability</w:t>
            </w:r>
            <w:r w:rsidR="00F00E3D">
              <w:rPr>
                <w:rFonts w:asciiTheme="majorHAnsi" w:eastAsia="Times New Roman" w:hAnsiTheme="majorHAnsi" w:cstheme="majorHAnsi"/>
                <w:sz w:val="21"/>
                <w:szCs w:val="21"/>
                <w:lang w:val="en-GB"/>
              </w:rPr>
              <w:t xml:space="preserve"> areas)</w:t>
            </w:r>
            <w:r w:rsidR="00F00E3D" w:rsidRPr="00D56BD1">
              <w:rPr>
                <w:rFonts w:asciiTheme="majorHAnsi" w:eastAsia="Times New Roman" w:hAnsiTheme="majorHAnsi" w:cstheme="majorHAnsi"/>
                <w:sz w:val="21"/>
                <w:szCs w:val="21"/>
                <w:lang w:val="en-GB"/>
              </w:rPr>
              <w:t xml:space="preserve">. </w:t>
            </w:r>
          </w:p>
        </w:tc>
        <w:tc>
          <w:tcPr>
            <w:tcW w:w="3693" w:type="dxa"/>
            <w:tcBorders>
              <w:top w:val="single" w:sz="8" w:space="0" w:color="auto"/>
              <w:left w:val="single" w:sz="8" w:space="0" w:color="auto"/>
              <w:bottom w:val="single" w:sz="8" w:space="0" w:color="auto"/>
              <w:right w:val="single" w:sz="8" w:space="0" w:color="auto"/>
            </w:tcBorders>
          </w:tcPr>
          <w:p w14:paraId="0717C246" w14:textId="6466363D" w:rsidR="00F00E3D" w:rsidRPr="00D56BD1" w:rsidRDefault="00F00E3D" w:rsidP="00A418C1">
            <w:pPr>
              <w:spacing w:after="0"/>
              <w:rPr>
                <w:rFonts w:asciiTheme="majorHAnsi" w:eastAsiaTheme="minorEastAsia" w:hAnsiTheme="majorHAnsi" w:cstheme="majorHAnsi"/>
                <w:sz w:val="21"/>
                <w:szCs w:val="21"/>
              </w:rPr>
            </w:pPr>
            <w:r w:rsidRPr="00D56BD1">
              <w:rPr>
                <w:rFonts w:asciiTheme="majorHAnsi" w:hAnsiTheme="majorHAnsi" w:cstheme="majorHAnsi"/>
                <w:sz w:val="21"/>
                <w:szCs w:val="21"/>
                <w:lang w:val="en-GB"/>
              </w:rPr>
              <w:t>Development of School and Family Community Hubs in Whittington, based on Doveton Model; construction of Northern ARC Health and Wellbeing Hub in Corio (proposed but not funded</w:t>
            </w:r>
            <w:r>
              <w:rPr>
                <w:rFonts w:asciiTheme="majorHAnsi" w:hAnsiTheme="majorHAnsi" w:cstheme="majorHAnsi"/>
                <w:sz w:val="21"/>
                <w:szCs w:val="21"/>
                <w:lang w:val="en-GB"/>
              </w:rPr>
              <w:t xml:space="preserve">, now known as </w:t>
            </w:r>
            <w:r w:rsidRPr="009A6AC9">
              <w:rPr>
                <w:rFonts w:asciiTheme="majorHAnsi" w:hAnsiTheme="majorHAnsi" w:cstheme="majorHAnsi"/>
                <w:sz w:val="21"/>
                <w:szCs w:val="21"/>
                <w:lang w:val="en-GB"/>
              </w:rPr>
              <w:t xml:space="preserve">NACH </w:t>
            </w:r>
            <w:r w:rsidR="00C060B7" w:rsidRPr="0005244D">
              <w:rPr>
                <w:rFonts w:asciiTheme="majorHAnsi" w:eastAsia="Calibri Light" w:hAnsiTheme="majorHAnsi" w:cstheme="majorHAnsi"/>
                <w:sz w:val="21"/>
                <w:szCs w:val="21"/>
              </w:rPr>
              <w:t xml:space="preserve">Northern Aquatic </w:t>
            </w:r>
            <w:r w:rsidR="00C060B7">
              <w:rPr>
                <w:rFonts w:asciiTheme="majorHAnsi" w:eastAsia="Calibri Light" w:hAnsiTheme="majorHAnsi" w:cstheme="majorHAnsi"/>
                <w:sz w:val="21"/>
                <w:szCs w:val="21"/>
              </w:rPr>
              <w:t xml:space="preserve">and </w:t>
            </w:r>
            <w:r w:rsidR="00C060B7" w:rsidRPr="0005244D">
              <w:rPr>
                <w:rFonts w:asciiTheme="majorHAnsi" w:eastAsia="Calibri Light" w:hAnsiTheme="majorHAnsi" w:cstheme="majorHAnsi"/>
                <w:sz w:val="21"/>
                <w:szCs w:val="21"/>
              </w:rPr>
              <w:t xml:space="preserve">Community </w:t>
            </w:r>
            <w:r w:rsidR="00C060B7">
              <w:rPr>
                <w:rFonts w:asciiTheme="majorHAnsi" w:eastAsia="Calibri Light" w:hAnsiTheme="majorHAnsi" w:cstheme="majorHAnsi"/>
                <w:sz w:val="21"/>
                <w:szCs w:val="21"/>
              </w:rPr>
              <w:t>Hub</w:t>
            </w:r>
            <w:r w:rsidRPr="00D56BD1">
              <w:rPr>
                <w:rFonts w:asciiTheme="majorHAnsi" w:hAnsiTheme="majorHAnsi" w:cstheme="majorHAnsi"/>
                <w:sz w:val="21"/>
                <w:szCs w:val="21"/>
                <w:lang w:val="en-GB"/>
              </w:rPr>
              <w:t>)</w:t>
            </w:r>
            <w:r w:rsidRPr="00D56BD1">
              <w:rPr>
                <w:rFonts w:asciiTheme="majorHAnsi" w:eastAsiaTheme="minorEastAsia" w:hAnsiTheme="majorHAnsi" w:cstheme="majorHAnsi"/>
                <w:sz w:val="21"/>
                <w:szCs w:val="21"/>
              </w:rPr>
              <w:t xml:space="preserve">; </w:t>
            </w:r>
            <w:hyperlink r:id="rId67">
              <w:r w:rsidRPr="00D56BD1">
                <w:rPr>
                  <w:rStyle w:val="Hyperlink"/>
                  <w:rFonts w:asciiTheme="majorHAnsi" w:hAnsiTheme="majorHAnsi" w:cstheme="majorHAnsi"/>
                  <w:sz w:val="21"/>
                  <w:szCs w:val="21"/>
                  <w:lang w:val="en-GB"/>
                </w:rPr>
                <w:t>Regional Digital Plan</w:t>
              </w:r>
            </w:hyperlink>
            <w:r w:rsidRPr="00D56BD1">
              <w:rPr>
                <w:rStyle w:val="Hyperlink"/>
                <w:rFonts w:asciiTheme="majorHAnsi" w:hAnsiTheme="majorHAnsi" w:cstheme="majorHAnsi"/>
                <w:sz w:val="21"/>
                <w:szCs w:val="21"/>
                <w:lang w:val="en-GB"/>
              </w:rPr>
              <w:t>.</w:t>
            </w:r>
          </w:p>
          <w:p w14:paraId="3584B206" w14:textId="77777777" w:rsidR="00F00E3D" w:rsidRPr="00D56BD1" w:rsidRDefault="00F00E3D" w:rsidP="00A418C1">
            <w:pPr>
              <w:spacing w:after="0"/>
              <w:rPr>
                <w:rFonts w:asciiTheme="majorHAnsi" w:hAnsiTheme="majorHAnsi" w:cstheme="majorHAnsi"/>
                <w:sz w:val="21"/>
                <w:szCs w:val="21"/>
              </w:rPr>
            </w:pPr>
          </w:p>
          <w:p w14:paraId="608126F5" w14:textId="602BC162" w:rsidR="778E395A" w:rsidRDefault="778E395A" w:rsidP="778E395A">
            <w:pPr>
              <w:spacing w:after="0"/>
              <w:rPr>
                <w:rFonts w:asciiTheme="majorHAnsi" w:eastAsia="Times New Roman" w:hAnsiTheme="majorHAnsi" w:cstheme="majorBidi"/>
                <w:sz w:val="21"/>
                <w:szCs w:val="21"/>
                <w:lang w:val="en-GB"/>
              </w:rPr>
            </w:pPr>
          </w:p>
          <w:p w14:paraId="26546921" w14:textId="653EF134" w:rsidR="778E395A" w:rsidRDefault="778E395A" w:rsidP="778E395A">
            <w:pPr>
              <w:spacing w:after="0"/>
              <w:rPr>
                <w:rFonts w:asciiTheme="majorHAnsi" w:eastAsia="Times New Roman" w:hAnsiTheme="majorHAnsi" w:cstheme="majorBidi"/>
                <w:sz w:val="21"/>
                <w:szCs w:val="21"/>
                <w:lang w:val="en-GB"/>
              </w:rPr>
            </w:pPr>
          </w:p>
          <w:p w14:paraId="4C7D2372" w14:textId="3EA31A30" w:rsidR="778E395A" w:rsidRDefault="778E395A" w:rsidP="778E395A">
            <w:pPr>
              <w:spacing w:after="0"/>
              <w:rPr>
                <w:rFonts w:asciiTheme="majorHAnsi" w:eastAsia="Times New Roman" w:hAnsiTheme="majorHAnsi" w:cstheme="majorBidi"/>
                <w:sz w:val="21"/>
                <w:szCs w:val="21"/>
                <w:lang w:val="en-GB"/>
              </w:rPr>
            </w:pPr>
          </w:p>
          <w:p w14:paraId="4653620C" w14:textId="7782C26B" w:rsidR="00F00E3D" w:rsidRPr="00D56BD1" w:rsidRDefault="00F00E3D" w:rsidP="778E395A">
            <w:pPr>
              <w:spacing w:after="0"/>
              <w:rPr>
                <w:rFonts w:asciiTheme="majorHAnsi" w:hAnsiTheme="majorHAnsi" w:cstheme="majorBidi"/>
                <w:sz w:val="21"/>
                <w:szCs w:val="21"/>
              </w:rPr>
            </w:pPr>
            <w:r w:rsidRPr="778E395A">
              <w:rPr>
                <w:rFonts w:asciiTheme="majorHAnsi" w:eastAsia="Times New Roman" w:hAnsiTheme="majorHAnsi" w:cstheme="majorBidi"/>
                <w:sz w:val="21"/>
                <w:szCs w:val="21"/>
                <w:lang w:val="en-GB"/>
              </w:rPr>
              <w:t>Geelong projected to grow by over 100,000 people by 2036</w:t>
            </w:r>
            <w:r w:rsidR="004D14EC" w:rsidRPr="778E395A">
              <w:rPr>
                <w:rFonts w:asciiTheme="majorHAnsi" w:eastAsia="Times New Roman" w:hAnsiTheme="majorHAnsi" w:cstheme="majorBidi"/>
                <w:sz w:val="21"/>
                <w:szCs w:val="21"/>
                <w:lang w:val="en-GB"/>
              </w:rPr>
              <w:t>,</w:t>
            </w:r>
            <w:r w:rsidRPr="778E395A">
              <w:rPr>
                <w:rFonts w:asciiTheme="majorHAnsi" w:eastAsia="Times New Roman" w:hAnsiTheme="majorHAnsi" w:cstheme="majorBidi"/>
                <w:sz w:val="21"/>
                <w:szCs w:val="21"/>
                <w:lang w:val="en-GB"/>
              </w:rPr>
              <w:t xml:space="preserve"> Surf Coast and Moorabool at even faster rates. </w:t>
            </w:r>
          </w:p>
        </w:tc>
      </w:tr>
    </w:tbl>
    <w:p w14:paraId="1A67E788" w14:textId="042FE5A6" w:rsidR="00F00E3D" w:rsidRPr="00661DE7" w:rsidRDefault="00F00E3D" w:rsidP="004D14EC">
      <w:pPr>
        <w:spacing w:line="257" w:lineRule="auto"/>
        <w:rPr>
          <w:rFonts w:asciiTheme="majorHAnsi" w:eastAsia="Times New Roman" w:hAnsiTheme="majorHAnsi" w:cstheme="majorHAnsi"/>
          <w:b/>
          <w:bCs/>
          <w:sz w:val="21"/>
          <w:szCs w:val="21"/>
          <w:lang w:val="en-GB"/>
        </w:rPr>
      </w:pPr>
      <w:bookmarkStart w:id="25" w:name="OLE_LINKTable14"/>
      <w:r w:rsidRPr="00661DE7">
        <w:rPr>
          <w:b/>
          <w:bCs/>
          <w:sz w:val="21"/>
          <w:szCs w:val="21"/>
        </w:rPr>
        <w:t xml:space="preserve">Table </w:t>
      </w:r>
      <w:r w:rsidR="00B952D5" w:rsidRPr="00661DE7">
        <w:rPr>
          <w:b/>
          <w:bCs/>
          <w:sz w:val="21"/>
          <w:szCs w:val="21"/>
        </w:rPr>
        <w:t>2</w:t>
      </w:r>
      <w:r w:rsidR="004D14EC" w:rsidRPr="00661DE7">
        <w:rPr>
          <w:b/>
          <w:bCs/>
          <w:sz w:val="21"/>
          <w:szCs w:val="21"/>
        </w:rPr>
        <w:t>.</w:t>
      </w:r>
      <w:r w:rsidR="00661DE7" w:rsidRPr="00661DE7">
        <w:rPr>
          <w:b/>
          <w:bCs/>
          <w:sz w:val="21"/>
          <w:szCs w:val="21"/>
        </w:rPr>
        <w:t>3</w:t>
      </w:r>
      <w:r w:rsidR="004D14EC" w:rsidRPr="00661DE7">
        <w:rPr>
          <w:b/>
          <w:bCs/>
          <w:sz w:val="21"/>
          <w:szCs w:val="21"/>
        </w:rPr>
        <w:t xml:space="preserve">: </w:t>
      </w:r>
      <w:r w:rsidRPr="00661DE7">
        <w:rPr>
          <w:b/>
          <w:bCs/>
          <w:sz w:val="21"/>
          <w:szCs w:val="21"/>
        </w:rPr>
        <w:t xml:space="preserve">Victorian </w:t>
      </w:r>
      <w:r w:rsidR="004D14EC" w:rsidRPr="00661DE7">
        <w:rPr>
          <w:b/>
          <w:bCs/>
          <w:sz w:val="21"/>
          <w:szCs w:val="21"/>
        </w:rPr>
        <w:t>Policy Context</w:t>
      </w:r>
      <w:bookmarkEnd w:id="25"/>
      <w:r w:rsidRPr="00661DE7">
        <w:rPr>
          <w:rFonts w:asciiTheme="majorHAnsi" w:eastAsia="Times New Roman" w:hAnsiTheme="majorHAnsi" w:cstheme="majorHAnsi"/>
          <w:b/>
          <w:bCs/>
          <w:sz w:val="21"/>
          <w:szCs w:val="21"/>
          <w:lang w:val="en-GB"/>
        </w:rPr>
        <w:br w:type="page"/>
      </w:r>
    </w:p>
    <w:p w14:paraId="1F2A17DD" w14:textId="12597455" w:rsidR="00F00E3D" w:rsidRPr="008F4BF3" w:rsidRDefault="00F00E3D" w:rsidP="009B2FA7">
      <w:pPr>
        <w:spacing w:line="257" w:lineRule="auto"/>
        <w:rPr>
          <w:color w:val="2E74B5" w:themeColor="accent5" w:themeShade="BF"/>
          <w:sz w:val="28"/>
          <w:szCs w:val="28"/>
        </w:rPr>
      </w:pPr>
      <w:r w:rsidRPr="008F4BF3">
        <w:rPr>
          <w:rFonts w:eastAsia="Times New Roman"/>
          <w:b/>
          <w:bCs/>
          <w:color w:val="2E74B5" w:themeColor="accent5" w:themeShade="BF"/>
          <w:sz w:val="28"/>
          <w:szCs w:val="28"/>
          <w:lang w:val="en-GB"/>
        </w:rPr>
        <w:lastRenderedPageBreak/>
        <w:t>2.</w:t>
      </w:r>
      <w:r w:rsidR="00B952D5" w:rsidRPr="008F4BF3">
        <w:rPr>
          <w:rFonts w:eastAsia="Times New Roman"/>
          <w:b/>
          <w:bCs/>
          <w:color w:val="2E74B5" w:themeColor="accent5" w:themeShade="BF"/>
          <w:sz w:val="28"/>
          <w:szCs w:val="28"/>
          <w:lang w:val="en-GB"/>
        </w:rPr>
        <w:t>5</w:t>
      </w:r>
      <w:r w:rsidRPr="008F4BF3">
        <w:rPr>
          <w:rFonts w:eastAsia="Times New Roman"/>
          <w:b/>
          <w:bCs/>
          <w:color w:val="2E74B5" w:themeColor="accent5" w:themeShade="BF"/>
          <w:sz w:val="28"/>
          <w:szCs w:val="28"/>
          <w:lang w:val="en-GB"/>
        </w:rPr>
        <w:t xml:space="preserve"> Policy Context: City of Greater Geelong</w:t>
      </w:r>
    </w:p>
    <w:p w14:paraId="2CE24065" w14:textId="1EDAD3E8" w:rsidR="00F00E3D" w:rsidRPr="00474698" w:rsidRDefault="009F4B3F" w:rsidP="009B2FA7">
      <w:pPr>
        <w:spacing w:line="257" w:lineRule="auto"/>
        <w:rPr>
          <w:rFonts w:asciiTheme="majorHAnsi" w:eastAsiaTheme="majorEastAsia" w:hAnsiTheme="majorHAnsi" w:cstheme="majorBidi"/>
          <w:color w:val="2F5496" w:themeColor="accent1" w:themeShade="BF"/>
          <w:lang w:val="en-GB"/>
        </w:rPr>
      </w:pPr>
      <w:r>
        <w:rPr>
          <w:rFonts w:asciiTheme="majorHAnsi" w:eastAsiaTheme="majorEastAsia" w:hAnsiTheme="majorHAnsi" w:cstheme="majorBidi"/>
          <w:lang w:val="en-GB"/>
        </w:rPr>
        <w:t xml:space="preserve">Policies and plans </w:t>
      </w:r>
      <w:r w:rsidR="00F00E3D" w:rsidRPr="3967B0F6">
        <w:rPr>
          <w:rFonts w:asciiTheme="majorHAnsi" w:eastAsiaTheme="majorEastAsia" w:hAnsiTheme="majorHAnsi" w:cstheme="majorBidi"/>
          <w:lang w:val="en-GB"/>
        </w:rPr>
        <w:t>at the city, sectoral</w:t>
      </w:r>
      <w:r>
        <w:rPr>
          <w:rFonts w:asciiTheme="majorHAnsi" w:eastAsiaTheme="majorEastAsia" w:hAnsiTheme="majorHAnsi" w:cstheme="majorBidi"/>
          <w:lang w:val="en-GB"/>
        </w:rPr>
        <w:t>,</w:t>
      </w:r>
      <w:r w:rsidR="00F00E3D" w:rsidRPr="3967B0F6">
        <w:rPr>
          <w:rFonts w:asciiTheme="majorHAnsi" w:eastAsiaTheme="majorEastAsia" w:hAnsiTheme="majorHAnsi" w:cstheme="majorBidi"/>
          <w:lang w:val="en-GB"/>
        </w:rPr>
        <w:t xml:space="preserve"> and local levels are considered and analysed in mo</w:t>
      </w:r>
      <w:r>
        <w:rPr>
          <w:rFonts w:asciiTheme="majorHAnsi" w:eastAsiaTheme="majorEastAsia" w:hAnsiTheme="majorHAnsi" w:cstheme="majorBidi"/>
          <w:lang w:val="en-GB"/>
        </w:rPr>
        <w:t>r</w:t>
      </w:r>
      <w:r w:rsidR="00F00E3D" w:rsidRPr="3967B0F6">
        <w:rPr>
          <w:rFonts w:asciiTheme="majorHAnsi" w:eastAsiaTheme="majorEastAsia" w:hAnsiTheme="majorHAnsi" w:cstheme="majorBidi"/>
          <w:lang w:val="en-GB"/>
        </w:rPr>
        <w:t xml:space="preserve">e detail in Part </w:t>
      </w:r>
      <w:r w:rsidR="007768F5">
        <w:rPr>
          <w:rFonts w:asciiTheme="majorHAnsi" w:eastAsiaTheme="majorEastAsia" w:hAnsiTheme="majorHAnsi" w:cstheme="majorBidi"/>
          <w:lang w:val="en-GB"/>
        </w:rPr>
        <w:t>B</w:t>
      </w:r>
      <w:r w:rsidR="00F00E3D" w:rsidRPr="3967B0F6">
        <w:rPr>
          <w:rFonts w:asciiTheme="majorHAnsi" w:eastAsiaTheme="majorEastAsia" w:hAnsiTheme="majorHAnsi" w:cstheme="majorBidi"/>
          <w:lang w:val="en-GB"/>
        </w:rPr>
        <w:t>.</w:t>
      </w:r>
    </w:p>
    <w:tbl>
      <w:tblPr>
        <w:tblStyle w:val="TableGrid"/>
        <w:tblW w:w="14570" w:type="dxa"/>
        <w:tblLayout w:type="fixed"/>
        <w:tblLook w:val="04A0" w:firstRow="1" w:lastRow="0" w:firstColumn="1" w:lastColumn="0" w:noHBand="0" w:noVBand="1"/>
      </w:tblPr>
      <w:tblGrid>
        <w:gridCol w:w="988"/>
        <w:gridCol w:w="10044"/>
        <w:gridCol w:w="3538"/>
      </w:tblGrid>
      <w:tr w:rsidR="00203685" w:rsidRPr="00661DE7" w14:paraId="6BAA0775" w14:textId="77777777" w:rsidTr="0055618E">
        <w:trPr>
          <w:trHeight w:val="134"/>
        </w:trPr>
        <w:tc>
          <w:tcPr>
            <w:tcW w:w="988"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2787C9E8" w14:textId="77777777" w:rsidR="00203685" w:rsidRPr="00661DE7" w:rsidRDefault="00203685" w:rsidP="0055618E">
            <w:pPr>
              <w:spacing w:after="0"/>
              <w:rPr>
                <w:rFonts w:eastAsia="Times New Roman" w:cstheme="minorHAnsi"/>
                <w:b/>
                <w:bCs/>
                <w:sz w:val="21"/>
                <w:szCs w:val="21"/>
                <w:lang w:val="en-GB"/>
              </w:rPr>
            </w:pPr>
            <w:bookmarkStart w:id="26" w:name="OLE_LINKTable15"/>
            <w:r w:rsidRPr="00661DE7">
              <w:rPr>
                <w:rFonts w:eastAsia="Times New Roman" w:cstheme="minorHAnsi"/>
                <w:b/>
                <w:bCs/>
                <w:sz w:val="21"/>
                <w:szCs w:val="21"/>
                <w:lang w:val="en-GB"/>
              </w:rPr>
              <w:t>Practice</w:t>
            </w:r>
          </w:p>
          <w:p w14:paraId="1F599290" w14:textId="77777777" w:rsidR="00203685" w:rsidRPr="00661DE7" w:rsidRDefault="00203685" w:rsidP="0055618E">
            <w:pPr>
              <w:spacing w:after="0"/>
              <w:rPr>
                <w:rFonts w:eastAsia="Times New Roman" w:cstheme="minorHAnsi"/>
                <w:b/>
                <w:bCs/>
                <w:sz w:val="21"/>
                <w:szCs w:val="21"/>
                <w:lang w:val="en-GB"/>
              </w:rPr>
            </w:pPr>
            <w:r w:rsidRPr="00661DE7">
              <w:rPr>
                <w:rFonts w:eastAsia="Times New Roman" w:cstheme="minorHAnsi"/>
                <w:b/>
                <w:bCs/>
                <w:sz w:val="21"/>
                <w:szCs w:val="21"/>
                <w:lang w:val="en-GB"/>
              </w:rPr>
              <w:t>Domain</w:t>
            </w:r>
          </w:p>
          <w:p w14:paraId="4A586A84" w14:textId="77777777" w:rsidR="00203685" w:rsidRPr="00661DE7" w:rsidRDefault="00203685" w:rsidP="0055618E">
            <w:pPr>
              <w:spacing w:after="0"/>
              <w:rPr>
                <w:rFonts w:cstheme="minorHAnsi"/>
                <w:sz w:val="12"/>
                <w:szCs w:val="12"/>
              </w:rPr>
            </w:pPr>
          </w:p>
        </w:tc>
        <w:tc>
          <w:tcPr>
            <w:tcW w:w="10044"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3CFB1961" w14:textId="77777777" w:rsidR="00203685" w:rsidRPr="00661DE7" w:rsidRDefault="00203685" w:rsidP="0055618E">
            <w:pPr>
              <w:spacing w:after="0"/>
              <w:rPr>
                <w:rFonts w:cstheme="minorHAnsi"/>
                <w:sz w:val="21"/>
                <w:szCs w:val="21"/>
              </w:rPr>
            </w:pPr>
            <w:r w:rsidRPr="00661DE7">
              <w:rPr>
                <w:rFonts w:eastAsia="Times New Roman" w:cstheme="minorHAnsi"/>
                <w:b/>
                <w:bCs/>
                <w:sz w:val="21"/>
                <w:szCs w:val="21"/>
                <w:lang w:val="en-GB"/>
              </w:rPr>
              <w:t>Policy Name and Purpose</w:t>
            </w:r>
          </w:p>
        </w:tc>
        <w:tc>
          <w:tcPr>
            <w:tcW w:w="3538"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08096666" w14:textId="77777777" w:rsidR="00203685" w:rsidRPr="00661DE7" w:rsidRDefault="00203685" w:rsidP="0055618E">
            <w:pPr>
              <w:spacing w:after="0"/>
              <w:rPr>
                <w:rFonts w:cstheme="minorHAnsi"/>
                <w:sz w:val="21"/>
                <w:szCs w:val="21"/>
              </w:rPr>
            </w:pPr>
            <w:r w:rsidRPr="00661DE7">
              <w:rPr>
                <w:rFonts w:eastAsia="Times New Roman" w:cstheme="minorHAnsi"/>
                <w:b/>
                <w:bCs/>
                <w:sz w:val="21"/>
                <w:szCs w:val="21"/>
                <w:lang w:val="en-GB"/>
              </w:rPr>
              <w:t xml:space="preserve">Relevance to Corio, Norlane, Whittington </w:t>
            </w:r>
          </w:p>
        </w:tc>
      </w:tr>
      <w:tr w:rsidR="00203685" w:rsidRPr="00BA500D" w14:paraId="5648DFCA" w14:textId="77777777" w:rsidTr="0055618E">
        <w:trPr>
          <w:trHeight w:val="2898"/>
        </w:trPr>
        <w:tc>
          <w:tcPr>
            <w:tcW w:w="988" w:type="dxa"/>
            <w:tcBorders>
              <w:top w:val="single" w:sz="8" w:space="0" w:color="auto"/>
              <w:left w:val="single" w:sz="8" w:space="0" w:color="auto"/>
              <w:bottom w:val="single" w:sz="8" w:space="0" w:color="auto"/>
              <w:right w:val="single" w:sz="8" w:space="0" w:color="auto"/>
            </w:tcBorders>
          </w:tcPr>
          <w:p w14:paraId="74ECFA61" w14:textId="77777777" w:rsidR="00203685" w:rsidRPr="00BA500D" w:rsidRDefault="00203685" w:rsidP="0055618E">
            <w:pPr>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mc:AlternateContent>
                <mc:Choice Requires="wps">
                  <w:drawing>
                    <wp:anchor distT="45720" distB="45720" distL="114300" distR="114300" simplePos="0" relativeHeight="251660328" behindDoc="0" locked="0" layoutInCell="1" allowOverlap="1" wp14:anchorId="264EF766" wp14:editId="3E75D7FA">
                      <wp:simplePos x="0" y="0"/>
                      <wp:positionH relativeFrom="column">
                        <wp:posOffset>-337820</wp:posOffset>
                      </wp:positionH>
                      <wp:positionV relativeFrom="paragraph">
                        <wp:posOffset>560705</wp:posOffset>
                      </wp:positionV>
                      <wp:extent cx="1171575" cy="341630"/>
                      <wp:effectExtent l="0" t="0" r="5397"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1575" cy="341630"/>
                              </a:xfrm>
                              <a:prstGeom prst="rect">
                                <a:avLst/>
                              </a:prstGeom>
                              <a:noFill/>
                              <a:ln w="9525">
                                <a:noFill/>
                                <a:miter lim="800000"/>
                                <a:headEnd/>
                                <a:tailEnd/>
                              </a:ln>
                            </wps:spPr>
                            <wps:txbx>
                              <w:txbxContent>
                                <w:p w14:paraId="6C392D80" w14:textId="77777777" w:rsidR="00203685" w:rsidRPr="004200CF" w:rsidRDefault="00203685" w:rsidP="00203685">
                                  <w:pPr>
                                    <w:jc w:val="right"/>
                                    <w:rPr>
                                      <w:b/>
                                      <w:bCs/>
                                      <w:color w:val="595959" w:themeColor="text1" w:themeTint="A6"/>
                                    </w:rPr>
                                  </w:pPr>
                                  <w:r>
                                    <w:rPr>
                                      <w:b/>
                                      <w:bCs/>
                                      <w:color w:val="595959" w:themeColor="text1" w:themeTint="A6"/>
                                    </w:rPr>
                                    <w:t>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EF766" id="_x0000_s1043" type="#_x0000_t202" style="position:absolute;margin-left:-26.6pt;margin-top:44.15pt;width:92.25pt;height:26.9pt;rotation:-90;z-index:251660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" filled="f" stroked="f">
                      <v:textbox>
                        <w:txbxContent>
                          <w:p w14:paraId="6C392D80" w14:textId="77777777" w:rsidR="00203685" w:rsidRPr="004200CF" w:rsidRDefault="00203685" w:rsidP="00203685">
                            <w:pPr>
                              <w:jc w:val="right"/>
                              <w:rPr>
                                <w:b/>
                                <w:bCs/>
                                <w:color w:val="595959" w:themeColor="text1" w:themeTint="A6"/>
                              </w:rPr>
                            </w:pPr>
                            <w:r>
                              <w:rPr>
                                <w:b/>
                                <w:bCs/>
                                <w:color w:val="595959" w:themeColor="text1" w:themeTint="A6"/>
                              </w:rPr>
                              <w:t>EMPLOYMENT</w:t>
                            </w:r>
                          </w:p>
                        </w:txbxContent>
                      </v:textbox>
                      <w10:wrap type="square"/>
                    </v:shape>
                  </w:pict>
                </mc:Fallback>
              </mc:AlternateContent>
            </w:r>
          </w:p>
        </w:tc>
        <w:tc>
          <w:tcPr>
            <w:tcW w:w="10044" w:type="dxa"/>
            <w:tcBorders>
              <w:top w:val="single" w:sz="8" w:space="0" w:color="auto"/>
              <w:left w:val="single" w:sz="8" w:space="0" w:color="auto"/>
              <w:bottom w:val="single" w:sz="8" w:space="0" w:color="auto"/>
              <w:right w:val="single" w:sz="8" w:space="0" w:color="auto"/>
            </w:tcBorders>
          </w:tcPr>
          <w:p w14:paraId="424E4437" w14:textId="77777777" w:rsidR="00203685" w:rsidRPr="004D14EC" w:rsidRDefault="00203685" w:rsidP="0055618E">
            <w:pPr>
              <w:rPr>
                <w:rFonts w:asciiTheme="majorHAnsi" w:eastAsia="Times New Roman" w:hAnsiTheme="majorHAnsi" w:cstheme="majorHAnsi"/>
                <w:sz w:val="21"/>
                <w:szCs w:val="21"/>
                <w:lang w:val="en-GB"/>
              </w:rPr>
            </w:pPr>
            <w:r w:rsidRPr="00BA500D">
              <w:rPr>
                <w:rFonts w:asciiTheme="majorHAnsi" w:eastAsia="Times New Roman" w:hAnsiTheme="majorHAnsi" w:cstheme="majorHAnsi"/>
                <w:b/>
                <w:bCs/>
                <w:sz w:val="21"/>
                <w:szCs w:val="21"/>
                <w:lang w:val="en-GB"/>
              </w:rPr>
              <w:t xml:space="preserve">GROW </w:t>
            </w:r>
            <w:r w:rsidRPr="00BA500D">
              <w:rPr>
                <w:rFonts w:asciiTheme="majorHAnsi" w:eastAsia="Times New Roman" w:hAnsiTheme="majorHAnsi" w:cstheme="majorHAnsi"/>
                <w:sz w:val="21"/>
                <w:szCs w:val="21"/>
                <w:lang w:val="en-GB"/>
              </w:rPr>
              <w:t>Geelong Regional Opportunities for Work</w:t>
            </w:r>
            <w:r>
              <w:rPr>
                <w:rFonts w:asciiTheme="majorHAnsi" w:eastAsia="Times New Roman" w:hAnsiTheme="majorHAnsi" w:cstheme="majorHAnsi"/>
                <w:sz w:val="21"/>
                <w:szCs w:val="21"/>
                <w:lang w:val="en-GB"/>
              </w:rPr>
              <w:t>:</w:t>
            </w:r>
            <w:r w:rsidRPr="00BA500D">
              <w:rPr>
                <w:rFonts w:asciiTheme="majorHAnsi" w:eastAsia="Times New Roman" w:hAnsiTheme="majorHAnsi" w:cstheme="majorHAnsi"/>
                <w:sz w:val="21"/>
                <w:szCs w:val="21"/>
                <w:lang w:val="en-GB"/>
              </w:rPr>
              <w:t xml:space="preserve"> funded by G21 and State government to ensure local procurement and employment of </w:t>
            </w:r>
            <w:r>
              <w:rPr>
                <w:rFonts w:asciiTheme="majorHAnsi" w:eastAsia="Times New Roman" w:hAnsiTheme="majorHAnsi" w:cstheme="majorHAnsi"/>
                <w:sz w:val="21"/>
                <w:szCs w:val="21"/>
                <w:lang w:val="en-GB"/>
              </w:rPr>
              <w:t>unemployed residents</w:t>
            </w:r>
            <w:r w:rsidRPr="00BA500D">
              <w:rPr>
                <w:rFonts w:asciiTheme="majorHAnsi" w:eastAsia="Times New Roman" w:hAnsiTheme="majorHAnsi" w:cstheme="majorHAnsi"/>
                <w:sz w:val="21"/>
                <w:szCs w:val="21"/>
                <w:lang w:val="en-GB"/>
              </w:rPr>
              <w:t xml:space="preserve"> by local companies </w:t>
            </w:r>
            <w:r>
              <w:rPr>
                <w:rFonts w:asciiTheme="majorHAnsi" w:eastAsia="Times New Roman" w:hAnsiTheme="majorHAnsi" w:cstheme="majorHAnsi"/>
                <w:sz w:val="21"/>
                <w:szCs w:val="21"/>
                <w:lang w:val="en-GB"/>
              </w:rPr>
              <w:t>(see Section 5: Case Studies, p. 61).</w:t>
            </w:r>
          </w:p>
          <w:p w14:paraId="4F9BB7E3" w14:textId="77777777" w:rsidR="00203685" w:rsidRDefault="00203685" w:rsidP="0055618E">
            <w:pPr>
              <w:rPr>
                <w:rFonts w:asciiTheme="majorHAnsi" w:eastAsia="Times New Roman" w:hAnsiTheme="majorHAnsi" w:cstheme="majorHAnsi"/>
                <w:sz w:val="21"/>
                <w:szCs w:val="21"/>
                <w:lang w:val="en-GB"/>
              </w:rPr>
            </w:pPr>
            <w:r w:rsidRPr="00BA500D">
              <w:rPr>
                <w:rFonts w:asciiTheme="majorHAnsi" w:eastAsia="Times New Roman" w:hAnsiTheme="majorHAnsi" w:cstheme="majorHAnsi"/>
                <w:b/>
                <w:bCs/>
                <w:sz w:val="21"/>
                <w:szCs w:val="21"/>
                <w:lang w:val="en-GB"/>
              </w:rPr>
              <w:t>Skilling the Bay</w:t>
            </w:r>
            <w:r>
              <w:rPr>
                <w:rFonts w:asciiTheme="majorHAnsi" w:eastAsia="Times New Roman" w:hAnsiTheme="majorHAnsi" w:cstheme="majorHAnsi"/>
                <w:sz w:val="21"/>
                <w:szCs w:val="21"/>
                <w:lang w:val="en-GB"/>
              </w:rPr>
              <w:t xml:space="preserve">: </w:t>
            </w:r>
            <w:r w:rsidRPr="00BA500D">
              <w:rPr>
                <w:rFonts w:asciiTheme="majorHAnsi" w:eastAsia="Times New Roman" w:hAnsiTheme="majorHAnsi" w:cstheme="majorHAnsi"/>
                <w:sz w:val="21"/>
                <w:szCs w:val="21"/>
                <w:lang w:val="en-GB"/>
              </w:rPr>
              <w:t xml:space="preserve">Funded by the </w:t>
            </w:r>
            <w:r>
              <w:rPr>
                <w:rFonts w:asciiTheme="majorHAnsi" w:eastAsia="Times New Roman" w:hAnsiTheme="majorHAnsi" w:cstheme="majorHAnsi"/>
                <w:sz w:val="21"/>
                <w:szCs w:val="21"/>
                <w:lang w:val="en-GB"/>
              </w:rPr>
              <w:t xml:space="preserve">Victorian </w:t>
            </w:r>
            <w:r w:rsidRPr="00BA500D">
              <w:rPr>
                <w:rFonts w:asciiTheme="majorHAnsi" w:eastAsia="Times New Roman" w:hAnsiTheme="majorHAnsi" w:cstheme="majorHAnsi"/>
                <w:sz w:val="21"/>
                <w:szCs w:val="21"/>
                <w:lang w:val="en-GB"/>
              </w:rPr>
              <w:t>State government but delivered by local agencie</w:t>
            </w:r>
            <w:r>
              <w:rPr>
                <w:rFonts w:asciiTheme="majorHAnsi" w:eastAsia="Times New Roman" w:hAnsiTheme="majorHAnsi" w:cstheme="majorHAnsi"/>
                <w:sz w:val="21"/>
                <w:szCs w:val="21"/>
                <w:lang w:val="en-GB"/>
              </w:rPr>
              <w:t>s,</w:t>
            </w:r>
            <w:r w:rsidRPr="00BA500D">
              <w:rPr>
                <w:rFonts w:asciiTheme="majorHAnsi" w:eastAsia="Times New Roman" w:hAnsiTheme="majorHAnsi" w:cstheme="majorHAnsi"/>
                <w:sz w:val="21"/>
                <w:szCs w:val="21"/>
                <w:lang w:val="en-GB"/>
              </w:rPr>
              <w:t xml:space="preserve"> including The Gordon for training and Northern Futures for job placement</w:t>
            </w:r>
            <w:r>
              <w:rPr>
                <w:rFonts w:asciiTheme="majorHAnsi" w:eastAsia="Times New Roman" w:hAnsiTheme="majorHAnsi" w:cstheme="majorHAnsi"/>
                <w:sz w:val="21"/>
                <w:szCs w:val="21"/>
                <w:lang w:val="en-GB"/>
              </w:rPr>
              <w:t>. A</w:t>
            </w:r>
            <w:r w:rsidRPr="00BA500D">
              <w:rPr>
                <w:rFonts w:asciiTheme="majorHAnsi" w:eastAsia="Times New Roman" w:hAnsiTheme="majorHAnsi" w:cstheme="majorHAnsi"/>
                <w:sz w:val="21"/>
                <w:szCs w:val="21"/>
                <w:lang w:val="en-GB"/>
              </w:rPr>
              <w:t xml:space="preserve"> highly effective program</w:t>
            </w:r>
            <w:r>
              <w:rPr>
                <w:rFonts w:asciiTheme="majorHAnsi" w:eastAsia="Times New Roman" w:hAnsiTheme="majorHAnsi" w:cstheme="majorHAnsi"/>
                <w:sz w:val="21"/>
                <w:szCs w:val="21"/>
                <w:lang w:val="en-GB"/>
              </w:rPr>
              <w:t xml:space="preserve"> that</w:t>
            </w:r>
            <w:r w:rsidRPr="00BA500D">
              <w:rPr>
                <w:rFonts w:asciiTheme="majorHAnsi" w:eastAsia="Times New Roman" w:hAnsiTheme="majorHAnsi" w:cstheme="majorHAnsi"/>
                <w:sz w:val="21"/>
                <w:szCs w:val="21"/>
                <w:lang w:val="en-GB"/>
              </w:rPr>
              <w:t xml:space="preserve"> was defunded in 2020.</w:t>
            </w:r>
          </w:p>
          <w:p w14:paraId="23EA6B5D" w14:textId="77777777" w:rsidR="00203685" w:rsidRDefault="00203685" w:rsidP="0055618E">
            <w:pPr>
              <w:rPr>
                <w:rStyle w:val="Hyperlink"/>
                <w:rFonts w:asciiTheme="majorHAnsi" w:eastAsia="Times New Roman" w:hAnsiTheme="majorHAnsi" w:cstheme="majorHAnsi"/>
                <w:sz w:val="21"/>
                <w:szCs w:val="21"/>
                <w:lang w:val="en-GB"/>
              </w:rPr>
            </w:pPr>
            <w:r w:rsidRPr="00BA500D">
              <w:rPr>
                <w:rFonts w:asciiTheme="majorHAnsi" w:eastAsia="Times New Roman" w:hAnsiTheme="majorHAnsi" w:cstheme="majorHAnsi"/>
                <w:b/>
                <w:bCs/>
                <w:sz w:val="21"/>
                <w:szCs w:val="21"/>
                <w:lang w:val="en-GB"/>
              </w:rPr>
              <w:t>Carbon Nexus Facility</w:t>
            </w:r>
            <w:r>
              <w:rPr>
                <w:rFonts w:asciiTheme="majorHAnsi" w:hAnsiTheme="majorHAnsi" w:cstheme="majorHAnsi"/>
                <w:sz w:val="21"/>
                <w:szCs w:val="21"/>
              </w:rPr>
              <w:t xml:space="preserve">: </w:t>
            </w:r>
            <w:r w:rsidRPr="00BA500D">
              <w:rPr>
                <w:rFonts w:asciiTheme="majorHAnsi" w:eastAsia="Times New Roman" w:hAnsiTheme="majorHAnsi" w:cstheme="majorHAnsi"/>
                <w:sz w:val="21"/>
                <w:szCs w:val="21"/>
                <w:lang w:val="en-GB"/>
              </w:rPr>
              <w:t xml:space="preserve">Partnership between Geelong Manufacturing Council, </w:t>
            </w:r>
            <w:proofErr w:type="gramStart"/>
            <w:r w:rsidRPr="00BA500D">
              <w:rPr>
                <w:rFonts w:asciiTheme="majorHAnsi" w:eastAsia="Times New Roman" w:hAnsiTheme="majorHAnsi" w:cstheme="majorHAnsi"/>
                <w:sz w:val="21"/>
                <w:szCs w:val="21"/>
                <w:lang w:val="en-GB"/>
              </w:rPr>
              <w:t xml:space="preserve">CSIRO </w:t>
            </w:r>
            <w:r>
              <w:rPr>
                <w:rFonts w:asciiTheme="majorHAnsi" w:eastAsia="Times New Roman" w:hAnsiTheme="majorHAnsi" w:cstheme="majorHAnsi"/>
                <w:sz w:val="21"/>
                <w:szCs w:val="21"/>
                <w:lang w:val="en-GB"/>
              </w:rPr>
              <w:t>,</w:t>
            </w:r>
            <w:proofErr w:type="gramEnd"/>
            <w:r>
              <w:rPr>
                <w:rFonts w:asciiTheme="majorHAnsi" w:eastAsia="Times New Roman" w:hAnsiTheme="majorHAnsi" w:cstheme="majorHAnsi"/>
                <w:sz w:val="21"/>
                <w:szCs w:val="21"/>
                <w:lang w:val="en-GB"/>
              </w:rPr>
              <w:t xml:space="preserve"> </w:t>
            </w:r>
            <w:r w:rsidRPr="00BA500D">
              <w:rPr>
                <w:rFonts w:asciiTheme="majorHAnsi" w:eastAsia="Times New Roman" w:hAnsiTheme="majorHAnsi" w:cstheme="majorHAnsi"/>
                <w:sz w:val="21"/>
                <w:szCs w:val="21"/>
                <w:lang w:val="en-GB"/>
              </w:rPr>
              <w:t>Deakin. Created 1400</w:t>
            </w:r>
            <w:r>
              <w:rPr>
                <w:rFonts w:asciiTheme="majorHAnsi" w:eastAsia="Times New Roman" w:hAnsiTheme="majorHAnsi" w:cstheme="majorHAnsi"/>
                <w:sz w:val="21"/>
                <w:szCs w:val="21"/>
                <w:lang w:val="en-GB"/>
              </w:rPr>
              <w:t>+</w:t>
            </w:r>
            <w:r w:rsidRPr="00BA500D">
              <w:rPr>
                <w:rFonts w:asciiTheme="majorHAnsi" w:eastAsia="Times New Roman" w:hAnsiTheme="majorHAnsi" w:cstheme="majorHAnsi"/>
                <w:sz w:val="21"/>
                <w:szCs w:val="21"/>
                <w:lang w:val="en-GB"/>
              </w:rPr>
              <w:t xml:space="preserve"> jobs</w:t>
            </w:r>
            <w:r>
              <w:rPr>
                <w:rFonts w:asciiTheme="majorHAnsi" w:eastAsia="Times New Roman" w:hAnsiTheme="majorHAnsi" w:cstheme="majorHAnsi"/>
                <w:sz w:val="21"/>
                <w:szCs w:val="21"/>
                <w:lang w:val="en-GB"/>
              </w:rPr>
              <w:t>,</w:t>
            </w:r>
            <w:r w:rsidRPr="00BA500D">
              <w:rPr>
                <w:rFonts w:asciiTheme="majorHAnsi" w:eastAsia="Times New Roman" w:hAnsiTheme="majorHAnsi" w:cstheme="majorHAnsi"/>
                <w:sz w:val="21"/>
                <w:szCs w:val="21"/>
                <w:lang w:val="en-GB"/>
              </w:rPr>
              <w:t xml:space="preserve"> </w:t>
            </w:r>
            <w:r>
              <w:rPr>
                <w:rFonts w:asciiTheme="majorHAnsi" w:eastAsia="Times New Roman" w:hAnsiTheme="majorHAnsi" w:cstheme="majorHAnsi"/>
                <w:sz w:val="21"/>
                <w:szCs w:val="21"/>
                <w:lang w:val="en-GB"/>
              </w:rPr>
              <w:t>plus</w:t>
            </w:r>
            <w:r w:rsidRPr="00BA500D">
              <w:rPr>
                <w:rFonts w:asciiTheme="majorHAnsi" w:eastAsia="Times New Roman" w:hAnsiTheme="majorHAnsi" w:cstheme="majorHAnsi"/>
                <w:sz w:val="21"/>
                <w:szCs w:val="21"/>
                <w:lang w:val="en-GB"/>
              </w:rPr>
              <w:t xml:space="preserve"> 600 new jobs from </w:t>
            </w:r>
            <w:r>
              <w:rPr>
                <w:rFonts w:asciiTheme="majorHAnsi" w:eastAsia="Times New Roman" w:hAnsiTheme="majorHAnsi" w:cstheme="majorHAnsi"/>
                <w:sz w:val="21"/>
                <w:szCs w:val="21"/>
                <w:lang w:val="en-GB"/>
              </w:rPr>
              <w:t>c</w:t>
            </w:r>
            <w:r w:rsidRPr="00BA500D">
              <w:rPr>
                <w:rFonts w:asciiTheme="majorHAnsi" w:eastAsia="Times New Roman" w:hAnsiTheme="majorHAnsi" w:cstheme="majorHAnsi"/>
                <w:sz w:val="21"/>
                <w:szCs w:val="21"/>
                <w:lang w:val="en-GB"/>
              </w:rPr>
              <w:t xml:space="preserve">ompanies developed in the </w:t>
            </w:r>
            <w:r>
              <w:rPr>
                <w:rFonts w:asciiTheme="majorHAnsi" w:eastAsia="Times New Roman" w:hAnsiTheme="majorHAnsi" w:cstheme="majorHAnsi"/>
                <w:sz w:val="21"/>
                <w:szCs w:val="21"/>
                <w:lang w:val="en-GB"/>
              </w:rPr>
              <w:t>hub</w:t>
            </w:r>
            <w:r w:rsidRPr="00BA500D">
              <w:rPr>
                <w:rFonts w:asciiTheme="majorHAnsi" w:eastAsia="Times New Roman" w:hAnsiTheme="majorHAnsi" w:cstheme="majorHAnsi"/>
                <w:sz w:val="21"/>
                <w:szCs w:val="21"/>
                <w:lang w:val="en-GB"/>
              </w:rPr>
              <w:t xml:space="preserve">. </w:t>
            </w:r>
            <w:hyperlink r:id="rId68">
              <w:r w:rsidRPr="00BA500D">
                <w:rPr>
                  <w:rStyle w:val="Hyperlink"/>
                  <w:rFonts w:asciiTheme="majorHAnsi" w:eastAsia="Times New Roman" w:hAnsiTheme="majorHAnsi" w:cstheme="majorHAnsi"/>
                  <w:sz w:val="21"/>
                  <w:szCs w:val="21"/>
                  <w:lang w:val="en-GB"/>
                </w:rPr>
                <w:t xml:space="preserve">Cited as an example of how collaboration hubs can make innovation and </w:t>
              </w:r>
              <w:r>
                <w:rPr>
                  <w:rStyle w:val="Hyperlink"/>
                  <w:rFonts w:asciiTheme="majorHAnsi" w:eastAsia="Times New Roman" w:hAnsiTheme="majorHAnsi" w:cstheme="majorHAnsi"/>
                  <w:sz w:val="21"/>
                  <w:szCs w:val="21"/>
                  <w:lang w:val="en-GB"/>
                </w:rPr>
                <w:t>“</w:t>
              </w:r>
              <w:r w:rsidRPr="00BA500D">
                <w:rPr>
                  <w:rStyle w:val="Hyperlink"/>
                  <w:rFonts w:asciiTheme="majorHAnsi" w:eastAsia="Times New Roman" w:hAnsiTheme="majorHAnsi" w:cstheme="majorHAnsi"/>
                  <w:sz w:val="21"/>
                  <w:szCs w:val="21"/>
                  <w:lang w:val="en-GB"/>
                </w:rPr>
                <w:t>Industry 4.0</w:t>
              </w:r>
              <w:r>
                <w:rPr>
                  <w:rStyle w:val="Hyperlink"/>
                  <w:rFonts w:asciiTheme="majorHAnsi" w:eastAsia="Times New Roman" w:hAnsiTheme="majorHAnsi" w:cstheme="majorHAnsi"/>
                  <w:sz w:val="21"/>
                  <w:szCs w:val="21"/>
                  <w:lang w:val="en-GB"/>
                </w:rPr>
                <w:t>”</w:t>
              </w:r>
              <w:r w:rsidRPr="00BA500D">
                <w:rPr>
                  <w:rStyle w:val="Hyperlink"/>
                  <w:rFonts w:asciiTheme="majorHAnsi" w:eastAsia="Times New Roman" w:hAnsiTheme="majorHAnsi" w:cstheme="majorHAnsi"/>
                  <w:sz w:val="21"/>
                  <w:szCs w:val="21"/>
                  <w:lang w:val="en-GB"/>
                </w:rPr>
                <w:t xml:space="preserve"> work.</w:t>
              </w:r>
            </w:hyperlink>
          </w:p>
          <w:p w14:paraId="732597D6" w14:textId="77777777" w:rsidR="00203685" w:rsidRPr="00E10B2F" w:rsidRDefault="00203685" w:rsidP="0055618E">
            <w:pPr>
              <w:rPr>
                <w:rFonts w:asciiTheme="majorHAnsi" w:hAnsiTheme="majorHAnsi" w:cstheme="majorBidi"/>
                <w:sz w:val="21"/>
                <w:szCs w:val="21"/>
              </w:rPr>
            </w:pPr>
            <w:r w:rsidRPr="00E10B2F">
              <w:rPr>
                <w:rFonts w:asciiTheme="majorHAnsi" w:hAnsiTheme="majorHAnsi" w:cstheme="majorBidi"/>
                <w:b/>
                <w:bCs/>
                <w:sz w:val="21"/>
                <w:szCs w:val="21"/>
              </w:rPr>
              <w:t xml:space="preserve">RISE </w:t>
            </w:r>
            <w:r w:rsidRPr="00E10B2F">
              <w:rPr>
                <w:rFonts w:asciiTheme="majorHAnsi" w:hAnsiTheme="majorHAnsi" w:cstheme="majorBidi"/>
                <w:sz w:val="21"/>
                <w:szCs w:val="21"/>
              </w:rPr>
              <w:t>Regional Industry Employment Program. Connects jobseekers to training and employment in construction industry</w:t>
            </w:r>
            <w:r>
              <w:rPr>
                <w:rFonts w:asciiTheme="majorHAnsi" w:hAnsiTheme="majorHAnsi" w:cstheme="majorBidi"/>
                <w:sz w:val="21"/>
                <w:szCs w:val="21"/>
              </w:rPr>
              <w:t>.</w:t>
            </w:r>
          </w:p>
        </w:tc>
        <w:tc>
          <w:tcPr>
            <w:tcW w:w="3538" w:type="dxa"/>
            <w:tcBorders>
              <w:top w:val="single" w:sz="8" w:space="0" w:color="auto"/>
              <w:left w:val="single" w:sz="8" w:space="0" w:color="auto"/>
              <w:bottom w:val="single" w:sz="8" w:space="0" w:color="auto"/>
              <w:right w:val="single" w:sz="8" w:space="0" w:color="auto"/>
            </w:tcBorders>
          </w:tcPr>
          <w:p w14:paraId="043EF0C5" w14:textId="77777777" w:rsidR="00203685" w:rsidRPr="004E4EAA" w:rsidRDefault="00203685" w:rsidP="0055618E">
            <w:pPr>
              <w:rPr>
                <w:rFonts w:asciiTheme="majorHAnsi" w:hAnsiTheme="majorHAnsi" w:cstheme="majorHAnsi"/>
                <w:sz w:val="21"/>
                <w:szCs w:val="21"/>
              </w:rPr>
            </w:pPr>
            <w:r w:rsidRPr="00BA500D">
              <w:rPr>
                <w:rFonts w:asciiTheme="majorHAnsi" w:eastAsia="Times New Roman" w:hAnsiTheme="majorHAnsi" w:cstheme="majorHAnsi"/>
                <w:sz w:val="21"/>
                <w:szCs w:val="21"/>
                <w:lang w:val="en-GB"/>
              </w:rPr>
              <w:t>Widely u</w:t>
            </w:r>
            <w:r>
              <w:rPr>
                <w:rFonts w:asciiTheme="majorHAnsi" w:eastAsia="Times New Roman" w:hAnsiTheme="majorHAnsi" w:cstheme="majorHAnsi"/>
                <w:sz w:val="21"/>
                <w:szCs w:val="21"/>
                <w:lang w:val="en-GB"/>
              </w:rPr>
              <w:t>s</w:t>
            </w:r>
            <w:r w:rsidRPr="00BA500D">
              <w:rPr>
                <w:rFonts w:asciiTheme="majorHAnsi" w:eastAsia="Times New Roman" w:hAnsiTheme="majorHAnsi" w:cstheme="majorHAnsi"/>
                <w:sz w:val="21"/>
                <w:szCs w:val="21"/>
                <w:lang w:val="en-GB"/>
              </w:rPr>
              <w:t xml:space="preserve">ed </w:t>
            </w:r>
            <w:r>
              <w:rPr>
                <w:rFonts w:asciiTheme="majorHAnsi" w:eastAsia="Times New Roman" w:hAnsiTheme="majorHAnsi" w:cstheme="majorHAnsi"/>
                <w:sz w:val="21"/>
                <w:szCs w:val="21"/>
                <w:lang w:val="en-GB"/>
              </w:rPr>
              <w:t>locally</w:t>
            </w:r>
            <w:r w:rsidRPr="00BA500D">
              <w:rPr>
                <w:rFonts w:asciiTheme="majorHAnsi" w:eastAsia="Times New Roman" w:hAnsiTheme="majorHAnsi" w:cstheme="majorHAnsi"/>
                <w:sz w:val="21"/>
                <w:szCs w:val="21"/>
                <w:lang w:val="en-GB"/>
              </w:rPr>
              <w:t xml:space="preserve"> to encourage training and employment of long</w:t>
            </w:r>
            <w:r>
              <w:rPr>
                <w:rFonts w:asciiTheme="majorHAnsi" w:eastAsia="Times New Roman" w:hAnsiTheme="majorHAnsi" w:cstheme="majorHAnsi"/>
                <w:sz w:val="21"/>
                <w:szCs w:val="21"/>
                <w:lang w:val="en-GB"/>
              </w:rPr>
              <w:t>-</w:t>
            </w:r>
            <w:r w:rsidRPr="00BA500D">
              <w:rPr>
                <w:rFonts w:asciiTheme="majorHAnsi" w:eastAsia="Times New Roman" w:hAnsiTheme="majorHAnsi" w:cstheme="majorHAnsi"/>
                <w:sz w:val="21"/>
                <w:szCs w:val="21"/>
                <w:lang w:val="en-GB"/>
              </w:rPr>
              <w:t>term unemployed</w:t>
            </w:r>
            <w:r>
              <w:rPr>
                <w:rFonts w:asciiTheme="majorHAnsi" w:eastAsia="Times New Roman" w:hAnsiTheme="majorHAnsi" w:cstheme="majorHAnsi"/>
                <w:sz w:val="21"/>
                <w:szCs w:val="21"/>
                <w:lang w:val="en-GB"/>
              </w:rPr>
              <w:t xml:space="preserve"> residents.</w:t>
            </w:r>
          </w:p>
          <w:p w14:paraId="7DA76B23" w14:textId="77777777" w:rsidR="00203685" w:rsidRDefault="00203685" w:rsidP="0055618E">
            <w:pPr>
              <w:rPr>
                <w:rFonts w:asciiTheme="majorHAnsi" w:eastAsia="Times New Roman" w:hAnsiTheme="majorHAnsi" w:cstheme="majorHAnsi"/>
                <w:sz w:val="21"/>
                <w:szCs w:val="21"/>
                <w:lang w:val="en-GB"/>
              </w:rPr>
            </w:pPr>
          </w:p>
          <w:p w14:paraId="1AC6190D" w14:textId="77777777" w:rsidR="00203685" w:rsidRDefault="00203685" w:rsidP="0055618E">
            <w:pPr>
              <w:rPr>
                <w:rFonts w:asciiTheme="majorHAnsi" w:eastAsia="Times New Roman" w:hAnsiTheme="majorHAnsi" w:cstheme="majorBidi"/>
                <w:sz w:val="21"/>
                <w:szCs w:val="21"/>
                <w:lang w:val="en-GB"/>
              </w:rPr>
            </w:pPr>
          </w:p>
          <w:p w14:paraId="3CBBBA99" w14:textId="77777777" w:rsidR="00203685" w:rsidRDefault="00203685" w:rsidP="0055618E">
            <w:pPr>
              <w:rPr>
                <w:rFonts w:asciiTheme="majorHAnsi" w:eastAsia="Times New Roman" w:hAnsiTheme="majorHAnsi" w:cstheme="majorBidi"/>
                <w:sz w:val="21"/>
                <w:szCs w:val="21"/>
                <w:lang w:val="en-GB"/>
              </w:rPr>
            </w:pPr>
          </w:p>
          <w:p w14:paraId="08F2663D" w14:textId="77777777" w:rsidR="00203685" w:rsidRPr="00BA500D" w:rsidRDefault="00203685" w:rsidP="0055618E">
            <w:pPr>
              <w:rPr>
                <w:rFonts w:asciiTheme="majorHAnsi" w:hAnsiTheme="majorHAnsi" w:cstheme="majorHAnsi"/>
                <w:sz w:val="21"/>
                <w:szCs w:val="21"/>
              </w:rPr>
            </w:pPr>
            <w:r w:rsidRPr="00BA500D">
              <w:rPr>
                <w:rFonts w:asciiTheme="majorHAnsi" w:eastAsia="Times New Roman" w:hAnsiTheme="majorHAnsi" w:cstheme="majorHAnsi"/>
                <w:sz w:val="21"/>
                <w:szCs w:val="21"/>
                <w:lang w:val="en-GB"/>
              </w:rPr>
              <w:t xml:space="preserve">Works with Northern Futures and other local organisations </w:t>
            </w:r>
            <w:r>
              <w:rPr>
                <w:rFonts w:asciiTheme="majorHAnsi" w:eastAsia="Times New Roman" w:hAnsiTheme="majorHAnsi" w:cstheme="majorHAnsi"/>
                <w:sz w:val="21"/>
                <w:szCs w:val="21"/>
                <w:lang w:val="en-GB"/>
              </w:rPr>
              <w:t>to engage</w:t>
            </w:r>
            <w:r w:rsidRPr="00BA500D">
              <w:rPr>
                <w:rFonts w:asciiTheme="majorHAnsi" w:eastAsia="Times New Roman" w:hAnsiTheme="majorHAnsi" w:cstheme="majorHAnsi"/>
                <w:sz w:val="21"/>
                <w:szCs w:val="21"/>
                <w:lang w:val="en-GB"/>
              </w:rPr>
              <w:t xml:space="preserve"> long term unemployed in training and </w:t>
            </w:r>
            <w:r>
              <w:rPr>
                <w:rFonts w:asciiTheme="majorHAnsi" w:eastAsia="Times New Roman" w:hAnsiTheme="majorHAnsi" w:cstheme="majorHAnsi"/>
                <w:sz w:val="21"/>
                <w:szCs w:val="21"/>
                <w:lang w:val="en-GB"/>
              </w:rPr>
              <w:t>jobs</w:t>
            </w:r>
          </w:p>
        </w:tc>
      </w:tr>
      <w:tr w:rsidR="00203685" w:rsidRPr="00BA500D" w14:paraId="2CA7B25E" w14:textId="77777777" w:rsidTr="0055618E">
        <w:trPr>
          <w:trHeight w:val="134"/>
        </w:trPr>
        <w:tc>
          <w:tcPr>
            <w:tcW w:w="988" w:type="dxa"/>
            <w:tcBorders>
              <w:top w:val="single" w:sz="8" w:space="0" w:color="auto"/>
              <w:left w:val="single" w:sz="8" w:space="0" w:color="auto"/>
              <w:bottom w:val="single" w:sz="8" w:space="0" w:color="auto"/>
              <w:right w:val="single" w:sz="8" w:space="0" w:color="auto"/>
            </w:tcBorders>
          </w:tcPr>
          <w:p w14:paraId="44BE39F9" w14:textId="77777777" w:rsidR="00203685" w:rsidRPr="00BA500D" w:rsidRDefault="00203685" w:rsidP="0055618E">
            <w:pPr>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mc:AlternateContent>
                <mc:Choice Requires="wps">
                  <w:drawing>
                    <wp:anchor distT="45720" distB="45720" distL="114300" distR="114300" simplePos="0" relativeHeight="251661352" behindDoc="0" locked="0" layoutInCell="1" allowOverlap="1" wp14:anchorId="49EB5614" wp14:editId="6452294F">
                      <wp:simplePos x="0" y="0"/>
                      <wp:positionH relativeFrom="column">
                        <wp:posOffset>-656590</wp:posOffset>
                      </wp:positionH>
                      <wp:positionV relativeFrom="paragraph">
                        <wp:posOffset>906780</wp:posOffset>
                      </wp:positionV>
                      <wp:extent cx="1805305" cy="34163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305" cy="341630"/>
                              </a:xfrm>
                              <a:prstGeom prst="rect">
                                <a:avLst/>
                              </a:prstGeom>
                              <a:noFill/>
                              <a:ln w="9525">
                                <a:noFill/>
                                <a:miter lim="800000"/>
                                <a:headEnd/>
                                <a:tailEnd/>
                              </a:ln>
                            </wps:spPr>
                            <wps:txbx>
                              <w:txbxContent>
                                <w:p w14:paraId="68936F46" w14:textId="77777777" w:rsidR="00203685" w:rsidRPr="004200CF" w:rsidRDefault="00203685" w:rsidP="00203685">
                                  <w:pPr>
                                    <w:jc w:val="right"/>
                                    <w:rPr>
                                      <w:b/>
                                      <w:bCs/>
                                      <w:color w:val="595959" w:themeColor="text1" w:themeTint="A6"/>
                                    </w:rPr>
                                  </w:pPr>
                                  <w:r>
                                    <w:rPr>
                                      <w:b/>
                                      <w:bCs/>
                                      <w:color w:val="595959" w:themeColor="text1" w:themeTint="A6"/>
                                    </w:rPr>
                                    <w:t>HEALTH AND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B5614" id="_x0000_s1044" type="#_x0000_t202" style="position:absolute;margin-left:-51.7pt;margin-top:71.4pt;width:142.15pt;height:26.9pt;rotation:-90;z-index:251661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" filled="f" stroked="f">
                      <v:textbox>
                        <w:txbxContent>
                          <w:p w14:paraId="68936F46" w14:textId="77777777" w:rsidR="00203685" w:rsidRPr="004200CF" w:rsidRDefault="00203685" w:rsidP="00203685">
                            <w:pPr>
                              <w:jc w:val="right"/>
                              <w:rPr>
                                <w:b/>
                                <w:bCs/>
                                <w:color w:val="595959" w:themeColor="text1" w:themeTint="A6"/>
                              </w:rPr>
                            </w:pPr>
                            <w:r>
                              <w:rPr>
                                <w:b/>
                                <w:bCs/>
                                <w:color w:val="595959" w:themeColor="text1" w:themeTint="A6"/>
                              </w:rPr>
                              <w:t>HEALTH AND WELLBEING</w:t>
                            </w:r>
                          </w:p>
                        </w:txbxContent>
                      </v:textbox>
                      <w10:wrap type="square"/>
                    </v:shape>
                  </w:pict>
                </mc:Fallback>
              </mc:AlternateContent>
            </w:r>
          </w:p>
        </w:tc>
        <w:tc>
          <w:tcPr>
            <w:tcW w:w="10044" w:type="dxa"/>
            <w:tcBorders>
              <w:top w:val="single" w:sz="8" w:space="0" w:color="auto"/>
              <w:left w:val="single" w:sz="8" w:space="0" w:color="auto"/>
              <w:bottom w:val="single" w:sz="8" w:space="0" w:color="auto"/>
              <w:right w:val="single" w:sz="8" w:space="0" w:color="auto"/>
            </w:tcBorders>
          </w:tcPr>
          <w:p w14:paraId="50C2ED62" w14:textId="77777777" w:rsidR="00203685" w:rsidRPr="00C64355" w:rsidRDefault="00203685" w:rsidP="0055618E">
            <w:pPr>
              <w:rPr>
                <w:rFonts w:asciiTheme="majorHAnsi" w:hAnsiTheme="majorHAnsi" w:cstheme="majorHAnsi"/>
                <w:sz w:val="21"/>
                <w:szCs w:val="21"/>
              </w:rPr>
            </w:pPr>
            <w:r w:rsidRPr="00BA500D">
              <w:rPr>
                <w:rFonts w:asciiTheme="majorHAnsi" w:eastAsia="Times New Roman" w:hAnsiTheme="majorHAnsi" w:cstheme="majorHAnsi"/>
                <w:b/>
                <w:bCs/>
                <w:sz w:val="21"/>
                <w:szCs w:val="21"/>
                <w:lang w:val="en-GB"/>
              </w:rPr>
              <w:t>Coasthaven Community Garden</w:t>
            </w:r>
            <w:r>
              <w:rPr>
                <w:rFonts w:asciiTheme="majorHAnsi" w:hAnsiTheme="majorHAnsi" w:cstheme="majorHAnsi"/>
                <w:sz w:val="21"/>
                <w:szCs w:val="21"/>
              </w:rPr>
              <w:t xml:space="preserve">: </w:t>
            </w:r>
            <w:r w:rsidRPr="00BA500D">
              <w:rPr>
                <w:rFonts w:asciiTheme="majorHAnsi" w:eastAsia="Times New Roman" w:hAnsiTheme="majorHAnsi" w:cstheme="majorHAnsi"/>
                <w:sz w:val="21"/>
                <w:szCs w:val="21"/>
                <w:lang w:val="en-GB"/>
              </w:rPr>
              <w:t xml:space="preserve">Located </w:t>
            </w:r>
            <w:r>
              <w:rPr>
                <w:rFonts w:asciiTheme="majorHAnsi" w:eastAsia="Times New Roman" w:hAnsiTheme="majorHAnsi" w:cstheme="majorHAnsi"/>
                <w:sz w:val="21"/>
                <w:szCs w:val="21"/>
                <w:lang w:val="en-GB"/>
              </w:rPr>
              <w:t>on a</w:t>
            </w:r>
            <w:r w:rsidRPr="00BA500D">
              <w:rPr>
                <w:rFonts w:asciiTheme="majorHAnsi" w:eastAsia="Times New Roman" w:hAnsiTheme="majorHAnsi" w:cstheme="majorHAnsi"/>
                <w:sz w:val="21"/>
                <w:szCs w:val="21"/>
                <w:lang w:val="en-GB"/>
              </w:rPr>
              <w:t xml:space="preserve"> site</w:t>
            </w:r>
            <w:r>
              <w:rPr>
                <w:rFonts w:asciiTheme="majorHAnsi" w:eastAsia="Times New Roman" w:hAnsiTheme="majorHAnsi" w:cstheme="majorHAnsi"/>
                <w:sz w:val="21"/>
                <w:szCs w:val="21"/>
                <w:lang w:val="en-GB"/>
              </w:rPr>
              <w:t xml:space="preserve"> that</w:t>
            </w:r>
            <w:r w:rsidRPr="00BA500D">
              <w:rPr>
                <w:rFonts w:asciiTheme="majorHAnsi" w:eastAsia="Times New Roman" w:hAnsiTheme="majorHAnsi" w:cstheme="majorHAnsi"/>
                <w:sz w:val="21"/>
                <w:szCs w:val="21"/>
                <w:lang w:val="en-GB"/>
              </w:rPr>
              <w:t xml:space="preserve"> includ</w:t>
            </w:r>
            <w:r>
              <w:rPr>
                <w:rFonts w:asciiTheme="majorHAnsi" w:eastAsia="Times New Roman" w:hAnsiTheme="majorHAnsi" w:cstheme="majorHAnsi"/>
                <w:sz w:val="21"/>
                <w:szCs w:val="21"/>
                <w:lang w:val="en-GB"/>
              </w:rPr>
              <w:t>es</w:t>
            </w:r>
            <w:r w:rsidRPr="00BA500D">
              <w:rPr>
                <w:rFonts w:asciiTheme="majorHAnsi" w:eastAsia="Times New Roman" w:hAnsiTheme="majorHAnsi" w:cstheme="majorHAnsi"/>
                <w:sz w:val="21"/>
                <w:szCs w:val="21"/>
                <w:lang w:val="en-GB"/>
              </w:rPr>
              <w:t xml:space="preserve"> an aged care facility, community hub, neighbourhood </w:t>
            </w:r>
            <w:r>
              <w:rPr>
                <w:rFonts w:asciiTheme="majorHAnsi" w:eastAsia="Times New Roman" w:hAnsiTheme="majorHAnsi" w:cstheme="majorHAnsi"/>
                <w:sz w:val="21"/>
                <w:szCs w:val="21"/>
                <w:lang w:val="en-GB"/>
              </w:rPr>
              <w:t>cafe,</w:t>
            </w:r>
            <w:r w:rsidRPr="00BA500D">
              <w:rPr>
                <w:rFonts w:asciiTheme="majorHAnsi" w:eastAsia="Times New Roman" w:hAnsiTheme="majorHAnsi" w:cstheme="majorHAnsi"/>
                <w:sz w:val="21"/>
                <w:szCs w:val="21"/>
                <w:lang w:val="en-GB"/>
              </w:rPr>
              <w:t xml:space="preserve"> and community housing. Distributes food to members (including </w:t>
            </w:r>
            <w:r>
              <w:rPr>
                <w:rFonts w:asciiTheme="majorHAnsi" w:eastAsia="Times New Roman" w:hAnsiTheme="majorHAnsi" w:cstheme="majorHAnsi"/>
                <w:sz w:val="21"/>
                <w:szCs w:val="21"/>
                <w:lang w:val="en-GB"/>
              </w:rPr>
              <w:t>“</w:t>
            </w:r>
            <w:r w:rsidRPr="00BA500D">
              <w:rPr>
                <w:rFonts w:asciiTheme="majorHAnsi" w:eastAsia="Times New Roman" w:hAnsiTheme="majorHAnsi" w:cstheme="majorHAnsi"/>
                <w:sz w:val="21"/>
                <w:szCs w:val="21"/>
                <w:lang w:val="en-GB"/>
              </w:rPr>
              <w:t>care packages</w:t>
            </w:r>
            <w:r>
              <w:rPr>
                <w:rFonts w:asciiTheme="majorHAnsi" w:eastAsia="Times New Roman" w:hAnsiTheme="majorHAnsi" w:cstheme="majorHAnsi"/>
                <w:sz w:val="21"/>
                <w:szCs w:val="21"/>
                <w:lang w:val="en-GB"/>
              </w:rPr>
              <w:t>”</w:t>
            </w:r>
            <w:r w:rsidRPr="00BA500D">
              <w:rPr>
                <w:rFonts w:asciiTheme="majorHAnsi" w:eastAsia="Times New Roman" w:hAnsiTheme="majorHAnsi" w:cstheme="majorHAnsi"/>
                <w:sz w:val="21"/>
                <w:szCs w:val="21"/>
                <w:lang w:val="en-GB"/>
              </w:rPr>
              <w:t xml:space="preserve">). </w:t>
            </w:r>
          </w:p>
          <w:p w14:paraId="61199FF7" w14:textId="77777777" w:rsidR="00203685" w:rsidRPr="00F307E1" w:rsidRDefault="00203685" w:rsidP="0055618E">
            <w:pPr>
              <w:rPr>
                <w:rFonts w:asciiTheme="majorHAnsi" w:hAnsiTheme="majorHAnsi" w:cstheme="majorHAnsi"/>
                <w:sz w:val="21"/>
                <w:szCs w:val="21"/>
              </w:rPr>
            </w:pPr>
            <w:r w:rsidRPr="00BA500D">
              <w:rPr>
                <w:rFonts w:asciiTheme="majorHAnsi" w:eastAsia="Times New Roman" w:hAnsiTheme="majorHAnsi" w:cstheme="majorHAnsi"/>
                <w:b/>
                <w:bCs/>
                <w:sz w:val="21"/>
                <w:szCs w:val="21"/>
                <w:lang w:val="en-GB"/>
              </w:rPr>
              <w:t xml:space="preserve">Norlane Neighbourhood House </w:t>
            </w:r>
            <w:r w:rsidRPr="00016675">
              <w:rPr>
                <w:rFonts w:asciiTheme="majorHAnsi" w:eastAsia="Times New Roman" w:hAnsiTheme="majorHAnsi" w:cstheme="majorHAnsi"/>
                <w:sz w:val="21"/>
                <w:szCs w:val="21"/>
                <w:lang w:val="en-GB"/>
              </w:rPr>
              <w:t>(via Social Infrastructure Plan)</w:t>
            </w:r>
            <w:r w:rsidRPr="00016675">
              <w:rPr>
                <w:rFonts w:asciiTheme="majorHAnsi" w:hAnsiTheme="majorHAnsi" w:cstheme="majorHAnsi"/>
                <w:sz w:val="21"/>
                <w:szCs w:val="21"/>
              </w:rPr>
              <w:t>:</w:t>
            </w:r>
            <w:r>
              <w:rPr>
                <w:rFonts w:asciiTheme="majorHAnsi" w:hAnsiTheme="majorHAnsi" w:cstheme="majorHAnsi"/>
                <w:sz w:val="21"/>
                <w:szCs w:val="21"/>
              </w:rPr>
              <w:t xml:space="preserve"> </w:t>
            </w:r>
            <w:r w:rsidRPr="00BA500D">
              <w:rPr>
                <w:rFonts w:asciiTheme="majorHAnsi" w:eastAsia="Times New Roman" w:hAnsiTheme="majorHAnsi" w:cstheme="majorHAnsi"/>
                <w:sz w:val="21"/>
                <w:szCs w:val="21"/>
                <w:lang w:val="en-GB"/>
              </w:rPr>
              <w:t xml:space="preserve">ACCESS program for </w:t>
            </w:r>
            <w:r>
              <w:rPr>
                <w:rFonts w:asciiTheme="majorHAnsi" w:eastAsia="Times New Roman" w:hAnsiTheme="majorHAnsi" w:cstheme="majorHAnsi"/>
                <w:sz w:val="21"/>
                <w:szCs w:val="21"/>
                <w:lang w:val="en-GB"/>
              </w:rPr>
              <w:t>n</w:t>
            </w:r>
            <w:r w:rsidRPr="00BA500D">
              <w:rPr>
                <w:rFonts w:asciiTheme="majorHAnsi" w:eastAsia="Times New Roman" w:hAnsiTheme="majorHAnsi" w:cstheme="majorHAnsi"/>
                <w:sz w:val="21"/>
                <w:szCs w:val="21"/>
                <w:lang w:val="en-GB"/>
              </w:rPr>
              <w:t xml:space="preserve">ew African migrants </w:t>
            </w:r>
          </w:p>
          <w:p w14:paraId="2F1ABEFE" w14:textId="77777777" w:rsidR="00203685" w:rsidRPr="00F307E1" w:rsidRDefault="007320D6" w:rsidP="0055618E">
            <w:pPr>
              <w:rPr>
                <w:rFonts w:asciiTheme="majorHAnsi" w:hAnsiTheme="majorHAnsi" w:cstheme="majorBidi"/>
                <w:sz w:val="21"/>
                <w:szCs w:val="21"/>
              </w:rPr>
            </w:pPr>
            <w:hyperlink r:id="rId69">
              <w:r w:rsidR="00203685" w:rsidRPr="3967B0F6">
                <w:rPr>
                  <w:rStyle w:val="Hyperlink"/>
                  <w:rFonts w:asciiTheme="majorHAnsi" w:eastAsia="Times New Roman" w:hAnsiTheme="majorHAnsi" w:cstheme="majorBidi"/>
                  <w:b/>
                  <w:bCs/>
                  <w:sz w:val="21"/>
                  <w:szCs w:val="21"/>
                  <w:lang w:val="en-GB"/>
                </w:rPr>
                <w:t>Northern Geelong Growth Area Plan</w:t>
              </w:r>
            </w:hyperlink>
            <w:r w:rsidR="00203685">
              <w:t xml:space="preserve">: </w:t>
            </w:r>
            <w:r w:rsidR="00203685" w:rsidRPr="3967B0F6">
              <w:rPr>
                <w:rFonts w:asciiTheme="majorHAnsi" w:eastAsia="Times New Roman" w:hAnsiTheme="majorHAnsi" w:cstheme="majorBidi"/>
                <w:sz w:val="21"/>
                <w:szCs w:val="21"/>
                <w:lang w:val="en-GB"/>
              </w:rPr>
              <w:t xml:space="preserve">Includes </w:t>
            </w:r>
            <w:r w:rsidR="00203685">
              <w:rPr>
                <w:rFonts w:asciiTheme="majorHAnsi" w:eastAsia="Times New Roman" w:hAnsiTheme="majorHAnsi" w:cstheme="majorBidi"/>
                <w:sz w:val="21"/>
                <w:szCs w:val="21"/>
                <w:lang w:val="en-GB"/>
              </w:rPr>
              <w:t>major</w:t>
            </w:r>
            <w:r w:rsidR="00203685" w:rsidRPr="3967B0F6">
              <w:rPr>
                <w:rFonts w:asciiTheme="majorHAnsi" w:eastAsia="Times New Roman" w:hAnsiTheme="majorHAnsi" w:cstheme="majorBidi"/>
                <w:sz w:val="21"/>
                <w:szCs w:val="21"/>
                <w:lang w:val="en-GB"/>
              </w:rPr>
              <w:t xml:space="preserve"> plans for sports and recreation facilities, with a linear park, networks of active open spaces and parks, sub-regional sports reserves and facilities, two indoor recreation centres. </w:t>
            </w:r>
          </w:p>
          <w:p w14:paraId="301DDE35" w14:textId="77777777" w:rsidR="00203685" w:rsidRPr="00BA500D" w:rsidRDefault="00203685" w:rsidP="0055618E">
            <w:pPr>
              <w:rPr>
                <w:rFonts w:asciiTheme="majorHAnsi" w:eastAsia="Times New Roman" w:hAnsiTheme="majorHAnsi" w:cstheme="majorBidi"/>
                <w:sz w:val="21"/>
                <w:szCs w:val="21"/>
                <w:lang w:val="en-GB"/>
              </w:rPr>
            </w:pPr>
            <w:r w:rsidRPr="3967B0F6">
              <w:rPr>
                <w:rFonts w:asciiTheme="majorHAnsi" w:eastAsia="Times New Roman" w:hAnsiTheme="majorHAnsi" w:cstheme="majorBidi"/>
                <w:b/>
                <w:bCs/>
                <w:sz w:val="21"/>
                <w:szCs w:val="21"/>
                <w:lang w:val="en-GB"/>
              </w:rPr>
              <w:t>Municipal Public Health and Well Being Plan 2018-20</w:t>
            </w:r>
            <w:r>
              <w:rPr>
                <w:rFonts w:asciiTheme="majorHAnsi" w:eastAsia="Times New Roman" w:hAnsiTheme="majorHAnsi" w:cstheme="majorBidi"/>
                <w:b/>
                <w:bCs/>
                <w:sz w:val="21"/>
                <w:szCs w:val="21"/>
                <w:lang w:val="en-GB"/>
              </w:rPr>
              <w:t xml:space="preserve">: </w:t>
            </w:r>
            <w:r w:rsidRPr="3967B0F6">
              <w:rPr>
                <w:rFonts w:asciiTheme="majorHAnsi" w:eastAsia="Times New Roman" w:hAnsiTheme="majorHAnsi" w:cstheme="majorBidi"/>
                <w:sz w:val="21"/>
                <w:szCs w:val="21"/>
                <w:lang w:val="en-GB"/>
              </w:rPr>
              <w:t>Prioritising safety and food security</w:t>
            </w:r>
            <w:r>
              <w:rPr>
                <w:rFonts w:asciiTheme="majorHAnsi" w:eastAsia="Times New Roman" w:hAnsiTheme="majorHAnsi" w:cstheme="majorBidi"/>
                <w:sz w:val="21"/>
                <w:szCs w:val="21"/>
                <w:lang w:val="en-GB"/>
              </w:rPr>
              <w:t>.</w:t>
            </w:r>
          </w:p>
        </w:tc>
        <w:tc>
          <w:tcPr>
            <w:tcW w:w="3538" w:type="dxa"/>
            <w:tcBorders>
              <w:top w:val="single" w:sz="8" w:space="0" w:color="auto"/>
              <w:left w:val="single" w:sz="8" w:space="0" w:color="auto"/>
              <w:bottom w:val="single" w:sz="8" w:space="0" w:color="auto"/>
              <w:right w:val="single" w:sz="8" w:space="0" w:color="auto"/>
            </w:tcBorders>
          </w:tcPr>
          <w:p w14:paraId="04E2591F" w14:textId="77777777" w:rsidR="00203685" w:rsidRPr="00F307E1" w:rsidRDefault="00203685" w:rsidP="0055618E">
            <w:pPr>
              <w:rPr>
                <w:rFonts w:asciiTheme="majorHAnsi" w:hAnsiTheme="majorHAnsi" w:cstheme="majorHAnsi"/>
                <w:sz w:val="16"/>
                <w:szCs w:val="16"/>
              </w:rPr>
            </w:pPr>
            <w:r w:rsidRPr="00BA500D">
              <w:rPr>
                <w:rFonts w:asciiTheme="majorHAnsi" w:eastAsia="Times New Roman" w:hAnsiTheme="majorHAnsi" w:cstheme="majorHAnsi"/>
                <w:b/>
                <w:bCs/>
                <w:sz w:val="21"/>
                <w:szCs w:val="21"/>
                <w:lang w:val="en-GB"/>
              </w:rPr>
              <w:t xml:space="preserve"> </w:t>
            </w:r>
          </w:p>
          <w:p w14:paraId="7A81A0C6" w14:textId="77777777" w:rsidR="00203685" w:rsidRPr="00C64355" w:rsidRDefault="00203685" w:rsidP="0055618E">
            <w:pPr>
              <w:rPr>
                <w:rFonts w:asciiTheme="majorHAnsi" w:hAnsiTheme="majorHAnsi" w:cstheme="majorHAnsi"/>
                <w:sz w:val="16"/>
                <w:szCs w:val="16"/>
              </w:rPr>
            </w:pPr>
            <w:r w:rsidRPr="00F307E1">
              <w:rPr>
                <w:rFonts w:asciiTheme="majorHAnsi" w:eastAsia="Times New Roman" w:hAnsiTheme="majorHAnsi" w:cstheme="majorHAnsi"/>
                <w:b/>
                <w:bCs/>
                <w:sz w:val="16"/>
                <w:szCs w:val="16"/>
                <w:lang w:val="en-GB"/>
              </w:rPr>
              <w:t xml:space="preserve"> </w:t>
            </w:r>
          </w:p>
          <w:p w14:paraId="5A01B3B4" w14:textId="77777777" w:rsidR="00203685" w:rsidRPr="00F307E1" w:rsidRDefault="00203685" w:rsidP="0055618E">
            <w:pPr>
              <w:rPr>
                <w:rFonts w:asciiTheme="majorHAnsi" w:hAnsiTheme="majorHAnsi" w:cstheme="majorHAnsi"/>
                <w:sz w:val="21"/>
                <w:szCs w:val="21"/>
              </w:rPr>
            </w:pPr>
            <w:r w:rsidRPr="778E395A">
              <w:rPr>
                <w:rFonts w:asciiTheme="majorHAnsi" w:eastAsia="Times New Roman" w:hAnsiTheme="majorHAnsi" w:cstheme="majorBidi"/>
                <w:sz w:val="21"/>
                <w:szCs w:val="21"/>
                <w:lang w:val="en-GB"/>
              </w:rPr>
              <w:t>Norlane Neighbourhood House renewal.</w:t>
            </w:r>
          </w:p>
          <w:p w14:paraId="0E57F043" w14:textId="77777777" w:rsidR="00203685" w:rsidRPr="00F307E1" w:rsidRDefault="00203685" w:rsidP="0055618E">
            <w:pPr>
              <w:rPr>
                <w:rFonts w:asciiTheme="majorHAnsi" w:hAnsiTheme="majorHAnsi" w:cstheme="majorHAnsi"/>
                <w:sz w:val="21"/>
                <w:szCs w:val="21"/>
              </w:rPr>
            </w:pPr>
            <w:r w:rsidRPr="3967B0F6">
              <w:rPr>
                <w:rFonts w:asciiTheme="majorHAnsi" w:eastAsia="Times New Roman" w:hAnsiTheme="majorHAnsi" w:cstheme="majorBidi"/>
                <w:sz w:val="21"/>
                <w:szCs w:val="21"/>
                <w:lang w:val="en-GB"/>
              </w:rPr>
              <w:t>Includes Norlane and Corio</w:t>
            </w:r>
          </w:p>
          <w:p w14:paraId="5EA8F515" w14:textId="77777777" w:rsidR="00203685" w:rsidRPr="007768F5" w:rsidRDefault="00203685" w:rsidP="0055618E">
            <w:pPr>
              <w:rPr>
                <w:rFonts w:asciiTheme="majorHAnsi" w:eastAsia="Times New Roman" w:hAnsiTheme="majorHAnsi" w:cstheme="majorBidi"/>
                <w:sz w:val="8"/>
                <w:szCs w:val="8"/>
                <w:lang w:val="en-GB"/>
              </w:rPr>
            </w:pPr>
          </w:p>
          <w:p w14:paraId="12CF100E" w14:textId="77777777" w:rsidR="00203685" w:rsidRPr="00BA500D" w:rsidRDefault="00203685" w:rsidP="0055618E">
            <w:pPr>
              <w:rPr>
                <w:rFonts w:asciiTheme="majorHAnsi" w:hAnsiTheme="majorHAnsi" w:cstheme="majorBidi"/>
                <w:sz w:val="21"/>
                <w:szCs w:val="21"/>
              </w:rPr>
            </w:pPr>
            <w:r>
              <w:rPr>
                <w:rFonts w:asciiTheme="majorHAnsi" w:eastAsia="Times New Roman" w:hAnsiTheme="majorHAnsi" w:cstheme="majorBidi"/>
                <w:sz w:val="21"/>
                <w:szCs w:val="21"/>
                <w:lang w:val="en-GB"/>
              </w:rPr>
              <w:t>S</w:t>
            </w:r>
            <w:r w:rsidRPr="3967B0F6">
              <w:rPr>
                <w:rFonts w:asciiTheme="majorHAnsi" w:eastAsia="Times New Roman" w:hAnsiTheme="majorHAnsi" w:cstheme="majorBidi"/>
                <w:sz w:val="21"/>
                <w:szCs w:val="21"/>
                <w:lang w:val="en-GB"/>
              </w:rPr>
              <w:t>afety and food security highly relevant to the three areas.</w:t>
            </w:r>
          </w:p>
        </w:tc>
      </w:tr>
      <w:tr w:rsidR="00203685" w:rsidRPr="00BA500D" w14:paraId="4327DE15" w14:textId="77777777" w:rsidTr="0055618E">
        <w:trPr>
          <w:trHeight w:val="7310"/>
        </w:trPr>
        <w:tc>
          <w:tcPr>
            <w:tcW w:w="988" w:type="dxa"/>
            <w:tcBorders>
              <w:top w:val="single" w:sz="8" w:space="0" w:color="auto"/>
              <w:left w:val="single" w:sz="8" w:space="0" w:color="auto"/>
              <w:bottom w:val="single" w:sz="8" w:space="0" w:color="auto"/>
              <w:right w:val="single" w:sz="8" w:space="0" w:color="auto"/>
            </w:tcBorders>
          </w:tcPr>
          <w:p w14:paraId="38728C5A" w14:textId="77777777" w:rsidR="00203685" w:rsidRPr="00BA500D" w:rsidRDefault="00203685" w:rsidP="0055618E">
            <w:pPr>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w:lastRenderedPageBreak/>
              <mc:AlternateContent>
                <mc:Choice Requires="wps">
                  <w:drawing>
                    <wp:anchor distT="45720" distB="45720" distL="114300" distR="114300" simplePos="0" relativeHeight="251662376" behindDoc="0" locked="0" layoutInCell="1" allowOverlap="1" wp14:anchorId="3F07B90E" wp14:editId="26532382">
                      <wp:simplePos x="0" y="0"/>
                      <wp:positionH relativeFrom="column">
                        <wp:posOffset>-676275</wp:posOffset>
                      </wp:positionH>
                      <wp:positionV relativeFrom="paragraph">
                        <wp:posOffset>1033780</wp:posOffset>
                      </wp:positionV>
                      <wp:extent cx="1805305" cy="34163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305" cy="341630"/>
                              </a:xfrm>
                              <a:prstGeom prst="rect">
                                <a:avLst/>
                              </a:prstGeom>
                              <a:noFill/>
                              <a:ln w="9525">
                                <a:noFill/>
                                <a:miter lim="800000"/>
                                <a:headEnd/>
                                <a:tailEnd/>
                              </a:ln>
                            </wps:spPr>
                            <wps:txbx>
                              <w:txbxContent>
                                <w:p w14:paraId="7B20C04B" w14:textId="77777777" w:rsidR="00203685" w:rsidRPr="004200CF" w:rsidRDefault="00203685" w:rsidP="00203685">
                                  <w:pPr>
                                    <w:jc w:val="right"/>
                                    <w:rPr>
                                      <w:b/>
                                      <w:bCs/>
                                      <w:color w:val="595959" w:themeColor="text1" w:themeTint="A6"/>
                                    </w:rPr>
                                  </w:pPr>
                                  <w:r>
                                    <w:rPr>
                                      <w:b/>
                                      <w:bCs/>
                                      <w:color w:val="595959" w:themeColor="text1" w:themeTint="A6"/>
                                    </w:rPr>
                                    <w:t>LIVEABILITY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7B90E" id="_x0000_s1045" type="#_x0000_t202" style="position:absolute;margin-left:-53.25pt;margin-top:81.4pt;width:142.15pt;height:26.9pt;rotation:-90;z-index:251662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" filled="f" stroked="f">
                      <v:textbox>
                        <w:txbxContent>
                          <w:p w14:paraId="7B20C04B" w14:textId="77777777" w:rsidR="00203685" w:rsidRPr="004200CF" w:rsidRDefault="00203685" w:rsidP="00203685">
                            <w:pPr>
                              <w:jc w:val="right"/>
                              <w:rPr>
                                <w:b/>
                                <w:bCs/>
                                <w:color w:val="595959" w:themeColor="text1" w:themeTint="A6"/>
                              </w:rPr>
                            </w:pPr>
                            <w:r>
                              <w:rPr>
                                <w:b/>
                                <w:bCs/>
                                <w:color w:val="595959" w:themeColor="text1" w:themeTint="A6"/>
                              </w:rPr>
                              <w:t>LIVEABILITY</w:t>
                            </w:r>
                          </w:p>
                        </w:txbxContent>
                      </v:textbox>
                      <w10:wrap type="square"/>
                    </v:shape>
                  </w:pict>
                </mc:Fallback>
              </mc:AlternateContent>
            </w:r>
          </w:p>
        </w:tc>
        <w:tc>
          <w:tcPr>
            <w:tcW w:w="10044" w:type="dxa"/>
            <w:tcBorders>
              <w:top w:val="single" w:sz="8" w:space="0" w:color="auto"/>
              <w:left w:val="single" w:sz="8" w:space="0" w:color="auto"/>
              <w:bottom w:val="single" w:sz="8" w:space="0" w:color="auto"/>
              <w:right w:val="single" w:sz="8" w:space="0" w:color="auto"/>
            </w:tcBorders>
          </w:tcPr>
          <w:p w14:paraId="1D7F281F" w14:textId="77777777" w:rsidR="00203685" w:rsidRDefault="00203685" w:rsidP="0055618E">
            <w:pPr>
              <w:rPr>
                <w:rFonts w:asciiTheme="majorHAnsi" w:eastAsia="Times New Roman" w:hAnsiTheme="majorHAnsi" w:cstheme="majorHAnsi"/>
                <w:sz w:val="21"/>
                <w:szCs w:val="21"/>
                <w:lang w:val="en-GB"/>
              </w:rPr>
            </w:pPr>
            <w:r w:rsidRPr="00384FF8">
              <w:rPr>
                <w:rFonts w:asciiTheme="majorHAnsi" w:eastAsia="Times New Roman" w:hAnsiTheme="majorHAnsi" w:cstheme="majorHAnsi"/>
                <w:b/>
                <w:bCs/>
                <w:sz w:val="21"/>
                <w:szCs w:val="21"/>
                <w:lang w:val="en-GB"/>
              </w:rPr>
              <w:t xml:space="preserve">Neighbourhood Renewal </w:t>
            </w:r>
            <w:r w:rsidRPr="0072169F">
              <w:rPr>
                <w:rFonts w:asciiTheme="majorHAnsi" w:eastAsia="Times New Roman" w:hAnsiTheme="majorHAnsi" w:cstheme="majorHAnsi"/>
                <w:b/>
                <w:bCs/>
                <w:sz w:val="21"/>
                <w:szCs w:val="21"/>
                <w:lang w:val="en-GB"/>
              </w:rPr>
              <w:t xml:space="preserve">Program (NRP) </w:t>
            </w:r>
            <w:r w:rsidRPr="0072169F">
              <w:rPr>
                <w:rFonts w:asciiTheme="majorHAnsi" w:eastAsia="Times New Roman" w:hAnsiTheme="majorHAnsi" w:cstheme="majorHAnsi"/>
                <w:sz w:val="21"/>
                <w:szCs w:val="21"/>
                <w:lang w:val="en-GB"/>
              </w:rPr>
              <w:t>(2003–2010):</w:t>
            </w:r>
            <w:r w:rsidRPr="0072169F">
              <w:rPr>
                <w:rFonts w:asciiTheme="majorHAnsi" w:eastAsia="Times New Roman" w:hAnsiTheme="majorHAnsi" w:cstheme="majorHAnsi"/>
                <w:b/>
                <w:bCs/>
                <w:sz w:val="21"/>
                <w:szCs w:val="21"/>
                <w:lang w:val="en-GB"/>
              </w:rPr>
              <w:t xml:space="preserve"> </w:t>
            </w:r>
            <w:r w:rsidRPr="0072169F">
              <w:rPr>
                <w:rFonts w:asciiTheme="majorHAnsi" w:eastAsia="Times New Roman" w:hAnsiTheme="majorHAnsi" w:cstheme="majorHAnsi"/>
                <w:sz w:val="21"/>
                <w:szCs w:val="21"/>
                <w:lang w:val="en-GB"/>
              </w:rPr>
              <w:t xml:space="preserve">Multi-pronged </w:t>
            </w:r>
            <w:r>
              <w:rPr>
                <w:rFonts w:asciiTheme="majorHAnsi" w:eastAsia="Times New Roman" w:hAnsiTheme="majorHAnsi" w:cstheme="majorHAnsi"/>
                <w:sz w:val="21"/>
                <w:szCs w:val="21"/>
                <w:lang w:val="en-GB"/>
              </w:rPr>
              <w:t>State Government program</w:t>
            </w:r>
            <w:r w:rsidRPr="0072169F">
              <w:rPr>
                <w:rFonts w:asciiTheme="majorHAnsi" w:eastAsia="Times New Roman" w:hAnsiTheme="majorHAnsi" w:cstheme="majorHAnsi"/>
                <w:sz w:val="21"/>
                <w:szCs w:val="21"/>
                <w:lang w:val="en-GB"/>
              </w:rPr>
              <w:t xml:space="preserve"> to revitalise public housing, open spaces, schools</w:t>
            </w:r>
            <w:r>
              <w:rPr>
                <w:rFonts w:asciiTheme="majorHAnsi" w:eastAsia="Times New Roman" w:hAnsiTheme="majorHAnsi" w:cstheme="majorHAnsi"/>
                <w:sz w:val="21"/>
                <w:szCs w:val="21"/>
                <w:lang w:val="en-GB"/>
              </w:rPr>
              <w:t>,</w:t>
            </w:r>
            <w:r w:rsidRPr="0072169F">
              <w:rPr>
                <w:rFonts w:asciiTheme="majorHAnsi" w:eastAsia="Times New Roman" w:hAnsiTheme="majorHAnsi" w:cstheme="majorHAnsi"/>
                <w:sz w:val="21"/>
                <w:szCs w:val="21"/>
                <w:lang w:val="en-GB"/>
              </w:rPr>
              <w:t xml:space="preserve"> and health services in localities across Victoria, including Corio and Norlane</w:t>
            </w:r>
            <w:r>
              <w:rPr>
                <w:rFonts w:asciiTheme="majorHAnsi" w:eastAsia="Times New Roman" w:hAnsiTheme="majorHAnsi" w:cstheme="majorHAnsi"/>
                <w:sz w:val="21"/>
                <w:szCs w:val="21"/>
                <w:lang w:val="en-GB"/>
              </w:rPr>
              <w:t>.</w:t>
            </w:r>
          </w:p>
          <w:p w14:paraId="3232F56B" w14:textId="77777777" w:rsidR="00203685" w:rsidRPr="00F307E1" w:rsidRDefault="00203685" w:rsidP="0055618E">
            <w:pPr>
              <w:rPr>
                <w:rFonts w:asciiTheme="majorHAnsi" w:hAnsiTheme="majorHAnsi" w:cstheme="majorBidi"/>
                <w:sz w:val="21"/>
                <w:szCs w:val="21"/>
              </w:rPr>
            </w:pPr>
            <w:r w:rsidRPr="778E395A">
              <w:rPr>
                <w:rFonts w:asciiTheme="majorHAnsi" w:eastAsia="Times New Roman" w:hAnsiTheme="majorHAnsi" w:cstheme="majorBidi"/>
                <w:b/>
                <w:bCs/>
                <w:sz w:val="21"/>
                <w:szCs w:val="21"/>
                <w:lang w:val="en-GB"/>
              </w:rPr>
              <w:t xml:space="preserve">Social Infrastructure Plan (SIP) for the City of Greater Geelong: </w:t>
            </w:r>
            <w:r w:rsidRPr="778E395A">
              <w:rPr>
                <w:rFonts w:asciiTheme="majorHAnsi" w:eastAsia="Times New Roman" w:hAnsiTheme="majorHAnsi" w:cstheme="majorBidi"/>
                <w:sz w:val="21"/>
                <w:szCs w:val="21"/>
                <w:lang w:val="en-GB"/>
              </w:rPr>
              <w:t xml:space="preserve">Corio and Norlane projects: new public toilets; upgrade key community centres, Corio Library, </w:t>
            </w:r>
            <w:r w:rsidRPr="778E395A">
              <w:rPr>
                <w:rFonts w:asciiTheme="majorHAnsi" w:eastAsia="Calibri Light" w:hAnsiTheme="majorHAnsi" w:cstheme="majorBidi"/>
                <w:sz w:val="21"/>
                <w:szCs w:val="21"/>
              </w:rPr>
              <w:t>Northern Aquatic &amp; Community Hub</w:t>
            </w:r>
            <w:r w:rsidRPr="778E395A">
              <w:rPr>
                <w:rFonts w:asciiTheme="majorHAnsi" w:eastAsia="Times New Roman" w:hAnsiTheme="majorHAnsi" w:cstheme="majorBidi"/>
                <w:sz w:val="21"/>
                <w:szCs w:val="21"/>
                <w:lang w:val="en-GB"/>
              </w:rPr>
              <w:t>, Whittington Reserve; extend cycle network. Community Hub:</w:t>
            </w:r>
            <w:r w:rsidRPr="778E395A">
              <w:rPr>
                <w:rFonts w:asciiTheme="majorHAnsi" w:eastAsia="Times New Roman" w:hAnsiTheme="majorHAnsi" w:cstheme="majorBidi"/>
                <w:b/>
                <w:bCs/>
                <w:sz w:val="21"/>
                <w:szCs w:val="21"/>
                <w:lang w:val="en-GB"/>
              </w:rPr>
              <w:t xml:space="preserve"> </w:t>
            </w:r>
            <w:r w:rsidRPr="778E395A">
              <w:rPr>
                <w:rFonts w:asciiTheme="majorHAnsi" w:eastAsia="Times New Roman" w:hAnsiTheme="majorHAnsi" w:cstheme="majorBidi"/>
                <w:sz w:val="21"/>
                <w:szCs w:val="21"/>
                <w:lang w:val="en-GB"/>
              </w:rPr>
              <w:t>investigate consolidating facilities and new multi-use intergenerational centre; Aldershot masterplan design; expand Splashdown Aquatic Centre and Norlane Purnell Road Early Years Centre.</w:t>
            </w:r>
          </w:p>
          <w:p w14:paraId="67FDE0A3" w14:textId="77777777" w:rsidR="00203685" w:rsidRPr="00F307E1" w:rsidRDefault="00203685" w:rsidP="0055618E">
            <w:pPr>
              <w:rPr>
                <w:rFonts w:asciiTheme="majorHAnsi" w:hAnsiTheme="majorHAnsi" w:cstheme="majorBidi"/>
                <w:sz w:val="21"/>
                <w:szCs w:val="21"/>
              </w:rPr>
            </w:pPr>
            <w:r w:rsidRPr="3967B0F6">
              <w:rPr>
                <w:rFonts w:asciiTheme="majorHAnsi" w:eastAsia="Times New Roman" w:hAnsiTheme="majorHAnsi" w:cstheme="majorBidi"/>
                <w:b/>
                <w:bCs/>
                <w:sz w:val="21"/>
                <w:szCs w:val="21"/>
                <w:lang w:val="en-GB"/>
              </w:rPr>
              <w:t>Redevelopment of Spruhan Avenue Hub</w:t>
            </w:r>
            <w:r w:rsidRPr="3967B0F6">
              <w:rPr>
                <w:rFonts w:asciiTheme="majorHAnsi" w:hAnsiTheme="majorHAnsi" w:cstheme="majorBidi"/>
                <w:sz w:val="21"/>
                <w:szCs w:val="21"/>
              </w:rPr>
              <w:t xml:space="preserve">: </w:t>
            </w:r>
            <w:r w:rsidRPr="3967B0F6">
              <w:rPr>
                <w:rFonts w:asciiTheme="majorHAnsi" w:eastAsia="Times New Roman" w:hAnsiTheme="majorHAnsi" w:cstheme="majorBidi"/>
                <w:sz w:val="21"/>
                <w:szCs w:val="21"/>
                <w:lang w:val="en-GB"/>
              </w:rPr>
              <w:t xml:space="preserve">Funded by </w:t>
            </w:r>
            <w:r>
              <w:rPr>
                <w:rFonts w:asciiTheme="majorHAnsi" w:eastAsia="Times New Roman" w:hAnsiTheme="majorHAnsi" w:cstheme="majorBidi"/>
                <w:sz w:val="21"/>
                <w:szCs w:val="21"/>
                <w:lang w:val="en-GB"/>
              </w:rPr>
              <w:t>CoGG</w:t>
            </w:r>
            <w:r w:rsidRPr="3967B0F6">
              <w:rPr>
                <w:rFonts w:asciiTheme="majorHAnsi" w:eastAsia="Times New Roman" w:hAnsiTheme="majorHAnsi" w:cstheme="majorBidi"/>
                <w:sz w:val="21"/>
                <w:szCs w:val="21"/>
                <w:lang w:val="en-GB"/>
              </w:rPr>
              <w:t xml:space="preserve"> ($40,000) and a Percy Baxter Foundation grant ($240,000). Five-bedroom home contributing to the Norlane Community Initiatives Hub: residents live on site and work with community members to offer neighbourhood hospitality, care, and programs. </w:t>
            </w:r>
          </w:p>
          <w:p w14:paraId="119FB418" w14:textId="77777777" w:rsidR="00203685" w:rsidRPr="00F307E1" w:rsidRDefault="007320D6" w:rsidP="0055618E">
            <w:pPr>
              <w:rPr>
                <w:rFonts w:asciiTheme="majorHAnsi" w:hAnsiTheme="majorHAnsi" w:cstheme="majorHAnsi"/>
                <w:sz w:val="21"/>
                <w:szCs w:val="21"/>
              </w:rPr>
            </w:pPr>
            <w:hyperlink r:id="rId70">
              <w:r w:rsidR="00203685" w:rsidRPr="00384FF8">
                <w:rPr>
                  <w:rStyle w:val="Hyperlink"/>
                  <w:rFonts w:asciiTheme="majorHAnsi" w:eastAsia="Times New Roman" w:hAnsiTheme="majorHAnsi" w:cstheme="majorHAnsi"/>
                  <w:b/>
                  <w:bCs/>
                  <w:sz w:val="21"/>
                  <w:szCs w:val="21"/>
                  <w:lang w:val="en-GB"/>
                </w:rPr>
                <w:t>Northern Geelong Growth Area Plan</w:t>
              </w:r>
            </w:hyperlink>
            <w:r w:rsidR="00203685" w:rsidRPr="00384FF8">
              <w:rPr>
                <w:rFonts w:asciiTheme="majorHAnsi" w:hAnsiTheme="majorHAnsi" w:cstheme="majorHAnsi"/>
              </w:rPr>
              <w:t xml:space="preserve">: </w:t>
            </w:r>
            <w:r w:rsidR="00203685" w:rsidRPr="00384FF8">
              <w:rPr>
                <w:rFonts w:asciiTheme="majorHAnsi" w:eastAsia="Times New Roman" w:hAnsiTheme="majorHAnsi" w:cstheme="majorHAnsi"/>
                <w:sz w:val="21"/>
                <w:szCs w:val="21"/>
                <w:lang w:val="en-GB"/>
              </w:rPr>
              <w:t xml:space="preserve">Includes extensive plans for social infrastructure including a cultural hub, two community centres, two neighbourhood centres, two integrated children’s centres, two maternal and child health centres, two kindergartens, five daycare centres, one health and wellbeing centre, eight primary schools, two secondary schools, one policy and justice centre, and one emergency service hub. </w:t>
            </w:r>
          </w:p>
          <w:p w14:paraId="36CCBF42" w14:textId="77777777" w:rsidR="00203685" w:rsidRPr="00384FF8" w:rsidRDefault="007320D6" w:rsidP="0055618E">
            <w:pPr>
              <w:rPr>
                <w:rFonts w:asciiTheme="majorHAnsi" w:hAnsiTheme="majorHAnsi" w:cstheme="majorHAnsi"/>
                <w:sz w:val="21"/>
                <w:szCs w:val="21"/>
              </w:rPr>
            </w:pPr>
            <w:hyperlink r:id="rId71">
              <w:r w:rsidR="00203685" w:rsidRPr="00384FF8">
                <w:rPr>
                  <w:rStyle w:val="Hyperlink"/>
                  <w:rFonts w:asciiTheme="majorHAnsi" w:eastAsia="Times New Roman" w:hAnsiTheme="majorHAnsi" w:cstheme="majorHAnsi"/>
                  <w:b/>
                  <w:bCs/>
                  <w:sz w:val="21"/>
                  <w:szCs w:val="21"/>
                  <w:lang w:val="en-GB"/>
                </w:rPr>
                <w:t>Clever and Creative Geelong Project</w:t>
              </w:r>
            </w:hyperlink>
            <w:r w:rsidR="00203685" w:rsidRPr="00384FF8">
              <w:rPr>
                <w:rFonts w:asciiTheme="majorHAnsi" w:hAnsiTheme="majorHAnsi" w:cstheme="majorHAnsi"/>
                <w:sz w:val="21"/>
                <w:szCs w:val="21"/>
              </w:rPr>
              <w:t xml:space="preserve">: </w:t>
            </w:r>
            <w:r w:rsidR="00203685" w:rsidRPr="00384FF8">
              <w:rPr>
                <w:rFonts w:asciiTheme="majorHAnsi" w:eastAsia="Times New Roman" w:hAnsiTheme="majorHAnsi" w:cstheme="majorHAnsi"/>
                <w:sz w:val="21"/>
                <w:szCs w:val="21"/>
                <w:lang w:val="en-GB"/>
              </w:rPr>
              <w:t xml:space="preserve">Engaged local manufacturing companies to deliver a range of services to the community, thereby encouraging growth in digital services. Supported by the Smart Cities and Suburbs program from the Federal Government’s Department of Infrastructure. </w:t>
            </w:r>
          </w:p>
          <w:p w14:paraId="67D205D7" w14:textId="77777777" w:rsidR="00203685" w:rsidRDefault="007320D6" w:rsidP="0055618E">
            <w:pPr>
              <w:rPr>
                <w:rFonts w:asciiTheme="majorHAnsi" w:eastAsia="Times New Roman" w:hAnsiTheme="majorHAnsi" w:cstheme="majorBidi"/>
                <w:sz w:val="21"/>
                <w:szCs w:val="21"/>
                <w:lang w:val="en-GB"/>
              </w:rPr>
            </w:pPr>
            <w:hyperlink r:id="rId72">
              <w:r w:rsidR="00203685" w:rsidRPr="3967B0F6">
                <w:rPr>
                  <w:rStyle w:val="Hyperlink"/>
                  <w:rFonts w:asciiTheme="majorHAnsi" w:eastAsia="Times New Roman" w:hAnsiTheme="majorHAnsi" w:cstheme="majorBidi"/>
                  <w:b/>
                  <w:bCs/>
                  <w:sz w:val="21"/>
                  <w:szCs w:val="21"/>
                  <w:lang w:val="en-GB"/>
                </w:rPr>
                <w:t>G21 Geelong Region Plan</w:t>
              </w:r>
            </w:hyperlink>
            <w:r w:rsidR="00203685" w:rsidRPr="3967B0F6">
              <w:rPr>
                <w:rFonts w:asciiTheme="majorHAnsi" w:hAnsiTheme="majorHAnsi" w:cstheme="majorBidi"/>
                <w:sz w:val="21"/>
                <w:szCs w:val="21"/>
              </w:rPr>
              <w:t xml:space="preserve">: </w:t>
            </w:r>
            <w:r w:rsidR="00203685" w:rsidRPr="3967B0F6">
              <w:rPr>
                <w:rFonts w:asciiTheme="majorHAnsi" w:eastAsia="Times New Roman" w:hAnsiTheme="majorHAnsi" w:cstheme="majorBidi"/>
                <w:sz w:val="21"/>
                <w:szCs w:val="21"/>
                <w:lang w:val="en-GB"/>
              </w:rPr>
              <w:t>Strategic framework and vision looking towards 2050 and addressing environment, settlement, land use, community cohesion, and the economy.</w:t>
            </w:r>
          </w:p>
          <w:p w14:paraId="7F36F227" w14:textId="77777777" w:rsidR="00203685" w:rsidRDefault="007320D6" w:rsidP="0055618E">
            <w:pPr>
              <w:rPr>
                <w:rFonts w:asciiTheme="majorHAnsi" w:eastAsia="Times New Roman" w:hAnsiTheme="majorHAnsi" w:cstheme="majorHAnsi"/>
                <w:sz w:val="21"/>
                <w:szCs w:val="21"/>
                <w:lang w:val="en-GB"/>
              </w:rPr>
            </w:pPr>
            <w:hyperlink r:id="rId73">
              <w:r w:rsidR="00203685" w:rsidRPr="00384FF8">
                <w:rPr>
                  <w:rStyle w:val="Hyperlink"/>
                  <w:rFonts w:asciiTheme="majorHAnsi" w:eastAsia="Times New Roman" w:hAnsiTheme="majorHAnsi" w:cstheme="majorHAnsi"/>
                  <w:b/>
                  <w:bCs/>
                  <w:sz w:val="21"/>
                  <w:szCs w:val="21"/>
                  <w:lang w:val="en-GB"/>
                </w:rPr>
                <w:t>Norlane Community Initiatives</w:t>
              </w:r>
            </w:hyperlink>
            <w:r w:rsidR="00203685" w:rsidRPr="00384FF8">
              <w:rPr>
                <w:rFonts w:asciiTheme="majorHAnsi" w:hAnsiTheme="majorHAnsi" w:cstheme="majorHAnsi"/>
              </w:rPr>
              <w:t xml:space="preserve">: </w:t>
            </w:r>
            <w:r w:rsidR="00203685" w:rsidRPr="00384FF8">
              <w:rPr>
                <w:rFonts w:asciiTheme="majorHAnsi" w:eastAsia="Times New Roman" w:hAnsiTheme="majorHAnsi" w:cstheme="majorHAnsi"/>
                <w:sz w:val="21"/>
                <w:szCs w:val="21"/>
                <w:lang w:val="en-GB"/>
              </w:rPr>
              <w:t xml:space="preserve">Grassroots </w:t>
            </w:r>
            <w:r w:rsidR="00203685">
              <w:rPr>
                <w:rFonts w:asciiTheme="majorHAnsi" w:eastAsia="Times New Roman" w:hAnsiTheme="majorHAnsi" w:cstheme="majorHAnsi"/>
                <w:sz w:val="21"/>
                <w:szCs w:val="21"/>
                <w:lang w:val="en-GB"/>
              </w:rPr>
              <w:t xml:space="preserve">local </w:t>
            </w:r>
            <w:r w:rsidR="00203685" w:rsidRPr="00384FF8">
              <w:rPr>
                <w:rFonts w:asciiTheme="majorHAnsi" w:eastAsia="Times New Roman" w:hAnsiTheme="majorHAnsi" w:cstheme="majorHAnsi"/>
                <w:sz w:val="21"/>
                <w:szCs w:val="21"/>
                <w:lang w:val="en-GB"/>
              </w:rPr>
              <w:t>organisation.</w:t>
            </w:r>
          </w:p>
          <w:p w14:paraId="79F4B554" w14:textId="77777777" w:rsidR="00203685" w:rsidRPr="007768F5" w:rsidRDefault="00203685" w:rsidP="0055618E">
            <w:pPr>
              <w:spacing w:after="0"/>
              <w:rPr>
                <w:rFonts w:asciiTheme="majorHAnsi" w:hAnsiTheme="majorHAnsi" w:cstheme="majorHAnsi"/>
                <w:sz w:val="21"/>
                <w:szCs w:val="21"/>
              </w:rPr>
            </w:pPr>
            <w:r w:rsidRPr="3967B0F6">
              <w:rPr>
                <w:rFonts w:asciiTheme="majorHAnsi" w:eastAsia="Times New Roman" w:hAnsiTheme="majorHAnsi" w:cstheme="majorBidi"/>
                <w:sz w:val="21"/>
                <w:szCs w:val="21"/>
                <w:lang w:val="en-GB"/>
              </w:rPr>
              <w:t xml:space="preserve">Specific plans to engage with issues around </w:t>
            </w:r>
            <w:r>
              <w:rPr>
                <w:rFonts w:asciiTheme="majorHAnsi" w:eastAsia="Times New Roman" w:hAnsiTheme="majorHAnsi" w:cstheme="majorBidi"/>
                <w:sz w:val="21"/>
                <w:szCs w:val="21"/>
                <w:lang w:val="en-GB"/>
              </w:rPr>
              <w:t>d</w:t>
            </w:r>
            <w:r w:rsidRPr="3967B0F6">
              <w:rPr>
                <w:rFonts w:asciiTheme="majorHAnsi" w:eastAsia="Times New Roman" w:hAnsiTheme="majorHAnsi" w:cstheme="majorBidi"/>
                <w:sz w:val="21"/>
                <w:szCs w:val="21"/>
                <w:lang w:val="en-GB"/>
              </w:rPr>
              <w:t xml:space="preserve">isability, </w:t>
            </w:r>
            <w:r>
              <w:rPr>
                <w:rFonts w:asciiTheme="majorHAnsi" w:eastAsia="Times New Roman" w:hAnsiTheme="majorHAnsi" w:cstheme="majorBidi"/>
                <w:sz w:val="21"/>
                <w:szCs w:val="21"/>
                <w:lang w:val="en-GB"/>
              </w:rPr>
              <w:t>m</w:t>
            </w:r>
            <w:r w:rsidRPr="3967B0F6">
              <w:rPr>
                <w:rFonts w:asciiTheme="majorHAnsi" w:eastAsia="Times New Roman" w:hAnsiTheme="majorHAnsi" w:cstheme="majorBidi"/>
                <w:sz w:val="21"/>
                <w:szCs w:val="21"/>
                <w:lang w:val="en-GB"/>
              </w:rPr>
              <w:t>ulticultural populations, Aboriginal Geelong, new technologies, public art, domestic violence</w:t>
            </w:r>
            <w:r>
              <w:rPr>
                <w:rFonts w:asciiTheme="majorHAnsi" w:eastAsia="Times New Roman" w:hAnsiTheme="majorHAnsi" w:cstheme="majorBidi"/>
                <w:sz w:val="21"/>
                <w:szCs w:val="21"/>
                <w:lang w:val="en-GB"/>
              </w:rPr>
              <w:t>,</w:t>
            </w:r>
            <w:r w:rsidRPr="3967B0F6">
              <w:rPr>
                <w:rFonts w:asciiTheme="majorHAnsi" w:eastAsia="Times New Roman" w:hAnsiTheme="majorHAnsi" w:cstheme="majorBidi"/>
                <w:sz w:val="21"/>
                <w:szCs w:val="21"/>
                <w:lang w:val="en-GB"/>
              </w:rPr>
              <w:t xml:space="preserve"> and urban planning</w:t>
            </w:r>
            <w:r>
              <w:rPr>
                <w:rFonts w:asciiTheme="majorHAnsi" w:eastAsia="Times New Roman" w:hAnsiTheme="majorHAnsi" w:cstheme="majorBidi"/>
                <w:sz w:val="21"/>
                <w:szCs w:val="21"/>
                <w:lang w:val="en-GB"/>
              </w:rPr>
              <w:t xml:space="preserve"> are</w:t>
            </w:r>
            <w:r w:rsidRPr="3967B0F6">
              <w:rPr>
                <w:rFonts w:asciiTheme="majorHAnsi" w:eastAsia="Times New Roman" w:hAnsiTheme="majorHAnsi" w:cstheme="majorBidi"/>
                <w:sz w:val="21"/>
                <w:szCs w:val="21"/>
                <w:lang w:val="en-GB"/>
              </w:rPr>
              <w:t xml:space="preserve"> considered in detail in Part </w:t>
            </w:r>
            <w:r>
              <w:rPr>
                <w:rFonts w:asciiTheme="majorHAnsi" w:eastAsia="Times New Roman" w:hAnsiTheme="majorHAnsi" w:cstheme="majorBidi"/>
                <w:sz w:val="21"/>
                <w:szCs w:val="21"/>
                <w:lang w:val="en-GB"/>
              </w:rPr>
              <w:t>B of this report.</w:t>
            </w:r>
          </w:p>
        </w:tc>
        <w:tc>
          <w:tcPr>
            <w:tcW w:w="3538" w:type="dxa"/>
            <w:tcBorders>
              <w:top w:val="single" w:sz="8" w:space="0" w:color="auto"/>
              <w:left w:val="single" w:sz="8" w:space="0" w:color="auto"/>
              <w:bottom w:val="single" w:sz="8" w:space="0" w:color="auto"/>
              <w:right w:val="single" w:sz="8" w:space="0" w:color="auto"/>
            </w:tcBorders>
          </w:tcPr>
          <w:p w14:paraId="3BDD5EC3" w14:textId="77777777" w:rsidR="00203685" w:rsidRPr="005220FF" w:rsidRDefault="00203685" w:rsidP="0055618E">
            <w:pPr>
              <w:rPr>
                <w:rFonts w:asciiTheme="majorHAnsi" w:eastAsia="Times New Roman" w:hAnsiTheme="majorHAnsi" w:cstheme="majorHAnsi"/>
                <w:b/>
                <w:bCs/>
                <w:sz w:val="21"/>
                <w:szCs w:val="21"/>
                <w:lang w:val="en-GB"/>
              </w:rPr>
            </w:pPr>
            <w:r w:rsidRPr="0072169F">
              <w:rPr>
                <w:rFonts w:asciiTheme="majorHAnsi" w:eastAsia="Times New Roman" w:hAnsiTheme="majorHAnsi" w:cstheme="majorHAnsi"/>
                <w:sz w:val="21"/>
                <w:szCs w:val="21"/>
                <w:lang w:val="en-GB"/>
              </w:rPr>
              <w:t>NRP: included Corio and Norlane.</w:t>
            </w:r>
            <w:r w:rsidRPr="00F8433F">
              <w:rPr>
                <w:rFonts w:asciiTheme="majorHAnsi" w:eastAsia="Times New Roman" w:hAnsiTheme="majorHAnsi" w:cstheme="majorHAnsi"/>
                <w:sz w:val="21"/>
                <w:szCs w:val="21"/>
                <w:lang w:val="en-GB"/>
              </w:rPr>
              <w:t xml:space="preserve"> </w:t>
            </w:r>
            <w:r>
              <w:rPr>
                <w:rFonts w:asciiTheme="majorHAnsi" w:eastAsia="Times New Roman" w:hAnsiTheme="majorHAnsi" w:cstheme="majorHAnsi"/>
                <w:sz w:val="21"/>
                <w:szCs w:val="21"/>
                <w:lang w:val="en-GB"/>
              </w:rPr>
              <w:t>S</w:t>
            </w:r>
            <w:r w:rsidRPr="00F8433F">
              <w:rPr>
                <w:rFonts w:asciiTheme="majorHAnsi" w:eastAsia="Times New Roman" w:hAnsiTheme="majorHAnsi" w:cstheme="majorHAnsi"/>
                <w:sz w:val="21"/>
                <w:szCs w:val="21"/>
                <w:lang w:val="en-GB"/>
              </w:rPr>
              <w:t xml:space="preserve">ee </w:t>
            </w:r>
            <w:r>
              <w:rPr>
                <w:rFonts w:asciiTheme="majorHAnsi" w:eastAsia="Times New Roman" w:hAnsiTheme="majorHAnsi" w:cstheme="majorHAnsi"/>
                <w:sz w:val="21"/>
                <w:szCs w:val="21"/>
                <w:lang w:val="en-GB"/>
              </w:rPr>
              <w:t>Section 5</w:t>
            </w:r>
            <w:r w:rsidRPr="00F8433F">
              <w:rPr>
                <w:rFonts w:asciiTheme="majorHAnsi" w:eastAsia="Times New Roman" w:hAnsiTheme="majorHAnsi" w:cstheme="majorHAnsi"/>
                <w:sz w:val="21"/>
                <w:szCs w:val="21"/>
                <w:lang w:val="en-GB"/>
              </w:rPr>
              <w:t>.</w:t>
            </w:r>
          </w:p>
          <w:p w14:paraId="3689336F" w14:textId="77777777" w:rsidR="00203685" w:rsidRPr="00F307E1" w:rsidRDefault="00203685" w:rsidP="0055618E">
            <w:pPr>
              <w:rPr>
                <w:rFonts w:asciiTheme="majorHAnsi" w:eastAsia="Times New Roman" w:hAnsiTheme="majorHAnsi" w:cstheme="majorBidi"/>
                <w:sz w:val="21"/>
                <w:szCs w:val="21"/>
                <w:lang w:val="en-GB"/>
              </w:rPr>
            </w:pPr>
            <w:r w:rsidRPr="00F307E1">
              <w:rPr>
                <w:rFonts w:asciiTheme="majorHAnsi" w:hAnsiTheme="majorHAnsi" w:cstheme="majorHAnsi"/>
                <w:sz w:val="21"/>
                <w:szCs w:val="21"/>
              </w:rPr>
              <w:t>Outlined at left.</w:t>
            </w:r>
          </w:p>
          <w:p w14:paraId="488705EF" w14:textId="77777777" w:rsidR="00203685" w:rsidRPr="00C64355" w:rsidRDefault="00203685" w:rsidP="0055618E">
            <w:pPr>
              <w:rPr>
                <w:rFonts w:asciiTheme="majorHAnsi" w:eastAsia="Times New Roman" w:hAnsiTheme="majorHAnsi" w:cstheme="majorBidi"/>
                <w:sz w:val="12"/>
                <w:szCs w:val="12"/>
                <w:lang w:val="en-GB"/>
              </w:rPr>
            </w:pPr>
          </w:p>
          <w:p w14:paraId="7EFB8F24" w14:textId="77777777" w:rsidR="00203685" w:rsidRDefault="00203685" w:rsidP="0055618E">
            <w:pPr>
              <w:spacing w:after="0"/>
              <w:rPr>
                <w:rFonts w:asciiTheme="majorHAnsi" w:hAnsiTheme="majorHAnsi" w:cstheme="majorBidi"/>
                <w:sz w:val="21"/>
                <w:szCs w:val="21"/>
              </w:rPr>
            </w:pPr>
            <w:r w:rsidRPr="778E395A">
              <w:rPr>
                <w:rFonts w:asciiTheme="majorHAnsi" w:eastAsia="Times New Roman" w:hAnsiTheme="majorHAnsi" w:cstheme="majorBidi"/>
                <w:sz w:val="21"/>
                <w:szCs w:val="21"/>
                <w:lang w:val="en-GB"/>
              </w:rPr>
              <w:t xml:space="preserve">Includes plans for urban regeneration of Corio, Norlane, and Whittington; Corio/Norlane Structure Plan Project; water and sewer upgrades between Corio and Lara, targeting infill and high-density options. </w:t>
            </w:r>
          </w:p>
          <w:p w14:paraId="13AF58CF" w14:textId="77777777" w:rsidR="00203685" w:rsidRPr="005220FF" w:rsidRDefault="00203685" w:rsidP="0055618E">
            <w:pPr>
              <w:rPr>
                <w:rFonts w:asciiTheme="majorHAnsi" w:eastAsia="Times New Roman" w:hAnsiTheme="majorHAnsi" w:cstheme="majorBidi"/>
                <w:sz w:val="12"/>
                <w:szCs w:val="12"/>
                <w:lang w:val="en-GB"/>
              </w:rPr>
            </w:pPr>
          </w:p>
          <w:p w14:paraId="48EEB313" w14:textId="77777777" w:rsidR="00203685" w:rsidRPr="00384FF8" w:rsidRDefault="00203685" w:rsidP="0055618E">
            <w:pPr>
              <w:rPr>
                <w:rFonts w:asciiTheme="majorHAnsi" w:eastAsia="Times New Roman" w:hAnsiTheme="majorHAnsi" w:cstheme="majorBidi"/>
                <w:sz w:val="21"/>
                <w:szCs w:val="21"/>
                <w:lang w:val="en-GB"/>
              </w:rPr>
            </w:pPr>
            <w:r w:rsidRPr="3967B0F6">
              <w:rPr>
                <w:rFonts w:asciiTheme="majorHAnsi" w:eastAsia="Times New Roman" w:hAnsiTheme="majorHAnsi" w:cstheme="majorBidi"/>
                <w:sz w:val="21"/>
                <w:szCs w:val="21"/>
                <w:lang w:val="en-GB"/>
              </w:rPr>
              <w:t>Relevant primarily to new growth corridors rather than the three areas</w:t>
            </w:r>
          </w:p>
          <w:p w14:paraId="0858AA63" w14:textId="77777777" w:rsidR="00203685" w:rsidRPr="00F307E1" w:rsidRDefault="00203685" w:rsidP="0055618E">
            <w:pPr>
              <w:rPr>
                <w:rFonts w:asciiTheme="majorHAnsi" w:eastAsia="Times New Roman" w:hAnsiTheme="majorHAnsi" w:cstheme="majorBidi"/>
                <w:sz w:val="8"/>
                <w:szCs w:val="8"/>
                <w:lang w:val="en-GB"/>
              </w:rPr>
            </w:pPr>
          </w:p>
          <w:p w14:paraId="4C8D3A35" w14:textId="77777777" w:rsidR="00203685" w:rsidRDefault="00203685" w:rsidP="0055618E">
            <w:pPr>
              <w:rPr>
                <w:rFonts w:asciiTheme="majorHAnsi" w:eastAsia="Times New Roman" w:hAnsiTheme="majorHAnsi" w:cstheme="majorBidi"/>
                <w:sz w:val="21"/>
                <w:szCs w:val="21"/>
                <w:highlight w:val="yellow"/>
                <w:lang w:val="en-GB"/>
              </w:rPr>
            </w:pPr>
          </w:p>
          <w:p w14:paraId="60FEDD77" w14:textId="77777777" w:rsidR="00203685" w:rsidRPr="00FA41CC" w:rsidRDefault="00203685" w:rsidP="0055618E">
            <w:pPr>
              <w:rPr>
                <w:rFonts w:asciiTheme="majorHAnsi" w:eastAsia="Times New Roman" w:hAnsiTheme="majorHAnsi" w:cstheme="majorBidi"/>
                <w:sz w:val="21"/>
                <w:szCs w:val="21"/>
                <w:lang w:val="en-GB"/>
              </w:rPr>
            </w:pPr>
            <w:r w:rsidRPr="00FA41CC">
              <w:rPr>
                <w:rFonts w:asciiTheme="majorHAnsi" w:eastAsia="Times New Roman" w:hAnsiTheme="majorHAnsi" w:cstheme="majorBidi"/>
                <w:sz w:val="21"/>
                <w:szCs w:val="21"/>
                <w:lang w:val="en-GB"/>
              </w:rPr>
              <w:t>General strategic planning document for City of Greater Geelong</w:t>
            </w:r>
          </w:p>
          <w:p w14:paraId="2C8312BF" w14:textId="77777777" w:rsidR="00203685" w:rsidRPr="00C64355" w:rsidRDefault="00203685" w:rsidP="0055618E">
            <w:pPr>
              <w:rPr>
                <w:rFonts w:asciiTheme="majorHAnsi" w:eastAsia="Times New Roman" w:hAnsiTheme="majorHAnsi" w:cstheme="majorBidi"/>
                <w:sz w:val="12"/>
                <w:szCs w:val="12"/>
                <w:highlight w:val="yellow"/>
                <w:lang w:val="en-GB"/>
              </w:rPr>
            </w:pPr>
          </w:p>
          <w:p w14:paraId="3B72EE2C" w14:textId="77777777" w:rsidR="00203685" w:rsidRPr="00384FF8" w:rsidRDefault="00203685" w:rsidP="0055618E">
            <w:pPr>
              <w:spacing w:after="0"/>
              <w:rPr>
                <w:rFonts w:asciiTheme="majorHAnsi" w:eastAsia="Times New Roman" w:hAnsiTheme="majorHAnsi" w:cstheme="majorBidi"/>
                <w:sz w:val="21"/>
                <w:szCs w:val="21"/>
                <w:lang w:val="en-GB"/>
              </w:rPr>
            </w:pPr>
            <w:r w:rsidRPr="00FA41CC">
              <w:rPr>
                <w:rFonts w:asciiTheme="majorHAnsi" w:eastAsia="Times New Roman" w:hAnsiTheme="majorHAnsi" w:cstheme="majorBidi"/>
                <w:sz w:val="21"/>
                <w:szCs w:val="21"/>
                <w:lang w:val="en-GB"/>
              </w:rPr>
              <w:t>Concerned with whole G21 area but include</w:t>
            </w:r>
            <w:r>
              <w:rPr>
                <w:rFonts w:asciiTheme="majorHAnsi" w:eastAsia="Times New Roman" w:hAnsiTheme="majorHAnsi" w:cstheme="majorBidi"/>
                <w:sz w:val="21"/>
                <w:szCs w:val="21"/>
                <w:lang w:val="en-GB"/>
              </w:rPr>
              <w:t>s</w:t>
            </w:r>
            <w:r w:rsidRPr="00FA41CC">
              <w:rPr>
                <w:rFonts w:asciiTheme="majorHAnsi" w:eastAsia="Times New Roman" w:hAnsiTheme="majorHAnsi" w:cstheme="majorBidi"/>
                <w:sz w:val="21"/>
                <w:szCs w:val="21"/>
                <w:lang w:val="en-GB"/>
              </w:rPr>
              <w:t xml:space="preserve"> a commitment to addressing disadvantage. Area- and group- specific plans are highly relevant (see Part B).</w:t>
            </w:r>
          </w:p>
        </w:tc>
      </w:tr>
      <w:tr w:rsidR="00203685" w:rsidRPr="00BA500D" w14:paraId="5063F8DC" w14:textId="77777777" w:rsidTr="0055618E">
        <w:trPr>
          <w:trHeight w:val="1443"/>
        </w:trPr>
        <w:tc>
          <w:tcPr>
            <w:tcW w:w="988" w:type="dxa"/>
            <w:tcBorders>
              <w:top w:val="single" w:sz="8" w:space="0" w:color="auto"/>
              <w:left w:val="single" w:sz="8" w:space="0" w:color="auto"/>
              <w:bottom w:val="single" w:sz="8" w:space="0" w:color="auto"/>
              <w:right w:val="single" w:sz="8" w:space="0" w:color="auto"/>
            </w:tcBorders>
          </w:tcPr>
          <w:p w14:paraId="6B7FAC22" w14:textId="77777777" w:rsidR="00203685" w:rsidRPr="00BA500D" w:rsidRDefault="00203685" w:rsidP="0055618E">
            <w:pPr>
              <w:spacing w:after="0"/>
              <w:rPr>
                <w:rFonts w:asciiTheme="majorHAnsi" w:hAnsiTheme="majorHAnsi" w:cstheme="majorHAnsi"/>
                <w:sz w:val="21"/>
                <w:szCs w:val="21"/>
              </w:rPr>
            </w:pPr>
            <w:r w:rsidRPr="00C711E4">
              <w:rPr>
                <w:rFonts w:asciiTheme="majorHAnsi" w:hAnsiTheme="majorHAnsi" w:cstheme="majorHAnsi"/>
                <w:noProof/>
                <w:color w:val="2B579A"/>
                <w:sz w:val="21"/>
                <w:szCs w:val="21"/>
                <w:shd w:val="clear" w:color="auto" w:fill="E6E6E6"/>
                <w:lang w:eastAsia="zh-CN"/>
              </w:rPr>
              <mc:AlternateContent>
                <mc:Choice Requires="wps">
                  <w:drawing>
                    <wp:anchor distT="45720" distB="45720" distL="114300" distR="114300" simplePos="0" relativeHeight="251663400" behindDoc="0" locked="0" layoutInCell="1" allowOverlap="1" wp14:anchorId="5E85E866" wp14:editId="52317768">
                      <wp:simplePos x="0" y="0"/>
                      <wp:positionH relativeFrom="column">
                        <wp:posOffset>-171450</wp:posOffset>
                      </wp:positionH>
                      <wp:positionV relativeFrom="paragraph">
                        <wp:posOffset>302260</wp:posOffset>
                      </wp:positionV>
                      <wp:extent cx="784860" cy="34163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4860" cy="341630"/>
                              </a:xfrm>
                              <a:prstGeom prst="rect">
                                <a:avLst/>
                              </a:prstGeom>
                              <a:noFill/>
                              <a:ln w="9525">
                                <a:noFill/>
                                <a:miter lim="800000"/>
                                <a:headEnd/>
                                <a:tailEnd/>
                              </a:ln>
                            </wps:spPr>
                            <wps:txbx>
                              <w:txbxContent>
                                <w:p w14:paraId="327E04B8" w14:textId="77777777" w:rsidR="00203685" w:rsidRPr="004200CF" w:rsidRDefault="00203685" w:rsidP="00203685">
                                  <w:pPr>
                                    <w:jc w:val="right"/>
                                    <w:rPr>
                                      <w:b/>
                                      <w:bCs/>
                                      <w:color w:val="595959" w:themeColor="text1" w:themeTint="A6"/>
                                    </w:rPr>
                                  </w:pPr>
                                  <w:r>
                                    <w:rPr>
                                      <w:b/>
                                      <w:bCs/>
                                      <w:color w:val="595959" w:themeColor="text1" w:themeTint="A6"/>
                                    </w:rPr>
                                    <w:t>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5E866" id="_x0000_s1046" type="#_x0000_t202" style="position:absolute;margin-left:-13.5pt;margin-top:23.8pt;width:61.8pt;height:26.9pt;rotation:-90;z-index:251663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" filled="f" stroked="f">
                      <v:textbox>
                        <w:txbxContent>
                          <w:p w14:paraId="327E04B8" w14:textId="77777777" w:rsidR="00203685" w:rsidRPr="004200CF" w:rsidRDefault="00203685" w:rsidP="00203685">
                            <w:pPr>
                              <w:jc w:val="right"/>
                              <w:rPr>
                                <w:b/>
                                <w:bCs/>
                                <w:color w:val="595959" w:themeColor="text1" w:themeTint="A6"/>
                              </w:rPr>
                            </w:pPr>
                            <w:r>
                              <w:rPr>
                                <w:b/>
                                <w:bCs/>
                                <w:color w:val="595959" w:themeColor="text1" w:themeTint="A6"/>
                              </w:rPr>
                              <w:t>HOUSING</w:t>
                            </w:r>
                          </w:p>
                        </w:txbxContent>
                      </v:textbox>
                      <w10:wrap type="square"/>
                    </v:shape>
                  </w:pict>
                </mc:Fallback>
              </mc:AlternateContent>
            </w:r>
          </w:p>
        </w:tc>
        <w:tc>
          <w:tcPr>
            <w:tcW w:w="10044" w:type="dxa"/>
            <w:tcBorders>
              <w:top w:val="single" w:sz="8" w:space="0" w:color="auto"/>
              <w:left w:val="single" w:sz="8" w:space="0" w:color="auto"/>
              <w:bottom w:val="single" w:sz="8" w:space="0" w:color="auto"/>
              <w:right w:val="single" w:sz="8" w:space="0" w:color="auto"/>
            </w:tcBorders>
          </w:tcPr>
          <w:p w14:paraId="1BFB92C2" w14:textId="77777777" w:rsidR="00203685" w:rsidRPr="00BA500D" w:rsidRDefault="00203685" w:rsidP="0055618E">
            <w:pPr>
              <w:spacing w:after="0"/>
              <w:rPr>
                <w:rFonts w:asciiTheme="majorHAnsi" w:hAnsiTheme="majorHAnsi" w:cstheme="majorHAnsi"/>
                <w:sz w:val="21"/>
                <w:szCs w:val="21"/>
              </w:rPr>
            </w:pPr>
            <w:r w:rsidRPr="00BA500D">
              <w:rPr>
                <w:rFonts w:asciiTheme="majorHAnsi" w:eastAsia="Times New Roman" w:hAnsiTheme="majorHAnsi" w:cstheme="majorHAnsi"/>
                <w:b/>
                <w:bCs/>
                <w:sz w:val="21"/>
                <w:szCs w:val="21"/>
                <w:lang w:val="en-GB"/>
              </w:rPr>
              <w:t>Social Housing Policy</w:t>
            </w:r>
            <w:r>
              <w:rPr>
                <w:rFonts w:asciiTheme="majorHAnsi" w:hAnsiTheme="majorHAnsi" w:cstheme="majorHAnsi"/>
                <w:sz w:val="21"/>
                <w:szCs w:val="21"/>
              </w:rPr>
              <w:t xml:space="preserve">: </w:t>
            </w:r>
            <w:r w:rsidRPr="00BA500D">
              <w:rPr>
                <w:rFonts w:asciiTheme="majorHAnsi" w:eastAsia="Times New Roman" w:hAnsiTheme="majorHAnsi" w:cstheme="majorHAnsi"/>
                <w:sz w:val="21"/>
                <w:szCs w:val="21"/>
                <w:lang w:val="en-GB"/>
              </w:rPr>
              <w:t>Comprises funds and a commitment to build and secure new social housing</w:t>
            </w:r>
            <w:r>
              <w:rPr>
                <w:rFonts w:asciiTheme="majorHAnsi" w:eastAsia="Times New Roman" w:hAnsiTheme="majorHAnsi" w:cstheme="majorHAnsi"/>
                <w:sz w:val="21"/>
                <w:szCs w:val="21"/>
                <w:lang w:val="en-GB"/>
              </w:rPr>
              <w:t>,</w:t>
            </w:r>
            <w:r w:rsidRPr="00BA500D">
              <w:rPr>
                <w:rFonts w:asciiTheme="majorHAnsi" w:eastAsia="Times New Roman" w:hAnsiTheme="majorHAnsi" w:cstheme="majorHAnsi"/>
                <w:sz w:val="21"/>
                <w:szCs w:val="21"/>
                <w:lang w:val="en-GB"/>
              </w:rPr>
              <w:t xml:space="preserve"> and also renovate existing public housing stock, </w:t>
            </w:r>
            <w:r>
              <w:rPr>
                <w:rFonts w:asciiTheme="majorHAnsi" w:eastAsia="Times New Roman" w:hAnsiTheme="majorHAnsi" w:cstheme="majorHAnsi"/>
                <w:sz w:val="21"/>
                <w:szCs w:val="21"/>
                <w:lang w:val="en-GB"/>
              </w:rPr>
              <w:t xml:space="preserve">which is </w:t>
            </w:r>
            <w:r w:rsidRPr="00BA500D">
              <w:rPr>
                <w:rFonts w:asciiTheme="majorHAnsi" w:eastAsia="Times New Roman" w:hAnsiTheme="majorHAnsi" w:cstheme="majorHAnsi"/>
                <w:sz w:val="21"/>
                <w:szCs w:val="21"/>
                <w:lang w:val="en-GB"/>
              </w:rPr>
              <w:t>heavily concentrated in Norlane and Whittington.</w:t>
            </w:r>
          </w:p>
        </w:tc>
        <w:tc>
          <w:tcPr>
            <w:tcW w:w="3538" w:type="dxa"/>
            <w:tcBorders>
              <w:top w:val="single" w:sz="8" w:space="0" w:color="auto"/>
              <w:left w:val="single" w:sz="8" w:space="0" w:color="auto"/>
              <w:bottom w:val="single" w:sz="8" w:space="0" w:color="auto"/>
              <w:right w:val="single" w:sz="8" w:space="0" w:color="auto"/>
            </w:tcBorders>
          </w:tcPr>
          <w:p w14:paraId="1D39E070" w14:textId="77777777" w:rsidR="00203685" w:rsidRPr="00BA500D" w:rsidRDefault="00203685" w:rsidP="0055618E">
            <w:pPr>
              <w:spacing w:after="0"/>
              <w:rPr>
                <w:rFonts w:asciiTheme="majorHAnsi" w:hAnsiTheme="majorHAnsi" w:cstheme="majorHAnsi"/>
                <w:sz w:val="21"/>
                <w:szCs w:val="21"/>
              </w:rPr>
            </w:pPr>
            <w:r w:rsidRPr="00BA500D">
              <w:rPr>
                <w:rFonts w:asciiTheme="majorHAnsi" w:eastAsia="Times New Roman" w:hAnsiTheme="majorHAnsi" w:cstheme="majorHAnsi"/>
                <w:sz w:val="21"/>
                <w:szCs w:val="21"/>
                <w:lang w:val="en-GB"/>
              </w:rPr>
              <w:t xml:space="preserve">Highly relevant to </w:t>
            </w:r>
            <w:r>
              <w:rPr>
                <w:rFonts w:asciiTheme="majorHAnsi" w:eastAsia="Times New Roman" w:hAnsiTheme="majorHAnsi" w:cstheme="majorHAnsi"/>
                <w:sz w:val="21"/>
                <w:szCs w:val="21"/>
                <w:lang w:val="en-GB"/>
              </w:rPr>
              <w:t xml:space="preserve">all </w:t>
            </w:r>
            <w:r w:rsidRPr="00BA500D">
              <w:rPr>
                <w:rFonts w:asciiTheme="majorHAnsi" w:eastAsia="Times New Roman" w:hAnsiTheme="majorHAnsi" w:cstheme="majorHAnsi"/>
                <w:sz w:val="21"/>
                <w:szCs w:val="21"/>
                <w:lang w:val="en-GB"/>
              </w:rPr>
              <w:t>three areas</w:t>
            </w:r>
            <w:r>
              <w:rPr>
                <w:rFonts w:asciiTheme="majorHAnsi" w:eastAsia="Times New Roman" w:hAnsiTheme="majorHAnsi" w:cstheme="majorHAnsi"/>
                <w:sz w:val="21"/>
                <w:szCs w:val="21"/>
                <w:lang w:val="en-GB"/>
              </w:rPr>
              <w:t>,</w:t>
            </w:r>
            <w:r w:rsidRPr="00BA500D">
              <w:rPr>
                <w:rFonts w:asciiTheme="majorHAnsi" w:eastAsia="Times New Roman" w:hAnsiTheme="majorHAnsi" w:cstheme="majorHAnsi"/>
                <w:sz w:val="21"/>
                <w:szCs w:val="21"/>
                <w:lang w:val="en-GB"/>
              </w:rPr>
              <w:t xml:space="preserve"> </w:t>
            </w:r>
            <w:r>
              <w:rPr>
                <w:rFonts w:asciiTheme="majorHAnsi" w:eastAsia="Times New Roman" w:hAnsiTheme="majorHAnsi" w:cstheme="majorHAnsi"/>
                <w:sz w:val="21"/>
                <w:szCs w:val="21"/>
                <w:lang w:val="en-GB"/>
              </w:rPr>
              <w:t>with</w:t>
            </w:r>
            <w:r w:rsidRPr="00BA500D">
              <w:rPr>
                <w:rFonts w:asciiTheme="majorHAnsi" w:eastAsia="Times New Roman" w:hAnsiTheme="majorHAnsi" w:cstheme="majorHAnsi"/>
                <w:sz w:val="21"/>
                <w:szCs w:val="21"/>
                <w:lang w:val="en-GB"/>
              </w:rPr>
              <w:t xml:space="preserve"> concentrat</w:t>
            </w:r>
            <w:r>
              <w:rPr>
                <w:rFonts w:asciiTheme="majorHAnsi" w:eastAsia="Times New Roman" w:hAnsiTheme="majorHAnsi" w:cstheme="majorHAnsi"/>
                <w:sz w:val="21"/>
                <w:szCs w:val="21"/>
                <w:lang w:val="en-GB"/>
              </w:rPr>
              <w:t>ed</w:t>
            </w:r>
            <w:r w:rsidRPr="00BA500D">
              <w:rPr>
                <w:rFonts w:asciiTheme="majorHAnsi" w:eastAsia="Times New Roman" w:hAnsiTheme="majorHAnsi" w:cstheme="majorHAnsi"/>
                <w:sz w:val="21"/>
                <w:szCs w:val="21"/>
                <w:lang w:val="en-GB"/>
              </w:rPr>
              <w:t xml:space="preserve"> public housing needing </w:t>
            </w:r>
            <w:r>
              <w:rPr>
                <w:rFonts w:asciiTheme="majorHAnsi" w:eastAsia="Times New Roman" w:hAnsiTheme="majorHAnsi" w:cstheme="majorHAnsi"/>
                <w:sz w:val="21"/>
                <w:szCs w:val="21"/>
                <w:lang w:val="en-GB"/>
              </w:rPr>
              <w:t>upgrade</w:t>
            </w:r>
            <w:r w:rsidRPr="00BA500D">
              <w:rPr>
                <w:rFonts w:asciiTheme="majorHAnsi" w:eastAsia="Times New Roman" w:hAnsiTheme="majorHAnsi" w:cstheme="majorHAnsi"/>
                <w:sz w:val="21"/>
                <w:szCs w:val="21"/>
                <w:lang w:val="en-GB"/>
              </w:rPr>
              <w:t xml:space="preserve"> and</w:t>
            </w:r>
            <w:r>
              <w:rPr>
                <w:rFonts w:asciiTheme="majorHAnsi" w:eastAsia="Times New Roman" w:hAnsiTheme="majorHAnsi" w:cstheme="majorHAnsi"/>
                <w:sz w:val="21"/>
                <w:szCs w:val="21"/>
                <w:lang w:val="en-GB"/>
              </w:rPr>
              <w:t xml:space="preserve"> </w:t>
            </w:r>
            <w:r w:rsidRPr="00BA500D">
              <w:rPr>
                <w:rFonts w:asciiTheme="majorHAnsi" w:eastAsia="Times New Roman" w:hAnsiTheme="majorHAnsi" w:cstheme="majorHAnsi"/>
                <w:sz w:val="21"/>
                <w:szCs w:val="21"/>
                <w:lang w:val="en-GB"/>
              </w:rPr>
              <w:t>low</w:t>
            </w:r>
            <w:r>
              <w:rPr>
                <w:rFonts w:asciiTheme="majorHAnsi" w:eastAsia="Times New Roman" w:hAnsiTheme="majorHAnsi" w:cstheme="majorHAnsi"/>
                <w:sz w:val="21"/>
                <w:szCs w:val="21"/>
                <w:lang w:val="en-GB"/>
              </w:rPr>
              <w:t>-</w:t>
            </w:r>
            <w:r w:rsidRPr="00BA500D">
              <w:rPr>
                <w:rFonts w:asciiTheme="majorHAnsi" w:eastAsia="Times New Roman" w:hAnsiTheme="majorHAnsi" w:cstheme="majorHAnsi"/>
                <w:sz w:val="21"/>
                <w:szCs w:val="21"/>
                <w:lang w:val="en-GB"/>
              </w:rPr>
              <w:t xml:space="preserve">income </w:t>
            </w:r>
            <w:r>
              <w:rPr>
                <w:rFonts w:asciiTheme="majorHAnsi" w:eastAsia="Times New Roman" w:hAnsiTheme="majorHAnsi" w:cstheme="majorHAnsi"/>
                <w:sz w:val="21"/>
                <w:szCs w:val="21"/>
                <w:lang w:val="en-GB"/>
              </w:rPr>
              <w:t>residents</w:t>
            </w:r>
            <w:r w:rsidRPr="00BA500D">
              <w:rPr>
                <w:rFonts w:asciiTheme="majorHAnsi" w:eastAsia="Times New Roman" w:hAnsiTheme="majorHAnsi" w:cstheme="majorHAnsi"/>
                <w:sz w:val="21"/>
                <w:szCs w:val="21"/>
                <w:lang w:val="en-GB"/>
              </w:rPr>
              <w:t xml:space="preserve"> needing social housing</w:t>
            </w:r>
            <w:r>
              <w:rPr>
                <w:rFonts w:asciiTheme="majorHAnsi" w:eastAsia="Times New Roman" w:hAnsiTheme="majorHAnsi" w:cstheme="majorHAnsi"/>
                <w:sz w:val="21"/>
                <w:szCs w:val="21"/>
                <w:lang w:val="en-GB"/>
              </w:rPr>
              <w:t>.</w:t>
            </w:r>
          </w:p>
        </w:tc>
      </w:tr>
    </w:tbl>
    <w:p w14:paraId="565A4673" w14:textId="77777777" w:rsidR="00A94CB1" w:rsidRDefault="00F00E3D" w:rsidP="00A94CB1">
      <w:pPr>
        <w:spacing w:line="257" w:lineRule="auto"/>
        <w:rPr>
          <w:rFonts w:asciiTheme="majorHAnsi" w:eastAsia="Times New Roman" w:hAnsiTheme="majorHAnsi" w:cstheme="majorHAnsi"/>
          <w:b/>
          <w:bCs/>
          <w:sz w:val="21"/>
          <w:szCs w:val="21"/>
          <w:lang w:val="en-GB"/>
        </w:rPr>
      </w:pPr>
      <w:r w:rsidRPr="00661DE7">
        <w:rPr>
          <w:b/>
          <w:bCs/>
          <w:sz w:val="21"/>
          <w:szCs w:val="21"/>
        </w:rPr>
        <w:t xml:space="preserve">Table </w:t>
      </w:r>
      <w:r w:rsidR="00B952D5" w:rsidRPr="00661DE7">
        <w:rPr>
          <w:b/>
          <w:bCs/>
          <w:sz w:val="21"/>
          <w:szCs w:val="21"/>
        </w:rPr>
        <w:t>2</w:t>
      </w:r>
      <w:r w:rsidR="004D14EC" w:rsidRPr="00661DE7">
        <w:rPr>
          <w:b/>
          <w:bCs/>
          <w:sz w:val="21"/>
          <w:szCs w:val="21"/>
        </w:rPr>
        <w:t>.</w:t>
      </w:r>
      <w:r w:rsidR="00661DE7" w:rsidRPr="00661DE7">
        <w:rPr>
          <w:b/>
          <w:bCs/>
          <w:sz w:val="21"/>
          <w:szCs w:val="21"/>
        </w:rPr>
        <w:t>4</w:t>
      </w:r>
      <w:r w:rsidR="004D14EC" w:rsidRPr="00661DE7">
        <w:rPr>
          <w:b/>
          <w:bCs/>
          <w:sz w:val="21"/>
          <w:szCs w:val="21"/>
        </w:rPr>
        <w:t xml:space="preserve">: </w:t>
      </w:r>
      <w:r w:rsidRPr="00661DE7">
        <w:rPr>
          <w:b/>
          <w:bCs/>
          <w:sz w:val="21"/>
          <w:szCs w:val="21"/>
        </w:rPr>
        <w:t xml:space="preserve">Local </w:t>
      </w:r>
      <w:r w:rsidR="004D14EC" w:rsidRPr="00661DE7">
        <w:rPr>
          <w:b/>
          <w:bCs/>
          <w:sz w:val="21"/>
          <w:szCs w:val="21"/>
        </w:rPr>
        <w:t>Policy Context</w:t>
      </w:r>
      <w:bookmarkEnd w:id="26"/>
    </w:p>
    <w:p w14:paraId="1C512CF2" w14:textId="77777777" w:rsidR="00A94CB1" w:rsidRDefault="00A94CB1" w:rsidP="00A94CB1">
      <w:pPr>
        <w:spacing w:line="257" w:lineRule="auto"/>
        <w:rPr>
          <w:rFonts w:asciiTheme="majorHAnsi" w:eastAsia="Times New Roman" w:hAnsiTheme="majorHAnsi" w:cstheme="majorHAnsi"/>
          <w:b/>
          <w:bCs/>
          <w:sz w:val="21"/>
          <w:szCs w:val="21"/>
          <w:lang w:val="en-GB"/>
        </w:rPr>
      </w:pPr>
    </w:p>
    <w:p w14:paraId="12729312" w14:textId="604D9B71" w:rsidR="00144314" w:rsidRPr="00A94CB1" w:rsidRDefault="00F00E3D" w:rsidP="00A94CB1">
      <w:pPr>
        <w:spacing w:line="257" w:lineRule="auto"/>
        <w:rPr>
          <w:rFonts w:asciiTheme="majorHAnsi" w:hAnsiTheme="majorHAnsi" w:cstheme="majorHAnsi"/>
          <w:sz w:val="21"/>
          <w:szCs w:val="21"/>
        </w:rPr>
      </w:pPr>
      <w:r w:rsidRPr="008F4BF3">
        <w:rPr>
          <w:rFonts w:eastAsia="Times New Roman" w:cstheme="minorHAnsi"/>
          <w:b/>
          <w:bCs/>
          <w:color w:val="2E74B5" w:themeColor="accent5" w:themeShade="BF"/>
          <w:sz w:val="28"/>
          <w:szCs w:val="28"/>
          <w:lang w:val="en-GB"/>
        </w:rPr>
        <w:t>2.</w:t>
      </w:r>
      <w:r w:rsidR="00B952D5" w:rsidRPr="008F4BF3">
        <w:rPr>
          <w:rFonts w:eastAsia="Times New Roman" w:cstheme="minorHAnsi"/>
          <w:b/>
          <w:bCs/>
          <w:color w:val="2E74B5" w:themeColor="accent5" w:themeShade="BF"/>
          <w:sz w:val="28"/>
          <w:szCs w:val="28"/>
          <w:lang w:val="en-GB"/>
        </w:rPr>
        <w:t>6</w:t>
      </w:r>
      <w:r w:rsidRPr="008F4BF3">
        <w:rPr>
          <w:rFonts w:eastAsia="Times New Roman" w:cstheme="minorHAnsi"/>
          <w:b/>
          <w:bCs/>
          <w:color w:val="2E74B5" w:themeColor="accent5" w:themeShade="BF"/>
          <w:sz w:val="28"/>
          <w:szCs w:val="28"/>
          <w:lang w:val="en-GB"/>
        </w:rPr>
        <w:t xml:space="preserve"> Policy Context: </w:t>
      </w:r>
      <w:r w:rsidR="00940D80" w:rsidRPr="008F4BF3">
        <w:rPr>
          <w:rFonts w:eastAsia="Times New Roman" w:cstheme="minorHAnsi"/>
          <w:b/>
          <w:bCs/>
          <w:color w:val="2E74B5" w:themeColor="accent5" w:themeShade="BF"/>
          <w:sz w:val="28"/>
          <w:szCs w:val="28"/>
          <w:lang w:val="en-GB"/>
        </w:rPr>
        <w:t>COVID</w:t>
      </w:r>
      <w:r w:rsidRPr="008F4BF3">
        <w:rPr>
          <w:rFonts w:eastAsia="Times New Roman" w:cstheme="minorHAnsi"/>
          <w:b/>
          <w:bCs/>
          <w:color w:val="2E74B5" w:themeColor="accent5" w:themeShade="BF"/>
          <w:sz w:val="28"/>
          <w:szCs w:val="28"/>
          <w:lang w:val="en-GB"/>
        </w:rPr>
        <w:t>-19</w:t>
      </w:r>
    </w:p>
    <w:tbl>
      <w:tblPr>
        <w:tblStyle w:val="TableGrid"/>
        <w:tblW w:w="14717" w:type="dxa"/>
        <w:tblLayout w:type="fixed"/>
        <w:tblLook w:val="04A0" w:firstRow="1" w:lastRow="0" w:firstColumn="1" w:lastColumn="0" w:noHBand="0" w:noVBand="1"/>
      </w:tblPr>
      <w:tblGrid>
        <w:gridCol w:w="1080"/>
        <w:gridCol w:w="10074"/>
        <w:gridCol w:w="3563"/>
      </w:tblGrid>
      <w:tr w:rsidR="00257EEF" w:rsidRPr="00661DE7" w14:paraId="64B50557" w14:textId="77777777" w:rsidTr="0055618E">
        <w:trPr>
          <w:trHeight w:val="853"/>
        </w:trPr>
        <w:tc>
          <w:tcPr>
            <w:tcW w:w="108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493F10EA" w14:textId="77777777" w:rsidR="00257EEF" w:rsidRPr="00661DE7" w:rsidRDefault="00257EEF" w:rsidP="0055618E">
            <w:pPr>
              <w:spacing w:after="0"/>
              <w:rPr>
                <w:rFonts w:eastAsia="Times New Roman" w:cstheme="minorHAnsi"/>
                <w:b/>
                <w:bCs/>
                <w:sz w:val="21"/>
                <w:szCs w:val="21"/>
                <w:lang w:val="en-GB"/>
              </w:rPr>
            </w:pPr>
            <w:r w:rsidRPr="00661DE7">
              <w:rPr>
                <w:rFonts w:eastAsia="Times New Roman" w:cstheme="minorHAnsi"/>
                <w:b/>
                <w:bCs/>
                <w:sz w:val="21"/>
                <w:szCs w:val="21"/>
                <w:lang w:val="en-GB"/>
              </w:rPr>
              <w:t>Practice</w:t>
            </w:r>
          </w:p>
          <w:p w14:paraId="1378AD5D" w14:textId="77777777" w:rsidR="00257EEF" w:rsidRPr="00661DE7" w:rsidRDefault="00257EEF" w:rsidP="0055618E">
            <w:pPr>
              <w:spacing w:after="0"/>
              <w:rPr>
                <w:rFonts w:cstheme="minorHAnsi"/>
                <w:sz w:val="21"/>
                <w:szCs w:val="21"/>
              </w:rPr>
            </w:pPr>
            <w:r w:rsidRPr="00661DE7">
              <w:rPr>
                <w:rFonts w:eastAsia="Times New Roman" w:cstheme="minorHAnsi"/>
                <w:b/>
                <w:bCs/>
                <w:sz w:val="21"/>
                <w:szCs w:val="21"/>
                <w:lang w:val="en-GB"/>
              </w:rPr>
              <w:t>Domain</w:t>
            </w:r>
          </w:p>
        </w:tc>
        <w:tc>
          <w:tcPr>
            <w:tcW w:w="10074"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179F7FC9" w14:textId="77777777" w:rsidR="00257EEF" w:rsidRPr="00661DE7" w:rsidRDefault="00257EEF" w:rsidP="0055618E">
            <w:pPr>
              <w:spacing w:after="0" w:line="240" w:lineRule="auto"/>
              <w:rPr>
                <w:rFonts w:cstheme="minorHAnsi"/>
                <w:sz w:val="21"/>
                <w:szCs w:val="21"/>
              </w:rPr>
            </w:pPr>
            <w:r w:rsidRPr="00661DE7">
              <w:rPr>
                <w:rFonts w:eastAsia="Times New Roman" w:cstheme="minorHAnsi"/>
                <w:b/>
                <w:bCs/>
                <w:sz w:val="21"/>
                <w:szCs w:val="21"/>
                <w:lang w:val="en-GB"/>
              </w:rPr>
              <w:t>Policy Name and Purpose</w:t>
            </w:r>
          </w:p>
        </w:tc>
        <w:tc>
          <w:tcPr>
            <w:tcW w:w="3563"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5CF601EF" w14:textId="77777777" w:rsidR="00257EEF" w:rsidRPr="00661DE7" w:rsidRDefault="00257EEF" w:rsidP="0055618E">
            <w:pPr>
              <w:spacing w:after="0" w:line="240" w:lineRule="auto"/>
              <w:rPr>
                <w:rFonts w:cstheme="minorHAnsi"/>
                <w:sz w:val="21"/>
                <w:szCs w:val="21"/>
              </w:rPr>
            </w:pPr>
            <w:r w:rsidRPr="00661DE7">
              <w:rPr>
                <w:rFonts w:eastAsia="Times New Roman" w:cstheme="minorHAnsi"/>
                <w:b/>
                <w:bCs/>
                <w:sz w:val="21"/>
                <w:szCs w:val="21"/>
                <w:lang w:val="en-GB"/>
              </w:rPr>
              <w:t xml:space="preserve">Relevance to Geelong, Corio, Norlane, Whittington </w:t>
            </w:r>
          </w:p>
        </w:tc>
      </w:tr>
      <w:tr w:rsidR="00257EEF" w:rsidRPr="00386CF2" w14:paraId="25BECB4A" w14:textId="77777777" w:rsidTr="0055618E">
        <w:trPr>
          <w:trHeight w:val="1665"/>
        </w:trPr>
        <w:tc>
          <w:tcPr>
            <w:tcW w:w="1080" w:type="dxa"/>
            <w:tcBorders>
              <w:top w:val="single" w:sz="8" w:space="0" w:color="auto"/>
              <w:left w:val="single" w:sz="8" w:space="0" w:color="auto"/>
              <w:bottom w:val="single" w:sz="8" w:space="0" w:color="auto"/>
              <w:right w:val="single" w:sz="8" w:space="0" w:color="auto"/>
            </w:tcBorders>
          </w:tcPr>
          <w:p w14:paraId="0F9ABA71" w14:textId="77777777" w:rsidR="00257EEF" w:rsidRPr="00E4140A" w:rsidRDefault="00257EEF" w:rsidP="0055618E">
            <w:pPr>
              <w:spacing w:line="240" w:lineRule="auto"/>
              <w:rPr>
                <w:rFonts w:asciiTheme="majorHAnsi" w:hAnsiTheme="majorHAnsi" w:cstheme="majorHAnsi"/>
                <w:sz w:val="6"/>
                <w:szCs w:val="6"/>
              </w:rPr>
            </w:pPr>
            <w:r w:rsidRPr="00E4140A">
              <w:rPr>
                <w:rFonts w:asciiTheme="majorHAnsi" w:hAnsiTheme="majorHAnsi" w:cstheme="majorHAnsi"/>
                <w:noProof/>
                <w:color w:val="2B579A"/>
                <w:sz w:val="6"/>
                <w:szCs w:val="6"/>
                <w:shd w:val="clear" w:color="auto" w:fill="E6E6E6"/>
                <w:lang w:eastAsia="zh-CN"/>
              </w:rPr>
              <mc:AlternateContent>
                <mc:Choice Requires="wps">
                  <w:drawing>
                    <wp:anchor distT="45720" distB="45720" distL="114300" distR="114300" simplePos="0" relativeHeight="251658276" behindDoc="0" locked="0" layoutInCell="1" allowOverlap="1" wp14:anchorId="596CCB99" wp14:editId="3DCBA119">
                      <wp:simplePos x="0" y="0"/>
                      <wp:positionH relativeFrom="page">
                        <wp:posOffset>-43180</wp:posOffset>
                      </wp:positionH>
                      <wp:positionV relativeFrom="page">
                        <wp:posOffset>285115</wp:posOffset>
                      </wp:positionV>
                      <wp:extent cx="824230" cy="34163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4230" cy="341630"/>
                              </a:xfrm>
                              <a:prstGeom prst="rect">
                                <a:avLst/>
                              </a:prstGeom>
                              <a:noFill/>
                              <a:ln w="9525">
                                <a:noFill/>
                                <a:miter lim="800000"/>
                                <a:headEnd/>
                                <a:tailEnd/>
                              </a:ln>
                            </wps:spPr>
                            <wps:txbx>
                              <w:txbxContent>
                                <w:p w14:paraId="704F9814" w14:textId="77777777" w:rsidR="00257EEF" w:rsidRPr="004200CF" w:rsidRDefault="00257EEF" w:rsidP="00257EEF">
                                  <w:pPr>
                                    <w:spacing w:after="0"/>
                                    <w:jc w:val="right"/>
                                    <w:rPr>
                                      <w:b/>
                                      <w:bCs/>
                                      <w:color w:val="595959" w:themeColor="text1" w:themeTint="A6"/>
                                    </w:rPr>
                                  </w:pPr>
                                  <w:r>
                                    <w:rPr>
                                      <w:b/>
                                      <w:bCs/>
                                      <w:color w:val="595959" w:themeColor="text1" w:themeTint="A6"/>
                                    </w:rPr>
                                    <w:t>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CCB99" id="_x0000_s1047" type="#_x0000_t202" style="position:absolute;margin-left:-3.4pt;margin-top:22.45pt;width:64.9pt;height:26.9pt;rotation:-90;z-index:2516582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" filled="f" stroked="f">
                      <v:textbox>
                        <w:txbxContent>
                          <w:p w14:paraId="704F9814" w14:textId="77777777" w:rsidR="00257EEF" w:rsidRPr="004200CF" w:rsidRDefault="00257EEF" w:rsidP="00257EEF">
                            <w:pPr>
                              <w:spacing w:after="0"/>
                              <w:jc w:val="right"/>
                              <w:rPr>
                                <w:b/>
                                <w:bCs/>
                                <w:color w:val="595959" w:themeColor="text1" w:themeTint="A6"/>
                              </w:rPr>
                            </w:pPr>
                            <w:r>
                              <w:rPr>
                                <w:b/>
                                <w:bCs/>
                                <w:color w:val="595959" w:themeColor="text1" w:themeTint="A6"/>
                              </w:rPr>
                              <w:t>HOUSING</w:t>
                            </w:r>
                          </w:p>
                        </w:txbxContent>
                      </v:textbox>
                      <w10:wrap type="square" anchorx="page" anchory="page"/>
                    </v:shape>
                  </w:pict>
                </mc:Fallback>
              </mc:AlternateContent>
            </w:r>
          </w:p>
        </w:tc>
        <w:tc>
          <w:tcPr>
            <w:tcW w:w="10074" w:type="dxa"/>
            <w:tcBorders>
              <w:top w:val="single" w:sz="8" w:space="0" w:color="auto"/>
              <w:left w:val="single" w:sz="8" w:space="0" w:color="auto"/>
              <w:bottom w:val="single" w:sz="8" w:space="0" w:color="auto"/>
              <w:right w:val="single" w:sz="8" w:space="0" w:color="auto"/>
            </w:tcBorders>
          </w:tcPr>
          <w:p w14:paraId="3DEF40BE" w14:textId="77777777" w:rsidR="00257EEF" w:rsidRPr="00FD4C62" w:rsidRDefault="00257EEF" w:rsidP="0055618E">
            <w:pPr>
              <w:spacing w:line="240" w:lineRule="auto"/>
              <w:rPr>
                <w:rFonts w:asciiTheme="majorHAnsi" w:eastAsia="Times New Roman" w:hAnsiTheme="majorHAnsi" w:cstheme="majorHAnsi"/>
                <w:lang w:val="en-GB"/>
              </w:rPr>
            </w:pPr>
            <w:r w:rsidRPr="009B41BE">
              <w:rPr>
                <w:rFonts w:asciiTheme="majorHAnsi" w:eastAsia="Times New Roman" w:hAnsiTheme="majorHAnsi" w:cstheme="majorHAnsi"/>
                <w:b/>
                <w:bCs/>
                <w:lang w:val="en-GB"/>
              </w:rPr>
              <w:t>Federal:</w:t>
            </w:r>
            <w:r w:rsidRPr="009B41BE">
              <w:rPr>
                <w:rFonts w:asciiTheme="majorHAnsi" w:eastAsia="Times New Roman" w:hAnsiTheme="majorHAnsi" w:cstheme="majorHAnsi"/>
                <w:lang w:val="en-GB"/>
              </w:rPr>
              <w:t xml:space="preserve"> Encouragement for renters and landlords</w:t>
            </w:r>
            <w:r>
              <w:rPr>
                <w:rFonts w:asciiTheme="majorHAnsi" w:eastAsia="Times New Roman" w:hAnsiTheme="majorHAnsi" w:cstheme="majorHAnsi"/>
                <w:lang w:val="en-GB"/>
              </w:rPr>
              <w:t xml:space="preserve"> </w:t>
            </w:r>
            <w:r w:rsidRPr="009B41BE">
              <w:rPr>
                <w:rFonts w:asciiTheme="majorHAnsi" w:eastAsia="Times New Roman" w:hAnsiTheme="majorHAnsi" w:cstheme="majorHAnsi"/>
                <w:lang w:val="en-GB"/>
              </w:rPr>
              <w:t>to directly negotiate rental discounts or rent holidays.</w:t>
            </w:r>
            <w:r w:rsidRPr="009B41BE">
              <w:rPr>
                <w:rFonts w:asciiTheme="majorHAnsi" w:hAnsiTheme="majorHAnsi" w:cstheme="majorHAnsi"/>
              </w:rPr>
              <w:t xml:space="preserve"> </w:t>
            </w:r>
            <w:r w:rsidRPr="009B41BE">
              <w:rPr>
                <w:rFonts w:asciiTheme="majorHAnsi" w:eastAsia="Times New Roman" w:hAnsiTheme="majorHAnsi" w:cstheme="majorHAnsi"/>
                <w:lang w:val="en-GB"/>
              </w:rPr>
              <w:t>Bans on evicting renters for non-payment of rent.</w:t>
            </w:r>
          </w:p>
          <w:p w14:paraId="1E937BA3" w14:textId="77777777" w:rsidR="00257EEF" w:rsidRPr="009B41BE" w:rsidRDefault="00257EEF" w:rsidP="0055618E">
            <w:pPr>
              <w:spacing w:line="240" w:lineRule="auto"/>
              <w:rPr>
                <w:rFonts w:asciiTheme="majorHAnsi" w:hAnsiTheme="majorHAnsi" w:cstheme="majorHAnsi"/>
              </w:rPr>
            </w:pPr>
            <w:r w:rsidRPr="009B41BE">
              <w:rPr>
                <w:rFonts w:asciiTheme="majorHAnsi" w:eastAsia="Times New Roman" w:hAnsiTheme="majorHAnsi" w:cstheme="majorHAnsi"/>
                <w:b/>
                <w:bCs/>
                <w:color w:val="000000" w:themeColor="text1"/>
              </w:rPr>
              <w:t>State:</w:t>
            </w:r>
            <w:r w:rsidRPr="009B41BE">
              <w:rPr>
                <w:rFonts w:asciiTheme="majorHAnsi" w:eastAsia="Times New Roman" w:hAnsiTheme="majorHAnsi" w:cstheme="majorHAnsi"/>
                <w:color w:val="000000" w:themeColor="text1"/>
              </w:rPr>
              <w:t xml:space="preserve"> Victorian Government allocated $420 million in land tax relief to landlords who give discounts to tenants and $80 million for residential renters facing hardship.</w:t>
            </w:r>
          </w:p>
        </w:tc>
        <w:tc>
          <w:tcPr>
            <w:tcW w:w="3563" w:type="dxa"/>
            <w:tcBorders>
              <w:top w:val="single" w:sz="8" w:space="0" w:color="auto"/>
              <w:left w:val="single" w:sz="8" w:space="0" w:color="auto"/>
              <w:bottom w:val="single" w:sz="8" w:space="0" w:color="auto"/>
              <w:right w:val="single" w:sz="8" w:space="0" w:color="auto"/>
            </w:tcBorders>
          </w:tcPr>
          <w:p w14:paraId="1AFAE20D" w14:textId="77777777" w:rsidR="00257EEF" w:rsidRPr="00386CF2" w:rsidRDefault="00257EEF" w:rsidP="0055618E">
            <w:pPr>
              <w:spacing w:line="240" w:lineRule="auto"/>
              <w:rPr>
                <w:rFonts w:asciiTheme="majorHAnsi" w:hAnsiTheme="majorHAnsi" w:cstheme="majorHAnsi"/>
              </w:rPr>
            </w:pPr>
            <w:r>
              <w:rPr>
                <w:rFonts w:asciiTheme="majorHAnsi" w:eastAsia="Times New Roman" w:hAnsiTheme="majorHAnsi" w:cstheme="majorHAnsi"/>
                <w:lang w:val="en-GB"/>
              </w:rPr>
              <w:t>E</w:t>
            </w:r>
            <w:r w:rsidRPr="00386CF2">
              <w:rPr>
                <w:rFonts w:asciiTheme="majorHAnsi" w:eastAsia="Times New Roman" w:hAnsiTheme="majorHAnsi" w:cstheme="majorHAnsi"/>
                <w:lang w:val="en-GB"/>
              </w:rPr>
              <w:t>viction</w:t>
            </w:r>
            <w:r>
              <w:rPr>
                <w:rFonts w:asciiTheme="majorHAnsi" w:eastAsia="Times New Roman" w:hAnsiTheme="majorHAnsi" w:cstheme="majorHAnsi"/>
                <w:lang w:val="en-GB"/>
              </w:rPr>
              <w:t xml:space="preserve"> bans</w:t>
            </w:r>
            <w:r w:rsidRPr="00386CF2">
              <w:rPr>
                <w:rFonts w:asciiTheme="majorHAnsi" w:eastAsia="Times New Roman" w:hAnsiTheme="majorHAnsi" w:cstheme="majorHAnsi"/>
                <w:lang w:val="en-GB"/>
              </w:rPr>
              <w:t xml:space="preserve"> </w:t>
            </w:r>
            <w:r>
              <w:rPr>
                <w:rFonts w:asciiTheme="majorHAnsi" w:eastAsia="Times New Roman" w:hAnsiTheme="majorHAnsi" w:cstheme="majorHAnsi"/>
                <w:lang w:val="en-GB"/>
              </w:rPr>
              <w:t>and rent variations may have assisted some residents (although nationally the percentage of tenants granted a rent variation was reportedly low).</w:t>
            </w:r>
          </w:p>
        </w:tc>
      </w:tr>
      <w:tr w:rsidR="00257EEF" w:rsidRPr="00386CF2" w14:paraId="797B66F2" w14:textId="77777777" w:rsidTr="0055618E">
        <w:trPr>
          <w:trHeight w:val="2717"/>
        </w:trPr>
        <w:tc>
          <w:tcPr>
            <w:tcW w:w="1080" w:type="dxa"/>
            <w:tcBorders>
              <w:top w:val="single" w:sz="8" w:space="0" w:color="auto"/>
              <w:left w:val="single" w:sz="8" w:space="0" w:color="auto"/>
              <w:bottom w:val="single" w:sz="8" w:space="0" w:color="auto"/>
              <w:right w:val="single" w:sz="8" w:space="0" w:color="auto"/>
            </w:tcBorders>
          </w:tcPr>
          <w:p w14:paraId="2389A310" w14:textId="77777777" w:rsidR="00257EEF" w:rsidRPr="00386CF2" w:rsidRDefault="00257EEF" w:rsidP="0055618E">
            <w:pPr>
              <w:rPr>
                <w:rFonts w:asciiTheme="majorHAnsi" w:hAnsiTheme="majorHAnsi" w:cstheme="majorHAnsi"/>
              </w:rPr>
            </w:pPr>
            <w:r w:rsidRPr="00C711E4">
              <w:rPr>
                <w:rFonts w:asciiTheme="majorHAnsi" w:hAnsiTheme="majorHAnsi" w:cstheme="majorHAnsi"/>
                <w:noProof/>
                <w:color w:val="2B579A"/>
                <w:sz w:val="21"/>
                <w:szCs w:val="21"/>
                <w:shd w:val="clear" w:color="auto" w:fill="E6E6E6"/>
                <w:lang w:eastAsia="zh-CN"/>
              </w:rPr>
              <mc:AlternateContent>
                <mc:Choice Requires="wps">
                  <w:drawing>
                    <wp:anchor distT="45720" distB="45720" distL="114300" distR="114300" simplePos="0" relativeHeight="251658277" behindDoc="0" locked="0" layoutInCell="1" allowOverlap="1" wp14:anchorId="47F000DE" wp14:editId="5D5E14BF">
                      <wp:simplePos x="0" y="0"/>
                      <wp:positionH relativeFrom="page">
                        <wp:posOffset>-427990</wp:posOffset>
                      </wp:positionH>
                      <wp:positionV relativeFrom="page">
                        <wp:posOffset>757555</wp:posOffset>
                      </wp:positionV>
                      <wp:extent cx="1654810" cy="54038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54810" cy="540385"/>
                              </a:xfrm>
                              <a:prstGeom prst="rect">
                                <a:avLst/>
                              </a:prstGeom>
                              <a:noFill/>
                              <a:ln w="9525">
                                <a:noFill/>
                                <a:miter lim="800000"/>
                                <a:headEnd/>
                                <a:tailEnd/>
                              </a:ln>
                            </wps:spPr>
                            <wps:txbx>
                              <w:txbxContent>
                                <w:p w14:paraId="388A1BD2" w14:textId="77777777" w:rsidR="00257EEF" w:rsidRPr="004200CF" w:rsidRDefault="00257EEF" w:rsidP="00257EEF">
                                  <w:pPr>
                                    <w:spacing w:after="0" w:line="240" w:lineRule="auto"/>
                                    <w:jc w:val="center"/>
                                    <w:rPr>
                                      <w:b/>
                                      <w:bCs/>
                                      <w:color w:val="595959" w:themeColor="text1" w:themeTint="A6"/>
                                    </w:rPr>
                                  </w:pPr>
                                  <w:r>
                                    <w:rPr>
                                      <w:b/>
                                      <w:bCs/>
                                      <w:color w:val="595959" w:themeColor="text1" w:themeTint="A6"/>
                                    </w:rPr>
                                    <w:t>EMPLOYMENT &amp; INCOME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000DE" id="_x0000_s1048" type="#_x0000_t202" style="position:absolute;margin-left:-33.7pt;margin-top:59.65pt;width:130.3pt;height:42.55pt;rotation:-90;z-index:251658277;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" filled="f" stroked="f">
                      <v:textbox>
                        <w:txbxContent>
                          <w:p w14:paraId="388A1BD2" w14:textId="77777777" w:rsidR="00257EEF" w:rsidRPr="004200CF" w:rsidRDefault="00257EEF" w:rsidP="00257EEF">
                            <w:pPr>
                              <w:spacing w:after="0" w:line="240" w:lineRule="auto"/>
                              <w:jc w:val="center"/>
                              <w:rPr>
                                <w:b/>
                                <w:bCs/>
                                <w:color w:val="595959" w:themeColor="text1" w:themeTint="A6"/>
                              </w:rPr>
                            </w:pPr>
                            <w:r>
                              <w:rPr>
                                <w:b/>
                                <w:bCs/>
                                <w:color w:val="595959" w:themeColor="text1" w:themeTint="A6"/>
                              </w:rPr>
                              <w:t>EMPLOYMENT &amp; INCOME SUPPORT</w:t>
                            </w:r>
                          </w:p>
                        </w:txbxContent>
                      </v:textbox>
                      <w10:wrap type="square" anchorx="page" anchory="page"/>
                    </v:shape>
                  </w:pict>
                </mc:Fallback>
              </mc:AlternateContent>
            </w:r>
          </w:p>
        </w:tc>
        <w:tc>
          <w:tcPr>
            <w:tcW w:w="10074" w:type="dxa"/>
            <w:tcBorders>
              <w:top w:val="single" w:sz="8" w:space="0" w:color="auto"/>
              <w:left w:val="single" w:sz="8" w:space="0" w:color="auto"/>
              <w:bottom w:val="single" w:sz="8" w:space="0" w:color="auto"/>
              <w:right w:val="single" w:sz="8" w:space="0" w:color="auto"/>
            </w:tcBorders>
          </w:tcPr>
          <w:p w14:paraId="724153BB" w14:textId="77777777" w:rsidR="00257EEF" w:rsidRDefault="00257EEF" w:rsidP="0055618E">
            <w:pPr>
              <w:spacing w:line="240" w:lineRule="auto"/>
              <w:rPr>
                <w:rFonts w:asciiTheme="majorHAnsi" w:eastAsia="Times New Roman" w:hAnsiTheme="majorHAnsi" w:cstheme="majorHAnsi"/>
                <w:lang w:val="en-GB"/>
              </w:rPr>
            </w:pPr>
            <w:r w:rsidRPr="009B41BE">
              <w:rPr>
                <w:rFonts w:asciiTheme="majorHAnsi" w:eastAsia="Times New Roman" w:hAnsiTheme="majorHAnsi" w:cstheme="majorHAnsi"/>
                <w:b/>
                <w:bCs/>
                <w:lang w:val="en-GB"/>
              </w:rPr>
              <w:t>Federal</w:t>
            </w:r>
            <w:r w:rsidRPr="009B41BE">
              <w:rPr>
                <w:rFonts w:asciiTheme="majorHAnsi" w:hAnsiTheme="majorHAnsi" w:cstheme="majorHAnsi"/>
              </w:rPr>
              <w:t xml:space="preserve">: </w:t>
            </w:r>
            <w:r w:rsidRPr="009B41BE">
              <w:rPr>
                <w:rFonts w:asciiTheme="majorHAnsi" w:eastAsia="Times New Roman" w:hAnsiTheme="majorHAnsi" w:cstheme="majorHAnsi"/>
                <w:lang w:val="en-GB"/>
              </w:rPr>
              <w:t>JobSeeker</w:t>
            </w:r>
            <w:r>
              <w:rPr>
                <w:rFonts w:asciiTheme="majorHAnsi" w:eastAsia="Times New Roman" w:hAnsiTheme="majorHAnsi" w:cstheme="majorHAnsi"/>
                <w:lang w:val="en-GB"/>
              </w:rPr>
              <w:t xml:space="preserve"> Coronavirus Supplement</w:t>
            </w:r>
            <w:r w:rsidRPr="009B41BE">
              <w:rPr>
                <w:rFonts w:asciiTheme="majorHAnsi" w:eastAsia="Times New Roman" w:hAnsiTheme="majorHAnsi" w:cstheme="majorHAnsi"/>
                <w:lang w:val="en-GB"/>
              </w:rPr>
              <w:t xml:space="preserve">: </w:t>
            </w:r>
            <w:r>
              <w:rPr>
                <w:rFonts w:asciiTheme="majorHAnsi" w:eastAsia="Times New Roman" w:hAnsiTheme="majorHAnsi" w:cstheme="majorHAnsi"/>
                <w:lang w:val="en-GB"/>
              </w:rPr>
              <w:t xml:space="preserve">short-term </w:t>
            </w:r>
            <w:r w:rsidRPr="009B41BE">
              <w:rPr>
                <w:rFonts w:asciiTheme="majorHAnsi" w:eastAsia="Times New Roman" w:hAnsiTheme="majorHAnsi" w:cstheme="majorHAnsi"/>
                <w:lang w:val="en-GB"/>
              </w:rPr>
              <w:t>increase in</w:t>
            </w:r>
            <w:r>
              <w:rPr>
                <w:rFonts w:asciiTheme="majorHAnsi" w:eastAsia="Times New Roman" w:hAnsiTheme="majorHAnsi" w:cstheme="majorHAnsi"/>
                <w:lang w:val="en-GB"/>
              </w:rPr>
              <w:t xml:space="preserve"> income support payments (</w:t>
            </w:r>
            <w:r w:rsidRPr="009B41BE">
              <w:rPr>
                <w:rFonts w:asciiTheme="majorHAnsi" w:eastAsia="Times New Roman" w:hAnsiTheme="majorHAnsi" w:cstheme="majorHAnsi"/>
                <w:lang w:val="en-GB"/>
              </w:rPr>
              <w:t>unemployment benefit</w:t>
            </w:r>
            <w:r>
              <w:rPr>
                <w:rFonts w:asciiTheme="majorHAnsi" w:eastAsia="Times New Roman" w:hAnsiTheme="majorHAnsi" w:cstheme="majorHAnsi"/>
                <w:lang w:val="en-GB"/>
              </w:rPr>
              <w:t>)</w:t>
            </w:r>
            <w:r w:rsidRPr="009B41BE">
              <w:rPr>
                <w:rFonts w:asciiTheme="majorHAnsi" w:eastAsia="Times New Roman" w:hAnsiTheme="majorHAnsi" w:cstheme="majorHAnsi"/>
                <w:lang w:val="en-GB"/>
              </w:rPr>
              <w:t xml:space="preserve">; JobKeeper: </w:t>
            </w:r>
            <w:r>
              <w:rPr>
                <w:rFonts w:asciiTheme="majorHAnsi" w:hAnsiTheme="majorHAnsi" w:cstheme="majorHAnsi"/>
              </w:rPr>
              <w:t>short-term</w:t>
            </w:r>
            <w:r w:rsidRPr="008F22F5">
              <w:rPr>
                <w:rFonts w:asciiTheme="majorHAnsi" w:hAnsiTheme="majorHAnsi" w:cstheme="majorHAnsi"/>
              </w:rPr>
              <w:t xml:space="preserve"> wage subsidy enabling employers (and some self-employed people) to retain and pay staff</w:t>
            </w:r>
            <w:r w:rsidRPr="009B41BE">
              <w:rPr>
                <w:rFonts w:asciiTheme="majorHAnsi" w:eastAsia="Times New Roman" w:hAnsiTheme="majorHAnsi" w:cstheme="majorHAnsi"/>
                <w:lang w:val="en-GB"/>
              </w:rPr>
              <w:t>.</w:t>
            </w:r>
            <w:r>
              <w:rPr>
                <w:rFonts w:asciiTheme="majorHAnsi" w:eastAsia="Times New Roman" w:hAnsiTheme="majorHAnsi" w:cstheme="majorHAnsi"/>
                <w:lang w:val="en-GB"/>
              </w:rPr>
              <w:t xml:space="preserve"> Both payments began in March 2020, reduced over time, and ceased in late March 2021.</w:t>
            </w:r>
          </w:p>
          <w:p w14:paraId="4F36329B" w14:textId="77777777" w:rsidR="00257EEF" w:rsidRDefault="00257EEF" w:rsidP="0055618E">
            <w:pPr>
              <w:spacing w:line="240" w:lineRule="auto"/>
              <w:rPr>
                <w:rFonts w:asciiTheme="majorHAnsi" w:hAnsiTheme="majorHAnsi" w:cstheme="majorHAnsi"/>
              </w:rPr>
            </w:pPr>
            <w:r w:rsidRPr="008F22F5">
              <w:rPr>
                <w:rFonts w:asciiTheme="majorHAnsi" w:hAnsiTheme="majorHAnsi" w:cstheme="majorHAnsi"/>
              </w:rPr>
              <w:t>JobSeeker</w:t>
            </w:r>
            <w:r w:rsidRPr="008F22F5">
              <w:rPr>
                <w:rFonts w:asciiTheme="majorHAnsi" w:hAnsiTheme="majorHAnsi" w:cstheme="majorHAnsi"/>
                <w:b/>
                <w:bCs/>
              </w:rPr>
              <w:t xml:space="preserve"> </w:t>
            </w:r>
            <w:r w:rsidRPr="001C4821">
              <w:rPr>
                <w:rFonts w:asciiTheme="majorHAnsi" w:hAnsiTheme="majorHAnsi" w:cstheme="majorHAnsi"/>
              </w:rPr>
              <w:t>(</w:t>
            </w:r>
            <w:r>
              <w:rPr>
                <w:rFonts w:asciiTheme="majorHAnsi" w:hAnsiTheme="majorHAnsi" w:cstheme="majorHAnsi"/>
              </w:rPr>
              <w:t xml:space="preserve">formerly </w:t>
            </w:r>
            <w:r w:rsidRPr="008F22F5">
              <w:rPr>
                <w:rFonts w:asciiTheme="majorHAnsi" w:hAnsiTheme="majorHAnsi" w:cstheme="majorHAnsi"/>
              </w:rPr>
              <w:t>Newstart Allowance</w:t>
            </w:r>
            <w:r>
              <w:rPr>
                <w:rFonts w:asciiTheme="majorHAnsi" w:hAnsiTheme="majorHAnsi" w:cstheme="majorHAnsi"/>
              </w:rPr>
              <w:t>):</w:t>
            </w:r>
            <w:r w:rsidRPr="008F22F5">
              <w:rPr>
                <w:rFonts w:asciiTheme="majorHAnsi" w:hAnsiTheme="majorHAnsi" w:cstheme="majorHAnsi"/>
              </w:rPr>
              <w:t xml:space="preserve"> </w:t>
            </w:r>
            <w:r>
              <w:rPr>
                <w:rFonts w:asciiTheme="majorHAnsi" w:hAnsiTheme="majorHAnsi" w:cstheme="majorHAnsi"/>
              </w:rPr>
              <w:t>the</w:t>
            </w:r>
            <w:r w:rsidRPr="008F22F5">
              <w:rPr>
                <w:rFonts w:asciiTheme="majorHAnsi" w:hAnsiTheme="majorHAnsi" w:cstheme="majorHAnsi"/>
              </w:rPr>
              <w:t xml:space="preserve"> JobSeeker Coronavirus Supplement</w:t>
            </w:r>
            <w:r>
              <w:rPr>
                <w:rFonts w:asciiTheme="majorHAnsi" w:hAnsiTheme="majorHAnsi" w:cstheme="majorHAnsi"/>
              </w:rPr>
              <w:t xml:space="preserve"> was</w:t>
            </w:r>
            <w:r w:rsidRPr="008F22F5">
              <w:rPr>
                <w:rFonts w:asciiTheme="majorHAnsi" w:hAnsiTheme="majorHAnsi" w:cstheme="majorHAnsi"/>
              </w:rPr>
              <w:t xml:space="preserve"> initially $550/fortnight</w:t>
            </w:r>
            <w:r>
              <w:rPr>
                <w:rFonts w:asciiTheme="majorHAnsi" w:hAnsiTheme="majorHAnsi" w:cstheme="majorHAnsi"/>
              </w:rPr>
              <w:t xml:space="preserve">, bringing the </w:t>
            </w:r>
            <w:r w:rsidRPr="008F22F5">
              <w:rPr>
                <w:rFonts w:asciiTheme="majorHAnsi" w:hAnsiTheme="majorHAnsi" w:cstheme="majorHAnsi"/>
              </w:rPr>
              <w:t>maximum</w:t>
            </w:r>
            <w:r>
              <w:rPr>
                <w:rFonts w:asciiTheme="majorHAnsi" w:hAnsiTheme="majorHAnsi" w:cstheme="majorHAnsi"/>
              </w:rPr>
              <w:t xml:space="preserve"> </w:t>
            </w:r>
            <w:r w:rsidRPr="008F22F5">
              <w:rPr>
                <w:rFonts w:asciiTheme="majorHAnsi" w:hAnsiTheme="majorHAnsi" w:cstheme="majorHAnsi"/>
              </w:rPr>
              <w:t xml:space="preserve">payment to $1100/fortnight. </w:t>
            </w:r>
            <w:r>
              <w:rPr>
                <w:rFonts w:asciiTheme="majorHAnsi" w:hAnsiTheme="majorHAnsi" w:cstheme="majorHAnsi"/>
              </w:rPr>
              <w:t>The Coronavirus Supplement</w:t>
            </w:r>
            <w:r w:rsidRPr="008F22F5">
              <w:rPr>
                <w:rFonts w:asciiTheme="majorHAnsi" w:hAnsiTheme="majorHAnsi" w:cstheme="majorHAnsi"/>
              </w:rPr>
              <w:t xml:space="preserve"> was reduced to $250/fortnight </w:t>
            </w:r>
            <w:r>
              <w:rPr>
                <w:rFonts w:asciiTheme="majorHAnsi" w:hAnsiTheme="majorHAnsi" w:cstheme="majorHAnsi"/>
              </w:rPr>
              <w:t>from</w:t>
            </w:r>
            <w:r w:rsidRPr="008F22F5">
              <w:rPr>
                <w:rFonts w:asciiTheme="majorHAnsi" w:hAnsiTheme="majorHAnsi" w:cstheme="majorHAnsi"/>
              </w:rPr>
              <w:t xml:space="preserve"> September 2020 (</w:t>
            </w:r>
            <w:r>
              <w:rPr>
                <w:rFonts w:asciiTheme="majorHAnsi" w:hAnsiTheme="majorHAnsi" w:cstheme="majorHAnsi"/>
              </w:rPr>
              <w:t>making the</w:t>
            </w:r>
            <w:r w:rsidRPr="008F22F5">
              <w:rPr>
                <w:rFonts w:asciiTheme="majorHAnsi" w:hAnsiTheme="majorHAnsi" w:cstheme="majorHAnsi"/>
              </w:rPr>
              <w:t xml:space="preserve"> maximum payment $800/fortnight), then $150/fortnight (from January 2021). From 1 April 2021, the maximum JobSeeker payment is $620.80 (single person, no dependent children) or</w:t>
            </w:r>
            <w:r>
              <w:rPr>
                <w:rFonts w:asciiTheme="majorHAnsi" w:hAnsiTheme="majorHAnsi" w:cstheme="majorHAnsi"/>
              </w:rPr>
              <w:t xml:space="preserve"> </w:t>
            </w:r>
            <w:r w:rsidRPr="008F22F5">
              <w:rPr>
                <w:rFonts w:asciiTheme="majorHAnsi" w:hAnsiTheme="majorHAnsi" w:cstheme="majorHAnsi"/>
              </w:rPr>
              <w:t>$667.50 (single</w:t>
            </w:r>
            <w:r>
              <w:rPr>
                <w:rFonts w:asciiTheme="majorHAnsi" w:hAnsiTheme="majorHAnsi" w:cstheme="majorHAnsi"/>
              </w:rPr>
              <w:t>,</w:t>
            </w:r>
            <w:r w:rsidRPr="008F22F5">
              <w:rPr>
                <w:rFonts w:asciiTheme="majorHAnsi" w:hAnsiTheme="majorHAnsi" w:cstheme="majorHAnsi"/>
              </w:rPr>
              <w:t xml:space="preserve"> with dependent child or children). </w:t>
            </w:r>
            <w:r>
              <w:rPr>
                <w:rFonts w:asciiTheme="majorHAnsi" w:hAnsiTheme="majorHAnsi" w:cstheme="majorHAnsi"/>
              </w:rPr>
              <w:t>This includes a</w:t>
            </w:r>
            <w:r w:rsidRPr="008F22F5">
              <w:rPr>
                <w:rFonts w:asciiTheme="majorHAnsi" w:hAnsiTheme="majorHAnsi" w:cstheme="majorHAnsi"/>
              </w:rPr>
              <w:t xml:space="preserve"> $25/fortnight increase to the </w:t>
            </w:r>
            <w:r>
              <w:rPr>
                <w:rFonts w:asciiTheme="majorHAnsi" w:hAnsiTheme="majorHAnsi" w:cstheme="majorHAnsi"/>
              </w:rPr>
              <w:t xml:space="preserve">original </w:t>
            </w:r>
            <w:r w:rsidRPr="008F22F5">
              <w:rPr>
                <w:rFonts w:asciiTheme="majorHAnsi" w:hAnsiTheme="majorHAnsi" w:cstheme="majorHAnsi"/>
              </w:rPr>
              <w:t>baseline rate</w:t>
            </w:r>
            <w:r>
              <w:rPr>
                <w:rFonts w:asciiTheme="majorHAnsi" w:hAnsiTheme="majorHAnsi" w:cstheme="majorHAnsi"/>
              </w:rPr>
              <w:t xml:space="preserve">, which is accompanied by </w:t>
            </w:r>
            <w:r w:rsidRPr="008F22F5">
              <w:rPr>
                <w:rFonts w:asciiTheme="majorHAnsi" w:hAnsiTheme="majorHAnsi" w:cstheme="majorHAnsi"/>
              </w:rPr>
              <w:t>increased mutual obligation requirements.</w:t>
            </w:r>
          </w:p>
          <w:p w14:paraId="6D403FF2" w14:textId="77777777" w:rsidR="00257EEF" w:rsidRPr="009B41BE" w:rsidRDefault="00257EEF" w:rsidP="0055618E">
            <w:pPr>
              <w:spacing w:line="240" w:lineRule="auto"/>
              <w:rPr>
                <w:rFonts w:asciiTheme="majorHAnsi" w:hAnsiTheme="majorHAnsi" w:cstheme="majorHAnsi"/>
              </w:rPr>
            </w:pPr>
            <w:r w:rsidRPr="008F22F5">
              <w:rPr>
                <w:rFonts w:asciiTheme="majorHAnsi" w:hAnsiTheme="majorHAnsi" w:cstheme="majorHAnsi"/>
              </w:rPr>
              <w:t>JobKeeper</w:t>
            </w:r>
            <w:r w:rsidRPr="00A734AD">
              <w:rPr>
                <w:rFonts w:asciiTheme="majorHAnsi" w:hAnsiTheme="majorHAnsi" w:cstheme="majorHAnsi"/>
              </w:rPr>
              <w:t>:</w:t>
            </w:r>
            <w:r>
              <w:rPr>
                <w:rFonts w:asciiTheme="majorHAnsi" w:hAnsiTheme="majorHAnsi" w:cstheme="majorHAnsi"/>
              </w:rPr>
              <w:t xml:space="preserve"> the full</w:t>
            </w:r>
            <w:r w:rsidRPr="008F22F5">
              <w:rPr>
                <w:rFonts w:asciiTheme="majorHAnsi" w:hAnsiTheme="majorHAnsi" w:cstheme="majorHAnsi"/>
              </w:rPr>
              <w:t xml:space="preserve"> payment was initially $1500/fortnight, reduced to $1200 (from September 2020), then $1000 (from January 2021)</w:t>
            </w:r>
            <w:r>
              <w:rPr>
                <w:rFonts w:asciiTheme="majorHAnsi" w:hAnsiTheme="majorHAnsi" w:cstheme="majorHAnsi"/>
              </w:rPr>
              <w:t xml:space="preserve">. JobSeeker ended late March 2021 </w:t>
            </w:r>
            <w:r w:rsidRPr="008F22F5">
              <w:rPr>
                <w:rFonts w:asciiTheme="majorHAnsi" w:hAnsiTheme="majorHAnsi" w:cstheme="majorHAnsi"/>
              </w:rPr>
              <w:t>(BDO Australia, 2020; Services Australia, 2021).</w:t>
            </w:r>
          </w:p>
        </w:tc>
        <w:tc>
          <w:tcPr>
            <w:tcW w:w="3563" w:type="dxa"/>
            <w:tcBorders>
              <w:top w:val="single" w:sz="8" w:space="0" w:color="auto"/>
              <w:left w:val="single" w:sz="8" w:space="0" w:color="auto"/>
              <w:bottom w:val="single" w:sz="8" w:space="0" w:color="auto"/>
              <w:right w:val="single" w:sz="8" w:space="0" w:color="auto"/>
            </w:tcBorders>
          </w:tcPr>
          <w:p w14:paraId="54E2065F" w14:textId="77777777" w:rsidR="00257EEF" w:rsidRDefault="00257EEF" w:rsidP="0055618E">
            <w:pPr>
              <w:spacing w:line="240" w:lineRule="auto"/>
              <w:rPr>
                <w:rFonts w:asciiTheme="majorHAnsi" w:eastAsia="Times New Roman" w:hAnsiTheme="majorHAnsi" w:cstheme="majorHAnsi"/>
                <w:lang w:val="en-GB"/>
              </w:rPr>
            </w:pPr>
            <w:r w:rsidRPr="00386CF2">
              <w:rPr>
                <w:rFonts w:asciiTheme="majorHAnsi" w:eastAsia="Times New Roman" w:hAnsiTheme="majorHAnsi" w:cstheme="majorHAnsi"/>
                <w:lang w:val="en-GB"/>
              </w:rPr>
              <w:t xml:space="preserve">Unemployed </w:t>
            </w:r>
            <w:r>
              <w:rPr>
                <w:rFonts w:asciiTheme="majorHAnsi" w:eastAsia="Times New Roman" w:hAnsiTheme="majorHAnsi" w:cstheme="majorHAnsi"/>
                <w:lang w:val="en-GB"/>
              </w:rPr>
              <w:t>residents</w:t>
            </w:r>
            <w:r w:rsidRPr="00386CF2">
              <w:rPr>
                <w:rFonts w:asciiTheme="majorHAnsi" w:eastAsia="Times New Roman" w:hAnsiTheme="majorHAnsi" w:cstheme="majorHAnsi"/>
                <w:lang w:val="en-GB"/>
              </w:rPr>
              <w:t xml:space="preserve"> received larger payments </w:t>
            </w:r>
            <w:r>
              <w:rPr>
                <w:rFonts w:asciiTheme="majorHAnsi" w:eastAsia="Times New Roman" w:hAnsiTheme="majorHAnsi" w:cstheme="majorHAnsi"/>
                <w:lang w:val="en-GB"/>
              </w:rPr>
              <w:t>via the</w:t>
            </w:r>
            <w:r w:rsidRPr="00386CF2">
              <w:rPr>
                <w:rFonts w:asciiTheme="majorHAnsi" w:eastAsia="Times New Roman" w:hAnsiTheme="majorHAnsi" w:cstheme="majorHAnsi"/>
                <w:lang w:val="en-GB"/>
              </w:rPr>
              <w:t xml:space="preserve"> JobSeeker</w:t>
            </w:r>
            <w:r>
              <w:rPr>
                <w:rFonts w:asciiTheme="majorHAnsi" w:eastAsia="Times New Roman" w:hAnsiTheme="majorHAnsi" w:cstheme="majorHAnsi"/>
                <w:lang w:val="en-GB"/>
              </w:rPr>
              <w:t xml:space="preserve"> Coronavirus Supplement</w:t>
            </w:r>
            <w:r w:rsidRPr="00386CF2">
              <w:rPr>
                <w:rFonts w:asciiTheme="majorHAnsi" w:eastAsia="Times New Roman" w:hAnsiTheme="majorHAnsi" w:cstheme="majorHAnsi"/>
                <w:lang w:val="en-GB"/>
              </w:rPr>
              <w:t>.</w:t>
            </w:r>
            <w:r>
              <w:rPr>
                <w:rFonts w:asciiTheme="majorHAnsi" w:hAnsiTheme="majorHAnsi" w:cstheme="majorHAnsi"/>
              </w:rPr>
              <w:t xml:space="preserve"> </w:t>
            </w:r>
            <w:r w:rsidRPr="00386CF2">
              <w:rPr>
                <w:rFonts w:asciiTheme="majorHAnsi" w:eastAsia="Times New Roman" w:hAnsiTheme="majorHAnsi" w:cstheme="majorHAnsi"/>
                <w:lang w:val="en-GB"/>
              </w:rPr>
              <w:t>Local businesses</w:t>
            </w:r>
            <w:r>
              <w:rPr>
                <w:rFonts w:asciiTheme="majorHAnsi" w:eastAsia="Times New Roman" w:hAnsiTheme="majorHAnsi" w:cstheme="majorHAnsi"/>
                <w:lang w:val="en-GB"/>
              </w:rPr>
              <w:t xml:space="preserve"> received</w:t>
            </w:r>
            <w:r w:rsidRPr="00386CF2">
              <w:rPr>
                <w:rFonts w:asciiTheme="majorHAnsi" w:eastAsia="Times New Roman" w:hAnsiTheme="majorHAnsi" w:cstheme="majorHAnsi"/>
                <w:lang w:val="en-GB"/>
              </w:rPr>
              <w:t xml:space="preserve"> JobKeeper</w:t>
            </w:r>
            <w:r>
              <w:rPr>
                <w:rFonts w:asciiTheme="majorHAnsi" w:eastAsia="Times New Roman" w:hAnsiTheme="majorHAnsi" w:cstheme="majorHAnsi"/>
                <w:lang w:val="en-GB"/>
              </w:rPr>
              <w:t>, which was paid on to employees</w:t>
            </w:r>
            <w:r w:rsidRPr="00386CF2">
              <w:rPr>
                <w:rFonts w:asciiTheme="majorHAnsi" w:eastAsia="Times New Roman" w:hAnsiTheme="majorHAnsi" w:cstheme="majorHAnsi"/>
                <w:lang w:val="en-GB"/>
              </w:rPr>
              <w:t>.</w:t>
            </w:r>
          </w:p>
          <w:p w14:paraId="7E1B543B" w14:textId="77777777" w:rsidR="00257EEF" w:rsidRPr="00386CF2" w:rsidRDefault="00257EEF" w:rsidP="0055618E">
            <w:pPr>
              <w:spacing w:line="240" w:lineRule="auto"/>
              <w:rPr>
                <w:rFonts w:asciiTheme="majorHAnsi" w:hAnsiTheme="majorHAnsi" w:cstheme="majorHAnsi"/>
              </w:rPr>
            </w:pPr>
            <w:r>
              <w:rPr>
                <w:rFonts w:asciiTheme="majorHAnsi" w:eastAsia="Times New Roman" w:hAnsiTheme="majorHAnsi" w:cstheme="majorHAnsi"/>
                <w:lang w:val="en-GB"/>
              </w:rPr>
              <w:t xml:space="preserve">Cessation of both payments from March 2021 will put </w:t>
            </w:r>
            <w:r w:rsidRPr="00386CF2">
              <w:rPr>
                <w:rFonts w:asciiTheme="majorHAnsi" w:eastAsia="Times New Roman" w:hAnsiTheme="majorHAnsi" w:cstheme="majorHAnsi"/>
                <w:lang w:val="en-GB"/>
              </w:rPr>
              <w:t xml:space="preserve">added financial pressure on </w:t>
            </w:r>
            <w:r>
              <w:rPr>
                <w:rFonts w:asciiTheme="majorHAnsi" w:eastAsia="Times New Roman" w:hAnsiTheme="majorHAnsi" w:cstheme="majorHAnsi"/>
                <w:lang w:val="en-GB"/>
              </w:rPr>
              <w:t xml:space="preserve">local </w:t>
            </w:r>
            <w:r w:rsidRPr="00386CF2">
              <w:rPr>
                <w:rFonts w:asciiTheme="majorHAnsi" w:eastAsia="Times New Roman" w:hAnsiTheme="majorHAnsi" w:cstheme="majorHAnsi"/>
                <w:lang w:val="en-GB"/>
              </w:rPr>
              <w:t>households</w:t>
            </w:r>
          </w:p>
        </w:tc>
      </w:tr>
      <w:tr w:rsidR="00257EEF" w:rsidRPr="00386CF2" w14:paraId="5B86C6C9" w14:textId="77777777" w:rsidTr="0055618E">
        <w:trPr>
          <w:trHeight w:val="1657"/>
        </w:trPr>
        <w:tc>
          <w:tcPr>
            <w:tcW w:w="1080" w:type="dxa"/>
            <w:tcBorders>
              <w:top w:val="single" w:sz="8" w:space="0" w:color="auto"/>
              <w:left w:val="single" w:sz="8" w:space="0" w:color="auto"/>
              <w:bottom w:val="single" w:sz="8" w:space="0" w:color="auto"/>
              <w:right w:val="single" w:sz="8" w:space="0" w:color="auto"/>
            </w:tcBorders>
          </w:tcPr>
          <w:p w14:paraId="0E295A83" w14:textId="77777777" w:rsidR="00257EEF" w:rsidRPr="00E4140A" w:rsidRDefault="00257EEF" w:rsidP="0055618E">
            <w:pPr>
              <w:rPr>
                <w:rFonts w:asciiTheme="majorHAnsi" w:hAnsiTheme="majorHAnsi" w:cstheme="majorHAnsi"/>
                <w:sz w:val="6"/>
                <w:szCs w:val="6"/>
              </w:rPr>
            </w:pPr>
            <w:r w:rsidRPr="00E4140A">
              <w:rPr>
                <w:rFonts w:asciiTheme="majorHAnsi" w:hAnsiTheme="majorHAnsi" w:cstheme="majorHAnsi"/>
                <w:noProof/>
                <w:color w:val="2B579A"/>
                <w:sz w:val="6"/>
                <w:szCs w:val="6"/>
                <w:shd w:val="clear" w:color="auto" w:fill="E6E6E6"/>
                <w:lang w:eastAsia="zh-CN"/>
              </w:rPr>
              <mc:AlternateContent>
                <mc:Choice Requires="wps">
                  <w:drawing>
                    <wp:anchor distT="45720" distB="45720" distL="114300" distR="114300" simplePos="0" relativeHeight="251658278" behindDoc="0" locked="0" layoutInCell="1" allowOverlap="1" wp14:anchorId="7D4EC3E4" wp14:editId="51BE003B">
                      <wp:simplePos x="0" y="0"/>
                      <wp:positionH relativeFrom="page">
                        <wp:posOffset>-84455</wp:posOffset>
                      </wp:positionH>
                      <wp:positionV relativeFrom="paragraph">
                        <wp:posOffset>334010</wp:posOffset>
                      </wp:positionV>
                      <wp:extent cx="904240" cy="34163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4240" cy="341630"/>
                              </a:xfrm>
                              <a:prstGeom prst="rect">
                                <a:avLst/>
                              </a:prstGeom>
                              <a:noFill/>
                              <a:ln w="9525">
                                <a:noFill/>
                                <a:miter lim="800000"/>
                                <a:headEnd/>
                                <a:tailEnd/>
                              </a:ln>
                            </wps:spPr>
                            <wps:txbx>
                              <w:txbxContent>
                                <w:p w14:paraId="255A1823" w14:textId="77777777" w:rsidR="00257EEF" w:rsidRPr="004200CF" w:rsidRDefault="00257EEF" w:rsidP="00257EEF">
                                  <w:pPr>
                                    <w:rPr>
                                      <w:b/>
                                      <w:bCs/>
                                      <w:color w:val="595959" w:themeColor="text1" w:themeTint="A6"/>
                                    </w:rPr>
                                  </w:pPr>
                                  <w:r>
                                    <w:rPr>
                                      <w:b/>
                                      <w:bCs/>
                                      <w:color w:val="595959" w:themeColor="text1" w:themeTint="A6"/>
                                    </w:rPr>
                                    <w:t>LIVEABILITY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EC3E4" id="_x0000_s1049" type="#_x0000_t202" style="position:absolute;margin-left:-6.65pt;margin-top:26.3pt;width:71.2pt;height:26.9pt;rotation:-90;z-index:25165827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" filled="f" stroked="f">
                      <v:textbox>
                        <w:txbxContent>
                          <w:p w14:paraId="255A1823" w14:textId="77777777" w:rsidR="00257EEF" w:rsidRPr="004200CF" w:rsidRDefault="00257EEF" w:rsidP="00257EEF">
                            <w:pPr>
                              <w:rPr>
                                <w:b/>
                                <w:bCs/>
                                <w:color w:val="595959" w:themeColor="text1" w:themeTint="A6"/>
                              </w:rPr>
                            </w:pPr>
                            <w:r>
                              <w:rPr>
                                <w:b/>
                                <w:bCs/>
                                <w:color w:val="595959" w:themeColor="text1" w:themeTint="A6"/>
                              </w:rPr>
                              <w:t>LIVEABILITY</w:t>
                            </w:r>
                          </w:p>
                        </w:txbxContent>
                      </v:textbox>
                      <w10:wrap type="square" anchorx="page"/>
                    </v:shape>
                  </w:pict>
                </mc:Fallback>
              </mc:AlternateContent>
            </w:r>
          </w:p>
        </w:tc>
        <w:tc>
          <w:tcPr>
            <w:tcW w:w="10074" w:type="dxa"/>
            <w:tcBorders>
              <w:top w:val="single" w:sz="8" w:space="0" w:color="auto"/>
              <w:left w:val="single" w:sz="8" w:space="0" w:color="auto"/>
              <w:bottom w:val="single" w:sz="8" w:space="0" w:color="auto"/>
              <w:right w:val="single" w:sz="8" w:space="0" w:color="auto"/>
            </w:tcBorders>
          </w:tcPr>
          <w:p w14:paraId="63820C29" w14:textId="77777777" w:rsidR="00257EEF" w:rsidRPr="009B41BE" w:rsidRDefault="007320D6" w:rsidP="0055618E">
            <w:pPr>
              <w:spacing w:line="240" w:lineRule="auto"/>
              <w:rPr>
                <w:rFonts w:asciiTheme="majorHAnsi" w:hAnsiTheme="majorHAnsi" w:cstheme="majorHAnsi"/>
              </w:rPr>
            </w:pPr>
            <w:hyperlink r:id="rId74">
              <w:r w:rsidR="00257EEF" w:rsidRPr="009B41BE">
                <w:rPr>
                  <w:rStyle w:val="Hyperlink"/>
                  <w:rFonts w:asciiTheme="majorHAnsi" w:eastAsia="Times New Roman" w:hAnsiTheme="majorHAnsi" w:cstheme="majorHAnsi"/>
                  <w:b/>
                  <w:bCs/>
                </w:rPr>
                <w:t>2020/2021 Victoria</w:t>
              </w:r>
              <w:r w:rsidR="00257EEF">
                <w:rPr>
                  <w:rStyle w:val="Hyperlink"/>
                  <w:rFonts w:asciiTheme="majorHAnsi" w:eastAsia="Times New Roman" w:hAnsiTheme="majorHAnsi" w:cstheme="majorHAnsi"/>
                  <w:b/>
                  <w:bCs/>
                </w:rPr>
                <w:t>n</w:t>
              </w:r>
              <w:r w:rsidR="00257EEF" w:rsidRPr="009B41BE">
                <w:rPr>
                  <w:rStyle w:val="Hyperlink"/>
                  <w:rFonts w:asciiTheme="majorHAnsi" w:eastAsia="Times New Roman" w:hAnsiTheme="majorHAnsi" w:cstheme="majorHAnsi"/>
                  <w:b/>
                  <w:bCs/>
                </w:rPr>
                <w:t xml:space="preserve"> State Budget</w:t>
              </w:r>
            </w:hyperlink>
            <w:r w:rsidR="00257EEF" w:rsidRPr="009B41BE">
              <w:rPr>
                <w:rFonts w:asciiTheme="majorHAnsi" w:hAnsiTheme="majorHAnsi" w:cstheme="majorHAnsi"/>
              </w:rPr>
              <w:t xml:space="preserve">: </w:t>
            </w:r>
            <w:r w:rsidR="00257EEF" w:rsidRPr="009B41BE">
              <w:rPr>
                <w:rFonts w:asciiTheme="majorHAnsi" w:eastAsia="Times New Roman" w:hAnsiTheme="majorHAnsi" w:cstheme="majorHAnsi"/>
                <w:lang w:val="en-GB"/>
              </w:rPr>
              <w:t>A range of funding for Geelong, including building works, tourism support, Great Ocean Road revitalisation, subsidies and incentives under the Jobs for Victoria initiative, transition to clean energy, digital futures, agricultural development, building skills, and business recovery post pandemic.</w:t>
            </w:r>
          </w:p>
        </w:tc>
        <w:tc>
          <w:tcPr>
            <w:tcW w:w="3563" w:type="dxa"/>
            <w:tcBorders>
              <w:top w:val="single" w:sz="8" w:space="0" w:color="auto"/>
              <w:left w:val="single" w:sz="8" w:space="0" w:color="auto"/>
              <w:bottom w:val="single" w:sz="8" w:space="0" w:color="auto"/>
              <w:right w:val="single" w:sz="8" w:space="0" w:color="auto"/>
            </w:tcBorders>
          </w:tcPr>
          <w:p w14:paraId="0F19600F" w14:textId="77777777" w:rsidR="00257EEF" w:rsidRPr="00386CF2" w:rsidRDefault="00257EEF" w:rsidP="0055618E">
            <w:pPr>
              <w:spacing w:line="240" w:lineRule="auto"/>
              <w:rPr>
                <w:rFonts w:asciiTheme="majorHAnsi" w:hAnsiTheme="majorHAnsi" w:cstheme="majorHAnsi"/>
              </w:rPr>
            </w:pPr>
            <w:r w:rsidRPr="00386CF2">
              <w:rPr>
                <w:rFonts w:asciiTheme="majorHAnsi" w:eastAsia="Times New Roman" w:hAnsiTheme="majorHAnsi" w:cstheme="majorHAnsi"/>
                <w:b/>
                <w:bCs/>
                <w:lang w:val="en-GB"/>
              </w:rPr>
              <w:t xml:space="preserve"> </w:t>
            </w:r>
          </w:p>
        </w:tc>
      </w:tr>
      <w:tr w:rsidR="00257EEF" w:rsidRPr="00386CF2" w14:paraId="729B938E" w14:textId="77777777" w:rsidTr="0055618E">
        <w:trPr>
          <w:trHeight w:val="2674"/>
        </w:trPr>
        <w:tc>
          <w:tcPr>
            <w:tcW w:w="1080" w:type="dxa"/>
            <w:tcBorders>
              <w:top w:val="single" w:sz="8" w:space="0" w:color="auto"/>
              <w:left w:val="single" w:sz="8" w:space="0" w:color="auto"/>
              <w:bottom w:val="single" w:sz="8" w:space="0" w:color="auto"/>
              <w:right w:val="single" w:sz="8" w:space="0" w:color="auto"/>
            </w:tcBorders>
          </w:tcPr>
          <w:p w14:paraId="5C84F4B8" w14:textId="77777777" w:rsidR="00257EEF" w:rsidRPr="00E4140A" w:rsidRDefault="00257EEF" w:rsidP="0055618E">
            <w:pPr>
              <w:rPr>
                <w:rFonts w:asciiTheme="majorHAnsi" w:hAnsiTheme="majorHAnsi" w:cstheme="majorHAnsi"/>
                <w:noProof/>
                <w:color w:val="2B579A"/>
                <w:sz w:val="10"/>
                <w:szCs w:val="10"/>
                <w:shd w:val="clear" w:color="auto" w:fill="E6E6E6"/>
                <w:lang w:eastAsia="zh-CN"/>
              </w:rPr>
            </w:pPr>
            <w:r w:rsidRPr="00E4140A">
              <w:rPr>
                <w:rFonts w:asciiTheme="majorHAnsi" w:hAnsiTheme="majorHAnsi" w:cstheme="majorHAnsi"/>
                <w:noProof/>
                <w:color w:val="2B579A"/>
                <w:sz w:val="10"/>
                <w:szCs w:val="10"/>
                <w:shd w:val="clear" w:color="auto" w:fill="E6E6E6"/>
                <w:lang w:eastAsia="zh-CN"/>
              </w:rPr>
              <w:lastRenderedPageBreak/>
              <mc:AlternateContent>
                <mc:Choice Requires="wps">
                  <w:drawing>
                    <wp:anchor distT="45720" distB="45720" distL="114300" distR="114300" simplePos="0" relativeHeight="251658279" behindDoc="0" locked="0" layoutInCell="1" allowOverlap="1" wp14:anchorId="011BC1C3" wp14:editId="20E4FFA7">
                      <wp:simplePos x="0" y="0"/>
                      <wp:positionH relativeFrom="page">
                        <wp:posOffset>-502285</wp:posOffset>
                      </wp:positionH>
                      <wp:positionV relativeFrom="paragraph">
                        <wp:posOffset>853440</wp:posOffset>
                      </wp:positionV>
                      <wp:extent cx="1744345" cy="341630"/>
                      <wp:effectExtent l="0" t="0" r="4762"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44345" cy="341630"/>
                              </a:xfrm>
                              <a:prstGeom prst="rect">
                                <a:avLst/>
                              </a:prstGeom>
                              <a:noFill/>
                              <a:ln w="9525">
                                <a:noFill/>
                                <a:miter lim="800000"/>
                                <a:headEnd/>
                                <a:tailEnd/>
                              </a:ln>
                            </wps:spPr>
                            <wps:txbx>
                              <w:txbxContent>
                                <w:p w14:paraId="0C5CD02F" w14:textId="77777777" w:rsidR="00257EEF" w:rsidRPr="004200CF" w:rsidRDefault="00257EEF" w:rsidP="00257EEF">
                                  <w:pPr>
                                    <w:jc w:val="right"/>
                                    <w:rPr>
                                      <w:b/>
                                      <w:bCs/>
                                      <w:color w:val="595959" w:themeColor="text1" w:themeTint="A6"/>
                                    </w:rPr>
                                  </w:pPr>
                                  <w:r>
                                    <w:rPr>
                                      <w:b/>
                                      <w:bCs/>
                                      <w:color w:val="595959" w:themeColor="text1" w:themeTint="A6"/>
                                    </w:rPr>
                                    <w:t>HEALTH AND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BC1C3" id="_x0000_s1050" type="#_x0000_t202" style="position:absolute;margin-left:-39.55pt;margin-top:67.2pt;width:137.35pt;height:26.9pt;rotation:-90;z-index:25165827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" filled="f" stroked="f">
                      <v:textbox>
                        <w:txbxContent>
                          <w:p w14:paraId="0C5CD02F" w14:textId="77777777" w:rsidR="00257EEF" w:rsidRPr="004200CF" w:rsidRDefault="00257EEF" w:rsidP="00257EEF">
                            <w:pPr>
                              <w:jc w:val="right"/>
                              <w:rPr>
                                <w:b/>
                                <w:bCs/>
                                <w:color w:val="595959" w:themeColor="text1" w:themeTint="A6"/>
                              </w:rPr>
                            </w:pPr>
                            <w:r>
                              <w:rPr>
                                <w:b/>
                                <w:bCs/>
                                <w:color w:val="595959" w:themeColor="text1" w:themeTint="A6"/>
                              </w:rPr>
                              <w:t>HEALTH AND WELLBEING</w:t>
                            </w:r>
                          </w:p>
                        </w:txbxContent>
                      </v:textbox>
                      <w10:wrap type="square" anchorx="page"/>
                    </v:shape>
                  </w:pict>
                </mc:Fallback>
              </mc:AlternateContent>
            </w:r>
          </w:p>
        </w:tc>
        <w:tc>
          <w:tcPr>
            <w:tcW w:w="10074" w:type="dxa"/>
            <w:tcBorders>
              <w:top w:val="single" w:sz="8" w:space="0" w:color="auto"/>
              <w:left w:val="single" w:sz="8" w:space="0" w:color="auto"/>
              <w:bottom w:val="single" w:sz="8" w:space="0" w:color="auto"/>
              <w:right w:val="single" w:sz="8" w:space="0" w:color="auto"/>
            </w:tcBorders>
          </w:tcPr>
          <w:p w14:paraId="73AD1FAA" w14:textId="77777777" w:rsidR="00257EEF" w:rsidRPr="00A734AD" w:rsidRDefault="00257EEF" w:rsidP="0055618E">
            <w:pPr>
              <w:spacing w:line="240" w:lineRule="auto"/>
              <w:rPr>
                <w:rFonts w:asciiTheme="majorHAnsi" w:hAnsiTheme="majorHAnsi" w:cstheme="majorHAnsi"/>
              </w:rPr>
            </w:pPr>
            <w:r w:rsidRPr="00A734AD">
              <w:rPr>
                <w:rFonts w:asciiTheme="majorHAnsi" w:hAnsiTheme="majorHAnsi" w:cstheme="majorHAnsi"/>
              </w:rPr>
              <w:t>Additional funding for mental health and telehealth services</w:t>
            </w:r>
            <w:r>
              <w:rPr>
                <w:rFonts w:asciiTheme="majorHAnsi" w:hAnsiTheme="majorHAnsi" w:cstheme="majorHAnsi"/>
              </w:rPr>
              <w:t xml:space="preserve"> (various jurisdictions and levels of government)</w:t>
            </w:r>
            <w:r w:rsidRPr="00A734AD">
              <w:rPr>
                <w:rFonts w:asciiTheme="majorHAnsi" w:hAnsiTheme="majorHAnsi" w:cstheme="majorHAnsi"/>
              </w:rPr>
              <w:t>.</w:t>
            </w:r>
          </w:p>
        </w:tc>
        <w:tc>
          <w:tcPr>
            <w:tcW w:w="3563" w:type="dxa"/>
            <w:tcBorders>
              <w:top w:val="single" w:sz="8" w:space="0" w:color="auto"/>
              <w:left w:val="single" w:sz="8" w:space="0" w:color="auto"/>
              <w:bottom w:val="single" w:sz="8" w:space="0" w:color="auto"/>
              <w:right w:val="single" w:sz="8" w:space="0" w:color="auto"/>
            </w:tcBorders>
          </w:tcPr>
          <w:p w14:paraId="53A4C161" w14:textId="77777777" w:rsidR="00257EEF" w:rsidRPr="00386CF2" w:rsidRDefault="00257EEF" w:rsidP="0055618E">
            <w:pPr>
              <w:spacing w:line="240" w:lineRule="auto"/>
              <w:rPr>
                <w:rFonts w:asciiTheme="majorHAnsi" w:eastAsia="Times New Roman" w:hAnsiTheme="majorHAnsi" w:cstheme="majorHAnsi"/>
                <w:b/>
                <w:bCs/>
                <w:lang w:val="en-GB"/>
              </w:rPr>
            </w:pPr>
          </w:p>
        </w:tc>
      </w:tr>
      <w:tr w:rsidR="00257EEF" w:rsidRPr="00386CF2" w14:paraId="46377ABF" w14:textId="77777777" w:rsidTr="0055618E">
        <w:trPr>
          <w:trHeight w:val="1582"/>
        </w:trPr>
        <w:tc>
          <w:tcPr>
            <w:tcW w:w="1080" w:type="dxa"/>
            <w:tcBorders>
              <w:top w:val="single" w:sz="8" w:space="0" w:color="auto"/>
              <w:left w:val="single" w:sz="8" w:space="0" w:color="auto"/>
              <w:bottom w:val="single" w:sz="8" w:space="0" w:color="auto"/>
              <w:right w:val="single" w:sz="8" w:space="0" w:color="auto"/>
            </w:tcBorders>
          </w:tcPr>
          <w:p w14:paraId="5578AF50" w14:textId="77777777" w:rsidR="00257EEF" w:rsidRPr="00E4140A" w:rsidRDefault="00257EEF" w:rsidP="0055618E">
            <w:pPr>
              <w:rPr>
                <w:rFonts w:asciiTheme="majorHAnsi" w:hAnsiTheme="majorHAnsi" w:cstheme="majorHAnsi"/>
                <w:noProof/>
                <w:color w:val="2B579A"/>
                <w:sz w:val="6"/>
                <w:szCs w:val="6"/>
                <w:shd w:val="clear" w:color="auto" w:fill="E6E6E6"/>
                <w:lang w:eastAsia="zh-CN"/>
              </w:rPr>
            </w:pPr>
            <w:r w:rsidRPr="00E4140A">
              <w:rPr>
                <w:rFonts w:asciiTheme="majorHAnsi" w:hAnsiTheme="majorHAnsi" w:cstheme="majorHAnsi"/>
                <w:noProof/>
                <w:color w:val="2B579A"/>
                <w:sz w:val="6"/>
                <w:szCs w:val="6"/>
                <w:shd w:val="clear" w:color="auto" w:fill="E6E6E6"/>
                <w:lang w:eastAsia="zh-CN"/>
              </w:rPr>
              <mc:AlternateContent>
                <mc:Choice Requires="wps">
                  <w:drawing>
                    <wp:anchor distT="45720" distB="45720" distL="114300" distR="114300" simplePos="0" relativeHeight="251658280" behindDoc="0" locked="0" layoutInCell="1" allowOverlap="1" wp14:anchorId="0C306AC9" wp14:editId="387D5A14">
                      <wp:simplePos x="0" y="0"/>
                      <wp:positionH relativeFrom="page">
                        <wp:posOffset>-100330</wp:posOffset>
                      </wp:positionH>
                      <wp:positionV relativeFrom="paragraph">
                        <wp:posOffset>513080</wp:posOffset>
                      </wp:positionV>
                      <wp:extent cx="927735" cy="34163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7735" cy="341630"/>
                              </a:xfrm>
                              <a:prstGeom prst="rect">
                                <a:avLst/>
                              </a:prstGeom>
                              <a:noFill/>
                              <a:ln w="9525">
                                <a:noFill/>
                                <a:miter lim="800000"/>
                                <a:headEnd/>
                                <a:tailEnd/>
                              </a:ln>
                            </wps:spPr>
                            <wps:txbx>
                              <w:txbxContent>
                                <w:p w14:paraId="5FAB49E7" w14:textId="77777777" w:rsidR="00257EEF" w:rsidRPr="004200CF" w:rsidRDefault="00257EEF" w:rsidP="00257EEF">
                                  <w:pPr>
                                    <w:jc w:val="right"/>
                                    <w:rPr>
                                      <w:b/>
                                      <w:bCs/>
                                      <w:color w:val="595959" w:themeColor="text1" w:themeTint="A6"/>
                                    </w:rPr>
                                  </w:pPr>
                                  <w:r>
                                    <w:rPr>
                                      <w:b/>
                                      <w:bCs/>
                                      <w:color w:val="595959" w:themeColor="text1" w:themeTint="A6"/>
                                    </w:rPr>
                                    <w:t>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06AC9" id="_x0000_s1051" type="#_x0000_t202" style="position:absolute;margin-left:-7.9pt;margin-top:40.4pt;width:73.05pt;height:26.9pt;rotation:-90;z-index:251658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" filled="f" stroked="f">
                      <v:textbox>
                        <w:txbxContent>
                          <w:p w14:paraId="5FAB49E7" w14:textId="77777777" w:rsidR="00257EEF" w:rsidRPr="004200CF" w:rsidRDefault="00257EEF" w:rsidP="00257EEF">
                            <w:pPr>
                              <w:jc w:val="right"/>
                              <w:rPr>
                                <w:b/>
                                <w:bCs/>
                                <w:color w:val="595959" w:themeColor="text1" w:themeTint="A6"/>
                              </w:rPr>
                            </w:pPr>
                            <w:r>
                              <w:rPr>
                                <w:b/>
                                <w:bCs/>
                                <w:color w:val="595959" w:themeColor="text1" w:themeTint="A6"/>
                              </w:rPr>
                              <w:t>EDUCATION</w:t>
                            </w:r>
                          </w:p>
                        </w:txbxContent>
                      </v:textbox>
                      <w10:wrap type="square" anchorx="page"/>
                    </v:shape>
                  </w:pict>
                </mc:Fallback>
              </mc:AlternateContent>
            </w:r>
          </w:p>
        </w:tc>
        <w:tc>
          <w:tcPr>
            <w:tcW w:w="10074" w:type="dxa"/>
            <w:tcBorders>
              <w:top w:val="single" w:sz="8" w:space="0" w:color="auto"/>
              <w:left w:val="single" w:sz="8" w:space="0" w:color="auto"/>
              <w:bottom w:val="single" w:sz="8" w:space="0" w:color="auto"/>
              <w:right w:val="single" w:sz="8" w:space="0" w:color="auto"/>
            </w:tcBorders>
          </w:tcPr>
          <w:p w14:paraId="11EA6C4D" w14:textId="77777777" w:rsidR="00257EEF" w:rsidRPr="00A734AD" w:rsidRDefault="00257EEF" w:rsidP="0055618E">
            <w:pPr>
              <w:spacing w:line="240" w:lineRule="auto"/>
              <w:rPr>
                <w:rFonts w:asciiTheme="majorHAnsi" w:hAnsiTheme="majorHAnsi" w:cstheme="majorHAnsi"/>
                <w:b/>
                <w:bCs/>
              </w:rPr>
            </w:pPr>
            <w:r>
              <w:rPr>
                <w:rFonts w:asciiTheme="majorHAnsi" w:hAnsiTheme="majorHAnsi" w:cstheme="majorHAnsi"/>
                <w:b/>
                <w:bCs/>
              </w:rPr>
              <w:t xml:space="preserve">State: </w:t>
            </w:r>
            <w:hyperlink r:id="rId75" w:history="1">
              <w:r w:rsidRPr="00A734AD">
                <w:rPr>
                  <w:rStyle w:val="Hyperlink"/>
                  <w:rFonts w:asciiTheme="majorHAnsi" w:hAnsiTheme="majorHAnsi" w:cstheme="majorHAnsi"/>
                  <w:b/>
                  <w:bCs/>
                </w:rPr>
                <w:t>Tutor Learning Initiative 2021</w:t>
              </w:r>
            </w:hyperlink>
            <w:r w:rsidRPr="00F53F84">
              <w:rPr>
                <w:rFonts w:asciiTheme="majorHAnsi" w:hAnsiTheme="majorHAnsi" w:cstheme="majorHAnsi"/>
              </w:rPr>
              <w:t>:</w:t>
            </w:r>
            <w:r w:rsidRPr="00A734AD">
              <w:rPr>
                <w:rFonts w:asciiTheme="majorHAnsi" w:hAnsiTheme="majorHAnsi" w:cstheme="majorHAnsi"/>
                <w:b/>
                <w:bCs/>
              </w:rPr>
              <w:t xml:space="preserve"> </w:t>
            </w:r>
            <w:r w:rsidRPr="00A734AD">
              <w:rPr>
                <w:rFonts w:asciiTheme="majorHAnsi" w:hAnsiTheme="majorHAnsi" w:cstheme="majorHAnsi"/>
              </w:rPr>
              <w:t xml:space="preserve">Additional </w:t>
            </w:r>
            <w:r>
              <w:rPr>
                <w:rFonts w:asciiTheme="majorHAnsi" w:hAnsiTheme="majorHAnsi" w:cstheme="majorHAnsi"/>
              </w:rPr>
              <w:t xml:space="preserve">$250 million </w:t>
            </w:r>
            <w:r w:rsidRPr="00A734AD">
              <w:rPr>
                <w:rFonts w:asciiTheme="majorHAnsi" w:hAnsiTheme="majorHAnsi" w:cstheme="majorHAnsi"/>
              </w:rPr>
              <w:t xml:space="preserve">funding to support students whose learning was disrupted </w:t>
            </w:r>
            <w:r>
              <w:rPr>
                <w:rFonts w:asciiTheme="majorHAnsi" w:hAnsiTheme="majorHAnsi" w:cstheme="majorHAnsi"/>
              </w:rPr>
              <w:t>by</w:t>
            </w:r>
            <w:r w:rsidRPr="00A734AD">
              <w:rPr>
                <w:rFonts w:asciiTheme="majorHAnsi" w:hAnsiTheme="majorHAnsi" w:cstheme="majorHAnsi"/>
              </w:rPr>
              <w:t xml:space="preserve"> the COVID-19 pandemic. Schools must use funding to engage tutors to provide targeted teaching to students </w:t>
            </w:r>
            <w:r>
              <w:rPr>
                <w:rFonts w:asciiTheme="majorHAnsi" w:hAnsiTheme="majorHAnsi" w:cstheme="majorHAnsi"/>
              </w:rPr>
              <w:t xml:space="preserve">identified as </w:t>
            </w:r>
            <w:r w:rsidRPr="00A734AD">
              <w:rPr>
                <w:rFonts w:asciiTheme="majorHAnsi" w:hAnsiTheme="majorHAnsi" w:cstheme="majorHAnsi"/>
              </w:rPr>
              <w:t>needing support.</w:t>
            </w:r>
            <w:r>
              <w:t xml:space="preserve"> </w:t>
            </w:r>
            <w:r>
              <w:rPr>
                <w:rFonts w:asciiTheme="majorHAnsi" w:hAnsiTheme="majorHAnsi" w:cstheme="majorHAnsi"/>
              </w:rPr>
              <w:t>The b</w:t>
            </w:r>
            <w:r w:rsidRPr="00781AD4">
              <w:rPr>
                <w:rFonts w:asciiTheme="majorHAnsi" w:hAnsiTheme="majorHAnsi" w:cstheme="majorHAnsi"/>
              </w:rPr>
              <w:t>ase</w:t>
            </w:r>
            <w:r>
              <w:rPr>
                <w:rFonts w:asciiTheme="majorHAnsi" w:hAnsiTheme="majorHAnsi" w:cstheme="majorHAnsi"/>
              </w:rPr>
              <w:t>-</w:t>
            </w:r>
            <w:r w:rsidRPr="00781AD4">
              <w:rPr>
                <w:rFonts w:asciiTheme="majorHAnsi" w:hAnsiTheme="majorHAnsi" w:cstheme="majorHAnsi"/>
              </w:rPr>
              <w:t>level allocation</w:t>
            </w:r>
            <w:r>
              <w:rPr>
                <w:rFonts w:asciiTheme="majorHAnsi" w:hAnsiTheme="majorHAnsi" w:cstheme="majorHAnsi"/>
              </w:rPr>
              <w:t xml:space="preserve"> per school is</w:t>
            </w:r>
            <w:r w:rsidRPr="00781AD4">
              <w:rPr>
                <w:rFonts w:asciiTheme="majorHAnsi" w:hAnsiTheme="majorHAnsi" w:cstheme="majorHAnsi"/>
              </w:rPr>
              <w:t xml:space="preserve"> $15,000, with additional loadings based on student enrolments and disadvantage.</w:t>
            </w:r>
            <w:r>
              <w:rPr>
                <w:rFonts w:asciiTheme="majorHAnsi" w:hAnsiTheme="majorHAnsi" w:cstheme="majorHAnsi"/>
              </w:rPr>
              <w:t xml:space="preserve"> The model encompasses both small-group and individual learning, delivered in-school and/or outside of school.</w:t>
            </w:r>
            <w:r w:rsidRPr="00A734AD">
              <w:rPr>
                <w:rFonts w:asciiTheme="majorHAnsi" w:hAnsiTheme="majorHAnsi" w:cstheme="majorHAnsi"/>
              </w:rPr>
              <w:t xml:space="preserve"> Funds must be spent during 2021.</w:t>
            </w:r>
          </w:p>
        </w:tc>
        <w:tc>
          <w:tcPr>
            <w:tcW w:w="3563" w:type="dxa"/>
            <w:tcBorders>
              <w:top w:val="single" w:sz="8" w:space="0" w:color="auto"/>
              <w:left w:val="single" w:sz="8" w:space="0" w:color="auto"/>
              <w:bottom w:val="single" w:sz="8" w:space="0" w:color="auto"/>
              <w:right w:val="single" w:sz="8" w:space="0" w:color="auto"/>
            </w:tcBorders>
          </w:tcPr>
          <w:p w14:paraId="69499073" w14:textId="77777777" w:rsidR="00257EEF" w:rsidRPr="00AB7E66" w:rsidRDefault="00257EEF" w:rsidP="0055618E">
            <w:pPr>
              <w:spacing w:line="240" w:lineRule="auto"/>
              <w:rPr>
                <w:rFonts w:asciiTheme="majorHAnsi" w:eastAsia="Times New Roman" w:hAnsiTheme="majorHAnsi" w:cstheme="majorHAnsi"/>
                <w:lang w:val="en-GB"/>
              </w:rPr>
            </w:pPr>
            <w:r>
              <w:rPr>
                <w:rFonts w:asciiTheme="majorHAnsi" w:eastAsia="Times New Roman" w:hAnsiTheme="majorHAnsi" w:cstheme="majorHAnsi"/>
                <w:lang w:val="en-GB"/>
              </w:rPr>
              <w:t>Highly r</w:t>
            </w:r>
            <w:r w:rsidRPr="00AB7E66">
              <w:rPr>
                <w:rFonts w:asciiTheme="majorHAnsi" w:eastAsia="Times New Roman" w:hAnsiTheme="majorHAnsi" w:cstheme="majorHAnsi"/>
                <w:lang w:val="en-GB"/>
              </w:rPr>
              <w:t xml:space="preserve">elevant </w:t>
            </w:r>
            <w:r>
              <w:rPr>
                <w:rFonts w:asciiTheme="majorHAnsi" w:eastAsia="Times New Roman" w:hAnsiTheme="majorHAnsi" w:cstheme="majorHAnsi"/>
                <w:lang w:val="en-GB"/>
              </w:rPr>
              <w:t>for</w:t>
            </w:r>
            <w:r w:rsidRPr="00AB7E66">
              <w:rPr>
                <w:rFonts w:asciiTheme="majorHAnsi" w:eastAsia="Times New Roman" w:hAnsiTheme="majorHAnsi" w:cstheme="majorHAnsi"/>
                <w:lang w:val="en-GB"/>
              </w:rPr>
              <w:t xml:space="preserve"> local students who fell behind during COVID-19, including those who faced difficulties with home schooling.</w:t>
            </w:r>
          </w:p>
        </w:tc>
      </w:tr>
    </w:tbl>
    <w:p w14:paraId="2F9D73C8" w14:textId="77777777" w:rsidR="00D84F56" w:rsidRPr="00D84F56" w:rsidRDefault="00D84F56" w:rsidP="009B2FA7">
      <w:pPr>
        <w:spacing w:line="257" w:lineRule="auto"/>
        <w:rPr>
          <w:rFonts w:eastAsia="Times New Roman" w:cstheme="minorHAnsi"/>
          <w:b/>
          <w:bCs/>
          <w:color w:val="2E74B5" w:themeColor="accent5" w:themeShade="BF"/>
          <w:sz w:val="8"/>
          <w:szCs w:val="8"/>
          <w:lang w:val="en-GB"/>
        </w:rPr>
      </w:pPr>
    </w:p>
    <w:p w14:paraId="36342EF3" w14:textId="14E9A6B7" w:rsidR="00F00E3D" w:rsidRPr="00661DE7" w:rsidRDefault="00F00E3D" w:rsidP="009B2FA7">
      <w:pPr>
        <w:spacing w:after="0" w:line="276" w:lineRule="auto"/>
        <w:rPr>
          <w:b/>
          <w:bCs/>
          <w:sz w:val="21"/>
          <w:szCs w:val="21"/>
        </w:rPr>
      </w:pPr>
      <w:bookmarkStart w:id="27" w:name="OLE_LINKTable16"/>
      <w:r w:rsidRPr="00661DE7">
        <w:rPr>
          <w:b/>
          <w:bCs/>
          <w:sz w:val="20"/>
          <w:szCs w:val="20"/>
        </w:rPr>
        <w:t xml:space="preserve">Table </w:t>
      </w:r>
      <w:r w:rsidR="00B952D5" w:rsidRPr="00661DE7">
        <w:rPr>
          <w:b/>
          <w:bCs/>
          <w:sz w:val="20"/>
          <w:szCs w:val="20"/>
        </w:rPr>
        <w:t>2</w:t>
      </w:r>
      <w:r w:rsidRPr="00661DE7">
        <w:rPr>
          <w:b/>
          <w:bCs/>
          <w:sz w:val="20"/>
          <w:szCs w:val="20"/>
        </w:rPr>
        <w:t>.</w:t>
      </w:r>
      <w:r w:rsidR="00661DE7" w:rsidRPr="00661DE7">
        <w:rPr>
          <w:b/>
          <w:bCs/>
          <w:sz w:val="20"/>
          <w:szCs w:val="20"/>
        </w:rPr>
        <w:t>5</w:t>
      </w:r>
      <w:r w:rsidRPr="00661DE7">
        <w:rPr>
          <w:b/>
          <w:bCs/>
          <w:sz w:val="20"/>
          <w:szCs w:val="20"/>
        </w:rPr>
        <w:t xml:space="preserve">: </w:t>
      </w:r>
      <w:r w:rsidR="00940D80" w:rsidRPr="00661DE7">
        <w:rPr>
          <w:b/>
          <w:bCs/>
          <w:sz w:val="20"/>
          <w:szCs w:val="20"/>
        </w:rPr>
        <w:t>COVID</w:t>
      </w:r>
      <w:r w:rsidRPr="00661DE7">
        <w:rPr>
          <w:b/>
          <w:bCs/>
          <w:sz w:val="20"/>
          <w:szCs w:val="20"/>
        </w:rPr>
        <w:t xml:space="preserve">-19 </w:t>
      </w:r>
      <w:r w:rsidR="00FD4C62" w:rsidRPr="00661DE7">
        <w:rPr>
          <w:b/>
          <w:bCs/>
          <w:sz w:val="20"/>
          <w:szCs w:val="20"/>
        </w:rPr>
        <w:t>Policy Context</w:t>
      </w:r>
    </w:p>
    <w:bookmarkEnd w:id="27"/>
    <w:p w14:paraId="0AFA018A" w14:textId="77777777" w:rsidR="00F00E3D" w:rsidRPr="00661DE7" w:rsidRDefault="00F00E3D" w:rsidP="009B2FA7">
      <w:pPr>
        <w:spacing w:after="0" w:line="276" w:lineRule="auto"/>
        <w:rPr>
          <w:b/>
          <w:bCs/>
          <w:sz w:val="36"/>
          <w:szCs w:val="36"/>
        </w:rPr>
        <w:sectPr w:rsidR="00F00E3D" w:rsidRPr="00661DE7" w:rsidSect="009452E8">
          <w:pgSz w:w="16840" w:h="11900" w:orient="landscape"/>
          <w:pgMar w:top="1134" w:right="1134" w:bottom="1134" w:left="1134" w:header="709" w:footer="709" w:gutter="0"/>
          <w:cols w:space="708"/>
          <w:docGrid w:linePitch="360"/>
        </w:sectPr>
      </w:pPr>
    </w:p>
    <w:p w14:paraId="595F079A" w14:textId="77777777" w:rsidR="00F00E3D" w:rsidRPr="008F4BF3" w:rsidRDefault="00F00E3D" w:rsidP="009B2FA7">
      <w:pPr>
        <w:spacing w:after="0" w:line="276" w:lineRule="auto"/>
        <w:rPr>
          <w:rFonts w:asciiTheme="majorHAnsi" w:hAnsiTheme="majorHAnsi" w:cstheme="majorBidi"/>
          <w:b/>
          <w:bCs/>
          <w:color w:val="2E74B5" w:themeColor="accent5" w:themeShade="BF"/>
          <w:sz w:val="23"/>
          <w:szCs w:val="23"/>
          <w:lang w:val="en-GB"/>
        </w:rPr>
      </w:pPr>
      <w:r w:rsidRPr="008F4BF3">
        <w:rPr>
          <w:b/>
          <w:bCs/>
          <w:color w:val="2E74B5" w:themeColor="accent5" w:themeShade="BF"/>
          <w:sz w:val="36"/>
          <w:szCs w:val="36"/>
        </w:rPr>
        <w:lastRenderedPageBreak/>
        <w:t>SECTION 3: Review of Key Academic Research</w:t>
      </w:r>
    </w:p>
    <w:p w14:paraId="2DB39243" w14:textId="77777777" w:rsidR="00F00E3D" w:rsidRPr="006D7ADD" w:rsidRDefault="00F00E3D" w:rsidP="009B2FA7">
      <w:pPr>
        <w:spacing w:after="0" w:line="276" w:lineRule="auto"/>
        <w:rPr>
          <w:rFonts w:asciiTheme="majorHAnsi" w:hAnsiTheme="majorHAnsi" w:cstheme="majorHAnsi"/>
          <w:b/>
          <w:bCs/>
          <w:color w:val="595959" w:themeColor="text1" w:themeTint="A6"/>
          <w:sz w:val="16"/>
          <w:szCs w:val="16"/>
          <w:lang w:val="en-GB"/>
        </w:rPr>
      </w:pPr>
    </w:p>
    <w:p w14:paraId="5CFEDCB8" w14:textId="362CA02D" w:rsidR="00F00E3D" w:rsidRPr="00C401BF" w:rsidRDefault="00F00E3D" w:rsidP="009B2FA7">
      <w:pPr>
        <w:spacing w:after="0" w:line="276" w:lineRule="auto"/>
        <w:rPr>
          <w:rFonts w:asciiTheme="majorHAnsi" w:eastAsiaTheme="minorEastAsia" w:hAnsiTheme="majorHAnsi" w:cstheme="majorHAnsi"/>
          <w:sz w:val="23"/>
          <w:szCs w:val="23"/>
          <w:lang w:eastAsia="en-AU"/>
        </w:rPr>
      </w:pPr>
      <w:r w:rsidRPr="64875FDB">
        <w:rPr>
          <w:rFonts w:asciiTheme="majorHAnsi" w:hAnsiTheme="majorHAnsi" w:cstheme="majorBidi"/>
          <w:sz w:val="23"/>
          <w:szCs w:val="23"/>
        </w:rPr>
        <w:t xml:space="preserve">This section presents a </w:t>
      </w:r>
      <w:r w:rsidRPr="00FB6CB3">
        <w:rPr>
          <w:rFonts w:asciiTheme="majorHAnsi" w:hAnsiTheme="majorHAnsi" w:cstheme="majorBidi"/>
          <w:sz w:val="23"/>
          <w:szCs w:val="23"/>
        </w:rPr>
        <w:t xml:space="preserve">comprehensive summary of key research on </w:t>
      </w:r>
      <w:r w:rsidRPr="00FB6CB3">
        <w:rPr>
          <w:rFonts w:asciiTheme="majorHAnsi" w:eastAsia="Times New Roman" w:hAnsiTheme="majorHAnsi" w:cstheme="majorHAnsi"/>
          <w:sz w:val="23"/>
          <w:szCs w:val="23"/>
          <w:lang w:eastAsia="en-GB"/>
        </w:rPr>
        <w:t xml:space="preserve">the social and economic factors that drive outcomes for </w:t>
      </w:r>
      <w:r>
        <w:rPr>
          <w:rFonts w:asciiTheme="majorHAnsi" w:eastAsia="Times New Roman" w:hAnsiTheme="majorHAnsi" w:cstheme="majorHAnsi"/>
          <w:sz w:val="23"/>
          <w:szCs w:val="23"/>
          <w:lang w:eastAsia="en-GB"/>
        </w:rPr>
        <w:t>communities affected by disadvantage</w:t>
      </w:r>
      <w:r w:rsidRPr="00FB6CB3">
        <w:rPr>
          <w:rFonts w:asciiTheme="majorHAnsi" w:eastAsia="Times New Roman" w:hAnsiTheme="majorHAnsi" w:cstheme="majorHAnsi"/>
          <w:sz w:val="23"/>
          <w:szCs w:val="23"/>
          <w:lang w:eastAsia="en-GB"/>
        </w:rPr>
        <w:t xml:space="preserve">, and on </w:t>
      </w:r>
      <w:r w:rsidRPr="00FB6CB3">
        <w:rPr>
          <w:rFonts w:asciiTheme="majorHAnsi" w:hAnsiTheme="majorHAnsi" w:cstheme="majorBidi"/>
          <w:sz w:val="23"/>
          <w:szCs w:val="23"/>
        </w:rPr>
        <w:t xml:space="preserve">interventions used globally to improve outcomes for these communities. The discussion is structured around four categories, according to the focus of the research: </w:t>
      </w:r>
      <w:r w:rsidRPr="00FB6CB3">
        <w:rPr>
          <w:rFonts w:asciiTheme="majorHAnsi" w:eastAsiaTheme="minorEastAsia" w:hAnsiTheme="majorHAnsi" w:cstheme="majorHAnsi"/>
          <w:sz w:val="23"/>
          <w:szCs w:val="23"/>
          <w:lang w:eastAsia="en-AU"/>
        </w:rPr>
        <w:t xml:space="preserve">inequality data, </w:t>
      </w:r>
      <w:r w:rsidR="00940D80">
        <w:rPr>
          <w:rFonts w:asciiTheme="majorHAnsi" w:eastAsiaTheme="minorEastAsia" w:hAnsiTheme="majorHAnsi" w:cstheme="majorHAnsi"/>
          <w:sz w:val="23"/>
          <w:szCs w:val="23"/>
          <w:lang w:eastAsia="en-AU"/>
        </w:rPr>
        <w:t>COVID</w:t>
      </w:r>
      <w:r w:rsidRPr="00FB6CB3">
        <w:rPr>
          <w:rFonts w:asciiTheme="majorHAnsi" w:eastAsiaTheme="minorEastAsia" w:hAnsiTheme="majorHAnsi" w:cstheme="majorHAnsi"/>
          <w:sz w:val="23"/>
          <w:szCs w:val="23"/>
          <w:lang w:eastAsia="en-AU"/>
        </w:rPr>
        <w:t xml:space="preserve">-19 impacts, socioeconomic factors, and interventions. </w:t>
      </w:r>
      <w:r w:rsidRPr="00FB6CB3">
        <w:rPr>
          <w:rFonts w:asciiTheme="majorHAnsi" w:eastAsia="Times New Roman" w:hAnsiTheme="majorHAnsi" w:cstheme="majorHAnsi"/>
          <w:sz w:val="23"/>
          <w:szCs w:val="23"/>
          <w:lang w:eastAsia="en-GB"/>
        </w:rPr>
        <w:t xml:space="preserve">This review focuses primarily on research that addresses the latter two categories: socioeconomic factors, and interventions. </w:t>
      </w:r>
      <w:r>
        <w:rPr>
          <w:rFonts w:asciiTheme="majorHAnsi" w:eastAsia="Times New Roman" w:hAnsiTheme="majorHAnsi" w:cstheme="majorHAnsi"/>
          <w:sz w:val="23"/>
          <w:szCs w:val="23"/>
          <w:lang w:eastAsia="en-GB"/>
        </w:rPr>
        <w:t>Most of</w:t>
      </w:r>
      <w:r w:rsidRPr="00FB6CB3">
        <w:rPr>
          <w:rFonts w:asciiTheme="majorHAnsi" w:eastAsia="Times New Roman" w:hAnsiTheme="majorHAnsi" w:cstheme="majorHAnsi"/>
          <w:sz w:val="23"/>
          <w:szCs w:val="23"/>
          <w:lang w:eastAsia="en-GB"/>
        </w:rPr>
        <w:t xml:space="preserve"> the research profiled in this section comprises academic </w:t>
      </w:r>
      <w:r>
        <w:rPr>
          <w:rFonts w:asciiTheme="majorHAnsi" w:eastAsia="Times New Roman" w:hAnsiTheme="majorHAnsi" w:cstheme="majorHAnsi"/>
          <w:sz w:val="23"/>
          <w:szCs w:val="23"/>
          <w:lang w:eastAsia="en-GB"/>
        </w:rPr>
        <w:t>literature (</w:t>
      </w:r>
      <w:r w:rsidRPr="00FB6CB3">
        <w:rPr>
          <w:rFonts w:asciiTheme="majorHAnsi" w:eastAsia="Times New Roman" w:hAnsiTheme="majorHAnsi" w:cstheme="majorHAnsi"/>
          <w:sz w:val="23"/>
          <w:szCs w:val="23"/>
          <w:lang w:eastAsia="en-GB"/>
        </w:rPr>
        <w:t xml:space="preserve">peer-reviewed </w:t>
      </w:r>
      <w:r>
        <w:rPr>
          <w:rFonts w:asciiTheme="majorHAnsi" w:eastAsia="Times New Roman" w:hAnsiTheme="majorHAnsi" w:cstheme="majorHAnsi"/>
          <w:sz w:val="23"/>
          <w:szCs w:val="23"/>
          <w:lang w:eastAsia="en-GB"/>
        </w:rPr>
        <w:t xml:space="preserve">journal </w:t>
      </w:r>
      <w:r w:rsidRPr="00FB6CB3">
        <w:rPr>
          <w:rFonts w:asciiTheme="majorHAnsi" w:eastAsia="Times New Roman" w:hAnsiTheme="majorHAnsi" w:cstheme="majorHAnsi"/>
          <w:sz w:val="23"/>
          <w:szCs w:val="23"/>
          <w:lang w:eastAsia="en-GB"/>
        </w:rPr>
        <w:t>articles, books, and book chapters</w:t>
      </w:r>
      <w:r>
        <w:rPr>
          <w:rFonts w:asciiTheme="majorHAnsi" w:eastAsia="Times New Roman" w:hAnsiTheme="majorHAnsi" w:cstheme="majorHAnsi"/>
          <w:sz w:val="23"/>
          <w:szCs w:val="23"/>
          <w:lang w:eastAsia="en-GB"/>
        </w:rPr>
        <w:t>),</w:t>
      </w:r>
      <w:r w:rsidRPr="00FB6CB3">
        <w:rPr>
          <w:rFonts w:asciiTheme="majorHAnsi" w:eastAsia="Times New Roman" w:hAnsiTheme="majorHAnsi" w:cstheme="majorHAnsi"/>
          <w:sz w:val="23"/>
          <w:szCs w:val="23"/>
          <w:lang w:eastAsia="en-GB"/>
        </w:rPr>
        <w:t xml:space="preserve"> but some credible grey literature </w:t>
      </w:r>
      <w:r>
        <w:rPr>
          <w:rFonts w:asciiTheme="majorHAnsi" w:eastAsia="Times New Roman" w:hAnsiTheme="majorHAnsi" w:cstheme="majorHAnsi"/>
          <w:sz w:val="23"/>
          <w:szCs w:val="23"/>
          <w:lang w:eastAsia="en-GB"/>
        </w:rPr>
        <w:t>was</w:t>
      </w:r>
      <w:r w:rsidRPr="00FB6CB3">
        <w:rPr>
          <w:rFonts w:asciiTheme="majorHAnsi" w:eastAsia="Times New Roman" w:hAnsiTheme="majorHAnsi" w:cstheme="majorHAnsi"/>
          <w:sz w:val="23"/>
          <w:szCs w:val="23"/>
          <w:lang w:eastAsia="en-GB"/>
        </w:rPr>
        <w:t xml:space="preserve"> also included</w:t>
      </w:r>
      <w:r>
        <w:rPr>
          <w:rFonts w:asciiTheme="majorHAnsi" w:eastAsia="Times New Roman" w:hAnsiTheme="majorHAnsi" w:cstheme="majorHAnsi"/>
          <w:sz w:val="23"/>
          <w:szCs w:val="23"/>
          <w:lang w:eastAsia="en-GB"/>
        </w:rPr>
        <w:t xml:space="preserve"> (key reports)</w:t>
      </w:r>
      <w:r w:rsidRPr="00FB6CB3">
        <w:rPr>
          <w:rFonts w:asciiTheme="majorHAnsi" w:eastAsia="Times New Roman" w:hAnsiTheme="majorHAnsi" w:cstheme="majorHAnsi"/>
          <w:sz w:val="23"/>
          <w:szCs w:val="23"/>
          <w:lang w:eastAsia="en-GB"/>
        </w:rPr>
        <w:t>.</w:t>
      </w:r>
    </w:p>
    <w:p w14:paraId="38666A84" w14:textId="77777777" w:rsidR="00F00E3D" w:rsidRPr="005E2141" w:rsidRDefault="00F00E3D" w:rsidP="009B2FA7">
      <w:pPr>
        <w:spacing w:after="0" w:line="276" w:lineRule="auto"/>
        <w:rPr>
          <w:rFonts w:asciiTheme="majorHAnsi" w:eastAsia="Times New Roman" w:hAnsiTheme="majorHAnsi" w:cstheme="majorHAnsi"/>
          <w:sz w:val="16"/>
          <w:szCs w:val="16"/>
          <w:lang w:eastAsia="en-GB"/>
        </w:rPr>
      </w:pPr>
    </w:p>
    <w:p w14:paraId="4C112477" w14:textId="587FBE91" w:rsidR="00F00E3D" w:rsidRDefault="00F00E3D" w:rsidP="009B2FA7">
      <w:pPr>
        <w:spacing w:after="0" w:line="276" w:lineRule="auto"/>
        <w:rPr>
          <w:rFonts w:asciiTheme="majorHAnsi" w:eastAsia="Times New Roman" w:hAnsiTheme="majorHAnsi" w:cstheme="majorBidi"/>
          <w:sz w:val="23"/>
          <w:szCs w:val="23"/>
          <w:lang w:eastAsia="en-GB"/>
        </w:rPr>
      </w:pPr>
      <w:r w:rsidRPr="178087EA">
        <w:rPr>
          <w:rFonts w:asciiTheme="majorHAnsi" w:eastAsiaTheme="minorEastAsia" w:hAnsiTheme="majorHAnsi" w:cstheme="majorBidi"/>
          <w:sz w:val="23"/>
          <w:szCs w:val="23"/>
          <w:lang w:eastAsia="en-AU"/>
        </w:rPr>
        <w:t xml:space="preserve">The “Socioeconomic Factors” and “Interventions” </w:t>
      </w:r>
      <w:r w:rsidR="003472BE">
        <w:rPr>
          <w:rFonts w:asciiTheme="majorHAnsi" w:eastAsiaTheme="minorEastAsia" w:hAnsiTheme="majorHAnsi" w:cstheme="majorBidi"/>
          <w:sz w:val="23"/>
          <w:szCs w:val="23"/>
          <w:lang w:eastAsia="en-AU"/>
        </w:rPr>
        <w:t>sub-</w:t>
      </w:r>
      <w:r w:rsidRPr="178087EA">
        <w:rPr>
          <w:rFonts w:asciiTheme="majorHAnsi" w:eastAsiaTheme="minorEastAsia" w:hAnsiTheme="majorHAnsi" w:cstheme="majorBidi"/>
          <w:sz w:val="23"/>
          <w:szCs w:val="23"/>
          <w:lang w:eastAsia="en-AU"/>
        </w:rPr>
        <w:t xml:space="preserve">sections (below) are structured differently, as each is informed by the different nature of the research question it seeks to answer. The Socioeconomic Factors section focuses not on describing the content of the articles, but rather on an analysis of the factors pertaining to each </w:t>
      </w:r>
      <w:r w:rsidR="00D95573">
        <w:rPr>
          <w:rFonts w:asciiTheme="majorHAnsi" w:eastAsiaTheme="minorEastAsia" w:hAnsiTheme="majorHAnsi" w:cstheme="majorBidi"/>
          <w:sz w:val="23"/>
          <w:szCs w:val="23"/>
          <w:lang w:eastAsia="en-AU"/>
        </w:rPr>
        <w:t>Practice Domain</w:t>
      </w:r>
      <w:r w:rsidRPr="178087EA">
        <w:rPr>
          <w:rFonts w:asciiTheme="majorHAnsi" w:eastAsiaTheme="minorEastAsia" w:hAnsiTheme="majorHAnsi" w:cstheme="majorBidi"/>
          <w:sz w:val="23"/>
          <w:szCs w:val="23"/>
          <w:lang w:eastAsia="en-AU"/>
        </w:rPr>
        <w:t xml:space="preserve">. The Intervention section focuses on the nature of the interventions, rather than their spread, so takes the more traditional form of a systematic review by describing the key themes; in this case, these are the most common </w:t>
      </w:r>
      <w:r w:rsidR="00612FD3">
        <w:rPr>
          <w:rFonts w:asciiTheme="majorHAnsi" w:eastAsiaTheme="minorEastAsia" w:hAnsiTheme="majorHAnsi" w:cstheme="majorBidi"/>
          <w:sz w:val="23"/>
          <w:szCs w:val="23"/>
          <w:lang w:eastAsia="en-AU"/>
        </w:rPr>
        <w:t>“types”</w:t>
      </w:r>
      <w:r w:rsidRPr="178087EA">
        <w:rPr>
          <w:rFonts w:asciiTheme="majorHAnsi" w:eastAsiaTheme="minorEastAsia" w:hAnsiTheme="majorHAnsi" w:cstheme="majorBidi"/>
          <w:sz w:val="23"/>
          <w:szCs w:val="23"/>
          <w:lang w:eastAsia="en-AU"/>
        </w:rPr>
        <w:t xml:space="preserve"> of interventions, specific examples, and findings from evaluations of these examples.</w:t>
      </w:r>
    </w:p>
    <w:p w14:paraId="758A2DFC" w14:textId="51130D17" w:rsidR="00C7119C" w:rsidRPr="006D54E4" w:rsidRDefault="00C7119C" w:rsidP="009B2FA7">
      <w:pPr>
        <w:spacing w:after="0" w:line="276" w:lineRule="auto"/>
        <w:rPr>
          <w:rFonts w:asciiTheme="majorHAnsi" w:eastAsia="Times New Roman" w:hAnsiTheme="majorHAnsi" w:cstheme="majorBidi"/>
          <w:sz w:val="20"/>
          <w:szCs w:val="20"/>
          <w:lang w:eastAsia="en-GB"/>
        </w:rPr>
      </w:pPr>
    </w:p>
    <w:p w14:paraId="45D92C37" w14:textId="3D82581E" w:rsidR="00C7119C" w:rsidRPr="008F4BF3" w:rsidRDefault="00222763" w:rsidP="00C7119C">
      <w:pPr>
        <w:spacing w:after="0" w:line="276" w:lineRule="auto"/>
        <w:rPr>
          <w:rFonts w:eastAsiaTheme="minorEastAsia"/>
          <w:b/>
          <w:bCs/>
          <w:color w:val="2E74B5" w:themeColor="accent5" w:themeShade="BF"/>
          <w:sz w:val="28"/>
          <w:szCs w:val="28"/>
          <w:lang w:eastAsia="en-AU"/>
        </w:rPr>
      </w:pPr>
      <w:r w:rsidRPr="008F4BF3">
        <w:rPr>
          <w:rFonts w:eastAsiaTheme="minorEastAsia"/>
          <w:b/>
          <w:bCs/>
          <w:color w:val="2E74B5" w:themeColor="accent5" w:themeShade="BF"/>
          <w:sz w:val="28"/>
          <w:szCs w:val="28"/>
          <w:lang w:eastAsia="en-AU"/>
        </w:rPr>
        <w:t xml:space="preserve">3.1 </w:t>
      </w:r>
      <w:r w:rsidR="00C7119C" w:rsidRPr="008F4BF3">
        <w:rPr>
          <w:rFonts w:eastAsiaTheme="minorEastAsia"/>
          <w:b/>
          <w:bCs/>
          <w:color w:val="2E74B5" w:themeColor="accent5" w:themeShade="BF"/>
          <w:sz w:val="28"/>
          <w:szCs w:val="28"/>
          <w:lang w:eastAsia="en-AU"/>
        </w:rPr>
        <w:t>Methodology</w:t>
      </w:r>
    </w:p>
    <w:p w14:paraId="378224C1" w14:textId="77777777" w:rsidR="00C7119C" w:rsidRPr="000B3F6E" w:rsidRDefault="00C7119C" w:rsidP="00C7119C">
      <w:pPr>
        <w:spacing w:after="0" w:line="276" w:lineRule="auto"/>
        <w:rPr>
          <w:rFonts w:eastAsiaTheme="minorEastAsia" w:cstheme="minorHAnsi"/>
          <w:b/>
          <w:bCs/>
          <w:color w:val="2F5496" w:themeColor="accent1" w:themeShade="BF"/>
          <w:sz w:val="16"/>
          <w:szCs w:val="16"/>
          <w:lang w:eastAsia="en-AU"/>
        </w:rPr>
      </w:pPr>
    </w:p>
    <w:p w14:paraId="16C8D3BC" w14:textId="1E472871" w:rsidR="00C7119C" w:rsidRPr="00BC19B6" w:rsidRDefault="00C7119C" w:rsidP="00C7119C">
      <w:pPr>
        <w:spacing w:after="0" w:line="276" w:lineRule="auto"/>
        <w:contextualSpacing/>
        <w:rPr>
          <w:rFonts w:asciiTheme="majorHAnsi" w:eastAsia="Times New Roman" w:hAnsiTheme="majorHAnsi" w:cstheme="majorHAnsi"/>
          <w:sz w:val="23"/>
          <w:szCs w:val="23"/>
          <w:lang w:eastAsia="en-GB"/>
        </w:rPr>
      </w:pPr>
      <w:r w:rsidRPr="27ED1008">
        <w:rPr>
          <w:rFonts w:asciiTheme="majorHAnsi" w:eastAsiaTheme="minorEastAsia" w:hAnsiTheme="majorHAnsi" w:cstheme="majorBidi"/>
          <w:sz w:val="23"/>
          <w:szCs w:val="23"/>
          <w:lang w:eastAsia="en-AU"/>
        </w:rPr>
        <w:t xml:space="preserve">A comprehensive search of academic databases was </w:t>
      </w:r>
      <w:r w:rsidRPr="009C33B2">
        <w:rPr>
          <w:rFonts w:asciiTheme="majorHAnsi" w:eastAsiaTheme="minorEastAsia" w:hAnsiTheme="majorHAnsi" w:cstheme="majorBidi"/>
          <w:sz w:val="23"/>
          <w:szCs w:val="23"/>
          <w:lang w:eastAsia="en-AU"/>
        </w:rPr>
        <w:t>conducted. Th</w:t>
      </w:r>
      <w:r>
        <w:rPr>
          <w:rFonts w:asciiTheme="majorHAnsi" w:eastAsiaTheme="minorEastAsia" w:hAnsiTheme="majorHAnsi" w:cstheme="majorBidi"/>
          <w:sz w:val="23"/>
          <w:szCs w:val="23"/>
          <w:lang w:eastAsia="en-AU"/>
        </w:rPr>
        <w:t>e search returned</w:t>
      </w:r>
      <w:r w:rsidRPr="009C33B2">
        <w:rPr>
          <w:rFonts w:asciiTheme="majorHAnsi" w:eastAsiaTheme="minorEastAsia" w:hAnsiTheme="majorHAnsi" w:cstheme="majorBidi"/>
          <w:sz w:val="23"/>
          <w:szCs w:val="23"/>
          <w:lang w:eastAsia="en-AU"/>
        </w:rPr>
        <w:t xml:space="preserve"> </w:t>
      </w:r>
      <w:r w:rsidRPr="27ED1008">
        <w:rPr>
          <w:rFonts w:asciiTheme="majorHAnsi" w:eastAsiaTheme="minorEastAsia" w:hAnsiTheme="majorHAnsi" w:cstheme="majorBidi"/>
          <w:sz w:val="23"/>
          <w:szCs w:val="23"/>
          <w:lang w:eastAsia="en-AU"/>
        </w:rPr>
        <w:t xml:space="preserve">3091 peer-reviewed journal articles, books, and book chapters. </w:t>
      </w:r>
      <w:r>
        <w:rPr>
          <w:rFonts w:asciiTheme="majorHAnsi" w:eastAsia="Times New Roman" w:hAnsiTheme="majorHAnsi" w:cstheme="majorHAnsi"/>
          <w:sz w:val="23"/>
          <w:szCs w:val="23"/>
          <w:lang w:eastAsia="en-GB"/>
        </w:rPr>
        <w:t>A</w:t>
      </w:r>
      <w:r w:rsidRPr="00BC19B6">
        <w:rPr>
          <w:rFonts w:asciiTheme="majorHAnsi" w:eastAsia="Times New Roman" w:hAnsiTheme="majorHAnsi" w:cstheme="majorHAnsi"/>
          <w:sz w:val="23"/>
          <w:szCs w:val="23"/>
          <w:lang w:eastAsia="en-GB"/>
        </w:rPr>
        <w:t xml:space="preserve"> systematic review </w:t>
      </w:r>
      <w:r>
        <w:rPr>
          <w:rFonts w:asciiTheme="majorHAnsi" w:eastAsia="Times New Roman" w:hAnsiTheme="majorHAnsi" w:cstheme="majorHAnsi"/>
          <w:sz w:val="23"/>
          <w:szCs w:val="23"/>
          <w:lang w:eastAsia="en-GB"/>
        </w:rPr>
        <w:t>process was followed to narrow the sample to 199 articles based on relevance to two research questions. The systematic review process was conducted in</w:t>
      </w:r>
      <w:r w:rsidRPr="00BC19B6">
        <w:rPr>
          <w:rFonts w:asciiTheme="majorHAnsi" w:eastAsia="Times New Roman" w:hAnsiTheme="majorHAnsi" w:cstheme="majorHAnsi"/>
          <w:sz w:val="23"/>
          <w:szCs w:val="23"/>
          <w:lang w:eastAsia="en-GB"/>
        </w:rPr>
        <w:t xml:space="preserve"> two phases:</w:t>
      </w:r>
      <w:r w:rsidR="00222763">
        <w:rPr>
          <w:rFonts w:asciiTheme="majorHAnsi" w:eastAsia="Times New Roman" w:hAnsiTheme="majorHAnsi" w:cstheme="majorHAnsi"/>
          <w:sz w:val="23"/>
          <w:szCs w:val="23"/>
          <w:lang w:eastAsia="en-GB"/>
        </w:rPr>
        <w:t xml:space="preserve"> data collection, followed by data analysis.</w:t>
      </w:r>
    </w:p>
    <w:p w14:paraId="316FA20C" w14:textId="77777777" w:rsidR="00C7119C" w:rsidRPr="004A564B" w:rsidRDefault="00C7119C" w:rsidP="00C7119C">
      <w:pPr>
        <w:spacing w:after="0" w:line="276" w:lineRule="auto"/>
        <w:contextualSpacing/>
        <w:rPr>
          <w:rFonts w:asciiTheme="majorHAnsi" w:eastAsia="Times New Roman" w:hAnsiTheme="majorHAnsi" w:cstheme="majorHAnsi"/>
          <w:sz w:val="16"/>
          <w:szCs w:val="16"/>
          <w:lang w:eastAsia="en-GB"/>
        </w:rPr>
      </w:pPr>
    </w:p>
    <w:p w14:paraId="22A87C87" w14:textId="787B7F53" w:rsidR="00C7119C" w:rsidRPr="008F4BF3" w:rsidRDefault="00C7119C" w:rsidP="00C7119C">
      <w:pPr>
        <w:spacing w:after="0" w:line="276" w:lineRule="auto"/>
        <w:contextualSpacing/>
        <w:rPr>
          <w:rFonts w:eastAsia="Times New Roman" w:cstheme="minorHAnsi"/>
          <w:b/>
          <w:bCs/>
          <w:color w:val="2E74B5" w:themeColor="accent5" w:themeShade="BF"/>
          <w:sz w:val="25"/>
          <w:szCs w:val="25"/>
          <w:lang w:eastAsia="en-GB"/>
        </w:rPr>
      </w:pPr>
      <w:r w:rsidRPr="008F4BF3">
        <w:rPr>
          <w:rFonts w:eastAsia="Times New Roman" w:cstheme="minorHAnsi"/>
          <w:b/>
          <w:bCs/>
          <w:color w:val="2E74B5" w:themeColor="accent5" w:themeShade="BF"/>
          <w:sz w:val="25"/>
          <w:szCs w:val="25"/>
          <w:lang w:eastAsia="en-GB"/>
        </w:rPr>
        <w:t>Data Collection</w:t>
      </w:r>
    </w:p>
    <w:p w14:paraId="34BE1C8A" w14:textId="77777777" w:rsidR="00C7119C" w:rsidRPr="00E6189E" w:rsidRDefault="00C7119C" w:rsidP="00C7119C">
      <w:pPr>
        <w:spacing w:after="0" w:line="276" w:lineRule="auto"/>
        <w:contextualSpacing/>
        <w:rPr>
          <w:rFonts w:eastAsia="Times New Roman" w:cstheme="minorHAnsi"/>
          <w:b/>
          <w:bCs/>
          <w:color w:val="2F5496" w:themeColor="accent1" w:themeShade="BF"/>
          <w:sz w:val="12"/>
          <w:szCs w:val="12"/>
          <w:lang w:eastAsia="en-GB"/>
        </w:rPr>
      </w:pPr>
    </w:p>
    <w:p w14:paraId="7C599745" w14:textId="77777777" w:rsidR="00C7119C" w:rsidRDefault="00C7119C" w:rsidP="00364C5D">
      <w:pPr>
        <w:pStyle w:val="ListParagraph"/>
        <w:numPr>
          <w:ilvl w:val="0"/>
          <w:numId w:val="48"/>
        </w:numPr>
        <w:spacing w:after="0" w:line="276" w:lineRule="auto"/>
        <w:rPr>
          <w:rFonts w:asciiTheme="majorHAnsi" w:eastAsia="Times New Roman" w:hAnsiTheme="majorHAnsi" w:cstheme="majorHAnsi"/>
          <w:sz w:val="23"/>
          <w:szCs w:val="23"/>
          <w:lang w:eastAsia="en-GB"/>
        </w:rPr>
      </w:pPr>
      <w:r w:rsidRPr="00F83F81">
        <w:rPr>
          <w:rFonts w:asciiTheme="majorHAnsi" w:eastAsia="Times New Roman" w:hAnsiTheme="majorHAnsi" w:cstheme="majorHAnsi"/>
          <w:sz w:val="23"/>
          <w:szCs w:val="23"/>
          <w:lang w:eastAsia="en-GB"/>
        </w:rPr>
        <w:t>Develop predefined search strategy to answer the following two research questions:</w:t>
      </w:r>
    </w:p>
    <w:p w14:paraId="140D3AAA" w14:textId="77777777" w:rsidR="00C7119C" w:rsidRDefault="00C7119C" w:rsidP="00364C5D">
      <w:pPr>
        <w:pStyle w:val="ListParagraph"/>
        <w:numPr>
          <w:ilvl w:val="1"/>
          <w:numId w:val="48"/>
        </w:numPr>
        <w:spacing w:after="0" w:line="276" w:lineRule="auto"/>
        <w:rPr>
          <w:rFonts w:asciiTheme="majorHAnsi" w:eastAsia="Times New Roman" w:hAnsiTheme="majorHAnsi" w:cstheme="majorHAnsi"/>
          <w:sz w:val="23"/>
          <w:szCs w:val="23"/>
          <w:lang w:eastAsia="en-GB"/>
        </w:rPr>
      </w:pPr>
      <w:r w:rsidRPr="00F83F81">
        <w:rPr>
          <w:rFonts w:asciiTheme="majorHAnsi" w:eastAsia="Times New Roman" w:hAnsiTheme="majorHAnsi" w:cstheme="majorHAnsi"/>
          <w:sz w:val="23"/>
          <w:szCs w:val="23"/>
          <w:lang w:eastAsia="en-GB"/>
        </w:rPr>
        <w:t xml:space="preserve">What are the social and economic factors that drive outcomes, particularly for </w:t>
      </w:r>
      <w:r>
        <w:rPr>
          <w:rFonts w:asciiTheme="majorHAnsi" w:eastAsia="Times New Roman" w:hAnsiTheme="majorHAnsi" w:cstheme="majorHAnsi"/>
          <w:sz w:val="23"/>
          <w:szCs w:val="23"/>
          <w:lang w:eastAsia="en-GB"/>
        </w:rPr>
        <w:t>communities affected by disadvantage</w:t>
      </w:r>
      <w:r w:rsidRPr="00F83F81">
        <w:rPr>
          <w:rFonts w:asciiTheme="majorHAnsi" w:eastAsia="Times New Roman" w:hAnsiTheme="majorHAnsi" w:cstheme="majorHAnsi"/>
          <w:sz w:val="23"/>
          <w:szCs w:val="23"/>
          <w:lang w:eastAsia="en-GB"/>
        </w:rPr>
        <w:t>?</w:t>
      </w:r>
    </w:p>
    <w:p w14:paraId="5A904454" w14:textId="77777777" w:rsidR="00C7119C" w:rsidRPr="00F83F81" w:rsidRDefault="00C7119C" w:rsidP="00364C5D">
      <w:pPr>
        <w:pStyle w:val="ListParagraph"/>
        <w:numPr>
          <w:ilvl w:val="1"/>
          <w:numId w:val="48"/>
        </w:numPr>
        <w:spacing w:after="0" w:line="276" w:lineRule="auto"/>
        <w:rPr>
          <w:rFonts w:asciiTheme="majorHAnsi" w:eastAsia="Times New Roman" w:hAnsiTheme="majorHAnsi" w:cstheme="majorHAnsi"/>
          <w:sz w:val="23"/>
          <w:szCs w:val="23"/>
          <w:lang w:eastAsia="en-GB"/>
        </w:rPr>
      </w:pPr>
      <w:r w:rsidRPr="00F83F81">
        <w:rPr>
          <w:rFonts w:asciiTheme="majorHAnsi" w:eastAsia="Times New Roman" w:hAnsiTheme="majorHAnsi" w:cstheme="majorHAnsi"/>
          <w:sz w:val="23"/>
          <w:szCs w:val="23"/>
          <w:lang w:eastAsia="en-GB"/>
        </w:rPr>
        <w:t xml:space="preserve">What </w:t>
      </w:r>
      <w:r>
        <w:rPr>
          <w:rFonts w:asciiTheme="majorHAnsi" w:eastAsia="Times New Roman" w:hAnsiTheme="majorHAnsi" w:cstheme="majorHAnsi"/>
          <w:sz w:val="23"/>
          <w:szCs w:val="23"/>
          <w:lang w:eastAsia="en-GB"/>
        </w:rPr>
        <w:t>interventions</w:t>
      </w:r>
      <w:r w:rsidRPr="00F83F81">
        <w:rPr>
          <w:rFonts w:asciiTheme="majorHAnsi" w:eastAsia="Times New Roman" w:hAnsiTheme="majorHAnsi" w:cstheme="majorHAnsi"/>
          <w:sz w:val="23"/>
          <w:szCs w:val="23"/>
          <w:lang w:eastAsia="en-GB"/>
        </w:rPr>
        <w:t xml:space="preserve"> have been used globally to address these social and economic factors to improve community outcomes?</w:t>
      </w:r>
    </w:p>
    <w:p w14:paraId="6B9A29AC" w14:textId="77777777" w:rsidR="00C7119C" w:rsidRPr="00F83F81" w:rsidRDefault="00C7119C" w:rsidP="00364C5D">
      <w:pPr>
        <w:pStyle w:val="ListParagraph"/>
        <w:numPr>
          <w:ilvl w:val="0"/>
          <w:numId w:val="48"/>
        </w:numPr>
        <w:spacing w:after="0" w:line="276" w:lineRule="auto"/>
        <w:rPr>
          <w:rFonts w:asciiTheme="majorHAnsi" w:eastAsia="Times New Roman" w:hAnsiTheme="majorHAnsi" w:cstheme="majorHAnsi"/>
          <w:sz w:val="23"/>
          <w:szCs w:val="23"/>
          <w:lang w:eastAsia="en-GB"/>
        </w:rPr>
      </w:pPr>
      <w:r w:rsidRPr="00F83F81">
        <w:rPr>
          <w:rFonts w:asciiTheme="majorHAnsi" w:eastAsia="Times New Roman" w:hAnsiTheme="majorHAnsi" w:cstheme="majorHAnsi"/>
          <w:sz w:val="23"/>
          <w:szCs w:val="23"/>
          <w:lang w:eastAsia="en-GB"/>
        </w:rPr>
        <w:t>Systematic searches of the published literature using nine major databases, with publication dates from 2010 onwards, English-language only, and using initial key words</w:t>
      </w:r>
    </w:p>
    <w:p w14:paraId="143D9F8D" w14:textId="77777777" w:rsidR="00C7119C" w:rsidRPr="00F83F81" w:rsidRDefault="00C7119C" w:rsidP="00364C5D">
      <w:pPr>
        <w:pStyle w:val="ListParagraph"/>
        <w:numPr>
          <w:ilvl w:val="0"/>
          <w:numId w:val="48"/>
        </w:numPr>
        <w:spacing w:after="0" w:line="276" w:lineRule="auto"/>
        <w:rPr>
          <w:rFonts w:asciiTheme="majorHAnsi" w:eastAsia="Times New Roman" w:hAnsiTheme="majorHAnsi" w:cstheme="majorHAnsi"/>
          <w:sz w:val="23"/>
          <w:szCs w:val="23"/>
          <w:lang w:eastAsia="en-GB"/>
        </w:rPr>
      </w:pPr>
      <w:r w:rsidRPr="00F83F81">
        <w:rPr>
          <w:rFonts w:asciiTheme="majorHAnsi" w:eastAsia="Times New Roman" w:hAnsiTheme="majorHAnsi" w:cstheme="majorHAnsi"/>
          <w:sz w:val="23"/>
          <w:szCs w:val="23"/>
          <w:lang w:eastAsia="en-GB"/>
        </w:rPr>
        <w:t>Refine key words based on the quantity and relevance of returned items</w:t>
      </w:r>
    </w:p>
    <w:p w14:paraId="1B1EA5A3" w14:textId="77777777" w:rsidR="00C7119C" w:rsidRPr="00F83F81" w:rsidRDefault="00C7119C" w:rsidP="00364C5D">
      <w:pPr>
        <w:pStyle w:val="ListParagraph"/>
        <w:numPr>
          <w:ilvl w:val="0"/>
          <w:numId w:val="48"/>
        </w:numPr>
        <w:spacing w:after="0" w:line="276" w:lineRule="auto"/>
        <w:rPr>
          <w:rFonts w:asciiTheme="majorHAnsi" w:eastAsia="Times New Roman" w:hAnsiTheme="majorHAnsi" w:cstheme="majorHAnsi"/>
          <w:sz w:val="23"/>
          <w:szCs w:val="23"/>
          <w:lang w:eastAsia="en-GB"/>
        </w:rPr>
      </w:pPr>
      <w:r w:rsidRPr="00F83F81">
        <w:rPr>
          <w:rFonts w:asciiTheme="majorHAnsi" w:eastAsia="Times New Roman" w:hAnsiTheme="majorHAnsi" w:cstheme="majorHAnsi"/>
          <w:sz w:val="23"/>
          <w:szCs w:val="23"/>
          <w:lang w:eastAsia="en-GB"/>
        </w:rPr>
        <w:t>Systematic searches of the published literature using refined key words</w:t>
      </w:r>
    </w:p>
    <w:p w14:paraId="01C527A6" w14:textId="77777777" w:rsidR="00C7119C" w:rsidRPr="00F83F81" w:rsidRDefault="00C7119C" w:rsidP="00364C5D">
      <w:pPr>
        <w:pStyle w:val="ListParagraph"/>
        <w:numPr>
          <w:ilvl w:val="0"/>
          <w:numId w:val="48"/>
        </w:numPr>
        <w:spacing w:after="0" w:line="276" w:lineRule="auto"/>
        <w:rPr>
          <w:rFonts w:asciiTheme="majorHAnsi" w:eastAsia="Times New Roman" w:hAnsiTheme="majorHAnsi" w:cstheme="majorHAnsi"/>
          <w:sz w:val="23"/>
          <w:szCs w:val="23"/>
          <w:lang w:eastAsia="en-GB"/>
        </w:rPr>
      </w:pPr>
      <w:r w:rsidRPr="00F83F81">
        <w:rPr>
          <w:rFonts w:asciiTheme="majorHAnsi" w:eastAsia="Times New Roman" w:hAnsiTheme="majorHAnsi" w:cstheme="majorHAnsi"/>
          <w:sz w:val="23"/>
          <w:szCs w:val="23"/>
          <w:lang w:eastAsia="en-GB"/>
        </w:rPr>
        <w:t>Filter returned items by one researcher via the title and abstract</w:t>
      </w:r>
    </w:p>
    <w:p w14:paraId="038EBF16" w14:textId="77777777" w:rsidR="00C7119C" w:rsidRPr="00F83F81" w:rsidRDefault="00C7119C" w:rsidP="00364C5D">
      <w:pPr>
        <w:pStyle w:val="ListParagraph"/>
        <w:numPr>
          <w:ilvl w:val="0"/>
          <w:numId w:val="48"/>
        </w:numPr>
        <w:spacing w:after="0" w:line="276" w:lineRule="auto"/>
        <w:rPr>
          <w:rFonts w:asciiTheme="majorHAnsi" w:eastAsia="Times New Roman" w:hAnsiTheme="majorHAnsi" w:cstheme="majorHAnsi"/>
          <w:sz w:val="23"/>
          <w:szCs w:val="23"/>
          <w:lang w:eastAsia="en-GB"/>
        </w:rPr>
      </w:pPr>
      <w:r w:rsidRPr="00F83F81">
        <w:rPr>
          <w:rFonts w:asciiTheme="majorHAnsi" w:eastAsia="Times New Roman" w:hAnsiTheme="majorHAnsi" w:cstheme="majorHAnsi"/>
          <w:sz w:val="23"/>
          <w:szCs w:val="23"/>
          <w:lang w:eastAsia="en-GB"/>
        </w:rPr>
        <w:t>Filter returned items by two researchers via the main text for the final selection of articles</w:t>
      </w:r>
    </w:p>
    <w:p w14:paraId="6FA1CAF6" w14:textId="017B42CD" w:rsidR="00364B6B" w:rsidRPr="002851FA" w:rsidRDefault="00C7119C" w:rsidP="00364C5D">
      <w:pPr>
        <w:pStyle w:val="ListParagraph"/>
        <w:numPr>
          <w:ilvl w:val="0"/>
          <w:numId w:val="48"/>
        </w:numPr>
        <w:spacing w:after="0" w:line="276" w:lineRule="auto"/>
        <w:rPr>
          <w:rFonts w:asciiTheme="majorHAnsi" w:eastAsia="Times New Roman" w:hAnsiTheme="majorHAnsi" w:cstheme="majorBidi"/>
          <w:sz w:val="23"/>
          <w:szCs w:val="23"/>
          <w:lang w:eastAsia="en-GB"/>
        </w:rPr>
      </w:pPr>
      <w:r w:rsidRPr="00F83F81">
        <w:rPr>
          <w:rFonts w:asciiTheme="majorHAnsi" w:eastAsia="Times New Roman" w:hAnsiTheme="majorHAnsi" w:cstheme="majorBidi"/>
          <w:sz w:val="23"/>
          <w:szCs w:val="23"/>
          <w:lang w:eastAsia="en-GB"/>
        </w:rPr>
        <w:t xml:space="preserve">Exclude non-relevant returned items. Items were excluded on a range of grounds, principally on relevance to the two research questions, and whether the studies were relevant to the research context. This meant the search was limited to Western democratic nations (i.e., Australia and New Zealand, Canada, all European member countries of the EFTA and EU, the </w:t>
      </w:r>
      <w:r>
        <w:rPr>
          <w:rFonts w:asciiTheme="majorHAnsi" w:eastAsia="Times New Roman" w:hAnsiTheme="majorHAnsi" w:cstheme="majorBidi"/>
          <w:sz w:val="23"/>
          <w:szCs w:val="23"/>
          <w:lang w:eastAsia="en-GB"/>
        </w:rPr>
        <w:t>UK</w:t>
      </w:r>
      <w:r w:rsidRPr="00F83F81">
        <w:rPr>
          <w:rFonts w:asciiTheme="majorHAnsi" w:eastAsia="Times New Roman" w:hAnsiTheme="majorHAnsi" w:cstheme="majorBidi"/>
          <w:sz w:val="23"/>
          <w:szCs w:val="23"/>
          <w:lang w:eastAsia="en-GB"/>
        </w:rPr>
        <w:t xml:space="preserve">, and the </w:t>
      </w:r>
      <w:r>
        <w:rPr>
          <w:rFonts w:asciiTheme="majorHAnsi" w:eastAsia="Times New Roman" w:hAnsiTheme="majorHAnsi" w:cstheme="majorBidi"/>
          <w:sz w:val="23"/>
          <w:szCs w:val="23"/>
          <w:lang w:eastAsia="en-GB"/>
        </w:rPr>
        <w:t>US</w:t>
      </w:r>
      <w:r w:rsidRPr="00F83F81">
        <w:rPr>
          <w:rFonts w:asciiTheme="majorHAnsi" w:eastAsia="Times New Roman" w:hAnsiTheme="majorHAnsi" w:cstheme="majorBidi"/>
          <w:sz w:val="23"/>
          <w:szCs w:val="23"/>
          <w:lang w:eastAsia="en-GB"/>
        </w:rPr>
        <w:t>).</w:t>
      </w:r>
      <w:r w:rsidR="002851FA" w:rsidRPr="002851FA">
        <w:rPr>
          <w:rFonts w:asciiTheme="majorHAnsi" w:eastAsia="Times New Roman" w:hAnsiTheme="majorHAnsi" w:cstheme="majorBidi"/>
          <w:sz w:val="23"/>
          <w:szCs w:val="23"/>
          <w:lang w:eastAsia="en-GB"/>
        </w:rPr>
        <w:br w:type="page"/>
      </w:r>
    </w:p>
    <w:p w14:paraId="1C7E92A4" w14:textId="7B831AA3" w:rsidR="00C7119C" w:rsidRPr="008F4BF3" w:rsidRDefault="00C7119C" w:rsidP="00C7119C">
      <w:pPr>
        <w:spacing w:after="0" w:line="276" w:lineRule="auto"/>
        <w:rPr>
          <w:rFonts w:eastAsia="Times New Roman" w:cstheme="minorHAnsi"/>
          <w:b/>
          <w:bCs/>
          <w:color w:val="2E74B5" w:themeColor="accent5" w:themeShade="BF"/>
          <w:sz w:val="25"/>
          <w:szCs w:val="25"/>
          <w:lang w:eastAsia="en-GB"/>
        </w:rPr>
      </w:pPr>
      <w:r w:rsidRPr="008F4BF3">
        <w:rPr>
          <w:rFonts w:eastAsia="Times New Roman" w:cstheme="minorHAnsi"/>
          <w:b/>
          <w:bCs/>
          <w:color w:val="2E74B5" w:themeColor="accent5" w:themeShade="BF"/>
          <w:sz w:val="25"/>
          <w:szCs w:val="25"/>
          <w:lang w:eastAsia="en-GB"/>
        </w:rPr>
        <w:lastRenderedPageBreak/>
        <w:t>Data Analysis</w:t>
      </w:r>
    </w:p>
    <w:p w14:paraId="3ECC70AD" w14:textId="77777777" w:rsidR="00C7119C" w:rsidRPr="00E6189E" w:rsidRDefault="00C7119C" w:rsidP="00C7119C">
      <w:pPr>
        <w:spacing w:after="0" w:line="276" w:lineRule="auto"/>
        <w:contextualSpacing/>
        <w:rPr>
          <w:rFonts w:eastAsia="Times New Roman" w:cstheme="minorHAnsi"/>
          <w:sz w:val="12"/>
          <w:szCs w:val="12"/>
          <w:lang w:eastAsia="en-GB"/>
        </w:rPr>
      </w:pPr>
    </w:p>
    <w:p w14:paraId="440B612F" w14:textId="77777777" w:rsidR="00C7119C" w:rsidRPr="00BC19B6" w:rsidRDefault="00C7119C" w:rsidP="00C7119C">
      <w:pPr>
        <w:spacing w:after="0" w:line="276" w:lineRule="auto"/>
        <w:contextualSpacing/>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The following six domains were then used to classify the data:</w:t>
      </w:r>
    </w:p>
    <w:p w14:paraId="039C14BB" w14:textId="77777777" w:rsidR="00C7119C" w:rsidRPr="00421D88" w:rsidRDefault="00C7119C" w:rsidP="00364C5D">
      <w:pPr>
        <w:pStyle w:val="ListParagraph"/>
        <w:numPr>
          <w:ilvl w:val="0"/>
          <w:numId w:val="33"/>
        </w:numPr>
        <w:spacing w:after="0" w:line="276" w:lineRule="auto"/>
        <w:rPr>
          <w:rFonts w:asciiTheme="majorHAnsi" w:eastAsia="Times New Roman" w:hAnsiTheme="majorHAnsi" w:cstheme="majorHAnsi"/>
          <w:sz w:val="23"/>
          <w:szCs w:val="23"/>
          <w:lang w:eastAsia="en-GB"/>
        </w:rPr>
      </w:pPr>
      <w:r w:rsidRPr="00421D88">
        <w:rPr>
          <w:rFonts w:asciiTheme="majorHAnsi" w:eastAsia="Times New Roman" w:hAnsiTheme="majorHAnsi" w:cstheme="majorHAnsi"/>
          <w:sz w:val="23"/>
          <w:szCs w:val="23"/>
          <w:lang w:eastAsia="en-GB"/>
        </w:rPr>
        <w:t>Study (article type, authors, year, title)</w:t>
      </w:r>
    </w:p>
    <w:p w14:paraId="15D3F672" w14:textId="282335A4" w:rsidR="00C7119C" w:rsidRPr="00421D88" w:rsidRDefault="00D95573" w:rsidP="00364C5D">
      <w:pPr>
        <w:pStyle w:val="ListParagraph"/>
        <w:numPr>
          <w:ilvl w:val="0"/>
          <w:numId w:val="33"/>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Practice Domain</w:t>
      </w:r>
      <w:r w:rsidR="00C7119C" w:rsidRPr="00421D88">
        <w:rPr>
          <w:rFonts w:asciiTheme="majorHAnsi" w:eastAsia="Times New Roman" w:hAnsiTheme="majorHAnsi" w:cstheme="majorHAnsi"/>
          <w:sz w:val="23"/>
          <w:szCs w:val="23"/>
          <w:lang w:eastAsia="en-GB"/>
        </w:rPr>
        <w:t xml:space="preserve"> (either Education, Housing, Liveability, Employment, Health and Wellbeing (or combinations thereof)</w:t>
      </w:r>
    </w:p>
    <w:p w14:paraId="7FA222D7" w14:textId="77777777" w:rsidR="00C7119C" w:rsidRPr="00421D88" w:rsidRDefault="00C7119C" w:rsidP="00364C5D">
      <w:pPr>
        <w:pStyle w:val="ListParagraph"/>
        <w:numPr>
          <w:ilvl w:val="0"/>
          <w:numId w:val="33"/>
        </w:numPr>
        <w:spacing w:after="0" w:line="276" w:lineRule="auto"/>
        <w:rPr>
          <w:rFonts w:asciiTheme="majorHAnsi" w:eastAsia="Times New Roman" w:hAnsiTheme="majorHAnsi" w:cstheme="majorHAnsi"/>
          <w:sz w:val="23"/>
          <w:szCs w:val="23"/>
          <w:lang w:eastAsia="en-GB"/>
        </w:rPr>
      </w:pPr>
      <w:r w:rsidRPr="00421D88">
        <w:rPr>
          <w:rFonts w:asciiTheme="majorHAnsi" w:eastAsia="Times New Roman" w:hAnsiTheme="majorHAnsi" w:cstheme="majorHAnsi"/>
          <w:sz w:val="23"/>
          <w:szCs w:val="23"/>
          <w:lang w:eastAsia="en-GB"/>
        </w:rPr>
        <w:t>Social and/or economic factor evidenced (if classified as “Factor” article)</w:t>
      </w:r>
    </w:p>
    <w:p w14:paraId="0A1F917D" w14:textId="77777777" w:rsidR="00C7119C" w:rsidRPr="00421D88" w:rsidRDefault="00C7119C" w:rsidP="00364C5D">
      <w:pPr>
        <w:pStyle w:val="ListParagraph"/>
        <w:numPr>
          <w:ilvl w:val="0"/>
          <w:numId w:val="33"/>
        </w:numPr>
        <w:spacing w:after="0" w:line="276" w:lineRule="auto"/>
        <w:rPr>
          <w:rFonts w:asciiTheme="majorHAnsi" w:eastAsia="Times New Roman" w:hAnsiTheme="majorHAnsi" w:cstheme="majorHAnsi"/>
          <w:sz w:val="23"/>
          <w:szCs w:val="23"/>
          <w:lang w:eastAsia="en-GB"/>
        </w:rPr>
      </w:pPr>
      <w:r w:rsidRPr="00421D88">
        <w:rPr>
          <w:rFonts w:asciiTheme="majorHAnsi" w:eastAsia="Times New Roman" w:hAnsiTheme="majorHAnsi" w:cstheme="majorHAnsi"/>
          <w:sz w:val="23"/>
          <w:szCs w:val="23"/>
          <w:lang w:eastAsia="en-GB"/>
        </w:rPr>
        <w:t>Nature of intervention (if classified as “Intervention” article)</w:t>
      </w:r>
    </w:p>
    <w:p w14:paraId="781D13CA" w14:textId="77777777" w:rsidR="00C7119C" w:rsidRPr="00421D88" w:rsidRDefault="00C7119C" w:rsidP="00364C5D">
      <w:pPr>
        <w:pStyle w:val="ListParagraph"/>
        <w:numPr>
          <w:ilvl w:val="0"/>
          <w:numId w:val="33"/>
        </w:numPr>
        <w:spacing w:after="0" w:line="276" w:lineRule="auto"/>
        <w:rPr>
          <w:rFonts w:asciiTheme="majorHAnsi" w:eastAsia="Times New Roman" w:hAnsiTheme="majorHAnsi" w:cstheme="majorHAnsi"/>
          <w:sz w:val="23"/>
          <w:szCs w:val="23"/>
          <w:lang w:eastAsia="en-GB"/>
        </w:rPr>
      </w:pPr>
      <w:r w:rsidRPr="00421D88">
        <w:rPr>
          <w:rFonts w:asciiTheme="majorHAnsi" w:eastAsia="Times New Roman" w:hAnsiTheme="majorHAnsi" w:cstheme="majorHAnsi"/>
          <w:sz w:val="23"/>
          <w:szCs w:val="23"/>
          <w:lang w:eastAsia="en-GB"/>
        </w:rPr>
        <w:t>Evaluation done (yes/no, type)</w:t>
      </w:r>
    </w:p>
    <w:p w14:paraId="0E8D331B" w14:textId="77777777" w:rsidR="00C7119C" w:rsidRPr="00421D88" w:rsidRDefault="00C7119C" w:rsidP="00364C5D">
      <w:pPr>
        <w:pStyle w:val="ListParagraph"/>
        <w:numPr>
          <w:ilvl w:val="0"/>
          <w:numId w:val="33"/>
        </w:numPr>
        <w:spacing w:after="0" w:line="276" w:lineRule="auto"/>
        <w:rPr>
          <w:rFonts w:asciiTheme="majorHAnsi" w:eastAsia="Times New Roman" w:hAnsiTheme="majorHAnsi" w:cstheme="majorHAnsi"/>
          <w:sz w:val="23"/>
          <w:szCs w:val="23"/>
          <w:lang w:eastAsia="en-GB"/>
        </w:rPr>
      </w:pPr>
      <w:r w:rsidRPr="00421D88">
        <w:rPr>
          <w:rFonts w:asciiTheme="majorHAnsi" w:eastAsia="Times New Roman" w:hAnsiTheme="majorHAnsi" w:cstheme="majorHAnsi"/>
          <w:sz w:val="23"/>
          <w:szCs w:val="23"/>
          <w:lang w:eastAsia="en-GB"/>
        </w:rPr>
        <w:t>Country of study</w:t>
      </w:r>
    </w:p>
    <w:p w14:paraId="59EE5D10" w14:textId="77777777" w:rsidR="00C7119C" w:rsidRPr="00E07DC1" w:rsidRDefault="00C7119C" w:rsidP="00364C5D">
      <w:pPr>
        <w:pStyle w:val="ListParagraph"/>
        <w:numPr>
          <w:ilvl w:val="0"/>
          <w:numId w:val="33"/>
        </w:numPr>
        <w:spacing w:after="0" w:line="276" w:lineRule="auto"/>
        <w:rPr>
          <w:rFonts w:asciiTheme="majorHAnsi" w:eastAsia="Times New Roman" w:hAnsiTheme="majorHAnsi" w:cstheme="majorHAnsi"/>
          <w:sz w:val="23"/>
          <w:szCs w:val="23"/>
          <w:lang w:eastAsia="en-GB"/>
        </w:rPr>
      </w:pPr>
      <w:r w:rsidRPr="00421D88">
        <w:rPr>
          <w:rFonts w:asciiTheme="majorHAnsi" w:eastAsia="Times New Roman" w:hAnsiTheme="majorHAnsi" w:cstheme="majorHAnsi"/>
          <w:sz w:val="23"/>
          <w:szCs w:val="23"/>
          <w:lang w:eastAsia="en-GB"/>
        </w:rPr>
        <w:t>Citation count</w:t>
      </w:r>
      <w:r>
        <w:rPr>
          <w:rFonts w:asciiTheme="majorHAnsi" w:eastAsia="Times New Roman" w:hAnsiTheme="majorHAnsi" w:cstheme="majorHAnsi"/>
          <w:sz w:val="23"/>
          <w:szCs w:val="23"/>
          <w:lang w:eastAsia="en-GB"/>
        </w:rPr>
        <w:t>.</w:t>
      </w:r>
    </w:p>
    <w:p w14:paraId="1C4D5BC4" w14:textId="77777777" w:rsidR="00741FC8" w:rsidRPr="00741FC8" w:rsidRDefault="00741FC8" w:rsidP="00C7119C">
      <w:pPr>
        <w:spacing w:after="0" w:line="276" w:lineRule="auto"/>
        <w:rPr>
          <w:rFonts w:asciiTheme="majorHAnsi" w:eastAsia="Times New Roman" w:hAnsiTheme="majorHAnsi" w:cstheme="majorHAnsi"/>
          <w:sz w:val="8"/>
          <w:szCs w:val="8"/>
          <w:lang w:eastAsia="en-GB"/>
        </w:rPr>
      </w:pPr>
    </w:p>
    <w:p w14:paraId="287508E1" w14:textId="2A43AEC5" w:rsidR="00C7119C" w:rsidRPr="00DC673D" w:rsidRDefault="00C7119C" w:rsidP="00C7119C">
      <w:pPr>
        <w:spacing w:after="0" w:line="276" w:lineRule="auto"/>
        <w:rPr>
          <w:rFonts w:asciiTheme="majorHAnsi" w:eastAsia="Times New Roman" w:hAnsiTheme="majorHAnsi" w:cstheme="majorHAnsi"/>
          <w:sz w:val="23"/>
          <w:szCs w:val="23"/>
          <w:lang w:eastAsia="en-GB"/>
        </w:rPr>
      </w:pPr>
      <w:r w:rsidRPr="006456A2">
        <w:rPr>
          <w:rFonts w:asciiTheme="majorHAnsi" w:eastAsia="Times New Roman" w:hAnsiTheme="majorHAnsi" w:cstheme="majorHAnsi"/>
          <w:sz w:val="23"/>
          <w:szCs w:val="23"/>
          <w:lang w:eastAsia="en-GB"/>
        </w:rPr>
        <w:t>In addition, the following details are included in the Appendices</w:t>
      </w:r>
      <w:r w:rsidR="00741FC8">
        <w:rPr>
          <w:rFonts w:asciiTheme="majorHAnsi" w:eastAsia="Times New Roman" w:hAnsiTheme="majorHAnsi" w:cstheme="majorHAnsi"/>
          <w:sz w:val="23"/>
          <w:szCs w:val="23"/>
          <w:lang w:eastAsia="en-GB"/>
        </w:rPr>
        <w:t xml:space="preserve"> at the end of this report</w:t>
      </w:r>
      <w:r w:rsidRPr="006456A2">
        <w:rPr>
          <w:rFonts w:asciiTheme="majorHAnsi" w:eastAsia="Times New Roman" w:hAnsiTheme="majorHAnsi" w:cstheme="majorHAnsi"/>
          <w:sz w:val="23"/>
          <w:szCs w:val="23"/>
          <w:lang w:eastAsia="en-GB"/>
        </w:rPr>
        <w:t>:</w:t>
      </w:r>
      <w:r>
        <w:rPr>
          <w:rFonts w:asciiTheme="majorHAnsi" w:eastAsia="Times New Roman" w:hAnsiTheme="majorHAnsi" w:cstheme="majorHAnsi"/>
          <w:sz w:val="23"/>
          <w:szCs w:val="23"/>
          <w:lang w:eastAsia="en-GB"/>
        </w:rPr>
        <w:t xml:space="preserve"> </w:t>
      </w:r>
      <w:r w:rsidRPr="00DC673D">
        <w:rPr>
          <w:rFonts w:asciiTheme="majorHAnsi" w:eastAsia="Times New Roman" w:hAnsiTheme="majorHAnsi" w:cstheme="majorHAnsi"/>
          <w:sz w:val="23"/>
          <w:szCs w:val="23"/>
          <w:lang w:eastAsia="en-GB"/>
        </w:rPr>
        <w:t>Keywords</w:t>
      </w:r>
      <w:r>
        <w:rPr>
          <w:rFonts w:asciiTheme="majorHAnsi" w:eastAsia="Times New Roman" w:hAnsiTheme="majorHAnsi" w:cstheme="majorHAnsi"/>
          <w:sz w:val="23"/>
          <w:szCs w:val="23"/>
          <w:lang w:eastAsia="en-GB"/>
        </w:rPr>
        <w:t xml:space="preserve">; </w:t>
      </w:r>
      <w:r w:rsidRPr="00DC673D">
        <w:rPr>
          <w:rFonts w:asciiTheme="majorHAnsi" w:eastAsia="Times New Roman" w:hAnsiTheme="majorHAnsi" w:cstheme="majorHAnsi"/>
          <w:sz w:val="23"/>
          <w:szCs w:val="23"/>
          <w:lang w:eastAsia="en-GB"/>
        </w:rPr>
        <w:t>Findings (if these could be readily summarised)</w:t>
      </w:r>
      <w:r>
        <w:rPr>
          <w:rFonts w:asciiTheme="majorHAnsi" w:eastAsia="Times New Roman" w:hAnsiTheme="majorHAnsi" w:cstheme="majorHAnsi"/>
          <w:sz w:val="23"/>
          <w:szCs w:val="23"/>
          <w:lang w:eastAsia="en-GB"/>
        </w:rPr>
        <w:t xml:space="preserve">; </w:t>
      </w:r>
      <w:r w:rsidRPr="00DC673D">
        <w:rPr>
          <w:rFonts w:asciiTheme="majorHAnsi" w:eastAsia="Times New Roman" w:hAnsiTheme="majorHAnsi" w:cstheme="majorBidi"/>
          <w:sz w:val="23"/>
          <w:szCs w:val="23"/>
          <w:lang w:eastAsia="en-GB"/>
        </w:rPr>
        <w:t>Abstract.</w:t>
      </w:r>
    </w:p>
    <w:p w14:paraId="2CE25FF4" w14:textId="77777777" w:rsidR="00C7119C" w:rsidRPr="00741FC8" w:rsidRDefault="00C7119C" w:rsidP="00C7119C">
      <w:pPr>
        <w:spacing w:after="0" w:line="276" w:lineRule="auto"/>
        <w:rPr>
          <w:rFonts w:asciiTheme="majorHAnsi" w:eastAsia="Times New Roman" w:hAnsiTheme="majorHAnsi" w:cstheme="majorBidi"/>
          <w:b/>
          <w:bCs/>
          <w:sz w:val="12"/>
          <w:szCs w:val="12"/>
          <w:lang w:eastAsia="en-GB"/>
        </w:rPr>
      </w:pPr>
    </w:p>
    <w:p w14:paraId="0387E0AC" w14:textId="67A673C6" w:rsidR="00C7119C" w:rsidRPr="00BC19B6" w:rsidRDefault="00C7119C" w:rsidP="00C7119C">
      <w:pPr>
        <w:spacing w:after="0" w:line="276" w:lineRule="auto"/>
        <w:contextualSpacing/>
        <w:rPr>
          <w:rFonts w:asciiTheme="majorHAnsi" w:eastAsia="Times New Roman" w:hAnsiTheme="majorHAnsi" w:cstheme="majorHAnsi"/>
          <w:sz w:val="23"/>
          <w:szCs w:val="23"/>
          <w:lang w:eastAsia="en-GB"/>
        </w:rPr>
      </w:pPr>
      <w:r w:rsidRPr="00FC7CC2">
        <w:rPr>
          <w:rFonts w:eastAsia="Times New Roman" w:cstheme="minorHAnsi"/>
          <w:b/>
          <w:bCs/>
          <w:sz w:val="23"/>
          <w:szCs w:val="23"/>
          <w:lang w:eastAsia="en-GB"/>
        </w:rPr>
        <w:t>Search Engines and Databases</w:t>
      </w:r>
      <w:r w:rsidRPr="00FC7CC2">
        <w:rPr>
          <w:rFonts w:eastAsia="Times New Roman" w:cstheme="minorHAnsi"/>
          <w:sz w:val="23"/>
          <w:szCs w:val="23"/>
          <w:lang w:eastAsia="en-GB"/>
        </w:rPr>
        <w:t>:</w:t>
      </w:r>
      <w:r w:rsidRPr="00FC7CC2">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Nine search engines and databases were used: </w:t>
      </w:r>
      <w:r w:rsidRPr="00BC19B6">
        <w:rPr>
          <w:rFonts w:asciiTheme="majorHAnsi" w:eastAsia="Times New Roman" w:hAnsiTheme="majorHAnsi" w:cstheme="majorHAnsi"/>
          <w:sz w:val="23"/>
          <w:szCs w:val="23"/>
          <w:lang w:eastAsia="en-GB"/>
        </w:rPr>
        <w:t xml:space="preserve">SCOPUS, ProQuest, Web of Science/MEDLINE, JSTOR, Informit, Analysis </w:t>
      </w:r>
      <w:r w:rsidR="00290D77">
        <w:rPr>
          <w:rFonts w:asciiTheme="majorHAnsi" w:eastAsia="Times New Roman" w:hAnsiTheme="majorHAnsi" w:cstheme="majorHAnsi"/>
          <w:sz w:val="23"/>
          <w:szCs w:val="23"/>
          <w:lang w:eastAsia="en-GB"/>
        </w:rPr>
        <w:t>and</w:t>
      </w:r>
      <w:r w:rsidRPr="00BC19B6">
        <w:rPr>
          <w:rFonts w:asciiTheme="majorHAnsi" w:eastAsia="Times New Roman" w:hAnsiTheme="majorHAnsi" w:cstheme="majorHAnsi"/>
          <w:sz w:val="23"/>
          <w:szCs w:val="23"/>
          <w:lang w:eastAsia="en-GB"/>
        </w:rPr>
        <w:t xml:space="preserve"> Policy Observatory (APO), Research Papers in Economics (RePEc), OpenGrey, Australian Institute of Health </w:t>
      </w:r>
      <w:r w:rsidR="00290D77">
        <w:rPr>
          <w:rFonts w:asciiTheme="majorHAnsi" w:eastAsia="Times New Roman" w:hAnsiTheme="majorHAnsi" w:cstheme="majorHAnsi"/>
          <w:sz w:val="23"/>
          <w:szCs w:val="23"/>
          <w:lang w:eastAsia="en-GB"/>
        </w:rPr>
        <w:t xml:space="preserve">and </w:t>
      </w:r>
      <w:r w:rsidRPr="00BC19B6">
        <w:rPr>
          <w:rFonts w:asciiTheme="majorHAnsi" w:eastAsia="Times New Roman" w:hAnsiTheme="majorHAnsi" w:cstheme="majorHAnsi"/>
          <w:sz w:val="23"/>
          <w:szCs w:val="23"/>
          <w:lang w:eastAsia="en-GB"/>
        </w:rPr>
        <w:t>Welfare (AIHW)</w:t>
      </w:r>
      <w:r>
        <w:rPr>
          <w:rFonts w:asciiTheme="majorHAnsi" w:eastAsia="Times New Roman" w:hAnsiTheme="majorHAnsi" w:cstheme="majorHAnsi"/>
          <w:sz w:val="23"/>
          <w:szCs w:val="23"/>
          <w:lang w:eastAsia="en-GB"/>
        </w:rPr>
        <w:t>.</w:t>
      </w:r>
    </w:p>
    <w:p w14:paraId="0EC2CF79" w14:textId="77777777" w:rsidR="00C7119C" w:rsidRPr="004A564B" w:rsidRDefault="00C7119C" w:rsidP="00C7119C">
      <w:pPr>
        <w:spacing w:after="0" w:line="276" w:lineRule="auto"/>
        <w:contextualSpacing/>
        <w:rPr>
          <w:rFonts w:asciiTheme="majorHAnsi" w:eastAsia="Times New Roman" w:hAnsiTheme="majorHAnsi" w:cstheme="majorHAnsi"/>
          <w:sz w:val="16"/>
          <w:szCs w:val="16"/>
          <w:lang w:eastAsia="en-GB"/>
        </w:rPr>
      </w:pPr>
    </w:p>
    <w:p w14:paraId="629E1625" w14:textId="02AF8CA7" w:rsidR="00C7119C" w:rsidRPr="00426862" w:rsidRDefault="00C7119C" w:rsidP="00C7119C">
      <w:pPr>
        <w:spacing w:after="0" w:line="276" w:lineRule="auto"/>
        <w:contextualSpacing/>
        <w:rPr>
          <w:rFonts w:asciiTheme="majorHAnsi" w:eastAsia="Times New Roman" w:hAnsiTheme="majorHAnsi" w:cstheme="majorHAnsi"/>
          <w:b/>
          <w:bCs/>
          <w:sz w:val="23"/>
          <w:szCs w:val="23"/>
          <w:lang w:eastAsia="en-GB"/>
        </w:rPr>
      </w:pPr>
      <w:r w:rsidRPr="00FC7CC2">
        <w:rPr>
          <w:rFonts w:eastAsia="Times New Roman" w:cstheme="minorHAnsi"/>
          <w:b/>
          <w:bCs/>
          <w:sz w:val="23"/>
          <w:szCs w:val="23"/>
          <w:lang w:eastAsia="en-GB"/>
        </w:rPr>
        <w:t>Initial Keywords/Search Terms:</w:t>
      </w:r>
      <w:r w:rsidRPr="00FC7CC2">
        <w:rPr>
          <w:rFonts w:asciiTheme="majorHAnsi" w:eastAsia="Times New Roman" w:hAnsiTheme="majorHAnsi" w:cstheme="majorHAnsi"/>
          <w:b/>
          <w:bCs/>
          <w:sz w:val="23"/>
          <w:szCs w:val="23"/>
          <w:lang w:eastAsia="en-GB"/>
        </w:rPr>
        <w:t xml:space="preserve"> </w:t>
      </w:r>
      <w:r w:rsidRPr="00BC19B6">
        <w:rPr>
          <w:rFonts w:asciiTheme="majorHAnsi" w:eastAsia="Times New Roman" w:hAnsiTheme="majorHAnsi" w:cstheme="majorHAnsi"/>
          <w:sz w:val="23"/>
          <w:szCs w:val="23"/>
          <w:lang w:eastAsia="en-GB"/>
        </w:rPr>
        <w:t>Initial keyword</w:t>
      </w:r>
      <w:r w:rsidR="00364B6B">
        <w:rPr>
          <w:rFonts w:asciiTheme="majorHAnsi" w:eastAsia="Times New Roman" w:hAnsiTheme="majorHAnsi" w:cstheme="majorHAnsi"/>
          <w:sz w:val="23"/>
          <w:szCs w:val="23"/>
          <w:lang w:eastAsia="en-GB"/>
        </w:rPr>
        <w:t>s</w:t>
      </w:r>
      <w:r w:rsidRPr="00BC19B6">
        <w:rPr>
          <w:rFonts w:asciiTheme="majorHAnsi" w:eastAsia="Times New Roman" w:hAnsiTheme="majorHAnsi" w:cstheme="majorHAnsi"/>
          <w:sz w:val="23"/>
          <w:szCs w:val="23"/>
          <w:lang w:eastAsia="en-GB"/>
        </w:rPr>
        <w:t xml:space="preserve"> were </w:t>
      </w:r>
      <w:r w:rsidR="00364B6B">
        <w:rPr>
          <w:rFonts w:asciiTheme="majorHAnsi" w:eastAsia="Times New Roman" w:hAnsiTheme="majorHAnsi" w:cstheme="majorHAnsi"/>
          <w:sz w:val="23"/>
          <w:szCs w:val="23"/>
          <w:lang w:eastAsia="en-GB"/>
        </w:rPr>
        <w:t>collated</w:t>
      </w:r>
      <w:r w:rsidRPr="00BC19B6">
        <w:rPr>
          <w:rFonts w:asciiTheme="majorHAnsi" w:eastAsia="Times New Roman" w:hAnsiTheme="majorHAnsi" w:cstheme="majorHAnsi"/>
          <w:sz w:val="23"/>
          <w:szCs w:val="23"/>
          <w:lang w:eastAsia="en-GB"/>
        </w:rPr>
        <w:t xml:space="preserve"> via liaison with </w:t>
      </w:r>
      <w:r w:rsidR="001B7DDF">
        <w:rPr>
          <w:rFonts w:asciiTheme="majorHAnsi" w:eastAsia="Times New Roman" w:hAnsiTheme="majorHAnsi" w:cstheme="majorHAnsi"/>
          <w:sz w:val="23"/>
          <w:szCs w:val="23"/>
          <w:lang w:eastAsia="en-GB"/>
        </w:rPr>
        <w:t>CoGG</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see </w:t>
      </w:r>
      <w:r w:rsidRPr="00BC19B6">
        <w:rPr>
          <w:rFonts w:asciiTheme="majorHAnsi" w:eastAsia="Times New Roman" w:hAnsiTheme="majorHAnsi" w:cstheme="majorHAnsi"/>
          <w:sz w:val="23"/>
          <w:szCs w:val="23"/>
          <w:lang w:eastAsia="en-GB"/>
        </w:rPr>
        <w:t>Appendix A)</w:t>
      </w:r>
      <w:r>
        <w:rPr>
          <w:rFonts w:asciiTheme="majorHAnsi" w:eastAsia="Times New Roman" w:hAnsiTheme="majorHAnsi" w:cstheme="majorHAnsi"/>
          <w:sz w:val="23"/>
          <w:szCs w:val="23"/>
          <w:lang w:eastAsia="en-GB"/>
        </w:rPr>
        <w:t>.</w:t>
      </w:r>
    </w:p>
    <w:p w14:paraId="65C46454" w14:textId="77777777" w:rsidR="00C7119C" w:rsidRPr="004A564B" w:rsidRDefault="00C7119C" w:rsidP="00C7119C">
      <w:pPr>
        <w:spacing w:after="0" w:line="276" w:lineRule="auto"/>
        <w:contextualSpacing/>
        <w:rPr>
          <w:rFonts w:asciiTheme="majorHAnsi" w:eastAsia="Times New Roman" w:hAnsiTheme="majorHAnsi" w:cstheme="majorHAnsi"/>
          <w:sz w:val="16"/>
          <w:szCs w:val="16"/>
          <w:lang w:eastAsia="en-GB"/>
        </w:rPr>
      </w:pPr>
    </w:p>
    <w:p w14:paraId="3A49D105" w14:textId="1116A2A7" w:rsidR="00C7119C" w:rsidRDefault="00C7119C" w:rsidP="00C7119C">
      <w:pPr>
        <w:spacing w:after="0" w:line="276" w:lineRule="auto"/>
        <w:contextualSpacing/>
        <w:rPr>
          <w:rFonts w:asciiTheme="majorHAnsi" w:eastAsia="Times New Roman" w:hAnsiTheme="majorHAnsi" w:cstheme="majorHAnsi"/>
          <w:sz w:val="23"/>
          <w:szCs w:val="23"/>
          <w:lang w:eastAsia="en-GB"/>
        </w:rPr>
      </w:pPr>
      <w:r w:rsidRPr="00FC7CC2">
        <w:rPr>
          <w:rFonts w:eastAsia="Times New Roman" w:cstheme="minorHAnsi"/>
          <w:b/>
          <w:bCs/>
          <w:sz w:val="23"/>
          <w:szCs w:val="23"/>
          <w:lang w:eastAsia="en-GB"/>
        </w:rPr>
        <w:t>Keyword Refinement:</w:t>
      </w:r>
      <w:r w:rsidRPr="00FC7CC2">
        <w:rPr>
          <w:rFonts w:eastAsia="Times New Roman" w:cstheme="minorHAnsi"/>
          <w:b/>
          <w:bCs/>
          <w:sz w:val="25"/>
          <w:szCs w:val="25"/>
          <w:lang w:eastAsia="en-GB"/>
        </w:rPr>
        <w:t xml:space="preserve"> </w:t>
      </w:r>
      <w:r w:rsidRPr="00421D88">
        <w:rPr>
          <w:rFonts w:asciiTheme="majorHAnsi" w:eastAsia="Times New Roman" w:hAnsiTheme="majorHAnsi" w:cstheme="majorHAnsi"/>
          <w:sz w:val="23"/>
          <w:szCs w:val="23"/>
          <w:lang w:eastAsia="en-GB"/>
        </w:rPr>
        <w:t xml:space="preserve">After an initial Scopus search on the full list of original search terms returned 4,420,541 document results, the search terms were iteratively refined to narrow the list of articles. The final list of search terms described seven research parameters: impact, process, outcome, initiative, context, context exclusions, </w:t>
      </w:r>
      <w:r w:rsidR="00D95573">
        <w:rPr>
          <w:rFonts w:asciiTheme="majorHAnsi" w:eastAsia="Times New Roman" w:hAnsiTheme="majorHAnsi" w:cstheme="majorHAnsi"/>
          <w:sz w:val="23"/>
          <w:szCs w:val="23"/>
          <w:lang w:eastAsia="en-GB"/>
        </w:rPr>
        <w:t>Practice Domain</w:t>
      </w:r>
      <w:r w:rsidRPr="00421D88">
        <w:rPr>
          <w:rFonts w:asciiTheme="majorHAnsi" w:eastAsia="Times New Roman" w:hAnsiTheme="majorHAnsi" w:cstheme="majorHAnsi"/>
          <w:sz w:val="23"/>
          <w:szCs w:val="23"/>
          <w:lang w:eastAsia="en-GB"/>
        </w:rPr>
        <w:t>, and research period. The final list of terms was:</w:t>
      </w:r>
      <w:r w:rsidRPr="00421D88">
        <w:rPr>
          <w:rFonts w:asciiTheme="majorHAnsi" w:eastAsia="Times New Roman" w:hAnsiTheme="majorHAnsi" w:cstheme="majorHAnsi"/>
          <w:sz w:val="23"/>
          <w:szCs w:val="23"/>
          <w:vertAlign w:val="superscript"/>
          <w:lang w:eastAsia="en-GB"/>
        </w:rPr>
        <w:footnoteReference w:id="4"/>
      </w:r>
    </w:p>
    <w:p w14:paraId="3993E6B7" w14:textId="77777777" w:rsidR="00741FC8" w:rsidRPr="00741FC8" w:rsidRDefault="00741FC8" w:rsidP="00C7119C">
      <w:pPr>
        <w:spacing w:after="0" w:line="276" w:lineRule="auto"/>
        <w:contextualSpacing/>
        <w:rPr>
          <w:rFonts w:asciiTheme="majorHAnsi" w:eastAsia="Times New Roman" w:hAnsiTheme="majorHAnsi" w:cstheme="majorHAnsi"/>
          <w:sz w:val="8"/>
          <w:szCs w:val="8"/>
          <w:lang w:eastAsia="en-GB"/>
        </w:rPr>
      </w:pPr>
    </w:p>
    <w:p w14:paraId="3CE472E0" w14:textId="77777777" w:rsidR="00C7119C" w:rsidRPr="00421D88" w:rsidRDefault="00C7119C" w:rsidP="00364C5D">
      <w:pPr>
        <w:pStyle w:val="ListParagraph"/>
        <w:numPr>
          <w:ilvl w:val="0"/>
          <w:numId w:val="30"/>
        </w:numPr>
        <w:spacing w:after="0" w:line="276" w:lineRule="auto"/>
        <w:rPr>
          <w:rFonts w:asciiTheme="majorHAnsi" w:eastAsia="Times New Roman" w:hAnsiTheme="majorHAnsi" w:cstheme="majorHAnsi"/>
          <w:sz w:val="23"/>
          <w:szCs w:val="23"/>
          <w:lang w:eastAsia="en-GB"/>
        </w:rPr>
      </w:pPr>
      <w:r w:rsidRPr="00421D88">
        <w:rPr>
          <w:rFonts w:asciiTheme="majorHAnsi" w:eastAsia="Times New Roman" w:hAnsiTheme="majorHAnsi" w:cstheme="majorHAnsi"/>
          <w:sz w:val="23"/>
          <w:szCs w:val="23"/>
          <w:lang w:eastAsia="en-GB"/>
        </w:rPr>
        <w:t>Impact: Social inclusion OR Social inequity OR Social exclusion OR Social integration OR Social disadvantage</w:t>
      </w:r>
    </w:p>
    <w:p w14:paraId="2317CED9" w14:textId="77777777" w:rsidR="00C7119C" w:rsidRPr="00421D88" w:rsidRDefault="00C7119C" w:rsidP="00364C5D">
      <w:pPr>
        <w:pStyle w:val="ListParagraph"/>
        <w:numPr>
          <w:ilvl w:val="0"/>
          <w:numId w:val="30"/>
        </w:numPr>
        <w:spacing w:after="0" w:line="276" w:lineRule="auto"/>
        <w:rPr>
          <w:rFonts w:asciiTheme="majorHAnsi" w:eastAsia="Times New Roman" w:hAnsiTheme="majorHAnsi" w:cstheme="majorHAnsi"/>
          <w:sz w:val="23"/>
          <w:szCs w:val="23"/>
          <w:lang w:eastAsia="en-GB"/>
        </w:rPr>
      </w:pPr>
      <w:r w:rsidRPr="00421D88">
        <w:rPr>
          <w:rFonts w:asciiTheme="majorHAnsi" w:eastAsia="Times New Roman" w:hAnsiTheme="majorHAnsi" w:cstheme="majorHAnsi"/>
          <w:sz w:val="23"/>
          <w:szCs w:val="23"/>
          <w:lang w:eastAsia="en-GB"/>
        </w:rPr>
        <w:t>Process: Civic participation OR community-building OR Community building OR Community development OR Community integration OR Community engagement</w:t>
      </w:r>
    </w:p>
    <w:p w14:paraId="63671BA5" w14:textId="77777777" w:rsidR="00C7119C" w:rsidRPr="00421D88" w:rsidRDefault="00C7119C" w:rsidP="00364C5D">
      <w:pPr>
        <w:pStyle w:val="ListParagraph"/>
        <w:numPr>
          <w:ilvl w:val="0"/>
          <w:numId w:val="30"/>
        </w:numPr>
        <w:spacing w:after="0" w:line="276" w:lineRule="auto"/>
        <w:rPr>
          <w:rFonts w:asciiTheme="majorHAnsi" w:eastAsia="Times New Roman" w:hAnsiTheme="majorHAnsi" w:cstheme="majorHAnsi"/>
          <w:sz w:val="23"/>
          <w:szCs w:val="23"/>
          <w:lang w:eastAsia="en-GB"/>
        </w:rPr>
      </w:pPr>
      <w:r w:rsidRPr="00421D88">
        <w:rPr>
          <w:rFonts w:asciiTheme="majorHAnsi" w:eastAsia="Times New Roman" w:hAnsiTheme="majorHAnsi" w:cstheme="majorHAnsi"/>
          <w:sz w:val="23"/>
          <w:szCs w:val="23"/>
          <w:lang w:eastAsia="en-GB"/>
        </w:rPr>
        <w:t>Outcome: Policy OR policies OR program OR programme OR strategy</w:t>
      </w:r>
    </w:p>
    <w:p w14:paraId="059C675B" w14:textId="77777777" w:rsidR="00C7119C" w:rsidRPr="00421D88" w:rsidRDefault="00C7119C" w:rsidP="00364C5D">
      <w:pPr>
        <w:pStyle w:val="ListParagraph"/>
        <w:numPr>
          <w:ilvl w:val="0"/>
          <w:numId w:val="30"/>
        </w:numPr>
        <w:spacing w:after="0" w:line="276" w:lineRule="auto"/>
        <w:rPr>
          <w:rFonts w:asciiTheme="majorHAnsi" w:eastAsia="Times New Roman" w:hAnsiTheme="majorHAnsi" w:cstheme="majorHAnsi"/>
          <w:sz w:val="23"/>
          <w:szCs w:val="23"/>
          <w:lang w:eastAsia="en-GB"/>
        </w:rPr>
      </w:pPr>
      <w:r w:rsidRPr="00421D88">
        <w:rPr>
          <w:rFonts w:asciiTheme="majorHAnsi" w:eastAsia="Times New Roman" w:hAnsiTheme="majorHAnsi" w:cstheme="majorHAnsi"/>
          <w:sz w:val="23"/>
          <w:szCs w:val="23"/>
          <w:lang w:eastAsia="en-GB"/>
        </w:rPr>
        <w:t>Initiative: Program OR initiative OR intervention</w:t>
      </w:r>
    </w:p>
    <w:p w14:paraId="5C35BC70" w14:textId="77777777" w:rsidR="00C7119C" w:rsidRPr="00421D88" w:rsidRDefault="00C7119C" w:rsidP="00364C5D">
      <w:pPr>
        <w:pStyle w:val="ListParagraph"/>
        <w:numPr>
          <w:ilvl w:val="0"/>
          <w:numId w:val="30"/>
        </w:numPr>
        <w:spacing w:after="0" w:line="276" w:lineRule="auto"/>
        <w:rPr>
          <w:rFonts w:asciiTheme="majorHAnsi" w:eastAsia="Times New Roman" w:hAnsiTheme="majorHAnsi" w:cstheme="majorHAnsi"/>
          <w:sz w:val="23"/>
          <w:szCs w:val="23"/>
          <w:lang w:eastAsia="en-GB"/>
        </w:rPr>
      </w:pPr>
      <w:r w:rsidRPr="00421D88">
        <w:rPr>
          <w:rFonts w:asciiTheme="majorHAnsi" w:eastAsia="Times New Roman" w:hAnsiTheme="majorHAnsi" w:cstheme="majorHAnsi"/>
          <w:sz w:val="23"/>
          <w:szCs w:val="23"/>
          <w:lang w:eastAsia="en-GB"/>
        </w:rPr>
        <w:t xml:space="preserve">Context: National OR international OR </w:t>
      </w:r>
      <w:r>
        <w:rPr>
          <w:rFonts w:asciiTheme="majorHAnsi" w:eastAsia="Times New Roman" w:hAnsiTheme="majorHAnsi" w:cstheme="majorHAnsi"/>
          <w:sz w:val="23"/>
          <w:szCs w:val="23"/>
          <w:lang w:eastAsia="en-GB"/>
        </w:rPr>
        <w:t>COVID</w:t>
      </w:r>
      <w:r w:rsidRPr="00421D88">
        <w:rPr>
          <w:rFonts w:asciiTheme="majorHAnsi" w:eastAsia="Times New Roman" w:hAnsiTheme="majorHAnsi" w:cstheme="majorHAnsi"/>
          <w:sz w:val="23"/>
          <w:szCs w:val="23"/>
          <w:lang w:eastAsia="en-GB"/>
        </w:rPr>
        <w:t xml:space="preserve"> OR </w:t>
      </w:r>
      <w:r>
        <w:rPr>
          <w:rFonts w:asciiTheme="majorHAnsi" w:eastAsia="Times New Roman" w:hAnsiTheme="majorHAnsi" w:cstheme="majorHAnsi"/>
          <w:sz w:val="23"/>
          <w:szCs w:val="23"/>
          <w:lang w:eastAsia="en-GB"/>
        </w:rPr>
        <w:t>COVID</w:t>
      </w:r>
      <w:r w:rsidRPr="00421D88">
        <w:rPr>
          <w:rFonts w:asciiTheme="majorHAnsi" w:eastAsia="Times New Roman" w:hAnsiTheme="majorHAnsi" w:cstheme="majorHAnsi"/>
          <w:sz w:val="23"/>
          <w:szCs w:val="23"/>
          <w:lang w:eastAsia="en-GB"/>
        </w:rPr>
        <w:t xml:space="preserve">-19 OR pandemic </w:t>
      </w:r>
    </w:p>
    <w:p w14:paraId="148AFF3D" w14:textId="77777777" w:rsidR="00C7119C" w:rsidRPr="00421D88" w:rsidRDefault="00C7119C" w:rsidP="00364C5D">
      <w:pPr>
        <w:pStyle w:val="ListParagraph"/>
        <w:numPr>
          <w:ilvl w:val="0"/>
          <w:numId w:val="30"/>
        </w:numPr>
        <w:spacing w:after="0" w:line="276" w:lineRule="auto"/>
        <w:rPr>
          <w:rFonts w:asciiTheme="majorHAnsi" w:eastAsia="Times New Roman" w:hAnsiTheme="majorHAnsi" w:cstheme="majorHAnsi"/>
          <w:sz w:val="23"/>
          <w:szCs w:val="23"/>
          <w:lang w:eastAsia="en-GB"/>
        </w:rPr>
      </w:pPr>
      <w:r w:rsidRPr="00421D88">
        <w:rPr>
          <w:rFonts w:asciiTheme="majorHAnsi" w:eastAsia="Times New Roman" w:hAnsiTheme="majorHAnsi" w:cstheme="majorHAnsi"/>
          <w:sz w:val="23"/>
          <w:szCs w:val="23"/>
          <w:lang w:eastAsia="en-GB"/>
        </w:rPr>
        <w:t>Context exclusions: China, India, Latin America, Indonesia, Philippines</w:t>
      </w:r>
    </w:p>
    <w:p w14:paraId="336E85E0" w14:textId="0FEA5F4E" w:rsidR="00C7119C" w:rsidRPr="00421D88" w:rsidRDefault="00D95573" w:rsidP="00364C5D">
      <w:pPr>
        <w:pStyle w:val="ListParagraph"/>
        <w:numPr>
          <w:ilvl w:val="0"/>
          <w:numId w:val="30"/>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Practice Domain</w:t>
      </w:r>
      <w:r w:rsidR="00C7119C" w:rsidRPr="00421D88">
        <w:rPr>
          <w:rFonts w:asciiTheme="majorHAnsi" w:eastAsia="Times New Roman" w:hAnsiTheme="majorHAnsi" w:cstheme="majorHAnsi"/>
          <w:sz w:val="23"/>
          <w:szCs w:val="23"/>
          <w:lang w:eastAsia="en-GB"/>
        </w:rPr>
        <w:t>: education OR employment OR housing OR liveability OR health OR wellbeing OR well-being</w:t>
      </w:r>
    </w:p>
    <w:p w14:paraId="3212BD7D" w14:textId="77777777" w:rsidR="00C7119C" w:rsidRPr="00421D88" w:rsidRDefault="00C7119C" w:rsidP="00364C5D">
      <w:pPr>
        <w:pStyle w:val="ListParagraph"/>
        <w:numPr>
          <w:ilvl w:val="0"/>
          <w:numId w:val="30"/>
        </w:numPr>
        <w:spacing w:after="0" w:line="276" w:lineRule="auto"/>
        <w:rPr>
          <w:rFonts w:asciiTheme="majorHAnsi" w:eastAsia="Times New Roman" w:hAnsiTheme="majorHAnsi" w:cstheme="majorHAnsi"/>
          <w:sz w:val="23"/>
          <w:szCs w:val="23"/>
          <w:lang w:eastAsia="en-GB"/>
        </w:rPr>
      </w:pPr>
      <w:r w:rsidRPr="00421D88">
        <w:rPr>
          <w:rFonts w:asciiTheme="majorHAnsi" w:eastAsia="Times New Roman" w:hAnsiTheme="majorHAnsi" w:cstheme="majorHAnsi"/>
          <w:sz w:val="23"/>
          <w:szCs w:val="23"/>
          <w:lang w:eastAsia="en-GB"/>
        </w:rPr>
        <w:t>Research period: &gt; 2010</w:t>
      </w:r>
    </w:p>
    <w:p w14:paraId="13FC3975" w14:textId="77777777" w:rsidR="00C7119C" w:rsidRPr="00D12962" w:rsidRDefault="00C7119C" w:rsidP="00C7119C">
      <w:pPr>
        <w:spacing w:after="0" w:line="276" w:lineRule="auto"/>
        <w:contextualSpacing/>
        <w:rPr>
          <w:rFonts w:asciiTheme="majorHAnsi" w:eastAsia="Times New Roman" w:hAnsiTheme="majorHAnsi" w:cstheme="majorHAnsi"/>
          <w:sz w:val="16"/>
          <w:szCs w:val="16"/>
          <w:lang w:eastAsia="en-GB"/>
        </w:rPr>
      </w:pPr>
    </w:p>
    <w:p w14:paraId="4E34F733" w14:textId="77777777" w:rsidR="00C7119C" w:rsidRDefault="00C7119C" w:rsidP="00C7119C">
      <w:pPr>
        <w:spacing w:after="0" w:line="276" w:lineRule="auto"/>
        <w:rPr>
          <w:rFonts w:asciiTheme="majorHAnsi" w:eastAsiaTheme="minorEastAsia" w:hAnsiTheme="majorHAnsi" w:cstheme="majorBidi"/>
          <w:sz w:val="23"/>
          <w:szCs w:val="23"/>
          <w:lang w:eastAsia="en-AU"/>
        </w:rPr>
      </w:pPr>
      <w:r w:rsidRPr="27ED1008">
        <w:rPr>
          <w:rFonts w:asciiTheme="majorHAnsi" w:eastAsiaTheme="minorEastAsia" w:hAnsiTheme="majorHAnsi" w:cstheme="majorBidi"/>
          <w:sz w:val="23"/>
          <w:szCs w:val="23"/>
          <w:lang w:eastAsia="en-AU"/>
        </w:rPr>
        <w:lastRenderedPageBreak/>
        <w:t>This process narrowed the material down to 244 relevant sources, which were then evaluated through content analysis of abstracts.</w:t>
      </w:r>
      <w:r>
        <w:rPr>
          <w:rFonts w:asciiTheme="majorHAnsi" w:eastAsiaTheme="minorEastAsia" w:hAnsiTheme="majorHAnsi" w:cstheme="majorBidi"/>
          <w:sz w:val="23"/>
          <w:szCs w:val="23"/>
          <w:lang w:eastAsia="en-AU"/>
        </w:rPr>
        <w:t xml:space="preserve"> A final list of 199 sources was retained for analysis.</w:t>
      </w:r>
    </w:p>
    <w:p w14:paraId="60FC341F" w14:textId="77777777" w:rsidR="00C7119C" w:rsidRPr="00D12962" w:rsidRDefault="00C7119C" w:rsidP="00C7119C">
      <w:pPr>
        <w:spacing w:after="0" w:line="276" w:lineRule="auto"/>
        <w:rPr>
          <w:rFonts w:asciiTheme="majorHAnsi" w:eastAsiaTheme="minorEastAsia" w:hAnsiTheme="majorHAnsi" w:cstheme="majorBidi"/>
          <w:sz w:val="16"/>
          <w:szCs w:val="16"/>
          <w:lang w:eastAsia="en-AU"/>
        </w:rPr>
      </w:pPr>
    </w:p>
    <w:p w14:paraId="466865DF" w14:textId="77777777" w:rsidR="00C7119C" w:rsidRDefault="00C7119C" w:rsidP="00C7119C">
      <w:pPr>
        <w:spacing w:after="0" w:line="276" w:lineRule="auto"/>
        <w:rPr>
          <w:rFonts w:asciiTheme="majorHAnsi" w:eastAsiaTheme="minorEastAsia" w:hAnsiTheme="majorHAnsi" w:cstheme="majorHAnsi"/>
          <w:sz w:val="23"/>
          <w:szCs w:val="23"/>
          <w:lang w:eastAsia="en-AU"/>
        </w:rPr>
      </w:pPr>
      <w:r>
        <w:rPr>
          <w:rFonts w:asciiTheme="majorHAnsi" w:eastAsiaTheme="minorEastAsia" w:hAnsiTheme="majorHAnsi" w:cstheme="majorHAnsi"/>
          <w:sz w:val="23"/>
          <w:szCs w:val="23"/>
          <w:lang w:eastAsia="en-AU"/>
        </w:rPr>
        <w:t>Analysis was then based on categorisation of</w:t>
      </w:r>
      <w:r w:rsidRPr="00447435">
        <w:rPr>
          <w:rFonts w:asciiTheme="majorHAnsi" w:eastAsiaTheme="minorEastAsia" w:hAnsiTheme="majorHAnsi" w:cstheme="majorHAnsi"/>
          <w:sz w:val="23"/>
          <w:szCs w:val="23"/>
          <w:lang w:eastAsia="en-AU"/>
        </w:rPr>
        <w:t xml:space="preserve"> </w:t>
      </w:r>
      <w:r>
        <w:rPr>
          <w:rFonts w:asciiTheme="majorHAnsi" w:eastAsiaTheme="minorEastAsia" w:hAnsiTheme="majorHAnsi" w:cstheme="majorHAnsi"/>
          <w:sz w:val="23"/>
          <w:szCs w:val="23"/>
          <w:lang w:eastAsia="en-AU"/>
        </w:rPr>
        <w:t>the source material into four types: Socioeconomic f</w:t>
      </w:r>
      <w:r w:rsidRPr="00C50BCD">
        <w:rPr>
          <w:rFonts w:asciiTheme="majorHAnsi" w:eastAsiaTheme="minorEastAsia" w:hAnsiTheme="majorHAnsi" w:cstheme="majorHAnsi"/>
          <w:sz w:val="23"/>
          <w:szCs w:val="23"/>
          <w:lang w:eastAsia="en-AU"/>
        </w:rPr>
        <w:t>actors</w:t>
      </w:r>
      <w:r>
        <w:rPr>
          <w:rFonts w:asciiTheme="majorHAnsi" w:eastAsiaTheme="minorEastAsia" w:hAnsiTheme="majorHAnsi" w:cstheme="majorHAnsi"/>
          <w:sz w:val="23"/>
          <w:szCs w:val="23"/>
          <w:lang w:eastAsia="en-AU"/>
        </w:rPr>
        <w:t>, i</w:t>
      </w:r>
      <w:r w:rsidRPr="00C50BCD">
        <w:rPr>
          <w:rFonts w:asciiTheme="majorHAnsi" w:eastAsiaTheme="minorEastAsia" w:hAnsiTheme="majorHAnsi" w:cstheme="majorHAnsi"/>
          <w:sz w:val="23"/>
          <w:szCs w:val="23"/>
          <w:lang w:eastAsia="en-AU"/>
        </w:rPr>
        <w:t>nterventions</w:t>
      </w:r>
      <w:r>
        <w:rPr>
          <w:rFonts w:asciiTheme="majorHAnsi" w:eastAsiaTheme="minorEastAsia" w:hAnsiTheme="majorHAnsi" w:cstheme="majorHAnsi"/>
          <w:sz w:val="23"/>
          <w:szCs w:val="23"/>
          <w:lang w:eastAsia="en-AU"/>
        </w:rPr>
        <w:t>, COVID</w:t>
      </w:r>
      <w:r w:rsidRPr="00C50BCD">
        <w:rPr>
          <w:rFonts w:asciiTheme="majorHAnsi" w:eastAsiaTheme="minorEastAsia" w:hAnsiTheme="majorHAnsi" w:cstheme="majorHAnsi"/>
          <w:sz w:val="23"/>
          <w:szCs w:val="23"/>
          <w:lang w:eastAsia="en-AU"/>
        </w:rPr>
        <w:t>-19 impacts</w:t>
      </w:r>
      <w:r>
        <w:rPr>
          <w:rFonts w:asciiTheme="majorHAnsi" w:eastAsiaTheme="minorEastAsia" w:hAnsiTheme="majorHAnsi" w:cstheme="majorHAnsi"/>
          <w:sz w:val="23"/>
          <w:szCs w:val="23"/>
          <w:lang w:eastAsia="en-AU"/>
        </w:rPr>
        <w:t>, or i</w:t>
      </w:r>
      <w:r w:rsidRPr="00353696">
        <w:rPr>
          <w:rFonts w:asciiTheme="majorHAnsi" w:eastAsiaTheme="minorEastAsia" w:hAnsiTheme="majorHAnsi" w:cstheme="majorHAnsi"/>
          <w:sz w:val="23"/>
          <w:szCs w:val="23"/>
          <w:lang w:eastAsia="en-AU"/>
        </w:rPr>
        <w:t>nequality data</w:t>
      </w:r>
      <w:r>
        <w:rPr>
          <w:rFonts w:asciiTheme="majorHAnsi" w:eastAsiaTheme="minorEastAsia" w:hAnsiTheme="majorHAnsi" w:cstheme="majorHAnsi"/>
          <w:sz w:val="23"/>
          <w:szCs w:val="23"/>
          <w:lang w:eastAsia="en-AU"/>
        </w:rPr>
        <w:t>. For the first two categories, the analysis determined:</w:t>
      </w:r>
    </w:p>
    <w:p w14:paraId="2E190955" w14:textId="7CAA6B28" w:rsidR="00C7119C" w:rsidRDefault="00C7119C" w:rsidP="00364C5D">
      <w:pPr>
        <w:pStyle w:val="ListParagraph"/>
        <w:numPr>
          <w:ilvl w:val="0"/>
          <w:numId w:val="54"/>
        </w:numPr>
        <w:spacing w:after="0" w:line="276" w:lineRule="auto"/>
        <w:rPr>
          <w:rFonts w:asciiTheme="majorHAnsi" w:eastAsiaTheme="minorEastAsia" w:hAnsiTheme="majorHAnsi" w:cstheme="majorHAnsi"/>
          <w:sz w:val="23"/>
          <w:szCs w:val="23"/>
          <w:lang w:eastAsia="en-AU"/>
        </w:rPr>
      </w:pPr>
      <w:r>
        <w:rPr>
          <w:rFonts w:asciiTheme="majorHAnsi" w:eastAsiaTheme="minorEastAsia" w:hAnsiTheme="majorHAnsi" w:cstheme="majorHAnsi"/>
          <w:sz w:val="23"/>
          <w:szCs w:val="23"/>
          <w:lang w:eastAsia="en-AU"/>
        </w:rPr>
        <w:t>For</w:t>
      </w:r>
      <w:r w:rsidRPr="00447435">
        <w:rPr>
          <w:rFonts w:asciiTheme="majorHAnsi" w:eastAsiaTheme="minorEastAsia" w:hAnsiTheme="majorHAnsi" w:cstheme="majorHAnsi"/>
          <w:sz w:val="23"/>
          <w:szCs w:val="23"/>
          <w:lang w:eastAsia="en-AU"/>
        </w:rPr>
        <w:t xml:space="preserve"> “Factors”</w:t>
      </w:r>
      <w:r>
        <w:rPr>
          <w:rFonts w:asciiTheme="majorHAnsi" w:eastAsiaTheme="minorEastAsia" w:hAnsiTheme="majorHAnsi" w:cstheme="majorHAnsi"/>
          <w:sz w:val="23"/>
          <w:szCs w:val="23"/>
          <w:lang w:eastAsia="en-AU"/>
        </w:rPr>
        <w:t>:</w:t>
      </w:r>
      <w:r w:rsidRPr="00447435">
        <w:rPr>
          <w:rFonts w:asciiTheme="majorHAnsi" w:eastAsiaTheme="minorEastAsia" w:hAnsiTheme="majorHAnsi" w:cstheme="majorHAnsi"/>
          <w:sz w:val="23"/>
          <w:szCs w:val="23"/>
          <w:lang w:eastAsia="en-AU"/>
        </w:rPr>
        <w:t xml:space="preserve"> </w:t>
      </w:r>
      <w:r>
        <w:rPr>
          <w:rFonts w:asciiTheme="majorHAnsi" w:eastAsiaTheme="minorEastAsia" w:hAnsiTheme="majorHAnsi" w:cstheme="majorHAnsi"/>
          <w:sz w:val="23"/>
          <w:szCs w:val="23"/>
          <w:lang w:eastAsia="en-AU"/>
        </w:rPr>
        <w:t>W</w:t>
      </w:r>
      <w:r w:rsidRPr="00447435">
        <w:rPr>
          <w:rFonts w:asciiTheme="majorHAnsi" w:eastAsiaTheme="minorEastAsia" w:hAnsiTheme="majorHAnsi" w:cstheme="majorHAnsi"/>
          <w:sz w:val="23"/>
          <w:szCs w:val="23"/>
          <w:lang w:eastAsia="en-AU"/>
        </w:rPr>
        <w:t>hat are the</w:t>
      </w:r>
      <w:r>
        <w:rPr>
          <w:rFonts w:asciiTheme="majorHAnsi" w:eastAsiaTheme="minorEastAsia" w:hAnsiTheme="majorHAnsi" w:cstheme="majorHAnsi"/>
          <w:sz w:val="23"/>
          <w:szCs w:val="23"/>
          <w:lang w:eastAsia="en-AU"/>
        </w:rPr>
        <w:t>se</w:t>
      </w:r>
      <w:r w:rsidRPr="00447435">
        <w:rPr>
          <w:rFonts w:asciiTheme="majorHAnsi" w:eastAsiaTheme="minorEastAsia" w:hAnsiTheme="majorHAnsi" w:cstheme="majorHAnsi"/>
          <w:sz w:val="23"/>
          <w:szCs w:val="23"/>
          <w:lang w:eastAsia="en-AU"/>
        </w:rPr>
        <w:t xml:space="preserve"> factors</w:t>
      </w:r>
      <w:r>
        <w:rPr>
          <w:rFonts w:asciiTheme="majorHAnsi" w:eastAsiaTheme="minorEastAsia" w:hAnsiTheme="majorHAnsi" w:cstheme="majorHAnsi"/>
          <w:sz w:val="23"/>
          <w:szCs w:val="23"/>
          <w:lang w:eastAsia="en-AU"/>
        </w:rPr>
        <w:t>?</w:t>
      </w:r>
      <w:r w:rsidRPr="00447435">
        <w:rPr>
          <w:rFonts w:asciiTheme="majorHAnsi" w:eastAsiaTheme="minorEastAsia" w:hAnsiTheme="majorHAnsi" w:cstheme="majorHAnsi"/>
          <w:sz w:val="23"/>
          <w:szCs w:val="23"/>
          <w:lang w:eastAsia="en-AU"/>
        </w:rPr>
        <w:t xml:space="preserve"> </w:t>
      </w:r>
      <w:r>
        <w:rPr>
          <w:rFonts w:asciiTheme="majorHAnsi" w:eastAsiaTheme="minorEastAsia" w:hAnsiTheme="majorHAnsi" w:cstheme="majorHAnsi"/>
          <w:sz w:val="23"/>
          <w:szCs w:val="23"/>
          <w:lang w:eastAsia="en-AU"/>
        </w:rPr>
        <w:t>W</w:t>
      </w:r>
      <w:r w:rsidRPr="00447435">
        <w:rPr>
          <w:rFonts w:asciiTheme="majorHAnsi" w:eastAsiaTheme="minorEastAsia" w:hAnsiTheme="majorHAnsi" w:cstheme="majorHAnsi"/>
          <w:sz w:val="23"/>
          <w:szCs w:val="23"/>
          <w:lang w:eastAsia="en-AU"/>
        </w:rPr>
        <w:t>hat</w:t>
      </w:r>
      <w:r>
        <w:rPr>
          <w:rFonts w:asciiTheme="majorHAnsi" w:eastAsiaTheme="minorEastAsia" w:hAnsiTheme="majorHAnsi" w:cstheme="majorHAnsi"/>
          <w:sz w:val="23"/>
          <w:szCs w:val="23"/>
          <w:lang w:eastAsia="en-AU"/>
        </w:rPr>
        <w:t xml:space="preserve"> </w:t>
      </w:r>
      <w:r w:rsidR="00D95573">
        <w:rPr>
          <w:rFonts w:asciiTheme="majorHAnsi" w:eastAsiaTheme="minorEastAsia" w:hAnsiTheme="majorHAnsi" w:cstheme="majorHAnsi"/>
          <w:sz w:val="23"/>
          <w:szCs w:val="23"/>
          <w:lang w:eastAsia="en-AU"/>
        </w:rPr>
        <w:t>Practice Domain</w:t>
      </w:r>
      <w:r w:rsidRPr="00447435">
        <w:rPr>
          <w:rFonts w:asciiTheme="majorHAnsi" w:eastAsiaTheme="minorEastAsia" w:hAnsiTheme="majorHAnsi" w:cstheme="majorHAnsi"/>
          <w:sz w:val="23"/>
          <w:szCs w:val="23"/>
          <w:lang w:eastAsia="en-AU"/>
        </w:rPr>
        <w:t>s are they relevant to</w:t>
      </w:r>
      <w:r>
        <w:rPr>
          <w:rFonts w:asciiTheme="majorHAnsi" w:eastAsiaTheme="minorEastAsia" w:hAnsiTheme="majorHAnsi" w:cstheme="majorHAnsi"/>
          <w:sz w:val="23"/>
          <w:szCs w:val="23"/>
          <w:lang w:eastAsia="en-AU"/>
        </w:rPr>
        <w:t>?</w:t>
      </w:r>
    </w:p>
    <w:p w14:paraId="62E9FE99" w14:textId="4C8FF006" w:rsidR="00C7119C" w:rsidRPr="00C7119C" w:rsidRDefault="00C7119C" w:rsidP="00364C5D">
      <w:pPr>
        <w:pStyle w:val="ListParagraph"/>
        <w:numPr>
          <w:ilvl w:val="0"/>
          <w:numId w:val="54"/>
        </w:numPr>
        <w:spacing w:after="0" w:line="276" w:lineRule="auto"/>
        <w:rPr>
          <w:rFonts w:asciiTheme="majorHAnsi" w:eastAsiaTheme="minorEastAsia" w:hAnsiTheme="majorHAnsi" w:cstheme="majorHAnsi"/>
          <w:sz w:val="23"/>
          <w:szCs w:val="23"/>
          <w:lang w:eastAsia="en-AU"/>
        </w:rPr>
      </w:pPr>
      <w:r>
        <w:rPr>
          <w:rFonts w:asciiTheme="majorHAnsi" w:eastAsiaTheme="minorEastAsia" w:hAnsiTheme="majorHAnsi" w:cstheme="majorHAnsi"/>
          <w:sz w:val="23"/>
          <w:szCs w:val="23"/>
          <w:lang w:eastAsia="en-AU"/>
        </w:rPr>
        <w:t>For “I</w:t>
      </w:r>
      <w:r w:rsidRPr="00633C3A">
        <w:rPr>
          <w:rFonts w:asciiTheme="majorHAnsi" w:eastAsiaTheme="minorEastAsia" w:hAnsiTheme="majorHAnsi" w:cstheme="majorHAnsi"/>
          <w:sz w:val="23"/>
          <w:szCs w:val="23"/>
          <w:lang w:eastAsia="en-AU"/>
        </w:rPr>
        <w:t>ntervention</w:t>
      </w:r>
      <w:r>
        <w:rPr>
          <w:rFonts w:asciiTheme="majorHAnsi" w:eastAsiaTheme="minorEastAsia" w:hAnsiTheme="majorHAnsi" w:cstheme="majorHAnsi"/>
          <w:sz w:val="23"/>
          <w:szCs w:val="23"/>
          <w:lang w:eastAsia="en-AU"/>
        </w:rPr>
        <w:t>s”:</w:t>
      </w:r>
      <w:r w:rsidRPr="00633C3A">
        <w:rPr>
          <w:rFonts w:asciiTheme="majorHAnsi" w:eastAsiaTheme="minorEastAsia" w:hAnsiTheme="majorHAnsi" w:cstheme="majorHAnsi"/>
          <w:sz w:val="23"/>
          <w:szCs w:val="23"/>
          <w:lang w:eastAsia="en-AU"/>
        </w:rPr>
        <w:t xml:space="preserve"> </w:t>
      </w:r>
      <w:r>
        <w:rPr>
          <w:rFonts w:asciiTheme="majorHAnsi" w:eastAsiaTheme="minorEastAsia" w:hAnsiTheme="majorHAnsi" w:cstheme="majorHAnsi"/>
          <w:sz w:val="23"/>
          <w:szCs w:val="23"/>
          <w:lang w:eastAsia="en-AU"/>
        </w:rPr>
        <w:t>W</w:t>
      </w:r>
      <w:r w:rsidRPr="00633C3A">
        <w:rPr>
          <w:rFonts w:asciiTheme="majorHAnsi" w:eastAsiaTheme="minorEastAsia" w:hAnsiTheme="majorHAnsi" w:cstheme="majorHAnsi"/>
          <w:sz w:val="23"/>
          <w:szCs w:val="23"/>
          <w:lang w:eastAsia="en-AU"/>
        </w:rPr>
        <w:t xml:space="preserve">hat </w:t>
      </w:r>
      <w:r>
        <w:rPr>
          <w:rFonts w:asciiTheme="majorHAnsi" w:eastAsiaTheme="minorEastAsia" w:hAnsiTheme="majorHAnsi" w:cstheme="majorHAnsi"/>
          <w:sz w:val="23"/>
          <w:szCs w:val="23"/>
          <w:lang w:eastAsia="en-AU"/>
        </w:rPr>
        <w:t>was</w:t>
      </w:r>
      <w:r w:rsidRPr="00633C3A">
        <w:rPr>
          <w:rFonts w:asciiTheme="majorHAnsi" w:eastAsiaTheme="minorEastAsia" w:hAnsiTheme="majorHAnsi" w:cstheme="majorHAnsi"/>
          <w:sz w:val="23"/>
          <w:szCs w:val="23"/>
          <w:lang w:eastAsia="en-AU"/>
        </w:rPr>
        <w:t xml:space="preserve"> the intervention</w:t>
      </w:r>
      <w:r>
        <w:rPr>
          <w:rFonts w:asciiTheme="majorHAnsi" w:eastAsiaTheme="minorEastAsia" w:hAnsiTheme="majorHAnsi" w:cstheme="majorHAnsi"/>
          <w:sz w:val="23"/>
          <w:szCs w:val="23"/>
          <w:lang w:eastAsia="en-AU"/>
        </w:rPr>
        <w:t>?</w:t>
      </w:r>
      <w:r w:rsidRPr="007C6431">
        <w:rPr>
          <w:rFonts w:asciiTheme="majorHAnsi" w:eastAsiaTheme="minorEastAsia" w:hAnsiTheme="majorHAnsi" w:cstheme="majorHAnsi"/>
          <w:sz w:val="23"/>
          <w:szCs w:val="23"/>
          <w:lang w:eastAsia="en-AU"/>
        </w:rPr>
        <w:t xml:space="preserve"> </w:t>
      </w:r>
      <w:r>
        <w:rPr>
          <w:rFonts w:asciiTheme="majorHAnsi" w:eastAsiaTheme="minorEastAsia" w:hAnsiTheme="majorHAnsi" w:cstheme="majorHAnsi"/>
          <w:sz w:val="23"/>
          <w:szCs w:val="23"/>
          <w:lang w:eastAsia="en-AU"/>
        </w:rPr>
        <w:t>W</w:t>
      </w:r>
      <w:r w:rsidRPr="00633C3A">
        <w:rPr>
          <w:rFonts w:asciiTheme="majorHAnsi" w:eastAsiaTheme="minorEastAsia" w:hAnsiTheme="majorHAnsi" w:cstheme="majorHAnsi"/>
          <w:sz w:val="23"/>
          <w:szCs w:val="23"/>
          <w:lang w:eastAsia="en-AU"/>
        </w:rPr>
        <w:t>hich country</w:t>
      </w:r>
      <w:r>
        <w:rPr>
          <w:rFonts w:asciiTheme="majorHAnsi" w:eastAsiaTheme="minorEastAsia" w:hAnsiTheme="majorHAnsi" w:cstheme="majorHAnsi"/>
          <w:sz w:val="23"/>
          <w:szCs w:val="23"/>
          <w:lang w:eastAsia="en-AU"/>
        </w:rPr>
        <w:t xml:space="preserve"> was it based in?</w:t>
      </w:r>
      <w:r w:rsidRPr="00633C3A">
        <w:rPr>
          <w:rFonts w:asciiTheme="majorHAnsi" w:eastAsiaTheme="minorEastAsia" w:hAnsiTheme="majorHAnsi" w:cstheme="majorHAnsi"/>
          <w:sz w:val="23"/>
          <w:szCs w:val="23"/>
          <w:lang w:eastAsia="en-AU"/>
        </w:rPr>
        <w:t xml:space="preserve"> </w:t>
      </w:r>
      <w:r>
        <w:rPr>
          <w:rFonts w:asciiTheme="majorHAnsi" w:eastAsiaTheme="minorEastAsia" w:hAnsiTheme="majorHAnsi" w:cstheme="majorHAnsi"/>
          <w:sz w:val="23"/>
          <w:szCs w:val="23"/>
          <w:lang w:eastAsia="en-AU"/>
        </w:rPr>
        <w:t>W</w:t>
      </w:r>
      <w:r w:rsidRPr="00633C3A">
        <w:rPr>
          <w:rFonts w:asciiTheme="majorHAnsi" w:eastAsiaTheme="minorEastAsia" w:hAnsiTheme="majorHAnsi" w:cstheme="majorHAnsi"/>
          <w:sz w:val="23"/>
          <w:szCs w:val="23"/>
          <w:lang w:eastAsia="en-AU"/>
        </w:rPr>
        <w:t xml:space="preserve">hat </w:t>
      </w:r>
      <w:r w:rsidR="00D95573">
        <w:rPr>
          <w:rFonts w:asciiTheme="majorHAnsi" w:eastAsiaTheme="minorEastAsia" w:hAnsiTheme="majorHAnsi" w:cstheme="majorHAnsi"/>
          <w:sz w:val="23"/>
          <w:szCs w:val="23"/>
          <w:lang w:eastAsia="en-AU"/>
        </w:rPr>
        <w:t>Practice Domain</w:t>
      </w:r>
      <w:r w:rsidRPr="00633C3A">
        <w:rPr>
          <w:rFonts w:asciiTheme="majorHAnsi" w:eastAsiaTheme="minorEastAsia" w:hAnsiTheme="majorHAnsi" w:cstheme="majorHAnsi"/>
          <w:sz w:val="23"/>
          <w:szCs w:val="23"/>
          <w:lang w:eastAsia="en-AU"/>
        </w:rPr>
        <w:t xml:space="preserve">s </w:t>
      </w:r>
      <w:r>
        <w:rPr>
          <w:rFonts w:asciiTheme="majorHAnsi" w:eastAsiaTheme="minorEastAsia" w:hAnsiTheme="majorHAnsi" w:cstheme="majorHAnsi"/>
          <w:sz w:val="23"/>
          <w:szCs w:val="23"/>
          <w:lang w:eastAsia="en-AU"/>
        </w:rPr>
        <w:t>were</w:t>
      </w:r>
      <w:r w:rsidRPr="00633C3A">
        <w:rPr>
          <w:rFonts w:asciiTheme="majorHAnsi" w:eastAsiaTheme="minorEastAsia" w:hAnsiTheme="majorHAnsi" w:cstheme="majorHAnsi"/>
          <w:sz w:val="23"/>
          <w:szCs w:val="23"/>
          <w:lang w:eastAsia="en-AU"/>
        </w:rPr>
        <w:t xml:space="preserve"> addressed</w:t>
      </w:r>
      <w:r>
        <w:rPr>
          <w:rFonts w:asciiTheme="majorHAnsi" w:eastAsiaTheme="minorEastAsia" w:hAnsiTheme="majorHAnsi" w:cstheme="majorHAnsi"/>
          <w:sz w:val="23"/>
          <w:szCs w:val="23"/>
          <w:lang w:eastAsia="en-AU"/>
        </w:rPr>
        <w:t>?</w:t>
      </w:r>
      <w:r w:rsidRPr="00633C3A">
        <w:rPr>
          <w:rFonts w:asciiTheme="majorHAnsi" w:eastAsiaTheme="minorEastAsia" w:hAnsiTheme="majorHAnsi" w:cstheme="majorHAnsi"/>
          <w:sz w:val="23"/>
          <w:szCs w:val="23"/>
          <w:lang w:eastAsia="en-AU"/>
        </w:rPr>
        <w:t xml:space="preserve"> </w:t>
      </w:r>
      <w:r>
        <w:rPr>
          <w:rFonts w:asciiTheme="majorHAnsi" w:eastAsiaTheme="minorEastAsia" w:hAnsiTheme="majorHAnsi" w:cstheme="majorHAnsi"/>
          <w:sz w:val="23"/>
          <w:szCs w:val="23"/>
          <w:lang w:eastAsia="en-AU"/>
        </w:rPr>
        <w:t>W</w:t>
      </w:r>
      <w:r w:rsidRPr="00633C3A">
        <w:rPr>
          <w:rFonts w:asciiTheme="majorHAnsi" w:eastAsiaTheme="minorEastAsia" w:hAnsiTheme="majorHAnsi" w:cstheme="majorHAnsi"/>
          <w:sz w:val="23"/>
          <w:szCs w:val="23"/>
          <w:lang w:eastAsia="en-AU"/>
        </w:rPr>
        <w:t xml:space="preserve">hat are the </w:t>
      </w:r>
      <w:r>
        <w:rPr>
          <w:rFonts w:asciiTheme="majorHAnsi" w:eastAsiaTheme="minorEastAsia" w:hAnsiTheme="majorHAnsi" w:cstheme="majorHAnsi"/>
          <w:sz w:val="23"/>
          <w:szCs w:val="23"/>
          <w:lang w:eastAsia="en-AU"/>
        </w:rPr>
        <w:t xml:space="preserve">claimed </w:t>
      </w:r>
      <w:r w:rsidRPr="00633C3A">
        <w:rPr>
          <w:rFonts w:asciiTheme="majorHAnsi" w:eastAsiaTheme="minorEastAsia" w:hAnsiTheme="majorHAnsi" w:cstheme="majorHAnsi"/>
          <w:sz w:val="23"/>
          <w:szCs w:val="23"/>
          <w:lang w:eastAsia="en-AU"/>
        </w:rPr>
        <w:t>impacts</w:t>
      </w:r>
      <w:r>
        <w:rPr>
          <w:rFonts w:asciiTheme="majorHAnsi" w:eastAsiaTheme="minorEastAsia" w:hAnsiTheme="majorHAnsi" w:cstheme="majorHAnsi"/>
          <w:sz w:val="23"/>
          <w:szCs w:val="23"/>
          <w:lang w:eastAsia="en-AU"/>
        </w:rPr>
        <w:t xml:space="preserve"> or outcomes</w:t>
      </w:r>
      <w:r w:rsidRPr="00633C3A">
        <w:rPr>
          <w:rFonts w:asciiTheme="majorHAnsi" w:eastAsiaTheme="minorEastAsia" w:hAnsiTheme="majorHAnsi" w:cstheme="majorHAnsi"/>
          <w:sz w:val="23"/>
          <w:szCs w:val="23"/>
          <w:lang w:eastAsia="en-AU"/>
        </w:rPr>
        <w:t xml:space="preserve">, </w:t>
      </w:r>
      <w:r>
        <w:rPr>
          <w:rFonts w:asciiTheme="majorHAnsi" w:eastAsiaTheme="minorEastAsia" w:hAnsiTheme="majorHAnsi" w:cstheme="majorHAnsi"/>
          <w:sz w:val="23"/>
          <w:szCs w:val="23"/>
          <w:lang w:eastAsia="en-AU"/>
        </w:rPr>
        <w:t>and has the intervention been</w:t>
      </w:r>
      <w:r w:rsidRPr="00633C3A">
        <w:rPr>
          <w:rFonts w:asciiTheme="majorHAnsi" w:eastAsiaTheme="minorEastAsia" w:hAnsiTheme="majorHAnsi" w:cstheme="majorHAnsi"/>
          <w:sz w:val="23"/>
          <w:szCs w:val="23"/>
          <w:lang w:eastAsia="en-AU"/>
        </w:rPr>
        <w:t xml:space="preserve"> evaluated</w:t>
      </w:r>
      <w:r>
        <w:rPr>
          <w:rFonts w:asciiTheme="majorHAnsi" w:eastAsiaTheme="minorEastAsia" w:hAnsiTheme="majorHAnsi" w:cstheme="majorHAnsi"/>
          <w:sz w:val="23"/>
          <w:szCs w:val="23"/>
          <w:lang w:eastAsia="en-AU"/>
        </w:rPr>
        <w:t>?</w:t>
      </w:r>
    </w:p>
    <w:p w14:paraId="48B0D341" w14:textId="77777777" w:rsidR="00F00E3D" w:rsidRPr="006D7ADD" w:rsidRDefault="00F00E3D" w:rsidP="009B2FA7">
      <w:pPr>
        <w:spacing w:after="0" w:line="276" w:lineRule="auto"/>
        <w:contextualSpacing/>
        <w:rPr>
          <w:rFonts w:asciiTheme="majorHAnsi" w:hAnsiTheme="majorHAnsi" w:cstheme="majorBidi"/>
          <w:color w:val="595959" w:themeColor="text1" w:themeTint="A6"/>
          <w:sz w:val="16"/>
          <w:szCs w:val="16"/>
          <w:lang w:val="en-GB"/>
        </w:rPr>
      </w:pPr>
    </w:p>
    <w:p w14:paraId="42A53F47" w14:textId="6D316811" w:rsidR="00F00E3D" w:rsidRPr="008F4BF3" w:rsidRDefault="00F00E3D" w:rsidP="009B2FA7">
      <w:pPr>
        <w:spacing w:after="0" w:line="276" w:lineRule="auto"/>
        <w:contextualSpacing/>
        <w:rPr>
          <w:rFonts w:eastAsia="Times New Roman" w:cstheme="minorHAnsi"/>
          <w:b/>
          <w:bCs/>
          <w:color w:val="2E74B5" w:themeColor="accent5" w:themeShade="BF"/>
          <w:sz w:val="28"/>
          <w:szCs w:val="28"/>
          <w:lang w:eastAsia="en-GB"/>
        </w:rPr>
      </w:pPr>
      <w:r w:rsidRPr="008F4BF3">
        <w:rPr>
          <w:rFonts w:eastAsia="Times New Roman" w:cstheme="minorHAnsi"/>
          <w:b/>
          <w:bCs/>
          <w:color w:val="2E74B5" w:themeColor="accent5" w:themeShade="BF"/>
          <w:sz w:val="28"/>
          <w:szCs w:val="28"/>
          <w:lang w:eastAsia="en-GB"/>
        </w:rPr>
        <w:t>3.</w:t>
      </w:r>
      <w:r w:rsidR="00222763" w:rsidRPr="008F4BF3">
        <w:rPr>
          <w:rFonts w:eastAsia="Times New Roman" w:cstheme="minorHAnsi"/>
          <w:b/>
          <w:bCs/>
          <w:color w:val="2E74B5" w:themeColor="accent5" w:themeShade="BF"/>
          <w:sz w:val="28"/>
          <w:szCs w:val="28"/>
          <w:lang w:eastAsia="en-GB"/>
        </w:rPr>
        <w:t>2</w:t>
      </w:r>
      <w:r w:rsidRPr="008F4BF3">
        <w:rPr>
          <w:rFonts w:eastAsia="Times New Roman" w:cstheme="minorHAnsi"/>
          <w:b/>
          <w:bCs/>
          <w:color w:val="2E74B5" w:themeColor="accent5" w:themeShade="BF"/>
          <w:sz w:val="28"/>
          <w:szCs w:val="28"/>
          <w:lang w:eastAsia="en-GB"/>
        </w:rPr>
        <w:t xml:space="preserve"> Findings</w:t>
      </w:r>
    </w:p>
    <w:p w14:paraId="58795864" w14:textId="77777777" w:rsidR="00F00E3D" w:rsidRPr="001B5D09" w:rsidRDefault="00F00E3D" w:rsidP="009B2FA7">
      <w:pPr>
        <w:spacing w:after="0" w:line="276" w:lineRule="auto"/>
        <w:contextualSpacing/>
        <w:rPr>
          <w:rFonts w:asciiTheme="majorHAnsi" w:eastAsia="Times New Roman" w:hAnsiTheme="majorHAnsi" w:cstheme="majorHAnsi"/>
          <w:sz w:val="16"/>
          <w:szCs w:val="16"/>
          <w:lang w:eastAsia="en-GB"/>
        </w:rPr>
      </w:pPr>
    </w:p>
    <w:p w14:paraId="4240C6C0" w14:textId="77777777" w:rsidR="00F00E3D" w:rsidRPr="00BC19B6" w:rsidRDefault="00F00E3D" w:rsidP="009B2FA7">
      <w:pPr>
        <w:spacing w:after="0" w:line="276" w:lineRule="auto"/>
        <w:contextualSpacing/>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 xml:space="preserve">Each </w:t>
      </w:r>
      <w:r>
        <w:rPr>
          <w:rFonts w:asciiTheme="majorHAnsi" w:eastAsia="Times New Roman" w:hAnsiTheme="majorHAnsi" w:cstheme="majorHAnsi"/>
          <w:sz w:val="23"/>
          <w:szCs w:val="23"/>
          <w:lang w:eastAsia="en-GB"/>
        </w:rPr>
        <w:t xml:space="preserve">individual </w:t>
      </w:r>
      <w:r w:rsidRPr="00BC19B6">
        <w:rPr>
          <w:rFonts w:asciiTheme="majorHAnsi" w:eastAsia="Times New Roman" w:hAnsiTheme="majorHAnsi" w:cstheme="majorHAnsi"/>
          <w:sz w:val="23"/>
          <w:szCs w:val="23"/>
          <w:lang w:eastAsia="en-GB"/>
        </w:rPr>
        <w:t xml:space="preserve">database </w:t>
      </w:r>
      <w:r>
        <w:rPr>
          <w:rFonts w:asciiTheme="majorHAnsi" w:eastAsia="Times New Roman" w:hAnsiTheme="majorHAnsi" w:cstheme="majorHAnsi"/>
          <w:sz w:val="23"/>
          <w:szCs w:val="23"/>
          <w:lang w:eastAsia="en-GB"/>
        </w:rPr>
        <w:t xml:space="preserve">search </w:t>
      </w:r>
      <w:r w:rsidRPr="00BC19B6">
        <w:rPr>
          <w:rFonts w:asciiTheme="majorHAnsi" w:eastAsia="Times New Roman" w:hAnsiTheme="majorHAnsi" w:cstheme="majorHAnsi"/>
          <w:sz w:val="23"/>
          <w:szCs w:val="23"/>
          <w:lang w:eastAsia="en-GB"/>
        </w:rPr>
        <w:t xml:space="preserve">returned the following </w:t>
      </w:r>
      <w:r>
        <w:rPr>
          <w:rFonts w:asciiTheme="majorHAnsi" w:eastAsia="Times New Roman" w:hAnsiTheme="majorHAnsi" w:cstheme="majorHAnsi"/>
          <w:sz w:val="23"/>
          <w:szCs w:val="23"/>
          <w:lang w:eastAsia="en-GB"/>
        </w:rPr>
        <w:t xml:space="preserve">number of </w:t>
      </w:r>
      <w:r w:rsidRPr="00BC19B6">
        <w:rPr>
          <w:rFonts w:asciiTheme="majorHAnsi" w:eastAsia="Times New Roman" w:hAnsiTheme="majorHAnsi" w:cstheme="majorHAnsi"/>
          <w:sz w:val="23"/>
          <w:szCs w:val="23"/>
          <w:lang w:eastAsia="en-GB"/>
        </w:rPr>
        <w:t>articles</w:t>
      </w:r>
      <w:r>
        <w:rPr>
          <w:rFonts w:asciiTheme="majorHAnsi" w:eastAsia="Times New Roman" w:hAnsiTheme="majorHAnsi" w:cstheme="majorHAnsi"/>
          <w:sz w:val="23"/>
          <w:szCs w:val="23"/>
          <w:lang w:eastAsia="en-GB"/>
        </w:rPr>
        <w:t>:</w:t>
      </w:r>
    </w:p>
    <w:p w14:paraId="4A158619" w14:textId="77777777" w:rsidR="00F00E3D" w:rsidRPr="001B5D09" w:rsidRDefault="00F00E3D" w:rsidP="009B2FA7">
      <w:pPr>
        <w:spacing w:after="0" w:line="276" w:lineRule="auto"/>
        <w:contextualSpacing/>
        <w:rPr>
          <w:rFonts w:asciiTheme="majorHAnsi" w:eastAsia="Times New Roman" w:hAnsiTheme="majorHAnsi" w:cstheme="majorHAnsi"/>
          <w:sz w:val="16"/>
          <w:szCs w:val="16"/>
          <w:lang w:eastAsia="en-GB"/>
        </w:rPr>
      </w:pPr>
    </w:p>
    <w:tbl>
      <w:tblPr>
        <w:tblStyle w:val="TableGrid"/>
        <w:tblW w:w="9553" w:type="dxa"/>
        <w:tblInd w:w="-5" w:type="dxa"/>
        <w:tblLook w:val="04A0" w:firstRow="1" w:lastRow="0" w:firstColumn="1" w:lastColumn="0" w:noHBand="0" w:noVBand="1"/>
      </w:tblPr>
      <w:tblGrid>
        <w:gridCol w:w="928"/>
        <w:gridCol w:w="1725"/>
        <w:gridCol w:w="1725"/>
        <w:gridCol w:w="1725"/>
        <w:gridCol w:w="1725"/>
        <w:gridCol w:w="1725"/>
      </w:tblGrid>
      <w:tr w:rsidR="000743D6" w:rsidRPr="000743D6" w14:paraId="6779EE27" w14:textId="77777777" w:rsidTr="000743D6">
        <w:trPr>
          <w:trHeight w:val="759"/>
        </w:trPr>
        <w:tc>
          <w:tcPr>
            <w:tcW w:w="928" w:type="dxa"/>
            <w:shd w:val="clear" w:color="auto" w:fill="D0CECE" w:themeFill="background2" w:themeFillShade="E6"/>
          </w:tcPr>
          <w:p w14:paraId="36C63876" w14:textId="77777777" w:rsidR="00F00E3D" w:rsidRPr="000743D6" w:rsidRDefault="00F00E3D" w:rsidP="009B2FA7">
            <w:pPr>
              <w:contextualSpacing/>
              <w:rPr>
                <w:rFonts w:eastAsia="Times New Roman" w:cstheme="minorHAnsi"/>
                <w:b/>
                <w:bCs/>
                <w:sz w:val="21"/>
                <w:szCs w:val="21"/>
                <w:lang w:eastAsia="en-GB"/>
              </w:rPr>
            </w:pPr>
            <w:r w:rsidRPr="000743D6">
              <w:rPr>
                <w:rFonts w:eastAsia="Times New Roman" w:cstheme="minorHAnsi"/>
                <w:b/>
                <w:bCs/>
                <w:sz w:val="21"/>
                <w:szCs w:val="21"/>
                <w:lang w:eastAsia="en-GB"/>
              </w:rPr>
              <w:t>Search Order</w:t>
            </w:r>
          </w:p>
        </w:tc>
        <w:tc>
          <w:tcPr>
            <w:tcW w:w="1725" w:type="dxa"/>
            <w:shd w:val="clear" w:color="auto" w:fill="D0CECE" w:themeFill="background2" w:themeFillShade="E6"/>
          </w:tcPr>
          <w:p w14:paraId="6D70D65D" w14:textId="77777777" w:rsidR="00F00E3D" w:rsidRPr="000743D6" w:rsidRDefault="00F00E3D" w:rsidP="009B2FA7">
            <w:pPr>
              <w:contextualSpacing/>
              <w:rPr>
                <w:rFonts w:eastAsia="Times New Roman" w:cstheme="minorHAnsi"/>
                <w:b/>
                <w:bCs/>
                <w:sz w:val="21"/>
                <w:szCs w:val="21"/>
                <w:lang w:eastAsia="en-GB"/>
              </w:rPr>
            </w:pPr>
            <w:r w:rsidRPr="000743D6">
              <w:rPr>
                <w:rFonts w:eastAsia="Times New Roman" w:cstheme="minorHAnsi"/>
                <w:b/>
                <w:bCs/>
                <w:sz w:val="21"/>
                <w:szCs w:val="21"/>
                <w:lang w:eastAsia="en-GB"/>
              </w:rPr>
              <w:t>Database</w:t>
            </w:r>
          </w:p>
        </w:tc>
        <w:tc>
          <w:tcPr>
            <w:tcW w:w="1725" w:type="dxa"/>
            <w:shd w:val="clear" w:color="auto" w:fill="D0CECE" w:themeFill="background2" w:themeFillShade="E6"/>
          </w:tcPr>
          <w:p w14:paraId="1CDCA346" w14:textId="01A3A795" w:rsidR="00F00E3D" w:rsidRPr="000743D6" w:rsidRDefault="00F00E3D" w:rsidP="009B2FA7">
            <w:pPr>
              <w:contextualSpacing/>
              <w:rPr>
                <w:rFonts w:eastAsia="Times New Roman" w:cstheme="minorHAnsi"/>
                <w:b/>
                <w:bCs/>
                <w:sz w:val="21"/>
                <w:szCs w:val="21"/>
                <w:lang w:eastAsia="en-GB"/>
              </w:rPr>
            </w:pPr>
            <w:r w:rsidRPr="000743D6">
              <w:rPr>
                <w:rFonts w:eastAsia="Times New Roman" w:cstheme="minorHAnsi"/>
                <w:b/>
                <w:bCs/>
                <w:sz w:val="21"/>
                <w:szCs w:val="21"/>
                <w:lang w:eastAsia="en-GB"/>
              </w:rPr>
              <w:t xml:space="preserve"># Articles </w:t>
            </w:r>
            <w:r w:rsidR="000743D6">
              <w:rPr>
                <w:rFonts w:eastAsia="Times New Roman" w:cstheme="minorHAnsi"/>
                <w:b/>
                <w:bCs/>
                <w:sz w:val="21"/>
                <w:szCs w:val="21"/>
                <w:lang w:eastAsia="en-GB"/>
              </w:rPr>
              <w:t>T</w:t>
            </w:r>
            <w:r w:rsidRPr="000743D6">
              <w:rPr>
                <w:rFonts w:eastAsia="Times New Roman" w:cstheme="minorHAnsi"/>
                <w:b/>
                <w:bCs/>
                <w:sz w:val="21"/>
                <w:szCs w:val="21"/>
                <w:lang w:eastAsia="en-GB"/>
              </w:rPr>
              <w:t>itle</w:t>
            </w:r>
            <w:r w:rsidR="000743D6">
              <w:rPr>
                <w:rFonts w:eastAsia="Times New Roman" w:cstheme="minorHAnsi"/>
                <w:b/>
                <w:bCs/>
                <w:sz w:val="21"/>
                <w:szCs w:val="21"/>
                <w:lang w:eastAsia="en-GB"/>
              </w:rPr>
              <w:t>-</w:t>
            </w:r>
            <w:r w:rsidRPr="000743D6">
              <w:rPr>
                <w:rFonts w:eastAsia="Times New Roman" w:cstheme="minorHAnsi"/>
                <w:b/>
                <w:bCs/>
                <w:sz w:val="21"/>
                <w:szCs w:val="21"/>
                <w:lang w:eastAsia="en-GB"/>
              </w:rPr>
              <w:t xml:space="preserve"> </w:t>
            </w:r>
            <w:r w:rsidR="000743D6">
              <w:rPr>
                <w:rFonts w:eastAsia="Times New Roman" w:cstheme="minorHAnsi"/>
                <w:b/>
                <w:bCs/>
                <w:sz w:val="21"/>
                <w:szCs w:val="21"/>
                <w:lang w:eastAsia="en-GB"/>
              </w:rPr>
              <w:t>E</w:t>
            </w:r>
            <w:r w:rsidRPr="000743D6">
              <w:rPr>
                <w:rFonts w:eastAsia="Times New Roman" w:cstheme="minorHAnsi"/>
                <w:b/>
                <w:bCs/>
                <w:sz w:val="21"/>
                <w:szCs w:val="21"/>
                <w:lang w:eastAsia="en-GB"/>
              </w:rPr>
              <w:t>valuated</w:t>
            </w:r>
          </w:p>
          <w:p w14:paraId="57708713" w14:textId="77777777" w:rsidR="00F00E3D" w:rsidRPr="000743D6" w:rsidRDefault="00F00E3D" w:rsidP="009B2FA7">
            <w:pPr>
              <w:contextualSpacing/>
              <w:rPr>
                <w:rFonts w:eastAsia="Times New Roman" w:cstheme="minorHAnsi"/>
                <w:b/>
                <w:bCs/>
                <w:sz w:val="21"/>
                <w:szCs w:val="21"/>
                <w:lang w:eastAsia="en-GB"/>
              </w:rPr>
            </w:pPr>
            <w:r w:rsidRPr="000743D6">
              <w:rPr>
                <w:rFonts w:eastAsia="Times New Roman" w:cstheme="minorHAnsi"/>
                <w:b/>
                <w:bCs/>
                <w:sz w:val="21"/>
                <w:szCs w:val="21"/>
                <w:lang w:eastAsia="en-GB"/>
              </w:rPr>
              <w:t>(most relevant first)</w:t>
            </w:r>
          </w:p>
        </w:tc>
        <w:tc>
          <w:tcPr>
            <w:tcW w:w="1725" w:type="dxa"/>
            <w:shd w:val="clear" w:color="auto" w:fill="D0CECE" w:themeFill="background2" w:themeFillShade="E6"/>
          </w:tcPr>
          <w:p w14:paraId="12FACB28" w14:textId="112927E9" w:rsidR="00F00E3D" w:rsidRPr="000743D6" w:rsidRDefault="00F00E3D" w:rsidP="009B2FA7">
            <w:pPr>
              <w:contextualSpacing/>
              <w:rPr>
                <w:rFonts w:eastAsia="Times New Roman" w:cstheme="minorHAnsi"/>
                <w:b/>
                <w:bCs/>
                <w:sz w:val="21"/>
                <w:szCs w:val="21"/>
                <w:lang w:eastAsia="en-GB"/>
              </w:rPr>
            </w:pPr>
            <w:r w:rsidRPr="000743D6">
              <w:rPr>
                <w:rFonts w:eastAsia="Times New Roman" w:cstheme="minorHAnsi"/>
                <w:b/>
                <w:bCs/>
                <w:sz w:val="21"/>
                <w:szCs w:val="21"/>
                <w:lang w:eastAsia="en-GB"/>
              </w:rPr>
              <w:t xml:space="preserve"># Articles </w:t>
            </w:r>
            <w:r w:rsidR="000743D6">
              <w:rPr>
                <w:rFonts w:eastAsia="Times New Roman" w:cstheme="minorHAnsi"/>
                <w:b/>
                <w:bCs/>
                <w:sz w:val="21"/>
                <w:szCs w:val="21"/>
                <w:lang w:eastAsia="en-GB"/>
              </w:rPr>
              <w:t>S</w:t>
            </w:r>
            <w:r w:rsidRPr="000743D6">
              <w:rPr>
                <w:rFonts w:eastAsia="Times New Roman" w:cstheme="minorHAnsi"/>
                <w:b/>
                <w:bCs/>
                <w:sz w:val="21"/>
                <w:szCs w:val="21"/>
                <w:lang w:eastAsia="en-GB"/>
              </w:rPr>
              <w:t xml:space="preserve">elected for </w:t>
            </w:r>
            <w:r w:rsidR="000743D6">
              <w:rPr>
                <w:rFonts w:eastAsia="Times New Roman" w:cstheme="minorHAnsi"/>
                <w:b/>
                <w:bCs/>
                <w:sz w:val="21"/>
                <w:szCs w:val="21"/>
                <w:lang w:eastAsia="en-GB"/>
              </w:rPr>
              <w:t>A</w:t>
            </w:r>
            <w:r w:rsidRPr="000743D6">
              <w:rPr>
                <w:rFonts w:eastAsia="Times New Roman" w:cstheme="minorHAnsi"/>
                <w:b/>
                <w:bCs/>
                <w:sz w:val="21"/>
                <w:szCs w:val="21"/>
                <w:lang w:eastAsia="en-GB"/>
              </w:rPr>
              <w:t xml:space="preserve">bstract </w:t>
            </w:r>
            <w:r w:rsidR="000743D6">
              <w:rPr>
                <w:rFonts w:eastAsia="Times New Roman" w:cstheme="minorHAnsi"/>
                <w:b/>
                <w:bCs/>
                <w:sz w:val="21"/>
                <w:szCs w:val="21"/>
                <w:lang w:eastAsia="en-GB"/>
              </w:rPr>
              <w:t>E</w:t>
            </w:r>
            <w:r w:rsidRPr="000743D6">
              <w:rPr>
                <w:rFonts w:eastAsia="Times New Roman" w:cstheme="minorHAnsi"/>
                <w:b/>
                <w:bCs/>
                <w:sz w:val="21"/>
                <w:szCs w:val="21"/>
                <w:lang w:eastAsia="en-GB"/>
              </w:rPr>
              <w:t>valuation</w:t>
            </w:r>
          </w:p>
        </w:tc>
        <w:tc>
          <w:tcPr>
            <w:tcW w:w="1725" w:type="dxa"/>
            <w:shd w:val="clear" w:color="auto" w:fill="D0CECE" w:themeFill="background2" w:themeFillShade="E6"/>
          </w:tcPr>
          <w:p w14:paraId="3A507C8C" w14:textId="7EA20C69" w:rsidR="00F00E3D" w:rsidRPr="000743D6" w:rsidRDefault="00F00E3D" w:rsidP="009B2FA7">
            <w:pPr>
              <w:contextualSpacing/>
              <w:rPr>
                <w:rFonts w:eastAsia="Times New Roman" w:cstheme="minorHAnsi"/>
                <w:b/>
                <w:bCs/>
                <w:sz w:val="21"/>
                <w:szCs w:val="21"/>
                <w:lang w:eastAsia="en-GB"/>
              </w:rPr>
            </w:pPr>
            <w:r w:rsidRPr="000743D6">
              <w:rPr>
                <w:rFonts w:eastAsia="Times New Roman" w:cstheme="minorHAnsi"/>
                <w:b/>
                <w:bCs/>
                <w:sz w:val="21"/>
                <w:szCs w:val="21"/>
                <w:lang w:eastAsia="en-GB"/>
              </w:rPr>
              <w:t xml:space="preserve"># Articles </w:t>
            </w:r>
            <w:r w:rsidR="000743D6">
              <w:rPr>
                <w:rFonts w:eastAsia="Times New Roman" w:cstheme="minorHAnsi"/>
                <w:b/>
                <w:bCs/>
                <w:sz w:val="21"/>
                <w:szCs w:val="21"/>
                <w:lang w:eastAsia="en-GB"/>
              </w:rPr>
              <w:t>R</w:t>
            </w:r>
            <w:r w:rsidRPr="000743D6">
              <w:rPr>
                <w:rFonts w:eastAsia="Times New Roman" w:cstheme="minorHAnsi"/>
                <w:b/>
                <w:bCs/>
                <w:sz w:val="21"/>
                <w:szCs w:val="21"/>
                <w:lang w:eastAsia="en-GB"/>
              </w:rPr>
              <w:t>etained</w:t>
            </w:r>
          </w:p>
          <w:p w14:paraId="3CC6D77C" w14:textId="4B4E9FFE" w:rsidR="00F00E3D" w:rsidRPr="000743D6" w:rsidRDefault="000743D6" w:rsidP="009B2FA7">
            <w:pPr>
              <w:contextualSpacing/>
              <w:rPr>
                <w:rFonts w:eastAsia="Times New Roman" w:cstheme="minorHAnsi"/>
                <w:b/>
                <w:bCs/>
                <w:sz w:val="21"/>
                <w:szCs w:val="21"/>
                <w:lang w:eastAsia="en-GB"/>
              </w:rPr>
            </w:pPr>
            <w:r>
              <w:rPr>
                <w:rFonts w:eastAsia="Times New Roman" w:cstheme="minorHAnsi"/>
                <w:b/>
                <w:bCs/>
                <w:sz w:val="21"/>
                <w:szCs w:val="21"/>
                <w:lang w:eastAsia="en-GB"/>
              </w:rPr>
              <w:t>A</w:t>
            </w:r>
            <w:r w:rsidR="00F00E3D" w:rsidRPr="000743D6">
              <w:rPr>
                <w:rFonts w:eastAsia="Times New Roman" w:cstheme="minorHAnsi"/>
                <w:b/>
                <w:bCs/>
                <w:sz w:val="21"/>
                <w:szCs w:val="21"/>
                <w:lang w:eastAsia="en-GB"/>
              </w:rPr>
              <w:t xml:space="preserve">fter </w:t>
            </w:r>
            <w:r>
              <w:rPr>
                <w:rFonts w:eastAsia="Times New Roman" w:cstheme="minorHAnsi"/>
                <w:b/>
                <w:bCs/>
                <w:sz w:val="21"/>
                <w:szCs w:val="21"/>
                <w:lang w:eastAsia="en-GB"/>
              </w:rPr>
              <w:t>A</w:t>
            </w:r>
            <w:r w:rsidR="00F00E3D" w:rsidRPr="000743D6">
              <w:rPr>
                <w:rFonts w:eastAsia="Times New Roman" w:cstheme="minorHAnsi"/>
                <w:b/>
                <w:bCs/>
                <w:sz w:val="21"/>
                <w:szCs w:val="21"/>
                <w:lang w:eastAsia="en-GB"/>
              </w:rPr>
              <w:t xml:space="preserve">bstract </w:t>
            </w:r>
            <w:r>
              <w:rPr>
                <w:rFonts w:eastAsia="Times New Roman" w:cstheme="minorHAnsi"/>
                <w:b/>
                <w:bCs/>
                <w:sz w:val="21"/>
                <w:szCs w:val="21"/>
                <w:lang w:eastAsia="en-GB"/>
              </w:rPr>
              <w:t>E</w:t>
            </w:r>
            <w:r w:rsidR="00F00E3D" w:rsidRPr="000743D6">
              <w:rPr>
                <w:rFonts w:eastAsia="Times New Roman" w:cstheme="minorHAnsi"/>
                <w:b/>
                <w:bCs/>
                <w:sz w:val="21"/>
                <w:szCs w:val="21"/>
                <w:lang w:eastAsia="en-GB"/>
              </w:rPr>
              <w:t>valuation</w:t>
            </w:r>
          </w:p>
        </w:tc>
        <w:tc>
          <w:tcPr>
            <w:tcW w:w="1725" w:type="dxa"/>
            <w:shd w:val="clear" w:color="auto" w:fill="D0CECE" w:themeFill="background2" w:themeFillShade="E6"/>
          </w:tcPr>
          <w:p w14:paraId="3345749B" w14:textId="5A164FF0" w:rsidR="00F00E3D" w:rsidRPr="000743D6" w:rsidRDefault="00F00E3D" w:rsidP="009B2FA7">
            <w:pPr>
              <w:contextualSpacing/>
              <w:rPr>
                <w:rFonts w:eastAsia="Times New Roman" w:cstheme="minorHAnsi"/>
                <w:b/>
                <w:bCs/>
                <w:sz w:val="21"/>
                <w:szCs w:val="21"/>
                <w:lang w:eastAsia="en-GB"/>
              </w:rPr>
            </w:pPr>
            <w:r w:rsidRPr="000743D6">
              <w:rPr>
                <w:rFonts w:eastAsia="Times New Roman" w:cstheme="minorHAnsi"/>
                <w:b/>
                <w:bCs/>
                <w:sz w:val="21"/>
                <w:szCs w:val="21"/>
                <w:lang w:eastAsia="en-GB"/>
              </w:rPr>
              <w:t xml:space="preserve"># Articles </w:t>
            </w:r>
            <w:r w:rsidR="000743D6">
              <w:rPr>
                <w:rFonts w:eastAsia="Times New Roman" w:cstheme="minorHAnsi"/>
                <w:b/>
                <w:bCs/>
                <w:sz w:val="21"/>
                <w:szCs w:val="21"/>
                <w:lang w:eastAsia="en-GB"/>
              </w:rPr>
              <w:t>R</w:t>
            </w:r>
            <w:r w:rsidRPr="000743D6">
              <w:rPr>
                <w:rFonts w:eastAsia="Times New Roman" w:cstheme="minorHAnsi"/>
                <w:b/>
                <w:bCs/>
                <w:sz w:val="21"/>
                <w:szCs w:val="21"/>
                <w:lang w:eastAsia="en-GB"/>
              </w:rPr>
              <w:t>ejected</w:t>
            </w:r>
          </w:p>
          <w:p w14:paraId="0A973FDE" w14:textId="2895F954" w:rsidR="00F00E3D" w:rsidRPr="000743D6" w:rsidRDefault="000743D6" w:rsidP="009B2FA7">
            <w:pPr>
              <w:contextualSpacing/>
              <w:rPr>
                <w:rFonts w:eastAsia="Times New Roman" w:cstheme="minorHAnsi"/>
                <w:b/>
                <w:bCs/>
                <w:sz w:val="21"/>
                <w:szCs w:val="21"/>
                <w:lang w:eastAsia="en-GB"/>
              </w:rPr>
            </w:pPr>
            <w:r>
              <w:rPr>
                <w:rFonts w:eastAsia="Times New Roman" w:cstheme="minorHAnsi"/>
                <w:b/>
                <w:bCs/>
                <w:sz w:val="21"/>
                <w:szCs w:val="21"/>
                <w:lang w:eastAsia="en-GB"/>
              </w:rPr>
              <w:t>A</w:t>
            </w:r>
            <w:r w:rsidR="00F00E3D" w:rsidRPr="000743D6">
              <w:rPr>
                <w:rFonts w:eastAsia="Times New Roman" w:cstheme="minorHAnsi"/>
                <w:b/>
                <w:bCs/>
                <w:sz w:val="21"/>
                <w:szCs w:val="21"/>
                <w:lang w:eastAsia="en-GB"/>
              </w:rPr>
              <w:t xml:space="preserve">fter </w:t>
            </w:r>
            <w:r>
              <w:rPr>
                <w:rFonts w:eastAsia="Times New Roman" w:cstheme="minorHAnsi"/>
                <w:b/>
                <w:bCs/>
                <w:sz w:val="21"/>
                <w:szCs w:val="21"/>
                <w:lang w:eastAsia="en-GB"/>
              </w:rPr>
              <w:t>A</w:t>
            </w:r>
            <w:r w:rsidR="00F00E3D" w:rsidRPr="000743D6">
              <w:rPr>
                <w:rFonts w:eastAsia="Times New Roman" w:cstheme="minorHAnsi"/>
                <w:b/>
                <w:bCs/>
                <w:sz w:val="21"/>
                <w:szCs w:val="21"/>
                <w:lang w:eastAsia="en-GB"/>
              </w:rPr>
              <w:t xml:space="preserve">bstract </w:t>
            </w:r>
            <w:r>
              <w:rPr>
                <w:rFonts w:eastAsia="Times New Roman" w:cstheme="minorHAnsi"/>
                <w:b/>
                <w:bCs/>
                <w:sz w:val="21"/>
                <w:szCs w:val="21"/>
                <w:lang w:eastAsia="en-GB"/>
              </w:rPr>
              <w:t>E</w:t>
            </w:r>
            <w:r w:rsidR="00F00E3D" w:rsidRPr="000743D6">
              <w:rPr>
                <w:rFonts w:eastAsia="Times New Roman" w:cstheme="minorHAnsi"/>
                <w:b/>
                <w:bCs/>
                <w:sz w:val="21"/>
                <w:szCs w:val="21"/>
                <w:lang w:eastAsia="en-GB"/>
              </w:rPr>
              <w:t>valuation</w:t>
            </w:r>
          </w:p>
        </w:tc>
      </w:tr>
      <w:tr w:rsidR="00F00E3D" w:rsidRPr="00C83D16" w14:paraId="09620365" w14:textId="77777777" w:rsidTr="00364B6B">
        <w:trPr>
          <w:trHeight w:val="190"/>
        </w:trPr>
        <w:tc>
          <w:tcPr>
            <w:tcW w:w="928" w:type="dxa"/>
          </w:tcPr>
          <w:p w14:paraId="4BB24B73"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1</w:t>
            </w:r>
          </w:p>
        </w:tc>
        <w:tc>
          <w:tcPr>
            <w:tcW w:w="1725" w:type="dxa"/>
          </w:tcPr>
          <w:p w14:paraId="1205493B"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Scopus</w:t>
            </w:r>
          </w:p>
        </w:tc>
        <w:tc>
          <w:tcPr>
            <w:tcW w:w="1725" w:type="dxa"/>
          </w:tcPr>
          <w:p w14:paraId="6FD716BA"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1345</w:t>
            </w:r>
          </w:p>
        </w:tc>
        <w:tc>
          <w:tcPr>
            <w:tcW w:w="1725" w:type="dxa"/>
          </w:tcPr>
          <w:p w14:paraId="298FC38D"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186</w:t>
            </w:r>
          </w:p>
        </w:tc>
        <w:tc>
          <w:tcPr>
            <w:tcW w:w="1725" w:type="dxa"/>
          </w:tcPr>
          <w:p w14:paraId="0B4DB3F2"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107</w:t>
            </w:r>
          </w:p>
        </w:tc>
        <w:tc>
          <w:tcPr>
            <w:tcW w:w="1725" w:type="dxa"/>
          </w:tcPr>
          <w:p w14:paraId="3EFCF579"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79</w:t>
            </w:r>
          </w:p>
        </w:tc>
      </w:tr>
      <w:tr w:rsidR="00F00E3D" w:rsidRPr="00C83D16" w14:paraId="3B604F60" w14:textId="77777777" w:rsidTr="00364B6B">
        <w:trPr>
          <w:trHeight w:val="184"/>
        </w:trPr>
        <w:tc>
          <w:tcPr>
            <w:tcW w:w="928" w:type="dxa"/>
          </w:tcPr>
          <w:p w14:paraId="1028E467"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2</w:t>
            </w:r>
          </w:p>
        </w:tc>
        <w:tc>
          <w:tcPr>
            <w:tcW w:w="1725" w:type="dxa"/>
          </w:tcPr>
          <w:p w14:paraId="0BCF0B6D"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ProQuest</w:t>
            </w:r>
          </w:p>
        </w:tc>
        <w:tc>
          <w:tcPr>
            <w:tcW w:w="1725" w:type="dxa"/>
          </w:tcPr>
          <w:p w14:paraId="20F61D6E"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400</w:t>
            </w:r>
          </w:p>
        </w:tc>
        <w:tc>
          <w:tcPr>
            <w:tcW w:w="1725" w:type="dxa"/>
          </w:tcPr>
          <w:p w14:paraId="1CD3CDB8"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54</w:t>
            </w:r>
          </w:p>
        </w:tc>
        <w:tc>
          <w:tcPr>
            <w:tcW w:w="1725" w:type="dxa"/>
          </w:tcPr>
          <w:p w14:paraId="0487CDA2"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30</w:t>
            </w:r>
          </w:p>
        </w:tc>
        <w:tc>
          <w:tcPr>
            <w:tcW w:w="1725" w:type="dxa"/>
          </w:tcPr>
          <w:p w14:paraId="68E885C2"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24</w:t>
            </w:r>
          </w:p>
        </w:tc>
      </w:tr>
      <w:tr w:rsidR="00F00E3D" w:rsidRPr="00C83D16" w14:paraId="44478D21" w14:textId="77777777" w:rsidTr="00364B6B">
        <w:trPr>
          <w:trHeight w:val="190"/>
        </w:trPr>
        <w:tc>
          <w:tcPr>
            <w:tcW w:w="928" w:type="dxa"/>
          </w:tcPr>
          <w:p w14:paraId="78D1DEED"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3</w:t>
            </w:r>
          </w:p>
        </w:tc>
        <w:tc>
          <w:tcPr>
            <w:tcW w:w="1725" w:type="dxa"/>
          </w:tcPr>
          <w:p w14:paraId="26622E20"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Web of Science</w:t>
            </w:r>
          </w:p>
        </w:tc>
        <w:tc>
          <w:tcPr>
            <w:tcW w:w="1725" w:type="dxa"/>
          </w:tcPr>
          <w:p w14:paraId="1F903733"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400</w:t>
            </w:r>
          </w:p>
        </w:tc>
        <w:tc>
          <w:tcPr>
            <w:tcW w:w="1725" w:type="dxa"/>
          </w:tcPr>
          <w:p w14:paraId="7AA2747E"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41</w:t>
            </w:r>
          </w:p>
        </w:tc>
        <w:tc>
          <w:tcPr>
            <w:tcW w:w="1725" w:type="dxa"/>
          </w:tcPr>
          <w:p w14:paraId="455C053A"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23</w:t>
            </w:r>
          </w:p>
        </w:tc>
        <w:tc>
          <w:tcPr>
            <w:tcW w:w="1725" w:type="dxa"/>
          </w:tcPr>
          <w:p w14:paraId="76415ADB"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18</w:t>
            </w:r>
          </w:p>
        </w:tc>
      </w:tr>
      <w:tr w:rsidR="00F00E3D" w:rsidRPr="00C83D16" w14:paraId="489EAFC9" w14:textId="77777777" w:rsidTr="00364B6B">
        <w:trPr>
          <w:trHeight w:val="184"/>
        </w:trPr>
        <w:tc>
          <w:tcPr>
            <w:tcW w:w="928" w:type="dxa"/>
          </w:tcPr>
          <w:p w14:paraId="07FDF15A"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4</w:t>
            </w:r>
          </w:p>
        </w:tc>
        <w:tc>
          <w:tcPr>
            <w:tcW w:w="1725" w:type="dxa"/>
          </w:tcPr>
          <w:p w14:paraId="3420AC50"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JSTOR</w:t>
            </w:r>
          </w:p>
        </w:tc>
        <w:tc>
          <w:tcPr>
            <w:tcW w:w="1725" w:type="dxa"/>
          </w:tcPr>
          <w:p w14:paraId="647F4FC1"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400</w:t>
            </w:r>
          </w:p>
        </w:tc>
        <w:tc>
          <w:tcPr>
            <w:tcW w:w="1725" w:type="dxa"/>
          </w:tcPr>
          <w:p w14:paraId="03237F07"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68</w:t>
            </w:r>
          </w:p>
        </w:tc>
        <w:tc>
          <w:tcPr>
            <w:tcW w:w="1725" w:type="dxa"/>
          </w:tcPr>
          <w:p w14:paraId="03CCCFD7"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42</w:t>
            </w:r>
          </w:p>
        </w:tc>
        <w:tc>
          <w:tcPr>
            <w:tcW w:w="1725" w:type="dxa"/>
          </w:tcPr>
          <w:p w14:paraId="634E2999"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26</w:t>
            </w:r>
          </w:p>
        </w:tc>
      </w:tr>
      <w:tr w:rsidR="00F00E3D" w:rsidRPr="00C83D16" w14:paraId="12642E01" w14:textId="77777777" w:rsidTr="00364B6B">
        <w:trPr>
          <w:trHeight w:val="190"/>
        </w:trPr>
        <w:tc>
          <w:tcPr>
            <w:tcW w:w="928" w:type="dxa"/>
          </w:tcPr>
          <w:p w14:paraId="0ACA7B14"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5</w:t>
            </w:r>
          </w:p>
        </w:tc>
        <w:tc>
          <w:tcPr>
            <w:tcW w:w="1725" w:type="dxa"/>
          </w:tcPr>
          <w:p w14:paraId="14E06591"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Informit</w:t>
            </w:r>
          </w:p>
        </w:tc>
        <w:tc>
          <w:tcPr>
            <w:tcW w:w="1725" w:type="dxa"/>
          </w:tcPr>
          <w:p w14:paraId="7FA52119"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57</w:t>
            </w:r>
          </w:p>
        </w:tc>
        <w:tc>
          <w:tcPr>
            <w:tcW w:w="1725" w:type="dxa"/>
          </w:tcPr>
          <w:p w14:paraId="7CF3A979"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2</w:t>
            </w:r>
          </w:p>
        </w:tc>
        <w:tc>
          <w:tcPr>
            <w:tcW w:w="1725" w:type="dxa"/>
          </w:tcPr>
          <w:p w14:paraId="2AB98EA7"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1</w:t>
            </w:r>
          </w:p>
        </w:tc>
        <w:tc>
          <w:tcPr>
            <w:tcW w:w="1725" w:type="dxa"/>
          </w:tcPr>
          <w:p w14:paraId="2BA274B6"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1</w:t>
            </w:r>
          </w:p>
        </w:tc>
      </w:tr>
      <w:tr w:rsidR="00F00E3D" w:rsidRPr="00C83D16" w14:paraId="1BB17109" w14:textId="77777777" w:rsidTr="00364B6B">
        <w:trPr>
          <w:trHeight w:val="184"/>
        </w:trPr>
        <w:tc>
          <w:tcPr>
            <w:tcW w:w="928" w:type="dxa"/>
          </w:tcPr>
          <w:p w14:paraId="2845A592"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6</w:t>
            </w:r>
          </w:p>
        </w:tc>
        <w:tc>
          <w:tcPr>
            <w:tcW w:w="1725" w:type="dxa"/>
          </w:tcPr>
          <w:p w14:paraId="12ED9747"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APO</w:t>
            </w:r>
          </w:p>
        </w:tc>
        <w:tc>
          <w:tcPr>
            <w:tcW w:w="1725" w:type="dxa"/>
          </w:tcPr>
          <w:p w14:paraId="3FD12BFA"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336</w:t>
            </w:r>
          </w:p>
        </w:tc>
        <w:tc>
          <w:tcPr>
            <w:tcW w:w="1725" w:type="dxa"/>
          </w:tcPr>
          <w:p w14:paraId="5690DD9A"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40</w:t>
            </w:r>
          </w:p>
        </w:tc>
        <w:tc>
          <w:tcPr>
            <w:tcW w:w="1725" w:type="dxa"/>
          </w:tcPr>
          <w:p w14:paraId="0E92373D"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32</w:t>
            </w:r>
          </w:p>
        </w:tc>
        <w:tc>
          <w:tcPr>
            <w:tcW w:w="1725" w:type="dxa"/>
          </w:tcPr>
          <w:p w14:paraId="1A5DCDEB"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8</w:t>
            </w:r>
          </w:p>
        </w:tc>
      </w:tr>
      <w:tr w:rsidR="00F00E3D" w:rsidRPr="00C83D16" w14:paraId="5FD4DEDC" w14:textId="77777777" w:rsidTr="00364B6B">
        <w:trPr>
          <w:trHeight w:val="190"/>
        </w:trPr>
        <w:tc>
          <w:tcPr>
            <w:tcW w:w="928" w:type="dxa"/>
          </w:tcPr>
          <w:p w14:paraId="014A36BF"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7</w:t>
            </w:r>
          </w:p>
        </w:tc>
        <w:tc>
          <w:tcPr>
            <w:tcW w:w="1725" w:type="dxa"/>
          </w:tcPr>
          <w:p w14:paraId="1722F403"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RePEc</w:t>
            </w:r>
          </w:p>
        </w:tc>
        <w:tc>
          <w:tcPr>
            <w:tcW w:w="1725" w:type="dxa"/>
          </w:tcPr>
          <w:p w14:paraId="32F7DA87"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100</w:t>
            </w:r>
          </w:p>
        </w:tc>
        <w:tc>
          <w:tcPr>
            <w:tcW w:w="1725" w:type="dxa"/>
          </w:tcPr>
          <w:p w14:paraId="69873E4D"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0</w:t>
            </w:r>
          </w:p>
        </w:tc>
        <w:tc>
          <w:tcPr>
            <w:tcW w:w="1725" w:type="dxa"/>
          </w:tcPr>
          <w:p w14:paraId="046DFC96"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0</w:t>
            </w:r>
          </w:p>
        </w:tc>
        <w:tc>
          <w:tcPr>
            <w:tcW w:w="1725" w:type="dxa"/>
          </w:tcPr>
          <w:p w14:paraId="0A7FB1CE"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0</w:t>
            </w:r>
          </w:p>
        </w:tc>
      </w:tr>
      <w:tr w:rsidR="00F00E3D" w:rsidRPr="00C83D16" w14:paraId="1CF2216F" w14:textId="77777777" w:rsidTr="00364B6B">
        <w:trPr>
          <w:trHeight w:val="184"/>
        </w:trPr>
        <w:tc>
          <w:tcPr>
            <w:tcW w:w="928" w:type="dxa"/>
          </w:tcPr>
          <w:p w14:paraId="04769284"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8</w:t>
            </w:r>
          </w:p>
        </w:tc>
        <w:tc>
          <w:tcPr>
            <w:tcW w:w="1725" w:type="dxa"/>
          </w:tcPr>
          <w:p w14:paraId="53DF7757"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OpenGrey</w:t>
            </w:r>
          </w:p>
        </w:tc>
        <w:tc>
          <w:tcPr>
            <w:tcW w:w="1725" w:type="dxa"/>
          </w:tcPr>
          <w:p w14:paraId="3EF236F2"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37</w:t>
            </w:r>
          </w:p>
        </w:tc>
        <w:tc>
          <w:tcPr>
            <w:tcW w:w="1725" w:type="dxa"/>
          </w:tcPr>
          <w:p w14:paraId="6D32C2CB"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6</w:t>
            </w:r>
          </w:p>
        </w:tc>
        <w:tc>
          <w:tcPr>
            <w:tcW w:w="1725" w:type="dxa"/>
          </w:tcPr>
          <w:p w14:paraId="4F67E0A1"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0</w:t>
            </w:r>
          </w:p>
        </w:tc>
        <w:tc>
          <w:tcPr>
            <w:tcW w:w="1725" w:type="dxa"/>
          </w:tcPr>
          <w:p w14:paraId="5F215621"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6</w:t>
            </w:r>
          </w:p>
        </w:tc>
      </w:tr>
      <w:tr w:rsidR="00F00E3D" w:rsidRPr="00C83D16" w14:paraId="28697EC8" w14:textId="77777777" w:rsidTr="00364B6B">
        <w:trPr>
          <w:trHeight w:val="190"/>
        </w:trPr>
        <w:tc>
          <w:tcPr>
            <w:tcW w:w="928" w:type="dxa"/>
          </w:tcPr>
          <w:p w14:paraId="0FF952F4"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9</w:t>
            </w:r>
          </w:p>
        </w:tc>
        <w:tc>
          <w:tcPr>
            <w:tcW w:w="1725" w:type="dxa"/>
          </w:tcPr>
          <w:p w14:paraId="6AF013E2"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AIHW</w:t>
            </w:r>
          </w:p>
        </w:tc>
        <w:tc>
          <w:tcPr>
            <w:tcW w:w="1725" w:type="dxa"/>
          </w:tcPr>
          <w:p w14:paraId="1737BC9D"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16</w:t>
            </w:r>
          </w:p>
        </w:tc>
        <w:tc>
          <w:tcPr>
            <w:tcW w:w="1725" w:type="dxa"/>
          </w:tcPr>
          <w:p w14:paraId="504BA215"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4</w:t>
            </w:r>
          </w:p>
        </w:tc>
        <w:tc>
          <w:tcPr>
            <w:tcW w:w="1725" w:type="dxa"/>
          </w:tcPr>
          <w:p w14:paraId="0095F1AD"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4</w:t>
            </w:r>
          </w:p>
        </w:tc>
        <w:tc>
          <w:tcPr>
            <w:tcW w:w="1725" w:type="dxa"/>
          </w:tcPr>
          <w:p w14:paraId="1365187F"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r w:rsidRPr="00C83D16">
              <w:rPr>
                <w:rFonts w:asciiTheme="majorHAnsi" w:eastAsia="Times New Roman" w:hAnsiTheme="majorHAnsi" w:cstheme="majorHAnsi"/>
                <w:sz w:val="21"/>
                <w:szCs w:val="21"/>
                <w:lang w:eastAsia="en-GB"/>
              </w:rPr>
              <w:t>0</w:t>
            </w:r>
          </w:p>
        </w:tc>
      </w:tr>
      <w:tr w:rsidR="00F00E3D" w:rsidRPr="00C83D16" w14:paraId="2C71B580" w14:textId="77777777" w:rsidTr="00364B6B">
        <w:trPr>
          <w:trHeight w:val="318"/>
        </w:trPr>
        <w:tc>
          <w:tcPr>
            <w:tcW w:w="928" w:type="dxa"/>
          </w:tcPr>
          <w:p w14:paraId="723177F0" w14:textId="77777777" w:rsidR="00F00E3D" w:rsidRPr="00C83D16" w:rsidRDefault="00F00E3D" w:rsidP="009B2FA7">
            <w:pPr>
              <w:spacing w:line="276" w:lineRule="auto"/>
              <w:contextualSpacing/>
              <w:rPr>
                <w:rFonts w:asciiTheme="majorHAnsi" w:eastAsia="Times New Roman" w:hAnsiTheme="majorHAnsi" w:cstheme="majorHAnsi"/>
                <w:sz w:val="21"/>
                <w:szCs w:val="21"/>
                <w:lang w:eastAsia="en-GB"/>
              </w:rPr>
            </w:pPr>
          </w:p>
        </w:tc>
        <w:tc>
          <w:tcPr>
            <w:tcW w:w="1725" w:type="dxa"/>
          </w:tcPr>
          <w:p w14:paraId="6ED31A00" w14:textId="77777777" w:rsidR="00F00E3D" w:rsidRPr="00C83D16" w:rsidRDefault="00F00E3D" w:rsidP="009B2FA7">
            <w:pPr>
              <w:spacing w:line="276" w:lineRule="auto"/>
              <w:contextualSpacing/>
              <w:rPr>
                <w:rFonts w:asciiTheme="majorHAnsi" w:eastAsia="Times New Roman" w:hAnsiTheme="majorHAnsi" w:cstheme="majorHAnsi"/>
                <w:b/>
                <w:bCs/>
                <w:sz w:val="21"/>
                <w:szCs w:val="21"/>
                <w:lang w:eastAsia="en-GB"/>
              </w:rPr>
            </w:pPr>
            <w:r w:rsidRPr="00C83D16">
              <w:rPr>
                <w:rFonts w:asciiTheme="majorHAnsi" w:eastAsia="Times New Roman" w:hAnsiTheme="majorHAnsi" w:cstheme="majorHAnsi"/>
                <w:b/>
                <w:bCs/>
                <w:sz w:val="21"/>
                <w:szCs w:val="21"/>
                <w:lang w:eastAsia="en-GB"/>
              </w:rPr>
              <w:t>TOTAL</w:t>
            </w:r>
          </w:p>
        </w:tc>
        <w:tc>
          <w:tcPr>
            <w:tcW w:w="1725" w:type="dxa"/>
          </w:tcPr>
          <w:p w14:paraId="33995222" w14:textId="77777777" w:rsidR="00F00E3D" w:rsidRPr="00C83D16" w:rsidRDefault="00F00E3D" w:rsidP="009B2FA7">
            <w:pPr>
              <w:spacing w:line="276" w:lineRule="auto"/>
              <w:contextualSpacing/>
              <w:rPr>
                <w:rFonts w:asciiTheme="majorHAnsi" w:eastAsia="Times New Roman" w:hAnsiTheme="majorHAnsi" w:cstheme="majorHAnsi"/>
                <w:b/>
                <w:bCs/>
                <w:sz w:val="21"/>
                <w:szCs w:val="21"/>
                <w:lang w:eastAsia="en-GB"/>
              </w:rPr>
            </w:pPr>
            <w:r w:rsidRPr="00C83D16">
              <w:rPr>
                <w:rFonts w:asciiTheme="majorHAnsi" w:eastAsia="Times New Roman" w:hAnsiTheme="majorHAnsi" w:cstheme="majorHAnsi"/>
                <w:b/>
                <w:color w:val="2B579A"/>
                <w:sz w:val="21"/>
                <w:szCs w:val="21"/>
                <w:shd w:val="clear" w:color="auto" w:fill="E6E6E6"/>
                <w:lang w:eastAsia="en-GB"/>
              </w:rPr>
              <w:fldChar w:fldCharType="begin"/>
            </w:r>
            <w:r w:rsidRPr="00C83D16">
              <w:rPr>
                <w:rFonts w:asciiTheme="majorHAnsi" w:eastAsia="Times New Roman" w:hAnsiTheme="majorHAnsi" w:cstheme="majorHAnsi"/>
                <w:b/>
                <w:bCs/>
                <w:sz w:val="21"/>
                <w:szCs w:val="21"/>
                <w:lang w:eastAsia="en-GB"/>
              </w:rPr>
              <w:instrText xml:space="preserve"> =SUM(ABOVE) </w:instrText>
            </w:r>
            <w:r w:rsidRPr="00C83D16">
              <w:rPr>
                <w:rFonts w:asciiTheme="majorHAnsi" w:eastAsia="Times New Roman" w:hAnsiTheme="majorHAnsi" w:cstheme="majorHAnsi"/>
                <w:b/>
                <w:color w:val="2B579A"/>
                <w:sz w:val="21"/>
                <w:szCs w:val="21"/>
                <w:shd w:val="clear" w:color="auto" w:fill="E6E6E6"/>
                <w:lang w:eastAsia="en-GB"/>
              </w:rPr>
              <w:fldChar w:fldCharType="separate"/>
            </w:r>
            <w:r w:rsidRPr="00C83D16">
              <w:rPr>
                <w:rFonts w:asciiTheme="majorHAnsi" w:eastAsia="Times New Roman" w:hAnsiTheme="majorHAnsi" w:cstheme="majorHAnsi"/>
                <w:b/>
                <w:bCs/>
                <w:noProof/>
                <w:sz w:val="21"/>
                <w:szCs w:val="21"/>
                <w:lang w:eastAsia="en-GB"/>
              </w:rPr>
              <w:t>3091</w:t>
            </w:r>
            <w:r w:rsidRPr="00C83D16">
              <w:rPr>
                <w:rFonts w:asciiTheme="majorHAnsi" w:eastAsia="Times New Roman" w:hAnsiTheme="majorHAnsi" w:cstheme="majorHAnsi"/>
                <w:b/>
                <w:color w:val="2B579A"/>
                <w:sz w:val="21"/>
                <w:szCs w:val="21"/>
                <w:shd w:val="clear" w:color="auto" w:fill="E6E6E6"/>
                <w:lang w:eastAsia="en-GB"/>
              </w:rPr>
              <w:fldChar w:fldCharType="end"/>
            </w:r>
          </w:p>
        </w:tc>
        <w:tc>
          <w:tcPr>
            <w:tcW w:w="1725" w:type="dxa"/>
          </w:tcPr>
          <w:p w14:paraId="1BF0BDFE" w14:textId="77777777" w:rsidR="00F00E3D" w:rsidRPr="00C83D16" w:rsidRDefault="00F00E3D" w:rsidP="009B2FA7">
            <w:pPr>
              <w:spacing w:line="276" w:lineRule="auto"/>
              <w:contextualSpacing/>
              <w:rPr>
                <w:rFonts w:asciiTheme="majorHAnsi" w:eastAsia="Times New Roman" w:hAnsiTheme="majorHAnsi" w:cstheme="majorHAnsi"/>
                <w:b/>
                <w:bCs/>
                <w:sz w:val="21"/>
                <w:szCs w:val="21"/>
                <w:lang w:eastAsia="en-GB"/>
              </w:rPr>
            </w:pPr>
            <w:r w:rsidRPr="00C83D16">
              <w:rPr>
                <w:rFonts w:asciiTheme="majorHAnsi" w:eastAsia="Times New Roman" w:hAnsiTheme="majorHAnsi" w:cstheme="majorHAnsi"/>
                <w:b/>
                <w:color w:val="2B579A"/>
                <w:sz w:val="21"/>
                <w:szCs w:val="21"/>
                <w:shd w:val="clear" w:color="auto" w:fill="E6E6E6"/>
                <w:lang w:eastAsia="en-GB"/>
              </w:rPr>
              <w:fldChar w:fldCharType="begin"/>
            </w:r>
            <w:r w:rsidRPr="00C83D16">
              <w:rPr>
                <w:rFonts w:asciiTheme="majorHAnsi" w:eastAsia="Times New Roman" w:hAnsiTheme="majorHAnsi" w:cstheme="majorHAnsi"/>
                <w:b/>
                <w:bCs/>
                <w:sz w:val="21"/>
                <w:szCs w:val="21"/>
                <w:lang w:eastAsia="en-GB"/>
              </w:rPr>
              <w:instrText xml:space="preserve"> =SUM(ABOVE) </w:instrText>
            </w:r>
            <w:r w:rsidRPr="00C83D16">
              <w:rPr>
                <w:rFonts w:asciiTheme="majorHAnsi" w:eastAsia="Times New Roman" w:hAnsiTheme="majorHAnsi" w:cstheme="majorHAnsi"/>
                <w:b/>
                <w:color w:val="2B579A"/>
                <w:sz w:val="21"/>
                <w:szCs w:val="21"/>
                <w:shd w:val="clear" w:color="auto" w:fill="E6E6E6"/>
                <w:lang w:eastAsia="en-GB"/>
              </w:rPr>
              <w:fldChar w:fldCharType="separate"/>
            </w:r>
            <w:r w:rsidRPr="00C83D16">
              <w:rPr>
                <w:rFonts w:asciiTheme="majorHAnsi" w:eastAsia="Times New Roman" w:hAnsiTheme="majorHAnsi" w:cstheme="majorHAnsi"/>
                <w:b/>
                <w:bCs/>
                <w:noProof/>
                <w:sz w:val="21"/>
                <w:szCs w:val="21"/>
                <w:lang w:eastAsia="en-GB"/>
              </w:rPr>
              <w:t>401</w:t>
            </w:r>
            <w:r w:rsidRPr="00C83D16">
              <w:rPr>
                <w:rFonts w:asciiTheme="majorHAnsi" w:eastAsia="Times New Roman" w:hAnsiTheme="majorHAnsi" w:cstheme="majorHAnsi"/>
                <w:b/>
                <w:color w:val="2B579A"/>
                <w:sz w:val="21"/>
                <w:szCs w:val="21"/>
                <w:shd w:val="clear" w:color="auto" w:fill="E6E6E6"/>
                <w:lang w:eastAsia="en-GB"/>
              </w:rPr>
              <w:fldChar w:fldCharType="end"/>
            </w:r>
          </w:p>
        </w:tc>
        <w:tc>
          <w:tcPr>
            <w:tcW w:w="1725" w:type="dxa"/>
          </w:tcPr>
          <w:p w14:paraId="7DB5725E" w14:textId="77777777" w:rsidR="00F00E3D" w:rsidRPr="00C83D16" w:rsidRDefault="00F00E3D" w:rsidP="009B2FA7">
            <w:pPr>
              <w:spacing w:line="276" w:lineRule="auto"/>
              <w:contextualSpacing/>
              <w:rPr>
                <w:rFonts w:asciiTheme="majorHAnsi" w:eastAsia="Times New Roman" w:hAnsiTheme="majorHAnsi" w:cstheme="majorHAnsi"/>
                <w:b/>
                <w:bCs/>
                <w:sz w:val="21"/>
                <w:szCs w:val="21"/>
                <w:lang w:eastAsia="en-GB"/>
              </w:rPr>
            </w:pPr>
            <w:r w:rsidRPr="00C83D16">
              <w:rPr>
                <w:rFonts w:asciiTheme="majorHAnsi" w:eastAsia="Times New Roman" w:hAnsiTheme="majorHAnsi" w:cstheme="majorHAnsi"/>
                <w:b/>
                <w:color w:val="2B579A"/>
                <w:sz w:val="21"/>
                <w:szCs w:val="21"/>
                <w:shd w:val="clear" w:color="auto" w:fill="E6E6E6"/>
                <w:lang w:eastAsia="en-GB"/>
              </w:rPr>
              <w:fldChar w:fldCharType="begin"/>
            </w:r>
            <w:r w:rsidRPr="00C83D16">
              <w:rPr>
                <w:rFonts w:asciiTheme="majorHAnsi" w:eastAsia="Times New Roman" w:hAnsiTheme="majorHAnsi" w:cstheme="majorHAnsi"/>
                <w:b/>
                <w:bCs/>
                <w:sz w:val="21"/>
                <w:szCs w:val="21"/>
                <w:lang w:eastAsia="en-GB"/>
              </w:rPr>
              <w:instrText xml:space="preserve"> =SUM(ABOVE) </w:instrText>
            </w:r>
            <w:r w:rsidRPr="00C83D16">
              <w:rPr>
                <w:rFonts w:asciiTheme="majorHAnsi" w:eastAsia="Times New Roman" w:hAnsiTheme="majorHAnsi" w:cstheme="majorHAnsi"/>
                <w:b/>
                <w:color w:val="2B579A"/>
                <w:sz w:val="21"/>
                <w:szCs w:val="21"/>
                <w:shd w:val="clear" w:color="auto" w:fill="E6E6E6"/>
                <w:lang w:eastAsia="en-GB"/>
              </w:rPr>
              <w:fldChar w:fldCharType="separate"/>
            </w:r>
            <w:r w:rsidRPr="00C83D16">
              <w:rPr>
                <w:rFonts w:asciiTheme="majorHAnsi" w:eastAsia="Times New Roman" w:hAnsiTheme="majorHAnsi" w:cstheme="majorHAnsi"/>
                <w:b/>
                <w:bCs/>
                <w:noProof/>
                <w:sz w:val="21"/>
                <w:szCs w:val="21"/>
                <w:lang w:eastAsia="en-GB"/>
              </w:rPr>
              <w:t>239</w:t>
            </w:r>
            <w:r w:rsidRPr="00C83D16">
              <w:rPr>
                <w:rFonts w:asciiTheme="majorHAnsi" w:eastAsia="Times New Roman" w:hAnsiTheme="majorHAnsi" w:cstheme="majorHAnsi"/>
                <w:b/>
                <w:color w:val="2B579A"/>
                <w:sz w:val="21"/>
                <w:szCs w:val="21"/>
                <w:shd w:val="clear" w:color="auto" w:fill="E6E6E6"/>
                <w:lang w:eastAsia="en-GB"/>
              </w:rPr>
              <w:fldChar w:fldCharType="end"/>
            </w:r>
          </w:p>
        </w:tc>
        <w:tc>
          <w:tcPr>
            <w:tcW w:w="1725" w:type="dxa"/>
          </w:tcPr>
          <w:p w14:paraId="34F169B9" w14:textId="77777777" w:rsidR="00F00E3D" w:rsidRPr="00C83D16" w:rsidRDefault="00F00E3D" w:rsidP="009B2FA7">
            <w:pPr>
              <w:spacing w:line="276" w:lineRule="auto"/>
              <w:contextualSpacing/>
              <w:rPr>
                <w:rFonts w:asciiTheme="majorHAnsi" w:eastAsia="Times New Roman" w:hAnsiTheme="majorHAnsi" w:cstheme="majorHAnsi"/>
                <w:b/>
                <w:bCs/>
                <w:sz w:val="21"/>
                <w:szCs w:val="21"/>
                <w:lang w:eastAsia="en-GB"/>
              </w:rPr>
            </w:pPr>
            <w:r w:rsidRPr="00C83D16">
              <w:rPr>
                <w:rFonts w:asciiTheme="majorHAnsi" w:eastAsia="Times New Roman" w:hAnsiTheme="majorHAnsi" w:cstheme="majorHAnsi"/>
                <w:b/>
                <w:color w:val="2B579A"/>
                <w:sz w:val="21"/>
                <w:szCs w:val="21"/>
                <w:shd w:val="clear" w:color="auto" w:fill="E6E6E6"/>
                <w:lang w:eastAsia="en-GB"/>
              </w:rPr>
              <w:fldChar w:fldCharType="begin"/>
            </w:r>
            <w:r w:rsidRPr="00C83D16">
              <w:rPr>
                <w:rFonts w:asciiTheme="majorHAnsi" w:eastAsia="Times New Roman" w:hAnsiTheme="majorHAnsi" w:cstheme="majorHAnsi"/>
                <w:b/>
                <w:bCs/>
                <w:sz w:val="21"/>
                <w:szCs w:val="21"/>
                <w:lang w:eastAsia="en-GB"/>
              </w:rPr>
              <w:instrText xml:space="preserve"> =SUM(ABOVE) </w:instrText>
            </w:r>
            <w:r w:rsidRPr="00C83D16">
              <w:rPr>
                <w:rFonts w:asciiTheme="majorHAnsi" w:eastAsia="Times New Roman" w:hAnsiTheme="majorHAnsi" w:cstheme="majorHAnsi"/>
                <w:b/>
                <w:color w:val="2B579A"/>
                <w:sz w:val="21"/>
                <w:szCs w:val="21"/>
                <w:shd w:val="clear" w:color="auto" w:fill="E6E6E6"/>
                <w:lang w:eastAsia="en-GB"/>
              </w:rPr>
              <w:fldChar w:fldCharType="separate"/>
            </w:r>
            <w:r w:rsidRPr="00C83D16">
              <w:rPr>
                <w:rFonts w:asciiTheme="majorHAnsi" w:eastAsia="Times New Roman" w:hAnsiTheme="majorHAnsi" w:cstheme="majorHAnsi"/>
                <w:b/>
                <w:bCs/>
                <w:noProof/>
                <w:sz w:val="21"/>
                <w:szCs w:val="21"/>
                <w:lang w:eastAsia="en-GB"/>
              </w:rPr>
              <w:t>162</w:t>
            </w:r>
            <w:r w:rsidRPr="00C83D16">
              <w:rPr>
                <w:rFonts w:asciiTheme="majorHAnsi" w:eastAsia="Times New Roman" w:hAnsiTheme="majorHAnsi" w:cstheme="majorHAnsi"/>
                <w:b/>
                <w:color w:val="2B579A"/>
                <w:sz w:val="21"/>
                <w:szCs w:val="21"/>
                <w:shd w:val="clear" w:color="auto" w:fill="E6E6E6"/>
                <w:lang w:eastAsia="en-GB"/>
              </w:rPr>
              <w:fldChar w:fldCharType="end"/>
            </w:r>
          </w:p>
        </w:tc>
      </w:tr>
    </w:tbl>
    <w:p w14:paraId="214CBA6E" w14:textId="4C2440E5" w:rsidR="00F00E3D" w:rsidRPr="00D17671" w:rsidRDefault="00F00E3D" w:rsidP="009B2FA7">
      <w:pPr>
        <w:spacing w:after="0" w:line="276" w:lineRule="auto"/>
        <w:contextualSpacing/>
        <w:rPr>
          <w:rFonts w:eastAsia="Times New Roman" w:cstheme="minorHAnsi"/>
          <w:b/>
          <w:bCs/>
          <w:sz w:val="21"/>
          <w:szCs w:val="21"/>
          <w:lang w:eastAsia="en-GB"/>
        </w:rPr>
      </w:pPr>
      <w:r w:rsidRPr="00711B16">
        <w:rPr>
          <w:rFonts w:eastAsia="Times New Roman" w:cstheme="minorHAnsi"/>
          <w:b/>
          <w:bCs/>
          <w:sz w:val="21"/>
          <w:szCs w:val="21"/>
          <w:lang w:eastAsia="en-GB"/>
        </w:rPr>
        <w:t xml:space="preserve">Table </w:t>
      </w:r>
      <w:r w:rsidR="002851FA">
        <w:rPr>
          <w:rFonts w:eastAsia="Times New Roman" w:cstheme="minorHAnsi"/>
          <w:b/>
          <w:bCs/>
          <w:sz w:val="21"/>
          <w:szCs w:val="21"/>
          <w:lang w:eastAsia="en-GB"/>
        </w:rPr>
        <w:t>3</w:t>
      </w:r>
      <w:r>
        <w:rPr>
          <w:rFonts w:eastAsia="Times New Roman" w:cstheme="minorHAnsi"/>
          <w:b/>
          <w:bCs/>
          <w:sz w:val="21"/>
          <w:szCs w:val="21"/>
          <w:lang w:eastAsia="en-GB"/>
        </w:rPr>
        <w:t>.</w:t>
      </w:r>
      <w:r w:rsidR="002851FA">
        <w:rPr>
          <w:rFonts w:eastAsia="Times New Roman" w:cstheme="minorHAnsi"/>
          <w:b/>
          <w:bCs/>
          <w:sz w:val="21"/>
          <w:szCs w:val="21"/>
          <w:lang w:eastAsia="en-GB"/>
        </w:rPr>
        <w:t>1</w:t>
      </w:r>
      <w:r w:rsidRPr="00711B16">
        <w:rPr>
          <w:rFonts w:eastAsia="Times New Roman" w:cstheme="minorHAnsi"/>
          <w:b/>
          <w:bCs/>
          <w:sz w:val="21"/>
          <w:szCs w:val="21"/>
          <w:lang w:eastAsia="en-GB"/>
        </w:rPr>
        <w:t xml:space="preserve">: Database </w:t>
      </w:r>
      <w:r w:rsidR="002851FA" w:rsidRPr="00711B16">
        <w:rPr>
          <w:rFonts w:eastAsia="Times New Roman" w:cstheme="minorHAnsi"/>
          <w:b/>
          <w:bCs/>
          <w:sz w:val="21"/>
          <w:szCs w:val="21"/>
          <w:lang w:eastAsia="en-GB"/>
        </w:rPr>
        <w:t xml:space="preserve">Search </w:t>
      </w:r>
      <w:r w:rsidR="002851FA">
        <w:rPr>
          <w:rFonts w:eastAsia="Times New Roman" w:cstheme="minorHAnsi"/>
          <w:b/>
          <w:bCs/>
          <w:sz w:val="21"/>
          <w:szCs w:val="21"/>
          <w:lang w:eastAsia="en-GB"/>
        </w:rPr>
        <w:t>a</w:t>
      </w:r>
      <w:r w:rsidR="002851FA" w:rsidRPr="00711B16">
        <w:rPr>
          <w:rFonts w:eastAsia="Times New Roman" w:cstheme="minorHAnsi"/>
          <w:b/>
          <w:bCs/>
          <w:sz w:val="21"/>
          <w:szCs w:val="21"/>
          <w:lang w:eastAsia="en-GB"/>
        </w:rPr>
        <w:t>nd Filtering Results</w:t>
      </w:r>
    </w:p>
    <w:p w14:paraId="1798DA04" w14:textId="77777777" w:rsidR="00F00E3D" w:rsidRPr="00504F89" w:rsidRDefault="00F00E3D" w:rsidP="009B2FA7">
      <w:pPr>
        <w:spacing w:after="0" w:line="276" w:lineRule="auto"/>
        <w:contextualSpacing/>
        <w:rPr>
          <w:rFonts w:asciiTheme="majorHAnsi" w:eastAsia="Times New Roman" w:hAnsiTheme="majorHAnsi" w:cstheme="majorHAnsi"/>
          <w:b/>
          <w:bCs/>
          <w:sz w:val="16"/>
          <w:szCs w:val="16"/>
          <w:lang w:eastAsia="en-GB"/>
        </w:rPr>
      </w:pPr>
    </w:p>
    <w:p w14:paraId="5DF08CF0" w14:textId="77777777" w:rsidR="00F00E3D" w:rsidRPr="006F743B" w:rsidRDefault="00F00E3D" w:rsidP="009B2FA7">
      <w:pPr>
        <w:spacing w:after="0" w:line="276" w:lineRule="auto"/>
        <w:contextualSpacing/>
        <w:rPr>
          <w:rFonts w:asciiTheme="majorHAnsi" w:eastAsia="Times New Roman" w:hAnsiTheme="majorHAnsi" w:cstheme="majorHAnsi"/>
          <w:sz w:val="23"/>
          <w:szCs w:val="23"/>
          <w:lang w:eastAsia="en-GB"/>
        </w:rPr>
      </w:pPr>
      <w:r w:rsidRPr="006F743B">
        <w:rPr>
          <w:rFonts w:asciiTheme="majorHAnsi" w:eastAsia="Times New Roman" w:hAnsiTheme="majorHAnsi" w:cstheme="majorHAnsi"/>
          <w:sz w:val="23"/>
          <w:szCs w:val="23"/>
          <w:lang w:eastAsia="en-GB"/>
        </w:rPr>
        <w:t xml:space="preserve">The literature flow is </w:t>
      </w:r>
      <w:r w:rsidRPr="00711B16">
        <w:rPr>
          <w:rFonts w:asciiTheme="majorHAnsi" w:eastAsia="Times New Roman" w:hAnsiTheme="majorHAnsi" w:cstheme="majorHAnsi"/>
          <w:sz w:val="23"/>
          <w:szCs w:val="23"/>
          <w:lang w:eastAsia="en-GB"/>
        </w:rPr>
        <w:t xml:space="preserve">illustrated in Figure 1 </w:t>
      </w:r>
      <w:r>
        <w:rPr>
          <w:rFonts w:asciiTheme="majorHAnsi" w:eastAsia="Times New Roman" w:hAnsiTheme="majorHAnsi" w:cstheme="majorHAnsi"/>
          <w:sz w:val="23"/>
          <w:szCs w:val="23"/>
          <w:lang w:eastAsia="en-GB"/>
        </w:rPr>
        <w:t>(</w:t>
      </w:r>
      <w:r w:rsidRPr="00711B16">
        <w:rPr>
          <w:rFonts w:asciiTheme="majorHAnsi" w:eastAsia="Times New Roman" w:hAnsiTheme="majorHAnsi" w:cstheme="majorHAnsi"/>
          <w:sz w:val="23"/>
          <w:szCs w:val="23"/>
          <w:lang w:eastAsia="en-GB"/>
        </w:rPr>
        <w:t>below</w:t>
      </w:r>
      <w:r>
        <w:rPr>
          <w:rFonts w:asciiTheme="majorHAnsi" w:eastAsia="Times New Roman" w:hAnsiTheme="majorHAnsi" w:cstheme="majorHAnsi"/>
          <w:sz w:val="23"/>
          <w:szCs w:val="23"/>
          <w:lang w:eastAsia="en-GB"/>
        </w:rPr>
        <w:t>)</w:t>
      </w:r>
      <w:r w:rsidRPr="00711B16">
        <w:rPr>
          <w:rFonts w:asciiTheme="majorHAnsi" w:eastAsia="Times New Roman" w:hAnsiTheme="majorHAnsi" w:cstheme="majorHAnsi"/>
          <w:sz w:val="23"/>
          <w:szCs w:val="23"/>
          <w:lang w:eastAsia="en-GB"/>
        </w:rPr>
        <w:t>. The</w:t>
      </w:r>
      <w:r w:rsidRPr="006F743B">
        <w:rPr>
          <w:rFonts w:asciiTheme="majorHAnsi" w:eastAsia="Times New Roman" w:hAnsiTheme="majorHAnsi" w:cstheme="majorHAnsi"/>
          <w:sz w:val="23"/>
          <w:szCs w:val="23"/>
          <w:lang w:eastAsia="en-GB"/>
        </w:rPr>
        <w:t xml:space="preserve"> search process </w:t>
      </w:r>
      <w:r>
        <w:rPr>
          <w:rFonts w:asciiTheme="majorHAnsi" w:eastAsia="Times New Roman" w:hAnsiTheme="majorHAnsi" w:cstheme="majorHAnsi"/>
          <w:sz w:val="23"/>
          <w:szCs w:val="23"/>
          <w:lang w:eastAsia="en-GB"/>
        </w:rPr>
        <w:t>involved</w:t>
      </w:r>
      <w:r w:rsidRPr="006F743B">
        <w:rPr>
          <w:rFonts w:asciiTheme="majorHAnsi" w:eastAsia="Times New Roman" w:hAnsiTheme="majorHAnsi" w:cstheme="majorHAnsi"/>
          <w:sz w:val="23"/>
          <w:szCs w:val="23"/>
          <w:lang w:eastAsia="en-GB"/>
        </w:rPr>
        <w:t xml:space="preserve"> the following steps:</w:t>
      </w:r>
    </w:p>
    <w:p w14:paraId="705BC9F2" w14:textId="77777777" w:rsidR="00F00E3D" w:rsidRPr="006F743B" w:rsidRDefault="00F00E3D" w:rsidP="00364C5D">
      <w:pPr>
        <w:numPr>
          <w:ilvl w:val="0"/>
          <w:numId w:val="22"/>
        </w:numPr>
        <w:spacing w:after="0" w:line="276" w:lineRule="auto"/>
        <w:contextualSpacing/>
        <w:rPr>
          <w:rFonts w:asciiTheme="majorHAnsi" w:eastAsia="Times New Roman" w:hAnsiTheme="majorHAnsi" w:cstheme="majorHAnsi"/>
          <w:sz w:val="23"/>
          <w:szCs w:val="23"/>
          <w:lang w:eastAsia="en-GB"/>
        </w:rPr>
      </w:pPr>
      <w:r w:rsidRPr="006F743B">
        <w:rPr>
          <w:rFonts w:asciiTheme="majorHAnsi" w:eastAsia="Times New Roman" w:hAnsiTheme="majorHAnsi" w:cstheme="majorHAnsi"/>
          <w:sz w:val="23"/>
          <w:szCs w:val="23"/>
          <w:lang w:eastAsia="en-GB"/>
        </w:rPr>
        <w:t>3091 articles rejected as irrelevant to research question(s) on the basis of title</w:t>
      </w:r>
    </w:p>
    <w:p w14:paraId="0C5F454C" w14:textId="77777777" w:rsidR="00F00E3D" w:rsidRPr="006F743B" w:rsidRDefault="00F00E3D" w:rsidP="00364C5D">
      <w:pPr>
        <w:numPr>
          <w:ilvl w:val="0"/>
          <w:numId w:val="22"/>
        </w:numPr>
        <w:spacing w:after="0" w:line="276" w:lineRule="auto"/>
        <w:contextualSpacing/>
        <w:rPr>
          <w:rFonts w:asciiTheme="majorHAnsi" w:eastAsia="Times New Roman" w:hAnsiTheme="majorHAnsi" w:cstheme="majorHAnsi"/>
          <w:sz w:val="23"/>
          <w:szCs w:val="23"/>
          <w:lang w:eastAsia="en-GB"/>
        </w:rPr>
      </w:pPr>
      <w:r w:rsidRPr="006F743B">
        <w:rPr>
          <w:rFonts w:asciiTheme="majorHAnsi" w:eastAsia="Times New Roman" w:hAnsiTheme="majorHAnsi" w:cstheme="majorHAnsi"/>
          <w:sz w:val="23"/>
          <w:szCs w:val="23"/>
          <w:lang w:eastAsia="en-GB"/>
        </w:rPr>
        <w:t>401 articles selected for abstract evaluation to determine relevance to research question(s)</w:t>
      </w:r>
    </w:p>
    <w:p w14:paraId="3DF23C2B" w14:textId="77777777" w:rsidR="00F00E3D" w:rsidRPr="006F743B" w:rsidRDefault="00F00E3D" w:rsidP="00364C5D">
      <w:pPr>
        <w:numPr>
          <w:ilvl w:val="0"/>
          <w:numId w:val="22"/>
        </w:numPr>
        <w:spacing w:after="0" w:line="276" w:lineRule="auto"/>
        <w:contextualSpacing/>
        <w:rPr>
          <w:rFonts w:asciiTheme="majorHAnsi" w:eastAsia="Times New Roman" w:hAnsiTheme="majorHAnsi" w:cstheme="majorHAnsi"/>
          <w:sz w:val="23"/>
          <w:szCs w:val="23"/>
          <w:lang w:eastAsia="en-GB"/>
        </w:rPr>
      </w:pPr>
      <w:r w:rsidRPr="006F743B">
        <w:rPr>
          <w:rFonts w:asciiTheme="majorHAnsi" w:eastAsia="Times New Roman" w:hAnsiTheme="majorHAnsi" w:cstheme="majorHAnsi"/>
          <w:sz w:val="23"/>
          <w:szCs w:val="23"/>
          <w:lang w:eastAsia="en-GB"/>
        </w:rPr>
        <w:t>162 articles excluded as not relevant</w:t>
      </w:r>
    </w:p>
    <w:p w14:paraId="10FB0302" w14:textId="77777777" w:rsidR="00F00E3D" w:rsidRPr="006F743B" w:rsidRDefault="00F00E3D" w:rsidP="00364C5D">
      <w:pPr>
        <w:numPr>
          <w:ilvl w:val="0"/>
          <w:numId w:val="22"/>
        </w:numPr>
        <w:spacing w:after="0" w:line="276" w:lineRule="auto"/>
        <w:contextualSpacing/>
        <w:rPr>
          <w:rFonts w:asciiTheme="majorHAnsi" w:eastAsia="Times New Roman" w:hAnsiTheme="majorHAnsi" w:cstheme="majorHAnsi"/>
          <w:sz w:val="23"/>
          <w:szCs w:val="23"/>
          <w:lang w:eastAsia="en-GB"/>
        </w:rPr>
      </w:pPr>
      <w:r w:rsidRPr="006F743B">
        <w:rPr>
          <w:rFonts w:asciiTheme="majorHAnsi" w:eastAsia="Times New Roman" w:hAnsiTheme="majorHAnsi" w:cstheme="majorHAnsi"/>
          <w:sz w:val="23"/>
          <w:szCs w:val="23"/>
          <w:lang w:eastAsia="en-GB"/>
        </w:rPr>
        <w:t xml:space="preserve">239 articles retained for full-text analysis </w:t>
      </w:r>
    </w:p>
    <w:p w14:paraId="08AF1ED9" w14:textId="77777777" w:rsidR="00F00E3D" w:rsidRPr="006F743B" w:rsidRDefault="00F00E3D" w:rsidP="00364C5D">
      <w:pPr>
        <w:numPr>
          <w:ilvl w:val="0"/>
          <w:numId w:val="22"/>
        </w:numPr>
        <w:spacing w:after="0" w:line="276" w:lineRule="auto"/>
        <w:contextualSpacing/>
        <w:rPr>
          <w:rFonts w:asciiTheme="majorHAnsi" w:eastAsia="Times New Roman" w:hAnsiTheme="majorHAnsi" w:cstheme="majorHAnsi"/>
          <w:sz w:val="23"/>
          <w:szCs w:val="23"/>
          <w:lang w:eastAsia="en-GB"/>
        </w:rPr>
      </w:pPr>
      <w:r w:rsidRPr="006F743B">
        <w:rPr>
          <w:rFonts w:asciiTheme="majorHAnsi" w:eastAsia="Times New Roman" w:hAnsiTheme="majorHAnsi" w:cstheme="majorHAnsi"/>
          <w:sz w:val="23"/>
          <w:szCs w:val="23"/>
          <w:lang w:eastAsia="en-GB"/>
        </w:rPr>
        <w:t>49 full-text articles excluded</w:t>
      </w:r>
    </w:p>
    <w:p w14:paraId="413F2A5F" w14:textId="77777777" w:rsidR="00F00E3D" w:rsidRPr="006F743B" w:rsidRDefault="00F00E3D" w:rsidP="00364C5D">
      <w:pPr>
        <w:numPr>
          <w:ilvl w:val="0"/>
          <w:numId w:val="22"/>
        </w:numPr>
        <w:spacing w:after="0" w:line="276" w:lineRule="auto"/>
        <w:contextualSpacing/>
        <w:rPr>
          <w:rFonts w:asciiTheme="majorHAnsi" w:eastAsia="Times New Roman" w:hAnsiTheme="majorHAnsi" w:cstheme="majorHAnsi"/>
          <w:sz w:val="23"/>
          <w:szCs w:val="23"/>
          <w:lang w:eastAsia="en-GB"/>
        </w:rPr>
      </w:pPr>
      <w:r w:rsidRPr="006F743B">
        <w:rPr>
          <w:rFonts w:asciiTheme="majorHAnsi" w:eastAsia="Times New Roman" w:hAnsiTheme="majorHAnsi" w:cstheme="majorHAnsi"/>
          <w:sz w:val="23"/>
          <w:szCs w:val="23"/>
          <w:lang w:eastAsia="en-GB"/>
        </w:rPr>
        <w:t>190 articles retained for analysis</w:t>
      </w:r>
    </w:p>
    <w:p w14:paraId="2F49598D" w14:textId="77777777" w:rsidR="00F00E3D" w:rsidRPr="006F743B" w:rsidRDefault="00F00E3D" w:rsidP="00364C5D">
      <w:pPr>
        <w:numPr>
          <w:ilvl w:val="0"/>
          <w:numId w:val="22"/>
        </w:numPr>
        <w:spacing w:after="0" w:line="276" w:lineRule="auto"/>
        <w:contextualSpacing/>
        <w:rPr>
          <w:rFonts w:asciiTheme="majorHAnsi" w:eastAsia="Times New Roman" w:hAnsiTheme="majorHAnsi" w:cstheme="majorHAnsi"/>
          <w:sz w:val="23"/>
          <w:szCs w:val="23"/>
          <w:lang w:eastAsia="en-GB"/>
        </w:rPr>
      </w:pPr>
      <w:r w:rsidRPr="006F743B">
        <w:rPr>
          <w:rFonts w:asciiTheme="majorHAnsi" w:eastAsia="Times New Roman" w:hAnsiTheme="majorHAnsi" w:cstheme="majorHAnsi"/>
          <w:sz w:val="23"/>
          <w:szCs w:val="23"/>
          <w:lang w:eastAsia="en-GB"/>
        </w:rPr>
        <w:t>9 articles added from other sources.</w:t>
      </w:r>
    </w:p>
    <w:p w14:paraId="2BFD444D" w14:textId="77777777" w:rsidR="00F00E3D" w:rsidRPr="00BC19B6" w:rsidRDefault="00F00E3D" w:rsidP="009B2FA7">
      <w:pPr>
        <w:spacing w:after="0" w:line="276" w:lineRule="auto"/>
        <w:contextualSpacing/>
        <w:rPr>
          <w:rFonts w:asciiTheme="majorHAnsi" w:eastAsia="Times New Roman" w:hAnsiTheme="majorHAnsi" w:cstheme="majorBidi"/>
          <w:sz w:val="23"/>
          <w:szCs w:val="23"/>
          <w:lang w:eastAsia="en-GB"/>
        </w:rPr>
      </w:pPr>
      <w:r>
        <w:rPr>
          <w:noProof/>
        </w:rPr>
        <w:lastRenderedPageBreak/>
        <w:drawing>
          <wp:inline distT="0" distB="0" distL="0" distR="0" wp14:anchorId="7A9D3E06" wp14:editId="5D9C6150">
            <wp:extent cx="5128590" cy="8551743"/>
            <wp:effectExtent l="0" t="0" r="2540" b="0"/>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6">
                      <a:extLst>
                        <a:ext uri="{28A0092B-C50C-407E-A947-70E740481C1C}">
                          <a14:useLocalDpi xmlns:a14="http://schemas.microsoft.com/office/drawing/2010/main"/>
                        </a:ext>
                      </a:extLst>
                    </a:blip>
                    <a:stretch>
                      <a:fillRect/>
                    </a:stretch>
                  </pic:blipFill>
                  <pic:spPr>
                    <a:xfrm>
                      <a:off x="0" y="0"/>
                      <a:ext cx="5128590" cy="8551743"/>
                    </a:xfrm>
                    <a:prstGeom prst="rect">
                      <a:avLst/>
                    </a:prstGeom>
                  </pic:spPr>
                </pic:pic>
              </a:graphicData>
            </a:graphic>
          </wp:inline>
        </w:drawing>
      </w:r>
    </w:p>
    <w:p w14:paraId="2E31FBCA" w14:textId="46576E71" w:rsidR="00F00E3D" w:rsidRPr="0057769D" w:rsidRDefault="00F00E3D" w:rsidP="009B2FA7">
      <w:pPr>
        <w:spacing w:after="0" w:line="276" w:lineRule="auto"/>
        <w:contextualSpacing/>
        <w:rPr>
          <w:rFonts w:eastAsia="Times New Roman" w:cstheme="minorHAnsi"/>
          <w:b/>
          <w:sz w:val="21"/>
          <w:szCs w:val="21"/>
          <w:lang w:eastAsia="en-GB"/>
        </w:rPr>
      </w:pPr>
      <w:r w:rsidRPr="0057769D">
        <w:rPr>
          <w:rFonts w:eastAsia="Times New Roman" w:cstheme="minorHAnsi"/>
          <w:b/>
          <w:sz w:val="21"/>
          <w:szCs w:val="21"/>
          <w:lang w:eastAsia="en-GB"/>
        </w:rPr>
        <w:t xml:space="preserve">Figure </w:t>
      </w:r>
      <w:r w:rsidR="002851FA" w:rsidRPr="0057769D">
        <w:rPr>
          <w:rFonts w:eastAsia="Times New Roman" w:cstheme="minorHAnsi"/>
          <w:b/>
          <w:sz w:val="21"/>
          <w:szCs w:val="21"/>
          <w:lang w:eastAsia="en-GB"/>
        </w:rPr>
        <w:t>3.</w:t>
      </w:r>
      <w:r w:rsidRPr="0057769D">
        <w:rPr>
          <w:rFonts w:eastAsia="Times New Roman" w:cstheme="minorHAnsi"/>
          <w:b/>
          <w:sz w:val="21"/>
          <w:szCs w:val="21"/>
          <w:lang w:eastAsia="en-GB"/>
        </w:rPr>
        <w:t>1: Literature Flow</w:t>
      </w:r>
    </w:p>
    <w:p w14:paraId="4E95489A" w14:textId="77777777" w:rsidR="00F00E3D" w:rsidRDefault="00F00E3D">
      <w:pPr>
        <w:rPr>
          <w:rFonts w:asciiTheme="majorHAnsi" w:eastAsia="Times New Roman" w:hAnsiTheme="majorHAnsi" w:cstheme="majorHAnsi"/>
          <w:b/>
          <w:bCs/>
          <w:sz w:val="23"/>
          <w:szCs w:val="23"/>
          <w:lang w:eastAsia="en-GB"/>
        </w:rPr>
      </w:pPr>
      <w:r>
        <w:rPr>
          <w:rFonts w:asciiTheme="majorHAnsi" w:eastAsia="Times New Roman" w:hAnsiTheme="majorHAnsi" w:cstheme="majorHAnsi"/>
          <w:b/>
          <w:bCs/>
          <w:sz w:val="23"/>
          <w:szCs w:val="23"/>
          <w:lang w:eastAsia="en-GB"/>
        </w:rPr>
        <w:br w:type="page"/>
      </w:r>
    </w:p>
    <w:p w14:paraId="500F1C14" w14:textId="09C5F9E3" w:rsidR="00F00E3D" w:rsidRPr="008F4BF3" w:rsidRDefault="00F00E3D" w:rsidP="009B2FA7">
      <w:pPr>
        <w:spacing w:after="0" w:line="276" w:lineRule="auto"/>
        <w:contextualSpacing/>
        <w:rPr>
          <w:rFonts w:eastAsia="Times New Roman" w:cstheme="minorHAnsi"/>
          <w:b/>
          <w:bCs/>
          <w:color w:val="2E74B5" w:themeColor="accent5" w:themeShade="BF"/>
          <w:sz w:val="28"/>
          <w:szCs w:val="28"/>
          <w:lang w:eastAsia="en-GB"/>
        </w:rPr>
      </w:pPr>
      <w:r w:rsidRPr="008F4BF3">
        <w:rPr>
          <w:rFonts w:eastAsia="Times New Roman" w:cstheme="minorHAnsi"/>
          <w:b/>
          <w:bCs/>
          <w:color w:val="2E74B5" w:themeColor="accent5" w:themeShade="BF"/>
          <w:sz w:val="28"/>
          <w:szCs w:val="28"/>
          <w:lang w:eastAsia="en-GB"/>
        </w:rPr>
        <w:lastRenderedPageBreak/>
        <w:t>3.</w:t>
      </w:r>
      <w:r w:rsidR="00222763" w:rsidRPr="008F4BF3">
        <w:rPr>
          <w:rFonts w:eastAsia="Times New Roman" w:cstheme="minorHAnsi"/>
          <w:b/>
          <w:bCs/>
          <w:color w:val="2E74B5" w:themeColor="accent5" w:themeShade="BF"/>
          <w:sz w:val="28"/>
          <w:szCs w:val="28"/>
          <w:lang w:eastAsia="en-GB"/>
        </w:rPr>
        <w:t>3</w:t>
      </w:r>
      <w:r w:rsidRPr="008F4BF3">
        <w:rPr>
          <w:rFonts w:eastAsia="Times New Roman" w:cstheme="minorHAnsi"/>
          <w:b/>
          <w:bCs/>
          <w:color w:val="2E74B5" w:themeColor="accent5" w:themeShade="BF"/>
          <w:sz w:val="28"/>
          <w:szCs w:val="28"/>
          <w:lang w:eastAsia="en-GB"/>
        </w:rPr>
        <w:t xml:space="preserve"> Analysis</w:t>
      </w:r>
    </w:p>
    <w:p w14:paraId="6EB506D3" w14:textId="77777777" w:rsidR="00F00E3D" w:rsidRPr="00F73A78" w:rsidRDefault="00F00E3D" w:rsidP="009B2FA7">
      <w:pPr>
        <w:spacing w:after="0" w:line="276" w:lineRule="auto"/>
        <w:rPr>
          <w:rFonts w:asciiTheme="majorHAnsi" w:hAnsiTheme="majorHAnsi" w:cstheme="majorBidi"/>
          <w:sz w:val="16"/>
          <w:szCs w:val="16"/>
        </w:rPr>
      </w:pPr>
    </w:p>
    <w:p w14:paraId="3A3D0433" w14:textId="77777777" w:rsidR="00203685" w:rsidRPr="00203685" w:rsidRDefault="00203685" w:rsidP="00203685">
      <w:pPr>
        <w:spacing w:after="0" w:line="276" w:lineRule="auto"/>
        <w:rPr>
          <w:rFonts w:asciiTheme="majorHAnsi" w:hAnsiTheme="majorHAnsi" w:cstheme="majorBidi"/>
          <w:sz w:val="23"/>
          <w:szCs w:val="23"/>
        </w:rPr>
      </w:pPr>
      <w:r w:rsidRPr="00203685">
        <w:rPr>
          <w:rFonts w:asciiTheme="majorHAnsi" w:hAnsiTheme="majorHAnsi" w:cstheme="majorBidi"/>
          <w:sz w:val="23"/>
          <w:szCs w:val="23"/>
        </w:rPr>
        <w:t xml:space="preserve">In 2012, Wiesel et. al published a systematic review of Australian policy, practice and literature on the processes that lead to concentrations of disadvantage; the processes that contribute to spatial disadvantage, and urban policy responses to concentrations of disadvantage (Wiesel &amp; Pawson, 2012). They identified the structural causes of spatial disadvantage as principally labour market, housing system and policy drivers. The work also identified the features of locations that negatively impact the life chances of residents as a combination of neighbourhood effects (whereby living in a poor area compounds individual disadvantage) and correlated neighbourhood effects (the physical factors that disadvantage areas that are consequences of spatial disadvantage for local residents i.e., the housing stock and an area’s location relative to employment and services). </w:t>
      </w:r>
    </w:p>
    <w:p w14:paraId="2894477A" w14:textId="77777777" w:rsidR="00203685" w:rsidRDefault="00203685" w:rsidP="00203685">
      <w:pPr>
        <w:spacing w:after="0" w:line="276" w:lineRule="auto"/>
        <w:rPr>
          <w:rFonts w:asciiTheme="majorHAnsi" w:hAnsiTheme="majorHAnsi" w:cstheme="majorBidi"/>
          <w:sz w:val="23"/>
          <w:szCs w:val="23"/>
        </w:rPr>
      </w:pPr>
    </w:p>
    <w:p w14:paraId="47D9BC6B" w14:textId="2C2F2B13" w:rsidR="00203685" w:rsidRDefault="00203685" w:rsidP="00203685">
      <w:pPr>
        <w:spacing w:after="0" w:line="276" w:lineRule="auto"/>
        <w:rPr>
          <w:rFonts w:asciiTheme="majorHAnsi" w:hAnsiTheme="majorHAnsi" w:cstheme="majorBidi"/>
          <w:sz w:val="23"/>
          <w:szCs w:val="23"/>
        </w:rPr>
      </w:pPr>
      <w:r w:rsidRPr="00203685">
        <w:rPr>
          <w:rFonts w:asciiTheme="majorHAnsi" w:hAnsiTheme="majorHAnsi" w:cstheme="majorBidi"/>
          <w:sz w:val="23"/>
          <w:szCs w:val="23"/>
        </w:rPr>
        <w:t>Follow up work in Australia identified that a range of policy domains are potentially relevant to remediating locational disadvantage (Pawson, Hulse, &amp; Cheshire, 2015). As state and local governments have had to rapidly respond to changing needs across these domains, as the COVID-19 pandemic has accentuated some issues facing disadvantaged communities ahead of others, there is need to understand how research has advanced in relation to the causes and impacts of disadvantage, and how the landscape has shifted during the pandemic in order to prioritise resources.</w:t>
      </w:r>
    </w:p>
    <w:p w14:paraId="61B55608" w14:textId="77777777" w:rsidR="00203685" w:rsidRDefault="00203685" w:rsidP="00203685">
      <w:pPr>
        <w:spacing w:after="0" w:line="276" w:lineRule="auto"/>
        <w:rPr>
          <w:rFonts w:asciiTheme="majorHAnsi" w:hAnsiTheme="majorHAnsi" w:cstheme="majorBidi"/>
          <w:sz w:val="23"/>
          <w:szCs w:val="23"/>
        </w:rPr>
      </w:pPr>
    </w:p>
    <w:p w14:paraId="31D3CB82" w14:textId="5B86E969" w:rsidR="00F00E3D" w:rsidRPr="009427E1" w:rsidRDefault="00F00E3D" w:rsidP="00203685">
      <w:pPr>
        <w:spacing w:after="0" w:line="276" w:lineRule="auto"/>
        <w:rPr>
          <w:rFonts w:asciiTheme="majorHAnsi" w:eastAsia="Times New Roman" w:hAnsiTheme="majorHAnsi" w:cstheme="majorHAnsi"/>
          <w:sz w:val="23"/>
          <w:szCs w:val="23"/>
          <w:lang w:eastAsia="en-GB"/>
        </w:rPr>
      </w:pPr>
      <w:r>
        <w:rPr>
          <w:rFonts w:asciiTheme="majorHAnsi" w:hAnsiTheme="majorHAnsi" w:cstheme="majorBidi"/>
          <w:sz w:val="23"/>
          <w:szCs w:val="23"/>
        </w:rPr>
        <w:t xml:space="preserve">Here we analyse the data in relation to the four content categories: </w:t>
      </w:r>
      <w:r>
        <w:rPr>
          <w:rFonts w:asciiTheme="majorHAnsi" w:eastAsiaTheme="minorEastAsia" w:hAnsiTheme="majorHAnsi" w:cstheme="majorHAnsi"/>
          <w:sz w:val="23"/>
          <w:szCs w:val="23"/>
          <w:lang w:eastAsia="en-AU"/>
        </w:rPr>
        <w:t>i</w:t>
      </w:r>
      <w:r w:rsidRPr="00353696">
        <w:rPr>
          <w:rFonts w:asciiTheme="majorHAnsi" w:eastAsiaTheme="minorEastAsia" w:hAnsiTheme="majorHAnsi" w:cstheme="majorHAnsi"/>
          <w:sz w:val="23"/>
          <w:szCs w:val="23"/>
          <w:lang w:eastAsia="en-AU"/>
        </w:rPr>
        <w:t>nequality data</w:t>
      </w:r>
      <w:r>
        <w:rPr>
          <w:rFonts w:asciiTheme="majorHAnsi" w:eastAsiaTheme="minorEastAsia" w:hAnsiTheme="majorHAnsi" w:cstheme="majorHAnsi"/>
          <w:sz w:val="23"/>
          <w:szCs w:val="23"/>
          <w:lang w:eastAsia="en-AU"/>
        </w:rPr>
        <w:t xml:space="preserve">, </w:t>
      </w:r>
      <w:r w:rsidR="00940D80">
        <w:rPr>
          <w:rFonts w:asciiTheme="majorHAnsi" w:eastAsiaTheme="minorEastAsia" w:hAnsiTheme="majorHAnsi" w:cstheme="majorHAnsi"/>
          <w:sz w:val="23"/>
          <w:szCs w:val="23"/>
          <w:lang w:eastAsia="en-AU"/>
        </w:rPr>
        <w:t>COVID</w:t>
      </w:r>
      <w:r w:rsidRPr="00C50BCD">
        <w:rPr>
          <w:rFonts w:asciiTheme="majorHAnsi" w:eastAsiaTheme="minorEastAsia" w:hAnsiTheme="majorHAnsi" w:cstheme="majorHAnsi"/>
          <w:sz w:val="23"/>
          <w:szCs w:val="23"/>
          <w:lang w:eastAsia="en-AU"/>
        </w:rPr>
        <w:t>-19 impacts</w:t>
      </w:r>
      <w:r>
        <w:rPr>
          <w:rFonts w:asciiTheme="majorHAnsi" w:eastAsiaTheme="minorEastAsia" w:hAnsiTheme="majorHAnsi" w:cstheme="majorHAnsi"/>
          <w:sz w:val="23"/>
          <w:szCs w:val="23"/>
          <w:lang w:eastAsia="en-AU"/>
        </w:rPr>
        <w:t xml:space="preserve"> research, socioeconomic f</w:t>
      </w:r>
      <w:r w:rsidRPr="00C50BCD">
        <w:rPr>
          <w:rFonts w:asciiTheme="majorHAnsi" w:eastAsiaTheme="minorEastAsia" w:hAnsiTheme="majorHAnsi" w:cstheme="majorHAnsi"/>
          <w:sz w:val="23"/>
          <w:szCs w:val="23"/>
          <w:lang w:eastAsia="en-AU"/>
        </w:rPr>
        <w:t>actors</w:t>
      </w:r>
      <w:r>
        <w:rPr>
          <w:rFonts w:asciiTheme="majorHAnsi" w:eastAsiaTheme="minorEastAsia" w:hAnsiTheme="majorHAnsi" w:cstheme="majorHAnsi"/>
          <w:sz w:val="23"/>
          <w:szCs w:val="23"/>
          <w:lang w:eastAsia="en-AU"/>
        </w:rPr>
        <w:t xml:space="preserve"> research, and i</w:t>
      </w:r>
      <w:r w:rsidRPr="00C50BCD">
        <w:rPr>
          <w:rFonts w:asciiTheme="majorHAnsi" w:eastAsiaTheme="minorEastAsia" w:hAnsiTheme="majorHAnsi" w:cstheme="majorHAnsi"/>
          <w:sz w:val="23"/>
          <w:szCs w:val="23"/>
          <w:lang w:eastAsia="en-AU"/>
        </w:rPr>
        <w:t>nterventions</w:t>
      </w:r>
      <w:r>
        <w:rPr>
          <w:rFonts w:asciiTheme="majorHAnsi" w:eastAsiaTheme="minorEastAsia" w:hAnsiTheme="majorHAnsi" w:cstheme="majorHAnsi"/>
          <w:sz w:val="23"/>
          <w:szCs w:val="23"/>
          <w:lang w:eastAsia="en-AU"/>
        </w:rPr>
        <w:t xml:space="preserve"> research. First, it is worth noting the spread of article categories.</w:t>
      </w:r>
      <w:r>
        <w:rPr>
          <w:rFonts w:asciiTheme="majorHAnsi" w:hAnsiTheme="majorHAnsi" w:cstheme="majorBidi"/>
          <w:color w:val="595959" w:themeColor="text1" w:themeTint="A6"/>
          <w:sz w:val="23"/>
          <w:szCs w:val="23"/>
          <w:lang w:val="en-GB"/>
        </w:rPr>
        <w:t xml:space="preserve"> </w:t>
      </w:r>
      <w:r>
        <w:rPr>
          <w:rFonts w:asciiTheme="majorHAnsi" w:eastAsia="Times New Roman" w:hAnsiTheme="majorHAnsi" w:cstheme="majorHAnsi"/>
          <w:sz w:val="23"/>
          <w:szCs w:val="23"/>
          <w:lang w:eastAsia="en-GB"/>
        </w:rPr>
        <w:t>Of</w:t>
      </w:r>
      <w:r w:rsidRPr="00BC19B6">
        <w:rPr>
          <w:rFonts w:asciiTheme="majorHAnsi" w:eastAsia="Times New Roman" w:hAnsiTheme="majorHAnsi" w:cstheme="majorHAnsi"/>
          <w:sz w:val="23"/>
          <w:szCs w:val="23"/>
          <w:lang w:eastAsia="en-GB"/>
        </w:rPr>
        <w:t xml:space="preserve"> the </w:t>
      </w:r>
      <w:r>
        <w:rPr>
          <w:rFonts w:asciiTheme="majorHAnsi" w:eastAsia="Times New Roman" w:hAnsiTheme="majorHAnsi" w:cstheme="majorHAnsi"/>
          <w:sz w:val="23"/>
          <w:szCs w:val="23"/>
          <w:lang w:eastAsia="en-GB"/>
        </w:rPr>
        <w:t>199</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academic </w:t>
      </w:r>
      <w:r w:rsidRPr="00BC19B6">
        <w:rPr>
          <w:rFonts w:asciiTheme="majorHAnsi" w:eastAsia="Times New Roman" w:hAnsiTheme="majorHAnsi" w:cstheme="majorHAnsi"/>
          <w:sz w:val="23"/>
          <w:szCs w:val="23"/>
          <w:lang w:eastAsia="en-GB"/>
        </w:rPr>
        <w:t>articles retained for analysis, 10</w:t>
      </w:r>
      <w:r>
        <w:rPr>
          <w:rFonts w:asciiTheme="majorHAnsi" w:eastAsia="Times New Roman" w:hAnsiTheme="majorHAnsi" w:cstheme="majorHAnsi"/>
          <w:sz w:val="23"/>
          <w:szCs w:val="23"/>
          <w:lang w:eastAsia="en-GB"/>
        </w:rPr>
        <w:t>3</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focused on</w:t>
      </w:r>
      <w:r w:rsidRPr="00BC19B6">
        <w:rPr>
          <w:rFonts w:asciiTheme="majorHAnsi" w:eastAsia="Times New Roman" w:hAnsiTheme="majorHAnsi" w:cstheme="majorHAnsi"/>
          <w:sz w:val="23"/>
          <w:szCs w:val="23"/>
          <w:lang w:eastAsia="en-GB"/>
        </w:rPr>
        <w:t xml:space="preserve"> in</w:t>
      </w:r>
      <w:r>
        <w:rPr>
          <w:rFonts w:asciiTheme="majorHAnsi" w:eastAsia="Times New Roman" w:hAnsiTheme="majorHAnsi" w:cstheme="majorHAnsi"/>
          <w:sz w:val="23"/>
          <w:szCs w:val="23"/>
          <w:lang w:eastAsia="en-GB"/>
        </w:rPr>
        <w:t>terventions</w:t>
      </w:r>
      <w:r w:rsidRPr="00BC19B6">
        <w:rPr>
          <w:rFonts w:asciiTheme="majorHAnsi" w:eastAsia="Times New Roman" w:hAnsiTheme="majorHAnsi" w:cstheme="majorHAnsi"/>
          <w:sz w:val="23"/>
          <w:szCs w:val="23"/>
          <w:lang w:eastAsia="en-GB"/>
        </w:rPr>
        <w:t xml:space="preserve"> that have been used </w:t>
      </w:r>
      <w:r>
        <w:rPr>
          <w:rFonts w:asciiTheme="majorHAnsi" w:eastAsia="Times New Roman" w:hAnsiTheme="majorHAnsi" w:cstheme="majorHAnsi"/>
          <w:sz w:val="23"/>
          <w:szCs w:val="23"/>
          <w:lang w:eastAsia="en-GB"/>
        </w:rPr>
        <w:t xml:space="preserve">in different localities around the world </w:t>
      </w:r>
      <w:r w:rsidRPr="00BC19B6">
        <w:rPr>
          <w:rFonts w:asciiTheme="majorHAnsi" w:eastAsia="Times New Roman" w:hAnsiTheme="majorHAnsi" w:cstheme="majorHAnsi"/>
          <w:sz w:val="23"/>
          <w:szCs w:val="23"/>
          <w:lang w:eastAsia="en-GB"/>
        </w:rPr>
        <w:t>to improve</w:t>
      </w:r>
      <w:r>
        <w:rPr>
          <w:rFonts w:asciiTheme="majorHAnsi" w:eastAsia="Times New Roman" w:hAnsiTheme="majorHAnsi" w:cstheme="majorHAnsi"/>
          <w:sz w:val="23"/>
          <w:szCs w:val="23"/>
          <w:lang w:eastAsia="en-GB"/>
        </w:rPr>
        <w:t xml:space="preserve"> </w:t>
      </w:r>
      <w:r w:rsidRPr="00BC19B6">
        <w:rPr>
          <w:rFonts w:asciiTheme="majorHAnsi" w:eastAsia="Times New Roman" w:hAnsiTheme="majorHAnsi" w:cstheme="majorHAnsi"/>
          <w:sz w:val="23"/>
          <w:szCs w:val="23"/>
          <w:lang w:eastAsia="en-GB"/>
        </w:rPr>
        <w:t xml:space="preserve">outcomes for </w:t>
      </w:r>
      <w:r>
        <w:rPr>
          <w:rFonts w:asciiTheme="majorHAnsi" w:eastAsia="Times New Roman" w:hAnsiTheme="majorHAnsi" w:cstheme="majorHAnsi"/>
          <w:sz w:val="23"/>
          <w:szCs w:val="23"/>
          <w:lang w:eastAsia="en-GB"/>
        </w:rPr>
        <w:t>communities affected by disadvantage;</w:t>
      </w:r>
      <w:r w:rsidRPr="00BC19B6">
        <w:rPr>
          <w:rFonts w:asciiTheme="majorHAnsi" w:eastAsia="Times New Roman" w:hAnsiTheme="majorHAnsi" w:cstheme="majorHAnsi"/>
          <w:sz w:val="23"/>
          <w:szCs w:val="23"/>
          <w:lang w:eastAsia="en-GB"/>
        </w:rPr>
        <w:t xml:space="preserve"> 8</w:t>
      </w:r>
      <w:r>
        <w:rPr>
          <w:rFonts w:asciiTheme="majorHAnsi" w:eastAsia="Times New Roman" w:hAnsiTheme="majorHAnsi" w:cstheme="majorHAnsi"/>
          <w:sz w:val="23"/>
          <w:szCs w:val="23"/>
          <w:lang w:eastAsia="en-GB"/>
        </w:rPr>
        <w:t>2</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articles </w:t>
      </w:r>
      <w:r w:rsidRPr="00BC19B6">
        <w:rPr>
          <w:rFonts w:asciiTheme="majorHAnsi" w:eastAsia="Times New Roman" w:hAnsiTheme="majorHAnsi" w:cstheme="majorHAnsi"/>
          <w:sz w:val="23"/>
          <w:szCs w:val="23"/>
          <w:lang w:eastAsia="en-GB"/>
        </w:rPr>
        <w:t xml:space="preserve">were </w:t>
      </w:r>
      <w:r>
        <w:rPr>
          <w:rFonts w:asciiTheme="majorHAnsi" w:eastAsia="Times New Roman" w:hAnsiTheme="majorHAnsi" w:cstheme="majorHAnsi"/>
          <w:sz w:val="23"/>
          <w:szCs w:val="23"/>
          <w:lang w:eastAsia="en-GB"/>
        </w:rPr>
        <w:t>about</w:t>
      </w:r>
      <w:r w:rsidRPr="00BC19B6">
        <w:rPr>
          <w:rFonts w:asciiTheme="majorHAnsi" w:eastAsia="Times New Roman" w:hAnsiTheme="majorHAnsi" w:cstheme="majorHAnsi"/>
          <w:sz w:val="23"/>
          <w:szCs w:val="23"/>
          <w:lang w:eastAsia="en-GB"/>
        </w:rPr>
        <w:t xml:space="preserve"> the social and economic factors that drive outcomes for </w:t>
      </w:r>
      <w:r>
        <w:rPr>
          <w:rFonts w:asciiTheme="majorHAnsi" w:eastAsia="Times New Roman" w:hAnsiTheme="majorHAnsi" w:cstheme="majorHAnsi"/>
          <w:sz w:val="23"/>
          <w:szCs w:val="23"/>
          <w:lang w:eastAsia="en-GB"/>
        </w:rPr>
        <w:t>communities affected by disadvantage;</w:t>
      </w:r>
      <w:r w:rsidRPr="00BC19B6">
        <w:rPr>
          <w:rFonts w:asciiTheme="majorHAnsi" w:eastAsia="Times New Roman" w:hAnsiTheme="majorHAnsi" w:cstheme="majorHAnsi"/>
          <w:sz w:val="23"/>
          <w:szCs w:val="23"/>
          <w:lang w:eastAsia="en-GB"/>
        </w:rPr>
        <w:t xml:space="preserve"> 1</w:t>
      </w:r>
      <w:r>
        <w:rPr>
          <w:rFonts w:asciiTheme="majorHAnsi" w:eastAsia="Times New Roman" w:hAnsiTheme="majorHAnsi" w:cstheme="majorHAnsi"/>
          <w:sz w:val="23"/>
          <w:szCs w:val="23"/>
          <w:lang w:eastAsia="en-GB"/>
        </w:rPr>
        <w:t>1</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articles </w:t>
      </w:r>
      <w:r w:rsidRPr="00BC19B6">
        <w:rPr>
          <w:rFonts w:asciiTheme="majorHAnsi" w:eastAsia="Times New Roman" w:hAnsiTheme="majorHAnsi" w:cstheme="majorHAnsi"/>
          <w:sz w:val="23"/>
          <w:szCs w:val="23"/>
          <w:lang w:eastAsia="en-GB"/>
        </w:rPr>
        <w:t xml:space="preserve">discussed relevant socioeconomic impacts of the </w:t>
      </w:r>
      <w:r w:rsidR="00940D80">
        <w:rPr>
          <w:rFonts w:asciiTheme="majorHAnsi" w:eastAsia="Times New Roman" w:hAnsiTheme="majorHAnsi" w:cstheme="majorHAnsi"/>
          <w:sz w:val="23"/>
          <w:szCs w:val="23"/>
          <w:lang w:eastAsia="en-GB"/>
        </w:rPr>
        <w:t>COVID</w:t>
      </w:r>
      <w:r w:rsidRPr="00BC19B6">
        <w:rPr>
          <w:rFonts w:asciiTheme="majorHAnsi" w:eastAsia="Times New Roman" w:hAnsiTheme="majorHAnsi" w:cstheme="majorHAnsi"/>
          <w:sz w:val="23"/>
          <w:szCs w:val="23"/>
          <w:lang w:eastAsia="en-GB"/>
        </w:rPr>
        <w:t xml:space="preserve">-19 pandemic, and </w:t>
      </w:r>
      <w:r>
        <w:rPr>
          <w:rFonts w:asciiTheme="majorHAnsi" w:eastAsia="Times New Roman" w:hAnsiTheme="majorHAnsi" w:cstheme="majorHAnsi"/>
          <w:sz w:val="23"/>
          <w:szCs w:val="23"/>
          <w:lang w:eastAsia="en-GB"/>
        </w:rPr>
        <w:t xml:space="preserve">three articles </w:t>
      </w:r>
      <w:r w:rsidRPr="00BC19B6">
        <w:rPr>
          <w:rFonts w:asciiTheme="majorHAnsi" w:eastAsia="Times New Roman" w:hAnsiTheme="majorHAnsi" w:cstheme="majorHAnsi"/>
          <w:sz w:val="23"/>
          <w:szCs w:val="23"/>
          <w:lang w:eastAsia="en-GB"/>
        </w:rPr>
        <w:t>presented recent Australian data on inequality.</w:t>
      </w:r>
      <w:r>
        <w:rPr>
          <w:rFonts w:asciiTheme="majorHAnsi" w:eastAsia="Times New Roman" w:hAnsiTheme="majorHAnsi" w:cstheme="majorHAnsi"/>
          <w:sz w:val="23"/>
          <w:szCs w:val="23"/>
          <w:lang w:eastAsia="en-GB"/>
        </w:rPr>
        <w:t xml:space="preserve"> F</w:t>
      </w:r>
      <w:r w:rsidRPr="00F73287">
        <w:rPr>
          <w:rFonts w:asciiTheme="majorHAnsi" w:eastAsia="Times New Roman" w:hAnsiTheme="majorHAnsi" w:cstheme="majorHAnsi"/>
          <w:sz w:val="23"/>
          <w:szCs w:val="23"/>
          <w:lang w:eastAsia="en-GB"/>
        </w:rPr>
        <w:t xml:space="preserve">or full lists of articles across the four content </w:t>
      </w:r>
      <w:r w:rsidRPr="009427E1">
        <w:rPr>
          <w:rFonts w:asciiTheme="majorHAnsi" w:eastAsia="Times New Roman" w:hAnsiTheme="majorHAnsi" w:cstheme="majorHAnsi"/>
          <w:sz w:val="23"/>
          <w:szCs w:val="23"/>
          <w:lang w:eastAsia="en-GB"/>
        </w:rPr>
        <w:t>categories</w:t>
      </w:r>
      <w:r>
        <w:rPr>
          <w:rFonts w:asciiTheme="majorHAnsi" w:eastAsia="Times New Roman" w:hAnsiTheme="majorHAnsi" w:cstheme="majorHAnsi"/>
          <w:sz w:val="23"/>
          <w:szCs w:val="23"/>
          <w:lang w:eastAsia="en-GB"/>
        </w:rPr>
        <w:t>, see</w:t>
      </w:r>
      <w:r w:rsidRPr="009427E1">
        <w:rPr>
          <w:rFonts w:asciiTheme="majorHAnsi" w:eastAsia="Times New Roman" w:hAnsiTheme="majorHAnsi" w:cstheme="majorHAnsi"/>
          <w:sz w:val="23"/>
          <w:szCs w:val="23"/>
          <w:lang w:eastAsia="en-GB"/>
        </w:rPr>
        <w:t xml:space="preserve"> Appendix C.</w:t>
      </w:r>
    </w:p>
    <w:p w14:paraId="253301A3" w14:textId="77777777" w:rsidR="00F00E3D" w:rsidRPr="007A66B9" w:rsidRDefault="00F00E3D" w:rsidP="009B2FA7">
      <w:pPr>
        <w:spacing w:after="0" w:line="276" w:lineRule="auto"/>
        <w:contextualSpacing/>
        <w:rPr>
          <w:rFonts w:asciiTheme="majorHAnsi" w:eastAsia="Times New Roman" w:hAnsiTheme="majorHAnsi" w:cstheme="majorHAnsi"/>
          <w:sz w:val="16"/>
          <w:szCs w:val="16"/>
          <w:lang w:eastAsia="en-GB"/>
        </w:rPr>
      </w:pPr>
    </w:p>
    <w:p w14:paraId="30D281AA" w14:textId="2C96902A" w:rsidR="00F00E3D" w:rsidRPr="008F4BF3" w:rsidRDefault="00F00E3D" w:rsidP="009B2FA7">
      <w:pPr>
        <w:spacing w:after="0" w:line="276" w:lineRule="auto"/>
        <w:contextualSpacing/>
        <w:rPr>
          <w:rFonts w:eastAsia="Times New Roman" w:cstheme="minorHAnsi"/>
          <w:b/>
          <w:bCs/>
          <w:color w:val="2E74B5" w:themeColor="accent5" w:themeShade="BF"/>
          <w:sz w:val="25"/>
          <w:szCs w:val="25"/>
          <w:lang w:eastAsia="en-GB"/>
        </w:rPr>
      </w:pPr>
      <w:r w:rsidRPr="008F4BF3">
        <w:rPr>
          <w:rFonts w:eastAsia="Times New Roman" w:cstheme="minorHAnsi"/>
          <w:b/>
          <w:bCs/>
          <w:color w:val="2E74B5" w:themeColor="accent5" w:themeShade="BF"/>
          <w:sz w:val="25"/>
          <w:szCs w:val="25"/>
          <w:lang w:eastAsia="en-GB"/>
        </w:rPr>
        <w:t>3.</w:t>
      </w:r>
      <w:r w:rsidR="00222763" w:rsidRPr="008F4BF3">
        <w:rPr>
          <w:rFonts w:eastAsia="Times New Roman" w:cstheme="minorHAnsi"/>
          <w:b/>
          <w:bCs/>
          <w:color w:val="2E74B5" w:themeColor="accent5" w:themeShade="BF"/>
          <w:sz w:val="25"/>
          <w:szCs w:val="25"/>
          <w:lang w:eastAsia="en-GB"/>
        </w:rPr>
        <w:t>3</w:t>
      </w:r>
      <w:r w:rsidRPr="008F4BF3">
        <w:rPr>
          <w:rFonts w:eastAsia="Times New Roman" w:cstheme="minorHAnsi"/>
          <w:b/>
          <w:bCs/>
          <w:color w:val="2E74B5" w:themeColor="accent5" w:themeShade="BF"/>
          <w:sz w:val="25"/>
          <w:szCs w:val="25"/>
          <w:lang w:eastAsia="en-GB"/>
        </w:rPr>
        <w:t>.1 Inequality Research</w:t>
      </w:r>
    </w:p>
    <w:p w14:paraId="16C51A1F" w14:textId="77777777" w:rsidR="00F00E3D" w:rsidRPr="009F38F3" w:rsidRDefault="00F00E3D" w:rsidP="009B2FA7">
      <w:pPr>
        <w:spacing w:after="0" w:line="276" w:lineRule="auto"/>
        <w:contextualSpacing/>
        <w:rPr>
          <w:rFonts w:asciiTheme="majorHAnsi" w:eastAsia="Times New Roman" w:hAnsiTheme="majorHAnsi" w:cstheme="majorHAnsi"/>
          <w:sz w:val="16"/>
          <w:szCs w:val="16"/>
          <w:lang w:eastAsia="en-GB"/>
        </w:rPr>
      </w:pPr>
    </w:p>
    <w:p w14:paraId="2287D60E" w14:textId="0725CD2F" w:rsidR="00F00E3D" w:rsidRPr="00BC19B6" w:rsidRDefault="00F00E3D" w:rsidP="009B2FA7">
      <w:pPr>
        <w:spacing w:after="0" w:line="276" w:lineRule="auto"/>
        <w:contextualSpacing/>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 xml:space="preserve">The bulk of the inequality data came from the </w:t>
      </w:r>
      <w:r w:rsidRPr="007A66B9">
        <w:rPr>
          <w:rFonts w:asciiTheme="majorHAnsi" w:eastAsia="Times New Roman" w:hAnsiTheme="majorHAnsi" w:cstheme="majorHAnsi"/>
          <w:i/>
          <w:iCs/>
          <w:sz w:val="23"/>
          <w:szCs w:val="23"/>
          <w:lang w:eastAsia="en-GB"/>
        </w:rPr>
        <w:t>Inequality in Australia 2020</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r</w:t>
      </w:r>
      <w:r w:rsidRPr="00BC19B6">
        <w:rPr>
          <w:rFonts w:asciiTheme="majorHAnsi" w:eastAsia="Times New Roman" w:hAnsiTheme="majorHAnsi" w:cstheme="majorHAnsi"/>
          <w:sz w:val="23"/>
          <w:szCs w:val="23"/>
          <w:lang w:eastAsia="en-GB"/>
        </w:rPr>
        <w:t>eport (</w:t>
      </w:r>
      <w:r>
        <w:rPr>
          <w:rFonts w:asciiTheme="majorHAnsi" w:eastAsia="Times New Roman" w:hAnsiTheme="majorHAnsi" w:cstheme="majorHAnsi"/>
          <w:sz w:val="23"/>
          <w:szCs w:val="23"/>
          <w:lang w:eastAsia="en-GB"/>
        </w:rPr>
        <w:t xml:space="preserve">a </w:t>
      </w:r>
      <w:r w:rsidRPr="00BC19B6">
        <w:rPr>
          <w:rFonts w:asciiTheme="majorHAnsi" w:eastAsia="Times New Roman" w:hAnsiTheme="majorHAnsi" w:cstheme="majorHAnsi"/>
          <w:sz w:val="23"/>
          <w:szCs w:val="23"/>
          <w:lang w:eastAsia="en-GB"/>
        </w:rPr>
        <w:t>two</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part</w:t>
      </w:r>
      <w:r>
        <w:rPr>
          <w:rFonts w:asciiTheme="majorHAnsi" w:eastAsia="Times New Roman" w:hAnsiTheme="majorHAnsi" w:cstheme="majorHAnsi"/>
          <w:sz w:val="23"/>
          <w:szCs w:val="23"/>
          <w:lang w:eastAsia="en-GB"/>
        </w:rPr>
        <w:t xml:space="preserve"> report,</w:t>
      </w:r>
      <w:r w:rsidRPr="00BC19B6">
        <w:rPr>
          <w:rFonts w:asciiTheme="majorHAnsi" w:eastAsia="Times New Roman" w:hAnsiTheme="majorHAnsi" w:cstheme="majorHAnsi"/>
          <w:sz w:val="23"/>
          <w:szCs w:val="23"/>
          <w:lang w:eastAsia="en-GB"/>
        </w:rPr>
        <w:t xml:space="preserve"> with an outcomes and factsheet summary)</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published by the Australian Council of Social Service in partnership with the University of New South Wales </w:t>
      </w:r>
      <w:r w:rsidRPr="00BC19B6">
        <w:rPr>
          <w:rFonts w:asciiTheme="majorHAnsi" w:eastAsia="Times New Roman" w:hAnsiTheme="majorHAnsi" w:cstheme="majorHAnsi"/>
          <w:noProof/>
          <w:sz w:val="23"/>
          <w:szCs w:val="23"/>
          <w:lang w:eastAsia="en-GB"/>
        </w:rPr>
        <w:t>(Davidson, 2020a; Davidson</w:t>
      </w:r>
      <w:r w:rsidR="00FA41CC">
        <w:rPr>
          <w:rFonts w:asciiTheme="majorHAnsi" w:eastAsia="Times New Roman" w:hAnsiTheme="majorHAnsi" w:cstheme="majorHAnsi"/>
          <w:noProof/>
          <w:sz w:val="23"/>
          <w:szCs w:val="23"/>
          <w:lang w:eastAsia="en-GB"/>
        </w:rPr>
        <w:t xml:space="preserve"> </w:t>
      </w:r>
      <w:r w:rsidRPr="00BC19B6">
        <w:rPr>
          <w:rFonts w:asciiTheme="majorHAnsi" w:eastAsia="Times New Roman" w:hAnsiTheme="majorHAnsi" w:cstheme="majorHAnsi"/>
          <w:noProof/>
          <w:sz w:val="23"/>
          <w:szCs w:val="23"/>
          <w:lang w:eastAsia="en-GB"/>
        </w:rPr>
        <w:t>&amp; et al., 2020; Davidson</w:t>
      </w:r>
      <w:r w:rsidR="00290D77">
        <w:rPr>
          <w:rFonts w:asciiTheme="majorHAnsi" w:eastAsia="Times New Roman" w:hAnsiTheme="majorHAnsi" w:cstheme="majorHAnsi"/>
          <w:noProof/>
          <w:sz w:val="23"/>
          <w:szCs w:val="23"/>
          <w:lang w:eastAsia="en-GB"/>
        </w:rPr>
        <w:t xml:space="preserve"> et al.</w:t>
      </w:r>
      <w:r w:rsidRPr="00BC19B6">
        <w:rPr>
          <w:rFonts w:asciiTheme="majorHAnsi" w:eastAsia="Times New Roman" w:hAnsiTheme="majorHAnsi" w:cstheme="majorHAnsi"/>
          <w:noProof/>
          <w:sz w:val="23"/>
          <w:szCs w:val="23"/>
          <w:lang w:eastAsia="en-GB"/>
        </w:rPr>
        <w:t>, 2020a)</w:t>
      </w:r>
      <w:r w:rsidRPr="00BC19B6">
        <w:rPr>
          <w:rFonts w:asciiTheme="majorHAnsi" w:eastAsia="Times New Roman" w:hAnsiTheme="majorHAnsi" w:cstheme="majorHAnsi"/>
          <w:sz w:val="23"/>
          <w:szCs w:val="23"/>
          <w:lang w:eastAsia="en-GB"/>
        </w:rPr>
        <w:t xml:space="preserve">. The analysis </w:t>
      </w:r>
      <w:r>
        <w:rPr>
          <w:rFonts w:asciiTheme="majorHAnsi" w:eastAsia="Times New Roman" w:hAnsiTheme="majorHAnsi" w:cstheme="majorHAnsi"/>
          <w:sz w:val="23"/>
          <w:szCs w:val="23"/>
          <w:lang w:eastAsia="en-GB"/>
        </w:rPr>
        <w:t>identified</w:t>
      </w:r>
      <w:r w:rsidRPr="00BC19B6">
        <w:rPr>
          <w:rFonts w:asciiTheme="majorHAnsi" w:eastAsia="Times New Roman" w:hAnsiTheme="majorHAnsi" w:cstheme="majorHAnsi"/>
          <w:sz w:val="23"/>
          <w:szCs w:val="23"/>
          <w:lang w:eastAsia="en-GB"/>
        </w:rPr>
        <w:t xml:space="preserve"> a wide </w:t>
      </w:r>
      <w:r>
        <w:rPr>
          <w:rFonts w:asciiTheme="majorHAnsi" w:eastAsia="Times New Roman" w:hAnsiTheme="majorHAnsi" w:cstheme="majorHAnsi"/>
          <w:sz w:val="23"/>
          <w:szCs w:val="23"/>
          <w:lang w:eastAsia="en-GB"/>
        </w:rPr>
        <w:t xml:space="preserve">income </w:t>
      </w:r>
      <w:r w:rsidRPr="00BC19B6">
        <w:rPr>
          <w:rFonts w:asciiTheme="majorHAnsi" w:eastAsia="Times New Roman" w:hAnsiTheme="majorHAnsi" w:cstheme="majorHAnsi"/>
          <w:sz w:val="23"/>
          <w:szCs w:val="23"/>
          <w:lang w:eastAsia="en-GB"/>
        </w:rPr>
        <w:t xml:space="preserve">gulf between </w:t>
      </w:r>
      <w:r>
        <w:rPr>
          <w:rFonts w:asciiTheme="majorHAnsi" w:eastAsia="Times New Roman" w:hAnsiTheme="majorHAnsi" w:cstheme="majorHAnsi"/>
          <w:sz w:val="23"/>
          <w:szCs w:val="23"/>
          <w:lang w:eastAsia="en-GB"/>
        </w:rPr>
        <w:t>people with the lowest incomes</w:t>
      </w:r>
      <w:r w:rsidRPr="00BC19B6">
        <w:rPr>
          <w:rFonts w:asciiTheme="majorHAnsi" w:eastAsia="Times New Roman" w:hAnsiTheme="majorHAnsi" w:cstheme="majorHAnsi"/>
          <w:sz w:val="23"/>
          <w:szCs w:val="23"/>
          <w:lang w:eastAsia="en-GB"/>
        </w:rPr>
        <w:t xml:space="preserve"> and those with the highest</w:t>
      </w:r>
      <w:r>
        <w:rPr>
          <w:rFonts w:asciiTheme="majorHAnsi" w:eastAsia="Times New Roman" w:hAnsiTheme="majorHAnsi" w:cstheme="majorHAnsi"/>
          <w:sz w:val="23"/>
          <w:szCs w:val="23"/>
          <w:lang w:eastAsia="en-GB"/>
        </w:rPr>
        <w:t xml:space="preserve"> incomes.</w:t>
      </w:r>
    </w:p>
    <w:p w14:paraId="502B92CE" w14:textId="77777777" w:rsidR="00F00E3D" w:rsidRPr="00417468" w:rsidRDefault="00F00E3D" w:rsidP="009B2FA7">
      <w:pPr>
        <w:spacing w:after="0" w:line="276" w:lineRule="auto"/>
        <w:contextualSpacing/>
        <w:rPr>
          <w:rFonts w:asciiTheme="majorHAnsi" w:eastAsia="Times New Roman" w:hAnsiTheme="majorHAnsi" w:cstheme="majorHAnsi"/>
          <w:sz w:val="16"/>
          <w:szCs w:val="16"/>
          <w:lang w:eastAsia="en-GB"/>
        </w:rPr>
      </w:pPr>
    </w:p>
    <w:p w14:paraId="32ABB9C2" w14:textId="5F3B9D98" w:rsidR="00F00E3D" w:rsidRPr="008F4BF3" w:rsidRDefault="00F00E3D" w:rsidP="009B2FA7">
      <w:pPr>
        <w:spacing w:after="0" w:line="276" w:lineRule="auto"/>
        <w:contextualSpacing/>
        <w:rPr>
          <w:rFonts w:eastAsia="Times New Roman" w:cstheme="minorHAnsi"/>
          <w:b/>
          <w:bCs/>
          <w:color w:val="2E74B5" w:themeColor="accent5" w:themeShade="BF"/>
          <w:sz w:val="25"/>
          <w:szCs w:val="25"/>
          <w:lang w:eastAsia="en-GB"/>
        </w:rPr>
      </w:pPr>
      <w:r w:rsidRPr="008F4BF3">
        <w:rPr>
          <w:rFonts w:eastAsia="Times New Roman" w:cstheme="majorHAnsi"/>
          <w:b/>
          <w:bCs/>
          <w:color w:val="2E74B5" w:themeColor="accent5" w:themeShade="BF"/>
          <w:sz w:val="25"/>
          <w:szCs w:val="25"/>
          <w:lang w:eastAsia="en-GB"/>
        </w:rPr>
        <w:t>3.</w:t>
      </w:r>
      <w:r w:rsidR="00B13B75" w:rsidRPr="008F4BF3">
        <w:rPr>
          <w:rFonts w:eastAsia="Times New Roman" w:cstheme="majorHAnsi"/>
          <w:b/>
          <w:bCs/>
          <w:color w:val="2E74B5" w:themeColor="accent5" w:themeShade="BF"/>
          <w:sz w:val="25"/>
          <w:szCs w:val="25"/>
          <w:lang w:eastAsia="en-GB"/>
        </w:rPr>
        <w:t>3</w:t>
      </w:r>
      <w:r w:rsidRPr="008F4BF3">
        <w:rPr>
          <w:rFonts w:eastAsia="Times New Roman" w:cstheme="majorHAnsi"/>
          <w:b/>
          <w:bCs/>
          <w:color w:val="2E74B5" w:themeColor="accent5" w:themeShade="BF"/>
          <w:sz w:val="25"/>
          <w:szCs w:val="25"/>
          <w:lang w:eastAsia="en-GB"/>
        </w:rPr>
        <w:t>.2</w:t>
      </w:r>
      <w:r w:rsidRPr="008F4BF3">
        <w:rPr>
          <w:rFonts w:eastAsia="Times New Roman" w:cstheme="minorHAnsi"/>
          <w:b/>
          <w:bCs/>
          <w:color w:val="2E74B5" w:themeColor="accent5" w:themeShade="BF"/>
          <w:sz w:val="25"/>
          <w:szCs w:val="25"/>
          <w:lang w:eastAsia="en-GB"/>
        </w:rPr>
        <w:t xml:space="preserve"> </w:t>
      </w:r>
      <w:r w:rsidR="00940D80" w:rsidRPr="008F4BF3">
        <w:rPr>
          <w:rFonts w:eastAsia="Times New Roman" w:cstheme="minorHAnsi"/>
          <w:b/>
          <w:bCs/>
          <w:color w:val="2E74B5" w:themeColor="accent5" w:themeShade="BF"/>
          <w:sz w:val="25"/>
          <w:szCs w:val="25"/>
          <w:lang w:eastAsia="en-GB"/>
        </w:rPr>
        <w:t>COVID</w:t>
      </w:r>
      <w:r w:rsidRPr="008F4BF3">
        <w:rPr>
          <w:rFonts w:eastAsia="Times New Roman" w:cstheme="minorHAnsi"/>
          <w:b/>
          <w:bCs/>
          <w:color w:val="2E74B5" w:themeColor="accent5" w:themeShade="BF"/>
          <w:sz w:val="25"/>
          <w:szCs w:val="25"/>
          <w:lang w:eastAsia="en-GB"/>
        </w:rPr>
        <w:t>-19 Impacts Research</w:t>
      </w:r>
    </w:p>
    <w:p w14:paraId="010227EA" w14:textId="77777777" w:rsidR="00F00E3D" w:rsidRPr="00417468" w:rsidRDefault="00F00E3D" w:rsidP="009B2FA7">
      <w:pPr>
        <w:spacing w:after="0" w:line="276" w:lineRule="auto"/>
        <w:contextualSpacing/>
        <w:rPr>
          <w:rFonts w:asciiTheme="majorHAnsi" w:eastAsia="Times New Roman" w:hAnsiTheme="majorHAnsi" w:cstheme="majorHAnsi"/>
          <w:sz w:val="16"/>
          <w:szCs w:val="16"/>
          <w:lang w:eastAsia="en-GB"/>
        </w:rPr>
      </w:pPr>
    </w:p>
    <w:p w14:paraId="4AC1E6B7" w14:textId="6F9AF2BC" w:rsidR="00F00E3D" w:rsidRDefault="00F00E3D" w:rsidP="009B2FA7">
      <w:pPr>
        <w:spacing w:after="0" w:line="276" w:lineRule="auto"/>
        <w:contextualSpacing/>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Eleven</w:t>
      </w:r>
      <w:r w:rsidRPr="00BC19B6">
        <w:rPr>
          <w:rFonts w:asciiTheme="majorHAnsi" w:eastAsia="Times New Roman" w:hAnsiTheme="majorHAnsi" w:cstheme="majorHAnsi"/>
          <w:sz w:val="23"/>
          <w:szCs w:val="23"/>
          <w:lang w:eastAsia="en-GB"/>
        </w:rPr>
        <w:t xml:space="preserve"> articles </w:t>
      </w:r>
      <w:r>
        <w:rPr>
          <w:rFonts w:asciiTheme="majorHAnsi" w:eastAsia="Times New Roman" w:hAnsiTheme="majorHAnsi" w:cstheme="majorHAnsi"/>
          <w:sz w:val="23"/>
          <w:szCs w:val="23"/>
          <w:lang w:eastAsia="en-GB"/>
        </w:rPr>
        <w:t>addressed</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the way</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that </w:t>
      </w:r>
      <w:r w:rsidR="00940D80">
        <w:rPr>
          <w:rFonts w:asciiTheme="majorHAnsi" w:eastAsia="Times New Roman" w:hAnsiTheme="majorHAnsi" w:cstheme="majorHAnsi"/>
          <w:sz w:val="23"/>
          <w:szCs w:val="23"/>
          <w:lang w:eastAsia="en-GB"/>
        </w:rPr>
        <w:t>COVID</w:t>
      </w:r>
      <w:r w:rsidRPr="00BC19B6">
        <w:rPr>
          <w:rFonts w:asciiTheme="majorHAnsi" w:eastAsia="Times New Roman" w:hAnsiTheme="majorHAnsi" w:cstheme="majorHAnsi"/>
          <w:sz w:val="23"/>
          <w:szCs w:val="23"/>
          <w:lang w:eastAsia="en-GB"/>
        </w:rPr>
        <w:t xml:space="preserve">-19 has impacted the social and economic factors that drive outcomes for </w:t>
      </w:r>
      <w:r>
        <w:rPr>
          <w:rFonts w:asciiTheme="majorHAnsi" w:eastAsia="Times New Roman" w:hAnsiTheme="majorHAnsi" w:cstheme="majorHAnsi"/>
          <w:sz w:val="23"/>
          <w:szCs w:val="23"/>
          <w:lang w:eastAsia="en-GB"/>
        </w:rPr>
        <w:t>communities affected by disadvantage</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In</w:t>
      </w:r>
      <w:r w:rsidRPr="00BC19B6">
        <w:rPr>
          <w:rFonts w:asciiTheme="majorHAnsi" w:eastAsia="Times New Roman" w:hAnsiTheme="majorHAnsi" w:cstheme="majorHAnsi"/>
          <w:sz w:val="23"/>
          <w:szCs w:val="23"/>
          <w:lang w:eastAsia="en-GB"/>
        </w:rPr>
        <w:t xml:space="preserve"> selecting these articles</w:t>
      </w:r>
      <w:r>
        <w:rPr>
          <w:rFonts w:asciiTheme="majorHAnsi" w:eastAsia="Times New Roman" w:hAnsiTheme="majorHAnsi" w:cstheme="majorHAnsi"/>
          <w:sz w:val="23"/>
          <w:szCs w:val="23"/>
          <w:lang w:eastAsia="en-GB"/>
        </w:rPr>
        <w:t>, i</w:t>
      </w:r>
      <w:r w:rsidRPr="00BC19B6">
        <w:rPr>
          <w:rFonts w:asciiTheme="majorHAnsi" w:eastAsia="Times New Roman" w:hAnsiTheme="majorHAnsi" w:cstheme="majorHAnsi"/>
          <w:sz w:val="23"/>
          <w:szCs w:val="23"/>
          <w:lang w:eastAsia="en-GB"/>
        </w:rPr>
        <w:t xml:space="preserve">nclusion/exclusion </w:t>
      </w:r>
      <w:r>
        <w:rPr>
          <w:rFonts w:asciiTheme="majorHAnsi" w:eastAsia="Times New Roman" w:hAnsiTheme="majorHAnsi" w:cstheme="majorHAnsi"/>
          <w:sz w:val="23"/>
          <w:szCs w:val="23"/>
          <w:lang w:eastAsia="en-GB"/>
        </w:rPr>
        <w:t>criteria were based</w:t>
      </w:r>
      <w:r w:rsidRPr="00BC19B6">
        <w:rPr>
          <w:rFonts w:asciiTheme="majorHAnsi" w:eastAsia="Times New Roman" w:hAnsiTheme="majorHAnsi" w:cstheme="majorHAnsi"/>
          <w:sz w:val="23"/>
          <w:szCs w:val="23"/>
          <w:lang w:eastAsia="en-GB"/>
        </w:rPr>
        <w:t xml:space="preserve"> on </w:t>
      </w:r>
      <w:r>
        <w:rPr>
          <w:rFonts w:asciiTheme="majorHAnsi" w:eastAsia="Times New Roman" w:hAnsiTheme="majorHAnsi" w:cstheme="majorHAnsi"/>
          <w:sz w:val="23"/>
          <w:szCs w:val="23"/>
          <w:lang w:eastAsia="en-GB"/>
        </w:rPr>
        <w:t xml:space="preserve">their </w:t>
      </w:r>
      <w:r w:rsidRPr="00BC19B6">
        <w:rPr>
          <w:rFonts w:asciiTheme="majorHAnsi" w:eastAsia="Times New Roman" w:hAnsiTheme="majorHAnsi" w:cstheme="majorHAnsi"/>
          <w:sz w:val="23"/>
          <w:szCs w:val="23"/>
          <w:lang w:eastAsia="en-GB"/>
        </w:rPr>
        <w:t xml:space="preserve">relevance to the Australian study context. Hence, most </w:t>
      </w:r>
      <w:r>
        <w:rPr>
          <w:rFonts w:asciiTheme="majorHAnsi" w:eastAsia="Times New Roman" w:hAnsiTheme="majorHAnsi" w:cstheme="majorHAnsi"/>
          <w:sz w:val="23"/>
          <w:szCs w:val="23"/>
          <w:lang w:eastAsia="en-GB"/>
        </w:rPr>
        <w:t xml:space="preserve">of the included </w:t>
      </w:r>
      <w:r w:rsidRPr="00BC19B6">
        <w:rPr>
          <w:rFonts w:asciiTheme="majorHAnsi" w:eastAsia="Times New Roman" w:hAnsiTheme="majorHAnsi" w:cstheme="majorHAnsi"/>
          <w:sz w:val="23"/>
          <w:szCs w:val="23"/>
          <w:lang w:eastAsia="en-GB"/>
        </w:rPr>
        <w:t xml:space="preserve">articles explicitly focused on Australia </w:t>
      </w:r>
      <w:r>
        <w:rPr>
          <w:rFonts w:asciiTheme="majorHAnsi" w:eastAsia="Times New Roman" w:hAnsiTheme="majorHAnsi" w:cstheme="majorHAnsi"/>
          <w:noProof/>
          <w:sz w:val="23"/>
          <w:szCs w:val="23"/>
          <w:lang w:eastAsia="en-GB"/>
        </w:rPr>
        <w:t>(A.C.S.C, 2020; Cortis &amp; Blaxland, 2020; Davidson, 2020b; Guaralda et al., 2020; Lab, 2020; Wilson, 2020)</w:t>
      </w:r>
      <w:r w:rsidRPr="00BC19B6">
        <w:rPr>
          <w:rFonts w:asciiTheme="majorHAnsi" w:eastAsia="Times New Roman" w:hAnsiTheme="majorHAnsi" w:cstheme="majorHAnsi"/>
          <w:sz w:val="23"/>
          <w:szCs w:val="23"/>
          <w:lang w:eastAsia="en-GB"/>
        </w:rPr>
        <w:t>,</w:t>
      </w:r>
      <w:r>
        <w:rPr>
          <w:rFonts w:asciiTheme="majorHAnsi" w:eastAsia="Times New Roman" w:hAnsiTheme="majorHAnsi" w:cstheme="majorHAnsi"/>
          <w:sz w:val="23"/>
          <w:szCs w:val="23"/>
          <w:lang w:eastAsia="en-GB"/>
        </w:rPr>
        <w:t xml:space="preserve"> three consider</w:t>
      </w:r>
      <w:r w:rsidRPr="00BC19B6">
        <w:rPr>
          <w:rFonts w:asciiTheme="majorHAnsi" w:eastAsia="Times New Roman" w:hAnsiTheme="majorHAnsi" w:cstheme="majorHAnsi"/>
          <w:sz w:val="23"/>
          <w:szCs w:val="23"/>
          <w:lang w:eastAsia="en-GB"/>
        </w:rPr>
        <w:t xml:space="preserve"> global impacts </w:t>
      </w:r>
      <w:r>
        <w:rPr>
          <w:rFonts w:asciiTheme="majorHAnsi" w:eastAsia="Times New Roman" w:hAnsiTheme="majorHAnsi" w:cstheme="majorHAnsi"/>
          <w:noProof/>
          <w:sz w:val="23"/>
          <w:szCs w:val="23"/>
          <w:lang w:eastAsia="en-GB"/>
        </w:rPr>
        <w:t>(Cattapan</w:t>
      </w:r>
      <w:r w:rsidR="00290D77">
        <w:rPr>
          <w:rFonts w:asciiTheme="majorHAnsi" w:eastAsia="Times New Roman" w:hAnsiTheme="majorHAnsi" w:cstheme="majorHAnsi"/>
          <w:noProof/>
          <w:sz w:val="23"/>
          <w:szCs w:val="23"/>
          <w:lang w:eastAsia="en-GB"/>
        </w:rPr>
        <w:t xml:space="preserve"> et al.</w:t>
      </w:r>
      <w:r>
        <w:rPr>
          <w:rFonts w:asciiTheme="majorHAnsi" w:eastAsia="Times New Roman" w:hAnsiTheme="majorHAnsi" w:cstheme="majorHAnsi"/>
          <w:noProof/>
          <w:sz w:val="23"/>
          <w:szCs w:val="23"/>
          <w:lang w:eastAsia="en-GB"/>
        </w:rPr>
        <w:t>, 2020; Pineda &amp; Corburn, 2020; van Barneveld et al., 2020)</w:t>
      </w:r>
      <w:r>
        <w:rPr>
          <w:rFonts w:asciiTheme="majorHAnsi" w:eastAsia="Times New Roman" w:hAnsiTheme="majorHAnsi" w:cstheme="majorHAnsi"/>
          <w:sz w:val="23"/>
          <w:szCs w:val="23"/>
          <w:lang w:eastAsia="en-GB"/>
        </w:rPr>
        <w:t xml:space="preserve">, and one focuses </w:t>
      </w:r>
      <w:r w:rsidRPr="00BC19B6">
        <w:rPr>
          <w:rFonts w:asciiTheme="majorHAnsi" w:eastAsia="Times New Roman" w:hAnsiTheme="majorHAnsi" w:cstheme="majorHAnsi"/>
          <w:sz w:val="23"/>
          <w:szCs w:val="23"/>
          <w:lang w:eastAsia="en-GB"/>
        </w:rPr>
        <w:t xml:space="preserve">on UK impacts </w:t>
      </w:r>
      <w:r w:rsidRPr="00BC19B6">
        <w:rPr>
          <w:rFonts w:asciiTheme="majorHAnsi" w:eastAsia="Times New Roman" w:hAnsiTheme="majorHAnsi" w:cstheme="majorHAnsi"/>
          <w:noProof/>
          <w:sz w:val="23"/>
          <w:szCs w:val="23"/>
          <w:lang w:eastAsia="en-GB"/>
        </w:rPr>
        <w:t>(Tinson, 2020)</w:t>
      </w:r>
      <w:r w:rsidRPr="00BC19B6">
        <w:rPr>
          <w:rFonts w:asciiTheme="majorHAnsi" w:eastAsia="Times New Roman" w:hAnsiTheme="majorHAnsi" w:cstheme="majorHAnsi"/>
          <w:sz w:val="23"/>
          <w:szCs w:val="23"/>
          <w:lang w:eastAsia="en-GB"/>
        </w:rPr>
        <w:t>.</w:t>
      </w:r>
    </w:p>
    <w:p w14:paraId="0BBCE8DB" w14:textId="77777777" w:rsidR="00F00E3D" w:rsidRPr="00747C28" w:rsidRDefault="00F00E3D" w:rsidP="009B2FA7">
      <w:pPr>
        <w:spacing w:after="0" w:line="276" w:lineRule="auto"/>
        <w:contextualSpacing/>
        <w:rPr>
          <w:rFonts w:asciiTheme="majorHAnsi" w:eastAsia="Times New Roman" w:hAnsiTheme="majorHAnsi" w:cstheme="majorHAnsi"/>
          <w:sz w:val="16"/>
          <w:szCs w:val="16"/>
          <w:lang w:eastAsia="en-GB"/>
        </w:rPr>
      </w:pPr>
    </w:p>
    <w:p w14:paraId="693DC77D" w14:textId="77777777" w:rsidR="00F00E3D" w:rsidRPr="00BC19B6" w:rsidRDefault="00F00E3D" w:rsidP="009B2FA7">
      <w:pPr>
        <w:spacing w:after="0" w:line="276" w:lineRule="auto"/>
        <w:contextualSpacing/>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lastRenderedPageBreak/>
        <w:t>At the time of writing o</w:t>
      </w:r>
      <w:r w:rsidRPr="00BC19B6">
        <w:rPr>
          <w:rFonts w:asciiTheme="majorHAnsi" w:eastAsia="Times New Roman" w:hAnsiTheme="majorHAnsi" w:cstheme="majorHAnsi"/>
          <w:sz w:val="23"/>
          <w:szCs w:val="23"/>
          <w:lang w:eastAsia="en-GB"/>
        </w:rPr>
        <w:t xml:space="preserve">nly the global papers </w:t>
      </w:r>
      <w:r>
        <w:rPr>
          <w:rFonts w:asciiTheme="majorHAnsi" w:eastAsia="Times New Roman" w:hAnsiTheme="majorHAnsi" w:cstheme="majorHAnsi"/>
          <w:sz w:val="23"/>
          <w:szCs w:val="23"/>
          <w:lang w:eastAsia="en-GB"/>
        </w:rPr>
        <w:t>had been</w:t>
      </w:r>
      <w:r w:rsidRPr="00BC19B6">
        <w:rPr>
          <w:rFonts w:asciiTheme="majorHAnsi" w:eastAsia="Times New Roman" w:hAnsiTheme="majorHAnsi" w:cstheme="majorHAnsi"/>
          <w:sz w:val="23"/>
          <w:szCs w:val="23"/>
          <w:lang w:eastAsia="en-GB"/>
        </w:rPr>
        <w:t xml:space="preserve"> cited</w:t>
      </w:r>
      <w:r>
        <w:rPr>
          <w:rFonts w:asciiTheme="majorHAnsi" w:eastAsia="Times New Roman" w:hAnsiTheme="majorHAnsi" w:cstheme="majorHAnsi"/>
          <w:sz w:val="23"/>
          <w:szCs w:val="23"/>
          <w:lang w:eastAsia="en-GB"/>
        </w:rPr>
        <w:t xml:space="preserve"> by other researchers</w:t>
      </w:r>
      <w:r w:rsidRPr="00BC19B6">
        <w:rPr>
          <w:rFonts w:asciiTheme="majorHAnsi" w:eastAsia="Times New Roman" w:hAnsiTheme="majorHAnsi" w:cstheme="majorHAnsi"/>
          <w:sz w:val="23"/>
          <w:szCs w:val="23"/>
          <w:lang w:eastAsia="en-GB"/>
        </w:rPr>
        <w:t xml:space="preserve">, reflecting their larger target audiences. Pineda </w:t>
      </w:r>
      <w:r>
        <w:rPr>
          <w:rFonts w:asciiTheme="majorHAnsi" w:eastAsia="Times New Roman" w:hAnsiTheme="majorHAnsi" w:cstheme="majorHAnsi"/>
          <w:sz w:val="23"/>
          <w:szCs w:val="23"/>
          <w:lang w:eastAsia="en-GB"/>
        </w:rPr>
        <w:t>and</w:t>
      </w:r>
      <w:r w:rsidRPr="00BC19B6">
        <w:rPr>
          <w:rFonts w:asciiTheme="majorHAnsi" w:eastAsia="Times New Roman" w:hAnsiTheme="majorHAnsi" w:cstheme="majorHAnsi"/>
          <w:sz w:val="23"/>
          <w:szCs w:val="23"/>
          <w:lang w:eastAsia="en-GB"/>
        </w:rPr>
        <w:t xml:space="preserve"> Corburn’s work on disability and urban health equity was heavily cited for such a recent publication, </w:t>
      </w:r>
      <w:r>
        <w:rPr>
          <w:rFonts w:asciiTheme="majorHAnsi" w:eastAsia="Times New Roman" w:hAnsiTheme="majorHAnsi" w:cstheme="majorHAnsi"/>
          <w:sz w:val="23"/>
          <w:szCs w:val="23"/>
          <w:lang w:eastAsia="en-GB"/>
        </w:rPr>
        <w:t xml:space="preserve">perhaps </w:t>
      </w:r>
      <w:r w:rsidRPr="00BC19B6">
        <w:rPr>
          <w:rFonts w:asciiTheme="majorHAnsi" w:eastAsia="Times New Roman" w:hAnsiTheme="majorHAnsi" w:cstheme="majorHAnsi"/>
          <w:sz w:val="23"/>
          <w:szCs w:val="23"/>
          <w:lang w:eastAsia="en-GB"/>
        </w:rPr>
        <w:t xml:space="preserve">reflecting </w:t>
      </w:r>
      <w:r>
        <w:rPr>
          <w:rFonts w:asciiTheme="majorHAnsi" w:eastAsia="Times New Roman" w:hAnsiTheme="majorHAnsi" w:cstheme="majorHAnsi"/>
          <w:sz w:val="23"/>
          <w:szCs w:val="23"/>
          <w:lang w:eastAsia="en-GB"/>
        </w:rPr>
        <w:t xml:space="preserve">the fact </w:t>
      </w:r>
      <w:r w:rsidRPr="00BC19B6">
        <w:rPr>
          <w:rFonts w:asciiTheme="majorHAnsi" w:eastAsia="Times New Roman" w:hAnsiTheme="majorHAnsi" w:cstheme="majorHAnsi"/>
          <w:sz w:val="23"/>
          <w:szCs w:val="23"/>
          <w:lang w:eastAsia="en-GB"/>
        </w:rPr>
        <w:t xml:space="preserve">that </w:t>
      </w:r>
      <w:r>
        <w:rPr>
          <w:rFonts w:asciiTheme="majorHAnsi" w:eastAsia="Times New Roman" w:hAnsiTheme="majorHAnsi" w:cstheme="majorHAnsi"/>
          <w:sz w:val="23"/>
          <w:szCs w:val="23"/>
          <w:lang w:eastAsia="en-GB"/>
        </w:rPr>
        <w:t>already-</w:t>
      </w:r>
      <w:r w:rsidRPr="00BC19B6">
        <w:rPr>
          <w:rFonts w:asciiTheme="majorHAnsi" w:eastAsia="Times New Roman" w:hAnsiTheme="majorHAnsi" w:cstheme="majorHAnsi"/>
          <w:sz w:val="23"/>
          <w:szCs w:val="23"/>
          <w:lang w:eastAsia="en-GB"/>
        </w:rPr>
        <w:t xml:space="preserve">disadvantaged cohorts have been hardest hit by the pandemic. The study concludes that “the current pandemic [can] be viewed as an opportunity for significant urban health reforms on the scale of the sanitary and governance reforms that followed nineteenth century urban epidemics” (Pineda </w:t>
      </w:r>
      <w:r>
        <w:rPr>
          <w:rFonts w:asciiTheme="majorHAnsi" w:eastAsia="Times New Roman" w:hAnsiTheme="majorHAnsi" w:cstheme="majorHAnsi"/>
          <w:sz w:val="23"/>
          <w:szCs w:val="23"/>
          <w:lang w:eastAsia="en-GB"/>
        </w:rPr>
        <w:t>&amp;</w:t>
      </w:r>
      <w:r w:rsidRPr="00BC19B6">
        <w:rPr>
          <w:rFonts w:asciiTheme="majorHAnsi" w:eastAsia="Times New Roman" w:hAnsiTheme="majorHAnsi" w:cstheme="majorHAnsi"/>
          <w:sz w:val="23"/>
          <w:szCs w:val="23"/>
          <w:lang w:eastAsia="en-GB"/>
        </w:rPr>
        <w:t xml:space="preserve"> Corburn</w:t>
      </w:r>
      <w:r>
        <w:rPr>
          <w:rFonts w:asciiTheme="majorHAnsi" w:eastAsia="Times New Roman" w:hAnsiTheme="majorHAnsi" w:cstheme="majorHAnsi"/>
          <w:sz w:val="23"/>
          <w:szCs w:val="23"/>
          <w:lang w:eastAsia="en-GB"/>
        </w:rPr>
        <w:t xml:space="preserve">, 2020: </w:t>
      </w:r>
      <w:r w:rsidRPr="00BC19B6">
        <w:rPr>
          <w:rFonts w:asciiTheme="majorHAnsi" w:eastAsia="Times New Roman" w:hAnsiTheme="majorHAnsi" w:cstheme="majorHAnsi"/>
          <w:sz w:val="23"/>
          <w:szCs w:val="23"/>
          <w:lang w:eastAsia="en-GB"/>
        </w:rPr>
        <w:t xml:space="preserve">1). </w:t>
      </w:r>
    </w:p>
    <w:p w14:paraId="021AED84" w14:textId="77777777" w:rsidR="00F00E3D" w:rsidRPr="00A70064" w:rsidRDefault="00F00E3D" w:rsidP="009B2FA7">
      <w:pPr>
        <w:spacing w:after="0" w:line="276" w:lineRule="auto"/>
        <w:contextualSpacing/>
        <w:rPr>
          <w:rFonts w:eastAsia="Times New Roman" w:cstheme="majorHAnsi"/>
          <w:b/>
          <w:bCs/>
          <w:sz w:val="16"/>
          <w:szCs w:val="16"/>
          <w:lang w:eastAsia="en-GB"/>
        </w:rPr>
      </w:pPr>
    </w:p>
    <w:p w14:paraId="5E169208" w14:textId="2EF0D85A" w:rsidR="00F00E3D" w:rsidRPr="008F4BF3" w:rsidRDefault="00F00E3D" w:rsidP="009B2FA7">
      <w:pPr>
        <w:spacing w:after="0" w:line="276" w:lineRule="auto"/>
        <w:contextualSpacing/>
        <w:rPr>
          <w:rFonts w:eastAsia="Times New Roman" w:cstheme="minorHAnsi"/>
          <w:b/>
          <w:bCs/>
          <w:color w:val="2E74B5" w:themeColor="accent5" w:themeShade="BF"/>
          <w:sz w:val="25"/>
          <w:szCs w:val="25"/>
          <w:lang w:eastAsia="en-GB"/>
        </w:rPr>
      </w:pPr>
      <w:bookmarkStart w:id="28" w:name="OLE_LINKSECTION323"/>
      <w:r w:rsidRPr="008F4BF3">
        <w:rPr>
          <w:rFonts w:eastAsia="Times New Roman" w:cstheme="minorHAnsi"/>
          <w:b/>
          <w:bCs/>
          <w:color w:val="2E74B5" w:themeColor="accent5" w:themeShade="BF"/>
          <w:sz w:val="25"/>
          <w:szCs w:val="25"/>
          <w:lang w:eastAsia="en-GB"/>
        </w:rPr>
        <w:t>3.</w:t>
      </w:r>
      <w:r w:rsidR="00B13B75" w:rsidRPr="008F4BF3">
        <w:rPr>
          <w:rFonts w:eastAsia="Times New Roman" w:cstheme="minorHAnsi"/>
          <w:b/>
          <w:bCs/>
          <w:color w:val="2E74B5" w:themeColor="accent5" w:themeShade="BF"/>
          <w:sz w:val="25"/>
          <w:szCs w:val="25"/>
          <w:lang w:eastAsia="en-GB"/>
        </w:rPr>
        <w:t>3</w:t>
      </w:r>
      <w:r w:rsidRPr="008F4BF3">
        <w:rPr>
          <w:rFonts w:eastAsia="Times New Roman" w:cstheme="minorHAnsi"/>
          <w:b/>
          <w:bCs/>
          <w:color w:val="2E74B5" w:themeColor="accent5" w:themeShade="BF"/>
          <w:sz w:val="25"/>
          <w:szCs w:val="25"/>
          <w:lang w:eastAsia="en-GB"/>
        </w:rPr>
        <w:t>.3 Socioeconomic Factors Research</w:t>
      </w:r>
    </w:p>
    <w:bookmarkEnd w:id="28"/>
    <w:p w14:paraId="22ED15C7" w14:textId="77777777" w:rsidR="00F00E3D" w:rsidRPr="00A70064" w:rsidRDefault="00F00E3D" w:rsidP="009B2FA7">
      <w:pPr>
        <w:spacing w:after="0" w:line="276" w:lineRule="auto"/>
        <w:contextualSpacing/>
        <w:rPr>
          <w:rFonts w:asciiTheme="majorHAnsi" w:eastAsia="Times New Roman" w:hAnsiTheme="majorHAnsi" w:cstheme="majorHAnsi"/>
          <w:b/>
          <w:bCs/>
          <w:sz w:val="16"/>
          <w:szCs w:val="16"/>
          <w:lang w:eastAsia="en-GB"/>
        </w:rPr>
      </w:pPr>
    </w:p>
    <w:p w14:paraId="29E167A9" w14:textId="2419CF1C" w:rsidR="00203685" w:rsidRDefault="00F00E3D" w:rsidP="00203685">
      <w:pPr>
        <w:spacing w:after="0" w:line="276" w:lineRule="auto"/>
        <w:contextualSpacing/>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Eighty</w:t>
      </w:r>
      <w:r>
        <w:rPr>
          <w:rFonts w:asciiTheme="majorHAnsi" w:eastAsia="Times New Roman" w:hAnsiTheme="majorHAnsi" w:cstheme="majorHAnsi"/>
          <w:sz w:val="23"/>
          <w:szCs w:val="23"/>
          <w:lang w:eastAsia="en-GB"/>
        </w:rPr>
        <w:t>-two</w:t>
      </w:r>
      <w:r w:rsidRPr="00BC19B6">
        <w:rPr>
          <w:rFonts w:asciiTheme="majorHAnsi" w:eastAsia="Times New Roman" w:hAnsiTheme="majorHAnsi" w:cstheme="majorHAnsi"/>
          <w:sz w:val="23"/>
          <w:szCs w:val="23"/>
          <w:lang w:eastAsia="en-GB"/>
        </w:rPr>
        <w:t xml:space="preserve"> articles focused on the social and economic factors that drive outcomes for </w:t>
      </w:r>
      <w:r>
        <w:rPr>
          <w:rFonts w:asciiTheme="majorHAnsi" w:eastAsia="Times New Roman" w:hAnsiTheme="majorHAnsi" w:cstheme="majorHAnsi"/>
          <w:sz w:val="23"/>
          <w:szCs w:val="23"/>
          <w:lang w:eastAsia="en-GB"/>
        </w:rPr>
        <w:t>communities affected by disadvantage</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Table </w:t>
      </w:r>
      <w:r w:rsidR="007B3453">
        <w:rPr>
          <w:rFonts w:asciiTheme="majorHAnsi" w:eastAsia="Times New Roman" w:hAnsiTheme="majorHAnsi" w:cstheme="majorHAnsi"/>
          <w:sz w:val="23"/>
          <w:szCs w:val="23"/>
          <w:lang w:eastAsia="en-GB"/>
        </w:rPr>
        <w:t>3.2</w:t>
      </w:r>
      <w:r>
        <w:rPr>
          <w:rFonts w:asciiTheme="majorHAnsi" w:eastAsia="Times New Roman" w:hAnsiTheme="majorHAnsi" w:cstheme="majorHAnsi"/>
          <w:sz w:val="23"/>
          <w:szCs w:val="23"/>
          <w:lang w:eastAsia="en-GB"/>
        </w:rPr>
        <w:t xml:space="preserve"> shows the</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geographic </w:t>
      </w:r>
      <w:r w:rsidRPr="00BC19B6">
        <w:rPr>
          <w:rFonts w:asciiTheme="majorHAnsi" w:eastAsia="Times New Roman" w:hAnsiTheme="majorHAnsi" w:cstheme="majorHAnsi"/>
          <w:sz w:val="23"/>
          <w:szCs w:val="23"/>
          <w:lang w:eastAsia="en-GB"/>
        </w:rPr>
        <w:t xml:space="preserve">spread </w:t>
      </w:r>
      <w:r>
        <w:rPr>
          <w:rFonts w:asciiTheme="majorHAnsi" w:eastAsia="Times New Roman" w:hAnsiTheme="majorHAnsi" w:cstheme="majorHAnsi"/>
          <w:sz w:val="23"/>
          <w:szCs w:val="23"/>
          <w:lang w:eastAsia="en-GB"/>
        </w:rPr>
        <w:t>of studies.</w:t>
      </w:r>
      <w:r w:rsidR="00203685">
        <w:rPr>
          <w:rFonts w:asciiTheme="majorHAnsi" w:eastAsia="Times New Roman" w:hAnsiTheme="majorHAnsi" w:cstheme="majorHAnsi"/>
          <w:sz w:val="23"/>
          <w:szCs w:val="23"/>
          <w:lang w:eastAsia="en-GB"/>
        </w:rPr>
        <w:t xml:space="preserve"> </w:t>
      </w:r>
      <w:r w:rsidRPr="00BC19B6">
        <w:rPr>
          <w:rFonts w:asciiTheme="majorHAnsi" w:eastAsia="Times New Roman" w:hAnsiTheme="majorHAnsi" w:cstheme="majorHAnsi"/>
          <w:sz w:val="23"/>
          <w:szCs w:val="23"/>
          <w:lang w:eastAsia="en-GB"/>
        </w:rPr>
        <w:t>The bulk of studies (60</w:t>
      </w:r>
      <w:r>
        <w:rPr>
          <w:rFonts w:asciiTheme="majorHAnsi" w:eastAsia="Times New Roman" w:hAnsiTheme="majorHAnsi" w:cstheme="majorHAnsi"/>
          <w:sz w:val="23"/>
          <w:szCs w:val="23"/>
          <w:lang w:eastAsia="en-GB"/>
        </w:rPr>
        <w:t xml:space="preserve"> percent</w:t>
      </w:r>
      <w:r w:rsidRPr="00BC19B6">
        <w:rPr>
          <w:rFonts w:asciiTheme="majorHAnsi" w:eastAsia="Times New Roman" w:hAnsiTheme="majorHAnsi" w:cstheme="majorHAnsi"/>
          <w:sz w:val="23"/>
          <w:szCs w:val="23"/>
          <w:lang w:eastAsia="en-GB"/>
        </w:rPr>
        <w:t xml:space="preserve">) were from the US and Australia. While </w:t>
      </w:r>
      <w:r>
        <w:rPr>
          <w:rFonts w:asciiTheme="majorHAnsi" w:eastAsia="Times New Roman" w:hAnsiTheme="majorHAnsi" w:cstheme="majorHAnsi"/>
          <w:sz w:val="23"/>
          <w:szCs w:val="23"/>
          <w:lang w:eastAsia="en-GB"/>
        </w:rPr>
        <w:t xml:space="preserve">filtering </w:t>
      </w:r>
      <w:r w:rsidRPr="00BC19B6">
        <w:rPr>
          <w:rFonts w:asciiTheme="majorHAnsi" w:eastAsia="Times New Roman" w:hAnsiTheme="majorHAnsi" w:cstheme="majorHAnsi"/>
          <w:sz w:val="23"/>
          <w:szCs w:val="23"/>
          <w:lang w:eastAsia="en-GB"/>
        </w:rPr>
        <w:t xml:space="preserve">results for relevance to the research question biased Australian articles, the high number of Australian studies </w:t>
      </w:r>
      <w:r>
        <w:rPr>
          <w:rFonts w:asciiTheme="majorHAnsi" w:eastAsia="Times New Roman" w:hAnsiTheme="majorHAnsi" w:cstheme="majorHAnsi"/>
          <w:sz w:val="23"/>
          <w:szCs w:val="23"/>
          <w:lang w:eastAsia="en-GB"/>
        </w:rPr>
        <w:t xml:space="preserve">nevertheless </w:t>
      </w:r>
      <w:r w:rsidRPr="00BC19B6">
        <w:rPr>
          <w:rFonts w:asciiTheme="majorHAnsi" w:eastAsia="Times New Roman" w:hAnsiTheme="majorHAnsi" w:cstheme="majorHAnsi"/>
          <w:sz w:val="23"/>
          <w:szCs w:val="23"/>
          <w:lang w:eastAsia="en-GB"/>
        </w:rPr>
        <w:t xml:space="preserve">reflects a large body of work by Australian researchers in this area. </w:t>
      </w:r>
    </w:p>
    <w:p w14:paraId="4573754E" w14:textId="77777777" w:rsidR="00203685" w:rsidRPr="00203685" w:rsidRDefault="00203685" w:rsidP="00203685">
      <w:pPr>
        <w:spacing w:after="0" w:line="276" w:lineRule="auto"/>
        <w:rPr>
          <w:rFonts w:asciiTheme="majorHAnsi" w:eastAsia="Times New Roman" w:hAnsiTheme="majorHAnsi" w:cstheme="majorHAnsi"/>
          <w:sz w:val="10"/>
          <w:szCs w:val="10"/>
          <w:lang w:eastAsia="en-GB"/>
        </w:rPr>
      </w:pPr>
    </w:p>
    <w:tbl>
      <w:tblPr>
        <w:tblStyle w:val="TableGrid"/>
        <w:tblW w:w="0" w:type="auto"/>
        <w:tblLook w:val="04A0" w:firstRow="1" w:lastRow="0" w:firstColumn="1" w:lastColumn="0" w:noHBand="0" w:noVBand="1"/>
      </w:tblPr>
      <w:tblGrid>
        <w:gridCol w:w="4505"/>
        <w:gridCol w:w="1302"/>
      </w:tblGrid>
      <w:tr w:rsidR="00203685" w:rsidRPr="00747C28" w14:paraId="1648B747" w14:textId="77777777" w:rsidTr="0055618E">
        <w:tc>
          <w:tcPr>
            <w:tcW w:w="4505" w:type="dxa"/>
            <w:shd w:val="clear" w:color="auto" w:fill="D9D9D9" w:themeFill="background1" w:themeFillShade="D9"/>
          </w:tcPr>
          <w:p w14:paraId="79681DAE" w14:textId="77777777" w:rsidR="00203685" w:rsidRPr="00747C28" w:rsidRDefault="00203685" w:rsidP="0055618E">
            <w:pPr>
              <w:spacing w:line="276" w:lineRule="auto"/>
              <w:contextualSpacing/>
              <w:rPr>
                <w:rFonts w:eastAsia="Times New Roman" w:cstheme="minorHAnsi"/>
                <w:b/>
                <w:bCs/>
                <w:sz w:val="21"/>
                <w:szCs w:val="21"/>
                <w:lang w:eastAsia="en-GB"/>
              </w:rPr>
            </w:pPr>
            <w:r w:rsidRPr="00747C28">
              <w:rPr>
                <w:rFonts w:eastAsia="Times New Roman" w:cstheme="minorHAnsi"/>
                <w:b/>
                <w:bCs/>
                <w:sz w:val="21"/>
                <w:szCs w:val="21"/>
                <w:lang w:eastAsia="en-GB"/>
              </w:rPr>
              <w:t>Country</w:t>
            </w:r>
          </w:p>
        </w:tc>
        <w:tc>
          <w:tcPr>
            <w:tcW w:w="1302" w:type="dxa"/>
            <w:shd w:val="clear" w:color="auto" w:fill="D9D9D9" w:themeFill="background1" w:themeFillShade="D9"/>
          </w:tcPr>
          <w:p w14:paraId="2A478F14" w14:textId="77777777" w:rsidR="00203685" w:rsidRPr="00747C28" w:rsidRDefault="00203685" w:rsidP="0055618E">
            <w:pPr>
              <w:spacing w:line="276" w:lineRule="auto"/>
              <w:contextualSpacing/>
              <w:rPr>
                <w:rFonts w:eastAsia="Times New Roman" w:cstheme="minorHAnsi"/>
                <w:b/>
                <w:bCs/>
                <w:sz w:val="21"/>
                <w:szCs w:val="21"/>
                <w:lang w:eastAsia="en-GB"/>
              </w:rPr>
            </w:pPr>
            <w:r w:rsidRPr="00747C28">
              <w:rPr>
                <w:rFonts w:eastAsia="Times New Roman" w:cstheme="minorHAnsi"/>
                <w:b/>
                <w:bCs/>
                <w:sz w:val="21"/>
                <w:szCs w:val="21"/>
                <w:lang w:eastAsia="en-GB"/>
              </w:rPr>
              <w:t># studies</w:t>
            </w:r>
          </w:p>
        </w:tc>
      </w:tr>
      <w:tr w:rsidR="00203685" w:rsidRPr="00066DB6" w14:paraId="0E7037D6" w14:textId="77777777" w:rsidTr="0055618E">
        <w:tc>
          <w:tcPr>
            <w:tcW w:w="4505" w:type="dxa"/>
          </w:tcPr>
          <w:p w14:paraId="7EABDD6E"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 xml:space="preserve">Australia </w:t>
            </w:r>
          </w:p>
        </w:tc>
        <w:tc>
          <w:tcPr>
            <w:tcW w:w="1302" w:type="dxa"/>
          </w:tcPr>
          <w:p w14:paraId="225ABF79"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27</w:t>
            </w:r>
          </w:p>
        </w:tc>
      </w:tr>
      <w:tr w:rsidR="00203685" w:rsidRPr="00066DB6" w14:paraId="678F8C25" w14:textId="77777777" w:rsidTr="0055618E">
        <w:tc>
          <w:tcPr>
            <w:tcW w:w="4505" w:type="dxa"/>
          </w:tcPr>
          <w:p w14:paraId="021ACD09"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 xml:space="preserve">Canada </w:t>
            </w:r>
          </w:p>
        </w:tc>
        <w:tc>
          <w:tcPr>
            <w:tcW w:w="1302" w:type="dxa"/>
          </w:tcPr>
          <w:p w14:paraId="59387FE6"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5</w:t>
            </w:r>
          </w:p>
        </w:tc>
      </w:tr>
      <w:tr w:rsidR="00203685" w:rsidRPr="00066DB6" w14:paraId="6E18B648" w14:textId="77777777" w:rsidTr="0055618E">
        <w:tc>
          <w:tcPr>
            <w:tcW w:w="4505" w:type="dxa"/>
          </w:tcPr>
          <w:p w14:paraId="09006660"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 xml:space="preserve">Europe </w:t>
            </w:r>
          </w:p>
        </w:tc>
        <w:tc>
          <w:tcPr>
            <w:tcW w:w="1302" w:type="dxa"/>
          </w:tcPr>
          <w:p w14:paraId="6F6418CF"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2</w:t>
            </w:r>
          </w:p>
        </w:tc>
      </w:tr>
      <w:tr w:rsidR="00203685" w:rsidRPr="00066DB6" w14:paraId="07378339" w14:textId="77777777" w:rsidTr="0055618E">
        <w:tc>
          <w:tcPr>
            <w:tcW w:w="4505" w:type="dxa"/>
          </w:tcPr>
          <w:p w14:paraId="4515D660"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 xml:space="preserve">Global </w:t>
            </w:r>
          </w:p>
        </w:tc>
        <w:tc>
          <w:tcPr>
            <w:tcW w:w="1302" w:type="dxa"/>
          </w:tcPr>
          <w:p w14:paraId="71CE0234"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9</w:t>
            </w:r>
          </w:p>
        </w:tc>
      </w:tr>
      <w:tr w:rsidR="00203685" w:rsidRPr="00066DB6" w14:paraId="371E93EF" w14:textId="77777777" w:rsidTr="0055618E">
        <w:tc>
          <w:tcPr>
            <w:tcW w:w="4505" w:type="dxa"/>
          </w:tcPr>
          <w:p w14:paraId="77B1DEC5"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 xml:space="preserve">Netherlands </w:t>
            </w:r>
          </w:p>
        </w:tc>
        <w:tc>
          <w:tcPr>
            <w:tcW w:w="1302" w:type="dxa"/>
          </w:tcPr>
          <w:p w14:paraId="7DBC2D30"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1</w:t>
            </w:r>
          </w:p>
        </w:tc>
      </w:tr>
      <w:tr w:rsidR="00203685" w:rsidRPr="00066DB6" w14:paraId="427F53D6" w14:textId="77777777" w:rsidTr="0055618E">
        <w:tc>
          <w:tcPr>
            <w:tcW w:w="4505" w:type="dxa"/>
          </w:tcPr>
          <w:p w14:paraId="2B1DF74A"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New Zealand</w:t>
            </w:r>
          </w:p>
        </w:tc>
        <w:tc>
          <w:tcPr>
            <w:tcW w:w="1302" w:type="dxa"/>
          </w:tcPr>
          <w:p w14:paraId="37A4A5F4"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1</w:t>
            </w:r>
          </w:p>
        </w:tc>
      </w:tr>
      <w:tr w:rsidR="00203685" w:rsidRPr="00066DB6" w14:paraId="7C1B2851" w14:textId="77777777" w:rsidTr="0055618E">
        <w:tc>
          <w:tcPr>
            <w:tcW w:w="4505" w:type="dxa"/>
          </w:tcPr>
          <w:p w14:paraId="29C01C8C"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 xml:space="preserve">Non-context specific </w:t>
            </w:r>
          </w:p>
        </w:tc>
        <w:tc>
          <w:tcPr>
            <w:tcW w:w="1302" w:type="dxa"/>
          </w:tcPr>
          <w:p w14:paraId="4A13FE9A"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5</w:t>
            </w:r>
          </w:p>
        </w:tc>
      </w:tr>
      <w:tr w:rsidR="00203685" w:rsidRPr="00066DB6" w14:paraId="253C3760" w14:textId="77777777" w:rsidTr="0055618E">
        <w:tc>
          <w:tcPr>
            <w:tcW w:w="4505" w:type="dxa"/>
          </w:tcPr>
          <w:p w14:paraId="38E6AB7B"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 xml:space="preserve">Norway </w:t>
            </w:r>
          </w:p>
        </w:tc>
        <w:tc>
          <w:tcPr>
            <w:tcW w:w="1302" w:type="dxa"/>
          </w:tcPr>
          <w:p w14:paraId="044D517F"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1</w:t>
            </w:r>
          </w:p>
        </w:tc>
      </w:tr>
      <w:tr w:rsidR="00203685" w:rsidRPr="00066DB6" w14:paraId="6F35669C" w14:textId="77777777" w:rsidTr="0055618E">
        <w:tc>
          <w:tcPr>
            <w:tcW w:w="4505" w:type="dxa"/>
          </w:tcPr>
          <w:p w14:paraId="1225273C"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 xml:space="preserve">UK </w:t>
            </w:r>
          </w:p>
        </w:tc>
        <w:tc>
          <w:tcPr>
            <w:tcW w:w="1302" w:type="dxa"/>
          </w:tcPr>
          <w:p w14:paraId="365ED59B"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10</w:t>
            </w:r>
          </w:p>
        </w:tc>
      </w:tr>
      <w:tr w:rsidR="00203685" w:rsidRPr="00066DB6" w14:paraId="1C3B6E15" w14:textId="77777777" w:rsidTr="0055618E">
        <w:tc>
          <w:tcPr>
            <w:tcW w:w="4505" w:type="dxa"/>
          </w:tcPr>
          <w:p w14:paraId="6EAE5D90"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US</w:t>
            </w:r>
          </w:p>
        </w:tc>
        <w:tc>
          <w:tcPr>
            <w:tcW w:w="1302" w:type="dxa"/>
          </w:tcPr>
          <w:p w14:paraId="324856EC" w14:textId="77777777" w:rsidR="00203685" w:rsidRPr="00066DB6" w:rsidRDefault="00203685" w:rsidP="0055618E">
            <w:pPr>
              <w:spacing w:line="276" w:lineRule="auto"/>
              <w:contextualSpacing/>
              <w:rPr>
                <w:rFonts w:asciiTheme="majorHAnsi" w:eastAsia="Times New Roman" w:hAnsiTheme="majorHAnsi" w:cstheme="majorHAnsi"/>
                <w:lang w:eastAsia="en-GB"/>
              </w:rPr>
            </w:pPr>
            <w:r w:rsidRPr="00066DB6">
              <w:rPr>
                <w:rFonts w:asciiTheme="majorHAnsi" w:eastAsia="Times New Roman" w:hAnsiTheme="majorHAnsi" w:cstheme="majorHAnsi"/>
                <w:lang w:eastAsia="en-GB"/>
              </w:rPr>
              <w:t>21</w:t>
            </w:r>
          </w:p>
        </w:tc>
      </w:tr>
    </w:tbl>
    <w:p w14:paraId="2EFAE702" w14:textId="77777777" w:rsidR="00203685" w:rsidRPr="007B3453" w:rsidRDefault="00203685" w:rsidP="00203685">
      <w:pPr>
        <w:spacing w:after="0" w:line="276" w:lineRule="auto"/>
        <w:contextualSpacing/>
        <w:rPr>
          <w:rFonts w:eastAsia="Times New Roman" w:cstheme="minorHAnsi"/>
          <w:b/>
          <w:bCs/>
          <w:sz w:val="21"/>
          <w:szCs w:val="21"/>
          <w:lang w:eastAsia="en-GB"/>
        </w:rPr>
      </w:pPr>
      <w:r w:rsidRPr="007B3453">
        <w:rPr>
          <w:rFonts w:eastAsia="Times New Roman" w:cstheme="minorHAnsi"/>
          <w:b/>
          <w:bCs/>
          <w:sz w:val="21"/>
          <w:szCs w:val="21"/>
          <w:lang w:eastAsia="en-GB"/>
        </w:rPr>
        <w:t>Table 3.2: Countries of Study in the Sampled Literature</w:t>
      </w:r>
    </w:p>
    <w:p w14:paraId="6A7D0739" w14:textId="77777777" w:rsidR="00203685" w:rsidRPr="00203685" w:rsidRDefault="00203685" w:rsidP="00203685">
      <w:pPr>
        <w:spacing w:after="0" w:line="276" w:lineRule="auto"/>
        <w:contextualSpacing/>
        <w:rPr>
          <w:rFonts w:asciiTheme="majorHAnsi" w:eastAsia="Times New Roman" w:hAnsiTheme="majorHAnsi" w:cstheme="majorHAnsi"/>
          <w:b/>
          <w:bCs/>
          <w:sz w:val="10"/>
          <w:szCs w:val="10"/>
          <w:lang w:eastAsia="en-GB"/>
        </w:rPr>
      </w:pPr>
    </w:p>
    <w:p w14:paraId="598B0B31" w14:textId="77777777" w:rsidR="00203685" w:rsidRPr="00A70064" w:rsidRDefault="00203685" w:rsidP="00203685">
      <w:pPr>
        <w:spacing w:after="0" w:line="276" w:lineRule="auto"/>
        <w:contextualSpacing/>
        <w:rPr>
          <w:rFonts w:eastAsia="Times New Roman" w:cstheme="minorHAnsi"/>
          <w:b/>
          <w:bCs/>
          <w:sz w:val="25"/>
          <w:szCs w:val="25"/>
          <w:lang w:eastAsia="en-GB"/>
        </w:rPr>
      </w:pPr>
      <w:r w:rsidRPr="00A70064">
        <w:rPr>
          <w:rFonts w:eastAsia="Times New Roman" w:cstheme="minorHAnsi"/>
          <w:b/>
          <w:bCs/>
          <w:sz w:val="25"/>
          <w:szCs w:val="25"/>
          <w:lang w:eastAsia="en-GB"/>
        </w:rPr>
        <w:t xml:space="preserve">Socioeconomic Factors in Relation to </w:t>
      </w:r>
      <w:r>
        <w:rPr>
          <w:rFonts w:eastAsia="Times New Roman" w:cstheme="minorHAnsi"/>
          <w:b/>
          <w:bCs/>
          <w:sz w:val="25"/>
          <w:szCs w:val="25"/>
          <w:lang w:eastAsia="en-GB"/>
        </w:rPr>
        <w:t>Practice Domain</w:t>
      </w:r>
      <w:r w:rsidRPr="00A70064">
        <w:rPr>
          <w:rFonts w:eastAsia="Times New Roman" w:cstheme="minorHAnsi"/>
          <w:b/>
          <w:bCs/>
          <w:sz w:val="25"/>
          <w:szCs w:val="25"/>
          <w:lang w:eastAsia="en-GB"/>
        </w:rPr>
        <w:t>s</w:t>
      </w:r>
    </w:p>
    <w:p w14:paraId="46394FCF" w14:textId="77777777" w:rsidR="00203685" w:rsidRPr="00203685" w:rsidRDefault="00203685" w:rsidP="00203685">
      <w:pPr>
        <w:spacing w:after="0" w:line="276" w:lineRule="auto"/>
        <w:contextualSpacing/>
        <w:rPr>
          <w:rFonts w:asciiTheme="majorHAnsi" w:eastAsia="Times New Roman" w:hAnsiTheme="majorHAnsi" w:cstheme="majorHAnsi"/>
          <w:sz w:val="10"/>
          <w:szCs w:val="10"/>
          <w:lang w:eastAsia="en-GB"/>
        </w:rPr>
      </w:pPr>
    </w:p>
    <w:p w14:paraId="1FB79F74" w14:textId="77777777" w:rsidR="00203685" w:rsidRPr="00BC19B6" w:rsidRDefault="00203685" w:rsidP="00203685">
      <w:pPr>
        <w:spacing w:after="0" w:line="276" w:lineRule="auto"/>
        <w:contextualSpacing/>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 xml:space="preserve">Table 3.3 (below) below shows the </w:t>
      </w:r>
      <w:r w:rsidRPr="00BC19B6">
        <w:rPr>
          <w:rFonts w:asciiTheme="majorHAnsi" w:eastAsia="Times New Roman" w:hAnsiTheme="majorHAnsi" w:cstheme="majorHAnsi"/>
          <w:sz w:val="23"/>
          <w:szCs w:val="23"/>
          <w:lang w:eastAsia="en-GB"/>
        </w:rPr>
        <w:t xml:space="preserve">spread of </w:t>
      </w:r>
      <w:r>
        <w:rPr>
          <w:rFonts w:asciiTheme="majorHAnsi" w:eastAsia="Times New Roman" w:hAnsiTheme="majorHAnsi" w:cstheme="majorHAnsi"/>
          <w:sz w:val="23"/>
          <w:szCs w:val="23"/>
          <w:lang w:eastAsia="en-GB"/>
        </w:rPr>
        <w:t>Practice Domain</w:t>
      </w:r>
      <w:r w:rsidRPr="00BC19B6">
        <w:rPr>
          <w:rFonts w:asciiTheme="majorHAnsi" w:eastAsia="Times New Roman" w:hAnsiTheme="majorHAnsi" w:cstheme="majorHAnsi"/>
          <w:sz w:val="23"/>
          <w:szCs w:val="23"/>
          <w:lang w:eastAsia="en-GB"/>
        </w:rPr>
        <w:t>s across the article</w:t>
      </w:r>
      <w:r>
        <w:rPr>
          <w:rFonts w:asciiTheme="majorHAnsi" w:eastAsia="Times New Roman" w:hAnsiTheme="majorHAnsi" w:cstheme="majorHAnsi"/>
          <w:sz w:val="23"/>
          <w:szCs w:val="23"/>
          <w:lang w:eastAsia="en-GB"/>
        </w:rPr>
        <w:t>s.</w:t>
      </w:r>
    </w:p>
    <w:p w14:paraId="626CE427" w14:textId="77777777" w:rsidR="00203685" w:rsidRPr="00203685" w:rsidRDefault="00203685" w:rsidP="00203685">
      <w:pPr>
        <w:spacing w:after="0" w:line="276" w:lineRule="auto"/>
        <w:contextualSpacing/>
        <w:rPr>
          <w:rFonts w:asciiTheme="majorHAnsi" w:eastAsia="Times New Roman" w:hAnsiTheme="majorHAnsi" w:cstheme="majorHAnsi"/>
          <w:sz w:val="10"/>
          <w:szCs w:val="10"/>
          <w:lang w:eastAsia="en-GB"/>
        </w:rPr>
      </w:pPr>
    </w:p>
    <w:tbl>
      <w:tblPr>
        <w:tblStyle w:val="TableGrid"/>
        <w:tblW w:w="0" w:type="auto"/>
        <w:tblLook w:val="04A0" w:firstRow="1" w:lastRow="0" w:firstColumn="1" w:lastColumn="0" w:noHBand="0" w:noVBand="1"/>
      </w:tblPr>
      <w:tblGrid>
        <w:gridCol w:w="4505"/>
        <w:gridCol w:w="1302"/>
      </w:tblGrid>
      <w:tr w:rsidR="00203685" w:rsidRPr="002851FA" w14:paraId="39AB25EA" w14:textId="77777777" w:rsidTr="0055618E">
        <w:tc>
          <w:tcPr>
            <w:tcW w:w="4505" w:type="dxa"/>
            <w:shd w:val="clear" w:color="auto" w:fill="D0CECE" w:themeFill="background2" w:themeFillShade="E6"/>
          </w:tcPr>
          <w:p w14:paraId="0679A328" w14:textId="77777777" w:rsidR="00203685" w:rsidRPr="002851FA" w:rsidRDefault="00203685" w:rsidP="0055618E">
            <w:pPr>
              <w:spacing w:line="276" w:lineRule="auto"/>
              <w:contextualSpacing/>
              <w:rPr>
                <w:rFonts w:eastAsia="Times New Roman" w:cstheme="minorHAnsi"/>
                <w:b/>
                <w:bCs/>
                <w:lang w:eastAsia="en-GB"/>
              </w:rPr>
            </w:pPr>
            <w:r>
              <w:rPr>
                <w:rFonts w:eastAsia="Times New Roman" w:cstheme="minorHAnsi"/>
                <w:b/>
                <w:bCs/>
                <w:lang w:eastAsia="en-GB"/>
              </w:rPr>
              <w:t>Practice Domain</w:t>
            </w:r>
          </w:p>
        </w:tc>
        <w:tc>
          <w:tcPr>
            <w:tcW w:w="1302" w:type="dxa"/>
            <w:shd w:val="clear" w:color="auto" w:fill="D0CECE" w:themeFill="background2" w:themeFillShade="E6"/>
          </w:tcPr>
          <w:p w14:paraId="0374FA18" w14:textId="77777777" w:rsidR="00203685" w:rsidRPr="002851FA" w:rsidRDefault="00203685" w:rsidP="0055618E">
            <w:pPr>
              <w:spacing w:line="276" w:lineRule="auto"/>
              <w:contextualSpacing/>
              <w:rPr>
                <w:rFonts w:eastAsia="Times New Roman" w:cstheme="minorHAnsi"/>
                <w:b/>
                <w:bCs/>
                <w:lang w:eastAsia="en-GB"/>
              </w:rPr>
            </w:pPr>
            <w:r w:rsidRPr="002851FA">
              <w:rPr>
                <w:rFonts w:eastAsia="Times New Roman" w:cstheme="minorHAnsi"/>
                <w:b/>
                <w:bCs/>
                <w:lang w:eastAsia="en-GB"/>
              </w:rPr>
              <w:t># studies</w:t>
            </w:r>
          </w:p>
        </w:tc>
      </w:tr>
      <w:tr w:rsidR="00203685" w:rsidRPr="00376FC3" w14:paraId="35062776" w14:textId="77777777" w:rsidTr="0055618E">
        <w:tc>
          <w:tcPr>
            <w:tcW w:w="4505" w:type="dxa"/>
          </w:tcPr>
          <w:p w14:paraId="75DA4883"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 xml:space="preserve">All </w:t>
            </w:r>
            <w:r>
              <w:rPr>
                <w:rFonts w:asciiTheme="majorHAnsi" w:eastAsia="Times New Roman" w:hAnsiTheme="majorHAnsi" w:cstheme="majorHAnsi"/>
                <w:lang w:eastAsia="en-GB"/>
              </w:rPr>
              <w:t>Practice Domain</w:t>
            </w:r>
            <w:r w:rsidRPr="00376FC3">
              <w:rPr>
                <w:rFonts w:asciiTheme="majorHAnsi" w:eastAsia="Times New Roman" w:hAnsiTheme="majorHAnsi" w:cstheme="majorHAnsi"/>
                <w:lang w:eastAsia="en-GB"/>
              </w:rPr>
              <w:t>s</w:t>
            </w:r>
          </w:p>
        </w:tc>
        <w:tc>
          <w:tcPr>
            <w:tcW w:w="1302" w:type="dxa"/>
          </w:tcPr>
          <w:p w14:paraId="521CC6DF"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16</w:t>
            </w:r>
          </w:p>
        </w:tc>
      </w:tr>
      <w:tr w:rsidR="00203685" w:rsidRPr="00376FC3" w14:paraId="6364EB09" w14:textId="77777777" w:rsidTr="0055618E">
        <w:tc>
          <w:tcPr>
            <w:tcW w:w="4505" w:type="dxa"/>
          </w:tcPr>
          <w:p w14:paraId="4824BA86"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Education</w:t>
            </w:r>
          </w:p>
        </w:tc>
        <w:tc>
          <w:tcPr>
            <w:tcW w:w="1302" w:type="dxa"/>
          </w:tcPr>
          <w:p w14:paraId="44148CA8"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5</w:t>
            </w:r>
          </w:p>
        </w:tc>
      </w:tr>
      <w:tr w:rsidR="00203685" w:rsidRPr="00376FC3" w14:paraId="71AF080E" w14:textId="77777777" w:rsidTr="0055618E">
        <w:tc>
          <w:tcPr>
            <w:tcW w:w="4505" w:type="dxa"/>
          </w:tcPr>
          <w:p w14:paraId="3199A897"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Education, Housing, Health &amp; Wellbeing</w:t>
            </w:r>
          </w:p>
        </w:tc>
        <w:tc>
          <w:tcPr>
            <w:tcW w:w="1302" w:type="dxa"/>
          </w:tcPr>
          <w:p w14:paraId="6EE5670B"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1</w:t>
            </w:r>
          </w:p>
        </w:tc>
      </w:tr>
      <w:tr w:rsidR="00203685" w:rsidRPr="00376FC3" w14:paraId="40FC7A9F" w14:textId="77777777" w:rsidTr="0055618E">
        <w:tc>
          <w:tcPr>
            <w:tcW w:w="4505" w:type="dxa"/>
          </w:tcPr>
          <w:p w14:paraId="62D4F30D"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Employment</w:t>
            </w:r>
          </w:p>
        </w:tc>
        <w:tc>
          <w:tcPr>
            <w:tcW w:w="1302" w:type="dxa"/>
          </w:tcPr>
          <w:p w14:paraId="1E7D1E34"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2</w:t>
            </w:r>
          </w:p>
        </w:tc>
      </w:tr>
      <w:tr w:rsidR="00203685" w:rsidRPr="00376FC3" w14:paraId="3E87ADA8" w14:textId="77777777" w:rsidTr="0055618E">
        <w:tc>
          <w:tcPr>
            <w:tcW w:w="4505" w:type="dxa"/>
          </w:tcPr>
          <w:p w14:paraId="30F8F569"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Employment, Health &amp; Wellbeing</w:t>
            </w:r>
          </w:p>
        </w:tc>
        <w:tc>
          <w:tcPr>
            <w:tcW w:w="1302" w:type="dxa"/>
          </w:tcPr>
          <w:p w14:paraId="59EB9A34"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2</w:t>
            </w:r>
          </w:p>
        </w:tc>
      </w:tr>
      <w:tr w:rsidR="00203685" w:rsidRPr="00376FC3" w14:paraId="6DEE235F" w14:textId="77777777" w:rsidTr="0055618E">
        <w:tc>
          <w:tcPr>
            <w:tcW w:w="4505" w:type="dxa"/>
          </w:tcPr>
          <w:p w14:paraId="761DEE07"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Health &amp; Wellbeing</w:t>
            </w:r>
          </w:p>
        </w:tc>
        <w:tc>
          <w:tcPr>
            <w:tcW w:w="1302" w:type="dxa"/>
          </w:tcPr>
          <w:p w14:paraId="7541873D"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30</w:t>
            </w:r>
          </w:p>
        </w:tc>
      </w:tr>
      <w:tr w:rsidR="00203685" w:rsidRPr="00376FC3" w14:paraId="5512F9BC" w14:textId="77777777" w:rsidTr="0055618E">
        <w:tc>
          <w:tcPr>
            <w:tcW w:w="4505" w:type="dxa"/>
          </w:tcPr>
          <w:p w14:paraId="63CFE939"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Health &amp; Wellbeing, Liveability</w:t>
            </w:r>
          </w:p>
        </w:tc>
        <w:tc>
          <w:tcPr>
            <w:tcW w:w="1302" w:type="dxa"/>
          </w:tcPr>
          <w:p w14:paraId="3A331755"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1</w:t>
            </w:r>
          </w:p>
        </w:tc>
      </w:tr>
      <w:tr w:rsidR="00203685" w:rsidRPr="00376FC3" w14:paraId="07F139E5" w14:textId="77777777" w:rsidTr="0055618E">
        <w:tc>
          <w:tcPr>
            <w:tcW w:w="4505" w:type="dxa"/>
          </w:tcPr>
          <w:p w14:paraId="540383AD"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Housing</w:t>
            </w:r>
          </w:p>
        </w:tc>
        <w:tc>
          <w:tcPr>
            <w:tcW w:w="1302" w:type="dxa"/>
          </w:tcPr>
          <w:p w14:paraId="25DF70A5"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9</w:t>
            </w:r>
          </w:p>
        </w:tc>
      </w:tr>
      <w:tr w:rsidR="00203685" w:rsidRPr="00376FC3" w14:paraId="055673BF" w14:textId="77777777" w:rsidTr="0055618E">
        <w:tc>
          <w:tcPr>
            <w:tcW w:w="4505" w:type="dxa"/>
          </w:tcPr>
          <w:p w14:paraId="4C46B266"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Housing, Employment</w:t>
            </w:r>
          </w:p>
        </w:tc>
        <w:tc>
          <w:tcPr>
            <w:tcW w:w="1302" w:type="dxa"/>
          </w:tcPr>
          <w:p w14:paraId="4F36D356"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2</w:t>
            </w:r>
          </w:p>
        </w:tc>
      </w:tr>
      <w:tr w:rsidR="00203685" w:rsidRPr="00376FC3" w14:paraId="19AA1264" w14:textId="77777777" w:rsidTr="0055618E">
        <w:tc>
          <w:tcPr>
            <w:tcW w:w="4505" w:type="dxa"/>
          </w:tcPr>
          <w:p w14:paraId="60A31045"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Housing, Health &amp; Wellbeing</w:t>
            </w:r>
          </w:p>
        </w:tc>
        <w:tc>
          <w:tcPr>
            <w:tcW w:w="1302" w:type="dxa"/>
          </w:tcPr>
          <w:p w14:paraId="6AB41582"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5</w:t>
            </w:r>
          </w:p>
        </w:tc>
      </w:tr>
      <w:tr w:rsidR="00203685" w:rsidRPr="00376FC3" w14:paraId="196DBE95" w14:textId="77777777" w:rsidTr="0055618E">
        <w:tc>
          <w:tcPr>
            <w:tcW w:w="4505" w:type="dxa"/>
          </w:tcPr>
          <w:p w14:paraId="2C904AF7"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Housing, Liveability, Health &amp; Wellbeing</w:t>
            </w:r>
          </w:p>
        </w:tc>
        <w:tc>
          <w:tcPr>
            <w:tcW w:w="1302" w:type="dxa"/>
          </w:tcPr>
          <w:p w14:paraId="3698A7E5"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1</w:t>
            </w:r>
          </w:p>
        </w:tc>
      </w:tr>
      <w:tr w:rsidR="00203685" w:rsidRPr="00376FC3" w14:paraId="64D29A4A" w14:textId="77777777" w:rsidTr="0055618E">
        <w:tc>
          <w:tcPr>
            <w:tcW w:w="4505" w:type="dxa"/>
          </w:tcPr>
          <w:p w14:paraId="22350B0F"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Liveability</w:t>
            </w:r>
          </w:p>
        </w:tc>
        <w:tc>
          <w:tcPr>
            <w:tcW w:w="1302" w:type="dxa"/>
          </w:tcPr>
          <w:p w14:paraId="67F60960"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4</w:t>
            </w:r>
          </w:p>
        </w:tc>
      </w:tr>
      <w:tr w:rsidR="00203685" w:rsidRPr="00376FC3" w14:paraId="7B3C7EC1" w14:textId="77777777" w:rsidTr="0055618E">
        <w:tc>
          <w:tcPr>
            <w:tcW w:w="4505" w:type="dxa"/>
          </w:tcPr>
          <w:p w14:paraId="7E75F0BB"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Liveability, Health &amp; Wellbeing</w:t>
            </w:r>
          </w:p>
        </w:tc>
        <w:tc>
          <w:tcPr>
            <w:tcW w:w="1302" w:type="dxa"/>
          </w:tcPr>
          <w:p w14:paraId="0DA12CB3" w14:textId="77777777" w:rsidR="00203685" w:rsidRPr="00376FC3" w:rsidRDefault="00203685" w:rsidP="0055618E">
            <w:pPr>
              <w:spacing w:line="276"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lang w:eastAsia="en-GB"/>
              </w:rPr>
              <w:t>2</w:t>
            </w:r>
          </w:p>
        </w:tc>
      </w:tr>
    </w:tbl>
    <w:p w14:paraId="5AD7A700" w14:textId="77777777" w:rsidR="00203685" w:rsidRPr="007B3453" w:rsidRDefault="00203685" w:rsidP="00203685">
      <w:pPr>
        <w:spacing w:after="0" w:line="276" w:lineRule="auto"/>
        <w:contextualSpacing/>
        <w:rPr>
          <w:rFonts w:eastAsia="Times New Roman" w:cstheme="minorHAnsi"/>
          <w:b/>
          <w:bCs/>
          <w:sz w:val="21"/>
          <w:szCs w:val="21"/>
          <w:lang w:eastAsia="en-GB"/>
        </w:rPr>
      </w:pPr>
      <w:r w:rsidRPr="007B3453">
        <w:rPr>
          <w:rFonts w:eastAsia="Times New Roman" w:cstheme="minorHAnsi"/>
          <w:b/>
          <w:bCs/>
          <w:sz w:val="21"/>
          <w:szCs w:val="21"/>
          <w:lang w:eastAsia="en-GB"/>
        </w:rPr>
        <w:t xml:space="preserve">Table 3.3: </w:t>
      </w:r>
      <w:r>
        <w:rPr>
          <w:rFonts w:eastAsia="Times New Roman" w:cstheme="minorHAnsi"/>
          <w:b/>
          <w:bCs/>
          <w:sz w:val="21"/>
          <w:szCs w:val="21"/>
          <w:lang w:eastAsia="en-GB"/>
        </w:rPr>
        <w:t>Practice Domain</w:t>
      </w:r>
      <w:r w:rsidRPr="007B3453">
        <w:rPr>
          <w:rFonts w:eastAsia="Times New Roman" w:cstheme="minorHAnsi"/>
          <w:b/>
          <w:bCs/>
          <w:sz w:val="21"/>
          <w:szCs w:val="21"/>
          <w:lang w:eastAsia="en-GB"/>
        </w:rPr>
        <w:t xml:space="preserve"> Spread: Articles on Factors Driving Outcomes for Disadvantaged Communities</w:t>
      </w:r>
    </w:p>
    <w:p w14:paraId="5A12DF33" w14:textId="7272B090" w:rsidR="00F00E3D" w:rsidRPr="00BC19B6" w:rsidRDefault="00F00E3D" w:rsidP="009B2FA7">
      <w:pPr>
        <w:spacing w:after="0" w:line="276" w:lineRule="auto"/>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lastRenderedPageBreak/>
        <w:t>By far the greatest number of studies</w:t>
      </w:r>
      <w:r>
        <w:rPr>
          <w:rFonts w:asciiTheme="majorHAnsi" w:eastAsia="Times New Roman" w:hAnsiTheme="majorHAnsi" w:cstheme="majorHAnsi"/>
          <w:sz w:val="23"/>
          <w:szCs w:val="23"/>
          <w:lang w:eastAsia="en-GB"/>
        </w:rPr>
        <w:t xml:space="preserve"> (</w:t>
      </w:r>
      <w:r w:rsidRPr="00BC19B6">
        <w:rPr>
          <w:rFonts w:asciiTheme="majorHAnsi" w:eastAsia="Times New Roman" w:hAnsiTheme="majorHAnsi" w:cstheme="majorHAnsi"/>
          <w:sz w:val="23"/>
          <w:szCs w:val="23"/>
          <w:lang w:eastAsia="en-GB"/>
        </w:rPr>
        <w:t>30</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were in the Health </w:t>
      </w:r>
      <w:r>
        <w:rPr>
          <w:rFonts w:asciiTheme="majorHAnsi" w:eastAsia="Times New Roman" w:hAnsiTheme="majorHAnsi" w:cstheme="majorHAnsi"/>
          <w:sz w:val="23"/>
          <w:szCs w:val="23"/>
          <w:lang w:eastAsia="en-GB"/>
        </w:rPr>
        <w:t>and</w:t>
      </w:r>
      <w:r w:rsidRPr="00BC19B6">
        <w:rPr>
          <w:rFonts w:asciiTheme="majorHAnsi" w:eastAsia="Times New Roman" w:hAnsiTheme="majorHAnsi" w:cstheme="majorHAnsi"/>
          <w:sz w:val="23"/>
          <w:szCs w:val="23"/>
          <w:lang w:eastAsia="en-GB"/>
        </w:rPr>
        <w:t xml:space="preserve"> Wellbeing</w:t>
      </w:r>
      <w:r w:rsidRPr="00E7729C">
        <w:rPr>
          <w:rFonts w:asciiTheme="majorHAnsi" w:eastAsia="Times New Roman" w:hAnsiTheme="majorHAnsi" w:cstheme="majorHAnsi"/>
          <w:sz w:val="23"/>
          <w:szCs w:val="23"/>
          <w:lang w:eastAsia="en-GB"/>
        </w:rPr>
        <w:t xml:space="preserve"> </w:t>
      </w:r>
      <w:r w:rsidR="00D95573">
        <w:rPr>
          <w:rFonts w:asciiTheme="majorHAnsi" w:eastAsia="Times New Roman" w:hAnsiTheme="majorHAnsi" w:cstheme="majorHAnsi"/>
          <w:sz w:val="23"/>
          <w:szCs w:val="23"/>
          <w:lang w:eastAsia="en-GB"/>
        </w:rPr>
        <w:t>Practice Domain</w:t>
      </w:r>
      <w:r w:rsidRPr="00BC19B6">
        <w:rPr>
          <w:rFonts w:asciiTheme="majorHAnsi" w:eastAsia="Times New Roman" w:hAnsiTheme="majorHAnsi" w:cstheme="majorHAnsi"/>
          <w:sz w:val="23"/>
          <w:szCs w:val="23"/>
          <w:lang w:eastAsia="en-GB"/>
        </w:rPr>
        <w:t xml:space="preserve">, with a further 12 including Health </w:t>
      </w:r>
      <w:r>
        <w:rPr>
          <w:rFonts w:asciiTheme="majorHAnsi" w:eastAsia="Times New Roman" w:hAnsiTheme="majorHAnsi" w:cstheme="majorHAnsi"/>
          <w:sz w:val="23"/>
          <w:szCs w:val="23"/>
          <w:lang w:eastAsia="en-GB"/>
        </w:rPr>
        <w:t>and</w:t>
      </w:r>
      <w:r w:rsidRPr="00BC19B6">
        <w:rPr>
          <w:rFonts w:asciiTheme="majorHAnsi" w:eastAsia="Times New Roman" w:hAnsiTheme="majorHAnsi" w:cstheme="majorHAnsi"/>
          <w:sz w:val="23"/>
          <w:szCs w:val="23"/>
          <w:lang w:eastAsia="en-GB"/>
        </w:rPr>
        <w:t xml:space="preserve"> Wellbeing in combination with other domains. Significantly, 16 studies spanned all domains, with a further 14 studies spanning at least two domains. Outside the </w:t>
      </w:r>
      <w:r w:rsidR="00D95573">
        <w:rPr>
          <w:rFonts w:asciiTheme="majorHAnsi" w:eastAsia="Times New Roman" w:hAnsiTheme="majorHAnsi" w:cstheme="majorHAnsi"/>
          <w:sz w:val="23"/>
          <w:szCs w:val="23"/>
          <w:lang w:eastAsia="en-GB"/>
        </w:rPr>
        <w:t>Practice Domain</w:t>
      </w:r>
      <w:r w:rsidRPr="00BC19B6">
        <w:rPr>
          <w:rFonts w:asciiTheme="majorHAnsi" w:eastAsia="Times New Roman" w:hAnsiTheme="majorHAnsi" w:cstheme="majorHAnsi"/>
          <w:sz w:val="23"/>
          <w:szCs w:val="23"/>
          <w:lang w:eastAsia="en-GB"/>
        </w:rPr>
        <w:t xml:space="preserve"> of Health </w:t>
      </w:r>
      <w:r>
        <w:rPr>
          <w:rFonts w:asciiTheme="majorHAnsi" w:eastAsia="Times New Roman" w:hAnsiTheme="majorHAnsi" w:cstheme="majorHAnsi"/>
          <w:sz w:val="23"/>
          <w:szCs w:val="23"/>
          <w:lang w:eastAsia="en-GB"/>
        </w:rPr>
        <w:t>and</w:t>
      </w:r>
      <w:r w:rsidRPr="00BC19B6">
        <w:rPr>
          <w:rFonts w:asciiTheme="majorHAnsi" w:eastAsia="Times New Roman" w:hAnsiTheme="majorHAnsi" w:cstheme="majorHAnsi"/>
          <w:sz w:val="23"/>
          <w:szCs w:val="23"/>
          <w:lang w:eastAsia="en-GB"/>
        </w:rPr>
        <w:t xml:space="preserve"> Wellbeing, only 20 studies focused on </w:t>
      </w:r>
      <w:r>
        <w:rPr>
          <w:rFonts w:asciiTheme="majorHAnsi" w:eastAsia="Times New Roman" w:hAnsiTheme="majorHAnsi" w:cstheme="majorHAnsi"/>
          <w:sz w:val="23"/>
          <w:szCs w:val="23"/>
          <w:lang w:eastAsia="en-GB"/>
        </w:rPr>
        <w:t>a single</w:t>
      </w:r>
      <w:r w:rsidRPr="00BC19B6">
        <w:rPr>
          <w:rFonts w:asciiTheme="majorHAnsi" w:eastAsia="Times New Roman" w:hAnsiTheme="majorHAnsi" w:cstheme="majorHAnsi"/>
          <w:sz w:val="23"/>
          <w:szCs w:val="23"/>
          <w:lang w:eastAsia="en-GB"/>
        </w:rPr>
        <w:t xml:space="preserve"> domain, with the majority of these </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nine</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looking at housing. </w:t>
      </w:r>
      <w:r>
        <w:rPr>
          <w:rFonts w:asciiTheme="majorHAnsi" w:eastAsia="Times New Roman" w:hAnsiTheme="majorHAnsi" w:cstheme="majorHAnsi"/>
          <w:sz w:val="23"/>
          <w:szCs w:val="23"/>
          <w:lang w:eastAsia="en-GB"/>
        </w:rPr>
        <w:t>As a recent</w:t>
      </w:r>
      <w:r w:rsidRPr="00BC19B6">
        <w:rPr>
          <w:rFonts w:asciiTheme="majorHAnsi" w:eastAsia="Times New Roman" w:hAnsiTheme="majorHAnsi" w:cstheme="majorHAnsi"/>
          <w:sz w:val="23"/>
          <w:szCs w:val="23"/>
          <w:lang w:eastAsia="en-GB"/>
        </w:rPr>
        <w:t xml:space="preserve"> Productivity </w:t>
      </w:r>
      <w:r>
        <w:rPr>
          <w:rFonts w:asciiTheme="majorHAnsi" w:eastAsia="Times New Roman" w:hAnsiTheme="majorHAnsi" w:cstheme="majorHAnsi"/>
          <w:sz w:val="23"/>
          <w:szCs w:val="23"/>
          <w:lang w:eastAsia="en-GB"/>
        </w:rPr>
        <w:t>Commission r</w:t>
      </w:r>
      <w:r w:rsidRPr="00BC19B6">
        <w:rPr>
          <w:rFonts w:asciiTheme="majorHAnsi" w:eastAsia="Times New Roman" w:hAnsiTheme="majorHAnsi" w:cstheme="majorHAnsi"/>
          <w:sz w:val="23"/>
          <w:szCs w:val="23"/>
          <w:lang w:eastAsia="en-GB"/>
        </w:rPr>
        <w:t>eport</w:t>
      </w:r>
      <w:r>
        <w:rPr>
          <w:rFonts w:asciiTheme="majorHAnsi" w:eastAsia="Times New Roman" w:hAnsiTheme="majorHAnsi" w:cstheme="majorHAnsi"/>
          <w:sz w:val="23"/>
          <w:szCs w:val="23"/>
          <w:lang w:eastAsia="en-GB"/>
        </w:rPr>
        <w:t xml:space="preserve"> on inequality in Australia puts it, t</w:t>
      </w:r>
      <w:r w:rsidRPr="00BC19B6">
        <w:rPr>
          <w:rFonts w:asciiTheme="majorHAnsi" w:eastAsia="Times New Roman" w:hAnsiTheme="majorHAnsi" w:cstheme="majorHAnsi"/>
          <w:sz w:val="23"/>
          <w:szCs w:val="23"/>
          <w:lang w:eastAsia="en-GB"/>
        </w:rPr>
        <w:t xml:space="preserve">he high number of studies spanning </w:t>
      </w:r>
      <w:r>
        <w:rPr>
          <w:rFonts w:asciiTheme="majorHAnsi" w:eastAsia="Times New Roman" w:hAnsiTheme="majorHAnsi" w:cstheme="majorHAnsi"/>
          <w:sz w:val="23"/>
          <w:szCs w:val="23"/>
          <w:lang w:eastAsia="en-GB"/>
        </w:rPr>
        <w:t xml:space="preserve">more than one </w:t>
      </w:r>
      <w:r w:rsidR="00D95573">
        <w:rPr>
          <w:rFonts w:asciiTheme="majorHAnsi" w:eastAsia="Times New Roman" w:hAnsiTheme="majorHAnsi" w:cstheme="majorHAnsi"/>
          <w:sz w:val="23"/>
          <w:szCs w:val="23"/>
          <w:lang w:eastAsia="en-GB"/>
        </w:rPr>
        <w:t>Practice Domain</w:t>
      </w:r>
      <w:r w:rsidRPr="00BC19B6">
        <w:rPr>
          <w:rFonts w:asciiTheme="majorHAnsi" w:eastAsia="Times New Roman" w:hAnsiTheme="majorHAnsi" w:cstheme="majorHAnsi"/>
          <w:sz w:val="23"/>
          <w:szCs w:val="23"/>
          <w:lang w:eastAsia="en-GB"/>
        </w:rPr>
        <w:t>s reflects</w:t>
      </w:r>
      <w:r>
        <w:rPr>
          <w:rFonts w:asciiTheme="majorHAnsi" w:eastAsia="Times New Roman" w:hAnsiTheme="majorHAnsi" w:cstheme="majorHAnsi"/>
          <w:sz w:val="23"/>
          <w:szCs w:val="23"/>
          <w:lang w:eastAsia="en-GB"/>
        </w:rPr>
        <w:t xml:space="preserve"> the fact that</w:t>
      </w:r>
      <w:r w:rsidRPr="00BC19B6">
        <w:rPr>
          <w:rFonts w:asciiTheme="majorHAnsi" w:eastAsia="Times New Roman" w:hAnsiTheme="majorHAnsi" w:cstheme="majorHAnsi"/>
          <w:sz w:val="23"/>
          <w:szCs w:val="23"/>
          <w:lang w:eastAsia="en-GB"/>
        </w:rPr>
        <w:t>:</w:t>
      </w:r>
    </w:p>
    <w:p w14:paraId="2109899C" w14:textId="77777777" w:rsidR="00F00E3D" w:rsidRPr="00203685" w:rsidRDefault="00F00E3D" w:rsidP="009B2FA7">
      <w:pPr>
        <w:spacing w:after="0" w:line="276" w:lineRule="auto"/>
        <w:contextualSpacing/>
        <w:rPr>
          <w:rFonts w:asciiTheme="majorHAnsi" w:eastAsia="Times New Roman" w:hAnsiTheme="majorHAnsi" w:cstheme="majorHAnsi"/>
          <w:sz w:val="10"/>
          <w:szCs w:val="10"/>
          <w:lang w:eastAsia="en-GB"/>
        </w:rPr>
      </w:pPr>
    </w:p>
    <w:p w14:paraId="05F0F699" w14:textId="77777777" w:rsidR="00F00E3D" w:rsidRPr="00E220D8" w:rsidRDefault="00F00E3D" w:rsidP="009B2FA7">
      <w:pPr>
        <w:spacing w:after="0" w:line="276" w:lineRule="auto"/>
        <w:ind w:left="720"/>
        <w:contextualSpacing/>
        <w:rPr>
          <w:rFonts w:asciiTheme="majorHAnsi" w:eastAsia="Times New Roman" w:hAnsiTheme="majorHAnsi" w:cstheme="majorHAnsi"/>
          <w:sz w:val="23"/>
          <w:szCs w:val="23"/>
          <w:lang w:eastAsia="en-GB"/>
        </w:rPr>
      </w:pPr>
      <w:r w:rsidRPr="00E220D8">
        <w:rPr>
          <w:rFonts w:asciiTheme="majorHAnsi" w:eastAsia="Times New Roman" w:hAnsiTheme="majorHAnsi" w:cstheme="majorHAnsi"/>
          <w:sz w:val="23"/>
          <w:szCs w:val="23"/>
          <w:lang w:eastAsia="en-GB"/>
        </w:rPr>
        <w:t>Disadvantage is a multidimensional concept that can take the form of low economic resources (poverty), inability to afford the basic essentials of life (material deprivation) or being unable to participate economically and socially (social exclusion)</w:t>
      </w:r>
      <w:r>
        <w:rPr>
          <w:rFonts w:asciiTheme="majorHAnsi" w:eastAsia="Times New Roman" w:hAnsiTheme="majorHAnsi" w:cstheme="majorHAnsi"/>
          <w:sz w:val="23"/>
          <w:szCs w:val="23"/>
          <w:lang w:eastAsia="en-GB"/>
        </w:rPr>
        <w:t xml:space="preserve"> (2018: 8)</w:t>
      </w:r>
      <w:r w:rsidRPr="00E220D8">
        <w:rPr>
          <w:rFonts w:asciiTheme="majorHAnsi" w:eastAsia="Times New Roman" w:hAnsiTheme="majorHAnsi" w:cstheme="majorHAnsi"/>
          <w:sz w:val="23"/>
          <w:szCs w:val="23"/>
          <w:lang w:eastAsia="en-GB"/>
        </w:rPr>
        <w:t xml:space="preserve">. </w:t>
      </w:r>
    </w:p>
    <w:p w14:paraId="083105A8" w14:textId="77777777" w:rsidR="00F00E3D" w:rsidRPr="00203685" w:rsidRDefault="00F00E3D" w:rsidP="009B2FA7">
      <w:pPr>
        <w:spacing w:after="0" w:line="276" w:lineRule="auto"/>
        <w:contextualSpacing/>
        <w:rPr>
          <w:rFonts w:asciiTheme="majorHAnsi" w:eastAsia="Times New Roman" w:hAnsiTheme="majorHAnsi" w:cstheme="majorHAnsi"/>
          <w:sz w:val="10"/>
          <w:szCs w:val="10"/>
          <w:lang w:eastAsia="en-GB"/>
        </w:rPr>
      </w:pPr>
    </w:p>
    <w:p w14:paraId="1DE3723D" w14:textId="77777777" w:rsidR="00203685" w:rsidRDefault="00F00E3D" w:rsidP="009B2FA7">
      <w:pPr>
        <w:spacing w:after="0" w:line="276" w:lineRule="auto"/>
        <w:contextualSpacing/>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The report also notes that certain groups are more</w:t>
      </w:r>
      <w:r w:rsidRPr="00BC19B6">
        <w:rPr>
          <w:rFonts w:asciiTheme="majorHAnsi" w:eastAsia="Times New Roman" w:hAnsiTheme="majorHAnsi" w:cstheme="majorHAnsi"/>
          <w:sz w:val="23"/>
          <w:szCs w:val="23"/>
          <w:lang w:eastAsia="en-GB"/>
        </w:rPr>
        <w:t xml:space="preserve"> likely to experience income poverty, social exclusion</w:t>
      </w:r>
      <w:r>
        <w:rPr>
          <w:rFonts w:asciiTheme="majorHAnsi" w:eastAsia="Times New Roman" w:hAnsiTheme="majorHAnsi" w:cstheme="majorHAnsi"/>
          <w:sz w:val="23"/>
          <w:szCs w:val="23"/>
          <w:lang w:eastAsia="en-GB"/>
        </w:rPr>
        <w:t>, and</w:t>
      </w:r>
      <w:r w:rsidRPr="00DF25B8">
        <w:rPr>
          <w:rFonts w:asciiTheme="majorHAnsi" w:eastAsia="Times New Roman" w:hAnsiTheme="majorHAnsi" w:cstheme="majorHAnsi"/>
          <w:sz w:val="23"/>
          <w:szCs w:val="23"/>
          <w:lang w:eastAsia="en-GB"/>
        </w:rPr>
        <w:t xml:space="preserve"> </w:t>
      </w:r>
      <w:r w:rsidRPr="00BC19B6">
        <w:rPr>
          <w:rFonts w:asciiTheme="majorHAnsi" w:eastAsia="Times New Roman" w:hAnsiTheme="majorHAnsi" w:cstheme="majorHAnsi"/>
          <w:sz w:val="23"/>
          <w:szCs w:val="23"/>
          <w:lang w:eastAsia="en-GB"/>
        </w:rPr>
        <w:t>deprivation</w:t>
      </w:r>
      <w:r>
        <w:rPr>
          <w:rFonts w:asciiTheme="majorHAnsi" w:eastAsia="Times New Roman" w:hAnsiTheme="majorHAnsi" w:cstheme="majorHAnsi"/>
          <w:sz w:val="23"/>
          <w:szCs w:val="23"/>
          <w:lang w:eastAsia="en-GB"/>
        </w:rPr>
        <w:t xml:space="preserve">: these groups include </w:t>
      </w:r>
      <w:r w:rsidRPr="00BC19B6">
        <w:rPr>
          <w:rFonts w:asciiTheme="majorHAnsi" w:eastAsia="Times New Roman" w:hAnsiTheme="majorHAnsi" w:cstheme="majorHAnsi"/>
          <w:sz w:val="23"/>
          <w:szCs w:val="23"/>
          <w:lang w:eastAsia="en-GB"/>
        </w:rPr>
        <w:t>people with disabilities</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unemployed people, Indigenous Australians</w:t>
      </w:r>
      <w:r>
        <w:rPr>
          <w:rFonts w:asciiTheme="majorHAnsi" w:eastAsia="Times New Roman" w:hAnsiTheme="majorHAnsi" w:cstheme="majorHAnsi"/>
          <w:sz w:val="23"/>
          <w:szCs w:val="23"/>
          <w:lang w:eastAsia="en-GB"/>
        </w:rPr>
        <w:t>, and</w:t>
      </w:r>
      <w:r w:rsidRPr="00BC19B6">
        <w:rPr>
          <w:rFonts w:asciiTheme="majorHAnsi" w:eastAsia="Times New Roman" w:hAnsiTheme="majorHAnsi" w:cstheme="majorHAnsi"/>
          <w:sz w:val="23"/>
          <w:szCs w:val="23"/>
          <w:lang w:eastAsia="en-GB"/>
        </w:rPr>
        <w:t xml:space="preserve"> people living in single-parent families</w:t>
      </w:r>
      <w:r>
        <w:rPr>
          <w:rFonts w:asciiTheme="majorHAnsi" w:eastAsia="Times New Roman" w:hAnsiTheme="majorHAnsi" w:cstheme="majorHAnsi"/>
          <w:sz w:val="23"/>
          <w:szCs w:val="23"/>
          <w:lang w:eastAsia="en-GB"/>
        </w:rPr>
        <w:t>.</w:t>
      </w:r>
      <w:r w:rsidR="00203685">
        <w:rPr>
          <w:rFonts w:asciiTheme="majorHAnsi" w:eastAsia="Times New Roman" w:hAnsiTheme="majorHAnsi" w:cstheme="majorHAnsi"/>
          <w:sz w:val="23"/>
          <w:szCs w:val="23"/>
          <w:lang w:eastAsia="en-GB"/>
        </w:rPr>
        <w:t xml:space="preserve"> </w:t>
      </w:r>
    </w:p>
    <w:p w14:paraId="20AB9CAA" w14:textId="77777777" w:rsidR="00203685" w:rsidRDefault="00203685" w:rsidP="009B2FA7">
      <w:pPr>
        <w:spacing w:after="0" w:line="276" w:lineRule="auto"/>
        <w:contextualSpacing/>
        <w:rPr>
          <w:rFonts w:asciiTheme="majorHAnsi" w:eastAsia="Times New Roman" w:hAnsiTheme="majorHAnsi" w:cstheme="majorHAnsi"/>
          <w:sz w:val="23"/>
          <w:szCs w:val="23"/>
          <w:lang w:eastAsia="en-GB"/>
        </w:rPr>
      </w:pPr>
    </w:p>
    <w:p w14:paraId="55FE80BC" w14:textId="39A24130" w:rsidR="00F00E3D" w:rsidRPr="00203685" w:rsidRDefault="00F00E3D" w:rsidP="009B2FA7">
      <w:pPr>
        <w:spacing w:after="0" w:line="276" w:lineRule="auto"/>
        <w:contextualSpacing/>
        <w:rPr>
          <w:rFonts w:asciiTheme="majorHAnsi" w:eastAsia="Times New Roman" w:hAnsiTheme="majorHAnsi" w:cstheme="majorHAnsi"/>
          <w:sz w:val="23"/>
          <w:szCs w:val="23"/>
          <w:lang w:eastAsia="en-GB"/>
        </w:rPr>
      </w:pPr>
      <w:r w:rsidRPr="5ADA7538">
        <w:rPr>
          <w:rFonts w:asciiTheme="majorHAnsi" w:eastAsia="Times New Roman" w:hAnsiTheme="majorHAnsi" w:cstheme="majorBidi"/>
          <w:sz w:val="23"/>
          <w:szCs w:val="23"/>
          <w:lang w:eastAsia="en-GB"/>
        </w:rPr>
        <w:t xml:space="preserve">After Health </w:t>
      </w:r>
      <w:r>
        <w:rPr>
          <w:rFonts w:asciiTheme="majorHAnsi" w:eastAsia="Times New Roman" w:hAnsiTheme="majorHAnsi" w:cstheme="majorBidi"/>
          <w:sz w:val="23"/>
          <w:szCs w:val="23"/>
          <w:lang w:eastAsia="en-GB"/>
        </w:rPr>
        <w:t>and</w:t>
      </w:r>
      <w:r w:rsidRPr="5ADA7538">
        <w:rPr>
          <w:rFonts w:asciiTheme="majorHAnsi" w:eastAsia="Times New Roman" w:hAnsiTheme="majorHAnsi" w:cstheme="majorBidi"/>
          <w:sz w:val="23"/>
          <w:szCs w:val="23"/>
          <w:lang w:eastAsia="en-GB"/>
        </w:rPr>
        <w:t xml:space="preserve"> Wellbeing, Housing was the next most </w:t>
      </w:r>
      <w:r>
        <w:rPr>
          <w:rFonts w:asciiTheme="majorHAnsi" w:eastAsia="Times New Roman" w:hAnsiTheme="majorHAnsi" w:cstheme="majorBidi"/>
          <w:sz w:val="23"/>
          <w:szCs w:val="23"/>
          <w:lang w:eastAsia="en-GB"/>
        </w:rPr>
        <w:t xml:space="preserve">frequently </w:t>
      </w:r>
      <w:r w:rsidRPr="5ADA7538">
        <w:rPr>
          <w:rFonts w:asciiTheme="majorHAnsi" w:eastAsia="Times New Roman" w:hAnsiTheme="majorHAnsi" w:cstheme="majorBidi"/>
          <w:sz w:val="23"/>
          <w:szCs w:val="23"/>
          <w:lang w:eastAsia="en-GB"/>
        </w:rPr>
        <w:t xml:space="preserve">studied </w:t>
      </w:r>
      <w:r w:rsidR="00D95573">
        <w:rPr>
          <w:rFonts w:asciiTheme="majorHAnsi" w:eastAsia="Times New Roman" w:hAnsiTheme="majorHAnsi" w:cstheme="majorBidi"/>
          <w:sz w:val="23"/>
          <w:szCs w:val="23"/>
          <w:lang w:eastAsia="en-GB"/>
        </w:rPr>
        <w:t>Practice Domain</w:t>
      </w:r>
      <w:r>
        <w:rPr>
          <w:rFonts w:asciiTheme="majorHAnsi" w:eastAsia="Times New Roman" w:hAnsiTheme="majorHAnsi" w:cstheme="majorBidi"/>
          <w:sz w:val="23"/>
          <w:szCs w:val="23"/>
          <w:lang w:eastAsia="en-GB"/>
        </w:rPr>
        <w:t>. It was</w:t>
      </w:r>
      <w:r w:rsidRPr="5ADA7538">
        <w:rPr>
          <w:rFonts w:asciiTheme="majorHAnsi" w:eastAsia="Times New Roman" w:hAnsiTheme="majorHAnsi" w:cstheme="majorBidi"/>
          <w:sz w:val="23"/>
          <w:szCs w:val="23"/>
          <w:lang w:eastAsia="en-GB"/>
        </w:rPr>
        <w:t xml:space="preserve"> discussed in 34 articles, with most of the</w:t>
      </w:r>
      <w:r>
        <w:rPr>
          <w:rFonts w:asciiTheme="majorHAnsi" w:eastAsia="Times New Roman" w:hAnsiTheme="majorHAnsi" w:cstheme="majorBidi"/>
          <w:sz w:val="23"/>
          <w:szCs w:val="23"/>
          <w:lang w:eastAsia="en-GB"/>
        </w:rPr>
        <w:t>m</w:t>
      </w:r>
      <w:r w:rsidRPr="5ADA7538">
        <w:rPr>
          <w:rFonts w:asciiTheme="majorHAnsi" w:eastAsia="Times New Roman" w:hAnsiTheme="majorHAnsi" w:cstheme="majorBidi"/>
          <w:sz w:val="23"/>
          <w:szCs w:val="23"/>
          <w:lang w:eastAsia="en-GB"/>
        </w:rPr>
        <w:t xml:space="preserve"> (25) linking Housing to other domains. As Coley et al</w:t>
      </w:r>
      <w:r>
        <w:rPr>
          <w:rFonts w:asciiTheme="majorHAnsi" w:eastAsia="Times New Roman" w:hAnsiTheme="majorHAnsi" w:cstheme="majorBidi"/>
          <w:sz w:val="23"/>
          <w:szCs w:val="23"/>
          <w:lang w:eastAsia="en-GB"/>
        </w:rPr>
        <w:t>.</w:t>
      </w:r>
      <w:r w:rsidRPr="5ADA7538">
        <w:rPr>
          <w:rFonts w:asciiTheme="majorHAnsi" w:eastAsia="Times New Roman" w:hAnsiTheme="majorHAnsi" w:cstheme="majorBidi"/>
          <w:sz w:val="23"/>
          <w:szCs w:val="23"/>
          <w:lang w:eastAsia="en-GB"/>
        </w:rPr>
        <w:t xml:space="preserve"> expla</w:t>
      </w:r>
      <w:r>
        <w:rPr>
          <w:rFonts w:asciiTheme="majorHAnsi" w:eastAsia="Times New Roman" w:hAnsiTheme="majorHAnsi" w:cstheme="majorBidi"/>
          <w:sz w:val="23"/>
          <w:szCs w:val="23"/>
          <w:lang w:eastAsia="en-GB"/>
        </w:rPr>
        <w:t>in</w:t>
      </w:r>
      <w:r w:rsidRPr="5ADA7538">
        <w:rPr>
          <w:rFonts w:asciiTheme="majorHAnsi" w:eastAsia="Times New Roman" w:hAnsiTheme="majorHAnsi" w:cstheme="majorBidi"/>
          <w:sz w:val="23"/>
          <w:szCs w:val="23"/>
          <w:lang w:eastAsia="en-GB"/>
        </w:rPr>
        <w:t>, housing issues impact and are impacted by other issues related to disadvantage</w:t>
      </w:r>
      <w:r>
        <w:rPr>
          <w:rFonts w:asciiTheme="majorHAnsi" w:eastAsia="Times New Roman" w:hAnsiTheme="majorHAnsi" w:cstheme="majorBidi"/>
          <w:sz w:val="23"/>
          <w:szCs w:val="23"/>
          <w:lang w:eastAsia="en-GB"/>
        </w:rPr>
        <w:t>. The researchers</w:t>
      </w:r>
      <w:r w:rsidRPr="5ADA7538">
        <w:rPr>
          <w:rFonts w:asciiTheme="majorHAnsi" w:eastAsia="Times New Roman" w:hAnsiTheme="majorHAnsi" w:cstheme="majorBidi"/>
          <w:sz w:val="23"/>
          <w:szCs w:val="23"/>
          <w:lang w:eastAsia="en-GB"/>
        </w:rPr>
        <w:t xml:space="preserve"> </w:t>
      </w:r>
      <w:r>
        <w:rPr>
          <w:rFonts w:asciiTheme="majorHAnsi" w:eastAsia="Times New Roman" w:hAnsiTheme="majorHAnsi" w:cstheme="majorBidi"/>
          <w:sz w:val="23"/>
          <w:szCs w:val="23"/>
          <w:lang w:eastAsia="en-GB"/>
        </w:rPr>
        <w:t>emphasise</w:t>
      </w:r>
      <w:r w:rsidRPr="5ADA7538">
        <w:rPr>
          <w:rFonts w:asciiTheme="majorHAnsi" w:eastAsia="Times New Roman" w:hAnsiTheme="majorHAnsi" w:cstheme="majorBidi"/>
          <w:sz w:val="23"/>
          <w:szCs w:val="23"/>
          <w:lang w:eastAsia="en-GB"/>
        </w:rPr>
        <w:t xml:space="preserve"> that their results “highlight the importance of assessing families</w:t>
      </w:r>
      <w:r>
        <w:rPr>
          <w:rFonts w:asciiTheme="majorHAnsi" w:eastAsia="Times New Roman" w:hAnsiTheme="majorHAnsi" w:cstheme="majorBidi"/>
          <w:sz w:val="23"/>
          <w:szCs w:val="23"/>
          <w:lang w:eastAsia="en-GB"/>
        </w:rPr>
        <w:t>’</w:t>
      </w:r>
      <w:r w:rsidRPr="5ADA7538">
        <w:rPr>
          <w:rFonts w:asciiTheme="majorHAnsi" w:eastAsia="Times New Roman" w:hAnsiTheme="majorHAnsi" w:cstheme="majorBidi"/>
          <w:sz w:val="23"/>
          <w:szCs w:val="23"/>
          <w:lang w:eastAsia="en-GB"/>
        </w:rPr>
        <w:t xml:space="preserve"> holistic bundle of housing and neighbourhood characteristics rather than attempting to isolate unique effects of characteristics that are inherently interrelated” (</w:t>
      </w:r>
      <w:r>
        <w:rPr>
          <w:rFonts w:asciiTheme="majorHAnsi" w:eastAsia="Times New Roman" w:hAnsiTheme="majorHAnsi" w:cstheme="majorBidi"/>
          <w:sz w:val="23"/>
          <w:szCs w:val="23"/>
          <w:lang w:eastAsia="en-GB"/>
        </w:rPr>
        <w:t xml:space="preserve">Coley et al., 2014: </w:t>
      </w:r>
      <w:r w:rsidRPr="5ADA7538">
        <w:rPr>
          <w:rFonts w:asciiTheme="majorHAnsi" w:eastAsia="Times New Roman" w:hAnsiTheme="majorHAnsi" w:cstheme="majorBidi"/>
          <w:sz w:val="23"/>
          <w:szCs w:val="23"/>
          <w:lang w:eastAsia="en-GB"/>
        </w:rPr>
        <w:t>37).</w:t>
      </w:r>
    </w:p>
    <w:p w14:paraId="1F9D9B6B" w14:textId="77777777" w:rsidR="00F00E3D" w:rsidRPr="004611D0" w:rsidRDefault="00F00E3D" w:rsidP="009B2FA7">
      <w:pPr>
        <w:spacing w:after="0" w:line="276" w:lineRule="auto"/>
        <w:contextualSpacing/>
        <w:rPr>
          <w:rFonts w:asciiTheme="majorHAnsi" w:eastAsia="Times New Roman" w:hAnsiTheme="majorHAnsi" w:cstheme="majorBidi"/>
          <w:sz w:val="12"/>
          <w:szCs w:val="12"/>
          <w:lang w:eastAsia="en-GB"/>
        </w:rPr>
      </w:pPr>
    </w:p>
    <w:p w14:paraId="7C6019A8" w14:textId="4F49EE2C" w:rsidR="00F00E3D" w:rsidRPr="00BC19B6" w:rsidRDefault="00F00E3D" w:rsidP="009B2FA7">
      <w:pPr>
        <w:spacing w:after="0" w:line="276" w:lineRule="auto"/>
        <w:contextualSpacing/>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 xml:space="preserve">Here we examine the socioeconomic factors identified </w:t>
      </w:r>
      <w:r>
        <w:rPr>
          <w:rFonts w:asciiTheme="majorHAnsi" w:eastAsia="Times New Roman" w:hAnsiTheme="majorHAnsi" w:cstheme="majorHAnsi"/>
          <w:sz w:val="23"/>
          <w:szCs w:val="23"/>
          <w:lang w:eastAsia="en-GB"/>
        </w:rPr>
        <w:t>as</w:t>
      </w:r>
      <w:r w:rsidRPr="00BC19B6">
        <w:rPr>
          <w:rFonts w:asciiTheme="majorHAnsi" w:eastAsia="Times New Roman" w:hAnsiTheme="majorHAnsi" w:cstheme="majorHAnsi"/>
          <w:sz w:val="23"/>
          <w:szCs w:val="23"/>
          <w:lang w:eastAsia="en-GB"/>
        </w:rPr>
        <w:t xml:space="preserve"> contribut</w:t>
      </w:r>
      <w:r>
        <w:rPr>
          <w:rFonts w:asciiTheme="majorHAnsi" w:eastAsia="Times New Roman" w:hAnsiTheme="majorHAnsi" w:cstheme="majorHAnsi"/>
          <w:sz w:val="23"/>
          <w:szCs w:val="23"/>
          <w:lang w:eastAsia="en-GB"/>
        </w:rPr>
        <w:t>ing</w:t>
      </w:r>
      <w:r w:rsidRPr="00BC19B6">
        <w:rPr>
          <w:rFonts w:asciiTheme="majorHAnsi" w:eastAsia="Times New Roman" w:hAnsiTheme="majorHAnsi" w:cstheme="majorHAnsi"/>
          <w:sz w:val="23"/>
          <w:szCs w:val="23"/>
          <w:lang w:eastAsia="en-GB"/>
        </w:rPr>
        <w:t xml:space="preserve"> to unequal outcomes for disadvantage communities across the five </w:t>
      </w:r>
      <w:r w:rsidR="00D95573">
        <w:rPr>
          <w:rFonts w:asciiTheme="majorHAnsi" w:eastAsia="Times New Roman" w:hAnsiTheme="majorHAnsi" w:cstheme="majorHAnsi"/>
          <w:sz w:val="23"/>
          <w:szCs w:val="23"/>
          <w:lang w:eastAsia="en-GB"/>
        </w:rPr>
        <w:t>Practice Domain</w:t>
      </w:r>
      <w:r w:rsidRPr="00BC19B6">
        <w:rPr>
          <w:rFonts w:asciiTheme="majorHAnsi" w:eastAsia="Times New Roman" w:hAnsiTheme="majorHAnsi" w:cstheme="majorHAnsi"/>
          <w:sz w:val="23"/>
          <w:szCs w:val="23"/>
          <w:lang w:eastAsia="en-GB"/>
        </w:rPr>
        <w:t xml:space="preserve">s, both within the whole sample and then within each </w:t>
      </w:r>
      <w:r w:rsidR="00D95573">
        <w:rPr>
          <w:rFonts w:asciiTheme="majorHAnsi" w:eastAsia="Times New Roman" w:hAnsiTheme="majorHAnsi" w:cstheme="majorHAnsi"/>
          <w:sz w:val="23"/>
          <w:szCs w:val="23"/>
          <w:lang w:eastAsia="en-GB"/>
        </w:rPr>
        <w:t>Practice Domain</w:t>
      </w:r>
      <w:r w:rsidRPr="00BC19B6">
        <w:rPr>
          <w:rFonts w:asciiTheme="majorHAnsi" w:eastAsia="Times New Roman" w:hAnsiTheme="majorHAnsi" w:cstheme="majorHAnsi"/>
          <w:sz w:val="23"/>
          <w:szCs w:val="23"/>
          <w:lang w:eastAsia="en-GB"/>
        </w:rPr>
        <w:t>. Unsurprisingly, there is no agreed list of factors across all five domains</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as the field of study is vast, complex</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and expanding. However, the following list gives some idea of the breadth of factors </w:t>
      </w:r>
      <w:r>
        <w:rPr>
          <w:rFonts w:asciiTheme="majorHAnsi" w:eastAsia="Times New Roman" w:hAnsiTheme="majorHAnsi" w:cstheme="majorHAnsi"/>
          <w:sz w:val="23"/>
          <w:szCs w:val="23"/>
          <w:lang w:eastAsia="en-GB"/>
        </w:rPr>
        <w:t xml:space="preserve">identified </w:t>
      </w:r>
      <w:r w:rsidRPr="00BC19B6">
        <w:rPr>
          <w:rFonts w:asciiTheme="majorHAnsi" w:eastAsia="Times New Roman" w:hAnsiTheme="majorHAnsi" w:cstheme="majorHAnsi"/>
          <w:sz w:val="23"/>
          <w:szCs w:val="23"/>
          <w:lang w:eastAsia="en-GB"/>
        </w:rPr>
        <w:t>across the research fields, and some i</w:t>
      </w:r>
      <w:r>
        <w:rPr>
          <w:rFonts w:asciiTheme="majorHAnsi" w:eastAsia="Times New Roman" w:hAnsiTheme="majorHAnsi" w:cstheme="majorHAnsi"/>
          <w:sz w:val="23"/>
          <w:szCs w:val="23"/>
          <w:lang w:eastAsia="en-GB"/>
        </w:rPr>
        <w:t>ndication</w:t>
      </w:r>
      <w:r w:rsidRPr="00BC19B6">
        <w:rPr>
          <w:rFonts w:asciiTheme="majorHAnsi" w:eastAsia="Times New Roman" w:hAnsiTheme="majorHAnsi" w:cstheme="majorHAnsi"/>
          <w:sz w:val="23"/>
          <w:szCs w:val="23"/>
          <w:lang w:eastAsia="en-GB"/>
        </w:rPr>
        <w:t xml:space="preserve"> of</w:t>
      </w:r>
      <w:r>
        <w:rPr>
          <w:rFonts w:asciiTheme="majorHAnsi" w:eastAsia="Times New Roman" w:hAnsiTheme="majorHAnsi" w:cstheme="majorHAnsi"/>
          <w:sz w:val="23"/>
          <w:szCs w:val="23"/>
          <w:lang w:eastAsia="en-GB"/>
        </w:rPr>
        <w:t xml:space="preserve"> their</w:t>
      </w:r>
      <w:r w:rsidRPr="00BC19B6">
        <w:rPr>
          <w:rFonts w:asciiTheme="majorHAnsi" w:eastAsia="Times New Roman" w:hAnsiTheme="majorHAnsi" w:cstheme="majorHAnsi"/>
          <w:sz w:val="23"/>
          <w:szCs w:val="23"/>
          <w:lang w:eastAsia="en-GB"/>
        </w:rPr>
        <w:t xml:space="preserve"> relative</w:t>
      </w:r>
      <w:r>
        <w:rPr>
          <w:rFonts w:asciiTheme="majorHAnsi" w:eastAsia="Times New Roman" w:hAnsiTheme="majorHAnsi" w:cstheme="majorHAnsi"/>
          <w:sz w:val="23"/>
          <w:szCs w:val="23"/>
          <w:lang w:eastAsia="en-GB"/>
        </w:rPr>
        <w:t xml:space="preserve"> perceived</w:t>
      </w:r>
      <w:r w:rsidRPr="00BC19B6">
        <w:rPr>
          <w:rFonts w:asciiTheme="majorHAnsi" w:eastAsia="Times New Roman" w:hAnsiTheme="majorHAnsi" w:cstheme="majorHAnsi"/>
          <w:sz w:val="23"/>
          <w:szCs w:val="23"/>
          <w:lang w:eastAsia="en-GB"/>
        </w:rPr>
        <w:t xml:space="preserve"> importance, </w:t>
      </w:r>
      <w:r>
        <w:rPr>
          <w:rFonts w:asciiTheme="majorHAnsi" w:eastAsia="Times New Roman" w:hAnsiTheme="majorHAnsi" w:cstheme="majorHAnsi"/>
          <w:sz w:val="23"/>
          <w:szCs w:val="23"/>
          <w:lang w:eastAsia="en-GB"/>
        </w:rPr>
        <w:t>at</w:t>
      </w:r>
      <w:r w:rsidRPr="00BC19B6">
        <w:rPr>
          <w:rFonts w:asciiTheme="majorHAnsi" w:eastAsia="Times New Roman" w:hAnsiTheme="majorHAnsi" w:cstheme="majorHAnsi"/>
          <w:sz w:val="23"/>
          <w:szCs w:val="23"/>
          <w:lang w:eastAsia="en-GB"/>
        </w:rPr>
        <w:t xml:space="preserve"> least in terms of research coverage. Importantly, the list does not represent a meta-analysis of the relative importance of each factor, as that is beyond the scope of this review.</w:t>
      </w:r>
    </w:p>
    <w:p w14:paraId="0DC52E4E" w14:textId="77777777" w:rsidR="00F00E3D" w:rsidRPr="004611D0" w:rsidRDefault="00F00E3D" w:rsidP="009B2FA7">
      <w:pPr>
        <w:spacing w:after="0" w:line="276" w:lineRule="auto"/>
        <w:contextualSpacing/>
        <w:rPr>
          <w:rFonts w:asciiTheme="majorHAnsi" w:eastAsia="Times New Roman" w:hAnsiTheme="majorHAnsi" w:cstheme="majorHAnsi"/>
          <w:sz w:val="12"/>
          <w:szCs w:val="12"/>
          <w:lang w:eastAsia="en-GB"/>
        </w:rPr>
      </w:pPr>
    </w:p>
    <w:p w14:paraId="608E2BF1" w14:textId="6DEE8898" w:rsidR="00F00E3D" w:rsidRPr="00BC19B6" w:rsidRDefault="00F00E3D" w:rsidP="009B2FA7">
      <w:pPr>
        <w:spacing w:after="0" w:line="276" w:lineRule="auto"/>
        <w:rPr>
          <w:rFonts w:asciiTheme="majorHAnsi" w:eastAsia="Times New Roman" w:hAnsiTheme="majorHAnsi" w:cstheme="majorBidi"/>
          <w:color w:val="000000"/>
          <w:sz w:val="23"/>
          <w:szCs w:val="23"/>
          <w:lang w:eastAsia="en-GB"/>
        </w:rPr>
      </w:pPr>
      <w:r w:rsidRPr="6F08E4CA">
        <w:rPr>
          <w:rFonts w:asciiTheme="majorHAnsi" w:eastAsia="Times New Roman" w:hAnsiTheme="majorHAnsi" w:cstheme="majorBidi"/>
          <w:sz w:val="23"/>
          <w:szCs w:val="23"/>
          <w:lang w:eastAsia="en-GB"/>
        </w:rPr>
        <w:t xml:space="preserve">Overall, the following social and economic factors were identified as driving outcomes for </w:t>
      </w:r>
      <w:r>
        <w:rPr>
          <w:rFonts w:asciiTheme="majorHAnsi" w:eastAsia="Times New Roman" w:hAnsiTheme="majorHAnsi" w:cstheme="majorBidi"/>
          <w:sz w:val="23"/>
          <w:szCs w:val="23"/>
          <w:lang w:eastAsia="en-GB"/>
        </w:rPr>
        <w:t>communities affected by disadvantage</w:t>
      </w:r>
      <w:r w:rsidRPr="6F08E4CA">
        <w:rPr>
          <w:rFonts w:asciiTheme="majorHAnsi" w:eastAsia="Times New Roman" w:hAnsiTheme="majorHAnsi" w:cstheme="majorBidi"/>
          <w:sz w:val="23"/>
          <w:szCs w:val="23"/>
          <w:lang w:eastAsia="en-GB"/>
        </w:rPr>
        <w:t xml:space="preserve">. We include the numbers of publications </w:t>
      </w:r>
      <w:r>
        <w:rPr>
          <w:rFonts w:asciiTheme="majorHAnsi" w:eastAsia="Times New Roman" w:hAnsiTheme="majorHAnsi" w:cstheme="majorBidi"/>
          <w:sz w:val="23"/>
          <w:szCs w:val="23"/>
          <w:lang w:eastAsia="en-GB"/>
        </w:rPr>
        <w:t>that identified each factor</w:t>
      </w:r>
      <w:r w:rsidRPr="6F08E4CA">
        <w:rPr>
          <w:rFonts w:asciiTheme="majorHAnsi" w:eastAsia="Times New Roman" w:hAnsiTheme="majorHAnsi" w:cstheme="majorBidi"/>
          <w:sz w:val="23"/>
          <w:szCs w:val="23"/>
          <w:lang w:eastAsia="en-GB"/>
        </w:rPr>
        <w:t xml:space="preserve">. The factors have been categorised according to four contexts: </w:t>
      </w:r>
      <w:r>
        <w:rPr>
          <w:rFonts w:asciiTheme="majorHAnsi" w:eastAsia="Times New Roman" w:hAnsiTheme="majorHAnsi" w:cstheme="majorBidi"/>
          <w:sz w:val="23"/>
          <w:szCs w:val="23"/>
          <w:lang w:eastAsia="en-GB"/>
        </w:rPr>
        <w:t>E</w:t>
      </w:r>
      <w:r w:rsidRPr="6F08E4CA">
        <w:rPr>
          <w:rFonts w:asciiTheme="majorHAnsi" w:eastAsia="Times New Roman" w:hAnsiTheme="majorHAnsi" w:cstheme="majorBidi"/>
          <w:sz w:val="23"/>
          <w:szCs w:val="23"/>
          <w:lang w:eastAsia="en-GB"/>
        </w:rPr>
        <w:t xml:space="preserve">conomic, </w:t>
      </w:r>
      <w:r>
        <w:rPr>
          <w:rFonts w:asciiTheme="majorHAnsi" w:eastAsia="Times New Roman" w:hAnsiTheme="majorHAnsi" w:cstheme="majorBidi"/>
          <w:sz w:val="23"/>
          <w:szCs w:val="23"/>
          <w:lang w:eastAsia="en-GB"/>
        </w:rPr>
        <w:t>H</w:t>
      </w:r>
      <w:r w:rsidRPr="6F08E4CA">
        <w:rPr>
          <w:rFonts w:asciiTheme="majorHAnsi" w:eastAsia="Times New Roman" w:hAnsiTheme="majorHAnsi" w:cstheme="majorBidi"/>
          <w:sz w:val="23"/>
          <w:szCs w:val="23"/>
          <w:lang w:eastAsia="en-GB"/>
        </w:rPr>
        <w:t xml:space="preserve">ealth, </w:t>
      </w:r>
      <w:r>
        <w:rPr>
          <w:rFonts w:asciiTheme="majorHAnsi" w:eastAsia="Times New Roman" w:hAnsiTheme="majorHAnsi" w:cstheme="majorBidi"/>
          <w:sz w:val="23"/>
          <w:szCs w:val="23"/>
          <w:lang w:eastAsia="en-GB"/>
        </w:rPr>
        <w:t>S</w:t>
      </w:r>
      <w:r w:rsidRPr="6F08E4CA">
        <w:rPr>
          <w:rFonts w:asciiTheme="majorHAnsi" w:eastAsia="Times New Roman" w:hAnsiTheme="majorHAnsi" w:cstheme="majorBidi"/>
          <w:sz w:val="23"/>
          <w:szCs w:val="23"/>
          <w:lang w:eastAsia="en-GB"/>
        </w:rPr>
        <w:t>ocial</w:t>
      </w:r>
      <w:r>
        <w:rPr>
          <w:rFonts w:asciiTheme="majorHAnsi" w:eastAsia="Times New Roman" w:hAnsiTheme="majorHAnsi" w:cstheme="majorBidi"/>
          <w:sz w:val="23"/>
          <w:szCs w:val="23"/>
          <w:lang w:eastAsia="en-GB"/>
        </w:rPr>
        <w:t>,</w:t>
      </w:r>
      <w:r w:rsidRPr="6F08E4CA">
        <w:rPr>
          <w:rFonts w:asciiTheme="majorHAnsi" w:eastAsia="Times New Roman" w:hAnsiTheme="majorHAnsi" w:cstheme="majorBidi"/>
          <w:sz w:val="23"/>
          <w:szCs w:val="23"/>
          <w:lang w:eastAsia="en-GB"/>
        </w:rPr>
        <w:t xml:space="preserve"> and </w:t>
      </w:r>
      <w:r>
        <w:rPr>
          <w:rFonts w:asciiTheme="majorHAnsi" w:eastAsia="Times New Roman" w:hAnsiTheme="majorHAnsi" w:cstheme="majorBidi"/>
          <w:sz w:val="23"/>
          <w:szCs w:val="23"/>
          <w:lang w:eastAsia="en-GB"/>
        </w:rPr>
        <w:t>U</w:t>
      </w:r>
      <w:r w:rsidRPr="6F08E4CA">
        <w:rPr>
          <w:rFonts w:asciiTheme="majorHAnsi" w:eastAsia="Times New Roman" w:hAnsiTheme="majorHAnsi" w:cstheme="majorBidi"/>
          <w:sz w:val="23"/>
          <w:szCs w:val="23"/>
          <w:lang w:eastAsia="en-GB"/>
        </w:rPr>
        <w:t xml:space="preserve">rban </w:t>
      </w:r>
      <w:r>
        <w:rPr>
          <w:rFonts w:asciiTheme="majorHAnsi" w:eastAsia="Times New Roman" w:hAnsiTheme="majorHAnsi" w:cstheme="majorBidi"/>
          <w:sz w:val="23"/>
          <w:szCs w:val="23"/>
          <w:lang w:eastAsia="en-GB"/>
        </w:rPr>
        <w:t>E</w:t>
      </w:r>
      <w:r w:rsidRPr="6F08E4CA">
        <w:rPr>
          <w:rFonts w:asciiTheme="majorHAnsi" w:eastAsia="Times New Roman" w:hAnsiTheme="majorHAnsi" w:cstheme="majorBidi"/>
          <w:sz w:val="23"/>
          <w:szCs w:val="23"/>
          <w:lang w:eastAsia="en-GB"/>
        </w:rPr>
        <w:t xml:space="preserve">nvironment. Each context has also been subcategorised into </w:t>
      </w:r>
      <w:r>
        <w:rPr>
          <w:rFonts w:asciiTheme="majorHAnsi" w:eastAsia="Times New Roman" w:hAnsiTheme="majorHAnsi" w:cstheme="majorBidi"/>
          <w:sz w:val="23"/>
          <w:szCs w:val="23"/>
          <w:lang w:eastAsia="en-GB"/>
        </w:rPr>
        <w:t>13</w:t>
      </w:r>
      <w:r w:rsidRPr="6F08E4CA">
        <w:rPr>
          <w:rFonts w:asciiTheme="majorHAnsi" w:eastAsia="Times New Roman" w:hAnsiTheme="majorHAnsi" w:cstheme="majorBidi"/>
          <w:sz w:val="23"/>
          <w:szCs w:val="23"/>
          <w:lang w:eastAsia="en-GB"/>
        </w:rPr>
        <w:t xml:space="preserve"> context determinates</w:t>
      </w:r>
      <w:r>
        <w:rPr>
          <w:rFonts w:asciiTheme="majorHAnsi" w:eastAsia="Times New Roman" w:hAnsiTheme="majorHAnsi" w:cstheme="majorBidi"/>
          <w:sz w:val="23"/>
          <w:szCs w:val="23"/>
          <w:lang w:eastAsia="en-GB"/>
        </w:rPr>
        <w:t xml:space="preserve"> that are</w:t>
      </w:r>
      <w:r w:rsidRPr="6F08E4CA">
        <w:rPr>
          <w:rFonts w:asciiTheme="majorHAnsi" w:eastAsia="Times New Roman" w:hAnsiTheme="majorHAnsi" w:cstheme="majorBidi"/>
          <w:sz w:val="23"/>
          <w:szCs w:val="23"/>
          <w:lang w:eastAsia="en-GB"/>
        </w:rPr>
        <w:t xml:space="preserve"> commonly recognised in the well</w:t>
      </w:r>
      <w:r>
        <w:rPr>
          <w:rFonts w:asciiTheme="majorHAnsi" w:eastAsia="Times New Roman" w:hAnsiTheme="majorHAnsi" w:cstheme="majorBidi"/>
          <w:sz w:val="23"/>
          <w:szCs w:val="23"/>
          <w:lang w:eastAsia="en-GB"/>
        </w:rPr>
        <w:t>-</w:t>
      </w:r>
      <w:r w:rsidRPr="6F08E4CA">
        <w:rPr>
          <w:rFonts w:asciiTheme="majorHAnsi" w:eastAsia="Times New Roman" w:hAnsiTheme="majorHAnsi" w:cstheme="majorBidi"/>
          <w:sz w:val="23"/>
          <w:szCs w:val="23"/>
          <w:lang w:eastAsia="en-GB"/>
        </w:rPr>
        <w:t xml:space="preserve">cited literature (see in particular </w:t>
      </w:r>
      <w:r>
        <w:rPr>
          <w:rFonts w:asciiTheme="majorHAnsi" w:eastAsia="Times New Roman" w:hAnsiTheme="majorHAnsi" w:cstheme="majorBidi"/>
          <w:noProof/>
          <w:sz w:val="23"/>
          <w:szCs w:val="23"/>
          <w:lang w:eastAsia="en-GB"/>
        </w:rPr>
        <w:t>(Pineo et al., 2018; Welfare, 2020)</w:t>
      </w:r>
      <w:r>
        <w:rPr>
          <w:rFonts w:asciiTheme="majorHAnsi" w:eastAsia="Times New Roman" w:hAnsiTheme="majorHAnsi" w:cstheme="majorBidi"/>
          <w:sz w:val="23"/>
          <w:szCs w:val="23"/>
          <w:lang w:eastAsia="en-GB"/>
        </w:rPr>
        <w:t>. These subcategories are:</w:t>
      </w:r>
      <w:r w:rsidRPr="6F08E4CA">
        <w:rPr>
          <w:rFonts w:asciiTheme="majorHAnsi" w:eastAsia="Times New Roman" w:hAnsiTheme="majorHAnsi" w:cstheme="majorBidi"/>
          <w:sz w:val="23"/>
          <w:szCs w:val="23"/>
          <w:lang w:eastAsia="en-GB"/>
        </w:rPr>
        <w:t xml:space="preserve"> </w:t>
      </w:r>
      <w:r w:rsidRPr="6F08E4CA">
        <w:rPr>
          <w:rFonts w:asciiTheme="majorHAnsi" w:eastAsia="Times New Roman" w:hAnsiTheme="majorHAnsi" w:cstheme="majorBidi"/>
          <w:color w:val="000000" w:themeColor="text1"/>
          <w:sz w:val="23"/>
          <w:szCs w:val="23"/>
          <w:lang w:eastAsia="en-GB"/>
        </w:rPr>
        <w:t xml:space="preserve">Economy, Governmental Policy, Access to Healthcare </w:t>
      </w:r>
      <w:r>
        <w:rPr>
          <w:rFonts w:asciiTheme="majorHAnsi" w:eastAsia="Times New Roman" w:hAnsiTheme="majorHAnsi" w:cstheme="majorBidi"/>
          <w:color w:val="000000" w:themeColor="text1"/>
          <w:sz w:val="23"/>
          <w:szCs w:val="23"/>
          <w:lang w:eastAsia="en-GB"/>
        </w:rPr>
        <w:t>and</w:t>
      </w:r>
      <w:r w:rsidRPr="6F08E4CA">
        <w:rPr>
          <w:rFonts w:asciiTheme="majorHAnsi" w:eastAsia="Times New Roman" w:hAnsiTheme="majorHAnsi" w:cstheme="majorBidi"/>
          <w:color w:val="000000" w:themeColor="text1"/>
          <w:sz w:val="23"/>
          <w:szCs w:val="23"/>
          <w:lang w:eastAsia="en-GB"/>
        </w:rPr>
        <w:t xml:space="preserve"> Social Services, Personal Health Status, Personal Behaviours, Crime </w:t>
      </w:r>
      <w:r>
        <w:rPr>
          <w:rFonts w:asciiTheme="majorHAnsi" w:eastAsia="Times New Roman" w:hAnsiTheme="majorHAnsi" w:cstheme="majorBidi"/>
          <w:color w:val="000000" w:themeColor="text1"/>
          <w:sz w:val="23"/>
          <w:szCs w:val="23"/>
          <w:lang w:eastAsia="en-GB"/>
        </w:rPr>
        <w:t>and</w:t>
      </w:r>
      <w:r w:rsidRPr="6F08E4CA">
        <w:rPr>
          <w:rFonts w:asciiTheme="majorHAnsi" w:eastAsia="Times New Roman" w:hAnsiTheme="majorHAnsi" w:cstheme="majorBidi"/>
          <w:color w:val="000000" w:themeColor="text1"/>
          <w:sz w:val="23"/>
          <w:szCs w:val="23"/>
          <w:lang w:eastAsia="en-GB"/>
        </w:rPr>
        <w:t xml:space="preserve"> Safety, Employment </w:t>
      </w:r>
      <w:r>
        <w:rPr>
          <w:rFonts w:asciiTheme="majorHAnsi" w:eastAsia="Times New Roman" w:hAnsiTheme="majorHAnsi" w:cstheme="majorBidi"/>
          <w:color w:val="000000" w:themeColor="text1"/>
          <w:sz w:val="23"/>
          <w:szCs w:val="23"/>
          <w:lang w:eastAsia="en-GB"/>
        </w:rPr>
        <w:t>and</w:t>
      </w:r>
      <w:r w:rsidRPr="6F08E4CA">
        <w:rPr>
          <w:rFonts w:asciiTheme="majorHAnsi" w:eastAsia="Times New Roman" w:hAnsiTheme="majorHAnsi" w:cstheme="majorBidi"/>
          <w:color w:val="000000" w:themeColor="text1"/>
          <w:sz w:val="23"/>
          <w:szCs w:val="23"/>
          <w:lang w:eastAsia="en-GB"/>
        </w:rPr>
        <w:t xml:space="preserve"> Work, Housing, Social Networks, Support </w:t>
      </w:r>
      <w:r>
        <w:rPr>
          <w:rFonts w:asciiTheme="majorHAnsi" w:eastAsia="Times New Roman" w:hAnsiTheme="majorHAnsi" w:cstheme="majorBidi"/>
          <w:color w:val="000000" w:themeColor="text1"/>
          <w:sz w:val="23"/>
          <w:szCs w:val="23"/>
          <w:lang w:eastAsia="en-GB"/>
        </w:rPr>
        <w:t>and</w:t>
      </w:r>
      <w:r w:rsidRPr="6F08E4CA">
        <w:rPr>
          <w:rFonts w:asciiTheme="majorHAnsi" w:eastAsia="Times New Roman" w:hAnsiTheme="majorHAnsi" w:cstheme="majorBidi"/>
          <w:color w:val="000000" w:themeColor="text1"/>
          <w:sz w:val="23"/>
          <w:szCs w:val="23"/>
          <w:lang w:eastAsia="en-GB"/>
        </w:rPr>
        <w:t xml:space="preserve"> Exclusion, Socio-demographics, Socioeconomic Position, Neighbourhood Accessibility, and Physical Environment.</w:t>
      </w:r>
    </w:p>
    <w:p w14:paraId="4938B2F0" w14:textId="77777777" w:rsidR="00F00E3D" w:rsidRPr="004611D0" w:rsidRDefault="00F00E3D" w:rsidP="009B2FA7">
      <w:pPr>
        <w:spacing w:after="0" w:line="276" w:lineRule="auto"/>
        <w:rPr>
          <w:rFonts w:asciiTheme="majorHAnsi" w:eastAsia="Times New Roman" w:hAnsiTheme="majorHAnsi" w:cstheme="majorHAnsi"/>
          <w:sz w:val="12"/>
          <w:szCs w:val="12"/>
          <w:lang w:eastAsia="en-GB"/>
        </w:rPr>
      </w:pPr>
    </w:p>
    <w:tbl>
      <w:tblPr>
        <w:tblStyle w:val="TableGrid"/>
        <w:tblW w:w="9734" w:type="dxa"/>
        <w:tblInd w:w="-5" w:type="dxa"/>
        <w:tblLook w:val="04A0" w:firstRow="1" w:lastRow="0" w:firstColumn="1" w:lastColumn="0" w:noHBand="0" w:noVBand="1"/>
      </w:tblPr>
      <w:tblGrid>
        <w:gridCol w:w="1080"/>
        <w:gridCol w:w="2295"/>
        <w:gridCol w:w="4545"/>
        <w:gridCol w:w="900"/>
        <w:gridCol w:w="914"/>
      </w:tblGrid>
      <w:tr w:rsidR="002851FA" w:rsidRPr="004611D0" w14:paraId="4C60F2DC" w14:textId="77777777" w:rsidTr="002851FA">
        <w:trPr>
          <w:trHeight w:val="516"/>
        </w:trPr>
        <w:tc>
          <w:tcPr>
            <w:tcW w:w="1080" w:type="dxa"/>
            <w:shd w:val="clear" w:color="auto" w:fill="D0CECE" w:themeFill="background2" w:themeFillShade="E6"/>
          </w:tcPr>
          <w:p w14:paraId="1F357ABB" w14:textId="77777777" w:rsidR="00F00E3D" w:rsidRPr="004611D0" w:rsidRDefault="00F00E3D" w:rsidP="00290D77">
            <w:pPr>
              <w:spacing w:line="240" w:lineRule="auto"/>
              <w:contextualSpacing/>
              <w:rPr>
                <w:rFonts w:eastAsia="Times New Roman" w:cstheme="minorHAnsi"/>
                <w:b/>
                <w:bCs/>
                <w:sz w:val="21"/>
                <w:szCs w:val="21"/>
                <w:lang w:eastAsia="en-GB"/>
              </w:rPr>
            </w:pPr>
            <w:r w:rsidRPr="004611D0">
              <w:rPr>
                <w:rFonts w:eastAsia="Times New Roman" w:cstheme="minorHAnsi"/>
                <w:b/>
                <w:bCs/>
                <w:sz w:val="21"/>
                <w:szCs w:val="21"/>
                <w:lang w:eastAsia="en-GB"/>
              </w:rPr>
              <w:t>Context Category</w:t>
            </w:r>
          </w:p>
        </w:tc>
        <w:tc>
          <w:tcPr>
            <w:tcW w:w="2295" w:type="dxa"/>
            <w:shd w:val="clear" w:color="auto" w:fill="D0CECE" w:themeFill="background2" w:themeFillShade="E6"/>
          </w:tcPr>
          <w:p w14:paraId="61B20DBB" w14:textId="77777777" w:rsidR="00F00E3D" w:rsidRPr="004611D0" w:rsidRDefault="00F00E3D" w:rsidP="00290D77">
            <w:pPr>
              <w:spacing w:line="240" w:lineRule="auto"/>
              <w:contextualSpacing/>
              <w:rPr>
                <w:rFonts w:eastAsia="Times New Roman" w:cstheme="minorHAnsi"/>
                <w:b/>
                <w:bCs/>
                <w:sz w:val="21"/>
                <w:szCs w:val="21"/>
                <w:lang w:eastAsia="en-GB"/>
              </w:rPr>
            </w:pPr>
            <w:r w:rsidRPr="004611D0">
              <w:rPr>
                <w:rFonts w:eastAsia="Times New Roman" w:cstheme="minorHAnsi"/>
                <w:b/>
                <w:bCs/>
                <w:sz w:val="21"/>
                <w:szCs w:val="21"/>
                <w:lang w:eastAsia="en-GB"/>
              </w:rPr>
              <w:t>Determinant</w:t>
            </w:r>
          </w:p>
        </w:tc>
        <w:tc>
          <w:tcPr>
            <w:tcW w:w="4545" w:type="dxa"/>
            <w:shd w:val="clear" w:color="auto" w:fill="D0CECE" w:themeFill="background2" w:themeFillShade="E6"/>
          </w:tcPr>
          <w:p w14:paraId="06C5A8D0" w14:textId="77777777" w:rsidR="00F00E3D" w:rsidRPr="004611D0" w:rsidRDefault="00F00E3D" w:rsidP="00290D77">
            <w:pPr>
              <w:spacing w:line="240" w:lineRule="auto"/>
              <w:contextualSpacing/>
              <w:rPr>
                <w:rFonts w:eastAsia="Times New Roman" w:cstheme="minorHAnsi"/>
                <w:b/>
                <w:bCs/>
                <w:sz w:val="21"/>
                <w:szCs w:val="21"/>
                <w:lang w:eastAsia="en-GB"/>
              </w:rPr>
            </w:pPr>
            <w:r w:rsidRPr="004611D0">
              <w:rPr>
                <w:rFonts w:eastAsia="Times New Roman" w:cstheme="minorHAnsi"/>
                <w:b/>
                <w:bCs/>
                <w:sz w:val="21"/>
                <w:szCs w:val="21"/>
                <w:lang w:eastAsia="en-GB"/>
              </w:rPr>
              <w:t>Factor</w:t>
            </w:r>
          </w:p>
        </w:tc>
        <w:tc>
          <w:tcPr>
            <w:tcW w:w="1814" w:type="dxa"/>
            <w:gridSpan w:val="2"/>
            <w:shd w:val="clear" w:color="auto" w:fill="D0CECE" w:themeFill="background2" w:themeFillShade="E6"/>
          </w:tcPr>
          <w:p w14:paraId="67E9D9EC" w14:textId="77777777" w:rsidR="00F00E3D" w:rsidRPr="004611D0" w:rsidRDefault="00F00E3D" w:rsidP="00290D77">
            <w:pPr>
              <w:spacing w:line="240" w:lineRule="auto"/>
              <w:contextualSpacing/>
              <w:rPr>
                <w:rFonts w:eastAsia="Times New Roman" w:cstheme="minorHAnsi"/>
                <w:b/>
                <w:bCs/>
                <w:sz w:val="21"/>
                <w:szCs w:val="21"/>
                <w:lang w:eastAsia="en-GB"/>
              </w:rPr>
            </w:pPr>
            <w:r w:rsidRPr="004611D0">
              <w:rPr>
                <w:rFonts w:eastAsia="Times New Roman" w:cstheme="minorHAnsi"/>
                <w:b/>
                <w:bCs/>
                <w:sz w:val="21"/>
                <w:szCs w:val="21"/>
                <w:lang w:eastAsia="en-GB"/>
              </w:rPr>
              <w:t xml:space="preserve"># Articles </w:t>
            </w:r>
          </w:p>
          <w:p w14:paraId="115A32F1" w14:textId="67140DB6" w:rsidR="00F00E3D" w:rsidRPr="004611D0" w:rsidRDefault="002851FA" w:rsidP="00290D77">
            <w:pPr>
              <w:spacing w:line="240" w:lineRule="auto"/>
              <w:contextualSpacing/>
              <w:rPr>
                <w:rFonts w:eastAsia="Times New Roman" w:cstheme="minorHAnsi"/>
                <w:b/>
                <w:bCs/>
                <w:sz w:val="21"/>
                <w:szCs w:val="21"/>
                <w:lang w:eastAsia="en-GB"/>
              </w:rPr>
            </w:pPr>
            <w:r w:rsidRPr="004611D0">
              <w:rPr>
                <w:rFonts w:eastAsia="Times New Roman" w:cstheme="minorHAnsi"/>
                <w:b/>
                <w:bCs/>
                <w:sz w:val="21"/>
                <w:szCs w:val="21"/>
                <w:lang w:eastAsia="en-GB"/>
              </w:rPr>
              <w:t>I</w:t>
            </w:r>
            <w:r w:rsidR="00F00E3D" w:rsidRPr="004611D0">
              <w:rPr>
                <w:rFonts w:eastAsia="Times New Roman" w:cstheme="minorHAnsi"/>
                <w:b/>
                <w:bCs/>
                <w:sz w:val="21"/>
                <w:szCs w:val="21"/>
                <w:lang w:eastAsia="en-GB"/>
              </w:rPr>
              <w:t xml:space="preserve">dentifying </w:t>
            </w:r>
            <w:r w:rsidRPr="004611D0">
              <w:rPr>
                <w:rFonts w:eastAsia="Times New Roman" w:cstheme="minorHAnsi"/>
                <w:b/>
                <w:bCs/>
                <w:sz w:val="21"/>
                <w:szCs w:val="21"/>
                <w:lang w:eastAsia="en-GB"/>
              </w:rPr>
              <w:t>F</w:t>
            </w:r>
            <w:r w:rsidR="00F00E3D" w:rsidRPr="004611D0">
              <w:rPr>
                <w:rFonts w:eastAsia="Times New Roman" w:cstheme="minorHAnsi"/>
                <w:b/>
                <w:bCs/>
                <w:sz w:val="21"/>
                <w:szCs w:val="21"/>
                <w:lang w:eastAsia="en-GB"/>
              </w:rPr>
              <w:t>actor</w:t>
            </w:r>
          </w:p>
        </w:tc>
      </w:tr>
      <w:tr w:rsidR="00F00E3D" w:rsidRPr="00376FC3" w14:paraId="04142AD7" w14:textId="77777777" w:rsidTr="007B3453">
        <w:trPr>
          <w:trHeight w:val="299"/>
        </w:trPr>
        <w:tc>
          <w:tcPr>
            <w:tcW w:w="1080" w:type="dxa"/>
            <w:vMerge w:val="restart"/>
            <w:textDirection w:val="tbRl"/>
            <w:vAlign w:val="center"/>
          </w:tcPr>
          <w:p w14:paraId="3E51BB50" w14:textId="59557872" w:rsidR="00F00E3D" w:rsidRPr="00376FC3" w:rsidRDefault="00F00E3D" w:rsidP="00290D77">
            <w:pPr>
              <w:spacing w:line="240" w:lineRule="auto"/>
              <w:ind w:left="113" w:right="113"/>
              <w:contextualSpacing/>
              <w:jc w:val="center"/>
              <w:rPr>
                <w:rFonts w:eastAsiaTheme="minorEastAsia"/>
                <w:b/>
                <w:color w:val="000000"/>
                <w:lang w:eastAsia="en-GB"/>
              </w:rPr>
            </w:pPr>
            <w:r w:rsidRPr="701B9583">
              <w:rPr>
                <w:rFonts w:eastAsiaTheme="minorEastAsia"/>
                <w:b/>
                <w:bCs/>
                <w:color w:val="000000" w:themeColor="text1"/>
                <w:lang w:eastAsia="en-GB"/>
              </w:rPr>
              <w:t>Economic</w:t>
            </w:r>
          </w:p>
        </w:tc>
        <w:tc>
          <w:tcPr>
            <w:tcW w:w="2295" w:type="dxa"/>
            <w:vMerge w:val="restart"/>
            <w:vAlign w:val="center"/>
          </w:tcPr>
          <w:p w14:paraId="608BBA49"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Economy</w:t>
            </w:r>
          </w:p>
        </w:tc>
        <w:tc>
          <w:tcPr>
            <w:tcW w:w="4545" w:type="dxa"/>
            <w:vAlign w:val="center"/>
          </w:tcPr>
          <w:p w14:paraId="6B7674A2"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Economic Conditions</w:t>
            </w:r>
          </w:p>
        </w:tc>
        <w:tc>
          <w:tcPr>
            <w:tcW w:w="900" w:type="dxa"/>
            <w:vAlign w:val="center"/>
          </w:tcPr>
          <w:p w14:paraId="3A655D31" w14:textId="77777777" w:rsidR="00F00E3D" w:rsidRPr="00376FC3" w:rsidRDefault="00F00E3D" w:rsidP="00290D77">
            <w:pPr>
              <w:tabs>
                <w:tab w:val="left" w:pos="2127"/>
              </w:tabs>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1</w:t>
            </w:r>
          </w:p>
        </w:tc>
        <w:tc>
          <w:tcPr>
            <w:tcW w:w="914" w:type="dxa"/>
            <w:vMerge w:val="restart"/>
            <w:vAlign w:val="center"/>
          </w:tcPr>
          <w:p w14:paraId="5DB501D5" w14:textId="77777777" w:rsidR="00F00E3D" w:rsidRPr="00376FC3" w:rsidRDefault="00F00E3D" w:rsidP="00290D77">
            <w:pPr>
              <w:tabs>
                <w:tab w:val="left" w:pos="2127"/>
              </w:tabs>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4</w:t>
            </w:r>
          </w:p>
        </w:tc>
      </w:tr>
      <w:tr w:rsidR="00F00E3D" w:rsidRPr="00376FC3" w14:paraId="1F07F138" w14:textId="77777777" w:rsidTr="007B3453">
        <w:trPr>
          <w:trHeight w:val="299"/>
        </w:trPr>
        <w:tc>
          <w:tcPr>
            <w:tcW w:w="1080" w:type="dxa"/>
            <w:vMerge/>
          </w:tcPr>
          <w:p w14:paraId="14BC2125"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10505446"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74BDAE02"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Education Funding</w:t>
            </w:r>
          </w:p>
        </w:tc>
        <w:tc>
          <w:tcPr>
            <w:tcW w:w="900" w:type="dxa"/>
            <w:vAlign w:val="center"/>
          </w:tcPr>
          <w:p w14:paraId="2BC985DA"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1</w:t>
            </w:r>
          </w:p>
        </w:tc>
        <w:tc>
          <w:tcPr>
            <w:tcW w:w="914" w:type="dxa"/>
            <w:vMerge/>
            <w:vAlign w:val="center"/>
          </w:tcPr>
          <w:p w14:paraId="6D20D13D"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320FCDE1" w14:textId="77777777" w:rsidTr="007B3453">
        <w:trPr>
          <w:trHeight w:val="237"/>
        </w:trPr>
        <w:tc>
          <w:tcPr>
            <w:tcW w:w="1080" w:type="dxa"/>
            <w:vMerge/>
          </w:tcPr>
          <w:p w14:paraId="0EBDC617"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2165248B"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4037A736"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Energy Affordability</w:t>
            </w:r>
          </w:p>
        </w:tc>
        <w:tc>
          <w:tcPr>
            <w:tcW w:w="900" w:type="dxa"/>
            <w:vAlign w:val="center"/>
          </w:tcPr>
          <w:p w14:paraId="32169DBB"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2</w:t>
            </w:r>
          </w:p>
        </w:tc>
        <w:tc>
          <w:tcPr>
            <w:tcW w:w="914" w:type="dxa"/>
            <w:vMerge/>
            <w:vAlign w:val="center"/>
          </w:tcPr>
          <w:p w14:paraId="28ADE3FB"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301E2492" w14:textId="77777777" w:rsidTr="007B3453">
        <w:trPr>
          <w:trHeight w:val="299"/>
        </w:trPr>
        <w:tc>
          <w:tcPr>
            <w:tcW w:w="1080" w:type="dxa"/>
            <w:vMerge/>
          </w:tcPr>
          <w:p w14:paraId="235A0556"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val="restart"/>
            <w:vAlign w:val="center"/>
          </w:tcPr>
          <w:p w14:paraId="4F8B6A7D"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Policy</w:t>
            </w:r>
          </w:p>
        </w:tc>
        <w:tc>
          <w:tcPr>
            <w:tcW w:w="4545" w:type="dxa"/>
            <w:vAlign w:val="center"/>
          </w:tcPr>
          <w:p w14:paraId="32812ABB"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Government Policy (global)</w:t>
            </w:r>
          </w:p>
        </w:tc>
        <w:tc>
          <w:tcPr>
            <w:tcW w:w="900" w:type="dxa"/>
            <w:vAlign w:val="center"/>
          </w:tcPr>
          <w:p w14:paraId="2051224D"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1</w:t>
            </w:r>
          </w:p>
        </w:tc>
        <w:tc>
          <w:tcPr>
            <w:tcW w:w="914" w:type="dxa"/>
            <w:vMerge w:val="restart"/>
            <w:vAlign w:val="center"/>
          </w:tcPr>
          <w:p w14:paraId="639D99B2"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9</w:t>
            </w:r>
          </w:p>
        </w:tc>
      </w:tr>
      <w:tr w:rsidR="00F00E3D" w:rsidRPr="00376FC3" w14:paraId="19A996CC" w14:textId="77777777" w:rsidTr="007B3453">
        <w:trPr>
          <w:trHeight w:val="299"/>
        </w:trPr>
        <w:tc>
          <w:tcPr>
            <w:tcW w:w="1080" w:type="dxa"/>
            <w:vMerge/>
          </w:tcPr>
          <w:p w14:paraId="0F6DC5E4"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014D6EEF"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12A575A8" w14:textId="121036A1"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 xml:space="preserve">Government Policy (local </w:t>
            </w:r>
            <w:r w:rsidR="00290D77">
              <w:rPr>
                <w:rFonts w:asciiTheme="majorHAnsi" w:eastAsia="Times New Roman" w:hAnsiTheme="majorHAnsi" w:cstheme="majorHAnsi"/>
                <w:color w:val="000000"/>
                <w:lang w:eastAsia="en-GB"/>
              </w:rPr>
              <w:t>and</w:t>
            </w:r>
            <w:r w:rsidRPr="00376FC3">
              <w:rPr>
                <w:rFonts w:asciiTheme="majorHAnsi" w:eastAsia="Times New Roman" w:hAnsiTheme="majorHAnsi" w:cstheme="majorHAnsi"/>
                <w:color w:val="000000"/>
                <w:lang w:eastAsia="en-GB"/>
              </w:rPr>
              <w:t xml:space="preserve"> national)</w:t>
            </w:r>
          </w:p>
        </w:tc>
        <w:tc>
          <w:tcPr>
            <w:tcW w:w="900" w:type="dxa"/>
            <w:vAlign w:val="center"/>
          </w:tcPr>
          <w:p w14:paraId="709F75A9"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6</w:t>
            </w:r>
          </w:p>
        </w:tc>
        <w:tc>
          <w:tcPr>
            <w:tcW w:w="914" w:type="dxa"/>
            <w:vMerge/>
            <w:vAlign w:val="center"/>
          </w:tcPr>
          <w:p w14:paraId="3071D29D"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74E18EB9" w14:textId="77777777" w:rsidTr="007B3453">
        <w:trPr>
          <w:trHeight w:val="299"/>
        </w:trPr>
        <w:tc>
          <w:tcPr>
            <w:tcW w:w="1080" w:type="dxa"/>
            <w:vMerge/>
          </w:tcPr>
          <w:p w14:paraId="1A0AC7B5"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2A9C3C0E"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46B89BA2"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Human Rights Policy</w:t>
            </w:r>
          </w:p>
        </w:tc>
        <w:tc>
          <w:tcPr>
            <w:tcW w:w="900" w:type="dxa"/>
            <w:vAlign w:val="center"/>
          </w:tcPr>
          <w:p w14:paraId="333778AF"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2</w:t>
            </w:r>
          </w:p>
        </w:tc>
        <w:tc>
          <w:tcPr>
            <w:tcW w:w="914" w:type="dxa"/>
            <w:vMerge/>
            <w:vAlign w:val="center"/>
          </w:tcPr>
          <w:p w14:paraId="721D9B73"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276491F4" w14:textId="77777777" w:rsidTr="007B3453">
        <w:trPr>
          <w:trHeight w:val="311"/>
        </w:trPr>
        <w:tc>
          <w:tcPr>
            <w:tcW w:w="1080" w:type="dxa"/>
            <w:vMerge w:val="restart"/>
            <w:textDirection w:val="tbRl"/>
            <w:vAlign w:val="center"/>
          </w:tcPr>
          <w:p w14:paraId="0C2D4A78" w14:textId="77777777" w:rsidR="00F00E3D" w:rsidRPr="00376FC3" w:rsidRDefault="00F00E3D" w:rsidP="00290D77">
            <w:pPr>
              <w:spacing w:line="240" w:lineRule="auto"/>
              <w:contextualSpacing/>
              <w:jc w:val="center"/>
              <w:rPr>
                <w:rFonts w:eastAsiaTheme="minorEastAsia"/>
                <w:b/>
                <w:color w:val="000000"/>
                <w:lang w:eastAsia="en-GB"/>
              </w:rPr>
            </w:pPr>
            <w:r w:rsidRPr="701B9583">
              <w:rPr>
                <w:rFonts w:eastAsiaTheme="minorEastAsia"/>
                <w:b/>
                <w:color w:val="000000" w:themeColor="text1"/>
                <w:lang w:eastAsia="en-GB"/>
              </w:rPr>
              <w:lastRenderedPageBreak/>
              <w:t>Health</w:t>
            </w:r>
          </w:p>
        </w:tc>
        <w:tc>
          <w:tcPr>
            <w:tcW w:w="2295" w:type="dxa"/>
            <w:vMerge w:val="restart"/>
            <w:vAlign w:val="center"/>
          </w:tcPr>
          <w:p w14:paraId="408E896D" w14:textId="7BDD2FD0" w:rsidR="00F00E3D" w:rsidRPr="00376FC3" w:rsidRDefault="00F00E3D" w:rsidP="00290D77">
            <w:pPr>
              <w:spacing w:after="0" w:line="240" w:lineRule="auto"/>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 xml:space="preserve">Healthcare </w:t>
            </w:r>
            <w:r w:rsidR="000374EF">
              <w:rPr>
                <w:rFonts w:asciiTheme="majorHAnsi" w:eastAsia="Times New Roman" w:hAnsiTheme="majorHAnsi" w:cstheme="majorHAnsi"/>
                <w:color w:val="000000"/>
                <w:lang w:eastAsia="en-GB"/>
              </w:rPr>
              <w:t>and</w:t>
            </w:r>
          </w:p>
          <w:p w14:paraId="373AFE67" w14:textId="77777777" w:rsidR="00F00E3D" w:rsidRPr="00376FC3" w:rsidRDefault="00F00E3D" w:rsidP="00290D77">
            <w:pPr>
              <w:spacing w:after="0" w:line="240" w:lineRule="auto"/>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Social Services</w:t>
            </w:r>
          </w:p>
        </w:tc>
        <w:tc>
          <w:tcPr>
            <w:tcW w:w="4545" w:type="dxa"/>
            <w:vAlign w:val="center"/>
          </w:tcPr>
          <w:p w14:paraId="6D3E8D28"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Access to Health Information</w:t>
            </w:r>
          </w:p>
        </w:tc>
        <w:tc>
          <w:tcPr>
            <w:tcW w:w="900" w:type="dxa"/>
            <w:vAlign w:val="center"/>
          </w:tcPr>
          <w:p w14:paraId="13BA2C46"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1</w:t>
            </w:r>
          </w:p>
        </w:tc>
        <w:tc>
          <w:tcPr>
            <w:tcW w:w="914" w:type="dxa"/>
            <w:vMerge w:val="restart"/>
            <w:vAlign w:val="center"/>
          </w:tcPr>
          <w:p w14:paraId="68412CE7"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13</w:t>
            </w:r>
          </w:p>
        </w:tc>
      </w:tr>
      <w:tr w:rsidR="00F00E3D" w:rsidRPr="00376FC3" w14:paraId="20247470" w14:textId="77777777" w:rsidTr="007B3453">
        <w:trPr>
          <w:trHeight w:val="311"/>
        </w:trPr>
        <w:tc>
          <w:tcPr>
            <w:tcW w:w="1080" w:type="dxa"/>
            <w:vMerge/>
          </w:tcPr>
          <w:p w14:paraId="58401707"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2DC05C22"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479B501B"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Access to Healthcare</w:t>
            </w:r>
          </w:p>
        </w:tc>
        <w:tc>
          <w:tcPr>
            <w:tcW w:w="900" w:type="dxa"/>
            <w:vAlign w:val="center"/>
          </w:tcPr>
          <w:p w14:paraId="2C5CE7CA"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3</w:t>
            </w:r>
          </w:p>
        </w:tc>
        <w:tc>
          <w:tcPr>
            <w:tcW w:w="914" w:type="dxa"/>
            <w:vMerge/>
            <w:vAlign w:val="center"/>
          </w:tcPr>
          <w:p w14:paraId="0334EAE8"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1C3B9E83" w14:textId="77777777" w:rsidTr="007B3453">
        <w:trPr>
          <w:trHeight w:val="311"/>
        </w:trPr>
        <w:tc>
          <w:tcPr>
            <w:tcW w:w="1080" w:type="dxa"/>
            <w:vMerge/>
          </w:tcPr>
          <w:p w14:paraId="3193C256"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0C9318F7"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0231664B"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Access to Services</w:t>
            </w:r>
          </w:p>
        </w:tc>
        <w:tc>
          <w:tcPr>
            <w:tcW w:w="900" w:type="dxa"/>
            <w:vAlign w:val="center"/>
          </w:tcPr>
          <w:p w14:paraId="3C2E0551"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9</w:t>
            </w:r>
          </w:p>
        </w:tc>
        <w:tc>
          <w:tcPr>
            <w:tcW w:w="914" w:type="dxa"/>
            <w:vMerge/>
            <w:vAlign w:val="center"/>
          </w:tcPr>
          <w:p w14:paraId="4C8EC580"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05067C7A" w14:textId="77777777" w:rsidTr="007B3453">
        <w:trPr>
          <w:trHeight w:val="311"/>
        </w:trPr>
        <w:tc>
          <w:tcPr>
            <w:tcW w:w="1080" w:type="dxa"/>
            <w:vMerge/>
          </w:tcPr>
          <w:p w14:paraId="363CC75B"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val="restart"/>
            <w:vAlign w:val="center"/>
          </w:tcPr>
          <w:p w14:paraId="54B8B7A3" w14:textId="77777777" w:rsidR="00F00E3D" w:rsidRPr="00376FC3" w:rsidRDefault="00F00E3D" w:rsidP="00290D77">
            <w:pPr>
              <w:spacing w:line="240" w:lineRule="auto"/>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Personal Health Status</w:t>
            </w:r>
          </w:p>
        </w:tc>
        <w:tc>
          <w:tcPr>
            <w:tcW w:w="4545" w:type="dxa"/>
            <w:vAlign w:val="center"/>
          </w:tcPr>
          <w:p w14:paraId="4D69D04A"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Individual Health</w:t>
            </w:r>
          </w:p>
        </w:tc>
        <w:tc>
          <w:tcPr>
            <w:tcW w:w="900" w:type="dxa"/>
            <w:vAlign w:val="center"/>
          </w:tcPr>
          <w:p w14:paraId="6F688C2F"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8</w:t>
            </w:r>
          </w:p>
        </w:tc>
        <w:tc>
          <w:tcPr>
            <w:tcW w:w="914" w:type="dxa"/>
            <w:vMerge w:val="restart"/>
            <w:vAlign w:val="center"/>
          </w:tcPr>
          <w:p w14:paraId="18D6D718"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11</w:t>
            </w:r>
          </w:p>
        </w:tc>
      </w:tr>
      <w:tr w:rsidR="00F00E3D" w:rsidRPr="00376FC3" w14:paraId="5D4DC7DD" w14:textId="77777777" w:rsidTr="004611D0">
        <w:trPr>
          <w:cantSplit/>
          <w:trHeight w:val="187"/>
        </w:trPr>
        <w:tc>
          <w:tcPr>
            <w:tcW w:w="1080" w:type="dxa"/>
            <w:vMerge/>
          </w:tcPr>
          <w:p w14:paraId="64E2161B"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5076F614" w14:textId="77777777" w:rsidR="00F00E3D" w:rsidRPr="00376FC3" w:rsidRDefault="00F00E3D" w:rsidP="00290D77">
            <w:pPr>
              <w:spacing w:line="240" w:lineRule="auto"/>
              <w:rPr>
                <w:rFonts w:asciiTheme="majorHAnsi" w:eastAsia="Times New Roman" w:hAnsiTheme="majorHAnsi" w:cstheme="majorHAnsi"/>
                <w:color w:val="000000"/>
                <w:lang w:eastAsia="en-GB"/>
              </w:rPr>
            </w:pPr>
          </w:p>
        </w:tc>
        <w:tc>
          <w:tcPr>
            <w:tcW w:w="4545" w:type="dxa"/>
            <w:vAlign w:val="center"/>
          </w:tcPr>
          <w:p w14:paraId="7ECB4929" w14:textId="77777777" w:rsidR="00F00E3D" w:rsidRPr="00376FC3" w:rsidRDefault="00F00E3D" w:rsidP="00203685">
            <w:pPr>
              <w:spacing w:after="0" w:line="240" w:lineRule="auto"/>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Early Childhood Experiences</w:t>
            </w:r>
          </w:p>
        </w:tc>
        <w:tc>
          <w:tcPr>
            <w:tcW w:w="900" w:type="dxa"/>
            <w:vAlign w:val="center"/>
          </w:tcPr>
          <w:p w14:paraId="57C29950"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1</w:t>
            </w:r>
          </w:p>
        </w:tc>
        <w:tc>
          <w:tcPr>
            <w:tcW w:w="914" w:type="dxa"/>
            <w:vMerge/>
            <w:vAlign w:val="center"/>
          </w:tcPr>
          <w:p w14:paraId="5F806FCC"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70BADA3F" w14:textId="77777777" w:rsidTr="007B3453">
        <w:trPr>
          <w:trHeight w:val="311"/>
        </w:trPr>
        <w:tc>
          <w:tcPr>
            <w:tcW w:w="1080" w:type="dxa"/>
            <w:vMerge/>
          </w:tcPr>
          <w:p w14:paraId="0BF95290"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76E119A7"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34A2167A"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Physical Activity Level</w:t>
            </w:r>
          </w:p>
        </w:tc>
        <w:tc>
          <w:tcPr>
            <w:tcW w:w="900" w:type="dxa"/>
            <w:vAlign w:val="center"/>
          </w:tcPr>
          <w:p w14:paraId="49451512"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2</w:t>
            </w:r>
          </w:p>
        </w:tc>
        <w:tc>
          <w:tcPr>
            <w:tcW w:w="914" w:type="dxa"/>
            <w:vMerge/>
            <w:vAlign w:val="center"/>
          </w:tcPr>
          <w:p w14:paraId="7A4629B4"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3439D668" w14:textId="77777777" w:rsidTr="009B2FA7">
        <w:trPr>
          <w:trHeight w:val="311"/>
        </w:trPr>
        <w:tc>
          <w:tcPr>
            <w:tcW w:w="1080" w:type="dxa"/>
            <w:vMerge w:val="restart"/>
            <w:textDirection w:val="tbRl"/>
            <w:vAlign w:val="center"/>
          </w:tcPr>
          <w:p w14:paraId="4B538677" w14:textId="09C35665" w:rsidR="00AF7CCF" w:rsidRPr="00376FC3" w:rsidRDefault="007B3453" w:rsidP="00290D77">
            <w:pPr>
              <w:tabs>
                <w:tab w:val="left" w:pos="1457"/>
              </w:tabs>
              <w:spacing w:line="240" w:lineRule="auto"/>
              <w:contextualSpacing/>
              <w:rPr>
                <w:rFonts w:asciiTheme="majorHAnsi" w:eastAsia="Times New Roman" w:hAnsiTheme="majorHAnsi" w:cstheme="majorBidi"/>
                <w:b/>
                <w:color w:val="000000"/>
                <w:lang w:eastAsia="en-GB"/>
              </w:rPr>
            </w:pPr>
            <w:r w:rsidRPr="701B9583">
              <w:rPr>
                <w:rFonts w:asciiTheme="majorHAnsi" w:eastAsia="Times New Roman" w:hAnsiTheme="majorHAnsi" w:cstheme="majorBidi"/>
                <w:b/>
                <w:color w:val="000000" w:themeColor="text1"/>
                <w:lang w:eastAsia="en-GB"/>
              </w:rPr>
              <w:t xml:space="preserve">   </w:t>
            </w:r>
            <w:r w:rsidR="00F00E3D" w:rsidRPr="701B9583">
              <w:rPr>
                <w:rFonts w:eastAsiaTheme="minorEastAsia"/>
                <w:b/>
                <w:color w:val="000000" w:themeColor="text1"/>
                <w:lang w:eastAsia="en-GB"/>
              </w:rPr>
              <w:t>Social</w:t>
            </w:r>
          </w:p>
        </w:tc>
        <w:tc>
          <w:tcPr>
            <w:tcW w:w="2295" w:type="dxa"/>
            <w:vMerge w:val="restart"/>
            <w:vAlign w:val="center"/>
          </w:tcPr>
          <w:p w14:paraId="5E5A6C81" w14:textId="77777777" w:rsidR="00F00E3D" w:rsidRPr="00376FC3" w:rsidRDefault="00F00E3D" w:rsidP="00290D77">
            <w:pPr>
              <w:tabs>
                <w:tab w:val="left" w:pos="1457"/>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Behaviours</w:t>
            </w:r>
          </w:p>
        </w:tc>
        <w:tc>
          <w:tcPr>
            <w:tcW w:w="4545" w:type="dxa"/>
            <w:vAlign w:val="center"/>
          </w:tcPr>
          <w:p w14:paraId="4E017292" w14:textId="77777777" w:rsidR="00F00E3D" w:rsidRPr="00376FC3" w:rsidRDefault="00F00E3D" w:rsidP="00290D77">
            <w:pPr>
              <w:tabs>
                <w:tab w:val="left" w:pos="1457"/>
              </w:tabs>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Personal Behaviours</w:t>
            </w:r>
          </w:p>
        </w:tc>
        <w:tc>
          <w:tcPr>
            <w:tcW w:w="900" w:type="dxa"/>
            <w:vAlign w:val="center"/>
          </w:tcPr>
          <w:p w14:paraId="28951F7C"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2</w:t>
            </w:r>
          </w:p>
        </w:tc>
        <w:tc>
          <w:tcPr>
            <w:tcW w:w="914" w:type="dxa"/>
            <w:vMerge w:val="restart"/>
            <w:vAlign w:val="center"/>
          </w:tcPr>
          <w:p w14:paraId="7BE5A6B8"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4</w:t>
            </w:r>
          </w:p>
        </w:tc>
      </w:tr>
      <w:tr w:rsidR="00F00E3D" w:rsidRPr="00376FC3" w14:paraId="4A736F64" w14:textId="77777777" w:rsidTr="009B2FA7">
        <w:trPr>
          <w:trHeight w:val="311"/>
        </w:trPr>
        <w:tc>
          <w:tcPr>
            <w:tcW w:w="1080" w:type="dxa"/>
            <w:vMerge/>
          </w:tcPr>
          <w:p w14:paraId="29E32D79" w14:textId="77777777" w:rsidR="00F00E3D" w:rsidRPr="00376FC3" w:rsidRDefault="00F00E3D" w:rsidP="00290D77">
            <w:pPr>
              <w:tabs>
                <w:tab w:val="left" w:pos="1457"/>
              </w:tabs>
              <w:spacing w:line="240" w:lineRule="auto"/>
              <w:contextualSpacing/>
              <w:rPr>
                <w:rFonts w:asciiTheme="majorHAnsi" w:eastAsia="Times New Roman" w:hAnsiTheme="majorHAnsi" w:cstheme="majorHAnsi"/>
                <w:color w:val="000000"/>
                <w:lang w:eastAsia="en-GB"/>
              </w:rPr>
            </w:pPr>
          </w:p>
        </w:tc>
        <w:tc>
          <w:tcPr>
            <w:tcW w:w="2295" w:type="dxa"/>
            <w:vMerge/>
          </w:tcPr>
          <w:p w14:paraId="0B543EB2" w14:textId="77777777" w:rsidR="00F00E3D" w:rsidRPr="00376FC3" w:rsidRDefault="00F00E3D" w:rsidP="00290D77">
            <w:pPr>
              <w:tabs>
                <w:tab w:val="left" w:pos="1457"/>
              </w:tabs>
              <w:spacing w:line="240" w:lineRule="auto"/>
              <w:contextualSpacing/>
              <w:rPr>
                <w:rFonts w:asciiTheme="majorHAnsi" w:eastAsia="Times New Roman" w:hAnsiTheme="majorHAnsi" w:cstheme="majorHAnsi"/>
                <w:color w:val="000000"/>
                <w:lang w:eastAsia="en-GB"/>
              </w:rPr>
            </w:pPr>
          </w:p>
        </w:tc>
        <w:tc>
          <w:tcPr>
            <w:tcW w:w="4545" w:type="dxa"/>
            <w:vAlign w:val="center"/>
          </w:tcPr>
          <w:p w14:paraId="39F5EDEF" w14:textId="77777777" w:rsidR="00F00E3D" w:rsidRPr="00376FC3" w:rsidRDefault="00F00E3D" w:rsidP="00290D77">
            <w:pPr>
              <w:tabs>
                <w:tab w:val="left" w:pos="1457"/>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Personal Motivation</w:t>
            </w:r>
          </w:p>
        </w:tc>
        <w:tc>
          <w:tcPr>
            <w:tcW w:w="900" w:type="dxa"/>
            <w:vAlign w:val="center"/>
          </w:tcPr>
          <w:p w14:paraId="2AB5B74D"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1</w:t>
            </w:r>
          </w:p>
        </w:tc>
        <w:tc>
          <w:tcPr>
            <w:tcW w:w="914" w:type="dxa"/>
            <w:vMerge/>
            <w:vAlign w:val="center"/>
          </w:tcPr>
          <w:p w14:paraId="1845D7C5"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0FAC25B3" w14:textId="77777777" w:rsidTr="009B2FA7">
        <w:trPr>
          <w:trHeight w:val="323"/>
        </w:trPr>
        <w:tc>
          <w:tcPr>
            <w:tcW w:w="1080" w:type="dxa"/>
            <w:vMerge/>
          </w:tcPr>
          <w:p w14:paraId="49852C77" w14:textId="77777777" w:rsidR="00F00E3D" w:rsidRPr="00376FC3" w:rsidRDefault="00F00E3D" w:rsidP="00290D77">
            <w:pPr>
              <w:tabs>
                <w:tab w:val="left" w:pos="988"/>
              </w:tabs>
              <w:spacing w:line="240" w:lineRule="auto"/>
              <w:contextualSpacing/>
              <w:rPr>
                <w:rFonts w:asciiTheme="majorHAnsi" w:eastAsia="Times New Roman" w:hAnsiTheme="majorHAnsi" w:cstheme="majorHAnsi"/>
                <w:color w:val="000000"/>
                <w:lang w:eastAsia="en-GB"/>
              </w:rPr>
            </w:pPr>
          </w:p>
        </w:tc>
        <w:tc>
          <w:tcPr>
            <w:tcW w:w="2295" w:type="dxa"/>
            <w:vMerge/>
          </w:tcPr>
          <w:p w14:paraId="1507A29B" w14:textId="77777777" w:rsidR="00F00E3D" w:rsidRPr="00376FC3" w:rsidRDefault="00F00E3D" w:rsidP="00290D77">
            <w:pPr>
              <w:tabs>
                <w:tab w:val="left" w:pos="988"/>
              </w:tabs>
              <w:spacing w:line="240" w:lineRule="auto"/>
              <w:contextualSpacing/>
              <w:rPr>
                <w:rFonts w:asciiTheme="majorHAnsi" w:eastAsia="Times New Roman" w:hAnsiTheme="majorHAnsi" w:cstheme="majorHAnsi"/>
                <w:color w:val="000000"/>
                <w:lang w:eastAsia="en-GB"/>
              </w:rPr>
            </w:pPr>
          </w:p>
        </w:tc>
        <w:tc>
          <w:tcPr>
            <w:tcW w:w="4545" w:type="dxa"/>
            <w:vAlign w:val="center"/>
          </w:tcPr>
          <w:p w14:paraId="60F5D1D3" w14:textId="77777777" w:rsidR="00F00E3D" w:rsidRPr="00376FC3" w:rsidRDefault="00F00E3D" w:rsidP="00290D77">
            <w:pPr>
              <w:tabs>
                <w:tab w:val="left" w:pos="988"/>
              </w:tabs>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 xml:space="preserve">Cultural Activity </w:t>
            </w:r>
          </w:p>
        </w:tc>
        <w:tc>
          <w:tcPr>
            <w:tcW w:w="900" w:type="dxa"/>
            <w:vAlign w:val="center"/>
          </w:tcPr>
          <w:p w14:paraId="517F6A5C"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1</w:t>
            </w:r>
          </w:p>
        </w:tc>
        <w:tc>
          <w:tcPr>
            <w:tcW w:w="914" w:type="dxa"/>
            <w:vMerge/>
            <w:vAlign w:val="center"/>
          </w:tcPr>
          <w:p w14:paraId="20203C0B"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67304186" w14:textId="77777777" w:rsidTr="009B2FA7">
        <w:trPr>
          <w:trHeight w:val="323"/>
        </w:trPr>
        <w:tc>
          <w:tcPr>
            <w:tcW w:w="1080" w:type="dxa"/>
            <w:vMerge/>
          </w:tcPr>
          <w:p w14:paraId="5A2F043D" w14:textId="77777777" w:rsidR="00F00E3D" w:rsidRPr="00376FC3" w:rsidRDefault="00F00E3D" w:rsidP="00290D77">
            <w:pPr>
              <w:tabs>
                <w:tab w:val="left" w:pos="3181"/>
              </w:tabs>
              <w:spacing w:line="240" w:lineRule="auto"/>
              <w:contextualSpacing/>
              <w:rPr>
                <w:rFonts w:asciiTheme="majorHAnsi" w:eastAsia="Times New Roman" w:hAnsiTheme="majorHAnsi" w:cstheme="majorHAnsi"/>
                <w:color w:val="000000"/>
                <w:lang w:eastAsia="en-GB"/>
              </w:rPr>
            </w:pPr>
          </w:p>
        </w:tc>
        <w:tc>
          <w:tcPr>
            <w:tcW w:w="2295" w:type="dxa"/>
            <w:vMerge w:val="restart"/>
            <w:vAlign w:val="center"/>
          </w:tcPr>
          <w:p w14:paraId="58C28B8C" w14:textId="77777777" w:rsidR="00F00E3D" w:rsidRPr="00376FC3" w:rsidRDefault="00F00E3D" w:rsidP="00290D77">
            <w:pPr>
              <w:spacing w:line="240" w:lineRule="auto"/>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Crime &amp; Safety</w:t>
            </w:r>
          </w:p>
        </w:tc>
        <w:tc>
          <w:tcPr>
            <w:tcW w:w="4545" w:type="dxa"/>
            <w:vAlign w:val="center"/>
          </w:tcPr>
          <w:p w14:paraId="3A706F93" w14:textId="77777777" w:rsidR="00F00E3D" w:rsidRPr="00376FC3" w:rsidRDefault="00F00E3D" w:rsidP="00290D77">
            <w:pPr>
              <w:tabs>
                <w:tab w:val="left" w:pos="3181"/>
              </w:tabs>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Antisocial Behaviour</w:t>
            </w:r>
          </w:p>
        </w:tc>
        <w:tc>
          <w:tcPr>
            <w:tcW w:w="900" w:type="dxa"/>
            <w:vAlign w:val="center"/>
          </w:tcPr>
          <w:p w14:paraId="06751B98" w14:textId="77777777" w:rsidR="00F00E3D" w:rsidRPr="00376FC3" w:rsidRDefault="00F00E3D" w:rsidP="00290D77">
            <w:pPr>
              <w:tabs>
                <w:tab w:val="left" w:pos="854"/>
              </w:tabs>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1</w:t>
            </w:r>
          </w:p>
        </w:tc>
        <w:tc>
          <w:tcPr>
            <w:tcW w:w="914" w:type="dxa"/>
            <w:vMerge w:val="restart"/>
            <w:vAlign w:val="center"/>
          </w:tcPr>
          <w:p w14:paraId="55B04ABE" w14:textId="77777777" w:rsidR="00F00E3D" w:rsidRPr="00376FC3" w:rsidRDefault="00F00E3D" w:rsidP="00290D77">
            <w:pPr>
              <w:tabs>
                <w:tab w:val="left" w:pos="854"/>
              </w:tabs>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22</w:t>
            </w:r>
          </w:p>
        </w:tc>
      </w:tr>
      <w:tr w:rsidR="00F00E3D" w:rsidRPr="00376FC3" w14:paraId="400AC465" w14:textId="77777777" w:rsidTr="009B2FA7">
        <w:trPr>
          <w:trHeight w:val="323"/>
        </w:trPr>
        <w:tc>
          <w:tcPr>
            <w:tcW w:w="1080" w:type="dxa"/>
            <w:vMerge/>
          </w:tcPr>
          <w:p w14:paraId="414E9E1A" w14:textId="77777777" w:rsidR="00F00E3D" w:rsidRPr="00376FC3" w:rsidRDefault="00F00E3D" w:rsidP="00290D77">
            <w:pPr>
              <w:tabs>
                <w:tab w:val="left" w:pos="3181"/>
              </w:tabs>
              <w:spacing w:line="240" w:lineRule="auto"/>
              <w:contextualSpacing/>
              <w:rPr>
                <w:rFonts w:asciiTheme="majorHAnsi" w:eastAsia="Times New Roman" w:hAnsiTheme="majorHAnsi" w:cstheme="majorHAnsi"/>
                <w:color w:val="000000"/>
                <w:lang w:eastAsia="en-GB"/>
              </w:rPr>
            </w:pPr>
          </w:p>
        </w:tc>
        <w:tc>
          <w:tcPr>
            <w:tcW w:w="2295" w:type="dxa"/>
            <w:vMerge/>
          </w:tcPr>
          <w:p w14:paraId="00141EEB" w14:textId="77777777" w:rsidR="00F00E3D" w:rsidRPr="00376FC3" w:rsidRDefault="00F00E3D" w:rsidP="00290D77">
            <w:pPr>
              <w:tabs>
                <w:tab w:val="left" w:pos="3181"/>
              </w:tabs>
              <w:spacing w:line="240" w:lineRule="auto"/>
              <w:contextualSpacing/>
              <w:rPr>
                <w:rFonts w:asciiTheme="majorHAnsi" w:eastAsia="Times New Roman" w:hAnsiTheme="majorHAnsi" w:cstheme="majorHAnsi"/>
                <w:color w:val="000000"/>
                <w:lang w:eastAsia="en-GB"/>
              </w:rPr>
            </w:pPr>
          </w:p>
        </w:tc>
        <w:tc>
          <w:tcPr>
            <w:tcW w:w="4545" w:type="dxa"/>
            <w:vAlign w:val="center"/>
          </w:tcPr>
          <w:p w14:paraId="1EF2DE30" w14:textId="77777777" w:rsidR="00F00E3D" w:rsidRPr="00376FC3" w:rsidRDefault="00F00E3D" w:rsidP="00290D77">
            <w:pPr>
              <w:tabs>
                <w:tab w:val="left" w:pos="3181"/>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Crime</w:t>
            </w:r>
          </w:p>
        </w:tc>
        <w:tc>
          <w:tcPr>
            <w:tcW w:w="900" w:type="dxa"/>
            <w:vAlign w:val="center"/>
          </w:tcPr>
          <w:p w14:paraId="66428F7C" w14:textId="77777777" w:rsidR="00F00E3D" w:rsidRPr="00376FC3" w:rsidRDefault="00F00E3D" w:rsidP="00290D77">
            <w:pPr>
              <w:tabs>
                <w:tab w:val="left" w:pos="854"/>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6</w:t>
            </w:r>
          </w:p>
        </w:tc>
        <w:tc>
          <w:tcPr>
            <w:tcW w:w="914" w:type="dxa"/>
            <w:vMerge/>
            <w:vAlign w:val="center"/>
          </w:tcPr>
          <w:p w14:paraId="22876A6E" w14:textId="77777777" w:rsidR="00F00E3D" w:rsidRPr="00376FC3" w:rsidRDefault="00F00E3D" w:rsidP="00290D77">
            <w:pPr>
              <w:tabs>
                <w:tab w:val="left" w:pos="854"/>
              </w:tabs>
              <w:spacing w:line="240" w:lineRule="auto"/>
              <w:contextualSpacing/>
              <w:jc w:val="center"/>
              <w:rPr>
                <w:rFonts w:asciiTheme="majorHAnsi" w:eastAsia="Times New Roman" w:hAnsiTheme="majorHAnsi" w:cstheme="majorHAnsi"/>
                <w:color w:val="000000"/>
                <w:lang w:eastAsia="en-GB"/>
              </w:rPr>
            </w:pPr>
          </w:p>
        </w:tc>
      </w:tr>
      <w:tr w:rsidR="00F00E3D" w:rsidRPr="00376FC3" w14:paraId="3653E3AB" w14:textId="77777777" w:rsidTr="009B2FA7">
        <w:trPr>
          <w:trHeight w:val="311"/>
        </w:trPr>
        <w:tc>
          <w:tcPr>
            <w:tcW w:w="1080" w:type="dxa"/>
            <w:vMerge/>
          </w:tcPr>
          <w:p w14:paraId="781D26A3" w14:textId="77777777" w:rsidR="00F00E3D" w:rsidRPr="00376FC3" w:rsidRDefault="00F00E3D" w:rsidP="00290D77">
            <w:pPr>
              <w:tabs>
                <w:tab w:val="left" w:pos="3181"/>
              </w:tabs>
              <w:spacing w:line="240" w:lineRule="auto"/>
              <w:contextualSpacing/>
              <w:rPr>
                <w:rFonts w:asciiTheme="majorHAnsi" w:eastAsia="Times New Roman" w:hAnsiTheme="majorHAnsi" w:cstheme="majorHAnsi"/>
                <w:color w:val="000000"/>
                <w:lang w:eastAsia="en-GB"/>
              </w:rPr>
            </w:pPr>
          </w:p>
        </w:tc>
        <w:tc>
          <w:tcPr>
            <w:tcW w:w="2295" w:type="dxa"/>
            <w:vMerge/>
          </w:tcPr>
          <w:p w14:paraId="11603427" w14:textId="77777777" w:rsidR="00F00E3D" w:rsidRPr="00376FC3" w:rsidRDefault="00F00E3D" w:rsidP="00290D77">
            <w:pPr>
              <w:tabs>
                <w:tab w:val="left" w:pos="3181"/>
              </w:tabs>
              <w:spacing w:line="240" w:lineRule="auto"/>
              <w:contextualSpacing/>
              <w:rPr>
                <w:rFonts w:asciiTheme="majorHAnsi" w:eastAsia="Times New Roman" w:hAnsiTheme="majorHAnsi" w:cstheme="majorHAnsi"/>
                <w:color w:val="000000"/>
                <w:lang w:eastAsia="en-GB"/>
              </w:rPr>
            </w:pPr>
          </w:p>
        </w:tc>
        <w:tc>
          <w:tcPr>
            <w:tcW w:w="4545" w:type="dxa"/>
            <w:vAlign w:val="center"/>
          </w:tcPr>
          <w:p w14:paraId="32BD763D" w14:textId="77777777" w:rsidR="00F00E3D" w:rsidRPr="00376FC3" w:rsidRDefault="00F00E3D" w:rsidP="00290D77">
            <w:pPr>
              <w:tabs>
                <w:tab w:val="left" w:pos="3181"/>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Neighbourhood Reputation</w:t>
            </w:r>
          </w:p>
        </w:tc>
        <w:tc>
          <w:tcPr>
            <w:tcW w:w="900" w:type="dxa"/>
            <w:vAlign w:val="center"/>
          </w:tcPr>
          <w:p w14:paraId="296DD33C" w14:textId="77777777" w:rsidR="00F00E3D" w:rsidRPr="00376FC3" w:rsidRDefault="00F00E3D" w:rsidP="00290D77">
            <w:pPr>
              <w:tabs>
                <w:tab w:val="left" w:pos="854"/>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2</w:t>
            </w:r>
          </w:p>
        </w:tc>
        <w:tc>
          <w:tcPr>
            <w:tcW w:w="914" w:type="dxa"/>
            <w:vMerge/>
            <w:vAlign w:val="center"/>
          </w:tcPr>
          <w:p w14:paraId="754D6CCD" w14:textId="77777777" w:rsidR="00F00E3D" w:rsidRPr="00376FC3" w:rsidRDefault="00F00E3D" w:rsidP="00290D77">
            <w:pPr>
              <w:tabs>
                <w:tab w:val="left" w:pos="854"/>
              </w:tabs>
              <w:spacing w:line="240" w:lineRule="auto"/>
              <w:contextualSpacing/>
              <w:jc w:val="center"/>
              <w:rPr>
                <w:rFonts w:asciiTheme="majorHAnsi" w:eastAsia="Times New Roman" w:hAnsiTheme="majorHAnsi" w:cstheme="majorHAnsi"/>
                <w:color w:val="000000"/>
                <w:lang w:eastAsia="en-GB"/>
              </w:rPr>
            </w:pPr>
          </w:p>
        </w:tc>
      </w:tr>
      <w:tr w:rsidR="00F00E3D" w:rsidRPr="00376FC3" w14:paraId="074D1A15" w14:textId="77777777" w:rsidTr="009B2FA7">
        <w:trPr>
          <w:trHeight w:val="323"/>
        </w:trPr>
        <w:tc>
          <w:tcPr>
            <w:tcW w:w="1080" w:type="dxa"/>
            <w:vMerge/>
          </w:tcPr>
          <w:p w14:paraId="4B51DFE0" w14:textId="77777777" w:rsidR="00F00E3D" w:rsidRPr="00376FC3" w:rsidRDefault="00F00E3D" w:rsidP="00290D77">
            <w:pPr>
              <w:tabs>
                <w:tab w:val="left" w:pos="3181"/>
              </w:tabs>
              <w:spacing w:line="240" w:lineRule="auto"/>
              <w:contextualSpacing/>
              <w:rPr>
                <w:rFonts w:asciiTheme="majorHAnsi" w:eastAsia="Times New Roman" w:hAnsiTheme="majorHAnsi" w:cstheme="majorHAnsi"/>
                <w:color w:val="000000"/>
                <w:lang w:eastAsia="en-GB"/>
              </w:rPr>
            </w:pPr>
          </w:p>
        </w:tc>
        <w:tc>
          <w:tcPr>
            <w:tcW w:w="2295" w:type="dxa"/>
            <w:vMerge/>
          </w:tcPr>
          <w:p w14:paraId="1F067C87" w14:textId="77777777" w:rsidR="00F00E3D" w:rsidRPr="00376FC3" w:rsidRDefault="00F00E3D" w:rsidP="00290D77">
            <w:pPr>
              <w:tabs>
                <w:tab w:val="left" w:pos="3181"/>
              </w:tabs>
              <w:spacing w:line="240" w:lineRule="auto"/>
              <w:contextualSpacing/>
              <w:rPr>
                <w:rFonts w:asciiTheme="majorHAnsi" w:eastAsia="Times New Roman" w:hAnsiTheme="majorHAnsi" w:cstheme="majorHAnsi"/>
                <w:color w:val="000000"/>
                <w:lang w:eastAsia="en-GB"/>
              </w:rPr>
            </w:pPr>
          </w:p>
        </w:tc>
        <w:tc>
          <w:tcPr>
            <w:tcW w:w="4545" w:type="dxa"/>
            <w:vAlign w:val="center"/>
          </w:tcPr>
          <w:p w14:paraId="56E40CF3" w14:textId="77777777" w:rsidR="00F00E3D" w:rsidRPr="00376FC3" w:rsidRDefault="00F00E3D" w:rsidP="00290D77">
            <w:pPr>
              <w:tabs>
                <w:tab w:val="left" w:pos="3181"/>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Neighbourhood Safety</w:t>
            </w:r>
          </w:p>
        </w:tc>
        <w:tc>
          <w:tcPr>
            <w:tcW w:w="900" w:type="dxa"/>
            <w:vAlign w:val="center"/>
          </w:tcPr>
          <w:p w14:paraId="05D1B22E" w14:textId="77777777" w:rsidR="00F00E3D" w:rsidRPr="00376FC3" w:rsidRDefault="00F00E3D" w:rsidP="00290D77">
            <w:pPr>
              <w:tabs>
                <w:tab w:val="left" w:pos="854"/>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11</w:t>
            </w:r>
          </w:p>
        </w:tc>
        <w:tc>
          <w:tcPr>
            <w:tcW w:w="914" w:type="dxa"/>
            <w:vMerge/>
            <w:vAlign w:val="center"/>
          </w:tcPr>
          <w:p w14:paraId="58AD3167" w14:textId="77777777" w:rsidR="00F00E3D" w:rsidRPr="00376FC3" w:rsidRDefault="00F00E3D" w:rsidP="00290D77">
            <w:pPr>
              <w:tabs>
                <w:tab w:val="left" w:pos="854"/>
              </w:tabs>
              <w:spacing w:line="240" w:lineRule="auto"/>
              <w:contextualSpacing/>
              <w:jc w:val="center"/>
              <w:rPr>
                <w:rFonts w:asciiTheme="majorHAnsi" w:eastAsia="Times New Roman" w:hAnsiTheme="majorHAnsi" w:cstheme="majorHAnsi"/>
                <w:color w:val="000000"/>
                <w:lang w:eastAsia="en-GB"/>
              </w:rPr>
            </w:pPr>
          </w:p>
        </w:tc>
      </w:tr>
      <w:tr w:rsidR="00F00E3D" w:rsidRPr="00376FC3" w14:paraId="31DC1C92" w14:textId="77777777" w:rsidTr="009B2FA7">
        <w:trPr>
          <w:trHeight w:val="323"/>
        </w:trPr>
        <w:tc>
          <w:tcPr>
            <w:tcW w:w="1080" w:type="dxa"/>
            <w:vMerge/>
          </w:tcPr>
          <w:p w14:paraId="33EE4D0E"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580ED91E"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4CAC353B"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Violence</w:t>
            </w:r>
          </w:p>
        </w:tc>
        <w:tc>
          <w:tcPr>
            <w:tcW w:w="900" w:type="dxa"/>
            <w:vAlign w:val="center"/>
          </w:tcPr>
          <w:p w14:paraId="0582F067"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2</w:t>
            </w:r>
          </w:p>
        </w:tc>
        <w:tc>
          <w:tcPr>
            <w:tcW w:w="914" w:type="dxa"/>
            <w:vMerge/>
            <w:vAlign w:val="center"/>
          </w:tcPr>
          <w:p w14:paraId="0B4D5C57"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3513CCF8" w14:textId="77777777" w:rsidTr="009B2FA7">
        <w:trPr>
          <w:trHeight w:val="323"/>
        </w:trPr>
        <w:tc>
          <w:tcPr>
            <w:tcW w:w="1080" w:type="dxa"/>
            <w:vMerge/>
          </w:tcPr>
          <w:p w14:paraId="6440D1E5"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val="restart"/>
            <w:vAlign w:val="center"/>
          </w:tcPr>
          <w:p w14:paraId="25C13BA0" w14:textId="77777777" w:rsidR="00F00E3D" w:rsidRPr="00376FC3" w:rsidRDefault="00F00E3D" w:rsidP="00290D77">
            <w:pPr>
              <w:spacing w:line="240" w:lineRule="auto"/>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Employment &amp; Work</w:t>
            </w:r>
          </w:p>
        </w:tc>
        <w:tc>
          <w:tcPr>
            <w:tcW w:w="4545" w:type="dxa"/>
            <w:vAlign w:val="center"/>
          </w:tcPr>
          <w:p w14:paraId="01191F27"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Access to Employment</w:t>
            </w:r>
          </w:p>
        </w:tc>
        <w:tc>
          <w:tcPr>
            <w:tcW w:w="900" w:type="dxa"/>
            <w:vAlign w:val="center"/>
          </w:tcPr>
          <w:p w14:paraId="3BCCCD38"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3</w:t>
            </w:r>
          </w:p>
        </w:tc>
        <w:tc>
          <w:tcPr>
            <w:tcW w:w="914" w:type="dxa"/>
            <w:vMerge w:val="restart"/>
            <w:vAlign w:val="center"/>
          </w:tcPr>
          <w:p w14:paraId="3AE9C412"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13</w:t>
            </w:r>
          </w:p>
        </w:tc>
      </w:tr>
      <w:tr w:rsidR="00F00E3D" w:rsidRPr="00376FC3" w14:paraId="6B12BBAA" w14:textId="77777777" w:rsidTr="009B2FA7">
        <w:trPr>
          <w:trHeight w:val="311"/>
        </w:trPr>
        <w:tc>
          <w:tcPr>
            <w:tcW w:w="1080" w:type="dxa"/>
            <w:vMerge/>
          </w:tcPr>
          <w:p w14:paraId="53AB052F"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62F2B3AA"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13E36790"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 xml:space="preserve">Employment </w:t>
            </w:r>
          </w:p>
        </w:tc>
        <w:tc>
          <w:tcPr>
            <w:tcW w:w="900" w:type="dxa"/>
            <w:vAlign w:val="center"/>
          </w:tcPr>
          <w:p w14:paraId="1608BAE2"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8</w:t>
            </w:r>
          </w:p>
        </w:tc>
        <w:tc>
          <w:tcPr>
            <w:tcW w:w="914" w:type="dxa"/>
            <w:vMerge/>
            <w:vAlign w:val="center"/>
          </w:tcPr>
          <w:p w14:paraId="67F63316"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05C8A322" w14:textId="77777777" w:rsidTr="009B2FA7">
        <w:trPr>
          <w:trHeight w:val="323"/>
        </w:trPr>
        <w:tc>
          <w:tcPr>
            <w:tcW w:w="1080" w:type="dxa"/>
            <w:vMerge/>
          </w:tcPr>
          <w:p w14:paraId="48B65F72"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17786777"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01260BEA"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Skills</w:t>
            </w:r>
          </w:p>
        </w:tc>
        <w:tc>
          <w:tcPr>
            <w:tcW w:w="900" w:type="dxa"/>
            <w:vAlign w:val="center"/>
          </w:tcPr>
          <w:p w14:paraId="2BA3AEA8"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2</w:t>
            </w:r>
          </w:p>
        </w:tc>
        <w:tc>
          <w:tcPr>
            <w:tcW w:w="914" w:type="dxa"/>
            <w:vMerge/>
            <w:vAlign w:val="center"/>
          </w:tcPr>
          <w:p w14:paraId="417021AC"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06A4730E" w14:textId="77777777" w:rsidTr="009B2FA7">
        <w:trPr>
          <w:trHeight w:val="323"/>
        </w:trPr>
        <w:tc>
          <w:tcPr>
            <w:tcW w:w="1080" w:type="dxa"/>
            <w:vMerge/>
          </w:tcPr>
          <w:p w14:paraId="7D2710D6"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val="restart"/>
            <w:vAlign w:val="center"/>
          </w:tcPr>
          <w:p w14:paraId="5EBDD881" w14:textId="77777777" w:rsidR="00F00E3D" w:rsidRPr="00376FC3" w:rsidRDefault="00F00E3D" w:rsidP="00290D77">
            <w:pPr>
              <w:spacing w:line="240" w:lineRule="auto"/>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Housing</w:t>
            </w:r>
          </w:p>
        </w:tc>
        <w:tc>
          <w:tcPr>
            <w:tcW w:w="4545" w:type="dxa"/>
            <w:vAlign w:val="center"/>
          </w:tcPr>
          <w:p w14:paraId="3427A2F5"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 xml:space="preserve">Housing </w:t>
            </w:r>
          </w:p>
        </w:tc>
        <w:tc>
          <w:tcPr>
            <w:tcW w:w="900" w:type="dxa"/>
            <w:vAlign w:val="center"/>
          </w:tcPr>
          <w:p w14:paraId="6FA35F87"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8</w:t>
            </w:r>
          </w:p>
        </w:tc>
        <w:tc>
          <w:tcPr>
            <w:tcW w:w="914" w:type="dxa"/>
            <w:vMerge w:val="restart"/>
            <w:vAlign w:val="center"/>
          </w:tcPr>
          <w:p w14:paraId="6994A5AB"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20</w:t>
            </w:r>
          </w:p>
        </w:tc>
      </w:tr>
      <w:tr w:rsidR="00F00E3D" w:rsidRPr="00376FC3" w14:paraId="72A4BB26" w14:textId="77777777" w:rsidTr="009B2FA7">
        <w:trPr>
          <w:trHeight w:val="323"/>
        </w:trPr>
        <w:tc>
          <w:tcPr>
            <w:tcW w:w="1080" w:type="dxa"/>
            <w:vMerge/>
          </w:tcPr>
          <w:p w14:paraId="6DDEA312"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1122D238"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7FE75860"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Housing (access to Affordable Housing)</w:t>
            </w:r>
          </w:p>
        </w:tc>
        <w:tc>
          <w:tcPr>
            <w:tcW w:w="900" w:type="dxa"/>
            <w:vAlign w:val="center"/>
          </w:tcPr>
          <w:p w14:paraId="69365741"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10</w:t>
            </w:r>
          </w:p>
        </w:tc>
        <w:tc>
          <w:tcPr>
            <w:tcW w:w="914" w:type="dxa"/>
            <w:vMerge/>
            <w:vAlign w:val="center"/>
          </w:tcPr>
          <w:p w14:paraId="64BE4688"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3825FBAF" w14:textId="77777777" w:rsidTr="009B2FA7">
        <w:trPr>
          <w:trHeight w:val="311"/>
        </w:trPr>
        <w:tc>
          <w:tcPr>
            <w:tcW w:w="1080" w:type="dxa"/>
            <w:vMerge/>
          </w:tcPr>
          <w:p w14:paraId="34ACA8A7" w14:textId="77777777" w:rsidR="00F00E3D" w:rsidRPr="00376FC3" w:rsidRDefault="00F00E3D" w:rsidP="00290D77">
            <w:pPr>
              <w:tabs>
                <w:tab w:val="left" w:pos="2713"/>
              </w:tabs>
              <w:spacing w:line="240" w:lineRule="auto"/>
              <w:contextualSpacing/>
              <w:rPr>
                <w:rFonts w:asciiTheme="majorHAnsi" w:eastAsia="Times New Roman" w:hAnsiTheme="majorHAnsi" w:cstheme="majorHAnsi"/>
                <w:color w:val="000000"/>
                <w:lang w:eastAsia="en-GB"/>
              </w:rPr>
            </w:pPr>
          </w:p>
        </w:tc>
        <w:tc>
          <w:tcPr>
            <w:tcW w:w="2295" w:type="dxa"/>
            <w:vMerge/>
          </w:tcPr>
          <w:p w14:paraId="5ECECE48" w14:textId="77777777" w:rsidR="00F00E3D" w:rsidRPr="00376FC3" w:rsidRDefault="00F00E3D" w:rsidP="00290D77">
            <w:pPr>
              <w:tabs>
                <w:tab w:val="left" w:pos="2713"/>
              </w:tabs>
              <w:spacing w:line="240" w:lineRule="auto"/>
              <w:contextualSpacing/>
              <w:rPr>
                <w:rFonts w:asciiTheme="majorHAnsi" w:eastAsia="Times New Roman" w:hAnsiTheme="majorHAnsi" w:cstheme="majorHAnsi"/>
                <w:color w:val="000000"/>
                <w:lang w:eastAsia="en-GB"/>
              </w:rPr>
            </w:pPr>
          </w:p>
        </w:tc>
        <w:tc>
          <w:tcPr>
            <w:tcW w:w="4545" w:type="dxa"/>
            <w:vAlign w:val="center"/>
          </w:tcPr>
          <w:p w14:paraId="3ECC822A" w14:textId="77777777" w:rsidR="00F00E3D" w:rsidRPr="00376FC3" w:rsidRDefault="00F00E3D" w:rsidP="00290D77">
            <w:pPr>
              <w:tabs>
                <w:tab w:val="left" w:pos="2713"/>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Housing (Home-making Practices)</w:t>
            </w:r>
          </w:p>
        </w:tc>
        <w:tc>
          <w:tcPr>
            <w:tcW w:w="900" w:type="dxa"/>
            <w:vAlign w:val="center"/>
          </w:tcPr>
          <w:p w14:paraId="46AA4F36"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1</w:t>
            </w:r>
          </w:p>
        </w:tc>
        <w:tc>
          <w:tcPr>
            <w:tcW w:w="914" w:type="dxa"/>
            <w:vMerge/>
            <w:vAlign w:val="center"/>
          </w:tcPr>
          <w:p w14:paraId="0EADAF2D"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09333DE2" w14:textId="77777777" w:rsidTr="009B2FA7">
        <w:trPr>
          <w:trHeight w:val="323"/>
        </w:trPr>
        <w:tc>
          <w:tcPr>
            <w:tcW w:w="1080" w:type="dxa"/>
            <w:vMerge/>
          </w:tcPr>
          <w:p w14:paraId="2435341B" w14:textId="77777777" w:rsidR="00F00E3D" w:rsidRPr="00376FC3" w:rsidRDefault="00F00E3D" w:rsidP="00290D77">
            <w:pPr>
              <w:tabs>
                <w:tab w:val="left" w:pos="2713"/>
              </w:tabs>
              <w:spacing w:line="240" w:lineRule="auto"/>
              <w:contextualSpacing/>
              <w:rPr>
                <w:rFonts w:asciiTheme="majorHAnsi" w:eastAsia="Times New Roman" w:hAnsiTheme="majorHAnsi" w:cstheme="majorHAnsi"/>
                <w:color w:val="000000"/>
                <w:lang w:eastAsia="en-GB"/>
              </w:rPr>
            </w:pPr>
          </w:p>
        </w:tc>
        <w:tc>
          <w:tcPr>
            <w:tcW w:w="2295" w:type="dxa"/>
            <w:vMerge/>
          </w:tcPr>
          <w:p w14:paraId="281CA6E2" w14:textId="77777777" w:rsidR="00F00E3D" w:rsidRPr="00376FC3" w:rsidRDefault="00F00E3D" w:rsidP="00290D77">
            <w:pPr>
              <w:tabs>
                <w:tab w:val="left" w:pos="2713"/>
              </w:tabs>
              <w:spacing w:line="240" w:lineRule="auto"/>
              <w:contextualSpacing/>
              <w:rPr>
                <w:rFonts w:asciiTheme="majorHAnsi" w:eastAsia="Times New Roman" w:hAnsiTheme="majorHAnsi" w:cstheme="majorHAnsi"/>
                <w:color w:val="000000"/>
                <w:lang w:eastAsia="en-GB"/>
              </w:rPr>
            </w:pPr>
          </w:p>
        </w:tc>
        <w:tc>
          <w:tcPr>
            <w:tcW w:w="4545" w:type="dxa"/>
            <w:vAlign w:val="center"/>
          </w:tcPr>
          <w:p w14:paraId="6E3AF2FB" w14:textId="77777777" w:rsidR="00F00E3D" w:rsidRPr="00376FC3" w:rsidRDefault="00F00E3D" w:rsidP="00290D77">
            <w:pPr>
              <w:tabs>
                <w:tab w:val="left" w:pos="2713"/>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Housing (length of tenure/stay)</w:t>
            </w:r>
          </w:p>
        </w:tc>
        <w:tc>
          <w:tcPr>
            <w:tcW w:w="900" w:type="dxa"/>
            <w:vAlign w:val="center"/>
          </w:tcPr>
          <w:p w14:paraId="668880F1"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1</w:t>
            </w:r>
          </w:p>
        </w:tc>
        <w:tc>
          <w:tcPr>
            <w:tcW w:w="914" w:type="dxa"/>
            <w:vMerge/>
            <w:vAlign w:val="center"/>
          </w:tcPr>
          <w:p w14:paraId="1DC77DD6"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34AF55E3" w14:textId="77777777" w:rsidTr="009B2FA7">
        <w:trPr>
          <w:trHeight w:val="323"/>
        </w:trPr>
        <w:tc>
          <w:tcPr>
            <w:tcW w:w="1080" w:type="dxa"/>
            <w:vMerge/>
          </w:tcPr>
          <w:p w14:paraId="0DD9B0FD"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val="restart"/>
            <w:vAlign w:val="center"/>
          </w:tcPr>
          <w:p w14:paraId="7367A1FD"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bookmarkStart w:id="29" w:name="OLE_LINK3"/>
            <w:bookmarkStart w:id="30" w:name="OLE_LINK4"/>
            <w:r w:rsidRPr="00376FC3">
              <w:rPr>
                <w:rFonts w:asciiTheme="majorHAnsi" w:eastAsia="Times New Roman" w:hAnsiTheme="majorHAnsi" w:cstheme="majorHAnsi"/>
                <w:color w:val="000000"/>
                <w:lang w:eastAsia="en-GB"/>
              </w:rPr>
              <w:t>Social Networks, Support &amp; Exclusion</w:t>
            </w:r>
            <w:bookmarkEnd w:id="29"/>
            <w:bookmarkEnd w:id="30"/>
          </w:p>
        </w:tc>
        <w:tc>
          <w:tcPr>
            <w:tcW w:w="4545" w:type="dxa"/>
            <w:vAlign w:val="center"/>
          </w:tcPr>
          <w:p w14:paraId="69BE5D12"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Quality of Social &amp; Familial Networks</w:t>
            </w:r>
          </w:p>
        </w:tc>
        <w:tc>
          <w:tcPr>
            <w:tcW w:w="900" w:type="dxa"/>
            <w:vAlign w:val="center"/>
          </w:tcPr>
          <w:p w14:paraId="4705669D"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7</w:t>
            </w:r>
          </w:p>
        </w:tc>
        <w:tc>
          <w:tcPr>
            <w:tcW w:w="914" w:type="dxa"/>
            <w:vMerge w:val="restart"/>
            <w:vAlign w:val="center"/>
          </w:tcPr>
          <w:p w14:paraId="353E5E2B"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29</w:t>
            </w:r>
          </w:p>
        </w:tc>
      </w:tr>
      <w:tr w:rsidR="00F00E3D" w:rsidRPr="00376FC3" w14:paraId="699EC3ED" w14:textId="77777777" w:rsidTr="009B2FA7">
        <w:trPr>
          <w:trHeight w:val="323"/>
        </w:trPr>
        <w:tc>
          <w:tcPr>
            <w:tcW w:w="1080" w:type="dxa"/>
            <w:vMerge/>
          </w:tcPr>
          <w:p w14:paraId="457EBD22"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2A2A88C3"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3CCD584A"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Sense of Belonging</w:t>
            </w:r>
          </w:p>
        </w:tc>
        <w:tc>
          <w:tcPr>
            <w:tcW w:w="900" w:type="dxa"/>
            <w:vAlign w:val="center"/>
          </w:tcPr>
          <w:p w14:paraId="2CC0D23F"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1</w:t>
            </w:r>
          </w:p>
        </w:tc>
        <w:tc>
          <w:tcPr>
            <w:tcW w:w="914" w:type="dxa"/>
            <w:vMerge/>
            <w:vAlign w:val="center"/>
          </w:tcPr>
          <w:p w14:paraId="7C4E79AC"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62933054" w14:textId="77777777" w:rsidTr="009B2FA7">
        <w:trPr>
          <w:trHeight w:val="311"/>
        </w:trPr>
        <w:tc>
          <w:tcPr>
            <w:tcW w:w="1080" w:type="dxa"/>
            <w:vMerge/>
          </w:tcPr>
          <w:p w14:paraId="0ACF5276"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4E9B39E8"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3409463C"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Social Capital*</w:t>
            </w:r>
          </w:p>
        </w:tc>
        <w:tc>
          <w:tcPr>
            <w:tcW w:w="900" w:type="dxa"/>
            <w:vAlign w:val="center"/>
          </w:tcPr>
          <w:p w14:paraId="62D8342D"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8</w:t>
            </w:r>
          </w:p>
        </w:tc>
        <w:tc>
          <w:tcPr>
            <w:tcW w:w="914" w:type="dxa"/>
            <w:vMerge/>
            <w:vAlign w:val="center"/>
          </w:tcPr>
          <w:p w14:paraId="1B568E06"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58EDF10A" w14:textId="77777777" w:rsidTr="009B2FA7">
        <w:trPr>
          <w:trHeight w:val="323"/>
        </w:trPr>
        <w:tc>
          <w:tcPr>
            <w:tcW w:w="1080" w:type="dxa"/>
            <w:vMerge/>
          </w:tcPr>
          <w:p w14:paraId="43B1F08A"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1C65B8CC"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056F3BB6"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Social Cohesion</w:t>
            </w:r>
          </w:p>
        </w:tc>
        <w:tc>
          <w:tcPr>
            <w:tcW w:w="900" w:type="dxa"/>
            <w:vAlign w:val="center"/>
          </w:tcPr>
          <w:p w14:paraId="1752612E"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2</w:t>
            </w:r>
          </w:p>
        </w:tc>
        <w:tc>
          <w:tcPr>
            <w:tcW w:w="914" w:type="dxa"/>
            <w:vMerge/>
            <w:vAlign w:val="center"/>
          </w:tcPr>
          <w:p w14:paraId="4E66CDB1"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7A09EE08" w14:textId="77777777" w:rsidTr="009B2FA7">
        <w:trPr>
          <w:trHeight w:val="323"/>
        </w:trPr>
        <w:tc>
          <w:tcPr>
            <w:tcW w:w="1080" w:type="dxa"/>
            <w:vMerge/>
          </w:tcPr>
          <w:p w14:paraId="3B45027F"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617D9142"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293A89FD"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Social Diversity</w:t>
            </w:r>
          </w:p>
        </w:tc>
        <w:tc>
          <w:tcPr>
            <w:tcW w:w="900" w:type="dxa"/>
            <w:vAlign w:val="center"/>
          </w:tcPr>
          <w:p w14:paraId="45CC6FCC"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3</w:t>
            </w:r>
          </w:p>
        </w:tc>
        <w:tc>
          <w:tcPr>
            <w:tcW w:w="914" w:type="dxa"/>
            <w:vMerge/>
            <w:vAlign w:val="center"/>
          </w:tcPr>
          <w:p w14:paraId="4EE9CA7D"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0798B1DF" w14:textId="77777777" w:rsidTr="009B2FA7">
        <w:trPr>
          <w:trHeight w:val="323"/>
        </w:trPr>
        <w:tc>
          <w:tcPr>
            <w:tcW w:w="1080" w:type="dxa"/>
            <w:vMerge/>
          </w:tcPr>
          <w:p w14:paraId="69FD93D4"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401D0DA6"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35A166C8"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Social Engagement</w:t>
            </w:r>
          </w:p>
        </w:tc>
        <w:tc>
          <w:tcPr>
            <w:tcW w:w="900" w:type="dxa"/>
            <w:vAlign w:val="center"/>
          </w:tcPr>
          <w:p w14:paraId="0BF0D975"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2</w:t>
            </w:r>
          </w:p>
        </w:tc>
        <w:tc>
          <w:tcPr>
            <w:tcW w:w="914" w:type="dxa"/>
            <w:vMerge/>
            <w:vAlign w:val="center"/>
          </w:tcPr>
          <w:p w14:paraId="31D305F7"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28FDBB4D" w14:textId="77777777" w:rsidTr="009B2FA7">
        <w:trPr>
          <w:trHeight w:val="311"/>
        </w:trPr>
        <w:tc>
          <w:tcPr>
            <w:tcW w:w="1080" w:type="dxa"/>
            <w:vMerge/>
          </w:tcPr>
          <w:p w14:paraId="07EC6306"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129F9AB3"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0FFE7D60"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Social Exclusion</w:t>
            </w:r>
          </w:p>
        </w:tc>
        <w:tc>
          <w:tcPr>
            <w:tcW w:w="900" w:type="dxa"/>
            <w:vAlign w:val="center"/>
          </w:tcPr>
          <w:p w14:paraId="311C9621"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3</w:t>
            </w:r>
          </w:p>
        </w:tc>
        <w:tc>
          <w:tcPr>
            <w:tcW w:w="914" w:type="dxa"/>
            <w:vMerge/>
            <w:vAlign w:val="center"/>
          </w:tcPr>
          <w:p w14:paraId="30B84A0E"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7705AE90" w14:textId="77777777" w:rsidTr="009B2FA7">
        <w:trPr>
          <w:trHeight w:val="323"/>
        </w:trPr>
        <w:tc>
          <w:tcPr>
            <w:tcW w:w="1080" w:type="dxa"/>
            <w:vMerge/>
          </w:tcPr>
          <w:p w14:paraId="29074600"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17153D5A"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24DF66E3"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Discrimination</w:t>
            </w:r>
          </w:p>
        </w:tc>
        <w:tc>
          <w:tcPr>
            <w:tcW w:w="900" w:type="dxa"/>
            <w:vAlign w:val="center"/>
          </w:tcPr>
          <w:p w14:paraId="297AC6FE"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3</w:t>
            </w:r>
          </w:p>
        </w:tc>
        <w:tc>
          <w:tcPr>
            <w:tcW w:w="914" w:type="dxa"/>
            <w:vMerge/>
            <w:vAlign w:val="center"/>
          </w:tcPr>
          <w:p w14:paraId="6630BE69"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7D63D8E5" w14:textId="77777777" w:rsidTr="009B2FA7">
        <w:trPr>
          <w:trHeight w:val="323"/>
        </w:trPr>
        <w:tc>
          <w:tcPr>
            <w:tcW w:w="1080" w:type="dxa"/>
            <w:vMerge/>
          </w:tcPr>
          <w:p w14:paraId="3006C426"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val="restart"/>
            <w:vAlign w:val="center"/>
          </w:tcPr>
          <w:p w14:paraId="0E9FA6C5" w14:textId="77777777" w:rsidR="00F00E3D" w:rsidRPr="00376FC3" w:rsidRDefault="00F00E3D" w:rsidP="00290D77">
            <w:pPr>
              <w:spacing w:line="240" w:lineRule="auto"/>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Socio-demographics</w:t>
            </w:r>
          </w:p>
        </w:tc>
        <w:tc>
          <w:tcPr>
            <w:tcW w:w="4545" w:type="dxa"/>
            <w:vAlign w:val="center"/>
          </w:tcPr>
          <w:p w14:paraId="1DCD998D"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Area (Neighbourhood) Effects**</w:t>
            </w:r>
          </w:p>
        </w:tc>
        <w:tc>
          <w:tcPr>
            <w:tcW w:w="900" w:type="dxa"/>
            <w:vAlign w:val="center"/>
          </w:tcPr>
          <w:p w14:paraId="738882B9"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2</w:t>
            </w:r>
          </w:p>
        </w:tc>
        <w:tc>
          <w:tcPr>
            <w:tcW w:w="914" w:type="dxa"/>
            <w:vMerge w:val="restart"/>
            <w:vAlign w:val="center"/>
          </w:tcPr>
          <w:p w14:paraId="570BDE81"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6</w:t>
            </w:r>
          </w:p>
        </w:tc>
      </w:tr>
      <w:tr w:rsidR="00F00E3D" w:rsidRPr="00376FC3" w14:paraId="76011569" w14:textId="77777777" w:rsidTr="009B2FA7">
        <w:trPr>
          <w:trHeight w:val="311"/>
        </w:trPr>
        <w:tc>
          <w:tcPr>
            <w:tcW w:w="1080" w:type="dxa"/>
            <w:vMerge/>
          </w:tcPr>
          <w:p w14:paraId="7A84C7D1"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52F29C3A"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40604E4A"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Demographics</w:t>
            </w:r>
          </w:p>
        </w:tc>
        <w:tc>
          <w:tcPr>
            <w:tcW w:w="900" w:type="dxa"/>
            <w:vAlign w:val="center"/>
          </w:tcPr>
          <w:p w14:paraId="49A831F7"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3</w:t>
            </w:r>
          </w:p>
        </w:tc>
        <w:tc>
          <w:tcPr>
            <w:tcW w:w="914" w:type="dxa"/>
            <w:vMerge/>
            <w:vAlign w:val="center"/>
          </w:tcPr>
          <w:p w14:paraId="5491BCB4"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63F88824" w14:textId="77777777" w:rsidTr="009B2FA7">
        <w:trPr>
          <w:trHeight w:val="323"/>
        </w:trPr>
        <w:tc>
          <w:tcPr>
            <w:tcW w:w="1080" w:type="dxa"/>
            <w:vMerge/>
          </w:tcPr>
          <w:p w14:paraId="229F5D0D" w14:textId="77777777" w:rsidR="00F00E3D" w:rsidRPr="00376FC3" w:rsidRDefault="00F00E3D" w:rsidP="00290D77">
            <w:pPr>
              <w:tabs>
                <w:tab w:val="left" w:pos="1407"/>
              </w:tabs>
              <w:spacing w:line="240" w:lineRule="auto"/>
              <w:contextualSpacing/>
              <w:rPr>
                <w:rFonts w:asciiTheme="majorHAnsi" w:eastAsia="Times New Roman" w:hAnsiTheme="majorHAnsi" w:cstheme="majorHAnsi"/>
                <w:color w:val="000000"/>
                <w:lang w:eastAsia="en-GB"/>
              </w:rPr>
            </w:pPr>
          </w:p>
        </w:tc>
        <w:tc>
          <w:tcPr>
            <w:tcW w:w="2295" w:type="dxa"/>
            <w:vMerge/>
          </w:tcPr>
          <w:p w14:paraId="56C17198" w14:textId="77777777" w:rsidR="00F00E3D" w:rsidRPr="00376FC3" w:rsidRDefault="00F00E3D" w:rsidP="00290D77">
            <w:pPr>
              <w:tabs>
                <w:tab w:val="left" w:pos="1407"/>
              </w:tabs>
              <w:spacing w:line="240" w:lineRule="auto"/>
              <w:contextualSpacing/>
              <w:rPr>
                <w:rFonts w:asciiTheme="majorHAnsi" w:eastAsia="Times New Roman" w:hAnsiTheme="majorHAnsi" w:cstheme="majorHAnsi"/>
                <w:color w:val="000000"/>
                <w:lang w:eastAsia="en-GB"/>
              </w:rPr>
            </w:pPr>
          </w:p>
        </w:tc>
        <w:tc>
          <w:tcPr>
            <w:tcW w:w="4545" w:type="dxa"/>
            <w:vAlign w:val="center"/>
          </w:tcPr>
          <w:p w14:paraId="562FC50F" w14:textId="77777777" w:rsidR="00F00E3D" w:rsidRPr="00376FC3" w:rsidRDefault="00F00E3D" w:rsidP="00290D77">
            <w:pPr>
              <w:tabs>
                <w:tab w:val="left" w:pos="1407"/>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Neighbourhood Income Mix</w:t>
            </w:r>
          </w:p>
        </w:tc>
        <w:tc>
          <w:tcPr>
            <w:tcW w:w="900" w:type="dxa"/>
            <w:vAlign w:val="center"/>
          </w:tcPr>
          <w:p w14:paraId="01A7BF6C"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1</w:t>
            </w:r>
          </w:p>
        </w:tc>
        <w:tc>
          <w:tcPr>
            <w:tcW w:w="914" w:type="dxa"/>
            <w:vMerge/>
            <w:vAlign w:val="center"/>
          </w:tcPr>
          <w:p w14:paraId="1B674616"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5640E225" w14:textId="77777777" w:rsidTr="009B2FA7">
        <w:trPr>
          <w:trHeight w:val="323"/>
        </w:trPr>
        <w:tc>
          <w:tcPr>
            <w:tcW w:w="1080" w:type="dxa"/>
            <w:vMerge/>
          </w:tcPr>
          <w:p w14:paraId="508BC3BA"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val="restart"/>
            <w:vAlign w:val="center"/>
          </w:tcPr>
          <w:p w14:paraId="1CE09548" w14:textId="77777777" w:rsidR="00F00E3D" w:rsidRPr="00376FC3" w:rsidRDefault="00F00E3D" w:rsidP="00290D77">
            <w:pPr>
              <w:spacing w:line="240" w:lineRule="auto"/>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Socioeconomic Position</w:t>
            </w:r>
          </w:p>
        </w:tc>
        <w:tc>
          <w:tcPr>
            <w:tcW w:w="4545" w:type="dxa"/>
            <w:vAlign w:val="center"/>
          </w:tcPr>
          <w:p w14:paraId="6ECBB568"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Education Level</w:t>
            </w:r>
          </w:p>
        </w:tc>
        <w:tc>
          <w:tcPr>
            <w:tcW w:w="900" w:type="dxa"/>
            <w:vAlign w:val="center"/>
          </w:tcPr>
          <w:p w14:paraId="17FB5736"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9</w:t>
            </w:r>
          </w:p>
        </w:tc>
        <w:tc>
          <w:tcPr>
            <w:tcW w:w="914" w:type="dxa"/>
            <w:vMerge w:val="restart"/>
            <w:vAlign w:val="center"/>
          </w:tcPr>
          <w:p w14:paraId="204D72FC"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35</w:t>
            </w:r>
          </w:p>
        </w:tc>
      </w:tr>
      <w:tr w:rsidR="00F00E3D" w:rsidRPr="00376FC3" w14:paraId="23998E0B" w14:textId="77777777" w:rsidTr="009B2FA7">
        <w:trPr>
          <w:trHeight w:val="323"/>
        </w:trPr>
        <w:tc>
          <w:tcPr>
            <w:tcW w:w="1080" w:type="dxa"/>
            <w:vMerge/>
          </w:tcPr>
          <w:p w14:paraId="123092EA"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6C80DCF1"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26A903C3"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Educational Opportunity</w:t>
            </w:r>
          </w:p>
        </w:tc>
        <w:tc>
          <w:tcPr>
            <w:tcW w:w="900" w:type="dxa"/>
            <w:vAlign w:val="center"/>
          </w:tcPr>
          <w:p w14:paraId="3D020D35"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2</w:t>
            </w:r>
          </w:p>
        </w:tc>
        <w:tc>
          <w:tcPr>
            <w:tcW w:w="914" w:type="dxa"/>
            <w:vMerge/>
            <w:vAlign w:val="center"/>
          </w:tcPr>
          <w:p w14:paraId="12C17B08"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052D8FA1" w14:textId="77777777" w:rsidTr="009B2FA7">
        <w:trPr>
          <w:trHeight w:val="311"/>
        </w:trPr>
        <w:tc>
          <w:tcPr>
            <w:tcW w:w="1080" w:type="dxa"/>
            <w:vMerge/>
          </w:tcPr>
          <w:p w14:paraId="54EAEEF2"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53DDA789"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797102A4"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Income (including Poverty)</w:t>
            </w:r>
          </w:p>
        </w:tc>
        <w:tc>
          <w:tcPr>
            <w:tcW w:w="900" w:type="dxa"/>
            <w:vAlign w:val="center"/>
          </w:tcPr>
          <w:p w14:paraId="7F7F3F8A"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13</w:t>
            </w:r>
          </w:p>
        </w:tc>
        <w:tc>
          <w:tcPr>
            <w:tcW w:w="914" w:type="dxa"/>
            <w:vMerge/>
            <w:vAlign w:val="center"/>
          </w:tcPr>
          <w:p w14:paraId="4FB59BF9"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7A754EB1" w14:textId="77777777" w:rsidTr="009B2FA7">
        <w:trPr>
          <w:trHeight w:val="342"/>
        </w:trPr>
        <w:tc>
          <w:tcPr>
            <w:tcW w:w="1080" w:type="dxa"/>
            <w:vMerge/>
          </w:tcPr>
          <w:p w14:paraId="3FEBC3BE"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52C128F6"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574D5682"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Intergenerational Transmission of Disadvantage</w:t>
            </w:r>
          </w:p>
        </w:tc>
        <w:tc>
          <w:tcPr>
            <w:tcW w:w="900" w:type="dxa"/>
            <w:vAlign w:val="center"/>
          </w:tcPr>
          <w:p w14:paraId="4CFC9DB4"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3</w:t>
            </w:r>
          </w:p>
        </w:tc>
        <w:tc>
          <w:tcPr>
            <w:tcW w:w="914" w:type="dxa"/>
            <w:vMerge/>
            <w:vAlign w:val="center"/>
          </w:tcPr>
          <w:p w14:paraId="123AF27D"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1DC1097F" w14:textId="77777777" w:rsidTr="009B2FA7">
        <w:trPr>
          <w:trHeight w:val="323"/>
        </w:trPr>
        <w:tc>
          <w:tcPr>
            <w:tcW w:w="1080" w:type="dxa"/>
            <w:vMerge/>
          </w:tcPr>
          <w:p w14:paraId="0158DFBB"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498BAD20"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0E7D7434"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Residential Mobility***</w:t>
            </w:r>
          </w:p>
        </w:tc>
        <w:tc>
          <w:tcPr>
            <w:tcW w:w="900" w:type="dxa"/>
            <w:vAlign w:val="center"/>
          </w:tcPr>
          <w:p w14:paraId="7DDFAA15"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6</w:t>
            </w:r>
          </w:p>
        </w:tc>
        <w:tc>
          <w:tcPr>
            <w:tcW w:w="914" w:type="dxa"/>
            <w:vMerge/>
            <w:vAlign w:val="center"/>
          </w:tcPr>
          <w:p w14:paraId="088CD481"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65D546D1" w14:textId="77777777" w:rsidTr="009B2FA7">
        <w:trPr>
          <w:trHeight w:val="323"/>
        </w:trPr>
        <w:tc>
          <w:tcPr>
            <w:tcW w:w="1080" w:type="dxa"/>
            <w:vMerge/>
          </w:tcPr>
          <w:p w14:paraId="1195FC32"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41F8C056"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7EF78997"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Socioeconomic Status</w:t>
            </w:r>
          </w:p>
        </w:tc>
        <w:tc>
          <w:tcPr>
            <w:tcW w:w="900" w:type="dxa"/>
            <w:vAlign w:val="center"/>
          </w:tcPr>
          <w:p w14:paraId="79666AB3"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1</w:t>
            </w:r>
          </w:p>
        </w:tc>
        <w:tc>
          <w:tcPr>
            <w:tcW w:w="914" w:type="dxa"/>
            <w:vMerge/>
            <w:vAlign w:val="center"/>
          </w:tcPr>
          <w:p w14:paraId="6918572D"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2668B067" w14:textId="77777777" w:rsidTr="009B2FA7">
        <w:trPr>
          <w:trHeight w:val="311"/>
        </w:trPr>
        <w:tc>
          <w:tcPr>
            <w:tcW w:w="1080" w:type="dxa"/>
            <w:vMerge/>
          </w:tcPr>
          <w:p w14:paraId="420AA83A" w14:textId="77777777" w:rsidR="00F00E3D" w:rsidRPr="00376FC3" w:rsidRDefault="00F00E3D" w:rsidP="00290D77">
            <w:pPr>
              <w:tabs>
                <w:tab w:val="left" w:pos="1273"/>
              </w:tabs>
              <w:spacing w:line="240" w:lineRule="auto"/>
              <w:contextualSpacing/>
              <w:rPr>
                <w:rFonts w:asciiTheme="majorHAnsi" w:eastAsia="Times New Roman" w:hAnsiTheme="majorHAnsi" w:cstheme="majorHAnsi"/>
                <w:color w:val="000000"/>
                <w:lang w:eastAsia="en-GB"/>
              </w:rPr>
            </w:pPr>
          </w:p>
        </w:tc>
        <w:tc>
          <w:tcPr>
            <w:tcW w:w="2295" w:type="dxa"/>
            <w:vMerge/>
          </w:tcPr>
          <w:p w14:paraId="2DE48CEB" w14:textId="77777777" w:rsidR="00F00E3D" w:rsidRPr="00376FC3" w:rsidRDefault="00F00E3D" w:rsidP="00290D77">
            <w:pPr>
              <w:tabs>
                <w:tab w:val="left" w:pos="1273"/>
              </w:tabs>
              <w:spacing w:line="240" w:lineRule="auto"/>
              <w:contextualSpacing/>
              <w:rPr>
                <w:rFonts w:asciiTheme="majorHAnsi" w:eastAsia="Times New Roman" w:hAnsiTheme="majorHAnsi" w:cstheme="majorHAnsi"/>
                <w:color w:val="000000"/>
                <w:lang w:eastAsia="en-GB"/>
              </w:rPr>
            </w:pPr>
          </w:p>
        </w:tc>
        <w:tc>
          <w:tcPr>
            <w:tcW w:w="4545" w:type="dxa"/>
            <w:vAlign w:val="center"/>
          </w:tcPr>
          <w:p w14:paraId="33FED0AA" w14:textId="77777777" w:rsidR="00F00E3D" w:rsidRPr="00376FC3" w:rsidRDefault="00F00E3D" w:rsidP="00290D77">
            <w:pPr>
              <w:tabs>
                <w:tab w:val="left" w:pos="1273"/>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Wealth</w:t>
            </w:r>
          </w:p>
        </w:tc>
        <w:tc>
          <w:tcPr>
            <w:tcW w:w="900" w:type="dxa"/>
            <w:vAlign w:val="center"/>
          </w:tcPr>
          <w:p w14:paraId="5197D390"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1</w:t>
            </w:r>
          </w:p>
        </w:tc>
        <w:tc>
          <w:tcPr>
            <w:tcW w:w="914" w:type="dxa"/>
            <w:vMerge/>
            <w:vAlign w:val="center"/>
          </w:tcPr>
          <w:p w14:paraId="489C11EE"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3025C6C9" w14:textId="77777777" w:rsidTr="009B2FA7">
        <w:trPr>
          <w:trHeight w:val="311"/>
        </w:trPr>
        <w:tc>
          <w:tcPr>
            <w:tcW w:w="1080" w:type="dxa"/>
            <w:vMerge w:val="restart"/>
            <w:textDirection w:val="tbRl"/>
            <w:vAlign w:val="center"/>
          </w:tcPr>
          <w:p w14:paraId="19442A33" w14:textId="33184D77" w:rsidR="00F00E3D" w:rsidRPr="00376FC3" w:rsidRDefault="00F00E3D" w:rsidP="00290D77">
            <w:pPr>
              <w:tabs>
                <w:tab w:val="left" w:pos="1273"/>
              </w:tabs>
              <w:spacing w:line="240" w:lineRule="auto"/>
              <w:contextualSpacing/>
              <w:jc w:val="center"/>
              <w:rPr>
                <w:rFonts w:eastAsiaTheme="minorEastAsia"/>
                <w:b/>
                <w:color w:val="000000"/>
                <w:lang w:eastAsia="en-GB"/>
              </w:rPr>
            </w:pPr>
            <w:r w:rsidRPr="701B9583">
              <w:rPr>
                <w:rFonts w:eastAsiaTheme="minorEastAsia"/>
                <w:b/>
                <w:bCs/>
                <w:color w:val="000000" w:themeColor="text1"/>
                <w:lang w:eastAsia="en-GB"/>
              </w:rPr>
              <w:t>Urban Environ</w:t>
            </w:r>
            <w:r w:rsidR="1FA77B6A" w:rsidRPr="701B9583">
              <w:rPr>
                <w:rFonts w:eastAsiaTheme="minorEastAsia"/>
                <w:b/>
                <w:bCs/>
                <w:color w:val="000000" w:themeColor="text1"/>
                <w:lang w:eastAsia="en-GB"/>
              </w:rPr>
              <w:t>-</w:t>
            </w:r>
            <w:proofErr w:type="spellStart"/>
            <w:r w:rsidRPr="701B9583">
              <w:rPr>
                <w:rFonts w:eastAsiaTheme="minorEastAsia"/>
                <w:b/>
                <w:bCs/>
                <w:color w:val="000000" w:themeColor="text1"/>
                <w:lang w:eastAsia="en-GB"/>
              </w:rPr>
              <w:t>ment</w:t>
            </w:r>
            <w:proofErr w:type="spellEnd"/>
          </w:p>
        </w:tc>
        <w:tc>
          <w:tcPr>
            <w:tcW w:w="2295" w:type="dxa"/>
            <w:vMerge w:val="restart"/>
            <w:vAlign w:val="center"/>
          </w:tcPr>
          <w:p w14:paraId="6713A4A4" w14:textId="77777777" w:rsidR="00F00E3D" w:rsidRPr="00376FC3" w:rsidRDefault="00F00E3D" w:rsidP="00290D77">
            <w:pPr>
              <w:spacing w:line="240" w:lineRule="auto"/>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Housing</w:t>
            </w:r>
          </w:p>
        </w:tc>
        <w:tc>
          <w:tcPr>
            <w:tcW w:w="4545" w:type="dxa"/>
            <w:vAlign w:val="center"/>
          </w:tcPr>
          <w:p w14:paraId="77A017AB" w14:textId="77777777" w:rsidR="00F00E3D" w:rsidRPr="00376FC3" w:rsidRDefault="00F00E3D" w:rsidP="00290D77">
            <w:pPr>
              <w:tabs>
                <w:tab w:val="left" w:pos="1273"/>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City Size &amp; Expansion Rate</w:t>
            </w:r>
          </w:p>
        </w:tc>
        <w:tc>
          <w:tcPr>
            <w:tcW w:w="900" w:type="dxa"/>
            <w:vAlign w:val="center"/>
          </w:tcPr>
          <w:p w14:paraId="53B8F122"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1</w:t>
            </w:r>
          </w:p>
        </w:tc>
        <w:tc>
          <w:tcPr>
            <w:tcW w:w="914" w:type="dxa"/>
            <w:vMerge w:val="restart"/>
            <w:vAlign w:val="center"/>
          </w:tcPr>
          <w:p w14:paraId="7907827C"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5</w:t>
            </w:r>
          </w:p>
        </w:tc>
      </w:tr>
      <w:tr w:rsidR="00F00E3D" w:rsidRPr="00376FC3" w14:paraId="00CBF9DC" w14:textId="77777777" w:rsidTr="009B2FA7">
        <w:trPr>
          <w:trHeight w:val="323"/>
        </w:trPr>
        <w:tc>
          <w:tcPr>
            <w:tcW w:w="1080" w:type="dxa"/>
            <w:vMerge/>
          </w:tcPr>
          <w:p w14:paraId="3447CAB0"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41378838"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0A71B4B9"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Housing Quality</w:t>
            </w:r>
          </w:p>
        </w:tc>
        <w:tc>
          <w:tcPr>
            <w:tcW w:w="900" w:type="dxa"/>
            <w:vAlign w:val="center"/>
          </w:tcPr>
          <w:p w14:paraId="472ED1A8"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4</w:t>
            </w:r>
          </w:p>
        </w:tc>
        <w:tc>
          <w:tcPr>
            <w:tcW w:w="914" w:type="dxa"/>
            <w:vMerge/>
            <w:vAlign w:val="center"/>
          </w:tcPr>
          <w:p w14:paraId="6A2DF990"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1E83A1ED" w14:textId="77777777" w:rsidTr="009B2FA7">
        <w:trPr>
          <w:trHeight w:val="323"/>
        </w:trPr>
        <w:tc>
          <w:tcPr>
            <w:tcW w:w="1080" w:type="dxa"/>
            <w:vMerge/>
          </w:tcPr>
          <w:p w14:paraId="2C3D19A8"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val="restart"/>
            <w:vAlign w:val="center"/>
          </w:tcPr>
          <w:p w14:paraId="3F0E065E" w14:textId="77777777" w:rsidR="00F00E3D" w:rsidRPr="00376FC3" w:rsidRDefault="00F00E3D" w:rsidP="00290D77">
            <w:pPr>
              <w:spacing w:line="240" w:lineRule="auto"/>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Neighbourhood Accessibility</w:t>
            </w:r>
          </w:p>
        </w:tc>
        <w:tc>
          <w:tcPr>
            <w:tcW w:w="4545" w:type="dxa"/>
            <w:vAlign w:val="center"/>
          </w:tcPr>
          <w:p w14:paraId="18171C4E"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Access to Facilities/Amenities</w:t>
            </w:r>
          </w:p>
        </w:tc>
        <w:tc>
          <w:tcPr>
            <w:tcW w:w="900" w:type="dxa"/>
            <w:vAlign w:val="center"/>
          </w:tcPr>
          <w:p w14:paraId="49A59787" w14:textId="77777777" w:rsidR="00F00E3D" w:rsidRPr="00376FC3" w:rsidRDefault="00F00E3D" w:rsidP="00290D77">
            <w:pPr>
              <w:tabs>
                <w:tab w:val="left" w:pos="753"/>
              </w:tabs>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6</w:t>
            </w:r>
          </w:p>
        </w:tc>
        <w:tc>
          <w:tcPr>
            <w:tcW w:w="914" w:type="dxa"/>
            <w:vMerge w:val="restart"/>
            <w:vAlign w:val="center"/>
          </w:tcPr>
          <w:p w14:paraId="70B302E9" w14:textId="77777777" w:rsidR="00F00E3D" w:rsidRPr="00376FC3" w:rsidRDefault="00F00E3D" w:rsidP="00290D77">
            <w:pPr>
              <w:tabs>
                <w:tab w:val="left" w:pos="753"/>
              </w:tabs>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17</w:t>
            </w:r>
          </w:p>
        </w:tc>
      </w:tr>
      <w:tr w:rsidR="00F00E3D" w:rsidRPr="00376FC3" w14:paraId="6D322B69" w14:textId="77777777" w:rsidTr="009B2FA7">
        <w:trPr>
          <w:trHeight w:val="311"/>
        </w:trPr>
        <w:tc>
          <w:tcPr>
            <w:tcW w:w="1080" w:type="dxa"/>
            <w:vMerge/>
          </w:tcPr>
          <w:p w14:paraId="3AE7CF8C" w14:textId="77777777" w:rsidR="00F00E3D" w:rsidRPr="00376FC3" w:rsidRDefault="00F00E3D" w:rsidP="00290D77">
            <w:pPr>
              <w:tabs>
                <w:tab w:val="left" w:pos="1540"/>
              </w:tabs>
              <w:spacing w:line="240" w:lineRule="auto"/>
              <w:contextualSpacing/>
              <w:rPr>
                <w:rFonts w:asciiTheme="majorHAnsi" w:eastAsia="Times New Roman" w:hAnsiTheme="majorHAnsi" w:cstheme="majorHAnsi"/>
                <w:color w:val="000000"/>
                <w:lang w:eastAsia="en-GB"/>
              </w:rPr>
            </w:pPr>
          </w:p>
        </w:tc>
        <w:tc>
          <w:tcPr>
            <w:tcW w:w="2295" w:type="dxa"/>
            <w:vMerge/>
          </w:tcPr>
          <w:p w14:paraId="6A120E84" w14:textId="77777777" w:rsidR="00F00E3D" w:rsidRPr="00376FC3" w:rsidRDefault="00F00E3D" w:rsidP="00290D77">
            <w:pPr>
              <w:tabs>
                <w:tab w:val="left" w:pos="1540"/>
              </w:tabs>
              <w:spacing w:line="240" w:lineRule="auto"/>
              <w:contextualSpacing/>
              <w:rPr>
                <w:rFonts w:asciiTheme="majorHAnsi" w:eastAsia="Times New Roman" w:hAnsiTheme="majorHAnsi" w:cstheme="majorHAnsi"/>
                <w:color w:val="000000"/>
                <w:lang w:eastAsia="en-GB"/>
              </w:rPr>
            </w:pPr>
          </w:p>
        </w:tc>
        <w:tc>
          <w:tcPr>
            <w:tcW w:w="4545" w:type="dxa"/>
            <w:vAlign w:val="center"/>
          </w:tcPr>
          <w:p w14:paraId="51C3C3EE" w14:textId="77777777" w:rsidR="00F00E3D" w:rsidRPr="00376FC3" w:rsidRDefault="00F00E3D" w:rsidP="00290D77">
            <w:pPr>
              <w:tabs>
                <w:tab w:val="left" w:pos="1540"/>
              </w:tabs>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Access to Transport</w:t>
            </w:r>
          </w:p>
        </w:tc>
        <w:tc>
          <w:tcPr>
            <w:tcW w:w="900" w:type="dxa"/>
            <w:vAlign w:val="center"/>
          </w:tcPr>
          <w:p w14:paraId="5E406377"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6</w:t>
            </w:r>
          </w:p>
        </w:tc>
        <w:tc>
          <w:tcPr>
            <w:tcW w:w="914" w:type="dxa"/>
            <w:vMerge/>
            <w:vAlign w:val="center"/>
          </w:tcPr>
          <w:p w14:paraId="6734BC8C"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7880D72E" w14:textId="77777777" w:rsidTr="009B2FA7">
        <w:trPr>
          <w:trHeight w:val="323"/>
        </w:trPr>
        <w:tc>
          <w:tcPr>
            <w:tcW w:w="1080" w:type="dxa"/>
            <w:vMerge/>
          </w:tcPr>
          <w:p w14:paraId="38B85235"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vMerge/>
          </w:tcPr>
          <w:p w14:paraId="123686DC"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4545" w:type="dxa"/>
            <w:vAlign w:val="center"/>
          </w:tcPr>
          <w:p w14:paraId="50E063F6"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Childcare (access to)</w:t>
            </w:r>
          </w:p>
        </w:tc>
        <w:tc>
          <w:tcPr>
            <w:tcW w:w="900" w:type="dxa"/>
            <w:vAlign w:val="center"/>
          </w:tcPr>
          <w:p w14:paraId="4B67BD7E"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1</w:t>
            </w:r>
          </w:p>
        </w:tc>
        <w:tc>
          <w:tcPr>
            <w:tcW w:w="914" w:type="dxa"/>
            <w:vMerge/>
            <w:vAlign w:val="center"/>
          </w:tcPr>
          <w:p w14:paraId="65DD5E8B"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6B5745C2" w14:textId="77777777" w:rsidTr="009B2FA7">
        <w:trPr>
          <w:trHeight w:val="456"/>
        </w:trPr>
        <w:tc>
          <w:tcPr>
            <w:tcW w:w="1080" w:type="dxa"/>
            <w:vMerge/>
          </w:tcPr>
          <w:p w14:paraId="01CBF401" w14:textId="77777777" w:rsidR="00F00E3D" w:rsidRPr="00376FC3" w:rsidRDefault="00F00E3D" w:rsidP="00290D77">
            <w:pPr>
              <w:spacing w:line="240" w:lineRule="auto"/>
              <w:ind w:firstLine="25"/>
              <w:contextualSpacing/>
              <w:rPr>
                <w:rFonts w:asciiTheme="majorHAnsi" w:eastAsia="Times New Roman" w:hAnsiTheme="majorHAnsi" w:cstheme="majorHAnsi"/>
                <w:color w:val="000000"/>
                <w:lang w:eastAsia="en-GB"/>
              </w:rPr>
            </w:pPr>
          </w:p>
        </w:tc>
        <w:tc>
          <w:tcPr>
            <w:tcW w:w="2295" w:type="dxa"/>
            <w:vMerge/>
          </w:tcPr>
          <w:p w14:paraId="085C7A3F" w14:textId="77777777" w:rsidR="00F00E3D" w:rsidRPr="00376FC3" w:rsidRDefault="00F00E3D" w:rsidP="00290D77">
            <w:pPr>
              <w:spacing w:line="240" w:lineRule="auto"/>
              <w:ind w:firstLine="25"/>
              <w:contextualSpacing/>
              <w:rPr>
                <w:rFonts w:asciiTheme="majorHAnsi" w:eastAsia="Times New Roman" w:hAnsiTheme="majorHAnsi" w:cstheme="majorHAnsi"/>
                <w:color w:val="000000"/>
                <w:lang w:eastAsia="en-GB"/>
              </w:rPr>
            </w:pPr>
          </w:p>
        </w:tc>
        <w:tc>
          <w:tcPr>
            <w:tcW w:w="4545" w:type="dxa"/>
            <w:vAlign w:val="center"/>
          </w:tcPr>
          <w:p w14:paraId="5ECA78FC" w14:textId="68B79C75" w:rsidR="00F00E3D" w:rsidRPr="00376FC3" w:rsidRDefault="00F00E3D" w:rsidP="00290D77">
            <w:pPr>
              <w:spacing w:line="240" w:lineRule="auto"/>
              <w:ind w:firstLine="25"/>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 xml:space="preserve">Food (Access to </w:t>
            </w:r>
            <w:r w:rsidR="00203685">
              <w:rPr>
                <w:rFonts w:asciiTheme="majorHAnsi" w:eastAsia="Times New Roman" w:hAnsiTheme="majorHAnsi" w:cstheme="majorHAnsi"/>
                <w:color w:val="000000"/>
                <w:lang w:eastAsia="en-GB"/>
              </w:rPr>
              <w:t>a</w:t>
            </w:r>
            <w:r w:rsidR="00203685" w:rsidRPr="00376FC3">
              <w:rPr>
                <w:rFonts w:asciiTheme="majorHAnsi" w:eastAsia="Times New Roman" w:hAnsiTheme="majorHAnsi" w:cstheme="majorHAnsi"/>
                <w:color w:val="000000"/>
                <w:lang w:eastAsia="en-GB"/>
              </w:rPr>
              <w:t>ffordable</w:t>
            </w:r>
            <w:r w:rsidRPr="00376FC3">
              <w:rPr>
                <w:rFonts w:asciiTheme="majorHAnsi" w:eastAsia="Times New Roman" w:hAnsiTheme="majorHAnsi" w:cstheme="majorHAnsi"/>
                <w:color w:val="000000"/>
                <w:lang w:eastAsia="en-GB"/>
              </w:rPr>
              <w:t xml:space="preserve"> </w:t>
            </w:r>
            <w:r w:rsidR="00906BD0">
              <w:rPr>
                <w:rFonts w:asciiTheme="majorHAnsi" w:eastAsia="Times New Roman" w:hAnsiTheme="majorHAnsi" w:cstheme="majorHAnsi"/>
                <w:color w:val="000000"/>
                <w:lang w:eastAsia="en-GB"/>
              </w:rPr>
              <w:t>and</w:t>
            </w:r>
            <w:r w:rsidRPr="00376FC3">
              <w:rPr>
                <w:rFonts w:asciiTheme="majorHAnsi" w:eastAsia="Times New Roman" w:hAnsiTheme="majorHAnsi" w:cstheme="majorHAnsi"/>
                <w:color w:val="000000"/>
                <w:lang w:eastAsia="en-GB"/>
              </w:rPr>
              <w:t xml:space="preserve"> </w:t>
            </w:r>
            <w:r w:rsidR="00906BD0">
              <w:rPr>
                <w:rFonts w:asciiTheme="majorHAnsi" w:eastAsia="Times New Roman" w:hAnsiTheme="majorHAnsi" w:cstheme="majorHAnsi"/>
                <w:color w:val="000000"/>
                <w:lang w:eastAsia="en-GB"/>
              </w:rPr>
              <w:t>g</w:t>
            </w:r>
            <w:r w:rsidRPr="00376FC3">
              <w:rPr>
                <w:rFonts w:asciiTheme="majorHAnsi" w:eastAsia="Times New Roman" w:hAnsiTheme="majorHAnsi" w:cstheme="majorHAnsi"/>
                <w:color w:val="000000"/>
                <w:lang w:eastAsia="en-GB"/>
              </w:rPr>
              <w:t xml:space="preserve">ood </w:t>
            </w:r>
            <w:r w:rsidR="00906BD0">
              <w:rPr>
                <w:rFonts w:asciiTheme="majorHAnsi" w:eastAsia="Times New Roman" w:hAnsiTheme="majorHAnsi" w:cstheme="majorHAnsi"/>
                <w:color w:val="000000"/>
                <w:lang w:eastAsia="en-GB"/>
              </w:rPr>
              <w:t>q</w:t>
            </w:r>
            <w:r w:rsidRPr="00376FC3">
              <w:rPr>
                <w:rFonts w:asciiTheme="majorHAnsi" w:eastAsia="Times New Roman" w:hAnsiTheme="majorHAnsi" w:cstheme="majorHAnsi"/>
                <w:color w:val="000000"/>
                <w:lang w:eastAsia="en-GB"/>
              </w:rPr>
              <w:t xml:space="preserve">uality) </w:t>
            </w:r>
          </w:p>
        </w:tc>
        <w:tc>
          <w:tcPr>
            <w:tcW w:w="900" w:type="dxa"/>
            <w:vAlign w:val="center"/>
          </w:tcPr>
          <w:p w14:paraId="189051ED"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4</w:t>
            </w:r>
          </w:p>
        </w:tc>
        <w:tc>
          <w:tcPr>
            <w:tcW w:w="914" w:type="dxa"/>
            <w:vMerge/>
            <w:vAlign w:val="center"/>
          </w:tcPr>
          <w:p w14:paraId="73A3BB59"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p>
        </w:tc>
      </w:tr>
      <w:tr w:rsidR="00F00E3D" w:rsidRPr="00376FC3" w14:paraId="64B0C045" w14:textId="77777777" w:rsidTr="009B2FA7">
        <w:trPr>
          <w:trHeight w:val="311"/>
        </w:trPr>
        <w:tc>
          <w:tcPr>
            <w:tcW w:w="1080" w:type="dxa"/>
            <w:vMerge/>
          </w:tcPr>
          <w:p w14:paraId="0E1C0A35"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p>
        </w:tc>
        <w:tc>
          <w:tcPr>
            <w:tcW w:w="2295" w:type="dxa"/>
          </w:tcPr>
          <w:p w14:paraId="64C047ED" w14:textId="77777777" w:rsidR="00F00E3D" w:rsidRPr="00376FC3" w:rsidRDefault="00F00E3D" w:rsidP="00290D77">
            <w:pPr>
              <w:spacing w:line="240" w:lineRule="auto"/>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Physical Environment</w:t>
            </w:r>
          </w:p>
        </w:tc>
        <w:tc>
          <w:tcPr>
            <w:tcW w:w="4545" w:type="dxa"/>
            <w:vAlign w:val="center"/>
          </w:tcPr>
          <w:p w14:paraId="3F944389" w14:textId="77777777" w:rsidR="00F00E3D" w:rsidRPr="00376FC3" w:rsidRDefault="00F00E3D" w:rsidP="00290D77">
            <w:pPr>
              <w:spacing w:line="240" w:lineRule="auto"/>
              <w:contextualSpacing/>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Physical Environment</w:t>
            </w:r>
          </w:p>
        </w:tc>
        <w:tc>
          <w:tcPr>
            <w:tcW w:w="900" w:type="dxa"/>
            <w:vAlign w:val="center"/>
          </w:tcPr>
          <w:p w14:paraId="35EFC2F3" w14:textId="77777777" w:rsidR="00F00E3D" w:rsidRPr="00376FC3" w:rsidRDefault="00F00E3D" w:rsidP="00290D77">
            <w:pPr>
              <w:spacing w:line="240" w:lineRule="auto"/>
              <w:contextualSpacing/>
              <w:rPr>
                <w:rFonts w:asciiTheme="majorHAnsi" w:eastAsia="Times New Roman" w:hAnsiTheme="majorHAnsi" w:cstheme="majorHAnsi"/>
                <w:lang w:eastAsia="en-GB"/>
              </w:rPr>
            </w:pPr>
            <w:r w:rsidRPr="00376FC3">
              <w:rPr>
                <w:rFonts w:asciiTheme="majorHAnsi" w:eastAsia="Times New Roman" w:hAnsiTheme="majorHAnsi" w:cstheme="majorHAnsi"/>
                <w:color w:val="000000"/>
                <w:lang w:eastAsia="en-GB"/>
              </w:rPr>
              <w:t>10</w:t>
            </w:r>
          </w:p>
        </w:tc>
        <w:tc>
          <w:tcPr>
            <w:tcW w:w="914" w:type="dxa"/>
            <w:vAlign w:val="center"/>
          </w:tcPr>
          <w:p w14:paraId="4A16B87F" w14:textId="77777777" w:rsidR="00F00E3D" w:rsidRPr="00376FC3" w:rsidRDefault="00F00E3D" w:rsidP="00290D77">
            <w:pPr>
              <w:spacing w:line="240" w:lineRule="auto"/>
              <w:contextualSpacing/>
              <w:jc w:val="center"/>
              <w:rPr>
                <w:rFonts w:asciiTheme="majorHAnsi" w:eastAsia="Times New Roman" w:hAnsiTheme="majorHAnsi" w:cstheme="majorHAnsi"/>
                <w:color w:val="000000"/>
                <w:lang w:eastAsia="en-GB"/>
              </w:rPr>
            </w:pPr>
            <w:r w:rsidRPr="00376FC3">
              <w:rPr>
                <w:rFonts w:asciiTheme="majorHAnsi" w:eastAsia="Times New Roman" w:hAnsiTheme="majorHAnsi" w:cstheme="majorHAnsi"/>
                <w:color w:val="000000"/>
                <w:lang w:eastAsia="en-GB"/>
              </w:rPr>
              <w:t>10</w:t>
            </w:r>
          </w:p>
        </w:tc>
      </w:tr>
    </w:tbl>
    <w:p w14:paraId="6BCCF2A0" w14:textId="3A574BC0" w:rsidR="007B3453" w:rsidRDefault="00F00E3D" w:rsidP="009B2FA7">
      <w:pPr>
        <w:spacing w:after="0" w:line="240" w:lineRule="auto"/>
        <w:contextualSpacing/>
        <w:rPr>
          <w:rFonts w:eastAsia="Times New Roman" w:cstheme="majorHAnsi"/>
          <w:b/>
          <w:bCs/>
          <w:sz w:val="21"/>
          <w:szCs w:val="21"/>
          <w:lang w:eastAsia="en-GB"/>
        </w:rPr>
      </w:pPr>
      <w:bookmarkStart w:id="31" w:name="OLE_LINKTable110"/>
      <w:r w:rsidRPr="007B3453">
        <w:rPr>
          <w:rFonts w:eastAsia="Times New Roman" w:cstheme="majorHAnsi"/>
          <w:b/>
          <w:bCs/>
          <w:sz w:val="21"/>
          <w:szCs w:val="21"/>
          <w:lang w:eastAsia="en-GB"/>
        </w:rPr>
        <w:t xml:space="preserve">Table </w:t>
      </w:r>
      <w:r w:rsidR="007B3453" w:rsidRPr="007B3453">
        <w:rPr>
          <w:rFonts w:eastAsia="Times New Roman" w:cstheme="majorHAnsi"/>
          <w:b/>
          <w:bCs/>
          <w:sz w:val="21"/>
          <w:szCs w:val="21"/>
          <w:lang w:eastAsia="en-GB"/>
        </w:rPr>
        <w:t>3.4:</w:t>
      </w:r>
      <w:r w:rsidRPr="007B3453">
        <w:rPr>
          <w:rFonts w:eastAsia="Times New Roman" w:cstheme="majorHAnsi"/>
          <w:b/>
          <w:bCs/>
          <w:sz w:val="21"/>
          <w:szCs w:val="21"/>
          <w:lang w:eastAsia="en-GB"/>
        </w:rPr>
        <w:t xml:space="preserve"> Social, </w:t>
      </w:r>
      <w:r w:rsidR="002851FA" w:rsidRPr="007B3453">
        <w:rPr>
          <w:rFonts w:eastAsia="Times New Roman" w:cstheme="majorHAnsi"/>
          <w:b/>
          <w:bCs/>
          <w:sz w:val="21"/>
          <w:szCs w:val="21"/>
          <w:lang w:eastAsia="en-GB"/>
        </w:rPr>
        <w:t xml:space="preserve">Economic, Health, and Urban Environment Determinants for all Five </w:t>
      </w:r>
      <w:r w:rsidR="00D95573">
        <w:rPr>
          <w:rFonts w:eastAsia="Times New Roman" w:cstheme="majorHAnsi"/>
          <w:b/>
          <w:bCs/>
          <w:sz w:val="21"/>
          <w:szCs w:val="21"/>
          <w:lang w:eastAsia="en-GB"/>
        </w:rPr>
        <w:t>Practice Domain</w:t>
      </w:r>
      <w:r w:rsidRPr="007B3453">
        <w:rPr>
          <w:rFonts w:eastAsia="Times New Roman" w:cstheme="majorHAnsi"/>
          <w:b/>
          <w:bCs/>
          <w:sz w:val="21"/>
          <w:szCs w:val="21"/>
          <w:lang w:eastAsia="en-GB"/>
        </w:rPr>
        <w:t xml:space="preserve">s </w:t>
      </w:r>
    </w:p>
    <w:bookmarkEnd w:id="31"/>
    <w:p w14:paraId="6984423A" w14:textId="77777777" w:rsidR="00203685" w:rsidRDefault="00203685" w:rsidP="00203685">
      <w:pPr>
        <w:spacing w:after="0" w:line="240" w:lineRule="auto"/>
        <w:rPr>
          <w:rFonts w:eastAsia="Times New Roman" w:cstheme="majorHAnsi"/>
          <w:b/>
          <w:bCs/>
          <w:sz w:val="21"/>
          <w:szCs w:val="21"/>
          <w:lang w:eastAsia="en-GB"/>
        </w:rPr>
      </w:pPr>
    </w:p>
    <w:p w14:paraId="6F4C177B" w14:textId="48A7D431" w:rsidR="00F00E3D" w:rsidRPr="00203685" w:rsidRDefault="00F00E3D" w:rsidP="00203685">
      <w:pPr>
        <w:spacing w:after="0" w:line="240" w:lineRule="auto"/>
        <w:rPr>
          <w:rFonts w:eastAsia="Times New Roman" w:cstheme="majorHAnsi"/>
          <w:b/>
          <w:bCs/>
          <w:sz w:val="21"/>
          <w:szCs w:val="21"/>
          <w:lang w:eastAsia="en-GB"/>
        </w:rPr>
      </w:pPr>
      <w:r w:rsidRPr="00A70064">
        <w:rPr>
          <w:rFonts w:eastAsia="Times New Roman" w:cstheme="majorHAnsi"/>
          <w:b/>
          <w:bCs/>
          <w:sz w:val="25"/>
          <w:szCs w:val="25"/>
          <w:lang w:eastAsia="en-GB"/>
        </w:rPr>
        <w:t>Health</w:t>
      </w:r>
      <w:r>
        <w:rPr>
          <w:rFonts w:eastAsia="Times New Roman" w:cstheme="majorHAnsi"/>
          <w:b/>
          <w:bCs/>
          <w:sz w:val="25"/>
          <w:szCs w:val="25"/>
          <w:lang w:eastAsia="en-GB"/>
        </w:rPr>
        <w:t>:</w:t>
      </w:r>
      <w:r w:rsidRPr="00A70064">
        <w:rPr>
          <w:rFonts w:eastAsia="Times New Roman" w:cstheme="majorHAnsi"/>
          <w:b/>
          <w:bCs/>
          <w:sz w:val="25"/>
          <w:szCs w:val="25"/>
          <w:lang w:eastAsia="en-GB"/>
        </w:rPr>
        <w:t xml:space="preserve"> Determinants and Factors</w:t>
      </w:r>
    </w:p>
    <w:p w14:paraId="552DAED6" w14:textId="77777777" w:rsidR="00F00E3D" w:rsidRPr="00906BD0" w:rsidRDefault="00F00E3D" w:rsidP="009B2FA7">
      <w:pPr>
        <w:spacing w:after="0" w:line="276" w:lineRule="auto"/>
        <w:rPr>
          <w:rFonts w:asciiTheme="majorHAnsi" w:eastAsia="Times New Roman" w:hAnsiTheme="majorHAnsi" w:cstheme="majorHAnsi"/>
          <w:b/>
          <w:bCs/>
          <w:sz w:val="12"/>
          <w:szCs w:val="12"/>
          <w:lang w:eastAsia="en-GB"/>
        </w:rPr>
      </w:pPr>
    </w:p>
    <w:p w14:paraId="549929F9" w14:textId="5AA5D0F8" w:rsidR="00F00E3D" w:rsidRDefault="00011CA6" w:rsidP="00011CA6">
      <w:pPr>
        <w:spacing w:after="0" w:line="276" w:lineRule="auto"/>
        <w:contextualSpacing/>
        <w:rPr>
          <w:rFonts w:asciiTheme="majorHAnsi" w:eastAsia="Times New Roman" w:hAnsiTheme="majorHAnsi" w:cstheme="majorHAnsi"/>
          <w:sz w:val="23"/>
          <w:szCs w:val="23"/>
          <w:lang w:eastAsia="en-GB"/>
        </w:rPr>
      </w:pPr>
      <w:r w:rsidRPr="6F08E4CA">
        <w:rPr>
          <w:rFonts w:asciiTheme="majorHAnsi" w:eastAsia="Times New Roman" w:hAnsiTheme="majorHAnsi" w:cstheme="majorBidi"/>
          <w:sz w:val="23"/>
          <w:szCs w:val="23"/>
          <w:lang w:eastAsia="en-GB"/>
        </w:rPr>
        <w:t xml:space="preserve">Next, we consider how these determinants and factors are represented across the </w:t>
      </w:r>
      <w:r>
        <w:rPr>
          <w:rFonts w:asciiTheme="majorHAnsi" w:eastAsia="Times New Roman" w:hAnsiTheme="majorHAnsi" w:cstheme="majorBidi"/>
          <w:sz w:val="23"/>
          <w:szCs w:val="23"/>
          <w:lang w:eastAsia="en-GB"/>
        </w:rPr>
        <w:t xml:space="preserve">five </w:t>
      </w:r>
      <w:r w:rsidR="00D95573">
        <w:rPr>
          <w:rFonts w:asciiTheme="majorHAnsi" w:eastAsia="Times New Roman" w:hAnsiTheme="majorHAnsi" w:cstheme="majorBidi"/>
          <w:sz w:val="23"/>
          <w:szCs w:val="23"/>
          <w:lang w:eastAsia="en-GB"/>
        </w:rPr>
        <w:t>Practice Domain</w:t>
      </w:r>
      <w:r w:rsidRPr="6F08E4CA">
        <w:rPr>
          <w:rFonts w:asciiTheme="majorHAnsi" w:eastAsia="Times New Roman" w:hAnsiTheme="majorHAnsi" w:cstheme="majorBidi"/>
          <w:sz w:val="23"/>
          <w:szCs w:val="23"/>
          <w:lang w:eastAsia="en-GB"/>
        </w:rPr>
        <w:t>s.</w:t>
      </w:r>
      <w:r>
        <w:rPr>
          <w:rFonts w:asciiTheme="majorHAnsi" w:eastAsia="Times New Roman" w:hAnsiTheme="majorHAnsi" w:cstheme="majorBidi"/>
          <w:sz w:val="23"/>
          <w:szCs w:val="23"/>
          <w:lang w:eastAsia="en-GB"/>
        </w:rPr>
        <w:t xml:space="preserve"> </w:t>
      </w:r>
      <w:r w:rsidR="00F00E3D" w:rsidRPr="00BC19B6">
        <w:rPr>
          <w:rFonts w:asciiTheme="majorHAnsi" w:eastAsia="Times New Roman" w:hAnsiTheme="majorHAnsi" w:cstheme="majorHAnsi"/>
          <w:sz w:val="23"/>
          <w:szCs w:val="23"/>
          <w:lang w:eastAsia="en-GB"/>
        </w:rPr>
        <w:t>As</w:t>
      </w:r>
      <w:bookmarkStart w:id="32" w:name="_Hlk62815769"/>
      <w:r w:rsidR="00F00E3D" w:rsidRPr="00BC19B6">
        <w:rPr>
          <w:rFonts w:asciiTheme="majorHAnsi" w:eastAsia="Times New Roman" w:hAnsiTheme="majorHAnsi" w:cstheme="majorHAnsi"/>
          <w:sz w:val="23"/>
          <w:szCs w:val="23"/>
          <w:lang w:eastAsia="en-GB"/>
        </w:rPr>
        <w:t xml:space="preserve"> </w:t>
      </w:r>
      <w:proofErr w:type="spellStart"/>
      <w:r w:rsidR="00F00E3D" w:rsidRPr="00BC19B6">
        <w:rPr>
          <w:rFonts w:asciiTheme="majorHAnsi" w:eastAsia="Times New Roman" w:hAnsiTheme="majorHAnsi" w:cstheme="majorHAnsi"/>
          <w:sz w:val="23"/>
          <w:szCs w:val="23"/>
          <w:lang w:eastAsia="en-GB"/>
        </w:rPr>
        <w:t>Rasanathan</w:t>
      </w:r>
      <w:proofErr w:type="spellEnd"/>
      <w:r w:rsidR="00F00E3D" w:rsidRPr="00BC19B6">
        <w:rPr>
          <w:rFonts w:asciiTheme="majorHAnsi" w:eastAsia="Times New Roman" w:hAnsiTheme="majorHAnsi" w:cstheme="majorHAnsi"/>
          <w:sz w:val="23"/>
          <w:szCs w:val="23"/>
          <w:lang w:eastAsia="en-GB"/>
        </w:rPr>
        <w:t xml:space="preserve"> et al</w:t>
      </w:r>
      <w:r w:rsidR="00F00E3D">
        <w:rPr>
          <w:rFonts w:asciiTheme="majorHAnsi" w:eastAsia="Times New Roman" w:hAnsiTheme="majorHAnsi" w:cstheme="majorHAnsi"/>
          <w:sz w:val="23"/>
          <w:szCs w:val="23"/>
          <w:lang w:eastAsia="en-GB"/>
        </w:rPr>
        <w:t>.</w:t>
      </w:r>
      <w:r w:rsidR="00F00E3D" w:rsidRPr="00BC19B6">
        <w:rPr>
          <w:rFonts w:asciiTheme="majorHAnsi" w:eastAsia="Times New Roman" w:hAnsiTheme="majorHAnsi" w:cstheme="majorHAnsi"/>
          <w:sz w:val="23"/>
          <w:szCs w:val="23"/>
          <w:lang w:eastAsia="en-GB"/>
        </w:rPr>
        <w:t xml:space="preserve"> explain</w:t>
      </w:r>
      <w:bookmarkEnd w:id="32"/>
      <w:r w:rsidR="00F00E3D" w:rsidRPr="00BC19B6">
        <w:rPr>
          <w:rFonts w:asciiTheme="majorHAnsi" w:eastAsia="Times New Roman" w:hAnsiTheme="majorHAnsi" w:cstheme="majorHAnsi"/>
          <w:sz w:val="23"/>
          <w:szCs w:val="23"/>
          <w:lang w:eastAsia="en-GB"/>
        </w:rPr>
        <w:t xml:space="preserve">, </w:t>
      </w:r>
      <w:r w:rsidR="00F00E3D">
        <w:rPr>
          <w:rFonts w:asciiTheme="majorHAnsi" w:eastAsia="Times New Roman" w:hAnsiTheme="majorHAnsi" w:cstheme="majorHAnsi"/>
          <w:sz w:val="23"/>
          <w:szCs w:val="23"/>
          <w:lang w:eastAsia="en-GB"/>
        </w:rPr>
        <w:t>t</w:t>
      </w:r>
      <w:r w:rsidR="00F00E3D" w:rsidRPr="00BC19B6">
        <w:rPr>
          <w:rFonts w:asciiTheme="majorHAnsi" w:eastAsia="Times New Roman" w:hAnsiTheme="majorHAnsi" w:cstheme="majorHAnsi"/>
          <w:sz w:val="23"/>
          <w:szCs w:val="23"/>
          <w:lang w:eastAsia="en-GB"/>
        </w:rPr>
        <w:t>he Commission on Social Determinants of Health (CSDH) defines the social determinants of health (</w:t>
      </w:r>
      <w:proofErr w:type="spellStart"/>
      <w:r w:rsidR="00F00E3D" w:rsidRPr="00BC19B6">
        <w:rPr>
          <w:rFonts w:asciiTheme="majorHAnsi" w:eastAsia="Times New Roman" w:hAnsiTheme="majorHAnsi" w:cstheme="majorHAnsi"/>
          <w:sz w:val="23"/>
          <w:szCs w:val="23"/>
          <w:lang w:eastAsia="en-GB"/>
        </w:rPr>
        <w:t>SDoH</w:t>
      </w:r>
      <w:proofErr w:type="spellEnd"/>
      <w:r w:rsidR="00F00E3D" w:rsidRPr="00BC19B6">
        <w:rPr>
          <w:rFonts w:asciiTheme="majorHAnsi" w:eastAsia="Times New Roman" w:hAnsiTheme="majorHAnsi" w:cstheme="majorHAnsi"/>
          <w:sz w:val="23"/>
          <w:szCs w:val="23"/>
          <w:lang w:eastAsia="en-GB"/>
        </w:rPr>
        <w:t>) as:</w:t>
      </w:r>
    </w:p>
    <w:p w14:paraId="12729CFF" w14:textId="77777777" w:rsidR="00906BD0" w:rsidRPr="00906BD0" w:rsidRDefault="00906BD0" w:rsidP="00011CA6">
      <w:pPr>
        <w:spacing w:after="0" w:line="276" w:lineRule="auto"/>
        <w:contextualSpacing/>
        <w:rPr>
          <w:rFonts w:asciiTheme="majorHAnsi" w:eastAsia="Times New Roman" w:hAnsiTheme="majorHAnsi" w:cstheme="majorBidi"/>
          <w:sz w:val="8"/>
          <w:szCs w:val="8"/>
          <w:lang w:eastAsia="en-GB"/>
        </w:rPr>
      </w:pPr>
    </w:p>
    <w:p w14:paraId="12EC1452" w14:textId="11ED9087" w:rsidR="00F00E3D" w:rsidRPr="00BC19B6" w:rsidRDefault="00F00E3D" w:rsidP="00906BD0">
      <w:pPr>
        <w:spacing w:after="0" w:line="276" w:lineRule="auto"/>
        <w:ind w:left="720"/>
        <w:rPr>
          <w:rFonts w:asciiTheme="majorHAnsi" w:eastAsia="Times New Roman" w:hAnsiTheme="majorHAnsi" w:cstheme="majorHAnsi"/>
          <w:i/>
          <w:iCs/>
          <w:sz w:val="23"/>
          <w:szCs w:val="23"/>
          <w:lang w:eastAsia="en-GB"/>
        </w:rPr>
      </w:pPr>
      <w:r w:rsidRPr="000E4413">
        <w:rPr>
          <w:rFonts w:asciiTheme="majorHAnsi" w:eastAsia="Times New Roman" w:hAnsiTheme="majorHAnsi" w:cstheme="majorHAnsi"/>
          <w:sz w:val="23"/>
          <w:szCs w:val="23"/>
          <w:lang w:eastAsia="en-GB"/>
        </w:rPr>
        <w:t>the distribution of power, income, goods and services, globally and nationally...[and] the visible circumstances of people</w:t>
      </w:r>
      <w:r>
        <w:rPr>
          <w:rFonts w:asciiTheme="majorHAnsi" w:eastAsia="Times New Roman" w:hAnsiTheme="majorHAnsi" w:cstheme="majorHAnsi"/>
          <w:sz w:val="23"/>
          <w:szCs w:val="23"/>
          <w:lang w:eastAsia="en-GB"/>
        </w:rPr>
        <w:t>’</w:t>
      </w:r>
      <w:r w:rsidRPr="000E4413">
        <w:rPr>
          <w:rFonts w:asciiTheme="majorHAnsi" w:eastAsia="Times New Roman" w:hAnsiTheme="majorHAnsi" w:cstheme="majorHAnsi"/>
          <w:sz w:val="23"/>
          <w:szCs w:val="23"/>
          <w:lang w:eastAsia="en-GB"/>
        </w:rPr>
        <w:t>s lives</w:t>
      </w:r>
      <w:r>
        <w:rPr>
          <w:rFonts w:asciiTheme="majorHAnsi" w:eastAsia="Times New Roman" w:hAnsiTheme="majorHAnsi" w:cstheme="majorHAnsi"/>
          <w:sz w:val="23"/>
          <w:szCs w:val="23"/>
          <w:lang w:eastAsia="en-GB"/>
        </w:rPr>
        <w:t xml:space="preserve"> –</w:t>
      </w:r>
      <w:r w:rsidRPr="000E4413">
        <w:rPr>
          <w:rFonts w:asciiTheme="majorHAnsi" w:eastAsia="Times New Roman" w:hAnsiTheme="majorHAnsi" w:cstheme="majorHAnsi"/>
          <w:sz w:val="23"/>
          <w:szCs w:val="23"/>
          <w:lang w:eastAsia="en-GB"/>
        </w:rPr>
        <w:t xml:space="preserve"> their access to health care, schools and education, their conditions of work and leisure, their homes, communities, towns and cities </w:t>
      </w:r>
      <w:r>
        <w:rPr>
          <w:rFonts w:asciiTheme="majorHAnsi" w:eastAsia="Times New Roman" w:hAnsiTheme="majorHAnsi" w:cstheme="majorHAnsi"/>
          <w:sz w:val="23"/>
          <w:szCs w:val="23"/>
          <w:lang w:eastAsia="en-GB"/>
        </w:rPr>
        <w:t>–</w:t>
      </w:r>
      <w:r w:rsidRPr="000E4413">
        <w:rPr>
          <w:rFonts w:asciiTheme="majorHAnsi" w:eastAsia="Times New Roman" w:hAnsiTheme="majorHAnsi" w:cstheme="majorHAnsi"/>
          <w:sz w:val="23"/>
          <w:szCs w:val="23"/>
          <w:lang w:eastAsia="en-GB"/>
        </w:rPr>
        <w:t xml:space="preserve"> and their chances of leading a flourishing life. </w:t>
      </w:r>
      <w:r>
        <w:rPr>
          <w:rFonts w:asciiTheme="majorHAnsi" w:eastAsia="Times New Roman" w:hAnsiTheme="majorHAnsi" w:cstheme="majorHAnsi"/>
          <w:sz w:val="23"/>
          <w:szCs w:val="23"/>
          <w:lang w:eastAsia="en-GB"/>
        </w:rPr>
        <w:t>“</w:t>
      </w:r>
      <w:r w:rsidRPr="000E4413">
        <w:rPr>
          <w:rFonts w:asciiTheme="majorHAnsi" w:eastAsia="Times New Roman" w:hAnsiTheme="majorHAnsi" w:cstheme="majorHAnsi"/>
          <w:sz w:val="23"/>
          <w:szCs w:val="23"/>
          <w:lang w:eastAsia="en-GB"/>
        </w:rPr>
        <w:t>Social determinants</w:t>
      </w:r>
      <w:r>
        <w:rPr>
          <w:rFonts w:asciiTheme="majorHAnsi" w:eastAsia="Times New Roman" w:hAnsiTheme="majorHAnsi" w:cstheme="majorHAnsi"/>
          <w:sz w:val="23"/>
          <w:szCs w:val="23"/>
          <w:lang w:eastAsia="en-GB"/>
        </w:rPr>
        <w:t>”</w:t>
      </w:r>
      <w:r w:rsidRPr="000E4413">
        <w:rPr>
          <w:rFonts w:asciiTheme="majorHAnsi" w:eastAsia="Times New Roman" w:hAnsiTheme="majorHAnsi" w:cstheme="majorHAnsi"/>
          <w:sz w:val="23"/>
          <w:szCs w:val="23"/>
          <w:lang w:eastAsia="en-GB"/>
        </w:rPr>
        <w:t xml:space="preserve"> is thus</w:t>
      </w:r>
      <w:r w:rsidR="00D248D3">
        <w:rPr>
          <w:rFonts w:asciiTheme="majorHAnsi" w:eastAsia="Times New Roman" w:hAnsiTheme="majorHAnsi" w:cstheme="majorHAnsi"/>
          <w:sz w:val="23"/>
          <w:szCs w:val="23"/>
          <w:lang w:eastAsia="en-GB"/>
        </w:rPr>
        <w:t xml:space="preserve">… </w:t>
      </w:r>
      <w:r w:rsidRPr="000E4413">
        <w:rPr>
          <w:rFonts w:asciiTheme="majorHAnsi" w:eastAsia="Times New Roman" w:hAnsiTheme="majorHAnsi" w:cstheme="majorHAnsi"/>
          <w:sz w:val="23"/>
          <w:szCs w:val="23"/>
          <w:lang w:eastAsia="en-GB"/>
        </w:rPr>
        <w:t>shorthand for the broad and complex array of social, political, economic, environmental and cultural factors which strongly impact on health status and equity</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w:t>
      </w:r>
      <w:proofErr w:type="spellStart"/>
      <w:r w:rsidRPr="00BC19B6">
        <w:rPr>
          <w:rFonts w:asciiTheme="majorHAnsi" w:eastAsia="Times New Roman" w:hAnsiTheme="majorHAnsi" w:cstheme="majorHAnsi"/>
          <w:sz w:val="23"/>
          <w:szCs w:val="23"/>
          <w:lang w:eastAsia="en-GB"/>
        </w:rPr>
        <w:t>Rasanathan</w:t>
      </w:r>
      <w:proofErr w:type="spellEnd"/>
      <w:r w:rsidRPr="00BC19B6">
        <w:rPr>
          <w:rFonts w:asciiTheme="majorHAnsi" w:eastAsia="Times New Roman" w:hAnsiTheme="majorHAnsi" w:cstheme="majorHAnsi"/>
          <w:sz w:val="23"/>
          <w:szCs w:val="23"/>
          <w:lang w:eastAsia="en-GB"/>
        </w:rPr>
        <w:t xml:space="preserve"> et al</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noProof/>
          <w:sz w:val="23"/>
          <w:szCs w:val="23"/>
          <w:lang w:eastAsia="en-GB"/>
        </w:rPr>
        <w:t>2011, p. 3)</w:t>
      </w:r>
      <w:r>
        <w:rPr>
          <w:rFonts w:asciiTheme="majorHAnsi" w:eastAsia="Times New Roman" w:hAnsiTheme="majorHAnsi" w:cstheme="majorHAnsi"/>
          <w:sz w:val="23"/>
          <w:szCs w:val="23"/>
          <w:lang w:eastAsia="en-GB"/>
        </w:rPr>
        <w:t>.</w:t>
      </w:r>
    </w:p>
    <w:p w14:paraId="05DCD261" w14:textId="77777777" w:rsidR="00906BD0" w:rsidRPr="00906BD0" w:rsidRDefault="00906BD0" w:rsidP="00906BD0">
      <w:pPr>
        <w:spacing w:after="0" w:line="276" w:lineRule="auto"/>
        <w:rPr>
          <w:rFonts w:asciiTheme="majorHAnsi" w:eastAsia="Times New Roman" w:hAnsiTheme="majorHAnsi" w:cstheme="majorHAnsi"/>
          <w:sz w:val="12"/>
          <w:szCs w:val="12"/>
          <w:lang w:eastAsia="en-GB"/>
        </w:rPr>
      </w:pPr>
    </w:p>
    <w:p w14:paraId="5B14476B" w14:textId="116FB76F" w:rsidR="00D248D3" w:rsidRDefault="00F00E3D" w:rsidP="00906BD0">
      <w:pPr>
        <w:spacing w:after="0" w:line="276" w:lineRule="auto"/>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 xml:space="preserve">Similarly, </w:t>
      </w:r>
      <w:r>
        <w:rPr>
          <w:rFonts w:asciiTheme="majorHAnsi" w:eastAsia="Times New Roman" w:hAnsiTheme="majorHAnsi" w:cstheme="majorHAnsi"/>
          <w:sz w:val="23"/>
          <w:szCs w:val="23"/>
          <w:lang w:eastAsia="en-GB"/>
        </w:rPr>
        <w:t>t</w:t>
      </w:r>
      <w:r w:rsidRPr="00BC19B6">
        <w:rPr>
          <w:rFonts w:asciiTheme="majorHAnsi" w:eastAsia="Times New Roman" w:hAnsiTheme="majorHAnsi" w:cstheme="majorHAnsi"/>
          <w:sz w:val="23"/>
          <w:szCs w:val="23"/>
          <w:lang w:eastAsia="en-GB"/>
        </w:rPr>
        <w:t xml:space="preserve">he World Health Organization’s Commission on the Social Determinants of Health has defined the </w:t>
      </w:r>
      <w:proofErr w:type="spellStart"/>
      <w:r w:rsidRPr="00BC19B6">
        <w:rPr>
          <w:rFonts w:asciiTheme="majorHAnsi" w:eastAsia="Times New Roman" w:hAnsiTheme="majorHAnsi" w:cstheme="majorHAnsi"/>
          <w:sz w:val="23"/>
          <w:szCs w:val="23"/>
          <w:lang w:eastAsia="en-GB"/>
        </w:rPr>
        <w:t>SDoH</w:t>
      </w:r>
      <w:proofErr w:type="spellEnd"/>
      <w:r w:rsidRPr="00BC19B6">
        <w:rPr>
          <w:rFonts w:asciiTheme="majorHAnsi" w:eastAsia="Times New Roman" w:hAnsiTheme="majorHAnsi" w:cstheme="majorHAnsi"/>
          <w:sz w:val="23"/>
          <w:szCs w:val="23"/>
          <w:lang w:eastAsia="en-GB"/>
        </w:rPr>
        <w:t xml:space="preserve"> as “the conditions in which people are born, grow, live, work and age” and “the fundamental drivers of these conditions.” Expanding on this, </w:t>
      </w:r>
      <w:proofErr w:type="spellStart"/>
      <w:r w:rsidRPr="00BC19B6">
        <w:rPr>
          <w:rFonts w:asciiTheme="majorHAnsi" w:eastAsia="Times New Roman" w:hAnsiTheme="majorHAnsi" w:cstheme="majorHAnsi"/>
          <w:sz w:val="23"/>
          <w:szCs w:val="23"/>
          <w:lang w:eastAsia="en-GB"/>
        </w:rPr>
        <w:t>Bravemen</w:t>
      </w:r>
      <w:proofErr w:type="spellEnd"/>
      <w:r w:rsidRPr="00BC19B6">
        <w:rPr>
          <w:rFonts w:asciiTheme="majorHAnsi" w:eastAsia="Times New Roman" w:hAnsiTheme="majorHAnsi" w:cstheme="majorHAnsi"/>
          <w:sz w:val="23"/>
          <w:szCs w:val="23"/>
          <w:lang w:eastAsia="en-GB"/>
        </w:rPr>
        <w:t xml:space="preserve"> and Gottlieb add that:</w:t>
      </w:r>
    </w:p>
    <w:p w14:paraId="0B0F8A35" w14:textId="77777777" w:rsidR="00906BD0" w:rsidRPr="00906BD0" w:rsidRDefault="00906BD0" w:rsidP="00906BD0">
      <w:pPr>
        <w:spacing w:after="0" w:line="276" w:lineRule="auto"/>
        <w:rPr>
          <w:rFonts w:asciiTheme="majorHAnsi" w:eastAsia="Times New Roman" w:hAnsiTheme="majorHAnsi" w:cstheme="majorHAnsi"/>
          <w:sz w:val="8"/>
          <w:szCs w:val="8"/>
          <w:lang w:eastAsia="en-GB"/>
        </w:rPr>
      </w:pPr>
    </w:p>
    <w:p w14:paraId="3C73F139" w14:textId="77777777" w:rsidR="00906BD0" w:rsidRDefault="00F00E3D" w:rsidP="00906BD0">
      <w:pPr>
        <w:spacing w:after="0" w:line="276" w:lineRule="auto"/>
        <w:ind w:left="720"/>
        <w:rPr>
          <w:rFonts w:asciiTheme="majorHAnsi" w:eastAsia="Times New Roman" w:hAnsiTheme="majorHAnsi" w:cstheme="majorHAnsi"/>
          <w:sz w:val="23"/>
          <w:szCs w:val="23"/>
          <w:lang w:eastAsia="en-GB"/>
        </w:rPr>
      </w:pPr>
      <w:r w:rsidRPr="3967B0F6">
        <w:rPr>
          <w:rFonts w:asciiTheme="majorHAnsi" w:eastAsia="Times New Roman" w:hAnsiTheme="majorHAnsi" w:cstheme="majorBidi"/>
          <w:sz w:val="23"/>
          <w:szCs w:val="23"/>
          <w:lang w:eastAsia="en-GB"/>
        </w:rPr>
        <w:t xml:space="preserve">The term “social determinants” often evokes factors such as health-related features of neighborhoods (e.g., walkability, recreational areas, and accessibility of healthful foods), which can influence health-related behaviour. Evidence has accumulated, however, pointing to socioeconomic factors such as income, wealth, and education as the fundamental causes of a wide range of health outcomes </w:t>
      </w:r>
      <w:r w:rsidRPr="3967B0F6">
        <w:rPr>
          <w:rFonts w:asciiTheme="majorHAnsi" w:eastAsia="Times New Roman" w:hAnsiTheme="majorHAnsi" w:cstheme="majorBidi"/>
          <w:noProof/>
          <w:sz w:val="23"/>
          <w:szCs w:val="23"/>
          <w:lang w:eastAsia="en-GB"/>
        </w:rPr>
        <w:t>(Braveman &amp; Gottlieb, 2014, p. 19)</w:t>
      </w:r>
      <w:r w:rsidRPr="3967B0F6">
        <w:rPr>
          <w:rFonts w:asciiTheme="majorHAnsi" w:eastAsia="Times New Roman" w:hAnsiTheme="majorHAnsi" w:cstheme="majorBidi"/>
          <w:sz w:val="23"/>
          <w:szCs w:val="23"/>
          <w:lang w:eastAsia="en-GB"/>
        </w:rPr>
        <w:t>.</w:t>
      </w:r>
    </w:p>
    <w:p w14:paraId="7DF9566D" w14:textId="77777777" w:rsidR="00906BD0" w:rsidRPr="00906BD0" w:rsidRDefault="00906BD0" w:rsidP="00906BD0">
      <w:pPr>
        <w:spacing w:after="0" w:line="276" w:lineRule="auto"/>
        <w:rPr>
          <w:rFonts w:asciiTheme="majorHAnsi" w:eastAsia="Times New Roman" w:hAnsiTheme="majorHAnsi" w:cstheme="majorHAnsi"/>
          <w:sz w:val="12"/>
          <w:szCs w:val="12"/>
          <w:lang w:eastAsia="en-GB"/>
        </w:rPr>
      </w:pPr>
    </w:p>
    <w:p w14:paraId="78CCBD77" w14:textId="0FC87787" w:rsidR="00F00E3D" w:rsidRDefault="00F00E3D" w:rsidP="00906BD0">
      <w:pPr>
        <w:spacing w:after="0" w:line="276" w:lineRule="auto"/>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As the Australian Institute of Health Welfare</w:t>
      </w:r>
      <w:r w:rsidR="00FA41CC">
        <w:rPr>
          <w:rFonts w:asciiTheme="majorHAnsi" w:eastAsia="Times New Roman" w:hAnsiTheme="majorHAnsi" w:cstheme="majorHAnsi"/>
          <w:sz w:val="23"/>
          <w:szCs w:val="23"/>
          <w:lang w:eastAsia="en-GB"/>
        </w:rPr>
        <w:t xml:space="preserve"> (2019)</w:t>
      </w:r>
      <w:r w:rsidRPr="00BC19B6">
        <w:rPr>
          <w:rFonts w:asciiTheme="majorHAnsi" w:eastAsia="Times New Roman" w:hAnsiTheme="majorHAnsi" w:cstheme="majorHAnsi"/>
          <w:sz w:val="23"/>
          <w:szCs w:val="23"/>
          <w:lang w:eastAsia="en-GB"/>
        </w:rPr>
        <w:t xml:space="preserve"> explains:</w:t>
      </w:r>
    </w:p>
    <w:p w14:paraId="734FD846" w14:textId="77777777" w:rsidR="00906BD0" w:rsidRPr="00906BD0" w:rsidRDefault="00906BD0" w:rsidP="00906BD0">
      <w:pPr>
        <w:spacing w:after="0" w:line="276" w:lineRule="auto"/>
        <w:rPr>
          <w:rFonts w:asciiTheme="majorHAnsi" w:eastAsia="Times New Roman" w:hAnsiTheme="majorHAnsi" w:cstheme="majorHAnsi"/>
          <w:sz w:val="8"/>
          <w:szCs w:val="8"/>
          <w:lang w:eastAsia="en-GB"/>
        </w:rPr>
      </w:pPr>
    </w:p>
    <w:p w14:paraId="618D7118" w14:textId="1064CAFF" w:rsidR="00F00E3D" w:rsidRPr="00DC065A" w:rsidRDefault="00F00E3D" w:rsidP="009B2FA7">
      <w:pPr>
        <w:spacing w:after="100" w:afterAutospacing="1" w:line="276" w:lineRule="auto"/>
        <w:ind w:left="720"/>
        <w:rPr>
          <w:rFonts w:asciiTheme="majorHAnsi" w:eastAsia="Times New Roman" w:hAnsiTheme="majorHAnsi" w:cstheme="majorHAnsi"/>
          <w:sz w:val="23"/>
          <w:szCs w:val="23"/>
          <w:lang w:eastAsia="en-GB"/>
        </w:rPr>
      </w:pPr>
      <w:r w:rsidRPr="00DC065A">
        <w:rPr>
          <w:rFonts w:asciiTheme="majorHAnsi" w:eastAsia="Times New Roman" w:hAnsiTheme="majorHAnsi" w:cstheme="majorHAnsi"/>
          <w:sz w:val="23"/>
          <w:szCs w:val="23"/>
          <w:lang w:eastAsia="en-GB"/>
        </w:rPr>
        <w:t xml:space="preserve">Health inequalities (avoidable differences in health outcomes and life expectancy across groups in society) arise because of the conditions in which a person lives and works </w:t>
      </w:r>
      <w:r w:rsidRPr="00DC065A">
        <w:rPr>
          <w:rFonts w:asciiTheme="majorHAnsi" w:eastAsia="Times New Roman" w:hAnsiTheme="majorHAnsi" w:cstheme="majorHAnsi"/>
          <w:noProof/>
          <w:sz w:val="23"/>
          <w:szCs w:val="23"/>
          <w:lang w:eastAsia="en-GB"/>
        </w:rPr>
        <w:t>(Marmot et al., 2008)</w:t>
      </w:r>
      <w:r w:rsidRPr="00DC065A">
        <w:rPr>
          <w:rFonts w:asciiTheme="majorHAnsi" w:eastAsia="Times New Roman" w:hAnsiTheme="majorHAnsi" w:cstheme="majorHAnsi"/>
          <w:sz w:val="23"/>
          <w:szCs w:val="23"/>
          <w:lang w:eastAsia="en-GB"/>
        </w:rPr>
        <w:t xml:space="preserve">. Social inequalities and disadvantage are closely linked with health inequalities and the dramatic differences in health experienced across groups in society </w:t>
      </w:r>
      <w:r w:rsidRPr="00DC065A">
        <w:rPr>
          <w:rFonts w:asciiTheme="majorHAnsi" w:eastAsia="Times New Roman" w:hAnsiTheme="majorHAnsi" w:cstheme="majorHAnsi"/>
          <w:noProof/>
          <w:sz w:val="23"/>
          <w:szCs w:val="23"/>
          <w:lang w:eastAsia="en-GB"/>
        </w:rPr>
        <w:t>(Marmot et al., 2008)</w:t>
      </w:r>
      <w:r>
        <w:rPr>
          <w:rFonts w:asciiTheme="majorHAnsi" w:eastAsia="Times New Roman" w:hAnsiTheme="majorHAnsi" w:cstheme="majorHAnsi"/>
          <w:sz w:val="23"/>
          <w:szCs w:val="23"/>
          <w:lang w:eastAsia="en-GB"/>
        </w:rPr>
        <w:t>.</w:t>
      </w:r>
    </w:p>
    <w:p w14:paraId="0A389118" w14:textId="698E53A4" w:rsidR="00F00E3D" w:rsidRDefault="00F00E3D" w:rsidP="009B2FA7">
      <w:pPr>
        <w:spacing w:before="100" w:beforeAutospacing="1" w:after="0" w:line="276" w:lineRule="auto"/>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 xml:space="preserve">The Australian Institute of Health Welfare </w:t>
      </w:r>
      <w:r w:rsidRPr="00BC19B6">
        <w:rPr>
          <w:rFonts w:asciiTheme="majorHAnsi" w:eastAsia="Times New Roman" w:hAnsiTheme="majorHAnsi" w:cstheme="majorHAnsi"/>
          <w:noProof/>
          <w:sz w:val="23"/>
          <w:szCs w:val="23"/>
          <w:lang w:eastAsia="en-GB"/>
        </w:rPr>
        <w:t>(2020)</w:t>
      </w:r>
      <w:r w:rsidRPr="00BC19B6">
        <w:rPr>
          <w:rFonts w:asciiTheme="majorHAnsi" w:eastAsia="Times New Roman" w:hAnsiTheme="majorHAnsi" w:cstheme="majorHAnsi"/>
          <w:sz w:val="23"/>
          <w:szCs w:val="23"/>
          <w:lang w:eastAsia="en-GB"/>
        </w:rPr>
        <w:t xml:space="preserve"> lists the </w:t>
      </w:r>
      <w:proofErr w:type="spellStart"/>
      <w:r w:rsidRPr="00BC19B6">
        <w:rPr>
          <w:rFonts w:asciiTheme="majorHAnsi" w:eastAsia="Times New Roman" w:hAnsiTheme="majorHAnsi" w:cstheme="majorHAnsi"/>
          <w:sz w:val="23"/>
          <w:szCs w:val="23"/>
          <w:lang w:eastAsia="en-GB"/>
        </w:rPr>
        <w:t>SDoH</w:t>
      </w:r>
      <w:proofErr w:type="spellEnd"/>
      <w:r w:rsidRPr="00BC19B6">
        <w:rPr>
          <w:rFonts w:asciiTheme="majorHAnsi" w:eastAsia="Times New Roman" w:hAnsiTheme="majorHAnsi" w:cstheme="majorHAnsi"/>
          <w:sz w:val="23"/>
          <w:szCs w:val="23"/>
          <w:lang w:eastAsia="en-GB"/>
        </w:rPr>
        <w:t xml:space="preserve"> in</w:t>
      </w:r>
      <w:r>
        <w:rPr>
          <w:rFonts w:asciiTheme="majorHAnsi" w:eastAsia="Times New Roman" w:hAnsiTheme="majorHAnsi" w:cstheme="majorHAnsi"/>
          <w:sz w:val="23"/>
          <w:szCs w:val="23"/>
          <w:lang w:eastAsia="en-GB"/>
        </w:rPr>
        <w:t xml:space="preserve"> the</w:t>
      </w:r>
      <w:r w:rsidRPr="00BC19B6">
        <w:rPr>
          <w:rFonts w:asciiTheme="majorHAnsi" w:eastAsia="Times New Roman" w:hAnsiTheme="majorHAnsi" w:cstheme="majorHAnsi"/>
          <w:sz w:val="23"/>
          <w:szCs w:val="23"/>
          <w:lang w:eastAsia="en-GB"/>
        </w:rPr>
        <w:t xml:space="preserve"> Australia</w:t>
      </w:r>
      <w:r>
        <w:rPr>
          <w:rFonts w:asciiTheme="majorHAnsi" w:eastAsia="Times New Roman" w:hAnsiTheme="majorHAnsi" w:cstheme="majorHAnsi"/>
          <w:sz w:val="23"/>
          <w:szCs w:val="23"/>
          <w:lang w:eastAsia="en-GB"/>
        </w:rPr>
        <w:t>n context</w:t>
      </w:r>
      <w:r w:rsidRPr="00BC19B6">
        <w:rPr>
          <w:rFonts w:asciiTheme="majorHAnsi" w:eastAsia="Times New Roman" w:hAnsiTheme="majorHAnsi" w:cstheme="majorHAnsi"/>
          <w:sz w:val="23"/>
          <w:szCs w:val="23"/>
          <w:lang w:eastAsia="en-GB"/>
        </w:rPr>
        <w:t xml:space="preserve"> as:</w:t>
      </w:r>
    </w:p>
    <w:p w14:paraId="142BA415" w14:textId="77777777" w:rsidR="00906BD0" w:rsidRPr="00906BD0" w:rsidRDefault="00906BD0" w:rsidP="00906BD0">
      <w:pPr>
        <w:spacing w:after="0" w:line="276" w:lineRule="auto"/>
        <w:rPr>
          <w:rFonts w:asciiTheme="majorHAnsi" w:eastAsia="Times New Roman" w:hAnsiTheme="majorHAnsi" w:cstheme="majorHAnsi"/>
          <w:sz w:val="8"/>
          <w:szCs w:val="8"/>
          <w:lang w:eastAsia="en-GB"/>
        </w:rPr>
      </w:pPr>
    </w:p>
    <w:p w14:paraId="3723045C" w14:textId="77777777" w:rsidR="00F00E3D" w:rsidRPr="00BC19B6" w:rsidRDefault="00F00E3D" w:rsidP="00364C5D">
      <w:pPr>
        <w:numPr>
          <w:ilvl w:val="0"/>
          <w:numId w:val="10"/>
        </w:numPr>
        <w:autoSpaceDE w:val="0"/>
        <w:autoSpaceDN w:val="0"/>
        <w:adjustRightInd w:val="0"/>
        <w:spacing w:after="0" w:line="276" w:lineRule="auto"/>
        <w:contextualSpacing/>
        <w:rPr>
          <w:rFonts w:asciiTheme="majorHAnsi" w:hAnsiTheme="majorHAnsi" w:cstheme="majorHAnsi"/>
          <w:sz w:val="23"/>
          <w:szCs w:val="23"/>
          <w:lang w:val="en-GB"/>
        </w:rPr>
      </w:pPr>
      <w:r w:rsidRPr="00BC19B6">
        <w:rPr>
          <w:rFonts w:asciiTheme="majorHAnsi" w:hAnsiTheme="majorHAnsi" w:cstheme="majorHAnsi"/>
          <w:sz w:val="23"/>
          <w:szCs w:val="23"/>
          <w:lang w:val="en-GB"/>
        </w:rPr>
        <w:t>Socioeconomic position</w:t>
      </w:r>
    </w:p>
    <w:p w14:paraId="556B1191" w14:textId="77777777" w:rsidR="00F00E3D" w:rsidRPr="00BC19B6" w:rsidRDefault="00F00E3D" w:rsidP="00364C5D">
      <w:pPr>
        <w:numPr>
          <w:ilvl w:val="0"/>
          <w:numId w:val="10"/>
        </w:numPr>
        <w:autoSpaceDE w:val="0"/>
        <w:autoSpaceDN w:val="0"/>
        <w:adjustRightInd w:val="0"/>
        <w:spacing w:after="0" w:line="276" w:lineRule="auto"/>
        <w:contextualSpacing/>
        <w:rPr>
          <w:rFonts w:asciiTheme="majorHAnsi" w:hAnsiTheme="majorHAnsi" w:cstheme="majorHAnsi"/>
          <w:sz w:val="23"/>
          <w:szCs w:val="23"/>
          <w:lang w:val="en-GB"/>
        </w:rPr>
      </w:pPr>
      <w:r w:rsidRPr="00BC19B6">
        <w:rPr>
          <w:rFonts w:asciiTheme="majorHAnsi" w:hAnsiTheme="majorHAnsi" w:cstheme="majorHAnsi"/>
          <w:sz w:val="23"/>
          <w:szCs w:val="23"/>
          <w:lang w:val="en-GB"/>
        </w:rPr>
        <w:t>Early childhood</w:t>
      </w:r>
    </w:p>
    <w:p w14:paraId="078DC0D8" w14:textId="77777777" w:rsidR="00F00E3D" w:rsidRPr="00BC19B6" w:rsidRDefault="00F00E3D" w:rsidP="00364C5D">
      <w:pPr>
        <w:numPr>
          <w:ilvl w:val="0"/>
          <w:numId w:val="10"/>
        </w:numPr>
        <w:autoSpaceDE w:val="0"/>
        <w:autoSpaceDN w:val="0"/>
        <w:adjustRightInd w:val="0"/>
        <w:spacing w:after="0" w:line="276" w:lineRule="auto"/>
        <w:contextualSpacing/>
        <w:rPr>
          <w:rFonts w:asciiTheme="majorHAnsi" w:hAnsiTheme="majorHAnsi" w:cstheme="majorHAnsi"/>
          <w:sz w:val="23"/>
          <w:szCs w:val="23"/>
          <w:lang w:val="en-GB"/>
        </w:rPr>
      </w:pPr>
      <w:r w:rsidRPr="00BC19B6">
        <w:rPr>
          <w:rFonts w:asciiTheme="majorHAnsi" w:hAnsiTheme="majorHAnsi" w:cstheme="majorHAnsi"/>
          <w:sz w:val="23"/>
          <w:szCs w:val="23"/>
          <w:lang w:val="en-GB"/>
        </w:rPr>
        <w:t>Family relationships</w:t>
      </w:r>
    </w:p>
    <w:p w14:paraId="642BD7C9" w14:textId="77777777" w:rsidR="00F00E3D" w:rsidRPr="00BC19B6" w:rsidRDefault="00F00E3D" w:rsidP="00364C5D">
      <w:pPr>
        <w:numPr>
          <w:ilvl w:val="0"/>
          <w:numId w:val="10"/>
        </w:numPr>
        <w:autoSpaceDE w:val="0"/>
        <w:autoSpaceDN w:val="0"/>
        <w:adjustRightInd w:val="0"/>
        <w:spacing w:after="0" w:line="276" w:lineRule="auto"/>
        <w:contextualSpacing/>
        <w:rPr>
          <w:rFonts w:asciiTheme="majorHAnsi" w:hAnsiTheme="majorHAnsi" w:cstheme="majorHAnsi"/>
          <w:sz w:val="23"/>
          <w:szCs w:val="23"/>
          <w:lang w:val="en-GB"/>
        </w:rPr>
      </w:pPr>
      <w:r w:rsidRPr="00BC19B6">
        <w:rPr>
          <w:rFonts w:asciiTheme="majorHAnsi" w:hAnsiTheme="majorHAnsi" w:cstheme="majorHAnsi"/>
          <w:sz w:val="23"/>
          <w:szCs w:val="23"/>
          <w:lang w:val="en-GB"/>
        </w:rPr>
        <w:t>Social support and exclusion</w:t>
      </w:r>
    </w:p>
    <w:p w14:paraId="01023881" w14:textId="77777777" w:rsidR="00F00E3D" w:rsidRPr="00BC19B6" w:rsidRDefault="00F00E3D" w:rsidP="00364C5D">
      <w:pPr>
        <w:numPr>
          <w:ilvl w:val="0"/>
          <w:numId w:val="10"/>
        </w:numPr>
        <w:autoSpaceDE w:val="0"/>
        <w:autoSpaceDN w:val="0"/>
        <w:adjustRightInd w:val="0"/>
        <w:spacing w:after="0" w:line="276" w:lineRule="auto"/>
        <w:contextualSpacing/>
        <w:rPr>
          <w:rFonts w:asciiTheme="majorHAnsi" w:hAnsiTheme="majorHAnsi" w:cstheme="majorHAnsi"/>
          <w:sz w:val="23"/>
          <w:szCs w:val="23"/>
          <w:lang w:val="en-GB"/>
        </w:rPr>
      </w:pPr>
      <w:r w:rsidRPr="00BC19B6">
        <w:rPr>
          <w:rFonts w:asciiTheme="majorHAnsi" w:hAnsiTheme="majorHAnsi" w:cstheme="majorHAnsi"/>
          <w:sz w:val="23"/>
          <w:szCs w:val="23"/>
          <w:lang w:val="en-GB"/>
        </w:rPr>
        <w:t>Employment and work</w:t>
      </w:r>
    </w:p>
    <w:p w14:paraId="4D3E515A" w14:textId="77777777" w:rsidR="00F00E3D" w:rsidRPr="00BC19B6" w:rsidRDefault="00F00E3D" w:rsidP="00364C5D">
      <w:pPr>
        <w:numPr>
          <w:ilvl w:val="0"/>
          <w:numId w:val="10"/>
        </w:numPr>
        <w:autoSpaceDE w:val="0"/>
        <w:autoSpaceDN w:val="0"/>
        <w:adjustRightInd w:val="0"/>
        <w:spacing w:after="0" w:line="276" w:lineRule="auto"/>
        <w:contextualSpacing/>
        <w:rPr>
          <w:rFonts w:asciiTheme="majorHAnsi" w:hAnsiTheme="majorHAnsi" w:cstheme="majorHAnsi"/>
          <w:sz w:val="23"/>
          <w:szCs w:val="23"/>
          <w:lang w:val="en-GB"/>
        </w:rPr>
      </w:pPr>
      <w:r w:rsidRPr="00BC19B6">
        <w:rPr>
          <w:rFonts w:asciiTheme="majorHAnsi" w:hAnsiTheme="majorHAnsi" w:cstheme="majorHAnsi"/>
          <w:sz w:val="23"/>
          <w:szCs w:val="23"/>
          <w:lang w:val="en-GB"/>
        </w:rPr>
        <w:t>Housing and homelessness</w:t>
      </w:r>
    </w:p>
    <w:p w14:paraId="6AC3D524" w14:textId="77777777" w:rsidR="00F00E3D" w:rsidRPr="00D8403D" w:rsidRDefault="00F00E3D" w:rsidP="009B2FA7">
      <w:pPr>
        <w:spacing w:after="0" w:line="276" w:lineRule="auto"/>
        <w:rPr>
          <w:rFonts w:asciiTheme="majorHAnsi" w:eastAsia="Times New Roman" w:hAnsiTheme="majorHAnsi" w:cstheme="majorHAnsi"/>
          <w:sz w:val="16"/>
          <w:szCs w:val="16"/>
          <w:lang w:eastAsia="en-GB"/>
        </w:rPr>
      </w:pPr>
    </w:p>
    <w:p w14:paraId="61D0FE45" w14:textId="306BFB7B" w:rsidR="00F00E3D" w:rsidRPr="00D248D3" w:rsidRDefault="00F00E3D" w:rsidP="00D248D3">
      <w:pPr>
        <w:spacing w:after="0" w:line="276" w:lineRule="auto"/>
        <w:contextualSpacing/>
        <w:rPr>
          <w:rFonts w:asciiTheme="majorHAnsi" w:eastAsia="Times New Roman" w:hAnsiTheme="majorHAnsi" w:cstheme="majorBidi"/>
          <w:sz w:val="23"/>
          <w:szCs w:val="23"/>
          <w:lang w:eastAsia="en-GB"/>
        </w:rPr>
      </w:pPr>
      <w:r w:rsidRPr="2164661D">
        <w:rPr>
          <w:rFonts w:asciiTheme="majorHAnsi" w:eastAsia="Times New Roman" w:hAnsiTheme="majorHAnsi" w:cstheme="majorBidi"/>
          <w:sz w:val="23"/>
          <w:szCs w:val="23"/>
          <w:lang w:eastAsia="en-GB"/>
        </w:rPr>
        <w:t xml:space="preserve">In </w:t>
      </w:r>
      <w:r w:rsidR="00D248D3">
        <w:rPr>
          <w:rFonts w:asciiTheme="majorHAnsi" w:eastAsia="Times New Roman" w:hAnsiTheme="majorHAnsi" w:cstheme="majorBidi"/>
          <w:sz w:val="23"/>
          <w:szCs w:val="23"/>
          <w:lang w:eastAsia="en-GB"/>
        </w:rPr>
        <w:t>our sample</w:t>
      </w:r>
      <w:r w:rsidRPr="2164661D">
        <w:rPr>
          <w:rFonts w:asciiTheme="majorHAnsi" w:eastAsia="Times New Roman" w:hAnsiTheme="majorHAnsi" w:cstheme="majorBidi"/>
          <w:sz w:val="23"/>
          <w:szCs w:val="23"/>
          <w:lang w:eastAsia="en-GB"/>
        </w:rPr>
        <w:t xml:space="preserve">, of the 82 </w:t>
      </w:r>
      <w:r>
        <w:rPr>
          <w:rFonts w:asciiTheme="majorHAnsi" w:eastAsia="Times New Roman" w:hAnsiTheme="majorHAnsi" w:cstheme="majorBidi"/>
          <w:sz w:val="23"/>
          <w:szCs w:val="23"/>
          <w:lang w:eastAsia="en-GB"/>
        </w:rPr>
        <w:t>articles</w:t>
      </w:r>
      <w:r w:rsidRPr="2164661D">
        <w:rPr>
          <w:rFonts w:asciiTheme="majorHAnsi" w:eastAsia="Times New Roman" w:hAnsiTheme="majorHAnsi" w:cstheme="majorBidi"/>
          <w:sz w:val="23"/>
          <w:szCs w:val="23"/>
          <w:lang w:eastAsia="en-GB"/>
        </w:rPr>
        <w:t xml:space="preserve"> </w:t>
      </w:r>
      <w:r>
        <w:rPr>
          <w:rFonts w:asciiTheme="majorHAnsi" w:eastAsia="Times New Roman" w:hAnsiTheme="majorHAnsi" w:cstheme="majorBidi"/>
          <w:sz w:val="23"/>
          <w:szCs w:val="23"/>
          <w:lang w:eastAsia="en-GB"/>
        </w:rPr>
        <w:t xml:space="preserve">that </w:t>
      </w:r>
      <w:r w:rsidRPr="2164661D">
        <w:rPr>
          <w:rFonts w:asciiTheme="majorHAnsi" w:eastAsia="Times New Roman" w:hAnsiTheme="majorHAnsi" w:cstheme="majorBidi"/>
          <w:sz w:val="23"/>
          <w:szCs w:val="23"/>
          <w:lang w:eastAsia="en-GB"/>
        </w:rPr>
        <w:t xml:space="preserve">focus on the factors and social determinants of inequality in the five </w:t>
      </w:r>
      <w:r w:rsidR="00D95573">
        <w:rPr>
          <w:rFonts w:asciiTheme="majorHAnsi" w:eastAsia="Times New Roman" w:hAnsiTheme="majorHAnsi" w:cstheme="majorBidi"/>
          <w:sz w:val="23"/>
          <w:szCs w:val="23"/>
          <w:lang w:eastAsia="en-GB"/>
        </w:rPr>
        <w:t>Practice Domain</w:t>
      </w:r>
      <w:r w:rsidRPr="2164661D">
        <w:rPr>
          <w:rFonts w:asciiTheme="majorHAnsi" w:eastAsia="Times New Roman" w:hAnsiTheme="majorHAnsi" w:cstheme="majorBidi"/>
          <w:sz w:val="23"/>
          <w:szCs w:val="23"/>
          <w:lang w:eastAsia="en-GB"/>
        </w:rPr>
        <w:t xml:space="preserve">s, 58 were in the domain of Health </w:t>
      </w:r>
      <w:r>
        <w:rPr>
          <w:rFonts w:asciiTheme="majorHAnsi" w:eastAsia="Times New Roman" w:hAnsiTheme="majorHAnsi" w:cstheme="majorBidi"/>
          <w:sz w:val="23"/>
          <w:szCs w:val="23"/>
          <w:lang w:eastAsia="en-GB"/>
        </w:rPr>
        <w:t>and</w:t>
      </w:r>
      <w:r w:rsidRPr="2164661D">
        <w:rPr>
          <w:rFonts w:asciiTheme="majorHAnsi" w:eastAsia="Times New Roman" w:hAnsiTheme="majorHAnsi" w:cstheme="majorBidi"/>
          <w:sz w:val="23"/>
          <w:szCs w:val="23"/>
          <w:lang w:eastAsia="en-GB"/>
        </w:rPr>
        <w:t xml:space="preserve"> Wellbeing</w:t>
      </w:r>
      <w:r>
        <w:rPr>
          <w:rFonts w:asciiTheme="majorHAnsi" w:eastAsia="Times New Roman" w:hAnsiTheme="majorHAnsi" w:cstheme="majorBidi"/>
          <w:sz w:val="23"/>
          <w:szCs w:val="23"/>
          <w:lang w:eastAsia="en-GB"/>
        </w:rPr>
        <w:t>,</w:t>
      </w:r>
      <w:r w:rsidRPr="2164661D">
        <w:rPr>
          <w:rFonts w:asciiTheme="majorHAnsi" w:eastAsia="Times New Roman" w:hAnsiTheme="majorHAnsi" w:cstheme="majorBidi"/>
          <w:sz w:val="23"/>
          <w:szCs w:val="23"/>
          <w:lang w:eastAsia="en-GB"/>
        </w:rPr>
        <w:t xml:space="preserve"> or Health </w:t>
      </w:r>
      <w:r>
        <w:rPr>
          <w:rFonts w:asciiTheme="majorHAnsi" w:eastAsia="Times New Roman" w:hAnsiTheme="majorHAnsi" w:cstheme="majorBidi"/>
          <w:sz w:val="23"/>
          <w:szCs w:val="23"/>
          <w:lang w:eastAsia="en-GB"/>
        </w:rPr>
        <w:t>and</w:t>
      </w:r>
      <w:r w:rsidRPr="2164661D">
        <w:rPr>
          <w:rFonts w:asciiTheme="majorHAnsi" w:eastAsia="Times New Roman" w:hAnsiTheme="majorHAnsi" w:cstheme="majorBidi"/>
          <w:sz w:val="23"/>
          <w:szCs w:val="23"/>
          <w:lang w:eastAsia="en-GB"/>
        </w:rPr>
        <w:t xml:space="preserve"> Wellbeing plus other domains. </w:t>
      </w:r>
      <w:r>
        <w:rPr>
          <w:rFonts w:asciiTheme="majorHAnsi" w:eastAsia="Times New Roman" w:hAnsiTheme="majorHAnsi" w:cstheme="majorBidi"/>
          <w:sz w:val="23"/>
          <w:szCs w:val="23"/>
          <w:lang w:eastAsia="en-GB"/>
        </w:rPr>
        <w:t xml:space="preserve">Table </w:t>
      </w:r>
      <w:r w:rsidR="004D7F9B">
        <w:rPr>
          <w:rFonts w:asciiTheme="majorHAnsi" w:eastAsia="Times New Roman" w:hAnsiTheme="majorHAnsi" w:cstheme="majorBidi"/>
          <w:sz w:val="23"/>
          <w:szCs w:val="23"/>
          <w:lang w:eastAsia="en-GB"/>
        </w:rPr>
        <w:t>3.5</w:t>
      </w:r>
      <w:r w:rsidRPr="2164661D">
        <w:rPr>
          <w:rFonts w:asciiTheme="majorHAnsi" w:eastAsia="Times New Roman" w:hAnsiTheme="majorHAnsi" w:cstheme="majorBidi"/>
          <w:sz w:val="23"/>
          <w:szCs w:val="23"/>
          <w:lang w:eastAsia="en-GB"/>
        </w:rPr>
        <w:t xml:space="preserve"> indicates the social and economic factors </w:t>
      </w:r>
      <w:r>
        <w:rPr>
          <w:rFonts w:asciiTheme="majorHAnsi" w:eastAsia="Times New Roman" w:hAnsiTheme="majorHAnsi" w:cstheme="majorBidi"/>
          <w:sz w:val="23"/>
          <w:szCs w:val="23"/>
          <w:lang w:eastAsia="en-GB"/>
        </w:rPr>
        <w:t xml:space="preserve">these studies </w:t>
      </w:r>
      <w:r w:rsidRPr="2164661D">
        <w:rPr>
          <w:rFonts w:asciiTheme="majorHAnsi" w:eastAsia="Times New Roman" w:hAnsiTheme="majorHAnsi" w:cstheme="majorBidi"/>
          <w:sz w:val="23"/>
          <w:szCs w:val="23"/>
          <w:lang w:eastAsia="en-GB"/>
        </w:rPr>
        <w:t>identif</w:t>
      </w:r>
      <w:r>
        <w:rPr>
          <w:rFonts w:asciiTheme="majorHAnsi" w:eastAsia="Times New Roman" w:hAnsiTheme="majorHAnsi" w:cstheme="majorBidi"/>
          <w:sz w:val="23"/>
          <w:szCs w:val="23"/>
          <w:lang w:eastAsia="en-GB"/>
        </w:rPr>
        <w:t>y</w:t>
      </w:r>
      <w:r w:rsidRPr="2164661D">
        <w:rPr>
          <w:rFonts w:asciiTheme="majorHAnsi" w:eastAsia="Times New Roman" w:hAnsiTheme="majorHAnsi" w:cstheme="majorBidi"/>
          <w:sz w:val="23"/>
          <w:szCs w:val="23"/>
          <w:lang w:eastAsia="en-GB"/>
        </w:rPr>
        <w:t xml:space="preserve"> as driving health outcomes for </w:t>
      </w:r>
      <w:r>
        <w:rPr>
          <w:rFonts w:asciiTheme="majorHAnsi" w:eastAsia="Times New Roman" w:hAnsiTheme="majorHAnsi" w:cstheme="majorBidi"/>
          <w:sz w:val="23"/>
          <w:szCs w:val="23"/>
          <w:lang w:eastAsia="en-GB"/>
        </w:rPr>
        <w:t>communities affected by disadvantage</w:t>
      </w:r>
      <w:r w:rsidRPr="2164661D">
        <w:rPr>
          <w:rFonts w:asciiTheme="majorHAnsi" w:eastAsia="Times New Roman" w:hAnsiTheme="majorHAnsi" w:cstheme="majorBidi"/>
          <w:sz w:val="23"/>
          <w:szCs w:val="23"/>
          <w:lang w:eastAsia="en-GB"/>
        </w:rPr>
        <w:t>.</w:t>
      </w:r>
      <w:r>
        <w:rPr>
          <w:rFonts w:asciiTheme="majorHAnsi" w:eastAsia="Times New Roman" w:hAnsiTheme="majorHAnsi" w:cstheme="majorBidi"/>
          <w:sz w:val="23"/>
          <w:szCs w:val="23"/>
          <w:lang w:eastAsia="en-GB"/>
        </w:rPr>
        <w:t xml:space="preserve"> </w:t>
      </w:r>
      <w:r w:rsidR="00D248D3">
        <w:rPr>
          <w:rFonts w:asciiTheme="majorHAnsi" w:eastAsia="Times New Roman" w:hAnsiTheme="majorHAnsi" w:cstheme="majorBidi"/>
          <w:sz w:val="23"/>
          <w:szCs w:val="23"/>
          <w:lang w:eastAsia="en-GB"/>
        </w:rPr>
        <w:t>As in</w:t>
      </w:r>
      <w:r>
        <w:rPr>
          <w:rFonts w:asciiTheme="majorHAnsi" w:eastAsia="Times New Roman" w:hAnsiTheme="majorHAnsi" w:cstheme="majorBidi"/>
          <w:sz w:val="23"/>
          <w:szCs w:val="23"/>
          <w:lang w:eastAsia="en-GB"/>
        </w:rPr>
        <w:t xml:space="preserve"> the broader research literature, housing and income stand out as key factors impacting health and wellbeing outcomes.</w:t>
      </w:r>
      <w:r>
        <w:rPr>
          <w:rFonts w:asciiTheme="majorHAnsi" w:eastAsia="Times New Roman" w:hAnsiTheme="majorHAnsi" w:cstheme="majorHAnsi"/>
          <w:sz w:val="23"/>
          <w:szCs w:val="23"/>
          <w:lang w:eastAsia="en-GB"/>
        </w:rPr>
        <w:br w:type="page"/>
      </w:r>
    </w:p>
    <w:tbl>
      <w:tblPr>
        <w:tblStyle w:val="TableGrid"/>
        <w:tblW w:w="9554" w:type="dxa"/>
        <w:tblInd w:w="-5" w:type="dxa"/>
        <w:tblLayout w:type="fixed"/>
        <w:tblLook w:val="04A0" w:firstRow="1" w:lastRow="0" w:firstColumn="1" w:lastColumn="0" w:noHBand="0" w:noVBand="1"/>
      </w:tblPr>
      <w:tblGrid>
        <w:gridCol w:w="1059"/>
        <w:gridCol w:w="2324"/>
        <w:gridCol w:w="4391"/>
        <w:gridCol w:w="882"/>
        <w:gridCol w:w="898"/>
      </w:tblGrid>
      <w:tr w:rsidR="004611D0" w:rsidRPr="004611D0" w14:paraId="5BA8ACB7" w14:textId="77777777" w:rsidTr="004611D0">
        <w:trPr>
          <w:trHeight w:val="346"/>
        </w:trPr>
        <w:tc>
          <w:tcPr>
            <w:tcW w:w="1059" w:type="dxa"/>
            <w:shd w:val="clear" w:color="auto" w:fill="D0CECE" w:themeFill="background2" w:themeFillShade="E6"/>
          </w:tcPr>
          <w:p w14:paraId="29B7933B" w14:textId="77777777" w:rsidR="00F00E3D" w:rsidRPr="004611D0" w:rsidRDefault="00F00E3D" w:rsidP="009B2FA7">
            <w:pPr>
              <w:contextualSpacing/>
              <w:rPr>
                <w:rFonts w:eastAsia="Times New Roman" w:cstheme="majorHAnsi"/>
                <w:b/>
                <w:bCs/>
                <w:sz w:val="21"/>
                <w:szCs w:val="21"/>
                <w:lang w:eastAsia="en-GB"/>
              </w:rPr>
            </w:pPr>
            <w:r w:rsidRPr="004611D0">
              <w:rPr>
                <w:rFonts w:eastAsia="Times New Roman" w:cstheme="majorHAnsi"/>
                <w:b/>
                <w:bCs/>
                <w:sz w:val="21"/>
                <w:szCs w:val="21"/>
                <w:lang w:eastAsia="en-GB"/>
              </w:rPr>
              <w:lastRenderedPageBreak/>
              <w:t>Context Category</w:t>
            </w:r>
          </w:p>
        </w:tc>
        <w:tc>
          <w:tcPr>
            <w:tcW w:w="2324" w:type="dxa"/>
            <w:shd w:val="clear" w:color="auto" w:fill="D0CECE" w:themeFill="background2" w:themeFillShade="E6"/>
          </w:tcPr>
          <w:p w14:paraId="02980312" w14:textId="77777777" w:rsidR="00F00E3D" w:rsidRPr="004611D0" w:rsidRDefault="00F00E3D" w:rsidP="009B2FA7">
            <w:pPr>
              <w:contextualSpacing/>
              <w:rPr>
                <w:rFonts w:eastAsia="Times New Roman" w:cstheme="majorHAnsi"/>
                <w:b/>
                <w:bCs/>
                <w:sz w:val="21"/>
                <w:szCs w:val="21"/>
                <w:lang w:eastAsia="en-GB"/>
              </w:rPr>
            </w:pPr>
            <w:r w:rsidRPr="004611D0">
              <w:rPr>
                <w:rFonts w:eastAsia="Times New Roman" w:cstheme="majorHAnsi"/>
                <w:b/>
                <w:bCs/>
                <w:sz w:val="21"/>
                <w:szCs w:val="21"/>
                <w:lang w:eastAsia="en-GB"/>
              </w:rPr>
              <w:t>Determinant</w:t>
            </w:r>
          </w:p>
        </w:tc>
        <w:tc>
          <w:tcPr>
            <w:tcW w:w="4391" w:type="dxa"/>
            <w:shd w:val="clear" w:color="auto" w:fill="D0CECE" w:themeFill="background2" w:themeFillShade="E6"/>
          </w:tcPr>
          <w:p w14:paraId="1CBA8BB4" w14:textId="77777777" w:rsidR="00F00E3D" w:rsidRPr="004611D0" w:rsidRDefault="00F00E3D" w:rsidP="009B2FA7">
            <w:pPr>
              <w:contextualSpacing/>
              <w:rPr>
                <w:rFonts w:eastAsia="Times New Roman" w:cstheme="majorHAnsi"/>
                <w:b/>
                <w:bCs/>
                <w:sz w:val="21"/>
                <w:szCs w:val="21"/>
                <w:lang w:eastAsia="en-GB"/>
              </w:rPr>
            </w:pPr>
            <w:r w:rsidRPr="004611D0">
              <w:rPr>
                <w:rFonts w:eastAsia="Times New Roman" w:cstheme="majorHAnsi"/>
                <w:b/>
                <w:bCs/>
                <w:sz w:val="21"/>
                <w:szCs w:val="21"/>
                <w:lang w:eastAsia="en-GB"/>
              </w:rPr>
              <w:t>Factor</w:t>
            </w:r>
          </w:p>
        </w:tc>
        <w:tc>
          <w:tcPr>
            <w:tcW w:w="1780" w:type="dxa"/>
            <w:gridSpan w:val="2"/>
            <w:shd w:val="clear" w:color="auto" w:fill="D0CECE" w:themeFill="background2" w:themeFillShade="E6"/>
          </w:tcPr>
          <w:p w14:paraId="3B8E3AC8" w14:textId="77777777" w:rsidR="00F00E3D" w:rsidRPr="004611D0" w:rsidRDefault="00F00E3D" w:rsidP="009B2FA7">
            <w:pPr>
              <w:contextualSpacing/>
              <w:rPr>
                <w:rFonts w:eastAsia="Times New Roman" w:cstheme="majorHAnsi"/>
                <w:b/>
                <w:bCs/>
                <w:sz w:val="21"/>
                <w:szCs w:val="21"/>
                <w:lang w:eastAsia="en-GB"/>
              </w:rPr>
            </w:pPr>
            <w:r w:rsidRPr="004611D0">
              <w:rPr>
                <w:rFonts w:eastAsia="Times New Roman" w:cstheme="majorHAnsi"/>
                <w:b/>
                <w:bCs/>
                <w:sz w:val="21"/>
                <w:szCs w:val="21"/>
                <w:lang w:eastAsia="en-GB"/>
              </w:rPr>
              <w:t xml:space="preserve"># Articles </w:t>
            </w:r>
          </w:p>
          <w:p w14:paraId="5A71D296" w14:textId="0E39B8AC" w:rsidR="00F00E3D" w:rsidRPr="004611D0" w:rsidRDefault="004611D0" w:rsidP="009B2FA7">
            <w:pPr>
              <w:contextualSpacing/>
              <w:rPr>
                <w:rFonts w:eastAsia="Times New Roman" w:cstheme="majorHAnsi"/>
                <w:b/>
                <w:bCs/>
                <w:sz w:val="21"/>
                <w:szCs w:val="21"/>
                <w:lang w:eastAsia="en-GB"/>
              </w:rPr>
            </w:pPr>
            <w:r w:rsidRPr="004611D0">
              <w:rPr>
                <w:rFonts w:eastAsia="Times New Roman" w:cstheme="majorHAnsi"/>
                <w:b/>
                <w:bCs/>
                <w:sz w:val="21"/>
                <w:szCs w:val="21"/>
                <w:lang w:eastAsia="en-GB"/>
              </w:rPr>
              <w:t>I</w:t>
            </w:r>
            <w:r w:rsidR="00F00E3D" w:rsidRPr="004611D0">
              <w:rPr>
                <w:rFonts w:eastAsia="Times New Roman" w:cstheme="majorHAnsi"/>
                <w:b/>
                <w:bCs/>
                <w:sz w:val="21"/>
                <w:szCs w:val="21"/>
                <w:lang w:eastAsia="en-GB"/>
              </w:rPr>
              <w:t xml:space="preserve">dentifying </w:t>
            </w:r>
            <w:r>
              <w:rPr>
                <w:rFonts w:eastAsia="Times New Roman" w:cstheme="majorHAnsi"/>
                <w:b/>
                <w:bCs/>
                <w:sz w:val="21"/>
                <w:szCs w:val="21"/>
                <w:lang w:eastAsia="en-GB"/>
              </w:rPr>
              <w:t>F</w:t>
            </w:r>
            <w:r w:rsidR="00F00E3D" w:rsidRPr="004611D0">
              <w:rPr>
                <w:rFonts w:eastAsia="Times New Roman" w:cstheme="majorHAnsi"/>
                <w:b/>
                <w:bCs/>
                <w:sz w:val="21"/>
                <w:szCs w:val="21"/>
                <w:lang w:eastAsia="en-GB"/>
              </w:rPr>
              <w:t>actor</w:t>
            </w:r>
          </w:p>
        </w:tc>
      </w:tr>
      <w:tr w:rsidR="00F00E3D" w:rsidRPr="00127F2D" w14:paraId="70F4FC67" w14:textId="77777777" w:rsidTr="00D05D77">
        <w:trPr>
          <w:trHeight w:val="246"/>
        </w:trPr>
        <w:tc>
          <w:tcPr>
            <w:tcW w:w="1059" w:type="dxa"/>
            <w:vMerge w:val="restart"/>
            <w:textDirection w:val="tbRl"/>
            <w:vAlign w:val="center"/>
          </w:tcPr>
          <w:p w14:paraId="70F6DBB8" w14:textId="61CE3C45" w:rsidR="00F00E3D" w:rsidRPr="00204CE6" w:rsidRDefault="00F00E3D" w:rsidP="009B2FA7">
            <w:pPr>
              <w:ind w:left="113" w:right="113"/>
              <w:contextualSpacing/>
              <w:jc w:val="center"/>
              <w:rPr>
                <w:rFonts w:eastAsia="Times New Roman" w:cstheme="majorBidi"/>
                <w:b/>
                <w:color w:val="000000"/>
                <w:sz w:val="21"/>
                <w:szCs w:val="21"/>
                <w:lang w:eastAsia="en-GB"/>
              </w:rPr>
            </w:pPr>
            <w:r w:rsidRPr="701B9583">
              <w:rPr>
                <w:rFonts w:eastAsia="Times New Roman" w:cstheme="majorBidi"/>
                <w:b/>
                <w:bCs/>
                <w:color w:val="000000" w:themeColor="text1"/>
                <w:sz w:val="21"/>
                <w:szCs w:val="21"/>
                <w:lang w:eastAsia="en-GB"/>
              </w:rPr>
              <w:t>Economic</w:t>
            </w:r>
          </w:p>
        </w:tc>
        <w:tc>
          <w:tcPr>
            <w:tcW w:w="2324" w:type="dxa"/>
            <w:vMerge w:val="restart"/>
            <w:vAlign w:val="center"/>
          </w:tcPr>
          <w:p w14:paraId="4958099F"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Economy</w:t>
            </w:r>
          </w:p>
        </w:tc>
        <w:tc>
          <w:tcPr>
            <w:tcW w:w="4391" w:type="dxa"/>
            <w:vAlign w:val="center"/>
          </w:tcPr>
          <w:p w14:paraId="5175E244"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color w:val="000000"/>
                <w:sz w:val="20"/>
                <w:szCs w:val="20"/>
                <w:lang w:eastAsia="en-GB"/>
              </w:rPr>
              <w:t>Economic Conditions</w:t>
            </w:r>
          </w:p>
        </w:tc>
        <w:tc>
          <w:tcPr>
            <w:tcW w:w="882" w:type="dxa"/>
            <w:vAlign w:val="center"/>
          </w:tcPr>
          <w:p w14:paraId="32762BD0" w14:textId="77777777" w:rsidR="00F00E3D" w:rsidRPr="006E1BAC" w:rsidRDefault="00F00E3D" w:rsidP="009B2FA7">
            <w:pPr>
              <w:tabs>
                <w:tab w:val="left" w:pos="2127"/>
              </w:tabs>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1</w:t>
            </w:r>
          </w:p>
        </w:tc>
        <w:tc>
          <w:tcPr>
            <w:tcW w:w="897" w:type="dxa"/>
            <w:vMerge w:val="restart"/>
            <w:vAlign w:val="center"/>
          </w:tcPr>
          <w:p w14:paraId="7A7B8D9F" w14:textId="77777777" w:rsidR="00F00E3D" w:rsidRPr="006E1BAC" w:rsidRDefault="00F00E3D" w:rsidP="009B2FA7">
            <w:pPr>
              <w:tabs>
                <w:tab w:val="left" w:pos="2127"/>
              </w:tabs>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4</w:t>
            </w:r>
          </w:p>
        </w:tc>
      </w:tr>
      <w:tr w:rsidR="00F00E3D" w:rsidRPr="00127F2D" w14:paraId="1D35C0C3" w14:textId="77777777" w:rsidTr="00D05D77">
        <w:trPr>
          <w:trHeight w:val="246"/>
        </w:trPr>
        <w:tc>
          <w:tcPr>
            <w:tcW w:w="1059" w:type="dxa"/>
            <w:vMerge/>
          </w:tcPr>
          <w:p w14:paraId="0183EE23"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3D536BCA"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445AEB44"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color w:val="000000"/>
                <w:sz w:val="20"/>
                <w:szCs w:val="20"/>
                <w:lang w:eastAsia="en-GB"/>
              </w:rPr>
              <w:t>Education Funding</w:t>
            </w:r>
          </w:p>
        </w:tc>
        <w:tc>
          <w:tcPr>
            <w:tcW w:w="882" w:type="dxa"/>
            <w:vAlign w:val="center"/>
          </w:tcPr>
          <w:p w14:paraId="6F006E8F"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2</w:t>
            </w:r>
          </w:p>
        </w:tc>
        <w:tc>
          <w:tcPr>
            <w:tcW w:w="897" w:type="dxa"/>
            <w:vMerge/>
            <w:vAlign w:val="center"/>
          </w:tcPr>
          <w:p w14:paraId="7E9E6280"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4078945C" w14:textId="77777777" w:rsidTr="00D05D77">
        <w:trPr>
          <w:trHeight w:val="194"/>
        </w:trPr>
        <w:tc>
          <w:tcPr>
            <w:tcW w:w="1059" w:type="dxa"/>
            <w:vMerge/>
          </w:tcPr>
          <w:p w14:paraId="3230C0D9"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13630DAA"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5A0FFB83"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color w:val="000000"/>
                <w:sz w:val="20"/>
                <w:szCs w:val="20"/>
                <w:lang w:eastAsia="en-GB"/>
              </w:rPr>
              <w:t>Energy Affordability</w:t>
            </w:r>
          </w:p>
        </w:tc>
        <w:tc>
          <w:tcPr>
            <w:tcW w:w="882" w:type="dxa"/>
            <w:vAlign w:val="center"/>
          </w:tcPr>
          <w:p w14:paraId="3230B8BE"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1</w:t>
            </w:r>
          </w:p>
        </w:tc>
        <w:tc>
          <w:tcPr>
            <w:tcW w:w="897" w:type="dxa"/>
            <w:vMerge/>
            <w:vAlign w:val="center"/>
          </w:tcPr>
          <w:p w14:paraId="122C16EF"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42DF4149" w14:textId="77777777" w:rsidTr="00D05D77">
        <w:trPr>
          <w:trHeight w:val="246"/>
        </w:trPr>
        <w:tc>
          <w:tcPr>
            <w:tcW w:w="1059" w:type="dxa"/>
            <w:vMerge/>
          </w:tcPr>
          <w:p w14:paraId="6CE05679"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val="restart"/>
            <w:vAlign w:val="center"/>
          </w:tcPr>
          <w:p w14:paraId="756263FA"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Policy</w:t>
            </w:r>
          </w:p>
        </w:tc>
        <w:tc>
          <w:tcPr>
            <w:tcW w:w="4391" w:type="dxa"/>
            <w:vAlign w:val="center"/>
          </w:tcPr>
          <w:p w14:paraId="5AA2701F"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Government Policy (global)</w:t>
            </w:r>
          </w:p>
        </w:tc>
        <w:tc>
          <w:tcPr>
            <w:tcW w:w="882" w:type="dxa"/>
            <w:vAlign w:val="center"/>
          </w:tcPr>
          <w:p w14:paraId="24B42A4F"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1</w:t>
            </w:r>
          </w:p>
        </w:tc>
        <w:tc>
          <w:tcPr>
            <w:tcW w:w="897" w:type="dxa"/>
            <w:vMerge w:val="restart"/>
            <w:vAlign w:val="center"/>
          </w:tcPr>
          <w:p w14:paraId="2EC7D265"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3</w:t>
            </w:r>
          </w:p>
        </w:tc>
      </w:tr>
      <w:tr w:rsidR="00F00E3D" w:rsidRPr="00127F2D" w14:paraId="79EAE0B6" w14:textId="77777777" w:rsidTr="00D05D77">
        <w:trPr>
          <w:trHeight w:val="246"/>
        </w:trPr>
        <w:tc>
          <w:tcPr>
            <w:tcW w:w="1059" w:type="dxa"/>
            <w:vMerge/>
          </w:tcPr>
          <w:p w14:paraId="09D86A22"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4E6C614F"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2EDDEE10" w14:textId="4A1A2639"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color w:val="000000"/>
                <w:sz w:val="20"/>
                <w:szCs w:val="20"/>
                <w:lang w:eastAsia="en-GB"/>
              </w:rPr>
              <w:t xml:space="preserve">Government Policy (local </w:t>
            </w:r>
            <w:r w:rsidR="000374EF">
              <w:rPr>
                <w:rFonts w:asciiTheme="majorHAnsi" w:eastAsia="Times New Roman" w:hAnsiTheme="majorHAnsi" w:cstheme="majorHAnsi"/>
                <w:color w:val="000000"/>
                <w:sz w:val="20"/>
                <w:szCs w:val="20"/>
                <w:lang w:eastAsia="en-GB"/>
              </w:rPr>
              <w:t>and</w:t>
            </w:r>
            <w:r w:rsidRPr="006E1BAC">
              <w:rPr>
                <w:rFonts w:asciiTheme="majorHAnsi" w:eastAsia="Times New Roman" w:hAnsiTheme="majorHAnsi" w:cstheme="majorHAnsi"/>
                <w:color w:val="000000"/>
                <w:sz w:val="20"/>
                <w:szCs w:val="20"/>
                <w:lang w:eastAsia="en-GB"/>
              </w:rPr>
              <w:t xml:space="preserve"> national)</w:t>
            </w:r>
          </w:p>
        </w:tc>
        <w:tc>
          <w:tcPr>
            <w:tcW w:w="882" w:type="dxa"/>
            <w:vAlign w:val="center"/>
          </w:tcPr>
          <w:p w14:paraId="1302B7E7"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1</w:t>
            </w:r>
          </w:p>
        </w:tc>
        <w:tc>
          <w:tcPr>
            <w:tcW w:w="897" w:type="dxa"/>
            <w:vMerge/>
            <w:vAlign w:val="center"/>
          </w:tcPr>
          <w:p w14:paraId="6A55D575"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7437871F" w14:textId="77777777" w:rsidTr="00D05D77">
        <w:trPr>
          <w:trHeight w:val="246"/>
        </w:trPr>
        <w:tc>
          <w:tcPr>
            <w:tcW w:w="1059" w:type="dxa"/>
            <w:vMerge/>
          </w:tcPr>
          <w:p w14:paraId="42BBA5F2"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33DA0A42"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4EC85B8B"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Human Rights Policy</w:t>
            </w:r>
          </w:p>
        </w:tc>
        <w:tc>
          <w:tcPr>
            <w:tcW w:w="882" w:type="dxa"/>
            <w:vAlign w:val="center"/>
          </w:tcPr>
          <w:p w14:paraId="776CCDF7"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1</w:t>
            </w:r>
          </w:p>
        </w:tc>
        <w:tc>
          <w:tcPr>
            <w:tcW w:w="897" w:type="dxa"/>
            <w:vMerge/>
            <w:vAlign w:val="center"/>
          </w:tcPr>
          <w:p w14:paraId="24268135"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013BAF07" w14:textId="77777777" w:rsidTr="00D05D77">
        <w:trPr>
          <w:trHeight w:val="254"/>
        </w:trPr>
        <w:tc>
          <w:tcPr>
            <w:tcW w:w="1059" w:type="dxa"/>
            <w:vMerge w:val="restart"/>
            <w:textDirection w:val="tbRl"/>
            <w:vAlign w:val="center"/>
          </w:tcPr>
          <w:p w14:paraId="1147AB4C" w14:textId="77777777" w:rsidR="00F00E3D" w:rsidRPr="00204CE6" w:rsidRDefault="00F00E3D" w:rsidP="009B2FA7">
            <w:pPr>
              <w:contextualSpacing/>
              <w:jc w:val="center"/>
              <w:rPr>
                <w:rFonts w:eastAsia="Times New Roman" w:cstheme="majorHAnsi"/>
                <w:b/>
                <w:bCs/>
                <w:color w:val="000000"/>
                <w:sz w:val="21"/>
                <w:szCs w:val="21"/>
                <w:lang w:eastAsia="en-GB"/>
              </w:rPr>
            </w:pPr>
            <w:r w:rsidRPr="00204CE6">
              <w:rPr>
                <w:rFonts w:eastAsia="Times New Roman" w:cstheme="majorHAnsi"/>
                <w:b/>
                <w:bCs/>
                <w:color w:val="000000"/>
                <w:sz w:val="21"/>
                <w:szCs w:val="21"/>
                <w:lang w:eastAsia="en-GB"/>
              </w:rPr>
              <w:t>Health</w:t>
            </w:r>
          </w:p>
        </w:tc>
        <w:tc>
          <w:tcPr>
            <w:tcW w:w="2324" w:type="dxa"/>
            <w:vMerge w:val="restart"/>
            <w:vAlign w:val="center"/>
          </w:tcPr>
          <w:p w14:paraId="05833FFB" w14:textId="77777777" w:rsidR="00F00E3D" w:rsidRPr="006E1BAC" w:rsidRDefault="00F00E3D" w:rsidP="000374EF">
            <w:pPr>
              <w:spacing w:after="0"/>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Healthcare &amp;</w:t>
            </w:r>
          </w:p>
          <w:p w14:paraId="173A2A99" w14:textId="77777777" w:rsidR="00F00E3D" w:rsidRPr="006E1BAC" w:rsidRDefault="00F00E3D" w:rsidP="000374EF">
            <w:pPr>
              <w:spacing w:after="0"/>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Social Services</w:t>
            </w:r>
          </w:p>
        </w:tc>
        <w:tc>
          <w:tcPr>
            <w:tcW w:w="4391" w:type="dxa"/>
            <w:vAlign w:val="center"/>
          </w:tcPr>
          <w:p w14:paraId="2D80DBB7"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color w:val="000000"/>
                <w:sz w:val="20"/>
                <w:szCs w:val="20"/>
                <w:lang w:eastAsia="en-GB"/>
              </w:rPr>
              <w:t>Access to Health Information</w:t>
            </w:r>
          </w:p>
        </w:tc>
        <w:tc>
          <w:tcPr>
            <w:tcW w:w="882" w:type="dxa"/>
            <w:vAlign w:val="center"/>
          </w:tcPr>
          <w:p w14:paraId="4379D4CC"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1</w:t>
            </w:r>
          </w:p>
        </w:tc>
        <w:tc>
          <w:tcPr>
            <w:tcW w:w="897" w:type="dxa"/>
            <w:vMerge w:val="restart"/>
            <w:vAlign w:val="center"/>
          </w:tcPr>
          <w:p w14:paraId="33E55D5E"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11</w:t>
            </w:r>
          </w:p>
        </w:tc>
      </w:tr>
      <w:tr w:rsidR="00F00E3D" w:rsidRPr="00127F2D" w14:paraId="0F3AC370" w14:textId="77777777" w:rsidTr="00D05D77">
        <w:trPr>
          <w:trHeight w:val="254"/>
        </w:trPr>
        <w:tc>
          <w:tcPr>
            <w:tcW w:w="1059" w:type="dxa"/>
            <w:vMerge/>
          </w:tcPr>
          <w:p w14:paraId="69B644C8"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10799111"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22BEE10A"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Access to Healthcare</w:t>
            </w:r>
          </w:p>
        </w:tc>
        <w:tc>
          <w:tcPr>
            <w:tcW w:w="882" w:type="dxa"/>
            <w:vAlign w:val="center"/>
          </w:tcPr>
          <w:p w14:paraId="0FCC0863"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2</w:t>
            </w:r>
          </w:p>
        </w:tc>
        <w:tc>
          <w:tcPr>
            <w:tcW w:w="897" w:type="dxa"/>
            <w:vMerge/>
            <w:vAlign w:val="center"/>
          </w:tcPr>
          <w:p w14:paraId="216A89F2"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23333C88" w14:textId="77777777" w:rsidTr="00D05D77">
        <w:trPr>
          <w:trHeight w:val="254"/>
        </w:trPr>
        <w:tc>
          <w:tcPr>
            <w:tcW w:w="1059" w:type="dxa"/>
            <w:vMerge/>
          </w:tcPr>
          <w:p w14:paraId="5C684DD8"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287F2D1D"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31F27C9D"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Access to Services</w:t>
            </w:r>
          </w:p>
        </w:tc>
        <w:tc>
          <w:tcPr>
            <w:tcW w:w="882" w:type="dxa"/>
            <w:vAlign w:val="center"/>
          </w:tcPr>
          <w:p w14:paraId="3EA36D06"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8</w:t>
            </w:r>
          </w:p>
        </w:tc>
        <w:tc>
          <w:tcPr>
            <w:tcW w:w="897" w:type="dxa"/>
            <w:vMerge/>
            <w:vAlign w:val="center"/>
          </w:tcPr>
          <w:p w14:paraId="1E9A5ECA"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64955919" w14:textId="77777777" w:rsidTr="00D05D77">
        <w:trPr>
          <w:trHeight w:val="254"/>
        </w:trPr>
        <w:tc>
          <w:tcPr>
            <w:tcW w:w="1059" w:type="dxa"/>
            <w:vMerge/>
          </w:tcPr>
          <w:p w14:paraId="7FA5FC61"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val="restart"/>
            <w:vAlign w:val="center"/>
          </w:tcPr>
          <w:p w14:paraId="1DD00050" w14:textId="77777777" w:rsidR="00F00E3D" w:rsidRPr="006E1BAC" w:rsidRDefault="00F00E3D" w:rsidP="009B2FA7">
            <w:pP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Personal Health Status</w:t>
            </w:r>
          </w:p>
        </w:tc>
        <w:tc>
          <w:tcPr>
            <w:tcW w:w="4391" w:type="dxa"/>
            <w:vAlign w:val="center"/>
          </w:tcPr>
          <w:p w14:paraId="4FA8C644"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Individual Health</w:t>
            </w:r>
          </w:p>
        </w:tc>
        <w:tc>
          <w:tcPr>
            <w:tcW w:w="882" w:type="dxa"/>
            <w:vAlign w:val="center"/>
          </w:tcPr>
          <w:p w14:paraId="18CB0A4E"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7</w:t>
            </w:r>
          </w:p>
        </w:tc>
        <w:tc>
          <w:tcPr>
            <w:tcW w:w="897" w:type="dxa"/>
            <w:vMerge w:val="restart"/>
            <w:vAlign w:val="center"/>
          </w:tcPr>
          <w:p w14:paraId="4056FF85"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9</w:t>
            </w:r>
          </w:p>
        </w:tc>
      </w:tr>
      <w:tr w:rsidR="00F00E3D" w:rsidRPr="00127F2D" w14:paraId="12BA19EE" w14:textId="77777777" w:rsidTr="00203685">
        <w:trPr>
          <w:trHeight w:val="233"/>
        </w:trPr>
        <w:tc>
          <w:tcPr>
            <w:tcW w:w="1059" w:type="dxa"/>
            <w:vMerge/>
          </w:tcPr>
          <w:p w14:paraId="5087EE5F"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09D087A2" w14:textId="77777777" w:rsidR="00F00E3D" w:rsidRPr="006E1BAC" w:rsidRDefault="00F00E3D" w:rsidP="009B2FA7">
            <w:pPr>
              <w:rPr>
                <w:rFonts w:asciiTheme="majorHAnsi" w:eastAsia="Times New Roman" w:hAnsiTheme="majorHAnsi" w:cstheme="majorHAnsi"/>
                <w:color w:val="000000"/>
                <w:sz w:val="20"/>
                <w:szCs w:val="20"/>
                <w:lang w:eastAsia="en-GB"/>
              </w:rPr>
            </w:pPr>
          </w:p>
        </w:tc>
        <w:tc>
          <w:tcPr>
            <w:tcW w:w="4391" w:type="dxa"/>
            <w:vAlign w:val="center"/>
          </w:tcPr>
          <w:p w14:paraId="1FF01284" w14:textId="77777777" w:rsidR="00F00E3D" w:rsidRPr="006E1BAC" w:rsidRDefault="00F00E3D" w:rsidP="00203685">
            <w:pPr>
              <w:spacing w:after="0"/>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Early Childhood Experiences</w:t>
            </w:r>
          </w:p>
        </w:tc>
        <w:tc>
          <w:tcPr>
            <w:tcW w:w="882" w:type="dxa"/>
            <w:vAlign w:val="center"/>
          </w:tcPr>
          <w:p w14:paraId="5803226D"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1</w:t>
            </w:r>
          </w:p>
        </w:tc>
        <w:tc>
          <w:tcPr>
            <w:tcW w:w="897" w:type="dxa"/>
            <w:vMerge/>
            <w:vAlign w:val="center"/>
          </w:tcPr>
          <w:p w14:paraId="0B4C8C96"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4C79CC41" w14:textId="77777777" w:rsidTr="00D05D77">
        <w:trPr>
          <w:trHeight w:val="254"/>
        </w:trPr>
        <w:tc>
          <w:tcPr>
            <w:tcW w:w="1059" w:type="dxa"/>
            <w:vMerge/>
          </w:tcPr>
          <w:p w14:paraId="08818539"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6BE0934D"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217FE8A3"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Physical Activity Level</w:t>
            </w:r>
          </w:p>
        </w:tc>
        <w:tc>
          <w:tcPr>
            <w:tcW w:w="882" w:type="dxa"/>
            <w:vAlign w:val="center"/>
          </w:tcPr>
          <w:p w14:paraId="430C6BD6"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1</w:t>
            </w:r>
          </w:p>
        </w:tc>
        <w:tc>
          <w:tcPr>
            <w:tcW w:w="897" w:type="dxa"/>
            <w:vMerge/>
            <w:vAlign w:val="center"/>
          </w:tcPr>
          <w:p w14:paraId="4E91DA8A"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56876158" w14:textId="77777777" w:rsidTr="00D05D77">
        <w:trPr>
          <w:trHeight w:val="254"/>
        </w:trPr>
        <w:tc>
          <w:tcPr>
            <w:tcW w:w="1059" w:type="dxa"/>
            <w:vMerge w:val="restart"/>
            <w:textDirection w:val="tbRl"/>
            <w:vAlign w:val="center"/>
          </w:tcPr>
          <w:p w14:paraId="779DB792" w14:textId="77777777" w:rsidR="00F00E3D" w:rsidRPr="00204CE6" w:rsidRDefault="00F00E3D" w:rsidP="009B2FA7">
            <w:pPr>
              <w:tabs>
                <w:tab w:val="left" w:pos="1457"/>
              </w:tabs>
              <w:contextualSpacing/>
              <w:jc w:val="center"/>
              <w:rPr>
                <w:rFonts w:eastAsia="Times New Roman" w:cstheme="majorHAnsi"/>
                <w:b/>
                <w:bCs/>
                <w:color w:val="000000"/>
                <w:sz w:val="21"/>
                <w:szCs w:val="21"/>
                <w:lang w:eastAsia="en-GB"/>
              </w:rPr>
            </w:pPr>
            <w:r w:rsidRPr="00204CE6">
              <w:rPr>
                <w:rFonts w:eastAsia="Times New Roman" w:cstheme="majorHAnsi"/>
                <w:b/>
                <w:bCs/>
                <w:color w:val="000000"/>
                <w:sz w:val="21"/>
                <w:szCs w:val="21"/>
                <w:lang w:eastAsia="en-GB"/>
              </w:rPr>
              <w:t>Social</w:t>
            </w:r>
          </w:p>
        </w:tc>
        <w:tc>
          <w:tcPr>
            <w:tcW w:w="2324" w:type="dxa"/>
            <w:vMerge w:val="restart"/>
            <w:vAlign w:val="center"/>
          </w:tcPr>
          <w:p w14:paraId="789853B2" w14:textId="77777777" w:rsidR="00F00E3D" w:rsidRPr="006E1BAC" w:rsidRDefault="00F00E3D" w:rsidP="009B2FA7">
            <w:pPr>
              <w:tabs>
                <w:tab w:val="left" w:pos="1457"/>
              </w:tabs>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Behaviours</w:t>
            </w:r>
          </w:p>
        </w:tc>
        <w:tc>
          <w:tcPr>
            <w:tcW w:w="4391" w:type="dxa"/>
            <w:vAlign w:val="center"/>
          </w:tcPr>
          <w:p w14:paraId="06CFD704" w14:textId="77777777" w:rsidR="00F00E3D" w:rsidRPr="006E1BAC" w:rsidRDefault="00F00E3D" w:rsidP="009B2FA7">
            <w:pPr>
              <w:tabs>
                <w:tab w:val="left" w:pos="1457"/>
              </w:tabs>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color w:val="000000"/>
                <w:sz w:val="20"/>
                <w:szCs w:val="20"/>
                <w:lang w:eastAsia="en-GB"/>
              </w:rPr>
              <w:t>Personal Behaviours</w:t>
            </w:r>
          </w:p>
        </w:tc>
        <w:tc>
          <w:tcPr>
            <w:tcW w:w="882" w:type="dxa"/>
            <w:vAlign w:val="center"/>
          </w:tcPr>
          <w:p w14:paraId="6E7877F6"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2</w:t>
            </w:r>
          </w:p>
        </w:tc>
        <w:tc>
          <w:tcPr>
            <w:tcW w:w="897" w:type="dxa"/>
            <w:vMerge w:val="restart"/>
            <w:vAlign w:val="center"/>
          </w:tcPr>
          <w:p w14:paraId="1E9F0B76"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3</w:t>
            </w:r>
          </w:p>
        </w:tc>
      </w:tr>
      <w:tr w:rsidR="00F00E3D" w:rsidRPr="00127F2D" w14:paraId="50DB09D7" w14:textId="77777777" w:rsidTr="00D05D77">
        <w:trPr>
          <w:trHeight w:val="254"/>
        </w:trPr>
        <w:tc>
          <w:tcPr>
            <w:tcW w:w="1059" w:type="dxa"/>
            <w:vMerge/>
          </w:tcPr>
          <w:p w14:paraId="22AE3EA5" w14:textId="77777777" w:rsidR="00F00E3D" w:rsidRPr="00127F2D" w:rsidRDefault="00F00E3D" w:rsidP="009B2FA7">
            <w:pPr>
              <w:tabs>
                <w:tab w:val="left" w:pos="1457"/>
              </w:tabs>
              <w:contextualSpacing/>
              <w:rPr>
                <w:rFonts w:asciiTheme="majorHAnsi" w:eastAsia="Times New Roman" w:hAnsiTheme="majorHAnsi" w:cstheme="majorHAnsi"/>
                <w:color w:val="000000"/>
                <w:sz w:val="21"/>
                <w:szCs w:val="21"/>
                <w:lang w:eastAsia="en-GB"/>
              </w:rPr>
            </w:pPr>
          </w:p>
        </w:tc>
        <w:tc>
          <w:tcPr>
            <w:tcW w:w="2324" w:type="dxa"/>
            <w:vMerge/>
          </w:tcPr>
          <w:p w14:paraId="11A5F2F9" w14:textId="77777777" w:rsidR="00F00E3D" w:rsidRPr="006E1BAC" w:rsidRDefault="00F00E3D" w:rsidP="009B2FA7">
            <w:pPr>
              <w:tabs>
                <w:tab w:val="left" w:pos="1457"/>
              </w:tabs>
              <w:contextualSpacing/>
              <w:rPr>
                <w:rFonts w:asciiTheme="majorHAnsi" w:eastAsia="Times New Roman" w:hAnsiTheme="majorHAnsi" w:cstheme="majorHAnsi"/>
                <w:color w:val="000000"/>
                <w:sz w:val="20"/>
                <w:szCs w:val="20"/>
                <w:lang w:eastAsia="en-GB"/>
              </w:rPr>
            </w:pPr>
          </w:p>
        </w:tc>
        <w:tc>
          <w:tcPr>
            <w:tcW w:w="4391" w:type="dxa"/>
            <w:vAlign w:val="center"/>
          </w:tcPr>
          <w:p w14:paraId="2666E252" w14:textId="77777777" w:rsidR="00F00E3D" w:rsidRPr="006E1BAC" w:rsidRDefault="00F00E3D" w:rsidP="009B2FA7">
            <w:pPr>
              <w:tabs>
                <w:tab w:val="left" w:pos="1457"/>
              </w:tabs>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Personal Motivation</w:t>
            </w:r>
          </w:p>
        </w:tc>
        <w:tc>
          <w:tcPr>
            <w:tcW w:w="882" w:type="dxa"/>
            <w:vAlign w:val="center"/>
          </w:tcPr>
          <w:p w14:paraId="54052F8A"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1</w:t>
            </w:r>
          </w:p>
        </w:tc>
        <w:tc>
          <w:tcPr>
            <w:tcW w:w="897" w:type="dxa"/>
            <w:vMerge/>
            <w:vAlign w:val="center"/>
          </w:tcPr>
          <w:p w14:paraId="65FDB379"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3C62ECE4" w14:textId="77777777" w:rsidTr="00D05D77">
        <w:trPr>
          <w:trHeight w:val="228"/>
        </w:trPr>
        <w:tc>
          <w:tcPr>
            <w:tcW w:w="1059" w:type="dxa"/>
            <w:vMerge/>
          </w:tcPr>
          <w:p w14:paraId="7E15519F" w14:textId="77777777" w:rsidR="00F00E3D" w:rsidRPr="00127F2D" w:rsidRDefault="00F00E3D" w:rsidP="009B2FA7">
            <w:pPr>
              <w:tabs>
                <w:tab w:val="left" w:pos="3181"/>
              </w:tabs>
              <w:contextualSpacing/>
              <w:rPr>
                <w:rFonts w:asciiTheme="majorHAnsi" w:eastAsia="Times New Roman" w:hAnsiTheme="majorHAnsi" w:cstheme="majorHAnsi"/>
                <w:color w:val="000000"/>
                <w:sz w:val="21"/>
                <w:szCs w:val="21"/>
                <w:lang w:eastAsia="en-GB"/>
              </w:rPr>
            </w:pPr>
          </w:p>
        </w:tc>
        <w:tc>
          <w:tcPr>
            <w:tcW w:w="2324" w:type="dxa"/>
            <w:vMerge w:val="restart"/>
            <w:vAlign w:val="center"/>
          </w:tcPr>
          <w:p w14:paraId="12E93CC5" w14:textId="77777777" w:rsidR="00F00E3D" w:rsidRPr="006E1BAC" w:rsidRDefault="00F00E3D" w:rsidP="009B2FA7">
            <w:pP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Crime &amp; Safety</w:t>
            </w:r>
          </w:p>
        </w:tc>
        <w:tc>
          <w:tcPr>
            <w:tcW w:w="4391" w:type="dxa"/>
            <w:vAlign w:val="center"/>
          </w:tcPr>
          <w:p w14:paraId="18CD1CB9" w14:textId="77777777" w:rsidR="00F00E3D" w:rsidRPr="006E1BAC" w:rsidRDefault="00F00E3D" w:rsidP="009B2FA7">
            <w:pPr>
              <w:tabs>
                <w:tab w:val="left" w:pos="3181"/>
              </w:tabs>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color w:val="000000"/>
                <w:sz w:val="20"/>
                <w:szCs w:val="20"/>
                <w:lang w:eastAsia="en-GB"/>
              </w:rPr>
              <w:t>Crime</w:t>
            </w:r>
          </w:p>
        </w:tc>
        <w:tc>
          <w:tcPr>
            <w:tcW w:w="882" w:type="dxa"/>
            <w:vAlign w:val="center"/>
          </w:tcPr>
          <w:p w14:paraId="0FD39FCE" w14:textId="77777777" w:rsidR="00F00E3D" w:rsidRPr="006E1BAC" w:rsidRDefault="00F00E3D" w:rsidP="009B2FA7">
            <w:pPr>
              <w:tabs>
                <w:tab w:val="left" w:pos="854"/>
              </w:tabs>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color w:val="000000"/>
                <w:sz w:val="20"/>
                <w:szCs w:val="20"/>
                <w:lang w:eastAsia="en-GB"/>
              </w:rPr>
              <w:t>4</w:t>
            </w:r>
          </w:p>
        </w:tc>
        <w:tc>
          <w:tcPr>
            <w:tcW w:w="897" w:type="dxa"/>
            <w:vMerge w:val="restart"/>
            <w:vAlign w:val="center"/>
          </w:tcPr>
          <w:p w14:paraId="44A656F6" w14:textId="77777777" w:rsidR="00F00E3D" w:rsidRPr="006E1BAC" w:rsidRDefault="00F00E3D" w:rsidP="009B2FA7">
            <w:pPr>
              <w:tabs>
                <w:tab w:val="left" w:pos="854"/>
              </w:tabs>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16</w:t>
            </w:r>
          </w:p>
        </w:tc>
      </w:tr>
      <w:tr w:rsidR="00F00E3D" w:rsidRPr="00127F2D" w14:paraId="298B030A" w14:textId="77777777" w:rsidTr="00D05D77">
        <w:trPr>
          <w:trHeight w:val="254"/>
        </w:trPr>
        <w:tc>
          <w:tcPr>
            <w:tcW w:w="1059" w:type="dxa"/>
            <w:vMerge/>
          </w:tcPr>
          <w:p w14:paraId="3A26B248" w14:textId="77777777" w:rsidR="00F00E3D" w:rsidRPr="00127F2D" w:rsidRDefault="00F00E3D" w:rsidP="009B2FA7">
            <w:pPr>
              <w:tabs>
                <w:tab w:val="left" w:pos="3181"/>
              </w:tabs>
              <w:contextualSpacing/>
              <w:rPr>
                <w:rFonts w:asciiTheme="majorHAnsi" w:eastAsia="Times New Roman" w:hAnsiTheme="majorHAnsi" w:cstheme="majorHAnsi"/>
                <w:color w:val="000000"/>
                <w:sz w:val="21"/>
                <w:szCs w:val="21"/>
                <w:lang w:eastAsia="en-GB"/>
              </w:rPr>
            </w:pPr>
          </w:p>
        </w:tc>
        <w:tc>
          <w:tcPr>
            <w:tcW w:w="2324" w:type="dxa"/>
            <w:vMerge/>
          </w:tcPr>
          <w:p w14:paraId="79924A9F" w14:textId="77777777" w:rsidR="00F00E3D" w:rsidRPr="006E1BAC" w:rsidRDefault="00F00E3D" w:rsidP="009B2FA7">
            <w:pPr>
              <w:tabs>
                <w:tab w:val="left" w:pos="3181"/>
              </w:tabs>
              <w:contextualSpacing/>
              <w:rPr>
                <w:rFonts w:asciiTheme="majorHAnsi" w:eastAsia="Times New Roman" w:hAnsiTheme="majorHAnsi" w:cstheme="majorHAnsi"/>
                <w:color w:val="000000"/>
                <w:sz w:val="20"/>
                <w:szCs w:val="20"/>
                <w:lang w:eastAsia="en-GB"/>
              </w:rPr>
            </w:pPr>
          </w:p>
        </w:tc>
        <w:tc>
          <w:tcPr>
            <w:tcW w:w="4391" w:type="dxa"/>
            <w:vAlign w:val="center"/>
          </w:tcPr>
          <w:p w14:paraId="7C45A720" w14:textId="77777777" w:rsidR="00F00E3D" w:rsidRPr="006E1BAC" w:rsidRDefault="00F00E3D" w:rsidP="009B2FA7">
            <w:pPr>
              <w:tabs>
                <w:tab w:val="left" w:pos="3181"/>
              </w:tabs>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Neighbourhood Reputation</w:t>
            </w:r>
          </w:p>
        </w:tc>
        <w:tc>
          <w:tcPr>
            <w:tcW w:w="882" w:type="dxa"/>
            <w:vAlign w:val="center"/>
          </w:tcPr>
          <w:p w14:paraId="17297016" w14:textId="77777777" w:rsidR="00F00E3D" w:rsidRPr="006E1BAC" w:rsidRDefault="00F00E3D" w:rsidP="009B2FA7">
            <w:pPr>
              <w:tabs>
                <w:tab w:val="left" w:pos="854"/>
              </w:tabs>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2</w:t>
            </w:r>
          </w:p>
        </w:tc>
        <w:tc>
          <w:tcPr>
            <w:tcW w:w="897" w:type="dxa"/>
            <w:vMerge/>
            <w:vAlign w:val="center"/>
          </w:tcPr>
          <w:p w14:paraId="2BBDC067" w14:textId="77777777" w:rsidR="00F00E3D" w:rsidRPr="006E1BAC" w:rsidRDefault="00F00E3D" w:rsidP="009B2FA7">
            <w:pPr>
              <w:tabs>
                <w:tab w:val="left" w:pos="854"/>
              </w:tabs>
              <w:contextualSpacing/>
              <w:jc w:val="center"/>
              <w:rPr>
                <w:rFonts w:asciiTheme="majorHAnsi" w:eastAsia="Times New Roman" w:hAnsiTheme="majorHAnsi" w:cstheme="majorHAnsi"/>
                <w:color w:val="000000"/>
                <w:sz w:val="20"/>
                <w:szCs w:val="20"/>
                <w:lang w:eastAsia="en-GB"/>
              </w:rPr>
            </w:pPr>
          </w:p>
        </w:tc>
      </w:tr>
      <w:tr w:rsidR="00F00E3D" w:rsidRPr="00127F2D" w14:paraId="317C42DF" w14:textId="77777777" w:rsidTr="00D05D77">
        <w:trPr>
          <w:trHeight w:val="254"/>
        </w:trPr>
        <w:tc>
          <w:tcPr>
            <w:tcW w:w="1059" w:type="dxa"/>
            <w:vMerge/>
          </w:tcPr>
          <w:p w14:paraId="55006562" w14:textId="77777777" w:rsidR="00F00E3D" w:rsidRPr="00127F2D" w:rsidRDefault="00F00E3D" w:rsidP="009B2FA7">
            <w:pPr>
              <w:tabs>
                <w:tab w:val="left" w:pos="3181"/>
              </w:tabs>
              <w:contextualSpacing/>
              <w:rPr>
                <w:rFonts w:asciiTheme="majorHAnsi" w:eastAsia="Times New Roman" w:hAnsiTheme="majorHAnsi" w:cstheme="majorHAnsi"/>
                <w:color w:val="000000"/>
                <w:sz w:val="21"/>
                <w:szCs w:val="21"/>
                <w:lang w:eastAsia="en-GB"/>
              </w:rPr>
            </w:pPr>
          </w:p>
        </w:tc>
        <w:tc>
          <w:tcPr>
            <w:tcW w:w="2324" w:type="dxa"/>
            <w:vMerge/>
          </w:tcPr>
          <w:p w14:paraId="0B3E36C6" w14:textId="77777777" w:rsidR="00F00E3D" w:rsidRPr="006E1BAC" w:rsidRDefault="00F00E3D" w:rsidP="009B2FA7">
            <w:pPr>
              <w:tabs>
                <w:tab w:val="left" w:pos="3181"/>
              </w:tabs>
              <w:contextualSpacing/>
              <w:rPr>
                <w:rFonts w:asciiTheme="majorHAnsi" w:eastAsia="Times New Roman" w:hAnsiTheme="majorHAnsi" w:cstheme="majorHAnsi"/>
                <w:color w:val="000000"/>
                <w:sz w:val="20"/>
                <w:szCs w:val="20"/>
                <w:lang w:eastAsia="en-GB"/>
              </w:rPr>
            </w:pPr>
          </w:p>
        </w:tc>
        <w:tc>
          <w:tcPr>
            <w:tcW w:w="4391" w:type="dxa"/>
            <w:vAlign w:val="center"/>
          </w:tcPr>
          <w:p w14:paraId="6CC7F90F" w14:textId="77777777" w:rsidR="00F00E3D" w:rsidRPr="006E1BAC" w:rsidRDefault="00F00E3D" w:rsidP="009B2FA7">
            <w:pPr>
              <w:tabs>
                <w:tab w:val="left" w:pos="3181"/>
              </w:tabs>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Neighbourhood Safety</w:t>
            </w:r>
          </w:p>
        </w:tc>
        <w:tc>
          <w:tcPr>
            <w:tcW w:w="882" w:type="dxa"/>
            <w:vAlign w:val="center"/>
          </w:tcPr>
          <w:p w14:paraId="4EAA97F4" w14:textId="77777777" w:rsidR="00F00E3D" w:rsidRPr="006E1BAC" w:rsidRDefault="00F00E3D" w:rsidP="009B2FA7">
            <w:pPr>
              <w:tabs>
                <w:tab w:val="left" w:pos="854"/>
              </w:tabs>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8</w:t>
            </w:r>
          </w:p>
        </w:tc>
        <w:tc>
          <w:tcPr>
            <w:tcW w:w="897" w:type="dxa"/>
            <w:vMerge/>
            <w:vAlign w:val="center"/>
          </w:tcPr>
          <w:p w14:paraId="01944DE0" w14:textId="77777777" w:rsidR="00F00E3D" w:rsidRPr="006E1BAC" w:rsidRDefault="00F00E3D" w:rsidP="009B2FA7">
            <w:pPr>
              <w:tabs>
                <w:tab w:val="left" w:pos="854"/>
              </w:tabs>
              <w:contextualSpacing/>
              <w:jc w:val="center"/>
              <w:rPr>
                <w:rFonts w:asciiTheme="majorHAnsi" w:eastAsia="Times New Roman" w:hAnsiTheme="majorHAnsi" w:cstheme="majorHAnsi"/>
                <w:color w:val="000000"/>
                <w:sz w:val="20"/>
                <w:szCs w:val="20"/>
                <w:lang w:eastAsia="en-GB"/>
              </w:rPr>
            </w:pPr>
          </w:p>
        </w:tc>
      </w:tr>
      <w:tr w:rsidR="00F00E3D" w:rsidRPr="00127F2D" w14:paraId="7D591008" w14:textId="77777777" w:rsidTr="00D05D77">
        <w:trPr>
          <w:trHeight w:val="254"/>
        </w:trPr>
        <w:tc>
          <w:tcPr>
            <w:tcW w:w="1059" w:type="dxa"/>
            <w:vMerge/>
          </w:tcPr>
          <w:p w14:paraId="071E3D35"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2E1ED137"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6F4CFA97"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color w:val="000000"/>
                <w:sz w:val="20"/>
                <w:szCs w:val="20"/>
                <w:lang w:eastAsia="en-GB"/>
              </w:rPr>
              <w:t>Violence</w:t>
            </w:r>
          </w:p>
        </w:tc>
        <w:tc>
          <w:tcPr>
            <w:tcW w:w="882" w:type="dxa"/>
            <w:vAlign w:val="center"/>
          </w:tcPr>
          <w:p w14:paraId="77365F9C"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2</w:t>
            </w:r>
          </w:p>
        </w:tc>
        <w:tc>
          <w:tcPr>
            <w:tcW w:w="897" w:type="dxa"/>
            <w:vMerge/>
            <w:vAlign w:val="center"/>
          </w:tcPr>
          <w:p w14:paraId="7BFEE9B7"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270D8937" w14:textId="77777777" w:rsidTr="00D05D77">
        <w:trPr>
          <w:trHeight w:val="254"/>
        </w:trPr>
        <w:tc>
          <w:tcPr>
            <w:tcW w:w="1059" w:type="dxa"/>
            <w:vMerge/>
          </w:tcPr>
          <w:p w14:paraId="5CC8FB2A"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val="restart"/>
            <w:vAlign w:val="center"/>
          </w:tcPr>
          <w:p w14:paraId="255868A1" w14:textId="77777777" w:rsidR="00F00E3D" w:rsidRPr="006E1BAC" w:rsidRDefault="00F00E3D" w:rsidP="009B2FA7">
            <w:pP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Employment &amp; Work</w:t>
            </w:r>
          </w:p>
        </w:tc>
        <w:tc>
          <w:tcPr>
            <w:tcW w:w="4391" w:type="dxa"/>
            <w:vAlign w:val="center"/>
          </w:tcPr>
          <w:p w14:paraId="4BB2B151"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color w:val="000000"/>
                <w:sz w:val="20"/>
                <w:szCs w:val="20"/>
                <w:lang w:eastAsia="en-GB"/>
              </w:rPr>
              <w:t>Access to Employment</w:t>
            </w:r>
          </w:p>
        </w:tc>
        <w:tc>
          <w:tcPr>
            <w:tcW w:w="882" w:type="dxa"/>
            <w:vAlign w:val="center"/>
          </w:tcPr>
          <w:p w14:paraId="21495F8C"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3</w:t>
            </w:r>
          </w:p>
        </w:tc>
        <w:tc>
          <w:tcPr>
            <w:tcW w:w="897" w:type="dxa"/>
            <w:vMerge w:val="restart"/>
            <w:vAlign w:val="center"/>
          </w:tcPr>
          <w:p w14:paraId="16E33FA6"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11</w:t>
            </w:r>
          </w:p>
        </w:tc>
      </w:tr>
      <w:tr w:rsidR="00F00E3D" w:rsidRPr="00127F2D" w14:paraId="250B9B8E" w14:textId="77777777" w:rsidTr="00D05D77">
        <w:trPr>
          <w:trHeight w:val="254"/>
        </w:trPr>
        <w:tc>
          <w:tcPr>
            <w:tcW w:w="1059" w:type="dxa"/>
            <w:vMerge/>
          </w:tcPr>
          <w:p w14:paraId="4D55C883"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6EFA3901"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1069DF64"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color w:val="000000"/>
                <w:sz w:val="20"/>
                <w:szCs w:val="20"/>
                <w:lang w:eastAsia="en-GB"/>
              </w:rPr>
              <w:t xml:space="preserve">Employment </w:t>
            </w:r>
          </w:p>
        </w:tc>
        <w:tc>
          <w:tcPr>
            <w:tcW w:w="882" w:type="dxa"/>
            <w:vAlign w:val="center"/>
          </w:tcPr>
          <w:p w14:paraId="48ABB4E7"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6</w:t>
            </w:r>
          </w:p>
        </w:tc>
        <w:tc>
          <w:tcPr>
            <w:tcW w:w="897" w:type="dxa"/>
            <w:vMerge/>
            <w:vAlign w:val="center"/>
          </w:tcPr>
          <w:p w14:paraId="7E47D6E2"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0F172CF8" w14:textId="77777777" w:rsidTr="00D05D77">
        <w:trPr>
          <w:trHeight w:val="254"/>
        </w:trPr>
        <w:tc>
          <w:tcPr>
            <w:tcW w:w="1059" w:type="dxa"/>
            <w:vMerge/>
          </w:tcPr>
          <w:p w14:paraId="495B6F60"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53CC9914"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6B1980FC"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color w:val="000000"/>
                <w:sz w:val="20"/>
                <w:szCs w:val="20"/>
                <w:lang w:eastAsia="en-GB"/>
              </w:rPr>
              <w:t>Skills</w:t>
            </w:r>
          </w:p>
        </w:tc>
        <w:tc>
          <w:tcPr>
            <w:tcW w:w="882" w:type="dxa"/>
            <w:vAlign w:val="center"/>
          </w:tcPr>
          <w:p w14:paraId="4C7632E4"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2</w:t>
            </w:r>
          </w:p>
        </w:tc>
        <w:tc>
          <w:tcPr>
            <w:tcW w:w="897" w:type="dxa"/>
            <w:vMerge/>
            <w:vAlign w:val="center"/>
          </w:tcPr>
          <w:p w14:paraId="6D8B2BAB"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589B4752" w14:textId="77777777" w:rsidTr="00D05D77">
        <w:trPr>
          <w:trHeight w:val="254"/>
        </w:trPr>
        <w:tc>
          <w:tcPr>
            <w:tcW w:w="1059" w:type="dxa"/>
            <w:vMerge/>
          </w:tcPr>
          <w:p w14:paraId="0724E4AA"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val="restart"/>
            <w:vAlign w:val="center"/>
          </w:tcPr>
          <w:p w14:paraId="2D64F492" w14:textId="77777777" w:rsidR="00F00E3D" w:rsidRPr="006E1BAC" w:rsidRDefault="00F00E3D" w:rsidP="009B2FA7">
            <w:pP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Housing</w:t>
            </w:r>
          </w:p>
        </w:tc>
        <w:tc>
          <w:tcPr>
            <w:tcW w:w="4391" w:type="dxa"/>
            <w:vAlign w:val="center"/>
          </w:tcPr>
          <w:p w14:paraId="15076254"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 xml:space="preserve">Housing </w:t>
            </w:r>
          </w:p>
        </w:tc>
        <w:tc>
          <w:tcPr>
            <w:tcW w:w="882" w:type="dxa"/>
            <w:vAlign w:val="center"/>
          </w:tcPr>
          <w:p w14:paraId="5753E976"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8</w:t>
            </w:r>
          </w:p>
        </w:tc>
        <w:tc>
          <w:tcPr>
            <w:tcW w:w="897" w:type="dxa"/>
            <w:vMerge w:val="restart"/>
            <w:vAlign w:val="center"/>
          </w:tcPr>
          <w:p w14:paraId="49302F81"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18</w:t>
            </w:r>
          </w:p>
        </w:tc>
      </w:tr>
      <w:tr w:rsidR="00F00E3D" w:rsidRPr="00127F2D" w14:paraId="19FCBE27" w14:textId="77777777" w:rsidTr="00D05D77">
        <w:trPr>
          <w:trHeight w:val="254"/>
        </w:trPr>
        <w:tc>
          <w:tcPr>
            <w:tcW w:w="1059" w:type="dxa"/>
            <w:vMerge/>
          </w:tcPr>
          <w:p w14:paraId="580BFE5D"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5F2A0D00"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6B41A352"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Housing (Access to Affordable Housing)</w:t>
            </w:r>
          </w:p>
        </w:tc>
        <w:tc>
          <w:tcPr>
            <w:tcW w:w="882" w:type="dxa"/>
            <w:vAlign w:val="center"/>
          </w:tcPr>
          <w:p w14:paraId="50237753"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8</w:t>
            </w:r>
          </w:p>
        </w:tc>
        <w:tc>
          <w:tcPr>
            <w:tcW w:w="897" w:type="dxa"/>
            <w:vMerge/>
            <w:vAlign w:val="center"/>
          </w:tcPr>
          <w:p w14:paraId="7BA592C6"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31E5B1CC" w14:textId="77777777" w:rsidTr="00D05D77">
        <w:trPr>
          <w:trHeight w:val="254"/>
        </w:trPr>
        <w:tc>
          <w:tcPr>
            <w:tcW w:w="1059" w:type="dxa"/>
            <w:vMerge/>
          </w:tcPr>
          <w:p w14:paraId="10179A57" w14:textId="77777777" w:rsidR="00F00E3D" w:rsidRPr="00127F2D" w:rsidRDefault="00F00E3D" w:rsidP="009B2FA7">
            <w:pPr>
              <w:tabs>
                <w:tab w:val="left" w:pos="2713"/>
              </w:tabs>
              <w:contextualSpacing/>
              <w:rPr>
                <w:rFonts w:asciiTheme="majorHAnsi" w:eastAsia="Times New Roman" w:hAnsiTheme="majorHAnsi" w:cstheme="majorHAnsi"/>
                <w:color w:val="000000"/>
                <w:sz w:val="21"/>
                <w:szCs w:val="21"/>
                <w:lang w:eastAsia="en-GB"/>
              </w:rPr>
            </w:pPr>
          </w:p>
        </w:tc>
        <w:tc>
          <w:tcPr>
            <w:tcW w:w="2324" w:type="dxa"/>
            <w:vMerge/>
          </w:tcPr>
          <w:p w14:paraId="7488A99C" w14:textId="77777777" w:rsidR="00F00E3D" w:rsidRPr="006E1BAC" w:rsidRDefault="00F00E3D" w:rsidP="009B2FA7">
            <w:pPr>
              <w:tabs>
                <w:tab w:val="left" w:pos="2713"/>
              </w:tabs>
              <w:contextualSpacing/>
              <w:rPr>
                <w:rFonts w:asciiTheme="majorHAnsi" w:eastAsia="Times New Roman" w:hAnsiTheme="majorHAnsi" w:cstheme="majorHAnsi"/>
                <w:color w:val="000000"/>
                <w:sz w:val="20"/>
                <w:szCs w:val="20"/>
                <w:lang w:eastAsia="en-GB"/>
              </w:rPr>
            </w:pPr>
          </w:p>
        </w:tc>
        <w:tc>
          <w:tcPr>
            <w:tcW w:w="4391" w:type="dxa"/>
            <w:vAlign w:val="center"/>
          </w:tcPr>
          <w:p w14:paraId="39DFB3BE" w14:textId="77777777" w:rsidR="00F00E3D" w:rsidRPr="006E1BAC" w:rsidRDefault="00F00E3D" w:rsidP="009B2FA7">
            <w:pPr>
              <w:tabs>
                <w:tab w:val="left" w:pos="2713"/>
              </w:tabs>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Housing (Home-making Practices)</w:t>
            </w:r>
          </w:p>
        </w:tc>
        <w:tc>
          <w:tcPr>
            <w:tcW w:w="882" w:type="dxa"/>
            <w:vAlign w:val="center"/>
          </w:tcPr>
          <w:p w14:paraId="55FF536B"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1</w:t>
            </w:r>
          </w:p>
        </w:tc>
        <w:tc>
          <w:tcPr>
            <w:tcW w:w="897" w:type="dxa"/>
            <w:vMerge/>
            <w:vAlign w:val="center"/>
          </w:tcPr>
          <w:p w14:paraId="3F301014"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49148DF3" w14:textId="77777777" w:rsidTr="00D05D77">
        <w:trPr>
          <w:trHeight w:val="254"/>
        </w:trPr>
        <w:tc>
          <w:tcPr>
            <w:tcW w:w="1059" w:type="dxa"/>
            <w:vMerge/>
          </w:tcPr>
          <w:p w14:paraId="53E2B37A" w14:textId="77777777" w:rsidR="00F00E3D" w:rsidRPr="00127F2D" w:rsidRDefault="00F00E3D" w:rsidP="009B2FA7">
            <w:pPr>
              <w:tabs>
                <w:tab w:val="left" w:pos="2713"/>
              </w:tabs>
              <w:contextualSpacing/>
              <w:rPr>
                <w:rFonts w:asciiTheme="majorHAnsi" w:eastAsia="Times New Roman" w:hAnsiTheme="majorHAnsi" w:cstheme="majorHAnsi"/>
                <w:color w:val="000000"/>
                <w:sz w:val="21"/>
                <w:szCs w:val="21"/>
                <w:lang w:eastAsia="en-GB"/>
              </w:rPr>
            </w:pPr>
          </w:p>
        </w:tc>
        <w:tc>
          <w:tcPr>
            <w:tcW w:w="2324" w:type="dxa"/>
            <w:vMerge/>
          </w:tcPr>
          <w:p w14:paraId="3B0C3D64" w14:textId="77777777" w:rsidR="00F00E3D" w:rsidRPr="006E1BAC" w:rsidRDefault="00F00E3D" w:rsidP="009B2FA7">
            <w:pPr>
              <w:tabs>
                <w:tab w:val="left" w:pos="2713"/>
              </w:tabs>
              <w:contextualSpacing/>
              <w:rPr>
                <w:rFonts w:asciiTheme="majorHAnsi" w:eastAsia="Times New Roman" w:hAnsiTheme="majorHAnsi" w:cstheme="majorHAnsi"/>
                <w:color w:val="000000"/>
                <w:sz w:val="20"/>
                <w:szCs w:val="20"/>
                <w:lang w:eastAsia="en-GB"/>
              </w:rPr>
            </w:pPr>
          </w:p>
        </w:tc>
        <w:tc>
          <w:tcPr>
            <w:tcW w:w="4391" w:type="dxa"/>
            <w:vAlign w:val="center"/>
          </w:tcPr>
          <w:p w14:paraId="5F9BF8A6" w14:textId="77777777" w:rsidR="00F00E3D" w:rsidRPr="006E1BAC" w:rsidRDefault="00F00E3D" w:rsidP="009B2FA7">
            <w:pPr>
              <w:tabs>
                <w:tab w:val="left" w:pos="2713"/>
              </w:tabs>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Housing (Length of Tenure/Stay)</w:t>
            </w:r>
          </w:p>
        </w:tc>
        <w:tc>
          <w:tcPr>
            <w:tcW w:w="882" w:type="dxa"/>
            <w:vAlign w:val="center"/>
          </w:tcPr>
          <w:p w14:paraId="7D9ED18A"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1</w:t>
            </w:r>
          </w:p>
        </w:tc>
        <w:tc>
          <w:tcPr>
            <w:tcW w:w="897" w:type="dxa"/>
            <w:vMerge/>
            <w:vAlign w:val="center"/>
          </w:tcPr>
          <w:p w14:paraId="50D9A826"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2908DEC9" w14:textId="77777777" w:rsidTr="00D05D77">
        <w:trPr>
          <w:trHeight w:val="254"/>
        </w:trPr>
        <w:tc>
          <w:tcPr>
            <w:tcW w:w="1059" w:type="dxa"/>
            <w:vMerge/>
          </w:tcPr>
          <w:p w14:paraId="34967C71"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val="restart"/>
            <w:vAlign w:val="center"/>
          </w:tcPr>
          <w:p w14:paraId="0C30DABD"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Social Networks,</w:t>
            </w:r>
          </w:p>
          <w:p w14:paraId="4944366A"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Support &amp; Exclusion</w:t>
            </w:r>
          </w:p>
        </w:tc>
        <w:tc>
          <w:tcPr>
            <w:tcW w:w="4391" w:type="dxa"/>
            <w:vAlign w:val="center"/>
          </w:tcPr>
          <w:p w14:paraId="58E84B5C"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Quality of Social &amp; Familial Networks</w:t>
            </w:r>
          </w:p>
        </w:tc>
        <w:tc>
          <w:tcPr>
            <w:tcW w:w="882" w:type="dxa"/>
            <w:vAlign w:val="center"/>
          </w:tcPr>
          <w:p w14:paraId="629FF3DE"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5</w:t>
            </w:r>
          </w:p>
        </w:tc>
        <w:tc>
          <w:tcPr>
            <w:tcW w:w="897" w:type="dxa"/>
            <w:vMerge w:val="restart"/>
            <w:vAlign w:val="center"/>
          </w:tcPr>
          <w:p w14:paraId="2D5B779F"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23</w:t>
            </w:r>
          </w:p>
        </w:tc>
      </w:tr>
      <w:tr w:rsidR="00F00E3D" w:rsidRPr="00127F2D" w14:paraId="7F128B0C" w14:textId="77777777" w:rsidTr="00D05D77">
        <w:trPr>
          <w:trHeight w:val="254"/>
        </w:trPr>
        <w:tc>
          <w:tcPr>
            <w:tcW w:w="1059" w:type="dxa"/>
            <w:vMerge/>
          </w:tcPr>
          <w:p w14:paraId="54579E8F"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406AB01C"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57F30C0B"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Sense of Belonging</w:t>
            </w:r>
          </w:p>
        </w:tc>
        <w:tc>
          <w:tcPr>
            <w:tcW w:w="882" w:type="dxa"/>
            <w:vAlign w:val="center"/>
          </w:tcPr>
          <w:p w14:paraId="2221F517"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1</w:t>
            </w:r>
          </w:p>
        </w:tc>
        <w:tc>
          <w:tcPr>
            <w:tcW w:w="897" w:type="dxa"/>
            <w:vMerge/>
            <w:vAlign w:val="center"/>
          </w:tcPr>
          <w:p w14:paraId="0BC426D6"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6723EF3F" w14:textId="77777777" w:rsidTr="00D05D77">
        <w:trPr>
          <w:trHeight w:val="254"/>
        </w:trPr>
        <w:tc>
          <w:tcPr>
            <w:tcW w:w="1059" w:type="dxa"/>
            <w:vMerge/>
          </w:tcPr>
          <w:p w14:paraId="056D4B1E"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4CE765D6"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643A9576"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Social Capital</w:t>
            </w:r>
          </w:p>
        </w:tc>
        <w:tc>
          <w:tcPr>
            <w:tcW w:w="882" w:type="dxa"/>
            <w:vAlign w:val="center"/>
          </w:tcPr>
          <w:p w14:paraId="3684BE16"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6</w:t>
            </w:r>
          </w:p>
        </w:tc>
        <w:tc>
          <w:tcPr>
            <w:tcW w:w="897" w:type="dxa"/>
            <w:vMerge/>
            <w:vAlign w:val="center"/>
          </w:tcPr>
          <w:p w14:paraId="1D7D3340"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744E4035" w14:textId="77777777" w:rsidTr="00D05D77">
        <w:trPr>
          <w:trHeight w:val="254"/>
        </w:trPr>
        <w:tc>
          <w:tcPr>
            <w:tcW w:w="1059" w:type="dxa"/>
            <w:vMerge/>
          </w:tcPr>
          <w:p w14:paraId="689E2B49"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16EF82D6"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7D7B141F"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Social Cohesion</w:t>
            </w:r>
          </w:p>
        </w:tc>
        <w:tc>
          <w:tcPr>
            <w:tcW w:w="882" w:type="dxa"/>
            <w:vAlign w:val="center"/>
          </w:tcPr>
          <w:p w14:paraId="75BFD4EE"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1</w:t>
            </w:r>
          </w:p>
        </w:tc>
        <w:tc>
          <w:tcPr>
            <w:tcW w:w="897" w:type="dxa"/>
            <w:vMerge/>
            <w:vAlign w:val="center"/>
          </w:tcPr>
          <w:p w14:paraId="5B58AF69"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321AC8F1" w14:textId="77777777" w:rsidTr="00D05D77">
        <w:trPr>
          <w:trHeight w:val="254"/>
        </w:trPr>
        <w:tc>
          <w:tcPr>
            <w:tcW w:w="1059" w:type="dxa"/>
            <w:vMerge/>
          </w:tcPr>
          <w:p w14:paraId="79023520"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64BD00D6"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41D60774"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Social Diversity</w:t>
            </w:r>
          </w:p>
        </w:tc>
        <w:tc>
          <w:tcPr>
            <w:tcW w:w="882" w:type="dxa"/>
            <w:vAlign w:val="center"/>
          </w:tcPr>
          <w:p w14:paraId="4AE8D4B1"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3</w:t>
            </w:r>
          </w:p>
        </w:tc>
        <w:tc>
          <w:tcPr>
            <w:tcW w:w="897" w:type="dxa"/>
            <w:vMerge/>
            <w:vAlign w:val="center"/>
          </w:tcPr>
          <w:p w14:paraId="61346530"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6EFEF55B" w14:textId="77777777" w:rsidTr="00D05D77">
        <w:trPr>
          <w:trHeight w:val="254"/>
        </w:trPr>
        <w:tc>
          <w:tcPr>
            <w:tcW w:w="1059" w:type="dxa"/>
            <w:vMerge/>
          </w:tcPr>
          <w:p w14:paraId="489B8B9C"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1247B325"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63B05341"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Social Engagement</w:t>
            </w:r>
          </w:p>
        </w:tc>
        <w:tc>
          <w:tcPr>
            <w:tcW w:w="882" w:type="dxa"/>
            <w:vAlign w:val="center"/>
          </w:tcPr>
          <w:p w14:paraId="7E76C305"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2</w:t>
            </w:r>
          </w:p>
        </w:tc>
        <w:tc>
          <w:tcPr>
            <w:tcW w:w="897" w:type="dxa"/>
            <w:vMerge/>
            <w:vAlign w:val="center"/>
          </w:tcPr>
          <w:p w14:paraId="2D2491ED"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40379BF0" w14:textId="77777777" w:rsidTr="00D05D77">
        <w:trPr>
          <w:trHeight w:val="254"/>
        </w:trPr>
        <w:tc>
          <w:tcPr>
            <w:tcW w:w="1059" w:type="dxa"/>
            <w:vMerge/>
          </w:tcPr>
          <w:p w14:paraId="4617901B"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110032F4"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4FAF77A2"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Social Exclusion</w:t>
            </w:r>
          </w:p>
        </w:tc>
        <w:tc>
          <w:tcPr>
            <w:tcW w:w="882" w:type="dxa"/>
            <w:vAlign w:val="center"/>
          </w:tcPr>
          <w:p w14:paraId="198D5626"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3</w:t>
            </w:r>
          </w:p>
        </w:tc>
        <w:tc>
          <w:tcPr>
            <w:tcW w:w="897" w:type="dxa"/>
            <w:vMerge/>
            <w:vAlign w:val="center"/>
          </w:tcPr>
          <w:p w14:paraId="5E2EB08B"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09FD59B4" w14:textId="77777777" w:rsidTr="00D05D77">
        <w:trPr>
          <w:trHeight w:val="254"/>
        </w:trPr>
        <w:tc>
          <w:tcPr>
            <w:tcW w:w="1059" w:type="dxa"/>
            <w:vMerge/>
          </w:tcPr>
          <w:p w14:paraId="30661F0E"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58C21FE5"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2A4E7CCB"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Discrimination</w:t>
            </w:r>
          </w:p>
        </w:tc>
        <w:tc>
          <w:tcPr>
            <w:tcW w:w="882" w:type="dxa"/>
            <w:vAlign w:val="center"/>
          </w:tcPr>
          <w:p w14:paraId="2016411A"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2</w:t>
            </w:r>
          </w:p>
        </w:tc>
        <w:tc>
          <w:tcPr>
            <w:tcW w:w="897" w:type="dxa"/>
            <w:vMerge/>
            <w:vAlign w:val="center"/>
          </w:tcPr>
          <w:p w14:paraId="10CC559E"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083B283E" w14:textId="77777777" w:rsidTr="00D05D77">
        <w:trPr>
          <w:trHeight w:val="254"/>
        </w:trPr>
        <w:tc>
          <w:tcPr>
            <w:tcW w:w="1059" w:type="dxa"/>
            <w:vMerge/>
          </w:tcPr>
          <w:p w14:paraId="576716EC"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val="restart"/>
            <w:vAlign w:val="center"/>
          </w:tcPr>
          <w:p w14:paraId="28E72EFB" w14:textId="77777777" w:rsidR="00F00E3D" w:rsidRPr="006E1BAC" w:rsidRDefault="00F00E3D" w:rsidP="009B2FA7">
            <w:pP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Socio-demographics</w:t>
            </w:r>
          </w:p>
        </w:tc>
        <w:tc>
          <w:tcPr>
            <w:tcW w:w="4391" w:type="dxa"/>
            <w:vAlign w:val="center"/>
          </w:tcPr>
          <w:p w14:paraId="48022574"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Area (Neighbourhood) Effects</w:t>
            </w:r>
          </w:p>
        </w:tc>
        <w:tc>
          <w:tcPr>
            <w:tcW w:w="882" w:type="dxa"/>
            <w:vAlign w:val="center"/>
          </w:tcPr>
          <w:p w14:paraId="1563BDEB"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1</w:t>
            </w:r>
          </w:p>
        </w:tc>
        <w:tc>
          <w:tcPr>
            <w:tcW w:w="897" w:type="dxa"/>
            <w:vMerge w:val="restart"/>
            <w:vAlign w:val="center"/>
          </w:tcPr>
          <w:p w14:paraId="2E798DA1"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3</w:t>
            </w:r>
          </w:p>
        </w:tc>
      </w:tr>
      <w:tr w:rsidR="00F00E3D" w:rsidRPr="00127F2D" w14:paraId="05F43498" w14:textId="77777777" w:rsidTr="00D05D77">
        <w:trPr>
          <w:trHeight w:val="254"/>
        </w:trPr>
        <w:tc>
          <w:tcPr>
            <w:tcW w:w="1059" w:type="dxa"/>
            <w:vMerge/>
          </w:tcPr>
          <w:p w14:paraId="60838253"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302BA603"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158C7E3C"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Demographics</w:t>
            </w:r>
          </w:p>
        </w:tc>
        <w:tc>
          <w:tcPr>
            <w:tcW w:w="882" w:type="dxa"/>
            <w:vAlign w:val="center"/>
          </w:tcPr>
          <w:p w14:paraId="49D37FAA"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2</w:t>
            </w:r>
          </w:p>
        </w:tc>
        <w:tc>
          <w:tcPr>
            <w:tcW w:w="897" w:type="dxa"/>
            <w:vMerge/>
            <w:vAlign w:val="center"/>
          </w:tcPr>
          <w:p w14:paraId="51D57B9E"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3F333496" w14:textId="77777777" w:rsidTr="00D05D77">
        <w:trPr>
          <w:trHeight w:val="254"/>
        </w:trPr>
        <w:tc>
          <w:tcPr>
            <w:tcW w:w="1059" w:type="dxa"/>
            <w:vMerge/>
          </w:tcPr>
          <w:p w14:paraId="049256AE"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val="restart"/>
            <w:vAlign w:val="center"/>
          </w:tcPr>
          <w:p w14:paraId="7D14122C" w14:textId="77777777" w:rsidR="00F00E3D" w:rsidRPr="006E1BAC" w:rsidRDefault="00F00E3D" w:rsidP="009B2FA7">
            <w:pP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Socioeconomic Position</w:t>
            </w:r>
          </w:p>
        </w:tc>
        <w:tc>
          <w:tcPr>
            <w:tcW w:w="4391" w:type="dxa"/>
            <w:vAlign w:val="center"/>
          </w:tcPr>
          <w:p w14:paraId="060A0E56"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Education Level</w:t>
            </w:r>
          </w:p>
        </w:tc>
        <w:tc>
          <w:tcPr>
            <w:tcW w:w="882" w:type="dxa"/>
            <w:vAlign w:val="center"/>
          </w:tcPr>
          <w:p w14:paraId="4AD49F88"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9</w:t>
            </w:r>
          </w:p>
        </w:tc>
        <w:tc>
          <w:tcPr>
            <w:tcW w:w="897" w:type="dxa"/>
            <w:vMerge w:val="restart"/>
            <w:vAlign w:val="center"/>
          </w:tcPr>
          <w:p w14:paraId="59F8F747"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28</w:t>
            </w:r>
          </w:p>
        </w:tc>
      </w:tr>
      <w:tr w:rsidR="00F00E3D" w:rsidRPr="00127F2D" w14:paraId="602D7B81" w14:textId="77777777" w:rsidTr="00D05D77">
        <w:trPr>
          <w:trHeight w:val="254"/>
        </w:trPr>
        <w:tc>
          <w:tcPr>
            <w:tcW w:w="1059" w:type="dxa"/>
            <w:vMerge/>
          </w:tcPr>
          <w:p w14:paraId="2A753782"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6DDF47F9"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29D8FBD1"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Educational Opportunity</w:t>
            </w:r>
          </w:p>
        </w:tc>
        <w:tc>
          <w:tcPr>
            <w:tcW w:w="882" w:type="dxa"/>
            <w:vAlign w:val="center"/>
          </w:tcPr>
          <w:p w14:paraId="04414B2F"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1</w:t>
            </w:r>
          </w:p>
        </w:tc>
        <w:tc>
          <w:tcPr>
            <w:tcW w:w="897" w:type="dxa"/>
            <w:vMerge/>
            <w:vAlign w:val="center"/>
          </w:tcPr>
          <w:p w14:paraId="57EDFDC6"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3E66639D" w14:textId="77777777" w:rsidTr="00D05D77">
        <w:trPr>
          <w:trHeight w:val="254"/>
        </w:trPr>
        <w:tc>
          <w:tcPr>
            <w:tcW w:w="1059" w:type="dxa"/>
            <w:vMerge/>
          </w:tcPr>
          <w:p w14:paraId="4BE7F741"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1D0547F7"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6EA68FEA"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Income (including Poverty)</w:t>
            </w:r>
          </w:p>
        </w:tc>
        <w:tc>
          <w:tcPr>
            <w:tcW w:w="882" w:type="dxa"/>
            <w:vAlign w:val="center"/>
          </w:tcPr>
          <w:p w14:paraId="06EC0543"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12</w:t>
            </w:r>
          </w:p>
        </w:tc>
        <w:tc>
          <w:tcPr>
            <w:tcW w:w="897" w:type="dxa"/>
            <w:vMerge/>
            <w:vAlign w:val="center"/>
          </w:tcPr>
          <w:p w14:paraId="27929B8E"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1389D8E3" w14:textId="77777777" w:rsidTr="00D05D77">
        <w:trPr>
          <w:trHeight w:val="254"/>
        </w:trPr>
        <w:tc>
          <w:tcPr>
            <w:tcW w:w="1059" w:type="dxa"/>
            <w:vMerge/>
          </w:tcPr>
          <w:p w14:paraId="79084D62"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4E8D9027"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27E00335"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Intergenerational Transmission of Disadvantage</w:t>
            </w:r>
          </w:p>
        </w:tc>
        <w:tc>
          <w:tcPr>
            <w:tcW w:w="882" w:type="dxa"/>
            <w:vAlign w:val="center"/>
          </w:tcPr>
          <w:p w14:paraId="57E7D654"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3</w:t>
            </w:r>
          </w:p>
        </w:tc>
        <w:tc>
          <w:tcPr>
            <w:tcW w:w="897" w:type="dxa"/>
            <w:vMerge/>
            <w:vAlign w:val="center"/>
          </w:tcPr>
          <w:p w14:paraId="741638B1"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6F034742" w14:textId="77777777" w:rsidTr="00D05D77">
        <w:trPr>
          <w:trHeight w:val="254"/>
        </w:trPr>
        <w:tc>
          <w:tcPr>
            <w:tcW w:w="1059" w:type="dxa"/>
            <w:vMerge/>
          </w:tcPr>
          <w:p w14:paraId="2A52363C"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2EF7775C"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66AADCE9"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Residential Mobility</w:t>
            </w:r>
          </w:p>
        </w:tc>
        <w:tc>
          <w:tcPr>
            <w:tcW w:w="882" w:type="dxa"/>
            <w:vAlign w:val="center"/>
          </w:tcPr>
          <w:p w14:paraId="43E9C457"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1</w:t>
            </w:r>
          </w:p>
        </w:tc>
        <w:tc>
          <w:tcPr>
            <w:tcW w:w="897" w:type="dxa"/>
            <w:vMerge/>
            <w:vAlign w:val="center"/>
          </w:tcPr>
          <w:p w14:paraId="7A1E1472"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02EAF039" w14:textId="77777777" w:rsidTr="00D05D77">
        <w:trPr>
          <w:trHeight w:val="254"/>
        </w:trPr>
        <w:tc>
          <w:tcPr>
            <w:tcW w:w="1059" w:type="dxa"/>
            <w:vMerge/>
          </w:tcPr>
          <w:p w14:paraId="6BD193E7"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tcPr>
          <w:p w14:paraId="6223F888"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p>
        </w:tc>
        <w:tc>
          <w:tcPr>
            <w:tcW w:w="4391" w:type="dxa"/>
            <w:vAlign w:val="center"/>
          </w:tcPr>
          <w:p w14:paraId="19025DBD"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Socioeconomic Status</w:t>
            </w:r>
          </w:p>
        </w:tc>
        <w:tc>
          <w:tcPr>
            <w:tcW w:w="882" w:type="dxa"/>
            <w:vAlign w:val="center"/>
          </w:tcPr>
          <w:p w14:paraId="0AD2D775"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1</w:t>
            </w:r>
          </w:p>
        </w:tc>
        <w:tc>
          <w:tcPr>
            <w:tcW w:w="897" w:type="dxa"/>
            <w:vMerge/>
            <w:vAlign w:val="center"/>
          </w:tcPr>
          <w:p w14:paraId="55A05508"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66977182" w14:textId="77777777" w:rsidTr="00D05D77">
        <w:trPr>
          <w:trHeight w:val="108"/>
        </w:trPr>
        <w:tc>
          <w:tcPr>
            <w:tcW w:w="1059" w:type="dxa"/>
            <w:vMerge/>
          </w:tcPr>
          <w:p w14:paraId="0A0E65CB" w14:textId="77777777" w:rsidR="00F00E3D" w:rsidRPr="00127F2D" w:rsidRDefault="00F00E3D" w:rsidP="009B2FA7">
            <w:pPr>
              <w:tabs>
                <w:tab w:val="left" w:pos="1273"/>
              </w:tabs>
              <w:contextualSpacing/>
              <w:rPr>
                <w:rFonts w:asciiTheme="majorHAnsi" w:eastAsia="Times New Roman" w:hAnsiTheme="majorHAnsi" w:cstheme="majorHAnsi"/>
                <w:color w:val="000000"/>
                <w:sz w:val="21"/>
                <w:szCs w:val="21"/>
                <w:lang w:eastAsia="en-GB"/>
              </w:rPr>
            </w:pPr>
          </w:p>
        </w:tc>
        <w:tc>
          <w:tcPr>
            <w:tcW w:w="2324" w:type="dxa"/>
            <w:vMerge/>
          </w:tcPr>
          <w:p w14:paraId="6563E13B" w14:textId="77777777" w:rsidR="00F00E3D" w:rsidRPr="006E1BAC" w:rsidRDefault="00F00E3D" w:rsidP="009B2FA7">
            <w:pPr>
              <w:tabs>
                <w:tab w:val="left" w:pos="1273"/>
              </w:tabs>
              <w:contextualSpacing/>
              <w:rPr>
                <w:rFonts w:asciiTheme="majorHAnsi" w:eastAsia="Times New Roman" w:hAnsiTheme="majorHAnsi" w:cstheme="majorHAnsi"/>
                <w:color w:val="000000"/>
                <w:sz w:val="20"/>
                <w:szCs w:val="20"/>
                <w:lang w:eastAsia="en-GB"/>
              </w:rPr>
            </w:pPr>
          </w:p>
        </w:tc>
        <w:tc>
          <w:tcPr>
            <w:tcW w:w="4391" w:type="dxa"/>
            <w:vAlign w:val="center"/>
          </w:tcPr>
          <w:p w14:paraId="43C48604" w14:textId="77777777" w:rsidR="00F00E3D" w:rsidRPr="006E1BAC" w:rsidRDefault="00F00E3D" w:rsidP="009B2FA7">
            <w:pPr>
              <w:tabs>
                <w:tab w:val="left" w:pos="1273"/>
              </w:tabs>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Wealth</w:t>
            </w:r>
          </w:p>
        </w:tc>
        <w:tc>
          <w:tcPr>
            <w:tcW w:w="882" w:type="dxa"/>
            <w:vAlign w:val="center"/>
          </w:tcPr>
          <w:p w14:paraId="65562017"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1</w:t>
            </w:r>
          </w:p>
        </w:tc>
        <w:tc>
          <w:tcPr>
            <w:tcW w:w="897" w:type="dxa"/>
            <w:vMerge/>
            <w:vAlign w:val="center"/>
          </w:tcPr>
          <w:p w14:paraId="341A0DFD"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541E73C2" w14:textId="77777777" w:rsidTr="00D05D77">
        <w:trPr>
          <w:trHeight w:val="190"/>
        </w:trPr>
        <w:tc>
          <w:tcPr>
            <w:tcW w:w="1059" w:type="dxa"/>
            <w:vMerge w:val="restart"/>
            <w:textDirection w:val="tbRl"/>
            <w:vAlign w:val="center"/>
          </w:tcPr>
          <w:p w14:paraId="5AEA76D2" w14:textId="263DA787" w:rsidR="00F00E3D" w:rsidRPr="003238ED" w:rsidRDefault="00F00E3D" w:rsidP="009B2FA7">
            <w:pPr>
              <w:tabs>
                <w:tab w:val="left" w:pos="1273"/>
              </w:tabs>
              <w:contextualSpacing/>
              <w:jc w:val="center"/>
              <w:rPr>
                <w:rFonts w:asciiTheme="majorHAnsi" w:eastAsia="Times New Roman" w:hAnsiTheme="majorHAnsi" w:cstheme="majorBidi"/>
                <w:b/>
                <w:color w:val="000000"/>
                <w:sz w:val="21"/>
                <w:szCs w:val="21"/>
                <w:lang w:eastAsia="en-GB"/>
              </w:rPr>
            </w:pPr>
            <w:r w:rsidRPr="701B9583">
              <w:rPr>
                <w:rFonts w:eastAsia="Times New Roman" w:cstheme="majorBidi"/>
                <w:b/>
                <w:bCs/>
                <w:color w:val="000000" w:themeColor="text1"/>
                <w:sz w:val="21"/>
                <w:szCs w:val="21"/>
                <w:lang w:eastAsia="en-GB"/>
              </w:rPr>
              <w:t>Urban Environ</w:t>
            </w:r>
            <w:r w:rsidR="5CBBA8E5" w:rsidRPr="701B9583">
              <w:rPr>
                <w:rFonts w:eastAsia="Times New Roman" w:cstheme="majorBidi"/>
                <w:b/>
                <w:bCs/>
                <w:color w:val="000000" w:themeColor="text1"/>
                <w:sz w:val="21"/>
                <w:szCs w:val="21"/>
                <w:lang w:eastAsia="en-GB"/>
              </w:rPr>
              <w:t>-</w:t>
            </w:r>
            <w:proofErr w:type="spellStart"/>
            <w:r w:rsidRPr="701B9583">
              <w:rPr>
                <w:rFonts w:eastAsia="Times New Roman" w:cstheme="majorBidi"/>
                <w:b/>
                <w:bCs/>
                <w:color w:val="000000" w:themeColor="text1"/>
                <w:sz w:val="21"/>
                <w:szCs w:val="21"/>
                <w:lang w:eastAsia="en-GB"/>
              </w:rPr>
              <w:t>ment</w:t>
            </w:r>
            <w:proofErr w:type="spellEnd"/>
          </w:p>
        </w:tc>
        <w:tc>
          <w:tcPr>
            <w:tcW w:w="2324" w:type="dxa"/>
            <w:vAlign w:val="center"/>
          </w:tcPr>
          <w:p w14:paraId="6FDD3406" w14:textId="77777777" w:rsidR="00F00E3D" w:rsidRPr="006E1BAC" w:rsidRDefault="00F00E3D" w:rsidP="009B2FA7">
            <w:pP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Housing</w:t>
            </w:r>
          </w:p>
        </w:tc>
        <w:tc>
          <w:tcPr>
            <w:tcW w:w="4391" w:type="dxa"/>
            <w:vAlign w:val="center"/>
          </w:tcPr>
          <w:p w14:paraId="1421ACF0"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Housing Quality</w:t>
            </w:r>
          </w:p>
        </w:tc>
        <w:tc>
          <w:tcPr>
            <w:tcW w:w="882" w:type="dxa"/>
            <w:vAlign w:val="center"/>
          </w:tcPr>
          <w:p w14:paraId="6AF4363F"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sz w:val="20"/>
                <w:szCs w:val="20"/>
                <w:lang w:eastAsia="en-GB"/>
              </w:rPr>
              <w:t>3</w:t>
            </w:r>
          </w:p>
        </w:tc>
        <w:tc>
          <w:tcPr>
            <w:tcW w:w="897" w:type="dxa"/>
            <w:vAlign w:val="center"/>
          </w:tcPr>
          <w:p w14:paraId="35D1FE88"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3</w:t>
            </w:r>
          </w:p>
        </w:tc>
      </w:tr>
      <w:tr w:rsidR="00F00E3D" w:rsidRPr="00127F2D" w14:paraId="7AF79B77" w14:textId="77777777" w:rsidTr="00D05D77">
        <w:trPr>
          <w:trHeight w:val="264"/>
        </w:trPr>
        <w:tc>
          <w:tcPr>
            <w:tcW w:w="1059" w:type="dxa"/>
            <w:vMerge/>
          </w:tcPr>
          <w:p w14:paraId="2F4BB6D7" w14:textId="77777777" w:rsidR="00F00E3D" w:rsidRPr="00127F2D" w:rsidRDefault="00F00E3D" w:rsidP="009B2FA7">
            <w:pPr>
              <w:contextualSpacing/>
              <w:rPr>
                <w:rFonts w:asciiTheme="majorHAnsi" w:eastAsia="Times New Roman" w:hAnsiTheme="majorHAnsi" w:cstheme="majorHAnsi"/>
                <w:color w:val="000000"/>
                <w:sz w:val="21"/>
                <w:szCs w:val="21"/>
                <w:lang w:eastAsia="en-GB"/>
              </w:rPr>
            </w:pPr>
          </w:p>
        </w:tc>
        <w:tc>
          <w:tcPr>
            <w:tcW w:w="2324" w:type="dxa"/>
            <w:vMerge w:val="restart"/>
            <w:vAlign w:val="center"/>
          </w:tcPr>
          <w:p w14:paraId="06B21606" w14:textId="77777777" w:rsidR="00F00E3D" w:rsidRPr="006E1BAC" w:rsidRDefault="00F00E3D" w:rsidP="009B2FA7">
            <w:pP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Neighbourhood Accessibility</w:t>
            </w:r>
          </w:p>
        </w:tc>
        <w:tc>
          <w:tcPr>
            <w:tcW w:w="4391" w:type="dxa"/>
            <w:vAlign w:val="center"/>
          </w:tcPr>
          <w:p w14:paraId="79039554" w14:textId="77777777" w:rsidR="00F00E3D" w:rsidRPr="006E1BAC" w:rsidRDefault="00F00E3D" w:rsidP="009B2FA7">
            <w:pPr>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Access to Facilities/Amenities</w:t>
            </w:r>
          </w:p>
        </w:tc>
        <w:tc>
          <w:tcPr>
            <w:tcW w:w="882" w:type="dxa"/>
            <w:vAlign w:val="center"/>
          </w:tcPr>
          <w:p w14:paraId="1984BDB7" w14:textId="77777777" w:rsidR="00F00E3D" w:rsidRPr="006E1BAC" w:rsidRDefault="00F00E3D" w:rsidP="009B2FA7">
            <w:pPr>
              <w:tabs>
                <w:tab w:val="left" w:pos="753"/>
              </w:tabs>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3</w:t>
            </w:r>
          </w:p>
        </w:tc>
        <w:tc>
          <w:tcPr>
            <w:tcW w:w="897" w:type="dxa"/>
            <w:vMerge w:val="restart"/>
            <w:vAlign w:val="center"/>
          </w:tcPr>
          <w:p w14:paraId="146ED53F" w14:textId="77777777" w:rsidR="00F00E3D" w:rsidRPr="006E1BAC" w:rsidRDefault="00F00E3D" w:rsidP="009B2FA7">
            <w:pPr>
              <w:tabs>
                <w:tab w:val="left" w:pos="753"/>
              </w:tabs>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8</w:t>
            </w:r>
          </w:p>
        </w:tc>
      </w:tr>
      <w:tr w:rsidR="00F00E3D" w:rsidRPr="00127F2D" w14:paraId="0B35E344" w14:textId="77777777" w:rsidTr="00D05D77">
        <w:trPr>
          <w:trHeight w:val="264"/>
        </w:trPr>
        <w:tc>
          <w:tcPr>
            <w:tcW w:w="1059" w:type="dxa"/>
            <w:vMerge/>
          </w:tcPr>
          <w:p w14:paraId="08140C4F" w14:textId="77777777" w:rsidR="00F00E3D" w:rsidRPr="00127F2D" w:rsidRDefault="00F00E3D" w:rsidP="009B2FA7">
            <w:pPr>
              <w:tabs>
                <w:tab w:val="left" w:pos="1540"/>
              </w:tabs>
              <w:contextualSpacing/>
              <w:rPr>
                <w:rFonts w:asciiTheme="majorHAnsi" w:eastAsia="Times New Roman" w:hAnsiTheme="majorHAnsi" w:cstheme="majorHAnsi"/>
                <w:color w:val="000000"/>
                <w:sz w:val="21"/>
                <w:szCs w:val="21"/>
                <w:lang w:eastAsia="en-GB"/>
              </w:rPr>
            </w:pPr>
          </w:p>
        </w:tc>
        <w:tc>
          <w:tcPr>
            <w:tcW w:w="2324" w:type="dxa"/>
            <w:vMerge/>
          </w:tcPr>
          <w:p w14:paraId="0428F1B8" w14:textId="77777777" w:rsidR="00F00E3D" w:rsidRPr="006E1BAC" w:rsidRDefault="00F00E3D" w:rsidP="009B2FA7">
            <w:pPr>
              <w:tabs>
                <w:tab w:val="left" w:pos="1540"/>
              </w:tabs>
              <w:contextualSpacing/>
              <w:rPr>
                <w:rFonts w:asciiTheme="majorHAnsi" w:eastAsia="Times New Roman" w:hAnsiTheme="majorHAnsi" w:cstheme="majorHAnsi"/>
                <w:color w:val="000000"/>
                <w:sz w:val="20"/>
                <w:szCs w:val="20"/>
                <w:lang w:eastAsia="en-GB"/>
              </w:rPr>
            </w:pPr>
          </w:p>
        </w:tc>
        <w:tc>
          <w:tcPr>
            <w:tcW w:w="4391" w:type="dxa"/>
            <w:vAlign w:val="center"/>
          </w:tcPr>
          <w:p w14:paraId="31CDCA1B" w14:textId="77777777" w:rsidR="00F00E3D" w:rsidRPr="006E1BAC" w:rsidRDefault="00F00E3D" w:rsidP="009B2FA7">
            <w:pPr>
              <w:tabs>
                <w:tab w:val="left" w:pos="1540"/>
              </w:tabs>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Access to Transport</w:t>
            </w:r>
          </w:p>
        </w:tc>
        <w:tc>
          <w:tcPr>
            <w:tcW w:w="882" w:type="dxa"/>
            <w:vAlign w:val="center"/>
          </w:tcPr>
          <w:p w14:paraId="3ECF325E"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3</w:t>
            </w:r>
          </w:p>
        </w:tc>
        <w:tc>
          <w:tcPr>
            <w:tcW w:w="897" w:type="dxa"/>
            <w:vMerge/>
            <w:vAlign w:val="center"/>
          </w:tcPr>
          <w:p w14:paraId="2DCC21B5"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4E81F53D" w14:textId="77777777" w:rsidTr="00D05D77">
        <w:trPr>
          <w:trHeight w:val="228"/>
        </w:trPr>
        <w:tc>
          <w:tcPr>
            <w:tcW w:w="1059" w:type="dxa"/>
            <w:vMerge/>
          </w:tcPr>
          <w:p w14:paraId="2D5C5842" w14:textId="77777777" w:rsidR="00F00E3D" w:rsidRPr="00127F2D" w:rsidRDefault="00F00E3D" w:rsidP="009B2FA7">
            <w:pPr>
              <w:ind w:firstLine="25"/>
              <w:contextualSpacing/>
              <w:rPr>
                <w:rFonts w:asciiTheme="majorHAnsi" w:eastAsia="Times New Roman" w:hAnsiTheme="majorHAnsi" w:cstheme="majorHAnsi"/>
                <w:color w:val="000000"/>
                <w:sz w:val="21"/>
                <w:szCs w:val="21"/>
                <w:lang w:eastAsia="en-GB"/>
              </w:rPr>
            </w:pPr>
          </w:p>
        </w:tc>
        <w:tc>
          <w:tcPr>
            <w:tcW w:w="2324" w:type="dxa"/>
            <w:vMerge/>
          </w:tcPr>
          <w:p w14:paraId="4AB2AA6D" w14:textId="77777777" w:rsidR="00F00E3D" w:rsidRPr="006E1BAC" w:rsidRDefault="00F00E3D" w:rsidP="009B2FA7">
            <w:pPr>
              <w:ind w:firstLine="25"/>
              <w:contextualSpacing/>
              <w:rPr>
                <w:rFonts w:asciiTheme="majorHAnsi" w:eastAsia="Times New Roman" w:hAnsiTheme="majorHAnsi" w:cstheme="majorHAnsi"/>
                <w:color w:val="000000"/>
                <w:sz w:val="20"/>
                <w:szCs w:val="20"/>
                <w:lang w:eastAsia="en-GB"/>
              </w:rPr>
            </w:pPr>
          </w:p>
        </w:tc>
        <w:tc>
          <w:tcPr>
            <w:tcW w:w="4391" w:type="dxa"/>
            <w:vAlign w:val="center"/>
          </w:tcPr>
          <w:p w14:paraId="4340F841" w14:textId="77777777" w:rsidR="00F00E3D" w:rsidRPr="006E1BAC" w:rsidRDefault="00F00E3D" w:rsidP="009B2FA7">
            <w:pPr>
              <w:ind w:firstLine="25"/>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 xml:space="preserve">Food (Access to Affordable &amp; Good Quality) </w:t>
            </w:r>
          </w:p>
        </w:tc>
        <w:tc>
          <w:tcPr>
            <w:tcW w:w="882" w:type="dxa"/>
            <w:vAlign w:val="center"/>
          </w:tcPr>
          <w:p w14:paraId="2E80BB98" w14:textId="77777777" w:rsidR="00F00E3D" w:rsidRPr="006E1BAC" w:rsidRDefault="00F00E3D" w:rsidP="009B2FA7">
            <w:pPr>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2</w:t>
            </w:r>
          </w:p>
        </w:tc>
        <w:tc>
          <w:tcPr>
            <w:tcW w:w="897" w:type="dxa"/>
            <w:vMerge/>
            <w:vAlign w:val="center"/>
          </w:tcPr>
          <w:p w14:paraId="1BA971DD" w14:textId="77777777" w:rsidR="00F00E3D" w:rsidRPr="006E1BAC"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127F2D" w14:paraId="3723477F" w14:textId="77777777" w:rsidTr="00D05D77">
        <w:trPr>
          <w:trHeight w:val="221"/>
        </w:trPr>
        <w:tc>
          <w:tcPr>
            <w:tcW w:w="1059" w:type="dxa"/>
            <w:vMerge/>
          </w:tcPr>
          <w:p w14:paraId="6AAA09B6" w14:textId="77777777" w:rsidR="00F00E3D" w:rsidRPr="00127F2D" w:rsidRDefault="00F00E3D" w:rsidP="00D05D77">
            <w:pPr>
              <w:spacing w:after="0"/>
              <w:contextualSpacing/>
              <w:rPr>
                <w:rFonts w:asciiTheme="majorHAnsi" w:eastAsia="Times New Roman" w:hAnsiTheme="majorHAnsi" w:cstheme="majorHAnsi"/>
                <w:color w:val="000000"/>
                <w:sz w:val="21"/>
                <w:szCs w:val="21"/>
                <w:lang w:eastAsia="en-GB"/>
              </w:rPr>
            </w:pPr>
          </w:p>
        </w:tc>
        <w:tc>
          <w:tcPr>
            <w:tcW w:w="2324" w:type="dxa"/>
          </w:tcPr>
          <w:p w14:paraId="1843822E" w14:textId="77777777" w:rsidR="00F00E3D" w:rsidRPr="006E1BAC" w:rsidRDefault="00F00E3D" w:rsidP="00D05D77">
            <w:pPr>
              <w:spacing w:after="0"/>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Physical Environment</w:t>
            </w:r>
          </w:p>
        </w:tc>
        <w:tc>
          <w:tcPr>
            <w:tcW w:w="4391" w:type="dxa"/>
            <w:vAlign w:val="center"/>
          </w:tcPr>
          <w:p w14:paraId="70E5EA3C" w14:textId="77777777" w:rsidR="00F00E3D" w:rsidRPr="006E1BAC" w:rsidRDefault="00F00E3D" w:rsidP="00D05D77">
            <w:pPr>
              <w:spacing w:after="0"/>
              <w:contextualSpacing/>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Physical Environment</w:t>
            </w:r>
          </w:p>
        </w:tc>
        <w:tc>
          <w:tcPr>
            <w:tcW w:w="882" w:type="dxa"/>
            <w:vAlign w:val="center"/>
          </w:tcPr>
          <w:p w14:paraId="3F580399" w14:textId="77777777" w:rsidR="00F00E3D" w:rsidRPr="006E1BAC" w:rsidRDefault="00F00E3D" w:rsidP="00D05D77">
            <w:pPr>
              <w:spacing w:after="0"/>
              <w:contextualSpacing/>
              <w:rPr>
                <w:rFonts w:asciiTheme="majorHAnsi" w:eastAsia="Times New Roman" w:hAnsiTheme="majorHAnsi" w:cstheme="majorHAnsi"/>
                <w:sz w:val="20"/>
                <w:szCs w:val="20"/>
                <w:lang w:eastAsia="en-GB"/>
              </w:rPr>
            </w:pPr>
            <w:r w:rsidRPr="006E1BAC">
              <w:rPr>
                <w:rFonts w:asciiTheme="majorHAnsi" w:eastAsia="Times New Roman" w:hAnsiTheme="majorHAnsi" w:cstheme="majorHAnsi"/>
                <w:sz w:val="20"/>
                <w:szCs w:val="20"/>
                <w:lang w:eastAsia="en-GB"/>
              </w:rPr>
              <w:t>6</w:t>
            </w:r>
          </w:p>
        </w:tc>
        <w:tc>
          <w:tcPr>
            <w:tcW w:w="897" w:type="dxa"/>
            <w:vAlign w:val="center"/>
          </w:tcPr>
          <w:p w14:paraId="2E8ECB8A" w14:textId="77777777" w:rsidR="00F00E3D" w:rsidRPr="006E1BAC" w:rsidRDefault="00F00E3D" w:rsidP="00D05D77">
            <w:pPr>
              <w:spacing w:after="0"/>
              <w:contextualSpacing/>
              <w:jc w:val="center"/>
              <w:rPr>
                <w:rFonts w:asciiTheme="majorHAnsi" w:eastAsia="Times New Roman" w:hAnsiTheme="majorHAnsi" w:cstheme="majorHAnsi"/>
                <w:color w:val="000000"/>
                <w:sz w:val="20"/>
                <w:szCs w:val="20"/>
                <w:lang w:eastAsia="en-GB"/>
              </w:rPr>
            </w:pPr>
            <w:r w:rsidRPr="006E1BAC">
              <w:rPr>
                <w:rFonts w:asciiTheme="majorHAnsi" w:eastAsia="Times New Roman" w:hAnsiTheme="majorHAnsi" w:cstheme="majorHAnsi"/>
                <w:color w:val="000000"/>
                <w:sz w:val="20"/>
                <w:szCs w:val="20"/>
                <w:lang w:eastAsia="en-GB"/>
              </w:rPr>
              <w:t>6</w:t>
            </w:r>
          </w:p>
        </w:tc>
      </w:tr>
    </w:tbl>
    <w:p w14:paraId="5F7AAF39" w14:textId="37921F65" w:rsidR="00F00E3D" w:rsidRPr="004611D0" w:rsidRDefault="00F00E3D" w:rsidP="009B2FA7">
      <w:pPr>
        <w:spacing w:after="0" w:line="240" w:lineRule="auto"/>
        <w:contextualSpacing/>
        <w:rPr>
          <w:rFonts w:eastAsia="Times New Roman" w:cstheme="majorHAnsi"/>
          <w:b/>
          <w:bCs/>
          <w:sz w:val="21"/>
          <w:szCs w:val="21"/>
          <w:lang w:eastAsia="en-GB"/>
        </w:rPr>
      </w:pPr>
      <w:bookmarkStart w:id="33" w:name="OLE_LINKTable111"/>
      <w:r w:rsidRPr="004611D0">
        <w:rPr>
          <w:rFonts w:eastAsia="Times New Roman" w:cstheme="majorHAnsi"/>
          <w:b/>
          <w:bCs/>
          <w:sz w:val="21"/>
          <w:szCs w:val="21"/>
          <w:lang w:eastAsia="en-GB"/>
        </w:rPr>
        <w:t xml:space="preserve">Table </w:t>
      </w:r>
      <w:r w:rsidR="004611D0" w:rsidRPr="004611D0">
        <w:rPr>
          <w:rFonts w:eastAsia="Times New Roman" w:cstheme="majorHAnsi"/>
          <w:b/>
          <w:bCs/>
          <w:sz w:val="21"/>
          <w:szCs w:val="21"/>
          <w:lang w:eastAsia="en-GB"/>
        </w:rPr>
        <w:t>3.5</w:t>
      </w:r>
      <w:r w:rsidRPr="004611D0">
        <w:rPr>
          <w:rFonts w:eastAsia="Times New Roman" w:cstheme="majorHAnsi"/>
          <w:b/>
          <w:bCs/>
          <w:sz w:val="21"/>
          <w:szCs w:val="21"/>
          <w:lang w:eastAsia="en-GB"/>
        </w:rPr>
        <w:t xml:space="preserve">: </w:t>
      </w:r>
      <w:r w:rsidR="004611D0" w:rsidRPr="004611D0">
        <w:rPr>
          <w:rFonts w:eastAsia="Times New Roman" w:cstheme="majorHAnsi"/>
          <w:b/>
          <w:bCs/>
          <w:sz w:val="21"/>
          <w:szCs w:val="21"/>
          <w:lang w:eastAsia="en-GB"/>
        </w:rPr>
        <w:t xml:space="preserve">Health and Wellbeing: </w:t>
      </w:r>
      <w:r w:rsidRPr="004611D0">
        <w:rPr>
          <w:rFonts w:eastAsia="Times New Roman" w:cstheme="majorHAnsi"/>
          <w:b/>
          <w:bCs/>
          <w:sz w:val="21"/>
          <w:szCs w:val="21"/>
          <w:lang w:eastAsia="en-GB"/>
        </w:rPr>
        <w:t xml:space="preserve">Social, </w:t>
      </w:r>
      <w:r w:rsidR="004611D0" w:rsidRPr="004611D0">
        <w:rPr>
          <w:rFonts w:eastAsia="Times New Roman" w:cstheme="majorHAnsi"/>
          <w:b/>
          <w:bCs/>
          <w:sz w:val="21"/>
          <w:szCs w:val="21"/>
          <w:lang w:eastAsia="en-GB"/>
        </w:rPr>
        <w:t>Economic, Health, and Urban Environment Determinants</w:t>
      </w:r>
      <w:bookmarkEnd w:id="33"/>
      <w:r w:rsidRPr="004611D0">
        <w:rPr>
          <w:rFonts w:eastAsia="Times New Roman" w:cstheme="majorHAnsi"/>
          <w:b/>
          <w:bCs/>
          <w:sz w:val="21"/>
          <w:szCs w:val="21"/>
          <w:lang w:eastAsia="en-GB"/>
        </w:rPr>
        <w:br w:type="page"/>
      </w:r>
    </w:p>
    <w:p w14:paraId="00A1009E" w14:textId="77777777" w:rsidR="00F00E3D" w:rsidRPr="00A70064" w:rsidRDefault="00F00E3D" w:rsidP="009B2FA7">
      <w:pPr>
        <w:spacing w:before="100" w:beforeAutospacing="1" w:after="0" w:line="276" w:lineRule="auto"/>
        <w:rPr>
          <w:rFonts w:eastAsia="Times New Roman" w:cstheme="majorHAnsi"/>
          <w:b/>
          <w:bCs/>
          <w:sz w:val="25"/>
          <w:szCs w:val="25"/>
          <w:lang w:eastAsia="en-GB"/>
        </w:rPr>
      </w:pPr>
      <w:r w:rsidRPr="00A70064">
        <w:rPr>
          <w:rFonts w:eastAsia="Times New Roman" w:cstheme="majorHAnsi"/>
          <w:b/>
          <w:bCs/>
          <w:sz w:val="25"/>
          <w:szCs w:val="25"/>
          <w:lang w:eastAsia="en-GB"/>
        </w:rPr>
        <w:lastRenderedPageBreak/>
        <w:t>Education</w:t>
      </w:r>
      <w:r>
        <w:rPr>
          <w:rFonts w:eastAsia="Times New Roman" w:cstheme="majorHAnsi"/>
          <w:b/>
          <w:bCs/>
          <w:sz w:val="25"/>
          <w:szCs w:val="25"/>
          <w:lang w:eastAsia="en-GB"/>
        </w:rPr>
        <w:t>:</w:t>
      </w:r>
      <w:r w:rsidRPr="00A70064">
        <w:rPr>
          <w:rFonts w:eastAsia="Times New Roman" w:cstheme="majorHAnsi"/>
          <w:b/>
          <w:bCs/>
          <w:sz w:val="25"/>
          <w:szCs w:val="25"/>
          <w:lang w:eastAsia="en-GB"/>
        </w:rPr>
        <w:t xml:space="preserve"> Determinants and Factors</w:t>
      </w:r>
    </w:p>
    <w:p w14:paraId="3BA157E2" w14:textId="77777777" w:rsidR="00F00E3D" w:rsidRPr="008D5602" w:rsidRDefault="00F00E3D" w:rsidP="009B2FA7">
      <w:pPr>
        <w:spacing w:after="0" w:line="276" w:lineRule="auto"/>
        <w:rPr>
          <w:rFonts w:asciiTheme="majorHAnsi" w:eastAsia="Times New Roman" w:hAnsiTheme="majorHAnsi" w:cstheme="majorHAnsi"/>
          <w:sz w:val="10"/>
          <w:szCs w:val="10"/>
          <w:lang w:eastAsia="en-GB"/>
        </w:rPr>
      </w:pPr>
      <w:bookmarkStart w:id="34" w:name="OLE_LINK5"/>
      <w:bookmarkStart w:id="35" w:name="OLE_LINK6"/>
    </w:p>
    <w:p w14:paraId="37B55291" w14:textId="67FEDBF4" w:rsidR="00F00E3D" w:rsidRPr="00BC19B6" w:rsidRDefault="00F00E3D" w:rsidP="009B2FA7">
      <w:pPr>
        <w:spacing w:after="0" w:line="276" w:lineRule="auto"/>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The determinants of educational outcomes are commonly categorised according to either genetic or environmental factors</w:t>
      </w:r>
      <w:r>
        <w:rPr>
          <w:rFonts w:asciiTheme="majorHAnsi" w:eastAsia="Times New Roman" w:hAnsiTheme="majorHAnsi" w:cstheme="majorHAnsi"/>
          <w:sz w:val="23"/>
          <w:szCs w:val="23"/>
          <w:lang w:eastAsia="en-GB"/>
        </w:rPr>
        <w:t>. These</w:t>
      </w:r>
      <w:r w:rsidRPr="00BC19B6">
        <w:rPr>
          <w:rFonts w:asciiTheme="majorHAnsi" w:eastAsia="Times New Roman" w:hAnsiTheme="majorHAnsi" w:cstheme="majorHAnsi"/>
          <w:sz w:val="23"/>
          <w:szCs w:val="23"/>
          <w:lang w:eastAsia="en-GB"/>
        </w:rPr>
        <w:t xml:space="preserve"> include family background, individual characteristics</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and proximal learning settings</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with environmental diversity account</w:t>
      </w:r>
      <w:r w:rsidR="00551013">
        <w:rPr>
          <w:rFonts w:asciiTheme="majorHAnsi" w:eastAsia="Times New Roman" w:hAnsiTheme="majorHAnsi" w:cstheme="majorHAnsi"/>
          <w:sz w:val="23"/>
          <w:szCs w:val="23"/>
          <w:lang w:eastAsia="en-GB"/>
        </w:rPr>
        <w:t xml:space="preserve">ing </w:t>
      </w:r>
      <w:r w:rsidRPr="00BC19B6">
        <w:rPr>
          <w:rFonts w:asciiTheme="majorHAnsi" w:eastAsia="Times New Roman" w:hAnsiTheme="majorHAnsi" w:cstheme="majorHAnsi"/>
          <w:sz w:val="23"/>
          <w:szCs w:val="23"/>
          <w:lang w:eastAsia="en-GB"/>
        </w:rPr>
        <w:t xml:space="preserve">for as little as </w:t>
      </w:r>
      <w:r>
        <w:rPr>
          <w:rFonts w:asciiTheme="majorHAnsi" w:eastAsia="Times New Roman" w:hAnsiTheme="majorHAnsi" w:cstheme="majorHAnsi"/>
          <w:sz w:val="23"/>
          <w:szCs w:val="23"/>
          <w:lang w:eastAsia="en-GB"/>
        </w:rPr>
        <w:t>eight</w:t>
      </w:r>
      <w:r w:rsidRPr="00BC19B6">
        <w:rPr>
          <w:rFonts w:asciiTheme="majorHAnsi" w:eastAsia="Times New Roman" w:hAnsiTheme="majorHAnsi" w:cstheme="majorHAnsi"/>
          <w:sz w:val="23"/>
          <w:szCs w:val="23"/>
          <w:lang w:eastAsia="en-GB"/>
        </w:rPr>
        <w:t xml:space="preserve"> percent of</w:t>
      </w:r>
      <w:r>
        <w:rPr>
          <w:rFonts w:asciiTheme="majorHAnsi" w:eastAsia="Times New Roman" w:hAnsiTheme="majorHAnsi" w:cstheme="majorHAnsi"/>
          <w:sz w:val="23"/>
          <w:szCs w:val="23"/>
          <w:lang w:eastAsia="en-GB"/>
        </w:rPr>
        <w:t xml:space="preserve"> the</w:t>
      </w:r>
      <w:r w:rsidRPr="00BC19B6">
        <w:rPr>
          <w:rFonts w:asciiTheme="majorHAnsi" w:eastAsia="Times New Roman" w:hAnsiTheme="majorHAnsi" w:cstheme="majorHAnsi"/>
          <w:sz w:val="23"/>
          <w:szCs w:val="23"/>
          <w:lang w:eastAsia="en-GB"/>
        </w:rPr>
        <w:t xml:space="preserve"> variance in educational outcomes </w:t>
      </w:r>
      <w:r w:rsidRPr="00BC19B6">
        <w:rPr>
          <w:rFonts w:asciiTheme="majorHAnsi" w:eastAsia="Times New Roman" w:hAnsiTheme="majorHAnsi" w:cstheme="majorHAnsi"/>
          <w:noProof/>
          <w:sz w:val="23"/>
          <w:szCs w:val="23"/>
          <w:lang w:eastAsia="en-GB"/>
        </w:rPr>
        <w:t>(Rasanathan et al., 2011)</w:t>
      </w:r>
      <w:r w:rsidRPr="00BC19B6">
        <w:rPr>
          <w:rFonts w:asciiTheme="majorHAnsi" w:eastAsia="Times New Roman" w:hAnsiTheme="majorHAnsi" w:cstheme="majorHAnsi"/>
          <w:sz w:val="23"/>
          <w:szCs w:val="23"/>
          <w:lang w:eastAsia="en-GB"/>
        </w:rPr>
        <w:t xml:space="preserve">. Miller et al. </w:t>
      </w:r>
      <w:r w:rsidRPr="00BC19B6">
        <w:rPr>
          <w:rFonts w:asciiTheme="majorHAnsi" w:eastAsia="Times New Roman" w:hAnsiTheme="majorHAnsi" w:cstheme="majorHAnsi"/>
          <w:noProof/>
          <w:sz w:val="23"/>
          <w:szCs w:val="23"/>
          <w:lang w:eastAsia="en-GB"/>
        </w:rPr>
        <w:t>(2001)</w:t>
      </w:r>
      <w:r w:rsidRPr="00BC19B6">
        <w:rPr>
          <w:rFonts w:asciiTheme="majorHAnsi" w:eastAsia="Times New Roman" w:hAnsiTheme="majorHAnsi" w:cstheme="majorHAnsi"/>
          <w:sz w:val="23"/>
          <w:szCs w:val="23"/>
          <w:lang w:eastAsia="en-GB"/>
        </w:rPr>
        <w:t xml:space="preserve"> report that </w:t>
      </w:r>
      <w:r>
        <w:rPr>
          <w:rFonts w:asciiTheme="majorHAnsi" w:eastAsia="Times New Roman" w:hAnsiTheme="majorHAnsi" w:cstheme="majorHAnsi"/>
          <w:sz w:val="23"/>
          <w:szCs w:val="23"/>
          <w:lang w:eastAsia="en-GB"/>
        </w:rPr>
        <w:t xml:space="preserve">in Australia, </w:t>
      </w:r>
      <w:r w:rsidRPr="00BC19B6">
        <w:rPr>
          <w:rFonts w:asciiTheme="majorHAnsi" w:eastAsia="Times New Roman" w:hAnsiTheme="majorHAnsi" w:cstheme="majorHAnsi"/>
          <w:sz w:val="23"/>
          <w:szCs w:val="23"/>
          <w:lang w:eastAsia="en-GB"/>
        </w:rPr>
        <w:t xml:space="preserve">around 25 percent of the variance in educational attainment was linked to family background or common environmental factors. Cassen </w:t>
      </w:r>
      <w:r w:rsidR="00551013">
        <w:rPr>
          <w:rFonts w:asciiTheme="majorHAnsi" w:eastAsia="Times New Roman" w:hAnsiTheme="majorHAnsi" w:cstheme="majorHAnsi"/>
          <w:sz w:val="23"/>
          <w:szCs w:val="23"/>
          <w:lang w:eastAsia="en-GB"/>
        </w:rPr>
        <w:t>et al.</w:t>
      </w:r>
      <w:r>
        <w:rPr>
          <w:rFonts w:asciiTheme="majorHAnsi" w:eastAsia="Times New Roman" w:hAnsiTheme="majorHAnsi" w:cstheme="majorHAnsi"/>
          <w:sz w:val="23"/>
          <w:szCs w:val="23"/>
          <w:lang w:eastAsia="en-GB"/>
        </w:rPr>
        <w:t xml:space="preserve"> </w:t>
      </w:r>
      <w:r w:rsidRPr="00BC19B6">
        <w:rPr>
          <w:rFonts w:asciiTheme="majorHAnsi" w:eastAsia="Times New Roman" w:hAnsiTheme="majorHAnsi" w:cstheme="majorHAnsi"/>
          <w:sz w:val="23"/>
          <w:szCs w:val="23"/>
          <w:lang w:eastAsia="en-GB"/>
        </w:rPr>
        <w:t>identify socioeconomic status, home learning environment</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and the school system as important educational outcome determinants </w:t>
      </w:r>
      <w:r>
        <w:rPr>
          <w:rFonts w:asciiTheme="majorHAnsi" w:eastAsia="Times New Roman" w:hAnsiTheme="majorHAnsi" w:cstheme="majorHAnsi"/>
          <w:noProof/>
          <w:sz w:val="23"/>
          <w:szCs w:val="23"/>
          <w:lang w:eastAsia="en-GB"/>
        </w:rPr>
        <w:t>(Cassen, Feinstein, &amp; Graham, 2009)</w:t>
      </w:r>
      <w:r w:rsidRPr="00BC19B6">
        <w:rPr>
          <w:rFonts w:asciiTheme="majorHAnsi" w:eastAsia="Times New Roman" w:hAnsiTheme="majorHAnsi" w:cstheme="majorHAnsi"/>
          <w:sz w:val="23"/>
          <w:szCs w:val="23"/>
          <w:lang w:eastAsia="en-GB"/>
        </w:rPr>
        <w:t>.</w:t>
      </w:r>
    </w:p>
    <w:p w14:paraId="422D6555" w14:textId="77777777" w:rsidR="00F00E3D" w:rsidRPr="008D5602" w:rsidRDefault="00F00E3D" w:rsidP="009B2FA7">
      <w:pPr>
        <w:spacing w:after="0" w:line="276" w:lineRule="auto"/>
        <w:contextualSpacing/>
        <w:rPr>
          <w:rFonts w:asciiTheme="majorHAnsi" w:eastAsia="Times New Roman" w:hAnsiTheme="majorHAnsi" w:cstheme="majorHAnsi"/>
          <w:sz w:val="10"/>
          <w:szCs w:val="10"/>
          <w:lang w:eastAsia="en-GB"/>
        </w:rPr>
      </w:pPr>
    </w:p>
    <w:p w14:paraId="629553DB" w14:textId="0B67E6A3" w:rsidR="00F00E3D" w:rsidRPr="00BC19B6" w:rsidRDefault="00F00E3D" w:rsidP="009B2FA7">
      <w:pPr>
        <w:spacing w:after="0" w:line="276" w:lineRule="auto"/>
        <w:contextualSpacing/>
        <w:rPr>
          <w:rFonts w:asciiTheme="majorHAnsi" w:eastAsia="Times New Roman" w:hAnsiTheme="majorHAnsi" w:cstheme="majorBidi"/>
          <w:sz w:val="23"/>
          <w:szCs w:val="23"/>
          <w:lang w:eastAsia="en-GB"/>
        </w:rPr>
      </w:pPr>
      <w:r w:rsidRPr="70A11623">
        <w:rPr>
          <w:rFonts w:asciiTheme="majorHAnsi" w:eastAsia="Times New Roman" w:hAnsiTheme="majorHAnsi" w:cstheme="majorBidi"/>
          <w:sz w:val="23"/>
          <w:szCs w:val="23"/>
          <w:lang w:eastAsia="en-GB"/>
        </w:rPr>
        <w:t xml:space="preserve">The interactions </w:t>
      </w:r>
      <w:r w:rsidR="00692D03">
        <w:rPr>
          <w:rFonts w:asciiTheme="majorHAnsi" w:eastAsia="Times New Roman" w:hAnsiTheme="majorHAnsi" w:cstheme="majorBidi"/>
          <w:sz w:val="23"/>
          <w:szCs w:val="23"/>
          <w:lang w:eastAsia="en-GB"/>
        </w:rPr>
        <w:t xml:space="preserve">between </w:t>
      </w:r>
      <w:r w:rsidRPr="70A11623">
        <w:rPr>
          <w:rFonts w:asciiTheme="majorHAnsi" w:eastAsia="Times New Roman" w:hAnsiTheme="majorHAnsi" w:cstheme="majorBidi"/>
          <w:sz w:val="23"/>
          <w:szCs w:val="23"/>
          <w:lang w:eastAsia="en-GB"/>
        </w:rPr>
        <w:t xml:space="preserve">and relevant importance of these factors is a highly complex and contested field of study, and a detailed discussion is beyond the scope of this review. Here we merely </w:t>
      </w:r>
      <w:r w:rsidRPr="0028CBBC">
        <w:rPr>
          <w:rFonts w:asciiTheme="majorHAnsi" w:eastAsia="Times New Roman" w:hAnsiTheme="majorHAnsi" w:cstheme="majorBidi"/>
          <w:sz w:val="23"/>
          <w:szCs w:val="23"/>
          <w:lang w:eastAsia="en-GB"/>
        </w:rPr>
        <w:t>isolate</w:t>
      </w:r>
      <w:r w:rsidRPr="70A11623">
        <w:rPr>
          <w:rFonts w:asciiTheme="majorHAnsi" w:eastAsia="Times New Roman" w:hAnsiTheme="majorHAnsi" w:cstheme="majorBidi"/>
          <w:sz w:val="23"/>
          <w:szCs w:val="23"/>
          <w:lang w:eastAsia="en-GB"/>
        </w:rPr>
        <w:t xml:space="preserve"> some common environmental factors identified in our research sample that may explain poor education outcomes for </w:t>
      </w:r>
      <w:r>
        <w:rPr>
          <w:rFonts w:asciiTheme="majorHAnsi" w:eastAsia="Times New Roman" w:hAnsiTheme="majorHAnsi" w:cstheme="majorBidi"/>
          <w:sz w:val="23"/>
          <w:szCs w:val="23"/>
          <w:lang w:eastAsia="en-GB"/>
        </w:rPr>
        <w:t>communities affected by disadvantage</w:t>
      </w:r>
      <w:r w:rsidRPr="70A11623">
        <w:rPr>
          <w:rFonts w:asciiTheme="majorHAnsi" w:eastAsia="Times New Roman" w:hAnsiTheme="majorHAnsi" w:cstheme="majorBidi"/>
          <w:sz w:val="23"/>
          <w:szCs w:val="23"/>
          <w:lang w:eastAsia="en-GB"/>
        </w:rPr>
        <w:t xml:space="preserve">, acknowledging that individual health also has a </w:t>
      </w:r>
      <w:r w:rsidR="00551013">
        <w:rPr>
          <w:rFonts w:asciiTheme="majorHAnsi" w:eastAsia="Times New Roman" w:hAnsiTheme="majorHAnsi" w:cstheme="majorBidi"/>
          <w:sz w:val="23"/>
          <w:szCs w:val="23"/>
          <w:lang w:eastAsia="en-GB"/>
        </w:rPr>
        <w:t xml:space="preserve">major </w:t>
      </w:r>
      <w:r w:rsidRPr="70A11623">
        <w:rPr>
          <w:rFonts w:asciiTheme="majorHAnsi" w:eastAsia="Times New Roman" w:hAnsiTheme="majorHAnsi" w:cstheme="majorBidi"/>
          <w:sz w:val="23"/>
          <w:szCs w:val="23"/>
          <w:lang w:eastAsia="en-GB"/>
        </w:rPr>
        <w:t xml:space="preserve">impact. We should stress, however, that educational outcomes </w:t>
      </w:r>
      <w:r w:rsidR="00551013">
        <w:rPr>
          <w:rFonts w:asciiTheme="majorHAnsi" w:eastAsia="Times New Roman" w:hAnsiTheme="majorHAnsi" w:cstheme="majorBidi"/>
          <w:sz w:val="23"/>
          <w:szCs w:val="23"/>
          <w:lang w:eastAsia="en-GB"/>
        </w:rPr>
        <w:t>yielded</w:t>
      </w:r>
      <w:r w:rsidRPr="70A11623">
        <w:rPr>
          <w:rFonts w:asciiTheme="majorHAnsi" w:eastAsia="Times New Roman" w:hAnsiTheme="majorHAnsi" w:cstheme="majorBidi"/>
          <w:sz w:val="23"/>
          <w:szCs w:val="23"/>
          <w:lang w:eastAsia="en-GB"/>
        </w:rPr>
        <w:t xml:space="preserve"> only a small sample of papers in our search</w:t>
      </w:r>
      <w:r>
        <w:rPr>
          <w:rFonts w:asciiTheme="majorHAnsi" w:eastAsia="Times New Roman" w:hAnsiTheme="majorHAnsi" w:cstheme="majorBidi"/>
          <w:sz w:val="23"/>
          <w:szCs w:val="23"/>
          <w:lang w:eastAsia="en-GB"/>
        </w:rPr>
        <w:t xml:space="preserve"> –</w:t>
      </w:r>
      <w:r w:rsidRPr="70A11623">
        <w:rPr>
          <w:rFonts w:asciiTheme="majorHAnsi" w:eastAsia="Times New Roman" w:hAnsiTheme="majorHAnsi" w:cstheme="majorBidi"/>
          <w:sz w:val="23"/>
          <w:szCs w:val="23"/>
          <w:lang w:eastAsia="en-GB"/>
        </w:rPr>
        <w:t xml:space="preserve"> due to a focus on community-level </w:t>
      </w:r>
      <w:r w:rsidRPr="008F7049">
        <w:rPr>
          <w:rFonts w:asciiTheme="majorHAnsi" w:eastAsia="Times New Roman" w:hAnsiTheme="majorHAnsi" w:cstheme="majorBidi"/>
          <w:sz w:val="23"/>
          <w:szCs w:val="23"/>
          <w:lang w:eastAsia="en-GB"/>
        </w:rPr>
        <w:t xml:space="preserve">intervention and socioeconomic inequality – </w:t>
      </w:r>
      <w:r w:rsidR="00551013" w:rsidRPr="008F7049">
        <w:rPr>
          <w:rFonts w:asciiTheme="majorHAnsi" w:eastAsia="Times New Roman" w:hAnsiTheme="majorHAnsi" w:cstheme="majorBidi"/>
          <w:sz w:val="23"/>
          <w:szCs w:val="23"/>
          <w:lang w:eastAsia="en-GB"/>
        </w:rPr>
        <w:t xml:space="preserve">so </w:t>
      </w:r>
      <w:r w:rsidRPr="008F7049">
        <w:rPr>
          <w:rFonts w:asciiTheme="majorHAnsi" w:eastAsia="Times New Roman" w:hAnsiTheme="majorHAnsi" w:cstheme="majorBidi"/>
          <w:sz w:val="23"/>
          <w:szCs w:val="23"/>
          <w:lang w:eastAsia="en-GB"/>
        </w:rPr>
        <w:t xml:space="preserve">results </w:t>
      </w:r>
      <w:r w:rsidR="00551013" w:rsidRPr="008F7049">
        <w:rPr>
          <w:rFonts w:asciiTheme="majorHAnsi" w:eastAsia="Times New Roman" w:hAnsiTheme="majorHAnsi" w:cstheme="majorBidi"/>
          <w:sz w:val="23"/>
          <w:szCs w:val="23"/>
          <w:lang w:eastAsia="en-GB"/>
        </w:rPr>
        <w:t>are not</w:t>
      </w:r>
      <w:r w:rsidRPr="008F7049">
        <w:rPr>
          <w:rFonts w:asciiTheme="majorHAnsi" w:eastAsia="Times New Roman" w:hAnsiTheme="majorHAnsi" w:cstheme="majorBidi"/>
          <w:sz w:val="23"/>
          <w:szCs w:val="23"/>
          <w:lang w:eastAsia="en-GB"/>
        </w:rPr>
        <w:t xml:space="preserve"> exhaustive or representative. Table </w:t>
      </w:r>
      <w:r w:rsidR="008F7049" w:rsidRPr="008F7049">
        <w:rPr>
          <w:rFonts w:asciiTheme="majorHAnsi" w:eastAsia="Times New Roman" w:hAnsiTheme="majorHAnsi" w:cstheme="majorBidi"/>
          <w:sz w:val="23"/>
          <w:szCs w:val="23"/>
          <w:lang w:eastAsia="en-GB"/>
        </w:rPr>
        <w:t>3.6</w:t>
      </w:r>
      <w:r w:rsidRPr="008F7049">
        <w:rPr>
          <w:rFonts w:asciiTheme="majorHAnsi" w:eastAsia="Times New Roman" w:hAnsiTheme="majorHAnsi" w:cstheme="majorBidi"/>
          <w:sz w:val="23"/>
          <w:szCs w:val="23"/>
          <w:lang w:eastAsia="en-GB"/>
        </w:rPr>
        <w:t xml:space="preserve"> (below) indicates the social and economic factors the studies identified as driving education outcomes for communities</w:t>
      </w:r>
      <w:r>
        <w:rPr>
          <w:rFonts w:asciiTheme="majorHAnsi" w:eastAsia="Times New Roman" w:hAnsiTheme="majorHAnsi" w:cstheme="majorBidi"/>
          <w:sz w:val="23"/>
          <w:szCs w:val="23"/>
          <w:lang w:eastAsia="en-GB"/>
        </w:rPr>
        <w:t xml:space="preserve"> affected by disadvantage</w:t>
      </w:r>
      <w:r w:rsidRPr="70A11623">
        <w:rPr>
          <w:rFonts w:asciiTheme="majorHAnsi" w:eastAsia="Times New Roman" w:hAnsiTheme="majorHAnsi" w:cstheme="majorBidi"/>
          <w:sz w:val="23"/>
          <w:szCs w:val="23"/>
          <w:lang w:eastAsia="en-GB"/>
        </w:rPr>
        <w:t>.</w:t>
      </w:r>
    </w:p>
    <w:p w14:paraId="15BEDA91" w14:textId="77777777" w:rsidR="00F00E3D" w:rsidRPr="00692D03" w:rsidRDefault="00F00E3D" w:rsidP="009B2FA7">
      <w:pPr>
        <w:spacing w:after="0" w:line="276" w:lineRule="auto"/>
        <w:rPr>
          <w:rFonts w:asciiTheme="majorHAnsi" w:eastAsia="Times New Roman" w:hAnsiTheme="majorHAnsi" w:cstheme="majorHAnsi"/>
          <w:sz w:val="12"/>
          <w:szCs w:val="12"/>
          <w:lang w:eastAsia="en-GB"/>
        </w:rPr>
      </w:pPr>
    </w:p>
    <w:tbl>
      <w:tblPr>
        <w:tblStyle w:val="TableGrid"/>
        <w:tblW w:w="9554" w:type="dxa"/>
        <w:tblInd w:w="-5" w:type="dxa"/>
        <w:tblLook w:val="04A0" w:firstRow="1" w:lastRow="0" w:firstColumn="1" w:lastColumn="0" w:noHBand="0" w:noVBand="1"/>
      </w:tblPr>
      <w:tblGrid>
        <w:gridCol w:w="1060"/>
        <w:gridCol w:w="2298"/>
        <w:gridCol w:w="4077"/>
        <w:gridCol w:w="1057"/>
        <w:gridCol w:w="1062"/>
      </w:tblGrid>
      <w:tr w:rsidR="008F7049" w:rsidRPr="008F7049" w14:paraId="553C450B" w14:textId="77777777" w:rsidTr="008F7049">
        <w:trPr>
          <w:trHeight w:val="262"/>
        </w:trPr>
        <w:tc>
          <w:tcPr>
            <w:tcW w:w="1060" w:type="dxa"/>
            <w:shd w:val="clear" w:color="auto" w:fill="D0CECE" w:themeFill="background2" w:themeFillShade="E6"/>
          </w:tcPr>
          <w:p w14:paraId="55D3B6A1" w14:textId="77777777" w:rsidR="00F00E3D" w:rsidRPr="008F7049" w:rsidRDefault="00F00E3D" w:rsidP="009B2FA7">
            <w:pPr>
              <w:contextualSpacing/>
              <w:rPr>
                <w:rFonts w:eastAsia="Times New Roman" w:cstheme="majorHAnsi"/>
                <w:b/>
                <w:bCs/>
                <w:sz w:val="21"/>
                <w:szCs w:val="21"/>
                <w:lang w:eastAsia="en-GB"/>
              </w:rPr>
            </w:pPr>
            <w:r w:rsidRPr="008F7049">
              <w:rPr>
                <w:rFonts w:eastAsia="Times New Roman" w:cstheme="majorHAnsi"/>
                <w:b/>
                <w:bCs/>
                <w:sz w:val="21"/>
                <w:szCs w:val="21"/>
                <w:lang w:eastAsia="en-GB"/>
              </w:rPr>
              <w:t>Context Category</w:t>
            </w:r>
          </w:p>
        </w:tc>
        <w:tc>
          <w:tcPr>
            <w:tcW w:w="2298" w:type="dxa"/>
            <w:shd w:val="clear" w:color="auto" w:fill="D0CECE" w:themeFill="background2" w:themeFillShade="E6"/>
          </w:tcPr>
          <w:p w14:paraId="3612230B" w14:textId="77777777" w:rsidR="00F00E3D" w:rsidRPr="008F7049" w:rsidRDefault="00F00E3D" w:rsidP="009B2FA7">
            <w:pPr>
              <w:contextualSpacing/>
              <w:rPr>
                <w:rFonts w:eastAsia="Times New Roman" w:cstheme="majorHAnsi"/>
                <w:b/>
                <w:bCs/>
                <w:sz w:val="21"/>
                <w:szCs w:val="21"/>
                <w:lang w:eastAsia="en-GB"/>
              </w:rPr>
            </w:pPr>
            <w:r w:rsidRPr="008F7049">
              <w:rPr>
                <w:rFonts w:eastAsia="Times New Roman" w:cstheme="majorHAnsi"/>
                <w:b/>
                <w:bCs/>
                <w:sz w:val="21"/>
                <w:szCs w:val="21"/>
                <w:lang w:eastAsia="en-GB"/>
              </w:rPr>
              <w:t>Determinant</w:t>
            </w:r>
          </w:p>
        </w:tc>
        <w:tc>
          <w:tcPr>
            <w:tcW w:w="4077" w:type="dxa"/>
            <w:shd w:val="clear" w:color="auto" w:fill="D0CECE" w:themeFill="background2" w:themeFillShade="E6"/>
          </w:tcPr>
          <w:p w14:paraId="70D72DB1" w14:textId="77777777" w:rsidR="00F00E3D" w:rsidRPr="008F7049" w:rsidRDefault="00F00E3D" w:rsidP="009B2FA7">
            <w:pPr>
              <w:contextualSpacing/>
              <w:rPr>
                <w:rFonts w:eastAsia="Times New Roman" w:cstheme="majorHAnsi"/>
                <w:b/>
                <w:bCs/>
                <w:sz w:val="21"/>
                <w:szCs w:val="21"/>
                <w:lang w:eastAsia="en-GB"/>
              </w:rPr>
            </w:pPr>
            <w:r w:rsidRPr="008F7049">
              <w:rPr>
                <w:rFonts w:eastAsia="Times New Roman" w:cstheme="majorHAnsi"/>
                <w:b/>
                <w:bCs/>
                <w:sz w:val="21"/>
                <w:szCs w:val="21"/>
                <w:lang w:eastAsia="en-GB"/>
              </w:rPr>
              <w:t>Factor</w:t>
            </w:r>
          </w:p>
        </w:tc>
        <w:tc>
          <w:tcPr>
            <w:tcW w:w="2119" w:type="dxa"/>
            <w:gridSpan w:val="2"/>
            <w:shd w:val="clear" w:color="auto" w:fill="D0CECE" w:themeFill="background2" w:themeFillShade="E6"/>
          </w:tcPr>
          <w:p w14:paraId="0A00D132" w14:textId="77777777" w:rsidR="00F00E3D" w:rsidRPr="008F7049" w:rsidRDefault="00F00E3D" w:rsidP="009B2FA7">
            <w:pPr>
              <w:contextualSpacing/>
              <w:rPr>
                <w:rFonts w:eastAsia="Times New Roman" w:cstheme="majorHAnsi"/>
                <w:b/>
                <w:bCs/>
                <w:sz w:val="21"/>
                <w:szCs w:val="21"/>
                <w:lang w:eastAsia="en-GB"/>
              </w:rPr>
            </w:pPr>
            <w:r w:rsidRPr="008F7049">
              <w:rPr>
                <w:rFonts w:eastAsia="Times New Roman" w:cstheme="majorHAnsi"/>
                <w:b/>
                <w:bCs/>
                <w:sz w:val="21"/>
                <w:szCs w:val="21"/>
                <w:lang w:eastAsia="en-GB"/>
              </w:rPr>
              <w:t xml:space="preserve"># Articles </w:t>
            </w:r>
          </w:p>
          <w:p w14:paraId="5C66223C" w14:textId="4695FE3C" w:rsidR="00F00E3D" w:rsidRPr="008F7049" w:rsidRDefault="008F7049" w:rsidP="009B2FA7">
            <w:pPr>
              <w:contextualSpacing/>
              <w:rPr>
                <w:rFonts w:eastAsia="Times New Roman" w:cstheme="majorHAnsi"/>
                <w:b/>
                <w:bCs/>
                <w:sz w:val="21"/>
                <w:szCs w:val="21"/>
                <w:lang w:eastAsia="en-GB"/>
              </w:rPr>
            </w:pPr>
            <w:r>
              <w:rPr>
                <w:rFonts w:eastAsia="Times New Roman" w:cstheme="majorHAnsi"/>
                <w:b/>
                <w:bCs/>
                <w:sz w:val="21"/>
                <w:szCs w:val="21"/>
                <w:lang w:eastAsia="en-GB"/>
              </w:rPr>
              <w:t>I</w:t>
            </w:r>
            <w:r w:rsidR="00F00E3D" w:rsidRPr="008F7049">
              <w:rPr>
                <w:rFonts w:eastAsia="Times New Roman" w:cstheme="majorHAnsi"/>
                <w:b/>
                <w:bCs/>
                <w:sz w:val="21"/>
                <w:szCs w:val="21"/>
                <w:lang w:eastAsia="en-GB"/>
              </w:rPr>
              <w:t xml:space="preserve">dentifying </w:t>
            </w:r>
            <w:r>
              <w:rPr>
                <w:rFonts w:eastAsia="Times New Roman" w:cstheme="majorHAnsi"/>
                <w:b/>
                <w:bCs/>
                <w:sz w:val="21"/>
                <w:szCs w:val="21"/>
                <w:lang w:eastAsia="en-GB"/>
              </w:rPr>
              <w:t>F</w:t>
            </w:r>
            <w:r w:rsidR="00F00E3D" w:rsidRPr="008F7049">
              <w:rPr>
                <w:rFonts w:eastAsia="Times New Roman" w:cstheme="majorHAnsi"/>
                <w:b/>
                <w:bCs/>
                <w:sz w:val="21"/>
                <w:szCs w:val="21"/>
                <w:lang w:eastAsia="en-GB"/>
              </w:rPr>
              <w:t>actor</w:t>
            </w:r>
          </w:p>
        </w:tc>
      </w:tr>
      <w:tr w:rsidR="00F00E3D" w:rsidRPr="00B1623C" w14:paraId="4BDF8FCE" w14:textId="77777777" w:rsidTr="00551013">
        <w:trPr>
          <w:trHeight w:val="112"/>
        </w:trPr>
        <w:tc>
          <w:tcPr>
            <w:tcW w:w="1060" w:type="dxa"/>
            <w:vMerge w:val="restart"/>
            <w:textDirection w:val="tbRl"/>
            <w:vAlign w:val="center"/>
          </w:tcPr>
          <w:p w14:paraId="04318A65" w14:textId="221E45BE" w:rsidR="00F00E3D" w:rsidRPr="00053FF2" w:rsidRDefault="00F00E3D" w:rsidP="00692D03">
            <w:pPr>
              <w:spacing w:after="0"/>
              <w:ind w:left="113" w:right="113"/>
              <w:contextualSpacing/>
              <w:jc w:val="center"/>
              <w:rPr>
                <w:rFonts w:eastAsiaTheme="minorEastAsia"/>
                <w:b/>
                <w:color w:val="000000"/>
                <w:sz w:val="20"/>
                <w:szCs w:val="20"/>
                <w:lang w:eastAsia="en-GB"/>
              </w:rPr>
            </w:pPr>
            <w:r w:rsidRPr="701B9583">
              <w:rPr>
                <w:rFonts w:eastAsiaTheme="minorEastAsia"/>
                <w:b/>
                <w:bCs/>
                <w:color w:val="000000" w:themeColor="text1"/>
                <w:sz w:val="20"/>
                <w:szCs w:val="20"/>
                <w:lang w:eastAsia="en-GB"/>
              </w:rPr>
              <w:t>Econ</w:t>
            </w:r>
            <w:r w:rsidR="02E61F4C" w:rsidRPr="701B9583">
              <w:rPr>
                <w:rFonts w:eastAsiaTheme="minorEastAsia"/>
                <w:b/>
                <w:bCs/>
                <w:color w:val="000000" w:themeColor="text1"/>
                <w:sz w:val="20"/>
                <w:szCs w:val="20"/>
                <w:lang w:eastAsia="en-GB"/>
              </w:rPr>
              <w:t>-</w:t>
            </w:r>
            <w:proofErr w:type="spellStart"/>
            <w:r w:rsidRPr="701B9583">
              <w:rPr>
                <w:rFonts w:eastAsiaTheme="minorEastAsia"/>
                <w:b/>
                <w:bCs/>
                <w:color w:val="000000" w:themeColor="text1"/>
                <w:sz w:val="20"/>
                <w:szCs w:val="20"/>
                <w:lang w:eastAsia="en-GB"/>
              </w:rPr>
              <w:t>omic</w:t>
            </w:r>
            <w:proofErr w:type="spellEnd"/>
          </w:p>
        </w:tc>
        <w:tc>
          <w:tcPr>
            <w:tcW w:w="2298" w:type="dxa"/>
            <w:vAlign w:val="center"/>
          </w:tcPr>
          <w:p w14:paraId="7B96FE88"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Economy</w:t>
            </w:r>
          </w:p>
        </w:tc>
        <w:tc>
          <w:tcPr>
            <w:tcW w:w="4077" w:type="dxa"/>
            <w:vAlign w:val="center"/>
          </w:tcPr>
          <w:p w14:paraId="6AAFB04C" w14:textId="77777777" w:rsidR="00F00E3D" w:rsidRPr="00053FF2"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Education Funding</w:t>
            </w:r>
          </w:p>
          <w:p w14:paraId="710B4E6A"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p>
        </w:tc>
        <w:tc>
          <w:tcPr>
            <w:tcW w:w="1057" w:type="dxa"/>
            <w:vAlign w:val="center"/>
          </w:tcPr>
          <w:p w14:paraId="59CC2D8B"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1</w:t>
            </w:r>
          </w:p>
        </w:tc>
        <w:tc>
          <w:tcPr>
            <w:tcW w:w="1061" w:type="dxa"/>
            <w:vAlign w:val="center"/>
          </w:tcPr>
          <w:p w14:paraId="08FC2336" w14:textId="77777777" w:rsidR="00F00E3D" w:rsidRPr="00B1623C" w:rsidRDefault="00F00E3D" w:rsidP="00692D03">
            <w:pPr>
              <w:tabs>
                <w:tab w:val="left" w:pos="2127"/>
              </w:tabs>
              <w:spacing w:after="0"/>
              <w:contextualSpacing/>
              <w:jc w:val="center"/>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1</w:t>
            </w:r>
          </w:p>
        </w:tc>
      </w:tr>
      <w:tr w:rsidR="00F00E3D" w:rsidRPr="00B1623C" w14:paraId="189FDE4E" w14:textId="77777777" w:rsidTr="00551013">
        <w:trPr>
          <w:trHeight w:val="413"/>
        </w:trPr>
        <w:tc>
          <w:tcPr>
            <w:tcW w:w="1060" w:type="dxa"/>
            <w:vMerge/>
          </w:tcPr>
          <w:p w14:paraId="5A9CACB9"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Align w:val="center"/>
          </w:tcPr>
          <w:p w14:paraId="479B1BB5"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Policy</w:t>
            </w:r>
          </w:p>
        </w:tc>
        <w:tc>
          <w:tcPr>
            <w:tcW w:w="4077" w:type="dxa"/>
            <w:vAlign w:val="center"/>
          </w:tcPr>
          <w:p w14:paraId="2482DB2D"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Government Policy (local &amp; national)</w:t>
            </w:r>
          </w:p>
          <w:p w14:paraId="4B1F20D1"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1057" w:type="dxa"/>
            <w:vAlign w:val="center"/>
          </w:tcPr>
          <w:p w14:paraId="043AD91B"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sz w:val="20"/>
                <w:szCs w:val="20"/>
                <w:lang w:eastAsia="en-GB"/>
              </w:rPr>
              <w:t>1</w:t>
            </w:r>
          </w:p>
        </w:tc>
        <w:tc>
          <w:tcPr>
            <w:tcW w:w="1061" w:type="dxa"/>
            <w:vAlign w:val="center"/>
          </w:tcPr>
          <w:p w14:paraId="60A798DA"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1</w:t>
            </w:r>
          </w:p>
        </w:tc>
      </w:tr>
      <w:tr w:rsidR="00F00E3D" w:rsidRPr="00B1623C" w14:paraId="4F161FBE" w14:textId="77777777" w:rsidTr="00551013">
        <w:trPr>
          <w:trHeight w:val="276"/>
        </w:trPr>
        <w:tc>
          <w:tcPr>
            <w:tcW w:w="1060" w:type="dxa"/>
            <w:vMerge w:val="restart"/>
            <w:textDirection w:val="tbRl"/>
            <w:vAlign w:val="center"/>
          </w:tcPr>
          <w:p w14:paraId="48201A85" w14:textId="77777777" w:rsidR="00F00E3D" w:rsidRPr="00053FF2" w:rsidRDefault="00F00E3D" w:rsidP="00692D03">
            <w:pPr>
              <w:spacing w:after="0"/>
              <w:contextualSpacing/>
              <w:jc w:val="center"/>
              <w:rPr>
                <w:rFonts w:eastAsia="Times New Roman" w:cstheme="majorHAnsi"/>
                <w:b/>
                <w:bCs/>
                <w:color w:val="000000"/>
                <w:sz w:val="20"/>
                <w:szCs w:val="20"/>
                <w:lang w:eastAsia="en-GB"/>
              </w:rPr>
            </w:pPr>
            <w:r w:rsidRPr="00053FF2">
              <w:rPr>
                <w:rFonts w:eastAsia="Times New Roman" w:cstheme="majorHAnsi"/>
                <w:b/>
                <w:bCs/>
                <w:color w:val="000000"/>
                <w:sz w:val="20"/>
                <w:szCs w:val="20"/>
                <w:lang w:eastAsia="en-GB"/>
              </w:rPr>
              <w:t>Health</w:t>
            </w:r>
          </w:p>
        </w:tc>
        <w:tc>
          <w:tcPr>
            <w:tcW w:w="2298" w:type="dxa"/>
            <w:vAlign w:val="center"/>
          </w:tcPr>
          <w:p w14:paraId="12A64566" w14:textId="77777777" w:rsidR="00F00E3D" w:rsidRDefault="00F00E3D" w:rsidP="00692D03">
            <w:pPr>
              <w:spacing w:after="0"/>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 xml:space="preserve">Healthcare &amp; </w:t>
            </w:r>
          </w:p>
          <w:p w14:paraId="0FC10ECF" w14:textId="77777777" w:rsidR="00F00E3D" w:rsidRPr="00B1623C" w:rsidRDefault="00F00E3D" w:rsidP="00692D03">
            <w:pPr>
              <w:spacing w:after="0"/>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Social Services</w:t>
            </w:r>
          </w:p>
        </w:tc>
        <w:tc>
          <w:tcPr>
            <w:tcW w:w="4077" w:type="dxa"/>
            <w:vAlign w:val="center"/>
          </w:tcPr>
          <w:p w14:paraId="7C61C9E0"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Access to Services</w:t>
            </w:r>
          </w:p>
        </w:tc>
        <w:tc>
          <w:tcPr>
            <w:tcW w:w="1057" w:type="dxa"/>
            <w:vAlign w:val="center"/>
          </w:tcPr>
          <w:p w14:paraId="4E8A9CCC"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color w:val="000000"/>
                <w:sz w:val="20"/>
                <w:szCs w:val="20"/>
                <w:lang w:eastAsia="en-GB"/>
              </w:rPr>
              <w:t>2</w:t>
            </w:r>
          </w:p>
        </w:tc>
        <w:tc>
          <w:tcPr>
            <w:tcW w:w="1061" w:type="dxa"/>
            <w:vAlign w:val="center"/>
          </w:tcPr>
          <w:p w14:paraId="36AE12DB"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2</w:t>
            </w:r>
          </w:p>
        </w:tc>
      </w:tr>
      <w:tr w:rsidR="00F00E3D" w:rsidRPr="00B1623C" w14:paraId="03F23293" w14:textId="77777777" w:rsidTr="00551013">
        <w:trPr>
          <w:trHeight w:val="341"/>
        </w:trPr>
        <w:tc>
          <w:tcPr>
            <w:tcW w:w="1060" w:type="dxa"/>
            <w:vMerge/>
          </w:tcPr>
          <w:p w14:paraId="1ECCA11B"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Align w:val="center"/>
          </w:tcPr>
          <w:p w14:paraId="2B4D3D8F" w14:textId="77777777" w:rsidR="00F00E3D" w:rsidRPr="00B1623C" w:rsidRDefault="00F00E3D" w:rsidP="00692D03">
            <w:pPr>
              <w:spacing w:after="0"/>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Personal Health Status</w:t>
            </w:r>
          </w:p>
        </w:tc>
        <w:tc>
          <w:tcPr>
            <w:tcW w:w="4077" w:type="dxa"/>
            <w:vAlign w:val="center"/>
          </w:tcPr>
          <w:p w14:paraId="4D3F6BFE"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Individual Health</w:t>
            </w:r>
          </w:p>
        </w:tc>
        <w:tc>
          <w:tcPr>
            <w:tcW w:w="1057" w:type="dxa"/>
            <w:vAlign w:val="center"/>
          </w:tcPr>
          <w:p w14:paraId="151ECF56"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4</w:t>
            </w:r>
          </w:p>
        </w:tc>
        <w:tc>
          <w:tcPr>
            <w:tcW w:w="1061" w:type="dxa"/>
            <w:vAlign w:val="center"/>
          </w:tcPr>
          <w:p w14:paraId="5A04C479"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4</w:t>
            </w:r>
          </w:p>
        </w:tc>
      </w:tr>
      <w:tr w:rsidR="00F00E3D" w:rsidRPr="00B1623C" w14:paraId="0AE3D94B" w14:textId="77777777" w:rsidTr="00551013">
        <w:trPr>
          <w:trHeight w:val="95"/>
        </w:trPr>
        <w:tc>
          <w:tcPr>
            <w:tcW w:w="1060" w:type="dxa"/>
            <w:vMerge w:val="restart"/>
            <w:textDirection w:val="tbRl"/>
            <w:vAlign w:val="center"/>
          </w:tcPr>
          <w:p w14:paraId="7D8AD1FE" w14:textId="77777777" w:rsidR="00F00E3D" w:rsidRPr="00053FF2" w:rsidRDefault="00F00E3D" w:rsidP="00692D03">
            <w:pPr>
              <w:tabs>
                <w:tab w:val="left" w:pos="1457"/>
              </w:tabs>
              <w:spacing w:after="0"/>
              <w:contextualSpacing/>
              <w:jc w:val="center"/>
              <w:rPr>
                <w:rFonts w:eastAsia="Times New Roman" w:cstheme="majorHAnsi"/>
                <w:b/>
                <w:bCs/>
                <w:color w:val="000000"/>
                <w:sz w:val="20"/>
                <w:szCs w:val="20"/>
                <w:lang w:eastAsia="en-GB"/>
              </w:rPr>
            </w:pPr>
            <w:r w:rsidRPr="00053FF2">
              <w:rPr>
                <w:rFonts w:eastAsia="Times New Roman" w:cstheme="majorHAnsi"/>
                <w:b/>
                <w:bCs/>
                <w:color w:val="000000"/>
                <w:sz w:val="20"/>
                <w:szCs w:val="20"/>
                <w:lang w:eastAsia="en-GB"/>
              </w:rPr>
              <w:t>Social</w:t>
            </w:r>
          </w:p>
        </w:tc>
        <w:tc>
          <w:tcPr>
            <w:tcW w:w="2298" w:type="dxa"/>
            <w:vAlign w:val="center"/>
          </w:tcPr>
          <w:p w14:paraId="51A6FE00" w14:textId="77777777" w:rsidR="00F00E3D" w:rsidRPr="00B1623C" w:rsidRDefault="00F00E3D" w:rsidP="00692D03">
            <w:pPr>
              <w:tabs>
                <w:tab w:val="left" w:pos="1457"/>
              </w:tabs>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Behaviours</w:t>
            </w:r>
          </w:p>
        </w:tc>
        <w:tc>
          <w:tcPr>
            <w:tcW w:w="4077" w:type="dxa"/>
            <w:vAlign w:val="center"/>
          </w:tcPr>
          <w:p w14:paraId="0E6B223D" w14:textId="77777777" w:rsidR="00F00E3D" w:rsidRPr="00B1623C" w:rsidRDefault="00F00E3D" w:rsidP="00692D03">
            <w:pPr>
              <w:tabs>
                <w:tab w:val="left" w:pos="1457"/>
              </w:tabs>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color w:val="000000"/>
                <w:sz w:val="20"/>
                <w:szCs w:val="20"/>
                <w:lang w:eastAsia="en-GB"/>
              </w:rPr>
              <w:t>Personal Motivation</w:t>
            </w:r>
          </w:p>
        </w:tc>
        <w:tc>
          <w:tcPr>
            <w:tcW w:w="1057" w:type="dxa"/>
            <w:vAlign w:val="center"/>
          </w:tcPr>
          <w:p w14:paraId="3F0D48A4"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color w:val="000000"/>
                <w:sz w:val="20"/>
                <w:szCs w:val="20"/>
                <w:lang w:eastAsia="en-GB"/>
              </w:rPr>
              <w:t>1</w:t>
            </w:r>
          </w:p>
        </w:tc>
        <w:tc>
          <w:tcPr>
            <w:tcW w:w="1061" w:type="dxa"/>
            <w:vAlign w:val="center"/>
          </w:tcPr>
          <w:p w14:paraId="7BA8842E"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1</w:t>
            </w:r>
          </w:p>
        </w:tc>
      </w:tr>
      <w:tr w:rsidR="00F00E3D" w:rsidRPr="00B1623C" w14:paraId="6D4B17DE" w14:textId="77777777" w:rsidTr="00551013">
        <w:trPr>
          <w:trHeight w:val="154"/>
        </w:trPr>
        <w:tc>
          <w:tcPr>
            <w:tcW w:w="1060" w:type="dxa"/>
            <w:vMerge/>
          </w:tcPr>
          <w:p w14:paraId="6213BA08" w14:textId="77777777" w:rsidR="00F00E3D" w:rsidRPr="00B1623C" w:rsidRDefault="00F00E3D" w:rsidP="00692D03">
            <w:pPr>
              <w:tabs>
                <w:tab w:val="left" w:pos="3181"/>
              </w:tabs>
              <w:spacing w:after="0"/>
              <w:contextualSpacing/>
              <w:rPr>
                <w:rFonts w:asciiTheme="majorHAnsi" w:eastAsia="Times New Roman" w:hAnsiTheme="majorHAnsi" w:cstheme="majorHAnsi"/>
                <w:color w:val="000000"/>
                <w:sz w:val="20"/>
                <w:szCs w:val="20"/>
                <w:lang w:eastAsia="en-GB"/>
              </w:rPr>
            </w:pPr>
          </w:p>
        </w:tc>
        <w:tc>
          <w:tcPr>
            <w:tcW w:w="2298" w:type="dxa"/>
            <w:vMerge w:val="restart"/>
            <w:vAlign w:val="center"/>
          </w:tcPr>
          <w:p w14:paraId="29D4B00E" w14:textId="77777777" w:rsidR="00F00E3D" w:rsidRPr="00B1623C" w:rsidRDefault="00F00E3D" w:rsidP="00692D03">
            <w:pPr>
              <w:spacing w:after="0"/>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Crime &amp; Safety</w:t>
            </w:r>
          </w:p>
        </w:tc>
        <w:tc>
          <w:tcPr>
            <w:tcW w:w="4077" w:type="dxa"/>
            <w:vAlign w:val="center"/>
          </w:tcPr>
          <w:p w14:paraId="5F72D92F" w14:textId="77777777" w:rsidR="00F00E3D" w:rsidRPr="00B1623C" w:rsidRDefault="00F00E3D" w:rsidP="00692D03">
            <w:pPr>
              <w:tabs>
                <w:tab w:val="left" w:pos="3181"/>
              </w:tabs>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color w:val="000000"/>
                <w:sz w:val="20"/>
                <w:szCs w:val="20"/>
                <w:lang w:eastAsia="en-GB"/>
              </w:rPr>
              <w:t>Crime</w:t>
            </w:r>
          </w:p>
        </w:tc>
        <w:tc>
          <w:tcPr>
            <w:tcW w:w="1057" w:type="dxa"/>
            <w:vAlign w:val="center"/>
          </w:tcPr>
          <w:p w14:paraId="5402C095" w14:textId="77777777" w:rsidR="00F00E3D" w:rsidRPr="00B1623C" w:rsidRDefault="00F00E3D" w:rsidP="00692D03">
            <w:pPr>
              <w:tabs>
                <w:tab w:val="left" w:pos="854"/>
              </w:tabs>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2</w:t>
            </w:r>
          </w:p>
        </w:tc>
        <w:tc>
          <w:tcPr>
            <w:tcW w:w="1061" w:type="dxa"/>
            <w:vMerge w:val="restart"/>
            <w:vAlign w:val="center"/>
          </w:tcPr>
          <w:p w14:paraId="08A2EC2C" w14:textId="77777777" w:rsidR="00F00E3D" w:rsidRPr="00B1623C" w:rsidRDefault="00F00E3D" w:rsidP="00692D03">
            <w:pPr>
              <w:tabs>
                <w:tab w:val="left" w:pos="854"/>
              </w:tabs>
              <w:spacing w:after="0"/>
              <w:contextualSpacing/>
              <w:jc w:val="center"/>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5</w:t>
            </w:r>
          </w:p>
        </w:tc>
      </w:tr>
      <w:tr w:rsidR="00F00E3D" w:rsidRPr="00B1623C" w14:paraId="0B322C2C" w14:textId="77777777" w:rsidTr="00551013">
        <w:trPr>
          <w:trHeight w:val="172"/>
        </w:trPr>
        <w:tc>
          <w:tcPr>
            <w:tcW w:w="1060" w:type="dxa"/>
            <w:vMerge/>
          </w:tcPr>
          <w:p w14:paraId="74DF8F37" w14:textId="77777777" w:rsidR="00F00E3D" w:rsidRPr="00B1623C" w:rsidRDefault="00F00E3D" w:rsidP="00692D03">
            <w:pPr>
              <w:tabs>
                <w:tab w:val="left" w:pos="3181"/>
              </w:tabs>
              <w:spacing w:after="0"/>
              <w:contextualSpacing/>
              <w:rPr>
                <w:rFonts w:asciiTheme="majorHAnsi" w:eastAsia="Times New Roman" w:hAnsiTheme="majorHAnsi" w:cstheme="majorHAnsi"/>
                <w:color w:val="000000"/>
                <w:sz w:val="20"/>
                <w:szCs w:val="20"/>
                <w:lang w:eastAsia="en-GB"/>
              </w:rPr>
            </w:pPr>
          </w:p>
        </w:tc>
        <w:tc>
          <w:tcPr>
            <w:tcW w:w="2298" w:type="dxa"/>
            <w:vMerge/>
          </w:tcPr>
          <w:p w14:paraId="3F861CA7" w14:textId="77777777" w:rsidR="00F00E3D" w:rsidRPr="00B1623C" w:rsidRDefault="00F00E3D" w:rsidP="00692D03">
            <w:pPr>
              <w:tabs>
                <w:tab w:val="left" w:pos="3181"/>
              </w:tabs>
              <w:spacing w:after="0"/>
              <w:contextualSpacing/>
              <w:rPr>
                <w:rFonts w:asciiTheme="majorHAnsi" w:eastAsia="Times New Roman" w:hAnsiTheme="majorHAnsi" w:cstheme="majorHAnsi"/>
                <w:color w:val="000000"/>
                <w:sz w:val="20"/>
                <w:szCs w:val="20"/>
                <w:lang w:eastAsia="en-GB"/>
              </w:rPr>
            </w:pPr>
          </w:p>
        </w:tc>
        <w:tc>
          <w:tcPr>
            <w:tcW w:w="4077" w:type="dxa"/>
            <w:vAlign w:val="center"/>
          </w:tcPr>
          <w:p w14:paraId="17060D42" w14:textId="77777777" w:rsidR="00F00E3D" w:rsidRPr="00B1623C" w:rsidRDefault="00F00E3D" w:rsidP="00692D03">
            <w:pPr>
              <w:tabs>
                <w:tab w:val="left" w:pos="3181"/>
              </w:tabs>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Neighbourhood Safety</w:t>
            </w:r>
          </w:p>
        </w:tc>
        <w:tc>
          <w:tcPr>
            <w:tcW w:w="1057" w:type="dxa"/>
            <w:vAlign w:val="center"/>
          </w:tcPr>
          <w:p w14:paraId="5E37679B" w14:textId="77777777" w:rsidR="00F00E3D" w:rsidRPr="00B1623C" w:rsidRDefault="00F00E3D" w:rsidP="00692D03">
            <w:pPr>
              <w:tabs>
                <w:tab w:val="left" w:pos="854"/>
              </w:tabs>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2</w:t>
            </w:r>
          </w:p>
        </w:tc>
        <w:tc>
          <w:tcPr>
            <w:tcW w:w="1061" w:type="dxa"/>
            <w:vMerge/>
            <w:vAlign w:val="center"/>
          </w:tcPr>
          <w:p w14:paraId="0E8E7BDB" w14:textId="77777777" w:rsidR="00F00E3D" w:rsidRPr="00B1623C" w:rsidRDefault="00F00E3D" w:rsidP="00692D03">
            <w:pPr>
              <w:tabs>
                <w:tab w:val="left" w:pos="854"/>
              </w:tabs>
              <w:spacing w:after="0"/>
              <w:contextualSpacing/>
              <w:jc w:val="center"/>
              <w:rPr>
                <w:rFonts w:asciiTheme="majorHAnsi" w:eastAsia="Times New Roman" w:hAnsiTheme="majorHAnsi" w:cstheme="majorHAnsi"/>
                <w:color w:val="000000"/>
                <w:sz w:val="20"/>
                <w:szCs w:val="20"/>
                <w:lang w:eastAsia="en-GB"/>
              </w:rPr>
            </w:pPr>
          </w:p>
        </w:tc>
      </w:tr>
      <w:tr w:rsidR="00F00E3D" w:rsidRPr="00B1623C" w14:paraId="357206CC" w14:textId="77777777" w:rsidTr="00551013">
        <w:trPr>
          <w:trHeight w:val="172"/>
        </w:trPr>
        <w:tc>
          <w:tcPr>
            <w:tcW w:w="1060" w:type="dxa"/>
            <w:vMerge/>
          </w:tcPr>
          <w:p w14:paraId="1ED53C86"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tcPr>
          <w:p w14:paraId="757F9E6B"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4077" w:type="dxa"/>
            <w:vAlign w:val="center"/>
          </w:tcPr>
          <w:p w14:paraId="3BED627C"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color w:val="000000"/>
                <w:sz w:val="20"/>
                <w:szCs w:val="20"/>
                <w:lang w:eastAsia="en-GB"/>
              </w:rPr>
              <w:t>Violence</w:t>
            </w:r>
          </w:p>
        </w:tc>
        <w:tc>
          <w:tcPr>
            <w:tcW w:w="1057" w:type="dxa"/>
            <w:vAlign w:val="center"/>
          </w:tcPr>
          <w:p w14:paraId="1CE81361"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1</w:t>
            </w:r>
          </w:p>
        </w:tc>
        <w:tc>
          <w:tcPr>
            <w:tcW w:w="1061" w:type="dxa"/>
            <w:vMerge/>
            <w:vAlign w:val="center"/>
          </w:tcPr>
          <w:p w14:paraId="0E3C2C09"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p>
        </w:tc>
      </w:tr>
      <w:tr w:rsidR="00F00E3D" w:rsidRPr="00B1623C" w14:paraId="4D7CDF16" w14:textId="77777777" w:rsidTr="00551013">
        <w:trPr>
          <w:trHeight w:val="172"/>
        </w:trPr>
        <w:tc>
          <w:tcPr>
            <w:tcW w:w="1060" w:type="dxa"/>
            <w:vMerge/>
          </w:tcPr>
          <w:p w14:paraId="727B9C6B"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val="restart"/>
            <w:vAlign w:val="center"/>
          </w:tcPr>
          <w:p w14:paraId="0B2CACAF" w14:textId="77777777" w:rsidR="00F00E3D" w:rsidRPr="00B1623C" w:rsidRDefault="00F00E3D" w:rsidP="00692D03">
            <w:pPr>
              <w:spacing w:after="0"/>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Employment &amp; Work</w:t>
            </w:r>
          </w:p>
        </w:tc>
        <w:tc>
          <w:tcPr>
            <w:tcW w:w="4077" w:type="dxa"/>
            <w:vAlign w:val="center"/>
          </w:tcPr>
          <w:p w14:paraId="4BE97A22"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color w:val="000000"/>
                <w:sz w:val="20"/>
                <w:szCs w:val="20"/>
                <w:lang w:eastAsia="en-GB"/>
              </w:rPr>
              <w:t>Familial Access to Employment</w:t>
            </w:r>
          </w:p>
        </w:tc>
        <w:tc>
          <w:tcPr>
            <w:tcW w:w="1057" w:type="dxa"/>
            <w:vAlign w:val="center"/>
          </w:tcPr>
          <w:p w14:paraId="56FF4BE8"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2</w:t>
            </w:r>
          </w:p>
        </w:tc>
        <w:tc>
          <w:tcPr>
            <w:tcW w:w="1061" w:type="dxa"/>
            <w:vMerge w:val="restart"/>
            <w:vAlign w:val="center"/>
          </w:tcPr>
          <w:p w14:paraId="1B0FF028"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5</w:t>
            </w:r>
          </w:p>
        </w:tc>
      </w:tr>
      <w:tr w:rsidR="00F00E3D" w:rsidRPr="00B1623C" w14:paraId="7787746A" w14:textId="77777777" w:rsidTr="00551013">
        <w:trPr>
          <w:trHeight w:val="172"/>
        </w:trPr>
        <w:tc>
          <w:tcPr>
            <w:tcW w:w="1060" w:type="dxa"/>
            <w:vMerge/>
          </w:tcPr>
          <w:p w14:paraId="4A871D71"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tcPr>
          <w:p w14:paraId="3C8158B5"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4077" w:type="dxa"/>
            <w:vAlign w:val="center"/>
          </w:tcPr>
          <w:p w14:paraId="4934FDBB"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color w:val="000000"/>
                <w:sz w:val="20"/>
                <w:szCs w:val="20"/>
                <w:lang w:eastAsia="en-GB"/>
              </w:rPr>
              <w:t xml:space="preserve">Familial Employment </w:t>
            </w:r>
          </w:p>
        </w:tc>
        <w:tc>
          <w:tcPr>
            <w:tcW w:w="1057" w:type="dxa"/>
            <w:vAlign w:val="center"/>
          </w:tcPr>
          <w:p w14:paraId="10F6D0F1"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2</w:t>
            </w:r>
          </w:p>
        </w:tc>
        <w:tc>
          <w:tcPr>
            <w:tcW w:w="1061" w:type="dxa"/>
            <w:vMerge/>
            <w:vAlign w:val="center"/>
          </w:tcPr>
          <w:p w14:paraId="67BA7781"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p>
        </w:tc>
      </w:tr>
      <w:tr w:rsidR="00F00E3D" w:rsidRPr="00B1623C" w14:paraId="7FAAC847" w14:textId="77777777" w:rsidTr="00551013">
        <w:trPr>
          <w:trHeight w:val="172"/>
        </w:trPr>
        <w:tc>
          <w:tcPr>
            <w:tcW w:w="1060" w:type="dxa"/>
            <w:vMerge/>
          </w:tcPr>
          <w:p w14:paraId="2289FD92"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tcPr>
          <w:p w14:paraId="22D195A5"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4077" w:type="dxa"/>
            <w:vAlign w:val="center"/>
          </w:tcPr>
          <w:p w14:paraId="5D6698FB"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color w:val="000000"/>
                <w:sz w:val="20"/>
                <w:szCs w:val="20"/>
                <w:lang w:eastAsia="en-GB"/>
              </w:rPr>
              <w:t>Skills</w:t>
            </w:r>
          </w:p>
        </w:tc>
        <w:tc>
          <w:tcPr>
            <w:tcW w:w="1057" w:type="dxa"/>
            <w:vAlign w:val="center"/>
          </w:tcPr>
          <w:p w14:paraId="4407BE4F"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1</w:t>
            </w:r>
          </w:p>
        </w:tc>
        <w:tc>
          <w:tcPr>
            <w:tcW w:w="1061" w:type="dxa"/>
            <w:vMerge/>
            <w:vAlign w:val="center"/>
          </w:tcPr>
          <w:p w14:paraId="781CB077"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p>
        </w:tc>
      </w:tr>
      <w:tr w:rsidR="00F00E3D" w:rsidRPr="00B1623C" w14:paraId="7EB1203A" w14:textId="77777777" w:rsidTr="00551013">
        <w:trPr>
          <w:trHeight w:val="172"/>
        </w:trPr>
        <w:tc>
          <w:tcPr>
            <w:tcW w:w="1060" w:type="dxa"/>
            <w:vMerge/>
          </w:tcPr>
          <w:p w14:paraId="55D24028"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val="restart"/>
            <w:vAlign w:val="center"/>
          </w:tcPr>
          <w:p w14:paraId="7DF41BD0" w14:textId="77777777" w:rsidR="00F00E3D" w:rsidRPr="00B1623C" w:rsidRDefault="00F00E3D" w:rsidP="00692D03">
            <w:pPr>
              <w:spacing w:after="0"/>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Housing</w:t>
            </w:r>
          </w:p>
        </w:tc>
        <w:tc>
          <w:tcPr>
            <w:tcW w:w="4077" w:type="dxa"/>
            <w:vAlign w:val="center"/>
          </w:tcPr>
          <w:p w14:paraId="18DC003D"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 xml:space="preserve">Housing </w:t>
            </w:r>
          </w:p>
        </w:tc>
        <w:tc>
          <w:tcPr>
            <w:tcW w:w="1057" w:type="dxa"/>
            <w:vAlign w:val="center"/>
          </w:tcPr>
          <w:p w14:paraId="4B01D96F"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3</w:t>
            </w:r>
          </w:p>
        </w:tc>
        <w:tc>
          <w:tcPr>
            <w:tcW w:w="1061" w:type="dxa"/>
            <w:vMerge w:val="restart"/>
            <w:vAlign w:val="center"/>
          </w:tcPr>
          <w:p w14:paraId="20FF56C9"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6</w:t>
            </w:r>
          </w:p>
        </w:tc>
      </w:tr>
      <w:tr w:rsidR="00F00E3D" w:rsidRPr="00B1623C" w14:paraId="28D1C55D" w14:textId="77777777" w:rsidTr="00551013">
        <w:trPr>
          <w:trHeight w:val="172"/>
        </w:trPr>
        <w:tc>
          <w:tcPr>
            <w:tcW w:w="1060" w:type="dxa"/>
            <w:vMerge/>
          </w:tcPr>
          <w:p w14:paraId="6C2E4EA6"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tcPr>
          <w:p w14:paraId="478C20A1"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4077" w:type="dxa"/>
            <w:vAlign w:val="center"/>
          </w:tcPr>
          <w:p w14:paraId="65CC90BC"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Housing (access to Affordable Housing)</w:t>
            </w:r>
          </w:p>
        </w:tc>
        <w:tc>
          <w:tcPr>
            <w:tcW w:w="1057" w:type="dxa"/>
            <w:vAlign w:val="center"/>
          </w:tcPr>
          <w:p w14:paraId="73D96ABD"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3</w:t>
            </w:r>
          </w:p>
        </w:tc>
        <w:tc>
          <w:tcPr>
            <w:tcW w:w="1061" w:type="dxa"/>
            <w:vMerge/>
            <w:vAlign w:val="center"/>
          </w:tcPr>
          <w:p w14:paraId="76E0CAD2"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p>
        </w:tc>
      </w:tr>
      <w:tr w:rsidR="00F00E3D" w:rsidRPr="00B1623C" w14:paraId="2E671F74" w14:textId="77777777" w:rsidTr="00551013">
        <w:trPr>
          <w:trHeight w:val="172"/>
        </w:trPr>
        <w:tc>
          <w:tcPr>
            <w:tcW w:w="1060" w:type="dxa"/>
            <w:vMerge/>
          </w:tcPr>
          <w:p w14:paraId="128D49FE"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val="restart"/>
            <w:vAlign w:val="center"/>
          </w:tcPr>
          <w:p w14:paraId="515C5A82" w14:textId="77777777" w:rsidR="00F00E3D"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 xml:space="preserve">Social </w:t>
            </w:r>
            <w:r>
              <w:rPr>
                <w:rFonts w:asciiTheme="majorHAnsi" w:eastAsia="Times New Roman" w:hAnsiTheme="majorHAnsi" w:cstheme="majorHAnsi"/>
                <w:color w:val="000000"/>
                <w:sz w:val="20"/>
                <w:szCs w:val="20"/>
                <w:lang w:eastAsia="en-GB"/>
              </w:rPr>
              <w:t>N</w:t>
            </w:r>
            <w:r w:rsidRPr="00B1623C">
              <w:rPr>
                <w:rFonts w:asciiTheme="majorHAnsi" w:eastAsia="Times New Roman" w:hAnsiTheme="majorHAnsi" w:cstheme="majorHAnsi"/>
                <w:color w:val="000000"/>
                <w:sz w:val="20"/>
                <w:szCs w:val="20"/>
                <w:lang w:eastAsia="en-GB"/>
              </w:rPr>
              <w:t>etworks,</w:t>
            </w:r>
          </w:p>
          <w:p w14:paraId="5F0900C5"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S</w:t>
            </w:r>
            <w:r w:rsidRPr="00B1623C">
              <w:rPr>
                <w:rFonts w:asciiTheme="majorHAnsi" w:eastAsia="Times New Roman" w:hAnsiTheme="majorHAnsi" w:cstheme="majorHAnsi"/>
                <w:color w:val="000000"/>
                <w:sz w:val="20"/>
                <w:szCs w:val="20"/>
                <w:lang w:eastAsia="en-GB"/>
              </w:rPr>
              <w:t>upport</w:t>
            </w:r>
            <w:r>
              <w:rPr>
                <w:rFonts w:asciiTheme="majorHAnsi" w:eastAsia="Times New Roman" w:hAnsiTheme="majorHAnsi" w:cstheme="majorHAnsi"/>
                <w:color w:val="000000"/>
                <w:sz w:val="20"/>
                <w:szCs w:val="20"/>
                <w:lang w:eastAsia="en-GB"/>
              </w:rPr>
              <w:t xml:space="preserve"> </w:t>
            </w:r>
            <w:r w:rsidRPr="00B1623C">
              <w:rPr>
                <w:rFonts w:asciiTheme="majorHAnsi" w:eastAsia="Times New Roman" w:hAnsiTheme="majorHAnsi" w:cstheme="majorHAnsi"/>
                <w:color w:val="000000"/>
                <w:sz w:val="20"/>
                <w:szCs w:val="20"/>
                <w:lang w:eastAsia="en-GB"/>
              </w:rPr>
              <w:t xml:space="preserve">&amp; </w:t>
            </w:r>
            <w:r>
              <w:rPr>
                <w:rFonts w:asciiTheme="majorHAnsi" w:eastAsia="Times New Roman" w:hAnsiTheme="majorHAnsi" w:cstheme="majorHAnsi"/>
                <w:color w:val="000000"/>
                <w:sz w:val="20"/>
                <w:szCs w:val="20"/>
                <w:lang w:eastAsia="en-GB"/>
              </w:rPr>
              <w:t>E</w:t>
            </w:r>
            <w:r w:rsidRPr="00B1623C">
              <w:rPr>
                <w:rFonts w:asciiTheme="majorHAnsi" w:eastAsia="Times New Roman" w:hAnsiTheme="majorHAnsi" w:cstheme="majorHAnsi"/>
                <w:color w:val="000000"/>
                <w:sz w:val="20"/>
                <w:szCs w:val="20"/>
                <w:lang w:eastAsia="en-GB"/>
              </w:rPr>
              <w:t>xclusion</w:t>
            </w:r>
          </w:p>
        </w:tc>
        <w:tc>
          <w:tcPr>
            <w:tcW w:w="4077" w:type="dxa"/>
            <w:vAlign w:val="center"/>
          </w:tcPr>
          <w:p w14:paraId="776F73B5"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Quality of Social &amp; Familial Networks</w:t>
            </w:r>
          </w:p>
        </w:tc>
        <w:tc>
          <w:tcPr>
            <w:tcW w:w="1057" w:type="dxa"/>
            <w:vAlign w:val="center"/>
          </w:tcPr>
          <w:p w14:paraId="09B6E769"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2</w:t>
            </w:r>
          </w:p>
        </w:tc>
        <w:tc>
          <w:tcPr>
            <w:tcW w:w="1061" w:type="dxa"/>
            <w:vMerge w:val="restart"/>
            <w:vAlign w:val="center"/>
          </w:tcPr>
          <w:p w14:paraId="48D855F9"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5</w:t>
            </w:r>
          </w:p>
        </w:tc>
      </w:tr>
      <w:tr w:rsidR="00F00E3D" w:rsidRPr="00B1623C" w14:paraId="305ACC38" w14:textId="77777777" w:rsidTr="00551013">
        <w:trPr>
          <w:trHeight w:val="172"/>
        </w:trPr>
        <w:tc>
          <w:tcPr>
            <w:tcW w:w="1060" w:type="dxa"/>
            <w:vMerge/>
          </w:tcPr>
          <w:p w14:paraId="452E717E"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tcPr>
          <w:p w14:paraId="21C4CC23"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4077" w:type="dxa"/>
            <w:vAlign w:val="center"/>
          </w:tcPr>
          <w:p w14:paraId="15D81AA2"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Social Capital</w:t>
            </w:r>
          </w:p>
        </w:tc>
        <w:tc>
          <w:tcPr>
            <w:tcW w:w="1057" w:type="dxa"/>
            <w:vAlign w:val="center"/>
          </w:tcPr>
          <w:p w14:paraId="1E826A02"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1</w:t>
            </w:r>
          </w:p>
        </w:tc>
        <w:tc>
          <w:tcPr>
            <w:tcW w:w="1061" w:type="dxa"/>
            <w:vMerge/>
            <w:vAlign w:val="center"/>
          </w:tcPr>
          <w:p w14:paraId="0C298833"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p>
        </w:tc>
      </w:tr>
      <w:tr w:rsidR="00F00E3D" w:rsidRPr="00B1623C" w14:paraId="0B6BF199" w14:textId="77777777" w:rsidTr="00551013">
        <w:trPr>
          <w:trHeight w:val="172"/>
        </w:trPr>
        <w:tc>
          <w:tcPr>
            <w:tcW w:w="1060" w:type="dxa"/>
            <w:vMerge/>
          </w:tcPr>
          <w:p w14:paraId="265942F5"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tcPr>
          <w:p w14:paraId="496A76D6"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4077" w:type="dxa"/>
            <w:vAlign w:val="center"/>
          </w:tcPr>
          <w:p w14:paraId="145DD4AC"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Social Diversity</w:t>
            </w:r>
          </w:p>
        </w:tc>
        <w:tc>
          <w:tcPr>
            <w:tcW w:w="1057" w:type="dxa"/>
            <w:vAlign w:val="center"/>
          </w:tcPr>
          <w:p w14:paraId="6EB497A8"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1</w:t>
            </w:r>
          </w:p>
        </w:tc>
        <w:tc>
          <w:tcPr>
            <w:tcW w:w="1061" w:type="dxa"/>
            <w:vMerge/>
            <w:vAlign w:val="center"/>
          </w:tcPr>
          <w:p w14:paraId="212B0BAF"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p>
        </w:tc>
      </w:tr>
      <w:tr w:rsidR="00F00E3D" w:rsidRPr="00B1623C" w14:paraId="0BEB10D2" w14:textId="77777777" w:rsidTr="00551013">
        <w:trPr>
          <w:trHeight w:val="172"/>
        </w:trPr>
        <w:tc>
          <w:tcPr>
            <w:tcW w:w="1060" w:type="dxa"/>
            <w:vMerge/>
          </w:tcPr>
          <w:p w14:paraId="472036D3"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tcPr>
          <w:p w14:paraId="39E417FE"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4077" w:type="dxa"/>
            <w:vAlign w:val="center"/>
          </w:tcPr>
          <w:p w14:paraId="7E792EDB"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Social Engagement</w:t>
            </w:r>
          </w:p>
        </w:tc>
        <w:tc>
          <w:tcPr>
            <w:tcW w:w="1057" w:type="dxa"/>
            <w:vAlign w:val="center"/>
          </w:tcPr>
          <w:p w14:paraId="0A07819F"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1</w:t>
            </w:r>
          </w:p>
        </w:tc>
        <w:tc>
          <w:tcPr>
            <w:tcW w:w="1061" w:type="dxa"/>
            <w:vMerge/>
            <w:vAlign w:val="center"/>
          </w:tcPr>
          <w:p w14:paraId="5D046031"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p>
        </w:tc>
      </w:tr>
      <w:tr w:rsidR="00F00E3D" w:rsidRPr="00B1623C" w14:paraId="646CBF8F" w14:textId="77777777" w:rsidTr="00551013">
        <w:trPr>
          <w:trHeight w:val="172"/>
        </w:trPr>
        <w:tc>
          <w:tcPr>
            <w:tcW w:w="1060" w:type="dxa"/>
            <w:vMerge/>
          </w:tcPr>
          <w:p w14:paraId="53F0F3AC"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val="restart"/>
            <w:vAlign w:val="center"/>
          </w:tcPr>
          <w:p w14:paraId="5DC0EDD7" w14:textId="77777777" w:rsidR="00F00E3D" w:rsidRPr="00B1623C" w:rsidRDefault="00F00E3D" w:rsidP="00692D03">
            <w:pPr>
              <w:spacing w:after="0"/>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 xml:space="preserve">Socioeconomic </w:t>
            </w:r>
            <w:r>
              <w:rPr>
                <w:rFonts w:asciiTheme="majorHAnsi" w:eastAsia="Times New Roman" w:hAnsiTheme="majorHAnsi" w:cstheme="majorHAnsi"/>
                <w:color w:val="000000"/>
                <w:sz w:val="20"/>
                <w:szCs w:val="20"/>
                <w:lang w:eastAsia="en-GB"/>
              </w:rPr>
              <w:t>P</w:t>
            </w:r>
            <w:r w:rsidRPr="00B1623C">
              <w:rPr>
                <w:rFonts w:asciiTheme="majorHAnsi" w:eastAsia="Times New Roman" w:hAnsiTheme="majorHAnsi" w:cstheme="majorHAnsi"/>
                <w:color w:val="000000"/>
                <w:sz w:val="20"/>
                <w:szCs w:val="20"/>
                <w:lang w:eastAsia="en-GB"/>
              </w:rPr>
              <w:t>osition</w:t>
            </w:r>
          </w:p>
        </w:tc>
        <w:tc>
          <w:tcPr>
            <w:tcW w:w="4077" w:type="dxa"/>
            <w:vAlign w:val="center"/>
          </w:tcPr>
          <w:p w14:paraId="4D714193"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Familial Education Level</w:t>
            </w:r>
          </w:p>
        </w:tc>
        <w:tc>
          <w:tcPr>
            <w:tcW w:w="1057" w:type="dxa"/>
            <w:vAlign w:val="center"/>
          </w:tcPr>
          <w:p w14:paraId="0CED7088"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5</w:t>
            </w:r>
          </w:p>
        </w:tc>
        <w:tc>
          <w:tcPr>
            <w:tcW w:w="1061" w:type="dxa"/>
            <w:vMerge w:val="restart"/>
            <w:vAlign w:val="center"/>
          </w:tcPr>
          <w:p w14:paraId="0C02D9DE"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11</w:t>
            </w:r>
          </w:p>
        </w:tc>
      </w:tr>
      <w:tr w:rsidR="00F00E3D" w:rsidRPr="00B1623C" w14:paraId="6D113469" w14:textId="77777777" w:rsidTr="00551013">
        <w:trPr>
          <w:trHeight w:val="172"/>
        </w:trPr>
        <w:tc>
          <w:tcPr>
            <w:tcW w:w="1060" w:type="dxa"/>
            <w:vMerge/>
          </w:tcPr>
          <w:p w14:paraId="3AFDCDB5"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tcPr>
          <w:p w14:paraId="35C95CCA"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4077" w:type="dxa"/>
            <w:vAlign w:val="center"/>
          </w:tcPr>
          <w:p w14:paraId="08F98887"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Educational Opportunity</w:t>
            </w:r>
          </w:p>
        </w:tc>
        <w:tc>
          <w:tcPr>
            <w:tcW w:w="1057" w:type="dxa"/>
            <w:vAlign w:val="center"/>
          </w:tcPr>
          <w:p w14:paraId="67F76008"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1</w:t>
            </w:r>
          </w:p>
        </w:tc>
        <w:tc>
          <w:tcPr>
            <w:tcW w:w="1061" w:type="dxa"/>
            <w:vMerge/>
            <w:vAlign w:val="center"/>
          </w:tcPr>
          <w:p w14:paraId="182C0D91"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p>
        </w:tc>
      </w:tr>
      <w:tr w:rsidR="00F00E3D" w:rsidRPr="00B1623C" w14:paraId="4D8C3DC3" w14:textId="77777777" w:rsidTr="00551013">
        <w:trPr>
          <w:trHeight w:val="172"/>
        </w:trPr>
        <w:tc>
          <w:tcPr>
            <w:tcW w:w="1060" w:type="dxa"/>
            <w:vMerge/>
          </w:tcPr>
          <w:p w14:paraId="48149DF3"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tcPr>
          <w:p w14:paraId="59FC4C37"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4077" w:type="dxa"/>
            <w:vAlign w:val="center"/>
          </w:tcPr>
          <w:p w14:paraId="3F04CB1F"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Familial Income (including Poverty)</w:t>
            </w:r>
          </w:p>
        </w:tc>
        <w:tc>
          <w:tcPr>
            <w:tcW w:w="1057" w:type="dxa"/>
            <w:vAlign w:val="center"/>
          </w:tcPr>
          <w:p w14:paraId="35F148BE"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3</w:t>
            </w:r>
          </w:p>
        </w:tc>
        <w:tc>
          <w:tcPr>
            <w:tcW w:w="1061" w:type="dxa"/>
            <w:vMerge/>
            <w:vAlign w:val="center"/>
          </w:tcPr>
          <w:p w14:paraId="04806AC2"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p>
        </w:tc>
      </w:tr>
      <w:tr w:rsidR="00F00E3D" w:rsidRPr="00B1623C" w14:paraId="27BD19F1" w14:textId="77777777" w:rsidTr="00551013">
        <w:trPr>
          <w:trHeight w:val="172"/>
        </w:trPr>
        <w:tc>
          <w:tcPr>
            <w:tcW w:w="1060" w:type="dxa"/>
            <w:vMerge/>
          </w:tcPr>
          <w:p w14:paraId="182A3EE7"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tcPr>
          <w:p w14:paraId="27BBEE53"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4077" w:type="dxa"/>
            <w:vAlign w:val="center"/>
          </w:tcPr>
          <w:p w14:paraId="6FB2A7C9"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Intergenerational Transmission of Disadvantage</w:t>
            </w:r>
          </w:p>
        </w:tc>
        <w:tc>
          <w:tcPr>
            <w:tcW w:w="1057" w:type="dxa"/>
            <w:vAlign w:val="center"/>
          </w:tcPr>
          <w:p w14:paraId="33DBCEB8"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2</w:t>
            </w:r>
          </w:p>
        </w:tc>
        <w:tc>
          <w:tcPr>
            <w:tcW w:w="1061" w:type="dxa"/>
            <w:vMerge/>
            <w:vAlign w:val="center"/>
          </w:tcPr>
          <w:p w14:paraId="129636B3"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p>
        </w:tc>
      </w:tr>
      <w:tr w:rsidR="00F00E3D" w:rsidRPr="00B1623C" w14:paraId="338B9324" w14:textId="77777777" w:rsidTr="00551013">
        <w:trPr>
          <w:trHeight w:val="172"/>
        </w:trPr>
        <w:tc>
          <w:tcPr>
            <w:tcW w:w="1060" w:type="dxa"/>
            <w:vMerge/>
          </w:tcPr>
          <w:p w14:paraId="1C98ECC6"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vMerge/>
          </w:tcPr>
          <w:p w14:paraId="31C02094"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4077" w:type="dxa"/>
            <w:vAlign w:val="center"/>
          </w:tcPr>
          <w:p w14:paraId="32AE8D88"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Residential Mobility</w:t>
            </w:r>
          </w:p>
        </w:tc>
        <w:tc>
          <w:tcPr>
            <w:tcW w:w="1057" w:type="dxa"/>
            <w:vAlign w:val="center"/>
          </w:tcPr>
          <w:p w14:paraId="6D7863FC"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1</w:t>
            </w:r>
          </w:p>
        </w:tc>
        <w:tc>
          <w:tcPr>
            <w:tcW w:w="1061" w:type="dxa"/>
            <w:vMerge/>
            <w:vAlign w:val="center"/>
          </w:tcPr>
          <w:p w14:paraId="3EA0A29F"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p>
        </w:tc>
      </w:tr>
      <w:tr w:rsidR="00F00E3D" w:rsidRPr="00B1623C" w14:paraId="481DFE12" w14:textId="77777777" w:rsidTr="00551013">
        <w:trPr>
          <w:trHeight w:val="276"/>
        </w:trPr>
        <w:tc>
          <w:tcPr>
            <w:tcW w:w="1060" w:type="dxa"/>
            <w:vMerge w:val="restart"/>
            <w:textDirection w:val="tbRl"/>
            <w:vAlign w:val="center"/>
          </w:tcPr>
          <w:p w14:paraId="0C989CB4" w14:textId="46169709" w:rsidR="00F00E3D" w:rsidRPr="00B1623C" w:rsidRDefault="00F00E3D" w:rsidP="00692D03">
            <w:pPr>
              <w:tabs>
                <w:tab w:val="left" w:pos="1273"/>
              </w:tabs>
              <w:spacing w:after="0"/>
              <w:contextualSpacing/>
              <w:jc w:val="center"/>
              <w:rPr>
                <w:rFonts w:asciiTheme="majorHAnsi" w:eastAsia="Times New Roman" w:hAnsiTheme="majorHAnsi" w:cstheme="majorHAnsi"/>
                <w:color w:val="000000"/>
                <w:sz w:val="20"/>
                <w:szCs w:val="20"/>
                <w:lang w:eastAsia="en-GB"/>
              </w:rPr>
            </w:pPr>
            <w:r w:rsidRPr="00053FF2">
              <w:rPr>
                <w:rFonts w:eastAsia="Times New Roman" w:cstheme="majorHAnsi"/>
                <w:b/>
                <w:bCs/>
                <w:color w:val="000000"/>
                <w:sz w:val="20"/>
                <w:szCs w:val="20"/>
                <w:lang w:eastAsia="en-GB"/>
              </w:rPr>
              <w:t>Urban Environ</w:t>
            </w:r>
            <w:r w:rsidR="008F7049">
              <w:rPr>
                <w:rFonts w:eastAsia="Times New Roman" w:cstheme="majorHAnsi"/>
                <w:b/>
                <w:bCs/>
                <w:color w:val="000000"/>
                <w:sz w:val="20"/>
                <w:szCs w:val="20"/>
                <w:lang w:eastAsia="en-GB"/>
              </w:rPr>
              <w:t>-</w:t>
            </w:r>
            <w:proofErr w:type="spellStart"/>
            <w:r w:rsidRPr="00053FF2">
              <w:rPr>
                <w:rFonts w:eastAsia="Times New Roman" w:cstheme="majorHAnsi"/>
                <w:b/>
                <w:bCs/>
                <w:color w:val="000000"/>
                <w:sz w:val="20"/>
                <w:szCs w:val="20"/>
                <w:lang w:eastAsia="en-GB"/>
              </w:rPr>
              <w:t>ment</w:t>
            </w:r>
            <w:proofErr w:type="spellEnd"/>
          </w:p>
        </w:tc>
        <w:tc>
          <w:tcPr>
            <w:tcW w:w="2298" w:type="dxa"/>
            <w:vAlign w:val="center"/>
          </w:tcPr>
          <w:p w14:paraId="55C069F3" w14:textId="77777777" w:rsidR="00F00E3D" w:rsidRPr="00B1623C" w:rsidRDefault="00F00E3D" w:rsidP="00692D03">
            <w:pPr>
              <w:spacing w:after="0"/>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Neighbourhood Accessibility</w:t>
            </w:r>
          </w:p>
        </w:tc>
        <w:tc>
          <w:tcPr>
            <w:tcW w:w="4077" w:type="dxa"/>
            <w:vAlign w:val="center"/>
          </w:tcPr>
          <w:p w14:paraId="51AD70D5"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Access to Facilities/Amenities</w:t>
            </w:r>
          </w:p>
        </w:tc>
        <w:tc>
          <w:tcPr>
            <w:tcW w:w="1057" w:type="dxa"/>
            <w:vAlign w:val="center"/>
          </w:tcPr>
          <w:p w14:paraId="05CE8841" w14:textId="77777777" w:rsidR="00F00E3D" w:rsidRPr="00B1623C" w:rsidRDefault="00F00E3D" w:rsidP="00692D03">
            <w:pPr>
              <w:tabs>
                <w:tab w:val="left" w:pos="753"/>
              </w:tabs>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sz w:val="20"/>
                <w:szCs w:val="20"/>
                <w:lang w:eastAsia="en-GB"/>
              </w:rPr>
              <w:t>2</w:t>
            </w:r>
          </w:p>
        </w:tc>
        <w:tc>
          <w:tcPr>
            <w:tcW w:w="1061" w:type="dxa"/>
            <w:vAlign w:val="center"/>
          </w:tcPr>
          <w:p w14:paraId="5F4DD62A"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2</w:t>
            </w:r>
          </w:p>
        </w:tc>
      </w:tr>
      <w:tr w:rsidR="00F00E3D" w:rsidRPr="00B1623C" w14:paraId="1903B1C7" w14:textId="77777777" w:rsidTr="00551013">
        <w:trPr>
          <w:trHeight w:val="497"/>
        </w:trPr>
        <w:tc>
          <w:tcPr>
            <w:tcW w:w="1060" w:type="dxa"/>
            <w:vMerge/>
          </w:tcPr>
          <w:p w14:paraId="41A8D932"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p>
        </w:tc>
        <w:tc>
          <w:tcPr>
            <w:tcW w:w="2298" w:type="dxa"/>
          </w:tcPr>
          <w:p w14:paraId="05A13925" w14:textId="77777777" w:rsidR="00F00E3D" w:rsidRDefault="00F00E3D" w:rsidP="00692D03">
            <w:pPr>
              <w:spacing w:after="0"/>
              <w:rPr>
                <w:rFonts w:asciiTheme="majorHAnsi" w:eastAsia="Times New Roman" w:hAnsiTheme="majorHAnsi" w:cstheme="majorHAnsi"/>
                <w:color w:val="000000"/>
                <w:sz w:val="20"/>
                <w:szCs w:val="20"/>
                <w:lang w:eastAsia="en-GB"/>
              </w:rPr>
            </w:pPr>
          </w:p>
          <w:p w14:paraId="1519FC16" w14:textId="77777777" w:rsidR="00F00E3D" w:rsidRPr="00B1623C" w:rsidRDefault="00F00E3D" w:rsidP="00692D03">
            <w:pPr>
              <w:spacing w:after="0"/>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Physical Environment</w:t>
            </w:r>
          </w:p>
        </w:tc>
        <w:tc>
          <w:tcPr>
            <w:tcW w:w="4077" w:type="dxa"/>
            <w:vAlign w:val="center"/>
          </w:tcPr>
          <w:p w14:paraId="20E8A1F3" w14:textId="77777777" w:rsidR="00F00E3D" w:rsidRPr="00B1623C" w:rsidRDefault="00F00E3D" w:rsidP="00692D03">
            <w:pPr>
              <w:spacing w:after="0"/>
              <w:contextualSpacing/>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Physical Environment</w:t>
            </w:r>
          </w:p>
        </w:tc>
        <w:tc>
          <w:tcPr>
            <w:tcW w:w="1057" w:type="dxa"/>
            <w:vAlign w:val="center"/>
          </w:tcPr>
          <w:p w14:paraId="1799A578" w14:textId="77777777" w:rsidR="00F00E3D" w:rsidRPr="00B1623C" w:rsidRDefault="00F00E3D" w:rsidP="00692D03">
            <w:pPr>
              <w:spacing w:after="0"/>
              <w:contextualSpacing/>
              <w:rPr>
                <w:rFonts w:asciiTheme="majorHAnsi" w:eastAsia="Times New Roman" w:hAnsiTheme="majorHAnsi" w:cstheme="majorHAnsi"/>
                <w:sz w:val="20"/>
                <w:szCs w:val="20"/>
                <w:lang w:eastAsia="en-GB"/>
              </w:rPr>
            </w:pPr>
            <w:r w:rsidRPr="00B1623C">
              <w:rPr>
                <w:rFonts w:asciiTheme="majorHAnsi" w:eastAsia="Times New Roman" w:hAnsiTheme="majorHAnsi" w:cstheme="majorHAnsi"/>
                <w:sz w:val="20"/>
                <w:szCs w:val="20"/>
                <w:lang w:eastAsia="en-GB"/>
              </w:rPr>
              <w:t>3</w:t>
            </w:r>
          </w:p>
        </w:tc>
        <w:tc>
          <w:tcPr>
            <w:tcW w:w="1061" w:type="dxa"/>
            <w:vAlign w:val="center"/>
          </w:tcPr>
          <w:p w14:paraId="7C6DBD4A" w14:textId="77777777" w:rsidR="00F00E3D" w:rsidRPr="00B1623C" w:rsidRDefault="00F00E3D" w:rsidP="00692D03">
            <w:pPr>
              <w:spacing w:after="0"/>
              <w:contextualSpacing/>
              <w:jc w:val="center"/>
              <w:rPr>
                <w:rFonts w:asciiTheme="majorHAnsi" w:eastAsia="Times New Roman" w:hAnsiTheme="majorHAnsi" w:cstheme="majorHAnsi"/>
                <w:color w:val="000000"/>
                <w:sz w:val="20"/>
                <w:szCs w:val="20"/>
                <w:lang w:eastAsia="en-GB"/>
              </w:rPr>
            </w:pPr>
            <w:r w:rsidRPr="00B1623C">
              <w:rPr>
                <w:rFonts w:asciiTheme="majorHAnsi" w:eastAsia="Times New Roman" w:hAnsiTheme="majorHAnsi" w:cstheme="majorHAnsi"/>
                <w:color w:val="000000"/>
                <w:sz w:val="20"/>
                <w:szCs w:val="20"/>
                <w:lang w:eastAsia="en-GB"/>
              </w:rPr>
              <w:t>3</w:t>
            </w:r>
          </w:p>
        </w:tc>
      </w:tr>
    </w:tbl>
    <w:p w14:paraId="5E044D28" w14:textId="484137A5" w:rsidR="00692D03" w:rsidRPr="0057769D" w:rsidRDefault="00F00E3D">
      <w:pPr>
        <w:spacing w:after="0" w:line="240" w:lineRule="auto"/>
        <w:rPr>
          <w:rFonts w:eastAsia="Times New Roman" w:cstheme="majorHAnsi"/>
          <w:b/>
          <w:bCs/>
          <w:sz w:val="21"/>
          <w:szCs w:val="21"/>
          <w:lang w:eastAsia="en-GB"/>
        </w:rPr>
      </w:pPr>
      <w:bookmarkStart w:id="36" w:name="OLE_LINKTable112"/>
      <w:r w:rsidRPr="0057769D">
        <w:rPr>
          <w:rFonts w:eastAsia="Times New Roman" w:cstheme="majorHAnsi"/>
          <w:b/>
          <w:bCs/>
          <w:sz w:val="21"/>
          <w:szCs w:val="21"/>
          <w:lang w:eastAsia="en-GB"/>
        </w:rPr>
        <w:t xml:space="preserve">Table </w:t>
      </w:r>
      <w:r w:rsidR="008F7049" w:rsidRPr="0057769D">
        <w:rPr>
          <w:rFonts w:eastAsia="Times New Roman" w:cstheme="majorHAnsi"/>
          <w:b/>
          <w:bCs/>
          <w:sz w:val="21"/>
          <w:szCs w:val="21"/>
          <w:lang w:eastAsia="en-GB"/>
        </w:rPr>
        <w:t>3.6</w:t>
      </w:r>
      <w:r w:rsidRPr="0057769D">
        <w:rPr>
          <w:rFonts w:eastAsia="Times New Roman" w:cstheme="majorHAnsi"/>
          <w:b/>
          <w:bCs/>
          <w:sz w:val="21"/>
          <w:szCs w:val="21"/>
          <w:lang w:eastAsia="en-GB"/>
        </w:rPr>
        <w:t xml:space="preserve">: </w:t>
      </w:r>
      <w:r w:rsidR="008F7049" w:rsidRPr="0057769D">
        <w:rPr>
          <w:rFonts w:eastAsia="Times New Roman" w:cstheme="majorHAnsi"/>
          <w:b/>
          <w:bCs/>
          <w:sz w:val="21"/>
          <w:szCs w:val="21"/>
          <w:lang w:eastAsia="en-GB"/>
        </w:rPr>
        <w:t xml:space="preserve">Education: </w:t>
      </w:r>
      <w:r w:rsidRPr="0057769D">
        <w:rPr>
          <w:rFonts w:eastAsia="Times New Roman" w:cstheme="majorHAnsi"/>
          <w:b/>
          <w:bCs/>
          <w:sz w:val="21"/>
          <w:szCs w:val="21"/>
          <w:lang w:eastAsia="en-GB"/>
        </w:rPr>
        <w:t xml:space="preserve">Social, </w:t>
      </w:r>
      <w:r w:rsidR="008F7049" w:rsidRPr="0057769D">
        <w:rPr>
          <w:rFonts w:eastAsia="Times New Roman" w:cstheme="majorHAnsi"/>
          <w:b/>
          <w:bCs/>
          <w:sz w:val="21"/>
          <w:szCs w:val="21"/>
          <w:lang w:eastAsia="en-GB"/>
        </w:rPr>
        <w:t>Economic, Health, and Urban Environment Determinants</w:t>
      </w:r>
      <w:bookmarkEnd w:id="34"/>
      <w:bookmarkEnd w:id="35"/>
      <w:r w:rsidR="00692D03" w:rsidRPr="0057769D">
        <w:rPr>
          <w:rFonts w:eastAsia="Times New Roman" w:cstheme="majorHAnsi"/>
          <w:b/>
          <w:bCs/>
          <w:sz w:val="21"/>
          <w:szCs w:val="21"/>
          <w:lang w:eastAsia="en-GB"/>
        </w:rPr>
        <w:br w:type="page"/>
      </w:r>
    </w:p>
    <w:bookmarkEnd w:id="36"/>
    <w:p w14:paraId="2583554E" w14:textId="77777777" w:rsidR="00F00E3D" w:rsidRPr="00376FC3" w:rsidRDefault="00F00E3D" w:rsidP="009B2FA7">
      <w:pPr>
        <w:spacing w:after="0" w:line="240" w:lineRule="auto"/>
        <w:rPr>
          <w:rFonts w:eastAsia="Times New Roman" w:cstheme="majorHAnsi"/>
          <w:b/>
          <w:bCs/>
          <w:sz w:val="20"/>
          <w:szCs w:val="20"/>
          <w:lang w:eastAsia="en-GB"/>
        </w:rPr>
      </w:pPr>
      <w:r w:rsidRPr="00A70064">
        <w:rPr>
          <w:rFonts w:eastAsia="Times New Roman" w:cstheme="majorHAnsi"/>
          <w:b/>
          <w:bCs/>
          <w:sz w:val="25"/>
          <w:szCs w:val="25"/>
          <w:lang w:eastAsia="en-GB"/>
        </w:rPr>
        <w:lastRenderedPageBreak/>
        <w:t>Housing</w:t>
      </w:r>
      <w:r>
        <w:rPr>
          <w:rFonts w:eastAsia="Times New Roman" w:cstheme="majorHAnsi"/>
          <w:b/>
          <w:bCs/>
          <w:sz w:val="25"/>
          <w:szCs w:val="25"/>
          <w:lang w:eastAsia="en-GB"/>
        </w:rPr>
        <w:t>:</w:t>
      </w:r>
      <w:r w:rsidRPr="00A70064">
        <w:rPr>
          <w:rFonts w:eastAsia="Times New Roman" w:cstheme="majorHAnsi"/>
          <w:b/>
          <w:bCs/>
          <w:sz w:val="25"/>
          <w:szCs w:val="25"/>
          <w:lang w:eastAsia="en-GB"/>
        </w:rPr>
        <w:t xml:space="preserve"> Determinants and Factors</w:t>
      </w:r>
    </w:p>
    <w:p w14:paraId="3A6C4B2E" w14:textId="77777777" w:rsidR="00F00E3D" w:rsidRPr="008D5602" w:rsidRDefault="00F00E3D" w:rsidP="009B2FA7">
      <w:pPr>
        <w:spacing w:after="0" w:line="276" w:lineRule="auto"/>
        <w:rPr>
          <w:rFonts w:asciiTheme="majorHAnsi" w:eastAsia="Times New Roman" w:hAnsiTheme="majorHAnsi" w:cstheme="majorHAnsi"/>
          <w:sz w:val="10"/>
          <w:szCs w:val="10"/>
          <w:lang w:eastAsia="en-GB"/>
        </w:rPr>
      </w:pPr>
    </w:p>
    <w:p w14:paraId="678D063D" w14:textId="25C14427" w:rsidR="00F00E3D" w:rsidRPr="00BC19B6" w:rsidRDefault="00F00E3D" w:rsidP="009B2FA7">
      <w:pPr>
        <w:spacing w:after="0" w:line="276" w:lineRule="auto"/>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 xml:space="preserve">There is a strong relationship between housing and disadvantage, </w:t>
      </w:r>
      <w:r>
        <w:rPr>
          <w:rFonts w:asciiTheme="majorHAnsi" w:eastAsia="Times New Roman" w:hAnsiTheme="majorHAnsi" w:cstheme="majorHAnsi"/>
          <w:sz w:val="23"/>
          <w:szCs w:val="23"/>
          <w:lang w:eastAsia="en-GB"/>
        </w:rPr>
        <w:t xml:space="preserve">largely </w:t>
      </w:r>
      <w:r w:rsidRPr="00BC19B6">
        <w:rPr>
          <w:rFonts w:asciiTheme="majorHAnsi" w:eastAsia="Times New Roman" w:hAnsiTheme="majorHAnsi" w:cstheme="majorHAnsi"/>
          <w:sz w:val="23"/>
          <w:szCs w:val="23"/>
          <w:lang w:eastAsia="en-GB"/>
        </w:rPr>
        <w:t xml:space="preserve">because housing is the largest fixed cost of most low-income households </w:t>
      </w:r>
      <w:r>
        <w:rPr>
          <w:rFonts w:asciiTheme="majorHAnsi" w:eastAsia="Times New Roman" w:hAnsiTheme="majorHAnsi" w:cstheme="majorHAnsi"/>
          <w:noProof/>
          <w:sz w:val="23"/>
          <w:szCs w:val="23"/>
          <w:lang w:eastAsia="en-GB"/>
        </w:rPr>
        <w:t>(Davidson</w:t>
      </w:r>
      <w:r w:rsidR="00906BD0">
        <w:rPr>
          <w:rFonts w:asciiTheme="majorHAnsi" w:eastAsia="Times New Roman" w:hAnsiTheme="majorHAnsi" w:cstheme="majorHAnsi"/>
          <w:noProof/>
          <w:sz w:val="23"/>
          <w:szCs w:val="23"/>
          <w:lang w:eastAsia="en-GB"/>
        </w:rPr>
        <w:t xml:space="preserve"> et al., </w:t>
      </w:r>
      <w:r>
        <w:rPr>
          <w:rFonts w:asciiTheme="majorHAnsi" w:eastAsia="Times New Roman" w:hAnsiTheme="majorHAnsi" w:cstheme="majorHAnsi"/>
          <w:noProof/>
          <w:sz w:val="23"/>
          <w:szCs w:val="23"/>
          <w:lang w:eastAsia="en-GB"/>
        </w:rPr>
        <w:t>2020b)</w:t>
      </w:r>
      <w:r>
        <w:rPr>
          <w:rFonts w:asciiTheme="majorHAnsi" w:eastAsia="Times New Roman" w:hAnsiTheme="majorHAnsi" w:cstheme="majorHAnsi"/>
          <w:sz w:val="23"/>
          <w:szCs w:val="23"/>
          <w:lang w:eastAsia="en-GB"/>
        </w:rPr>
        <w:t>. But</w:t>
      </w:r>
      <w:r w:rsidRPr="00BC19B6">
        <w:rPr>
          <w:rFonts w:asciiTheme="majorHAnsi" w:eastAsia="Times New Roman" w:hAnsiTheme="majorHAnsi" w:cstheme="majorHAnsi"/>
          <w:sz w:val="23"/>
          <w:szCs w:val="23"/>
          <w:lang w:eastAsia="en-GB"/>
        </w:rPr>
        <w:t xml:space="preserve"> the nature of that relationship is complex. In Australia, as in many Western nations, “access to safe, affordable and suitable housing is essential to the wellbeing of people and families and can help enhance equal opportunity and protect from homelessness risk” </w:t>
      </w:r>
      <w:r>
        <w:rPr>
          <w:rFonts w:asciiTheme="majorHAnsi" w:eastAsia="Times New Roman" w:hAnsiTheme="majorHAnsi" w:cstheme="majorHAnsi"/>
          <w:noProof/>
          <w:sz w:val="23"/>
          <w:szCs w:val="23"/>
          <w:lang w:eastAsia="en-GB"/>
        </w:rPr>
        <w:t>(Health &amp; Welfare, 2019, p. 50)</w:t>
      </w:r>
      <w:r w:rsidRPr="00BC19B6">
        <w:rPr>
          <w:rFonts w:asciiTheme="majorHAnsi" w:eastAsia="Times New Roman" w:hAnsiTheme="majorHAnsi" w:cstheme="majorHAnsi"/>
          <w:sz w:val="23"/>
          <w:szCs w:val="23"/>
          <w:lang w:eastAsia="en-GB"/>
        </w:rPr>
        <w:t xml:space="preserve">. </w:t>
      </w:r>
      <w:r w:rsidR="00906BD0">
        <w:rPr>
          <w:rFonts w:asciiTheme="majorHAnsi" w:eastAsia="Times New Roman" w:hAnsiTheme="majorHAnsi" w:cstheme="majorHAnsi"/>
          <w:sz w:val="23"/>
          <w:szCs w:val="23"/>
          <w:lang w:eastAsia="en-GB"/>
        </w:rPr>
        <w:t>Because</w:t>
      </w:r>
      <w:r w:rsidRPr="00BC19B6">
        <w:rPr>
          <w:rFonts w:asciiTheme="majorHAnsi" w:eastAsia="Times New Roman" w:hAnsiTheme="majorHAnsi" w:cstheme="majorHAnsi"/>
          <w:sz w:val="23"/>
          <w:szCs w:val="23"/>
          <w:lang w:eastAsia="en-GB"/>
        </w:rPr>
        <w:t xml:space="preserve"> access to good-quality, affordable housing is </w:t>
      </w:r>
      <w:r>
        <w:rPr>
          <w:rFonts w:asciiTheme="majorHAnsi" w:eastAsia="Times New Roman" w:hAnsiTheme="majorHAnsi" w:cstheme="majorHAnsi"/>
          <w:sz w:val="23"/>
          <w:szCs w:val="23"/>
          <w:lang w:eastAsia="en-GB"/>
        </w:rPr>
        <w:t xml:space="preserve">so </w:t>
      </w:r>
      <w:r w:rsidRPr="00BC19B6">
        <w:rPr>
          <w:rFonts w:asciiTheme="majorHAnsi" w:eastAsia="Times New Roman" w:hAnsiTheme="majorHAnsi" w:cstheme="majorHAnsi"/>
          <w:sz w:val="23"/>
          <w:szCs w:val="23"/>
          <w:lang w:eastAsia="en-GB"/>
        </w:rPr>
        <w:t>fundamental to wellbeing, housing has impacts on</w:t>
      </w:r>
      <w:r w:rsidR="00906BD0">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and is impacted by</w:t>
      </w:r>
      <w:r w:rsidR="00906BD0">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many other aspects of wellbeing, including </w:t>
      </w:r>
      <w:r w:rsidR="00906BD0">
        <w:rPr>
          <w:rFonts w:asciiTheme="majorHAnsi" w:eastAsia="Times New Roman" w:hAnsiTheme="majorHAnsi" w:cstheme="majorHAnsi"/>
          <w:sz w:val="23"/>
          <w:szCs w:val="23"/>
          <w:lang w:eastAsia="en-GB"/>
        </w:rPr>
        <w:t xml:space="preserve">health, </w:t>
      </w:r>
      <w:r w:rsidRPr="00BC19B6">
        <w:rPr>
          <w:rFonts w:asciiTheme="majorHAnsi" w:eastAsia="Times New Roman" w:hAnsiTheme="majorHAnsi" w:cstheme="majorHAnsi"/>
          <w:sz w:val="23"/>
          <w:szCs w:val="23"/>
          <w:lang w:eastAsia="en-GB"/>
        </w:rPr>
        <w:t xml:space="preserve">educations and skills, employment and work, income, social support, and justice and safety. </w:t>
      </w:r>
    </w:p>
    <w:p w14:paraId="28354CE5" w14:textId="77777777" w:rsidR="00F00E3D" w:rsidRPr="00871D47" w:rsidRDefault="00F00E3D" w:rsidP="009B2FA7">
      <w:pPr>
        <w:spacing w:after="0" w:line="276" w:lineRule="auto"/>
        <w:rPr>
          <w:rFonts w:asciiTheme="majorHAnsi" w:eastAsia="Times New Roman" w:hAnsiTheme="majorHAnsi" w:cstheme="majorHAnsi"/>
          <w:sz w:val="16"/>
          <w:szCs w:val="16"/>
          <w:lang w:eastAsia="en-GB"/>
        </w:rPr>
      </w:pPr>
    </w:p>
    <w:p w14:paraId="1FD3B4E6" w14:textId="77777777" w:rsidR="00F00E3D" w:rsidRPr="00BC19B6" w:rsidRDefault="00F00E3D" w:rsidP="0060250D">
      <w:pPr>
        <w:spacing w:after="0" w:line="276" w:lineRule="auto"/>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Key issues for low-income households in Australia are affordability and housing stress, or what is measured as Housing Affordability Stress (HAS). HAS identifies households living with levels of income and housing costs according to the well-known 30/40 rule,</w:t>
      </w:r>
    </w:p>
    <w:p w14:paraId="17CFAEE1" w14:textId="77777777" w:rsidR="00F00E3D" w:rsidRPr="00A05031" w:rsidRDefault="00F00E3D" w:rsidP="0060250D">
      <w:pPr>
        <w:spacing w:after="0" w:line="276" w:lineRule="auto"/>
        <w:rPr>
          <w:rFonts w:asciiTheme="majorHAnsi" w:eastAsia="Times New Roman" w:hAnsiTheme="majorHAnsi" w:cstheme="majorHAnsi"/>
          <w:sz w:val="16"/>
          <w:szCs w:val="16"/>
          <w:lang w:eastAsia="en-GB"/>
        </w:rPr>
      </w:pPr>
    </w:p>
    <w:p w14:paraId="1574A09E" w14:textId="5DAA4DE6" w:rsidR="00F00E3D" w:rsidRPr="00A05031" w:rsidRDefault="00F00E3D" w:rsidP="0060250D">
      <w:pPr>
        <w:spacing w:after="0" w:line="276" w:lineRule="auto"/>
        <w:ind w:left="720"/>
        <w:rPr>
          <w:rFonts w:asciiTheme="majorHAnsi" w:eastAsia="Times New Roman" w:hAnsiTheme="majorHAnsi" w:cstheme="majorBidi"/>
          <w:sz w:val="23"/>
          <w:szCs w:val="23"/>
          <w:lang w:eastAsia="en-GB"/>
        </w:rPr>
      </w:pPr>
      <w:r w:rsidRPr="00A05031">
        <w:rPr>
          <w:rFonts w:asciiTheme="majorHAnsi" w:eastAsia="Times New Roman" w:hAnsiTheme="majorHAnsi" w:cstheme="majorBidi"/>
          <w:sz w:val="23"/>
          <w:szCs w:val="23"/>
          <w:lang w:eastAsia="en-GB"/>
        </w:rPr>
        <w:t xml:space="preserve">which has become a standard indicator in Australia over the course of many years. Households with a gross disposable income that sits within the lower 40% of the distribution, and </w:t>
      </w:r>
      <w:proofErr w:type="gramStart"/>
      <w:r w:rsidRPr="00A05031">
        <w:rPr>
          <w:rFonts w:asciiTheme="majorHAnsi" w:eastAsia="Times New Roman" w:hAnsiTheme="majorHAnsi" w:cstheme="majorBidi"/>
          <w:sz w:val="23"/>
          <w:szCs w:val="23"/>
          <w:lang w:eastAsia="en-GB"/>
        </w:rPr>
        <w:t>whom</w:t>
      </w:r>
      <w:proofErr w:type="gramEnd"/>
      <w:r w:rsidRPr="00A05031">
        <w:rPr>
          <w:rFonts w:asciiTheme="majorHAnsi" w:eastAsia="Times New Roman" w:hAnsiTheme="majorHAnsi" w:cstheme="majorBidi"/>
          <w:sz w:val="23"/>
          <w:szCs w:val="23"/>
          <w:lang w:eastAsia="en-GB"/>
        </w:rPr>
        <w:t xml:space="preserve"> pay 30% or more of their income by way of housing costs are defined as being in HAS under this measure. Households paying 50% or more are defined as being in Severe Housing Affordability Stress (SHAS)” </w:t>
      </w:r>
      <w:r>
        <w:rPr>
          <w:rFonts w:asciiTheme="majorHAnsi" w:eastAsia="Times New Roman" w:hAnsiTheme="majorHAnsi" w:cstheme="majorBidi"/>
          <w:noProof/>
          <w:sz w:val="23"/>
          <w:szCs w:val="23"/>
          <w:lang w:eastAsia="en-GB"/>
        </w:rPr>
        <w:t>(Leishman</w:t>
      </w:r>
      <w:r w:rsidR="0060250D">
        <w:rPr>
          <w:rFonts w:asciiTheme="majorHAnsi" w:eastAsia="Times New Roman" w:hAnsiTheme="majorHAnsi" w:cstheme="majorBidi"/>
          <w:noProof/>
          <w:sz w:val="23"/>
          <w:szCs w:val="23"/>
          <w:lang w:eastAsia="en-GB"/>
        </w:rPr>
        <w:t xml:space="preserve"> et al., </w:t>
      </w:r>
      <w:r>
        <w:rPr>
          <w:rFonts w:asciiTheme="majorHAnsi" w:eastAsia="Times New Roman" w:hAnsiTheme="majorHAnsi" w:cstheme="majorBidi"/>
          <w:noProof/>
          <w:sz w:val="23"/>
          <w:szCs w:val="23"/>
          <w:lang w:eastAsia="en-GB"/>
        </w:rPr>
        <w:t>2020, p. 19)</w:t>
      </w:r>
      <w:r w:rsidRPr="00A05031">
        <w:rPr>
          <w:rFonts w:asciiTheme="majorHAnsi" w:eastAsia="Times New Roman" w:hAnsiTheme="majorHAnsi" w:cstheme="majorBidi"/>
          <w:sz w:val="23"/>
          <w:szCs w:val="23"/>
          <w:lang w:eastAsia="en-GB"/>
        </w:rPr>
        <w:t xml:space="preserve">. </w:t>
      </w:r>
    </w:p>
    <w:p w14:paraId="36428DB0" w14:textId="77777777" w:rsidR="00F00E3D" w:rsidRPr="00A05031" w:rsidRDefault="00F00E3D" w:rsidP="0060250D">
      <w:pPr>
        <w:spacing w:after="0" w:line="276" w:lineRule="auto"/>
        <w:rPr>
          <w:rFonts w:asciiTheme="majorHAnsi" w:eastAsia="Times New Roman" w:hAnsiTheme="majorHAnsi" w:cstheme="majorBidi"/>
          <w:sz w:val="16"/>
          <w:szCs w:val="16"/>
          <w:lang w:eastAsia="en-GB"/>
        </w:rPr>
      </w:pPr>
    </w:p>
    <w:p w14:paraId="32426CEF" w14:textId="7585560B" w:rsidR="00F00E3D" w:rsidRDefault="00F00E3D" w:rsidP="0060250D">
      <w:pPr>
        <w:spacing w:after="0" w:line="276" w:lineRule="auto"/>
        <w:rPr>
          <w:rFonts w:asciiTheme="majorHAnsi" w:eastAsia="Times New Roman" w:hAnsiTheme="majorHAnsi" w:cstheme="majorBidi"/>
          <w:sz w:val="23"/>
          <w:szCs w:val="23"/>
          <w:lang w:eastAsia="en-GB"/>
        </w:rPr>
      </w:pPr>
      <w:r w:rsidRPr="00A05031">
        <w:rPr>
          <w:rFonts w:asciiTheme="majorHAnsi" w:eastAsia="Times New Roman" w:hAnsiTheme="majorHAnsi" w:cstheme="majorBidi"/>
          <w:sz w:val="23"/>
          <w:szCs w:val="23"/>
          <w:lang w:eastAsia="en-GB"/>
        </w:rPr>
        <w:t>Yet housing stress and other traditional indicators of housing</w:t>
      </w:r>
      <w:r w:rsidRPr="64875FDB">
        <w:rPr>
          <w:rFonts w:asciiTheme="majorHAnsi" w:eastAsia="Times New Roman" w:hAnsiTheme="majorHAnsi" w:cstheme="majorBidi"/>
          <w:sz w:val="23"/>
          <w:szCs w:val="23"/>
          <w:lang w:eastAsia="en-GB"/>
        </w:rPr>
        <w:t xml:space="preserve"> affordability “do not address the wider outcomes of housing affordability but simply the financial burden of housing costs” </w:t>
      </w:r>
      <w:r>
        <w:rPr>
          <w:rFonts w:asciiTheme="majorHAnsi" w:eastAsia="Times New Roman" w:hAnsiTheme="majorHAnsi" w:cstheme="majorBidi"/>
          <w:noProof/>
          <w:sz w:val="23"/>
          <w:szCs w:val="23"/>
          <w:lang w:eastAsia="en-GB"/>
        </w:rPr>
        <w:t>(Rowley, 2012, p. 9)</w:t>
      </w:r>
      <w:r w:rsidRPr="64875FDB">
        <w:rPr>
          <w:rFonts w:asciiTheme="majorHAnsi" w:eastAsia="Times New Roman" w:hAnsiTheme="majorHAnsi" w:cstheme="majorBidi"/>
          <w:sz w:val="23"/>
          <w:szCs w:val="23"/>
          <w:lang w:eastAsia="en-GB"/>
        </w:rPr>
        <w:t xml:space="preserve">. Thus, for example, “there are households that fall within the traditional measure of stress that consider their levels of wellbeing acceptable. Additionally, there are households that fall outside the measure that are suffering considerable economic and social hardships” </w:t>
      </w:r>
      <w:r>
        <w:rPr>
          <w:rFonts w:asciiTheme="majorHAnsi" w:eastAsia="Times New Roman" w:hAnsiTheme="majorHAnsi" w:cstheme="majorBidi"/>
          <w:noProof/>
          <w:sz w:val="23"/>
          <w:szCs w:val="23"/>
          <w:lang w:eastAsia="en-GB"/>
        </w:rPr>
        <w:t>(Rowley, 2012, p. 9)</w:t>
      </w:r>
      <w:r w:rsidRPr="64875FDB">
        <w:rPr>
          <w:rFonts w:asciiTheme="majorHAnsi" w:eastAsia="Times New Roman" w:hAnsiTheme="majorHAnsi" w:cstheme="majorBidi"/>
          <w:sz w:val="23"/>
          <w:szCs w:val="23"/>
          <w:lang w:eastAsia="en-GB"/>
        </w:rPr>
        <w:t xml:space="preserve">. Hence, HAS is a problematic indicator because measuring housing affordability also ought to acknowledge “the individual nature of the housing consumption choice and the extent of variations in the outcomes as a consequence of that choice” </w:t>
      </w:r>
      <w:r>
        <w:rPr>
          <w:rFonts w:asciiTheme="majorHAnsi" w:eastAsia="Times New Roman" w:hAnsiTheme="majorHAnsi" w:cstheme="majorBidi"/>
          <w:noProof/>
          <w:sz w:val="23"/>
          <w:szCs w:val="23"/>
          <w:lang w:eastAsia="en-GB"/>
        </w:rPr>
        <w:t>(Rowley, 2012, p. 9)</w:t>
      </w:r>
      <w:r w:rsidRPr="64875FDB">
        <w:rPr>
          <w:rFonts w:asciiTheme="majorHAnsi" w:eastAsia="Times New Roman" w:hAnsiTheme="majorHAnsi" w:cstheme="majorBidi"/>
          <w:sz w:val="23"/>
          <w:szCs w:val="23"/>
          <w:lang w:eastAsia="en-GB"/>
        </w:rPr>
        <w:t xml:space="preserve">. This limitation is summed up by Hulse et al., who state that housing stress is less of an indicator of financial stress and more of an indicator of the potential risks of falling into hardship </w:t>
      </w:r>
      <w:r>
        <w:rPr>
          <w:rFonts w:asciiTheme="majorHAnsi" w:eastAsia="Times New Roman" w:hAnsiTheme="majorHAnsi" w:cstheme="majorBidi"/>
          <w:noProof/>
          <w:sz w:val="23"/>
          <w:szCs w:val="23"/>
          <w:lang w:eastAsia="en-GB"/>
        </w:rPr>
        <w:t>(Hulse</w:t>
      </w:r>
      <w:r w:rsidR="0060250D">
        <w:rPr>
          <w:rFonts w:asciiTheme="majorHAnsi" w:eastAsia="Times New Roman" w:hAnsiTheme="majorHAnsi" w:cstheme="majorBidi"/>
          <w:noProof/>
          <w:sz w:val="23"/>
          <w:szCs w:val="23"/>
          <w:lang w:eastAsia="en-GB"/>
        </w:rPr>
        <w:t xml:space="preserve"> et al.</w:t>
      </w:r>
      <w:r>
        <w:rPr>
          <w:rFonts w:asciiTheme="majorHAnsi" w:eastAsia="Times New Roman" w:hAnsiTheme="majorHAnsi" w:cstheme="majorBidi"/>
          <w:noProof/>
          <w:sz w:val="23"/>
          <w:szCs w:val="23"/>
          <w:lang w:eastAsia="en-GB"/>
        </w:rPr>
        <w:t>, 2010)</w:t>
      </w:r>
      <w:r w:rsidRPr="64875FDB">
        <w:rPr>
          <w:rFonts w:asciiTheme="majorHAnsi" w:eastAsia="Times New Roman" w:hAnsiTheme="majorHAnsi" w:cstheme="majorBidi"/>
          <w:sz w:val="23"/>
          <w:szCs w:val="23"/>
          <w:lang w:eastAsia="en-GB"/>
        </w:rPr>
        <w:t>.</w:t>
      </w:r>
    </w:p>
    <w:p w14:paraId="3959D80E" w14:textId="77777777" w:rsidR="00F00E3D" w:rsidRPr="00F86F92" w:rsidRDefault="00F00E3D" w:rsidP="0060250D">
      <w:pPr>
        <w:spacing w:after="0" w:line="276" w:lineRule="auto"/>
        <w:contextualSpacing/>
        <w:rPr>
          <w:rFonts w:asciiTheme="majorHAnsi" w:eastAsia="Times New Roman" w:hAnsiTheme="majorHAnsi" w:cstheme="majorHAnsi"/>
          <w:sz w:val="16"/>
          <w:szCs w:val="16"/>
          <w:lang w:eastAsia="en-GB"/>
        </w:rPr>
      </w:pPr>
    </w:p>
    <w:p w14:paraId="46C252A6" w14:textId="77777777" w:rsidR="00F00E3D" w:rsidRPr="00BC19B6" w:rsidRDefault="00F00E3D" w:rsidP="0060250D">
      <w:pPr>
        <w:spacing w:after="0" w:line="276" w:lineRule="auto"/>
        <w:contextualSpacing/>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 xml:space="preserve">Other indicators of the housing pressures facing low-income families are </w:t>
      </w:r>
      <w:r w:rsidRPr="005B1977">
        <w:rPr>
          <w:rFonts w:asciiTheme="majorHAnsi" w:eastAsia="Times New Roman" w:hAnsiTheme="majorHAnsi" w:cstheme="majorHAnsi"/>
          <w:sz w:val="23"/>
          <w:szCs w:val="23"/>
          <w:lang w:eastAsia="en-GB"/>
        </w:rPr>
        <w:t>household economic wellbeing</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the household’s</w:t>
      </w:r>
      <w:r w:rsidRPr="00BC19B6">
        <w:rPr>
          <w:rFonts w:asciiTheme="majorHAnsi" w:eastAsia="Times New Roman" w:hAnsiTheme="majorHAnsi" w:cstheme="majorHAnsi"/>
          <w:sz w:val="23"/>
          <w:szCs w:val="23"/>
          <w:lang w:eastAsia="en-GB"/>
        </w:rPr>
        <w:t xml:space="preserve"> ability to maintain a minimum material standard of living) and household wellbeing. Put simply, housing affordability is a concept </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that stretches beyond simply the financial to incorporate other housing-related outcomes that are directly related to household wellbeing” </w:t>
      </w:r>
      <w:r>
        <w:rPr>
          <w:rFonts w:asciiTheme="majorHAnsi" w:eastAsia="Times New Roman" w:hAnsiTheme="majorHAnsi" w:cstheme="majorHAnsi"/>
          <w:noProof/>
          <w:sz w:val="23"/>
          <w:szCs w:val="23"/>
          <w:lang w:eastAsia="en-GB"/>
        </w:rPr>
        <w:t>(Rowley, 2012, p. 83)</w:t>
      </w:r>
      <w:r w:rsidRPr="00BC19B6">
        <w:rPr>
          <w:rFonts w:asciiTheme="majorHAnsi" w:eastAsia="Times New Roman" w:hAnsiTheme="majorHAnsi" w:cstheme="majorHAnsi"/>
          <w:sz w:val="23"/>
          <w:szCs w:val="23"/>
          <w:lang w:eastAsia="en-GB"/>
        </w:rPr>
        <w:t xml:space="preserve">. Determinants of housing affordability and related housing pressures ought therefore to include the wider contextual factors that link housing affordability to household wellbeing. </w:t>
      </w:r>
    </w:p>
    <w:p w14:paraId="27E981AC" w14:textId="77777777" w:rsidR="00F00E3D" w:rsidRPr="007932D3" w:rsidRDefault="00F00E3D" w:rsidP="0060250D">
      <w:pPr>
        <w:spacing w:after="0" w:line="276" w:lineRule="auto"/>
        <w:contextualSpacing/>
        <w:rPr>
          <w:rFonts w:asciiTheme="majorHAnsi" w:eastAsia="Times New Roman" w:hAnsiTheme="majorHAnsi" w:cstheme="majorHAnsi"/>
          <w:sz w:val="16"/>
          <w:szCs w:val="16"/>
          <w:lang w:eastAsia="en-GB"/>
        </w:rPr>
      </w:pPr>
    </w:p>
    <w:p w14:paraId="2C43F889" w14:textId="06B0857C" w:rsidR="00F00E3D" w:rsidRPr="00F05291" w:rsidRDefault="00F00E3D" w:rsidP="0060250D">
      <w:pPr>
        <w:spacing w:after="0" w:line="276" w:lineRule="auto"/>
        <w:contextualSpacing/>
        <w:rPr>
          <w:rFonts w:asciiTheme="majorHAnsi" w:eastAsia="Times New Roman" w:hAnsiTheme="majorHAnsi" w:cstheme="majorBidi"/>
          <w:sz w:val="23"/>
          <w:szCs w:val="23"/>
          <w:lang w:eastAsia="en-GB"/>
        </w:rPr>
      </w:pPr>
      <w:r w:rsidRPr="00BC19B6">
        <w:rPr>
          <w:rFonts w:asciiTheme="majorHAnsi" w:eastAsia="Times New Roman" w:hAnsiTheme="majorHAnsi" w:cstheme="majorHAnsi"/>
          <w:sz w:val="23"/>
          <w:szCs w:val="23"/>
          <w:lang w:eastAsia="en-GB"/>
        </w:rPr>
        <w:t xml:space="preserve">Our sample of the literature indicates clear and bi-directional relationships between </w:t>
      </w:r>
      <w:r>
        <w:rPr>
          <w:rFonts w:asciiTheme="majorHAnsi" w:eastAsia="Times New Roman" w:hAnsiTheme="majorHAnsi" w:cstheme="majorHAnsi"/>
          <w:sz w:val="23"/>
          <w:szCs w:val="23"/>
          <w:lang w:eastAsia="en-GB"/>
        </w:rPr>
        <w:t>H</w:t>
      </w:r>
      <w:r w:rsidRPr="00BC19B6">
        <w:rPr>
          <w:rFonts w:asciiTheme="majorHAnsi" w:eastAsia="Times New Roman" w:hAnsiTheme="majorHAnsi" w:cstheme="majorHAnsi"/>
          <w:sz w:val="23"/>
          <w:szCs w:val="23"/>
          <w:lang w:eastAsia="en-GB"/>
        </w:rPr>
        <w:t xml:space="preserve">ousing, </w:t>
      </w:r>
      <w:r>
        <w:rPr>
          <w:rFonts w:asciiTheme="majorHAnsi" w:eastAsia="Times New Roman" w:hAnsiTheme="majorHAnsi" w:cstheme="majorHAnsi"/>
          <w:sz w:val="23"/>
          <w:szCs w:val="23"/>
          <w:lang w:eastAsia="en-GB"/>
        </w:rPr>
        <w:t>H</w:t>
      </w:r>
      <w:r w:rsidRPr="00BC19B6">
        <w:rPr>
          <w:rFonts w:asciiTheme="majorHAnsi" w:eastAsia="Times New Roman" w:hAnsiTheme="majorHAnsi" w:cstheme="majorHAnsi"/>
          <w:sz w:val="23"/>
          <w:szCs w:val="23"/>
          <w:lang w:eastAsia="en-GB"/>
        </w:rPr>
        <w:t xml:space="preserve">ealth and </w:t>
      </w:r>
      <w:r>
        <w:rPr>
          <w:rFonts w:asciiTheme="majorHAnsi" w:eastAsia="Times New Roman" w:hAnsiTheme="majorHAnsi" w:cstheme="majorHAnsi"/>
          <w:sz w:val="23"/>
          <w:szCs w:val="23"/>
          <w:lang w:eastAsia="en-GB"/>
        </w:rPr>
        <w:t>W</w:t>
      </w:r>
      <w:r w:rsidRPr="00BC19B6">
        <w:rPr>
          <w:rFonts w:asciiTheme="majorHAnsi" w:eastAsia="Times New Roman" w:hAnsiTheme="majorHAnsi" w:cstheme="majorHAnsi"/>
          <w:sz w:val="23"/>
          <w:szCs w:val="23"/>
          <w:lang w:eastAsia="en-GB"/>
        </w:rPr>
        <w:t>ellbeing</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and the other </w:t>
      </w:r>
      <w:r w:rsidR="00D95573">
        <w:rPr>
          <w:rFonts w:asciiTheme="majorHAnsi" w:eastAsia="Times New Roman" w:hAnsiTheme="majorHAnsi" w:cstheme="majorHAnsi"/>
          <w:sz w:val="23"/>
          <w:szCs w:val="23"/>
          <w:lang w:eastAsia="en-GB"/>
        </w:rPr>
        <w:t>Practice Domain</w:t>
      </w:r>
      <w:r w:rsidRPr="00BC19B6">
        <w:rPr>
          <w:rFonts w:asciiTheme="majorHAnsi" w:eastAsia="Times New Roman" w:hAnsiTheme="majorHAnsi" w:cstheme="majorHAnsi"/>
          <w:sz w:val="23"/>
          <w:szCs w:val="23"/>
          <w:lang w:eastAsia="en-GB"/>
        </w:rPr>
        <w:t xml:space="preserve">s. Of the 30 papers </w:t>
      </w:r>
      <w:r>
        <w:rPr>
          <w:rFonts w:asciiTheme="majorHAnsi" w:eastAsia="Times New Roman" w:hAnsiTheme="majorHAnsi" w:cstheme="majorHAnsi"/>
          <w:sz w:val="23"/>
          <w:szCs w:val="23"/>
          <w:lang w:eastAsia="en-GB"/>
        </w:rPr>
        <w:t xml:space="preserve">that </w:t>
      </w:r>
      <w:r w:rsidRPr="00BC19B6">
        <w:rPr>
          <w:rFonts w:asciiTheme="majorHAnsi" w:eastAsia="Times New Roman" w:hAnsiTheme="majorHAnsi" w:cstheme="majorHAnsi"/>
          <w:sz w:val="23"/>
          <w:szCs w:val="23"/>
          <w:lang w:eastAsia="en-GB"/>
        </w:rPr>
        <w:t>focus</w:t>
      </w:r>
      <w:r>
        <w:rPr>
          <w:rFonts w:asciiTheme="majorHAnsi" w:eastAsia="Times New Roman" w:hAnsiTheme="majorHAnsi" w:cstheme="majorHAnsi"/>
          <w:sz w:val="23"/>
          <w:szCs w:val="23"/>
          <w:lang w:eastAsia="en-GB"/>
        </w:rPr>
        <w:t>ed</w:t>
      </w:r>
      <w:r w:rsidRPr="00BC19B6">
        <w:rPr>
          <w:rFonts w:asciiTheme="majorHAnsi" w:eastAsia="Times New Roman" w:hAnsiTheme="majorHAnsi" w:cstheme="majorHAnsi"/>
          <w:sz w:val="23"/>
          <w:szCs w:val="23"/>
          <w:lang w:eastAsia="en-GB"/>
        </w:rPr>
        <w:t xml:space="preserve"> on the factors and social determinants of inequality, 38 connect Housing to other domains, with housing affordability being the most common housing factor impacting other domains. </w:t>
      </w:r>
      <w:r>
        <w:rPr>
          <w:rFonts w:asciiTheme="majorHAnsi" w:eastAsia="Times New Roman" w:hAnsiTheme="majorHAnsi" w:cstheme="majorHAnsi"/>
          <w:sz w:val="23"/>
          <w:szCs w:val="23"/>
          <w:lang w:eastAsia="en-GB"/>
        </w:rPr>
        <w:t xml:space="preserve">Table </w:t>
      </w:r>
      <w:r w:rsidR="004D7F9B">
        <w:rPr>
          <w:rFonts w:asciiTheme="majorHAnsi" w:eastAsia="Times New Roman" w:hAnsiTheme="majorHAnsi" w:cstheme="majorHAnsi"/>
          <w:sz w:val="23"/>
          <w:szCs w:val="23"/>
          <w:lang w:eastAsia="en-GB"/>
        </w:rPr>
        <w:t>3.7</w:t>
      </w:r>
      <w:r>
        <w:rPr>
          <w:rFonts w:asciiTheme="majorHAnsi" w:eastAsia="Times New Roman" w:hAnsiTheme="majorHAnsi" w:cstheme="majorHAnsi"/>
          <w:sz w:val="23"/>
          <w:szCs w:val="23"/>
          <w:lang w:eastAsia="en-GB"/>
        </w:rPr>
        <w:t xml:space="preserve"> (below)</w:t>
      </w:r>
      <w:r w:rsidRPr="00BC19B6">
        <w:rPr>
          <w:rFonts w:asciiTheme="majorHAnsi" w:eastAsia="Times New Roman" w:hAnsiTheme="majorHAnsi" w:cstheme="majorHAnsi"/>
          <w:sz w:val="23"/>
          <w:szCs w:val="23"/>
          <w:lang w:eastAsia="en-GB"/>
        </w:rPr>
        <w:t xml:space="preserve"> indicates the </w:t>
      </w:r>
      <w:r>
        <w:rPr>
          <w:rFonts w:asciiTheme="majorHAnsi" w:eastAsia="Times New Roman" w:hAnsiTheme="majorHAnsi" w:cstheme="majorHAnsi"/>
          <w:sz w:val="23"/>
          <w:szCs w:val="23"/>
          <w:lang w:eastAsia="en-GB"/>
        </w:rPr>
        <w:t xml:space="preserve">factors these </w:t>
      </w:r>
      <w:r w:rsidRPr="00BC19B6">
        <w:rPr>
          <w:rFonts w:asciiTheme="majorHAnsi" w:eastAsia="Times New Roman" w:hAnsiTheme="majorHAnsi" w:cstheme="majorHAnsi"/>
          <w:sz w:val="23"/>
          <w:szCs w:val="23"/>
          <w:lang w:eastAsia="en-GB"/>
        </w:rPr>
        <w:t>studies</w:t>
      </w:r>
      <w:r>
        <w:rPr>
          <w:rFonts w:asciiTheme="majorHAnsi" w:eastAsia="Times New Roman" w:hAnsiTheme="majorHAnsi" w:cstheme="majorHAnsi"/>
          <w:sz w:val="23"/>
          <w:szCs w:val="23"/>
          <w:lang w:eastAsia="en-GB"/>
        </w:rPr>
        <w:t xml:space="preserve"> identified</w:t>
      </w:r>
      <w:r w:rsidRPr="00BC19B6">
        <w:rPr>
          <w:rFonts w:asciiTheme="majorHAnsi" w:eastAsia="Times New Roman" w:hAnsiTheme="majorHAnsi" w:cstheme="majorHAnsi"/>
          <w:sz w:val="23"/>
          <w:szCs w:val="23"/>
          <w:lang w:eastAsia="en-GB"/>
        </w:rPr>
        <w:t xml:space="preserve"> as impacting and being impacted by housing for low-income communities. </w:t>
      </w:r>
      <w:r>
        <w:rPr>
          <w:rFonts w:asciiTheme="majorHAnsi" w:eastAsia="Times New Roman" w:hAnsiTheme="majorHAnsi" w:cstheme="majorBidi"/>
          <w:sz w:val="23"/>
          <w:szCs w:val="23"/>
          <w:lang w:eastAsia="en-GB"/>
        </w:rPr>
        <w:t>In common with the broader research literature, income, education level, and access to affordable housing, services, and facilities stand out as key factors impacting housing outcomes.</w:t>
      </w:r>
    </w:p>
    <w:tbl>
      <w:tblPr>
        <w:tblStyle w:val="TableGrid"/>
        <w:tblW w:w="9554" w:type="dxa"/>
        <w:tblInd w:w="-5" w:type="dxa"/>
        <w:tblLook w:val="04A0" w:firstRow="1" w:lastRow="0" w:firstColumn="1" w:lastColumn="0" w:noHBand="0" w:noVBand="1"/>
      </w:tblPr>
      <w:tblGrid>
        <w:gridCol w:w="1061"/>
        <w:gridCol w:w="2477"/>
        <w:gridCol w:w="4247"/>
        <w:gridCol w:w="884"/>
        <w:gridCol w:w="885"/>
      </w:tblGrid>
      <w:tr w:rsidR="008F7049" w:rsidRPr="008F7049" w14:paraId="5749785D" w14:textId="77777777" w:rsidTr="008F7049">
        <w:trPr>
          <w:trHeight w:val="426"/>
        </w:trPr>
        <w:tc>
          <w:tcPr>
            <w:tcW w:w="1061" w:type="dxa"/>
            <w:shd w:val="clear" w:color="auto" w:fill="D0CECE" w:themeFill="background2" w:themeFillShade="E6"/>
          </w:tcPr>
          <w:p w14:paraId="24151D62" w14:textId="77777777" w:rsidR="00F00E3D" w:rsidRDefault="00F00E3D" w:rsidP="009B2FA7">
            <w:pPr>
              <w:contextualSpacing/>
              <w:rPr>
                <w:rFonts w:eastAsia="Times New Roman" w:cstheme="minorHAnsi"/>
                <w:b/>
                <w:bCs/>
                <w:sz w:val="21"/>
                <w:szCs w:val="21"/>
                <w:lang w:eastAsia="en-GB"/>
              </w:rPr>
            </w:pPr>
            <w:r w:rsidRPr="008F7049">
              <w:rPr>
                <w:rFonts w:eastAsia="Times New Roman" w:cstheme="minorHAnsi"/>
                <w:b/>
                <w:bCs/>
                <w:sz w:val="21"/>
                <w:szCs w:val="21"/>
                <w:lang w:eastAsia="en-GB"/>
              </w:rPr>
              <w:lastRenderedPageBreak/>
              <w:t>Context Category</w:t>
            </w:r>
          </w:p>
          <w:p w14:paraId="46A261A2" w14:textId="1830D2D6" w:rsidR="00906BD0" w:rsidRPr="00906BD0" w:rsidRDefault="00906BD0" w:rsidP="009B2FA7">
            <w:pPr>
              <w:contextualSpacing/>
              <w:rPr>
                <w:rFonts w:eastAsia="Times New Roman" w:cstheme="minorHAnsi"/>
                <w:b/>
                <w:bCs/>
                <w:sz w:val="4"/>
                <w:szCs w:val="4"/>
                <w:lang w:eastAsia="en-GB"/>
              </w:rPr>
            </w:pPr>
          </w:p>
        </w:tc>
        <w:tc>
          <w:tcPr>
            <w:tcW w:w="2477" w:type="dxa"/>
            <w:shd w:val="clear" w:color="auto" w:fill="D0CECE" w:themeFill="background2" w:themeFillShade="E6"/>
          </w:tcPr>
          <w:p w14:paraId="5E8850BA" w14:textId="77777777" w:rsidR="00F00E3D" w:rsidRPr="008F7049" w:rsidRDefault="00F00E3D" w:rsidP="009B2FA7">
            <w:pPr>
              <w:contextualSpacing/>
              <w:rPr>
                <w:rFonts w:eastAsia="Times New Roman" w:cstheme="minorHAnsi"/>
                <w:b/>
                <w:bCs/>
                <w:sz w:val="21"/>
                <w:szCs w:val="21"/>
                <w:lang w:eastAsia="en-GB"/>
              </w:rPr>
            </w:pPr>
            <w:r w:rsidRPr="008F7049">
              <w:rPr>
                <w:rFonts w:eastAsia="Times New Roman" w:cstheme="minorHAnsi"/>
                <w:b/>
                <w:bCs/>
                <w:sz w:val="21"/>
                <w:szCs w:val="21"/>
                <w:lang w:eastAsia="en-GB"/>
              </w:rPr>
              <w:t>Determinant</w:t>
            </w:r>
          </w:p>
        </w:tc>
        <w:tc>
          <w:tcPr>
            <w:tcW w:w="4247" w:type="dxa"/>
            <w:shd w:val="clear" w:color="auto" w:fill="D0CECE" w:themeFill="background2" w:themeFillShade="E6"/>
          </w:tcPr>
          <w:p w14:paraId="2E8DD759" w14:textId="77777777" w:rsidR="00F00E3D" w:rsidRPr="008F7049" w:rsidRDefault="00F00E3D" w:rsidP="009B2FA7">
            <w:pPr>
              <w:contextualSpacing/>
              <w:rPr>
                <w:rFonts w:eastAsia="Times New Roman" w:cstheme="minorHAnsi"/>
                <w:b/>
                <w:bCs/>
                <w:sz w:val="21"/>
                <w:szCs w:val="21"/>
                <w:lang w:eastAsia="en-GB"/>
              </w:rPr>
            </w:pPr>
            <w:r w:rsidRPr="008F7049">
              <w:rPr>
                <w:rFonts w:eastAsia="Times New Roman" w:cstheme="minorHAnsi"/>
                <w:b/>
                <w:bCs/>
                <w:sz w:val="21"/>
                <w:szCs w:val="21"/>
                <w:lang w:eastAsia="en-GB"/>
              </w:rPr>
              <w:t>Factor</w:t>
            </w:r>
          </w:p>
        </w:tc>
        <w:tc>
          <w:tcPr>
            <w:tcW w:w="1769" w:type="dxa"/>
            <w:gridSpan w:val="2"/>
            <w:shd w:val="clear" w:color="auto" w:fill="D0CECE" w:themeFill="background2" w:themeFillShade="E6"/>
          </w:tcPr>
          <w:p w14:paraId="128B3AC4" w14:textId="77777777" w:rsidR="00F00E3D" w:rsidRPr="008F7049" w:rsidRDefault="00F00E3D" w:rsidP="009B2FA7">
            <w:pPr>
              <w:contextualSpacing/>
              <w:rPr>
                <w:rFonts w:eastAsia="Times New Roman" w:cstheme="minorHAnsi"/>
                <w:b/>
                <w:bCs/>
                <w:sz w:val="21"/>
                <w:szCs w:val="21"/>
                <w:lang w:eastAsia="en-GB"/>
              </w:rPr>
            </w:pPr>
            <w:r w:rsidRPr="008F7049">
              <w:rPr>
                <w:rFonts w:eastAsia="Times New Roman" w:cstheme="minorHAnsi"/>
                <w:b/>
                <w:bCs/>
                <w:sz w:val="21"/>
                <w:szCs w:val="21"/>
                <w:lang w:eastAsia="en-GB"/>
              </w:rPr>
              <w:t xml:space="preserve"># Articles </w:t>
            </w:r>
          </w:p>
          <w:p w14:paraId="025A24FC" w14:textId="19A5F278" w:rsidR="00F00E3D" w:rsidRPr="008F7049" w:rsidRDefault="008F7049" w:rsidP="009B2FA7">
            <w:pPr>
              <w:contextualSpacing/>
              <w:rPr>
                <w:rFonts w:eastAsia="Times New Roman" w:cstheme="minorHAnsi"/>
                <w:b/>
                <w:bCs/>
                <w:sz w:val="21"/>
                <w:szCs w:val="21"/>
                <w:lang w:eastAsia="en-GB"/>
              </w:rPr>
            </w:pPr>
            <w:r>
              <w:rPr>
                <w:rFonts w:eastAsia="Times New Roman" w:cstheme="minorHAnsi"/>
                <w:b/>
                <w:bCs/>
                <w:sz w:val="21"/>
                <w:szCs w:val="21"/>
                <w:lang w:eastAsia="en-GB"/>
              </w:rPr>
              <w:t>I</w:t>
            </w:r>
            <w:r w:rsidR="00F00E3D" w:rsidRPr="008F7049">
              <w:rPr>
                <w:rFonts w:eastAsia="Times New Roman" w:cstheme="minorHAnsi"/>
                <w:b/>
                <w:bCs/>
                <w:sz w:val="21"/>
                <w:szCs w:val="21"/>
                <w:lang w:eastAsia="en-GB"/>
              </w:rPr>
              <w:t xml:space="preserve">dentifying </w:t>
            </w:r>
            <w:r>
              <w:rPr>
                <w:rFonts w:eastAsia="Times New Roman" w:cstheme="minorHAnsi"/>
                <w:b/>
                <w:bCs/>
                <w:sz w:val="21"/>
                <w:szCs w:val="21"/>
                <w:lang w:eastAsia="en-GB"/>
              </w:rPr>
              <w:t>F</w:t>
            </w:r>
            <w:r w:rsidR="00F00E3D" w:rsidRPr="008F7049">
              <w:rPr>
                <w:rFonts w:eastAsia="Times New Roman" w:cstheme="minorHAnsi"/>
                <w:b/>
                <w:bCs/>
                <w:sz w:val="21"/>
                <w:szCs w:val="21"/>
                <w:lang w:eastAsia="en-GB"/>
              </w:rPr>
              <w:t>actor</w:t>
            </w:r>
          </w:p>
        </w:tc>
      </w:tr>
      <w:tr w:rsidR="00F00E3D" w:rsidRPr="00E171E6" w14:paraId="30C7DBA8" w14:textId="77777777" w:rsidTr="00F05291">
        <w:trPr>
          <w:trHeight w:val="305"/>
        </w:trPr>
        <w:tc>
          <w:tcPr>
            <w:tcW w:w="1061" w:type="dxa"/>
            <w:vMerge w:val="restart"/>
            <w:textDirection w:val="tbRl"/>
            <w:vAlign w:val="center"/>
          </w:tcPr>
          <w:p w14:paraId="389B770F" w14:textId="66FA30CF" w:rsidR="00F00E3D" w:rsidRPr="00E171E6" w:rsidRDefault="00F00E3D" w:rsidP="009B2FA7">
            <w:pPr>
              <w:ind w:left="113" w:right="113"/>
              <w:contextualSpacing/>
              <w:jc w:val="center"/>
              <w:rPr>
                <w:rFonts w:eastAsia="Times New Roman"/>
                <w:b/>
                <w:color w:val="000000"/>
                <w:lang w:eastAsia="en-GB"/>
              </w:rPr>
            </w:pPr>
            <w:r w:rsidRPr="701B9583">
              <w:rPr>
                <w:rFonts w:eastAsia="Times New Roman"/>
                <w:b/>
                <w:bCs/>
                <w:color w:val="000000" w:themeColor="text1"/>
                <w:lang w:eastAsia="en-GB"/>
              </w:rPr>
              <w:t>Economic</w:t>
            </w:r>
          </w:p>
        </w:tc>
        <w:tc>
          <w:tcPr>
            <w:tcW w:w="2477" w:type="dxa"/>
            <w:vMerge w:val="restart"/>
            <w:vAlign w:val="center"/>
          </w:tcPr>
          <w:p w14:paraId="3F333AD0"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Economy</w:t>
            </w:r>
          </w:p>
        </w:tc>
        <w:tc>
          <w:tcPr>
            <w:tcW w:w="4247" w:type="dxa"/>
            <w:vAlign w:val="center"/>
          </w:tcPr>
          <w:p w14:paraId="2B641887"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color w:val="000000"/>
                <w:sz w:val="20"/>
                <w:szCs w:val="20"/>
                <w:lang w:eastAsia="en-GB"/>
              </w:rPr>
              <w:t>Education Funding</w:t>
            </w:r>
          </w:p>
        </w:tc>
        <w:tc>
          <w:tcPr>
            <w:tcW w:w="884" w:type="dxa"/>
            <w:vAlign w:val="center"/>
          </w:tcPr>
          <w:p w14:paraId="3A0DBA27"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1</w:t>
            </w:r>
          </w:p>
        </w:tc>
        <w:tc>
          <w:tcPr>
            <w:tcW w:w="884" w:type="dxa"/>
            <w:vMerge w:val="restart"/>
            <w:vAlign w:val="center"/>
          </w:tcPr>
          <w:p w14:paraId="3BAB2C1B" w14:textId="77777777" w:rsidR="00F00E3D" w:rsidRPr="00E171E6" w:rsidRDefault="00F00E3D" w:rsidP="009B2FA7">
            <w:pPr>
              <w:tabs>
                <w:tab w:val="left" w:pos="2127"/>
              </w:tabs>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3</w:t>
            </w:r>
          </w:p>
        </w:tc>
      </w:tr>
      <w:tr w:rsidR="00F00E3D" w:rsidRPr="00E171E6" w14:paraId="66BD354D" w14:textId="77777777" w:rsidTr="00F05291">
        <w:trPr>
          <w:trHeight w:val="193"/>
        </w:trPr>
        <w:tc>
          <w:tcPr>
            <w:tcW w:w="1061" w:type="dxa"/>
            <w:vMerge/>
          </w:tcPr>
          <w:p w14:paraId="7E427952" w14:textId="77777777" w:rsidR="00F00E3D" w:rsidRPr="00E171E6" w:rsidRDefault="00F00E3D" w:rsidP="009B2FA7">
            <w:pPr>
              <w:contextualSpacing/>
              <w:rPr>
                <w:rFonts w:asciiTheme="majorHAnsi" w:eastAsia="Times New Roman" w:hAnsiTheme="majorHAnsi" w:cstheme="majorHAnsi"/>
                <w:color w:val="000000"/>
                <w:lang w:eastAsia="en-GB"/>
              </w:rPr>
            </w:pPr>
          </w:p>
        </w:tc>
        <w:tc>
          <w:tcPr>
            <w:tcW w:w="2477" w:type="dxa"/>
            <w:vMerge/>
          </w:tcPr>
          <w:p w14:paraId="57352EF5"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2E5743B3"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color w:val="000000"/>
                <w:sz w:val="20"/>
                <w:szCs w:val="20"/>
                <w:lang w:eastAsia="en-GB"/>
              </w:rPr>
              <w:t>Energy Affordability</w:t>
            </w:r>
          </w:p>
        </w:tc>
        <w:tc>
          <w:tcPr>
            <w:tcW w:w="884" w:type="dxa"/>
            <w:vAlign w:val="center"/>
          </w:tcPr>
          <w:p w14:paraId="64CCE392"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2</w:t>
            </w:r>
          </w:p>
        </w:tc>
        <w:tc>
          <w:tcPr>
            <w:tcW w:w="884" w:type="dxa"/>
            <w:vMerge/>
            <w:vAlign w:val="center"/>
          </w:tcPr>
          <w:p w14:paraId="23434510"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724B0A11" w14:textId="77777777" w:rsidTr="00F05291">
        <w:trPr>
          <w:trHeight w:val="405"/>
        </w:trPr>
        <w:tc>
          <w:tcPr>
            <w:tcW w:w="1061" w:type="dxa"/>
            <w:vMerge/>
          </w:tcPr>
          <w:p w14:paraId="03B2B78C" w14:textId="77777777" w:rsidR="00F00E3D" w:rsidRPr="00E171E6" w:rsidRDefault="00F00E3D" w:rsidP="009B2FA7">
            <w:pPr>
              <w:contextualSpacing/>
              <w:rPr>
                <w:rFonts w:asciiTheme="majorHAnsi" w:eastAsia="Times New Roman" w:hAnsiTheme="majorHAnsi" w:cstheme="majorHAnsi"/>
                <w:color w:val="000000"/>
                <w:lang w:eastAsia="en-GB"/>
              </w:rPr>
            </w:pPr>
          </w:p>
        </w:tc>
        <w:tc>
          <w:tcPr>
            <w:tcW w:w="2477" w:type="dxa"/>
            <w:vMerge w:val="restart"/>
            <w:vAlign w:val="center"/>
          </w:tcPr>
          <w:p w14:paraId="7A3830E6"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Policy</w:t>
            </w:r>
          </w:p>
        </w:tc>
        <w:tc>
          <w:tcPr>
            <w:tcW w:w="4247" w:type="dxa"/>
            <w:vAlign w:val="center"/>
          </w:tcPr>
          <w:p w14:paraId="58B8ECDA"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Government Policy (local &amp; national)</w:t>
            </w:r>
          </w:p>
        </w:tc>
        <w:tc>
          <w:tcPr>
            <w:tcW w:w="884" w:type="dxa"/>
            <w:vAlign w:val="center"/>
          </w:tcPr>
          <w:p w14:paraId="4963466E"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sz w:val="20"/>
                <w:szCs w:val="20"/>
                <w:lang w:eastAsia="en-GB"/>
              </w:rPr>
              <w:t>2</w:t>
            </w:r>
          </w:p>
        </w:tc>
        <w:tc>
          <w:tcPr>
            <w:tcW w:w="884" w:type="dxa"/>
            <w:vMerge w:val="restart"/>
            <w:vAlign w:val="center"/>
          </w:tcPr>
          <w:p w14:paraId="0091BEA2"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3</w:t>
            </w:r>
          </w:p>
        </w:tc>
      </w:tr>
      <w:tr w:rsidR="00F00E3D" w:rsidRPr="00E171E6" w14:paraId="5E59735A" w14:textId="77777777" w:rsidTr="00F05291">
        <w:trPr>
          <w:trHeight w:val="301"/>
        </w:trPr>
        <w:tc>
          <w:tcPr>
            <w:tcW w:w="1061" w:type="dxa"/>
            <w:vMerge/>
          </w:tcPr>
          <w:p w14:paraId="43CE1760" w14:textId="77777777" w:rsidR="00F00E3D" w:rsidRPr="00E171E6" w:rsidRDefault="00F00E3D" w:rsidP="009B2FA7">
            <w:pPr>
              <w:contextualSpacing/>
              <w:rPr>
                <w:rFonts w:asciiTheme="majorHAnsi" w:eastAsia="Times New Roman" w:hAnsiTheme="majorHAnsi" w:cstheme="majorHAnsi"/>
                <w:color w:val="000000"/>
                <w:lang w:eastAsia="en-GB"/>
              </w:rPr>
            </w:pPr>
          </w:p>
        </w:tc>
        <w:tc>
          <w:tcPr>
            <w:tcW w:w="2477" w:type="dxa"/>
            <w:vMerge/>
          </w:tcPr>
          <w:p w14:paraId="5463A427"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0D9D43B0"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Human Rights Policy</w:t>
            </w:r>
          </w:p>
        </w:tc>
        <w:tc>
          <w:tcPr>
            <w:tcW w:w="884" w:type="dxa"/>
            <w:vAlign w:val="center"/>
          </w:tcPr>
          <w:p w14:paraId="653A7068"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w:t>
            </w:r>
          </w:p>
        </w:tc>
        <w:tc>
          <w:tcPr>
            <w:tcW w:w="884" w:type="dxa"/>
            <w:vMerge/>
            <w:vAlign w:val="center"/>
          </w:tcPr>
          <w:p w14:paraId="0DF72BD6"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5372F0EA" w14:textId="77777777" w:rsidTr="00F05291">
        <w:trPr>
          <w:trHeight w:val="254"/>
        </w:trPr>
        <w:tc>
          <w:tcPr>
            <w:tcW w:w="1061" w:type="dxa"/>
            <w:vMerge w:val="restart"/>
            <w:textDirection w:val="tbRl"/>
            <w:vAlign w:val="center"/>
          </w:tcPr>
          <w:p w14:paraId="28AB2FE5" w14:textId="77777777" w:rsidR="00F00E3D" w:rsidRPr="00E171E6" w:rsidRDefault="00F00E3D" w:rsidP="009B2FA7">
            <w:pPr>
              <w:contextualSpacing/>
              <w:jc w:val="center"/>
              <w:rPr>
                <w:rFonts w:eastAsia="Times New Roman" w:cstheme="minorHAnsi"/>
                <w:b/>
                <w:bCs/>
                <w:color w:val="000000"/>
                <w:lang w:eastAsia="en-GB"/>
              </w:rPr>
            </w:pPr>
            <w:r w:rsidRPr="00E171E6">
              <w:rPr>
                <w:rFonts w:eastAsia="Times New Roman" w:cstheme="minorHAnsi"/>
                <w:b/>
                <w:bCs/>
                <w:color w:val="000000"/>
                <w:lang w:eastAsia="en-GB"/>
              </w:rPr>
              <w:t>Health</w:t>
            </w:r>
          </w:p>
        </w:tc>
        <w:tc>
          <w:tcPr>
            <w:tcW w:w="2477" w:type="dxa"/>
            <w:vMerge w:val="restart"/>
            <w:vAlign w:val="center"/>
          </w:tcPr>
          <w:p w14:paraId="4A5922C2" w14:textId="77777777" w:rsidR="00F00E3D" w:rsidRPr="00E171E6" w:rsidRDefault="00F00E3D" w:rsidP="009B2FA7">
            <w:pP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Healthcare &amp; Social Services</w:t>
            </w:r>
          </w:p>
        </w:tc>
        <w:tc>
          <w:tcPr>
            <w:tcW w:w="4247" w:type="dxa"/>
            <w:vAlign w:val="center"/>
          </w:tcPr>
          <w:p w14:paraId="589739A7"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color w:val="000000"/>
                <w:sz w:val="20"/>
                <w:szCs w:val="20"/>
                <w:lang w:eastAsia="en-GB"/>
              </w:rPr>
              <w:t>Access to Health Information</w:t>
            </w:r>
          </w:p>
        </w:tc>
        <w:tc>
          <w:tcPr>
            <w:tcW w:w="884" w:type="dxa"/>
            <w:vAlign w:val="center"/>
          </w:tcPr>
          <w:p w14:paraId="3C8B98F4"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1</w:t>
            </w:r>
          </w:p>
        </w:tc>
        <w:tc>
          <w:tcPr>
            <w:tcW w:w="884" w:type="dxa"/>
            <w:vMerge w:val="restart"/>
            <w:vAlign w:val="center"/>
          </w:tcPr>
          <w:p w14:paraId="5277A7F3"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11</w:t>
            </w:r>
          </w:p>
        </w:tc>
      </w:tr>
      <w:tr w:rsidR="00F00E3D" w:rsidRPr="00E171E6" w14:paraId="64291615" w14:textId="77777777" w:rsidTr="00F05291">
        <w:trPr>
          <w:trHeight w:val="254"/>
        </w:trPr>
        <w:tc>
          <w:tcPr>
            <w:tcW w:w="1061" w:type="dxa"/>
            <w:vMerge/>
          </w:tcPr>
          <w:p w14:paraId="7B912077"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09975ECF"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0F1CDC21"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Access to Healthcare</w:t>
            </w:r>
          </w:p>
        </w:tc>
        <w:tc>
          <w:tcPr>
            <w:tcW w:w="884" w:type="dxa"/>
            <w:vAlign w:val="center"/>
          </w:tcPr>
          <w:p w14:paraId="6135A8EA"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w:t>
            </w:r>
          </w:p>
        </w:tc>
        <w:tc>
          <w:tcPr>
            <w:tcW w:w="884" w:type="dxa"/>
            <w:vMerge/>
            <w:vAlign w:val="center"/>
          </w:tcPr>
          <w:p w14:paraId="629E0B6C"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086B9EFD" w14:textId="77777777" w:rsidTr="00F05291">
        <w:trPr>
          <w:trHeight w:val="263"/>
        </w:trPr>
        <w:tc>
          <w:tcPr>
            <w:tcW w:w="1061" w:type="dxa"/>
            <w:vMerge/>
          </w:tcPr>
          <w:p w14:paraId="17411A65"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379E4459"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4DB0D1E3"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Access to Services</w:t>
            </w:r>
          </w:p>
        </w:tc>
        <w:tc>
          <w:tcPr>
            <w:tcW w:w="884" w:type="dxa"/>
            <w:vAlign w:val="center"/>
          </w:tcPr>
          <w:p w14:paraId="1370DD37"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9</w:t>
            </w:r>
          </w:p>
        </w:tc>
        <w:tc>
          <w:tcPr>
            <w:tcW w:w="884" w:type="dxa"/>
            <w:vMerge/>
            <w:vAlign w:val="center"/>
          </w:tcPr>
          <w:p w14:paraId="6BE34219"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20A3640E" w14:textId="77777777" w:rsidTr="00F05291">
        <w:trPr>
          <w:trHeight w:val="519"/>
        </w:trPr>
        <w:tc>
          <w:tcPr>
            <w:tcW w:w="1061" w:type="dxa"/>
            <w:vMerge/>
          </w:tcPr>
          <w:p w14:paraId="23BF0496" w14:textId="77777777" w:rsidR="00F00E3D" w:rsidRPr="00E171E6" w:rsidRDefault="00F00E3D" w:rsidP="009B2FA7">
            <w:pPr>
              <w:contextualSpacing/>
              <w:rPr>
                <w:rFonts w:eastAsia="Times New Roman" w:cstheme="minorHAnsi"/>
                <w:b/>
                <w:bCs/>
                <w:color w:val="000000"/>
                <w:lang w:eastAsia="en-GB"/>
              </w:rPr>
            </w:pPr>
          </w:p>
        </w:tc>
        <w:tc>
          <w:tcPr>
            <w:tcW w:w="2477" w:type="dxa"/>
            <w:vAlign w:val="center"/>
          </w:tcPr>
          <w:p w14:paraId="721FBC91" w14:textId="77777777" w:rsidR="00F00E3D" w:rsidRPr="00E171E6" w:rsidRDefault="00F00E3D" w:rsidP="009B2FA7">
            <w:pP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Personal Health Status</w:t>
            </w:r>
          </w:p>
        </w:tc>
        <w:tc>
          <w:tcPr>
            <w:tcW w:w="4247" w:type="dxa"/>
            <w:vAlign w:val="center"/>
          </w:tcPr>
          <w:p w14:paraId="4691EADB"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Individual Health</w:t>
            </w:r>
          </w:p>
        </w:tc>
        <w:tc>
          <w:tcPr>
            <w:tcW w:w="884" w:type="dxa"/>
            <w:vAlign w:val="center"/>
          </w:tcPr>
          <w:p w14:paraId="66EBA7DA"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w:t>
            </w:r>
          </w:p>
        </w:tc>
        <w:tc>
          <w:tcPr>
            <w:tcW w:w="884" w:type="dxa"/>
            <w:vAlign w:val="center"/>
          </w:tcPr>
          <w:p w14:paraId="79933D4B"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w:t>
            </w:r>
          </w:p>
        </w:tc>
      </w:tr>
      <w:tr w:rsidR="00F00E3D" w:rsidRPr="00E171E6" w14:paraId="50DC0134" w14:textId="77777777" w:rsidTr="00F05291">
        <w:trPr>
          <w:trHeight w:val="254"/>
        </w:trPr>
        <w:tc>
          <w:tcPr>
            <w:tcW w:w="1061" w:type="dxa"/>
            <w:vMerge w:val="restart"/>
            <w:textDirection w:val="tbRl"/>
            <w:vAlign w:val="center"/>
          </w:tcPr>
          <w:p w14:paraId="37421FAA" w14:textId="77777777" w:rsidR="00F00E3D" w:rsidRPr="00E171E6" w:rsidRDefault="00F00E3D" w:rsidP="009B2FA7">
            <w:pPr>
              <w:tabs>
                <w:tab w:val="left" w:pos="1457"/>
              </w:tabs>
              <w:contextualSpacing/>
              <w:jc w:val="center"/>
              <w:rPr>
                <w:rFonts w:eastAsia="Times New Roman" w:cstheme="minorHAnsi"/>
                <w:b/>
                <w:bCs/>
                <w:color w:val="000000"/>
                <w:lang w:eastAsia="en-GB"/>
              </w:rPr>
            </w:pPr>
            <w:r w:rsidRPr="00E171E6">
              <w:rPr>
                <w:rFonts w:eastAsia="Times New Roman" w:cstheme="minorHAnsi"/>
                <w:b/>
                <w:bCs/>
                <w:color w:val="000000"/>
                <w:lang w:eastAsia="en-GB"/>
              </w:rPr>
              <w:t>Social</w:t>
            </w:r>
          </w:p>
        </w:tc>
        <w:tc>
          <w:tcPr>
            <w:tcW w:w="2477" w:type="dxa"/>
            <w:vMerge w:val="restart"/>
            <w:vAlign w:val="center"/>
          </w:tcPr>
          <w:p w14:paraId="7EC58788" w14:textId="77777777" w:rsidR="00F00E3D" w:rsidRPr="00E171E6" w:rsidRDefault="00F00E3D" w:rsidP="009B2FA7">
            <w:pPr>
              <w:tabs>
                <w:tab w:val="left" w:pos="1457"/>
              </w:tabs>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Behaviours</w:t>
            </w:r>
          </w:p>
        </w:tc>
        <w:tc>
          <w:tcPr>
            <w:tcW w:w="4247" w:type="dxa"/>
            <w:vAlign w:val="center"/>
          </w:tcPr>
          <w:p w14:paraId="7AED773F" w14:textId="77777777" w:rsidR="00F00E3D" w:rsidRPr="00E171E6" w:rsidRDefault="00F00E3D" w:rsidP="009B2FA7">
            <w:pPr>
              <w:tabs>
                <w:tab w:val="left" w:pos="1457"/>
              </w:tabs>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color w:val="000000"/>
                <w:sz w:val="20"/>
                <w:szCs w:val="20"/>
                <w:lang w:eastAsia="en-GB"/>
              </w:rPr>
              <w:t>Personal Behaviours</w:t>
            </w:r>
          </w:p>
        </w:tc>
        <w:tc>
          <w:tcPr>
            <w:tcW w:w="884" w:type="dxa"/>
            <w:vAlign w:val="center"/>
          </w:tcPr>
          <w:p w14:paraId="03049C0F"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3</w:t>
            </w:r>
          </w:p>
        </w:tc>
        <w:tc>
          <w:tcPr>
            <w:tcW w:w="884" w:type="dxa"/>
            <w:vMerge w:val="restart"/>
            <w:vAlign w:val="center"/>
          </w:tcPr>
          <w:p w14:paraId="62E39BC7"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4</w:t>
            </w:r>
          </w:p>
        </w:tc>
      </w:tr>
      <w:tr w:rsidR="00F00E3D" w:rsidRPr="00E171E6" w14:paraId="2237375B" w14:textId="77777777" w:rsidTr="00F05291">
        <w:trPr>
          <w:trHeight w:val="254"/>
        </w:trPr>
        <w:tc>
          <w:tcPr>
            <w:tcW w:w="1061" w:type="dxa"/>
            <w:vMerge/>
          </w:tcPr>
          <w:p w14:paraId="2327058E" w14:textId="77777777" w:rsidR="00F00E3D" w:rsidRPr="00E171E6" w:rsidRDefault="00F00E3D" w:rsidP="009B2FA7">
            <w:pPr>
              <w:tabs>
                <w:tab w:val="left" w:pos="1457"/>
              </w:tabs>
              <w:contextualSpacing/>
              <w:rPr>
                <w:rFonts w:eastAsia="Times New Roman" w:cstheme="minorHAnsi"/>
                <w:b/>
                <w:bCs/>
                <w:color w:val="000000"/>
                <w:lang w:eastAsia="en-GB"/>
              </w:rPr>
            </w:pPr>
          </w:p>
        </w:tc>
        <w:tc>
          <w:tcPr>
            <w:tcW w:w="2477" w:type="dxa"/>
            <w:vMerge/>
          </w:tcPr>
          <w:p w14:paraId="2B0CCE03" w14:textId="77777777" w:rsidR="00F00E3D" w:rsidRPr="00E171E6" w:rsidRDefault="00F00E3D" w:rsidP="009B2FA7">
            <w:pPr>
              <w:tabs>
                <w:tab w:val="left" w:pos="1457"/>
              </w:tabs>
              <w:contextualSpacing/>
              <w:rPr>
                <w:rFonts w:asciiTheme="majorHAnsi" w:eastAsia="Times New Roman" w:hAnsiTheme="majorHAnsi" w:cstheme="majorHAnsi"/>
                <w:color w:val="000000"/>
                <w:sz w:val="20"/>
                <w:szCs w:val="20"/>
                <w:lang w:eastAsia="en-GB"/>
              </w:rPr>
            </w:pPr>
          </w:p>
        </w:tc>
        <w:tc>
          <w:tcPr>
            <w:tcW w:w="4247" w:type="dxa"/>
            <w:vAlign w:val="center"/>
          </w:tcPr>
          <w:p w14:paraId="25481020" w14:textId="77777777" w:rsidR="00F00E3D" w:rsidRPr="00E171E6" w:rsidRDefault="00F00E3D" w:rsidP="009B2FA7">
            <w:pPr>
              <w:tabs>
                <w:tab w:val="left" w:pos="1457"/>
              </w:tabs>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Personal Motivation</w:t>
            </w:r>
          </w:p>
        </w:tc>
        <w:tc>
          <w:tcPr>
            <w:tcW w:w="884" w:type="dxa"/>
            <w:vAlign w:val="center"/>
          </w:tcPr>
          <w:p w14:paraId="589F5698"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w:t>
            </w:r>
          </w:p>
        </w:tc>
        <w:tc>
          <w:tcPr>
            <w:tcW w:w="884" w:type="dxa"/>
            <w:vMerge/>
            <w:vAlign w:val="center"/>
          </w:tcPr>
          <w:p w14:paraId="73C9DD2F"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07B93A36" w14:textId="77777777" w:rsidTr="00F05291">
        <w:trPr>
          <w:trHeight w:val="226"/>
        </w:trPr>
        <w:tc>
          <w:tcPr>
            <w:tcW w:w="1061" w:type="dxa"/>
            <w:vMerge/>
          </w:tcPr>
          <w:p w14:paraId="3B536B76" w14:textId="77777777" w:rsidR="00F00E3D" w:rsidRPr="00E171E6" w:rsidRDefault="00F00E3D" w:rsidP="009B2FA7">
            <w:pPr>
              <w:tabs>
                <w:tab w:val="left" w:pos="3181"/>
              </w:tabs>
              <w:contextualSpacing/>
              <w:rPr>
                <w:rFonts w:eastAsia="Times New Roman" w:cstheme="minorHAnsi"/>
                <w:b/>
                <w:bCs/>
                <w:color w:val="000000"/>
                <w:lang w:eastAsia="en-GB"/>
              </w:rPr>
            </w:pPr>
          </w:p>
        </w:tc>
        <w:tc>
          <w:tcPr>
            <w:tcW w:w="2477" w:type="dxa"/>
            <w:vMerge w:val="restart"/>
            <w:vAlign w:val="center"/>
          </w:tcPr>
          <w:p w14:paraId="0A4E59B3" w14:textId="77777777" w:rsidR="00F00E3D" w:rsidRPr="00E171E6" w:rsidRDefault="00F00E3D" w:rsidP="009B2FA7">
            <w:pP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Crime &amp; Safety</w:t>
            </w:r>
          </w:p>
        </w:tc>
        <w:tc>
          <w:tcPr>
            <w:tcW w:w="4247" w:type="dxa"/>
            <w:vAlign w:val="center"/>
          </w:tcPr>
          <w:p w14:paraId="7AD3D49B" w14:textId="77777777" w:rsidR="00F00E3D" w:rsidRPr="00E171E6" w:rsidRDefault="00F00E3D" w:rsidP="009B2FA7">
            <w:pPr>
              <w:tabs>
                <w:tab w:val="left" w:pos="3181"/>
              </w:tabs>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color w:val="000000"/>
                <w:sz w:val="20"/>
                <w:szCs w:val="20"/>
                <w:lang w:eastAsia="en-GB"/>
              </w:rPr>
              <w:t>Crime</w:t>
            </w:r>
          </w:p>
        </w:tc>
        <w:tc>
          <w:tcPr>
            <w:tcW w:w="884" w:type="dxa"/>
            <w:vAlign w:val="center"/>
          </w:tcPr>
          <w:p w14:paraId="2B90416F" w14:textId="77777777" w:rsidR="00F00E3D" w:rsidRPr="00E171E6" w:rsidRDefault="00F00E3D" w:rsidP="009B2FA7">
            <w:pPr>
              <w:tabs>
                <w:tab w:val="left" w:pos="854"/>
              </w:tabs>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5</w:t>
            </w:r>
          </w:p>
        </w:tc>
        <w:tc>
          <w:tcPr>
            <w:tcW w:w="884" w:type="dxa"/>
            <w:vMerge w:val="restart"/>
            <w:vAlign w:val="center"/>
          </w:tcPr>
          <w:p w14:paraId="582B145E" w14:textId="77777777" w:rsidR="00F00E3D" w:rsidRPr="00E171E6" w:rsidRDefault="00F00E3D" w:rsidP="009B2FA7">
            <w:pPr>
              <w:tabs>
                <w:tab w:val="left" w:pos="854"/>
              </w:tabs>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19</w:t>
            </w:r>
          </w:p>
        </w:tc>
      </w:tr>
      <w:tr w:rsidR="00F00E3D" w:rsidRPr="00E171E6" w14:paraId="6D57B883" w14:textId="77777777" w:rsidTr="00F05291">
        <w:trPr>
          <w:trHeight w:val="263"/>
        </w:trPr>
        <w:tc>
          <w:tcPr>
            <w:tcW w:w="1061" w:type="dxa"/>
            <w:vMerge/>
          </w:tcPr>
          <w:p w14:paraId="67FAD7D9" w14:textId="77777777" w:rsidR="00F00E3D" w:rsidRPr="00E171E6" w:rsidRDefault="00F00E3D" w:rsidP="009B2FA7">
            <w:pPr>
              <w:tabs>
                <w:tab w:val="left" w:pos="3181"/>
              </w:tabs>
              <w:contextualSpacing/>
              <w:rPr>
                <w:rFonts w:eastAsia="Times New Roman" w:cstheme="minorHAnsi"/>
                <w:b/>
                <w:bCs/>
                <w:color w:val="000000"/>
                <w:lang w:eastAsia="en-GB"/>
              </w:rPr>
            </w:pPr>
          </w:p>
        </w:tc>
        <w:tc>
          <w:tcPr>
            <w:tcW w:w="2477" w:type="dxa"/>
            <w:vMerge/>
          </w:tcPr>
          <w:p w14:paraId="1D377C72" w14:textId="77777777" w:rsidR="00F00E3D" w:rsidRPr="00E171E6" w:rsidRDefault="00F00E3D" w:rsidP="009B2FA7">
            <w:pPr>
              <w:tabs>
                <w:tab w:val="left" w:pos="3181"/>
              </w:tabs>
              <w:contextualSpacing/>
              <w:rPr>
                <w:rFonts w:asciiTheme="majorHAnsi" w:eastAsia="Times New Roman" w:hAnsiTheme="majorHAnsi" w:cstheme="majorHAnsi"/>
                <w:color w:val="000000"/>
                <w:sz w:val="20"/>
                <w:szCs w:val="20"/>
                <w:lang w:eastAsia="en-GB"/>
              </w:rPr>
            </w:pPr>
          </w:p>
        </w:tc>
        <w:tc>
          <w:tcPr>
            <w:tcW w:w="4247" w:type="dxa"/>
            <w:vAlign w:val="center"/>
          </w:tcPr>
          <w:p w14:paraId="74ADE85E" w14:textId="77777777" w:rsidR="00F00E3D" w:rsidRPr="00E171E6" w:rsidRDefault="00F00E3D" w:rsidP="009B2FA7">
            <w:pPr>
              <w:tabs>
                <w:tab w:val="left" w:pos="3181"/>
              </w:tabs>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Neighbourhood Reputation</w:t>
            </w:r>
          </w:p>
        </w:tc>
        <w:tc>
          <w:tcPr>
            <w:tcW w:w="884" w:type="dxa"/>
            <w:vAlign w:val="center"/>
          </w:tcPr>
          <w:p w14:paraId="4EB85EE0" w14:textId="77777777" w:rsidR="00F00E3D" w:rsidRPr="00E171E6" w:rsidRDefault="00F00E3D" w:rsidP="009B2FA7">
            <w:pPr>
              <w:tabs>
                <w:tab w:val="left" w:pos="854"/>
              </w:tabs>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2</w:t>
            </w:r>
          </w:p>
        </w:tc>
        <w:tc>
          <w:tcPr>
            <w:tcW w:w="884" w:type="dxa"/>
            <w:vMerge/>
            <w:vAlign w:val="center"/>
          </w:tcPr>
          <w:p w14:paraId="121C939D" w14:textId="77777777" w:rsidR="00F00E3D" w:rsidRPr="00E171E6" w:rsidRDefault="00F00E3D" w:rsidP="009B2FA7">
            <w:pPr>
              <w:tabs>
                <w:tab w:val="left" w:pos="854"/>
              </w:tabs>
              <w:contextualSpacing/>
              <w:jc w:val="center"/>
              <w:rPr>
                <w:rFonts w:asciiTheme="majorHAnsi" w:eastAsia="Times New Roman" w:hAnsiTheme="majorHAnsi" w:cstheme="majorHAnsi"/>
                <w:color w:val="000000"/>
                <w:sz w:val="20"/>
                <w:szCs w:val="20"/>
                <w:lang w:eastAsia="en-GB"/>
              </w:rPr>
            </w:pPr>
          </w:p>
        </w:tc>
      </w:tr>
      <w:tr w:rsidR="00F00E3D" w:rsidRPr="00E171E6" w14:paraId="7A2E84D3" w14:textId="77777777" w:rsidTr="00F05291">
        <w:trPr>
          <w:trHeight w:val="263"/>
        </w:trPr>
        <w:tc>
          <w:tcPr>
            <w:tcW w:w="1061" w:type="dxa"/>
            <w:vMerge/>
          </w:tcPr>
          <w:p w14:paraId="594E688F" w14:textId="77777777" w:rsidR="00F00E3D" w:rsidRPr="00E171E6" w:rsidRDefault="00F00E3D" w:rsidP="009B2FA7">
            <w:pPr>
              <w:tabs>
                <w:tab w:val="left" w:pos="3181"/>
              </w:tabs>
              <w:contextualSpacing/>
              <w:rPr>
                <w:rFonts w:eastAsia="Times New Roman" w:cstheme="minorHAnsi"/>
                <w:b/>
                <w:bCs/>
                <w:color w:val="000000"/>
                <w:lang w:eastAsia="en-GB"/>
              </w:rPr>
            </w:pPr>
          </w:p>
        </w:tc>
        <w:tc>
          <w:tcPr>
            <w:tcW w:w="2477" w:type="dxa"/>
            <w:vMerge/>
          </w:tcPr>
          <w:p w14:paraId="300E103D" w14:textId="77777777" w:rsidR="00F00E3D" w:rsidRPr="00E171E6" w:rsidRDefault="00F00E3D" w:rsidP="009B2FA7">
            <w:pPr>
              <w:tabs>
                <w:tab w:val="left" w:pos="3181"/>
              </w:tabs>
              <w:contextualSpacing/>
              <w:rPr>
                <w:rFonts w:asciiTheme="majorHAnsi" w:eastAsia="Times New Roman" w:hAnsiTheme="majorHAnsi" w:cstheme="majorHAnsi"/>
                <w:color w:val="000000"/>
                <w:sz w:val="20"/>
                <w:szCs w:val="20"/>
                <w:lang w:eastAsia="en-GB"/>
              </w:rPr>
            </w:pPr>
          </w:p>
        </w:tc>
        <w:tc>
          <w:tcPr>
            <w:tcW w:w="4247" w:type="dxa"/>
            <w:vAlign w:val="center"/>
          </w:tcPr>
          <w:p w14:paraId="2691C948" w14:textId="77777777" w:rsidR="00F00E3D" w:rsidRPr="00E171E6" w:rsidRDefault="00F00E3D" w:rsidP="009B2FA7">
            <w:pPr>
              <w:tabs>
                <w:tab w:val="left" w:pos="3181"/>
              </w:tabs>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Neighbourhood Safety</w:t>
            </w:r>
          </w:p>
        </w:tc>
        <w:tc>
          <w:tcPr>
            <w:tcW w:w="884" w:type="dxa"/>
            <w:vAlign w:val="center"/>
          </w:tcPr>
          <w:p w14:paraId="41E38FD2" w14:textId="77777777" w:rsidR="00F00E3D" w:rsidRPr="00E171E6" w:rsidRDefault="00F00E3D" w:rsidP="009B2FA7">
            <w:pPr>
              <w:tabs>
                <w:tab w:val="left" w:pos="854"/>
              </w:tabs>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9</w:t>
            </w:r>
          </w:p>
        </w:tc>
        <w:tc>
          <w:tcPr>
            <w:tcW w:w="884" w:type="dxa"/>
            <w:vMerge/>
            <w:vAlign w:val="center"/>
          </w:tcPr>
          <w:p w14:paraId="52113BC3" w14:textId="77777777" w:rsidR="00F00E3D" w:rsidRPr="00E171E6" w:rsidRDefault="00F00E3D" w:rsidP="009B2FA7">
            <w:pPr>
              <w:tabs>
                <w:tab w:val="left" w:pos="854"/>
              </w:tabs>
              <w:contextualSpacing/>
              <w:jc w:val="center"/>
              <w:rPr>
                <w:rFonts w:asciiTheme="majorHAnsi" w:eastAsia="Times New Roman" w:hAnsiTheme="majorHAnsi" w:cstheme="majorHAnsi"/>
                <w:color w:val="000000"/>
                <w:sz w:val="20"/>
                <w:szCs w:val="20"/>
                <w:lang w:eastAsia="en-GB"/>
              </w:rPr>
            </w:pPr>
          </w:p>
        </w:tc>
      </w:tr>
      <w:tr w:rsidR="00F00E3D" w:rsidRPr="00E171E6" w14:paraId="1C8898BA" w14:textId="77777777" w:rsidTr="00F05291">
        <w:trPr>
          <w:trHeight w:val="254"/>
        </w:trPr>
        <w:tc>
          <w:tcPr>
            <w:tcW w:w="1061" w:type="dxa"/>
            <w:vMerge/>
          </w:tcPr>
          <w:p w14:paraId="65AA7C73"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587533E6"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2354DC84"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color w:val="000000"/>
                <w:sz w:val="20"/>
                <w:szCs w:val="20"/>
                <w:lang w:eastAsia="en-GB"/>
              </w:rPr>
              <w:t>Violence</w:t>
            </w:r>
          </w:p>
        </w:tc>
        <w:tc>
          <w:tcPr>
            <w:tcW w:w="884" w:type="dxa"/>
            <w:vAlign w:val="center"/>
          </w:tcPr>
          <w:p w14:paraId="099C8541"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2</w:t>
            </w:r>
          </w:p>
        </w:tc>
        <w:tc>
          <w:tcPr>
            <w:tcW w:w="884" w:type="dxa"/>
            <w:vMerge/>
            <w:vAlign w:val="center"/>
          </w:tcPr>
          <w:p w14:paraId="54B0C529"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1857E44B" w14:textId="77777777" w:rsidTr="00F05291">
        <w:trPr>
          <w:trHeight w:val="263"/>
        </w:trPr>
        <w:tc>
          <w:tcPr>
            <w:tcW w:w="1061" w:type="dxa"/>
            <w:vMerge/>
          </w:tcPr>
          <w:p w14:paraId="3F57E173" w14:textId="77777777" w:rsidR="00F00E3D" w:rsidRPr="00E171E6" w:rsidRDefault="00F00E3D" w:rsidP="009B2FA7">
            <w:pPr>
              <w:contextualSpacing/>
              <w:rPr>
                <w:rFonts w:eastAsia="Times New Roman" w:cstheme="minorHAnsi"/>
                <w:b/>
                <w:bCs/>
                <w:color w:val="000000"/>
                <w:lang w:eastAsia="en-GB"/>
              </w:rPr>
            </w:pPr>
          </w:p>
        </w:tc>
        <w:tc>
          <w:tcPr>
            <w:tcW w:w="2477" w:type="dxa"/>
            <w:vMerge w:val="restart"/>
            <w:vAlign w:val="center"/>
          </w:tcPr>
          <w:p w14:paraId="2970D65D" w14:textId="77777777" w:rsidR="00F00E3D" w:rsidRPr="00E171E6" w:rsidRDefault="00F00E3D" w:rsidP="009B2FA7">
            <w:pP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Employment &amp; Work</w:t>
            </w:r>
          </w:p>
        </w:tc>
        <w:tc>
          <w:tcPr>
            <w:tcW w:w="4247" w:type="dxa"/>
            <w:vAlign w:val="center"/>
          </w:tcPr>
          <w:p w14:paraId="68DC829A"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color w:val="000000"/>
                <w:sz w:val="20"/>
                <w:szCs w:val="20"/>
                <w:lang w:eastAsia="en-GB"/>
              </w:rPr>
              <w:t>Access to Employment</w:t>
            </w:r>
          </w:p>
        </w:tc>
        <w:tc>
          <w:tcPr>
            <w:tcW w:w="884" w:type="dxa"/>
            <w:vAlign w:val="center"/>
          </w:tcPr>
          <w:p w14:paraId="6E8B3F76"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4</w:t>
            </w:r>
          </w:p>
        </w:tc>
        <w:tc>
          <w:tcPr>
            <w:tcW w:w="884" w:type="dxa"/>
            <w:vMerge w:val="restart"/>
            <w:vAlign w:val="center"/>
          </w:tcPr>
          <w:p w14:paraId="6F0E72D2"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13</w:t>
            </w:r>
          </w:p>
        </w:tc>
      </w:tr>
      <w:tr w:rsidR="00F00E3D" w:rsidRPr="00E171E6" w14:paraId="60D56D91" w14:textId="77777777" w:rsidTr="00F05291">
        <w:trPr>
          <w:trHeight w:val="263"/>
        </w:trPr>
        <w:tc>
          <w:tcPr>
            <w:tcW w:w="1061" w:type="dxa"/>
            <w:vMerge/>
          </w:tcPr>
          <w:p w14:paraId="7EDDCA6A"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1DAB350D"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4C1F06F8"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color w:val="000000"/>
                <w:sz w:val="20"/>
                <w:szCs w:val="20"/>
                <w:lang w:eastAsia="en-GB"/>
              </w:rPr>
              <w:t xml:space="preserve">Employment </w:t>
            </w:r>
          </w:p>
        </w:tc>
        <w:tc>
          <w:tcPr>
            <w:tcW w:w="884" w:type="dxa"/>
            <w:vAlign w:val="center"/>
          </w:tcPr>
          <w:p w14:paraId="5D5B2A5D"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7</w:t>
            </w:r>
          </w:p>
        </w:tc>
        <w:tc>
          <w:tcPr>
            <w:tcW w:w="884" w:type="dxa"/>
            <w:vMerge/>
            <w:vAlign w:val="center"/>
          </w:tcPr>
          <w:p w14:paraId="0D751C90"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4D8FCA8F" w14:textId="77777777" w:rsidTr="00F05291">
        <w:trPr>
          <w:trHeight w:val="263"/>
        </w:trPr>
        <w:tc>
          <w:tcPr>
            <w:tcW w:w="1061" w:type="dxa"/>
            <w:vMerge/>
          </w:tcPr>
          <w:p w14:paraId="76D948C9"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08CA438E"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528E4DDD"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color w:val="000000"/>
                <w:sz w:val="20"/>
                <w:szCs w:val="20"/>
                <w:lang w:eastAsia="en-GB"/>
              </w:rPr>
              <w:t>Skills</w:t>
            </w:r>
          </w:p>
        </w:tc>
        <w:tc>
          <w:tcPr>
            <w:tcW w:w="884" w:type="dxa"/>
            <w:vAlign w:val="center"/>
          </w:tcPr>
          <w:p w14:paraId="384E08BA"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2</w:t>
            </w:r>
          </w:p>
        </w:tc>
        <w:tc>
          <w:tcPr>
            <w:tcW w:w="884" w:type="dxa"/>
            <w:vMerge/>
            <w:vAlign w:val="center"/>
          </w:tcPr>
          <w:p w14:paraId="24B1A190"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48F12BDD" w14:textId="77777777" w:rsidTr="00F05291">
        <w:trPr>
          <w:trHeight w:val="150"/>
        </w:trPr>
        <w:tc>
          <w:tcPr>
            <w:tcW w:w="1061" w:type="dxa"/>
            <w:vMerge/>
          </w:tcPr>
          <w:p w14:paraId="205AA119" w14:textId="77777777" w:rsidR="00F00E3D" w:rsidRPr="00E171E6" w:rsidRDefault="00F00E3D" w:rsidP="009B2FA7">
            <w:pPr>
              <w:contextualSpacing/>
              <w:rPr>
                <w:rFonts w:eastAsia="Times New Roman" w:cstheme="minorHAnsi"/>
                <w:b/>
                <w:bCs/>
                <w:color w:val="000000"/>
                <w:lang w:eastAsia="en-GB"/>
              </w:rPr>
            </w:pPr>
          </w:p>
        </w:tc>
        <w:tc>
          <w:tcPr>
            <w:tcW w:w="2477" w:type="dxa"/>
            <w:vMerge w:val="restart"/>
            <w:vAlign w:val="center"/>
          </w:tcPr>
          <w:p w14:paraId="4FE30B0E" w14:textId="77777777" w:rsidR="00F00E3D" w:rsidRPr="00E171E6" w:rsidRDefault="00F00E3D" w:rsidP="009B2FA7">
            <w:pP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Housing</w:t>
            </w:r>
          </w:p>
        </w:tc>
        <w:tc>
          <w:tcPr>
            <w:tcW w:w="4247" w:type="dxa"/>
            <w:vAlign w:val="center"/>
          </w:tcPr>
          <w:p w14:paraId="542C0328"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Housing (access to Affordable Housing)</w:t>
            </w:r>
          </w:p>
        </w:tc>
        <w:tc>
          <w:tcPr>
            <w:tcW w:w="884" w:type="dxa"/>
            <w:vAlign w:val="center"/>
          </w:tcPr>
          <w:p w14:paraId="37820506"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color w:val="000000"/>
                <w:sz w:val="20"/>
                <w:szCs w:val="20"/>
                <w:lang w:eastAsia="en-GB"/>
              </w:rPr>
              <w:t>10</w:t>
            </w:r>
          </w:p>
        </w:tc>
        <w:tc>
          <w:tcPr>
            <w:tcW w:w="884" w:type="dxa"/>
            <w:vMerge w:val="restart"/>
            <w:vAlign w:val="center"/>
          </w:tcPr>
          <w:p w14:paraId="12079BD0"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14</w:t>
            </w:r>
          </w:p>
        </w:tc>
      </w:tr>
      <w:tr w:rsidR="00F00E3D" w:rsidRPr="00E171E6" w14:paraId="32A0E2BE" w14:textId="77777777" w:rsidTr="00F05291">
        <w:trPr>
          <w:trHeight w:val="263"/>
        </w:trPr>
        <w:tc>
          <w:tcPr>
            <w:tcW w:w="1061" w:type="dxa"/>
            <w:vMerge/>
          </w:tcPr>
          <w:p w14:paraId="672CAB0E" w14:textId="77777777" w:rsidR="00F00E3D" w:rsidRPr="00E171E6" w:rsidRDefault="00F00E3D" w:rsidP="009B2FA7">
            <w:pPr>
              <w:tabs>
                <w:tab w:val="left" w:pos="2713"/>
              </w:tabs>
              <w:contextualSpacing/>
              <w:rPr>
                <w:rFonts w:eastAsia="Times New Roman" w:cstheme="minorHAnsi"/>
                <w:b/>
                <w:bCs/>
                <w:color w:val="000000"/>
                <w:lang w:eastAsia="en-GB"/>
              </w:rPr>
            </w:pPr>
          </w:p>
        </w:tc>
        <w:tc>
          <w:tcPr>
            <w:tcW w:w="2477" w:type="dxa"/>
            <w:vMerge/>
          </w:tcPr>
          <w:p w14:paraId="37AB15E6" w14:textId="77777777" w:rsidR="00F00E3D" w:rsidRPr="00E171E6" w:rsidRDefault="00F00E3D" w:rsidP="009B2FA7">
            <w:pPr>
              <w:tabs>
                <w:tab w:val="left" w:pos="2713"/>
              </w:tabs>
              <w:contextualSpacing/>
              <w:rPr>
                <w:rFonts w:asciiTheme="majorHAnsi" w:eastAsia="Times New Roman" w:hAnsiTheme="majorHAnsi" w:cstheme="majorHAnsi"/>
                <w:color w:val="000000"/>
                <w:sz w:val="20"/>
                <w:szCs w:val="20"/>
                <w:lang w:eastAsia="en-GB"/>
              </w:rPr>
            </w:pPr>
          </w:p>
        </w:tc>
        <w:tc>
          <w:tcPr>
            <w:tcW w:w="4247" w:type="dxa"/>
            <w:vAlign w:val="center"/>
          </w:tcPr>
          <w:p w14:paraId="3973DBEA" w14:textId="77777777" w:rsidR="00F00E3D" w:rsidRPr="00E171E6" w:rsidRDefault="00F00E3D" w:rsidP="009B2FA7">
            <w:pPr>
              <w:tabs>
                <w:tab w:val="left" w:pos="2713"/>
              </w:tabs>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Housing (Home-making Practices)</w:t>
            </w:r>
          </w:p>
        </w:tc>
        <w:tc>
          <w:tcPr>
            <w:tcW w:w="884" w:type="dxa"/>
            <w:vAlign w:val="center"/>
          </w:tcPr>
          <w:p w14:paraId="2CC8852A"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1</w:t>
            </w:r>
          </w:p>
        </w:tc>
        <w:tc>
          <w:tcPr>
            <w:tcW w:w="884" w:type="dxa"/>
            <w:vMerge/>
            <w:vAlign w:val="center"/>
          </w:tcPr>
          <w:p w14:paraId="23A957FA"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412B095F" w14:textId="77777777" w:rsidTr="00F05291">
        <w:trPr>
          <w:trHeight w:val="263"/>
        </w:trPr>
        <w:tc>
          <w:tcPr>
            <w:tcW w:w="1061" w:type="dxa"/>
            <w:vMerge/>
          </w:tcPr>
          <w:p w14:paraId="61277374" w14:textId="77777777" w:rsidR="00F00E3D" w:rsidRPr="00E171E6" w:rsidRDefault="00F00E3D" w:rsidP="009B2FA7">
            <w:pPr>
              <w:tabs>
                <w:tab w:val="left" w:pos="2713"/>
              </w:tabs>
              <w:contextualSpacing/>
              <w:rPr>
                <w:rFonts w:eastAsia="Times New Roman" w:cstheme="minorHAnsi"/>
                <w:b/>
                <w:bCs/>
                <w:color w:val="000000"/>
                <w:lang w:eastAsia="en-GB"/>
              </w:rPr>
            </w:pPr>
          </w:p>
        </w:tc>
        <w:tc>
          <w:tcPr>
            <w:tcW w:w="2477" w:type="dxa"/>
            <w:vMerge/>
          </w:tcPr>
          <w:p w14:paraId="41852094" w14:textId="77777777" w:rsidR="00F00E3D" w:rsidRPr="00E171E6" w:rsidRDefault="00F00E3D" w:rsidP="009B2FA7">
            <w:pPr>
              <w:tabs>
                <w:tab w:val="left" w:pos="2713"/>
              </w:tabs>
              <w:contextualSpacing/>
              <w:rPr>
                <w:rFonts w:asciiTheme="majorHAnsi" w:eastAsia="Times New Roman" w:hAnsiTheme="majorHAnsi" w:cstheme="majorHAnsi"/>
                <w:color w:val="000000"/>
                <w:sz w:val="20"/>
                <w:szCs w:val="20"/>
                <w:lang w:eastAsia="en-GB"/>
              </w:rPr>
            </w:pPr>
          </w:p>
        </w:tc>
        <w:tc>
          <w:tcPr>
            <w:tcW w:w="4247" w:type="dxa"/>
            <w:vAlign w:val="center"/>
          </w:tcPr>
          <w:p w14:paraId="2B3F95C6" w14:textId="77777777" w:rsidR="00F00E3D" w:rsidRPr="00E171E6" w:rsidRDefault="00F00E3D" w:rsidP="009B2FA7">
            <w:pPr>
              <w:tabs>
                <w:tab w:val="left" w:pos="2713"/>
              </w:tabs>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Housing (length of tenure/stay)</w:t>
            </w:r>
          </w:p>
        </w:tc>
        <w:tc>
          <w:tcPr>
            <w:tcW w:w="884" w:type="dxa"/>
            <w:vAlign w:val="center"/>
          </w:tcPr>
          <w:p w14:paraId="416195C3"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w:t>
            </w:r>
          </w:p>
        </w:tc>
        <w:tc>
          <w:tcPr>
            <w:tcW w:w="884" w:type="dxa"/>
            <w:vMerge/>
            <w:vAlign w:val="center"/>
          </w:tcPr>
          <w:p w14:paraId="57BB2298"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65226AF2" w14:textId="77777777" w:rsidTr="00F05291">
        <w:trPr>
          <w:trHeight w:val="254"/>
        </w:trPr>
        <w:tc>
          <w:tcPr>
            <w:tcW w:w="1061" w:type="dxa"/>
            <w:vMerge/>
          </w:tcPr>
          <w:p w14:paraId="2B13476C" w14:textId="77777777" w:rsidR="00F00E3D" w:rsidRPr="00E171E6" w:rsidRDefault="00F00E3D" w:rsidP="009B2FA7">
            <w:pPr>
              <w:contextualSpacing/>
              <w:rPr>
                <w:rFonts w:eastAsia="Times New Roman" w:cstheme="minorHAnsi"/>
                <w:b/>
                <w:bCs/>
                <w:color w:val="000000"/>
                <w:lang w:eastAsia="en-GB"/>
              </w:rPr>
            </w:pPr>
          </w:p>
        </w:tc>
        <w:tc>
          <w:tcPr>
            <w:tcW w:w="2477" w:type="dxa"/>
            <w:vMerge w:val="restart"/>
            <w:vAlign w:val="center"/>
          </w:tcPr>
          <w:p w14:paraId="1DA7BFC5" w14:textId="77777777" w:rsidR="00F00E3D"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 xml:space="preserve">Social </w:t>
            </w:r>
            <w:r>
              <w:rPr>
                <w:rFonts w:asciiTheme="majorHAnsi" w:eastAsia="Times New Roman" w:hAnsiTheme="majorHAnsi" w:cstheme="majorHAnsi"/>
                <w:color w:val="000000"/>
                <w:sz w:val="20"/>
                <w:szCs w:val="20"/>
                <w:lang w:eastAsia="en-GB"/>
              </w:rPr>
              <w:t>N</w:t>
            </w:r>
            <w:r w:rsidRPr="00E171E6">
              <w:rPr>
                <w:rFonts w:asciiTheme="majorHAnsi" w:eastAsia="Times New Roman" w:hAnsiTheme="majorHAnsi" w:cstheme="majorHAnsi"/>
                <w:color w:val="000000"/>
                <w:sz w:val="20"/>
                <w:szCs w:val="20"/>
                <w:lang w:eastAsia="en-GB"/>
              </w:rPr>
              <w:t xml:space="preserve">etworks, </w:t>
            </w:r>
          </w:p>
          <w:p w14:paraId="4774B19F"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S</w:t>
            </w:r>
            <w:r w:rsidRPr="00E171E6">
              <w:rPr>
                <w:rFonts w:asciiTheme="majorHAnsi" w:eastAsia="Times New Roman" w:hAnsiTheme="majorHAnsi" w:cstheme="majorHAnsi"/>
                <w:color w:val="000000"/>
                <w:sz w:val="20"/>
                <w:szCs w:val="20"/>
                <w:lang w:eastAsia="en-GB"/>
              </w:rPr>
              <w:t>upport</w:t>
            </w:r>
            <w:r>
              <w:rPr>
                <w:rFonts w:asciiTheme="majorHAnsi" w:eastAsia="Times New Roman" w:hAnsiTheme="majorHAnsi" w:cstheme="majorHAnsi"/>
                <w:color w:val="000000"/>
                <w:sz w:val="20"/>
                <w:szCs w:val="20"/>
                <w:lang w:eastAsia="en-GB"/>
              </w:rPr>
              <w:t xml:space="preserve"> </w:t>
            </w:r>
            <w:r w:rsidRPr="00E171E6">
              <w:rPr>
                <w:rFonts w:asciiTheme="majorHAnsi" w:eastAsia="Times New Roman" w:hAnsiTheme="majorHAnsi" w:cstheme="majorHAnsi"/>
                <w:color w:val="000000"/>
                <w:sz w:val="20"/>
                <w:szCs w:val="20"/>
                <w:lang w:eastAsia="en-GB"/>
              </w:rPr>
              <w:t>&amp;</w:t>
            </w:r>
            <w:r>
              <w:rPr>
                <w:rFonts w:asciiTheme="majorHAnsi" w:eastAsia="Times New Roman" w:hAnsiTheme="majorHAnsi" w:cstheme="majorHAnsi"/>
                <w:color w:val="000000"/>
                <w:sz w:val="20"/>
                <w:szCs w:val="20"/>
                <w:lang w:eastAsia="en-GB"/>
              </w:rPr>
              <w:t xml:space="preserve"> E</w:t>
            </w:r>
            <w:r w:rsidRPr="00E171E6">
              <w:rPr>
                <w:rFonts w:asciiTheme="majorHAnsi" w:eastAsia="Times New Roman" w:hAnsiTheme="majorHAnsi" w:cstheme="majorHAnsi"/>
                <w:color w:val="000000"/>
                <w:sz w:val="20"/>
                <w:szCs w:val="20"/>
                <w:lang w:eastAsia="en-GB"/>
              </w:rPr>
              <w:t>xclusion</w:t>
            </w:r>
          </w:p>
        </w:tc>
        <w:tc>
          <w:tcPr>
            <w:tcW w:w="4247" w:type="dxa"/>
            <w:vAlign w:val="center"/>
          </w:tcPr>
          <w:p w14:paraId="62CEFE6C"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Quality of Social &amp; Familial Networks</w:t>
            </w:r>
          </w:p>
        </w:tc>
        <w:tc>
          <w:tcPr>
            <w:tcW w:w="884" w:type="dxa"/>
            <w:vAlign w:val="center"/>
          </w:tcPr>
          <w:p w14:paraId="3A035106"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1</w:t>
            </w:r>
          </w:p>
        </w:tc>
        <w:tc>
          <w:tcPr>
            <w:tcW w:w="884" w:type="dxa"/>
            <w:vMerge w:val="restart"/>
            <w:vAlign w:val="center"/>
          </w:tcPr>
          <w:p w14:paraId="2C481A37"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21</w:t>
            </w:r>
          </w:p>
        </w:tc>
      </w:tr>
      <w:tr w:rsidR="00F00E3D" w:rsidRPr="00E171E6" w14:paraId="7C2E2E51" w14:textId="77777777" w:rsidTr="00F05291">
        <w:trPr>
          <w:trHeight w:val="263"/>
        </w:trPr>
        <w:tc>
          <w:tcPr>
            <w:tcW w:w="1061" w:type="dxa"/>
            <w:vMerge/>
          </w:tcPr>
          <w:p w14:paraId="746DC43E"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320E61CE"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6CCAE93C"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Sense of Belonging</w:t>
            </w:r>
          </w:p>
        </w:tc>
        <w:tc>
          <w:tcPr>
            <w:tcW w:w="884" w:type="dxa"/>
            <w:vAlign w:val="center"/>
          </w:tcPr>
          <w:p w14:paraId="3F6294FD"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w:t>
            </w:r>
          </w:p>
        </w:tc>
        <w:tc>
          <w:tcPr>
            <w:tcW w:w="884" w:type="dxa"/>
            <w:vMerge/>
            <w:vAlign w:val="center"/>
          </w:tcPr>
          <w:p w14:paraId="43FA80DB"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6A604299" w14:textId="77777777" w:rsidTr="00F05291">
        <w:trPr>
          <w:trHeight w:val="263"/>
        </w:trPr>
        <w:tc>
          <w:tcPr>
            <w:tcW w:w="1061" w:type="dxa"/>
            <w:vMerge/>
          </w:tcPr>
          <w:p w14:paraId="12B3D4B0"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17F30FC6"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62B0DC5E"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Social Capital</w:t>
            </w:r>
          </w:p>
        </w:tc>
        <w:tc>
          <w:tcPr>
            <w:tcW w:w="884" w:type="dxa"/>
            <w:vAlign w:val="center"/>
          </w:tcPr>
          <w:p w14:paraId="36030041"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9</w:t>
            </w:r>
          </w:p>
        </w:tc>
        <w:tc>
          <w:tcPr>
            <w:tcW w:w="884" w:type="dxa"/>
            <w:vMerge/>
            <w:vAlign w:val="center"/>
          </w:tcPr>
          <w:p w14:paraId="2C2D8BFD"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7D0C0CAF" w14:textId="77777777" w:rsidTr="00F05291">
        <w:trPr>
          <w:trHeight w:val="263"/>
        </w:trPr>
        <w:tc>
          <w:tcPr>
            <w:tcW w:w="1061" w:type="dxa"/>
            <w:vMerge/>
          </w:tcPr>
          <w:p w14:paraId="09E7D1AF"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1D63E1D8"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1BDBE8F2"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Social Cohesion</w:t>
            </w:r>
          </w:p>
        </w:tc>
        <w:tc>
          <w:tcPr>
            <w:tcW w:w="884" w:type="dxa"/>
            <w:vAlign w:val="center"/>
          </w:tcPr>
          <w:p w14:paraId="5E845EB5"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w:t>
            </w:r>
          </w:p>
        </w:tc>
        <w:tc>
          <w:tcPr>
            <w:tcW w:w="884" w:type="dxa"/>
            <w:vMerge/>
            <w:vAlign w:val="center"/>
          </w:tcPr>
          <w:p w14:paraId="17323AF2"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6F67E88B" w14:textId="77777777" w:rsidTr="00F05291">
        <w:trPr>
          <w:trHeight w:val="254"/>
        </w:trPr>
        <w:tc>
          <w:tcPr>
            <w:tcW w:w="1061" w:type="dxa"/>
            <w:vMerge/>
          </w:tcPr>
          <w:p w14:paraId="524F8D4F"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50ECF3BA"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2D4F1338"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Social Diversity</w:t>
            </w:r>
          </w:p>
        </w:tc>
        <w:tc>
          <w:tcPr>
            <w:tcW w:w="884" w:type="dxa"/>
            <w:vAlign w:val="center"/>
          </w:tcPr>
          <w:p w14:paraId="4DA10D5B"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2</w:t>
            </w:r>
          </w:p>
        </w:tc>
        <w:tc>
          <w:tcPr>
            <w:tcW w:w="884" w:type="dxa"/>
            <w:vMerge/>
            <w:vAlign w:val="center"/>
          </w:tcPr>
          <w:p w14:paraId="368A36DF"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54C57505" w14:textId="77777777" w:rsidTr="00F05291">
        <w:trPr>
          <w:trHeight w:val="263"/>
        </w:trPr>
        <w:tc>
          <w:tcPr>
            <w:tcW w:w="1061" w:type="dxa"/>
            <w:vMerge/>
          </w:tcPr>
          <w:p w14:paraId="00510D0B"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406E0BE1"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58CA8903"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Social Engagement</w:t>
            </w:r>
          </w:p>
        </w:tc>
        <w:tc>
          <w:tcPr>
            <w:tcW w:w="884" w:type="dxa"/>
            <w:vAlign w:val="center"/>
          </w:tcPr>
          <w:p w14:paraId="6CF70AE2"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2</w:t>
            </w:r>
          </w:p>
        </w:tc>
        <w:tc>
          <w:tcPr>
            <w:tcW w:w="884" w:type="dxa"/>
            <w:vMerge/>
            <w:vAlign w:val="center"/>
          </w:tcPr>
          <w:p w14:paraId="5C69754A"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082F7A1D" w14:textId="77777777" w:rsidTr="00F05291">
        <w:trPr>
          <w:trHeight w:val="263"/>
        </w:trPr>
        <w:tc>
          <w:tcPr>
            <w:tcW w:w="1061" w:type="dxa"/>
            <w:vMerge/>
          </w:tcPr>
          <w:p w14:paraId="36271231"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13F19F52"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3779C523"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Social Exclusion</w:t>
            </w:r>
          </w:p>
        </w:tc>
        <w:tc>
          <w:tcPr>
            <w:tcW w:w="884" w:type="dxa"/>
            <w:vAlign w:val="center"/>
          </w:tcPr>
          <w:p w14:paraId="558C99F8"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3</w:t>
            </w:r>
          </w:p>
        </w:tc>
        <w:tc>
          <w:tcPr>
            <w:tcW w:w="884" w:type="dxa"/>
            <w:vMerge/>
            <w:vAlign w:val="center"/>
          </w:tcPr>
          <w:p w14:paraId="0DFB9929"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20015490" w14:textId="77777777" w:rsidTr="00F05291">
        <w:trPr>
          <w:trHeight w:val="263"/>
        </w:trPr>
        <w:tc>
          <w:tcPr>
            <w:tcW w:w="1061" w:type="dxa"/>
            <w:vMerge/>
          </w:tcPr>
          <w:p w14:paraId="206C5133"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7673E0E0"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5686D8ED"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Discrimination</w:t>
            </w:r>
          </w:p>
        </w:tc>
        <w:tc>
          <w:tcPr>
            <w:tcW w:w="884" w:type="dxa"/>
            <w:vAlign w:val="center"/>
          </w:tcPr>
          <w:p w14:paraId="0E3CD724"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2</w:t>
            </w:r>
          </w:p>
        </w:tc>
        <w:tc>
          <w:tcPr>
            <w:tcW w:w="884" w:type="dxa"/>
            <w:vMerge/>
            <w:vAlign w:val="center"/>
          </w:tcPr>
          <w:p w14:paraId="4F1627CA"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305A7D55" w14:textId="77777777" w:rsidTr="00F05291">
        <w:trPr>
          <w:trHeight w:val="254"/>
        </w:trPr>
        <w:tc>
          <w:tcPr>
            <w:tcW w:w="1061" w:type="dxa"/>
            <w:vMerge/>
          </w:tcPr>
          <w:p w14:paraId="6E15EC88" w14:textId="77777777" w:rsidR="00F00E3D" w:rsidRPr="00E171E6" w:rsidRDefault="00F00E3D" w:rsidP="009B2FA7">
            <w:pPr>
              <w:contextualSpacing/>
              <w:rPr>
                <w:rFonts w:eastAsia="Times New Roman" w:cstheme="minorHAnsi"/>
                <w:b/>
                <w:bCs/>
                <w:color w:val="000000"/>
                <w:lang w:eastAsia="en-GB"/>
              </w:rPr>
            </w:pPr>
          </w:p>
        </w:tc>
        <w:tc>
          <w:tcPr>
            <w:tcW w:w="2477" w:type="dxa"/>
            <w:vMerge w:val="restart"/>
            <w:vAlign w:val="center"/>
          </w:tcPr>
          <w:p w14:paraId="5A1FFD8A" w14:textId="77777777" w:rsidR="00F00E3D" w:rsidRPr="00E171E6" w:rsidRDefault="00F00E3D" w:rsidP="009B2FA7">
            <w:pP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Socio-demographics</w:t>
            </w:r>
          </w:p>
        </w:tc>
        <w:tc>
          <w:tcPr>
            <w:tcW w:w="4247" w:type="dxa"/>
            <w:vAlign w:val="center"/>
          </w:tcPr>
          <w:p w14:paraId="184E72C6"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Area (Neighbourhood) Effects</w:t>
            </w:r>
          </w:p>
        </w:tc>
        <w:tc>
          <w:tcPr>
            <w:tcW w:w="884" w:type="dxa"/>
            <w:vAlign w:val="center"/>
          </w:tcPr>
          <w:p w14:paraId="1495CF07"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1</w:t>
            </w:r>
          </w:p>
        </w:tc>
        <w:tc>
          <w:tcPr>
            <w:tcW w:w="884" w:type="dxa"/>
            <w:vMerge w:val="restart"/>
            <w:vAlign w:val="center"/>
          </w:tcPr>
          <w:p w14:paraId="523402C1"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4</w:t>
            </w:r>
          </w:p>
        </w:tc>
      </w:tr>
      <w:tr w:rsidR="00F00E3D" w:rsidRPr="00E171E6" w14:paraId="028D81BF" w14:textId="77777777" w:rsidTr="00F05291">
        <w:trPr>
          <w:trHeight w:val="263"/>
        </w:trPr>
        <w:tc>
          <w:tcPr>
            <w:tcW w:w="1061" w:type="dxa"/>
            <w:vMerge/>
          </w:tcPr>
          <w:p w14:paraId="1A86E9D7"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44C5AD47"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6E956444"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Demographics</w:t>
            </w:r>
          </w:p>
        </w:tc>
        <w:tc>
          <w:tcPr>
            <w:tcW w:w="884" w:type="dxa"/>
            <w:vAlign w:val="center"/>
          </w:tcPr>
          <w:p w14:paraId="74347EFC"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3</w:t>
            </w:r>
          </w:p>
        </w:tc>
        <w:tc>
          <w:tcPr>
            <w:tcW w:w="884" w:type="dxa"/>
            <w:vMerge/>
            <w:vAlign w:val="center"/>
          </w:tcPr>
          <w:p w14:paraId="1CF8742C"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110DECB7" w14:textId="77777777" w:rsidTr="00F05291">
        <w:trPr>
          <w:trHeight w:val="263"/>
        </w:trPr>
        <w:tc>
          <w:tcPr>
            <w:tcW w:w="1061" w:type="dxa"/>
            <w:vMerge/>
          </w:tcPr>
          <w:p w14:paraId="09B733FD" w14:textId="77777777" w:rsidR="00F00E3D" w:rsidRPr="00E171E6" w:rsidRDefault="00F00E3D" w:rsidP="009B2FA7">
            <w:pPr>
              <w:contextualSpacing/>
              <w:rPr>
                <w:rFonts w:eastAsia="Times New Roman" w:cstheme="minorHAnsi"/>
                <w:b/>
                <w:bCs/>
                <w:color w:val="000000"/>
                <w:lang w:eastAsia="en-GB"/>
              </w:rPr>
            </w:pPr>
          </w:p>
        </w:tc>
        <w:tc>
          <w:tcPr>
            <w:tcW w:w="2477" w:type="dxa"/>
            <w:vMerge w:val="restart"/>
            <w:vAlign w:val="center"/>
          </w:tcPr>
          <w:p w14:paraId="54521BD8" w14:textId="77777777" w:rsidR="00F00E3D" w:rsidRPr="00E171E6" w:rsidRDefault="00F00E3D" w:rsidP="009B2FA7">
            <w:pP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 xml:space="preserve">Socioeconomic </w:t>
            </w:r>
            <w:r>
              <w:rPr>
                <w:rFonts w:asciiTheme="majorHAnsi" w:eastAsia="Times New Roman" w:hAnsiTheme="majorHAnsi" w:cstheme="majorHAnsi"/>
                <w:color w:val="000000"/>
                <w:sz w:val="20"/>
                <w:szCs w:val="20"/>
                <w:lang w:eastAsia="en-GB"/>
              </w:rPr>
              <w:t>P</w:t>
            </w:r>
            <w:r w:rsidRPr="00E171E6">
              <w:rPr>
                <w:rFonts w:asciiTheme="majorHAnsi" w:eastAsia="Times New Roman" w:hAnsiTheme="majorHAnsi" w:cstheme="majorHAnsi"/>
                <w:color w:val="000000"/>
                <w:sz w:val="20"/>
                <w:szCs w:val="20"/>
                <w:lang w:eastAsia="en-GB"/>
              </w:rPr>
              <w:t>osition</w:t>
            </w:r>
          </w:p>
        </w:tc>
        <w:tc>
          <w:tcPr>
            <w:tcW w:w="4247" w:type="dxa"/>
            <w:vAlign w:val="center"/>
          </w:tcPr>
          <w:p w14:paraId="6D03215F"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Education Level</w:t>
            </w:r>
          </w:p>
        </w:tc>
        <w:tc>
          <w:tcPr>
            <w:tcW w:w="884" w:type="dxa"/>
            <w:vAlign w:val="center"/>
          </w:tcPr>
          <w:p w14:paraId="2C242A5B"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11</w:t>
            </w:r>
          </w:p>
        </w:tc>
        <w:tc>
          <w:tcPr>
            <w:tcW w:w="884" w:type="dxa"/>
            <w:vMerge w:val="restart"/>
            <w:vAlign w:val="center"/>
          </w:tcPr>
          <w:p w14:paraId="0279ADD1"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37</w:t>
            </w:r>
          </w:p>
        </w:tc>
      </w:tr>
      <w:tr w:rsidR="00F00E3D" w:rsidRPr="00E171E6" w14:paraId="01C21417" w14:textId="77777777" w:rsidTr="00F05291">
        <w:trPr>
          <w:trHeight w:val="263"/>
        </w:trPr>
        <w:tc>
          <w:tcPr>
            <w:tcW w:w="1061" w:type="dxa"/>
            <w:vMerge/>
          </w:tcPr>
          <w:p w14:paraId="5E3EEE64"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2F4C4EDE"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1D7A5AA4"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Educational Opportunity</w:t>
            </w:r>
          </w:p>
        </w:tc>
        <w:tc>
          <w:tcPr>
            <w:tcW w:w="884" w:type="dxa"/>
            <w:vAlign w:val="center"/>
          </w:tcPr>
          <w:p w14:paraId="79F3FDB2"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w:t>
            </w:r>
          </w:p>
        </w:tc>
        <w:tc>
          <w:tcPr>
            <w:tcW w:w="884" w:type="dxa"/>
            <w:vMerge/>
            <w:vAlign w:val="center"/>
          </w:tcPr>
          <w:p w14:paraId="205897BE"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0BC675D6" w14:textId="77777777" w:rsidTr="00F05291">
        <w:trPr>
          <w:trHeight w:val="254"/>
        </w:trPr>
        <w:tc>
          <w:tcPr>
            <w:tcW w:w="1061" w:type="dxa"/>
            <w:vMerge/>
          </w:tcPr>
          <w:p w14:paraId="0D897573"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6D6B6E01"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4D681A2B"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Income (including Poverty)</w:t>
            </w:r>
          </w:p>
        </w:tc>
        <w:tc>
          <w:tcPr>
            <w:tcW w:w="884" w:type="dxa"/>
            <w:vAlign w:val="center"/>
          </w:tcPr>
          <w:p w14:paraId="2DC0BC90"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14</w:t>
            </w:r>
          </w:p>
        </w:tc>
        <w:tc>
          <w:tcPr>
            <w:tcW w:w="884" w:type="dxa"/>
            <w:vMerge/>
            <w:vAlign w:val="center"/>
          </w:tcPr>
          <w:p w14:paraId="560EAB17"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57C8B60F" w14:textId="77777777" w:rsidTr="00F05291">
        <w:trPr>
          <w:trHeight w:val="519"/>
        </w:trPr>
        <w:tc>
          <w:tcPr>
            <w:tcW w:w="1061" w:type="dxa"/>
            <w:vMerge/>
          </w:tcPr>
          <w:p w14:paraId="57A35C78"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311F5D9B"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1B56E05F"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Intergenerational Transmission of Disadvantage</w:t>
            </w:r>
          </w:p>
        </w:tc>
        <w:tc>
          <w:tcPr>
            <w:tcW w:w="884" w:type="dxa"/>
            <w:vAlign w:val="center"/>
          </w:tcPr>
          <w:p w14:paraId="6EEA66EA"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3</w:t>
            </w:r>
          </w:p>
        </w:tc>
        <w:tc>
          <w:tcPr>
            <w:tcW w:w="884" w:type="dxa"/>
            <w:vMerge/>
            <w:vAlign w:val="center"/>
          </w:tcPr>
          <w:p w14:paraId="317B0702"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73E438AC" w14:textId="77777777" w:rsidTr="00F05291">
        <w:trPr>
          <w:trHeight w:val="263"/>
        </w:trPr>
        <w:tc>
          <w:tcPr>
            <w:tcW w:w="1061" w:type="dxa"/>
            <w:vMerge/>
          </w:tcPr>
          <w:p w14:paraId="49FD5196"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162FD62A"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4437C799"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Residential Mobility</w:t>
            </w:r>
          </w:p>
        </w:tc>
        <w:tc>
          <w:tcPr>
            <w:tcW w:w="884" w:type="dxa"/>
            <w:vAlign w:val="center"/>
          </w:tcPr>
          <w:p w14:paraId="2AF11738"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6</w:t>
            </w:r>
          </w:p>
        </w:tc>
        <w:tc>
          <w:tcPr>
            <w:tcW w:w="884" w:type="dxa"/>
            <w:vMerge/>
            <w:vAlign w:val="center"/>
          </w:tcPr>
          <w:p w14:paraId="7E1482A0"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38FF07AF" w14:textId="77777777" w:rsidTr="00F05291">
        <w:trPr>
          <w:trHeight w:val="254"/>
        </w:trPr>
        <w:tc>
          <w:tcPr>
            <w:tcW w:w="1061" w:type="dxa"/>
            <w:vMerge/>
          </w:tcPr>
          <w:p w14:paraId="155F04C4" w14:textId="77777777" w:rsidR="00F00E3D" w:rsidRPr="00E171E6" w:rsidRDefault="00F00E3D" w:rsidP="009B2FA7">
            <w:pPr>
              <w:contextualSpacing/>
              <w:rPr>
                <w:rFonts w:eastAsia="Times New Roman" w:cstheme="minorHAnsi"/>
                <w:b/>
                <w:bCs/>
                <w:color w:val="000000"/>
                <w:lang w:eastAsia="en-GB"/>
              </w:rPr>
            </w:pPr>
          </w:p>
        </w:tc>
        <w:tc>
          <w:tcPr>
            <w:tcW w:w="2477" w:type="dxa"/>
            <w:vMerge/>
          </w:tcPr>
          <w:p w14:paraId="7946846E"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4247" w:type="dxa"/>
            <w:vAlign w:val="center"/>
          </w:tcPr>
          <w:p w14:paraId="215356C4"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Socioeconomic Status</w:t>
            </w:r>
          </w:p>
        </w:tc>
        <w:tc>
          <w:tcPr>
            <w:tcW w:w="884" w:type="dxa"/>
            <w:vAlign w:val="center"/>
          </w:tcPr>
          <w:p w14:paraId="153458C6"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1</w:t>
            </w:r>
          </w:p>
        </w:tc>
        <w:tc>
          <w:tcPr>
            <w:tcW w:w="884" w:type="dxa"/>
            <w:vMerge/>
            <w:vAlign w:val="center"/>
          </w:tcPr>
          <w:p w14:paraId="143E66EB"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4DB623E4" w14:textId="77777777" w:rsidTr="00F05291">
        <w:trPr>
          <w:trHeight w:val="263"/>
        </w:trPr>
        <w:tc>
          <w:tcPr>
            <w:tcW w:w="1061" w:type="dxa"/>
            <w:vMerge/>
          </w:tcPr>
          <w:p w14:paraId="2AD694E6" w14:textId="77777777" w:rsidR="00F00E3D" w:rsidRPr="00E171E6" w:rsidRDefault="00F00E3D" w:rsidP="009B2FA7">
            <w:pPr>
              <w:tabs>
                <w:tab w:val="left" w:pos="1273"/>
              </w:tabs>
              <w:contextualSpacing/>
              <w:rPr>
                <w:rFonts w:eastAsia="Times New Roman" w:cstheme="minorHAnsi"/>
                <w:b/>
                <w:bCs/>
                <w:color w:val="000000"/>
                <w:lang w:eastAsia="en-GB"/>
              </w:rPr>
            </w:pPr>
          </w:p>
        </w:tc>
        <w:tc>
          <w:tcPr>
            <w:tcW w:w="2477" w:type="dxa"/>
            <w:vMerge/>
          </w:tcPr>
          <w:p w14:paraId="051B0A9C" w14:textId="77777777" w:rsidR="00F00E3D" w:rsidRPr="00E171E6" w:rsidRDefault="00F00E3D" w:rsidP="009B2FA7">
            <w:pPr>
              <w:tabs>
                <w:tab w:val="left" w:pos="1273"/>
              </w:tabs>
              <w:contextualSpacing/>
              <w:rPr>
                <w:rFonts w:asciiTheme="majorHAnsi" w:eastAsia="Times New Roman" w:hAnsiTheme="majorHAnsi" w:cstheme="majorHAnsi"/>
                <w:color w:val="000000"/>
                <w:sz w:val="20"/>
                <w:szCs w:val="20"/>
                <w:lang w:eastAsia="en-GB"/>
              </w:rPr>
            </w:pPr>
          </w:p>
        </w:tc>
        <w:tc>
          <w:tcPr>
            <w:tcW w:w="4247" w:type="dxa"/>
            <w:vAlign w:val="center"/>
          </w:tcPr>
          <w:p w14:paraId="7972A7FC" w14:textId="77777777" w:rsidR="00F00E3D" w:rsidRPr="00E171E6" w:rsidRDefault="00F00E3D" w:rsidP="009B2FA7">
            <w:pPr>
              <w:tabs>
                <w:tab w:val="left" w:pos="1273"/>
              </w:tabs>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Wealth</w:t>
            </w:r>
          </w:p>
        </w:tc>
        <w:tc>
          <w:tcPr>
            <w:tcW w:w="884" w:type="dxa"/>
            <w:vAlign w:val="center"/>
          </w:tcPr>
          <w:p w14:paraId="3EA359EB"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1</w:t>
            </w:r>
          </w:p>
        </w:tc>
        <w:tc>
          <w:tcPr>
            <w:tcW w:w="884" w:type="dxa"/>
            <w:vMerge/>
            <w:vAlign w:val="center"/>
          </w:tcPr>
          <w:p w14:paraId="1BBD7174"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4F338C4D" w14:textId="77777777" w:rsidTr="00F05291">
        <w:trPr>
          <w:trHeight w:val="190"/>
        </w:trPr>
        <w:tc>
          <w:tcPr>
            <w:tcW w:w="1061" w:type="dxa"/>
            <w:vMerge w:val="restart"/>
            <w:textDirection w:val="tbRl"/>
            <w:vAlign w:val="center"/>
          </w:tcPr>
          <w:p w14:paraId="5F8BB6DF" w14:textId="272F5C27" w:rsidR="00F00E3D" w:rsidRPr="00E171E6" w:rsidRDefault="00F00E3D" w:rsidP="009B2FA7">
            <w:pPr>
              <w:tabs>
                <w:tab w:val="left" w:pos="1273"/>
              </w:tabs>
              <w:contextualSpacing/>
              <w:jc w:val="center"/>
              <w:rPr>
                <w:rFonts w:eastAsia="Times New Roman"/>
                <w:b/>
                <w:color w:val="000000"/>
                <w:lang w:eastAsia="en-GB"/>
              </w:rPr>
            </w:pPr>
            <w:r w:rsidRPr="701B9583">
              <w:rPr>
                <w:rFonts w:eastAsia="Times New Roman"/>
                <w:b/>
                <w:bCs/>
                <w:color w:val="000000" w:themeColor="text1"/>
                <w:lang w:eastAsia="en-GB"/>
              </w:rPr>
              <w:t>Urban Environment</w:t>
            </w:r>
          </w:p>
        </w:tc>
        <w:tc>
          <w:tcPr>
            <w:tcW w:w="2477" w:type="dxa"/>
            <w:vAlign w:val="center"/>
          </w:tcPr>
          <w:p w14:paraId="0DF36913" w14:textId="77777777" w:rsidR="00F00E3D" w:rsidRPr="00E171E6" w:rsidRDefault="00F00E3D" w:rsidP="009B2FA7">
            <w:pP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Housing</w:t>
            </w:r>
          </w:p>
        </w:tc>
        <w:tc>
          <w:tcPr>
            <w:tcW w:w="4247" w:type="dxa"/>
            <w:vAlign w:val="center"/>
          </w:tcPr>
          <w:p w14:paraId="4E12AC22"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Housing Quality</w:t>
            </w:r>
          </w:p>
        </w:tc>
        <w:tc>
          <w:tcPr>
            <w:tcW w:w="884" w:type="dxa"/>
            <w:vAlign w:val="center"/>
          </w:tcPr>
          <w:p w14:paraId="3D6270F7"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w:t>
            </w:r>
          </w:p>
        </w:tc>
        <w:tc>
          <w:tcPr>
            <w:tcW w:w="884" w:type="dxa"/>
            <w:vAlign w:val="center"/>
          </w:tcPr>
          <w:p w14:paraId="04947AB1"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w:t>
            </w:r>
          </w:p>
        </w:tc>
      </w:tr>
      <w:tr w:rsidR="00F00E3D" w:rsidRPr="00E171E6" w14:paraId="59619FC2" w14:textId="77777777" w:rsidTr="00F05291">
        <w:trPr>
          <w:trHeight w:val="263"/>
        </w:trPr>
        <w:tc>
          <w:tcPr>
            <w:tcW w:w="1061" w:type="dxa"/>
            <w:vMerge/>
          </w:tcPr>
          <w:p w14:paraId="079A4210"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2477" w:type="dxa"/>
            <w:vMerge w:val="restart"/>
            <w:vAlign w:val="center"/>
          </w:tcPr>
          <w:p w14:paraId="43E51C5B" w14:textId="77777777" w:rsidR="00F00E3D" w:rsidRPr="00E171E6" w:rsidRDefault="00F00E3D" w:rsidP="009B2FA7">
            <w:pP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Neighbourhood Accessibility</w:t>
            </w:r>
          </w:p>
        </w:tc>
        <w:tc>
          <w:tcPr>
            <w:tcW w:w="4247" w:type="dxa"/>
            <w:vAlign w:val="center"/>
          </w:tcPr>
          <w:p w14:paraId="477D9FE8"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Access to Facilities/Amenities</w:t>
            </w:r>
          </w:p>
        </w:tc>
        <w:tc>
          <w:tcPr>
            <w:tcW w:w="884" w:type="dxa"/>
            <w:vAlign w:val="center"/>
          </w:tcPr>
          <w:p w14:paraId="396C60BF" w14:textId="77777777" w:rsidR="00F00E3D" w:rsidRPr="00E171E6" w:rsidRDefault="00F00E3D" w:rsidP="009B2FA7">
            <w:pPr>
              <w:tabs>
                <w:tab w:val="left" w:pos="753"/>
              </w:tabs>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9</w:t>
            </w:r>
          </w:p>
        </w:tc>
        <w:tc>
          <w:tcPr>
            <w:tcW w:w="884" w:type="dxa"/>
            <w:vMerge w:val="restart"/>
            <w:vAlign w:val="center"/>
          </w:tcPr>
          <w:p w14:paraId="0DC85495" w14:textId="77777777" w:rsidR="00F00E3D" w:rsidRPr="00E171E6" w:rsidRDefault="00F00E3D" w:rsidP="009B2FA7">
            <w:pPr>
              <w:tabs>
                <w:tab w:val="left" w:pos="753"/>
              </w:tabs>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14</w:t>
            </w:r>
          </w:p>
        </w:tc>
      </w:tr>
      <w:tr w:rsidR="00F00E3D" w:rsidRPr="00E171E6" w14:paraId="081C83EF" w14:textId="77777777" w:rsidTr="00F05291">
        <w:trPr>
          <w:trHeight w:val="254"/>
        </w:trPr>
        <w:tc>
          <w:tcPr>
            <w:tcW w:w="1061" w:type="dxa"/>
            <w:vMerge/>
          </w:tcPr>
          <w:p w14:paraId="113AC832" w14:textId="77777777" w:rsidR="00F00E3D" w:rsidRPr="00E171E6" w:rsidRDefault="00F00E3D" w:rsidP="009B2FA7">
            <w:pPr>
              <w:tabs>
                <w:tab w:val="left" w:pos="1540"/>
              </w:tabs>
              <w:contextualSpacing/>
              <w:rPr>
                <w:rFonts w:asciiTheme="majorHAnsi" w:eastAsia="Times New Roman" w:hAnsiTheme="majorHAnsi" w:cstheme="majorHAnsi"/>
                <w:color w:val="000000"/>
                <w:sz w:val="20"/>
                <w:szCs w:val="20"/>
                <w:lang w:eastAsia="en-GB"/>
              </w:rPr>
            </w:pPr>
          </w:p>
        </w:tc>
        <w:tc>
          <w:tcPr>
            <w:tcW w:w="2477" w:type="dxa"/>
            <w:vMerge/>
          </w:tcPr>
          <w:p w14:paraId="171EDD2A" w14:textId="77777777" w:rsidR="00F00E3D" w:rsidRPr="00E171E6" w:rsidRDefault="00F00E3D" w:rsidP="009B2FA7">
            <w:pPr>
              <w:tabs>
                <w:tab w:val="left" w:pos="1540"/>
              </w:tabs>
              <w:contextualSpacing/>
              <w:rPr>
                <w:rFonts w:asciiTheme="majorHAnsi" w:eastAsia="Times New Roman" w:hAnsiTheme="majorHAnsi" w:cstheme="majorHAnsi"/>
                <w:color w:val="000000"/>
                <w:sz w:val="20"/>
                <w:szCs w:val="20"/>
                <w:lang w:eastAsia="en-GB"/>
              </w:rPr>
            </w:pPr>
          </w:p>
        </w:tc>
        <w:tc>
          <w:tcPr>
            <w:tcW w:w="4247" w:type="dxa"/>
            <w:vAlign w:val="center"/>
          </w:tcPr>
          <w:p w14:paraId="1617542D" w14:textId="77777777" w:rsidR="00F00E3D" w:rsidRPr="00E171E6" w:rsidRDefault="00F00E3D" w:rsidP="009B2FA7">
            <w:pPr>
              <w:tabs>
                <w:tab w:val="left" w:pos="1540"/>
              </w:tabs>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Access to Transport</w:t>
            </w:r>
          </w:p>
        </w:tc>
        <w:tc>
          <w:tcPr>
            <w:tcW w:w="884" w:type="dxa"/>
            <w:vAlign w:val="center"/>
          </w:tcPr>
          <w:p w14:paraId="1804F381"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5</w:t>
            </w:r>
          </w:p>
        </w:tc>
        <w:tc>
          <w:tcPr>
            <w:tcW w:w="884" w:type="dxa"/>
            <w:vMerge/>
            <w:vAlign w:val="center"/>
          </w:tcPr>
          <w:p w14:paraId="10FE5556"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48AE9277" w14:textId="77777777" w:rsidTr="00F05291">
        <w:trPr>
          <w:trHeight w:val="519"/>
        </w:trPr>
        <w:tc>
          <w:tcPr>
            <w:tcW w:w="1061" w:type="dxa"/>
            <w:vMerge/>
          </w:tcPr>
          <w:p w14:paraId="48FE2A6F" w14:textId="77777777" w:rsidR="00F00E3D" w:rsidRPr="00E171E6" w:rsidRDefault="00F00E3D" w:rsidP="009B2FA7">
            <w:pPr>
              <w:ind w:firstLine="25"/>
              <w:contextualSpacing/>
              <w:rPr>
                <w:rFonts w:asciiTheme="majorHAnsi" w:eastAsia="Times New Roman" w:hAnsiTheme="majorHAnsi" w:cstheme="majorHAnsi"/>
                <w:color w:val="000000"/>
                <w:sz w:val="20"/>
                <w:szCs w:val="20"/>
                <w:lang w:eastAsia="en-GB"/>
              </w:rPr>
            </w:pPr>
          </w:p>
        </w:tc>
        <w:tc>
          <w:tcPr>
            <w:tcW w:w="2477" w:type="dxa"/>
            <w:vMerge/>
          </w:tcPr>
          <w:p w14:paraId="59AED085" w14:textId="77777777" w:rsidR="00F00E3D" w:rsidRPr="00E171E6" w:rsidRDefault="00F00E3D" w:rsidP="009B2FA7">
            <w:pPr>
              <w:ind w:firstLine="25"/>
              <w:contextualSpacing/>
              <w:rPr>
                <w:rFonts w:asciiTheme="majorHAnsi" w:eastAsia="Times New Roman" w:hAnsiTheme="majorHAnsi" w:cstheme="majorHAnsi"/>
                <w:color w:val="000000"/>
                <w:sz w:val="20"/>
                <w:szCs w:val="20"/>
                <w:lang w:eastAsia="en-GB"/>
              </w:rPr>
            </w:pPr>
          </w:p>
        </w:tc>
        <w:tc>
          <w:tcPr>
            <w:tcW w:w="4247" w:type="dxa"/>
            <w:vAlign w:val="center"/>
          </w:tcPr>
          <w:p w14:paraId="2282633F" w14:textId="77777777" w:rsidR="00F00E3D" w:rsidRPr="00E171E6" w:rsidRDefault="00F00E3D" w:rsidP="009B2FA7">
            <w:pPr>
              <w:ind w:firstLine="25"/>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 xml:space="preserve">Food (Access to Affordable &amp; Good Quality) </w:t>
            </w:r>
          </w:p>
        </w:tc>
        <w:tc>
          <w:tcPr>
            <w:tcW w:w="884" w:type="dxa"/>
            <w:vAlign w:val="center"/>
          </w:tcPr>
          <w:p w14:paraId="7F26350F"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3</w:t>
            </w:r>
          </w:p>
        </w:tc>
        <w:tc>
          <w:tcPr>
            <w:tcW w:w="884" w:type="dxa"/>
            <w:vMerge/>
            <w:vAlign w:val="center"/>
          </w:tcPr>
          <w:p w14:paraId="77CE8418"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p>
        </w:tc>
      </w:tr>
      <w:tr w:rsidR="00F00E3D" w:rsidRPr="00E171E6" w14:paraId="3A6059A1" w14:textId="77777777" w:rsidTr="00F05291">
        <w:trPr>
          <w:trHeight w:val="519"/>
        </w:trPr>
        <w:tc>
          <w:tcPr>
            <w:tcW w:w="1061" w:type="dxa"/>
            <w:vMerge/>
          </w:tcPr>
          <w:p w14:paraId="6C35C1E9"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p>
        </w:tc>
        <w:tc>
          <w:tcPr>
            <w:tcW w:w="2477" w:type="dxa"/>
          </w:tcPr>
          <w:p w14:paraId="655CE9F3" w14:textId="77777777" w:rsidR="00F00E3D" w:rsidRPr="00E171E6" w:rsidRDefault="00F00E3D" w:rsidP="009B2FA7">
            <w:pP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Physical Environment</w:t>
            </w:r>
          </w:p>
        </w:tc>
        <w:tc>
          <w:tcPr>
            <w:tcW w:w="4247" w:type="dxa"/>
            <w:vAlign w:val="center"/>
          </w:tcPr>
          <w:p w14:paraId="3887F51B" w14:textId="77777777" w:rsidR="00F00E3D" w:rsidRPr="00E171E6" w:rsidRDefault="00F00E3D" w:rsidP="009B2FA7">
            <w:pPr>
              <w:contextualSpacing/>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Physical Environment</w:t>
            </w:r>
          </w:p>
        </w:tc>
        <w:tc>
          <w:tcPr>
            <w:tcW w:w="884" w:type="dxa"/>
            <w:vAlign w:val="center"/>
          </w:tcPr>
          <w:p w14:paraId="52D2E0E1" w14:textId="77777777" w:rsidR="00F00E3D" w:rsidRPr="00E171E6" w:rsidRDefault="00F00E3D" w:rsidP="009B2FA7">
            <w:pPr>
              <w:contextualSpacing/>
              <w:rPr>
                <w:rFonts w:asciiTheme="majorHAnsi" w:eastAsia="Times New Roman" w:hAnsiTheme="majorHAnsi" w:cstheme="majorHAnsi"/>
                <w:sz w:val="20"/>
                <w:szCs w:val="20"/>
                <w:lang w:eastAsia="en-GB"/>
              </w:rPr>
            </w:pPr>
            <w:r w:rsidRPr="00E171E6">
              <w:rPr>
                <w:rFonts w:asciiTheme="majorHAnsi" w:eastAsia="Times New Roman" w:hAnsiTheme="majorHAnsi" w:cstheme="majorHAnsi"/>
                <w:sz w:val="20"/>
                <w:szCs w:val="20"/>
                <w:lang w:eastAsia="en-GB"/>
              </w:rPr>
              <w:t>6</w:t>
            </w:r>
          </w:p>
        </w:tc>
        <w:tc>
          <w:tcPr>
            <w:tcW w:w="884" w:type="dxa"/>
            <w:vAlign w:val="center"/>
          </w:tcPr>
          <w:p w14:paraId="7F09E9EE" w14:textId="77777777" w:rsidR="00F00E3D" w:rsidRPr="00E171E6" w:rsidRDefault="00F00E3D" w:rsidP="009B2FA7">
            <w:pPr>
              <w:contextualSpacing/>
              <w:jc w:val="center"/>
              <w:rPr>
                <w:rFonts w:asciiTheme="majorHAnsi" w:eastAsia="Times New Roman" w:hAnsiTheme="majorHAnsi" w:cstheme="majorHAnsi"/>
                <w:color w:val="000000"/>
                <w:sz w:val="20"/>
                <w:szCs w:val="20"/>
                <w:lang w:eastAsia="en-GB"/>
              </w:rPr>
            </w:pPr>
            <w:r w:rsidRPr="00E171E6">
              <w:rPr>
                <w:rFonts w:asciiTheme="majorHAnsi" w:eastAsia="Times New Roman" w:hAnsiTheme="majorHAnsi" w:cstheme="majorHAnsi"/>
                <w:color w:val="000000"/>
                <w:sz w:val="20"/>
                <w:szCs w:val="20"/>
                <w:lang w:eastAsia="en-GB"/>
              </w:rPr>
              <w:t>6</w:t>
            </w:r>
          </w:p>
        </w:tc>
      </w:tr>
    </w:tbl>
    <w:p w14:paraId="1D5B4D3B" w14:textId="11B89ADE" w:rsidR="00F00E3D" w:rsidRPr="0057769D" w:rsidRDefault="00F00E3D" w:rsidP="009B2FA7">
      <w:pPr>
        <w:spacing w:after="0" w:line="240" w:lineRule="auto"/>
        <w:contextualSpacing/>
        <w:rPr>
          <w:rFonts w:eastAsia="Times New Roman" w:cstheme="minorHAnsi"/>
          <w:b/>
          <w:bCs/>
          <w:sz w:val="21"/>
          <w:szCs w:val="21"/>
          <w:lang w:eastAsia="en-GB"/>
        </w:rPr>
      </w:pPr>
      <w:bookmarkStart w:id="37" w:name="OLE_LINKTable113"/>
      <w:r w:rsidRPr="0057769D">
        <w:rPr>
          <w:rFonts w:eastAsia="Times New Roman" w:cstheme="minorHAnsi"/>
          <w:b/>
          <w:bCs/>
          <w:sz w:val="21"/>
          <w:szCs w:val="21"/>
          <w:lang w:eastAsia="en-GB"/>
        </w:rPr>
        <w:t xml:space="preserve">Table </w:t>
      </w:r>
      <w:r w:rsidR="008F7049" w:rsidRPr="0057769D">
        <w:rPr>
          <w:rFonts w:eastAsia="Times New Roman" w:cstheme="minorHAnsi"/>
          <w:b/>
          <w:bCs/>
          <w:sz w:val="21"/>
          <w:szCs w:val="21"/>
          <w:lang w:eastAsia="en-GB"/>
        </w:rPr>
        <w:t>3.7</w:t>
      </w:r>
      <w:r w:rsidRPr="0057769D">
        <w:rPr>
          <w:rFonts w:eastAsia="Times New Roman" w:cstheme="minorHAnsi"/>
          <w:b/>
          <w:bCs/>
          <w:sz w:val="21"/>
          <w:szCs w:val="21"/>
          <w:lang w:eastAsia="en-GB"/>
        </w:rPr>
        <w:t xml:space="preserve">: </w:t>
      </w:r>
      <w:r w:rsidR="008F7049" w:rsidRPr="0057769D">
        <w:rPr>
          <w:rFonts w:eastAsia="Times New Roman" w:cstheme="minorHAnsi"/>
          <w:b/>
          <w:bCs/>
          <w:sz w:val="21"/>
          <w:szCs w:val="21"/>
          <w:lang w:eastAsia="en-GB"/>
        </w:rPr>
        <w:t>Housing:</w:t>
      </w:r>
      <w:r w:rsidRPr="0057769D">
        <w:rPr>
          <w:rFonts w:eastAsia="Times New Roman" w:cstheme="minorHAnsi"/>
          <w:b/>
          <w:bCs/>
          <w:sz w:val="21"/>
          <w:szCs w:val="21"/>
          <w:lang w:eastAsia="en-GB"/>
        </w:rPr>
        <w:t xml:space="preserve"> </w:t>
      </w:r>
      <w:r w:rsidR="008F7049" w:rsidRPr="0057769D">
        <w:rPr>
          <w:rFonts w:eastAsia="Times New Roman" w:cstheme="minorHAnsi"/>
          <w:b/>
          <w:bCs/>
          <w:sz w:val="21"/>
          <w:szCs w:val="21"/>
          <w:lang w:eastAsia="en-GB"/>
        </w:rPr>
        <w:t>Social, Economic, Health, and Urban Environment Impacts</w:t>
      </w:r>
      <w:bookmarkEnd w:id="37"/>
      <w:r w:rsidRPr="0057769D">
        <w:rPr>
          <w:rFonts w:eastAsia="Times New Roman" w:cstheme="minorHAnsi"/>
          <w:b/>
          <w:bCs/>
          <w:sz w:val="21"/>
          <w:szCs w:val="21"/>
          <w:lang w:eastAsia="en-GB"/>
        </w:rPr>
        <w:br w:type="page"/>
      </w:r>
    </w:p>
    <w:p w14:paraId="52AE9ECF" w14:textId="77777777" w:rsidR="00F00E3D" w:rsidRPr="004A1B85" w:rsidRDefault="00F00E3D" w:rsidP="009B2FA7">
      <w:pPr>
        <w:spacing w:before="100" w:beforeAutospacing="1" w:after="0" w:line="276" w:lineRule="auto"/>
        <w:rPr>
          <w:rFonts w:eastAsia="Times New Roman" w:cstheme="minorHAnsi"/>
          <w:b/>
          <w:bCs/>
          <w:sz w:val="25"/>
          <w:szCs w:val="25"/>
          <w:lang w:eastAsia="en-GB"/>
        </w:rPr>
      </w:pPr>
      <w:r w:rsidRPr="004A1B85">
        <w:rPr>
          <w:rFonts w:eastAsia="Times New Roman" w:cstheme="minorHAnsi"/>
          <w:b/>
          <w:bCs/>
          <w:sz w:val="25"/>
          <w:szCs w:val="25"/>
          <w:lang w:eastAsia="en-GB"/>
        </w:rPr>
        <w:lastRenderedPageBreak/>
        <w:t>Liveability</w:t>
      </w:r>
      <w:r>
        <w:rPr>
          <w:rFonts w:eastAsia="Times New Roman" w:cstheme="minorHAnsi"/>
          <w:b/>
          <w:bCs/>
          <w:sz w:val="25"/>
          <w:szCs w:val="25"/>
          <w:lang w:eastAsia="en-GB"/>
        </w:rPr>
        <w:t>:</w:t>
      </w:r>
      <w:r w:rsidRPr="004A1B85">
        <w:rPr>
          <w:rFonts w:eastAsia="Times New Roman" w:cstheme="minorHAnsi"/>
          <w:b/>
          <w:bCs/>
          <w:sz w:val="25"/>
          <w:szCs w:val="25"/>
          <w:lang w:eastAsia="en-GB"/>
        </w:rPr>
        <w:t xml:space="preserve"> Determinants and Factors</w:t>
      </w:r>
    </w:p>
    <w:p w14:paraId="100F44E4" w14:textId="77777777" w:rsidR="00F00E3D" w:rsidRPr="00D34381" w:rsidRDefault="00F00E3D" w:rsidP="009B2FA7">
      <w:pPr>
        <w:spacing w:after="0" w:line="276" w:lineRule="auto"/>
        <w:rPr>
          <w:rFonts w:asciiTheme="majorHAnsi" w:eastAsia="Times New Roman" w:hAnsiTheme="majorHAnsi" w:cstheme="majorHAnsi"/>
          <w:sz w:val="16"/>
          <w:szCs w:val="16"/>
          <w:lang w:eastAsia="en-GB"/>
        </w:rPr>
      </w:pPr>
    </w:p>
    <w:p w14:paraId="0FB34FF3" w14:textId="3F97912B" w:rsidR="00F00E3D" w:rsidRDefault="00F00E3D" w:rsidP="009B2FA7">
      <w:pPr>
        <w:spacing w:after="0" w:line="276" w:lineRule="auto"/>
        <w:rPr>
          <w:rFonts w:asciiTheme="majorHAnsi" w:eastAsia="Times New Roman" w:hAnsiTheme="majorHAnsi" w:cstheme="majorBidi"/>
          <w:sz w:val="23"/>
          <w:szCs w:val="23"/>
          <w:lang w:eastAsia="en-GB"/>
        </w:rPr>
      </w:pPr>
      <w:r w:rsidRPr="42078E23">
        <w:rPr>
          <w:rFonts w:asciiTheme="majorHAnsi" w:eastAsia="Times New Roman" w:hAnsiTheme="majorHAnsi" w:cstheme="majorBidi"/>
          <w:sz w:val="23"/>
          <w:szCs w:val="23"/>
          <w:lang w:eastAsia="en-GB"/>
        </w:rPr>
        <w:t>As noted in the Methodology and Scope section of this report, “liveability” is a loosely defined concept, used as an umbrella term for a range of different indicators (Hermann &amp; Lewis, 2017: 10). It often refers to features of the local built environment, but liveability can also include social elements of a community or neighbourhood (Hermann &amp; Lewis, 2017: 11; Kaal, 2011).</w:t>
      </w:r>
    </w:p>
    <w:p w14:paraId="34A8E1E8" w14:textId="77777777" w:rsidR="00906BD0" w:rsidRPr="00906BD0" w:rsidRDefault="00906BD0" w:rsidP="009B2FA7">
      <w:pPr>
        <w:spacing w:after="0" w:line="276" w:lineRule="auto"/>
        <w:rPr>
          <w:rFonts w:asciiTheme="majorHAnsi" w:eastAsia="Times New Roman" w:hAnsiTheme="majorHAnsi" w:cstheme="majorBidi"/>
          <w:sz w:val="12"/>
          <w:szCs w:val="12"/>
          <w:lang w:eastAsia="en-GB"/>
        </w:rPr>
      </w:pPr>
    </w:p>
    <w:p w14:paraId="72625E9E" w14:textId="77777777" w:rsidR="00906BD0" w:rsidRDefault="00F00E3D" w:rsidP="00906BD0">
      <w:pPr>
        <w:spacing w:after="0" w:line="276" w:lineRule="auto"/>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 xml:space="preserve">Liveability indicators are particularly useful for enhancing the connection between urban planning and public health </w:t>
      </w:r>
      <w:r w:rsidRPr="00BC19B6">
        <w:rPr>
          <w:rFonts w:asciiTheme="majorHAnsi" w:eastAsia="Times New Roman" w:hAnsiTheme="majorHAnsi" w:cstheme="majorHAnsi"/>
          <w:noProof/>
          <w:sz w:val="23"/>
          <w:szCs w:val="23"/>
          <w:lang w:eastAsia="en-GB"/>
        </w:rPr>
        <w:t>(Lowe et al., 2015)</w:t>
      </w:r>
      <w:r w:rsidRPr="00BC19B6">
        <w:rPr>
          <w:rFonts w:asciiTheme="majorHAnsi" w:eastAsia="Times New Roman" w:hAnsiTheme="majorHAnsi" w:cstheme="majorHAnsi"/>
          <w:sz w:val="23"/>
          <w:szCs w:val="23"/>
          <w:lang w:eastAsia="en-GB"/>
        </w:rPr>
        <w:t xml:space="preserve">. However, the relative importance of these indicators/factors is debated. Lowe et al. listed the number of relevant papers in a large-scale </w:t>
      </w:r>
      <w:r>
        <w:rPr>
          <w:rFonts w:asciiTheme="majorHAnsi" w:eastAsia="Times New Roman" w:hAnsiTheme="majorHAnsi" w:cstheme="majorHAnsi"/>
          <w:sz w:val="23"/>
          <w:szCs w:val="23"/>
          <w:lang w:eastAsia="en-GB"/>
        </w:rPr>
        <w:t xml:space="preserve">2015 </w:t>
      </w:r>
      <w:r w:rsidRPr="00B309FF">
        <w:rPr>
          <w:rFonts w:asciiTheme="majorHAnsi" w:eastAsia="Times New Roman" w:hAnsiTheme="majorHAnsi" w:cstheme="majorHAnsi"/>
          <w:sz w:val="23"/>
          <w:szCs w:val="23"/>
          <w:lang w:eastAsia="en-GB"/>
        </w:rPr>
        <w:t>literature review (</w:t>
      </w:r>
      <w:r>
        <w:rPr>
          <w:rFonts w:asciiTheme="majorHAnsi" w:eastAsia="Times New Roman" w:hAnsiTheme="majorHAnsi" w:cstheme="majorHAnsi"/>
          <w:sz w:val="23"/>
          <w:szCs w:val="23"/>
          <w:lang w:eastAsia="en-GB"/>
        </w:rPr>
        <w:t xml:space="preserve">see </w:t>
      </w:r>
      <w:r w:rsidRPr="00B309FF">
        <w:rPr>
          <w:rFonts w:asciiTheme="majorHAnsi" w:eastAsia="Times New Roman" w:hAnsiTheme="majorHAnsi" w:cstheme="majorHAnsi"/>
          <w:sz w:val="23"/>
          <w:szCs w:val="23"/>
          <w:lang w:eastAsia="en-GB"/>
        </w:rPr>
        <w:t xml:space="preserve">Table </w:t>
      </w:r>
      <w:r w:rsidR="004D7F9B">
        <w:rPr>
          <w:rFonts w:asciiTheme="majorHAnsi" w:eastAsia="Times New Roman" w:hAnsiTheme="majorHAnsi" w:cstheme="majorHAnsi"/>
          <w:sz w:val="23"/>
          <w:szCs w:val="23"/>
          <w:lang w:eastAsia="en-GB"/>
        </w:rPr>
        <w:t>3.8</w:t>
      </w:r>
      <w:r w:rsidRPr="00B309FF">
        <w:rPr>
          <w:rFonts w:asciiTheme="majorHAnsi" w:eastAsia="Times New Roman" w:hAnsiTheme="majorHAnsi" w:cstheme="majorHAnsi"/>
          <w:sz w:val="23"/>
          <w:szCs w:val="23"/>
          <w:lang w:eastAsia="en-GB"/>
        </w:rPr>
        <w:t>, below) that mention relevant indicators. Here:</w:t>
      </w:r>
    </w:p>
    <w:p w14:paraId="765CB401" w14:textId="77777777" w:rsidR="00906BD0" w:rsidRPr="00906BD0" w:rsidRDefault="00906BD0" w:rsidP="00906BD0">
      <w:pPr>
        <w:spacing w:after="0" w:line="276" w:lineRule="auto"/>
        <w:rPr>
          <w:rFonts w:asciiTheme="majorHAnsi" w:eastAsia="Times New Roman" w:hAnsiTheme="majorHAnsi" w:cstheme="majorHAnsi"/>
          <w:sz w:val="12"/>
          <w:szCs w:val="12"/>
          <w:lang w:eastAsia="en-GB"/>
        </w:rPr>
      </w:pPr>
    </w:p>
    <w:p w14:paraId="6A91031F" w14:textId="42D4BCD3" w:rsidR="00F00E3D" w:rsidRPr="00906BD0" w:rsidRDefault="00F00E3D" w:rsidP="00906BD0">
      <w:pPr>
        <w:spacing w:after="0" w:line="276" w:lineRule="auto"/>
        <w:ind w:left="720"/>
        <w:rPr>
          <w:rFonts w:asciiTheme="majorHAnsi" w:eastAsia="Times New Roman" w:hAnsiTheme="majorHAnsi" w:cstheme="majorHAnsi"/>
          <w:sz w:val="23"/>
          <w:szCs w:val="23"/>
          <w:lang w:eastAsia="en-GB"/>
        </w:rPr>
      </w:pPr>
      <w:r w:rsidRPr="0007521E">
        <w:rPr>
          <w:rFonts w:asciiTheme="majorHAnsi" w:eastAsia="Times New Roman" w:hAnsiTheme="majorHAnsi" w:cstheme="majorBidi"/>
          <w:sz w:val="23"/>
          <w:szCs w:val="23"/>
          <w:lang w:eastAsia="en-GB"/>
        </w:rPr>
        <w:t xml:space="preserve">It is evident that a broad range of factors shape the liveability of a particular location. Crime and safety, transport, housing, and employment and income were the four most frequently mentioned indicators, and are all fundamental to health and wellbeing… However, it is difficult to determine the relative contribution of each policy area to liveability based solely on the frequency with which indicators are mentioned. Some indicators may be more relevant to particular contexts </w:t>
      </w:r>
      <w:r>
        <w:rPr>
          <w:rFonts w:asciiTheme="majorHAnsi" w:eastAsia="Times New Roman" w:hAnsiTheme="majorHAnsi" w:cstheme="majorBidi"/>
          <w:noProof/>
          <w:sz w:val="23"/>
          <w:szCs w:val="23"/>
          <w:lang w:eastAsia="en-GB"/>
        </w:rPr>
        <w:t>(Lowe et al., 2015, p. 8)</w:t>
      </w:r>
    </w:p>
    <w:p w14:paraId="5F6B254E" w14:textId="77777777" w:rsidR="00906BD0" w:rsidRPr="00906BD0" w:rsidRDefault="00906BD0" w:rsidP="00906BD0">
      <w:pPr>
        <w:spacing w:after="0" w:line="276" w:lineRule="auto"/>
        <w:rPr>
          <w:rFonts w:asciiTheme="majorHAnsi" w:eastAsia="Times New Roman" w:hAnsiTheme="majorHAnsi" w:cstheme="majorBidi"/>
          <w:sz w:val="12"/>
          <w:szCs w:val="12"/>
          <w:lang w:eastAsia="en-GB"/>
        </w:rPr>
      </w:pPr>
    </w:p>
    <w:p w14:paraId="1F812159" w14:textId="77777777" w:rsidR="00906BD0" w:rsidRDefault="00F00E3D" w:rsidP="00906BD0">
      <w:pPr>
        <w:spacing w:after="0" w:line="276" w:lineRule="auto"/>
        <w:rPr>
          <w:rFonts w:asciiTheme="majorHAnsi" w:eastAsia="Times New Roman" w:hAnsiTheme="majorHAnsi" w:cstheme="majorBidi"/>
          <w:sz w:val="23"/>
          <w:szCs w:val="23"/>
          <w:lang w:eastAsia="en-GB"/>
        </w:rPr>
      </w:pPr>
      <w:r>
        <w:rPr>
          <w:rFonts w:asciiTheme="majorHAnsi" w:eastAsia="Times New Roman" w:hAnsiTheme="majorHAnsi" w:cstheme="majorBidi"/>
          <w:sz w:val="23"/>
          <w:szCs w:val="23"/>
          <w:lang w:eastAsia="en-GB"/>
        </w:rPr>
        <w:t>From</w:t>
      </w:r>
      <w:r w:rsidRPr="64875FDB">
        <w:rPr>
          <w:rFonts w:asciiTheme="majorHAnsi" w:eastAsia="Times New Roman" w:hAnsiTheme="majorHAnsi" w:cstheme="majorBidi"/>
          <w:sz w:val="23"/>
          <w:szCs w:val="23"/>
          <w:lang w:eastAsia="en-GB"/>
        </w:rPr>
        <w:t xml:space="preserve"> both Lowe’s review </w:t>
      </w:r>
      <w:r>
        <w:rPr>
          <w:rFonts w:asciiTheme="majorHAnsi" w:eastAsia="Times New Roman" w:hAnsiTheme="majorHAnsi" w:cstheme="majorBidi"/>
          <w:sz w:val="23"/>
          <w:szCs w:val="23"/>
          <w:lang w:eastAsia="en-GB"/>
        </w:rPr>
        <w:t xml:space="preserve">and our own, </w:t>
      </w:r>
      <w:r w:rsidRPr="64875FDB">
        <w:rPr>
          <w:rFonts w:asciiTheme="majorHAnsi" w:eastAsia="Times New Roman" w:hAnsiTheme="majorHAnsi" w:cstheme="majorBidi"/>
          <w:sz w:val="23"/>
          <w:szCs w:val="23"/>
          <w:lang w:eastAsia="en-GB"/>
        </w:rPr>
        <w:t xml:space="preserve">the determinants of liveability and health are </w:t>
      </w:r>
      <w:r>
        <w:rPr>
          <w:rFonts w:asciiTheme="majorHAnsi" w:eastAsia="Times New Roman" w:hAnsiTheme="majorHAnsi" w:cstheme="majorBidi"/>
          <w:sz w:val="23"/>
          <w:szCs w:val="23"/>
          <w:lang w:eastAsia="en-GB"/>
        </w:rPr>
        <w:t xml:space="preserve">clearly </w:t>
      </w:r>
      <w:r w:rsidRPr="64875FDB">
        <w:rPr>
          <w:rFonts w:asciiTheme="majorHAnsi" w:eastAsia="Times New Roman" w:hAnsiTheme="majorHAnsi" w:cstheme="majorBidi"/>
          <w:sz w:val="23"/>
          <w:szCs w:val="23"/>
          <w:lang w:eastAsia="en-GB"/>
        </w:rPr>
        <w:t>closely related</w:t>
      </w:r>
      <w:r>
        <w:rPr>
          <w:rFonts w:asciiTheme="majorHAnsi" w:eastAsia="Times New Roman" w:hAnsiTheme="majorHAnsi" w:cstheme="majorBidi"/>
          <w:sz w:val="23"/>
          <w:szCs w:val="23"/>
          <w:lang w:eastAsia="en-GB"/>
        </w:rPr>
        <w:t xml:space="preserve"> – and,</w:t>
      </w:r>
      <w:r w:rsidRPr="64875FDB">
        <w:rPr>
          <w:rFonts w:asciiTheme="majorHAnsi" w:eastAsia="Times New Roman" w:hAnsiTheme="majorHAnsi" w:cstheme="majorBidi"/>
          <w:sz w:val="23"/>
          <w:szCs w:val="23"/>
          <w:lang w:eastAsia="en-GB"/>
        </w:rPr>
        <w:t xml:space="preserve"> as Lowe points out, both are </w:t>
      </w:r>
      <w:r>
        <w:rPr>
          <w:rFonts w:asciiTheme="majorHAnsi" w:eastAsia="Times New Roman" w:hAnsiTheme="majorHAnsi" w:cstheme="majorBidi"/>
          <w:sz w:val="23"/>
          <w:szCs w:val="23"/>
          <w:lang w:eastAsia="en-GB"/>
        </w:rPr>
        <w:t xml:space="preserve">also </w:t>
      </w:r>
      <w:r w:rsidRPr="64875FDB">
        <w:rPr>
          <w:rFonts w:asciiTheme="majorHAnsi" w:eastAsia="Times New Roman" w:hAnsiTheme="majorHAnsi" w:cstheme="majorBidi"/>
          <w:sz w:val="23"/>
          <w:szCs w:val="23"/>
          <w:lang w:eastAsia="en-GB"/>
        </w:rPr>
        <w:t>closely related to the determinants of sustainability.</w:t>
      </w:r>
    </w:p>
    <w:p w14:paraId="04BC4216" w14:textId="77777777" w:rsidR="00906BD0" w:rsidRPr="00906BD0" w:rsidRDefault="00906BD0" w:rsidP="00906BD0">
      <w:pPr>
        <w:spacing w:after="0" w:line="276" w:lineRule="auto"/>
        <w:rPr>
          <w:rFonts w:asciiTheme="majorHAnsi" w:eastAsia="Times New Roman" w:hAnsiTheme="majorHAnsi" w:cstheme="majorBidi"/>
          <w:sz w:val="12"/>
          <w:szCs w:val="12"/>
          <w:lang w:eastAsia="en-GB"/>
        </w:rPr>
      </w:pPr>
    </w:p>
    <w:p w14:paraId="057445CA" w14:textId="37E91AF7" w:rsidR="00F00E3D" w:rsidRDefault="00F00E3D" w:rsidP="00906BD0">
      <w:pPr>
        <w:spacing w:after="0" w:line="276" w:lineRule="auto"/>
        <w:rPr>
          <w:rFonts w:asciiTheme="majorHAnsi" w:eastAsia="Times New Roman" w:hAnsiTheme="majorHAnsi" w:cstheme="majorBidi"/>
          <w:sz w:val="23"/>
          <w:szCs w:val="23"/>
          <w:lang w:eastAsia="en-GB"/>
        </w:rPr>
      </w:pPr>
      <w:r w:rsidRPr="64875FDB">
        <w:rPr>
          <w:rFonts w:asciiTheme="majorHAnsi" w:eastAsia="Times New Roman" w:hAnsiTheme="majorHAnsi" w:cstheme="majorBidi"/>
          <w:sz w:val="23"/>
          <w:szCs w:val="23"/>
          <w:lang w:eastAsia="en-GB"/>
        </w:rPr>
        <w:t xml:space="preserve">Badland </w:t>
      </w:r>
      <w:r>
        <w:rPr>
          <w:rFonts w:asciiTheme="majorHAnsi" w:eastAsia="Times New Roman" w:hAnsiTheme="majorHAnsi" w:cstheme="majorBidi"/>
          <w:sz w:val="23"/>
          <w:szCs w:val="23"/>
          <w:lang w:eastAsia="en-GB"/>
        </w:rPr>
        <w:t xml:space="preserve">and colleagues </w:t>
      </w:r>
      <w:r w:rsidRPr="64875FDB">
        <w:rPr>
          <w:rFonts w:asciiTheme="majorHAnsi" w:eastAsia="Times New Roman" w:hAnsiTheme="majorHAnsi" w:cstheme="majorBidi"/>
          <w:sz w:val="23"/>
          <w:szCs w:val="23"/>
          <w:lang w:eastAsia="en-GB"/>
        </w:rPr>
        <w:t>directly explored the liveability indicators that might be used to measure the social determinants of health in Australia. Th</w:t>
      </w:r>
      <w:r>
        <w:rPr>
          <w:rFonts w:asciiTheme="majorHAnsi" w:eastAsia="Times New Roman" w:hAnsiTheme="majorHAnsi" w:cstheme="majorBidi"/>
          <w:sz w:val="23"/>
          <w:szCs w:val="23"/>
          <w:lang w:eastAsia="en-GB"/>
        </w:rPr>
        <w:t>eir</w:t>
      </w:r>
      <w:r w:rsidRPr="64875FDB">
        <w:rPr>
          <w:rFonts w:asciiTheme="majorHAnsi" w:eastAsia="Times New Roman" w:hAnsiTheme="majorHAnsi" w:cstheme="majorBidi"/>
          <w:sz w:val="23"/>
          <w:szCs w:val="23"/>
          <w:lang w:eastAsia="en-GB"/>
        </w:rPr>
        <w:t xml:space="preserve"> study:</w:t>
      </w:r>
    </w:p>
    <w:p w14:paraId="043D947A" w14:textId="77777777" w:rsidR="00906BD0" w:rsidRPr="00906BD0" w:rsidRDefault="00906BD0" w:rsidP="00906BD0">
      <w:pPr>
        <w:spacing w:after="0" w:line="276" w:lineRule="auto"/>
        <w:ind w:left="720"/>
        <w:rPr>
          <w:rFonts w:asciiTheme="majorHAnsi" w:eastAsia="Times New Roman" w:hAnsiTheme="majorHAnsi" w:cstheme="majorBidi"/>
          <w:sz w:val="12"/>
          <w:szCs w:val="12"/>
          <w:lang w:eastAsia="en-GB"/>
        </w:rPr>
      </w:pPr>
    </w:p>
    <w:p w14:paraId="58A5FD45" w14:textId="60B18BCA" w:rsidR="00F00E3D" w:rsidRDefault="00F00E3D" w:rsidP="00906BD0">
      <w:pPr>
        <w:spacing w:after="0" w:line="276" w:lineRule="auto"/>
        <w:ind w:left="720"/>
        <w:rPr>
          <w:rFonts w:asciiTheme="majorHAnsi" w:eastAsia="Times New Roman" w:hAnsiTheme="majorHAnsi" w:cstheme="majorBidi"/>
          <w:sz w:val="23"/>
          <w:szCs w:val="23"/>
          <w:lang w:eastAsia="en-GB"/>
        </w:rPr>
      </w:pPr>
      <w:r w:rsidRPr="00940E83">
        <w:rPr>
          <w:rFonts w:asciiTheme="majorHAnsi" w:eastAsia="Times New Roman" w:hAnsiTheme="majorHAnsi" w:cstheme="majorBidi"/>
          <w:sz w:val="23"/>
          <w:szCs w:val="23"/>
          <w:lang w:eastAsia="en-GB"/>
        </w:rPr>
        <w:t>yielded 11 distinct domains considered to be important components of liveability, and likely to contribute to health and wellbeing through the social determinants of health pathway. The domains were: natural environment; crime and safety; education; employment and income; health and social services; housing; leisure and culture; local food and other goods; public open space; transport and social cohesion and local democracy</w:t>
      </w:r>
      <w:r w:rsidRPr="00D34381">
        <w:rPr>
          <w:rFonts w:asciiTheme="majorHAnsi" w:eastAsia="Times New Roman" w:hAnsiTheme="majorHAnsi" w:cstheme="majorBidi"/>
          <w:sz w:val="23"/>
          <w:szCs w:val="23"/>
          <w:lang w:eastAsia="en-GB"/>
        </w:rPr>
        <w:t xml:space="preserve"> </w:t>
      </w:r>
      <w:r>
        <w:rPr>
          <w:rFonts w:asciiTheme="majorHAnsi" w:eastAsia="Times New Roman" w:hAnsiTheme="majorHAnsi" w:cstheme="majorBidi"/>
          <w:sz w:val="23"/>
          <w:szCs w:val="23"/>
          <w:lang w:eastAsia="en-GB"/>
        </w:rPr>
        <w:t>(</w:t>
      </w:r>
      <w:r w:rsidRPr="64875FDB">
        <w:rPr>
          <w:rFonts w:asciiTheme="majorHAnsi" w:eastAsia="Times New Roman" w:hAnsiTheme="majorHAnsi" w:cstheme="majorBidi"/>
          <w:sz w:val="23"/>
          <w:szCs w:val="23"/>
          <w:lang w:eastAsia="en-GB"/>
        </w:rPr>
        <w:t>Badland et al</w:t>
      </w:r>
      <w:r>
        <w:rPr>
          <w:rFonts w:asciiTheme="majorHAnsi" w:eastAsia="Times New Roman" w:hAnsiTheme="majorHAnsi" w:cstheme="majorBidi"/>
          <w:sz w:val="23"/>
          <w:szCs w:val="23"/>
          <w:lang w:eastAsia="en-GB"/>
        </w:rPr>
        <w:t>:</w:t>
      </w:r>
      <w:r w:rsidRPr="64875FDB">
        <w:rPr>
          <w:rFonts w:asciiTheme="majorHAnsi" w:eastAsia="Times New Roman" w:hAnsiTheme="majorHAnsi" w:cstheme="majorBidi"/>
          <w:sz w:val="23"/>
          <w:szCs w:val="23"/>
          <w:lang w:eastAsia="en-GB"/>
        </w:rPr>
        <w:t xml:space="preserve"> </w:t>
      </w:r>
      <w:r>
        <w:rPr>
          <w:rFonts w:asciiTheme="majorHAnsi" w:eastAsia="Times New Roman" w:hAnsiTheme="majorHAnsi" w:cstheme="majorBidi"/>
          <w:noProof/>
          <w:sz w:val="23"/>
          <w:szCs w:val="23"/>
          <w:lang w:eastAsia="en-GB"/>
        </w:rPr>
        <w:t>(2014)</w:t>
      </w:r>
      <w:r w:rsidRPr="00940E83">
        <w:rPr>
          <w:rFonts w:asciiTheme="majorHAnsi" w:eastAsia="Times New Roman" w:hAnsiTheme="majorHAnsi" w:cstheme="majorBidi"/>
          <w:sz w:val="23"/>
          <w:szCs w:val="23"/>
          <w:lang w:eastAsia="en-GB"/>
        </w:rPr>
        <w:t>.</w:t>
      </w:r>
    </w:p>
    <w:p w14:paraId="164CB2D4" w14:textId="77777777" w:rsidR="00906BD0" w:rsidRPr="00906BD0" w:rsidRDefault="00906BD0" w:rsidP="00906BD0">
      <w:pPr>
        <w:spacing w:after="0" w:line="276" w:lineRule="auto"/>
        <w:ind w:left="720"/>
        <w:rPr>
          <w:rFonts w:asciiTheme="majorHAnsi" w:eastAsia="Times New Roman" w:hAnsiTheme="majorHAnsi" w:cstheme="majorBidi"/>
          <w:sz w:val="12"/>
          <w:szCs w:val="12"/>
          <w:lang w:eastAsia="en-GB"/>
        </w:rPr>
      </w:pPr>
    </w:p>
    <w:p w14:paraId="6176EEAD" w14:textId="65828411" w:rsidR="00F05291" w:rsidRDefault="00F05291" w:rsidP="00F05291">
      <w:pPr>
        <w:spacing w:after="0" w:line="276" w:lineRule="auto"/>
        <w:contextualSpacing/>
        <w:rPr>
          <w:rFonts w:asciiTheme="majorHAnsi" w:eastAsia="Times New Roman" w:hAnsiTheme="majorHAnsi" w:cstheme="majorBidi"/>
          <w:sz w:val="23"/>
          <w:szCs w:val="23"/>
          <w:lang w:eastAsia="en-GB"/>
        </w:rPr>
      </w:pPr>
      <w:r w:rsidRPr="00BC19B6">
        <w:rPr>
          <w:rFonts w:asciiTheme="majorHAnsi" w:eastAsia="Times New Roman" w:hAnsiTheme="majorHAnsi" w:cstheme="majorHAnsi"/>
          <w:sz w:val="23"/>
          <w:szCs w:val="23"/>
          <w:lang w:eastAsia="en-GB"/>
        </w:rPr>
        <w:t>Of the 8</w:t>
      </w:r>
      <w:r>
        <w:rPr>
          <w:rFonts w:asciiTheme="majorHAnsi" w:eastAsia="Times New Roman" w:hAnsiTheme="majorHAnsi" w:cstheme="majorHAnsi"/>
          <w:sz w:val="23"/>
          <w:szCs w:val="23"/>
          <w:lang w:eastAsia="en-GB"/>
        </w:rPr>
        <w:t>2</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articles in</w:t>
      </w:r>
      <w:r w:rsidRPr="00BC19B6">
        <w:rPr>
          <w:rFonts w:asciiTheme="majorHAnsi" w:eastAsia="Times New Roman" w:hAnsiTheme="majorHAnsi" w:cstheme="majorHAnsi"/>
          <w:sz w:val="23"/>
          <w:szCs w:val="23"/>
          <w:lang w:eastAsia="en-GB"/>
        </w:rPr>
        <w:t xml:space="preserve"> our review </w:t>
      </w:r>
      <w:r>
        <w:rPr>
          <w:rFonts w:asciiTheme="majorHAnsi" w:eastAsia="Times New Roman" w:hAnsiTheme="majorHAnsi" w:cstheme="majorHAnsi"/>
          <w:sz w:val="23"/>
          <w:szCs w:val="23"/>
          <w:lang w:eastAsia="en-GB"/>
        </w:rPr>
        <w:t xml:space="preserve">that </w:t>
      </w:r>
      <w:r w:rsidRPr="00BC19B6">
        <w:rPr>
          <w:rFonts w:asciiTheme="majorHAnsi" w:eastAsia="Times New Roman" w:hAnsiTheme="majorHAnsi" w:cstheme="majorHAnsi"/>
          <w:sz w:val="23"/>
          <w:szCs w:val="23"/>
          <w:lang w:eastAsia="en-GB"/>
        </w:rPr>
        <w:t>focus</w:t>
      </w:r>
      <w:r>
        <w:rPr>
          <w:rFonts w:asciiTheme="majorHAnsi" w:eastAsia="Times New Roman" w:hAnsiTheme="majorHAnsi" w:cstheme="majorHAnsi"/>
          <w:sz w:val="23"/>
          <w:szCs w:val="23"/>
          <w:lang w:eastAsia="en-GB"/>
        </w:rPr>
        <w:t>ed</w:t>
      </w:r>
      <w:r w:rsidRPr="00BC19B6">
        <w:rPr>
          <w:rFonts w:asciiTheme="majorHAnsi" w:eastAsia="Times New Roman" w:hAnsiTheme="majorHAnsi" w:cstheme="majorHAnsi"/>
          <w:sz w:val="23"/>
          <w:szCs w:val="23"/>
          <w:lang w:eastAsia="en-GB"/>
        </w:rPr>
        <w:t xml:space="preserve"> on the factors and social determinants of inequality, only seven are focused on </w:t>
      </w:r>
      <w:r>
        <w:rPr>
          <w:rFonts w:asciiTheme="majorHAnsi" w:eastAsia="Times New Roman" w:hAnsiTheme="majorHAnsi" w:cstheme="majorHAnsi"/>
          <w:sz w:val="23"/>
          <w:szCs w:val="23"/>
          <w:lang w:eastAsia="en-GB"/>
        </w:rPr>
        <w:t>L</w:t>
      </w:r>
      <w:r w:rsidRPr="00BC19B6">
        <w:rPr>
          <w:rFonts w:asciiTheme="majorHAnsi" w:eastAsia="Times New Roman" w:hAnsiTheme="majorHAnsi" w:cstheme="majorHAnsi"/>
          <w:sz w:val="23"/>
          <w:szCs w:val="23"/>
          <w:lang w:eastAsia="en-GB"/>
        </w:rPr>
        <w:t>iveability</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or connect the domain of </w:t>
      </w:r>
      <w:r>
        <w:rPr>
          <w:rFonts w:asciiTheme="majorHAnsi" w:eastAsia="Times New Roman" w:hAnsiTheme="majorHAnsi" w:cstheme="majorHAnsi"/>
          <w:sz w:val="23"/>
          <w:szCs w:val="23"/>
          <w:lang w:eastAsia="en-GB"/>
        </w:rPr>
        <w:t>L</w:t>
      </w:r>
      <w:r w:rsidRPr="00BC19B6">
        <w:rPr>
          <w:rFonts w:asciiTheme="majorHAnsi" w:eastAsia="Times New Roman" w:hAnsiTheme="majorHAnsi" w:cstheme="majorHAnsi"/>
          <w:sz w:val="23"/>
          <w:szCs w:val="23"/>
          <w:lang w:eastAsia="en-GB"/>
        </w:rPr>
        <w:t xml:space="preserve">iveability to other domains. </w:t>
      </w:r>
      <w:r>
        <w:rPr>
          <w:rFonts w:asciiTheme="majorHAnsi" w:eastAsia="Times New Roman" w:hAnsiTheme="majorHAnsi" w:cstheme="majorHAnsi"/>
          <w:sz w:val="23"/>
          <w:szCs w:val="23"/>
          <w:lang w:eastAsia="en-GB"/>
        </w:rPr>
        <w:t xml:space="preserve">Table </w:t>
      </w:r>
      <w:r w:rsidR="004D7F9B">
        <w:rPr>
          <w:rFonts w:asciiTheme="majorHAnsi" w:eastAsia="Times New Roman" w:hAnsiTheme="majorHAnsi" w:cstheme="majorHAnsi"/>
          <w:sz w:val="23"/>
          <w:szCs w:val="23"/>
          <w:lang w:eastAsia="en-GB"/>
        </w:rPr>
        <w:t>3.8</w:t>
      </w:r>
      <w:r>
        <w:rPr>
          <w:rFonts w:asciiTheme="majorHAnsi" w:eastAsia="Times New Roman" w:hAnsiTheme="majorHAnsi" w:cstheme="majorHAnsi"/>
          <w:sz w:val="23"/>
          <w:szCs w:val="23"/>
          <w:lang w:eastAsia="en-GB"/>
        </w:rPr>
        <w:t xml:space="preserve"> (below)</w:t>
      </w:r>
      <w:r w:rsidRPr="00BC19B6">
        <w:rPr>
          <w:rFonts w:asciiTheme="majorHAnsi" w:eastAsia="Times New Roman" w:hAnsiTheme="majorHAnsi" w:cstheme="majorHAnsi"/>
          <w:sz w:val="23"/>
          <w:szCs w:val="23"/>
          <w:lang w:eastAsia="en-GB"/>
        </w:rPr>
        <w:t xml:space="preserve"> below indicates the following factors identified in these studies as impacting liveability for low-income communities. </w:t>
      </w:r>
      <w:r>
        <w:rPr>
          <w:rFonts w:asciiTheme="majorHAnsi" w:eastAsia="Times New Roman" w:hAnsiTheme="majorHAnsi" w:cstheme="majorBidi"/>
          <w:sz w:val="23"/>
          <w:szCs w:val="23"/>
          <w:lang w:eastAsia="en-GB"/>
        </w:rPr>
        <w:t>In common with the literature, crime and safety, access to affordable housing, residential mobility and access to transport stand out as key factors impacting liveability outcomes.</w:t>
      </w:r>
    </w:p>
    <w:p w14:paraId="72F22451" w14:textId="77777777" w:rsidR="00F00E3D" w:rsidRPr="00BC19B6" w:rsidRDefault="00F00E3D" w:rsidP="009B2FA7">
      <w:pPr>
        <w:spacing w:before="100" w:beforeAutospacing="1" w:after="100" w:afterAutospacing="1" w:line="276" w:lineRule="auto"/>
        <w:rPr>
          <w:rFonts w:ascii="Times New Roman" w:eastAsia="Times New Roman" w:hAnsi="Times New Roman" w:cs="Times New Roman"/>
          <w:sz w:val="24"/>
          <w:szCs w:val="24"/>
          <w:lang w:eastAsia="en-GB"/>
        </w:rPr>
      </w:pPr>
    </w:p>
    <w:p w14:paraId="4E6838FA" w14:textId="77777777" w:rsidR="00F00E3D" w:rsidRPr="00BC19B6" w:rsidRDefault="00F00E3D" w:rsidP="009B2FA7">
      <w:pPr>
        <w:spacing w:before="100" w:beforeAutospacing="1" w:after="100" w:afterAutospacing="1" w:line="276" w:lineRule="auto"/>
        <w:rPr>
          <w:rFonts w:asciiTheme="majorHAnsi" w:eastAsia="Times New Roman" w:hAnsiTheme="majorHAnsi" w:cstheme="majorHAnsi"/>
          <w:b/>
          <w:bCs/>
          <w:sz w:val="23"/>
          <w:szCs w:val="23"/>
          <w:lang w:eastAsia="en-GB"/>
        </w:rPr>
      </w:pPr>
      <w:r>
        <w:rPr>
          <w:noProof/>
        </w:rPr>
        <w:lastRenderedPageBreak/>
        <w:drawing>
          <wp:inline distT="0" distB="0" distL="0" distR="0" wp14:anchorId="1BAD72C4" wp14:editId="0B6E3FA3">
            <wp:extent cx="5135878" cy="7104252"/>
            <wp:effectExtent l="0" t="0" r="7620" b="190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7">
                      <a:extLst>
                        <a:ext uri="{28A0092B-C50C-407E-A947-70E740481C1C}">
                          <a14:useLocalDpi xmlns:a14="http://schemas.microsoft.com/office/drawing/2010/main"/>
                        </a:ext>
                      </a:extLst>
                    </a:blip>
                    <a:stretch>
                      <a:fillRect/>
                    </a:stretch>
                  </pic:blipFill>
                  <pic:spPr>
                    <a:xfrm>
                      <a:off x="0" y="0"/>
                      <a:ext cx="5135878" cy="7104252"/>
                    </a:xfrm>
                    <a:prstGeom prst="rect">
                      <a:avLst/>
                    </a:prstGeom>
                  </pic:spPr>
                </pic:pic>
              </a:graphicData>
            </a:graphic>
          </wp:inline>
        </w:drawing>
      </w:r>
    </w:p>
    <w:p w14:paraId="3ECD5EEB" w14:textId="51B52287" w:rsidR="008F7049" w:rsidRPr="0057769D" w:rsidRDefault="008F7049" w:rsidP="008F7049">
      <w:pPr>
        <w:spacing w:after="0" w:line="240" w:lineRule="auto"/>
        <w:rPr>
          <w:rFonts w:eastAsia="Times New Roman" w:cstheme="minorHAnsi"/>
          <w:b/>
          <w:bCs/>
          <w:sz w:val="21"/>
          <w:szCs w:val="21"/>
          <w:lang w:eastAsia="en-GB"/>
        </w:rPr>
      </w:pPr>
      <w:bookmarkStart w:id="38" w:name="OLE_LINKTable114"/>
      <w:r w:rsidRPr="0057769D">
        <w:rPr>
          <w:rFonts w:eastAsia="Times New Roman" w:cstheme="minorHAnsi"/>
          <w:b/>
          <w:bCs/>
          <w:sz w:val="21"/>
          <w:szCs w:val="21"/>
          <w:lang w:eastAsia="en-GB"/>
        </w:rPr>
        <w:t xml:space="preserve">   </w:t>
      </w:r>
      <w:r w:rsidR="00F00E3D" w:rsidRPr="0057769D">
        <w:rPr>
          <w:rFonts w:eastAsia="Times New Roman" w:cstheme="minorHAnsi"/>
          <w:b/>
          <w:bCs/>
          <w:sz w:val="21"/>
          <w:szCs w:val="21"/>
          <w:lang w:eastAsia="en-GB"/>
        </w:rPr>
        <w:t xml:space="preserve">Table </w:t>
      </w:r>
      <w:r w:rsidRPr="0057769D">
        <w:rPr>
          <w:rFonts w:eastAsia="Times New Roman" w:cstheme="minorHAnsi"/>
          <w:b/>
          <w:bCs/>
          <w:sz w:val="21"/>
          <w:szCs w:val="21"/>
          <w:lang w:eastAsia="en-GB"/>
        </w:rPr>
        <w:t>3.8:</w:t>
      </w:r>
      <w:r w:rsidR="00F00E3D" w:rsidRPr="0057769D">
        <w:rPr>
          <w:rFonts w:eastAsia="Times New Roman" w:cstheme="minorHAnsi"/>
          <w:b/>
          <w:bCs/>
          <w:sz w:val="21"/>
          <w:szCs w:val="21"/>
          <w:lang w:eastAsia="en-GB"/>
        </w:rPr>
        <w:t xml:space="preserve"> Number </w:t>
      </w:r>
      <w:r w:rsidRPr="0057769D">
        <w:rPr>
          <w:rFonts w:eastAsia="Times New Roman" w:cstheme="minorHAnsi"/>
          <w:b/>
          <w:bCs/>
          <w:sz w:val="21"/>
          <w:szCs w:val="21"/>
          <w:lang w:eastAsia="en-GB"/>
        </w:rPr>
        <w:t>of Articles Mentioning Relevant Indicators/Indicator Types in Each Policy Area</w:t>
      </w:r>
    </w:p>
    <w:p w14:paraId="0F5EAAE9" w14:textId="782D5759" w:rsidR="00F00E3D" w:rsidRPr="0057769D" w:rsidRDefault="008F7049" w:rsidP="008F7049">
      <w:pPr>
        <w:spacing w:after="0" w:line="240" w:lineRule="auto"/>
        <w:rPr>
          <w:rFonts w:eastAsia="Times New Roman" w:cstheme="minorHAnsi"/>
          <w:b/>
          <w:bCs/>
          <w:noProof/>
          <w:sz w:val="21"/>
          <w:szCs w:val="21"/>
          <w:lang w:eastAsia="en-GB"/>
        </w:rPr>
      </w:pPr>
      <w:r w:rsidRPr="0057769D">
        <w:rPr>
          <w:rFonts w:eastAsia="Times New Roman" w:cstheme="minorHAnsi"/>
          <w:b/>
          <w:bCs/>
          <w:sz w:val="21"/>
          <w:szCs w:val="21"/>
          <w:lang w:eastAsia="en-GB"/>
        </w:rPr>
        <w:t xml:space="preserve">   </w:t>
      </w:r>
      <w:r w:rsidR="00D0268C">
        <w:rPr>
          <w:rFonts w:eastAsia="Times New Roman" w:cstheme="minorHAnsi"/>
          <w:b/>
          <w:bCs/>
          <w:sz w:val="21"/>
          <w:szCs w:val="21"/>
          <w:lang w:eastAsia="en-GB"/>
        </w:rPr>
        <w:t>(</w:t>
      </w:r>
      <w:r w:rsidRPr="0057769D">
        <w:rPr>
          <w:rFonts w:eastAsia="Times New Roman" w:cstheme="minorHAnsi"/>
          <w:b/>
          <w:bCs/>
          <w:sz w:val="21"/>
          <w:szCs w:val="21"/>
          <w:lang w:eastAsia="en-GB"/>
        </w:rPr>
        <w:t xml:space="preserve">Source: </w:t>
      </w:r>
      <w:r w:rsidR="00F00E3D" w:rsidRPr="0057769D">
        <w:rPr>
          <w:rFonts w:eastAsia="Times New Roman" w:cstheme="minorHAnsi"/>
          <w:b/>
          <w:bCs/>
          <w:noProof/>
          <w:sz w:val="21"/>
          <w:szCs w:val="21"/>
          <w:lang w:eastAsia="en-GB"/>
        </w:rPr>
        <w:t>Lowe et al., 2015, p. 21)</w:t>
      </w:r>
    </w:p>
    <w:bookmarkEnd w:id="38"/>
    <w:p w14:paraId="59032749" w14:textId="77777777" w:rsidR="00F00E3D" w:rsidRPr="004A2045" w:rsidRDefault="00F00E3D" w:rsidP="009B2FA7">
      <w:pPr>
        <w:rPr>
          <w:rFonts w:asciiTheme="majorHAnsi" w:eastAsia="Times New Roman" w:hAnsiTheme="majorHAnsi" w:cstheme="majorBidi"/>
          <w:sz w:val="23"/>
          <w:szCs w:val="23"/>
          <w:lang w:eastAsia="en-GB"/>
        </w:rPr>
      </w:pPr>
      <w:r>
        <w:rPr>
          <w:rFonts w:asciiTheme="majorHAnsi" w:eastAsia="Times New Roman" w:hAnsiTheme="majorHAnsi" w:cstheme="majorBidi"/>
          <w:sz w:val="23"/>
          <w:szCs w:val="23"/>
          <w:lang w:eastAsia="en-GB"/>
        </w:rPr>
        <w:br w:type="page"/>
      </w:r>
    </w:p>
    <w:tbl>
      <w:tblPr>
        <w:tblStyle w:val="TableGrid"/>
        <w:tblW w:w="9540" w:type="dxa"/>
        <w:tblInd w:w="-5" w:type="dxa"/>
        <w:tblLook w:val="04A0" w:firstRow="1" w:lastRow="0" w:firstColumn="1" w:lastColumn="0" w:noHBand="0" w:noVBand="1"/>
      </w:tblPr>
      <w:tblGrid>
        <w:gridCol w:w="1080"/>
        <w:gridCol w:w="2298"/>
        <w:gridCol w:w="4542"/>
        <w:gridCol w:w="900"/>
        <w:gridCol w:w="720"/>
      </w:tblGrid>
      <w:tr w:rsidR="00551278" w:rsidRPr="00551278" w14:paraId="6B855CA4" w14:textId="77777777" w:rsidTr="00EE418A">
        <w:trPr>
          <w:trHeight w:val="532"/>
        </w:trPr>
        <w:tc>
          <w:tcPr>
            <w:tcW w:w="1080" w:type="dxa"/>
            <w:shd w:val="clear" w:color="auto" w:fill="D0CECE" w:themeFill="background2" w:themeFillShade="E6"/>
          </w:tcPr>
          <w:p w14:paraId="6906F4FB" w14:textId="132AC2C9" w:rsidR="00F00E3D" w:rsidRPr="00551278" w:rsidRDefault="00551278" w:rsidP="009B2FA7">
            <w:pPr>
              <w:contextualSpacing/>
              <w:rPr>
                <w:rFonts w:eastAsia="Times New Roman" w:cstheme="minorHAnsi"/>
                <w:b/>
                <w:bCs/>
                <w:lang w:eastAsia="en-GB"/>
              </w:rPr>
            </w:pPr>
            <w:r w:rsidRPr="00551278">
              <w:rPr>
                <w:rFonts w:eastAsia="Times New Roman" w:cstheme="minorHAnsi"/>
                <w:b/>
                <w:bCs/>
                <w:lang w:eastAsia="en-GB"/>
              </w:rPr>
              <w:lastRenderedPageBreak/>
              <w:t>Context Category</w:t>
            </w:r>
          </w:p>
        </w:tc>
        <w:tc>
          <w:tcPr>
            <w:tcW w:w="2298" w:type="dxa"/>
            <w:shd w:val="clear" w:color="auto" w:fill="D0CECE" w:themeFill="background2" w:themeFillShade="E6"/>
          </w:tcPr>
          <w:p w14:paraId="4AF13CBD" w14:textId="317B2C3D" w:rsidR="00F00E3D" w:rsidRPr="00551278" w:rsidRDefault="00551278" w:rsidP="009B2FA7">
            <w:pPr>
              <w:contextualSpacing/>
              <w:rPr>
                <w:rFonts w:eastAsia="Times New Roman" w:cstheme="minorHAnsi"/>
                <w:b/>
                <w:bCs/>
                <w:lang w:eastAsia="en-GB"/>
              </w:rPr>
            </w:pPr>
            <w:r w:rsidRPr="00551278">
              <w:rPr>
                <w:rFonts w:eastAsia="Times New Roman" w:cstheme="minorHAnsi"/>
                <w:b/>
                <w:bCs/>
                <w:lang w:eastAsia="en-GB"/>
              </w:rPr>
              <w:t>Determinant</w:t>
            </w:r>
          </w:p>
        </w:tc>
        <w:tc>
          <w:tcPr>
            <w:tcW w:w="4542" w:type="dxa"/>
            <w:shd w:val="clear" w:color="auto" w:fill="D0CECE" w:themeFill="background2" w:themeFillShade="E6"/>
          </w:tcPr>
          <w:p w14:paraId="23B40CA8" w14:textId="53292116" w:rsidR="00F00E3D" w:rsidRPr="00551278" w:rsidRDefault="00551278" w:rsidP="009B2FA7">
            <w:pPr>
              <w:contextualSpacing/>
              <w:rPr>
                <w:rFonts w:eastAsia="Times New Roman" w:cstheme="minorHAnsi"/>
                <w:b/>
                <w:bCs/>
                <w:lang w:eastAsia="en-GB"/>
              </w:rPr>
            </w:pPr>
            <w:r w:rsidRPr="00551278">
              <w:rPr>
                <w:rFonts w:eastAsia="Times New Roman" w:cstheme="minorHAnsi"/>
                <w:b/>
                <w:bCs/>
                <w:lang w:eastAsia="en-GB"/>
              </w:rPr>
              <w:t>Factor</w:t>
            </w:r>
          </w:p>
        </w:tc>
        <w:tc>
          <w:tcPr>
            <w:tcW w:w="1620" w:type="dxa"/>
            <w:gridSpan w:val="2"/>
            <w:shd w:val="clear" w:color="auto" w:fill="D0CECE" w:themeFill="background2" w:themeFillShade="E6"/>
          </w:tcPr>
          <w:p w14:paraId="4D565562" w14:textId="1C4461A8" w:rsidR="00F00E3D" w:rsidRPr="00551278" w:rsidRDefault="00551278" w:rsidP="009B2FA7">
            <w:pPr>
              <w:contextualSpacing/>
              <w:rPr>
                <w:rFonts w:eastAsia="Times New Roman" w:cstheme="minorHAnsi"/>
                <w:b/>
                <w:bCs/>
                <w:lang w:eastAsia="en-GB"/>
              </w:rPr>
            </w:pPr>
            <w:r w:rsidRPr="00551278">
              <w:rPr>
                <w:rFonts w:eastAsia="Times New Roman" w:cstheme="minorHAnsi"/>
                <w:b/>
                <w:bCs/>
                <w:lang w:eastAsia="en-GB"/>
              </w:rPr>
              <w:t xml:space="preserve"># Articles </w:t>
            </w:r>
          </w:p>
          <w:p w14:paraId="04166DF7" w14:textId="2804A123" w:rsidR="00F00E3D" w:rsidRPr="00551278" w:rsidRDefault="00551278" w:rsidP="009B2FA7">
            <w:pPr>
              <w:contextualSpacing/>
              <w:rPr>
                <w:rFonts w:eastAsia="Times New Roman" w:cstheme="minorHAnsi"/>
                <w:b/>
                <w:bCs/>
                <w:lang w:eastAsia="en-GB"/>
              </w:rPr>
            </w:pPr>
            <w:r w:rsidRPr="00551278">
              <w:rPr>
                <w:rFonts w:eastAsia="Times New Roman" w:cstheme="minorHAnsi"/>
                <w:b/>
                <w:bCs/>
                <w:lang w:eastAsia="en-GB"/>
              </w:rPr>
              <w:t>Identifying Factor</w:t>
            </w:r>
          </w:p>
        </w:tc>
      </w:tr>
      <w:tr w:rsidR="00F00E3D" w:rsidRPr="007F08B4" w14:paraId="40E7BAE3" w14:textId="77777777" w:rsidTr="00EE418A">
        <w:trPr>
          <w:trHeight w:val="128"/>
        </w:trPr>
        <w:tc>
          <w:tcPr>
            <w:tcW w:w="1080" w:type="dxa"/>
            <w:textDirection w:val="tbRl"/>
            <w:vAlign w:val="center"/>
          </w:tcPr>
          <w:p w14:paraId="763FFD74" w14:textId="5EEF0DAC" w:rsidR="00F00E3D" w:rsidRPr="007F08B4" w:rsidRDefault="00F00E3D" w:rsidP="009B2FA7">
            <w:pPr>
              <w:ind w:left="113" w:right="113"/>
              <w:contextualSpacing/>
              <w:jc w:val="center"/>
              <w:rPr>
                <w:rFonts w:eastAsiaTheme="minorEastAsia"/>
                <w:b/>
                <w:color w:val="000000"/>
                <w:lang w:eastAsia="en-GB"/>
              </w:rPr>
            </w:pPr>
            <w:r w:rsidRPr="701B9583">
              <w:rPr>
                <w:rFonts w:eastAsiaTheme="minorEastAsia"/>
                <w:b/>
                <w:bCs/>
                <w:color w:val="000000" w:themeColor="text1"/>
                <w:lang w:eastAsia="en-GB"/>
              </w:rPr>
              <w:t>Economic</w:t>
            </w:r>
          </w:p>
        </w:tc>
        <w:tc>
          <w:tcPr>
            <w:tcW w:w="2298" w:type="dxa"/>
            <w:vAlign w:val="center"/>
          </w:tcPr>
          <w:p w14:paraId="0FEB5157"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Economy</w:t>
            </w:r>
          </w:p>
        </w:tc>
        <w:tc>
          <w:tcPr>
            <w:tcW w:w="4542" w:type="dxa"/>
            <w:vAlign w:val="center"/>
          </w:tcPr>
          <w:p w14:paraId="519C365E" w14:textId="77777777" w:rsidR="00F00E3D" w:rsidRPr="007F08B4" w:rsidRDefault="00F00E3D" w:rsidP="009B2FA7">
            <w:pPr>
              <w:contextualSpacing/>
              <w:rPr>
                <w:rFonts w:asciiTheme="majorHAnsi" w:eastAsia="Times New Roman" w:hAnsiTheme="majorHAnsi" w:cstheme="majorHAnsi"/>
                <w:color w:val="000000"/>
                <w:lang w:eastAsia="en-GB"/>
              </w:rPr>
            </w:pPr>
          </w:p>
          <w:p w14:paraId="70DEA417"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Energy Affordability</w:t>
            </w:r>
          </w:p>
          <w:p w14:paraId="2849EE6F" w14:textId="77777777" w:rsidR="00F00E3D" w:rsidRPr="007F08B4" w:rsidRDefault="00F00E3D" w:rsidP="009B2FA7">
            <w:pPr>
              <w:contextualSpacing/>
              <w:rPr>
                <w:rFonts w:asciiTheme="majorHAnsi" w:eastAsia="Times New Roman" w:hAnsiTheme="majorHAnsi" w:cstheme="majorHAnsi"/>
                <w:lang w:eastAsia="en-GB"/>
              </w:rPr>
            </w:pPr>
          </w:p>
          <w:p w14:paraId="374CD757" w14:textId="77777777" w:rsidR="00F00E3D" w:rsidRPr="007F08B4" w:rsidRDefault="00F00E3D" w:rsidP="009B2FA7">
            <w:pPr>
              <w:contextualSpacing/>
              <w:rPr>
                <w:rFonts w:asciiTheme="majorHAnsi" w:eastAsia="Times New Roman" w:hAnsiTheme="majorHAnsi" w:cstheme="majorHAnsi"/>
                <w:lang w:eastAsia="en-GB"/>
              </w:rPr>
            </w:pPr>
          </w:p>
          <w:p w14:paraId="19EDF53B" w14:textId="77777777" w:rsidR="00F00E3D" w:rsidRPr="007F08B4" w:rsidRDefault="00F00E3D" w:rsidP="009B2FA7">
            <w:pPr>
              <w:contextualSpacing/>
              <w:rPr>
                <w:rFonts w:asciiTheme="majorHAnsi" w:eastAsia="Times New Roman" w:hAnsiTheme="majorHAnsi" w:cstheme="majorHAnsi"/>
                <w:lang w:eastAsia="en-GB"/>
              </w:rPr>
            </w:pPr>
          </w:p>
        </w:tc>
        <w:tc>
          <w:tcPr>
            <w:tcW w:w="900" w:type="dxa"/>
            <w:vAlign w:val="center"/>
          </w:tcPr>
          <w:p w14:paraId="58E59CFE"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Align w:val="center"/>
          </w:tcPr>
          <w:p w14:paraId="7BC49DD4" w14:textId="77777777" w:rsidR="00F00E3D" w:rsidRPr="007F08B4" w:rsidRDefault="00F00E3D" w:rsidP="009B2FA7">
            <w:pPr>
              <w:tabs>
                <w:tab w:val="left" w:pos="2127"/>
              </w:tabs>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r>
      <w:tr w:rsidR="00F00E3D" w:rsidRPr="007F08B4" w14:paraId="5A9846C5" w14:textId="77777777" w:rsidTr="00EE418A">
        <w:trPr>
          <w:trHeight w:val="316"/>
        </w:trPr>
        <w:tc>
          <w:tcPr>
            <w:tcW w:w="1080" w:type="dxa"/>
            <w:vMerge w:val="restart"/>
            <w:textDirection w:val="tbRl"/>
            <w:vAlign w:val="center"/>
          </w:tcPr>
          <w:p w14:paraId="14F96D76" w14:textId="77777777" w:rsidR="00F00E3D" w:rsidRPr="007F08B4" w:rsidRDefault="00F00E3D" w:rsidP="009B2FA7">
            <w:pPr>
              <w:contextualSpacing/>
              <w:jc w:val="center"/>
              <w:rPr>
                <w:rFonts w:eastAsiaTheme="minorEastAsia"/>
                <w:b/>
                <w:color w:val="000000"/>
                <w:lang w:eastAsia="en-GB"/>
              </w:rPr>
            </w:pPr>
            <w:r w:rsidRPr="701B9583">
              <w:rPr>
                <w:rFonts w:eastAsiaTheme="minorEastAsia"/>
                <w:b/>
                <w:color w:val="000000" w:themeColor="text1"/>
                <w:lang w:eastAsia="en-GB"/>
              </w:rPr>
              <w:t>Health</w:t>
            </w:r>
          </w:p>
        </w:tc>
        <w:tc>
          <w:tcPr>
            <w:tcW w:w="2298" w:type="dxa"/>
            <w:vMerge w:val="restart"/>
            <w:vAlign w:val="center"/>
          </w:tcPr>
          <w:p w14:paraId="3FE8F6EC" w14:textId="77777777" w:rsidR="00F00E3D" w:rsidRPr="007F08B4" w:rsidRDefault="00F00E3D" w:rsidP="009B2FA7">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Healthcare &amp; Social Services</w:t>
            </w:r>
          </w:p>
        </w:tc>
        <w:tc>
          <w:tcPr>
            <w:tcW w:w="4542" w:type="dxa"/>
            <w:vAlign w:val="center"/>
          </w:tcPr>
          <w:p w14:paraId="67559845"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color w:val="000000"/>
                <w:lang w:eastAsia="en-GB"/>
              </w:rPr>
              <w:t>Access to Healthcare</w:t>
            </w:r>
          </w:p>
        </w:tc>
        <w:tc>
          <w:tcPr>
            <w:tcW w:w="900" w:type="dxa"/>
            <w:vAlign w:val="center"/>
          </w:tcPr>
          <w:p w14:paraId="59BF756B"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color w:val="000000"/>
                <w:lang w:eastAsia="en-GB"/>
              </w:rPr>
              <w:t>1</w:t>
            </w:r>
          </w:p>
        </w:tc>
        <w:tc>
          <w:tcPr>
            <w:tcW w:w="720" w:type="dxa"/>
            <w:vMerge w:val="restart"/>
            <w:vAlign w:val="center"/>
          </w:tcPr>
          <w:p w14:paraId="2108685C" w14:textId="77777777" w:rsidR="00F00E3D" w:rsidRPr="007F08B4" w:rsidRDefault="00F00E3D" w:rsidP="009B2FA7">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2</w:t>
            </w:r>
          </w:p>
        </w:tc>
      </w:tr>
      <w:tr w:rsidR="00F00E3D" w:rsidRPr="007F08B4" w14:paraId="55316691" w14:textId="77777777" w:rsidTr="00EE418A">
        <w:trPr>
          <w:trHeight w:val="316"/>
        </w:trPr>
        <w:tc>
          <w:tcPr>
            <w:tcW w:w="1080" w:type="dxa"/>
            <w:vMerge/>
          </w:tcPr>
          <w:p w14:paraId="1EDFD9FF"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2298" w:type="dxa"/>
            <w:vMerge/>
          </w:tcPr>
          <w:p w14:paraId="0CBACABB"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4542" w:type="dxa"/>
            <w:vAlign w:val="center"/>
          </w:tcPr>
          <w:p w14:paraId="75001929"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Access to Services</w:t>
            </w:r>
          </w:p>
        </w:tc>
        <w:tc>
          <w:tcPr>
            <w:tcW w:w="900" w:type="dxa"/>
            <w:vAlign w:val="center"/>
          </w:tcPr>
          <w:p w14:paraId="1FD220B3"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c>
          <w:tcPr>
            <w:tcW w:w="720" w:type="dxa"/>
            <w:vMerge/>
            <w:vAlign w:val="center"/>
          </w:tcPr>
          <w:p w14:paraId="5B3D2E98" w14:textId="77777777" w:rsidR="00F00E3D" w:rsidRPr="007F08B4" w:rsidRDefault="00F00E3D" w:rsidP="009B2FA7">
            <w:pPr>
              <w:contextualSpacing/>
              <w:jc w:val="center"/>
              <w:rPr>
                <w:rFonts w:asciiTheme="majorHAnsi" w:eastAsia="Times New Roman" w:hAnsiTheme="majorHAnsi" w:cstheme="majorHAnsi"/>
                <w:color w:val="000000"/>
                <w:lang w:eastAsia="en-GB"/>
              </w:rPr>
            </w:pPr>
          </w:p>
        </w:tc>
      </w:tr>
      <w:tr w:rsidR="00F00E3D" w:rsidRPr="007F08B4" w14:paraId="48F318AF" w14:textId="77777777" w:rsidTr="00EE418A">
        <w:trPr>
          <w:trHeight w:val="643"/>
        </w:trPr>
        <w:tc>
          <w:tcPr>
            <w:tcW w:w="1080" w:type="dxa"/>
            <w:vMerge/>
          </w:tcPr>
          <w:p w14:paraId="6338B159"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2298" w:type="dxa"/>
            <w:vAlign w:val="center"/>
          </w:tcPr>
          <w:p w14:paraId="10F89A06" w14:textId="77777777" w:rsidR="00F00E3D" w:rsidRPr="007F08B4" w:rsidRDefault="00F00E3D" w:rsidP="009B2FA7">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Personal Health Status</w:t>
            </w:r>
          </w:p>
        </w:tc>
        <w:tc>
          <w:tcPr>
            <w:tcW w:w="4542" w:type="dxa"/>
            <w:vAlign w:val="center"/>
          </w:tcPr>
          <w:p w14:paraId="2C3980DE"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Physical Activity Level</w:t>
            </w:r>
          </w:p>
        </w:tc>
        <w:tc>
          <w:tcPr>
            <w:tcW w:w="900" w:type="dxa"/>
            <w:vAlign w:val="center"/>
          </w:tcPr>
          <w:p w14:paraId="35119054"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c>
          <w:tcPr>
            <w:tcW w:w="720" w:type="dxa"/>
            <w:vAlign w:val="center"/>
          </w:tcPr>
          <w:p w14:paraId="7DDAAB85" w14:textId="77777777" w:rsidR="00F00E3D" w:rsidRPr="007F08B4" w:rsidRDefault="00F00E3D" w:rsidP="009B2FA7">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r>
      <w:tr w:rsidR="00F00E3D" w:rsidRPr="007F08B4" w14:paraId="5A018B02" w14:textId="77777777" w:rsidTr="00EE418A">
        <w:trPr>
          <w:trHeight w:val="316"/>
        </w:trPr>
        <w:tc>
          <w:tcPr>
            <w:tcW w:w="1080" w:type="dxa"/>
            <w:vMerge w:val="restart"/>
            <w:textDirection w:val="tbRl"/>
            <w:vAlign w:val="center"/>
          </w:tcPr>
          <w:p w14:paraId="3106C5B8" w14:textId="77777777" w:rsidR="00F00E3D" w:rsidRPr="007F08B4" w:rsidRDefault="00F00E3D" w:rsidP="009B2FA7">
            <w:pPr>
              <w:tabs>
                <w:tab w:val="left" w:pos="1457"/>
              </w:tabs>
              <w:contextualSpacing/>
              <w:jc w:val="center"/>
              <w:rPr>
                <w:rFonts w:eastAsiaTheme="minorEastAsia"/>
                <w:b/>
                <w:color w:val="000000"/>
                <w:lang w:eastAsia="en-GB"/>
              </w:rPr>
            </w:pPr>
            <w:r w:rsidRPr="701B9583">
              <w:rPr>
                <w:rFonts w:eastAsiaTheme="minorEastAsia"/>
                <w:b/>
                <w:color w:val="000000" w:themeColor="text1"/>
                <w:lang w:eastAsia="en-GB"/>
              </w:rPr>
              <w:t>Social</w:t>
            </w:r>
          </w:p>
        </w:tc>
        <w:tc>
          <w:tcPr>
            <w:tcW w:w="2298" w:type="dxa"/>
            <w:vAlign w:val="center"/>
          </w:tcPr>
          <w:p w14:paraId="6BDBFD02" w14:textId="77777777" w:rsidR="00F00E3D" w:rsidRPr="007F08B4" w:rsidRDefault="00F00E3D" w:rsidP="009B2FA7">
            <w:pPr>
              <w:tabs>
                <w:tab w:val="left" w:pos="1457"/>
              </w:tabs>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Behaviours</w:t>
            </w:r>
          </w:p>
        </w:tc>
        <w:tc>
          <w:tcPr>
            <w:tcW w:w="4542" w:type="dxa"/>
            <w:vAlign w:val="center"/>
          </w:tcPr>
          <w:p w14:paraId="71861568" w14:textId="77777777" w:rsidR="00F00E3D" w:rsidRPr="007F08B4" w:rsidRDefault="00F00E3D" w:rsidP="009B2FA7">
            <w:pPr>
              <w:tabs>
                <w:tab w:val="left" w:pos="1457"/>
              </w:tabs>
              <w:contextualSpacing/>
              <w:rPr>
                <w:rFonts w:asciiTheme="majorHAnsi" w:eastAsia="Times New Roman" w:hAnsiTheme="majorHAnsi" w:cstheme="majorHAnsi"/>
                <w:lang w:eastAsia="en-GB"/>
              </w:rPr>
            </w:pPr>
            <w:r w:rsidRPr="007F08B4">
              <w:rPr>
                <w:rFonts w:asciiTheme="majorHAnsi" w:eastAsia="Times New Roman" w:hAnsiTheme="majorHAnsi" w:cstheme="majorHAnsi"/>
                <w:color w:val="000000"/>
                <w:lang w:eastAsia="en-GB"/>
              </w:rPr>
              <w:t>Personal Behaviours</w:t>
            </w:r>
          </w:p>
        </w:tc>
        <w:tc>
          <w:tcPr>
            <w:tcW w:w="900" w:type="dxa"/>
            <w:vAlign w:val="center"/>
          </w:tcPr>
          <w:p w14:paraId="3FF03556"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Align w:val="center"/>
          </w:tcPr>
          <w:p w14:paraId="7D3AF623" w14:textId="77777777" w:rsidR="00F00E3D" w:rsidRPr="007F08B4" w:rsidRDefault="00F00E3D" w:rsidP="009B2FA7">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r>
      <w:tr w:rsidR="00F00E3D" w:rsidRPr="007F08B4" w14:paraId="2731E648" w14:textId="77777777" w:rsidTr="00EE418A">
        <w:trPr>
          <w:trHeight w:val="281"/>
        </w:trPr>
        <w:tc>
          <w:tcPr>
            <w:tcW w:w="1080" w:type="dxa"/>
            <w:vMerge/>
          </w:tcPr>
          <w:p w14:paraId="083EB3F5" w14:textId="77777777" w:rsidR="00F00E3D" w:rsidRPr="007F08B4" w:rsidRDefault="00F00E3D" w:rsidP="009B2FA7">
            <w:pPr>
              <w:tabs>
                <w:tab w:val="left" w:pos="3181"/>
              </w:tabs>
              <w:contextualSpacing/>
              <w:rPr>
                <w:rFonts w:asciiTheme="majorHAnsi" w:eastAsia="Times New Roman" w:hAnsiTheme="majorHAnsi" w:cstheme="majorHAnsi"/>
                <w:color w:val="000000"/>
                <w:lang w:eastAsia="en-GB"/>
              </w:rPr>
            </w:pPr>
          </w:p>
        </w:tc>
        <w:tc>
          <w:tcPr>
            <w:tcW w:w="2298" w:type="dxa"/>
            <w:vMerge w:val="restart"/>
            <w:vAlign w:val="center"/>
          </w:tcPr>
          <w:p w14:paraId="688A6484" w14:textId="77777777" w:rsidR="00F00E3D" w:rsidRPr="007F08B4" w:rsidRDefault="00F00E3D" w:rsidP="009B2FA7">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Crime &amp; Safety</w:t>
            </w:r>
          </w:p>
        </w:tc>
        <w:tc>
          <w:tcPr>
            <w:tcW w:w="4542" w:type="dxa"/>
            <w:vAlign w:val="center"/>
          </w:tcPr>
          <w:p w14:paraId="203F03BB" w14:textId="77777777" w:rsidR="00F00E3D" w:rsidRPr="007F08B4" w:rsidRDefault="00F00E3D" w:rsidP="009B2FA7">
            <w:pPr>
              <w:tabs>
                <w:tab w:val="left" w:pos="3181"/>
              </w:tabs>
              <w:contextualSpacing/>
              <w:rPr>
                <w:rFonts w:asciiTheme="majorHAnsi" w:eastAsia="Times New Roman" w:hAnsiTheme="majorHAnsi" w:cstheme="majorHAnsi"/>
                <w:lang w:eastAsia="en-GB"/>
              </w:rPr>
            </w:pPr>
            <w:r w:rsidRPr="007F08B4">
              <w:rPr>
                <w:rFonts w:asciiTheme="majorHAnsi" w:eastAsia="Times New Roman" w:hAnsiTheme="majorHAnsi" w:cstheme="majorHAnsi"/>
                <w:color w:val="000000"/>
                <w:lang w:eastAsia="en-GB"/>
              </w:rPr>
              <w:t>Crime</w:t>
            </w:r>
          </w:p>
        </w:tc>
        <w:tc>
          <w:tcPr>
            <w:tcW w:w="900" w:type="dxa"/>
            <w:vAlign w:val="center"/>
          </w:tcPr>
          <w:p w14:paraId="2C7EE65D" w14:textId="77777777" w:rsidR="00F00E3D" w:rsidRPr="007F08B4" w:rsidRDefault="00F00E3D" w:rsidP="009B2FA7">
            <w:pPr>
              <w:tabs>
                <w:tab w:val="left" w:pos="854"/>
              </w:tabs>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3</w:t>
            </w:r>
          </w:p>
        </w:tc>
        <w:tc>
          <w:tcPr>
            <w:tcW w:w="720" w:type="dxa"/>
            <w:vMerge w:val="restart"/>
            <w:vAlign w:val="center"/>
          </w:tcPr>
          <w:p w14:paraId="1B5857ED" w14:textId="77777777" w:rsidR="00F00E3D" w:rsidRPr="007F08B4" w:rsidRDefault="00F00E3D" w:rsidP="009B2FA7">
            <w:pPr>
              <w:tabs>
                <w:tab w:val="left" w:pos="854"/>
              </w:tabs>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8</w:t>
            </w:r>
          </w:p>
        </w:tc>
      </w:tr>
      <w:tr w:rsidR="00F00E3D" w:rsidRPr="007F08B4" w14:paraId="77787138" w14:textId="77777777" w:rsidTr="00EE418A">
        <w:trPr>
          <w:trHeight w:val="327"/>
        </w:trPr>
        <w:tc>
          <w:tcPr>
            <w:tcW w:w="1080" w:type="dxa"/>
            <w:vMerge/>
          </w:tcPr>
          <w:p w14:paraId="405C2110" w14:textId="77777777" w:rsidR="00F00E3D" w:rsidRPr="007F08B4" w:rsidRDefault="00F00E3D" w:rsidP="009B2FA7">
            <w:pPr>
              <w:tabs>
                <w:tab w:val="left" w:pos="3181"/>
              </w:tabs>
              <w:contextualSpacing/>
              <w:rPr>
                <w:rFonts w:asciiTheme="majorHAnsi" w:eastAsia="Times New Roman" w:hAnsiTheme="majorHAnsi" w:cstheme="majorHAnsi"/>
                <w:color w:val="000000"/>
                <w:lang w:eastAsia="en-GB"/>
              </w:rPr>
            </w:pPr>
          </w:p>
        </w:tc>
        <w:tc>
          <w:tcPr>
            <w:tcW w:w="2298" w:type="dxa"/>
            <w:vMerge/>
          </w:tcPr>
          <w:p w14:paraId="296D328A" w14:textId="77777777" w:rsidR="00F00E3D" w:rsidRPr="007F08B4" w:rsidRDefault="00F00E3D" w:rsidP="009B2FA7">
            <w:pPr>
              <w:tabs>
                <w:tab w:val="left" w:pos="3181"/>
              </w:tabs>
              <w:contextualSpacing/>
              <w:rPr>
                <w:rFonts w:asciiTheme="majorHAnsi" w:eastAsia="Times New Roman" w:hAnsiTheme="majorHAnsi" w:cstheme="majorHAnsi"/>
                <w:color w:val="000000"/>
                <w:lang w:eastAsia="en-GB"/>
              </w:rPr>
            </w:pPr>
          </w:p>
        </w:tc>
        <w:tc>
          <w:tcPr>
            <w:tcW w:w="4542" w:type="dxa"/>
            <w:vAlign w:val="center"/>
          </w:tcPr>
          <w:p w14:paraId="5D3895CC" w14:textId="77777777" w:rsidR="00F00E3D" w:rsidRPr="007F08B4" w:rsidRDefault="00F00E3D" w:rsidP="009B2FA7">
            <w:pPr>
              <w:tabs>
                <w:tab w:val="left" w:pos="3181"/>
              </w:tabs>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Neighbourhood Safety</w:t>
            </w:r>
          </w:p>
        </w:tc>
        <w:tc>
          <w:tcPr>
            <w:tcW w:w="900" w:type="dxa"/>
            <w:vAlign w:val="center"/>
          </w:tcPr>
          <w:p w14:paraId="5ED79FC1" w14:textId="77777777" w:rsidR="00F00E3D" w:rsidRPr="007F08B4" w:rsidRDefault="00F00E3D" w:rsidP="009B2FA7">
            <w:pPr>
              <w:tabs>
                <w:tab w:val="left" w:pos="854"/>
              </w:tabs>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5</w:t>
            </w:r>
          </w:p>
        </w:tc>
        <w:tc>
          <w:tcPr>
            <w:tcW w:w="720" w:type="dxa"/>
            <w:vMerge/>
            <w:vAlign w:val="center"/>
          </w:tcPr>
          <w:p w14:paraId="1118977E" w14:textId="77777777" w:rsidR="00F00E3D" w:rsidRPr="007F08B4" w:rsidRDefault="00F00E3D" w:rsidP="009B2FA7">
            <w:pPr>
              <w:tabs>
                <w:tab w:val="left" w:pos="854"/>
              </w:tabs>
              <w:contextualSpacing/>
              <w:jc w:val="center"/>
              <w:rPr>
                <w:rFonts w:asciiTheme="majorHAnsi" w:eastAsia="Times New Roman" w:hAnsiTheme="majorHAnsi" w:cstheme="majorHAnsi"/>
                <w:color w:val="000000"/>
                <w:lang w:eastAsia="en-GB"/>
              </w:rPr>
            </w:pPr>
          </w:p>
        </w:tc>
      </w:tr>
      <w:tr w:rsidR="00F00E3D" w:rsidRPr="007F08B4" w14:paraId="37ED9774" w14:textId="77777777" w:rsidTr="00EE418A">
        <w:trPr>
          <w:trHeight w:val="327"/>
        </w:trPr>
        <w:tc>
          <w:tcPr>
            <w:tcW w:w="1080" w:type="dxa"/>
            <w:vMerge/>
          </w:tcPr>
          <w:p w14:paraId="629C773D"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2298" w:type="dxa"/>
            <w:vMerge w:val="restart"/>
            <w:vAlign w:val="center"/>
          </w:tcPr>
          <w:p w14:paraId="27974FC7" w14:textId="77777777" w:rsidR="00F00E3D" w:rsidRPr="007F08B4" w:rsidRDefault="00F00E3D" w:rsidP="009B2FA7">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 xml:space="preserve">Employment </w:t>
            </w:r>
          </w:p>
          <w:p w14:paraId="72DC5F5B" w14:textId="77777777" w:rsidR="00F00E3D" w:rsidRPr="007F08B4" w:rsidRDefault="00F00E3D" w:rsidP="009B2FA7">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&amp; Work</w:t>
            </w:r>
          </w:p>
        </w:tc>
        <w:tc>
          <w:tcPr>
            <w:tcW w:w="4542" w:type="dxa"/>
            <w:vAlign w:val="center"/>
          </w:tcPr>
          <w:p w14:paraId="0B430CA4"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color w:val="000000"/>
                <w:lang w:eastAsia="en-GB"/>
              </w:rPr>
              <w:t>Access to Employment</w:t>
            </w:r>
          </w:p>
        </w:tc>
        <w:tc>
          <w:tcPr>
            <w:tcW w:w="900" w:type="dxa"/>
            <w:vAlign w:val="center"/>
          </w:tcPr>
          <w:p w14:paraId="26489651"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Merge w:val="restart"/>
            <w:vAlign w:val="center"/>
          </w:tcPr>
          <w:p w14:paraId="49BB77BE" w14:textId="77777777" w:rsidR="00F00E3D" w:rsidRPr="007F08B4" w:rsidRDefault="00F00E3D" w:rsidP="009B2FA7">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2</w:t>
            </w:r>
          </w:p>
        </w:tc>
      </w:tr>
      <w:tr w:rsidR="00F00E3D" w:rsidRPr="007F08B4" w14:paraId="7F7D6677" w14:textId="77777777" w:rsidTr="00EE418A">
        <w:trPr>
          <w:trHeight w:val="327"/>
        </w:trPr>
        <w:tc>
          <w:tcPr>
            <w:tcW w:w="1080" w:type="dxa"/>
            <w:vMerge/>
          </w:tcPr>
          <w:p w14:paraId="30D81868"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2298" w:type="dxa"/>
            <w:vMerge/>
          </w:tcPr>
          <w:p w14:paraId="6D2D0A65"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4542" w:type="dxa"/>
            <w:vAlign w:val="center"/>
          </w:tcPr>
          <w:p w14:paraId="73F4C2DE"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color w:val="000000"/>
                <w:lang w:eastAsia="en-GB"/>
              </w:rPr>
              <w:t xml:space="preserve">Employment </w:t>
            </w:r>
          </w:p>
        </w:tc>
        <w:tc>
          <w:tcPr>
            <w:tcW w:w="900" w:type="dxa"/>
            <w:vAlign w:val="center"/>
          </w:tcPr>
          <w:p w14:paraId="0FE4BA5C"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Merge/>
            <w:vAlign w:val="center"/>
          </w:tcPr>
          <w:p w14:paraId="54CE0AB3" w14:textId="77777777" w:rsidR="00F00E3D" w:rsidRPr="007F08B4" w:rsidRDefault="00F00E3D" w:rsidP="009B2FA7">
            <w:pPr>
              <w:contextualSpacing/>
              <w:jc w:val="center"/>
              <w:rPr>
                <w:rFonts w:asciiTheme="majorHAnsi" w:eastAsia="Times New Roman" w:hAnsiTheme="majorHAnsi" w:cstheme="majorHAnsi"/>
                <w:color w:val="000000"/>
                <w:lang w:eastAsia="en-GB"/>
              </w:rPr>
            </w:pPr>
          </w:p>
        </w:tc>
      </w:tr>
      <w:tr w:rsidR="00F00E3D" w:rsidRPr="007F08B4" w14:paraId="49A363F3" w14:textId="77777777" w:rsidTr="00EE418A">
        <w:trPr>
          <w:trHeight w:val="316"/>
        </w:trPr>
        <w:tc>
          <w:tcPr>
            <w:tcW w:w="1080" w:type="dxa"/>
            <w:vMerge/>
          </w:tcPr>
          <w:p w14:paraId="08D0E396"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2298" w:type="dxa"/>
            <w:vAlign w:val="center"/>
          </w:tcPr>
          <w:p w14:paraId="50B7AAD0" w14:textId="77777777" w:rsidR="00F00E3D" w:rsidRPr="007F08B4" w:rsidRDefault="00F00E3D" w:rsidP="009B2FA7">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Housing</w:t>
            </w:r>
          </w:p>
        </w:tc>
        <w:tc>
          <w:tcPr>
            <w:tcW w:w="4542" w:type="dxa"/>
            <w:vAlign w:val="center"/>
          </w:tcPr>
          <w:p w14:paraId="3120C5AE"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Housing (access to Affordable Housing)</w:t>
            </w:r>
          </w:p>
        </w:tc>
        <w:tc>
          <w:tcPr>
            <w:tcW w:w="900" w:type="dxa"/>
            <w:vAlign w:val="center"/>
          </w:tcPr>
          <w:p w14:paraId="514C6F10"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7</w:t>
            </w:r>
          </w:p>
        </w:tc>
        <w:tc>
          <w:tcPr>
            <w:tcW w:w="720" w:type="dxa"/>
            <w:vAlign w:val="center"/>
          </w:tcPr>
          <w:p w14:paraId="7C4DA442" w14:textId="77777777" w:rsidR="00F00E3D" w:rsidRPr="007F08B4" w:rsidRDefault="00F00E3D" w:rsidP="009B2FA7">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7</w:t>
            </w:r>
          </w:p>
        </w:tc>
      </w:tr>
      <w:tr w:rsidR="00F00E3D" w:rsidRPr="007F08B4" w14:paraId="1BFE79F8" w14:textId="77777777" w:rsidTr="00EE418A">
        <w:trPr>
          <w:trHeight w:val="327"/>
        </w:trPr>
        <w:tc>
          <w:tcPr>
            <w:tcW w:w="1080" w:type="dxa"/>
            <w:vMerge/>
          </w:tcPr>
          <w:p w14:paraId="1C3E3161"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2298" w:type="dxa"/>
            <w:vMerge w:val="restart"/>
            <w:vAlign w:val="center"/>
          </w:tcPr>
          <w:p w14:paraId="18F91063" w14:textId="77777777" w:rsidR="00F00E3D" w:rsidRPr="007F08B4" w:rsidRDefault="00F00E3D" w:rsidP="00551278">
            <w:pPr>
              <w:spacing w:after="0"/>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Social networks, Support &amp;</w:t>
            </w:r>
          </w:p>
          <w:p w14:paraId="25F657A5" w14:textId="77777777" w:rsidR="00F00E3D" w:rsidRPr="007F08B4" w:rsidRDefault="00F00E3D" w:rsidP="00551278">
            <w:pPr>
              <w:spacing w:after="0"/>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Exclusion</w:t>
            </w:r>
          </w:p>
        </w:tc>
        <w:tc>
          <w:tcPr>
            <w:tcW w:w="4542" w:type="dxa"/>
            <w:vAlign w:val="center"/>
          </w:tcPr>
          <w:p w14:paraId="768D18D3"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Quality of Social &amp; Familial Networks</w:t>
            </w:r>
          </w:p>
        </w:tc>
        <w:tc>
          <w:tcPr>
            <w:tcW w:w="900" w:type="dxa"/>
            <w:vAlign w:val="center"/>
          </w:tcPr>
          <w:p w14:paraId="1DFE4639"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2</w:t>
            </w:r>
          </w:p>
        </w:tc>
        <w:tc>
          <w:tcPr>
            <w:tcW w:w="720" w:type="dxa"/>
            <w:vMerge w:val="restart"/>
            <w:vAlign w:val="center"/>
          </w:tcPr>
          <w:p w14:paraId="3ED8BE04" w14:textId="77777777" w:rsidR="00F00E3D" w:rsidRPr="007F08B4" w:rsidRDefault="00F00E3D" w:rsidP="009B2FA7">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4</w:t>
            </w:r>
          </w:p>
        </w:tc>
      </w:tr>
      <w:tr w:rsidR="00F00E3D" w:rsidRPr="007F08B4" w14:paraId="45EB9209" w14:textId="77777777" w:rsidTr="00EE418A">
        <w:trPr>
          <w:trHeight w:val="327"/>
        </w:trPr>
        <w:tc>
          <w:tcPr>
            <w:tcW w:w="1080" w:type="dxa"/>
            <w:vMerge/>
          </w:tcPr>
          <w:p w14:paraId="0C99E2C2"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2298" w:type="dxa"/>
            <w:vMerge/>
          </w:tcPr>
          <w:p w14:paraId="069CE0C8"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4542" w:type="dxa"/>
            <w:vAlign w:val="center"/>
          </w:tcPr>
          <w:p w14:paraId="4B6803E4"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Social Cohesion</w:t>
            </w:r>
          </w:p>
        </w:tc>
        <w:tc>
          <w:tcPr>
            <w:tcW w:w="900" w:type="dxa"/>
            <w:vAlign w:val="center"/>
          </w:tcPr>
          <w:p w14:paraId="706A143F"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c>
          <w:tcPr>
            <w:tcW w:w="720" w:type="dxa"/>
            <w:vMerge/>
            <w:vAlign w:val="center"/>
          </w:tcPr>
          <w:p w14:paraId="3097AD99" w14:textId="77777777" w:rsidR="00F00E3D" w:rsidRPr="007F08B4" w:rsidRDefault="00F00E3D" w:rsidP="009B2FA7">
            <w:pPr>
              <w:contextualSpacing/>
              <w:jc w:val="center"/>
              <w:rPr>
                <w:rFonts w:asciiTheme="majorHAnsi" w:eastAsia="Times New Roman" w:hAnsiTheme="majorHAnsi" w:cstheme="majorHAnsi"/>
                <w:color w:val="000000"/>
                <w:lang w:eastAsia="en-GB"/>
              </w:rPr>
            </w:pPr>
          </w:p>
        </w:tc>
      </w:tr>
      <w:tr w:rsidR="00F00E3D" w:rsidRPr="007F08B4" w14:paraId="0E05A56B" w14:textId="77777777" w:rsidTr="00EE418A">
        <w:trPr>
          <w:trHeight w:val="208"/>
        </w:trPr>
        <w:tc>
          <w:tcPr>
            <w:tcW w:w="1080" w:type="dxa"/>
            <w:vMerge/>
          </w:tcPr>
          <w:p w14:paraId="794E39BC"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2298" w:type="dxa"/>
            <w:vMerge/>
          </w:tcPr>
          <w:p w14:paraId="4909D2AA"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4542" w:type="dxa"/>
            <w:vAlign w:val="center"/>
          </w:tcPr>
          <w:p w14:paraId="18E396DB"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Discrimination</w:t>
            </w:r>
          </w:p>
        </w:tc>
        <w:tc>
          <w:tcPr>
            <w:tcW w:w="900" w:type="dxa"/>
            <w:vAlign w:val="center"/>
          </w:tcPr>
          <w:p w14:paraId="6E1F13E4"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Merge/>
            <w:vAlign w:val="center"/>
          </w:tcPr>
          <w:p w14:paraId="394B04D8" w14:textId="77777777" w:rsidR="00F00E3D" w:rsidRPr="007F08B4" w:rsidRDefault="00F00E3D" w:rsidP="009B2FA7">
            <w:pPr>
              <w:contextualSpacing/>
              <w:jc w:val="center"/>
              <w:rPr>
                <w:rFonts w:asciiTheme="majorHAnsi" w:eastAsia="Times New Roman" w:hAnsiTheme="majorHAnsi" w:cstheme="majorHAnsi"/>
                <w:color w:val="000000"/>
                <w:lang w:eastAsia="en-GB"/>
              </w:rPr>
            </w:pPr>
          </w:p>
        </w:tc>
      </w:tr>
      <w:tr w:rsidR="00F00E3D" w:rsidRPr="007F08B4" w14:paraId="65B039E6" w14:textId="77777777" w:rsidTr="00EE418A">
        <w:trPr>
          <w:trHeight w:val="632"/>
        </w:trPr>
        <w:tc>
          <w:tcPr>
            <w:tcW w:w="1080" w:type="dxa"/>
            <w:vMerge/>
          </w:tcPr>
          <w:p w14:paraId="09A7B046"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2298" w:type="dxa"/>
            <w:vAlign w:val="center"/>
          </w:tcPr>
          <w:p w14:paraId="01221BF7" w14:textId="77777777" w:rsidR="00F00E3D" w:rsidRPr="007F08B4" w:rsidRDefault="00F00E3D" w:rsidP="009B2FA7">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Socio-demographics</w:t>
            </w:r>
          </w:p>
        </w:tc>
        <w:tc>
          <w:tcPr>
            <w:tcW w:w="4542" w:type="dxa"/>
            <w:vAlign w:val="center"/>
          </w:tcPr>
          <w:p w14:paraId="14977E7E"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Area (Neighbourhood) Effects</w:t>
            </w:r>
          </w:p>
        </w:tc>
        <w:tc>
          <w:tcPr>
            <w:tcW w:w="900" w:type="dxa"/>
            <w:vAlign w:val="center"/>
          </w:tcPr>
          <w:p w14:paraId="12DC5E40"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Align w:val="center"/>
          </w:tcPr>
          <w:p w14:paraId="2B187E40" w14:textId="77777777" w:rsidR="00F00E3D" w:rsidRPr="007F08B4" w:rsidRDefault="00F00E3D" w:rsidP="009B2FA7">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r>
      <w:tr w:rsidR="00F00E3D" w:rsidRPr="007F08B4" w14:paraId="2C3E3D7E" w14:textId="77777777" w:rsidTr="00EE418A">
        <w:trPr>
          <w:trHeight w:val="327"/>
        </w:trPr>
        <w:tc>
          <w:tcPr>
            <w:tcW w:w="1080" w:type="dxa"/>
            <w:vMerge/>
          </w:tcPr>
          <w:p w14:paraId="34AA0A2E"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2298" w:type="dxa"/>
            <w:vMerge w:val="restart"/>
            <w:vAlign w:val="center"/>
          </w:tcPr>
          <w:p w14:paraId="7A554BCB" w14:textId="77777777" w:rsidR="00F00E3D" w:rsidRPr="007F08B4" w:rsidRDefault="00F00E3D" w:rsidP="009B2FA7">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Socioeconomic position</w:t>
            </w:r>
          </w:p>
        </w:tc>
        <w:tc>
          <w:tcPr>
            <w:tcW w:w="4542" w:type="dxa"/>
            <w:vAlign w:val="center"/>
          </w:tcPr>
          <w:p w14:paraId="354996B8"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Education Level</w:t>
            </w:r>
          </w:p>
        </w:tc>
        <w:tc>
          <w:tcPr>
            <w:tcW w:w="900" w:type="dxa"/>
            <w:vAlign w:val="center"/>
          </w:tcPr>
          <w:p w14:paraId="6327E0F1"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Merge w:val="restart"/>
            <w:vAlign w:val="center"/>
          </w:tcPr>
          <w:p w14:paraId="0BED5E10" w14:textId="77777777" w:rsidR="00F00E3D" w:rsidRPr="007F08B4" w:rsidRDefault="00F00E3D" w:rsidP="009B2FA7">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6</w:t>
            </w:r>
          </w:p>
        </w:tc>
      </w:tr>
      <w:tr w:rsidR="00F00E3D" w:rsidRPr="007F08B4" w14:paraId="641FA2F7" w14:textId="77777777" w:rsidTr="00EE418A">
        <w:trPr>
          <w:trHeight w:val="327"/>
        </w:trPr>
        <w:tc>
          <w:tcPr>
            <w:tcW w:w="1080" w:type="dxa"/>
            <w:vMerge/>
          </w:tcPr>
          <w:p w14:paraId="6AC9CEA8"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2298" w:type="dxa"/>
            <w:vMerge/>
          </w:tcPr>
          <w:p w14:paraId="5B09F299"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4542" w:type="dxa"/>
            <w:vAlign w:val="center"/>
          </w:tcPr>
          <w:p w14:paraId="27ACC341"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Residential Mobility</w:t>
            </w:r>
          </w:p>
        </w:tc>
        <w:tc>
          <w:tcPr>
            <w:tcW w:w="900" w:type="dxa"/>
            <w:vAlign w:val="center"/>
          </w:tcPr>
          <w:p w14:paraId="29CB6F21"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5</w:t>
            </w:r>
          </w:p>
        </w:tc>
        <w:tc>
          <w:tcPr>
            <w:tcW w:w="720" w:type="dxa"/>
            <w:vMerge/>
            <w:vAlign w:val="center"/>
          </w:tcPr>
          <w:p w14:paraId="7C7308A5" w14:textId="77777777" w:rsidR="00F00E3D" w:rsidRPr="007F08B4" w:rsidRDefault="00F00E3D" w:rsidP="009B2FA7">
            <w:pPr>
              <w:contextualSpacing/>
              <w:jc w:val="center"/>
              <w:rPr>
                <w:rFonts w:asciiTheme="majorHAnsi" w:eastAsia="Times New Roman" w:hAnsiTheme="majorHAnsi" w:cstheme="majorHAnsi"/>
                <w:color w:val="000000"/>
                <w:lang w:eastAsia="en-GB"/>
              </w:rPr>
            </w:pPr>
          </w:p>
        </w:tc>
      </w:tr>
      <w:tr w:rsidR="00F00E3D" w:rsidRPr="007F08B4" w14:paraId="3A91B55F" w14:textId="77777777" w:rsidTr="00EE418A">
        <w:trPr>
          <w:trHeight w:val="236"/>
        </w:trPr>
        <w:tc>
          <w:tcPr>
            <w:tcW w:w="1080" w:type="dxa"/>
            <w:vMerge w:val="restart"/>
            <w:textDirection w:val="tbRl"/>
            <w:vAlign w:val="center"/>
          </w:tcPr>
          <w:p w14:paraId="2CBBD5D8" w14:textId="13EC6098" w:rsidR="00F00E3D" w:rsidRPr="007F08B4" w:rsidRDefault="00F00E3D" w:rsidP="009B2FA7">
            <w:pPr>
              <w:tabs>
                <w:tab w:val="left" w:pos="1273"/>
              </w:tabs>
              <w:contextualSpacing/>
              <w:jc w:val="center"/>
              <w:rPr>
                <w:rFonts w:eastAsiaTheme="minorEastAsia"/>
                <w:b/>
                <w:color w:val="000000"/>
                <w:lang w:eastAsia="en-GB"/>
              </w:rPr>
            </w:pPr>
            <w:r w:rsidRPr="701B9583">
              <w:rPr>
                <w:rFonts w:eastAsiaTheme="minorEastAsia"/>
                <w:b/>
                <w:bCs/>
                <w:color w:val="000000" w:themeColor="text1"/>
                <w:lang w:eastAsia="en-GB"/>
              </w:rPr>
              <w:t>Urban Environment</w:t>
            </w:r>
          </w:p>
        </w:tc>
        <w:tc>
          <w:tcPr>
            <w:tcW w:w="2298" w:type="dxa"/>
            <w:vAlign w:val="center"/>
          </w:tcPr>
          <w:p w14:paraId="3D077977" w14:textId="77777777" w:rsidR="00F00E3D" w:rsidRPr="007F08B4" w:rsidRDefault="00F00E3D" w:rsidP="009B2FA7">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Housing</w:t>
            </w:r>
          </w:p>
        </w:tc>
        <w:tc>
          <w:tcPr>
            <w:tcW w:w="4542" w:type="dxa"/>
            <w:vAlign w:val="center"/>
          </w:tcPr>
          <w:p w14:paraId="62CB9455"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Housing Quality</w:t>
            </w:r>
          </w:p>
        </w:tc>
        <w:tc>
          <w:tcPr>
            <w:tcW w:w="900" w:type="dxa"/>
            <w:vAlign w:val="center"/>
          </w:tcPr>
          <w:p w14:paraId="3706735F"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c>
          <w:tcPr>
            <w:tcW w:w="720" w:type="dxa"/>
            <w:vAlign w:val="center"/>
          </w:tcPr>
          <w:p w14:paraId="0D84CBF9" w14:textId="77777777" w:rsidR="00F00E3D" w:rsidRPr="007F08B4" w:rsidRDefault="00F00E3D" w:rsidP="009B2FA7">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r>
      <w:tr w:rsidR="00F00E3D" w:rsidRPr="007F08B4" w14:paraId="45616210" w14:textId="77777777" w:rsidTr="00EE418A">
        <w:trPr>
          <w:trHeight w:val="316"/>
        </w:trPr>
        <w:tc>
          <w:tcPr>
            <w:tcW w:w="1080" w:type="dxa"/>
            <w:vMerge/>
          </w:tcPr>
          <w:p w14:paraId="02E7D3E8"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2298" w:type="dxa"/>
            <w:vMerge w:val="restart"/>
            <w:vAlign w:val="center"/>
          </w:tcPr>
          <w:p w14:paraId="12B92F52" w14:textId="77777777" w:rsidR="00F00E3D" w:rsidRPr="007F08B4" w:rsidRDefault="00F00E3D" w:rsidP="009B2FA7">
            <w:pPr>
              <w:rPr>
                <w:rFonts w:asciiTheme="majorHAnsi" w:eastAsia="Times New Roman" w:hAnsiTheme="majorHAnsi" w:cstheme="majorHAnsi"/>
                <w:color w:val="000000"/>
                <w:lang w:eastAsia="en-GB"/>
              </w:rPr>
            </w:pPr>
            <w:bookmarkStart w:id="39" w:name="OLE_LINK1"/>
            <w:bookmarkStart w:id="40" w:name="OLE_LINK2"/>
            <w:r w:rsidRPr="007F08B4">
              <w:rPr>
                <w:rFonts w:asciiTheme="majorHAnsi" w:eastAsia="Times New Roman" w:hAnsiTheme="majorHAnsi" w:cstheme="majorHAnsi"/>
                <w:color w:val="000000"/>
                <w:lang w:eastAsia="en-GB"/>
              </w:rPr>
              <w:t>Neighbourhood Accessibility</w:t>
            </w:r>
            <w:bookmarkEnd w:id="39"/>
            <w:bookmarkEnd w:id="40"/>
          </w:p>
        </w:tc>
        <w:tc>
          <w:tcPr>
            <w:tcW w:w="4542" w:type="dxa"/>
            <w:vAlign w:val="center"/>
          </w:tcPr>
          <w:p w14:paraId="65590D91"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Access to Facilities/Amenities</w:t>
            </w:r>
          </w:p>
        </w:tc>
        <w:tc>
          <w:tcPr>
            <w:tcW w:w="900" w:type="dxa"/>
            <w:vAlign w:val="center"/>
          </w:tcPr>
          <w:p w14:paraId="246A6E09" w14:textId="77777777" w:rsidR="00F00E3D" w:rsidRPr="007F08B4" w:rsidRDefault="00F00E3D" w:rsidP="009B2FA7">
            <w:pPr>
              <w:tabs>
                <w:tab w:val="left" w:pos="753"/>
              </w:tabs>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2</w:t>
            </w:r>
          </w:p>
        </w:tc>
        <w:tc>
          <w:tcPr>
            <w:tcW w:w="720" w:type="dxa"/>
            <w:vMerge w:val="restart"/>
            <w:vAlign w:val="center"/>
          </w:tcPr>
          <w:p w14:paraId="220C1A80" w14:textId="77777777" w:rsidR="00F00E3D" w:rsidRPr="007F08B4" w:rsidRDefault="00F00E3D" w:rsidP="009B2FA7">
            <w:pPr>
              <w:tabs>
                <w:tab w:val="left" w:pos="753"/>
              </w:tabs>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6</w:t>
            </w:r>
          </w:p>
        </w:tc>
      </w:tr>
      <w:tr w:rsidR="00F00E3D" w:rsidRPr="007F08B4" w14:paraId="42AE78B3" w14:textId="77777777" w:rsidTr="00EE418A">
        <w:trPr>
          <w:trHeight w:val="327"/>
        </w:trPr>
        <w:tc>
          <w:tcPr>
            <w:tcW w:w="1080" w:type="dxa"/>
            <w:vMerge/>
          </w:tcPr>
          <w:p w14:paraId="43FBD72E" w14:textId="77777777" w:rsidR="00F00E3D" w:rsidRPr="007F08B4" w:rsidRDefault="00F00E3D" w:rsidP="009B2FA7">
            <w:pPr>
              <w:tabs>
                <w:tab w:val="left" w:pos="1540"/>
              </w:tabs>
              <w:contextualSpacing/>
              <w:rPr>
                <w:rFonts w:asciiTheme="majorHAnsi" w:eastAsia="Times New Roman" w:hAnsiTheme="majorHAnsi" w:cstheme="majorHAnsi"/>
                <w:color w:val="000000"/>
                <w:lang w:eastAsia="en-GB"/>
              </w:rPr>
            </w:pPr>
          </w:p>
        </w:tc>
        <w:tc>
          <w:tcPr>
            <w:tcW w:w="2298" w:type="dxa"/>
            <w:vMerge/>
          </w:tcPr>
          <w:p w14:paraId="2F7AD19C" w14:textId="77777777" w:rsidR="00F00E3D" w:rsidRPr="007F08B4" w:rsidRDefault="00F00E3D" w:rsidP="009B2FA7">
            <w:pPr>
              <w:tabs>
                <w:tab w:val="left" w:pos="1540"/>
              </w:tabs>
              <w:contextualSpacing/>
              <w:rPr>
                <w:rFonts w:asciiTheme="majorHAnsi" w:eastAsia="Times New Roman" w:hAnsiTheme="majorHAnsi" w:cstheme="majorHAnsi"/>
                <w:color w:val="000000"/>
                <w:lang w:eastAsia="en-GB"/>
              </w:rPr>
            </w:pPr>
          </w:p>
        </w:tc>
        <w:tc>
          <w:tcPr>
            <w:tcW w:w="4542" w:type="dxa"/>
            <w:vAlign w:val="center"/>
          </w:tcPr>
          <w:p w14:paraId="15C8159B" w14:textId="77777777" w:rsidR="00F00E3D" w:rsidRPr="007F08B4" w:rsidRDefault="00F00E3D" w:rsidP="009B2FA7">
            <w:pPr>
              <w:tabs>
                <w:tab w:val="left" w:pos="1540"/>
              </w:tabs>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Access to Transport</w:t>
            </w:r>
          </w:p>
        </w:tc>
        <w:tc>
          <w:tcPr>
            <w:tcW w:w="900" w:type="dxa"/>
            <w:vAlign w:val="center"/>
          </w:tcPr>
          <w:p w14:paraId="37F19D2C"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4</w:t>
            </w:r>
          </w:p>
        </w:tc>
        <w:tc>
          <w:tcPr>
            <w:tcW w:w="720" w:type="dxa"/>
            <w:vMerge/>
            <w:vAlign w:val="center"/>
          </w:tcPr>
          <w:p w14:paraId="4B276DDC" w14:textId="77777777" w:rsidR="00F00E3D" w:rsidRPr="007F08B4" w:rsidRDefault="00F00E3D" w:rsidP="009B2FA7">
            <w:pPr>
              <w:contextualSpacing/>
              <w:jc w:val="center"/>
              <w:rPr>
                <w:rFonts w:asciiTheme="majorHAnsi" w:eastAsia="Times New Roman" w:hAnsiTheme="majorHAnsi" w:cstheme="majorHAnsi"/>
                <w:color w:val="000000"/>
                <w:lang w:eastAsia="en-GB"/>
              </w:rPr>
            </w:pPr>
          </w:p>
        </w:tc>
      </w:tr>
      <w:tr w:rsidR="00F00E3D" w:rsidRPr="007F08B4" w14:paraId="2DFF61E4" w14:textId="77777777" w:rsidTr="00EE418A">
        <w:trPr>
          <w:trHeight w:val="316"/>
        </w:trPr>
        <w:tc>
          <w:tcPr>
            <w:tcW w:w="1080" w:type="dxa"/>
            <w:vMerge/>
          </w:tcPr>
          <w:p w14:paraId="3A593475" w14:textId="77777777" w:rsidR="00F00E3D" w:rsidRPr="007F08B4" w:rsidRDefault="00F00E3D" w:rsidP="009B2FA7">
            <w:pPr>
              <w:ind w:firstLine="25"/>
              <w:contextualSpacing/>
              <w:rPr>
                <w:rFonts w:asciiTheme="majorHAnsi" w:eastAsia="Times New Roman" w:hAnsiTheme="majorHAnsi" w:cstheme="majorHAnsi"/>
                <w:color w:val="000000"/>
                <w:lang w:eastAsia="en-GB"/>
              </w:rPr>
            </w:pPr>
          </w:p>
        </w:tc>
        <w:tc>
          <w:tcPr>
            <w:tcW w:w="2298" w:type="dxa"/>
            <w:vMerge/>
          </w:tcPr>
          <w:p w14:paraId="0B3E46A5" w14:textId="77777777" w:rsidR="00F00E3D" w:rsidRPr="007F08B4" w:rsidRDefault="00F00E3D" w:rsidP="009B2FA7">
            <w:pPr>
              <w:ind w:firstLine="25"/>
              <w:contextualSpacing/>
              <w:rPr>
                <w:rFonts w:asciiTheme="majorHAnsi" w:eastAsia="Times New Roman" w:hAnsiTheme="majorHAnsi" w:cstheme="majorHAnsi"/>
                <w:color w:val="000000"/>
                <w:lang w:eastAsia="en-GB"/>
              </w:rPr>
            </w:pPr>
          </w:p>
        </w:tc>
        <w:tc>
          <w:tcPr>
            <w:tcW w:w="4542" w:type="dxa"/>
            <w:vAlign w:val="center"/>
          </w:tcPr>
          <w:p w14:paraId="6F28EF1F" w14:textId="77777777" w:rsidR="00F00E3D" w:rsidRPr="007F08B4" w:rsidRDefault="00F00E3D" w:rsidP="009B2FA7">
            <w:pPr>
              <w:ind w:firstLine="25"/>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 xml:space="preserve">Food (Access to Affordable &amp; Good Quality) </w:t>
            </w:r>
          </w:p>
        </w:tc>
        <w:tc>
          <w:tcPr>
            <w:tcW w:w="900" w:type="dxa"/>
            <w:vAlign w:val="center"/>
          </w:tcPr>
          <w:p w14:paraId="106A6789"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Merge/>
            <w:vAlign w:val="center"/>
          </w:tcPr>
          <w:p w14:paraId="5D129C34" w14:textId="77777777" w:rsidR="00F00E3D" w:rsidRPr="007F08B4" w:rsidRDefault="00F00E3D" w:rsidP="009B2FA7">
            <w:pPr>
              <w:contextualSpacing/>
              <w:jc w:val="center"/>
              <w:rPr>
                <w:rFonts w:asciiTheme="majorHAnsi" w:eastAsia="Times New Roman" w:hAnsiTheme="majorHAnsi" w:cstheme="majorHAnsi"/>
                <w:color w:val="000000"/>
                <w:lang w:eastAsia="en-GB"/>
              </w:rPr>
            </w:pPr>
          </w:p>
        </w:tc>
      </w:tr>
      <w:tr w:rsidR="00F00E3D" w:rsidRPr="007F08B4" w14:paraId="185A07A4" w14:textId="77777777" w:rsidTr="00EE418A">
        <w:trPr>
          <w:trHeight w:val="316"/>
        </w:trPr>
        <w:tc>
          <w:tcPr>
            <w:tcW w:w="1080" w:type="dxa"/>
            <w:vMerge/>
          </w:tcPr>
          <w:p w14:paraId="395B29FE" w14:textId="77777777" w:rsidR="00F00E3D" w:rsidRPr="007F08B4" w:rsidRDefault="00F00E3D" w:rsidP="009B2FA7">
            <w:pPr>
              <w:contextualSpacing/>
              <w:rPr>
                <w:rFonts w:asciiTheme="majorHAnsi" w:eastAsia="Times New Roman" w:hAnsiTheme="majorHAnsi" w:cstheme="majorHAnsi"/>
                <w:color w:val="000000"/>
                <w:lang w:eastAsia="en-GB"/>
              </w:rPr>
            </w:pPr>
          </w:p>
        </w:tc>
        <w:tc>
          <w:tcPr>
            <w:tcW w:w="2298" w:type="dxa"/>
          </w:tcPr>
          <w:p w14:paraId="7966B7A8" w14:textId="77777777" w:rsidR="00F00E3D" w:rsidRPr="007F08B4" w:rsidRDefault="00F00E3D" w:rsidP="009B2FA7">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Physical Environment</w:t>
            </w:r>
          </w:p>
        </w:tc>
        <w:tc>
          <w:tcPr>
            <w:tcW w:w="4542" w:type="dxa"/>
            <w:vAlign w:val="center"/>
          </w:tcPr>
          <w:p w14:paraId="74A0A5AF" w14:textId="77777777" w:rsidR="00F00E3D" w:rsidRPr="007F08B4" w:rsidRDefault="00F00E3D" w:rsidP="009B2FA7">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Physical Environment</w:t>
            </w:r>
          </w:p>
        </w:tc>
        <w:tc>
          <w:tcPr>
            <w:tcW w:w="900" w:type="dxa"/>
            <w:vAlign w:val="center"/>
          </w:tcPr>
          <w:p w14:paraId="52011BF1" w14:textId="77777777" w:rsidR="00F00E3D" w:rsidRPr="007F08B4" w:rsidRDefault="00F00E3D" w:rsidP="009B2FA7">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Align w:val="center"/>
          </w:tcPr>
          <w:p w14:paraId="0F99BFA6" w14:textId="77777777" w:rsidR="00F00E3D" w:rsidRPr="007F08B4" w:rsidRDefault="00F00E3D" w:rsidP="009B2FA7">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r>
    </w:tbl>
    <w:p w14:paraId="50E3EB3B" w14:textId="5945EFF0" w:rsidR="00F00E3D" w:rsidRPr="0057769D" w:rsidRDefault="00F00E3D" w:rsidP="009B2FA7">
      <w:pPr>
        <w:spacing w:after="0" w:line="240" w:lineRule="auto"/>
        <w:contextualSpacing/>
        <w:rPr>
          <w:rFonts w:eastAsia="Times New Roman" w:cstheme="minorHAnsi"/>
          <w:b/>
          <w:bCs/>
          <w:sz w:val="21"/>
          <w:szCs w:val="21"/>
          <w:lang w:eastAsia="en-GB"/>
        </w:rPr>
      </w:pPr>
      <w:bookmarkStart w:id="41" w:name="OLE_LINKTable115"/>
      <w:r w:rsidRPr="0057769D">
        <w:rPr>
          <w:rFonts w:eastAsia="Times New Roman" w:cstheme="minorHAnsi"/>
          <w:b/>
          <w:bCs/>
          <w:sz w:val="21"/>
          <w:szCs w:val="21"/>
          <w:lang w:eastAsia="en-GB"/>
        </w:rPr>
        <w:t xml:space="preserve">Table </w:t>
      </w:r>
      <w:r w:rsidR="00DE4EFA" w:rsidRPr="0057769D">
        <w:rPr>
          <w:rFonts w:eastAsia="Times New Roman" w:cstheme="minorHAnsi"/>
          <w:b/>
          <w:bCs/>
          <w:sz w:val="21"/>
          <w:szCs w:val="21"/>
          <w:lang w:eastAsia="en-GB"/>
        </w:rPr>
        <w:t>3.9</w:t>
      </w:r>
      <w:r w:rsidR="00551278" w:rsidRPr="0057769D">
        <w:rPr>
          <w:rFonts w:eastAsia="Times New Roman" w:cstheme="minorHAnsi"/>
          <w:b/>
          <w:bCs/>
          <w:sz w:val="21"/>
          <w:szCs w:val="21"/>
          <w:lang w:eastAsia="en-GB"/>
        </w:rPr>
        <w:t>:</w:t>
      </w:r>
      <w:r w:rsidR="00DE4EFA" w:rsidRPr="0057769D">
        <w:rPr>
          <w:rFonts w:eastAsia="Times New Roman" w:cstheme="minorHAnsi"/>
          <w:b/>
          <w:bCs/>
          <w:sz w:val="21"/>
          <w:szCs w:val="21"/>
          <w:lang w:eastAsia="en-GB"/>
        </w:rPr>
        <w:t xml:space="preserve"> Liveability:</w:t>
      </w:r>
      <w:r w:rsidR="00551278" w:rsidRPr="0057769D">
        <w:rPr>
          <w:rFonts w:eastAsia="Times New Roman" w:cstheme="minorHAnsi"/>
          <w:b/>
          <w:bCs/>
          <w:sz w:val="21"/>
          <w:szCs w:val="21"/>
          <w:lang w:eastAsia="en-GB"/>
        </w:rPr>
        <w:t xml:space="preserve"> </w:t>
      </w:r>
      <w:r w:rsidRPr="0057769D">
        <w:rPr>
          <w:rFonts w:eastAsia="Times New Roman" w:cstheme="minorHAnsi"/>
          <w:b/>
          <w:bCs/>
          <w:sz w:val="21"/>
          <w:szCs w:val="21"/>
          <w:lang w:eastAsia="en-GB"/>
        </w:rPr>
        <w:t>Social</w:t>
      </w:r>
      <w:r w:rsidR="00551278" w:rsidRPr="0057769D">
        <w:rPr>
          <w:rFonts w:eastAsia="Times New Roman" w:cstheme="minorHAnsi"/>
          <w:b/>
          <w:bCs/>
          <w:sz w:val="21"/>
          <w:szCs w:val="21"/>
          <w:lang w:eastAsia="en-GB"/>
        </w:rPr>
        <w:t>, Economic, Health, And Urban Environment Determinants</w:t>
      </w:r>
    </w:p>
    <w:bookmarkEnd w:id="41"/>
    <w:p w14:paraId="52C4094E" w14:textId="77777777" w:rsidR="00F00E3D" w:rsidRPr="00E0165B" w:rsidRDefault="00F00E3D" w:rsidP="009B2FA7">
      <w:pPr>
        <w:spacing w:before="100" w:beforeAutospacing="1" w:after="0" w:line="276" w:lineRule="auto"/>
        <w:rPr>
          <w:rFonts w:eastAsia="Times New Roman" w:cstheme="minorHAnsi"/>
          <w:b/>
          <w:bCs/>
          <w:sz w:val="25"/>
          <w:szCs w:val="25"/>
          <w:lang w:eastAsia="en-GB"/>
        </w:rPr>
      </w:pPr>
      <w:r w:rsidRPr="00E0165B">
        <w:rPr>
          <w:rFonts w:eastAsia="Times New Roman" w:cstheme="minorHAnsi"/>
          <w:b/>
          <w:bCs/>
          <w:sz w:val="25"/>
          <w:szCs w:val="25"/>
          <w:lang w:eastAsia="en-GB"/>
        </w:rPr>
        <w:t>Employment: Determinants and Factors</w:t>
      </w:r>
    </w:p>
    <w:p w14:paraId="45A5CB21" w14:textId="77777777" w:rsidR="00F00E3D" w:rsidRPr="007F08B4" w:rsidRDefault="00F00E3D" w:rsidP="009B2FA7">
      <w:pPr>
        <w:spacing w:after="0" w:line="276" w:lineRule="auto"/>
        <w:rPr>
          <w:rFonts w:asciiTheme="majorHAnsi" w:eastAsia="Times New Roman" w:hAnsiTheme="majorHAnsi" w:cstheme="majorHAnsi"/>
          <w:sz w:val="10"/>
          <w:szCs w:val="10"/>
          <w:lang w:eastAsia="en-GB"/>
        </w:rPr>
      </w:pPr>
    </w:p>
    <w:p w14:paraId="046E8A02" w14:textId="0B686452" w:rsidR="00F00E3D" w:rsidRDefault="00F00E3D" w:rsidP="009B2FA7">
      <w:pPr>
        <w:spacing w:after="0" w:line="276" w:lineRule="auto"/>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 xml:space="preserve">The determinants of employment are numerous and tend to vary greatly between cohorts. Studies of </w:t>
      </w:r>
      <w:r>
        <w:rPr>
          <w:rFonts w:asciiTheme="majorHAnsi" w:eastAsia="Times New Roman" w:hAnsiTheme="majorHAnsi" w:cstheme="majorHAnsi"/>
          <w:sz w:val="23"/>
          <w:szCs w:val="23"/>
          <w:lang w:eastAsia="en-GB"/>
        </w:rPr>
        <w:t>these</w:t>
      </w:r>
      <w:r w:rsidRPr="00BC19B6">
        <w:rPr>
          <w:rFonts w:asciiTheme="majorHAnsi" w:eastAsia="Times New Roman" w:hAnsiTheme="majorHAnsi" w:cstheme="majorHAnsi"/>
          <w:sz w:val="23"/>
          <w:szCs w:val="23"/>
          <w:lang w:eastAsia="en-GB"/>
        </w:rPr>
        <w:t xml:space="preserve"> determinants therefore </w:t>
      </w:r>
      <w:r>
        <w:rPr>
          <w:rFonts w:asciiTheme="majorHAnsi" w:eastAsia="Times New Roman" w:hAnsiTheme="majorHAnsi" w:cstheme="majorHAnsi"/>
          <w:sz w:val="23"/>
          <w:szCs w:val="23"/>
          <w:lang w:eastAsia="en-GB"/>
        </w:rPr>
        <w:t xml:space="preserve">tend </w:t>
      </w:r>
      <w:r w:rsidRPr="00BC19B6">
        <w:rPr>
          <w:rFonts w:asciiTheme="majorHAnsi" w:eastAsia="Times New Roman" w:hAnsiTheme="majorHAnsi" w:cstheme="majorHAnsi"/>
          <w:sz w:val="23"/>
          <w:szCs w:val="23"/>
          <w:lang w:eastAsia="en-GB"/>
        </w:rPr>
        <w:t xml:space="preserve">to focus on particular cohorts, rather than on neighbourhood effects or low-income communities in general. In Australia these cohorts tend to be immigrant populations </w:t>
      </w:r>
      <w:r w:rsidRPr="00BC19B6">
        <w:rPr>
          <w:rFonts w:asciiTheme="majorHAnsi" w:eastAsia="Times New Roman" w:hAnsiTheme="majorHAnsi" w:cstheme="majorHAnsi"/>
          <w:noProof/>
          <w:sz w:val="23"/>
          <w:szCs w:val="23"/>
          <w:lang w:eastAsia="en-GB"/>
        </w:rPr>
        <w:t>(Inglis &amp; Stromback, 1986; Le, 2000)</w:t>
      </w:r>
      <w:r w:rsidRPr="00BC19B6">
        <w:rPr>
          <w:rFonts w:asciiTheme="majorHAnsi" w:eastAsia="Times New Roman" w:hAnsiTheme="majorHAnsi" w:cstheme="majorHAnsi"/>
          <w:sz w:val="23"/>
          <w:szCs w:val="23"/>
          <w:lang w:eastAsia="en-GB"/>
        </w:rPr>
        <w:t xml:space="preserve"> and Indigenous Australians </w:t>
      </w:r>
      <w:r>
        <w:rPr>
          <w:rFonts w:asciiTheme="majorHAnsi" w:eastAsia="Times New Roman" w:hAnsiTheme="majorHAnsi" w:cstheme="majorHAnsi"/>
          <w:noProof/>
          <w:sz w:val="23"/>
          <w:szCs w:val="23"/>
          <w:lang w:eastAsia="en-GB"/>
        </w:rPr>
        <w:t>(Daly, 1993; Daly, 2018)</w:t>
      </w:r>
      <w:r w:rsidRPr="00BC19B6">
        <w:rPr>
          <w:rFonts w:asciiTheme="majorHAnsi" w:eastAsia="Times New Roman" w:hAnsiTheme="majorHAnsi" w:cstheme="majorHAnsi"/>
          <w:sz w:val="23"/>
          <w:szCs w:val="23"/>
          <w:lang w:eastAsia="en-GB"/>
        </w:rPr>
        <w:t>.</w:t>
      </w:r>
    </w:p>
    <w:p w14:paraId="1FB11A1D" w14:textId="77777777" w:rsidR="00F00E3D" w:rsidRPr="007F08B4" w:rsidRDefault="00F00E3D" w:rsidP="009B2FA7">
      <w:pPr>
        <w:spacing w:after="0" w:line="276" w:lineRule="auto"/>
        <w:rPr>
          <w:rFonts w:asciiTheme="majorHAnsi" w:eastAsia="Times New Roman" w:hAnsiTheme="majorHAnsi" w:cstheme="majorHAnsi"/>
          <w:sz w:val="10"/>
          <w:szCs w:val="10"/>
          <w:lang w:eastAsia="en-GB"/>
        </w:rPr>
      </w:pPr>
    </w:p>
    <w:p w14:paraId="68438487" w14:textId="67B55E53" w:rsidR="00F00E3D" w:rsidRDefault="00F00E3D" w:rsidP="009B2FA7">
      <w:p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Globally, large</w:t>
      </w:r>
      <w:r w:rsidRPr="00BC19B6">
        <w:rPr>
          <w:rFonts w:asciiTheme="majorHAnsi" w:eastAsia="Times New Roman" w:hAnsiTheme="majorHAnsi" w:cstheme="majorHAnsi"/>
          <w:sz w:val="23"/>
          <w:szCs w:val="23"/>
          <w:lang w:eastAsia="en-GB"/>
        </w:rPr>
        <w:t xml:space="preserve"> numbers of studies have focused on women, mothers, </w:t>
      </w:r>
      <w:r>
        <w:rPr>
          <w:rFonts w:asciiTheme="majorHAnsi" w:eastAsia="Times New Roman" w:hAnsiTheme="majorHAnsi" w:cstheme="majorHAnsi"/>
          <w:sz w:val="23"/>
          <w:szCs w:val="23"/>
          <w:lang w:eastAsia="en-GB"/>
        </w:rPr>
        <w:t>ethnicity,</w:t>
      </w:r>
      <w:r w:rsidRPr="00BC19B6">
        <w:rPr>
          <w:rFonts w:asciiTheme="majorHAnsi" w:eastAsia="Times New Roman" w:hAnsiTheme="majorHAnsi" w:cstheme="majorHAnsi"/>
          <w:sz w:val="23"/>
          <w:szCs w:val="23"/>
          <w:lang w:eastAsia="en-GB"/>
        </w:rPr>
        <w:t xml:space="preserve"> and older adults. High numbers of studies have also focused on </w:t>
      </w:r>
      <w:r w:rsidR="003B7072">
        <w:rPr>
          <w:rFonts w:asciiTheme="majorHAnsi" w:eastAsia="Times New Roman" w:hAnsiTheme="majorHAnsi" w:cstheme="majorHAnsi"/>
          <w:sz w:val="23"/>
          <w:szCs w:val="23"/>
          <w:lang w:eastAsia="en-GB"/>
        </w:rPr>
        <w:t>how</w:t>
      </w:r>
      <w:r w:rsidRPr="00BC19B6">
        <w:rPr>
          <w:rFonts w:asciiTheme="majorHAnsi" w:eastAsia="Times New Roman" w:hAnsiTheme="majorHAnsi" w:cstheme="majorHAnsi"/>
          <w:sz w:val="23"/>
          <w:szCs w:val="23"/>
          <w:lang w:eastAsia="en-GB"/>
        </w:rPr>
        <w:t xml:space="preserve"> other </w:t>
      </w:r>
      <w:r w:rsidR="00D95573">
        <w:rPr>
          <w:rFonts w:asciiTheme="majorHAnsi" w:eastAsia="Times New Roman" w:hAnsiTheme="majorHAnsi" w:cstheme="majorHAnsi"/>
          <w:sz w:val="23"/>
          <w:szCs w:val="23"/>
          <w:lang w:eastAsia="en-GB"/>
        </w:rPr>
        <w:t>Practice Domain</w:t>
      </w:r>
      <w:r w:rsidRPr="00BC19B6">
        <w:rPr>
          <w:rFonts w:asciiTheme="majorHAnsi" w:eastAsia="Times New Roman" w:hAnsiTheme="majorHAnsi" w:cstheme="majorHAnsi"/>
          <w:sz w:val="23"/>
          <w:szCs w:val="23"/>
          <w:lang w:eastAsia="en-GB"/>
        </w:rPr>
        <w:t>s</w:t>
      </w:r>
      <w:r w:rsidR="003B7072">
        <w:rPr>
          <w:rFonts w:asciiTheme="majorHAnsi" w:eastAsia="Times New Roman" w:hAnsiTheme="majorHAnsi" w:cstheme="majorHAnsi"/>
          <w:sz w:val="23"/>
          <w:szCs w:val="23"/>
          <w:lang w:eastAsia="en-GB"/>
        </w:rPr>
        <w:t xml:space="preserve"> affect</w:t>
      </w:r>
      <w:r w:rsidRPr="00BC19B6">
        <w:rPr>
          <w:rFonts w:asciiTheme="majorHAnsi" w:eastAsia="Times New Roman" w:hAnsiTheme="majorHAnsi" w:cstheme="majorHAnsi"/>
          <w:sz w:val="23"/>
          <w:szCs w:val="23"/>
          <w:lang w:eastAsia="en-GB"/>
        </w:rPr>
        <w:t xml:space="preserve"> employment</w:t>
      </w:r>
      <w:r>
        <w:rPr>
          <w:rFonts w:asciiTheme="majorHAnsi" w:eastAsia="Times New Roman" w:hAnsiTheme="majorHAnsi" w:cstheme="majorHAnsi"/>
          <w:sz w:val="23"/>
          <w:szCs w:val="23"/>
          <w:lang w:eastAsia="en-GB"/>
        </w:rPr>
        <w:t xml:space="preserve"> (</w:t>
      </w:r>
      <w:r w:rsidRPr="00BC19B6">
        <w:rPr>
          <w:rFonts w:asciiTheme="majorHAnsi" w:eastAsia="Times New Roman" w:hAnsiTheme="majorHAnsi" w:cstheme="majorHAnsi"/>
          <w:sz w:val="23"/>
          <w:szCs w:val="23"/>
          <w:lang w:eastAsia="en-GB"/>
        </w:rPr>
        <w:t xml:space="preserve">most notably </w:t>
      </w:r>
      <w:r>
        <w:rPr>
          <w:rFonts w:asciiTheme="majorHAnsi" w:eastAsia="Times New Roman" w:hAnsiTheme="majorHAnsi" w:cstheme="majorHAnsi"/>
          <w:sz w:val="23"/>
          <w:szCs w:val="23"/>
          <w:lang w:eastAsia="en-GB"/>
        </w:rPr>
        <w:t>E</w:t>
      </w:r>
      <w:r w:rsidRPr="00BC19B6">
        <w:rPr>
          <w:rFonts w:asciiTheme="majorHAnsi" w:eastAsia="Times New Roman" w:hAnsiTheme="majorHAnsi" w:cstheme="majorHAnsi"/>
          <w:sz w:val="23"/>
          <w:szCs w:val="23"/>
          <w:lang w:eastAsia="en-GB"/>
        </w:rPr>
        <w:t xml:space="preserve">ducation, </w:t>
      </w:r>
      <w:r>
        <w:rPr>
          <w:rFonts w:asciiTheme="majorHAnsi" w:eastAsia="Times New Roman" w:hAnsiTheme="majorHAnsi" w:cstheme="majorHAnsi"/>
          <w:sz w:val="23"/>
          <w:szCs w:val="23"/>
          <w:lang w:eastAsia="en-GB"/>
        </w:rPr>
        <w:t>H</w:t>
      </w:r>
      <w:r w:rsidRPr="00BC19B6">
        <w:rPr>
          <w:rFonts w:asciiTheme="majorHAnsi" w:eastAsia="Times New Roman" w:hAnsiTheme="majorHAnsi" w:cstheme="majorHAnsi"/>
          <w:sz w:val="23"/>
          <w:szCs w:val="23"/>
          <w:lang w:eastAsia="en-GB"/>
        </w:rPr>
        <w:t xml:space="preserve">ousing, and </w:t>
      </w:r>
      <w:r>
        <w:rPr>
          <w:rFonts w:asciiTheme="majorHAnsi" w:eastAsia="Times New Roman" w:hAnsiTheme="majorHAnsi" w:cstheme="majorHAnsi"/>
          <w:sz w:val="23"/>
          <w:szCs w:val="23"/>
          <w:lang w:eastAsia="en-GB"/>
        </w:rPr>
        <w:t>H</w:t>
      </w:r>
      <w:r w:rsidRPr="00BC19B6">
        <w:rPr>
          <w:rFonts w:asciiTheme="majorHAnsi" w:eastAsia="Times New Roman" w:hAnsiTheme="majorHAnsi" w:cstheme="majorHAnsi"/>
          <w:sz w:val="23"/>
          <w:szCs w:val="23"/>
          <w:lang w:eastAsia="en-GB"/>
        </w:rPr>
        <w:t xml:space="preserve">ealth and </w:t>
      </w:r>
      <w:r>
        <w:rPr>
          <w:rFonts w:asciiTheme="majorHAnsi" w:eastAsia="Times New Roman" w:hAnsiTheme="majorHAnsi" w:cstheme="majorHAnsi"/>
          <w:sz w:val="23"/>
          <w:szCs w:val="23"/>
          <w:lang w:eastAsia="en-GB"/>
        </w:rPr>
        <w:t>W</w:t>
      </w:r>
      <w:r w:rsidRPr="00BC19B6">
        <w:rPr>
          <w:rFonts w:asciiTheme="majorHAnsi" w:eastAsia="Times New Roman" w:hAnsiTheme="majorHAnsi" w:cstheme="majorHAnsi"/>
          <w:sz w:val="23"/>
          <w:szCs w:val="23"/>
          <w:lang w:eastAsia="en-GB"/>
        </w:rPr>
        <w:t>ellbeing</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Transport effects </w:t>
      </w:r>
      <w:r w:rsidR="00551278">
        <w:rPr>
          <w:rFonts w:asciiTheme="majorHAnsi" w:eastAsia="Times New Roman" w:hAnsiTheme="majorHAnsi" w:cstheme="majorHAnsi"/>
          <w:sz w:val="23"/>
          <w:szCs w:val="23"/>
          <w:lang w:eastAsia="en-GB"/>
        </w:rPr>
        <w:t>are also</w:t>
      </w:r>
      <w:r w:rsidRPr="00BC19B6">
        <w:rPr>
          <w:rFonts w:asciiTheme="majorHAnsi" w:eastAsia="Times New Roman" w:hAnsiTheme="majorHAnsi" w:cstheme="majorHAnsi"/>
          <w:sz w:val="23"/>
          <w:szCs w:val="23"/>
          <w:lang w:eastAsia="en-GB"/>
        </w:rPr>
        <w:t xml:space="preserve"> well studied. For </w:t>
      </w:r>
      <w:r>
        <w:rPr>
          <w:rFonts w:asciiTheme="majorHAnsi" w:eastAsia="Times New Roman" w:hAnsiTheme="majorHAnsi" w:cstheme="majorHAnsi"/>
          <w:sz w:val="23"/>
          <w:szCs w:val="23"/>
          <w:lang w:eastAsia="en-GB"/>
        </w:rPr>
        <w:t>example</w:t>
      </w:r>
      <w:r w:rsidRPr="00BC19B6">
        <w:rPr>
          <w:rFonts w:asciiTheme="majorHAnsi" w:eastAsia="Times New Roman" w:hAnsiTheme="majorHAnsi" w:cstheme="majorHAnsi"/>
          <w:sz w:val="23"/>
          <w:szCs w:val="23"/>
          <w:lang w:eastAsia="en-GB"/>
        </w:rPr>
        <w:t xml:space="preserve">, a US study </w:t>
      </w:r>
      <w:r>
        <w:rPr>
          <w:rFonts w:asciiTheme="majorHAnsi" w:eastAsia="Times New Roman" w:hAnsiTheme="majorHAnsi" w:cstheme="majorHAnsi"/>
          <w:sz w:val="23"/>
          <w:szCs w:val="23"/>
          <w:lang w:eastAsia="en-GB"/>
        </w:rPr>
        <w:t>examining</w:t>
      </w:r>
      <w:r w:rsidRPr="00BC19B6">
        <w:rPr>
          <w:rFonts w:asciiTheme="majorHAnsi" w:eastAsia="Times New Roman" w:hAnsiTheme="majorHAnsi" w:cstheme="majorHAnsi"/>
          <w:sz w:val="23"/>
          <w:szCs w:val="23"/>
          <w:lang w:eastAsia="en-GB"/>
        </w:rPr>
        <w:t xml:space="preserve"> which income groups </w:t>
      </w:r>
      <w:r>
        <w:rPr>
          <w:rFonts w:asciiTheme="majorHAnsi" w:eastAsia="Times New Roman" w:hAnsiTheme="majorHAnsi" w:cstheme="majorHAnsi"/>
          <w:sz w:val="23"/>
          <w:szCs w:val="23"/>
          <w:lang w:eastAsia="en-GB"/>
        </w:rPr>
        <w:t xml:space="preserve">in Los Angeles </w:t>
      </w:r>
      <w:r w:rsidRPr="00BC19B6">
        <w:rPr>
          <w:rFonts w:asciiTheme="majorHAnsi" w:eastAsia="Times New Roman" w:hAnsiTheme="majorHAnsi" w:cstheme="majorHAnsi"/>
          <w:sz w:val="23"/>
          <w:szCs w:val="23"/>
          <w:lang w:eastAsia="en-GB"/>
        </w:rPr>
        <w:t>benefit the most from job accessibility and employment outcomes noted</w:t>
      </w:r>
      <w:r>
        <w:rPr>
          <w:rFonts w:asciiTheme="majorHAnsi" w:eastAsia="Times New Roman" w:hAnsiTheme="majorHAnsi" w:cstheme="majorHAnsi"/>
          <w:sz w:val="23"/>
          <w:szCs w:val="23"/>
          <w:lang w:eastAsia="en-GB"/>
        </w:rPr>
        <w:t xml:space="preserve">: </w:t>
      </w:r>
      <w:r w:rsidRPr="00BC19B6">
        <w:rPr>
          <w:rFonts w:asciiTheme="majorHAnsi" w:eastAsia="Times New Roman" w:hAnsiTheme="majorHAnsi" w:cstheme="majorHAnsi"/>
          <w:sz w:val="23"/>
          <w:szCs w:val="23"/>
          <w:lang w:eastAsia="en-GB"/>
        </w:rPr>
        <w:t xml:space="preserve">“transportation and land use policies need to address the specific needs </w:t>
      </w:r>
      <w:r w:rsidRPr="00BC19B6">
        <w:rPr>
          <w:rFonts w:asciiTheme="majorHAnsi" w:eastAsia="Times New Roman" w:hAnsiTheme="majorHAnsi" w:cstheme="majorHAnsi"/>
          <w:sz w:val="23"/>
          <w:szCs w:val="23"/>
          <w:lang w:eastAsia="en-GB"/>
        </w:rPr>
        <w:lastRenderedPageBreak/>
        <w:t>of distinct population groups and underscore the importance of spatial access”</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and that for the lowest-income group, “owning a car significantly improves their chances to be employed” </w:t>
      </w:r>
      <w:r>
        <w:rPr>
          <w:rFonts w:asciiTheme="majorHAnsi" w:eastAsia="Times New Roman" w:hAnsiTheme="majorHAnsi" w:cstheme="majorHAnsi"/>
          <w:noProof/>
          <w:sz w:val="23"/>
          <w:szCs w:val="23"/>
          <w:lang w:eastAsia="en-GB"/>
        </w:rPr>
        <w:t>(L. Hu, 2017, p. 268)</w:t>
      </w:r>
      <w:r w:rsidRPr="00BC19B6">
        <w:rPr>
          <w:rFonts w:asciiTheme="majorHAnsi" w:eastAsia="Times New Roman" w:hAnsiTheme="majorHAnsi" w:cstheme="majorHAnsi"/>
          <w:sz w:val="23"/>
          <w:szCs w:val="23"/>
          <w:lang w:eastAsia="en-GB"/>
        </w:rPr>
        <w:t>.</w:t>
      </w:r>
    </w:p>
    <w:p w14:paraId="01401F84" w14:textId="77777777" w:rsidR="00F00E3D" w:rsidRPr="007F08B4" w:rsidRDefault="00F00E3D" w:rsidP="009B2FA7">
      <w:pPr>
        <w:spacing w:after="0" w:line="276" w:lineRule="auto"/>
        <w:rPr>
          <w:rFonts w:asciiTheme="majorHAnsi" w:eastAsia="Times New Roman" w:hAnsiTheme="majorHAnsi" w:cstheme="majorHAnsi"/>
          <w:sz w:val="10"/>
          <w:szCs w:val="10"/>
          <w:lang w:eastAsia="en-GB"/>
        </w:rPr>
      </w:pPr>
    </w:p>
    <w:p w14:paraId="1405B0B8" w14:textId="0EECA472" w:rsidR="00F00E3D" w:rsidRPr="00BC19B6" w:rsidRDefault="00F00E3D" w:rsidP="009B2FA7">
      <w:p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One</w:t>
      </w:r>
      <w:r w:rsidRPr="00BC19B6">
        <w:rPr>
          <w:rFonts w:asciiTheme="majorHAnsi" w:eastAsia="Times New Roman" w:hAnsiTheme="majorHAnsi" w:cstheme="majorHAnsi"/>
          <w:sz w:val="23"/>
          <w:szCs w:val="23"/>
          <w:lang w:eastAsia="en-GB"/>
        </w:rPr>
        <w:t xml:space="preserve"> Australian study found that access to employment during the economic gains of the early</w:t>
      </w:r>
      <w:r>
        <w:rPr>
          <w:rFonts w:asciiTheme="majorHAnsi" w:eastAsia="Times New Roman" w:hAnsiTheme="majorHAnsi" w:cstheme="majorHAnsi"/>
          <w:sz w:val="23"/>
          <w:szCs w:val="23"/>
          <w:lang w:eastAsia="en-GB"/>
        </w:rPr>
        <w:t xml:space="preserve"> </w:t>
      </w:r>
      <w:r w:rsidRPr="00BC19B6">
        <w:rPr>
          <w:rFonts w:asciiTheme="majorHAnsi" w:eastAsia="Times New Roman" w:hAnsiTheme="majorHAnsi" w:cstheme="majorHAnsi"/>
          <w:sz w:val="23"/>
          <w:szCs w:val="23"/>
          <w:lang w:eastAsia="en-GB"/>
        </w:rPr>
        <w:t xml:space="preserve">2000s was “differentiated by gender, with women largely missing out on the growth in jobs. For the population as a whole, </w:t>
      </w:r>
      <w:r w:rsidR="00551278">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employment gains were offset by increased housing insecurity as accommodation costs rose”</w:t>
      </w:r>
      <w:r>
        <w:rPr>
          <w:rFonts w:asciiTheme="majorHAnsi" w:eastAsia="Times New Roman" w:hAnsiTheme="majorHAnsi" w:cstheme="majorHAnsi"/>
          <w:sz w:val="23"/>
          <w:szCs w:val="23"/>
          <w:lang w:eastAsia="en-GB"/>
        </w:rPr>
        <w:t>. The study also found</w:t>
      </w:r>
      <w:r w:rsidRPr="00BC19B6">
        <w:rPr>
          <w:rFonts w:asciiTheme="majorHAnsi" w:eastAsia="Times New Roman" w:hAnsiTheme="majorHAnsi" w:cstheme="majorHAnsi"/>
          <w:sz w:val="23"/>
          <w:szCs w:val="23"/>
          <w:lang w:eastAsia="en-GB"/>
        </w:rPr>
        <w:t xml:space="preserve"> that “low-income lone parents were especially vulnerable because they were unable to benefit from a buoyant labour market over the decade 2000–2010” </w:t>
      </w:r>
      <w:r>
        <w:rPr>
          <w:rFonts w:asciiTheme="majorHAnsi" w:eastAsia="Times New Roman" w:hAnsiTheme="majorHAnsi" w:cstheme="majorHAnsi"/>
          <w:noProof/>
          <w:sz w:val="23"/>
          <w:szCs w:val="23"/>
          <w:lang w:eastAsia="en-GB"/>
        </w:rPr>
        <w:t>(Beer et al., 2016, p. 1543)</w:t>
      </w:r>
      <w:r w:rsidRPr="00BC19B6">
        <w:rPr>
          <w:rFonts w:asciiTheme="majorHAnsi" w:eastAsia="Times New Roman" w:hAnsiTheme="majorHAnsi" w:cstheme="majorHAnsi"/>
          <w:sz w:val="23"/>
          <w:szCs w:val="23"/>
          <w:lang w:eastAsia="en-GB"/>
        </w:rPr>
        <w:t>.</w:t>
      </w:r>
    </w:p>
    <w:p w14:paraId="39594B4D" w14:textId="77777777" w:rsidR="00F00E3D" w:rsidRPr="007F08B4" w:rsidRDefault="00F00E3D" w:rsidP="009B2FA7">
      <w:pPr>
        <w:spacing w:after="0" w:line="276" w:lineRule="auto"/>
        <w:contextualSpacing/>
        <w:rPr>
          <w:rFonts w:asciiTheme="majorHAnsi" w:eastAsia="Times New Roman" w:hAnsiTheme="majorHAnsi" w:cstheme="majorHAnsi"/>
          <w:sz w:val="10"/>
          <w:szCs w:val="10"/>
          <w:lang w:eastAsia="en-GB"/>
        </w:rPr>
      </w:pPr>
    </w:p>
    <w:p w14:paraId="31AAA0C1" w14:textId="2CA8B68E" w:rsidR="00F00E3D" w:rsidRPr="00BC19B6" w:rsidRDefault="00F00E3D" w:rsidP="009B2FA7">
      <w:pPr>
        <w:spacing w:after="0" w:line="276" w:lineRule="auto"/>
        <w:contextualSpacing/>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Of the 8</w:t>
      </w:r>
      <w:r>
        <w:rPr>
          <w:rFonts w:asciiTheme="majorHAnsi" w:eastAsia="Times New Roman" w:hAnsiTheme="majorHAnsi" w:cstheme="majorHAnsi"/>
          <w:sz w:val="23"/>
          <w:szCs w:val="23"/>
          <w:lang w:eastAsia="en-GB"/>
        </w:rPr>
        <w:t>2</w:t>
      </w:r>
      <w:r w:rsidRPr="00BC19B6">
        <w:rPr>
          <w:rFonts w:asciiTheme="majorHAnsi" w:eastAsia="Times New Roman" w:hAnsiTheme="majorHAnsi" w:cstheme="majorHAnsi"/>
          <w:sz w:val="23"/>
          <w:szCs w:val="23"/>
          <w:lang w:eastAsia="en-GB"/>
        </w:rPr>
        <w:t xml:space="preserve"> papers in our review </w:t>
      </w:r>
      <w:r>
        <w:rPr>
          <w:rFonts w:asciiTheme="majorHAnsi" w:eastAsia="Times New Roman" w:hAnsiTheme="majorHAnsi" w:cstheme="majorHAnsi"/>
          <w:sz w:val="23"/>
          <w:szCs w:val="23"/>
          <w:lang w:eastAsia="en-GB"/>
        </w:rPr>
        <w:t xml:space="preserve">that </w:t>
      </w:r>
      <w:r w:rsidRPr="00BC19B6">
        <w:rPr>
          <w:rFonts w:asciiTheme="majorHAnsi" w:eastAsia="Times New Roman" w:hAnsiTheme="majorHAnsi" w:cstheme="majorHAnsi"/>
          <w:sz w:val="23"/>
          <w:szCs w:val="23"/>
          <w:lang w:eastAsia="en-GB"/>
        </w:rPr>
        <w:t xml:space="preserve">focus on the factors and social determinants of inequality, only eight </w:t>
      </w:r>
      <w:r>
        <w:rPr>
          <w:rFonts w:asciiTheme="majorHAnsi" w:eastAsia="Times New Roman" w:hAnsiTheme="majorHAnsi" w:cstheme="majorHAnsi"/>
          <w:sz w:val="23"/>
          <w:szCs w:val="23"/>
          <w:lang w:eastAsia="en-GB"/>
        </w:rPr>
        <w:t>focus</w:t>
      </w:r>
      <w:r w:rsidRPr="00BC19B6">
        <w:rPr>
          <w:rFonts w:asciiTheme="majorHAnsi" w:eastAsia="Times New Roman" w:hAnsiTheme="majorHAnsi" w:cstheme="majorHAnsi"/>
          <w:sz w:val="23"/>
          <w:szCs w:val="23"/>
          <w:lang w:eastAsia="en-GB"/>
        </w:rPr>
        <w:t xml:space="preserve"> on employment (four papers) or connect the domain of </w:t>
      </w:r>
      <w:r>
        <w:rPr>
          <w:rFonts w:asciiTheme="majorHAnsi" w:eastAsia="Times New Roman" w:hAnsiTheme="majorHAnsi" w:cstheme="majorHAnsi"/>
          <w:sz w:val="23"/>
          <w:szCs w:val="23"/>
          <w:lang w:eastAsia="en-GB"/>
        </w:rPr>
        <w:t>E</w:t>
      </w:r>
      <w:r w:rsidRPr="00BC19B6">
        <w:rPr>
          <w:rFonts w:asciiTheme="majorHAnsi" w:eastAsia="Times New Roman" w:hAnsiTheme="majorHAnsi" w:cstheme="majorHAnsi"/>
          <w:sz w:val="23"/>
          <w:szCs w:val="23"/>
          <w:lang w:eastAsia="en-GB"/>
        </w:rPr>
        <w:t xml:space="preserve">mployment to other </w:t>
      </w:r>
      <w:r w:rsidR="00D95573">
        <w:rPr>
          <w:rFonts w:asciiTheme="majorHAnsi" w:eastAsia="Times New Roman" w:hAnsiTheme="majorHAnsi" w:cstheme="majorHAnsi"/>
          <w:sz w:val="23"/>
          <w:szCs w:val="23"/>
          <w:lang w:eastAsia="en-GB"/>
        </w:rPr>
        <w:t>Practice Domain</w:t>
      </w:r>
      <w:r w:rsidRPr="00BC19B6">
        <w:rPr>
          <w:rFonts w:asciiTheme="majorHAnsi" w:eastAsia="Times New Roman" w:hAnsiTheme="majorHAnsi" w:cstheme="majorHAnsi"/>
          <w:sz w:val="23"/>
          <w:szCs w:val="23"/>
          <w:lang w:eastAsia="en-GB"/>
        </w:rPr>
        <w:t xml:space="preserve">s (two </w:t>
      </w:r>
      <w:r>
        <w:rPr>
          <w:rFonts w:asciiTheme="majorHAnsi" w:eastAsia="Times New Roman" w:hAnsiTheme="majorHAnsi" w:cstheme="majorHAnsi"/>
          <w:sz w:val="23"/>
          <w:szCs w:val="23"/>
          <w:lang w:eastAsia="en-GB"/>
        </w:rPr>
        <w:t xml:space="preserve">link it </w:t>
      </w:r>
      <w:r w:rsidRPr="00BC19B6">
        <w:rPr>
          <w:rFonts w:asciiTheme="majorHAnsi" w:eastAsia="Times New Roman" w:hAnsiTheme="majorHAnsi" w:cstheme="majorHAnsi"/>
          <w:sz w:val="23"/>
          <w:szCs w:val="23"/>
          <w:lang w:eastAsia="en-GB"/>
        </w:rPr>
        <w:t xml:space="preserve">to </w:t>
      </w:r>
      <w:r>
        <w:rPr>
          <w:rFonts w:asciiTheme="majorHAnsi" w:eastAsia="Times New Roman" w:hAnsiTheme="majorHAnsi" w:cstheme="majorHAnsi"/>
          <w:sz w:val="23"/>
          <w:szCs w:val="23"/>
          <w:lang w:eastAsia="en-GB"/>
        </w:rPr>
        <w:t>H</w:t>
      </w:r>
      <w:r w:rsidRPr="00BC19B6">
        <w:rPr>
          <w:rFonts w:asciiTheme="majorHAnsi" w:eastAsia="Times New Roman" w:hAnsiTheme="majorHAnsi" w:cstheme="majorHAnsi"/>
          <w:sz w:val="23"/>
          <w:szCs w:val="23"/>
          <w:lang w:eastAsia="en-GB"/>
        </w:rPr>
        <w:t xml:space="preserve">ousing, and two to </w:t>
      </w:r>
      <w:r>
        <w:rPr>
          <w:rFonts w:asciiTheme="majorHAnsi" w:eastAsia="Times New Roman" w:hAnsiTheme="majorHAnsi" w:cstheme="majorHAnsi"/>
          <w:sz w:val="23"/>
          <w:szCs w:val="23"/>
          <w:lang w:eastAsia="en-GB"/>
        </w:rPr>
        <w:t>H</w:t>
      </w:r>
      <w:r w:rsidRPr="00BC19B6">
        <w:rPr>
          <w:rFonts w:asciiTheme="majorHAnsi" w:eastAsia="Times New Roman" w:hAnsiTheme="majorHAnsi" w:cstheme="majorHAnsi"/>
          <w:sz w:val="23"/>
          <w:szCs w:val="23"/>
          <w:lang w:eastAsia="en-GB"/>
        </w:rPr>
        <w:t xml:space="preserve">ealth and </w:t>
      </w:r>
      <w:r>
        <w:rPr>
          <w:rFonts w:asciiTheme="majorHAnsi" w:eastAsia="Times New Roman" w:hAnsiTheme="majorHAnsi" w:cstheme="majorHAnsi"/>
          <w:sz w:val="23"/>
          <w:szCs w:val="23"/>
          <w:lang w:eastAsia="en-GB"/>
        </w:rPr>
        <w:t>W</w:t>
      </w:r>
      <w:r w:rsidRPr="00BC19B6">
        <w:rPr>
          <w:rFonts w:asciiTheme="majorHAnsi" w:eastAsia="Times New Roman" w:hAnsiTheme="majorHAnsi" w:cstheme="majorHAnsi"/>
          <w:sz w:val="23"/>
          <w:szCs w:val="23"/>
          <w:lang w:eastAsia="en-GB"/>
        </w:rPr>
        <w:t xml:space="preserve">ellbeing). </w:t>
      </w:r>
      <w:r>
        <w:rPr>
          <w:rFonts w:asciiTheme="majorHAnsi" w:eastAsia="Times New Roman" w:hAnsiTheme="majorHAnsi" w:cstheme="majorHAnsi"/>
          <w:sz w:val="23"/>
          <w:szCs w:val="23"/>
          <w:lang w:eastAsia="en-GB"/>
        </w:rPr>
        <w:t xml:space="preserve">Table </w:t>
      </w:r>
      <w:r w:rsidR="00DE4EFA">
        <w:rPr>
          <w:rFonts w:asciiTheme="majorHAnsi" w:eastAsia="Times New Roman" w:hAnsiTheme="majorHAnsi" w:cstheme="majorHAnsi"/>
          <w:sz w:val="23"/>
          <w:szCs w:val="23"/>
          <w:lang w:eastAsia="en-GB"/>
        </w:rPr>
        <w:t>3.10</w:t>
      </w:r>
      <w:r>
        <w:rPr>
          <w:rFonts w:asciiTheme="majorHAnsi" w:eastAsia="Times New Roman" w:hAnsiTheme="majorHAnsi" w:cstheme="majorHAnsi"/>
          <w:sz w:val="23"/>
          <w:szCs w:val="23"/>
          <w:lang w:eastAsia="en-GB"/>
        </w:rPr>
        <w:t xml:space="preserve"> (below)</w:t>
      </w:r>
      <w:r w:rsidRPr="00BC19B6">
        <w:rPr>
          <w:rFonts w:asciiTheme="majorHAnsi" w:eastAsia="Times New Roman" w:hAnsiTheme="majorHAnsi" w:cstheme="majorHAnsi"/>
          <w:sz w:val="23"/>
          <w:szCs w:val="23"/>
          <w:lang w:eastAsia="en-GB"/>
        </w:rPr>
        <w:t xml:space="preserve"> indicates the factors</w:t>
      </w:r>
      <w:r>
        <w:rPr>
          <w:rFonts w:asciiTheme="majorHAnsi" w:eastAsia="Times New Roman" w:hAnsiTheme="majorHAnsi" w:cstheme="majorHAnsi"/>
          <w:sz w:val="23"/>
          <w:szCs w:val="23"/>
          <w:lang w:eastAsia="en-GB"/>
        </w:rPr>
        <w:t xml:space="preserve"> these studies</w:t>
      </w:r>
      <w:r w:rsidRPr="00BC19B6">
        <w:rPr>
          <w:rFonts w:asciiTheme="majorHAnsi" w:eastAsia="Times New Roman" w:hAnsiTheme="majorHAnsi" w:cstheme="majorHAnsi"/>
          <w:sz w:val="23"/>
          <w:szCs w:val="23"/>
          <w:lang w:eastAsia="en-GB"/>
        </w:rPr>
        <w:t xml:space="preserve"> identified as impacting employment for low-income communities. </w:t>
      </w:r>
    </w:p>
    <w:p w14:paraId="79E5CAC0" w14:textId="77777777" w:rsidR="00F00E3D" w:rsidRPr="007F08B4" w:rsidRDefault="00F00E3D" w:rsidP="009B2FA7">
      <w:pPr>
        <w:spacing w:after="0" w:line="276" w:lineRule="auto"/>
        <w:rPr>
          <w:rFonts w:asciiTheme="majorHAnsi" w:eastAsia="Times New Roman" w:hAnsiTheme="majorHAnsi" w:cstheme="majorHAnsi"/>
          <w:sz w:val="10"/>
          <w:szCs w:val="10"/>
          <w:lang w:eastAsia="en-GB"/>
        </w:rPr>
      </w:pPr>
    </w:p>
    <w:tbl>
      <w:tblPr>
        <w:tblStyle w:val="TableGrid"/>
        <w:tblW w:w="9557" w:type="dxa"/>
        <w:tblInd w:w="-5" w:type="dxa"/>
        <w:tblLook w:val="04A0" w:firstRow="1" w:lastRow="0" w:firstColumn="1" w:lastColumn="0" w:noHBand="0" w:noVBand="1"/>
      </w:tblPr>
      <w:tblGrid>
        <w:gridCol w:w="1155"/>
        <w:gridCol w:w="2384"/>
        <w:gridCol w:w="4248"/>
        <w:gridCol w:w="885"/>
        <w:gridCol w:w="885"/>
      </w:tblGrid>
      <w:tr w:rsidR="00551278" w:rsidRPr="00551278" w14:paraId="49616C94" w14:textId="77777777" w:rsidTr="701B9583">
        <w:trPr>
          <w:trHeight w:val="530"/>
        </w:trPr>
        <w:tc>
          <w:tcPr>
            <w:tcW w:w="1155" w:type="dxa"/>
            <w:shd w:val="clear" w:color="auto" w:fill="D0CECE" w:themeFill="background2" w:themeFillShade="E6"/>
          </w:tcPr>
          <w:p w14:paraId="7FA02241" w14:textId="6B401FA2" w:rsidR="00F00E3D" w:rsidRPr="00551278" w:rsidRDefault="00551278" w:rsidP="003B7072">
            <w:pPr>
              <w:spacing w:line="240" w:lineRule="auto"/>
              <w:contextualSpacing/>
              <w:rPr>
                <w:rFonts w:eastAsia="Times New Roman" w:cstheme="minorHAnsi"/>
                <w:b/>
                <w:bCs/>
                <w:lang w:eastAsia="en-GB"/>
              </w:rPr>
            </w:pPr>
            <w:r w:rsidRPr="00551278">
              <w:rPr>
                <w:rFonts w:eastAsia="Times New Roman" w:cstheme="minorHAnsi"/>
                <w:b/>
                <w:bCs/>
                <w:lang w:eastAsia="en-GB"/>
              </w:rPr>
              <w:t>Context Category</w:t>
            </w:r>
          </w:p>
        </w:tc>
        <w:tc>
          <w:tcPr>
            <w:tcW w:w="2384" w:type="dxa"/>
            <w:shd w:val="clear" w:color="auto" w:fill="D0CECE" w:themeFill="background2" w:themeFillShade="E6"/>
          </w:tcPr>
          <w:p w14:paraId="3D4F1737" w14:textId="29571B30" w:rsidR="00F00E3D" w:rsidRPr="00551278" w:rsidRDefault="00551278" w:rsidP="003B7072">
            <w:pPr>
              <w:spacing w:line="240" w:lineRule="auto"/>
              <w:contextualSpacing/>
              <w:rPr>
                <w:rFonts w:eastAsia="Times New Roman" w:cstheme="minorHAnsi"/>
                <w:b/>
                <w:bCs/>
                <w:lang w:eastAsia="en-GB"/>
              </w:rPr>
            </w:pPr>
            <w:r w:rsidRPr="00551278">
              <w:rPr>
                <w:rFonts w:eastAsia="Times New Roman" w:cstheme="minorHAnsi"/>
                <w:b/>
                <w:bCs/>
                <w:lang w:eastAsia="en-GB"/>
              </w:rPr>
              <w:t>Determinant</w:t>
            </w:r>
          </w:p>
        </w:tc>
        <w:tc>
          <w:tcPr>
            <w:tcW w:w="4248" w:type="dxa"/>
            <w:shd w:val="clear" w:color="auto" w:fill="D0CECE" w:themeFill="background2" w:themeFillShade="E6"/>
          </w:tcPr>
          <w:p w14:paraId="1E3A7FB6" w14:textId="51C26514" w:rsidR="00F00E3D" w:rsidRPr="00551278" w:rsidRDefault="00551278" w:rsidP="003B7072">
            <w:pPr>
              <w:spacing w:line="240" w:lineRule="auto"/>
              <w:contextualSpacing/>
              <w:rPr>
                <w:rFonts w:eastAsia="Times New Roman" w:cstheme="minorHAnsi"/>
                <w:b/>
                <w:bCs/>
                <w:lang w:eastAsia="en-GB"/>
              </w:rPr>
            </w:pPr>
            <w:r w:rsidRPr="00551278">
              <w:rPr>
                <w:rFonts w:eastAsia="Times New Roman" w:cstheme="minorHAnsi"/>
                <w:b/>
                <w:bCs/>
                <w:lang w:eastAsia="en-GB"/>
              </w:rPr>
              <w:t>Factor</w:t>
            </w:r>
          </w:p>
        </w:tc>
        <w:tc>
          <w:tcPr>
            <w:tcW w:w="1770" w:type="dxa"/>
            <w:gridSpan w:val="2"/>
            <w:shd w:val="clear" w:color="auto" w:fill="D0CECE" w:themeFill="background2" w:themeFillShade="E6"/>
          </w:tcPr>
          <w:p w14:paraId="45421DB8" w14:textId="5E9C388D" w:rsidR="00F00E3D" w:rsidRPr="00551278" w:rsidRDefault="00551278" w:rsidP="003B7072">
            <w:pPr>
              <w:spacing w:line="240" w:lineRule="auto"/>
              <w:contextualSpacing/>
              <w:rPr>
                <w:rFonts w:eastAsia="Times New Roman" w:cstheme="minorHAnsi"/>
                <w:b/>
                <w:bCs/>
                <w:lang w:eastAsia="en-GB"/>
              </w:rPr>
            </w:pPr>
            <w:r w:rsidRPr="00551278">
              <w:rPr>
                <w:rFonts w:eastAsia="Times New Roman" w:cstheme="minorHAnsi"/>
                <w:b/>
                <w:bCs/>
                <w:lang w:eastAsia="en-GB"/>
              </w:rPr>
              <w:t xml:space="preserve"># Articles </w:t>
            </w:r>
          </w:p>
          <w:p w14:paraId="147AE2F4" w14:textId="6B6C5328" w:rsidR="00F00E3D" w:rsidRPr="00551278" w:rsidRDefault="00551278" w:rsidP="003B7072">
            <w:pPr>
              <w:spacing w:line="240" w:lineRule="auto"/>
              <w:contextualSpacing/>
              <w:rPr>
                <w:rFonts w:eastAsia="Times New Roman" w:cstheme="minorHAnsi"/>
                <w:b/>
                <w:bCs/>
                <w:lang w:eastAsia="en-GB"/>
              </w:rPr>
            </w:pPr>
            <w:r w:rsidRPr="00551278">
              <w:rPr>
                <w:rFonts w:eastAsia="Times New Roman" w:cstheme="minorHAnsi"/>
                <w:b/>
                <w:bCs/>
                <w:lang w:eastAsia="en-GB"/>
              </w:rPr>
              <w:t>Identifying Factor</w:t>
            </w:r>
          </w:p>
        </w:tc>
      </w:tr>
      <w:tr w:rsidR="00F00E3D" w:rsidRPr="00882C39" w14:paraId="742D4403" w14:textId="77777777" w:rsidTr="701B9583">
        <w:trPr>
          <w:trHeight w:val="778"/>
        </w:trPr>
        <w:tc>
          <w:tcPr>
            <w:tcW w:w="1155" w:type="dxa"/>
            <w:vMerge w:val="restart"/>
            <w:textDirection w:val="tbRl"/>
            <w:vAlign w:val="center"/>
          </w:tcPr>
          <w:p w14:paraId="398F3D9C" w14:textId="6E426A47" w:rsidR="00F00E3D" w:rsidRPr="00882C39" w:rsidRDefault="00F00E3D" w:rsidP="003B7072">
            <w:pPr>
              <w:spacing w:after="0" w:line="240" w:lineRule="auto"/>
              <w:ind w:left="113" w:right="113"/>
              <w:contextualSpacing/>
              <w:jc w:val="center"/>
              <w:rPr>
                <w:rFonts w:eastAsia="Times New Roman"/>
                <w:b/>
                <w:color w:val="000000"/>
                <w:lang w:eastAsia="en-GB"/>
              </w:rPr>
            </w:pPr>
            <w:r w:rsidRPr="701B9583">
              <w:rPr>
                <w:rFonts w:eastAsia="Times New Roman"/>
                <w:b/>
                <w:bCs/>
                <w:color w:val="000000" w:themeColor="text1"/>
                <w:lang w:eastAsia="en-GB"/>
              </w:rPr>
              <w:t>Economic</w:t>
            </w:r>
          </w:p>
        </w:tc>
        <w:tc>
          <w:tcPr>
            <w:tcW w:w="2384" w:type="dxa"/>
            <w:vAlign w:val="center"/>
          </w:tcPr>
          <w:p w14:paraId="473B6D54" w14:textId="77777777" w:rsidR="00F00E3D" w:rsidRPr="00882C39" w:rsidRDefault="00F00E3D" w:rsidP="003B7072">
            <w:pPr>
              <w:spacing w:after="0" w:line="24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Economy</w:t>
            </w:r>
          </w:p>
        </w:tc>
        <w:tc>
          <w:tcPr>
            <w:tcW w:w="4248" w:type="dxa"/>
            <w:vAlign w:val="center"/>
          </w:tcPr>
          <w:p w14:paraId="791A8FB8" w14:textId="4D52B985" w:rsidR="00F00E3D" w:rsidRPr="00551278" w:rsidRDefault="00F00E3D" w:rsidP="003B7072">
            <w:pPr>
              <w:spacing w:after="0" w:line="24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Education Funding</w:t>
            </w:r>
          </w:p>
        </w:tc>
        <w:tc>
          <w:tcPr>
            <w:tcW w:w="885" w:type="dxa"/>
            <w:vAlign w:val="center"/>
          </w:tcPr>
          <w:p w14:paraId="0B0876FD" w14:textId="77777777" w:rsidR="00F00E3D" w:rsidRPr="00882C39" w:rsidRDefault="00F00E3D" w:rsidP="003B7072">
            <w:pPr>
              <w:tabs>
                <w:tab w:val="left" w:pos="2127"/>
              </w:tabs>
              <w:spacing w:after="0"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sz w:val="20"/>
                <w:szCs w:val="20"/>
                <w:lang w:eastAsia="en-GB"/>
              </w:rPr>
              <w:t>1</w:t>
            </w:r>
          </w:p>
        </w:tc>
        <w:tc>
          <w:tcPr>
            <w:tcW w:w="885" w:type="dxa"/>
            <w:vAlign w:val="center"/>
          </w:tcPr>
          <w:p w14:paraId="5EC9862D" w14:textId="77777777" w:rsidR="00F00E3D" w:rsidRPr="00882C39" w:rsidRDefault="00F00E3D" w:rsidP="003B7072">
            <w:pPr>
              <w:tabs>
                <w:tab w:val="left" w:pos="2127"/>
              </w:tabs>
              <w:spacing w:after="0" w:line="240" w:lineRule="auto"/>
              <w:contextualSpacing/>
              <w:jc w:val="center"/>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1</w:t>
            </w:r>
          </w:p>
        </w:tc>
      </w:tr>
      <w:tr w:rsidR="00F00E3D" w:rsidRPr="00882C39" w14:paraId="20FB20A2" w14:textId="77777777" w:rsidTr="701B9583">
        <w:trPr>
          <w:trHeight w:val="550"/>
        </w:trPr>
        <w:tc>
          <w:tcPr>
            <w:tcW w:w="1155" w:type="dxa"/>
            <w:vMerge/>
          </w:tcPr>
          <w:p w14:paraId="079714DD" w14:textId="77777777" w:rsidR="00F00E3D" w:rsidRPr="00882C39" w:rsidRDefault="00F00E3D" w:rsidP="003B7072">
            <w:pPr>
              <w:spacing w:after="0" w:line="240" w:lineRule="auto"/>
              <w:contextualSpacing/>
              <w:rPr>
                <w:rFonts w:eastAsia="Times New Roman" w:cstheme="minorHAnsi"/>
                <w:color w:val="000000"/>
                <w:lang w:eastAsia="en-GB"/>
              </w:rPr>
            </w:pPr>
          </w:p>
        </w:tc>
        <w:tc>
          <w:tcPr>
            <w:tcW w:w="2384" w:type="dxa"/>
            <w:vAlign w:val="center"/>
          </w:tcPr>
          <w:p w14:paraId="4A0819CF" w14:textId="77777777" w:rsidR="00F00E3D" w:rsidRPr="00882C39" w:rsidRDefault="00F00E3D" w:rsidP="003B7072">
            <w:pPr>
              <w:spacing w:after="0" w:line="24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Policy</w:t>
            </w:r>
          </w:p>
        </w:tc>
        <w:tc>
          <w:tcPr>
            <w:tcW w:w="4248" w:type="dxa"/>
            <w:vAlign w:val="center"/>
          </w:tcPr>
          <w:p w14:paraId="5F27EB5B" w14:textId="59128BF4" w:rsidR="00F00E3D" w:rsidRPr="00882C39" w:rsidRDefault="00F00E3D" w:rsidP="003B7072">
            <w:pPr>
              <w:spacing w:after="0" w:line="24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Government Policy (local &amp; national)</w:t>
            </w:r>
          </w:p>
        </w:tc>
        <w:tc>
          <w:tcPr>
            <w:tcW w:w="885" w:type="dxa"/>
            <w:vAlign w:val="center"/>
          </w:tcPr>
          <w:p w14:paraId="197CF5D3" w14:textId="77777777" w:rsidR="00F00E3D" w:rsidRPr="00882C39" w:rsidRDefault="00F00E3D" w:rsidP="003B7072">
            <w:pPr>
              <w:spacing w:after="0" w:line="24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1</w:t>
            </w:r>
          </w:p>
        </w:tc>
        <w:tc>
          <w:tcPr>
            <w:tcW w:w="885" w:type="dxa"/>
            <w:vAlign w:val="center"/>
          </w:tcPr>
          <w:p w14:paraId="69EF6B7A" w14:textId="77777777" w:rsidR="00F00E3D" w:rsidRPr="00882C39" w:rsidRDefault="00F00E3D" w:rsidP="003B7072">
            <w:pPr>
              <w:spacing w:after="0" w:line="240" w:lineRule="auto"/>
              <w:contextualSpacing/>
              <w:jc w:val="center"/>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1</w:t>
            </w:r>
          </w:p>
        </w:tc>
      </w:tr>
      <w:tr w:rsidR="00F00E3D" w:rsidRPr="00882C39" w14:paraId="099FB646" w14:textId="77777777" w:rsidTr="701B9583">
        <w:trPr>
          <w:trHeight w:val="515"/>
        </w:trPr>
        <w:tc>
          <w:tcPr>
            <w:tcW w:w="1155" w:type="dxa"/>
            <w:vMerge w:val="restart"/>
            <w:textDirection w:val="tbRl"/>
            <w:vAlign w:val="center"/>
          </w:tcPr>
          <w:p w14:paraId="5D1F9D40" w14:textId="77777777" w:rsidR="00F00E3D" w:rsidRPr="00882C39" w:rsidRDefault="00F00E3D" w:rsidP="003B7072">
            <w:pPr>
              <w:spacing w:after="0" w:line="240" w:lineRule="auto"/>
              <w:contextualSpacing/>
              <w:jc w:val="center"/>
              <w:rPr>
                <w:rFonts w:eastAsia="Times New Roman"/>
                <w:b/>
                <w:color w:val="000000"/>
                <w:lang w:eastAsia="en-GB"/>
              </w:rPr>
            </w:pPr>
            <w:r w:rsidRPr="701B9583">
              <w:rPr>
                <w:rFonts w:eastAsia="Times New Roman"/>
                <w:b/>
                <w:color w:val="000000" w:themeColor="text1"/>
                <w:lang w:eastAsia="en-GB"/>
              </w:rPr>
              <w:t>Health</w:t>
            </w:r>
          </w:p>
        </w:tc>
        <w:tc>
          <w:tcPr>
            <w:tcW w:w="2384" w:type="dxa"/>
            <w:vAlign w:val="center"/>
          </w:tcPr>
          <w:p w14:paraId="20E07525" w14:textId="77777777" w:rsidR="00F00E3D" w:rsidRPr="00882C39" w:rsidRDefault="00F00E3D" w:rsidP="003B7072">
            <w:pPr>
              <w:spacing w:after="0" w:line="240" w:lineRule="auto"/>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Healthcare &amp; Social Services</w:t>
            </w:r>
          </w:p>
        </w:tc>
        <w:tc>
          <w:tcPr>
            <w:tcW w:w="4248" w:type="dxa"/>
            <w:vAlign w:val="center"/>
          </w:tcPr>
          <w:p w14:paraId="5DFADE90" w14:textId="77777777" w:rsidR="00F00E3D" w:rsidRPr="00882C39" w:rsidRDefault="00F00E3D" w:rsidP="003B7072">
            <w:pPr>
              <w:spacing w:after="0"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color w:val="000000"/>
                <w:sz w:val="20"/>
                <w:szCs w:val="20"/>
                <w:lang w:eastAsia="en-GB"/>
              </w:rPr>
              <w:t>Access to Services</w:t>
            </w:r>
          </w:p>
        </w:tc>
        <w:tc>
          <w:tcPr>
            <w:tcW w:w="885" w:type="dxa"/>
            <w:vAlign w:val="center"/>
          </w:tcPr>
          <w:p w14:paraId="7C391725" w14:textId="77777777" w:rsidR="00F00E3D" w:rsidRPr="00882C39" w:rsidRDefault="00F00E3D" w:rsidP="003B7072">
            <w:pPr>
              <w:spacing w:after="0"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color w:val="000000"/>
                <w:sz w:val="20"/>
                <w:szCs w:val="20"/>
                <w:lang w:eastAsia="en-GB"/>
              </w:rPr>
              <w:t>1</w:t>
            </w:r>
          </w:p>
        </w:tc>
        <w:tc>
          <w:tcPr>
            <w:tcW w:w="885" w:type="dxa"/>
            <w:vAlign w:val="center"/>
          </w:tcPr>
          <w:p w14:paraId="3539E8AB" w14:textId="77777777" w:rsidR="00F00E3D" w:rsidRPr="00882C39" w:rsidRDefault="00F00E3D" w:rsidP="003B7072">
            <w:pPr>
              <w:spacing w:after="0" w:line="240" w:lineRule="auto"/>
              <w:contextualSpacing/>
              <w:jc w:val="center"/>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1</w:t>
            </w:r>
          </w:p>
        </w:tc>
      </w:tr>
      <w:tr w:rsidR="00F00E3D" w:rsidRPr="00882C39" w14:paraId="362DC12D" w14:textId="77777777" w:rsidTr="701B9583">
        <w:trPr>
          <w:trHeight w:val="534"/>
        </w:trPr>
        <w:tc>
          <w:tcPr>
            <w:tcW w:w="1155" w:type="dxa"/>
            <w:vMerge/>
          </w:tcPr>
          <w:p w14:paraId="4F206037" w14:textId="77777777" w:rsidR="00F00E3D" w:rsidRPr="00882C39" w:rsidRDefault="00F00E3D" w:rsidP="003B7072">
            <w:pPr>
              <w:spacing w:after="0" w:line="240" w:lineRule="auto"/>
              <w:contextualSpacing/>
              <w:rPr>
                <w:rFonts w:eastAsia="Times New Roman" w:cstheme="minorHAnsi"/>
                <w:color w:val="000000"/>
                <w:lang w:eastAsia="en-GB"/>
              </w:rPr>
            </w:pPr>
          </w:p>
        </w:tc>
        <w:tc>
          <w:tcPr>
            <w:tcW w:w="2384" w:type="dxa"/>
            <w:vAlign w:val="center"/>
          </w:tcPr>
          <w:p w14:paraId="2817EE15" w14:textId="77777777" w:rsidR="00F00E3D" w:rsidRPr="00882C39" w:rsidRDefault="00F00E3D" w:rsidP="003B7072">
            <w:pPr>
              <w:spacing w:after="0" w:line="240" w:lineRule="auto"/>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Personal Health Status</w:t>
            </w:r>
          </w:p>
        </w:tc>
        <w:tc>
          <w:tcPr>
            <w:tcW w:w="4248" w:type="dxa"/>
            <w:vAlign w:val="center"/>
          </w:tcPr>
          <w:p w14:paraId="391555C6" w14:textId="77777777" w:rsidR="00F00E3D" w:rsidRPr="00882C39" w:rsidRDefault="00F00E3D" w:rsidP="00551278">
            <w:pPr>
              <w:spacing w:after="0" w:line="36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Individual Health</w:t>
            </w:r>
          </w:p>
        </w:tc>
        <w:tc>
          <w:tcPr>
            <w:tcW w:w="885" w:type="dxa"/>
            <w:vAlign w:val="center"/>
          </w:tcPr>
          <w:p w14:paraId="028864F9" w14:textId="77777777" w:rsidR="00F00E3D" w:rsidRPr="00882C39" w:rsidRDefault="00F00E3D" w:rsidP="003B7072">
            <w:pPr>
              <w:spacing w:after="0" w:line="24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2</w:t>
            </w:r>
          </w:p>
        </w:tc>
        <w:tc>
          <w:tcPr>
            <w:tcW w:w="885" w:type="dxa"/>
            <w:vAlign w:val="center"/>
          </w:tcPr>
          <w:p w14:paraId="45966858" w14:textId="77777777" w:rsidR="00F00E3D" w:rsidRPr="00882C39" w:rsidRDefault="00F00E3D" w:rsidP="003B7072">
            <w:pPr>
              <w:spacing w:after="0" w:line="240" w:lineRule="auto"/>
              <w:contextualSpacing/>
              <w:jc w:val="center"/>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2</w:t>
            </w:r>
          </w:p>
        </w:tc>
      </w:tr>
      <w:tr w:rsidR="00F00E3D" w:rsidRPr="00882C39" w14:paraId="3BF34F73" w14:textId="77777777" w:rsidTr="701B9583">
        <w:trPr>
          <w:trHeight w:val="233"/>
        </w:trPr>
        <w:tc>
          <w:tcPr>
            <w:tcW w:w="1155" w:type="dxa"/>
            <w:vMerge/>
          </w:tcPr>
          <w:p w14:paraId="1458B796" w14:textId="77777777" w:rsidR="00F00E3D" w:rsidRPr="00882C39" w:rsidRDefault="00F00E3D" w:rsidP="00551278">
            <w:pPr>
              <w:tabs>
                <w:tab w:val="left" w:pos="3181"/>
              </w:tabs>
              <w:spacing w:line="240" w:lineRule="auto"/>
              <w:contextualSpacing/>
              <w:rPr>
                <w:rFonts w:eastAsia="Times New Roman" w:cstheme="minorHAnsi"/>
                <w:color w:val="000000"/>
                <w:lang w:eastAsia="en-GB"/>
              </w:rPr>
            </w:pPr>
          </w:p>
        </w:tc>
        <w:tc>
          <w:tcPr>
            <w:tcW w:w="2384" w:type="dxa"/>
            <w:vMerge w:val="restart"/>
            <w:vAlign w:val="center"/>
          </w:tcPr>
          <w:p w14:paraId="2A87BFF9" w14:textId="77777777" w:rsidR="00F00E3D" w:rsidRPr="00882C39" w:rsidRDefault="00F00E3D" w:rsidP="00551278">
            <w:pPr>
              <w:spacing w:line="240" w:lineRule="auto"/>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Crime &amp; Safety</w:t>
            </w:r>
          </w:p>
        </w:tc>
        <w:tc>
          <w:tcPr>
            <w:tcW w:w="4248" w:type="dxa"/>
            <w:vAlign w:val="center"/>
          </w:tcPr>
          <w:p w14:paraId="34DC7C10" w14:textId="77777777" w:rsidR="00F00E3D" w:rsidRPr="00882C39" w:rsidRDefault="00F00E3D" w:rsidP="00551278">
            <w:pPr>
              <w:tabs>
                <w:tab w:val="left" w:pos="3181"/>
              </w:tabs>
              <w:spacing w:line="36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color w:val="000000"/>
                <w:sz w:val="20"/>
                <w:szCs w:val="20"/>
                <w:lang w:eastAsia="en-GB"/>
              </w:rPr>
              <w:t>Crime</w:t>
            </w:r>
          </w:p>
        </w:tc>
        <w:tc>
          <w:tcPr>
            <w:tcW w:w="885" w:type="dxa"/>
            <w:vAlign w:val="center"/>
          </w:tcPr>
          <w:p w14:paraId="09904C08" w14:textId="77777777" w:rsidR="00F00E3D" w:rsidRPr="00882C39" w:rsidRDefault="00F00E3D" w:rsidP="00551278">
            <w:pPr>
              <w:tabs>
                <w:tab w:val="left" w:pos="854"/>
              </w:tabs>
              <w:spacing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sz w:val="20"/>
                <w:szCs w:val="20"/>
                <w:lang w:eastAsia="en-GB"/>
              </w:rPr>
              <w:t>1</w:t>
            </w:r>
          </w:p>
        </w:tc>
        <w:tc>
          <w:tcPr>
            <w:tcW w:w="885" w:type="dxa"/>
            <w:vMerge w:val="restart"/>
            <w:vAlign w:val="center"/>
          </w:tcPr>
          <w:p w14:paraId="7FC176B1" w14:textId="77777777" w:rsidR="00F00E3D" w:rsidRPr="00882C39" w:rsidRDefault="00F00E3D" w:rsidP="00551278">
            <w:pPr>
              <w:tabs>
                <w:tab w:val="left" w:pos="854"/>
              </w:tabs>
              <w:spacing w:line="240" w:lineRule="auto"/>
              <w:contextualSpacing/>
              <w:jc w:val="center"/>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3</w:t>
            </w:r>
          </w:p>
        </w:tc>
      </w:tr>
      <w:tr w:rsidR="00F00E3D" w:rsidRPr="00882C39" w14:paraId="5B89CBC1" w14:textId="77777777" w:rsidTr="701B9583">
        <w:trPr>
          <w:trHeight w:val="261"/>
        </w:trPr>
        <w:tc>
          <w:tcPr>
            <w:tcW w:w="1155" w:type="dxa"/>
            <w:vMerge/>
          </w:tcPr>
          <w:p w14:paraId="003BBF08" w14:textId="77777777" w:rsidR="00F00E3D" w:rsidRPr="00882C39" w:rsidRDefault="00F00E3D" w:rsidP="00551278">
            <w:pPr>
              <w:tabs>
                <w:tab w:val="left" w:pos="3181"/>
              </w:tabs>
              <w:spacing w:line="240" w:lineRule="auto"/>
              <w:contextualSpacing/>
              <w:rPr>
                <w:rFonts w:eastAsia="Times New Roman" w:cstheme="minorHAnsi"/>
                <w:color w:val="000000"/>
                <w:lang w:eastAsia="en-GB"/>
              </w:rPr>
            </w:pPr>
          </w:p>
        </w:tc>
        <w:tc>
          <w:tcPr>
            <w:tcW w:w="2384" w:type="dxa"/>
            <w:vMerge/>
          </w:tcPr>
          <w:p w14:paraId="0F1C37A1" w14:textId="77777777" w:rsidR="00F00E3D" w:rsidRPr="00882C39" w:rsidRDefault="00F00E3D" w:rsidP="00551278">
            <w:pPr>
              <w:tabs>
                <w:tab w:val="left" w:pos="3181"/>
              </w:tabs>
              <w:spacing w:line="240" w:lineRule="auto"/>
              <w:contextualSpacing/>
              <w:rPr>
                <w:rFonts w:asciiTheme="majorHAnsi" w:eastAsia="Times New Roman" w:hAnsiTheme="majorHAnsi" w:cstheme="majorHAnsi"/>
                <w:color w:val="000000"/>
                <w:sz w:val="20"/>
                <w:szCs w:val="20"/>
                <w:lang w:eastAsia="en-GB"/>
              </w:rPr>
            </w:pPr>
          </w:p>
        </w:tc>
        <w:tc>
          <w:tcPr>
            <w:tcW w:w="4248" w:type="dxa"/>
            <w:vAlign w:val="center"/>
          </w:tcPr>
          <w:p w14:paraId="488EC4ED" w14:textId="77777777" w:rsidR="00F00E3D" w:rsidRPr="00882C39" w:rsidRDefault="00F00E3D" w:rsidP="00551278">
            <w:pPr>
              <w:tabs>
                <w:tab w:val="left" w:pos="3181"/>
              </w:tabs>
              <w:spacing w:line="36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Neighbourhood Reputation</w:t>
            </w:r>
          </w:p>
        </w:tc>
        <w:tc>
          <w:tcPr>
            <w:tcW w:w="885" w:type="dxa"/>
            <w:vAlign w:val="center"/>
          </w:tcPr>
          <w:p w14:paraId="28258B1A" w14:textId="77777777" w:rsidR="00F00E3D" w:rsidRPr="00882C39" w:rsidRDefault="00F00E3D" w:rsidP="00551278">
            <w:pPr>
              <w:tabs>
                <w:tab w:val="left" w:pos="854"/>
              </w:tabs>
              <w:spacing w:line="24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1</w:t>
            </w:r>
          </w:p>
        </w:tc>
        <w:tc>
          <w:tcPr>
            <w:tcW w:w="885" w:type="dxa"/>
            <w:vMerge/>
            <w:vAlign w:val="center"/>
          </w:tcPr>
          <w:p w14:paraId="435629AE" w14:textId="77777777" w:rsidR="00F00E3D" w:rsidRPr="00882C39" w:rsidRDefault="00F00E3D" w:rsidP="00551278">
            <w:pPr>
              <w:tabs>
                <w:tab w:val="left" w:pos="854"/>
              </w:tabs>
              <w:spacing w:line="240" w:lineRule="auto"/>
              <w:contextualSpacing/>
              <w:jc w:val="center"/>
              <w:rPr>
                <w:rFonts w:asciiTheme="majorHAnsi" w:eastAsia="Times New Roman" w:hAnsiTheme="majorHAnsi" w:cstheme="majorHAnsi"/>
                <w:color w:val="000000"/>
                <w:sz w:val="20"/>
                <w:szCs w:val="20"/>
                <w:lang w:eastAsia="en-GB"/>
              </w:rPr>
            </w:pPr>
          </w:p>
        </w:tc>
      </w:tr>
      <w:tr w:rsidR="00F00E3D" w:rsidRPr="00882C39" w14:paraId="30E7EE6A" w14:textId="77777777" w:rsidTr="701B9583">
        <w:trPr>
          <w:trHeight w:val="270"/>
        </w:trPr>
        <w:tc>
          <w:tcPr>
            <w:tcW w:w="1155" w:type="dxa"/>
            <w:vMerge/>
          </w:tcPr>
          <w:p w14:paraId="505A9942" w14:textId="77777777" w:rsidR="00F00E3D" w:rsidRPr="00882C39" w:rsidRDefault="00F00E3D" w:rsidP="00551278">
            <w:pPr>
              <w:tabs>
                <w:tab w:val="left" w:pos="3181"/>
              </w:tabs>
              <w:spacing w:line="240" w:lineRule="auto"/>
              <w:contextualSpacing/>
              <w:rPr>
                <w:rFonts w:eastAsia="Times New Roman" w:cstheme="minorHAnsi"/>
                <w:color w:val="000000"/>
                <w:lang w:eastAsia="en-GB"/>
              </w:rPr>
            </w:pPr>
          </w:p>
        </w:tc>
        <w:tc>
          <w:tcPr>
            <w:tcW w:w="2384" w:type="dxa"/>
            <w:vMerge/>
          </w:tcPr>
          <w:p w14:paraId="3EB65344" w14:textId="77777777" w:rsidR="00F00E3D" w:rsidRPr="00882C39" w:rsidRDefault="00F00E3D" w:rsidP="00551278">
            <w:pPr>
              <w:tabs>
                <w:tab w:val="left" w:pos="3181"/>
              </w:tabs>
              <w:spacing w:line="240" w:lineRule="auto"/>
              <w:contextualSpacing/>
              <w:rPr>
                <w:rFonts w:asciiTheme="majorHAnsi" w:eastAsia="Times New Roman" w:hAnsiTheme="majorHAnsi" w:cstheme="majorHAnsi"/>
                <w:color w:val="000000"/>
                <w:sz w:val="20"/>
                <w:szCs w:val="20"/>
                <w:lang w:eastAsia="en-GB"/>
              </w:rPr>
            </w:pPr>
          </w:p>
        </w:tc>
        <w:tc>
          <w:tcPr>
            <w:tcW w:w="4248" w:type="dxa"/>
            <w:vAlign w:val="center"/>
          </w:tcPr>
          <w:p w14:paraId="73A52CD2" w14:textId="77777777" w:rsidR="00F00E3D" w:rsidRPr="00882C39" w:rsidRDefault="00F00E3D" w:rsidP="00551278">
            <w:pPr>
              <w:tabs>
                <w:tab w:val="left" w:pos="3181"/>
              </w:tabs>
              <w:spacing w:line="36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Neighbourhood Safety</w:t>
            </w:r>
          </w:p>
        </w:tc>
        <w:tc>
          <w:tcPr>
            <w:tcW w:w="885" w:type="dxa"/>
            <w:vAlign w:val="center"/>
          </w:tcPr>
          <w:p w14:paraId="22B55B51" w14:textId="77777777" w:rsidR="00F00E3D" w:rsidRPr="00882C39" w:rsidRDefault="00F00E3D" w:rsidP="00551278">
            <w:pPr>
              <w:tabs>
                <w:tab w:val="left" w:pos="854"/>
              </w:tabs>
              <w:spacing w:line="24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1</w:t>
            </w:r>
          </w:p>
        </w:tc>
        <w:tc>
          <w:tcPr>
            <w:tcW w:w="885" w:type="dxa"/>
            <w:vMerge/>
            <w:vAlign w:val="center"/>
          </w:tcPr>
          <w:p w14:paraId="227D02FA" w14:textId="77777777" w:rsidR="00F00E3D" w:rsidRPr="00882C39" w:rsidRDefault="00F00E3D" w:rsidP="00551278">
            <w:pPr>
              <w:tabs>
                <w:tab w:val="left" w:pos="854"/>
              </w:tabs>
              <w:spacing w:line="240" w:lineRule="auto"/>
              <w:contextualSpacing/>
              <w:jc w:val="center"/>
              <w:rPr>
                <w:rFonts w:asciiTheme="majorHAnsi" w:eastAsia="Times New Roman" w:hAnsiTheme="majorHAnsi" w:cstheme="majorHAnsi"/>
                <w:color w:val="000000"/>
                <w:sz w:val="20"/>
                <w:szCs w:val="20"/>
                <w:lang w:eastAsia="en-GB"/>
              </w:rPr>
            </w:pPr>
          </w:p>
        </w:tc>
      </w:tr>
      <w:tr w:rsidR="00F00E3D" w:rsidRPr="00882C39" w14:paraId="6F692842" w14:textId="77777777" w:rsidTr="701B9583">
        <w:trPr>
          <w:trHeight w:val="270"/>
        </w:trPr>
        <w:tc>
          <w:tcPr>
            <w:tcW w:w="1155" w:type="dxa"/>
            <w:vMerge/>
          </w:tcPr>
          <w:p w14:paraId="4CB217D2" w14:textId="77777777" w:rsidR="00F00E3D" w:rsidRPr="00882C39" w:rsidRDefault="00F00E3D" w:rsidP="00551278">
            <w:pPr>
              <w:spacing w:line="240" w:lineRule="auto"/>
              <w:contextualSpacing/>
              <w:rPr>
                <w:rFonts w:eastAsia="Times New Roman" w:cstheme="minorHAnsi"/>
                <w:color w:val="000000"/>
                <w:lang w:eastAsia="en-GB"/>
              </w:rPr>
            </w:pPr>
          </w:p>
        </w:tc>
        <w:tc>
          <w:tcPr>
            <w:tcW w:w="2384" w:type="dxa"/>
            <w:vMerge w:val="restart"/>
            <w:vAlign w:val="center"/>
          </w:tcPr>
          <w:p w14:paraId="6748BFC8" w14:textId="77777777" w:rsidR="00F00E3D" w:rsidRPr="00882C39" w:rsidRDefault="00F00E3D" w:rsidP="00551278">
            <w:pPr>
              <w:spacing w:line="240" w:lineRule="auto"/>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Employment &amp; Work</w:t>
            </w:r>
          </w:p>
        </w:tc>
        <w:tc>
          <w:tcPr>
            <w:tcW w:w="4248" w:type="dxa"/>
            <w:vAlign w:val="center"/>
          </w:tcPr>
          <w:p w14:paraId="6CF25C75" w14:textId="77777777" w:rsidR="00F00E3D" w:rsidRPr="00882C39" w:rsidRDefault="00F00E3D" w:rsidP="00551278">
            <w:pPr>
              <w:spacing w:line="36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color w:val="000000"/>
                <w:sz w:val="20"/>
                <w:szCs w:val="20"/>
                <w:lang w:eastAsia="en-GB"/>
              </w:rPr>
              <w:t>Access to Employment</w:t>
            </w:r>
          </w:p>
        </w:tc>
        <w:tc>
          <w:tcPr>
            <w:tcW w:w="885" w:type="dxa"/>
            <w:vAlign w:val="center"/>
          </w:tcPr>
          <w:p w14:paraId="28D1D790" w14:textId="77777777" w:rsidR="00F00E3D" w:rsidRPr="00882C39" w:rsidRDefault="00F00E3D" w:rsidP="00551278">
            <w:pPr>
              <w:spacing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sz w:val="20"/>
                <w:szCs w:val="20"/>
                <w:lang w:eastAsia="en-GB"/>
              </w:rPr>
              <w:t>1</w:t>
            </w:r>
          </w:p>
        </w:tc>
        <w:tc>
          <w:tcPr>
            <w:tcW w:w="885" w:type="dxa"/>
            <w:vMerge w:val="restart"/>
            <w:vAlign w:val="center"/>
          </w:tcPr>
          <w:p w14:paraId="154767E3" w14:textId="77777777" w:rsidR="00F00E3D" w:rsidRPr="00882C39" w:rsidRDefault="00F00E3D" w:rsidP="00551278">
            <w:pPr>
              <w:spacing w:line="240" w:lineRule="auto"/>
              <w:contextualSpacing/>
              <w:jc w:val="center"/>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3</w:t>
            </w:r>
          </w:p>
        </w:tc>
      </w:tr>
      <w:tr w:rsidR="00F00E3D" w:rsidRPr="00882C39" w14:paraId="5612641D" w14:textId="77777777" w:rsidTr="701B9583">
        <w:trPr>
          <w:trHeight w:val="270"/>
        </w:trPr>
        <w:tc>
          <w:tcPr>
            <w:tcW w:w="1155" w:type="dxa"/>
            <w:vMerge/>
          </w:tcPr>
          <w:p w14:paraId="303A600B" w14:textId="77777777" w:rsidR="00F00E3D" w:rsidRPr="00882C39" w:rsidRDefault="00F00E3D" w:rsidP="00551278">
            <w:pPr>
              <w:spacing w:line="240" w:lineRule="auto"/>
              <w:contextualSpacing/>
              <w:rPr>
                <w:rFonts w:eastAsia="Times New Roman" w:cstheme="minorHAnsi"/>
                <w:color w:val="000000"/>
                <w:lang w:eastAsia="en-GB"/>
              </w:rPr>
            </w:pPr>
          </w:p>
        </w:tc>
        <w:tc>
          <w:tcPr>
            <w:tcW w:w="2384" w:type="dxa"/>
            <w:vMerge/>
          </w:tcPr>
          <w:p w14:paraId="4A834768" w14:textId="77777777" w:rsidR="00F00E3D" w:rsidRPr="00882C39" w:rsidRDefault="00F00E3D" w:rsidP="00551278">
            <w:pPr>
              <w:spacing w:line="240" w:lineRule="auto"/>
              <w:contextualSpacing/>
              <w:rPr>
                <w:rFonts w:asciiTheme="majorHAnsi" w:eastAsia="Times New Roman" w:hAnsiTheme="majorHAnsi" w:cstheme="majorHAnsi"/>
                <w:color w:val="000000"/>
                <w:sz w:val="20"/>
                <w:szCs w:val="20"/>
                <w:lang w:eastAsia="en-GB"/>
              </w:rPr>
            </w:pPr>
          </w:p>
        </w:tc>
        <w:tc>
          <w:tcPr>
            <w:tcW w:w="4248" w:type="dxa"/>
            <w:vAlign w:val="center"/>
          </w:tcPr>
          <w:p w14:paraId="29575093" w14:textId="77777777" w:rsidR="00F00E3D" w:rsidRPr="00882C39" w:rsidRDefault="00F00E3D" w:rsidP="00551278">
            <w:pPr>
              <w:spacing w:line="36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color w:val="000000"/>
                <w:sz w:val="20"/>
                <w:szCs w:val="20"/>
                <w:lang w:eastAsia="en-GB"/>
              </w:rPr>
              <w:t>Employment Level</w:t>
            </w:r>
          </w:p>
        </w:tc>
        <w:tc>
          <w:tcPr>
            <w:tcW w:w="885" w:type="dxa"/>
            <w:vAlign w:val="center"/>
          </w:tcPr>
          <w:p w14:paraId="15BAF18B" w14:textId="77777777" w:rsidR="00F00E3D" w:rsidRPr="00882C39" w:rsidRDefault="00F00E3D" w:rsidP="00551278">
            <w:pPr>
              <w:spacing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sz w:val="20"/>
                <w:szCs w:val="20"/>
                <w:lang w:eastAsia="en-GB"/>
              </w:rPr>
              <w:t>1</w:t>
            </w:r>
          </w:p>
        </w:tc>
        <w:tc>
          <w:tcPr>
            <w:tcW w:w="885" w:type="dxa"/>
            <w:vMerge/>
            <w:vAlign w:val="center"/>
          </w:tcPr>
          <w:p w14:paraId="3FD128AE" w14:textId="77777777" w:rsidR="00F00E3D" w:rsidRPr="00882C39" w:rsidRDefault="00F00E3D" w:rsidP="00551278">
            <w:pPr>
              <w:spacing w:line="240" w:lineRule="auto"/>
              <w:contextualSpacing/>
              <w:jc w:val="center"/>
              <w:rPr>
                <w:rFonts w:asciiTheme="majorHAnsi" w:eastAsia="Times New Roman" w:hAnsiTheme="majorHAnsi" w:cstheme="majorHAnsi"/>
                <w:color w:val="000000"/>
                <w:sz w:val="20"/>
                <w:szCs w:val="20"/>
                <w:lang w:eastAsia="en-GB"/>
              </w:rPr>
            </w:pPr>
          </w:p>
        </w:tc>
      </w:tr>
      <w:tr w:rsidR="00F00E3D" w:rsidRPr="00882C39" w14:paraId="162A639C" w14:textId="77777777" w:rsidTr="701B9583">
        <w:trPr>
          <w:trHeight w:val="261"/>
        </w:trPr>
        <w:tc>
          <w:tcPr>
            <w:tcW w:w="1155" w:type="dxa"/>
            <w:vMerge/>
          </w:tcPr>
          <w:p w14:paraId="1A97A2A0" w14:textId="77777777" w:rsidR="00F00E3D" w:rsidRPr="00882C39" w:rsidRDefault="00F00E3D" w:rsidP="00551278">
            <w:pPr>
              <w:spacing w:line="240" w:lineRule="auto"/>
              <w:contextualSpacing/>
              <w:rPr>
                <w:rFonts w:eastAsia="Times New Roman" w:cstheme="minorHAnsi"/>
                <w:color w:val="000000"/>
                <w:lang w:eastAsia="en-GB"/>
              </w:rPr>
            </w:pPr>
          </w:p>
        </w:tc>
        <w:tc>
          <w:tcPr>
            <w:tcW w:w="2384" w:type="dxa"/>
            <w:vMerge/>
          </w:tcPr>
          <w:p w14:paraId="464691CA" w14:textId="77777777" w:rsidR="00F00E3D" w:rsidRPr="00882C39" w:rsidRDefault="00F00E3D" w:rsidP="00551278">
            <w:pPr>
              <w:spacing w:line="240" w:lineRule="auto"/>
              <w:contextualSpacing/>
              <w:rPr>
                <w:rFonts w:asciiTheme="majorHAnsi" w:eastAsia="Times New Roman" w:hAnsiTheme="majorHAnsi" w:cstheme="majorHAnsi"/>
                <w:color w:val="000000"/>
                <w:sz w:val="20"/>
                <w:szCs w:val="20"/>
                <w:lang w:eastAsia="en-GB"/>
              </w:rPr>
            </w:pPr>
          </w:p>
        </w:tc>
        <w:tc>
          <w:tcPr>
            <w:tcW w:w="4248" w:type="dxa"/>
            <w:vAlign w:val="center"/>
          </w:tcPr>
          <w:p w14:paraId="1C53DF08" w14:textId="77777777" w:rsidR="00F00E3D" w:rsidRPr="00882C39" w:rsidRDefault="00F00E3D" w:rsidP="00551278">
            <w:pPr>
              <w:spacing w:line="36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color w:val="000000"/>
                <w:sz w:val="20"/>
                <w:szCs w:val="20"/>
                <w:lang w:eastAsia="en-GB"/>
              </w:rPr>
              <w:t>Skills</w:t>
            </w:r>
          </w:p>
        </w:tc>
        <w:tc>
          <w:tcPr>
            <w:tcW w:w="885" w:type="dxa"/>
            <w:vAlign w:val="center"/>
          </w:tcPr>
          <w:p w14:paraId="589FF7EB" w14:textId="77777777" w:rsidR="00F00E3D" w:rsidRPr="00882C39" w:rsidRDefault="00F00E3D" w:rsidP="00551278">
            <w:pPr>
              <w:spacing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sz w:val="20"/>
                <w:szCs w:val="20"/>
                <w:lang w:eastAsia="en-GB"/>
              </w:rPr>
              <w:t>1</w:t>
            </w:r>
          </w:p>
        </w:tc>
        <w:tc>
          <w:tcPr>
            <w:tcW w:w="885" w:type="dxa"/>
            <w:vMerge/>
            <w:vAlign w:val="center"/>
          </w:tcPr>
          <w:p w14:paraId="0BF6CD30" w14:textId="77777777" w:rsidR="00F00E3D" w:rsidRPr="00882C39" w:rsidRDefault="00F00E3D" w:rsidP="00551278">
            <w:pPr>
              <w:spacing w:line="240" w:lineRule="auto"/>
              <w:contextualSpacing/>
              <w:jc w:val="center"/>
              <w:rPr>
                <w:rFonts w:asciiTheme="majorHAnsi" w:eastAsia="Times New Roman" w:hAnsiTheme="majorHAnsi" w:cstheme="majorHAnsi"/>
                <w:color w:val="000000"/>
                <w:sz w:val="20"/>
                <w:szCs w:val="20"/>
                <w:lang w:eastAsia="en-GB"/>
              </w:rPr>
            </w:pPr>
          </w:p>
        </w:tc>
      </w:tr>
      <w:tr w:rsidR="00F00E3D" w:rsidRPr="00882C39" w14:paraId="124BB00B" w14:textId="77777777" w:rsidTr="701B9583">
        <w:trPr>
          <w:trHeight w:val="270"/>
        </w:trPr>
        <w:tc>
          <w:tcPr>
            <w:tcW w:w="1155" w:type="dxa"/>
            <w:vMerge/>
          </w:tcPr>
          <w:p w14:paraId="733C21D9" w14:textId="77777777" w:rsidR="00F00E3D" w:rsidRPr="00882C39" w:rsidRDefault="00F00E3D" w:rsidP="00551278">
            <w:pPr>
              <w:spacing w:line="240" w:lineRule="auto"/>
              <w:contextualSpacing/>
              <w:rPr>
                <w:rFonts w:eastAsia="Times New Roman" w:cstheme="minorHAnsi"/>
                <w:color w:val="000000"/>
                <w:lang w:eastAsia="en-GB"/>
              </w:rPr>
            </w:pPr>
          </w:p>
        </w:tc>
        <w:tc>
          <w:tcPr>
            <w:tcW w:w="2384" w:type="dxa"/>
            <w:vMerge w:val="restart"/>
            <w:vAlign w:val="center"/>
          </w:tcPr>
          <w:p w14:paraId="64EB7B4A" w14:textId="77777777" w:rsidR="00F00E3D" w:rsidRPr="00882C39" w:rsidRDefault="00F00E3D" w:rsidP="00551278">
            <w:pPr>
              <w:spacing w:line="240" w:lineRule="auto"/>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Housing</w:t>
            </w:r>
          </w:p>
        </w:tc>
        <w:tc>
          <w:tcPr>
            <w:tcW w:w="4248" w:type="dxa"/>
            <w:vAlign w:val="center"/>
          </w:tcPr>
          <w:p w14:paraId="38E5B0A8" w14:textId="77777777" w:rsidR="00F00E3D" w:rsidRPr="00882C39" w:rsidRDefault="00F00E3D" w:rsidP="00551278">
            <w:pPr>
              <w:spacing w:line="36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 xml:space="preserve">Housing </w:t>
            </w:r>
          </w:p>
        </w:tc>
        <w:tc>
          <w:tcPr>
            <w:tcW w:w="885" w:type="dxa"/>
            <w:vAlign w:val="center"/>
          </w:tcPr>
          <w:p w14:paraId="5EB6F0A6" w14:textId="77777777" w:rsidR="00F00E3D" w:rsidRPr="00882C39" w:rsidRDefault="00F00E3D" w:rsidP="00551278">
            <w:pPr>
              <w:spacing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sz w:val="20"/>
                <w:szCs w:val="20"/>
                <w:lang w:eastAsia="en-GB"/>
              </w:rPr>
              <w:t>4</w:t>
            </w:r>
          </w:p>
        </w:tc>
        <w:tc>
          <w:tcPr>
            <w:tcW w:w="885" w:type="dxa"/>
            <w:vMerge w:val="restart"/>
            <w:vAlign w:val="center"/>
          </w:tcPr>
          <w:p w14:paraId="2B3B056B" w14:textId="77777777" w:rsidR="00F00E3D" w:rsidRPr="00882C39" w:rsidRDefault="00F00E3D" w:rsidP="00551278">
            <w:pPr>
              <w:spacing w:line="240" w:lineRule="auto"/>
              <w:contextualSpacing/>
              <w:jc w:val="center"/>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7</w:t>
            </w:r>
          </w:p>
        </w:tc>
      </w:tr>
      <w:tr w:rsidR="00F00E3D" w:rsidRPr="00882C39" w14:paraId="4DD0AD73" w14:textId="77777777" w:rsidTr="701B9583">
        <w:trPr>
          <w:trHeight w:val="270"/>
        </w:trPr>
        <w:tc>
          <w:tcPr>
            <w:tcW w:w="1155" w:type="dxa"/>
            <w:vMerge/>
          </w:tcPr>
          <w:p w14:paraId="7CAD451F" w14:textId="77777777" w:rsidR="00F00E3D" w:rsidRPr="00882C39" w:rsidRDefault="00F00E3D" w:rsidP="00551278">
            <w:pPr>
              <w:spacing w:line="240" w:lineRule="auto"/>
              <w:contextualSpacing/>
              <w:rPr>
                <w:rFonts w:eastAsia="Times New Roman" w:cstheme="minorHAnsi"/>
                <w:color w:val="000000"/>
                <w:lang w:eastAsia="en-GB"/>
              </w:rPr>
            </w:pPr>
          </w:p>
        </w:tc>
        <w:tc>
          <w:tcPr>
            <w:tcW w:w="2384" w:type="dxa"/>
            <w:vMerge/>
          </w:tcPr>
          <w:p w14:paraId="1E41C022" w14:textId="77777777" w:rsidR="00F00E3D" w:rsidRPr="00882C39" w:rsidRDefault="00F00E3D" w:rsidP="00551278">
            <w:pPr>
              <w:spacing w:line="240" w:lineRule="auto"/>
              <w:contextualSpacing/>
              <w:rPr>
                <w:rFonts w:asciiTheme="majorHAnsi" w:eastAsia="Times New Roman" w:hAnsiTheme="majorHAnsi" w:cstheme="majorHAnsi"/>
                <w:color w:val="000000"/>
                <w:sz w:val="20"/>
                <w:szCs w:val="20"/>
                <w:lang w:eastAsia="en-GB"/>
              </w:rPr>
            </w:pPr>
          </w:p>
        </w:tc>
        <w:tc>
          <w:tcPr>
            <w:tcW w:w="4248" w:type="dxa"/>
            <w:vAlign w:val="center"/>
          </w:tcPr>
          <w:p w14:paraId="5B749438" w14:textId="77777777" w:rsidR="00F00E3D" w:rsidRPr="00882C39" w:rsidRDefault="00F00E3D" w:rsidP="00551278">
            <w:pPr>
              <w:spacing w:line="36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Housing (access to Affordable Housing)</w:t>
            </w:r>
          </w:p>
        </w:tc>
        <w:tc>
          <w:tcPr>
            <w:tcW w:w="885" w:type="dxa"/>
            <w:vAlign w:val="center"/>
          </w:tcPr>
          <w:p w14:paraId="22670735" w14:textId="77777777" w:rsidR="00F00E3D" w:rsidRPr="00882C39" w:rsidRDefault="00F00E3D" w:rsidP="00551278">
            <w:pPr>
              <w:spacing w:line="24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3</w:t>
            </w:r>
          </w:p>
        </w:tc>
        <w:tc>
          <w:tcPr>
            <w:tcW w:w="885" w:type="dxa"/>
            <w:vMerge/>
            <w:vAlign w:val="center"/>
          </w:tcPr>
          <w:p w14:paraId="658C2E14" w14:textId="77777777" w:rsidR="00F00E3D" w:rsidRPr="00882C39" w:rsidRDefault="00F00E3D" w:rsidP="00551278">
            <w:pPr>
              <w:spacing w:line="240" w:lineRule="auto"/>
              <w:contextualSpacing/>
              <w:jc w:val="center"/>
              <w:rPr>
                <w:rFonts w:asciiTheme="majorHAnsi" w:eastAsia="Times New Roman" w:hAnsiTheme="majorHAnsi" w:cstheme="majorHAnsi"/>
                <w:color w:val="000000"/>
                <w:sz w:val="20"/>
                <w:szCs w:val="20"/>
                <w:lang w:eastAsia="en-GB"/>
              </w:rPr>
            </w:pPr>
          </w:p>
        </w:tc>
      </w:tr>
      <w:tr w:rsidR="00F00E3D" w:rsidRPr="00882C39" w14:paraId="3881D17A" w14:textId="77777777" w:rsidTr="701B9583">
        <w:trPr>
          <w:trHeight w:val="270"/>
        </w:trPr>
        <w:tc>
          <w:tcPr>
            <w:tcW w:w="1155" w:type="dxa"/>
            <w:vMerge/>
          </w:tcPr>
          <w:p w14:paraId="599AFC1A" w14:textId="77777777" w:rsidR="00F00E3D" w:rsidRPr="00882C39" w:rsidRDefault="00F00E3D" w:rsidP="00551278">
            <w:pPr>
              <w:spacing w:line="240" w:lineRule="auto"/>
              <w:contextualSpacing/>
              <w:rPr>
                <w:rFonts w:eastAsia="Times New Roman" w:cstheme="minorHAnsi"/>
                <w:color w:val="000000"/>
                <w:lang w:eastAsia="en-GB"/>
              </w:rPr>
            </w:pPr>
          </w:p>
        </w:tc>
        <w:tc>
          <w:tcPr>
            <w:tcW w:w="2384" w:type="dxa"/>
            <w:vMerge w:val="restart"/>
            <w:vAlign w:val="center"/>
          </w:tcPr>
          <w:p w14:paraId="29C65DCB" w14:textId="77777777" w:rsidR="00F00E3D" w:rsidRDefault="00F00E3D" w:rsidP="00551278">
            <w:pPr>
              <w:spacing w:line="24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 xml:space="preserve">Social </w:t>
            </w:r>
            <w:r>
              <w:rPr>
                <w:rFonts w:asciiTheme="majorHAnsi" w:eastAsia="Times New Roman" w:hAnsiTheme="majorHAnsi" w:cstheme="majorHAnsi"/>
                <w:color w:val="000000"/>
                <w:sz w:val="20"/>
                <w:szCs w:val="20"/>
                <w:lang w:eastAsia="en-GB"/>
              </w:rPr>
              <w:t>N</w:t>
            </w:r>
            <w:r w:rsidRPr="00882C39">
              <w:rPr>
                <w:rFonts w:asciiTheme="majorHAnsi" w:eastAsia="Times New Roman" w:hAnsiTheme="majorHAnsi" w:cstheme="majorHAnsi"/>
                <w:color w:val="000000"/>
                <w:sz w:val="20"/>
                <w:szCs w:val="20"/>
                <w:lang w:eastAsia="en-GB"/>
              </w:rPr>
              <w:t>etworks,</w:t>
            </w:r>
          </w:p>
          <w:p w14:paraId="3A090140" w14:textId="6DAB995E" w:rsidR="00F00E3D" w:rsidRPr="00882C39" w:rsidRDefault="00F00E3D" w:rsidP="00551278">
            <w:pPr>
              <w:spacing w:line="240" w:lineRule="auto"/>
              <w:contextualSpacing/>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S</w:t>
            </w:r>
            <w:r w:rsidRPr="00882C39">
              <w:rPr>
                <w:rFonts w:asciiTheme="majorHAnsi" w:eastAsia="Times New Roman" w:hAnsiTheme="majorHAnsi" w:cstheme="majorHAnsi"/>
                <w:color w:val="000000"/>
                <w:sz w:val="20"/>
                <w:szCs w:val="20"/>
                <w:lang w:eastAsia="en-GB"/>
              </w:rPr>
              <w:t>upport</w:t>
            </w:r>
            <w:r>
              <w:rPr>
                <w:rFonts w:asciiTheme="majorHAnsi" w:eastAsia="Times New Roman" w:hAnsiTheme="majorHAnsi" w:cstheme="majorHAnsi"/>
                <w:color w:val="000000"/>
                <w:sz w:val="20"/>
                <w:szCs w:val="20"/>
                <w:lang w:eastAsia="en-GB"/>
              </w:rPr>
              <w:t xml:space="preserve"> </w:t>
            </w:r>
            <w:r w:rsidR="003B7072">
              <w:rPr>
                <w:rFonts w:asciiTheme="majorHAnsi" w:eastAsia="Times New Roman" w:hAnsiTheme="majorHAnsi" w:cstheme="majorHAnsi"/>
                <w:color w:val="000000"/>
                <w:sz w:val="20"/>
                <w:szCs w:val="20"/>
                <w:lang w:eastAsia="en-GB"/>
              </w:rPr>
              <w:t>and</w:t>
            </w:r>
            <w:r w:rsidRPr="00882C39">
              <w:rPr>
                <w:rFonts w:asciiTheme="majorHAnsi" w:eastAsia="Times New Roman" w:hAnsiTheme="majorHAnsi" w:cstheme="majorHAnsi"/>
                <w:color w:val="000000"/>
                <w:sz w:val="20"/>
                <w:szCs w:val="20"/>
                <w:lang w:eastAsia="en-GB"/>
              </w:rPr>
              <w:t xml:space="preserve"> </w:t>
            </w:r>
            <w:r>
              <w:rPr>
                <w:rFonts w:asciiTheme="majorHAnsi" w:eastAsia="Times New Roman" w:hAnsiTheme="majorHAnsi" w:cstheme="majorHAnsi"/>
                <w:color w:val="000000"/>
                <w:sz w:val="20"/>
                <w:szCs w:val="20"/>
                <w:lang w:eastAsia="en-GB"/>
              </w:rPr>
              <w:t>E</w:t>
            </w:r>
            <w:r w:rsidRPr="00882C39">
              <w:rPr>
                <w:rFonts w:asciiTheme="majorHAnsi" w:eastAsia="Times New Roman" w:hAnsiTheme="majorHAnsi" w:cstheme="majorHAnsi"/>
                <w:color w:val="000000"/>
                <w:sz w:val="20"/>
                <w:szCs w:val="20"/>
                <w:lang w:eastAsia="en-GB"/>
              </w:rPr>
              <w:t>xclusion</w:t>
            </w:r>
          </w:p>
        </w:tc>
        <w:tc>
          <w:tcPr>
            <w:tcW w:w="4248" w:type="dxa"/>
            <w:vAlign w:val="center"/>
          </w:tcPr>
          <w:p w14:paraId="0681B930" w14:textId="77777777" w:rsidR="00F00E3D" w:rsidRPr="00882C39" w:rsidRDefault="00F00E3D" w:rsidP="00551278">
            <w:pPr>
              <w:spacing w:line="36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Social Capital</w:t>
            </w:r>
          </w:p>
        </w:tc>
        <w:tc>
          <w:tcPr>
            <w:tcW w:w="885" w:type="dxa"/>
            <w:vAlign w:val="center"/>
          </w:tcPr>
          <w:p w14:paraId="39AA1E1C" w14:textId="77777777" w:rsidR="00F00E3D" w:rsidRPr="00882C39" w:rsidRDefault="00F00E3D" w:rsidP="00551278">
            <w:pPr>
              <w:spacing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color w:val="000000"/>
                <w:sz w:val="20"/>
                <w:szCs w:val="20"/>
                <w:lang w:eastAsia="en-GB"/>
              </w:rPr>
              <w:t>1</w:t>
            </w:r>
          </w:p>
        </w:tc>
        <w:tc>
          <w:tcPr>
            <w:tcW w:w="885" w:type="dxa"/>
            <w:vMerge w:val="restart"/>
            <w:vAlign w:val="center"/>
          </w:tcPr>
          <w:p w14:paraId="4E51F070" w14:textId="77777777" w:rsidR="00F00E3D" w:rsidRPr="00882C39" w:rsidRDefault="00F00E3D" w:rsidP="00551278">
            <w:pPr>
              <w:spacing w:line="240" w:lineRule="auto"/>
              <w:contextualSpacing/>
              <w:jc w:val="center"/>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2</w:t>
            </w:r>
          </w:p>
        </w:tc>
      </w:tr>
      <w:tr w:rsidR="00F00E3D" w:rsidRPr="00882C39" w14:paraId="648EC544" w14:textId="77777777" w:rsidTr="701B9583">
        <w:trPr>
          <w:trHeight w:val="377"/>
        </w:trPr>
        <w:tc>
          <w:tcPr>
            <w:tcW w:w="1155" w:type="dxa"/>
            <w:vMerge/>
          </w:tcPr>
          <w:p w14:paraId="674E1886" w14:textId="77777777" w:rsidR="00F00E3D" w:rsidRPr="00882C39" w:rsidRDefault="00F00E3D" w:rsidP="00551278">
            <w:pPr>
              <w:spacing w:line="240" w:lineRule="auto"/>
              <w:contextualSpacing/>
              <w:rPr>
                <w:rFonts w:eastAsia="Times New Roman" w:cstheme="minorHAnsi"/>
                <w:color w:val="000000"/>
                <w:lang w:eastAsia="en-GB"/>
              </w:rPr>
            </w:pPr>
          </w:p>
        </w:tc>
        <w:tc>
          <w:tcPr>
            <w:tcW w:w="2384" w:type="dxa"/>
            <w:vMerge/>
          </w:tcPr>
          <w:p w14:paraId="3A0FB967" w14:textId="77777777" w:rsidR="00F00E3D" w:rsidRPr="00882C39" w:rsidRDefault="00F00E3D" w:rsidP="00551278">
            <w:pPr>
              <w:spacing w:line="240" w:lineRule="auto"/>
              <w:contextualSpacing/>
              <w:rPr>
                <w:rFonts w:asciiTheme="majorHAnsi" w:eastAsia="Times New Roman" w:hAnsiTheme="majorHAnsi" w:cstheme="majorHAnsi"/>
                <w:color w:val="000000"/>
                <w:sz w:val="20"/>
                <w:szCs w:val="20"/>
                <w:lang w:eastAsia="en-GB"/>
              </w:rPr>
            </w:pPr>
          </w:p>
        </w:tc>
        <w:tc>
          <w:tcPr>
            <w:tcW w:w="4248" w:type="dxa"/>
            <w:vAlign w:val="center"/>
          </w:tcPr>
          <w:p w14:paraId="08486D67" w14:textId="77777777" w:rsidR="00F00E3D" w:rsidRPr="00882C39" w:rsidRDefault="00F00E3D" w:rsidP="00551278">
            <w:pPr>
              <w:spacing w:line="36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Social Engagement</w:t>
            </w:r>
          </w:p>
        </w:tc>
        <w:tc>
          <w:tcPr>
            <w:tcW w:w="885" w:type="dxa"/>
            <w:vAlign w:val="center"/>
          </w:tcPr>
          <w:p w14:paraId="5D99B8BF" w14:textId="77777777" w:rsidR="00F00E3D" w:rsidRPr="00882C39" w:rsidRDefault="00F00E3D" w:rsidP="00551278">
            <w:pPr>
              <w:spacing w:line="24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1</w:t>
            </w:r>
          </w:p>
        </w:tc>
        <w:tc>
          <w:tcPr>
            <w:tcW w:w="885" w:type="dxa"/>
            <w:vMerge/>
            <w:vAlign w:val="center"/>
          </w:tcPr>
          <w:p w14:paraId="6D51574B" w14:textId="77777777" w:rsidR="00F00E3D" w:rsidRPr="00882C39" w:rsidRDefault="00F00E3D" w:rsidP="00551278">
            <w:pPr>
              <w:spacing w:line="240" w:lineRule="auto"/>
              <w:contextualSpacing/>
              <w:jc w:val="center"/>
              <w:rPr>
                <w:rFonts w:asciiTheme="majorHAnsi" w:eastAsia="Times New Roman" w:hAnsiTheme="majorHAnsi" w:cstheme="majorHAnsi"/>
                <w:color w:val="000000"/>
                <w:sz w:val="20"/>
                <w:szCs w:val="20"/>
                <w:lang w:eastAsia="en-GB"/>
              </w:rPr>
            </w:pPr>
          </w:p>
        </w:tc>
      </w:tr>
      <w:tr w:rsidR="00F00E3D" w:rsidRPr="00882C39" w14:paraId="5908B6D7" w14:textId="77777777" w:rsidTr="701B9583">
        <w:trPr>
          <w:trHeight w:val="403"/>
        </w:trPr>
        <w:tc>
          <w:tcPr>
            <w:tcW w:w="1155" w:type="dxa"/>
            <w:vMerge/>
          </w:tcPr>
          <w:p w14:paraId="5432A6A1" w14:textId="77777777" w:rsidR="00F00E3D" w:rsidRPr="00882C39" w:rsidRDefault="00F00E3D" w:rsidP="00551278">
            <w:pPr>
              <w:spacing w:line="240" w:lineRule="auto"/>
              <w:contextualSpacing/>
              <w:rPr>
                <w:rFonts w:eastAsia="Times New Roman" w:cstheme="minorHAnsi"/>
                <w:color w:val="000000"/>
                <w:lang w:eastAsia="en-GB"/>
              </w:rPr>
            </w:pPr>
          </w:p>
        </w:tc>
        <w:tc>
          <w:tcPr>
            <w:tcW w:w="2384" w:type="dxa"/>
            <w:vAlign w:val="center"/>
          </w:tcPr>
          <w:p w14:paraId="362F6207" w14:textId="77777777" w:rsidR="00F00E3D" w:rsidRPr="00882C39" w:rsidRDefault="00F00E3D" w:rsidP="00551278">
            <w:pPr>
              <w:spacing w:line="240" w:lineRule="auto"/>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Socio-demographics</w:t>
            </w:r>
          </w:p>
        </w:tc>
        <w:tc>
          <w:tcPr>
            <w:tcW w:w="4248" w:type="dxa"/>
            <w:vAlign w:val="center"/>
          </w:tcPr>
          <w:p w14:paraId="52D083D4" w14:textId="77777777" w:rsidR="00F00E3D" w:rsidRPr="00882C39" w:rsidRDefault="00F00E3D" w:rsidP="00551278">
            <w:pPr>
              <w:spacing w:line="36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Demographics</w:t>
            </w:r>
          </w:p>
        </w:tc>
        <w:tc>
          <w:tcPr>
            <w:tcW w:w="885" w:type="dxa"/>
            <w:vAlign w:val="center"/>
          </w:tcPr>
          <w:p w14:paraId="245E3B54" w14:textId="77777777" w:rsidR="00F00E3D" w:rsidRPr="00882C39" w:rsidRDefault="00F00E3D" w:rsidP="00551278">
            <w:pPr>
              <w:spacing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color w:val="000000"/>
                <w:sz w:val="20"/>
                <w:szCs w:val="20"/>
                <w:lang w:eastAsia="en-GB"/>
              </w:rPr>
              <w:t>1</w:t>
            </w:r>
          </w:p>
        </w:tc>
        <w:tc>
          <w:tcPr>
            <w:tcW w:w="885" w:type="dxa"/>
            <w:vAlign w:val="center"/>
          </w:tcPr>
          <w:p w14:paraId="4E16BACA" w14:textId="77777777" w:rsidR="00F00E3D" w:rsidRPr="00882C39" w:rsidRDefault="00F00E3D" w:rsidP="00551278">
            <w:pPr>
              <w:spacing w:line="240" w:lineRule="auto"/>
              <w:contextualSpacing/>
              <w:jc w:val="center"/>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1</w:t>
            </w:r>
          </w:p>
        </w:tc>
      </w:tr>
      <w:tr w:rsidR="00F00E3D" w:rsidRPr="00882C39" w14:paraId="7B5BF265" w14:textId="77777777" w:rsidTr="701B9583">
        <w:trPr>
          <w:trHeight w:val="270"/>
        </w:trPr>
        <w:tc>
          <w:tcPr>
            <w:tcW w:w="1155" w:type="dxa"/>
            <w:vMerge/>
          </w:tcPr>
          <w:p w14:paraId="3E5B3FAE" w14:textId="77777777" w:rsidR="00F00E3D" w:rsidRPr="00882C39" w:rsidRDefault="00F00E3D" w:rsidP="00551278">
            <w:pPr>
              <w:spacing w:line="240" w:lineRule="auto"/>
              <w:contextualSpacing/>
              <w:rPr>
                <w:rFonts w:eastAsia="Times New Roman" w:cstheme="minorHAnsi"/>
                <w:color w:val="000000"/>
                <w:lang w:eastAsia="en-GB"/>
              </w:rPr>
            </w:pPr>
          </w:p>
        </w:tc>
        <w:tc>
          <w:tcPr>
            <w:tcW w:w="2384" w:type="dxa"/>
            <w:vMerge w:val="restart"/>
            <w:vAlign w:val="center"/>
          </w:tcPr>
          <w:p w14:paraId="4DA6CD6D" w14:textId="77777777" w:rsidR="00F00E3D" w:rsidRPr="00882C39" w:rsidRDefault="00F00E3D" w:rsidP="00551278">
            <w:pPr>
              <w:spacing w:line="240" w:lineRule="auto"/>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 xml:space="preserve">Socioeconomic </w:t>
            </w:r>
            <w:r>
              <w:rPr>
                <w:rFonts w:asciiTheme="majorHAnsi" w:eastAsia="Times New Roman" w:hAnsiTheme="majorHAnsi" w:cstheme="majorHAnsi"/>
                <w:color w:val="000000"/>
                <w:sz w:val="20"/>
                <w:szCs w:val="20"/>
                <w:lang w:eastAsia="en-GB"/>
              </w:rPr>
              <w:t>P</w:t>
            </w:r>
            <w:r w:rsidRPr="00882C39">
              <w:rPr>
                <w:rFonts w:asciiTheme="majorHAnsi" w:eastAsia="Times New Roman" w:hAnsiTheme="majorHAnsi" w:cstheme="majorHAnsi"/>
                <w:color w:val="000000"/>
                <w:sz w:val="20"/>
                <w:szCs w:val="20"/>
                <w:lang w:eastAsia="en-GB"/>
              </w:rPr>
              <w:t>osition</w:t>
            </w:r>
          </w:p>
        </w:tc>
        <w:tc>
          <w:tcPr>
            <w:tcW w:w="4248" w:type="dxa"/>
            <w:vAlign w:val="center"/>
          </w:tcPr>
          <w:p w14:paraId="1323B8ED" w14:textId="77777777" w:rsidR="00F00E3D" w:rsidRPr="00882C39" w:rsidRDefault="00F00E3D" w:rsidP="00551278">
            <w:pPr>
              <w:spacing w:line="36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Education Level</w:t>
            </w:r>
          </w:p>
        </w:tc>
        <w:tc>
          <w:tcPr>
            <w:tcW w:w="885" w:type="dxa"/>
            <w:vAlign w:val="center"/>
          </w:tcPr>
          <w:p w14:paraId="5C7A05E8" w14:textId="77777777" w:rsidR="00F00E3D" w:rsidRPr="00882C39" w:rsidRDefault="00F00E3D" w:rsidP="00551278">
            <w:pPr>
              <w:spacing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sz w:val="20"/>
                <w:szCs w:val="20"/>
                <w:lang w:eastAsia="en-GB"/>
              </w:rPr>
              <w:t>2</w:t>
            </w:r>
          </w:p>
        </w:tc>
        <w:tc>
          <w:tcPr>
            <w:tcW w:w="885" w:type="dxa"/>
            <w:vMerge w:val="restart"/>
            <w:vAlign w:val="center"/>
          </w:tcPr>
          <w:p w14:paraId="50417CC2" w14:textId="77777777" w:rsidR="00F00E3D" w:rsidRPr="00882C39" w:rsidRDefault="00F00E3D" w:rsidP="00551278">
            <w:pPr>
              <w:spacing w:line="240" w:lineRule="auto"/>
              <w:contextualSpacing/>
              <w:jc w:val="center"/>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5</w:t>
            </w:r>
          </w:p>
        </w:tc>
      </w:tr>
      <w:tr w:rsidR="00F00E3D" w:rsidRPr="00882C39" w14:paraId="0ADEA354" w14:textId="77777777" w:rsidTr="701B9583">
        <w:trPr>
          <w:trHeight w:val="261"/>
        </w:trPr>
        <w:tc>
          <w:tcPr>
            <w:tcW w:w="1155" w:type="dxa"/>
            <w:vMerge/>
          </w:tcPr>
          <w:p w14:paraId="116EF751" w14:textId="77777777" w:rsidR="00F00E3D" w:rsidRPr="00882C39" w:rsidRDefault="00F00E3D" w:rsidP="00551278">
            <w:pPr>
              <w:spacing w:line="240" w:lineRule="auto"/>
              <w:contextualSpacing/>
              <w:rPr>
                <w:rFonts w:eastAsia="Times New Roman" w:cstheme="minorHAnsi"/>
                <w:color w:val="000000"/>
                <w:lang w:eastAsia="en-GB"/>
              </w:rPr>
            </w:pPr>
          </w:p>
        </w:tc>
        <w:tc>
          <w:tcPr>
            <w:tcW w:w="2384" w:type="dxa"/>
            <w:vMerge/>
          </w:tcPr>
          <w:p w14:paraId="6912A42F" w14:textId="77777777" w:rsidR="00F00E3D" w:rsidRPr="00882C39" w:rsidRDefault="00F00E3D" w:rsidP="00551278">
            <w:pPr>
              <w:spacing w:line="240" w:lineRule="auto"/>
              <w:contextualSpacing/>
              <w:rPr>
                <w:rFonts w:asciiTheme="majorHAnsi" w:eastAsia="Times New Roman" w:hAnsiTheme="majorHAnsi" w:cstheme="majorHAnsi"/>
                <w:color w:val="000000"/>
                <w:sz w:val="20"/>
                <w:szCs w:val="20"/>
                <w:lang w:eastAsia="en-GB"/>
              </w:rPr>
            </w:pPr>
          </w:p>
        </w:tc>
        <w:tc>
          <w:tcPr>
            <w:tcW w:w="4248" w:type="dxa"/>
            <w:vAlign w:val="center"/>
          </w:tcPr>
          <w:p w14:paraId="0B317D0A" w14:textId="77777777" w:rsidR="00F00E3D" w:rsidRPr="00882C39" w:rsidRDefault="00F00E3D" w:rsidP="00551278">
            <w:pPr>
              <w:spacing w:line="36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Income (including Poverty)</w:t>
            </w:r>
          </w:p>
        </w:tc>
        <w:tc>
          <w:tcPr>
            <w:tcW w:w="885" w:type="dxa"/>
            <w:vAlign w:val="center"/>
          </w:tcPr>
          <w:p w14:paraId="04969392" w14:textId="77777777" w:rsidR="00F00E3D" w:rsidRPr="00882C39" w:rsidRDefault="00F00E3D" w:rsidP="00551278">
            <w:pPr>
              <w:spacing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sz w:val="20"/>
                <w:szCs w:val="20"/>
                <w:lang w:eastAsia="en-GB"/>
              </w:rPr>
              <w:t>1</w:t>
            </w:r>
          </w:p>
        </w:tc>
        <w:tc>
          <w:tcPr>
            <w:tcW w:w="885" w:type="dxa"/>
            <w:vMerge/>
            <w:vAlign w:val="center"/>
          </w:tcPr>
          <w:p w14:paraId="1FA7FE97" w14:textId="77777777" w:rsidR="00F00E3D" w:rsidRPr="00882C39" w:rsidRDefault="00F00E3D" w:rsidP="00551278">
            <w:pPr>
              <w:spacing w:line="240" w:lineRule="auto"/>
              <w:contextualSpacing/>
              <w:jc w:val="center"/>
              <w:rPr>
                <w:rFonts w:asciiTheme="majorHAnsi" w:eastAsia="Times New Roman" w:hAnsiTheme="majorHAnsi" w:cstheme="majorHAnsi"/>
                <w:color w:val="000000"/>
                <w:sz w:val="20"/>
                <w:szCs w:val="20"/>
                <w:lang w:eastAsia="en-GB"/>
              </w:rPr>
            </w:pPr>
          </w:p>
        </w:tc>
      </w:tr>
      <w:tr w:rsidR="00F00E3D" w:rsidRPr="00882C39" w14:paraId="34D83D15" w14:textId="77777777" w:rsidTr="701B9583">
        <w:trPr>
          <w:trHeight w:val="280"/>
        </w:trPr>
        <w:tc>
          <w:tcPr>
            <w:tcW w:w="1155" w:type="dxa"/>
            <w:vMerge/>
          </w:tcPr>
          <w:p w14:paraId="1A2C7109" w14:textId="77777777" w:rsidR="00F00E3D" w:rsidRPr="00882C39" w:rsidRDefault="00F00E3D" w:rsidP="00551278">
            <w:pPr>
              <w:spacing w:line="240" w:lineRule="auto"/>
              <w:contextualSpacing/>
              <w:rPr>
                <w:rFonts w:eastAsia="Times New Roman" w:cstheme="minorHAnsi"/>
                <w:color w:val="000000"/>
                <w:lang w:eastAsia="en-GB"/>
              </w:rPr>
            </w:pPr>
          </w:p>
        </w:tc>
        <w:tc>
          <w:tcPr>
            <w:tcW w:w="2384" w:type="dxa"/>
            <w:vMerge/>
          </w:tcPr>
          <w:p w14:paraId="35F91D7E" w14:textId="77777777" w:rsidR="00F00E3D" w:rsidRPr="00882C39" w:rsidRDefault="00F00E3D" w:rsidP="00551278">
            <w:pPr>
              <w:spacing w:line="240" w:lineRule="auto"/>
              <w:contextualSpacing/>
              <w:rPr>
                <w:rFonts w:asciiTheme="majorHAnsi" w:eastAsia="Times New Roman" w:hAnsiTheme="majorHAnsi" w:cstheme="majorHAnsi"/>
                <w:color w:val="000000"/>
                <w:sz w:val="20"/>
                <w:szCs w:val="20"/>
                <w:lang w:eastAsia="en-GB"/>
              </w:rPr>
            </w:pPr>
          </w:p>
        </w:tc>
        <w:tc>
          <w:tcPr>
            <w:tcW w:w="4248" w:type="dxa"/>
            <w:vAlign w:val="center"/>
          </w:tcPr>
          <w:p w14:paraId="30ED3F98" w14:textId="77777777" w:rsidR="00F00E3D" w:rsidRPr="00882C39" w:rsidRDefault="00F00E3D" w:rsidP="00551278">
            <w:pPr>
              <w:spacing w:line="36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Intergenerational Transmission of Disadvantage</w:t>
            </w:r>
          </w:p>
        </w:tc>
        <w:tc>
          <w:tcPr>
            <w:tcW w:w="885" w:type="dxa"/>
            <w:vAlign w:val="center"/>
          </w:tcPr>
          <w:p w14:paraId="18AD7560" w14:textId="77777777" w:rsidR="00F00E3D" w:rsidRPr="00882C39" w:rsidRDefault="00F00E3D" w:rsidP="00551278">
            <w:pPr>
              <w:spacing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sz w:val="20"/>
                <w:szCs w:val="20"/>
                <w:lang w:eastAsia="en-GB"/>
              </w:rPr>
              <w:t>1</w:t>
            </w:r>
          </w:p>
        </w:tc>
        <w:tc>
          <w:tcPr>
            <w:tcW w:w="885" w:type="dxa"/>
            <w:vMerge/>
            <w:vAlign w:val="center"/>
          </w:tcPr>
          <w:p w14:paraId="517C9E78" w14:textId="77777777" w:rsidR="00F00E3D" w:rsidRPr="00882C39" w:rsidRDefault="00F00E3D" w:rsidP="00551278">
            <w:pPr>
              <w:spacing w:line="240" w:lineRule="auto"/>
              <w:contextualSpacing/>
              <w:jc w:val="center"/>
              <w:rPr>
                <w:rFonts w:asciiTheme="majorHAnsi" w:eastAsia="Times New Roman" w:hAnsiTheme="majorHAnsi" w:cstheme="majorHAnsi"/>
                <w:color w:val="000000"/>
                <w:sz w:val="20"/>
                <w:szCs w:val="20"/>
                <w:lang w:eastAsia="en-GB"/>
              </w:rPr>
            </w:pPr>
          </w:p>
        </w:tc>
      </w:tr>
      <w:tr w:rsidR="00F00E3D" w:rsidRPr="00882C39" w14:paraId="4A3B5D44" w14:textId="77777777" w:rsidTr="701B9583">
        <w:trPr>
          <w:trHeight w:val="270"/>
        </w:trPr>
        <w:tc>
          <w:tcPr>
            <w:tcW w:w="1155" w:type="dxa"/>
            <w:vMerge/>
          </w:tcPr>
          <w:p w14:paraId="66AC2026" w14:textId="77777777" w:rsidR="00F00E3D" w:rsidRPr="00882C39" w:rsidRDefault="00F00E3D" w:rsidP="00551278">
            <w:pPr>
              <w:spacing w:line="240" w:lineRule="auto"/>
              <w:contextualSpacing/>
              <w:rPr>
                <w:rFonts w:eastAsia="Times New Roman" w:cstheme="minorHAnsi"/>
                <w:color w:val="000000"/>
                <w:lang w:eastAsia="en-GB"/>
              </w:rPr>
            </w:pPr>
          </w:p>
        </w:tc>
        <w:tc>
          <w:tcPr>
            <w:tcW w:w="2384" w:type="dxa"/>
            <w:vMerge/>
          </w:tcPr>
          <w:p w14:paraId="745A439E" w14:textId="77777777" w:rsidR="00F00E3D" w:rsidRPr="00882C39" w:rsidRDefault="00F00E3D" w:rsidP="00551278">
            <w:pPr>
              <w:spacing w:line="240" w:lineRule="auto"/>
              <w:contextualSpacing/>
              <w:rPr>
                <w:rFonts w:asciiTheme="majorHAnsi" w:eastAsia="Times New Roman" w:hAnsiTheme="majorHAnsi" w:cstheme="majorHAnsi"/>
                <w:color w:val="000000"/>
                <w:sz w:val="20"/>
                <w:szCs w:val="20"/>
                <w:lang w:eastAsia="en-GB"/>
              </w:rPr>
            </w:pPr>
          </w:p>
        </w:tc>
        <w:tc>
          <w:tcPr>
            <w:tcW w:w="4248" w:type="dxa"/>
            <w:vAlign w:val="center"/>
          </w:tcPr>
          <w:p w14:paraId="45E1013B" w14:textId="77777777" w:rsidR="00F00E3D" w:rsidRPr="00882C39" w:rsidRDefault="00F00E3D" w:rsidP="00551278">
            <w:pPr>
              <w:spacing w:line="36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Residential Mobility</w:t>
            </w:r>
          </w:p>
        </w:tc>
        <w:tc>
          <w:tcPr>
            <w:tcW w:w="885" w:type="dxa"/>
            <w:vAlign w:val="center"/>
          </w:tcPr>
          <w:p w14:paraId="63F8FF96" w14:textId="77777777" w:rsidR="00F00E3D" w:rsidRPr="00882C39" w:rsidRDefault="00F00E3D" w:rsidP="00551278">
            <w:pPr>
              <w:spacing w:line="240" w:lineRule="auto"/>
              <w:contextualSpacing/>
              <w:rPr>
                <w:rFonts w:asciiTheme="majorHAnsi" w:eastAsia="Times New Roman" w:hAnsiTheme="majorHAnsi" w:cstheme="majorHAnsi"/>
                <w:sz w:val="20"/>
                <w:szCs w:val="20"/>
                <w:lang w:eastAsia="en-GB"/>
              </w:rPr>
            </w:pPr>
            <w:r w:rsidRPr="00882C39">
              <w:rPr>
                <w:rFonts w:asciiTheme="majorHAnsi" w:eastAsia="Times New Roman" w:hAnsiTheme="majorHAnsi" w:cstheme="majorHAnsi"/>
                <w:sz w:val="20"/>
                <w:szCs w:val="20"/>
                <w:lang w:eastAsia="en-GB"/>
              </w:rPr>
              <w:t>1</w:t>
            </w:r>
          </w:p>
        </w:tc>
        <w:tc>
          <w:tcPr>
            <w:tcW w:w="885" w:type="dxa"/>
            <w:vMerge/>
            <w:vAlign w:val="center"/>
          </w:tcPr>
          <w:p w14:paraId="6271FE73" w14:textId="77777777" w:rsidR="00F00E3D" w:rsidRPr="00882C39" w:rsidRDefault="00F00E3D" w:rsidP="00551278">
            <w:pPr>
              <w:spacing w:line="240" w:lineRule="auto"/>
              <w:contextualSpacing/>
              <w:jc w:val="center"/>
              <w:rPr>
                <w:rFonts w:asciiTheme="majorHAnsi" w:eastAsia="Times New Roman" w:hAnsiTheme="majorHAnsi" w:cstheme="majorHAnsi"/>
                <w:color w:val="000000"/>
                <w:sz w:val="20"/>
                <w:szCs w:val="20"/>
                <w:lang w:eastAsia="en-GB"/>
              </w:rPr>
            </w:pPr>
          </w:p>
        </w:tc>
      </w:tr>
      <w:tr w:rsidR="00F00E3D" w:rsidRPr="00882C39" w14:paraId="0F08682B" w14:textId="77777777" w:rsidTr="701B9583">
        <w:trPr>
          <w:trHeight w:val="970"/>
        </w:trPr>
        <w:tc>
          <w:tcPr>
            <w:tcW w:w="1155" w:type="dxa"/>
            <w:textDirection w:val="tbRl"/>
            <w:vAlign w:val="center"/>
          </w:tcPr>
          <w:p w14:paraId="5C38F161" w14:textId="77777777" w:rsidR="00551278" w:rsidRDefault="00F00E3D" w:rsidP="003B7072">
            <w:pPr>
              <w:tabs>
                <w:tab w:val="left" w:pos="1273"/>
              </w:tabs>
              <w:spacing w:after="0" w:line="240" w:lineRule="auto"/>
              <w:contextualSpacing/>
              <w:jc w:val="center"/>
              <w:rPr>
                <w:rFonts w:eastAsia="Times New Roman"/>
                <w:b/>
                <w:color w:val="000000"/>
                <w:lang w:eastAsia="en-GB"/>
              </w:rPr>
            </w:pPr>
            <w:r w:rsidRPr="701B9583">
              <w:rPr>
                <w:rFonts w:eastAsia="Times New Roman"/>
                <w:b/>
                <w:color w:val="000000" w:themeColor="text1"/>
                <w:lang w:eastAsia="en-GB"/>
              </w:rPr>
              <w:t>Urban</w:t>
            </w:r>
          </w:p>
          <w:p w14:paraId="6275CB39" w14:textId="35BF25CF" w:rsidR="00F00E3D" w:rsidRPr="00882C39" w:rsidRDefault="00F00E3D" w:rsidP="003B7072">
            <w:pPr>
              <w:tabs>
                <w:tab w:val="left" w:pos="1273"/>
              </w:tabs>
              <w:spacing w:after="0" w:line="240" w:lineRule="auto"/>
              <w:contextualSpacing/>
              <w:jc w:val="center"/>
              <w:rPr>
                <w:rFonts w:eastAsia="Times New Roman"/>
                <w:b/>
                <w:color w:val="000000"/>
                <w:lang w:eastAsia="en-GB"/>
              </w:rPr>
            </w:pPr>
            <w:r w:rsidRPr="701B9583">
              <w:rPr>
                <w:rFonts w:eastAsia="Times New Roman"/>
                <w:b/>
                <w:color w:val="000000" w:themeColor="text1"/>
                <w:lang w:eastAsia="en-GB"/>
              </w:rPr>
              <w:t>Environ</w:t>
            </w:r>
            <w:r w:rsidR="00551278" w:rsidRPr="701B9583">
              <w:rPr>
                <w:rFonts w:eastAsia="Times New Roman"/>
                <w:b/>
                <w:color w:val="000000" w:themeColor="text1"/>
                <w:lang w:eastAsia="en-GB"/>
              </w:rPr>
              <w:t>-</w:t>
            </w:r>
            <w:proofErr w:type="spellStart"/>
            <w:r w:rsidRPr="701B9583">
              <w:rPr>
                <w:rFonts w:eastAsia="Times New Roman"/>
                <w:b/>
                <w:color w:val="000000" w:themeColor="text1"/>
                <w:lang w:eastAsia="en-GB"/>
              </w:rPr>
              <w:t>ment</w:t>
            </w:r>
            <w:proofErr w:type="spellEnd"/>
          </w:p>
        </w:tc>
        <w:tc>
          <w:tcPr>
            <w:tcW w:w="2384" w:type="dxa"/>
            <w:vAlign w:val="center"/>
          </w:tcPr>
          <w:p w14:paraId="5C023B86" w14:textId="77777777" w:rsidR="00F00E3D" w:rsidRPr="00882C39" w:rsidRDefault="00F00E3D" w:rsidP="003B7072">
            <w:pPr>
              <w:spacing w:after="0" w:line="240" w:lineRule="auto"/>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Housing</w:t>
            </w:r>
          </w:p>
        </w:tc>
        <w:tc>
          <w:tcPr>
            <w:tcW w:w="4248" w:type="dxa"/>
            <w:vAlign w:val="center"/>
          </w:tcPr>
          <w:p w14:paraId="41392ECF" w14:textId="77777777" w:rsidR="00F00E3D" w:rsidRDefault="00F00E3D" w:rsidP="00EE418A">
            <w:pPr>
              <w:spacing w:after="0" w:line="240" w:lineRule="auto"/>
              <w:contextualSpacing/>
              <w:rPr>
                <w:rFonts w:asciiTheme="majorHAnsi" w:eastAsia="Times New Roman" w:hAnsiTheme="majorHAnsi" w:cstheme="majorHAnsi"/>
                <w:color w:val="000000"/>
                <w:sz w:val="20"/>
                <w:szCs w:val="20"/>
                <w:lang w:eastAsia="en-GB"/>
              </w:rPr>
            </w:pPr>
          </w:p>
          <w:p w14:paraId="46967258" w14:textId="680A82DE" w:rsidR="00F00E3D" w:rsidRPr="00AE1F5D" w:rsidRDefault="00F00E3D" w:rsidP="003B7072">
            <w:pPr>
              <w:spacing w:after="0" w:line="24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Housing Quality</w:t>
            </w:r>
          </w:p>
        </w:tc>
        <w:tc>
          <w:tcPr>
            <w:tcW w:w="885" w:type="dxa"/>
            <w:vAlign w:val="center"/>
          </w:tcPr>
          <w:p w14:paraId="14AD7349" w14:textId="77777777" w:rsidR="00F00E3D" w:rsidRPr="00882C39" w:rsidRDefault="00F00E3D" w:rsidP="003B7072">
            <w:pPr>
              <w:spacing w:after="0" w:line="240" w:lineRule="auto"/>
              <w:contextualSpacing/>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1</w:t>
            </w:r>
          </w:p>
        </w:tc>
        <w:tc>
          <w:tcPr>
            <w:tcW w:w="885" w:type="dxa"/>
            <w:vAlign w:val="center"/>
          </w:tcPr>
          <w:p w14:paraId="5D2C7EC6" w14:textId="77777777" w:rsidR="00F00E3D" w:rsidRPr="00882C39" w:rsidRDefault="00F00E3D" w:rsidP="003B7072">
            <w:pPr>
              <w:spacing w:after="0" w:line="240" w:lineRule="auto"/>
              <w:contextualSpacing/>
              <w:jc w:val="center"/>
              <w:rPr>
                <w:rFonts w:asciiTheme="majorHAnsi" w:eastAsia="Times New Roman" w:hAnsiTheme="majorHAnsi" w:cstheme="majorHAnsi"/>
                <w:color w:val="000000"/>
                <w:sz w:val="20"/>
                <w:szCs w:val="20"/>
                <w:lang w:eastAsia="en-GB"/>
              </w:rPr>
            </w:pPr>
            <w:r w:rsidRPr="00882C39">
              <w:rPr>
                <w:rFonts w:asciiTheme="majorHAnsi" w:eastAsia="Times New Roman" w:hAnsiTheme="majorHAnsi" w:cstheme="majorHAnsi"/>
                <w:color w:val="000000"/>
                <w:sz w:val="20"/>
                <w:szCs w:val="20"/>
                <w:lang w:eastAsia="en-GB"/>
              </w:rPr>
              <w:t>1</w:t>
            </w:r>
          </w:p>
        </w:tc>
      </w:tr>
    </w:tbl>
    <w:p w14:paraId="0B4D9336" w14:textId="24F7F9C9" w:rsidR="00193FBE" w:rsidRDefault="00F00E3D">
      <w:pPr>
        <w:spacing w:after="0" w:line="240" w:lineRule="auto"/>
        <w:contextualSpacing/>
        <w:rPr>
          <w:rFonts w:eastAsia="Times New Roman" w:cstheme="minorHAnsi"/>
          <w:b/>
          <w:bCs/>
          <w:sz w:val="20"/>
          <w:szCs w:val="20"/>
          <w:lang w:eastAsia="en-GB"/>
        </w:rPr>
      </w:pPr>
      <w:bookmarkStart w:id="42" w:name="OLE_LINKTable116"/>
      <w:r w:rsidRPr="00DC7420">
        <w:rPr>
          <w:rFonts w:eastAsia="Times New Roman" w:cstheme="minorHAnsi"/>
          <w:b/>
          <w:bCs/>
          <w:sz w:val="20"/>
          <w:szCs w:val="20"/>
          <w:lang w:eastAsia="en-GB"/>
        </w:rPr>
        <w:t xml:space="preserve">Table </w:t>
      </w:r>
      <w:r w:rsidR="00DE4EFA" w:rsidRPr="00DC7420">
        <w:rPr>
          <w:rFonts w:eastAsia="Times New Roman" w:cstheme="minorHAnsi"/>
          <w:b/>
          <w:bCs/>
          <w:sz w:val="20"/>
          <w:szCs w:val="20"/>
          <w:lang w:eastAsia="en-GB"/>
        </w:rPr>
        <w:t>3.10</w:t>
      </w:r>
      <w:r w:rsidR="00DC7420" w:rsidRPr="00DC7420">
        <w:rPr>
          <w:rFonts w:eastAsia="Times New Roman" w:cstheme="minorHAnsi"/>
          <w:b/>
          <w:bCs/>
          <w:sz w:val="20"/>
          <w:szCs w:val="20"/>
          <w:lang w:eastAsia="en-GB"/>
        </w:rPr>
        <w:t>: Employment:</w:t>
      </w:r>
      <w:r w:rsidRPr="00DC7420">
        <w:rPr>
          <w:rFonts w:eastAsia="Times New Roman" w:cstheme="minorHAnsi"/>
          <w:b/>
          <w:bCs/>
          <w:sz w:val="20"/>
          <w:szCs w:val="20"/>
          <w:lang w:eastAsia="en-GB"/>
        </w:rPr>
        <w:t xml:space="preserve"> </w:t>
      </w:r>
      <w:r w:rsidR="003B7072" w:rsidRPr="00DC7420">
        <w:rPr>
          <w:rFonts w:eastAsia="Times New Roman" w:cstheme="minorHAnsi"/>
          <w:b/>
          <w:bCs/>
          <w:sz w:val="20"/>
          <w:szCs w:val="20"/>
          <w:lang w:eastAsia="en-GB"/>
        </w:rPr>
        <w:t>S</w:t>
      </w:r>
      <w:r w:rsidRPr="00DC7420">
        <w:rPr>
          <w:rFonts w:eastAsia="Times New Roman" w:cstheme="minorHAnsi"/>
          <w:b/>
          <w:bCs/>
          <w:sz w:val="20"/>
          <w:szCs w:val="20"/>
          <w:lang w:eastAsia="en-GB"/>
        </w:rPr>
        <w:t>ocial</w:t>
      </w:r>
      <w:r w:rsidR="003B7072" w:rsidRPr="00DC7420">
        <w:rPr>
          <w:rFonts w:eastAsia="Times New Roman" w:cstheme="minorHAnsi"/>
          <w:b/>
          <w:bCs/>
          <w:sz w:val="20"/>
          <w:szCs w:val="20"/>
          <w:lang w:eastAsia="en-GB"/>
        </w:rPr>
        <w:t>, Economic, Health and Urban Environment Determinants</w:t>
      </w:r>
      <w:r w:rsidR="00193FBE">
        <w:rPr>
          <w:rFonts w:eastAsia="Times New Roman" w:cstheme="minorHAnsi"/>
          <w:b/>
          <w:bCs/>
          <w:sz w:val="20"/>
          <w:szCs w:val="20"/>
          <w:lang w:eastAsia="en-GB"/>
        </w:rPr>
        <w:br w:type="page"/>
      </w:r>
    </w:p>
    <w:p w14:paraId="6682401C" w14:textId="46E38286" w:rsidR="00F00E3D" w:rsidRPr="00A229B8" w:rsidRDefault="00F00E3D" w:rsidP="009B2FA7">
      <w:pPr>
        <w:spacing w:after="0" w:line="276" w:lineRule="auto"/>
        <w:contextualSpacing/>
        <w:rPr>
          <w:rFonts w:eastAsia="Times New Roman" w:cstheme="minorHAnsi"/>
          <w:b/>
          <w:bCs/>
          <w:color w:val="2F5496" w:themeColor="accent1" w:themeShade="BF"/>
          <w:sz w:val="25"/>
          <w:szCs w:val="25"/>
          <w:lang w:eastAsia="en-GB"/>
        </w:rPr>
      </w:pPr>
      <w:bookmarkStart w:id="43" w:name="OLE_LINKSECTION324"/>
      <w:bookmarkEnd w:id="42"/>
      <w:r w:rsidRPr="00A229B8">
        <w:rPr>
          <w:rFonts w:eastAsia="Times New Roman" w:cstheme="minorHAnsi"/>
          <w:b/>
          <w:bCs/>
          <w:color w:val="2F5496" w:themeColor="accent1" w:themeShade="BF"/>
          <w:sz w:val="25"/>
          <w:szCs w:val="25"/>
          <w:lang w:eastAsia="en-GB"/>
        </w:rPr>
        <w:lastRenderedPageBreak/>
        <w:t>3.</w:t>
      </w:r>
      <w:r w:rsidR="00B13B75">
        <w:rPr>
          <w:rFonts w:eastAsia="Times New Roman" w:cstheme="minorHAnsi"/>
          <w:b/>
          <w:bCs/>
          <w:color w:val="2F5496" w:themeColor="accent1" w:themeShade="BF"/>
          <w:sz w:val="25"/>
          <w:szCs w:val="25"/>
          <w:lang w:eastAsia="en-GB"/>
        </w:rPr>
        <w:t>3</w:t>
      </w:r>
      <w:r w:rsidRPr="00A229B8">
        <w:rPr>
          <w:rFonts w:eastAsia="Times New Roman" w:cstheme="minorHAnsi"/>
          <w:b/>
          <w:bCs/>
          <w:color w:val="2F5496" w:themeColor="accent1" w:themeShade="BF"/>
          <w:sz w:val="25"/>
          <w:szCs w:val="25"/>
          <w:lang w:eastAsia="en-GB"/>
        </w:rPr>
        <w:t>.4 Interventions Research</w:t>
      </w:r>
    </w:p>
    <w:bookmarkEnd w:id="43"/>
    <w:p w14:paraId="2DE25B4C" w14:textId="77777777" w:rsidR="00F00E3D" w:rsidRPr="004138DB" w:rsidRDefault="00F00E3D" w:rsidP="009B2FA7">
      <w:pPr>
        <w:spacing w:after="0" w:line="276" w:lineRule="auto"/>
        <w:contextualSpacing/>
        <w:rPr>
          <w:rFonts w:asciiTheme="majorHAnsi" w:eastAsia="Times New Roman" w:hAnsiTheme="majorHAnsi" w:cstheme="majorHAnsi"/>
          <w:sz w:val="12"/>
          <w:szCs w:val="12"/>
          <w:lang w:eastAsia="en-GB"/>
        </w:rPr>
      </w:pPr>
    </w:p>
    <w:p w14:paraId="5FD54661" w14:textId="615AE927" w:rsidR="00F00E3D" w:rsidRPr="00BC19B6" w:rsidRDefault="00F00E3D" w:rsidP="009B2FA7">
      <w:pPr>
        <w:spacing w:after="0" w:line="276" w:lineRule="auto"/>
        <w:contextualSpacing/>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 xml:space="preserve">We now </w:t>
      </w:r>
      <w:r w:rsidR="000E3CA9">
        <w:rPr>
          <w:rFonts w:asciiTheme="majorHAnsi" w:eastAsia="Times New Roman" w:hAnsiTheme="majorHAnsi" w:cstheme="majorHAnsi"/>
          <w:sz w:val="23"/>
          <w:szCs w:val="23"/>
          <w:lang w:eastAsia="en-GB"/>
        </w:rPr>
        <w:t>turn to the research</w:t>
      </w:r>
      <w:r w:rsidRPr="00916D09">
        <w:rPr>
          <w:rFonts w:asciiTheme="majorHAnsi" w:eastAsia="Times New Roman" w:hAnsiTheme="majorHAnsi" w:cstheme="majorHAnsi"/>
          <w:sz w:val="23"/>
          <w:szCs w:val="23"/>
          <w:lang w:eastAsia="en-GB"/>
        </w:rPr>
        <w:t xml:space="preserve"> literature </w:t>
      </w:r>
      <w:r w:rsidR="000E3CA9">
        <w:rPr>
          <w:rFonts w:asciiTheme="majorHAnsi" w:eastAsia="Times New Roman" w:hAnsiTheme="majorHAnsi" w:cstheme="majorHAnsi"/>
          <w:sz w:val="23"/>
          <w:szCs w:val="23"/>
          <w:lang w:eastAsia="en-GB"/>
        </w:rPr>
        <w:t>on</w:t>
      </w:r>
      <w:r>
        <w:rPr>
          <w:rFonts w:asciiTheme="majorHAnsi" w:eastAsia="Times New Roman" w:hAnsiTheme="majorHAnsi" w:cstheme="majorHAnsi"/>
          <w:sz w:val="23"/>
          <w:szCs w:val="23"/>
          <w:lang w:eastAsia="en-GB"/>
        </w:rPr>
        <w:t xml:space="preserve"> interventions. </w:t>
      </w:r>
      <w:r w:rsidR="000E3CA9">
        <w:rPr>
          <w:rFonts w:asciiTheme="majorHAnsi" w:eastAsia="Times New Roman" w:hAnsiTheme="majorHAnsi" w:cstheme="majorHAnsi"/>
          <w:sz w:val="23"/>
          <w:szCs w:val="23"/>
          <w:lang w:eastAsia="en-GB"/>
        </w:rPr>
        <w:t>We focus on</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interventions</w:t>
      </w:r>
      <w:r w:rsidRPr="00BC19B6">
        <w:rPr>
          <w:rFonts w:asciiTheme="majorHAnsi" w:eastAsia="Times New Roman" w:hAnsiTheme="majorHAnsi" w:cstheme="majorHAnsi"/>
          <w:sz w:val="23"/>
          <w:szCs w:val="23"/>
          <w:lang w:eastAsia="en-GB"/>
        </w:rPr>
        <w:t xml:space="preserve"> that have been used globally to address the social and economic factors that drive outcomes for </w:t>
      </w:r>
      <w:r>
        <w:rPr>
          <w:rFonts w:asciiTheme="majorHAnsi" w:eastAsia="Times New Roman" w:hAnsiTheme="majorHAnsi" w:cstheme="majorHAnsi"/>
          <w:sz w:val="23"/>
          <w:szCs w:val="23"/>
          <w:lang w:eastAsia="en-GB"/>
        </w:rPr>
        <w:t>communities affected by disadvantage</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In our sample, </w:t>
      </w:r>
      <w:r w:rsidRPr="00BC19B6">
        <w:rPr>
          <w:rFonts w:asciiTheme="majorHAnsi" w:eastAsia="Times New Roman" w:hAnsiTheme="majorHAnsi" w:cstheme="majorHAnsi"/>
          <w:sz w:val="23"/>
          <w:szCs w:val="23"/>
          <w:lang w:eastAsia="en-GB"/>
        </w:rPr>
        <w:t xml:space="preserve">103 </w:t>
      </w:r>
      <w:r>
        <w:rPr>
          <w:rFonts w:asciiTheme="majorHAnsi" w:eastAsia="Times New Roman" w:hAnsiTheme="majorHAnsi" w:cstheme="majorHAnsi"/>
          <w:sz w:val="23"/>
          <w:szCs w:val="23"/>
          <w:lang w:eastAsia="en-GB"/>
        </w:rPr>
        <w:t>article</w:t>
      </w:r>
      <w:r w:rsidRPr="00BC19B6">
        <w:rPr>
          <w:rFonts w:asciiTheme="majorHAnsi" w:eastAsia="Times New Roman" w:hAnsiTheme="majorHAnsi" w:cstheme="majorHAnsi"/>
          <w:sz w:val="23"/>
          <w:szCs w:val="23"/>
          <w:lang w:eastAsia="en-GB"/>
        </w:rPr>
        <w:t>s</w:t>
      </w:r>
      <w:r w:rsidR="000E3CA9">
        <w:rPr>
          <w:rFonts w:asciiTheme="majorHAnsi" w:eastAsia="Times New Roman" w:hAnsiTheme="majorHAnsi" w:cstheme="majorHAnsi"/>
          <w:sz w:val="23"/>
          <w:szCs w:val="23"/>
          <w:lang w:eastAsia="en-GB"/>
        </w:rPr>
        <w:t xml:space="preserve"> focused on interventions</w:t>
      </w:r>
      <w:r w:rsidRPr="00BC19B6">
        <w:rPr>
          <w:rFonts w:asciiTheme="majorHAnsi" w:eastAsia="Times New Roman" w:hAnsiTheme="majorHAnsi" w:cstheme="majorHAnsi"/>
          <w:sz w:val="23"/>
          <w:szCs w:val="23"/>
          <w:lang w:eastAsia="en-GB"/>
        </w:rPr>
        <w:t xml:space="preserve">. </w:t>
      </w:r>
      <w:r w:rsidR="004138DB">
        <w:rPr>
          <w:rFonts w:asciiTheme="majorHAnsi" w:eastAsia="Times New Roman" w:hAnsiTheme="majorHAnsi" w:cstheme="majorHAnsi"/>
          <w:sz w:val="23"/>
          <w:szCs w:val="23"/>
          <w:lang w:eastAsia="en-GB"/>
        </w:rPr>
        <w:t>Most</w:t>
      </w:r>
      <w:r w:rsidR="004138DB" w:rsidRPr="00BC19B6">
        <w:rPr>
          <w:rFonts w:asciiTheme="majorHAnsi" w:eastAsia="Times New Roman" w:hAnsiTheme="majorHAnsi" w:cstheme="majorHAnsi"/>
          <w:sz w:val="23"/>
          <w:szCs w:val="23"/>
          <w:lang w:eastAsia="en-GB"/>
        </w:rPr>
        <w:t xml:space="preserve"> (69</w:t>
      </w:r>
      <w:r w:rsidR="004138DB">
        <w:rPr>
          <w:rFonts w:asciiTheme="majorHAnsi" w:eastAsia="Times New Roman" w:hAnsiTheme="majorHAnsi" w:cstheme="majorHAnsi"/>
          <w:sz w:val="23"/>
          <w:szCs w:val="23"/>
          <w:lang w:eastAsia="en-GB"/>
        </w:rPr>
        <w:t xml:space="preserve"> percent</w:t>
      </w:r>
      <w:r w:rsidR="004138DB" w:rsidRPr="00BC19B6">
        <w:rPr>
          <w:rFonts w:asciiTheme="majorHAnsi" w:eastAsia="Times New Roman" w:hAnsiTheme="majorHAnsi" w:cstheme="majorHAnsi"/>
          <w:sz w:val="23"/>
          <w:szCs w:val="23"/>
          <w:lang w:eastAsia="en-GB"/>
        </w:rPr>
        <w:t xml:space="preserve">) were from the US and Australia, </w:t>
      </w:r>
      <w:r w:rsidR="004138DB">
        <w:rPr>
          <w:rFonts w:asciiTheme="majorHAnsi" w:eastAsia="Times New Roman" w:hAnsiTheme="majorHAnsi" w:cstheme="majorHAnsi"/>
          <w:sz w:val="23"/>
          <w:szCs w:val="23"/>
          <w:lang w:eastAsia="en-GB"/>
        </w:rPr>
        <w:t>primarily</w:t>
      </w:r>
      <w:r w:rsidR="004138DB" w:rsidRPr="00BC19B6">
        <w:rPr>
          <w:rFonts w:asciiTheme="majorHAnsi" w:eastAsia="Times New Roman" w:hAnsiTheme="majorHAnsi" w:cstheme="majorHAnsi"/>
          <w:sz w:val="23"/>
          <w:szCs w:val="23"/>
          <w:lang w:eastAsia="en-GB"/>
        </w:rPr>
        <w:t xml:space="preserve"> the US (51</w:t>
      </w:r>
      <w:r w:rsidR="004138DB">
        <w:rPr>
          <w:rFonts w:asciiTheme="majorHAnsi" w:eastAsia="Times New Roman" w:hAnsiTheme="majorHAnsi" w:cstheme="majorHAnsi"/>
          <w:sz w:val="23"/>
          <w:szCs w:val="23"/>
          <w:lang w:eastAsia="en-GB"/>
        </w:rPr>
        <w:t xml:space="preserve"> percent</w:t>
      </w:r>
      <w:r w:rsidR="004138DB" w:rsidRPr="00BC19B6">
        <w:rPr>
          <w:rFonts w:asciiTheme="majorHAnsi" w:eastAsia="Times New Roman" w:hAnsiTheme="majorHAnsi" w:cstheme="majorHAnsi"/>
          <w:sz w:val="23"/>
          <w:szCs w:val="23"/>
          <w:lang w:eastAsia="en-GB"/>
        </w:rPr>
        <w:t xml:space="preserve">). </w:t>
      </w:r>
      <w:r w:rsidR="004138DB" w:rsidRPr="00DC7420">
        <w:rPr>
          <w:rFonts w:asciiTheme="majorHAnsi" w:eastAsia="Times New Roman" w:hAnsiTheme="majorHAnsi" w:cstheme="majorHAnsi"/>
          <w:sz w:val="23"/>
          <w:szCs w:val="23"/>
          <w:lang w:eastAsia="en-GB"/>
        </w:rPr>
        <w:t>Table 3.11 (below)</w:t>
      </w:r>
      <w:r w:rsidR="000E3CA9">
        <w:rPr>
          <w:rFonts w:asciiTheme="majorHAnsi" w:eastAsia="Times New Roman" w:hAnsiTheme="majorHAnsi" w:cstheme="majorHAnsi"/>
          <w:sz w:val="23"/>
          <w:szCs w:val="23"/>
          <w:lang w:eastAsia="en-GB"/>
        </w:rPr>
        <w:t xml:space="preserve"> outlines the geographic spread</w:t>
      </w:r>
      <w:r w:rsidR="004138DB" w:rsidRPr="00DC7420">
        <w:rPr>
          <w:rFonts w:asciiTheme="majorHAnsi" w:eastAsia="Times New Roman" w:hAnsiTheme="majorHAnsi" w:cstheme="majorHAnsi"/>
          <w:sz w:val="23"/>
          <w:szCs w:val="23"/>
          <w:lang w:eastAsia="en-GB"/>
        </w:rPr>
        <w:t>.</w:t>
      </w:r>
      <w:r w:rsidR="004138DB">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These studies took a range of approaches; some included an evaluation</w:t>
      </w:r>
      <w:r w:rsidR="00193FBE">
        <w:rPr>
          <w:rFonts w:asciiTheme="majorHAnsi" w:eastAsia="Times New Roman" w:hAnsiTheme="majorHAnsi" w:cstheme="majorHAnsi"/>
          <w:sz w:val="23"/>
          <w:szCs w:val="23"/>
          <w:lang w:eastAsia="en-GB"/>
        </w:rPr>
        <w:t xml:space="preserve"> element</w:t>
      </w:r>
      <w:r>
        <w:rPr>
          <w:rFonts w:asciiTheme="majorHAnsi" w:eastAsia="Times New Roman" w:hAnsiTheme="majorHAnsi" w:cstheme="majorHAnsi"/>
          <w:sz w:val="23"/>
          <w:szCs w:val="23"/>
          <w:lang w:eastAsia="en-GB"/>
        </w:rPr>
        <w:t>, while others did not.</w:t>
      </w:r>
    </w:p>
    <w:p w14:paraId="13F9D3ED" w14:textId="77777777" w:rsidR="00F00E3D" w:rsidRPr="004138DB" w:rsidRDefault="00F00E3D" w:rsidP="009B2FA7">
      <w:pPr>
        <w:spacing w:after="0" w:line="276" w:lineRule="auto"/>
        <w:contextualSpacing/>
        <w:rPr>
          <w:rFonts w:asciiTheme="majorHAnsi" w:eastAsia="Times New Roman" w:hAnsiTheme="majorHAnsi" w:cstheme="majorHAnsi"/>
          <w:sz w:val="12"/>
          <w:szCs w:val="12"/>
          <w:lang w:eastAsia="en-GB"/>
        </w:rPr>
      </w:pPr>
    </w:p>
    <w:tbl>
      <w:tblPr>
        <w:tblStyle w:val="TableGrid"/>
        <w:tblW w:w="0" w:type="auto"/>
        <w:tblLook w:val="04A0" w:firstRow="1" w:lastRow="0" w:firstColumn="1" w:lastColumn="0" w:noHBand="0" w:noVBand="1"/>
      </w:tblPr>
      <w:tblGrid>
        <w:gridCol w:w="4505"/>
        <w:gridCol w:w="1302"/>
      </w:tblGrid>
      <w:tr w:rsidR="00193FBE" w:rsidRPr="00DC7420" w14:paraId="2635D8C6" w14:textId="77777777" w:rsidTr="00193FBE">
        <w:tc>
          <w:tcPr>
            <w:tcW w:w="4505" w:type="dxa"/>
            <w:shd w:val="clear" w:color="auto" w:fill="D0CECE" w:themeFill="background2" w:themeFillShade="E6"/>
          </w:tcPr>
          <w:p w14:paraId="7243F905" w14:textId="77777777" w:rsidR="00F00E3D" w:rsidRPr="00DC7420" w:rsidRDefault="00F00E3D" w:rsidP="009B2FA7">
            <w:pPr>
              <w:spacing w:line="276" w:lineRule="auto"/>
              <w:contextualSpacing/>
              <w:rPr>
                <w:rFonts w:eastAsia="Times New Roman" w:cstheme="minorHAnsi"/>
                <w:b/>
                <w:bCs/>
                <w:sz w:val="21"/>
                <w:szCs w:val="21"/>
                <w:lang w:eastAsia="en-GB"/>
              </w:rPr>
            </w:pPr>
            <w:r w:rsidRPr="00DC7420">
              <w:rPr>
                <w:rFonts w:eastAsia="Times New Roman" w:cstheme="minorHAnsi"/>
                <w:b/>
                <w:bCs/>
                <w:sz w:val="21"/>
                <w:szCs w:val="21"/>
                <w:lang w:eastAsia="en-GB"/>
              </w:rPr>
              <w:t>Country</w:t>
            </w:r>
          </w:p>
        </w:tc>
        <w:tc>
          <w:tcPr>
            <w:tcW w:w="1302" w:type="dxa"/>
            <w:shd w:val="clear" w:color="auto" w:fill="D0CECE" w:themeFill="background2" w:themeFillShade="E6"/>
          </w:tcPr>
          <w:p w14:paraId="34B5316C" w14:textId="77777777" w:rsidR="00F00E3D" w:rsidRPr="00DC7420" w:rsidRDefault="00F00E3D" w:rsidP="009B2FA7">
            <w:pPr>
              <w:spacing w:line="276" w:lineRule="auto"/>
              <w:contextualSpacing/>
              <w:rPr>
                <w:rFonts w:eastAsia="Times New Roman" w:cstheme="minorHAnsi"/>
                <w:b/>
                <w:bCs/>
                <w:sz w:val="21"/>
                <w:szCs w:val="21"/>
                <w:lang w:eastAsia="en-GB"/>
              </w:rPr>
            </w:pPr>
            <w:r w:rsidRPr="00DC7420">
              <w:rPr>
                <w:rFonts w:eastAsia="Times New Roman" w:cstheme="minorHAnsi"/>
                <w:b/>
                <w:bCs/>
                <w:sz w:val="21"/>
                <w:szCs w:val="21"/>
                <w:lang w:eastAsia="en-GB"/>
              </w:rPr>
              <w:t># Studies</w:t>
            </w:r>
          </w:p>
        </w:tc>
      </w:tr>
      <w:tr w:rsidR="00F00E3D" w:rsidRPr="00DC7420" w14:paraId="70DD8958" w14:textId="77777777" w:rsidTr="009B2FA7">
        <w:tc>
          <w:tcPr>
            <w:tcW w:w="4505" w:type="dxa"/>
          </w:tcPr>
          <w:p w14:paraId="7AC9E3EA"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Australia </w:t>
            </w:r>
          </w:p>
        </w:tc>
        <w:tc>
          <w:tcPr>
            <w:tcW w:w="1302" w:type="dxa"/>
          </w:tcPr>
          <w:p w14:paraId="2E398CDB"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18</w:t>
            </w:r>
          </w:p>
        </w:tc>
      </w:tr>
      <w:tr w:rsidR="00F00E3D" w:rsidRPr="00DC7420" w14:paraId="531AB5F0" w14:textId="77777777" w:rsidTr="009B2FA7">
        <w:tc>
          <w:tcPr>
            <w:tcW w:w="4505" w:type="dxa"/>
          </w:tcPr>
          <w:p w14:paraId="7DEAE25C"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Australia &amp; Global</w:t>
            </w:r>
          </w:p>
        </w:tc>
        <w:tc>
          <w:tcPr>
            <w:tcW w:w="1302" w:type="dxa"/>
          </w:tcPr>
          <w:p w14:paraId="36FAEB1E"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52DDF56D" w14:textId="77777777" w:rsidTr="009B2FA7">
        <w:tc>
          <w:tcPr>
            <w:tcW w:w="4505" w:type="dxa"/>
          </w:tcPr>
          <w:p w14:paraId="42C2A270"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Belgium</w:t>
            </w:r>
          </w:p>
        </w:tc>
        <w:tc>
          <w:tcPr>
            <w:tcW w:w="1302" w:type="dxa"/>
          </w:tcPr>
          <w:p w14:paraId="3FDE6BE5"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05F78600" w14:textId="77777777" w:rsidTr="009B2FA7">
        <w:tc>
          <w:tcPr>
            <w:tcW w:w="4505" w:type="dxa"/>
          </w:tcPr>
          <w:p w14:paraId="281D2A25"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Canada </w:t>
            </w:r>
          </w:p>
        </w:tc>
        <w:tc>
          <w:tcPr>
            <w:tcW w:w="1302" w:type="dxa"/>
          </w:tcPr>
          <w:p w14:paraId="01E6953A"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3</w:t>
            </w:r>
          </w:p>
        </w:tc>
      </w:tr>
      <w:tr w:rsidR="00F00E3D" w:rsidRPr="00DC7420" w14:paraId="0DF834DE" w14:textId="77777777" w:rsidTr="009B2FA7">
        <w:tc>
          <w:tcPr>
            <w:tcW w:w="4505" w:type="dxa"/>
          </w:tcPr>
          <w:p w14:paraId="03DC5CC3"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Global </w:t>
            </w:r>
          </w:p>
        </w:tc>
        <w:tc>
          <w:tcPr>
            <w:tcW w:w="1302" w:type="dxa"/>
          </w:tcPr>
          <w:p w14:paraId="37DF5622"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2</w:t>
            </w:r>
          </w:p>
        </w:tc>
      </w:tr>
      <w:tr w:rsidR="00F00E3D" w:rsidRPr="00DC7420" w14:paraId="51904C71" w14:textId="77777777" w:rsidTr="009B2FA7">
        <w:tc>
          <w:tcPr>
            <w:tcW w:w="4505" w:type="dxa"/>
          </w:tcPr>
          <w:p w14:paraId="0610E56B"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Ireland</w:t>
            </w:r>
          </w:p>
        </w:tc>
        <w:tc>
          <w:tcPr>
            <w:tcW w:w="1302" w:type="dxa"/>
          </w:tcPr>
          <w:p w14:paraId="513DF942"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3</w:t>
            </w:r>
          </w:p>
        </w:tc>
      </w:tr>
      <w:tr w:rsidR="00F00E3D" w:rsidRPr="00DC7420" w14:paraId="2BE7A708" w14:textId="77777777" w:rsidTr="009B2FA7">
        <w:tc>
          <w:tcPr>
            <w:tcW w:w="4505" w:type="dxa"/>
          </w:tcPr>
          <w:p w14:paraId="27D1615F"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Netherlands </w:t>
            </w:r>
          </w:p>
        </w:tc>
        <w:tc>
          <w:tcPr>
            <w:tcW w:w="1302" w:type="dxa"/>
          </w:tcPr>
          <w:p w14:paraId="26913695"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2C7F837B" w14:textId="77777777" w:rsidTr="009B2FA7">
        <w:tc>
          <w:tcPr>
            <w:tcW w:w="4505" w:type="dxa"/>
          </w:tcPr>
          <w:p w14:paraId="70FF9A85"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Non-context specific </w:t>
            </w:r>
          </w:p>
        </w:tc>
        <w:tc>
          <w:tcPr>
            <w:tcW w:w="1302" w:type="dxa"/>
          </w:tcPr>
          <w:p w14:paraId="18D7DE80"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5</w:t>
            </w:r>
          </w:p>
        </w:tc>
      </w:tr>
      <w:tr w:rsidR="00F00E3D" w:rsidRPr="00DC7420" w14:paraId="5C116751" w14:textId="77777777" w:rsidTr="009B2FA7">
        <w:tc>
          <w:tcPr>
            <w:tcW w:w="4505" w:type="dxa"/>
          </w:tcPr>
          <w:p w14:paraId="32E3DB41"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OECD Countries</w:t>
            </w:r>
          </w:p>
        </w:tc>
        <w:tc>
          <w:tcPr>
            <w:tcW w:w="1302" w:type="dxa"/>
          </w:tcPr>
          <w:p w14:paraId="6A5F10B9"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26C76665" w14:textId="77777777" w:rsidTr="009B2FA7">
        <w:tc>
          <w:tcPr>
            <w:tcW w:w="4505" w:type="dxa"/>
          </w:tcPr>
          <w:p w14:paraId="22B56DA9"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UK </w:t>
            </w:r>
          </w:p>
        </w:tc>
        <w:tc>
          <w:tcPr>
            <w:tcW w:w="1302" w:type="dxa"/>
          </w:tcPr>
          <w:p w14:paraId="253CC111"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15</w:t>
            </w:r>
          </w:p>
        </w:tc>
      </w:tr>
      <w:tr w:rsidR="00F00E3D" w:rsidRPr="00DC7420" w14:paraId="36DA3D39" w14:textId="77777777" w:rsidTr="009B2FA7">
        <w:tc>
          <w:tcPr>
            <w:tcW w:w="4505" w:type="dxa"/>
          </w:tcPr>
          <w:p w14:paraId="4AAFF387"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UK &amp; US</w:t>
            </w:r>
          </w:p>
        </w:tc>
        <w:tc>
          <w:tcPr>
            <w:tcW w:w="1302" w:type="dxa"/>
          </w:tcPr>
          <w:p w14:paraId="5B1E5CC8"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27DF58A3" w14:textId="77777777" w:rsidTr="009B2FA7">
        <w:tc>
          <w:tcPr>
            <w:tcW w:w="4505" w:type="dxa"/>
          </w:tcPr>
          <w:p w14:paraId="6D6B8201"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US</w:t>
            </w:r>
          </w:p>
        </w:tc>
        <w:tc>
          <w:tcPr>
            <w:tcW w:w="1302" w:type="dxa"/>
          </w:tcPr>
          <w:p w14:paraId="50675972"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52</w:t>
            </w:r>
          </w:p>
        </w:tc>
      </w:tr>
    </w:tbl>
    <w:p w14:paraId="3E58201C" w14:textId="7DFE69B6" w:rsidR="00F00E3D" w:rsidRPr="004D7F9B" w:rsidRDefault="00F00E3D" w:rsidP="009B2FA7">
      <w:pPr>
        <w:spacing w:after="0" w:line="276" w:lineRule="auto"/>
        <w:contextualSpacing/>
        <w:rPr>
          <w:rFonts w:eastAsia="Times New Roman" w:cstheme="minorHAnsi"/>
          <w:b/>
          <w:bCs/>
          <w:sz w:val="21"/>
          <w:szCs w:val="21"/>
          <w:lang w:eastAsia="en-GB"/>
        </w:rPr>
      </w:pPr>
      <w:r w:rsidRPr="004D7F9B">
        <w:rPr>
          <w:rFonts w:eastAsia="Times New Roman" w:cstheme="minorHAnsi"/>
          <w:b/>
          <w:bCs/>
          <w:sz w:val="21"/>
          <w:szCs w:val="21"/>
          <w:lang w:eastAsia="en-GB"/>
        </w:rPr>
        <w:t xml:space="preserve">Table </w:t>
      </w:r>
      <w:r w:rsidR="00DC7420" w:rsidRPr="004D7F9B">
        <w:rPr>
          <w:rFonts w:eastAsia="Times New Roman" w:cstheme="minorHAnsi"/>
          <w:b/>
          <w:bCs/>
          <w:sz w:val="21"/>
          <w:szCs w:val="21"/>
          <w:lang w:eastAsia="en-GB"/>
        </w:rPr>
        <w:t>3.11</w:t>
      </w:r>
      <w:r w:rsidR="00193FBE" w:rsidRPr="004D7F9B">
        <w:rPr>
          <w:rFonts w:eastAsia="Times New Roman" w:cstheme="minorHAnsi"/>
          <w:b/>
          <w:bCs/>
          <w:sz w:val="21"/>
          <w:szCs w:val="21"/>
          <w:lang w:eastAsia="en-GB"/>
        </w:rPr>
        <w:t xml:space="preserve">: </w:t>
      </w:r>
      <w:r w:rsidRPr="004D7F9B">
        <w:rPr>
          <w:rFonts w:eastAsia="Times New Roman" w:cstheme="minorHAnsi"/>
          <w:b/>
          <w:bCs/>
          <w:sz w:val="21"/>
          <w:szCs w:val="21"/>
          <w:lang w:eastAsia="en-GB"/>
        </w:rPr>
        <w:t xml:space="preserve">Countries </w:t>
      </w:r>
      <w:r w:rsidR="00193FBE" w:rsidRPr="004D7F9B">
        <w:rPr>
          <w:rFonts w:eastAsia="Times New Roman" w:cstheme="minorHAnsi"/>
          <w:b/>
          <w:bCs/>
          <w:sz w:val="21"/>
          <w:szCs w:val="21"/>
          <w:lang w:eastAsia="en-GB"/>
        </w:rPr>
        <w:t>of Study in Sampled Literature</w:t>
      </w:r>
    </w:p>
    <w:p w14:paraId="55D4A32B" w14:textId="77777777" w:rsidR="00F00E3D" w:rsidRPr="004138DB" w:rsidRDefault="00F00E3D" w:rsidP="009B2FA7">
      <w:pPr>
        <w:spacing w:after="0" w:line="276" w:lineRule="auto"/>
        <w:contextualSpacing/>
        <w:rPr>
          <w:rFonts w:asciiTheme="majorHAnsi" w:eastAsia="Times New Roman" w:hAnsiTheme="majorHAnsi" w:cstheme="majorHAnsi"/>
          <w:sz w:val="12"/>
          <w:szCs w:val="12"/>
          <w:lang w:eastAsia="en-GB"/>
        </w:rPr>
      </w:pPr>
    </w:p>
    <w:p w14:paraId="1A1569D6" w14:textId="6EC57B35" w:rsidR="004138DB" w:rsidRDefault="00F00E3D" w:rsidP="004138DB">
      <w:pPr>
        <w:spacing w:after="0" w:line="276" w:lineRule="auto"/>
        <w:contextualSpacing/>
        <w:rPr>
          <w:rFonts w:asciiTheme="majorHAnsi" w:eastAsia="Times New Roman" w:hAnsiTheme="majorHAnsi" w:cstheme="majorHAnsi"/>
          <w:sz w:val="23"/>
          <w:szCs w:val="23"/>
          <w:lang w:eastAsia="en-GB"/>
        </w:rPr>
      </w:pPr>
      <w:r w:rsidRPr="00DC7420">
        <w:rPr>
          <w:rFonts w:asciiTheme="majorHAnsi" w:eastAsia="Times New Roman" w:hAnsiTheme="majorHAnsi" w:cstheme="majorHAnsi"/>
          <w:sz w:val="23"/>
          <w:szCs w:val="23"/>
          <w:lang w:eastAsia="en-GB"/>
        </w:rPr>
        <w:t xml:space="preserve">Table </w:t>
      </w:r>
      <w:r w:rsidR="00DC7420" w:rsidRPr="00DC7420">
        <w:rPr>
          <w:rFonts w:asciiTheme="majorHAnsi" w:eastAsia="Times New Roman" w:hAnsiTheme="majorHAnsi" w:cstheme="majorHAnsi"/>
          <w:sz w:val="23"/>
          <w:szCs w:val="23"/>
          <w:lang w:eastAsia="en-GB"/>
        </w:rPr>
        <w:t>3.12</w:t>
      </w:r>
      <w:r w:rsidRPr="00DC7420">
        <w:rPr>
          <w:rFonts w:asciiTheme="majorHAnsi" w:eastAsia="Times New Roman" w:hAnsiTheme="majorHAnsi" w:cstheme="majorHAnsi"/>
          <w:sz w:val="23"/>
          <w:szCs w:val="23"/>
          <w:lang w:eastAsia="en-GB"/>
        </w:rPr>
        <w:t xml:space="preserve"> (below) shows the spread of intervention-focused articles across the </w:t>
      </w:r>
      <w:r w:rsidR="00D95573">
        <w:rPr>
          <w:rFonts w:asciiTheme="majorHAnsi" w:eastAsia="Times New Roman" w:hAnsiTheme="majorHAnsi" w:cstheme="majorHAnsi"/>
          <w:sz w:val="23"/>
          <w:szCs w:val="23"/>
          <w:lang w:eastAsia="en-GB"/>
        </w:rPr>
        <w:t>Practice Domain</w:t>
      </w:r>
      <w:r w:rsidRPr="00DC7420">
        <w:rPr>
          <w:rFonts w:asciiTheme="majorHAnsi" w:eastAsia="Times New Roman" w:hAnsiTheme="majorHAnsi" w:cstheme="majorHAnsi"/>
          <w:sz w:val="23"/>
          <w:szCs w:val="23"/>
          <w:lang w:eastAsia="en-GB"/>
        </w:rPr>
        <w:t>s.</w:t>
      </w:r>
      <w:r w:rsidR="004138DB">
        <w:rPr>
          <w:rFonts w:asciiTheme="majorHAnsi" w:eastAsia="Times New Roman" w:hAnsiTheme="majorHAnsi" w:cstheme="majorHAnsi"/>
          <w:sz w:val="23"/>
          <w:szCs w:val="23"/>
          <w:lang w:eastAsia="en-GB"/>
        </w:rPr>
        <w:t xml:space="preserve"> </w:t>
      </w:r>
      <w:r w:rsidR="004138DB" w:rsidRPr="00BC19B6">
        <w:rPr>
          <w:rFonts w:asciiTheme="majorHAnsi" w:eastAsia="Times New Roman" w:hAnsiTheme="majorHAnsi" w:cstheme="majorHAnsi"/>
          <w:sz w:val="23"/>
          <w:szCs w:val="23"/>
          <w:lang w:eastAsia="en-GB"/>
        </w:rPr>
        <w:t xml:space="preserve">By far the greatest number of studies </w:t>
      </w:r>
      <w:r w:rsidR="004138DB">
        <w:rPr>
          <w:rFonts w:asciiTheme="majorHAnsi" w:eastAsia="Times New Roman" w:hAnsiTheme="majorHAnsi" w:cstheme="majorHAnsi"/>
          <w:sz w:val="23"/>
          <w:szCs w:val="23"/>
          <w:lang w:eastAsia="en-GB"/>
        </w:rPr>
        <w:t>(</w:t>
      </w:r>
      <w:r w:rsidR="004138DB" w:rsidRPr="00BC19B6">
        <w:rPr>
          <w:rFonts w:asciiTheme="majorHAnsi" w:eastAsia="Times New Roman" w:hAnsiTheme="majorHAnsi" w:cstheme="majorHAnsi"/>
          <w:sz w:val="23"/>
          <w:szCs w:val="23"/>
          <w:lang w:eastAsia="en-GB"/>
        </w:rPr>
        <w:t>40</w:t>
      </w:r>
      <w:r w:rsidR="004138DB">
        <w:rPr>
          <w:rFonts w:asciiTheme="majorHAnsi" w:eastAsia="Times New Roman" w:hAnsiTheme="majorHAnsi" w:cstheme="majorHAnsi"/>
          <w:sz w:val="23"/>
          <w:szCs w:val="23"/>
          <w:lang w:eastAsia="en-GB"/>
        </w:rPr>
        <w:t>)</w:t>
      </w:r>
      <w:r w:rsidR="004138DB" w:rsidRPr="00BC19B6">
        <w:rPr>
          <w:rFonts w:asciiTheme="majorHAnsi" w:eastAsia="Times New Roman" w:hAnsiTheme="majorHAnsi" w:cstheme="majorHAnsi"/>
          <w:sz w:val="23"/>
          <w:szCs w:val="23"/>
          <w:lang w:eastAsia="en-GB"/>
        </w:rPr>
        <w:t xml:space="preserve"> were in the </w:t>
      </w:r>
      <w:r w:rsidR="004138DB">
        <w:rPr>
          <w:rFonts w:asciiTheme="majorHAnsi" w:eastAsia="Times New Roman" w:hAnsiTheme="majorHAnsi" w:cstheme="majorHAnsi"/>
          <w:sz w:val="23"/>
          <w:szCs w:val="23"/>
          <w:lang w:eastAsia="en-GB"/>
        </w:rPr>
        <w:t>domain of</w:t>
      </w:r>
      <w:r w:rsidR="004138DB" w:rsidRPr="00BC19B6">
        <w:rPr>
          <w:rFonts w:asciiTheme="majorHAnsi" w:eastAsia="Times New Roman" w:hAnsiTheme="majorHAnsi" w:cstheme="majorHAnsi"/>
          <w:sz w:val="23"/>
          <w:szCs w:val="23"/>
          <w:lang w:eastAsia="en-GB"/>
        </w:rPr>
        <w:t xml:space="preserve"> Health </w:t>
      </w:r>
      <w:r w:rsidR="004138DB">
        <w:rPr>
          <w:rFonts w:asciiTheme="majorHAnsi" w:eastAsia="Times New Roman" w:hAnsiTheme="majorHAnsi" w:cstheme="majorHAnsi"/>
          <w:sz w:val="23"/>
          <w:szCs w:val="23"/>
          <w:lang w:eastAsia="en-GB"/>
        </w:rPr>
        <w:t>and</w:t>
      </w:r>
      <w:r w:rsidR="004138DB" w:rsidRPr="00BC19B6">
        <w:rPr>
          <w:rFonts w:asciiTheme="majorHAnsi" w:eastAsia="Times New Roman" w:hAnsiTheme="majorHAnsi" w:cstheme="majorHAnsi"/>
          <w:sz w:val="23"/>
          <w:szCs w:val="23"/>
          <w:lang w:eastAsia="en-GB"/>
        </w:rPr>
        <w:t xml:space="preserve"> Wellbeing, with a further 19 including Health </w:t>
      </w:r>
      <w:r w:rsidR="004138DB">
        <w:rPr>
          <w:rFonts w:asciiTheme="majorHAnsi" w:eastAsia="Times New Roman" w:hAnsiTheme="majorHAnsi" w:cstheme="majorHAnsi"/>
          <w:sz w:val="23"/>
          <w:szCs w:val="23"/>
          <w:lang w:eastAsia="en-GB"/>
        </w:rPr>
        <w:t>and</w:t>
      </w:r>
      <w:r w:rsidR="004138DB" w:rsidRPr="00BC19B6">
        <w:rPr>
          <w:rFonts w:asciiTheme="majorHAnsi" w:eastAsia="Times New Roman" w:hAnsiTheme="majorHAnsi" w:cstheme="majorHAnsi"/>
          <w:sz w:val="23"/>
          <w:szCs w:val="23"/>
          <w:lang w:eastAsia="en-GB"/>
        </w:rPr>
        <w:t xml:space="preserve"> Wellbeing in combination with other domains. Significantly, 23 studies spanned all </w:t>
      </w:r>
      <w:r w:rsidR="004138DB">
        <w:rPr>
          <w:rFonts w:asciiTheme="majorHAnsi" w:eastAsia="Times New Roman" w:hAnsiTheme="majorHAnsi" w:cstheme="majorHAnsi"/>
          <w:sz w:val="23"/>
          <w:szCs w:val="23"/>
          <w:lang w:eastAsia="en-GB"/>
        </w:rPr>
        <w:t xml:space="preserve">five </w:t>
      </w:r>
      <w:r w:rsidR="004138DB" w:rsidRPr="00BC19B6">
        <w:rPr>
          <w:rFonts w:asciiTheme="majorHAnsi" w:eastAsia="Times New Roman" w:hAnsiTheme="majorHAnsi" w:cstheme="majorHAnsi"/>
          <w:sz w:val="23"/>
          <w:szCs w:val="23"/>
          <w:lang w:eastAsia="en-GB"/>
        </w:rPr>
        <w:t xml:space="preserve">domains, </w:t>
      </w:r>
      <w:r w:rsidR="004138DB">
        <w:rPr>
          <w:rFonts w:asciiTheme="majorHAnsi" w:eastAsia="Times New Roman" w:hAnsiTheme="majorHAnsi" w:cstheme="majorHAnsi"/>
          <w:sz w:val="23"/>
          <w:szCs w:val="23"/>
          <w:lang w:eastAsia="en-GB"/>
        </w:rPr>
        <w:t>and a further</w:t>
      </w:r>
      <w:r w:rsidR="004138DB" w:rsidRPr="00BC19B6">
        <w:rPr>
          <w:rFonts w:asciiTheme="majorHAnsi" w:eastAsia="Times New Roman" w:hAnsiTheme="majorHAnsi" w:cstheme="majorHAnsi"/>
          <w:sz w:val="23"/>
          <w:szCs w:val="23"/>
          <w:lang w:eastAsia="en-GB"/>
        </w:rPr>
        <w:t xml:space="preserve"> 26 studies spann</w:t>
      </w:r>
      <w:r w:rsidR="004138DB">
        <w:rPr>
          <w:rFonts w:asciiTheme="majorHAnsi" w:eastAsia="Times New Roman" w:hAnsiTheme="majorHAnsi" w:cstheme="majorHAnsi"/>
          <w:sz w:val="23"/>
          <w:szCs w:val="23"/>
          <w:lang w:eastAsia="en-GB"/>
        </w:rPr>
        <w:t>ed</w:t>
      </w:r>
      <w:r w:rsidR="004138DB" w:rsidRPr="00BC19B6">
        <w:rPr>
          <w:rFonts w:asciiTheme="majorHAnsi" w:eastAsia="Times New Roman" w:hAnsiTheme="majorHAnsi" w:cstheme="majorHAnsi"/>
          <w:sz w:val="23"/>
          <w:szCs w:val="23"/>
          <w:lang w:eastAsia="en-GB"/>
        </w:rPr>
        <w:t xml:space="preserve"> at least two domains. Outside of</w:t>
      </w:r>
      <w:r w:rsidR="004138DB">
        <w:rPr>
          <w:rFonts w:asciiTheme="majorHAnsi" w:eastAsia="Times New Roman" w:hAnsiTheme="majorHAnsi" w:cstheme="majorHAnsi"/>
          <w:sz w:val="23"/>
          <w:szCs w:val="23"/>
          <w:lang w:eastAsia="en-GB"/>
        </w:rPr>
        <w:t xml:space="preserve"> </w:t>
      </w:r>
      <w:r w:rsidR="004138DB" w:rsidRPr="00BC19B6">
        <w:rPr>
          <w:rFonts w:asciiTheme="majorHAnsi" w:eastAsia="Times New Roman" w:hAnsiTheme="majorHAnsi" w:cstheme="majorHAnsi"/>
          <w:sz w:val="23"/>
          <w:szCs w:val="23"/>
          <w:lang w:eastAsia="en-GB"/>
        </w:rPr>
        <w:t xml:space="preserve">Health </w:t>
      </w:r>
      <w:r w:rsidR="004138DB">
        <w:rPr>
          <w:rFonts w:asciiTheme="majorHAnsi" w:eastAsia="Times New Roman" w:hAnsiTheme="majorHAnsi" w:cstheme="majorHAnsi"/>
          <w:sz w:val="23"/>
          <w:szCs w:val="23"/>
          <w:lang w:eastAsia="en-GB"/>
        </w:rPr>
        <w:t>and</w:t>
      </w:r>
      <w:r w:rsidR="004138DB" w:rsidRPr="00BC19B6">
        <w:rPr>
          <w:rFonts w:asciiTheme="majorHAnsi" w:eastAsia="Times New Roman" w:hAnsiTheme="majorHAnsi" w:cstheme="majorHAnsi"/>
          <w:sz w:val="23"/>
          <w:szCs w:val="23"/>
          <w:lang w:eastAsia="en-GB"/>
        </w:rPr>
        <w:t xml:space="preserve"> Wellbeing, only 15 studies focused on only one domain, with </w:t>
      </w:r>
      <w:r w:rsidR="004138DB">
        <w:rPr>
          <w:rFonts w:asciiTheme="majorHAnsi" w:eastAsia="Times New Roman" w:hAnsiTheme="majorHAnsi" w:cstheme="majorHAnsi"/>
          <w:sz w:val="23"/>
          <w:szCs w:val="23"/>
          <w:lang w:eastAsia="en-GB"/>
        </w:rPr>
        <w:t>most of</w:t>
      </w:r>
      <w:r w:rsidR="004138DB" w:rsidRPr="00BC19B6">
        <w:rPr>
          <w:rFonts w:asciiTheme="majorHAnsi" w:eastAsia="Times New Roman" w:hAnsiTheme="majorHAnsi" w:cstheme="majorHAnsi"/>
          <w:sz w:val="23"/>
          <w:szCs w:val="23"/>
          <w:lang w:eastAsia="en-GB"/>
        </w:rPr>
        <w:t xml:space="preserve"> these</w:t>
      </w:r>
      <w:r w:rsidR="004138DB">
        <w:rPr>
          <w:rFonts w:asciiTheme="majorHAnsi" w:eastAsia="Times New Roman" w:hAnsiTheme="majorHAnsi" w:cstheme="majorHAnsi"/>
          <w:sz w:val="23"/>
          <w:szCs w:val="23"/>
          <w:lang w:eastAsia="en-GB"/>
        </w:rPr>
        <w:t xml:space="preserve"> (</w:t>
      </w:r>
      <w:r w:rsidR="004138DB" w:rsidRPr="00BC19B6">
        <w:rPr>
          <w:rFonts w:asciiTheme="majorHAnsi" w:eastAsia="Times New Roman" w:hAnsiTheme="majorHAnsi" w:cstheme="majorHAnsi"/>
          <w:sz w:val="23"/>
          <w:szCs w:val="23"/>
          <w:lang w:eastAsia="en-GB"/>
        </w:rPr>
        <w:t>11</w:t>
      </w:r>
      <w:r w:rsidR="004138DB">
        <w:rPr>
          <w:rFonts w:asciiTheme="majorHAnsi" w:eastAsia="Times New Roman" w:hAnsiTheme="majorHAnsi" w:cstheme="majorHAnsi"/>
          <w:sz w:val="23"/>
          <w:szCs w:val="23"/>
          <w:lang w:eastAsia="en-GB"/>
        </w:rPr>
        <w:t>)</w:t>
      </w:r>
      <w:r w:rsidR="004138DB" w:rsidRPr="00BC19B6">
        <w:rPr>
          <w:rFonts w:asciiTheme="majorHAnsi" w:eastAsia="Times New Roman" w:hAnsiTheme="majorHAnsi" w:cstheme="majorHAnsi"/>
          <w:sz w:val="23"/>
          <w:szCs w:val="23"/>
          <w:lang w:eastAsia="en-GB"/>
        </w:rPr>
        <w:t xml:space="preserve"> looking at </w:t>
      </w:r>
      <w:r w:rsidR="004138DB">
        <w:rPr>
          <w:rFonts w:asciiTheme="majorHAnsi" w:eastAsia="Times New Roman" w:hAnsiTheme="majorHAnsi" w:cstheme="majorHAnsi"/>
          <w:sz w:val="23"/>
          <w:szCs w:val="23"/>
          <w:lang w:eastAsia="en-GB"/>
        </w:rPr>
        <w:t>H</w:t>
      </w:r>
      <w:r w:rsidR="004138DB" w:rsidRPr="00BC19B6">
        <w:rPr>
          <w:rFonts w:asciiTheme="majorHAnsi" w:eastAsia="Times New Roman" w:hAnsiTheme="majorHAnsi" w:cstheme="majorHAnsi"/>
          <w:sz w:val="23"/>
          <w:szCs w:val="23"/>
          <w:lang w:eastAsia="en-GB"/>
        </w:rPr>
        <w:t>ousing.</w:t>
      </w:r>
    </w:p>
    <w:p w14:paraId="4D960321" w14:textId="77777777" w:rsidR="00F00E3D" w:rsidRPr="004138DB" w:rsidRDefault="00F00E3D" w:rsidP="009B2FA7">
      <w:pPr>
        <w:spacing w:after="0" w:line="276" w:lineRule="auto"/>
        <w:contextualSpacing/>
        <w:rPr>
          <w:rFonts w:asciiTheme="majorHAnsi" w:eastAsia="Times New Roman" w:hAnsiTheme="majorHAnsi" w:cstheme="majorHAnsi"/>
          <w:sz w:val="12"/>
          <w:szCs w:val="12"/>
          <w:lang w:eastAsia="en-GB"/>
        </w:rPr>
      </w:pPr>
    </w:p>
    <w:tbl>
      <w:tblPr>
        <w:tblStyle w:val="TableGrid"/>
        <w:tblW w:w="0" w:type="auto"/>
        <w:tblLook w:val="04A0" w:firstRow="1" w:lastRow="0" w:firstColumn="1" w:lastColumn="0" w:noHBand="0" w:noVBand="1"/>
      </w:tblPr>
      <w:tblGrid>
        <w:gridCol w:w="4505"/>
        <w:gridCol w:w="1302"/>
      </w:tblGrid>
      <w:tr w:rsidR="00193FBE" w:rsidRPr="00DC7420" w14:paraId="4F7890D2" w14:textId="77777777" w:rsidTr="00193FBE">
        <w:tc>
          <w:tcPr>
            <w:tcW w:w="4505" w:type="dxa"/>
            <w:shd w:val="clear" w:color="auto" w:fill="D0CECE" w:themeFill="background2" w:themeFillShade="E6"/>
          </w:tcPr>
          <w:p w14:paraId="0F02F7BC" w14:textId="17B59652" w:rsidR="00F00E3D" w:rsidRPr="00DC7420" w:rsidRDefault="00D95573" w:rsidP="009B2FA7">
            <w:pPr>
              <w:spacing w:line="276" w:lineRule="auto"/>
              <w:contextualSpacing/>
              <w:rPr>
                <w:rFonts w:eastAsia="Times New Roman" w:cstheme="minorHAnsi"/>
                <w:b/>
                <w:bCs/>
                <w:sz w:val="21"/>
                <w:szCs w:val="21"/>
                <w:lang w:eastAsia="en-GB"/>
              </w:rPr>
            </w:pPr>
            <w:r>
              <w:rPr>
                <w:rFonts w:eastAsia="Times New Roman" w:cstheme="minorHAnsi"/>
                <w:b/>
                <w:bCs/>
                <w:sz w:val="21"/>
                <w:szCs w:val="21"/>
                <w:lang w:eastAsia="en-GB"/>
              </w:rPr>
              <w:t>Practice Domain</w:t>
            </w:r>
          </w:p>
        </w:tc>
        <w:tc>
          <w:tcPr>
            <w:tcW w:w="1302" w:type="dxa"/>
            <w:shd w:val="clear" w:color="auto" w:fill="D0CECE" w:themeFill="background2" w:themeFillShade="E6"/>
          </w:tcPr>
          <w:p w14:paraId="7FE6AC9A" w14:textId="77777777" w:rsidR="00F00E3D" w:rsidRPr="00DC7420" w:rsidRDefault="00F00E3D" w:rsidP="009B2FA7">
            <w:pPr>
              <w:spacing w:line="276" w:lineRule="auto"/>
              <w:contextualSpacing/>
              <w:rPr>
                <w:rFonts w:eastAsia="Times New Roman" w:cstheme="minorHAnsi"/>
                <w:b/>
                <w:bCs/>
                <w:sz w:val="21"/>
                <w:szCs w:val="21"/>
                <w:lang w:eastAsia="en-GB"/>
              </w:rPr>
            </w:pPr>
            <w:r w:rsidRPr="00DC7420">
              <w:rPr>
                <w:rFonts w:eastAsia="Times New Roman" w:cstheme="minorHAnsi"/>
                <w:b/>
                <w:bCs/>
                <w:sz w:val="21"/>
                <w:szCs w:val="21"/>
                <w:lang w:eastAsia="en-GB"/>
              </w:rPr>
              <w:t># Studies</w:t>
            </w:r>
          </w:p>
        </w:tc>
      </w:tr>
      <w:tr w:rsidR="00F00E3D" w:rsidRPr="00DC7420" w14:paraId="49268E2B" w14:textId="77777777" w:rsidTr="009B2FA7">
        <w:tc>
          <w:tcPr>
            <w:tcW w:w="4505" w:type="dxa"/>
          </w:tcPr>
          <w:p w14:paraId="5F58B250"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All</w:t>
            </w:r>
          </w:p>
        </w:tc>
        <w:tc>
          <w:tcPr>
            <w:tcW w:w="1302" w:type="dxa"/>
          </w:tcPr>
          <w:p w14:paraId="68BD81B9"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23</w:t>
            </w:r>
          </w:p>
        </w:tc>
      </w:tr>
      <w:tr w:rsidR="00F00E3D" w:rsidRPr="00DC7420" w14:paraId="6330BD58" w14:textId="77777777" w:rsidTr="009B2FA7">
        <w:tc>
          <w:tcPr>
            <w:tcW w:w="4505" w:type="dxa"/>
          </w:tcPr>
          <w:p w14:paraId="6728DA0A"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Education</w:t>
            </w:r>
          </w:p>
        </w:tc>
        <w:tc>
          <w:tcPr>
            <w:tcW w:w="1302" w:type="dxa"/>
          </w:tcPr>
          <w:p w14:paraId="2541AA58"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186F7783" w14:textId="77777777" w:rsidTr="009B2FA7">
        <w:tc>
          <w:tcPr>
            <w:tcW w:w="4505" w:type="dxa"/>
          </w:tcPr>
          <w:p w14:paraId="5FDCCED4"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Education, Health &amp; Wellbeing</w:t>
            </w:r>
          </w:p>
        </w:tc>
        <w:tc>
          <w:tcPr>
            <w:tcW w:w="1302" w:type="dxa"/>
          </w:tcPr>
          <w:p w14:paraId="34F79081"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2</w:t>
            </w:r>
          </w:p>
        </w:tc>
      </w:tr>
      <w:tr w:rsidR="00F00E3D" w:rsidRPr="00DC7420" w14:paraId="0D1541A7" w14:textId="77777777" w:rsidTr="009B2FA7">
        <w:tc>
          <w:tcPr>
            <w:tcW w:w="4505" w:type="dxa"/>
          </w:tcPr>
          <w:p w14:paraId="07489D7B"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Education, Housing</w:t>
            </w:r>
          </w:p>
        </w:tc>
        <w:tc>
          <w:tcPr>
            <w:tcW w:w="1302" w:type="dxa"/>
          </w:tcPr>
          <w:p w14:paraId="07CE36B4"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416498FF" w14:textId="77777777" w:rsidTr="009B2FA7">
        <w:tc>
          <w:tcPr>
            <w:tcW w:w="4505" w:type="dxa"/>
          </w:tcPr>
          <w:p w14:paraId="0384683B"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Education, Housing, Employment</w:t>
            </w:r>
          </w:p>
        </w:tc>
        <w:tc>
          <w:tcPr>
            <w:tcW w:w="1302" w:type="dxa"/>
          </w:tcPr>
          <w:p w14:paraId="099F5AA1"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6A1964ED" w14:textId="77777777" w:rsidTr="009B2FA7">
        <w:tc>
          <w:tcPr>
            <w:tcW w:w="4505" w:type="dxa"/>
          </w:tcPr>
          <w:p w14:paraId="4B4E458E"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Education, Liveability, Employment</w:t>
            </w:r>
          </w:p>
        </w:tc>
        <w:tc>
          <w:tcPr>
            <w:tcW w:w="1302" w:type="dxa"/>
          </w:tcPr>
          <w:p w14:paraId="14CF270A"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47667499" w14:textId="77777777" w:rsidTr="009B2FA7">
        <w:tc>
          <w:tcPr>
            <w:tcW w:w="4505" w:type="dxa"/>
          </w:tcPr>
          <w:p w14:paraId="6B41BE13"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Education, Liveability, Health &amp; Wellbeing</w:t>
            </w:r>
          </w:p>
        </w:tc>
        <w:tc>
          <w:tcPr>
            <w:tcW w:w="1302" w:type="dxa"/>
          </w:tcPr>
          <w:p w14:paraId="5425C0E8"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19B0470A" w14:textId="77777777" w:rsidTr="009B2FA7">
        <w:tc>
          <w:tcPr>
            <w:tcW w:w="4505" w:type="dxa"/>
          </w:tcPr>
          <w:p w14:paraId="4093F623"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Employment</w:t>
            </w:r>
          </w:p>
        </w:tc>
        <w:tc>
          <w:tcPr>
            <w:tcW w:w="1302" w:type="dxa"/>
          </w:tcPr>
          <w:p w14:paraId="07566D6B"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27B7979D" w14:textId="77777777" w:rsidTr="009B2FA7">
        <w:tc>
          <w:tcPr>
            <w:tcW w:w="4505" w:type="dxa"/>
          </w:tcPr>
          <w:p w14:paraId="1AA201B5"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Employment, Health &amp; Wellbeing</w:t>
            </w:r>
          </w:p>
        </w:tc>
        <w:tc>
          <w:tcPr>
            <w:tcW w:w="1302" w:type="dxa"/>
          </w:tcPr>
          <w:p w14:paraId="542843A3"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6225506F" w14:textId="77777777" w:rsidTr="009B2FA7">
        <w:tc>
          <w:tcPr>
            <w:tcW w:w="4505" w:type="dxa"/>
          </w:tcPr>
          <w:p w14:paraId="49401BE1"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Health &amp; Wellbeing</w:t>
            </w:r>
          </w:p>
        </w:tc>
        <w:tc>
          <w:tcPr>
            <w:tcW w:w="1302" w:type="dxa"/>
          </w:tcPr>
          <w:p w14:paraId="3B7A6945"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40</w:t>
            </w:r>
          </w:p>
        </w:tc>
      </w:tr>
      <w:tr w:rsidR="00F00E3D" w:rsidRPr="00DC7420" w14:paraId="297A4A55" w14:textId="77777777" w:rsidTr="009B2FA7">
        <w:tc>
          <w:tcPr>
            <w:tcW w:w="4505" w:type="dxa"/>
          </w:tcPr>
          <w:p w14:paraId="4C8BA065"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Housing</w:t>
            </w:r>
          </w:p>
        </w:tc>
        <w:tc>
          <w:tcPr>
            <w:tcW w:w="1302" w:type="dxa"/>
          </w:tcPr>
          <w:p w14:paraId="23951604"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11</w:t>
            </w:r>
          </w:p>
        </w:tc>
      </w:tr>
      <w:tr w:rsidR="00F00E3D" w:rsidRPr="00DC7420" w14:paraId="7FE2209F" w14:textId="77777777" w:rsidTr="009B2FA7">
        <w:tc>
          <w:tcPr>
            <w:tcW w:w="4505" w:type="dxa"/>
          </w:tcPr>
          <w:p w14:paraId="53825F2B"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Housing, Health &amp; Wellbeing</w:t>
            </w:r>
          </w:p>
        </w:tc>
        <w:tc>
          <w:tcPr>
            <w:tcW w:w="1302" w:type="dxa"/>
          </w:tcPr>
          <w:p w14:paraId="4B89C89E"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9</w:t>
            </w:r>
          </w:p>
        </w:tc>
      </w:tr>
      <w:tr w:rsidR="00F00E3D" w:rsidRPr="00DC7420" w14:paraId="52A8981F" w14:textId="77777777" w:rsidTr="009B2FA7">
        <w:tc>
          <w:tcPr>
            <w:tcW w:w="4505" w:type="dxa"/>
          </w:tcPr>
          <w:p w14:paraId="210A820E"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Housing, Liveability</w:t>
            </w:r>
          </w:p>
        </w:tc>
        <w:tc>
          <w:tcPr>
            <w:tcW w:w="1302" w:type="dxa"/>
          </w:tcPr>
          <w:p w14:paraId="2B2C042A"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2</w:t>
            </w:r>
          </w:p>
        </w:tc>
      </w:tr>
      <w:tr w:rsidR="00F00E3D" w:rsidRPr="00DC7420" w14:paraId="5BCEAE73" w14:textId="77777777" w:rsidTr="009B2FA7">
        <w:tc>
          <w:tcPr>
            <w:tcW w:w="4505" w:type="dxa"/>
          </w:tcPr>
          <w:p w14:paraId="28E0C770"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Housing, Liveability, Health &amp; Wellbeing</w:t>
            </w:r>
          </w:p>
        </w:tc>
        <w:tc>
          <w:tcPr>
            <w:tcW w:w="1302" w:type="dxa"/>
          </w:tcPr>
          <w:p w14:paraId="524FD5EC"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2</w:t>
            </w:r>
          </w:p>
        </w:tc>
      </w:tr>
      <w:tr w:rsidR="00F00E3D" w:rsidRPr="00DC7420" w14:paraId="709D89AD" w14:textId="77777777" w:rsidTr="009B2FA7">
        <w:tc>
          <w:tcPr>
            <w:tcW w:w="4505" w:type="dxa"/>
          </w:tcPr>
          <w:p w14:paraId="23076B50"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Liveability</w:t>
            </w:r>
          </w:p>
        </w:tc>
        <w:tc>
          <w:tcPr>
            <w:tcW w:w="1302" w:type="dxa"/>
          </w:tcPr>
          <w:p w14:paraId="6EACA75D"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4B046B93" w14:textId="77777777" w:rsidTr="009B2FA7">
        <w:tc>
          <w:tcPr>
            <w:tcW w:w="4505" w:type="dxa"/>
          </w:tcPr>
          <w:p w14:paraId="66B7AB74"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Liveability, Employment, Health &amp; Wellbeing</w:t>
            </w:r>
          </w:p>
        </w:tc>
        <w:tc>
          <w:tcPr>
            <w:tcW w:w="1302" w:type="dxa"/>
          </w:tcPr>
          <w:p w14:paraId="2F3979DA"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2</w:t>
            </w:r>
          </w:p>
        </w:tc>
      </w:tr>
      <w:tr w:rsidR="00F00E3D" w:rsidRPr="00DC7420" w14:paraId="517D2EA4" w14:textId="77777777" w:rsidTr="009B2FA7">
        <w:tc>
          <w:tcPr>
            <w:tcW w:w="4505" w:type="dxa"/>
          </w:tcPr>
          <w:p w14:paraId="039FB5E8" w14:textId="77777777" w:rsidR="00F00E3D" w:rsidRPr="00DC7420" w:rsidRDefault="00F00E3D" w:rsidP="00193FBE">
            <w:pPr>
              <w:spacing w:after="0"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Liveability, Health &amp; Wellbeing</w:t>
            </w:r>
          </w:p>
        </w:tc>
        <w:tc>
          <w:tcPr>
            <w:tcW w:w="1302" w:type="dxa"/>
          </w:tcPr>
          <w:p w14:paraId="21122E0B" w14:textId="77777777" w:rsidR="00F00E3D" w:rsidRPr="00DC7420" w:rsidRDefault="00F00E3D" w:rsidP="00193FBE">
            <w:pPr>
              <w:spacing w:after="0"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4</w:t>
            </w:r>
          </w:p>
        </w:tc>
      </w:tr>
    </w:tbl>
    <w:p w14:paraId="6412B533" w14:textId="40294FF4" w:rsidR="000E3CA9" w:rsidRDefault="00F00E3D">
      <w:pPr>
        <w:spacing w:after="0" w:line="240" w:lineRule="auto"/>
        <w:contextualSpacing/>
        <w:rPr>
          <w:rFonts w:eastAsia="Times New Roman" w:cstheme="minorHAnsi"/>
          <w:b/>
          <w:bCs/>
          <w:sz w:val="21"/>
          <w:szCs w:val="21"/>
          <w:lang w:eastAsia="en-GB"/>
        </w:rPr>
      </w:pPr>
      <w:bookmarkStart w:id="44" w:name="OLE_LINKTable118"/>
      <w:r w:rsidRPr="004D7F9B">
        <w:rPr>
          <w:rFonts w:eastAsia="Times New Roman" w:cstheme="minorHAnsi"/>
          <w:b/>
          <w:bCs/>
          <w:sz w:val="21"/>
          <w:szCs w:val="21"/>
          <w:lang w:eastAsia="en-GB"/>
        </w:rPr>
        <w:t xml:space="preserve">Table </w:t>
      </w:r>
      <w:r w:rsidR="00DC7420" w:rsidRPr="004D7F9B">
        <w:rPr>
          <w:rFonts w:eastAsia="Times New Roman" w:cstheme="minorHAnsi"/>
          <w:b/>
          <w:bCs/>
          <w:sz w:val="21"/>
          <w:szCs w:val="21"/>
          <w:lang w:eastAsia="en-GB"/>
        </w:rPr>
        <w:t>3.12</w:t>
      </w:r>
      <w:r w:rsidR="00193FBE" w:rsidRPr="004D7F9B">
        <w:rPr>
          <w:rFonts w:eastAsia="Times New Roman" w:cstheme="minorHAnsi"/>
          <w:b/>
          <w:bCs/>
          <w:sz w:val="21"/>
          <w:szCs w:val="21"/>
          <w:lang w:eastAsia="en-GB"/>
        </w:rPr>
        <w:t xml:space="preserve">: Interventions: </w:t>
      </w:r>
      <w:r w:rsidRPr="004D7F9B">
        <w:rPr>
          <w:rFonts w:eastAsia="Times New Roman" w:cstheme="minorHAnsi"/>
          <w:b/>
          <w:bCs/>
          <w:sz w:val="21"/>
          <w:szCs w:val="21"/>
          <w:lang w:eastAsia="en-GB"/>
        </w:rPr>
        <w:t xml:space="preserve">Spread </w:t>
      </w:r>
      <w:r w:rsidR="00193FBE" w:rsidRPr="004D7F9B">
        <w:rPr>
          <w:rFonts w:eastAsia="Times New Roman" w:cstheme="minorHAnsi"/>
          <w:b/>
          <w:bCs/>
          <w:sz w:val="21"/>
          <w:szCs w:val="21"/>
          <w:lang w:eastAsia="en-GB"/>
        </w:rPr>
        <w:t xml:space="preserve">of </w:t>
      </w:r>
      <w:r w:rsidR="00D95573">
        <w:rPr>
          <w:rFonts w:eastAsia="Times New Roman" w:cstheme="minorHAnsi"/>
          <w:b/>
          <w:bCs/>
          <w:sz w:val="21"/>
          <w:szCs w:val="21"/>
          <w:lang w:eastAsia="en-GB"/>
        </w:rPr>
        <w:t>Practice Domain</w:t>
      </w:r>
      <w:r w:rsidRPr="004D7F9B">
        <w:rPr>
          <w:rFonts w:eastAsia="Times New Roman" w:cstheme="minorHAnsi"/>
          <w:b/>
          <w:bCs/>
          <w:sz w:val="21"/>
          <w:szCs w:val="21"/>
          <w:lang w:eastAsia="en-GB"/>
        </w:rPr>
        <w:t xml:space="preserve">s </w:t>
      </w:r>
      <w:r w:rsidR="00193FBE" w:rsidRPr="004D7F9B">
        <w:rPr>
          <w:rFonts w:eastAsia="Times New Roman" w:cstheme="minorHAnsi"/>
          <w:b/>
          <w:bCs/>
          <w:sz w:val="21"/>
          <w:szCs w:val="21"/>
          <w:lang w:eastAsia="en-GB"/>
        </w:rPr>
        <w:t>Addressed in Sampled Literature</w:t>
      </w:r>
      <w:bookmarkEnd w:id="44"/>
      <w:r w:rsidR="000E3CA9">
        <w:rPr>
          <w:rFonts w:eastAsia="Times New Roman" w:cstheme="minorHAnsi"/>
          <w:b/>
          <w:bCs/>
          <w:sz w:val="21"/>
          <w:szCs w:val="21"/>
          <w:lang w:eastAsia="en-GB"/>
        </w:rPr>
        <w:br w:type="page"/>
      </w:r>
    </w:p>
    <w:p w14:paraId="6A726550" w14:textId="2D0A30E3" w:rsidR="00F00E3D" w:rsidRPr="000E3CA9" w:rsidRDefault="000E3CA9" w:rsidP="009B2FA7">
      <w:pPr>
        <w:spacing w:after="0" w:line="276" w:lineRule="auto"/>
        <w:contextualSpacing/>
        <w:rPr>
          <w:rFonts w:asciiTheme="majorHAnsi" w:eastAsia="Times New Roman" w:hAnsiTheme="majorHAnsi" w:cstheme="majorHAnsi"/>
          <w:sz w:val="23"/>
          <w:szCs w:val="23"/>
          <w:lang w:eastAsia="en-GB"/>
        </w:rPr>
      </w:pPr>
      <w:r w:rsidRPr="000E3CA9">
        <w:rPr>
          <w:rFonts w:asciiTheme="majorHAnsi" w:eastAsia="Times New Roman" w:hAnsiTheme="majorHAnsi" w:cstheme="majorHAnsi"/>
          <w:sz w:val="23"/>
          <w:szCs w:val="23"/>
          <w:lang w:eastAsia="en-GB"/>
        </w:rPr>
        <w:lastRenderedPageBreak/>
        <w:t>Once a</w:t>
      </w:r>
      <w:r w:rsidR="00F00E3D" w:rsidRPr="000E3CA9">
        <w:rPr>
          <w:rFonts w:asciiTheme="majorHAnsi" w:eastAsia="Times New Roman" w:hAnsiTheme="majorHAnsi" w:cstheme="majorHAnsi"/>
          <w:sz w:val="23"/>
          <w:szCs w:val="23"/>
          <w:lang w:eastAsia="en-GB"/>
        </w:rPr>
        <w:t xml:space="preserve">gain, the high number of interventions that span two or more domains reflects the fact that disadvantage is a multidimensional </w:t>
      </w:r>
      <w:r w:rsidR="00193FBE" w:rsidRPr="000E3CA9">
        <w:rPr>
          <w:rFonts w:asciiTheme="majorHAnsi" w:eastAsia="Times New Roman" w:hAnsiTheme="majorHAnsi" w:cstheme="majorHAnsi"/>
          <w:sz w:val="23"/>
          <w:szCs w:val="23"/>
          <w:lang w:eastAsia="en-GB"/>
        </w:rPr>
        <w:t>phenomenon,</w:t>
      </w:r>
      <w:r w:rsidR="00F00E3D" w:rsidRPr="000E3CA9">
        <w:rPr>
          <w:rFonts w:asciiTheme="majorHAnsi" w:eastAsia="Times New Roman" w:hAnsiTheme="majorHAnsi" w:cstheme="majorHAnsi"/>
          <w:sz w:val="23"/>
          <w:szCs w:val="23"/>
          <w:lang w:eastAsia="en-GB"/>
        </w:rPr>
        <w:t xml:space="preserve"> requiring multidimensional solutions. After Health and Wellbeing, Housing was again the next most common domain of intervention, discussed in 26 articles, </w:t>
      </w:r>
      <w:r w:rsidR="00193FBE" w:rsidRPr="000E3CA9">
        <w:rPr>
          <w:rFonts w:asciiTheme="majorHAnsi" w:eastAsia="Times New Roman" w:hAnsiTheme="majorHAnsi" w:cstheme="majorHAnsi"/>
          <w:sz w:val="23"/>
          <w:szCs w:val="23"/>
          <w:lang w:eastAsia="en-GB"/>
        </w:rPr>
        <w:t>most of which</w:t>
      </w:r>
      <w:r w:rsidR="00F00E3D" w:rsidRPr="000E3CA9">
        <w:rPr>
          <w:rFonts w:asciiTheme="majorHAnsi" w:eastAsia="Times New Roman" w:hAnsiTheme="majorHAnsi" w:cstheme="majorHAnsi"/>
          <w:sz w:val="23"/>
          <w:szCs w:val="23"/>
          <w:lang w:eastAsia="en-GB"/>
        </w:rPr>
        <w:t xml:space="preserve"> (15) link</w:t>
      </w:r>
      <w:r w:rsidR="00193FBE" w:rsidRPr="000E3CA9">
        <w:rPr>
          <w:rFonts w:asciiTheme="majorHAnsi" w:eastAsia="Times New Roman" w:hAnsiTheme="majorHAnsi" w:cstheme="majorHAnsi"/>
          <w:sz w:val="23"/>
          <w:szCs w:val="23"/>
          <w:lang w:eastAsia="en-GB"/>
        </w:rPr>
        <w:t>ed</w:t>
      </w:r>
      <w:r w:rsidR="00F00E3D" w:rsidRPr="000E3CA9">
        <w:rPr>
          <w:rFonts w:asciiTheme="majorHAnsi" w:eastAsia="Times New Roman" w:hAnsiTheme="majorHAnsi" w:cstheme="majorHAnsi"/>
          <w:sz w:val="23"/>
          <w:szCs w:val="23"/>
          <w:lang w:eastAsia="en-GB"/>
        </w:rPr>
        <w:t xml:space="preserve"> Housing to other domains. </w:t>
      </w:r>
    </w:p>
    <w:p w14:paraId="41A598FC" w14:textId="77777777" w:rsidR="00F00E3D" w:rsidRPr="000E3CA9" w:rsidRDefault="00F00E3D" w:rsidP="009B2FA7">
      <w:pPr>
        <w:spacing w:after="0" w:line="276" w:lineRule="auto"/>
        <w:contextualSpacing/>
        <w:rPr>
          <w:rFonts w:asciiTheme="majorHAnsi" w:eastAsia="Times New Roman" w:hAnsiTheme="majorHAnsi" w:cstheme="majorHAnsi"/>
          <w:sz w:val="16"/>
          <w:szCs w:val="16"/>
          <w:lang w:eastAsia="en-GB"/>
        </w:rPr>
      </w:pPr>
    </w:p>
    <w:p w14:paraId="08EADD1B" w14:textId="338ADDE9" w:rsidR="00F00E3D" w:rsidRPr="000E3CA9" w:rsidRDefault="00F00E3D" w:rsidP="009B2FA7">
      <w:pPr>
        <w:spacing w:after="0" w:line="276" w:lineRule="auto"/>
        <w:contextualSpacing/>
        <w:rPr>
          <w:rFonts w:asciiTheme="majorHAnsi" w:eastAsia="Times New Roman" w:hAnsiTheme="majorHAnsi" w:cstheme="majorHAnsi"/>
          <w:sz w:val="23"/>
          <w:szCs w:val="23"/>
          <w:lang w:eastAsia="en-GB"/>
        </w:rPr>
      </w:pPr>
      <w:r w:rsidRPr="000E3CA9">
        <w:rPr>
          <w:rFonts w:asciiTheme="majorHAnsi" w:eastAsia="Times New Roman" w:hAnsiTheme="majorHAnsi" w:cstheme="majorHAnsi"/>
          <w:sz w:val="23"/>
          <w:szCs w:val="23"/>
          <w:lang w:eastAsia="en-GB"/>
        </w:rPr>
        <w:t xml:space="preserve">Multidisciplinary and multi-sector approaches were common, with their efficacy highlighted. For example, a shared, cross-sector approach to revitalising the US state of New Jersey’s low-income neighbourhoods was found to produce “an impressive level of concentrated activity across a variety of disciplines” (Greco, 2013, p. 55). Four articles considered a cross-domain approach that sought to integrate public health and housing policy. Researchers argued this approach has “the potential to contribute to the </w:t>
      </w:r>
      <w:r w:rsidR="00193FBE" w:rsidRPr="000E3CA9">
        <w:rPr>
          <w:rFonts w:asciiTheme="majorHAnsi" w:eastAsia="Times New Roman" w:hAnsiTheme="majorHAnsi" w:cstheme="majorHAnsi"/>
          <w:sz w:val="23"/>
          <w:szCs w:val="23"/>
          <w:lang w:eastAsia="en-GB"/>
        </w:rPr>
        <w:t>“</w:t>
      </w:r>
      <w:r w:rsidRPr="000E3CA9">
        <w:rPr>
          <w:rFonts w:asciiTheme="majorHAnsi" w:eastAsia="Times New Roman" w:hAnsiTheme="majorHAnsi" w:cstheme="majorHAnsi"/>
          <w:sz w:val="23"/>
          <w:szCs w:val="23"/>
          <w:lang w:eastAsia="en-GB"/>
        </w:rPr>
        <w:t>triple win</w:t>
      </w:r>
      <w:r w:rsidR="00193FBE" w:rsidRPr="000E3CA9">
        <w:rPr>
          <w:rFonts w:asciiTheme="majorHAnsi" w:eastAsia="Times New Roman" w:hAnsiTheme="majorHAnsi" w:cstheme="majorHAnsi"/>
          <w:sz w:val="23"/>
          <w:szCs w:val="23"/>
          <w:lang w:eastAsia="en-GB"/>
        </w:rPr>
        <w:t>”</w:t>
      </w:r>
      <w:r w:rsidRPr="000E3CA9">
        <w:rPr>
          <w:rFonts w:asciiTheme="majorHAnsi" w:eastAsia="Times New Roman" w:hAnsiTheme="majorHAnsi" w:cstheme="majorHAnsi"/>
          <w:sz w:val="23"/>
          <w:szCs w:val="23"/>
          <w:lang w:eastAsia="en-GB"/>
        </w:rPr>
        <w:t xml:space="preserve"> of health and well-being, equity, and environmental sustainability” (Sharpe et al., 2018, p. 1), and saw “strong potential for cross-sector collaborations to reduce health disparities and slow the growth of health care spending, while at the same time improving economic and social well-being” (Erickson &amp; Andrews, 2011, p. 2056).</w:t>
      </w:r>
    </w:p>
    <w:p w14:paraId="35311B51" w14:textId="77777777" w:rsidR="00F00E3D" w:rsidRPr="000E3CA9" w:rsidRDefault="00F00E3D" w:rsidP="009B2FA7">
      <w:pPr>
        <w:spacing w:after="0" w:line="276" w:lineRule="auto"/>
        <w:contextualSpacing/>
        <w:rPr>
          <w:rFonts w:asciiTheme="majorHAnsi" w:eastAsia="Times New Roman" w:hAnsiTheme="majorHAnsi" w:cstheme="majorHAnsi"/>
          <w:sz w:val="16"/>
          <w:szCs w:val="16"/>
          <w:lang w:eastAsia="en-GB"/>
        </w:rPr>
      </w:pPr>
    </w:p>
    <w:p w14:paraId="37F1C958" w14:textId="77777777" w:rsidR="00F00E3D" w:rsidRDefault="00F00E3D" w:rsidP="009B2FA7">
      <w:pPr>
        <w:spacing w:after="0" w:line="276" w:lineRule="auto"/>
        <w:contextualSpacing/>
        <w:rPr>
          <w:rFonts w:asciiTheme="majorHAnsi" w:eastAsia="Times New Roman" w:hAnsiTheme="majorHAnsi" w:cstheme="majorHAnsi"/>
          <w:sz w:val="23"/>
          <w:szCs w:val="23"/>
          <w:lang w:eastAsia="en-GB"/>
        </w:rPr>
      </w:pPr>
      <w:bookmarkStart w:id="45" w:name="OLE_LINKmultipronged"/>
      <w:r>
        <w:rPr>
          <w:rFonts w:asciiTheme="majorHAnsi" w:eastAsia="Times New Roman" w:hAnsiTheme="majorHAnsi" w:cstheme="majorHAnsi"/>
          <w:sz w:val="23"/>
          <w:szCs w:val="23"/>
          <w:lang w:eastAsia="en-GB"/>
        </w:rPr>
        <w:t>Some researchers expressed r</w:t>
      </w:r>
      <w:r w:rsidRPr="00BC19B6">
        <w:rPr>
          <w:rFonts w:asciiTheme="majorHAnsi" w:eastAsia="Times New Roman" w:hAnsiTheme="majorHAnsi" w:cstheme="majorHAnsi"/>
          <w:sz w:val="23"/>
          <w:szCs w:val="23"/>
          <w:lang w:eastAsia="en-GB"/>
        </w:rPr>
        <w:t xml:space="preserve">eservations about multi-pronged approaches. In an article on the increasing use of multisectoral partnership initiatives and community participation </w:t>
      </w:r>
      <w:r>
        <w:rPr>
          <w:rFonts w:asciiTheme="majorHAnsi" w:eastAsia="Times New Roman" w:hAnsiTheme="majorHAnsi" w:cstheme="majorHAnsi"/>
          <w:sz w:val="23"/>
          <w:szCs w:val="23"/>
          <w:lang w:eastAsia="en-GB"/>
        </w:rPr>
        <w:t>to tackle</w:t>
      </w:r>
      <w:r w:rsidRPr="00BC19B6">
        <w:rPr>
          <w:rFonts w:asciiTheme="majorHAnsi" w:eastAsia="Times New Roman" w:hAnsiTheme="majorHAnsi" w:cstheme="majorHAnsi"/>
          <w:sz w:val="23"/>
          <w:szCs w:val="23"/>
          <w:lang w:eastAsia="en-GB"/>
        </w:rPr>
        <w:t xml:space="preserve"> health and social disadvantage</w:t>
      </w:r>
      <w:r>
        <w:rPr>
          <w:rFonts w:asciiTheme="majorHAnsi" w:eastAsia="Times New Roman" w:hAnsiTheme="majorHAnsi" w:cstheme="majorHAnsi"/>
          <w:sz w:val="23"/>
          <w:szCs w:val="23"/>
          <w:lang w:eastAsia="en-GB"/>
        </w:rPr>
        <w:t xml:space="preserve"> in the UK</w:t>
      </w:r>
      <w:r w:rsidRPr="00BC19B6">
        <w:rPr>
          <w:rFonts w:asciiTheme="majorHAnsi" w:eastAsia="Times New Roman" w:hAnsiTheme="majorHAnsi" w:cstheme="majorHAnsi"/>
          <w:sz w:val="23"/>
          <w:szCs w:val="23"/>
          <w:lang w:eastAsia="en-GB"/>
        </w:rPr>
        <w:t xml:space="preserve">, Carlisle found that “partnership proved to be risky territory for all involved, marked by rivalry and suspicion between SIP [Social Inclusion Partnership] members, rather than co-operation, whilst health promotion and social inclusion priorities conflicted with those of community development and regeneration” </w:t>
      </w:r>
      <w:r>
        <w:rPr>
          <w:rFonts w:asciiTheme="majorHAnsi" w:eastAsia="Times New Roman" w:hAnsiTheme="majorHAnsi" w:cstheme="majorHAnsi"/>
          <w:noProof/>
          <w:sz w:val="23"/>
          <w:szCs w:val="23"/>
          <w:lang w:eastAsia="en-GB"/>
        </w:rPr>
        <w:t>(Carlisle, 2010, p. 117)</w:t>
      </w:r>
      <w:r w:rsidRPr="00BC19B6">
        <w:rPr>
          <w:rFonts w:asciiTheme="majorHAnsi" w:eastAsia="Times New Roman" w:hAnsiTheme="majorHAnsi" w:cstheme="majorHAnsi"/>
          <w:sz w:val="23"/>
          <w:szCs w:val="23"/>
          <w:lang w:eastAsia="en-GB"/>
        </w:rPr>
        <w:t>.</w:t>
      </w:r>
    </w:p>
    <w:bookmarkEnd w:id="45"/>
    <w:p w14:paraId="51C6036B" w14:textId="77777777" w:rsidR="00F00E3D" w:rsidRPr="00BF5FB2" w:rsidRDefault="00F00E3D" w:rsidP="009B2FA7">
      <w:pPr>
        <w:spacing w:after="0" w:line="276" w:lineRule="auto"/>
        <w:contextualSpacing/>
        <w:rPr>
          <w:rFonts w:asciiTheme="majorHAnsi" w:eastAsia="Times New Roman" w:hAnsiTheme="majorHAnsi" w:cstheme="majorHAnsi"/>
          <w:sz w:val="16"/>
          <w:szCs w:val="16"/>
          <w:lang w:eastAsia="en-GB"/>
        </w:rPr>
      </w:pPr>
    </w:p>
    <w:p w14:paraId="347E0088" w14:textId="77777777" w:rsidR="00F00E3D" w:rsidRPr="00BC19B6" w:rsidRDefault="00F00E3D" w:rsidP="009B2FA7">
      <w:pPr>
        <w:spacing w:after="0" w:line="276" w:lineRule="auto"/>
        <w:contextualSpacing/>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A</w:t>
      </w:r>
      <w:r w:rsidRPr="00BC19B6">
        <w:rPr>
          <w:rFonts w:asciiTheme="majorHAnsi" w:eastAsia="Times New Roman" w:hAnsiTheme="majorHAnsi" w:cstheme="majorHAnsi"/>
          <w:sz w:val="23"/>
          <w:szCs w:val="23"/>
          <w:lang w:eastAsia="en-GB"/>
        </w:rPr>
        <w:t xml:space="preserve"> US a study </w:t>
      </w:r>
      <w:r>
        <w:rPr>
          <w:rFonts w:asciiTheme="majorHAnsi" w:eastAsia="Times New Roman" w:hAnsiTheme="majorHAnsi" w:cstheme="majorHAnsi"/>
          <w:sz w:val="23"/>
          <w:szCs w:val="23"/>
          <w:lang w:eastAsia="en-GB"/>
        </w:rPr>
        <w:t>examining the</w:t>
      </w:r>
      <w:r w:rsidRPr="00BC19B6">
        <w:rPr>
          <w:rFonts w:asciiTheme="majorHAnsi" w:eastAsia="Times New Roman" w:hAnsiTheme="majorHAnsi" w:cstheme="majorHAnsi"/>
          <w:sz w:val="23"/>
          <w:szCs w:val="23"/>
          <w:lang w:eastAsia="en-GB"/>
        </w:rPr>
        <w:t xml:space="preserve"> outcomes of a multi-sector Neighbourhood Transformation Initiative (NTI) in </w:t>
      </w:r>
      <w:r>
        <w:rPr>
          <w:rFonts w:asciiTheme="majorHAnsi" w:eastAsia="Times New Roman" w:hAnsiTheme="majorHAnsi" w:cstheme="majorHAnsi"/>
          <w:sz w:val="23"/>
          <w:szCs w:val="23"/>
          <w:lang w:eastAsia="en-GB"/>
        </w:rPr>
        <w:t>Baltimore’s</w:t>
      </w:r>
      <w:r w:rsidRPr="00BC19B6">
        <w:rPr>
          <w:rFonts w:asciiTheme="majorHAnsi" w:eastAsia="Times New Roman" w:hAnsiTheme="majorHAnsi" w:cstheme="majorHAnsi"/>
          <w:sz w:val="23"/>
          <w:szCs w:val="23"/>
          <w:lang w:eastAsia="en-GB"/>
        </w:rPr>
        <w:t xml:space="preserve"> Sandtown-Winchester community</w:t>
      </w:r>
      <w:r>
        <w:rPr>
          <w:rFonts w:asciiTheme="majorHAnsi" w:eastAsia="Times New Roman" w:hAnsiTheme="majorHAnsi" w:cstheme="majorHAnsi"/>
          <w:sz w:val="23"/>
          <w:szCs w:val="23"/>
          <w:lang w:eastAsia="en-GB"/>
        </w:rPr>
        <w:t xml:space="preserve"> found </w:t>
      </w:r>
      <w:r w:rsidRPr="00BC19B6">
        <w:rPr>
          <w:rFonts w:asciiTheme="majorHAnsi" w:eastAsia="Times New Roman" w:hAnsiTheme="majorHAnsi" w:cstheme="majorHAnsi"/>
          <w:sz w:val="23"/>
          <w:szCs w:val="23"/>
          <w:lang w:eastAsia="en-GB"/>
        </w:rPr>
        <w:t xml:space="preserve">mixed results. </w:t>
      </w:r>
      <w:r>
        <w:rPr>
          <w:rFonts w:asciiTheme="majorHAnsi" w:eastAsia="Times New Roman" w:hAnsiTheme="majorHAnsi" w:cstheme="majorHAnsi"/>
          <w:sz w:val="23"/>
          <w:szCs w:val="23"/>
          <w:lang w:eastAsia="en-GB"/>
        </w:rPr>
        <w:t>I</w:t>
      </w:r>
      <w:r w:rsidRPr="00BC19B6">
        <w:rPr>
          <w:rFonts w:asciiTheme="majorHAnsi" w:eastAsia="Times New Roman" w:hAnsiTheme="majorHAnsi" w:cstheme="majorHAnsi"/>
          <w:sz w:val="23"/>
          <w:szCs w:val="23"/>
          <w:lang w:eastAsia="en-GB"/>
        </w:rPr>
        <w:t xml:space="preserve">mplemented in the 1990s, </w:t>
      </w:r>
      <w:r>
        <w:rPr>
          <w:rFonts w:asciiTheme="majorHAnsi" w:eastAsia="Times New Roman" w:hAnsiTheme="majorHAnsi" w:cstheme="majorHAnsi"/>
          <w:sz w:val="23"/>
          <w:szCs w:val="23"/>
          <w:lang w:eastAsia="en-GB"/>
        </w:rPr>
        <w:t>t</w:t>
      </w:r>
      <w:r w:rsidRPr="00BC19B6">
        <w:rPr>
          <w:rFonts w:asciiTheme="majorHAnsi" w:eastAsia="Times New Roman" w:hAnsiTheme="majorHAnsi" w:cstheme="majorHAnsi"/>
          <w:sz w:val="23"/>
          <w:szCs w:val="23"/>
          <w:lang w:eastAsia="en-GB"/>
        </w:rPr>
        <w:t xml:space="preserve">his </w:t>
      </w:r>
      <w:r>
        <w:rPr>
          <w:rFonts w:asciiTheme="majorHAnsi" w:eastAsia="Times New Roman" w:hAnsiTheme="majorHAnsi" w:cstheme="majorHAnsi"/>
          <w:sz w:val="23"/>
          <w:szCs w:val="23"/>
          <w:lang w:eastAsia="en-GB"/>
        </w:rPr>
        <w:t>intervention is</w:t>
      </w:r>
      <w:r w:rsidRPr="00BC19B6">
        <w:rPr>
          <w:rFonts w:asciiTheme="majorHAnsi" w:eastAsia="Times New Roman" w:hAnsiTheme="majorHAnsi" w:cstheme="majorHAnsi"/>
          <w:sz w:val="23"/>
          <w:szCs w:val="23"/>
          <w:lang w:eastAsia="en-GB"/>
        </w:rPr>
        <w:t xml:space="preserve"> one of the most well-known urban revitali</w:t>
      </w:r>
      <w:r>
        <w:rPr>
          <w:rFonts w:asciiTheme="majorHAnsi" w:eastAsia="Times New Roman" w:hAnsiTheme="majorHAnsi" w:cstheme="majorHAnsi"/>
          <w:sz w:val="23"/>
          <w:szCs w:val="23"/>
          <w:lang w:eastAsia="en-GB"/>
        </w:rPr>
        <w:t>s</w:t>
      </w:r>
      <w:r w:rsidRPr="00BC19B6">
        <w:rPr>
          <w:rFonts w:asciiTheme="majorHAnsi" w:eastAsia="Times New Roman" w:hAnsiTheme="majorHAnsi" w:cstheme="majorHAnsi"/>
          <w:sz w:val="23"/>
          <w:szCs w:val="23"/>
          <w:lang w:eastAsia="en-GB"/>
        </w:rPr>
        <w:t xml:space="preserve">ation projects in the </w:t>
      </w:r>
      <w:r>
        <w:rPr>
          <w:rFonts w:asciiTheme="majorHAnsi" w:eastAsia="Times New Roman" w:hAnsiTheme="majorHAnsi" w:cstheme="majorHAnsi"/>
          <w:sz w:val="23"/>
          <w:szCs w:val="23"/>
          <w:lang w:eastAsia="en-GB"/>
        </w:rPr>
        <w:t>US,</w:t>
      </w:r>
      <w:r w:rsidRPr="00BC19B6">
        <w:rPr>
          <w:rFonts w:asciiTheme="majorHAnsi" w:eastAsia="Times New Roman" w:hAnsiTheme="majorHAnsi" w:cstheme="majorHAnsi"/>
          <w:sz w:val="23"/>
          <w:szCs w:val="23"/>
          <w:lang w:eastAsia="en-GB"/>
        </w:rPr>
        <w:t xml:space="preserve"> due to its “comprehensive approach to neighborhood redevelopment, including housing construction, education reform, and employment services”. But while </w:t>
      </w:r>
      <w:r>
        <w:rPr>
          <w:rFonts w:asciiTheme="majorHAnsi" w:eastAsia="Times New Roman" w:hAnsiTheme="majorHAnsi" w:cstheme="majorHAnsi"/>
          <w:sz w:val="23"/>
          <w:szCs w:val="23"/>
          <w:lang w:eastAsia="en-GB"/>
        </w:rPr>
        <w:t xml:space="preserve">evaluations found </w:t>
      </w:r>
      <w:r w:rsidRPr="00BC19B6">
        <w:rPr>
          <w:rFonts w:asciiTheme="majorHAnsi" w:eastAsia="Times New Roman" w:hAnsiTheme="majorHAnsi" w:cstheme="majorHAnsi"/>
          <w:sz w:val="23"/>
          <w:szCs w:val="23"/>
          <w:lang w:eastAsia="en-GB"/>
        </w:rPr>
        <w:t>significant increases in homeownership and reductions in unemployment, “there were limited gains elsewhere, as poverty remained high and local schools did not show sustained improvement”</w:t>
      </w:r>
      <w:r>
        <w:rPr>
          <w:rFonts w:asciiTheme="majorHAnsi" w:eastAsia="Times New Roman" w:hAnsiTheme="majorHAnsi" w:cstheme="majorHAnsi"/>
          <w:sz w:val="23"/>
          <w:szCs w:val="23"/>
          <w:lang w:eastAsia="en-GB"/>
        </w:rPr>
        <w:t>. This</w:t>
      </w:r>
      <w:r w:rsidRPr="00BC19B6">
        <w:rPr>
          <w:rFonts w:asciiTheme="majorHAnsi" w:eastAsia="Times New Roman" w:hAnsiTheme="majorHAnsi" w:cstheme="majorHAnsi"/>
          <w:sz w:val="23"/>
          <w:szCs w:val="23"/>
          <w:lang w:eastAsia="en-GB"/>
        </w:rPr>
        <w:t xml:space="preserve"> finding </w:t>
      </w:r>
      <w:r>
        <w:rPr>
          <w:rFonts w:asciiTheme="majorHAnsi" w:eastAsia="Times New Roman" w:hAnsiTheme="majorHAnsi" w:cstheme="majorHAnsi"/>
          <w:sz w:val="23"/>
          <w:szCs w:val="23"/>
          <w:lang w:eastAsia="en-GB"/>
        </w:rPr>
        <w:t>pointed to</w:t>
      </w:r>
      <w:r w:rsidRPr="00BC19B6">
        <w:rPr>
          <w:rFonts w:asciiTheme="majorHAnsi" w:eastAsia="Times New Roman" w:hAnsiTheme="majorHAnsi" w:cstheme="majorHAnsi"/>
          <w:sz w:val="23"/>
          <w:szCs w:val="23"/>
          <w:lang w:eastAsia="en-GB"/>
        </w:rPr>
        <w:t xml:space="preserve"> “the durability of social inequality in high-poverty and racially segregated neighborhoods” </w:t>
      </w:r>
      <w:r>
        <w:rPr>
          <w:rFonts w:asciiTheme="majorHAnsi" w:eastAsia="Times New Roman" w:hAnsiTheme="majorHAnsi" w:cstheme="majorHAnsi"/>
          <w:noProof/>
          <w:sz w:val="23"/>
          <w:szCs w:val="23"/>
          <w:lang w:eastAsia="en-GB"/>
        </w:rPr>
        <w:t>(Rosenblatt &amp; DeLuca, 2017, p. 463)</w:t>
      </w:r>
      <w:r w:rsidRPr="00BC19B6">
        <w:rPr>
          <w:rFonts w:asciiTheme="majorHAnsi" w:eastAsia="Times New Roman" w:hAnsiTheme="majorHAnsi" w:cstheme="majorHAnsi"/>
          <w:sz w:val="23"/>
          <w:szCs w:val="23"/>
          <w:lang w:eastAsia="en-GB"/>
        </w:rPr>
        <w:t xml:space="preserve">. </w:t>
      </w:r>
    </w:p>
    <w:p w14:paraId="60E72105" w14:textId="77777777" w:rsidR="00F00E3D" w:rsidRPr="00BB34EB" w:rsidRDefault="00F00E3D" w:rsidP="009B2FA7">
      <w:pPr>
        <w:spacing w:after="0" w:line="276" w:lineRule="auto"/>
        <w:contextualSpacing/>
        <w:rPr>
          <w:rFonts w:asciiTheme="majorHAnsi" w:eastAsia="Times New Roman" w:hAnsiTheme="majorHAnsi" w:cstheme="majorHAnsi"/>
          <w:sz w:val="16"/>
          <w:szCs w:val="16"/>
          <w:lang w:eastAsia="en-GB"/>
        </w:rPr>
      </w:pPr>
    </w:p>
    <w:p w14:paraId="1DEA9ED3" w14:textId="21743629" w:rsidR="00F00E3D" w:rsidRPr="006B1B41" w:rsidRDefault="00F00E3D" w:rsidP="009B2FA7">
      <w:pPr>
        <w:spacing w:after="0" w:line="276" w:lineRule="auto"/>
        <w:contextualSpacing/>
        <w:rPr>
          <w:rFonts w:asciiTheme="majorHAnsi" w:eastAsia="Times New Roman" w:hAnsiTheme="majorHAnsi" w:cstheme="majorHAnsi"/>
          <w:b/>
          <w:bCs/>
          <w:sz w:val="23"/>
          <w:szCs w:val="23"/>
          <w:lang w:eastAsia="en-GB"/>
        </w:rPr>
      </w:pPr>
      <w:r w:rsidRPr="00BC19B6">
        <w:rPr>
          <w:rFonts w:asciiTheme="majorHAnsi" w:eastAsia="Times New Roman" w:hAnsiTheme="majorHAnsi" w:cstheme="majorHAnsi"/>
          <w:sz w:val="23"/>
          <w:szCs w:val="23"/>
          <w:lang w:eastAsia="en-GB"/>
        </w:rPr>
        <w:t>In sum</w:t>
      </w:r>
      <w:r w:rsidRPr="006B1B41">
        <w:rPr>
          <w:rFonts w:asciiTheme="majorHAnsi" w:eastAsia="Times New Roman" w:hAnsiTheme="majorHAnsi" w:cstheme="majorHAnsi"/>
          <w:sz w:val="23"/>
          <w:szCs w:val="23"/>
          <w:lang w:eastAsia="en-GB"/>
        </w:rPr>
        <w:t xml:space="preserve">, while Health and Wellbeing, followed by Housing, are the most common foci of interventions to address community disadvantage, around half of the interventions </w:t>
      </w:r>
      <w:r w:rsidR="00193FBE">
        <w:rPr>
          <w:rFonts w:asciiTheme="majorHAnsi" w:eastAsia="Times New Roman" w:hAnsiTheme="majorHAnsi" w:cstheme="majorHAnsi"/>
          <w:sz w:val="23"/>
          <w:szCs w:val="23"/>
          <w:lang w:eastAsia="en-GB"/>
        </w:rPr>
        <w:t xml:space="preserve">discussed </w:t>
      </w:r>
      <w:r w:rsidRPr="006B1B41">
        <w:rPr>
          <w:rFonts w:asciiTheme="majorHAnsi" w:eastAsia="Times New Roman" w:hAnsiTheme="majorHAnsi" w:cstheme="majorHAnsi"/>
          <w:sz w:val="23"/>
          <w:szCs w:val="23"/>
          <w:lang w:eastAsia="en-GB"/>
        </w:rPr>
        <w:t xml:space="preserve">in our sample </w:t>
      </w:r>
      <w:r w:rsidR="00193FBE">
        <w:rPr>
          <w:rFonts w:asciiTheme="majorHAnsi" w:eastAsia="Times New Roman" w:hAnsiTheme="majorHAnsi" w:cstheme="majorHAnsi"/>
          <w:sz w:val="23"/>
          <w:szCs w:val="23"/>
          <w:lang w:eastAsia="en-GB"/>
        </w:rPr>
        <w:t xml:space="preserve">of academic studies </w:t>
      </w:r>
      <w:r w:rsidRPr="006B1B41">
        <w:rPr>
          <w:rFonts w:asciiTheme="majorHAnsi" w:eastAsia="Times New Roman" w:hAnsiTheme="majorHAnsi" w:cstheme="majorHAnsi"/>
          <w:sz w:val="23"/>
          <w:szCs w:val="23"/>
          <w:lang w:eastAsia="en-GB"/>
        </w:rPr>
        <w:t xml:space="preserve">spanned </w:t>
      </w:r>
      <w:r w:rsidR="00193FBE">
        <w:rPr>
          <w:rFonts w:asciiTheme="majorHAnsi" w:eastAsia="Times New Roman" w:hAnsiTheme="majorHAnsi" w:cstheme="majorHAnsi"/>
          <w:sz w:val="23"/>
          <w:szCs w:val="23"/>
          <w:lang w:eastAsia="en-GB"/>
        </w:rPr>
        <w:t xml:space="preserve">a number of </w:t>
      </w:r>
      <w:r w:rsidR="00D95573">
        <w:rPr>
          <w:rFonts w:asciiTheme="majorHAnsi" w:eastAsia="Times New Roman" w:hAnsiTheme="majorHAnsi" w:cstheme="majorHAnsi"/>
          <w:sz w:val="23"/>
          <w:szCs w:val="23"/>
          <w:lang w:eastAsia="en-GB"/>
        </w:rPr>
        <w:t>Practice Domain</w:t>
      </w:r>
      <w:r w:rsidRPr="006B1B41">
        <w:rPr>
          <w:rFonts w:asciiTheme="majorHAnsi" w:eastAsia="Times New Roman" w:hAnsiTheme="majorHAnsi" w:cstheme="majorHAnsi"/>
          <w:sz w:val="23"/>
          <w:szCs w:val="23"/>
          <w:lang w:eastAsia="en-GB"/>
        </w:rPr>
        <w:t>s, with Health and Housing being a common shared focus.</w:t>
      </w:r>
    </w:p>
    <w:p w14:paraId="4CDBCE9B" w14:textId="77777777" w:rsidR="00F00E3D" w:rsidRPr="006B1B41" w:rsidRDefault="00F00E3D" w:rsidP="009B2FA7">
      <w:pPr>
        <w:spacing w:after="0" w:line="276" w:lineRule="auto"/>
        <w:contextualSpacing/>
        <w:rPr>
          <w:rFonts w:asciiTheme="majorHAnsi" w:eastAsia="Times New Roman" w:hAnsiTheme="majorHAnsi" w:cstheme="majorHAnsi"/>
          <w:sz w:val="16"/>
          <w:szCs w:val="16"/>
          <w:lang w:eastAsia="en-GB"/>
        </w:rPr>
      </w:pPr>
    </w:p>
    <w:p w14:paraId="2791F4DD" w14:textId="77777777" w:rsidR="00F00E3D" w:rsidRPr="00966B36" w:rsidRDefault="00F00E3D" w:rsidP="009B2FA7">
      <w:pPr>
        <w:spacing w:after="0" w:line="276" w:lineRule="auto"/>
        <w:contextualSpacing/>
        <w:rPr>
          <w:rFonts w:eastAsia="Times New Roman" w:cstheme="minorHAnsi"/>
          <w:b/>
          <w:bCs/>
          <w:sz w:val="25"/>
          <w:szCs w:val="25"/>
          <w:lang w:eastAsia="en-GB"/>
        </w:rPr>
      </w:pPr>
      <w:bookmarkStart w:id="46" w:name="OLE_LINKTypesofIntervention"/>
      <w:r w:rsidRPr="00966B36">
        <w:rPr>
          <w:rFonts w:eastAsia="Times New Roman" w:cstheme="minorHAnsi"/>
          <w:b/>
          <w:bCs/>
          <w:sz w:val="25"/>
          <w:szCs w:val="25"/>
          <w:lang w:eastAsia="en-GB"/>
        </w:rPr>
        <w:t>Types of Intervention</w:t>
      </w:r>
      <w:bookmarkEnd w:id="46"/>
    </w:p>
    <w:p w14:paraId="256B92FC" w14:textId="77777777" w:rsidR="00F00E3D" w:rsidRPr="004138DB" w:rsidRDefault="00F00E3D" w:rsidP="009B2FA7">
      <w:pPr>
        <w:spacing w:after="0" w:line="276" w:lineRule="auto"/>
        <w:contextualSpacing/>
        <w:rPr>
          <w:rFonts w:asciiTheme="majorHAnsi" w:eastAsia="Times New Roman" w:hAnsiTheme="majorHAnsi" w:cstheme="majorHAnsi"/>
          <w:b/>
          <w:bCs/>
          <w:sz w:val="12"/>
          <w:szCs w:val="12"/>
          <w:lang w:eastAsia="en-GB"/>
        </w:rPr>
      </w:pPr>
    </w:p>
    <w:p w14:paraId="2AF29914" w14:textId="21033EFB" w:rsidR="00F00E3D" w:rsidRDefault="00F00E3D" w:rsidP="009B2FA7">
      <w:p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t xml:space="preserve">We categorised the interventions in our study sample into 14 types, </w:t>
      </w:r>
      <w:r w:rsidR="003C50C9">
        <w:rPr>
          <w:rFonts w:asciiTheme="majorHAnsi" w:eastAsia="Times New Roman" w:hAnsiTheme="majorHAnsi" w:cstheme="majorHAnsi"/>
          <w:sz w:val="23"/>
          <w:szCs w:val="23"/>
          <w:lang w:eastAsia="en-GB"/>
        </w:rPr>
        <w:t>based on how the</w:t>
      </w:r>
      <w:r w:rsidR="004B37EB">
        <w:rPr>
          <w:rFonts w:asciiTheme="majorHAnsi" w:eastAsia="Times New Roman" w:hAnsiTheme="majorHAnsi" w:cstheme="majorHAnsi"/>
          <w:sz w:val="23"/>
          <w:szCs w:val="23"/>
          <w:lang w:eastAsia="en-GB"/>
        </w:rPr>
        <w:t>y</w:t>
      </w:r>
      <w:r w:rsidR="003C50C9">
        <w:rPr>
          <w:rFonts w:asciiTheme="majorHAnsi" w:eastAsia="Times New Roman" w:hAnsiTheme="majorHAnsi" w:cstheme="majorHAnsi"/>
          <w:sz w:val="23"/>
          <w:szCs w:val="23"/>
          <w:lang w:eastAsia="en-GB"/>
        </w:rPr>
        <w:t xml:space="preserve"> were </w:t>
      </w:r>
      <w:r w:rsidR="00A57C51">
        <w:rPr>
          <w:rFonts w:asciiTheme="majorHAnsi" w:eastAsia="Times New Roman" w:hAnsiTheme="majorHAnsi" w:cstheme="majorHAnsi"/>
          <w:sz w:val="23"/>
          <w:szCs w:val="23"/>
          <w:lang w:eastAsia="en-GB"/>
        </w:rPr>
        <w:t xml:space="preserve">characterised in the peer-reviewed </w:t>
      </w:r>
      <w:r w:rsidR="00E9742B">
        <w:rPr>
          <w:rFonts w:asciiTheme="majorHAnsi" w:eastAsia="Times New Roman" w:hAnsiTheme="majorHAnsi" w:cstheme="majorHAnsi"/>
          <w:sz w:val="23"/>
          <w:szCs w:val="23"/>
          <w:lang w:eastAsia="en-GB"/>
        </w:rPr>
        <w:t>studies.</w:t>
      </w:r>
      <w:r w:rsidR="00A57C51">
        <w:rPr>
          <w:rFonts w:asciiTheme="majorHAnsi" w:eastAsia="Times New Roman" w:hAnsiTheme="majorHAnsi" w:cstheme="majorHAnsi"/>
          <w:sz w:val="23"/>
          <w:szCs w:val="23"/>
          <w:lang w:eastAsia="en-GB"/>
        </w:rPr>
        <w:t xml:space="preserve"> </w:t>
      </w:r>
      <w:r w:rsidR="003C50C9">
        <w:rPr>
          <w:rFonts w:asciiTheme="majorHAnsi" w:eastAsia="Times New Roman" w:hAnsiTheme="majorHAnsi" w:cstheme="majorHAnsi"/>
          <w:sz w:val="23"/>
          <w:szCs w:val="23"/>
          <w:lang w:eastAsia="en-GB"/>
        </w:rPr>
        <w:t>Each</w:t>
      </w:r>
      <w:r w:rsidRPr="006B1B41">
        <w:rPr>
          <w:rFonts w:asciiTheme="majorHAnsi" w:eastAsia="Times New Roman" w:hAnsiTheme="majorHAnsi" w:cstheme="majorHAnsi"/>
          <w:sz w:val="23"/>
          <w:szCs w:val="23"/>
          <w:lang w:eastAsia="en-GB"/>
        </w:rPr>
        <w:t xml:space="preserve"> type of intervention</w:t>
      </w:r>
      <w:r w:rsidR="007F7190">
        <w:rPr>
          <w:rFonts w:asciiTheme="majorHAnsi" w:eastAsia="Times New Roman" w:hAnsiTheme="majorHAnsi" w:cstheme="majorHAnsi"/>
          <w:sz w:val="23"/>
          <w:szCs w:val="23"/>
          <w:lang w:eastAsia="en-GB"/>
        </w:rPr>
        <w:t xml:space="preserve"> was</w:t>
      </w:r>
      <w:r w:rsidRPr="006B1B41">
        <w:rPr>
          <w:rFonts w:asciiTheme="majorHAnsi" w:eastAsia="Times New Roman" w:hAnsiTheme="majorHAnsi" w:cstheme="majorHAnsi"/>
          <w:sz w:val="23"/>
          <w:szCs w:val="23"/>
          <w:lang w:eastAsia="en-GB"/>
        </w:rPr>
        <w:t xml:space="preserve"> featur</w:t>
      </w:r>
      <w:r w:rsidR="003C50C9">
        <w:rPr>
          <w:rFonts w:asciiTheme="majorHAnsi" w:eastAsia="Times New Roman" w:hAnsiTheme="majorHAnsi" w:cstheme="majorHAnsi"/>
          <w:sz w:val="23"/>
          <w:szCs w:val="23"/>
          <w:lang w:eastAsia="en-GB"/>
        </w:rPr>
        <w:t>ed</w:t>
      </w:r>
      <w:r w:rsidRPr="006B1B41">
        <w:rPr>
          <w:rFonts w:asciiTheme="majorHAnsi" w:eastAsia="Times New Roman" w:hAnsiTheme="majorHAnsi" w:cstheme="majorHAnsi"/>
          <w:sz w:val="23"/>
          <w:szCs w:val="23"/>
          <w:lang w:eastAsia="en-GB"/>
        </w:rPr>
        <w:t xml:space="preserve"> in two or more articles. The number of studies focused on each intervention type are as follows:</w:t>
      </w:r>
    </w:p>
    <w:p w14:paraId="1493DAB5" w14:textId="77777777" w:rsidR="00EC5BB7" w:rsidRPr="004138DB" w:rsidRDefault="00EC5BB7" w:rsidP="009B2FA7">
      <w:pPr>
        <w:spacing w:after="0" w:line="276" w:lineRule="auto"/>
        <w:contextualSpacing/>
        <w:rPr>
          <w:rFonts w:asciiTheme="majorHAnsi" w:eastAsia="Times New Roman" w:hAnsiTheme="majorHAnsi" w:cstheme="majorHAnsi"/>
          <w:sz w:val="12"/>
          <w:szCs w:val="12"/>
          <w:lang w:eastAsia="en-GB"/>
        </w:rPr>
      </w:pPr>
    </w:p>
    <w:p w14:paraId="37E74B57"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t>Affordable Housing Initiatives (12) and Policy (1)</w:t>
      </w:r>
    </w:p>
    <w:p w14:paraId="3F420F7D"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t>Community Development (13)</w:t>
      </w:r>
    </w:p>
    <w:p w14:paraId="645901CE"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t>Community Engagement (15)</w:t>
      </w:r>
    </w:p>
    <w:p w14:paraId="45A71C0B"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t>Community Education Program (6)</w:t>
      </w:r>
    </w:p>
    <w:p w14:paraId="36EBB487"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t>Food Access Initiative (7)</w:t>
      </w:r>
    </w:p>
    <w:p w14:paraId="0B79736A"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t>Health Policy (4)</w:t>
      </w:r>
    </w:p>
    <w:p w14:paraId="4D4D7137"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lastRenderedPageBreak/>
        <w:t>Health Promotion (3)</w:t>
      </w:r>
    </w:p>
    <w:p w14:paraId="2EFD1E4D"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t>Mixed-Income Development (10)</w:t>
      </w:r>
    </w:p>
    <w:p w14:paraId="3F804936"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t>Neighbourhood Renewal (14)</w:t>
      </w:r>
    </w:p>
    <w:p w14:paraId="37858345"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t>Neighbourhood Arts Initiative (2)</w:t>
      </w:r>
    </w:p>
    <w:p w14:paraId="1809C210"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t>Participatory Action (2)</w:t>
      </w:r>
    </w:p>
    <w:p w14:paraId="4966AB0A"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t>Physical Activity Program (3)</w:t>
      </w:r>
    </w:p>
    <w:p w14:paraId="02BC8690"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HAnsi"/>
          <w:sz w:val="23"/>
          <w:szCs w:val="23"/>
          <w:lang w:eastAsia="en-GB"/>
        </w:rPr>
      </w:pPr>
      <w:r w:rsidRPr="006B1B41">
        <w:rPr>
          <w:rFonts w:asciiTheme="majorHAnsi" w:eastAsia="Times New Roman" w:hAnsiTheme="majorHAnsi" w:cstheme="majorHAnsi"/>
          <w:sz w:val="23"/>
          <w:szCs w:val="23"/>
          <w:lang w:eastAsia="en-GB"/>
        </w:rPr>
        <w:t>Public Health and Housing Integration (4)</w:t>
      </w:r>
    </w:p>
    <w:p w14:paraId="1582F352" w14:textId="77777777" w:rsidR="00F00E3D" w:rsidRPr="006B1B41" w:rsidRDefault="00F00E3D" w:rsidP="00364C5D">
      <w:pPr>
        <w:numPr>
          <w:ilvl w:val="0"/>
          <w:numId w:val="36"/>
        </w:numPr>
        <w:spacing w:after="0" w:line="276" w:lineRule="auto"/>
        <w:contextualSpacing/>
        <w:rPr>
          <w:rFonts w:asciiTheme="majorHAnsi" w:eastAsia="Times New Roman" w:hAnsiTheme="majorHAnsi" w:cstheme="majorBidi"/>
          <w:sz w:val="23"/>
          <w:szCs w:val="23"/>
          <w:lang w:eastAsia="en-GB"/>
        </w:rPr>
      </w:pPr>
      <w:r w:rsidRPr="006B1B41">
        <w:rPr>
          <w:rFonts w:asciiTheme="majorHAnsi" w:eastAsia="Times New Roman" w:hAnsiTheme="majorHAnsi" w:cstheme="majorBidi"/>
          <w:sz w:val="23"/>
          <w:szCs w:val="23"/>
          <w:lang w:eastAsia="en-GB"/>
        </w:rPr>
        <w:t>Approaches to Place-based Interventions (2)</w:t>
      </w:r>
    </w:p>
    <w:p w14:paraId="5BBD3C53" w14:textId="77777777" w:rsidR="00F00E3D" w:rsidRPr="006B1B41" w:rsidRDefault="00F00E3D" w:rsidP="009B2FA7">
      <w:pPr>
        <w:spacing w:after="0" w:line="276" w:lineRule="auto"/>
        <w:rPr>
          <w:rFonts w:asciiTheme="majorHAnsi" w:eastAsia="Times New Roman" w:hAnsiTheme="majorHAnsi" w:cstheme="majorBidi"/>
          <w:sz w:val="16"/>
          <w:szCs w:val="16"/>
          <w:lang w:eastAsia="en-GB"/>
        </w:rPr>
      </w:pPr>
    </w:p>
    <w:p w14:paraId="05C01B17" w14:textId="5D929F81" w:rsidR="00F00E3D" w:rsidRPr="006B1B41" w:rsidRDefault="00F00E3D" w:rsidP="009B2FA7">
      <w:pPr>
        <w:spacing w:after="0" w:line="276" w:lineRule="auto"/>
        <w:rPr>
          <w:rFonts w:asciiTheme="majorHAnsi" w:eastAsia="Times New Roman" w:hAnsiTheme="majorHAnsi" w:cstheme="majorBidi"/>
          <w:sz w:val="23"/>
          <w:szCs w:val="23"/>
          <w:lang w:eastAsia="en-GB"/>
        </w:rPr>
      </w:pPr>
      <w:r w:rsidRPr="007D4F30">
        <w:rPr>
          <w:rFonts w:asciiTheme="majorHAnsi" w:eastAsia="Times New Roman" w:hAnsiTheme="majorHAnsi" w:cstheme="majorBidi"/>
          <w:sz w:val="23"/>
          <w:szCs w:val="23"/>
          <w:lang w:eastAsia="en-GB"/>
        </w:rPr>
        <w:t xml:space="preserve">These 14 categories should not be viewed as exclusive: they </w:t>
      </w:r>
      <w:r w:rsidR="00A4510B" w:rsidRPr="007D4F30">
        <w:rPr>
          <w:rFonts w:asciiTheme="majorHAnsi" w:eastAsia="Times New Roman" w:hAnsiTheme="majorHAnsi" w:cstheme="majorBidi"/>
          <w:sz w:val="23"/>
          <w:szCs w:val="23"/>
          <w:lang w:eastAsia="en-GB"/>
        </w:rPr>
        <w:t>simply</w:t>
      </w:r>
      <w:r w:rsidRPr="007D4F30">
        <w:rPr>
          <w:rFonts w:asciiTheme="majorHAnsi" w:eastAsia="Times New Roman" w:hAnsiTheme="majorHAnsi" w:cstheme="majorBidi"/>
          <w:sz w:val="23"/>
          <w:szCs w:val="23"/>
          <w:lang w:eastAsia="en-GB"/>
        </w:rPr>
        <w:t xml:space="preserve"> represent the </w:t>
      </w:r>
      <w:r w:rsidR="00AA63E6" w:rsidRPr="007D4F30">
        <w:rPr>
          <w:rFonts w:asciiTheme="majorHAnsi" w:eastAsia="Times New Roman" w:hAnsiTheme="majorHAnsi" w:cstheme="majorBidi"/>
          <w:sz w:val="23"/>
          <w:szCs w:val="23"/>
          <w:lang w:eastAsia="en-GB"/>
        </w:rPr>
        <w:t xml:space="preserve">main </w:t>
      </w:r>
      <w:r w:rsidRPr="007D4F30">
        <w:rPr>
          <w:rFonts w:asciiTheme="majorHAnsi" w:eastAsia="Times New Roman" w:hAnsiTheme="majorHAnsi" w:cstheme="majorBidi"/>
          <w:sz w:val="23"/>
          <w:szCs w:val="23"/>
          <w:lang w:eastAsia="en-GB"/>
        </w:rPr>
        <w:t>characteristic(s) of that</w:t>
      </w:r>
      <w:r w:rsidR="007F7190" w:rsidRPr="007D4F30">
        <w:rPr>
          <w:rFonts w:asciiTheme="majorHAnsi" w:eastAsia="Times New Roman" w:hAnsiTheme="majorHAnsi" w:cstheme="majorBidi"/>
          <w:sz w:val="23"/>
          <w:szCs w:val="23"/>
          <w:lang w:eastAsia="en-GB"/>
        </w:rPr>
        <w:t xml:space="preserve"> </w:t>
      </w:r>
      <w:r w:rsidRPr="007D4F30">
        <w:rPr>
          <w:rFonts w:asciiTheme="majorHAnsi" w:eastAsia="Times New Roman" w:hAnsiTheme="majorHAnsi" w:cstheme="majorBidi"/>
          <w:sz w:val="23"/>
          <w:szCs w:val="23"/>
          <w:lang w:eastAsia="en-GB"/>
        </w:rPr>
        <w:t>intervention</w:t>
      </w:r>
      <w:r w:rsidR="00E4130C" w:rsidRPr="007D4F30">
        <w:rPr>
          <w:rFonts w:asciiTheme="majorHAnsi" w:eastAsia="Times New Roman" w:hAnsiTheme="majorHAnsi" w:cstheme="majorBidi"/>
          <w:sz w:val="23"/>
          <w:szCs w:val="23"/>
          <w:lang w:eastAsia="en-GB"/>
        </w:rPr>
        <w:t xml:space="preserve">, </w:t>
      </w:r>
      <w:r w:rsidR="000E3CA9" w:rsidRPr="007D4F30">
        <w:rPr>
          <w:rFonts w:asciiTheme="majorHAnsi" w:eastAsia="Times New Roman" w:hAnsiTheme="majorHAnsi" w:cstheme="majorBidi"/>
          <w:sz w:val="23"/>
          <w:szCs w:val="23"/>
          <w:lang w:eastAsia="en-GB"/>
        </w:rPr>
        <w:t>based on</w:t>
      </w:r>
      <w:r w:rsidR="0094596A" w:rsidRPr="007D4F30">
        <w:rPr>
          <w:rFonts w:asciiTheme="majorHAnsi" w:eastAsia="Times New Roman" w:hAnsiTheme="majorHAnsi" w:cstheme="majorBidi"/>
          <w:sz w:val="23"/>
          <w:szCs w:val="23"/>
          <w:lang w:eastAsia="en-GB"/>
        </w:rPr>
        <w:t xml:space="preserve"> how it </w:t>
      </w:r>
      <w:r w:rsidR="008720AE" w:rsidRPr="007D4F30">
        <w:rPr>
          <w:rFonts w:asciiTheme="majorHAnsi" w:eastAsia="Times New Roman" w:hAnsiTheme="majorHAnsi" w:cstheme="majorBidi"/>
          <w:sz w:val="23"/>
          <w:szCs w:val="23"/>
          <w:lang w:eastAsia="en-GB"/>
        </w:rPr>
        <w:t>was</w:t>
      </w:r>
      <w:r w:rsidR="0094596A" w:rsidRPr="007D4F30">
        <w:rPr>
          <w:rFonts w:asciiTheme="majorHAnsi" w:eastAsia="Times New Roman" w:hAnsiTheme="majorHAnsi" w:cstheme="majorBidi"/>
          <w:sz w:val="23"/>
          <w:szCs w:val="23"/>
          <w:lang w:eastAsia="en-GB"/>
        </w:rPr>
        <w:t xml:space="preserve"> framed by</w:t>
      </w:r>
      <w:r w:rsidR="00EC7480" w:rsidRPr="007D4F30">
        <w:rPr>
          <w:rFonts w:asciiTheme="majorHAnsi" w:eastAsia="Times New Roman" w:hAnsiTheme="majorHAnsi" w:cstheme="majorBidi"/>
          <w:sz w:val="23"/>
          <w:szCs w:val="23"/>
          <w:lang w:eastAsia="en-GB"/>
        </w:rPr>
        <w:t xml:space="preserve"> the</w:t>
      </w:r>
      <w:r w:rsidR="00E4130C" w:rsidRPr="007D4F30">
        <w:rPr>
          <w:rFonts w:asciiTheme="majorHAnsi" w:eastAsia="Times New Roman" w:hAnsiTheme="majorHAnsi" w:cstheme="majorBidi"/>
          <w:sz w:val="23"/>
          <w:szCs w:val="23"/>
          <w:lang w:eastAsia="en-GB"/>
        </w:rPr>
        <w:t xml:space="preserve"> </w:t>
      </w:r>
      <w:r w:rsidR="001B13AE" w:rsidRPr="007D4F30">
        <w:rPr>
          <w:rFonts w:asciiTheme="majorHAnsi" w:eastAsia="Times New Roman" w:hAnsiTheme="majorHAnsi" w:cstheme="majorBidi"/>
          <w:sz w:val="23"/>
          <w:szCs w:val="23"/>
          <w:lang w:eastAsia="en-GB"/>
        </w:rPr>
        <w:t>study authors</w:t>
      </w:r>
      <w:r w:rsidR="00182AD8" w:rsidRPr="007D4F30">
        <w:rPr>
          <w:rFonts w:asciiTheme="majorHAnsi" w:eastAsia="Times New Roman" w:hAnsiTheme="majorHAnsi" w:cstheme="majorBidi"/>
          <w:sz w:val="23"/>
          <w:szCs w:val="23"/>
          <w:lang w:eastAsia="en-GB"/>
        </w:rPr>
        <w:t xml:space="preserve">. </w:t>
      </w:r>
      <w:r w:rsidRPr="007D4F30">
        <w:rPr>
          <w:rFonts w:asciiTheme="majorHAnsi" w:eastAsia="Times New Roman" w:hAnsiTheme="majorHAnsi" w:cstheme="majorBidi"/>
          <w:sz w:val="23"/>
          <w:szCs w:val="23"/>
          <w:lang w:eastAsia="en-GB"/>
        </w:rPr>
        <w:t xml:space="preserve">For example, while 14 articles </w:t>
      </w:r>
      <w:r w:rsidR="00861045" w:rsidRPr="007D4F30">
        <w:rPr>
          <w:rFonts w:asciiTheme="majorHAnsi" w:eastAsia="Times New Roman" w:hAnsiTheme="majorHAnsi" w:cstheme="majorBidi"/>
          <w:sz w:val="23"/>
          <w:szCs w:val="23"/>
          <w:lang w:eastAsia="en-GB"/>
        </w:rPr>
        <w:t xml:space="preserve">explicitly </w:t>
      </w:r>
      <w:r w:rsidR="0021105E" w:rsidRPr="007D4F30">
        <w:rPr>
          <w:rFonts w:asciiTheme="majorHAnsi" w:eastAsia="Times New Roman" w:hAnsiTheme="majorHAnsi" w:cstheme="majorBidi"/>
          <w:sz w:val="23"/>
          <w:szCs w:val="23"/>
          <w:lang w:eastAsia="en-GB"/>
        </w:rPr>
        <w:t>address the</w:t>
      </w:r>
      <w:r w:rsidRPr="007D4F30">
        <w:rPr>
          <w:rFonts w:asciiTheme="majorHAnsi" w:eastAsia="Times New Roman" w:hAnsiTheme="majorHAnsi" w:cstheme="majorBidi"/>
          <w:sz w:val="23"/>
          <w:szCs w:val="23"/>
          <w:lang w:eastAsia="en-GB"/>
        </w:rPr>
        <w:t xml:space="preserve"> subject of “Neighbourhood Renewal”, many initiatives </w:t>
      </w:r>
      <w:r w:rsidR="00861045" w:rsidRPr="007D4F30">
        <w:rPr>
          <w:rFonts w:asciiTheme="majorHAnsi" w:eastAsia="Times New Roman" w:hAnsiTheme="majorHAnsi" w:cstheme="majorBidi"/>
          <w:sz w:val="23"/>
          <w:szCs w:val="23"/>
          <w:lang w:eastAsia="en-GB"/>
        </w:rPr>
        <w:t>across</w:t>
      </w:r>
      <w:r w:rsidRPr="007D4F30">
        <w:rPr>
          <w:rFonts w:asciiTheme="majorHAnsi" w:eastAsia="Times New Roman" w:hAnsiTheme="majorHAnsi" w:cstheme="majorBidi"/>
          <w:sz w:val="23"/>
          <w:szCs w:val="23"/>
          <w:lang w:eastAsia="en-GB"/>
        </w:rPr>
        <w:t xml:space="preserve"> the other categories can also be considered as forms of neighbourhood renewal. </w:t>
      </w:r>
      <w:r w:rsidR="00BA0012" w:rsidRPr="007D4F30">
        <w:rPr>
          <w:rFonts w:asciiTheme="majorHAnsi" w:eastAsia="Times New Roman" w:hAnsiTheme="majorHAnsi" w:cstheme="majorBidi"/>
          <w:sz w:val="23"/>
          <w:szCs w:val="23"/>
          <w:lang w:eastAsia="en-GB"/>
        </w:rPr>
        <w:t>Similarly</w:t>
      </w:r>
      <w:r w:rsidR="0015664D" w:rsidRPr="007D4F30">
        <w:rPr>
          <w:rFonts w:asciiTheme="majorHAnsi" w:eastAsia="Times New Roman" w:hAnsiTheme="majorHAnsi" w:cstheme="majorBidi"/>
          <w:sz w:val="23"/>
          <w:szCs w:val="23"/>
          <w:lang w:eastAsia="en-GB"/>
        </w:rPr>
        <w:t>,</w:t>
      </w:r>
      <w:r w:rsidRPr="007D4F30">
        <w:rPr>
          <w:rFonts w:asciiTheme="majorHAnsi" w:eastAsia="Times New Roman" w:hAnsiTheme="majorHAnsi" w:cstheme="majorBidi"/>
          <w:sz w:val="23"/>
          <w:szCs w:val="23"/>
          <w:lang w:eastAsia="en-GB"/>
        </w:rPr>
        <w:t xml:space="preserve"> </w:t>
      </w:r>
      <w:r w:rsidR="00235EEB" w:rsidRPr="007D4F30">
        <w:rPr>
          <w:rFonts w:asciiTheme="majorHAnsi" w:eastAsia="Times New Roman" w:hAnsiTheme="majorHAnsi" w:cstheme="majorBidi"/>
          <w:sz w:val="23"/>
          <w:szCs w:val="23"/>
          <w:lang w:eastAsia="en-GB"/>
        </w:rPr>
        <w:t xml:space="preserve">while </w:t>
      </w:r>
      <w:r w:rsidR="003E3E4A" w:rsidRPr="007D4F30">
        <w:rPr>
          <w:rFonts w:asciiTheme="majorHAnsi" w:eastAsia="Times New Roman" w:hAnsiTheme="majorHAnsi" w:cstheme="majorBidi"/>
          <w:sz w:val="23"/>
          <w:szCs w:val="23"/>
          <w:lang w:eastAsia="en-GB"/>
        </w:rPr>
        <w:t xml:space="preserve">15 articles </w:t>
      </w:r>
      <w:r w:rsidR="00C81892" w:rsidRPr="007D4F30">
        <w:rPr>
          <w:rFonts w:asciiTheme="majorHAnsi" w:eastAsia="Times New Roman" w:hAnsiTheme="majorHAnsi" w:cstheme="majorBidi"/>
          <w:sz w:val="23"/>
          <w:szCs w:val="23"/>
          <w:lang w:eastAsia="en-GB"/>
        </w:rPr>
        <w:t>focus specifically</w:t>
      </w:r>
      <w:r w:rsidR="003E3E4A" w:rsidRPr="007D4F30">
        <w:rPr>
          <w:rFonts w:asciiTheme="majorHAnsi" w:eastAsia="Times New Roman" w:hAnsiTheme="majorHAnsi" w:cstheme="majorBidi"/>
          <w:sz w:val="23"/>
          <w:szCs w:val="23"/>
          <w:lang w:eastAsia="en-GB"/>
        </w:rPr>
        <w:t xml:space="preserve"> </w:t>
      </w:r>
      <w:r w:rsidR="00DB30BC" w:rsidRPr="007D4F30">
        <w:rPr>
          <w:rFonts w:asciiTheme="majorHAnsi" w:eastAsia="Times New Roman" w:hAnsiTheme="majorHAnsi" w:cstheme="majorBidi"/>
          <w:sz w:val="23"/>
          <w:szCs w:val="23"/>
          <w:lang w:eastAsia="en-GB"/>
        </w:rPr>
        <w:t>on</w:t>
      </w:r>
      <w:r w:rsidR="003E3E4A" w:rsidRPr="007D4F30">
        <w:rPr>
          <w:rFonts w:asciiTheme="majorHAnsi" w:eastAsia="Times New Roman" w:hAnsiTheme="majorHAnsi" w:cstheme="majorBidi"/>
          <w:sz w:val="23"/>
          <w:szCs w:val="23"/>
          <w:lang w:eastAsia="en-GB"/>
        </w:rPr>
        <w:t xml:space="preserve"> </w:t>
      </w:r>
      <w:r w:rsidR="00BB18F0" w:rsidRPr="007D4F30">
        <w:rPr>
          <w:rFonts w:asciiTheme="majorHAnsi" w:eastAsia="Times New Roman" w:hAnsiTheme="majorHAnsi" w:cstheme="majorBidi"/>
          <w:sz w:val="23"/>
          <w:szCs w:val="23"/>
          <w:lang w:eastAsia="en-GB"/>
        </w:rPr>
        <w:t>“Community Engagement”</w:t>
      </w:r>
      <w:r w:rsidR="0008340C" w:rsidRPr="007D4F30">
        <w:rPr>
          <w:rFonts w:asciiTheme="majorHAnsi" w:eastAsia="Times New Roman" w:hAnsiTheme="majorHAnsi" w:cstheme="majorBidi"/>
          <w:sz w:val="23"/>
          <w:szCs w:val="23"/>
          <w:lang w:eastAsia="en-GB"/>
        </w:rPr>
        <w:t xml:space="preserve"> </w:t>
      </w:r>
      <w:r w:rsidR="003E3E4A" w:rsidRPr="007D4F30">
        <w:rPr>
          <w:rFonts w:asciiTheme="majorHAnsi" w:eastAsia="Times New Roman" w:hAnsiTheme="majorHAnsi" w:cstheme="majorBidi"/>
          <w:sz w:val="23"/>
          <w:szCs w:val="23"/>
          <w:lang w:eastAsia="en-GB"/>
        </w:rPr>
        <w:t>initiatives</w:t>
      </w:r>
      <w:r w:rsidR="00BB18F0" w:rsidRPr="007D4F30">
        <w:rPr>
          <w:rFonts w:asciiTheme="majorHAnsi" w:eastAsia="Times New Roman" w:hAnsiTheme="majorHAnsi" w:cstheme="majorBidi"/>
          <w:sz w:val="23"/>
          <w:szCs w:val="23"/>
          <w:lang w:eastAsia="en-GB"/>
        </w:rPr>
        <w:t>,</w:t>
      </w:r>
      <w:r w:rsidR="00CC1E4C" w:rsidRPr="007D4F30">
        <w:rPr>
          <w:rFonts w:asciiTheme="majorHAnsi" w:eastAsia="Times New Roman" w:hAnsiTheme="majorHAnsi" w:cstheme="majorBidi"/>
          <w:sz w:val="23"/>
          <w:szCs w:val="23"/>
          <w:lang w:eastAsia="en-GB"/>
        </w:rPr>
        <w:t xml:space="preserve"> </w:t>
      </w:r>
      <w:r w:rsidR="00FC2670" w:rsidRPr="007D4F30">
        <w:rPr>
          <w:rFonts w:asciiTheme="majorHAnsi" w:eastAsia="Times New Roman" w:hAnsiTheme="majorHAnsi" w:cstheme="majorBidi"/>
          <w:sz w:val="23"/>
          <w:szCs w:val="23"/>
          <w:lang w:eastAsia="en-GB"/>
        </w:rPr>
        <w:t>community engagement</w:t>
      </w:r>
      <w:r w:rsidR="00861045" w:rsidRPr="007D4F30">
        <w:rPr>
          <w:rFonts w:asciiTheme="majorHAnsi" w:eastAsia="Times New Roman" w:hAnsiTheme="majorHAnsi" w:cstheme="majorBidi"/>
          <w:sz w:val="23"/>
          <w:szCs w:val="23"/>
          <w:lang w:eastAsia="en-GB"/>
        </w:rPr>
        <w:t xml:space="preserve"> </w:t>
      </w:r>
      <w:r w:rsidR="000F1CCD" w:rsidRPr="007D4F30">
        <w:rPr>
          <w:rFonts w:asciiTheme="majorHAnsi" w:eastAsia="Times New Roman" w:hAnsiTheme="majorHAnsi" w:cstheme="majorBidi"/>
          <w:sz w:val="23"/>
          <w:szCs w:val="23"/>
          <w:lang w:eastAsia="en-GB"/>
        </w:rPr>
        <w:t>a</w:t>
      </w:r>
      <w:r w:rsidR="00EA5A66" w:rsidRPr="007D4F30">
        <w:rPr>
          <w:rFonts w:asciiTheme="majorHAnsi" w:eastAsia="Times New Roman" w:hAnsiTheme="majorHAnsi" w:cstheme="majorBidi"/>
          <w:sz w:val="23"/>
          <w:szCs w:val="23"/>
          <w:lang w:eastAsia="en-GB"/>
        </w:rPr>
        <w:t xml:space="preserve">ctivities </w:t>
      </w:r>
      <w:r w:rsidR="007F2ED2" w:rsidRPr="007D4F30">
        <w:rPr>
          <w:rFonts w:asciiTheme="majorHAnsi" w:eastAsia="Times New Roman" w:hAnsiTheme="majorHAnsi" w:cstheme="majorBidi"/>
          <w:sz w:val="23"/>
          <w:szCs w:val="23"/>
          <w:lang w:eastAsia="en-GB"/>
        </w:rPr>
        <w:t>were a common feature</w:t>
      </w:r>
      <w:r w:rsidR="000F1CCD" w:rsidRPr="007D4F30">
        <w:rPr>
          <w:rFonts w:asciiTheme="majorHAnsi" w:eastAsia="Times New Roman" w:hAnsiTheme="majorHAnsi" w:cstheme="majorBidi"/>
          <w:sz w:val="23"/>
          <w:szCs w:val="23"/>
          <w:lang w:eastAsia="en-GB"/>
        </w:rPr>
        <w:t xml:space="preserve"> </w:t>
      </w:r>
      <w:r w:rsidR="009161A8" w:rsidRPr="007D4F30">
        <w:rPr>
          <w:rFonts w:asciiTheme="majorHAnsi" w:eastAsia="Times New Roman" w:hAnsiTheme="majorHAnsi" w:cstheme="majorBidi"/>
          <w:sz w:val="23"/>
          <w:szCs w:val="23"/>
          <w:lang w:eastAsia="en-GB"/>
        </w:rPr>
        <w:t>across</w:t>
      </w:r>
      <w:r w:rsidR="00DB30BC" w:rsidRPr="007D4F30">
        <w:rPr>
          <w:rFonts w:asciiTheme="majorHAnsi" w:eastAsia="Times New Roman" w:hAnsiTheme="majorHAnsi" w:cstheme="majorBidi"/>
          <w:sz w:val="23"/>
          <w:szCs w:val="23"/>
          <w:lang w:eastAsia="en-GB"/>
        </w:rPr>
        <w:t xml:space="preserve"> many other</w:t>
      </w:r>
      <w:r w:rsidR="00C36754" w:rsidRPr="007D4F30">
        <w:rPr>
          <w:rFonts w:asciiTheme="majorHAnsi" w:eastAsia="Times New Roman" w:hAnsiTheme="majorHAnsi" w:cstheme="majorBidi"/>
          <w:sz w:val="23"/>
          <w:szCs w:val="23"/>
          <w:lang w:eastAsia="en-GB"/>
        </w:rPr>
        <w:t xml:space="preserve"> </w:t>
      </w:r>
      <w:r w:rsidR="00060AFD" w:rsidRPr="007D4F30">
        <w:rPr>
          <w:rFonts w:asciiTheme="majorHAnsi" w:eastAsia="Times New Roman" w:hAnsiTheme="majorHAnsi" w:cstheme="majorBidi"/>
          <w:sz w:val="23"/>
          <w:szCs w:val="23"/>
          <w:lang w:eastAsia="en-GB"/>
        </w:rPr>
        <w:t xml:space="preserve">types of </w:t>
      </w:r>
      <w:r w:rsidR="00C36754" w:rsidRPr="007D4F30">
        <w:rPr>
          <w:rFonts w:asciiTheme="majorHAnsi" w:eastAsia="Times New Roman" w:hAnsiTheme="majorHAnsi" w:cstheme="majorBidi"/>
          <w:sz w:val="23"/>
          <w:szCs w:val="23"/>
          <w:lang w:eastAsia="en-GB"/>
        </w:rPr>
        <w:t>intervention</w:t>
      </w:r>
      <w:r w:rsidR="00FC2670" w:rsidRPr="007D4F30">
        <w:rPr>
          <w:rFonts w:asciiTheme="majorHAnsi" w:eastAsia="Times New Roman" w:hAnsiTheme="majorHAnsi" w:cstheme="majorBidi"/>
          <w:sz w:val="23"/>
          <w:szCs w:val="23"/>
          <w:lang w:eastAsia="en-GB"/>
        </w:rPr>
        <w:t>.</w:t>
      </w:r>
      <w:r w:rsidR="00332653" w:rsidRPr="007D4F30">
        <w:rPr>
          <w:rFonts w:asciiTheme="majorHAnsi" w:eastAsia="Times New Roman" w:hAnsiTheme="majorHAnsi" w:cstheme="majorBidi"/>
          <w:sz w:val="23"/>
          <w:szCs w:val="23"/>
          <w:lang w:eastAsia="en-GB"/>
        </w:rPr>
        <w:t xml:space="preserve"> </w:t>
      </w:r>
      <w:r w:rsidR="00CE5B6F" w:rsidRPr="007D4F30">
        <w:rPr>
          <w:rFonts w:asciiTheme="majorHAnsi" w:eastAsia="Times New Roman" w:hAnsiTheme="majorHAnsi" w:cstheme="majorBidi"/>
          <w:sz w:val="23"/>
          <w:szCs w:val="23"/>
          <w:lang w:eastAsia="en-GB"/>
        </w:rPr>
        <w:t>It is also</w:t>
      </w:r>
      <w:r w:rsidR="0013297C" w:rsidRPr="007D4F30">
        <w:rPr>
          <w:rFonts w:asciiTheme="majorHAnsi" w:eastAsia="Times New Roman" w:hAnsiTheme="majorHAnsi" w:cstheme="majorBidi"/>
          <w:sz w:val="23"/>
          <w:szCs w:val="23"/>
          <w:lang w:eastAsia="en-GB"/>
        </w:rPr>
        <w:t xml:space="preserve"> </w:t>
      </w:r>
      <w:r w:rsidR="00CC1E4C" w:rsidRPr="007D4F30">
        <w:rPr>
          <w:rFonts w:asciiTheme="majorHAnsi" w:eastAsia="Times New Roman" w:hAnsiTheme="majorHAnsi" w:cstheme="majorBidi"/>
          <w:sz w:val="23"/>
          <w:szCs w:val="23"/>
          <w:lang w:eastAsia="en-GB"/>
        </w:rPr>
        <w:t>worth</w:t>
      </w:r>
      <w:r w:rsidR="0015664D" w:rsidRPr="007D4F30">
        <w:rPr>
          <w:rFonts w:asciiTheme="majorHAnsi" w:eastAsia="Times New Roman" w:hAnsiTheme="majorHAnsi" w:cstheme="majorBidi"/>
          <w:sz w:val="23"/>
          <w:szCs w:val="23"/>
          <w:lang w:eastAsia="en-GB"/>
        </w:rPr>
        <w:t xml:space="preserve"> noting</w:t>
      </w:r>
      <w:r w:rsidR="00332653" w:rsidRPr="007D4F30">
        <w:rPr>
          <w:rFonts w:asciiTheme="majorHAnsi" w:eastAsia="Times New Roman" w:hAnsiTheme="majorHAnsi" w:cstheme="majorBidi"/>
          <w:sz w:val="23"/>
          <w:szCs w:val="23"/>
          <w:lang w:eastAsia="en-GB"/>
        </w:rPr>
        <w:t xml:space="preserve"> that</w:t>
      </w:r>
      <w:r w:rsidR="0015664D" w:rsidRPr="007D4F30">
        <w:rPr>
          <w:rFonts w:asciiTheme="majorHAnsi" w:eastAsia="Times New Roman" w:hAnsiTheme="majorHAnsi" w:cstheme="majorBidi"/>
          <w:sz w:val="23"/>
          <w:szCs w:val="23"/>
          <w:lang w:eastAsia="en-GB"/>
        </w:rPr>
        <w:t xml:space="preserve"> </w:t>
      </w:r>
      <w:r w:rsidR="00120E63" w:rsidRPr="007D4F30">
        <w:rPr>
          <w:rFonts w:asciiTheme="majorHAnsi" w:eastAsia="Times New Roman" w:hAnsiTheme="majorHAnsi" w:cstheme="majorBidi"/>
          <w:sz w:val="23"/>
          <w:szCs w:val="23"/>
          <w:lang w:eastAsia="en-GB"/>
        </w:rPr>
        <w:t>the</w:t>
      </w:r>
      <w:r w:rsidR="00332653" w:rsidRPr="007D4F30">
        <w:rPr>
          <w:rFonts w:asciiTheme="majorHAnsi" w:eastAsia="Times New Roman" w:hAnsiTheme="majorHAnsi" w:cstheme="majorBidi"/>
          <w:sz w:val="23"/>
          <w:szCs w:val="23"/>
          <w:lang w:eastAsia="en-GB"/>
        </w:rPr>
        <w:t xml:space="preserve"> “Approaches to place-based intervention</w:t>
      </w:r>
      <w:r w:rsidR="00233849" w:rsidRPr="007D4F30">
        <w:rPr>
          <w:rFonts w:asciiTheme="majorHAnsi" w:eastAsia="Times New Roman" w:hAnsiTheme="majorHAnsi" w:cstheme="majorBidi"/>
          <w:sz w:val="23"/>
          <w:szCs w:val="23"/>
          <w:lang w:eastAsia="en-GB"/>
        </w:rPr>
        <w:t>s</w:t>
      </w:r>
      <w:r w:rsidR="00332653" w:rsidRPr="007D4F30">
        <w:rPr>
          <w:rFonts w:asciiTheme="majorHAnsi" w:eastAsia="Times New Roman" w:hAnsiTheme="majorHAnsi" w:cstheme="majorBidi"/>
          <w:sz w:val="23"/>
          <w:szCs w:val="23"/>
          <w:lang w:eastAsia="en-GB"/>
        </w:rPr>
        <w:t xml:space="preserve">” </w:t>
      </w:r>
      <w:r w:rsidR="00120E63" w:rsidRPr="007D4F30">
        <w:rPr>
          <w:rFonts w:asciiTheme="majorHAnsi" w:eastAsia="Times New Roman" w:hAnsiTheme="majorHAnsi" w:cstheme="majorBidi"/>
          <w:sz w:val="23"/>
          <w:szCs w:val="23"/>
          <w:lang w:eastAsia="en-GB"/>
        </w:rPr>
        <w:t xml:space="preserve">category </w:t>
      </w:r>
      <w:r w:rsidR="00332653" w:rsidRPr="007D4F30">
        <w:rPr>
          <w:rFonts w:asciiTheme="majorHAnsi" w:eastAsia="Times New Roman" w:hAnsiTheme="majorHAnsi" w:cstheme="majorBidi"/>
          <w:sz w:val="23"/>
          <w:szCs w:val="23"/>
          <w:lang w:eastAsia="en-GB"/>
        </w:rPr>
        <w:t>(two articles) refers to</w:t>
      </w:r>
      <w:r w:rsidR="00120E63" w:rsidRPr="007D4F30">
        <w:rPr>
          <w:rFonts w:asciiTheme="majorHAnsi" w:eastAsia="Times New Roman" w:hAnsiTheme="majorHAnsi" w:cstheme="majorBidi"/>
          <w:sz w:val="23"/>
          <w:szCs w:val="23"/>
          <w:lang w:eastAsia="en-GB"/>
        </w:rPr>
        <w:t xml:space="preserve"> </w:t>
      </w:r>
      <w:r w:rsidR="004F1E7B" w:rsidRPr="007D4F30">
        <w:rPr>
          <w:rFonts w:asciiTheme="majorHAnsi" w:eastAsia="Times New Roman" w:hAnsiTheme="majorHAnsi" w:cstheme="majorBidi"/>
          <w:sz w:val="23"/>
          <w:szCs w:val="23"/>
          <w:lang w:eastAsia="en-GB"/>
        </w:rPr>
        <w:t xml:space="preserve">studies </w:t>
      </w:r>
      <w:r w:rsidR="009E0D73" w:rsidRPr="007D4F30">
        <w:rPr>
          <w:rFonts w:asciiTheme="majorHAnsi" w:eastAsia="Times New Roman" w:hAnsiTheme="majorHAnsi" w:cstheme="majorBidi"/>
          <w:sz w:val="23"/>
          <w:szCs w:val="23"/>
          <w:lang w:eastAsia="en-GB"/>
        </w:rPr>
        <w:t xml:space="preserve">that </w:t>
      </w:r>
      <w:r w:rsidR="00DC6E59" w:rsidRPr="007D4F30">
        <w:rPr>
          <w:rFonts w:asciiTheme="majorHAnsi" w:eastAsia="Times New Roman" w:hAnsiTheme="majorHAnsi" w:cstheme="majorBidi"/>
          <w:sz w:val="23"/>
          <w:szCs w:val="23"/>
          <w:lang w:eastAsia="en-GB"/>
        </w:rPr>
        <w:t>used</w:t>
      </w:r>
      <w:r w:rsidR="007F2ED2" w:rsidRPr="007D4F30">
        <w:rPr>
          <w:rFonts w:asciiTheme="majorHAnsi" w:eastAsia="Times New Roman" w:hAnsiTheme="majorHAnsi" w:cstheme="majorBidi"/>
          <w:sz w:val="23"/>
          <w:szCs w:val="23"/>
          <w:lang w:eastAsia="en-GB"/>
        </w:rPr>
        <w:t xml:space="preserve"> </w:t>
      </w:r>
      <w:r w:rsidR="00AB2F64" w:rsidRPr="007D4F30">
        <w:rPr>
          <w:rFonts w:asciiTheme="majorHAnsi" w:eastAsia="Times New Roman" w:hAnsiTheme="majorHAnsi" w:cstheme="majorBidi"/>
          <w:sz w:val="23"/>
          <w:szCs w:val="23"/>
          <w:lang w:eastAsia="en-GB"/>
        </w:rPr>
        <w:t xml:space="preserve">the term </w:t>
      </w:r>
      <w:r w:rsidR="007F2ED2" w:rsidRPr="007D4F30">
        <w:rPr>
          <w:rFonts w:asciiTheme="majorHAnsi" w:eastAsia="Times New Roman" w:hAnsiTheme="majorHAnsi" w:cstheme="majorBidi"/>
          <w:sz w:val="23"/>
          <w:szCs w:val="23"/>
          <w:lang w:eastAsia="en-GB"/>
        </w:rPr>
        <w:t>“place-based” in their title</w:t>
      </w:r>
      <w:r w:rsidR="00332653" w:rsidRPr="007D4F30">
        <w:rPr>
          <w:rFonts w:asciiTheme="majorHAnsi" w:eastAsia="Times New Roman" w:hAnsiTheme="majorHAnsi" w:cstheme="majorBidi"/>
          <w:sz w:val="23"/>
          <w:szCs w:val="23"/>
          <w:lang w:eastAsia="en-GB"/>
        </w:rPr>
        <w:t>. Our</w:t>
      </w:r>
      <w:r w:rsidR="003C6CDD" w:rsidRPr="007D4F30">
        <w:rPr>
          <w:rFonts w:asciiTheme="majorHAnsi" w:eastAsia="Times New Roman" w:hAnsiTheme="majorHAnsi" w:cstheme="majorBidi"/>
          <w:sz w:val="23"/>
          <w:szCs w:val="23"/>
          <w:lang w:eastAsia="en-GB"/>
        </w:rPr>
        <w:t xml:space="preserve"> own conception of</w:t>
      </w:r>
      <w:r w:rsidR="000C7736" w:rsidRPr="007D4F30">
        <w:rPr>
          <w:rFonts w:asciiTheme="majorHAnsi" w:eastAsia="Times New Roman" w:hAnsiTheme="majorHAnsi" w:cstheme="majorBidi"/>
          <w:sz w:val="23"/>
          <w:szCs w:val="23"/>
          <w:lang w:eastAsia="en-GB"/>
        </w:rPr>
        <w:t xml:space="preserve"> </w:t>
      </w:r>
      <w:r w:rsidRPr="007D4F30">
        <w:rPr>
          <w:rFonts w:asciiTheme="majorHAnsi" w:eastAsia="Times New Roman" w:hAnsiTheme="majorHAnsi" w:cstheme="majorBidi"/>
          <w:sz w:val="23"/>
          <w:szCs w:val="23"/>
          <w:lang w:eastAsia="en-GB"/>
        </w:rPr>
        <w:t>“place-based intervention”</w:t>
      </w:r>
      <w:r w:rsidR="002D660C" w:rsidRPr="007D4F30">
        <w:rPr>
          <w:rFonts w:asciiTheme="majorHAnsi" w:eastAsia="Times New Roman" w:hAnsiTheme="majorHAnsi" w:cstheme="majorBidi"/>
          <w:sz w:val="23"/>
          <w:szCs w:val="23"/>
          <w:lang w:eastAsia="en-GB"/>
        </w:rPr>
        <w:t xml:space="preserve"> follows </w:t>
      </w:r>
      <w:proofErr w:type="spellStart"/>
      <w:r w:rsidR="002D660C" w:rsidRPr="007D4F30">
        <w:rPr>
          <w:rFonts w:asciiTheme="majorHAnsi" w:eastAsia="Times New Roman" w:hAnsiTheme="majorHAnsi" w:cstheme="majorBidi"/>
          <w:sz w:val="23"/>
          <w:szCs w:val="23"/>
          <w:lang w:eastAsia="en-GB"/>
        </w:rPr>
        <w:t>Cantin’s</w:t>
      </w:r>
      <w:proofErr w:type="spellEnd"/>
      <w:r w:rsidR="002D660C" w:rsidRPr="007D4F30">
        <w:rPr>
          <w:rFonts w:asciiTheme="majorHAnsi" w:eastAsia="Times New Roman" w:hAnsiTheme="majorHAnsi" w:cstheme="majorBidi"/>
          <w:sz w:val="23"/>
          <w:szCs w:val="23"/>
          <w:lang w:eastAsia="en-GB"/>
        </w:rPr>
        <w:t xml:space="preserve"> definition</w:t>
      </w:r>
      <w:r w:rsidRPr="007D4F30">
        <w:rPr>
          <w:rFonts w:asciiTheme="majorHAnsi" w:eastAsia="Times New Roman" w:hAnsiTheme="majorHAnsi" w:cstheme="majorBidi"/>
          <w:sz w:val="23"/>
          <w:szCs w:val="23"/>
          <w:lang w:eastAsia="en-GB"/>
        </w:rPr>
        <w:t xml:space="preserve">: “a collaborative means to address complex socioeconomic issues through interventions defined at a specific geographic scale” (Cantin, 2010). </w:t>
      </w:r>
      <w:r w:rsidR="000C7736" w:rsidRPr="007D4F30">
        <w:rPr>
          <w:rFonts w:asciiTheme="majorHAnsi" w:eastAsia="Times New Roman" w:hAnsiTheme="majorHAnsi" w:cstheme="majorBidi"/>
          <w:sz w:val="23"/>
          <w:szCs w:val="23"/>
          <w:lang w:eastAsia="en-GB"/>
        </w:rPr>
        <w:t>Thus, m</w:t>
      </w:r>
      <w:r w:rsidRPr="007D4F30">
        <w:rPr>
          <w:rFonts w:asciiTheme="majorHAnsi" w:eastAsia="Times New Roman" w:hAnsiTheme="majorHAnsi" w:cstheme="majorBidi"/>
          <w:sz w:val="23"/>
          <w:szCs w:val="23"/>
          <w:lang w:eastAsia="en-GB"/>
        </w:rPr>
        <w:t xml:space="preserve">ost of the above intervention </w:t>
      </w:r>
      <w:r w:rsidR="0015664D" w:rsidRPr="007D4F30">
        <w:rPr>
          <w:rFonts w:asciiTheme="majorHAnsi" w:eastAsia="Times New Roman" w:hAnsiTheme="majorHAnsi" w:cstheme="majorBidi"/>
          <w:sz w:val="23"/>
          <w:szCs w:val="23"/>
          <w:lang w:eastAsia="en-GB"/>
        </w:rPr>
        <w:t>types</w:t>
      </w:r>
      <w:r w:rsidR="00FB07BC" w:rsidRPr="007D4F30">
        <w:rPr>
          <w:rFonts w:asciiTheme="majorHAnsi" w:eastAsia="Times New Roman" w:hAnsiTheme="majorHAnsi" w:cstheme="majorBidi"/>
          <w:sz w:val="23"/>
          <w:szCs w:val="23"/>
          <w:lang w:eastAsia="en-GB"/>
        </w:rPr>
        <w:t xml:space="preserve"> </w:t>
      </w:r>
      <w:r w:rsidR="004F1E7B" w:rsidRPr="007D4F30">
        <w:rPr>
          <w:rFonts w:asciiTheme="majorHAnsi" w:eastAsia="Times New Roman" w:hAnsiTheme="majorHAnsi" w:cstheme="majorBidi"/>
          <w:sz w:val="23"/>
          <w:szCs w:val="23"/>
          <w:lang w:eastAsia="en-GB"/>
        </w:rPr>
        <w:t xml:space="preserve">qualify as </w:t>
      </w:r>
      <w:r w:rsidRPr="007D4F30">
        <w:rPr>
          <w:rFonts w:asciiTheme="majorHAnsi" w:eastAsia="Times New Roman" w:hAnsiTheme="majorHAnsi" w:cstheme="majorBidi"/>
          <w:sz w:val="23"/>
          <w:szCs w:val="23"/>
          <w:lang w:eastAsia="en-GB"/>
        </w:rPr>
        <w:t>“place-based”</w:t>
      </w:r>
      <w:r w:rsidR="00853878" w:rsidRPr="007D4F30">
        <w:rPr>
          <w:rFonts w:asciiTheme="majorHAnsi" w:eastAsia="Times New Roman" w:hAnsiTheme="majorHAnsi" w:cstheme="majorBidi"/>
          <w:sz w:val="23"/>
          <w:szCs w:val="23"/>
          <w:lang w:eastAsia="en-GB"/>
        </w:rPr>
        <w:t xml:space="preserve"> initiatives, as do </w:t>
      </w:r>
      <w:r w:rsidR="00ED1F9E" w:rsidRPr="007D4F30">
        <w:rPr>
          <w:rFonts w:asciiTheme="majorHAnsi" w:eastAsia="Times New Roman" w:hAnsiTheme="majorHAnsi" w:cstheme="majorBidi"/>
          <w:sz w:val="23"/>
          <w:szCs w:val="23"/>
          <w:lang w:eastAsia="en-GB"/>
        </w:rPr>
        <w:t xml:space="preserve">virtually </w:t>
      </w:r>
      <w:r w:rsidR="00853878" w:rsidRPr="007D4F30">
        <w:rPr>
          <w:rFonts w:asciiTheme="majorHAnsi" w:eastAsia="Times New Roman" w:hAnsiTheme="majorHAnsi" w:cstheme="majorBidi"/>
          <w:sz w:val="23"/>
          <w:szCs w:val="23"/>
          <w:lang w:eastAsia="en-GB"/>
        </w:rPr>
        <w:t>all</w:t>
      </w:r>
      <w:r w:rsidR="00ED1F9E" w:rsidRPr="007D4F30">
        <w:rPr>
          <w:rFonts w:asciiTheme="majorHAnsi" w:eastAsia="Times New Roman" w:hAnsiTheme="majorHAnsi" w:cstheme="majorBidi"/>
          <w:sz w:val="23"/>
          <w:szCs w:val="23"/>
          <w:lang w:eastAsia="en-GB"/>
        </w:rPr>
        <w:t xml:space="preserve"> of</w:t>
      </w:r>
      <w:r w:rsidR="00853878" w:rsidRPr="007D4F30">
        <w:rPr>
          <w:rFonts w:asciiTheme="majorHAnsi" w:eastAsia="Times New Roman" w:hAnsiTheme="majorHAnsi" w:cstheme="majorBidi"/>
          <w:sz w:val="23"/>
          <w:szCs w:val="23"/>
          <w:lang w:eastAsia="en-GB"/>
        </w:rPr>
        <w:t xml:space="preserve"> </w:t>
      </w:r>
      <w:r w:rsidR="00E448AC" w:rsidRPr="007D4F30">
        <w:rPr>
          <w:rFonts w:asciiTheme="majorHAnsi" w:eastAsia="Times New Roman" w:hAnsiTheme="majorHAnsi" w:cstheme="majorBidi"/>
          <w:sz w:val="23"/>
          <w:szCs w:val="23"/>
          <w:lang w:eastAsia="en-GB"/>
        </w:rPr>
        <w:t xml:space="preserve">the </w:t>
      </w:r>
      <w:r w:rsidR="00AD2DA5" w:rsidRPr="007D4F30">
        <w:rPr>
          <w:rFonts w:asciiTheme="majorHAnsi" w:eastAsia="Times New Roman" w:hAnsiTheme="majorHAnsi" w:cstheme="majorBidi"/>
          <w:sz w:val="23"/>
          <w:szCs w:val="23"/>
          <w:lang w:eastAsia="en-GB"/>
        </w:rPr>
        <w:t>Case Studies</w:t>
      </w:r>
      <w:r w:rsidRPr="007D4F30">
        <w:rPr>
          <w:rFonts w:asciiTheme="majorHAnsi" w:eastAsia="Times New Roman" w:hAnsiTheme="majorHAnsi" w:cstheme="majorBidi"/>
          <w:sz w:val="23"/>
          <w:szCs w:val="23"/>
          <w:lang w:eastAsia="en-GB"/>
        </w:rPr>
        <w:t xml:space="preserve"> </w:t>
      </w:r>
      <w:r w:rsidR="007E530B" w:rsidRPr="007D4F30">
        <w:rPr>
          <w:rFonts w:asciiTheme="majorHAnsi" w:eastAsia="Times New Roman" w:hAnsiTheme="majorHAnsi" w:cstheme="majorBidi"/>
          <w:sz w:val="23"/>
          <w:szCs w:val="23"/>
          <w:lang w:eastAsia="en-GB"/>
        </w:rPr>
        <w:t xml:space="preserve">presented </w:t>
      </w:r>
      <w:r w:rsidRPr="007D4F30">
        <w:rPr>
          <w:rFonts w:asciiTheme="majorHAnsi" w:eastAsia="Times New Roman" w:hAnsiTheme="majorHAnsi" w:cstheme="majorBidi"/>
          <w:sz w:val="23"/>
          <w:szCs w:val="23"/>
          <w:lang w:eastAsia="en-GB"/>
        </w:rPr>
        <w:t xml:space="preserve">in Section 5 </w:t>
      </w:r>
      <w:r w:rsidR="002F7F3E" w:rsidRPr="007D4F30">
        <w:rPr>
          <w:rFonts w:asciiTheme="majorHAnsi" w:eastAsia="Times New Roman" w:hAnsiTheme="majorHAnsi" w:cstheme="majorBidi"/>
          <w:sz w:val="23"/>
          <w:szCs w:val="23"/>
          <w:lang w:eastAsia="en-GB"/>
        </w:rPr>
        <w:t>of this repor</w:t>
      </w:r>
      <w:r w:rsidR="00853878" w:rsidRPr="007D4F30">
        <w:rPr>
          <w:rFonts w:asciiTheme="majorHAnsi" w:eastAsia="Times New Roman" w:hAnsiTheme="majorHAnsi" w:cstheme="majorBidi"/>
          <w:sz w:val="23"/>
          <w:szCs w:val="23"/>
          <w:lang w:eastAsia="en-GB"/>
        </w:rPr>
        <w:t>t</w:t>
      </w:r>
      <w:r w:rsidRPr="007D4F30">
        <w:rPr>
          <w:rFonts w:asciiTheme="majorHAnsi" w:eastAsia="Times New Roman" w:hAnsiTheme="majorHAnsi" w:cstheme="majorBidi"/>
          <w:sz w:val="23"/>
          <w:szCs w:val="23"/>
          <w:lang w:eastAsia="en-GB"/>
        </w:rPr>
        <w:t>.</w:t>
      </w:r>
    </w:p>
    <w:p w14:paraId="35DBFA27" w14:textId="77777777" w:rsidR="00F00E3D" w:rsidRPr="006B1B41" w:rsidRDefault="00F00E3D" w:rsidP="009B2FA7">
      <w:pPr>
        <w:spacing w:after="0" w:line="276" w:lineRule="auto"/>
        <w:rPr>
          <w:rFonts w:asciiTheme="majorHAnsi" w:eastAsia="Times New Roman" w:hAnsiTheme="majorHAnsi" w:cstheme="majorBidi"/>
          <w:sz w:val="16"/>
          <w:szCs w:val="16"/>
          <w:lang w:eastAsia="en-GB"/>
        </w:rPr>
      </w:pPr>
    </w:p>
    <w:p w14:paraId="531877DE" w14:textId="1AB4E2EE" w:rsidR="00F00E3D" w:rsidRPr="000E4B86" w:rsidRDefault="00F00E3D" w:rsidP="009B2FA7">
      <w:pPr>
        <w:spacing w:after="0" w:line="276" w:lineRule="auto"/>
        <w:rPr>
          <w:rFonts w:asciiTheme="majorHAnsi" w:eastAsia="Times New Roman" w:hAnsiTheme="majorHAnsi" w:cstheme="majorBidi"/>
          <w:sz w:val="23"/>
          <w:szCs w:val="23"/>
          <w:lang w:eastAsia="en-GB"/>
        </w:rPr>
      </w:pPr>
      <w:r>
        <w:rPr>
          <w:rFonts w:asciiTheme="majorHAnsi" w:eastAsia="Times New Roman" w:hAnsiTheme="majorHAnsi" w:cstheme="majorBidi"/>
          <w:sz w:val="23"/>
          <w:szCs w:val="23"/>
          <w:lang w:eastAsia="en-GB"/>
        </w:rPr>
        <w:t>A</w:t>
      </w:r>
      <w:r w:rsidRPr="006B1B41">
        <w:rPr>
          <w:rFonts w:asciiTheme="majorHAnsi" w:eastAsia="Times New Roman" w:hAnsiTheme="majorHAnsi" w:cstheme="majorBidi"/>
          <w:sz w:val="23"/>
          <w:szCs w:val="23"/>
          <w:lang w:eastAsia="en-GB"/>
        </w:rPr>
        <w:t xml:space="preserve"> high number of studies (26) focused on cross-domain initiatives, including most of the community development and public health and housing integration initiatives, which by their very nature span </w:t>
      </w:r>
      <w:r w:rsidR="00D95573">
        <w:rPr>
          <w:rFonts w:asciiTheme="majorHAnsi" w:eastAsia="Times New Roman" w:hAnsiTheme="majorHAnsi" w:cstheme="majorBidi"/>
          <w:sz w:val="23"/>
          <w:szCs w:val="23"/>
          <w:lang w:eastAsia="en-GB"/>
        </w:rPr>
        <w:t>Practice Domain</w:t>
      </w:r>
      <w:r w:rsidRPr="006B1B41">
        <w:rPr>
          <w:rFonts w:asciiTheme="majorHAnsi" w:eastAsia="Times New Roman" w:hAnsiTheme="majorHAnsi" w:cstheme="majorBidi"/>
          <w:sz w:val="23"/>
          <w:szCs w:val="23"/>
          <w:lang w:eastAsia="en-GB"/>
        </w:rPr>
        <w:t>s.</w:t>
      </w:r>
      <w:r>
        <w:rPr>
          <w:rFonts w:asciiTheme="majorHAnsi" w:eastAsia="Times New Roman" w:hAnsiTheme="majorHAnsi" w:cstheme="majorBidi"/>
          <w:sz w:val="23"/>
          <w:szCs w:val="23"/>
          <w:lang w:eastAsia="en-GB"/>
        </w:rPr>
        <w:t xml:space="preserve"> However, a</w:t>
      </w:r>
      <w:r w:rsidRPr="006B1B41">
        <w:rPr>
          <w:rFonts w:asciiTheme="majorHAnsi" w:eastAsia="Times New Roman" w:hAnsiTheme="majorHAnsi" w:cstheme="majorBidi"/>
          <w:sz w:val="23"/>
          <w:szCs w:val="23"/>
          <w:lang w:eastAsia="en-GB"/>
        </w:rPr>
        <w:t xml:space="preserve">s most of the studies fall into the Health and Wellbeing </w:t>
      </w:r>
      <w:r w:rsidR="004C079C">
        <w:rPr>
          <w:rFonts w:asciiTheme="majorHAnsi" w:eastAsia="Times New Roman" w:hAnsiTheme="majorHAnsi" w:cstheme="majorBidi"/>
          <w:sz w:val="23"/>
          <w:szCs w:val="23"/>
          <w:lang w:eastAsia="en-GB"/>
        </w:rPr>
        <w:t>domain</w:t>
      </w:r>
      <w:r w:rsidRPr="006B1B41">
        <w:rPr>
          <w:rFonts w:asciiTheme="majorHAnsi" w:eastAsia="Times New Roman" w:hAnsiTheme="majorHAnsi" w:cstheme="majorBidi"/>
          <w:sz w:val="23"/>
          <w:szCs w:val="23"/>
          <w:lang w:eastAsia="en-GB"/>
        </w:rPr>
        <w:t xml:space="preserve">, it is worth considering the </w:t>
      </w:r>
      <w:r w:rsidRPr="000E4B86">
        <w:rPr>
          <w:rFonts w:asciiTheme="majorHAnsi" w:eastAsia="Times New Roman" w:hAnsiTheme="majorHAnsi" w:cstheme="majorBidi"/>
          <w:sz w:val="23"/>
          <w:szCs w:val="23"/>
          <w:lang w:eastAsia="en-GB"/>
        </w:rPr>
        <w:t>spread of types of intervention discussed in this domain, as indicated below.</w:t>
      </w:r>
    </w:p>
    <w:p w14:paraId="6CBB6759" w14:textId="77777777" w:rsidR="00F00E3D" w:rsidRPr="00D83422" w:rsidRDefault="00F00E3D" w:rsidP="009B2FA7">
      <w:pPr>
        <w:spacing w:after="0" w:line="276" w:lineRule="auto"/>
        <w:rPr>
          <w:rFonts w:asciiTheme="majorHAnsi" w:eastAsia="Times New Roman" w:hAnsiTheme="majorHAnsi" w:cstheme="majorHAnsi"/>
          <w:sz w:val="16"/>
          <w:szCs w:val="16"/>
          <w:lang w:eastAsia="en-GB"/>
        </w:rPr>
      </w:pPr>
    </w:p>
    <w:tbl>
      <w:tblPr>
        <w:tblStyle w:val="TableGrid"/>
        <w:tblW w:w="0" w:type="auto"/>
        <w:tblLook w:val="04A0" w:firstRow="1" w:lastRow="0" w:firstColumn="1" w:lastColumn="0" w:noHBand="0" w:noVBand="1"/>
      </w:tblPr>
      <w:tblGrid>
        <w:gridCol w:w="4505"/>
        <w:gridCol w:w="1302"/>
      </w:tblGrid>
      <w:tr w:rsidR="00193FBE" w:rsidRPr="00DC7420" w14:paraId="53EF7880" w14:textId="77777777" w:rsidTr="00193FBE">
        <w:tc>
          <w:tcPr>
            <w:tcW w:w="4505" w:type="dxa"/>
            <w:shd w:val="clear" w:color="auto" w:fill="D0CECE" w:themeFill="background2" w:themeFillShade="E6"/>
          </w:tcPr>
          <w:p w14:paraId="6C78AA28" w14:textId="7DCDDB58" w:rsidR="00F00E3D" w:rsidRPr="00DC7420" w:rsidRDefault="00F00E3D" w:rsidP="009B2FA7">
            <w:pPr>
              <w:spacing w:line="276" w:lineRule="auto"/>
              <w:contextualSpacing/>
              <w:rPr>
                <w:rFonts w:eastAsia="Times New Roman" w:cstheme="minorHAnsi"/>
                <w:b/>
                <w:bCs/>
                <w:sz w:val="21"/>
                <w:szCs w:val="21"/>
                <w:lang w:eastAsia="en-GB"/>
              </w:rPr>
            </w:pPr>
            <w:r w:rsidRPr="00DC7420">
              <w:rPr>
                <w:rFonts w:eastAsia="Times New Roman" w:cstheme="minorHAnsi"/>
                <w:b/>
                <w:bCs/>
                <w:sz w:val="21"/>
                <w:szCs w:val="21"/>
                <w:lang w:eastAsia="en-GB"/>
              </w:rPr>
              <w:t xml:space="preserve">Type </w:t>
            </w:r>
            <w:r w:rsidR="00193FBE" w:rsidRPr="00DC7420">
              <w:rPr>
                <w:rFonts w:eastAsia="Times New Roman" w:cstheme="minorHAnsi"/>
                <w:b/>
                <w:bCs/>
                <w:sz w:val="21"/>
                <w:szCs w:val="21"/>
                <w:lang w:eastAsia="en-GB"/>
              </w:rPr>
              <w:t xml:space="preserve">of </w:t>
            </w:r>
            <w:r w:rsidR="00F572D0" w:rsidRPr="00DC7420">
              <w:rPr>
                <w:rFonts w:eastAsia="Times New Roman" w:cstheme="minorHAnsi"/>
                <w:b/>
                <w:bCs/>
                <w:sz w:val="21"/>
                <w:szCs w:val="21"/>
                <w:lang w:eastAsia="en-GB"/>
              </w:rPr>
              <w:t>I</w:t>
            </w:r>
            <w:r w:rsidRPr="00DC7420">
              <w:rPr>
                <w:rFonts w:eastAsia="Times New Roman" w:cstheme="minorHAnsi"/>
                <w:b/>
                <w:bCs/>
                <w:sz w:val="21"/>
                <w:szCs w:val="21"/>
                <w:lang w:eastAsia="en-GB"/>
              </w:rPr>
              <w:t>ntervention</w:t>
            </w:r>
          </w:p>
        </w:tc>
        <w:tc>
          <w:tcPr>
            <w:tcW w:w="1302" w:type="dxa"/>
            <w:shd w:val="clear" w:color="auto" w:fill="D0CECE" w:themeFill="background2" w:themeFillShade="E6"/>
          </w:tcPr>
          <w:p w14:paraId="6C249EDD" w14:textId="33DB59B7" w:rsidR="00F00E3D" w:rsidRPr="00DC7420" w:rsidRDefault="00193FBE" w:rsidP="009B2FA7">
            <w:pPr>
              <w:spacing w:line="276" w:lineRule="auto"/>
              <w:contextualSpacing/>
              <w:rPr>
                <w:rFonts w:eastAsia="Times New Roman" w:cstheme="minorHAnsi"/>
                <w:b/>
                <w:bCs/>
                <w:sz w:val="21"/>
                <w:szCs w:val="21"/>
                <w:lang w:eastAsia="en-GB"/>
              </w:rPr>
            </w:pPr>
            <w:r w:rsidRPr="00DC7420">
              <w:rPr>
                <w:rFonts w:eastAsia="Times New Roman" w:cstheme="minorHAnsi"/>
                <w:b/>
                <w:bCs/>
                <w:sz w:val="21"/>
                <w:szCs w:val="21"/>
                <w:lang w:eastAsia="en-GB"/>
              </w:rPr>
              <w:t xml:space="preserve"># </w:t>
            </w:r>
            <w:r w:rsidR="00F00E3D" w:rsidRPr="00DC7420">
              <w:rPr>
                <w:rFonts w:eastAsia="Times New Roman" w:cstheme="minorHAnsi"/>
                <w:b/>
                <w:bCs/>
                <w:sz w:val="21"/>
                <w:szCs w:val="21"/>
                <w:lang w:eastAsia="en-GB"/>
              </w:rPr>
              <w:t>Studies</w:t>
            </w:r>
          </w:p>
        </w:tc>
      </w:tr>
      <w:tr w:rsidR="00F00E3D" w:rsidRPr="00DC7420" w14:paraId="06F7C37E" w14:textId="77777777" w:rsidTr="009B2FA7">
        <w:tc>
          <w:tcPr>
            <w:tcW w:w="4505" w:type="dxa"/>
          </w:tcPr>
          <w:p w14:paraId="24EE95DA"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Community Development </w:t>
            </w:r>
          </w:p>
        </w:tc>
        <w:tc>
          <w:tcPr>
            <w:tcW w:w="1302" w:type="dxa"/>
          </w:tcPr>
          <w:p w14:paraId="6FF78D61"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6</w:t>
            </w:r>
          </w:p>
        </w:tc>
      </w:tr>
      <w:tr w:rsidR="00F00E3D" w:rsidRPr="00DC7420" w14:paraId="34821C8A" w14:textId="77777777" w:rsidTr="009B2FA7">
        <w:tc>
          <w:tcPr>
            <w:tcW w:w="4505" w:type="dxa"/>
          </w:tcPr>
          <w:p w14:paraId="6A1378FC"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Community Engagement</w:t>
            </w:r>
          </w:p>
        </w:tc>
        <w:tc>
          <w:tcPr>
            <w:tcW w:w="1302" w:type="dxa"/>
          </w:tcPr>
          <w:p w14:paraId="08154EF1"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8</w:t>
            </w:r>
          </w:p>
        </w:tc>
      </w:tr>
      <w:tr w:rsidR="00F00E3D" w:rsidRPr="00DC7420" w14:paraId="3C3E9A6D" w14:textId="77777777" w:rsidTr="009B2FA7">
        <w:tc>
          <w:tcPr>
            <w:tcW w:w="4505" w:type="dxa"/>
          </w:tcPr>
          <w:p w14:paraId="7E8D9B51"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Community Education Program</w:t>
            </w:r>
          </w:p>
        </w:tc>
        <w:tc>
          <w:tcPr>
            <w:tcW w:w="1302" w:type="dxa"/>
          </w:tcPr>
          <w:p w14:paraId="198C73AE"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3</w:t>
            </w:r>
          </w:p>
        </w:tc>
      </w:tr>
      <w:tr w:rsidR="00F00E3D" w:rsidRPr="00DC7420" w14:paraId="1AD4C283" w14:textId="77777777" w:rsidTr="009B2FA7">
        <w:tc>
          <w:tcPr>
            <w:tcW w:w="4505" w:type="dxa"/>
          </w:tcPr>
          <w:p w14:paraId="48B714A0"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Food Access Initiative </w:t>
            </w:r>
          </w:p>
        </w:tc>
        <w:tc>
          <w:tcPr>
            <w:tcW w:w="1302" w:type="dxa"/>
          </w:tcPr>
          <w:p w14:paraId="329F0D7A"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6</w:t>
            </w:r>
          </w:p>
        </w:tc>
      </w:tr>
      <w:tr w:rsidR="00F00E3D" w:rsidRPr="00DC7420" w14:paraId="794578B0" w14:textId="77777777" w:rsidTr="009B2FA7">
        <w:tc>
          <w:tcPr>
            <w:tcW w:w="4505" w:type="dxa"/>
          </w:tcPr>
          <w:p w14:paraId="6F36D01D"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Health Policy </w:t>
            </w:r>
          </w:p>
        </w:tc>
        <w:tc>
          <w:tcPr>
            <w:tcW w:w="1302" w:type="dxa"/>
          </w:tcPr>
          <w:p w14:paraId="24DACF0A"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4</w:t>
            </w:r>
          </w:p>
        </w:tc>
      </w:tr>
      <w:tr w:rsidR="00F00E3D" w:rsidRPr="00DC7420" w14:paraId="17558C41" w14:textId="77777777" w:rsidTr="009B2FA7">
        <w:tc>
          <w:tcPr>
            <w:tcW w:w="4505" w:type="dxa"/>
          </w:tcPr>
          <w:p w14:paraId="7933F1C5"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Health Promotion </w:t>
            </w:r>
          </w:p>
        </w:tc>
        <w:tc>
          <w:tcPr>
            <w:tcW w:w="1302" w:type="dxa"/>
          </w:tcPr>
          <w:p w14:paraId="58CEF9E4"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2</w:t>
            </w:r>
          </w:p>
        </w:tc>
      </w:tr>
      <w:tr w:rsidR="00F00E3D" w:rsidRPr="00DC7420" w14:paraId="0FC4E63B" w14:textId="77777777" w:rsidTr="009B2FA7">
        <w:tc>
          <w:tcPr>
            <w:tcW w:w="4505" w:type="dxa"/>
          </w:tcPr>
          <w:p w14:paraId="47F246B8"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Neighbourhood Renewal </w:t>
            </w:r>
          </w:p>
        </w:tc>
        <w:tc>
          <w:tcPr>
            <w:tcW w:w="1302" w:type="dxa"/>
          </w:tcPr>
          <w:p w14:paraId="348FE805"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6</w:t>
            </w:r>
          </w:p>
        </w:tc>
      </w:tr>
      <w:tr w:rsidR="00F00E3D" w:rsidRPr="00DC7420" w14:paraId="1BF80041" w14:textId="77777777" w:rsidTr="009B2FA7">
        <w:tc>
          <w:tcPr>
            <w:tcW w:w="4505" w:type="dxa"/>
          </w:tcPr>
          <w:p w14:paraId="0FC113D1"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Neighbourhood Arts Initiative </w:t>
            </w:r>
          </w:p>
        </w:tc>
        <w:tc>
          <w:tcPr>
            <w:tcW w:w="1302" w:type="dxa"/>
          </w:tcPr>
          <w:p w14:paraId="7D21FD1B"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1</w:t>
            </w:r>
          </w:p>
        </w:tc>
      </w:tr>
      <w:tr w:rsidR="00F00E3D" w:rsidRPr="00DC7420" w14:paraId="0BE5C4F8" w14:textId="77777777" w:rsidTr="009B2FA7">
        <w:tc>
          <w:tcPr>
            <w:tcW w:w="4505" w:type="dxa"/>
          </w:tcPr>
          <w:p w14:paraId="142E7271"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Physical Activity Program </w:t>
            </w:r>
          </w:p>
        </w:tc>
        <w:tc>
          <w:tcPr>
            <w:tcW w:w="1302" w:type="dxa"/>
          </w:tcPr>
          <w:p w14:paraId="54E90EB3"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3</w:t>
            </w:r>
          </w:p>
        </w:tc>
      </w:tr>
      <w:tr w:rsidR="00F00E3D" w:rsidRPr="00DC7420" w14:paraId="733A3F9C" w14:textId="77777777" w:rsidTr="009B2FA7">
        <w:tc>
          <w:tcPr>
            <w:tcW w:w="4505" w:type="dxa"/>
          </w:tcPr>
          <w:p w14:paraId="08C20CB4" w14:textId="4114F022"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 xml:space="preserve">Public Health </w:t>
            </w:r>
            <w:r w:rsidR="003C47DD" w:rsidRPr="00DC7420">
              <w:rPr>
                <w:rFonts w:asciiTheme="majorHAnsi" w:eastAsia="Times New Roman" w:hAnsiTheme="majorHAnsi" w:cstheme="majorHAnsi"/>
                <w:sz w:val="21"/>
                <w:szCs w:val="21"/>
                <w:lang w:eastAsia="en-GB"/>
              </w:rPr>
              <w:t>and</w:t>
            </w:r>
            <w:r w:rsidRPr="00DC7420">
              <w:rPr>
                <w:rFonts w:asciiTheme="majorHAnsi" w:eastAsia="Times New Roman" w:hAnsiTheme="majorHAnsi" w:cstheme="majorHAnsi"/>
                <w:sz w:val="21"/>
                <w:szCs w:val="21"/>
                <w:lang w:eastAsia="en-GB"/>
              </w:rPr>
              <w:t xml:space="preserve"> Housing Integration </w:t>
            </w:r>
          </w:p>
        </w:tc>
        <w:tc>
          <w:tcPr>
            <w:tcW w:w="1302" w:type="dxa"/>
          </w:tcPr>
          <w:p w14:paraId="176E081F" w14:textId="77777777" w:rsidR="00F00E3D" w:rsidRPr="00DC7420" w:rsidRDefault="00F00E3D" w:rsidP="009B2FA7">
            <w:pPr>
              <w:spacing w:line="276" w:lineRule="auto"/>
              <w:contextualSpacing/>
              <w:rPr>
                <w:rFonts w:asciiTheme="majorHAnsi" w:eastAsia="Times New Roman" w:hAnsiTheme="majorHAnsi" w:cstheme="majorHAnsi"/>
                <w:sz w:val="21"/>
                <w:szCs w:val="21"/>
                <w:lang w:eastAsia="en-GB"/>
              </w:rPr>
            </w:pPr>
            <w:r w:rsidRPr="00DC7420">
              <w:rPr>
                <w:rFonts w:asciiTheme="majorHAnsi" w:eastAsia="Times New Roman" w:hAnsiTheme="majorHAnsi" w:cstheme="majorHAnsi"/>
                <w:sz w:val="21"/>
                <w:szCs w:val="21"/>
                <w:lang w:eastAsia="en-GB"/>
              </w:rPr>
              <w:t>4</w:t>
            </w:r>
          </w:p>
        </w:tc>
      </w:tr>
    </w:tbl>
    <w:p w14:paraId="49A4B9FB" w14:textId="72E4DFC9" w:rsidR="00193FBE" w:rsidRPr="004D7F9B" w:rsidRDefault="00F00E3D" w:rsidP="00193FBE">
      <w:pPr>
        <w:spacing w:after="0" w:line="276" w:lineRule="auto"/>
        <w:contextualSpacing/>
        <w:rPr>
          <w:rFonts w:eastAsia="Times New Roman" w:cstheme="minorHAnsi"/>
          <w:b/>
          <w:bCs/>
          <w:sz w:val="21"/>
          <w:szCs w:val="21"/>
          <w:lang w:eastAsia="en-GB"/>
        </w:rPr>
      </w:pPr>
      <w:r w:rsidRPr="004D7F9B">
        <w:rPr>
          <w:rFonts w:eastAsia="Times New Roman" w:cstheme="minorHAnsi"/>
          <w:b/>
          <w:bCs/>
          <w:sz w:val="21"/>
          <w:szCs w:val="21"/>
          <w:lang w:eastAsia="en-GB"/>
        </w:rPr>
        <w:t xml:space="preserve">Table </w:t>
      </w:r>
      <w:r w:rsidR="00DC7420" w:rsidRPr="004D7F9B">
        <w:rPr>
          <w:rFonts w:eastAsia="Times New Roman" w:cstheme="minorHAnsi"/>
          <w:b/>
          <w:bCs/>
          <w:sz w:val="21"/>
          <w:szCs w:val="21"/>
          <w:lang w:eastAsia="en-GB"/>
        </w:rPr>
        <w:t>3.1</w:t>
      </w:r>
      <w:r w:rsidR="004D7F9B" w:rsidRPr="004D7F9B">
        <w:rPr>
          <w:rFonts w:eastAsia="Times New Roman" w:cstheme="minorHAnsi"/>
          <w:b/>
          <w:bCs/>
          <w:sz w:val="21"/>
          <w:szCs w:val="21"/>
          <w:lang w:eastAsia="en-GB"/>
        </w:rPr>
        <w:t>3</w:t>
      </w:r>
      <w:r w:rsidR="00193FBE" w:rsidRPr="004D7F9B">
        <w:rPr>
          <w:rFonts w:eastAsia="Times New Roman" w:cstheme="minorHAnsi"/>
          <w:b/>
          <w:bCs/>
          <w:sz w:val="21"/>
          <w:szCs w:val="21"/>
          <w:lang w:eastAsia="en-GB"/>
        </w:rPr>
        <w:t xml:space="preserve">: </w:t>
      </w:r>
      <w:r w:rsidRPr="004D7F9B">
        <w:rPr>
          <w:rFonts w:eastAsia="Times New Roman" w:cstheme="minorHAnsi"/>
          <w:b/>
          <w:bCs/>
          <w:sz w:val="21"/>
          <w:szCs w:val="21"/>
          <w:lang w:eastAsia="en-GB"/>
        </w:rPr>
        <w:t xml:space="preserve">Types </w:t>
      </w:r>
      <w:r w:rsidR="00193FBE" w:rsidRPr="004D7F9B">
        <w:rPr>
          <w:rFonts w:eastAsia="Times New Roman" w:cstheme="minorHAnsi"/>
          <w:b/>
          <w:bCs/>
          <w:sz w:val="21"/>
          <w:szCs w:val="21"/>
          <w:lang w:eastAsia="en-GB"/>
        </w:rPr>
        <w:t xml:space="preserve">of Intervention in the </w:t>
      </w:r>
      <w:r w:rsidRPr="004D7F9B">
        <w:rPr>
          <w:rFonts w:eastAsia="Times New Roman" w:cstheme="minorHAnsi"/>
          <w:b/>
          <w:bCs/>
          <w:sz w:val="21"/>
          <w:szCs w:val="21"/>
          <w:lang w:eastAsia="en-GB"/>
        </w:rPr>
        <w:t xml:space="preserve">Health </w:t>
      </w:r>
      <w:r w:rsidR="00193FBE" w:rsidRPr="004D7F9B">
        <w:rPr>
          <w:rFonts w:eastAsia="Times New Roman" w:cstheme="minorHAnsi"/>
          <w:b/>
          <w:bCs/>
          <w:sz w:val="21"/>
          <w:szCs w:val="21"/>
          <w:lang w:eastAsia="en-GB"/>
        </w:rPr>
        <w:t xml:space="preserve">and </w:t>
      </w:r>
      <w:r w:rsidRPr="004D7F9B">
        <w:rPr>
          <w:rFonts w:eastAsia="Times New Roman" w:cstheme="minorHAnsi"/>
          <w:b/>
          <w:bCs/>
          <w:sz w:val="21"/>
          <w:szCs w:val="21"/>
          <w:lang w:eastAsia="en-GB"/>
        </w:rPr>
        <w:t>Wellbeing Domain</w:t>
      </w:r>
    </w:p>
    <w:p w14:paraId="2D3A33F1" w14:textId="77777777" w:rsidR="00DC7420" w:rsidRPr="00DC7420" w:rsidRDefault="00DC7420" w:rsidP="00193FBE">
      <w:pPr>
        <w:spacing w:after="0" w:line="276" w:lineRule="auto"/>
        <w:contextualSpacing/>
        <w:rPr>
          <w:rFonts w:eastAsia="Times New Roman" w:cstheme="minorHAnsi"/>
          <w:b/>
          <w:bCs/>
          <w:sz w:val="12"/>
          <w:szCs w:val="12"/>
          <w:lang w:eastAsia="en-GB"/>
        </w:rPr>
      </w:pPr>
    </w:p>
    <w:p w14:paraId="1F355420" w14:textId="326BC612" w:rsidR="00F00E3D" w:rsidRPr="000E4B86" w:rsidRDefault="00F00E3D" w:rsidP="009B2FA7">
      <w:pPr>
        <w:spacing w:after="0" w:line="276" w:lineRule="auto"/>
        <w:rPr>
          <w:rFonts w:asciiTheme="majorHAnsi" w:eastAsia="Times New Roman" w:hAnsiTheme="majorHAnsi" w:cstheme="majorBidi"/>
          <w:sz w:val="23"/>
          <w:szCs w:val="23"/>
          <w:lang w:eastAsia="en-GB"/>
        </w:rPr>
      </w:pPr>
      <w:r w:rsidRPr="000E4B86">
        <w:rPr>
          <w:rFonts w:asciiTheme="majorHAnsi" w:eastAsia="Times New Roman" w:hAnsiTheme="majorHAnsi" w:cstheme="majorBidi"/>
          <w:sz w:val="23"/>
          <w:szCs w:val="23"/>
          <w:lang w:eastAsia="en-GB"/>
        </w:rPr>
        <w:t xml:space="preserve">This list </w:t>
      </w:r>
      <w:r w:rsidR="00ED1F9E">
        <w:rPr>
          <w:rFonts w:asciiTheme="majorHAnsi" w:eastAsia="Times New Roman" w:hAnsiTheme="majorHAnsi" w:cstheme="majorBidi"/>
          <w:sz w:val="23"/>
          <w:szCs w:val="23"/>
          <w:lang w:eastAsia="en-GB"/>
        </w:rPr>
        <w:t xml:space="preserve">(Table 3.13, above) </w:t>
      </w:r>
      <w:r w:rsidRPr="000E4B86">
        <w:rPr>
          <w:rFonts w:asciiTheme="majorHAnsi" w:eastAsia="Times New Roman" w:hAnsiTheme="majorHAnsi" w:cstheme="majorBidi"/>
          <w:sz w:val="23"/>
          <w:szCs w:val="23"/>
          <w:lang w:eastAsia="en-GB"/>
        </w:rPr>
        <w:t>shows that most interventions in the Health and Wellbeing domain are focused on community engagement, education programs</w:t>
      </w:r>
      <w:r w:rsidR="003C47DD">
        <w:rPr>
          <w:rFonts w:asciiTheme="majorHAnsi" w:eastAsia="Times New Roman" w:hAnsiTheme="majorHAnsi" w:cstheme="majorBidi"/>
          <w:sz w:val="23"/>
          <w:szCs w:val="23"/>
          <w:lang w:eastAsia="en-GB"/>
        </w:rPr>
        <w:t>,</w:t>
      </w:r>
      <w:r w:rsidRPr="000E4B86">
        <w:rPr>
          <w:rFonts w:asciiTheme="majorHAnsi" w:eastAsia="Times New Roman" w:hAnsiTheme="majorHAnsi" w:cstheme="majorBidi"/>
          <w:sz w:val="23"/>
          <w:szCs w:val="23"/>
          <w:lang w:eastAsia="en-GB"/>
        </w:rPr>
        <w:t xml:space="preserve"> and health promotion. Importantly, </w:t>
      </w:r>
      <w:r w:rsidR="003C47DD">
        <w:rPr>
          <w:rFonts w:asciiTheme="majorHAnsi" w:eastAsia="Times New Roman" w:hAnsiTheme="majorHAnsi" w:cstheme="majorBidi"/>
          <w:sz w:val="23"/>
          <w:szCs w:val="23"/>
          <w:lang w:eastAsia="en-GB"/>
        </w:rPr>
        <w:t>16</w:t>
      </w:r>
      <w:r w:rsidRPr="000E4B86">
        <w:rPr>
          <w:rFonts w:asciiTheme="majorHAnsi" w:eastAsia="Times New Roman" w:hAnsiTheme="majorHAnsi" w:cstheme="majorBidi"/>
          <w:sz w:val="23"/>
          <w:szCs w:val="23"/>
          <w:lang w:eastAsia="en-GB"/>
        </w:rPr>
        <w:t xml:space="preserve"> studies integrate health with housing as part of community development and neighbourhood renewal. The spanning of disciplines here acknowledges the growing recognition of housing impacts on community health</w:t>
      </w:r>
      <w:r w:rsidR="003C47DD">
        <w:rPr>
          <w:rFonts w:asciiTheme="majorHAnsi" w:eastAsia="Times New Roman" w:hAnsiTheme="majorHAnsi" w:cstheme="majorBidi"/>
          <w:sz w:val="23"/>
          <w:szCs w:val="23"/>
          <w:lang w:eastAsia="en-GB"/>
        </w:rPr>
        <w:t>,</w:t>
      </w:r>
      <w:r w:rsidRPr="000E4B86">
        <w:rPr>
          <w:rFonts w:asciiTheme="majorHAnsi" w:eastAsia="Times New Roman" w:hAnsiTheme="majorHAnsi" w:cstheme="majorBidi"/>
          <w:sz w:val="23"/>
          <w:szCs w:val="23"/>
          <w:lang w:eastAsia="en-GB"/>
        </w:rPr>
        <w:t xml:space="preserve"> and that “vibrant neighbo</w:t>
      </w:r>
      <w:r w:rsidR="003C47DD">
        <w:rPr>
          <w:rFonts w:asciiTheme="majorHAnsi" w:eastAsia="Times New Roman" w:hAnsiTheme="majorHAnsi" w:cstheme="majorBidi"/>
          <w:sz w:val="23"/>
          <w:szCs w:val="23"/>
          <w:lang w:eastAsia="en-GB"/>
        </w:rPr>
        <w:t>u</w:t>
      </w:r>
      <w:r w:rsidRPr="000E4B86">
        <w:rPr>
          <w:rFonts w:asciiTheme="majorHAnsi" w:eastAsia="Times New Roman" w:hAnsiTheme="majorHAnsi" w:cstheme="majorBidi"/>
          <w:sz w:val="23"/>
          <w:szCs w:val="23"/>
          <w:lang w:eastAsia="en-GB"/>
        </w:rPr>
        <w:t xml:space="preserve">rhoods are vital to health” </w:t>
      </w:r>
      <w:r w:rsidRPr="000E4B86">
        <w:rPr>
          <w:rFonts w:asciiTheme="majorHAnsi" w:eastAsia="Times New Roman" w:hAnsiTheme="majorHAnsi" w:cstheme="majorBidi"/>
          <w:noProof/>
          <w:sz w:val="23"/>
          <w:szCs w:val="23"/>
          <w:lang w:eastAsia="en-GB"/>
        </w:rPr>
        <w:t>(Erickson &amp; Andrews, 2011, p. 2056)</w:t>
      </w:r>
      <w:r w:rsidRPr="000E4B86">
        <w:rPr>
          <w:rFonts w:asciiTheme="majorHAnsi" w:eastAsia="Times New Roman" w:hAnsiTheme="majorHAnsi" w:cstheme="majorBidi"/>
          <w:sz w:val="23"/>
          <w:szCs w:val="23"/>
          <w:lang w:eastAsia="en-GB"/>
        </w:rPr>
        <w:t xml:space="preserve">. This recognition is at the heart of the healthy </w:t>
      </w:r>
      <w:proofErr w:type="gramStart"/>
      <w:r w:rsidRPr="000E4B86">
        <w:rPr>
          <w:rFonts w:asciiTheme="majorHAnsi" w:eastAsia="Times New Roman" w:hAnsiTheme="majorHAnsi" w:cstheme="majorBidi"/>
          <w:sz w:val="23"/>
          <w:szCs w:val="23"/>
          <w:lang w:eastAsia="en-GB"/>
        </w:rPr>
        <w:t>cities</w:t>
      </w:r>
      <w:proofErr w:type="gramEnd"/>
      <w:r w:rsidRPr="000E4B86">
        <w:rPr>
          <w:rFonts w:asciiTheme="majorHAnsi" w:eastAsia="Times New Roman" w:hAnsiTheme="majorHAnsi" w:cstheme="majorBidi"/>
          <w:sz w:val="23"/>
          <w:szCs w:val="23"/>
          <w:lang w:eastAsia="en-GB"/>
        </w:rPr>
        <w:t xml:space="preserve"> movement, which is underpinned by the core practices of community participation and empowerment </w:t>
      </w:r>
      <w:r w:rsidRPr="000E4B86">
        <w:rPr>
          <w:rFonts w:asciiTheme="majorHAnsi" w:eastAsia="Times New Roman" w:hAnsiTheme="majorHAnsi" w:cstheme="majorBidi"/>
          <w:noProof/>
          <w:sz w:val="23"/>
          <w:szCs w:val="23"/>
          <w:lang w:eastAsia="en-GB"/>
        </w:rPr>
        <w:t>(Erickson &amp; Andrews, 2011)</w:t>
      </w:r>
      <w:r w:rsidRPr="000E4B86">
        <w:rPr>
          <w:rFonts w:asciiTheme="majorHAnsi" w:eastAsia="Times New Roman" w:hAnsiTheme="majorHAnsi" w:cstheme="majorBidi"/>
          <w:sz w:val="23"/>
          <w:szCs w:val="23"/>
          <w:lang w:eastAsia="en-GB"/>
        </w:rPr>
        <w:t>.</w:t>
      </w:r>
    </w:p>
    <w:p w14:paraId="5BE8FF5A" w14:textId="77777777" w:rsidR="00F00E3D" w:rsidRPr="00870E1F" w:rsidRDefault="00F00E3D" w:rsidP="009B2FA7">
      <w:pPr>
        <w:spacing w:after="0" w:line="276" w:lineRule="auto"/>
        <w:rPr>
          <w:rFonts w:asciiTheme="majorHAnsi" w:eastAsia="Times New Roman" w:hAnsiTheme="majorHAnsi" w:cstheme="majorHAnsi"/>
          <w:sz w:val="12"/>
          <w:szCs w:val="12"/>
          <w:lang w:eastAsia="en-GB"/>
        </w:rPr>
      </w:pPr>
    </w:p>
    <w:p w14:paraId="14991496" w14:textId="4F6B644C" w:rsidR="00F00E3D" w:rsidRDefault="00F00E3D" w:rsidP="009B2FA7">
      <w:pPr>
        <w:spacing w:after="0" w:line="276" w:lineRule="auto"/>
        <w:rPr>
          <w:rFonts w:asciiTheme="majorHAnsi" w:eastAsia="Times New Roman" w:hAnsiTheme="majorHAnsi" w:cstheme="majorHAnsi"/>
          <w:sz w:val="23"/>
          <w:szCs w:val="23"/>
          <w:lang w:eastAsia="en-GB"/>
        </w:rPr>
      </w:pPr>
      <w:r w:rsidRPr="00117DAF">
        <w:rPr>
          <w:rFonts w:asciiTheme="majorHAnsi" w:eastAsia="Times New Roman" w:hAnsiTheme="majorHAnsi" w:cstheme="majorHAnsi"/>
          <w:sz w:val="23"/>
          <w:szCs w:val="23"/>
          <w:lang w:eastAsia="en-GB"/>
        </w:rPr>
        <w:lastRenderedPageBreak/>
        <w:t xml:space="preserve">Next, we consider the most common </w:t>
      </w:r>
      <w:r w:rsidR="003C47DD">
        <w:rPr>
          <w:rFonts w:asciiTheme="majorHAnsi" w:eastAsia="Times New Roman" w:hAnsiTheme="majorHAnsi" w:cstheme="majorHAnsi"/>
          <w:sz w:val="23"/>
          <w:szCs w:val="23"/>
          <w:lang w:eastAsia="en-GB"/>
        </w:rPr>
        <w:t>“types”</w:t>
      </w:r>
      <w:r w:rsidRPr="00117DAF">
        <w:rPr>
          <w:rFonts w:asciiTheme="majorHAnsi" w:eastAsia="Times New Roman" w:hAnsiTheme="majorHAnsi" w:cstheme="majorHAnsi"/>
          <w:sz w:val="23"/>
          <w:szCs w:val="23"/>
          <w:lang w:eastAsia="en-GB"/>
        </w:rPr>
        <w:t xml:space="preserve"> of initiative</w:t>
      </w:r>
      <w:r w:rsidR="003C47DD">
        <w:rPr>
          <w:rFonts w:asciiTheme="majorHAnsi" w:eastAsia="Times New Roman" w:hAnsiTheme="majorHAnsi" w:cstheme="majorHAnsi"/>
          <w:sz w:val="23"/>
          <w:szCs w:val="23"/>
          <w:lang w:eastAsia="en-GB"/>
        </w:rPr>
        <w:t>s</w:t>
      </w:r>
      <w:r w:rsidRPr="00117DAF">
        <w:rPr>
          <w:rFonts w:asciiTheme="majorHAnsi" w:eastAsia="Times New Roman" w:hAnsiTheme="majorHAnsi" w:cstheme="majorHAnsi"/>
          <w:sz w:val="23"/>
          <w:szCs w:val="23"/>
          <w:lang w:eastAsia="en-GB"/>
        </w:rPr>
        <w:t xml:space="preserve"> discussed in the articles: Affordable Housing, Community Development, Community Engagement, Food Access, Mixed-Income Development, and Neighbourhood Renewal.</w:t>
      </w:r>
    </w:p>
    <w:p w14:paraId="78B294B7" w14:textId="77777777" w:rsidR="00B13B75" w:rsidRPr="00DC7420" w:rsidRDefault="00B13B75" w:rsidP="009B2FA7">
      <w:pPr>
        <w:spacing w:after="0" w:line="276" w:lineRule="auto"/>
        <w:rPr>
          <w:rFonts w:asciiTheme="majorHAnsi" w:eastAsia="Times New Roman" w:hAnsiTheme="majorHAnsi" w:cstheme="majorHAnsi"/>
          <w:sz w:val="16"/>
          <w:szCs w:val="16"/>
          <w:lang w:eastAsia="en-GB"/>
        </w:rPr>
      </w:pPr>
    </w:p>
    <w:p w14:paraId="4FB77FC1" w14:textId="77777777" w:rsidR="00F00E3D" w:rsidRPr="00966B36" w:rsidRDefault="00F00E3D" w:rsidP="009B2FA7">
      <w:pPr>
        <w:spacing w:after="0" w:line="276" w:lineRule="auto"/>
        <w:rPr>
          <w:rFonts w:eastAsia="Times New Roman" w:cstheme="minorHAnsi"/>
          <w:b/>
          <w:bCs/>
          <w:sz w:val="25"/>
          <w:szCs w:val="25"/>
          <w:lang w:eastAsia="en-GB"/>
        </w:rPr>
      </w:pPr>
      <w:r w:rsidRPr="00966B36">
        <w:rPr>
          <w:rFonts w:eastAsia="Times New Roman" w:cstheme="minorHAnsi"/>
          <w:b/>
          <w:bCs/>
          <w:sz w:val="25"/>
          <w:szCs w:val="25"/>
          <w:lang w:eastAsia="en-GB"/>
        </w:rPr>
        <w:t xml:space="preserve">Affordable Housing </w:t>
      </w:r>
      <w:r>
        <w:rPr>
          <w:rFonts w:eastAsia="Times New Roman" w:cstheme="minorHAnsi"/>
          <w:b/>
          <w:bCs/>
          <w:sz w:val="25"/>
          <w:szCs w:val="25"/>
          <w:lang w:eastAsia="en-GB"/>
        </w:rPr>
        <w:t>Initiatives</w:t>
      </w:r>
    </w:p>
    <w:p w14:paraId="4DACF0F8" w14:textId="77777777" w:rsidR="00F00E3D" w:rsidRPr="00117DAF" w:rsidRDefault="00F00E3D" w:rsidP="009B2FA7">
      <w:pPr>
        <w:spacing w:after="0" w:line="276" w:lineRule="auto"/>
        <w:rPr>
          <w:rFonts w:asciiTheme="majorHAnsi" w:eastAsia="Times New Roman" w:hAnsiTheme="majorHAnsi" w:cstheme="majorHAnsi"/>
          <w:b/>
          <w:bCs/>
          <w:sz w:val="16"/>
          <w:szCs w:val="16"/>
          <w:lang w:eastAsia="en-GB"/>
        </w:rPr>
      </w:pPr>
    </w:p>
    <w:p w14:paraId="7EA53C79" w14:textId="24D5BA30" w:rsidR="00F00E3D" w:rsidRPr="00117DAF" w:rsidRDefault="00F00E3D" w:rsidP="009B2FA7">
      <w:pPr>
        <w:spacing w:after="0" w:line="276" w:lineRule="auto"/>
        <w:rPr>
          <w:rFonts w:asciiTheme="majorHAnsi" w:eastAsia="Times New Roman" w:hAnsiTheme="majorHAnsi" w:cstheme="majorHAnsi"/>
          <w:sz w:val="23"/>
          <w:szCs w:val="23"/>
          <w:lang w:eastAsia="en-GB"/>
        </w:rPr>
      </w:pPr>
      <w:r w:rsidRPr="00117DAF">
        <w:rPr>
          <w:rFonts w:asciiTheme="majorHAnsi" w:eastAsia="Times New Roman" w:hAnsiTheme="majorHAnsi" w:cstheme="majorHAnsi"/>
          <w:sz w:val="23"/>
          <w:szCs w:val="23"/>
          <w:lang w:eastAsia="en-GB"/>
        </w:rPr>
        <w:t xml:space="preserve">A commonly accepted definition of affordable housing, and one followed </w:t>
      </w:r>
      <w:r w:rsidR="00F572D0">
        <w:rPr>
          <w:rFonts w:asciiTheme="majorHAnsi" w:eastAsia="Times New Roman" w:hAnsiTheme="majorHAnsi" w:cstheme="majorHAnsi"/>
          <w:sz w:val="23"/>
          <w:szCs w:val="23"/>
          <w:lang w:eastAsia="en-GB"/>
        </w:rPr>
        <w:t>across</w:t>
      </w:r>
      <w:r w:rsidR="00312B24">
        <w:rPr>
          <w:rFonts w:asciiTheme="majorHAnsi" w:eastAsia="Times New Roman" w:hAnsiTheme="majorHAnsi" w:cstheme="majorHAnsi"/>
          <w:sz w:val="23"/>
          <w:szCs w:val="23"/>
          <w:lang w:eastAsia="en-GB"/>
        </w:rPr>
        <w:t xml:space="preserve"> this report</w:t>
      </w:r>
      <w:r w:rsidRPr="00117DAF">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is:</w:t>
      </w:r>
      <w:r w:rsidRPr="00117DAF">
        <w:rPr>
          <w:rFonts w:asciiTheme="majorHAnsi" w:eastAsia="Times New Roman" w:hAnsiTheme="majorHAnsi" w:cstheme="majorHAnsi"/>
          <w:sz w:val="23"/>
          <w:szCs w:val="23"/>
          <w:lang w:eastAsia="en-GB"/>
        </w:rPr>
        <w:t xml:space="preserve"> “housing for a range of low to moderate income households that is appropriate for their needs and priced so that they can meet other essential basic living costs” </w:t>
      </w:r>
      <w:r>
        <w:rPr>
          <w:rFonts w:asciiTheme="majorHAnsi" w:eastAsia="Times New Roman" w:hAnsiTheme="majorHAnsi" w:cstheme="majorHAnsi"/>
          <w:noProof/>
          <w:sz w:val="23"/>
          <w:szCs w:val="23"/>
          <w:lang w:eastAsia="en-GB"/>
        </w:rPr>
        <w:t>(Housing &amp; Ministers, 2005, p.1)</w:t>
      </w:r>
      <w:r w:rsidRPr="00117DAF">
        <w:rPr>
          <w:rFonts w:asciiTheme="majorHAnsi" w:eastAsia="Times New Roman" w:hAnsiTheme="majorHAnsi" w:cstheme="majorHAnsi"/>
          <w:sz w:val="23"/>
          <w:szCs w:val="23"/>
          <w:lang w:eastAsia="en-GB"/>
        </w:rPr>
        <w:t>. Affordable housing was a focus of around 25</w:t>
      </w:r>
      <w:r>
        <w:rPr>
          <w:rFonts w:asciiTheme="majorHAnsi" w:eastAsia="Times New Roman" w:hAnsiTheme="majorHAnsi" w:cstheme="majorHAnsi"/>
          <w:sz w:val="23"/>
          <w:szCs w:val="23"/>
          <w:lang w:eastAsia="en-GB"/>
        </w:rPr>
        <w:t xml:space="preserve"> percent</w:t>
      </w:r>
      <w:r w:rsidRPr="00117DAF">
        <w:rPr>
          <w:rFonts w:asciiTheme="majorHAnsi" w:eastAsia="Times New Roman" w:hAnsiTheme="majorHAnsi" w:cstheme="majorHAnsi"/>
          <w:sz w:val="23"/>
          <w:szCs w:val="23"/>
          <w:lang w:eastAsia="en-GB"/>
        </w:rPr>
        <w:t xml:space="preserve"> of the articles in our sample, reflecting the significant community impacts across multiple domains </w:t>
      </w:r>
      <w:r>
        <w:rPr>
          <w:rFonts w:asciiTheme="majorHAnsi" w:eastAsia="Times New Roman" w:hAnsiTheme="majorHAnsi" w:cstheme="majorHAnsi"/>
          <w:sz w:val="23"/>
          <w:szCs w:val="23"/>
          <w:lang w:eastAsia="en-GB"/>
        </w:rPr>
        <w:t xml:space="preserve">when </w:t>
      </w:r>
      <w:r w:rsidRPr="00117DAF">
        <w:rPr>
          <w:rFonts w:asciiTheme="majorHAnsi" w:eastAsia="Times New Roman" w:hAnsiTheme="majorHAnsi" w:cstheme="majorHAnsi"/>
          <w:sz w:val="23"/>
          <w:szCs w:val="23"/>
          <w:lang w:eastAsia="en-GB"/>
        </w:rPr>
        <w:t>affordable housing</w:t>
      </w:r>
      <w:r>
        <w:rPr>
          <w:rFonts w:asciiTheme="majorHAnsi" w:eastAsia="Times New Roman" w:hAnsiTheme="majorHAnsi" w:cstheme="majorHAnsi"/>
          <w:sz w:val="23"/>
          <w:szCs w:val="23"/>
          <w:lang w:eastAsia="en-GB"/>
        </w:rPr>
        <w:t xml:space="preserve"> is lacking</w:t>
      </w:r>
      <w:r w:rsidRPr="00117DAF">
        <w:rPr>
          <w:rFonts w:asciiTheme="majorHAnsi" w:eastAsia="Times New Roman" w:hAnsiTheme="majorHAnsi" w:cstheme="majorHAnsi"/>
          <w:sz w:val="23"/>
          <w:szCs w:val="23"/>
          <w:lang w:eastAsia="en-GB"/>
        </w:rPr>
        <w:t xml:space="preserve">. The effects of unaffordable housing and poorly designed neighbourhoods </w:t>
      </w:r>
      <w:r>
        <w:rPr>
          <w:rFonts w:asciiTheme="majorHAnsi" w:eastAsia="Times New Roman" w:hAnsiTheme="majorHAnsi" w:cstheme="majorHAnsi"/>
          <w:sz w:val="23"/>
          <w:szCs w:val="23"/>
          <w:lang w:eastAsia="en-GB"/>
        </w:rPr>
        <w:t>–</w:t>
      </w:r>
      <w:r w:rsidRPr="00117DAF">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places that </w:t>
      </w:r>
      <w:r w:rsidRPr="00117DAF">
        <w:rPr>
          <w:rFonts w:asciiTheme="majorHAnsi" w:eastAsia="Times New Roman" w:hAnsiTheme="majorHAnsi" w:cstheme="majorHAnsi"/>
          <w:sz w:val="23"/>
          <w:szCs w:val="23"/>
          <w:lang w:eastAsia="en-GB"/>
        </w:rPr>
        <w:t>lack infrastructure, open space and trees, public transport, employment</w:t>
      </w:r>
      <w:r>
        <w:rPr>
          <w:rFonts w:asciiTheme="majorHAnsi" w:eastAsia="Times New Roman" w:hAnsiTheme="majorHAnsi" w:cstheme="majorHAnsi"/>
          <w:sz w:val="23"/>
          <w:szCs w:val="23"/>
          <w:lang w:eastAsia="en-GB"/>
        </w:rPr>
        <w:t xml:space="preserve"> opportunities,</w:t>
      </w:r>
      <w:r w:rsidRPr="00117DAF">
        <w:rPr>
          <w:rFonts w:asciiTheme="majorHAnsi" w:eastAsia="Times New Roman" w:hAnsiTheme="majorHAnsi" w:cstheme="majorHAnsi"/>
          <w:sz w:val="23"/>
          <w:szCs w:val="23"/>
          <w:lang w:eastAsia="en-GB"/>
        </w:rPr>
        <w:t xml:space="preserve"> and basic health services </w:t>
      </w:r>
      <w:r>
        <w:rPr>
          <w:rFonts w:asciiTheme="majorHAnsi" w:eastAsia="Times New Roman" w:hAnsiTheme="majorHAnsi" w:cstheme="majorHAnsi"/>
          <w:sz w:val="23"/>
          <w:szCs w:val="23"/>
          <w:lang w:eastAsia="en-GB"/>
        </w:rPr>
        <w:t>–</w:t>
      </w:r>
      <w:r w:rsidRPr="00117DAF">
        <w:rPr>
          <w:rFonts w:asciiTheme="majorHAnsi" w:eastAsia="Times New Roman" w:hAnsiTheme="majorHAnsi" w:cstheme="majorHAnsi"/>
          <w:sz w:val="23"/>
          <w:szCs w:val="23"/>
          <w:lang w:eastAsia="en-GB"/>
        </w:rPr>
        <w:t xml:space="preserve"> cascade into other areas of life, in particular human wellbeing and health.</w:t>
      </w:r>
    </w:p>
    <w:p w14:paraId="240DDAC1" w14:textId="77777777" w:rsidR="00F00E3D" w:rsidRPr="00FC0424" w:rsidRDefault="00F00E3D" w:rsidP="009B2FA7">
      <w:pPr>
        <w:spacing w:after="0" w:line="276" w:lineRule="auto"/>
        <w:rPr>
          <w:rFonts w:asciiTheme="majorHAnsi" w:eastAsia="Times New Roman" w:hAnsiTheme="majorHAnsi" w:cstheme="majorHAnsi"/>
          <w:sz w:val="16"/>
          <w:szCs w:val="16"/>
          <w:lang w:eastAsia="en-GB"/>
        </w:rPr>
      </w:pPr>
    </w:p>
    <w:p w14:paraId="428DEE10" w14:textId="11029912" w:rsidR="00F00E3D" w:rsidRDefault="00F00E3D" w:rsidP="009B2FA7">
      <w:pPr>
        <w:spacing w:after="0" w:line="276" w:lineRule="auto"/>
        <w:rPr>
          <w:rFonts w:asciiTheme="majorHAnsi" w:eastAsia="Times New Roman" w:hAnsiTheme="majorHAnsi" w:cstheme="majorHAnsi"/>
          <w:sz w:val="23"/>
          <w:szCs w:val="23"/>
          <w:lang w:eastAsia="en-GB"/>
        </w:rPr>
      </w:pPr>
      <w:r w:rsidRPr="00AB014A">
        <w:rPr>
          <w:rFonts w:asciiTheme="majorHAnsi" w:eastAsia="Times New Roman" w:hAnsiTheme="majorHAnsi" w:cstheme="majorHAnsi"/>
          <w:sz w:val="23"/>
          <w:szCs w:val="23"/>
          <w:lang w:eastAsia="en-GB"/>
        </w:rPr>
        <w:t>Of the 13 articles</w:t>
      </w:r>
      <w:r>
        <w:rPr>
          <w:rFonts w:asciiTheme="majorHAnsi" w:eastAsia="Times New Roman" w:hAnsiTheme="majorHAnsi" w:cstheme="majorHAnsi"/>
          <w:sz w:val="23"/>
          <w:szCs w:val="23"/>
          <w:lang w:eastAsia="en-GB"/>
        </w:rPr>
        <w:t xml:space="preserve"> that</w:t>
      </w:r>
      <w:r w:rsidRPr="00AB014A">
        <w:rPr>
          <w:rFonts w:asciiTheme="majorHAnsi" w:eastAsia="Times New Roman" w:hAnsiTheme="majorHAnsi" w:cstheme="majorHAnsi"/>
          <w:sz w:val="23"/>
          <w:szCs w:val="23"/>
          <w:lang w:eastAsia="en-GB"/>
        </w:rPr>
        <w:t xml:space="preserve"> focused on affordable housing initiatives, 10 were from the US, two from Australia</w:t>
      </w:r>
      <w:r>
        <w:rPr>
          <w:rFonts w:asciiTheme="majorHAnsi" w:eastAsia="Times New Roman" w:hAnsiTheme="majorHAnsi" w:cstheme="majorHAnsi"/>
          <w:sz w:val="23"/>
          <w:szCs w:val="23"/>
          <w:lang w:eastAsia="en-GB"/>
        </w:rPr>
        <w:t>,</w:t>
      </w:r>
      <w:r w:rsidRPr="00AB014A">
        <w:rPr>
          <w:rFonts w:asciiTheme="majorHAnsi" w:eastAsia="Times New Roman" w:hAnsiTheme="majorHAnsi" w:cstheme="majorHAnsi"/>
          <w:sz w:val="23"/>
          <w:szCs w:val="23"/>
          <w:lang w:eastAsia="en-GB"/>
        </w:rPr>
        <w:t xml:space="preserve"> and one</w:t>
      </w:r>
      <w:r>
        <w:rPr>
          <w:rFonts w:asciiTheme="majorHAnsi" w:eastAsia="Times New Roman" w:hAnsiTheme="majorHAnsi" w:cstheme="majorHAnsi"/>
          <w:sz w:val="23"/>
          <w:szCs w:val="23"/>
          <w:lang w:eastAsia="en-GB"/>
        </w:rPr>
        <w:t xml:space="preserve"> was</w:t>
      </w:r>
      <w:r w:rsidRPr="00AB014A">
        <w:rPr>
          <w:rFonts w:asciiTheme="majorHAnsi" w:eastAsia="Times New Roman" w:hAnsiTheme="majorHAnsi" w:cstheme="majorHAnsi"/>
          <w:sz w:val="23"/>
          <w:szCs w:val="23"/>
          <w:lang w:eastAsia="en-GB"/>
        </w:rPr>
        <w:t xml:space="preserve"> from Belgium. Six of the 13 studies claimed some form of evaluation. The American studies include</w:t>
      </w:r>
      <w:r>
        <w:rPr>
          <w:rFonts w:asciiTheme="majorHAnsi" w:eastAsia="Times New Roman" w:hAnsiTheme="majorHAnsi" w:cstheme="majorHAnsi"/>
          <w:sz w:val="23"/>
          <w:szCs w:val="23"/>
          <w:lang w:eastAsia="en-GB"/>
        </w:rPr>
        <w:t>d</w:t>
      </w:r>
      <w:r w:rsidRPr="00AB014A">
        <w:rPr>
          <w:rFonts w:asciiTheme="majorHAnsi" w:eastAsia="Times New Roman" w:hAnsiTheme="majorHAnsi" w:cstheme="majorHAnsi"/>
          <w:sz w:val="23"/>
          <w:szCs w:val="23"/>
          <w:lang w:eastAsia="en-GB"/>
        </w:rPr>
        <w:t xml:space="preserve">: initiatives for microlending </w:t>
      </w:r>
      <w:r w:rsidRPr="00AB014A">
        <w:rPr>
          <w:rFonts w:asciiTheme="majorHAnsi" w:eastAsia="Times New Roman" w:hAnsiTheme="majorHAnsi" w:cstheme="majorHAnsi"/>
          <w:noProof/>
          <w:sz w:val="23"/>
          <w:szCs w:val="23"/>
          <w:lang w:eastAsia="en-GB"/>
        </w:rPr>
        <w:t>(Giusti &amp; Estevez, 2011)</w:t>
      </w:r>
      <w:r w:rsidRPr="00AB014A">
        <w:rPr>
          <w:rFonts w:asciiTheme="majorHAnsi" w:eastAsia="Times New Roman" w:hAnsiTheme="majorHAnsi" w:cstheme="majorHAnsi"/>
          <w:sz w:val="23"/>
          <w:szCs w:val="23"/>
          <w:lang w:eastAsia="en-GB"/>
        </w:rPr>
        <w:t xml:space="preserve">, inclusionary zoning </w:t>
      </w:r>
      <w:r w:rsidRPr="00AB014A">
        <w:rPr>
          <w:rFonts w:asciiTheme="majorHAnsi" w:eastAsia="Times New Roman" w:hAnsiTheme="majorHAnsi" w:cstheme="majorHAnsi"/>
          <w:noProof/>
          <w:sz w:val="23"/>
          <w:szCs w:val="23"/>
          <w:lang w:eastAsia="en-GB"/>
        </w:rPr>
        <w:t>(Howell, 2020)</w:t>
      </w:r>
      <w:r w:rsidRPr="00AB014A">
        <w:rPr>
          <w:rFonts w:asciiTheme="majorHAnsi" w:eastAsia="Times New Roman" w:hAnsiTheme="majorHAnsi" w:cstheme="majorHAnsi"/>
          <w:sz w:val="23"/>
          <w:szCs w:val="23"/>
          <w:lang w:eastAsia="en-GB"/>
        </w:rPr>
        <w:t xml:space="preserve">, the low-income housing tax credit (LIHTC) program </w:t>
      </w:r>
      <w:r w:rsidR="008F4BF3">
        <w:rPr>
          <w:rFonts w:asciiTheme="majorHAnsi" w:eastAsia="Times New Roman" w:hAnsiTheme="majorHAnsi" w:cstheme="majorHAnsi"/>
          <w:noProof/>
          <w:sz w:val="23"/>
          <w:szCs w:val="23"/>
          <w:lang w:eastAsia="en-GB"/>
        </w:rPr>
        <w:t>(</w:t>
      </w:r>
      <w:r>
        <w:rPr>
          <w:rFonts w:asciiTheme="majorHAnsi" w:eastAsia="Times New Roman" w:hAnsiTheme="majorHAnsi" w:cstheme="majorHAnsi"/>
          <w:noProof/>
          <w:sz w:val="23"/>
          <w:szCs w:val="23"/>
          <w:lang w:eastAsia="en-GB"/>
        </w:rPr>
        <w:t>Johnson, 2012)</w:t>
      </w:r>
      <w:r w:rsidRPr="00AB014A">
        <w:rPr>
          <w:rFonts w:asciiTheme="majorHAnsi" w:eastAsia="Times New Roman" w:hAnsiTheme="majorHAnsi" w:cstheme="majorHAnsi"/>
          <w:sz w:val="23"/>
          <w:szCs w:val="23"/>
          <w:lang w:eastAsia="en-GB"/>
        </w:rPr>
        <w:t xml:space="preserve">, the impact of advocacy organisations on low-income housing policy </w:t>
      </w:r>
      <w:r w:rsidRPr="00AB014A">
        <w:rPr>
          <w:rFonts w:asciiTheme="majorHAnsi" w:eastAsia="Times New Roman" w:hAnsiTheme="majorHAnsi" w:cstheme="majorHAnsi"/>
          <w:noProof/>
          <w:sz w:val="23"/>
          <w:szCs w:val="23"/>
          <w:lang w:eastAsia="en-GB"/>
        </w:rPr>
        <w:t>(Yerena, 2015)</w:t>
      </w:r>
      <w:r w:rsidRPr="00AB014A">
        <w:rPr>
          <w:rFonts w:asciiTheme="majorHAnsi" w:eastAsia="Times New Roman" w:hAnsiTheme="majorHAnsi" w:cstheme="majorHAnsi"/>
          <w:sz w:val="23"/>
          <w:szCs w:val="23"/>
          <w:lang w:eastAsia="en-GB"/>
        </w:rPr>
        <w:t>, the effectiveness of Habitat for Humanity as a neighbourhood stabili</w:t>
      </w:r>
      <w:r>
        <w:rPr>
          <w:rFonts w:asciiTheme="majorHAnsi" w:eastAsia="Times New Roman" w:hAnsiTheme="majorHAnsi" w:cstheme="majorHAnsi"/>
          <w:sz w:val="23"/>
          <w:szCs w:val="23"/>
          <w:lang w:eastAsia="en-GB"/>
        </w:rPr>
        <w:t>s</w:t>
      </w:r>
      <w:r w:rsidRPr="00AB014A">
        <w:rPr>
          <w:rFonts w:asciiTheme="majorHAnsi" w:eastAsia="Times New Roman" w:hAnsiTheme="majorHAnsi" w:cstheme="majorHAnsi"/>
          <w:sz w:val="23"/>
          <w:szCs w:val="23"/>
          <w:lang w:eastAsia="en-GB"/>
        </w:rPr>
        <w:t xml:space="preserve">ation program </w:t>
      </w:r>
      <w:r w:rsidRPr="00AB014A">
        <w:rPr>
          <w:rFonts w:asciiTheme="majorHAnsi" w:eastAsia="Times New Roman" w:hAnsiTheme="majorHAnsi" w:cstheme="majorHAnsi"/>
          <w:noProof/>
          <w:sz w:val="23"/>
          <w:szCs w:val="23"/>
          <w:lang w:eastAsia="en-GB"/>
        </w:rPr>
        <w:t>(Delmelle</w:t>
      </w:r>
      <w:r w:rsidR="008F4BF3">
        <w:rPr>
          <w:rFonts w:asciiTheme="majorHAnsi" w:eastAsia="Times New Roman" w:hAnsiTheme="majorHAnsi" w:cstheme="majorHAnsi"/>
          <w:noProof/>
          <w:sz w:val="23"/>
          <w:szCs w:val="23"/>
          <w:lang w:eastAsia="en-GB"/>
        </w:rPr>
        <w:t xml:space="preserve"> et al., </w:t>
      </w:r>
      <w:r w:rsidRPr="00AB014A">
        <w:rPr>
          <w:rFonts w:asciiTheme="majorHAnsi" w:eastAsia="Times New Roman" w:hAnsiTheme="majorHAnsi" w:cstheme="majorHAnsi"/>
          <w:noProof/>
          <w:sz w:val="23"/>
          <w:szCs w:val="23"/>
          <w:lang w:eastAsia="en-GB"/>
        </w:rPr>
        <w:t>2017)</w:t>
      </w:r>
      <w:r w:rsidRPr="00AB014A">
        <w:rPr>
          <w:rFonts w:asciiTheme="majorHAnsi" w:eastAsia="Times New Roman" w:hAnsiTheme="majorHAnsi" w:cstheme="majorHAnsi"/>
          <w:sz w:val="23"/>
          <w:szCs w:val="23"/>
          <w:lang w:eastAsia="en-GB"/>
        </w:rPr>
        <w:t xml:space="preserve">, and two studies on green affordable housing </w:t>
      </w:r>
      <w:r>
        <w:rPr>
          <w:rFonts w:asciiTheme="majorHAnsi" w:eastAsia="Times New Roman" w:hAnsiTheme="majorHAnsi" w:cstheme="majorHAnsi"/>
          <w:noProof/>
          <w:sz w:val="23"/>
          <w:szCs w:val="23"/>
          <w:lang w:eastAsia="en-GB"/>
        </w:rPr>
        <w:t>(Ahn</w:t>
      </w:r>
      <w:r w:rsidR="008F4BF3">
        <w:rPr>
          <w:rFonts w:asciiTheme="majorHAnsi" w:eastAsia="Times New Roman" w:hAnsiTheme="majorHAnsi" w:cstheme="majorHAnsi"/>
          <w:noProof/>
          <w:sz w:val="23"/>
          <w:szCs w:val="23"/>
          <w:lang w:eastAsia="en-GB"/>
        </w:rPr>
        <w:t xml:space="preserve"> et al.</w:t>
      </w:r>
      <w:r>
        <w:rPr>
          <w:rFonts w:asciiTheme="majorHAnsi" w:eastAsia="Times New Roman" w:hAnsiTheme="majorHAnsi" w:cstheme="majorHAnsi"/>
          <w:noProof/>
          <w:sz w:val="23"/>
          <w:szCs w:val="23"/>
          <w:lang w:eastAsia="en-GB"/>
        </w:rPr>
        <w:t>, 2014; Breysse et al., 2011)</w:t>
      </w:r>
      <w:r w:rsidRPr="00AB014A">
        <w:rPr>
          <w:rFonts w:asciiTheme="majorHAnsi" w:eastAsia="Times New Roman" w:hAnsiTheme="majorHAnsi" w:cstheme="majorHAnsi"/>
          <w:sz w:val="23"/>
          <w:szCs w:val="23"/>
          <w:lang w:eastAsia="en-GB"/>
        </w:rPr>
        <w:t>.</w:t>
      </w:r>
    </w:p>
    <w:p w14:paraId="59F2AE62" w14:textId="77777777" w:rsidR="00F00E3D" w:rsidRPr="00FC0424" w:rsidRDefault="00F00E3D" w:rsidP="009B2FA7">
      <w:pPr>
        <w:spacing w:after="0" w:line="276" w:lineRule="auto"/>
        <w:rPr>
          <w:rFonts w:asciiTheme="majorHAnsi" w:eastAsia="Times New Roman" w:hAnsiTheme="majorHAnsi" w:cstheme="majorHAnsi"/>
          <w:sz w:val="16"/>
          <w:szCs w:val="16"/>
          <w:lang w:eastAsia="en-GB"/>
        </w:rPr>
      </w:pPr>
    </w:p>
    <w:p w14:paraId="4E18C5E2" w14:textId="61D79DDE" w:rsidR="00F00E3D" w:rsidRPr="00AB014A" w:rsidRDefault="00F00E3D" w:rsidP="009B2FA7">
      <w:pPr>
        <w:spacing w:after="0" w:line="276" w:lineRule="auto"/>
        <w:rPr>
          <w:rFonts w:asciiTheme="majorHAnsi" w:eastAsia="Times New Roman" w:hAnsiTheme="majorHAnsi" w:cstheme="majorHAnsi"/>
          <w:sz w:val="23"/>
          <w:szCs w:val="23"/>
          <w:lang w:eastAsia="en-GB"/>
        </w:rPr>
      </w:pPr>
      <w:r w:rsidRPr="00AB014A">
        <w:rPr>
          <w:rFonts w:asciiTheme="majorHAnsi" w:eastAsia="Times New Roman" w:hAnsiTheme="majorHAnsi" w:cstheme="majorHAnsi"/>
          <w:sz w:val="23"/>
          <w:szCs w:val="23"/>
          <w:lang w:eastAsia="en-GB"/>
        </w:rPr>
        <w:t>One Australian study looked at developing the scale and capacity of Australia</w:t>
      </w:r>
      <w:r>
        <w:rPr>
          <w:rFonts w:asciiTheme="majorHAnsi" w:eastAsia="Times New Roman" w:hAnsiTheme="majorHAnsi" w:cstheme="majorHAnsi"/>
          <w:sz w:val="23"/>
          <w:szCs w:val="23"/>
          <w:lang w:eastAsia="en-GB"/>
        </w:rPr>
        <w:t>’</w:t>
      </w:r>
      <w:r w:rsidRPr="00AB014A">
        <w:rPr>
          <w:rFonts w:asciiTheme="majorHAnsi" w:eastAsia="Times New Roman" w:hAnsiTheme="majorHAnsi" w:cstheme="majorHAnsi"/>
          <w:sz w:val="23"/>
          <w:szCs w:val="23"/>
          <w:lang w:eastAsia="en-GB"/>
        </w:rPr>
        <w:t xml:space="preserve">s affordable housing industry </w:t>
      </w:r>
      <w:r>
        <w:rPr>
          <w:rFonts w:asciiTheme="majorHAnsi" w:eastAsia="Times New Roman" w:hAnsiTheme="majorHAnsi" w:cstheme="majorHAnsi"/>
          <w:noProof/>
          <w:sz w:val="23"/>
          <w:szCs w:val="23"/>
          <w:lang w:eastAsia="en-GB"/>
        </w:rPr>
        <w:t>(Milligan</w:t>
      </w:r>
      <w:r w:rsidR="004A1FA2">
        <w:rPr>
          <w:rFonts w:asciiTheme="majorHAnsi" w:eastAsia="Times New Roman" w:hAnsiTheme="majorHAnsi" w:cstheme="majorHAnsi"/>
          <w:noProof/>
          <w:sz w:val="23"/>
          <w:szCs w:val="23"/>
          <w:lang w:eastAsia="en-GB"/>
        </w:rPr>
        <w:t xml:space="preserve"> et al.</w:t>
      </w:r>
      <w:r>
        <w:rPr>
          <w:rFonts w:asciiTheme="majorHAnsi" w:eastAsia="Times New Roman" w:hAnsiTheme="majorHAnsi" w:cstheme="majorHAnsi"/>
          <w:noProof/>
          <w:sz w:val="23"/>
          <w:szCs w:val="23"/>
          <w:lang w:eastAsia="en-GB"/>
        </w:rPr>
        <w:t>, 2017)</w:t>
      </w:r>
      <w:r w:rsidRPr="00AB014A">
        <w:rPr>
          <w:rFonts w:asciiTheme="majorHAnsi" w:eastAsia="Times New Roman" w:hAnsiTheme="majorHAnsi" w:cstheme="majorHAnsi"/>
          <w:sz w:val="23"/>
          <w:szCs w:val="23"/>
          <w:lang w:eastAsia="en-GB"/>
        </w:rPr>
        <w:t xml:space="preserve">, and the other </w:t>
      </w:r>
      <w:r>
        <w:rPr>
          <w:rFonts w:asciiTheme="majorHAnsi" w:eastAsia="Times New Roman" w:hAnsiTheme="majorHAnsi" w:cstheme="majorHAnsi"/>
          <w:sz w:val="23"/>
          <w:szCs w:val="23"/>
          <w:lang w:eastAsia="en-GB"/>
        </w:rPr>
        <w:t>examined</w:t>
      </w:r>
      <w:r w:rsidRPr="00AB014A">
        <w:rPr>
          <w:rFonts w:asciiTheme="majorHAnsi" w:eastAsia="Times New Roman" w:hAnsiTheme="majorHAnsi" w:cstheme="majorHAnsi"/>
          <w:sz w:val="23"/>
          <w:szCs w:val="23"/>
          <w:lang w:eastAsia="en-GB"/>
        </w:rPr>
        <w:t xml:space="preserve"> the impact </w:t>
      </w:r>
      <w:r>
        <w:rPr>
          <w:rFonts w:asciiTheme="majorHAnsi" w:eastAsia="Times New Roman" w:hAnsiTheme="majorHAnsi" w:cstheme="majorHAnsi"/>
          <w:sz w:val="23"/>
          <w:szCs w:val="23"/>
          <w:lang w:eastAsia="en-GB"/>
        </w:rPr>
        <w:t>of</w:t>
      </w:r>
      <w:r w:rsidRPr="00AB014A">
        <w:rPr>
          <w:rFonts w:asciiTheme="majorHAnsi" w:eastAsia="Times New Roman" w:hAnsiTheme="majorHAnsi" w:cstheme="majorHAnsi"/>
          <w:sz w:val="23"/>
          <w:szCs w:val="23"/>
          <w:lang w:eastAsia="en-GB"/>
        </w:rPr>
        <w:t xml:space="preserve"> housing assistance on social inclusion for people with disabilities </w:t>
      </w:r>
      <w:r>
        <w:rPr>
          <w:rFonts w:asciiTheme="majorHAnsi" w:eastAsia="Times New Roman" w:hAnsiTheme="majorHAnsi" w:cstheme="majorHAnsi"/>
          <w:noProof/>
          <w:sz w:val="23"/>
          <w:szCs w:val="23"/>
          <w:lang w:eastAsia="en-GB"/>
        </w:rPr>
        <w:t>(Tually, Beer, &amp; McLoughlin, 2011)</w:t>
      </w:r>
      <w:r w:rsidRPr="00AB014A">
        <w:rPr>
          <w:rFonts w:asciiTheme="majorHAnsi" w:eastAsia="Times New Roman" w:hAnsiTheme="majorHAnsi" w:cstheme="majorHAnsi"/>
          <w:sz w:val="23"/>
          <w:szCs w:val="23"/>
          <w:lang w:eastAsia="en-GB"/>
        </w:rPr>
        <w:t>. The Belgi</w:t>
      </w:r>
      <w:r>
        <w:rPr>
          <w:rFonts w:asciiTheme="majorHAnsi" w:eastAsia="Times New Roman" w:hAnsiTheme="majorHAnsi" w:cstheme="majorHAnsi"/>
          <w:sz w:val="23"/>
          <w:szCs w:val="23"/>
          <w:lang w:eastAsia="en-GB"/>
        </w:rPr>
        <w:t>an</w:t>
      </w:r>
      <w:r w:rsidRPr="00AB014A">
        <w:rPr>
          <w:rFonts w:asciiTheme="majorHAnsi" w:eastAsia="Times New Roman" w:hAnsiTheme="majorHAnsi" w:cstheme="majorHAnsi"/>
          <w:sz w:val="23"/>
          <w:szCs w:val="23"/>
          <w:lang w:eastAsia="en-GB"/>
        </w:rPr>
        <w:t xml:space="preserve"> study considered the Belgian </w:t>
      </w:r>
      <w:r>
        <w:rPr>
          <w:rFonts w:asciiTheme="majorHAnsi" w:eastAsia="Times New Roman" w:hAnsiTheme="majorHAnsi" w:cstheme="majorHAnsi"/>
          <w:sz w:val="23"/>
          <w:szCs w:val="23"/>
          <w:lang w:eastAsia="en-GB"/>
        </w:rPr>
        <w:t>“</w:t>
      </w:r>
      <w:r w:rsidRPr="00AB014A">
        <w:rPr>
          <w:rFonts w:asciiTheme="majorHAnsi" w:eastAsia="Times New Roman" w:hAnsiTheme="majorHAnsi" w:cstheme="majorHAnsi"/>
          <w:sz w:val="23"/>
          <w:szCs w:val="23"/>
          <w:lang w:eastAsia="en-GB"/>
        </w:rPr>
        <w:t>housing contract</w:t>
      </w:r>
      <w:r>
        <w:rPr>
          <w:rFonts w:asciiTheme="majorHAnsi" w:eastAsia="Times New Roman" w:hAnsiTheme="majorHAnsi" w:cstheme="majorHAnsi"/>
          <w:sz w:val="23"/>
          <w:szCs w:val="23"/>
          <w:lang w:eastAsia="en-GB"/>
        </w:rPr>
        <w:t>”</w:t>
      </w:r>
      <w:r w:rsidRPr="00AB014A">
        <w:rPr>
          <w:rFonts w:asciiTheme="majorHAnsi" w:eastAsia="Times New Roman" w:hAnsiTheme="majorHAnsi" w:cstheme="majorHAnsi"/>
          <w:sz w:val="23"/>
          <w:szCs w:val="23"/>
          <w:lang w:eastAsia="en-GB"/>
        </w:rPr>
        <w:t xml:space="preserve"> experiment of 2005</w:t>
      </w:r>
      <w:r>
        <w:rPr>
          <w:rFonts w:asciiTheme="majorHAnsi" w:eastAsia="Times New Roman" w:hAnsiTheme="majorHAnsi" w:cstheme="majorHAnsi"/>
          <w:sz w:val="23"/>
          <w:szCs w:val="23"/>
          <w:lang w:eastAsia="en-GB"/>
        </w:rPr>
        <w:t>–</w:t>
      </w:r>
      <w:r w:rsidRPr="00AB014A">
        <w:rPr>
          <w:rFonts w:asciiTheme="majorHAnsi" w:eastAsia="Times New Roman" w:hAnsiTheme="majorHAnsi" w:cstheme="majorHAnsi"/>
          <w:sz w:val="23"/>
          <w:szCs w:val="23"/>
          <w:lang w:eastAsia="en-GB"/>
        </w:rPr>
        <w:t xml:space="preserve">2007, which was based on </w:t>
      </w:r>
      <w:r>
        <w:rPr>
          <w:rFonts w:asciiTheme="majorHAnsi" w:eastAsia="Times New Roman" w:hAnsiTheme="majorHAnsi" w:cstheme="majorHAnsi"/>
          <w:sz w:val="23"/>
          <w:szCs w:val="23"/>
          <w:lang w:eastAsia="en-GB"/>
        </w:rPr>
        <w:t>“</w:t>
      </w:r>
      <w:r w:rsidRPr="00AB014A">
        <w:rPr>
          <w:rFonts w:asciiTheme="majorHAnsi" w:eastAsia="Times New Roman" w:hAnsiTheme="majorHAnsi" w:cstheme="majorHAnsi"/>
          <w:sz w:val="23"/>
          <w:szCs w:val="23"/>
          <w:lang w:eastAsia="en-GB"/>
        </w:rPr>
        <w:t xml:space="preserve">the premise that housing policies should improve the quality of life in deprived urban neighborhoods without displacing the poor” </w:t>
      </w:r>
      <w:r>
        <w:rPr>
          <w:rFonts w:asciiTheme="majorHAnsi" w:eastAsia="Times New Roman" w:hAnsiTheme="majorHAnsi" w:cstheme="majorHAnsi"/>
          <w:noProof/>
          <w:sz w:val="23"/>
          <w:szCs w:val="23"/>
          <w:lang w:eastAsia="en-GB"/>
        </w:rPr>
        <w:t>(Uitermark &amp; Loopmans, 2013, p. 157)</w:t>
      </w:r>
      <w:r w:rsidRPr="00AB014A">
        <w:rPr>
          <w:rFonts w:asciiTheme="majorHAnsi" w:eastAsia="Times New Roman" w:hAnsiTheme="majorHAnsi" w:cstheme="majorHAnsi"/>
          <w:sz w:val="23"/>
          <w:szCs w:val="23"/>
          <w:lang w:eastAsia="en-GB"/>
        </w:rPr>
        <w:t xml:space="preserve">. All </w:t>
      </w:r>
      <w:r>
        <w:rPr>
          <w:rFonts w:asciiTheme="majorHAnsi" w:eastAsia="Times New Roman" w:hAnsiTheme="majorHAnsi" w:cstheme="majorHAnsi"/>
          <w:sz w:val="23"/>
          <w:szCs w:val="23"/>
          <w:lang w:eastAsia="en-GB"/>
        </w:rPr>
        <w:t xml:space="preserve">the </w:t>
      </w:r>
      <w:r w:rsidRPr="00AB014A">
        <w:rPr>
          <w:rFonts w:asciiTheme="majorHAnsi" w:eastAsia="Times New Roman" w:hAnsiTheme="majorHAnsi" w:cstheme="majorHAnsi"/>
          <w:sz w:val="23"/>
          <w:szCs w:val="23"/>
          <w:lang w:eastAsia="en-GB"/>
        </w:rPr>
        <w:t xml:space="preserve">interventions </w:t>
      </w:r>
      <w:r>
        <w:rPr>
          <w:rFonts w:asciiTheme="majorHAnsi" w:eastAsia="Times New Roman" w:hAnsiTheme="majorHAnsi" w:cstheme="majorHAnsi"/>
          <w:sz w:val="23"/>
          <w:szCs w:val="23"/>
          <w:lang w:eastAsia="en-GB"/>
        </w:rPr>
        <w:t xml:space="preserve">discussed </w:t>
      </w:r>
      <w:r w:rsidRPr="00AB014A">
        <w:rPr>
          <w:rFonts w:asciiTheme="majorHAnsi" w:eastAsia="Times New Roman" w:hAnsiTheme="majorHAnsi" w:cstheme="majorHAnsi"/>
          <w:sz w:val="23"/>
          <w:szCs w:val="23"/>
          <w:lang w:eastAsia="en-GB"/>
        </w:rPr>
        <w:t>were found to have positive impacts for low-income households.</w:t>
      </w:r>
      <w:r w:rsidR="008F4BF3">
        <w:rPr>
          <w:rFonts w:asciiTheme="majorHAnsi" w:eastAsia="Times New Roman" w:hAnsiTheme="majorHAnsi" w:cstheme="majorHAnsi"/>
          <w:sz w:val="23"/>
          <w:szCs w:val="23"/>
          <w:lang w:eastAsia="en-GB"/>
        </w:rPr>
        <w:t xml:space="preserve"> </w:t>
      </w:r>
      <w:r w:rsidR="008F4BF3" w:rsidRPr="007D4F30">
        <w:rPr>
          <w:rFonts w:asciiTheme="majorHAnsi" w:eastAsia="Times New Roman" w:hAnsiTheme="majorHAnsi" w:cstheme="majorHAnsi"/>
          <w:sz w:val="23"/>
          <w:szCs w:val="23"/>
          <w:lang w:eastAsia="en-GB"/>
        </w:rPr>
        <w:t xml:space="preserve">It should be noted that while affordable housing was a </w:t>
      </w:r>
      <w:r w:rsidR="00796F64" w:rsidRPr="007D4F30">
        <w:rPr>
          <w:rFonts w:asciiTheme="majorHAnsi" w:eastAsia="Times New Roman" w:hAnsiTheme="majorHAnsi" w:cstheme="majorHAnsi"/>
          <w:sz w:val="23"/>
          <w:szCs w:val="23"/>
          <w:lang w:eastAsia="en-GB"/>
        </w:rPr>
        <w:t>major</w:t>
      </w:r>
      <w:r w:rsidR="008F4BF3" w:rsidRPr="007D4F30">
        <w:rPr>
          <w:rFonts w:asciiTheme="majorHAnsi" w:eastAsia="Times New Roman" w:hAnsiTheme="majorHAnsi" w:cstheme="majorHAnsi"/>
          <w:sz w:val="23"/>
          <w:szCs w:val="23"/>
          <w:lang w:eastAsia="en-GB"/>
        </w:rPr>
        <w:t xml:space="preserve"> </w:t>
      </w:r>
      <w:r w:rsidR="002A0294" w:rsidRPr="007D4F30">
        <w:rPr>
          <w:rFonts w:asciiTheme="majorHAnsi" w:eastAsia="Times New Roman" w:hAnsiTheme="majorHAnsi" w:cstheme="majorHAnsi"/>
          <w:sz w:val="23"/>
          <w:szCs w:val="23"/>
          <w:lang w:eastAsia="en-GB"/>
        </w:rPr>
        <w:t>area of focus in our surveyed studies</w:t>
      </w:r>
      <w:r w:rsidR="008F4BF3" w:rsidRPr="007D4F30">
        <w:rPr>
          <w:rFonts w:asciiTheme="majorHAnsi" w:eastAsia="Times New Roman" w:hAnsiTheme="majorHAnsi" w:cstheme="majorHAnsi"/>
          <w:sz w:val="23"/>
          <w:szCs w:val="23"/>
          <w:lang w:eastAsia="en-GB"/>
        </w:rPr>
        <w:t xml:space="preserve">, our sample did not </w:t>
      </w:r>
      <w:r w:rsidR="00796F64" w:rsidRPr="007D4F30">
        <w:rPr>
          <w:rFonts w:asciiTheme="majorHAnsi" w:eastAsia="Times New Roman" w:hAnsiTheme="majorHAnsi" w:cstheme="majorHAnsi"/>
          <w:sz w:val="23"/>
          <w:szCs w:val="23"/>
          <w:lang w:eastAsia="en-GB"/>
        </w:rPr>
        <w:t xml:space="preserve">seek to </w:t>
      </w:r>
      <w:r w:rsidR="008F4BF3" w:rsidRPr="007D4F30">
        <w:rPr>
          <w:rFonts w:asciiTheme="majorHAnsi" w:eastAsia="Times New Roman" w:hAnsiTheme="majorHAnsi" w:cstheme="majorHAnsi"/>
          <w:sz w:val="23"/>
          <w:szCs w:val="23"/>
          <w:lang w:eastAsia="en-GB"/>
        </w:rPr>
        <w:t>capture studies of initiatives specifically designed to tackle homelessness.</w:t>
      </w:r>
    </w:p>
    <w:p w14:paraId="276C589A" w14:textId="77777777" w:rsidR="00F00E3D" w:rsidRPr="00213D61" w:rsidRDefault="00F00E3D" w:rsidP="009B2FA7">
      <w:pPr>
        <w:spacing w:after="0" w:line="276" w:lineRule="auto"/>
        <w:rPr>
          <w:rFonts w:asciiTheme="majorHAnsi" w:eastAsia="Times New Roman" w:hAnsiTheme="majorHAnsi" w:cstheme="majorHAnsi"/>
          <w:sz w:val="16"/>
          <w:szCs w:val="16"/>
          <w:lang w:eastAsia="en-GB"/>
        </w:rPr>
      </w:pPr>
    </w:p>
    <w:p w14:paraId="028FDC33" w14:textId="77777777" w:rsidR="00F00E3D" w:rsidRPr="00966B36" w:rsidRDefault="00F00E3D" w:rsidP="009B2FA7">
      <w:pPr>
        <w:spacing w:after="0" w:line="276" w:lineRule="auto"/>
        <w:rPr>
          <w:rFonts w:eastAsia="Times New Roman" w:cstheme="minorHAnsi"/>
          <w:b/>
          <w:bCs/>
          <w:sz w:val="25"/>
          <w:szCs w:val="25"/>
          <w:lang w:eastAsia="en-GB"/>
        </w:rPr>
      </w:pPr>
      <w:r w:rsidRPr="00966B36">
        <w:rPr>
          <w:rFonts w:eastAsia="Times New Roman" w:cstheme="minorHAnsi"/>
          <w:b/>
          <w:bCs/>
          <w:sz w:val="25"/>
          <w:szCs w:val="25"/>
          <w:lang w:eastAsia="en-GB"/>
        </w:rPr>
        <w:t>Community Development</w:t>
      </w:r>
      <w:r>
        <w:rPr>
          <w:rFonts w:eastAsia="Times New Roman" w:cstheme="minorHAnsi"/>
          <w:b/>
          <w:bCs/>
          <w:sz w:val="25"/>
          <w:szCs w:val="25"/>
          <w:lang w:eastAsia="en-GB"/>
        </w:rPr>
        <w:t xml:space="preserve"> Initiatives</w:t>
      </w:r>
    </w:p>
    <w:p w14:paraId="63FF323E" w14:textId="77777777" w:rsidR="00F00E3D" w:rsidRPr="00E7665D" w:rsidRDefault="00F00E3D" w:rsidP="009B2FA7">
      <w:pPr>
        <w:spacing w:after="0" w:line="276" w:lineRule="auto"/>
        <w:rPr>
          <w:rFonts w:asciiTheme="majorHAnsi" w:eastAsia="Times New Roman" w:hAnsiTheme="majorHAnsi" w:cstheme="majorBidi"/>
          <w:b/>
          <w:bCs/>
          <w:sz w:val="16"/>
          <w:szCs w:val="16"/>
          <w:lang w:eastAsia="en-GB"/>
        </w:rPr>
      </w:pPr>
    </w:p>
    <w:p w14:paraId="50376AB0" w14:textId="17DDBD59" w:rsidR="00F00E3D" w:rsidRPr="00493197" w:rsidRDefault="00F00E3D" w:rsidP="009B2FA7">
      <w:pPr>
        <w:spacing w:after="0" w:line="276" w:lineRule="auto"/>
        <w:rPr>
          <w:rFonts w:asciiTheme="majorHAnsi" w:eastAsia="Times New Roman" w:hAnsiTheme="majorHAnsi" w:cstheme="majorHAnsi"/>
          <w:sz w:val="23"/>
          <w:szCs w:val="23"/>
          <w:lang w:eastAsia="en-GB"/>
        </w:rPr>
      </w:pPr>
      <w:r w:rsidRPr="00E7665D">
        <w:rPr>
          <w:rFonts w:asciiTheme="majorHAnsi" w:eastAsia="Times New Roman" w:hAnsiTheme="majorHAnsi" w:cstheme="majorHAnsi"/>
          <w:sz w:val="23"/>
          <w:szCs w:val="23"/>
          <w:lang w:eastAsia="en-GB"/>
        </w:rPr>
        <w:t xml:space="preserve">Community Development (CD) is </w:t>
      </w:r>
      <w:r>
        <w:rPr>
          <w:rFonts w:asciiTheme="majorHAnsi" w:eastAsia="Times New Roman" w:hAnsiTheme="majorHAnsi" w:cstheme="majorHAnsi"/>
          <w:sz w:val="23"/>
          <w:szCs w:val="23"/>
          <w:lang w:eastAsia="en-GB"/>
        </w:rPr>
        <w:t xml:space="preserve">an approach that </w:t>
      </w:r>
      <w:r w:rsidRPr="00E7665D">
        <w:rPr>
          <w:rFonts w:asciiTheme="majorHAnsi" w:eastAsia="Times New Roman" w:hAnsiTheme="majorHAnsi" w:cstheme="majorHAnsi"/>
          <w:sz w:val="23"/>
          <w:szCs w:val="23"/>
          <w:lang w:eastAsia="en-GB"/>
        </w:rPr>
        <w:t>seek</w:t>
      </w:r>
      <w:r>
        <w:rPr>
          <w:rFonts w:asciiTheme="majorHAnsi" w:eastAsia="Times New Roman" w:hAnsiTheme="majorHAnsi" w:cstheme="majorHAnsi"/>
          <w:sz w:val="23"/>
          <w:szCs w:val="23"/>
          <w:lang w:eastAsia="en-GB"/>
        </w:rPr>
        <w:t>s</w:t>
      </w:r>
      <w:r w:rsidRPr="00E7665D">
        <w:rPr>
          <w:rFonts w:asciiTheme="majorHAnsi" w:eastAsia="Times New Roman" w:hAnsiTheme="majorHAnsi" w:cstheme="majorHAnsi"/>
          <w:sz w:val="23"/>
          <w:szCs w:val="23"/>
          <w:lang w:eastAsia="en-GB"/>
        </w:rPr>
        <w:t xml:space="preserve"> to address the consequences of poverty through initiatives that improve housing, economic opportunity, service availability, and community capacity </w:t>
      </w:r>
      <w:r>
        <w:rPr>
          <w:rFonts w:asciiTheme="majorHAnsi" w:eastAsia="Times New Roman" w:hAnsiTheme="majorHAnsi" w:cstheme="majorHAnsi"/>
          <w:noProof/>
          <w:sz w:val="23"/>
          <w:szCs w:val="23"/>
          <w:lang w:eastAsia="en-GB"/>
        </w:rPr>
        <w:t>(Rogerson</w:t>
      </w:r>
      <w:r w:rsidR="00796F64">
        <w:rPr>
          <w:rFonts w:asciiTheme="majorHAnsi" w:eastAsia="Times New Roman" w:hAnsiTheme="majorHAnsi" w:cstheme="majorHAnsi"/>
          <w:noProof/>
          <w:sz w:val="23"/>
          <w:szCs w:val="23"/>
          <w:lang w:eastAsia="en-GB"/>
        </w:rPr>
        <w:t xml:space="preserve"> et al.</w:t>
      </w:r>
      <w:r>
        <w:rPr>
          <w:rFonts w:asciiTheme="majorHAnsi" w:eastAsia="Times New Roman" w:hAnsiTheme="majorHAnsi" w:cstheme="majorHAnsi"/>
          <w:noProof/>
          <w:sz w:val="23"/>
          <w:szCs w:val="23"/>
          <w:lang w:eastAsia="en-GB"/>
        </w:rPr>
        <w:t>, 2014)</w:t>
      </w:r>
      <w:r w:rsidRPr="00E7665D">
        <w:rPr>
          <w:rFonts w:asciiTheme="majorHAnsi" w:eastAsia="Times New Roman" w:hAnsiTheme="majorHAnsi" w:cstheme="majorHAnsi"/>
          <w:sz w:val="23"/>
          <w:szCs w:val="23"/>
          <w:lang w:eastAsia="en-GB"/>
        </w:rPr>
        <w:t>. By their very nature, CD initiatives are multi-sectoral. Community developers and community development</w:t>
      </w:r>
      <w:r>
        <w:rPr>
          <w:rFonts w:asciiTheme="majorHAnsi" w:eastAsia="Times New Roman" w:hAnsiTheme="majorHAnsi" w:cstheme="majorHAnsi"/>
          <w:sz w:val="23"/>
          <w:szCs w:val="23"/>
          <w:lang w:eastAsia="en-GB"/>
        </w:rPr>
        <w:t xml:space="preserve"> </w:t>
      </w:r>
      <w:r w:rsidRPr="00E7665D">
        <w:rPr>
          <w:rFonts w:asciiTheme="majorHAnsi" w:eastAsia="Times New Roman" w:hAnsiTheme="majorHAnsi" w:cstheme="majorBidi"/>
          <w:sz w:val="23"/>
          <w:szCs w:val="23"/>
          <w:lang w:eastAsia="en-GB"/>
        </w:rPr>
        <w:t>finance institutions aim to address the many challenges faced by low-income households, such as having to make choices “between nutritious food, medical care, housing, and adequate home heating and cooling”</w:t>
      </w:r>
      <w:r>
        <w:rPr>
          <w:rFonts w:asciiTheme="majorHAnsi" w:eastAsia="Times New Roman" w:hAnsiTheme="majorHAnsi" w:cstheme="majorBidi"/>
          <w:sz w:val="23"/>
          <w:szCs w:val="23"/>
          <w:lang w:eastAsia="en-GB"/>
        </w:rPr>
        <w:t xml:space="preserve">, </w:t>
      </w:r>
      <w:r w:rsidRPr="00E7665D">
        <w:rPr>
          <w:rFonts w:asciiTheme="majorHAnsi" w:eastAsia="Times New Roman" w:hAnsiTheme="majorHAnsi" w:cstheme="majorBidi"/>
          <w:sz w:val="23"/>
          <w:szCs w:val="23"/>
          <w:lang w:eastAsia="en-GB"/>
        </w:rPr>
        <w:t xml:space="preserve">all of which have implications for health and wellbeing </w:t>
      </w:r>
      <w:r>
        <w:rPr>
          <w:rFonts w:asciiTheme="majorHAnsi" w:eastAsia="Times New Roman" w:hAnsiTheme="majorHAnsi" w:cstheme="majorBidi"/>
          <w:noProof/>
          <w:sz w:val="23"/>
          <w:szCs w:val="23"/>
          <w:lang w:eastAsia="en-GB"/>
        </w:rPr>
        <w:t>(Rogerson et al., 2014, p. 1939)</w:t>
      </w:r>
      <w:r w:rsidRPr="00E7665D">
        <w:rPr>
          <w:rFonts w:asciiTheme="majorHAnsi" w:eastAsia="Times New Roman" w:hAnsiTheme="majorHAnsi" w:cstheme="majorBidi"/>
          <w:sz w:val="23"/>
          <w:szCs w:val="23"/>
          <w:lang w:eastAsia="en-GB"/>
        </w:rPr>
        <w:t xml:space="preserve">. CD initiatives seek to “provide financing for small business development; build affordable housing; and support infrastructure and programming that increase access to childcare, social services, medical care, healthful food, safe places to exercise, and public transit” </w:t>
      </w:r>
      <w:r>
        <w:rPr>
          <w:rFonts w:asciiTheme="majorHAnsi" w:eastAsia="Times New Roman" w:hAnsiTheme="majorHAnsi" w:cstheme="majorBidi"/>
          <w:noProof/>
          <w:sz w:val="23"/>
          <w:szCs w:val="23"/>
          <w:lang w:eastAsia="en-GB"/>
        </w:rPr>
        <w:t>(Rogerson et al., 2014, pp. 1939-1940)</w:t>
      </w:r>
      <w:r>
        <w:rPr>
          <w:rFonts w:asciiTheme="majorHAnsi" w:eastAsia="Times New Roman" w:hAnsiTheme="majorHAnsi" w:cstheme="majorBidi"/>
          <w:sz w:val="23"/>
          <w:szCs w:val="23"/>
          <w:lang w:eastAsia="en-GB"/>
        </w:rPr>
        <w:t>.</w:t>
      </w:r>
    </w:p>
    <w:p w14:paraId="7904BD92" w14:textId="77777777" w:rsidR="00F00E3D" w:rsidRPr="0052440A" w:rsidRDefault="00F00E3D" w:rsidP="009B2FA7">
      <w:pPr>
        <w:spacing w:after="0" w:line="276" w:lineRule="auto"/>
        <w:rPr>
          <w:rFonts w:asciiTheme="majorHAnsi" w:eastAsia="Times New Roman" w:hAnsiTheme="majorHAnsi" w:cstheme="majorHAnsi"/>
          <w:sz w:val="16"/>
          <w:szCs w:val="16"/>
          <w:lang w:eastAsia="en-GB"/>
        </w:rPr>
      </w:pPr>
    </w:p>
    <w:p w14:paraId="45E98FDC" w14:textId="77777777" w:rsidR="00F00E3D" w:rsidRDefault="00F00E3D" w:rsidP="009B2FA7">
      <w:pPr>
        <w:spacing w:after="0" w:line="276" w:lineRule="auto"/>
        <w:rPr>
          <w:rFonts w:asciiTheme="majorHAnsi" w:eastAsia="Times New Roman" w:hAnsiTheme="majorHAnsi" w:cstheme="majorHAnsi"/>
          <w:sz w:val="23"/>
          <w:szCs w:val="23"/>
          <w:lang w:eastAsia="en-GB"/>
        </w:rPr>
      </w:pPr>
      <w:r w:rsidRPr="0052440A">
        <w:rPr>
          <w:rFonts w:asciiTheme="majorHAnsi" w:eastAsia="Times New Roman" w:hAnsiTheme="majorHAnsi" w:cstheme="majorHAnsi"/>
          <w:sz w:val="23"/>
          <w:szCs w:val="23"/>
          <w:lang w:eastAsia="en-GB"/>
        </w:rPr>
        <w:lastRenderedPageBreak/>
        <w:t xml:space="preserve">In our sample, 13 articles focused on CD programs, but only four of these were evaluated. Eight were from the US, three from the UK and Ireland, and one from Australia. Only one study was non-context specific, instead proposing a framework “to facilitate the identification and measurement of potential health effects, actions to optimize anticipated positive impacts, and strategies to mitigate potential negative impacts” </w:t>
      </w:r>
      <w:r>
        <w:rPr>
          <w:rFonts w:asciiTheme="majorHAnsi" w:eastAsia="Times New Roman" w:hAnsiTheme="majorHAnsi" w:cstheme="majorHAnsi"/>
          <w:noProof/>
          <w:sz w:val="23"/>
          <w:szCs w:val="23"/>
          <w:lang w:eastAsia="en-GB"/>
        </w:rPr>
        <w:t>(Rogerson et al., 2014, p. 1939)</w:t>
      </w:r>
      <w:r w:rsidRPr="0052440A">
        <w:rPr>
          <w:rFonts w:asciiTheme="majorHAnsi" w:eastAsia="Times New Roman" w:hAnsiTheme="majorHAnsi" w:cstheme="majorHAnsi"/>
          <w:sz w:val="23"/>
          <w:szCs w:val="23"/>
          <w:lang w:eastAsia="en-GB"/>
        </w:rPr>
        <w:t>.</w:t>
      </w:r>
    </w:p>
    <w:p w14:paraId="2C40D4A6" w14:textId="77777777" w:rsidR="00F00E3D" w:rsidRPr="00DC7420" w:rsidRDefault="00F00E3D" w:rsidP="009B2FA7">
      <w:pPr>
        <w:spacing w:after="0" w:line="276" w:lineRule="auto"/>
        <w:rPr>
          <w:rFonts w:asciiTheme="majorHAnsi" w:eastAsia="Times New Roman" w:hAnsiTheme="majorHAnsi" w:cstheme="majorHAnsi"/>
          <w:sz w:val="16"/>
          <w:szCs w:val="16"/>
          <w:lang w:eastAsia="en-GB"/>
        </w:rPr>
      </w:pPr>
    </w:p>
    <w:p w14:paraId="4E2AA318" w14:textId="04B13BE4" w:rsidR="00F00E3D" w:rsidRDefault="00F00E3D" w:rsidP="009B2FA7">
      <w:p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 xml:space="preserve">Where evaluations had been conducted, the </w:t>
      </w:r>
      <w:r w:rsidRPr="003D661B">
        <w:rPr>
          <w:rFonts w:asciiTheme="majorHAnsi" w:eastAsia="Times New Roman" w:hAnsiTheme="majorHAnsi" w:cstheme="majorHAnsi"/>
          <w:sz w:val="23"/>
          <w:szCs w:val="23"/>
          <w:lang w:eastAsia="en-GB"/>
        </w:rPr>
        <w:t>efficacy of the featured C</w:t>
      </w:r>
      <w:r>
        <w:rPr>
          <w:rFonts w:asciiTheme="majorHAnsi" w:eastAsia="Times New Roman" w:hAnsiTheme="majorHAnsi" w:cstheme="majorHAnsi"/>
          <w:sz w:val="23"/>
          <w:szCs w:val="23"/>
          <w:lang w:eastAsia="en-GB"/>
        </w:rPr>
        <w:t>ommunity Development</w:t>
      </w:r>
      <w:r w:rsidRPr="003D661B">
        <w:rPr>
          <w:rFonts w:asciiTheme="majorHAnsi" w:eastAsia="Times New Roman" w:hAnsiTheme="majorHAnsi" w:cstheme="majorHAnsi"/>
          <w:sz w:val="23"/>
          <w:szCs w:val="23"/>
          <w:lang w:eastAsia="en-GB"/>
        </w:rPr>
        <w:t xml:space="preserve"> programs was</w:t>
      </w:r>
      <w:r>
        <w:rPr>
          <w:rFonts w:asciiTheme="majorHAnsi" w:eastAsia="Times New Roman" w:hAnsiTheme="majorHAnsi" w:cstheme="majorHAnsi"/>
          <w:sz w:val="23"/>
          <w:szCs w:val="23"/>
          <w:lang w:eastAsia="en-GB"/>
        </w:rPr>
        <w:t xml:space="preserve"> judged to be</w:t>
      </w:r>
      <w:r w:rsidRPr="003D661B">
        <w:rPr>
          <w:rFonts w:asciiTheme="majorHAnsi" w:eastAsia="Times New Roman" w:hAnsiTheme="majorHAnsi" w:cstheme="majorHAnsi"/>
          <w:sz w:val="23"/>
          <w:szCs w:val="23"/>
          <w:lang w:eastAsia="en-GB"/>
        </w:rPr>
        <w:t xml:space="preserve"> largely positive, with findings that:</w:t>
      </w:r>
    </w:p>
    <w:p w14:paraId="1E534297" w14:textId="77777777" w:rsidR="00796F64" w:rsidRPr="00796F64" w:rsidRDefault="00796F64" w:rsidP="009B2FA7">
      <w:pPr>
        <w:spacing w:after="0" w:line="276" w:lineRule="auto"/>
        <w:rPr>
          <w:rFonts w:asciiTheme="majorHAnsi" w:eastAsia="Times New Roman" w:hAnsiTheme="majorHAnsi" w:cstheme="majorHAnsi"/>
          <w:sz w:val="8"/>
          <w:szCs w:val="8"/>
          <w:lang w:eastAsia="en-GB"/>
        </w:rPr>
      </w:pPr>
    </w:p>
    <w:p w14:paraId="54BFB1CD" w14:textId="77777777" w:rsidR="00F00E3D" w:rsidRPr="00FC0424" w:rsidRDefault="00F00E3D" w:rsidP="006F7BCE">
      <w:pPr>
        <w:pStyle w:val="ListParagraph"/>
        <w:numPr>
          <w:ilvl w:val="0"/>
          <w:numId w:val="8"/>
        </w:numPr>
        <w:spacing w:after="0" w:line="276" w:lineRule="auto"/>
        <w:rPr>
          <w:rFonts w:asciiTheme="majorHAnsi" w:eastAsia="Times New Roman" w:hAnsiTheme="majorHAnsi" w:cstheme="majorHAnsi"/>
          <w:sz w:val="23"/>
          <w:szCs w:val="23"/>
          <w:lang w:eastAsia="en-GB"/>
        </w:rPr>
      </w:pPr>
      <w:r w:rsidRPr="00FC0424">
        <w:rPr>
          <w:rFonts w:asciiTheme="majorHAnsi" w:eastAsia="Times New Roman" w:hAnsiTheme="majorHAnsi" w:cstheme="majorHAnsi"/>
          <w:sz w:val="23"/>
          <w:szCs w:val="23"/>
          <w:lang w:eastAsia="en-GB"/>
        </w:rPr>
        <w:t xml:space="preserve">CD-based developments “do perform better than other neighborhoods [and] redevelopments in a more walkable neighborhood tend to have a greater positive influence on the community” </w:t>
      </w:r>
      <w:r>
        <w:rPr>
          <w:rFonts w:asciiTheme="majorHAnsi" w:eastAsia="Times New Roman" w:hAnsiTheme="majorHAnsi" w:cstheme="majorHAnsi"/>
          <w:noProof/>
          <w:sz w:val="23"/>
          <w:szCs w:val="23"/>
          <w:lang w:eastAsia="en-GB"/>
        </w:rPr>
        <w:t>(Meares &amp; Riggs, 2016, p. 1)</w:t>
      </w:r>
    </w:p>
    <w:p w14:paraId="5914D665" w14:textId="354D7489" w:rsidR="00F00E3D" w:rsidRPr="00FC0424" w:rsidRDefault="00F00E3D" w:rsidP="006F7BCE">
      <w:pPr>
        <w:pStyle w:val="ListParagraph"/>
        <w:numPr>
          <w:ilvl w:val="0"/>
          <w:numId w:val="8"/>
        </w:numPr>
        <w:spacing w:after="0" w:line="276" w:lineRule="auto"/>
        <w:rPr>
          <w:rFonts w:asciiTheme="majorHAnsi" w:eastAsia="Times New Roman" w:hAnsiTheme="majorHAnsi" w:cstheme="majorHAnsi"/>
          <w:sz w:val="23"/>
          <w:szCs w:val="23"/>
          <w:lang w:eastAsia="en-GB"/>
        </w:rPr>
      </w:pPr>
      <w:r w:rsidRPr="00FC0424">
        <w:rPr>
          <w:rFonts w:asciiTheme="majorHAnsi" w:eastAsia="Times New Roman" w:hAnsiTheme="majorHAnsi" w:cstheme="majorHAnsi"/>
          <w:sz w:val="23"/>
          <w:szCs w:val="23"/>
          <w:lang w:eastAsia="en-GB"/>
        </w:rPr>
        <w:t xml:space="preserve">CD programs show “shifts in resident demographics, health outcomes, and community social cohesion and perception of safety measures” </w:t>
      </w:r>
      <w:r>
        <w:rPr>
          <w:rFonts w:asciiTheme="majorHAnsi" w:eastAsia="Times New Roman" w:hAnsiTheme="majorHAnsi" w:cstheme="majorHAnsi"/>
          <w:noProof/>
          <w:sz w:val="23"/>
          <w:szCs w:val="23"/>
          <w:lang w:eastAsia="en-GB"/>
        </w:rPr>
        <w:t>(Farquhar</w:t>
      </w:r>
      <w:r w:rsidR="002A0294">
        <w:rPr>
          <w:rFonts w:asciiTheme="majorHAnsi" w:eastAsia="Times New Roman" w:hAnsiTheme="majorHAnsi" w:cstheme="majorHAnsi"/>
          <w:noProof/>
          <w:sz w:val="23"/>
          <w:szCs w:val="23"/>
          <w:lang w:eastAsia="en-GB"/>
        </w:rPr>
        <w:t xml:space="preserve"> et al.,</w:t>
      </w:r>
      <w:r>
        <w:rPr>
          <w:rFonts w:asciiTheme="majorHAnsi" w:eastAsia="Times New Roman" w:hAnsiTheme="majorHAnsi" w:cstheme="majorHAnsi"/>
          <w:noProof/>
          <w:sz w:val="23"/>
          <w:szCs w:val="23"/>
          <w:lang w:eastAsia="en-GB"/>
        </w:rPr>
        <w:t xml:space="preserve"> 2019, p. 489)</w:t>
      </w:r>
    </w:p>
    <w:p w14:paraId="0F71C121" w14:textId="77777777" w:rsidR="00F00E3D" w:rsidRPr="00FC0424" w:rsidRDefault="00F00E3D" w:rsidP="006F7BCE">
      <w:pPr>
        <w:pStyle w:val="ListParagraph"/>
        <w:numPr>
          <w:ilvl w:val="0"/>
          <w:numId w:val="8"/>
        </w:numPr>
        <w:spacing w:after="0" w:line="276" w:lineRule="auto"/>
        <w:rPr>
          <w:rFonts w:asciiTheme="majorHAnsi" w:eastAsia="Times New Roman" w:hAnsiTheme="majorHAnsi" w:cstheme="majorBidi"/>
          <w:sz w:val="23"/>
          <w:szCs w:val="23"/>
          <w:lang w:eastAsia="en-GB"/>
        </w:rPr>
      </w:pPr>
      <w:r w:rsidRPr="00FC0424">
        <w:rPr>
          <w:rFonts w:asciiTheme="majorHAnsi" w:eastAsia="Times New Roman" w:hAnsiTheme="majorHAnsi" w:cstheme="majorBidi"/>
          <w:sz w:val="23"/>
          <w:szCs w:val="23"/>
          <w:lang w:eastAsia="en-GB"/>
        </w:rPr>
        <w:t xml:space="preserve">CD effectively facilitates integration “across sectors to address both the built environment and the social and service environment” leading to “substantial results for children” </w:t>
      </w:r>
      <w:r>
        <w:rPr>
          <w:rFonts w:asciiTheme="majorHAnsi" w:eastAsia="Times New Roman" w:hAnsiTheme="majorHAnsi" w:cstheme="majorBidi"/>
          <w:noProof/>
          <w:sz w:val="23"/>
          <w:szCs w:val="23"/>
          <w:lang w:eastAsia="en-GB"/>
        </w:rPr>
        <w:t>(Jutte, Miller, &amp; Erickson, 2015, p. S48)</w:t>
      </w:r>
    </w:p>
    <w:p w14:paraId="1A0AB9B3" w14:textId="77777777" w:rsidR="00F00E3D" w:rsidRPr="00FC0424" w:rsidRDefault="00F00E3D" w:rsidP="006F7BCE">
      <w:pPr>
        <w:pStyle w:val="ListParagraph"/>
        <w:numPr>
          <w:ilvl w:val="0"/>
          <w:numId w:val="8"/>
        </w:numPr>
        <w:spacing w:after="0" w:line="276" w:lineRule="auto"/>
        <w:rPr>
          <w:rFonts w:asciiTheme="majorHAnsi" w:eastAsia="Times New Roman" w:hAnsiTheme="majorHAnsi" w:cstheme="majorBidi"/>
          <w:sz w:val="23"/>
          <w:szCs w:val="23"/>
          <w:lang w:eastAsia="en-GB"/>
        </w:rPr>
      </w:pPr>
      <w:r w:rsidRPr="00FC0424">
        <w:rPr>
          <w:rFonts w:asciiTheme="majorHAnsi" w:eastAsia="Times New Roman" w:hAnsiTheme="majorHAnsi" w:cstheme="majorBidi"/>
          <w:sz w:val="23"/>
          <w:szCs w:val="23"/>
          <w:lang w:eastAsia="en-GB"/>
        </w:rPr>
        <w:t xml:space="preserve">CD “incorporates residents and stakeholders, encourages private investment, leverages corporate resources, and produces measurable results” </w:t>
      </w:r>
      <w:r>
        <w:rPr>
          <w:rFonts w:asciiTheme="majorHAnsi" w:eastAsia="Times New Roman" w:hAnsiTheme="majorHAnsi" w:cstheme="majorBidi"/>
          <w:noProof/>
          <w:sz w:val="23"/>
          <w:szCs w:val="23"/>
          <w:lang w:eastAsia="en-GB"/>
        </w:rPr>
        <w:t>(Greco, 2013, p. 55)</w:t>
      </w:r>
    </w:p>
    <w:p w14:paraId="2882D009" w14:textId="77777777" w:rsidR="00F00E3D" w:rsidRPr="00FC0424" w:rsidRDefault="00F00E3D" w:rsidP="006F7BCE">
      <w:pPr>
        <w:pStyle w:val="ListParagraph"/>
        <w:numPr>
          <w:ilvl w:val="0"/>
          <w:numId w:val="8"/>
        </w:numPr>
        <w:spacing w:after="0" w:line="276" w:lineRule="auto"/>
        <w:rPr>
          <w:rFonts w:asciiTheme="majorHAnsi" w:eastAsia="Times New Roman" w:hAnsiTheme="majorHAnsi" w:cstheme="majorHAnsi"/>
          <w:sz w:val="23"/>
          <w:szCs w:val="23"/>
          <w:lang w:eastAsia="en-GB"/>
        </w:rPr>
      </w:pPr>
      <w:r w:rsidRPr="00FC0424">
        <w:rPr>
          <w:rFonts w:asciiTheme="majorHAnsi" w:eastAsia="Times New Roman" w:hAnsiTheme="majorHAnsi" w:cstheme="majorHAnsi"/>
          <w:sz w:val="23"/>
          <w:szCs w:val="23"/>
          <w:lang w:eastAsia="en-GB"/>
        </w:rPr>
        <w:t xml:space="preserve">CD approaches were associated with “rising levels of resident satisfaction about personal health, the direction the city is taking, and the quality of neighborhood development” </w:t>
      </w:r>
      <w:r>
        <w:rPr>
          <w:rFonts w:asciiTheme="majorHAnsi" w:eastAsia="Times New Roman" w:hAnsiTheme="majorHAnsi" w:cstheme="majorHAnsi"/>
          <w:noProof/>
          <w:sz w:val="23"/>
          <w:szCs w:val="23"/>
          <w:lang w:eastAsia="en-GB"/>
        </w:rPr>
        <w:t>(Corburn, Curl, &amp; Arredondo, 2014, p. 1905)</w:t>
      </w:r>
      <w:r w:rsidRPr="00FC0424">
        <w:rPr>
          <w:rFonts w:asciiTheme="majorHAnsi" w:eastAsia="Times New Roman" w:hAnsiTheme="majorHAnsi" w:cstheme="majorHAnsi"/>
          <w:sz w:val="23"/>
          <w:szCs w:val="23"/>
          <w:lang w:eastAsia="en-GB"/>
        </w:rPr>
        <w:t>.</w:t>
      </w:r>
    </w:p>
    <w:p w14:paraId="3D73B21A" w14:textId="77777777" w:rsidR="00F00E3D" w:rsidRPr="003D661B" w:rsidRDefault="00F00E3D" w:rsidP="009B2FA7">
      <w:pPr>
        <w:spacing w:after="0" w:line="276" w:lineRule="auto"/>
        <w:rPr>
          <w:rFonts w:asciiTheme="majorHAnsi" w:eastAsia="Times New Roman" w:hAnsiTheme="majorHAnsi" w:cstheme="majorHAnsi"/>
          <w:sz w:val="16"/>
          <w:szCs w:val="16"/>
          <w:lang w:eastAsia="en-GB"/>
        </w:rPr>
      </w:pPr>
    </w:p>
    <w:p w14:paraId="1A845834" w14:textId="77777777" w:rsidR="00F00E3D" w:rsidRPr="003D661B" w:rsidRDefault="00F00E3D" w:rsidP="009B2FA7">
      <w:pPr>
        <w:spacing w:after="0" w:line="276" w:lineRule="auto"/>
        <w:rPr>
          <w:rFonts w:asciiTheme="majorHAnsi" w:eastAsia="Times New Roman" w:hAnsiTheme="majorHAnsi" w:cstheme="majorBidi"/>
          <w:sz w:val="23"/>
          <w:szCs w:val="23"/>
          <w:lang w:eastAsia="en-GB"/>
        </w:rPr>
      </w:pPr>
      <w:r w:rsidRPr="003D661B">
        <w:rPr>
          <w:rFonts w:asciiTheme="majorHAnsi" w:eastAsia="Times New Roman" w:hAnsiTheme="majorHAnsi" w:cstheme="majorBidi"/>
          <w:sz w:val="23"/>
          <w:szCs w:val="23"/>
          <w:lang w:eastAsia="en-GB"/>
        </w:rPr>
        <w:t>One study expressed reservations</w:t>
      </w:r>
      <w:r>
        <w:rPr>
          <w:rFonts w:asciiTheme="majorHAnsi" w:eastAsia="Times New Roman" w:hAnsiTheme="majorHAnsi" w:cstheme="majorBidi"/>
          <w:sz w:val="23"/>
          <w:szCs w:val="23"/>
          <w:lang w:eastAsia="en-GB"/>
        </w:rPr>
        <w:t xml:space="preserve"> about Community Development approaches</w:t>
      </w:r>
      <w:r w:rsidRPr="003D661B">
        <w:rPr>
          <w:rFonts w:asciiTheme="majorHAnsi" w:eastAsia="Times New Roman" w:hAnsiTheme="majorHAnsi" w:cstheme="majorBidi"/>
          <w:sz w:val="23"/>
          <w:szCs w:val="23"/>
          <w:lang w:eastAsia="en-GB"/>
        </w:rPr>
        <w:t xml:space="preserve">, identifying failure to challenge structural inequalities and difficulties with measuring the impact of CD in policy environments stressing brief interventions and outcomes </w:t>
      </w:r>
      <w:r w:rsidRPr="003D661B">
        <w:rPr>
          <w:rFonts w:asciiTheme="majorHAnsi" w:eastAsia="Times New Roman" w:hAnsiTheme="majorHAnsi" w:cstheme="majorBidi"/>
          <w:noProof/>
          <w:sz w:val="23"/>
          <w:szCs w:val="23"/>
          <w:lang w:eastAsia="en-GB"/>
        </w:rPr>
        <w:t>(McCabe &amp; Davis, 2012)</w:t>
      </w:r>
      <w:r w:rsidRPr="003D661B">
        <w:rPr>
          <w:rFonts w:asciiTheme="majorHAnsi" w:eastAsia="Times New Roman" w:hAnsiTheme="majorHAnsi" w:cstheme="majorBidi"/>
          <w:sz w:val="23"/>
          <w:szCs w:val="23"/>
          <w:lang w:eastAsia="en-GB"/>
        </w:rPr>
        <w:t>.</w:t>
      </w:r>
    </w:p>
    <w:p w14:paraId="623884AD" w14:textId="77777777" w:rsidR="00F00E3D" w:rsidRPr="00E7355F" w:rsidRDefault="00F00E3D" w:rsidP="009B2FA7">
      <w:pPr>
        <w:spacing w:after="0" w:line="276" w:lineRule="auto"/>
        <w:rPr>
          <w:rFonts w:asciiTheme="majorHAnsi" w:eastAsia="Times New Roman" w:hAnsiTheme="majorHAnsi" w:cstheme="majorHAnsi"/>
          <w:sz w:val="16"/>
          <w:szCs w:val="16"/>
          <w:lang w:eastAsia="en-GB"/>
        </w:rPr>
      </w:pPr>
    </w:p>
    <w:p w14:paraId="2D46CD1F" w14:textId="77777777" w:rsidR="00F00E3D" w:rsidRPr="00E7355F" w:rsidRDefault="00F00E3D" w:rsidP="009B2FA7">
      <w:pPr>
        <w:spacing w:after="0" w:line="276" w:lineRule="auto"/>
        <w:rPr>
          <w:rFonts w:asciiTheme="majorHAnsi" w:eastAsia="Times New Roman" w:hAnsiTheme="majorHAnsi" w:cstheme="majorHAnsi"/>
          <w:sz w:val="23"/>
          <w:szCs w:val="23"/>
          <w:lang w:eastAsia="en-GB"/>
        </w:rPr>
      </w:pPr>
      <w:r w:rsidRPr="00E7355F">
        <w:rPr>
          <w:rFonts w:asciiTheme="majorHAnsi" w:eastAsia="Times New Roman" w:hAnsiTheme="majorHAnsi" w:cstheme="majorHAnsi"/>
          <w:sz w:val="23"/>
          <w:szCs w:val="23"/>
          <w:lang w:eastAsia="en-GB"/>
        </w:rPr>
        <w:t xml:space="preserve">The Australian study considered the Victorian government’s Neighbourhood Renewal Program, which addresses place-based disadvantage by fostering community engagement and development, through partnerships and cooperation between government, local service providers, business and community. The program was “underpinned by social justice principles and a vision of community engagement founded upon trust and partnership” </w:t>
      </w:r>
      <w:r>
        <w:rPr>
          <w:rFonts w:asciiTheme="majorHAnsi" w:eastAsia="Times New Roman" w:hAnsiTheme="majorHAnsi" w:cstheme="majorHAnsi"/>
          <w:noProof/>
          <w:sz w:val="23"/>
          <w:szCs w:val="23"/>
          <w:lang w:eastAsia="en-GB"/>
        </w:rPr>
        <w:t>(Holland, Bruinhout, &amp; Malavisi, 2004, p. 3)</w:t>
      </w:r>
      <w:r w:rsidRPr="00E7355F">
        <w:rPr>
          <w:rFonts w:asciiTheme="majorHAnsi" w:eastAsia="Times New Roman" w:hAnsiTheme="majorHAnsi" w:cstheme="majorHAnsi"/>
          <w:sz w:val="23"/>
          <w:szCs w:val="23"/>
          <w:lang w:eastAsia="en-GB"/>
        </w:rPr>
        <w:t>. A key finding from this study was:</w:t>
      </w:r>
    </w:p>
    <w:p w14:paraId="1037E3CC" w14:textId="77777777" w:rsidR="00F00E3D" w:rsidRPr="00E7355F" w:rsidRDefault="00F00E3D" w:rsidP="009B2FA7">
      <w:pPr>
        <w:spacing w:after="0" w:line="276" w:lineRule="auto"/>
        <w:rPr>
          <w:rFonts w:asciiTheme="majorHAnsi" w:eastAsia="Times New Roman" w:hAnsiTheme="majorHAnsi" w:cstheme="majorHAnsi"/>
          <w:sz w:val="16"/>
          <w:szCs w:val="16"/>
          <w:lang w:eastAsia="en-GB"/>
        </w:rPr>
      </w:pPr>
    </w:p>
    <w:p w14:paraId="4B2AD22A" w14:textId="764AF140" w:rsidR="00DC7420" w:rsidRDefault="00F00E3D" w:rsidP="009B2FA7">
      <w:pPr>
        <w:spacing w:after="0" w:line="276" w:lineRule="auto"/>
        <w:ind w:left="720"/>
        <w:rPr>
          <w:rFonts w:asciiTheme="majorHAnsi" w:eastAsia="Times New Roman" w:hAnsiTheme="majorHAnsi" w:cstheme="majorHAnsi"/>
          <w:noProof/>
          <w:sz w:val="23"/>
          <w:szCs w:val="23"/>
          <w:lang w:eastAsia="en-GB"/>
        </w:rPr>
      </w:pPr>
      <w:r w:rsidRPr="00E7355F">
        <w:rPr>
          <w:rFonts w:asciiTheme="majorHAnsi" w:eastAsia="Times New Roman" w:hAnsiTheme="majorHAnsi" w:cstheme="majorHAnsi"/>
          <w:sz w:val="23"/>
          <w:szCs w:val="23"/>
          <w:lang w:eastAsia="en-GB"/>
        </w:rPr>
        <w:t xml:space="preserve">that the community has capacity and is willing to engage with government and the community sector where it feels that organisations and agencies are prepared to listen, to understand and act collaboratively. A key direction is to develop strategies to ensure that the lessons are effectively captured and the benefits of transferral to mainstream activities of the organisations involved, convincingly evidenced </w:t>
      </w:r>
      <w:r>
        <w:rPr>
          <w:rFonts w:asciiTheme="majorHAnsi" w:eastAsia="Times New Roman" w:hAnsiTheme="majorHAnsi" w:cstheme="majorHAnsi"/>
          <w:noProof/>
          <w:sz w:val="23"/>
          <w:szCs w:val="23"/>
          <w:lang w:eastAsia="en-GB"/>
        </w:rPr>
        <w:t>(Holland et al., 2004, p. 13)</w:t>
      </w:r>
    </w:p>
    <w:p w14:paraId="3416110C" w14:textId="77777777" w:rsidR="00DC7420" w:rsidRDefault="00DC7420">
      <w:pPr>
        <w:spacing w:after="0" w:line="240" w:lineRule="auto"/>
        <w:rPr>
          <w:rFonts w:asciiTheme="majorHAnsi" w:eastAsia="Times New Roman" w:hAnsiTheme="majorHAnsi" w:cstheme="majorHAnsi"/>
          <w:noProof/>
          <w:sz w:val="23"/>
          <w:szCs w:val="23"/>
          <w:lang w:eastAsia="en-GB"/>
        </w:rPr>
      </w:pPr>
      <w:r>
        <w:rPr>
          <w:rFonts w:asciiTheme="majorHAnsi" w:eastAsia="Times New Roman" w:hAnsiTheme="majorHAnsi" w:cstheme="majorHAnsi"/>
          <w:noProof/>
          <w:sz w:val="23"/>
          <w:szCs w:val="23"/>
          <w:lang w:eastAsia="en-GB"/>
        </w:rPr>
        <w:br w:type="page"/>
      </w:r>
    </w:p>
    <w:p w14:paraId="18BE7D29" w14:textId="77777777" w:rsidR="00F00E3D" w:rsidRPr="00282875" w:rsidRDefault="00F00E3D" w:rsidP="009B2FA7">
      <w:pPr>
        <w:spacing w:after="0" w:line="276" w:lineRule="auto"/>
        <w:rPr>
          <w:rFonts w:eastAsia="Times New Roman" w:cstheme="minorHAnsi"/>
          <w:b/>
          <w:bCs/>
          <w:sz w:val="25"/>
          <w:szCs w:val="25"/>
          <w:lang w:eastAsia="en-GB"/>
        </w:rPr>
      </w:pPr>
      <w:r w:rsidRPr="00282875">
        <w:rPr>
          <w:rFonts w:eastAsia="Times New Roman" w:cstheme="minorHAnsi"/>
          <w:b/>
          <w:bCs/>
          <w:sz w:val="25"/>
          <w:szCs w:val="25"/>
          <w:lang w:eastAsia="en-GB"/>
        </w:rPr>
        <w:lastRenderedPageBreak/>
        <w:t>Community Engagement Initiatives</w:t>
      </w:r>
    </w:p>
    <w:p w14:paraId="5ED454ED" w14:textId="77777777" w:rsidR="00F00E3D" w:rsidRPr="00534483" w:rsidRDefault="00F00E3D" w:rsidP="009B2FA7">
      <w:pPr>
        <w:spacing w:after="0" w:line="276" w:lineRule="auto"/>
        <w:rPr>
          <w:rFonts w:asciiTheme="majorHAnsi" w:eastAsia="Times New Roman" w:hAnsiTheme="majorHAnsi" w:cstheme="majorBidi"/>
          <w:b/>
          <w:bCs/>
          <w:sz w:val="16"/>
          <w:szCs w:val="16"/>
          <w:lang w:eastAsia="en-GB"/>
        </w:rPr>
      </w:pPr>
    </w:p>
    <w:p w14:paraId="12CAE96F" w14:textId="5EE1D3F0" w:rsidR="00F00E3D" w:rsidRPr="00F634F6" w:rsidRDefault="00F00E3D" w:rsidP="009B2FA7">
      <w:pPr>
        <w:spacing w:after="0" w:line="276" w:lineRule="auto"/>
        <w:rPr>
          <w:rFonts w:asciiTheme="majorHAnsi" w:eastAsia="Times New Roman" w:hAnsiTheme="majorHAnsi" w:cstheme="majorHAnsi"/>
          <w:sz w:val="23"/>
          <w:szCs w:val="23"/>
          <w:lang w:eastAsia="en-GB"/>
        </w:rPr>
      </w:pPr>
      <w:r w:rsidRPr="00F634F6">
        <w:rPr>
          <w:rFonts w:asciiTheme="majorHAnsi" w:eastAsia="Times New Roman" w:hAnsiTheme="majorHAnsi" w:cstheme="majorHAnsi"/>
          <w:sz w:val="23"/>
          <w:szCs w:val="23"/>
          <w:lang w:eastAsia="en-GB"/>
        </w:rPr>
        <w:t xml:space="preserve">Community engagement models are claimed to “lead to improved health and health behaviours among disadvantaged populations if designed properly and implemented through effective community consultation and participation” </w:t>
      </w:r>
      <w:r>
        <w:rPr>
          <w:rFonts w:asciiTheme="majorHAnsi" w:eastAsia="Times New Roman" w:hAnsiTheme="majorHAnsi" w:cstheme="majorHAnsi"/>
          <w:noProof/>
          <w:sz w:val="23"/>
          <w:szCs w:val="23"/>
          <w:lang w:eastAsia="en-GB"/>
        </w:rPr>
        <w:t>(Cyril</w:t>
      </w:r>
      <w:r w:rsidR="00D27271">
        <w:rPr>
          <w:rFonts w:asciiTheme="majorHAnsi" w:eastAsia="Times New Roman" w:hAnsiTheme="majorHAnsi" w:cstheme="majorHAnsi"/>
          <w:noProof/>
          <w:sz w:val="23"/>
          <w:szCs w:val="23"/>
          <w:lang w:eastAsia="en-GB"/>
        </w:rPr>
        <w:t xml:space="preserve"> et al.,</w:t>
      </w:r>
      <w:r>
        <w:rPr>
          <w:rFonts w:asciiTheme="majorHAnsi" w:eastAsia="Times New Roman" w:hAnsiTheme="majorHAnsi" w:cstheme="majorHAnsi"/>
          <w:noProof/>
          <w:sz w:val="23"/>
          <w:szCs w:val="23"/>
          <w:lang w:eastAsia="en-GB"/>
        </w:rPr>
        <w:t xml:space="preserve"> 2015, p. 1)</w:t>
      </w:r>
      <w:r w:rsidRPr="00F634F6">
        <w:rPr>
          <w:rFonts w:asciiTheme="majorHAnsi" w:eastAsia="Times New Roman" w:hAnsiTheme="majorHAnsi" w:cstheme="majorHAnsi"/>
          <w:sz w:val="23"/>
          <w:szCs w:val="23"/>
          <w:lang w:eastAsia="en-GB"/>
        </w:rPr>
        <w:t xml:space="preserve">. Community engagement is nearly always a core element of </w:t>
      </w:r>
      <w:r w:rsidR="00787D19">
        <w:rPr>
          <w:rFonts w:asciiTheme="majorHAnsi" w:eastAsia="Times New Roman" w:hAnsiTheme="majorHAnsi" w:cstheme="majorHAnsi"/>
          <w:sz w:val="23"/>
          <w:szCs w:val="23"/>
          <w:lang w:eastAsia="en-GB"/>
        </w:rPr>
        <w:t>community development</w:t>
      </w:r>
      <w:r w:rsidRPr="00F634F6">
        <w:rPr>
          <w:rFonts w:asciiTheme="majorHAnsi" w:eastAsia="Times New Roman" w:hAnsiTheme="majorHAnsi" w:cstheme="majorHAnsi"/>
          <w:sz w:val="23"/>
          <w:szCs w:val="23"/>
          <w:lang w:eastAsia="en-GB"/>
        </w:rPr>
        <w:t xml:space="preserve"> programs and is often central to other forms of Neighbourhood Renewal. Community engagement</w:t>
      </w:r>
      <w:r w:rsidR="001D3BBC">
        <w:rPr>
          <w:rFonts w:asciiTheme="majorHAnsi" w:eastAsia="Times New Roman" w:hAnsiTheme="majorHAnsi" w:cstheme="majorHAnsi"/>
          <w:sz w:val="23"/>
          <w:szCs w:val="23"/>
          <w:lang w:eastAsia="en-GB"/>
        </w:rPr>
        <w:t>,</w:t>
      </w:r>
      <w:r w:rsidRPr="00F634F6">
        <w:rPr>
          <w:rFonts w:asciiTheme="majorHAnsi" w:eastAsia="Times New Roman" w:hAnsiTheme="majorHAnsi" w:cstheme="majorHAnsi"/>
          <w:sz w:val="23"/>
          <w:szCs w:val="23"/>
          <w:lang w:eastAsia="en-GB"/>
        </w:rPr>
        <w:t xml:space="preserve"> of itself</w:t>
      </w:r>
      <w:r w:rsidR="001D3BBC">
        <w:rPr>
          <w:rFonts w:asciiTheme="majorHAnsi" w:eastAsia="Times New Roman" w:hAnsiTheme="majorHAnsi" w:cstheme="majorHAnsi"/>
          <w:sz w:val="23"/>
          <w:szCs w:val="23"/>
          <w:lang w:eastAsia="en-GB"/>
        </w:rPr>
        <w:t>,</w:t>
      </w:r>
      <w:r w:rsidRPr="00F634F6">
        <w:rPr>
          <w:rFonts w:asciiTheme="majorHAnsi" w:eastAsia="Times New Roman" w:hAnsiTheme="majorHAnsi" w:cstheme="majorHAnsi"/>
          <w:sz w:val="23"/>
          <w:szCs w:val="23"/>
          <w:lang w:eastAsia="en-GB"/>
        </w:rPr>
        <w:t xml:space="preserve"> was the chief focus of twelve studies in our sample. Five of the studies are from the UK, four from the US, and two from Australia.</w:t>
      </w:r>
    </w:p>
    <w:p w14:paraId="0D69F8EE" w14:textId="77777777" w:rsidR="00F00E3D" w:rsidRPr="00534483" w:rsidRDefault="00F00E3D" w:rsidP="009B2FA7">
      <w:pPr>
        <w:spacing w:after="0" w:line="276" w:lineRule="auto"/>
        <w:rPr>
          <w:rFonts w:asciiTheme="majorHAnsi" w:eastAsia="Times New Roman" w:hAnsiTheme="majorHAnsi" w:cstheme="majorHAnsi"/>
          <w:sz w:val="16"/>
          <w:szCs w:val="16"/>
          <w:lang w:eastAsia="en-GB"/>
        </w:rPr>
      </w:pPr>
    </w:p>
    <w:p w14:paraId="357F7F61" w14:textId="22AD987E" w:rsidR="00F00E3D" w:rsidRDefault="00F00E3D" w:rsidP="009B2FA7">
      <w:pPr>
        <w:spacing w:after="0" w:line="276" w:lineRule="auto"/>
        <w:rPr>
          <w:rFonts w:asciiTheme="majorHAnsi" w:eastAsia="Times New Roman" w:hAnsiTheme="majorHAnsi" w:cstheme="majorHAnsi"/>
          <w:sz w:val="23"/>
          <w:szCs w:val="23"/>
          <w:lang w:eastAsia="en-GB"/>
        </w:rPr>
      </w:pPr>
      <w:r w:rsidRPr="00F634F6">
        <w:rPr>
          <w:rFonts w:asciiTheme="majorHAnsi" w:eastAsia="Times New Roman" w:hAnsiTheme="majorHAnsi" w:cstheme="majorHAnsi"/>
          <w:sz w:val="23"/>
          <w:szCs w:val="23"/>
          <w:lang w:eastAsia="en-GB"/>
        </w:rPr>
        <w:t xml:space="preserve">Community engagement is a large field of study </w:t>
      </w:r>
      <w:r w:rsidR="001D3BBC">
        <w:rPr>
          <w:rFonts w:asciiTheme="majorHAnsi" w:eastAsia="Times New Roman" w:hAnsiTheme="majorHAnsi" w:cstheme="majorHAnsi"/>
          <w:sz w:val="23"/>
          <w:szCs w:val="23"/>
          <w:lang w:eastAsia="en-GB"/>
        </w:rPr>
        <w:t>spanning</w:t>
      </w:r>
      <w:r w:rsidRPr="00F634F6">
        <w:rPr>
          <w:rFonts w:asciiTheme="majorHAnsi" w:eastAsia="Times New Roman" w:hAnsiTheme="majorHAnsi" w:cstheme="majorHAnsi"/>
          <w:sz w:val="23"/>
          <w:szCs w:val="23"/>
          <w:lang w:eastAsia="en-GB"/>
        </w:rPr>
        <w:t xml:space="preserve"> many domains and academic disciplines</w:t>
      </w:r>
      <w:r w:rsidR="001D3BBC">
        <w:rPr>
          <w:rFonts w:asciiTheme="majorHAnsi" w:eastAsia="Times New Roman" w:hAnsiTheme="majorHAnsi" w:cstheme="majorHAnsi"/>
          <w:sz w:val="23"/>
          <w:szCs w:val="23"/>
          <w:lang w:eastAsia="en-GB"/>
        </w:rPr>
        <w:t>. This</w:t>
      </w:r>
      <w:r w:rsidRPr="00F634F6">
        <w:rPr>
          <w:rFonts w:asciiTheme="majorHAnsi" w:eastAsia="Times New Roman" w:hAnsiTheme="majorHAnsi" w:cstheme="majorHAnsi"/>
          <w:sz w:val="23"/>
          <w:szCs w:val="23"/>
          <w:lang w:eastAsia="en-GB"/>
        </w:rPr>
        <w:t xml:space="preserve"> is reflected by the proportion of systematic reviews in our sample </w:t>
      </w:r>
      <w:r w:rsidR="001D3BBC">
        <w:rPr>
          <w:rFonts w:asciiTheme="majorHAnsi" w:eastAsia="Times New Roman" w:hAnsiTheme="majorHAnsi" w:cstheme="majorHAnsi"/>
          <w:sz w:val="23"/>
          <w:szCs w:val="23"/>
          <w:lang w:eastAsia="en-GB"/>
        </w:rPr>
        <w:t xml:space="preserve">that </w:t>
      </w:r>
      <w:r w:rsidRPr="00F634F6">
        <w:rPr>
          <w:rFonts w:asciiTheme="majorHAnsi" w:eastAsia="Times New Roman" w:hAnsiTheme="majorHAnsi" w:cstheme="majorHAnsi"/>
          <w:sz w:val="23"/>
          <w:szCs w:val="23"/>
          <w:lang w:eastAsia="en-GB"/>
        </w:rPr>
        <w:t>attempt to sum up the field – three</w:t>
      </w:r>
      <w:r w:rsidR="007A7B84">
        <w:rPr>
          <w:rFonts w:asciiTheme="majorHAnsi" w:eastAsia="Times New Roman" w:hAnsiTheme="majorHAnsi" w:cstheme="majorHAnsi"/>
          <w:sz w:val="23"/>
          <w:szCs w:val="23"/>
          <w:lang w:eastAsia="en-GB"/>
        </w:rPr>
        <w:t xml:space="preserve">, </w:t>
      </w:r>
      <w:r w:rsidRPr="00F634F6">
        <w:rPr>
          <w:rFonts w:asciiTheme="majorHAnsi" w:eastAsia="Times New Roman" w:hAnsiTheme="majorHAnsi" w:cstheme="majorHAnsi"/>
          <w:sz w:val="23"/>
          <w:szCs w:val="23"/>
          <w:lang w:eastAsia="en-GB"/>
        </w:rPr>
        <w:t>including one meta-analysis</w:t>
      </w:r>
      <w:r w:rsidR="007A7B84">
        <w:rPr>
          <w:rFonts w:asciiTheme="majorHAnsi" w:eastAsia="Times New Roman" w:hAnsiTheme="majorHAnsi" w:cstheme="majorHAnsi"/>
          <w:sz w:val="23"/>
          <w:szCs w:val="23"/>
          <w:lang w:eastAsia="en-GB"/>
        </w:rPr>
        <w:t>: (</w:t>
      </w:r>
      <w:r w:rsidRPr="00F634F6">
        <w:rPr>
          <w:rFonts w:asciiTheme="majorHAnsi" w:eastAsia="Times New Roman" w:hAnsiTheme="majorHAnsi" w:cstheme="majorHAnsi"/>
          <w:noProof/>
          <w:sz w:val="23"/>
          <w:szCs w:val="23"/>
          <w:lang w:eastAsia="en-GB"/>
        </w:rPr>
        <w:t>Attree et al., 2011; Cyril et al., 2015; O</w:t>
      </w:r>
      <w:r w:rsidR="001D3BBC">
        <w:rPr>
          <w:rFonts w:asciiTheme="majorHAnsi" w:eastAsia="Times New Roman" w:hAnsiTheme="majorHAnsi" w:cstheme="majorHAnsi"/>
          <w:noProof/>
          <w:sz w:val="23"/>
          <w:szCs w:val="23"/>
          <w:lang w:eastAsia="en-GB"/>
        </w:rPr>
        <w:t>’</w:t>
      </w:r>
      <w:r w:rsidRPr="00F634F6">
        <w:rPr>
          <w:rFonts w:asciiTheme="majorHAnsi" w:eastAsia="Times New Roman" w:hAnsiTheme="majorHAnsi" w:cstheme="majorHAnsi"/>
          <w:noProof/>
          <w:sz w:val="23"/>
          <w:szCs w:val="23"/>
          <w:lang w:eastAsia="en-GB"/>
        </w:rPr>
        <w:t>Mara-Eves et al., 2015)</w:t>
      </w:r>
      <w:r w:rsidRPr="00F634F6">
        <w:rPr>
          <w:rFonts w:asciiTheme="majorHAnsi" w:eastAsia="Times New Roman" w:hAnsiTheme="majorHAnsi" w:cstheme="majorHAnsi"/>
          <w:sz w:val="23"/>
          <w:szCs w:val="23"/>
          <w:lang w:eastAsia="en-GB"/>
        </w:rPr>
        <w:t xml:space="preserve">. The meta-analysis, </w:t>
      </w:r>
      <w:r w:rsidR="0030090D">
        <w:rPr>
          <w:rFonts w:asciiTheme="majorHAnsi" w:eastAsia="Times New Roman" w:hAnsiTheme="majorHAnsi" w:cstheme="majorHAnsi"/>
          <w:sz w:val="23"/>
          <w:szCs w:val="23"/>
          <w:lang w:eastAsia="en-GB"/>
        </w:rPr>
        <w:t>which focused on</w:t>
      </w:r>
      <w:r w:rsidRPr="00F634F6">
        <w:rPr>
          <w:rFonts w:asciiTheme="majorHAnsi" w:eastAsia="Times New Roman" w:hAnsiTheme="majorHAnsi" w:cstheme="majorHAnsi"/>
          <w:sz w:val="23"/>
          <w:szCs w:val="23"/>
          <w:lang w:eastAsia="en-GB"/>
        </w:rPr>
        <w:t xml:space="preserve"> the effectiveness of public health interventions engaging </w:t>
      </w:r>
      <w:r>
        <w:rPr>
          <w:rFonts w:asciiTheme="majorHAnsi" w:eastAsia="Times New Roman" w:hAnsiTheme="majorHAnsi" w:cstheme="majorHAnsi"/>
          <w:sz w:val="23"/>
          <w:szCs w:val="23"/>
          <w:lang w:eastAsia="en-GB"/>
        </w:rPr>
        <w:t>communities affected by disadvantage</w:t>
      </w:r>
      <w:r w:rsidRPr="00F634F6">
        <w:rPr>
          <w:rFonts w:asciiTheme="majorHAnsi" w:eastAsia="Times New Roman" w:hAnsiTheme="majorHAnsi" w:cstheme="majorHAnsi"/>
          <w:sz w:val="23"/>
          <w:szCs w:val="23"/>
          <w:lang w:eastAsia="en-GB"/>
        </w:rPr>
        <w:t xml:space="preserve"> in OECD countries, finds “solid evidence that community engagement interventions have a positive impact on a range of health outcomes across various conditions”, but concludes that “there is insufficient evidence to determine whether one particular model of community engagement is more effective than any </w:t>
      </w:r>
      <w:r w:rsidR="00390C30" w:rsidRPr="00F634F6">
        <w:rPr>
          <w:rFonts w:asciiTheme="majorHAnsi" w:eastAsia="Times New Roman" w:hAnsiTheme="majorHAnsi" w:cstheme="majorHAnsi"/>
          <w:sz w:val="23"/>
          <w:szCs w:val="23"/>
          <w:lang w:eastAsia="en-GB"/>
        </w:rPr>
        <w:t>other”</w:t>
      </w:r>
      <w:r w:rsidR="00390C30" w:rsidRPr="00F634F6">
        <w:rPr>
          <w:rFonts w:asciiTheme="majorHAnsi" w:eastAsia="Times New Roman" w:hAnsiTheme="majorHAnsi" w:cstheme="majorHAnsi"/>
          <w:noProof/>
          <w:sz w:val="23"/>
          <w:szCs w:val="23"/>
          <w:lang w:eastAsia="en-GB"/>
        </w:rPr>
        <w:t xml:space="preserve"> (</w:t>
      </w:r>
      <w:r w:rsidRPr="00F634F6">
        <w:rPr>
          <w:rFonts w:asciiTheme="majorHAnsi" w:eastAsia="Times New Roman" w:hAnsiTheme="majorHAnsi" w:cstheme="majorHAnsi"/>
          <w:noProof/>
          <w:sz w:val="23"/>
          <w:szCs w:val="23"/>
          <w:lang w:eastAsia="en-GB"/>
        </w:rPr>
        <w:t>O</w:t>
      </w:r>
      <w:r w:rsidR="0030090D">
        <w:rPr>
          <w:rFonts w:asciiTheme="majorHAnsi" w:eastAsia="Times New Roman" w:hAnsiTheme="majorHAnsi" w:cstheme="majorHAnsi"/>
          <w:noProof/>
          <w:sz w:val="23"/>
          <w:szCs w:val="23"/>
          <w:lang w:eastAsia="en-GB"/>
        </w:rPr>
        <w:t>’</w:t>
      </w:r>
      <w:r w:rsidRPr="00F634F6">
        <w:rPr>
          <w:rFonts w:asciiTheme="majorHAnsi" w:eastAsia="Times New Roman" w:hAnsiTheme="majorHAnsi" w:cstheme="majorHAnsi"/>
          <w:noProof/>
          <w:sz w:val="23"/>
          <w:szCs w:val="23"/>
          <w:lang w:eastAsia="en-GB"/>
        </w:rPr>
        <w:t>Mara-Eves et al., 2015, p. 1)</w:t>
      </w:r>
      <w:r w:rsidRPr="00F634F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While</w:t>
      </w:r>
      <w:r w:rsidR="0030090D">
        <w:rPr>
          <w:rFonts w:asciiTheme="majorHAnsi" w:eastAsia="Times New Roman" w:hAnsiTheme="majorHAnsi" w:cstheme="majorHAnsi"/>
          <w:sz w:val="23"/>
          <w:szCs w:val="23"/>
          <w:lang w:eastAsia="en-GB"/>
        </w:rPr>
        <w:t xml:space="preserve"> this</w:t>
      </w:r>
      <w:r w:rsidRPr="00F634F6">
        <w:rPr>
          <w:rFonts w:asciiTheme="majorHAnsi" w:eastAsia="Times New Roman" w:hAnsiTheme="majorHAnsi" w:cstheme="majorHAnsi"/>
          <w:sz w:val="23"/>
          <w:szCs w:val="23"/>
          <w:lang w:eastAsia="en-GB"/>
        </w:rPr>
        <w:t xml:space="preserve"> study offers </w:t>
      </w:r>
      <w:r>
        <w:rPr>
          <w:rFonts w:asciiTheme="majorHAnsi" w:eastAsia="Times New Roman" w:hAnsiTheme="majorHAnsi" w:cstheme="majorHAnsi"/>
          <w:sz w:val="23"/>
          <w:szCs w:val="23"/>
          <w:lang w:eastAsia="en-GB"/>
        </w:rPr>
        <w:t>brief guidance</w:t>
      </w:r>
      <w:r w:rsidRPr="00F634F6">
        <w:rPr>
          <w:rFonts w:asciiTheme="majorHAnsi" w:eastAsia="Times New Roman" w:hAnsiTheme="majorHAnsi" w:cstheme="majorHAnsi"/>
          <w:sz w:val="23"/>
          <w:szCs w:val="23"/>
          <w:lang w:eastAsia="en-GB"/>
        </w:rPr>
        <w:t xml:space="preserve"> </w:t>
      </w:r>
      <w:r w:rsidR="0030090D">
        <w:rPr>
          <w:rFonts w:asciiTheme="majorHAnsi" w:eastAsia="Times New Roman" w:hAnsiTheme="majorHAnsi" w:cstheme="majorHAnsi"/>
          <w:sz w:val="23"/>
          <w:szCs w:val="23"/>
          <w:lang w:eastAsia="en-GB"/>
        </w:rPr>
        <w:t>on</w:t>
      </w:r>
      <w:r w:rsidRPr="00F634F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selecting applicable </w:t>
      </w:r>
      <w:r w:rsidRPr="00F634F6">
        <w:rPr>
          <w:rFonts w:asciiTheme="majorHAnsi" w:eastAsia="Times New Roman" w:hAnsiTheme="majorHAnsi" w:cstheme="majorHAnsi"/>
          <w:sz w:val="23"/>
          <w:szCs w:val="23"/>
          <w:lang w:eastAsia="en-GB"/>
        </w:rPr>
        <w:t xml:space="preserve">community-centred approaches for health and wellbeing </w:t>
      </w:r>
      <w:r>
        <w:rPr>
          <w:rFonts w:asciiTheme="majorHAnsi" w:eastAsia="Times New Roman" w:hAnsiTheme="majorHAnsi" w:cstheme="majorHAnsi"/>
          <w:noProof/>
          <w:sz w:val="23"/>
          <w:szCs w:val="23"/>
          <w:lang w:eastAsia="en-GB"/>
        </w:rPr>
        <w:t>(South, Stansfield, &amp; Fenton, 2015)</w:t>
      </w:r>
      <w:r w:rsidRPr="00F634F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the suggestions are unsubstantiated. </w:t>
      </w:r>
    </w:p>
    <w:p w14:paraId="77467990" w14:textId="77777777" w:rsidR="00F00E3D" w:rsidRDefault="00F00E3D" w:rsidP="009B2FA7">
      <w:pPr>
        <w:spacing w:after="0" w:line="276" w:lineRule="auto"/>
        <w:rPr>
          <w:rFonts w:asciiTheme="majorHAnsi" w:eastAsia="Times New Roman" w:hAnsiTheme="majorHAnsi" w:cstheme="majorHAnsi"/>
          <w:sz w:val="23"/>
          <w:szCs w:val="23"/>
          <w:lang w:eastAsia="en-GB"/>
        </w:rPr>
      </w:pPr>
    </w:p>
    <w:p w14:paraId="65B27488" w14:textId="60AB1642" w:rsidR="00F00E3D" w:rsidRDefault="00F00E3D" w:rsidP="009B2FA7">
      <w:p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 xml:space="preserve">A study </w:t>
      </w:r>
      <w:r w:rsidR="005D019A">
        <w:rPr>
          <w:rFonts w:asciiTheme="majorHAnsi" w:eastAsia="Times New Roman" w:hAnsiTheme="majorHAnsi" w:cstheme="majorHAnsi"/>
          <w:sz w:val="23"/>
          <w:szCs w:val="23"/>
          <w:lang w:eastAsia="en-GB"/>
        </w:rPr>
        <w:t>by</w:t>
      </w:r>
      <w:r>
        <w:rPr>
          <w:rFonts w:asciiTheme="majorHAnsi" w:eastAsia="Times New Roman" w:hAnsiTheme="majorHAnsi" w:cstheme="majorHAnsi"/>
          <w:sz w:val="23"/>
          <w:szCs w:val="23"/>
          <w:lang w:eastAsia="en-GB"/>
        </w:rPr>
        <w:t xml:space="preserve"> AHURI</w:t>
      </w:r>
      <w:r w:rsidRPr="00F634F6">
        <w:rPr>
          <w:rFonts w:asciiTheme="majorHAnsi" w:eastAsia="Times New Roman" w:hAnsiTheme="majorHAnsi" w:cstheme="majorHAnsi"/>
          <w:sz w:val="23"/>
          <w:szCs w:val="23"/>
          <w:lang w:eastAsia="en-GB"/>
        </w:rPr>
        <w:t xml:space="preserve"> posits best-</w:t>
      </w:r>
      <w:r w:rsidRPr="00553277">
        <w:rPr>
          <w:rFonts w:asciiTheme="majorHAnsi" w:eastAsia="Times New Roman" w:hAnsiTheme="majorHAnsi" w:cstheme="majorHAnsi"/>
          <w:sz w:val="23"/>
          <w:szCs w:val="23"/>
          <w:lang w:eastAsia="en-GB"/>
        </w:rPr>
        <w:t>practice models for resident participation, social cohesion</w:t>
      </w:r>
      <w:r>
        <w:rPr>
          <w:rFonts w:asciiTheme="majorHAnsi" w:eastAsia="Times New Roman" w:hAnsiTheme="majorHAnsi" w:cstheme="majorHAnsi"/>
          <w:sz w:val="23"/>
          <w:szCs w:val="23"/>
          <w:lang w:eastAsia="en-GB"/>
        </w:rPr>
        <w:t>,</w:t>
      </w:r>
      <w:r w:rsidRPr="00553277">
        <w:rPr>
          <w:rFonts w:asciiTheme="majorHAnsi" w:eastAsia="Times New Roman" w:hAnsiTheme="majorHAnsi" w:cstheme="majorHAnsi"/>
          <w:sz w:val="23"/>
          <w:szCs w:val="23"/>
          <w:lang w:eastAsia="en-GB"/>
        </w:rPr>
        <w:t xml:space="preserve"> and sustainability in neighbourhood renewal </w:t>
      </w:r>
      <w:r>
        <w:rPr>
          <w:rFonts w:asciiTheme="majorHAnsi" w:eastAsia="Times New Roman" w:hAnsiTheme="majorHAnsi" w:cstheme="majorHAnsi"/>
          <w:noProof/>
          <w:sz w:val="23"/>
          <w:szCs w:val="23"/>
          <w:lang w:eastAsia="en-GB"/>
        </w:rPr>
        <w:t>(M. Wood, 2001)</w:t>
      </w:r>
      <w:r w:rsidRPr="00553277">
        <w:rPr>
          <w:rFonts w:asciiTheme="majorHAnsi" w:eastAsia="Times New Roman" w:hAnsiTheme="majorHAnsi" w:cstheme="majorHAnsi"/>
          <w:sz w:val="23"/>
          <w:szCs w:val="23"/>
          <w:lang w:eastAsia="en-GB"/>
        </w:rPr>
        <w:t>.</w:t>
      </w:r>
      <w:r>
        <w:rPr>
          <w:rFonts w:asciiTheme="majorHAnsi" w:eastAsia="Times New Roman" w:hAnsiTheme="majorHAnsi" w:cstheme="majorHAnsi"/>
          <w:sz w:val="23"/>
          <w:szCs w:val="23"/>
          <w:lang w:eastAsia="en-GB"/>
        </w:rPr>
        <w:t xml:space="preserve"> Th</w:t>
      </w:r>
      <w:r w:rsidR="005D019A">
        <w:rPr>
          <w:rFonts w:asciiTheme="majorHAnsi" w:eastAsia="Times New Roman" w:hAnsiTheme="majorHAnsi" w:cstheme="majorHAnsi"/>
          <w:sz w:val="23"/>
          <w:szCs w:val="23"/>
          <w:lang w:eastAsia="en-GB"/>
        </w:rPr>
        <w:t>e researchers</w:t>
      </w:r>
      <w:r>
        <w:rPr>
          <w:rFonts w:asciiTheme="majorHAnsi" w:eastAsia="Times New Roman" w:hAnsiTheme="majorHAnsi" w:cstheme="majorHAnsi"/>
          <w:sz w:val="23"/>
          <w:szCs w:val="23"/>
          <w:lang w:eastAsia="en-GB"/>
        </w:rPr>
        <w:t xml:space="preserve"> recommend 14 principles of effective engagement that governmental agencies would certainly benefit from following:</w:t>
      </w:r>
    </w:p>
    <w:p w14:paraId="68441BB4" w14:textId="77777777" w:rsidR="005D019A" w:rsidRPr="005D019A" w:rsidRDefault="005D019A" w:rsidP="009B2FA7">
      <w:pPr>
        <w:spacing w:after="0" w:line="276" w:lineRule="auto"/>
        <w:rPr>
          <w:rFonts w:asciiTheme="majorHAnsi" w:eastAsia="Times New Roman" w:hAnsiTheme="majorHAnsi" w:cstheme="majorHAnsi"/>
          <w:sz w:val="16"/>
          <w:szCs w:val="16"/>
          <w:lang w:eastAsia="en-GB"/>
        </w:rPr>
      </w:pPr>
    </w:p>
    <w:p w14:paraId="0A2D82EA" w14:textId="2DE0CA73" w:rsidR="00F00E3D"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bookmarkStart w:id="47" w:name="OLE_LINK14communityengagementprinciples"/>
      <w:r>
        <w:rPr>
          <w:rFonts w:asciiTheme="majorHAnsi" w:eastAsia="Times New Roman" w:hAnsiTheme="majorHAnsi" w:cstheme="majorHAnsi"/>
          <w:sz w:val="23"/>
          <w:szCs w:val="23"/>
          <w:lang w:eastAsia="en-GB"/>
        </w:rPr>
        <w:t>C</w:t>
      </w:r>
      <w:r w:rsidRPr="00D341DD">
        <w:rPr>
          <w:rFonts w:asciiTheme="majorHAnsi" w:eastAsia="Times New Roman" w:hAnsiTheme="majorHAnsi" w:cstheme="majorHAnsi"/>
          <w:sz w:val="23"/>
          <w:szCs w:val="23"/>
          <w:lang w:eastAsia="en-GB"/>
        </w:rPr>
        <w:t>ommunity development approaches that identify local issues and</w:t>
      </w:r>
      <w:r>
        <w:rPr>
          <w:rFonts w:asciiTheme="majorHAnsi" w:eastAsia="Times New Roman" w:hAnsiTheme="majorHAnsi" w:cstheme="majorHAnsi"/>
          <w:sz w:val="23"/>
          <w:szCs w:val="23"/>
          <w:lang w:eastAsia="en-GB"/>
        </w:rPr>
        <w:t xml:space="preserve"> </w:t>
      </w:r>
      <w:r w:rsidRPr="00D341DD">
        <w:rPr>
          <w:rFonts w:asciiTheme="majorHAnsi" w:eastAsia="Times New Roman" w:hAnsiTheme="majorHAnsi" w:cstheme="majorHAnsi"/>
          <w:sz w:val="23"/>
          <w:szCs w:val="23"/>
          <w:lang w:eastAsia="en-GB"/>
        </w:rPr>
        <w:t>facilitate an educational process and the development of skills</w:t>
      </w:r>
    </w:p>
    <w:p w14:paraId="0F040801" w14:textId="23C370CD" w:rsidR="00F00E3D"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Starting with local people at the outset, before significant action has been taken</w:t>
      </w:r>
    </w:p>
    <w:p w14:paraId="28B3BC4C" w14:textId="1BCB3158" w:rsidR="00F00E3D"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Building on local activism from the most representative and open groups</w:t>
      </w:r>
    </w:p>
    <w:p w14:paraId="124B705A" w14:textId="5D30B606" w:rsidR="00F00E3D"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Reaching other minority and ethnic groups</w:t>
      </w:r>
    </w:p>
    <w:p w14:paraId="7321DDC5" w14:textId="30C3FD74" w:rsidR="00F00E3D"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Early visible success to prevent the development of scepticism</w:t>
      </w:r>
    </w:p>
    <w:p w14:paraId="7545CDCB" w14:textId="69DF1145" w:rsidR="00F00E3D"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Use of local resources</w:t>
      </w:r>
    </w:p>
    <w:p w14:paraId="11F4CF13" w14:textId="1E81C170" w:rsidR="00F00E3D"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Regular training throughout the participation process for community representatives</w:t>
      </w:r>
    </w:p>
    <w:p w14:paraId="77B8B5C9" w14:textId="72E6A8E5" w:rsidR="00F00E3D"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Processes and structures that are congenial to residents, such as small group techniques</w:t>
      </w:r>
    </w:p>
    <w:p w14:paraId="0422CE78" w14:textId="15EA56C6" w:rsidR="00F00E3D"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Development of devolved power and decision making</w:t>
      </w:r>
    </w:p>
    <w:p w14:paraId="46577B2E" w14:textId="5A0FADE3" w:rsidR="00F00E3D"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Actual influence for communities on decisions and outcomes</w:t>
      </w:r>
    </w:p>
    <w:p w14:paraId="251D6649" w14:textId="268ED401" w:rsidR="00F00E3D"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Regular and clear communication</w:t>
      </w:r>
    </w:p>
    <w:p w14:paraId="73E9B870" w14:textId="5067EB7A" w:rsidR="00F00E3D"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Change from the traditional command and control culture of government departments</w:t>
      </w:r>
    </w:p>
    <w:p w14:paraId="68558A2F" w14:textId="42A1BDC9" w:rsidR="00F00E3D"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The need for the community to be involved in monitoring and evaluation</w:t>
      </w:r>
      <w:r w:rsidR="005D019A">
        <w:rPr>
          <w:rFonts w:asciiTheme="majorHAnsi" w:eastAsia="Times New Roman" w:hAnsiTheme="majorHAnsi" w:cstheme="majorHAnsi"/>
          <w:sz w:val="23"/>
          <w:szCs w:val="23"/>
          <w:lang w:eastAsia="en-GB"/>
        </w:rPr>
        <w:t>,</w:t>
      </w:r>
      <w:r>
        <w:rPr>
          <w:rFonts w:asciiTheme="majorHAnsi" w:eastAsia="Times New Roman" w:hAnsiTheme="majorHAnsi" w:cstheme="majorHAnsi"/>
          <w:sz w:val="23"/>
          <w:szCs w:val="23"/>
          <w:lang w:eastAsia="en-GB"/>
        </w:rPr>
        <w:t xml:space="preserve"> and</w:t>
      </w:r>
    </w:p>
    <w:p w14:paraId="34A323B0" w14:textId="141B0963" w:rsidR="00F00E3D" w:rsidRPr="00094ED8" w:rsidRDefault="00F00E3D" w:rsidP="00364C5D">
      <w:pPr>
        <w:pStyle w:val="ListParagraph"/>
        <w:numPr>
          <w:ilvl w:val="0"/>
          <w:numId w:val="51"/>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Time and resources for nurturing good participation</w:t>
      </w:r>
      <w:r w:rsidR="005D019A">
        <w:rPr>
          <w:rFonts w:asciiTheme="majorHAnsi" w:eastAsia="Times New Roman" w:hAnsiTheme="majorHAnsi" w:cstheme="majorHAnsi"/>
          <w:sz w:val="23"/>
          <w:szCs w:val="23"/>
          <w:lang w:eastAsia="en-GB"/>
        </w:rPr>
        <w:t>.</w:t>
      </w:r>
    </w:p>
    <w:bookmarkEnd w:id="47"/>
    <w:p w14:paraId="719CDF04" w14:textId="77777777" w:rsidR="00F00E3D" w:rsidRPr="00B24411" w:rsidRDefault="00F00E3D" w:rsidP="009B2FA7">
      <w:pPr>
        <w:spacing w:after="0" w:line="276" w:lineRule="auto"/>
        <w:rPr>
          <w:rFonts w:asciiTheme="majorHAnsi" w:eastAsia="Times New Roman" w:hAnsiTheme="majorHAnsi" w:cstheme="majorHAnsi"/>
          <w:sz w:val="16"/>
          <w:szCs w:val="16"/>
          <w:lang w:eastAsia="en-GB"/>
        </w:rPr>
      </w:pPr>
    </w:p>
    <w:p w14:paraId="2A24929E" w14:textId="77777777" w:rsidR="00F00E3D" w:rsidRPr="00553277" w:rsidRDefault="00F00E3D" w:rsidP="009B2FA7">
      <w:pPr>
        <w:spacing w:after="0" w:line="276" w:lineRule="auto"/>
        <w:rPr>
          <w:rFonts w:asciiTheme="majorHAnsi" w:eastAsia="Times New Roman" w:hAnsiTheme="majorHAnsi" w:cstheme="majorHAnsi"/>
          <w:sz w:val="23"/>
          <w:szCs w:val="23"/>
          <w:lang w:eastAsia="en-GB"/>
        </w:rPr>
      </w:pPr>
      <w:r w:rsidRPr="00553277">
        <w:rPr>
          <w:rFonts w:asciiTheme="majorHAnsi" w:eastAsia="Times New Roman" w:hAnsiTheme="majorHAnsi" w:cstheme="majorHAnsi"/>
          <w:sz w:val="23"/>
          <w:szCs w:val="23"/>
          <w:lang w:eastAsia="en-GB"/>
        </w:rPr>
        <w:t xml:space="preserve">Seven studies focus on specific community engagement initiatives: a community outreach collaboration between Ohio State University Extension and the Ohio Housing Finance Agency offering home buyer education to prevent foreclosure </w:t>
      </w:r>
      <w:r>
        <w:rPr>
          <w:rFonts w:asciiTheme="majorHAnsi" w:eastAsia="Times New Roman" w:hAnsiTheme="majorHAnsi" w:cstheme="majorHAnsi"/>
          <w:noProof/>
          <w:sz w:val="23"/>
          <w:szCs w:val="23"/>
          <w:lang w:eastAsia="en-GB"/>
        </w:rPr>
        <w:t>(Loibl, Durham, &amp; Moulton, 2018)</w:t>
      </w:r>
      <w:r w:rsidRPr="00553277">
        <w:rPr>
          <w:rFonts w:asciiTheme="majorHAnsi" w:eastAsia="Times New Roman" w:hAnsiTheme="majorHAnsi" w:cstheme="majorHAnsi"/>
          <w:sz w:val="23"/>
          <w:szCs w:val="23"/>
          <w:lang w:eastAsia="en-GB"/>
        </w:rPr>
        <w:t xml:space="preserve">; pre-engagement capacity building for community engaged research partnerships between academic and community organisations </w:t>
      </w:r>
      <w:r w:rsidRPr="00553277">
        <w:rPr>
          <w:rFonts w:asciiTheme="majorHAnsi" w:eastAsia="Times New Roman" w:hAnsiTheme="majorHAnsi" w:cstheme="majorHAnsi"/>
          <w:noProof/>
          <w:sz w:val="23"/>
          <w:szCs w:val="23"/>
          <w:lang w:eastAsia="en-GB"/>
        </w:rPr>
        <w:t>(Campbell-Voytal, 2010)</w:t>
      </w:r>
      <w:r w:rsidRPr="00553277">
        <w:rPr>
          <w:rFonts w:asciiTheme="majorHAnsi" w:eastAsia="Times New Roman" w:hAnsiTheme="majorHAnsi" w:cstheme="majorHAnsi"/>
          <w:sz w:val="23"/>
          <w:szCs w:val="23"/>
          <w:lang w:eastAsia="en-GB"/>
        </w:rPr>
        <w:t>; the UK Labo</w:t>
      </w:r>
      <w:r>
        <w:rPr>
          <w:rFonts w:asciiTheme="majorHAnsi" w:eastAsia="Times New Roman" w:hAnsiTheme="majorHAnsi" w:cstheme="majorHAnsi"/>
          <w:sz w:val="23"/>
          <w:szCs w:val="23"/>
          <w:lang w:eastAsia="en-GB"/>
        </w:rPr>
        <w:t>u</w:t>
      </w:r>
      <w:r w:rsidRPr="00553277">
        <w:rPr>
          <w:rFonts w:asciiTheme="majorHAnsi" w:eastAsia="Times New Roman" w:hAnsiTheme="majorHAnsi" w:cstheme="majorHAnsi"/>
          <w:sz w:val="23"/>
          <w:szCs w:val="23"/>
          <w:lang w:eastAsia="en-GB"/>
        </w:rPr>
        <w:t>r government</w:t>
      </w:r>
      <w:r>
        <w:rPr>
          <w:rFonts w:asciiTheme="majorHAnsi" w:eastAsia="Times New Roman" w:hAnsiTheme="majorHAnsi" w:cstheme="majorHAnsi"/>
          <w:sz w:val="23"/>
          <w:szCs w:val="23"/>
          <w:lang w:eastAsia="en-GB"/>
        </w:rPr>
        <w:t>’</w:t>
      </w:r>
      <w:r w:rsidRPr="00553277">
        <w:rPr>
          <w:rFonts w:asciiTheme="majorHAnsi" w:eastAsia="Times New Roman" w:hAnsiTheme="majorHAnsi" w:cstheme="majorHAnsi"/>
          <w:sz w:val="23"/>
          <w:szCs w:val="23"/>
          <w:lang w:eastAsia="en-GB"/>
        </w:rPr>
        <w:t xml:space="preserve">s New Deal for Communities urban policy </w:t>
      </w:r>
      <w:r w:rsidRPr="00553277">
        <w:rPr>
          <w:rFonts w:asciiTheme="majorHAnsi" w:eastAsia="Times New Roman" w:hAnsiTheme="majorHAnsi" w:cstheme="majorHAnsi"/>
          <w:noProof/>
          <w:sz w:val="23"/>
          <w:szCs w:val="23"/>
          <w:lang w:eastAsia="en-GB"/>
        </w:rPr>
        <w:lastRenderedPageBreak/>
        <w:t>(Beebeejaun &amp; Grimshaw, 2011)</w:t>
      </w:r>
      <w:r w:rsidRPr="00553277">
        <w:rPr>
          <w:rFonts w:asciiTheme="majorHAnsi" w:eastAsia="Times New Roman" w:hAnsiTheme="majorHAnsi" w:cstheme="majorHAnsi"/>
          <w:sz w:val="23"/>
          <w:szCs w:val="23"/>
          <w:lang w:eastAsia="en-GB"/>
        </w:rPr>
        <w:t xml:space="preserve">; the effectiveness of the Well London program, which used community engagement, complemented by changes to the physical and social neighbourhood environment, to improve physical activity levels, healthy eating, and mental wellbeing in deprived communities in London </w:t>
      </w:r>
      <w:r>
        <w:rPr>
          <w:rFonts w:asciiTheme="majorHAnsi" w:eastAsia="Times New Roman" w:hAnsiTheme="majorHAnsi" w:cstheme="majorHAnsi"/>
          <w:noProof/>
          <w:sz w:val="23"/>
          <w:szCs w:val="23"/>
          <w:lang w:eastAsia="en-GB"/>
        </w:rPr>
        <w:t>(1Phillips et al., 2012)</w:t>
      </w:r>
      <w:r w:rsidRPr="00553277">
        <w:rPr>
          <w:rFonts w:asciiTheme="majorHAnsi" w:eastAsia="Times New Roman" w:hAnsiTheme="majorHAnsi" w:cstheme="majorHAnsi"/>
          <w:sz w:val="23"/>
          <w:szCs w:val="23"/>
          <w:lang w:eastAsia="en-GB"/>
        </w:rPr>
        <w:t xml:space="preserve">; the implementation of a Community Empowerment Centre to promote community health </w:t>
      </w:r>
      <w:r w:rsidRPr="00553277">
        <w:rPr>
          <w:rFonts w:asciiTheme="majorHAnsi" w:eastAsia="Times New Roman" w:hAnsiTheme="majorHAnsi" w:cstheme="majorHAnsi"/>
          <w:noProof/>
          <w:sz w:val="23"/>
          <w:szCs w:val="23"/>
          <w:lang w:eastAsia="en-GB"/>
        </w:rPr>
        <w:t>(Smallwood et al., 2015)</w:t>
      </w:r>
      <w:r w:rsidRPr="00553277">
        <w:rPr>
          <w:rFonts w:asciiTheme="majorHAnsi" w:eastAsia="Times New Roman" w:hAnsiTheme="majorHAnsi" w:cstheme="majorHAnsi"/>
          <w:sz w:val="23"/>
          <w:szCs w:val="23"/>
          <w:lang w:eastAsia="en-GB"/>
        </w:rPr>
        <w:t xml:space="preserve">; a Canadian study examining “the long-term cost-savings of the Better Beginnings, Better Futures (BBBF) initiative, a community-based early intervention project for young children living in socioeconomically disadvantaged neighborhoods” </w:t>
      </w:r>
      <w:r>
        <w:rPr>
          <w:rFonts w:asciiTheme="majorHAnsi" w:eastAsia="Times New Roman" w:hAnsiTheme="majorHAnsi" w:cstheme="majorHAnsi"/>
          <w:noProof/>
          <w:sz w:val="23"/>
          <w:szCs w:val="23"/>
          <w:lang w:eastAsia="en-GB"/>
        </w:rPr>
        <w:t>(Peters et al., 2016, p. 237)</w:t>
      </w:r>
      <w:r w:rsidRPr="00553277">
        <w:rPr>
          <w:rFonts w:asciiTheme="majorHAnsi" w:eastAsia="Times New Roman" w:hAnsiTheme="majorHAnsi" w:cstheme="majorHAnsi"/>
          <w:sz w:val="23"/>
          <w:szCs w:val="23"/>
          <w:lang w:eastAsia="en-GB"/>
        </w:rPr>
        <w:t xml:space="preserve">; and engaging children and young people in neighbourhood community development in two social housing neighbourhoods in Sydney </w:t>
      </w:r>
      <w:r w:rsidRPr="00553277">
        <w:rPr>
          <w:rFonts w:asciiTheme="majorHAnsi" w:eastAsia="Times New Roman" w:hAnsiTheme="majorHAnsi" w:cstheme="majorHAnsi"/>
          <w:noProof/>
          <w:sz w:val="23"/>
          <w:szCs w:val="23"/>
          <w:lang w:eastAsia="en-GB"/>
        </w:rPr>
        <w:t>(Goodwin &amp; Young, 2013)</w:t>
      </w:r>
      <w:r w:rsidRPr="00553277">
        <w:rPr>
          <w:rFonts w:asciiTheme="majorHAnsi" w:eastAsia="Times New Roman" w:hAnsiTheme="majorHAnsi" w:cstheme="majorHAnsi"/>
          <w:sz w:val="23"/>
          <w:szCs w:val="23"/>
          <w:lang w:eastAsia="en-GB"/>
        </w:rPr>
        <w:t>.</w:t>
      </w:r>
    </w:p>
    <w:p w14:paraId="58197C1B" w14:textId="77777777" w:rsidR="00F00E3D" w:rsidRPr="00B24411" w:rsidRDefault="00F00E3D" w:rsidP="009B2FA7">
      <w:pPr>
        <w:spacing w:after="0" w:line="276" w:lineRule="auto"/>
        <w:rPr>
          <w:rFonts w:asciiTheme="majorHAnsi" w:eastAsia="Times New Roman" w:hAnsiTheme="majorHAnsi" w:cstheme="majorHAnsi"/>
          <w:sz w:val="16"/>
          <w:szCs w:val="16"/>
          <w:lang w:eastAsia="en-GB"/>
        </w:rPr>
      </w:pPr>
    </w:p>
    <w:p w14:paraId="64BB074D" w14:textId="698894DE" w:rsidR="00F00E3D" w:rsidRPr="00866A13" w:rsidRDefault="00F00E3D" w:rsidP="009B2FA7">
      <w:pPr>
        <w:spacing w:after="0" w:line="276" w:lineRule="auto"/>
        <w:rPr>
          <w:rFonts w:asciiTheme="majorHAnsi" w:eastAsia="Times New Roman" w:hAnsiTheme="majorHAnsi" w:cstheme="majorBidi"/>
          <w:sz w:val="23"/>
          <w:szCs w:val="23"/>
          <w:lang w:eastAsia="en-GB"/>
        </w:rPr>
      </w:pPr>
      <w:r>
        <w:rPr>
          <w:rFonts w:asciiTheme="majorHAnsi" w:eastAsia="Times New Roman" w:hAnsiTheme="majorHAnsi" w:cstheme="majorBidi"/>
          <w:sz w:val="23"/>
          <w:szCs w:val="23"/>
          <w:lang w:eastAsia="en-GB"/>
        </w:rPr>
        <w:t>The</w:t>
      </w:r>
      <w:r w:rsidRPr="00553277">
        <w:rPr>
          <w:rFonts w:asciiTheme="majorHAnsi" w:eastAsia="Times New Roman" w:hAnsiTheme="majorHAnsi" w:cstheme="majorBidi"/>
          <w:sz w:val="23"/>
          <w:szCs w:val="23"/>
          <w:lang w:eastAsia="en-GB"/>
        </w:rPr>
        <w:t xml:space="preserve"> impacts of the evaluated programs are very largely </w:t>
      </w:r>
      <w:r>
        <w:rPr>
          <w:rFonts w:asciiTheme="majorHAnsi" w:eastAsia="Times New Roman" w:hAnsiTheme="majorHAnsi" w:cstheme="majorBidi"/>
          <w:sz w:val="23"/>
          <w:szCs w:val="23"/>
          <w:lang w:eastAsia="en-GB"/>
        </w:rPr>
        <w:t xml:space="preserve">assessed as </w:t>
      </w:r>
      <w:r w:rsidRPr="00553277">
        <w:rPr>
          <w:rFonts w:asciiTheme="majorHAnsi" w:eastAsia="Times New Roman" w:hAnsiTheme="majorHAnsi" w:cstheme="majorBidi"/>
          <w:sz w:val="23"/>
          <w:szCs w:val="23"/>
          <w:lang w:eastAsia="en-GB"/>
        </w:rPr>
        <w:t xml:space="preserve">positive, including “mutual participation in </w:t>
      </w:r>
      <w:r w:rsidRPr="00866A13">
        <w:rPr>
          <w:rFonts w:asciiTheme="majorHAnsi" w:eastAsia="Times New Roman" w:hAnsiTheme="majorHAnsi" w:cstheme="majorBidi"/>
          <w:sz w:val="23"/>
          <w:szCs w:val="23"/>
          <w:lang w:eastAsia="en-GB"/>
        </w:rPr>
        <w:t xml:space="preserve">shared </w:t>
      </w:r>
      <w:r>
        <w:rPr>
          <w:rFonts w:asciiTheme="majorHAnsi" w:eastAsia="Times New Roman" w:hAnsiTheme="majorHAnsi" w:cstheme="majorBidi"/>
          <w:sz w:val="23"/>
          <w:szCs w:val="23"/>
          <w:lang w:eastAsia="en-GB"/>
        </w:rPr>
        <w:t>‘</w:t>
      </w:r>
      <w:r w:rsidRPr="00866A13">
        <w:rPr>
          <w:rFonts w:asciiTheme="majorHAnsi" w:eastAsia="Times New Roman" w:hAnsiTheme="majorHAnsi" w:cstheme="majorBidi"/>
          <w:sz w:val="23"/>
          <w:szCs w:val="23"/>
          <w:lang w:eastAsia="en-GB"/>
        </w:rPr>
        <w:t>ecologies of practice</w:t>
      </w:r>
      <w:r>
        <w:rPr>
          <w:rFonts w:asciiTheme="majorHAnsi" w:eastAsia="Times New Roman" w:hAnsiTheme="majorHAnsi" w:cstheme="majorBidi"/>
          <w:sz w:val="23"/>
          <w:szCs w:val="23"/>
          <w:lang w:eastAsia="en-GB"/>
        </w:rPr>
        <w:t>’</w:t>
      </w:r>
      <w:r w:rsidRPr="00866A13">
        <w:rPr>
          <w:rFonts w:asciiTheme="majorHAnsi" w:eastAsia="Times New Roman" w:hAnsiTheme="majorHAnsi" w:cstheme="majorBidi"/>
          <w:sz w:val="23"/>
          <w:szCs w:val="23"/>
          <w:lang w:eastAsia="en-GB"/>
        </w:rPr>
        <w:t xml:space="preserve"> enable[</w:t>
      </w:r>
      <w:proofErr w:type="spellStart"/>
      <w:r w:rsidRPr="00866A13">
        <w:rPr>
          <w:rFonts w:asciiTheme="majorHAnsi" w:eastAsia="Times New Roman" w:hAnsiTheme="majorHAnsi" w:cstheme="majorBidi"/>
          <w:sz w:val="23"/>
          <w:szCs w:val="23"/>
          <w:lang w:eastAsia="en-GB"/>
        </w:rPr>
        <w:t>ing</w:t>
      </w:r>
      <w:proofErr w:type="spellEnd"/>
      <w:r w:rsidRPr="00866A13">
        <w:rPr>
          <w:rFonts w:asciiTheme="majorHAnsi" w:eastAsia="Times New Roman" w:hAnsiTheme="majorHAnsi" w:cstheme="majorBidi"/>
          <w:sz w:val="23"/>
          <w:szCs w:val="23"/>
          <w:lang w:eastAsia="en-GB"/>
        </w:rPr>
        <w:t xml:space="preserve">] an exchange of cultural knowledge, skill, and language” </w:t>
      </w:r>
      <w:r w:rsidRPr="00866A13">
        <w:rPr>
          <w:rFonts w:asciiTheme="majorHAnsi" w:eastAsia="Times New Roman" w:hAnsiTheme="majorHAnsi" w:cstheme="majorBidi"/>
          <w:noProof/>
          <w:sz w:val="23"/>
          <w:szCs w:val="23"/>
          <w:lang w:eastAsia="en-GB"/>
        </w:rPr>
        <w:t>(Campbell-Voytal, 2010)</w:t>
      </w:r>
      <w:r>
        <w:rPr>
          <w:rFonts w:asciiTheme="majorHAnsi" w:eastAsia="Times New Roman" w:hAnsiTheme="majorHAnsi" w:cstheme="majorBidi"/>
          <w:sz w:val="23"/>
          <w:szCs w:val="23"/>
          <w:lang w:eastAsia="en-GB"/>
        </w:rPr>
        <w:t>. However,</w:t>
      </w:r>
      <w:r w:rsidRPr="00866A13">
        <w:rPr>
          <w:rFonts w:asciiTheme="majorHAnsi" w:eastAsia="Times New Roman" w:hAnsiTheme="majorHAnsi" w:cstheme="majorBidi"/>
          <w:sz w:val="23"/>
          <w:szCs w:val="23"/>
          <w:lang w:eastAsia="en-GB"/>
        </w:rPr>
        <w:t xml:space="preserve"> one study found that distrust was a major barrier to participation in community engagement programs, suggesting that </w:t>
      </w:r>
      <w:r>
        <w:rPr>
          <w:rFonts w:asciiTheme="majorHAnsi" w:eastAsia="Times New Roman" w:hAnsiTheme="majorHAnsi" w:cstheme="majorBidi"/>
          <w:sz w:val="23"/>
          <w:szCs w:val="23"/>
          <w:lang w:eastAsia="en-GB"/>
        </w:rPr>
        <w:t>“</w:t>
      </w:r>
      <w:r w:rsidRPr="00866A13">
        <w:rPr>
          <w:rFonts w:asciiTheme="majorHAnsi" w:eastAsia="Times New Roman" w:hAnsiTheme="majorHAnsi" w:cstheme="majorBidi"/>
          <w:sz w:val="23"/>
          <w:szCs w:val="23"/>
          <w:lang w:eastAsia="en-GB"/>
        </w:rPr>
        <w:t xml:space="preserve">community engagement approaches must prioritise restoration of trust and be accompanied by supportive policies to mitigate feelings of abandonment in communities” </w:t>
      </w:r>
      <w:r>
        <w:rPr>
          <w:rFonts w:asciiTheme="majorHAnsi" w:eastAsia="Times New Roman" w:hAnsiTheme="majorHAnsi" w:cstheme="majorBidi"/>
          <w:noProof/>
          <w:sz w:val="23"/>
          <w:szCs w:val="23"/>
          <w:lang w:eastAsia="en-GB"/>
        </w:rPr>
        <w:t>(Romeo-Velilla</w:t>
      </w:r>
      <w:r w:rsidR="00D27271">
        <w:rPr>
          <w:rFonts w:asciiTheme="majorHAnsi" w:eastAsia="Times New Roman" w:hAnsiTheme="majorHAnsi" w:cstheme="majorBidi"/>
          <w:noProof/>
          <w:sz w:val="23"/>
          <w:szCs w:val="23"/>
          <w:lang w:eastAsia="en-GB"/>
        </w:rPr>
        <w:t xml:space="preserve"> et al., </w:t>
      </w:r>
      <w:r>
        <w:rPr>
          <w:rFonts w:asciiTheme="majorHAnsi" w:eastAsia="Times New Roman" w:hAnsiTheme="majorHAnsi" w:cstheme="majorBidi"/>
          <w:noProof/>
          <w:sz w:val="23"/>
          <w:szCs w:val="23"/>
          <w:lang w:eastAsia="en-GB"/>
        </w:rPr>
        <w:t>2018, p. 2)</w:t>
      </w:r>
      <w:r w:rsidRPr="00866A13">
        <w:rPr>
          <w:rFonts w:asciiTheme="majorHAnsi" w:eastAsia="Times New Roman" w:hAnsiTheme="majorHAnsi" w:cstheme="majorBidi"/>
          <w:sz w:val="23"/>
          <w:szCs w:val="23"/>
          <w:lang w:eastAsia="en-GB"/>
        </w:rPr>
        <w:t>. Similarly, Attree et al. caution that:</w:t>
      </w:r>
    </w:p>
    <w:p w14:paraId="7613F999" w14:textId="77777777" w:rsidR="00F00E3D" w:rsidRPr="00B24411" w:rsidRDefault="00F00E3D" w:rsidP="009B2FA7">
      <w:pPr>
        <w:spacing w:after="0" w:line="276" w:lineRule="auto"/>
        <w:rPr>
          <w:rFonts w:asciiTheme="majorHAnsi" w:eastAsia="Times New Roman" w:hAnsiTheme="majorHAnsi" w:cstheme="majorHAnsi"/>
          <w:sz w:val="23"/>
          <w:szCs w:val="23"/>
          <w:lang w:eastAsia="en-GB"/>
        </w:rPr>
      </w:pPr>
    </w:p>
    <w:p w14:paraId="775B609C" w14:textId="77777777" w:rsidR="00F00E3D" w:rsidRPr="00B24411" w:rsidRDefault="00F00E3D" w:rsidP="009B2FA7">
      <w:pPr>
        <w:spacing w:after="0" w:line="276" w:lineRule="auto"/>
        <w:ind w:left="720"/>
        <w:rPr>
          <w:rFonts w:asciiTheme="majorHAnsi" w:eastAsia="Times New Roman" w:hAnsiTheme="majorHAnsi" w:cstheme="majorHAnsi"/>
          <w:sz w:val="23"/>
          <w:szCs w:val="23"/>
          <w:lang w:eastAsia="en-GB"/>
        </w:rPr>
      </w:pPr>
      <w:r w:rsidRPr="00B24411">
        <w:rPr>
          <w:rFonts w:asciiTheme="majorHAnsi" w:eastAsia="Times New Roman" w:hAnsiTheme="majorHAnsi" w:cstheme="majorHAnsi"/>
          <w:sz w:val="23"/>
          <w:szCs w:val="23"/>
          <w:lang w:eastAsia="en-GB"/>
        </w:rPr>
        <w:t>there are unintended negative consequences of community engagement for some individuals, which may pose a risk to well-being. These consequences included exhaustion and stress, as involvement drained participants</w:t>
      </w:r>
      <w:r>
        <w:rPr>
          <w:rFonts w:asciiTheme="majorHAnsi" w:eastAsia="Times New Roman" w:hAnsiTheme="majorHAnsi" w:cstheme="majorHAnsi"/>
          <w:sz w:val="23"/>
          <w:szCs w:val="23"/>
          <w:lang w:eastAsia="en-GB"/>
        </w:rPr>
        <w:t>’</w:t>
      </w:r>
      <w:r w:rsidRPr="00B24411">
        <w:rPr>
          <w:rFonts w:asciiTheme="majorHAnsi" w:eastAsia="Times New Roman" w:hAnsiTheme="majorHAnsi" w:cstheme="majorHAnsi"/>
          <w:sz w:val="23"/>
          <w:szCs w:val="23"/>
          <w:lang w:eastAsia="en-GB"/>
        </w:rPr>
        <w:t xml:space="preserve"> energy levels as well as time and financial resources. The physical demands of engagement were reported as particularly onerous by individuals with disabilities </w:t>
      </w:r>
      <w:r>
        <w:rPr>
          <w:rFonts w:asciiTheme="majorHAnsi" w:eastAsia="Times New Roman" w:hAnsiTheme="majorHAnsi" w:cstheme="majorHAnsi"/>
          <w:noProof/>
          <w:sz w:val="23"/>
          <w:szCs w:val="23"/>
          <w:lang w:eastAsia="en-GB"/>
        </w:rPr>
        <w:t>(Attree et al., 2011, p. 250)</w:t>
      </w:r>
      <w:r w:rsidRPr="00B24411">
        <w:rPr>
          <w:rFonts w:asciiTheme="majorHAnsi" w:eastAsia="Times New Roman" w:hAnsiTheme="majorHAnsi" w:cstheme="majorHAnsi"/>
          <w:sz w:val="23"/>
          <w:szCs w:val="23"/>
          <w:lang w:eastAsia="en-GB"/>
        </w:rPr>
        <w:t>.</w:t>
      </w:r>
    </w:p>
    <w:p w14:paraId="07962E98" w14:textId="77777777" w:rsidR="00F00E3D" w:rsidRPr="00282875" w:rsidRDefault="00F00E3D" w:rsidP="009B2FA7">
      <w:pPr>
        <w:spacing w:after="0" w:line="276" w:lineRule="auto"/>
        <w:rPr>
          <w:rFonts w:asciiTheme="majorHAnsi" w:eastAsia="Times New Roman" w:hAnsiTheme="majorHAnsi" w:cstheme="majorHAnsi"/>
          <w:sz w:val="16"/>
          <w:szCs w:val="16"/>
          <w:lang w:eastAsia="en-GB"/>
        </w:rPr>
      </w:pPr>
    </w:p>
    <w:p w14:paraId="278642AE" w14:textId="4E94CB24" w:rsidR="00F00E3D" w:rsidRPr="00B24411" w:rsidRDefault="00F00E3D" w:rsidP="009B2FA7">
      <w:pPr>
        <w:spacing w:after="0" w:line="276" w:lineRule="auto"/>
        <w:rPr>
          <w:rFonts w:asciiTheme="majorHAnsi" w:eastAsia="Times New Roman" w:hAnsiTheme="majorHAnsi" w:cstheme="majorHAnsi"/>
          <w:sz w:val="23"/>
          <w:szCs w:val="23"/>
          <w:lang w:eastAsia="en-GB"/>
        </w:rPr>
      </w:pPr>
      <w:r w:rsidRPr="00B24411">
        <w:rPr>
          <w:rFonts w:asciiTheme="majorHAnsi" w:eastAsia="Times New Roman" w:hAnsiTheme="majorHAnsi" w:cstheme="majorHAnsi"/>
          <w:sz w:val="23"/>
          <w:szCs w:val="23"/>
          <w:lang w:eastAsia="en-GB"/>
        </w:rPr>
        <w:t xml:space="preserve">Community engagement was often a key component of community education programs, particularly in the </w:t>
      </w:r>
      <w:r w:rsidR="00D95573">
        <w:rPr>
          <w:rFonts w:asciiTheme="majorHAnsi" w:eastAsia="Times New Roman" w:hAnsiTheme="majorHAnsi" w:cstheme="majorHAnsi"/>
          <w:sz w:val="23"/>
          <w:szCs w:val="23"/>
          <w:lang w:eastAsia="en-GB"/>
        </w:rPr>
        <w:t>Practice Domain</w:t>
      </w:r>
      <w:r w:rsidRPr="00B24411">
        <w:rPr>
          <w:rFonts w:asciiTheme="majorHAnsi" w:eastAsia="Times New Roman" w:hAnsiTheme="majorHAnsi" w:cstheme="majorHAnsi"/>
          <w:sz w:val="23"/>
          <w:szCs w:val="23"/>
          <w:lang w:eastAsia="en-GB"/>
        </w:rPr>
        <w:t>s of Health and Wellbeing, and Liveability.</w:t>
      </w:r>
    </w:p>
    <w:p w14:paraId="64B8CF4C" w14:textId="77777777" w:rsidR="00F00E3D" w:rsidRPr="00282875" w:rsidRDefault="00F00E3D" w:rsidP="009B2FA7">
      <w:pPr>
        <w:spacing w:after="0" w:line="276" w:lineRule="auto"/>
        <w:rPr>
          <w:rFonts w:asciiTheme="majorHAnsi" w:eastAsia="Times New Roman" w:hAnsiTheme="majorHAnsi" w:cstheme="majorHAnsi"/>
          <w:sz w:val="16"/>
          <w:szCs w:val="16"/>
          <w:lang w:eastAsia="en-GB"/>
        </w:rPr>
      </w:pPr>
    </w:p>
    <w:p w14:paraId="20F57865" w14:textId="77777777" w:rsidR="00F00E3D" w:rsidRPr="00282875" w:rsidRDefault="00F00E3D" w:rsidP="009B2FA7">
      <w:pPr>
        <w:spacing w:after="0" w:line="276" w:lineRule="auto"/>
        <w:rPr>
          <w:rFonts w:eastAsia="Times New Roman" w:cstheme="minorHAnsi"/>
          <w:b/>
          <w:bCs/>
          <w:sz w:val="25"/>
          <w:szCs w:val="25"/>
          <w:lang w:eastAsia="en-GB"/>
        </w:rPr>
      </w:pPr>
      <w:r w:rsidRPr="00282875">
        <w:rPr>
          <w:rFonts w:eastAsia="Times New Roman" w:cstheme="minorHAnsi"/>
          <w:b/>
          <w:bCs/>
          <w:sz w:val="25"/>
          <w:szCs w:val="25"/>
          <w:lang w:eastAsia="en-GB"/>
        </w:rPr>
        <w:t>Food Access Initiatives</w:t>
      </w:r>
    </w:p>
    <w:p w14:paraId="04186FBF" w14:textId="77777777" w:rsidR="00F00E3D" w:rsidRPr="00B24411" w:rsidRDefault="00F00E3D" w:rsidP="009B2FA7">
      <w:pPr>
        <w:spacing w:after="0" w:line="276" w:lineRule="auto"/>
        <w:rPr>
          <w:rFonts w:asciiTheme="majorHAnsi" w:eastAsia="Times New Roman" w:hAnsiTheme="majorHAnsi" w:cstheme="majorHAnsi"/>
          <w:b/>
          <w:bCs/>
          <w:sz w:val="16"/>
          <w:szCs w:val="16"/>
          <w:lang w:eastAsia="en-GB"/>
        </w:rPr>
      </w:pPr>
    </w:p>
    <w:p w14:paraId="38839694" w14:textId="285DAA8B" w:rsidR="00F00E3D" w:rsidRPr="00B24411" w:rsidRDefault="00F00E3D" w:rsidP="009B2FA7">
      <w:pPr>
        <w:spacing w:after="0" w:line="276" w:lineRule="auto"/>
        <w:rPr>
          <w:rFonts w:asciiTheme="majorHAnsi" w:eastAsia="Times New Roman" w:hAnsiTheme="majorHAnsi" w:cstheme="majorBidi"/>
          <w:sz w:val="23"/>
          <w:szCs w:val="23"/>
          <w:lang w:eastAsia="en-GB"/>
        </w:rPr>
      </w:pPr>
      <w:r w:rsidRPr="00B24411">
        <w:rPr>
          <w:rFonts w:asciiTheme="majorHAnsi" w:eastAsia="Times New Roman" w:hAnsiTheme="majorHAnsi" w:cstheme="majorBidi"/>
          <w:sz w:val="23"/>
          <w:szCs w:val="23"/>
          <w:lang w:eastAsia="en-GB"/>
        </w:rPr>
        <w:t>In total, seven studies considered food access/</w:t>
      </w:r>
      <w:r>
        <w:rPr>
          <w:rFonts w:asciiTheme="majorHAnsi" w:eastAsia="Times New Roman" w:hAnsiTheme="majorHAnsi" w:cstheme="majorBidi"/>
          <w:sz w:val="23"/>
          <w:szCs w:val="23"/>
          <w:lang w:eastAsia="en-GB"/>
        </w:rPr>
        <w:t xml:space="preserve">food </w:t>
      </w:r>
      <w:r w:rsidRPr="00B24411">
        <w:rPr>
          <w:rFonts w:asciiTheme="majorHAnsi" w:eastAsia="Times New Roman" w:hAnsiTheme="majorHAnsi" w:cstheme="majorBidi"/>
          <w:sz w:val="23"/>
          <w:szCs w:val="23"/>
          <w:lang w:eastAsia="en-GB"/>
        </w:rPr>
        <w:t>security initiatives</w:t>
      </w:r>
      <w:r>
        <w:rPr>
          <w:rFonts w:asciiTheme="majorHAnsi" w:eastAsia="Times New Roman" w:hAnsiTheme="majorHAnsi" w:cstheme="majorBidi"/>
          <w:sz w:val="23"/>
          <w:szCs w:val="23"/>
          <w:lang w:eastAsia="en-GB"/>
        </w:rPr>
        <w:t>. A</w:t>
      </w:r>
      <w:r w:rsidRPr="00B24411">
        <w:rPr>
          <w:rFonts w:asciiTheme="majorHAnsi" w:eastAsia="Times New Roman" w:hAnsiTheme="majorHAnsi" w:cstheme="majorBidi"/>
          <w:sz w:val="23"/>
          <w:szCs w:val="23"/>
          <w:lang w:eastAsia="en-GB"/>
        </w:rPr>
        <w:t>s might be expected,</w:t>
      </w:r>
      <w:r>
        <w:rPr>
          <w:rFonts w:asciiTheme="majorHAnsi" w:eastAsia="Times New Roman" w:hAnsiTheme="majorHAnsi" w:cstheme="majorBidi"/>
          <w:sz w:val="23"/>
          <w:szCs w:val="23"/>
          <w:lang w:eastAsia="en-GB"/>
        </w:rPr>
        <w:t xml:space="preserve"> all were</w:t>
      </w:r>
      <w:r w:rsidRPr="00B24411">
        <w:rPr>
          <w:rFonts w:asciiTheme="majorHAnsi" w:eastAsia="Times New Roman" w:hAnsiTheme="majorHAnsi" w:cstheme="majorBidi"/>
          <w:sz w:val="23"/>
          <w:szCs w:val="23"/>
          <w:lang w:eastAsia="en-GB"/>
        </w:rPr>
        <w:t xml:space="preserve"> in the </w:t>
      </w:r>
      <w:r w:rsidR="00D95573">
        <w:rPr>
          <w:rFonts w:asciiTheme="majorHAnsi" w:eastAsia="Times New Roman" w:hAnsiTheme="majorHAnsi" w:cstheme="majorBidi"/>
          <w:sz w:val="23"/>
          <w:szCs w:val="23"/>
          <w:lang w:eastAsia="en-GB"/>
        </w:rPr>
        <w:t>Practice Domain</w:t>
      </w:r>
      <w:r w:rsidRPr="00B24411">
        <w:rPr>
          <w:rFonts w:asciiTheme="majorHAnsi" w:eastAsia="Times New Roman" w:hAnsiTheme="majorHAnsi" w:cstheme="majorBidi"/>
          <w:sz w:val="23"/>
          <w:szCs w:val="23"/>
          <w:lang w:eastAsia="en-GB"/>
        </w:rPr>
        <w:t xml:space="preserve"> of Health </w:t>
      </w:r>
      <w:r>
        <w:rPr>
          <w:rFonts w:asciiTheme="majorHAnsi" w:eastAsia="Times New Roman" w:hAnsiTheme="majorHAnsi" w:cstheme="majorBidi"/>
          <w:sz w:val="23"/>
          <w:szCs w:val="23"/>
          <w:lang w:eastAsia="en-GB"/>
        </w:rPr>
        <w:t>and</w:t>
      </w:r>
      <w:r w:rsidRPr="00B24411">
        <w:rPr>
          <w:rFonts w:asciiTheme="majorHAnsi" w:eastAsia="Times New Roman" w:hAnsiTheme="majorHAnsi" w:cstheme="majorBidi"/>
          <w:sz w:val="23"/>
          <w:szCs w:val="23"/>
          <w:lang w:eastAsia="en-GB"/>
        </w:rPr>
        <w:t xml:space="preserve"> Wellbeing. Four were from the US, two from the UK, and one from Canada. All seven describe some form of evaluation to </w:t>
      </w:r>
      <w:r>
        <w:rPr>
          <w:rFonts w:asciiTheme="majorHAnsi" w:eastAsia="Times New Roman" w:hAnsiTheme="majorHAnsi" w:cstheme="majorBidi"/>
          <w:sz w:val="23"/>
          <w:szCs w:val="23"/>
          <w:lang w:eastAsia="en-GB"/>
        </w:rPr>
        <w:t>gauge</w:t>
      </w:r>
      <w:r w:rsidRPr="00B24411">
        <w:rPr>
          <w:rFonts w:asciiTheme="majorHAnsi" w:eastAsia="Times New Roman" w:hAnsiTheme="majorHAnsi" w:cstheme="majorBidi"/>
          <w:sz w:val="23"/>
          <w:szCs w:val="23"/>
          <w:lang w:eastAsia="en-GB"/>
        </w:rPr>
        <w:t xml:space="preserve"> their efficacy.</w:t>
      </w:r>
    </w:p>
    <w:p w14:paraId="2B347B57" w14:textId="77777777" w:rsidR="00F00E3D" w:rsidRPr="001122BE" w:rsidRDefault="00F00E3D" w:rsidP="009B2FA7">
      <w:pPr>
        <w:spacing w:after="0" w:line="276" w:lineRule="auto"/>
        <w:rPr>
          <w:rFonts w:asciiTheme="majorHAnsi" w:eastAsia="Times New Roman" w:hAnsiTheme="majorHAnsi" w:cstheme="majorHAnsi"/>
          <w:sz w:val="16"/>
          <w:szCs w:val="16"/>
          <w:lang w:eastAsia="en-GB"/>
        </w:rPr>
      </w:pPr>
    </w:p>
    <w:p w14:paraId="176C8EB3" w14:textId="5F27B2B4" w:rsidR="00F00E3D" w:rsidRPr="00B24411" w:rsidRDefault="00F00E3D" w:rsidP="009B2FA7">
      <w:pPr>
        <w:spacing w:after="0" w:line="276" w:lineRule="auto"/>
        <w:rPr>
          <w:rFonts w:asciiTheme="majorHAnsi" w:eastAsia="Times New Roman" w:hAnsiTheme="majorHAnsi" w:cstheme="majorBidi"/>
          <w:sz w:val="23"/>
          <w:szCs w:val="23"/>
          <w:lang w:eastAsia="en-GB"/>
        </w:rPr>
      </w:pPr>
      <w:r w:rsidRPr="00B24411">
        <w:rPr>
          <w:rFonts w:asciiTheme="majorHAnsi" w:eastAsia="Times New Roman" w:hAnsiTheme="majorHAnsi" w:cstheme="majorBidi"/>
          <w:sz w:val="23"/>
          <w:szCs w:val="23"/>
          <w:lang w:eastAsia="en-GB"/>
        </w:rPr>
        <w:t xml:space="preserve">Food access initiatives </w:t>
      </w:r>
      <w:r>
        <w:rPr>
          <w:rFonts w:asciiTheme="majorHAnsi" w:eastAsia="Times New Roman" w:hAnsiTheme="majorHAnsi" w:cstheme="majorBidi"/>
          <w:sz w:val="23"/>
          <w:szCs w:val="23"/>
          <w:lang w:eastAsia="en-GB"/>
        </w:rPr>
        <w:t xml:space="preserve">can </w:t>
      </w:r>
      <w:r w:rsidRPr="00B24411">
        <w:rPr>
          <w:rFonts w:asciiTheme="majorHAnsi" w:eastAsia="Times New Roman" w:hAnsiTheme="majorHAnsi" w:cstheme="majorBidi"/>
          <w:sz w:val="23"/>
          <w:szCs w:val="23"/>
          <w:lang w:eastAsia="en-GB"/>
        </w:rPr>
        <w:t xml:space="preserve">take a number of forms, the most common in our sample being variations on the community garden </w:t>
      </w:r>
      <w:r>
        <w:rPr>
          <w:rFonts w:asciiTheme="majorHAnsi" w:eastAsia="Times New Roman" w:hAnsiTheme="majorHAnsi" w:cstheme="majorBidi"/>
          <w:noProof/>
          <w:sz w:val="23"/>
          <w:szCs w:val="23"/>
          <w:lang w:eastAsia="en-GB"/>
        </w:rPr>
        <w:t>(Bleasdale, Crouch, &amp; Harlan, 2010; Hatchett</w:t>
      </w:r>
      <w:r w:rsidR="00D27271">
        <w:rPr>
          <w:rFonts w:asciiTheme="majorHAnsi" w:eastAsia="Times New Roman" w:hAnsiTheme="majorHAnsi" w:cstheme="majorBidi"/>
          <w:noProof/>
          <w:sz w:val="23"/>
          <w:szCs w:val="23"/>
          <w:lang w:eastAsia="en-GB"/>
        </w:rPr>
        <w:t xml:space="preserve"> et al., </w:t>
      </w:r>
      <w:r>
        <w:rPr>
          <w:rFonts w:asciiTheme="majorHAnsi" w:eastAsia="Times New Roman" w:hAnsiTheme="majorHAnsi" w:cstheme="majorBidi"/>
          <w:noProof/>
          <w:sz w:val="23"/>
          <w:szCs w:val="23"/>
          <w:lang w:eastAsia="en-GB"/>
        </w:rPr>
        <w:t>2015; Mmako, Capetola, &amp; Henderson-Wilson, 2019)</w:t>
      </w:r>
      <w:r w:rsidRPr="00B24411">
        <w:rPr>
          <w:rFonts w:asciiTheme="majorHAnsi" w:eastAsia="Times New Roman" w:hAnsiTheme="majorHAnsi" w:cstheme="majorBidi"/>
          <w:sz w:val="23"/>
          <w:szCs w:val="23"/>
          <w:lang w:eastAsia="en-GB"/>
        </w:rPr>
        <w:t>. As Mmako et al. explain</w:t>
      </w:r>
      <w:r>
        <w:rPr>
          <w:rFonts w:asciiTheme="majorHAnsi" w:eastAsia="Times New Roman" w:hAnsiTheme="majorHAnsi" w:cstheme="majorBidi"/>
          <w:sz w:val="23"/>
          <w:szCs w:val="23"/>
          <w:lang w:eastAsia="en-GB"/>
        </w:rPr>
        <w:t>,</w:t>
      </w:r>
      <w:r w:rsidRPr="00B24411">
        <w:rPr>
          <w:rFonts w:asciiTheme="majorHAnsi" w:eastAsia="Times New Roman" w:hAnsiTheme="majorHAnsi" w:cstheme="majorBidi"/>
          <w:sz w:val="23"/>
          <w:szCs w:val="23"/>
          <w:lang w:eastAsia="en-GB"/>
        </w:rPr>
        <w:t xml:space="preserve"> “in addition to food, physical activity, mental health and environmental benefits, community gardens (CGs) provide opportunities for social inclusion and increased social capital. These are particularly important to the socially isolated residents of social housing developments” </w:t>
      </w:r>
      <w:r>
        <w:rPr>
          <w:rFonts w:asciiTheme="majorHAnsi" w:eastAsia="Times New Roman" w:hAnsiTheme="majorHAnsi" w:cstheme="majorBidi"/>
          <w:noProof/>
          <w:sz w:val="23"/>
          <w:szCs w:val="23"/>
          <w:lang w:eastAsia="en-GB"/>
        </w:rPr>
        <w:t>(Mmako et al., 2019, p. 1)</w:t>
      </w:r>
      <w:r w:rsidRPr="00B24411">
        <w:rPr>
          <w:rFonts w:asciiTheme="majorHAnsi" w:eastAsia="Times New Roman" w:hAnsiTheme="majorHAnsi" w:cstheme="majorBidi"/>
          <w:sz w:val="23"/>
          <w:szCs w:val="23"/>
          <w:lang w:eastAsia="en-GB"/>
        </w:rPr>
        <w:t>.</w:t>
      </w:r>
    </w:p>
    <w:p w14:paraId="3AAB378E" w14:textId="77777777" w:rsidR="00F00E3D" w:rsidRPr="0082356D" w:rsidRDefault="00F00E3D" w:rsidP="009B2FA7">
      <w:pPr>
        <w:spacing w:after="0" w:line="276" w:lineRule="auto"/>
        <w:rPr>
          <w:rFonts w:asciiTheme="majorHAnsi" w:eastAsia="Times New Roman" w:hAnsiTheme="majorHAnsi" w:cstheme="majorHAnsi"/>
          <w:sz w:val="16"/>
          <w:szCs w:val="16"/>
          <w:lang w:eastAsia="en-GB"/>
        </w:rPr>
      </w:pPr>
    </w:p>
    <w:p w14:paraId="557F03D9" w14:textId="794F263C" w:rsidR="00F00E3D" w:rsidRPr="00B24411" w:rsidRDefault="00F00E3D" w:rsidP="009B2FA7">
      <w:pPr>
        <w:spacing w:after="0" w:line="276" w:lineRule="auto"/>
        <w:rPr>
          <w:rFonts w:asciiTheme="majorHAnsi" w:eastAsia="Times New Roman" w:hAnsiTheme="majorHAnsi" w:cstheme="majorBidi"/>
          <w:sz w:val="23"/>
          <w:szCs w:val="23"/>
          <w:lang w:eastAsia="en-GB"/>
        </w:rPr>
      </w:pPr>
      <w:r w:rsidRPr="00B24411">
        <w:rPr>
          <w:rFonts w:asciiTheme="majorHAnsi" w:eastAsia="Times New Roman" w:hAnsiTheme="majorHAnsi" w:cstheme="majorBidi"/>
          <w:sz w:val="23"/>
          <w:szCs w:val="23"/>
          <w:lang w:eastAsia="en-GB"/>
        </w:rPr>
        <w:t xml:space="preserve">In addition, two studies evaluate interventions in small, neighbourhood stores (corner stores) to bring healthier foods to those communities </w:t>
      </w:r>
      <w:r>
        <w:rPr>
          <w:rFonts w:asciiTheme="majorHAnsi" w:eastAsia="Times New Roman" w:hAnsiTheme="majorHAnsi" w:cstheme="majorBidi"/>
          <w:noProof/>
          <w:sz w:val="23"/>
          <w:szCs w:val="23"/>
          <w:lang w:eastAsia="en-GB"/>
        </w:rPr>
        <w:t>(Chrisinger et al., 2018; Jaskiewicz</w:t>
      </w:r>
      <w:r w:rsidR="00CE2692">
        <w:rPr>
          <w:rFonts w:asciiTheme="majorHAnsi" w:eastAsia="Times New Roman" w:hAnsiTheme="majorHAnsi" w:cstheme="majorBidi"/>
          <w:noProof/>
          <w:sz w:val="23"/>
          <w:szCs w:val="23"/>
          <w:lang w:eastAsia="en-GB"/>
        </w:rPr>
        <w:t xml:space="preserve"> et al.,</w:t>
      </w:r>
      <w:r>
        <w:rPr>
          <w:rFonts w:asciiTheme="majorHAnsi" w:eastAsia="Times New Roman" w:hAnsiTheme="majorHAnsi" w:cstheme="majorBidi"/>
          <w:noProof/>
          <w:sz w:val="23"/>
          <w:szCs w:val="23"/>
          <w:lang w:eastAsia="en-GB"/>
        </w:rPr>
        <w:t xml:space="preserve"> 2016)</w:t>
      </w:r>
      <w:r>
        <w:rPr>
          <w:rFonts w:asciiTheme="majorHAnsi" w:eastAsia="Times New Roman" w:hAnsiTheme="majorHAnsi" w:cstheme="majorBidi"/>
          <w:sz w:val="23"/>
          <w:szCs w:val="23"/>
          <w:lang w:eastAsia="en-GB"/>
        </w:rPr>
        <w:t>. Discussing another intervention</w:t>
      </w:r>
      <w:r w:rsidRPr="00B24411">
        <w:rPr>
          <w:rFonts w:asciiTheme="majorHAnsi" w:eastAsia="Times New Roman" w:hAnsiTheme="majorHAnsi" w:cstheme="majorBidi"/>
          <w:sz w:val="23"/>
          <w:szCs w:val="23"/>
          <w:lang w:eastAsia="en-GB"/>
        </w:rPr>
        <w:t xml:space="preserve"> with similar aims</w:t>
      </w:r>
      <w:r>
        <w:rPr>
          <w:rFonts w:asciiTheme="majorHAnsi" w:eastAsia="Times New Roman" w:hAnsiTheme="majorHAnsi" w:cstheme="majorBidi"/>
          <w:sz w:val="23"/>
          <w:szCs w:val="23"/>
          <w:lang w:eastAsia="en-GB"/>
        </w:rPr>
        <w:t>, one study</w:t>
      </w:r>
      <w:r w:rsidRPr="00B24411">
        <w:rPr>
          <w:rFonts w:asciiTheme="majorHAnsi" w:eastAsia="Times New Roman" w:hAnsiTheme="majorHAnsi" w:cstheme="majorBidi"/>
          <w:sz w:val="23"/>
          <w:szCs w:val="23"/>
          <w:lang w:eastAsia="en-GB"/>
        </w:rPr>
        <w:t xml:space="preserve"> considered the use of a mobile food truck program </w:t>
      </w:r>
      <w:r>
        <w:rPr>
          <w:rFonts w:asciiTheme="majorHAnsi" w:eastAsia="Times New Roman" w:hAnsiTheme="majorHAnsi" w:cstheme="majorBidi"/>
          <w:noProof/>
          <w:sz w:val="23"/>
          <w:szCs w:val="23"/>
          <w:lang w:eastAsia="en-GB"/>
        </w:rPr>
        <w:t>(Alicea-Planas, Sullivan, Tran, &amp; Cruz, 2019)</w:t>
      </w:r>
      <w:r w:rsidRPr="00B24411">
        <w:rPr>
          <w:rFonts w:asciiTheme="majorHAnsi" w:eastAsia="Times New Roman" w:hAnsiTheme="majorHAnsi" w:cstheme="majorBidi"/>
          <w:sz w:val="23"/>
          <w:szCs w:val="23"/>
          <w:lang w:eastAsia="en-GB"/>
        </w:rPr>
        <w:t xml:space="preserve">; </w:t>
      </w:r>
      <w:r>
        <w:rPr>
          <w:rFonts w:asciiTheme="majorHAnsi" w:eastAsia="Times New Roman" w:hAnsiTheme="majorHAnsi" w:cstheme="majorBidi"/>
          <w:sz w:val="23"/>
          <w:szCs w:val="23"/>
          <w:lang w:eastAsia="en-GB"/>
        </w:rPr>
        <w:t>another</w:t>
      </w:r>
      <w:r w:rsidRPr="00B24411">
        <w:rPr>
          <w:rFonts w:asciiTheme="majorHAnsi" w:eastAsia="Times New Roman" w:hAnsiTheme="majorHAnsi" w:cstheme="majorBidi"/>
          <w:sz w:val="23"/>
          <w:szCs w:val="23"/>
          <w:lang w:eastAsia="en-GB"/>
        </w:rPr>
        <w:t xml:space="preserve"> focused on understanding the benefits and potential challenges of using residential gardens for food security and as spaces for community building, health, housing improvement, and environmental justice </w:t>
      </w:r>
      <w:r>
        <w:rPr>
          <w:rFonts w:asciiTheme="majorHAnsi" w:eastAsia="Times New Roman" w:hAnsiTheme="majorHAnsi" w:cstheme="majorBidi"/>
          <w:noProof/>
          <w:sz w:val="23"/>
          <w:szCs w:val="23"/>
          <w:lang w:eastAsia="en-GB"/>
        </w:rPr>
        <w:t>(Shamasunder</w:t>
      </w:r>
      <w:r w:rsidR="00CE2692">
        <w:rPr>
          <w:rFonts w:asciiTheme="majorHAnsi" w:eastAsia="Times New Roman" w:hAnsiTheme="majorHAnsi" w:cstheme="majorBidi"/>
          <w:noProof/>
          <w:sz w:val="23"/>
          <w:szCs w:val="23"/>
          <w:lang w:eastAsia="en-GB"/>
        </w:rPr>
        <w:t xml:space="preserve"> et al., </w:t>
      </w:r>
      <w:r>
        <w:rPr>
          <w:rFonts w:asciiTheme="majorHAnsi" w:eastAsia="Times New Roman" w:hAnsiTheme="majorHAnsi" w:cstheme="majorBidi"/>
          <w:noProof/>
          <w:sz w:val="23"/>
          <w:szCs w:val="23"/>
          <w:lang w:eastAsia="en-GB"/>
        </w:rPr>
        <w:t>2015)</w:t>
      </w:r>
      <w:r w:rsidRPr="00B24411">
        <w:rPr>
          <w:rFonts w:asciiTheme="majorHAnsi" w:eastAsia="Times New Roman" w:hAnsiTheme="majorHAnsi" w:cstheme="majorBidi"/>
          <w:sz w:val="23"/>
          <w:szCs w:val="23"/>
          <w:lang w:eastAsia="en-GB"/>
        </w:rPr>
        <w:t>.</w:t>
      </w:r>
    </w:p>
    <w:p w14:paraId="04C37DB1" w14:textId="77777777" w:rsidR="00F00E3D" w:rsidRPr="00D123C4" w:rsidRDefault="00F00E3D" w:rsidP="009B2FA7">
      <w:pPr>
        <w:spacing w:after="0" w:line="276" w:lineRule="auto"/>
        <w:rPr>
          <w:rFonts w:asciiTheme="majorHAnsi" w:eastAsia="Times New Roman" w:hAnsiTheme="majorHAnsi" w:cstheme="majorHAnsi"/>
          <w:sz w:val="16"/>
          <w:szCs w:val="16"/>
          <w:lang w:eastAsia="en-GB"/>
        </w:rPr>
      </w:pPr>
    </w:p>
    <w:p w14:paraId="5AB9AB51" w14:textId="77777777" w:rsidR="00F00E3D" w:rsidRPr="00B24411" w:rsidRDefault="00F00E3D" w:rsidP="009B2FA7">
      <w:pPr>
        <w:spacing w:after="0" w:line="276" w:lineRule="auto"/>
        <w:rPr>
          <w:rFonts w:asciiTheme="majorHAnsi" w:eastAsia="Times New Roman" w:hAnsiTheme="majorHAnsi" w:cstheme="majorHAnsi"/>
          <w:sz w:val="23"/>
          <w:szCs w:val="23"/>
          <w:lang w:eastAsia="en-GB"/>
        </w:rPr>
      </w:pPr>
      <w:r w:rsidRPr="00B24411">
        <w:rPr>
          <w:rFonts w:asciiTheme="majorHAnsi" w:eastAsia="Times New Roman" w:hAnsiTheme="majorHAnsi" w:cstheme="majorHAnsi"/>
          <w:sz w:val="23"/>
          <w:szCs w:val="23"/>
          <w:lang w:eastAsia="en-GB"/>
        </w:rPr>
        <w:t xml:space="preserve">While most studies claimed positive community impacts, one cautioned that “if community gardens and local food initiatives are to succeed, organizers should align their programs with the desires of neighborhood residents and educate them about a wide range of potential benefits of gardening to both individuals and neighborhoods” </w:t>
      </w:r>
      <w:r>
        <w:rPr>
          <w:rFonts w:asciiTheme="majorHAnsi" w:eastAsia="Times New Roman" w:hAnsiTheme="majorHAnsi" w:cstheme="majorHAnsi"/>
          <w:noProof/>
          <w:sz w:val="23"/>
          <w:szCs w:val="23"/>
          <w:lang w:eastAsia="en-GB"/>
        </w:rPr>
        <w:t>(Bleasdale et al., 2010, p. 99)</w:t>
      </w:r>
      <w:r>
        <w:rPr>
          <w:rFonts w:asciiTheme="majorHAnsi" w:eastAsia="Times New Roman" w:hAnsiTheme="majorHAnsi" w:cstheme="majorHAnsi"/>
          <w:sz w:val="23"/>
          <w:szCs w:val="23"/>
          <w:lang w:eastAsia="en-GB"/>
        </w:rPr>
        <w:t>.</w:t>
      </w:r>
    </w:p>
    <w:p w14:paraId="1FEE2F39" w14:textId="77777777" w:rsidR="00F00E3D" w:rsidRPr="00DB3E80" w:rsidRDefault="00F00E3D" w:rsidP="009B2FA7">
      <w:pPr>
        <w:spacing w:after="0" w:line="276" w:lineRule="auto"/>
        <w:rPr>
          <w:rFonts w:asciiTheme="majorHAnsi" w:eastAsia="Times New Roman" w:hAnsiTheme="majorHAnsi" w:cstheme="majorHAnsi"/>
          <w:sz w:val="16"/>
          <w:szCs w:val="16"/>
          <w:lang w:eastAsia="en-GB"/>
        </w:rPr>
      </w:pPr>
    </w:p>
    <w:p w14:paraId="0F966DA9" w14:textId="77777777" w:rsidR="00F00E3D" w:rsidRPr="00282875" w:rsidRDefault="00F00E3D" w:rsidP="009B2FA7">
      <w:pPr>
        <w:spacing w:after="0" w:line="276" w:lineRule="auto"/>
        <w:rPr>
          <w:rFonts w:eastAsia="Times New Roman" w:cstheme="minorHAnsi"/>
          <w:b/>
          <w:bCs/>
          <w:sz w:val="24"/>
          <w:szCs w:val="24"/>
          <w:lang w:eastAsia="en-GB"/>
        </w:rPr>
      </w:pPr>
      <w:r w:rsidRPr="00282875">
        <w:rPr>
          <w:rFonts w:eastAsia="Times New Roman" w:cstheme="minorHAnsi"/>
          <w:b/>
          <w:bCs/>
          <w:sz w:val="24"/>
          <w:szCs w:val="24"/>
          <w:lang w:eastAsia="en-GB"/>
        </w:rPr>
        <w:t>Mixed-Income Development Initiatives</w:t>
      </w:r>
    </w:p>
    <w:p w14:paraId="18F9989B" w14:textId="77777777" w:rsidR="00F00E3D" w:rsidRPr="00DB3E80" w:rsidRDefault="00F00E3D" w:rsidP="009B2FA7">
      <w:pPr>
        <w:spacing w:after="0" w:line="276" w:lineRule="auto"/>
        <w:rPr>
          <w:rFonts w:asciiTheme="majorHAnsi" w:eastAsia="Times New Roman" w:hAnsiTheme="majorHAnsi" w:cstheme="majorHAnsi"/>
          <w:sz w:val="16"/>
          <w:szCs w:val="16"/>
          <w:lang w:eastAsia="en-GB"/>
        </w:rPr>
      </w:pPr>
    </w:p>
    <w:p w14:paraId="3A602C3B" w14:textId="4A00ADF6" w:rsidR="00F00E3D" w:rsidRPr="00DB3E80" w:rsidRDefault="00F00E3D" w:rsidP="009B2FA7">
      <w:pPr>
        <w:spacing w:after="0" w:line="276" w:lineRule="auto"/>
        <w:rPr>
          <w:rFonts w:asciiTheme="majorHAnsi" w:eastAsia="Times New Roman" w:hAnsiTheme="majorHAnsi" w:cstheme="majorHAnsi"/>
          <w:sz w:val="23"/>
          <w:szCs w:val="23"/>
          <w:lang w:eastAsia="en-GB"/>
        </w:rPr>
      </w:pPr>
      <w:r w:rsidRPr="00DB3E80">
        <w:rPr>
          <w:rFonts w:asciiTheme="majorHAnsi" w:eastAsia="Times New Roman" w:hAnsiTheme="majorHAnsi" w:cstheme="majorHAnsi"/>
          <w:sz w:val="23"/>
          <w:szCs w:val="23"/>
          <w:lang w:eastAsia="en-GB"/>
        </w:rPr>
        <w:t xml:space="preserve">Mixed-income development </w:t>
      </w:r>
      <w:r>
        <w:rPr>
          <w:rFonts w:asciiTheme="majorHAnsi" w:eastAsia="Times New Roman" w:hAnsiTheme="majorHAnsi" w:cstheme="majorHAnsi"/>
          <w:sz w:val="23"/>
          <w:szCs w:val="23"/>
          <w:lang w:eastAsia="en-GB"/>
        </w:rPr>
        <w:t>refers to</w:t>
      </w:r>
      <w:r w:rsidRPr="00DB3E80">
        <w:rPr>
          <w:rFonts w:asciiTheme="majorHAnsi" w:eastAsia="Times New Roman" w:hAnsiTheme="majorHAnsi" w:cstheme="majorHAnsi"/>
          <w:sz w:val="23"/>
          <w:szCs w:val="23"/>
          <w:lang w:eastAsia="en-GB"/>
        </w:rPr>
        <w:t xml:space="preserve"> “the construction of housing developments with a mix of subsidized and market-rate homes and apartments” </w:t>
      </w:r>
      <w:r>
        <w:rPr>
          <w:rFonts w:asciiTheme="majorHAnsi" w:eastAsia="Times New Roman" w:hAnsiTheme="majorHAnsi" w:cstheme="majorHAnsi"/>
          <w:noProof/>
          <w:sz w:val="23"/>
          <w:szCs w:val="23"/>
          <w:lang w:eastAsia="en-GB"/>
        </w:rPr>
        <w:t>(Chaskin &amp; Joseph, 2010, p. 299)</w:t>
      </w:r>
      <w:r w:rsidRPr="00DB3E80">
        <w:rPr>
          <w:rFonts w:asciiTheme="majorHAnsi" w:eastAsia="Times New Roman" w:hAnsiTheme="majorHAnsi" w:cstheme="majorHAnsi"/>
          <w:sz w:val="23"/>
          <w:szCs w:val="23"/>
          <w:lang w:eastAsia="en-GB"/>
        </w:rPr>
        <w:t xml:space="preserve">. It is a strategy for deconcentrating urban poverty that </w:t>
      </w:r>
      <w:r w:rsidR="0033580B">
        <w:rPr>
          <w:rFonts w:asciiTheme="majorHAnsi" w:eastAsia="Times New Roman" w:hAnsiTheme="majorHAnsi" w:cstheme="majorHAnsi"/>
          <w:sz w:val="23"/>
          <w:szCs w:val="23"/>
          <w:lang w:eastAsia="en-GB"/>
        </w:rPr>
        <w:t>usually</w:t>
      </w:r>
      <w:r w:rsidRPr="00DB3E80">
        <w:rPr>
          <w:rFonts w:asciiTheme="majorHAnsi" w:eastAsia="Times New Roman" w:hAnsiTheme="majorHAnsi" w:cstheme="majorHAnsi"/>
          <w:sz w:val="23"/>
          <w:szCs w:val="23"/>
          <w:lang w:eastAsia="en-GB"/>
        </w:rPr>
        <w:t xml:space="preserve"> entails replacing high- or medium-density public housing. Chaskin and Joseph explain that</w:t>
      </w:r>
      <w:r>
        <w:rPr>
          <w:rFonts w:asciiTheme="majorHAnsi" w:eastAsia="Times New Roman" w:hAnsiTheme="majorHAnsi" w:cstheme="majorHAnsi"/>
          <w:sz w:val="23"/>
          <w:szCs w:val="23"/>
          <w:lang w:eastAsia="en-GB"/>
        </w:rPr>
        <w:t xml:space="preserve"> the</w:t>
      </w:r>
      <w:r w:rsidRPr="00DB3E80">
        <w:rPr>
          <w:rFonts w:asciiTheme="majorHAnsi" w:eastAsia="Times New Roman" w:hAnsiTheme="majorHAnsi" w:cstheme="majorHAnsi"/>
          <w:sz w:val="23"/>
          <w:szCs w:val="23"/>
          <w:lang w:eastAsia="en-GB"/>
        </w:rPr>
        <w:t xml:space="preserve"> mixed-income</w:t>
      </w:r>
      <w:r>
        <w:rPr>
          <w:rFonts w:asciiTheme="majorHAnsi" w:eastAsia="Times New Roman" w:hAnsiTheme="majorHAnsi" w:cstheme="majorHAnsi"/>
          <w:sz w:val="23"/>
          <w:szCs w:val="23"/>
          <w:lang w:eastAsia="en-GB"/>
        </w:rPr>
        <w:t xml:space="preserve"> approach</w:t>
      </w:r>
      <w:r w:rsidRPr="00DB3E80">
        <w:rPr>
          <w:rFonts w:asciiTheme="majorHAnsi" w:eastAsia="Times New Roman" w:hAnsiTheme="majorHAnsi" w:cstheme="majorHAnsi"/>
          <w:sz w:val="23"/>
          <w:szCs w:val="23"/>
          <w:lang w:eastAsia="en-GB"/>
        </w:rPr>
        <w:t xml:space="preserve"> is a redevelopment strategy that is:</w:t>
      </w:r>
    </w:p>
    <w:p w14:paraId="168D9692" w14:textId="77777777" w:rsidR="00F00E3D" w:rsidRPr="00733DC5" w:rsidRDefault="00F00E3D" w:rsidP="009B2FA7">
      <w:pPr>
        <w:spacing w:after="0" w:line="276" w:lineRule="auto"/>
        <w:rPr>
          <w:rFonts w:asciiTheme="majorHAnsi" w:eastAsia="Times New Roman" w:hAnsiTheme="majorHAnsi" w:cstheme="majorHAnsi"/>
          <w:sz w:val="16"/>
          <w:szCs w:val="16"/>
          <w:lang w:eastAsia="en-GB"/>
        </w:rPr>
      </w:pPr>
    </w:p>
    <w:p w14:paraId="50D62F49" w14:textId="77777777" w:rsidR="00F00E3D" w:rsidRPr="00DB3E80" w:rsidRDefault="00F00E3D" w:rsidP="009B2FA7">
      <w:pPr>
        <w:spacing w:after="0" w:line="276" w:lineRule="auto"/>
        <w:ind w:left="720"/>
        <w:rPr>
          <w:rFonts w:asciiTheme="majorHAnsi" w:eastAsia="Times New Roman" w:hAnsiTheme="majorHAnsi" w:cstheme="majorHAnsi"/>
          <w:sz w:val="23"/>
          <w:szCs w:val="23"/>
          <w:lang w:eastAsia="en-GB"/>
        </w:rPr>
      </w:pPr>
      <w:r w:rsidRPr="00DB3E80">
        <w:rPr>
          <w:rFonts w:asciiTheme="majorHAnsi" w:eastAsia="Times New Roman" w:hAnsiTheme="majorHAnsi" w:cstheme="majorHAnsi"/>
          <w:sz w:val="23"/>
          <w:szCs w:val="23"/>
          <w:lang w:eastAsia="en-GB"/>
        </w:rPr>
        <w:t xml:space="preserve">fundamentally about transforming urban neighborhoods formerly characterized by high levels of deprivation, isolation, and the concentration of social problems—poverty, crime, deteriorating housing, poor services, weak institutional infrastructures—into safer, more sustainable, better-functioning neighborhoods that are meant to provide access to a better quality of life for low-income families and the opportunity for people with a variety of levels of income and wealth to benefit from living there </w:t>
      </w:r>
      <w:r>
        <w:rPr>
          <w:rFonts w:asciiTheme="majorHAnsi" w:eastAsia="Times New Roman" w:hAnsiTheme="majorHAnsi" w:cstheme="majorHAnsi"/>
          <w:noProof/>
          <w:sz w:val="23"/>
          <w:szCs w:val="23"/>
          <w:lang w:eastAsia="en-GB"/>
        </w:rPr>
        <w:t>(2010, p. 300)</w:t>
      </w:r>
      <w:r w:rsidRPr="00DB3E80">
        <w:rPr>
          <w:rFonts w:asciiTheme="majorHAnsi" w:eastAsia="Times New Roman" w:hAnsiTheme="majorHAnsi" w:cstheme="majorHAnsi"/>
          <w:sz w:val="23"/>
          <w:szCs w:val="23"/>
          <w:lang w:eastAsia="en-GB"/>
        </w:rPr>
        <w:t>.</w:t>
      </w:r>
    </w:p>
    <w:p w14:paraId="43E0F1F7" w14:textId="77777777" w:rsidR="00F00E3D" w:rsidRPr="00733DC5" w:rsidRDefault="00F00E3D" w:rsidP="009B2FA7">
      <w:pPr>
        <w:spacing w:after="0" w:line="276" w:lineRule="auto"/>
        <w:rPr>
          <w:rFonts w:asciiTheme="majorHAnsi" w:eastAsia="Times New Roman" w:hAnsiTheme="majorHAnsi" w:cstheme="majorHAnsi"/>
          <w:sz w:val="16"/>
          <w:szCs w:val="16"/>
          <w:lang w:eastAsia="en-GB"/>
        </w:rPr>
      </w:pPr>
    </w:p>
    <w:p w14:paraId="27AF6088" w14:textId="77777777" w:rsidR="00F00E3D" w:rsidRPr="00DB3E80" w:rsidRDefault="00F00E3D" w:rsidP="009B2FA7">
      <w:p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The</w:t>
      </w:r>
      <w:r w:rsidRPr="00DB3E80">
        <w:rPr>
          <w:rFonts w:asciiTheme="majorHAnsi" w:eastAsia="Times New Roman" w:hAnsiTheme="majorHAnsi" w:cstheme="majorHAnsi"/>
          <w:sz w:val="23"/>
          <w:szCs w:val="23"/>
          <w:lang w:eastAsia="en-GB"/>
        </w:rPr>
        <w:t xml:space="preserve"> goals</w:t>
      </w:r>
      <w:r>
        <w:rPr>
          <w:rFonts w:asciiTheme="majorHAnsi" w:eastAsia="Times New Roman" w:hAnsiTheme="majorHAnsi" w:cstheme="majorHAnsi"/>
          <w:sz w:val="23"/>
          <w:szCs w:val="23"/>
          <w:lang w:eastAsia="en-GB"/>
        </w:rPr>
        <w:t xml:space="preserve"> of mixed-income developments</w:t>
      </w:r>
      <w:r w:rsidRPr="00DB3E80">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have been</w:t>
      </w:r>
      <w:r w:rsidRPr="00DB3E80">
        <w:rPr>
          <w:rFonts w:asciiTheme="majorHAnsi" w:eastAsia="Times New Roman" w:hAnsiTheme="majorHAnsi" w:cstheme="majorHAnsi"/>
          <w:sz w:val="23"/>
          <w:szCs w:val="23"/>
          <w:lang w:eastAsia="en-GB"/>
        </w:rPr>
        <w:t xml:space="preserve"> described in community terms as shaping “environments, opportunities, and social arrangements that promote healthy neighborhood life, particularly for the low-income people who live there” </w:t>
      </w:r>
      <w:r>
        <w:rPr>
          <w:rFonts w:asciiTheme="majorHAnsi" w:eastAsia="Times New Roman" w:hAnsiTheme="majorHAnsi" w:cstheme="majorHAnsi"/>
          <w:noProof/>
          <w:sz w:val="23"/>
          <w:szCs w:val="23"/>
          <w:lang w:eastAsia="en-GB"/>
        </w:rPr>
        <w:t>(Chaskin &amp; Joseph, 2010, p. 299)</w:t>
      </w:r>
      <w:r w:rsidRPr="00DB3E80">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Other researchers claim</w:t>
      </w:r>
      <w:r w:rsidRPr="00DB3E80">
        <w:rPr>
          <w:rFonts w:asciiTheme="majorHAnsi" w:eastAsia="Times New Roman" w:hAnsiTheme="majorHAnsi" w:cstheme="majorHAnsi"/>
          <w:sz w:val="23"/>
          <w:szCs w:val="23"/>
          <w:lang w:eastAsia="en-GB"/>
        </w:rPr>
        <w:t xml:space="preserve"> that mixed-income development allows people of various backgrounds to “cooperatively interact to provide greater opportunities for economic and social advancement” </w:t>
      </w:r>
      <w:r>
        <w:rPr>
          <w:rFonts w:asciiTheme="majorHAnsi" w:eastAsia="Times New Roman" w:hAnsiTheme="majorHAnsi" w:cstheme="majorHAnsi"/>
          <w:noProof/>
          <w:sz w:val="23"/>
          <w:szCs w:val="23"/>
          <w:lang w:eastAsia="en-GB"/>
        </w:rPr>
        <w:t>(Hyra, 2013, p. 128)</w:t>
      </w:r>
      <w:r w:rsidRPr="00DB3E80">
        <w:rPr>
          <w:rFonts w:asciiTheme="majorHAnsi" w:eastAsia="Times New Roman" w:hAnsiTheme="majorHAnsi" w:cstheme="majorHAnsi"/>
          <w:sz w:val="23"/>
          <w:szCs w:val="23"/>
          <w:lang w:eastAsia="en-GB"/>
        </w:rPr>
        <w:t>.</w:t>
      </w:r>
    </w:p>
    <w:p w14:paraId="0E17060B" w14:textId="77777777" w:rsidR="00F00E3D" w:rsidRPr="00733DC5" w:rsidRDefault="00F00E3D" w:rsidP="009B2FA7">
      <w:pPr>
        <w:spacing w:after="0" w:line="276" w:lineRule="auto"/>
        <w:rPr>
          <w:rFonts w:asciiTheme="majorHAnsi" w:eastAsia="Times New Roman" w:hAnsiTheme="majorHAnsi" w:cstheme="majorHAnsi"/>
          <w:sz w:val="16"/>
          <w:szCs w:val="16"/>
          <w:lang w:eastAsia="en-GB"/>
        </w:rPr>
      </w:pPr>
    </w:p>
    <w:p w14:paraId="244F9629" w14:textId="3C2F4A15" w:rsidR="00F00E3D" w:rsidRPr="00DB3E80" w:rsidRDefault="00F00E3D" w:rsidP="009B2FA7">
      <w:pPr>
        <w:spacing w:after="0" w:line="276" w:lineRule="auto"/>
        <w:rPr>
          <w:rFonts w:asciiTheme="majorHAnsi" w:eastAsia="Times New Roman" w:hAnsiTheme="majorHAnsi" w:cstheme="majorBidi"/>
          <w:sz w:val="23"/>
          <w:szCs w:val="23"/>
          <w:lang w:eastAsia="en-GB"/>
        </w:rPr>
      </w:pPr>
      <w:r w:rsidRPr="00DB3E80">
        <w:rPr>
          <w:rFonts w:asciiTheme="majorHAnsi" w:eastAsia="Times New Roman" w:hAnsiTheme="majorHAnsi" w:cstheme="majorBidi"/>
          <w:sz w:val="23"/>
          <w:szCs w:val="23"/>
          <w:lang w:eastAsia="en-GB"/>
        </w:rPr>
        <w:t xml:space="preserve">Mixed-income development is the specific focus of ten articles in our sample. Five are from the US, one considers the implications for policy and planning in the US and UK </w:t>
      </w:r>
      <w:r w:rsidRPr="00DB3E80">
        <w:rPr>
          <w:rFonts w:asciiTheme="majorHAnsi" w:eastAsia="Times New Roman" w:hAnsiTheme="majorHAnsi" w:cstheme="majorBidi"/>
          <w:noProof/>
          <w:sz w:val="23"/>
          <w:szCs w:val="23"/>
          <w:lang w:eastAsia="en-GB"/>
        </w:rPr>
        <w:t>(Galster, 2013)</w:t>
      </w:r>
      <w:r w:rsidRPr="00DB3E80">
        <w:rPr>
          <w:rFonts w:asciiTheme="majorHAnsi" w:eastAsia="Times New Roman" w:hAnsiTheme="majorHAnsi" w:cstheme="majorBidi"/>
          <w:sz w:val="23"/>
          <w:szCs w:val="23"/>
          <w:lang w:eastAsia="en-GB"/>
        </w:rPr>
        <w:t xml:space="preserve">, one is Canadian </w:t>
      </w:r>
      <w:r w:rsidRPr="00DB3E80">
        <w:rPr>
          <w:rFonts w:asciiTheme="majorHAnsi" w:eastAsia="Times New Roman" w:hAnsiTheme="majorHAnsi" w:cstheme="majorBidi"/>
          <w:noProof/>
          <w:sz w:val="23"/>
          <w:szCs w:val="23"/>
          <w:lang w:eastAsia="en-GB"/>
        </w:rPr>
        <w:t>(Brail &amp; Kumar, 2017)</w:t>
      </w:r>
      <w:r w:rsidRPr="00DB3E80">
        <w:rPr>
          <w:rFonts w:asciiTheme="majorHAnsi" w:eastAsia="Times New Roman" w:hAnsiTheme="majorHAnsi" w:cstheme="majorBidi"/>
          <w:sz w:val="23"/>
          <w:szCs w:val="23"/>
          <w:lang w:eastAsia="en-GB"/>
        </w:rPr>
        <w:t>, and one Australian study questions the need for social mix through an examination of age, ethnic and educational homogeneity/heterogeneity</w:t>
      </w:r>
      <w:r>
        <w:rPr>
          <w:rFonts w:asciiTheme="majorHAnsi" w:eastAsia="Times New Roman" w:hAnsiTheme="majorHAnsi" w:cstheme="majorBidi"/>
          <w:sz w:val="23"/>
          <w:szCs w:val="23"/>
          <w:lang w:eastAsia="en-GB"/>
        </w:rPr>
        <w:t>,</w:t>
      </w:r>
      <w:r w:rsidRPr="00DB3E80">
        <w:rPr>
          <w:rFonts w:asciiTheme="majorHAnsi" w:eastAsia="Times New Roman" w:hAnsiTheme="majorHAnsi" w:cstheme="majorBidi"/>
          <w:sz w:val="23"/>
          <w:szCs w:val="23"/>
          <w:lang w:eastAsia="en-GB"/>
        </w:rPr>
        <w:t xml:space="preserve"> and informal support </w:t>
      </w:r>
      <w:r w:rsidRPr="00DB3E80">
        <w:rPr>
          <w:rFonts w:asciiTheme="majorHAnsi" w:eastAsia="Times New Roman" w:hAnsiTheme="majorHAnsi" w:cstheme="majorBidi"/>
          <w:noProof/>
          <w:sz w:val="23"/>
          <w:szCs w:val="23"/>
          <w:lang w:eastAsia="en-GB"/>
        </w:rPr>
        <w:t>(Patulny &amp; Morris, 2012)</w:t>
      </w:r>
      <w:r w:rsidRPr="00DB3E80">
        <w:rPr>
          <w:rFonts w:asciiTheme="majorHAnsi" w:eastAsia="Times New Roman" w:hAnsiTheme="majorHAnsi" w:cstheme="majorBidi"/>
          <w:sz w:val="23"/>
          <w:szCs w:val="23"/>
          <w:lang w:eastAsia="en-GB"/>
        </w:rPr>
        <w:t>. Two are non-context specific, one reporting on a symposium that unpacks the mechanisms by which mixed-income housing potentially produces favourable outcomes for neighbourhoods, particular</w:t>
      </w:r>
      <w:r>
        <w:rPr>
          <w:rFonts w:asciiTheme="majorHAnsi" w:eastAsia="Times New Roman" w:hAnsiTheme="majorHAnsi" w:cstheme="majorBidi"/>
          <w:sz w:val="23"/>
          <w:szCs w:val="23"/>
          <w:lang w:eastAsia="en-GB"/>
        </w:rPr>
        <w:t>ly</w:t>
      </w:r>
      <w:r w:rsidRPr="00DB3E80">
        <w:rPr>
          <w:rFonts w:asciiTheme="majorHAnsi" w:eastAsia="Times New Roman" w:hAnsiTheme="majorHAnsi" w:cstheme="majorBidi"/>
          <w:sz w:val="23"/>
          <w:szCs w:val="23"/>
          <w:lang w:eastAsia="en-GB"/>
        </w:rPr>
        <w:t xml:space="preserve"> low-income residents </w:t>
      </w:r>
      <w:r w:rsidRPr="00DB3E80">
        <w:rPr>
          <w:rFonts w:asciiTheme="majorHAnsi" w:eastAsia="Times New Roman" w:hAnsiTheme="majorHAnsi" w:cstheme="majorBidi"/>
          <w:noProof/>
          <w:sz w:val="23"/>
          <w:szCs w:val="23"/>
          <w:lang w:eastAsia="en-GB"/>
        </w:rPr>
        <w:t>(Hyra, 2013)</w:t>
      </w:r>
      <w:r>
        <w:rPr>
          <w:rFonts w:asciiTheme="majorHAnsi" w:eastAsia="Times New Roman" w:hAnsiTheme="majorHAnsi" w:cstheme="majorBidi"/>
          <w:sz w:val="23"/>
          <w:szCs w:val="23"/>
          <w:lang w:eastAsia="en-GB"/>
        </w:rPr>
        <w:t>;</w:t>
      </w:r>
      <w:r w:rsidRPr="00DB3E80">
        <w:rPr>
          <w:rFonts w:asciiTheme="majorHAnsi" w:eastAsia="Times New Roman" w:hAnsiTheme="majorHAnsi" w:cstheme="majorBidi"/>
          <w:sz w:val="23"/>
          <w:szCs w:val="23"/>
          <w:lang w:eastAsia="en-GB"/>
        </w:rPr>
        <w:t xml:space="preserve"> the other</w:t>
      </w:r>
      <w:r>
        <w:rPr>
          <w:rFonts w:asciiTheme="majorHAnsi" w:eastAsia="Times New Roman" w:hAnsiTheme="majorHAnsi" w:cstheme="majorBidi"/>
          <w:sz w:val="23"/>
          <w:szCs w:val="23"/>
          <w:lang w:eastAsia="en-GB"/>
        </w:rPr>
        <w:t xml:space="preserve"> is</w:t>
      </w:r>
      <w:r w:rsidRPr="00DB3E80">
        <w:rPr>
          <w:rFonts w:asciiTheme="majorHAnsi" w:eastAsia="Times New Roman" w:hAnsiTheme="majorHAnsi" w:cstheme="majorBidi"/>
          <w:sz w:val="23"/>
          <w:szCs w:val="23"/>
          <w:lang w:eastAsia="en-GB"/>
        </w:rPr>
        <w:t xml:space="preserve"> a systematic review of the effects of mixed-income neighbourhoods on social wellbeing </w:t>
      </w:r>
      <w:r>
        <w:rPr>
          <w:rFonts w:asciiTheme="majorHAnsi" w:eastAsia="Times New Roman" w:hAnsiTheme="majorHAnsi" w:cstheme="majorBidi"/>
          <w:noProof/>
          <w:sz w:val="23"/>
          <w:szCs w:val="23"/>
          <w:lang w:eastAsia="en-GB"/>
        </w:rPr>
        <w:t>(Thurber</w:t>
      </w:r>
      <w:r w:rsidR="009409DD">
        <w:rPr>
          <w:rFonts w:asciiTheme="majorHAnsi" w:eastAsia="Times New Roman" w:hAnsiTheme="majorHAnsi" w:cstheme="majorBidi"/>
          <w:noProof/>
          <w:sz w:val="23"/>
          <w:szCs w:val="23"/>
          <w:lang w:eastAsia="en-GB"/>
        </w:rPr>
        <w:t xml:space="preserve"> et al.</w:t>
      </w:r>
      <w:r>
        <w:rPr>
          <w:rFonts w:asciiTheme="majorHAnsi" w:eastAsia="Times New Roman" w:hAnsiTheme="majorHAnsi" w:cstheme="majorBidi"/>
          <w:noProof/>
          <w:sz w:val="23"/>
          <w:szCs w:val="23"/>
          <w:lang w:eastAsia="en-GB"/>
        </w:rPr>
        <w:t>, 2018)</w:t>
      </w:r>
      <w:r w:rsidRPr="00DB3E80">
        <w:rPr>
          <w:rFonts w:asciiTheme="majorHAnsi" w:eastAsia="Times New Roman" w:hAnsiTheme="majorHAnsi" w:cstheme="majorBidi"/>
          <w:sz w:val="23"/>
          <w:szCs w:val="23"/>
          <w:lang w:eastAsia="en-GB"/>
        </w:rPr>
        <w:t>.</w:t>
      </w:r>
    </w:p>
    <w:p w14:paraId="1C406549" w14:textId="77777777" w:rsidR="00F00E3D" w:rsidRPr="00891E17" w:rsidRDefault="00F00E3D" w:rsidP="009B2FA7">
      <w:pPr>
        <w:spacing w:after="0" w:line="276" w:lineRule="auto"/>
        <w:rPr>
          <w:rFonts w:asciiTheme="majorHAnsi" w:eastAsia="Times New Roman" w:hAnsiTheme="majorHAnsi" w:cstheme="majorHAnsi"/>
          <w:sz w:val="16"/>
          <w:szCs w:val="16"/>
          <w:lang w:eastAsia="en-GB"/>
        </w:rPr>
      </w:pPr>
    </w:p>
    <w:p w14:paraId="6D7A5272" w14:textId="5F5080FD" w:rsidR="00F00E3D" w:rsidRDefault="00F00E3D" w:rsidP="009B2FA7">
      <w:pPr>
        <w:spacing w:after="0" w:line="276" w:lineRule="auto"/>
        <w:rPr>
          <w:rFonts w:asciiTheme="majorHAnsi" w:eastAsia="Times New Roman" w:hAnsiTheme="majorHAnsi" w:cstheme="majorBidi"/>
          <w:sz w:val="23"/>
          <w:szCs w:val="23"/>
          <w:lang w:eastAsia="en-GB"/>
        </w:rPr>
      </w:pPr>
      <w:r w:rsidRPr="00891E17">
        <w:rPr>
          <w:rFonts w:asciiTheme="majorHAnsi" w:eastAsia="Times New Roman" w:hAnsiTheme="majorHAnsi" w:cstheme="majorBidi"/>
          <w:sz w:val="23"/>
          <w:szCs w:val="23"/>
          <w:lang w:eastAsia="en-GB"/>
        </w:rPr>
        <w:t xml:space="preserve">Mixed-income development is a controversial topic, largely because of its prevalence in recent global policy and practice, but principally because of the highly contested efficacy of its impacts. Seven of the studies include some form of evaluation. </w:t>
      </w:r>
      <w:r>
        <w:rPr>
          <w:rFonts w:asciiTheme="majorHAnsi" w:eastAsia="Times New Roman" w:hAnsiTheme="majorHAnsi" w:cstheme="majorBidi"/>
          <w:sz w:val="23"/>
          <w:szCs w:val="23"/>
          <w:lang w:eastAsia="en-GB"/>
        </w:rPr>
        <w:t>Some</w:t>
      </w:r>
      <w:r w:rsidRPr="00891E17">
        <w:rPr>
          <w:rFonts w:asciiTheme="majorHAnsi" w:eastAsia="Times New Roman" w:hAnsiTheme="majorHAnsi" w:cstheme="majorBidi"/>
          <w:sz w:val="23"/>
          <w:szCs w:val="23"/>
          <w:lang w:eastAsia="en-GB"/>
        </w:rPr>
        <w:t xml:space="preserve"> key findings</w:t>
      </w:r>
      <w:r>
        <w:rPr>
          <w:rFonts w:asciiTheme="majorHAnsi" w:eastAsia="Times New Roman" w:hAnsiTheme="majorHAnsi" w:cstheme="majorBidi"/>
          <w:sz w:val="23"/>
          <w:szCs w:val="23"/>
          <w:lang w:eastAsia="en-GB"/>
        </w:rPr>
        <w:t xml:space="preserve"> follow</w:t>
      </w:r>
      <w:r w:rsidRPr="00891E17">
        <w:rPr>
          <w:rFonts w:asciiTheme="majorHAnsi" w:eastAsia="Times New Roman" w:hAnsiTheme="majorHAnsi" w:cstheme="majorBidi"/>
          <w:sz w:val="23"/>
          <w:szCs w:val="23"/>
          <w:lang w:eastAsia="en-GB"/>
        </w:rPr>
        <w:t>:</w:t>
      </w:r>
    </w:p>
    <w:p w14:paraId="2E7149E5" w14:textId="77777777" w:rsidR="00EC5BB7" w:rsidRPr="00EC5BB7" w:rsidRDefault="00EC5BB7" w:rsidP="009B2FA7">
      <w:pPr>
        <w:spacing w:after="0" w:line="276" w:lineRule="auto"/>
        <w:rPr>
          <w:rFonts w:asciiTheme="majorHAnsi" w:eastAsia="Times New Roman" w:hAnsiTheme="majorHAnsi" w:cstheme="majorBidi"/>
          <w:sz w:val="16"/>
          <w:szCs w:val="16"/>
          <w:lang w:eastAsia="en-GB"/>
        </w:rPr>
      </w:pPr>
    </w:p>
    <w:p w14:paraId="08B9D0B6" w14:textId="77777777" w:rsidR="00F00E3D" w:rsidRPr="00EC5BB7" w:rsidRDefault="00F00E3D" w:rsidP="00364C5D">
      <w:pPr>
        <w:pStyle w:val="ListParagraph"/>
        <w:numPr>
          <w:ilvl w:val="0"/>
          <w:numId w:val="65"/>
        </w:numPr>
        <w:spacing w:after="0" w:line="276" w:lineRule="auto"/>
        <w:rPr>
          <w:rFonts w:asciiTheme="majorHAnsi" w:eastAsia="Times New Roman" w:hAnsiTheme="majorHAnsi" w:cstheme="majorBidi"/>
          <w:sz w:val="23"/>
          <w:szCs w:val="23"/>
          <w:lang w:eastAsia="en-GB"/>
        </w:rPr>
      </w:pPr>
      <w:r w:rsidRPr="00EC5BB7">
        <w:rPr>
          <w:rFonts w:asciiTheme="majorHAnsi" w:eastAsia="Times New Roman" w:hAnsiTheme="majorHAnsi" w:cstheme="majorHAnsi"/>
          <w:sz w:val="23"/>
          <w:szCs w:val="23"/>
          <w:lang w:eastAsia="en-GB"/>
        </w:rPr>
        <w:t xml:space="preserve">HOPE VI developments (a program of the United States Department of Housing and Urban Development intended to revitalise the worst public housing projects in the United States into mixed-income developments) are “described as successful based on physical changes at the site rather than outcomes for public housing residents, who largely do not benefit from these changes” </w:t>
      </w:r>
      <w:r w:rsidRPr="00EC5BB7">
        <w:rPr>
          <w:rFonts w:asciiTheme="majorHAnsi" w:eastAsia="Times New Roman" w:hAnsiTheme="majorHAnsi" w:cstheme="majorHAnsi"/>
          <w:noProof/>
          <w:sz w:val="23"/>
          <w:szCs w:val="23"/>
          <w:lang w:eastAsia="en-GB"/>
        </w:rPr>
        <w:t>(Clark &amp; Negrey, 2017, p. 169)</w:t>
      </w:r>
      <w:r w:rsidRPr="00EC5BB7">
        <w:rPr>
          <w:rFonts w:asciiTheme="majorHAnsi" w:eastAsia="Times New Roman" w:hAnsiTheme="majorHAnsi" w:cstheme="majorHAnsi"/>
          <w:sz w:val="23"/>
          <w:szCs w:val="23"/>
          <w:lang w:eastAsia="en-GB"/>
        </w:rPr>
        <w:t>.</w:t>
      </w:r>
    </w:p>
    <w:p w14:paraId="5B887BCE" w14:textId="77777777" w:rsidR="00F00E3D" w:rsidRPr="00B22F24" w:rsidRDefault="00F00E3D" w:rsidP="00364C5D">
      <w:pPr>
        <w:numPr>
          <w:ilvl w:val="0"/>
          <w:numId w:val="39"/>
        </w:numPr>
        <w:spacing w:after="0" w:line="276" w:lineRule="auto"/>
        <w:contextualSpacing/>
        <w:rPr>
          <w:rFonts w:asciiTheme="majorHAnsi" w:eastAsia="Times New Roman" w:hAnsiTheme="majorHAnsi" w:cstheme="majorBidi"/>
          <w:sz w:val="23"/>
          <w:szCs w:val="23"/>
          <w:lang w:eastAsia="en-GB"/>
        </w:rPr>
      </w:pPr>
      <w:r w:rsidRPr="00B22F24">
        <w:rPr>
          <w:rFonts w:asciiTheme="majorHAnsi" w:eastAsia="Times New Roman" w:hAnsiTheme="majorHAnsi" w:cstheme="majorBidi"/>
          <w:sz w:val="23"/>
          <w:szCs w:val="23"/>
          <w:lang w:eastAsia="en-GB"/>
        </w:rPr>
        <w:t xml:space="preserve">“the improvements associated with mixed-income living have been limited. Low-income populations can be better served by changes to mixed-income development practice </w:t>
      </w:r>
      <w:r w:rsidRPr="00B22F24">
        <w:rPr>
          <w:rFonts w:asciiTheme="majorHAnsi" w:eastAsia="Times New Roman" w:hAnsiTheme="majorHAnsi" w:cstheme="majorBidi"/>
          <w:sz w:val="23"/>
          <w:szCs w:val="23"/>
          <w:lang w:eastAsia="en-GB"/>
        </w:rPr>
        <w:lastRenderedPageBreak/>
        <w:t xml:space="preserve">highlighting the intersection between mixed-income neighborhoods and opportunities around homeownership, social-service provision, and employment and neighborhood life” </w:t>
      </w:r>
      <w:r>
        <w:rPr>
          <w:rFonts w:asciiTheme="majorHAnsi" w:eastAsia="Times New Roman" w:hAnsiTheme="majorHAnsi" w:cstheme="majorBidi"/>
          <w:noProof/>
          <w:sz w:val="23"/>
          <w:szCs w:val="23"/>
          <w:lang w:eastAsia="en-GB"/>
        </w:rPr>
        <w:t>(Fraser, Chaskin, &amp; Bazuin, 2013, p. 83)</w:t>
      </w:r>
      <w:r>
        <w:rPr>
          <w:rFonts w:asciiTheme="majorHAnsi" w:eastAsia="Times New Roman" w:hAnsiTheme="majorHAnsi" w:cstheme="majorBidi"/>
          <w:sz w:val="23"/>
          <w:szCs w:val="23"/>
          <w:lang w:eastAsia="en-GB"/>
        </w:rPr>
        <w:t>.</w:t>
      </w:r>
    </w:p>
    <w:p w14:paraId="1E0275B0" w14:textId="77777777" w:rsidR="00F00E3D" w:rsidRPr="00B22F24" w:rsidRDefault="00F00E3D" w:rsidP="00364C5D">
      <w:pPr>
        <w:numPr>
          <w:ilvl w:val="0"/>
          <w:numId w:val="39"/>
        </w:numPr>
        <w:spacing w:after="0" w:line="276" w:lineRule="auto"/>
        <w:contextualSpacing/>
        <w:rPr>
          <w:rFonts w:asciiTheme="majorHAnsi" w:eastAsia="Times New Roman" w:hAnsiTheme="majorHAnsi" w:cstheme="majorHAnsi"/>
          <w:sz w:val="23"/>
          <w:szCs w:val="23"/>
          <w:lang w:eastAsia="en-GB"/>
        </w:rPr>
      </w:pPr>
      <w:r w:rsidRPr="00B22F24">
        <w:rPr>
          <w:rFonts w:asciiTheme="majorHAnsi" w:eastAsia="Times New Roman" w:hAnsiTheme="majorHAnsi" w:cstheme="majorHAnsi"/>
          <w:sz w:val="23"/>
          <w:szCs w:val="23"/>
          <w:lang w:eastAsia="en-GB"/>
        </w:rPr>
        <w:t xml:space="preserve">“social mix can be beneficial for disadvantaged residents in terms of intra-neighborhood processes, but this appears most likely when the social gulf between groups in the neighborhood is not excessive” </w:t>
      </w:r>
      <w:r>
        <w:rPr>
          <w:rFonts w:asciiTheme="majorHAnsi" w:eastAsia="Times New Roman" w:hAnsiTheme="majorHAnsi" w:cstheme="majorHAnsi"/>
          <w:noProof/>
          <w:sz w:val="23"/>
          <w:szCs w:val="23"/>
          <w:lang w:eastAsia="en-GB"/>
        </w:rPr>
        <w:t>(Galster, 2013, p. 315)</w:t>
      </w:r>
      <w:r>
        <w:rPr>
          <w:rFonts w:asciiTheme="majorHAnsi" w:eastAsia="Times New Roman" w:hAnsiTheme="majorHAnsi" w:cstheme="majorHAnsi"/>
          <w:sz w:val="23"/>
          <w:szCs w:val="23"/>
          <w:lang w:eastAsia="en-GB"/>
        </w:rPr>
        <w:t>.</w:t>
      </w:r>
    </w:p>
    <w:p w14:paraId="5F69B155" w14:textId="77777777" w:rsidR="00F00E3D" w:rsidRPr="00B22F24" w:rsidRDefault="00F00E3D" w:rsidP="00364C5D">
      <w:pPr>
        <w:numPr>
          <w:ilvl w:val="0"/>
          <w:numId w:val="39"/>
        </w:numPr>
        <w:spacing w:after="0" w:line="276" w:lineRule="auto"/>
        <w:contextualSpacing/>
        <w:rPr>
          <w:rFonts w:asciiTheme="majorHAnsi" w:eastAsia="Times New Roman" w:hAnsiTheme="majorHAnsi" w:cstheme="majorHAnsi"/>
          <w:sz w:val="23"/>
          <w:szCs w:val="23"/>
          <w:lang w:eastAsia="en-GB"/>
        </w:rPr>
      </w:pPr>
      <w:r w:rsidRPr="00B22F24">
        <w:rPr>
          <w:rFonts w:asciiTheme="majorHAnsi" w:eastAsia="Times New Roman" w:hAnsiTheme="majorHAnsi" w:cstheme="majorHAnsi"/>
          <w:sz w:val="23"/>
          <w:szCs w:val="23"/>
          <w:lang w:eastAsia="en-GB"/>
        </w:rPr>
        <w:t xml:space="preserve">“Policymakers, scholars, practitioners, activists, and residents should consider several mixed-income policy alternatives to better ensure that people interact in meaningful and constructive ways. Preventing residential, political, and cultural displacement and developing neutral spaces of civic engagement are good places to start to ensure that people of diverse incomes, backgrounds, and experiences prosper in inclusive and equitable urban and suburban living environments” </w:t>
      </w:r>
      <w:r>
        <w:rPr>
          <w:rFonts w:asciiTheme="majorHAnsi" w:eastAsia="Times New Roman" w:hAnsiTheme="majorHAnsi" w:cstheme="majorHAnsi"/>
          <w:noProof/>
          <w:sz w:val="23"/>
          <w:szCs w:val="23"/>
          <w:lang w:eastAsia="en-GB"/>
        </w:rPr>
        <w:t>(Hyra, 2013, p. 128)</w:t>
      </w:r>
      <w:r>
        <w:rPr>
          <w:rFonts w:asciiTheme="majorHAnsi" w:eastAsia="Times New Roman" w:hAnsiTheme="majorHAnsi" w:cstheme="majorHAnsi"/>
          <w:sz w:val="23"/>
          <w:szCs w:val="23"/>
          <w:lang w:eastAsia="en-GB"/>
        </w:rPr>
        <w:t>.</w:t>
      </w:r>
    </w:p>
    <w:p w14:paraId="74C50642" w14:textId="1F54F0C5" w:rsidR="00F00E3D" w:rsidRPr="00B22F24" w:rsidRDefault="00F00E3D" w:rsidP="00364C5D">
      <w:pPr>
        <w:numPr>
          <w:ilvl w:val="0"/>
          <w:numId w:val="39"/>
        </w:numPr>
        <w:spacing w:after="0" w:line="276" w:lineRule="auto"/>
        <w:contextualSpacing/>
        <w:rPr>
          <w:rFonts w:asciiTheme="majorHAnsi" w:eastAsia="Times New Roman" w:hAnsiTheme="majorHAnsi" w:cstheme="majorBidi"/>
          <w:sz w:val="23"/>
          <w:szCs w:val="23"/>
          <w:lang w:eastAsia="en-GB"/>
        </w:rPr>
      </w:pPr>
      <w:r>
        <w:rPr>
          <w:rFonts w:asciiTheme="majorHAnsi" w:eastAsia="Times New Roman" w:hAnsiTheme="majorHAnsi" w:cstheme="majorBidi"/>
          <w:sz w:val="23"/>
          <w:szCs w:val="23"/>
          <w:lang w:eastAsia="en-GB"/>
        </w:rPr>
        <w:t>“</w:t>
      </w:r>
      <w:r w:rsidRPr="00B22F24">
        <w:rPr>
          <w:rFonts w:asciiTheme="majorHAnsi" w:eastAsia="Times New Roman" w:hAnsiTheme="majorHAnsi" w:cstheme="majorBidi"/>
          <w:sz w:val="23"/>
          <w:szCs w:val="23"/>
          <w:lang w:eastAsia="en-GB"/>
        </w:rPr>
        <w:t xml:space="preserve">For relocated public housing residents, there are clear benefits in terms of </w:t>
      </w:r>
      <w:r>
        <w:rPr>
          <w:rFonts w:asciiTheme="majorHAnsi" w:eastAsia="Times New Roman" w:hAnsiTheme="majorHAnsi" w:cstheme="majorBidi"/>
          <w:sz w:val="23"/>
          <w:szCs w:val="23"/>
          <w:lang w:eastAsia="en-GB"/>
        </w:rPr>
        <w:t>‘</w:t>
      </w:r>
      <w:r w:rsidRPr="00B22F24">
        <w:rPr>
          <w:rFonts w:asciiTheme="majorHAnsi" w:eastAsia="Times New Roman" w:hAnsiTheme="majorHAnsi" w:cstheme="majorBidi"/>
          <w:sz w:val="23"/>
          <w:szCs w:val="23"/>
          <w:lang w:eastAsia="en-GB"/>
        </w:rPr>
        <w:t>security</w:t>
      </w:r>
      <w:r>
        <w:rPr>
          <w:rFonts w:asciiTheme="majorHAnsi" w:eastAsia="Times New Roman" w:hAnsiTheme="majorHAnsi" w:cstheme="majorBidi"/>
          <w:sz w:val="23"/>
          <w:szCs w:val="23"/>
          <w:lang w:eastAsia="en-GB"/>
        </w:rPr>
        <w:t>’</w:t>
      </w:r>
      <w:r w:rsidRPr="00B22F24">
        <w:rPr>
          <w:rFonts w:asciiTheme="majorHAnsi" w:eastAsia="Times New Roman" w:hAnsiTheme="majorHAnsi" w:cstheme="majorBidi"/>
          <w:sz w:val="23"/>
          <w:szCs w:val="23"/>
          <w:lang w:eastAsia="en-GB"/>
        </w:rPr>
        <w:t xml:space="preserve">, but their experiences in terms of </w:t>
      </w:r>
      <w:r>
        <w:rPr>
          <w:rFonts w:asciiTheme="majorHAnsi" w:eastAsia="Times New Roman" w:hAnsiTheme="majorHAnsi" w:cstheme="majorBidi"/>
          <w:sz w:val="23"/>
          <w:szCs w:val="23"/>
          <w:lang w:eastAsia="en-GB"/>
        </w:rPr>
        <w:t>‘</w:t>
      </w:r>
      <w:r w:rsidRPr="00B22F24">
        <w:rPr>
          <w:rFonts w:asciiTheme="majorHAnsi" w:eastAsia="Times New Roman" w:hAnsiTheme="majorHAnsi" w:cstheme="majorBidi"/>
          <w:sz w:val="23"/>
          <w:szCs w:val="23"/>
          <w:lang w:eastAsia="en-GB"/>
        </w:rPr>
        <w:t>daily routine</w:t>
      </w:r>
      <w:r>
        <w:rPr>
          <w:rFonts w:asciiTheme="majorHAnsi" w:eastAsia="Times New Roman" w:hAnsiTheme="majorHAnsi" w:cstheme="majorBidi"/>
          <w:sz w:val="23"/>
          <w:szCs w:val="23"/>
          <w:lang w:eastAsia="en-GB"/>
        </w:rPr>
        <w:t>’</w:t>
      </w:r>
      <w:r w:rsidRPr="00B22F24">
        <w:rPr>
          <w:rFonts w:asciiTheme="majorHAnsi" w:eastAsia="Times New Roman" w:hAnsiTheme="majorHAnsi" w:cstheme="majorBidi"/>
          <w:sz w:val="23"/>
          <w:szCs w:val="23"/>
          <w:lang w:eastAsia="en-GB"/>
        </w:rPr>
        <w:t xml:space="preserve">, </w:t>
      </w:r>
      <w:r>
        <w:rPr>
          <w:rFonts w:asciiTheme="majorHAnsi" w:eastAsia="Times New Roman" w:hAnsiTheme="majorHAnsi" w:cstheme="majorBidi"/>
          <w:sz w:val="23"/>
          <w:szCs w:val="23"/>
          <w:lang w:eastAsia="en-GB"/>
        </w:rPr>
        <w:t>‘</w:t>
      </w:r>
      <w:r w:rsidRPr="00B22F24">
        <w:rPr>
          <w:rFonts w:asciiTheme="majorHAnsi" w:eastAsia="Times New Roman" w:hAnsiTheme="majorHAnsi" w:cstheme="majorBidi"/>
          <w:sz w:val="23"/>
          <w:szCs w:val="23"/>
          <w:lang w:eastAsia="en-GB"/>
        </w:rPr>
        <w:t xml:space="preserve">informal support </w:t>
      </w:r>
      <w:proofErr w:type="gramStart"/>
      <w:r w:rsidRPr="00B22F24">
        <w:rPr>
          <w:rFonts w:asciiTheme="majorHAnsi" w:eastAsia="Times New Roman" w:hAnsiTheme="majorHAnsi" w:cstheme="majorBidi"/>
          <w:sz w:val="23"/>
          <w:szCs w:val="23"/>
          <w:lang w:eastAsia="en-GB"/>
        </w:rPr>
        <w:t>networks</w:t>
      </w:r>
      <w:r>
        <w:rPr>
          <w:rFonts w:asciiTheme="majorHAnsi" w:eastAsia="Times New Roman" w:hAnsiTheme="majorHAnsi" w:cstheme="majorBidi"/>
          <w:sz w:val="23"/>
          <w:szCs w:val="23"/>
          <w:lang w:eastAsia="en-GB"/>
        </w:rPr>
        <w:t>’</w:t>
      </w:r>
      <w:proofErr w:type="gramEnd"/>
      <w:r w:rsidRPr="00B22F24">
        <w:rPr>
          <w:rFonts w:asciiTheme="majorHAnsi" w:eastAsia="Times New Roman" w:hAnsiTheme="majorHAnsi" w:cstheme="majorBidi"/>
          <w:sz w:val="23"/>
          <w:szCs w:val="23"/>
          <w:lang w:eastAsia="en-GB"/>
        </w:rPr>
        <w:t xml:space="preserve"> and </w:t>
      </w:r>
      <w:r>
        <w:rPr>
          <w:rFonts w:asciiTheme="majorHAnsi" w:eastAsia="Times New Roman" w:hAnsiTheme="majorHAnsi" w:cstheme="majorBidi"/>
          <w:sz w:val="23"/>
          <w:szCs w:val="23"/>
          <w:lang w:eastAsia="en-GB"/>
        </w:rPr>
        <w:t>‘</w:t>
      </w:r>
      <w:r w:rsidRPr="00B22F24">
        <w:rPr>
          <w:rFonts w:asciiTheme="majorHAnsi" w:eastAsia="Times New Roman" w:hAnsiTheme="majorHAnsi" w:cstheme="majorBidi"/>
          <w:sz w:val="23"/>
          <w:szCs w:val="23"/>
          <w:lang w:eastAsia="en-GB"/>
        </w:rPr>
        <w:t>identity</w:t>
      </w:r>
      <w:r>
        <w:rPr>
          <w:rFonts w:asciiTheme="majorHAnsi" w:eastAsia="Times New Roman" w:hAnsiTheme="majorHAnsi" w:cstheme="majorBidi"/>
          <w:sz w:val="23"/>
          <w:szCs w:val="23"/>
          <w:lang w:eastAsia="en-GB"/>
        </w:rPr>
        <w:t>’</w:t>
      </w:r>
      <w:r w:rsidRPr="00B22F24">
        <w:rPr>
          <w:rFonts w:asciiTheme="majorHAnsi" w:eastAsia="Times New Roman" w:hAnsiTheme="majorHAnsi" w:cstheme="majorBidi"/>
          <w:sz w:val="23"/>
          <w:szCs w:val="23"/>
          <w:lang w:eastAsia="en-GB"/>
        </w:rPr>
        <w:t xml:space="preserve"> were more mixed… </w:t>
      </w:r>
      <w:r>
        <w:rPr>
          <w:rFonts w:asciiTheme="majorHAnsi" w:eastAsia="Times New Roman" w:hAnsiTheme="majorHAnsi" w:cstheme="majorBidi"/>
          <w:sz w:val="23"/>
          <w:szCs w:val="23"/>
          <w:lang w:eastAsia="en-GB"/>
        </w:rPr>
        <w:t>T</w:t>
      </w:r>
      <w:r w:rsidRPr="00B22F24">
        <w:rPr>
          <w:rFonts w:asciiTheme="majorHAnsi" w:eastAsia="Times New Roman" w:hAnsiTheme="majorHAnsi" w:cstheme="majorBidi"/>
          <w:sz w:val="23"/>
          <w:szCs w:val="23"/>
          <w:lang w:eastAsia="en-GB"/>
        </w:rPr>
        <w:t xml:space="preserve">he developments are clearly providing vastly improved physical surroundings </w:t>
      </w:r>
      <w:r>
        <w:rPr>
          <w:rFonts w:asciiTheme="majorHAnsi" w:eastAsia="Times New Roman" w:hAnsiTheme="majorHAnsi" w:cstheme="majorBidi"/>
          <w:sz w:val="23"/>
          <w:szCs w:val="23"/>
          <w:lang w:eastAsia="en-GB"/>
        </w:rPr>
        <w:t>–</w:t>
      </w:r>
      <w:r w:rsidRPr="00B22F24">
        <w:rPr>
          <w:rFonts w:asciiTheme="majorHAnsi" w:eastAsia="Times New Roman" w:hAnsiTheme="majorHAnsi" w:cstheme="majorBidi"/>
          <w:sz w:val="23"/>
          <w:szCs w:val="23"/>
          <w:lang w:eastAsia="en-GB"/>
        </w:rPr>
        <w:t xml:space="preserve"> attractive and well-maintained buildings, more peaceful and stable surroundings </w:t>
      </w:r>
      <w:r>
        <w:rPr>
          <w:rFonts w:asciiTheme="majorHAnsi" w:eastAsia="Times New Roman" w:hAnsiTheme="majorHAnsi" w:cstheme="majorBidi"/>
          <w:sz w:val="23"/>
          <w:szCs w:val="23"/>
          <w:lang w:eastAsia="en-GB"/>
        </w:rPr>
        <w:t>–</w:t>
      </w:r>
      <w:r w:rsidRPr="00B22F24">
        <w:rPr>
          <w:rFonts w:asciiTheme="majorHAnsi" w:eastAsia="Times New Roman" w:hAnsiTheme="majorHAnsi" w:cstheme="majorBidi"/>
          <w:sz w:val="23"/>
          <w:szCs w:val="23"/>
          <w:lang w:eastAsia="en-GB"/>
        </w:rPr>
        <w:t xml:space="preserve"> for the relocated public housing residents who were able to move into them. For many of these residents, the change of atmosphere has been accompanied by a decrease in stress and, for some, an increase in aspirations and motivation to continue to improve the quality of life for themselves and their children. The benefits to their immediate quality of life, however, are not matched by instrumental benefits through relations with the new neighbours” </w:t>
      </w:r>
      <w:r>
        <w:rPr>
          <w:rFonts w:asciiTheme="majorHAnsi" w:eastAsia="Times New Roman" w:hAnsiTheme="majorHAnsi" w:cstheme="majorBidi"/>
          <w:noProof/>
          <w:sz w:val="23"/>
          <w:szCs w:val="23"/>
          <w:lang w:eastAsia="en-GB"/>
        </w:rPr>
        <w:t>(Joseph &amp; Chaskin, 2010, pp. 2361</w:t>
      </w:r>
      <w:r w:rsidR="00747F56">
        <w:rPr>
          <w:rFonts w:asciiTheme="majorHAnsi" w:eastAsia="Times New Roman" w:hAnsiTheme="majorHAnsi" w:cstheme="majorBidi"/>
          <w:noProof/>
          <w:sz w:val="23"/>
          <w:szCs w:val="23"/>
          <w:lang w:eastAsia="en-GB"/>
        </w:rPr>
        <w:t>–</w:t>
      </w:r>
      <w:r>
        <w:rPr>
          <w:rFonts w:asciiTheme="majorHAnsi" w:eastAsia="Times New Roman" w:hAnsiTheme="majorHAnsi" w:cstheme="majorBidi"/>
          <w:noProof/>
          <w:sz w:val="23"/>
          <w:szCs w:val="23"/>
          <w:lang w:eastAsia="en-GB"/>
        </w:rPr>
        <w:t>2362)</w:t>
      </w:r>
      <w:r>
        <w:rPr>
          <w:rFonts w:asciiTheme="majorHAnsi" w:eastAsia="Times New Roman" w:hAnsiTheme="majorHAnsi" w:cstheme="majorBidi"/>
          <w:sz w:val="23"/>
          <w:szCs w:val="23"/>
          <w:lang w:eastAsia="en-GB"/>
        </w:rPr>
        <w:t>.</w:t>
      </w:r>
    </w:p>
    <w:p w14:paraId="458DFFE5" w14:textId="77777777" w:rsidR="00F00E3D" w:rsidRPr="00B22F24" w:rsidRDefault="00F00E3D" w:rsidP="00364C5D">
      <w:pPr>
        <w:numPr>
          <w:ilvl w:val="0"/>
          <w:numId w:val="39"/>
        </w:numPr>
        <w:spacing w:after="0" w:line="276" w:lineRule="auto"/>
        <w:contextualSpacing/>
        <w:rPr>
          <w:rFonts w:asciiTheme="majorHAnsi" w:eastAsia="Times New Roman" w:hAnsiTheme="majorHAnsi" w:cstheme="majorHAnsi"/>
          <w:sz w:val="23"/>
          <w:szCs w:val="23"/>
          <w:lang w:eastAsia="en-GB"/>
        </w:rPr>
      </w:pPr>
      <w:r w:rsidRPr="00B22F24">
        <w:rPr>
          <w:rFonts w:asciiTheme="majorHAnsi" w:eastAsia="Times New Roman" w:hAnsiTheme="majorHAnsi" w:cstheme="majorHAnsi"/>
          <w:sz w:val="23"/>
          <w:szCs w:val="23"/>
          <w:lang w:eastAsia="en-GB"/>
        </w:rPr>
        <w:t>“</w:t>
      </w:r>
      <w:r>
        <w:rPr>
          <w:rFonts w:asciiTheme="majorHAnsi" w:eastAsia="Times New Roman" w:hAnsiTheme="majorHAnsi" w:cstheme="majorHAnsi"/>
          <w:sz w:val="23"/>
          <w:szCs w:val="23"/>
          <w:lang w:eastAsia="en-GB"/>
        </w:rPr>
        <w:t>M</w:t>
      </w:r>
      <w:r w:rsidRPr="00B22F24">
        <w:rPr>
          <w:rFonts w:asciiTheme="majorHAnsi" w:eastAsia="Times New Roman" w:hAnsiTheme="majorHAnsi" w:cstheme="majorHAnsi"/>
          <w:sz w:val="23"/>
          <w:szCs w:val="23"/>
          <w:lang w:eastAsia="en-GB"/>
        </w:rPr>
        <w:t>ixed-income developments, while spatially integrated, remain socially segregated</w:t>
      </w:r>
      <w:r>
        <w:rPr>
          <w:rFonts w:asciiTheme="majorHAnsi" w:eastAsia="Times New Roman" w:hAnsiTheme="majorHAnsi" w:cstheme="majorHAnsi"/>
          <w:sz w:val="23"/>
          <w:szCs w:val="23"/>
          <w:lang w:eastAsia="en-GB"/>
        </w:rPr>
        <w:t>…[and] the</w:t>
      </w:r>
      <w:r w:rsidRPr="00B22F24">
        <w:rPr>
          <w:rFonts w:asciiTheme="majorHAnsi" w:eastAsia="Times New Roman" w:hAnsiTheme="majorHAnsi" w:cstheme="majorHAnsi"/>
          <w:sz w:val="23"/>
          <w:szCs w:val="23"/>
          <w:lang w:eastAsia="en-GB"/>
        </w:rPr>
        <w:t xml:space="preserve"> individual and institutional manifestations of persistent racial and class biases in mixed-income developments have negative effects on social wellbeing” </w:t>
      </w:r>
      <w:r>
        <w:rPr>
          <w:rFonts w:asciiTheme="majorHAnsi" w:eastAsia="Times New Roman" w:hAnsiTheme="majorHAnsi" w:cstheme="majorHAnsi"/>
          <w:noProof/>
          <w:sz w:val="23"/>
          <w:szCs w:val="23"/>
          <w:lang w:eastAsia="en-GB"/>
        </w:rPr>
        <w:t>(Thurber et al., 2018, p. 1866)</w:t>
      </w:r>
      <w:r w:rsidRPr="00B22F24">
        <w:rPr>
          <w:rFonts w:asciiTheme="majorHAnsi" w:eastAsia="Times New Roman" w:hAnsiTheme="majorHAnsi" w:cstheme="majorHAnsi"/>
          <w:sz w:val="23"/>
          <w:szCs w:val="23"/>
          <w:lang w:eastAsia="en-GB"/>
        </w:rPr>
        <w:t>.</w:t>
      </w:r>
    </w:p>
    <w:p w14:paraId="739EE003" w14:textId="77777777" w:rsidR="00F00E3D" w:rsidRPr="00CA2BF9" w:rsidRDefault="00F00E3D" w:rsidP="009B2FA7">
      <w:pPr>
        <w:spacing w:after="0" w:line="276" w:lineRule="auto"/>
        <w:rPr>
          <w:rFonts w:asciiTheme="majorHAnsi" w:eastAsia="Times New Roman" w:hAnsiTheme="majorHAnsi" w:cstheme="majorHAnsi"/>
          <w:sz w:val="16"/>
          <w:szCs w:val="16"/>
          <w:lang w:eastAsia="en-GB"/>
        </w:rPr>
      </w:pPr>
    </w:p>
    <w:p w14:paraId="3104BB8B" w14:textId="77777777" w:rsidR="00F00E3D" w:rsidRPr="00282875" w:rsidRDefault="00F00E3D" w:rsidP="009B2FA7">
      <w:pPr>
        <w:spacing w:after="0" w:line="276" w:lineRule="auto"/>
        <w:rPr>
          <w:rFonts w:eastAsia="Times New Roman" w:cstheme="minorHAnsi"/>
          <w:b/>
          <w:bCs/>
          <w:sz w:val="25"/>
          <w:szCs w:val="25"/>
          <w:lang w:eastAsia="en-GB"/>
        </w:rPr>
      </w:pPr>
      <w:r w:rsidRPr="00282875">
        <w:rPr>
          <w:rFonts w:eastAsia="Times New Roman" w:cstheme="minorHAnsi"/>
          <w:b/>
          <w:bCs/>
          <w:sz w:val="25"/>
          <w:szCs w:val="25"/>
          <w:lang w:eastAsia="en-GB"/>
        </w:rPr>
        <w:t>Neighbourhood Renewal</w:t>
      </w:r>
      <w:r>
        <w:rPr>
          <w:rFonts w:eastAsia="Times New Roman" w:cstheme="minorHAnsi"/>
          <w:b/>
          <w:bCs/>
          <w:sz w:val="25"/>
          <w:szCs w:val="25"/>
          <w:lang w:eastAsia="en-GB"/>
        </w:rPr>
        <w:t xml:space="preserve"> Initiatives</w:t>
      </w:r>
    </w:p>
    <w:p w14:paraId="1D9B7F11" w14:textId="77777777" w:rsidR="00F00E3D" w:rsidRPr="00B22F24" w:rsidRDefault="00F00E3D" w:rsidP="009B2FA7">
      <w:pPr>
        <w:spacing w:after="0" w:line="276" w:lineRule="auto"/>
        <w:rPr>
          <w:rFonts w:eastAsia="Times New Roman" w:cstheme="minorHAnsi"/>
          <w:b/>
          <w:bCs/>
          <w:sz w:val="16"/>
          <w:szCs w:val="16"/>
          <w:lang w:eastAsia="en-GB"/>
        </w:rPr>
      </w:pPr>
    </w:p>
    <w:p w14:paraId="71667229" w14:textId="77777777" w:rsidR="00F00E3D" w:rsidRPr="00CA2BF9" w:rsidRDefault="00F00E3D" w:rsidP="009B2FA7">
      <w:pPr>
        <w:spacing w:after="0" w:line="276" w:lineRule="auto"/>
        <w:rPr>
          <w:rFonts w:asciiTheme="majorHAnsi" w:eastAsia="Times New Roman" w:hAnsiTheme="majorHAnsi" w:cstheme="majorHAnsi"/>
          <w:sz w:val="23"/>
          <w:szCs w:val="23"/>
          <w:lang w:eastAsia="en-GB"/>
        </w:rPr>
      </w:pPr>
      <w:r w:rsidRPr="00CA2BF9">
        <w:rPr>
          <w:rFonts w:asciiTheme="majorHAnsi" w:eastAsia="Times New Roman" w:hAnsiTheme="majorHAnsi" w:cstheme="majorHAnsi"/>
          <w:sz w:val="23"/>
          <w:szCs w:val="23"/>
          <w:lang w:eastAsia="en-GB"/>
        </w:rPr>
        <w:t xml:space="preserve">Here we briefly discuss </w:t>
      </w:r>
      <w:r>
        <w:rPr>
          <w:rFonts w:asciiTheme="majorHAnsi" w:eastAsia="Times New Roman" w:hAnsiTheme="majorHAnsi" w:cstheme="majorHAnsi"/>
          <w:sz w:val="23"/>
          <w:szCs w:val="23"/>
          <w:lang w:eastAsia="en-GB"/>
        </w:rPr>
        <w:t>n</w:t>
      </w:r>
      <w:r w:rsidRPr="00CA2BF9">
        <w:rPr>
          <w:rFonts w:asciiTheme="majorHAnsi" w:eastAsia="Times New Roman" w:hAnsiTheme="majorHAnsi" w:cstheme="majorHAnsi"/>
          <w:sz w:val="23"/>
          <w:szCs w:val="23"/>
          <w:lang w:eastAsia="en-GB"/>
        </w:rPr>
        <w:t xml:space="preserve">eighbourhood </w:t>
      </w:r>
      <w:r>
        <w:rPr>
          <w:rFonts w:asciiTheme="majorHAnsi" w:eastAsia="Times New Roman" w:hAnsiTheme="majorHAnsi" w:cstheme="majorHAnsi"/>
          <w:sz w:val="23"/>
          <w:szCs w:val="23"/>
          <w:lang w:eastAsia="en-GB"/>
        </w:rPr>
        <w:t>r</w:t>
      </w:r>
      <w:r w:rsidRPr="00CA2BF9">
        <w:rPr>
          <w:rFonts w:asciiTheme="majorHAnsi" w:eastAsia="Times New Roman" w:hAnsiTheme="majorHAnsi" w:cstheme="majorHAnsi"/>
          <w:sz w:val="23"/>
          <w:szCs w:val="23"/>
          <w:lang w:eastAsia="en-GB"/>
        </w:rPr>
        <w:t xml:space="preserve">enewal interventions in general, accepting that </w:t>
      </w:r>
      <w:r>
        <w:rPr>
          <w:rFonts w:asciiTheme="majorHAnsi" w:eastAsia="Times New Roman" w:hAnsiTheme="majorHAnsi" w:cstheme="majorHAnsi"/>
          <w:sz w:val="23"/>
          <w:szCs w:val="23"/>
          <w:lang w:eastAsia="en-GB"/>
        </w:rPr>
        <w:t>c</w:t>
      </w:r>
      <w:r w:rsidRPr="00CA2BF9">
        <w:rPr>
          <w:rFonts w:asciiTheme="majorHAnsi" w:eastAsia="Times New Roman" w:hAnsiTheme="majorHAnsi" w:cstheme="majorHAnsi"/>
          <w:sz w:val="23"/>
          <w:szCs w:val="23"/>
          <w:lang w:eastAsia="en-GB"/>
        </w:rPr>
        <w:t xml:space="preserve">ommunity </w:t>
      </w:r>
      <w:r>
        <w:rPr>
          <w:rFonts w:asciiTheme="majorHAnsi" w:eastAsia="Times New Roman" w:hAnsiTheme="majorHAnsi" w:cstheme="majorHAnsi"/>
          <w:sz w:val="23"/>
          <w:szCs w:val="23"/>
          <w:lang w:eastAsia="en-GB"/>
        </w:rPr>
        <w:t>d</w:t>
      </w:r>
      <w:r w:rsidRPr="00CA2BF9">
        <w:rPr>
          <w:rFonts w:asciiTheme="majorHAnsi" w:eastAsia="Times New Roman" w:hAnsiTheme="majorHAnsi" w:cstheme="majorHAnsi"/>
          <w:sz w:val="23"/>
          <w:szCs w:val="23"/>
          <w:lang w:eastAsia="en-GB"/>
        </w:rPr>
        <w:t xml:space="preserve">evelopment and </w:t>
      </w:r>
      <w:r>
        <w:rPr>
          <w:rFonts w:asciiTheme="majorHAnsi" w:eastAsia="Times New Roman" w:hAnsiTheme="majorHAnsi" w:cstheme="majorHAnsi"/>
          <w:sz w:val="23"/>
          <w:szCs w:val="23"/>
          <w:lang w:eastAsia="en-GB"/>
        </w:rPr>
        <w:t>m</w:t>
      </w:r>
      <w:r w:rsidRPr="00CA2BF9">
        <w:rPr>
          <w:rFonts w:asciiTheme="majorHAnsi" w:eastAsia="Times New Roman" w:hAnsiTheme="majorHAnsi" w:cstheme="majorHAnsi"/>
          <w:sz w:val="23"/>
          <w:szCs w:val="23"/>
          <w:lang w:eastAsia="en-GB"/>
        </w:rPr>
        <w:t>ixed-</w:t>
      </w:r>
      <w:r>
        <w:rPr>
          <w:rFonts w:asciiTheme="majorHAnsi" w:eastAsia="Times New Roman" w:hAnsiTheme="majorHAnsi" w:cstheme="majorHAnsi"/>
          <w:sz w:val="23"/>
          <w:szCs w:val="23"/>
          <w:lang w:eastAsia="en-GB"/>
        </w:rPr>
        <w:t>i</w:t>
      </w:r>
      <w:r w:rsidRPr="00CA2BF9">
        <w:rPr>
          <w:rFonts w:asciiTheme="majorHAnsi" w:eastAsia="Times New Roman" w:hAnsiTheme="majorHAnsi" w:cstheme="majorHAnsi"/>
          <w:sz w:val="23"/>
          <w:szCs w:val="23"/>
          <w:lang w:eastAsia="en-GB"/>
        </w:rPr>
        <w:t xml:space="preserve">ncome </w:t>
      </w:r>
      <w:r>
        <w:rPr>
          <w:rFonts w:asciiTheme="majorHAnsi" w:eastAsia="Times New Roman" w:hAnsiTheme="majorHAnsi" w:cstheme="majorHAnsi"/>
          <w:sz w:val="23"/>
          <w:szCs w:val="23"/>
          <w:lang w:eastAsia="en-GB"/>
        </w:rPr>
        <w:t>d</w:t>
      </w:r>
      <w:r w:rsidRPr="00CA2BF9">
        <w:rPr>
          <w:rFonts w:asciiTheme="majorHAnsi" w:eastAsia="Times New Roman" w:hAnsiTheme="majorHAnsi" w:cstheme="majorHAnsi"/>
          <w:sz w:val="23"/>
          <w:szCs w:val="23"/>
          <w:lang w:eastAsia="en-GB"/>
        </w:rPr>
        <w:t xml:space="preserve">evelopment are </w:t>
      </w:r>
      <w:r>
        <w:rPr>
          <w:rFonts w:asciiTheme="majorHAnsi" w:eastAsia="Times New Roman" w:hAnsiTheme="majorHAnsi" w:cstheme="majorHAnsi"/>
          <w:sz w:val="23"/>
          <w:szCs w:val="23"/>
          <w:lang w:eastAsia="en-GB"/>
        </w:rPr>
        <w:t xml:space="preserve">also </w:t>
      </w:r>
      <w:r w:rsidRPr="00CA2BF9">
        <w:rPr>
          <w:rFonts w:asciiTheme="majorHAnsi" w:eastAsia="Times New Roman" w:hAnsiTheme="majorHAnsi" w:cstheme="majorHAnsi"/>
          <w:sz w:val="23"/>
          <w:szCs w:val="23"/>
          <w:lang w:eastAsia="en-GB"/>
        </w:rPr>
        <w:t xml:space="preserve">forms of </w:t>
      </w:r>
      <w:r>
        <w:rPr>
          <w:rFonts w:asciiTheme="majorHAnsi" w:eastAsia="Times New Roman" w:hAnsiTheme="majorHAnsi" w:cstheme="majorHAnsi"/>
          <w:sz w:val="23"/>
          <w:szCs w:val="23"/>
          <w:lang w:eastAsia="en-GB"/>
        </w:rPr>
        <w:t>n</w:t>
      </w:r>
      <w:r w:rsidRPr="00CA2BF9">
        <w:rPr>
          <w:rFonts w:asciiTheme="majorHAnsi" w:eastAsia="Times New Roman" w:hAnsiTheme="majorHAnsi" w:cstheme="majorHAnsi"/>
          <w:sz w:val="23"/>
          <w:szCs w:val="23"/>
          <w:lang w:eastAsia="en-GB"/>
        </w:rPr>
        <w:t xml:space="preserve">eighbourhood </w:t>
      </w:r>
      <w:r>
        <w:rPr>
          <w:rFonts w:asciiTheme="majorHAnsi" w:eastAsia="Times New Roman" w:hAnsiTheme="majorHAnsi" w:cstheme="majorHAnsi"/>
          <w:sz w:val="23"/>
          <w:szCs w:val="23"/>
          <w:lang w:eastAsia="en-GB"/>
        </w:rPr>
        <w:t>r</w:t>
      </w:r>
      <w:r w:rsidRPr="00CA2BF9">
        <w:rPr>
          <w:rFonts w:asciiTheme="majorHAnsi" w:eastAsia="Times New Roman" w:hAnsiTheme="majorHAnsi" w:cstheme="majorHAnsi"/>
          <w:sz w:val="23"/>
          <w:szCs w:val="23"/>
          <w:lang w:eastAsia="en-GB"/>
        </w:rPr>
        <w:t>enewal.</w:t>
      </w:r>
    </w:p>
    <w:p w14:paraId="02367793" w14:textId="77777777" w:rsidR="00F00E3D" w:rsidRPr="00CA2BF9" w:rsidRDefault="00F00E3D" w:rsidP="009B2FA7">
      <w:pPr>
        <w:spacing w:after="0" w:line="276" w:lineRule="auto"/>
        <w:rPr>
          <w:rFonts w:asciiTheme="majorHAnsi" w:eastAsia="Times New Roman" w:hAnsiTheme="majorHAnsi" w:cstheme="majorHAnsi"/>
          <w:sz w:val="16"/>
          <w:szCs w:val="16"/>
          <w:lang w:eastAsia="en-GB"/>
        </w:rPr>
      </w:pPr>
    </w:p>
    <w:p w14:paraId="42085B5B" w14:textId="22D1F4F4" w:rsidR="005A4331" w:rsidRDefault="00F00E3D" w:rsidP="009B2FA7">
      <w:pPr>
        <w:spacing w:after="0" w:line="276" w:lineRule="auto"/>
      </w:pPr>
      <w:r w:rsidRPr="00CA2BF9">
        <w:rPr>
          <w:rFonts w:asciiTheme="majorHAnsi" w:eastAsia="Times New Roman" w:hAnsiTheme="majorHAnsi" w:cstheme="majorHAnsi"/>
          <w:sz w:val="23"/>
          <w:szCs w:val="23"/>
          <w:lang w:eastAsia="en-GB"/>
        </w:rPr>
        <w:t xml:space="preserve">Urban neighbourhood renewal programs “aim to target both the physical and social environments to improve the social capital, social connectedness, sense of community and economic conditions of residents of the neighbourhoods” </w:t>
      </w:r>
      <w:r>
        <w:rPr>
          <w:rFonts w:asciiTheme="majorHAnsi" w:eastAsia="Times New Roman" w:hAnsiTheme="majorHAnsi" w:cstheme="majorHAnsi"/>
          <w:noProof/>
          <w:sz w:val="23"/>
          <w:szCs w:val="23"/>
          <w:lang w:eastAsia="en-GB"/>
        </w:rPr>
        <w:t>(Jalaludin et al., 2012, p. 1)</w:t>
      </w:r>
      <w:r w:rsidRPr="00CA2BF9">
        <w:rPr>
          <w:rFonts w:asciiTheme="majorHAnsi" w:eastAsia="Times New Roman" w:hAnsiTheme="majorHAnsi" w:cstheme="majorHAnsi"/>
          <w:sz w:val="23"/>
          <w:szCs w:val="23"/>
          <w:lang w:eastAsia="en-GB"/>
        </w:rPr>
        <w:t xml:space="preserve">. By their nature, they are often multisector programs that span the </w:t>
      </w:r>
      <w:r w:rsidR="00D95573">
        <w:rPr>
          <w:rFonts w:asciiTheme="majorHAnsi" w:eastAsia="Times New Roman" w:hAnsiTheme="majorHAnsi" w:cstheme="majorHAnsi"/>
          <w:sz w:val="23"/>
          <w:szCs w:val="23"/>
          <w:lang w:eastAsia="en-GB"/>
        </w:rPr>
        <w:t>Practice Domain</w:t>
      </w:r>
      <w:r w:rsidRPr="00CA2BF9">
        <w:rPr>
          <w:rFonts w:asciiTheme="majorHAnsi" w:eastAsia="Times New Roman" w:hAnsiTheme="majorHAnsi" w:cstheme="majorHAnsi"/>
          <w:sz w:val="23"/>
          <w:szCs w:val="23"/>
          <w:lang w:eastAsia="en-GB"/>
        </w:rPr>
        <w:t xml:space="preserve">s. Initiatives are context-dependant and thus very much place-based, and most include housing development. In Australia and several other Western countries, neighbourhood and urban renewal schemes have assumed increasing prominence in state and federal government policy agendas. This reflects growing concerns about the gap between disadvantaged neighbourhoods and middle-to-high income neighbourhoods </w:t>
      </w:r>
      <w:r>
        <w:rPr>
          <w:rFonts w:asciiTheme="majorHAnsi" w:eastAsia="Times New Roman" w:hAnsiTheme="majorHAnsi" w:cstheme="majorHAnsi"/>
          <w:noProof/>
          <w:sz w:val="23"/>
          <w:szCs w:val="23"/>
          <w:lang w:eastAsia="en-GB"/>
        </w:rPr>
        <w:t>(Wood, 2001)</w:t>
      </w:r>
      <w:r w:rsidRPr="00CA2BF9">
        <w:rPr>
          <w:rFonts w:asciiTheme="majorHAnsi" w:eastAsia="Times New Roman" w:hAnsiTheme="majorHAnsi" w:cstheme="majorHAnsi"/>
          <w:sz w:val="23"/>
          <w:szCs w:val="23"/>
          <w:lang w:eastAsia="en-GB"/>
        </w:rPr>
        <w:t>.</w:t>
      </w:r>
    </w:p>
    <w:p w14:paraId="4B95C0FC" w14:textId="77777777" w:rsidR="005A4331" w:rsidRPr="005A4331" w:rsidRDefault="005A4331" w:rsidP="009B2FA7">
      <w:pPr>
        <w:spacing w:after="0" w:line="276" w:lineRule="auto"/>
        <w:rPr>
          <w:sz w:val="16"/>
          <w:szCs w:val="16"/>
        </w:rPr>
      </w:pPr>
    </w:p>
    <w:p w14:paraId="7E95EC6F" w14:textId="14D7DF4E" w:rsidR="00F00E3D" w:rsidRPr="00CA2BF9" w:rsidRDefault="005A4331" w:rsidP="009B2FA7">
      <w:p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It is worth noting that n</w:t>
      </w:r>
      <w:r w:rsidRPr="005A4331">
        <w:rPr>
          <w:rFonts w:asciiTheme="majorHAnsi" w:eastAsia="Times New Roman" w:hAnsiTheme="majorHAnsi" w:cstheme="majorHAnsi"/>
          <w:sz w:val="23"/>
          <w:szCs w:val="23"/>
          <w:lang w:eastAsia="en-GB"/>
        </w:rPr>
        <w:t>egative impacts of Neighbourhood Renewal are a particular focus of recent research, because if these programs serve to inflate house prices, gentrification and displacement of low-income households is likely to follow.</w:t>
      </w:r>
    </w:p>
    <w:p w14:paraId="589C5AB5" w14:textId="77777777" w:rsidR="00F00E3D" w:rsidRPr="005A3B06" w:rsidRDefault="00F00E3D" w:rsidP="009B2FA7">
      <w:pPr>
        <w:spacing w:after="0" w:line="276" w:lineRule="auto"/>
        <w:rPr>
          <w:rFonts w:asciiTheme="majorHAnsi" w:eastAsia="Times New Roman" w:hAnsiTheme="majorHAnsi" w:cstheme="majorHAnsi"/>
          <w:sz w:val="16"/>
          <w:szCs w:val="16"/>
          <w:lang w:eastAsia="en-GB"/>
        </w:rPr>
      </w:pPr>
    </w:p>
    <w:p w14:paraId="0150B064" w14:textId="3C17ED85" w:rsidR="00F00E3D" w:rsidRPr="004C4495" w:rsidRDefault="00F00E3D" w:rsidP="009B2FA7">
      <w:p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 xml:space="preserve">In our sample, </w:t>
      </w:r>
      <w:r w:rsidRPr="00CA2BF9">
        <w:rPr>
          <w:rFonts w:asciiTheme="majorHAnsi" w:eastAsia="Times New Roman" w:hAnsiTheme="majorHAnsi" w:cstheme="majorHAnsi"/>
          <w:sz w:val="23"/>
          <w:szCs w:val="23"/>
          <w:lang w:eastAsia="en-GB"/>
        </w:rPr>
        <w:t>14 articles focused on the wider topic of neighbourhood renewal (excluding those that considered the related issues of community development and mixed-</w:t>
      </w:r>
      <w:r w:rsidR="009409DD">
        <w:rPr>
          <w:rFonts w:asciiTheme="majorHAnsi" w:eastAsia="Times New Roman" w:hAnsiTheme="majorHAnsi" w:cstheme="majorHAnsi"/>
          <w:sz w:val="23"/>
          <w:szCs w:val="23"/>
          <w:lang w:eastAsia="en-GB"/>
        </w:rPr>
        <w:t>i</w:t>
      </w:r>
      <w:r w:rsidRPr="00CA2BF9">
        <w:rPr>
          <w:rFonts w:asciiTheme="majorHAnsi" w:eastAsia="Times New Roman" w:hAnsiTheme="majorHAnsi" w:cstheme="majorHAnsi"/>
          <w:sz w:val="23"/>
          <w:szCs w:val="23"/>
          <w:lang w:eastAsia="en-GB"/>
        </w:rPr>
        <w:t xml:space="preserve">ncome development). Five were </w:t>
      </w:r>
      <w:r w:rsidRPr="00CA2BF9">
        <w:rPr>
          <w:rFonts w:asciiTheme="majorHAnsi" w:eastAsia="Times New Roman" w:hAnsiTheme="majorHAnsi" w:cstheme="majorHAnsi"/>
          <w:sz w:val="23"/>
          <w:szCs w:val="23"/>
          <w:lang w:eastAsia="en-GB"/>
        </w:rPr>
        <w:lastRenderedPageBreak/>
        <w:t xml:space="preserve">Australian, five </w:t>
      </w:r>
      <w:r>
        <w:rPr>
          <w:rFonts w:asciiTheme="majorHAnsi" w:eastAsia="Times New Roman" w:hAnsiTheme="majorHAnsi" w:cstheme="majorHAnsi"/>
          <w:sz w:val="23"/>
          <w:szCs w:val="23"/>
          <w:lang w:eastAsia="en-GB"/>
        </w:rPr>
        <w:t xml:space="preserve">hailed </w:t>
      </w:r>
      <w:r w:rsidRPr="00CA2BF9">
        <w:rPr>
          <w:rFonts w:asciiTheme="majorHAnsi" w:eastAsia="Times New Roman" w:hAnsiTheme="majorHAnsi" w:cstheme="majorHAnsi"/>
          <w:sz w:val="23"/>
          <w:szCs w:val="23"/>
          <w:lang w:eastAsia="en-GB"/>
        </w:rPr>
        <w:t>from the US, two from the UK</w:t>
      </w:r>
      <w:r>
        <w:rPr>
          <w:rFonts w:asciiTheme="majorHAnsi" w:eastAsia="Times New Roman" w:hAnsiTheme="majorHAnsi" w:cstheme="majorHAnsi"/>
          <w:sz w:val="23"/>
          <w:szCs w:val="23"/>
          <w:lang w:eastAsia="en-GB"/>
        </w:rPr>
        <w:t>,</w:t>
      </w:r>
      <w:r w:rsidRPr="00CA2BF9">
        <w:rPr>
          <w:rFonts w:asciiTheme="majorHAnsi" w:eastAsia="Times New Roman" w:hAnsiTheme="majorHAnsi" w:cstheme="majorHAnsi"/>
          <w:sz w:val="23"/>
          <w:szCs w:val="23"/>
          <w:lang w:eastAsia="en-GB"/>
        </w:rPr>
        <w:t xml:space="preserve"> and one from the Netherlands. Ten</w:t>
      </w:r>
      <w:r>
        <w:rPr>
          <w:rFonts w:asciiTheme="majorHAnsi" w:eastAsia="Times New Roman" w:hAnsiTheme="majorHAnsi" w:cstheme="majorHAnsi"/>
          <w:sz w:val="23"/>
          <w:szCs w:val="23"/>
          <w:lang w:eastAsia="en-GB"/>
        </w:rPr>
        <w:t xml:space="preserve"> of these articles</w:t>
      </w:r>
      <w:r w:rsidRPr="00CA2BF9">
        <w:rPr>
          <w:rFonts w:asciiTheme="majorHAnsi" w:eastAsia="Times New Roman" w:hAnsiTheme="majorHAnsi" w:cstheme="majorHAnsi"/>
          <w:sz w:val="23"/>
          <w:szCs w:val="23"/>
          <w:lang w:eastAsia="en-GB"/>
        </w:rPr>
        <w:t xml:space="preserve"> detailed some form of evaluation, including one systematic review on “associations between </w:t>
      </w:r>
      <w:r w:rsidRPr="004C4495">
        <w:rPr>
          <w:rFonts w:asciiTheme="majorHAnsi" w:eastAsia="Times New Roman" w:hAnsiTheme="majorHAnsi" w:cstheme="majorHAnsi"/>
          <w:sz w:val="23"/>
          <w:szCs w:val="23"/>
          <w:lang w:eastAsia="en-GB"/>
        </w:rPr>
        <w:t xml:space="preserve">gentrification, and similar but differently termed processes (e.g., urban regeneration, urban development, neighborhood upgrading), and health” </w:t>
      </w:r>
      <w:r>
        <w:rPr>
          <w:rFonts w:asciiTheme="majorHAnsi" w:eastAsia="Times New Roman" w:hAnsiTheme="majorHAnsi" w:cstheme="majorHAnsi"/>
          <w:noProof/>
          <w:sz w:val="23"/>
          <w:szCs w:val="23"/>
          <w:lang w:eastAsia="en-GB"/>
        </w:rPr>
        <w:t>(Schnake-Mahl</w:t>
      </w:r>
      <w:r w:rsidR="009409DD">
        <w:rPr>
          <w:rFonts w:asciiTheme="majorHAnsi" w:eastAsia="Times New Roman" w:hAnsiTheme="majorHAnsi" w:cstheme="majorHAnsi"/>
          <w:noProof/>
          <w:sz w:val="23"/>
          <w:szCs w:val="23"/>
          <w:lang w:eastAsia="en-GB"/>
        </w:rPr>
        <w:t xml:space="preserve"> et al.</w:t>
      </w:r>
      <w:r>
        <w:rPr>
          <w:rFonts w:asciiTheme="majorHAnsi" w:eastAsia="Times New Roman" w:hAnsiTheme="majorHAnsi" w:cstheme="majorHAnsi"/>
          <w:noProof/>
          <w:sz w:val="23"/>
          <w:szCs w:val="23"/>
          <w:lang w:eastAsia="en-GB"/>
        </w:rPr>
        <w:t>, 2020, p. 1)</w:t>
      </w:r>
      <w:r w:rsidRPr="004C4495">
        <w:rPr>
          <w:rFonts w:asciiTheme="majorHAnsi" w:eastAsia="Times New Roman" w:hAnsiTheme="majorHAnsi" w:cstheme="majorHAnsi"/>
          <w:sz w:val="23"/>
          <w:szCs w:val="23"/>
          <w:lang w:eastAsia="en-GB"/>
        </w:rPr>
        <w:t>.</w:t>
      </w:r>
    </w:p>
    <w:p w14:paraId="0F8BAF9E" w14:textId="77777777" w:rsidR="00F00E3D" w:rsidRPr="004D7F9B" w:rsidRDefault="00F00E3D" w:rsidP="009B2FA7">
      <w:pPr>
        <w:spacing w:after="0" w:line="276" w:lineRule="auto"/>
        <w:rPr>
          <w:rFonts w:asciiTheme="majorHAnsi" w:eastAsia="Times New Roman" w:hAnsiTheme="majorHAnsi" w:cstheme="majorHAnsi"/>
          <w:sz w:val="16"/>
          <w:szCs w:val="16"/>
          <w:lang w:eastAsia="en-GB"/>
        </w:rPr>
      </w:pPr>
    </w:p>
    <w:p w14:paraId="7CDCF838" w14:textId="3E242D9A" w:rsidR="00F00E3D" w:rsidRDefault="00F00E3D" w:rsidP="009B2FA7">
      <w:pPr>
        <w:spacing w:after="0" w:line="276" w:lineRule="auto"/>
        <w:rPr>
          <w:rFonts w:asciiTheme="majorHAnsi" w:eastAsia="Times New Roman" w:hAnsiTheme="majorHAnsi" w:cstheme="majorHAnsi"/>
          <w:sz w:val="23"/>
          <w:szCs w:val="23"/>
          <w:lang w:eastAsia="en-GB"/>
        </w:rPr>
      </w:pPr>
      <w:r w:rsidRPr="004C4495">
        <w:rPr>
          <w:rFonts w:asciiTheme="majorHAnsi" w:eastAsia="Times New Roman" w:hAnsiTheme="majorHAnsi" w:cstheme="majorHAnsi"/>
          <w:sz w:val="23"/>
          <w:szCs w:val="23"/>
          <w:lang w:eastAsia="en-GB"/>
        </w:rPr>
        <w:t>The specific focus of the</w:t>
      </w:r>
      <w:r>
        <w:rPr>
          <w:rFonts w:asciiTheme="majorHAnsi" w:eastAsia="Times New Roman" w:hAnsiTheme="majorHAnsi" w:cstheme="majorHAnsi"/>
          <w:sz w:val="23"/>
          <w:szCs w:val="23"/>
          <w:lang w:eastAsia="en-GB"/>
        </w:rPr>
        <w:t xml:space="preserve"> sample</w:t>
      </w:r>
      <w:r w:rsidRPr="004C4495">
        <w:rPr>
          <w:rFonts w:asciiTheme="majorHAnsi" w:eastAsia="Times New Roman" w:hAnsiTheme="majorHAnsi" w:cstheme="majorHAnsi"/>
          <w:sz w:val="23"/>
          <w:szCs w:val="23"/>
          <w:lang w:eastAsia="en-GB"/>
        </w:rPr>
        <w:t xml:space="preserve"> articles varied greatly but, reflecting the place-based nature of </w:t>
      </w:r>
      <w:r>
        <w:rPr>
          <w:rFonts w:asciiTheme="majorHAnsi" w:eastAsia="Times New Roman" w:hAnsiTheme="majorHAnsi" w:cstheme="majorHAnsi"/>
          <w:sz w:val="23"/>
          <w:szCs w:val="23"/>
          <w:lang w:eastAsia="en-GB"/>
        </w:rPr>
        <w:t xml:space="preserve">these </w:t>
      </w:r>
      <w:r w:rsidRPr="004C4495">
        <w:rPr>
          <w:rFonts w:asciiTheme="majorHAnsi" w:eastAsia="Times New Roman" w:hAnsiTheme="majorHAnsi" w:cstheme="majorHAnsi"/>
          <w:sz w:val="23"/>
          <w:szCs w:val="23"/>
          <w:lang w:eastAsia="en-GB"/>
        </w:rPr>
        <w:t>initiatives, tended to focus on evaluation</w:t>
      </w:r>
      <w:r>
        <w:rPr>
          <w:rFonts w:asciiTheme="majorHAnsi" w:eastAsia="Times New Roman" w:hAnsiTheme="majorHAnsi" w:cstheme="majorHAnsi"/>
          <w:sz w:val="23"/>
          <w:szCs w:val="23"/>
          <w:lang w:eastAsia="en-GB"/>
        </w:rPr>
        <w:t>s</w:t>
      </w:r>
      <w:r w:rsidRPr="004C4495">
        <w:rPr>
          <w:rFonts w:asciiTheme="majorHAnsi" w:eastAsia="Times New Roman" w:hAnsiTheme="majorHAnsi" w:cstheme="majorHAnsi"/>
          <w:sz w:val="23"/>
          <w:szCs w:val="23"/>
          <w:lang w:eastAsia="en-GB"/>
        </w:rPr>
        <w:t xml:space="preserve"> of or reflection</w:t>
      </w:r>
      <w:r>
        <w:rPr>
          <w:rFonts w:asciiTheme="majorHAnsi" w:eastAsia="Times New Roman" w:hAnsiTheme="majorHAnsi" w:cstheme="majorHAnsi"/>
          <w:sz w:val="23"/>
          <w:szCs w:val="23"/>
          <w:lang w:eastAsia="en-GB"/>
        </w:rPr>
        <w:t>s</w:t>
      </w:r>
      <w:r w:rsidRPr="004C4495">
        <w:rPr>
          <w:rFonts w:asciiTheme="majorHAnsi" w:eastAsia="Times New Roman" w:hAnsiTheme="majorHAnsi" w:cstheme="majorHAnsi"/>
          <w:sz w:val="23"/>
          <w:szCs w:val="23"/>
          <w:lang w:eastAsia="en-GB"/>
        </w:rPr>
        <w:t xml:space="preserve"> on specific programs, including:</w:t>
      </w:r>
    </w:p>
    <w:p w14:paraId="0CF63A80" w14:textId="77777777" w:rsidR="005A4331" w:rsidRPr="005A4331" w:rsidRDefault="005A4331" w:rsidP="009B2FA7">
      <w:pPr>
        <w:spacing w:after="0" w:line="276" w:lineRule="auto"/>
        <w:rPr>
          <w:rFonts w:asciiTheme="majorHAnsi" w:eastAsia="Times New Roman" w:hAnsiTheme="majorHAnsi" w:cstheme="majorHAnsi"/>
          <w:sz w:val="8"/>
          <w:szCs w:val="8"/>
          <w:lang w:eastAsia="en-GB"/>
        </w:rPr>
      </w:pPr>
    </w:p>
    <w:p w14:paraId="442B6E0C" w14:textId="77777777" w:rsidR="00F00E3D" w:rsidRPr="004C4495" w:rsidRDefault="00F00E3D" w:rsidP="00364C5D">
      <w:pPr>
        <w:numPr>
          <w:ilvl w:val="0"/>
          <w:numId w:val="44"/>
        </w:numPr>
        <w:spacing w:after="0" w:line="276" w:lineRule="auto"/>
        <w:contextualSpacing/>
        <w:rPr>
          <w:rFonts w:asciiTheme="majorHAnsi" w:eastAsia="Times New Roman" w:hAnsiTheme="majorHAnsi" w:cstheme="majorHAnsi"/>
          <w:sz w:val="23"/>
          <w:szCs w:val="23"/>
          <w:lang w:eastAsia="en-GB"/>
        </w:rPr>
      </w:pPr>
      <w:r w:rsidRPr="004C4495">
        <w:rPr>
          <w:rFonts w:asciiTheme="majorHAnsi" w:eastAsia="Times New Roman" w:hAnsiTheme="majorHAnsi" w:cstheme="majorHAnsi"/>
          <w:sz w:val="23"/>
          <w:szCs w:val="23"/>
          <w:lang w:eastAsia="en-GB"/>
        </w:rPr>
        <w:t xml:space="preserve">Assessing “the long-term outcomes of the Neighborhood Transformation Initiative (NTI) in the Sandtown-Winchester community of Baltimore” </w:t>
      </w:r>
      <w:r>
        <w:rPr>
          <w:rFonts w:asciiTheme="majorHAnsi" w:eastAsia="Times New Roman" w:hAnsiTheme="majorHAnsi" w:cstheme="majorHAnsi"/>
          <w:noProof/>
          <w:sz w:val="23"/>
          <w:szCs w:val="23"/>
          <w:lang w:eastAsia="en-GB"/>
        </w:rPr>
        <w:t>(Rosenblatt &amp; DeLuca, 2017, p. 463)</w:t>
      </w:r>
    </w:p>
    <w:p w14:paraId="5129A198" w14:textId="77777777" w:rsidR="00F00E3D" w:rsidRPr="004C4495" w:rsidRDefault="00F00E3D" w:rsidP="00364C5D">
      <w:pPr>
        <w:numPr>
          <w:ilvl w:val="0"/>
          <w:numId w:val="44"/>
        </w:numPr>
        <w:spacing w:after="0" w:line="276" w:lineRule="auto"/>
        <w:contextualSpacing/>
        <w:rPr>
          <w:rFonts w:asciiTheme="majorHAnsi" w:eastAsia="Times New Roman" w:hAnsiTheme="majorHAnsi" w:cstheme="majorHAnsi"/>
          <w:sz w:val="23"/>
          <w:szCs w:val="23"/>
          <w:lang w:eastAsia="en-GB"/>
        </w:rPr>
      </w:pPr>
      <w:r w:rsidRPr="004C4495">
        <w:rPr>
          <w:rFonts w:asciiTheme="majorHAnsi" w:eastAsia="Times New Roman" w:hAnsiTheme="majorHAnsi" w:cstheme="majorHAnsi"/>
          <w:sz w:val="23"/>
          <w:szCs w:val="23"/>
          <w:lang w:eastAsia="en-GB"/>
        </w:rPr>
        <w:t xml:space="preserve">Three papers evaluating the Neighbourhood Renewal </w:t>
      </w:r>
      <w:r>
        <w:rPr>
          <w:rFonts w:asciiTheme="majorHAnsi" w:eastAsia="Times New Roman" w:hAnsiTheme="majorHAnsi" w:cstheme="majorHAnsi"/>
          <w:sz w:val="23"/>
          <w:szCs w:val="23"/>
          <w:lang w:eastAsia="en-GB"/>
        </w:rPr>
        <w:t xml:space="preserve">Program </w:t>
      </w:r>
      <w:r w:rsidRPr="004C4495">
        <w:rPr>
          <w:rFonts w:asciiTheme="majorHAnsi" w:eastAsia="Times New Roman" w:hAnsiTheme="majorHAnsi" w:cstheme="majorHAnsi"/>
          <w:sz w:val="23"/>
          <w:szCs w:val="23"/>
          <w:lang w:eastAsia="en-GB"/>
        </w:rPr>
        <w:t>(NR</w:t>
      </w:r>
      <w:r>
        <w:rPr>
          <w:rFonts w:asciiTheme="majorHAnsi" w:eastAsia="Times New Roman" w:hAnsiTheme="majorHAnsi" w:cstheme="majorHAnsi"/>
          <w:sz w:val="23"/>
          <w:szCs w:val="23"/>
          <w:lang w:eastAsia="en-GB"/>
        </w:rPr>
        <w:t>P</w:t>
      </w:r>
      <w:r w:rsidRPr="004C4495">
        <w:rPr>
          <w:rFonts w:asciiTheme="majorHAnsi" w:eastAsia="Times New Roman" w:hAnsiTheme="majorHAnsi" w:cstheme="majorHAnsi"/>
          <w:sz w:val="23"/>
          <w:szCs w:val="23"/>
          <w:lang w:eastAsia="en-GB"/>
        </w:rPr>
        <w:t xml:space="preserve">) in Victoria, Australia </w:t>
      </w:r>
      <w:r>
        <w:rPr>
          <w:rFonts w:asciiTheme="majorHAnsi" w:eastAsia="Times New Roman" w:hAnsiTheme="majorHAnsi" w:cstheme="majorHAnsi"/>
          <w:noProof/>
          <w:sz w:val="23"/>
          <w:szCs w:val="23"/>
          <w:lang w:eastAsia="en-GB"/>
        </w:rPr>
        <w:t>(Kelaher, Warr, &amp; Tacticos, 2010; Shield et al., 2011; G. Wood &amp; Cigdem, 2012)</w:t>
      </w:r>
    </w:p>
    <w:p w14:paraId="452918E3" w14:textId="77777777" w:rsidR="00F00E3D" w:rsidRPr="004C4495" w:rsidRDefault="00F00E3D" w:rsidP="00364C5D">
      <w:pPr>
        <w:numPr>
          <w:ilvl w:val="0"/>
          <w:numId w:val="44"/>
        </w:numPr>
        <w:spacing w:after="0" w:line="276" w:lineRule="auto"/>
        <w:contextualSpacing/>
        <w:rPr>
          <w:rFonts w:asciiTheme="majorHAnsi" w:eastAsia="Times New Roman" w:hAnsiTheme="majorHAnsi" w:cstheme="majorHAnsi"/>
          <w:sz w:val="23"/>
          <w:szCs w:val="23"/>
          <w:lang w:eastAsia="en-GB"/>
        </w:rPr>
      </w:pPr>
      <w:r w:rsidRPr="004C4495">
        <w:rPr>
          <w:rFonts w:asciiTheme="majorHAnsi" w:eastAsia="Times New Roman" w:hAnsiTheme="majorHAnsi" w:cstheme="majorHAnsi"/>
          <w:sz w:val="23"/>
          <w:szCs w:val="23"/>
          <w:lang w:eastAsia="en-GB"/>
        </w:rPr>
        <w:t>Evaluation of the Promising Neighbourhoods community program in Rotterdam to reduce health inequalities in youth</w:t>
      </w:r>
    </w:p>
    <w:p w14:paraId="54ACA00B" w14:textId="77777777" w:rsidR="00F00E3D" w:rsidRPr="004C4495" w:rsidRDefault="00F00E3D" w:rsidP="00364C5D">
      <w:pPr>
        <w:numPr>
          <w:ilvl w:val="0"/>
          <w:numId w:val="44"/>
        </w:numPr>
        <w:spacing w:after="0" w:line="276" w:lineRule="auto"/>
        <w:contextualSpacing/>
        <w:rPr>
          <w:rFonts w:asciiTheme="majorHAnsi" w:eastAsia="Times New Roman" w:hAnsiTheme="majorHAnsi" w:cstheme="majorHAnsi"/>
          <w:sz w:val="23"/>
          <w:szCs w:val="23"/>
          <w:lang w:eastAsia="en-GB"/>
        </w:rPr>
      </w:pPr>
      <w:r w:rsidRPr="004C4495">
        <w:rPr>
          <w:rFonts w:asciiTheme="majorHAnsi" w:eastAsia="Times New Roman" w:hAnsiTheme="majorHAnsi" w:cstheme="majorHAnsi"/>
          <w:sz w:val="23"/>
          <w:szCs w:val="23"/>
          <w:lang w:eastAsia="en-GB"/>
        </w:rPr>
        <w:t xml:space="preserve">Health inequity in urban rebuilding processes in Baltimore </w:t>
      </w:r>
      <w:r w:rsidRPr="004C4495">
        <w:rPr>
          <w:rFonts w:asciiTheme="majorHAnsi" w:eastAsia="Times New Roman" w:hAnsiTheme="majorHAnsi" w:cstheme="majorHAnsi"/>
          <w:noProof/>
          <w:sz w:val="23"/>
          <w:szCs w:val="23"/>
          <w:lang w:eastAsia="en-GB"/>
        </w:rPr>
        <w:t>(Gomez, 2017)</w:t>
      </w:r>
    </w:p>
    <w:p w14:paraId="7D84AF31" w14:textId="77777777" w:rsidR="00F00E3D" w:rsidRPr="004C4495" w:rsidRDefault="00F00E3D" w:rsidP="00364C5D">
      <w:pPr>
        <w:numPr>
          <w:ilvl w:val="0"/>
          <w:numId w:val="44"/>
        </w:numPr>
        <w:spacing w:after="0" w:line="276" w:lineRule="auto"/>
        <w:contextualSpacing/>
        <w:rPr>
          <w:rFonts w:asciiTheme="majorHAnsi" w:eastAsia="Times New Roman" w:hAnsiTheme="majorHAnsi" w:cstheme="majorHAnsi"/>
          <w:sz w:val="23"/>
          <w:szCs w:val="23"/>
          <w:lang w:eastAsia="en-GB"/>
        </w:rPr>
      </w:pPr>
      <w:r w:rsidRPr="004C4495">
        <w:rPr>
          <w:rFonts w:asciiTheme="majorHAnsi" w:eastAsia="Times New Roman" w:hAnsiTheme="majorHAnsi" w:cstheme="majorHAnsi"/>
          <w:sz w:val="23"/>
          <w:szCs w:val="23"/>
          <w:lang w:eastAsia="en-GB"/>
        </w:rPr>
        <w:t xml:space="preserve">Housing differentiation and renewal in the middle-ring suburbs of Sydney </w:t>
      </w:r>
      <w:r w:rsidRPr="004C4495">
        <w:rPr>
          <w:rFonts w:asciiTheme="majorHAnsi" w:eastAsia="Times New Roman" w:hAnsiTheme="majorHAnsi" w:cstheme="majorHAnsi"/>
          <w:noProof/>
          <w:sz w:val="23"/>
          <w:szCs w:val="23"/>
          <w:lang w:eastAsia="en-GB"/>
        </w:rPr>
        <w:t>(Randolph &amp; Freestone, 2012)</w:t>
      </w:r>
    </w:p>
    <w:p w14:paraId="6641EBE6" w14:textId="77777777" w:rsidR="00F00E3D" w:rsidRPr="004C4495" w:rsidRDefault="00F00E3D" w:rsidP="00364C5D">
      <w:pPr>
        <w:numPr>
          <w:ilvl w:val="0"/>
          <w:numId w:val="44"/>
        </w:numPr>
        <w:spacing w:after="0" w:line="276" w:lineRule="auto"/>
        <w:contextualSpacing/>
        <w:rPr>
          <w:rFonts w:asciiTheme="majorHAnsi" w:eastAsia="Times New Roman" w:hAnsiTheme="majorHAnsi" w:cstheme="majorHAnsi"/>
          <w:sz w:val="23"/>
          <w:szCs w:val="23"/>
          <w:lang w:eastAsia="en-GB"/>
        </w:rPr>
      </w:pPr>
      <w:r w:rsidRPr="004C4495">
        <w:rPr>
          <w:rFonts w:asciiTheme="majorHAnsi" w:eastAsia="Times New Roman" w:hAnsiTheme="majorHAnsi" w:cstheme="majorHAnsi"/>
          <w:sz w:val="23"/>
          <w:szCs w:val="23"/>
          <w:lang w:eastAsia="en-GB"/>
        </w:rPr>
        <w:t>Evaluation of GoWell</w:t>
      </w:r>
      <w:r>
        <w:rPr>
          <w:rFonts w:asciiTheme="majorHAnsi" w:eastAsia="Times New Roman" w:hAnsiTheme="majorHAnsi" w:cstheme="majorHAnsi"/>
          <w:sz w:val="23"/>
          <w:szCs w:val="23"/>
          <w:lang w:eastAsia="en-GB"/>
        </w:rPr>
        <w:t>,</w:t>
      </w:r>
      <w:r w:rsidRPr="004C4495">
        <w:rPr>
          <w:rFonts w:asciiTheme="majorHAnsi" w:eastAsia="Times New Roman" w:hAnsiTheme="majorHAnsi" w:cstheme="majorHAnsi"/>
          <w:sz w:val="23"/>
          <w:szCs w:val="23"/>
          <w:lang w:eastAsia="en-GB"/>
        </w:rPr>
        <w:t xml:space="preserve"> a citywide investment program </w:t>
      </w:r>
      <w:r>
        <w:rPr>
          <w:rFonts w:asciiTheme="majorHAnsi" w:eastAsia="Times New Roman" w:hAnsiTheme="majorHAnsi" w:cstheme="majorHAnsi"/>
          <w:sz w:val="23"/>
          <w:szCs w:val="23"/>
          <w:lang w:eastAsia="en-GB"/>
        </w:rPr>
        <w:t>for</w:t>
      </w:r>
      <w:r w:rsidRPr="004C4495">
        <w:rPr>
          <w:rFonts w:asciiTheme="majorHAnsi" w:eastAsia="Times New Roman" w:hAnsiTheme="majorHAnsi" w:cstheme="majorHAnsi"/>
          <w:sz w:val="23"/>
          <w:szCs w:val="23"/>
          <w:lang w:eastAsia="en-GB"/>
        </w:rPr>
        <w:t xml:space="preserve"> urban renewal in Glasgow (UK) </w:t>
      </w:r>
      <w:r w:rsidRPr="004C4495">
        <w:rPr>
          <w:rFonts w:asciiTheme="majorHAnsi" w:eastAsia="Times New Roman" w:hAnsiTheme="majorHAnsi" w:cstheme="majorHAnsi"/>
          <w:noProof/>
          <w:sz w:val="23"/>
          <w:szCs w:val="23"/>
          <w:lang w:eastAsia="en-GB"/>
        </w:rPr>
        <w:t>(Egan et al., 2016)</w:t>
      </w:r>
    </w:p>
    <w:p w14:paraId="0A03D590" w14:textId="77777777" w:rsidR="00F00E3D" w:rsidRPr="004C4495" w:rsidRDefault="00F00E3D" w:rsidP="00364C5D">
      <w:pPr>
        <w:numPr>
          <w:ilvl w:val="0"/>
          <w:numId w:val="44"/>
        </w:numPr>
        <w:spacing w:after="0" w:line="276" w:lineRule="auto"/>
        <w:contextualSpacing/>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 xml:space="preserve">A </w:t>
      </w:r>
      <w:r w:rsidRPr="004C4495">
        <w:rPr>
          <w:rFonts w:asciiTheme="majorHAnsi" w:eastAsia="Times New Roman" w:hAnsiTheme="majorHAnsi" w:cstheme="majorHAnsi"/>
          <w:sz w:val="23"/>
          <w:szCs w:val="23"/>
          <w:lang w:eastAsia="en-GB"/>
        </w:rPr>
        <w:t xml:space="preserve">study of an urban renewal program in a socially disadvantaged neighbourhood in Sydney </w:t>
      </w:r>
      <w:r w:rsidRPr="004C4495">
        <w:rPr>
          <w:rFonts w:asciiTheme="majorHAnsi" w:eastAsia="Times New Roman" w:hAnsiTheme="majorHAnsi" w:cstheme="majorHAnsi"/>
          <w:noProof/>
          <w:sz w:val="23"/>
          <w:szCs w:val="23"/>
          <w:lang w:eastAsia="en-GB"/>
        </w:rPr>
        <w:t>(Jalaludin et al., 2012)</w:t>
      </w:r>
    </w:p>
    <w:p w14:paraId="5024A438" w14:textId="77777777" w:rsidR="00F00E3D" w:rsidRPr="004C4495" w:rsidRDefault="00F00E3D" w:rsidP="00364C5D">
      <w:pPr>
        <w:numPr>
          <w:ilvl w:val="0"/>
          <w:numId w:val="44"/>
        </w:numPr>
        <w:spacing w:after="0" w:line="276" w:lineRule="auto"/>
        <w:contextualSpacing/>
        <w:rPr>
          <w:rFonts w:asciiTheme="majorHAnsi" w:eastAsia="Times New Roman" w:hAnsiTheme="majorHAnsi" w:cstheme="majorHAnsi"/>
          <w:sz w:val="23"/>
          <w:szCs w:val="23"/>
          <w:lang w:eastAsia="en-GB"/>
        </w:rPr>
      </w:pPr>
      <w:r w:rsidRPr="004C4495">
        <w:rPr>
          <w:rFonts w:asciiTheme="majorHAnsi" w:eastAsia="Times New Roman" w:hAnsiTheme="majorHAnsi" w:cstheme="majorHAnsi"/>
          <w:sz w:val="23"/>
          <w:szCs w:val="23"/>
          <w:lang w:eastAsia="en-GB"/>
        </w:rPr>
        <w:t>A complex for homeless and low-income residents in Northeast Washington, DC</w:t>
      </w:r>
      <w:r>
        <w:rPr>
          <w:rFonts w:asciiTheme="majorHAnsi" w:eastAsia="Times New Roman" w:hAnsiTheme="majorHAnsi" w:cstheme="majorHAnsi"/>
          <w:sz w:val="23"/>
          <w:szCs w:val="23"/>
          <w:lang w:eastAsia="en-GB"/>
        </w:rPr>
        <w:t>,</w:t>
      </w:r>
      <w:r w:rsidRPr="004C4495">
        <w:rPr>
          <w:rFonts w:asciiTheme="majorHAnsi" w:eastAsia="Times New Roman" w:hAnsiTheme="majorHAnsi" w:cstheme="majorHAnsi"/>
          <w:sz w:val="23"/>
          <w:szCs w:val="23"/>
          <w:lang w:eastAsia="en-GB"/>
        </w:rPr>
        <w:t xml:space="preserve"> a</w:t>
      </w:r>
      <w:r>
        <w:rPr>
          <w:rFonts w:asciiTheme="majorHAnsi" w:eastAsia="Times New Roman" w:hAnsiTheme="majorHAnsi" w:cstheme="majorHAnsi"/>
          <w:sz w:val="23"/>
          <w:szCs w:val="23"/>
          <w:lang w:eastAsia="en-GB"/>
        </w:rPr>
        <w:t>n</w:t>
      </w:r>
      <w:r w:rsidRPr="004C4495">
        <w:rPr>
          <w:rFonts w:asciiTheme="majorHAnsi" w:eastAsia="Times New Roman" w:hAnsiTheme="majorHAnsi" w:cstheme="majorHAnsi"/>
          <w:sz w:val="23"/>
          <w:szCs w:val="23"/>
          <w:lang w:eastAsia="en-GB"/>
        </w:rPr>
        <w:t xml:space="preserve"> initiative of the Healthy Futures Fund (a partnership created to invest in communities across the US that is working to link low-income housing residents to health care services </w:t>
      </w:r>
      <w:r w:rsidRPr="004C4495">
        <w:rPr>
          <w:rFonts w:asciiTheme="majorHAnsi" w:eastAsia="Times New Roman" w:hAnsiTheme="majorHAnsi" w:cstheme="majorHAnsi"/>
          <w:noProof/>
          <w:sz w:val="23"/>
          <w:szCs w:val="23"/>
          <w:lang w:eastAsia="en-GB"/>
        </w:rPr>
        <w:t>(Bylander, 2014)</w:t>
      </w:r>
    </w:p>
    <w:p w14:paraId="28BCC6F2" w14:textId="77777777" w:rsidR="00F00E3D" w:rsidRPr="004C4495" w:rsidRDefault="00F00E3D" w:rsidP="00364C5D">
      <w:pPr>
        <w:numPr>
          <w:ilvl w:val="0"/>
          <w:numId w:val="44"/>
        </w:numPr>
        <w:spacing w:after="0" w:line="276" w:lineRule="auto"/>
        <w:contextualSpacing/>
        <w:rPr>
          <w:rFonts w:asciiTheme="majorHAnsi" w:eastAsia="Times New Roman" w:hAnsiTheme="majorHAnsi" w:cstheme="majorHAnsi"/>
          <w:sz w:val="23"/>
          <w:szCs w:val="23"/>
          <w:lang w:eastAsia="en-GB"/>
        </w:rPr>
      </w:pPr>
      <w:r w:rsidRPr="004C4495">
        <w:rPr>
          <w:rFonts w:asciiTheme="majorHAnsi" w:eastAsia="Times New Roman" w:hAnsiTheme="majorHAnsi" w:cstheme="majorHAnsi"/>
          <w:sz w:val="23"/>
          <w:szCs w:val="23"/>
          <w:lang w:eastAsia="en-GB"/>
        </w:rPr>
        <w:t xml:space="preserve">The impact of community engagement in neighbourhood regeneration in Canley, Coventry, in the UK </w:t>
      </w:r>
      <w:r>
        <w:rPr>
          <w:rFonts w:asciiTheme="majorHAnsi" w:eastAsia="Times New Roman" w:hAnsiTheme="majorHAnsi" w:cstheme="majorHAnsi"/>
          <w:noProof/>
          <w:sz w:val="23"/>
          <w:szCs w:val="23"/>
          <w:lang w:eastAsia="en-GB"/>
        </w:rPr>
        <w:t>(Jarvis, Berkeley, &amp; Broughton, 2012)</w:t>
      </w:r>
      <w:r>
        <w:rPr>
          <w:rFonts w:asciiTheme="majorHAnsi" w:eastAsia="Times New Roman" w:hAnsiTheme="majorHAnsi" w:cstheme="majorHAnsi"/>
          <w:sz w:val="23"/>
          <w:szCs w:val="23"/>
          <w:lang w:eastAsia="en-GB"/>
        </w:rPr>
        <w:t>.</w:t>
      </w:r>
    </w:p>
    <w:p w14:paraId="6D28FA24" w14:textId="77777777" w:rsidR="00F00E3D" w:rsidRPr="001E292D" w:rsidRDefault="00F00E3D" w:rsidP="009B2FA7">
      <w:pPr>
        <w:spacing w:after="0" w:line="276" w:lineRule="auto"/>
        <w:rPr>
          <w:rFonts w:asciiTheme="majorHAnsi" w:eastAsia="Times New Roman" w:hAnsiTheme="majorHAnsi" w:cstheme="majorHAnsi"/>
          <w:sz w:val="16"/>
          <w:szCs w:val="16"/>
          <w:lang w:eastAsia="en-GB"/>
        </w:rPr>
      </w:pPr>
    </w:p>
    <w:p w14:paraId="077F7A2E" w14:textId="2ECFCB1C" w:rsidR="005A4331" w:rsidRDefault="00F00E3D" w:rsidP="009B2FA7">
      <w:pPr>
        <w:autoSpaceDE w:val="0"/>
        <w:autoSpaceDN w:val="0"/>
        <w:adjustRightInd w:val="0"/>
        <w:spacing w:after="0" w:line="276" w:lineRule="auto"/>
        <w:rPr>
          <w:rFonts w:asciiTheme="majorHAnsi" w:eastAsia="Times New Roman" w:hAnsiTheme="majorHAnsi" w:cstheme="majorBidi"/>
          <w:sz w:val="23"/>
          <w:szCs w:val="23"/>
          <w:lang w:eastAsia="en-GB"/>
        </w:rPr>
      </w:pPr>
      <w:r w:rsidRPr="004C4495">
        <w:rPr>
          <w:rFonts w:asciiTheme="majorHAnsi" w:eastAsia="Times New Roman" w:hAnsiTheme="majorHAnsi" w:cstheme="majorBidi"/>
          <w:sz w:val="23"/>
          <w:szCs w:val="23"/>
          <w:lang w:eastAsia="en-GB"/>
        </w:rPr>
        <w:t xml:space="preserve">The studies evaluating </w:t>
      </w:r>
      <w:r w:rsidR="000E3CA9">
        <w:rPr>
          <w:rFonts w:asciiTheme="majorHAnsi" w:eastAsia="Times New Roman" w:hAnsiTheme="majorHAnsi" w:cstheme="majorBidi"/>
          <w:sz w:val="23"/>
          <w:szCs w:val="23"/>
          <w:lang w:eastAsia="en-GB"/>
        </w:rPr>
        <w:t>Victoria’s</w:t>
      </w:r>
      <w:r w:rsidRPr="004C4495">
        <w:rPr>
          <w:rFonts w:asciiTheme="majorHAnsi" w:eastAsia="Times New Roman" w:hAnsiTheme="majorHAnsi" w:cstheme="majorBidi"/>
          <w:sz w:val="23"/>
          <w:szCs w:val="23"/>
          <w:lang w:eastAsia="en-GB"/>
        </w:rPr>
        <w:t xml:space="preserve"> Neighbourhood Renewal </w:t>
      </w:r>
      <w:r>
        <w:rPr>
          <w:rFonts w:asciiTheme="majorHAnsi" w:eastAsia="Times New Roman" w:hAnsiTheme="majorHAnsi" w:cstheme="majorBidi"/>
          <w:sz w:val="23"/>
          <w:szCs w:val="23"/>
          <w:lang w:eastAsia="en-GB"/>
        </w:rPr>
        <w:t xml:space="preserve">Program </w:t>
      </w:r>
      <w:r w:rsidRPr="004C4495">
        <w:rPr>
          <w:rFonts w:asciiTheme="majorHAnsi" w:eastAsia="Times New Roman" w:hAnsiTheme="majorHAnsi" w:cstheme="majorBidi"/>
          <w:sz w:val="23"/>
          <w:szCs w:val="23"/>
          <w:lang w:eastAsia="en-GB"/>
        </w:rPr>
        <w:t>(NR</w:t>
      </w:r>
      <w:r>
        <w:rPr>
          <w:rFonts w:asciiTheme="majorHAnsi" w:eastAsia="Times New Roman" w:hAnsiTheme="majorHAnsi" w:cstheme="majorBidi"/>
          <w:sz w:val="23"/>
          <w:szCs w:val="23"/>
          <w:lang w:eastAsia="en-GB"/>
        </w:rPr>
        <w:t>P</w:t>
      </w:r>
      <w:r w:rsidRPr="004C4495">
        <w:rPr>
          <w:rFonts w:asciiTheme="majorHAnsi" w:eastAsia="Times New Roman" w:hAnsiTheme="majorHAnsi" w:cstheme="majorBidi"/>
          <w:sz w:val="23"/>
          <w:szCs w:val="23"/>
          <w:lang w:eastAsia="en-GB"/>
        </w:rPr>
        <w:t>) are worth closer examination because of their relevance to the research context. The NR</w:t>
      </w:r>
      <w:r>
        <w:rPr>
          <w:rFonts w:asciiTheme="majorHAnsi" w:eastAsia="Times New Roman" w:hAnsiTheme="majorHAnsi" w:cstheme="majorBidi"/>
          <w:sz w:val="23"/>
          <w:szCs w:val="23"/>
          <w:lang w:eastAsia="en-GB"/>
        </w:rPr>
        <w:t>P</w:t>
      </w:r>
      <w:r w:rsidRPr="004C4495">
        <w:rPr>
          <w:rFonts w:asciiTheme="majorHAnsi" w:eastAsia="Times New Roman" w:hAnsiTheme="majorHAnsi" w:cstheme="majorBidi"/>
          <w:sz w:val="23"/>
          <w:szCs w:val="23"/>
          <w:lang w:eastAsia="en-GB"/>
        </w:rPr>
        <w:t xml:space="preserve"> aimed to address disadvantage, poverty</w:t>
      </w:r>
      <w:r w:rsidR="005A4331">
        <w:rPr>
          <w:rFonts w:asciiTheme="majorHAnsi" w:eastAsia="Times New Roman" w:hAnsiTheme="majorHAnsi" w:cstheme="majorBidi"/>
          <w:sz w:val="23"/>
          <w:szCs w:val="23"/>
          <w:lang w:eastAsia="en-GB"/>
        </w:rPr>
        <w:t>,</w:t>
      </w:r>
      <w:r w:rsidRPr="004C4495">
        <w:rPr>
          <w:rFonts w:asciiTheme="majorHAnsi" w:eastAsia="Times New Roman" w:hAnsiTheme="majorHAnsi" w:cstheme="majorBidi"/>
          <w:sz w:val="23"/>
          <w:szCs w:val="23"/>
          <w:lang w:eastAsia="en-GB"/>
        </w:rPr>
        <w:t xml:space="preserve"> and social exclusion in neighbourhoods with concentrations of public housing. An integrated</w:t>
      </w:r>
      <w:r w:rsidR="000E3CA9">
        <w:rPr>
          <w:rFonts w:asciiTheme="majorHAnsi" w:eastAsia="Times New Roman" w:hAnsiTheme="majorHAnsi" w:cstheme="majorBidi"/>
          <w:sz w:val="23"/>
          <w:szCs w:val="23"/>
          <w:lang w:eastAsia="en-GB"/>
        </w:rPr>
        <w:t>, place-based</w:t>
      </w:r>
      <w:r w:rsidRPr="004C4495">
        <w:rPr>
          <w:rFonts w:asciiTheme="majorHAnsi" w:eastAsia="Times New Roman" w:hAnsiTheme="majorHAnsi" w:cstheme="majorBidi"/>
          <w:sz w:val="23"/>
          <w:szCs w:val="23"/>
          <w:lang w:eastAsia="en-GB"/>
        </w:rPr>
        <w:t xml:space="preserve"> approach was used</w:t>
      </w:r>
      <w:r>
        <w:rPr>
          <w:rFonts w:asciiTheme="majorHAnsi" w:eastAsia="Times New Roman" w:hAnsiTheme="majorHAnsi" w:cstheme="majorBidi"/>
          <w:sz w:val="23"/>
          <w:szCs w:val="23"/>
          <w:lang w:eastAsia="en-GB"/>
        </w:rPr>
        <w:t xml:space="preserve">. Like </w:t>
      </w:r>
      <w:r w:rsidRPr="004C4495">
        <w:rPr>
          <w:rFonts w:asciiTheme="majorHAnsi" w:eastAsia="Times New Roman" w:hAnsiTheme="majorHAnsi" w:cstheme="majorBidi"/>
          <w:sz w:val="23"/>
          <w:szCs w:val="23"/>
          <w:lang w:eastAsia="en-GB"/>
        </w:rPr>
        <w:t>the community development programs described earlier,</w:t>
      </w:r>
      <w:r>
        <w:rPr>
          <w:rFonts w:asciiTheme="majorHAnsi" w:eastAsia="Times New Roman" w:hAnsiTheme="majorHAnsi" w:cstheme="majorBidi"/>
          <w:sz w:val="23"/>
          <w:szCs w:val="23"/>
          <w:lang w:eastAsia="en-GB"/>
        </w:rPr>
        <w:t xml:space="preserve"> it combined</w:t>
      </w:r>
      <w:r w:rsidRPr="004C4495">
        <w:rPr>
          <w:rFonts w:asciiTheme="majorHAnsi" w:eastAsia="Times New Roman" w:hAnsiTheme="majorHAnsi" w:cstheme="majorBidi"/>
          <w:sz w:val="23"/>
          <w:szCs w:val="23"/>
          <w:lang w:eastAsia="en-GB"/>
        </w:rPr>
        <w:t xml:space="preserve"> the resources of government, residents, the community sector</w:t>
      </w:r>
      <w:r>
        <w:rPr>
          <w:rFonts w:asciiTheme="majorHAnsi" w:eastAsia="Times New Roman" w:hAnsiTheme="majorHAnsi" w:cstheme="majorBidi"/>
          <w:sz w:val="23"/>
          <w:szCs w:val="23"/>
          <w:lang w:eastAsia="en-GB"/>
        </w:rPr>
        <w:t>,</w:t>
      </w:r>
      <w:r w:rsidRPr="004C4495">
        <w:rPr>
          <w:rFonts w:asciiTheme="majorHAnsi" w:eastAsia="Times New Roman" w:hAnsiTheme="majorHAnsi" w:cstheme="majorBidi"/>
          <w:sz w:val="23"/>
          <w:szCs w:val="23"/>
          <w:lang w:eastAsia="en-GB"/>
        </w:rPr>
        <w:t xml:space="preserve"> and local businesses.</w:t>
      </w:r>
    </w:p>
    <w:p w14:paraId="5FDCA5C1" w14:textId="77777777" w:rsidR="005A4331" w:rsidRPr="005A4331" w:rsidRDefault="005A4331" w:rsidP="009B2FA7">
      <w:pPr>
        <w:autoSpaceDE w:val="0"/>
        <w:autoSpaceDN w:val="0"/>
        <w:adjustRightInd w:val="0"/>
        <w:spacing w:after="0" w:line="276" w:lineRule="auto"/>
        <w:rPr>
          <w:rFonts w:asciiTheme="majorHAnsi" w:eastAsia="Times New Roman" w:hAnsiTheme="majorHAnsi" w:cstheme="majorBidi"/>
          <w:sz w:val="16"/>
          <w:szCs w:val="16"/>
          <w:lang w:eastAsia="en-GB"/>
        </w:rPr>
      </w:pPr>
    </w:p>
    <w:p w14:paraId="58113B2D" w14:textId="407EE9D0" w:rsidR="00F00E3D" w:rsidRPr="004C4495" w:rsidRDefault="00F00E3D" w:rsidP="009B2FA7">
      <w:pPr>
        <w:autoSpaceDE w:val="0"/>
        <w:autoSpaceDN w:val="0"/>
        <w:adjustRightInd w:val="0"/>
        <w:spacing w:after="0" w:line="276" w:lineRule="auto"/>
        <w:rPr>
          <w:rFonts w:asciiTheme="majorHAnsi" w:hAnsiTheme="majorHAnsi" w:cstheme="majorBidi"/>
          <w:sz w:val="23"/>
          <w:szCs w:val="23"/>
          <w:lang w:val="en-GB"/>
        </w:rPr>
      </w:pPr>
      <w:r w:rsidRPr="004C4495">
        <w:rPr>
          <w:rFonts w:asciiTheme="majorHAnsi" w:eastAsia="Times New Roman" w:hAnsiTheme="majorHAnsi" w:cstheme="majorBidi"/>
          <w:sz w:val="23"/>
          <w:szCs w:val="23"/>
          <w:lang w:eastAsia="en-GB"/>
        </w:rPr>
        <w:t>Between 2002 and 2012, 21 project</w:t>
      </w:r>
      <w:r>
        <w:rPr>
          <w:rFonts w:asciiTheme="majorHAnsi" w:eastAsia="Times New Roman" w:hAnsiTheme="majorHAnsi" w:cstheme="majorBidi"/>
          <w:sz w:val="23"/>
          <w:szCs w:val="23"/>
          <w:lang w:eastAsia="en-GB"/>
        </w:rPr>
        <w:t xml:space="preserve"> sites</w:t>
      </w:r>
      <w:r w:rsidRPr="004C4495">
        <w:rPr>
          <w:rFonts w:asciiTheme="majorHAnsi" w:eastAsia="Times New Roman" w:hAnsiTheme="majorHAnsi" w:cstheme="majorBidi"/>
          <w:sz w:val="23"/>
          <w:szCs w:val="23"/>
          <w:lang w:eastAsia="en-GB"/>
        </w:rPr>
        <w:t xml:space="preserve"> in metropolitan and regional Victoria were progressively launched. Kelaher et al</w:t>
      </w:r>
      <w:r w:rsidR="000E3CA9">
        <w:rPr>
          <w:rFonts w:asciiTheme="majorHAnsi" w:eastAsia="Times New Roman" w:hAnsiTheme="majorHAnsi" w:cstheme="majorBidi"/>
          <w:sz w:val="23"/>
          <w:szCs w:val="23"/>
          <w:lang w:eastAsia="en-GB"/>
        </w:rPr>
        <w:t>.</w:t>
      </w:r>
      <w:r w:rsidRPr="004C4495">
        <w:rPr>
          <w:rFonts w:asciiTheme="majorHAnsi" w:eastAsia="Times New Roman" w:hAnsiTheme="majorHAnsi" w:cstheme="majorBidi"/>
          <w:sz w:val="23"/>
          <w:szCs w:val="23"/>
          <w:lang w:eastAsia="en-GB"/>
        </w:rPr>
        <w:t xml:space="preserve"> examined the impact of the program in the five metropolitan sites involved in first phase of the project </w:t>
      </w:r>
      <w:r w:rsidRPr="004C4495">
        <w:rPr>
          <w:rFonts w:asciiTheme="majorHAnsi" w:eastAsia="Times New Roman" w:hAnsiTheme="majorHAnsi" w:cstheme="majorBidi"/>
          <w:noProof/>
          <w:sz w:val="23"/>
          <w:szCs w:val="23"/>
          <w:lang w:eastAsia="en-GB"/>
        </w:rPr>
        <w:t>(2010)</w:t>
      </w:r>
      <w:r w:rsidRPr="004C4495">
        <w:rPr>
          <w:rFonts w:asciiTheme="majorHAnsi" w:eastAsia="Times New Roman" w:hAnsiTheme="majorHAnsi" w:cstheme="majorBidi"/>
          <w:sz w:val="23"/>
          <w:szCs w:val="23"/>
          <w:lang w:eastAsia="en-GB"/>
        </w:rPr>
        <w:t xml:space="preserve"> and found that the health and life satisfaction of people living in NR areas improved relative to people in the Local Government Area</w:t>
      </w:r>
      <w:r>
        <w:rPr>
          <w:rFonts w:asciiTheme="majorHAnsi" w:eastAsia="Times New Roman" w:hAnsiTheme="majorHAnsi" w:cstheme="majorBidi"/>
          <w:sz w:val="23"/>
          <w:szCs w:val="23"/>
          <w:lang w:eastAsia="en-GB"/>
        </w:rPr>
        <w:t xml:space="preserve"> overall</w:t>
      </w:r>
      <w:r w:rsidRPr="004C4495">
        <w:rPr>
          <w:rFonts w:asciiTheme="majorHAnsi" w:eastAsia="Times New Roman" w:hAnsiTheme="majorHAnsi" w:cstheme="majorBidi"/>
          <w:sz w:val="23"/>
          <w:szCs w:val="23"/>
          <w:lang w:eastAsia="en-GB"/>
        </w:rPr>
        <w:t xml:space="preserve">. Shield et al </w:t>
      </w:r>
      <w:r>
        <w:rPr>
          <w:rFonts w:asciiTheme="majorHAnsi" w:eastAsia="Times New Roman" w:hAnsiTheme="majorHAnsi" w:cstheme="majorBidi"/>
          <w:sz w:val="23"/>
          <w:szCs w:val="23"/>
          <w:lang w:eastAsia="en-GB"/>
        </w:rPr>
        <w:t xml:space="preserve">(2011) </w:t>
      </w:r>
      <w:r w:rsidRPr="004C4495">
        <w:rPr>
          <w:rFonts w:asciiTheme="majorHAnsi" w:eastAsia="Times New Roman" w:hAnsiTheme="majorHAnsi" w:cstheme="majorBidi"/>
          <w:sz w:val="23"/>
          <w:szCs w:val="23"/>
          <w:lang w:eastAsia="en-GB"/>
        </w:rPr>
        <w:t xml:space="preserve">present the findings from two individual project sites, </w:t>
      </w:r>
      <w:r w:rsidRPr="004C4495">
        <w:rPr>
          <w:rFonts w:asciiTheme="majorHAnsi" w:hAnsiTheme="majorHAnsi" w:cstheme="majorBidi"/>
          <w:sz w:val="23"/>
          <w:szCs w:val="23"/>
          <w:lang w:val="en-GB"/>
        </w:rPr>
        <w:t>drawing on data collected by the Neighbourhood Renewal Branch in Corio</w:t>
      </w:r>
      <w:r>
        <w:rPr>
          <w:rFonts w:asciiTheme="majorHAnsi" w:hAnsiTheme="majorHAnsi" w:cstheme="majorBidi"/>
          <w:sz w:val="23"/>
          <w:szCs w:val="23"/>
          <w:lang w:val="en-GB"/>
        </w:rPr>
        <w:t>–</w:t>
      </w:r>
      <w:r w:rsidRPr="004C4495">
        <w:rPr>
          <w:rFonts w:asciiTheme="majorHAnsi" w:hAnsiTheme="majorHAnsi" w:cstheme="majorBidi"/>
          <w:sz w:val="23"/>
          <w:szCs w:val="23"/>
          <w:lang w:val="en-GB"/>
        </w:rPr>
        <w:t>Norlane and Colac. The study found encouraging and positive improvements in social inclusion for both sites. While broad shifts were found in both areas towards more trust in higher levels of government, increases in the percentage of respondents who perceived improvement in government performance was only recorded for Corio</w:t>
      </w:r>
      <w:r>
        <w:rPr>
          <w:rFonts w:asciiTheme="majorHAnsi" w:hAnsiTheme="majorHAnsi" w:cstheme="majorBidi"/>
          <w:sz w:val="23"/>
          <w:szCs w:val="23"/>
          <w:lang w:val="en-GB"/>
        </w:rPr>
        <w:t>–</w:t>
      </w:r>
      <w:r w:rsidRPr="004C4495">
        <w:rPr>
          <w:rFonts w:asciiTheme="majorHAnsi" w:hAnsiTheme="majorHAnsi" w:cstheme="majorBidi"/>
          <w:sz w:val="23"/>
          <w:szCs w:val="23"/>
          <w:lang w:val="en-GB"/>
        </w:rPr>
        <w:t xml:space="preserve">Norlane respondents. Further, for Colac: </w:t>
      </w:r>
    </w:p>
    <w:p w14:paraId="2818102E" w14:textId="77777777" w:rsidR="00F00E3D" w:rsidRPr="009A2571" w:rsidRDefault="00F00E3D" w:rsidP="009B2FA7">
      <w:pPr>
        <w:autoSpaceDE w:val="0"/>
        <w:autoSpaceDN w:val="0"/>
        <w:adjustRightInd w:val="0"/>
        <w:spacing w:after="0" w:line="276" w:lineRule="auto"/>
        <w:rPr>
          <w:rFonts w:asciiTheme="majorHAnsi" w:hAnsiTheme="majorHAnsi" w:cstheme="majorHAnsi"/>
          <w:sz w:val="16"/>
          <w:szCs w:val="16"/>
          <w:lang w:val="en-GB"/>
        </w:rPr>
      </w:pPr>
    </w:p>
    <w:p w14:paraId="3E317E97" w14:textId="77777777" w:rsidR="00F00E3D" w:rsidRPr="009A2571" w:rsidRDefault="00F00E3D" w:rsidP="009B2FA7">
      <w:pPr>
        <w:autoSpaceDE w:val="0"/>
        <w:autoSpaceDN w:val="0"/>
        <w:adjustRightInd w:val="0"/>
        <w:spacing w:after="0" w:line="276" w:lineRule="auto"/>
        <w:ind w:left="720"/>
        <w:rPr>
          <w:rFonts w:asciiTheme="majorHAnsi" w:hAnsiTheme="majorHAnsi" w:cstheme="majorHAnsi"/>
          <w:sz w:val="23"/>
          <w:szCs w:val="23"/>
          <w:lang w:val="en-GB"/>
        </w:rPr>
      </w:pPr>
      <w:r w:rsidRPr="009A2571">
        <w:rPr>
          <w:rFonts w:asciiTheme="majorHAnsi" w:hAnsiTheme="majorHAnsi" w:cstheme="majorHAnsi"/>
          <w:sz w:val="23"/>
          <w:szCs w:val="23"/>
          <w:lang w:val="en-GB"/>
        </w:rPr>
        <w:t xml:space="preserve">there was a substantial swing “in the percentage of respondents who rated the general services in the area as good. Interestingly, this was not apparent when other specific services were addressed, for example opportunities and facilities to get education were less likely to be rated </w:t>
      </w:r>
      <w:r w:rsidRPr="009A2571">
        <w:rPr>
          <w:rFonts w:asciiTheme="majorHAnsi" w:hAnsiTheme="majorHAnsi" w:cstheme="majorHAnsi"/>
          <w:sz w:val="23"/>
          <w:szCs w:val="23"/>
          <w:lang w:val="en-GB"/>
        </w:rPr>
        <w:lastRenderedPageBreak/>
        <w:t xml:space="preserve">as good, as were opportunities for employment and the services that assist you to find employment </w:t>
      </w:r>
      <w:r>
        <w:rPr>
          <w:rFonts w:asciiTheme="majorHAnsi" w:hAnsiTheme="majorHAnsi" w:cstheme="majorHAnsi"/>
          <w:noProof/>
          <w:sz w:val="23"/>
          <w:szCs w:val="23"/>
          <w:lang w:val="en-GB"/>
        </w:rPr>
        <w:t>(Shield et al., 2011, p. 9)</w:t>
      </w:r>
      <w:r w:rsidRPr="009A2571">
        <w:rPr>
          <w:rFonts w:asciiTheme="majorHAnsi" w:hAnsiTheme="majorHAnsi" w:cstheme="majorHAnsi"/>
          <w:sz w:val="23"/>
          <w:szCs w:val="23"/>
          <w:lang w:val="en-GB"/>
        </w:rPr>
        <w:t>.</w:t>
      </w:r>
    </w:p>
    <w:p w14:paraId="0BD24472" w14:textId="77777777" w:rsidR="00F00E3D" w:rsidRPr="009A2571" w:rsidRDefault="00F00E3D" w:rsidP="009B2FA7">
      <w:pPr>
        <w:autoSpaceDE w:val="0"/>
        <w:autoSpaceDN w:val="0"/>
        <w:adjustRightInd w:val="0"/>
        <w:spacing w:after="0" w:line="276" w:lineRule="auto"/>
        <w:rPr>
          <w:rFonts w:asciiTheme="majorHAnsi" w:hAnsiTheme="majorHAnsi" w:cstheme="majorHAnsi"/>
          <w:sz w:val="16"/>
          <w:szCs w:val="16"/>
          <w:lang w:val="en-GB"/>
        </w:rPr>
      </w:pPr>
    </w:p>
    <w:p w14:paraId="1C9877DF" w14:textId="5B4E0AE7" w:rsidR="00F00E3D" w:rsidRPr="009A2571" w:rsidRDefault="00F00E3D" w:rsidP="009B2FA7">
      <w:pPr>
        <w:autoSpaceDE w:val="0"/>
        <w:autoSpaceDN w:val="0"/>
        <w:adjustRightInd w:val="0"/>
        <w:spacing w:after="0" w:line="276" w:lineRule="auto"/>
        <w:rPr>
          <w:rFonts w:asciiTheme="majorHAnsi" w:hAnsiTheme="majorHAnsi" w:cstheme="majorBidi"/>
          <w:sz w:val="23"/>
          <w:szCs w:val="23"/>
          <w:lang w:val="en-GB"/>
        </w:rPr>
      </w:pPr>
      <w:r w:rsidRPr="009A2571">
        <w:rPr>
          <w:rFonts w:asciiTheme="majorHAnsi" w:hAnsiTheme="majorHAnsi" w:cstheme="majorBidi"/>
          <w:sz w:val="23"/>
          <w:szCs w:val="23"/>
          <w:lang w:val="en-GB"/>
        </w:rPr>
        <w:t>The third paper evaluated the impact of the NR</w:t>
      </w:r>
      <w:r>
        <w:rPr>
          <w:rFonts w:asciiTheme="majorHAnsi" w:hAnsiTheme="majorHAnsi" w:cstheme="majorBidi"/>
          <w:sz w:val="23"/>
          <w:szCs w:val="23"/>
          <w:lang w:val="en-GB"/>
        </w:rPr>
        <w:t>P</w:t>
      </w:r>
      <w:r w:rsidRPr="009A2571">
        <w:rPr>
          <w:rFonts w:asciiTheme="majorHAnsi" w:hAnsiTheme="majorHAnsi" w:cstheme="majorBidi"/>
          <w:sz w:val="23"/>
          <w:szCs w:val="23"/>
          <w:lang w:val="en-GB"/>
        </w:rPr>
        <w:t xml:space="preserve"> on property values within or proximate to renewal sites in Melbourne. The approach is informed by the premise that if the renewal programs meet their goals, “the demand for housing in and around neighbourhood renewal sites will increase, and house prices rise by more than would otherwise be the case” </w:t>
      </w:r>
      <w:r>
        <w:rPr>
          <w:rFonts w:asciiTheme="majorHAnsi" w:hAnsiTheme="majorHAnsi" w:cstheme="majorBidi"/>
          <w:noProof/>
          <w:sz w:val="23"/>
          <w:szCs w:val="23"/>
          <w:lang w:val="en-GB"/>
        </w:rPr>
        <w:t>(Wood &amp; Cigdem, 2012, p. 1)</w:t>
      </w:r>
      <w:r w:rsidRPr="009A2571">
        <w:rPr>
          <w:rFonts w:asciiTheme="majorHAnsi" w:hAnsiTheme="majorHAnsi" w:cstheme="majorBidi"/>
          <w:sz w:val="23"/>
          <w:szCs w:val="23"/>
          <w:lang w:val="en-GB"/>
        </w:rPr>
        <w:t>. The study found that “if the expenditures on public housing and amenities (</w:t>
      </w:r>
      <w:proofErr w:type="gramStart"/>
      <w:r w:rsidRPr="009A2571">
        <w:rPr>
          <w:rFonts w:asciiTheme="majorHAnsi" w:hAnsiTheme="majorHAnsi" w:cstheme="majorBidi"/>
          <w:sz w:val="23"/>
          <w:szCs w:val="23"/>
          <w:lang w:val="en-GB"/>
        </w:rPr>
        <w:t>e.g.</w:t>
      </w:r>
      <w:proofErr w:type="gramEnd"/>
      <w:r w:rsidRPr="009A2571">
        <w:rPr>
          <w:rFonts w:asciiTheme="majorHAnsi" w:hAnsiTheme="majorHAnsi" w:cstheme="majorBidi"/>
          <w:sz w:val="23"/>
          <w:szCs w:val="23"/>
          <w:lang w:val="en-GB"/>
        </w:rPr>
        <w:t xml:space="preserve"> parks) in NR areas lift their capital values by an equal amount, our estimates of house price premiums can be regarded as </w:t>
      </w:r>
      <w:r w:rsidRPr="004474B4">
        <w:rPr>
          <w:rFonts w:asciiTheme="majorHAnsi" w:hAnsiTheme="majorHAnsi" w:cstheme="majorBidi"/>
          <w:sz w:val="23"/>
          <w:szCs w:val="23"/>
          <w:lang w:val="en-GB"/>
        </w:rPr>
        <w:t xml:space="preserve">measures of net benefits or net returns to investment outlays.” Of course, as noted in the </w:t>
      </w:r>
      <w:r w:rsidR="00AD2DA5">
        <w:rPr>
          <w:rFonts w:asciiTheme="majorHAnsi" w:hAnsiTheme="majorHAnsi" w:cstheme="majorBidi"/>
          <w:sz w:val="23"/>
          <w:szCs w:val="23"/>
          <w:lang w:val="en-GB"/>
        </w:rPr>
        <w:t>Case Studies</w:t>
      </w:r>
      <w:r w:rsidRPr="004474B4">
        <w:rPr>
          <w:rFonts w:asciiTheme="majorHAnsi" w:hAnsiTheme="majorHAnsi" w:cstheme="majorBidi"/>
          <w:sz w:val="23"/>
          <w:szCs w:val="23"/>
          <w:lang w:val="en-GB"/>
        </w:rPr>
        <w:t xml:space="preserve"> section (p.66), if N</w:t>
      </w:r>
      <w:r w:rsidR="00D13D0E">
        <w:rPr>
          <w:rFonts w:asciiTheme="majorHAnsi" w:hAnsiTheme="majorHAnsi" w:cstheme="majorBidi"/>
          <w:sz w:val="23"/>
          <w:szCs w:val="23"/>
          <w:lang w:val="en-GB"/>
        </w:rPr>
        <w:t xml:space="preserve">eighbourhood </w:t>
      </w:r>
      <w:r w:rsidRPr="004474B4">
        <w:rPr>
          <w:rFonts w:asciiTheme="majorHAnsi" w:hAnsiTheme="majorHAnsi" w:cstheme="majorBidi"/>
          <w:sz w:val="23"/>
          <w:szCs w:val="23"/>
          <w:lang w:val="en-GB"/>
        </w:rPr>
        <w:t>R</w:t>
      </w:r>
      <w:r w:rsidR="00D13D0E">
        <w:rPr>
          <w:rFonts w:asciiTheme="majorHAnsi" w:hAnsiTheme="majorHAnsi" w:cstheme="majorBidi"/>
          <w:sz w:val="23"/>
          <w:szCs w:val="23"/>
          <w:lang w:val="en-GB"/>
        </w:rPr>
        <w:t>enewal</w:t>
      </w:r>
      <w:r w:rsidRPr="004474B4">
        <w:rPr>
          <w:rFonts w:asciiTheme="majorHAnsi" w:hAnsiTheme="majorHAnsi" w:cstheme="majorBidi"/>
          <w:sz w:val="23"/>
          <w:szCs w:val="23"/>
          <w:lang w:val="en-GB"/>
        </w:rPr>
        <w:t xml:space="preserve"> leads to an inflation in house prices in neighbouring areas, gentrification and displacement of l</w:t>
      </w:r>
      <w:r w:rsidRPr="009A2571">
        <w:rPr>
          <w:rFonts w:asciiTheme="majorHAnsi" w:hAnsiTheme="majorHAnsi" w:cstheme="majorBidi"/>
          <w:sz w:val="23"/>
          <w:szCs w:val="23"/>
          <w:lang w:val="en-GB"/>
        </w:rPr>
        <w:t xml:space="preserve">ow-income households may follow as </w:t>
      </w:r>
      <w:r>
        <w:rPr>
          <w:rFonts w:asciiTheme="majorHAnsi" w:hAnsiTheme="majorHAnsi" w:cstheme="majorBidi"/>
          <w:sz w:val="23"/>
          <w:szCs w:val="23"/>
          <w:lang w:val="en-GB"/>
        </w:rPr>
        <w:t xml:space="preserve">a </w:t>
      </w:r>
      <w:r w:rsidRPr="009A2571">
        <w:rPr>
          <w:rFonts w:asciiTheme="majorHAnsi" w:hAnsiTheme="majorHAnsi" w:cstheme="majorBidi"/>
          <w:sz w:val="23"/>
          <w:szCs w:val="23"/>
          <w:lang w:val="en-GB"/>
        </w:rPr>
        <w:t>negative impact.</w:t>
      </w:r>
    </w:p>
    <w:p w14:paraId="203B712B" w14:textId="77777777" w:rsidR="00F00E3D" w:rsidRPr="00C97DD9" w:rsidRDefault="00F00E3D" w:rsidP="009B2FA7">
      <w:pPr>
        <w:autoSpaceDE w:val="0"/>
        <w:autoSpaceDN w:val="0"/>
        <w:adjustRightInd w:val="0"/>
        <w:spacing w:after="0" w:line="276" w:lineRule="auto"/>
        <w:rPr>
          <w:rFonts w:asciiTheme="majorHAnsi" w:hAnsiTheme="majorHAnsi" w:cstheme="majorHAnsi"/>
          <w:sz w:val="16"/>
          <w:szCs w:val="16"/>
          <w:lang w:val="en-GB"/>
        </w:rPr>
      </w:pPr>
    </w:p>
    <w:p w14:paraId="23713938" w14:textId="7D7D5DDB" w:rsidR="00F00E3D" w:rsidRPr="00C97DD9" w:rsidRDefault="009409DD" w:rsidP="009B2FA7">
      <w:p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O</w:t>
      </w:r>
      <w:r w:rsidR="00F00E3D" w:rsidRPr="00C97DD9">
        <w:rPr>
          <w:rFonts w:asciiTheme="majorHAnsi" w:eastAsia="Times New Roman" w:hAnsiTheme="majorHAnsi" w:cstheme="majorHAnsi"/>
          <w:sz w:val="23"/>
          <w:szCs w:val="23"/>
          <w:lang w:eastAsia="en-GB"/>
        </w:rPr>
        <w:t>ther stud</w:t>
      </w:r>
      <w:r>
        <w:rPr>
          <w:rFonts w:asciiTheme="majorHAnsi" w:eastAsia="Times New Roman" w:hAnsiTheme="majorHAnsi" w:cstheme="majorHAnsi"/>
          <w:sz w:val="23"/>
          <w:szCs w:val="23"/>
          <w:lang w:eastAsia="en-GB"/>
        </w:rPr>
        <w:t>y findings</w:t>
      </w:r>
      <w:r w:rsidR="00F00E3D" w:rsidRPr="00C97DD9">
        <w:rPr>
          <w:rFonts w:asciiTheme="majorHAnsi" w:eastAsia="Times New Roman" w:hAnsiTheme="majorHAnsi" w:cstheme="majorHAnsi"/>
          <w:sz w:val="23"/>
          <w:szCs w:val="23"/>
          <w:lang w:eastAsia="en-GB"/>
        </w:rPr>
        <w:t xml:space="preserve"> are mixed. </w:t>
      </w:r>
      <w:r w:rsidR="00F00E3D" w:rsidRPr="00C97DD9">
        <w:rPr>
          <w:rFonts w:asciiTheme="majorHAnsi" w:eastAsia="Times New Roman" w:hAnsiTheme="majorHAnsi" w:cstheme="majorHAnsi"/>
          <w:noProof/>
          <w:sz w:val="23"/>
          <w:szCs w:val="23"/>
          <w:lang w:eastAsia="en-GB"/>
        </w:rPr>
        <w:t xml:space="preserve">Rosenblatt and DeLuca report findings from </w:t>
      </w:r>
      <w:r w:rsidR="00F00E3D" w:rsidRPr="00C97DD9">
        <w:rPr>
          <w:rFonts w:asciiTheme="majorHAnsi" w:eastAsia="Times New Roman" w:hAnsiTheme="majorHAnsi" w:cstheme="majorHAnsi"/>
          <w:sz w:val="23"/>
          <w:szCs w:val="23"/>
          <w:lang w:eastAsia="en-GB"/>
        </w:rPr>
        <w:t>Baltimore</w:t>
      </w:r>
      <w:r w:rsidR="00F00E3D" w:rsidRPr="00C97DD9">
        <w:rPr>
          <w:rFonts w:asciiTheme="majorHAnsi" w:eastAsia="Times New Roman" w:hAnsiTheme="majorHAnsi" w:cstheme="majorHAnsi"/>
          <w:noProof/>
          <w:sz w:val="23"/>
          <w:szCs w:val="23"/>
          <w:lang w:eastAsia="en-GB"/>
        </w:rPr>
        <w:t xml:space="preserve"> that “speak to the durability of social inequality in high-poverty and racially segregated neighborhoods” which underscores “the need to further develop rigorous standards for research that evaluates community-level interventions” </w:t>
      </w:r>
      <w:r w:rsidR="00F00E3D">
        <w:rPr>
          <w:rFonts w:asciiTheme="majorHAnsi" w:eastAsia="Times New Roman" w:hAnsiTheme="majorHAnsi" w:cstheme="majorHAnsi"/>
          <w:noProof/>
          <w:sz w:val="23"/>
          <w:szCs w:val="23"/>
          <w:lang w:eastAsia="en-GB"/>
        </w:rPr>
        <w:t>(2017, p. 463)</w:t>
      </w:r>
      <w:r w:rsidR="00F00E3D" w:rsidRPr="00C97DD9">
        <w:rPr>
          <w:rFonts w:asciiTheme="majorHAnsi" w:eastAsia="Times New Roman" w:hAnsiTheme="majorHAnsi" w:cstheme="majorHAnsi"/>
          <w:sz w:val="23"/>
          <w:szCs w:val="23"/>
          <w:lang w:eastAsia="en-GB"/>
        </w:rPr>
        <w:t xml:space="preserve">. </w:t>
      </w:r>
      <w:r w:rsidR="00F00E3D" w:rsidRPr="00C97DD9">
        <w:rPr>
          <w:rFonts w:asciiTheme="majorHAnsi" w:eastAsia="Times New Roman" w:hAnsiTheme="majorHAnsi" w:cstheme="majorHAnsi"/>
          <w:noProof/>
          <w:sz w:val="23"/>
          <w:szCs w:val="23"/>
          <w:lang w:eastAsia="en-GB"/>
        </w:rPr>
        <w:t>Randolph &amp; Freestone’s</w:t>
      </w:r>
      <w:r w:rsidR="00F00E3D" w:rsidRPr="00C97DD9">
        <w:rPr>
          <w:rFonts w:asciiTheme="majorHAnsi" w:eastAsia="Times New Roman" w:hAnsiTheme="majorHAnsi" w:cstheme="majorHAnsi"/>
          <w:sz w:val="23"/>
          <w:szCs w:val="23"/>
          <w:lang w:eastAsia="en-GB"/>
        </w:rPr>
        <w:t xml:space="preserve"> study of renewal in the middle-ring suburbs of Sydney informs policy suggestions to achieve more appropriate urban renewal outcomes under broad social sustainability criteria </w:t>
      </w:r>
      <w:r w:rsidR="00F00E3D">
        <w:rPr>
          <w:rFonts w:asciiTheme="majorHAnsi" w:eastAsia="Times New Roman" w:hAnsiTheme="majorHAnsi" w:cstheme="majorHAnsi"/>
          <w:noProof/>
          <w:sz w:val="23"/>
          <w:szCs w:val="23"/>
          <w:lang w:eastAsia="en-GB"/>
        </w:rPr>
        <w:t>(Randolph &amp; Freestone, p. 2557)</w:t>
      </w:r>
      <w:r w:rsidR="00F00E3D" w:rsidRPr="00C97DD9">
        <w:rPr>
          <w:rFonts w:asciiTheme="majorHAnsi" w:eastAsia="Times New Roman" w:hAnsiTheme="majorHAnsi" w:cstheme="majorHAnsi"/>
          <w:sz w:val="23"/>
          <w:szCs w:val="23"/>
          <w:lang w:eastAsia="en-GB"/>
        </w:rPr>
        <w:t>. These</w:t>
      </w:r>
      <w:r w:rsidR="00F00E3D">
        <w:rPr>
          <w:rFonts w:asciiTheme="majorHAnsi" w:eastAsia="Times New Roman" w:hAnsiTheme="majorHAnsi" w:cstheme="majorHAnsi"/>
          <w:sz w:val="23"/>
          <w:szCs w:val="23"/>
          <w:lang w:eastAsia="en-GB"/>
        </w:rPr>
        <w:t xml:space="preserve"> suggestions</w:t>
      </w:r>
      <w:r w:rsidR="00F00E3D" w:rsidRPr="00C97DD9">
        <w:rPr>
          <w:rFonts w:asciiTheme="majorHAnsi" w:eastAsia="Times New Roman" w:hAnsiTheme="majorHAnsi" w:cstheme="majorHAnsi"/>
          <w:sz w:val="23"/>
          <w:szCs w:val="23"/>
          <w:lang w:eastAsia="en-GB"/>
        </w:rPr>
        <w:t xml:space="preserve"> include: </w:t>
      </w:r>
    </w:p>
    <w:p w14:paraId="49ACCE78" w14:textId="77777777" w:rsidR="00F00E3D" w:rsidRPr="005A4331" w:rsidRDefault="00F00E3D" w:rsidP="009B2FA7">
      <w:pPr>
        <w:spacing w:after="0" w:line="276" w:lineRule="auto"/>
        <w:rPr>
          <w:rFonts w:asciiTheme="majorHAnsi" w:eastAsia="Times New Roman" w:hAnsiTheme="majorHAnsi" w:cstheme="majorHAnsi"/>
          <w:sz w:val="16"/>
          <w:szCs w:val="16"/>
          <w:lang w:eastAsia="en-GB"/>
        </w:rPr>
      </w:pPr>
    </w:p>
    <w:p w14:paraId="0579A31F" w14:textId="77777777" w:rsidR="00F00E3D" w:rsidRPr="00981D58" w:rsidRDefault="00F00E3D" w:rsidP="00364C5D">
      <w:pPr>
        <w:numPr>
          <w:ilvl w:val="0"/>
          <w:numId w:val="31"/>
        </w:numPr>
        <w:spacing w:after="0" w:line="276" w:lineRule="auto"/>
        <w:ind w:left="567"/>
        <w:contextualSpacing/>
        <w:rPr>
          <w:rFonts w:asciiTheme="majorHAnsi" w:eastAsia="Times New Roman" w:hAnsiTheme="majorHAnsi" w:cstheme="majorHAnsi"/>
          <w:sz w:val="23"/>
          <w:szCs w:val="23"/>
          <w:lang w:eastAsia="en-GB"/>
        </w:rPr>
      </w:pPr>
      <w:r w:rsidRPr="00981D58">
        <w:rPr>
          <w:rFonts w:asciiTheme="majorHAnsi" w:eastAsia="Times New Roman" w:hAnsiTheme="majorHAnsi" w:cstheme="majorHAnsi"/>
          <w:sz w:val="23"/>
          <w:szCs w:val="23"/>
          <w:lang w:eastAsia="en-GB"/>
        </w:rPr>
        <w:t>Affordable housing investment strategies through the community housing sector to replace poor-quality private rental housing and owner-occupied housing, address housing problems and rebuild community stability</w:t>
      </w:r>
    </w:p>
    <w:p w14:paraId="2673815A" w14:textId="77777777" w:rsidR="00F00E3D" w:rsidRPr="00981D58" w:rsidRDefault="00F00E3D" w:rsidP="00364C5D">
      <w:pPr>
        <w:numPr>
          <w:ilvl w:val="0"/>
          <w:numId w:val="31"/>
        </w:numPr>
        <w:spacing w:after="0" w:line="276" w:lineRule="auto"/>
        <w:ind w:left="567"/>
        <w:contextualSpacing/>
        <w:rPr>
          <w:rFonts w:asciiTheme="majorHAnsi" w:eastAsia="Times New Roman" w:hAnsiTheme="majorHAnsi" w:cstheme="majorHAnsi"/>
          <w:sz w:val="23"/>
          <w:szCs w:val="23"/>
          <w:lang w:eastAsia="en-GB"/>
        </w:rPr>
      </w:pPr>
      <w:r w:rsidRPr="00981D58">
        <w:rPr>
          <w:rFonts w:asciiTheme="majorHAnsi" w:eastAsia="Times New Roman" w:hAnsiTheme="majorHAnsi" w:cstheme="majorHAnsi"/>
          <w:sz w:val="23"/>
          <w:szCs w:val="23"/>
          <w:lang w:eastAsia="en-GB"/>
        </w:rPr>
        <w:t>Development of renewal master plans to assemble land and implement the local renewal strategy</w:t>
      </w:r>
    </w:p>
    <w:p w14:paraId="3836302A" w14:textId="77777777" w:rsidR="00F00E3D" w:rsidRPr="00981D58" w:rsidRDefault="00F00E3D" w:rsidP="00364C5D">
      <w:pPr>
        <w:numPr>
          <w:ilvl w:val="0"/>
          <w:numId w:val="31"/>
        </w:numPr>
        <w:spacing w:after="0" w:line="276" w:lineRule="auto"/>
        <w:ind w:left="567"/>
        <w:contextualSpacing/>
        <w:rPr>
          <w:rFonts w:asciiTheme="majorHAnsi" w:eastAsia="Times New Roman" w:hAnsiTheme="majorHAnsi" w:cstheme="majorHAnsi"/>
          <w:sz w:val="23"/>
          <w:szCs w:val="23"/>
          <w:lang w:eastAsia="en-GB"/>
        </w:rPr>
      </w:pPr>
      <w:r w:rsidRPr="00981D58">
        <w:rPr>
          <w:rFonts w:asciiTheme="majorHAnsi" w:eastAsia="Times New Roman" w:hAnsiTheme="majorHAnsi" w:cstheme="majorHAnsi"/>
          <w:sz w:val="23"/>
          <w:szCs w:val="23"/>
          <w:lang w:eastAsia="en-GB"/>
        </w:rPr>
        <w:t>Local renewal corporations or trusts based on public–private partnerships and local control to implement strategies over a 10–20-year period</w:t>
      </w:r>
    </w:p>
    <w:p w14:paraId="11E28644" w14:textId="77777777" w:rsidR="00F00E3D" w:rsidRPr="00981D58" w:rsidRDefault="00F00E3D" w:rsidP="00364C5D">
      <w:pPr>
        <w:numPr>
          <w:ilvl w:val="0"/>
          <w:numId w:val="31"/>
        </w:numPr>
        <w:spacing w:after="0" w:line="276" w:lineRule="auto"/>
        <w:ind w:left="567"/>
        <w:contextualSpacing/>
        <w:rPr>
          <w:rFonts w:asciiTheme="majorHAnsi" w:eastAsia="Times New Roman" w:hAnsiTheme="majorHAnsi" w:cstheme="majorHAnsi"/>
          <w:sz w:val="23"/>
          <w:szCs w:val="23"/>
          <w:lang w:eastAsia="en-GB"/>
        </w:rPr>
      </w:pPr>
      <w:r w:rsidRPr="00981D58">
        <w:rPr>
          <w:rFonts w:asciiTheme="majorHAnsi" w:eastAsia="Times New Roman" w:hAnsiTheme="majorHAnsi" w:cstheme="majorHAnsi"/>
          <w:sz w:val="23"/>
          <w:szCs w:val="23"/>
          <w:lang w:eastAsia="en-GB"/>
        </w:rPr>
        <w:t>Local renewal funds to help leverage private investment</w:t>
      </w:r>
    </w:p>
    <w:p w14:paraId="3A458B5C" w14:textId="78BFDA0F" w:rsidR="00F00E3D" w:rsidRPr="00981D58" w:rsidRDefault="00F00E3D" w:rsidP="00364C5D">
      <w:pPr>
        <w:numPr>
          <w:ilvl w:val="0"/>
          <w:numId w:val="31"/>
        </w:numPr>
        <w:spacing w:after="0" w:line="276" w:lineRule="auto"/>
        <w:ind w:left="567"/>
        <w:contextualSpacing/>
        <w:rPr>
          <w:rFonts w:asciiTheme="majorHAnsi" w:eastAsia="Times New Roman" w:hAnsiTheme="majorHAnsi" w:cstheme="majorHAnsi"/>
          <w:sz w:val="23"/>
          <w:szCs w:val="23"/>
          <w:lang w:eastAsia="en-GB"/>
        </w:rPr>
      </w:pPr>
      <w:r w:rsidRPr="00981D58">
        <w:rPr>
          <w:rFonts w:asciiTheme="majorHAnsi" w:eastAsia="Times New Roman" w:hAnsiTheme="majorHAnsi" w:cstheme="majorHAnsi"/>
          <w:sz w:val="23"/>
          <w:szCs w:val="23"/>
          <w:lang w:eastAsia="en-GB"/>
        </w:rPr>
        <w:t>Integrated place-focused and whole-of- government frameworks of targeted social and employment initiatives directed by local renewal corporations</w:t>
      </w:r>
      <w:r w:rsidR="00390C30">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noProof/>
          <w:sz w:val="23"/>
          <w:szCs w:val="23"/>
          <w:lang w:eastAsia="en-GB"/>
        </w:rPr>
        <w:t>(2012, pp. 2571-2572)</w:t>
      </w:r>
      <w:r w:rsidRPr="00981D58">
        <w:rPr>
          <w:rFonts w:asciiTheme="majorHAnsi" w:eastAsia="Times New Roman" w:hAnsiTheme="majorHAnsi" w:cstheme="majorHAnsi"/>
          <w:sz w:val="23"/>
          <w:szCs w:val="23"/>
          <w:lang w:eastAsia="en-GB"/>
        </w:rPr>
        <w:t>.</w:t>
      </w:r>
    </w:p>
    <w:p w14:paraId="19002C27" w14:textId="77777777" w:rsidR="00F00E3D" w:rsidRPr="00F73287" w:rsidRDefault="00F00E3D" w:rsidP="009B2FA7">
      <w:pPr>
        <w:spacing w:after="0" w:line="276" w:lineRule="auto"/>
        <w:rPr>
          <w:rFonts w:asciiTheme="majorHAnsi" w:eastAsia="Times New Roman" w:hAnsiTheme="majorHAnsi" w:cstheme="majorHAnsi"/>
          <w:sz w:val="16"/>
          <w:szCs w:val="16"/>
          <w:lang w:eastAsia="en-GB"/>
        </w:rPr>
      </w:pPr>
    </w:p>
    <w:p w14:paraId="395FC334" w14:textId="2ECE16E5" w:rsidR="005A4331" w:rsidRDefault="00F00E3D" w:rsidP="00626536">
      <w:pPr>
        <w:spacing w:after="0" w:line="276" w:lineRule="auto"/>
        <w:contextualSpacing/>
        <w:rPr>
          <w:rFonts w:asciiTheme="majorHAnsi" w:eastAsia="Times New Roman" w:hAnsiTheme="majorHAnsi" w:cstheme="majorHAnsi"/>
          <w:sz w:val="23"/>
          <w:szCs w:val="23"/>
          <w:lang w:eastAsia="en-GB"/>
        </w:rPr>
      </w:pPr>
      <w:r w:rsidRPr="00F73287">
        <w:rPr>
          <w:rFonts w:asciiTheme="majorHAnsi" w:eastAsia="Times New Roman" w:hAnsiTheme="majorHAnsi" w:cstheme="majorHAnsi"/>
          <w:sz w:val="23"/>
          <w:szCs w:val="23"/>
          <w:lang w:eastAsia="en-GB"/>
        </w:rPr>
        <w:t xml:space="preserve">The evaluation of GoWell found that “investment in housing-led renewal allocated according to population need led to modest reductions in area-based inequalities in health after five years” </w:t>
      </w:r>
      <w:r>
        <w:rPr>
          <w:rFonts w:asciiTheme="majorHAnsi" w:eastAsia="Times New Roman" w:hAnsiTheme="majorHAnsi" w:cstheme="majorHAnsi"/>
          <w:noProof/>
          <w:sz w:val="23"/>
          <w:szCs w:val="23"/>
          <w:lang w:eastAsia="en-GB"/>
        </w:rPr>
        <w:t>(Egan et al., 2016, p. 41)</w:t>
      </w:r>
      <w:r w:rsidRPr="00F73287">
        <w:rPr>
          <w:rFonts w:asciiTheme="majorHAnsi" w:eastAsia="Times New Roman" w:hAnsiTheme="majorHAnsi" w:cstheme="majorHAnsi"/>
          <w:sz w:val="23"/>
          <w:szCs w:val="23"/>
          <w:lang w:eastAsia="en-GB"/>
        </w:rPr>
        <w:t xml:space="preserve">. </w:t>
      </w:r>
      <w:r w:rsidRPr="00F73287">
        <w:rPr>
          <w:rFonts w:asciiTheme="majorHAnsi" w:eastAsia="Times New Roman" w:hAnsiTheme="majorHAnsi" w:cstheme="majorHAnsi"/>
          <w:noProof/>
          <w:sz w:val="23"/>
          <w:szCs w:val="23"/>
          <w:lang w:eastAsia="en-GB"/>
        </w:rPr>
        <w:t xml:space="preserve">Jalaludin and colleagues’ analysis of </w:t>
      </w:r>
      <w:r w:rsidRPr="00F73287">
        <w:rPr>
          <w:rFonts w:asciiTheme="majorHAnsi" w:eastAsia="Times New Roman" w:hAnsiTheme="majorHAnsi" w:cstheme="majorHAnsi"/>
          <w:sz w:val="23"/>
          <w:szCs w:val="23"/>
          <w:lang w:eastAsia="en-GB"/>
        </w:rPr>
        <w:t xml:space="preserve">an urban renewal program in a socially disadvantaged Sydney neighbourhood found a short-term increase in the proportion of householders reporting improvements in a number of aspects: “attractive buildings and homes in their neighbourhood, belonged to the neighbourhood, area had a reputation for being a safe place, safe walking down their street after dark, people who came to live in the neighbourhood would be more likely to stay” </w:t>
      </w:r>
      <w:r>
        <w:rPr>
          <w:rFonts w:asciiTheme="majorHAnsi" w:eastAsia="Times New Roman" w:hAnsiTheme="majorHAnsi" w:cstheme="majorHAnsi"/>
          <w:noProof/>
          <w:sz w:val="23"/>
          <w:szCs w:val="23"/>
          <w:lang w:eastAsia="en-GB"/>
        </w:rPr>
        <w:t>(Jalaludin et al., 2012, p. 1)</w:t>
      </w:r>
      <w:r w:rsidRPr="00F73287">
        <w:rPr>
          <w:rFonts w:asciiTheme="majorHAnsi" w:eastAsia="Times New Roman" w:hAnsiTheme="majorHAnsi" w:cstheme="majorHAnsi"/>
          <w:sz w:val="23"/>
          <w:szCs w:val="23"/>
          <w:lang w:eastAsia="en-GB"/>
        </w:rPr>
        <w:t xml:space="preserve">. Finally, Jarvis et al.’s study (focused on Canley, in the UK) found evidence that community engagement was crucial to underpin sustainable neighbourhood regeneration </w:t>
      </w:r>
      <w:r w:rsidRPr="00F73287">
        <w:rPr>
          <w:rFonts w:asciiTheme="majorHAnsi" w:eastAsia="Times New Roman" w:hAnsiTheme="majorHAnsi" w:cstheme="majorHAnsi"/>
          <w:noProof/>
          <w:sz w:val="23"/>
          <w:szCs w:val="23"/>
          <w:lang w:eastAsia="en-GB"/>
        </w:rPr>
        <w:t>(Jarvis et al., 2012, p. 232)</w:t>
      </w:r>
      <w:r w:rsidR="00B13B75">
        <w:rPr>
          <w:rFonts w:asciiTheme="majorHAnsi" w:eastAsia="Times New Roman" w:hAnsiTheme="majorHAnsi" w:cstheme="majorHAnsi"/>
          <w:sz w:val="23"/>
          <w:szCs w:val="23"/>
          <w:lang w:eastAsia="en-GB"/>
        </w:rPr>
        <w:t>.</w:t>
      </w:r>
    </w:p>
    <w:p w14:paraId="3351298E" w14:textId="77777777" w:rsidR="005A4331" w:rsidRDefault="005A4331">
      <w:pPr>
        <w:spacing w:after="0" w:line="240"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br w:type="page"/>
      </w:r>
    </w:p>
    <w:p w14:paraId="73AD231D" w14:textId="77777777" w:rsidR="00F00E3D" w:rsidRDefault="00F00E3D" w:rsidP="009B2FA7">
      <w:pPr>
        <w:spacing w:after="0"/>
        <w:rPr>
          <w:rFonts w:asciiTheme="majorHAnsi" w:hAnsiTheme="majorHAnsi" w:cstheme="majorBidi"/>
          <w:color w:val="595959" w:themeColor="text1" w:themeTint="A6"/>
          <w:sz w:val="23"/>
          <w:szCs w:val="23"/>
          <w:highlight w:val="yellow"/>
          <w:lang w:val="en-GB"/>
        </w:rPr>
      </w:pPr>
      <w:r w:rsidRPr="71C466D6">
        <w:rPr>
          <w:b/>
          <w:bCs/>
          <w:color w:val="2F5496" w:themeColor="accent1" w:themeShade="BF"/>
          <w:sz w:val="36"/>
          <w:szCs w:val="36"/>
        </w:rPr>
        <w:lastRenderedPageBreak/>
        <w:t>SECTION 4: Evidence Maps</w:t>
      </w:r>
    </w:p>
    <w:p w14:paraId="542915CE" w14:textId="77777777" w:rsidR="00F00E3D" w:rsidRPr="00585381" w:rsidRDefault="00F00E3D" w:rsidP="009B2FA7">
      <w:pPr>
        <w:spacing w:after="0"/>
        <w:rPr>
          <w:rFonts w:asciiTheme="majorHAnsi" w:hAnsiTheme="majorHAnsi" w:cstheme="majorBidi"/>
          <w:color w:val="595959" w:themeColor="text1" w:themeTint="A6"/>
          <w:sz w:val="23"/>
          <w:szCs w:val="23"/>
          <w:highlight w:val="yellow"/>
          <w:lang w:val="en-GB"/>
        </w:rPr>
      </w:pPr>
    </w:p>
    <w:p w14:paraId="47366CDB" w14:textId="71515F28" w:rsidR="00F00E3D" w:rsidRDefault="00F00E3D" w:rsidP="009B2FA7">
      <w:pPr>
        <w:spacing w:after="0" w:line="276" w:lineRule="auto"/>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 xml:space="preserve">An evidence map is a review of evidence </w:t>
      </w:r>
      <w:r>
        <w:rPr>
          <w:rFonts w:asciiTheme="majorHAnsi" w:eastAsia="Times New Roman" w:hAnsiTheme="majorHAnsi" w:cstheme="majorHAnsi"/>
          <w:sz w:val="23"/>
          <w:szCs w:val="23"/>
          <w:lang w:eastAsia="en-GB"/>
        </w:rPr>
        <w:t>from across</w:t>
      </w:r>
      <w:r w:rsidRPr="00BC19B6">
        <w:rPr>
          <w:rFonts w:asciiTheme="majorHAnsi" w:eastAsia="Times New Roman" w:hAnsiTheme="majorHAnsi" w:cstheme="majorHAnsi"/>
          <w:sz w:val="23"/>
          <w:szCs w:val="23"/>
          <w:lang w:eastAsia="en-GB"/>
        </w:rPr>
        <w:t xml:space="preserve"> a broad field</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undertaken in order </w:t>
      </w:r>
      <w:r w:rsidRPr="00BC19B6">
        <w:rPr>
          <w:rFonts w:asciiTheme="majorHAnsi" w:eastAsia="Times New Roman" w:hAnsiTheme="majorHAnsi" w:cstheme="majorHAnsi"/>
          <w:sz w:val="23"/>
          <w:szCs w:val="23"/>
          <w:lang w:eastAsia="en-GB"/>
        </w:rPr>
        <w:t xml:space="preserve">to identify gaps </w:t>
      </w:r>
      <w:r w:rsidRPr="00974E97">
        <w:rPr>
          <w:rFonts w:asciiTheme="majorHAnsi" w:eastAsia="Times New Roman" w:hAnsiTheme="majorHAnsi" w:cstheme="majorHAnsi"/>
          <w:i/>
          <w:iCs/>
          <w:sz w:val="23"/>
          <w:szCs w:val="23"/>
          <w:lang w:eastAsia="en-GB"/>
        </w:rPr>
        <w:t xml:space="preserve">or </w:t>
      </w:r>
      <w:r w:rsidRPr="00BC19B6">
        <w:rPr>
          <w:rFonts w:asciiTheme="majorHAnsi" w:eastAsia="Times New Roman" w:hAnsiTheme="majorHAnsi" w:cstheme="majorHAnsi"/>
          <w:sz w:val="23"/>
          <w:szCs w:val="23"/>
          <w:lang w:eastAsia="en-GB"/>
        </w:rPr>
        <w:t xml:space="preserve">future research needs </w:t>
      </w:r>
      <w:r>
        <w:rPr>
          <w:rFonts w:asciiTheme="majorHAnsi" w:eastAsia="Times New Roman" w:hAnsiTheme="majorHAnsi" w:cstheme="majorHAnsi"/>
          <w:noProof/>
          <w:sz w:val="23"/>
          <w:szCs w:val="23"/>
          <w:lang w:eastAsia="en-GB"/>
        </w:rPr>
        <w:t>(Lye</w:t>
      </w:r>
      <w:r w:rsidR="00623B93">
        <w:rPr>
          <w:rFonts w:asciiTheme="majorHAnsi" w:eastAsia="Times New Roman" w:hAnsiTheme="majorHAnsi" w:cstheme="majorHAnsi"/>
          <w:noProof/>
          <w:sz w:val="23"/>
          <w:szCs w:val="23"/>
          <w:lang w:eastAsia="en-GB"/>
        </w:rPr>
        <w:t xml:space="preserve"> et al.</w:t>
      </w:r>
      <w:r>
        <w:rPr>
          <w:rFonts w:asciiTheme="majorHAnsi" w:eastAsia="Times New Roman" w:hAnsiTheme="majorHAnsi" w:cstheme="majorHAnsi"/>
          <w:noProof/>
          <w:sz w:val="23"/>
          <w:szCs w:val="23"/>
          <w:lang w:eastAsia="en-GB"/>
        </w:rPr>
        <w:t>, 2016)</w:t>
      </w:r>
      <w:r w:rsidRPr="00BC19B6">
        <w:rPr>
          <w:rFonts w:asciiTheme="majorHAnsi" w:eastAsia="Times New Roman" w:hAnsiTheme="majorHAnsi" w:cstheme="majorHAnsi"/>
          <w:sz w:val="23"/>
          <w:szCs w:val="23"/>
          <w:lang w:eastAsia="en-GB"/>
        </w:rPr>
        <w:t>. A common component is that the process engages the audience and/or produces user-friendly products, such as “access to user-friendly summaries of the included studies”</w:t>
      </w:r>
      <w:r w:rsidR="00747F5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noProof/>
          <w:sz w:val="23"/>
          <w:szCs w:val="23"/>
          <w:lang w:eastAsia="en-GB"/>
        </w:rPr>
        <w:t>(Snilstveit</w:t>
      </w:r>
      <w:r w:rsidR="00623B93">
        <w:rPr>
          <w:rFonts w:asciiTheme="majorHAnsi" w:eastAsia="Times New Roman" w:hAnsiTheme="majorHAnsi" w:cstheme="majorHAnsi"/>
          <w:noProof/>
          <w:sz w:val="23"/>
          <w:szCs w:val="23"/>
          <w:lang w:eastAsia="en-GB"/>
        </w:rPr>
        <w:t xml:space="preserve"> et al.</w:t>
      </w:r>
      <w:r>
        <w:rPr>
          <w:rFonts w:asciiTheme="majorHAnsi" w:eastAsia="Times New Roman" w:hAnsiTheme="majorHAnsi" w:cstheme="majorHAnsi"/>
          <w:noProof/>
          <w:sz w:val="23"/>
          <w:szCs w:val="23"/>
          <w:lang w:eastAsia="en-GB"/>
        </w:rPr>
        <w:t>, 2013, p. 3)</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In this way,</w:t>
      </w:r>
      <w:r w:rsidRPr="00BC19B6">
        <w:rPr>
          <w:rFonts w:asciiTheme="majorHAnsi" w:eastAsia="Times New Roman" w:hAnsiTheme="majorHAnsi" w:cstheme="majorHAnsi"/>
          <w:sz w:val="23"/>
          <w:szCs w:val="23"/>
          <w:lang w:eastAsia="en-GB"/>
        </w:rPr>
        <w:t xml:space="preserve"> “vast bodies of literature [are] accessible, digestible, and useable” </w:t>
      </w:r>
      <w:r>
        <w:rPr>
          <w:rFonts w:asciiTheme="majorHAnsi" w:eastAsia="Times New Roman" w:hAnsiTheme="majorHAnsi" w:cstheme="majorHAnsi"/>
          <w:noProof/>
          <w:sz w:val="23"/>
          <w:szCs w:val="23"/>
          <w:lang w:eastAsia="en-GB"/>
        </w:rPr>
        <w:t>(Bailey et al., 2014, p. 2)</w:t>
      </w:r>
      <w:r w:rsidRPr="00BC19B6">
        <w:rPr>
          <w:rFonts w:asciiTheme="majorHAnsi" w:eastAsia="Times New Roman" w:hAnsiTheme="majorHAnsi" w:cstheme="majorHAnsi"/>
          <w:sz w:val="23"/>
          <w:szCs w:val="23"/>
          <w:lang w:eastAsia="en-GB"/>
        </w:rPr>
        <w:t>.</w:t>
      </w:r>
    </w:p>
    <w:p w14:paraId="0DFAF26A" w14:textId="77777777" w:rsidR="00F00E3D" w:rsidRPr="00747F56" w:rsidRDefault="00F00E3D" w:rsidP="009B2FA7">
      <w:pPr>
        <w:spacing w:after="0" w:line="276" w:lineRule="auto"/>
        <w:rPr>
          <w:rFonts w:asciiTheme="majorHAnsi" w:eastAsia="Times New Roman" w:hAnsiTheme="majorHAnsi" w:cstheme="majorHAnsi"/>
          <w:sz w:val="16"/>
          <w:szCs w:val="16"/>
          <w:lang w:eastAsia="en-GB"/>
        </w:rPr>
      </w:pPr>
    </w:p>
    <w:p w14:paraId="6F3292B7" w14:textId="77777777" w:rsidR="00F00E3D" w:rsidRPr="00BC19B6" w:rsidRDefault="00F00E3D" w:rsidP="009B2FA7">
      <w:pPr>
        <w:spacing w:after="0" w:line="276" w:lineRule="auto"/>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 xml:space="preserve">Two components less often included </w:t>
      </w:r>
      <w:r>
        <w:rPr>
          <w:rFonts w:asciiTheme="majorHAnsi" w:eastAsia="Times New Roman" w:hAnsiTheme="majorHAnsi" w:cstheme="majorHAnsi"/>
          <w:sz w:val="23"/>
          <w:szCs w:val="23"/>
          <w:lang w:eastAsia="en-GB"/>
        </w:rPr>
        <w:t xml:space="preserve">in evidence maps </w:t>
      </w:r>
      <w:r w:rsidRPr="00BC19B6">
        <w:rPr>
          <w:rFonts w:asciiTheme="majorHAnsi" w:eastAsia="Times New Roman" w:hAnsiTheme="majorHAnsi" w:cstheme="majorHAnsi"/>
          <w:sz w:val="23"/>
          <w:szCs w:val="23"/>
          <w:lang w:eastAsia="en-GB"/>
        </w:rPr>
        <w:t>are</w:t>
      </w:r>
      <w:r>
        <w:rPr>
          <w:rFonts w:asciiTheme="majorHAnsi" w:eastAsia="Times New Roman" w:hAnsiTheme="majorHAnsi" w:cstheme="majorHAnsi"/>
          <w:sz w:val="23"/>
          <w:szCs w:val="23"/>
          <w:lang w:eastAsia="en-GB"/>
        </w:rPr>
        <w:t>: 1)</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H</w:t>
      </w:r>
      <w:r w:rsidRPr="00BC19B6">
        <w:rPr>
          <w:rFonts w:asciiTheme="majorHAnsi" w:eastAsia="Times New Roman" w:hAnsiTheme="majorHAnsi" w:cstheme="majorHAnsi"/>
          <w:sz w:val="23"/>
          <w:szCs w:val="23"/>
          <w:lang w:eastAsia="en-GB"/>
        </w:rPr>
        <w:t>aving a systematic process for collecting sources (i.e., documented search strategy and inclusion criteria)</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and</w:t>
      </w:r>
      <w:r>
        <w:rPr>
          <w:rFonts w:asciiTheme="majorHAnsi" w:eastAsia="Times New Roman" w:hAnsiTheme="majorHAnsi" w:cstheme="majorHAnsi"/>
          <w:sz w:val="23"/>
          <w:szCs w:val="23"/>
          <w:lang w:eastAsia="en-GB"/>
        </w:rPr>
        <w:t xml:space="preserve"> 2) Including</w:t>
      </w:r>
      <w:r w:rsidRPr="00BC19B6">
        <w:rPr>
          <w:rFonts w:asciiTheme="majorHAnsi" w:eastAsia="Times New Roman" w:hAnsiTheme="majorHAnsi" w:cstheme="majorHAnsi"/>
          <w:sz w:val="23"/>
          <w:szCs w:val="23"/>
          <w:lang w:eastAsia="en-GB"/>
        </w:rPr>
        <w:t xml:space="preserve"> a visual depiction of the field </w:t>
      </w:r>
      <w:r w:rsidRPr="00BC19B6">
        <w:rPr>
          <w:rFonts w:asciiTheme="majorHAnsi" w:eastAsia="Times New Roman" w:hAnsiTheme="majorHAnsi" w:cstheme="majorHAnsi"/>
          <w:noProof/>
          <w:sz w:val="23"/>
          <w:szCs w:val="23"/>
          <w:lang w:eastAsia="en-GB"/>
        </w:rPr>
        <w:t>(Miake-Lye et al., 2016)</w:t>
      </w:r>
      <w:r w:rsidRPr="00BC19B6">
        <w:rPr>
          <w:rFonts w:asciiTheme="majorHAnsi" w:eastAsia="Times New Roman" w:hAnsiTheme="majorHAnsi" w:cstheme="majorHAnsi"/>
          <w:sz w:val="23"/>
          <w:szCs w:val="23"/>
          <w:lang w:eastAsia="en-GB"/>
        </w:rPr>
        <w:t>.</w:t>
      </w:r>
    </w:p>
    <w:p w14:paraId="023357E4" w14:textId="77777777" w:rsidR="00F00E3D" w:rsidRPr="00747F56" w:rsidRDefault="00F00E3D" w:rsidP="009B2FA7">
      <w:pPr>
        <w:spacing w:after="0" w:line="276" w:lineRule="auto"/>
        <w:rPr>
          <w:rFonts w:asciiTheme="majorHAnsi" w:eastAsia="Times New Roman" w:hAnsiTheme="majorHAnsi" w:cstheme="majorHAnsi"/>
          <w:sz w:val="16"/>
          <w:szCs w:val="16"/>
          <w:lang w:eastAsia="en-GB"/>
        </w:rPr>
      </w:pPr>
    </w:p>
    <w:p w14:paraId="06BF7E67" w14:textId="40E51492" w:rsidR="00F00E3D" w:rsidRDefault="00F00E3D" w:rsidP="009B2FA7">
      <w:pPr>
        <w:spacing w:after="0" w:line="276" w:lineRule="auto"/>
        <w:rPr>
          <w:rFonts w:asciiTheme="majorHAnsi" w:eastAsia="Times New Roman" w:hAnsiTheme="majorHAnsi" w:cstheme="majorBidi"/>
          <w:sz w:val="23"/>
          <w:szCs w:val="23"/>
          <w:lang w:eastAsia="en-GB"/>
        </w:rPr>
      </w:pPr>
      <w:r w:rsidRPr="6632746D">
        <w:rPr>
          <w:rFonts w:asciiTheme="majorHAnsi" w:eastAsia="Times New Roman" w:hAnsiTheme="majorHAnsi" w:cstheme="majorBidi"/>
          <w:sz w:val="23"/>
          <w:szCs w:val="23"/>
          <w:lang w:eastAsia="en-GB"/>
        </w:rPr>
        <w:t xml:space="preserve">Two evidence maps are included </w:t>
      </w:r>
      <w:r>
        <w:rPr>
          <w:rFonts w:asciiTheme="majorHAnsi" w:eastAsia="Times New Roman" w:hAnsiTheme="majorHAnsi" w:cstheme="majorBidi"/>
          <w:sz w:val="23"/>
          <w:szCs w:val="23"/>
          <w:lang w:eastAsia="en-GB"/>
        </w:rPr>
        <w:t xml:space="preserve">in this section. </w:t>
      </w:r>
      <w:r w:rsidR="00747F56">
        <w:rPr>
          <w:rFonts w:asciiTheme="majorHAnsi" w:eastAsia="Times New Roman" w:hAnsiTheme="majorHAnsi" w:cstheme="majorBidi"/>
          <w:sz w:val="23"/>
          <w:szCs w:val="23"/>
          <w:lang w:eastAsia="en-GB"/>
        </w:rPr>
        <w:t>Presenting the data visually</w:t>
      </w:r>
      <w:r>
        <w:rPr>
          <w:rFonts w:asciiTheme="majorHAnsi" w:eastAsia="Times New Roman" w:hAnsiTheme="majorHAnsi" w:cstheme="majorBidi"/>
          <w:sz w:val="23"/>
          <w:szCs w:val="23"/>
          <w:lang w:eastAsia="en-GB"/>
        </w:rPr>
        <w:t>, they depict:</w:t>
      </w:r>
    </w:p>
    <w:p w14:paraId="1D5C956E" w14:textId="77777777" w:rsidR="00747F56" w:rsidRPr="00747F56" w:rsidRDefault="00747F56" w:rsidP="009B2FA7">
      <w:pPr>
        <w:spacing w:after="0" w:line="276" w:lineRule="auto"/>
        <w:rPr>
          <w:rFonts w:asciiTheme="majorHAnsi" w:eastAsia="Times New Roman" w:hAnsiTheme="majorHAnsi" w:cstheme="majorBidi"/>
          <w:sz w:val="12"/>
          <w:szCs w:val="12"/>
          <w:lang w:eastAsia="en-GB"/>
        </w:rPr>
      </w:pPr>
    </w:p>
    <w:p w14:paraId="7B60EE36" w14:textId="31D1C423" w:rsidR="00F00E3D" w:rsidRPr="00456C7A" w:rsidRDefault="00F00E3D" w:rsidP="00364C5D">
      <w:pPr>
        <w:pStyle w:val="ListParagraph"/>
        <w:numPr>
          <w:ilvl w:val="0"/>
          <w:numId w:val="45"/>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the s</w:t>
      </w:r>
      <w:r w:rsidRPr="00456C7A">
        <w:rPr>
          <w:rFonts w:asciiTheme="majorHAnsi" w:eastAsia="Times New Roman" w:hAnsiTheme="majorHAnsi" w:cstheme="majorHAnsi"/>
          <w:sz w:val="23"/>
          <w:szCs w:val="23"/>
          <w:lang w:eastAsia="en-GB"/>
        </w:rPr>
        <w:t>pread of research on the socioeconomic factors of disadvantage</w:t>
      </w:r>
      <w:r>
        <w:rPr>
          <w:rFonts w:asciiTheme="majorHAnsi" w:eastAsia="Times New Roman" w:hAnsiTheme="majorHAnsi" w:cstheme="majorHAnsi"/>
          <w:sz w:val="23"/>
          <w:szCs w:val="23"/>
          <w:lang w:eastAsia="en-GB"/>
        </w:rPr>
        <w:t>,</w:t>
      </w:r>
      <w:r w:rsidRPr="00456C7A">
        <w:rPr>
          <w:rFonts w:asciiTheme="majorHAnsi" w:eastAsia="Times New Roman" w:hAnsiTheme="majorHAnsi" w:cstheme="majorHAnsi"/>
          <w:sz w:val="23"/>
          <w:szCs w:val="23"/>
          <w:lang w:eastAsia="en-GB"/>
        </w:rPr>
        <w:t xml:space="preserve"> according to </w:t>
      </w:r>
      <w:r w:rsidR="00D95573">
        <w:rPr>
          <w:rFonts w:asciiTheme="majorHAnsi" w:eastAsia="Times New Roman" w:hAnsiTheme="majorHAnsi" w:cstheme="majorHAnsi"/>
          <w:sz w:val="23"/>
          <w:szCs w:val="23"/>
          <w:lang w:eastAsia="en-GB"/>
        </w:rPr>
        <w:t>Practice Domain</w:t>
      </w:r>
    </w:p>
    <w:p w14:paraId="509F98AD" w14:textId="57C2B439" w:rsidR="00F00E3D" w:rsidRDefault="00F00E3D" w:rsidP="00364C5D">
      <w:pPr>
        <w:pStyle w:val="ListParagraph"/>
        <w:numPr>
          <w:ilvl w:val="0"/>
          <w:numId w:val="45"/>
        </w:num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the s</w:t>
      </w:r>
      <w:r w:rsidRPr="00456C7A">
        <w:rPr>
          <w:rFonts w:asciiTheme="majorHAnsi" w:eastAsia="Times New Roman" w:hAnsiTheme="majorHAnsi" w:cstheme="majorHAnsi"/>
          <w:sz w:val="23"/>
          <w:szCs w:val="23"/>
          <w:lang w:eastAsia="en-GB"/>
        </w:rPr>
        <w:t>pread of research on global interventions to address locational disadvantage</w:t>
      </w:r>
      <w:r>
        <w:rPr>
          <w:rFonts w:asciiTheme="majorHAnsi" w:eastAsia="Times New Roman" w:hAnsiTheme="majorHAnsi" w:cstheme="majorHAnsi"/>
          <w:sz w:val="23"/>
          <w:szCs w:val="23"/>
          <w:lang w:eastAsia="en-GB"/>
        </w:rPr>
        <w:t>,</w:t>
      </w:r>
      <w:r w:rsidRPr="00456C7A">
        <w:rPr>
          <w:rFonts w:asciiTheme="majorHAnsi" w:eastAsia="Times New Roman" w:hAnsiTheme="majorHAnsi" w:cstheme="majorHAnsi"/>
          <w:sz w:val="23"/>
          <w:szCs w:val="23"/>
          <w:lang w:eastAsia="en-GB"/>
        </w:rPr>
        <w:t xml:space="preserve"> according to </w:t>
      </w:r>
      <w:r w:rsidR="00D95573">
        <w:rPr>
          <w:rFonts w:asciiTheme="majorHAnsi" w:eastAsia="Times New Roman" w:hAnsiTheme="majorHAnsi" w:cstheme="majorHAnsi"/>
          <w:sz w:val="23"/>
          <w:szCs w:val="23"/>
          <w:lang w:eastAsia="en-GB"/>
        </w:rPr>
        <w:t>Practice Domain</w:t>
      </w:r>
      <w:r>
        <w:rPr>
          <w:rFonts w:asciiTheme="majorHAnsi" w:eastAsia="Times New Roman" w:hAnsiTheme="majorHAnsi" w:cstheme="majorHAnsi"/>
          <w:sz w:val="23"/>
          <w:szCs w:val="23"/>
          <w:lang w:eastAsia="en-GB"/>
        </w:rPr>
        <w:t>.</w:t>
      </w:r>
    </w:p>
    <w:p w14:paraId="15B0F459" w14:textId="77777777" w:rsidR="00F00E3D" w:rsidRDefault="00F00E3D" w:rsidP="009B2FA7">
      <w:pPr>
        <w:spacing w:after="0" w:line="276" w:lineRule="auto"/>
        <w:rPr>
          <w:rFonts w:asciiTheme="majorHAnsi" w:eastAsia="Times New Roman" w:hAnsiTheme="majorHAnsi" w:cstheme="majorHAnsi"/>
          <w:sz w:val="23"/>
          <w:szCs w:val="23"/>
          <w:lang w:eastAsia="en-GB"/>
        </w:rPr>
      </w:pPr>
    </w:p>
    <w:p w14:paraId="514E31FD" w14:textId="77777777" w:rsidR="00F00E3D" w:rsidRDefault="00F00E3D" w:rsidP="009B2FA7">
      <w:pPr>
        <w:pStyle w:val="ListParagraph"/>
        <w:spacing w:after="0" w:line="276" w:lineRule="auto"/>
        <w:rPr>
          <w:rFonts w:asciiTheme="majorHAnsi" w:eastAsia="Times New Roman" w:hAnsiTheme="majorHAnsi" w:cstheme="majorHAnsi"/>
          <w:sz w:val="23"/>
          <w:szCs w:val="23"/>
          <w:lang w:eastAsia="en-GB"/>
        </w:rPr>
      </w:pPr>
    </w:p>
    <w:p w14:paraId="3FE09459" w14:textId="77777777" w:rsidR="00F00E3D" w:rsidRPr="00DA7116" w:rsidRDefault="00F00E3D" w:rsidP="009B2FA7">
      <w:pPr>
        <w:spacing w:after="0" w:line="276" w:lineRule="auto"/>
        <w:ind w:left="360"/>
        <w:rPr>
          <w:rFonts w:asciiTheme="majorHAnsi" w:eastAsia="Times New Roman" w:hAnsiTheme="majorHAnsi" w:cstheme="majorHAnsi"/>
          <w:sz w:val="23"/>
          <w:szCs w:val="23"/>
          <w:lang w:eastAsia="en-GB"/>
        </w:rPr>
        <w:sectPr w:rsidR="00F00E3D" w:rsidRPr="00DA7116" w:rsidSect="009452E8">
          <w:footerReference w:type="default" r:id="rId78"/>
          <w:pgSz w:w="11900" w:h="16840"/>
          <w:pgMar w:top="1134" w:right="1134" w:bottom="1134" w:left="1134" w:header="708" w:footer="708" w:gutter="0"/>
          <w:cols w:space="708"/>
          <w:docGrid w:linePitch="360"/>
        </w:sectPr>
      </w:pPr>
    </w:p>
    <w:p w14:paraId="25A7E137" w14:textId="77777777" w:rsidR="00F00E3D" w:rsidRDefault="00F00E3D" w:rsidP="009B2FA7">
      <w:pPr>
        <w:spacing w:after="0" w:line="276" w:lineRule="auto"/>
        <w:rPr>
          <w:rFonts w:asciiTheme="majorHAnsi" w:eastAsia="Times New Roman" w:hAnsiTheme="majorHAnsi" w:cstheme="majorHAnsi"/>
          <w:b/>
          <w:bCs/>
          <w:sz w:val="23"/>
          <w:szCs w:val="23"/>
          <w:lang w:eastAsia="en-GB"/>
        </w:rPr>
      </w:pPr>
      <w:r>
        <w:rPr>
          <w:noProof/>
        </w:rPr>
        <w:lastRenderedPageBreak/>
        <w:drawing>
          <wp:inline distT="0" distB="0" distL="0" distR="0" wp14:anchorId="0EE6EBB7" wp14:editId="6D082C7D">
            <wp:extent cx="9083929" cy="12808746"/>
            <wp:effectExtent l="0" t="0" r="0" b="571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79">
                      <a:extLst>
                        <a:ext uri="{28A0092B-C50C-407E-A947-70E740481C1C}">
                          <a14:useLocalDpi xmlns:a14="http://schemas.microsoft.com/office/drawing/2010/main"/>
                        </a:ext>
                      </a:extLst>
                    </a:blip>
                    <a:stretch>
                      <a:fillRect/>
                    </a:stretch>
                  </pic:blipFill>
                  <pic:spPr>
                    <a:xfrm>
                      <a:off x="0" y="0"/>
                      <a:ext cx="9083929" cy="12808746"/>
                    </a:xfrm>
                    <a:prstGeom prst="rect">
                      <a:avLst/>
                    </a:prstGeom>
                  </pic:spPr>
                </pic:pic>
              </a:graphicData>
            </a:graphic>
          </wp:inline>
        </w:drawing>
      </w:r>
    </w:p>
    <w:p w14:paraId="3477CE60" w14:textId="12402C00" w:rsidR="00F00E3D" w:rsidRPr="00A130BE" w:rsidRDefault="00F00E3D" w:rsidP="009B2FA7">
      <w:pPr>
        <w:spacing w:after="0" w:line="276" w:lineRule="auto"/>
        <w:rPr>
          <w:rFonts w:eastAsia="Times New Roman" w:cstheme="minorHAnsi"/>
          <w:b/>
          <w:bCs/>
          <w:sz w:val="20"/>
          <w:szCs w:val="20"/>
          <w:lang w:eastAsia="en-GB"/>
        </w:rPr>
      </w:pPr>
      <w:bookmarkStart w:id="48" w:name="OLE_LINKFigure2"/>
      <w:r w:rsidRPr="00A56011">
        <w:rPr>
          <w:rFonts w:eastAsia="Times New Roman" w:cstheme="minorHAnsi"/>
          <w:b/>
          <w:bCs/>
          <w:sz w:val="20"/>
          <w:szCs w:val="20"/>
          <w:lang w:eastAsia="en-GB"/>
        </w:rPr>
        <w:t xml:space="preserve">Figure </w:t>
      </w:r>
      <w:r w:rsidR="00A56011" w:rsidRPr="00A56011">
        <w:rPr>
          <w:rFonts w:eastAsia="Times New Roman" w:cstheme="minorHAnsi"/>
          <w:b/>
          <w:bCs/>
          <w:sz w:val="20"/>
          <w:szCs w:val="20"/>
          <w:lang w:eastAsia="en-GB"/>
        </w:rPr>
        <w:t>4.1</w:t>
      </w:r>
      <w:r w:rsidRPr="00A56011">
        <w:rPr>
          <w:rFonts w:eastAsia="Times New Roman" w:cstheme="minorHAnsi"/>
          <w:b/>
          <w:bCs/>
          <w:sz w:val="20"/>
          <w:szCs w:val="20"/>
          <w:lang w:eastAsia="en-GB"/>
        </w:rPr>
        <w:t>: Evidence Map</w:t>
      </w:r>
      <w:r w:rsidR="00146AB4" w:rsidRPr="00A56011">
        <w:rPr>
          <w:rFonts w:eastAsia="Times New Roman" w:cstheme="minorHAnsi"/>
          <w:b/>
          <w:bCs/>
          <w:sz w:val="20"/>
          <w:szCs w:val="20"/>
          <w:lang w:eastAsia="en-GB"/>
        </w:rPr>
        <w:t xml:space="preserve">: </w:t>
      </w:r>
      <w:r w:rsidRPr="00A56011">
        <w:rPr>
          <w:rFonts w:eastAsia="Times New Roman" w:cstheme="minorHAnsi"/>
          <w:b/>
          <w:bCs/>
          <w:sz w:val="20"/>
          <w:szCs w:val="20"/>
          <w:lang w:eastAsia="en-GB"/>
        </w:rPr>
        <w:t xml:space="preserve">Spread </w:t>
      </w:r>
      <w:r w:rsidR="00146AB4" w:rsidRPr="00A56011">
        <w:rPr>
          <w:rFonts w:eastAsia="Times New Roman" w:cstheme="minorHAnsi"/>
          <w:b/>
          <w:bCs/>
          <w:sz w:val="20"/>
          <w:szCs w:val="20"/>
          <w:lang w:eastAsia="en-GB"/>
        </w:rPr>
        <w:t xml:space="preserve">of Research on the Socioeconomic Factors of Disadvantage, According to </w:t>
      </w:r>
      <w:r w:rsidR="00D95573">
        <w:rPr>
          <w:rFonts w:eastAsia="Times New Roman" w:cstheme="minorHAnsi"/>
          <w:b/>
          <w:bCs/>
          <w:sz w:val="20"/>
          <w:szCs w:val="20"/>
          <w:lang w:eastAsia="en-GB"/>
        </w:rPr>
        <w:t>Practice Domain</w:t>
      </w:r>
      <w:bookmarkEnd w:id="48"/>
    </w:p>
    <w:p w14:paraId="73351915" w14:textId="77777777" w:rsidR="00F00E3D" w:rsidRDefault="00F00E3D" w:rsidP="009B2FA7">
      <w:pPr>
        <w:spacing w:after="0" w:line="276" w:lineRule="auto"/>
        <w:rPr>
          <w:rFonts w:asciiTheme="majorHAnsi" w:eastAsia="Times New Roman" w:hAnsiTheme="majorHAnsi" w:cstheme="majorHAnsi"/>
          <w:b/>
          <w:bCs/>
          <w:sz w:val="23"/>
          <w:szCs w:val="23"/>
          <w:lang w:eastAsia="en-GB"/>
        </w:rPr>
      </w:pPr>
    </w:p>
    <w:p w14:paraId="57101D29" w14:textId="77777777" w:rsidR="00F00E3D" w:rsidRDefault="00F00E3D" w:rsidP="009B2FA7">
      <w:pPr>
        <w:spacing w:after="0" w:line="276" w:lineRule="auto"/>
        <w:rPr>
          <w:rFonts w:asciiTheme="majorHAnsi" w:eastAsia="Times New Roman" w:hAnsiTheme="majorHAnsi" w:cstheme="majorHAnsi"/>
          <w:b/>
          <w:bCs/>
          <w:sz w:val="23"/>
          <w:szCs w:val="23"/>
          <w:lang w:eastAsia="en-GB"/>
        </w:rPr>
      </w:pPr>
    </w:p>
    <w:p w14:paraId="203B8257" w14:textId="77777777" w:rsidR="00F00E3D" w:rsidRDefault="00F00E3D" w:rsidP="009B2FA7">
      <w:pPr>
        <w:spacing w:after="0" w:line="276" w:lineRule="auto"/>
        <w:rPr>
          <w:rFonts w:asciiTheme="majorHAnsi" w:eastAsia="Times New Roman" w:hAnsiTheme="majorHAnsi" w:cstheme="majorHAnsi"/>
          <w:b/>
          <w:bCs/>
          <w:sz w:val="23"/>
          <w:szCs w:val="23"/>
          <w:lang w:eastAsia="en-GB"/>
        </w:rPr>
      </w:pPr>
      <w:r>
        <w:rPr>
          <w:noProof/>
        </w:rPr>
        <w:lastRenderedPageBreak/>
        <w:drawing>
          <wp:inline distT="0" distB="0" distL="0" distR="0" wp14:anchorId="6F66231B" wp14:editId="123A4CED">
            <wp:extent cx="9117300" cy="6348730"/>
            <wp:effectExtent l="0" t="0" r="1905" b="127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0">
                      <a:extLst>
                        <a:ext uri="{28A0092B-C50C-407E-A947-70E740481C1C}">
                          <a14:useLocalDpi xmlns:a14="http://schemas.microsoft.com/office/drawing/2010/main"/>
                        </a:ext>
                      </a:extLst>
                    </a:blip>
                    <a:stretch>
                      <a:fillRect/>
                    </a:stretch>
                  </pic:blipFill>
                  <pic:spPr>
                    <a:xfrm>
                      <a:off x="0" y="0"/>
                      <a:ext cx="9117300" cy="6348730"/>
                    </a:xfrm>
                    <a:prstGeom prst="rect">
                      <a:avLst/>
                    </a:prstGeom>
                  </pic:spPr>
                </pic:pic>
              </a:graphicData>
            </a:graphic>
          </wp:inline>
        </w:drawing>
      </w:r>
    </w:p>
    <w:p w14:paraId="26041248" w14:textId="599733B7" w:rsidR="00F00E3D" w:rsidRPr="00A130BE" w:rsidRDefault="00F00E3D" w:rsidP="009B2FA7">
      <w:pPr>
        <w:spacing w:after="0" w:line="276" w:lineRule="auto"/>
        <w:rPr>
          <w:rFonts w:eastAsia="Times New Roman" w:cstheme="minorHAnsi"/>
          <w:b/>
          <w:bCs/>
          <w:sz w:val="20"/>
          <w:szCs w:val="20"/>
          <w:lang w:eastAsia="en-GB"/>
        </w:rPr>
        <w:sectPr w:rsidR="00F00E3D" w:rsidRPr="00A130BE" w:rsidSect="009452E8">
          <w:pgSz w:w="16840" w:h="23820"/>
          <w:pgMar w:top="1134" w:right="1134" w:bottom="1134" w:left="1134" w:header="708" w:footer="708" w:gutter="0"/>
          <w:cols w:space="708"/>
          <w:docGrid w:linePitch="360"/>
        </w:sectPr>
      </w:pPr>
      <w:bookmarkStart w:id="49" w:name="OLE_LINKFigure3"/>
      <w:r w:rsidRPr="00D0268C">
        <w:rPr>
          <w:rFonts w:eastAsia="Times New Roman" w:cstheme="minorHAnsi"/>
          <w:b/>
          <w:bCs/>
          <w:sz w:val="20"/>
          <w:szCs w:val="20"/>
          <w:lang w:eastAsia="en-GB"/>
        </w:rPr>
        <w:t xml:space="preserve">Figure </w:t>
      </w:r>
      <w:r w:rsidR="00A56011" w:rsidRPr="00D0268C">
        <w:rPr>
          <w:rFonts w:eastAsia="Times New Roman" w:cstheme="minorHAnsi"/>
          <w:b/>
          <w:bCs/>
          <w:sz w:val="20"/>
          <w:szCs w:val="20"/>
          <w:lang w:eastAsia="en-GB"/>
        </w:rPr>
        <w:t>4.2</w:t>
      </w:r>
      <w:r w:rsidRPr="00D0268C">
        <w:rPr>
          <w:rFonts w:eastAsia="Times New Roman" w:cstheme="minorHAnsi"/>
          <w:b/>
          <w:bCs/>
          <w:sz w:val="20"/>
          <w:szCs w:val="20"/>
          <w:lang w:eastAsia="en-GB"/>
        </w:rPr>
        <w:t>: Evidence Map</w:t>
      </w:r>
      <w:r w:rsidR="00146AB4" w:rsidRPr="00D0268C">
        <w:rPr>
          <w:rFonts w:eastAsia="Times New Roman" w:cstheme="minorHAnsi"/>
          <w:b/>
          <w:bCs/>
          <w:sz w:val="20"/>
          <w:szCs w:val="20"/>
          <w:lang w:eastAsia="en-GB"/>
        </w:rPr>
        <w:t xml:space="preserve">: </w:t>
      </w:r>
      <w:r w:rsidRPr="00D0268C">
        <w:rPr>
          <w:rFonts w:eastAsia="Times New Roman" w:cstheme="minorHAnsi"/>
          <w:b/>
          <w:bCs/>
          <w:sz w:val="20"/>
          <w:szCs w:val="20"/>
          <w:lang w:eastAsia="en-GB"/>
        </w:rPr>
        <w:t xml:space="preserve">Spread of </w:t>
      </w:r>
      <w:r w:rsidR="00146AB4" w:rsidRPr="00D0268C">
        <w:rPr>
          <w:rFonts w:eastAsia="Times New Roman" w:cstheme="minorHAnsi"/>
          <w:b/>
          <w:bCs/>
          <w:sz w:val="20"/>
          <w:szCs w:val="20"/>
          <w:lang w:eastAsia="en-GB"/>
        </w:rPr>
        <w:t>R</w:t>
      </w:r>
      <w:r w:rsidRPr="00D0268C">
        <w:rPr>
          <w:rFonts w:eastAsia="Times New Roman" w:cstheme="minorHAnsi"/>
          <w:b/>
          <w:bCs/>
          <w:sz w:val="20"/>
          <w:szCs w:val="20"/>
          <w:lang w:eastAsia="en-GB"/>
        </w:rPr>
        <w:t xml:space="preserve">esearch on </w:t>
      </w:r>
      <w:r w:rsidR="00146AB4" w:rsidRPr="00D0268C">
        <w:rPr>
          <w:rFonts w:eastAsia="Times New Roman" w:cstheme="minorHAnsi"/>
          <w:b/>
          <w:bCs/>
          <w:sz w:val="20"/>
          <w:szCs w:val="20"/>
          <w:lang w:eastAsia="en-GB"/>
        </w:rPr>
        <w:t>G</w:t>
      </w:r>
      <w:r w:rsidRPr="00D0268C">
        <w:rPr>
          <w:rFonts w:eastAsia="Times New Roman" w:cstheme="minorHAnsi"/>
          <w:b/>
          <w:bCs/>
          <w:sz w:val="20"/>
          <w:szCs w:val="20"/>
          <w:lang w:eastAsia="en-GB"/>
        </w:rPr>
        <w:t xml:space="preserve">lobal </w:t>
      </w:r>
      <w:r w:rsidR="00146AB4" w:rsidRPr="00D0268C">
        <w:rPr>
          <w:rFonts w:eastAsia="Times New Roman" w:cstheme="minorHAnsi"/>
          <w:b/>
          <w:bCs/>
          <w:sz w:val="20"/>
          <w:szCs w:val="20"/>
          <w:lang w:eastAsia="en-GB"/>
        </w:rPr>
        <w:t>I</w:t>
      </w:r>
      <w:r w:rsidRPr="00D0268C">
        <w:rPr>
          <w:rFonts w:eastAsia="Times New Roman" w:cstheme="minorHAnsi"/>
          <w:b/>
          <w:bCs/>
          <w:sz w:val="20"/>
          <w:szCs w:val="20"/>
          <w:lang w:eastAsia="en-GB"/>
        </w:rPr>
        <w:t xml:space="preserve">nterventions to </w:t>
      </w:r>
      <w:r w:rsidR="00146AB4" w:rsidRPr="00D0268C">
        <w:rPr>
          <w:rFonts w:eastAsia="Times New Roman" w:cstheme="minorHAnsi"/>
          <w:b/>
          <w:bCs/>
          <w:sz w:val="20"/>
          <w:szCs w:val="20"/>
          <w:lang w:eastAsia="en-GB"/>
        </w:rPr>
        <w:t>A</w:t>
      </w:r>
      <w:r w:rsidRPr="00D0268C">
        <w:rPr>
          <w:rFonts w:eastAsia="Times New Roman" w:cstheme="minorHAnsi"/>
          <w:b/>
          <w:bCs/>
          <w:sz w:val="20"/>
          <w:szCs w:val="20"/>
          <w:lang w:eastAsia="en-GB"/>
        </w:rPr>
        <w:t xml:space="preserve">ddress </w:t>
      </w:r>
      <w:r w:rsidR="00146AB4" w:rsidRPr="00D0268C">
        <w:rPr>
          <w:rFonts w:eastAsia="Times New Roman" w:cstheme="minorHAnsi"/>
          <w:b/>
          <w:bCs/>
          <w:sz w:val="20"/>
          <w:szCs w:val="20"/>
          <w:lang w:eastAsia="en-GB"/>
        </w:rPr>
        <w:t>L</w:t>
      </w:r>
      <w:r w:rsidRPr="00D0268C">
        <w:rPr>
          <w:rFonts w:eastAsia="Times New Roman" w:cstheme="minorHAnsi"/>
          <w:b/>
          <w:bCs/>
          <w:sz w:val="20"/>
          <w:szCs w:val="20"/>
          <w:lang w:eastAsia="en-GB"/>
        </w:rPr>
        <w:t xml:space="preserve">ocational </w:t>
      </w:r>
      <w:r w:rsidR="00146AB4" w:rsidRPr="00D0268C">
        <w:rPr>
          <w:rFonts w:eastAsia="Times New Roman" w:cstheme="minorHAnsi"/>
          <w:b/>
          <w:bCs/>
          <w:sz w:val="20"/>
          <w:szCs w:val="20"/>
          <w:lang w:eastAsia="en-GB"/>
        </w:rPr>
        <w:t>D</w:t>
      </w:r>
      <w:r w:rsidRPr="00D0268C">
        <w:rPr>
          <w:rFonts w:eastAsia="Times New Roman" w:cstheme="minorHAnsi"/>
          <w:b/>
          <w:bCs/>
          <w:sz w:val="20"/>
          <w:szCs w:val="20"/>
          <w:lang w:eastAsia="en-GB"/>
        </w:rPr>
        <w:t xml:space="preserve">isadvantage, </w:t>
      </w:r>
      <w:r w:rsidR="00146AB4" w:rsidRPr="00D0268C">
        <w:rPr>
          <w:rFonts w:eastAsia="Times New Roman" w:cstheme="minorHAnsi"/>
          <w:b/>
          <w:bCs/>
          <w:sz w:val="20"/>
          <w:szCs w:val="20"/>
          <w:lang w:eastAsia="en-GB"/>
        </w:rPr>
        <w:t>A</w:t>
      </w:r>
      <w:r w:rsidRPr="00D0268C">
        <w:rPr>
          <w:rFonts w:eastAsia="Times New Roman" w:cstheme="minorHAnsi"/>
          <w:b/>
          <w:bCs/>
          <w:sz w:val="20"/>
          <w:szCs w:val="20"/>
          <w:lang w:eastAsia="en-GB"/>
        </w:rPr>
        <w:t xml:space="preserve">ccording to </w:t>
      </w:r>
      <w:bookmarkEnd w:id="49"/>
      <w:r w:rsidR="00D95573">
        <w:rPr>
          <w:rFonts w:eastAsia="Times New Roman" w:cstheme="minorHAnsi"/>
          <w:b/>
          <w:bCs/>
          <w:sz w:val="20"/>
          <w:szCs w:val="20"/>
          <w:lang w:eastAsia="en-GB"/>
        </w:rPr>
        <w:t>Practice Domain</w:t>
      </w:r>
    </w:p>
    <w:p w14:paraId="3BDF33AC" w14:textId="4446C0A0" w:rsidR="00F00E3D" w:rsidRPr="00577837" w:rsidRDefault="00F00E3D" w:rsidP="009B2FA7">
      <w:pPr>
        <w:spacing w:after="0"/>
        <w:rPr>
          <w:b/>
          <w:bCs/>
          <w:color w:val="2F5496" w:themeColor="accent1" w:themeShade="BF"/>
          <w:sz w:val="36"/>
          <w:szCs w:val="36"/>
        </w:rPr>
      </w:pPr>
      <w:bookmarkStart w:id="50" w:name="_Hlk60837333"/>
      <w:bookmarkStart w:id="51" w:name="OLE_LINKSECTION5"/>
      <w:r w:rsidRPr="71C466D6">
        <w:rPr>
          <w:b/>
          <w:bCs/>
          <w:color w:val="2F5496" w:themeColor="accent1" w:themeShade="BF"/>
          <w:sz w:val="36"/>
          <w:szCs w:val="36"/>
        </w:rPr>
        <w:lastRenderedPageBreak/>
        <w:t xml:space="preserve">SECTION 5: </w:t>
      </w:r>
      <w:r w:rsidR="00AD2DA5">
        <w:rPr>
          <w:b/>
          <w:bCs/>
          <w:color w:val="2F5496" w:themeColor="accent1" w:themeShade="BF"/>
          <w:sz w:val="36"/>
          <w:szCs w:val="36"/>
        </w:rPr>
        <w:t>Case Studies</w:t>
      </w:r>
    </w:p>
    <w:bookmarkEnd w:id="50"/>
    <w:bookmarkEnd w:id="51"/>
    <w:p w14:paraId="7CCE309C" w14:textId="77777777" w:rsidR="00F00E3D" w:rsidRPr="00C5183D" w:rsidRDefault="00F00E3D" w:rsidP="009B2FA7">
      <w:pPr>
        <w:spacing w:after="0" w:line="276" w:lineRule="auto"/>
        <w:rPr>
          <w:rFonts w:asciiTheme="majorHAnsi" w:hAnsiTheme="majorHAnsi" w:cstheme="majorBidi"/>
          <w:sz w:val="16"/>
          <w:szCs w:val="16"/>
        </w:rPr>
      </w:pPr>
    </w:p>
    <w:p w14:paraId="1775E9C4" w14:textId="07F767F9" w:rsidR="00C85953" w:rsidRDefault="005A4331" w:rsidP="00C85953">
      <w:pPr>
        <w:spacing w:after="0" w:line="276" w:lineRule="auto"/>
        <w:rPr>
          <w:rFonts w:asciiTheme="majorHAnsi" w:eastAsiaTheme="minorEastAsia" w:hAnsiTheme="majorHAnsi" w:cstheme="majorBidi"/>
          <w:sz w:val="23"/>
          <w:szCs w:val="23"/>
          <w:lang w:val="en-GB" w:eastAsia="en-AU"/>
        </w:rPr>
      </w:pPr>
      <w:r>
        <w:rPr>
          <w:rFonts w:asciiTheme="majorHAnsi" w:hAnsiTheme="majorHAnsi" w:cstheme="majorBidi"/>
          <w:sz w:val="23"/>
          <w:szCs w:val="23"/>
        </w:rPr>
        <w:t>In this section we profile</w:t>
      </w:r>
      <w:r w:rsidR="00F00E3D" w:rsidRPr="47C6F23B">
        <w:rPr>
          <w:rFonts w:asciiTheme="majorHAnsi" w:hAnsiTheme="majorHAnsi" w:cstheme="majorBidi"/>
          <w:sz w:val="23"/>
          <w:szCs w:val="23"/>
        </w:rPr>
        <w:t xml:space="preserve"> a </w:t>
      </w:r>
      <w:r>
        <w:rPr>
          <w:rFonts w:asciiTheme="majorHAnsi" w:hAnsiTheme="majorHAnsi" w:cstheme="majorBidi"/>
          <w:sz w:val="23"/>
          <w:szCs w:val="23"/>
        </w:rPr>
        <w:t>range of</w:t>
      </w:r>
      <w:r w:rsidR="00F00E3D" w:rsidRPr="47C6F23B">
        <w:rPr>
          <w:rFonts w:asciiTheme="majorHAnsi" w:hAnsiTheme="majorHAnsi" w:cstheme="majorBidi"/>
          <w:sz w:val="23"/>
          <w:szCs w:val="23"/>
        </w:rPr>
        <w:t xml:space="preserve"> successful and innovative programs designed to improve outcomes for local communities. Through a series of 2</w:t>
      </w:r>
      <w:r w:rsidR="00554136">
        <w:rPr>
          <w:rFonts w:asciiTheme="majorHAnsi" w:hAnsiTheme="majorHAnsi" w:cstheme="majorBidi"/>
          <w:sz w:val="23"/>
          <w:szCs w:val="23"/>
        </w:rPr>
        <w:t>5</w:t>
      </w:r>
      <w:r w:rsidR="00F00E3D" w:rsidRPr="47C6F23B">
        <w:rPr>
          <w:rFonts w:asciiTheme="majorHAnsi" w:hAnsiTheme="majorHAnsi" w:cstheme="majorBidi"/>
          <w:sz w:val="23"/>
          <w:szCs w:val="23"/>
        </w:rPr>
        <w:t xml:space="preserve"> compact </w:t>
      </w:r>
      <w:r w:rsidR="00AD2DA5">
        <w:rPr>
          <w:rFonts w:asciiTheme="majorHAnsi" w:hAnsiTheme="majorHAnsi" w:cstheme="majorBidi"/>
          <w:sz w:val="23"/>
          <w:szCs w:val="23"/>
        </w:rPr>
        <w:t>Case Studies</w:t>
      </w:r>
      <w:r w:rsidR="00F00E3D" w:rsidRPr="47C6F23B">
        <w:rPr>
          <w:rFonts w:asciiTheme="majorHAnsi" w:hAnsiTheme="majorHAnsi" w:cstheme="majorBidi"/>
          <w:sz w:val="23"/>
          <w:szCs w:val="23"/>
        </w:rPr>
        <w:t xml:space="preserve">, we </w:t>
      </w:r>
      <w:r>
        <w:rPr>
          <w:rFonts w:asciiTheme="majorHAnsi" w:hAnsiTheme="majorHAnsi" w:cstheme="majorBidi"/>
          <w:sz w:val="23"/>
          <w:szCs w:val="23"/>
        </w:rPr>
        <w:t xml:space="preserve">explore </w:t>
      </w:r>
      <w:r w:rsidR="003D289E">
        <w:rPr>
          <w:rFonts w:asciiTheme="majorHAnsi" w:hAnsiTheme="majorHAnsi" w:cstheme="majorBidi"/>
          <w:sz w:val="23"/>
          <w:szCs w:val="23"/>
        </w:rPr>
        <w:t xml:space="preserve">a diverse </w:t>
      </w:r>
      <w:r w:rsidR="00EE2CB2">
        <w:rPr>
          <w:rFonts w:asciiTheme="majorHAnsi" w:hAnsiTheme="majorHAnsi" w:cstheme="majorBidi"/>
          <w:sz w:val="23"/>
          <w:szCs w:val="23"/>
        </w:rPr>
        <w:t>range</w:t>
      </w:r>
      <w:r w:rsidR="00F00E3D" w:rsidRPr="47C6F23B">
        <w:rPr>
          <w:rFonts w:asciiTheme="majorHAnsi" w:hAnsiTheme="majorHAnsi" w:cstheme="majorBidi"/>
          <w:sz w:val="23"/>
          <w:szCs w:val="23"/>
        </w:rPr>
        <w:t xml:space="preserve"> of</w:t>
      </w:r>
      <w:r w:rsidR="003D289E">
        <w:rPr>
          <w:rFonts w:asciiTheme="majorHAnsi" w:hAnsiTheme="majorHAnsi" w:cstheme="majorBidi"/>
          <w:sz w:val="23"/>
          <w:szCs w:val="23"/>
        </w:rPr>
        <w:t xml:space="preserve"> initiatives</w:t>
      </w:r>
      <w:r w:rsidR="00F00E3D" w:rsidRPr="47C6F23B">
        <w:rPr>
          <w:rFonts w:asciiTheme="majorHAnsi" w:hAnsiTheme="majorHAnsi" w:cstheme="majorBidi"/>
          <w:sz w:val="23"/>
          <w:szCs w:val="23"/>
        </w:rPr>
        <w:t>, with a</w:t>
      </w:r>
      <w:r w:rsidR="00AA5E6A">
        <w:rPr>
          <w:rFonts w:asciiTheme="majorHAnsi" w:hAnsiTheme="majorHAnsi" w:cstheme="majorBidi"/>
          <w:sz w:val="23"/>
          <w:szCs w:val="23"/>
        </w:rPr>
        <w:t>n emphasis</w:t>
      </w:r>
      <w:r w:rsidR="00F00E3D" w:rsidRPr="47C6F23B">
        <w:rPr>
          <w:rFonts w:asciiTheme="majorHAnsi" w:hAnsiTheme="majorHAnsi" w:cstheme="majorBidi"/>
          <w:sz w:val="23"/>
          <w:szCs w:val="23"/>
        </w:rPr>
        <w:t xml:space="preserve"> on </w:t>
      </w:r>
      <w:r w:rsidR="003D289E">
        <w:rPr>
          <w:rFonts w:asciiTheme="majorHAnsi" w:hAnsiTheme="majorHAnsi" w:cstheme="majorBidi"/>
          <w:sz w:val="23"/>
          <w:szCs w:val="23"/>
        </w:rPr>
        <w:t>programs</w:t>
      </w:r>
      <w:r w:rsidR="00F00E3D" w:rsidRPr="47C6F23B">
        <w:rPr>
          <w:rFonts w:asciiTheme="majorHAnsi" w:hAnsiTheme="majorHAnsi" w:cstheme="majorBidi"/>
          <w:sz w:val="23"/>
          <w:szCs w:val="23"/>
        </w:rPr>
        <w:t xml:space="preserve"> that seek to tackle social, economic, and spatial disadvantage.</w:t>
      </w:r>
      <w:r w:rsidR="00C85953" w:rsidRPr="00C85953">
        <w:rPr>
          <w:rFonts w:asciiTheme="majorHAnsi" w:eastAsiaTheme="minorEastAsia" w:hAnsiTheme="majorHAnsi" w:cstheme="majorBidi"/>
          <w:sz w:val="23"/>
          <w:szCs w:val="23"/>
          <w:lang w:val="en-GB" w:eastAsia="en-AU"/>
        </w:rPr>
        <w:t xml:space="preserve"> </w:t>
      </w:r>
      <w:r w:rsidR="00C85953" w:rsidRPr="00190C37">
        <w:rPr>
          <w:rFonts w:asciiTheme="majorHAnsi" w:eastAsiaTheme="minorEastAsia" w:hAnsiTheme="majorHAnsi" w:cstheme="majorBidi"/>
          <w:sz w:val="23"/>
          <w:szCs w:val="23"/>
          <w:lang w:val="en-GB" w:eastAsia="en-AU"/>
        </w:rPr>
        <w:t>Drawing on the research undertaken for this section, we conclude with a short summary of key factors that can contribute to program success.</w:t>
      </w:r>
    </w:p>
    <w:p w14:paraId="035AB2DF" w14:textId="77777777" w:rsidR="00A8663E" w:rsidRPr="00A8663E" w:rsidRDefault="00A8663E" w:rsidP="009B2FA7">
      <w:pPr>
        <w:spacing w:after="0" w:line="276" w:lineRule="auto"/>
        <w:rPr>
          <w:rFonts w:asciiTheme="majorHAnsi" w:hAnsiTheme="majorHAnsi" w:cstheme="majorBidi"/>
          <w:sz w:val="16"/>
          <w:szCs w:val="16"/>
        </w:rPr>
      </w:pPr>
    </w:p>
    <w:p w14:paraId="5BAD036E" w14:textId="69059FE3" w:rsidR="008B6DEB" w:rsidRDefault="00F00E3D" w:rsidP="009B2FA7">
      <w:pPr>
        <w:spacing w:after="0" w:line="276" w:lineRule="auto"/>
        <w:rPr>
          <w:rFonts w:asciiTheme="majorHAnsi" w:hAnsiTheme="majorHAnsi" w:cstheme="majorBidi"/>
          <w:sz w:val="23"/>
          <w:szCs w:val="23"/>
        </w:rPr>
      </w:pPr>
      <w:r w:rsidRPr="47C6F23B">
        <w:rPr>
          <w:rFonts w:asciiTheme="majorHAnsi" w:hAnsiTheme="majorHAnsi" w:cstheme="majorBidi"/>
          <w:sz w:val="23"/>
          <w:szCs w:val="23"/>
        </w:rPr>
        <w:t xml:space="preserve">Grouped geographically, the </w:t>
      </w:r>
      <w:r w:rsidR="00AD2DA5">
        <w:rPr>
          <w:rFonts w:asciiTheme="majorHAnsi" w:hAnsiTheme="majorHAnsi" w:cstheme="majorBidi"/>
          <w:sz w:val="23"/>
          <w:szCs w:val="23"/>
        </w:rPr>
        <w:t>Case Studies</w:t>
      </w:r>
      <w:r w:rsidRPr="47C6F23B">
        <w:rPr>
          <w:rFonts w:asciiTheme="majorHAnsi" w:hAnsiTheme="majorHAnsi" w:cstheme="majorBidi"/>
          <w:sz w:val="23"/>
          <w:szCs w:val="23"/>
        </w:rPr>
        <w:t xml:space="preserve"> comprise 1</w:t>
      </w:r>
      <w:r w:rsidR="00554136">
        <w:rPr>
          <w:rFonts w:asciiTheme="majorHAnsi" w:hAnsiTheme="majorHAnsi" w:cstheme="majorBidi"/>
          <w:sz w:val="23"/>
          <w:szCs w:val="23"/>
        </w:rPr>
        <w:t>3</w:t>
      </w:r>
      <w:r w:rsidRPr="47C6F23B">
        <w:rPr>
          <w:rFonts w:asciiTheme="majorHAnsi" w:hAnsiTheme="majorHAnsi" w:cstheme="majorBidi"/>
          <w:sz w:val="23"/>
          <w:szCs w:val="23"/>
        </w:rPr>
        <w:t xml:space="preserve"> Australian and 12 overseas examples. Most are tailored to a neighbourhood or local scale, but several city-wide, state-</w:t>
      </w:r>
      <w:r w:rsidR="0042572A">
        <w:rPr>
          <w:rFonts w:asciiTheme="majorHAnsi" w:hAnsiTheme="majorHAnsi" w:cstheme="majorBidi"/>
          <w:sz w:val="23"/>
          <w:szCs w:val="23"/>
        </w:rPr>
        <w:t>funded</w:t>
      </w:r>
      <w:r w:rsidRPr="47C6F23B">
        <w:rPr>
          <w:rFonts w:asciiTheme="majorHAnsi" w:hAnsiTheme="majorHAnsi" w:cstheme="majorBidi"/>
          <w:sz w:val="23"/>
          <w:szCs w:val="23"/>
        </w:rPr>
        <w:t>, and national</w:t>
      </w:r>
      <w:r w:rsidR="0042572A">
        <w:rPr>
          <w:rFonts w:asciiTheme="majorHAnsi" w:hAnsiTheme="majorHAnsi" w:cstheme="majorBidi"/>
          <w:sz w:val="23"/>
          <w:szCs w:val="23"/>
        </w:rPr>
        <w:t>ly scaled</w:t>
      </w:r>
      <w:r w:rsidRPr="47C6F23B">
        <w:rPr>
          <w:rFonts w:asciiTheme="majorHAnsi" w:hAnsiTheme="majorHAnsi" w:cstheme="majorBidi"/>
          <w:sz w:val="23"/>
          <w:szCs w:val="23"/>
        </w:rPr>
        <w:t xml:space="preserve"> programs have also been included. Smaller sub-projects</w:t>
      </w:r>
      <w:r w:rsidR="0042572A">
        <w:rPr>
          <w:rFonts w:asciiTheme="majorHAnsi" w:hAnsiTheme="majorHAnsi" w:cstheme="majorBidi"/>
          <w:sz w:val="23"/>
          <w:szCs w:val="23"/>
        </w:rPr>
        <w:t>,</w:t>
      </w:r>
      <w:r w:rsidRPr="47C6F23B">
        <w:rPr>
          <w:rFonts w:asciiTheme="majorHAnsi" w:hAnsiTheme="majorHAnsi" w:cstheme="majorBidi"/>
          <w:sz w:val="23"/>
          <w:szCs w:val="23"/>
        </w:rPr>
        <w:t xml:space="preserve"> focused on specific neighbourhoods or </w:t>
      </w:r>
      <w:r w:rsidRPr="007B4C69">
        <w:rPr>
          <w:rFonts w:asciiTheme="majorHAnsi" w:hAnsiTheme="majorHAnsi" w:cstheme="majorBidi"/>
          <w:sz w:val="23"/>
          <w:szCs w:val="23"/>
        </w:rPr>
        <w:t>communities</w:t>
      </w:r>
      <w:r w:rsidR="0042572A">
        <w:rPr>
          <w:rFonts w:asciiTheme="majorHAnsi" w:hAnsiTheme="majorHAnsi" w:cstheme="majorBidi"/>
          <w:sz w:val="23"/>
          <w:szCs w:val="23"/>
        </w:rPr>
        <w:t>,</w:t>
      </w:r>
      <w:r w:rsidRPr="007B4C69">
        <w:rPr>
          <w:rFonts w:asciiTheme="majorHAnsi" w:hAnsiTheme="majorHAnsi" w:cstheme="majorBidi"/>
          <w:sz w:val="23"/>
          <w:szCs w:val="23"/>
        </w:rPr>
        <w:t xml:space="preserve"> are often nested within these larger programs.</w:t>
      </w:r>
      <w:r w:rsidR="008B6DEB">
        <w:rPr>
          <w:rFonts w:asciiTheme="majorHAnsi" w:hAnsiTheme="majorHAnsi" w:cstheme="majorBidi"/>
          <w:sz w:val="23"/>
          <w:szCs w:val="23"/>
        </w:rPr>
        <w:t xml:space="preserve"> </w:t>
      </w:r>
      <w:r w:rsidR="00A8663E" w:rsidRPr="47C6F23B">
        <w:rPr>
          <w:rFonts w:asciiTheme="majorHAnsi" w:hAnsiTheme="majorHAnsi" w:cstheme="majorBidi"/>
          <w:sz w:val="23"/>
          <w:szCs w:val="23"/>
        </w:rPr>
        <w:t xml:space="preserve">For </w:t>
      </w:r>
      <w:r w:rsidR="00AD2DA5">
        <w:rPr>
          <w:rFonts w:asciiTheme="majorHAnsi" w:hAnsiTheme="majorHAnsi" w:cstheme="majorBidi"/>
          <w:sz w:val="23"/>
          <w:szCs w:val="23"/>
        </w:rPr>
        <w:t>Case Studies</w:t>
      </w:r>
      <w:r w:rsidR="00A8663E" w:rsidRPr="47C6F23B">
        <w:rPr>
          <w:rFonts w:asciiTheme="majorHAnsi" w:hAnsiTheme="majorHAnsi" w:cstheme="majorBidi"/>
          <w:sz w:val="23"/>
          <w:szCs w:val="23"/>
        </w:rPr>
        <w:t xml:space="preserve"> located outside the Greater Geelong area, we provide a brief contextual snapshot of the city, neighbourhood, and community </w:t>
      </w:r>
      <w:r w:rsidR="00A8663E">
        <w:rPr>
          <w:rFonts w:asciiTheme="majorHAnsi" w:hAnsiTheme="majorHAnsi" w:cstheme="majorBidi"/>
          <w:sz w:val="23"/>
          <w:szCs w:val="23"/>
        </w:rPr>
        <w:t>where</w:t>
      </w:r>
      <w:r w:rsidR="00A8663E" w:rsidRPr="47C6F23B">
        <w:rPr>
          <w:rFonts w:asciiTheme="majorHAnsi" w:hAnsiTheme="majorHAnsi" w:cstheme="majorBidi"/>
          <w:sz w:val="23"/>
          <w:szCs w:val="23"/>
        </w:rPr>
        <w:t xml:space="preserve"> the intervention was s</w:t>
      </w:r>
      <w:r w:rsidR="00A8663E">
        <w:rPr>
          <w:rFonts w:asciiTheme="majorHAnsi" w:hAnsiTheme="majorHAnsi" w:cstheme="majorBidi"/>
          <w:sz w:val="23"/>
          <w:szCs w:val="23"/>
        </w:rPr>
        <w:t>taged</w:t>
      </w:r>
      <w:r w:rsidR="00A8663E" w:rsidRPr="47C6F23B">
        <w:rPr>
          <w:rFonts w:asciiTheme="majorHAnsi" w:hAnsiTheme="majorHAnsi" w:cstheme="majorBidi"/>
          <w:sz w:val="23"/>
          <w:szCs w:val="23"/>
        </w:rPr>
        <w:t>.</w:t>
      </w:r>
      <w:r w:rsidR="00203515">
        <w:rPr>
          <w:rFonts w:asciiTheme="majorHAnsi" w:hAnsiTheme="majorHAnsi" w:cstheme="majorBidi"/>
          <w:sz w:val="23"/>
          <w:szCs w:val="23"/>
        </w:rPr>
        <w:t xml:space="preserve"> </w:t>
      </w:r>
      <w:r w:rsidR="00DD6928">
        <w:rPr>
          <w:rFonts w:asciiTheme="majorHAnsi" w:hAnsiTheme="majorHAnsi" w:cstheme="majorBidi"/>
          <w:sz w:val="23"/>
          <w:szCs w:val="23"/>
        </w:rPr>
        <w:t>The</w:t>
      </w:r>
      <w:r w:rsidR="00FF256A">
        <w:rPr>
          <w:rFonts w:asciiTheme="majorHAnsi" w:hAnsiTheme="majorHAnsi" w:cstheme="majorBidi"/>
          <w:sz w:val="23"/>
          <w:szCs w:val="23"/>
        </w:rPr>
        <w:t xml:space="preserve"> 25 featured initiatives </w:t>
      </w:r>
      <w:r w:rsidR="00DD6928">
        <w:rPr>
          <w:rFonts w:asciiTheme="majorHAnsi" w:hAnsiTheme="majorHAnsi" w:cstheme="majorBidi"/>
          <w:sz w:val="23"/>
          <w:szCs w:val="23"/>
        </w:rPr>
        <w:t>span a range of timeframes.</w:t>
      </w:r>
      <w:r w:rsidR="00FF256A">
        <w:rPr>
          <w:rFonts w:asciiTheme="majorHAnsi" w:hAnsiTheme="majorHAnsi" w:cstheme="majorBidi"/>
          <w:sz w:val="23"/>
          <w:szCs w:val="23"/>
        </w:rPr>
        <w:t xml:space="preserve"> </w:t>
      </w:r>
      <w:r w:rsidR="00DD6928">
        <w:rPr>
          <w:rFonts w:asciiTheme="majorHAnsi" w:hAnsiTheme="majorHAnsi" w:cstheme="majorBidi"/>
          <w:sz w:val="23"/>
          <w:szCs w:val="23"/>
        </w:rPr>
        <w:t xml:space="preserve">Around 70 percent of them are currently running (as of April 2021); the </w:t>
      </w:r>
      <w:r w:rsidR="00AF4A13">
        <w:rPr>
          <w:rFonts w:asciiTheme="majorHAnsi" w:hAnsiTheme="majorHAnsi" w:cstheme="majorBidi"/>
          <w:sz w:val="23"/>
          <w:szCs w:val="23"/>
        </w:rPr>
        <w:t xml:space="preserve">remainder </w:t>
      </w:r>
      <w:r w:rsidR="00DD6928">
        <w:rPr>
          <w:rFonts w:asciiTheme="majorHAnsi" w:hAnsiTheme="majorHAnsi" w:cstheme="majorBidi"/>
          <w:sz w:val="23"/>
          <w:szCs w:val="23"/>
        </w:rPr>
        <w:t xml:space="preserve">range from one-off </w:t>
      </w:r>
      <w:r w:rsidR="00AF4A13">
        <w:rPr>
          <w:rFonts w:asciiTheme="majorHAnsi" w:hAnsiTheme="majorHAnsi" w:cstheme="majorBidi"/>
          <w:sz w:val="23"/>
          <w:szCs w:val="23"/>
        </w:rPr>
        <w:t>pilot projects, to extended programs that have recently concluded,</w:t>
      </w:r>
      <w:r w:rsidR="00DD6928">
        <w:rPr>
          <w:rFonts w:asciiTheme="majorHAnsi" w:hAnsiTheme="majorHAnsi" w:cstheme="majorBidi"/>
          <w:sz w:val="23"/>
          <w:szCs w:val="23"/>
        </w:rPr>
        <w:t xml:space="preserve"> to a</w:t>
      </w:r>
      <w:r w:rsidR="00AF4A13">
        <w:rPr>
          <w:rFonts w:asciiTheme="majorHAnsi" w:hAnsiTheme="majorHAnsi" w:cstheme="majorBidi"/>
          <w:sz w:val="23"/>
          <w:szCs w:val="23"/>
        </w:rPr>
        <w:t xml:space="preserve"> major </w:t>
      </w:r>
      <w:r w:rsidR="00DD6928">
        <w:rPr>
          <w:rFonts w:asciiTheme="majorHAnsi" w:hAnsiTheme="majorHAnsi" w:cstheme="majorBidi"/>
          <w:sz w:val="23"/>
          <w:szCs w:val="23"/>
        </w:rPr>
        <w:t>multi-year Victorian</w:t>
      </w:r>
      <w:r w:rsidR="00AF4A13">
        <w:rPr>
          <w:rFonts w:asciiTheme="majorHAnsi" w:hAnsiTheme="majorHAnsi" w:cstheme="majorBidi"/>
          <w:sz w:val="23"/>
          <w:szCs w:val="23"/>
        </w:rPr>
        <w:t xml:space="preserve"> Government</w:t>
      </w:r>
      <w:r w:rsidR="00DD6928">
        <w:rPr>
          <w:rFonts w:asciiTheme="majorHAnsi" w:hAnsiTheme="majorHAnsi" w:cstheme="majorBidi"/>
          <w:sz w:val="23"/>
          <w:szCs w:val="23"/>
        </w:rPr>
        <w:t xml:space="preserve"> </w:t>
      </w:r>
      <w:r w:rsidR="00AF4A13">
        <w:rPr>
          <w:rFonts w:asciiTheme="majorHAnsi" w:hAnsiTheme="majorHAnsi" w:cstheme="majorBidi"/>
          <w:sz w:val="23"/>
          <w:szCs w:val="23"/>
        </w:rPr>
        <w:t>initiative</w:t>
      </w:r>
      <w:r w:rsidR="00DD6928">
        <w:rPr>
          <w:rFonts w:asciiTheme="majorHAnsi" w:hAnsiTheme="majorHAnsi" w:cstheme="majorBidi"/>
          <w:sz w:val="23"/>
          <w:szCs w:val="23"/>
        </w:rPr>
        <w:t xml:space="preserve"> that </w:t>
      </w:r>
      <w:r w:rsidR="00C86DF2">
        <w:rPr>
          <w:rFonts w:asciiTheme="majorHAnsi" w:hAnsiTheme="majorHAnsi" w:cstheme="majorBidi"/>
          <w:sz w:val="23"/>
          <w:szCs w:val="23"/>
        </w:rPr>
        <w:t>ended</w:t>
      </w:r>
      <w:r w:rsidR="00DD6928">
        <w:rPr>
          <w:rFonts w:asciiTheme="majorHAnsi" w:hAnsiTheme="majorHAnsi" w:cstheme="majorBidi"/>
          <w:sz w:val="23"/>
          <w:szCs w:val="23"/>
        </w:rPr>
        <w:t xml:space="preserve"> a decade ago.</w:t>
      </w:r>
    </w:p>
    <w:p w14:paraId="00912FB4" w14:textId="77777777" w:rsidR="003C4388" w:rsidRPr="003C4388" w:rsidRDefault="003C4388" w:rsidP="003C4388">
      <w:pPr>
        <w:spacing w:after="0" w:line="276" w:lineRule="auto"/>
        <w:rPr>
          <w:rFonts w:asciiTheme="majorHAnsi" w:eastAsiaTheme="minorEastAsia" w:hAnsiTheme="majorHAnsi" w:cstheme="majorBidi"/>
          <w:sz w:val="16"/>
          <w:szCs w:val="16"/>
          <w:lang w:val="en-GB" w:eastAsia="en-AU"/>
        </w:rPr>
      </w:pPr>
    </w:p>
    <w:p w14:paraId="3B52711B" w14:textId="6AA66946" w:rsidR="00F00E3D" w:rsidRPr="003C4388" w:rsidRDefault="00CE7855" w:rsidP="009B2FA7">
      <w:pPr>
        <w:spacing w:after="0" w:line="276" w:lineRule="auto"/>
        <w:rPr>
          <w:rFonts w:asciiTheme="majorHAnsi" w:eastAsiaTheme="minorEastAsia" w:hAnsiTheme="majorHAnsi" w:cstheme="majorBidi"/>
          <w:sz w:val="23"/>
          <w:szCs w:val="23"/>
          <w:lang w:val="en-GB" w:eastAsia="en-AU"/>
        </w:rPr>
      </w:pPr>
      <w:r>
        <w:rPr>
          <w:rFonts w:asciiTheme="majorHAnsi" w:hAnsiTheme="majorHAnsi" w:cstheme="majorBidi"/>
          <w:sz w:val="23"/>
          <w:szCs w:val="23"/>
        </w:rPr>
        <w:t>Given</w:t>
      </w:r>
      <w:r w:rsidR="006507C5">
        <w:rPr>
          <w:rFonts w:asciiTheme="majorHAnsi" w:hAnsiTheme="majorHAnsi" w:cstheme="majorBidi"/>
          <w:sz w:val="23"/>
          <w:szCs w:val="23"/>
        </w:rPr>
        <w:t xml:space="preserve"> </w:t>
      </w:r>
      <w:r w:rsidR="00785962">
        <w:rPr>
          <w:rFonts w:asciiTheme="majorHAnsi" w:hAnsiTheme="majorHAnsi" w:cstheme="majorBidi"/>
          <w:sz w:val="23"/>
          <w:szCs w:val="23"/>
        </w:rPr>
        <w:t>our</w:t>
      </w:r>
      <w:r w:rsidR="008F26CC">
        <w:rPr>
          <w:rFonts w:asciiTheme="majorHAnsi" w:hAnsiTheme="majorHAnsi" w:cstheme="majorBidi"/>
          <w:sz w:val="23"/>
          <w:szCs w:val="23"/>
        </w:rPr>
        <w:t xml:space="preserve"> focus on local communities and neighbourhoods</w:t>
      </w:r>
      <w:r w:rsidR="008B6DEB">
        <w:rPr>
          <w:rFonts w:asciiTheme="majorHAnsi" w:hAnsiTheme="majorHAnsi" w:cstheme="majorBidi"/>
          <w:sz w:val="23"/>
          <w:szCs w:val="23"/>
        </w:rPr>
        <w:t>, m</w:t>
      </w:r>
      <w:r w:rsidR="0042572A">
        <w:rPr>
          <w:rFonts w:asciiTheme="majorHAnsi" w:hAnsiTheme="majorHAnsi" w:cstheme="majorBidi"/>
          <w:sz w:val="23"/>
          <w:szCs w:val="23"/>
        </w:rPr>
        <w:t>ost of</w:t>
      </w:r>
      <w:r w:rsidR="00F00E3D" w:rsidRPr="47C6F23B">
        <w:rPr>
          <w:rFonts w:asciiTheme="majorHAnsi" w:hAnsiTheme="majorHAnsi" w:cstheme="majorBidi"/>
          <w:sz w:val="23"/>
          <w:szCs w:val="23"/>
        </w:rPr>
        <w:t xml:space="preserve"> the </w:t>
      </w:r>
      <w:r w:rsidR="006507C5">
        <w:rPr>
          <w:rFonts w:asciiTheme="majorHAnsi" w:hAnsiTheme="majorHAnsi" w:cstheme="majorBidi"/>
          <w:sz w:val="23"/>
          <w:szCs w:val="23"/>
        </w:rPr>
        <w:t>chosen</w:t>
      </w:r>
      <w:r w:rsidR="009F2A77">
        <w:rPr>
          <w:rFonts w:asciiTheme="majorHAnsi" w:hAnsiTheme="majorHAnsi" w:cstheme="majorBidi"/>
          <w:sz w:val="23"/>
          <w:szCs w:val="23"/>
        </w:rPr>
        <w:t xml:space="preserve"> initiatives</w:t>
      </w:r>
      <w:r w:rsidR="00F00E3D" w:rsidRPr="47C6F23B">
        <w:rPr>
          <w:rFonts w:asciiTheme="majorHAnsi" w:hAnsiTheme="majorHAnsi" w:cstheme="majorBidi"/>
          <w:sz w:val="23"/>
          <w:szCs w:val="23"/>
        </w:rPr>
        <w:t xml:space="preserve"> can be characterised as “place-based interventions”, </w:t>
      </w:r>
      <w:r w:rsidR="000449C2">
        <w:rPr>
          <w:rFonts w:asciiTheme="majorHAnsi" w:hAnsiTheme="majorHAnsi" w:cstheme="majorBidi"/>
          <w:sz w:val="23"/>
          <w:szCs w:val="23"/>
        </w:rPr>
        <w:t>under</w:t>
      </w:r>
      <w:r w:rsidR="00F00E3D" w:rsidRPr="47C6F23B">
        <w:rPr>
          <w:rFonts w:asciiTheme="majorHAnsi" w:hAnsiTheme="majorHAnsi" w:cstheme="majorBidi"/>
          <w:sz w:val="23"/>
          <w:szCs w:val="23"/>
        </w:rPr>
        <w:t xml:space="preserve"> the following definition: </w:t>
      </w:r>
      <w:bookmarkStart w:id="52" w:name="_Hlk62820967"/>
      <w:r w:rsidR="00F00E3D" w:rsidRPr="47C6F23B">
        <w:rPr>
          <w:rFonts w:asciiTheme="majorHAnsi" w:hAnsiTheme="majorHAnsi" w:cstheme="majorBidi"/>
          <w:sz w:val="23"/>
          <w:szCs w:val="23"/>
        </w:rPr>
        <w:t xml:space="preserve">“a collaborative means to address complex socioeconomic issues through interventions defined at a specific geographic scale” (Cantin, 2010). </w:t>
      </w:r>
      <w:bookmarkEnd w:id="52"/>
      <w:r w:rsidR="00F00E3D" w:rsidRPr="47C6F23B">
        <w:rPr>
          <w:rFonts w:asciiTheme="majorHAnsi" w:hAnsiTheme="majorHAnsi" w:cstheme="majorBidi"/>
          <w:sz w:val="23"/>
          <w:szCs w:val="23"/>
        </w:rPr>
        <w:t>This characterisation does not rule out a concurrent focus on people, systems, or structures, but simply emphasises locality-based approaches.</w:t>
      </w:r>
      <w:r w:rsidR="00B75D17" w:rsidRPr="00B75D17">
        <w:rPr>
          <w:rFonts w:asciiTheme="majorHAnsi" w:hAnsiTheme="majorHAnsi" w:cstheme="majorBidi"/>
          <w:sz w:val="23"/>
          <w:szCs w:val="23"/>
        </w:rPr>
        <w:t xml:space="preserve"> </w:t>
      </w:r>
    </w:p>
    <w:p w14:paraId="47463940" w14:textId="77777777" w:rsidR="001B7263" w:rsidRPr="00C85953" w:rsidRDefault="001B7263" w:rsidP="009B2FA7">
      <w:pPr>
        <w:spacing w:after="0" w:line="276" w:lineRule="auto"/>
        <w:rPr>
          <w:rFonts w:asciiTheme="majorHAnsi" w:eastAsiaTheme="minorEastAsia" w:hAnsiTheme="majorHAnsi" w:cstheme="majorBidi"/>
          <w:sz w:val="16"/>
          <w:szCs w:val="16"/>
          <w:lang w:val="en-GB" w:eastAsia="en-AU"/>
        </w:rPr>
      </w:pPr>
    </w:p>
    <w:p w14:paraId="04FAD322" w14:textId="2BBE6F66" w:rsidR="00967136" w:rsidRDefault="001B7263" w:rsidP="009B2FA7">
      <w:pPr>
        <w:spacing w:after="0" w:line="276" w:lineRule="auto"/>
        <w:rPr>
          <w:rFonts w:asciiTheme="majorHAnsi" w:eastAsiaTheme="minorEastAsia" w:hAnsiTheme="majorHAnsi" w:cstheme="majorBidi"/>
          <w:sz w:val="23"/>
          <w:szCs w:val="23"/>
          <w:lang w:val="en-GB" w:eastAsia="en-AU"/>
        </w:rPr>
      </w:pPr>
      <w:r w:rsidRPr="47C6F23B">
        <w:rPr>
          <w:rFonts w:asciiTheme="majorHAnsi" w:hAnsiTheme="majorHAnsi" w:cstheme="majorBidi"/>
          <w:sz w:val="23"/>
          <w:szCs w:val="23"/>
        </w:rPr>
        <w:t>The</w:t>
      </w:r>
      <w:r w:rsidR="005A4331">
        <w:rPr>
          <w:rFonts w:asciiTheme="majorHAnsi" w:hAnsiTheme="majorHAnsi" w:cstheme="majorBidi"/>
          <w:sz w:val="23"/>
          <w:szCs w:val="23"/>
        </w:rPr>
        <w:t>se</w:t>
      </w:r>
      <w:r w:rsidRPr="47C6F23B">
        <w:rPr>
          <w:rFonts w:asciiTheme="majorHAnsi" w:hAnsiTheme="majorHAnsi" w:cstheme="majorBidi"/>
          <w:sz w:val="23"/>
          <w:szCs w:val="23"/>
        </w:rPr>
        <w:t xml:space="preserve"> </w:t>
      </w:r>
      <w:r w:rsidR="00AD2DA5">
        <w:rPr>
          <w:rFonts w:asciiTheme="majorHAnsi" w:hAnsiTheme="majorHAnsi" w:cstheme="majorBidi"/>
          <w:sz w:val="23"/>
          <w:szCs w:val="23"/>
        </w:rPr>
        <w:t>Case Studies</w:t>
      </w:r>
      <w:r w:rsidRPr="47C6F23B">
        <w:rPr>
          <w:rFonts w:asciiTheme="majorHAnsi" w:hAnsiTheme="majorHAnsi" w:cstheme="majorBidi"/>
          <w:sz w:val="23"/>
          <w:szCs w:val="23"/>
        </w:rPr>
        <w:t xml:space="preserve"> </w:t>
      </w:r>
      <w:r w:rsidR="007861C8">
        <w:rPr>
          <w:rFonts w:asciiTheme="majorHAnsi" w:hAnsiTheme="majorHAnsi" w:cstheme="majorBidi"/>
          <w:sz w:val="23"/>
          <w:szCs w:val="23"/>
        </w:rPr>
        <w:t xml:space="preserve">are not </w:t>
      </w:r>
      <w:r w:rsidR="005A4331">
        <w:rPr>
          <w:rFonts w:asciiTheme="majorHAnsi" w:hAnsiTheme="majorHAnsi" w:cstheme="majorBidi"/>
          <w:sz w:val="23"/>
          <w:szCs w:val="23"/>
        </w:rPr>
        <w:t>presented as</w:t>
      </w:r>
      <w:r w:rsidRPr="47C6F23B">
        <w:rPr>
          <w:rFonts w:asciiTheme="majorHAnsi" w:hAnsiTheme="majorHAnsi" w:cstheme="majorBidi"/>
          <w:sz w:val="23"/>
          <w:szCs w:val="23"/>
        </w:rPr>
        <w:t xml:space="preserve"> off-the-shelf solutions. </w:t>
      </w:r>
      <w:r>
        <w:rPr>
          <w:rFonts w:asciiTheme="majorHAnsi" w:hAnsiTheme="majorHAnsi" w:cstheme="majorBidi"/>
          <w:sz w:val="23"/>
          <w:szCs w:val="23"/>
        </w:rPr>
        <w:t>Instead, what</w:t>
      </w:r>
      <w:r w:rsidRPr="47C6F23B">
        <w:rPr>
          <w:rFonts w:asciiTheme="majorHAnsi" w:hAnsiTheme="majorHAnsi" w:cstheme="majorBidi"/>
          <w:sz w:val="23"/>
          <w:szCs w:val="23"/>
        </w:rPr>
        <w:t xml:space="preserve"> they offer</w:t>
      </w:r>
      <w:r>
        <w:rPr>
          <w:rFonts w:asciiTheme="majorHAnsi" w:hAnsiTheme="majorHAnsi" w:cstheme="majorBidi"/>
          <w:sz w:val="23"/>
          <w:szCs w:val="23"/>
        </w:rPr>
        <w:t xml:space="preserve"> is</w:t>
      </w:r>
      <w:r w:rsidRPr="47C6F23B">
        <w:rPr>
          <w:rFonts w:asciiTheme="majorHAnsi" w:hAnsiTheme="majorHAnsi" w:cstheme="majorBidi"/>
          <w:sz w:val="23"/>
          <w:szCs w:val="23"/>
        </w:rPr>
        <w:t xml:space="preserve"> a suite of ideas, activities, frameworks, and options for further exploration.</w:t>
      </w:r>
      <w:r w:rsidR="00AA1D2D">
        <w:rPr>
          <w:rFonts w:asciiTheme="majorHAnsi" w:hAnsiTheme="majorHAnsi" w:cstheme="majorBidi"/>
          <w:sz w:val="23"/>
          <w:szCs w:val="23"/>
        </w:rPr>
        <w:t xml:space="preserve"> </w:t>
      </w:r>
      <w:r w:rsidR="00DA30A0">
        <w:rPr>
          <w:rFonts w:asciiTheme="majorHAnsi" w:hAnsiTheme="majorHAnsi" w:cstheme="majorBidi"/>
          <w:sz w:val="23"/>
          <w:szCs w:val="23"/>
        </w:rPr>
        <w:t>E</w:t>
      </w:r>
      <w:r w:rsidR="00624B64">
        <w:rPr>
          <w:rFonts w:asciiTheme="majorHAnsi" w:hAnsiTheme="majorHAnsi" w:cstheme="majorBidi"/>
          <w:sz w:val="23"/>
          <w:szCs w:val="23"/>
        </w:rPr>
        <w:t>lements</w:t>
      </w:r>
      <w:r w:rsidR="00DA30A0">
        <w:rPr>
          <w:rFonts w:asciiTheme="majorHAnsi" w:hAnsiTheme="majorHAnsi" w:cstheme="majorBidi"/>
          <w:sz w:val="23"/>
          <w:szCs w:val="23"/>
        </w:rPr>
        <w:t xml:space="preserve"> of programs</w:t>
      </w:r>
      <w:r w:rsidR="00624B64">
        <w:rPr>
          <w:rFonts w:asciiTheme="majorHAnsi" w:hAnsiTheme="majorHAnsi" w:cstheme="majorBidi"/>
          <w:sz w:val="23"/>
          <w:szCs w:val="23"/>
        </w:rPr>
        <w:t xml:space="preserve"> could be adapted to local contexts; </w:t>
      </w:r>
      <w:r w:rsidR="00285574">
        <w:rPr>
          <w:rFonts w:asciiTheme="majorHAnsi" w:hAnsiTheme="majorHAnsi" w:cstheme="majorBidi"/>
          <w:sz w:val="23"/>
          <w:szCs w:val="23"/>
        </w:rPr>
        <w:t xml:space="preserve">ideas and </w:t>
      </w:r>
      <w:r w:rsidR="000276DD">
        <w:rPr>
          <w:rFonts w:asciiTheme="majorHAnsi" w:hAnsiTheme="majorHAnsi" w:cstheme="majorBidi"/>
          <w:sz w:val="23"/>
          <w:szCs w:val="23"/>
        </w:rPr>
        <w:t xml:space="preserve">activities </w:t>
      </w:r>
      <w:r w:rsidR="0094358A">
        <w:rPr>
          <w:rFonts w:asciiTheme="majorHAnsi" w:hAnsiTheme="majorHAnsi" w:cstheme="majorBidi"/>
          <w:sz w:val="23"/>
          <w:szCs w:val="23"/>
        </w:rPr>
        <w:t>could be canvassed with residents;</w:t>
      </w:r>
      <w:r w:rsidR="00BE5198">
        <w:rPr>
          <w:rFonts w:asciiTheme="majorHAnsi" w:hAnsiTheme="majorHAnsi" w:cstheme="majorBidi"/>
          <w:sz w:val="23"/>
          <w:szCs w:val="23"/>
        </w:rPr>
        <w:t xml:space="preserve"> </w:t>
      </w:r>
      <w:r w:rsidR="003E707A">
        <w:rPr>
          <w:rFonts w:asciiTheme="majorHAnsi" w:hAnsiTheme="majorHAnsi" w:cstheme="majorBidi"/>
          <w:sz w:val="23"/>
          <w:szCs w:val="23"/>
        </w:rPr>
        <w:t xml:space="preserve">specific </w:t>
      </w:r>
      <w:r w:rsidR="00285574">
        <w:rPr>
          <w:rFonts w:asciiTheme="majorHAnsi" w:hAnsiTheme="majorHAnsi" w:cstheme="majorBidi"/>
          <w:sz w:val="23"/>
          <w:szCs w:val="23"/>
        </w:rPr>
        <w:t xml:space="preserve">approaches </w:t>
      </w:r>
      <w:r w:rsidR="00EE2C0B">
        <w:rPr>
          <w:rFonts w:asciiTheme="majorHAnsi" w:hAnsiTheme="majorHAnsi" w:cstheme="majorBidi"/>
          <w:sz w:val="23"/>
          <w:szCs w:val="23"/>
        </w:rPr>
        <w:t xml:space="preserve">or models </w:t>
      </w:r>
      <w:r w:rsidR="00285574">
        <w:rPr>
          <w:rFonts w:asciiTheme="majorHAnsi" w:hAnsiTheme="majorHAnsi" w:cstheme="majorBidi"/>
          <w:sz w:val="23"/>
          <w:szCs w:val="23"/>
        </w:rPr>
        <w:t xml:space="preserve">could be </w:t>
      </w:r>
      <w:r w:rsidR="003E707A">
        <w:rPr>
          <w:rFonts w:asciiTheme="majorHAnsi" w:hAnsiTheme="majorHAnsi" w:cstheme="majorBidi"/>
          <w:sz w:val="23"/>
          <w:szCs w:val="23"/>
        </w:rPr>
        <w:t>adopted</w:t>
      </w:r>
      <w:r w:rsidR="00285574">
        <w:rPr>
          <w:rFonts w:asciiTheme="majorHAnsi" w:hAnsiTheme="majorHAnsi" w:cstheme="majorBidi"/>
          <w:sz w:val="23"/>
          <w:szCs w:val="23"/>
        </w:rPr>
        <w:t xml:space="preserve"> to </w:t>
      </w:r>
      <w:r w:rsidR="00DA4EDF">
        <w:rPr>
          <w:rFonts w:asciiTheme="majorHAnsi" w:hAnsiTheme="majorHAnsi" w:cstheme="majorBidi"/>
          <w:sz w:val="23"/>
          <w:szCs w:val="23"/>
        </w:rPr>
        <w:t>engage communit</w:t>
      </w:r>
      <w:r w:rsidR="00E95485">
        <w:rPr>
          <w:rFonts w:asciiTheme="majorHAnsi" w:hAnsiTheme="majorHAnsi" w:cstheme="majorBidi"/>
          <w:sz w:val="23"/>
          <w:szCs w:val="23"/>
        </w:rPr>
        <w:t>ies</w:t>
      </w:r>
      <w:r w:rsidR="00DA4EDF">
        <w:rPr>
          <w:rFonts w:asciiTheme="majorHAnsi" w:hAnsiTheme="majorHAnsi" w:cstheme="majorBidi"/>
          <w:sz w:val="23"/>
          <w:szCs w:val="23"/>
        </w:rPr>
        <w:t>,</w:t>
      </w:r>
      <w:r w:rsidR="005972E1">
        <w:rPr>
          <w:rFonts w:asciiTheme="majorHAnsi" w:hAnsiTheme="majorHAnsi" w:cstheme="majorBidi"/>
          <w:sz w:val="23"/>
          <w:szCs w:val="23"/>
        </w:rPr>
        <w:t xml:space="preserve"> </w:t>
      </w:r>
      <w:r w:rsidR="00DA4EDF">
        <w:rPr>
          <w:rFonts w:asciiTheme="majorHAnsi" w:hAnsiTheme="majorHAnsi" w:cstheme="majorBidi"/>
          <w:sz w:val="23"/>
          <w:szCs w:val="23"/>
        </w:rPr>
        <w:t xml:space="preserve">scale up existing programs, </w:t>
      </w:r>
      <w:r w:rsidR="005972E1">
        <w:rPr>
          <w:rFonts w:asciiTheme="majorHAnsi" w:hAnsiTheme="majorHAnsi" w:cstheme="majorBidi"/>
          <w:sz w:val="23"/>
          <w:szCs w:val="23"/>
        </w:rPr>
        <w:t xml:space="preserve">or </w:t>
      </w:r>
      <w:r w:rsidR="00713F21">
        <w:rPr>
          <w:rFonts w:asciiTheme="majorHAnsi" w:hAnsiTheme="majorHAnsi" w:cstheme="majorBidi"/>
          <w:sz w:val="23"/>
          <w:szCs w:val="23"/>
        </w:rPr>
        <w:t xml:space="preserve">expand the capacity of </w:t>
      </w:r>
      <w:r w:rsidR="005972E1">
        <w:rPr>
          <w:rFonts w:asciiTheme="majorHAnsi" w:hAnsiTheme="majorHAnsi" w:cstheme="majorBidi"/>
          <w:sz w:val="23"/>
          <w:szCs w:val="23"/>
        </w:rPr>
        <w:t>local organisations</w:t>
      </w:r>
      <w:r w:rsidR="00624B64">
        <w:rPr>
          <w:rFonts w:asciiTheme="majorHAnsi" w:hAnsiTheme="majorHAnsi" w:cstheme="majorBidi"/>
          <w:sz w:val="23"/>
          <w:szCs w:val="23"/>
        </w:rPr>
        <w:t>.</w:t>
      </w:r>
      <w:r>
        <w:rPr>
          <w:rFonts w:asciiTheme="majorHAnsi" w:hAnsiTheme="majorHAnsi" w:cstheme="majorBidi"/>
          <w:sz w:val="23"/>
          <w:szCs w:val="23"/>
        </w:rPr>
        <w:t xml:space="preserve"> </w:t>
      </w:r>
      <w:r w:rsidR="007C2A8F">
        <w:rPr>
          <w:rFonts w:asciiTheme="majorHAnsi" w:eastAsiaTheme="minorEastAsia" w:hAnsiTheme="majorHAnsi" w:cstheme="majorBidi"/>
          <w:sz w:val="23"/>
          <w:szCs w:val="23"/>
          <w:lang w:val="en-GB" w:eastAsia="en-AU"/>
        </w:rPr>
        <w:t>In the final stage</w:t>
      </w:r>
      <w:r w:rsidR="00EB797A">
        <w:rPr>
          <w:rFonts w:asciiTheme="majorHAnsi" w:eastAsiaTheme="minorEastAsia" w:hAnsiTheme="majorHAnsi" w:cstheme="majorBidi"/>
          <w:sz w:val="23"/>
          <w:szCs w:val="23"/>
          <w:lang w:val="en-GB" w:eastAsia="en-AU"/>
        </w:rPr>
        <w:t>s</w:t>
      </w:r>
      <w:r w:rsidR="007C2A8F">
        <w:rPr>
          <w:rFonts w:asciiTheme="majorHAnsi" w:eastAsiaTheme="minorEastAsia" w:hAnsiTheme="majorHAnsi" w:cstheme="majorBidi"/>
          <w:sz w:val="23"/>
          <w:szCs w:val="23"/>
          <w:lang w:val="en-GB" w:eastAsia="en-AU"/>
        </w:rPr>
        <w:t xml:space="preserve"> of this </w:t>
      </w:r>
      <w:r w:rsidR="00EE2C0B">
        <w:rPr>
          <w:rFonts w:asciiTheme="majorHAnsi" w:eastAsiaTheme="minorEastAsia" w:hAnsiTheme="majorHAnsi" w:cstheme="majorBidi"/>
          <w:sz w:val="23"/>
          <w:szCs w:val="23"/>
          <w:lang w:val="en-GB" w:eastAsia="en-AU"/>
        </w:rPr>
        <w:t xml:space="preserve">research </w:t>
      </w:r>
      <w:r w:rsidR="007C2A8F">
        <w:rPr>
          <w:rFonts w:asciiTheme="majorHAnsi" w:eastAsiaTheme="minorEastAsia" w:hAnsiTheme="majorHAnsi" w:cstheme="majorBidi"/>
          <w:sz w:val="23"/>
          <w:szCs w:val="23"/>
          <w:lang w:val="en-GB" w:eastAsia="en-AU"/>
        </w:rPr>
        <w:t xml:space="preserve">project, </w:t>
      </w:r>
      <w:r w:rsidR="007C2A8F" w:rsidRPr="64875FDB">
        <w:rPr>
          <w:rFonts w:asciiTheme="majorHAnsi" w:eastAsiaTheme="minorEastAsia" w:hAnsiTheme="majorHAnsi" w:cstheme="majorBidi"/>
          <w:sz w:val="23"/>
          <w:szCs w:val="23"/>
          <w:lang w:val="en-GB" w:eastAsia="en-AU"/>
        </w:rPr>
        <w:t xml:space="preserve">the </w:t>
      </w:r>
      <w:r w:rsidR="00EE2C0B">
        <w:rPr>
          <w:rFonts w:asciiTheme="majorHAnsi" w:eastAsiaTheme="minorEastAsia" w:hAnsiTheme="majorHAnsi" w:cstheme="majorBidi"/>
          <w:sz w:val="23"/>
          <w:szCs w:val="23"/>
          <w:lang w:val="en-GB" w:eastAsia="en-AU"/>
        </w:rPr>
        <w:t>HOME</w:t>
      </w:r>
      <w:r w:rsidR="007C2A8F" w:rsidRPr="64875FDB">
        <w:rPr>
          <w:rFonts w:asciiTheme="majorHAnsi" w:eastAsiaTheme="minorEastAsia" w:hAnsiTheme="majorHAnsi" w:cstheme="majorBidi"/>
          <w:sz w:val="23"/>
          <w:szCs w:val="23"/>
          <w:lang w:val="en-GB" w:eastAsia="en-AU"/>
        </w:rPr>
        <w:t xml:space="preserve"> team revisit</w:t>
      </w:r>
      <w:r w:rsidR="007C2A8F">
        <w:rPr>
          <w:rFonts w:asciiTheme="majorHAnsi" w:eastAsiaTheme="minorEastAsia" w:hAnsiTheme="majorHAnsi" w:cstheme="majorBidi"/>
          <w:sz w:val="23"/>
          <w:szCs w:val="23"/>
          <w:lang w:val="en-GB" w:eastAsia="en-AU"/>
        </w:rPr>
        <w:t>ed</w:t>
      </w:r>
      <w:r w:rsidR="007C2A8F" w:rsidRPr="64875FDB">
        <w:rPr>
          <w:rFonts w:asciiTheme="majorHAnsi" w:eastAsiaTheme="minorEastAsia" w:hAnsiTheme="majorHAnsi" w:cstheme="majorBidi"/>
          <w:sz w:val="23"/>
          <w:szCs w:val="23"/>
          <w:lang w:val="en-GB" w:eastAsia="en-AU"/>
        </w:rPr>
        <w:t xml:space="preserve"> the </w:t>
      </w:r>
      <w:r w:rsidR="00AD2DA5">
        <w:rPr>
          <w:rFonts w:asciiTheme="majorHAnsi" w:eastAsiaTheme="minorEastAsia" w:hAnsiTheme="majorHAnsi" w:cstheme="majorBidi"/>
          <w:sz w:val="23"/>
          <w:szCs w:val="23"/>
          <w:lang w:val="en-GB" w:eastAsia="en-AU"/>
        </w:rPr>
        <w:t>Case Studies</w:t>
      </w:r>
      <w:r w:rsidR="007C2A8F" w:rsidRPr="64875FDB">
        <w:rPr>
          <w:rFonts w:asciiTheme="majorHAnsi" w:eastAsiaTheme="minorEastAsia" w:hAnsiTheme="majorHAnsi" w:cstheme="majorBidi"/>
          <w:sz w:val="23"/>
          <w:szCs w:val="23"/>
          <w:lang w:val="en-GB" w:eastAsia="en-AU"/>
        </w:rPr>
        <w:t xml:space="preserve"> </w:t>
      </w:r>
      <w:r w:rsidR="007C2A8F">
        <w:rPr>
          <w:rFonts w:asciiTheme="majorHAnsi" w:eastAsiaTheme="minorEastAsia" w:hAnsiTheme="majorHAnsi" w:cstheme="majorBidi"/>
          <w:sz w:val="23"/>
          <w:szCs w:val="23"/>
          <w:lang w:val="en-GB" w:eastAsia="en-AU"/>
        </w:rPr>
        <w:t xml:space="preserve">in </w:t>
      </w:r>
      <w:r w:rsidR="007C2A8F" w:rsidRPr="00AD2DA5">
        <w:rPr>
          <w:rFonts w:asciiTheme="majorHAnsi" w:eastAsiaTheme="minorEastAsia" w:hAnsiTheme="majorHAnsi" w:cstheme="majorBidi"/>
          <w:sz w:val="23"/>
          <w:szCs w:val="23"/>
          <w:lang w:val="en-GB" w:eastAsia="en-AU"/>
        </w:rPr>
        <w:t>light of</w:t>
      </w:r>
      <w:r w:rsidR="00EB797A" w:rsidRPr="00AD2DA5">
        <w:rPr>
          <w:rFonts w:asciiTheme="majorHAnsi" w:eastAsiaTheme="minorEastAsia" w:hAnsiTheme="majorHAnsi" w:cstheme="majorBidi"/>
          <w:sz w:val="23"/>
          <w:szCs w:val="23"/>
          <w:lang w:val="en-GB" w:eastAsia="en-AU"/>
        </w:rPr>
        <w:t xml:space="preserve"> our key findings</w:t>
      </w:r>
      <w:r w:rsidR="007C2A8F" w:rsidRPr="00AD2DA5">
        <w:rPr>
          <w:rFonts w:asciiTheme="majorHAnsi" w:eastAsiaTheme="minorEastAsia" w:hAnsiTheme="majorHAnsi" w:cstheme="majorBidi"/>
          <w:sz w:val="23"/>
          <w:szCs w:val="23"/>
          <w:lang w:val="en-GB" w:eastAsia="en-AU"/>
        </w:rPr>
        <w:t xml:space="preserve">. </w:t>
      </w:r>
      <w:r w:rsidR="00EC279D" w:rsidRPr="00AD2DA5">
        <w:rPr>
          <w:rFonts w:asciiTheme="majorHAnsi" w:eastAsiaTheme="minorEastAsia" w:hAnsiTheme="majorHAnsi" w:cstheme="majorBidi"/>
          <w:sz w:val="23"/>
          <w:szCs w:val="23"/>
          <w:lang w:val="en-GB" w:eastAsia="en-AU"/>
        </w:rPr>
        <w:t>Under</w:t>
      </w:r>
      <w:r w:rsidR="00FC3665" w:rsidRPr="00AD2DA5">
        <w:rPr>
          <w:rFonts w:asciiTheme="majorHAnsi" w:eastAsiaTheme="minorEastAsia" w:hAnsiTheme="majorHAnsi" w:cstheme="majorBidi"/>
          <w:sz w:val="23"/>
          <w:szCs w:val="23"/>
          <w:lang w:val="en-GB" w:eastAsia="en-AU"/>
        </w:rPr>
        <w:t xml:space="preserve"> </w:t>
      </w:r>
      <w:r w:rsidR="003041AB" w:rsidRPr="00AD2DA5">
        <w:rPr>
          <w:rFonts w:asciiTheme="majorHAnsi" w:eastAsiaTheme="minorEastAsia" w:hAnsiTheme="majorHAnsi" w:cstheme="majorBidi"/>
          <w:sz w:val="23"/>
          <w:szCs w:val="23"/>
          <w:lang w:val="en-GB" w:eastAsia="en-AU"/>
        </w:rPr>
        <w:t>Recommendation 3</w:t>
      </w:r>
      <w:r w:rsidR="00AA1D2D" w:rsidRPr="00AD2DA5">
        <w:rPr>
          <w:rFonts w:asciiTheme="majorHAnsi" w:eastAsiaTheme="minorEastAsia" w:hAnsiTheme="majorHAnsi" w:cstheme="majorBidi"/>
          <w:sz w:val="23"/>
          <w:szCs w:val="23"/>
          <w:lang w:val="en-GB" w:eastAsia="en-AU"/>
        </w:rPr>
        <w:t xml:space="preserve">, </w:t>
      </w:r>
      <w:r w:rsidR="00735D56" w:rsidRPr="00AD2DA5">
        <w:rPr>
          <w:rFonts w:asciiTheme="majorHAnsi" w:eastAsiaTheme="minorEastAsia" w:hAnsiTheme="majorHAnsi" w:cstheme="majorBidi"/>
          <w:sz w:val="23"/>
          <w:szCs w:val="23"/>
          <w:lang w:val="en-GB" w:eastAsia="en-AU"/>
        </w:rPr>
        <w:t xml:space="preserve">which </w:t>
      </w:r>
      <w:r w:rsidR="00F80EAA" w:rsidRPr="00AD2DA5">
        <w:rPr>
          <w:rFonts w:asciiTheme="majorHAnsi" w:eastAsiaTheme="minorEastAsia" w:hAnsiTheme="majorHAnsi" w:cstheme="majorBidi"/>
          <w:sz w:val="23"/>
          <w:szCs w:val="23"/>
          <w:lang w:val="en-GB" w:eastAsia="en-AU"/>
        </w:rPr>
        <w:t>outlines</w:t>
      </w:r>
      <w:r w:rsidR="00735D56" w:rsidRPr="00AD2DA5">
        <w:rPr>
          <w:rFonts w:asciiTheme="majorHAnsi" w:eastAsiaTheme="minorEastAsia" w:hAnsiTheme="majorHAnsi" w:cstheme="majorBidi"/>
          <w:sz w:val="23"/>
          <w:szCs w:val="23"/>
          <w:lang w:val="en-GB" w:eastAsia="en-AU"/>
        </w:rPr>
        <w:t xml:space="preserve"> our</w:t>
      </w:r>
      <w:r w:rsidR="00AA1D2D" w:rsidRPr="00AD2DA5">
        <w:rPr>
          <w:rFonts w:asciiTheme="majorHAnsi" w:eastAsiaTheme="minorEastAsia" w:hAnsiTheme="majorHAnsi" w:cstheme="majorBidi"/>
          <w:sz w:val="23"/>
          <w:szCs w:val="23"/>
          <w:lang w:val="en-GB" w:eastAsia="en-AU"/>
        </w:rPr>
        <w:t xml:space="preserve"> </w:t>
      </w:r>
      <w:r w:rsidR="003041AB" w:rsidRPr="00AD2DA5">
        <w:rPr>
          <w:rFonts w:asciiTheme="majorHAnsi" w:eastAsiaTheme="minorEastAsia" w:hAnsiTheme="majorHAnsi" w:cstheme="majorBidi"/>
          <w:sz w:val="23"/>
          <w:szCs w:val="23"/>
          <w:lang w:val="en-GB" w:eastAsia="en-AU"/>
        </w:rPr>
        <w:t>10 proposed initiatives</w:t>
      </w:r>
      <w:r w:rsidR="000449C2" w:rsidRPr="00AD2DA5">
        <w:rPr>
          <w:rFonts w:asciiTheme="majorHAnsi" w:eastAsiaTheme="minorEastAsia" w:hAnsiTheme="majorHAnsi" w:cstheme="majorBidi"/>
          <w:sz w:val="23"/>
          <w:szCs w:val="23"/>
          <w:lang w:val="en-GB" w:eastAsia="en-AU"/>
        </w:rPr>
        <w:t xml:space="preserve"> (</w:t>
      </w:r>
      <w:r w:rsidR="00AD2DA5" w:rsidRPr="00AD2DA5">
        <w:rPr>
          <w:rFonts w:asciiTheme="majorHAnsi" w:eastAsiaTheme="minorEastAsia" w:hAnsiTheme="majorHAnsi" w:cstheme="majorBidi"/>
          <w:sz w:val="23"/>
          <w:szCs w:val="23"/>
          <w:lang w:val="en-GB" w:eastAsia="en-AU"/>
        </w:rPr>
        <w:t xml:space="preserve">see </w:t>
      </w:r>
      <w:r w:rsidR="000449C2" w:rsidRPr="00AD2DA5">
        <w:rPr>
          <w:rFonts w:asciiTheme="majorHAnsi" w:eastAsiaTheme="minorEastAsia" w:hAnsiTheme="majorHAnsi" w:cstheme="majorBidi"/>
          <w:sz w:val="23"/>
          <w:szCs w:val="23"/>
          <w:lang w:val="en-GB" w:eastAsia="en-AU"/>
        </w:rPr>
        <w:t>p.</w:t>
      </w:r>
      <w:r w:rsidR="00AD2DA5" w:rsidRPr="00AD2DA5">
        <w:rPr>
          <w:rFonts w:asciiTheme="majorHAnsi" w:eastAsiaTheme="minorEastAsia" w:hAnsiTheme="majorHAnsi" w:cstheme="majorBidi"/>
          <w:sz w:val="23"/>
          <w:szCs w:val="23"/>
          <w:lang w:val="en-GB" w:eastAsia="en-AU"/>
        </w:rPr>
        <w:t xml:space="preserve"> 7</w:t>
      </w:r>
      <w:r w:rsidR="000449C2" w:rsidRPr="00AD2DA5">
        <w:rPr>
          <w:rFonts w:asciiTheme="majorHAnsi" w:eastAsiaTheme="minorEastAsia" w:hAnsiTheme="majorHAnsi" w:cstheme="majorBidi"/>
          <w:sz w:val="23"/>
          <w:szCs w:val="23"/>
          <w:lang w:val="en-GB" w:eastAsia="en-AU"/>
        </w:rPr>
        <w:t>)</w:t>
      </w:r>
      <w:r w:rsidR="00533196" w:rsidRPr="00AD2DA5">
        <w:rPr>
          <w:rFonts w:asciiTheme="majorHAnsi" w:eastAsiaTheme="minorEastAsia" w:hAnsiTheme="majorHAnsi" w:cstheme="majorBidi"/>
          <w:sz w:val="23"/>
          <w:szCs w:val="23"/>
          <w:lang w:val="en-GB" w:eastAsia="en-AU"/>
        </w:rPr>
        <w:t>,</w:t>
      </w:r>
      <w:r w:rsidR="00FC3665" w:rsidRPr="00AD2DA5">
        <w:rPr>
          <w:rFonts w:asciiTheme="majorHAnsi" w:eastAsiaTheme="minorEastAsia" w:hAnsiTheme="majorHAnsi" w:cstheme="majorBidi"/>
          <w:sz w:val="23"/>
          <w:szCs w:val="23"/>
          <w:lang w:val="en-GB" w:eastAsia="en-AU"/>
        </w:rPr>
        <w:t xml:space="preserve"> we</w:t>
      </w:r>
      <w:r w:rsidR="00FC3665">
        <w:rPr>
          <w:rFonts w:asciiTheme="majorHAnsi" w:eastAsiaTheme="minorEastAsia" w:hAnsiTheme="majorHAnsi" w:cstheme="majorBidi"/>
          <w:sz w:val="23"/>
          <w:szCs w:val="23"/>
          <w:lang w:val="en-GB" w:eastAsia="en-AU"/>
        </w:rPr>
        <w:t xml:space="preserve"> </w:t>
      </w:r>
      <w:r w:rsidR="005A4331">
        <w:rPr>
          <w:rFonts w:asciiTheme="majorHAnsi" w:eastAsiaTheme="minorEastAsia" w:hAnsiTheme="majorHAnsi" w:cstheme="majorBidi"/>
          <w:sz w:val="23"/>
          <w:szCs w:val="23"/>
          <w:lang w:val="en-GB" w:eastAsia="en-AU"/>
        </w:rPr>
        <w:t>flag</w:t>
      </w:r>
      <w:r w:rsidR="00533196">
        <w:rPr>
          <w:rFonts w:asciiTheme="majorHAnsi" w:eastAsiaTheme="minorEastAsia" w:hAnsiTheme="majorHAnsi" w:cstheme="majorBidi"/>
          <w:sz w:val="23"/>
          <w:szCs w:val="23"/>
          <w:lang w:val="en-GB" w:eastAsia="en-AU"/>
        </w:rPr>
        <w:t xml:space="preserve"> </w:t>
      </w:r>
      <w:r w:rsidR="00FC3665">
        <w:rPr>
          <w:rFonts w:asciiTheme="majorHAnsi" w:eastAsiaTheme="minorEastAsia" w:hAnsiTheme="majorHAnsi" w:cstheme="majorBidi"/>
          <w:sz w:val="23"/>
          <w:szCs w:val="23"/>
          <w:lang w:val="en-GB" w:eastAsia="en-AU"/>
        </w:rPr>
        <w:t>which</w:t>
      </w:r>
      <w:r w:rsidR="00533196">
        <w:rPr>
          <w:rFonts w:asciiTheme="majorHAnsi" w:eastAsiaTheme="minorEastAsia" w:hAnsiTheme="majorHAnsi" w:cstheme="majorBidi"/>
          <w:sz w:val="23"/>
          <w:szCs w:val="23"/>
          <w:lang w:val="en-GB" w:eastAsia="en-AU"/>
        </w:rPr>
        <w:t xml:space="preserve"> </w:t>
      </w:r>
      <w:r w:rsidR="00AD2DA5">
        <w:rPr>
          <w:rFonts w:asciiTheme="majorHAnsi" w:eastAsiaTheme="minorEastAsia" w:hAnsiTheme="majorHAnsi" w:cstheme="majorBidi"/>
          <w:sz w:val="23"/>
          <w:szCs w:val="23"/>
          <w:lang w:val="en-GB" w:eastAsia="en-AU"/>
        </w:rPr>
        <w:t>Case Studies</w:t>
      </w:r>
      <w:r w:rsidR="00533196">
        <w:rPr>
          <w:rFonts w:asciiTheme="majorHAnsi" w:eastAsiaTheme="minorEastAsia" w:hAnsiTheme="majorHAnsi" w:cstheme="majorBidi"/>
          <w:sz w:val="23"/>
          <w:szCs w:val="23"/>
          <w:lang w:val="en-GB" w:eastAsia="en-AU"/>
        </w:rPr>
        <w:t xml:space="preserve"> </w:t>
      </w:r>
      <w:r w:rsidR="00487799">
        <w:rPr>
          <w:rFonts w:asciiTheme="majorHAnsi" w:eastAsiaTheme="minorEastAsia" w:hAnsiTheme="majorHAnsi" w:cstheme="majorBidi"/>
          <w:sz w:val="23"/>
          <w:szCs w:val="23"/>
          <w:lang w:val="en-GB" w:eastAsia="en-AU"/>
        </w:rPr>
        <w:t>may offer relevant</w:t>
      </w:r>
      <w:r w:rsidR="00FC3665">
        <w:rPr>
          <w:rFonts w:asciiTheme="majorHAnsi" w:eastAsiaTheme="minorEastAsia" w:hAnsiTheme="majorHAnsi" w:cstheme="majorBidi"/>
          <w:sz w:val="23"/>
          <w:szCs w:val="23"/>
          <w:lang w:val="en-GB" w:eastAsia="en-AU"/>
        </w:rPr>
        <w:t xml:space="preserve"> ideas, models, or </w:t>
      </w:r>
      <w:r w:rsidR="00CE7855">
        <w:rPr>
          <w:rFonts w:asciiTheme="majorHAnsi" w:eastAsiaTheme="minorEastAsia" w:hAnsiTheme="majorHAnsi" w:cstheme="majorBidi"/>
          <w:sz w:val="23"/>
          <w:szCs w:val="23"/>
          <w:lang w:val="en-GB" w:eastAsia="en-AU"/>
        </w:rPr>
        <w:t xml:space="preserve">potential </w:t>
      </w:r>
      <w:r w:rsidR="00604F6B">
        <w:rPr>
          <w:rFonts w:asciiTheme="majorHAnsi" w:eastAsiaTheme="minorEastAsia" w:hAnsiTheme="majorHAnsi" w:cstheme="majorBidi"/>
          <w:sz w:val="23"/>
          <w:szCs w:val="23"/>
          <w:lang w:val="en-GB" w:eastAsia="en-AU"/>
        </w:rPr>
        <w:t>inspiration</w:t>
      </w:r>
      <w:r w:rsidR="00FC3665">
        <w:rPr>
          <w:rFonts w:asciiTheme="majorHAnsi" w:eastAsiaTheme="minorEastAsia" w:hAnsiTheme="majorHAnsi" w:cstheme="majorBidi"/>
          <w:sz w:val="23"/>
          <w:szCs w:val="23"/>
          <w:lang w:val="en-GB" w:eastAsia="en-AU"/>
        </w:rPr>
        <w:t xml:space="preserve"> </w:t>
      </w:r>
      <w:r w:rsidR="00604F6B">
        <w:rPr>
          <w:rFonts w:asciiTheme="majorHAnsi" w:eastAsiaTheme="minorEastAsia" w:hAnsiTheme="majorHAnsi" w:cstheme="majorBidi"/>
          <w:sz w:val="23"/>
          <w:szCs w:val="23"/>
          <w:lang w:val="en-GB" w:eastAsia="en-AU"/>
        </w:rPr>
        <w:t xml:space="preserve">to inform </w:t>
      </w:r>
      <w:r w:rsidR="00AE11AD">
        <w:rPr>
          <w:rFonts w:asciiTheme="majorHAnsi" w:eastAsiaTheme="minorEastAsia" w:hAnsiTheme="majorHAnsi" w:cstheme="majorBidi"/>
          <w:sz w:val="23"/>
          <w:szCs w:val="23"/>
          <w:lang w:val="en-GB" w:eastAsia="en-AU"/>
        </w:rPr>
        <w:t>the</w:t>
      </w:r>
      <w:r w:rsidR="00FC3665">
        <w:rPr>
          <w:rFonts w:asciiTheme="majorHAnsi" w:eastAsiaTheme="minorEastAsia" w:hAnsiTheme="majorHAnsi" w:cstheme="majorBidi"/>
          <w:sz w:val="23"/>
          <w:szCs w:val="23"/>
          <w:lang w:val="en-GB" w:eastAsia="en-AU"/>
        </w:rPr>
        <w:t xml:space="preserve"> </w:t>
      </w:r>
      <w:r w:rsidR="00AE11AD">
        <w:rPr>
          <w:rFonts w:asciiTheme="majorHAnsi" w:eastAsiaTheme="minorEastAsia" w:hAnsiTheme="majorHAnsi" w:cstheme="majorBidi"/>
          <w:sz w:val="23"/>
          <w:szCs w:val="23"/>
          <w:lang w:val="en-GB" w:eastAsia="en-AU"/>
        </w:rPr>
        <w:t>development of local initiatives in Corio, Norlane, and Whittington</w:t>
      </w:r>
      <w:r w:rsidR="00533196">
        <w:rPr>
          <w:rFonts w:asciiTheme="majorHAnsi" w:eastAsiaTheme="minorEastAsia" w:hAnsiTheme="majorHAnsi" w:cstheme="majorBidi"/>
          <w:sz w:val="23"/>
          <w:szCs w:val="23"/>
          <w:lang w:val="en-GB" w:eastAsia="en-AU"/>
        </w:rPr>
        <w:t>.</w:t>
      </w:r>
    </w:p>
    <w:p w14:paraId="64E181D7" w14:textId="3A3F1336" w:rsidR="00B65186" w:rsidRPr="00F40C31" w:rsidRDefault="00B65186" w:rsidP="009B2FA7">
      <w:pPr>
        <w:spacing w:after="0" w:line="276" w:lineRule="auto"/>
        <w:rPr>
          <w:rFonts w:asciiTheme="majorHAnsi" w:hAnsiTheme="majorHAnsi" w:cstheme="majorBidi"/>
          <w:sz w:val="16"/>
          <w:szCs w:val="16"/>
        </w:rPr>
      </w:pPr>
    </w:p>
    <w:p w14:paraId="29D29878" w14:textId="66E9006E" w:rsidR="00B65186" w:rsidRPr="00675D1C" w:rsidRDefault="007D66C4" w:rsidP="00675D1C">
      <w:pPr>
        <w:rPr>
          <w:rFonts w:eastAsiaTheme="minorEastAsia"/>
          <w:b/>
          <w:bCs/>
          <w:color w:val="2F5496" w:themeColor="accent1" w:themeShade="BF"/>
          <w:sz w:val="16"/>
          <w:szCs w:val="16"/>
          <w:lang w:eastAsia="en-AU"/>
        </w:rPr>
      </w:pPr>
      <w:r>
        <w:rPr>
          <w:rFonts w:eastAsiaTheme="minorEastAsia"/>
          <w:b/>
          <w:bCs/>
          <w:color w:val="2F5496" w:themeColor="accent1" w:themeShade="BF"/>
          <w:sz w:val="28"/>
          <w:szCs w:val="28"/>
          <w:lang w:eastAsia="en-AU"/>
        </w:rPr>
        <w:t xml:space="preserve">5.1 </w:t>
      </w:r>
      <w:r w:rsidR="00B65186" w:rsidRPr="00B65186">
        <w:rPr>
          <w:rFonts w:eastAsiaTheme="minorEastAsia"/>
          <w:b/>
          <w:bCs/>
          <w:color w:val="2F5496" w:themeColor="accent1" w:themeShade="BF"/>
          <w:sz w:val="28"/>
          <w:szCs w:val="28"/>
          <w:lang w:eastAsia="en-AU"/>
        </w:rPr>
        <w:t>Methodology</w:t>
      </w:r>
    </w:p>
    <w:p w14:paraId="0F2FEEDE" w14:textId="7DC1791B" w:rsidR="00B65186" w:rsidRDefault="00E8104E" w:rsidP="00B65186">
      <w:pPr>
        <w:spacing w:after="0" w:line="276" w:lineRule="auto"/>
        <w:rPr>
          <w:rFonts w:asciiTheme="majorHAnsi" w:eastAsiaTheme="minorEastAsia" w:hAnsiTheme="majorHAnsi" w:cstheme="majorHAnsi"/>
          <w:sz w:val="23"/>
          <w:szCs w:val="23"/>
          <w:lang w:val="en-GB" w:eastAsia="en-AU"/>
        </w:rPr>
      </w:pPr>
      <w:r>
        <w:rPr>
          <w:rFonts w:asciiTheme="majorHAnsi" w:eastAsiaTheme="minorEastAsia" w:hAnsiTheme="majorHAnsi" w:cstheme="majorHAnsi"/>
          <w:sz w:val="23"/>
          <w:szCs w:val="23"/>
          <w:lang w:val="en-GB" w:eastAsia="en-AU"/>
        </w:rPr>
        <w:t>T</w:t>
      </w:r>
      <w:r w:rsidRPr="00421D88">
        <w:rPr>
          <w:rFonts w:asciiTheme="majorHAnsi" w:eastAsiaTheme="minorEastAsia" w:hAnsiTheme="majorHAnsi" w:cstheme="majorHAnsi"/>
          <w:sz w:val="23"/>
          <w:szCs w:val="23"/>
          <w:lang w:val="en-GB" w:eastAsia="en-AU"/>
        </w:rPr>
        <w:t xml:space="preserve">he </w:t>
      </w:r>
      <w:r w:rsidR="00AD2DA5">
        <w:rPr>
          <w:rFonts w:asciiTheme="majorHAnsi" w:eastAsiaTheme="minorEastAsia" w:hAnsiTheme="majorHAnsi" w:cstheme="majorHAnsi"/>
          <w:sz w:val="23"/>
          <w:szCs w:val="23"/>
          <w:lang w:val="en-GB" w:eastAsia="en-AU"/>
        </w:rPr>
        <w:t>Case Studies</w:t>
      </w:r>
      <w:r w:rsidRPr="00FF256A">
        <w:rPr>
          <w:rFonts w:asciiTheme="majorHAnsi" w:eastAsiaTheme="minorEastAsia" w:hAnsiTheme="majorHAnsi" w:cstheme="majorHAnsi"/>
          <w:sz w:val="23"/>
          <w:szCs w:val="23"/>
          <w:lang w:val="en-GB" w:eastAsia="en-AU"/>
        </w:rPr>
        <w:t xml:space="preserve"> were </w:t>
      </w:r>
      <w:r w:rsidR="00DC0A78" w:rsidRPr="00FF256A">
        <w:rPr>
          <w:rFonts w:asciiTheme="majorHAnsi" w:eastAsiaTheme="minorEastAsia" w:hAnsiTheme="majorHAnsi" w:cstheme="majorHAnsi"/>
          <w:sz w:val="23"/>
          <w:szCs w:val="23"/>
          <w:lang w:val="en-GB" w:eastAsia="en-AU"/>
        </w:rPr>
        <w:t>compiled</w:t>
      </w:r>
      <w:r w:rsidR="00747F56">
        <w:rPr>
          <w:rFonts w:asciiTheme="majorHAnsi" w:eastAsiaTheme="minorEastAsia" w:hAnsiTheme="majorHAnsi" w:cstheme="majorHAnsi"/>
          <w:sz w:val="23"/>
          <w:szCs w:val="23"/>
          <w:lang w:val="en-GB" w:eastAsia="en-AU"/>
        </w:rPr>
        <w:t xml:space="preserve"> </w:t>
      </w:r>
      <w:r w:rsidR="00DC0A78" w:rsidRPr="00FF256A">
        <w:rPr>
          <w:rFonts w:asciiTheme="majorHAnsi" w:eastAsiaTheme="minorEastAsia" w:hAnsiTheme="majorHAnsi" w:cstheme="majorHAnsi"/>
          <w:sz w:val="23"/>
          <w:szCs w:val="23"/>
          <w:lang w:val="en-GB" w:eastAsia="en-AU"/>
        </w:rPr>
        <w:t>in</w:t>
      </w:r>
      <w:r w:rsidRPr="00FF256A">
        <w:rPr>
          <w:rFonts w:asciiTheme="majorHAnsi" w:eastAsiaTheme="minorEastAsia" w:hAnsiTheme="majorHAnsi" w:cstheme="majorHAnsi"/>
          <w:sz w:val="23"/>
          <w:szCs w:val="23"/>
          <w:lang w:val="en-GB" w:eastAsia="en-AU"/>
        </w:rPr>
        <w:t xml:space="preserve"> </w:t>
      </w:r>
      <w:r w:rsidR="00FF256A" w:rsidRPr="00FF256A">
        <w:rPr>
          <w:rFonts w:asciiTheme="majorHAnsi" w:eastAsiaTheme="minorEastAsia" w:hAnsiTheme="majorHAnsi" w:cstheme="majorHAnsi"/>
          <w:sz w:val="23"/>
          <w:szCs w:val="23"/>
          <w:lang w:val="en-GB" w:eastAsia="en-AU"/>
        </w:rPr>
        <w:t>January</w:t>
      </w:r>
      <w:r w:rsidRPr="00FF256A">
        <w:rPr>
          <w:rFonts w:asciiTheme="majorHAnsi" w:eastAsiaTheme="minorEastAsia" w:hAnsiTheme="majorHAnsi" w:cstheme="majorHAnsi"/>
          <w:sz w:val="23"/>
          <w:szCs w:val="23"/>
          <w:lang w:val="en-GB" w:eastAsia="en-AU"/>
        </w:rPr>
        <w:t xml:space="preserve"> 2021</w:t>
      </w:r>
      <w:r w:rsidR="00747F56">
        <w:rPr>
          <w:rFonts w:asciiTheme="majorHAnsi" w:eastAsiaTheme="minorEastAsia" w:hAnsiTheme="majorHAnsi" w:cstheme="majorHAnsi"/>
          <w:sz w:val="23"/>
          <w:szCs w:val="23"/>
          <w:lang w:val="en-GB" w:eastAsia="en-AU"/>
        </w:rPr>
        <w:t>, in this first stage of this research project</w:t>
      </w:r>
      <w:r w:rsidRPr="00FF256A">
        <w:rPr>
          <w:rFonts w:asciiTheme="majorHAnsi" w:eastAsiaTheme="minorEastAsia" w:hAnsiTheme="majorHAnsi" w:cstheme="majorHAnsi"/>
          <w:sz w:val="23"/>
          <w:szCs w:val="23"/>
          <w:lang w:val="en-GB" w:eastAsia="en-AU"/>
        </w:rPr>
        <w:t xml:space="preserve">. </w:t>
      </w:r>
      <w:r w:rsidR="00B65186" w:rsidRPr="00FF256A">
        <w:rPr>
          <w:rFonts w:asciiTheme="majorHAnsi" w:eastAsiaTheme="minorEastAsia" w:hAnsiTheme="majorHAnsi" w:cstheme="majorHAnsi"/>
          <w:sz w:val="23"/>
          <w:szCs w:val="23"/>
          <w:lang w:val="en-GB" w:eastAsia="en-AU"/>
        </w:rPr>
        <w:t xml:space="preserve">In </w:t>
      </w:r>
      <w:r w:rsidR="00DC0A78" w:rsidRPr="00FF256A">
        <w:rPr>
          <w:rFonts w:asciiTheme="majorHAnsi" w:eastAsiaTheme="minorEastAsia" w:hAnsiTheme="majorHAnsi" w:cstheme="majorHAnsi"/>
          <w:sz w:val="23"/>
          <w:szCs w:val="23"/>
          <w:lang w:val="en-GB" w:eastAsia="en-AU"/>
        </w:rPr>
        <w:t>selecting</w:t>
      </w:r>
      <w:r w:rsidR="00BB7766" w:rsidRPr="00FF256A">
        <w:rPr>
          <w:rFonts w:asciiTheme="majorHAnsi" w:eastAsiaTheme="minorEastAsia" w:hAnsiTheme="majorHAnsi" w:cstheme="majorHAnsi"/>
          <w:sz w:val="23"/>
          <w:szCs w:val="23"/>
          <w:lang w:val="en-GB" w:eastAsia="en-AU"/>
        </w:rPr>
        <w:t xml:space="preserve"> </w:t>
      </w:r>
      <w:r w:rsidR="00DC0A78" w:rsidRPr="00FF256A">
        <w:rPr>
          <w:rFonts w:asciiTheme="majorHAnsi" w:eastAsiaTheme="minorEastAsia" w:hAnsiTheme="majorHAnsi" w:cstheme="majorHAnsi"/>
          <w:sz w:val="23"/>
          <w:szCs w:val="23"/>
          <w:lang w:val="en-GB" w:eastAsia="en-AU"/>
        </w:rPr>
        <w:t>candidates</w:t>
      </w:r>
      <w:r w:rsidR="00B65186" w:rsidRPr="00FF256A">
        <w:rPr>
          <w:rFonts w:asciiTheme="majorHAnsi" w:eastAsiaTheme="minorEastAsia" w:hAnsiTheme="majorHAnsi" w:cstheme="majorHAnsi"/>
          <w:sz w:val="23"/>
          <w:szCs w:val="23"/>
          <w:lang w:val="en-GB" w:eastAsia="en-AU"/>
        </w:rPr>
        <w:t xml:space="preserve">, the research team sought to profile a diverse range of programs, policies, models, and interventions. These included but were not limited </w:t>
      </w:r>
      <w:proofErr w:type="gramStart"/>
      <w:r w:rsidR="00B65186" w:rsidRPr="00FF256A">
        <w:rPr>
          <w:rFonts w:asciiTheme="majorHAnsi" w:eastAsiaTheme="minorEastAsia" w:hAnsiTheme="majorHAnsi" w:cstheme="majorHAnsi"/>
          <w:sz w:val="23"/>
          <w:szCs w:val="23"/>
          <w:lang w:val="en-GB" w:eastAsia="en-AU"/>
        </w:rPr>
        <w:t>to</w:t>
      </w:r>
      <w:r w:rsidR="00D745BE" w:rsidRPr="00FF256A">
        <w:rPr>
          <w:rFonts w:asciiTheme="majorHAnsi" w:eastAsiaTheme="minorEastAsia" w:hAnsiTheme="majorHAnsi" w:cstheme="majorHAnsi"/>
          <w:sz w:val="23"/>
          <w:szCs w:val="23"/>
          <w:lang w:val="en-GB" w:eastAsia="en-AU"/>
        </w:rPr>
        <w:t>:</w:t>
      </w:r>
      <w:proofErr w:type="gramEnd"/>
      <w:r w:rsidR="00B65186" w:rsidRPr="00FF256A">
        <w:rPr>
          <w:rFonts w:asciiTheme="majorHAnsi" w:eastAsiaTheme="minorEastAsia" w:hAnsiTheme="majorHAnsi" w:cstheme="majorHAnsi"/>
          <w:sz w:val="23"/>
          <w:szCs w:val="23"/>
          <w:lang w:val="en-GB" w:eastAsia="en-AU"/>
        </w:rPr>
        <w:t xml:space="preserve"> capacity-building initiatives, urban development</w:t>
      </w:r>
      <w:r w:rsidR="00B65186" w:rsidRPr="00421D88">
        <w:rPr>
          <w:rFonts w:asciiTheme="majorHAnsi" w:eastAsiaTheme="minorEastAsia" w:hAnsiTheme="majorHAnsi" w:cstheme="majorHAnsi"/>
          <w:sz w:val="23"/>
          <w:szCs w:val="23"/>
          <w:lang w:val="en-GB" w:eastAsia="en-AU"/>
        </w:rPr>
        <w:t xml:space="preserve"> projects, local job and </w:t>
      </w:r>
      <w:r w:rsidR="00B65186">
        <w:rPr>
          <w:rFonts w:asciiTheme="majorHAnsi" w:eastAsiaTheme="minorEastAsia" w:hAnsiTheme="majorHAnsi" w:cstheme="majorHAnsi"/>
          <w:sz w:val="23"/>
          <w:szCs w:val="23"/>
          <w:lang w:val="en-GB" w:eastAsia="en-AU"/>
        </w:rPr>
        <w:t>training</w:t>
      </w:r>
      <w:r w:rsidR="00B65186" w:rsidRPr="00421D88">
        <w:rPr>
          <w:rFonts w:asciiTheme="majorHAnsi" w:eastAsiaTheme="minorEastAsia" w:hAnsiTheme="majorHAnsi" w:cstheme="majorHAnsi"/>
          <w:sz w:val="23"/>
          <w:szCs w:val="23"/>
          <w:lang w:val="en-GB" w:eastAsia="en-AU"/>
        </w:rPr>
        <w:t xml:space="preserve"> programs, infrastructure upgrades, social enterprises, arts-based projects, new community assets, service delivery </w:t>
      </w:r>
      <w:r w:rsidR="00612E48">
        <w:rPr>
          <w:rFonts w:asciiTheme="majorHAnsi" w:eastAsiaTheme="minorEastAsia" w:hAnsiTheme="majorHAnsi" w:cstheme="majorHAnsi"/>
          <w:sz w:val="23"/>
          <w:szCs w:val="23"/>
          <w:lang w:val="en-GB" w:eastAsia="en-AU"/>
        </w:rPr>
        <w:t>models,</w:t>
      </w:r>
      <w:r w:rsidR="00B65186" w:rsidRPr="00421D88">
        <w:rPr>
          <w:rFonts w:asciiTheme="majorHAnsi" w:eastAsiaTheme="minorEastAsia" w:hAnsiTheme="majorHAnsi" w:cstheme="majorHAnsi"/>
          <w:sz w:val="23"/>
          <w:szCs w:val="23"/>
          <w:lang w:val="en-GB" w:eastAsia="en-AU"/>
        </w:rPr>
        <w:t xml:space="preserve"> policy initiatives, local housing and support </w:t>
      </w:r>
      <w:r w:rsidR="00B65186">
        <w:rPr>
          <w:rFonts w:asciiTheme="majorHAnsi" w:eastAsiaTheme="minorEastAsia" w:hAnsiTheme="majorHAnsi" w:cstheme="majorHAnsi"/>
          <w:sz w:val="23"/>
          <w:szCs w:val="23"/>
          <w:lang w:val="en-GB" w:eastAsia="en-AU"/>
        </w:rPr>
        <w:t>program</w:t>
      </w:r>
      <w:r w:rsidR="00B65186" w:rsidRPr="00421D88">
        <w:rPr>
          <w:rFonts w:asciiTheme="majorHAnsi" w:eastAsiaTheme="minorEastAsia" w:hAnsiTheme="majorHAnsi" w:cstheme="majorHAnsi"/>
          <w:sz w:val="23"/>
          <w:szCs w:val="23"/>
          <w:lang w:val="en-GB" w:eastAsia="en-AU"/>
        </w:rPr>
        <w:t>s, stigma</w:t>
      </w:r>
      <w:r w:rsidR="00B65186">
        <w:rPr>
          <w:rFonts w:asciiTheme="majorHAnsi" w:eastAsiaTheme="minorEastAsia" w:hAnsiTheme="majorHAnsi" w:cstheme="majorHAnsi"/>
          <w:sz w:val="23"/>
          <w:szCs w:val="23"/>
          <w:lang w:val="en-GB" w:eastAsia="en-AU"/>
        </w:rPr>
        <w:t>-reduction strategies</w:t>
      </w:r>
      <w:r w:rsidR="00B65186" w:rsidRPr="00421D88">
        <w:rPr>
          <w:rFonts w:asciiTheme="majorHAnsi" w:eastAsiaTheme="minorEastAsia" w:hAnsiTheme="majorHAnsi" w:cstheme="majorHAnsi"/>
          <w:sz w:val="23"/>
          <w:szCs w:val="23"/>
          <w:lang w:val="en-GB" w:eastAsia="en-AU"/>
        </w:rPr>
        <w:t>,</w:t>
      </w:r>
      <w:r w:rsidR="00B65186">
        <w:rPr>
          <w:rFonts w:asciiTheme="majorHAnsi" w:eastAsiaTheme="minorEastAsia" w:hAnsiTheme="majorHAnsi" w:cstheme="majorHAnsi"/>
          <w:sz w:val="23"/>
          <w:szCs w:val="23"/>
          <w:lang w:val="en-GB" w:eastAsia="en-AU"/>
        </w:rPr>
        <w:t xml:space="preserve"> </w:t>
      </w:r>
      <w:r w:rsidR="00B65186" w:rsidRPr="00421D88">
        <w:rPr>
          <w:rFonts w:asciiTheme="majorHAnsi" w:eastAsiaTheme="minorEastAsia" w:hAnsiTheme="majorHAnsi" w:cstheme="majorHAnsi"/>
          <w:sz w:val="23"/>
          <w:szCs w:val="23"/>
          <w:lang w:val="en-GB" w:eastAsia="en-AU"/>
        </w:rPr>
        <w:t xml:space="preserve">tactical urbanism projects, </w:t>
      </w:r>
      <w:r w:rsidR="000D5C9A">
        <w:rPr>
          <w:rFonts w:asciiTheme="majorHAnsi" w:eastAsiaTheme="minorEastAsia" w:hAnsiTheme="majorHAnsi" w:cstheme="majorHAnsi"/>
          <w:sz w:val="23"/>
          <w:szCs w:val="23"/>
          <w:lang w:val="en-GB" w:eastAsia="en-AU"/>
        </w:rPr>
        <w:t>health</w:t>
      </w:r>
      <w:r w:rsidR="00612E48">
        <w:rPr>
          <w:rFonts w:asciiTheme="majorHAnsi" w:eastAsiaTheme="minorEastAsia" w:hAnsiTheme="majorHAnsi" w:cstheme="majorHAnsi"/>
          <w:sz w:val="23"/>
          <w:szCs w:val="23"/>
          <w:lang w:val="en-GB" w:eastAsia="en-AU"/>
        </w:rPr>
        <w:t xml:space="preserve"> promotion</w:t>
      </w:r>
      <w:r w:rsidR="000D5C9A">
        <w:rPr>
          <w:rFonts w:asciiTheme="majorHAnsi" w:eastAsiaTheme="minorEastAsia" w:hAnsiTheme="majorHAnsi" w:cstheme="majorHAnsi"/>
          <w:sz w:val="23"/>
          <w:szCs w:val="23"/>
          <w:lang w:val="en-GB" w:eastAsia="en-AU"/>
        </w:rPr>
        <w:t xml:space="preserve"> campaigns, </w:t>
      </w:r>
      <w:r w:rsidR="00B65186">
        <w:rPr>
          <w:rFonts w:asciiTheme="majorHAnsi" w:eastAsiaTheme="minorEastAsia" w:hAnsiTheme="majorHAnsi" w:cstheme="majorHAnsi"/>
          <w:sz w:val="23"/>
          <w:szCs w:val="23"/>
          <w:lang w:val="en-GB" w:eastAsia="en-AU"/>
        </w:rPr>
        <w:t>and</w:t>
      </w:r>
      <w:r w:rsidR="000D5C9A">
        <w:rPr>
          <w:rFonts w:asciiTheme="majorHAnsi" w:eastAsiaTheme="minorEastAsia" w:hAnsiTheme="majorHAnsi" w:cstheme="majorHAnsi"/>
          <w:sz w:val="23"/>
          <w:szCs w:val="23"/>
          <w:lang w:val="en-GB" w:eastAsia="en-AU"/>
        </w:rPr>
        <w:t xml:space="preserve"> </w:t>
      </w:r>
      <w:r w:rsidR="00B65186">
        <w:rPr>
          <w:rFonts w:asciiTheme="majorHAnsi" w:eastAsiaTheme="minorEastAsia" w:hAnsiTheme="majorHAnsi" w:cstheme="majorHAnsi"/>
          <w:sz w:val="23"/>
          <w:szCs w:val="23"/>
          <w:lang w:val="en-GB" w:eastAsia="en-AU"/>
        </w:rPr>
        <w:t xml:space="preserve">education </w:t>
      </w:r>
      <w:r w:rsidR="000D5C9A">
        <w:rPr>
          <w:rFonts w:asciiTheme="majorHAnsi" w:eastAsiaTheme="minorEastAsia" w:hAnsiTheme="majorHAnsi" w:cstheme="majorHAnsi"/>
          <w:sz w:val="23"/>
          <w:szCs w:val="23"/>
          <w:lang w:val="en-GB" w:eastAsia="en-AU"/>
        </w:rPr>
        <w:t>programs</w:t>
      </w:r>
      <w:r w:rsidR="00B65186" w:rsidRPr="00421D88">
        <w:rPr>
          <w:rFonts w:asciiTheme="majorHAnsi" w:eastAsiaTheme="minorEastAsia" w:hAnsiTheme="majorHAnsi" w:cstheme="majorHAnsi"/>
          <w:sz w:val="23"/>
          <w:szCs w:val="23"/>
          <w:lang w:val="en-GB" w:eastAsia="en-AU"/>
        </w:rPr>
        <w:t xml:space="preserve">. </w:t>
      </w:r>
      <w:r w:rsidR="00D745BE">
        <w:rPr>
          <w:rFonts w:asciiTheme="majorHAnsi" w:eastAsiaTheme="minorEastAsia" w:hAnsiTheme="majorHAnsi" w:cstheme="majorHAnsi"/>
          <w:sz w:val="23"/>
          <w:szCs w:val="23"/>
          <w:lang w:val="en-GB" w:eastAsia="en-AU"/>
        </w:rPr>
        <w:t xml:space="preserve">We </w:t>
      </w:r>
      <w:r w:rsidR="00BB7766">
        <w:rPr>
          <w:rFonts w:asciiTheme="majorHAnsi" w:eastAsiaTheme="minorEastAsia" w:hAnsiTheme="majorHAnsi" w:cstheme="majorHAnsi"/>
          <w:sz w:val="23"/>
          <w:szCs w:val="23"/>
          <w:lang w:val="en-GB" w:eastAsia="en-AU"/>
        </w:rPr>
        <w:t>chose</w:t>
      </w:r>
      <w:r w:rsidR="00D745BE">
        <w:rPr>
          <w:rFonts w:asciiTheme="majorHAnsi" w:eastAsiaTheme="minorEastAsia" w:hAnsiTheme="majorHAnsi" w:cstheme="majorHAnsi"/>
          <w:sz w:val="23"/>
          <w:szCs w:val="23"/>
          <w:lang w:val="en-GB" w:eastAsia="en-AU"/>
        </w:rPr>
        <w:t xml:space="preserve"> a</w:t>
      </w:r>
      <w:r w:rsidR="00B65186" w:rsidRPr="00421D88">
        <w:rPr>
          <w:rFonts w:asciiTheme="majorHAnsi" w:eastAsiaTheme="minorEastAsia" w:hAnsiTheme="majorHAnsi" w:cstheme="majorHAnsi"/>
          <w:sz w:val="23"/>
          <w:szCs w:val="23"/>
          <w:lang w:val="en-GB" w:eastAsia="en-AU"/>
        </w:rPr>
        <w:t xml:space="preserve"> range of small, medium</w:t>
      </w:r>
      <w:r w:rsidR="00B65186">
        <w:rPr>
          <w:rFonts w:asciiTheme="majorHAnsi" w:eastAsiaTheme="minorEastAsia" w:hAnsiTheme="majorHAnsi" w:cstheme="majorHAnsi"/>
          <w:sz w:val="23"/>
          <w:szCs w:val="23"/>
          <w:lang w:val="en-GB" w:eastAsia="en-AU"/>
        </w:rPr>
        <w:t>,</w:t>
      </w:r>
      <w:r w:rsidR="00B65186" w:rsidRPr="00421D88">
        <w:rPr>
          <w:rFonts w:asciiTheme="majorHAnsi" w:eastAsiaTheme="minorEastAsia" w:hAnsiTheme="majorHAnsi" w:cstheme="majorHAnsi"/>
          <w:sz w:val="23"/>
          <w:szCs w:val="23"/>
          <w:lang w:val="en-GB" w:eastAsia="en-AU"/>
        </w:rPr>
        <w:t xml:space="preserve"> and larger</w:t>
      </w:r>
      <w:r w:rsidR="00AA7822">
        <w:rPr>
          <w:rFonts w:asciiTheme="majorHAnsi" w:eastAsiaTheme="minorEastAsia" w:hAnsiTheme="majorHAnsi" w:cstheme="majorHAnsi"/>
          <w:sz w:val="23"/>
          <w:szCs w:val="23"/>
          <w:lang w:val="en-GB" w:eastAsia="en-AU"/>
        </w:rPr>
        <w:t>-scale</w:t>
      </w:r>
      <w:r w:rsidR="00B65186" w:rsidRPr="00421D88">
        <w:rPr>
          <w:rFonts w:asciiTheme="majorHAnsi" w:eastAsiaTheme="minorEastAsia" w:hAnsiTheme="majorHAnsi" w:cstheme="majorHAnsi"/>
          <w:sz w:val="23"/>
          <w:szCs w:val="23"/>
          <w:lang w:val="en-GB" w:eastAsia="en-AU"/>
        </w:rPr>
        <w:t xml:space="preserve"> interventions, </w:t>
      </w:r>
      <w:r w:rsidR="00AA7822">
        <w:rPr>
          <w:rFonts w:asciiTheme="majorHAnsi" w:eastAsiaTheme="minorEastAsia" w:hAnsiTheme="majorHAnsi" w:cstheme="majorHAnsi"/>
          <w:sz w:val="23"/>
          <w:szCs w:val="23"/>
          <w:lang w:val="en-GB" w:eastAsia="en-AU"/>
        </w:rPr>
        <w:t>prioritising</w:t>
      </w:r>
      <w:r w:rsidR="00B65186" w:rsidRPr="00421D88">
        <w:rPr>
          <w:rFonts w:asciiTheme="majorHAnsi" w:eastAsiaTheme="minorEastAsia" w:hAnsiTheme="majorHAnsi" w:cstheme="majorHAnsi"/>
          <w:sz w:val="23"/>
          <w:szCs w:val="23"/>
          <w:lang w:val="en-GB" w:eastAsia="en-AU"/>
        </w:rPr>
        <w:t xml:space="preserve"> those that aimed for meaningful impacts at the local level.</w:t>
      </w:r>
      <w:r w:rsidR="00B65186">
        <w:rPr>
          <w:rFonts w:asciiTheme="majorHAnsi" w:eastAsiaTheme="minorEastAsia" w:hAnsiTheme="majorHAnsi" w:cstheme="majorHAnsi"/>
          <w:sz w:val="23"/>
          <w:szCs w:val="23"/>
          <w:lang w:val="en-GB" w:eastAsia="en-AU"/>
        </w:rPr>
        <w:t xml:space="preserve"> The search terms listed in Appendix A provided a </w:t>
      </w:r>
      <w:r w:rsidR="00154386">
        <w:rPr>
          <w:rFonts w:asciiTheme="majorHAnsi" w:eastAsiaTheme="minorEastAsia" w:hAnsiTheme="majorHAnsi" w:cstheme="majorHAnsi"/>
          <w:sz w:val="23"/>
          <w:szCs w:val="23"/>
          <w:lang w:val="en-GB" w:eastAsia="en-AU"/>
        </w:rPr>
        <w:t>basis</w:t>
      </w:r>
      <w:r w:rsidR="00B65186">
        <w:rPr>
          <w:rFonts w:asciiTheme="majorHAnsi" w:eastAsiaTheme="minorEastAsia" w:hAnsiTheme="majorHAnsi" w:cstheme="majorHAnsi"/>
          <w:sz w:val="23"/>
          <w:szCs w:val="23"/>
          <w:lang w:val="en-GB" w:eastAsia="en-AU"/>
        </w:rPr>
        <w:t xml:space="preserve"> </w:t>
      </w:r>
      <w:r w:rsidR="00154386">
        <w:rPr>
          <w:rFonts w:asciiTheme="majorHAnsi" w:eastAsiaTheme="minorEastAsia" w:hAnsiTheme="majorHAnsi" w:cstheme="majorHAnsi"/>
          <w:sz w:val="23"/>
          <w:szCs w:val="23"/>
          <w:lang w:val="en-GB" w:eastAsia="en-AU"/>
        </w:rPr>
        <w:t>to capture a</w:t>
      </w:r>
      <w:r w:rsidR="00B65186">
        <w:rPr>
          <w:rFonts w:asciiTheme="majorHAnsi" w:eastAsiaTheme="minorEastAsia" w:hAnsiTheme="majorHAnsi" w:cstheme="majorHAnsi"/>
          <w:sz w:val="23"/>
          <w:szCs w:val="23"/>
          <w:lang w:val="en-GB" w:eastAsia="en-AU"/>
        </w:rPr>
        <w:t xml:space="preserve"> diverse range of programs</w:t>
      </w:r>
      <w:r w:rsidR="00154386">
        <w:rPr>
          <w:rFonts w:asciiTheme="majorHAnsi" w:eastAsiaTheme="minorEastAsia" w:hAnsiTheme="majorHAnsi" w:cstheme="majorHAnsi"/>
          <w:sz w:val="23"/>
          <w:szCs w:val="23"/>
          <w:lang w:val="en-GB" w:eastAsia="en-AU"/>
        </w:rPr>
        <w:t xml:space="preserve"> for consideration</w:t>
      </w:r>
      <w:r w:rsidR="00B65186">
        <w:rPr>
          <w:rFonts w:asciiTheme="majorHAnsi" w:eastAsiaTheme="minorEastAsia" w:hAnsiTheme="majorHAnsi" w:cstheme="majorHAnsi"/>
          <w:sz w:val="23"/>
          <w:szCs w:val="23"/>
          <w:lang w:val="en-GB" w:eastAsia="en-AU"/>
        </w:rPr>
        <w:t xml:space="preserve">. Initiatives were then excluded or </w:t>
      </w:r>
      <w:r w:rsidR="00BD683F">
        <w:rPr>
          <w:rFonts w:asciiTheme="majorHAnsi" w:eastAsiaTheme="minorEastAsia" w:hAnsiTheme="majorHAnsi" w:cstheme="majorHAnsi"/>
          <w:sz w:val="23"/>
          <w:szCs w:val="23"/>
          <w:lang w:val="en-GB" w:eastAsia="en-AU"/>
        </w:rPr>
        <w:t>included</w:t>
      </w:r>
      <w:r w:rsidR="00B65186">
        <w:rPr>
          <w:rFonts w:asciiTheme="majorHAnsi" w:eastAsiaTheme="minorEastAsia" w:hAnsiTheme="majorHAnsi" w:cstheme="majorHAnsi"/>
          <w:sz w:val="23"/>
          <w:szCs w:val="23"/>
          <w:lang w:val="en-GB" w:eastAsia="en-AU"/>
        </w:rPr>
        <w:t xml:space="preserve"> using the criteria noted below.</w:t>
      </w:r>
    </w:p>
    <w:p w14:paraId="3CEB61C3" w14:textId="77777777" w:rsidR="00B65186" w:rsidRPr="004A564B" w:rsidRDefault="00B65186" w:rsidP="00B65186">
      <w:pPr>
        <w:spacing w:after="0" w:line="276" w:lineRule="auto"/>
        <w:rPr>
          <w:rFonts w:asciiTheme="majorHAnsi" w:eastAsiaTheme="minorEastAsia" w:hAnsiTheme="majorHAnsi" w:cstheme="majorHAnsi"/>
          <w:sz w:val="16"/>
          <w:szCs w:val="16"/>
          <w:lang w:val="en-GB" w:eastAsia="en-AU"/>
        </w:rPr>
      </w:pPr>
    </w:p>
    <w:p w14:paraId="2D1248A3" w14:textId="6EB7F504" w:rsidR="00B65186" w:rsidRDefault="00B65186" w:rsidP="00B65186">
      <w:pPr>
        <w:spacing w:after="0" w:line="276" w:lineRule="auto"/>
        <w:rPr>
          <w:rFonts w:asciiTheme="majorHAnsi" w:eastAsiaTheme="minorEastAsia" w:hAnsiTheme="majorHAnsi" w:cstheme="majorHAnsi"/>
          <w:sz w:val="23"/>
          <w:szCs w:val="23"/>
          <w:lang w:eastAsia="en-AU"/>
        </w:rPr>
      </w:pPr>
      <w:r>
        <w:rPr>
          <w:rFonts w:asciiTheme="majorHAnsi" w:hAnsiTheme="majorHAnsi" w:cstheme="majorHAnsi"/>
          <w:sz w:val="23"/>
          <w:szCs w:val="23"/>
        </w:rPr>
        <w:lastRenderedPageBreak/>
        <w:t xml:space="preserve">Case Study selection </w:t>
      </w:r>
      <w:r w:rsidRPr="005357D0">
        <w:rPr>
          <w:rFonts w:asciiTheme="majorHAnsi" w:hAnsiTheme="majorHAnsi" w:cstheme="majorHAnsi"/>
          <w:sz w:val="23"/>
          <w:szCs w:val="23"/>
        </w:rPr>
        <w:t>was</w:t>
      </w:r>
      <w:r>
        <w:rPr>
          <w:rFonts w:asciiTheme="majorHAnsi" w:hAnsiTheme="majorHAnsi" w:cstheme="majorHAnsi"/>
          <w:sz w:val="23"/>
          <w:szCs w:val="23"/>
        </w:rPr>
        <w:t xml:space="preserve"> also guided</w:t>
      </w:r>
      <w:r w:rsidRPr="005357D0">
        <w:rPr>
          <w:rFonts w:asciiTheme="majorHAnsi" w:hAnsiTheme="majorHAnsi" w:cstheme="majorHAnsi"/>
          <w:sz w:val="23"/>
          <w:szCs w:val="23"/>
        </w:rPr>
        <w:t xml:space="preserve"> </w:t>
      </w:r>
      <w:r>
        <w:rPr>
          <w:rFonts w:asciiTheme="majorHAnsi" w:hAnsiTheme="majorHAnsi" w:cstheme="majorHAnsi"/>
          <w:sz w:val="23"/>
          <w:szCs w:val="23"/>
        </w:rPr>
        <w:t xml:space="preserve">by preliminary background information </w:t>
      </w:r>
      <w:r w:rsidRPr="005357D0">
        <w:rPr>
          <w:rFonts w:asciiTheme="majorHAnsi" w:hAnsiTheme="majorHAnsi" w:cstheme="majorHAnsi"/>
          <w:sz w:val="23"/>
          <w:szCs w:val="23"/>
        </w:rPr>
        <w:t>o</w:t>
      </w:r>
      <w:r>
        <w:rPr>
          <w:rFonts w:asciiTheme="majorHAnsi" w:hAnsiTheme="majorHAnsi" w:cstheme="majorHAnsi"/>
          <w:sz w:val="23"/>
          <w:szCs w:val="23"/>
        </w:rPr>
        <w:t>n</w:t>
      </w:r>
      <w:r w:rsidRPr="005357D0">
        <w:rPr>
          <w:rFonts w:asciiTheme="majorHAnsi" w:hAnsiTheme="majorHAnsi" w:cstheme="majorHAnsi"/>
          <w:sz w:val="23"/>
          <w:szCs w:val="23"/>
        </w:rPr>
        <w:t xml:space="preserve"> existing gaps, needs</w:t>
      </w:r>
      <w:r>
        <w:rPr>
          <w:rFonts w:asciiTheme="majorHAnsi" w:hAnsiTheme="majorHAnsi" w:cstheme="majorHAnsi"/>
          <w:sz w:val="23"/>
          <w:szCs w:val="23"/>
        </w:rPr>
        <w:t>,</w:t>
      </w:r>
      <w:r w:rsidRPr="005357D0">
        <w:rPr>
          <w:rFonts w:asciiTheme="majorHAnsi" w:hAnsiTheme="majorHAnsi" w:cstheme="majorHAnsi"/>
          <w:sz w:val="23"/>
          <w:szCs w:val="23"/>
        </w:rPr>
        <w:t xml:space="preserve"> and opportunities</w:t>
      </w:r>
      <w:r>
        <w:rPr>
          <w:rFonts w:asciiTheme="majorHAnsi" w:hAnsiTheme="majorHAnsi" w:cstheme="majorHAnsi"/>
          <w:sz w:val="23"/>
          <w:szCs w:val="23"/>
        </w:rPr>
        <w:t xml:space="preserve"> in </w:t>
      </w:r>
      <w:r w:rsidRPr="005357D0">
        <w:rPr>
          <w:rFonts w:asciiTheme="majorHAnsi" w:hAnsiTheme="majorHAnsi" w:cstheme="majorHAnsi"/>
          <w:sz w:val="23"/>
          <w:szCs w:val="23"/>
        </w:rPr>
        <w:t>Corio, Norlane</w:t>
      </w:r>
      <w:r>
        <w:rPr>
          <w:rFonts w:asciiTheme="majorHAnsi" w:hAnsiTheme="majorHAnsi" w:cstheme="majorHAnsi"/>
          <w:sz w:val="23"/>
          <w:szCs w:val="23"/>
        </w:rPr>
        <w:t>,</w:t>
      </w:r>
      <w:r w:rsidRPr="005357D0">
        <w:rPr>
          <w:rFonts w:asciiTheme="majorHAnsi" w:hAnsiTheme="majorHAnsi" w:cstheme="majorHAnsi"/>
          <w:sz w:val="23"/>
          <w:szCs w:val="23"/>
        </w:rPr>
        <w:t xml:space="preserve"> and Wittington</w:t>
      </w:r>
      <w:r>
        <w:rPr>
          <w:rFonts w:asciiTheme="majorHAnsi" w:hAnsiTheme="majorHAnsi" w:cstheme="majorHAnsi"/>
          <w:sz w:val="23"/>
          <w:szCs w:val="23"/>
        </w:rPr>
        <w:t xml:space="preserve">. Sources included </w:t>
      </w:r>
      <w:r w:rsidR="001B7DDF">
        <w:rPr>
          <w:rFonts w:asciiTheme="majorHAnsi" w:hAnsiTheme="majorHAnsi" w:cstheme="majorHAnsi"/>
          <w:sz w:val="23"/>
          <w:szCs w:val="23"/>
        </w:rPr>
        <w:t>CoGG</w:t>
      </w:r>
      <w:r>
        <w:rPr>
          <w:rFonts w:asciiTheme="majorHAnsi" w:hAnsiTheme="majorHAnsi" w:cstheme="majorHAnsi"/>
          <w:sz w:val="23"/>
          <w:szCs w:val="23"/>
        </w:rPr>
        <w:t xml:space="preserve"> C</w:t>
      </w:r>
      <w:r w:rsidRPr="005357D0">
        <w:rPr>
          <w:rFonts w:asciiTheme="majorHAnsi" w:hAnsiTheme="majorHAnsi" w:cstheme="majorHAnsi"/>
          <w:sz w:val="23"/>
          <w:szCs w:val="23"/>
        </w:rPr>
        <w:t>ommunity Profiles</w:t>
      </w:r>
      <w:r>
        <w:rPr>
          <w:rFonts w:asciiTheme="majorHAnsi" w:hAnsiTheme="majorHAnsi" w:cstheme="majorHAnsi"/>
          <w:sz w:val="23"/>
          <w:szCs w:val="23"/>
        </w:rPr>
        <w:t xml:space="preserve"> </w:t>
      </w:r>
      <w:r w:rsidRPr="005357D0">
        <w:rPr>
          <w:rFonts w:asciiTheme="majorHAnsi" w:hAnsiTheme="majorHAnsi" w:cstheme="majorHAnsi"/>
          <w:sz w:val="23"/>
          <w:szCs w:val="23"/>
        </w:rPr>
        <w:t>summaris</w:t>
      </w:r>
      <w:r w:rsidR="001F1F02">
        <w:rPr>
          <w:rFonts w:asciiTheme="majorHAnsi" w:hAnsiTheme="majorHAnsi" w:cstheme="majorHAnsi"/>
          <w:sz w:val="23"/>
          <w:szCs w:val="23"/>
        </w:rPr>
        <w:t>ing</w:t>
      </w:r>
      <w:r w:rsidRPr="005357D0">
        <w:rPr>
          <w:rFonts w:asciiTheme="majorHAnsi" w:hAnsiTheme="majorHAnsi" w:cstheme="majorHAnsi"/>
          <w:sz w:val="23"/>
          <w:szCs w:val="23"/>
        </w:rPr>
        <w:t xml:space="preserve"> </w:t>
      </w:r>
      <w:r>
        <w:rPr>
          <w:rFonts w:asciiTheme="majorHAnsi" w:hAnsiTheme="majorHAnsi" w:cstheme="majorHAnsi"/>
          <w:sz w:val="23"/>
          <w:szCs w:val="23"/>
        </w:rPr>
        <w:t xml:space="preserve">key demographic data for these three </w:t>
      </w:r>
      <w:r w:rsidR="001F1F02">
        <w:rPr>
          <w:rFonts w:asciiTheme="majorHAnsi" w:hAnsiTheme="majorHAnsi" w:cstheme="majorHAnsi"/>
          <w:sz w:val="23"/>
          <w:szCs w:val="23"/>
        </w:rPr>
        <w:t>localities</w:t>
      </w:r>
      <w:r w:rsidRPr="005357D0">
        <w:rPr>
          <w:rFonts w:asciiTheme="majorHAnsi" w:hAnsiTheme="majorHAnsi" w:cstheme="majorHAnsi"/>
          <w:sz w:val="23"/>
          <w:szCs w:val="23"/>
        </w:rPr>
        <w:t xml:space="preserve">, and how </w:t>
      </w:r>
      <w:r>
        <w:rPr>
          <w:rFonts w:asciiTheme="majorHAnsi" w:hAnsiTheme="majorHAnsi" w:cstheme="majorHAnsi"/>
          <w:sz w:val="23"/>
          <w:szCs w:val="23"/>
        </w:rPr>
        <w:t xml:space="preserve">they </w:t>
      </w:r>
      <w:r w:rsidRPr="005357D0">
        <w:rPr>
          <w:rFonts w:asciiTheme="majorHAnsi" w:hAnsiTheme="majorHAnsi" w:cstheme="majorHAnsi"/>
          <w:sz w:val="23"/>
          <w:szCs w:val="23"/>
        </w:rPr>
        <w:t>compare to Greater Geelong as a whole</w:t>
      </w:r>
      <w:r>
        <w:rPr>
          <w:rFonts w:asciiTheme="majorHAnsi" w:hAnsiTheme="majorHAnsi" w:cstheme="majorHAnsi"/>
          <w:sz w:val="23"/>
          <w:szCs w:val="23"/>
        </w:rPr>
        <w:t xml:space="preserve">, along with </w:t>
      </w:r>
      <w:r w:rsidRPr="007A3B01">
        <w:rPr>
          <w:rFonts w:asciiTheme="majorHAnsi" w:hAnsiTheme="majorHAnsi" w:cstheme="majorHAnsi"/>
          <w:sz w:val="23"/>
          <w:szCs w:val="23"/>
        </w:rPr>
        <w:t xml:space="preserve">other publicly available </w:t>
      </w:r>
      <w:r>
        <w:rPr>
          <w:rFonts w:asciiTheme="majorHAnsi" w:hAnsiTheme="majorHAnsi" w:cstheme="majorHAnsi"/>
          <w:sz w:val="23"/>
          <w:szCs w:val="23"/>
        </w:rPr>
        <w:t>documents</w:t>
      </w:r>
      <w:r w:rsidRPr="007A3B01">
        <w:rPr>
          <w:rFonts w:asciiTheme="majorHAnsi" w:hAnsiTheme="majorHAnsi" w:cstheme="majorHAnsi"/>
          <w:sz w:val="23"/>
          <w:szCs w:val="23"/>
        </w:rPr>
        <w:t xml:space="preserve"> (</w:t>
      </w:r>
      <w:r w:rsidRPr="007A3B01">
        <w:rPr>
          <w:rFonts w:asciiTheme="majorHAnsi" w:hAnsiTheme="majorHAnsi" w:cstheme="majorHAnsi"/>
          <w:i/>
          <w:iCs/>
          <w:sz w:val="23"/>
          <w:szCs w:val="23"/>
        </w:rPr>
        <w:t>Corio Norlane Structure Plan</w:t>
      </w:r>
      <w:r w:rsidRPr="007A3B01">
        <w:rPr>
          <w:rFonts w:asciiTheme="majorHAnsi" w:hAnsiTheme="majorHAnsi" w:cstheme="majorHAnsi"/>
          <w:sz w:val="23"/>
          <w:szCs w:val="23"/>
        </w:rPr>
        <w:t xml:space="preserve"> </w:t>
      </w:r>
      <w:r w:rsidRPr="007A3B01">
        <w:rPr>
          <w:rFonts w:asciiTheme="majorHAnsi" w:hAnsiTheme="majorHAnsi" w:cstheme="majorHAnsi"/>
          <w:i/>
          <w:iCs/>
          <w:sz w:val="23"/>
          <w:szCs w:val="23"/>
        </w:rPr>
        <w:t>2012</w:t>
      </w:r>
      <w:r w:rsidRPr="007A3B01">
        <w:rPr>
          <w:rFonts w:asciiTheme="majorHAnsi" w:hAnsiTheme="majorHAnsi" w:cstheme="majorHAnsi"/>
          <w:sz w:val="23"/>
          <w:szCs w:val="23"/>
        </w:rPr>
        <w:t xml:space="preserve">; </w:t>
      </w:r>
      <w:r w:rsidR="001B7DDF">
        <w:rPr>
          <w:rFonts w:asciiTheme="majorHAnsi" w:hAnsiTheme="majorHAnsi" w:cstheme="majorHAnsi"/>
          <w:i/>
          <w:iCs/>
          <w:sz w:val="23"/>
          <w:szCs w:val="23"/>
        </w:rPr>
        <w:t>CoGG</w:t>
      </w:r>
      <w:r w:rsidRPr="007A3B01">
        <w:rPr>
          <w:rFonts w:asciiTheme="majorHAnsi" w:hAnsiTheme="majorHAnsi" w:cstheme="majorHAnsi"/>
          <w:i/>
          <w:iCs/>
          <w:sz w:val="23"/>
          <w:szCs w:val="23"/>
        </w:rPr>
        <w:t xml:space="preserve"> Social Housing Plan 2018–2041</w:t>
      </w:r>
      <w:r w:rsidRPr="007A3B01">
        <w:rPr>
          <w:rFonts w:asciiTheme="majorHAnsi" w:hAnsiTheme="majorHAnsi" w:cstheme="majorHAnsi"/>
          <w:sz w:val="23"/>
          <w:szCs w:val="23"/>
        </w:rPr>
        <w:t xml:space="preserve">; </w:t>
      </w:r>
      <w:r w:rsidR="001B7DDF">
        <w:rPr>
          <w:rFonts w:asciiTheme="majorHAnsi" w:hAnsiTheme="majorHAnsi" w:cstheme="majorHAnsi"/>
          <w:i/>
          <w:iCs/>
          <w:sz w:val="23"/>
          <w:szCs w:val="23"/>
        </w:rPr>
        <w:t>CoGG</w:t>
      </w:r>
      <w:r w:rsidRPr="007A3B01">
        <w:rPr>
          <w:rFonts w:asciiTheme="majorHAnsi" w:hAnsiTheme="majorHAnsi" w:cstheme="majorHAnsi"/>
          <w:i/>
          <w:iCs/>
          <w:sz w:val="23"/>
          <w:szCs w:val="23"/>
        </w:rPr>
        <w:t xml:space="preserve"> Social Infrastructure Plan, Generation</w:t>
      </w:r>
      <w:r w:rsidRPr="0099244F">
        <w:rPr>
          <w:rFonts w:asciiTheme="majorHAnsi" w:hAnsiTheme="majorHAnsi" w:cstheme="majorHAnsi"/>
          <w:i/>
          <w:iCs/>
          <w:sz w:val="23"/>
          <w:szCs w:val="23"/>
        </w:rPr>
        <w:t xml:space="preserve"> One 2020–2023</w:t>
      </w:r>
      <w:r>
        <w:rPr>
          <w:rFonts w:asciiTheme="majorHAnsi" w:hAnsiTheme="majorHAnsi" w:cstheme="majorHAnsi"/>
          <w:i/>
          <w:iCs/>
          <w:sz w:val="23"/>
          <w:szCs w:val="23"/>
        </w:rPr>
        <w:t xml:space="preserve">; </w:t>
      </w:r>
      <w:r w:rsidRPr="001B3612">
        <w:rPr>
          <w:rFonts w:asciiTheme="majorHAnsi" w:hAnsiTheme="majorHAnsi" w:cstheme="majorHAnsi"/>
          <w:i/>
          <w:iCs/>
          <w:sz w:val="23"/>
          <w:szCs w:val="23"/>
        </w:rPr>
        <w:t>Greater Geelong Planning Scheme 2021</w:t>
      </w:r>
      <w:r>
        <w:rPr>
          <w:rFonts w:asciiTheme="majorHAnsi" w:hAnsiTheme="majorHAnsi" w:cstheme="majorHAnsi"/>
          <w:sz w:val="23"/>
          <w:szCs w:val="23"/>
        </w:rPr>
        <w:t>; G21 website; localised SEIFA score data).</w:t>
      </w:r>
    </w:p>
    <w:p w14:paraId="3179640A" w14:textId="77777777" w:rsidR="00B65186" w:rsidRPr="004A564B" w:rsidRDefault="00B65186" w:rsidP="00B65186">
      <w:pPr>
        <w:spacing w:after="0" w:line="276" w:lineRule="auto"/>
        <w:rPr>
          <w:rFonts w:asciiTheme="majorHAnsi" w:eastAsiaTheme="minorEastAsia" w:hAnsiTheme="majorHAnsi" w:cstheme="majorHAnsi"/>
          <w:sz w:val="16"/>
          <w:szCs w:val="16"/>
          <w:lang w:eastAsia="en-AU"/>
        </w:rPr>
      </w:pPr>
    </w:p>
    <w:p w14:paraId="18FFB0C5" w14:textId="77777777" w:rsidR="00B65186" w:rsidRDefault="00B65186" w:rsidP="00B65186">
      <w:pPr>
        <w:spacing w:after="0" w:line="276" w:lineRule="auto"/>
        <w:rPr>
          <w:rFonts w:eastAsiaTheme="minorEastAsia"/>
          <w:b/>
          <w:bCs/>
          <w:color w:val="2F5496" w:themeColor="accent1" w:themeShade="BF"/>
          <w:sz w:val="25"/>
          <w:szCs w:val="25"/>
          <w:lang w:eastAsia="en-AU"/>
        </w:rPr>
      </w:pPr>
      <w:r w:rsidRPr="64875FDB">
        <w:rPr>
          <w:rFonts w:eastAsiaTheme="minorEastAsia"/>
          <w:b/>
          <w:bCs/>
          <w:color w:val="2F5496" w:themeColor="accent1" w:themeShade="BF"/>
          <w:sz w:val="25"/>
          <w:szCs w:val="25"/>
          <w:lang w:eastAsia="en-AU"/>
        </w:rPr>
        <w:t>Geographic Spread</w:t>
      </w:r>
    </w:p>
    <w:p w14:paraId="242D46F1" w14:textId="77777777" w:rsidR="00B65186" w:rsidRPr="00324235" w:rsidRDefault="00B65186" w:rsidP="00B65186">
      <w:pPr>
        <w:spacing w:after="0" w:line="276" w:lineRule="auto"/>
        <w:rPr>
          <w:rFonts w:eastAsiaTheme="minorEastAsia"/>
          <w:b/>
          <w:bCs/>
          <w:sz w:val="16"/>
          <w:szCs w:val="16"/>
          <w:lang w:eastAsia="en-AU"/>
        </w:rPr>
      </w:pPr>
    </w:p>
    <w:p w14:paraId="78074910" w14:textId="6A2D046D" w:rsidR="00B65186" w:rsidRDefault="00A716BB" w:rsidP="00B65186">
      <w:pPr>
        <w:spacing w:after="0" w:line="276" w:lineRule="auto"/>
        <w:rPr>
          <w:rFonts w:asciiTheme="majorHAnsi" w:eastAsiaTheme="minorEastAsia" w:hAnsiTheme="majorHAnsi" w:cstheme="majorBidi"/>
          <w:sz w:val="23"/>
          <w:szCs w:val="23"/>
          <w:lang w:val="en-GB" w:eastAsia="en-AU"/>
        </w:rPr>
      </w:pPr>
      <w:r>
        <w:rPr>
          <w:rFonts w:asciiTheme="majorHAnsi" w:eastAsiaTheme="minorEastAsia" w:hAnsiTheme="majorHAnsi" w:cstheme="majorBidi"/>
          <w:sz w:val="23"/>
          <w:szCs w:val="23"/>
          <w:lang w:eastAsia="en-AU"/>
        </w:rPr>
        <w:t xml:space="preserve">The </w:t>
      </w:r>
      <w:r w:rsidR="00AD2DA5">
        <w:rPr>
          <w:rFonts w:asciiTheme="majorHAnsi" w:eastAsiaTheme="minorEastAsia" w:hAnsiTheme="majorHAnsi" w:cstheme="majorBidi"/>
          <w:sz w:val="23"/>
          <w:szCs w:val="23"/>
          <w:lang w:eastAsia="en-AU"/>
        </w:rPr>
        <w:t>Case Studies</w:t>
      </w:r>
      <w:r w:rsidR="00B65186" w:rsidRPr="64875FDB">
        <w:rPr>
          <w:rFonts w:asciiTheme="majorHAnsi" w:eastAsiaTheme="minorEastAsia" w:hAnsiTheme="majorHAnsi" w:cstheme="majorBidi"/>
          <w:sz w:val="23"/>
          <w:szCs w:val="23"/>
          <w:lang w:eastAsia="en-AU"/>
        </w:rPr>
        <w:t xml:space="preserve"> span a range of localities and geographic scales, from local to international. Australian examples include programs based in </w:t>
      </w:r>
      <w:r w:rsidR="00B65186" w:rsidRPr="64875FDB">
        <w:rPr>
          <w:rFonts w:asciiTheme="majorHAnsi" w:eastAsiaTheme="minorEastAsia" w:hAnsiTheme="majorHAnsi" w:cstheme="majorBidi"/>
          <w:sz w:val="23"/>
          <w:szCs w:val="23"/>
          <w:lang w:val="en-GB" w:eastAsia="en-AU"/>
        </w:rPr>
        <w:t>Corio, Norlane, and Whittington</w:t>
      </w:r>
      <w:r w:rsidR="00B65186" w:rsidRPr="64875FDB">
        <w:rPr>
          <w:rFonts w:asciiTheme="majorHAnsi" w:eastAsiaTheme="minorEastAsia" w:hAnsiTheme="majorHAnsi" w:cstheme="majorBidi"/>
          <w:sz w:val="23"/>
          <w:szCs w:val="23"/>
          <w:lang w:eastAsia="en-AU"/>
        </w:rPr>
        <w:t xml:space="preserve">; within the </w:t>
      </w:r>
      <w:r w:rsidR="00B65186" w:rsidRPr="64875FDB">
        <w:rPr>
          <w:rFonts w:asciiTheme="majorHAnsi" w:eastAsiaTheme="minorEastAsia" w:hAnsiTheme="majorHAnsi" w:cstheme="majorBidi"/>
          <w:sz w:val="23"/>
          <w:szCs w:val="23"/>
          <w:lang w:val="en-GB" w:eastAsia="en-AU"/>
        </w:rPr>
        <w:t>Greater Geelong area</w:t>
      </w:r>
      <w:r w:rsidR="00B65186" w:rsidRPr="64875FDB">
        <w:rPr>
          <w:rFonts w:asciiTheme="majorHAnsi" w:eastAsiaTheme="minorEastAsia" w:hAnsiTheme="majorHAnsi" w:cstheme="majorBidi"/>
          <w:sz w:val="23"/>
          <w:szCs w:val="23"/>
          <w:lang w:eastAsia="en-AU"/>
        </w:rPr>
        <w:t xml:space="preserve">; and in other LGAs or communities, both within and beyond Victoria. To maximise relevance, international </w:t>
      </w:r>
      <w:r w:rsidR="00AD2DA5">
        <w:rPr>
          <w:rFonts w:asciiTheme="majorHAnsi" w:eastAsiaTheme="minorEastAsia" w:hAnsiTheme="majorHAnsi" w:cstheme="majorBidi"/>
          <w:sz w:val="23"/>
          <w:szCs w:val="23"/>
          <w:lang w:eastAsia="en-AU"/>
        </w:rPr>
        <w:t>Case Studies</w:t>
      </w:r>
      <w:r w:rsidR="00B65186" w:rsidRPr="64875FDB">
        <w:rPr>
          <w:rFonts w:asciiTheme="majorHAnsi" w:eastAsiaTheme="minorEastAsia" w:hAnsiTheme="majorHAnsi" w:cstheme="majorBidi"/>
          <w:sz w:val="23"/>
          <w:szCs w:val="23"/>
          <w:lang w:eastAsia="en-AU"/>
        </w:rPr>
        <w:t xml:space="preserve"> were limited to programs </w:t>
      </w:r>
      <w:r w:rsidR="003E0526">
        <w:rPr>
          <w:rFonts w:asciiTheme="majorHAnsi" w:eastAsiaTheme="minorEastAsia" w:hAnsiTheme="majorHAnsi" w:cstheme="majorBidi"/>
          <w:sz w:val="23"/>
          <w:szCs w:val="23"/>
          <w:lang w:eastAsia="en-AU"/>
        </w:rPr>
        <w:t xml:space="preserve">run </w:t>
      </w:r>
      <w:r w:rsidR="00B65186" w:rsidRPr="64875FDB">
        <w:rPr>
          <w:rFonts w:asciiTheme="majorHAnsi" w:eastAsiaTheme="minorEastAsia" w:hAnsiTheme="majorHAnsi" w:cstheme="majorBidi"/>
          <w:sz w:val="23"/>
          <w:szCs w:val="23"/>
          <w:lang w:eastAsia="en-AU"/>
        </w:rPr>
        <w:t xml:space="preserve">within </w:t>
      </w:r>
      <w:r w:rsidR="00B65186" w:rsidRPr="64875FDB">
        <w:rPr>
          <w:rFonts w:asciiTheme="majorHAnsi" w:eastAsiaTheme="minorEastAsia" w:hAnsiTheme="majorHAnsi" w:cstheme="majorBidi"/>
          <w:sz w:val="23"/>
          <w:szCs w:val="23"/>
          <w:lang w:val="en-GB" w:eastAsia="en-AU"/>
        </w:rPr>
        <w:t>Western democracies</w:t>
      </w:r>
      <w:r w:rsidR="00B65186" w:rsidRPr="64875FDB">
        <w:rPr>
          <w:rFonts w:asciiTheme="majorHAnsi" w:eastAsiaTheme="minorEastAsia" w:hAnsiTheme="majorHAnsi" w:cstheme="majorBidi"/>
          <w:sz w:val="23"/>
          <w:szCs w:val="23"/>
          <w:lang w:eastAsia="en-AU"/>
        </w:rPr>
        <w:t xml:space="preserve"> (UK, USA, Europe, Canada,</w:t>
      </w:r>
      <w:r w:rsidR="00B65186" w:rsidRPr="0002504C">
        <w:t xml:space="preserve"> </w:t>
      </w:r>
      <w:r w:rsidR="00B65186" w:rsidRPr="0002504C">
        <w:rPr>
          <w:rFonts w:asciiTheme="majorHAnsi" w:eastAsiaTheme="minorEastAsia" w:hAnsiTheme="majorHAnsi" w:cstheme="majorBidi"/>
          <w:sz w:val="23"/>
          <w:szCs w:val="23"/>
          <w:lang w:eastAsia="en-AU"/>
        </w:rPr>
        <w:t>New Zealand</w:t>
      </w:r>
      <w:r w:rsidR="00B65186" w:rsidRPr="64875FDB">
        <w:rPr>
          <w:rFonts w:asciiTheme="majorHAnsi" w:eastAsiaTheme="minorEastAsia" w:hAnsiTheme="majorHAnsi" w:cstheme="majorBidi"/>
          <w:sz w:val="23"/>
          <w:szCs w:val="23"/>
          <w:lang w:eastAsia="en-AU"/>
        </w:rPr>
        <w:t>). These include several initiatives from the UNESCO Creative Cities network, particularly those sited in similar-sized cities with comparable histories of traditional manufacturing, City of Design designations, and/or pockets of</w:t>
      </w:r>
      <w:r w:rsidR="00B65186" w:rsidRPr="64875FDB">
        <w:rPr>
          <w:rFonts w:asciiTheme="majorHAnsi" w:eastAsiaTheme="minorEastAsia" w:hAnsiTheme="majorHAnsi" w:cstheme="majorBidi"/>
          <w:sz w:val="23"/>
          <w:szCs w:val="23"/>
          <w:lang w:val="en-GB" w:eastAsia="en-AU"/>
        </w:rPr>
        <w:t xml:space="preserve"> disadvantage.</w:t>
      </w:r>
    </w:p>
    <w:p w14:paraId="1612C705" w14:textId="6969D1C5" w:rsidR="00420FA9" w:rsidRPr="00E27765" w:rsidRDefault="00420FA9" w:rsidP="005418BD">
      <w:pPr>
        <w:spacing w:after="0" w:line="276" w:lineRule="auto"/>
        <w:rPr>
          <w:rFonts w:asciiTheme="majorHAnsi" w:eastAsiaTheme="minorEastAsia" w:hAnsiTheme="majorHAnsi" w:cstheme="majorBidi"/>
          <w:sz w:val="16"/>
          <w:szCs w:val="16"/>
          <w:lang w:val="en-GB" w:eastAsia="en-AU"/>
        </w:rPr>
      </w:pPr>
    </w:p>
    <w:p w14:paraId="1BD0E056" w14:textId="7BC9AE70" w:rsidR="00420FA9" w:rsidRDefault="00D95573" w:rsidP="00420FA9">
      <w:pPr>
        <w:spacing w:after="0" w:line="276" w:lineRule="auto"/>
        <w:rPr>
          <w:rFonts w:eastAsiaTheme="minorEastAsia"/>
          <w:b/>
          <w:bCs/>
          <w:color w:val="2F5496" w:themeColor="accent1" w:themeShade="BF"/>
          <w:sz w:val="25"/>
          <w:szCs w:val="25"/>
          <w:lang w:val="en-GB" w:eastAsia="en-AU"/>
        </w:rPr>
      </w:pPr>
      <w:r>
        <w:rPr>
          <w:rFonts w:eastAsiaTheme="minorEastAsia"/>
          <w:b/>
          <w:bCs/>
          <w:color w:val="2F5496" w:themeColor="accent1" w:themeShade="BF"/>
          <w:sz w:val="25"/>
          <w:szCs w:val="25"/>
          <w:lang w:val="en-GB" w:eastAsia="en-AU"/>
        </w:rPr>
        <w:t>Practice Domain</w:t>
      </w:r>
      <w:r w:rsidR="00420FA9" w:rsidRPr="64875FDB">
        <w:rPr>
          <w:rFonts w:eastAsiaTheme="minorEastAsia"/>
          <w:b/>
          <w:bCs/>
          <w:color w:val="2F5496" w:themeColor="accent1" w:themeShade="BF"/>
          <w:sz w:val="25"/>
          <w:szCs w:val="25"/>
          <w:lang w:val="en-GB" w:eastAsia="en-AU"/>
        </w:rPr>
        <w:t>s</w:t>
      </w:r>
    </w:p>
    <w:p w14:paraId="373AFFC9" w14:textId="77777777" w:rsidR="00420FA9" w:rsidRPr="00324235" w:rsidRDefault="00420FA9" w:rsidP="00420FA9">
      <w:pPr>
        <w:spacing w:after="0" w:line="276" w:lineRule="auto"/>
        <w:rPr>
          <w:rFonts w:eastAsiaTheme="minorEastAsia"/>
          <w:b/>
          <w:bCs/>
          <w:sz w:val="16"/>
          <w:szCs w:val="16"/>
          <w:lang w:val="en-GB" w:eastAsia="en-AU"/>
        </w:rPr>
      </w:pPr>
    </w:p>
    <w:p w14:paraId="6D7392DD" w14:textId="5EF0994E" w:rsidR="00420FA9" w:rsidRDefault="00B10EFF" w:rsidP="00420FA9">
      <w:pPr>
        <w:spacing w:after="0" w:line="276" w:lineRule="auto"/>
        <w:rPr>
          <w:rFonts w:asciiTheme="majorHAnsi" w:hAnsiTheme="majorHAnsi" w:cstheme="majorBidi"/>
          <w:sz w:val="23"/>
          <w:szCs w:val="23"/>
        </w:rPr>
      </w:pPr>
      <w:r>
        <w:rPr>
          <w:rFonts w:asciiTheme="majorHAnsi" w:hAnsiTheme="majorHAnsi" w:cstheme="majorBidi"/>
          <w:sz w:val="23"/>
          <w:szCs w:val="23"/>
        </w:rPr>
        <w:t xml:space="preserve">In </w:t>
      </w:r>
      <w:r w:rsidR="003E0526">
        <w:rPr>
          <w:rFonts w:asciiTheme="majorHAnsi" w:hAnsiTheme="majorHAnsi" w:cstheme="majorBidi"/>
          <w:sz w:val="23"/>
          <w:szCs w:val="23"/>
        </w:rPr>
        <w:t>selecting</w:t>
      </w:r>
      <w:r w:rsidR="007C0D4B">
        <w:rPr>
          <w:rFonts w:asciiTheme="majorHAnsi" w:hAnsiTheme="majorHAnsi" w:cstheme="majorBidi"/>
          <w:sz w:val="23"/>
          <w:szCs w:val="23"/>
        </w:rPr>
        <w:t xml:space="preserve"> </w:t>
      </w:r>
      <w:r w:rsidR="00252FE4">
        <w:rPr>
          <w:rFonts w:asciiTheme="majorHAnsi" w:hAnsiTheme="majorHAnsi" w:cstheme="majorBidi"/>
          <w:sz w:val="23"/>
          <w:szCs w:val="23"/>
        </w:rPr>
        <w:t>initiatives to profile</w:t>
      </w:r>
      <w:r w:rsidR="007C0D4B">
        <w:rPr>
          <w:rFonts w:asciiTheme="majorHAnsi" w:hAnsiTheme="majorHAnsi" w:cstheme="majorBidi"/>
          <w:sz w:val="23"/>
          <w:szCs w:val="23"/>
        </w:rPr>
        <w:t>,</w:t>
      </w:r>
      <w:r>
        <w:rPr>
          <w:rFonts w:asciiTheme="majorHAnsi" w:hAnsiTheme="majorHAnsi" w:cstheme="majorBidi"/>
          <w:sz w:val="23"/>
          <w:szCs w:val="23"/>
        </w:rPr>
        <w:t xml:space="preserve"> we sought to</w:t>
      </w:r>
      <w:r w:rsidR="00420FA9" w:rsidRPr="64875FDB">
        <w:rPr>
          <w:rFonts w:asciiTheme="majorHAnsi" w:hAnsiTheme="majorHAnsi" w:cstheme="majorBidi"/>
          <w:sz w:val="23"/>
          <w:szCs w:val="23"/>
        </w:rPr>
        <w:t xml:space="preserve"> ensure coverage of the five designated </w:t>
      </w:r>
      <w:r w:rsidR="00D95573">
        <w:rPr>
          <w:rFonts w:asciiTheme="majorHAnsi" w:hAnsiTheme="majorHAnsi" w:cstheme="majorBidi"/>
          <w:sz w:val="23"/>
          <w:szCs w:val="23"/>
        </w:rPr>
        <w:t>Practice Domain</w:t>
      </w:r>
      <w:r w:rsidR="00420FA9" w:rsidRPr="64875FDB">
        <w:rPr>
          <w:rFonts w:asciiTheme="majorHAnsi" w:hAnsiTheme="majorHAnsi" w:cstheme="majorBidi"/>
          <w:sz w:val="23"/>
          <w:szCs w:val="23"/>
        </w:rPr>
        <w:t xml:space="preserve">s: Education, Housing, Liveability, Employment, Health and Wellbeing. While a “primary” domain could often be identified, individual programs were seldom </w:t>
      </w:r>
      <w:r w:rsidR="004B7153">
        <w:rPr>
          <w:rFonts w:asciiTheme="majorHAnsi" w:hAnsiTheme="majorHAnsi" w:cstheme="majorBidi"/>
          <w:sz w:val="23"/>
          <w:szCs w:val="23"/>
        </w:rPr>
        <w:t xml:space="preserve">neatly </w:t>
      </w:r>
      <w:r w:rsidR="00420FA9" w:rsidRPr="64875FDB">
        <w:rPr>
          <w:rFonts w:asciiTheme="majorHAnsi" w:hAnsiTheme="majorHAnsi" w:cstheme="majorBidi"/>
          <w:sz w:val="23"/>
          <w:szCs w:val="23"/>
        </w:rPr>
        <w:t xml:space="preserve">confined to a single </w:t>
      </w:r>
      <w:r w:rsidR="004B7153">
        <w:rPr>
          <w:rFonts w:asciiTheme="majorHAnsi" w:hAnsiTheme="majorHAnsi" w:cstheme="majorBidi"/>
          <w:sz w:val="23"/>
          <w:szCs w:val="23"/>
        </w:rPr>
        <w:t>silo</w:t>
      </w:r>
      <w:r w:rsidR="00420FA9" w:rsidRPr="64875FDB">
        <w:rPr>
          <w:rFonts w:asciiTheme="majorHAnsi" w:hAnsiTheme="majorHAnsi" w:cstheme="majorBidi"/>
          <w:sz w:val="23"/>
          <w:szCs w:val="23"/>
        </w:rPr>
        <w:t xml:space="preserve">; most spanned two or more </w:t>
      </w:r>
      <w:r w:rsidR="00D95573">
        <w:rPr>
          <w:rFonts w:asciiTheme="majorHAnsi" w:hAnsiTheme="majorHAnsi" w:cstheme="majorBidi"/>
          <w:sz w:val="23"/>
          <w:szCs w:val="23"/>
        </w:rPr>
        <w:t>Practice Domain</w:t>
      </w:r>
      <w:r w:rsidR="00420FA9" w:rsidRPr="64875FDB">
        <w:rPr>
          <w:rFonts w:asciiTheme="majorHAnsi" w:hAnsiTheme="majorHAnsi" w:cstheme="majorBidi"/>
          <w:sz w:val="23"/>
          <w:szCs w:val="23"/>
        </w:rPr>
        <w:t xml:space="preserve">s. </w:t>
      </w:r>
      <w:r w:rsidR="00623DB4">
        <w:rPr>
          <w:rFonts w:asciiTheme="majorHAnsi" w:hAnsiTheme="majorHAnsi" w:cstheme="majorBidi"/>
          <w:sz w:val="23"/>
          <w:szCs w:val="23"/>
        </w:rPr>
        <w:t>Many</w:t>
      </w:r>
      <w:r w:rsidR="00420FA9" w:rsidRPr="64875FDB">
        <w:rPr>
          <w:rFonts w:asciiTheme="majorHAnsi" w:hAnsiTheme="majorHAnsi" w:cstheme="majorBidi"/>
          <w:sz w:val="23"/>
          <w:szCs w:val="23"/>
        </w:rPr>
        <w:t xml:space="preserve"> initiatives </w:t>
      </w:r>
      <w:r w:rsidR="00F128A9">
        <w:rPr>
          <w:rFonts w:asciiTheme="majorHAnsi" w:hAnsiTheme="majorHAnsi" w:cstheme="majorBidi"/>
          <w:sz w:val="23"/>
          <w:szCs w:val="23"/>
        </w:rPr>
        <w:t>had a</w:t>
      </w:r>
      <w:r w:rsidR="00420FA9" w:rsidRPr="64875FDB">
        <w:rPr>
          <w:rFonts w:asciiTheme="majorHAnsi" w:hAnsiTheme="majorHAnsi" w:cstheme="majorBidi"/>
          <w:sz w:val="23"/>
          <w:szCs w:val="23"/>
        </w:rPr>
        <w:t xml:space="preserve"> </w:t>
      </w:r>
      <w:r w:rsidR="00623DB4">
        <w:rPr>
          <w:rFonts w:asciiTheme="majorHAnsi" w:hAnsiTheme="majorHAnsi" w:cstheme="majorBidi"/>
          <w:sz w:val="23"/>
          <w:szCs w:val="23"/>
        </w:rPr>
        <w:t xml:space="preserve">deliberate cross-sector </w:t>
      </w:r>
      <w:r w:rsidR="008E5724">
        <w:rPr>
          <w:rFonts w:asciiTheme="majorHAnsi" w:hAnsiTheme="majorHAnsi" w:cstheme="majorBidi"/>
          <w:sz w:val="23"/>
          <w:szCs w:val="23"/>
        </w:rPr>
        <w:t xml:space="preserve">or holistic </w:t>
      </w:r>
      <w:r w:rsidR="00623DB4">
        <w:rPr>
          <w:rFonts w:asciiTheme="majorHAnsi" w:hAnsiTheme="majorHAnsi" w:cstheme="majorBidi"/>
          <w:sz w:val="23"/>
          <w:szCs w:val="23"/>
        </w:rPr>
        <w:t xml:space="preserve">focus, </w:t>
      </w:r>
      <w:r w:rsidR="00882BB7">
        <w:rPr>
          <w:rFonts w:asciiTheme="majorHAnsi" w:hAnsiTheme="majorHAnsi" w:cstheme="majorBidi"/>
          <w:sz w:val="23"/>
          <w:szCs w:val="23"/>
        </w:rPr>
        <w:t>seeking</w:t>
      </w:r>
      <w:r w:rsidR="00420FA9" w:rsidRPr="64875FDB">
        <w:rPr>
          <w:rFonts w:asciiTheme="majorHAnsi" w:hAnsiTheme="majorHAnsi" w:cstheme="majorBidi"/>
          <w:sz w:val="23"/>
          <w:szCs w:val="23"/>
        </w:rPr>
        <w:t xml:space="preserve"> to improve community outcomes on multiple fronts, while some larger programs feature</w:t>
      </w:r>
      <w:r w:rsidR="001260A0">
        <w:rPr>
          <w:rFonts w:asciiTheme="majorHAnsi" w:hAnsiTheme="majorHAnsi" w:cstheme="majorBidi"/>
          <w:sz w:val="23"/>
          <w:szCs w:val="23"/>
        </w:rPr>
        <w:t>d several</w:t>
      </w:r>
      <w:r w:rsidR="00420FA9" w:rsidRPr="64875FDB">
        <w:rPr>
          <w:rFonts w:asciiTheme="majorHAnsi" w:hAnsiTheme="majorHAnsi" w:cstheme="majorBidi"/>
          <w:sz w:val="23"/>
          <w:szCs w:val="23"/>
        </w:rPr>
        <w:t xml:space="preserve"> nested sub-projects, each tailored to a specific target group, locality, </w:t>
      </w:r>
      <w:r w:rsidR="001260A0">
        <w:rPr>
          <w:rFonts w:asciiTheme="majorHAnsi" w:hAnsiTheme="majorHAnsi" w:cstheme="majorBidi"/>
          <w:sz w:val="23"/>
          <w:szCs w:val="23"/>
        </w:rPr>
        <w:t xml:space="preserve">issue, </w:t>
      </w:r>
      <w:r w:rsidR="00420FA9" w:rsidRPr="64875FDB">
        <w:rPr>
          <w:rFonts w:asciiTheme="majorHAnsi" w:hAnsiTheme="majorHAnsi" w:cstheme="majorBidi"/>
          <w:sz w:val="23"/>
          <w:szCs w:val="23"/>
        </w:rPr>
        <w:t>or set of goals.</w:t>
      </w:r>
    </w:p>
    <w:p w14:paraId="05D6281E" w14:textId="77777777" w:rsidR="00420FA9" w:rsidRPr="004A450F" w:rsidRDefault="00420FA9" w:rsidP="00420FA9">
      <w:pPr>
        <w:spacing w:after="0" w:line="276" w:lineRule="auto"/>
        <w:rPr>
          <w:rFonts w:asciiTheme="majorHAnsi" w:hAnsiTheme="majorHAnsi" w:cstheme="majorBidi"/>
          <w:sz w:val="16"/>
          <w:szCs w:val="16"/>
        </w:rPr>
      </w:pPr>
    </w:p>
    <w:p w14:paraId="03CDB5E2" w14:textId="3D221896" w:rsidR="00420FA9" w:rsidRDefault="00420FA9" w:rsidP="00420FA9">
      <w:pPr>
        <w:spacing w:after="0" w:line="276" w:lineRule="auto"/>
        <w:rPr>
          <w:rFonts w:asciiTheme="majorHAnsi" w:hAnsiTheme="majorHAnsi" w:cstheme="majorBidi"/>
          <w:sz w:val="23"/>
          <w:szCs w:val="23"/>
        </w:rPr>
      </w:pPr>
      <w:r w:rsidRPr="64875FDB">
        <w:rPr>
          <w:rFonts w:asciiTheme="majorHAnsi" w:hAnsiTheme="majorHAnsi" w:cstheme="majorBidi"/>
          <w:sz w:val="23"/>
          <w:szCs w:val="23"/>
        </w:rPr>
        <w:t>This blurring of categories reflects a shift toward more integrated, whole-of-government approaches to policy development and program delivery</w:t>
      </w:r>
      <w:r>
        <w:rPr>
          <w:rFonts w:asciiTheme="majorHAnsi" w:hAnsiTheme="majorHAnsi" w:cstheme="majorBidi"/>
          <w:sz w:val="23"/>
          <w:szCs w:val="23"/>
        </w:rPr>
        <w:t>;</w:t>
      </w:r>
      <w:r w:rsidRPr="00F76F66">
        <w:rPr>
          <w:rFonts w:asciiTheme="majorHAnsi" w:hAnsiTheme="majorHAnsi" w:cstheme="majorBidi"/>
          <w:sz w:val="23"/>
          <w:szCs w:val="23"/>
        </w:rPr>
        <w:t xml:space="preserve"> </w:t>
      </w:r>
      <w:r w:rsidRPr="2B116086">
        <w:rPr>
          <w:rFonts w:asciiTheme="majorHAnsi" w:hAnsiTheme="majorHAnsi" w:cstheme="majorBidi"/>
          <w:sz w:val="23"/>
          <w:szCs w:val="23"/>
        </w:rPr>
        <w:t xml:space="preserve">it also signals the value of </w:t>
      </w:r>
      <w:r>
        <w:rPr>
          <w:rFonts w:asciiTheme="majorHAnsi" w:hAnsiTheme="majorHAnsi" w:cstheme="majorBidi"/>
          <w:sz w:val="23"/>
          <w:szCs w:val="23"/>
        </w:rPr>
        <w:t xml:space="preserve">holistic research approaches, including </w:t>
      </w:r>
      <w:r w:rsidRPr="2B116086">
        <w:rPr>
          <w:rFonts w:asciiTheme="majorHAnsi" w:hAnsiTheme="majorHAnsi" w:cstheme="majorBidi"/>
          <w:sz w:val="23"/>
          <w:szCs w:val="23"/>
        </w:rPr>
        <w:t>systems thinking</w:t>
      </w:r>
      <w:r>
        <w:rPr>
          <w:rFonts w:asciiTheme="majorHAnsi" w:hAnsiTheme="majorHAnsi" w:cstheme="majorBidi"/>
          <w:sz w:val="23"/>
          <w:szCs w:val="23"/>
        </w:rPr>
        <w:t>, to</w:t>
      </w:r>
      <w:r w:rsidRPr="2B116086">
        <w:rPr>
          <w:rFonts w:asciiTheme="majorHAnsi" w:hAnsiTheme="majorHAnsi" w:cstheme="majorBidi"/>
          <w:sz w:val="23"/>
          <w:szCs w:val="23"/>
        </w:rPr>
        <w:t xml:space="preserve"> </w:t>
      </w:r>
      <w:r>
        <w:rPr>
          <w:rFonts w:asciiTheme="majorHAnsi" w:hAnsiTheme="majorHAnsi" w:cstheme="majorBidi"/>
          <w:sz w:val="23"/>
          <w:szCs w:val="23"/>
        </w:rPr>
        <w:t>investigate</w:t>
      </w:r>
      <w:r w:rsidRPr="2B116086">
        <w:rPr>
          <w:rFonts w:asciiTheme="majorHAnsi" w:hAnsiTheme="majorHAnsi" w:cstheme="majorBidi"/>
          <w:sz w:val="23"/>
          <w:szCs w:val="23"/>
        </w:rPr>
        <w:t xml:space="preserve"> the </w:t>
      </w:r>
      <w:r>
        <w:rPr>
          <w:rFonts w:asciiTheme="majorHAnsi" w:hAnsiTheme="majorHAnsi" w:cstheme="majorBidi"/>
          <w:sz w:val="23"/>
          <w:szCs w:val="23"/>
        </w:rPr>
        <w:t xml:space="preserve">multidimensional </w:t>
      </w:r>
      <w:r w:rsidRPr="2B116086">
        <w:rPr>
          <w:rFonts w:asciiTheme="majorHAnsi" w:hAnsiTheme="majorHAnsi" w:cstheme="majorBidi"/>
          <w:sz w:val="23"/>
          <w:szCs w:val="23"/>
        </w:rPr>
        <w:t>complexities of social disadvantage</w:t>
      </w:r>
      <w:r>
        <w:rPr>
          <w:rFonts w:asciiTheme="majorHAnsi" w:hAnsiTheme="majorHAnsi" w:cstheme="majorBidi"/>
          <w:sz w:val="23"/>
          <w:szCs w:val="23"/>
        </w:rPr>
        <w:t>. F</w:t>
      </w:r>
      <w:r w:rsidRPr="64875FDB">
        <w:rPr>
          <w:rFonts w:asciiTheme="majorHAnsi" w:hAnsiTheme="majorHAnsi" w:cstheme="majorBidi"/>
          <w:sz w:val="23"/>
          <w:szCs w:val="23"/>
        </w:rPr>
        <w:t>or th</w:t>
      </w:r>
      <w:r w:rsidR="004A7309">
        <w:rPr>
          <w:rFonts w:asciiTheme="majorHAnsi" w:hAnsiTheme="majorHAnsi" w:cstheme="majorBidi"/>
          <w:sz w:val="23"/>
          <w:szCs w:val="23"/>
        </w:rPr>
        <w:t>ese</w:t>
      </w:r>
      <w:r w:rsidRPr="64875FDB">
        <w:rPr>
          <w:rFonts w:asciiTheme="majorHAnsi" w:hAnsiTheme="majorHAnsi" w:cstheme="majorBidi"/>
          <w:sz w:val="23"/>
          <w:szCs w:val="23"/>
        </w:rPr>
        <w:t xml:space="preserve"> reason</w:t>
      </w:r>
      <w:r w:rsidR="004A7309">
        <w:rPr>
          <w:rFonts w:asciiTheme="majorHAnsi" w:hAnsiTheme="majorHAnsi" w:cstheme="majorBidi"/>
          <w:sz w:val="23"/>
          <w:szCs w:val="23"/>
        </w:rPr>
        <w:t>s</w:t>
      </w:r>
      <w:r w:rsidRPr="64875FDB">
        <w:rPr>
          <w:rFonts w:asciiTheme="majorHAnsi" w:hAnsiTheme="majorHAnsi" w:cstheme="majorBidi"/>
          <w:sz w:val="23"/>
          <w:szCs w:val="23"/>
        </w:rPr>
        <w:t xml:space="preserve">, the </w:t>
      </w:r>
      <w:r w:rsidR="00AD2DA5">
        <w:rPr>
          <w:rFonts w:asciiTheme="majorHAnsi" w:hAnsiTheme="majorHAnsi" w:cstheme="majorBidi"/>
          <w:sz w:val="23"/>
          <w:szCs w:val="23"/>
        </w:rPr>
        <w:t>Case Studies</w:t>
      </w:r>
      <w:r w:rsidRPr="64875FDB">
        <w:rPr>
          <w:rFonts w:asciiTheme="majorHAnsi" w:hAnsiTheme="majorHAnsi" w:cstheme="majorBidi"/>
          <w:sz w:val="23"/>
          <w:szCs w:val="23"/>
        </w:rPr>
        <w:t xml:space="preserve"> are not grouped together under discrete </w:t>
      </w:r>
      <w:r w:rsidR="00D95573">
        <w:rPr>
          <w:rFonts w:asciiTheme="majorHAnsi" w:hAnsiTheme="majorHAnsi" w:cstheme="majorBidi"/>
          <w:sz w:val="23"/>
          <w:szCs w:val="23"/>
        </w:rPr>
        <w:t>Practice Domain</w:t>
      </w:r>
      <w:r w:rsidRPr="64875FDB">
        <w:rPr>
          <w:rFonts w:asciiTheme="majorHAnsi" w:hAnsiTheme="majorHAnsi" w:cstheme="majorBidi"/>
          <w:sz w:val="23"/>
          <w:szCs w:val="23"/>
        </w:rPr>
        <w:t xml:space="preserve">s. Instead, each Case Study </w:t>
      </w:r>
      <w:r w:rsidR="004A450F">
        <w:rPr>
          <w:rFonts w:asciiTheme="majorHAnsi" w:hAnsiTheme="majorHAnsi" w:cstheme="majorBidi"/>
          <w:sz w:val="23"/>
          <w:szCs w:val="23"/>
        </w:rPr>
        <w:t>notes</w:t>
      </w:r>
      <w:r w:rsidRPr="64875FDB">
        <w:rPr>
          <w:rFonts w:asciiTheme="majorHAnsi" w:hAnsiTheme="majorHAnsi" w:cstheme="majorBidi"/>
          <w:sz w:val="23"/>
          <w:szCs w:val="23"/>
        </w:rPr>
        <w:t xml:space="preserve"> the </w:t>
      </w:r>
      <w:r w:rsidR="00D95573">
        <w:rPr>
          <w:rFonts w:asciiTheme="majorHAnsi" w:hAnsiTheme="majorHAnsi" w:cstheme="majorBidi"/>
          <w:sz w:val="23"/>
          <w:szCs w:val="23"/>
        </w:rPr>
        <w:t>Practice Domain</w:t>
      </w:r>
      <w:r w:rsidRPr="64875FDB">
        <w:rPr>
          <w:rFonts w:asciiTheme="majorHAnsi" w:hAnsiTheme="majorHAnsi" w:cstheme="majorBidi"/>
          <w:sz w:val="23"/>
          <w:szCs w:val="23"/>
        </w:rPr>
        <w:t xml:space="preserve">(s) most relevant to that </w:t>
      </w:r>
      <w:r w:rsidR="00651FF0">
        <w:rPr>
          <w:rFonts w:asciiTheme="majorHAnsi" w:hAnsiTheme="majorHAnsi" w:cstheme="majorBidi"/>
          <w:sz w:val="23"/>
          <w:szCs w:val="23"/>
        </w:rPr>
        <w:t>initiative</w:t>
      </w:r>
      <w:r w:rsidRPr="00AD2DA5">
        <w:rPr>
          <w:rFonts w:asciiTheme="majorHAnsi" w:hAnsiTheme="majorHAnsi" w:cstheme="majorBidi"/>
          <w:sz w:val="23"/>
          <w:szCs w:val="23"/>
        </w:rPr>
        <w:t xml:space="preserve">. We have also compiled </w:t>
      </w:r>
      <w:r w:rsidR="00E27765" w:rsidRPr="00AD2DA5">
        <w:rPr>
          <w:rFonts w:asciiTheme="majorHAnsi" w:hAnsiTheme="majorHAnsi" w:cstheme="majorBidi"/>
          <w:sz w:val="23"/>
          <w:szCs w:val="23"/>
        </w:rPr>
        <w:t>a</w:t>
      </w:r>
      <w:r w:rsidR="00D509E4" w:rsidRPr="00AD2DA5">
        <w:rPr>
          <w:rFonts w:asciiTheme="majorHAnsi" w:hAnsiTheme="majorHAnsi" w:cstheme="majorBidi"/>
          <w:sz w:val="23"/>
          <w:szCs w:val="23"/>
        </w:rPr>
        <w:t>n at-a-glance</w:t>
      </w:r>
      <w:r w:rsidR="00E27765" w:rsidRPr="00AD2DA5">
        <w:rPr>
          <w:rFonts w:asciiTheme="majorHAnsi" w:hAnsiTheme="majorHAnsi" w:cstheme="majorBidi"/>
          <w:sz w:val="23"/>
          <w:szCs w:val="23"/>
        </w:rPr>
        <w:t xml:space="preserve"> </w:t>
      </w:r>
      <w:r w:rsidRPr="00AD2DA5">
        <w:rPr>
          <w:rFonts w:asciiTheme="majorHAnsi" w:hAnsiTheme="majorHAnsi" w:cstheme="majorBidi"/>
          <w:sz w:val="23"/>
          <w:szCs w:val="23"/>
        </w:rPr>
        <w:t xml:space="preserve">matrix </w:t>
      </w:r>
      <w:r w:rsidR="00651FF0" w:rsidRPr="00AD2DA5">
        <w:rPr>
          <w:rFonts w:asciiTheme="majorHAnsi" w:hAnsiTheme="majorHAnsi" w:cstheme="majorBidi"/>
          <w:sz w:val="23"/>
          <w:szCs w:val="23"/>
        </w:rPr>
        <w:t>noting</w:t>
      </w:r>
      <w:r w:rsidR="00D509E4" w:rsidRPr="00AD2DA5">
        <w:rPr>
          <w:rFonts w:asciiTheme="majorHAnsi" w:hAnsiTheme="majorHAnsi" w:cstheme="majorBidi"/>
          <w:sz w:val="23"/>
          <w:szCs w:val="23"/>
        </w:rPr>
        <w:t xml:space="preserve"> the</w:t>
      </w:r>
      <w:r w:rsidRPr="00AD2DA5">
        <w:rPr>
          <w:rFonts w:asciiTheme="majorHAnsi" w:hAnsiTheme="majorHAnsi" w:cstheme="majorBidi"/>
          <w:sz w:val="23"/>
          <w:szCs w:val="23"/>
        </w:rPr>
        <w:t xml:space="preserve"> </w:t>
      </w:r>
      <w:r w:rsidR="00D95573">
        <w:rPr>
          <w:rFonts w:asciiTheme="majorHAnsi" w:hAnsiTheme="majorHAnsi" w:cstheme="majorBidi"/>
          <w:sz w:val="23"/>
          <w:szCs w:val="23"/>
        </w:rPr>
        <w:t>Practice Domain</w:t>
      </w:r>
      <w:r w:rsidRPr="00AD2DA5">
        <w:rPr>
          <w:rFonts w:asciiTheme="majorHAnsi" w:hAnsiTheme="majorHAnsi" w:cstheme="majorBidi"/>
          <w:sz w:val="23"/>
          <w:szCs w:val="23"/>
        </w:rPr>
        <w:t xml:space="preserve">s for all </w:t>
      </w:r>
      <w:r w:rsidR="00AD2DA5" w:rsidRPr="00AD2DA5">
        <w:rPr>
          <w:rFonts w:asciiTheme="majorHAnsi" w:hAnsiTheme="majorHAnsi" w:cstheme="majorBidi"/>
          <w:sz w:val="23"/>
          <w:szCs w:val="23"/>
        </w:rPr>
        <w:t>Case Studies</w:t>
      </w:r>
      <w:r w:rsidR="00E27765" w:rsidRPr="00AD2DA5">
        <w:rPr>
          <w:rFonts w:asciiTheme="majorHAnsi" w:hAnsiTheme="majorHAnsi" w:cstheme="majorBidi"/>
          <w:sz w:val="23"/>
          <w:szCs w:val="23"/>
        </w:rPr>
        <w:t xml:space="preserve"> </w:t>
      </w:r>
      <w:r w:rsidRPr="00AD2DA5">
        <w:rPr>
          <w:rFonts w:asciiTheme="majorHAnsi" w:hAnsiTheme="majorHAnsi" w:cstheme="majorBidi"/>
          <w:sz w:val="23"/>
          <w:szCs w:val="23"/>
        </w:rPr>
        <w:t>(see Appendix B, p.</w:t>
      </w:r>
      <w:r w:rsidR="00AD2DA5" w:rsidRPr="00AD2DA5">
        <w:rPr>
          <w:rFonts w:asciiTheme="majorHAnsi" w:hAnsiTheme="majorHAnsi" w:cstheme="majorBidi"/>
          <w:sz w:val="23"/>
          <w:szCs w:val="23"/>
        </w:rPr>
        <w:t>228</w:t>
      </w:r>
      <w:r w:rsidRPr="00AD2DA5">
        <w:rPr>
          <w:rFonts w:asciiTheme="majorHAnsi" w:hAnsiTheme="majorHAnsi" w:cstheme="majorBidi"/>
          <w:sz w:val="23"/>
          <w:szCs w:val="23"/>
        </w:rPr>
        <w:t>).</w:t>
      </w:r>
    </w:p>
    <w:p w14:paraId="7B9A5980" w14:textId="6B6887BF" w:rsidR="00E27765" w:rsidRPr="00E27765" w:rsidRDefault="00E27765" w:rsidP="00420FA9">
      <w:pPr>
        <w:spacing w:after="0" w:line="276" w:lineRule="auto"/>
        <w:rPr>
          <w:rFonts w:asciiTheme="majorHAnsi" w:hAnsiTheme="majorHAnsi" w:cstheme="majorBidi"/>
          <w:sz w:val="16"/>
          <w:szCs w:val="16"/>
        </w:rPr>
      </w:pPr>
    </w:p>
    <w:p w14:paraId="5E490F3E" w14:textId="77777777" w:rsidR="00E27765" w:rsidRDefault="00E27765" w:rsidP="00E27765">
      <w:pPr>
        <w:spacing w:after="0" w:line="276" w:lineRule="auto"/>
        <w:rPr>
          <w:rFonts w:eastAsiaTheme="minorEastAsia"/>
          <w:b/>
          <w:bCs/>
          <w:color w:val="2F5496" w:themeColor="accent1" w:themeShade="BF"/>
          <w:sz w:val="25"/>
          <w:szCs w:val="25"/>
          <w:lang w:eastAsia="en-AU"/>
        </w:rPr>
      </w:pPr>
      <w:r w:rsidRPr="64875FDB">
        <w:rPr>
          <w:rFonts w:eastAsiaTheme="minorEastAsia"/>
          <w:b/>
          <w:bCs/>
          <w:color w:val="2F5496" w:themeColor="accent1" w:themeShade="BF"/>
          <w:sz w:val="25"/>
          <w:szCs w:val="25"/>
          <w:lang w:eastAsia="en-AU"/>
        </w:rPr>
        <w:t>Level of Program Detail</w:t>
      </w:r>
    </w:p>
    <w:p w14:paraId="33DAA2D4" w14:textId="77777777" w:rsidR="00E27765" w:rsidRPr="00324235" w:rsidRDefault="00E27765" w:rsidP="00E27765">
      <w:pPr>
        <w:spacing w:after="0" w:line="276" w:lineRule="auto"/>
        <w:rPr>
          <w:rFonts w:eastAsiaTheme="minorEastAsia"/>
          <w:b/>
          <w:bCs/>
          <w:sz w:val="16"/>
          <w:szCs w:val="16"/>
          <w:lang w:eastAsia="en-AU"/>
        </w:rPr>
      </w:pPr>
    </w:p>
    <w:p w14:paraId="65A568AB" w14:textId="48EC8A2A" w:rsidR="00E27765" w:rsidRDefault="00E27765" w:rsidP="00E27765">
      <w:pPr>
        <w:spacing w:after="0" w:line="276" w:lineRule="auto"/>
        <w:rPr>
          <w:rFonts w:asciiTheme="majorHAnsi" w:eastAsiaTheme="minorEastAsia" w:hAnsiTheme="majorHAnsi" w:cstheme="majorBidi"/>
          <w:sz w:val="23"/>
          <w:szCs w:val="23"/>
          <w:lang w:val="en-GB" w:eastAsia="en-AU"/>
        </w:rPr>
      </w:pPr>
      <w:r w:rsidRPr="64875FDB">
        <w:rPr>
          <w:rFonts w:asciiTheme="majorHAnsi" w:eastAsiaTheme="minorEastAsia" w:hAnsiTheme="majorHAnsi" w:cstheme="majorBidi"/>
          <w:sz w:val="23"/>
          <w:szCs w:val="23"/>
          <w:lang w:eastAsia="en-AU"/>
        </w:rPr>
        <w:t xml:space="preserve">Each Case Study </w:t>
      </w:r>
      <w:r>
        <w:rPr>
          <w:rFonts w:asciiTheme="majorHAnsi" w:eastAsiaTheme="minorEastAsia" w:hAnsiTheme="majorHAnsi" w:cstheme="majorBidi"/>
          <w:sz w:val="23"/>
          <w:szCs w:val="23"/>
          <w:lang w:eastAsia="en-AU"/>
        </w:rPr>
        <w:t xml:space="preserve">presents </w:t>
      </w:r>
      <w:r w:rsidRPr="64875FDB">
        <w:rPr>
          <w:rFonts w:asciiTheme="majorHAnsi" w:eastAsiaTheme="minorEastAsia" w:hAnsiTheme="majorHAnsi" w:cstheme="majorBidi"/>
          <w:sz w:val="23"/>
          <w:szCs w:val="23"/>
          <w:lang w:eastAsia="en-AU"/>
        </w:rPr>
        <w:t>a succinct summary and analysis</w:t>
      </w:r>
      <w:r>
        <w:rPr>
          <w:rFonts w:asciiTheme="majorHAnsi" w:eastAsiaTheme="minorEastAsia" w:hAnsiTheme="majorHAnsi" w:cstheme="majorBidi"/>
          <w:sz w:val="23"/>
          <w:szCs w:val="23"/>
          <w:lang w:eastAsia="en-AU"/>
        </w:rPr>
        <w:t xml:space="preserve"> of </w:t>
      </w:r>
      <w:r w:rsidR="000B25B7">
        <w:rPr>
          <w:rFonts w:asciiTheme="majorHAnsi" w:eastAsiaTheme="minorEastAsia" w:hAnsiTheme="majorHAnsi" w:cstheme="majorBidi"/>
          <w:sz w:val="23"/>
          <w:szCs w:val="23"/>
          <w:lang w:eastAsia="en-AU"/>
        </w:rPr>
        <w:t>a place-based</w:t>
      </w:r>
      <w:r>
        <w:rPr>
          <w:rFonts w:asciiTheme="majorHAnsi" w:eastAsiaTheme="minorEastAsia" w:hAnsiTheme="majorHAnsi" w:cstheme="majorBidi"/>
          <w:sz w:val="23"/>
          <w:szCs w:val="23"/>
          <w:lang w:eastAsia="en-AU"/>
        </w:rPr>
        <w:t xml:space="preserve"> initiative</w:t>
      </w:r>
      <w:r w:rsidRPr="64875FDB">
        <w:rPr>
          <w:rFonts w:asciiTheme="majorHAnsi" w:eastAsiaTheme="minorEastAsia" w:hAnsiTheme="majorHAnsi" w:cstheme="majorBidi"/>
          <w:sz w:val="23"/>
          <w:szCs w:val="23"/>
          <w:lang w:eastAsia="en-AU"/>
        </w:rPr>
        <w:t xml:space="preserve">, </w:t>
      </w:r>
      <w:r w:rsidR="00F72E45">
        <w:rPr>
          <w:rFonts w:asciiTheme="majorHAnsi" w:eastAsiaTheme="minorEastAsia" w:hAnsiTheme="majorHAnsi" w:cstheme="majorBidi"/>
          <w:sz w:val="23"/>
          <w:szCs w:val="23"/>
          <w:lang w:eastAsia="en-AU"/>
        </w:rPr>
        <w:t xml:space="preserve">and </w:t>
      </w:r>
      <w:r w:rsidRPr="64875FDB">
        <w:rPr>
          <w:rFonts w:asciiTheme="majorHAnsi" w:eastAsiaTheme="minorEastAsia" w:hAnsiTheme="majorHAnsi" w:cstheme="majorBidi"/>
          <w:sz w:val="23"/>
          <w:szCs w:val="23"/>
          <w:lang w:eastAsia="en-AU"/>
        </w:rPr>
        <w:t>cover</w:t>
      </w:r>
      <w:r w:rsidR="00F72E45">
        <w:rPr>
          <w:rFonts w:asciiTheme="majorHAnsi" w:eastAsiaTheme="minorEastAsia" w:hAnsiTheme="majorHAnsi" w:cstheme="majorBidi"/>
          <w:sz w:val="23"/>
          <w:szCs w:val="23"/>
          <w:lang w:eastAsia="en-AU"/>
        </w:rPr>
        <w:t>s</w:t>
      </w:r>
      <w:r w:rsidRPr="64875FDB">
        <w:rPr>
          <w:rFonts w:asciiTheme="majorHAnsi" w:eastAsiaTheme="minorEastAsia" w:hAnsiTheme="majorHAnsi" w:cstheme="majorBidi"/>
          <w:sz w:val="23"/>
          <w:szCs w:val="23"/>
          <w:lang w:eastAsia="en-AU"/>
        </w:rPr>
        <w:t xml:space="preserve"> the following details: name and type</w:t>
      </w:r>
      <w:r w:rsidR="004339CD">
        <w:rPr>
          <w:rFonts w:asciiTheme="majorHAnsi" w:eastAsiaTheme="minorEastAsia" w:hAnsiTheme="majorHAnsi" w:cstheme="majorBidi"/>
          <w:sz w:val="23"/>
          <w:szCs w:val="23"/>
          <w:lang w:eastAsia="en-AU"/>
        </w:rPr>
        <w:t xml:space="preserve"> of program</w:t>
      </w:r>
      <w:r w:rsidRPr="64875FDB">
        <w:rPr>
          <w:rFonts w:asciiTheme="majorHAnsi" w:eastAsiaTheme="minorEastAsia" w:hAnsiTheme="majorHAnsi" w:cstheme="majorBidi"/>
          <w:sz w:val="23"/>
          <w:szCs w:val="23"/>
          <w:lang w:eastAsia="en-AU"/>
        </w:rPr>
        <w:t xml:space="preserve">; dates of operation; </w:t>
      </w:r>
      <w:r>
        <w:rPr>
          <w:rFonts w:asciiTheme="majorHAnsi" w:eastAsiaTheme="minorEastAsia" w:hAnsiTheme="majorHAnsi" w:cstheme="majorBidi"/>
          <w:sz w:val="23"/>
          <w:szCs w:val="23"/>
          <w:lang w:eastAsia="en-AU"/>
        </w:rPr>
        <w:t xml:space="preserve">main and secondary </w:t>
      </w:r>
      <w:r w:rsidR="00D95573">
        <w:rPr>
          <w:rFonts w:asciiTheme="majorHAnsi" w:eastAsiaTheme="minorEastAsia" w:hAnsiTheme="majorHAnsi" w:cstheme="majorBidi"/>
          <w:sz w:val="23"/>
          <w:szCs w:val="23"/>
          <w:lang w:eastAsia="en-AU"/>
        </w:rPr>
        <w:t>Practice Domain</w:t>
      </w:r>
      <w:r w:rsidRPr="64875FDB">
        <w:rPr>
          <w:rFonts w:asciiTheme="majorHAnsi" w:eastAsiaTheme="minorEastAsia" w:hAnsiTheme="majorHAnsi" w:cstheme="majorBidi"/>
          <w:sz w:val="23"/>
          <w:szCs w:val="23"/>
          <w:lang w:eastAsia="en-AU"/>
        </w:rPr>
        <w:t>s; location (including a brief profile of area, noting any relevant disadvantage indicators, community makeup, historical context, and place characteristics); program aims and target group; approach and method</w:t>
      </w:r>
      <w:r w:rsidR="00C6260A">
        <w:rPr>
          <w:rFonts w:asciiTheme="majorHAnsi" w:eastAsiaTheme="minorEastAsia" w:hAnsiTheme="majorHAnsi" w:cstheme="majorBidi"/>
          <w:sz w:val="23"/>
          <w:szCs w:val="23"/>
          <w:lang w:eastAsia="en-AU"/>
        </w:rPr>
        <w:t>s</w:t>
      </w:r>
      <w:r w:rsidRPr="64875FDB">
        <w:rPr>
          <w:rFonts w:asciiTheme="majorHAnsi" w:eastAsiaTheme="minorEastAsia" w:hAnsiTheme="majorHAnsi" w:cstheme="majorBidi"/>
          <w:sz w:val="23"/>
          <w:szCs w:val="23"/>
          <w:lang w:eastAsia="en-AU"/>
        </w:rPr>
        <w:t xml:space="preserve"> (</w:t>
      </w:r>
      <w:r w:rsidR="004339CD">
        <w:rPr>
          <w:rFonts w:asciiTheme="majorHAnsi" w:eastAsiaTheme="minorEastAsia" w:hAnsiTheme="majorHAnsi" w:cstheme="majorBidi"/>
          <w:sz w:val="23"/>
          <w:szCs w:val="23"/>
          <w:lang w:eastAsia="en-AU"/>
        </w:rPr>
        <w:t>e.g.</w:t>
      </w:r>
      <w:r>
        <w:rPr>
          <w:rFonts w:asciiTheme="majorHAnsi" w:eastAsiaTheme="minorEastAsia" w:hAnsiTheme="majorHAnsi" w:cstheme="majorBidi"/>
          <w:sz w:val="23"/>
          <w:szCs w:val="23"/>
          <w:lang w:eastAsia="en-AU"/>
        </w:rPr>
        <w:t xml:space="preserve"> </w:t>
      </w:r>
      <w:r w:rsidRPr="64875FDB">
        <w:rPr>
          <w:rFonts w:asciiTheme="majorHAnsi" w:eastAsiaTheme="minorEastAsia" w:hAnsiTheme="majorHAnsi" w:cstheme="majorBidi"/>
          <w:sz w:val="23"/>
          <w:szCs w:val="23"/>
          <w:lang w:eastAsia="en-AU"/>
        </w:rPr>
        <w:t xml:space="preserve">community-led, </w:t>
      </w:r>
      <w:r w:rsidR="00C57E0B" w:rsidRPr="64875FDB">
        <w:rPr>
          <w:rFonts w:asciiTheme="majorHAnsi" w:eastAsiaTheme="minorEastAsia" w:hAnsiTheme="majorHAnsi" w:cstheme="majorBidi"/>
          <w:sz w:val="23"/>
          <w:szCs w:val="23"/>
          <w:lang w:eastAsia="en-AU"/>
        </w:rPr>
        <w:t xml:space="preserve">co-design, </w:t>
      </w:r>
      <w:r w:rsidRPr="64875FDB">
        <w:rPr>
          <w:rFonts w:asciiTheme="majorHAnsi" w:eastAsiaTheme="minorEastAsia" w:hAnsiTheme="majorHAnsi" w:cstheme="majorBidi"/>
          <w:sz w:val="23"/>
          <w:szCs w:val="23"/>
          <w:lang w:eastAsia="en-AU"/>
        </w:rPr>
        <w:t>grant-based, outreach, mentoring, etc.); timeframe and scale (origins, geographic area, participant numbers, evolution over time); highlights (key activities</w:t>
      </w:r>
      <w:r w:rsidRPr="00E29606">
        <w:rPr>
          <w:rFonts w:asciiTheme="majorHAnsi" w:eastAsiaTheme="minorEastAsia" w:hAnsiTheme="majorHAnsi" w:cstheme="majorBidi"/>
          <w:sz w:val="23"/>
          <w:szCs w:val="23"/>
          <w:lang w:eastAsia="en-AU"/>
        </w:rPr>
        <w:t>, innovative</w:t>
      </w:r>
      <w:r w:rsidRPr="64875FDB">
        <w:rPr>
          <w:rFonts w:asciiTheme="majorHAnsi" w:eastAsiaTheme="minorEastAsia" w:hAnsiTheme="majorHAnsi" w:cstheme="majorBidi"/>
          <w:sz w:val="23"/>
          <w:szCs w:val="23"/>
          <w:lang w:eastAsia="en-AU"/>
        </w:rPr>
        <w:t xml:space="preserve"> or unique aspects); funding (model, amount, source, partners); structure and governance (sub-projects, oversight, partnerships, policy context); </w:t>
      </w:r>
      <w:r w:rsidRPr="46382DC0">
        <w:rPr>
          <w:rFonts w:asciiTheme="majorHAnsi" w:eastAsiaTheme="minorEastAsia" w:hAnsiTheme="majorHAnsi" w:cstheme="majorBidi"/>
          <w:sz w:val="23"/>
          <w:szCs w:val="23"/>
          <w:lang w:eastAsia="en-AU"/>
        </w:rPr>
        <w:t xml:space="preserve">impact and </w:t>
      </w:r>
      <w:r w:rsidRPr="64875FDB">
        <w:rPr>
          <w:rFonts w:asciiTheme="majorHAnsi" w:eastAsiaTheme="minorEastAsia" w:hAnsiTheme="majorHAnsi" w:cstheme="majorBidi"/>
          <w:sz w:val="23"/>
          <w:szCs w:val="23"/>
          <w:lang w:val="en-GB" w:eastAsia="en-AU"/>
        </w:rPr>
        <w:t>outcomes (</w:t>
      </w:r>
      <w:r w:rsidRPr="00F13418">
        <w:rPr>
          <w:rFonts w:asciiTheme="majorHAnsi" w:eastAsiaTheme="minorEastAsia" w:hAnsiTheme="majorHAnsi" w:cstheme="majorBidi"/>
          <w:sz w:val="23"/>
          <w:szCs w:val="23"/>
          <w:lang w:val="en-GB" w:eastAsia="en-AU"/>
        </w:rPr>
        <w:t>including</w:t>
      </w:r>
      <w:r w:rsidRPr="64875FDB">
        <w:rPr>
          <w:rFonts w:asciiTheme="majorHAnsi" w:eastAsiaTheme="minorEastAsia" w:hAnsiTheme="majorHAnsi" w:cstheme="majorBidi"/>
          <w:sz w:val="23"/>
          <w:szCs w:val="23"/>
          <w:lang w:val="en-GB" w:eastAsia="en-AU"/>
        </w:rPr>
        <w:t xml:space="preserve"> whether </w:t>
      </w:r>
      <w:r w:rsidRPr="00F13418">
        <w:rPr>
          <w:rFonts w:asciiTheme="majorHAnsi" w:eastAsiaTheme="minorEastAsia" w:hAnsiTheme="majorHAnsi" w:cstheme="majorBidi"/>
          <w:sz w:val="23"/>
          <w:szCs w:val="23"/>
          <w:lang w:val="en-GB" w:eastAsia="en-AU"/>
        </w:rPr>
        <w:t>an</w:t>
      </w:r>
      <w:r w:rsidRPr="64875FDB">
        <w:rPr>
          <w:rFonts w:asciiTheme="majorHAnsi" w:eastAsiaTheme="minorEastAsia" w:hAnsiTheme="majorHAnsi" w:cstheme="majorBidi"/>
          <w:sz w:val="23"/>
          <w:szCs w:val="23"/>
          <w:lang w:eastAsia="en-AU"/>
        </w:rPr>
        <w:t xml:space="preserve"> </w:t>
      </w:r>
      <w:r w:rsidRPr="64875FDB">
        <w:rPr>
          <w:rFonts w:asciiTheme="majorHAnsi" w:eastAsiaTheme="minorEastAsia" w:hAnsiTheme="majorHAnsi" w:cstheme="majorBidi"/>
          <w:sz w:val="23"/>
          <w:szCs w:val="23"/>
          <w:lang w:val="en-GB" w:eastAsia="en-AU"/>
        </w:rPr>
        <w:t>evaluation has been done;</w:t>
      </w:r>
      <w:r w:rsidRPr="64875FDB">
        <w:rPr>
          <w:rFonts w:asciiTheme="majorHAnsi" w:eastAsiaTheme="minorEastAsia" w:hAnsiTheme="majorHAnsi" w:cstheme="majorBidi"/>
          <w:sz w:val="23"/>
          <w:szCs w:val="23"/>
          <w:lang w:eastAsia="en-AU"/>
        </w:rPr>
        <w:t xml:space="preserve"> other indicators of effectiveness</w:t>
      </w:r>
      <w:r w:rsidR="00A479A4">
        <w:rPr>
          <w:rFonts w:asciiTheme="majorHAnsi" w:eastAsiaTheme="minorEastAsia" w:hAnsiTheme="majorHAnsi" w:cstheme="majorBidi"/>
          <w:sz w:val="23"/>
          <w:szCs w:val="23"/>
          <w:lang w:eastAsia="en-AU"/>
        </w:rPr>
        <w:t>,</w:t>
      </w:r>
      <w:r w:rsidRPr="64875FDB">
        <w:rPr>
          <w:rFonts w:asciiTheme="majorHAnsi" w:eastAsiaTheme="minorEastAsia" w:hAnsiTheme="majorHAnsi" w:cstheme="majorBidi"/>
          <w:sz w:val="23"/>
          <w:szCs w:val="23"/>
          <w:lang w:eastAsia="en-AU"/>
        </w:rPr>
        <w:t xml:space="preserve"> success,</w:t>
      </w:r>
      <w:r w:rsidR="00A479A4">
        <w:rPr>
          <w:rFonts w:asciiTheme="majorHAnsi" w:eastAsiaTheme="minorEastAsia" w:hAnsiTheme="majorHAnsi" w:cstheme="majorBidi"/>
          <w:sz w:val="23"/>
          <w:szCs w:val="23"/>
          <w:lang w:eastAsia="en-AU"/>
        </w:rPr>
        <w:t xml:space="preserve"> or benefits to participants,</w:t>
      </w:r>
      <w:r w:rsidRPr="64875FDB">
        <w:rPr>
          <w:rFonts w:asciiTheme="majorHAnsi" w:eastAsiaTheme="minorEastAsia" w:hAnsiTheme="majorHAnsi" w:cstheme="majorBidi"/>
          <w:sz w:val="23"/>
          <w:szCs w:val="23"/>
          <w:lang w:eastAsia="en-AU"/>
        </w:rPr>
        <w:t xml:space="preserve"> where </w:t>
      </w:r>
      <w:r w:rsidR="00DD0FDA">
        <w:rPr>
          <w:rFonts w:asciiTheme="majorHAnsi" w:eastAsiaTheme="minorEastAsia" w:hAnsiTheme="majorHAnsi" w:cstheme="majorBidi"/>
          <w:sz w:val="23"/>
          <w:szCs w:val="23"/>
          <w:lang w:eastAsia="en-AU"/>
        </w:rPr>
        <w:t xml:space="preserve">data </w:t>
      </w:r>
      <w:r w:rsidR="00F72E45">
        <w:rPr>
          <w:rFonts w:asciiTheme="majorHAnsi" w:eastAsiaTheme="minorEastAsia" w:hAnsiTheme="majorHAnsi" w:cstheme="majorBidi"/>
          <w:sz w:val="23"/>
          <w:szCs w:val="23"/>
          <w:lang w:eastAsia="en-AU"/>
        </w:rPr>
        <w:t>wa</w:t>
      </w:r>
      <w:r w:rsidR="00DD0FDA">
        <w:rPr>
          <w:rFonts w:asciiTheme="majorHAnsi" w:eastAsiaTheme="minorEastAsia" w:hAnsiTheme="majorHAnsi" w:cstheme="majorBidi"/>
          <w:sz w:val="23"/>
          <w:szCs w:val="23"/>
          <w:lang w:eastAsia="en-AU"/>
        </w:rPr>
        <w:t xml:space="preserve">s </w:t>
      </w:r>
      <w:r w:rsidRPr="64875FDB">
        <w:rPr>
          <w:rFonts w:asciiTheme="majorHAnsi" w:eastAsiaTheme="minorEastAsia" w:hAnsiTheme="majorHAnsi" w:cstheme="majorBidi"/>
          <w:sz w:val="23"/>
          <w:szCs w:val="23"/>
          <w:lang w:eastAsia="en-AU"/>
        </w:rPr>
        <w:t>available); success factors (</w:t>
      </w:r>
      <w:r w:rsidR="004339CD">
        <w:rPr>
          <w:rFonts w:asciiTheme="majorHAnsi" w:eastAsiaTheme="minorEastAsia" w:hAnsiTheme="majorHAnsi" w:cstheme="majorBidi"/>
          <w:sz w:val="23"/>
          <w:szCs w:val="23"/>
          <w:lang w:val="en-GB" w:eastAsia="en-AU"/>
        </w:rPr>
        <w:t>aspects</w:t>
      </w:r>
      <w:r w:rsidRPr="64875FDB">
        <w:rPr>
          <w:rFonts w:asciiTheme="majorHAnsi" w:eastAsiaTheme="minorEastAsia" w:hAnsiTheme="majorHAnsi" w:cstheme="majorBidi"/>
          <w:sz w:val="23"/>
          <w:szCs w:val="23"/>
          <w:lang w:val="en-GB" w:eastAsia="en-AU"/>
        </w:rPr>
        <w:t xml:space="preserve"> that contributed to </w:t>
      </w:r>
      <w:r w:rsidR="00B0374D">
        <w:rPr>
          <w:rFonts w:asciiTheme="majorHAnsi" w:eastAsiaTheme="minorEastAsia" w:hAnsiTheme="majorHAnsi" w:cstheme="majorBidi"/>
          <w:sz w:val="23"/>
          <w:szCs w:val="23"/>
          <w:lang w:val="en-GB" w:eastAsia="en-AU"/>
        </w:rPr>
        <w:t>positive outcomes</w:t>
      </w:r>
      <w:r w:rsidR="00344753" w:rsidRPr="00344753">
        <w:rPr>
          <w:rFonts w:asciiTheme="majorHAnsi" w:eastAsiaTheme="minorEastAsia" w:hAnsiTheme="majorHAnsi" w:cstheme="majorBidi"/>
          <w:sz w:val="23"/>
          <w:szCs w:val="23"/>
          <w:lang w:val="en-GB" w:eastAsia="en-AU"/>
        </w:rPr>
        <w:t xml:space="preserve"> </w:t>
      </w:r>
      <w:r w:rsidR="00344753">
        <w:rPr>
          <w:rFonts w:asciiTheme="majorHAnsi" w:eastAsiaTheme="minorEastAsia" w:hAnsiTheme="majorHAnsi" w:cstheme="majorBidi"/>
          <w:sz w:val="23"/>
          <w:szCs w:val="23"/>
          <w:lang w:val="en-GB" w:eastAsia="en-AU"/>
        </w:rPr>
        <w:t>or program</w:t>
      </w:r>
      <w:r w:rsidR="00344753" w:rsidRPr="64875FDB">
        <w:rPr>
          <w:rFonts w:asciiTheme="majorHAnsi" w:eastAsiaTheme="minorEastAsia" w:hAnsiTheme="majorHAnsi" w:cstheme="majorBidi"/>
          <w:sz w:val="23"/>
          <w:szCs w:val="23"/>
          <w:lang w:val="en-GB" w:eastAsia="en-AU"/>
        </w:rPr>
        <w:t xml:space="preserve"> success</w:t>
      </w:r>
      <w:r w:rsidRPr="64875FDB">
        <w:rPr>
          <w:rFonts w:asciiTheme="majorHAnsi" w:eastAsiaTheme="minorEastAsia" w:hAnsiTheme="majorHAnsi" w:cstheme="majorBidi"/>
          <w:sz w:val="23"/>
          <w:szCs w:val="23"/>
          <w:lang w:val="en-GB" w:eastAsia="en-AU"/>
        </w:rPr>
        <w:t>)</w:t>
      </w:r>
      <w:r w:rsidR="00B0374D">
        <w:rPr>
          <w:rFonts w:asciiTheme="majorHAnsi" w:eastAsiaTheme="minorEastAsia" w:hAnsiTheme="majorHAnsi" w:cstheme="majorBidi"/>
          <w:sz w:val="23"/>
          <w:szCs w:val="23"/>
          <w:lang w:val="en-GB" w:eastAsia="en-AU"/>
        </w:rPr>
        <w:t>.</w:t>
      </w:r>
    </w:p>
    <w:p w14:paraId="4A8AEFE3" w14:textId="77777777" w:rsidR="00B65186" w:rsidRPr="004A564B" w:rsidRDefault="00B65186" w:rsidP="00B65186">
      <w:pPr>
        <w:spacing w:after="0" w:line="276" w:lineRule="auto"/>
        <w:rPr>
          <w:rFonts w:asciiTheme="majorHAnsi" w:hAnsiTheme="majorHAnsi" w:cstheme="majorBidi"/>
          <w:sz w:val="16"/>
          <w:szCs w:val="16"/>
        </w:rPr>
      </w:pPr>
    </w:p>
    <w:p w14:paraId="5D9584EF" w14:textId="2450A964" w:rsidR="001902AC" w:rsidRPr="003E2342" w:rsidRDefault="001902AC" w:rsidP="001902AC">
      <w:pPr>
        <w:spacing w:after="0" w:line="276" w:lineRule="auto"/>
        <w:rPr>
          <w:rFonts w:cstheme="minorHAnsi"/>
          <w:b/>
          <w:bCs/>
          <w:color w:val="2F5496" w:themeColor="accent1" w:themeShade="BF"/>
          <w:sz w:val="28"/>
          <w:szCs w:val="28"/>
        </w:rPr>
      </w:pPr>
      <w:r>
        <w:rPr>
          <w:rFonts w:cstheme="minorHAnsi"/>
          <w:b/>
          <w:bCs/>
          <w:color w:val="2F5496" w:themeColor="accent1" w:themeShade="BF"/>
          <w:sz w:val="28"/>
          <w:szCs w:val="28"/>
        </w:rPr>
        <w:lastRenderedPageBreak/>
        <w:t>5.</w:t>
      </w:r>
      <w:r w:rsidR="007D66C4">
        <w:rPr>
          <w:rFonts w:cstheme="minorHAnsi"/>
          <w:b/>
          <w:bCs/>
          <w:color w:val="2F5496" w:themeColor="accent1" w:themeShade="BF"/>
          <w:sz w:val="28"/>
          <w:szCs w:val="28"/>
        </w:rPr>
        <w:t>2</w:t>
      </w:r>
      <w:r>
        <w:rPr>
          <w:rFonts w:cstheme="minorHAnsi"/>
          <w:b/>
          <w:bCs/>
          <w:color w:val="2F5496" w:themeColor="accent1" w:themeShade="BF"/>
          <w:sz w:val="28"/>
          <w:szCs w:val="28"/>
        </w:rPr>
        <w:t xml:space="preserve"> </w:t>
      </w:r>
      <w:r w:rsidRPr="003E2342">
        <w:rPr>
          <w:rFonts w:cstheme="minorHAnsi"/>
          <w:b/>
          <w:bCs/>
          <w:color w:val="2F5496" w:themeColor="accent1" w:themeShade="BF"/>
          <w:sz w:val="28"/>
          <w:szCs w:val="28"/>
        </w:rPr>
        <w:t>Case Study Selection and Analysis</w:t>
      </w:r>
    </w:p>
    <w:p w14:paraId="1BAE736C" w14:textId="77777777" w:rsidR="00246A14" w:rsidRPr="00C86DF2" w:rsidRDefault="00246A14" w:rsidP="00246A14">
      <w:pPr>
        <w:spacing w:after="0" w:line="276" w:lineRule="auto"/>
        <w:rPr>
          <w:rFonts w:eastAsiaTheme="minorEastAsia"/>
          <w:b/>
          <w:bCs/>
          <w:sz w:val="12"/>
          <w:szCs w:val="12"/>
          <w:lang w:eastAsia="en-AU"/>
        </w:rPr>
      </w:pPr>
    </w:p>
    <w:p w14:paraId="0E8EB361" w14:textId="5BE1A189" w:rsidR="00246A14" w:rsidRDefault="00246A14" w:rsidP="00246A14">
      <w:pPr>
        <w:spacing w:after="0" w:line="276" w:lineRule="auto"/>
        <w:rPr>
          <w:rFonts w:asciiTheme="majorHAnsi" w:eastAsiaTheme="minorEastAsia" w:hAnsiTheme="majorHAnsi" w:cstheme="majorBidi"/>
          <w:sz w:val="23"/>
          <w:szCs w:val="23"/>
          <w:lang w:eastAsia="en-AU"/>
        </w:rPr>
      </w:pPr>
      <w:r w:rsidRPr="382D70E8">
        <w:rPr>
          <w:rFonts w:asciiTheme="majorHAnsi" w:eastAsiaTheme="minorEastAsia" w:hAnsiTheme="majorHAnsi" w:cstheme="majorBidi"/>
          <w:sz w:val="23"/>
          <w:szCs w:val="23"/>
          <w:lang w:eastAsia="en-AU"/>
        </w:rPr>
        <w:t>Programs were considered for inclusion based on</w:t>
      </w:r>
      <w:r w:rsidR="00845C45">
        <w:rPr>
          <w:rFonts w:asciiTheme="majorHAnsi" w:eastAsiaTheme="minorEastAsia" w:hAnsiTheme="majorHAnsi" w:cstheme="majorBidi"/>
          <w:sz w:val="23"/>
          <w:szCs w:val="23"/>
          <w:lang w:eastAsia="en-AU"/>
        </w:rPr>
        <w:t xml:space="preserve"> </w:t>
      </w:r>
      <w:r>
        <w:rPr>
          <w:rFonts w:asciiTheme="majorHAnsi" w:eastAsiaTheme="minorEastAsia" w:hAnsiTheme="majorHAnsi" w:cstheme="majorBidi"/>
          <w:sz w:val="23"/>
          <w:szCs w:val="23"/>
          <w:lang w:eastAsia="en-AU"/>
        </w:rPr>
        <w:t>criteria</w:t>
      </w:r>
      <w:r w:rsidRPr="382D70E8">
        <w:rPr>
          <w:rFonts w:asciiTheme="majorHAnsi" w:eastAsiaTheme="minorEastAsia" w:hAnsiTheme="majorHAnsi" w:cstheme="majorBidi"/>
          <w:sz w:val="23"/>
          <w:szCs w:val="23"/>
          <w:lang w:eastAsia="en-AU"/>
        </w:rPr>
        <w:t xml:space="preserve"> derived from the project brief, </w:t>
      </w:r>
      <w:r w:rsidR="007B1A6F">
        <w:rPr>
          <w:rFonts w:asciiTheme="majorHAnsi" w:eastAsiaTheme="minorEastAsia" w:hAnsiTheme="majorHAnsi" w:cstheme="majorBidi"/>
          <w:sz w:val="23"/>
          <w:szCs w:val="23"/>
          <w:lang w:eastAsia="en-AU"/>
        </w:rPr>
        <w:t xml:space="preserve">and </w:t>
      </w:r>
      <w:r w:rsidR="00845C45">
        <w:rPr>
          <w:rFonts w:asciiTheme="majorHAnsi" w:eastAsiaTheme="minorEastAsia" w:hAnsiTheme="majorHAnsi" w:cstheme="majorBidi"/>
          <w:sz w:val="23"/>
          <w:szCs w:val="23"/>
          <w:lang w:eastAsia="en-AU"/>
        </w:rPr>
        <w:t xml:space="preserve">in consultation </w:t>
      </w:r>
      <w:r w:rsidR="007B1A6F">
        <w:rPr>
          <w:rFonts w:asciiTheme="majorHAnsi" w:eastAsiaTheme="minorEastAsia" w:hAnsiTheme="majorHAnsi" w:cstheme="majorBidi"/>
          <w:sz w:val="23"/>
          <w:szCs w:val="23"/>
          <w:lang w:eastAsia="en-AU"/>
        </w:rPr>
        <w:t xml:space="preserve">with </w:t>
      </w:r>
      <w:r w:rsidR="001A383A">
        <w:rPr>
          <w:rFonts w:asciiTheme="majorHAnsi" w:eastAsiaTheme="minorEastAsia" w:hAnsiTheme="majorHAnsi" w:cstheme="majorBidi"/>
          <w:sz w:val="23"/>
          <w:szCs w:val="23"/>
          <w:lang w:eastAsia="en-AU"/>
        </w:rPr>
        <w:t xml:space="preserve">the </w:t>
      </w:r>
      <w:r w:rsidR="001F1F02" w:rsidRPr="001F1F02">
        <w:rPr>
          <w:rFonts w:asciiTheme="majorHAnsi" w:eastAsiaTheme="minorEastAsia" w:hAnsiTheme="majorHAnsi" w:cstheme="majorBidi"/>
          <w:sz w:val="23"/>
          <w:szCs w:val="23"/>
          <w:lang w:eastAsia="en-AU"/>
        </w:rPr>
        <w:t>Vital Communities Project Governance Group</w:t>
      </w:r>
      <w:r w:rsidR="00C86DF2">
        <w:rPr>
          <w:rFonts w:asciiTheme="majorHAnsi" w:eastAsiaTheme="minorEastAsia" w:hAnsiTheme="majorHAnsi" w:cstheme="majorBidi"/>
          <w:sz w:val="23"/>
          <w:szCs w:val="23"/>
          <w:lang w:eastAsia="en-AU"/>
        </w:rPr>
        <w:t xml:space="preserve"> in December 2020</w:t>
      </w:r>
      <w:r w:rsidR="001F1F02" w:rsidRPr="001F1F02">
        <w:rPr>
          <w:rFonts w:asciiTheme="majorHAnsi" w:eastAsiaTheme="minorEastAsia" w:hAnsiTheme="majorHAnsi" w:cstheme="majorBidi"/>
          <w:sz w:val="23"/>
          <w:szCs w:val="23"/>
          <w:lang w:eastAsia="en-AU"/>
        </w:rPr>
        <w:t>.</w:t>
      </w:r>
      <w:r w:rsidRPr="3BFC48E8">
        <w:rPr>
          <w:rFonts w:asciiTheme="majorHAnsi" w:eastAsiaTheme="minorEastAsia" w:hAnsiTheme="majorHAnsi" w:cstheme="majorBidi"/>
          <w:sz w:val="23"/>
          <w:szCs w:val="23"/>
          <w:lang w:eastAsia="en-AU"/>
        </w:rPr>
        <w:t xml:space="preserve"> </w:t>
      </w:r>
      <w:r>
        <w:rPr>
          <w:rFonts w:asciiTheme="majorHAnsi" w:eastAsiaTheme="minorEastAsia" w:hAnsiTheme="majorHAnsi" w:cstheme="majorBidi"/>
          <w:sz w:val="23"/>
          <w:szCs w:val="23"/>
          <w:lang w:eastAsia="en-AU"/>
        </w:rPr>
        <w:t>The</w:t>
      </w:r>
      <w:r w:rsidR="00C86DF2">
        <w:rPr>
          <w:rFonts w:asciiTheme="majorHAnsi" w:eastAsiaTheme="minorEastAsia" w:hAnsiTheme="majorHAnsi" w:cstheme="majorBidi"/>
          <w:sz w:val="23"/>
          <w:szCs w:val="23"/>
          <w:lang w:eastAsia="en-AU"/>
        </w:rPr>
        <w:t xml:space="preserve"> agreed</w:t>
      </w:r>
      <w:r>
        <w:rPr>
          <w:rFonts w:asciiTheme="majorHAnsi" w:eastAsiaTheme="minorEastAsia" w:hAnsiTheme="majorHAnsi" w:cstheme="majorBidi"/>
          <w:sz w:val="23"/>
          <w:szCs w:val="23"/>
          <w:lang w:eastAsia="en-AU"/>
        </w:rPr>
        <w:t xml:space="preserve"> criteria </w:t>
      </w:r>
      <w:r w:rsidR="00C86DF2">
        <w:rPr>
          <w:rFonts w:asciiTheme="majorHAnsi" w:eastAsiaTheme="minorEastAsia" w:hAnsiTheme="majorHAnsi" w:cstheme="majorBidi"/>
          <w:sz w:val="23"/>
          <w:szCs w:val="23"/>
          <w:lang w:eastAsia="en-AU"/>
        </w:rPr>
        <w:t xml:space="preserve">guiding selection </w:t>
      </w:r>
      <w:r>
        <w:rPr>
          <w:rFonts w:asciiTheme="majorHAnsi" w:eastAsiaTheme="minorEastAsia" w:hAnsiTheme="majorHAnsi" w:cstheme="majorBidi"/>
          <w:sz w:val="23"/>
          <w:szCs w:val="23"/>
          <w:lang w:eastAsia="en-AU"/>
        </w:rPr>
        <w:t>were</w:t>
      </w:r>
      <w:r w:rsidRPr="3BFC48E8">
        <w:rPr>
          <w:rFonts w:asciiTheme="majorHAnsi" w:eastAsiaTheme="minorEastAsia" w:hAnsiTheme="majorHAnsi" w:cstheme="majorBidi"/>
          <w:sz w:val="23"/>
          <w:szCs w:val="23"/>
          <w:lang w:eastAsia="en-AU"/>
        </w:rPr>
        <w:t>:</w:t>
      </w:r>
    </w:p>
    <w:p w14:paraId="78591F3D" w14:textId="77777777" w:rsidR="0015602C" w:rsidRPr="00C86DF2" w:rsidRDefault="0015602C" w:rsidP="00246A14">
      <w:pPr>
        <w:spacing w:after="0" w:line="276" w:lineRule="auto"/>
        <w:rPr>
          <w:rFonts w:eastAsiaTheme="minorEastAsia"/>
          <w:b/>
          <w:bCs/>
          <w:color w:val="2F5496" w:themeColor="accent1" w:themeShade="BF"/>
          <w:sz w:val="12"/>
          <w:szCs w:val="12"/>
          <w:lang w:eastAsia="en-AU"/>
        </w:rPr>
      </w:pPr>
    </w:p>
    <w:p w14:paraId="13844C1C" w14:textId="77777777" w:rsidR="00246A14" w:rsidRPr="00E541A1" w:rsidRDefault="00246A14" w:rsidP="00364C5D">
      <w:pPr>
        <w:numPr>
          <w:ilvl w:val="0"/>
          <w:numId w:val="74"/>
        </w:numPr>
        <w:spacing w:after="0" w:line="276" w:lineRule="auto"/>
        <w:rPr>
          <w:rFonts w:asciiTheme="majorHAnsi" w:eastAsiaTheme="minorEastAsia" w:hAnsiTheme="majorHAnsi" w:cstheme="majorHAnsi"/>
          <w:sz w:val="23"/>
          <w:szCs w:val="23"/>
          <w:lang w:eastAsia="en-AU"/>
        </w:rPr>
      </w:pPr>
      <w:r w:rsidRPr="00E541A1">
        <w:rPr>
          <w:rFonts w:asciiTheme="majorHAnsi" w:eastAsiaTheme="minorEastAsia" w:hAnsiTheme="majorHAnsi" w:cstheme="majorHAnsi"/>
          <w:sz w:val="23"/>
          <w:szCs w:val="23"/>
          <w:lang w:eastAsia="en-AU"/>
        </w:rPr>
        <w:t>Successful programs and effective models</w:t>
      </w:r>
      <w:r w:rsidRPr="00E541A1">
        <w:rPr>
          <w:rFonts w:asciiTheme="majorHAnsi" w:eastAsiaTheme="minorEastAsia" w:hAnsiTheme="majorHAnsi" w:cstheme="majorHAnsi"/>
          <w:sz w:val="23"/>
          <w:szCs w:val="23"/>
          <w:lang w:val="en-GB" w:eastAsia="en-AU"/>
        </w:rPr>
        <w:t xml:space="preserve"> </w:t>
      </w:r>
      <w:r>
        <w:rPr>
          <w:rFonts w:asciiTheme="majorHAnsi" w:eastAsiaTheme="minorEastAsia" w:hAnsiTheme="majorHAnsi" w:cstheme="majorHAnsi"/>
          <w:sz w:val="23"/>
          <w:szCs w:val="23"/>
          <w:lang w:val="en-GB" w:eastAsia="en-AU"/>
        </w:rPr>
        <w:t>with positive</w:t>
      </w:r>
      <w:r w:rsidRPr="00E541A1">
        <w:rPr>
          <w:rFonts w:asciiTheme="majorHAnsi" w:eastAsiaTheme="minorEastAsia" w:hAnsiTheme="majorHAnsi" w:cstheme="majorHAnsi"/>
          <w:sz w:val="23"/>
          <w:szCs w:val="23"/>
          <w:lang w:val="en-GB" w:eastAsia="en-AU"/>
        </w:rPr>
        <w:t xml:space="preserve"> real-world outcomes</w:t>
      </w:r>
    </w:p>
    <w:p w14:paraId="556886AB" w14:textId="77777777" w:rsidR="00246A14" w:rsidRPr="00E541A1" w:rsidRDefault="00246A14" w:rsidP="00364C5D">
      <w:pPr>
        <w:numPr>
          <w:ilvl w:val="0"/>
          <w:numId w:val="74"/>
        </w:numPr>
        <w:spacing w:after="0" w:line="276" w:lineRule="auto"/>
        <w:contextualSpacing/>
        <w:rPr>
          <w:rFonts w:asciiTheme="majorHAnsi" w:eastAsiaTheme="minorEastAsia" w:hAnsiTheme="majorHAnsi" w:cstheme="majorHAnsi"/>
          <w:sz w:val="23"/>
          <w:szCs w:val="23"/>
          <w:lang w:val="en-GB" w:eastAsia="en-AU"/>
        </w:rPr>
      </w:pPr>
      <w:r>
        <w:rPr>
          <w:rFonts w:asciiTheme="majorHAnsi" w:eastAsiaTheme="minorEastAsia" w:hAnsiTheme="majorHAnsi" w:cstheme="majorHAnsi"/>
          <w:sz w:val="23"/>
          <w:szCs w:val="23"/>
          <w:lang w:val="en-GB" w:eastAsia="en-AU"/>
        </w:rPr>
        <w:t>I</w:t>
      </w:r>
      <w:r w:rsidRPr="00E541A1">
        <w:rPr>
          <w:rFonts w:asciiTheme="majorHAnsi" w:eastAsiaTheme="minorEastAsia" w:hAnsiTheme="majorHAnsi" w:cstheme="majorHAnsi"/>
          <w:sz w:val="23"/>
          <w:szCs w:val="23"/>
          <w:lang w:val="en-GB" w:eastAsia="en-AU"/>
        </w:rPr>
        <w:t xml:space="preserve">nnovative approaches </w:t>
      </w:r>
      <w:r>
        <w:rPr>
          <w:rFonts w:asciiTheme="majorHAnsi" w:eastAsiaTheme="minorEastAsia" w:hAnsiTheme="majorHAnsi" w:cstheme="majorHAnsi"/>
          <w:sz w:val="23"/>
          <w:szCs w:val="23"/>
          <w:lang w:val="en-GB" w:eastAsia="en-AU"/>
        </w:rPr>
        <w:t>and c</w:t>
      </w:r>
      <w:r w:rsidRPr="00E541A1">
        <w:rPr>
          <w:rFonts w:asciiTheme="majorHAnsi" w:eastAsiaTheme="minorEastAsia" w:hAnsiTheme="majorHAnsi" w:cstheme="majorHAnsi"/>
          <w:sz w:val="23"/>
          <w:szCs w:val="23"/>
          <w:lang w:val="en-GB" w:eastAsia="en-AU"/>
        </w:rPr>
        <w:t xml:space="preserve">reative </w:t>
      </w:r>
      <w:r>
        <w:rPr>
          <w:rFonts w:asciiTheme="majorHAnsi" w:eastAsiaTheme="minorEastAsia" w:hAnsiTheme="majorHAnsi" w:cstheme="majorHAnsi"/>
          <w:sz w:val="23"/>
          <w:szCs w:val="23"/>
          <w:lang w:val="en-GB" w:eastAsia="en-AU"/>
        </w:rPr>
        <w:t xml:space="preserve">ideas to help inform local </w:t>
      </w:r>
      <w:r w:rsidRPr="00E541A1">
        <w:rPr>
          <w:rFonts w:asciiTheme="majorHAnsi" w:eastAsiaTheme="minorEastAsia" w:hAnsiTheme="majorHAnsi" w:cstheme="majorHAnsi"/>
          <w:sz w:val="23"/>
          <w:szCs w:val="23"/>
          <w:lang w:val="en-GB" w:eastAsia="en-AU"/>
        </w:rPr>
        <w:t>policy</w:t>
      </w:r>
    </w:p>
    <w:p w14:paraId="26032650" w14:textId="77777777" w:rsidR="00246A14" w:rsidRPr="00E541A1" w:rsidRDefault="00246A14" w:rsidP="00364C5D">
      <w:pPr>
        <w:numPr>
          <w:ilvl w:val="0"/>
          <w:numId w:val="74"/>
        </w:numPr>
        <w:spacing w:after="0" w:line="276" w:lineRule="auto"/>
        <w:rPr>
          <w:rFonts w:asciiTheme="majorHAnsi" w:eastAsiaTheme="minorEastAsia" w:hAnsiTheme="majorHAnsi" w:cstheme="majorHAnsi"/>
          <w:sz w:val="23"/>
          <w:szCs w:val="23"/>
          <w:lang w:eastAsia="en-AU"/>
        </w:rPr>
      </w:pPr>
      <w:r w:rsidRPr="00E541A1">
        <w:rPr>
          <w:rFonts w:asciiTheme="majorHAnsi" w:eastAsiaTheme="minorEastAsia" w:hAnsiTheme="majorHAnsi" w:cstheme="majorHAnsi"/>
          <w:sz w:val="23"/>
          <w:szCs w:val="23"/>
          <w:lang w:val="en-GB" w:eastAsia="en-AU"/>
        </w:rPr>
        <w:t>Pro</w:t>
      </w:r>
      <w:r>
        <w:rPr>
          <w:rFonts w:asciiTheme="majorHAnsi" w:eastAsiaTheme="minorEastAsia" w:hAnsiTheme="majorHAnsi" w:cstheme="majorHAnsi"/>
          <w:sz w:val="23"/>
          <w:szCs w:val="23"/>
          <w:lang w:val="en-GB" w:eastAsia="en-AU"/>
        </w:rPr>
        <w:t>jects</w:t>
      </w:r>
      <w:r w:rsidRPr="00E541A1">
        <w:rPr>
          <w:rFonts w:asciiTheme="majorHAnsi" w:eastAsiaTheme="minorEastAsia" w:hAnsiTheme="majorHAnsi" w:cstheme="majorHAnsi"/>
          <w:sz w:val="23"/>
          <w:szCs w:val="23"/>
          <w:lang w:val="en-GB" w:eastAsia="en-AU"/>
        </w:rPr>
        <w:t xml:space="preserve"> with a local/neighbourhood/LGA focus</w:t>
      </w:r>
    </w:p>
    <w:p w14:paraId="61E19CE2" w14:textId="77777777" w:rsidR="00246A14" w:rsidRPr="00E541A1" w:rsidRDefault="00246A14" w:rsidP="00364C5D">
      <w:pPr>
        <w:numPr>
          <w:ilvl w:val="0"/>
          <w:numId w:val="74"/>
        </w:numPr>
        <w:spacing w:after="0" w:line="276" w:lineRule="auto"/>
        <w:contextualSpacing/>
        <w:rPr>
          <w:rFonts w:asciiTheme="majorHAnsi" w:eastAsiaTheme="minorEastAsia" w:hAnsiTheme="majorHAnsi" w:cstheme="majorHAnsi"/>
          <w:sz w:val="23"/>
          <w:szCs w:val="23"/>
          <w:lang w:val="en-GB" w:eastAsia="en-AU"/>
        </w:rPr>
      </w:pPr>
      <w:r w:rsidRPr="00E541A1">
        <w:rPr>
          <w:rFonts w:asciiTheme="majorHAnsi" w:eastAsiaTheme="minorEastAsia" w:hAnsiTheme="majorHAnsi" w:cstheme="majorHAnsi"/>
          <w:sz w:val="23"/>
          <w:szCs w:val="23"/>
          <w:lang w:val="en-GB" w:eastAsia="en-AU"/>
        </w:rPr>
        <w:t>Locally</w:t>
      </w:r>
      <w:r>
        <w:rPr>
          <w:rFonts w:asciiTheme="majorHAnsi" w:eastAsiaTheme="minorEastAsia" w:hAnsiTheme="majorHAnsi" w:cstheme="majorHAnsi"/>
          <w:sz w:val="23"/>
          <w:szCs w:val="23"/>
          <w:lang w:val="en-GB" w:eastAsia="en-AU"/>
        </w:rPr>
        <w:t xml:space="preserve"> focused</w:t>
      </w:r>
      <w:r w:rsidRPr="00E541A1">
        <w:rPr>
          <w:rFonts w:asciiTheme="majorHAnsi" w:eastAsiaTheme="minorEastAsia" w:hAnsiTheme="majorHAnsi" w:cstheme="majorHAnsi"/>
          <w:sz w:val="23"/>
          <w:szCs w:val="23"/>
          <w:lang w:val="en-GB" w:eastAsia="en-AU"/>
        </w:rPr>
        <w:t xml:space="preserve"> projects nested within larger programs</w:t>
      </w:r>
    </w:p>
    <w:p w14:paraId="274C716E" w14:textId="77777777" w:rsidR="00246A14" w:rsidRPr="00327795" w:rsidRDefault="00246A14" w:rsidP="00364C5D">
      <w:pPr>
        <w:numPr>
          <w:ilvl w:val="0"/>
          <w:numId w:val="74"/>
        </w:numPr>
        <w:spacing w:after="0" w:line="276" w:lineRule="auto"/>
        <w:rPr>
          <w:rFonts w:asciiTheme="majorHAnsi" w:eastAsiaTheme="minorEastAsia" w:hAnsiTheme="majorHAnsi" w:cstheme="majorBidi"/>
          <w:sz w:val="23"/>
          <w:szCs w:val="23"/>
          <w:lang w:val="en-GB" w:eastAsia="en-AU"/>
        </w:rPr>
      </w:pPr>
      <w:r w:rsidRPr="3A435516">
        <w:rPr>
          <w:rFonts w:asciiTheme="majorHAnsi" w:eastAsiaTheme="minorEastAsia" w:hAnsiTheme="majorHAnsi" w:cstheme="majorBidi"/>
          <w:sz w:val="23"/>
          <w:szCs w:val="23"/>
          <w:lang w:val="en-GB" w:eastAsia="en-AU"/>
        </w:rPr>
        <w:t xml:space="preserve">Initiatives located in </w:t>
      </w:r>
      <w:r>
        <w:rPr>
          <w:rFonts w:asciiTheme="majorHAnsi" w:eastAsiaTheme="minorEastAsia" w:hAnsiTheme="majorHAnsi" w:cstheme="majorBidi"/>
          <w:sz w:val="23"/>
          <w:szCs w:val="23"/>
          <w:lang w:val="en-GB" w:eastAsia="en-AU"/>
        </w:rPr>
        <w:t>cities of similar size to</w:t>
      </w:r>
      <w:r w:rsidRPr="3A435516">
        <w:rPr>
          <w:rFonts w:asciiTheme="majorHAnsi" w:eastAsiaTheme="minorEastAsia" w:hAnsiTheme="majorHAnsi" w:cstheme="majorBidi"/>
          <w:sz w:val="23"/>
          <w:szCs w:val="23"/>
          <w:lang w:val="en-GB" w:eastAsia="en-AU"/>
        </w:rPr>
        <w:t xml:space="preserve"> Geelong</w:t>
      </w:r>
    </w:p>
    <w:p w14:paraId="3AA84EF2" w14:textId="77777777" w:rsidR="00246A14" w:rsidRPr="00327795" w:rsidRDefault="00246A14" w:rsidP="00364C5D">
      <w:pPr>
        <w:numPr>
          <w:ilvl w:val="0"/>
          <w:numId w:val="74"/>
        </w:numPr>
        <w:spacing w:after="0" w:line="276" w:lineRule="auto"/>
        <w:rPr>
          <w:rFonts w:asciiTheme="majorHAnsi" w:eastAsiaTheme="majorEastAsia" w:hAnsiTheme="majorHAnsi" w:cstheme="majorBidi"/>
          <w:sz w:val="23"/>
          <w:szCs w:val="23"/>
          <w:lang w:val="en-GB" w:eastAsia="en-AU"/>
        </w:rPr>
      </w:pPr>
      <w:r w:rsidRPr="3A962CDD">
        <w:rPr>
          <w:rFonts w:asciiTheme="majorHAnsi" w:eastAsiaTheme="minorEastAsia" w:hAnsiTheme="majorHAnsi" w:cstheme="majorBidi"/>
          <w:sz w:val="23"/>
          <w:szCs w:val="23"/>
          <w:lang w:val="en-GB" w:eastAsia="en-AU"/>
        </w:rPr>
        <w:t xml:space="preserve">Programs </w:t>
      </w:r>
      <w:r w:rsidRPr="7F2E8D52">
        <w:rPr>
          <w:rFonts w:asciiTheme="majorHAnsi" w:eastAsiaTheme="minorEastAsia" w:hAnsiTheme="majorHAnsi" w:cstheme="majorBidi"/>
          <w:sz w:val="23"/>
          <w:szCs w:val="23"/>
          <w:lang w:val="en-GB" w:eastAsia="en-AU"/>
        </w:rPr>
        <w:t>designed for</w:t>
      </w:r>
      <w:r w:rsidRPr="3A962CDD">
        <w:rPr>
          <w:rFonts w:asciiTheme="majorHAnsi" w:eastAsiaTheme="minorEastAsia" w:hAnsiTheme="majorHAnsi" w:cstheme="majorBidi"/>
          <w:sz w:val="23"/>
          <w:szCs w:val="23"/>
          <w:lang w:val="en-GB" w:eastAsia="en-AU"/>
        </w:rPr>
        <w:t xml:space="preserve"> </w:t>
      </w:r>
      <w:r w:rsidRPr="3A435516">
        <w:rPr>
          <w:rFonts w:asciiTheme="majorHAnsi" w:eastAsiaTheme="minorEastAsia" w:hAnsiTheme="majorHAnsi" w:cstheme="majorBidi"/>
          <w:sz w:val="23"/>
          <w:szCs w:val="23"/>
          <w:lang w:val="en-GB" w:eastAsia="en-AU"/>
        </w:rPr>
        <w:t>neighbourhoods</w:t>
      </w:r>
      <w:r w:rsidRPr="3A962CDD">
        <w:rPr>
          <w:rFonts w:asciiTheme="majorHAnsi" w:eastAsiaTheme="minorEastAsia" w:hAnsiTheme="majorHAnsi" w:cstheme="majorBidi"/>
          <w:sz w:val="23"/>
          <w:szCs w:val="23"/>
          <w:lang w:val="en-GB" w:eastAsia="en-AU"/>
        </w:rPr>
        <w:t xml:space="preserve"> or communities that </w:t>
      </w:r>
      <w:r w:rsidRPr="71E699DC">
        <w:rPr>
          <w:rFonts w:asciiTheme="majorHAnsi" w:eastAsiaTheme="minorEastAsia" w:hAnsiTheme="majorHAnsi" w:cstheme="majorBidi"/>
          <w:sz w:val="23"/>
          <w:szCs w:val="23"/>
          <w:lang w:val="en-GB" w:eastAsia="en-AU"/>
        </w:rPr>
        <w:t xml:space="preserve">share </w:t>
      </w:r>
      <w:r w:rsidRPr="56433CD6">
        <w:rPr>
          <w:rFonts w:asciiTheme="majorHAnsi" w:eastAsiaTheme="minorEastAsia" w:hAnsiTheme="majorHAnsi" w:cstheme="majorBidi"/>
          <w:sz w:val="23"/>
          <w:szCs w:val="23"/>
          <w:lang w:val="en-GB" w:eastAsia="en-AU"/>
        </w:rPr>
        <w:t>similarities</w:t>
      </w:r>
      <w:r w:rsidRPr="3A962CDD">
        <w:rPr>
          <w:rFonts w:asciiTheme="majorHAnsi" w:eastAsiaTheme="minorEastAsia" w:hAnsiTheme="majorHAnsi" w:cstheme="majorBidi"/>
          <w:sz w:val="23"/>
          <w:szCs w:val="23"/>
          <w:lang w:val="en-GB" w:eastAsia="en-AU"/>
        </w:rPr>
        <w:t xml:space="preserve"> </w:t>
      </w:r>
      <w:r w:rsidRPr="7F2E8D52">
        <w:rPr>
          <w:rFonts w:asciiTheme="majorHAnsi" w:eastAsiaTheme="minorEastAsia" w:hAnsiTheme="majorHAnsi" w:cstheme="majorBidi"/>
          <w:sz w:val="23"/>
          <w:szCs w:val="23"/>
          <w:lang w:val="en-GB" w:eastAsia="en-AU"/>
        </w:rPr>
        <w:t xml:space="preserve">with </w:t>
      </w:r>
      <w:r w:rsidRPr="39E269A6">
        <w:rPr>
          <w:rFonts w:asciiTheme="majorHAnsi" w:eastAsiaTheme="minorEastAsia" w:hAnsiTheme="majorHAnsi" w:cstheme="majorBidi"/>
          <w:sz w:val="23"/>
          <w:szCs w:val="23"/>
          <w:lang w:val="en-GB" w:eastAsia="en-AU"/>
        </w:rPr>
        <w:t>the</w:t>
      </w:r>
      <w:r w:rsidRPr="7F2E8D52">
        <w:rPr>
          <w:rFonts w:asciiTheme="majorHAnsi" w:eastAsiaTheme="minorEastAsia" w:hAnsiTheme="majorHAnsi" w:cstheme="majorBidi"/>
          <w:sz w:val="23"/>
          <w:szCs w:val="23"/>
          <w:lang w:val="en-GB" w:eastAsia="en-AU"/>
        </w:rPr>
        <w:t xml:space="preserve"> target suburbs (</w:t>
      </w:r>
      <w:r w:rsidRPr="39E269A6">
        <w:rPr>
          <w:rFonts w:asciiTheme="majorHAnsi" w:eastAsiaTheme="minorEastAsia" w:hAnsiTheme="majorHAnsi" w:cstheme="majorBidi"/>
          <w:sz w:val="23"/>
          <w:szCs w:val="23"/>
          <w:lang w:val="en-GB" w:eastAsia="en-AU"/>
        </w:rPr>
        <w:t>high unemployment</w:t>
      </w:r>
      <w:r w:rsidRPr="6CE560EE">
        <w:rPr>
          <w:rFonts w:asciiTheme="majorHAnsi" w:eastAsiaTheme="minorEastAsia" w:hAnsiTheme="majorHAnsi" w:cstheme="majorBidi"/>
          <w:sz w:val="23"/>
          <w:szCs w:val="23"/>
          <w:lang w:val="en-GB" w:eastAsia="en-AU"/>
        </w:rPr>
        <w:t>,</w:t>
      </w:r>
      <w:r w:rsidRPr="56433CD6">
        <w:rPr>
          <w:rFonts w:asciiTheme="majorHAnsi" w:eastAsiaTheme="minorEastAsia" w:hAnsiTheme="majorHAnsi" w:cstheme="majorBidi"/>
          <w:sz w:val="23"/>
          <w:szCs w:val="23"/>
          <w:lang w:val="en-GB" w:eastAsia="en-AU"/>
        </w:rPr>
        <w:t xml:space="preserve"> </w:t>
      </w:r>
      <w:r w:rsidRPr="39E269A6">
        <w:rPr>
          <w:rFonts w:asciiTheme="majorHAnsi" w:eastAsiaTheme="minorEastAsia" w:hAnsiTheme="majorHAnsi" w:cstheme="majorBidi"/>
          <w:sz w:val="23"/>
          <w:szCs w:val="23"/>
          <w:lang w:val="en-GB" w:eastAsia="en-AU"/>
        </w:rPr>
        <w:t xml:space="preserve">disengaged youth, </w:t>
      </w:r>
      <w:r w:rsidRPr="56433CD6">
        <w:rPr>
          <w:rFonts w:asciiTheme="majorHAnsi" w:eastAsiaTheme="minorEastAsia" w:hAnsiTheme="majorHAnsi" w:cstheme="majorBidi"/>
          <w:sz w:val="23"/>
          <w:szCs w:val="23"/>
          <w:lang w:val="en-GB" w:eastAsia="en-AU"/>
        </w:rPr>
        <w:t xml:space="preserve">low literacy and education, poverty, housing stress, </w:t>
      </w:r>
      <w:r w:rsidRPr="0AD3BF01">
        <w:rPr>
          <w:rFonts w:asciiTheme="majorHAnsi" w:eastAsiaTheme="minorEastAsia" w:hAnsiTheme="majorHAnsi" w:cstheme="majorBidi"/>
          <w:sz w:val="23"/>
          <w:szCs w:val="23"/>
          <w:lang w:val="en-GB" w:eastAsia="en-AU"/>
        </w:rPr>
        <w:t xml:space="preserve">safety concerns, </w:t>
      </w:r>
      <w:r w:rsidRPr="56433CD6">
        <w:rPr>
          <w:rFonts w:asciiTheme="majorHAnsi" w:eastAsiaTheme="minorEastAsia" w:hAnsiTheme="majorHAnsi" w:cstheme="majorBidi"/>
          <w:sz w:val="23"/>
          <w:szCs w:val="23"/>
          <w:lang w:val="en-GB" w:eastAsia="en-AU"/>
        </w:rPr>
        <w:t xml:space="preserve">food insecurity, </w:t>
      </w:r>
      <w:r w:rsidRPr="0AD3BF01">
        <w:rPr>
          <w:rFonts w:asciiTheme="majorHAnsi" w:eastAsiaTheme="minorEastAsia" w:hAnsiTheme="majorHAnsi" w:cstheme="majorBidi"/>
          <w:sz w:val="23"/>
          <w:szCs w:val="23"/>
          <w:lang w:val="en-GB" w:eastAsia="en-AU"/>
        </w:rPr>
        <w:t>cultural diversity</w:t>
      </w:r>
      <w:r w:rsidRPr="1AA48735">
        <w:rPr>
          <w:rFonts w:asciiTheme="majorHAnsi" w:eastAsiaTheme="minorEastAsia" w:hAnsiTheme="majorHAnsi" w:cstheme="majorBidi"/>
          <w:sz w:val="23"/>
          <w:szCs w:val="23"/>
          <w:lang w:val="en-GB" w:eastAsia="en-AU"/>
        </w:rPr>
        <w:t>, high concentration of social housing</w:t>
      </w:r>
      <w:r w:rsidRPr="56433CD6">
        <w:rPr>
          <w:rFonts w:asciiTheme="majorHAnsi" w:eastAsiaTheme="minorEastAsia" w:hAnsiTheme="majorHAnsi" w:cstheme="majorBidi"/>
          <w:sz w:val="23"/>
          <w:szCs w:val="23"/>
          <w:lang w:val="en-GB" w:eastAsia="en-AU"/>
        </w:rPr>
        <w:t>)</w:t>
      </w:r>
    </w:p>
    <w:p w14:paraId="65E9666A" w14:textId="77777777" w:rsidR="00246A14" w:rsidRPr="00E541A1" w:rsidRDefault="00246A14" w:rsidP="00364C5D">
      <w:pPr>
        <w:numPr>
          <w:ilvl w:val="0"/>
          <w:numId w:val="74"/>
        </w:numPr>
        <w:spacing w:after="0" w:line="276" w:lineRule="auto"/>
        <w:rPr>
          <w:rFonts w:asciiTheme="majorHAnsi" w:eastAsiaTheme="minorEastAsia" w:hAnsiTheme="majorHAnsi" w:cstheme="majorBidi"/>
          <w:sz w:val="23"/>
          <w:szCs w:val="23"/>
          <w:lang w:eastAsia="en-AU"/>
        </w:rPr>
      </w:pPr>
      <w:r w:rsidRPr="7656F480">
        <w:rPr>
          <w:rFonts w:asciiTheme="majorHAnsi" w:eastAsiaTheme="minorEastAsia" w:hAnsiTheme="majorHAnsi" w:cstheme="majorBidi"/>
          <w:sz w:val="23"/>
          <w:szCs w:val="23"/>
          <w:lang w:val="en-GB" w:eastAsia="en-AU"/>
        </w:rPr>
        <w:t>Initiatives</w:t>
      </w:r>
      <w:r w:rsidRPr="3A435516">
        <w:rPr>
          <w:rFonts w:asciiTheme="majorHAnsi" w:eastAsiaTheme="minorEastAsia" w:hAnsiTheme="majorHAnsi" w:cstheme="majorBidi"/>
          <w:sz w:val="23"/>
          <w:szCs w:val="23"/>
          <w:lang w:val="en-GB" w:eastAsia="en-AU"/>
        </w:rPr>
        <w:t xml:space="preserve"> staged in cities that share other key characteristics with Geelong (</w:t>
      </w:r>
      <w:r w:rsidRPr="7656F480">
        <w:rPr>
          <w:rFonts w:asciiTheme="majorHAnsi" w:eastAsiaTheme="minorEastAsia" w:hAnsiTheme="majorHAnsi" w:cstheme="majorBidi"/>
          <w:sz w:val="23"/>
          <w:szCs w:val="23"/>
          <w:lang w:val="en-GB" w:eastAsia="en-AU"/>
        </w:rPr>
        <w:t xml:space="preserve">for example </w:t>
      </w:r>
      <w:r w:rsidRPr="3A435516">
        <w:rPr>
          <w:rFonts w:asciiTheme="majorHAnsi" w:eastAsiaTheme="minorEastAsia" w:hAnsiTheme="majorHAnsi" w:cstheme="majorBidi"/>
          <w:sz w:val="23"/>
          <w:szCs w:val="23"/>
          <w:lang w:val="en-GB" w:eastAsia="en-AU"/>
        </w:rPr>
        <w:t xml:space="preserve">manufacturing heritage, UNESCO City of Design status) </w:t>
      </w:r>
    </w:p>
    <w:p w14:paraId="460ADBCE" w14:textId="77777777" w:rsidR="00246A14" w:rsidRPr="00E541A1" w:rsidRDefault="00246A14" w:rsidP="00364C5D">
      <w:pPr>
        <w:numPr>
          <w:ilvl w:val="0"/>
          <w:numId w:val="74"/>
        </w:numPr>
        <w:spacing w:after="0" w:line="276" w:lineRule="auto"/>
        <w:rPr>
          <w:rFonts w:asciiTheme="majorHAnsi" w:eastAsiaTheme="minorEastAsia" w:hAnsiTheme="majorHAnsi" w:cstheme="majorHAnsi"/>
          <w:sz w:val="23"/>
          <w:szCs w:val="23"/>
          <w:lang w:eastAsia="en-AU"/>
        </w:rPr>
      </w:pPr>
      <w:r>
        <w:rPr>
          <w:rFonts w:asciiTheme="majorHAnsi" w:eastAsiaTheme="minorEastAsia" w:hAnsiTheme="majorHAnsi" w:cstheme="majorHAnsi"/>
          <w:sz w:val="23"/>
          <w:szCs w:val="23"/>
          <w:lang w:eastAsia="en-AU"/>
        </w:rPr>
        <w:t>P</w:t>
      </w:r>
      <w:r w:rsidRPr="00E541A1">
        <w:rPr>
          <w:rFonts w:asciiTheme="majorHAnsi" w:eastAsiaTheme="minorEastAsia" w:hAnsiTheme="majorHAnsi" w:cstheme="majorHAnsi"/>
          <w:sz w:val="23"/>
          <w:szCs w:val="23"/>
          <w:lang w:eastAsia="en-AU"/>
        </w:rPr>
        <w:t xml:space="preserve">rograms </w:t>
      </w:r>
      <w:r>
        <w:rPr>
          <w:rFonts w:asciiTheme="majorHAnsi" w:eastAsiaTheme="minorEastAsia" w:hAnsiTheme="majorHAnsi" w:cstheme="majorHAnsi"/>
          <w:sz w:val="23"/>
          <w:szCs w:val="23"/>
          <w:lang w:eastAsia="en-AU"/>
        </w:rPr>
        <w:t>that could be</w:t>
      </w:r>
      <w:r w:rsidRPr="00E541A1">
        <w:rPr>
          <w:rFonts w:asciiTheme="majorHAnsi" w:eastAsiaTheme="minorEastAsia" w:hAnsiTheme="majorHAnsi" w:cstheme="majorHAnsi"/>
          <w:sz w:val="23"/>
          <w:szCs w:val="23"/>
          <w:lang w:val="en-GB" w:eastAsia="en-AU"/>
        </w:rPr>
        <w:t xml:space="preserve"> adapted to the local context</w:t>
      </w:r>
      <w:r w:rsidRPr="000130E4">
        <w:rPr>
          <w:rFonts w:asciiTheme="majorHAnsi" w:eastAsiaTheme="minorEastAsia" w:hAnsiTheme="majorHAnsi" w:cstheme="majorHAnsi"/>
          <w:sz w:val="23"/>
          <w:szCs w:val="23"/>
          <w:lang w:eastAsia="en-AU"/>
        </w:rPr>
        <w:t xml:space="preserve"> </w:t>
      </w:r>
      <w:r>
        <w:rPr>
          <w:rFonts w:asciiTheme="majorHAnsi" w:eastAsiaTheme="minorEastAsia" w:hAnsiTheme="majorHAnsi" w:cstheme="majorHAnsi"/>
          <w:sz w:val="23"/>
          <w:szCs w:val="23"/>
          <w:lang w:eastAsia="en-AU"/>
        </w:rPr>
        <w:t>(</w:t>
      </w:r>
      <w:r w:rsidRPr="00E541A1">
        <w:rPr>
          <w:rFonts w:asciiTheme="majorHAnsi" w:eastAsiaTheme="minorEastAsia" w:hAnsiTheme="majorHAnsi" w:cstheme="majorHAnsi"/>
          <w:sz w:val="23"/>
          <w:szCs w:val="23"/>
          <w:lang w:eastAsia="en-AU"/>
        </w:rPr>
        <w:t>Corio, Norlane, Whittington</w:t>
      </w:r>
      <w:r>
        <w:rPr>
          <w:rFonts w:asciiTheme="majorHAnsi" w:eastAsiaTheme="minorEastAsia" w:hAnsiTheme="majorHAnsi" w:cstheme="majorHAnsi"/>
          <w:sz w:val="23"/>
          <w:szCs w:val="23"/>
          <w:lang w:eastAsia="en-AU"/>
        </w:rPr>
        <w:t>), and/or tailored to different target groups</w:t>
      </w:r>
    </w:p>
    <w:p w14:paraId="299F4BDF" w14:textId="77777777" w:rsidR="00246A14" w:rsidRPr="004D7FC7" w:rsidRDefault="00246A14" w:rsidP="00364C5D">
      <w:pPr>
        <w:numPr>
          <w:ilvl w:val="0"/>
          <w:numId w:val="74"/>
        </w:numPr>
        <w:spacing w:after="0" w:line="276" w:lineRule="auto"/>
        <w:contextualSpacing/>
        <w:rPr>
          <w:rFonts w:asciiTheme="majorHAnsi" w:eastAsiaTheme="minorEastAsia" w:hAnsiTheme="majorHAnsi" w:cstheme="majorHAnsi"/>
          <w:sz w:val="23"/>
          <w:szCs w:val="23"/>
          <w:lang w:val="en-GB" w:eastAsia="en-AU"/>
        </w:rPr>
      </w:pPr>
      <w:r>
        <w:rPr>
          <w:rFonts w:asciiTheme="majorHAnsi" w:eastAsiaTheme="minorEastAsia" w:hAnsiTheme="majorHAnsi" w:cstheme="majorHAnsi"/>
          <w:sz w:val="23"/>
          <w:szCs w:val="23"/>
          <w:lang w:eastAsia="en-AU"/>
        </w:rPr>
        <w:t>Initiatives designed to tackle issues of relevance for the three target communities</w:t>
      </w:r>
    </w:p>
    <w:p w14:paraId="5F2E8247" w14:textId="77777777" w:rsidR="00246A14" w:rsidRDefault="00246A14" w:rsidP="00364C5D">
      <w:pPr>
        <w:numPr>
          <w:ilvl w:val="0"/>
          <w:numId w:val="74"/>
        </w:numPr>
        <w:spacing w:after="0" w:line="276" w:lineRule="auto"/>
        <w:contextualSpacing/>
        <w:rPr>
          <w:rFonts w:asciiTheme="majorHAnsi" w:eastAsiaTheme="minorEastAsia" w:hAnsiTheme="majorHAnsi" w:cstheme="majorHAnsi"/>
          <w:sz w:val="23"/>
          <w:szCs w:val="23"/>
          <w:lang w:val="en-GB" w:eastAsia="en-AU"/>
        </w:rPr>
      </w:pPr>
      <w:r w:rsidRPr="00E541A1">
        <w:rPr>
          <w:rFonts w:asciiTheme="majorHAnsi" w:eastAsiaTheme="minorEastAsia" w:hAnsiTheme="majorHAnsi" w:cstheme="majorHAnsi"/>
          <w:sz w:val="23"/>
          <w:szCs w:val="23"/>
          <w:lang w:val="en-GB" w:eastAsia="en-AU"/>
        </w:rPr>
        <w:t>P</w:t>
      </w:r>
      <w:r>
        <w:rPr>
          <w:rFonts w:asciiTheme="majorHAnsi" w:eastAsiaTheme="minorEastAsia" w:hAnsiTheme="majorHAnsi" w:cstheme="majorHAnsi"/>
          <w:sz w:val="23"/>
          <w:szCs w:val="23"/>
          <w:lang w:val="en-GB" w:eastAsia="en-AU"/>
        </w:rPr>
        <w:t>rograms with p</w:t>
      </w:r>
      <w:r w:rsidRPr="00E541A1">
        <w:rPr>
          <w:rFonts w:asciiTheme="majorHAnsi" w:eastAsiaTheme="minorEastAsia" w:hAnsiTheme="majorHAnsi" w:cstheme="majorHAnsi"/>
          <w:sz w:val="23"/>
          <w:szCs w:val="23"/>
          <w:lang w:val="en-GB" w:eastAsia="en-AU"/>
        </w:rPr>
        <w:t xml:space="preserve">otential to </w:t>
      </w:r>
      <w:r>
        <w:rPr>
          <w:rFonts w:asciiTheme="majorHAnsi" w:eastAsiaTheme="minorEastAsia" w:hAnsiTheme="majorHAnsi" w:cstheme="majorHAnsi"/>
          <w:sz w:val="23"/>
          <w:szCs w:val="23"/>
          <w:lang w:val="en-GB" w:eastAsia="en-AU"/>
        </w:rPr>
        <w:t xml:space="preserve">be </w:t>
      </w:r>
      <w:r w:rsidRPr="00E541A1">
        <w:rPr>
          <w:rFonts w:asciiTheme="majorHAnsi" w:eastAsiaTheme="minorEastAsia" w:hAnsiTheme="majorHAnsi" w:cstheme="majorHAnsi"/>
          <w:sz w:val="23"/>
          <w:szCs w:val="23"/>
          <w:lang w:val="en-GB" w:eastAsia="en-AU"/>
        </w:rPr>
        <w:t>scale</w:t>
      </w:r>
      <w:r>
        <w:rPr>
          <w:rFonts w:asciiTheme="majorHAnsi" w:eastAsiaTheme="minorEastAsia" w:hAnsiTheme="majorHAnsi" w:cstheme="majorHAnsi"/>
          <w:sz w:val="23"/>
          <w:szCs w:val="23"/>
          <w:lang w:val="en-GB" w:eastAsia="en-AU"/>
        </w:rPr>
        <w:t>d</w:t>
      </w:r>
      <w:r w:rsidRPr="00E541A1">
        <w:rPr>
          <w:rFonts w:asciiTheme="majorHAnsi" w:eastAsiaTheme="minorEastAsia" w:hAnsiTheme="majorHAnsi" w:cstheme="majorHAnsi"/>
          <w:sz w:val="23"/>
          <w:szCs w:val="23"/>
          <w:lang w:val="en-GB" w:eastAsia="en-AU"/>
        </w:rPr>
        <w:t xml:space="preserve"> up</w:t>
      </w:r>
    </w:p>
    <w:p w14:paraId="1648B696" w14:textId="77777777" w:rsidR="00246A14" w:rsidRPr="00702F40" w:rsidRDefault="00246A14" w:rsidP="00364C5D">
      <w:pPr>
        <w:numPr>
          <w:ilvl w:val="0"/>
          <w:numId w:val="74"/>
        </w:numPr>
        <w:spacing w:after="0" w:line="276" w:lineRule="auto"/>
        <w:contextualSpacing/>
        <w:rPr>
          <w:rFonts w:asciiTheme="majorHAnsi" w:eastAsiaTheme="minorEastAsia" w:hAnsiTheme="majorHAnsi" w:cstheme="majorHAnsi"/>
          <w:sz w:val="23"/>
          <w:szCs w:val="23"/>
          <w:lang w:val="en-GB" w:eastAsia="en-AU"/>
        </w:rPr>
      </w:pPr>
      <w:r>
        <w:rPr>
          <w:rFonts w:asciiTheme="majorHAnsi" w:eastAsiaTheme="minorEastAsia" w:hAnsiTheme="majorHAnsi" w:cstheme="majorHAnsi"/>
          <w:sz w:val="23"/>
          <w:szCs w:val="23"/>
          <w:lang w:val="en-GB" w:eastAsia="en-AU"/>
        </w:rPr>
        <w:t>Programs that offer p</w:t>
      </w:r>
      <w:r w:rsidRPr="00E541A1">
        <w:rPr>
          <w:rFonts w:asciiTheme="majorHAnsi" w:eastAsiaTheme="minorEastAsia" w:hAnsiTheme="majorHAnsi" w:cstheme="majorHAnsi"/>
          <w:sz w:val="23"/>
          <w:szCs w:val="23"/>
          <w:lang w:val="en-GB" w:eastAsia="en-AU"/>
        </w:rPr>
        <w:t xml:space="preserve">otential to </w:t>
      </w:r>
      <w:r w:rsidRPr="00E541A1">
        <w:rPr>
          <w:rFonts w:asciiTheme="majorHAnsi" w:eastAsiaTheme="minorEastAsia" w:hAnsiTheme="majorHAnsi" w:cstheme="majorHAnsi"/>
          <w:sz w:val="23"/>
          <w:szCs w:val="23"/>
          <w:lang w:eastAsia="en-AU"/>
        </w:rPr>
        <w:t>develop State Government partnerships</w:t>
      </w:r>
      <w:r>
        <w:rPr>
          <w:rFonts w:asciiTheme="majorHAnsi" w:eastAsiaTheme="minorEastAsia" w:hAnsiTheme="majorHAnsi" w:cstheme="majorHAnsi"/>
          <w:sz w:val="23"/>
          <w:szCs w:val="23"/>
          <w:lang w:eastAsia="en-AU"/>
        </w:rPr>
        <w:t>,</w:t>
      </w:r>
      <w:r w:rsidRPr="00E541A1">
        <w:rPr>
          <w:rFonts w:asciiTheme="majorHAnsi" w:eastAsiaTheme="minorEastAsia" w:hAnsiTheme="majorHAnsi" w:cstheme="majorHAnsi"/>
          <w:sz w:val="23"/>
          <w:szCs w:val="23"/>
          <w:lang w:eastAsia="en-AU"/>
        </w:rPr>
        <w:t xml:space="preserve"> and/or tap into </w:t>
      </w:r>
      <w:r w:rsidRPr="00702F40">
        <w:rPr>
          <w:rFonts w:asciiTheme="majorHAnsi" w:eastAsiaTheme="minorEastAsia" w:hAnsiTheme="majorHAnsi" w:cstheme="majorHAnsi"/>
          <w:sz w:val="23"/>
          <w:szCs w:val="23"/>
          <w:lang w:eastAsia="en-AU"/>
        </w:rPr>
        <w:t>existing Federal/State initiatives and policy priorities</w:t>
      </w:r>
    </w:p>
    <w:p w14:paraId="7E915555" w14:textId="77777777" w:rsidR="00246A14" w:rsidRPr="00702F40" w:rsidRDefault="00246A14" w:rsidP="00364C5D">
      <w:pPr>
        <w:numPr>
          <w:ilvl w:val="0"/>
          <w:numId w:val="74"/>
        </w:numPr>
        <w:spacing w:after="0" w:line="276" w:lineRule="auto"/>
        <w:contextualSpacing/>
        <w:rPr>
          <w:rFonts w:asciiTheme="majorHAnsi" w:eastAsiaTheme="minorEastAsia" w:hAnsiTheme="majorHAnsi" w:cstheme="majorBidi"/>
          <w:sz w:val="23"/>
          <w:szCs w:val="23"/>
          <w:lang w:val="en-GB" w:eastAsia="en-AU"/>
        </w:rPr>
      </w:pPr>
      <w:r w:rsidRPr="00702F40">
        <w:rPr>
          <w:rFonts w:asciiTheme="majorHAnsi" w:eastAsiaTheme="minorEastAsia" w:hAnsiTheme="majorHAnsi" w:cstheme="majorBidi"/>
          <w:sz w:val="23"/>
          <w:szCs w:val="23"/>
          <w:lang w:eastAsia="en-AU"/>
        </w:rPr>
        <w:t>Initiatives that are viable for implementation at the local government level, and compatible with Australia’s current policy contexts and legal frameworks</w:t>
      </w:r>
    </w:p>
    <w:p w14:paraId="28838A9A" w14:textId="2031D1DF" w:rsidR="00246A14" w:rsidRPr="00702F40" w:rsidRDefault="00246A14" w:rsidP="00364C5D">
      <w:pPr>
        <w:numPr>
          <w:ilvl w:val="0"/>
          <w:numId w:val="74"/>
        </w:numPr>
        <w:spacing w:after="0" w:line="276" w:lineRule="auto"/>
        <w:rPr>
          <w:rFonts w:asciiTheme="majorHAnsi" w:hAnsiTheme="majorHAnsi"/>
          <w:sz w:val="23"/>
          <w:szCs w:val="23"/>
          <w:lang w:eastAsia="en-AU"/>
        </w:rPr>
      </w:pPr>
      <w:r w:rsidRPr="00702F40">
        <w:rPr>
          <w:rFonts w:asciiTheme="majorHAnsi" w:eastAsiaTheme="minorEastAsia" w:hAnsiTheme="majorHAnsi" w:cstheme="majorBidi"/>
          <w:sz w:val="23"/>
          <w:szCs w:val="23"/>
          <w:lang w:eastAsia="en-AU"/>
        </w:rPr>
        <w:t xml:space="preserve">A range of programs spanning different </w:t>
      </w:r>
      <w:r w:rsidR="00D95573">
        <w:rPr>
          <w:rFonts w:asciiTheme="majorHAnsi" w:eastAsiaTheme="minorEastAsia" w:hAnsiTheme="majorHAnsi" w:cstheme="majorBidi"/>
          <w:sz w:val="23"/>
          <w:szCs w:val="23"/>
          <w:lang w:eastAsia="en-AU"/>
        </w:rPr>
        <w:t>Practice Domain</w:t>
      </w:r>
      <w:r w:rsidRPr="00702F40">
        <w:rPr>
          <w:rFonts w:asciiTheme="majorHAnsi" w:eastAsiaTheme="minorEastAsia" w:hAnsiTheme="majorHAnsi" w:cstheme="majorBidi"/>
          <w:sz w:val="23"/>
          <w:szCs w:val="23"/>
          <w:lang w:eastAsia="en-AU"/>
        </w:rPr>
        <w:t>s</w:t>
      </w:r>
    </w:p>
    <w:p w14:paraId="5968FF00" w14:textId="77777777" w:rsidR="00246A14" w:rsidRPr="00702F40" w:rsidRDefault="00246A14" w:rsidP="00364C5D">
      <w:pPr>
        <w:numPr>
          <w:ilvl w:val="0"/>
          <w:numId w:val="74"/>
        </w:numPr>
        <w:spacing w:after="0" w:line="276" w:lineRule="auto"/>
        <w:rPr>
          <w:rFonts w:asciiTheme="majorHAnsi" w:hAnsiTheme="majorHAnsi"/>
          <w:sz w:val="23"/>
          <w:szCs w:val="23"/>
          <w:lang w:eastAsia="en-AU"/>
        </w:rPr>
      </w:pPr>
      <w:r w:rsidRPr="00702F40">
        <w:rPr>
          <w:rFonts w:asciiTheme="majorHAnsi" w:eastAsiaTheme="minorEastAsia" w:hAnsiTheme="majorHAnsi" w:cstheme="majorBidi"/>
          <w:sz w:val="23"/>
          <w:szCs w:val="23"/>
          <w:lang w:eastAsia="en-AU"/>
        </w:rPr>
        <w:t>A range of programs spanning diverse approaches, models, and frameworks</w:t>
      </w:r>
    </w:p>
    <w:p w14:paraId="2C0B80A9" w14:textId="4775ABCD" w:rsidR="00246A14" w:rsidRPr="00702F40" w:rsidRDefault="00246A14" w:rsidP="00364C5D">
      <w:pPr>
        <w:numPr>
          <w:ilvl w:val="0"/>
          <w:numId w:val="74"/>
        </w:numPr>
        <w:spacing w:after="0" w:line="276" w:lineRule="auto"/>
        <w:contextualSpacing/>
        <w:rPr>
          <w:rFonts w:asciiTheme="majorHAnsi" w:eastAsiaTheme="minorEastAsia" w:hAnsiTheme="majorHAnsi" w:cstheme="majorBidi"/>
          <w:sz w:val="23"/>
          <w:szCs w:val="23"/>
          <w:lang w:val="en-GB" w:eastAsia="en-AU"/>
        </w:rPr>
      </w:pPr>
      <w:r w:rsidRPr="00702F40">
        <w:rPr>
          <w:rFonts w:asciiTheme="majorHAnsi" w:eastAsiaTheme="minorEastAsia" w:hAnsiTheme="majorHAnsi" w:cstheme="majorBidi"/>
          <w:sz w:val="23"/>
          <w:szCs w:val="23"/>
          <w:lang w:eastAsia="en-AU"/>
        </w:rPr>
        <w:t xml:space="preserve">Projects documented in English, with sufficient publicly available detail to inform </w:t>
      </w:r>
      <w:r w:rsidR="00AD2DA5">
        <w:rPr>
          <w:rFonts w:asciiTheme="majorHAnsi" w:eastAsiaTheme="minorEastAsia" w:hAnsiTheme="majorHAnsi" w:cstheme="majorBidi"/>
          <w:sz w:val="23"/>
          <w:szCs w:val="23"/>
          <w:lang w:eastAsia="en-AU"/>
        </w:rPr>
        <w:t>Case Studies</w:t>
      </w:r>
      <w:r w:rsidRPr="00702F40">
        <w:rPr>
          <w:rFonts w:asciiTheme="majorHAnsi" w:eastAsiaTheme="minorEastAsia" w:hAnsiTheme="majorHAnsi" w:cstheme="majorBidi"/>
          <w:sz w:val="23"/>
          <w:szCs w:val="23"/>
          <w:lang w:eastAsia="en-AU"/>
        </w:rPr>
        <w:t>.</w:t>
      </w:r>
    </w:p>
    <w:p w14:paraId="5053AF2E" w14:textId="77777777" w:rsidR="00246A14" w:rsidRPr="00702F40" w:rsidRDefault="00246A14" w:rsidP="00246A14">
      <w:pPr>
        <w:spacing w:after="0" w:line="276" w:lineRule="auto"/>
        <w:rPr>
          <w:rFonts w:asciiTheme="majorHAnsi" w:eastAsiaTheme="minorEastAsia" w:hAnsiTheme="majorHAnsi" w:cstheme="majorHAnsi"/>
          <w:b/>
          <w:bCs/>
          <w:sz w:val="16"/>
          <w:szCs w:val="16"/>
          <w:lang w:eastAsia="en-AU"/>
        </w:rPr>
      </w:pPr>
    </w:p>
    <w:p w14:paraId="0EDA2692" w14:textId="7EFC3599" w:rsidR="001902AC" w:rsidRDefault="001902AC" w:rsidP="001902AC">
      <w:pPr>
        <w:spacing w:after="0" w:line="276" w:lineRule="auto"/>
        <w:rPr>
          <w:rFonts w:asciiTheme="majorHAnsi" w:hAnsiTheme="majorHAnsi" w:cstheme="majorBidi"/>
          <w:sz w:val="23"/>
          <w:szCs w:val="23"/>
        </w:rPr>
      </w:pPr>
      <w:r w:rsidRPr="47C6F23B">
        <w:rPr>
          <w:rFonts w:asciiTheme="majorHAnsi" w:hAnsiTheme="majorHAnsi" w:cstheme="majorBidi"/>
          <w:sz w:val="23"/>
          <w:szCs w:val="23"/>
        </w:rPr>
        <w:t>As</w:t>
      </w:r>
      <w:r w:rsidR="00B4663C">
        <w:rPr>
          <w:rFonts w:asciiTheme="majorHAnsi" w:hAnsiTheme="majorHAnsi" w:cstheme="majorBidi"/>
          <w:sz w:val="23"/>
          <w:szCs w:val="23"/>
        </w:rPr>
        <w:t xml:space="preserve"> other</w:t>
      </w:r>
      <w:r w:rsidRPr="47C6F23B">
        <w:rPr>
          <w:rFonts w:asciiTheme="majorHAnsi" w:hAnsiTheme="majorHAnsi" w:cstheme="majorBidi"/>
          <w:sz w:val="23"/>
          <w:szCs w:val="23"/>
        </w:rPr>
        <w:t xml:space="preserve"> researchers have noted, the documentation of place-based interventions varies greatly in quality, depth, and scale (Crimeen et al, 2017: 44; Spath, 2016). In seeking diverse candidates for the </w:t>
      </w:r>
      <w:r w:rsidR="00AD2DA5">
        <w:rPr>
          <w:rFonts w:asciiTheme="majorHAnsi" w:hAnsiTheme="majorHAnsi" w:cstheme="majorBidi"/>
          <w:sz w:val="23"/>
          <w:szCs w:val="23"/>
        </w:rPr>
        <w:t>Case Studies</w:t>
      </w:r>
      <w:r w:rsidRPr="47C6F23B">
        <w:rPr>
          <w:rFonts w:asciiTheme="majorHAnsi" w:hAnsiTheme="majorHAnsi" w:cstheme="majorBidi"/>
          <w:sz w:val="23"/>
          <w:szCs w:val="23"/>
        </w:rPr>
        <w:t>, we found that relatively few programs had been documented in any comprehensive, lasting, or consistent way. Numerous initiatives were ruled out due to insufficient or inadequate source material. Several promising themes met the same fate.</w:t>
      </w:r>
    </w:p>
    <w:p w14:paraId="6206612A" w14:textId="77777777" w:rsidR="001902AC" w:rsidRPr="00C86DF2" w:rsidRDefault="001902AC" w:rsidP="001902AC">
      <w:pPr>
        <w:spacing w:after="0" w:line="276" w:lineRule="auto"/>
        <w:rPr>
          <w:rFonts w:asciiTheme="majorHAnsi" w:hAnsiTheme="majorHAnsi" w:cstheme="majorBidi"/>
          <w:sz w:val="12"/>
          <w:szCs w:val="12"/>
        </w:rPr>
      </w:pPr>
    </w:p>
    <w:p w14:paraId="29CA75F4" w14:textId="43C84ED2" w:rsidR="001902AC" w:rsidRDefault="00671EE6" w:rsidP="001902AC">
      <w:pPr>
        <w:spacing w:after="0" w:line="276" w:lineRule="auto"/>
        <w:rPr>
          <w:rFonts w:asciiTheme="majorHAnsi" w:hAnsiTheme="majorHAnsi" w:cstheme="majorBidi"/>
          <w:sz w:val="23"/>
          <w:szCs w:val="23"/>
        </w:rPr>
      </w:pPr>
      <w:r>
        <w:rPr>
          <w:rFonts w:asciiTheme="majorHAnsi" w:hAnsiTheme="majorHAnsi" w:cstheme="majorBidi"/>
          <w:sz w:val="23"/>
          <w:szCs w:val="23"/>
        </w:rPr>
        <w:t>Considering the pool of candidates, we</w:t>
      </w:r>
      <w:r w:rsidR="001902AC" w:rsidRPr="47C6F23B">
        <w:rPr>
          <w:rFonts w:asciiTheme="majorHAnsi" w:hAnsiTheme="majorHAnsi" w:cstheme="majorBidi"/>
          <w:sz w:val="23"/>
          <w:szCs w:val="23"/>
        </w:rPr>
        <w:t xml:space="preserve"> </w:t>
      </w:r>
      <w:r w:rsidR="0066098F">
        <w:rPr>
          <w:rFonts w:asciiTheme="majorHAnsi" w:hAnsiTheme="majorHAnsi" w:cstheme="majorBidi"/>
          <w:sz w:val="23"/>
          <w:szCs w:val="23"/>
        </w:rPr>
        <w:t xml:space="preserve">also </w:t>
      </w:r>
      <w:r w:rsidR="008B15EC">
        <w:rPr>
          <w:rFonts w:asciiTheme="majorHAnsi" w:hAnsiTheme="majorHAnsi" w:cstheme="majorBidi"/>
          <w:sz w:val="23"/>
          <w:szCs w:val="23"/>
        </w:rPr>
        <w:t xml:space="preserve">discovered that </w:t>
      </w:r>
      <w:r w:rsidR="001902AC" w:rsidRPr="47C6F23B">
        <w:rPr>
          <w:rFonts w:asciiTheme="majorHAnsi" w:hAnsiTheme="majorHAnsi" w:cstheme="majorBidi"/>
          <w:sz w:val="23"/>
          <w:szCs w:val="23"/>
        </w:rPr>
        <w:t>few programs had been independently evaluated; where evaluations had been done, their rigour, depth, and focus varied widely. In part</w:t>
      </w:r>
      <w:r>
        <w:rPr>
          <w:rFonts w:asciiTheme="majorHAnsi" w:hAnsiTheme="majorHAnsi" w:cstheme="majorBidi"/>
          <w:sz w:val="23"/>
          <w:szCs w:val="23"/>
        </w:rPr>
        <w:t>,</w:t>
      </w:r>
      <w:r w:rsidR="001902AC" w:rsidRPr="47C6F23B">
        <w:rPr>
          <w:rFonts w:asciiTheme="majorHAnsi" w:hAnsiTheme="majorHAnsi" w:cstheme="majorBidi"/>
          <w:sz w:val="23"/>
          <w:szCs w:val="23"/>
        </w:rPr>
        <w:t xml:space="preserve"> this reflects the fact that place-based interventions can be </w:t>
      </w:r>
      <w:r>
        <w:rPr>
          <w:rFonts w:asciiTheme="majorHAnsi" w:hAnsiTheme="majorHAnsi" w:cstheme="majorBidi"/>
          <w:sz w:val="23"/>
          <w:szCs w:val="23"/>
        </w:rPr>
        <w:t>hard</w:t>
      </w:r>
      <w:r w:rsidR="001902AC" w:rsidRPr="47C6F23B">
        <w:rPr>
          <w:rFonts w:asciiTheme="majorHAnsi" w:hAnsiTheme="majorHAnsi" w:cstheme="majorBidi"/>
          <w:sz w:val="23"/>
          <w:szCs w:val="23"/>
        </w:rPr>
        <w:t xml:space="preserve"> to evaluate. Challenges</w:t>
      </w:r>
      <w:r w:rsidR="00C86DF2">
        <w:rPr>
          <w:rFonts w:asciiTheme="majorHAnsi" w:hAnsiTheme="majorHAnsi" w:cstheme="majorBidi"/>
          <w:sz w:val="23"/>
          <w:szCs w:val="23"/>
        </w:rPr>
        <w:t xml:space="preserve"> noted in prior studies</w:t>
      </w:r>
      <w:r w:rsidR="001902AC" w:rsidRPr="47C6F23B">
        <w:rPr>
          <w:rFonts w:asciiTheme="majorHAnsi" w:hAnsiTheme="majorHAnsi" w:cstheme="majorBidi"/>
          <w:sz w:val="23"/>
          <w:szCs w:val="23"/>
        </w:rPr>
        <w:t xml:space="preserve"> include program complexity, long timeframes, external influences, attribution difficulties, multiple partners, inconsistent measurement tools, uneven documentation, lack of control groups, resource scarcity, open-ended goals, and a tendency for goalposts to shift (Crew, 2020: 1–8; Crimeen et al, 2017: 34, 42; Spath, 2016; Taylor et al, 2017). Population mobility, fluctuations in area-level statistics over time, and variations in geographic scale can also pose a challenge for evaluating place-based initiatives (Byron, 2010).</w:t>
      </w:r>
    </w:p>
    <w:p w14:paraId="571BE87B" w14:textId="77777777" w:rsidR="001902AC" w:rsidRPr="00C5183D" w:rsidRDefault="001902AC" w:rsidP="001902AC">
      <w:pPr>
        <w:spacing w:after="0" w:line="276" w:lineRule="auto"/>
        <w:rPr>
          <w:rFonts w:asciiTheme="majorHAnsi" w:hAnsiTheme="majorHAnsi" w:cstheme="majorBidi"/>
          <w:sz w:val="16"/>
          <w:szCs w:val="16"/>
        </w:rPr>
      </w:pPr>
    </w:p>
    <w:p w14:paraId="64B2A487" w14:textId="77777777" w:rsidR="001902AC" w:rsidRDefault="001902AC" w:rsidP="001902AC">
      <w:pPr>
        <w:spacing w:after="0" w:line="276" w:lineRule="auto"/>
        <w:rPr>
          <w:rFonts w:asciiTheme="majorHAnsi" w:hAnsiTheme="majorHAnsi" w:cstheme="majorBidi"/>
          <w:sz w:val="23"/>
          <w:szCs w:val="23"/>
        </w:rPr>
      </w:pPr>
      <w:r w:rsidRPr="47C6F23B">
        <w:rPr>
          <w:rFonts w:asciiTheme="majorHAnsi" w:hAnsiTheme="majorHAnsi" w:cstheme="majorBidi"/>
          <w:sz w:val="23"/>
          <w:szCs w:val="23"/>
        </w:rPr>
        <w:t xml:space="preserve">Necessarily then, we drew on disparate sources to build a meaningful picture of each intervention. Where formal evaluations were available, key findings have been summarised. Where evaluations were </w:t>
      </w:r>
      <w:r w:rsidRPr="47C6F23B">
        <w:rPr>
          <w:rFonts w:asciiTheme="majorHAnsi" w:hAnsiTheme="majorHAnsi" w:cstheme="majorBidi"/>
          <w:sz w:val="23"/>
          <w:szCs w:val="23"/>
        </w:rPr>
        <w:lastRenderedPageBreak/>
        <w:t>absent or piecemeal, other recorded details were gleaned to give a sense of the program’s outcomes, impacts, benefits, challenges, and indicators of success. These included participation figures, new community assets, offshoot projects, program expansion or growth, participant feedback, new skills or knowledge, evidence of genuine community involvement, resulting networks or partnerships, observations by researchers or program staff, and other pertinent data. The term “success factors” refers to elements of the program that likely contributed to its positive impacts, favourable outcomes, or other benefits. In the absence of comprehensive evaluations, a program’s “success factors” were extrapolated from available information, and thus are more indicative than conclusive.</w:t>
      </w:r>
    </w:p>
    <w:p w14:paraId="345EB3D3" w14:textId="77777777" w:rsidR="001902AC" w:rsidRPr="00C5183D" w:rsidRDefault="001902AC" w:rsidP="001902AC">
      <w:pPr>
        <w:spacing w:after="0" w:line="276" w:lineRule="auto"/>
        <w:rPr>
          <w:rFonts w:asciiTheme="majorHAnsi" w:hAnsiTheme="majorHAnsi" w:cstheme="majorBidi"/>
          <w:sz w:val="16"/>
          <w:szCs w:val="16"/>
        </w:rPr>
      </w:pPr>
    </w:p>
    <w:p w14:paraId="6544ED5B" w14:textId="77777777" w:rsidR="00C86DF2" w:rsidRDefault="001902AC" w:rsidP="001902AC">
      <w:pPr>
        <w:spacing w:after="0" w:line="276" w:lineRule="auto"/>
        <w:rPr>
          <w:rFonts w:asciiTheme="majorHAnsi" w:hAnsiTheme="majorHAnsi" w:cstheme="majorBidi"/>
          <w:sz w:val="23"/>
          <w:szCs w:val="23"/>
        </w:rPr>
      </w:pPr>
      <w:r w:rsidRPr="47C6F23B">
        <w:rPr>
          <w:rFonts w:asciiTheme="majorHAnsi" w:hAnsiTheme="majorHAnsi" w:cstheme="majorBidi"/>
          <w:sz w:val="23"/>
          <w:szCs w:val="23"/>
        </w:rPr>
        <w:t>Lack of definitive data does not signal program failure. Several points are worth noting here: first, traditional evaluations may fail to capture both the essence of what makes place-based interventions “work”, and the parameters of what constitutes “success”: sometimes the value lies in the process itself, rather than in a set of pre-ordained metrics or tangible outcomes; what’s more, unforeseen benefits can unfold long after an evaluation is completed (Interim Spaces, n.d.; Farmer, 2015; Taylor et al, 2017). Second, place-based interventions are by nature entangled with local needs, priorities, and capacities, which are typically dynamic over time (Smart, 2017); goalposts may shift, and program flexibility can be a plus, but evaluations are not always set up to accommodate this.</w:t>
      </w:r>
    </w:p>
    <w:p w14:paraId="1E3028FE" w14:textId="77777777" w:rsidR="00C86DF2" w:rsidRPr="00C86DF2" w:rsidRDefault="00C86DF2" w:rsidP="001902AC">
      <w:pPr>
        <w:spacing w:after="0" w:line="276" w:lineRule="auto"/>
        <w:rPr>
          <w:rFonts w:asciiTheme="majorHAnsi" w:hAnsiTheme="majorHAnsi" w:cstheme="majorBidi"/>
          <w:sz w:val="12"/>
          <w:szCs w:val="12"/>
        </w:rPr>
      </w:pPr>
    </w:p>
    <w:p w14:paraId="302564E5" w14:textId="713A3D92" w:rsidR="001902AC" w:rsidRDefault="00C86DF2" w:rsidP="001902AC">
      <w:pPr>
        <w:spacing w:after="0" w:line="276" w:lineRule="auto"/>
        <w:rPr>
          <w:rFonts w:asciiTheme="majorHAnsi" w:hAnsiTheme="majorHAnsi" w:cstheme="majorBidi"/>
          <w:sz w:val="23"/>
          <w:szCs w:val="23"/>
        </w:rPr>
      </w:pPr>
      <w:r>
        <w:rPr>
          <w:rFonts w:asciiTheme="majorHAnsi" w:hAnsiTheme="majorHAnsi" w:cstheme="majorBidi"/>
          <w:sz w:val="23"/>
          <w:szCs w:val="23"/>
        </w:rPr>
        <w:t>A t</w:t>
      </w:r>
      <w:r w:rsidR="001902AC" w:rsidRPr="47C6F23B">
        <w:rPr>
          <w:rFonts w:asciiTheme="majorHAnsi" w:hAnsiTheme="majorHAnsi" w:cstheme="majorBidi"/>
          <w:sz w:val="23"/>
          <w:szCs w:val="23"/>
        </w:rPr>
        <w:t>hird</w:t>
      </w:r>
      <w:r>
        <w:rPr>
          <w:rFonts w:asciiTheme="majorHAnsi" w:hAnsiTheme="majorHAnsi" w:cstheme="majorBidi"/>
          <w:sz w:val="23"/>
          <w:szCs w:val="23"/>
        </w:rPr>
        <w:t xml:space="preserve"> worth noting is that</w:t>
      </w:r>
      <w:r w:rsidR="001902AC" w:rsidRPr="47C6F23B">
        <w:rPr>
          <w:rFonts w:asciiTheme="majorHAnsi" w:hAnsiTheme="majorHAnsi" w:cstheme="majorBidi"/>
          <w:sz w:val="23"/>
          <w:szCs w:val="23"/>
        </w:rPr>
        <w:t xml:space="preserve"> while formal evaluations can provide useful data and evidence of alignment with current best practice guidelines, all places and communities are effectively unique. What works for one neighbourhood may not work for another, and vice versa. Finally, structural factors</w:t>
      </w:r>
      <w:r>
        <w:rPr>
          <w:rFonts w:asciiTheme="majorHAnsi" w:hAnsiTheme="majorHAnsi" w:cstheme="majorBidi"/>
          <w:sz w:val="23"/>
          <w:szCs w:val="23"/>
        </w:rPr>
        <w:t>, funding parameters,</w:t>
      </w:r>
      <w:r w:rsidR="001902AC" w:rsidRPr="47C6F23B">
        <w:rPr>
          <w:rFonts w:asciiTheme="majorHAnsi" w:hAnsiTheme="majorHAnsi" w:cstheme="majorBidi"/>
          <w:sz w:val="23"/>
          <w:szCs w:val="23"/>
        </w:rPr>
        <w:t xml:space="preserve"> and institutional priorities mean some programs are more likely to be evaluated than others. As a result, promising approaches may fly under the radar.</w:t>
      </w:r>
    </w:p>
    <w:p w14:paraId="5015CF1F" w14:textId="77777777" w:rsidR="00E028F6" w:rsidRPr="00C86DF2" w:rsidRDefault="00E028F6" w:rsidP="001902AC">
      <w:pPr>
        <w:spacing w:after="0" w:line="276" w:lineRule="auto"/>
        <w:rPr>
          <w:rFonts w:asciiTheme="majorHAnsi" w:hAnsiTheme="majorHAnsi" w:cstheme="majorBidi"/>
          <w:sz w:val="12"/>
          <w:szCs w:val="12"/>
        </w:rPr>
      </w:pPr>
    </w:p>
    <w:p w14:paraId="7BC2D59D" w14:textId="069DB7A4" w:rsidR="001902AC" w:rsidRDefault="003C4388" w:rsidP="001902AC">
      <w:pPr>
        <w:spacing w:after="0" w:line="276" w:lineRule="auto"/>
        <w:rPr>
          <w:rFonts w:asciiTheme="majorHAnsi" w:hAnsiTheme="majorHAnsi" w:cstheme="majorBidi"/>
          <w:sz w:val="23"/>
          <w:szCs w:val="23"/>
        </w:rPr>
      </w:pPr>
      <w:r>
        <w:rPr>
          <w:rFonts w:asciiTheme="majorHAnsi" w:hAnsiTheme="majorHAnsi" w:cstheme="majorBidi"/>
          <w:sz w:val="23"/>
          <w:szCs w:val="23"/>
        </w:rPr>
        <w:t>A</w:t>
      </w:r>
      <w:r w:rsidRPr="47C6F23B">
        <w:rPr>
          <w:rFonts w:asciiTheme="majorHAnsi" w:hAnsiTheme="majorHAnsi" w:cstheme="majorBidi"/>
          <w:sz w:val="23"/>
          <w:szCs w:val="23"/>
        </w:rPr>
        <w:t xml:space="preserve">round </w:t>
      </w:r>
      <w:r>
        <w:rPr>
          <w:rFonts w:asciiTheme="majorHAnsi" w:hAnsiTheme="majorHAnsi" w:cstheme="majorBidi"/>
          <w:sz w:val="23"/>
          <w:szCs w:val="23"/>
        </w:rPr>
        <w:t>half</w:t>
      </w:r>
      <w:r w:rsidRPr="47C6F23B">
        <w:rPr>
          <w:rFonts w:asciiTheme="majorHAnsi" w:hAnsiTheme="majorHAnsi" w:cstheme="majorBidi"/>
          <w:sz w:val="23"/>
          <w:szCs w:val="23"/>
        </w:rPr>
        <w:t xml:space="preserve"> of </w:t>
      </w:r>
      <w:r>
        <w:rPr>
          <w:rFonts w:asciiTheme="majorHAnsi" w:hAnsiTheme="majorHAnsi" w:cstheme="majorBidi"/>
          <w:sz w:val="23"/>
          <w:szCs w:val="23"/>
        </w:rPr>
        <w:t xml:space="preserve">the </w:t>
      </w:r>
      <w:r w:rsidRPr="47C6F23B">
        <w:rPr>
          <w:rFonts w:asciiTheme="majorHAnsi" w:hAnsiTheme="majorHAnsi" w:cstheme="majorBidi"/>
          <w:sz w:val="23"/>
          <w:szCs w:val="23"/>
        </w:rPr>
        <w:t xml:space="preserve">Australian </w:t>
      </w:r>
      <w:r>
        <w:rPr>
          <w:rFonts w:asciiTheme="majorHAnsi" w:hAnsiTheme="majorHAnsi" w:cstheme="majorBidi"/>
          <w:sz w:val="23"/>
          <w:szCs w:val="23"/>
        </w:rPr>
        <w:t>initiatives and three-quarters</w:t>
      </w:r>
      <w:r w:rsidRPr="47C6F23B">
        <w:rPr>
          <w:rFonts w:asciiTheme="majorHAnsi" w:hAnsiTheme="majorHAnsi" w:cstheme="majorBidi"/>
          <w:sz w:val="23"/>
          <w:szCs w:val="23"/>
        </w:rPr>
        <w:t xml:space="preserve"> of</w:t>
      </w:r>
      <w:r>
        <w:rPr>
          <w:rFonts w:asciiTheme="majorHAnsi" w:hAnsiTheme="majorHAnsi" w:cstheme="majorBidi"/>
          <w:sz w:val="23"/>
          <w:szCs w:val="23"/>
        </w:rPr>
        <w:t xml:space="preserve"> the</w:t>
      </w:r>
      <w:r w:rsidRPr="47C6F23B">
        <w:rPr>
          <w:rFonts w:asciiTheme="majorHAnsi" w:hAnsiTheme="majorHAnsi" w:cstheme="majorBidi"/>
          <w:sz w:val="23"/>
          <w:szCs w:val="23"/>
        </w:rPr>
        <w:t xml:space="preserve"> international </w:t>
      </w:r>
      <w:r>
        <w:rPr>
          <w:rFonts w:asciiTheme="majorHAnsi" w:hAnsiTheme="majorHAnsi" w:cstheme="majorBidi"/>
          <w:sz w:val="23"/>
          <w:szCs w:val="23"/>
        </w:rPr>
        <w:t xml:space="preserve">examples </w:t>
      </w:r>
      <w:r w:rsidR="00C86DF2">
        <w:rPr>
          <w:rFonts w:asciiTheme="majorHAnsi" w:hAnsiTheme="majorHAnsi" w:cstheme="majorBidi"/>
          <w:sz w:val="23"/>
          <w:szCs w:val="23"/>
        </w:rPr>
        <w:t xml:space="preserve">profiled below </w:t>
      </w:r>
      <w:r>
        <w:rPr>
          <w:rFonts w:asciiTheme="majorHAnsi" w:hAnsiTheme="majorHAnsi" w:cstheme="majorBidi"/>
          <w:sz w:val="23"/>
          <w:szCs w:val="23"/>
        </w:rPr>
        <w:t>have</w:t>
      </w:r>
      <w:r w:rsidRPr="47C6F23B">
        <w:rPr>
          <w:rFonts w:asciiTheme="majorHAnsi" w:hAnsiTheme="majorHAnsi" w:cstheme="majorBidi"/>
          <w:sz w:val="23"/>
          <w:szCs w:val="23"/>
        </w:rPr>
        <w:t xml:space="preserve"> been publicly evaluated (with at least one evaluation pending). Some are too new to </w:t>
      </w:r>
      <w:r>
        <w:rPr>
          <w:rFonts w:asciiTheme="majorHAnsi" w:hAnsiTheme="majorHAnsi" w:cstheme="majorBidi"/>
          <w:sz w:val="23"/>
          <w:szCs w:val="23"/>
        </w:rPr>
        <w:t xml:space="preserve">have </w:t>
      </w:r>
      <w:r w:rsidRPr="47C6F23B">
        <w:rPr>
          <w:rFonts w:asciiTheme="majorHAnsi" w:hAnsiTheme="majorHAnsi" w:cstheme="majorBidi"/>
          <w:sz w:val="23"/>
          <w:szCs w:val="23"/>
        </w:rPr>
        <w:t>be</w:t>
      </w:r>
      <w:r>
        <w:rPr>
          <w:rFonts w:asciiTheme="majorHAnsi" w:hAnsiTheme="majorHAnsi" w:cstheme="majorBidi"/>
          <w:sz w:val="23"/>
          <w:szCs w:val="23"/>
        </w:rPr>
        <w:t>en</w:t>
      </w:r>
      <w:r w:rsidRPr="47C6F23B">
        <w:rPr>
          <w:rFonts w:asciiTheme="majorHAnsi" w:hAnsiTheme="majorHAnsi" w:cstheme="majorBidi"/>
          <w:sz w:val="23"/>
          <w:szCs w:val="23"/>
        </w:rPr>
        <w:t xml:space="preserve"> assessed</w:t>
      </w:r>
      <w:r>
        <w:rPr>
          <w:rFonts w:asciiTheme="majorHAnsi" w:hAnsiTheme="majorHAnsi" w:cstheme="majorBidi"/>
          <w:sz w:val="23"/>
          <w:szCs w:val="23"/>
        </w:rPr>
        <w:t xml:space="preserve"> yet</w:t>
      </w:r>
      <w:r w:rsidRPr="47C6F23B">
        <w:rPr>
          <w:rFonts w:asciiTheme="majorHAnsi" w:hAnsiTheme="majorHAnsi" w:cstheme="majorBidi"/>
          <w:sz w:val="23"/>
          <w:szCs w:val="23"/>
        </w:rPr>
        <w:t xml:space="preserve">. </w:t>
      </w:r>
      <w:r w:rsidR="00290E89">
        <w:rPr>
          <w:rFonts w:asciiTheme="majorHAnsi" w:hAnsiTheme="majorHAnsi" w:cstheme="majorBidi"/>
          <w:sz w:val="23"/>
          <w:szCs w:val="23"/>
        </w:rPr>
        <w:t>A</w:t>
      </w:r>
      <w:r w:rsidR="001902AC" w:rsidRPr="47C6F23B">
        <w:rPr>
          <w:rFonts w:asciiTheme="majorHAnsi" w:hAnsiTheme="majorHAnsi" w:cstheme="majorBidi"/>
          <w:sz w:val="23"/>
          <w:szCs w:val="23"/>
        </w:rPr>
        <w:t xml:space="preserve">longside “successful” </w:t>
      </w:r>
      <w:r w:rsidR="00C86DF2">
        <w:rPr>
          <w:rFonts w:asciiTheme="majorHAnsi" w:hAnsiTheme="majorHAnsi" w:cstheme="majorBidi"/>
          <w:sz w:val="23"/>
          <w:szCs w:val="23"/>
        </w:rPr>
        <w:t xml:space="preserve">and “effective” </w:t>
      </w:r>
      <w:r w:rsidR="001902AC" w:rsidRPr="47C6F23B">
        <w:rPr>
          <w:rFonts w:asciiTheme="majorHAnsi" w:hAnsiTheme="majorHAnsi" w:cstheme="majorBidi"/>
          <w:sz w:val="23"/>
          <w:szCs w:val="23"/>
        </w:rPr>
        <w:t xml:space="preserve">initiatives, we also sought to </w:t>
      </w:r>
      <w:r w:rsidR="00290E89">
        <w:rPr>
          <w:rFonts w:asciiTheme="majorHAnsi" w:hAnsiTheme="majorHAnsi" w:cstheme="majorBidi"/>
          <w:sz w:val="23"/>
          <w:szCs w:val="23"/>
        </w:rPr>
        <w:t>include some</w:t>
      </w:r>
      <w:r w:rsidR="001902AC" w:rsidRPr="47C6F23B">
        <w:rPr>
          <w:rFonts w:asciiTheme="majorHAnsi" w:hAnsiTheme="majorHAnsi" w:cstheme="majorBidi"/>
          <w:sz w:val="23"/>
          <w:szCs w:val="23"/>
        </w:rPr>
        <w:t xml:space="preserve"> “innovative” and “creative” </w:t>
      </w:r>
      <w:r w:rsidR="00C86DF2">
        <w:rPr>
          <w:rFonts w:asciiTheme="majorHAnsi" w:hAnsiTheme="majorHAnsi" w:cstheme="majorBidi"/>
          <w:sz w:val="23"/>
          <w:szCs w:val="23"/>
        </w:rPr>
        <w:t>ones</w:t>
      </w:r>
      <w:r w:rsidR="001902AC" w:rsidRPr="47C6F23B">
        <w:rPr>
          <w:rFonts w:asciiTheme="majorHAnsi" w:hAnsiTheme="majorHAnsi" w:cstheme="majorBidi"/>
          <w:sz w:val="23"/>
          <w:szCs w:val="23"/>
        </w:rPr>
        <w:t xml:space="preserve">. These more experimental programs do not always fit </w:t>
      </w:r>
      <w:r w:rsidR="00C86DF2">
        <w:rPr>
          <w:rFonts w:asciiTheme="majorHAnsi" w:hAnsiTheme="majorHAnsi" w:cstheme="majorBidi"/>
          <w:sz w:val="23"/>
          <w:szCs w:val="23"/>
        </w:rPr>
        <w:t xml:space="preserve">neatly into </w:t>
      </w:r>
      <w:r w:rsidR="001902AC" w:rsidRPr="47C6F23B">
        <w:rPr>
          <w:rFonts w:asciiTheme="majorHAnsi" w:hAnsiTheme="majorHAnsi" w:cstheme="majorBidi"/>
          <w:sz w:val="23"/>
          <w:szCs w:val="23"/>
        </w:rPr>
        <w:t xml:space="preserve">established categories, </w:t>
      </w:r>
      <w:r w:rsidR="001902AC">
        <w:rPr>
          <w:rFonts w:asciiTheme="majorHAnsi" w:hAnsiTheme="majorHAnsi" w:cstheme="majorBidi"/>
          <w:sz w:val="23"/>
          <w:szCs w:val="23"/>
        </w:rPr>
        <w:t>n</w:t>
      </w:r>
      <w:r w:rsidR="001902AC" w:rsidRPr="47C6F23B">
        <w:rPr>
          <w:rFonts w:asciiTheme="majorHAnsi" w:hAnsiTheme="majorHAnsi" w:cstheme="majorBidi"/>
          <w:sz w:val="23"/>
          <w:szCs w:val="23"/>
        </w:rPr>
        <w:t>or</w:t>
      </w:r>
      <w:r w:rsidR="001902AC">
        <w:rPr>
          <w:rFonts w:asciiTheme="majorHAnsi" w:hAnsiTheme="majorHAnsi" w:cstheme="majorBidi"/>
          <w:sz w:val="23"/>
          <w:szCs w:val="23"/>
        </w:rPr>
        <w:t xml:space="preserve"> do they always</w:t>
      </w:r>
      <w:r w:rsidR="001902AC" w:rsidRPr="47C6F23B">
        <w:rPr>
          <w:rFonts w:asciiTheme="majorHAnsi" w:hAnsiTheme="majorHAnsi" w:cstheme="majorBidi"/>
          <w:sz w:val="23"/>
          <w:szCs w:val="23"/>
        </w:rPr>
        <w:t xml:space="preserve"> leave a tidy paper trail. But they do invite </w:t>
      </w:r>
      <w:r w:rsidR="00C86DF2">
        <w:rPr>
          <w:rFonts w:asciiTheme="majorHAnsi" w:hAnsiTheme="majorHAnsi" w:cstheme="majorBidi"/>
          <w:sz w:val="23"/>
          <w:szCs w:val="23"/>
        </w:rPr>
        <w:t xml:space="preserve">productive </w:t>
      </w:r>
      <w:r w:rsidR="001902AC" w:rsidRPr="47C6F23B">
        <w:rPr>
          <w:rFonts w:asciiTheme="majorHAnsi" w:hAnsiTheme="majorHAnsi" w:cstheme="majorBidi"/>
          <w:sz w:val="23"/>
          <w:szCs w:val="23"/>
        </w:rPr>
        <w:t>speculation and expand the repertoire of possible approaches.</w:t>
      </w:r>
    </w:p>
    <w:p w14:paraId="542644E3" w14:textId="77777777" w:rsidR="00F00E3D" w:rsidRPr="00890CFF" w:rsidRDefault="00F00E3D" w:rsidP="009B2FA7">
      <w:pPr>
        <w:spacing w:after="0" w:line="276" w:lineRule="auto"/>
        <w:rPr>
          <w:rFonts w:asciiTheme="majorHAnsi" w:hAnsiTheme="majorHAnsi" w:cstheme="majorHAnsi"/>
          <w:color w:val="7F7F7F" w:themeColor="text1" w:themeTint="80"/>
          <w:sz w:val="16"/>
          <w:szCs w:val="16"/>
        </w:rPr>
      </w:pPr>
    </w:p>
    <w:p w14:paraId="5B2D966C" w14:textId="3B8489AF" w:rsidR="00F00E3D" w:rsidRPr="006004A2" w:rsidRDefault="00F00E3D" w:rsidP="009B2FA7">
      <w:pPr>
        <w:spacing w:after="0" w:line="276" w:lineRule="auto"/>
        <w:rPr>
          <w:rFonts w:cstheme="minorHAnsi"/>
          <w:b/>
          <w:bCs/>
          <w:color w:val="2F5496" w:themeColor="accent1" w:themeShade="BF"/>
          <w:sz w:val="32"/>
          <w:szCs w:val="32"/>
        </w:rPr>
      </w:pPr>
      <w:r>
        <w:rPr>
          <w:rFonts w:cstheme="minorHAnsi"/>
          <w:b/>
          <w:bCs/>
          <w:color w:val="2F5496" w:themeColor="accent1" w:themeShade="BF"/>
          <w:sz w:val="32"/>
          <w:szCs w:val="32"/>
        </w:rPr>
        <w:t xml:space="preserve">5.3 </w:t>
      </w:r>
      <w:r w:rsidRPr="006004A2">
        <w:rPr>
          <w:rFonts w:cstheme="minorHAnsi"/>
          <w:b/>
          <w:bCs/>
          <w:color w:val="2F5496" w:themeColor="accent1" w:themeShade="BF"/>
          <w:sz w:val="32"/>
          <w:szCs w:val="32"/>
        </w:rPr>
        <w:t xml:space="preserve">Australian </w:t>
      </w:r>
      <w:r w:rsidR="00AD2DA5">
        <w:rPr>
          <w:rFonts w:cstheme="minorHAnsi"/>
          <w:b/>
          <w:bCs/>
          <w:color w:val="2F5496" w:themeColor="accent1" w:themeShade="BF"/>
          <w:sz w:val="32"/>
          <w:szCs w:val="32"/>
        </w:rPr>
        <w:t>Case Studies</w:t>
      </w:r>
    </w:p>
    <w:p w14:paraId="7EF0A4E4" w14:textId="77777777" w:rsidR="00F00E3D" w:rsidRPr="00317E12" w:rsidRDefault="00F00E3D" w:rsidP="009B2FA7">
      <w:pPr>
        <w:spacing w:after="0" w:line="276" w:lineRule="auto"/>
        <w:rPr>
          <w:rFonts w:asciiTheme="majorHAnsi" w:hAnsiTheme="majorHAnsi" w:cstheme="majorHAnsi"/>
          <w:color w:val="7F7F7F" w:themeColor="text1" w:themeTint="80"/>
          <w:sz w:val="16"/>
          <w:szCs w:val="16"/>
        </w:rPr>
      </w:pPr>
    </w:p>
    <w:p w14:paraId="6413672C" w14:textId="0506DFFA" w:rsidR="00C86DF2" w:rsidRDefault="00F00E3D" w:rsidP="009B2FA7">
      <w:pPr>
        <w:spacing w:after="0" w:line="276" w:lineRule="auto"/>
        <w:rPr>
          <w:rFonts w:asciiTheme="majorHAnsi" w:hAnsiTheme="majorHAnsi" w:cstheme="majorBidi"/>
          <w:sz w:val="23"/>
          <w:szCs w:val="23"/>
        </w:rPr>
      </w:pPr>
      <w:r w:rsidRPr="359636AC">
        <w:rPr>
          <w:rFonts w:asciiTheme="majorHAnsi" w:hAnsiTheme="majorHAnsi" w:cstheme="majorBidi"/>
          <w:sz w:val="23"/>
          <w:szCs w:val="23"/>
        </w:rPr>
        <w:t xml:space="preserve">Arranged by locality, </w:t>
      </w:r>
      <w:r w:rsidR="00ED1F9E">
        <w:rPr>
          <w:rFonts w:asciiTheme="majorHAnsi" w:hAnsiTheme="majorHAnsi" w:cstheme="majorBidi"/>
          <w:sz w:val="23"/>
          <w:szCs w:val="23"/>
        </w:rPr>
        <w:t>our</w:t>
      </w:r>
      <w:r w:rsidR="000367F8">
        <w:rPr>
          <w:rFonts w:asciiTheme="majorHAnsi" w:hAnsiTheme="majorHAnsi" w:cstheme="majorBidi"/>
          <w:sz w:val="23"/>
          <w:szCs w:val="23"/>
        </w:rPr>
        <w:t xml:space="preserve"> </w:t>
      </w:r>
      <w:r w:rsidR="00AD2DA5">
        <w:rPr>
          <w:rFonts w:asciiTheme="majorHAnsi" w:hAnsiTheme="majorHAnsi" w:cstheme="majorBidi"/>
          <w:sz w:val="23"/>
          <w:szCs w:val="23"/>
        </w:rPr>
        <w:t>Case Studies</w:t>
      </w:r>
      <w:r w:rsidRPr="359636AC">
        <w:rPr>
          <w:rFonts w:asciiTheme="majorHAnsi" w:hAnsiTheme="majorHAnsi" w:cstheme="majorBidi"/>
          <w:sz w:val="23"/>
          <w:szCs w:val="23"/>
        </w:rPr>
        <w:t xml:space="preserve"> begin close to home. We start with a small </w:t>
      </w:r>
      <w:r w:rsidR="00C86DF2">
        <w:rPr>
          <w:rFonts w:asciiTheme="majorHAnsi" w:hAnsiTheme="majorHAnsi" w:cstheme="majorBidi"/>
          <w:sz w:val="23"/>
          <w:szCs w:val="23"/>
        </w:rPr>
        <w:t xml:space="preserve">sample </w:t>
      </w:r>
      <w:r w:rsidRPr="359636AC">
        <w:rPr>
          <w:rFonts w:asciiTheme="majorHAnsi" w:hAnsiTheme="majorHAnsi" w:cstheme="majorBidi"/>
          <w:sz w:val="23"/>
          <w:szCs w:val="23"/>
        </w:rPr>
        <w:t xml:space="preserve">selection of programs </w:t>
      </w:r>
      <w:r w:rsidR="00C86DF2">
        <w:rPr>
          <w:rFonts w:asciiTheme="majorHAnsi" w:hAnsiTheme="majorHAnsi" w:cstheme="majorBidi"/>
          <w:sz w:val="23"/>
          <w:szCs w:val="23"/>
        </w:rPr>
        <w:t>staged in</w:t>
      </w:r>
      <w:r w:rsidRPr="359636AC">
        <w:rPr>
          <w:rFonts w:asciiTheme="majorHAnsi" w:hAnsiTheme="majorHAnsi" w:cstheme="majorBidi"/>
          <w:sz w:val="23"/>
          <w:szCs w:val="23"/>
        </w:rPr>
        <w:t xml:space="preserve"> Corio, Norlane, and Whittington, then move outward to explore initiatives based in Greater Geelong, across the surrounding region, and in other location around Victoria, New South Wales, and South Australia. Two national programs are also profiled</w:t>
      </w:r>
      <w:r w:rsidR="00C86DF2">
        <w:rPr>
          <w:rFonts w:asciiTheme="majorHAnsi" w:hAnsiTheme="majorHAnsi" w:cstheme="majorBidi"/>
          <w:sz w:val="23"/>
          <w:szCs w:val="23"/>
        </w:rPr>
        <w:t>.</w:t>
      </w:r>
    </w:p>
    <w:p w14:paraId="15884276" w14:textId="77777777" w:rsidR="00C86DF2" w:rsidRPr="00C86DF2" w:rsidRDefault="00C86DF2" w:rsidP="009B2FA7">
      <w:pPr>
        <w:spacing w:after="0" w:line="276" w:lineRule="auto"/>
        <w:rPr>
          <w:rFonts w:asciiTheme="majorHAnsi" w:hAnsiTheme="majorHAnsi" w:cstheme="majorBidi"/>
          <w:sz w:val="16"/>
          <w:szCs w:val="16"/>
        </w:rPr>
      </w:pPr>
    </w:p>
    <w:p w14:paraId="13B467C0" w14:textId="0D5427B8" w:rsidR="00F00E3D" w:rsidRPr="00C86DF2" w:rsidRDefault="00F00E3D" w:rsidP="009B2FA7">
      <w:pPr>
        <w:spacing w:after="0" w:line="276" w:lineRule="auto"/>
        <w:rPr>
          <w:rFonts w:asciiTheme="majorHAnsi" w:hAnsiTheme="majorHAnsi" w:cstheme="majorBidi"/>
          <w:color w:val="7F7F7F" w:themeColor="text1" w:themeTint="80"/>
          <w:sz w:val="23"/>
          <w:szCs w:val="23"/>
        </w:rPr>
      </w:pPr>
      <w:r w:rsidRPr="359636AC">
        <w:rPr>
          <w:rFonts w:asciiTheme="majorHAnsi" w:hAnsiTheme="majorHAnsi" w:cstheme="majorBidi"/>
          <w:color w:val="000000" w:themeColor="text1"/>
          <w:sz w:val="23"/>
          <w:szCs w:val="23"/>
        </w:rPr>
        <w:t xml:space="preserve">The </w:t>
      </w:r>
      <w:r>
        <w:rPr>
          <w:rFonts w:asciiTheme="majorHAnsi" w:hAnsiTheme="majorHAnsi" w:cstheme="majorBidi"/>
          <w:color w:val="000000" w:themeColor="text1"/>
          <w:sz w:val="23"/>
          <w:szCs w:val="23"/>
        </w:rPr>
        <w:t>1</w:t>
      </w:r>
      <w:r w:rsidR="009E4E61">
        <w:rPr>
          <w:rFonts w:asciiTheme="majorHAnsi" w:hAnsiTheme="majorHAnsi" w:cstheme="majorBidi"/>
          <w:color w:val="000000" w:themeColor="text1"/>
          <w:sz w:val="23"/>
          <w:szCs w:val="23"/>
        </w:rPr>
        <w:t>3</w:t>
      </w:r>
      <w:r>
        <w:rPr>
          <w:rFonts w:asciiTheme="majorHAnsi" w:hAnsiTheme="majorHAnsi" w:cstheme="majorBidi"/>
          <w:color w:val="000000" w:themeColor="text1"/>
          <w:sz w:val="23"/>
          <w:szCs w:val="23"/>
        </w:rPr>
        <w:t xml:space="preserve"> </w:t>
      </w:r>
      <w:r w:rsidRPr="359636AC">
        <w:rPr>
          <w:rFonts w:asciiTheme="majorHAnsi" w:hAnsiTheme="majorHAnsi" w:cstheme="majorBidi"/>
          <w:color w:val="000000" w:themeColor="text1"/>
          <w:sz w:val="23"/>
          <w:szCs w:val="23"/>
        </w:rPr>
        <w:t xml:space="preserve">Australian </w:t>
      </w:r>
      <w:r w:rsidR="00AD2DA5">
        <w:rPr>
          <w:rFonts w:asciiTheme="majorHAnsi" w:hAnsiTheme="majorHAnsi" w:cstheme="majorBidi"/>
          <w:color w:val="000000" w:themeColor="text1"/>
          <w:sz w:val="23"/>
          <w:szCs w:val="23"/>
        </w:rPr>
        <w:t>Case Studies</w:t>
      </w:r>
      <w:r w:rsidRPr="359636AC">
        <w:rPr>
          <w:rFonts w:asciiTheme="majorHAnsi" w:hAnsiTheme="majorHAnsi" w:cstheme="majorBidi"/>
          <w:color w:val="000000" w:themeColor="text1"/>
          <w:sz w:val="23"/>
          <w:szCs w:val="23"/>
        </w:rPr>
        <w:t xml:space="preserve"> span mental health initiatives, arts projects, sports-based programs, local and regional employment solutions, food security, active transportation, early education, mentoring, homelessness outreach, digital inclusion, social cohesion, anti-stigma initiatives, community crowdsourcing, and a domestic violence intervention.</w:t>
      </w:r>
    </w:p>
    <w:p w14:paraId="0AFCEEF2" w14:textId="0AE6CBA8" w:rsidR="004133FC" w:rsidRDefault="004133FC">
      <w:pPr>
        <w:spacing w:after="0" w:line="240" w:lineRule="auto"/>
        <w:rPr>
          <w:rFonts w:asciiTheme="majorHAnsi" w:hAnsiTheme="majorHAnsi" w:cstheme="majorHAnsi"/>
          <w:color w:val="7F7F7F" w:themeColor="text1" w:themeTint="80"/>
          <w:sz w:val="23"/>
          <w:szCs w:val="23"/>
        </w:rPr>
      </w:pPr>
      <w:r>
        <w:rPr>
          <w:rFonts w:asciiTheme="majorHAnsi" w:hAnsiTheme="majorHAnsi" w:cstheme="majorHAnsi"/>
          <w:color w:val="7F7F7F" w:themeColor="text1" w:themeTint="80"/>
          <w:sz w:val="23"/>
          <w:szCs w:val="23"/>
        </w:rPr>
        <w:br w:type="page"/>
      </w:r>
    </w:p>
    <w:p w14:paraId="24676440" w14:textId="5016E13B" w:rsidR="00F00E3D" w:rsidRPr="00783B43" w:rsidRDefault="00F00E3D" w:rsidP="009B2FA7">
      <w:pPr>
        <w:spacing w:after="0" w:line="276" w:lineRule="auto"/>
        <w:rPr>
          <w:b/>
          <w:bCs/>
          <w:color w:val="2F5496" w:themeColor="accent1" w:themeShade="BF"/>
          <w:sz w:val="25"/>
          <w:szCs w:val="25"/>
        </w:rPr>
      </w:pPr>
      <w:r w:rsidRPr="71C466D6">
        <w:rPr>
          <w:b/>
          <w:bCs/>
          <w:color w:val="2F5496" w:themeColor="accent1" w:themeShade="BF"/>
          <w:sz w:val="25"/>
          <w:szCs w:val="25"/>
        </w:rPr>
        <w:lastRenderedPageBreak/>
        <w:t>Corio</w:t>
      </w:r>
      <w:r w:rsidR="00401584">
        <w:rPr>
          <w:b/>
          <w:bCs/>
          <w:color w:val="2F5496" w:themeColor="accent1" w:themeShade="BF"/>
          <w:sz w:val="25"/>
          <w:szCs w:val="25"/>
        </w:rPr>
        <w:t>,</w:t>
      </w:r>
      <w:r>
        <w:rPr>
          <w:b/>
          <w:bCs/>
          <w:color w:val="2F5496" w:themeColor="accent1" w:themeShade="BF"/>
          <w:sz w:val="25"/>
          <w:szCs w:val="25"/>
        </w:rPr>
        <w:t xml:space="preserve"> </w:t>
      </w:r>
      <w:r w:rsidRPr="71C466D6">
        <w:rPr>
          <w:b/>
          <w:bCs/>
          <w:color w:val="2F5496" w:themeColor="accent1" w:themeShade="BF"/>
          <w:sz w:val="25"/>
          <w:szCs w:val="25"/>
        </w:rPr>
        <w:t>Norlane</w:t>
      </w:r>
      <w:r w:rsidR="00401584">
        <w:rPr>
          <w:b/>
          <w:bCs/>
          <w:color w:val="2F5496" w:themeColor="accent1" w:themeShade="BF"/>
          <w:sz w:val="25"/>
          <w:szCs w:val="25"/>
        </w:rPr>
        <w:t xml:space="preserve">, and </w:t>
      </w:r>
      <w:r w:rsidR="00401584" w:rsidRPr="47C6F23B">
        <w:rPr>
          <w:b/>
          <w:bCs/>
          <w:color w:val="2F5496" w:themeColor="accent1" w:themeShade="BF"/>
          <w:sz w:val="25"/>
          <w:szCs w:val="25"/>
        </w:rPr>
        <w:t>Whittington</w:t>
      </w:r>
    </w:p>
    <w:p w14:paraId="2D7DB6C7" w14:textId="77777777" w:rsidR="00F00E3D" w:rsidRPr="00317E12" w:rsidRDefault="00F00E3D" w:rsidP="009B2FA7">
      <w:pPr>
        <w:spacing w:after="0" w:line="276" w:lineRule="auto"/>
        <w:rPr>
          <w:rFonts w:asciiTheme="majorHAnsi" w:hAnsiTheme="majorHAnsi" w:cstheme="majorHAnsi"/>
          <w:sz w:val="16"/>
          <w:szCs w:val="16"/>
        </w:rPr>
      </w:pPr>
    </w:p>
    <w:p w14:paraId="4AD9CDBA" w14:textId="2AC1EF18" w:rsidR="00F00E3D" w:rsidRPr="00651F19" w:rsidRDefault="00F00E3D" w:rsidP="009B2FA7">
      <w:pPr>
        <w:spacing w:after="0" w:line="276" w:lineRule="auto"/>
        <w:rPr>
          <w:rFonts w:cstheme="minorHAnsi"/>
          <w:b/>
          <w:bCs/>
          <w:sz w:val="25"/>
          <w:szCs w:val="25"/>
          <w:shd w:val="clear" w:color="auto" w:fill="FFFFFF"/>
        </w:rPr>
      </w:pPr>
      <w:bookmarkStart w:id="53" w:name="_Hlk70863263"/>
      <w:r w:rsidRPr="00651F19">
        <w:rPr>
          <w:rFonts w:cstheme="minorHAnsi"/>
          <w:b/>
          <w:bCs/>
          <w:sz w:val="25"/>
          <w:szCs w:val="25"/>
          <w:shd w:val="clear" w:color="auto" w:fill="FFFFFF"/>
        </w:rPr>
        <w:t xml:space="preserve">TBA </w:t>
      </w:r>
      <w:r w:rsidRPr="00292BBC">
        <w:rPr>
          <w:rFonts w:cstheme="minorHAnsi"/>
          <w:b/>
          <w:bCs/>
          <w:sz w:val="25"/>
          <w:szCs w:val="25"/>
          <w:shd w:val="clear" w:color="auto" w:fill="FFFFFF"/>
        </w:rPr>
        <w:t>North</w:t>
      </w:r>
      <w:r w:rsidRPr="00651F19">
        <w:rPr>
          <w:rFonts w:cstheme="minorHAnsi"/>
          <w:b/>
          <w:bCs/>
          <w:sz w:val="25"/>
          <w:szCs w:val="25"/>
          <w:shd w:val="clear" w:color="auto" w:fill="FFFFFF"/>
        </w:rPr>
        <w:t xml:space="preserve">:  </w:t>
      </w:r>
      <w:r w:rsidRPr="00651F19">
        <w:rPr>
          <w:rFonts w:cstheme="minorHAnsi"/>
          <w:b/>
          <w:bCs/>
          <w:sz w:val="25"/>
          <w:szCs w:val="25"/>
        </w:rPr>
        <w:t>Arts</w:t>
      </w:r>
      <w:r w:rsidR="00725499" w:rsidRPr="00651F19">
        <w:rPr>
          <w:rFonts w:cstheme="minorHAnsi"/>
          <w:b/>
          <w:bCs/>
          <w:sz w:val="25"/>
          <w:szCs w:val="25"/>
        </w:rPr>
        <w:t>-Based Early Childhood Learning Program</w:t>
      </w:r>
    </w:p>
    <w:p w14:paraId="20B645D1" w14:textId="4777C00B" w:rsidR="00F00E3D" w:rsidRPr="00783B43" w:rsidRDefault="00F00E3D" w:rsidP="009B2FA7">
      <w:pPr>
        <w:spacing w:after="0" w:line="276" w:lineRule="auto"/>
        <w:rPr>
          <w:b/>
          <w:bCs/>
          <w:sz w:val="23"/>
          <w:szCs w:val="23"/>
        </w:rPr>
      </w:pPr>
      <w:r w:rsidRPr="27ED1008">
        <w:rPr>
          <w:b/>
          <w:bCs/>
          <w:sz w:val="23"/>
          <w:szCs w:val="23"/>
        </w:rPr>
        <w:t xml:space="preserve">Corio and Norlane, Geelong </w:t>
      </w:r>
      <w:bookmarkStart w:id="54" w:name="_Hlk70862814"/>
      <w:r w:rsidRPr="27ED1008">
        <w:rPr>
          <w:b/>
          <w:bCs/>
          <w:sz w:val="23"/>
          <w:szCs w:val="23"/>
        </w:rPr>
        <w:t>(2010</w:t>
      </w:r>
      <w:r w:rsidR="009E4E61">
        <w:rPr>
          <w:b/>
          <w:bCs/>
          <w:sz w:val="23"/>
          <w:szCs w:val="23"/>
        </w:rPr>
        <w:t>–present</w:t>
      </w:r>
      <w:r w:rsidRPr="27ED1008">
        <w:rPr>
          <w:b/>
          <w:bCs/>
          <w:sz w:val="23"/>
          <w:szCs w:val="23"/>
        </w:rPr>
        <w:t>)</w:t>
      </w:r>
    </w:p>
    <w:bookmarkEnd w:id="53"/>
    <w:bookmarkEnd w:id="54"/>
    <w:p w14:paraId="0BA13653" w14:textId="77777777" w:rsidR="00F00E3D" w:rsidRPr="00317E12" w:rsidRDefault="00F00E3D" w:rsidP="009B2FA7">
      <w:pPr>
        <w:spacing w:after="0" w:line="276" w:lineRule="auto"/>
        <w:rPr>
          <w:rFonts w:asciiTheme="majorHAnsi" w:hAnsiTheme="majorHAnsi" w:cstheme="majorBidi"/>
          <w:color w:val="595959" w:themeColor="text1" w:themeTint="A6"/>
          <w:sz w:val="16"/>
          <w:szCs w:val="16"/>
        </w:rPr>
      </w:pPr>
    </w:p>
    <w:p w14:paraId="42ADC7FF" w14:textId="52CC946A" w:rsidR="00F00E3D" w:rsidRPr="00CC521D" w:rsidRDefault="00F00E3D" w:rsidP="009B2FA7">
      <w:pPr>
        <w:spacing w:after="0"/>
        <w:rPr>
          <w:rFonts w:eastAsiaTheme="minorEastAsia"/>
          <w:b/>
          <w:bCs/>
          <w:color w:val="595959" w:themeColor="text1" w:themeTint="A6"/>
          <w:sz w:val="23"/>
          <w:szCs w:val="23"/>
          <w:lang w:val="en-US"/>
        </w:rPr>
      </w:pPr>
      <w:r w:rsidRPr="00CC521D">
        <w:rPr>
          <w:rFonts w:eastAsiaTheme="minorEastAsia"/>
          <w:b/>
          <w:bCs/>
          <w:color w:val="595959" w:themeColor="text1" w:themeTint="A6"/>
          <w:sz w:val="23"/>
          <w:szCs w:val="23"/>
        </w:rPr>
        <w:t xml:space="preserve">Main </w:t>
      </w:r>
      <w:r w:rsidR="00D95573">
        <w:rPr>
          <w:rFonts w:eastAsiaTheme="minorEastAsia"/>
          <w:b/>
          <w:bCs/>
          <w:color w:val="595959" w:themeColor="text1" w:themeTint="A6"/>
          <w:sz w:val="23"/>
          <w:szCs w:val="23"/>
        </w:rPr>
        <w:t>Practice Domain</w:t>
      </w:r>
      <w:r w:rsidRPr="00CC521D">
        <w:rPr>
          <w:rFonts w:eastAsiaTheme="minorEastAsia"/>
          <w:b/>
          <w:bCs/>
          <w:color w:val="595959" w:themeColor="text1" w:themeTint="A6"/>
          <w:sz w:val="23"/>
          <w:szCs w:val="23"/>
        </w:rPr>
        <w:t xml:space="preserve">(s):          </w:t>
      </w:r>
      <w:r w:rsidRPr="00CC521D">
        <w:rPr>
          <w:rFonts w:eastAsiaTheme="minorEastAsia"/>
          <w:b/>
          <w:bCs/>
          <w:color w:val="595959" w:themeColor="text1" w:themeTint="A6"/>
          <w:sz w:val="23"/>
          <w:szCs w:val="23"/>
        </w:rPr>
        <w:tab/>
        <w:t>Education</w:t>
      </w:r>
      <w:r w:rsidRPr="00CC521D">
        <w:rPr>
          <w:rFonts w:eastAsiaTheme="minorEastAsia"/>
          <w:b/>
          <w:bCs/>
          <w:color w:val="595959" w:themeColor="text1" w:themeTint="A6"/>
          <w:sz w:val="23"/>
          <w:szCs w:val="23"/>
          <w:lang w:val="en-US"/>
        </w:rPr>
        <w:t xml:space="preserve"> </w:t>
      </w:r>
    </w:p>
    <w:p w14:paraId="1FDE642B" w14:textId="323C7226" w:rsidR="00F00E3D" w:rsidRPr="00CC521D" w:rsidRDefault="00F00E3D" w:rsidP="009B2FA7">
      <w:pPr>
        <w:spacing w:after="0"/>
        <w:rPr>
          <w:rFonts w:eastAsiaTheme="minorEastAsia"/>
          <w:b/>
          <w:bCs/>
          <w:color w:val="595959" w:themeColor="text1" w:themeTint="A6"/>
          <w:sz w:val="23"/>
          <w:szCs w:val="23"/>
        </w:rPr>
      </w:pPr>
      <w:r w:rsidRPr="00CC521D">
        <w:rPr>
          <w:rFonts w:eastAsiaTheme="minorEastAsia"/>
          <w:b/>
          <w:bCs/>
          <w:color w:val="595959" w:themeColor="text1" w:themeTint="A6"/>
          <w:sz w:val="23"/>
          <w:szCs w:val="23"/>
        </w:rPr>
        <w:t xml:space="preserve">Secondary </w:t>
      </w:r>
      <w:r w:rsidR="00D95573">
        <w:rPr>
          <w:rFonts w:eastAsiaTheme="minorEastAsia"/>
          <w:b/>
          <w:bCs/>
          <w:color w:val="595959" w:themeColor="text1" w:themeTint="A6"/>
          <w:sz w:val="23"/>
          <w:szCs w:val="23"/>
        </w:rPr>
        <w:t>Practice Domain</w:t>
      </w:r>
      <w:r w:rsidRPr="00CC521D">
        <w:rPr>
          <w:rFonts w:eastAsiaTheme="minorEastAsia"/>
          <w:b/>
          <w:bCs/>
          <w:color w:val="595959" w:themeColor="text1" w:themeTint="A6"/>
          <w:sz w:val="23"/>
          <w:szCs w:val="23"/>
        </w:rPr>
        <w:t xml:space="preserve">(s): </w:t>
      </w:r>
      <w:r w:rsidRPr="00CC521D">
        <w:rPr>
          <w:rFonts w:eastAsiaTheme="minorEastAsia"/>
          <w:b/>
          <w:bCs/>
          <w:color w:val="595959" w:themeColor="text1" w:themeTint="A6"/>
          <w:sz w:val="23"/>
          <w:szCs w:val="23"/>
        </w:rPr>
        <w:tab/>
        <w:t>Health and Wellbeing</w:t>
      </w:r>
    </w:p>
    <w:p w14:paraId="31B599FE" w14:textId="77777777" w:rsidR="00F00E3D" w:rsidRPr="00317E12" w:rsidRDefault="00F00E3D" w:rsidP="009B2FA7">
      <w:pPr>
        <w:spacing w:after="0"/>
        <w:rPr>
          <w:rFonts w:eastAsiaTheme="minorEastAsia"/>
          <w:b/>
          <w:bCs/>
          <w:color w:val="767171" w:themeColor="background2" w:themeShade="80"/>
          <w:sz w:val="16"/>
          <w:szCs w:val="16"/>
          <w:lang w:val="en-US"/>
        </w:rPr>
      </w:pPr>
    </w:p>
    <w:p w14:paraId="1EE16CFB" w14:textId="7C1A3072" w:rsidR="00F00E3D" w:rsidRDefault="00F00E3D" w:rsidP="009B2FA7">
      <w:pPr>
        <w:spacing w:line="276" w:lineRule="auto"/>
        <w:rPr>
          <w:rFonts w:ascii="Calibri Light" w:eastAsia="Calibri Light" w:hAnsi="Calibri Light" w:cs="Calibri Light"/>
          <w:color w:val="000000" w:themeColor="text1"/>
          <w:sz w:val="23"/>
          <w:szCs w:val="23"/>
        </w:rPr>
      </w:pPr>
      <w:r w:rsidRPr="359636AC">
        <w:rPr>
          <w:rFonts w:ascii="Calibri Light" w:eastAsia="Calibri Light" w:hAnsi="Calibri Light" w:cs="Calibri Light"/>
          <w:color w:val="000000" w:themeColor="text1"/>
          <w:sz w:val="23"/>
          <w:szCs w:val="23"/>
        </w:rPr>
        <w:t>TBA is an art</w:t>
      </w:r>
      <w:r w:rsidR="0003005B">
        <w:rPr>
          <w:rFonts w:ascii="Calibri Light" w:eastAsia="Calibri Light" w:hAnsi="Calibri Light" w:cs="Calibri Light"/>
          <w:color w:val="000000" w:themeColor="text1"/>
          <w:sz w:val="23"/>
          <w:szCs w:val="23"/>
        </w:rPr>
        <w:t>s</w:t>
      </w:r>
      <w:r w:rsidRPr="359636AC">
        <w:rPr>
          <w:rFonts w:ascii="Calibri Light" w:eastAsia="Calibri Light" w:hAnsi="Calibri Light" w:cs="Calibri Light"/>
          <w:color w:val="000000" w:themeColor="text1"/>
          <w:sz w:val="23"/>
          <w:szCs w:val="23"/>
        </w:rPr>
        <w:t>-based education program designed for primary schools, with a particular focus on students in disadvantaged areas. The program aims to improve outcomes for children and families, strengthen family connections, support mental and physical health and wellbeing, promote learning, and increase access to the arts.</w:t>
      </w:r>
      <w:r w:rsidRPr="359636AC">
        <w:rPr>
          <w:rFonts w:ascii="Calibri Light" w:eastAsia="Calibri Light" w:hAnsi="Calibri Light" w:cs="Calibri Light"/>
          <w:sz w:val="23"/>
          <w:szCs w:val="23"/>
        </w:rPr>
        <w:t xml:space="preserve"> </w:t>
      </w:r>
      <w:r w:rsidRPr="359636AC">
        <w:rPr>
          <w:rFonts w:ascii="Calibri Light" w:eastAsia="Calibri Light" w:hAnsi="Calibri Light" w:cs="Calibri Light"/>
          <w:color w:val="000000" w:themeColor="text1"/>
          <w:sz w:val="23"/>
          <w:szCs w:val="23"/>
        </w:rPr>
        <w:t>It is coordinated by the Bluebird Foundation Inc., a Geelong-based community arts organisation established in 2009.</w:t>
      </w:r>
    </w:p>
    <w:p w14:paraId="491EAC81" w14:textId="77777777" w:rsidR="00F00E3D" w:rsidRDefault="00F00E3D" w:rsidP="009B2FA7">
      <w:pPr>
        <w:spacing w:line="276" w:lineRule="auto"/>
        <w:rPr>
          <w:rFonts w:ascii="Calibri Light" w:eastAsia="Calibri Light" w:hAnsi="Calibri Light" w:cs="Calibri Light"/>
          <w:color w:val="000000" w:themeColor="text1"/>
          <w:sz w:val="23"/>
          <w:szCs w:val="23"/>
        </w:rPr>
      </w:pPr>
      <w:r>
        <w:rPr>
          <w:rFonts w:ascii="Calibri Light" w:eastAsia="Calibri Light" w:hAnsi="Calibri Light" w:cs="Calibri Light"/>
          <w:color w:val="000000" w:themeColor="text1"/>
          <w:sz w:val="23"/>
          <w:szCs w:val="23"/>
        </w:rPr>
        <w:t xml:space="preserve">The acronym </w:t>
      </w:r>
      <w:r w:rsidRPr="359636AC">
        <w:rPr>
          <w:rFonts w:ascii="Calibri Light" w:eastAsia="Calibri Light" w:hAnsi="Calibri Light" w:cs="Calibri Light"/>
          <w:color w:val="000000" w:themeColor="text1"/>
          <w:sz w:val="23"/>
          <w:szCs w:val="23"/>
        </w:rPr>
        <w:t xml:space="preserve">TBA stands for “Tuneful, Beautiful, Artful”, a phrase coined by Dr John Feierabend, a US-based expert on music and movement development in childhood. The TBA program is founded on </w:t>
      </w:r>
      <w:proofErr w:type="spellStart"/>
      <w:r w:rsidRPr="359636AC">
        <w:rPr>
          <w:rFonts w:ascii="Calibri Light" w:eastAsia="Calibri Light" w:hAnsi="Calibri Light" w:cs="Calibri Light"/>
          <w:color w:val="000000" w:themeColor="text1"/>
          <w:sz w:val="23"/>
          <w:szCs w:val="23"/>
        </w:rPr>
        <w:t>Feierabend’s</w:t>
      </w:r>
      <w:proofErr w:type="spellEnd"/>
      <w:r w:rsidRPr="359636AC">
        <w:rPr>
          <w:rFonts w:ascii="Calibri Light" w:eastAsia="Calibri Light" w:hAnsi="Calibri Light" w:cs="Calibri Light"/>
          <w:color w:val="000000" w:themeColor="text1"/>
          <w:sz w:val="23"/>
          <w:szCs w:val="23"/>
        </w:rPr>
        <w:t xml:space="preserve"> ethos and approach. His research places particular emphasis on music’s potential to enhance neurodevelopment (FAME, 2019).</w:t>
      </w:r>
    </w:p>
    <w:p w14:paraId="38CCAA1B" w14:textId="2B9263F3" w:rsidR="00F00E3D" w:rsidRDefault="00F00E3D" w:rsidP="009B2FA7">
      <w:pPr>
        <w:spacing w:line="276" w:lineRule="auto"/>
        <w:rPr>
          <w:rFonts w:ascii="Calibri Light" w:eastAsia="Calibri Light" w:hAnsi="Calibri Light" w:cs="Calibri Light"/>
          <w:color w:val="000000" w:themeColor="text1"/>
          <w:sz w:val="23"/>
          <w:szCs w:val="23"/>
        </w:rPr>
      </w:pPr>
      <w:r w:rsidRPr="27ED1008">
        <w:rPr>
          <w:rFonts w:ascii="Calibri Light" w:eastAsia="Calibri Light" w:hAnsi="Calibri Light" w:cs="Calibri Light"/>
          <w:color w:val="000000" w:themeColor="text1"/>
          <w:sz w:val="23"/>
          <w:szCs w:val="23"/>
        </w:rPr>
        <w:t>Targeted at disadvantaged families with young children in North Geelong, TBA North runs at St Thomas Aquinas Primary School (Norlane), and St Francis Xavier Primary School (Corio). The TBA program has also run in two other Geelong primary schools: Newcomb Park Primary School (Newcomb), and Tate Street Primary School (East Geelong).</w:t>
      </w:r>
      <w:r>
        <w:rPr>
          <w:rFonts w:ascii="Calibri Light" w:eastAsia="Calibri Light" w:hAnsi="Calibri Light" w:cs="Calibri Light"/>
          <w:color w:val="000000" w:themeColor="text1"/>
          <w:sz w:val="23"/>
          <w:szCs w:val="23"/>
        </w:rPr>
        <w:t xml:space="preserve"> Under the TBA program umbrella, </w:t>
      </w:r>
      <w:r w:rsidR="00783A7F">
        <w:rPr>
          <w:rFonts w:ascii="Calibri Light" w:eastAsia="Calibri Light" w:hAnsi="Calibri Light" w:cs="Calibri Light"/>
          <w:color w:val="000000" w:themeColor="text1"/>
          <w:sz w:val="23"/>
          <w:szCs w:val="23"/>
        </w:rPr>
        <w:t>several</w:t>
      </w:r>
      <w:r w:rsidRPr="27ED1008">
        <w:rPr>
          <w:rFonts w:ascii="Calibri Light" w:eastAsia="Calibri Light" w:hAnsi="Calibri Light" w:cs="Calibri Light"/>
          <w:color w:val="000000" w:themeColor="text1"/>
          <w:sz w:val="23"/>
          <w:szCs w:val="23"/>
        </w:rPr>
        <w:t xml:space="preserve"> multidisciplinary sub-programs have been developed to cater for different age levels and needs. These include:</w:t>
      </w:r>
    </w:p>
    <w:p w14:paraId="1EA68E19" w14:textId="77777777" w:rsidR="00F00E3D" w:rsidRDefault="00F00E3D" w:rsidP="00364C5D">
      <w:pPr>
        <w:pStyle w:val="ListParagraph"/>
        <w:numPr>
          <w:ilvl w:val="0"/>
          <w:numId w:val="43"/>
        </w:numPr>
        <w:spacing w:line="276" w:lineRule="auto"/>
        <w:rPr>
          <w:rFonts w:ascii="Calibri Light" w:eastAsia="Calibri Light" w:hAnsi="Calibri Light" w:cs="Calibri Light"/>
          <w:b/>
          <w:bCs/>
          <w:color w:val="000000" w:themeColor="text1"/>
          <w:sz w:val="23"/>
          <w:szCs w:val="23"/>
        </w:rPr>
      </w:pPr>
      <w:proofErr w:type="spellStart"/>
      <w:r w:rsidRPr="27ED1008">
        <w:rPr>
          <w:rFonts w:ascii="Calibri Light" w:eastAsia="Calibri Light" w:hAnsi="Calibri Light" w:cs="Calibri Light"/>
          <w:b/>
          <w:bCs/>
          <w:color w:val="000000" w:themeColor="text1"/>
          <w:sz w:val="23"/>
          <w:szCs w:val="23"/>
        </w:rPr>
        <w:t>PlayLinks</w:t>
      </w:r>
      <w:proofErr w:type="spellEnd"/>
      <w:r w:rsidRPr="27ED1008">
        <w:rPr>
          <w:rFonts w:ascii="Calibri Light" w:eastAsia="Calibri Light" w:hAnsi="Calibri Light" w:cs="Calibri Light"/>
          <w:b/>
          <w:bCs/>
          <w:color w:val="000000" w:themeColor="text1"/>
          <w:sz w:val="23"/>
          <w:szCs w:val="23"/>
        </w:rPr>
        <w:t>:</w:t>
      </w:r>
      <w:r w:rsidRPr="27ED1008">
        <w:rPr>
          <w:rFonts w:ascii="Calibri Light" w:eastAsia="Calibri Light" w:hAnsi="Calibri Light" w:cs="Calibri Light"/>
          <w:color w:val="000000" w:themeColor="text1"/>
          <w:sz w:val="23"/>
          <w:szCs w:val="23"/>
        </w:rPr>
        <w:t xml:space="preserve"> weekly facilitated art and music program for children aged 0–5 and parents/carers.</w:t>
      </w:r>
    </w:p>
    <w:p w14:paraId="76A62913" w14:textId="77777777" w:rsidR="00F00E3D" w:rsidRDefault="00F00E3D" w:rsidP="00364C5D">
      <w:pPr>
        <w:pStyle w:val="ListParagraph"/>
        <w:numPr>
          <w:ilvl w:val="0"/>
          <w:numId w:val="43"/>
        </w:numPr>
        <w:spacing w:line="276" w:lineRule="auto"/>
        <w:rPr>
          <w:rFonts w:ascii="Calibri Light" w:eastAsia="Calibri Light" w:hAnsi="Calibri Light" w:cs="Calibri Light"/>
          <w:b/>
          <w:bCs/>
          <w:color w:val="000000" w:themeColor="text1"/>
          <w:sz w:val="23"/>
          <w:szCs w:val="23"/>
        </w:rPr>
      </w:pPr>
      <w:proofErr w:type="spellStart"/>
      <w:r w:rsidRPr="27ED1008">
        <w:rPr>
          <w:rFonts w:ascii="Calibri Light" w:eastAsia="Calibri Light" w:hAnsi="Calibri Light" w:cs="Calibri Light"/>
          <w:b/>
          <w:bCs/>
          <w:color w:val="000000" w:themeColor="text1"/>
          <w:sz w:val="23"/>
          <w:szCs w:val="23"/>
        </w:rPr>
        <w:t>SingingLinks</w:t>
      </w:r>
      <w:proofErr w:type="spellEnd"/>
      <w:r w:rsidRPr="27ED1008">
        <w:rPr>
          <w:rFonts w:ascii="Calibri Light" w:eastAsia="Calibri Light" w:hAnsi="Calibri Light" w:cs="Calibri Light"/>
          <w:b/>
          <w:bCs/>
          <w:color w:val="000000" w:themeColor="text1"/>
          <w:sz w:val="23"/>
          <w:szCs w:val="23"/>
        </w:rPr>
        <w:t>:</w:t>
      </w:r>
      <w:r w:rsidRPr="27ED1008">
        <w:rPr>
          <w:rFonts w:ascii="Calibri Light" w:eastAsia="Calibri Light" w:hAnsi="Calibri Light" w:cs="Calibri Light"/>
          <w:color w:val="000000" w:themeColor="text1"/>
          <w:sz w:val="23"/>
          <w:szCs w:val="23"/>
        </w:rPr>
        <w:t xml:space="preserve"> daily singing program for Prep to Grade 4 students, using music to promote literacy, numeracy, learning, and social outcomes.</w:t>
      </w:r>
    </w:p>
    <w:p w14:paraId="5F82AF7E" w14:textId="77777777" w:rsidR="00F00E3D" w:rsidRDefault="00F00E3D" w:rsidP="00364C5D">
      <w:pPr>
        <w:pStyle w:val="ListParagraph"/>
        <w:numPr>
          <w:ilvl w:val="0"/>
          <w:numId w:val="43"/>
        </w:numPr>
        <w:spacing w:line="276" w:lineRule="auto"/>
        <w:rPr>
          <w:rFonts w:ascii="Calibri Light" w:eastAsia="Calibri Light" w:hAnsi="Calibri Light" w:cs="Calibri Light"/>
          <w:b/>
          <w:bCs/>
          <w:color w:val="000000" w:themeColor="text1"/>
          <w:sz w:val="23"/>
          <w:szCs w:val="23"/>
        </w:rPr>
      </w:pPr>
      <w:proofErr w:type="spellStart"/>
      <w:r w:rsidRPr="27ED1008">
        <w:rPr>
          <w:rFonts w:ascii="Calibri Light" w:eastAsia="Calibri Light" w:hAnsi="Calibri Light" w:cs="Calibri Light"/>
          <w:b/>
          <w:bCs/>
          <w:color w:val="000000" w:themeColor="text1"/>
          <w:sz w:val="23"/>
          <w:szCs w:val="23"/>
        </w:rPr>
        <w:t>MusicLinks</w:t>
      </w:r>
      <w:proofErr w:type="spellEnd"/>
      <w:r w:rsidRPr="27ED1008">
        <w:rPr>
          <w:rFonts w:ascii="Calibri Light" w:eastAsia="Calibri Light" w:hAnsi="Calibri Light" w:cs="Calibri Light"/>
          <w:b/>
          <w:bCs/>
          <w:color w:val="000000" w:themeColor="text1"/>
          <w:sz w:val="23"/>
          <w:szCs w:val="23"/>
        </w:rPr>
        <w:t>:</w:t>
      </w:r>
      <w:r w:rsidRPr="27ED1008">
        <w:rPr>
          <w:rFonts w:ascii="Calibri Light" w:eastAsia="Calibri Light" w:hAnsi="Calibri Light" w:cs="Calibri Light"/>
          <w:color w:val="000000" w:themeColor="text1"/>
          <w:sz w:val="23"/>
          <w:szCs w:val="23"/>
        </w:rPr>
        <w:t xml:space="preserve"> weekly music program for pre-Prep students and parents/carers to introduce the school environment and foster social relationships between parents and school staff.</w:t>
      </w:r>
    </w:p>
    <w:p w14:paraId="33935CB3" w14:textId="77777777" w:rsidR="00F00E3D" w:rsidRDefault="00F00E3D" w:rsidP="00364C5D">
      <w:pPr>
        <w:pStyle w:val="ListParagraph"/>
        <w:numPr>
          <w:ilvl w:val="0"/>
          <w:numId w:val="43"/>
        </w:numPr>
        <w:spacing w:line="276" w:lineRule="auto"/>
        <w:rPr>
          <w:rFonts w:ascii="Calibri Light" w:eastAsia="Calibri Light" w:hAnsi="Calibri Light" w:cs="Calibri Light"/>
          <w:b/>
          <w:bCs/>
          <w:color w:val="000000" w:themeColor="text1"/>
          <w:sz w:val="23"/>
          <w:szCs w:val="23"/>
        </w:rPr>
      </w:pPr>
      <w:proofErr w:type="spellStart"/>
      <w:r w:rsidRPr="27ED1008">
        <w:rPr>
          <w:rFonts w:ascii="Calibri Light" w:eastAsia="Calibri Light" w:hAnsi="Calibri Light" w:cs="Calibri Light"/>
          <w:b/>
          <w:bCs/>
          <w:color w:val="000000" w:themeColor="text1"/>
          <w:sz w:val="23"/>
          <w:szCs w:val="23"/>
        </w:rPr>
        <w:t>ClassLinks</w:t>
      </w:r>
      <w:proofErr w:type="spellEnd"/>
      <w:r w:rsidRPr="27ED1008">
        <w:rPr>
          <w:rFonts w:ascii="Calibri Light" w:eastAsia="Calibri Light" w:hAnsi="Calibri Light" w:cs="Calibri Light"/>
          <w:b/>
          <w:bCs/>
          <w:color w:val="000000" w:themeColor="text1"/>
          <w:sz w:val="23"/>
          <w:szCs w:val="23"/>
        </w:rPr>
        <w:t>:</w:t>
      </w:r>
      <w:r w:rsidRPr="27ED1008">
        <w:rPr>
          <w:rFonts w:ascii="Calibri Light" w:eastAsia="Calibri Light" w:hAnsi="Calibri Light" w:cs="Calibri Light"/>
          <w:color w:val="000000" w:themeColor="text1"/>
          <w:sz w:val="23"/>
          <w:szCs w:val="23"/>
        </w:rPr>
        <w:t xml:space="preserve"> transition program for prep students and parents/carers to provide a bridge between </w:t>
      </w:r>
      <w:proofErr w:type="spellStart"/>
      <w:r w:rsidRPr="27ED1008">
        <w:rPr>
          <w:rFonts w:ascii="Calibri Light" w:eastAsia="Calibri Light" w:hAnsi="Calibri Light" w:cs="Calibri Light"/>
          <w:color w:val="000000" w:themeColor="text1"/>
          <w:sz w:val="23"/>
          <w:szCs w:val="23"/>
        </w:rPr>
        <w:t>MusicLinks</w:t>
      </w:r>
      <w:proofErr w:type="spellEnd"/>
      <w:r w:rsidRPr="27ED1008">
        <w:rPr>
          <w:rFonts w:ascii="Calibri Light" w:eastAsia="Calibri Light" w:hAnsi="Calibri Light" w:cs="Calibri Light"/>
          <w:color w:val="000000" w:themeColor="text1"/>
          <w:sz w:val="23"/>
          <w:szCs w:val="23"/>
        </w:rPr>
        <w:t xml:space="preserve"> to </w:t>
      </w:r>
      <w:proofErr w:type="spellStart"/>
      <w:r w:rsidRPr="27ED1008">
        <w:rPr>
          <w:rFonts w:ascii="Calibri Light" w:eastAsia="Calibri Light" w:hAnsi="Calibri Light" w:cs="Calibri Light"/>
          <w:color w:val="000000" w:themeColor="text1"/>
          <w:sz w:val="23"/>
          <w:szCs w:val="23"/>
        </w:rPr>
        <w:t>SingingLinks</w:t>
      </w:r>
      <w:proofErr w:type="spellEnd"/>
      <w:r w:rsidRPr="27ED1008">
        <w:rPr>
          <w:rFonts w:ascii="Calibri Light" w:eastAsia="Calibri Light" w:hAnsi="Calibri Light" w:cs="Calibri Light"/>
          <w:color w:val="000000" w:themeColor="text1"/>
          <w:sz w:val="23"/>
          <w:szCs w:val="23"/>
        </w:rPr>
        <w:t>.</w:t>
      </w:r>
    </w:p>
    <w:p w14:paraId="37581665" w14:textId="77777777" w:rsidR="00F00E3D" w:rsidRDefault="00F00E3D" w:rsidP="00364C5D">
      <w:pPr>
        <w:pStyle w:val="ListParagraph"/>
        <w:numPr>
          <w:ilvl w:val="0"/>
          <w:numId w:val="43"/>
        </w:numPr>
        <w:spacing w:line="276" w:lineRule="auto"/>
        <w:rPr>
          <w:rFonts w:ascii="Calibri Light" w:eastAsia="Calibri Light" w:hAnsi="Calibri Light" w:cs="Calibri Light"/>
          <w:b/>
          <w:bCs/>
          <w:color w:val="000000" w:themeColor="text1"/>
          <w:sz w:val="23"/>
          <w:szCs w:val="23"/>
        </w:rPr>
      </w:pPr>
      <w:proofErr w:type="spellStart"/>
      <w:r w:rsidRPr="27ED1008">
        <w:rPr>
          <w:rFonts w:ascii="Calibri Light" w:eastAsia="Calibri Light" w:hAnsi="Calibri Light" w:cs="Calibri Light"/>
          <w:b/>
          <w:bCs/>
          <w:color w:val="000000" w:themeColor="text1"/>
          <w:sz w:val="23"/>
          <w:szCs w:val="23"/>
        </w:rPr>
        <w:t>NatureLinks</w:t>
      </w:r>
      <w:proofErr w:type="spellEnd"/>
      <w:r w:rsidRPr="27ED1008">
        <w:rPr>
          <w:rFonts w:ascii="Calibri Light" w:eastAsia="Calibri Light" w:hAnsi="Calibri Light" w:cs="Calibri Light"/>
          <w:b/>
          <w:bCs/>
          <w:color w:val="000000" w:themeColor="text1"/>
          <w:sz w:val="23"/>
          <w:szCs w:val="23"/>
        </w:rPr>
        <w:t>:</w:t>
      </w:r>
      <w:r w:rsidRPr="27ED1008">
        <w:rPr>
          <w:rFonts w:ascii="Calibri Light" w:eastAsia="Calibri Light" w:hAnsi="Calibri Light" w:cs="Calibri Light"/>
          <w:color w:val="000000" w:themeColor="text1"/>
          <w:sz w:val="23"/>
          <w:szCs w:val="23"/>
        </w:rPr>
        <w:t xml:space="preserve"> outdoor learning program for Prep to Grade 1 students to introduce outdoor learning through 15–30 minute facilitated sessions (introduced in 2019).</w:t>
      </w:r>
    </w:p>
    <w:p w14:paraId="495FF296" w14:textId="77777777" w:rsidR="00F00E3D" w:rsidRDefault="00F00E3D" w:rsidP="00364C5D">
      <w:pPr>
        <w:pStyle w:val="ListParagraph"/>
        <w:numPr>
          <w:ilvl w:val="0"/>
          <w:numId w:val="43"/>
        </w:numPr>
        <w:spacing w:line="276" w:lineRule="auto"/>
        <w:rPr>
          <w:rFonts w:ascii="Calibri Light" w:eastAsia="Calibri Light" w:hAnsi="Calibri Light" w:cs="Calibri Light"/>
          <w:b/>
          <w:bCs/>
          <w:color w:val="000000" w:themeColor="text1"/>
          <w:sz w:val="23"/>
          <w:szCs w:val="23"/>
        </w:rPr>
      </w:pPr>
      <w:r w:rsidRPr="27ED1008">
        <w:rPr>
          <w:rFonts w:ascii="Calibri Light" w:eastAsia="Calibri Light" w:hAnsi="Calibri Light" w:cs="Calibri Light"/>
          <w:b/>
          <w:bCs/>
          <w:color w:val="000000" w:themeColor="text1"/>
          <w:sz w:val="23"/>
          <w:szCs w:val="23"/>
        </w:rPr>
        <w:t xml:space="preserve">North </w:t>
      </w:r>
      <w:proofErr w:type="spellStart"/>
      <w:r w:rsidRPr="27ED1008">
        <w:rPr>
          <w:rFonts w:ascii="Calibri Light" w:eastAsia="Calibri Light" w:hAnsi="Calibri Light" w:cs="Calibri Light"/>
          <w:b/>
          <w:bCs/>
          <w:color w:val="000000" w:themeColor="text1"/>
          <w:sz w:val="23"/>
          <w:szCs w:val="23"/>
        </w:rPr>
        <w:t>Childrens’s</w:t>
      </w:r>
      <w:proofErr w:type="spellEnd"/>
      <w:r w:rsidRPr="27ED1008">
        <w:rPr>
          <w:rFonts w:ascii="Calibri Light" w:eastAsia="Calibri Light" w:hAnsi="Calibri Light" w:cs="Calibri Light"/>
          <w:b/>
          <w:bCs/>
          <w:color w:val="000000" w:themeColor="text1"/>
          <w:sz w:val="23"/>
          <w:szCs w:val="23"/>
        </w:rPr>
        <w:t xml:space="preserve"> Choir:</w:t>
      </w:r>
      <w:r w:rsidRPr="27ED1008">
        <w:rPr>
          <w:rFonts w:ascii="Calibri Light" w:eastAsia="Calibri Light" w:hAnsi="Calibri Light" w:cs="Calibri Light"/>
          <w:color w:val="000000" w:themeColor="text1"/>
          <w:sz w:val="23"/>
          <w:szCs w:val="23"/>
        </w:rPr>
        <w:t xml:space="preserve"> new choral program offered to select students using age-appropriate choral music. The group gave their first performance at St Thomas Aquinas Primary School NAIDOC Week closing ceremony in June 2019. </w:t>
      </w:r>
    </w:p>
    <w:p w14:paraId="00EA52CA" w14:textId="77777777" w:rsidR="00F00E3D" w:rsidRDefault="00F00E3D" w:rsidP="009B2FA7">
      <w:pPr>
        <w:spacing w:line="276" w:lineRule="auto"/>
        <w:rPr>
          <w:rFonts w:ascii="Calibri Light" w:eastAsia="Calibri Light" w:hAnsi="Calibri Light" w:cs="Calibri Light"/>
          <w:color w:val="000000" w:themeColor="text1"/>
          <w:sz w:val="23"/>
          <w:szCs w:val="23"/>
        </w:rPr>
      </w:pPr>
      <w:r w:rsidRPr="359636AC">
        <w:rPr>
          <w:rFonts w:ascii="Calibri Light" w:eastAsia="Calibri Light" w:hAnsi="Calibri Light" w:cs="Calibri Light"/>
          <w:color w:val="000000" w:themeColor="text1"/>
          <w:sz w:val="23"/>
          <w:szCs w:val="23"/>
        </w:rPr>
        <w:t>The TBA program is supported through grants, donations, and the work of volunteers. It won a $30K transformational grant from the Geelong Community Foundation in 2018, and a $30K grant from the Give Where You Live Foundation in 2020 (Geelong Community Foundation, 2021; Give Where You Live, 2020).</w:t>
      </w:r>
    </w:p>
    <w:p w14:paraId="3876D13F" w14:textId="7D25CC4B" w:rsidR="00F00E3D" w:rsidRDefault="00F00E3D" w:rsidP="009B2FA7">
      <w:pPr>
        <w:spacing w:line="276" w:lineRule="auto"/>
        <w:rPr>
          <w:rFonts w:ascii="Calibri Light" w:eastAsia="Calibri Light" w:hAnsi="Calibri Light" w:cs="Calibri Light"/>
          <w:color w:val="000000" w:themeColor="text1"/>
          <w:sz w:val="23"/>
          <w:szCs w:val="23"/>
        </w:rPr>
      </w:pPr>
      <w:r w:rsidRPr="27ED1008">
        <w:rPr>
          <w:rFonts w:ascii="Calibri Light" w:eastAsia="Calibri Light" w:hAnsi="Calibri Light" w:cs="Calibri Light"/>
          <w:color w:val="000000" w:themeColor="text1"/>
          <w:sz w:val="23"/>
          <w:szCs w:val="23"/>
        </w:rPr>
        <w:t xml:space="preserve">Currently the program is managed by a group of five volunteer committee members and 15 artists. The Bluebird Foundation website notes that </w:t>
      </w:r>
      <w:r>
        <w:rPr>
          <w:rFonts w:ascii="Calibri Light" w:eastAsia="Calibri Light" w:hAnsi="Calibri Light" w:cs="Calibri Light"/>
          <w:color w:val="000000" w:themeColor="text1"/>
          <w:sz w:val="23"/>
          <w:szCs w:val="23"/>
        </w:rPr>
        <w:t>it</w:t>
      </w:r>
      <w:r w:rsidRPr="27ED1008">
        <w:rPr>
          <w:rFonts w:ascii="Calibri Light" w:eastAsia="Calibri Light" w:hAnsi="Calibri Light" w:cs="Calibri Light"/>
          <w:color w:val="000000" w:themeColor="text1"/>
          <w:sz w:val="23"/>
          <w:szCs w:val="23"/>
        </w:rPr>
        <w:t xml:space="preserve"> has “employed over 50 artists”, but </w:t>
      </w:r>
      <w:r w:rsidR="00783A7F">
        <w:rPr>
          <w:rFonts w:ascii="Calibri Light" w:eastAsia="Calibri Light" w:hAnsi="Calibri Light" w:cs="Calibri Light"/>
          <w:color w:val="000000" w:themeColor="text1"/>
          <w:sz w:val="23"/>
          <w:szCs w:val="23"/>
        </w:rPr>
        <w:t xml:space="preserve">evidently there are also </w:t>
      </w:r>
      <w:r w:rsidRPr="27ED1008">
        <w:rPr>
          <w:rFonts w:ascii="Calibri Light" w:eastAsia="Calibri Light" w:hAnsi="Calibri Light" w:cs="Calibri Light"/>
          <w:color w:val="000000" w:themeColor="text1"/>
          <w:sz w:val="23"/>
          <w:szCs w:val="23"/>
        </w:rPr>
        <w:t>artists engaged in the TBA program on a volunteer basis.</w:t>
      </w:r>
      <w:r>
        <w:rPr>
          <w:rFonts w:ascii="Calibri Light" w:eastAsia="Calibri Light" w:hAnsi="Calibri Light" w:cs="Calibri Light"/>
          <w:color w:val="000000" w:themeColor="text1"/>
          <w:sz w:val="23"/>
          <w:szCs w:val="23"/>
        </w:rPr>
        <w:t xml:space="preserve"> </w:t>
      </w:r>
      <w:r w:rsidRPr="27ED1008">
        <w:rPr>
          <w:rFonts w:ascii="Calibri Light" w:eastAsia="Calibri Light" w:hAnsi="Calibri Light" w:cs="Calibri Light"/>
          <w:color w:val="000000" w:themeColor="text1"/>
          <w:sz w:val="23"/>
          <w:szCs w:val="23"/>
        </w:rPr>
        <w:t xml:space="preserve">Through collaborative relationships built between the schools and families, participating artists </w:t>
      </w:r>
      <w:r>
        <w:rPr>
          <w:rFonts w:ascii="Calibri Light" w:eastAsia="Calibri Light" w:hAnsi="Calibri Light" w:cs="Calibri Light"/>
          <w:color w:val="000000" w:themeColor="text1"/>
          <w:sz w:val="23"/>
          <w:szCs w:val="23"/>
        </w:rPr>
        <w:t xml:space="preserve">can </w:t>
      </w:r>
      <w:r w:rsidRPr="27ED1008">
        <w:rPr>
          <w:rFonts w:ascii="Calibri Light" w:eastAsia="Calibri Light" w:hAnsi="Calibri Light" w:cs="Calibri Light"/>
          <w:color w:val="000000" w:themeColor="text1"/>
          <w:sz w:val="23"/>
          <w:szCs w:val="23"/>
        </w:rPr>
        <w:t>tailor the TBA program to participants</w:t>
      </w:r>
      <w:r>
        <w:rPr>
          <w:rFonts w:ascii="Calibri Light" w:eastAsia="Calibri Light" w:hAnsi="Calibri Light" w:cs="Calibri Light"/>
          <w:color w:val="000000" w:themeColor="text1"/>
          <w:sz w:val="23"/>
          <w:szCs w:val="23"/>
        </w:rPr>
        <w:t>’ needs</w:t>
      </w:r>
      <w:r w:rsidRPr="27ED1008">
        <w:rPr>
          <w:rFonts w:ascii="Calibri Light" w:eastAsia="Calibri Light" w:hAnsi="Calibri Light" w:cs="Calibri Light"/>
          <w:color w:val="000000" w:themeColor="text1"/>
          <w:sz w:val="23"/>
          <w:szCs w:val="23"/>
        </w:rPr>
        <w:t xml:space="preserve">. </w:t>
      </w:r>
      <w:r w:rsidRPr="27ED1008">
        <w:rPr>
          <w:rFonts w:ascii="Calibri Light" w:eastAsia="Calibri Light" w:hAnsi="Calibri Light" w:cs="Calibri Light"/>
          <w:color w:val="000000" w:themeColor="text1"/>
          <w:sz w:val="23"/>
          <w:szCs w:val="23"/>
        </w:rPr>
        <w:lastRenderedPageBreak/>
        <w:t>The program has built momentum over time, with more teachers becoming involved, learning new skills while integrating the program</w:t>
      </w:r>
      <w:r>
        <w:rPr>
          <w:rFonts w:ascii="Calibri Light" w:eastAsia="Calibri Light" w:hAnsi="Calibri Light" w:cs="Calibri Light"/>
          <w:color w:val="000000" w:themeColor="text1"/>
          <w:sz w:val="23"/>
          <w:szCs w:val="23"/>
        </w:rPr>
        <w:t xml:space="preserve"> into </w:t>
      </w:r>
      <w:r w:rsidRPr="27ED1008">
        <w:rPr>
          <w:rFonts w:ascii="Calibri Light" w:eastAsia="Calibri Light" w:hAnsi="Calibri Light" w:cs="Calibri Light"/>
          <w:color w:val="000000" w:themeColor="text1"/>
          <w:sz w:val="23"/>
          <w:szCs w:val="23"/>
        </w:rPr>
        <w:t xml:space="preserve">the school curriculum (Geelong Region </w:t>
      </w:r>
      <w:r w:rsidRPr="27ED1008">
        <w:rPr>
          <w:rFonts w:ascii="Calibri Light" w:eastAsia="Calibri Light" w:hAnsi="Calibri Light" w:cs="Calibri Light"/>
          <w:sz w:val="23"/>
          <w:szCs w:val="23"/>
        </w:rPr>
        <w:t>ArtsAtlas, 2015)</w:t>
      </w:r>
      <w:r w:rsidRPr="27ED1008">
        <w:rPr>
          <w:rFonts w:ascii="Calibri Light" w:eastAsia="Calibri Light" w:hAnsi="Calibri Light" w:cs="Calibri Light"/>
          <w:color w:val="000000" w:themeColor="text1"/>
          <w:sz w:val="23"/>
          <w:szCs w:val="23"/>
        </w:rPr>
        <w:t>.</w:t>
      </w:r>
    </w:p>
    <w:p w14:paraId="7132B050" w14:textId="77777777" w:rsidR="009E4E61" w:rsidRDefault="00F00E3D" w:rsidP="009B2FA7">
      <w:pPr>
        <w:spacing w:after="0" w:line="276" w:lineRule="auto"/>
        <w:rPr>
          <w:rFonts w:ascii="Calibri Light" w:eastAsia="Calibri Light" w:hAnsi="Calibri Light" w:cs="Calibri Light"/>
          <w:color w:val="000000" w:themeColor="text1"/>
          <w:sz w:val="23"/>
          <w:szCs w:val="23"/>
        </w:rPr>
      </w:pPr>
      <w:r w:rsidRPr="47C6F23B">
        <w:rPr>
          <w:rFonts w:ascii="Calibri Light" w:eastAsia="Calibri Light" w:hAnsi="Calibri Light" w:cs="Calibri Light"/>
          <w:color w:val="000000" w:themeColor="text1"/>
          <w:sz w:val="23"/>
          <w:szCs w:val="23"/>
        </w:rPr>
        <w:t xml:space="preserve">Components of the </w:t>
      </w:r>
      <w:r>
        <w:rPr>
          <w:rFonts w:ascii="Calibri Light" w:eastAsia="Calibri Light" w:hAnsi="Calibri Light" w:cs="Calibri Light"/>
          <w:color w:val="000000" w:themeColor="text1"/>
          <w:sz w:val="23"/>
          <w:szCs w:val="23"/>
        </w:rPr>
        <w:t xml:space="preserve">TBA </w:t>
      </w:r>
      <w:r w:rsidRPr="47C6F23B">
        <w:rPr>
          <w:rFonts w:ascii="Calibri Light" w:eastAsia="Calibri Light" w:hAnsi="Calibri Light" w:cs="Calibri Light"/>
          <w:color w:val="000000" w:themeColor="text1"/>
          <w:sz w:val="23"/>
          <w:szCs w:val="23"/>
        </w:rPr>
        <w:t xml:space="preserve">program have </w:t>
      </w:r>
      <w:r w:rsidRPr="00E10E2D">
        <w:rPr>
          <w:rFonts w:ascii="Calibri Light" w:eastAsia="Calibri Light" w:hAnsi="Calibri Light" w:cs="Calibri Light"/>
          <w:color w:val="000000" w:themeColor="text1"/>
          <w:sz w:val="23"/>
          <w:szCs w:val="23"/>
        </w:rPr>
        <w:t xml:space="preserve">been evaluated through research published in an </w:t>
      </w:r>
      <w:hyperlink r:id="rId81" w:history="1">
        <w:r w:rsidRPr="00CB53BA">
          <w:rPr>
            <w:rStyle w:val="Hyperlink"/>
            <w:rFonts w:ascii="Calibri Light" w:eastAsia="Calibri Light" w:hAnsi="Calibri Light" w:cs="Calibri Light"/>
            <w:sz w:val="23"/>
            <w:szCs w:val="23"/>
          </w:rPr>
          <w:t>Honours thesis</w:t>
        </w:r>
      </w:hyperlink>
      <w:r w:rsidRPr="00E10E2D">
        <w:rPr>
          <w:rFonts w:ascii="Calibri Light" w:eastAsia="Calibri Light" w:hAnsi="Calibri Light" w:cs="Calibri Light"/>
          <w:color w:val="000000" w:themeColor="text1"/>
          <w:sz w:val="23"/>
          <w:szCs w:val="23"/>
        </w:rPr>
        <w:t xml:space="preserve"> (Baudinette, 2011) and an </w:t>
      </w:r>
      <w:hyperlink r:id="rId82" w:history="1">
        <w:r w:rsidRPr="00123325">
          <w:rPr>
            <w:rStyle w:val="Hyperlink"/>
            <w:rFonts w:ascii="Calibri Light" w:eastAsia="Calibri Light" w:hAnsi="Calibri Light" w:cs="Calibri Light"/>
            <w:sz w:val="23"/>
            <w:szCs w:val="23"/>
          </w:rPr>
          <w:t>academic journal article</w:t>
        </w:r>
      </w:hyperlink>
      <w:r w:rsidRPr="47C6F23B">
        <w:rPr>
          <w:rFonts w:ascii="Calibri Light" w:eastAsia="Calibri Light" w:hAnsi="Calibri Light" w:cs="Calibri Light"/>
          <w:color w:val="000000" w:themeColor="text1"/>
          <w:sz w:val="23"/>
          <w:szCs w:val="23"/>
        </w:rPr>
        <w:t xml:space="preserve"> (Ward et al</w:t>
      </w:r>
      <w:r>
        <w:rPr>
          <w:rFonts w:ascii="Calibri Light" w:eastAsia="Calibri Light" w:hAnsi="Calibri Light" w:cs="Calibri Light"/>
          <w:color w:val="000000" w:themeColor="text1"/>
          <w:sz w:val="23"/>
          <w:szCs w:val="23"/>
        </w:rPr>
        <w:t>.</w:t>
      </w:r>
      <w:r w:rsidRPr="47C6F23B">
        <w:rPr>
          <w:rFonts w:ascii="Calibri Light" w:eastAsia="Calibri Light" w:hAnsi="Calibri Light" w:cs="Calibri Light"/>
          <w:color w:val="000000" w:themeColor="text1"/>
          <w:sz w:val="23"/>
          <w:szCs w:val="23"/>
        </w:rPr>
        <w:t xml:space="preserve">, 2017). These studies found that music and art therapy programs resulted in benefits when parents and children participated together. </w:t>
      </w:r>
      <w:r w:rsidR="00783A7F">
        <w:rPr>
          <w:rFonts w:ascii="Calibri Light" w:eastAsia="Calibri Light" w:hAnsi="Calibri Light" w:cs="Calibri Light"/>
          <w:color w:val="000000" w:themeColor="text1"/>
          <w:sz w:val="23"/>
          <w:szCs w:val="23"/>
        </w:rPr>
        <w:t>P</w:t>
      </w:r>
      <w:r w:rsidRPr="47C6F23B">
        <w:rPr>
          <w:rFonts w:ascii="Calibri Light" w:eastAsia="Calibri Light" w:hAnsi="Calibri Light" w:cs="Calibri Light"/>
          <w:color w:val="000000" w:themeColor="text1"/>
          <w:sz w:val="23"/>
          <w:szCs w:val="23"/>
        </w:rPr>
        <w:t xml:space="preserve">arents </w:t>
      </w:r>
      <w:r w:rsidR="00783A7F">
        <w:rPr>
          <w:rFonts w:ascii="Calibri Light" w:eastAsia="Calibri Light" w:hAnsi="Calibri Light" w:cs="Calibri Light"/>
          <w:color w:val="000000" w:themeColor="text1"/>
          <w:sz w:val="23"/>
          <w:szCs w:val="23"/>
        </w:rPr>
        <w:t>reported that</w:t>
      </w:r>
      <w:r w:rsidRPr="47C6F23B">
        <w:rPr>
          <w:rFonts w:ascii="Calibri Light" w:eastAsia="Calibri Light" w:hAnsi="Calibri Light" w:cs="Calibri Light"/>
          <w:color w:val="000000" w:themeColor="text1"/>
          <w:sz w:val="23"/>
          <w:szCs w:val="23"/>
        </w:rPr>
        <w:t xml:space="preserve"> participation </w:t>
      </w:r>
      <w:r>
        <w:rPr>
          <w:rFonts w:ascii="Calibri Light" w:eastAsia="Calibri Light" w:hAnsi="Calibri Light" w:cs="Calibri Light"/>
          <w:color w:val="000000" w:themeColor="text1"/>
          <w:sz w:val="23"/>
          <w:szCs w:val="23"/>
        </w:rPr>
        <w:t>had</w:t>
      </w:r>
      <w:r w:rsidRPr="47C6F23B">
        <w:rPr>
          <w:rFonts w:ascii="Calibri Light" w:eastAsia="Calibri Light" w:hAnsi="Calibri Light" w:cs="Calibri Light"/>
          <w:color w:val="000000" w:themeColor="text1"/>
          <w:sz w:val="23"/>
          <w:szCs w:val="23"/>
        </w:rPr>
        <w:t xml:space="preserve"> social, relational, and cognitive benefits for both </w:t>
      </w:r>
      <w:r w:rsidR="00783A7F">
        <w:rPr>
          <w:rFonts w:ascii="Calibri Light" w:eastAsia="Calibri Light" w:hAnsi="Calibri Light" w:cs="Calibri Light"/>
          <w:color w:val="000000" w:themeColor="text1"/>
          <w:sz w:val="23"/>
          <w:szCs w:val="23"/>
        </w:rPr>
        <w:t>themselves</w:t>
      </w:r>
      <w:r w:rsidRPr="47C6F23B">
        <w:rPr>
          <w:rFonts w:ascii="Calibri Light" w:eastAsia="Calibri Light" w:hAnsi="Calibri Light" w:cs="Calibri Light"/>
          <w:color w:val="000000" w:themeColor="text1"/>
          <w:sz w:val="23"/>
          <w:szCs w:val="23"/>
        </w:rPr>
        <w:t xml:space="preserve"> and</w:t>
      </w:r>
      <w:r w:rsidR="00783A7F">
        <w:rPr>
          <w:rFonts w:ascii="Calibri Light" w:eastAsia="Calibri Light" w:hAnsi="Calibri Light" w:cs="Calibri Light"/>
          <w:color w:val="000000" w:themeColor="text1"/>
          <w:sz w:val="23"/>
          <w:szCs w:val="23"/>
        </w:rPr>
        <w:t xml:space="preserve"> their</w:t>
      </w:r>
      <w:r w:rsidRPr="47C6F23B">
        <w:rPr>
          <w:rFonts w:ascii="Calibri Light" w:eastAsia="Calibri Light" w:hAnsi="Calibri Light" w:cs="Calibri Light"/>
          <w:color w:val="000000" w:themeColor="text1"/>
          <w:sz w:val="23"/>
          <w:szCs w:val="23"/>
        </w:rPr>
        <w:t xml:space="preserve"> child (Baudinette, 2011). The nature play program enabled environmental and social connections and created opportunities to enhance children’s development and wellbeing (Ward, 2017).</w:t>
      </w:r>
    </w:p>
    <w:p w14:paraId="41C645DE" w14:textId="713313CA" w:rsidR="009E4E61" w:rsidRDefault="009E4E61">
      <w:pPr>
        <w:spacing w:after="0" w:line="240" w:lineRule="auto"/>
        <w:rPr>
          <w:rFonts w:ascii="Calibri Light" w:eastAsia="Calibri Light" w:hAnsi="Calibri Light" w:cs="Calibri Light"/>
          <w:color w:val="000000" w:themeColor="text1"/>
          <w:sz w:val="23"/>
          <w:szCs w:val="23"/>
        </w:rPr>
      </w:pPr>
    </w:p>
    <w:p w14:paraId="4BE6B86D" w14:textId="2C17AFFA" w:rsidR="00F00E3D" w:rsidRPr="009E4E61" w:rsidRDefault="00F00E3D" w:rsidP="009B2FA7">
      <w:pPr>
        <w:spacing w:after="0" w:line="276" w:lineRule="auto"/>
        <w:rPr>
          <w:rFonts w:ascii="Calibri Light" w:eastAsia="Calibri Light" w:hAnsi="Calibri Light" w:cs="Calibri Light"/>
          <w:color w:val="000000" w:themeColor="text1"/>
          <w:sz w:val="23"/>
          <w:szCs w:val="23"/>
        </w:rPr>
      </w:pPr>
      <w:bookmarkStart w:id="55" w:name="_Hlk70863274"/>
      <w:r w:rsidRPr="27ED1008">
        <w:rPr>
          <w:rFonts w:ascii="Calibri" w:eastAsia="Calibri" w:hAnsi="Calibri" w:cs="Calibri"/>
          <w:b/>
          <w:bCs/>
          <w:sz w:val="25"/>
          <w:szCs w:val="25"/>
        </w:rPr>
        <w:t xml:space="preserve">Whittington Works Alliance: Local </w:t>
      </w:r>
      <w:r w:rsidR="00725499" w:rsidRPr="27ED1008">
        <w:rPr>
          <w:rFonts w:ascii="Calibri" w:eastAsia="Calibri" w:hAnsi="Calibri" w:cs="Calibri"/>
          <w:b/>
          <w:bCs/>
          <w:sz w:val="25"/>
          <w:szCs w:val="25"/>
        </w:rPr>
        <w:t xml:space="preserve">Jobs, Education </w:t>
      </w:r>
      <w:r w:rsidR="00725499">
        <w:rPr>
          <w:rFonts w:ascii="Calibri" w:eastAsia="Calibri" w:hAnsi="Calibri" w:cs="Calibri"/>
          <w:b/>
          <w:bCs/>
          <w:sz w:val="25"/>
          <w:szCs w:val="25"/>
        </w:rPr>
        <w:t>a</w:t>
      </w:r>
      <w:r w:rsidR="00725499" w:rsidRPr="27ED1008">
        <w:rPr>
          <w:rFonts w:ascii="Calibri" w:eastAsia="Calibri" w:hAnsi="Calibri" w:cs="Calibri"/>
          <w:b/>
          <w:bCs/>
          <w:sz w:val="25"/>
          <w:szCs w:val="25"/>
        </w:rPr>
        <w:t>nd Training Program</w:t>
      </w:r>
    </w:p>
    <w:p w14:paraId="6D3E07BC" w14:textId="029CE04B" w:rsidR="00F00E3D" w:rsidRDefault="00F00E3D" w:rsidP="009B2FA7">
      <w:pPr>
        <w:spacing w:after="0" w:line="276" w:lineRule="auto"/>
      </w:pPr>
      <w:r>
        <w:rPr>
          <w:rFonts w:ascii="Calibri" w:eastAsia="Calibri" w:hAnsi="Calibri" w:cs="Calibri"/>
          <w:b/>
          <w:bCs/>
          <w:sz w:val="23"/>
          <w:szCs w:val="23"/>
        </w:rPr>
        <w:t xml:space="preserve">Whittington and </w:t>
      </w:r>
      <w:r w:rsidRPr="359636AC">
        <w:rPr>
          <w:rFonts w:ascii="Calibri" w:eastAsia="Calibri" w:hAnsi="Calibri" w:cs="Calibri"/>
          <w:b/>
          <w:bCs/>
          <w:sz w:val="23"/>
          <w:szCs w:val="23"/>
        </w:rPr>
        <w:t xml:space="preserve">Eastern Suburbs, Geelong </w:t>
      </w:r>
      <w:bookmarkStart w:id="56" w:name="_Hlk70863243"/>
      <w:r w:rsidRPr="359636AC">
        <w:rPr>
          <w:rFonts w:ascii="Calibri" w:eastAsia="Calibri" w:hAnsi="Calibri" w:cs="Calibri"/>
          <w:b/>
          <w:bCs/>
          <w:sz w:val="23"/>
          <w:szCs w:val="23"/>
        </w:rPr>
        <w:t>(2013–</w:t>
      </w:r>
      <w:r w:rsidR="009E4E61">
        <w:rPr>
          <w:rFonts w:ascii="Calibri" w:eastAsia="Calibri" w:hAnsi="Calibri" w:cs="Calibri"/>
          <w:b/>
          <w:bCs/>
          <w:sz w:val="23"/>
          <w:szCs w:val="23"/>
        </w:rPr>
        <w:t>2020</w:t>
      </w:r>
      <w:r w:rsidRPr="359636AC">
        <w:rPr>
          <w:rFonts w:ascii="Calibri" w:eastAsia="Calibri" w:hAnsi="Calibri" w:cs="Calibri"/>
          <w:b/>
          <w:bCs/>
          <w:sz w:val="23"/>
          <w:szCs w:val="23"/>
        </w:rPr>
        <w:t>)</w:t>
      </w:r>
      <w:bookmarkEnd w:id="56"/>
    </w:p>
    <w:bookmarkEnd w:id="55"/>
    <w:p w14:paraId="7FBBA4D7" w14:textId="77777777" w:rsidR="00F00E3D" w:rsidRPr="00B17303" w:rsidRDefault="00F00E3D" w:rsidP="009B2FA7">
      <w:pPr>
        <w:spacing w:after="0" w:line="276" w:lineRule="auto"/>
        <w:rPr>
          <w:rFonts w:ascii="Calibri Light" w:eastAsia="Calibri Light" w:hAnsi="Calibri Light" w:cs="Calibri Light"/>
          <w:color w:val="000000" w:themeColor="text1"/>
          <w:sz w:val="16"/>
          <w:szCs w:val="16"/>
        </w:rPr>
      </w:pPr>
    </w:p>
    <w:p w14:paraId="5CAFBB86" w14:textId="502F379B"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Main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 xml:space="preserve">(s):          </w:t>
      </w:r>
      <w:r w:rsidRPr="00CC521D">
        <w:rPr>
          <w:rFonts w:eastAsia="Calibri Light" w:cstheme="minorHAnsi"/>
          <w:b/>
          <w:bCs/>
          <w:color w:val="595959" w:themeColor="text1" w:themeTint="A6"/>
          <w:sz w:val="23"/>
          <w:szCs w:val="23"/>
        </w:rPr>
        <w:tab/>
        <w:t>Employment, Education</w:t>
      </w:r>
    </w:p>
    <w:p w14:paraId="5CB9E16A" w14:textId="2C824E97"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Secondary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 xml:space="preserve">(s): </w:t>
      </w:r>
      <w:r w:rsidRPr="00CC521D">
        <w:rPr>
          <w:rFonts w:eastAsia="Calibri Light" w:cstheme="minorHAnsi"/>
          <w:b/>
          <w:bCs/>
          <w:color w:val="595959" w:themeColor="text1" w:themeTint="A6"/>
          <w:sz w:val="23"/>
          <w:szCs w:val="23"/>
        </w:rPr>
        <w:tab/>
        <w:t>Health and Wellbeing</w:t>
      </w:r>
    </w:p>
    <w:p w14:paraId="62098243" w14:textId="77777777" w:rsidR="00F00E3D" w:rsidRPr="00E10E2D" w:rsidRDefault="00F00E3D" w:rsidP="009B2FA7">
      <w:pPr>
        <w:spacing w:after="0" w:line="276" w:lineRule="auto"/>
        <w:rPr>
          <w:rFonts w:ascii="Calibri Light" w:eastAsia="Calibri Light" w:hAnsi="Calibri Light" w:cs="Calibri Light"/>
          <w:color w:val="000000" w:themeColor="text1"/>
          <w:sz w:val="16"/>
          <w:szCs w:val="16"/>
        </w:rPr>
      </w:pPr>
    </w:p>
    <w:p w14:paraId="21D72D9E" w14:textId="15E555CF" w:rsidR="00F00E3D" w:rsidRPr="00974CB7" w:rsidRDefault="00F00E3D" w:rsidP="009B2FA7">
      <w:pPr>
        <w:spacing w:after="0" w:line="276" w:lineRule="auto"/>
      </w:pPr>
      <w:r w:rsidRPr="2B116086">
        <w:rPr>
          <w:rFonts w:ascii="Calibri Light" w:eastAsia="Calibri Light" w:hAnsi="Calibri Light" w:cs="Calibri Light"/>
          <w:color w:val="000000" w:themeColor="text1"/>
          <w:sz w:val="23"/>
          <w:szCs w:val="23"/>
        </w:rPr>
        <w:t xml:space="preserve">Focused on the Geelong’s eastern suburbs, the Whittington Works Alliance (WWA) </w:t>
      </w:r>
      <w:r w:rsidR="009E4E61">
        <w:rPr>
          <w:rFonts w:ascii="Calibri Light" w:eastAsia="Calibri Light" w:hAnsi="Calibri Light" w:cs="Calibri Light"/>
          <w:color w:val="000000" w:themeColor="text1"/>
          <w:sz w:val="23"/>
          <w:szCs w:val="23"/>
        </w:rPr>
        <w:t>wa</w:t>
      </w:r>
      <w:r w:rsidRPr="2B116086">
        <w:rPr>
          <w:rFonts w:ascii="Calibri Light" w:eastAsia="Calibri Light" w:hAnsi="Calibri Light" w:cs="Calibri Light"/>
          <w:color w:val="000000" w:themeColor="text1"/>
          <w:sz w:val="23"/>
          <w:szCs w:val="23"/>
        </w:rPr>
        <w:t>s a multi-organisation partnership that supports long-term unemployed residents through a pathway to employment program. WWA support</w:t>
      </w:r>
      <w:r w:rsidR="009E4E61">
        <w:rPr>
          <w:rFonts w:ascii="Calibri Light" w:eastAsia="Calibri Light" w:hAnsi="Calibri Light" w:cs="Calibri Light"/>
          <w:color w:val="000000" w:themeColor="text1"/>
          <w:sz w:val="23"/>
          <w:szCs w:val="23"/>
        </w:rPr>
        <w:t>ed</w:t>
      </w:r>
      <w:r w:rsidRPr="2B116086">
        <w:rPr>
          <w:rFonts w:ascii="Calibri Light" w:eastAsia="Calibri Light" w:hAnsi="Calibri Light" w:cs="Calibri Light"/>
          <w:color w:val="000000" w:themeColor="text1"/>
          <w:sz w:val="23"/>
          <w:szCs w:val="23"/>
        </w:rPr>
        <w:t xml:space="preserve"> residents from Whittington and surrounding areas to reskill, retrain</w:t>
      </w:r>
      <w:r w:rsidR="009E4E61">
        <w:rPr>
          <w:rFonts w:ascii="Calibri Light" w:eastAsia="Calibri Light" w:hAnsi="Calibri Light" w:cs="Calibri Light"/>
          <w:color w:val="000000" w:themeColor="text1"/>
          <w:sz w:val="23"/>
          <w:szCs w:val="23"/>
        </w:rPr>
        <w:t>,</w:t>
      </w:r>
      <w:r w:rsidRPr="2B116086">
        <w:rPr>
          <w:rFonts w:ascii="Calibri Light" w:eastAsia="Calibri Light" w:hAnsi="Calibri Light" w:cs="Calibri Light"/>
          <w:color w:val="000000" w:themeColor="text1"/>
          <w:sz w:val="23"/>
          <w:szCs w:val="23"/>
        </w:rPr>
        <w:t xml:space="preserve"> and build confidence for work. Jobseekers engaged in the program c</w:t>
      </w:r>
      <w:r w:rsidR="009E4E61">
        <w:rPr>
          <w:rFonts w:ascii="Calibri Light" w:eastAsia="Calibri Light" w:hAnsi="Calibri Light" w:cs="Calibri Light"/>
          <w:color w:val="000000" w:themeColor="text1"/>
          <w:sz w:val="23"/>
          <w:szCs w:val="23"/>
        </w:rPr>
        <w:t>ould</w:t>
      </w:r>
      <w:r w:rsidRPr="2B116086">
        <w:rPr>
          <w:rFonts w:ascii="Calibri Light" w:eastAsia="Calibri Light" w:hAnsi="Calibri Light" w:cs="Calibri Light"/>
          <w:color w:val="000000" w:themeColor="text1"/>
          <w:sz w:val="23"/>
          <w:szCs w:val="23"/>
        </w:rPr>
        <w:t xml:space="preserve"> undertake courses and qualifications, and “work mentors” help</w:t>
      </w:r>
      <w:r w:rsidR="009E4E61">
        <w:rPr>
          <w:rFonts w:ascii="Calibri Light" w:eastAsia="Calibri Light" w:hAnsi="Calibri Light" w:cs="Calibri Light"/>
          <w:color w:val="000000" w:themeColor="text1"/>
          <w:sz w:val="23"/>
          <w:szCs w:val="23"/>
        </w:rPr>
        <w:t>ed</w:t>
      </w:r>
      <w:r w:rsidRPr="2B116086">
        <w:rPr>
          <w:rFonts w:ascii="Calibri Light" w:eastAsia="Calibri Light" w:hAnsi="Calibri Light" w:cs="Calibri Light"/>
          <w:color w:val="000000" w:themeColor="text1"/>
          <w:sz w:val="23"/>
          <w:szCs w:val="23"/>
        </w:rPr>
        <w:t xml:space="preserve"> them to find jobs through connections with local employers. Facilitated by The Gordon TAFE and Deakin University, the training courses include Certificate II in Cleaning Operations and General Automotive; Certificate III in Aged and Community Care and Early Childhood Education; and short courses in Food Processing Skill Set and Bricklaying Skill Set.</w:t>
      </w:r>
    </w:p>
    <w:p w14:paraId="56FDC1BE" w14:textId="77777777" w:rsidR="00F00E3D" w:rsidRPr="00E10E2D" w:rsidRDefault="00F00E3D" w:rsidP="009B2FA7">
      <w:pPr>
        <w:spacing w:after="0" w:line="276" w:lineRule="auto"/>
        <w:rPr>
          <w:rFonts w:ascii="Calibri Light" w:eastAsia="Calibri Light" w:hAnsi="Calibri Light" w:cs="Calibri Light"/>
          <w:color w:val="000000" w:themeColor="text1"/>
          <w:sz w:val="16"/>
          <w:szCs w:val="16"/>
        </w:rPr>
      </w:pPr>
    </w:p>
    <w:p w14:paraId="5045C244" w14:textId="7D0B7103" w:rsidR="00F00E3D" w:rsidRPr="009E4E61" w:rsidRDefault="00F00E3D" w:rsidP="009B2FA7">
      <w:pPr>
        <w:spacing w:after="0" w:line="276" w:lineRule="auto"/>
        <w:rPr>
          <w:rFonts w:ascii="Calibri Light" w:eastAsia="Calibri Light" w:hAnsi="Calibri Light" w:cs="Calibri Light"/>
          <w:color w:val="000000" w:themeColor="text1"/>
          <w:sz w:val="23"/>
          <w:szCs w:val="23"/>
        </w:rPr>
      </w:pPr>
      <w:r w:rsidRPr="2B116086">
        <w:rPr>
          <w:rFonts w:ascii="Calibri Light" w:eastAsia="Calibri Light" w:hAnsi="Calibri Light" w:cs="Calibri Light"/>
          <w:color w:val="000000" w:themeColor="text1"/>
          <w:sz w:val="23"/>
          <w:szCs w:val="23"/>
        </w:rPr>
        <w:t xml:space="preserve">The </w:t>
      </w:r>
      <w:r>
        <w:rPr>
          <w:rFonts w:ascii="Calibri Light" w:eastAsia="Calibri Light" w:hAnsi="Calibri Light" w:cs="Calibri Light"/>
          <w:color w:val="000000" w:themeColor="text1"/>
          <w:sz w:val="23"/>
          <w:szCs w:val="23"/>
        </w:rPr>
        <w:t xml:space="preserve">WWA </w:t>
      </w:r>
      <w:r w:rsidRPr="2B116086">
        <w:rPr>
          <w:rFonts w:ascii="Calibri Light" w:eastAsia="Calibri Light" w:hAnsi="Calibri Light" w:cs="Calibri Light"/>
          <w:color w:val="000000" w:themeColor="text1"/>
          <w:sz w:val="23"/>
          <w:szCs w:val="23"/>
        </w:rPr>
        <w:t xml:space="preserve">program </w:t>
      </w:r>
      <w:r w:rsidR="009E4E61">
        <w:rPr>
          <w:rFonts w:ascii="Calibri Light" w:eastAsia="Calibri Light" w:hAnsi="Calibri Light" w:cs="Calibri Light"/>
          <w:color w:val="000000" w:themeColor="text1"/>
          <w:sz w:val="23"/>
          <w:szCs w:val="23"/>
        </w:rPr>
        <w:t xml:space="preserve">sought </w:t>
      </w:r>
      <w:r w:rsidRPr="2B116086">
        <w:rPr>
          <w:rFonts w:ascii="Calibri Light" w:eastAsia="Calibri Light" w:hAnsi="Calibri Light" w:cs="Calibri Light"/>
          <w:color w:val="000000" w:themeColor="text1"/>
          <w:sz w:val="23"/>
          <w:szCs w:val="23"/>
        </w:rPr>
        <w:t>to address disadvantage and the subsequent health risks. Participants often present</w:t>
      </w:r>
      <w:r w:rsidR="009E4E61">
        <w:rPr>
          <w:rFonts w:ascii="Calibri Light" w:eastAsia="Calibri Light" w:hAnsi="Calibri Light" w:cs="Calibri Light"/>
          <w:color w:val="000000" w:themeColor="text1"/>
          <w:sz w:val="23"/>
          <w:szCs w:val="23"/>
        </w:rPr>
        <w:t>ed</w:t>
      </w:r>
      <w:r w:rsidRPr="2B116086">
        <w:rPr>
          <w:rFonts w:ascii="Calibri Light" w:eastAsia="Calibri Light" w:hAnsi="Calibri Light" w:cs="Calibri Light"/>
          <w:color w:val="000000" w:themeColor="text1"/>
          <w:sz w:val="23"/>
          <w:szCs w:val="23"/>
        </w:rPr>
        <w:t xml:space="preserve"> with psycho-social challenges (mental health, alcohol and drug, and personal relationship issues). Through their work mentors, they receive</w:t>
      </w:r>
      <w:r w:rsidR="009E4E61">
        <w:rPr>
          <w:rFonts w:ascii="Calibri Light" w:eastAsia="Calibri Light" w:hAnsi="Calibri Light" w:cs="Calibri Light"/>
          <w:color w:val="000000" w:themeColor="text1"/>
          <w:sz w:val="23"/>
          <w:szCs w:val="23"/>
        </w:rPr>
        <w:t>d</w:t>
      </w:r>
      <w:r w:rsidRPr="2B116086">
        <w:rPr>
          <w:rFonts w:ascii="Calibri Light" w:eastAsia="Calibri Light" w:hAnsi="Calibri Light" w:cs="Calibri Light"/>
          <w:color w:val="000000" w:themeColor="text1"/>
          <w:sz w:val="23"/>
          <w:szCs w:val="23"/>
        </w:rPr>
        <w:t xml:space="preserve"> support and referral to community service organisations to help address these challenges.</w:t>
      </w:r>
      <w:r w:rsidR="009E4E61">
        <w:rPr>
          <w:rFonts w:ascii="Calibri Light" w:eastAsia="Calibri Light" w:hAnsi="Calibri Light" w:cs="Calibri Light"/>
          <w:color w:val="000000" w:themeColor="text1"/>
          <w:sz w:val="23"/>
          <w:szCs w:val="23"/>
        </w:rPr>
        <w:t xml:space="preserve"> </w:t>
      </w:r>
      <w:r w:rsidRPr="00652994">
        <w:rPr>
          <w:rFonts w:asciiTheme="majorHAnsi" w:eastAsia="Calibri Light" w:hAnsiTheme="majorHAnsi" w:cstheme="majorHAnsi"/>
          <w:color w:val="000000" w:themeColor="text1"/>
          <w:sz w:val="23"/>
          <w:szCs w:val="23"/>
        </w:rPr>
        <w:t>As a result of the program, the Eastern Geelong Business Network was formed</w:t>
      </w:r>
      <w:r w:rsidR="009E4E61">
        <w:rPr>
          <w:rFonts w:asciiTheme="majorHAnsi" w:eastAsia="Calibri Light" w:hAnsiTheme="majorHAnsi" w:cstheme="majorHAnsi"/>
          <w:color w:val="000000" w:themeColor="text1"/>
          <w:sz w:val="23"/>
          <w:szCs w:val="23"/>
        </w:rPr>
        <w:t xml:space="preserve"> to</w:t>
      </w:r>
      <w:r w:rsidRPr="00652994">
        <w:rPr>
          <w:rFonts w:asciiTheme="majorHAnsi" w:eastAsia="Calibri Light" w:hAnsiTheme="majorHAnsi" w:cstheme="majorHAnsi"/>
          <w:color w:val="000000" w:themeColor="text1"/>
          <w:sz w:val="23"/>
          <w:szCs w:val="23"/>
        </w:rPr>
        <w:t xml:space="preserve"> connect small to medium enterprises </w:t>
      </w:r>
      <w:r w:rsidR="009E4E61">
        <w:rPr>
          <w:rFonts w:asciiTheme="majorHAnsi" w:eastAsia="Calibri Light" w:hAnsiTheme="majorHAnsi" w:cstheme="majorHAnsi"/>
          <w:color w:val="000000" w:themeColor="text1"/>
          <w:sz w:val="23"/>
          <w:szCs w:val="23"/>
        </w:rPr>
        <w:t>via</w:t>
      </w:r>
      <w:r w:rsidRPr="00652994">
        <w:rPr>
          <w:rFonts w:asciiTheme="majorHAnsi" w:eastAsia="Calibri Light" w:hAnsiTheme="majorHAnsi" w:cstheme="majorHAnsi"/>
          <w:color w:val="000000" w:themeColor="text1"/>
          <w:sz w:val="23"/>
          <w:szCs w:val="23"/>
        </w:rPr>
        <w:t xml:space="preserve"> monthly meetings, where members network and learn new skills (What is Whittington Works? 2013).</w:t>
      </w:r>
      <w:r>
        <w:rPr>
          <w:rFonts w:asciiTheme="majorHAnsi" w:eastAsia="Calibri Light" w:hAnsiTheme="majorHAnsi" w:cstheme="majorHAnsi"/>
          <w:color w:val="000000" w:themeColor="text1"/>
          <w:sz w:val="23"/>
          <w:szCs w:val="23"/>
        </w:rPr>
        <w:t xml:space="preserve"> </w:t>
      </w:r>
      <w:r w:rsidRPr="2B116086">
        <w:rPr>
          <w:rFonts w:ascii="Calibri Light" w:eastAsia="Calibri Light" w:hAnsi="Calibri Light" w:cs="Calibri Light"/>
          <w:color w:val="000000" w:themeColor="text1"/>
          <w:sz w:val="23"/>
          <w:szCs w:val="23"/>
        </w:rPr>
        <w:t xml:space="preserve">In 2016 the </w:t>
      </w:r>
      <w:r w:rsidRPr="00652994">
        <w:rPr>
          <w:rFonts w:asciiTheme="majorHAnsi" w:eastAsia="Calibri Light" w:hAnsiTheme="majorHAnsi" w:cstheme="majorHAnsi"/>
          <w:color w:val="000000" w:themeColor="text1"/>
          <w:sz w:val="23"/>
          <w:szCs w:val="23"/>
        </w:rPr>
        <w:t xml:space="preserve">program </w:t>
      </w:r>
      <w:r w:rsidR="009E4E61">
        <w:rPr>
          <w:rFonts w:asciiTheme="majorHAnsi" w:eastAsia="Calibri Light" w:hAnsiTheme="majorHAnsi" w:cstheme="majorHAnsi"/>
          <w:color w:val="000000" w:themeColor="text1"/>
          <w:sz w:val="23"/>
          <w:szCs w:val="23"/>
        </w:rPr>
        <w:t>received</w:t>
      </w:r>
      <w:r w:rsidRPr="00652994">
        <w:rPr>
          <w:rFonts w:asciiTheme="majorHAnsi" w:eastAsia="Calibri Light" w:hAnsiTheme="majorHAnsi" w:cstheme="majorHAnsi"/>
          <w:color w:val="000000" w:themeColor="text1"/>
          <w:sz w:val="23"/>
          <w:szCs w:val="23"/>
        </w:rPr>
        <w:t xml:space="preserve"> $755,000 from the Victorian Government’s Department of Economic Development, Jobs Transport and Resources (G21, 2016). Partners include The Gordon TAFE, Brotherhood of St Laurence, and Encompass Community Services (Skilling the Bay, 2016, 2017).</w:t>
      </w:r>
    </w:p>
    <w:p w14:paraId="1F3A8452" w14:textId="77777777" w:rsidR="00F00E3D" w:rsidRPr="00924024" w:rsidRDefault="00F00E3D" w:rsidP="009B2FA7">
      <w:pPr>
        <w:spacing w:after="0" w:line="276" w:lineRule="auto"/>
        <w:rPr>
          <w:rFonts w:asciiTheme="majorHAnsi" w:hAnsiTheme="majorHAnsi" w:cstheme="majorHAnsi"/>
          <w:sz w:val="16"/>
          <w:szCs w:val="16"/>
        </w:rPr>
      </w:pPr>
    </w:p>
    <w:p w14:paraId="22F2FA8F" w14:textId="573F96F7" w:rsidR="00F00E3D" w:rsidRPr="00652994" w:rsidRDefault="00F00E3D" w:rsidP="009B2FA7">
      <w:pPr>
        <w:spacing w:after="0" w:line="276" w:lineRule="auto"/>
        <w:rPr>
          <w:rFonts w:asciiTheme="majorHAnsi" w:eastAsia="Calibri Light" w:hAnsiTheme="majorHAnsi" w:cstheme="majorHAnsi"/>
          <w:color w:val="000000" w:themeColor="text1"/>
          <w:sz w:val="23"/>
          <w:szCs w:val="23"/>
        </w:rPr>
      </w:pPr>
      <w:r w:rsidRPr="00652994">
        <w:rPr>
          <w:rFonts w:asciiTheme="majorHAnsi" w:hAnsiTheme="majorHAnsi" w:cstheme="majorHAnsi"/>
          <w:sz w:val="23"/>
          <w:szCs w:val="23"/>
        </w:rPr>
        <w:t xml:space="preserve">As of 2019, </w:t>
      </w:r>
      <w:r w:rsidRPr="00652994">
        <w:rPr>
          <w:rFonts w:asciiTheme="majorHAnsi" w:eastAsia="Calibri Light" w:hAnsiTheme="majorHAnsi" w:cstheme="majorHAnsi"/>
          <w:color w:val="000000" w:themeColor="text1"/>
          <w:sz w:val="23"/>
          <w:szCs w:val="23"/>
        </w:rPr>
        <w:t>Whittington Works consisted of two State Government funded initiatives: Jobs Victoria Employment Network (JVEN) and</w:t>
      </w:r>
      <w:r w:rsidRPr="00652994">
        <w:rPr>
          <w:rFonts w:asciiTheme="majorHAnsi" w:hAnsiTheme="majorHAnsi" w:cstheme="majorHAnsi"/>
        </w:rPr>
        <w:t xml:space="preserve"> </w:t>
      </w:r>
      <w:r w:rsidRPr="00652994">
        <w:rPr>
          <w:rFonts w:asciiTheme="majorHAnsi" w:eastAsia="Calibri Light" w:hAnsiTheme="majorHAnsi" w:cstheme="majorHAnsi"/>
          <w:color w:val="000000" w:themeColor="text1"/>
          <w:sz w:val="23"/>
          <w:szCs w:val="23"/>
        </w:rPr>
        <w:t>Skilling the Bay. Based on an Education to Employment (E2E) model of service delivery, Whittington Works focuses on</w:t>
      </w:r>
      <w:r w:rsidRPr="00652994">
        <w:rPr>
          <w:rFonts w:asciiTheme="majorHAnsi" w:hAnsiTheme="majorHAnsi" w:cstheme="majorHAnsi"/>
        </w:rPr>
        <w:t xml:space="preserve"> c</w:t>
      </w:r>
      <w:r w:rsidRPr="00652994">
        <w:rPr>
          <w:rFonts w:asciiTheme="majorHAnsi" w:eastAsia="Calibri Light" w:hAnsiTheme="majorHAnsi" w:cstheme="majorHAnsi"/>
          <w:color w:val="000000" w:themeColor="text1"/>
          <w:sz w:val="23"/>
          <w:szCs w:val="23"/>
        </w:rPr>
        <w:t>ommunity engagement, job coaching, and employer engagement. Concern that the program m</w:t>
      </w:r>
      <w:r w:rsidR="00725499">
        <w:rPr>
          <w:rFonts w:asciiTheme="majorHAnsi" w:eastAsia="Calibri Light" w:hAnsiTheme="majorHAnsi" w:cstheme="majorHAnsi"/>
          <w:color w:val="000000" w:themeColor="text1"/>
          <w:sz w:val="23"/>
          <w:szCs w:val="23"/>
        </w:rPr>
        <w:t>ight</w:t>
      </w:r>
      <w:r w:rsidRPr="00652994">
        <w:rPr>
          <w:rFonts w:asciiTheme="majorHAnsi" w:eastAsia="Calibri Light" w:hAnsiTheme="majorHAnsi" w:cstheme="majorHAnsi"/>
          <w:color w:val="000000" w:themeColor="text1"/>
          <w:sz w:val="23"/>
          <w:szCs w:val="23"/>
        </w:rPr>
        <w:t xml:space="preserve"> lose funding arose in 2019 (McDonald et al, 2019), </w:t>
      </w:r>
      <w:r w:rsidR="009E4E61">
        <w:rPr>
          <w:rFonts w:asciiTheme="majorHAnsi" w:eastAsia="Calibri Light" w:hAnsiTheme="majorHAnsi" w:cstheme="majorHAnsi"/>
          <w:color w:val="000000" w:themeColor="text1"/>
          <w:sz w:val="23"/>
          <w:szCs w:val="23"/>
        </w:rPr>
        <w:t>and the</w:t>
      </w:r>
      <w:r w:rsidRPr="00652994">
        <w:rPr>
          <w:rFonts w:asciiTheme="majorHAnsi" w:eastAsia="Calibri Light" w:hAnsiTheme="majorHAnsi" w:cstheme="majorHAnsi"/>
          <w:color w:val="000000" w:themeColor="text1"/>
          <w:sz w:val="23"/>
          <w:szCs w:val="23"/>
        </w:rPr>
        <w:t xml:space="preserve"> state government extended support to June 2020. </w:t>
      </w:r>
    </w:p>
    <w:p w14:paraId="5E82FF56" w14:textId="77777777" w:rsidR="00F00E3D" w:rsidRPr="00652994" w:rsidRDefault="00F00E3D" w:rsidP="009B2FA7">
      <w:pPr>
        <w:spacing w:after="0" w:line="276" w:lineRule="auto"/>
        <w:rPr>
          <w:rFonts w:asciiTheme="majorHAnsi" w:eastAsia="Calibri Light" w:hAnsiTheme="majorHAnsi" w:cstheme="majorHAnsi"/>
          <w:color w:val="000000" w:themeColor="text1"/>
          <w:sz w:val="16"/>
          <w:szCs w:val="16"/>
        </w:rPr>
      </w:pPr>
    </w:p>
    <w:p w14:paraId="628A79B4" w14:textId="55C58CB2" w:rsidR="00F00E3D" w:rsidRPr="00652994" w:rsidRDefault="00F00E3D" w:rsidP="009B2FA7">
      <w:pPr>
        <w:spacing w:after="0" w:line="276" w:lineRule="auto"/>
        <w:rPr>
          <w:rFonts w:asciiTheme="majorHAnsi" w:hAnsiTheme="majorHAnsi" w:cstheme="majorHAnsi"/>
        </w:rPr>
      </w:pPr>
      <w:r w:rsidRPr="00652994">
        <w:rPr>
          <w:rFonts w:asciiTheme="majorHAnsi" w:eastAsia="Calibri Light" w:hAnsiTheme="majorHAnsi" w:cstheme="majorHAnsi"/>
          <w:color w:val="000000" w:themeColor="text1"/>
          <w:sz w:val="23"/>
          <w:szCs w:val="23"/>
        </w:rPr>
        <w:t xml:space="preserve">From 2014–2017, </w:t>
      </w:r>
      <w:r>
        <w:rPr>
          <w:rFonts w:asciiTheme="majorHAnsi" w:eastAsia="Calibri Light" w:hAnsiTheme="majorHAnsi" w:cstheme="majorHAnsi"/>
          <w:color w:val="000000" w:themeColor="text1"/>
          <w:sz w:val="23"/>
          <w:szCs w:val="23"/>
        </w:rPr>
        <w:t xml:space="preserve">over </w:t>
      </w:r>
      <w:r w:rsidRPr="00652994">
        <w:rPr>
          <w:rFonts w:asciiTheme="majorHAnsi" w:eastAsia="Calibri Light" w:hAnsiTheme="majorHAnsi" w:cstheme="majorHAnsi"/>
          <w:color w:val="000000" w:themeColor="text1"/>
          <w:sz w:val="23"/>
          <w:szCs w:val="23"/>
        </w:rPr>
        <w:t>7</w:t>
      </w:r>
      <w:r>
        <w:rPr>
          <w:rFonts w:asciiTheme="majorHAnsi" w:eastAsia="Calibri Light" w:hAnsiTheme="majorHAnsi" w:cstheme="majorHAnsi"/>
          <w:color w:val="000000" w:themeColor="text1"/>
          <w:sz w:val="23"/>
          <w:szCs w:val="23"/>
        </w:rPr>
        <w:t>0</w:t>
      </w:r>
      <w:r w:rsidRPr="00652994">
        <w:rPr>
          <w:rFonts w:asciiTheme="majorHAnsi" w:eastAsia="Calibri Light" w:hAnsiTheme="majorHAnsi" w:cstheme="majorHAnsi"/>
          <w:color w:val="000000" w:themeColor="text1"/>
          <w:sz w:val="23"/>
          <w:szCs w:val="23"/>
        </w:rPr>
        <w:t xml:space="preserve"> percent of participants completed courses, with 46 percent securing employment. One ongoing </w:t>
      </w:r>
      <w:r>
        <w:rPr>
          <w:rFonts w:asciiTheme="majorHAnsi" w:eastAsia="Calibri Light" w:hAnsiTheme="majorHAnsi" w:cstheme="majorHAnsi"/>
          <w:color w:val="000000" w:themeColor="text1"/>
          <w:sz w:val="23"/>
          <w:szCs w:val="23"/>
        </w:rPr>
        <w:t xml:space="preserve">program </w:t>
      </w:r>
      <w:r w:rsidRPr="00652994">
        <w:rPr>
          <w:rFonts w:asciiTheme="majorHAnsi" w:eastAsia="Calibri Light" w:hAnsiTheme="majorHAnsi" w:cstheme="majorHAnsi"/>
          <w:color w:val="000000" w:themeColor="text1"/>
          <w:sz w:val="23"/>
          <w:szCs w:val="23"/>
        </w:rPr>
        <w:t xml:space="preserve">challenge </w:t>
      </w:r>
      <w:r w:rsidR="009E4E61">
        <w:rPr>
          <w:rFonts w:asciiTheme="majorHAnsi" w:eastAsia="Calibri Light" w:hAnsiTheme="majorHAnsi" w:cstheme="majorHAnsi"/>
          <w:color w:val="000000" w:themeColor="text1"/>
          <w:sz w:val="23"/>
          <w:szCs w:val="23"/>
        </w:rPr>
        <w:t>wa</w:t>
      </w:r>
      <w:r w:rsidRPr="00652994">
        <w:rPr>
          <w:rFonts w:asciiTheme="majorHAnsi" w:eastAsia="Calibri Light" w:hAnsiTheme="majorHAnsi" w:cstheme="majorHAnsi"/>
          <w:color w:val="000000" w:themeColor="text1"/>
          <w:sz w:val="23"/>
          <w:szCs w:val="23"/>
        </w:rPr>
        <w:t xml:space="preserve">s helping jobseekers and employers sustain employment beyond the six-month mark. In response, additional investment </w:t>
      </w:r>
      <w:r w:rsidR="009E4E61">
        <w:rPr>
          <w:rFonts w:asciiTheme="majorHAnsi" w:eastAsia="Calibri Light" w:hAnsiTheme="majorHAnsi" w:cstheme="majorHAnsi"/>
          <w:color w:val="000000" w:themeColor="text1"/>
          <w:sz w:val="23"/>
          <w:szCs w:val="23"/>
        </w:rPr>
        <w:t>w</w:t>
      </w:r>
      <w:r w:rsidRPr="00652994">
        <w:rPr>
          <w:rFonts w:asciiTheme="majorHAnsi" w:eastAsia="Calibri Light" w:hAnsiTheme="majorHAnsi" w:cstheme="majorHAnsi"/>
          <w:color w:val="000000" w:themeColor="text1"/>
          <w:sz w:val="23"/>
          <w:szCs w:val="23"/>
        </w:rPr>
        <w:t xml:space="preserve">as allocated to resource and evaluate the program (City of Greater Geelong, 2019). </w:t>
      </w:r>
    </w:p>
    <w:p w14:paraId="756BEB12" w14:textId="4F8B29D0" w:rsidR="00BE7CF9" w:rsidRDefault="00BE7CF9">
      <w:pPr>
        <w:spacing w:after="0" w:line="240" w:lineRule="auto"/>
        <w:rPr>
          <w:rFonts w:cstheme="minorHAnsi"/>
          <w:b/>
          <w:bCs/>
          <w:sz w:val="16"/>
          <w:szCs w:val="16"/>
        </w:rPr>
      </w:pPr>
      <w:r>
        <w:rPr>
          <w:rFonts w:cstheme="minorHAnsi"/>
          <w:b/>
          <w:bCs/>
          <w:sz w:val="16"/>
          <w:szCs w:val="16"/>
        </w:rPr>
        <w:br w:type="page"/>
      </w:r>
    </w:p>
    <w:p w14:paraId="4825F4F8" w14:textId="2CD13B2D" w:rsidR="00F00E3D" w:rsidRPr="009965AB" w:rsidRDefault="00BE7CF9" w:rsidP="009B2FA7">
      <w:pPr>
        <w:spacing w:after="0" w:line="276" w:lineRule="auto"/>
        <w:rPr>
          <w:b/>
          <w:bCs/>
          <w:color w:val="2F5496" w:themeColor="accent1" w:themeShade="BF"/>
          <w:sz w:val="25"/>
          <w:szCs w:val="25"/>
        </w:rPr>
      </w:pPr>
      <w:r>
        <w:rPr>
          <w:b/>
          <w:bCs/>
          <w:color w:val="2F5496" w:themeColor="accent1" w:themeShade="BF"/>
          <w:sz w:val="25"/>
          <w:szCs w:val="25"/>
        </w:rPr>
        <w:lastRenderedPageBreak/>
        <w:t xml:space="preserve">Greater </w:t>
      </w:r>
      <w:r w:rsidR="00F00E3D" w:rsidRPr="71C466D6">
        <w:rPr>
          <w:b/>
          <w:bCs/>
          <w:color w:val="2F5496" w:themeColor="accent1" w:themeShade="BF"/>
          <w:sz w:val="25"/>
          <w:szCs w:val="25"/>
        </w:rPr>
        <w:t>Geelong</w:t>
      </w:r>
    </w:p>
    <w:p w14:paraId="7333A96E" w14:textId="77777777" w:rsidR="00F00E3D" w:rsidRPr="00BE7CF9" w:rsidRDefault="00F00E3D" w:rsidP="009B2FA7">
      <w:pPr>
        <w:spacing w:after="0" w:line="276" w:lineRule="auto"/>
        <w:rPr>
          <w:rFonts w:asciiTheme="majorHAnsi" w:hAnsiTheme="majorHAnsi" w:cstheme="majorBidi"/>
          <w:b/>
          <w:bCs/>
          <w:sz w:val="12"/>
          <w:szCs w:val="12"/>
        </w:rPr>
      </w:pPr>
    </w:p>
    <w:p w14:paraId="1FF7CAE9" w14:textId="77777777" w:rsidR="00F00E3D" w:rsidRDefault="00F00E3D" w:rsidP="009B2FA7">
      <w:pPr>
        <w:spacing w:after="0" w:line="276" w:lineRule="auto"/>
      </w:pPr>
      <w:bookmarkStart w:id="57" w:name="_Hlk70863302"/>
      <w:r w:rsidRPr="27ED1008">
        <w:rPr>
          <w:rFonts w:ascii="Calibri" w:eastAsia="Calibri" w:hAnsi="Calibri" w:cs="Calibri"/>
          <w:b/>
          <w:bCs/>
          <w:color w:val="000000" w:themeColor="text1"/>
          <w:sz w:val="25"/>
          <w:szCs w:val="25"/>
        </w:rPr>
        <w:t>Towards Home</w:t>
      </w:r>
      <w:r>
        <w:rPr>
          <w:rFonts w:ascii="Calibri" w:eastAsia="Calibri" w:hAnsi="Calibri" w:cs="Calibri"/>
          <w:b/>
          <w:bCs/>
          <w:color w:val="000000" w:themeColor="text1"/>
          <w:sz w:val="25"/>
          <w:szCs w:val="25"/>
        </w:rPr>
        <w:t xml:space="preserve"> Plus</w:t>
      </w:r>
      <w:r w:rsidRPr="27ED1008">
        <w:rPr>
          <w:rFonts w:ascii="Calibri" w:eastAsia="Calibri" w:hAnsi="Calibri" w:cs="Calibri"/>
          <w:b/>
          <w:bCs/>
          <w:color w:val="000000" w:themeColor="text1"/>
          <w:sz w:val="25"/>
          <w:szCs w:val="25"/>
        </w:rPr>
        <w:t>: Homelessness Outreach, Housing, and Support</w:t>
      </w:r>
    </w:p>
    <w:p w14:paraId="0030207E" w14:textId="77777777" w:rsidR="00F00E3D" w:rsidRDefault="00F00E3D" w:rsidP="009B2FA7">
      <w:pPr>
        <w:spacing w:after="0" w:line="276" w:lineRule="auto"/>
        <w:rPr>
          <w:rFonts w:ascii="Calibri" w:eastAsia="Calibri" w:hAnsi="Calibri" w:cs="Calibri"/>
          <w:b/>
          <w:bCs/>
          <w:sz w:val="23"/>
          <w:szCs w:val="23"/>
        </w:rPr>
      </w:pPr>
      <w:r w:rsidRPr="359636AC">
        <w:rPr>
          <w:rFonts w:ascii="Calibri" w:eastAsia="Calibri" w:hAnsi="Calibri" w:cs="Calibri"/>
          <w:b/>
          <w:bCs/>
          <w:sz w:val="23"/>
          <w:szCs w:val="23"/>
        </w:rPr>
        <w:t>Geelong (</w:t>
      </w:r>
      <w:bookmarkStart w:id="58" w:name="_Hlk70863253"/>
      <w:r w:rsidRPr="359636AC">
        <w:rPr>
          <w:rFonts w:ascii="Calibri" w:eastAsia="Calibri" w:hAnsi="Calibri" w:cs="Calibri"/>
          <w:b/>
          <w:bCs/>
          <w:sz w:val="23"/>
          <w:szCs w:val="23"/>
        </w:rPr>
        <w:t>April 2019–present)</w:t>
      </w:r>
      <w:bookmarkEnd w:id="58"/>
    </w:p>
    <w:bookmarkEnd w:id="57"/>
    <w:p w14:paraId="515B3F10" w14:textId="77777777" w:rsidR="00F00E3D" w:rsidRPr="00CC521D" w:rsidRDefault="00F00E3D" w:rsidP="009B2FA7">
      <w:pPr>
        <w:spacing w:after="0" w:line="276" w:lineRule="auto"/>
        <w:rPr>
          <w:color w:val="595959" w:themeColor="text1" w:themeTint="A6"/>
          <w:sz w:val="12"/>
          <w:szCs w:val="12"/>
        </w:rPr>
      </w:pPr>
    </w:p>
    <w:p w14:paraId="348F38FC" w14:textId="0FCD53B7" w:rsidR="00F00E3D" w:rsidRPr="00CC521D" w:rsidRDefault="00F00E3D" w:rsidP="009B2FA7">
      <w:pPr>
        <w:spacing w:after="0"/>
        <w:rPr>
          <w:b/>
          <w:bCs/>
          <w:color w:val="595959" w:themeColor="text1" w:themeTint="A6"/>
        </w:rPr>
      </w:pPr>
      <w:r w:rsidRPr="00CC521D">
        <w:rPr>
          <w:rFonts w:ascii="Calibri" w:eastAsia="Calibri" w:hAnsi="Calibri" w:cs="Calibri"/>
          <w:b/>
          <w:bCs/>
          <w:color w:val="595959" w:themeColor="text1" w:themeTint="A6"/>
          <w:sz w:val="23"/>
          <w:szCs w:val="23"/>
        </w:rPr>
        <w:t xml:space="preserve">Main </w:t>
      </w:r>
      <w:r w:rsidR="00D95573">
        <w:rPr>
          <w:rFonts w:ascii="Calibri" w:eastAsia="Calibri" w:hAnsi="Calibri" w:cs="Calibri"/>
          <w:b/>
          <w:bCs/>
          <w:color w:val="595959" w:themeColor="text1" w:themeTint="A6"/>
          <w:sz w:val="23"/>
          <w:szCs w:val="23"/>
        </w:rPr>
        <w:t>Practice Domain</w:t>
      </w:r>
      <w:r w:rsidRPr="00CC521D">
        <w:rPr>
          <w:rFonts w:ascii="Calibri" w:eastAsia="Calibri" w:hAnsi="Calibri" w:cs="Calibri"/>
          <w:b/>
          <w:bCs/>
          <w:color w:val="595959" w:themeColor="text1" w:themeTint="A6"/>
          <w:sz w:val="23"/>
          <w:szCs w:val="23"/>
        </w:rPr>
        <w:t xml:space="preserve">(s):          </w:t>
      </w:r>
      <w:r w:rsidRPr="00CC521D">
        <w:rPr>
          <w:rFonts w:ascii="Calibri" w:eastAsia="Calibri" w:hAnsi="Calibri" w:cs="Calibri"/>
          <w:b/>
          <w:bCs/>
          <w:color w:val="595959" w:themeColor="text1" w:themeTint="A6"/>
          <w:sz w:val="23"/>
          <w:szCs w:val="23"/>
        </w:rPr>
        <w:tab/>
        <w:t xml:space="preserve">Housing, Health and Wellbeing </w:t>
      </w:r>
    </w:p>
    <w:p w14:paraId="7589DA2F" w14:textId="590CD47A" w:rsidR="00F00E3D" w:rsidRPr="00CC521D" w:rsidRDefault="00F00E3D" w:rsidP="009B2FA7">
      <w:pPr>
        <w:spacing w:after="0"/>
        <w:rPr>
          <w:rFonts w:ascii="Calibri" w:eastAsia="Calibri" w:hAnsi="Calibri" w:cs="Calibri"/>
          <w:b/>
          <w:bCs/>
          <w:color w:val="595959" w:themeColor="text1" w:themeTint="A6"/>
          <w:sz w:val="23"/>
          <w:szCs w:val="23"/>
        </w:rPr>
      </w:pPr>
      <w:r w:rsidRPr="00CC521D">
        <w:rPr>
          <w:rFonts w:ascii="Calibri" w:eastAsia="Calibri" w:hAnsi="Calibri" w:cs="Calibri"/>
          <w:b/>
          <w:bCs/>
          <w:color w:val="595959" w:themeColor="text1" w:themeTint="A6"/>
          <w:sz w:val="23"/>
          <w:szCs w:val="23"/>
        </w:rPr>
        <w:t xml:space="preserve">Secondary </w:t>
      </w:r>
      <w:r w:rsidR="00D95573">
        <w:rPr>
          <w:rFonts w:ascii="Calibri" w:eastAsia="Calibri" w:hAnsi="Calibri" w:cs="Calibri"/>
          <w:b/>
          <w:bCs/>
          <w:color w:val="595959" w:themeColor="text1" w:themeTint="A6"/>
          <w:sz w:val="23"/>
          <w:szCs w:val="23"/>
        </w:rPr>
        <w:t>Practice Domain</w:t>
      </w:r>
      <w:r w:rsidRPr="00CC521D">
        <w:rPr>
          <w:rFonts w:ascii="Calibri" w:eastAsia="Calibri" w:hAnsi="Calibri" w:cs="Calibri"/>
          <w:b/>
          <w:bCs/>
          <w:color w:val="595959" w:themeColor="text1" w:themeTint="A6"/>
          <w:sz w:val="23"/>
          <w:szCs w:val="23"/>
        </w:rPr>
        <w:t>(s):</w:t>
      </w:r>
      <w:r w:rsidRPr="00CC521D">
        <w:rPr>
          <w:rFonts w:ascii="Calibri" w:eastAsia="Calibri" w:hAnsi="Calibri" w:cs="Calibri"/>
          <w:b/>
          <w:bCs/>
          <w:color w:val="595959" w:themeColor="text1" w:themeTint="A6"/>
          <w:sz w:val="23"/>
          <w:szCs w:val="23"/>
        </w:rPr>
        <w:tab/>
        <w:t xml:space="preserve">Liveability </w:t>
      </w:r>
    </w:p>
    <w:p w14:paraId="44843795" w14:textId="77777777" w:rsidR="00F00E3D" w:rsidRPr="00BE7CF9" w:rsidRDefault="00F00E3D" w:rsidP="009B2FA7">
      <w:pPr>
        <w:spacing w:after="0"/>
        <w:rPr>
          <w:sz w:val="12"/>
          <w:szCs w:val="12"/>
        </w:rPr>
      </w:pPr>
    </w:p>
    <w:p w14:paraId="1F55285F" w14:textId="6485750A" w:rsidR="00F00E3D" w:rsidRDefault="00F00E3D" w:rsidP="009B2FA7">
      <w:pPr>
        <w:spacing w:line="276" w:lineRule="auto"/>
      </w:pPr>
      <w:r w:rsidRPr="27ED1008">
        <w:rPr>
          <w:rFonts w:ascii="Calibri Light" w:eastAsia="Calibri Light" w:hAnsi="Calibri Light" w:cs="Calibri Light"/>
          <w:color w:val="000000" w:themeColor="text1"/>
          <w:sz w:val="23"/>
          <w:szCs w:val="23"/>
        </w:rPr>
        <w:t>Towards Home</w:t>
      </w:r>
      <w:r>
        <w:rPr>
          <w:rFonts w:ascii="Calibri Light" w:eastAsia="Calibri Light" w:hAnsi="Calibri Light" w:cs="Calibri Light"/>
          <w:color w:val="000000" w:themeColor="text1"/>
          <w:sz w:val="23"/>
          <w:szCs w:val="23"/>
        </w:rPr>
        <w:t xml:space="preserve"> Plus</w:t>
      </w:r>
      <w:r w:rsidRPr="27ED1008">
        <w:rPr>
          <w:rFonts w:ascii="Calibri Light" w:eastAsia="Calibri Light" w:hAnsi="Calibri Light" w:cs="Calibri Light"/>
          <w:color w:val="000000" w:themeColor="text1"/>
          <w:sz w:val="23"/>
          <w:szCs w:val="23"/>
        </w:rPr>
        <w:t xml:space="preserve"> is a holistic support and service program for people experiencing homelessness in the Geelong area. </w:t>
      </w:r>
      <w:r w:rsidR="00BE7CF9">
        <w:rPr>
          <w:rFonts w:ascii="Calibri Light" w:eastAsia="Calibri Light" w:hAnsi="Calibri Light" w:cs="Calibri Light"/>
          <w:color w:val="000000" w:themeColor="text1"/>
          <w:sz w:val="23"/>
          <w:szCs w:val="23"/>
        </w:rPr>
        <w:t>It</w:t>
      </w:r>
      <w:r w:rsidRPr="27ED1008">
        <w:rPr>
          <w:rFonts w:ascii="Calibri Light" w:eastAsia="Calibri Light" w:hAnsi="Calibri Light" w:cs="Calibri Light"/>
          <w:color w:val="000000" w:themeColor="text1"/>
          <w:sz w:val="23"/>
          <w:szCs w:val="23"/>
        </w:rPr>
        <w:t xml:space="preserve"> also runs in Frankston. </w:t>
      </w:r>
      <w:r w:rsidR="00BE7CF9">
        <w:rPr>
          <w:rFonts w:ascii="Calibri Light" w:eastAsia="Calibri Light" w:hAnsi="Calibri Light" w:cs="Calibri Light"/>
          <w:color w:val="000000" w:themeColor="text1"/>
          <w:sz w:val="23"/>
          <w:szCs w:val="23"/>
        </w:rPr>
        <w:t>S</w:t>
      </w:r>
      <w:r w:rsidRPr="27ED1008">
        <w:rPr>
          <w:rFonts w:ascii="Calibri Light" w:eastAsia="Calibri Light" w:hAnsi="Calibri Light" w:cs="Calibri Light"/>
          <w:color w:val="000000" w:themeColor="text1"/>
          <w:sz w:val="23"/>
          <w:szCs w:val="23"/>
        </w:rPr>
        <w:t>upported by the Victorian Government</w:t>
      </w:r>
      <w:r w:rsidR="00BE7CF9">
        <w:rPr>
          <w:rFonts w:ascii="Calibri Light" w:eastAsia="Calibri Light" w:hAnsi="Calibri Light" w:cs="Calibri Light"/>
          <w:color w:val="000000" w:themeColor="text1"/>
          <w:sz w:val="23"/>
          <w:szCs w:val="23"/>
        </w:rPr>
        <w:t>, it is</w:t>
      </w:r>
      <w:r w:rsidRPr="27ED1008">
        <w:rPr>
          <w:rFonts w:ascii="Calibri Light" w:eastAsia="Calibri Light" w:hAnsi="Calibri Light" w:cs="Calibri Light"/>
          <w:color w:val="000000" w:themeColor="text1"/>
          <w:sz w:val="23"/>
          <w:szCs w:val="23"/>
        </w:rPr>
        <w:t xml:space="preserve"> delivered by Neami National, </w:t>
      </w:r>
      <w:r w:rsidR="00BE7CF9">
        <w:rPr>
          <w:rFonts w:ascii="Calibri Light" w:eastAsia="Calibri Light" w:hAnsi="Calibri Light" w:cs="Calibri Light"/>
          <w:color w:val="000000" w:themeColor="text1"/>
          <w:sz w:val="23"/>
          <w:szCs w:val="23"/>
        </w:rPr>
        <w:t>with partners</w:t>
      </w:r>
      <w:r w:rsidRPr="27ED1008">
        <w:rPr>
          <w:rFonts w:ascii="Calibri Light" w:eastAsia="Calibri Light" w:hAnsi="Calibri Light" w:cs="Calibri Light"/>
          <w:color w:val="000000" w:themeColor="text1"/>
          <w:sz w:val="23"/>
          <w:szCs w:val="23"/>
        </w:rPr>
        <w:t xml:space="preserve"> Launch Housing, Wathaurong Aboriginal Co-op, Uniting Care </w:t>
      </w:r>
      <w:proofErr w:type="spellStart"/>
      <w:r w:rsidRPr="27ED1008">
        <w:rPr>
          <w:rFonts w:ascii="Calibri Light" w:eastAsia="Calibri Light" w:hAnsi="Calibri Light" w:cs="Calibri Light"/>
          <w:color w:val="000000" w:themeColor="text1"/>
          <w:sz w:val="23"/>
          <w:szCs w:val="23"/>
        </w:rPr>
        <w:t>ReGen</w:t>
      </w:r>
      <w:proofErr w:type="spellEnd"/>
      <w:r w:rsidRPr="27ED1008">
        <w:rPr>
          <w:rFonts w:ascii="Calibri Light" w:eastAsia="Calibri Light" w:hAnsi="Calibri Light" w:cs="Calibri Light"/>
          <w:color w:val="000000" w:themeColor="text1"/>
          <w:sz w:val="23"/>
          <w:szCs w:val="23"/>
        </w:rPr>
        <w:t xml:space="preserve">, Bolton Clarke, and Melbourne City Mission. Neami National is a community-based </w:t>
      </w:r>
      <w:r w:rsidR="00BE7CF9">
        <w:rPr>
          <w:rFonts w:ascii="Calibri Light" w:eastAsia="Calibri Light" w:hAnsi="Calibri Light" w:cs="Calibri Light"/>
          <w:color w:val="000000" w:themeColor="text1"/>
          <w:sz w:val="23"/>
          <w:szCs w:val="23"/>
        </w:rPr>
        <w:t>organisation</w:t>
      </w:r>
      <w:r w:rsidR="00BE7CF9" w:rsidRPr="27ED1008">
        <w:rPr>
          <w:rFonts w:ascii="Calibri Light" w:eastAsia="Calibri Light" w:hAnsi="Calibri Light" w:cs="Calibri Light"/>
          <w:color w:val="000000" w:themeColor="text1"/>
          <w:sz w:val="23"/>
          <w:szCs w:val="23"/>
        </w:rPr>
        <w:t xml:space="preserve"> </w:t>
      </w:r>
      <w:r w:rsidRPr="27ED1008">
        <w:rPr>
          <w:rFonts w:ascii="Calibri Light" w:eastAsia="Calibri Light" w:hAnsi="Calibri Light" w:cs="Calibri Light"/>
          <w:color w:val="000000" w:themeColor="text1"/>
          <w:sz w:val="23"/>
          <w:szCs w:val="23"/>
        </w:rPr>
        <w:t xml:space="preserve">providing services to improve mental health and wellbeing in </w:t>
      </w:r>
      <w:r w:rsidR="00BE7CF9">
        <w:rPr>
          <w:rFonts w:ascii="Calibri Light" w:eastAsia="Calibri Light" w:hAnsi="Calibri Light" w:cs="Calibri Light"/>
          <w:color w:val="000000" w:themeColor="text1"/>
          <w:sz w:val="23"/>
          <w:szCs w:val="23"/>
        </w:rPr>
        <w:t>localities</w:t>
      </w:r>
      <w:r w:rsidRPr="27ED1008">
        <w:rPr>
          <w:rFonts w:ascii="Calibri Light" w:eastAsia="Calibri Light" w:hAnsi="Calibri Light" w:cs="Calibri Light"/>
          <w:color w:val="000000" w:themeColor="text1"/>
          <w:sz w:val="23"/>
          <w:szCs w:val="23"/>
        </w:rPr>
        <w:t xml:space="preserve"> across Australia (Neami, n.d.).</w:t>
      </w:r>
    </w:p>
    <w:p w14:paraId="20FA84CD" w14:textId="68A5E8BC" w:rsidR="00F00E3D" w:rsidRDefault="00F00E3D" w:rsidP="009B2FA7">
      <w:pPr>
        <w:spacing w:line="276" w:lineRule="auto"/>
      </w:pPr>
      <w:r w:rsidRPr="27ED1008">
        <w:rPr>
          <w:rFonts w:ascii="Calibri Light" w:eastAsia="Calibri Light" w:hAnsi="Calibri Light" w:cs="Calibri Light"/>
          <w:color w:val="000000" w:themeColor="text1"/>
          <w:sz w:val="23"/>
          <w:szCs w:val="23"/>
        </w:rPr>
        <w:t xml:space="preserve">Based on the </w:t>
      </w:r>
      <w:r w:rsidR="00725499">
        <w:rPr>
          <w:rFonts w:ascii="Calibri Light" w:eastAsia="Calibri Light" w:hAnsi="Calibri Light" w:cs="Calibri Light"/>
          <w:color w:val="000000" w:themeColor="text1"/>
          <w:sz w:val="23"/>
          <w:szCs w:val="23"/>
        </w:rPr>
        <w:t xml:space="preserve">highly regarded </w:t>
      </w:r>
      <w:r w:rsidRPr="27ED1008">
        <w:rPr>
          <w:rFonts w:ascii="Calibri Light" w:eastAsia="Calibri Light" w:hAnsi="Calibri Light" w:cs="Calibri Light"/>
          <w:color w:val="000000" w:themeColor="text1"/>
          <w:sz w:val="23"/>
          <w:szCs w:val="23"/>
        </w:rPr>
        <w:t>Housing First Model and the Collaborative Recovery Model, the Towards Home</w:t>
      </w:r>
      <w:r>
        <w:rPr>
          <w:rFonts w:ascii="Calibri Light" w:eastAsia="Calibri Light" w:hAnsi="Calibri Light" w:cs="Calibri Light"/>
          <w:color w:val="000000" w:themeColor="text1"/>
          <w:sz w:val="23"/>
          <w:szCs w:val="23"/>
        </w:rPr>
        <w:t xml:space="preserve"> Plus</w:t>
      </w:r>
      <w:r w:rsidRPr="27ED1008">
        <w:rPr>
          <w:rFonts w:ascii="Calibri Light" w:eastAsia="Calibri Light" w:hAnsi="Calibri Light" w:cs="Calibri Light"/>
          <w:color w:val="000000" w:themeColor="text1"/>
          <w:sz w:val="23"/>
          <w:szCs w:val="23"/>
        </w:rPr>
        <w:t xml:space="preserve"> program uses person-centred coaching and a shared care approach to support people sleeping rough to obtain and maintain secure housing. The program provides intensive, flexible, and responsive client-focused support to assist people to sustain housing, improve their mental and physical health, and develop social connections within the local community.</w:t>
      </w:r>
    </w:p>
    <w:p w14:paraId="44DE46D2" w14:textId="049630C6" w:rsidR="00F00E3D" w:rsidRDefault="00F00E3D" w:rsidP="009B2FA7">
      <w:pPr>
        <w:spacing w:line="276" w:lineRule="auto"/>
      </w:pPr>
      <w:r>
        <w:rPr>
          <w:rFonts w:ascii="Calibri Light" w:eastAsia="Calibri Light" w:hAnsi="Calibri Light" w:cs="Calibri Light"/>
          <w:color w:val="000000" w:themeColor="text1"/>
          <w:sz w:val="23"/>
          <w:szCs w:val="23"/>
        </w:rPr>
        <w:t>T</w:t>
      </w:r>
      <w:r w:rsidRPr="27ED1008">
        <w:rPr>
          <w:rFonts w:ascii="Calibri Light" w:eastAsia="Calibri Light" w:hAnsi="Calibri Light" w:cs="Calibri Light"/>
          <w:color w:val="000000" w:themeColor="text1"/>
          <w:sz w:val="23"/>
          <w:szCs w:val="23"/>
        </w:rPr>
        <w:t xml:space="preserve">eams are multi-disciplinary, with outreach workers, peer support workers, youth workers, Aboriginal and Torres Strait Islander health practitioners, and alcohol and other drug workers all involved in delivering support. </w:t>
      </w:r>
      <w:r w:rsidR="0003005B">
        <w:rPr>
          <w:rFonts w:ascii="Calibri Light" w:eastAsia="Calibri Light" w:hAnsi="Calibri Light" w:cs="Calibri Light"/>
          <w:color w:val="000000" w:themeColor="text1"/>
          <w:sz w:val="23"/>
          <w:szCs w:val="23"/>
        </w:rPr>
        <w:t>As of</w:t>
      </w:r>
      <w:r w:rsidRPr="27ED1008">
        <w:rPr>
          <w:rFonts w:ascii="Calibri Light" w:eastAsia="Calibri Light" w:hAnsi="Calibri Light" w:cs="Calibri Light"/>
          <w:color w:val="000000" w:themeColor="text1"/>
          <w:sz w:val="23"/>
          <w:szCs w:val="23"/>
        </w:rPr>
        <w:t xml:space="preserve"> August 2020</w:t>
      </w:r>
      <w:r w:rsidR="0003005B">
        <w:rPr>
          <w:rFonts w:ascii="Calibri Light" w:eastAsia="Calibri Light" w:hAnsi="Calibri Light" w:cs="Calibri Light"/>
          <w:color w:val="000000" w:themeColor="text1"/>
          <w:sz w:val="23"/>
          <w:szCs w:val="23"/>
        </w:rPr>
        <w:t>,</w:t>
      </w:r>
      <w:r w:rsidRPr="27ED1008">
        <w:rPr>
          <w:rFonts w:ascii="Calibri Light" w:eastAsia="Calibri Light" w:hAnsi="Calibri Light" w:cs="Calibri Light"/>
          <w:color w:val="000000" w:themeColor="text1"/>
          <w:sz w:val="23"/>
          <w:szCs w:val="23"/>
        </w:rPr>
        <w:t xml:space="preserve"> the program had helped house 112 rough sleepers over the previous 18-month period.</w:t>
      </w:r>
      <w:r w:rsidR="00BE7CF9">
        <w:t xml:space="preserve"> </w:t>
      </w:r>
      <w:r w:rsidRPr="27ED1008">
        <w:rPr>
          <w:rFonts w:ascii="Calibri Light" w:eastAsia="Calibri Light" w:hAnsi="Calibri Light" w:cs="Calibri Light"/>
          <w:color w:val="000000" w:themeColor="text1"/>
          <w:sz w:val="23"/>
          <w:szCs w:val="23"/>
        </w:rPr>
        <w:t>Three key teams deliver the Towards Home</w:t>
      </w:r>
      <w:r>
        <w:rPr>
          <w:rFonts w:ascii="Calibri Light" w:eastAsia="Calibri Light" w:hAnsi="Calibri Light" w:cs="Calibri Light"/>
          <w:color w:val="000000" w:themeColor="text1"/>
          <w:sz w:val="23"/>
          <w:szCs w:val="23"/>
        </w:rPr>
        <w:t xml:space="preserve"> Plus</w:t>
      </w:r>
      <w:r w:rsidRPr="27ED1008">
        <w:rPr>
          <w:rFonts w:ascii="Calibri Light" w:eastAsia="Calibri Light" w:hAnsi="Calibri Light" w:cs="Calibri Light"/>
          <w:color w:val="000000" w:themeColor="text1"/>
          <w:sz w:val="23"/>
          <w:szCs w:val="23"/>
        </w:rPr>
        <w:t xml:space="preserve"> program:</w:t>
      </w:r>
    </w:p>
    <w:p w14:paraId="1E4FCE38" w14:textId="77777777" w:rsidR="00F00E3D" w:rsidRDefault="00F00E3D" w:rsidP="00364C5D">
      <w:pPr>
        <w:pStyle w:val="ListParagraph"/>
        <w:numPr>
          <w:ilvl w:val="0"/>
          <w:numId w:val="12"/>
        </w:numPr>
        <w:spacing w:line="276" w:lineRule="auto"/>
        <w:rPr>
          <w:rFonts w:eastAsiaTheme="minorEastAsia"/>
          <w:b/>
          <w:bCs/>
          <w:color w:val="000000" w:themeColor="text1"/>
          <w:sz w:val="23"/>
          <w:szCs w:val="23"/>
        </w:rPr>
      </w:pPr>
      <w:r w:rsidRPr="27ED1008">
        <w:rPr>
          <w:rFonts w:ascii="Calibri Light" w:eastAsia="Calibri Light" w:hAnsi="Calibri Light" w:cs="Calibri Light"/>
          <w:b/>
          <w:bCs/>
          <w:color w:val="000000" w:themeColor="text1"/>
          <w:sz w:val="23"/>
          <w:szCs w:val="23"/>
        </w:rPr>
        <w:t xml:space="preserve">Assertive Outreach Team </w:t>
      </w:r>
      <w:r w:rsidRPr="27ED1008">
        <w:rPr>
          <w:rFonts w:ascii="Calibri Light" w:eastAsia="Calibri Light" w:hAnsi="Calibri Light" w:cs="Calibri Light"/>
          <w:color w:val="000000" w:themeColor="text1"/>
          <w:sz w:val="23"/>
          <w:szCs w:val="23"/>
        </w:rPr>
        <w:t xml:space="preserve">works closely with City of Greater Geelong and local police as part of the street outreach component to identify rough sleepers. Interventions are used to provide access to emergency accommodation, health services and accommodation. </w:t>
      </w:r>
    </w:p>
    <w:p w14:paraId="76A6EB58" w14:textId="77777777" w:rsidR="00F00E3D" w:rsidRDefault="00F00E3D" w:rsidP="00364C5D">
      <w:pPr>
        <w:pStyle w:val="ListParagraph"/>
        <w:numPr>
          <w:ilvl w:val="0"/>
          <w:numId w:val="12"/>
        </w:numPr>
        <w:spacing w:line="276" w:lineRule="auto"/>
        <w:rPr>
          <w:rFonts w:eastAsiaTheme="minorEastAsia"/>
          <w:b/>
          <w:bCs/>
          <w:color w:val="000000" w:themeColor="text1"/>
          <w:sz w:val="23"/>
          <w:szCs w:val="23"/>
        </w:rPr>
      </w:pPr>
      <w:r w:rsidRPr="27ED1008">
        <w:rPr>
          <w:rFonts w:ascii="Calibri Light" w:eastAsia="Calibri Light" w:hAnsi="Calibri Light" w:cs="Calibri Light"/>
          <w:b/>
          <w:bCs/>
          <w:color w:val="000000" w:themeColor="text1"/>
          <w:sz w:val="23"/>
          <w:szCs w:val="23"/>
        </w:rPr>
        <w:t xml:space="preserve">Supportive Housing Team </w:t>
      </w:r>
      <w:r w:rsidRPr="27ED1008">
        <w:rPr>
          <w:rFonts w:ascii="Calibri Light" w:eastAsia="Calibri Light" w:hAnsi="Calibri Light" w:cs="Calibri Light"/>
          <w:color w:val="000000" w:themeColor="text1"/>
          <w:sz w:val="23"/>
          <w:szCs w:val="23"/>
        </w:rPr>
        <w:t>works with clients to provide wrap-around support such as daily living skills, social activity participation, and case management.</w:t>
      </w:r>
      <w:r w:rsidRPr="27ED1008">
        <w:rPr>
          <w:rFonts w:ascii="Calibri Light" w:eastAsia="Calibri Light" w:hAnsi="Calibri Light" w:cs="Calibri Light"/>
          <w:b/>
          <w:bCs/>
          <w:color w:val="000000" w:themeColor="text1"/>
          <w:sz w:val="23"/>
          <w:szCs w:val="23"/>
        </w:rPr>
        <w:t xml:space="preserve"> </w:t>
      </w:r>
    </w:p>
    <w:p w14:paraId="7C9F873A" w14:textId="3BF60BCE" w:rsidR="00F00E3D" w:rsidRDefault="00F00E3D" w:rsidP="00364C5D">
      <w:pPr>
        <w:pStyle w:val="ListParagraph"/>
        <w:numPr>
          <w:ilvl w:val="0"/>
          <w:numId w:val="12"/>
        </w:numPr>
        <w:spacing w:line="276" w:lineRule="auto"/>
        <w:rPr>
          <w:rFonts w:eastAsiaTheme="minorEastAsia"/>
          <w:b/>
          <w:bCs/>
          <w:color w:val="000000" w:themeColor="text1"/>
          <w:sz w:val="23"/>
          <w:szCs w:val="23"/>
        </w:rPr>
      </w:pPr>
      <w:r w:rsidRPr="27ED1008">
        <w:rPr>
          <w:rFonts w:ascii="Calibri Light" w:eastAsia="Calibri Light" w:hAnsi="Calibri Light" w:cs="Calibri Light"/>
          <w:b/>
          <w:bCs/>
          <w:color w:val="000000" w:themeColor="text1"/>
          <w:sz w:val="23"/>
          <w:szCs w:val="23"/>
        </w:rPr>
        <w:t xml:space="preserve">Modular Units Team </w:t>
      </w:r>
      <w:r w:rsidRPr="27ED1008">
        <w:rPr>
          <w:rFonts w:ascii="Calibri Light" w:eastAsia="Calibri Light" w:hAnsi="Calibri Light" w:cs="Calibri Light"/>
          <w:color w:val="000000" w:themeColor="text1"/>
          <w:sz w:val="23"/>
          <w:szCs w:val="23"/>
        </w:rPr>
        <w:t>works with residents to support transition into sustainable long-term housing. Seven modular units are available in Norlane, providing accommodation for up to two years (Heagney, 2019).</w:t>
      </w:r>
    </w:p>
    <w:p w14:paraId="0F13AA71" w14:textId="62D0318F" w:rsidR="00F00E3D" w:rsidRDefault="00F00E3D" w:rsidP="009B2FA7">
      <w:pPr>
        <w:spacing w:after="0" w:line="276" w:lineRule="auto"/>
      </w:pPr>
      <w:r w:rsidRPr="27ED1008">
        <w:rPr>
          <w:rFonts w:ascii="Calibri Light" w:eastAsia="Calibri Light" w:hAnsi="Calibri Light" w:cs="Calibri Light"/>
          <w:color w:val="000000" w:themeColor="text1"/>
          <w:sz w:val="23"/>
          <w:szCs w:val="23"/>
        </w:rPr>
        <w:t xml:space="preserve">Neami National also provides support </w:t>
      </w:r>
      <w:r w:rsidR="00725499">
        <w:rPr>
          <w:rFonts w:ascii="Calibri Light" w:eastAsia="Calibri Light" w:hAnsi="Calibri Light" w:cs="Calibri Light"/>
          <w:color w:val="000000" w:themeColor="text1"/>
          <w:sz w:val="23"/>
          <w:szCs w:val="23"/>
        </w:rPr>
        <w:t>via its</w:t>
      </w:r>
      <w:r w:rsidRPr="27ED1008">
        <w:rPr>
          <w:rFonts w:ascii="Calibri Light" w:eastAsia="Calibri Light" w:hAnsi="Calibri Light" w:cs="Calibri Light"/>
          <w:color w:val="000000" w:themeColor="text1"/>
          <w:sz w:val="23"/>
          <w:szCs w:val="23"/>
        </w:rPr>
        <w:t xml:space="preserve"> Services and Treatment for Enduring and Persistent Mental Illness (STEPMI) program, </w:t>
      </w:r>
      <w:r w:rsidR="00725499">
        <w:rPr>
          <w:rFonts w:ascii="Calibri Light" w:eastAsia="Calibri Light" w:hAnsi="Calibri Light" w:cs="Calibri Light"/>
          <w:color w:val="000000" w:themeColor="text1"/>
          <w:sz w:val="23"/>
          <w:szCs w:val="23"/>
        </w:rPr>
        <w:t>running</w:t>
      </w:r>
      <w:r w:rsidRPr="27ED1008">
        <w:rPr>
          <w:rFonts w:ascii="Calibri Light" w:eastAsia="Calibri Light" w:hAnsi="Calibri Light" w:cs="Calibri Light"/>
          <w:color w:val="000000" w:themeColor="text1"/>
          <w:sz w:val="23"/>
          <w:szCs w:val="23"/>
        </w:rPr>
        <w:t xml:space="preserve"> in Geelong and other regional Victori</w:t>
      </w:r>
      <w:r w:rsidR="00725499">
        <w:rPr>
          <w:rFonts w:ascii="Calibri Light" w:eastAsia="Calibri Light" w:hAnsi="Calibri Light" w:cs="Calibri Light"/>
          <w:color w:val="000000" w:themeColor="text1"/>
          <w:sz w:val="23"/>
          <w:szCs w:val="23"/>
        </w:rPr>
        <w:t>an locations</w:t>
      </w:r>
      <w:r w:rsidRPr="27ED1008">
        <w:rPr>
          <w:rFonts w:ascii="Calibri Light" w:eastAsia="Calibri Light" w:hAnsi="Calibri Light" w:cs="Calibri Light"/>
          <w:color w:val="000000" w:themeColor="text1"/>
          <w:sz w:val="23"/>
          <w:szCs w:val="23"/>
        </w:rPr>
        <w:t xml:space="preserve"> (STEPMI, 2021).</w:t>
      </w:r>
    </w:p>
    <w:p w14:paraId="007E79F6" w14:textId="77777777" w:rsidR="00F00E3D" w:rsidRPr="0029342B" w:rsidRDefault="00F00E3D" w:rsidP="009B2FA7">
      <w:pPr>
        <w:spacing w:after="0" w:line="276" w:lineRule="auto"/>
        <w:rPr>
          <w:sz w:val="16"/>
          <w:szCs w:val="16"/>
        </w:rPr>
      </w:pPr>
    </w:p>
    <w:p w14:paraId="0F197BBB" w14:textId="7FDA3646" w:rsidR="00F00E3D" w:rsidRPr="0029342B" w:rsidRDefault="00BE7CF9" w:rsidP="009B2FA7">
      <w:pPr>
        <w:spacing w:after="0" w:line="276" w:lineRule="auto"/>
      </w:pPr>
      <w:r>
        <w:rPr>
          <w:b/>
          <w:bCs/>
          <w:color w:val="2F5496" w:themeColor="accent1" w:themeShade="BF"/>
          <w:sz w:val="25"/>
          <w:szCs w:val="25"/>
        </w:rPr>
        <w:t>Victoria (Regional Focus)</w:t>
      </w:r>
    </w:p>
    <w:p w14:paraId="5FAC7299" w14:textId="77777777" w:rsidR="00F00E3D" w:rsidRPr="0029342B" w:rsidRDefault="00F00E3D" w:rsidP="009B2FA7">
      <w:pPr>
        <w:spacing w:after="0" w:line="276" w:lineRule="auto"/>
        <w:rPr>
          <w:b/>
          <w:bCs/>
          <w:sz w:val="16"/>
          <w:szCs w:val="16"/>
        </w:rPr>
      </w:pPr>
    </w:p>
    <w:p w14:paraId="75B54FBA" w14:textId="6AE56057" w:rsidR="00F00E3D" w:rsidRDefault="00F00E3D" w:rsidP="009B2FA7">
      <w:pPr>
        <w:spacing w:after="0" w:line="276" w:lineRule="auto"/>
      </w:pPr>
      <w:bookmarkStart w:id="59" w:name="_Hlk70863328"/>
      <w:r w:rsidRPr="27ED1008">
        <w:rPr>
          <w:rFonts w:ascii="Calibri" w:eastAsia="Calibri" w:hAnsi="Calibri" w:cs="Calibri"/>
          <w:b/>
          <w:bCs/>
          <w:sz w:val="25"/>
          <w:szCs w:val="25"/>
        </w:rPr>
        <w:t xml:space="preserve">GROW: Regional </w:t>
      </w:r>
      <w:r w:rsidR="00725499" w:rsidRPr="27ED1008">
        <w:rPr>
          <w:rFonts w:ascii="Calibri" w:eastAsia="Calibri" w:hAnsi="Calibri" w:cs="Calibri"/>
          <w:b/>
          <w:bCs/>
          <w:sz w:val="25"/>
          <w:szCs w:val="25"/>
        </w:rPr>
        <w:t>Job Creation Initiative</w:t>
      </w:r>
    </w:p>
    <w:p w14:paraId="47C0898E" w14:textId="77777777" w:rsidR="00F00E3D" w:rsidRDefault="00F00E3D" w:rsidP="009B2FA7">
      <w:pPr>
        <w:spacing w:after="0" w:line="276" w:lineRule="auto"/>
        <w:rPr>
          <w:rFonts w:ascii="Calibri" w:eastAsia="Calibri" w:hAnsi="Calibri" w:cs="Calibri"/>
          <w:b/>
          <w:bCs/>
          <w:sz w:val="23"/>
          <w:szCs w:val="23"/>
        </w:rPr>
      </w:pPr>
      <w:r w:rsidRPr="27ED1008">
        <w:rPr>
          <w:rFonts w:ascii="Calibri" w:eastAsia="Calibri" w:hAnsi="Calibri" w:cs="Calibri"/>
          <w:b/>
          <w:bCs/>
          <w:sz w:val="23"/>
          <w:szCs w:val="23"/>
        </w:rPr>
        <w:t>South-Western Victoria (2014–present)</w:t>
      </w:r>
    </w:p>
    <w:bookmarkEnd w:id="59"/>
    <w:p w14:paraId="4069F782" w14:textId="77777777" w:rsidR="00F00E3D" w:rsidRPr="00CC521D" w:rsidRDefault="00F00E3D" w:rsidP="009B2FA7">
      <w:pPr>
        <w:spacing w:after="0" w:line="276" w:lineRule="auto"/>
        <w:rPr>
          <w:color w:val="595959" w:themeColor="text1" w:themeTint="A6"/>
          <w:sz w:val="12"/>
          <w:szCs w:val="12"/>
        </w:rPr>
      </w:pPr>
    </w:p>
    <w:p w14:paraId="3C4917C9" w14:textId="24F359D6"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Main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(s):</w:t>
      </w:r>
      <w:r w:rsidRPr="00CC521D">
        <w:rPr>
          <w:rFonts w:eastAsia="Calibri Light" w:cstheme="minorHAnsi"/>
          <w:b/>
          <w:bCs/>
          <w:color w:val="595959" w:themeColor="text1" w:themeTint="A6"/>
          <w:sz w:val="23"/>
          <w:szCs w:val="23"/>
        </w:rPr>
        <w:tab/>
      </w:r>
      <w:r w:rsidRPr="00CC521D">
        <w:rPr>
          <w:rFonts w:eastAsia="Calibri Light" w:cstheme="minorHAnsi"/>
          <w:b/>
          <w:bCs/>
          <w:color w:val="595959" w:themeColor="text1" w:themeTint="A6"/>
          <w:sz w:val="23"/>
          <w:szCs w:val="23"/>
        </w:rPr>
        <w:tab/>
        <w:t>Employment</w:t>
      </w:r>
    </w:p>
    <w:p w14:paraId="5B224087" w14:textId="32C7033B"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Secondary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(s):</w:t>
      </w:r>
      <w:r w:rsidRPr="00CC521D">
        <w:rPr>
          <w:rFonts w:eastAsia="Calibri Light" w:cstheme="minorHAnsi"/>
          <w:b/>
          <w:bCs/>
          <w:color w:val="595959" w:themeColor="text1" w:themeTint="A6"/>
          <w:sz w:val="23"/>
          <w:szCs w:val="23"/>
        </w:rPr>
        <w:tab/>
        <w:t>Liveability</w:t>
      </w:r>
    </w:p>
    <w:p w14:paraId="4C1251F6" w14:textId="77777777" w:rsidR="00F00E3D" w:rsidRPr="00BE7CF9" w:rsidRDefault="00F00E3D" w:rsidP="009B2FA7">
      <w:pPr>
        <w:spacing w:after="0" w:line="276" w:lineRule="auto"/>
        <w:rPr>
          <w:rFonts w:ascii="Calibri Light" w:eastAsia="Calibri Light" w:hAnsi="Calibri Light" w:cs="Calibri Light"/>
          <w:color w:val="767171" w:themeColor="background2" w:themeShade="80"/>
          <w:sz w:val="12"/>
          <w:szCs w:val="12"/>
        </w:rPr>
      </w:pPr>
    </w:p>
    <w:p w14:paraId="75DF18D0" w14:textId="330E4C88" w:rsidR="00F00E3D" w:rsidRDefault="00F00E3D" w:rsidP="009B2FA7">
      <w:pPr>
        <w:spacing w:line="276" w:lineRule="auto"/>
      </w:pPr>
      <w:r w:rsidRPr="359636AC">
        <w:rPr>
          <w:rFonts w:ascii="Calibri Light" w:eastAsia="Calibri Light" w:hAnsi="Calibri Light" w:cs="Calibri Light"/>
          <w:sz w:val="24"/>
          <w:szCs w:val="24"/>
        </w:rPr>
        <w:t xml:space="preserve">The G21 Region Opportunities for Work (GROW) initiative aims to address place-based disadvantage by focusing on job creation for vulnerable communities. The initiative was developed from a G21 Addressing Disadvantage Taskforce Report in 2014, and the </w:t>
      </w:r>
      <w:r w:rsidR="00175BAC">
        <w:rPr>
          <w:rFonts w:ascii="Calibri Light" w:eastAsia="Calibri Light" w:hAnsi="Calibri Light" w:cs="Calibri Light"/>
          <w:sz w:val="24"/>
          <w:szCs w:val="24"/>
        </w:rPr>
        <w:t>“</w:t>
      </w:r>
      <w:r w:rsidRPr="359636AC">
        <w:rPr>
          <w:rFonts w:ascii="Calibri Light" w:eastAsia="Calibri Light" w:hAnsi="Calibri Light" w:cs="Calibri Light"/>
          <w:sz w:val="24"/>
          <w:szCs w:val="24"/>
        </w:rPr>
        <w:t>Vision to Address Disadvantage</w:t>
      </w:r>
      <w:r w:rsidR="00175BAC">
        <w:rPr>
          <w:rFonts w:ascii="Calibri Light" w:eastAsia="Calibri Light" w:hAnsi="Calibri Light" w:cs="Calibri Light"/>
          <w:sz w:val="24"/>
          <w:szCs w:val="24"/>
        </w:rPr>
        <w:t>”</w:t>
      </w:r>
      <w:r w:rsidRPr="359636AC">
        <w:rPr>
          <w:rFonts w:ascii="Calibri Light" w:eastAsia="Calibri Light" w:hAnsi="Calibri Light" w:cs="Calibri Light"/>
          <w:sz w:val="24"/>
          <w:szCs w:val="24"/>
        </w:rPr>
        <w:t xml:space="preserve"> created by the Give Where You Live Foundation.</w:t>
      </w:r>
    </w:p>
    <w:p w14:paraId="327F3C42" w14:textId="5BAE0BE8" w:rsidR="00F00E3D" w:rsidRPr="0022669E" w:rsidRDefault="00F00E3D" w:rsidP="0022669E">
      <w:pPr>
        <w:spacing w:line="276" w:lineRule="auto"/>
      </w:pPr>
      <w:r w:rsidRPr="27ED1008">
        <w:rPr>
          <w:rFonts w:ascii="Calibri Light" w:eastAsia="Calibri Light" w:hAnsi="Calibri Light" w:cs="Calibri Light"/>
          <w:sz w:val="24"/>
          <w:szCs w:val="24"/>
        </w:rPr>
        <w:lastRenderedPageBreak/>
        <w:t xml:space="preserve">GROW has received </w:t>
      </w:r>
      <w:r w:rsidR="00175BAC">
        <w:rPr>
          <w:rFonts w:ascii="Calibri Light" w:eastAsia="Calibri Light" w:hAnsi="Calibri Light" w:cs="Calibri Light"/>
          <w:sz w:val="24"/>
          <w:szCs w:val="24"/>
        </w:rPr>
        <w:t>S</w:t>
      </w:r>
      <w:r w:rsidRPr="27ED1008">
        <w:rPr>
          <w:rFonts w:ascii="Calibri Light" w:eastAsia="Calibri Light" w:hAnsi="Calibri Light" w:cs="Calibri Light"/>
          <w:sz w:val="24"/>
          <w:szCs w:val="24"/>
        </w:rPr>
        <w:t xml:space="preserve">tate </w:t>
      </w:r>
      <w:r w:rsidR="00175BAC">
        <w:rPr>
          <w:rFonts w:ascii="Calibri Light" w:eastAsia="Calibri Light" w:hAnsi="Calibri Light" w:cs="Calibri Light"/>
          <w:sz w:val="24"/>
          <w:szCs w:val="24"/>
        </w:rPr>
        <w:t>G</w:t>
      </w:r>
      <w:r w:rsidRPr="27ED1008">
        <w:rPr>
          <w:rFonts w:ascii="Calibri Light" w:eastAsia="Calibri Light" w:hAnsi="Calibri Light" w:cs="Calibri Light"/>
          <w:sz w:val="24"/>
          <w:szCs w:val="24"/>
        </w:rPr>
        <w:t xml:space="preserve">overnment funding ($1 million) and is jointly funded through Regional Development Victoria, Give Where You Live, and five local governments that make up the G21 Geelong Region Alliance (the City of Greater Geelong, Colac Otway Shire, </w:t>
      </w:r>
      <w:proofErr w:type="spellStart"/>
      <w:r w:rsidRPr="27ED1008">
        <w:rPr>
          <w:rFonts w:ascii="Calibri Light" w:eastAsia="Calibri Light" w:hAnsi="Calibri Light" w:cs="Calibri Light"/>
          <w:sz w:val="24"/>
          <w:szCs w:val="24"/>
        </w:rPr>
        <w:t>Surfcoast</w:t>
      </w:r>
      <w:proofErr w:type="spellEnd"/>
      <w:r w:rsidRPr="27ED1008">
        <w:rPr>
          <w:rFonts w:ascii="Calibri Light" w:eastAsia="Calibri Light" w:hAnsi="Calibri Light" w:cs="Calibri Light"/>
          <w:sz w:val="24"/>
          <w:szCs w:val="24"/>
        </w:rPr>
        <w:t xml:space="preserve"> Shire, Golden Plains Shire, and the Borough of </w:t>
      </w:r>
      <w:proofErr w:type="spellStart"/>
      <w:r w:rsidRPr="27ED1008">
        <w:rPr>
          <w:rFonts w:ascii="Calibri Light" w:eastAsia="Calibri Light" w:hAnsi="Calibri Light" w:cs="Calibri Light"/>
          <w:sz w:val="24"/>
          <w:szCs w:val="24"/>
        </w:rPr>
        <w:t>Queenscliffe</w:t>
      </w:r>
      <w:proofErr w:type="spellEnd"/>
      <w:r w:rsidRPr="27ED1008">
        <w:rPr>
          <w:rFonts w:ascii="Calibri Light" w:eastAsia="Calibri Light" w:hAnsi="Calibri Light" w:cs="Calibri Light"/>
          <w:sz w:val="24"/>
          <w:szCs w:val="24"/>
        </w:rPr>
        <w:t>). The GROW program runs in seven target localities across the G21 area: Corio, Norlane, Thomson, Colac (central and east), Whittington, Bell Park, and St Leonards.</w:t>
      </w:r>
      <w:r w:rsidR="00175BAC">
        <w:rPr>
          <w:rFonts w:ascii="Calibri Light" w:eastAsia="Calibri Light" w:hAnsi="Calibri Light" w:cs="Calibri Light"/>
          <w:sz w:val="24"/>
          <w:szCs w:val="24"/>
        </w:rPr>
        <w:t xml:space="preserve"> GROW works closely with key local organisations, including Northern Futures.</w:t>
      </w:r>
    </w:p>
    <w:p w14:paraId="5637798E" w14:textId="7DE79433" w:rsidR="00F00E3D" w:rsidRDefault="0022669E" w:rsidP="009B2FA7">
      <w:pPr>
        <w:spacing w:line="276" w:lineRule="auto"/>
      </w:pPr>
      <w:r>
        <w:rPr>
          <w:rFonts w:ascii="Calibri Light" w:eastAsia="Calibri Light" w:hAnsi="Calibri Light" w:cs="Calibri Light"/>
          <w:sz w:val="24"/>
          <w:szCs w:val="24"/>
        </w:rPr>
        <w:t>Several key strategies underpin GROW’s work:</w:t>
      </w:r>
    </w:p>
    <w:p w14:paraId="293F24AA" w14:textId="77777777" w:rsidR="00F00E3D" w:rsidRDefault="00F00E3D" w:rsidP="00364C5D">
      <w:pPr>
        <w:pStyle w:val="ListParagraph"/>
        <w:numPr>
          <w:ilvl w:val="0"/>
          <w:numId w:val="37"/>
        </w:numPr>
        <w:spacing w:line="276" w:lineRule="auto"/>
        <w:rPr>
          <w:rFonts w:eastAsiaTheme="minorEastAsia"/>
          <w:b/>
          <w:bCs/>
          <w:color w:val="000000" w:themeColor="text1"/>
          <w:sz w:val="23"/>
          <w:szCs w:val="23"/>
        </w:rPr>
      </w:pPr>
      <w:r w:rsidRPr="27ED1008">
        <w:rPr>
          <w:rFonts w:ascii="Calibri Light" w:eastAsia="Calibri Light" w:hAnsi="Calibri Light" w:cs="Calibri Light"/>
          <w:b/>
          <w:bCs/>
          <w:color w:val="000000" w:themeColor="text1"/>
          <w:sz w:val="23"/>
          <w:szCs w:val="23"/>
        </w:rPr>
        <w:t>Social procurement:</w:t>
      </w:r>
      <w:r w:rsidRPr="27ED1008">
        <w:rPr>
          <w:rFonts w:ascii="Calibri Light" w:eastAsia="Calibri Light" w:hAnsi="Calibri Light" w:cs="Calibri Light"/>
          <w:color w:val="000000" w:themeColor="text1"/>
          <w:sz w:val="23"/>
          <w:szCs w:val="23"/>
        </w:rPr>
        <w:t xml:space="preserve"> encouraging people to buy locally and working with local businesses and suppliers who support vulnerable communities. </w:t>
      </w:r>
    </w:p>
    <w:p w14:paraId="766E4CB2" w14:textId="77777777" w:rsidR="00F00E3D" w:rsidRDefault="00F00E3D" w:rsidP="00364C5D">
      <w:pPr>
        <w:pStyle w:val="ListParagraph"/>
        <w:numPr>
          <w:ilvl w:val="0"/>
          <w:numId w:val="37"/>
        </w:numPr>
        <w:spacing w:line="276" w:lineRule="auto"/>
        <w:rPr>
          <w:rFonts w:eastAsiaTheme="minorEastAsia"/>
          <w:b/>
          <w:bCs/>
          <w:color w:val="000000" w:themeColor="text1"/>
          <w:sz w:val="23"/>
          <w:szCs w:val="23"/>
        </w:rPr>
      </w:pPr>
      <w:r w:rsidRPr="27ED1008">
        <w:rPr>
          <w:rFonts w:ascii="Calibri Light" w:eastAsia="Calibri Light" w:hAnsi="Calibri Light" w:cs="Calibri Light"/>
          <w:b/>
          <w:bCs/>
          <w:color w:val="000000" w:themeColor="text1"/>
          <w:sz w:val="23"/>
          <w:szCs w:val="23"/>
        </w:rPr>
        <w:t>Place-based investment:</w:t>
      </w:r>
      <w:r w:rsidRPr="27ED1008">
        <w:rPr>
          <w:rFonts w:ascii="Calibri Light" w:eastAsia="Calibri Light" w:hAnsi="Calibri Light" w:cs="Calibri Light"/>
          <w:color w:val="000000" w:themeColor="text1"/>
          <w:sz w:val="23"/>
          <w:szCs w:val="23"/>
        </w:rPr>
        <w:t xml:space="preserve"> encouraging and attracting investment opportunities and fostering entrepreneurship.</w:t>
      </w:r>
    </w:p>
    <w:p w14:paraId="008138B0" w14:textId="77777777" w:rsidR="00F00E3D" w:rsidRDefault="00F00E3D" w:rsidP="00364C5D">
      <w:pPr>
        <w:pStyle w:val="ListParagraph"/>
        <w:numPr>
          <w:ilvl w:val="0"/>
          <w:numId w:val="37"/>
        </w:numPr>
        <w:spacing w:line="276" w:lineRule="auto"/>
        <w:rPr>
          <w:rFonts w:eastAsiaTheme="minorEastAsia"/>
          <w:b/>
          <w:bCs/>
          <w:color w:val="000000" w:themeColor="text1"/>
          <w:sz w:val="23"/>
          <w:szCs w:val="23"/>
        </w:rPr>
      </w:pPr>
      <w:r w:rsidRPr="27ED1008">
        <w:rPr>
          <w:rFonts w:ascii="Calibri Light" w:eastAsia="Calibri Light" w:hAnsi="Calibri Light" w:cs="Calibri Light"/>
          <w:b/>
          <w:bCs/>
          <w:color w:val="000000" w:themeColor="text1"/>
          <w:sz w:val="23"/>
          <w:szCs w:val="23"/>
        </w:rPr>
        <w:t>Demand-led employment brokerage:</w:t>
      </w:r>
      <w:r w:rsidRPr="27ED1008">
        <w:rPr>
          <w:rFonts w:ascii="Calibri Light" w:eastAsia="Calibri Light" w:hAnsi="Calibri Light" w:cs="Calibri Light"/>
          <w:color w:val="000000" w:themeColor="text1"/>
          <w:sz w:val="23"/>
          <w:szCs w:val="23"/>
        </w:rPr>
        <w:t xml:space="preserve"> identifying and addressing workforce needs through providing required education, training and support for </w:t>
      </w:r>
      <w:proofErr w:type="gramStart"/>
      <w:r w:rsidRPr="27ED1008">
        <w:rPr>
          <w:rFonts w:ascii="Calibri Light" w:eastAsia="Calibri Light" w:hAnsi="Calibri Light" w:cs="Calibri Light"/>
          <w:color w:val="000000" w:themeColor="text1"/>
          <w:sz w:val="23"/>
          <w:szCs w:val="23"/>
        </w:rPr>
        <w:t>job-seekers</w:t>
      </w:r>
      <w:proofErr w:type="gramEnd"/>
      <w:r w:rsidRPr="27ED1008">
        <w:rPr>
          <w:rFonts w:ascii="Calibri Light" w:eastAsia="Calibri Light" w:hAnsi="Calibri Light" w:cs="Calibri Light"/>
          <w:color w:val="000000" w:themeColor="text1"/>
          <w:sz w:val="23"/>
          <w:szCs w:val="23"/>
        </w:rPr>
        <w:t xml:space="preserve">. </w:t>
      </w:r>
    </w:p>
    <w:p w14:paraId="78685A54" w14:textId="26A569D0" w:rsidR="00F00E3D" w:rsidRDefault="00F00E3D" w:rsidP="00364C5D">
      <w:pPr>
        <w:pStyle w:val="ListParagraph"/>
        <w:numPr>
          <w:ilvl w:val="0"/>
          <w:numId w:val="37"/>
        </w:numPr>
        <w:spacing w:line="276" w:lineRule="auto"/>
        <w:rPr>
          <w:rFonts w:eastAsiaTheme="minorEastAsia"/>
          <w:b/>
          <w:bCs/>
          <w:color w:val="000000" w:themeColor="text1"/>
          <w:sz w:val="23"/>
          <w:szCs w:val="23"/>
        </w:rPr>
      </w:pPr>
      <w:r w:rsidRPr="27ED1008">
        <w:rPr>
          <w:rFonts w:ascii="Calibri Light" w:eastAsia="Calibri Light" w:hAnsi="Calibri Light" w:cs="Calibri Light"/>
          <w:b/>
          <w:bCs/>
          <w:color w:val="000000" w:themeColor="text1"/>
          <w:sz w:val="23"/>
          <w:szCs w:val="23"/>
        </w:rPr>
        <w:t>Tracking and measuring job outcomes:</w:t>
      </w:r>
      <w:r w:rsidRPr="27ED1008">
        <w:rPr>
          <w:rFonts w:ascii="Calibri Light" w:eastAsia="Calibri Light" w:hAnsi="Calibri Light" w:cs="Calibri Light"/>
          <w:color w:val="000000" w:themeColor="text1"/>
          <w:sz w:val="23"/>
          <w:szCs w:val="23"/>
        </w:rPr>
        <w:t xml:space="preserve"> GROW tracks and shares progress through a </w:t>
      </w:r>
      <w:r w:rsidRPr="27ED1008">
        <w:rPr>
          <w:rFonts w:ascii="Calibri Light" w:eastAsia="Calibri Light" w:hAnsi="Calibri Light" w:cs="Calibri Light"/>
          <w:color w:val="0563C1"/>
          <w:sz w:val="23"/>
          <w:szCs w:val="23"/>
          <w:u w:val="single"/>
        </w:rPr>
        <w:t>‘Regional Dashboard’</w:t>
      </w:r>
      <w:r w:rsidRPr="27ED1008">
        <w:rPr>
          <w:rFonts w:ascii="Calibri Light" w:eastAsia="Calibri Light" w:hAnsi="Calibri Light" w:cs="Calibri Light"/>
          <w:color w:val="000000" w:themeColor="text1"/>
          <w:sz w:val="23"/>
          <w:szCs w:val="23"/>
        </w:rPr>
        <w:t xml:space="preserve">, annual </w:t>
      </w:r>
      <w:r w:rsidRPr="27ED1008">
        <w:rPr>
          <w:rFonts w:ascii="Calibri Light" w:eastAsia="Calibri Light" w:hAnsi="Calibri Light" w:cs="Calibri Light"/>
          <w:color w:val="0563C1"/>
          <w:sz w:val="23"/>
          <w:szCs w:val="23"/>
          <w:u w:val="single"/>
        </w:rPr>
        <w:t>‘Report Card’,</w:t>
      </w:r>
      <w:r w:rsidRPr="27ED1008">
        <w:rPr>
          <w:rFonts w:ascii="Calibri Light" w:eastAsia="Calibri Light" w:hAnsi="Calibri Light" w:cs="Calibri Light"/>
          <w:color w:val="000000" w:themeColor="text1"/>
          <w:sz w:val="23"/>
          <w:szCs w:val="23"/>
        </w:rPr>
        <w:t xml:space="preserve"> and short films and </w:t>
      </w:r>
      <w:r w:rsidR="00AD2DA5">
        <w:rPr>
          <w:rFonts w:ascii="Calibri Light" w:eastAsia="Calibri Light" w:hAnsi="Calibri Light" w:cs="Calibri Light"/>
          <w:color w:val="000000" w:themeColor="text1"/>
          <w:sz w:val="23"/>
          <w:szCs w:val="23"/>
        </w:rPr>
        <w:t>Case Studies</w:t>
      </w:r>
      <w:r w:rsidRPr="27ED1008">
        <w:rPr>
          <w:rFonts w:ascii="Calibri Light" w:eastAsia="Calibri Light" w:hAnsi="Calibri Light" w:cs="Calibri Light"/>
          <w:color w:val="000000" w:themeColor="text1"/>
          <w:sz w:val="23"/>
          <w:szCs w:val="23"/>
        </w:rPr>
        <w:t xml:space="preserve"> known as </w:t>
      </w:r>
      <w:r w:rsidRPr="27ED1008">
        <w:rPr>
          <w:rFonts w:ascii="Calibri Light" w:eastAsia="Calibri Light" w:hAnsi="Calibri Light" w:cs="Calibri Light"/>
          <w:color w:val="0563C1"/>
          <w:sz w:val="23"/>
          <w:szCs w:val="23"/>
          <w:u w:val="single"/>
        </w:rPr>
        <w:t>‘Voices of GROW’</w:t>
      </w:r>
      <w:r w:rsidRPr="27ED1008">
        <w:rPr>
          <w:rFonts w:ascii="Calibri Light" w:eastAsia="Calibri Light" w:hAnsi="Calibri Light" w:cs="Calibri Light"/>
          <w:color w:val="000000" w:themeColor="text1"/>
          <w:sz w:val="23"/>
          <w:szCs w:val="23"/>
        </w:rPr>
        <w:t>.</w:t>
      </w:r>
    </w:p>
    <w:p w14:paraId="565E30AB" w14:textId="77777777" w:rsidR="00F00E3D" w:rsidRDefault="00F00E3D" w:rsidP="009B2FA7">
      <w:pPr>
        <w:spacing w:line="276" w:lineRule="auto"/>
      </w:pPr>
      <w:r w:rsidRPr="27ED1008">
        <w:rPr>
          <w:rFonts w:ascii="Calibri Light" w:eastAsia="Calibri Light" w:hAnsi="Calibri Light" w:cs="Calibri Light"/>
          <w:sz w:val="23"/>
          <w:szCs w:val="23"/>
        </w:rPr>
        <w:t xml:space="preserve">In 2019, </w:t>
      </w:r>
      <w:r w:rsidRPr="27ED1008">
        <w:rPr>
          <w:rFonts w:ascii="Calibri Light" w:eastAsia="Calibri Light" w:hAnsi="Calibri Light" w:cs="Calibri Light"/>
          <w:color w:val="0563C1"/>
          <w:sz w:val="23"/>
          <w:szCs w:val="23"/>
          <w:u w:val="single"/>
        </w:rPr>
        <w:t>GROW reported</w:t>
      </w:r>
      <w:r w:rsidRPr="27ED1008">
        <w:rPr>
          <w:rFonts w:ascii="Calibri Light" w:eastAsia="Calibri Light" w:hAnsi="Calibri Light" w:cs="Calibri Light"/>
          <w:sz w:val="23"/>
          <w:szCs w:val="23"/>
        </w:rPr>
        <w:t xml:space="preserve"> the creation of 247 jobs and 39 employment pathways from the target areas since 2016, and 110 signatory organisations have committed to addressing place-based disadvantage through GROW strategies (GROW G21 Region, 2019). The GROW Compact Action Network meets six times yearly to support and guide strategies for social procurement. </w:t>
      </w:r>
    </w:p>
    <w:p w14:paraId="767DE191" w14:textId="06FB88BB" w:rsidR="00F00E3D" w:rsidRDefault="00F00E3D" w:rsidP="009B2FA7">
      <w:pPr>
        <w:spacing w:line="276" w:lineRule="auto"/>
      </w:pPr>
      <w:r w:rsidRPr="27ED1008">
        <w:rPr>
          <w:rFonts w:ascii="Calibri Light" w:eastAsia="Calibri Light" w:hAnsi="Calibri Light" w:cs="Calibri Light"/>
          <w:sz w:val="23"/>
          <w:szCs w:val="23"/>
        </w:rPr>
        <w:t xml:space="preserve">GROW is governed through a Strategic Directions Group, who meet quarterly. This includes an executive, a small operations team (Director, Engagement Officer, and Evaluation and Data Analyst) and two patrons. </w:t>
      </w:r>
      <w:r w:rsidR="00822FA7">
        <w:rPr>
          <w:rFonts w:ascii="Calibri Light" w:eastAsia="Calibri Light" w:hAnsi="Calibri Light" w:cs="Calibri Light"/>
          <w:sz w:val="23"/>
          <w:szCs w:val="23"/>
        </w:rPr>
        <w:t>Several</w:t>
      </w:r>
      <w:r w:rsidRPr="27ED1008">
        <w:rPr>
          <w:rFonts w:ascii="Calibri Light" w:eastAsia="Calibri Light" w:hAnsi="Calibri Light" w:cs="Calibri Light"/>
          <w:sz w:val="23"/>
          <w:szCs w:val="23"/>
        </w:rPr>
        <w:t xml:space="preserve"> “champions” have also been appointed from businesses and local organisations to support implementation (GROW, n.d.).</w:t>
      </w:r>
    </w:p>
    <w:p w14:paraId="56436286" w14:textId="77777777" w:rsidR="00F00E3D" w:rsidRDefault="007320D6" w:rsidP="009B2FA7">
      <w:pPr>
        <w:spacing w:line="276" w:lineRule="auto"/>
      </w:pPr>
      <w:hyperlink r:id="rId83" w:history="1">
        <w:r w:rsidR="00F00E3D" w:rsidRPr="002D7D9D">
          <w:rPr>
            <w:rStyle w:val="Hyperlink"/>
            <w:rFonts w:ascii="Calibri Light" w:eastAsia="Calibri Light" w:hAnsi="Calibri Light" w:cs="Calibri Light"/>
            <w:sz w:val="23"/>
            <w:szCs w:val="23"/>
          </w:rPr>
          <w:t>A</w:t>
        </w:r>
        <w:r w:rsidR="00F00E3D">
          <w:rPr>
            <w:rStyle w:val="Hyperlink"/>
            <w:rFonts w:ascii="Calibri Light" w:eastAsia="Calibri Light" w:hAnsi="Calibri Light" w:cs="Calibri Light"/>
            <w:sz w:val="23"/>
            <w:szCs w:val="23"/>
          </w:rPr>
          <w:t>n evaluation</w:t>
        </w:r>
        <w:r w:rsidR="00F00E3D" w:rsidRPr="002D7D9D">
          <w:rPr>
            <w:rStyle w:val="Hyperlink"/>
            <w:rFonts w:ascii="Calibri Light" w:eastAsia="Calibri Light" w:hAnsi="Calibri Light" w:cs="Calibri Light"/>
            <w:sz w:val="23"/>
            <w:szCs w:val="23"/>
          </w:rPr>
          <w:t xml:space="preserve"> of GROW</w:t>
        </w:r>
      </w:hyperlink>
      <w:r w:rsidR="00F00E3D" w:rsidRPr="359636AC">
        <w:rPr>
          <w:rFonts w:ascii="Calibri Light" w:eastAsia="Calibri Light" w:hAnsi="Calibri Light" w:cs="Calibri Light"/>
          <w:sz w:val="23"/>
          <w:szCs w:val="23"/>
        </w:rPr>
        <w:t xml:space="preserve">, conducted for the Give Where You Live Foundation, found significant learning and change occurring in </w:t>
      </w:r>
      <w:r w:rsidR="00F00E3D" w:rsidRPr="002D7D9D">
        <w:rPr>
          <w:rFonts w:ascii="Calibri Light" w:eastAsia="Calibri Light" w:hAnsi="Calibri Light" w:cs="Calibri Light"/>
          <w:sz w:val="23"/>
          <w:szCs w:val="23"/>
        </w:rPr>
        <w:t>business, government, and non-government mindsets, which would likely not have occurred without the initiative (Clear Horizon, 2019). The evaluation</w:t>
      </w:r>
      <w:r w:rsidR="00F00E3D" w:rsidRPr="359636AC">
        <w:rPr>
          <w:rFonts w:ascii="Calibri Light" w:eastAsia="Calibri Light" w:hAnsi="Calibri Light" w:cs="Calibri Light"/>
          <w:sz w:val="23"/>
          <w:szCs w:val="23"/>
        </w:rPr>
        <w:t xml:space="preserve"> made several recommendations to help GROW gain momentum and increase impact.</w:t>
      </w:r>
    </w:p>
    <w:p w14:paraId="4654B4F1" w14:textId="77777777" w:rsidR="00F00E3D" w:rsidRPr="00D96568" w:rsidRDefault="00F00E3D" w:rsidP="009B2FA7">
      <w:pPr>
        <w:spacing w:after="0" w:line="276" w:lineRule="auto"/>
        <w:rPr>
          <w:rFonts w:ascii="Calibri Light" w:eastAsia="Calibri Light" w:hAnsi="Calibri Light" w:cs="Calibri Light"/>
          <w:color w:val="000000" w:themeColor="text1"/>
          <w:sz w:val="12"/>
          <w:szCs w:val="12"/>
          <w:highlight w:val="yellow"/>
        </w:rPr>
      </w:pPr>
    </w:p>
    <w:p w14:paraId="3AAE547F" w14:textId="3AEB97C4" w:rsidR="00F00E3D" w:rsidRDefault="00F00E3D" w:rsidP="009B2FA7">
      <w:pPr>
        <w:spacing w:after="0" w:line="276" w:lineRule="auto"/>
        <w:rPr>
          <w:b/>
          <w:bCs/>
          <w:color w:val="2F5496" w:themeColor="accent1" w:themeShade="BF"/>
          <w:sz w:val="25"/>
          <w:szCs w:val="25"/>
        </w:rPr>
      </w:pPr>
      <w:r w:rsidRPr="71C466D6">
        <w:rPr>
          <w:b/>
          <w:bCs/>
          <w:color w:val="2F5496" w:themeColor="accent1" w:themeShade="BF"/>
          <w:sz w:val="25"/>
          <w:szCs w:val="25"/>
        </w:rPr>
        <w:t>Victoria</w:t>
      </w:r>
      <w:r>
        <w:rPr>
          <w:b/>
          <w:bCs/>
          <w:color w:val="2F5496" w:themeColor="accent1" w:themeShade="BF"/>
          <w:sz w:val="25"/>
          <w:szCs w:val="25"/>
        </w:rPr>
        <w:t xml:space="preserve"> (Local</w:t>
      </w:r>
      <w:r w:rsidR="00BE7CF9">
        <w:rPr>
          <w:b/>
          <w:bCs/>
          <w:color w:val="2F5496" w:themeColor="accent1" w:themeShade="BF"/>
          <w:sz w:val="25"/>
          <w:szCs w:val="25"/>
        </w:rPr>
        <w:t xml:space="preserve"> Focus</w:t>
      </w:r>
      <w:r>
        <w:rPr>
          <w:b/>
          <w:bCs/>
          <w:color w:val="2F5496" w:themeColor="accent1" w:themeShade="BF"/>
          <w:sz w:val="25"/>
          <w:szCs w:val="25"/>
        </w:rPr>
        <w:t>)</w:t>
      </w:r>
    </w:p>
    <w:p w14:paraId="4CEC68E6" w14:textId="77777777" w:rsidR="00F00E3D" w:rsidRPr="00B61086" w:rsidRDefault="00F00E3D" w:rsidP="009B2FA7">
      <w:pPr>
        <w:spacing w:after="0" w:line="276" w:lineRule="auto"/>
        <w:rPr>
          <w:rFonts w:cstheme="minorHAnsi"/>
          <w:b/>
          <w:bCs/>
          <w:color w:val="2F5496" w:themeColor="accent1" w:themeShade="BF"/>
          <w:sz w:val="16"/>
          <w:szCs w:val="16"/>
        </w:rPr>
      </w:pPr>
    </w:p>
    <w:p w14:paraId="24811473" w14:textId="48D82535" w:rsidR="00F00E3D" w:rsidRDefault="00F00E3D" w:rsidP="009B2FA7">
      <w:pPr>
        <w:spacing w:after="0" w:line="276" w:lineRule="auto"/>
      </w:pPr>
      <w:bookmarkStart w:id="60" w:name="_Hlk70863435"/>
      <w:r w:rsidRPr="27ED1008">
        <w:rPr>
          <w:rFonts w:ascii="Calibri" w:eastAsia="Calibri" w:hAnsi="Calibri" w:cs="Calibri"/>
          <w:b/>
          <w:bCs/>
          <w:color w:val="000000" w:themeColor="text1"/>
          <w:sz w:val="25"/>
          <w:szCs w:val="25"/>
        </w:rPr>
        <w:t xml:space="preserve">Afghan Youth Girls Bike Skills Workshops: Building </w:t>
      </w:r>
      <w:r w:rsidR="00725499" w:rsidRPr="27ED1008">
        <w:rPr>
          <w:rFonts w:ascii="Calibri" w:eastAsia="Calibri" w:hAnsi="Calibri" w:cs="Calibri"/>
          <w:b/>
          <w:bCs/>
          <w:color w:val="000000" w:themeColor="text1"/>
          <w:sz w:val="25"/>
          <w:szCs w:val="25"/>
        </w:rPr>
        <w:t xml:space="preserve">Social Inclusion </w:t>
      </w:r>
      <w:r w:rsidR="00725499">
        <w:rPr>
          <w:rFonts w:ascii="Calibri" w:eastAsia="Calibri" w:hAnsi="Calibri" w:cs="Calibri"/>
          <w:b/>
          <w:bCs/>
          <w:color w:val="000000" w:themeColor="text1"/>
          <w:sz w:val="25"/>
          <w:szCs w:val="25"/>
        </w:rPr>
        <w:t>Via</w:t>
      </w:r>
      <w:r w:rsidR="00725499" w:rsidRPr="27ED1008">
        <w:rPr>
          <w:rFonts w:ascii="Calibri" w:eastAsia="Calibri" w:hAnsi="Calibri" w:cs="Calibri"/>
          <w:b/>
          <w:bCs/>
          <w:color w:val="000000" w:themeColor="text1"/>
          <w:sz w:val="25"/>
          <w:szCs w:val="25"/>
        </w:rPr>
        <w:t xml:space="preserve"> Sport</w:t>
      </w:r>
    </w:p>
    <w:p w14:paraId="06FA51E7" w14:textId="77777777" w:rsidR="00F00E3D" w:rsidRDefault="00F00E3D" w:rsidP="009B2FA7">
      <w:pPr>
        <w:spacing w:after="0" w:line="276" w:lineRule="auto"/>
      </w:pPr>
      <w:r w:rsidRPr="2B116086">
        <w:rPr>
          <w:rFonts w:ascii="Calibri" w:eastAsia="Calibri" w:hAnsi="Calibri" w:cs="Calibri"/>
          <w:b/>
          <w:bCs/>
          <w:color w:val="000000" w:themeColor="text1"/>
          <w:sz w:val="23"/>
          <w:szCs w:val="23"/>
        </w:rPr>
        <w:t>Bendigo (2018)</w:t>
      </w:r>
    </w:p>
    <w:bookmarkEnd w:id="60"/>
    <w:p w14:paraId="4C24C164" w14:textId="77777777" w:rsidR="00F00E3D" w:rsidRPr="00CC521D" w:rsidRDefault="00F00E3D" w:rsidP="009B2FA7">
      <w:pPr>
        <w:spacing w:after="0" w:line="276" w:lineRule="auto"/>
        <w:rPr>
          <w:rFonts w:ascii="Calibri" w:eastAsia="Calibri" w:hAnsi="Calibri" w:cs="Calibri"/>
          <w:b/>
          <w:bCs/>
          <w:color w:val="595959" w:themeColor="text1" w:themeTint="A6"/>
          <w:sz w:val="16"/>
          <w:szCs w:val="16"/>
        </w:rPr>
      </w:pPr>
    </w:p>
    <w:p w14:paraId="391BF531" w14:textId="32CB1633"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Main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(s):</w:t>
      </w:r>
      <w:r w:rsidRPr="00CC521D">
        <w:rPr>
          <w:rFonts w:eastAsia="Calibri Light" w:cstheme="minorHAnsi"/>
          <w:b/>
          <w:bCs/>
          <w:color w:val="595959" w:themeColor="text1" w:themeTint="A6"/>
          <w:sz w:val="23"/>
          <w:szCs w:val="23"/>
        </w:rPr>
        <w:tab/>
      </w:r>
      <w:r w:rsidRPr="00CC521D">
        <w:rPr>
          <w:rFonts w:eastAsia="Calibri Light" w:cstheme="minorHAnsi"/>
          <w:b/>
          <w:bCs/>
          <w:color w:val="595959" w:themeColor="text1" w:themeTint="A6"/>
          <w:sz w:val="23"/>
          <w:szCs w:val="23"/>
        </w:rPr>
        <w:tab/>
        <w:t xml:space="preserve">Health and Wellbeing </w:t>
      </w:r>
    </w:p>
    <w:p w14:paraId="009A26CE" w14:textId="328F0663"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Secondary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(s):</w:t>
      </w:r>
      <w:r w:rsidRPr="00CC521D">
        <w:rPr>
          <w:rFonts w:eastAsia="Calibri Light" w:cstheme="minorHAnsi"/>
          <w:b/>
          <w:bCs/>
          <w:color w:val="595959" w:themeColor="text1" w:themeTint="A6"/>
          <w:sz w:val="23"/>
          <w:szCs w:val="23"/>
        </w:rPr>
        <w:tab/>
        <w:t>Education, Liveability</w:t>
      </w:r>
    </w:p>
    <w:p w14:paraId="34CF63AF" w14:textId="77777777" w:rsidR="00F00E3D" w:rsidRPr="00CC521D" w:rsidRDefault="00F00E3D" w:rsidP="009B2FA7">
      <w:pPr>
        <w:spacing w:after="0" w:line="276" w:lineRule="auto"/>
        <w:rPr>
          <w:rFonts w:ascii="Calibri Light" w:eastAsia="Calibri Light" w:hAnsi="Calibri Light" w:cs="Calibri Light"/>
          <w:color w:val="595959" w:themeColor="text1" w:themeTint="A6"/>
          <w:sz w:val="16"/>
          <w:szCs w:val="16"/>
        </w:rPr>
      </w:pPr>
    </w:p>
    <w:p w14:paraId="133008EB" w14:textId="77777777" w:rsidR="00F00E3D" w:rsidRDefault="00F00E3D" w:rsidP="009B2FA7">
      <w:pPr>
        <w:spacing w:after="0" w:line="276" w:lineRule="auto"/>
      </w:pPr>
      <w:r w:rsidRPr="2B116086">
        <w:rPr>
          <w:rFonts w:ascii="Calibri Light" w:eastAsia="Calibri Light" w:hAnsi="Calibri Light" w:cs="Calibri Light"/>
          <w:sz w:val="23"/>
          <w:szCs w:val="23"/>
        </w:rPr>
        <w:t>Greater Bendigo (pop 110,000) is a designated Refugee Welcome Zone, with Karen and Afghani refugees being two key groups who call the city home; 15 percent of Bendigo residents were born overseas, and 5.6 percent of households speak a language other than English (Refugee Council, 2019).</w:t>
      </w:r>
    </w:p>
    <w:p w14:paraId="34D2E445" w14:textId="77777777" w:rsidR="00F00E3D" w:rsidRPr="00B61086" w:rsidRDefault="00F00E3D" w:rsidP="009B2FA7">
      <w:pPr>
        <w:spacing w:after="0" w:line="276" w:lineRule="auto"/>
        <w:rPr>
          <w:rFonts w:ascii="Calibri Light" w:eastAsia="Calibri Light" w:hAnsi="Calibri Light" w:cs="Calibri Light"/>
          <w:sz w:val="16"/>
          <w:szCs w:val="16"/>
        </w:rPr>
      </w:pPr>
    </w:p>
    <w:p w14:paraId="198BF270" w14:textId="77777777" w:rsidR="00F00E3D" w:rsidRDefault="00F00E3D" w:rsidP="009B2FA7">
      <w:pPr>
        <w:spacing w:after="0" w:line="276" w:lineRule="auto"/>
      </w:pPr>
      <w:r w:rsidRPr="2B116086">
        <w:rPr>
          <w:rFonts w:ascii="Calibri Light" w:eastAsia="Calibri Light" w:hAnsi="Calibri Light" w:cs="Calibri Light"/>
          <w:sz w:val="23"/>
          <w:szCs w:val="23"/>
        </w:rPr>
        <w:t xml:space="preserve">The Afghan Youth Girls Bike Skills Workshops ran in 2018. Nine girls aged 12 to 18 took part, all recent arrivals to Bendigo. The three-week program was founded to encourage participants to spend time outdoors, increase activity levels, get to their schools or the shops, spend time together, and explore </w:t>
      </w:r>
      <w:r w:rsidRPr="2B116086">
        <w:rPr>
          <w:rFonts w:ascii="Calibri Light" w:eastAsia="Calibri Light" w:hAnsi="Calibri Light" w:cs="Calibri Light"/>
          <w:sz w:val="23"/>
          <w:szCs w:val="23"/>
        </w:rPr>
        <w:lastRenderedPageBreak/>
        <w:t>their new city safely. Activities included group outings; workshops covering road rules, bike checks, and replacing a flat tyre; and discussions on staying safe when riding (Bendigo Community Health Services, 2018; Goode, 2018).</w:t>
      </w:r>
    </w:p>
    <w:p w14:paraId="28E079D5" w14:textId="77777777" w:rsidR="00F00E3D" w:rsidRPr="00B61086" w:rsidRDefault="00F00E3D" w:rsidP="009B2FA7">
      <w:pPr>
        <w:spacing w:after="0" w:line="276" w:lineRule="auto"/>
        <w:rPr>
          <w:rFonts w:ascii="Calibri Light" w:eastAsia="Calibri Light" w:hAnsi="Calibri Light" w:cs="Calibri Light"/>
          <w:sz w:val="16"/>
          <w:szCs w:val="16"/>
        </w:rPr>
      </w:pPr>
    </w:p>
    <w:p w14:paraId="46AEB8FB" w14:textId="77777777" w:rsidR="00F00E3D" w:rsidRDefault="00F00E3D" w:rsidP="009B2FA7">
      <w:pPr>
        <w:spacing w:after="0" w:line="276" w:lineRule="auto"/>
      </w:pPr>
      <w:r w:rsidRPr="2B116086">
        <w:rPr>
          <w:rFonts w:ascii="Calibri Light" w:eastAsia="Calibri Light" w:hAnsi="Calibri Light" w:cs="Calibri Light"/>
          <w:sz w:val="23"/>
          <w:szCs w:val="23"/>
        </w:rPr>
        <w:t xml:space="preserve">Project partners were Bike Bendigo, Bendigo Community Health Services, and the City of Greater Bendigo. Bikes and helmets were donated for participants to keep by the Department of Justice and Community Safety’s Wheels in Motion program. The Wheels in Motion initiative engages young offenders to repair unwanted and discarded bikes for re-use by communities. </w:t>
      </w:r>
    </w:p>
    <w:p w14:paraId="37FB5A26" w14:textId="77777777" w:rsidR="00F00E3D" w:rsidRPr="00B61086" w:rsidRDefault="00F00E3D" w:rsidP="009B2FA7">
      <w:pPr>
        <w:spacing w:after="0" w:line="276" w:lineRule="auto"/>
        <w:rPr>
          <w:rFonts w:ascii="Calibri Light" w:eastAsia="Calibri Light" w:hAnsi="Calibri Light" w:cs="Calibri Light"/>
          <w:sz w:val="16"/>
          <w:szCs w:val="16"/>
        </w:rPr>
      </w:pPr>
    </w:p>
    <w:p w14:paraId="40BE479C" w14:textId="77777777" w:rsidR="00F00E3D" w:rsidRDefault="00F00E3D" w:rsidP="009B2FA7">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Bendigo is also home to several other programs that foster cultural diversity and inclusion through sport. With support from the City of Greater Bendigo, local sporting clubs and community organisations run clubs and events for people from the local refugee, asylum seeker, migrant, and international student communities. Rather than following a specific model, these programs take a broad range of approaches to promoting social inclusion, health, and wellbeing through physical activity.</w:t>
      </w:r>
    </w:p>
    <w:p w14:paraId="5ECE0369" w14:textId="77777777" w:rsidR="00F00E3D" w:rsidRPr="00357C3C" w:rsidRDefault="00F00E3D" w:rsidP="009B2FA7">
      <w:pPr>
        <w:spacing w:after="0" w:line="276" w:lineRule="auto"/>
        <w:rPr>
          <w:rFonts w:ascii="Calibri Light" w:eastAsia="Calibri Light" w:hAnsi="Calibri Light" w:cs="Calibri Light"/>
          <w:sz w:val="16"/>
          <w:szCs w:val="16"/>
        </w:rPr>
      </w:pPr>
    </w:p>
    <w:p w14:paraId="2065C7E3" w14:textId="77777777" w:rsidR="00F00E3D" w:rsidRDefault="00F00E3D" w:rsidP="009B2FA7">
      <w:pPr>
        <w:spacing w:after="0" w:line="276" w:lineRule="auto"/>
      </w:pPr>
      <w:r w:rsidRPr="359636AC">
        <w:rPr>
          <w:rFonts w:ascii="Calibri Light" w:eastAsia="Calibri Light" w:hAnsi="Calibri Light" w:cs="Calibri Light"/>
          <w:sz w:val="23"/>
          <w:szCs w:val="23"/>
        </w:rPr>
        <w:t xml:space="preserve">Examples include the Multicultural Soccer Program, Cane Ball Club, Axe Creek Multicultural Men’s Cricket Tournament, Multicultural Youth Futsal, and Women’s Learn to Swim Classes. Related initiatives include the Mini </w:t>
      </w:r>
      <w:proofErr w:type="spellStart"/>
      <w:r w:rsidRPr="359636AC">
        <w:rPr>
          <w:rFonts w:ascii="Calibri Light" w:eastAsia="Calibri Light" w:hAnsi="Calibri Light" w:cs="Calibri Light"/>
          <w:sz w:val="23"/>
          <w:szCs w:val="23"/>
        </w:rPr>
        <w:t>Roos</w:t>
      </w:r>
      <w:proofErr w:type="spellEnd"/>
      <w:r w:rsidRPr="359636AC">
        <w:rPr>
          <w:rFonts w:ascii="Calibri Light" w:eastAsia="Calibri Light" w:hAnsi="Calibri Light" w:cs="Calibri Light"/>
          <w:sz w:val="23"/>
          <w:szCs w:val="23"/>
        </w:rPr>
        <w:t xml:space="preserve"> Canteen Program, Community Boot Drive initiative, and refereeing and coaching programs. The Cultural Diversity and Inclusion Plan (CDIP) Sports Action Group provides input and guidance.</w:t>
      </w:r>
    </w:p>
    <w:p w14:paraId="7BB202CA" w14:textId="77777777" w:rsidR="00F00E3D" w:rsidRPr="00357C3C" w:rsidRDefault="00F00E3D" w:rsidP="009B2FA7">
      <w:pPr>
        <w:spacing w:after="0" w:line="276" w:lineRule="auto"/>
        <w:rPr>
          <w:rFonts w:ascii="Calibri Light" w:eastAsia="Calibri Light" w:hAnsi="Calibri Light" w:cs="Calibri Light"/>
          <w:sz w:val="16"/>
          <w:szCs w:val="16"/>
        </w:rPr>
      </w:pPr>
    </w:p>
    <w:p w14:paraId="7721E97A" w14:textId="77777777" w:rsidR="00F00E3D" w:rsidRDefault="00F00E3D" w:rsidP="009B2FA7">
      <w:pPr>
        <w:spacing w:after="0" w:line="276" w:lineRule="auto"/>
        <w:rPr>
          <w:rFonts w:ascii="Calibri" w:eastAsia="Calibri" w:hAnsi="Calibri" w:cs="Calibri"/>
          <w:sz w:val="25"/>
          <w:szCs w:val="25"/>
        </w:rPr>
      </w:pPr>
      <w:r w:rsidRPr="27ED1008">
        <w:rPr>
          <w:rFonts w:ascii="Calibri Light" w:eastAsia="Calibri Light" w:hAnsi="Calibri Light" w:cs="Calibri Light"/>
          <w:sz w:val="23"/>
          <w:szCs w:val="23"/>
        </w:rPr>
        <w:t>While no formal evaluations are available, participant feedback suggests benefits for many who take part: “It felt like I was a part of the community. The games were much more than just about kicking a soccer ball, it went beyond the language boundaries and you didn’t need to speak the same language to connect and have fun” (City of Greater Bendigo, 2020).</w:t>
      </w:r>
    </w:p>
    <w:p w14:paraId="6B06F550" w14:textId="77777777" w:rsidR="00F00E3D" w:rsidRDefault="00F00E3D" w:rsidP="009B2FA7">
      <w:pPr>
        <w:spacing w:after="0" w:line="276" w:lineRule="auto"/>
        <w:rPr>
          <w:b/>
          <w:bCs/>
          <w:sz w:val="25"/>
          <w:szCs w:val="25"/>
        </w:rPr>
      </w:pPr>
    </w:p>
    <w:p w14:paraId="04FDF1FB" w14:textId="5A291903" w:rsidR="00F00E3D" w:rsidRDefault="00F00E3D" w:rsidP="009B2FA7">
      <w:pPr>
        <w:spacing w:after="0" w:line="276" w:lineRule="auto"/>
      </w:pPr>
      <w:bookmarkStart w:id="61" w:name="_Hlk70863612"/>
      <w:r w:rsidRPr="27ED1008">
        <w:rPr>
          <w:rFonts w:ascii="Calibri" w:eastAsia="Calibri" w:hAnsi="Calibri" w:cs="Calibri"/>
          <w:b/>
          <w:bCs/>
          <w:sz w:val="25"/>
          <w:szCs w:val="25"/>
        </w:rPr>
        <w:t xml:space="preserve">Fawkner Commons (Fair Share Fare): Food </w:t>
      </w:r>
      <w:r w:rsidR="00725499" w:rsidRPr="27ED1008">
        <w:rPr>
          <w:rFonts w:ascii="Calibri" w:eastAsia="Calibri" w:hAnsi="Calibri" w:cs="Calibri"/>
          <w:b/>
          <w:bCs/>
          <w:sz w:val="25"/>
          <w:szCs w:val="25"/>
        </w:rPr>
        <w:t xml:space="preserve">Security </w:t>
      </w:r>
      <w:r w:rsidR="00725499">
        <w:rPr>
          <w:rFonts w:ascii="Calibri" w:eastAsia="Calibri" w:hAnsi="Calibri" w:cs="Calibri"/>
          <w:b/>
          <w:bCs/>
          <w:sz w:val="25"/>
          <w:szCs w:val="25"/>
        </w:rPr>
        <w:t>a</w:t>
      </w:r>
      <w:r w:rsidR="00725499" w:rsidRPr="27ED1008">
        <w:rPr>
          <w:rFonts w:ascii="Calibri" w:eastAsia="Calibri" w:hAnsi="Calibri" w:cs="Calibri"/>
          <w:b/>
          <w:bCs/>
          <w:sz w:val="25"/>
          <w:szCs w:val="25"/>
        </w:rPr>
        <w:t>nd Creative Community-Building</w:t>
      </w:r>
    </w:p>
    <w:p w14:paraId="1D38DDA9" w14:textId="04CB7208" w:rsidR="00F00E3D" w:rsidRDefault="00F00E3D" w:rsidP="009B2FA7">
      <w:pPr>
        <w:spacing w:after="0" w:line="276" w:lineRule="auto"/>
      </w:pPr>
      <w:r w:rsidRPr="359636AC">
        <w:rPr>
          <w:rFonts w:ascii="Calibri" w:eastAsia="Calibri" w:hAnsi="Calibri" w:cs="Calibri"/>
          <w:b/>
          <w:bCs/>
          <w:sz w:val="23"/>
          <w:szCs w:val="23"/>
        </w:rPr>
        <w:t xml:space="preserve">Fawkner and surrounding suburbs, </w:t>
      </w:r>
      <w:r w:rsidR="00BE7CF9">
        <w:rPr>
          <w:rFonts w:ascii="Calibri" w:eastAsia="Calibri" w:hAnsi="Calibri" w:cs="Calibri"/>
          <w:b/>
          <w:bCs/>
          <w:sz w:val="23"/>
          <w:szCs w:val="23"/>
        </w:rPr>
        <w:t xml:space="preserve">Melbourne, </w:t>
      </w:r>
      <w:r w:rsidRPr="359636AC">
        <w:rPr>
          <w:rFonts w:ascii="Calibri" w:eastAsia="Calibri" w:hAnsi="Calibri" w:cs="Calibri"/>
          <w:b/>
          <w:bCs/>
          <w:sz w:val="23"/>
          <w:szCs w:val="23"/>
        </w:rPr>
        <w:t>Victoria (2020–2021)</w:t>
      </w:r>
    </w:p>
    <w:bookmarkEnd w:id="61"/>
    <w:p w14:paraId="299C6E11" w14:textId="77777777" w:rsidR="00F00E3D" w:rsidRPr="00E05D57" w:rsidRDefault="00F00E3D" w:rsidP="009B2FA7">
      <w:pPr>
        <w:spacing w:after="0" w:line="276" w:lineRule="auto"/>
        <w:rPr>
          <w:rFonts w:eastAsia="Calibri" w:cstheme="minorHAnsi"/>
          <w:b/>
          <w:bCs/>
          <w:sz w:val="16"/>
          <w:szCs w:val="16"/>
        </w:rPr>
      </w:pPr>
    </w:p>
    <w:p w14:paraId="71375B90" w14:textId="53DF9A27"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Main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 xml:space="preserve">(s):         </w:t>
      </w:r>
      <w:r w:rsidRPr="00CC521D">
        <w:rPr>
          <w:rFonts w:eastAsia="Calibri Light" w:cstheme="minorHAnsi"/>
          <w:b/>
          <w:bCs/>
          <w:color w:val="595959" w:themeColor="text1" w:themeTint="A6"/>
          <w:sz w:val="23"/>
          <w:szCs w:val="23"/>
        </w:rPr>
        <w:tab/>
      </w:r>
      <w:r w:rsidRPr="00CC521D">
        <w:rPr>
          <w:rFonts w:eastAsia="Calibri Light" w:cstheme="minorHAnsi"/>
          <w:b/>
          <w:bCs/>
          <w:color w:val="595959" w:themeColor="text1" w:themeTint="A6"/>
          <w:sz w:val="23"/>
          <w:szCs w:val="23"/>
        </w:rPr>
        <w:tab/>
        <w:t>Health and Wellbeing, Liveability</w:t>
      </w:r>
    </w:p>
    <w:p w14:paraId="73C097E6" w14:textId="0F8AEF9D"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Secondary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 xml:space="preserve">(s): </w:t>
      </w:r>
      <w:r w:rsidRPr="00CC521D">
        <w:rPr>
          <w:rFonts w:eastAsia="Calibri Light" w:cstheme="minorHAnsi"/>
          <w:b/>
          <w:bCs/>
          <w:color w:val="595959" w:themeColor="text1" w:themeTint="A6"/>
          <w:sz w:val="23"/>
          <w:szCs w:val="23"/>
        </w:rPr>
        <w:tab/>
        <w:t>Education</w:t>
      </w:r>
    </w:p>
    <w:p w14:paraId="3E9044AC" w14:textId="77777777" w:rsidR="00F00E3D" w:rsidRPr="00357C3C" w:rsidRDefault="00F00E3D" w:rsidP="009B2FA7">
      <w:pPr>
        <w:spacing w:after="0" w:line="276" w:lineRule="auto"/>
        <w:rPr>
          <w:rFonts w:ascii="Calibri Light" w:eastAsia="Calibri Light" w:hAnsi="Calibri Light" w:cs="Calibri Light"/>
          <w:color w:val="767171" w:themeColor="background2" w:themeShade="80"/>
          <w:sz w:val="16"/>
          <w:szCs w:val="16"/>
        </w:rPr>
      </w:pPr>
    </w:p>
    <w:p w14:paraId="3FA74689" w14:textId="77777777" w:rsidR="00F00E3D" w:rsidRDefault="00F00E3D" w:rsidP="009B2FA7">
      <w:pPr>
        <w:spacing w:after="0" w:line="276" w:lineRule="auto"/>
      </w:pPr>
      <w:r w:rsidRPr="359636AC">
        <w:rPr>
          <w:rFonts w:ascii="Calibri Light" w:eastAsia="Calibri Light" w:hAnsi="Calibri Light" w:cs="Calibri Light"/>
          <w:color w:val="000000" w:themeColor="text1"/>
          <w:sz w:val="23"/>
          <w:szCs w:val="23"/>
        </w:rPr>
        <w:t>Fawkner is one of the Moreland municipality’s most food-insecure suburbs. Fawkner Commons is a non-for-profit, community-led food distribution hub. As well as providing food relief, it aims to foster social inclusion, social cohesion, and community resilience. The program services low-income residents in Fawkner, and nearby Glenroy, Hadfield, and Merlynston.</w:t>
      </w:r>
    </w:p>
    <w:p w14:paraId="0F49DDA0" w14:textId="77777777" w:rsidR="00F00E3D" w:rsidRPr="00357C3C" w:rsidRDefault="00F00E3D" w:rsidP="009B2FA7">
      <w:pPr>
        <w:spacing w:after="0" w:line="276" w:lineRule="auto"/>
        <w:rPr>
          <w:rFonts w:ascii="Calibri Light" w:eastAsia="Calibri Light" w:hAnsi="Calibri Light" w:cs="Calibri Light"/>
          <w:color w:val="000000" w:themeColor="text1"/>
          <w:sz w:val="16"/>
          <w:szCs w:val="16"/>
        </w:rPr>
      </w:pPr>
    </w:p>
    <w:p w14:paraId="1FC7ED29" w14:textId="3CF9A66D" w:rsidR="00F00E3D" w:rsidRDefault="00F00E3D" w:rsidP="009B2FA7">
      <w:pPr>
        <w:spacing w:after="0" w:line="276" w:lineRule="auto"/>
      </w:pPr>
      <w:r w:rsidRPr="359636AC">
        <w:rPr>
          <w:rFonts w:ascii="Calibri Light" w:eastAsia="Calibri Light" w:hAnsi="Calibri Light" w:cs="Calibri Light"/>
          <w:color w:val="000000" w:themeColor="text1"/>
          <w:sz w:val="23"/>
          <w:szCs w:val="23"/>
        </w:rPr>
        <w:t xml:space="preserve">Arising from the northern suburbs’ lockdown during the </w:t>
      </w:r>
      <w:r w:rsidR="00940D80">
        <w:rPr>
          <w:rFonts w:ascii="Calibri Light" w:eastAsia="Calibri Light" w:hAnsi="Calibri Light" w:cs="Calibri Light"/>
          <w:color w:val="000000" w:themeColor="text1"/>
          <w:sz w:val="23"/>
          <w:szCs w:val="23"/>
        </w:rPr>
        <w:t>COVID</w:t>
      </w:r>
      <w:r w:rsidRPr="359636AC">
        <w:rPr>
          <w:rFonts w:ascii="Calibri Light" w:eastAsia="Calibri Light" w:hAnsi="Calibri Light" w:cs="Calibri Light"/>
          <w:color w:val="000000" w:themeColor="text1"/>
          <w:sz w:val="23"/>
          <w:szCs w:val="23"/>
        </w:rPr>
        <w:t>-19 pandemic, Fawkner Commons was launched in May 2020 in partnership with The Community Grocer and Fawkner Bowling Club. Other partners include the Open Food Network, Moreland Council, and the Victorian State Government (Fawkner Commons, n.d.).</w:t>
      </w:r>
    </w:p>
    <w:p w14:paraId="53E213E9" w14:textId="77777777" w:rsidR="00F00E3D" w:rsidRPr="00357C3C" w:rsidRDefault="00F00E3D" w:rsidP="009B2FA7">
      <w:pPr>
        <w:spacing w:after="0" w:line="276" w:lineRule="auto"/>
        <w:rPr>
          <w:rFonts w:ascii="Calibri Light" w:eastAsia="Calibri Light" w:hAnsi="Calibri Light" w:cs="Calibri Light"/>
          <w:color w:val="000000" w:themeColor="text1"/>
          <w:sz w:val="16"/>
          <w:szCs w:val="16"/>
        </w:rPr>
      </w:pPr>
    </w:p>
    <w:p w14:paraId="2322BF91" w14:textId="2678D580" w:rsidR="00F00E3D" w:rsidRDefault="00F00E3D" w:rsidP="009B2FA7">
      <w:pPr>
        <w:spacing w:after="0" w:line="276" w:lineRule="auto"/>
        <w:rPr>
          <w:rFonts w:ascii="Calibri Light" w:eastAsia="Calibri Light" w:hAnsi="Calibri Light" w:cs="Calibri Light"/>
          <w:color w:val="000000" w:themeColor="text1"/>
          <w:sz w:val="23"/>
          <w:szCs w:val="23"/>
        </w:rPr>
      </w:pPr>
      <w:r w:rsidRPr="359636AC">
        <w:rPr>
          <w:rFonts w:ascii="Calibri Light" w:eastAsia="Calibri Light" w:hAnsi="Calibri Light" w:cs="Calibri Light"/>
          <w:color w:val="000000" w:themeColor="text1"/>
          <w:sz w:val="23"/>
          <w:szCs w:val="23"/>
        </w:rPr>
        <w:t xml:space="preserve">The founders work with local and small-scale food producers to provide fresh food from local sources. Workers and volunteers provide contactless healthy and affordable food box distribution to households with reduced income. A range of other locally sourced produce is also available through the Open Food Network, an open-source platform </w:t>
      </w:r>
      <w:r w:rsidR="008A01D3">
        <w:rPr>
          <w:rFonts w:ascii="Calibri Light" w:eastAsia="Calibri Light" w:hAnsi="Calibri Light" w:cs="Calibri Light"/>
          <w:color w:val="000000" w:themeColor="text1"/>
          <w:sz w:val="23"/>
          <w:szCs w:val="23"/>
        </w:rPr>
        <w:t>fostering</w:t>
      </w:r>
      <w:r w:rsidRPr="359636AC">
        <w:rPr>
          <w:rFonts w:ascii="Calibri Light" w:eastAsia="Calibri Light" w:hAnsi="Calibri Light" w:cs="Calibri Light"/>
          <w:color w:val="000000" w:themeColor="text1"/>
          <w:sz w:val="23"/>
          <w:szCs w:val="23"/>
        </w:rPr>
        <w:t xml:space="preserve"> ethical supply chains (Open Food Network, n.d.).</w:t>
      </w:r>
    </w:p>
    <w:p w14:paraId="3BC67F25" w14:textId="490888F4" w:rsidR="00BD4746" w:rsidRPr="00BD4746" w:rsidRDefault="00BD4746" w:rsidP="009B2FA7">
      <w:pPr>
        <w:spacing w:after="0" w:line="276" w:lineRule="auto"/>
        <w:rPr>
          <w:rFonts w:ascii="Calibri Light" w:eastAsia="Calibri Light" w:hAnsi="Calibri Light" w:cs="Calibri Light"/>
          <w:color w:val="000000" w:themeColor="text1"/>
          <w:sz w:val="16"/>
          <w:szCs w:val="16"/>
        </w:rPr>
      </w:pPr>
    </w:p>
    <w:p w14:paraId="677AE2A9" w14:textId="04A34467" w:rsidR="00BD4746" w:rsidRDefault="00BD4746" w:rsidP="009B2FA7">
      <w:pPr>
        <w:spacing w:after="0" w:line="276" w:lineRule="auto"/>
      </w:pPr>
      <w:r w:rsidRPr="27ED1008">
        <w:rPr>
          <w:rFonts w:ascii="Calibri Light" w:eastAsia="Calibri Light" w:hAnsi="Calibri Light" w:cs="Calibri Light"/>
          <w:color w:val="000000" w:themeColor="text1"/>
          <w:sz w:val="23"/>
          <w:szCs w:val="23"/>
        </w:rPr>
        <w:lastRenderedPageBreak/>
        <w:t>In May–December 2020</w:t>
      </w:r>
      <w:r w:rsidR="008A01D3">
        <w:rPr>
          <w:rFonts w:ascii="Calibri Light" w:eastAsia="Calibri Light" w:hAnsi="Calibri Light" w:cs="Calibri Light"/>
          <w:color w:val="000000" w:themeColor="text1"/>
          <w:sz w:val="23"/>
          <w:szCs w:val="23"/>
        </w:rPr>
        <w:t>,</w:t>
      </w:r>
      <w:r w:rsidRPr="27ED1008">
        <w:rPr>
          <w:rFonts w:ascii="Calibri Light" w:eastAsia="Calibri Light" w:hAnsi="Calibri Light" w:cs="Calibri Light"/>
          <w:color w:val="000000" w:themeColor="text1"/>
          <w:sz w:val="23"/>
          <w:szCs w:val="23"/>
        </w:rPr>
        <w:t xml:space="preserve"> Fawkner Commons distributed $110,000 of fresh produce and essentials through its food box distribution service, provided 2400 prepared meals and 1525 no-cost food hampers, and raised $10,000 through pay-it-forward initiatives (Fair Share Fare, 2020b). It also spawned the </w:t>
      </w:r>
      <w:r w:rsidRPr="27ED1008">
        <w:rPr>
          <w:rFonts w:ascii="Calibri Light" w:eastAsia="Calibri Light" w:hAnsi="Calibri Light" w:cs="Calibri Light"/>
          <w:color w:val="0563C1"/>
          <w:sz w:val="23"/>
          <w:szCs w:val="23"/>
          <w:u w:val="single"/>
        </w:rPr>
        <w:t>Morefood for Moreland</w:t>
      </w:r>
      <w:r w:rsidRPr="27ED1008">
        <w:rPr>
          <w:rFonts w:ascii="Calibri Light" w:eastAsia="Calibri Light" w:hAnsi="Calibri Light" w:cs="Calibri Light"/>
          <w:color w:val="000000" w:themeColor="text1"/>
          <w:sz w:val="23"/>
          <w:szCs w:val="23"/>
        </w:rPr>
        <w:t xml:space="preserve"> crowd-funding campaign (on the </w:t>
      </w:r>
      <w:proofErr w:type="spellStart"/>
      <w:r w:rsidRPr="27ED1008">
        <w:rPr>
          <w:rFonts w:ascii="Calibri Light" w:eastAsia="Calibri Light" w:hAnsi="Calibri Light" w:cs="Calibri Light"/>
          <w:color w:val="000000" w:themeColor="text1"/>
          <w:sz w:val="23"/>
          <w:szCs w:val="23"/>
        </w:rPr>
        <w:t>Raisely</w:t>
      </w:r>
      <w:proofErr w:type="spellEnd"/>
      <w:r w:rsidRPr="27ED1008">
        <w:rPr>
          <w:rFonts w:ascii="Calibri Light" w:eastAsia="Calibri Light" w:hAnsi="Calibri Light" w:cs="Calibri Light"/>
          <w:color w:val="000000" w:themeColor="text1"/>
          <w:sz w:val="23"/>
          <w:szCs w:val="23"/>
        </w:rPr>
        <w:t xml:space="preserve"> platform) to provide fresh fruit and vegetables to community members. Launched in September 2020, this campaign has raised over $7000 to date (Morefood for Moreland, n.d.).</w:t>
      </w:r>
    </w:p>
    <w:p w14:paraId="071BE310" w14:textId="77777777" w:rsidR="00F00E3D" w:rsidRPr="0099247F" w:rsidRDefault="00F00E3D" w:rsidP="009B2FA7">
      <w:pPr>
        <w:spacing w:after="0" w:line="276" w:lineRule="auto"/>
        <w:rPr>
          <w:sz w:val="16"/>
          <w:szCs w:val="16"/>
        </w:rPr>
      </w:pPr>
    </w:p>
    <w:p w14:paraId="53E297EE" w14:textId="4B5B66CB" w:rsidR="00F00E3D" w:rsidRPr="0099247F" w:rsidRDefault="00F00E3D" w:rsidP="009B2FA7">
      <w:pPr>
        <w:spacing w:after="0" w:line="276" w:lineRule="auto"/>
      </w:pPr>
      <w:r w:rsidRPr="359636AC">
        <w:rPr>
          <w:rFonts w:ascii="Calibri Light" w:eastAsia="Calibri Light" w:hAnsi="Calibri Light" w:cs="Calibri Light"/>
          <w:color w:val="000000" w:themeColor="text1"/>
          <w:sz w:val="23"/>
          <w:szCs w:val="23"/>
        </w:rPr>
        <w:t>Founded by artist, academic, and activist Dr Jen Rae and partner Sally Beattie, the Fawkner Commons initiative is part of Rae’s umbrella venture, Fair Share Fare</w:t>
      </w:r>
      <w:r w:rsidR="00BD4746">
        <w:rPr>
          <w:rFonts w:ascii="Calibri Light" w:eastAsia="Calibri Light" w:hAnsi="Calibri Light" w:cs="Calibri Light"/>
          <w:color w:val="000000" w:themeColor="text1"/>
          <w:sz w:val="23"/>
          <w:szCs w:val="23"/>
        </w:rPr>
        <w:t>.</w:t>
      </w:r>
      <w:r w:rsidRPr="359636AC">
        <w:rPr>
          <w:rFonts w:ascii="Calibri Light" w:eastAsia="Calibri Light" w:hAnsi="Calibri Light" w:cs="Calibri Light"/>
          <w:color w:val="000000" w:themeColor="text1"/>
          <w:sz w:val="23"/>
          <w:szCs w:val="23"/>
        </w:rPr>
        <w:t xml:space="preserve"> </w:t>
      </w:r>
      <w:r w:rsidR="00BD4746">
        <w:rPr>
          <w:rFonts w:ascii="Calibri Light" w:eastAsia="Calibri Light" w:hAnsi="Calibri Light" w:cs="Calibri Light"/>
          <w:color w:val="000000" w:themeColor="text1"/>
          <w:sz w:val="23"/>
          <w:szCs w:val="23"/>
        </w:rPr>
        <w:t>This</w:t>
      </w:r>
      <w:r w:rsidRPr="359636AC">
        <w:rPr>
          <w:rFonts w:ascii="Calibri Light" w:eastAsia="Calibri Light" w:hAnsi="Calibri Light" w:cs="Calibri Light"/>
          <w:color w:val="000000" w:themeColor="text1"/>
          <w:sz w:val="23"/>
          <w:szCs w:val="23"/>
        </w:rPr>
        <w:t xml:space="preserve"> multi-platform</w:t>
      </w:r>
      <w:r w:rsidR="00BD4746">
        <w:rPr>
          <w:rFonts w:ascii="Calibri Light" w:eastAsia="Calibri Light" w:hAnsi="Calibri Light" w:cs="Calibri Light"/>
          <w:color w:val="000000" w:themeColor="text1"/>
          <w:sz w:val="23"/>
          <w:szCs w:val="23"/>
        </w:rPr>
        <w:t>,</w:t>
      </w:r>
      <w:r w:rsidRPr="359636AC">
        <w:rPr>
          <w:rFonts w:ascii="Calibri Light" w:eastAsia="Calibri Light" w:hAnsi="Calibri Light" w:cs="Calibri Light"/>
          <w:color w:val="000000" w:themeColor="text1"/>
          <w:sz w:val="23"/>
          <w:szCs w:val="23"/>
        </w:rPr>
        <w:t xml:space="preserve"> participatory arts project explor</w:t>
      </w:r>
      <w:r w:rsidR="00BD4746">
        <w:rPr>
          <w:rFonts w:ascii="Calibri Light" w:eastAsia="Calibri Light" w:hAnsi="Calibri Light" w:cs="Calibri Light"/>
          <w:color w:val="000000" w:themeColor="text1"/>
          <w:sz w:val="23"/>
          <w:szCs w:val="23"/>
        </w:rPr>
        <w:t>es</w:t>
      </w:r>
      <w:r w:rsidRPr="359636AC">
        <w:rPr>
          <w:rFonts w:ascii="Calibri Light" w:eastAsia="Calibri Light" w:hAnsi="Calibri Light" w:cs="Calibri Light"/>
          <w:color w:val="000000" w:themeColor="text1"/>
          <w:sz w:val="23"/>
          <w:szCs w:val="23"/>
        </w:rPr>
        <w:t xml:space="preserve"> food security in the time of climate change (Fare Share Fair, 2020a).</w:t>
      </w:r>
      <w:r w:rsidR="00BD4746">
        <w:rPr>
          <w:rFonts w:ascii="Calibri Light" w:eastAsia="Calibri Light" w:hAnsi="Calibri Light" w:cs="Calibri Light"/>
          <w:color w:val="000000" w:themeColor="text1"/>
          <w:sz w:val="23"/>
          <w:szCs w:val="23"/>
        </w:rPr>
        <w:t xml:space="preserve"> Rae</w:t>
      </w:r>
      <w:r w:rsidR="00A8026A">
        <w:rPr>
          <w:rFonts w:ascii="Calibri Light" w:eastAsia="Calibri Light" w:hAnsi="Calibri Light" w:cs="Calibri Light"/>
          <w:color w:val="000000" w:themeColor="text1"/>
          <w:sz w:val="23"/>
          <w:szCs w:val="23"/>
        </w:rPr>
        <w:t>’s practice is based on</w:t>
      </w:r>
      <w:r w:rsidR="00BD4746">
        <w:rPr>
          <w:rFonts w:ascii="Calibri Light" w:eastAsia="Calibri Light" w:hAnsi="Calibri Light" w:cs="Calibri Light"/>
          <w:color w:val="000000" w:themeColor="text1"/>
          <w:sz w:val="23"/>
          <w:szCs w:val="23"/>
        </w:rPr>
        <w:t xml:space="preserve"> participatory and community-led approaches.</w:t>
      </w:r>
      <w:r w:rsidRPr="359636AC">
        <w:rPr>
          <w:rFonts w:ascii="Calibri Light" w:eastAsia="Calibri Light" w:hAnsi="Calibri Light" w:cs="Calibri Light"/>
          <w:color w:val="000000" w:themeColor="text1"/>
          <w:sz w:val="23"/>
          <w:szCs w:val="23"/>
        </w:rPr>
        <w:t xml:space="preserve"> </w:t>
      </w:r>
      <w:r w:rsidRPr="27ED1008">
        <w:rPr>
          <w:rFonts w:ascii="Calibri Light" w:eastAsia="Calibri Light" w:hAnsi="Calibri Light" w:cs="Calibri Light"/>
          <w:color w:val="000000" w:themeColor="text1"/>
          <w:sz w:val="23"/>
          <w:szCs w:val="23"/>
        </w:rPr>
        <w:t>Other Fair Share Fare sub-projects</w:t>
      </w:r>
      <w:r>
        <w:rPr>
          <w:rFonts w:ascii="Calibri Light" w:eastAsia="Calibri Light" w:hAnsi="Calibri Light" w:cs="Calibri Light"/>
          <w:color w:val="000000" w:themeColor="text1"/>
          <w:sz w:val="23"/>
          <w:szCs w:val="23"/>
        </w:rPr>
        <w:t xml:space="preserve"> </w:t>
      </w:r>
      <w:r w:rsidR="00A8026A">
        <w:rPr>
          <w:rFonts w:ascii="Calibri Light" w:eastAsia="Calibri Light" w:hAnsi="Calibri Light" w:cs="Calibri Light"/>
          <w:color w:val="000000" w:themeColor="text1"/>
          <w:sz w:val="23"/>
          <w:szCs w:val="23"/>
        </w:rPr>
        <w:t>she has developed</w:t>
      </w:r>
      <w:r>
        <w:rPr>
          <w:rFonts w:ascii="Calibri Light" w:eastAsia="Calibri Light" w:hAnsi="Calibri Light" w:cs="Calibri Light"/>
          <w:color w:val="000000" w:themeColor="text1"/>
          <w:sz w:val="23"/>
          <w:szCs w:val="23"/>
        </w:rPr>
        <w:t xml:space="preserve"> in collaboration with local communities</w:t>
      </w:r>
      <w:r w:rsidRPr="27ED1008">
        <w:rPr>
          <w:rFonts w:ascii="Calibri Light" w:eastAsia="Calibri Light" w:hAnsi="Calibri Light" w:cs="Calibri Light"/>
          <w:color w:val="000000" w:themeColor="text1"/>
          <w:sz w:val="23"/>
          <w:szCs w:val="23"/>
        </w:rPr>
        <w:t xml:space="preserve"> include:</w:t>
      </w:r>
    </w:p>
    <w:p w14:paraId="36EB6B5D" w14:textId="77777777" w:rsidR="00F00E3D" w:rsidRPr="00357C3C" w:rsidRDefault="00F00E3D" w:rsidP="009B2FA7">
      <w:pPr>
        <w:spacing w:after="0" w:line="276" w:lineRule="auto"/>
        <w:rPr>
          <w:sz w:val="16"/>
          <w:szCs w:val="16"/>
        </w:rPr>
      </w:pPr>
    </w:p>
    <w:p w14:paraId="0082A9D4" w14:textId="77777777" w:rsidR="00F00E3D" w:rsidRDefault="00F00E3D" w:rsidP="00364C5D">
      <w:pPr>
        <w:pStyle w:val="ListParagraph"/>
        <w:numPr>
          <w:ilvl w:val="0"/>
          <w:numId w:val="18"/>
        </w:numPr>
        <w:spacing w:after="0" w:line="276" w:lineRule="auto"/>
        <w:rPr>
          <w:rFonts w:eastAsiaTheme="minorEastAsia"/>
          <w:b/>
          <w:bCs/>
          <w:color w:val="000000" w:themeColor="text1"/>
          <w:sz w:val="23"/>
          <w:szCs w:val="23"/>
        </w:rPr>
      </w:pPr>
      <w:r w:rsidRPr="00ED1F9E">
        <w:rPr>
          <w:rFonts w:eastAsia="Calibri Light" w:cstheme="minorHAnsi"/>
          <w:b/>
          <w:bCs/>
          <w:color w:val="000000" w:themeColor="text1"/>
          <w:sz w:val="23"/>
          <w:szCs w:val="23"/>
        </w:rPr>
        <w:t>Refuge series:</w:t>
      </w:r>
      <w:r w:rsidRPr="27ED1008">
        <w:rPr>
          <w:rFonts w:ascii="Calibri Light" w:eastAsia="Calibri Light" w:hAnsi="Calibri Light" w:cs="Calibri Light"/>
          <w:b/>
          <w:bCs/>
          <w:color w:val="000000" w:themeColor="text1"/>
          <w:sz w:val="23"/>
          <w:szCs w:val="23"/>
        </w:rPr>
        <w:t xml:space="preserve"> </w:t>
      </w:r>
      <w:r w:rsidRPr="27ED1008">
        <w:rPr>
          <w:rFonts w:ascii="Calibri Light" w:eastAsia="Calibri Light" w:hAnsi="Calibri Light" w:cs="Calibri Light"/>
          <w:color w:val="000000" w:themeColor="text1"/>
          <w:sz w:val="23"/>
          <w:szCs w:val="23"/>
        </w:rPr>
        <w:t>multi-year transdisciplinary program (2016–2019) investigating art and culture’s role in building community resilience for climate-related disasters (Dow, 2016).</w:t>
      </w:r>
    </w:p>
    <w:p w14:paraId="2FB9D1BB" w14:textId="77777777" w:rsidR="00F00E3D" w:rsidRDefault="00F00E3D" w:rsidP="00364C5D">
      <w:pPr>
        <w:pStyle w:val="ListParagraph"/>
        <w:numPr>
          <w:ilvl w:val="0"/>
          <w:numId w:val="18"/>
        </w:numPr>
        <w:spacing w:after="0" w:line="276" w:lineRule="auto"/>
        <w:rPr>
          <w:rFonts w:eastAsiaTheme="minorEastAsia"/>
          <w:b/>
          <w:bCs/>
          <w:color w:val="000000" w:themeColor="text1"/>
          <w:sz w:val="23"/>
          <w:szCs w:val="23"/>
        </w:rPr>
      </w:pPr>
      <w:r w:rsidRPr="00ED1F9E">
        <w:rPr>
          <w:rFonts w:eastAsia="Calibri Light" w:cstheme="minorHAnsi"/>
          <w:b/>
          <w:bCs/>
          <w:color w:val="000000" w:themeColor="text1"/>
          <w:sz w:val="23"/>
          <w:szCs w:val="23"/>
        </w:rPr>
        <w:t>Recipe for Disaster:</w:t>
      </w:r>
      <w:r w:rsidRPr="27ED1008">
        <w:rPr>
          <w:rFonts w:ascii="Calibri Light" w:eastAsia="Calibri Light" w:hAnsi="Calibri Light" w:cs="Calibri Light"/>
          <w:color w:val="000000" w:themeColor="text1"/>
          <w:sz w:val="23"/>
          <w:szCs w:val="23"/>
        </w:rPr>
        <w:t xml:space="preserve"> interactive performative dinner experiment presented by Science Gallery Melbourne as part of the 2019 Disposable series.</w:t>
      </w:r>
    </w:p>
    <w:p w14:paraId="06AFB0C1" w14:textId="77777777" w:rsidR="00F00E3D" w:rsidRDefault="00F00E3D" w:rsidP="00364C5D">
      <w:pPr>
        <w:pStyle w:val="ListParagraph"/>
        <w:numPr>
          <w:ilvl w:val="0"/>
          <w:numId w:val="18"/>
        </w:numPr>
        <w:spacing w:after="0" w:line="276" w:lineRule="auto"/>
        <w:rPr>
          <w:rFonts w:eastAsiaTheme="minorEastAsia"/>
          <w:b/>
          <w:bCs/>
          <w:color w:val="000000" w:themeColor="text1"/>
          <w:sz w:val="23"/>
          <w:szCs w:val="23"/>
        </w:rPr>
      </w:pPr>
      <w:r w:rsidRPr="00ED1F9E">
        <w:rPr>
          <w:rFonts w:eastAsia="Calibri Light" w:cstheme="minorHAnsi"/>
          <w:b/>
          <w:bCs/>
          <w:color w:val="000000" w:themeColor="text1"/>
          <w:sz w:val="23"/>
          <w:szCs w:val="23"/>
        </w:rPr>
        <w:t>Future Proof Survival Guide:</w:t>
      </w:r>
      <w:r w:rsidRPr="27ED1008">
        <w:rPr>
          <w:rFonts w:ascii="Calibri Light" w:eastAsia="Calibri Light" w:hAnsi="Calibri Light" w:cs="Calibri Light"/>
          <w:b/>
          <w:bCs/>
          <w:color w:val="000000" w:themeColor="text1"/>
          <w:sz w:val="23"/>
          <w:szCs w:val="23"/>
        </w:rPr>
        <w:t xml:space="preserve"> </w:t>
      </w:r>
      <w:r w:rsidRPr="27ED1008">
        <w:rPr>
          <w:rFonts w:ascii="Calibri Light" w:eastAsia="Calibri Light" w:hAnsi="Calibri Light" w:cs="Calibri Light"/>
          <w:color w:val="000000" w:themeColor="text1"/>
          <w:sz w:val="23"/>
          <w:szCs w:val="23"/>
        </w:rPr>
        <w:t xml:space="preserve">uncovering and sharing collective community knowledge around food to support disaster preparedness. </w:t>
      </w:r>
    </w:p>
    <w:p w14:paraId="1D1C9579" w14:textId="77777777" w:rsidR="00F00E3D" w:rsidRDefault="00F00E3D" w:rsidP="00364C5D">
      <w:pPr>
        <w:pStyle w:val="ListParagraph"/>
        <w:numPr>
          <w:ilvl w:val="0"/>
          <w:numId w:val="18"/>
        </w:numPr>
        <w:spacing w:after="0" w:line="276" w:lineRule="auto"/>
        <w:rPr>
          <w:rFonts w:eastAsiaTheme="minorEastAsia"/>
          <w:b/>
          <w:bCs/>
          <w:color w:val="000000" w:themeColor="text1"/>
          <w:sz w:val="23"/>
          <w:szCs w:val="23"/>
        </w:rPr>
      </w:pPr>
      <w:r w:rsidRPr="00ED1F9E">
        <w:rPr>
          <w:rFonts w:eastAsia="Calibri Light" w:cstheme="minorHAnsi"/>
          <w:b/>
          <w:bCs/>
          <w:color w:val="000000" w:themeColor="text1"/>
          <w:sz w:val="23"/>
          <w:szCs w:val="23"/>
        </w:rPr>
        <w:t>DIY Knowledge Share:</w:t>
      </w:r>
      <w:r w:rsidRPr="2B116086">
        <w:rPr>
          <w:rFonts w:ascii="Calibri Light" w:eastAsia="Calibri Light" w:hAnsi="Calibri Light" w:cs="Calibri Light"/>
          <w:b/>
          <w:bCs/>
          <w:color w:val="000000" w:themeColor="text1"/>
          <w:sz w:val="23"/>
          <w:szCs w:val="23"/>
        </w:rPr>
        <w:t xml:space="preserve"> </w:t>
      </w:r>
      <w:r w:rsidRPr="2B116086">
        <w:rPr>
          <w:rFonts w:ascii="Calibri Light" w:eastAsia="Calibri Light" w:hAnsi="Calibri Light" w:cs="Calibri Light"/>
          <w:color w:val="000000" w:themeColor="text1"/>
          <w:sz w:val="23"/>
          <w:szCs w:val="23"/>
        </w:rPr>
        <w:t xml:space="preserve">workshops to share recipes, and the culture and stories behind them. </w:t>
      </w:r>
    </w:p>
    <w:p w14:paraId="68459980" w14:textId="77777777" w:rsidR="00F00E3D" w:rsidRPr="00BD4746" w:rsidRDefault="00F00E3D" w:rsidP="009B2FA7">
      <w:pPr>
        <w:spacing w:after="0" w:line="276" w:lineRule="auto"/>
        <w:rPr>
          <w:rFonts w:asciiTheme="majorHAnsi" w:hAnsiTheme="majorHAnsi" w:cstheme="majorBidi"/>
          <w:color w:val="595959" w:themeColor="text1" w:themeTint="A6"/>
          <w:sz w:val="16"/>
          <w:szCs w:val="16"/>
        </w:rPr>
      </w:pPr>
      <w:bookmarkStart w:id="62" w:name="_Hlk70863632"/>
    </w:p>
    <w:p w14:paraId="511EC460" w14:textId="1A94BA5A" w:rsidR="00F00E3D" w:rsidRDefault="00F00E3D" w:rsidP="009B2FA7">
      <w:pPr>
        <w:spacing w:after="0" w:line="276" w:lineRule="auto"/>
      </w:pPr>
      <w:r w:rsidRPr="27ED1008">
        <w:rPr>
          <w:rFonts w:ascii="Calibri" w:eastAsia="Calibri" w:hAnsi="Calibri" w:cs="Calibri"/>
          <w:b/>
          <w:bCs/>
          <w:sz w:val="25"/>
          <w:szCs w:val="25"/>
        </w:rPr>
        <w:t xml:space="preserve">Streets Ahead: </w:t>
      </w:r>
      <w:r>
        <w:rPr>
          <w:rFonts w:ascii="Calibri" w:eastAsia="Calibri" w:hAnsi="Calibri" w:cs="Calibri"/>
          <w:b/>
          <w:bCs/>
          <w:sz w:val="25"/>
          <w:szCs w:val="25"/>
        </w:rPr>
        <w:t>A</w:t>
      </w:r>
      <w:r w:rsidRPr="27ED1008">
        <w:rPr>
          <w:rFonts w:ascii="Calibri" w:eastAsia="Calibri" w:hAnsi="Calibri" w:cs="Calibri"/>
          <w:b/>
          <w:bCs/>
          <w:sz w:val="25"/>
          <w:szCs w:val="25"/>
        </w:rPr>
        <w:t xml:space="preserve">ctive </w:t>
      </w:r>
      <w:r w:rsidR="00EC2225">
        <w:rPr>
          <w:rFonts w:ascii="Calibri" w:eastAsia="Calibri" w:hAnsi="Calibri" w:cs="Calibri"/>
          <w:b/>
          <w:bCs/>
          <w:sz w:val="25"/>
          <w:szCs w:val="25"/>
        </w:rPr>
        <w:t>T</w:t>
      </w:r>
      <w:r w:rsidR="00725499" w:rsidRPr="27ED1008">
        <w:rPr>
          <w:rFonts w:ascii="Calibri" w:eastAsia="Calibri" w:hAnsi="Calibri" w:cs="Calibri"/>
          <w:b/>
          <w:bCs/>
          <w:sz w:val="25"/>
          <w:szCs w:val="25"/>
        </w:rPr>
        <w:t xml:space="preserve">ravel </w:t>
      </w:r>
      <w:r w:rsidR="00725499">
        <w:rPr>
          <w:rFonts w:ascii="Calibri" w:eastAsia="Calibri" w:hAnsi="Calibri" w:cs="Calibri"/>
          <w:b/>
          <w:bCs/>
          <w:sz w:val="25"/>
          <w:szCs w:val="25"/>
        </w:rPr>
        <w:t>a</w:t>
      </w:r>
      <w:r w:rsidR="00725499" w:rsidRPr="27ED1008">
        <w:rPr>
          <w:rFonts w:ascii="Calibri" w:eastAsia="Calibri" w:hAnsi="Calibri" w:cs="Calibri"/>
          <w:b/>
          <w:bCs/>
          <w:sz w:val="25"/>
          <w:szCs w:val="25"/>
        </w:rPr>
        <w:t xml:space="preserve">nd Mobility </w:t>
      </w:r>
      <w:r w:rsidR="00725499">
        <w:rPr>
          <w:rFonts w:ascii="Calibri" w:eastAsia="Calibri" w:hAnsi="Calibri" w:cs="Calibri"/>
          <w:b/>
          <w:bCs/>
          <w:sz w:val="25"/>
          <w:szCs w:val="25"/>
        </w:rPr>
        <w:t>f</w:t>
      </w:r>
      <w:r w:rsidR="00725499" w:rsidRPr="27ED1008">
        <w:rPr>
          <w:rFonts w:ascii="Calibri" w:eastAsia="Calibri" w:hAnsi="Calibri" w:cs="Calibri"/>
          <w:b/>
          <w:bCs/>
          <w:sz w:val="25"/>
          <w:szCs w:val="25"/>
        </w:rPr>
        <w:t xml:space="preserve">or </w:t>
      </w:r>
      <w:r w:rsidR="00725499">
        <w:rPr>
          <w:rFonts w:ascii="Calibri" w:eastAsia="Calibri" w:hAnsi="Calibri" w:cs="Calibri"/>
          <w:b/>
          <w:bCs/>
          <w:sz w:val="25"/>
          <w:szCs w:val="25"/>
        </w:rPr>
        <w:t>Primary School Kids</w:t>
      </w:r>
    </w:p>
    <w:p w14:paraId="246080E7" w14:textId="77777777" w:rsidR="00F00E3D" w:rsidRDefault="00F00E3D" w:rsidP="009B2FA7">
      <w:pPr>
        <w:spacing w:after="0" w:line="276" w:lineRule="auto"/>
        <w:rPr>
          <w:rFonts w:ascii="Calibri" w:eastAsia="Calibri" w:hAnsi="Calibri" w:cs="Calibri"/>
          <w:b/>
          <w:bCs/>
          <w:sz w:val="23"/>
          <w:szCs w:val="23"/>
        </w:rPr>
      </w:pPr>
      <w:r w:rsidRPr="27ED1008">
        <w:rPr>
          <w:rFonts w:ascii="Calibri" w:eastAsia="Calibri" w:hAnsi="Calibri" w:cs="Calibri"/>
          <w:b/>
          <w:bCs/>
          <w:sz w:val="23"/>
          <w:szCs w:val="23"/>
        </w:rPr>
        <w:t>Six local council areas, Victoria (2008–2011)</w:t>
      </w:r>
    </w:p>
    <w:bookmarkEnd w:id="62"/>
    <w:p w14:paraId="253DD238" w14:textId="77777777" w:rsidR="00F00E3D" w:rsidRPr="00357C3C" w:rsidRDefault="00F00E3D" w:rsidP="009B2FA7">
      <w:pPr>
        <w:spacing w:after="0" w:line="276" w:lineRule="auto"/>
        <w:rPr>
          <w:sz w:val="16"/>
          <w:szCs w:val="16"/>
        </w:rPr>
      </w:pPr>
    </w:p>
    <w:p w14:paraId="4FB67FF1" w14:textId="6FF5462E" w:rsidR="00F00E3D" w:rsidRPr="00CC521D" w:rsidRDefault="00F00E3D" w:rsidP="009B2FA7">
      <w:pPr>
        <w:spacing w:after="0" w:line="276" w:lineRule="auto"/>
        <w:rPr>
          <w:rFonts w:ascii="Calibri" w:eastAsia="Calibri" w:hAnsi="Calibri" w:cs="Calibri"/>
          <w:b/>
          <w:bCs/>
          <w:color w:val="595959" w:themeColor="text1" w:themeTint="A6"/>
          <w:sz w:val="23"/>
          <w:szCs w:val="23"/>
        </w:rPr>
      </w:pPr>
      <w:r w:rsidRPr="00CC521D">
        <w:rPr>
          <w:rFonts w:ascii="Calibri" w:eastAsia="Calibri" w:hAnsi="Calibri" w:cs="Calibri"/>
          <w:b/>
          <w:bCs/>
          <w:color w:val="595959" w:themeColor="text1" w:themeTint="A6"/>
          <w:sz w:val="23"/>
          <w:szCs w:val="23"/>
        </w:rPr>
        <w:t xml:space="preserve">Main </w:t>
      </w:r>
      <w:r w:rsidR="00D95573">
        <w:rPr>
          <w:rFonts w:ascii="Calibri" w:eastAsia="Calibri" w:hAnsi="Calibri" w:cs="Calibri"/>
          <w:b/>
          <w:bCs/>
          <w:color w:val="595959" w:themeColor="text1" w:themeTint="A6"/>
          <w:sz w:val="23"/>
          <w:szCs w:val="23"/>
        </w:rPr>
        <w:t>Practice Domain</w:t>
      </w:r>
      <w:r w:rsidRPr="00CC521D">
        <w:rPr>
          <w:rFonts w:ascii="Calibri" w:eastAsia="Calibri" w:hAnsi="Calibri" w:cs="Calibri"/>
          <w:b/>
          <w:bCs/>
          <w:color w:val="595959" w:themeColor="text1" w:themeTint="A6"/>
          <w:sz w:val="23"/>
          <w:szCs w:val="23"/>
        </w:rPr>
        <w:t>(s):</w:t>
      </w:r>
      <w:r w:rsidRPr="00CC521D">
        <w:rPr>
          <w:rFonts w:ascii="Calibri" w:eastAsia="Calibri" w:hAnsi="Calibri" w:cs="Calibri"/>
          <w:b/>
          <w:bCs/>
          <w:color w:val="595959" w:themeColor="text1" w:themeTint="A6"/>
          <w:sz w:val="23"/>
          <w:szCs w:val="23"/>
        </w:rPr>
        <w:tab/>
      </w:r>
      <w:r w:rsidRPr="00CC521D">
        <w:rPr>
          <w:rFonts w:ascii="Calibri" w:eastAsia="Calibri" w:hAnsi="Calibri" w:cs="Calibri"/>
          <w:b/>
          <w:bCs/>
          <w:color w:val="595959" w:themeColor="text1" w:themeTint="A6"/>
          <w:sz w:val="23"/>
          <w:szCs w:val="23"/>
        </w:rPr>
        <w:tab/>
        <w:t xml:space="preserve">Health and Wellbeing </w:t>
      </w:r>
    </w:p>
    <w:p w14:paraId="275712F9" w14:textId="1B2A90B1" w:rsidR="00F00E3D" w:rsidRPr="00CC521D" w:rsidRDefault="00F00E3D" w:rsidP="009B2FA7">
      <w:pPr>
        <w:spacing w:after="0" w:line="276" w:lineRule="auto"/>
        <w:rPr>
          <w:rFonts w:ascii="Calibri" w:eastAsia="Calibri" w:hAnsi="Calibri" w:cs="Calibri"/>
          <w:b/>
          <w:bCs/>
          <w:color w:val="595959" w:themeColor="text1" w:themeTint="A6"/>
          <w:sz w:val="23"/>
          <w:szCs w:val="23"/>
        </w:rPr>
      </w:pPr>
      <w:r w:rsidRPr="00CC521D">
        <w:rPr>
          <w:rFonts w:ascii="Calibri" w:eastAsia="Calibri" w:hAnsi="Calibri" w:cs="Calibri"/>
          <w:b/>
          <w:bCs/>
          <w:color w:val="595959" w:themeColor="text1" w:themeTint="A6"/>
          <w:sz w:val="23"/>
          <w:szCs w:val="23"/>
        </w:rPr>
        <w:t xml:space="preserve">Secondary </w:t>
      </w:r>
      <w:r w:rsidR="00D95573">
        <w:rPr>
          <w:rFonts w:ascii="Calibri" w:eastAsia="Calibri" w:hAnsi="Calibri" w:cs="Calibri"/>
          <w:b/>
          <w:bCs/>
          <w:color w:val="595959" w:themeColor="text1" w:themeTint="A6"/>
          <w:sz w:val="23"/>
          <w:szCs w:val="23"/>
        </w:rPr>
        <w:t>Practice Domain</w:t>
      </w:r>
      <w:r w:rsidRPr="00CC521D">
        <w:rPr>
          <w:rFonts w:ascii="Calibri" w:eastAsia="Calibri" w:hAnsi="Calibri" w:cs="Calibri"/>
          <w:b/>
          <w:bCs/>
          <w:color w:val="595959" w:themeColor="text1" w:themeTint="A6"/>
          <w:sz w:val="23"/>
          <w:szCs w:val="23"/>
        </w:rPr>
        <w:t>(s):</w:t>
      </w:r>
      <w:r w:rsidRPr="00CC521D">
        <w:rPr>
          <w:rFonts w:ascii="Calibri" w:eastAsia="Calibri" w:hAnsi="Calibri" w:cs="Calibri"/>
          <w:b/>
          <w:bCs/>
          <w:color w:val="595959" w:themeColor="text1" w:themeTint="A6"/>
          <w:sz w:val="23"/>
          <w:szCs w:val="23"/>
        </w:rPr>
        <w:tab/>
        <w:t>Education, Liveability</w:t>
      </w:r>
    </w:p>
    <w:p w14:paraId="527FACCD" w14:textId="77777777" w:rsidR="00F00E3D" w:rsidRPr="00357C3C" w:rsidRDefault="00F00E3D" w:rsidP="009B2FA7">
      <w:pPr>
        <w:spacing w:after="0" w:line="276" w:lineRule="auto"/>
        <w:rPr>
          <w:rFonts w:ascii="Calibri" w:eastAsia="Calibri" w:hAnsi="Calibri" w:cs="Calibri"/>
          <w:color w:val="767171" w:themeColor="background2" w:themeShade="80"/>
          <w:sz w:val="16"/>
          <w:szCs w:val="16"/>
        </w:rPr>
      </w:pPr>
    </w:p>
    <w:p w14:paraId="07152638" w14:textId="77777777" w:rsidR="00F00E3D" w:rsidRDefault="00F00E3D" w:rsidP="009B2FA7">
      <w:pPr>
        <w:spacing w:line="276" w:lineRule="auto"/>
      </w:pPr>
      <w:r w:rsidRPr="27ED1008">
        <w:rPr>
          <w:rFonts w:ascii="Calibri Light" w:eastAsia="Calibri Light" w:hAnsi="Calibri Light" w:cs="Calibri Light"/>
          <w:sz w:val="23"/>
          <w:szCs w:val="23"/>
        </w:rPr>
        <w:t>Streets Ahead was a three-year program funded by VicHealth from July 2008 to June 2011. It aimed to create supportive environments to increase children’s active travel and independent mobility in their local community, with a focus on travelling to and from school by walking or cycling.</w:t>
      </w:r>
      <w:r w:rsidRPr="00F06A76">
        <w:t xml:space="preserve"> </w:t>
      </w:r>
      <w:r>
        <w:rPr>
          <w:rFonts w:ascii="Calibri Light" w:eastAsia="Calibri Light" w:hAnsi="Calibri Light" w:cs="Calibri Light"/>
          <w:sz w:val="23"/>
          <w:szCs w:val="23"/>
        </w:rPr>
        <w:t>The target group was c</w:t>
      </w:r>
      <w:r w:rsidRPr="00F06A76">
        <w:rPr>
          <w:rFonts w:ascii="Calibri Light" w:eastAsia="Calibri Light" w:hAnsi="Calibri Light" w:cs="Calibri Light"/>
          <w:sz w:val="23"/>
          <w:szCs w:val="23"/>
        </w:rPr>
        <w:t>hildren aged four to 12</w:t>
      </w:r>
      <w:r>
        <w:rPr>
          <w:rFonts w:ascii="Calibri Light" w:eastAsia="Calibri Light" w:hAnsi="Calibri Light" w:cs="Calibri Light"/>
          <w:sz w:val="23"/>
          <w:szCs w:val="23"/>
        </w:rPr>
        <w:t xml:space="preserve"> years.</w:t>
      </w:r>
    </w:p>
    <w:p w14:paraId="5167DB7B" w14:textId="21B1337B" w:rsidR="00F00E3D" w:rsidRPr="0092394F" w:rsidRDefault="00F00E3D" w:rsidP="009B2FA7">
      <w:pPr>
        <w:spacing w:line="276" w:lineRule="auto"/>
        <w:rPr>
          <w:rFonts w:ascii="Calibri Light" w:eastAsia="Calibri Light" w:hAnsi="Calibri Light" w:cs="Calibri Light"/>
          <w:sz w:val="23"/>
          <w:szCs w:val="23"/>
        </w:rPr>
      </w:pPr>
      <w:r w:rsidRPr="27ED1008">
        <w:rPr>
          <w:rFonts w:ascii="Calibri Light" w:eastAsia="Calibri Light" w:hAnsi="Calibri Light" w:cs="Calibri Light"/>
          <w:sz w:val="23"/>
          <w:szCs w:val="23"/>
        </w:rPr>
        <w:t xml:space="preserve">Six local government areas (LGAs) across Victoria were selected </w:t>
      </w:r>
      <w:r>
        <w:rPr>
          <w:rFonts w:ascii="Calibri Light" w:eastAsia="Calibri Light" w:hAnsi="Calibri Light" w:cs="Calibri Light"/>
          <w:sz w:val="23"/>
          <w:szCs w:val="23"/>
        </w:rPr>
        <w:t>to take part</w:t>
      </w:r>
      <w:r w:rsidRPr="27ED1008">
        <w:rPr>
          <w:rFonts w:ascii="Calibri Light" w:eastAsia="Calibri Light" w:hAnsi="Calibri Light" w:cs="Calibri Light"/>
          <w:sz w:val="23"/>
          <w:szCs w:val="23"/>
        </w:rPr>
        <w:t xml:space="preserve">, based on their higher local levels of social disadvantage and health inequalities. The target LGAs were Bendigo, </w:t>
      </w:r>
      <w:proofErr w:type="spellStart"/>
      <w:r w:rsidRPr="27ED1008">
        <w:rPr>
          <w:rFonts w:ascii="Calibri Light" w:eastAsia="Calibri Light" w:hAnsi="Calibri Light" w:cs="Calibri Light"/>
          <w:sz w:val="23"/>
          <w:szCs w:val="23"/>
        </w:rPr>
        <w:t>Brimbank</w:t>
      </w:r>
      <w:proofErr w:type="spellEnd"/>
      <w:r w:rsidRPr="27ED1008">
        <w:rPr>
          <w:rFonts w:ascii="Calibri Light" w:eastAsia="Calibri Light" w:hAnsi="Calibri Light" w:cs="Calibri Light"/>
          <w:sz w:val="23"/>
          <w:szCs w:val="23"/>
        </w:rPr>
        <w:t>, Cardinia, Darebin, Wodonga</w:t>
      </w:r>
      <w:r>
        <w:rPr>
          <w:rFonts w:ascii="Calibri Light" w:eastAsia="Calibri Light" w:hAnsi="Calibri Light" w:cs="Calibri Light"/>
          <w:sz w:val="23"/>
          <w:szCs w:val="23"/>
        </w:rPr>
        <w:t xml:space="preserve">, and Geelong. </w:t>
      </w:r>
      <w:r w:rsidRPr="27ED1008">
        <w:rPr>
          <w:rFonts w:ascii="Calibri Light" w:eastAsia="Calibri Light" w:hAnsi="Calibri Light" w:cs="Calibri Light"/>
          <w:sz w:val="23"/>
          <w:szCs w:val="23"/>
        </w:rPr>
        <w:t xml:space="preserve">Three </w:t>
      </w:r>
      <w:r w:rsidR="00FA4B2C">
        <w:rPr>
          <w:rFonts w:ascii="Calibri Light" w:eastAsia="Calibri Light" w:hAnsi="Calibri Light" w:cs="Calibri Light"/>
          <w:sz w:val="23"/>
          <w:szCs w:val="23"/>
        </w:rPr>
        <w:t>or</w:t>
      </w:r>
      <w:r w:rsidRPr="27ED1008">
        <w:rPr>
          <w:rFonts w:ascii="Calibri Light" w:eastAsia="Calibri Light" w:hAnsi="Calibri Light" w:cs="Calibri Light"/>
          <w:sz w:val="23"/>
          <w:szCs w:val="23"/>
        </w:rPr>
        <w:t xml:space="preserve"> four primary schools in each area were then selected to take part. After place-based groundwork by local project officers, a diverse range of locally tailored projects and approaches were rolled out in each area. Events were also run to raise awareness of the initiative, including Ride2School Day, Walk Safely to School Day, </w:t>
      </w:r>
      <w:proofErr w:type="spellStart"/>
      <w:r w:rsidRPr="27ED1008">
        <w:rPr>
          <w:rFonts w:ascii="Calibri Light" w:eastAsia="Calibri Light" w:hAnsi="Calibri Light" w:cs="Calibri Light"/>
          <w:sz w:val="23"/>
          <w:szCs w:val="23"/>
        </w:rPr>
        <w:t>Walktober</w:t>
      </w:r>
      <w:proofErr w:type="spellEnd"/>
      <w:r w:rsidRPr="27ED1008">
        <w:rPr>
          <w:rFonts w:ascii="Calibri Light" w:eastAsia="Calibri Light" w:hAnsi="Calibri Light" w:cs="Calibri Light"/>
          <w:sz w:val="23"/>
          <w:szCs w:val="23"/>
        </w:rPr>
        <w:t xml:space="preserve">, and the Walk on Wednesday Awards. </w:t>
      </w:r>
    </w:p>
    <w:p w14:paraId="419C0D31" w14:textId="20D83289" w:rsidR="002F3954" w:rsidRDefault="00CB0CD4" w:rsidP="002F3954">
      <w:pPr>
        <w:spacing w:line="276" w:lineRule="auto"/>
      </w:pPr>
      <w:r>
        <w:rPr>
          <w:rFonts w:ascii="Calibri Light" w:eastAsia="Calibri Light" w:hAnsi="Calibri Light" w:cs="Calibri Light"/>
          <w:sz w:val="23"/>
          <w:szCs w:val="23"/>
        </w:rPr>
        <w:t>O</w:t>
      </w:r>
      <w:r w:rsidR="00F00E3D" w:rsidRPr="27ED1008">
        <w:rPr>
          <w:rFonts w:ascii="Calibri Light" w:eastAsia="Calibri Light" w:hAnsi="Calibri Light" w:cs="Calibri Light"/>
          <w:sz w:val="23"/>
          <w:szCs w:val="23"/>
        </w:rPr>
        <w:t xml:space="preserve">ne target municipality, </w:t>
      </w:r>
      <w:proofErr w:type="spellStart"/>
      <w:r w:rsidR="00F00E3D" w:rsidRPr="27ED1008">
        <w:rPr>
          <w:rFonts w:ascii="Calibri Light" w:eastAsia="Calibri Light" w:hAnsi="Calibri Light" w:cs="Calibri Light"/>
          <w:sz w:val="23"/>
          <w:szCs w:val="23"/>
        </w:rPr>
        <w:t>Brimbank</w:t>
      </w:r>
      <w:proofErr w:type="spellEnd"/>
      <w:r w:rsidR="00F00E3D" w:rsidRPr="27ED1008">
        <w:rPr>
          <w:rFonts w:ascii="Calibri Light" w:eastAsia="Calibri Light" w:hAnsi="Calibri Light" w:cs="Calibri Light"/>
          <w:sz w:val="23"/>
          <w:szCs w:val="23"/>
        </w:rPr>
        <w:t xml:space="preserve"> (pop 209,000), scored the second lowest in metropolitan Melbourne on the Index of Relative Social-Economic Disadvantage (IRSD)</w:t>
      </w:r>
      <w:r>
        <w:rPr>
          <w:rFonts w:ascii="Calibri Light" w:eastAsia="Calibri Light" w:hAnsi="Calibri Light" w:cs="Calibri Light"/>
          <w:sz w:val="23"/>
          <w:szCs w:val="23"/>
        </w:rPr>
        <w:t xml:space="preserve"> a</w:t>
      </w:r>
      <w:r w:rsidR="00E0239B">
        <w:rPr>
          <w:rFonts w:ascii="Calibri Light" w:eastAsia="Calibri Light" w:hAnsi="Calibri Light" w:cs="Calibri Light"/>
          <w:sz w:val="23"/>
          <w:szCs w:val="23"/>
        </w:rPr>
        <w:t>t the outset of the project</w:t>
      </w:r>
      <w:r w:rsidR="00F00E3D" w:rsidRPr="27ED1008">
        <w:rPr>
          <w:rFonts w:ascii="Calibri Light" w:eastAsia="Calibri Light" w:hAnsi="Calibri Light" w:cs="Calibri Light"/>
          <w:sz w:val="23"/>
          <w:szCs w:val="23"/>
        </w:rPr>
        <w:t xml:space="preserve">. </w:t>
      </w:r>
      <w:proofErr w:type="spellStart"/>
      <w:r w:rsidR="002F3954">
        <w:rPr>
          <w:rFonts w:ascii="Calibri Light" w:eastAsia="Calibri Light" w:hAnsi="Calibri Light" w:cs="Calibri Light"/>
          <w:sz w:val="23"/>
          <w:szCs w:val="23"/>
        </w:rPr>
        <w:t>Brimbank</w:t>
      </w:r>
      <w:proofErr w:type="spellEnd"/>
      <w:r w:rsidR="002F3954">
        <w:rPr>
          <w:rFonts w:ascii="Calibri Light" w:eastAsia="Calibri Light" w:hAnsi="Calibri Light" w:cs="Calibri Light"/>
          <w:sz w:val="23"/>
          <w:szCs w:val="23"/>
        </w:rPr>
        <w:t xml:space="preserve"> participants were introduced to the project</w:t>
      </w:r>
      <w:r w:rsidR="00E0239B">
        <w:rPr>
          <w:rFonts w:ascii="Calibri Light" w:eastAsia="Calibri Light" w:hAnsi="Calibri Light" w:cs="Calibri Light"/>
          <w:sz w:val="23"/>
          <w:szCs w:val="23"/>
        </w:rPr>
        <w:t xml:space="preserve"> </w:t>
      </w:r>
      <w:r w:rsidR="002F3954">
        <w:rPr>
          <w:rFonts w:ascii="Calibri Light" w:eastAsia="Calibri Light" w:hAnsi="Calibri Light" w:cs="Calibri Light"/>
          <w:sz w:val="23"/>
          <w:szCs w:val="23"/>
        </w:rPr>
        <w:t>through</w:t>
      </w:r>
      <w:r w:rsidR="00F00E3D" w:rsidRPr="27ED1008">
        <w:rPr>
          <w:rFonts w:ascii="Calibri Light" w:eastAsia="Calibri Light" w:hAnsi="Calibri Light" w:cs="Calibri Light"/>
          <w:sz w:val="23"/>
          <w:szCs w:val="23"/>
        </w:rPr>
        <w:t xml:space="preserve"> a community-building workshop </w:t>
      </w:r>
      <w:r w:rsidR="002D45DB">
        <w:rPr>
          <w:rFonts w:ascii="Calibri Light" w:eastAsia="Calibri Light" w:hAnsi="Calibri Light" w:cs="Calibri Light"/>
          <w:sz w:val="23"/>
          <w:szCs w:val="23"/>
        </w:rPr>
        <w:t>for</w:t>
      </w:r>
      <w:r w:rsidR="00F00E3D" w:rsidRPr="27ED1008">
        <w:rPr>
          <w:rFonts w:ascii="Calibri Light" w:eastAsia="Calibri Light" w:hAnsi="Calibri Light" w:cs="Calibri Light"/>
          <w:sz w:val="23"/>
          <w:szCs w:val="23"/>
        </w:rPr>
        <w:t xml:space="preserve"> local parents and children. </w:t>
      </w:r>
      <w:r w:rsidR="002F3954">
        <w:rPr>
          <w:rFonts w:ascii="Calibri Light" w:eastAsia="Calibri Light" w:hAnsi="Calibri Light" w:cs="Calibri Light"/>
          <w:sz w:val="23"/>
          <w:szCs w:val="23"/>
        </w:rPr>
        <w:t>As a result of that</w:t>
      </w:r>
      <w:r w:rsidR="00D7397D">
        <w:rPr>
          <w:rFonts w:ascii="Calibri Light" w:eastAsia="Calibri Light" w:hAnsi="Calibri Light" w:cs="Calibri Light"/>
          <w:sz w:val="23"/>
          <w:szCs w:val="23"/>
        </w:rPr>
        <w:t xml:space="preserve"> event, </w:t>
      </w:r>
      <w:r w:rsidR="00F00E3D" w:rsidRPr="27ED1008">
        <w:rPr>
          <w:rFonts w:ascii="Calibri Light" w:eastAsia="Calibri Light" w:hAnsi="Calibri Light" w:cs="Calibri Light"/>
          <w:sz w:val="23"/>
          <w:szCs w:val="23"/>
        </w:rPr>
        <w:t>interested participants form</w:t>
      </w:r>
      <w:r w:rsidR="00D7397D">
        <w:rPr>
          <w:rFonts w:ascii="Calibri Light" w:eastAsia="Calibri Light" w:hAnsi="Calibri Light" w:cs="Calibri Light"/>
          <w:sz w:val="23"/>
          <w:szCs w:val="23"/>
        </w:rPr>
        <w:t>ed</w:t>
      </w:r>
      <w:r w:rsidR="00F00E3D" w:rsidRPr="27ED1008">
        <w:rPr>
          <w:rFonts w:ascii="Calibri Light" w:eastAsia="Calibri Light" w:hAnsi="Calibri Light" w:cs="Calibri Light"/>
          <w:sz w:val="23"/>
          <w:szCs w:val="23"/>
        </w:rPr>
        <w:t xml:space="preserve"> an </w:t>
      </w:r>
      <w:r w:rsidR="00A72773">
        <w:rPr>
          <w:rFonts w:ascii="Calibri Light" w:eastAsia="Calibri Light" w:hAnsi="Calibri Light" w:cs="Calibri Light"/>
          <w:sz w:val="23"/>
          <w:szCs w:val="23"/>
        </w:rPr>
        <w:t>“a</w:t>
      </w:r>
      <w:r w:rsidR="00F00E3D" w:rsidRPr="27ED1008">
        <w:rPr>
          <w:rFonts w:ascii="Calibri Light" w:eastAsia="Calibri Light" w:hAnsi="Calibri Light" w:cs="Calibri Light"/>
          <w:sz w:val="23"/>
          <w:szCs w:val="23"/>
        </w:rPr>
        <w:t xml:space="preserve">ction </w:t>
      </w:r>
      <w:r w:rsidR="00A72773">
        <w:rPr>
          <w:rFonts w:ascii="Calibri Light" w:eastAsia="Calibri Light" w:hAnsi="Calibri Light" w:cs="Calibri Light"/>
          <w:sz w:val="23"/>
          <w:szCs w:val="23"/>
        </w:rPr>
        <w:t>c</w:t>
      </w:r>
      <w:r w:rsidR="00F00E3D" w:rsidRPr="27ED1008">
        <w:rPr>
          <w:rFonts w:ascii="Calibri Light" w:eastAsia="Calibri Light" w:hAnsi="Calibri Light" w:cs="Calibri Light"/>
          <w:sz w:val="23"/>
          <w:szCs w:val="23"/>
        </w:rPr>
        <w:t>ommittee</w:t>
      </w:r>
      <w:r w:rsidR="00A72773">
        <w:rPr>
          <w:rFonts w:ascii="Calibri Light" w:eastAsia="Calibri Light" w:hAnsi="Calibri Light" w:cs="Calibri Light"/>
          <w:sz w:val="23"/>
          <w:szCs w:val="23"/>
        </w:rPr>
        <w:t>”</w:t>
      </w:r>
      <w:r w:rsidR="00F00E3D" w:rsidRPr="27ED1008">
        <w:rPr>
          <w:rFonts w:ascii="Calibri Light" w:eastAsia="Calibri Light" w:hAnsi="Calibri Light" w:cs="Calibri Light"/>
          <w:sz w:val="23"/>
          <w:szCs w:val="23"/>
        </w:rPr>
        <w:t xml:space="preserve"> to implement the program (VicHealth, 2011).</w:t>
      </w:r>
    </w:p>
    <w:p w14:paraId="14CCF3D9" w14:textId="591901CB" w:rsidR="00F00E3D" w:rsidRPr="002F3954" w:rsidRDefault="00264A4F" w:rsidP="008A01D3">
      <w:pPr>
        <w:spacing w:after="0" w:line="276" w:lineRule="auto"/>
      </w:pPr>
      <w:r>
        <w:rPr>
          <w:rFonts w:ascii="Calibri Light" w:eastAsia="Calibri Light" w:hAnsi="Calibri Light" w:cs="Calibri Light"/>
          <w:sz w:val="23"/>
          <w:szCs w:val="23"/>
        </w:rPr>
        <w:t xml:space="preserve">Giving participants a driving role in the project was evidently </w:t>
      </w:r>
      <w:r w:rsidR="00A72773">
        <w:rPr>
          <w:rFonts w:ascii="Calibri Light" w:eastAsia="Calibri Light" w:hAnsi="Calibri Light" w:cs="Calibri Light"/>
          <w:sz w:val="23"/>
          <w:szCs w:val="23"/>
        </w:rPr>
        <w:t xml:space="preserve">a successful </w:t>
      </w:r>
      <w:proofErr w:type="gramStart"/>
      <w:r w:rsidR="00A72773">
        <w:rPr>
          <w:rFonts w:ascii="Calibri Light" w:eastAsia="Calibri Light" w:hAnsi="Calibri Light" w:cs="Calibri Light"/>
          <w:sz w:val="23"/>
          <w:szCs w:val="23"/>
        </w:rPr>
        <w:t>strategy</w:t>
      </w:r>
      <w:r w:rsidR="00706D72">
        <w:rPr>
          <w:rFonts w:ascii="Calibri Light" w:eastAsia="Calibri Light" w:hAnsi="Calibri Light" w:cs="Calibri Light"/>
          <w:sz w:val="23"/>
          <w:szCs w:val="23"/>
        </w:rPr>
        <w:t xml:space="preserve">, </w:t>
      </w:r>
      <w:r w:rsidR="00EA4227">
        <w:rPr>
          <w:rFonts w:ascii="Calibri Light" w:eastAsia="Calibri Light" w:hAnsi="Calibri Light" w:cs="Calibri Light"/>
          <w:sz w:val="23"/>
          <w:szCs w:val="23"/>
        </w:rPr>
        <w:t>and</w:t>
      </w:r>
      <w:proofErr w:type="gramEnd"/>
      <w:r w:rsidR="00EA4227">
        <w:rPr>
          <w:rFonts w:ascii="Calibri Light" w:eastAsia="Calibri Light" w:hAnsi="Calibri Light" w:cs="Calibri Light"/>
          <w:sz w:val="23"/>
          <w:szCs w:val="23"/>
        </w:rPr>
        <w:t xml:space="preserve"> yielded longer-term</w:t>
      </w:r>
      <w:r w:rsidR="00706D72">
        <w:rPr>
          <w:rFonts w:ascii="Calibri Light" w:eastAsia="Calibri Light" w:hAnsi="Calibri Light" w:cs="Calibri Light"/>
          <w:sz w:val="23"/>
          <w:szCs w:val="23"/>
        </w:rPr>
        <w:t xml:space="preserve"> benefits </w:t>
      </w:r>
      <w:r w:rsidR="00EA4227">
        <w:rPr>
          <w:rFonts w:ascii="Calibri Light" w:eastAsia="Calibri Light" w:hAnsi="Calibri Light" w:cs="Calibri Light"/>
          <w:sz w:val="23"/>
          <w:szCs w:val="23"/>
        </w:rPr>
        <w:t>that surpassed</w:t>
      </w:r>
      <w:r w:rsidR="00706D72">
        <w:rPr>
          <w:rFonts w:ascii="Calibri Light" w:eastAsia="Calibri Light" w:hAnsi="Calibri Light" w:cs="Calibri Light"/>
          <w:sz w:val="23"/>
          <w:szCs w:val="23"/>
        </w:rPr>
        <w:t xml:space="preserve"> the lifespan of the project</w:t>
      </w:r>
      <w:r>
        <w:rPr>
          <w:rFonts w:ascii="Calibri Light" w:eastAsia="Calibri Light" w:hAnsi="Calibri Light" w:cs="Calibri Light"/>
          <w:sz w:val="23"/>
          <w:szCs w:val="23"/>
        </w:rPr>
        <w:t xml:space="preserve">. </w:t>
      </w:r>
      <w:r w:rsidR="00F00E3D" w:rsidRPr="47C6F23B">
        <w:rPr>
          <w:rFonts w:ascii="Calibri Light" w:eastAsia="Calibri Light" w:hAnsi="Calibri Light" w:cs="Calibri Light"/>
          <w:sz w:val="23"/>
          <w:szCs w:val="23"/>
        </w:rPr>
        <w:t>Th</w:t>
      </w:r>
      <w:r w:rsidR="00A72773">
        <w:rPr>
          <w:rFonts w:ascii="Calibri Light" w:eastAsia="Calibri Light" w:hAnsi="Calibri Light" w:cs="Calibri Light"/>
          <w:sz w:val="23"/>
          <w:szCs w:val="23"/>
        </w:rPr>
        <w:t>e initial action</w:t>
      </w:r>
      <w:r w:rsidR="00F00E3D" w:rsidRPr="47C6F23B">
        <w:rPr>
          <w:rFonts w:ascii="Calibri Light" w:eastAsia="Calibri Light" w:hAnsi="Calibri Light" w:cs="Calibri Light"/>
          <w:sz w:val="23"/>
          <w:szCs w:val="23"/>
        </w:rPr>
        <w:t xml:space="preserve"> committee grew into an </w:t>
      </w:r>
      <w:r w:rsidR="00F00E3D" w:rsidRPr="47C6F23B">
        <w:rPr>
          <w:rFonts w:ascii="Calibri Light" w:eastAsia="Calibri Light" w:hAnsi="Calibri Light" w:cs="Calibri Light"/>
          <w:sz w:val="23"/>
          <w:szCs w:val="23"/>
        </w:rPr>
        <w:lastRenderedPageBreak/>
        <w:t xml:space="preserve">independent community organisation known as the Albion and Ardeer Community Club (AACC). Together, Streets Ahead and the AACC developed a community garden, and planned and delivered an Albion and Ardeer Neighbourhood Festival in 2019, which attracted 500 community members. </w:t>
      </w:r>
      <w:r w:rsidR="00EA4227">
        <w:rPr>
          <w:rFonts w:ascii="Calibri Light" w:eastAsia="Calibri Light" w:hAnsi="Calibri Light" w:cs="Calibri Light"/>
          <w:sz w:val="23"/>
          <w:szCs w:val="23"/>
        </w:rPr>
        <w:t xml:space="preserve">A decade after </w:t>
      </w:r>
      <w:r w:rsidR="0049597B">
        <w:rPr>
          <w:rFonts w:ascii="Calibri Light" w:eastAsia="Calibri Light" w:hAnsi="Calibri Light" w:cs="Calibri Light"/>
          <w:sz w:val="23"/>
          <w:szCs w:val="23"/>
        </w:rPr>
        <w:t>the Streets Ahead program concluded</w:t>
      </w:r>
      <w:r w:rsidR="00EA4227">
        <w:rPr>
          <w:rFonts w:ascii="Calibri Light" w:eastAsia="Calibri Light" w:hAnsi="Calibri Light" w:cs="Calibri Light"/>
          <w:sz w:val="23"/>
          <w:szCs w:val="23"/>
        </w:rPr>
        <w:t xml:space="preserve">, the </w:t>
      </w:r>
      <w:r w:rsidR="00F00E3D" w:rsidRPr="47C6F23B">
        <w:rPr>
          <w:rFonts w:ascii="Calibri Light" w:eastAsia="Calibri Light" w:hAnsi="Calibri Light" w:cs="Calibri Light"/>
          <w:sz w:val="23"/>
          <w:szCs w:val="23"/>
        </w:rPr>
        <w:t xml:space="preserve">AACC remains active in the area, indicating that the </w:t>
      </w:r>
      <w:r w:rsidR="0049597B">
        <w:rPr>
          <w:rFonts w:ascii="Calibri Light" w:eastAsia="Calibri Light" w:hAnsi="Calibri Light" w:cs="Calibri Light"/>
          <w:sz w:val="23"/>
          <w:szCs w:val="23"/>
        </w:rPr>
        <w:t>initiative</w:t>
      </w:r>
      <w:r w:rsidR="00F00E3D" w:rsidRPr="47C6F23B">
        <w:rPr>
          <w:rFonts w:ascii="Calibri Light" w:eastAsia="Calibri Light" w:hAnsi="Calibri Light" w:cs="Calibri Light"/>
          <w:sz w:val="23"/>
          <w:szCs w:val="23"/>
        </w:rPr>
        <w:t xml:space="preserve"> was successful in building local community capacity and connection.</w:t>
      </w:r>
    </w:p>
    <w:p w14:paraId="15B38CB9" w14:textId="77777777" w:rsidR="00F00E3D" w:rsidRPr="00B02D3B" w:rsidRDefault="00F00E3D" w:rsidP="009B2FA7">
      <w:pPr>
        <w:spacing w:after="0" w:line="276" w:lineRule="auto"/>
        <w:rPr>
          <w:rFonts w:ascii="Calibri Light" w:eastAsia="Calibri Light" w:hAnsi="Calibri Light" w:cs="Calibri Light"/>
          <w:sz w:val="16"/>
          <w:szCs w:val="16"/>
        </w:rPr>
      </w:pPr>
    </w:p>
    <w:p w14:paraId="242A5439" w14:textId="2EF93878" w:rsidR="00F00E3D" w:rsidRPr="003B5D70" w:rsidRDefault="00F00E3D" w:rsidP="009B2FA7">
      <w:pPr>
        <w:spacing w:after="0" w:line="276" w:lineRule="auto"/>
        <w:rPr>
          <w:rFonts w:ascii="Calibri Light" w:eastAsia="Calibri Light" w:hAnsi="Calibri Light" w:cs="Calibri Light"/>
          <w:sz w:val="23"/>
          <w:szCs w:val="23"/>
        </w:rPr>
      </w:pPr>
      <w:r>
        <w:rPr>
          <w:rFonts w:ascii="Calibri Light" w:eastAsia="Calibri Light" w:hAnsi="Calibri Light" w:cs="Calibri Light"/>
          <w:sz w:val="23"/>
          <w:szCs w:val="23"/>
        </w:rPr>
        <w:t xml:space="preserve">The Geelong-based project ran in </w:t>
      </w:r>
      <w:r w:rsidRPr="0092394F">
        <w:rPr>
          <w:rFonts w:ascii="Calibri Light" w:eastAsia="Calibri Light" w:hAnsi="Calibri Light" w:cs="Calibri Light"/>
          <w:sz w:val="23"/>
          <w:szCs w:val="23"/>
        </w:rPr>
        <w:t>East Geelong, Breakwater, and Thompson.</w:t>
      </w:r>
      <w:r>
        <w:rPr>
          <w:rFonts w:ascii="Calibri Light" w:eastAsia="Calibri Light" w:hAnsi="Calibri Light" w:cs="Calibri Light"/>
          <w:sz w:val="23"/>
          <w:szCs w:val="23"/>
        </w:rPr>
        <w:t xml:space="preserve"> The local iteration included neighbourhood events to increase</w:t>
      </w:r>
      <w:r w:rsidR="001D09BC">
        <w:rPr>
          <w:rFonts w:ascii="Calibri Light" w:eastAsia="Calibri Light" w:hAnsi="Calibri Light" w:cs="Calibri Light"/>
          <w:sz w:val="23"/>
          <w:szCs w:val="23"/>
        </w:rPr>
        <w:t xml:space="preserve"> social</w:t>
      </w:r>
      <w:r>
        <w:rPr>
          <w:rFonts w:ascii="Calibri Light" w:eastAsia="Calibri Light" w:hAnsi="Calibri Light" w:cs="Calibri Light"/>
          <w:sz w:val="23"/>
          <w:szCs w:val="23"/>
        </w:rPr>
        <w:t xml:space="preserve"> connection and sense of safety, including a play-based treasure hunt for parents and kids; professional development for teachers on children’s outdoor education; presentations for Council staff on child-friendly cities, and </w:t>
      </w:r>
      <w:r w:rsidRPr="003B5D70">
        <w:rPr>
          <w:rFonts w:ascii="Calibri Light" w:eastAsia="Calibri Light" w:hAnsi="Calibri Light" w:cs="Calibri Light"/>
          <w:sz w:val="23"/>
          <w:szCs w:val="23"/>
        </w:rPr>
        <w:t xml:space="preserve">seminars </w:t>
      </w:r>
      <w:r>
        <w:rPr>
          <w:rFonts w:ascii="Calibri Light" w:eastAsia="Calibri Light" w:hAnsi="Calibri Light" w:cs="Calibri Light"/>
          <w:sz w:val="23"/>
          <w:szCs w:val="23"/>
        </w:rPr>
        <w:t xml:space="preserve">for parents </w:t>
      </w:r>
      <w:r w:rsidR="009F1EA5">
        <w:rPr>
          <w:rFonts w:ascii="Calibri Light" w:eastAsia="Calibri Light" w:hAnsi="Calibri Light" w:cs="Calibri Light"/>
          <w:sz w:val="23"/>
          <w:szCs w:val="23"/>
        </w:rPr>
        <w:t>to</w:t>
      </w:r>
      <w:r>
        <w:rPr>
          <w:rFonts w:ascii="Calibri Light" w:eastAsia="Calibri Light" w:hAnsi="Calibri Light" w:cs="Calibri Light"/>
          <w:sz w:val="23"/>
          <w:szCs w:val="23"/>
        </w:rPr>
        <w:t xml:space="preserve"> </w:t>
      </w:r>
      <w:r w:rsidRPr="003B5D70">
        <w:rPr>
          <w:rFonts w:ascii="Calibri Light" w:eastAsia="Calibri Light" w:hAnsi="Calibri Light" w:cs="Calibri Light"/>
          <w:sz w:val="23"/>
          <w:szCs w:val="23"/>
        </w:rPr>
        <w:t>challeng</w:t>
      </w:r>
      <w:r>
        <w:rPr>
          <w:rFonts w:ascii="Calibri Light" w:eastAsia="Calibri Light" w:hAnsi="Calibri Light" w:cs="Calibri Light"/>
          <w:sz w:val="23"/>
          <w:szCs w:val="23"/>
        </w:rPr>
        <w:t>e perceptions of “stranger danger” and</w:t>
      </w:r>
      <w:r w:rsidRPr="003B5D70">
        <w:rPr>
          <w:rFonts w:ascii="Calibri Light" w:eastAsia="Calibri Light" w:hAnsi="Calibri Light" w:cs="Calibri Light"/>
          <w:sz w:val="23"/>
          <w:szCs w:val="23"/>
        </w:rPr>
        <w:t xml:space="preserve"> the practice of </w:t>
      </w:r>
      <w:r>
        <w:rPr>
          <w:rFonts w:ascii="Calibri Light" w:eastAsia="Calibri Light" w:hAnsi="Calibri Light" w:cs="Calibri Light"/>
          <w:sz w:val="23"/>
          <w:szCs w:val="23"/>
        </w:rPr>
        <w:t>“</w:t>
      </w:r>
      <w:r w:rsidRPr="003B5D70">
        <w:rPr>
          <w:rFonts w:ascii="Calibri Light" w:eastAsia="Calibri Light" w:hAnsi="Calibri Light" w:cs="Calibri Light"/>
          <w:sz w:val="23"/>
          <w:szCs w:val="23"/>
        </w:rPr>
        <w:t>bubble-wrapping</w:t>
      </w:r>
      <w:r>
        <w:rPr>
          <w:rFonts w:ascii="Calibri Light" w:eastAsia="Calibri Light" w:hAnsi="Calibri Light" w:cs="Calibri Light"/>
          <w:sz w:val="23"/>
          <w:szCs w:val="23"/>
        </w:rPr>
        <w:t>” children (VicHealth 2014).</w:t>
      </w:r>
    </w:p>
    <w:p w14:paraId="06EDDF55" w14:textId="77777777" w:rsidR="00F00E3D" w:rsidRPr="00715D45" w:rsidRDefault="00F00E3D" w:rsidP="009B2FA7">
      <w:pPr>
        <w:spacing w:after="0" w:line="276" w:lineRule="auto"/>
        <w:rPr>
          <w:rFonts w:ascii="Calibri Light" w:eastAsia="Calibri Light" w:hAnsi="Calibri Light" w:cs="Calibri Light"/>
          <w:sz w:val="16"/>
          <w:szCs w:val="16"/>
        </w:rPr>
      </w:pPr>
    </w:p>
    <w:p w14:paraId="6E9D8470" w14:textId="126C1C3F" w:rsidR="00F00E3D" w:rsidRPr="00946255" w:rsidRDefault="00F00E3D" w:rsidP="009B2FA7">
      <w:pPr>
        <w:spacing w:after="0" w:line="276" w:lineRule="auto"/>
        <w:rPr>
          <w:rFonts w:ascii="Calibri Light" w:eastAsia="Calibri Light" w:hAnsi="Calibri Light" w:cs="Calibri Light"/>
          <w:sz w:val="23"/>
          <w:szCs w:val="23"/>
        </w:rPr>
      </w:pPr>
      <w:r>
        <w:rPr>
          <w:rFonts w:ascii="Calibri Light" w:eastAsia="Calibri Light" w:hAnsi="Calibri Light" w:cs="Calibri Light"/>
          <w:sz w:val="23"/>
          <w:szCs w:val="23"/>
        </w:rPr>
        <w:t xml:space="preserve">An </w:t>
      </w:r>
      <w:hyperlink r:id="rId84" w:history="1">
        <w:r w:rsidRPr="00715D45">
          <w:rPr>
            <w:rStyle w:val="Hyperlink"/>
            <w:rFonts w:ascii="Calibri Light" w:eastAsia="Calibri Light" w:hAnsi="Calibri Light" w:cs="Calibri Light"/>
            <w:sz w:val="23"/>
            <w:szCs w:val="23"/>
          </w:rPr>
          <w:t>evaluation</w:t>
        </w:r>
      </w:hyperlink>
      <w:r w:rsidRPr="00715D45">
        <w:rPr>
          <w:rFonts w:ascii="Calibri Light" w:eastAsia="Calibri Light" w:hAnsi="Calibri Light" w:cs="Calibri Light"/>
          <w:sz w:val="23"/>
          <w:szCs w:val="23"/>
        </w:rPr>
        <w:t xml:space="preserve"> </w:t>
      </w:r>
      <w:r>
        <w:rPr>
          <w:rFonts w:ascii="Calibri Light" w:eastAsia="Calibri Light" w:hAnsi="Calibri Light" w:cs="Calibri Light"/>
          <w:sz w:val="23"/>
          <w:szCs w:val="23"/>
        </w:rPr>
        <w:t>of the overall program found that</w:t>
      </w:r>
      <w:r w:rsidRPr="00946255">
        <w:t xml:space="preserve"> </w:t>
      </w:r>
      <w:r w:rsidRPr="00946255">
        <w:rPr>
          <w:rFonts w:ascii="Calibri Light" w:eastAsia="Calibri Light" w:hAnsi="Calibri Light" w:cs="Calibri Light"/>
          <w:sz w:val="23"/>
          <w:szCs w:val="23"/>
        </w:rPr>
        <w:t xml:space="preserve">encouraging or supporting children to walk to </w:t>
      </w:r>
      <w:r>
        <w:rPr>
          <w:rFonts w:ascii="Calibri Light" w:eastAsia="Calibri Light" w:hAnsi="Calibri Light" w:cs="Calibri Light"/>
          <w:sz w:val="23"/>
          <w:szCs w:val="23"/>
        </w:rPr>
        <w:t xml:space="preserve">and </w:t>
      </w:r>
      <w:r w:rsidRPr="00946255">
        <w:rPr>
          <w:rFonts w:ascii="Calibri Light" w:eastAsia="Calibri Light" w:hAnsi="Calibri Light" w:cs="Calibri Light"/>
          <w:sz w:val="23"/>
          <w:szCs w:val="23"/>
        </w:rPr>
        <w:t xml:space="preserve">from school </w:t>
      </w:r>
      <w:r>
        <w:rPr>
          <w:rFonts w:ascii="Calibri Light" w:eastAsia="Calibri Light" w:hAnsi="Calibri Light" w:cs="Calibri Light"/>
          <w:sz w:val="23"/>
          <w:szCs w:val="23"/>
        </w:rPr>
        <w:t>appeared to help them build</w:t>
      </w:r>
      <w:r w:rsidRPr="00946255">
        <w:rPr>
          <w:rFonts w:ascii="Calibri Light" w:eastAsia="Calibri Light" w:hAnsi="Calibri Light" w:cs="Calibri Light"/>
          <w:sz w:val="23"/>
          <w:szCs w:val="23"/>
        </w:rPr>
        <w:t xml:space="preserve"> a more connected and detailed</w:t>
      </w:r>
      <w:r>
        <w:rPr>
          <w:rFonts w:ascii="Calibri Light" w:eastAsia="Calibri Light" w:hAnsi="Calibri Light" w:cs="Calibri Light"/>
          <w:sz w:val="23"/>
          <w:szCs w:val="23"/>
        </w:rPr>
        <w:t xml:space="preserve"> </w:t>
      </w:r>
      <w:r w:rsidRPr="00946255">
        <w:rPr>
          <w:rFonts w:ascii="Calibri Light" w:eastAsia="Calibri Light" w:hAnsi="Calibri Light" w:cs="Calibri Light"/>
          <w:sz w:val="23"/>
          <w:szCs w:val="23"/>
        </w:rPr>
        <w:t>understanding of their neighbourhood</w:t>
      </w:r>
      <w:r>
        <w:rPr>
          <w:rFonts w:ascii="Calibri Light" w:eastAsia="Calibri Light" w:hAnsi="Calibri Light" w:cs="Calibri Light"/>
          <w:sz w:val="23"/>
          <w:szCs w:val="23"/>
        </w:rPr>
        <w:t>. For the Geelong-based</w:t>
      </w:r>
      <w:r w:rsidRPr="00682644">
        <w:rPr>
          <w:rFonts w:ascii="Calibri Light" w:eastAsia="Calibri Light" w:hAnsi="Calibri Light" w:cs="Calibri Light"/>
          <w:sz w:val="23"/>
          <w:szCs w:val="23"/>
        </w:rPr>
        <w:t xml:space="preserve"> project</w:t>
      </w:r>
      <w:r>
        <w:rPr>
          <w:rFonts w:ascii="Calibri Light" w:eastAsia="Calibri Light" w:hAnsi="Calibri Light" w:cs="Calibri Light"/>
          <w:sz w:val="23"/>
          <w:szCs w:val="23"/>
        </w:rPr>
        <w:t xml:space="preserve">, </w:t>
      </w:r>
      <w:r w:rsidRPr="00682644">
        <w:rPr>
          <w:rFonts w:ascii="Calibri Light" w:eastAsia="Calibri Light" w:hAnsi="Calibri Light" w:cs="Calibri Light"/>
          <w:sz w:val="23"/>
          <w:szCs w:val="23"/>
        </w:rPr>
        <w:t>school-related active travel</w:t>
      </w:r>
      <w:r>
        <w:rPr>
          <w:rFonts w:ascii="Calibri Light" w:eastAsia="Calibri Light" w:hAnsi="Calibri Light" w:cs="Calibri Light"/>
          <w:sz w:val="23"/>
          <w:szCs w:val="23"/>
        </w:rPr>
        <w:t xml:space="preserve"> rose</w:t>
      </w:r>
      <w:r w:rsidRPr="00682644">
        <w:rPr>
          <w:rFonts w:ascii="Calibri Light" w:eastAsia="Calibri Light" w:hAnsi="Calibri Light" w:cs="Calibri Light"/>
          <w:sz w:val="23"/>
          <w:szCs w:val="23"/>
        </w:rPr>
        <w:t xml:space="preserve"> from around 25 </w:t>
      </w:r>
      <w:r w:rsidR="00065A1B">
        <w:rPr>
          <w:rFonts w:ascii="Calibri Light" w:eastAsia="Calibri Light" w:hAnsi="Calibri Light" w:cs="Calibri Light"/>
          <w:sz w:val="23"/>
          <w:szCs w:val="23"/>
        </w:rPr>
        <w:t>percent</w:t>
      </w:r>
      <w:r>
        <w:rPr>
          <w:rFonts w:ascii="Calibri Light" w:eastAsia="Calibri Light" w:hAnsi="Calibri Light" w:cs="Calibri Light"/>
          <w:sz w:val="23"/>
          <w:szCs w:val="23"/>
        </w:rPr>
        <w:t xml:space="preserve"> </w:t>
      </w:r>
      <w:r w:rsidRPr="00682644">
        <w:rPr>
          <w:rFonts w:ascii="Calibri Light" w:eastAsia="Calibri Light" w:hAnsi="Calibri Light" w:cs="Calibri Light"/>
          <w:sz w:val="23"/>
          <w:szCs w:val="23"/>
        </w:rPr>
        <w:t>at the start</w:t>
      </w:r>
      <w:r>
        <w:rPr>
          <w:rFonts w:ascii="Calibri Light" w:eastAsia="Calibri Light" w:hAnsi="Calibri Light" w:cs="Calibri Light"/>
          <w:sz w:val="23"/>
          <w:szCs w:val="23"/>
        </w:rPr>
        <w:t xml:space="preserve"> of the project, to</w:t>
      </w:r>
      <w:r w:rsidRPr="00682644">
        <w:rPr>
          <w:rFonts w:ascii="Calibri Light" w:eastAsia="Calibri Light" w:hAnsi="Calibri Light" w:cs="Calibri Light"/>
          <w:sz w:val="23"/>
          <w:szCs w:val="23"/>
        </w:rPr>
        <w:t xml:space="preserve"> around 40 </w:t>
      </w:r>
      <w:r w:rsidR="00065A1B">
        <w:rPr>
          <w:rFonts w:ascii="Calibri Light" w:eastAsia="Calibri Light" w:hAnsi="Calibri Light" w:cs="Calibri Light"/>
          <w:sz w:val="23"/>
          <w:szCs w:val="23"/>
        </w:rPr>
        <w:t>percent</w:t>
      </w:r>
      <w:r w:rsidRPr="00682644">
        <w:rPr>
          <w:rFonts w:ascii="Calibri Light" w:eastAsia="Calibri Light" w:hAnsi="Calibri Light" w:cs="Calibri Light"/>
          <w:sz w:val="23"/>
          <w:szCs w:val="23"/>
        </w:rPr>
        <w:t xml:space="preserve"> routinely</w:t>
      </w:r>
      <w:r>
        <w:rPr>
          <w:rFonts w:ascii="Calibri Light" w:eastAsia="Calibri Light" w:hAnsi="Calibri Light" w:cs="Calibri Light"/>
          <w:sz w:val="23"/>
          <w:szCs w:val="23"/>
        </w:rPr>
        <w:t>,</w:t>
      </w:r>
      <w:r w:rsidRPr="00682644">
        <w:rPr>
          <w:rFonts w:ascii="Calibri Light" w:eastAsia="Calibri Light" w:hAnsi="Calibri Light" w:cs="Calibri Light"/>
          <w:sz w:val="23"/>
          <w:szCs w:val="23"/>
        </w:rPr>
        <w:t xml:space="preserve"> and as high as</w:t>
      </w:r>
      <w:r>
        <w:rPr>
          <w:rFonts w:ascii="Calibri Light" w:eastAsia="Calibri Light" w:hAnsi="Calibri Light" w:cs="Calibri Light"/>
          <w:sz w:val="23"/>
          <w:szCs w:val="23"/>
        </w:rPr>
        <w:t xml:space="preserve"> </w:t>
      </w:r>
      <w:r w:rsidRPr="00682644">
        <w:rPr>
          <w:rFonts w:ascii="Calibri Light" w:eastAsia="Calibri Light" w:hAnsi="Calibri Light" w:cs="Calibri Light"/>
          <w:sz w:val="23"/>
          <w:szCs w:val="23"/>
        </w:rPr>
        <w:t xml:space="preserve">90 </w:t>
      </w:r>
      <w:r w:rsidR="00065A1B">
        <w:rPr>
          <w:rFonts w:ascii="Calibri Light" w:eastAsia="Calibri Light" w:hAnsi="Calibri Light" w:cs="Calibri Light"/>
          <w:sz w:val="23"/>
          <w:szCs w:val="23"/>
        </w:rPr>
        <w:t>percent</w:t>
      </w:r>
      <w:r w:rsidRPr="00682644">
        <w:rPr>
          <w:rFonts w:ascii="Calibri Light" w:eastAsia="Calibri Light" w:hAnsi="Calibri Light" w:cs="Calibri Light"/>
          <w:sz w:val="23"/>
          <w:szCs w:val="23"/>
        </w:rPr>
        <w:t xml:space="preserve"> </w:t>
      </w:r>
      <w:r>
        <w:rPr>
          <w:rFonts w:ascii="Calibri Light" w:eastAsia="Calibri Light" w:hAnsi="Calibri Light" w:cs="Calibri Light"/>
          <w:sz w:val="23"/>
          <w:szCs w:val="23"/>
        </w:rPr>
        <w:t xml:space="preserve">during some </w:t>
      </w:r>
      <w:r w:rsidRPr="00682644">
        <w:rPr>
          <w:rFonts w:ascii="Calibri Light" w:eastAsia="Calibri Light" w:hAnsi="Calibri Light" w:cs="Calibri Light"/>
          <w:sz w:val="23"/>
          <w:szCs w:val="23"/>
        </w:rPr>
        <w:t>special events</w:t>
      </w:r>
      <w:r>
        <w:rPr>
          <w:rFonts w:ascii="Calibri Light" w:eastAsia="Calibri Light" w:hAnsi="Calibri Light" w:cs="Calibri Light"/>
          <w:sz w:val="23"/>
          <w:szCs w:val="23"/>
        </w:rPr>
        <w:t xml:space="preserve"> (VicHealth, 2014: 17)</w:t>
      </w:r>
      <w:r w:rsidRPr="00682644">
        <w:rPr>
          <w:rFonts w:ascii="Calibri Light" w:eastAsia="Calibri Light" w:hAnsi="Calibri Light" w:cs="Calibri Light"/>
          <w:sz w:val="23"/>
          <w:szCs w:val="23"/>
        </w:rPr>
        <w:t>.</w:t>
      </w:r>
    </w:p>
    <w:p w14:paraId="2BEE9E3F" w14:textId="77777777" w:rsidR="00F00E3D" w:rsidRPr="008A01D3" w:rsidRDefault="00F00E3D" w:rsidP="009B2FA7">
      <w:pPr>
        <w:spacing w:after="0" w:line="276" w:lineRule="auto"/>
        <w:rPr>
          <w:rFonts w:asciiTheme="majorHAnsi" w:hAnsiTheme="majorHAnsi" w:cstheme="majorBidi"/>
          <w:color w:val="595959" w:themeColor="text1" w:themeTint="A6"/>
          <w:sz w:val="16"/>
          <w:szCs w:val="16"/>
        </w:rPr>
      </w:pPr>
    </w:p>
    <w:p w14:paraId="7C399D8A" w14:textId="57AFFB01" w:rsidR="00F00E3D" w:rsidRPr="00E05D57" w:rsidRDefault="00F00E3D" w:rsidP="009B2FA7">
      <w:pPr>
        <w:spacing w:after="0" w:line="276" w:lineRule="auto"/>
        <w:rPr>
          <w:rFonts w:cstheme="minorHAnsi"/>
          <w:b/>
          <w:bCs/>
          <w:sz w:val="25"/>
          <w:szCs w:val="25"/>
        </w:rPr>
      </w:pPr>
      <w:bookmarkStart w:id="63" w:name="_Hlk70863642"/>
      <w:r w:rsidRPr="00E05D57">
        <w:rPr>
          <w:rFonts w:cstheme="minorHAnsi"/>
          <w:b/>
          <w:bCs/>
          <w:sz w:val="25"/>
          <w:szCs w:val="25"/>
        </w:rPr>
        <w:t xml:space="preserve">Ten Ideas, Three Ventures: Improving </w:t>
      </w:r>
      <w:r w:rsidR="005E43F6" w:rsidRPr="00E05D57">
        <w:rPr>
          <w:rFonts w:cstheme="minorHAnsi"/>
          <w:b/>
          <w:bCs/>
          <w:sz w:val="25"/>
          <w:szCs w:val="25"/>
        </w:rPr>
        <w:t xml:space="preserve">Mental Health </w:t>
      </w:r>
      <w:r w:rsidR="005E43F6">
        <w:rPr>
          <w:rFonts w:cstheme="minorHAnsi"/>
          <w:b/>
          <w:bCs/>
          <w:sz w:val="25"/>
          <w:szCs w:val="25"/>
        </w:rPr>
        <w:t>f</w:t>
      </w:r>
      <w:r w:rsidR="005E43F6" w:rsidRPr="00E05D57">
        <w:rPr>
          <w:rFonts w:cstheme="minorHAnsi"/>
          <w:b/>
          <w:bCs/>
          <w:sz w:val="25"/>
          <w:szCs w:val="25"/>
        </w:rPr>
        <w:t>or You</w:t>
      </w:r>
      <w:r w:rsidR="005E43F6">
        <w:rPr>
          <w:rFonts w:cstheme="minorHAnsi"/>
          <w:b/>
          <w:bCs/>
          <w:sz w:val="25"/>
          <w:szCs w:val="25"/>
        </w:rPr>
        <w:t>ng</w:t>
      </w:r>
      <w:r w:rsidR="005E43F6" w:rsidRPr="00E05D57">
        <w:rPr>
          <w:rFonts w:cstheme="minorHAnsi"/>
          <w:b/>
          <w:bCs/>
          <w:sz w:val="25"/>
          <w:szCs w:val="25"/>
        </w:rPr>
        <w:t xml:space="preserve"> </w:t>
      </w:r>
      <w:r w:rsidRPr="00E05D57">
        <w:rPr>
          <w:rFonts w:cstheme="minorHAnsi"/>
          <w:b/>
          <w:bCs/>
          <w:sz w:val="25"/>
          <w:szCs w:val="25"/>
        </w:rPr>
        <w:t>South Sudanese Australians</w:t>
      </w:r>
    </w:p>
    <w:p w14:paraId="495DC259" w14:textId="77777777" w:rsidR="00F00E3D" w:rsidRPr="00E05D57" w:rsidRDefault="00F00E3D" w:rsidP="009B2FA7">
      <w:pPr>
        <w:spacing w:after="0" w:line="276" w:lineRule="auto"/>
        <w:rPr>
          <w:rFonts w:cstheme="minorHAnsi"/>
          <w:b/>
          <w:bCs/>
          <w:sz w:val="23"/>
          <w:szCs w:val="23"/>
        </w:rPr>
      </w:pPr>
      <w:r w:rsidRPr="00E05D57">
        <w:rPr>
          <w:rFonts w:cstheme="minorHAnsi"/>
          <w:b/>
          <w:bCs/>
          <w:sz w:val="23"/>
          <w:szCs w:val="23"/>
        </w:rPr>
        <w:t>Western Metropolitan Melbourne, TACSI (2018–2020)</w:t>
      </w:r>
    </w:p>
    <w:bookmarkEnd w:id="63"/>
    <w:p w14:paraId="2CF5BD0E" w14:textId="77777777" w:rsidR="00F00E3D" w:rsidRPr="00E05D57" w:rsidRDefault="00F00E3D" w:rsidP="009B2FA7">
      <w:pPr>
        <w:spacing w:after="0" w:line="276" w:lineRule="auto"/>
        <w:rPr>
          <w:rFonts w:cstheme="minorHAnsi"/>
          <w:b/>
          <w:bCs/>
          <w:color w:val="7F7F7F" w:themeColor="text1" w:themeTint="80"/>
          <w:sz w:val="16"/>
          <w:szCs w:val="16"/>
        </w:rPr>
      </w:pPr>
    </w:p>
    <w:p w14:paraId="6A628B10" w14:textId="7D6FF3E2" w:rsidR="00F00E3D" w:rsidRPr="00CC521D" w:rsidRDefault="00F00E3D" w:rsidP="009B2FA7">
      <w:pPr>
        <w:spacing w:after="0" w:line="276" w:lineRule="auto"/>
        <w:rPr>
          <w:rFonts w:cstheme="minorHAnsi"/>
          <w:b/>
          <w:bCs/>
          <w:color w:val="595959" w:themeColor="text1" w:themeTint="A6"/>
          <w:sz w:val="23"/>
          <w:szCs w:val="23"/>
        </w:rPr>
      </w:pPr>
      <w:r w:rsidRPr="00CC521D">
        <w:rPr>
          <w:rFonts w:cstheme="minorHAnsi"/>
          <w:b/>
          <w:bCs/>
          <w:color w:val="595959" w:themeColor="text1" w:themeTint="A6"/>
          <w:sz w:val="23"/>
          <w:szCs w:val="23"/>
        </w:rPr>
        <w:t xml:space="preserve">Main </w:t>
      </w:r>
      <w:r w:rsidR="00D95573">
        <w:rPr>
          <w:rFonts w:cstheme="minorHAnsi"/>
          <w:b/>
          <w:bCs/>
          <w:color w:val="595959" w:themeColor="text1" w:themeTint="A6"/>
          <w:sz w:val="23"/>
          <w:szCs w:val="23"/>
        </w:rPr>
        <w:t>Practice Domain</w:t>
      </w:r>
      <w:r w:rsidRPr="00CC521D">
        <w:rPr>
          <w:rFonts w:cstheme="minorHAnsi"/>
          <w:b/>
          <w:bCs/>
          <w:color w:val="595959" w:themeColor="text1" w:themeTint="A6"/>
          <w:sz w:val="23"/>
          <w:szCs w:val="23"/>
        </w:rPr>
        <w:t xml:space="preserve"> (s):</w:t>
      </w:r>
      <w:r w:rsidRPr="00CC521D">
        <w:rPr>
          <w:rFonts w:cstheme="minorHAnsi"/>
          <w:b/>
          <w:bCs/>
          <w:color w:val="595959" w:themeColor="text1" w:themeTint="A6"/>
          <w:sz w:val="23"/>
          <w:szCs w:val="23"/>
        </w:rPr>
        <w:tab/>
      </w:r>
      <w:r w:rsidRPr="00CC521D">
        <w:rPr>
          <w:rFonts w:cstheme="minorHAnsi"/>
          <w:b/>
          <w:bCs/>
          <w:color w:val="595959" w:themeColor="text1" w:themeTint="A6"/>
          <w:sz w:val="23"/>
          <w:szCs w:val="23"/>
        </w:rPr>
        <w:tab/>
        <w:t>Health and Wellbeing</w:t>
      </w:r>
    </w:p>
    <w:p w14:paraId="617DE1DE" w14:textId="5D607589" w:rsidR="00F00E3D" w:rsidRPr="00CC521D" w:rsidRDefault="00F00E3D" w:rsidP="009B2FA7">
      <w:pPr>
        <w:spacing w:after="0" w:line="276" w:lineRule="auto"/>
        <w:rPr>
          <w:rFonts w:cstheme="minorHAnsi"/>
          <w:b/>
          <w:bCs/>
          <w:color w:val="595959" w:themeColor="text1" w:themeTint="A6"/>
          <w:sz w:val="23"/>
          <w:szCs w:val="23"/>
        </w:rPr>
      </w:pPr>
      <w:r w:rsidRPr="00CC521D">
        <w:rPr>
          <w:rFonts w:cstheme="minorHAnsi"/>
          <w:b/>
          <w:bCs/>
          <w:color w:val="595959" w:themeColor="text1" w:themeTint="A6"/>
          <w:sz w:val="23"/>
          <w:szCs w:val="23"/>
        </w:rPr>
        <w:t xml:space="preserve">Secondary </w:t>
      </w:r>
      <w:r w:rsidR="00D95573">
        <w:rPr>
          <w:rFonts w:cstheme="minorHAnsi"/>
          <w:b/>
          <w:bCs/>
          <w:color w:val="595959" w:themeColor="text1" w:themeTint="A6"/>
          <w:sz w:val="23"/>
          <w:szCs w:val="23"/>
        </w:rPr>
        <w:t>Practice Domain</w:t>
      </w:r>
      <w:r w:rsidRPr="00CC521D">
        <w:rPr>
          <w:rFonts w:cstheme="minorHAnsi"/>
          <w:b/>
          <w:bCs/>
          <w:color w:val="595959" w:themeColor="text1" w:themeTint="A6"/>
          <w:sz w:val="23"/>
          <w:szCs w:val="23"/>
        </w:rPr>
        <w:t>(s):</w:t>
      </w:r>
      <w:r w:rsidRPr="00CC521D">
        <w:rPr>
          <w:rFonts w:cstheme="minorHAnsi"/>
          <w:b/>
          <w:bCs/>
          <w:color w:val="595959" w:themeColor="text1" w:themeTint="A6"/>
          <w:sz w:val="23"/>
          <w:szCs w:val="23"/>
        </w:rPr>
        <w:tab/>
      </w:r>
      <w:r w:rsidRPr="00CC521D">
        <w:rPr>
          <w:rFonts w:cstheme="minorHAnsi"/>
          <w:b/>
          <w:bCs/>
          <w:color w:val="595959" w:themeColor="text1" w:themeTint="A6"/>
          <w:sz w:val="23"/>
          <w:szCs w:val="23"/>
          <w:shd w:val="clear" w:color="auto" w:fill="FFFFFF"/>
        </w:rPr>
        <w:t>Education, Liveability</w:t>
      </w:r>
    </w:p>
    <w:p w14:paraId="354EE18F" w14:textId="77777777" w:rsidR="00F00E3D" w:rsidRPr="00727608" w:rsidRDefault="00F00E3D" w:rsidP="009B2FA7">
      <w:pPr>
        <w:spacing w:after="0" w:line="276" w:lineRule="auto"/>
        <w:rPr>
          <w:rFonts w:asciiTheme="majorHAnsi" w:hAnsiTheme="majorHAnsi" w:cstheme="majorHAnsi"/>
          <w:sz w:val="16"/>
          <w:szCs w:val="16"/>
        </w:rPr>
      </w:pPr>
    </w:p>
    <w:p w14:paraId="3EBF5393" w14:textId="24D08019" w:rsidR="0025256C" w:rsidRDefault="00F00E3D" w:rsidP="009B2FA7">
      <w:pPr>
        <w:spacing w:after="0" w:line="276" w:lineRule="auto"/>
        <w:rPr>
          <w:rFonts w:asciiTheme="majorHAnsi" w:hAnsiTheme="majorHAnsi" w:cstheme="majorBidi"/>
          <w:sz w:val="23"/>
          <w:szCs w:val="23"/>
        </w:rPr>
      </w:pPr>
      <w:r w:rsidRPr="359636AC">
        <w:rPr>
          <w:rFonts w:asciiTheme="majorHAnsi" w:hAnsiTheme="majorHAnsi" w:cstheme="majorBidi"/>
          <w:sz w:val="23"/>
          <w:szCs w:val="23"/>
        </w:rPr>
        <w:t>Most of Melbourne’s South Sudanese community (pop. 11,000) lives in working-class suburbs in the city’s west and south-east. Many are Australian born, while others arrived as refugees. In 2018, the community was experiencing negative public scrutiny, media stereotyping, and racism (Henriques-Gomes, 2018). Alongside this hostility came a tragic string of youth suicides</w:t>
      </w:r>
      <w:r w:rsidR="00FE0954">
        <w:rPr>
          <w:rFonts w:asciiTheme="majorHAnsi" w:hAnsiTheme="majorHAnsi" w:cstheme="majorBidi"/>
          <w:sz w:val="23"/>
          <w:szCs w:val="23"/>
        </w:rPr>
        <w:t>,</w:t>
      </w:r>
      <w:r w:rsidR="00494795">
        <w:rPr>
          <w:rFonts w:asciiTheme="majorHAnsi" w:hAnsiTheme="majorHAnsi" w:cstheme="majorBidi"/>
          <w:sz w:val="23"/>
          <w:szCs w:val="23"/>
        </w:rPr>
        <w:t xml:space="preserve"> and growing concern over mental health issues in the community</w:t>
      </w:r>
      <w:r w:rsidRPr="359636AC">
        <w:rPr>
          <w:rFonts w:asciiTheme="majorHAnsi" w:hAnsiTheme="majorHAnsi" w:cstheme="majorBidi"/>
          <w:sz w:val="23"/>
          <w:szCs w:val="23"/>
        </w:rPr>
        <w:t>.</w:t>
      </w:r>
    </w:p>
    <w:p w14:paraId="13905C41" w14:textId="77777777" w:rsidR="0025256C" w:rsidRPr="0025256C" w:rsidRDefault="0025256C" w:rsidP="009B2FA7">
      <w:pPr>
        <w:spacing w:after="0" w:line="276" w:lineRule="auto"/>
        <w:rPr>
          <w:rFonts w:asciiTheme="majorHAnsi" w:hAnsiTheme="majorHAnsi" w:cstheme="majorBidi"/>
          <w:sz w:val="16"/>
          <w:szCs w:val="16"/>
        </w:rPr>
      </w:pPr>
    </w:p>
    <w:p w14:paraId="5CE29A55" w14:textId="6041E677" w:rsidR="00C51F19" w:rsidRDefault="00F00E3D" w:rsidP="009B2FA7">
      <w:pPr>
        <w:spacing w:after="0" w:line="276" w:lineRule="auto"/>
        <w:rPr>
          <w:rFonts w:asciiTheme="majorHAnsi" w:hAnsiTheme="majorHAnsi" w:cstheme="majorBidi"/>
          <w:sz w:val="23"/>
          <w:szCs w:val="23"/>
        </w:rPr>
      </w:pPr>
      <w:r w:rsidRPr="359636AC">
        <w:rPr>
          <w:rFonts w:asciiTheme="majorHAnsi" w:hAnsiTheme="majorHAnsi" w:cstheme="majorBidi"/>
          <w:sz w:val="23"/>
          <w:szCs w:val="23"/>
        </w:rPr>
        <w:t xml:space="preserve">In response, The Australian Centre for Social Innovation (TACSI) began </w:t>
      </w:r>
      <w:r w:rsidR="00D14C9D">
        <w:rPr>
          <w:rFonts w:asciiTheme="majorHAnsi" w:hAnsiTheme="majorHAnsi" w:cstheme="majorBidi"/>
          <w:sz w:val="23"/>
          <w:szCs w:val="23"/>
        </w:rPr>
        <w:t>collaborating</w:t>
      </w:r>
      <w:r w:rsidRPr="359636AC">
        <w:rPr>
          <w:rFonts w:asciiTheme="majorHAnsi" w:hAnsiTheme="majorHAnsi" w:cstheme="majorBidi"/>
          <w:sz w:val="23"/>
          <w:szCs w:val="23"/>
        </w:rPr>
        <w:t xml:space="preserve"> with </w:t>
      </w:r>
      <w:r w:rsidR="00FE0954">
        <w:rPr>
          <w:rFonts w:asciiTheme="majorHAnsi" w:hAnsiTheme="majorHAnsi" w:cstheme="majorBidi"/>
          <w:sz w:val="23"/>
          <w:szCs w:val="23"/>
        </w:rPr>
        <w:t xml:space="preserve">local </w:t>
      </w:r>
      <w:r w:rsidRPr="359636AC">
        <w:rPr>
          <w:rFonts w:asciiTheme="majorHAnsi" w:hAnsiTheme="majorHAnsi" w:cstheme="majorBidi"/>
          <w:sz w:val="23"/>
          <w:szCs w:val="23"/>
        </w:rPr>
        <w:t xml:space="preserve">young people to </w:t>
      </w:r>
      <w:r w:rsidR="00D46928">
        <w:rPr>
          <w:rFonts w:asciiTheme="majorHAnsi" w:hAnsiTheme="majorHAnsi" w:cstheme="majorBidi"/>
          <w:sz w:val="23"/>
          <w:szCs w:val="23"/>
        </w:rPr>
        <w:t>develop</w:t>
      </w:r>
      <w:r w:rsidR="00FE0954">
        <w:rPr>
          <w:rFonts w:asciiTheme="majorHAnsi" w:hAnsiTheme="majorHAnsi" w:cstheme="majorBidi"/>
          <w:sz w:val="23"/>
          <w:szCs w:val="23"/>
        </w:rPr>
        <w:t xml:space="preserve"> </w:t>
      </w:r>
      <w:r w:rsidRPr="359636AC">
        <w:rPr>
          <w:rFonts w:asciiTheme="majorHAnsi" w:hAnsiTheme="majorHAnsi" w:cstheme="majorBidi"/>
          <w:sz w:val="23"/>
          <w:szCs w:val="23"/>
        </w:rPr>
        <w:t>projects to address social exclusion and help the community thrive (TACSI, 2018). Formed in 2009</w:t>
      </w:r>
      <w:r w:rsidR="00D14C9D">
        <w:rPr>
          <w:rFonts w:asciiTheme="majorHAnsi" w:hAnsiTheme="majorHAnsi" w:cstheme="majorBidi"/>
          <w:sz w:val="23"/>
          <w:szCs w:val="23"/>
        </w:rPr>
        <w:t xml:space="preserve">, </w:t>
      </w:r>
      <w:r w:rsidRPr="359636AC">
        <w:rPr>
          <w:rFonts w:asciiTheme="majorHAnsi" w:hAnsiTheme="majorHAnsi" w:cstheme="majorBidi"/>
          <w:sz w:val="23"/>
          <w:szCs w:val="23"/>
        </w:rPr>
        <w:t>TACSI is an independent social enterprise focused on building equitable social and economic prosperity.</w:t>
      </w:r>
      <w:r w:rsidR="00C51F19">
        <w:rPr>
          <w:rFonts w:asciiTheme="majorHAnsi" w:hAnsiTheme="majorHAnsi" w:cstheme="majorBidi"/>
          <w:sz w:val="23"/>
          <w:szCs w:val="23"/>
        </w:rPr>
        <w:t xml:space="preserve"> </w:t>
      </w:r>
      <w:r w:rsidR="00132DB0">
        <w:rPr>
          <w:rFonts w:asciiTheme="majorHAnsi" w:hAnsiTheme="majorHAnsi" w:cstheme="majorBidi"/>
          <w:sz w:val="23"/>
          <w:szCs w:val="23"/>
        </w:rPr>
        <w:t>Its approach</w:t>
      </w:r>
      <w:r w:rsidR="00D14C9D">
        <w:rPr>
          <w:rFonts w:asciiTheme="majorHAnsi" w:hAnsiTheme="majorHAnsi" w:cstheme="majorBidi"/>
          <w:sz w:val="23"/>
          <w:szCs w:val="23"/>
        </w:rPr>
        <w:t xml:space="preserve"> is based on co-design and community-led</w:t>
      </w:r>
      <w:r w:rsidR="00132DB0">
        <w:rPr>
          <w:rFonts w:asciiTheme="majorHAnsi" w:hAnsiTheme="majorHAnsi" w:cstheme="majorBidi"/>
          <w:sz w:val="23"/>
          <w:szCs w:val="23"/>
        </w:rPr>
        <w:t xml:space="preserve"> models</w:t>
      </w:r>
      <w:r w:rsidR="00577313">
        <w:rPr>
          <w:rFonts w:asciiTheme="majorHAnsi" w:hAnsiTheme="majorHAnsi" w:cstheme="majorBidi"/>
          <w:sz w:val="23"/>
          <w:szCs w:val="23"/>
        </w:rPr>
        <w:t xml:space="preserve"> of engagement.</w:t>
      </w:r>
    </w:p>
    <w:p w14:paraId="608E1E6B" w14:textId="77777777" w:rsidR="00C51F19" w:rsidRPr="008A01D3" w:rsidRDefault="00C51F19" w:rsidP="009B2FA7">
      <w:pPr>
        <w:spacing w:after="0" w:line="276" w:lineRule="auto"/>
        <w:rPr>
          <w:rFonts w:asciiTheme="majorHAnsi" w:hAnsiTheme="majorHAnsi" w:cstheme="majorBidi"/>
          <w:sz w:val="16"/>
          <w:szCs w:val="16"/>
        </w:rPr>
      </w:pPr>
    </w:p>
    <w:p w14:paraId="4B5D8D77" w14:textId="3516B341" w:rsidR="00F00E3D" w:rsidRDefault="00D46928" w:rsidP="009B2FA7">
      <w:pPr>
        <w:spacing w:after="0" w:line="276" w:lineRule="auto"/>
        <w:rPr>
          <w:rFonts w:asciiTheme="majorHAnsi" w:hAnsiTheme="majorHAnsi" w:cstheme="majorBidi"/>
          <w:sz w:val="23"/>
          <w:szCs w:val="23"/>
        </w:rPr>
      </w:pPr>
      <w:r>
        <w:rPr>
          <w:rFonts w:asciiTheme="majorHAnsi" w:hAnsiTheme="majorHAnsi" w:cstheme="majorBidi"/>
          <w:sz w:val="23"/>
          <w:szCs w:val="23"/>
        </w:rPr>
        <w:t xml:space="preserve">That initial project ran </w:t>
      </w:r>
      <w:r w:rsidR="00985579">
        <w:rPr>
          <w:rFonts w:asciiTheme="majorHAnsi" w:hAnsiTheme="majorHAnsi" w:cstheme="majorBidi"/>
          <w:sz w:val="23"/>
          <w:szCs w:val="23"/>
        </w:rPr>
        <w:t xml:space="preserve">over </w:t>
      </w:r>
      <w:r>
        <w:rPr>
          <w:rFonts w:asciiTheme="majorHAnsi" w:hAnsiTheme="majorHAnsi" w:cstheme="majorBidi"/>
          <w:sz w:val="23"/>
          <w:szCs w:val="23"/>
        </w:rPr>
        <w:t xml:space="preserve">18 months. </w:t>
      </w:r>
      <w:r w:rsidR="00903D06">
        <w:rPr>
          <w:rFonts w:asciiTheme="majorHAnsi" w:hAnsiTheme="majorHAnsi" w:cstheme="majorBidi"/>
          <w:sz w:val="23"/>
          <w:szCs w:val="23"/>
        </w:rPr>
        <w:t>Building on the relationships</w:t>
      </w:r>
      <w:r w:rsidR="00985579">
        <w:rPr>
          <w:rFonts w:asciiTheme="majorHAnsi" w:hAnsiTheme="majorHAnsi" w:cstheme="majorBidi"/>
          <w:sz w:val="23"/>
          <w:szCs w:val="23"/>
        </w:rPr>
        <w:t xml:space="preserve"> it fostered</w:t>
      </w:r>
      <w:r w:rsidR="00E270E3">
        <w:rPr>
          <w:rFonts w:asciiTheme="majorHAnsi" w:hAnsiTheme="majorHAnsi" w:cstheme="majorBidi"/>
          <w:sz w:val="23"/>
          <w:szCs w:val="23"/>
        </w:rPr>
        <w:t>, TACSI developed an</w:t>
      </w:r>
      <w:r w:rsidR="00F00E3D" w:rsidRPr="359636AC">
        <w:rPr>
          <w:rFonts w:asciiTheme="majorHAnsi" w:hAnsiTheme="majorHAnsi" w:cstheme="majorBidi"/>
          <w:sz w:val="23"/>
          <w:szCs w:val="23"/>
        </w:rPr>
        <w:t xml:space="preserve"> offshoot project </w:t>
      </w:r>
      <w:r w:rsidR="00B01DCB">
        <w:rPr>
          <w:rFonts w:asciiTheme="majorHAnsi" w:hAnsiTheme="majorHAnsi" w:cstheme="majorBidi"/>
          <w:sz w:val="23"/>
          <w:szCs w:val="23"/>
        </w:rPr>
        <w:t>to</w:t>
      </w:r>
      <w:r w:rsidR="00F00E3D" w:rsidRPr="359636AC">
        <w:rPr>
          <w:rFonts w:asciiTheme="majorHAnsi" w:hAnsiTheme="majorHAnsi" w:cstheme="majorBidi"/>
          <w:sz w:val="23"/>
          <w:szCs w:val="23"/>
        </w:rPr>
        <w:t xml:space="preserve"> improve</w:t>
      </w:r>
      <w:r w:rsidR="00B01DCB">
        <w:rPr>
          <w:rFonts w:asciiTheme="majorHAnsi" w:hAnsiTheme="majorHAnsi" w:cstheme="majorBidi"/>
          <w:sz w:val="23"/>
          <w:szCs w:val="23"/>
        </w:rPr>
        <w:t xml:space="preserve"> local</w:t>
      </w:r>
      <w:r w:rsidR="00F00E3D" w:rsidRPr="359636AC">
        <w:rPr>
          <w:rFonts w:asciiTheme="majorHAnsi" w:hAnsiTheme="majorHAnsi" w:cstheme="majorBidi"/>
          <w:sz w:val="23"/>
          <w:szCs w:val="23"/>
        </w:rPr>
        <w:t xml:space="preserve"> young people’s mental health and wellbeing. There is a strong social stigma around mental illness in traditional South Sudanese culture, and few people have used mental health services prior to arrival in Australia (Migrant Information Centre, 2012: 4). </w:t>
      </w:r>
      <w:r w:rsidR="00577313">
        <w:rPr>
          <w:rFonts w:asciiTheme="majorHAnsi" w:hAnsiTheme="majorHAnsi" w:cstheme="majorBidi"/>
          <w:sz w:val="23"/>
          <w:szCs w:val="23"/>
        </w:rPr>
        <w:t>Taking a</w:t>
      </w:r>
      <w:r w:rsidR="00F00E3D" w:rsidRPr="359636AC">
        <w:rPr>
          <w:rFonts w:asciiTheme="majorHAnsi" w:hAnsiTheme="majorHAnsi" w:cstheme="majorBidi"/>
          <w:sz w:val="23"/>
          <w:szCs w:val="23"/>
        </w:rPr>
        <w:t xml:space="preserve"> co-designed, community-led approach, TACSI worked with groups of young people over six months in 2020. Project partners were the Victorian State government (DHHS) and local service provider Co-Health.</w:t>
      </w:r>
    </w:p>
    <w:p w14:paraId="5F08EFA3" w14:textId="77777777" w:rsidR="00F00E3D" w:rsidRPr="00C24F55" w:rsidRDefault="00F00E3D" w:rsidP="009B2FA7">
      <w:pPr>
        <w:spacing w:after="0" w:line="276" w:lineRule="auto"/>
        <w:rPr>
          <w:rFonts w:asciiTheme="majorHAnsi" w:hAnsiTheme="majorHAnsi" w:cstheme="majorHAnsi"/>
          <w:sz w:val="16"/>
          <w:szCs w:val="16"/>
        </w:rPr>
      </w:pPr>
    </w:p>
    <w:p w14:paraId="74DE2D88" w14:textId="6CA96240" w:rsidR="00F00E3D" w:rsidRPr="002978F3" w:rsidRDefault="00F00E3D" w:rsidP="009B2FA7">
      <w:pPr>
        <w:spacing w:after="0" w:line="276" w:lineRule="auto"/>
        <w:rPr>
          <w:rFonts w:asciiTheme="majorHAnsi" w:hAnsiTheme="majorHAnsi" w:cstheme="majorHAnsi"/>
          <w:sz w:val="23"/>
          <w:szCs w:val="23"/>
        </w:rPr>
      </w:pPr>
      <w:r>
        <w:rPr>
          <w:rFonts w:asciiTheme="majorHAnsi" w:hAnsiTheme="majorHAnsi" w:cstheme="majorHAnsi"/>
          <w:sz w:val="23"/>
          <w:szCs w:val="23"/>
        </w:rPr>
        <w:t>TACSI staff supported the young people to</w:t>
      </w:r>
      <w:r w:rsidRPr="004E7FF7">
        <w:rPr>
          <w:rFonts w:asciiTheme="majorHAnsi" w:hAnsiTheme="majorHAnsi" w:cstheme="majorHAnsi"/>
          <w:sz w:val="23"/>
          <w:szCs w:val="23"/>
        </w:rPr>
        <w:t xml:space="preserve"> conduct research </w:t>
      </w:r>
      <w:r>
        <w:rPr>
          <w:rFonts w:asciiTheme="majorHAnsi" w:hAnsiTheme="majorHAnsi" w:cstheme="majorHAnsi"/>
          <w:sz w:val="23"/>
          <w:szCs w:val="23"/>
        </w:rPr>
        <w:t>with</w:t>
      </w:r>
      <w:r w:rsidRPr="004E7FF7">
        <w:rPr>
          <w:rFonts w:asciiTheme="majorHAnsi" w:hAnsiTheme="majorHAnsi" w:cstheme="majorHAnsi"/>
          <w:sz w:val="23"/>
          <w:szCs w:val="23"/>
        </w:rPr>
        <w:t>in their communit</w:t>
      </w:r>
      <w:r>
        <w:rPr>
          <w:rFonts w:asciiTheme="majorHAnsi" w:hAnsiTheme="majorHAnsi" w:cstheme="majorHAnsi"/>
          <w:sz w:val="23"/>
          <w:szCs w:val="23"/>
        </w:rPr>
        <w:t>ies; created</w:t>
      </w:r>
      <w:r w:rsidRPr="004E7FF7">
        <w:rPr>
          <w:rFonts w:asciiTheme="majorHAnsi" w:hAnsiTheme="majorHAnsi" w:cstheme="majorHAnsi"/>
          <w:sz w:val="23"/>
          <w:szCs w:val="23"/>
        </w:rPr>
        <w:t xml:space="preserve"> </w:t>
      </w:r>
      <w:r>
        <w:rPr>
          <w:rFonts w:asciiTheme="majorHAnsi" w:hAnsiTheme="majorHAnsi" w:cstheme="majorHAnsi"/>
          <w:sz w:val="23"/>
          <w:szCs w:val="23"/>
        </w:rPr>
        <w:t>“</w:t>
      </w:r>
      <w:r w:rsidRPr="004E7FF7">
        <w:rPr>
          <w:rFonts w:asciiTheme="majorHAnsi" w:hAnsiTheme="majorHAnsi" w:cstheme="majorHAnsi"/>
          <w:sz w:val="23"/>
          <w:szCs w:val="23"/>
        </w:rPr>
        <w:t>peer mental health roles</w:t>
      </w:r>
      <w:r>
        <w:rPr>
          <w:rFonts w:asciiTheme="majorHAnsi" w:hAnsiTheme="majorHAnsi" w:cstheme="majorHAnsi"/>
          <w:sz w:val="23"/>
          <w:szCs w:val="23"/>
        </w:rPr>
        <w:t>”</w:t>
      </w:r>
      <w:r w:rsidRPr="004E7FF7">
        <w:rPr>
          <w:rFonts w:asciiTheme="majorHAnsi" w:hAnsiTheme="majorHAnsi" w:cstheme="majorHAnsi"/>
          <w:sz w:val="23"/>
          <w:szCs w:val="23"/>
        </w:rPr>
        <w:t xml:space="preserve"> </w:t>
      </w:r>
      <w:r>
        <w:rPr>
          <w:rFonts w:asciiTheme="majorHAnsi" w:hAnsiTheme="majorHAnsi" w:cstheme="majorHAnsi"/>
          <w:sz w:val="23"/>
          <w:szCs w:val="23"/>
        </w:rPr>
        <w:t>to encourage them to share their lived</w:t>
      </w:r>
      <w:r w:rsidRPr="004E7FF7">
        <w:rPr>
          <w:rFonts w:asciiTheme="majorHAnsi" w:hAnsiTheme="majorHAnsi" w:cstheme="majorHAnsi"/>
          <w:sz w:val="23"/>
          <w:szCs w:val="23"/>
        </w:rPr>
        <w:t xml:space="preserve"> experience</w:t>
      </w:r>
      <w:r>
        <w:rPr>
          <w:rFonts w:asciiTheme="majorHAnsi" w:hAnsiTheme="majorHAnsi" w:cstheme="majorHAnsi"/>
          <w:sz w:val="23"/>
          <w:szCs w:val="23"/>
        </w:rPr>
        <w:t>s; and coached them to develop, plan, test</w:t>
      </w:r>
      <w:r w:rsidR="008A01D3">
        <w:rPr>
          <w:rFonts w:asciiTheme="majorHAnsi" w:hAnsiTheme="majorHAnsi" w:cstheme="majorHAnsi"/>
          <w:sz w:val="23"/>
          <w:szCs w:val="23"/>
        </w:rPr>
        <w:t>,</w:t>
      </w:r>
      <w:r>
        <w:rPr>
          <w:rFonts w:asciiTheme="majorHAnsi" w:hAnsiTheme="majorHAnsi" w:cstheme="majorHAnsi"/>
          <w:sz w:val="23"/>
          <w:szCs w:val="23"/>
        </w:rPr>
        <w:t xml:space="preserve"> and refine creative project ideas</w:t>
      </w:r>
      <w:r w:rsidRPr="00F21CE3">
        <w:rPr>
          <w:rFonts w:asciiTheme="majorHAnsi" w:hAnsiTheme="majorHAnsi" w:cstheme="majorHAnsi"/>
          <w:sz w:val="23"/>
          <w:szCs w:val="23"/>
        </w:rPr>
        <w:t xml:space="preserve"> </w:t>
      </w:r>
      <w:r>
        <w:rPr>
          <w:rFonts w:asciiTheme="majorHAnsi" w:hAnsiTheme="majorHAnsi" w:cstheme="majorHAnsi"/>
          <w:sz w:val="23"/>
          <w:szCs w:val="23"/>
        </w:rPr>
        <w:t>to bring the community together. From t</w:t>
      </w:r>
      <w:r w:rsidRPr="00145612">
        <w:rPr>
          <w:rFonts w:asciiTheme="majorHAnsi" w:hAnsiTheme="majorHAnsi" w:cstheme="majorHAnsi"/>
          <w:sz w:val="23"/>
          <w:szCs w:val="23"/>
        </w:rPr>
        <w:t xml:space="preserve">en </w:t>
      </w:r>
      <w:r>
        <w:rPr>
          <w:rFonts w:asciiTheme="majorHAnsi" w:hAnsiTheme="majorHAnsi" w:cstheme="majorHAnsi"/>
          <w:sz w:val="23"/>
          <w:szCs w:val="23"/>
        </w:rPr>
        <w:t xml:space="preserve">resulting </w:t>
      </w:r>
      <w:r w:rsidRPr="00FE136E">
        <w:rPr>
          <w:rFonts w:asciiTheme="majorHAnsi" w:hAnsiTheme="majorHAnsi" w:cstheme="majorHAnsi"/>
          <w:sz w:val="23"/>
          <w:szCs w:val="23"/>
        </w:rPr>
        <w:t>ideas</w:t>
      </w:r>
      <w:r>
        <w:rPr>
          <w:rFonts w:asciiTheme="majorHAnsi" w:hAnsiTheme="majorHAnsi" w:cstheme="majorHAnsi"/>
          <w:sz w:val="23"/>
          <w:szCs w:val="23"/>
        </w:rPr>
        <w:t>, t</w:t>
      </w:r>
      <w:r w:rsidRPr="00FE136E">
        <w:rPr>
          <w:rFonts w:asciiTheme="majorHAnsi" w:hAnsiTheme="majorHAnsi" w:cstheme="majorHAnsi"/>
          <w:sz w:val="23"/>
          <w:szCs w:val="23"/>
        </w:rPr>
        <w:t xml:space="preserve">hree </w:t>
      </w:r>
      <w:r>
        <w:rPr>
          <w:rFonts w:asciiTheme="majorHAnsi" w:hAnsiTheme="majorHAnsi" w:cstheme="majorHAnsi"/>
          <w:sz w:val="23"/>
          <w:szCs w:val="23"/>
        </w:rPr>
        <w:t>“ventures” were</w:t>
      </w:r>
      <w:r w:rsidRPr="00FE136E">
        <w:rPr>
          <w:rFonts w:asciiTheme="majorHAnsi" w:hAnsiTheme="majorHAnsi" w:cstheme="majorHAnsi"/>
          <w:sz w:val="23"/>
          <w:szCs w:val="23"/>
        </w:rPr>
        <w:t xml:space="preserve"> delivered and evaluated with community members. </w:t>
      </w:r>
      <w:r>
        <w:rPr>
          <w:rFonts w:asciiTheme="majorHAnsi" w:hAnsiTheme="majorHAnsi" w:cstheme="majorHAnsi"/>
          <w:sz w:val="23"/>
          <w:szCs w:val="23"/>
        </w:rPr>
        <w:t xml:space="preserve">All </w:t>
      </w:r>
      <w:r w:rsidRPr="002978F3">
        <w:rPr>
          <w:rFonts w:asciiTheme="majorHAnsi" w:hAnsiTheme="majorHAnsi" w:cstheme="majorHAnsi"/>
          <w:sz w:val="23"/>
          <w:szCs w:val="23"/>
        </w:rPr>
        <w:t>three projects took shape during the pandemic</w:t>
      </w:r>
      <w:r>
        <w:rPr>
          <w:rFonts w:asciiTheme="majorHAnsi" w:hAnsiTheme="majorHAnsi" w:cstheme="majorHAnsi"/>
          <w:sz w:val="23"/>
          <w:szCs w:val="23"/>
        </w:rPr>
        <w:t xml:space="preserve"> </w:t>
      </w:r>
      <w:r w:rsidRPr="002978F3">
        <w:rPr>
          <w:rFonts w:asciiTheme="majorHAnsi" w:hAnsiTheme="majorHAnsi" w:cstheme="majorHAnsi"/>
          <w:sz w:val="23"/>
          <w:szCs w:val="23"/>
        </w:rPr>
        <w:t xml:space="preserve">and were swiftly adapted for Melbourne’s </w:t>
      </w:r>
      <w:r w:rsidR="00940D80">
        <w:rPr>
          <w:rFonts w:asciiTheme="majorHAnsi" w:hAnsiTheme="majorHAnsi" w:cstheme="majorHAnsi"/>
          <w:sz w:val="23"/>
          <w:szCs w:val="23"/>
        </w:rPr>
        <w:t>COVID</w:t>
      </w:r>
      <w:r w:rsidRPr="002978F3">
        <w:rPr>
          <w:rFonts w:asciiTheme="majorHAnsi" w:hAnsiTheme="majorHAnsi" w:cstheme="majorHAnsi"/>
          <w:sz w:val="23"/>
          <w:szCs w:val="23"/>
        </w:rPr>
        <w:t>-19 lockdowns.</w:t>
      </w:r>
      <w:r w:rsidR="00684122">
        <w:rPr>
          <w:rFonts w:asciiTheme="majorHAnsi" w:hAnsiTheme="majorHAnsi" w:cstheme="majorHAnsi"/>
          <w:sz w:val="23"/>
          <w:szCs w:val="23"/>
        </w:rPr>
        <w:t xml:space="preserve"> Projects were:</w:t>
      </w:r>
    </w:p>
    <w:p w14:paraId="0A85BB23" w14:textId="77777777" w:rsidR="00F00E3D" w:rsidRPr="00C24F55" w:rsidRDefault="00F00E3D" w:rsidP="009B2FA7">
      <w:pPr>
        <w:spacing w:after="0" w:line="276" w:lineRule="auto"/>
        <w:rPr>
          <w:rFonts w:asciiTheme="majorHAnsi" w:hAnsiTheme="majorHAnsi" w:cstheme="majorHAnsi"/>
          <w:sz w:val="16"/>
          <w:szCs w:val="16"/>
        </w:rPr>
      </w:pPr>
    </w:p>
    <w:p w14:paraId="4768E397" w14:textId="77777777" w:rsidR="00F00E3D" w:rsidRPr="00717BA3" w:rsidRDefault="00F00E3D" w:rsidP="006F7BCE">
      <w:pPr>
        <w:pStyle w:val="ListParagraph"/>
        <w:numPr>
          <w:ilvl w:val="0"/>
          <w:numId w:val="6"/>
        </w:numPr>
        <w:spacing w:after="0" w:line="276" w:lineRule="auto"/>
        <w:rPr>
          <w:rFonts w:asciiTheme="majorHAnsi" w:hAnsiTheme="majorHAnsi" w:cstheme="majorBidi"/>
          <w:sz w:val="23"/>
          <w:szCs w:val="23"/>
        </w:rPr>
      </w:pPr>
      <w:r w:rsidRPr="00ED1F9E">
        <w:rPr>
          <w:rFonts w:cstheme="minorHAnsi"/>
          <w:b/>
          <w:bCs/>
          <w:sz w:val="23"/>
          <w:szCs w:val="23"/>
        </w:rPr>
        <w:t>The Culture Party:</w:t>
      </w:r>
      <w:r w:rsidRPr="27ED1008">
        <w:rPr>
          <w:rFonts w:asciiTheme="majorHAnsi" w:hAnsiTheme="majorHAnsi" w:cstheme="majorBidi"/>
          <w:sz w:val="23"/>
          <w:szCs w:val="23"/>
        </w:rPr>
        <w:t xml:space="preserve"> an Instagram Live (online) event showcasing South Sudanese Australian creative talent, including live interviews with singers, dancers and artists talking about wellbeing and mental health. More than 600 young South Sudanese Australians took part in the first online Culture Party.</w:t>
      </w:r>
    </w:p>
    <w:p w14:paraId="1DEFE256" w14:textId="1ACA692C" w:rsidR="00F00E3D" w:rsidRPr="00717BA3" w:rsidRDefault="00F00E3D" w:rsidP="006F7BCE">
      <w:pPr>
        <w:pStyle w:val="ListParagraph"/>
        <w:numPr>
          <w:ilvl w:val="0"/>
          <w:numId w:val="6"/>
        </w:numPr>
        <w:spacing w:after="0" w:line="276" w:lineRule="auto"/>
        <w:rPr>
          <w:rFonts w:asciiTheme="majorHAnsi" w:hAnsiTheme="majorHAnsi" w:cstheme="majorBidi"/>
          <w:sz w:val="23"/>
          <w:szCs w:val="23"/>
        </w:rPr>
      </w:pPr>
      <w:r w:rsidRPr="00ED1F9E">
        <w:rPr>
          <w:rFonts w:cstheme="minorHAnsi"/>
          <w:b/>
          <w:bCs/>
          <w:sz w:val="23"/>
          <w:szCs w:val="23"/>
        </w:rPr>
        <w:t xml:space="preserve">Mental Health </w:t>
      </w:r>
      <w:r w:rsidR="00ED1F9E">
        <w:rPr>
          <w:rFonts w:cstheme="minorHAnsi"/>
          <w:b/>
          <w:bCs/>
          <w:sz w:val="23"/>
          <w:szCs w:val="23"/>
        </w:rPr>
        <w:t>T</w:t>
      </w:r>
      <w:r w:rsidRPr="00ED1F9E">
        <w:rPr>
          <w:rFonts w:cstheme="minorHAnsi"/>
          <w:b/>
          <w:bCs/>
          <w:sz w:val="23"/>
          <w:szCs w:val="23"/>
        </w:rPr>
        <w:t>raining</w:t>
      </w:r>
      <w:r w:rsidRPr="00ED1F9E">
        <w:rPr>
          <w:rFonts w:cstheme="minorHAnsi"/>
          <w:sz w:val="23"/>
          <w:szCs w:val="23"/>
        </w:rPr>
        <w:t>:</w:t>
      </w:r>
      <w:r w:rsidRPr="27ED1008">
        <w:rPr>
          <w:rFonts w:asciiTheme="majorHAnsi" w:hAnsiTheme="majorHAnsi" w:cstheme="majorBidi"/>
          <w:sz w:val="23"/>
          <w:szCs w:val="23"/>
        </w:rPr>
        <w:t xml:space="preserve"> a range of events, services and activities designed to provide informal, culturally appropriate, professional mental health support for young people and their parents. This included free individual counselling sessions, and Mindfulness Monday, a regular video check-in enabling young people to debrief and reflect on their wellbeing, supported by peers and a counsellor.</w:t>
      </w:r>
    </w:p>
    <w:p w14:paraId="16CAC5DA" w14:textId="02839083" w:rsidR="00F00E3D" w:rsidRPr="00F83CC1" w:rsidRDefault="00F00E3D" w:rsidP="006F7BCE">
      <w:pPr>
        <w:pStyle w:val="ListParagraph"/>
        <w:numPr>
          <w:ilvl w:val="0"/>
          <w:numId w:val="6"/>
        </w:numPr>
        <w:spacing w:after="0" w:line="276" w:lineRule="auto"/>
        <w:rPr>
          <w:rFonts w:asciiTheme="majorHAnsi" w:hAnsiTheme="majorHAnsi" w:cstheme="majorHAnsi"/>
          <w:sz w:val="23"/>
          <w:szCs w:val="23"/>
        </w:rPr>
      </w:pPr>
      <w:r w:rsidRPr="00ED1F9E">
        <w:rPr>
          <w:rFonts w:cstheme="minorHAnsi"/>
          <w:b/>
          <w:bCs/>
          <w:sz w:val="23"/>
          <w:szCs w:val="23"/>
        </w:rPr>
        <w:t xml:space="preserve">Conversations </w:t>
      </w:r>
      <w:r w:rsidR="00ED1F9E">
        <w:rPr>
          <w:rFonts w:cstheme="minorHAnsi"/>
          <w:b/>
          <w:bCs/>
          <w:sz w:val="23"/>
          <w:szCs w:val="23"/>
        </w:rPr>
        <w:t>B</w:t>
      </w:r>
      <w:r w:rsidRPr="00ED1F9E">
        <w:rPr>
          <w:rFonts w:cstheme="minorHAnsi"/>
          <w:b/>
          <w:bCs/>
          <w:sz w:val="23"/>
          <w:szCs w:val="23"/>
        </w:rPr>
        <w:t xml:space="preserve">etween </w:t>
      </w:r>
      <w:r w:rsidR="00ED1F9E">
        <w:rPr>
          <w:rFonts w:cstheme="minorHAnsi"/>
          <w:b/>
          <w:bCs/>
          <w:sz w:val="23"/>
          <w:szCs w:val="23"/>
        </w:rPr>
        <w:t>G</w:t>
      </w:r>
      <w:r w:rsidRPr="00ED1F9E">
        <w:rPr>
          <w:rFonts w:cstheme="minorHAnsi"/>
          <w:b/>
          <w:bCs/>
          <w:sz w:val="23"/>
          <w:szCs w:val="23"/>
        </w:rPr>
        <w:t>enerations:</w:t>
      </w:r>
      <w:r w:rsidRPr="005F2DFD">
        <w:rPr>
          <w:rFonts w:asciiTheme="majorHAnsi" w:hAnsiTheme="majorHAnsi" w:cstheme="majorHAnsi"/>
          <w:sz w:val="23"/>
          <w:szCs w:val="23"/>
        </w:rPr>
        <w:t xml:space="preserve"> young people host</w:t>
      </w:r>
      <w:r>
        <w:rPr>
          <w:rFonts w:asciiTheme="majorHAnsi" w:hAnsiTheme="majorHAnsi" w:cstheme="majorHAnsi"/>
          <w:sz w:val="23"/>
          <w:szCs w:val="23"/>
        </w:rPr>
        <w:t>ed</w:t>
      </w:r>
      <w:r w:rsidRPr="005F2DFD">
        <w:rPr>
          <w:rFonts w:asciiTheme="majorHAnsi" w:hAnsiTheme="majorHAnsi" w:cstheme="majorHAnsi"/>
          <w:sz w:val="23"/>
          <w:szCs w:val="23"/>
        </w:rPr>
        <w:t xml:space="preserve"> fortnightly conversations with older South Sud</w:t>
      </w:r>
      <w:r>
        <w:rPr>
          <w:rFonts w:asciiTheme="majorHAnsi" w:hAnsiTheme="majorHAnsi" w:cstheme="majorHAnsi"/>
          <w:sz w:val="23"/>
          <w:szCs w:val="23"/>
        </w:rPr>
        <w:t>a</w:t>
      </w:r>
      <w:r w:rsidRPr="005F2DFD">
        <w:rPr>
          <w:rFonts w:asciiTheme="majorHAnsi" w:hAnsiTheme="majorHAnsi" w:cstheme="majorHAnsi"/>
          <w:sz w:val="23"/>
          <w:szCs w:val="23"/>
        </w:rPr>
        <w:t>nese Australians about mental health and wellbeing</w:t>
      </w:r>
      <w:r>
        <w:rPr>
          <w:rFonts w:asciiTheme="majorHAnsi" w:hAnsiTheme="majorHAnsi" w:cstheme="majorHAnsi"/>
          <w:sz w:val="23"/>
          <w:szCs w:val="23"/>
        </w:rPr>
        <w:t xml:space="preserve">. </w:t>
      </w:r>
      <w:r w:rsidRPr="005F2DFD">
        <w:rPr>
          <w:rFonts w:asciiTheme="majorHAnsi" w:hAnsiTheme="majorHAnsi" w:cstheme="majorHAnsi"/>
          <w:sz w:val="23"/>
          <w:szCs w:val="23"/>
        </w:rPr>
        <w:t>A spin-off of a previous successful program, ‘Talk with Me’, th</w:t>
      </w:r>
      <w:r>
        <w:rPr>
          <w:rFonts w:asciiTheme="majorHAnsi" w:hAnsiTheme="majorHAnsi" w:cstheme="majorHAnsi"/>
          <w:sz w:val="23"/>
          <w:szCs w:val="23"/>
        </w:rPr>
        <w:t>e</w:t>
      </w:r>
      <w:r w:rsidRPr="005F2DFD">
        <w:rPr>
          <w:rFonts w:asciiTheme="majorHAnsi" w:hAnsiTheme="majorHAnsi" w:cstheme="majorHAnsi"/>
          <w:sz w:val="23"/>
          <w:szCs w:val="23"/>
        </w:rPr>
        <w:t xml:space="preserve"> project sought to foster understanding and empathy of diverse </w:t>
      </w:r>
      <w:r w:rsidRPr="00F83CC1">
        <w:rPr>
          <w:rFonts w:asciiTheme="majorHAnsi" w:hAnsiTheme="majorHAnsi" w:cstheme="majorHAnsi"/>
          <w:sz w:val="23"/>
          <w:szCs w:val="23"/>
        </w:rPr>
        <w:t>experiences across generations. Livestreamed to Facebook, seven conversations attracted 7800 total views.</w:t>
      </w:r>
    </w:p>
    <w:p w14:paraId="7C14F00B" w14:textId="77777777" w:rsidR="00F00E3D" w:rsidRPr="00C24F55" w:rsidRDefault="00F00E3D" w:rsidP="009B2FA7">
      <w:pPr>
        <w:spacing w:after="0" w:line="276" w:lineRule="auto"/>
        <w:rPr>
          <w:rFonts w:asciiTheme="majorHAnsi" w:hAnsiTheme="majorHAnsi" w:cstheme="majorHAnsi"/>
          <w:sz w:val="16"/>
          <w:szCs w:val="16"/>
        </w:rPr>
      </w:pPr>
    </w:p>
    <w:p w14:paraId="4A49CA82" w14:textId="77777777" w:rsidR="00F00E3D" w:rsidRPr="00F83CC1" w:rsidRDefault="00F00E3D" w:rsidP="009B2FA7">
      <w:pPr>
        <w:spacing w:after="0" w:line="276" w:lineRule="auto"/>
        <w:rPr>
          <w:rFonts w:asciiTheme="majorHAnsi" w:hAnsiTheme="majorHAnsi" w:cstheme="majorBidi"/>
          <w:sz w:val="23"/>
          <w:szCs w:val="23"/>
        </w:rPr>
      </w:pPr>
      <w:r w:rsidRPr="00C24F55">
        <w:rPr>
          <w:rFonts w:asciiTheme="majorHAnsi" w:hAnsiTheme="majorHAnsi" w:cstheme="majorBidi"/>
          <w:sz w:val="23"/>
          <w:szCs w:val="23"/>
        </w:rPr>
        <w:t>Social justice consultancy Clear Horizons is currently evaluating</w:t>
      </w:r>
      <w:r w:rsidRPr="47C6F23B">
        <w:rPr>
          <w:rFonts w:asciiTheme="majorHAnsi" w:hAnsiTheme="majorHAnsi" w:cstheme="majorBidi"/>
          <w:sz w:val="23"/>
          <w:szCs w:val="23"/>
        </w:rPr>
        <w:t xml:space="preserve"> the program, but community testimonies point to several beneficial outcomes (TACSI, 2020): building social capital and community capacity, reducing stigma and isolation, increasing belonging and community pride, fostering creative expression, building leadership skills, showcasing youth culture, strengthening intergenerational communication, and connecting young people with mental health services.</w:t>
      </w:r>
    </w:p>
    <w:p w14:paraId="0BEAC874" w14:textId="77777777" w:rsidR="00F00E3D" w:rsidRPr="00C24F55" w:rsidRDefault="00F00E3D" w:rsidP="009B2FA7">
      <w:pPr>
        <w:spacing w:after="0" w:line="276" w:lineRule="auto"/>
        <w:rPr>
          <w:rFonts w:asciiTheme="majorHAnsi" w:hAnsiTheme="majorHAnsi" w:cstheme="majorBidi"/>
          <w:sz w:val="16"/>
          <w:szCs w:val="16"/>
        </w:rPr>
      </w:pPr>
    </w:p>
    <w:p w14:paraId="4918BAD8" w14:textId="11474A33" w:rsidR="00F00E3D" w:rsidRDefault="00F00E3D" w:rsidP="00684122">
      <w:pPr>
        <w:spacing w:after="0" w:line="276" w:lineRule="auto"/>
        <w:rPr>
          <w:rFonts w:asciiTheme="majorHAnsi" w:hAnsiTheme="majorHAnsi" w:cstheme="majorBidi"/>
          <w:sz w:val="23"/>
          <w:szCs w:val="23"/>
        </w:rPr>
      </w:pPr>
      <w:r w:rsidRPr="47C6F23B">
        <w:rPr>
          <w:rFonts w:asciiTheme="majorHAnsi" w:hAnsiTheme="majorHAnsi" w:cstheme="majorBidi"/>
          <w:sz w:val="23"/>
          <w:szCs w:val="23"/>
        </w:rPr>
        <w:t xml:space="preserve">Success factors include effective partnership-building, leveraging of online platforms, </w:t>
      </w:r>
      <w:r w:rsidR="0035644D">
        <w:rPr>
          <w:rFonts w:asciiTheme="majorHAnsi" w:hAnsiTheme="majorHAnsi" w:cstheme="majorBidi"/>
          <w:sz w:val="23"/>
          <w:szCs w:val="23"/>
        </w:rPr>
        <w:t xml:space="preserve">adequate timeframes to build relationships of trust, </w:t>
      </w:r>
      <w:r w:rsidRPr="47C6F23B">
        <w:rPr>
          <w:rFonts w:asciiTheme="majorHAnsi" w:hAnsiTheme="majorHAnsi" w:cstheme="majorBidi"/>
          <w:sz w:val="23"/>
          <w:szCs w:val="23"/>
        </w:rPr>
        <w:t xml:space="preserve">and TACSI’s </w:t>
      </w:r>
      <w:r w:rsidR="00AB7B06">
        <w:rPr>
          <w:rFonts w:asciiTheme="majorHAnsi" w:hAnsiTheme="majorHAnsi" w:cstheme="majorBidi"/>
          <w:sz w:val="23"/>
          <w:szCs w:val="23"/>
        </w:rPr>
        <w:t>collaborative,</w:t>
      </w:r>
      <w:r w:rsidRPr="47C6F23B">
        <w:rPr>
          <w:rFonts w:asciiTheme="majorHAnsi" w:hAnsiTheme="majorHAnsi" w:cstheme="majorBidi"/>
          <w:sz w:val="23"/>
          <w:szCs w:val="23"/>
        </w:rPr>
        <w:t xml:space="preserve"> community-led approach to tackling place-based disadvantage</w:t>
      </w:r>
      <w:r w:rsidR="001471E3">
        <w:rPr>
          <w:rFonts w:asciiTheme="majorHAnsi" w:hAnsiTheme="majorHAnsi" w:cstheme="majorBidi"/>
          <w:sz w:val="23"/>
          <w:szCs w:val="23"/>
        </w:rPr>
        <w:t>, including the use of co-design strategies</w:t>
      </w:r>
      <w:r w:rsidRPr="47C6F23B">
        <w:rPr>
          <w:rFonts w:asciiTheme="majorHAnsi" w:hAnsiTheme="majorHAnsi" w:cstheme="majorBidi"/>
          <w:sz w:val="23"/>
          <w:szCs w:val="23"/>
        </w:rPr>
        <w:t>. A finalist in the 2020 Premier’s Design Awards for Service Design, the DHHS-funded program is described as low cost, and adaptable to offline settings.</w:t>
      </w:r>
    </w:p>
    <w:p w14:paraId="4EFEC82F" w14:textId="77777777" w:rsidR="00F00E3D" w:rsidRPr="00C24F55" w:rsidRDefault="00F00E3D" w:rsidP="009B2FA7">
      <w:pPr>
        <w:spacing w:after="0" w:line="276" w:lineRule="auto"/>
        <w:rPr>
          <w:rFonts w:cstheme="majorBidi"/>
          <w:b/>
          <w:bCs/>
          <w:sz w:val="16"/>
          <w:szCs w:val="16"/>
        </w:rPr>
      </w:pPr>
    </w:p>
    <w:p w14:paraId="1F528E0A" w14:textId="3AAA1058" w:rsidR="00F00E3D" w:rsidRPr="00BE7B3A" w:rsidRDefault="00F00E3D" w:rsidP="009B2FA7">
      <w:pPr>
        <w:spacing w:after="0" w:line="276" w:lineRule="auto"/>
        <w:rPr>
          <w:rFonts w:cstheme="majorBidi"/>
          <w:b/>
          <w:bCs/>
          <w:sz w:val="25"/>
          <w:szCs w:val="25"/>
        </w:rPr>
      </w:pPr>
      <w:bookmarkStart w:id="64" w:name="_Hlk70863653"/>
      <w:r w:rsidRPr="359636AC">
        <w:rPr>
          <w:rFonts w:cstheme="majorBidi"/>
          <w:b/>
          <w:bCs/>
          <w:sz w:val="25"/>
          <w:szCs w:val="25"/>
        </w:rPr>
        <w:t>Neighbourhood Renewal Program: Place-</w:t>
      </w:r>
      <w:r w:rsidR="00BE7CF9" w:rsidRPr="359636AC">
        <w:rPr>
          <w:rFonts w:cstheme="majorBidi"/>
          <w:b/>
          <w:bCs/>
          <w:sz w:val="25"/>
          <w:szCs w:val="25"/>
        </w:rPr>
        <w:t xml:space="preserve">Based Initiative </w:t>
      </w:r>
      <w:r w:rsidR="00BE7CF9">
        <w:rPr>
          <w:rFonts w:cstheme="majorBidi"/>
          <w:b/>
          <w:bCs/>
          <w:sz w:val="25"/>
          <w:szCs w:val="25"/>
        </w:rPr>
        <w:t>t</w:t>
      </w:r>
      <w:r w:rsidR="00BE7CF9" w:rsidRPr="359636AC">
        <w:rPr>
          <w:rFonts w:cstheme="majorBidi"/>
          <w:b/>
          <w:bCs/>
          <w:sz w:val="25"/>
          <w:szCs w:val="25"/>
        </w:rPr>
        <w:t>o Tackle Locational Disadvantage</w:t>
      </w:r>
    </w:p>
    <w:p w14:paraId="3D1FDCBE" w14:textId="77777777" w:rsidR="00F00E3D" w:rsidRPr="00BE7B3A" w:rsidRDefault="00F00E3D" w:rsidP="009B2FA7">
      <w:pPr>
        <w:spacing w:after="0" w:line="276" w:lineRule="auto"/>
        <w:rPr>
          <w:rFonts w:cstheme="majorBidi"/>
          <w:b/>
          <w:bCs/>
          <w:sz w:val="23"/>
          <w:szCs w:val="23"/>
        </w:rPr>
      </w:pPr>
      <w:r w:rsidRPr="359636AC">
        <w:rPr>
          <w:rFonts w:cstheme="majorBidi"/>
          <w:b/>
          <w:bCs/>
          <w:sz w:val="23"/>
          <w:szCs w:val="23"/>
        </w:rPr>
        <w:t xml:space="preserve">Corio-Norlane (2003–2010); </w:t>
      </w:r>
      <w:r>
        <w:rPr>
          <w:rFonts w:cstheme="majorBidi"/>
          <w:b/>
          <w:bCs/>
          <w:sz w:val="23"/>
          <w:szCs w:val="23"/>
        </w:rPr>
        <w:t>20</w:t>
      </w:r>
      <w:r w:rsidRPr="359636AC">
        <w:rPr>
          <w:rFonts w:cstheme="majorBidi"/>
          <w:b/>
          <w:bCs/>
          <w:sz w:val="23"/>
          <w:szCs w:val="23"/>
        </w:rPr>
        <w:t xml:space="preserve"> other sites across Victoria (2002–2010)</w:t>
      </w:r>
    </w:p>
    <w:bookmarkEnd w:id="64"/>
    <w:p w14:paraId="0A6426F7" w14:textId="77777777" w:rsidR="00F00E3D" w:rsidRPr="001445E0" w:rsidRDefault="00F00E3D" w:rsidP="009B2FA7">
      <w:pPr>
        <w:spacing w:after="0" w:line="276" w:lineRule="auto"/>
        <w:rPr>
          <w:rFonts w:asciiTheme="majorHAnsi" w:hAnsiTheme="majorHAnsi" w:cstheme="majorBidi"/>
          <w:b/>
          <w:bCs/>
          <w:sz w:val="16"/>
          <w:szCs w:val="16"/>
        </w:rPr>
      </w:pPr>
    </w:p>
    <w:p w14:paraId="3F377F36" w14:textId="40A13FFC" w:rsidR="00F00E3D" w:rsidRPr="00CC521D" w:rsidRDefault="00CC521D" w:rsidP="009B2FA7">
      <w:pPr>
        <w:spacing w:after="0" w:line="276" w:lineRule="auto"/>
        <w:rPr>
          <w:rFonts w:cstheme="minorHAnsi"/>
          <w:b/>
          <w:bCs/>
          <w:color w:val="595959" w:themeColor="text1" w:themeTint="A6"/>
          <w:sz w:val="23"/>
          <w:szCs w:val="23"/>
          <w:shd w:val="clear" w:color="auto" w:fill="FFFFFF"/>
        </w:rPr>
      </w:pPr>
      <w:r>
        <w:rPr>
          <w:rFonts w:cstheme="minorHAnsi"/>
          <w:b/>
          <w:bCs/>
          <w:color w:val="595959" w:themeColor="text1" w:themeTint="A6"/>
          <w:sz w:val="23"/>
          <w:szCs w:val="23"/>
          <w:shd w:val="clear" w:color="auto" w:fill="FFFFFF"/>
        </w:rPr>
        <w:t xml:space="preserve">All </w:t>
      </w:r>
      <w:r w:rsidR="00D95573">
        <w:rPr>
          <w:rFonts w:cstheme="minorHAnsi"/>
          <w:b/>
          <w:bCs/>
          <w:color w:val="595959" w:themeColor="text1" w:themeTint="A6"/>
          <w:sz w:val="23"/>
          <w:szCs w:val="23"/>
          <w:shd w:val="clear" w:color="auto" w:fill="FFFFFF"/>
        </w:rPr>
        <w:t>Practice Domain</w:t>
      </w:r>
      <w:r w:rsidR="00F00E3D" w:rsidRPr="00CC521D">
        <w:rPr>
          <w:rFonts w:cstheme="minorHAnsi"/>
          <w:b/>
          <w:bCs/>
          <w:color w:val="595959" w:themeColor="text1" w:themeTint="A6"/>
          <w:sz w:val="23"/>
          <w:szCs w:val="23"/>
          <w:shd w:val="clear" w:color="auto" w:fill="FFFFFF"/>
        </w:rPr>
        <w:t>s: Employment, Education, Housing, Liveability, Health and Wellbeing</w:t>
      </w:r>
    </w:p>
    <w:p w14:paraId="4F181E45" w14:textId="77777777" w:rsidR="00F00E3D" w:rsidRPr="00C24F55" w:rsidRDefault="00F00E3D" w:rsidP="009B2FA7">
      <w:pPr>
        <w:spacing w:after="0" w:line="276" w:lineRule="auto"/>
        <w:rPr>
          <w:rFonts w:asciiTheme="majorHAnsi" w:hAnsiTheme="majorHAnsi" w:cstheme="majorBidi"/>
          <w:sz w:val="16"/>
          <w:szCs w:val="16"/>
        </w:rPr>
      </w:pPr>
    </w:p>
    <w:p w14:paraId="6B4E2D3B" w14:textId="39CCFBB6" w:rsidR="00F00E3D" w:rsidRPr="00C51C47" w:rsidRDefault="00F00E3D" w:rsidP="009B2FA7">
      <w:pPr>
        <w:spacing w:after="0" w:line="276" w:lineRule="auto"/>
        <w:rPr>
          <w:rFonts w:asciiTheme="majorHAnsi" w:hAnsiTheme="majorHAnsi" w:cstheme="majorBidi"/>
          <w:sz w:val="23"/>
          <w:szCs w:val="23"/>
          <w:shd w:val="clear" w:color="auto" w:fill="FFFFFF"/>
        </w:rPr>
      </w:pPr>
      <w:r w:rsidRPr="359636AC">
        <w:rPr>
          <w:rFonts w:asciiTheme="majorHAnsi" w:hAnsiTheme="majorHAnsi" w:cstheme="majorBidi"/>
          <w:sz w:val="23"/>
          <w:szCs w:val="23"/>
        </w:rPr>
        <w:t xml:space="preserve">The Neighbourhood Renewal Program (NRP) was a Victorian State Government initiative that sought to </w:t>
      </w:r>
      <w:r w:rsidRPr="359636AC">
        <w:rPr>
          <w:rFonts w:asciiTheme="majorHAnsi" w:hAnsiTheme="majorHAnsi" w:cstheme="majorBidi"/>
          <w:sz w:val="23"/>
          <w:szCs w:val="23"/>
          <w:shd w:val="clear" w:color="auto" w:fill="FFFFFF"/>
        </w:rPr>
        <w:t xml:space="preserve">narrow the gap between </w:t>
      </w:r>
      <w:r>
        <w:rPr>
          <w:rFonts w:asciiTheme="majorHAnsi" w:hAnsiTheme="majorHAnsi" w:cstheme="majorBidi"/>
          <w:sz w:val="23"/>
          <w:szCs w:val="23"/>
          <w:shd w:val="clear" w:color="auto" w:fill="FFFFFF"/>
        </w:rPr>
        <w:t xml:space="preserve">communities affected </w:t>
      </w:r>
      <w:r w:rsidRPr="00C51C47">
        <w:rPr>
          <w:rFonts w:asciiTheme="majorHAnsi" w:hAnsiTheme="majorHAnsi" w:cstheme="majorBidi"/>
          <w:sz w:val="23"/>
          <w:szCs w:val="23"/>
          <w:shd w:val="clear" w:color="auto" w:fill="FFFFFF"/>
        </w:rPr>
        <w:t>by disadvantage and the rest of Victoria (Victorian Government, 2007).</w:t>
      </w:r>
      <w:r w:rsidRPr="00C51C47">
        <w:rPr>
          <w:rFonts w:asciiTheme="majorHAnsi" w:hAnsiTheme="majorHAnsi" w:cstheme="majorBidi"/>
          <w:sz w:val="23"/>
          <w:szCs w:val="23"/>
        </w:rPr>
        <w:t xml:space="preserve"> Its broad goals were socioeconomic inclusion, social cohesion, and urban renewal.</w:t>
      </w:r>
      <w:r w:rsidRPr="00C51C47">
        <w:rPr>
          <w:rFonts w:asciiTheme="majorHAnsi" w:hAnsiTheme="majorHAnsi" w:cstheme="majorBidi"/>
          <w:sz w:val="23"/>
          <w:szCs w:val="23"/>
          <w:shd w:val="clear" w:color="auto" w:fill="FFFFFF"/>
        </w:rPr>
        <w:t xml:space="preserve"> The program ran in 21 areas with concentrations of poverty, unemployment and public housing. As </w:t>
      </w:r>
      <w:r w:rsidR="00C40613" w:rsidRPr="00C51C47">
        <w:rPr>
          <w:rFonts w:asciiTheme="majorHAnsi" w:hAnsiTheme="majorHAnsi" w:cstheme="majorBidi"/>
          <w:sz w:val="23"/>
          <w:szCs w:val="23"/>
          <w:shd w:val="clear" w:color="auto" w:fill="FFFFFF"/>
        </w:rPr>
        <w:t>we have noted</w:t>
      </w:r>
      <w:r w:rsidRPr="00C51C47">
        <w:rPr>
          <w:rFonts w:asciiTheme="majorHAnsi" w:hAnsiTheme="majorHAnsi" w:cstheme="majorBidi"/>
          <w:sz w:val="23"/>
          <w:szCs w:val="23"/>
          <w:shd w:val="clear" w:color="auto" w:fill="FFFFFF"/>
        </w:rPr>
        <w:t>, Corio–Norlane was one target site (see Section 2, p.</w:t>
      </w:r>
      <w:r w:rsidR="0081306D" w:rsidRPr="00C51C47">
        <w:rPr>
          <w:rFonts w:asciiTheme="majorHAnsi" w:hAnsiTheme="majorHAnsi" w:cstheme="majorBidi"/>
          <w:sz w:val="23"/>
          <w:szCs w:val="23"/>
          <w:shd w:val="clear" w:color="auto" w:fill="FFFFFF"/>
        </w:rPr>
        <w:t xml:space="preserve"> </w:t>
      </w:r>
      <w:r w:rsidRPr="00C51C47">
        <w:rPr>
          <w:rFonts w:asciiTheme="majorHAnsi" w:hAnsiTheme="majorHAnsi" w:cstheme="majorBidi"/>
          <w:sz w:val="23"/>
          <w:szCs w:val="23"/>
          <w:shd w:val="clear" w:color="auto" w:fill="FFFFFF"/>
        </w:rPr>
        <w:t>2</w:t>
      </w:r>
      <w:r w:rsidR="00C51C47" w:rsidRPr="00C51C47">
        <w:rPr>
          <w:rFonts w:asciiTheme="majorHAnsi" w:hAnsiTheme="majorHAnsi" w:cstheme="majorBidi"/>
          <w:sz w:val="23"/>
          <w:szCs w:val="23"/>
          <w:shd w:val="clear" w:color="auto" w:fill="FFFFFF"/>
        </w:rPr>
        <w:t>1</w:t>
      </w:r>
      <w:r w:rsidR="00AD2DA5">
        <w:rPr>
          <w:rFonts w:asciiTheme="majorHAnsi" w:hAnsiTheme="majorHAnsi" w:cstheme="majorBidi"/>
          <w:sz w:val="23"/>
          <w:szCs w:val="23"/>
          <w:shd w:val="clear" w:color="auto" w:fill="FFFFFF"/>
        </w:rPr>
        <w:t>,</w:t>
      </w:r>
      <w:r w:rsidRPr="00C51C47">
        <w:rPr>
          <w:rFonts w:asciiTheme="majorHAnsi" w:hAnsiTheme="majorHAnsi" w:cstheme="majorBidi"/>
          <w:sz w:val="23"/>
          <w:szCs w:val="23"/>
          <w:shd w:val="clear" w:color="auto" w:fill="FFFFFF"/>
        </w:rPr>
        <w:t xml:space="preserve"> and Section 3, p.</w:t>
      </w:r>
      <w:r w:rsidR="0081306D" w:rsidRPr="00C51C47">
        <w:rPr>
          <w:rFonts w:asciiTheme="majorHAnsi" w:hAnsiTheme="majorHAnsi" w:cstheme="majorBidi"/>
          <w:sz w:val="23"/>
          <w:szCs w:val="23"/>
          <w:shd w:val="clear" w:color="auto" w:fill="FFFFFF"/>
        </w:rPr>
        <w:t xml:space="preserve"> </w:t>
      </w:r>
      <w:r w:rsidRPr="00C51C47">
        <w:rPr>
          <w:rFonts w:asciiTheme="majorHAnsi" w:hAnsiTheme="majorHAnsi" w:cstheme="majorBidi"/>
          <w:sz w:val="23"/>
          <w:szCs w:val="23"/>
          <w:shd w:val="clear" w:color="auto" w:fill="FFFFFF"/>
        </w:rPr>
        <w:t>49).</w:t>
      </w:r>
    </w:p>
    <w:p w14:paraId="312A2D6A" w14:textId="77777777" w:rsidR="00F00E3D" w:rsidRPr="00C51C47" w:rsidRDefault="00F00E3D" w:rsidP="009B2FA7">
      <w:pPr>
        <w:spacing w:after="0" w:line="276" w:lineRule="auto"/>
        <w:rPr>
          <w:rFonts w:asciiTheme="majorHAnsi" w:hAnsiTheme="majorHAnsi" w:cstheme="majorBidi"/>
          <w:sz w:val="16"/>
          <w:szCs w:val="16"/>
          <w:shd w:val="clear" w:color="auto" w:fill="FFFFFF"/>
        </w:rPr>
      </w:pPr>
    </w:p>
    <w:p w14:paraId="3A1D1473" w14:textId="77777777" w:rsidR="00F00E3D" w:rsidRDefault="00F00E3D" w:rsidP="009B2FA7">
      <w:pPr>
        <w:spacing w:after="0" w:line="276" w:lineRule="auto"/>
        <w:rPr>
          <w:rFonts w:asciiTheme="majorHAnsi" w:hAnsiTheme="majorHAnsi" w:cstheme="majorBidi"/>
          <w:sz w:val="23"/>
          <w:szCs w:val="23"/>
          <w:shd w:val="clear" w:color="auto" w:fill="FFFFFF"/>
        </w:rPr>
      </w:pPr>
      <w:r w:rsidRPr="00C51C47">
        <w:rPr>
          <w:rFonts w:asciiTheme="majorHAnsi" w:hAnsiTheme="majorHAnsi" w:cstheme="majorBidi"/>
          <w:sz w:val="23"/>
          <w:szCs w:val="23"/>
          <w:shd w:val="clear" w:color="auto" w:fill="FFFFFF"/>
        </w:rPr>
        <w:t xml:space="preserve">The NRP sought to target the drivers of inequality (Klein &amp; Knowles, 2005: 3). </w:t>
      </w:r>
      <w:r w:rsidRPr="00C51C47">
        <w:rPr>
          <w:rFonts w:asciiTheme="majorHAnsi" w:hAnsiTheme="majorHAnsi" w:cstheme="majorBidi"/>
          <w:sz w:val="23"/>
          <w:szCs w:val="23"/>
        </w:rPr>
        <w:t>Its</w:t>
      </w:r>
      <w:r w:rsidRPr="2B116086">
        <w:rPr>
          <w:rFonts w:asciiTheme="majorHAnsi" w:hAnsiTheme="majorHAnsi" w:cstheme="majorBidi"/>
          <w:sz w:val="23"/>
          <w:szCs w:val="23"/>
        </w:rPr>
        <w:t xml:space="preserve"> primary goal was to increase local </w:t>
      </w:r>
      <w:r w:rsidRPr="2B116086">
        <w:rPr>
          <w:rFonts w:asciiTheme="majorHAnsi" w:hAnsiTheme="majorHAnsi" w:cstheme="majorBidi"/>
          <w:sz w:val="23"/>
          <w:szCs w:val="23"/>
          <w:shd w:val="clear" w:color="auto" w:fill="FFFFFF"/>
        </w:rPr>
        <w:t>employment, learning and economic activity, but it also aimed to improve service delivery and access, enhance public housing and local amenities, boost community pride and participation, reduce crime, and promote health and wellbeing. Key priorities were early intervention and tackling intergenerational poverty. Comparable overseas initiatives include the New Deal for Communities program (UK), established in 1998 by Tony Blair.</w:t>
      </w:r>
    </w:p>
    <w:p w14:paraId="08A64A8F" w14:textId="77777777" w:rsidR="00F00E3D" w:rsidRPr="00C24F55" w:rsidRDefault="00F00E3D" w:rsidP="009B2FA7">
      <w:pPr>
        <w:spacing w:after="0" w:line="276" w:lineRule="auto"/>
        <w:rPr>
          <w:rFonts w:asciiTheme="majorHAnsi" w:hAnsiTheme="majorHAnsi" w:cstheme="majorBidi"/>
          <w:sz w:val="16"/>
          <w:szCs w:val="16"/>
          <w:shd w:val="clear" w:color="auto" w:fill="FFFFFF"/>
        </w:rPr>
      </w:pPr>
    </w:p>
    <w:p w14:paraId="6E870E10" w14:textId="607ABA41" w:rsidR="00F00E3D" w:rsidRDefault="00F00E3D" w:rsidP="009B2FA7">
      <w:pPr>
        <w:spacing w:after="0" w:line="276" w:lineRule="auto"/>
        <w:rPr>
          <w:rFonts w:asciiTheme="majorHAnsi" w:hAnsiTheme="majorHAnsi" w:cstheme="majorBidi"/>
          <w:sz w:val="23"/>
          <w:szCs w:val="23"/>
          <w:shd w:val="clear" w:color="auto" w:fill="FFFFFF"/>
        </w:rPr>
      </w:pPr>
      <w:r>
        <w:rPr>
          <w:rFonts w:asciiTheme="majorHAnsi" w:hAnsiTheme="majorHAnsi" w:cstheme="majorBidi"/>
          <w:sz w:val="23"/>
          <w:szCs w:val="23"/>
          <w:shd w:val="clear" w:color="auto" w:fill="FFFFFF"/>
        </w:rPr>
        <w:lastRenderedPageBreak/>
        <w:t>Built around</w:t>
      </w:r>
      <w:r w:rsidRPr="359636AC">
        <w:rPr>
          <w:rFonts w:asciiTheme="majorHAnsi" w:hAnsiTheme="majorHAnsi" w:cstheme="majorBidi"/>
          <w:sz w:val="23"/>
          <w:szCs w:val="23"/>
          <w:shd w:val="clear" w:color="auto" w:fill="FFFFFF"/>
        </w:rPr>
        <w:t xml:space="preserve"> “place-based partnerships” between government, the community sector, business and local communities, the NRP took a whole-of-government approach. While state-funded, the program was tailored closely to the needs of local communities. Small teams oversaw a range of sub-projects designed to manifest at neighbourhood level. Key initiatives included targeted </w:t>
      </w:r>
      <w:r w:rsidRPr="359636AC">
        <w:rPr>
          <w:rFonts w:asciiTheme="majorHAnsi" w:hAnsiTheme="majorHAnsi" w:cstheme="majorBidi"/>
          <w:sz w:val="23"/>
          <w:szCs w:val="23"/>
        </w:rPr>
        <w:t>employment programs (skills registers, “one-stop” job shops for public housing tenants), learning and capacity-building projects (disengaged youth initiative, homework clubs, community IT hubs), social enterprises (catering companies, cafes), new community</w:t>
      </w:r>
      <w:r w:rsidRPr="359636AC">
        <w:rPr>
          <w:rFonts w:asciiTheme="majorHAnsi" w:hAnsiTheme="majorHAnsi" w:cstheme="majorBidi"/>
          <w:sz w:val="23"/>
          <w:szCs w:val="23"/>
          <w:shd w:val="clear" w:color="auto" w:fill="FFFFFF"/>
        </w:rPr>
        <w:t xml:space="preserve"> infrastructure and safety improvements (basketball courts, community gardens, local park and social housing upgrades, bus route variations, demolition of “unsafe” public spaces).</w:t>
      </w:r>
    </w:p>
    <w:p w14:paraId="5F484B51" w14:textId="77777777" w:rsidR="001471E3" w:rsidRPr="001471E3" w:rsidRDefault="001471E3" w:rsidP="009B2FA7">
      <w:pPr>
        <w:spacing w:after="0" w:line="276" w:lineRule="auto"/>
        <w:rPr>
          <w:rFonts w:asciiTheme="majorHAnsi" w:hAnsiTheme="majorHAnsi" w:cstheme="majorBidi"/>
          <w:sz w:val="16"/>
          <w:szCs w:val="16"/>
          <w:shd w:val="clear" w:color="auto" w:fill="FFFFFF"/>
        </w:rPr>
      </w:pPr>
    </w:p>
    <w:p w14:paraId="4E336BE8" w14:textId="77777777" w:rsidR="00F00E3D" w:rsidRDefault="00F00E3D" w:rsidP="009B2FA7">
      <w:pPr>
        <w:spacing w:after="0" w:line="276" w:lineRule="auto"/>
        <w:rPr>
          <w:rFonts w:asciiTheme="majorHAnsi" w:hAnsiTheme="majorHAnsi" w:cstheme="majorBidi"/>
          <w:sz w:val="23"/>
          <w:szCs w:val="23"/>
        </w:rPr>
      </w:pPr>
      <w:r>
        <w:rPr>
          <w:rFonts w:asciiTheme="majorHAnsi" w:hAnsiTheme="majorHAnsi" w:cstheme="majorBidi"/>
          <w:sz w:val="23"/>
          <w:szCs w:val="23"/>
        </w:rPr>
        <w:t>As discussed in Section 3, b</w:t>
      </w:r>
      <w:r w:rsidRPr="2B116086">
        <w:rPr>
          <w:rFonts w:asciiTheme="majorHAnsi" w:hAnsiTheme="majorHAnsi" w:cstheme="majorBidi"/>
          <w:sz w:val="23"/>
          <w:szCs w:val="23"/>
        </w:rPr>
        <w:t xml:space="preserve">enefits </w:t>
      </w:r>
      <w:r>
        <w:rPr>
          <w:rFonts w:asciiTheme="majorHAnsi" w:hAnsiTheme="majorHAnsi" w:cstheme="majorBidi"/>
          <w:sz w:val="23"/>
          <w:szCs w:val="23"/>
        </w:rPr>
        <w:t xml:space="preserve">of the NRP </w:t>
      </w:r>
      <w:r w:rsidRPr="2B116086">
        <w:rPr>
          <w:rFonts w:asciiTheme="majorHAnsi" w:hAnsiTheme="majorHAnsi" w:cstheme="majorBidi"/>
          <w:sz w:val="23"/>
          <w:szCs w:val="23"/>
        </w:rPr>
        <w:t>varied by area</w:t>
      </w:r>
      <w:r w:rsidRPr="2B116086">
        <w:rPr>
          <w:rFonts w:asciiTheme="majorHAnsi" w:hAnsiTheme="majorHAnsi" w:cstheme="majorBidi"/>
          <w:sz w:val="23"/>
          <w:szCs w:val="23"/>
          <w:shd w:val="clear" w:color="auto" w:fill="FFFFFF"/>
        </w:rPr>
        <w:t>, but overall outcomes were positive (</w:t>
      </w:r>
      <w:r w:rsidRPr="359636AC">
        <w:rPr>
          <w:rFonts w:asciiTheme="majorHAnsi" w:hAnsiTheme="majorHAnsi" w:cstheme="majorBidi"/>
          <w:sz w:val="23"/>
          <w:szCs w:val="23"/>
          <w:shd w:val="clear" w:color="auto" w:fill="FFFFFF"/>
        </w:rPr>
        <w:t>Wood &amp; Cigdem, 2012: 6</w:t>
      </w:r>
      <w:r w:rsidRPr="2B116086">
        <w:rPr>
          <w:rFonts w:asciiTheme="majorHAnsi" w:hAnsiTheme="majorHAnsi" w:cstheme="majorBidi"/>
          <w:sz w:val="23"/>
          <w:szCs w:val="23"/>
          <w:shd w:val="clear" w:color="auto" w:fill="FFFFFF"/>
        </w:rPr>
        <w:t xml:space="preserve">). </w:t>
      </w:r>
      <w:r w:rsidRPr="2B116086">
        <w:rPr>
          <w:rFonts w:asciiTheme="majorHAnsi" w:hAnsiTheme="majorHAnsi" w:cstheme="majorBidi"/>
          <w:sz w:val="23"/>
          <w:szCs w:val="23"/>
        </w:rPr>
        <w:t xml:space="preserve">The program </w:t>
      </w:r>
      <w:r>
        <w:rPr>
          <w:rFonts w:asciiTheme="majorHAnsi" w:hAnsiTheme="majorHAnsi" w:cstheme="majorBidi"/>
          <w:sz w:val="23"/>
          <w:szCs w:val="23"/>
        </w:rPr>
        <w:t xml:space="preserve">was found to </w:t>
      </w:r>
      <w:r w:rsidRPr="2B116086">
        <w:rPr>
          <w:rFonts w:asciiTheme="majorHAnsi" w:hAnsiTheme="majorHAnsi" w:cstheme="majorBidi"/>
          <w:sz w:val="23"/>
          <w:szCs w:val="23"/>
        </w:rPr>
        <w:t>reduce</w:t>
      </w:r>
      <w:r w:rsidRPr="00E303A2">
        <w:t xml:space="preserve"> </w:t>
      </w:r>
      <w:r w:rsidRPr="2B116086">
        <w:rPr>
          <w:rFonts w:asciiTheme="majorHAnsi" w:hAnsiTheme="majorHAnsi" w:cstheme="majorBidi"/>
          <w:sz w:val="23"/>
          <w:szCs w:val="23"/>
        </w:rPr>
        <w:t>disadvantage, social exclusion, unemployment, crime, and school absenteeism</w:t>
      </w:r>
      <w:r>
        <w:rPr>
          <w:rFonts w:asciiTheme="majorHAnsi" w:hAnsiTheme="majorHAnsi" w:cstheme="majorBidi"/>
          <w:sz w:val="23"/>
          <w:szCs w:val="23"/>
        </w:rPr>
        <w:t>,</w:t>
      </w:r>
      <w:r w:rsidRPr="2B116086">
        <w:rPr>
          <w:rFonts w:asciiTheme="majorHAnsi" w:hAnsiTheme="majorHAnsi" w:cstheme="majorBidi"/>
          <w:sz w:val="23"/>
          <w:szCs w:val="23"/>
        </w:rPr>
        <w:t xml:space="preserve"> and increased further education qualifications,</w:t>
      </w:r>
      <w:r w:rsidRPr="00C34FD8">
        <w:t xml:space="preserve"> </w:t>
      </w:r>
      <w:r w:rsidRPr="2B116086">
        <w:rPr>
          <w:rFonts w:asciiTheme="majorHAnsi" w:hAnsiTheme="majorHAnsi" w:cstheme="majorBidi"/>
          <w:sz w:val="23"/>
          <w:szCs w:val="23"/>
        </w:rPr>
        <w:t>community participation, and</w:t>
      </w:r>
      <w:r w:rsidRPr="00AA57CB">
        <w:t xml:space="preserve"> </w:t>
      </w:r>
      <w:r w:rsidRPr="2B116086">
        <w:rPr>
          <w:rFonts w:asciiTheme="majorHAnsi" w:hAnsiTheme="majorHAnsi" w:cstheme="majorBidi"/>
          <w:sz w:val="23"/>
          <w:szCs w:val="23"/>
        </w:rPr>
        <w:t>housing conditions (</w:t>
      </w:r>
      <w:r w:rsidRPr="359636AC">
        <w:rPr>
          <w:rFonts w:asciiTheme="majorHAnsi" w:hAnsiTheme="majorHAnsi" w:cstheme="majorBidi"/>
          <w:sz w:val="23"/>
          <w:szCs w:val="23"/>
        </w:rPr>
        <w:t>Neighbourhood Renewal Unit 2008: 1</w:t>
      </w:r>
      <w:r w:rsidRPr="2B116086">
        <w:rPr>
          <w:rFonts w:asciiTheme="majorHAnsi" w:hAnsiTheme="majorHAnsi" w:cstheme="majorBidi"/>
          <w:sz w:val="23"/>
          <w:szCs w:val="23"/>
        </w:rPr>
        <w:t xml:space="preserve">). </w:t>
      </w:r>
      <w:hyperlink r:id="rId85" w:history="1">
        <w:r w:rsidRPr="2B116086">
          <w:rPr>
            <w:rStyle w:val="Hyperlink"/>
            <w:rFonts w:asciiTheme="majorHAnsi" w:hAnsiTheme="majorHAnsi" w:cstheme="majorBidi"/>
            <w:sz w:val="23"/>
            <w:szCs w:val="23"/>
          </w:rPr>
          <w:t>One evaluation</w:t>
        </w:r>
      </w:hyperlink>
      <w:r w:rsidRPr="2B116086">
        <w:rPr>
          <w:rFonts w:asciiTheme="majorHAnsi" w:hAnsiTheme="majorHAnsi" w:cstheme="majorBidi"/>
          <w:sz w:val="23"/>
          <w:szCs w:val="23"/>
        </w:rPr>
        <w:t xml:space="preserve"> found no area-wide health </w:t>
      </w:r>
      <w:proofErr w:type="gramStart"/>
      <w:r w:rsidRPr="2B116086">
        <w:rPr>
          <w:rFonts w:asciiTheme="majorHAnsi" w:hAnsiTheme="majorHAnsi" w:cstheme="majorBidi"/>
          <w:sz w:val="23"/>
          <w:szCs w:val="23"/>
        </w:rPr>
        <w:t>effects, but</w:t>
      </w:r>
      <w:proofErr w:type="gramEnd"/>
      <w:r w:rsidRPr="2B116086">
        <w:rPr>
          <w:rFonts w:asciiTheme="majorHAnsi" w:hAnsiTheme="majorHAnsi" w:cstheme="majorBidi"/>
          <w:sz w:val="23"/>
          <w:szCs w:val="23"/>
        </w:rPr>
        <w:t xml:space="preserve"> noted improved health and life satisfaction amongst program participants (</w:t>
      </w:r>
      <w:r w:rsidRPr="359636AC">
        <w:rPr>
          <w:rFonts w:asciiTheme="majorHAnsi" w:hAnsiTheme="majorHAnsi" w:cstheme="majorBidi"/>
          <w:sz w:val="23"/>
          <w:szCs w:val="23"/>
        </w:rPr>
        <w:t>Kelaher et al, 2010</w:t>
      </w:r>
      <w:r w:rsidRPr="2B116086">
        <w:rPr>
          <w:rFonts w:asciiTheme="majorHAnsi" w:hAnsiTheme="majorHAnsi" w:cstheme="majorBidi"/>
          <w:sz w:val="23"/>
          <w:szCs w:val="23"/>
        </w:rPr>
        <w:t xml:space="preserve">). </w:t>
      </w:r>
    </w:p>
    <w:p w14:paraId="25BF72EF" w14:textId="77777777" w:rsidR="00F00E3D" w:rsidRPr="00C24F55" w:rsidRDefault="00F00E3D" w:rsidP="009B2FA7">
      <w:pPr>
        <w:spacing w:after="0" w:line="276" w:lineRule="auto"/>
        <w:rPr>
          <w:rFonts w:asciiTheme="majorHAnsi" w:hAnsiTheme="majorHAnsi" w:cstheme="majorBidi"/>
          <w:sz w:val="16"/>
          <w:szCs w:val="16"/>
        </w:rPr>
      </w:pPr>
    </w:p>
    <w:p w14:paraId="3CA8F186" w14:textId="11B5EAA4" w:rsidR="00F00E3D" w:rsidRDefault="00F00E3D" w:rsidP="009B2FA7">
      <w:pPr>
        <w:spacing w:after="0" w:line="276" w:lineRule="auto"/>
        <w:rPr>
          <w:rFonts w:asciiTheme="majorHAnsi" w:hAnsiTheme="majorHAnsi" w:cstheme="majorBidi"/>
          <w:sz w:val="23"/>
          <w:szCs w:val="23"/>
          <w:shd w:val="clear" w:color="auto" w:fill="FFFFFF"/>
        </w:rPr>
      </w:pPr>
      <w:r w:rsidRPr="359636AC">
        <w:rPr>
          <w:rFonts w:asciiTheme="majorHAnsi" w:hAnsiTheme="majorHAnsi" w:cstheme="majorBidi"/>
          <w:sz w:val="23"/>
          <w:szCs w:val="23"/>
        </w:rPr>
        <w:t xml:space="preserve">In one study Corio Norlane residents </w:t>
      </w:r>
      <w:hyperlink r:id="rId86">
        <w:r w:rsidRPr="359636AC">
          <w:rPr>
            <w:rStyle w:val="Hyperlink"/>
            <w:rFonts w:asciiTheme="majorHAnsi" w:hAnsiTheme="majorHAnsi" w:cstheme="majorBidi"/>
            <w:sz w:val="23"/>
            <w:szCs w:val="23"/>
          </w:rPr>
          <w:t>reported</w:t>
        </w:r>
      </w:hyperlink>
      <w:r w:rsidRPr="359636AC">
        <w:rPr>
          <w:rFonts w:asciiTheme="majorHAnsi" w:hAnsiTheme="majorHAnsi" w:cstheme="majorBidi"/>
          <w:sz w:val="23"/>
          <w:szCs w:val="23"/>
        </w:rPr>
        <w:t xml:space="preserve"> greater trust in government, increased feelings of influence over decisions affecting the community, and improved community participation (Shield et al, 2011). The NRP generated an average return of $2.20 in non-housing benefits for every $1 spent on renewal. However, it also raised house prices in some areas (Wood, 2014). </w:t>
      </w:r>
      <w:r>
        <w:rPr>
          <w:rFonts w:asciiTheme="majorHAnsi" w:hAnsiTheme="majorHAnsi" w:cstheme="majorBidi"/>
          <w:sz w:val="23"/>
          <w:szCs w:val="23"/>
        </w:rPr>
        <w:t>As noted in Section 3, th</w:t>
      </w:r>
      <w:r w:rsidR="0082040A">
        <w:rPr>
          <w:rFonts w:asciiTheme="majorHAnsi" w:hAnsiTheme="majorHAnsi" w:cstheme="majorBidi"/>
          <w:sz w:val="23"/>
          <w:szCs w:val="23"/>
        </w:rPr>
        <w:t>e</w:t>
      </w:r>
      <w:r>
        <w:rPr>
          <w:rFonts w:asciiTheme="majorHAnsi" w:hAnsiTheme="majorHAnsi" w:cstheme="majorBidi"/>
          <w:sz w:val="23"/>
          <w:szCs w:val="23"/>
        </w:rPr>
        <w:t xml:space="preserve"> </w:t>
      </w:r>
      <w:r w:rsidR="0082040A">
        <w:rPr>
          <w:rFonts w:asciiTheme="majorHAnsi" w:hAnsiTheme="majorHAnsi" w:cstheme="majorBidi"/>
          <w:sz w:val="23"/>
          <w:szCs w:val="23"/>
        </w:rPr>
        <w:t>gentrification effect of NR programs may</w:t>
      </w:r>
      <w:r>
        <w:rPr>
          <w:rFonts w:asciiTheme="majorHAnsi" w:hAnsiTheme="majorHAnsi" w:cstheme="majorBidi"/>
          <w:sz w:val="23"/>
          <w:szCs w:val="23"/>
        </w:rPr>
        <w:t xml:space="preserve"> </w:t>
      </w:r>
      <w:proofErr w:type="gramStart"/>
      <w:r w:rsidR="00E91CF3">
        <w:rPr>
          <w:rFonts w:asciiTheme="majorHAnsi" w:hAnsiTheme="majorHAnsi" w:cstheme="majorBidi"/>
          <w:sz w:val="23"/>
          <w:szCs w:val="23"/>
        </w:rPr>
        <w:t>decreased</w:t>
      </w:r>
      <w:proofErr w:type="gramEnd"/>
      <w:r w:rsidR="00E91CF3">
        <w:rPr>
          <w:rFonts w:asciiTheme="majorHAnsi" w:hAnsiTheme="majorHAnsi" w:cstheme="majorBidi"/>
          <w:sz w:val="23"/>
          <w:szCs w:val="23"/>
        </w:rPr>
        <w:t xml:space="preserve"> housing affordability and </w:t>
      </w:r>
      <w:r>
        <w:rPr>
          <w:rFonts w:asciiTheme="majorHAnsi" w:hAnsiTheme="majorHAnsi" w:cstheme="majorBidi"/>
          <w:sz w:val="23"/>
          <w:szCs w:val="23"/>
        </w:rPr>
        <w:t>exacerbate disadvantage amongst local communities.</w:t>
      </w:r>
    </w:p>
    <w:p w14:paraId="38466C16" w14:textId="77777777" w:rsidR="00F00E3D" w:rsidRPr="00C24F55" w:rsidRDefault="00F00E3D" w:rsidP="009B2FA7">
      <w:pPr>
        <w:spacing w:after="0" w:line="276" w:lineRule="auto"/>
        <w:rPr>
          <w:rFonts w:asciiTheme="majorHAnsi" w:hAnsiTheme="majorHAnsi" w:cstheme="majorBidi"/>
          <w:sz w:val="16"/>
          <w:szCs w:val="16"/>
          <w:shd w:val="clear" w:color="auto" w:fill="FFFFFF"/>
        </w:rPr>
      </w:pPr>
    </w:p>
    <w:p w14:paraId="00AD49A2" w14:textId="77777777" w:rsidR="00F00E3D" w:rsidRDefault="00F00E3D" w:rsidP="009B2FA7">
      <w:pPr>
        <w:spacing w:after="0" w:line="276" w:lineRule="auto"/>
        <w:rPr>
          <w:rFonts w:asciiTheme="majorHAnsi" w:hAnsiTheme="majorHAnsi" w:cstheme="majorBidi"/>
          <w:sz w:val="23"/>
          <w:szCs w:val="23"/>
          <w:shd w:val="clear" w:color="auto" w:fill="FFFFFF"/>
        </w:rPr>
      </w:pPr>
      <w:r w:rsidRPr="359636AC">
        <w:rPr>
          <w:rFonts w:asciiTheme="majorHAnsi" w:hAnsiTheme="majorHAnsi" w:cstheme="majorBidi"/>
          <w:sz w:val="23"/>
          <w:szCs w:val="23"/>
        </w:rPr>
        <w:t>Over eight years the NRP spawned numerous local projects. Not all were documented, but two small-scale arts initiatives run in one target site are profiled below.</w:t>
      </w:r>
    </w:p>
    <w:p w14:paraId="12EE83D3" w14:textId="77777777" w:rsidR="00F00E3D" w:rsidRDefault="00F00E3D" w:rsidP="009B2FA7">
      <w:pPr>
        <w:spacing w:after="0" w:line="276" w:lineRule="auto"/>
        <w:rPr>
          <w:rFonts w:asciiTheme="majorHAnsi" w:hAnsiTheme="majorHAnsi" w:cstheme="majorBidi"/>
          <w:sz w:val="23"/>
          <w:szCs w:val="23"/>
        </w:rPr>
      </w:pPr>
      <w:bookmarkStart w:id="65" w:name="_Hlk70863764"/>
    </w:p>
    <w:p w14:paraId="6344036D" w14:textId="3A7C91A7" w:rsidR="00F00E3D" w:rsidRDefault="00F00E3D" w:rsidP="009B2FA7">
      <w:pPr>
        <w:spacing w:after="0"/>
        <w:rPr>
          <w:rFonts w:ascii="Calibri" w:eastAsia="Calibri" w:hAnsi="Calibri" w:cs="Calibri"/>
          <w:b/>
          <w:bCs/>
          <w:sz w:val="23"/>
          <w:szCs w:val="23"/>
        </w:rPr>
      </w:pPr>
      <w:r w:rsidRPr="359636AC">
        <w:rPr>
          <w:rFonts w:ascii="Calibri" w:eastAsia="Calibri" w:hAnsi="Calibri" w:cs="Calibri"/>
          <w:b/>
          <w:bCs/>
          <w:sz w:val="23"/>
          <w:szCs w:val="23"/>
        </w:rPr>
        <w:t xml:space="preserve">Shutterbugs + I Heart Maryborough: Community </w:t>
      </w:r>
      <w:r w:rsidR="00725499" w:rsidRPr="359636AC">
        <w:rPr>
          <w:rFonts w:ascii="Calibri" w:eastAsia="Calibri" w:hAnsi="Calibri" w:cs="Calibri"/>
          <w:b/>
          <w:bCs/>
          <w:sz w:val="23"/>
          <w:szCs w:val="23"/>
        </w:rPr>
        <w:t>Photography Projects</w:t>
      </w:r>
    </w:p>
    <w:p w14:paraId="57EC95BF" w14:textId="6FDDDA8B" w:rsidR="00725499" w:rsidRDefault="00725499" w:rsidP="009B2FA7">
      <w:pPr>
        <w:spacing w:after="0"/>
        <w:rPr>
          <w:rFonts w:ascii="Calibri" w:eastAsia="Calibri" w:hAnsi="Calibri" w:cs="Calibri"/>
          <w:b/>
          <w:bCs/>
          <w:sz w:val="23"/>
          <w:szCs w:val="23"/>
        </w:rPr>
      </w:pPr>
      <w:r>
        <w:rPr>
          <w:rFonts w:ascii="Calibri" w:eastAsia="Calibri" w:hAnsi="Calibri" w:cs="Calibri"/>
          <w:b/>
          <w:bCs/>
          <w:sz w:val="23"/>
          <w:szCs w:val="23"/>
        </w:rPr>
        <w:t>Maryborough, Victoria (2011–2014)</w:t>
      </w:r>
    </w:p>
    <w:bookmarkEnd w:id="65"/>
    <w:p w14:paraId="434466C5" w14:textId="77777777" w:rsidR="00F00E3D" w:rsidRPr="00C24F55" w:rsidRDefault="00F00E3D" w:rsidP="009B2FA7">
      <w:pPr>
        <w:spacing w:after="0"/>
        <w:rPr>
          <w:rFonts w:ascii="Calibri" w:eastAsia="Calibri" w:hAnsi="Calibri" w:cs="Calibri"/>
          <w:b/>
          <w:bCs/>
          <w:sz w:val="16"/>
          <w:szCs w:val="16"/>
        </w:rPr>
      </w:pPr>
    </w:p>
    <w:p w14:paraId="32276098" w14:textId="4BBBFE32" w:rsidR="00F00E3D" w:rsidRPr="00CC521D" w:rsidRDefault="00F00E3D" w:rsidP="009B2FA7">
      <w:pPr>
        <w:spacing w:after="0"/>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Main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 xml:space="preserve">(s):          </w:t>
      </w:r>
      <w:r w:rsidRPr="00CC521D">
        <w:rPr>
          <w:rFonts w:eastAsia="Calibri Light" w:cstheme="minorHAnsi"/>
          <w:b/>
          <w:bCs/>
          <w:color w:val="595959" w:themeColor="text1" w:themeTint="A6"/>
          <w:sz w:val="23"/>
          <w:szCs w:val="23"/>
        </w:rPr>
        <w:tab/>
        <w:t>Liveability, Education</w:t>
      </w:r>
    </w:p>
    <w:p w14:paraId="2BB17692" w14:textId="3A78F456" w:rsidR="00F00E3D" w:rsidRPr="00CC521D" w:rsidRDefault="00F00E3D" w:rsidP="009B2FA7">
      <w:pPr>
        <w:spacing w:after="0"/>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Secondary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(s):</w:t>
      </w:r>
      <w:r w:rsidRPr="00CC521D">
        <w:rPr>
          <w:rFonts w:eastAsia="Calibri Light" w:cstheme="minorHAnsi"/>
          <w:b/>
          <w:bCs/>
          <w:color w:val="595959" w:themeColor="text1" w:themeTint="A6"/>
          <w:sz w:val="23"/>
          <w:szCs w:val="23"/>
        </w:rPr>
        <w:tab/>
        <w:t>Employment, Health and Wellbeing</w:t>
      </w:r>
    </w:p>
    <w:p w14:paraId="521E803A" w14:textId="77777777" w:rsidR="00F00E3D" w:rsidRPr="00C24F55" w:rsidRDefault="00F00E3D" w:rsidP="009B2FA7">
      <w:pPr>
        <w:spacing w:after="0"/>
        <w:rPr>
          <w:rFonts w:ascii="Calibri Light" w:eastAsia="Calibri Light" w:hAnsi="Calibri Light" w:cs="Calibri Light"/>
          <w:color w:val="767171" w:themeColor="background2" w:themeShade="80"/>
          <w:sz w:val="16"/>
          <w:szCs w:val="16"/>
        </w:rPr>
      </w:pPr>
    </w:p>
    <w:p w14:paraId="772A0BF5" w14:textId="75EC1A61" w:rsidR="00F00E3D" w:rsidRDefault="00F00E3D" w:rsidP="009B2FA7">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 xml:space="preserve">The Victorian Goldfields town of Maryborough (pop. 8000) was a Neighbourhood Renewal site from 2010–2015. The local NRP team ran </w:t>
      </w:r>
      <w:r w:rsidR="001471E3">
        <w:rPr>
          <w:rFonts w:ascii="Calibri Light" w:eastAsia="Calibri Light" w:hAnsi="Calibri Light" w:cs="Calibri Light"/>
          <w:sz w:val="23"/>
          <w:szCs w:val="23"/>
        </w:rPr>
        <w:t xml:space="preserve">several </w:t>
      </w:r>
      <w:r w:rsidRPr="359636AC">
        <w:rPr>
          <w:rFonts w:ascii="Calibri Light" w:eastAsia="Calibri Light" w:hAnsi="Calibri Light" w:cs="Calibri Light"/>
          <w:sz w:val="23"/>
          <w:szCs w:val="23"/>
        </w:rPr>
        <w:t>community arts projects, including two focused on photography: the Maryborough Photography Project, and the I Heart Maryborough photo competition.</w:t>
      </w:r>
    </w:p>
    <w:p w14:paraId="23199C82" w14:textId="77777777" w:rsidR="00F00E3D" w:rsidRPr="00C24F55" w:rsidRDefault="00F00E3D" w:rsidP="009B2FA7">
      <w:pPr>
        <w:spacing w:after="0" w:line="276" w:lineRule="auto"/>
        <w:rPr>
          <w:rFonts w:ascii="Calibri Light" w:eastAsia="Calibri Light" w:hAnsi="Calibri Light" w:cs="Calibri Light"/>
          <w:sz w:val="16"/>
          <w:szCs w:val="16"/>
        </w:rPr>
      </w:pPr>
    </w:p>
    <w:p w14:paraId="2895ED49" w14:textId="5787ABD2" w:rsidR="00F00E3D" w:rsidRDefault="00F00E3D" w:rsidP="009B2FA7">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The Maryborough Photography Project (2011) was funded through the NRP and Castanet</w:t>
      </w:r>
      <w:r>
        <w:rPr>
          <w:rFonts w:ascii="Calibri Light" w:eastAsia="Calibri Light" w:hAnsi="Calibri Light" w:cs="Calibri Light"/>
          <w:sz w:val="23"/>
          <w:szCs w:val="23"/>
        </w:rPr>
        <w:t>, a Victorian network of community arts development providers</w:t>
      </w:r>
      <w:r w:rsidRPr="359636AC">
        <w:rPr>
          <w:rFonts w:ascii="Calibri Light" w:eastAsia="Calibri Light" w:hAnsi="Calibri Light" w:cs="Calibri Light"/>
          <w:sz w:val="23"/>
          <w:szCs w:val="23"/>
        </w:rPr>
        <w:t xml:space="preserve">. </w:t>
      </w:r>
      <w:r>
        <w:rPr>
          <w:rFonts w:ascii="Calibri Light" w:eastAsia="Calibri Light" w:hAnsi="Calibri Light" w:cs="Calibri Light"/>
          <w:sz w:val="23"/>
          <w:szCs w:val="23"/>
        </w:rPr>
        <w:t>The project</w:t>
      </w:r>
      <w:r w:rsidRPr="359636AC">
        <w:rPr>
          <w:rFonts w:ascii="Calibri Light" w:eastAsia="Calibri Light" w:hAnsi="Calibri Light" w:cs="Calibri Light"/>
          <w:sz w:val="23"/>
          <w:szCs w:val="23"/>
        </w:rPr>
        <w:t xml:space="preserve"> involved a series of workshops led by a professional photographer, and a group exhibition in 2011. The participant group of 10 locals, who named themselves the Shutterbugs, gained skills in exhibition setup, confidence in their work, and </w:t>
      </w:r>
      <w:r w:rsidR="00487EE7">
        <w:rPr>
          <w:rFonts w:ascii="Calibri Light" w:eastAsia="Calibri Light" w:hAnsi="Calibri Light" w:cs="Calibri Light"/>
          <w:sz w:val="23"/>
          <w:szCs w:val="23"/>
        </w:rPr>
        <w:t xml:space="preserve">positive </w:t>
      </w:r>
      <w:r w:rsidRPr="359636AC">
        <w:rPr>
          <w:rFonts w:ascii="Calibri Light" w:eastAsia="Calibri Light" w:hAnsi="Calibri Light" w:cs="Calibri Light"/>
          <w:sz w:val="23"/>
          <w:szCs w:val="23"/>
        </w:rPr>
        <w:t>exposure in the community.</w:t>
      </w:r>
    </w:p>
    <w:p w14:paraId="1ABCDCFE" w14:textId="77777777" w:rsidR="00F00E3D" w:rsidRPr="00C24F55" w:rsidRDefault="00F00E3D" w:rsidP="009B2FA7">
      <w:pPr>
        <w:spacing w:after="0" w:line="276" w:lineRule="auto"/>
        <w:rPr>
          <w:rFonts w:ascii="Calibri Light" w:eastAsia="Calibri Light" w:hAnsi="Calibri Light" w:cs="Calibri Light"/>
          <w:sz w:val="16"/>
          <w:szCs w:val="16"/>
        </w:rPr>
      </w:pPr>
    </w:p>
    <w:p w14:paraId="5A76BD16" w14:textId="77777777" w:rsidR="00F00E3D" w:rsidRDefault="00F00E3D" w:rsidP="009B2FA7">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As a result of the program two members joined the local Neighbourhood Renewal Steering, and one member won a state-wide photography competition. Other members began selling their photographic work and providing paid services through wedding photography (Castanet, 2014).</w:t>
      </w:r>
    </w:p>
    <w:p w14:paraId="1840D368" w14:textId="77777777" w:rsidR="00F00E3D" w:rsidRPr="00C24F55" w:rsidRDefault="00F00E3D" w:rsidP="009B2FA7">
      <w:pPr>
        <w:spacing w:after="0" w:line="276" w:lineRule="auto"/>
        <w:rPr>
          <w:rFonts w:ascii="Calibri Light" w:eastAsia="Calibri Light" w:hAnsi="Calibri Light" w:cs="Calibri Light"/>
          <w:sz w:val="16"/>
          <w:szCs w:val="16"/>
        </w:rPr>
      </w:pPr>
    </w:p>
    <w:p w14:paraId="09FAEB2A" w14:textId="77777777" w:rsidR="00F00E3D" w:rsidRDefault="00F00E3D" w:rsidP="009B2FA7">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lastRenderedPageBreak/>
        <w:t xml:space="preserve">The I Heart Maryborough competition (2014) invited residents to send in a captioned photo that showed their pride for being part of the area and local community. Captions followed the format: “I Heart Maryborough…” The competition was run online, and 30 entries were selected for inclusion in an online exhibition. Prizes were awarded based on content quality and caption, rather than photographic skills. The three winning photos were published in the local newspaper, the </w:t>
      </w:r>
      <w:r w:rsidRPr="359636AC">
        <w:rPr>
          <w:rFonts w:ascii="Calibri Light" w:eastAsia="Calibri Light" w:hAnsi="Calibri Light" w:cs="Calibri Light"/>
          <w:i/>
          <w:iCs/>
          <w:sz w:val="23"/>
          <w:szCs w:val="23"/>
        </w:rPr>
        <w:t xml:space="preserve">Maryborough Advertiser </w:t>
      </w:r>
      <w:r w:rsidRPr="00EC683F">
        <w:rPr>
          <w:rFonts w:ascii="Calibri Light" w:eastAsia="Calibri Light" w:hAnsi="Calibri Light" w:cs="Calibri Light"/>
          <w:sz w:val="23"/>
          <w:szCs w:val="23"/>
        </w:rPr>
        <w:t>(</w:t>
      </w:r>
      <w:r w:rsidRPr="359636AC">
        <w:rPr>
          <w:rFonts w:ascii="Calibri Light" w:eastAsia="Calibri Light" w:hAnsi="Calibri Light" w:cs="Calibri Light"/>
          <w:sz w:val="23"/>
          <w:szCs w:val="23"/>
        </w:rPr>
        <w:t>Maryborough CAG, 2015).</w:t>
      </w:r>
    </w:p>
    <w:p w14:paraId="56A95248" w14:textId="77777777" w:rsidR="00C913DA" w:rsidRPr="00C913DA" w:rsidRDefault="00C913DA" w:rsidP="009B2FA7">
      <w:pPr>
        <w:spacing w:after="0" w:line="276" w:lineRule="auto"/>
        <w:rPr>
          <w:rFonts w:ascii="Calibri Light" w:eastAsia="Calibri Light" w:hAnsi="Calibri Light" w:cs="Calibri Light"/>
          <w:sz w:val="12"/>
          <w:szCs w:val="12"/>
        </w:rPr>
      </w:pPr>
    </w:p>
    <w:p w14:paraId="2FC5CA21" w14:textId="6278A70D" w:rsidR="00F00E3D" w:rsidRPr="00C3013E" w:rsidRDefault="00F00E3D" w:rsidP="009B2FA7">
      <w:pPr>
        <w:spacing w:after="0" w:line="276" w:lineRule="auto"/>
        <w:rPr>
          <w:b/>
          <w:bCs/>
          <w:color w:val="2F5496" w:themeColor="accent1" w:themeShade="BF"/>
          <w:sz w:val="25"/>
          <w:szCs w:val="25"/>
        </w:rPr>
      </w:pPr>
      <w:r>
        <w:rPr>
          <w:b/>
          <w:bCs/>
          <w:color w:val="2F5496" w:themeColor="accent1" w:themeShade="BF"/>
          <w:sz w:val="25"/>
          <w:szCs w:val="25"/>
        </w:rPr>
        <w:t xml:space="preserve">New South Wales (Local </w:t>
      </w:r>
      <w:r w:rsidR="00F52E6A">
        <w:rPr>
          <w:b/>
          <w:bCs/>
          <w:color w:val="2F5496" w:themeColor="accent1" w:themeShade="BF"/>
          <w:sz w:val="25"/>
          <w:szCs w:val="25"/>
        </w:rPr>
        <w:t>Focus</w:t>
      </w:r>
      <w:r>
        <w:rPr>
          <w:b/>
          <w:bCs/>
          <w:color w:val="2F5496" w:themeColor="accent1" w:themeShade="BF"/>
          <w:sz w:val="25"/>
          <w:szCs w:val="25"/>
        </w:rPr>
        <w:t>)</w:t>
      </w:r>
    </w:p>
    <w:p w14:paraId="51E82F2D" w14:textId="77777777" w:rsidR="00F00E3D" w:rsidRPr="00F52E6A" w:rsidRDefault="00F00E3D" w:rsidP="009B2FA7">
      <w:pPr>
        <w:spacing w:after="0" w:line="276" w:lineRule="auto"/>
        <w:rPr>
          <w:rFonts w:asciiTheme="majorHAnsi" w:hAnsiTheme="majorHAnsi" w:cstheme="majorBidi"/>
          <w:sz w:val="16"/>
          <w:szCs w:val="16"/>
        </w:rPr>
      </w:pPr>
    </w:p>
    <w:p w14:paraId="5366AD5C" w14:textId="671A03E4" w:rsidR="00F00E3D" w:rsidRDefault="00F00E3D" w:rsidP="009B2FA7">
      <w:pPr>
        <w:spacing w:after="0" w:line="276" w:lineRule="auto"/>
      </w:pPr>
      <w:bookmarkStart w:id="66" w:name="_Hlk70863784"/>
      <w:r w:rsidRPr="2B116086">
        <w:rPr>
          <w:rFonts w:ascii="Calibri" w:eastAsia="Calibri" w:hAnsi="Calibri" w:cs="Calibri"/>
          <w:b/>
          <w:bCs/>
          <w:sz w:val="25"/>
          <w:szCs w:val="25"/>
        </w:rPr>
        <w:t xml:space="preserve">The Digital Age Project: Digital </w:t>
      </w:r>
      <w:r w:rsidR="00EC683F" w:rsidRPr="2B116086">
        <w:rPr>
          <w:rFonts w:ascii="Calibri" w:eastAsia="Calibri" w:hAnsi="Calibri" w:cs="Calibri"/>
          <w:b/>
          <w:bCs/>
          <w:sz w:val="25"/>
          <w:szCs w:val="25"/>
        </w:rPr>
        <w:t xml:space="preserve">Inclusion </w:t>
      </w:r>
      <w:r w:rsidR="005E43F6">
        <w:rPr>
          <w:rFonts w:ascii="Calibri" w:eastAsia="Calibri" w:hAnsi="Calibri" w:cs="Calibri"/>
          <w:b/>
          <w:bCs/>
          <w:sz w:val="25"/>
          <w:szCs w:val="25"/>
        </w:rPr>
        <w:t>f</w:t>
      </w:r>
      <w:r w:rsidR="00EC683F" w:rsidRPr="2B116086">
        <w:rPr>
          <w:rFonts w:ascii="Calibri" w:eastAsia="Calibri" w:hAnsi="Calibri" w:cs="Calibri"/>
          <w:b/>
          <w:bCs/>
          <w:sz w:val="25"/>
          <w:szCs w:val="25"/>
        </w:rPr>
        <w:t>or Older Social Housing Residents</w:t>
      </w:r>
    </w:p>
    <w:p w14:paraId="25157E5C" w14:textId="77777777" w:rsidR="00F00E3D" w:rsidRDefault="00F00E3D" w:rsidP="009B2FA7">
      <w:pPr>
        <w:spacing w:after="0" w:line="276" w:lineRule="auto"/>
        <w:rPr>
          <w:rFonts w:ascii="Calibri" w:eastAsia="Calibri" w:hAnsi="Calibri" w:cs="Calibri"/>
          <w:b/>
          <w:bCs/>
          <w:sz w:val="23"/>
          <w:szCs w:val="23"/>
        </w:rPr>
      </w:pPr>
      <w:r w:rsidRPr="27ED1008">
        <w:rPr>
          <w:rFonts w:ascii="Calibri" w:eastAsia="Calibri" w:hAnsi="Calibri" w:cs="Calibri"/>
          <w:b/>
          <w:bCs/>
          <w:sz w:val="23"/>
          <w:szCs w:val="23"/>
        </w:rPr>
        <w:t>Coffs Harbour, regional NSW (2014–2015)</w:t>
      </w:r>
    </w:p>
    <w:bookmarkEnd w:id="66"/>
    <w:p w14:paraId="449D6464" w14:textId="77777777" w:rsidR="00F00E3D" w:rsidRPr="00C24F55" w:rsidRDefault="00F00E3D" w:rsidP="009B2FA7">
      <w:pPr>
        <w:spacing w:after="0" w:line="276" w:lineRule="auto"/>
        <w:rPr>
          <w:sz w:val="16"/>
          <w:szCs w:val="16"/>
        </w:rPr>
      </w:pPr>
    </w:p>
    <w:p w14:paraId="6521296A" w14:textId="062E98D5"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Main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(s):</w:t>
      </w:r>
      <w:r w:rsidRPr="00CC521D">
        <w:rPr>
          <w:rFonts w:eastAsia="Calibri Light" w:cstheme="minorHAnsi"/>
          <w:b/>
          <w:bCs/>
          <w:color w:val="595959" w:themeColor="text1" w:themeTint="A6"/>
          <w:sz w:val="23"/>
          <w:szCs w:val="23"/>
        </w:rPr>
        <w:tab/>
      </w:r>
      <w:r w:rsidRPr="00CC521D">
        <w:rPr>
          <w:rFonts w:eastAsia="Calibri Light" w:cstheme="minorHAnsi"/>
          <w:b/>
          <w:bCs/>
          <w:color w:val="595959" w:themeColor="text1" w:themeTint="A6"/>
          <w:sz w:val="23"/>
          <w:szCs w:val="23"/>
        </w:rPr>
        <w:tab/>
        <w:t xml:space="preserve"> Education, Health and Wellbeing</w:t>
      </w:r>
    </w:p>
    <w:p w14:paraId="443EC696" w14:textId="413191EA"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Secondary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(s):</w:t>
      </w:r>
      <w:r w:rsidRPr="00CC521D">
        <w:rPr>
          <w:rFonts w:eastAsia="Calibri Light" w:cstheme="minorHAnsi"/>
          <w:b/>
          <w:bCs/>
          <w:color w:val="595959" w:themeColor="text1" w:themeTint="A6"/>
          <w:sz w:val="23"/>
          <w:szCs w:val="23"/>
        </w:rPr>
        <w:tab/>
        <w:t>Housing, Liveability</w:t>
      </w:r>
    </w:p>
    <w:p w14:paraId="375544BB" w14:textId="77777777" w:rsidR="00F00E3D" w:rsidRPr="00C24F55" w:rsidRDefault="00F00E3D" w:rsidP="009B2FA7">
      <w:pPr>
        <w:spacing w:after="0" w:line="276" w:lineRule="auto"/>
        <w:rPr>
          <w:rFonts w:ascii="Calibri Light" w:eastAsia="Calibri Light" w:hAnsi="Calibri Light" w:cs="Calibri Light"/>
          <w:color w:val="767171" w:themeColor="background2" w:themeShade="80"/>
          <w:sz w:val="16"/>
          <w:szCs w:val="16"/>
        </w:rPr>
      </w:pPr>
    </w:p>
    <w:p w14:paraId="5D3A8469" w14:textId="01B91DC9" w:rsidR="00F00E3D" w:rsidRDefault="00F00E3D" w:rsidP="009B2FA7">
      <w:pPr>
        <w:spacing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 xml:space="preserve">Coffs Harbour (pop. 71,000), a coastal town in regional New South Wales, became one of 14 designated National Broadband Network (NBN) release sites in July 2010. </w:t>
      </w:r>
      <w:r w:rsidR="00487EE7">
        <w:rPr>
          <w:rFonts w:ascii="Calibri Light" w:eastAsia="Calibri Light" w:hAnsi="Calibri Light" w:cs="Calibri Light"/>
          <w:sz w:val="23"/>
          <w:szCs w:val="23"/>
        </w:rPr>
        <w:t>The</w:t>
      </w:r>
      <w:r w:rsidRPr="359636AC">
        <w:rPr>
          <w:rFonts w:ascii="Calibri Light" w:eastAsia="Calibri Light" w:hAnsi="Calibri Light" w:cs="Calibri Light"/>
          <w:sz w:val="23"/>
          <w:szCs w:val="23"/>
        </w:rPr>
        <w:t xml:space="preserve"> broader Coffs Harbour LGA is not an area of significant socioeconomic disadvantage, but it does include smaller areas that rank among the most disadvantaged 10 percent in Australia (PHN North Coast, 2019).</w:t>
      </w:r>
    </w:p>
    <w:p w14:paraId="28F69F1D" w14:textId="77777777" w:rsidR="00F00E3D" w:rsidRDefault="00F00E3D" w:rsidP="009B2FA7">
      <w:pPr>
        <w:spacing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The Digital Age project was a research and engagement intervention focused on digital inclusion. It explored the issue of low technology uptake and online engagement amongst disadvantaged Australians aged over 60. Researchers at Southern Cross University staged a tailored, place-based digital intervention with older social housing tenants in Coffs Harbour. Participants generally had lower educational levels than the Australian average (Thomas et al, 2016).</w:t>
      </w:r>
    </w:p>
    <w:p w14:paraId="1842F5C0" w14:textId="77777777" w:rsidR="00F00E3D" w:rsidRDefault="00F00E3D" w:rsidP="009B2FA7">
      <w:pPr>
        <w:spacing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The researchers sought to better understand internet use amongst older Australians living in social housing, and to devise strategies to increase their digital awareness and ability to use online health services, government news, and shopping. The project also explored how information technology skills might contribute to perceptions of social connectedness, self-efficacy, resilience, health, and wellbeing.</w:t>
      </w:r>
    </w:p>
    <w:p w14:paraId="5BDA94E6" w14:textId="31D27F47" w:rsidR="00F00E3D" w:rsidRDefault="00F00E3D" w:rsidP="009B2FA7">
      <w:pPr>
        <w:spacing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 xml:space="preserve">Three communities of older social housing tenants in Coffs Harbour took part in the program over an 18-month period. </w:t>
      </w:r>
      <w:r w:rsidR="00EC683F">
        <w:rPr>
          <w:rFonts w:ascii="Calibri Light" w:eastAsia="Calibri Light" w:hAnsi="Calibri Light" w:cs="Calibri Light"/>
          <w:sz w:val="23"/>
          <w:szCs w:val="23"/>
        </w:rPr>
        <w:t>In</w:t>
      </w:r>
      <w:r w:rsidRPr="359636AC">
        <w:rPr>
          <w:rFonts w:ascii="Calibri Light" w:eastAsia="Calibri Light" w:hAnsi="Calibri Light" w:cs="Calibri Light"/>
          <w:sz w:val="23"/>
          <w:szCs w:val="23"/>
        </w:rPr>
        <w:t xml:space="preserve"> the first eight months a five-phase intervention was </w:t>
      </w:r>
      <w:r w:rsidR="00EC683F">
        <w:rPr>
          <w:rFonts w:ascii="Calibri Light" w:eastAsia="Calibri Light" w:hAnsi="Calibri Light" w:cs="Calibri Light"/>
          <w:sz w:val="23"/>
          <w:szCs w:val="23"/>
        </w:rPr>
        <w:t>used</w:t>
      </w:r>
      <w:r w:rsidRPr="359636AC">
        <w:rPr>
          <w:rFonts w:ascii="Calibri Light" w:eastAsia="Calibri Light" w:hAnsi="Calibri Light" w:cs="Calibri Light"/>
          <w:sz w:val="23"/>
          <w:szCs w:val="23"/>
        </w:rPr>
        <w:t xml:space="preserve"> to encourage and assist participants to gain skills in technology</w:t>
      </w:r>
      <w:r w:rsidR="00EC683F">
        <w:rPr>
          <w:rFonts w:ascii="Calibri Light" w:eastAsia="Calibri Light" w:hAnsi="Calibri Light" w:cs="Calibri Light"/>
          <w:sz w:val="23"/>
          <w:szCs w:val="23"/>
        </w:rPr>
        <w:t xml:space="preserve"> use</w:t>
      </w:r>
      <w:r w:rsidRPr="359636AC">
        <w:rPr>
          <w:rFonts w:ascii="Calibri Light" w:eastAsia="Calibri Light" w:hAnsi="Calibri Light" w:cs="Calibri Light"/>
          <w:sz w:val="23"/>
          <w:szCs w:val="23"/>
        </w:rPr>
        <w:t xml:space="preserve">. Data was collected during each phase, </w:t>
      </w:r>
      <w:r w:rsidR="00EC683F">
        <w:rPr>
          <w:rFonts w:ascii="Calibri Light" w:eastAsia="Calibri Light" w:hAnsi="Calibri Light" w:cs="Calibri Light"/>
          <w:sz w:val="23"/>
          <w:szCs w:val="23"/>
        </w:rPr>
        <w:t>with a</w:t>
      </w:r>
      <w:r w:rsidRPr="359636AC">
        <w:rPr>
          <w:rFonts w:ascii="Calibri Light" w:eastAsia="Calibri Light" w:hAnsi="Calibri Light" w:cs="Calibri Light"/>
          <w:sz w:val="23"/>
          <w:szCs w:val="23"/>
        </w:rPr>
        <w:t xml:space="preserve"> participant survey complete</w:t>
      </w:r>
      <w:r w:rsidR="00EC683F">
        <w:rPr>
          <w:rFonts w:ascii="Calibri Light" w:eastAsia="Calibri Light" w:hAnsi="Calibri Light" w:cs="Calibri Light"/>
          <w:sz w:val="23"/>
          <w:szCs w:val="23"/>
        </w:rPr>
        <w:t>d</w:t>
      </w:r>
      <w:r w:rsidRPr="359636AC">
        <w:rPr>
          <w:rFonts w:ascii="Calibri Light" w:eastAsia="Calibri Light" w:hAnsi="Calibri Light" w:cs="Calibri Light"/>
          <w:sz w:val="23"/>
          <w:szCs w:val="23"/>
        </w:rPr>
        <w:t xml:space="preserve"> 14 months after the program launch. Engagement strategies included a simplified portal, 24-hour access, on-site training, and </w:t>
      </w:r>
      <w:r w:rsidR="00EC683F">
        <w:rPr>
          <w:rFonts w:ascii="Calibri Light" w:eastAsia="Calibri Light" w:hAnsi="Calibri Light" w:cs="Calibri Light"/>
          <w:sz w:val="23"/>
          <w:szCs w:val="23"/>
        </w:rPr>
        <w:t>building</w:t>
      </w:r>
      <w:r w:rsidRPr="359636AC">
        <w:rPr>
          <w:rFonts w:ascii="Calibri Light" w:eastAsia="Calibri Light" w:hAnsi="Calibri Light" w:cs="Calibri Light"/>
          <w:sz w:val="23"/>
          <w:szCs w:val="23"/>
        </w:rPr>
        <w:t xml:space="preserve"> a regular social event into training activities.</w:t>
      </w:r>
    </w:p>
    <w:p w14:paraId="6B8F26B3" w14:textId="77777777" w:rsidR="00F00E3D" w:rsidRPr="00BD13A1" w:rsidRDefault="00F00E3D" w:rsidP="009B2FA7">
      <w:pPr>
        <w:spacing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 xml:space="preserve">The project drew on Cognitive Load Theory principles to develop training materials and activities that minimised </w:t>
      </w:r>
      <w:r w:rsidRPr="00BD13A1">
        <w:rPr>
          <w:rFonts w:ascii="Calibri Light" w:eastAsia="Calibri Light" w:hAnsi="Calibri Light" w:cs="Calibri Light"/>
          <w:sz w:val="23"/>
          <w:szCs w:val="23"/>
        </w:rPr>
        <w:t>cognitive load and facilitated learning. Researchers developed a set of guidelines and recommendations for delivering effective digital education interventions (Seton et al, 2015: 3–4).</w:t>
      </w:r>
    </w:p>
    <w:p w14:paraId="6DCC977D" w14:textId="77777777" w:rsidR="00F00E3D" w:rsidRDefault="00F00E3D" w:rsidP="009B2FA7">
      <w:pPr>
        <w:spacing w:after="0" w:line="276" w:lineRule="auto"/>
        <w:rPr>
          <w:rFonts w:ascii="Calibri Light" w:eastAsia="Calibri Light" w:hAnsi="Calibri Light" w:cs="Calibri Light"/>
          <w:sz w:val="23"/>
          <w:szCs w:val="23"/>
        </w:rPr>
      </w:pPr>
      <w:r w:rsidRPr="00BD13A1">
        <w:rPr>
          <w:rFonts w:ascii="Calibri Light" w:eastAsia="Calibri Light" w:hAnsi="Calibri Light" w:cs="Calibri Light"/>
          <w:sz w:val="23"/>
          <w:szCs w:val="23"/>
        </w:rPr>
        <w:t xml:space="preserve">In a </w:t>
      </w:r>
      <w:hyperlink r:id="rId87" w:history="1">
        <w:r w:rsidRPr="00BD13A1">
          <w:rPr>
            <w:rStyle w:val="Hyperlink"/>
            <w:rFonts w:ascii="Calibri Light" w:eastAsia="Calibri Light" w:hAnsi="Calibri Light" w:cs="Calibri Light"/>
            <w:sz w:val="23"/>
            <w:szCs w:val="23"/>
          </w:rPr>
          <w:t>program evaluation</w:t>
        </w:r>
      </w:hyperlink>
      <w:r>
        <w:rPr>
          <w:rFonts w:ascii="Calibri Light" w:eastAsia="Calibri Light" w:hAnsi="Calibri Light" w:cs="Calibri Light"/>
          <w:sz w:val="23"/>
          <w:szCs w:val="23"/>
        </w:rPr>
        <w:t xml:space="preserve"> undertaken by the research team</w:t>
      </w:r>
      <w:r w:rsidRPr="00BD13A1">
        <w:rPr>
          <w:rFonts w:ascii="Calibri Light" w:eastAsia="Calibri Light" w:hAnsi="Calibri Light" w:cs="Calibri Light"/>
          <w:sz w:val="23"/>
          <w:szCs w:val="23"/>
        </w:rPr>
        <w:t>, participants</w:t>
      </w:r>
      <w:r w:rsidRPr="47C6F23B">
        <w:rPr>
          <w:rFonts w:ascii="Calibri Light" w:eastAsia="Calibri Light" w:hAnsi="Calibri Light" w:cs="Calibri Light"/>
          <w:sz w:val="23"/>
          <w:szCs w:val="23"/>
        </w:rPr>
        <w:t xml:space="preserve"> reported strong improvements in their experiences of new technology. More than half of the participants who completed the tailored training intervention reported improved social engagement and personal confidence. Some participants renewed contact with lost family members as a result of the program.</w:t>
      </w:r>
      <w:r>
        <w:rPr>
          <w:rFonts w:ascii="Calibri Light" w:eastAsia="Calibri Light" w:hAnsi="Calibri Light" w:cs="Calibri Light"/>
          <w:sz w:val="23"/>
          <w:szCs w:val="23"/>
        </w:rPr>
        <w:t xml:space="preserve"> </w:t>
      </w:r>
      <w:r w:rsidRPr="47C6F23B">
        <w:rPr>
          <w:rFonts w:ascii="Calibri Light" w:eastAsia="Calibri Light" w:hAnsi="Calibri Light" w:cs="Calibri Light"/>
          <w:sz w:val="23"/>
          <w:szCs w:val="23"/>
        </w:rPr>
        <w:t>Overall, there was a significant increase in optimism and a decrease in pessimism. There were also initial indications of improved social connectedness amongst the participant groups (Seton et al, 2015). Project partners included the CSIRO and the Australian Communications Consumer Action Network (ACCAN).</w:t>
      </w:r>
    </w:p>
    <w:p w14:paraId="5CDC76FE" w14:textId="426FC77C" w:rsidR="00F00E3D" w:rsidRPr="00F60C5B" w:rsidRDefault="00F00E3D">
      <w:pPr>
        <w:rPr>
          <w:rFonts w:asciiTheme="majorHAnsi" w:hAnsiTheme="majorHAnsi" w:cstheme="majorBidi"/>
          <w:sz w:val="12"/>
          <w:szCs w:val="12"/>
        </w:rPr>
      </w:pPr>
    </w:p>
    <w:p w14:paraId="10CDCD5C" w14:textId="5FD74EAF" w:rsidR="00F00E3D" w:rsidRPr="001C1E04" w:rsidRDefault="00F00E3D" w:rsidP="009B2FA7">
      <w:pPr>
        <w:tabs>
          <w:tab w:val="center" w:pos="4932"/>
        </w:tabs>
        <w:spacing w:after="0" w:line="276" w:lineRule="auto"/>
        <w:rPr>
          <w:b/>
          <w:bCs/>
          <w:color w:val="2F5496" w:themeColor="accent1" w:themeShade="BF"/>
          <w:sz w:val="25"/>
          <w:szCs w:val="25"/>
        </w:rPr>
      </w:pPr>
      <w:r>
        <w:rPr>
          <w:b/>
          <w:bCs/>
          <w:color w:val="2F5496" w:themeColor="accent1" w:themeShade="BF"/>
          <w:sz w:val="25"/>
          <w:szCs w:val="25"/>
        </w:rPr>
        <w:lastRenderedPageBreak/>
        <w:t>South Australia (State-</w:t>
      </w:r>
      <w:r w:rsidR="00F52E6A">
        <w:rPr>
          <w:b/>
          <w:bCs/>
          <w:color w:val="2F5496" w:themeColor="accent1" w:themeShade="BF"/>
          <w:sz w:val="25"/>
          <w:szCs w:val="25"/>
        </w:rPr>
        <w:t>W</w:t>
      </w:r>
      <w:r>
        <w:rPr>
          <w:b/>
          <w:bCs/>
          <w:color w:val="2F5496" w:themeColor="accent1" w:themeShade="BF"/>
          <w:sz w:val="25"/>
          <w:szCs w:val="25"/>
        </w:rPr>
        <w:t xml:space="preserve">ide </w:t>
      </w:r>
      <w:r w:rsidR="00F52E6A">
        <w:rPr>
          <w:b/>
          <w:bCs/>
          <w:color w:val="2F5496" w:themeColor="accent1" w:themeShade="BF"/>
          <w:sz w:val="25"/>
          <w:szCs w:val="25"/>
        </w:rPr>
        <w:t>Focus</w:t>
      </w:r>
      <w:r>
        <w:rPr>
          <w:b/>
          <w:bCs/>
          <w:color w:val="2F5496" w:themeColor="accent1" w:themeShade="BF"/>
          <w:sz w:val="25"/>
          <w:szCs w:val="25"/>
        </w:rPr>
        <w:t>)</w:t>
      </w:r>
    </w:p>
    <w:p w14:paraId="424C0928" w14:textId="77777777" w:rsidR="00F00E3D" w:rsidRPr="00BD13A1" w:rsidRDefault="00F00E3D" w:rsidP="009B2FA7">
      <w:pPr>
        <w:spacing w:after="0" w:line="276" w:lineRule="auto"/>
        <w:rPr>
          <w:rFonts w:asciiTheme="majorHAnsi" w:hAnsiTheme="majorHAnsi" w:cstheme="majorBidi"/>
          <w:color w:val="595959" w:themeColor="text1" w:themeTint="A6"/>
          <w:sz w:val="16"/>
          <w:szCs w:val="16"/>
        </w:rPr>
      </w:pPr>
    </w:p>
    <w:p w14:paraId="7A0808FD" w14:textId="7360B9F7" w:rsidR="00F00E3D" w:rsidRDefault="00F00E3D" w:rsidP="009B2FA7">
      <w:pPr>
        <w:spacing w:after="0" w:line="276" w:lineRule="auto"/>
        <w:rPr>
          <w:rFonts w:ascii="Calibri" w:eastAsia="Calibri" w:hAnsi="Calibri" w:cs="Calibri"/>
          <w:b/>
          <w:bCs/>
          <w:color w:val="000000" w:themeColor="text1"/>
          <w:sz w:val="25"/>
          <w:szCs w:val="25"/>
        </w:rPr>
      </w:pPr>
      <w:bookmarkStart w:id="67" w:name="_Hlk70863800"/>
      <w:r w:rsidRPr="359636AC">
        <w:rPr>
          <w:rFonts w:ascii="Calibri" w:eastAsia="Calibri" w:hAnsi="Calibri" w:cs="Calibri"/>
          <w:b/>
          <w:bCs/>
          <w:color w:val="000000" w:themeColor="text1"/>
          <w:sz w:val="25"/>
          <w:szCs w:val="25"/>
        </w:rPr>
        <w:t xml:space="preserve">Perpetrator Intervention Pilot: Tackling </w:t>
      </w:r>
      <w:r w:rsidR="00EC683F" w:rsidRPr="359636AC">
        <w:rPr>
          <w:rFonts w:ascii="Calibri" w:eastAsia="Calibri" w:hAnsi="Calibri" w:cs="Calibri"/>
          <w:b/>
          <w:bCs/>
          <w:color w:val="000000" w:themeColor="text1"/>
          <w:sz w:val="25"/>
          <w:szCs w:val="25"/>
        </w:rPr>
        <w:t>Domestic Violence, Preventing Homelessness</w:t>
      </w:r>
    </w:p>
    <w:p w14:paraId="214DBA5D" w14:textId="77777777" w:rsidR="00F00E3D" w:rsidRDefault="00F00E3D" w:rsidP="009B2FA7">
      <w:pPr>
        <w:spacing w:after="0" w:line="276" w:lineRule="auto"/>
        <w:rPr>
          <w:rFonts w:ascii="Calibri" w:eastAsia="Calibri" w:hAnsi="Calibri" w:cs="Calibri"/>
          <w:b/>
          <w:bCs/>
          <w:color w:val="000000" w:themeColor="text1"/>
          <w:sz w:val="23"/>
          <w:szCs w:val="23"/>
        </w:rPr>
      </w:pPr>
      <w:r w:rsidRPr="359636AC">
        <w:rPr>
          <w:rFonts w:ascii="Calibri" w:eastAsia="Calibri" w:hAnsi="Calibri" w:cs="Calibri"/>
          <w:b/>
          <w:bCs/>
          <w:color w:val="000000" w:themeColor="text1"/>
          <w:sz w:val="23"/>
          <w:szCs w:val="23"/>
        </w:rPr>
        <w:t>South Australia (2020–present)</w:t>
      </w:r>
    </w:p>
    <w:bookmarkEnd w:id="67"/>
    <w:p w14:paraId="3DF33D5B" w14:textId="77777777" w:rsidR="00F00E3D" w:rsidRPr="00BD13A1" w:rsidRDefault="00F00E3D" w:rsidP="009B2FA7">
      <w:pPr>
        <w:spacing w:after="0" w:line="276" w:lineRule="auto"/>
        <w:rPr>
          <w:rFonts w:ascii="Calibri" w:eastAsia="Calibri" w:hAnsi="Calibri" w:cs="Calibri"/>
          <w:b/>
          <w:bCs/>
          <w:color w:val="000000" w:themeColor="text1"/>
          <w:sz w:val="16"/>
          <w:szCs w:val="16"/>
        </w:rPr>
      </w:pPr>
    </w:p>
    <w:p w14:paraId="37858F0C" w14:textId="0E661BB9"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Main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(s):</w:t>
      </w:r>
      <w:r w:rsidRPr="00CC521D">
        <w:rPr>
          <w:rFonts w:eastAsia="Calibri Light" w:cstheme="minorHAnsi"/>
          <w:b/>
          <w:bCs/>
          <w:color w:val="595959" w:themeColor="text1" w:themeTint="A6"/>
          <w:sz w:val="23"/>
          <w:szCs w:val="23"/>
        </w:rPr>
        <w:tab/>
      </w:r>
      <w:r w:rsidRPr="00CC521D">
        <w:rPr>
          <w:rFonts w:eastAsia="Calibri Light" w:cstheme="minorHAnsi"/>
          <w:b/>
          <w:bCs/>
          <w:color w:val="595959" w:themeColor="text1" w:themeTint="A6"/>
          <w:sz w:val="23"/>
          <w:szCs w:val="23"/>
        </w:rPr>
        <w:tab/>
        <w:t>Health and Wellbeing, Housing</w:t>
      </w:r>
    </w:p>
    <w:p w14:paraId="19CD81AC" w14:textId="50B2FAD2"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Secondary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(s):</w:t>
      </w:r>
      <w:r w:rsidRPr="00CC521D">
        <w:rPr>
          <w:rFonts w:eastAsia="Calibri Light" w:cstheme="minorHAnsi"/>
          <w:b/>
          <w:bCs/>
          <w:color w:val="595959" w:themeColor="text1" w:themeTint="A6"/>
          <w:sz w:val="23"/>
          <w:szCs w:val="23"/>
        </w:rPr>
        <w:tab/>
        <w:t>Liveability</w:t>
      </w:r>
    </w:p>
    <w:p w14:paraId="7BF473CE" w14:textId="77777777" w:rsidR="00F00E3D" w:rsidRPr="00BD13A1" w:rsidRDefault="00F00E3D" w:rsidP="009B2FA7">
      <w:pPr>
        <w:spacing w:after="0" w:line="276" w:lineRule="auto"/>
        <w:rPr>
          <w:rFonts w:ascii="Calibri Light" w:eastAsia="Calibri Light" w:hAnsi="Calibri Light" w:cs="Calibri Light"/>
          <w:color w:val="767171" w:themeColor="background2" w:themeShade="80"/>
          <w:sz w:val="16"/>
          <w:szCs w:val="16"/>
        </w:rPr>
      </w:pPr>
    </w:p>
    <w:p w14:paraId="6C0B9B3F" w14:textId="05923F03" w:rsidR="00F00E3D" w:rsidRDefault="00F00E3D" w:rsidP="009B2FA7">
      <w:pPr>
        <w:spacing w:line="276" w:lineRule="auto"/>
        <w:rPr>
          <w:rFonts w:ascii="Calibri Light" w:eastAsia="Calibri Light" w:hAnsi="Calibri Light" w:cs="Calibri Light"/>
          <w:color w:val="000000" w:themeColor="text1"/>
          <w:sz w:val="23"/>
          <w:szCs w:val="23"/>
        </w:rPr>
      </w:pPr>
      <w:r w:rsidRPr="359636AC">
        <w:rPr>
          <w:rFonts w:ascii="Calibri Light" w:eastAsia="Calibri Light" w:hAnsi="Calibri Light" w:cs="Calibri Light"/>
          <w:color w:val="000000" w:themeColor="text1"/>
          <w:sz w:val="23"/>
          <w:szCs w:val="23"/>
        </w:rPr>
        <w:t xml:space="preserve">Family and domestic violence is the leading cause of homelessness for Australian women (FaHCSIA, 2008; Homelessness Australia, 2016). During the </w:t>
      </w:r>
      <w:r w:rsidR="00940D80">
        <w:rPr>
          <w:rFonts w:ascii="Calibri Light" w:eastAsia="Calibri Light" w:hAnsi="Calibri Light" w:cs="Calibri Light"/>
          <w:color w:val="000000" w:themeColor="text1"/>
          <w:sz w:val="23"/>
          <w:szCs w:val="23"/>
        </w:rPr>
        <w:t>COVID</w:t>
      </w:r>
      <w:r w:rsidRPr="359636AC">
        <w:rPr>
          <w:rFonts w:ascii="Calibri Light" w:eastAsia="Calibri Light" w:hAnsi="Calibri Light" w:cs="Calibri Light"/>
          <w:color w:val="000000" w:themeColor="text1"/>
          <w:sz w:val="23"/>
          <w:szCs w:val="23"/>
        </w:rPr>
        <w:t>-19 pandemic, domestic violence case numbers rose dramatically across Australia.</w:t>
      </w:r>
    </w:p>
    <w:p w14:paraId="144FB201" w14:textId="77777777" w:rsidR="00F00E3D" w:rsidRDefault="00F00E3D" w:rsidP="009B2FA7">
      <w:pPr>
        <w:spacing w:line="276" w:lineRule="auto"/>
        <w:rPr>
          <w:rFonts w:ascii="Calibri Light" w:eastAsia="Calibri Light" w:hAnsi="Calibri Light" w:cs="Calibri Light"/>
          <w:color w:val="000000" w:themeColor="text1"/>
          <w:sz w:val="23"/>
          <w:szCs w:val="23"/>
        </w:rPr>
      </w:pPr>
      <w:r w:rsidRPr="359636AC">
        <w:rPr>
          <w:rFonts w:ascii="Calibri Light" w:eastAsia="Calibri Light" w:hAnsi="Calibri Light" w:cs="Calibri Light"/>
          <w:color w:val="000000" w:themeColor="text1"/>
          <w:sz w:val="23"/>
          <w:szCs w:val="23"/>
        </w:rPr>
        <w:t>In 2020 the South Australian Government launched a new 12-month pilot program to tackle domestic violence. Developed with input from the family violence sector and the community, the program takes an innovative line by targeting perpetrators of domestic violence. It provides support services and a small number of dedicated beds for male perpetrators.</w:t>
      </w:r>
    </w:p>
    <w:p w14:paraId="506C9C6A" w14:textId="77777777" w:rsidR="00F00E3D" w:rsidRDefault="00F00E3D" w:rsidP="009B2FA7">
      <w:pPr>
        <w:spacing w:line="276" w:lineRule="auto"/>
        <w:rPr>
          <w:rFonts w:ascii="Calibri Light" w:eastAsia="Calibri Light" w:hAnsi="Calibri Light" w:cs="Calibri Light"/>
          <w:color w:val="000000" w:themeColor="text1"/>
          <w:sz w:val="23"/>
          <w:szCs w:val="23"/>
        </w:rPr>
      </w:pPr>
      <w:r w:rsidRPr="359636AC">
        <w:rPr>
          <w:rFonts w:ascii="Calibri Light" w:eastAsia="Calibri Light" w:hAnsi="Calibri Light" w:cs="Calibri Light"/>
          <w:color w:val="000000" w:themeColor="text1"/>
          <w:sz w:val="23"/>
          <w:szCs w:val="23"/>
        </w:rPr>
        <w:t>The pilot program is based on the premise that removing perpetrators from the home leads to more stability and less disruption for victims, enabling them to stay connected with their local communities and support networks</w:t>
      </w:r>
      <w:r w:rsidRPr="359636AC">
        <w:rPr>
          <w:rFonts w:ascii="Calibri Light" w:eastAsia="Calibri Light" w:hAnsi="Calibri Light" w:cs="Calibri Light"/>
          <w:sz w:val="23"/>
          <w:szCs w:val="23"/>
        </w:rPr>
        <w:t xml:space="preserve"> (</w:t>
      </w:r>
      <w:r w:rsidRPr="359636AC">
        <w:rPr>
          <w:rFonts w:ascii="Calibri Light" w:eastAsia="Calibri Light" w:hAnsi="Calibri Light" w:cs="Calibri Light"/>
          <w:color w:val="000000" w:themeColor="text1"/>
          <w:sz w:val="23"/>
          <w:szCs w:val="23"/>
        </w:rPr>
        <w:t xml:space="preserve">Lensink &amp; Power, 2020). Housing advocates and domestic violence experts have welcomed the </w:t>
      </w:r>
      <w:proofErr w:type="gramStart"/>
      <w:r w:rsidRPr="359636AC">
        <w:rPr>
          <w:rFonts w:ascii="Calibri Light" w:eastAsia="Calibri Light" w:hAnsi="Calibri Light" w:cs="Calibri Light"/>
          <w:color w:val="000000" w:themeColor="text1"/>
          <w:sz w:val="23"/>
          <w:szCs w:val="23"/>
        </w:rPr>
        <w:t>initiative, but</w:t>
      </w:r>
      <w:proofErr w:type="gramEnd"/>
      <w:r w:rsidRPr="359636AC">
        <w:rPr>
          <w:rFonts w:ascii="Calibri Light" w:eastAsia="Calibri Light" w:hAnsi="Calibri Light" w:cs="Calibri Light"/>
          <w:color w:val="000000" w:themeColor="text1"/>
          <w:sz w:val="23"/>
          <w:szCs w:val="23"/>
        </w:rPr>
        <w:t xml:space="preserve"> expressed concerns over potential increased housing stress if survivors are left to cover the full rent or mortgage on their own (Burke, 2019;</w:t>
      </w:r>
      <w:r w:rsidRPr="359636AC">
        <w:rPr>
          <w:rFonts w:ascii="Calibri Light" w:eastAsia="Calibri Light" w:hAnsi="Calibri Light" w:cs="Calibri Light"/>
          <w:sz w:val="23"/>
          <w:szCs w:val="23"/>
        </w:rPr>
        <w:t xml:space="preserve"> </w:t>
      </w:r>
      <w:r w:rsidRPr="359636AC">
        <w:rPr>
          <w:rFonts w:ascii="Calibri Light" w:eastAsia="Calibri Light" w:hAnsi="Calibri Light" w:cs="Calibri Light"/>
          <w:color w:val="000000" w:themeColor="text1"/>
          <w:sz w:val="23"/>
          <w:szCs w:val="23"/>
        </w:rPr>
        <w:t>Cosenza, 2020; Wendt et al, 2019).</w:t>
      </w:r>
    </w:p>
    <w:p w14:paraId="72FE77D1" w14:textId="33C6153C" w:rsidR="00F00E3D" w:rsidRDefault="00F00E3D" w:rsidP="009B2FA7">
      <w:pPr>
        <w:spacing w:line="276" w:lineRule="auto"/>
        <w:rPr>
          <w:rFonts w:ascii="Calibri Light" w:eastAsia="Calibri Light" w:hAnsi="Calibri Light" w:cs="Calibri Light"/>
          <w:color w:val="000000" w:themeColor="text1"/>
          <w:sz w:val="23"/>
          <w:szCs w:val="23"/>
        </w:rPr>
      </w:pPr>
      <w:r w:rsidRPr="359636AC">
        <w:rPr>
          <w:rFonts w:ascii="Calibri Light" w:eastAsia="Calibri Light" w:hAnsi="Calibri Light" w:cs="Calibri Light"/>
          <w:color w:val="000000" w:themeColor="text1"/>
          <w:sz w:val="23"/>
          <w:szCs w:val="23"/>
        </w:rPr>
        <w:t>The pilot is part of a $4 million state-funded program that will deliver 40 new domestic violence crisis beds in Northern and Southern Adelaide, and in regional towns including Berri, Ceduna, Murray Bridge, Port Lincoln, and Whyalla. Nine of these beds are allocated for perpetrators. Several concurrent initiatives are also being supported by $2.4 million in Federal funding for domestic violence initiatives in South Australia (</w:t>
      </w:r>
      <w:r w:rsidRPr="359636AC">
        <w:rPr>
          <w:rFonts w:ascii="Calibri Light" w:eastAsia="Calibri Light" w:hAnsi="Calibri Light" w:cs="Calibri Light"/>
          <w:sz w:val="23"/>
          <w:szCs w:val="23"/>
        </w:rPr>
        <w:t>DHHS South Australia, 2020; Hanife, 2019).</w:t>
      </w:r>
      <w:r w:rsidRPr="359636AC">
        <w:rPr>
          <w:rFonts w:ascii="Calibri Light" w:eastAsia="Calibri Light" w:hAnsi="Calibri Light" w:cs="Calibri Light"/>
          <w:color w:val="000000" w:themeColor="text1"/>
          <w:sz w:val="23"/>
          <w:szCs w:val="23"/>
        </w:rPr>
        <w:t xml:space="preserve"> The new initiatives include:</w:t>
      </w:r>
    </w:p>
    <w:p w14:paraId="27478962" w14:textId="77777777" w:rsidR="00F00E3D" w:rsidRDefault="00F00E3D" w:rsidP="00364C5D">
      <w:pPr>
        <w:pStyle w:val="ListParagraph"/>
        <w:numPr>
          <w:ilvl w:val="0"/>
          <w:numId w:val="15"/>
        </w:numPr>
        <w:spacing w:line="276" w:lineRule="auto"/>
        <w:rPr>
          <w:rFonts w:eastAsiaTheme="minorEastAsia"/>
          <w:b/>
          <w:bCs/>
          <w:color w:val="000000" w:themeColor="text1"/>
          <w:sz w:val="23"/>
          <w:szCs w:val="23"/>
        </w:rPr>
      </w:pPr>
      <w:r w:rsidRPr="359636AC">
        <w:rPr>
          <w:rFonts w:ascii="Calibri Light" w:eastAsia="Calibri Light" w:hAnsi="Calibri Light" w:cs="Calibri Light"/>
          <w:b/>
          <w:bCs/>
          <w:color w:val="000000" w:themeColor="text1"/>
          <w:sz w:val="23"/>
          <w:szCs w:val="23"/>
        </w:rPr>
        <w:t xml:space="preserve">Don’t Become That Man: </w:t>
      </w:r>
      <w:r w:rsidRPr="359636AC">
        <w:rPr>
          <w:rFonts w:ascii="Calibri Light" w:eastAsia="Calibri Light" w:hAnsi="Calibri Light" w:cs="Calibri Light"/>
          <w:color w:val="000000" w:themeColor="text1"/>
          <w:sz w:val="23"/>
          <w:szCs w:val="23"/>
        </w:rPr>
        <w:t>aims to proactively change behaviour prior to offences through a self-assessment tool and availability of crisis accommodation. Services include phone counselling, in-person counselling, support networks, referral services, and rehabilitation programs (CityMag, 2020).</w:t>
      </w:r>
    </w:p>
    <w:p w14:paraId="7E6E4333" w14:textId="77777777" w:rsidR="00F00E3D" w:rsidRDefault="00F00E3D" w:rsidP="00364C5D">
      <w:pPr>
        <w:pStyle w:val="ListParagraph"/>
        <w:numPr>
          <w:ilvl w:val="0"/>
          <w:numId w:val="15"/>
        </w:numPr>
        <w:spacing w:line="276" w:lineRule="auto"/>
        <w:rPr>
          <w:rFonts w:eastAsiaTheme="minorEastAsia"/>
          <w:b/>
          <w:bCs/>
          <w:color w:val="000000" w:themeColor="text1"/>
          <w:sz w:val="23"/>
          <w:szCs w:val="23"/>
        </w:rPr>
      </w:pPr>
      <w:r w:rsidRPr="359636AC">
        <w:rPr>
          <w:rFonts w:ascii="Calibri Light" w:eastAsia="Calibri Light" w:hAnsi="Calibri Light" w:cs="Calibri Light"/>
          <w:b/>
          <w:bCs/>
          <w:color w:val="000000" w:themeColor="text1"/>
          <w:sz w:val="23"/>
          <w:szCs w:val="23"/>
        </w:rPr>
        <w:t xml:space="preserve">24/7 Men’s Referral Line: </w:t>
      </w:r>
      <w:r w:rsidRPr="359636AC">
        <w:rPr>
          <w:rFonts w:ascii="Calibri Light" w:eastAsia="Calibri Light" w:hAnsi="Calibri Light" w:cs="Calibri Light"/>
          <w:color w:val="000000" w:themeColor="text1"/>
          <w:sz w:val="23"/>
          <w:szCs w:val="23"/>
        </w:rPr>
        <w:t>Hotline and support service to help South Australian men address their violent or controlling behaviour.</w:t>
      </w:r>
    </w:p>
    <w:p w14:paraId="6714EA1F" w14:textId="77777777" w:rsidR="00F00E3D" w:rsidRDefault="00F00E3D" w:rsidP="00364C5D">
      <w:pPr>
        <w:pStyle w:val="ListParagraph"/>
        <w:numPr>
          <w:ilvl w:val="0"/>
          <w:numId w:val="15"/>
        </w:numPr>
        <w:spacing w:line="276" w:lineRule="auto"/>
        <w:rPr>
          <w:rFonts w:eastAsiaTheme="minorEastAsia"/>
          <w:b/>
          <w:bCs/>
          <w:color w:val="000000" w:themeColor="text1"/>
          <w:sz w:val="23"/>
          <w:szCs w:val="23"/>
        </w:rPr>
      </w:pPr>
      <w:r w:rsidRPr="359636AC">
        <w:rPr>
          <w:rFonts w:ascii="Calibri Light" w:eastAsia="Calibri Light" w:hAnsi="Calibri Light" w:cs="Calibri Light"/>
          <w:b/>
          <w:bCs/>
          <w:color w:val="000000" w:themeColor="text1"/>
          <w:sz w:val="23"/>
          <w:szCs w:val="23"/>
        </w:rPr>
        <w:t>Extra brokerage packages</w:t>
      </w:r>
      <w:r w:rsidRPr="359636AC">
        <w:rPr>
          <w:rFonts w:ascii="Calibri Light" w:eastAsia="Calibri Light" w:hAnsi="Calibri Light" w:cs="Calibri Light"/>
          <w:color w:val="000000" w:themeColor="text1"/>
          <w:sz w:val="23"/>
          <w:szCs w:val="23"/>
        </w:rPr>
        <w:t xml:space="preserve"> for people experiencing abuse and violence. Funds are for transport, safety upgrades to property, financial counselling, and support for children.</w:t>
      </w:r>
    </w:p>
    <w:p w14:paraId="00090D65" w14:textId="51297257" w:rsidR="00F00E3D" w:rsidRPr="00EC683F" w:rsidRDefault="00F00E3D" w:rsidP="00EC683F">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 xml:space="preserve"> The South Australian Government has also made legislative changes to the Residential Tenancies Act 1995. These changes allow victims of domestic violence to stay in their rented home and have the perpetrator leave, or for the victim to leave the rented home and their name to be removed from the rental agreement without penalty (SA.gov.au, 2018).</w:t>
      </w:r>
      <w:r>
        <w:rPr>
          <w:b/>
          <w:bCs/>
          <w:sz w:val="25"/>
          <w:szCs w:val="25"/>
        </w:rPr>
        <w:br w:type="page"/>
      </w:r>
    </w:p>
    <w:p w14:paraId="76539E99" w14:textId="77777777" w:rsidR="00F00E3D" w:rsidRPr="003178DD" w:rsidRDefault="00F00E3D" w:rsidP="009B2FA7">
      <w:pPr>
        <w:spacing w:after="0" w:line="276" w:lineRule="auto"/>
        <w:rPr>
          <w:b/>
          <w:bCs/>
          <w:color w:val="2F5496" w:themeColor="accent1" w:themeShade="BF"/>
          <w:sz w:val="25"/>
          <w:szCs w:val="25"/>
        </w:rPr>
      </w:pPr>
      <w:r w:rsidRPr="71C466D6">
        <w:rPr>
          <w:b/>
          <w:bCs/>
          <w:color w:val="2F5496" w:themeColor="accent1" w:themeShade="BF"/>
          <w:sz w:val="25"/>
          <w:szCs w:val="25"/>
        </w:rPr>
        <w:lastRenderedPageBreak/>
        <w:t>National Programs</w:t>
      </w:r>
    </w:p>
    <w:p w14:paraId="00F85BA8" w14:textId="77777777" w:rsidR="00F00E3D" w:rsidRPr="00BD13A1" w:rsidRDefault="00F00E3D" w:rsidP="009B2FA7">
      <w:pPr>
        <w:spacing w:after="0" w:line="276" w:lineRule="auto"/>
        <w:rPr>
          <w:rFonts w:asciiTheme="majorHAnsi" w:hAnsiTheme="majorHAnsi" w:cstheme="majorBidi"/>
          <w:sz w:val="16"/>
          <w:szCs w:val="16"/>
        </w:rPr>
      </w:pPr>
    </w:p>
    <w:p w14:paraId="52E0F7E6" w14:textId="1B9278FA" w:rsidR="00F00E3D" w:rsidRPr="00EA6BD1" w:rsidRDefault="00F00E3D" w:rsidP="009B2FA7">
      <w:pPr>
        <w:spacing w:after="0" w:line="276" w:lineRule="auto"/>
        <w:rPr>
          <w:rFonts w:ascii="Calibri" w:eastAsia="Calibri" w:hAnsi="Calibri" w:cs="Calibri"/>
          <w:b/>
          <w:bCs/>
          <w:sz w:val="25"/>
          <w:szCs w:val="25"/>
        </w:rPr>
      </w:pPr>
      <w:bookmarkStart w:id="68" w:name="_Hlk70863943"/>
      <w:r w:rsidRPr="359636AC">
        <w:rPr>
          <w:rFonts w:ascii="Calibri" w:eastAsia="Calibri" w:hAnsi="Calibri" w:cs="Calibri"/>
          <w:b/>
          <w:bCs/>
          <w:sz w:val="25"/>
          <w:szCs w:val="25"/>
        </w:rPr>
        <w:t xml:space="preserve">Angel Next Door: Digital </w:t>
      </w:r>
      <w:r w:rsidR="00575D6B" w:rsidRPr="359636AC">
        <w:rPr>
          <w:rFonts w:ascii="Calibri" w:eastAsia="Calibri" w:hAnsi="Calibri" w:cs="Calibri"/>
          <w:b/>
          <w:bCs/>
          <w:sz w:val="25"/>
          <w:szCs w:val="25"/>
        </w:rPr>
        <w:t xml:space="preserve">Crowdsourcing App </w:t>
      </w:r>
      <w:r w:rsidR="00575D6B">
        <w:rPr>
          <w:rFonts w:ascii="Calibri" w:eastAsia="Calibri" w:hAnsi="Calibri" w:cs="Calibri"/>
          <w:b/>
          <w:bCs/>
          <w:sz w:val="25"/>
          <w:szCs w:val="25"/>
        </w:rPr>
        <w:t>to Connect</w:t>
      </w:r>
      <w:r w:rsidR="00575D6B" w:rsidRPr="359636AC">
        <w:rPr>
          <w:rFonts w:ascii="Calibri" w:eastAsia="Calibri" w:hAnsi="Calibri" w:cs="Calibri"/>
          <w:b/>
          <w:bCs/>
          <w:sz w:val="25"/>
          <w:szCs w:val="25"/>
        </w:rPr>
        <w:t xml:space="preserve"> Neighbours </w:t>
      </w:r>
      <w:r w:rsidR="00575D6B">
        <w:rPr>
          <w:rFonts w:ascii="Calibri" w:eastAsia="Calibri" w:hAnsi="Calibri" w:cs="Calibri"/>
          <w:b/>
          <w:bCs/>
          <w:sz w:val="25"/>
          <w:szCs w:val="25"/>
        </w:rPr>
        <w:t>i</w:t>
      </w:r>
      <w:r w:rsidR="00575D6B" w:rsidRPr="359636AC">
        <w:rPr>
          <w:rFonts w:ascii="Calibri" w:eastAsia="Calibri" w:hAnsi="Calibri" w:cs="Calibri"/>
          <w:b/>
          <w:bCs/>
          <w:sz w:val="25"/>
          <w:szCs w:val="25"/>
        </w:rPr>
        <w:t>n Need</w:t>
      </w:r>
    </w:p>
    <w:p w14:paraId="1B93116B" w14:textId="77777777" w:rsidR="00F00E3D" w:rsidRPr="00EA6BD1" w:rsidRDefault="00F00E3D" w:rsidP="009B2FA7">
      <w:pPr>
        <w:spacing w:after="0" w:line="276" w:lineRule="auto"/>
        <w:rPr>
          <w:rFonts w:ascii="Calibri" w:eastAsia="Calibri" w:hAnsi="Calibri" w:cs="Calibri"/>
          <w:b/>
          <w:bCs/>
          <w:sz w:val="23"/>
          <w:szCs w:val="23"/>
        </w:rPr>
      </w:pPr>
      <w:r w:rsidRPr="359636AC">
        <w:rPr>
          <w:rFonts w:ascii="Calibri" w:eastAsia="Calibri" w:hAnsi="Calibri" w:cs="Calibri"/>
          <w:b/>
          <w:bCs/>
          <w:sz w:val="23"/>
          <w:szCs w:val="23"/>
        </w:rPr>
        <w:t>Australia-wide, Geelong-founded (March 2020–present)</w:t>
      </w:r>
    </w:p>
    <w:bookmarkEnd w:id="68"/>
    <w:p w14:paraId="740FF329" w14:textId="77777777" w:rsidR="00F00E3D" w:rsidRPr="00BD13A1" w:rsidRDefault="00F00E3D" w:rsidP="009B2FA7">
      <w:pPr>
        <w:spacing w:after="0" w:line="276" w:lineRule="auto"/>
        <w:rPr>
          <w:rFonts w:ascii="Calibri" w:eastAsia="Calibri" w:hAnsi="Calibri" w:cs="Calibri"/>
          <w:b/>
          <w:bCs/>
          <w:sz w:val="16"/>
          <w:szCs w:val="16"/>
        </w:rPr>
      </w:pPr>
    </w:p>
    <w:p w14:paraId="22F05C10" w14:textId="12C91F2A" w:rsidR="00F00E3D" w:rsidRPr="00CC521D" w:rsidRDefault="00F00E3D" w:rsidP="009B2FA7">
      <w:pPr>
        <w:spacing w:after="0" w:line="276" w:lineRule="auto"/>
        <w:rPr>
          <w:rFonts w:ascii="Calibri" w:eastAsia="Calibri" w:hAnsi="Calibri" w:cs="Calibri"/>
          <w:b/>
          <w:bCs/>
          <w:color w:val="595959" w:themeColor="text1" w:themeTint="A6"/>
          <w:sz w:val="23"/>
          <w:szCs w:val="23"/>
        </w:rPr>
      </w:pPr>
      <w:r w:rsidRPr="00CC521D">
        <w:rPr>
          <w:rFonts w:ascii="Calibri" w:eastAsia="Calibri" w:hAnsi="Calibri" w:cs="Calibri"/>
          <w:b/>
          <w:bCs/>
          <w:color w:val="595959" w:themeColor="text1" w:themeTint="A6"/>
          <w:sz w:val="23"/>
          <w:szCs w:val="23"/>
        </w:rPr>
        <w:t xml:space="preserve">Main </w:t>
      </w:r>
      <w:r w:rsidR="00D95573">
        <w:rPr>
          <w:rFonts w:ascii="Calibri" w:eastAsia="Calibri" w:hAnsi="Calibri" w:cs="Calibri"/>
          <w:b/>
          <w:bCs/>
          <w:color w:val="595959" w:themeColor="text1" w:themeTint="A6"/>
          <w:sz w:val="23"/>
          <w:szCs w:val="23"/>
        </w:rPr>
        <w:t>Practice Domain</w:t>
      </w:r>
      <w:r w:rsidRPr="00CC521D">
        <w:rPr>
          <w:rFonts w:ascii="Calibri" w:eastAsia="Calibri" w:hAnsi="Calibri" w:cs="Calibri"/>
          <w:b/>
          <w:bCs/>
          <w:color w:val="595959" w:themeColor="text1" w:themeTint="A6"/>
          <w:sz w:val="23"/>
          <w:szCs w:val="23"/>
        </w:rPr>
        <w:t>(s):</w:t>
      </w:r>
      <w:r w:rsidRPr="00CC521D">
        <w:rPr>
          <w:rFonts w:ascii="Calibri" w:eastAsia="Calibri" w:hAnsi="Calibri" w:cs="Calibri"/>
          <w:b/>
          <w:bCs/>
          <w:color w:val="595959" w:themeColor="text1" w:themeTint="A6"/>
          <w:sz w:val="23"/>
          <w:szCs w:val="23"/>
        </w:rPr>
        <w:tab/>
      </w:r>
      <w:r w:rsidRPr="00CC521D">
        <w:rPr>
          <w:rFonts w:ascii="Calibri" w:eastAsia="Calibri" w:hAnsi="Calibri" w:cs="Calibri"/>
          <w:b/>
          <w:bCs/>
          <w:color w:val="595959" w:themeColor="text1" w:themeTint="A6"/>
          <w:sz w:val="23"/>
          <w:szCs w:val="23"/>
        </w:rPr>
        <w:tab/>
        <w:t xml:space="preserve">Liveability </w:t>
      </w:r>
    </w:p>
    <w:p w14:paraId="7A08A880" w14:textId="20D18C7D" w:rsidR="00F00E3D" w:rsidRPr="00CC521D" w:rsidRDefault="00F00E3D" w:rsidP="009B2FA7">
      <w:pPr>
        <w:spacing w:after="0" w:line="276" w:lineRule="auto"/>
        <w:rPr>
          <w:rFonts w:ascii="Calibri" w:eastAsia="Calibri" w:hAnsi="Calibri" w:cs="Calibri"/>
          <w:b/>
          <w:bCs/>
          <w:color w:val="595959" w:themeColor="text1" w:themeTint="A6"/>
          <w:sz w:val="23"/>
          <w:szCs w:val="23"/>
        </w:rPr>
      </w:pPr>
      <w:r w:rsidRPr="00CC521D">
        <w:rPr>
          <w:rFonts w:ascii="Calibri" w:eastAsia="Calibri" w:hAnsi="Calibri" w:cs="Calibri"/>
          <w:b/>
          <w:bCs/>
          <w:color w:val="595959" w:themeColor="text1" w:themeTint="A6"/>
          <w:sz w:val="23"/>
          <w:szCs w:val="23"/>
        </w:rPr>
        <w:t xml:space="preserve">Secondary </w:t>
      </w:r>
      <w:r w:rsidR="00D95573">
        <w:rPr>
          <w:rFonts w:ascii="Calibri" w:eastAsia="Calibri" w:hAnsi="Calibri" w:cs="Calibri"/>
          <w:b/>
          <w:bCs/>
          <w:color w:val="595959" w:themeColor="text1" w:themeTint="A6"/>
          <w:sz w:val="23"/>
          <w:szCs w:val="23"/>
        </w:rPr>
        <w:t>Practice Domain</w:t>
      </w:r>
      <w:r w:rsidRPr="00CC521D">
        <w:rPr>
          <w:rFonts w:ascii="Calibri" w:eastAsia="Calibri" w:hAnsi="Calibri" w:cs="Calibri"/>
          <w:b/>
          <w:bCs/>
          <w:color w:val="595959" w:themeColor="text1" w:themeTint="A6"/>
          <w:sz w:val="23"/>
          <w:szCs w:val="23"/>
        </w:rPr>
        <w:t>(s):</w:t>
      </w:r>
      <w:r w:rsidRPr="00CC521D">
        <w:rPr>
          <w:rFonts w:ascii="Calibri" w:eastAsia="Calibri" w:hAnsi="Calibri" w:cs="Calibri"/>
          <w:b/>
          <w:bCs/>
          <w:color w:val="595959" w:themeColor="text1" w:themeTint="A6"/>
          <w:sz w:val="23"/>
          <w:szCs w:val="23"/>
        </w:rPr>
        <w:tab/>
        <w:t>Health and Wellbeing</w:t>
      </w:r>
    </w:p>
    <w:p w14:paraId="39353CC6" w14:textId="77777777" w:rsidR="00F00E3D" w:rsidRPr="00BD13A1" w:rsidRDefault="00F00E3D" w:rsidP="009B2FA7">
      <w:pPr>
        <w:spacing w:after="0" w:line="276" w:lineRule="auto"/>
        <w:rPr>
          <w:rFonts w:ascii="Calibri" w:eastAsia="Calibri" w:hAnsi="Calibri" w:cs="Calibri"/>
          <w:color w:val="000000" w:themeColor="text1"/>
          <w:sz w:val="16"/>
          <w:szCs w:val="16"/>
        </w:rPr>
      </w:pPr>
    </w:p>
    <w:p w14:paraId="4A693E96" w14:textId="3D8D3E35" w:rsidR="00F00E3D" w:rsidRPr="00EA6BD1" w:rsidRDefault="00F00E3D" w:rsidP="009B2FA7">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 xml:space="preserve">In response to </w:t>
      </w:r>
      <w:r w:rsidR="00940D80">
        <w:rPr>
          <w:rFonts w:ascii="Calibri Light" w:eastAsia="Calibri Light" w:hAnsi="Calibri Light" w:cs="Calibri Light"/>
          <w:sz w:val="23"/>
          <w:szCs w:val="23"/>
        </w:rPr>
        <w:t>COVID</w:t>
      </w:r>
      <w:r w:rsidRPr="359636AC">
        <w:rPr>
          <w:rFonts w:ascii="Calibri Light" w:eastAsia="Calibri Light" w:hAnsi="Calibri Light" w:cs="Calibri Light"/>
          <w:sz w:val="23"/>
          <w:szCs w:val="23"/>
        </w:rPr>
        <w:t xml:space="preserve">-19 lockdowns and shortages, in April 2020 two Geelong entrepreneurs established a free online community platform enabling neighbours to help one another in a discreet and secure way. </w:t>
      </w:r>
      <w:r w:rsidRPr="359636AC">
        <w:rPr>
          <w:rFonts w:ascii="Calibri Light" w:eastAsia="Calibri Light" w:hAnsi="Calibri Light" w:cs="Calibri Light"/>
          <w:color w:val="0563C1"/>
          <w:sz w:val="23"/>
          <w:szCs w:val="23"/>
          <w:u w:val="single"/>
        </w:rPr>
        <w:t>Angel Next Door</w:t>
      </w:r>
      <w:r w:rsidRPr="359636AC">
        <w:rPr>
          <w:rFonts w:ascii="Calibri Light" w:eastAsia="Calibri Light" w:hAnsi="Calibri Light" w:cs="Calibri Light"/>
          <w:sz w:val="23"/>
          <w:szCs w:val="23"/>
        </w:rPr>
        <w:t xml:space="preserve"> is a web and mobile app designed to enable community members to offer and seek help from their neighbours. Launched in Geelong, the service is now Australia wide.</w:t>
      </w:r>
    </w:p>
    <w:p w14:paraId="4292E559" w14:textId="77777777" w:rsidR="00F00E3D" w:rsidRPr="00BD13A1" w:rsidRDefault="00F00E3D" w:rsidP="009B2FA7">
      <w:pPr>
        <w:spacing w:after="0" w:line="276" w:lineRule="auto"/>
        <w:rPr>
          <w:rFonts w:ascii="Calibri Light" w:eastAsia="Calibri Light" w:hAnsi="Calibri Light" w:cs="Calibri Light"/>
          <w:sz w:val="16"/>
          <w:szCs w:val="16"/>
        </w:rPr>
      </w:pPr>
    </w:p>
    <w:p w14:paraId="18754D8B" w14:textId="7205DF44" w:rsidR="00F00E3D" w:rsidRPr="00EA6BD1" w:rsidRDefault="00F00E3D" w:rsidP="009B2FA7">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 xml:space="preserve">Founders Aamir Qutub (web developer and 2019 Geelong Young Entrepreneur of the Year) and Rory </w:t>
      </w:r>
      <w:proofErr w:type="spellStart"/>
      <w:r w:rsidRPr="359636AC">
        <w:rPr>
          <w:rFonts w:ascii="Calibri Light" w:eastAsia="Calibri Light" w:hAnsi="Calibri Light" w:cs="Calibri Light"/>
          <w:sz w:val="23"/>
          <w:szCs w:val="23"/>
        </w:rPr>
        <w:t>Costelloe</w:t>
      </w:r>
      <w:proofErr w:type="spellEnd"/>
      <w:r w:rsidRPr="359636AC">
        <w:rPr>
          <w:rFonts w:ascii="Calibri Light" w:eastAsia="Calibri Light" w:hAnsi="Calibri Light" w:cs="Calibri Light"/>
          <w:sz w:val="23"/>
          <w:szCs w:val="23"/>
        </w:rPr>
        <w:t xml:space="preserve"> (executive director of Villawood Properties) created the </w:t>
      </w:r>
      <w:r w:rsidR="00C55A1B">
        <w:rPr>
          <w:rFonts w:ascii="Calibri Light" w:eastAsia="Calibri Light" w:hAnsi="Calibri Light" w:cs="Calibri Light"/>
          <w:sz w:val="23"/>
          <w:szCs w:val="23"/>
        </w:rPr>
        <w:t xml:space="preserve">peer-to-peer </w:t>
      </w:r>
      <w:r w:rsidRPr="359636AC">
        <w:rPr>
          <w:rFonts w:ascii="Calibri Light" w:eastAsia="Calibri Light" w:hAnsi="Calibri Light" w:cs="Calibri Light"/>
          <w:sz w:val="23"/>
          <w:szCs w:val="23"/>
        </w:rPr>
        <w:t xml:space="preserve">platform to help connect local communities during the hardships of the pandemic. People register </w:t>
      </w:r>
      <w:r w:rsidR="000F5DF0">
        <w:rPr>
          <w:rFonts w:ascii="Calibri Light" w:eastAsia="Calibri Light" w:hAnsi="Calibri Light" w:cs="Calibri Light"/>
          <w:sz w:val="23"/>
          <w:szCs w:val="23"/>
        </w:rPr>
        <w:t xml:space="preserve">to assist or receive help </w:t>
      </w:r>
      <w:r w:rsidRPr="359636AC">
        <w:rPr>
          <w:rFonts w:ascii="Calibri Light" w:eastAsia="Calibri Light" w:hAnsi="Calibri Light" w:cs="Calibri Light"/>
          <w:sz w:val="23"/>
          <w:szCs w:val="23"/>
        </w:rPr>
        <w:t xml:space="preserve">via the app. When someone posts a request for help, alerts are sent to “angels” who live nearby. Requests have included help with grocery shopping and pick-up, cleaning and moving, acquiring technology such as webcams, laptops and phones, and errands such as dog-walking (Dick, 2021; Wood, 2020). </w:t>
      </w:r>
    </w:p>
    <w:p w14:paraId="672C888A" w14:textId="77777777" w:rsidR="00F00E3D" w:rsidRPr="00BD13A1" w:rsidRDefault="00F00E3D" w:rsidP="009B2FA7">
      <w:pPr>
        <w:spacing w:after="0" w:line="276" w:lineRule="auto"/>
        <w:rPr>
          <w:rFonts w:ascii="Calibri Light" w:eastAsia="Calibri Light" w:hAnsi="Calibri Light" w:cs="Calibri Light"/>
          <w:sz w:val="16"/>
          <w:szCs w:val="16"/>
        </w:rPr>
      </w:pPr>
    </w:p>
    <w:p w14:paraId="327EF511" w14:textId="77777777" w:rsidR="00F00E3D" w:rsidRPr="00EA6BD1" w:rsidRDefault="00F00E3D" w:rsidP="009B2FA7">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Early on, a partnership was established with Villawood Properties and Neighbourhood Watch Victoria to help increase the program’s reach. It has continued to grow, with over 9000 angels currently registered, providing nearly 2000 offers of support in response to 400 requests.</w:t>
      </w:r>
    </w:p>
    <w:p w14:paraId="4B8C6C56" w14:textId="77777777" w:rsidR="00F00E3D" w:rsidRPr="00BD13A1" w:rsidRDefault="00F00E3D" w:rsidP="009B2FA7">
      <w:pPr>
        <w:spacing w:after="0" w:line="276" w:lineRule="auto"/>
        <w:rPr>
          <w:rFonts w:ascii="Calibri Light" w:eastAsia="Calibri Light" w:hAnsi="Calibri Light" w:cs="Calibri Light"/>
          <w:sz w:val="16"/>
          <w:szCs w:val="16"/>
        </w:rPr>
      </w:pPr>
    </w:p>
    <w:p w14:paraId="6524ECF1" w14:textId="77777777" w:rsidR="00F00E3D" w:rsidRPr="00EA6BD1" w:rsidRDefault="00F00E3D" w:rsidP="009B2FA7">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 xml:space="preserve">Angel Next Door has been commended by Neighbourhood Watch chief executive Bambi Gordan, who said: “This is a great example of that Aussie tradition of stepping up to help during a crisis and watching out for each other” (Wood, 2020; Neighbourhood Watch Victoria, 2020). The initiative has also generated local media interest, with articles in </w:t>
      </w:r>
      <w:r w:rsidRPr="359636AC">
        <w:rPr>
          <w:rFonts w:ascii="Calibri Light" w:eastAsia="Calibri Light" w:hAnsi="Calibri Light" w:cs="Calibri Light"/>
          <w:i/>
          <w:iCs/>
          <w:sz w:val="23"/>
          <w:szCs w:val="23"/>
        </w:rPr>
        <w:t>The Senior</w:t>
      </w:r>
      <w:r w:rsidRPr="359636AC">
        <w:rPr>
          <w:rFonts w:ascii="Calibri Light" w:eastAsia="Calibri Light" w:hAnsi="Calibri Light" w:cs="Calibri Light"/>
          <w:sz w:val="23"/>
          <w:szCs w:val="23"/>
        </w:rPr>
        <w:t xml:space="preserve">, </w:t>
      </w:r>
      <w:r w:rsidRPr="359636AC">
        <w:rPr>
          <w:rFonts w:ascii="Calibri Light" w:eastAsia="Calibri Light" w:hAnsi="Calibri Light" w:cs="Calibri Light"/>
          <w:i/>
          <w:iCs/>
          <w:sz w:val="23"/>
          <w:szCs w:val="23"/>
        </w:rPr>
        <w:t>The New Daily,</w:t>
      </w:r>
      <w:r w:rsidRPr="359636AC">
        <w:rPr>
          <w:rFonts w:ascii="Calibri Light" w:eastAsia="Calibri Light" w:hAnsi="Calibri Light" w:cs="Calibri Light"/>
          <w:sz w:val="23"/>
          <w:szCs w:val="23"/>
        </w:rPr>
        <w:t xml:space="preserve"> and</w:t>
      </w:r>
      <w:r w:rsidRPr="359636AC">
        <w:rPr>
          <w:rFonts w:ascii="Calibri Light" w:eastAsia="Calibri Light" w:hAnsi="Calibri Light" w:cs="Calibri Light"/>
          <w:i/>
          <w:iCs/>
          <w:sz w:val="23"/>
          <w:szCs w:val="23"/>
        </w:rPr>
        <w:t xml:space="preserve"> Geelong Times</w:t>
      </w:r>
      <w:r w:rsidRPr="359636AC">
        <w:rPr>
          <w:rFonts w:ascii="Calibri Light" w:eastAsia="Calibri Light" w:hAnsi="Calibri Light" w:cs="Calibri Light"/>
          <w:sz w:val="23"/>
          <w:szCs w:val="23"/>
        </w:rPr>
        <w:t>, and a feature spot on Channel Ten’s “The Project” in June 2020 (Channel Ten, 2021).</w:t>
      </w:r>
    </w:p>
    <w:p w14:paraId="54A2C140" w14:textId="77777777" w:rsidR="00F00E3D" w:rsidRPr="001240A1" w:rsidRDefault="00F00E3D" w:rsidP="00ED1F9E">
      <w:pPr>
        <w:spacing w:after="0"/>
        <w:rPr>
          <w:rFonts w:ascii="Calibri Light" w:eastAsia="Calibri Light" w:hAnsi="Calibri Light" w:cs="Calibri Light"/>
          <w:sz w:val="16"/>
          <w:szCs w:val="16"/>
        </w:rPr>
      </w:pPr>
    </w:p>
    <w:p w14:paraId="02DC9D14" w14:textId="77777777" w:rsidR="00F00E3D" w:rsidRPr="00EA6BD1" w:rsidRDefault="00F00E3D" w:rsidP="009B2FA7">
      <w:pPr>
        <w:spacing w:after="0" w:line="276" w:lineRule="auto"/>
        <w:rPr>
          <w:rFonts w:ascii="Calibri" w:eastAsia="Calibri" w:hAnsi="Calibri" w:cs="Calibri"/>
          <w:b/>
          <w:bCs/>
          <w:sz w:val="25"/>
          <w:szCs w:val="25"/>
        </w:rPr>
      </w:pPr>
      <w:bookmarkStart w:id="69" w:name="_Hlk70863951"/>
      <w:r w:rsidRPr="359636AC">
        <w:rPr>
          <w:rFonts w:ascii="Calibri" w:eastAsia="Calibri" w:hAnsi="Calibri" w:cs="Calibri"/>
          <w:b/>
          <w:bCs/>
          <w:sz w:val="25"/>
          <w:szCs w:val="25"/>
        </w:rPr>
        <w:t>Australian Indigenous Mentoring Experience (AIME)</w:t>
      </w:r>
    </w:p>
    <w:p w14:paraId="6482C029" w14:textId="77777777" w:rsidR="00F00E3D" w:rsidRPr="00EA6BD1" w:rsidRDefault="00F00E3D" w:rsidP="009B2FA7">
      <w:pPr>
        <w:spacing w:after="0" w:line="276" w:lineRule="auto"/>
        <w:rPr>
          <w:rFonts w:ascii="Calibri" w:eastAsia="Calibri" w:hAnsi="Calibri" w:cs="Calibri"/>
          <w:b/>
          <w:bCs/>
          <w:sz w:val="23"/>
          <w:szCs w:val="23"/>
        </w:rPr>
      </w:pPr>
      <w:r w:rsidRPr="359636AC">
        <w:rPr>
          <w:rFonts w:ascii="Calibri" w:eastAsia="Calibri" w:hAnsi="Calibri" w:cs="Calibri"/>
          <w:b/>
          <w:bCs/>
          <w:sz w:val="23"/>
          <w:szCs w:val="23"/>
        </w:rPr>
        <w:t>Australia-wide, scaled to four other countries (2005–present)</w:t>
      </w:r>
    </w:p>
    <w:bookmarkEnd w:id="69"/>
    <w:p w14:paraId="0712D212" w14:textId="77777777" w:rsidR="00F00E3D" w:rsidRPr="00BD13A1" w:rsidRDefault="00F00E3D" w:rsidP="009B2FA7">
      <w:pPr>
        <w:spacing w:after="0" w:line="276" w:lineRule="auto"/>
        <w:rPr>
          <w:rFonts w:ascii="Calibri" w:eastAsia="Calibri" w:hAnsi="Calibri" w:cs="Calibri"/>
          <w:b/>
          <w:bCs/>
          <w:sz w:val="16"/>
          <w:szCs w:val="16"/>
        </w:rPr>
      </w:pPr>
    </w:p>
    <w:p w14:paraId="7811B99A" w14:textId="0C917AFC"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Main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(s):</w:t>
      </w:r>
      <w:r w:rsidRPr="00CC521D">
        <w:rPr>
          <w:rFonts w:eastAsia="Calibri Light" w:cstheme="minorHAnsi"/>
          <w:b/>
          <w:bCs/>
          <w:color w:val="595959" w:themeColor="text1" w:themeTint="A6"/>
          <w:sz w:val="23"/>
          <w:szCs w:val="23"/>
        </w:rPr>
        <w:tab/>
      </w:r>
      <w:r w:rsidRPr="00CC521D">
        <w:rPr>
          <w:rFonts w:eastAsia="Calibri Light" w:cstheme="minorHAnsi"/>
          <w:b/>
          <w:bCs/>
          <w:color w:val="595959" w:themeColor="text1" w:themeTint="A6"/>
          <w:sz w:val="23"/>
          <w:szCs w:val="23"/>
        </w:rPr>
        <w:tab/>
        <w:t>Education</w:t>
      </w:r>
    </w:p>
    <w:p w14:paraId="5B0A4A92" w14:textId="475D2593" w:rsidR="00F00E3D" w:rsidRPr="00CC521D" w:rsidRDefault="00F00E3D" w:rsidP="009B2FA7">
      <w:pPr>
        <w:spacing w:after="0" w:line="276" w:lineRule="auto"/>
        <w:rPr>
          <w:rFonts w:eastAsia="Calibri Light" w:cstheme="minorHAnsi"/>
          <w:b/>
          <w:bCs/>
          <w:color w:val="595959" w:themeColor="text1" w:themeTint="A6"/>
          <w:sz w:val="23"/>
          <w:szCs w:val="23"/>
        </w:rPr>
      </w:pPr>
      <w:r w:rsidRPr="00CC521D">
        <w:rPr>
          <w:rFonts w:eastAsia="Calibri Light" w:cstheme="minorHAnsi"/>
          <w:b/>
          <w:bCs/>
          <w:color w:val="595959" w:themeColor="text1" w:themeTint="A6"/>
          <w:sz w:val="23"/>
          <w:szCs w:val="23"/>
        </w:rPr>
        <w:t xml:space="preserve">Secondary </w:t>
      </w:r>
      <w:r w:rsidR="00D95573">
        <w:rPr>
          <w:rFonts w:eastAsia="Calibri Light" w:cstheme="minorHAnsi"/>
          <w:b/>
          <w:bCs/>
          <w:color w:val="595959" w:themeColor="text1" w:themeTint="A6"/>
          <w:sz w:val="23"/>
          <w:szCs w:val="23"/>
        </w:rPr>
        <w:t>Practice Domain</w:t>
      </w:r>
      <w:r w:rsidRPr="00CC521D">
        <w:rPr>
          <w:rFonts w:eastAsia="Calibri Light" w:cstheme="minorHAnsi"/>
          <w:b/>
          <w:bCs/>
          <w:color w:val="595959" w:themeColor="text1" w:themeTint="A6"/>
          <w:sz w:val="23"/>
          <w:szCs w:val="23"/>
        </w:rPr>
        <w:t>(s):</w:t>
      </w:r>
      <w:r w:rsidRPr="00CC521D">
        <w:rPr>
          <w:rFonts w:eastAsia="Calibri Light" w:cstheme="minorHAnsi"/>
          <w:b/>
          <w:bCs/>
          <w:color w:val="595959" w:themeColor="text1" w:themeTint="A6"/>
          <w:sz w:val="23"/>
          <w:szCs w:val="23"/>
        </w:rPr>
        <w:tab/>
        <w:t>Employment, Health and Wellbeing</w:t>
      </w:r>
    </w:p>
    <w:p w14:paraId="34DBA62C" w14:textId="77777777" w:rsidR="00F00E3D" w:rsidRPr="00687652" w:rsidRDefault="00F00E3D" w:rsidP="009B2FA7">
      <w:pPr>
        <w:spacing w:after="0" w:line="276" w:lineRule="auto"/>
        <w:rPr>
          <w:rFonts w:eastAsia="Calibri Light" w:cstheme="minorHAnsi"/>
          <w:color w:val="767171" w:themeColor="background2" w:themeShade="80"/>
          <w:sz w:val="16"/>
          <w:szCs w:val="16"/>
        </w:rPr>
      </w:pPr>
    </w:p>
    <w:p w14:paraId="6982A55F" w14:textId="77777777" w:rsidR="00F00E3D" w:rsidRPr="00EA6BD1" w:rsidRDefault="00F00E3D" w:rsidP="009B2FA7">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The Australian Indigenous Mentoring Experience (AIME) is an educational mentoring program for high school students (aged 12–18) across Australia and beyond. The program aims to support Indigenous and marginalised students to complete their education and secure opportunities in further education and employment after completing Year 12.</w:t>
      </w:r>
    </w:p>
    <w:p w14:paraId="540F20FA" w14:textId="77777777" w:rsidR="00F00E3D" w:rsidRPr="00BD13A1" w:rsidRDefault="00F00E3D" w:rsidP="009B2FA7">
      <w:pPr>
        <w:spacing w:after="0" w:line="276" w:lineRule="auto"/>
        <w:rPr>
          <w:rFonts w:ascii="Calibri Light" w:eastAsia="Calibri Light" w:hAnsi="Calibri Light" w:cs="Calibri Light"/>
          <w:sz w:val="16"/>
          <w:szCs w:val="16"/>
        </w:rPr>
      </w:pPr>
    </w:p>
    <w:p w14:paraId="6370ED23" w14:textId="77777777" w:rsidR="00F00E3D" w:rsidRPr="00EA6BD1" w:rsidRDefault="00F00E3D" w:rsidP="009B2FA7">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One key aim is to close the gap between Indigenous and non-Indigenous educational outcomes by connecting Indigenous students with university student mentors (AIME Mentoring, n.d.; Social Ventures Australia, n.d.). Since its inception, the program has expanded to include students from a range of cultural backgrounds, including young African Australians (Fulloon, 2019).</w:t>
      </w:r>
    </w:p>
    <w:p w14:paraId="7E463B24" w14:textId="77777777" w:rsidR="00F00E3D" w:rsidRPr="00BD13A1" w:rsidRDefault="00F00E3D" w:rsidP="009B2FA7">
      <w:pPr>
        <w:spacing w:after="0" w:line="276" w:lineRule="auto"/>
        <w:rPr>
          <w:rFonts w:ascii="Calibri Light" w:eastAsia="Calibri Light" w:hAnsi="Calibri Light" w:cs="Calibri Light"/>
          <w:sz w:val="16"/>
          <w:szCs w:val="16"/>
        </w:rPr>
      </w:pPr>
    </w:p>
    <w:p w14:paraId="6757D5B4" w14:textId="77777777" w:rsidR="00F00E3D" w:rsidRPr="00EA6BD1" w:rsidRDefault="00F00E3D" w:rsidP="009B2FA7">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lastRenderedPageBreak/>
        <w:t>Primarily volunteer-based, the program was founded by</w:t>
      </w:r>
      <w:r w:rsidRPr="359636AC">
        <w:rPr>
          <w:rFonts w:ascii="Times New Roman" w:eastAsia="Times New Roman" w:hAnsi="Times New Roman" w:cs="Times New Roman"/>
          <w:sz w:val="24"/>
          <w:szCs w:val="24"/>
        </w:rPr>
        <w:t xml:space="preserve"> </w:t>
      </w:r>
      <w:r w:rsidRPr="359636AC">
        <w:rPr>
          <w:rFonts w:ascii="Calibri Light" w:eastAsia="Calibri Light" w:hAnsi="Calibri Light" w:cs="Calibri Light"/>
          <w:sz w:val="23"/>
          <w:szCs w:val="23"/>
        </w:rPr>
        <w:t>Bundjalung man Jack Manning Bancroft when he was aged 19. Participants are provided with free academic tutoring (20–30 sessions annually), “Theatre of Education” sessions (45 x one-hour sessions), and one-to-one career transitions support for Year 12 participants. Between 2005 to 2018 the program grew from 25 to 10,000 students, and from 965 university mentors to over 3000. The scalable program has now expanded from Australia to four other countries: Uganda, South Africa, Nigeria, and the US (Fulloon, 2019).</w:t>
      </w:r>
    </w:p>
    <w:p w14:paraId="2FAE3D86" w14:textId="77777777" w:rsidR="00F00E3D" w:rsidRPr="00ED1F9E" w:rsidRDefault="00F00E3D" w:rsidP="009B2FA7">
      <w:pPr>
        <w:spacing w:after="0" w:line="276" w:lineRule="auto"/>
        <w:rPr>
          <w:rFonts w:ascii="Calibri Light" w:eastAsia="Calibri Light" w:hAnsi="Calibri Light" w:cs="Calibri Light"/>
          <w:sz w:val="12"/>
          <w:szCs w:val="12"/>
        </w:rPr>
      </w:pPr>
    </w:p>
    <w:p w14:paraId="4A7AFD12" w14:textId="77777777" w:rsidR="00F00E3D" w:rsidRPr="00EA6BD1" w:rsidRDefault="00F00E3D" w:rsidP="009B2FA7">
      <w:pPr>
        <w:spacing w:after="0" w:line="276" w:lineRule="auto"/>
      </w:pPr>
      <w:r w:rsidRPr="359636AC">
        <w:rPr>
          <w:rFonts w:ascii="Calibri Light" w:eastAsia="Calibri Light" w:hAnsi="Calibri Light" w:cs="Calibri Light"/>
          <w:sz w:val="23"/>
          <w:szCs w:val="23"/>
        </w:rPr>
        <w:t xml:space="preserve">A research partnership has been forged with the University of Wollongong (UOW) and the University of Technology, Sydney (UTS) to better understand the program’s impact. </w:t>
      </w:r>
      <w:hyperlink r:id="rId88" w:history="1">
        <w:r w:rsidRPr="00053C1F">
          <w:rPr>
            <w:rStyle w:val="Hyperlink"/>
            <w:rFonts w:ascii="Calibri Light" w:eastAsia="Calibri Light" w:hAnsi="Calibri Light" w:cs="Calibri Light"/>
            <w:sz w:val="23"/>
            <w:szCs w:val="23"/>
          </w:rPr>
          <w:t>An evaluation</w:t>
        </w:r>
      </w:hyperlink>
      <w:r w:rsidRPr="359636AC">
        <w:rPr>
          <w:rFonts w:ascii="Calibri Light" w:eastAsia="Calibri Light" w:hAnsi="Calibri Light" w:cs="Calibri Light"/>
          <w:sz w:val="23"/>
          <w:szCs w:val="23"/>
        </w:rPr>
        <w:t xml:space="preserve"> of its first five years found</w:t>
      </w:r>
      <w:r>
        <w:rPr>
          <w:rFonts w:ascii="Calibri Light" w:eastAsia="Calibri Light" w:hAnsi="Calibri Light" w:cs="Calibri Light"/>
          <w:sz w:val="23"/>
          <w:szCs w:val="23"/>
        </w:rPr>
        <w:t xml:space="preserve"> positive results.</w:t>
      </w:r>
      <w:r w:rsidRPr="359636AC">
        <w:rPr>
          <w:rFonts w:ascii="Calibri Light" w:eastAsia="Calibri Light" w:hAnsi="Calibri Light" w:cs="Calibri Light"/>
          <w:sz w:val="23"/>
          <w:szCs w:val="23"/>
        </w:rPr>
        <w:t xml:space="preserve"> </w:t>
      </w:r>
      <w:r>
        <w:rPr>
          <w:rFonts w:ascii="Calibri Light" w:eastAsia="Calibri Light" w:hAnsi="Calibri Light" w:cs="Calibri Light"/>
          <w:sz w:val="23"/>
          <w:szCs w:val="23"/>
        </w:rPr>
        <w:t>Around</w:t>
      </w:r>
      <w:r w:rsidRPr="359636AC">
        <w:rPr>
          <w:rFonts w:ascii="Calibri Light" w:eastAsia="Calibri Light" w:hAnsi="Calibri Light" w:cs="Calibri Light"/>
          <w:sz w:val="23"/>
          <w:szCs w:val="23"/>
        </w:rPr>
        <w:t xml:space="preserve"> 88 percent of participants completed high school, with 36 percent gaining university entry in </w:t>
      </w:r>
      <w:r w:rsidRPr="00053C1F">
        <w:rPr>
          <w:rFonts w:ascii="Calibri Light" w:eastAsia="Calibri Light" w:hAnsi="Calibri Light" w:cs="Calibri Light"/>
          <w:sz w:val="23"/>
          <w:szCs w:val="23"/>
        </w:rPr>
        <w:t>2011 (Harwood et al, 2013).</w:t>
      </w:r>
    </w:p>
    <w:p w14:paraId="6B4B68A3" w14:textId="77777777" w:rsidR="00F00E3D" w:rsidRPr="00ED1F9E" w:rsidRDefault="00F00E3D" w:rsidP="009B2FA7">
      <w:pPr>
        <w:spacing w:after="0" w:line="276" w:lineRule="auto"/>
        <w:rPr>
          <w:rFonts w:ascii="Calibri Light" w:eastAsia="Calibri Light" w:hAnsi="Calibri Light" w:cs="Calibri Light"/>
          <w:sz w:val="12"/>
          <w:szCs w:val="12"/>
        </w:rPr>
      </w:pPr>
    </w:p>
    <w:p w14:paraId="46FA31E5" w14:textId="00ABCB5B" w:rsidR="00F00E3D" w:rsidRPr="00B227BD" w:rsidRDefault="00F00E3D" w:rsidP="009B2FA7">
      <w:pPr>
        <w:spacing w:after="0" w:line="276" w:lineRule="auto"/>
        <w:rPr>
          <w:rFonts w:ascii="Calibri Light" w:eastAsia="Calibri Light" w:hAnsi="Calibri Light" w:cs="Calibri Light"/>
          <w:sz w:val="23"/>
          <w:szCs w:val="23"/>
        </w:rPr>
      </w:pPr>
      <w:r>
        <w:rPr>
          <w:rFonts w:ascii="Calibri Light" w:eastAsia="Calibri Light" w:hAnsi="Calibri Light" w:cs="Calibri Light"/>
          <w:sz w:val="23"/>
          <w:szCs w:val="23"/>
        </w:rPr>
        <w:t>A</w:t>
      </w:r>
      <w:r w:rsidRPr="71C466D6">
        <w:rPr>
          <w:rFonts w:ascii="Calibri Light" w:eastAsia="Calibri Light" w:hAnsi="Calibri Light" w:cs="Calibri Light"/>
          <w:sz w:val="23"/>
          <w:szCs w:val="23"/>
        </w:rPr>
        <w:t xml:space="preserve"> 2014</w:t>
      </w:r>
      <w:hyperlink r:id="rId89" w:history="1">
        <w:r w:rsidRPr="001E3A9A">
          <w:rPr>
            <w:rStyle w:val="Hyperlink"/>
            <w:rFonts w:ascii="Calibri Light" w:eastAsia="Calibri Light" w:hAnsi="Calibri Light" w:cs="Calibri Light"/>
            <w:sz w:val="23"/>
            <w:szCs w:val="23"/>
          </w:rPr>
          <w:t xml:space="preserve"> evaluation</w:t>
        </w:r>
      </w:hyperlink>
      <w:r>
        <w:rPr>
          <w:rFonts w:ascii="Calibri Light" w:eastAsia="Calibri Light" w:hAnsi="Calibri Light" w:cs="Calibri Light"/>
          <w:sz w:val="23"/>
          <w:szCs w:val="23"/>
        </w:rPr>
        <w:t xml:space="preserve"> </w:t>
      </w:r>
      <w:r w:rsidRPr="71C466D6">
        <w:rPr>
          <w:rFonts w:ascii="Calibri Light" w:eastAsia="Calibri Light" w:hAnsi="Calibri Light" w:cs="Calibri Light"/>
          <w:sz w:val="23"/>
          <w:szCs w:val="23"/>
        </w:rPr>
        <w:t xml:space="preserve">found that the program’s junior-high Indigenous students were academically on parity with non-Indigenous students, while </w:t>
      </w:r>
      <w:r w:rsidR="00684122">
        <w:rPr>
          <w:rFonts w:ascii="Calibri Light" w:eastAsia="Calibri Light" w:hAnsi="Calibri Light" w:cs="Calibri Light"/>
          <w:sz w:val="23"/>
          <w:szCs w:val="23"/>
        </w:rPr>
        <w:t xml:space="preserve">the </w:t>
      </w:r>
      <w:r w:rsidRPr="71C466D6">
        <w:rPr>
          <w:rFonts w:ascii="Calibri Light" w:eastAsia="Calibri Light" w:hAnsi="Calibri Light" w:cs="Calibri Light"/>
          <w:sz w:val="23"/>
          <w:szCs w:val="23"/>
        </w:rPr>
        <w:t>senior-high students were close to parity, and the Year 12 cohort outperformed national non-Indigenous rates. Of the 2014 cohort, 76 percent transitioned into university, further education</w:t>
      </w:r>
      <w:r w:rsidR="00684122">
        <w:rPr>
          <w:rFonts w:ascii="Calibri Light" w:eastAsia="Calibri Light" w:hAnsi="Calibri Light" w:cs="Calibri Light"/>
          <w:sz w:val="23"/>
          <w:szCs w:val="23"/>
        </w:rPr>
        <w:t>,</w:t>
      </w:r>
      <w:r w:rsidRPr="71C466D6">
        <w:rPr>
          <w:rFonts w:ascii="Calibri Light" w:eastAsia="Calibri Light" w:hAnsi="Calibri Light" w:cs="Calibri Light"/>
          <w:sz w:val="23"/>
          <w:szCs w:val="23"/>
        </w:rPr>
        <w:t xml:space="preserve"> training, or </w:t>
      </w:r>
      <w:r w:rsidRPr="001E3A9A">
        <w:rPr>
          <w:rFonts w:ascii="Calibri Light" w:eastAsia="Calibri Light" w:hAnsi="Calibri Light" w:cs="Calibri Light"/>
          <w:sz w:val="23"/>
          <w:szCs w:val="23"/>
        </w:rPr>
        <w:t>employment (Priestly et al., 2015).</w:t>
      </w:r>
      <w:r w:rsidR="00684122">
        <w:rPr>
          <w:rFonts w:ascii="Calibri Light" w:eastAsia="Calibri Light" w:hAnsi="Calibri Light" w:cs="Calibri Light"/>
          <w:sz w:val="23"/>
          <w:szCs w:val="23"/>
        </w:rPr>
        <w:t xml:space="preserve"> KMPG</w:t>
      </w:r>
      <w:r w:rsidRPr="001E3A9A">
        <w:rPr>
          <w:rFonts w:ascii="Calibri Light" w:eastAsia="Calibri Light" w:hAnsi="Calibri Light" w:cs="Calibri Light"/>
          <w:sz w:val="23"/>
          <w:szCs w:val="23"/>
        </w:rPr>
        <w:t xml:space="preserve"> </w:t>
      </w:r>
      <w:hyperlink r:id="rId90" w:history="1">
        <w:r w:rsidR="00684122">
          <w:rPr>
            <w:rStyle w:val="Hyperlink"/>
            <w:rFonts w:ascii="Calibri Light" w:eastAsia="Calibri Light" w:hAnsi="Calibri Light" w:cs="Calibri Light"/>
            <w:sz w:val="23"/>
            <w:szCs w:val="23"/>
          </w:rPr>
          <w:t>e</w:t>
        </w:r>
        <w:r w:rsidRPr="001E3A9A">
          <w:rPr>
            <w:rStyle w:val="Hyperlink"/>
            <w:rFonts w:ascii="Calibri Light" w:eastAsia="Calibri Light" w:hAnsi="Calibri Light" w:cs="Calibri Light"/>
            <w:sz w:val="23"/>
            <w:szCs w:val="23"/>
          </w:rPr>
          <w:t>valuations</w:t>
        </w:r>
      </w:hyperlink>
      <w:r w:rsidRPr="001E3A9A">
        <w:rPr>
          <w:rFonts w:ascii="Calibri Light" w:eastAsia="Calibri Light" w:hAnsi="Calibri Light" w:cs="Calibri Light"/>
          <w:sz w:val="23"/>
          <w:szCs w:val="23"/>
        </w:rPr>
        <w:t xml:space="preserve"> found that</w:t>
      </w:r>
      <w:r w:rsidRPr="001E3A9A">
        <w:rPr>
          <w:rFonts w:ascii="Times New Roman" w:eastAsia="Times New Roman" w:hAnsi="Times New Roman" w:cs="Times New Roman"/>
          <w:sz w:val="24"/>
          <w:szCs w:val="24"/>
        </w:rPr>
        <w:t xml:space="preserve"> </w:t>
      </w:r>
      <w:r w:rsidRPr="001E3A9A">
        <w:rPr>
          <w:rFonts w:ascii="Calibri Light" w:eastAsia="Calibri Light" w:hAnsi="Calibri Light" w:cs="Calibri Light"/>
          <w:sz w:val="23"/>
          <w:szCs w:val="23"/>
        </w:rPr>
        <w:t xml:space="preserve">found that </w:t>
      </w:r>
      <w:r w:rsidR="00684122">
        <w:rPr>
          <w:rFonts w:ascii="Calibri Light" w:eastAsia="Calibri Light" w:hAnsi="Calibri Light" w:cs="Calibri Light"/>
          <w:sz w:val="23"/>
          <w:szCs w:val="23"/>
        </w:rPr>
        <w:t xml:space="preserve">for </w:t>
      </w:r>
      <w:r w:rsidRPr="001E3A9A">
        <w:rPr>
          <w:rFonts w:ascii="Calibri Light" w:eastAsia="Calibri Light" w:hAnsi="Calibri Light" w:cs="Calibri Light"/>
          <w:sz w:val="23"/>
          <w:szCs w:val="23"/>
        </w:rPr>
        <w:t>every dollar invested in the progra</w:t>
      </w:r>
      <w:r w:rsidRPr="71C466D6">
        <w:rPr>
          <w:rFonts w:ascii="Calibri Light" w:eastAsia="Calibri Light" w:hAnsi="Calibri Light" w:cs="Calibri Light"/>
          <w:sz w:val="23"/>
          <w:szCs w:val="23"/>
        </w:rPr>
        <w:t>m</w:t>
      </w:r>
      <w:r w:rsidR="00684122">
        <w:rPr>
          <w:rFonts w:ascii="Calibri Light" w:eastAsia="Calibri Light" w:hAnsi="Calibri Light" w:cs="Calibri Light"/>
          <w:sz w:val="23"/>
          <w:szCs w:val="23"/>
        </w:rPr>
        <w:t>,</w:t>
      </w:r>
      <w:r w:rsidRPr="71C466D6">
        <w:rPr>
          <w:rFonts w:ascii="Calibri Light" w:eastAsia="Calibri Light" w:hAnsi="Calibri Light" w:cs="Calibri Light"/>
          <w:sz w:val="23"/>
          <w:szCs w:val="23"/>
        </w:rPr>
        <w:t xml:space="preserve"> $8.90 of direct benefits were generated to society</w:t>
      </w:r>
      <w:r>
        <w:rPr>
          <w:rFonts w:ascii="Calibri Light" w:eastAsia="Calibri Light" w:hAnsi="Calibri Light" w:cs="Calibri Light"/>
          <w:sz w:val="23"/>
          <w:szCs w:val="23"/>
        </w:rPr>
        <w:t xml:space="preserve"> (KPMG, 2018), and that</w:t>
      </w:r>
      <w:r w:rsidRPr="00B227BD">
        <w:t xml:space="preserve"> </w:t>
      </w:r>
      <w:r w:rsidRPr="00B227BD">
        <w:rPr>
          <w:rFonts w:ascii="Calibri Light" w:eastAsia="Calibri Light" w:hAnsi="Calibri Light" w:cs="Calibri Light"/>
          <w:sz w:val="23"/>
          <w:szCs w:val="23"/>
        </w:rPr>
        <w:t xml:space="preserve">an AIME mentee who </w:t>
      </w:r>
      <w:r>
        <w:rPr>
          <w:rFonts w:ascii="Calibri Light" w:eastAsia="Calibri Light" w:hAnsi="Calibri Light" w:cs="Calibri Light"/>
          <w:sz w:val="23"/>
          <w:szCs w:val="23"/>
        </w:rPr>
        <w:t>attends</w:t>
      </w:r>
      <w:r w:rsidRPr="00B227BD">
        <w:rPr>
          <w:rFonts w:ascii="Calibri Light" w:eastAsia="Calibri Light" w:hAnsi="Calibri Light" w:cs="Calibri Light"/>
          <w:sz w:val="23"/>
          <w:szCs w:val="23"/>
        </w:rPr>
        <w:t xml:space="preserve"> university </w:t>
      </w:r>
      <w:r>
        <w:rPr>
          <w:rFonts w:ascii="Calibri Light" w:eastAsia="Calibri Light" w:hAnsi="Calibri Light" w:cs="Calibri Light"/>
          <w:sz w:val="23"/>
          <w:szCs w:val="23"/>
        </w:rPr>
        <w:t>will</w:t>
      </w:r>
      <w:r w:rsidRPr="00B227BD">
        <w:rPr>
          <w:rFonts w:ascii="Calibri Light" w:eastAsia="Calibri Light" w:hAnsi="Calibri Light" w:cs="Calibri Light"/>
          <w:sz w:val="23"/>
          <w:szCs w:val="23"/>
        </w:rPr>
        <w:t xml:space="preserve"> earn up to $332,000 more over their lifetime</w:t>
      </w:r>
      <w:r>
        <w:rPr>
          <w:rFonts w:ascii="Calibri Light" w:eastAsia="Calibri Light" w:hAnsi="Calibri Light" w:cs="Calibri Light"/>
          <w:sz w:val="23"/>
          <w:szCs w:val="23"/>
        </w:rPr>
        <w:t xml:space="preserve"> than</w:t>
      </w:r>
      <w:r w:rsidRPr="00B227BD">
        <w:rPr>
          <w:rFonts w:ascii="Calibri Light" w:eastAsia="Calibri Light" w:hAnsi="Calibri Light" w:cs="Calibri Light"/>
          <w:sz w:val="23"/>
          <w:szCs w:val="23"/>
        </w:rPr>
        <w:t xml:space="preserve"> an Indigenous student </w:t>
      </w:r>
      <w:r>
        <w:rPr>
          <w:rFonts w:ascii="Calibri Light" w:eastAsia="Calibri Light" w:hAnsi="Calibri Light" w:cs="Calibri Light"/>
          <w:sz w:val="23"/>
          <w:szCs w:val="23"/>
        </w:rPr>
        <w:t>who</w:t>
      </w:r>
      <w:r w:rsidRPr="00B227BD">
        <w:rPr>
          <w:rFonts w:ascii="Calibri Light" w:eastAsia="Calibri Light" w:hAnsi="Calibri Light" w:cs="Calibri Light"/>
          <w:sz w:val="23"/>
          <w:szCs w:val="23"/>
        </w:rPr>
        <w:t xml:space="preserve"> does not complete high schoo</w:t>
      </w:r>
      <w:r>
        <w:rPr>
          <w:rFonts w:ascii="Calibri Light" w:eastAsia="Calibri Light" w:hAnsi="Calibri Light" w:cs="Calibri Light"/>
          <w:sz w:val="23"/>
          <w:szCs w:val="23"/>
        </w:rPr>
        <w:t>l</w:t>
      </w:r>
      <w:r w:rsidRPr="71C466D6">
        <w:rPr>
          <w:rFonts w:ascii="Calibri Light" w:eastAsia="Calibri Light" w:hAnsi="Calibri Light" w:cs="Calibri Light"/>
          <w:sz w:val="23"/>
          <w:szCs w:val="23"/>
        </w:rPr>
        <w:t xml:space="preserve"> </w:t>
      </w:r>
      <w:r w:rsidRPr="00CA0296">
        <w:rPr>
          <w:rFonts w:ascii="Calibri Light" w:eastAsia="Calibri Light" w:hAnsi="Calibri Light" w:cs="Calibri Light"/>
          <w:sz w:val="23"/>
          <w:szCs w:val="23"/>
        </w:rPr>
        <w:t>(KPMG, 2013).</w:t>
      </w:r>
      <w:r>
        <w:rPr>
          <w:rFonts w:ascii="Calibri Light" w:eastAsia="Calibri Light" w:hAnsi="Calibri Light" w:cs="Calibri Light"/>
          <w:sz w:val="23"/>
          <w:szCs w:val="23"/>
        </w:rPr>
        <w:t xml:space="preserve"> The program’s US rollout is the </w:t>
      </w:r>
      <w:r w:rsidR="00684122">
        <w:rPr>
          <w:rFonts w:ascii="Calibri Light" w:eastAsia="Calibri Light" w:hAnsi="Calibri Light" w:cs="Calibri Light"/>
          <w:sz w:val="23"/>
          <w:szCs w:val="23"/>
        </w:rPr>
        <w:t>focus</w:t>
      </w:r>
      <w:r>
        <w:rPr>
          <w:rFonts w:ascii="Calibri Light" w:eastAsia="Calibri Light" w:hAnsi="Calibri Light" w:cs="Calibri Light"/>
          <w:sz w:val="23"/>
          <w:szCs w:val="23"/>
        </w:rPr>
        <w:t xml:space="preserve"> of a Harvard University Business School </w:t>
      </w:r>
      <w:hyperlink r:id="rId91" w:history="1">
        <w:r w:rsidRPr="00A71000">
          <w:rPr>
            <w:rStyle w:val="Hyperlink"/>
            <w:rFonts w:ascii="Calibri Light" w:eastAsia="Calibri Light" w:hAnsi="Calibri Light" w:cs="Calibri Light"/>
            <w:sz w:val="23"/>
            <w:szCs w:val="23"/>
          </w:rPr>
          <w:t>case study</w:t>
        </w:r>
      </w:hyperlink>
      <w:r>
        <w:rPr>
          <w:rFonts w:ascii="Calibri Light" w:eastAsia="Calibri Light" w:hAnsi="Calibri Light" w:cs="Calibri Light"/>
          <w:sz w:val="23"/>
          <w:szCs w:val="23"/>
        </w:rPr>
        <w:t xml:space="preserve"> (</w:t>
      </w:r>
      <w:proofErr w:type="spellStart"/>
      <w:r>
        <w:rPr>
          <w:rFonts w:ascii="Calibri Light" w:eastAsia="Calibri Light" w:hAnsi="Calibri Light" w:cs="Calibri Light"/>
          <w:sz w:val="23"/>
          <w:szCs w:val="23"/>
        </w:rPr>
        <w:t>Barlett</w:t>
      </w:r>
      <w:proofErr w:type="spellEnd"/>
      <w:r>
        <w:rPr>
          <w:rFonts w:ascii="Calibri Light" w:eastAsia="Calibri Light" w:hAnsi="Calibri Light" w:cs="Calibri Light"/>
          <w:sz w:val="23"/>
          <w:szCs w:val="23"/>
        </w:rPr>
        <w:t>, 2019).</w:t>
      </w:r>
    </w:p>
    <w:p w14:paraId="034D6893" w14:textId="77777777" w:rsidR="001500F8" w:rsidRPr="00684122" w:rsidRDefault="001500F8" w:rsidP="009B2FA7">
      <w:pPr>
        <w:spacing w:after="0" w:line="276" w:lineRule="auto"/>
        <w:rPr>
          <w:sz w:val="16"/>
          <w:szCs w:val="16"/>
        </w:rPr>
      </w:pPr>
    </w:p>
    <w:p w14:paraId="075901A0" w14:textId="4D8AA221" w:rsidR="00F00E3D" w:rsidRPr="006004A2" w:rsidRDefault="00F00E3D" w:rsidP="009B2FA7">
      <w:pPr>
        <w:spacing w:after="0" w:line="276" w:lineRule="auto"/>
        <w:rPr>
          <w:b/>
          <w:bCs/>
          <w:color w:val="2F5496" w:themeColor="accent1" w:themeShade="BF"/>
          <w:sz w:val="32"/>
          <w:szCs w:val="32"/>
        </w:rPr>
      </w:pPr>
      <w:r>
        <w:rPr>
          <w:b/>
          <w:bCs/>
          <w:color w:val="2F5496" w:themeColor="accent1" w:themeShade="BF"/>
          <w:sz w:val="32"/>
          <w:szCs w:val="32"/>
        </w:rPr>
        <w:t>5.4 I</w:t>
      </w:r>
      <w:r w:rsidRPr="71C466D6">
        <w:rPr>
          <w:b/>
          <w:bCs/>
          <w:color w:val="2F5496" w:themeColor="accent1" w:themeShade="BF"/>
          <w:sz w:val="32"/>
          <w:szCs w:val="32"/>
        </w:rPr>
        <w:t xml:space="preserve">nternational </w:t>
      </w:r>
      <w:r w:rsidR="00AD2DA5">
        <w:rPr>
          <w:b/>
          <w:bCs/>
          <w:color w:val="2F5496" w:themeColor="accent1" w:themeShade="BF"/>
          <w:sz w:val="32"/>
          <w:szCs w:val="32"/>
        </w:rPr>
        <w:t>Case Studies</w:t>
      </w:r>
    </w:p>
    <w:p w14:paraId="7CA00C05" w14:textId="77777777" w:rsidR="00F00E3D" w:rsidRPr="00ED1F9E" w:rsidRDefault="00F00E3D" w:rsidP="009B2FA7">
      <w:pPr>
        <w:spacing w:after="0" w:line="276" w:lineRule="auto"/>
        <w:rPr>
          <w:rFonts w:asciiTheme="majorHAnsi" w:hAnsiTheme="majorHAnsi" w:cstheme="majorHAnsi"/>
          <w:color w:val="7F7F7F" w:themeColor="text1" w:themeTint="80"/>
          <w:sz w:val="12"/>
          <w:szCs w:val="12"/>
        </w:rPr>
      </w:pPr>
    </w:p>
    <w:p w14:paraId="22FA2529" w14:textId="2A1A505A" w:rsidR="00F00E3D" w:rsidRDefault="00F00E3D" w:rsidP="009B2FA7">
      <w:pPr>
        <w:spacing w:after="0" w:line="276" w:lineRule="auto"/>
        <w:rPr>
          <w:rFonts w:asciiTheme="majorHAnsi" w:hAnsiTheme="majorHAnsi" w:cstheme="majorBidi"/>
          <w:sz w:val="23"/>
          <w:szCs w:val="23"/>
        </w:rPr>
      </w:pPr>
      <w:r>
        <w:rPr>
          <w:rFonts w:asciiTheme="majorHAnsi" w:hAnsiTheme="majorHAnsi" w:cstheme="majorBidi"/>
          <w:sz w:val="23"/>
          <w:szCs w:val="23"/>
        </w:rPr>
        <w:t>Profile</w:t>
      </w:r>
      <w:r w:rsidR="007018DE">
        <w:rPr>
          <w:rFonts w:asciiTheme="majorHAnsi" w:hAnsiTheme="majorHAnsi" w:cstheme="majorBidi"/>
          <w:sz w:val="23"/>
          <w:szCs w:val="23"/>
        </w:rPr>
        <w:t>d</w:t>
      </w:r>
      <w:r>
        <w:rPr>
          <w:rFonts w:asciiTheme="majorHAnsi" w:hAnsiTheme="majorHAnsi" w:cstheme="majorBidi"/>
          <w:sz w:val="23"/>
          <w:szCs w:val="23"/>
        </w:rPr>
        <w:t xml:space="preserve"> below is a</w:t>
      </w:r>
      <w:r w:rsidRPr="47C6F23B">
        <w:rPr>
          <w:rFonts w:asciiTheme="majorHAnsi" w:hAnsiTheme="majorHAnsi" w:cstheme="majorBidi"/>
          <w:sz w:val="23"/>
          <w:szCs w:val="23"/>
        </w:rPr>
        <w:t xml:space="preserve"> selection of in</w:t>
      </w:r>
      <w:r w:rsidR="007018DE">
        <w:rPr>
          <w:rFonts w:asciiTheme="majorHAnsi" w:hAnsiTheme="majorHAnsi" w:cstheme="majorBidi"/>
          <w:sz w:val="23"/>
          <w:szCs w:val="23"/>
        </w:rPr>
        <w:t>itiatives</w:t>
      </w:r>
      <w:r w:rsidRPr="47C6F23B">
        <w:rPr>
          <w:rFonts w:asciiTheme="majorHAnsi" w:hAnsiTheme="majorHAnsi" w:cstheme="majorBidi"/>
          <w:sz w:val="23"/>
          <w:szCs w:val="23"/>
        </w:rPr>
        <w:t xml:space="preserve"> from the US, Canada, the UK, New Zealand, and </w:t>
      </w:r>
      <w:r>
        <w:rPr>
          <w:rFonts w:asciiTheme="majorHAnsi" w:hAnsiTheme="majorHAnsi" w:cstheme="majorBidi"/>
          <w:sz w:val="23"/>
          <w:szCs w:val="23"/>
        </w:rPr>
        <w:t xml:space="preserve">several </w:t>
      </w:r>
      <w:r w:rsidRPr="47C6F23B">
        <w:rPr>
          <w:rFonts w:asciiTheme="majorHAnsi" w:hAnsiTheme="majorHAnsi" w:cstheme="majorBidi"/>
          <w:sz w:val="23"/>
          <w:szCs w:val="23"/>
        </w:rPr>
        <w:t>Europe</w:t>
      </w:r>
      <w:r>
        <w:rPr>
          <w:rFonts w:asciiTheme="majorHAnsi" w:hAnsiTheme="majorHAnsi" w:cstheme="majorBidi"/>
          <w:sz w:val="23"/>
          <w:szCs w:val="23"/>
        </w:rPr>
        <w:t>an countries</w:t>
      </w:r>
      <w:r w:rsidRPr="47C6F23B">
        <w:rPr>
          <w:rFonts w:asciiTheme="majorHAnsi" w:hAnsiTheme="majorHAnsi" w:cstheme="majorBidi"/>
          <w:sz w:val="23"/>
          <w:szCs w:val="23"/>
        </w:rPr>
        <w:t xml:space="preserve"> </w:t>
      </w:r>
      <w:r>
        <w:rPr>
          <w:rFonts w:asciiTheme="majorHAnsi" w:hAnsiTheme="majorHAnsi" w:cstheme="majorBidi"/>
          <w:sz w:val="23"/>
          <w:szCs w:val="23"/>
        </w:rPr>
        <w:t>(France, Denmark, and Norway)</w:t>
      </w:r>
      <w:r w:rsidRPr="47C6F23B">
        <w:rPr>
          <w:rFonts w:asciiTheme="majorHAnsi" w:hAnsiTheme="majorHAnsi" w:cstheme="majorBidi"/>
          <w:sz w:val="23"/>
          <w:szCs w:val="23"/>
        </w:rPr>
        <w:t>. Program governance and rollout span various geographic scales, but the primary focus is local: neighbourhoods, communities, suburbs, smaller cities.</w:t>
      </w:r>
    </w:p>
    <w:p w14:paraId="71706DC8" w14:textId="77777777" w:rsidR="00F00E3D" w:rsidRPr="00ED1F9E" w:rsidRDefault="00F00E3D" w:rsidP="009B2FA7">
      <w:pPr>
        <w:spacing w:after="0" w:line="276" w:lineRule="auto"/>
        <w:rPr>
          <w:rFonts w:asciiTheme="majorHAnsi" w:hAnsiTheme="majorHAnsi" w:cstheme="majorBidi"/>
          <w:sz w:val="12"/>
          <w:szCs w:val="12"/>
        </w:rPr>
      </w:pPr>
    </w:p>
    <w:p w14:paraId="01309456" w14:textId="0A77FE54" w:rsidR="00F00E3D" w:rsidRDefault="00F00E3D" w:rsidP="009B2FA7">
      <w:pPr>
        <w:spacing w:after="0" w:line="276" w:lineRule="auto"/>
        <w:rPr>
          <w:rFonts w:asciiTheme="majorHAnsi" w:hAnsiTheme="majorHAnsi" w:cstheme="majorBidi"/>
          <w:color w:val="000000" w:themeColor="text1"/>
          <w:sz w:val="23"/>
          <w:szCs w:val="23"/>
        </w:rPr>
      </w:pPr>
      <w:r w:rsidRPr="47C6F23B">
        <w:rPr>
          <w:rFonts w:asciiTheme="majorHAnsi" w:hAnsiTheme="majorHAnsi" w:cstheme="majorBidi"/>
          <w:sz w:val="23"/>
          <w:szCs w:val="23"/>
        </w:rPr>
        <w:t xml:space="preserve">These </w:t>
      </w:r>
      <w:r>
        <w:rPr>
          <w:rFonts w:asciiTheme="majorHAnsi" w:hAnsiTheme="majorHAnsi" w:cstheme="majorBidi"/>
          <w:sz w:val="23"/>
          <w:szCs w:val="23"/>
        </w:rPr>
        <w:t xml:space="preserve">12 </w:t>
      </w:r>
      <w:r w:rsidRPr="47C6F23B">
        <w:rPr>
          <w:rFonts w:asciiTheme="majorHAnsi" w:hAnsiTheme="majorHAnsi" w:cstheme="majorBidi"/>
          <w:sz w:val="23"/>
          <w:szCs w:val="23"/>
        </w:rPr>
        <w:t xml:space="preserve">initiatives and the sub-projects nested within them </w:t>
      </w:r>
      <w:r w:rsidR="00EC683F">
        <w:rPr>
          <w:rFonts w:asciiTheme="majorHAnsi" w:hAnsiTheme="majorHAnsi" w:cstheme="majorBidi"/>
          <w:sz w:val="23"/>
          <w:szCs w:val="23"/>
        </w:rPr>
        <w:t>cover</w:t>
      </w:r>
      <w:r w:rsidRPr="47C6F23B">
        <w:rPr>
          <w:rFonts w:asciiTheme="majorHAnsi" w:hAnsiTheme="majorHAnsi" w:cstheme="majorBidi"/>
          <w:sz w:val="23"/>
          <w:szCs w:val="23"/>
        </w:rPr>
        <w:t xml:space="preserve"> a wide range of themes</w:t>
      </w:r>
      <w:r w:rsidRPr="1A3976D9">
        <w:rPr>
          <w:rFonts w:asciiTheme="majorHAnsi" w:hAnsiTheme="majorHAnsi" w:cstheme="majorBidi"/>
          <w:sz w:val="23"/>
          <w:szCs w:val="23"/>
        </w:rPr>
        <w:t>, priorities,</w:t>
      </w:r>
      <w:r w:rsidRPr="47C6F23B">
        <w:rPr>
          <w:rFonts w:asciiTheme="majorHAnsi" w:hAnsiTheme="majorHAnsi" w:cstheme="majorBidi"/>
          <w:sz w:val="23"/>
          <w:szCs w:val="23"/>
        </w:rPr>
        <w:t xml:space="preserve"> and approaches</w:t>
      </w:r>
      <w:r>
        <w:rPr>
          <w:rFonts w:asciiTheme="majorHAnsi" w:hAnsiTheme="majorHAnsi" w:cstheme="majorBidi"/>
          <w:sz w:val="23"/>
          <w:szCs w:val="23"/>
        </w:rPr>
        <w:t>, including:</w:t>
      </w:r>
      <w:r w:rsidRPr="47C6F23B">
        <w:rPr>
          <w:rFonts w:asciiTheme="majorHAnsi" w:hAnsiTheme="majorHAnsi" w:cstheme="majorBidi"/>
          <w:sz w:val="23"/>
          <w:szCs w:val="23"/>
        </w:rPr>
        <w:t xml:space="preserve"> job creation and training,</w:t>
      </w:r>
      <w:r w:rsidRPr="47C6F23B">
        <w:rPr>
          <w:rFonts w:asciiTheme="majorHAnsi" w:hAnsiTheme="majorHAnsi" w:cstheme="majorBidi"/>
          <w:color w:val="000000" w:themeColor="text1"/>
          <w:sz w:val="23"/>
          <w:szCs w:val="23"/>
        </w:rPr>
        <w:t xml:space="preserve"> urban greening, arts-led regeneration, public housing upgrades, walkability and safety, tactical urbanism, community gardens, </w:t>
      </w:r>
      <w:r w:rsidRPr="1A3976D9">
        <w:rPr>
          <w:rFonts w:asciiTheme="majorHAnsi" w:hAnsiTheme="majorHAnsi" w:cstheme="majorBidi"/>
          <w:color w:val="000000" w:themeColor="text1"/>
          <w:sz w:val="23"/>
          <w:szCs w:val="23"/>
        </w:rPr>
        <w:t xml:space="preserve">pocket parks, </w:t>
      </w:r>
      <w:r w:rsidRPr="47C6F23B">
        <w:rPr>
          <w:rFonts w:asciiTheme="majorHAnsi" w:hAnsiTheme="majorHAnsi" w:cstheme="majorBidi"/>
          <w:color w:val="000000" w:themeColor="text1"/>
          <w:sz w:val="23"/>
          <w:szCs w:val="23"/>
        </w:rPr>
        <w:t xml:space="preserve">local markets, food security, upcycling, circular business models, micro-grants, resident-run festivals, new community assets, crowdsourced citizen engagement, participatory policy development, public space </w:t>
      </w:r>
      <w:r w:rsidR="00EC683F">
        <w:rPr>
          <w:rFonts w:asciiTheme="majorHAnsi" w:hAnsiTheme="majorHAnsi" w:cstheme="majorBidi"/>
          <w:color w:val="000000" w:themeColor="text1"/>
          <w:sz w:val="23"/>
          <w:szCs w:val="23"/>
        </w:rPr>
        <w:t xml:space="preserve">design </w:t>
      </w:r>
      <w:r w:rsidRPr="47C6F23B">
        <w:rPr>
          <w:rFonts w:asciiTheme="majorHAnsi" w:hAnsiTheme="majorHAnsi" w:cstheme="majorBidi"/>
          <w:color w:val="000000" w:themeColor="text1"/>
          <w:sz w:val="23"/>
          <w:szCs w:val="23"/>
        </w:rPr>
        <w:t>projects, sustainability</w:t>
      </w:r>
      <w:r w:rsidR="00EC683F">
        <w:rPr>
          <w:rFonts w:asciiTheme="majorHAnsi" w:hAnsiTheme="majorHAnsi" w:cstheme="majorBidi"/>
          <w:color w:val="000000" w:themeColor="text1"/>
          <w:sz w:val="23"/>
          <w:szCs w:val="23"/>
        </w:rPr>
        <w:t>-focused</w:t>
      </w:r>
      <w:r w:rsidRPr="47C6F23B">
        <w:rPr>
          <w:rFonts w:asciiTheme="majorHAnsi" w:hAnsiTheme="majorHAnsi" w:cstheme="majorBidi"/>
          <w:color w:val="000000" w:themeColor="text1"/>
          <w:sz w:val="23"/>
          <w:szCs w:val="23"/>
        </w:rPr>
        <w:t xml:space="preserve"> programs, innovative service delivery models, a post-disaster </w:t>
      </w:r>
      <w:r>
        <w:rPr>
          <w:rFonts w:asciiTheme="majorHAnsi" w:hAnsiTheme="majorHAnsi" w:cstheme="majorBidi"/>
          <w:color w:val="000000" w:themeColor="text1"/>
          <w:sz w:val="23"/>
          <w:szCs w:val="23"/>
        </w:rPr>
        <w:t xml:space="preserve">mental health and </w:t>
      </w:r>
      <w:r w:rsidRPr="47C6F23B">
        <w:rPr>
          <w:rFonts w:asciiTheme="majorHAnsi" w:hAnsiTheme="majorHAnsi" w:cstheme="majorBidi"/>
          <w:color w:val="000000" w:themeColor="text1"/>
          <w:sz w:val="23"/>
          <w:szCs w:val="23"/>
        </w:rPr>
        <w:t>wellbeing initiative, and interventions targeting the social determinants of health.</w:t>
      </w:r>
    </w:p>
    <w:p w14:paraId="3FB75254" w14:textId="77777777" w:rsidR="00F00E3D" w:rsidRPr="004D5518" w:rsidRDefault="00F00E3D" w:rsidP="009B2FA7">
      <w:pPr>
        <w:spacing w:after="0" w:line="276" w:lineRule="auto"/>
        <w:rPr>
          <w:rFonts w:asciiTheme="majorHAnsi" w:hAnsiTheme="majorHAnsi" w:cstheme="majorBidi"/>
          <w:color w:val="7F7F7F" w:themeColor="text1" w:themeTint="80"/>
          <w:sz w:val="16"/>
          <w:szCs w:val="16"/>
        </w:rPr>
      </w:pPr>
    </w:p>
    <w:p w14:paraId="76DE2500" w14:textId="77777777" w:rsidR="00F00E3D" w:rsidRPr="00E34FAA" w:rsidRDefault="00F00E3D" w:rsidP="009B2FA7">
      <w:pPr>
        <w:spacing w:after="0" w:line="276" w:lineRule="auto"/>
        <w:rPr>
          <w:b/>
          <w:bCs/>
          <w:color w:val="2F5496" w:themeColor="accent1" w:themeShade="BF"/>
          <w:sz w:val="25"/>
          <w:szCs w:val="25"/>
        </w:rPr>
      </w:pPr>
      <w:r>
        <w:rPr>
          <w:b/>
          <w:bCs/>
          <w:color w:val="2F5496" w:themeColor="accent1" w:themeShade="BF"/>
          <w:sz w:val="25"/>
          <w:szCs w:val="25"/>
        </w:rPr>
        <w:t>United States</w:t>
      </w:r>
    </w:p>
    <w:p w14:paraId="433E570D" w14:textId="77777777" w:rsidR="00F00E3D" w:rsidRPr="00ED1F9E" w:rsidRDefault="00F00E3D" w:rsidP="009B2FA7">
      <w:pPr>
        <w:spacing w:after="0" w:line="276" w:lineRule="auto"/>
        <w:rPr>
          <w:rFonts w:cstheme="minorHAnsi"/>
          <w:b/>
          <w:bCs/>
          <w:color w:val="2F5496" w:themeColor="accent1" w:themeShade="BF"/>
          <w:sz w:val="12"/>
          <w:szCs w:val="12"/>
        </w:rPr>
      </w:pPr>
    </w:p>
    <w:p w14:paraId="499E76D9" w14:textId="686A737E" w:rsidR="00F00E3D" w:rsidRPr="00845F90" w:rsidRDefault="00F00E3D" w:rsidP="009B2FA7">
      <w:pPr>
        <w:spacing w:after="0" w:line="276" w:lineRule="auto"/>
        <w:rPr>
          <w:rFonts w:eastAsia="Times New Roman" w:cstheme="minorHAnsi"/>
          <w:b/>
          <w:bCs/>
          <w:sz w:val="25"/>
          <w:szCs w:val="25"/>
          <w:lang w:eastAsia="en-AU"/>
        </w:rPr>
      </w:pPr>
      <w:bookmarkStart w:id="70" w:name="_Hlk70863965"/>
      <w:r w:rsidRPr="00845F90">
        <w:rPr>
          <w:rFonts w:eastAsia="Times New Roman" w:cstheme="minorHAnsi"/>
          <w:b/>
          <w:bCs/>
          <w:sz w:val="25"/>
          <w:szCs w:val="25"/>
          <w:lang w:eastAsia="en-AU"/>
        </w:rPr>
        <w:t xml:space="preserve">Best Babies Zone: </w:t>
      </w:r>
      <w:r>
        <w:rPr>
          <w:rFonts w:eastAsia="Times New Roman" w:cstheme="minorHAnsi"/>
          <w:b/>
          <w:bCs/>
          <w:sz w:val="25"/>
          <w:szCs w:val="25"/>
          <w:lang w:eastAsia="en-AU"/>
        </w:rPr>
        <w:t>P</w:t>
      </w:r>
      <w:r w:rsidRPr="00845F90">
        <w:rPr>
          <w:rFonts w:eastAsia="Times New Roman" w:cstheme="minorHAnsi"/>
          <w:b/>
          <w:bCs/>
          <w:sz w:val="25"/>
          <w:szCs w:val="25"/>
          <w:lang w:eastAsia="en-AU"/>
        </w:rPr>
        <w:t xml:space="preserve">lace-based </w:t>
      </w:r>
      <w:r w:rsidR="00C26E85" w:rsidRPr="00845F90">
        <w:rPr>
          <w:rFonts w:eastAsia="Times New Roman" w:cstheme="minorHAnsi"/>
          <w:b/>
          <w:bCs/>
          <w:sz w:val="25"/>
          <w:szCs w:val="25"/>
          <w:lang w:eastAsia="en-AU"/>
        </w:rPr>
        <w:t xml:space="preserve">Multisector Program </w:t>
      </w:r>
      <w:r w:rsidR="00C26E85">
        <w:rPr>
          <w:rFonts w:eastAsia="Times New Roman" w:cstheme="minorHAnsi"/>
          <w:b/>
          <w:bCs/>
          <w:sz w:val="25"/>
          <w:szCs w:val="25"/>
          <w:lang w:eastAsia="en-AU"/>
        </w:rPr>
        <w:t>t</w:t>
      </w:r>
      <w:r w:rsidR="00C26E85" w:rsidRPr="00845F90">
        <w:rPr>
          <w:rFonts w:eastAsia="Times New Roman" w:cstheme="minorHAnsi"/>
          <w:b/>
          <w:bCs/>
          <w:sz w:val="25"/>
          <w:szCs w:val="25"/>
          <w:lang w:eastAsia="en-AU"/>
        </w:rPr>
        <w:t>o Reduce Health Inequalities</w:t>
      </w:r>
    </w:p>
    <w:p w14:paraId="5F42369A" w14:textId="77777777" w:rsidR="00F00E3D" w:rsidRPr="00845F90" w:rsidRDefault="00F00E3D" w:rsidP="009B2FA7">
      <w:pPr>
        <w:spacing w:after="0" w:line="276" w:lineRule="auto"/>
        <w:rPr>
          <w:rFonts w:eastAsia="Times New Roman" w:cstheme="minorHAnsi"/>
          <w:b/>
          <w:bCs/>
          <w:sz w:val="23"/>
          <w:szCs w:val="23"/>
          <w:lang w:eastAsia="en-AU"/>
        </w:rPr>
      </w:pPr>
      <w:r w:rsidRPr="00845F90">
        <w:rPr>
          <w:rFonts w:eastAsia="Times New Roman" w:cstheme="minorHAnsi"/>
          <w:b/>
          <w:bCs/>
          <w:sz w:val="23"/>
          <w:szCs w:val="23"/>
          <w:lang w:eastAsia="en-AU"/>
        </w:rPr>
        <w:t>Castlemont, East Oakland, California (2012–</w:t>
      </w:r>
      <w:r>
        <w:rPr>
          <w:rFonts w:eastAsia="Times New Roman" w:cstheme="minorHAnsi"/>
          <w:b/>
          <w:bCs/>
          <w:sz w:val="23"/>
          <w:szCs w:val="23"/>
          <w:lang w:eastAsia="en-AU"/>
        </w:rPr>
        <w:t>2015</w:t>
      </w:r>
      <w:r w:rsidRPr="00845F90">
        <w:rPr>
          <w:rFonts w:eastAsia="Times New Roman" w:cstheme="minorHAnsi"/>
          <w:b/>
          <w:bCs/>
          <w:sz w:val="23"/>
          <w:szCs w:val="23"/>
          <w:lang w:eastAsia="en-AU"/>
        </w:rPr>
        <w:t xml:space="preserve">); </w:t>
      </w:r>
      <w:r>
        <w:rPr>
          <w:rFonts w:eastAsia="Times New Roman" w:cstheme="minorHAnsi"/>
          <w:b/>
          <w:bCs/>
          <w:sz w:val="23"/>
          <w:szCs w:val="23"/>
          <w:lang w:eastAsia="en-AU"/>
        </w:rPr>
        <w:t>10 other</w:t>
      </w:r>
      <w:r w:rsidRPr="00845F90">
        <w:rPr>
          <w:rFonts w:eastAsia="Times New Roman" w:cstheme="minorHAnsi"/>
          <w:b/>
          <w:bCs/>
          <w:sz w:val="23"/>
          <w:szCs w:val="23"/>
          <w:lang w:eastAsia="en-AU"/>
        </w:rPr>
        <w:t xml:space="preserve"> US locations (2012–present)</w:t>
      </w:r>
    </w:p>
    <w:bookmarkEnd w:id="70"/>
    <w:p w14:paraId="0A358EA3" w14:textId="77777777" w:rsidR="00F00E3D" w:rsidRPr="00684122" w:rsidRDefault="00F00E3D" w:rsidP="009B2FA7">
      <w:pPr>
        <w:spacing w:after="0" w:line="276" w:lineRule="auto"/>
        <w:rPr>
          <w:b/>
          <w:bCs/>
          <w:sz w:val="12"/>
          <w:szCs w:val="12"/>
        </w:rPr>
      </w:pPr>
    </w:p>
    <w:p w14:paraId="43ADAAC7" w14:textId="099B3D38" w:rsidR="00F00E3D" w:rsidRPr="00CC521D" w:rsidRDefault="00F00E3D" w:rsidP="009B2FA7">
      <w:pPr>
        <w:spacing w:after="0" w:line="276" w:lineRule="auto"/>
        <w:rPr>
          <w:rFonts w:cstheme="minorHAnsi"/>
          <w:b/>
          <w:bCs/>
          <w:color w:val="595959" w:themeColor="text1" w:themeTint="A6"/>
          <w:sz w:val="23"/>
          <w:szCs w:val="23"/>
        </w:rPr>
      </w:pPr>
      <w:r w:rsidRPr="00CC521D">
        <w:rPr>
          <w:rFonts w:cstheme="minorHAnsi"/>
          <w:b/>
          <w:bCs/>
          <w:color w:val="595959" w:themeColor="text1" w:themeTint="A6"/>
          <w:sz w:val="23"/>
          <w:szCs w:val="23"/>
        </w:rPr>
        <w:t xml:space="preserve">Main </w:t>
      </w:r>
      <w:r w:rsidR="00D95573">
        <w:rPr>
          <w:rFonts w:cstheme="minorHAnsi"/>
          <w:b/>
          <w:bCs/>
          <w:color w:val="595959" w:themeColor="text1" w:themeTint="A6"/>
          <w:sz w:val="23"/>
          <w:szCs w:val="23"/>
        </w:rPr>
        <w:t>Practice Domain</w:t>
      </w:r>
      <w:r w:rsidRPr="00CC521D">
        <w:rPr>
          <w:rFonts w:cstheme="minorHAnsi"/>
          <w:b/>
          <w:bCs/>
          <w:color w:val="595959" w:themeColor="text1" w:themeTint="A6"/>
          <w:sz w:val="23"/>
          <w:szCs w:val="23"/>
        </w:rPr>
        <w:t xml:space="preserve">(s): </w:t>
      </w:r>
      <w:r w:rsidRPr="00CC521D">
        <w:rPr>
          <w:rFonts w:cstheme="minorHAnsi"/>
          <w:b/>
          <w:bCs/>
          <w:color w:val="595959" w:themeColor="text1" w:themeTint="A6"/>
          <w:sz w:val="23"/>
          <w:szCs w:val="23"/>
        </w:rPr>
        <w:tab/>
      </w:r>
      <w:r w:rsidRPr="00CC521D">
        <w:rPr>
          <w:rFonts w:cstheme="minorHAnsi"/>
          <w:b/>
          <w:bCs/>
          <w:color w:val="595959" w:themeColor="text1" w:themeTint="A6"/>
          <w:sz w:val="23"/>
          <w:szCs w:val="23"/>
        </w:rPr>
        <w:tab/>
        <w:t>Health and Wellbeing, Liveability</w:t>
      </w:r>
    </w:p>
    <w:p w14:paraId="787D6A88" w14:textId="3DCC82B8" w:rsidR="00F00E3D" w:rsidRPr="00CC521D" w:rsidRDefault="00F00E3D" w:rsidP="009B2FA7">
      <w:pPr>
        <w:spacing w:after="0" w:line="276" w:lineRule="auto"/>
        <w:rPr>
          <w:rFonts w:cstheme="minorHAnsi"/>
          <w:b/>
          <w:bCs/>
          <w:color w:val="595959" w:themeColor="text1" w:themeTint="A6"/>
          <w:sz w:val="23"/>
          <w:szCs w:val="23"/>
        </w:rPr>
      </w:pPr>
      <w:r w:rsidRPr="00CC521D">
        <w:rPr>
          <w:rFonts w:cstheme="minorHAnsi"/>
          <w:b/>
          <w:bCs/>
          <w:color w:val="595959" w:themeColor="text1" w:themeTint="A6"/>
          <w:sz w:val="23"/>
          <w:szCs w:val="23"/>
        </w:rPr>
        <w:t xml:space="preserve">Secondary </w:t>
      </w:r>
      <w:r w:rsidR="00D95573">
        <w:rPr>
          <w:rFonts w:cstheme="minorHAnsi"/>
          <w:b/>
          <w:bCs/>
          <w:color w:val="595959" w:themeColor="text1" w:themeTint="A6"/>
          <w:sz w:val="23"/>
          <w:szCs w:val="23"/>
        </w:rPr>
        <w:t>Practice Domain</w:t>
      </w:r>
      <w:r w:rsidRPr="00CC521D">
        <w:rPr>
          <w:rFonts w:cstheme="minorHAnsi"/>
          <w:b/>
          <w:bCs/>
          <w:color w:val="595959" w:themeColor="text1" w:themeTint="A6"/>
          <w:sz w:val="23"/>
          <w:szCs w:val="23"/>
        </w:rPr>
        <w:t xml:space="preserve">(s): </w:t>
      </w:r>
      <w:r w:rsidRPr="00CC521D">
        <w:rPr>
          <w:rFonts w:cstheme="minorHAnsi"/>
          <w:b/>
          <w:bCs/>
          <w:color w:val="595959" w:themeColor="text1" w:themeTint="A6"/>
          <w:sz w:val="23"/>
          <w:szCs w:val="23"/>
        </w:rPr>
        <w:tab/>
        <w:t>Employment, Education</w:t>
      </w:r>
    </w:p>
    <w:p w14:paraId="7E6CE63A" w14:textId="77777777" w:rsidR="00F00E3D" w:rsidRPr="00684122" w:rsidRDefault="00F00E3D" w:rsidP="009B2FA7">
      <w:pPr>
        <w:spacing w:after="0" w:line="276" w:lineRule="auto"/>
        <w:rPr>
          <w:rFonts w:asciiTheme="majorHAnsi" w:eastAsia="Times New Roman" w:hAnsiTheme="majorHAnsi" w:cstheme="majorHAnsi"/>
          <w:color w:val="595959" w:themeColor="text1" w:themeTint="A6"/>
          <w:sz w:val="12"/>
          <w:szCs w:val="12"/>
          <w:lang w:val="en-GB" w:eastAsia="en-AU"/>
        </w:rPr>
      </w:pPr>
    </w:p>
    <w:p w14:paraId="32C944F8" w14:textId="2118A103" w:rsidR="00F00E3D" w:rsidRPr="00845F90" w:rsidRDefault="00BF2B5B" w:rsidP="009B2FA7">
      <w:pPr>
        <w:spacing w:after="0" w:line="276" w:lineRule="auto"/>
        <w:rPr>
          <w:rFonts w:asciiTheme="majorHAnsi" w:eastAsia="Times New Roman" w:hAnsiTheme="majorHAnsi" w:cstheme="majorBidi"/>
          <w:color w:val="000000"/>
          <w:sz w:val="23"/>
          <w:szCs w:val="23"/>
          <w:shd w:val="clear" w:color="auto" w:fill="FFFFFF"/>
          <w:lang w:eastAsia="en-AU"/>
        </w:rPr>
      </w:pPr>
      <w:r>
        <w:rPr>
          <w:rFonts w:asciiTheme="majorHAnsi" w:eastAsia="Times New Roman" w:hAnsiTheme="majorHAnsi" w:cstheme="majorBidi"/>
          <w:color w:val="000000"/>
          <w:sz w:val="23"/>
          <w:szCs w:val="23"/>
          <w:shd w:val="clear" w:color="auto" w:fill="FFFFFF"/>
          <w:lang w:eastAsia="en-AU"/>
        </w:rPr>
        <w:t xml:space="preserve">Located </w:t>
      </w:r>
      <w:r w:rsidR="00F00E3D" w:rsidRPr="2B116086">
        <w:rPr>
          <w:rFonts w:asciiTheme="majorHAnsi" w:eastAsia="Times New Roman" w:hAnsiTheme="majorHAnsi" w:cstheme="majorBidi"/>
          <w:color w:val="000000"/>
          <w:sz w:val="23"/>
          <w:szCs w:val="23"/>
          <w:shd w:val="clear" w:color="auto" w:fill="FFFFFF"/>
          <w:lang w:eastAsia="en-AU"/>
        </w:rPr>
        <w:t xml:space="preserve">on the San Francisco Bay, East Oakland is an </w:t>
      </w:r>
      <w:r>
        <w:rPr>
          <w:rFonts w:asciiTheme="majorHAnsi" w:eastAsia="Times New Roman" w:hAnsiTheme="majorHAnsi" w:cstheme="majorBidi"/>
          <w:color w:val="000000"/>
          <w:sz w:val="23"/>
          <w:szCs w:val="23"/>
          <w:shd w:val="clear" w:color="auto" w:fill="FFFFFF"/>
          <w:lang w:eastAsia="en-AU"/>
        </w:rPr>
        <w:t xml:space="preserve">urban </w:t>
      </w:r>
      <w:r w:rsidR="00F00E3D" w:rsidRPr="2B116086">
        <w:rPr>
          <w:rFonts w:asciiTheme="majorHAnsi" w:eastAsia="Times New Roman" w:hAnsiTheme="majorHAnsi" w:cstheme="majorBidi"/>
          <w:color w:val="000000"/>
          <w:sz w:val="23"/>
          <w:szCs w:val="23"/>
          <w:shd w:val="clear" w:color="auto" w:fill="FFFFFF"/>
          <w:lang w:eastAsia="en-AU"/>
        </w:rPr>
        <w:t>area of concentrated disadvantage and historic disinvestment, with high unemployment, violent crime, and health inequalities. The population is</w:t>
      </w:r>
      <w:r w:rsidR="00F00E3D" w:rsidRPr="00845F90">
        <w:rPr>
          <w:rFonts w:ascii="Times New Roman" w:eastAsia="Times New Roman" w:hAnsi="Times New Roman" w:cs="Times New Roman"/>
          <w:sz w:val="24"/>
          <w:szCs w:val="24"/>
          <w:lang w:eastAsia="en-AU"/>
        </w:rPr>
        <w:t xml:space="preserve"> </w:t>
      </w:r>
      <w:r w:rsidR="00F00E3D" w:rsidRPr="2B116086">
        <w:rPr>
          <w:rFonts w:asciiTheme="majorHAnsi" w:eastAsia="Times New Roman" w:hAnsiTheme="majorHAnsi" w:cstheme="majorBidi"/>
          <w:color w:val="000000"/>
          <w:sz w:val="23"/>
          <w:szCs w:val="23"/>
          <w:shd w:val="clear" w:color="auto" w:fill="FFFFFF"/>
          <w:lang w:eastAsia="en-AU"/>
        </w:rPr>
        <w:t xml:space="preserve">culturally diverse and majority non-white. Almost 50 </w:t>
      </w:r>
      <w:r w:rsidR="00065A1B">
        <w:rPr>
          <w:rFonts w:asciiTheme="majorHAnsi" w:eastAsia="Times New Roman" w:hAnsiTheme="majorHAnsi" w:cstheme="majorBidi"/>
          <w:color w:val="000000"/>
          <w:sz w:val="23"/>
          <w:szCs w:val="23"/>
          <w:shd w:val="clear" w:color="auto" w:fill="FFFFFF"/>
          <w:lang w:eastAsia="en-AU"/>
        </w:rPr>
        <w:t>percent</w:t>
      </w:r>
      <w:r w:rsidR="00F00E3D" w:rsidRPr="2B116086">
        <w:rPr>
          <w:rFonts w:asciiTheme="majorHAnsi" w:eastAsia="Times New Roman" w:hAnsiTheme="majorHAnsi" w:cstheme="majorBidi"/>
          <w:color w:val="000000"/>
          <w:sz w:val="23"/>
          <w:szCs w:val="23"/>
          <w:shd w:val="clear" w:color="auto" w:fill="FFFFFF"/>
          <w:lang w:eastAsia="en-AU"/>
        </w:rPr>
        <w:t xml:space="preserve"> of residents live in poverty, and 40 </w:t>
      </w:r>
      <w:r w:rsidR="00065A1B">
        <w:rPr>
          <w:rFonts w:asciiTheme="majorHAnsi" w:eastAsia="Times New Roman" w:hAnsiTheme="majorHAnsi" w:cstheme="majorBidi"/>
          <w:color w:val="000000"/>
          <w:sz w:val="23"/>
          <w:szCs w:val="23"/>
          <w:shd w:val="clear" w:color="auto" w:fill="FFFFFF"/>
          <w:lang w:eastAsia="en-AU"/>
        </w:rPr>
        <w:t>percent</w:t>
      </w:r>
      <w:r w:rsidR="00F00E3D" w:rsidRPr="2B116086">
        <w:rPr>
          <w:rFonts w:asciiTheme="majorHAnsi" w:eastAsia="Times New Roman" w:hAnsiTheme="majorHAnsi" w:cstheme="majorBidi"/>
          <w:color w:val="000000"/>
          <w:sz w:val="23"/>
          <w:szCs w:val="23"/>
          <w:shd w:val="clear" w:color="auto" w:fill="FFFFFF"/>
          <w:lang w:eastAsia="en-AU"/>
        </w:rPr>
        <w:t xml:space="preserve"> of students drop out of high school (</w:t>
      </w:r>
      <w:r w:rsidR="00F00E3D" w:rsidRPr="359636AC">
        <w:rPr>
          <w:rFonts w:asciiTheme="majorHAnsi" w:eastAsia="Times New Roman" w:hAnsiTheme="majorHAnsi" w:cstheme="majorBidi"/>
          <w:color w:val="000000"/>
          <w:sz w:val="23"/>
          <w:szCs w:val="23"/>
          <w:shd w:val="clear" w:color="auto" w:fill="FFFFFF"/>
          <w:lang w:eastAsia="en-AU"/>
        </w:rPr>
        <w:t>Chow et al, 2018</w:t>
      </w:r>
      <w:r w:rsidR="00F00E3D" w:rsidRPr="2B116086">
        <w:rPr>
          <w:rFonts w:asciiTheme="majorHAnsi" w:eastAsia="Times New Roman" w:hAnsiTheme="majorHAnsi" w:cstheme="majorBidi"/>
          <w:color w:val="000000"/>
          <w:sz w:val="23"/>
          <w:szCs w:val="23"/>
          <w:shd w:val="clear" w:color="auto" w:fill="FFFFFF"/>
          <w:lang w:eastAsia="en-AU"/>
        </w:rPr>
        <w:t xml:space="preserve"> :3). East Oakland is a USDA-designated “food desert”</w:t>
      </w:r>
      <w:r w:rsidR="00F00E3D" w:rsidRPr="2B116086">
        <w:rPr>
          <w:rFonts w:asciiTheme="majorHAnsi" w:eastAsia="Times New Roman" w:hAnsiTheme="majorHAnsi" w:cstheme="majorBidi"/>
          <w:sz w:val="23"/>
          <w:szCs w:val="23"/>
          <w:lang w:eastAsia="en-AU"/>
        </w:rPr>
        <w:t>, a low-income area with</w:t>
      </w:r>
      <w:r w:rsidR="00F00E3D" w:rsidRPr="2B116086">
        <w:rPr>
          <w:rFonts w:asciiTheme="majorHAnsi" w:eastAsia="Times New Roman" w:hAnsiTheme="majorHAnsi" w:cstheme="majorBidi"/>
          <w:color w:val="000000"/>
          <w:sz w:val="23"/>
          <w:szCs w:val="23"/>
          <w:shd w:val="clear" w:color="auto" w:fill="FFFFFF"/>
          <w:lang w:eastAsia="en-AU"/>
        </w:rPr>
        <w:t xml:space="preserve"> limited access to fresh, nutritious and affordable food.</w:t>
      </w:r>
    </w:p>
    <w:p w14:paraId="6E67A858" w14:textId="77777777" w:rsidR="00F00E3D" w:rsidRPr="00D13A25" w:rsidRDefault="00F00E3D" w:rsidP="009B2FA7">
      <w:pPr>
        <w:spacing w:after="0" w:line="276" w:lineRule="auto"/>
        <w:rPr>
          <w:rFonts w:asciiTheme="majorHAnsi" w:eastAsia="Times New Roman" w:hAnsiTheme="majorHAnsi" w:cstheme="majorBidi"/>
          <w:color w:val="000000"/>
          <w:sz w:val="16"/>
          <w:szCs w:val="16"/>
          <w:shd w:val="clear" w:color="auto" w:fill="FFFFFF"/>
          <w:lang w:eastAsia="en-AU"/>
        </w:rPr>
      </w:pPr>
    </w:p>
    <w:p w14:paraId="19B23866" w14:textId="76A1FC1A" w:rsidR="00F00E3D" w:rsidRDefault="00F00E3D" w:rsidP="009B2FA7">
      <w:pPr>
        <w:spacing w:after="0" w:line="276" w:lineRule="auto"/>
        <w:rPr>
          <w:rFonts w:asciiTheme="majorHAnsi" w:eastAsia="Times New Roman" w:hAnsiTheme="majorHAnsi" w:cstheme="majorBidi"/>
          <w:color w:val="000000"/>
          <w:sz w:val="23"/>
          <w:szCs w:val="23"/>
          <w:shd w:val="clear" w:color="auto" w:fill="FFFFFF"/>
          <w:lang w:eastAsia="en-AU"/>
        </w:rPr>
      </w:pPr>
      <w:r w:rsidRPr="359636AC">
        <w:rPr>
          <w:rFonts w:asciiTheme="majorHAnsi" w:eastAsia="Times New Roman" w:hAnsiTheme="majorHAnsi" w:cstheme="majorBidi"/>
          <w:color w:val="000000"/>
          <w:sz w:val="23"/>
          <w:szCs w:val="23"/>
          <w:shd w:val="clear" w:color="auto" w:fill="FFFFFF"/>
          <w:lang w:eastAsia="en-AU"/>
        </w:rPr>
        <w:t xml:space="preserve">In 2012, East Oakland’s </w:t>
      </w:r>
      <w:r w:rsidRPr="359636AC">
        <w:rPr>
          <w:rFonts w:asciiTheme="majorHAnsi" w:eastAsia="Times New Roman" w:hAnsiTheme="majorHAnsi" w:cstheme="majorBidi"/>
          <w:sz w:val="23"/>
          <w:szCs w:val="23"/>
          <w:lang w:eastAsia="en-AU"/>
        </w:rPr>
        <w:t>Castlemont neighbourhood</w:t>
      </w:r>
      <w:r w:rsidRPr="359636AC">
        <w:rPr>
          <w:rFonts w:asciiTheme="majorHAnsi" w:eastAsia="Times New Roman" w:hAnsiTheme="majorHAnsi" w:cstheme="majorBidi"/>
          <w:color w:val="000000"/>
          <w:sz w:val="23"/>
          <w:szCs w:val="23"/>
          <w:shd w:val="clear" w:color="auto" w:fill="FFFFFF"/>
          <w:lang w:eastAsia="en-AU"/>
        </w:rPr>
        <w:t xml:space="preserve"> (pop. 5000) was one of three US communities chosen for a three-year pilot program, the Best Babies Zone (BBZ) Initiative. BBZ is a national, multi-year, place-based program that seeks to reduce infant mortality rates in select urban neighbourhoods. More widely, it aims to mobilise </w:t>
      </w:r>
      <w:r w:rsidR="003659EF">
        <w:rPr>
          <w:rFonts w:asciiTheme="majorHAnsi" w:eastAsia="Times New Roman" w:hAnsiTheme="majorHAnsi" w:cstheme="majorBidi"/>
          <w:color w:val="000000"/>
          <w:sz w:val="23"/>
          <w:szCs w:val="23"/>
          <w:shd w:val="clear" w:color="auto" w:fill="FFFFFF"/>
          <w:lang w:eastAsia="en-AU"/>
        </w:rPr>
        <w:t xml:space="preserve">and empower </w:t>
      </w:r>
      <w:r w:rsidRPr="359636AC">
        <w:rPr>
          <w:rFonts w:asciiTheme="majorHAnsi" w:eastAsia="Times New Roman" w:hAnsiTheme="majorHAnsi" w:cstheme="majorBidi"/>
          <w:color w:val="000000"/>
          <w:sz w:val="23"/>
          <w:szCs w:val="23"/>
          <w:shd w:val="clear" w:color="auto" w:fill="FFFFFF"/>
          <w:lang w:eastAsia="en-AU"/>
        </w:rPr>
        <w:t>residents, change children’s life trajectories, and improve conditions across target communities by addressing the</w:t>
      </w:r>
      <w:r w:rsidRPr="359636AC">
        <w:rPr>
          <w:rFonts w:asciiTheme="majorHAnsi" w:eastAsia="Times New Roman" w:hAnsiTheme="majorHAnsi" w:cstheme="majorBidi"/>
          <w:sz w:val="23"/>
          <w:szCs w:val="23"/>
          <w:lang w:eastAsia="en-AU"/>
        </w:rPr>
        <w:t xml:space="preserve"> social determinants of health.</w:t>
      </w:r>
    </w:p>
    <w:p w14:paraId="652A616B" w14:textId="77777777" w:rsidR="00F00E3D" w:rsidRPr="00D13A25" w:rsidRDefault="00F00E3D" w:rsidP="009B2FA7">
      <w:pPr>
        <w:spacing w:after="0" w:line="276" w:lineRule="auto"/>
        <w:rPr>
          <w:rFonts w:asciiTheme="majorHAnsi" w:eastAsia="Times New Roman" w:hAnsiTheme="majorHAnsi" w:cstheme="majorBidi"/>
          <w:color w:val="000000"/>
          <w:sz w:val="16"/>
          <w:szCs w:val="16"/>
          <w:shd w:val="clear" w:color="auto" w:fill="FFFFFF"/>
          <w:lang w:eastAsia="en-AU"/>
        </w:rPr>
      </w:pPr>
    </w:p>
    <w:p w14:paraId="218CB5BF" w14:textId="3175B4E1" w:rsidR="00712D2B" w:rsidRPr="00712D2B" w:rsidRDefault="00F417F5" w:rsidP="009B2FA7">
      <w:pPr>
        <w:spacing w:after="0" w:line="276" w:lineRule="auto"/>
        <w:rPr>
          <w:rFonts w:asciiTheme="majorHAnsi" w:eastAsia="Times New Roman" w:hAnsiTheme="majorHAnsi" w:cstheme="majorBidi"/>
          <w:color w:val="000000"/>
          <w:sz w:val="23"/>
          <w:szCs w:val="23"/>
          <w:shd w:val="clear" w:color="auto" w:fill="FFFFFF"/>
          <w:lang w:eastAsia="en-AU"/>
        </w:rPr>
      </w:pPr>
      <w:r>
        <w:rPr>
          <w:rFonts w:asciiTheme="majorHAnsi" w:eastAsia="Times New Roman" w:hAnsiTheme="majorHAnsi" w:cstheme="majorBidi"/>
          <w:sz w:val="23"/>
          <w:szCs w:val="23"/>
          <w:lang w:eastAsia="en-AU"/>
        </w:rPr>
        <w:t xml:space="preserve">The BBZ program emphasises community-led and participatory approaches. </w:t>
      </w:r>
      <w:r w:rsidR="00F00E3D" w:rsidRPr="2B116086">
        <w:rPr>
          <w:rFonts w:asciiTheme="majorHAnsi" w:eastAsia="Times New Roman" w:hAnsiTheme="majorHAnsi" w:cstheme="majorBidi"/>
          <w:color w:val="000000"/>
          <w:sz w:val="23"/>
          <w:szCs w:val="23"/>
          <w:shd w:val="clear" w:color="auto" w:fill="FFFFFF"/>
          <w:lang w:eastAsia="en-AU"/>
        </w:rPr>
        <w:t>Grounded in</w:t>
      </w:r>
      <w:r w:rsidR="00F00E3D" w:rsidRPr="2B116086">
        <w:rPr>
          <w:rFonts w:asciiTheme="majorHAnsi" w:eastAsia="Times New Roman" w:hAnsiTheme="majorHAnsi" w:cstheme="majorBidi"/>
          <w:sz w:val="23"/>
          <w:szCs w:val="23"/>
          <w:lang w:eastAsia="en-AU"/>
        </w:rPr>
        <w:t xml:space="preserve"> Life Course Theory (</w:t>
      </w:r>
      <w:r w:rsidR="00F00E3D" w:rsidRPr="359636AC">
        <w:rPr>
          <w:rFonts w:asciiTheme="majorHAnsi" w:eastAsia="Times New Roman" w:hAnsiTheme="majorHAnsi" w:cstheme="majorBidi"/>
          <w:sz w:val="23"/>
          <w:szCs w:val="23"/>
          <w:lang w:eastAsia="en-AU"/>
        </w:rPr>
        <w:t>Deme, 2017</w:t>
      </w:r>
      <w:r w:rsidR="00F00E3D" w:rsidRPr="2B116086">
        <w:rPr>
          <w:rFonts w:asciiTheme="majorHAnsi" w:eastAsia="Times New Roman" w:hAnsiTheme="majorHAnsi" w:cstheme="majorBidi"/>
          <w:sz w:val="23"/>
          <w:szCs w:val="23"/>
          <w:lang w:eastAsia="en-AU"/>
        </w:rPr>
        <w:t>),</w:t>
      </w:r>
      <w:r>
        <w:rPr>
          <w:rFonts w:asciiTheme="majorHAnsi" w:eastAsia="Times New Roman" w:hAnsiTheme="majorHAnsi" w:cstheme="majorBidi"/>
          <w:sz w:val="23"/>
          <w:szCs w:val="23"/>
          <w:lang w:eastAsia="en-AU"/>
        </w:rPr>
        <w:t xml:space="preserve"> it</w:t>
      </w:r>
      <w:r w:rsidR="00F00E3D" w:rsidRPr="2B116086">
        <w:rPr>
          <w:rFonts w:asciiTheme="majorHAnsi" w:eastAsia="Times New Roman" w:hAnsiTheme="majorHAnsi" w:cstheme="majorBidi"/>
          <w:sz w:val="23"/>
          <w:szCs w:val="23"/>
          <w:lang w:eastAsia="en-AU"/>
        </w:rPr>
        <w:t xml:space="preserve"> </w:t>
      </w:r>
      <w:r w:rsidR="00F00E3D" w:rsidRPr="2B116086">
        <w:rPr>
          <w:rFonts w:asciiTheme="majorHAnsi" w:eastAsia="Times New Roman" w:hAnsiTheme="majorHAnsi" w:cstheme="majorBidi"/>
          <w:color w:val="000000"/>
          <w:sz w:val="23"/>
          <w:szCs w:val="23"/>
          <w:shd w:val="clear" w:color="auto" w:fill="FFFFFF"/>
          <w:lang w:eastAsia="en-AU"/>
        </w:rPr>
        <w:t>was developed by</w:t>
      </w:r>
      <w:r w:rsidR="00F00E3D" w:rsidRPr="2B116086">
        <w:rPr>
          <w:rFonts w:asciiTheme="majorHAnsi" w:eastAsia="Times New Roman" w:hAnsiTheme="majorHAnsi" w:cstheme="majorBidi"/>
          <w:sz w:val="23"/>
          <w:szCs w:val="23"/>
          <w:lang w:eastAsia="en-AU"/>
        </w:rPr>
        <w:t xml:space="preserve"> public health experts at the University of California, Berkley.</w:t>
      </w:r>
      <w:r w:rsidR="00F00E3D" w:rsidRPr="00845F90">
        <w:rPr>
          <w:rFonts w:ascii="Times New Roman" w:eastAsia="Times New Roman" w:hAnsi="Times New Roman" w:cs="Times New Roman"/>
          <w:sz w:val="24"/>
          <w:szCs w:val="24"/>
          <w:lang w:eastAsia="en-AU"/>
        </w:rPr>
        <w:t xml:space="preserve"> </w:t>
      </w:r>
      <w:r w:rsidR="00F00E3D" w:rsidRPr="2B116086">
        <w:rPr>
          <w:rFonts w:asciiTheme="majorHAnsi" w:eastAsia="Times New Roman" w:hAnsiTheme="majorHAnsi" w:cstheme="majorBidi"/>
          <w:color w:val="000000"/>
          <w:sz w:val="23"/>
          <w:szCs w:val="23"/>
          <w:shd w:val="clear" w:color="auto" w:fill="FFFFFF"/>
          <w:lang w:eastAsia="en-AU"/>
        </w:rPr>
        <w:t>Target localities have strong community pride, thriving local organisations, income inequality, limited economic opportunities, and poor birth outcomes linked to racial disparities.</w:t>
      </w:r>
      <w:r w:rsidR="00F00E3D" w:rsidRPr="2B116086">
        <w:rPr>
          <w:rFonts w:asciiTheme="majorHAnsi" w:hAnsiTheme="majorHAnsi" w:cstheme="majorBidi"/>
          <w:sz w:val="23"/>
          <w:szCs w:val="23"/>
        </w:rPr>
        <w:t xml:space="preserve"> BBZ is run by </w:t>
      </w:r>
      <w:r w:rsidR="00F00E3D" w:rsidRPr="2B116086">
        <w:rPr>
          <w:rFonts w:asciiTheme="majorHAnsi" w:eastAsia="Times New Roman" w:hAnsiTheme="majorHAnsi" w:cstheme="majorBidi"/>
          <w:color w:val="000000"/>
          <w:sz w:val="23"/>
          <w:szCs w:val="23"/>
          <w:shd w:val="clear" w:color="auto" w:fill="FFFFFF"/>
          <w:lang w:eastAsia="en-AU"/>
        </w:rPr>
        <w:t xml:space="preserve">local lead agencies, </w:t>
      </w:r>
      <w:r w:rsidR="00FD46DB">
        <w:rPr>
          <w:rFonts w:asciiTheme="majorHAnsi" w:eastAsia="Times New Roman" w:hAnsiTheme="majorHAnsi" w:cstheme="majorBidi"/>
          <w:color w:val="000000"/>
          <w:sz w:val="23"/>
          <w:szCs w:val="23"/>
          <w:shd w:val="clear" w:color="auto" w:fill="FFFFFF"/>
          <w:lang w:eastAsia="en-AU"/>
        </w:rPr>
        <w:t>supported by</w:t>
      </w:r>
      <w:r w:rsidR="00F00E3D" w:rsidRPr="2B116086">
        <w:rPr>
          <w:rFonts w:asciiTheme="majorHAnsi" w:eastAsia="Times New Roman" w:hAnsiTheme="majorHAnsi" w:cstheme="majorBidi"/>
          <w:color w:val="000000"/>
          <w:sz w:val="23"/>
          <w:szCs w:val="23"/>
          <w:shd w:val="clear" w:color="auto" w:fill="FFFFFF"/>
          <w:lang w:eastAsia="en-AU"/>
        </w:rPr>
        <w:t xml:space="preserve"> a national</w:t>
      </w:r>
      <w:r w:rsidR="00F00E3D" w:rsidRPr="2B116086">
        <w:rPr>
          <w:rFonts w:asciiTheme="majorHAnsi" w:hAnsiTheme="majorHAnsi" w:cstheme="majorBidi"/>
          <w:sz w:val="23"/>
          <w:szCs w:val="23"/>
        </w:rPr>
        <w:t xml:space="preserve"> </w:t>
      </w:r>
      <w:r w:rsidR="00F00E3D" w:rsidRPr="2B116086">
        <w:rPr>
          <w:rFonts w:asciiTheme="majorHAnsi" w:eastAsia="Times New Roman" w:hAnsiTheme="majorHAnsi" w:cstheme="majorBidi"/>
          <w:color w:val="000000"/>
          <w:sz w:val="23"/>
          <w:szCs w:val="23"/>
          <w:shd w:val="clear" w:color="auto" w:fill="FFFFFF"/>
          <w:lang w:eastAsia="en-AU"/>
        </w:rPr>
        <w:t>Technical Assistance Center.</w:t>
      </w:r>
      <w:r w:rsidR="00712D2B">
        <w:rPr>
          <w:rFonts w:asciiTheme="majorHAnsi" w:eastAsia="Times New Roman" w:hAnsiTheme="majorHAnsi" w:cstheme="majorBidi"/>
          <w:color w:val="000000"/>
          <w:sz w:val="23"/>
          <w:szCs w:val="23"/>
          <w:shd w:val="clear" w:color="auto" w:fill="FFFFFF"/>
          <w:lang w:eastAsia="en-AU"/>
        </w:rPr>
        <w:t xml:space="preserve"> </w:t>
      </w:r>
      <w:r w:rsidR="00F00E3D" w:rsidRPr="359636AC">
        <w:rPr>
          <w:rFonts w:asciiTheme="majorHAnsi" w:eastAsia="Times New Roman" w:hAnsiTheme="majorHAnsi" w:cstheme="majorBidi"/>
          <w:sz w:val="23"/>
          <w:szCs w:val="23"/>
          <w:lang w:eastAsia="en-AU"/>
        </w:rPr>
        <w:t>The Castlemont program was led by Building Blocks, a division of local government, in partnership with multiple local agencies.</w:t>
      </w:r>
    </w:p>
    <w:p w14:paraId="5FC29398" w14:textId="77777777" w:rsidR="00712D2B" w:rsidRPr="00712D2B" w:rsidRDefault="00712D2B" w:rsidP="009B2FA7">
      <w:pPr>
        <w:spacing w:after="0" w:line="276" w:lineRule="auto"/>
        <w:rPr>
          <w:rFonts w:asciiTheme="majorHAnsi" w:eastAsia="Times New Roman" w:hAnsiTheme="majorHAnsi" w:cstheme="majorBidi"/>
          <w:sz w:val="12"/>
          <w:szCs w:val="12"/>
          <w:lang w:eastAsia="en-AU"/>
        </w:rPr>
      </w:pPr>
    </w:p>
    <w:p w14:paraId="25690522" w14:textId="3EA2D0F5" w:rsidR="00F00E3D" w:rsidRPr="00CE7E53" w:rsidRDefault="00F00E3D" w:rsidP="009B2FA7">
      <w:pPr>
        <w:spacing w:after="0" w:line="276" w:lineRule="auto"/>
        <w:rPr>
          <w:rFonts w:asciiTheme="majorHAnsi" w:eastAsia="Times New Roman" w:hAnsiTheme="majorHAnsi" w:cstheme="majorBidi"/>
          <w:color w:val="000000"/>
          <w:sz w:val="23"/>
          <w:szCs w:val="23"/>
          <w:shd w:val="clear" w:color="auto" w:fill="FFFFFF"/>
          <w:lang w:eastAsia="en-AU"/>
        </w:rPr>
      </w:pPr>
      <w:r w:rsidRPr="359636AC">
        <w:rPr>
          <w:rFonts w:asciiTheme="majorHAnsi" w:eastAsia="Times New Roman" w:hAnsiTheme="majorHAnsi" w:cstheme="majorBidi"/>
          <w:sz w:val="23"/>
          <w:szCs w:val="23"/>
          <w:lang w:eastAsia="en-AU"/>
        </w:rPr>
        <w:t xml:space="preserve">Activities </w:t>
      </w:r>
      <w:r w:rsidR="006224C0">
        <w:rPr>
          <w:rFonts w:asciiTheme="majorHAnsi" w:eastAsia="Times New Roman" w:hAnsiTheme="majorHAnsi" w:cstheme="majorBidi"/>
          <w:sz w:val="23"/>
          <w:szCs w:val="23"/>
          <w:lang w:eastAsia="en-AU"/>
        </w:rPr>
        <w:t xml:space="preserve">in the Castlemont BBZ program </w:t>
      </w:r>
      <w:r w:rsidRPr="359636AC">
        <w:rPr>
          <w:rFonts w:asciiTheme="majorHAnsi" w:eastAsia="Times New Roman" w:hAnsiTheme="majorHAnsi" w:cstheme="majorBidi"/>
          <w:sz w:val="23"/>
          <w:szCs w:val="23"/>
          <w:lang w:eastAsia="en-AU"/>
        </w:rPr>
        <w:t>included:</w:t>
      </w:r>
    </w:p>
    <w:p w14:paraId="48F6BD32" w14:textId="77777777" w:rsidR="00F00E3D" w:rsidRPr="00CE7E53" w:rsidRDefault="00F00E3D" w:rsidP="00364C5D">
      <w:pPr>
        <w:numPr>
          <w:ilvl w:val="0"/>
          <w:numId w:val="14"/>
        </w:numPr>
        <w:spacing w:after="0" w:line="276" w:lineRule="auto"/>
        <w:rPr>
          <w:rFonts w:asciiTheme="majorHAnsi" w:eastAsia="Times New Roman" w:hAnsiTheme="majorHAnsi" w:cstheme="majorBidi"/>
          <w:sz w:val="23"/>
          <w:szCs w:val="23"/>
          <w:lang w:eastAsia="en-AU"/>
        </w:rPr>
      </w:pPr>
      <w:r w:rsidRPr="359636AC">
        <w:rPr>
          <w:rFonts w:asciiTheme="majorHAnsi" w:eastAsia="Times New Roman" w:hAnsiTheme="majorHAnsi" w:cstheme="majorBidi"/>
          <w:sz w:val="23"/>
          <w:szCs w:val="23"/>
          <w:lang w:eastAsia="en-AU"/>
        </w:rPr>
        <w:t>Summer Block Party where residents shared ideas for a thriving community</w:t>
      </w:r>
    </w:p>
    <w:p w14:paraId="3CC50AD2" w14:textId="77777777" w:rsidR="00F00E3D" w:rsidRPr="00CE7E53" w:rsidRDefault="00F00E3D" w:rsidP="00364C5D">
      <w:pPr>
        <w:numPr>
          <w:ilvl w:val="0"/>
          <w:numId w:val="14"/>
        </w:numPr>
        <w:spacing w:after="0" w:line="276" w:lineRule="auto"/>
        <w:rPr>
          <w:rFonts w:asciiTheme="majorHAnsi" w:eastAsia="Times New Roman" w:hAnsiTheme="majorHAnsi" w:cstheme="majorBidi"/>
          <w:sz w:val="23"/>
          <w:szCs w:val="23"/>
          <w:lang w:eastAsia="en-AU"/>
        </w:rPr>
      </w:pPr>
      <w:r w:rsidRPr="359636AC">
        <w:rPr>
          <w:rFonts w:asciiTheme="majorHAnsi" w:eastAsia="Times New Roman" w:hAnsiTheme="majorHAnsi" w:cstheme="majorBidi"/>
          <w:sz w:val="23"/>
          <w:szCs w:val="23"/>
          <w:lang w:eastAsia="en-AU"/>
        </w:rPr>
        <w:t>Design Sprints: local agency staff met weekly, generating ideas via Design Thinking to stimulate the local economy (</w:t>
      </w:r>
      <w:hyperlink r:id="rId92">
        <w:r w:rsidRPr="359636AC">
          <w:rPr>
            <w:rFonts w:asciiTheme="majorHAnsi" w:eastAsia="Times New Roman" w:hAnsiTheme="majorHAnsi" w:cstheme="majorBidi"/>
            <w:color w:val="0000FF"/>
            <w:sz w:val="23"/>
            <w:szCs w:val="23"/>
            <w:u w:val="single"/>
            <w:lang w:eastAsia="en-AU"/>
          </w:rPr>
          <w:t>evaluated here</w:t>
        </w:r>
      </w:hyperlink>
      <w:r w:rsidRPr="359636AC">
        <w:rPr>
          <w:rFonts w:asciiTheme="majorHAnsi" w:eastAsia="Times New Roman" w:hAnsiTheme="majorHAnsi" w:cstheme="majorBidi"/>
          <w:sz w:val="23"/>
          <w:szCs w:val="23"/>
          <w:lang w:eastAsia="en-AU"/>
        </w:rPr>
        <w:t>: Vechakul, 2014)</w:t>
      </w:r>
    </w:p>
    <w:p w14:paraId="6E3CE417" w14:textId="29104357" w:rsidR="00F00E3D" w:rsidRPr="00845F90" w:rsidRDefault="00F00E3D" w:rsidP="00364C5D">
      <w:pPr>
        <w:numPr>
          <w:ilvl w:val="0"/>
          <w:numId w:val="14"/>
        </w:numPr>
        <w:spacing w:after="0" w:line="276" w:lineRule="auto"/>
        <w:rPr>
          <w:rFonts w:asciiTheme="majorHAnsi" w:eastAsia="Times New Roman" w:hAnsiTheme="majorHAnsi" w:cstheme="majorBidi"/>
          <w:sz w:val="23"/>
          <w:szCs w:val="23"/>
          <w:lang w:eastAsia="en-AU"/>
        </w:rPr>
      </w:pPr>
      <w:r w:rsidRPr="359636AC">
        <w:rPr>
          <w:rFonts w:asciiTheme="majorHAnsi" w:eastAsia="Times New Roman" w:hAnsiTheme="majorHAnsi" w:cstheme="majorBidi"/>
          <w:sz w:val="23"/>
          <w:szCs w:val="23"/>
          <w:lang w:eastAsia="en-AU"/>
        </w:rPr>
        <w:t>East Oakland Innovators: leadership program supporting residents to develop projects to meet identified community priorities (safety and violence, local economy, community-building, education)</w:t>
      </w:r>
      <w:r w:rsidR="001A233E">
        <w:rPr>
          <w:rFonts w:asciiTheme="majorHAnsi" w:eastAsia="Times New Roman" w:hAnsiTheme="majorHAnsi" w:cstheme="majorBidi"/>
          <w:sz w:val="23"/>
          <w:szCs w:val="23"/>
          <w:lang w:eastAsia="en-AU"/>
        </w:rPr>
        <w:t>,</w:t>
      </w:r>
      <w:r w:rsidRPr="359636AC">
        <w:rPr>
          <w:rFonts w:asciiTheme="majorHAnsi" w:eastAsia="Times New Roman" w:hAnsiTheme="majorHAnsi" w:cstheme="majorBidi"/>
          <w:sz w:val="23"/>
          <w:szCs w:val="23"/>
          <w:lang w:eastAsia="en-AU"/>
        </w:rPr>
        <w:t xml:space="preserve"> using Design Thinking</w:t>
      </w:r>
      <w:r w:rsidR="001A233E">
        <w:rPr>
          <w:rFonts w:asciiTheme="majorHAnsi" w:eastAsia="Times New Roman" w:hAnsiTheme="majorHAnsi" w:cstheme="majorBidi"/>
          <w:sz w:val="23"/>
          <w:szCs w:val="23"/>
          <w:lang w:eastAsia="en-AU"/>
        </w:rPr>
        <w:t xml:space="preserve"> strategies</w:t>
      </w:r>
    </w:p>
    <w:p w14:paraId="31074356" w14:textId="77777777" w:rsidR="00F00E3D" w:rsidRPr="00845F90" w:rsidRDefault="00F00E3D" w:rsidP="00364C5D">
      <w:pPr>
        <w:numPr>
          <w:ilvl w:val="0"/>
          <w:numId w:val="14"/>
        </w:numPr>
        <w:spacing w:after="0" w:line="276" w:lineRule="auto"/>
        <w:rPr>
          <w:rFonts w:asciiTheme="majorHAnsi" w:eastAsia="Times New Roman" w:hAnsiTheme="majorHAnsi" w:cstheme="majorBidi"/>
          <w:sz w:val="23"/>
          <w:szCs w:val="23"/>
          <w:lang w:eastAsia="en-AU"/>
        </w:rPr>
      </w:pPr>
      <w:r w:rsidRPr="359636AC">
        <w:rPr>
          <w:rFonts w:asciiTheme="majorHAnsi" w:eastAsia="Times New Roman" w:hAnsiTheme="majorHAnsi" w:cstheme="majorBidi"/>
          <w:sz w:val="23"/>
          <w:szCs w:val="23"/>
          <w:lang w:eastAsia="en-AU"/>
        </w:rPr>
        <w:t>new childhood hub, playgroups, community cafes, fatherhood groups, MCH home visits, youth storefront murals</w:t>
      </w:r>
    </w:p>
    <w:p w14:paraId="7EAF132E" w14:textId="3186D186" w:rsidR="00F00E3D" w:rsidRPr="00B810FC" w:rsidRDefault="00F00E3D" w:rsidP="00364C5D">
      <w:pPr>
        <w:numPr>
          <w:ilvl w:val="0"/>
          <w:numId w:val="14"/>
        </w:numPr>
        <w:spacing w:after="0" w:line="276" w:lineRule="auto"/>
        <w:rPr>
          <w:rFonts w:asciiTheme="majorHAnsi" w:eastAsia="Times New Roman" w:hAnsiTheme="majorHAnsi" w:cstheme="majorBidi"/>
          <w:sz w:val="23"/>
          <w:szCs w:val="23"/>
          <w:lang w:eastAsia="en-AU"/>
        </w:rPr>
      </w:pPr>
      <w:r w:rsidRPr="359636AC">
        <w:rPr>
          <w:rFonts w:asciiTheme="majorHAnsi" w:eastAsia="Times New Roman" w:hAnsiTheme="majorHAnsi" w:cstheme="majorBidi"/>
          <w:sz w:val="23"/>
          <w:szCs w:val="23"/>
          <w:lang w:eastAsia="en-AU"/>
        </w:rPr>
        <w:t>resident-run mini-grant program,</w:t>
      </w:r>
      <w:r w:rsidR="00712D2B">
        <w:rPr>
          <w:rFonts w:asciiTheme="majorHAnsi" w:eastAsia="Times New Roman" w:hAnsiTheme="majorHAnsi" w:cstheme="majorBidi"/>
          <w:sz w:val="23"/>
          <w:szCs w:val="23"/>
          <w:lang w:eastAsia="en-AU"/>
        </w:rPr>
        <w:t xml:space="preserve"> plus</w:t>
      </w:r>
      <w:r w:rsidRPr="359636AC">
        <w:rPr>
          <w:rFonts w:asciiTheme="majorHAnsi" w:eastAsia="Times New Roman" w:hAnsiTheme="majorHAnsi" w:cstheme="majorBidi"/>
          <w:sz w:val="23"/>
          <w:szCs w:val="23"/>
          <w:lang w:eastAsia="en-AU"/>
        </w:rPr>
        <w:t xml:space="preserve"> financial literacy classes, business development</w:t>
      </w:r>
      <w:r w:rsidR="00672EB2">
        <w:rPr>
          <w:rFonts w:asciiTheme="majorHAnsi" w:eastAsia="Times New Roman" w:hAnsiTheme="majorHAnsi" w:cstheme="majorBidi"/>
          <w:sz w:val="23"/>
          <w:szCs w:val="23"/>
          <w:lang w:eastAsia="en-AU"/>
        </w:rPr>
        <w:t>,</w:t>
      </w:r>
      <w:r w:rsidRPr="359636AC">
        <w:rPr>
          <w:rFonts w:asciiTheme="majorHAnsi" w:eastAsia="Times New Roman" w:hAnsiTheme="majorHAnsi" w:cstheme="majorBidi"/>
          <w:sz w:val="23"/>
          <w:szCs w:val="23"/>
          <w:lang w:eastAsia="en-AU"/>
        </w:rPr>
        <w:t xml:space="preserve"> and entrepreneurship training</w:t>
      </w:r>
    </w:p>
    <w:p w14:paraId="1D7FBCDB" w14:textId="77777777" w:rsidR="00F00E3D" w:rsidRPr="00845F90" w:rsidRDefault="00F00E3D" w:rsidP="00364C5D">
      <w:pPr>
        <w:numPr>
          <w:ilvl w:val="0"/>
          <w:numId w:val="14"/>
        </w:numPr>
        <w:spacing w:after="0" w:line="276" w:lineRule="auto"/>
        <w:rPr>
          <w:rFonts w:asciiTheme="majorHAnsi" w:eastAsia="Times New Roman" w:hAnsiTheme="majorHAnsi" w:cstheme="majorBidi"/>
          <w:sz w:val="23"/>
          <w:szCs w:val="23"/>
          <w:lang w:eastAsia="en-AU"/>
        </w:rPr>
      </w:pPr>
      <w:r w:rsidRPr="359636AC">
        <w:rPr>
          <w:rFonts w:asciiTheme="majorHAnsi" w:eastAsia="Times New Roman" w:hAnsiTheme="majorHAnsi" w:cstheme="majorBidi"/>
          <w:sz w:val="23"/>
          <w:szCs w:val="23"/>
          <w:lang w:eastAsia="en-AU"/>
        </w:rPr>
        <w:t xml:space="preserve">monthly Community Market at Castlemont High School, in partnership with Youth </w:t>
      </w:r>
      <w:proofErr w:type="spellStart"/>
      <w:r w:rsidRPr="359636AC">
        <w:rPr>
          <w:rFonts w:asciiTheme="majorHAnsi" w:eastAsia="Times New Roman" w:hAnsiTheme="majorHAnsi" w:cstheme="majorBidi"/>
          <w:sz w:val="23"/>
          <w:szCs w:val="23"/>
          <w:lang w:eastAsia="en-AU"/>
        </w:rPr>
        <w:t>UpRising</w:t>
      </w:r>
      <w:proofErr w:type="spellEnd"/>
      <w:r w:rsidRPr="359636AC">
        <w:rPr>
          <w:rFonts w:asciiTheme="majorHAnsi" w:eastAsia="Times New Roman" w:hAnsiTheme="majorHAnsi" w:cstheme="majorBidi"/>
          <w:sz w:val="23"/>
          <w:szCs w:val="23"/>
          <w:lang w:eastAsia="en-AU"/>
        </w:rPr>
        <w:t>, a local community development organisation (Iton et al, 2016).</w:t>
      </w:r>
    </w:p>
    <w:p w14:paraId="487CDBD3" w14:textId="77777777" w:rsidR="00F00E3D" w:rsidRPr="00D13A25" w:rsidRDefault="00F00E3D" w:rsidP="009B2FA7">
      <w:pPr>
        <w:spacing w:after="0" w:line="276" w:lineRule="auto"/>
        <w:rPr>
          <w:rFonts w:asciiTheme="majorHAnsi" w:eastAsia="Times New Roman" w:hAnsiTheme="majorHAnsi" w:cstheme="majorBidi"/>
          <w:color w:val="000000"/>
          <w:sz w:val="16"/>
          <w:szCs w:val="16"/>
          <w:shd w:val="clear" w:color="auto" w:fill="FFFFFF"/>
          <w:lang w:eastAsia="en-AU"/>
        </w:rPr>
      </w:pPr>
    </w:p>
    <w:p w14:paraId="790A0551" w14:textId="77777777" w:rsidR="00F00E3D" w:rsidRPr="0087061F" w:rsidRDefault="00F00E3D" w:rsidP="009B2FA7">
      <w:pPr>
        <w:spacing w:after="0" w:line="276" w:lineRule="auto"/>
        <w:rPr>
          <w:rFonts w:asciiTheme="majorHAnsi" w:eastAsia="Times New Roman" w:hAnsiTheme="majorHAnsi" w:cstheme="majorBidi"/>
          <w:sz w:val="23"/>
          <w:szCs w:val="23"/>
          <w:lang w:eastAsia="en-AU"/>
        </w:rPr>
      </w:pPr>
      <w:r w:rsidRPr="359636AC">
        <w:rPr>
          <w:rFonts w:asciiTheme="majorHAnsi" w:eastAsia="Times New Roman" w:hAnsiTheme="majorHAnsi" w:cstheme="majorBidi"/>
          <w:sz w:val="23"/>
          <w:szCs w:val="23"/>
          <w:lang w:eastAsia="en-AU"/>
        </w:rPr>
        <w:t>The community market provided a launchpad for small businesses, a regular all-ages gathering to foster community-building, and leadership opportunities through a vendors’ association. In 2014 the market hosted 20 vendors, generated US$3212 in profit, and attracted 585 attendees. Rising sales and attendance indicated community support (Vechakul et al., 2015: 2557). Specific o</w:t>
      </w:r>
      <w:proofErr w:type="spellStart"/>
      <w:r w:rsidRPr="359636AC">
        <w:rPr>
          <w:rFonts w:asciiTheme="majorHAnsi" w:eastAsia="Times New Roman" w:hAnsiTheme="majorHAnsi" w:cstheme="majorBidi"/>
          <w:sz w:val="23"/>
          <w:szCs w:val="23"/>
          <w:lang w:val="en-GB"/>
        </w:rPr>
        <w:t>utcome</w:t>
      </w:r>
      <w:proofErr w:type="spellEnd"/>
      <w:r w:rsidRPr="359636AC">
        <w:rPr>
          <w:rFonts w:asciiTheme="majorHAnsi" w:eastAsia="Times New Roman" w:hAnsiTheme="majorHAnsi" w:cstheme="majorBidi"/>
          <w:sz w:val="23"/>
          <w:szCs w:val="23"/>
          <w:lang w:val="en-GB"/>
        </w:rPr>
        <w:t xml:space="preserve"> data for BBZ Castlemont is unavailable, but a </w:t>
      </w:r>
      <w:hyperlink r:id="rId93">
        <w:r w:rsidRPr="359636AC">
          <w:rPr>
            <w:rStyle w:val="Hyperlink"/>
            <w:rFonts w:asciiTheme="majorHAnsi" w:eastAsia="Times New Roman" w:hAnsiTheme="majorHAnsi" w:cstheme="majorBidi"/>
            <w:sz w:val="23"/>
            <w:szCs w:val="23"/>
            <w:lang w:val="en-GB"/>
          </w:rPr>
          <w:t>national evaluation</w:t>
        </w:r>
      </w:hyperlink>
      <w:r w:rsidRPr="359636AC">
        <w:rPr>
          <w:rFonts w:asciiTheme="majorHAnsi" w:eastAsia="Times New Roman" w:hAnsiTheme="majorHAnsi" w:cstheme="majorBidi"/>
          <w:b/>
          <w:bCs/>
          <w:sz w:val="23"/>
          <w:szCs w:val="23"/>
          <w:lang w:val="en-GB"/>
        </w:rPr>
        <w:t xml:space="preserve"> </w:t>
      </w:r>
      <w:r w:rsidRPr="359636AC">
        <w:rPr>
          <w:rFonts w:asciiTheme="majorHAnsi" w:eastAsia="Times New Roman" w:hAnsiTheme="majorHAnsi" w:cstheme="majorBidi"/>
          <w:sz w:val="23"/>
          <w:szCs w:val="23"/>
          <w:lang w:val="en-GB"/>
        </w:rPr>
        <w:t>(</w:t>
      </w:r>
      <w:proofErr w:type="spellStart"/>
      <w:r w:rsidRPr="359636AC">
        <w:rPr>
          <w:rFonts w:asciiTheme="majorHAnsi" w:eastAsia="Times New Roman" w:hAnsiTheme="majorHAnsi" w:cstheme="majorBidi"/>
          <w:sz w:val="23"/>
          <w:szCs w:val="23"/>
          <w:lang w:val="en-GB"/>
        </w:rPr>
        <w:t>Harder+Company</w:t>
      </w:r>
      <w:proofErr w:type="spellEnd"/>
      <w:r w:rsidRPr="359636AC">
        <w:rPr>
          <w:rFonts w:asciiTheme="majorHAnsi" w:eastAsia="Times New Roman" w:hAnsiTheme="majorHAnsi" w:cstheme="majorBidi"/>
          <w:sz w:val="23"/>
          <w:szCs w:val="23"/>
          <w:lang w:val="en-GB"/>
        </w:rPr>
        <w:t>, 2018) noted key success factors: authentic engagement with residents, including “community champions”; effective staff support; and building strong local multi-sector partnerships.</w:t>
      </w:r>
    </w:p>
    <w:p w14:paraId="107AE233" w14:textId="77777777" w:rsidR="00F00E3D" w:rsidRPr="00D13A25" w:rsidRDefault="00F00E3D" w:rsidP="009B2FA7">
      <w:pPr>
        <w:spacing w:after="0" w:line="276" w:lineRule="auto"/>
        <w:rPr>
          <w:rFonts w:asciiTheme="majorHAnsi" w:eastAsia="Times New Roman" w:hAnsiTheme="majorHAnsi" w:cstheme="majorBidi"/>
          <w:color w:val="000000"/>
          <w:sz w:val="16"/>
          <w:szCs w:val="16"/>
          <w:shd w:val="clear" w:color="auto" w:fill="FFFFFF"/>
          <w:lang w:eastAsia="en-AU"/>
        </w:rPr>
      </w:pPr>
    </w:p>
    <w:p w14:paraId="5544760C" w14:textId="77777777" w:rsidR="00F00E3D" w:rsidRDefault="00F00E3D" w:rsidP="009B2FA7">
      <w:pPr>
        <w:spacing w:after="0" w:line="276" w:lineRule="auto"/>
        <w:rPr>
          <w:rFonts w:asciiTheme="majorHAnsi" w:eastAsia="Times New Roman" w:hAnsiTheme="majorHAnsi" w:cstheme="majorBidi"/>
          <w:color w:val="000000"/>
          <w:sz w:val="23"/>
          <w:szCs w:val="23"/>
          <w:shd w:val="clear" w:color="auto" w:fill="FFFFFF"/>
          <w:lang w:eastAsia="en-AU"/>
        </w:rPr>
      </w:pPr>
      <w:r w:rsidRPr="2B116086">
        <w:rPr>
          <w:rFonts w:asciiTheme="majorHAnsi" w:eastAsia="Times New Roman" w:hAnsiTheme="majorHAnsi" w:cstheme="majorBidi"/>
          <w:color w:val="000000"/>
          <w:sz w:val="23"/>
          <w:szCs w:val="23"/>
          <w:shd w:val="clear" w:color="auto" w:fill="FFFFFF"/>
          <w:lang w:eastAsia="en-AU"/>
        </w:rPr>
        <w:t>BBZ is guided by four strategies: zonal focus (place-based, small geographic areas); multi-sector collaboration (economic development, community services, health, and education); community-driven action (residents’ input drives the program); and social movement cultivation (advancing racial and social justice) (</w:t>
      </w:r>
      <w:r w:rsidRPr="359636AC">
        <w:rPr>
          <w:rFonts w:asciiTheme="majorHAnsi" w:eastAsia="Times New Roman" w:hAnsiTheme="majorHAnsi" w:cstheme="majorBidi"/>
          <w:color w:val="000000"/>
          <w:sz w:val="23"/>
          <w:szCs w:val="23"/>
          <w:shd w:val="clear" w:color="auto" w:fill="FFFFFF"/>
          <w:lang w:eastAsia="en-AU"/>
        </w:rPr>
        <w:t>Pies et al, 2016: 5</w:t>
      </w:r>
      <w:r w:rsidRPr="2B116086">
        <w:rPr>
          <w:rFonts w:asciiTheme="majorHAnsi" w:eastAsia="Times New Roman" w:hAnsiTheme="majorHAnsi" w:cstheme="majorBidi"/>
          <w:color w:val="000000"/>
          <w:sz w:val="23"/>
          <w:szCs w:val="23"/>
          <w:shd w:val="clear" w:color="auto" w:fill="FFFFFF"/>
          <w:lang w:eastAsia="en-AU"/>
        </w:rPr>
        <w:t>).</w:t>
      </w:r>
    </w:p>
    <w:p w14:paraId="3E719B0D" w14:textId="77777777" w:rsidR="00F00E3D" w:rsidRPr="00D13A25" w:rsidRDefault="00F00E3D" w:rsidP="009B2FA7">
      <w:pPr>
        <w:spacing w:after="0" w:line="276" w:lineRule="auto"/>
        <w:rPr>
          <w:rFonts w:asciiTheme="majorHAnsi" w:eastAsia="Times New Roman" w:hAnsiTheme="majorHAnsi" w:cstheme="majorBidi"/>
          <w:color w:val="000000"/>
          <w:sz w:val="16"/>
          <w:szCs w:val="16"/>
          <w:shd w:val="clear" w:color="auto" w:fill="FFFFFF"/>
          <w:lang w:eastAsia="en-AU"/>
        </w:rPr>
      </w:pPr>
    </w:p>
    <w:p w14:paraId="2D563CA0" w14:textId="6B9EAA91" w:rsidR="00F00E3D" w:rsidRPr="00BF7A6F" w:rsidRDefault="00F00E3D" w:rsidP="00BF2B5B">
      <w:pPr>
        <w:spacing w:after="0" w:line="276" w:lineRule="auto"/>
        <w:rPr>
          <w:rFonts w:asciiTheme="majorHAnsi" w:eastAsia="Times New Roman" w:hAnsiTheme="majorHAnsi" w:cstheme="majorHAnsi"/>
          <w:color w:val="000000"/>
          <w:sz w:val="23"/>
          <w:szCs w:val="23"/>
          <w:shd w:val="clear" w:color="auto" w:fill="FFFFFF"/>
          <w:lang w:eastAsia="en-AU"/>
        </w:rPr>
      </w:pPr>
      <w:r>
        <w:rPr>
          <w:rFonts w:asciiTheme="majorHAnsi" w:eastAsia="Times New Roman" w:hAnsiTheme="majorHAnsi" w:cstheme="majorHAnsi"/>
          <w:color w:val="000000"/>
          <w:sz w:val="23"/>
          <w:szCs w:val="23"/>
          <w:shd w:val="clear" w:color="auto" w:fill="FFFFFF"/>
          <w:lang w:eastAsia="en-AU"/>
        </w:rPr>
        <w:t>The</w:t>
      </w:r>
      <w:r w:rsidRPr="00845F90">
        <w:rPr>
          <w:rFonts w:asciiTheme="majorHAnsi" w:eastAsia="Times New Roman" w:hAnsiTheme="majorHAnsi" w:cstheme="majorHAnsi"/>
          <w:color w:val="000000"/>
          <w:sz w:val="23"/>
          <w:szCs w:val="23"/>
          <w:shd w:val="clear" w:color="auto" w:fill="FFFFFF"/>
          <w:lang w:eastAsia="en-AU"/>
        </w:rPr>
        <w:t xml:space="preserve"> W.K. Kellogg foundation</w:t>
      </w:r>
      <w:r>
        <w:rPr>
          <w:rFonts w:asciiTheme="majorHAnsi" w:eastAsia="Times New Roman" w:hAnsiTheme="majorHAnsi" w:cstheme="majorHAnsi"/>
          <w:color w:val="000000"/>
          <w:sz w:val="23"/>
          <w:szCs w:val="23"/>
          <w:shd w:val="clear" w:color="auto" w:fill="FFFFFF"/>
          <w:lang w:eastAsia="en-AU"/>
        </w:rPr>
        <w:t xml:space="preserve"> is the program’s primary funder.</w:t>
      </w:r>
      <w:r w:rsidRPr="00845F90">
        <w:rPr>
          <w:rFonts w:asciiTheme="majorHAnsi" w:eastAsia="Times New Roman" w:hAnsiTheme="majorHAnsi" w:cstheme="majorHAnsi"/>
          <w:color w:val="000000"/>
          <w:sz w:val="23"/>
          <w:szCs w:val="23"/>
          <w:shd w:val="clear" w:color="auto" w:fill="FFFFFF"/>
          <w:lang w:eastAsia="en-AU"/>
        </w:rPr>
        <w:t xml:space="preserve"> In May 2019</w:t>
      </w:r>
      <w:r>
        <w:rPr>
          <w:rFonts w:asciiTheme="majorHAnsi" w:eastAsia="Times New Roman" w:hAnsiTheme="majorHAnsi" w:cstheme="majorHAnsi"/>
          <w:color w:val="000000"/>
          <w:sz w:val="23"/>
          <w:szCs w:val="23"/>
          <w:shd w:val="clear" w:color="auto" w:fill="FFFFFF"/>
          <w:lang w:eastAsia="en-AU"/>
        </w:rPr>
        <w:t xml:space="preserve"> program</w:t>
      </w:r>
      <w:r w:rsidRPr="00845F90">
        <w:rPr>
          <w:rFonts w:asciiTheme="majorHAnsi" w:eastAsia="Times New Roman" w:hAnsiTheme="majorHAnsi" w:cstheme="majorHAnsi"/>
          <w:color w:val="000000"/>
          <w:sz w:val="23"/>
          <w:szCs w:val="23"/>
          <w:shd w:val="clear" w:color="auto" w:fill="FFFFFF"/>
          <w:lang w:eastAsia="en-AU"/>
        </w:rPr>
        <w:t xml:space="preserve"> </w:t>
      </w:r>
      <w:r>
        <w:rPr>
          <w:rFonts w:asciiTheme="majorHAnsi" w:eastAsia="Times New Roman" w:hAnsiTheme="majorHAnsi" w:cstheme="majorHAnsi"/>
          <w:color w:val="000000"/>
          <w:sz w:val="23"/>
          <w:szCs w:val="23"/>
          <w:shd w:val="clear" w:color="auto" w:fill="FFFFFF"/>
          <w:lang w:eastAsia="en-AU"/>
        </w:rPr>
        <w:t>stewardship</w:t>
      </w:r>
      <w:r w:rsidRPr="00845F90">
        <w:rPr>
          <w:rFonts w:asciiTheme="majorHAnsi" w:eastAsia="Times New Roman" w:hAnsiTheme="majorHAnsi" w:cstheme="majorHAnsi"/>
          <w:color w:val="000000"/>
          <w:sz w:val="23"/>
          <w:szCs w:val="23"/>
          <w:shd w:val="clear" w:color="auto" w:fill="FFFFFF"/>
          <w:lang w:eastAsia="en-AU"/>
        </w:rPr>
        <w:t xml:space="preserve"> </w:t>
      </w:r>
      <w:r>
        <w:rPr>
          <w:rFonts w:asciiTheme="majorHAnsi" w:eastAsia="Times New Roman" w:hAnsiTheme="majorHAnsi" w:cstheme="majorHAnsi"/>
          <w:color w:val="000000"/>
          <w:sz w:val="23"/>
          <w:szCs w:val="23"/>
          <w:shd w:val="clear" w:color="auto" w:fill="FFFFFF"/>
          <w:lang w:eastAsia="en-AU"/>
        </w:rPr>
        <w:t>transferred from</w:t>
      </w:r>
      <w:r w:rsidRPr="00845F90">
        <w:rPr>
          <w:rFonts w:asciiTheme="majorHAnsi" w:eastAsia="Times New Roman" w:hAnsiTheme="majorHAnsi" w:cstheme="majorHAnsi"/>
          <w:color w:val="000000"/>
          <w:sz w:val="23"/>
          <w:szCs w:val="23"/>
          <w:shd w:val="clear" w:color="auto" w:fill="FFFFFF"/>
          <w:lang w:eastAsia="en-AU"/>
        </w:rPr>
        <w:t xml:space="preserve"> </w:t>
      </w:r>
      <w:r>
        <w:rPr>
          <w:rFonts w:asciiTheme="majorHAnsi" w:eastAsia="Times New Roman" w:hAnsiTheme="majorHAnsi" w:cstheme="majorHAnsi"/>
          <w:color w:val="000000"/>
          <w:sz w:val="23"/>
          <w:szCs w:val="23"/>
          <w:shd w:val="clear" w:color="auto" w:fill="FFFFFF"/>
          <w:lang w:eastAsia="en-AU"/>
        </w:rPr>
        <w:t>UC</w:t>
      </w:r>
      <w:r w:rsidRPr="00845F90">
        <w:rPr>
          <w:rFonts w:asciiTheme="majorHAnsi" w:eastAsia="Times New Roman" w:hAnsiTheme="majorHAnsi" w:cstheme="majorHAnsi"/>
          <w:color w:val="000000"/>
          <w:sz w:val="23"/>
          <w:szCs w:val="23"/>
          <w:shd w:val="clear" w:color="auto" w:fill="FFFFFF"/>
          <w:lang w:eastAsia="en-AU"/>
        </w:rPr>
        <w:t xml:space="preserve"> Berkeley</w:t>
      </w:r>
      <w:r>
        <w:rPr>
          <w:rFonts w:asciiTheme="majorHAnsi" w:eastAsia="Times New Roman" w:hAnsiTheme="majorHAnsi" w:cstheme="majorHAnsi"/>
          <w:color w:val="000000"/>
          <w:sz w:val="23"/>
          <w:szCs w:val="23"/>
          <w:shd w:val="clear" w:color="auto" w:fill="FFFFFF"/>
          <w:lang w:eastAsia="en-AU"/>
        </w:rPr>
        <w:t xml:space="preserve"> </w:t>
      </w:r>
      <w:r w:rsidRPr="00845F90">
        <w:rPr>
          <w:rFonts w:asciiTheme="majorHAnsi" w:eastAsia="Times New Roman" w:hAnsiTheme="majorHAnsi" w:cstheme="majorHAnsi"/>
          <w:color w:val="000000"/>
          <w:sz w:val="23"/>
          <w:szCs w:val="23"/>
          <w:shd w:val="clear" w:color="auto" w:fill="FFFFFF"/>
          <w:lang w:eastAsia="en-AU"/>
        </w:rPr>
        <w:t xml:space="preserve">to </w:t>
      </w:r>
      <w:proofErr w:type="spellStart"/>
      <w:r w:rsidRPr="00845F90">
        <w:rPr>
          <w:rFonts w:asciiTheme="majorHAnsi" w:eastAsia="Times New Roman" w:hAnsiTheme="majorHAnsi" w:cstheme="majorHAnsi"/>
          <w:color w:val="000000"/>
          <w:sz w:val="23"/>
          <w:szCs w:val="23"/>
          <w:shd w:val="clear" w:color="auto" w:fill="FFFFFF"/>
          <w:lang w:eastAsia="en-AU"/>
        </w:rPr>
        <w:t>CityMatC</w:t>
      </w:r>
      <w:r>
        <w:rPr>
          <w:rFonts w:asciiTheme="majorHAnsi" w:eastAsia="Times New Roman" w:hAnsiTheme="majorHAnsi" w:cstheme="majorHAnsi"/>
          <w:color w:val="000000"/>
          <w:sz w:val="23"/>
          <w:szCs w:val="23"/>
          <w:shd w:val="clear" w:color="auto" w:fill="FFFFFF"/>
          <w:lang w:eastAsia="en-AU"/>
        </w:rPr>
        <w:t>H</w:t>
      </w:r>
      <w:proofErr w:type="spellEnd"/>
      <w:r>
        <w:rPr>
          <w:rFonts w:asciiTheme="majorHAnsi" w:eastAsia="Times New Roman" w:hAnsiTheme="majorHAnsi" w:cstheme="majorHAnsi"/>
          <w:color w:val="000000"/>
          <w:sz w:val="23"/>
          <w:szCs w:val="23"/>
          <w:shd w:val="clear" w:color="auto" w:fill="FFFFFF"/>
          <w:lang w:eastAsia="en-AU"/>
        </w:rPr>
        <w:t>,</w:t>
      </w:r>
      <w:r w:rsidRPr="00845F90">
        <w:rPr>
          <w:rFonts w:asciiTheme="majorHAnsi" w:eastAsia="Times New Roman" w:hAnsiTheme="majorHAnsi" w:cstheme="majorHAnsi"/>
          <w:color w:val="000000"/>
          <w:sz w:val="23"/>
          <w:szCs w:val="23"/>
          <w:shd w:val="clear" w:color="auto" w:fill="FFFFFF"/>
          <w:lang w:eastAsia="en-AU"/>
        </w:rPr>
        <w:t xml:space="preserve"> a national </w:t>
      </w:r>
      <w:r>
        <w:rPr>
          <w:rFonts w:asciiTheme="majorHAnsi" w:eastAsia="Times New Roman" w:hAnsiTheme="majorHAnsi" w:cstheme="majorHAnsi"/>
          <w:color w:val="000000"/>
          <w:sz w:val="23"/>
          <w:szCs w:val="23"/>
          <w:shd w:val="clear" w:color="auto" w:fill="FFFFFF"/>
          <w:lang w:eastAsia="en-AU"/>
        </w:rPr>
        <w:t>M</w:t>
      </w:r>
      <w:r w:rsidRPr="00845F90">
        <w:rPr>
          <w:rFonts w:asciiTheme="majorHAnsi" w:eastAsia="Times New Roman" w:hAnsiTheme="majorHAnsi" w:cstheme="majorHAnsi"/>
          <w:color w:val="000000"/>
          <w:sz w:val="23"/>
          <w:szCs w:val="23"/>
          <w:shd w:val="clear" w:color="auto" w:fill="FFFFFF"/>
          <w:lang w:eastAsia="en-AU"/>
        </w:rPr>
        <w:t xml:space="preserve">aternal and </w:t>
      </w:r>
      <w:r>
        <w:rPr>
          <w:rFonts w:asciiTheme="majorHAnsi" w:eastAsia="Times New Roman" w:hAnsiTheme="majorHAnsi" w:cstheme="majorHAnsi"/>
          <w:color w:val="000000"/>
          <w:sz w:val="23"/>
          <w:szCs w:val="23"/>
          <w:shd w:val="clear" w:color="auto" w:fill="FFFFFF"/>
          <w:lang w:eastAsia="en-AU"/>
        </w:rPr>
        <w:t>C</w:t>
      </w:r>
      <w:r w:rsidRPr="00845F90">
        <w:rPr>
          <w:rFonts w:asciiTheme="majorHAnsi" w:eastAsia="Times New Roman" w:hAnsiTheme="majorHAnsi" w:cstheme="majorHAnsi"/>
          <w:color w:val="000000"/>
          <w:sz w:val="23"/>
          <w:szCs w:val="23"/>
          <w:shd w:val="clear" w:color="auto" w:fill="FFFFFF"/>
          <w:lang w:eastAsia="en-AU"/>
        </w:rPr>
        <w:t xml:space="preserve">hild </w:t>
      </w:r>
      <w:r>
        <w:rPr>
          <w:rFonts w:asciiTheme="majorHAnsi" w:eastAsia="Times New Roman" w:hAnsiTheme="majorHAnsi" w:cstheme="majorHAnsi"/>
          <w:color w:val="000000"/>
          <w:sz w:val="23"/>
          <w:szCs w:val="23"/>
          <w:shd w:val="clear" w:color="auto" w:fill="FFFFFF"/>
          <w:lang w:eastAsia="en-AU"/>
        </w:rPr>
        <w:t>H</w:t>
      </w:r>
      <w:r w:rsidRPr="00845F90">
        <w:rPr>
          <w:rFonts w:asciiTheme="majorHAnsi" w:eastAsia="Times New Roman" w:hAnsiTheme="majorHAnsi" w:cstheme="majorHAnsi"/>
          <w:color w:val="000000"/>
          <w:sz w:val="23"/>
          <w:szCs w:val="23"/>
          <w:shd w:val="clear" w:color="auto" w:fill="FFFFFF"/>
          <w:lang w:eastAsia="en-AU"/>
        </w:rPr>
        <w:t>ealth organi</w:t>
      </w:r>
      <w:r>
        <w:rPr>
          <w:rFonts w:asciiTheme="majorHAnsi" w:eastAsia="Times New Roman" w:hAnsiTheme="majorHAnsi" w:cstheme="majorHAnsi"/>
          <w:color w:val="000000"/>
          <w:sz w:val="23"/>
          <w:szCs w:val="23"/>
          <w:shd w:val="clear" w:color="auto" w:fill="FFFFFF"/>
          <w:lang w:eastAsia="en-AU"/>
        </w:rPr>
        <w:t>s</w:t>
      </w:r>
      <w:r w:rsidRPr="00845F90">
        <w:rPr>
          <w:rFonts w:asciiTheme="majorHAnsi" w:eastAsia="Times New Roman" w:hAnsiTheme="majorHAnsi" w:cstheme="majorHAnsi"/>
          <w:color w:val="000000"/>
          <w:sz w:val="23"/>
          <w:szCs w:val="23"/>
          <w:shd w:val="clear" w:color="auto" w:fill="FFFFFF"/>
          <w:lang w:eastAsia="en-AU"/>
        </w:rPr>
        <w:t xml:space="preserve">ation </w:t>
      </w:r>
      <w:r>
        <w:rPr>
          <w:rFonts w:asciiTheme="majorHAnsi" w:eastAsia="Times New Roman" w:hAnsiTheme="majorHAnsi" w:cstheme="majorHAnsi"/>
          <w:color w:val="000000"/>
          <w:sz w:val="23"/>
          <w:szCs w:val="23"/>
          <w:shd w:val="clear" w:color="auto" w:fill="FFFFFF"/>
          <w:lang w:eastAsia="en-AU"/>
        </w:rPr>
        <w:t>(</w:t>
      </w:r>
      <w:r w:rsidRPr="00845F90">
        <w:rPr>
          <w:rFonts w:asciiTheme="majorHAnsi" w:eastAsia="Times New Roman" w:hAnsiTheme="majorHAnsi" w:cstheme="majorHAnsi"/>
          <w:color w:val="000000"/>
          <w:sz w:val="23"/>
          <w:szCs w:val="23"/>
          <w:shd w:val="clear" w:color="auto" w:fill="FFFFFF"/>
          <w:lang w:eastAsia="en-AU"/>
        </w:rPr>
        <w:t>University of Nebraska Medical Centre</w:t>
      </w:r>
      <w:r>
        <w:rPr>
          <w:rFonts w:asciiTheme="majorHAnsi" w:eastAsia="Times New Roman" w:hAnsiTheme="majorHAnsi" w:cstheme="majorHAnsi"/>
          <w:color w:val="000000"/>
          <w:sz w:val="23"/>
          <w:szCs w:val="23"/>
          <w:shd w:val="clear" w:color="auto" w:fill="FFFFFF"/>
          <w:lang w:eastAsia="en-AU"/>
        </w:rPr>
        <w:t>)</w:t>
      </w:r>
      <w:r w:rsidRPr="00845F90">
        <w:rPr>
          <w:rFonts w:asciiTheme="majorHAnsi" w:eastAsia="Times New Roman" w:hAnsiTheme="majorHAnsi" w:cstheme="majorHAnsi"/>
          <w:color w:val="000000"/>
          <w:sz w:val="23"/>
          <w:szCs w:val="23"/>
          <w:shd w:val="clear" w:color="auto" w:fill="FFFFFF"/>
          <w:lang w:eastAsia="en-AU"/>
        </w:rPr>
        <w:t xml:space="preserve">. </w:t>
      </w:r>
      <w:r>
        <w:rPr>
          <w:rFonts w:asciiTheme="majorHAnsi" w:eastAsia="Times New Roman" w:hAnsiTheme="majorHAnsi" w:cstheme="majorHAnsi"/>
          <w:color w:val="000000"/>
          <w:sz w:val="23"/>
          <w:szCs w:val="23"/>
          <w:shd w:val="clear" w:color="auto" w:fill="FFFFFF"/>
          <w:lang w:eastAsia="en-AU"/>
        </w:rPr>
        <w:t>BBZ</w:t>
      </w:r>
      <w:r w:rsidRPr="00845F90">
        <w:rPr>
          <w:rFonts w:asciiTheme="majorHAnsi" w:eastAsia="Times New Roman" w:hAnsiTheme="majorHAnsi" w:cstheme="majorHAnsi"/>
          <w:color w:val="000000"/>
          <w:sz w:val="23"/>
          <w:szCs w:val="23"/>
          <w:shd w:val="clear" w:color="auto" w:fill="FFFFFF"/>
          <w:lang w:eastAsia="en-AU"/>
        </w:rPr>
        <w:t xml:space="preserve"> has </w:t>
      </w:r>
      <w:r>
        <w:rPr>
          <w:rFonts w:asciiTheme="majorHAnsi" w:eastAsia="Times New Roman" w:hAnsiTheme="majorHAnsi" w:cstheme="majorHAnsi"/>
          <w:color w:val="000000"/>
          <w:sz w:val="23"/>
          <w:szCs w:val="23"/>
          <w:shd w:val="clear" w:color="auto" w:fill="FFFFFF"/>
          <w:lang w:eastAsia="en-AU"/>
        </w:rPr>
        <w:t>run</w:t>
      </w:r>
      <w:r w:rsidRPr="00845F90">
        <w:rPr>
          <w:rFonts w:asciiTheme="majorHAnsi" w:eastAsia="Times New Roman" w:hAnsiTheme="majorHAnsi" w:cstheme="majorHAnsi"/>
          <w:color w:val="000000"/>
          <w:sz w:val="23"/>
          <w:szCs w:val="23"/>
          <w:shd w:val="clear" w:color="auto" w:fill="FFFFFF"/>
          <w:lang w:eastAsia="en-AU"/>
        </w:rPr>
        <w:t xml:space="preserve"> in 11 </w:t>
      </w:r>
      <w:r>
        <w:rPr>
          <w:rFonts w:asciiTheme="majorHAnsi" w:eastAsia="Times New Roman" w:hAnsiTheme="majorHAnsi" w:cstheme="majorHAnsi"/>
          <w:color w:val="000000"/>
          <w:sz w:val="23"/>
          <w:szCs w:val="23"/>
          <w:shd w:val="clear" w:color="auto" w:fill="FFFFFF"/>
          <w:lang w:eastAsia="en-AU"/>
        </w:rPr>
        <w:t>neighbourhoods across the US</w:t>
      </w:r>
      <w:r w:rsidRPr="00845F90">
        <w:rPr>
          <w:rFonts w:asciiTheme="majorHAnsi" w:eastAsia="Times New Roman" w:hAnsiTheme="majorHAnsi" w:cstheme="majorHAnsi"/>
          <w:color w:val="000000"/>
          <w:sz w:val="23"/>
          <w:szCs w:val="23"/>
          <w:shd w:val="clear" w:color="auto" w:fill="FFFFFF"/>
          <w:lang w:eastAsia="en-AU"/>
        </w:rPr>
        <w:t>.</w:t>
      </w:r>
      <w:r w:rsidR="00BF2B5B">
        <w:rPr>
          <w:rFonts w:asciiTheme="majorHAnsi" w:eastAsia="Times New Roman" w:hAnsiTheme="majorHAnsi" w:cstheme="majorHAnsi"/>
          <w:color w:val="000000"/>
          <w:sz w:val="23"/>
          <w:szCs w:val="23"/>
          <w:shd w:val="clear" w:color="auto" w:fill="FFFFFF"/>
          <w:lang w:eastAsia="en-AU"/>
        </w:rPr>
        <w:br w:type="page"/>
      </w:r>
    </w:p>
    <w:p w14:paraId="05A13672" w14:textId="3EF87842" w:rsidR="00F00E3D" w:rsidRPr="003C5947" w:rsidRDefault="00F00E3D" w:rsidP="009B2FA7">
      <w:pPr>
        <w:spacing w:after="0" w:line="276" w:lineRule="auto"/>
        <w:rPr>
          <w:rFonts w:cstheme="minorHAnsi"/>
          <w:b/>
          <w:bCs/>
          <w:sz w:val="25"/>
          <w:szCs w:val="25"/>
        </w:rPr>
      </w:pPr>
      <w:bookmarkStart w:id="71" w:name="_Hlk70864159"/>
      <w:r w:rsidRPr="003C5947">
        <w:rPr>
          <w:rFonts w:cstheme="minorHAnsi"/>
          <w:b/>
          <w:bCs/>
          <w:sz w:val="25"/>
          <w:szCs w:val="25"/>
        </w:rPr>
        <w:lastRenderedPageBreak/>
        <w:t>Sustainable South Bronx Project</w:t>
      </w:r>
      <w:r>
        <w:rPr>
          <w:rFonts w:cstheme="minorHAnsi"/>
          <w:b/>
          <w:bCs/>
          <w:sz w:val="25"/>
          <w:szCs w:val="25"/>
        </w:rPr>
        <w:t>:</w:t>
      </w:r>
      <w:r w:rsidRPr="00071206">
        <w:rPr>
          <w:rFonts w:cstheme="minorHAnsi"/>
          <w:b/>
          <w:bCs/>
          <w:sz w:val="25"/>
          <w:szCs w:val="25"/>
        </w:rPr>
        <w:t xml:space="preserve"> </w:t>
      </w:r>
      <w:r w:rsidRPr="003C5947">
        <w:rPr>
          <w:rFonts w:cstheme="minorHAnsi"/>
          <w:b/>
          <w:bCs/>
          <w:sz w:val="25"/>
          <w:szCs w:val="25"/>
        </w:rPr>
        <w:t xml:space="preserve">Urban </w:t>
      </w:r>
      <w:r w:rsidR="00C26E85" w:rsidRPr="003C5947">
        <w:rPr>
          <w:rFonts w:cstheme="minorHAnsi"/>
          <w:b/>
          <w:bCs/>
          <w:sz w:val="25"/>
          <w:szCs w:val="25"/>
        </w:rPr>
        <w:t>Greening</w:t>
      </w:r>
      <w:r w:rsidR="00C26E85">
        <w:rPr>
          <w:rFonts w:cstheme="minorHAnsi"/>
          <w:b/>
          <w:bCs/>
          <w:sz w:val="25"/>
          <w:szCs w:val="25"/>
        </w:rPr>
        <w:t>, Training,</w:t>
      </w:r>
      <w:r w:rsidR="00C26E85" w:rsidRPr="003C5947">
        <w:rPr>
          <w:rFonts w:cstheme="minorHAnsi"/>
          <w:b/>
          <w:bCs/>
          <w:sz w:val="25"/>
          <w:szCs w:val="25"/>
        </w:rPr>
        <w:t xml:space="preserve"> </w:t>
      </w:r>
      <w:r w:rsidR="00C26E85">
        <w:rPr>
          <w:rFonts w:cstheme="minorHAnsi"/>
          <w:b/>
          <w:bCs/>
          <w:sz w:val="25"/>
          <w:szCs w:val="25"/>
        </w:rPr>
        <w:t>a</w:t>
      </w:r>
      <w:r w:rsidR="00C26E85" w:rsidRPr="003C5947">
        <w:rPr>
          <w:rFonts w:cstheme="minorHAnsi"/>
          <w:b/>
          <w:bCs/>
          <w:sz w:val="25"/>
          <w:szCs w:val="25"/>
        </w:rPr>
        <w:t>nd Local Job Creation</w:t>
      </w:r>
    </w:p>
    <w:p w14:paraId="14B258E2" w14:textId="77777777" w:rsidR="00F00E3D" w:rsidRPr="003C5947" w:rsidRDefault="00F00E3D" w:rsidP="009B2FA7">
      <w:pPr>
        <w:spacing w:after="0" w:line="276" w:lineRule="auto"/>
        <w:rPr>
          <w:rFonts w:cstheme="minorHAnsi"/>
          <w:b/>
          <w:bCs/>
          <w:sz w:val="23"/>
          <w:szCs w:val="23"/>
        </w:rPr>
      </w:pPr>
      <w:r w:rsidRPr="003C5947">
        <w:rPr>
          <w:rFonts w:cstheme="minorHAnsi"/>
          <w:b/>
          <w:bCs/>
          <w:sz w:val="23"/>
          <w:szCs w:val="23"/>
        </w:rPr>
        <w:t>South Bronx, New York City, USA (2001–present)</w:t>
      </w:r>
    </w:p>
    <w:bookmarkEnd w:id="71"/>
    <w:p w14:paraId="190882B0" w14:textId="77777777" w:rsidR="00F00E3D" w:rsidRPr="00D13A25" w:rsidRDefault="00F00E3D" w:rsidP="009B2FA7">
      <w:pPr>
        <w:spacing w:after="0" w:line="276" w:lineRule="auto"/>
        <w:rPr>
          <w:rFonts w:asciiTheme="majorHAnsi" w:hAnsiTheme="majorHAnsi" w:cstheme="majorHAnsi"/>
          <w:sz w:val="16"/>
          <w:szCs w:val="16"/>
        </w:rPr>
      </w:pPr>
    </w:p>
    <w:p w14:paraId="768A5055" w14:textId="78421B0E" w:rsidR="00F00E3D" w:rsidRPr="007D2FE0" w:rsidRDefault="00F00E3D" w:rsidP="009B2FA7">
      <w:pPr>
        <w:spacing w:after="0" w:line="276" w:lineRule="auto"/>
        <w:rPr>
          <w:rFonts w:cstheme="minorHAnsi"/>
          <w:b/>
          <w:bCs/>
          <w:color w:val="595959" w:themeColor="text1" w:themeTint="A6"/>
          <w:sz w:val="23"/>
          <w:szCs w:val="23"/>
        </w:rPr>
      </w:pPr>
      <w:r w:rsidRPr="007D2FE0">
        <w:rPr>
          <w:rFonts w:cstheme="minorHAnsi"/>
          <w:b/>
          <w:bCs/>
          <w:color w:val="595959" w:themeColor="text1" w:themeTint="A6"/>
          <w:sz w:val="23"/>
          <w:szCs w:val="23"/>
        </w:rPr>
        <w:t xml:space="preserve">Main </w:t>
      </w:r>
      <w:r w:rsidR="00D95573">
        <w:rPr>
          <w:rFonts w:cstheme="minorHAnsi"/>
          <w:b/>
          <w:bCs/>
          <w:color w:val="595959" w:themeColor="text1" w:themeTint="A6"/>
          <w:sz w:val="23"/>
          <w:szCs w:val="23"/>
        </w:rPr>
        <w:t>Practice Domain</w:t>
      </w:r>
      <w:r>
        <w:rPr>
          <w:rFonts w:cstheme="minorHAnsi"/>
          <w:b/>
          <w:bCs/>
          <w:color w:val="595959" w:themeColor="text1" w:themeTint="A6"/>
          <w:sz w:val="23"/>
          <w:szCs w:val="23"/>
        </w:rPr>
        <w:t>(</w:t>
      </w:r>
      <w:r w:rsidRPr="007D2FE0">
        <w:rPr>
          <w:rFonts w:cstheme="minorHAnsi"/>
          <w:b/>
          <w:bCs/>
          <w:color w:val="595959" w:themeColor="text1" w:themeTint="A6"/>
          <w:sz w:val="23"/>
          <w:szCs w:val="23"/>
        </w:rPr>
        <w:t>s</w:t>
      </w:r>
      <w:r>
        <w:rPr>
          <w:rFonts w:cstheme="minorHAnsi"/>
          <w:b/>
          <w:bCs/>
          <w:color w:val="595959" w:themeColor="text1" w:themeTint="A6"/>
          <w:sz w:val="23"/>
          <w:szCs w:val="23"/>
        </w:rPr>
        <w:t>)</w:t>
      </w:r>
      <w:r w:rsidRPr="007D2FE0">
        <w:rPr>
          <w:rFonts w:cstheme="minorHAnsi"/>
          <w:b/>
          <w:bCs/>
          <w:color w:val="595959" w:themeColor="text1" w:themeTint="A6"/>
          <w:sz w:val="23"/>
          <w:szCs w:val="23"/>
        </w:rPr>
        <w:t>:</w:t>
      </w:r>
      <w:r w:rsidRPr="007D2FE0">
        <w:rPr>
          <w:rFonts w:cstheme="minorHAnsi"/>
          <w:b/>
          <w:bCs/>
          <w:color w:val="595959" w:themeColor="text1" w:themeTint="A6"/>
          <w:sz w:val="23"/>
          <w:szCs w:val="23"/>
        </w:rPr>
        <w:tab/>
      </w:r>
      <w:r>
        <w:rPr>
          <w:rFonts w:cstheme="minorHAnsi"/>
          <w:b/>
          <w:bCs/>
          <w:color w:val="595959" w:themeColor="text1" w:themeTint="A6"/>
          <w:sz w:val="23"/>
          <w:szCs w:val="23"/>
        </w:rPr>
        <w:tab/>
      </w:r>
      <w:r w:rsidRPr="007D2FE0">
        <w:rPr>
          <w:rFonts w:cstheme="minorHAnsi"/>
          <w:b/>
          <w:bCs/>
          <w:color w:val="595959" w:themeColor="text1" w:themeTint="A6"/>
          <w:sz w:val="23"/>
          <w:szCs w:val="23"/>
        </w:rPr>
        <w:t>Employment, Education, Liveability</w:t>
      </w:r>
    </w:p>
    <w:p w14:paraId="3338C823" w14:textId="0934D242" w:rsidR="00F00E3D" w:rsidRPr="007D2FE0" w:rsidRDefault="00F00E3D" w:rsidP="009B2FA7">
      <w:pPr>
        <w:spacing w:after="0" w:line="276" w:lineRule="auto"/>
        <w:rPr>
          <w:rFonts w:cstheme="minorHAnsi"/>
          <w:b/>
          <w:bCs/>
          <w:color w:val="595959" w:themeColor="text1" w:themeTint="A6"/>
          <w:sz w:val="23"/>
          <w:szCs w:val="23"/>
        </w:rPr>
      </w:pPr>
      <w:r w:rsidRPr="007D2FE0">
        <w:rPr>
          <w:rFonts w:cstheme="minorHAnsi"/>
          <w:b/>
          <w:bCs/>
          <w:color w:val="595959" w:themeColor="text1" w:themeTint="A6"/>
          <w:sz w:val="23"/>
          <w:szCs w:val="23"/>
        </w:rPr>
        <w:t xml:space="preserve">Secondary </w:t>
      </w:r>
      <w:r w:rsidR="00D95573">
        <w:rPr>
          <w:rFonts w:cstheme="minorHAnsi"/>
          <w:b/>
          <w:bCs/>
          <w:color w:val="595959" w:themeColor="text1" w:themeTint="A6"/>
          <w:sz w:val="23"/>
          <w:szCs w:val="23"/>
        </w:rPr>
        <w:t>Practice Domain</w:t>
      </w:r>
      <w:r>
        <w:rPr>
          <w:rFonts w:cstheme="minorHAnsi"/>
          <w:b/>
          <w:bCs/>
          <w:color w:val="595959" w:themeColor="text1" w:themeTint="A6"/>
          <w:sz w:val="23"/>
          <w:szCs w:val="23"/>
        </w:rPr>
        <w:t>(s)</w:t>
      </w:r>
      <w:r w:rsidRPr="007D2FE0">
        <w:rPr>
          <w:rFonts w:cstheme="minorHAnsi"/>
          <w:b/>
          <w:bCs/>
          <w:color w:val="595959" w:themeColor="text1" w:themeTint="A6"/>
          <w:sz w:val="23"/>
          <w:szCs w:val="23"/>
        </w:rPr>
        <w:t>:</w:t>
      </w:r>
      <w:r w:rsidRPr="007D2FE0">
        <w:rPr>
          <w:rFonts w:cstheme="minorHAnsi"/>
          <w:b/>
          <w:bCs/>
          <w:color w:val="595959" w:themeColor="text1" w:themeTint="A6"/>
          <w:sz w:val="23"/>
          <w:szCs w:val="23"/>
        </w:rPr>
        <w:tab/>
        <w:t>Health and Wellbeing</w:t>
      </w:r>
    </w:p>
    <w:p w14:paraId="2462B8EA" w14:textId="77777777" w:rsidR="00F00E3D" w:rsidRPr="0030683E" w:rsidRDefault="00F00E3D" w:rsidP="009B2FA7">
      <w:pPr>
        <w:spacing w:after="0" w:line="276" w:lineRule="auto"/>
        <w:rPr>
          <w:rFonts w:asciiTheme="majorHAnsi" w:hAnsiTheme="majorHAnsi" w:cstheme="majorHAnsi"/>
          <w:sz w:val="16"/>
          <w:szCs w:val="16"/>
        </w:rPr>
      </w:pPr>
    </w:p>
    <w:p w14:paraId="7A5CA672" w14:textId="77777777" w:rsidR="00F00E3D" w:rsidRPr="00171A6D" w:rsidRDefault="00F00E3D" w:rsidP="009B2FA7">
      <w:pPr>
        <w:spacing w:after="0" w:line="276" w:lineRule="auto"/>
        <w:rPr>
          <w:rFonts w:asciiTheme="majorHAnsi" w:hAnsiTheme="majorHAnsi" w:cstheme="majorBidi"/>
          <w:sz w:val="23"/>
          <w:szCs w:val="23"/>
          <w:shd w:val="clear" w:color="auto" w:fill="FFFFFF"/>
        </w:rPr>
      </w:pPr>
      <w:r w:rsidRPr="2B116086">
        <w:rPr>
          <w:rFonts w:asciiTheme="majorHAnsi" w:hAnsiTheme="majorHAnsi" w:cstheme="majorBidi"/>
          <w:sz w:val="23"/>
          <w:szCs w:val="23"/>
          <w:shd w:val="clear" w:color="auto" w:fill="FFFFFF"/>
        </w:rPr>
        <w:t>New York’s South Bronx area has long been a site of entrenched poverty, high unemployment, health inequality, youth disengagement, violent crime, and concentrated industrial zones. It also has a history of urban creativity and resourcefulness. Founded in 2001 by locally raised urban revitalization strategist Majora Cater, the Sustainable South Bronx project (</w:t>
      </w:r>
      <w:proofErr w:type="spellStart"/>
      <w:r w:rsidRPr="2B116086">
        <w:rPr>
          <w:rFonts w:asciiTheme="majorHAnsi" w:hAnsiTheme="majorHAnsi" w:cstheme="majorBidi"/>
          <w:sz w:val="23"/>
          <w:szCs w:val="23"/>
          <w:shd w:val="clear" w:color="auto" w:fill="FFFFFF"/>
        </w:rPr>
        <w:t>SSBx</w:t>
      </w:r>
      <w:proofErr w:type="spellEnd"/>
      <w:r w:rsidRPr="2B116086">
        <w:rPr>
          <w:rFonts w:asciiTheme="majorHAnsi" w:hAnsiTheme="majorHAnsi" w:cstheme="majorBidi"/>
          <w:sz w:val="23"/>
          <w:szCs w:val="23"/>
          <w:shd w:val="clear" w:color="auto" w:fill="FFFFFF"/>
        </w:rPr>
        <w:t xml:space="preserve">) is a green jobs training program and environmental justice organisation working with </w:t>
      </w:r>
      <w:r>
        <w:rPr>
          <w:rFonts w:asciiTheme="majorHAnsi" w:hAnsiTheme="majorHAnsi" w:cstheme="majorBidi"/>
          <w:sz w:val="23"/>
          <w:szCs w:val="23"/>
          <w:shd w:val="clear" w:color="auto" w:fill="FFFFFF"/>
        </w:rPr>
        <w:t>communities affected by disadvantage</w:t>
      </w:r>
      <w:r w:rsidRPr="2B116086">
        <w:rPr>
          <w:rFonts w:asciiTheme="majorHAnsi" w:hAnsiTheme="majorHAnsi" w:cstheme="majorBidi"/>
          <w:sz w:val="23"/>
          <w:szCs w:val="23"/>
          <w:shd w:val="clear" w:color="auto" w:fill="FFFFFF"/>
        </w:rPr>
        <w:t>, both locally and across greater New York City.</w:t>
      </w:r>
      <w:r w:rsidRPr="2B116086">
        <w:rPr>
          <w:rFonts w:asciiTheme="majorHAnsi" w:hAnsiTheme="majorHAnsi" w:cstheme="majorBidi"/>
          <w:sz w:val="23"/>
          <w:szCs w:val="23"/>
        </w:rPr>
        <w:t xml:space="preserve"> </w:t>
      </w:r>
      <w:proofErr w:type="spellStart"/>
      <w:r w:rsidRPr="2B116086">
        <w:rPr>
          <w:rFonts w:asciiTheme="majorHAnsi" w:hAnsiTheme="majorHAnsi" w:cstheme="majorBidi"/>
          <w:sz w:val="23"/>
          <w:szCs w:val="23"/>
        </w:rPr>
        <w:t>SSBx</w:t>
      </w:r>
      <w:proofErr w:type="spellEnd"/>
      <w:r w:rsidRPr="2B116086">
        <w:rPr>
          <w:rFonts w:asciiTheme="majorHAnsi" w:hAnsiTheme="majorHAnsi" w:cstheme="majorBidi"/>
          <w:sz w:val="23"/>
          <w:szCs w:val="23"/>
        </w:rPr>
        <w:t xml:space="preserve"> has trained more than 500 low-income New York residents to work in the city’s growing green collar sector </w:t>
      </w:r>
      <w:r w:rsidRPr="2B116086">
        <w:rPr>
          <w:rFonts w:asciiTheme="majorHAnsi" w:hAnsiTheme="majorHAnsi" w:cstheme="majorBidi"/>
          <w:sz w:val="23"/>
          <w:szCs w:val="23"/>
          <w:shd w:val="clear" w:color="auto" w:fill="FFFFFF"/>
        </w:rPr>
        <w:t>(</w:t>
      </w:r>
      <w:r w:rsidRPr="359636AC">
        <w:rPr>
          <w:rFonts w:asciiTheme="majorHAnsi" w:hAnsiTheme="majorHAnsi" w:cstheme="majorBidi"/>
          <w:sz w:val="23"/>
          <w:szCs w:val="23"/>
          <w:shd w:val="clear" w:color="auto" w:fill="FFFFFF"/>
        </w:rPr>
        <w:t>Jennings et al, 2017</w:t>
      </w:r>
      <w:r w:rsidRPr="2B116086">
        <w:rPr>
          <w:rFonts w:asciiTheme="majorHAnsi" w:hAnsiTheme="majorHAnsi" w:cstheme="majorBidi"/>
          <w:sz w:val="23"/>
          <w:szCs w:val="23"/>
          <w:shd w:val="clear" w:color="auto" w:fill="FFFFFF"/>
        </w:rPr>
        <w:t>)</w:t>
      </w:r>
      <w:r w:rsidRPr="2B116086">
        <w:rPr>
          <w:rFonts w:asciiTheme="majorHAnsi" w:hAnsiTheme="majorHAnsi" w:cstheme="majorBidi"/>
          <w:sz w:val="23"/>
          <w:szCs w:val="23"/>
        </w:rPr>
        <w:t>.</w:t>
      </w:r>
    </w:p>
    <w:p w14:paraId="4F6A6185" w14:textId="77777777" w:rsidR="00F00E3D" w:rsidRPr="007C46FB" w:rsidRDefault="00F00E3D" w:rsidP="009B2FA7">
      <w:pPr>
        <w:spacing w:after="0" w:line="276" w:lineRule="auto"/>
        <w:rPr>
          <w:rFonts w:asciiTheme="majorHAnsi" w:hAnsiTheme="majorHAnsi" w:cstheme="majorBidi"/>
          <w:sz w:val="16"/>
          <w:szCs w:val="16"/>
          <w:shd w:val="clear" w:color="auto" w:fill="FFFFFF"/>
        </w:rPr>
      </w:pPr>
    </w:p>
    <w:p w14:paraId="3F2BF9C4" w14:textId="77777777" w:rsidR="00F00E3D" w:rsidRDefault="00F00E3D" w:rsidP="009B2FA7">
      <w:pPr>
        <w:spacing w:after="0" w:line="276" w:lineRule="auto"/>
        <w:rPr>
          <w:rFonts w:asciiTheme="majorHAnsi" w:hAnsiTheme="majorHAnsi" w:cstheme="majorHAnsi"/>
          <w:sz w:val="23"/>
          <w:szCs w:val="23"/>
          <w:shd w:val="clear" w:color="auto" w:fill="FFFFFF"/>
        </w:rPr>
      </w:pPr>
      <w:proofErr w:type="spellStart"/>
      <w:r>
        <w:rPr>
          <w:rFonts w:asciiTheme="majorHAnsi" w:hAnsiTheme="majorHAnsi" w:cstheme="majorHAnsi"/>
          <w:sz w:val="23"/>
          <w:szCs w:val="23"/>
          <w:shd w:val="clear" w:color="auto" w:fill="FFFFFF"/>
        </w:rPr>
        <w:t>SSBx</w:t>
      </w:r>
      <w:proofErr w:type="spellEnd"/>
      <w:r w:rsidRPr="00171A6D">
        <w:rPr>
          <w:rFonts w:asciiTheme="majorHAnsi" w:hAnsiTheme="majorHAnsi" w:cstheme="majorHAnsi"/>
          <w:sz w:val="23"/>
          <w:szCs w:val="23"/>
          <w:shd w:val="clear" w:color="auto" w:fill="FFFFFF"/>
        </w:rPr>
        <w:t xml:space="preserve"> spearheaded the creation of the Hunts Point Riverside Park, a US$3.2 million project that transformed a vacant lot and illegal dumping ground into an award-winning 1.4-acre public green space on the Harlem River. Constructed in 2004 on the former site of a Robert Moses bridge, it was the first riverside park built in the area in over 60 years, and is part of the ongoing South Bronx Greenway project, a planned 6.5-kilometre stretch of green spaces linked by a bikeway.</w:t>
      </w:r>
    </w:p>
    <w:p w14:paraId="1519B4DD" w14:textId="77777777" w:rsidR="00F00E3D" w:rsidRPr="00D13A25" w:rsidRDefault="00F00E3D" w:rsidP="009B2FA7">
      <w:pPr>
        <w:spacing w:after="0" w:line="276" w:lineRule="auto"/>
        <w:rPr>
          <w:rFonts w:asciiTheme="majorHAnsi" w:hAnsiTheme="majorHAnsi" w:cstheme="majorHAnsi"/>
          <w:sz w:val="16"/>
          <w:szCs w:val="16"/>
          <w:shd w:val="clear" w:color="auto" w:fill="FFFFFF"/>
        </w:rPr>
      </w:pPr>
    </w:p>
    <w:p w14:paraId="163C41E7" w14:textId="418E6679" w:rsidR="00F00E3D" w:rsidRPr="00171A6D" w:rsidRDefault="00F00E3D" w:rsidP="009B2FA7">
      <w:pPr>
        <w:spacing w:after="0" w:line="276" w:lineRule="auto"/>
        <w:rPr>
          <w:rFonts w:asciiTheme="majorHAnsi" w:hAnsiTheme="majorHAnsi" w:cstheme="majorHAnsi"/>
          <w:sz w:val="23"/>
          <w:szCs w:val="23"/>
          <w:shd w:val="clear" w:color="auto" w:fill="FFFFFF"/>
        </w:rPr>
      </w:pPr>
      <w:r w:rsidRPr="00171A6D">
        <w:rPr>
          <w:rFonts w:asciiTheme="majorHAnsi" w:hAnsiTheme="majorHAnsi" w:cstheme="majorHAnsi"/>
          <w:sz w:val="23"/>
          <w:szCs w:val="23"/>
          <w:shd w:val="clear" w:color="auto" w:fill="FFFFFF"/>
        </w:rPr>
        <w:t xml:space="preserve">These urban greening projects have </w:t>
      </w:r>
      <w:r w:rsidR="00684122">
        <w:rPr>
          <w:rFonts w:asciiTheme="majorHAnsi" w:hAnsiTheme="majorHAnsi" w:cstheme="majorHAnsi"/>
          <w:sz w:val="23"/>
          <w:szCs w:val="23"/>
          <w:shd w:val="clear" w:color="auto" w:fill="FFFFFF"/>
        </w:rPr>
        <w:t>had multiple benefits</w:t>
      </w:r>
      <w:r>
        <w:rPr>
          <w:rFonts w:asciiTheme="majorHAnsi" w:hAnsiTheme="majorHAnsi" w:cstheme="majorHAnsi"/>
          <w:sz w:val="23"/>
          <w:szCs w:val="23"/>
          <w:shd w:val="clear" w:color="auto" w:fill="FFFFFF"/>
        </w:rPr>
        <w:t xml:space="preserve">: they </w:t>
      </w:r>
      <w:r w:rsidRPr="00171A6D">
        <w:rPr>
          <w:rFonts w:asciiTheme="majorHAnsi" w:hAnsiTheme="majorHAnsi" w:cstheme="majorHAnsi"/>
          <w:sz w:val="23"/>
          <w:szCs w:val="23"/>
          <w:shd w:val="clear" w:color="auto" w:fill="FFFFFF"/>
        </w:rPr>
        <w:t xml:space="preserve">provided new open space and river access for the community, </w:t>
      </w:r>
      <w:r w:rsidRPr="00171A6D">
        <w:rPr>
          <w:rFonts w:asciiTheme="majorHAnsi" w:hAnsiTheme="majorHAnsi" w:cstheme="majorHAnsi"/>
          <w:sz w:val="23"/>
          <w:szCs w:val="23"/>
        </w:rPr>
        <w:t>promoted physical activity</w:t>
      </w:r>
      <w:r w:rsidRPr="00171A6D">
        <w:rPr>
          <w:rFonts w:asciiTheme="majorHAnsi" w:hAnsiTheme="majorHAnsi" w:cstheme="majorHAnsi"/>
          <w:sz w:val="23"/>
          <w:szCs w:val="23"/>
          <w:shd w:val="clear" w:color="auto" w:fill="FFFFFF"/>
        </w:rPr>
        <w:t xml:space="preserve"> b</w:t>
      </w:r>
      <w:r w:rsidRPr="00171A6D">
        <w:rPr>
          <w:rFonts w:asciiTheme="majorHAnsi" w:hAnsiTheme="majorHAnsi" w:cstheme="majorHAnsi"/>
          <w:sz w:val="23"/>
          <w:szCs w:val="23"/>
        </w:rPr>
        <w:t xml:space="preserve">y creating bicycle- and pedestrian-friendly infrastructure, beautified a degraded area, supported local economic development, upskilled the workforce, and created new jobs and social networks </w:t>
      </w:r>
      <w:r w:rsidR="00684122">
        <w:rPr>
          <w:rFonts w:asciiTheme="majorHAnsi" w:hAnsiTheme="majorHAnsi" w:cstheme="majorHAnsi"/>
          <w:sz w:val="23"/>
          <w:szCs w:val="23"/>
        </w:rPr>
        <w:t>for</w:t>
      </w:r>
      <w:r>
        <w:rPr>
          <w:rFonts w:asciiTheme="majorHAnsi" w:hAnsiTheme="majorHAnsi" w:cstheme="majorHAnsi"/>
          <w:sz w:val="23"/>
          <w:szCs w:val="23"/>
        </w:rPr>
        <w:t xml:space="preserve"> communities affected by disadvantage</w:t>
      </w:r>
      <w:r w:rsidRPr="00171A6D">
        <w:rPr>
          <w:rFonts w:asciiTheme="majorHAnsi" w:hAnsiTheme="majorHAnsi" w:cstheme="majorHAnsi"/>
          <w:sz w:val="23"/>
          <w:szCs w:val="23"/>
        </w:rPr>
        <w:t>.</w:t>
      </w:r>
    </w:p>
    <w:p w14:paraId="20B8F690" w14:textId="77777777" w:rsidR="00F00E3D" w:rsidRPr="007C46FB" w:rsidRDefault="00F00E3D" w:rsidP="009B2FA7">
      <w:pPr>
        <w:spacing w:after="0" w:line="276" w:lineRule="auto"/>
        <w:rPr>
          <w:rFonts w:asciiTheme="majorHAnsi" w:hAnsiTheme="majorHAnsi" w:cstheme="majorHAnsi"/>
          <w:sz w:val="16"/>
          <w:szCs w:val="16"/>
        </w:rPr>
      </w:pPr>
    </w:p>
    <w:p w14:paraId="72D7BC44" w14:textId="77777777" w:rsidR="00F00E3D" w:rsidRPr="00171A6D" w:rsidRDefault="00F00E3D" w:rsidP="009B2FA7">
      <w:pPr>
        <w:spacing w:after="0" w:line="276" w:lineRule="auto"/>
        <w:rPr>
          <w:rFonts w:asciiTheme="majorHAnsi" w:hAnsiTheme="majorHAnsi" w:cstheme="majorHAnsi"/>
          <w:sz w:val="23"/>
          <w:szCs w:val="23"/>
        </w:rPr>
      </w:pPr>
      <w:r w:rsidRPr="00171A6D">
        <w:rPr>
          <w:rFonts w:asciiTheme="majorHAnsi" w:hAnsiTheme="majorHAnsi" w:cstheme="majorHAnsi"/>
          <w:sz w:val="23"/>
          <w:szCs w:val="23"/>
        </w:rPr>
        <w:t xml:space="preserve">In 2003, </w:t>
      </w:r>
      <w:proofErr w:type="spellStart"/>
      <w:r w:rsidRPr="00171A6D">
        <w:rPr>
          <w:rFonts w:asciiTheme="majorHAnsi" w:hAnsiTheme="majorHAnsi" w:cstheme="majorHAnsi"/>
          <w:sz w:val="23"/>
          <w:szCs w:val="23"/>
        </w:rPr>
        <w:t>SSB</w:t>
      </w:r>
      <w:r>
        <w:rPr>
          <w:rFonts w:asciiTheme="majorHAnsi" w:hAnsiTheme="majorHAnsi" w:cstheme="majorHAnsi"/>
          <w:sz w:val="23"/>
          <w:szCs w:val="23"/>
        </w:rPr>
        <w:t>x</w:t>
      </w:r>
      <w:proofErr w:type="spellEnd"/>
      <w:r w:rsidRPr="00171A6D">
        <w:rPr>
          <w:rFonts w:asciiTheme="majorHAnsi" w:hAnsiTheme="majorHAnsi" w:cstheme="majorHAnsi"/>
          <w:sz w:val="23"/>
          <w:szCs w:val="23"/>
        </w:rPr>
        <w:t xml:space="preserve"> founded the Bronx Environmental Stewardship (BEST) Academy, which trains</w:t>
      </w:r>
    </w:p>
    <w:p w14:paraId="595E6141" w14:textId="04B7E7B9" w:rsidR="00F00E3D" w:rsidRPr="007F667A" w:rsidRDefault="00F00E3D" w:rsidP="009B2FA7">
      <w:pPr>
        <w:spacing w:after="0" w:line="276" w:lineRule="auto"/>
        <w:rPr>
          <w:rFonts w:asciiTheme="majorHAnsi" w:hAnsiTheme="majorHAnsi" w:cstheme="majorHAnsi"/>
          <w:sz w:val="23"/>
          <w:szCs w:val="23"/>
        </w:rPr>
      </w:pPr>
      <w:r w:rsidRPr="2B116086">
        <w:rPr>
          <w:rFonts w:asciiTheme="majorHAnsi" w:hAnsiTheme="majorHAnsi" w:cstheme="majorBidi"/>
          <w:sz w:val="23"/>
          <w:szCs w:val="23"/>
        </w:rPr>
        <w:t xml:space="preserve">low-income NYC residents for environmental jobs. In the intensive course, trainees take part in local greening programs, conduct tree surveys and plantings, test water quality, learn life skills, and help restore and maintain waterfronts. </w:t>
      </w:r>
      <w:hyperlink r:id="rId94">
        <w:r w:rsidRPr="2B116086">
          <w:rPr>
            <w:rStyle w:val="Hyperlink"/>
            <w:rFonts w:asciiTheme="majorHAnsi" w:hAnsiTheme="majorHAnsi" w:cstheme="majorBidi"/>
            <w:sz w:val="23"/>
            <w:szCs w:val="23"/>
          </w:rPr>
          <w:t>One evaluation</w:t>
        </w:r>
      </w:hyperlink>
      <w:r w:rsidRPr="2B116086">
        <w:rPr>
          <w:rFonts w:asciiTheme="majorHAnsi" w:hAnsiTheme="majorHAnsi" w:cstheme="majorBidi"/>
          <w:sz w:val="23"/>
          <w:szCs w:val="23"/>
        </w:rPr>
        <w:t xml:space="preserve"> found that 85 percent of program graduates gained employment, with more than 90 percent working in green-collar jobs and nearly 10 percent engaging in college </w:t>
      </w:r>
      <w:r w:rsidRPr="00D13A25">
        <w:rPr>
          <w:rFonts w:asciiTheme="majorHAnsi" w:hAnsiTheme="majorHAnsi" w:cstheme="majorBidi"/>
          <w:sz w:val="23"/>
          <w:szCs w:val="23"/>
        </w:rPr>
        <w:t>education (Pacific Institute, 2013; Quennell, 2011).</w:t>
      </w:r>
      <w:r w:rsidRPr="2B116086">
        <w:rPr>
          <w:rFonts w:asciiTheme="majorHAnsi" w:hAnsiTheme="majorHAnsi" w:cstheme="majorBidi"/>
          <w:sz w:val="23"/>
          <w:szCs w:val="23"/>
        </w:rPr>
        <w:t xml:space="preserve"> </w:t>
      </w:r>
      <w:r w:rsidR="007F667A" w:rsidRPr="004B0841">
        <w:rPr>
          <w:rFonts w:asciiTheme="majorHAnsi" w:hAnsiTheme="majorHAnsi" w:cstheme="majorHAnsi"/>
          <w:sz w:val="23"/>
          <w:szCs w:val="23"/>
        </w:rPr>
        <w:t xml:space="preserve">In 2015 </w:t>
      </w:r>
      <w:proofErr w:type="spellStart"/>
      <w:r w:rsidR="007F667A" w:rsidRPr="004B0841">
        <w:rPr>
          <w:rFonts w:asciiTheme="majorHAnsi" w:hAnsiTheme="majorHAnsi" w:cstheme="majorHAnsi"/>
          <w:sz w:val="23"/>
          <w:szCs w:val="23"/>
        </w:rPr>
        <w:t>SSBx</w:t>
      </w:r>
      <w:proofErr w:type="spellEnd"/>
      <w:r w:rsidR="007F667A" w:rsidRPr="004B0841">
        <w:rPr>
          <w:rFonts w:asciiTheme="majorHAnsi" w:hAnsiTheme="majorHAnsi" w:cstheme="majorHAnsi"/>
          <w:sz w:val="23"/>
          <w:szCs w:val="23"/>
        </w:rPr>
        <w:t xml:space="preserve"> </w:t>
      </w:r>
      <w:r w:rsidR="007F667A">
        <w:rPr>
          <w:rFonts w:asciiTheme="majorHAnsi" w:hAnsiTheme="majorHAnsi" w:cstheme="majorHAnsi"/>
          <w:sz w:val="23"/>
          <w:szCs w:val="23"/>
        </w:rPr>
        <w:t>partnered</w:t>
      </w:r>
      <w:r w:rsidR="007F667A" w:rsidRPr="004B0841">
        <w:rPr>
          <w:rFonts w:asciiTheme="majorHAnsi" w:hAnsiTheme="majorHAnsi" w:cstheme="majorHAnsi"/>
          <w:sz w:val="23"/>
          <w:szCs w:val="23"/>
        </w:rPr>
        <w:t xml:space="preserve"> with the HOPE Program, a workforce development organisation (</w:t>
      </w:r>
      <w:proofErr w:type="spellStart"/>
      <w:r w:rsidR="007F667A" w:rsidRPr="004B0841">
        <w:rPr>
          <w:rFonts w:asciiTheme="majorHAnsi" w:hAnsiTheme="majorHAnsi" w:cstheme="majorHAnsi"/>
          <w:sz w:val="23"/>
          <w:szCs w:val="23"/>
        </w:rPr>
        <w:t>SSB</w:t>
      </w:r>
      <w:r w:rsidR="007F667A">
        <w:rPr>
          <w:rFonts w:asciiTheme="majorHAnsi" w:hAnsiTheme="majorHAnsi" w:cstheme="majorHAnsi"/>
          <w:sz w:val="23"/>
          <w:szCs w:val="23"/>
        </w:rPr>
        <w:t>x</w:t>
      </w:r>
      <w:proofErr w:type="spellEnd"/>
      <w:r w:rsidR="007F667A" w:rsidRPr="004B0841">
        <w:rPr>
          <w:rFonts w:asciiTheme="majorHAnsi" w:hAnsiTheme="majorHAnsi" w:cstheme="majorHAnsi"/>
          <w:sz w:val="23"/>
          <w:szCs w:val="23"/>
        </w:rPr>
        <w:t>, n.d.).</w:t>
      </w:r>
    </w:p>
    <w:p w14:paraId="14C5F1D4" w14:textId="77777777" w:rsidR="00F00E3D" w:rsidRPr="00D13A25" w:rsidRDefault="00F00E3D" w:rsidP="009B2FA7">
      <w:pPr>
        <w:spacing w:after="0" w:line="276" w:lineRule="auto"/>
        <w:rPr>
          <w:rFonts w:asciiTheme="majorHAnsi" w:hAnsiTheme="majorHAnsi" w:cstheme="majorHAnsi"/>
          <w:sz w:val="16"/>
          <w:szCs w:val="16"/>
        </w:rPr>
      </w:pPr>
    </w:p>
    <w:p w14:paraId="08DB051F" w14:textId="38334300" w:rsidR="00F00E3D" w:rsidRPr="00516A55" w:rsidRDefault="00F00E3D" w:rsidP="009B2FA7">
      <w:pPr>
        <w:spacing w:after="0" w:line="276" w:lineRule="auto"/>
        <w:rPr>
          <w:rFonts w:asciiTheme="majorHAnsi" w:hAnsiTheme="majorHAnsi" w:cstheme="majorHAnsi"/>
          <w:sz w:val="23"/>
          <w:szCs w:val="23"/>
        </w:rPr>
      </w:pPr>
      <w:r w:rsidRPr="00171A6D">
        <w:rPr>
          <w:rFonts w:asciiTheme="majorHAnsi" w:hAnsiTheme="majorHAnsi" w:cstheme="majorHAnsi"/>
          <w:sz w:val="23"/>
          <w:szCs w:val="23"/>
        </w:rPr>
        <w:t xml:space="preserve">BEST program graduates can also work in </w:t>
      </w:r>
      <w:proofErr w:type="spellStart"/>
      <w:r w:rsidRPr="00171A6D">
        <w:rPr>
          <w:rFonts w:asciiTheme="majorHAnsi" w:hAnsiTheme="majorHAnsi" w:cstheme="majorHAnsi"/>
          <w:sz w:val="23"/>
          <w:szCs w:val="23"/>
        </w:rPr>
        <w:t>SSB</w:t>
      </w:r>
      <w:r w:rsidR="00BE44F7">
        <w:rPr>
          <w:rFonts w:asciiTheme="majorHAnsi" w:hAnsiTheme="majorHAnsi" w:cstheme="majorHAnsi"/>
          <w:sz w:val="23"/>
          <w:szCs w:val="23"/>
        </w:rPr>
        <w:t>x</w:t>
      </w:r>
      <w:r w:rsidRPr="00171A6D">
        <w:rPr>
          <w:rFonts w:asciiTheme="majorHAnsi" w:hAnsiTheme="majorHAnsi" w:cstheme="majorHAnsi"/>
          <w:sz w:val="23"/>
          <w:szCs w:val="23"/>
        </w:rPr>
        <w:t>’s</w:t>
      </w:r>
      <w:proofErr w:type="spellEnd"/>
      <w:r w:rsidRPr="00171A6D">
        <w:rPr>
          <w:rFonts w:asciiTheme="majorHAnsi" w:hAnsiTheme="majorHAnsi" w:cstheme="majorHAnsi"/>
          <w:sz w:val="23"/>
          <w:szCs w:val="23"/>
        </w:rPr>
        <w:t xml:space="preserve"> for-profit </w:t>
      </w:r>
      <w:r>
        <w:rPr>
          <w:rFonts w:asciiTheme="majorHAnsi" w:hAnsiTheme="majorHAnsi" w:cstheme="majorHAnsi"/>
          <w:sz w:val="23"/>
          <w:szCs w:val="23"/>
        </w:rPr>
        <w:t xml:space="preserve">NYC </w:t>
      </w:r>
      <w:r>
        <w:rPr>
          <w:rFonts w:ascii="Arial" w:hAnsi="Arial" w:cs="Arial"/>
          <w:color w:val="202124"/>
          <w:shd w:val="clear" w:color="auto" w:fill="FFFFFF"/>
        </w:rPr>
        <w:t>°</w:t>
      </w:r>
      <w:proofErr w:type="spellStart"/>
      <w:r w:rsidRPr="00D86D2B">
        <w:rPr>
          <w:rFonts w:asciiTheme="majorHAnsi" w:hAnsiTheme="majorHAnsi" w:cstheme="majorHAnsi"/>
          <w:color w:val="202124"/>
          <w:sz w:val="23"/>
          <w:szCs w:val="23"/>
          <w:shd w:val="clear" w:color="auto" w:fill="FFFFFF"/>
        </w:rPr>
        <w:t>CoolRoofs</w:t>
      </w:r>
      <w:proofErr w:type="spellEnd"/>
      <w:r w:rsidRPr="00171A6D">
        <w:rPr>
          <w:rFonts w:asciiTheme="majorHAnsi" w:hAnsiTheme="majorHAnsi" w:cstheme="majorHAnsi"/>
          <w:sz w:val="23"/>
          <w:szCs w:val="23"/>
        </w:rPr>
        <w:t xml:space="preserve"> program, </w:t>
      </w:r>
      <w:r>
        <w:rPr>
          <w:rFonts w:asciiTheme="majorHAnsi" w:hAnsiTheme="majorHAnsi" w:cstheme="majorHAnsi"/>
          <w:sz w:val="23"/>
          <w:szCs w:val="23"/>
        </w:rPr>
        <w:t>installing</w:t>
      </w:r>
      <w:r w:rsidRPr="00171A6D">
        <w:rPr>
          <w:rFonts w:asciiTheme="majorHAnsi" w:hAnsiTheme="majorHAnsi" w:cstheme="majorHAnsi"/>
          <w:sz w:val="23"/>
          <w:szCs w:val="23"/>
        </w:rPr>
        <w:t xml:space="preserve"> green roofs and energy-saving reflective rooftops across the city, a practice </w:t>
      </w:r>
      <w:r>
        <w:rPr>
          <w:rFonts w:asciiTheme="majorHAnsi" w:hAnsiTheme="majorHAnsi" w:cstheme="majorHAnsi"/>
          <w:sz w:val="23"/>
          <w:szCs w:val="23"/>
        </w:rPr>
        <w:t>supported</w:t>
      </w:r>
      <w:r w:rsidRPr="00171A6D">
        <w:rPr>
          <w:rFonts w:asciiTheme="majorHAnsi" w:hAnsiTheme="majorHAnsi" w:cstheme="majorHAnsi"/>
          <w:sz w:val="23"/>
          <w:szCs w:val="23"/>
        </w:rPr>
        <w:t xml:space="preserve"> by New York City’s </w:t>
      </w:r>
      <w:r w:rsidRPr="00171A6D">
        <w:rPr>
          <w:rFonts w:asciiTheme="majorHAnsi" w:hAnsiTheme="majorHAnsi" w:cstheme="majorHAnsi"/>
          <w:i/>
          <w:iCs/>
          <w:sz w:val="23"/>
          <w:szCs w:val="23"/>
        </w:rPr>
        <w:t>Green Roofs Act</w:t>
      </w:r>
      <w:r w:rsidRPr="00171A6D">
        <w:rPr>
          <w:rFonts w:asciiTheme="majorHAnsi" w:hAnsiTheme="majorHAnsi" w:cstheme="majorHAnsi"/>
          <w:sz w:val="23"/>
          <w:szCs w:val="23"/>
        </w:rPr>
        <w:t xml:space="preserve"> (2019)</w:t>
      </w:r>
      <w:r>
        <w:rPr>
          <w:rFonts w:asciiTheme="majorHAnsi" w:hAnsiTheme="majorHAnsi" w:cstheme="majorHAnsi"/>
          <w:sz w:val="23"/>
          <w:szCs w:val="23"/>
        </w:rPr>
        <w:t xml:space="preserve">; the </w:t>
      </w:r>
      <w:r w:rsidRPr="00516A55">
        <w:rPr>
          <w:rFonts w:asciiTheme="majorHAnsi" w:hAnsiTheme="majorHAnsi" w:cstheme="majorHAnsi"/>
          <w:sz w:val="23"/>
          <w:szCs w:val="23"/>
        </w:rPr>
        <w:t xml:space="preserve">New York City Department of Small Business Services is a </w:t>
      </w:r>
      <w:r>
        <w:rPr>
          <w:rFonts w:asciiTheme="majorHAnsi" w:hAnsiTheme="majorHAnsi" w:cstheme="majorHAnsi"/>
          <w:sz w:val="23"/>
          <w:szCs w:val="23"/>
        </w:rPr>
        <w:t xml:space="preserve">program </w:t>
      </w:r>
      <w:r w:rsidRPr="00516A55">
        <w:rPr>
          <w:rFonts w:asciiTheme="majorHAnsi" w:hAnsiTheme="majorHAnsi" w:cstheme="majorHAnsi"/>
          <w:sz w:val="23"/>
          <w:szCs w:val="23"/>
        </w:rPr>
        <w:t xml:space="preserve">partner. </w:t>
      </w:r>
      <w:proofErr w:type="spellStart"/>
      <w:r w:rsidRPr="00516A55">
        <w:rPr>
          <w:rFonts w:asciiTheme="majorHAnsi" w:hAnsiTheme="majorHAnsi" w:cstheme="majorHAnsi"/>
          <w:sz w:val="23"/>
          <w:szCs w:val="23"/>
        </w:rPr>
        <w:t>SSB</w:t>
      </w:r>
      <w:r>
        <w:rPr>
          <w:rFonts w:asciiTheme="majorHAnsi" w:hAnsiTheme="majorHAnsi" w:cstheme="majorHAnsi"/>
          <w:sz w:val="23"/>
          <w:szCs w:val="23"/>
        </w:rPr>
        <w:t>x</w:t>
      </w:r>
      <w:proofErr w:type="spellEnd"/>
      <w:r w:rsidRPr="00516A55">
        <w:rPr>
          <w:rFonts w:asciiTheme="majorHAnsi" w:hAnsiTheme="majorHAnsi" w:cstheme="majorHAnsi"/>
          <w:sz w:val="23"/>
          <w:szCs w:val="23"/>
        </w:rPr>
        <w:t xml:space="preserve"> also runs a social enterprise, Intervine, which trains and employs local workers to create and maintain sustainable green infrastructure</w:t>
      </w:r>
      <w:r>
        <w:rPr>
          <w:rFonts w:asciiTheme="majorHAnsi" w:hAnsiTheme="majorHAnsi" w:cstheme="majorHAnsi"/>
          <w:sz w:val="23"/>
          <w:szCs w:val="23"/>
        </w:rPr>
        <w:t>, and the</w:t>
      </w:r>
      <w:r w:rsidRPr="00516A55">
        <w:rPr>
          <w:rFonts w:asciiTheme="majorHAnsi" w:hAnsiTheme="majorHAnsi" w:cstheme="majorHAnsi"/>
          <w:sz w:val="23"/>
          <w:szCs w:val="23"/>
        </w:rPr>
        <w:t xml:space="preserve"> </w:t>
      </w:r>
      <w:proofErr w:type="spellStart"/>
      <w:r w:rsidRPr="00516A55">
        <w:rPr>
          <w:rFonts w:asciiTheme="majorHAnsi" w:hAnsiTheme="majorHAnsi" w:cstheme="majorHAnsi"/>
          <w:sz w:val="23"/>
          <w:szCs w:val="23"/>
        </w:rPr>
        <w:t>SSBxFab</w:t>
      </w:r>
      <w:proofErr w:type="spellEnd"/>
      <w:r w:rsidRPr="00516A55">
        <w:rPr>
          <w:rFonts w:asciiTheme="majorHAnsi" w:hAnsiTheme="majorHAnsi" w:cstheme="majorHAnsi"/>
          <w:sz w:val="23"/>
          <w:szCs w:val="23"/>
        </w:rPr>
        <w:t xml:space="preserve"> program</w:t>
      </w:r>
      <w:r>
        <w:rPr>
          <w:rFonts w:asciiTheme="majorHAnsi" w:hAnsiTheme="majorHAnsi" w:cstheme="majorHAnsi"/>
          <w:sz w:val="23"/>
          <w:szCs w:val="23"/>
        </w:rPr>
        <w:t>,</w:t>
      </w:r>
      <w:r w:rsidRPr="004B0841">
        <w:rPr>
          <w:rFonts w:asciiTheme="majorHAnsi" w:hAnsiTheme="majorHAnsi" w:cstheme="majorHAnsi"/>
          <w:sz w:val="23"/>
          <w:szCs w:val="23"/>
        </w:rPr>
        <w:t xml:space="preserve"> </w:t>
      </w:r>
      <w:r>
        <w:rPr>
          <w:rFonts w:asciiTheme="majorHAnsi" w:hAnsiTheme="majorHAnsi" w:cstheme="majorHAnsi"/>
          <w:sz w:val="23"/>
          <w:szCs w:val="23"/>
        </w:rPr>
        <w:t>in</w:t>
      </w:r>
      <w:r w:rsidRPr="00516A55">
        <w:rPr>
          <w:rFonts w:asciiTheme="majorHAnsi" w:hAnsiTheme="majorHAnsi" w:cstheme="majorHAnsi"/>
          <w:sz w:val="23"/>
          <w:szCs w:val="23"/>
        </w:rPr>
        <w:t xml:space="preserve"> partnership with the Massachusetts Institute of Technology, </w:t>
      </w:r>
      <w:r>
        <w:rPr>
          <w:rFonts w:asciiTheme="majorHAnsi" w:hAnsiTheme="majorHAnsi" w:cstheme="majorHAnsi"/>
          <w:sz w:val="23"/>
          <w:szCs w:val="23"/>
        </w:rPr>
        <w:t xml:space="preserve">which </w:t>
      </w:r>
      <w:r w:rsidRPr="00516A55">
        <w:rPr>
          <w:rFonts w:asciiTheme="majorHAnsi" w:hAnsiTheme="majorHAnsi" w:cstheme="majorHAnsi"/>
          <w:sz w:val="23"/>
          <w:szCs w:val="23"/>
        </w:rPr>
        <w:t>offers fellowships for South Bronx-based eco-designers.</w:t>
      </w:r>
    </w:p>
    <w:p w14:paraId="55602517" w14:textId="77777777" w:rsidR="00F00E3D" w:rsidRPr="00D13A25" w:rsidRDefault="00F00E3D" w:rsidP="009B2FA7">
      <w:pPr>
        <w:spacing w:after="0" w:line="276" w:lineRule="auto"/>
        <w:rPr>
          <w:rFonts w:asciiTheme="majorHAnsi" w:hAnsiTheme="majorHAnsi" w:cstheme="majorHAnsi"/>
          <w:sz w:val="16"/>
          <w:szCs w:val="16"/>
        </w:rPr>
      </w:pPr>
    </w:p>
    <w:p w14:paraId="647BD159" w14:textId="3C8AF02B" w:rsidR="00F00E3D" w:rsidRDefault="00F00E3D" w:rsidP="009B2FA7">
      <w:pPr>
        <w:spacing w:after="0" w:line="276" w:lineRule="auto"/>
        <w:rPr>
          <w:rFonts w:asciiTheme="majorHAnsi" w:hAnsiTheme="majorHAnsi" w:cstheme="majorHAnsi"/>
          <w:sz w:val="23"/>
          <w:szCs w:val="23"/>
        </w:rPr>
      </w:pPr>
      <w:r>
        <w:rPr>
          <w:rFonts w:asciiTheme="majorHAnsi" w:hAnsiTheme="majorHAnsi" w:cstheme="majorHAnsi"/>
          <w:sz w:val="23"/>
          <w:szCs w:val="23"/>
        </w:rPr>
        <w:t xml:space="preserve">Director </w:t>
      </w:r>
      <w:r w:rsidRPr="00171A6D">
        <w:rPr>
          <w:rFonts w:asciiTheme="majorHAnsi" w:hAnsiTheme="majorHAnsi" w:cstheme="majorHAnsi"/>
          <w:sz w:val="23"/>
          <w:szCs w:val="23"/>
          <w:shd w:val="clear" w:color="auto" w:fill="FFFFFF"/>
        </w:rPr>
        <w:t>Majora Cater</w:t>
      </w:r>
      <w:r>
        <w:rPr>
          <w:rFonts w:asciiTheme="majorHAnsi" w:hAnsiTheme="majorHAnsi" w:cstheme="majorHAnsi"/>
          <w:sz w:val="23"/>
          <w:szCs w:val="23"/>
          <w:shd w:val="clear" w:color="auto" w:fill="FFFFFF"/>
        </w:rPr>
        <w:t xml:space="preserve"> is a major factor in </w:t>
      </w:r>
      <w:proofErr w:type="spellStart"/>
      <w:r>
        <w:rPr>
          <w:rFonts w:asciiTheme="majorHAnsi" w:hAnsiTheme="majorHAnsi" w:cstheme="majorHAnsi"/>
          <w:sz w:val="23"/>
          <w:szCs w:val="23"/>
          <w:shd w:val="clear" w:color="auto" w:fill="FFFFFF"/>
        </w:rPr>
        <w:t>SSBx’s</w:t>
      </w:r>
      <w:proofErr w:type="spellEnd"/>
      <w:r>
        <w:rPr>
          <w:rFonts w:asciiTheme="majorHAnsi" w:hAnsiTheme="majorHAnsi" w:cstheme="majorHAnsi"/>
          <w:sz w:val="23"/>
          <w:szCs w:val="23"/>
          <w:shd w:val="clear" w:color="auto" w:fill="FFFFFF"/>
        </w:rPr>
        <w:t xml:space="preserve"> success:</w:t>
      </w:r>
      <w:r w:rsidRPr="0089543D">
        <w:rPr>
          <w:rFonts w:asciiTheme="majorHAnsi" w:hAnsiTheme="majorHAnsi" w:cstheme="majorHAnsi"/>
          <w:sz w:val="23"/>
          <w:szCs w:val="23"/>
        </w:rPr>
        <w:t xml:space="preserve"> </w:t>
      </w:r>
      <w:r>
        <w:rPr>
          <w:rFonts w:asciiTheme="majorHAnsi" w:hAnsiTheme="majorHAnsi" w:cstheme="majorHAnsi"/>
          <w:sz w:val="23"/>
          <w:szCs w:val="23"/>
        </w:rPr>
        <w:t>her</w:t>
      </w:r>
      <w:r>
        <w:rPr>
          <w:rFonts w:asciiTheme="majorHAnsi" w:hAnsiTheme="majorHAnsi" w:cstheme="majorHAnsi"/>
          <w:sz w:val="23"/>
          <w:szCs w:val="23"/>
          <w:shd w:val="clear" w:color="auto" w:fill="FFFFFF"/>
        </w:rPr>
        <w:t xml:space="preserve"> expertise, activism, local connections and ongoing leadership</w:t>
      </w:r>
      <w:r w:rsidRPr="00DF32A2">
        <w:rPr>
          <w:rFonts w:asciiTheme="majorHAnsi" w:hAnsiTheme="majorHAnsi" w:cstheme="majorHAnsi"/>
          <w:sz w:val="23"/>
          <w:szCs w:val="23"/>
        </w:rPr>
        <w:t xml:space="preserve"> </w:t>
      </w:r>
      <w:r>
        <w:rPr>
          <w:rFonts w:asciiTheme="majorHAnsi" w:hAnsiTheme="majorHAnsi" w:cstheme="majorHAnsi"/>
          <w:sz w:val="23"/>
          <w:szCs w:val="23"/>
        </w:rPr>
        <w:t>continue to be a driving force. Other success factors include effective partnership-building, close alignment with policy initiatives (urban greening), access to public land, income generation through for-profit sub-projects, and a multi-pronged approach to improving community outcomes (skills development, employment, place-making, social connections, open space access).</w:t>
      </w:r>
    </w:p>
    <w:p w14:paraId="7D1B360B" w14:textId="77777777" w:rsidR="00F00E3D" w:rsidRDefault="00F00E3D" w:rsidP="009B2FA7">
      <w:pPr>
        <w:spacing w:after="0" w:line="276" w:lineRule="auto"/>
        <w:rPr>
          <w:rFonts w:asciiTheme="majorHAnsi" w:eastAsia="Times New Roman" w:hAnsiTheme="majorHAnsi" w:cstheme="majorHAnsi"/>
          <w:color w:val="000000"/>
          <w:sz w:val="23"/>
          <w:szCs w:val="23"/>
          <w:shd w:val="clear" w:color="auto" w:fill="FFFFFF"/>
          <w:lang w:eastAsia="en-AU"/>
        </w:rPr>
      </w:pPr>
    </w:p>
    <w:p w14:paraId="17F547B9" w14:textId="294159C7" w:rsidR="00F00E3D" w:rsidRPr="006C7520" w:rsidRDefault="00F00E3D" w:rsidP="009B2FA7">
      <w:pPr>
        <w:spacing w:after="0" w:line="276" w:lineRule="auto"/>
        <w:rPr>
          <w:rFonts w:cstheme="minorHAnsi"/>
          <w:b/>
          <w:bCs/>
          <w:sz w:val="25"/>
          <w:szCs w:val="25"/>
        </w:rPr>
      </w:pPr>
      <w:r w:rsidRPr="006C7520">
        <w:rPr>
          <w:rFonts w:cstheme="minorHAnsi"/>
          <w:b/>
          <w:bCs/>
          <w:sz w:val="25"/>
          <w:szCs w:val="25"/>
        </w:rPr>
        <w:lastRenderedPageBreak/>
        <w:t xml:space="preserve">Detroit City of Design Competition: Design </w:t>
      </w:r>
      <w:r w:rsidR="00EC683F">
        <w:rPr>
          <w:rFonts w:cstheme="minorHAnsi"/>
          <w:b/>
          <w:bCs/>
          <w:sz w:val="25"/>
          <w:szCs w:val="25"/>
        </w:rPr>
        <w:t>Prototypes f</w:t>
      </w:r>
      <w:r w:rsidR="00EC683F" w:rsidRPr="006C7520">
        <w:rPr>
          <w:rFonts w:cstheme="minorHAnsi"/>
          <w:b/>
          <w:bCs/>
          <w:sz w:val="25"/>
          <w:szCs w:val="25"/>
        </w:rPr>
        <w:t xml:space="preserve">or </w:t>
      </w:r>
      <w:r w:rsidR="00EC683F">
        <w:rPr>
          <w:rFonts w:cstheme="minorHAnsi"/>
          <w:b/>
          <w:bCs/>
          <w:sz w:val="25"/>
          <w:szCs w:val="25"/>
        </w:rPr>
        <w:t>S</w:t>
      </w:r>
      <w:r w:rsidR="00EC683F" w:rsidRPr="006C7520">
        <w:rPr>
          <w:rFonts w:cstheme="minorHAnsi"/>
          <w:b/>
          <w:bCs/>
          <w:sz w:val="25"/>
          <w:szCs w:val="25"/>
        </w:rPr>
        <w:t>afe</w:t>
      </w:r>
      <w:r w:rsidR="00EC683F">
        <w:rPr>
          <w:rFonts w:cstheme="minorHAnsi"/>
          <w:b/>
          <w:bCs/>
          <w:sz w:val="25"/>
          <w:szCs w:val="25"/>
        </w:rPr>
        <w:t>,</w:t>
      </w:r>
      <w:r w:rsidR="00EC683F" w:rsidRPr="006C7520">
        <w:rPr>
          <w:rFonts w:cstheme="minorHAnsi"/>
          <w:b/>
          <w:bCs/>
          <w:sz w:val="25"/>
          <w:szCs w:val="25"/>
        </w:rPr>
        <w:t xml:space="preserve"> </w:t>
      </w:r>
      <w:r w:rsidR="00EC683F">
        <w:rPr>
          <w:rFonts w:cstheme="minorHAnsi"/>
          <w:b/>
          <w:bCs/>
          <w:sz w:val="25"/>
          <w:szCs w:val="25"/>
        </w:rPr>
        <w:t>W</w:t>
      </w:r>
      <w:r w:rsidR="00EC683F" w:rsidRPr="006C7520">
        <w:rPr>
          <w:rFonts w:cstheme="minorHAnsi"/>
          <w:b/>
          <w:bCs/>
          <w:sz w:val="25"/>
          <w:szCs w:val="25"/>
        </w:rPr>
        <w:t xml:space="preserve">alkable </w:t>
      </w:r>
      <w:r w:rsidR="00EC683F">
        <w:rPr>
          <w:rFonts w:cstheme="minorHAnsi"/>
          <w:b/>
          <w:bCs/>
          <w:sz w:val="25"/>
          <w:szCs w:val="25"/>
        </w:rPr>
        <w:t>N</w:t>
      </w:r>
      <w:r w:rsidR="00EC683F" w:rsidRPr="006C7520">
        <w:rPr>
          <w:rFonts w:cstheme="minorHAnsi"/>
          <w:b/>
          <w:bCs/>
          <w:sz w:val="25"/>
          <w:szCs w:val="25"/>
        </w:rPr>
        <w:t>eighbourhoods</w:t>
      </w:r>
    </w:p>
    <w:p w14:paraId="37CD4446" w14:textId="40FFFA63" w:rsidR="00F00E3D" w:rsidRPr="006C7520" w:rsidRDefault="00F00E3D" w:rsidP="009B2FA7">
      <w:pPr>
        <w:spacing w:after="0" w:line="276" w:lineRule="auto"/>
        <w:rPr>
          <w:rFonts w:cstheme="minorHAnsi"/>
          <w:b/>
          <w:bCs/>
          <w:sz w:val="23"/>
          <w:szCs w:val="23"/>
        </w:rPr>
      </w:pPr>
      <w:proofErr w:type="spellStart"/>
      <w:r w:rsidRPr="006C7520">
        <w:rPr>
          <w:rFonts w:cstheme="minorHAnsi"/>
          <w:b/>
          <w:bCs/>
          <w:sz w:val="23"/>
          <w:szCs w:val="23"/>
        </w:rPr>
        <w:t>Grandmont</w:t>
      </w:r>
      <w:proofErr w:type="spellEnd"/>
      <w:r w:rsidRPr="006C7520">
        <w:rPr>
          <w:rFonts w:cstheme="minorHAnsi"/>
          <w:b/>
          <w:bCs/>
          <w:sz w:val="23"/>
          <w:szCs w:val="23"/>
        </w:rPr>
        <w:t xml:space="preserve"> Rosedale, Southwest Detroit &amp; Hope Village, Detroit, Michigan (2019)</w:t>
      </w:r>
    </w:p>
    <w:p w14:paraId="58C0F085" w14:textId="77777777" w:rsidR="00F00E3D" w:rsidRPr="00CC521D" w:rsidRDefault="00F00E3D" w:rsidP="009B2FA7">
      <w:pPr>
        <w:spacing w:after="0" w:line="276" w:lineRule="auto"/>
        <w:rPr>
          <w:b/>
          <w:bCs/>
          <w:color w:val="595959" w:themeColor="text1" w:themeTint="A6"/>
          <w:sz w:val="16"/>
          <w:szCs w:val="16"/>
        </w:rPr>
      </w:pPr>
    </w:p>
    <w:p w14:paraId="7CD7F5E7" w14:textId="34D28A38" w:rsidR="00F00E3D" w:rsidRPr="00CC521D" w:rsidRDefault="00F00E3D" w:rsidP="009B2FA7">
      <w:pPr>
        <w:spacing w:after="0" w:line="276" w:lineRule="auto"/>
        <w:rPr>
          <w:rFonts w:cstheme="minorHAnsi"/>
          <w:b/>
          <w:bCs/>
          <w:color w:val="595959" w:themeColor="text1" w:themeTint="A6"/>
          <w:sz w:val="23"/>
          <w:szCs w:val="23"/>
        </w:rPr>
      </w:pPr>
      <w:r w:rsidRPr="00CC521D">
        <w:rPr>
          <w:rFonts w:cstheme="minorHAnsi"/>
          <w:b/>
          <w:bCs/>
          <w:color w:val="595959" w:themeColor="text1" w:themeTint="A6"/>
          <w:sz w:val="23"/>
          <w:szCs w:val="23"/>
        </w:rPr>
        <w:t xml:space="preserve">Main </w:t>
      </w:r>
      <w:r w:rsidR="00D95573">
        <w:rPr>
          <w:rFonts w:cstheme="minorHAnsi"/>
          <w:b/>
          <w:bCs/>
          <w:color w:val="595959" w:themeColor="text1" w:themeTint="A6"/>
          <w:sz w:val="23"/>
          <w:szCs w:val="23"/>
        </w:rPr>
        <w:t>Practice Domain</w:t>
      </w:r>
      <w:r w:rsidRPr="00CC521D">
        <w:rPr>
          <w:rFonts w:cstheme="minorHAnsi"/>
          <w:b/>
          <w:bCs/>
          <w:color w:val="595959" w:themeColor="text1" w:themeTint="A6"/>
          <w:sz w:val="23"/>
          <w:szCs w:val="23"/>
        </w:rPr>
        <w:t xml:space="preserve">(s): </w:t>
      </w:r>
      <w:r w:rsidRPr="00CC521D">
        <w:rPr>
          <w:rFonts w:cstheme="minorHAnsi"/>
          <w:b/>
          <w:bCs/>
          <w:color w:val="595959" w:themeColor="text1" w:themeTint="A6"/>
          <w:sz w:val="23"/>
          <w:szCs w:val="23"/>
        </w:rPr>
        <w:tab/>
      </w:r>
      <w:r w:rsidRPr="00CC521D">
        <w:rPr>
          <w:rFonts w:cstheme="minorHAnsi"/>
          <w:b/>
          <w:bCs/>
          <w:color w:val="595959" w:themeColor="text1" w:themeTint="A6"/>
          <w:sz w:val="23"/>
          <w:szCs w:val="23"/>
        </w:rPr>
        <w:tab/>
        <w:t>Liveability</w:t>
      </w:r>
    </w:p>
    <w:p w14:paraId="0401AC16" w14:textId="755E3D34" w:rsidR="00F00E3D" w:rsidRPr="00CC521D" w:rsidRDefault="00F00E3D" w:rsidP="009B2FA7">
      <w:pPr>
        <w:spacing w:after="0" w:line="276" w:lineRule="auto"/>
        <w:rPr>
          <w:rFonts w:cstheme="minorHAnsi"/>
          <w:b/>
          <w:bCs/>
          <w:color w:val="595959" w:themeColor="text1" w:themeTint="A6"/>
          <w:sz w:val="23"/>
          <w:szCs w:val="23"/>
        </w:rPr>
      </w:pPr>
      <w:r w:rsidRPr="00CC521D">
        <w:rPr>
          <w:rFonts w:cstheme="minorHAnsi"/>
          <w:b/>
          <w:bCs/>
          <w:color w:val="595959" w:themeColor="text1" w:themeTint="A6"/>
          <w:sz w:val="23"/>
          <w:szCs w:val="23"/>
        </w:rPr>
        <w:t xml:space="preserve">Secondary </w:t>
      </w:r>
      <w:r w:rsidR="00D95573">
        <w:rPr>
          <w:rFonts w:cstheme="minorHAnsi"/>
          <w:b/>
          <w:bCs/>
          <w:color w:val="595959" w:themeColor="text1" w:themeTint="A6"/>
          <w:sz w:val="23"/>
          <w:szCs w:val="23"/>
        </w:rPr>
        <w:t>Practice Domain</w:t>
      </w:r>
      <w:r w:rsidRPr="00CC521D">
        <w:rPr>
          <w:rFonts w:cstheme="minorHAnsi"/>
          <w:b/>
          <w:bCs/>
          <w:color w:val="595959" w:themeColor="text1" w:themeTint="A6"/>
          <w:sz w:val="23"/>
          <w:szCs w:val="23"/>
        </w:rPr>
        <w:t xml:space="preserve">(s): </w:t>
      </w:r>
      <w:r w:rsidRPr="00CC521D">
        <w:rPr>
          <w:rFonts w:cstheme="minorHAnsi"/>
          <w:b/>
          <w:bCs/>
          <w:color w:val="595959" w:themeColor="text1" w:themeTint="A6"/>
          <w:sz w:val="23"/>
          <w:szCs w:val="23"/>
        </w:rPr>
        <w:tab/>
        <w:t>Health and Wellbeing</w:t>
      </w:r>
    </w:p>
    <w:p w14:paraId="4F33838F" w14:textId="77777777" w:rsidR="00F00E3D" w:rsidRPr="00D13A25" w:rsidRDefault="00F00E3D" w:rsidP="009B2FA7">
      <w:pPr>
        <w:spacing w:after="0" w:line="276" w:lineRule="auto"/>
        <w:rPr>
          <w:rFonts w:asciiTheme="majorHAnsi" w:eastAsia="Times New Roman" w:hAnsiTheme="majorHAnsi" w:cstheme="majorHAnsi"/>
          <w:b/>
          <w:bCs/>
          <w:color w:val="808080" w:themeColor="background1" w:themeShade="80"/>
          <w:sz w:val="16"/>
          <w:szCs w:val="16"/>
        </w:rPr>
      </w:pPr>
    </w:p>
    <w:p w14:paraId="064AEE4D" w14:textId="77777777" w:rsidR="00F00E3D" w:rsidRPr="006C7520" w:rsidRDefault="00F00E3D" w:rsidP="009B2FA7">
      <w:pPr>
        <w:spacing w:line="276" w:lineRule="auto"/>
        <w:rPr>
          <w:rFonts w:asciiTheme="majorHAnsi" w:hAnsiTheme="majorHAnsi"/>
          <w:sz w:val="23"/>
          <w:szCs w:val="23"/>
        </w:rPr>
      </w:pPr>
      <w:r w:rsidRPr="2B116086">
        <w:rPr>
          <w:rFonts w:asciiTheme="majorHAnsi" w:hAnsiTheme="majorHAnsi"/>
          <w:sz w:val="23"/>
          <w:szCs w:val="23"/>
        </w:rPr>
        <w:t>The City of Detroit, Michigan (pop. 667,000) has been a UNESCO City of Design since 2015. A former auto industry boomtown, it has endured protracted economic decline in recent decades, but retains a vibrant arts and cultural scene. One in three Detroit residents lives in poverty (US Census, 2019).</w:t>
      </w:r>
    </w:p>
    <w:p w14:paraId="03A4C24A" w14:textId="723F2B04" w:rsidR="00F00E3D" w:rsidRPr="006C7520" w:rsidRDefault="0018762E" w:rsidP="009B2FA7">
      <w:pPr>
        <w:spacing w:line="276" w:lineRule="auto"/>
        <w:rPr>
          <w:rFonts w:asciiTheme="majorHAnsi" w:hAnsiTheme="majorHAnsi"/>
          <w:sz w:val="23"/>
          <w:szCs w:val="23"/>
        </w:rPr>
      </w:pPr>
      <w:r>
        <w:rPr>
          <w:rFonts w:asciiTheme="majorHAnsi" w:hAnsiTheme="majorHAnsi"/>
          <w:sz w:val="23"/>
          <w:szCs w:val="23"/>
        </w:rPr>
        <w:t>T</w:t>
      </w:r>
      <w:r w:rsidR="00F00E3D" w:rsidRPr="006C7520">
        <w:rPr>
          <w:rFonts w:asciiTheme="majorHAnsi" w:hAnsiTheme="majorHAnsi"/>
          <w:sz w:val="23"/>
          <w:szCs w:val="23"/>
        </w:rPr>
        <w:t xml:space="preserve">he </w:t>
      </w:r>
      <w:r>
        <w:rPr>
          <w:rFonts w:asciiTheme="majorHAnsi" w:hAnsiTheme="majorHAnsi"/>
          <w:sz w:val="23"/>
          <w:szCs w:val="23"/>
        </w:rPr>
        <w:t xml:space="preserve">2019 </w:t>
      </w:r>
      <w:r w:rsidR="00F00E3D" w:rsidRPr="006C7520">
        <w:rPr>
          <w:rFonts w:asciiTheme="majorHAnsi" w:hAnsiTheme="majorHAnsi"/>
          <w:sz w:val="23"/>
          <w:szCs w:val="23"/>
        </w:rPr>
        <w:t xml:space="preserve">Detroit City of Design Competition </w:t>
      </w:r>
      <w:r>
        <w:rPr>
          <w:rFonts w:asciiTheme="majorHAnsi" w:hAnsiTheme="majorHAnsi"/>
          <w:sz w:val="23"/>
          <w:szCs w:val="23"/>
        </w:rPr>
        <w:t>wa</w:t>
      </w:r>
      <w:r w:rsidR="00F00E3D" w:rsidRPr="006C7520">
        <w:rPr>
          <w:rFonts w:asciiTheme="majorHAnsi" w:hAnsiTheme="majorHAnsi"/>
          <w:sz w:val="23"/>
          <w:szCs w:val="23"/>
        </w:rPr>
        <w:t xml:space="preserve">s an international contest </w:t>
      </w:r>
      <w:r>
        <w:rPr>
          <w:rFonts w:asciiTheme="majorHAnsi" w:hAnsiTheme="majorHAnsi"/>
          <w:sz w:val="23"/>
          <w:szCs w:val="23"/>
        </w:rPr>
        <w:t>seeking to</w:t>
      </w:r>
      <w:r w:rsidR="00F00E3D" w:rsidRPr="006C7520">
        <w:rPr>
          <w:rFonts w:asciiTheme="majorHAnsi" w:hAnsiTheme="majorHAnsi"/>
          <w:sz w:val="23"/>
          <w:szCs w:val="23"/>
        </w:rPr>
        <w:t xml:space="preserve"> address safety and walkability in three Detroit neighbourhoods. Design teams from UNESCO Cities of Design were invited to propose and test innovative solutions to help residents move around freely and safely. </w:t>
      </w:r>
    </w:p>
    <w:p w14:paraId="62BE3AD7" w14:textId="2FCCD8FD" w:rsidR="00F00E3D" w:rsidRPr="006C7520" w:rsidRDefault="00F00E3D" w:rsidP="009B2FA7">
      <w:pPr>
        <w:spacing w:line="276" w:lineRule="auto"/>
        <w:rPr>
          <w:rFonts w:asciiTheme="majorHAnsi" w:hAnsiTheme="majorHAnsi"/>
          <w:sz w:val="23"/>
          <w:szCs w:val="23"/>
        </w:rPr>
      </w:pPr>
      <w:r w:rsidRPr="006C7520">
        <w:rPr>
          <w:rFonts w:asciiTheme="majorHAnsi" w:hAnsiTheme="majorHAnsi"/>
          <w:sz w:val="23"/>
          <w:szCs w:val="23"/>
        </w:rPr>
        <w:t>From 26 submissions, three winners were selected (two Detroit</w:t>
      </w:r>
      <w:r w:rsidR="0018762E">
        <w:rPr>
          <w:rFonts w:asciiTheme="majorHAnsi" w:hAnsiTheme="majorHAnsi"/>
          <w:sz w:val="23"/>
          <w:szCs w:val="23"/>
        </w:rPr>
        <w:t xml:space="preserve"> teams</w:t>
      </w:r>
      <w:r w:rsidRPr="006C7520">
        <w:rPr>
          <w:rFonts w:asciiTheme="majorHAnsi" w:hAnsiTheme="majorHAnsi"/>
          <w:sz w:val="23"/>
          <w:szCs w:val="23"/>
        </w:rPr>
        <w:t xml:space="preserve">, one Canadian). A jury of community </w:t>
      </w:r>
      <w:r w:rsidR="0018762E">
        <w:rPr>
          <w:rFonts w:asciiTheme="majorHAnsi" w:hAnsiTheme="majorHAnsi"/>
          <w:sz w:val="23"/>
          <w:szCs w:val="23"/>
        </w:rPr>
        <w:t>members</w:t>
      </w:r>
      <w:r w:rsidRPr="006C7520">
        <w:rPr>
          <w:rFonts w:asciiTheme="majorHAnsi" w:hAnsiTheme="majorHAnsi"/>
          <w:sz w:val="23"/>
          <w:szCs w:val="23"/>
        </w:rPr>
        <w:t xml:space="preserve"> and design experts evaluated submissions on creative merit, appropriateness to location, and value for cost. </w:t>
      </w:r>
      <w:r w:rsidR="00C56C85">
        <w:rPr>
          <w:rFonts w:asciiTheme="majorHAnsi" w:hAnsiTheme="majorHAnsi"/>
          <w:sz w:val="23"/>
          <w:szCs w:val="23"/>
        </w:rPr>
        <w:t>The contest</w:t>
      </w:r>
      <w:r w:rsidRPr="006C7520">
        <w:rPr>
          <w:rFonts w:asciiTheme="majorHAnsi" w:hAnsiTheme="majorHAnsi"/>
          <w:sz w:val="23"/>
          <w:szCs w:val="23"/>
        </w:rPr>
        <w:t xml:space="preserve"> </w:t>
      </w:r>
      <w:r w:rsidR="00C56C85">
        <w:rPr>
          <w:rFonts w:asciiTheme="majorHAnsi" w:hAnsiTheme="majorHAnsi"/>
          <w:sz w:val="23"/>
          <w:szCs w:val="23"/>
        </w:rPr>
        <w:t>wa</w:t>
      </w:r>
      <w:r w:rsidRPr="006C7520">
        <w:rPr>
          <w:rFonts w:asciiTheme="majorHAnsi" w:hAnsiTheme="majorHAnsi"/>
          <w:sz w:val="23"/>
          <w:szCs w:val="23"/>
        </w:rPr>
        <w:t xml:space="preserve">s run by Design Core Detroit, which leads the local UNESCO designation, supported by </w:t>
      </w:r>
      <w:r w:rsidR="0018762E">
        <w:rPr>
          <w:rFonts w:asciiTheme="majorHAnsi" w:hAnsiTheme="majorHAnsi"/>
          <w:sz w:val="23"/>
          <w:szCs w:val="23"/>
        </w:rPr>
        <w:t>a philanthropic grant</w:t>
      </w:r>
      <w:r w:rsidRPr="006C7520">
        <w:rPr>
          <w:rFonts w:asciiTheme="majorHAnsi" w:hAnsiTheme="majorHAnsi"/>
          <w:sz w:val="23"/>
          <w:szCs w:val="23"/>
        </w:rPr>
        <w:t>.</w:t>
      </w:r>
      <w:r w:rsidR="00D82753">
        <w:rPr>
          <w:rFonts w:asciiTheme="majorHAnsi" w:hAnsiTheme="majorHAnsi"/>
          <w:sz w:val="23"/>
          <w:szCs w:val="23"/>
        </w:rPr>
        <w:t xml:space="preserve"> The winning designs </w:t>
      </w:r>
      <w:r w:rsidR="00191820">
        <w:rPr>
          <w:rFonts w:asciiTheme="majorHAnsi" w:hAnsiTheme="majorHAnsi"/>
          <w:sz w:val="23"/>
          <w:szCs w:val="23"/>
        </w:rPr>
        <w:t xml:space="preserve">and their target localities </w:t>
      </w:r>
      <w:r w:rsidR="00D82753">
        <w:rPr>
          <w:rFonts w:asciiTheme="majorHAnsi" w:hAnsiTheme="majorHAnsi"/>
          <w:sz w:val="23"/>
          <w:szCs w:val="23"/>
        </w:rPr>
        <w:t>were:</w:t>
      </w:r>
    </w:p>
    <w:p w14:paraId="6D659CFE" w14:textId="07D135D4" w:rsidR="00F00E3D" w:rsidRPr="006C7520" w:rsidRDefault="00F00E3D" w:rsidP="00364C5D">
      <w:pPr>
        <w:numPr>
          <w:ilvl w:val="0"/>
          <w:numId w:val="25"/>
        </w:numPr>
        <w:spacing w:after="0" w:line="276" w:lineRule="auto"/>
        <w:contextualSpacing/>
        <w:rPr>
          <w:rFonts w:asciiTheme="majorHAnsi" w:eastAsia="Times New Roman" w:hAnsiTheme="majorHAnsi" w:cs="Times New Roman"/>
          <w:sz w:val="23"/>
          <w:szCs w:val="23"/>
          <w:lang w:eastAsia="en-AU"/>
        </w:rPr>
      </w:pPr>
      <w:proofErr w:type="spellStart"/>
      <w:r w:rsidRPr="701B9583">
        <w:rPr>
          <w:rFonts w:eastAsiaTheme="minorEastAsia"/>
          <w:b/>
          <w:sz w:val="23"/>
          <w:szCs w:val="23"/>
          <w:lang w:eastAsia="en-AU"/>
        </w:rPr>
        <w:t>Grandmont</w:t>
      </w:r>
      <w:proofErr w:type="spellEnd"/>
      <w:r w:rsidRPr="701B9583">
        <w:rPr>
          <w:rFonts w:eastAsiaTheme="minorEastAsia"/>
          <w:b/>
          <w:sz w:val="23"/>
          <w:szCs w:val="23"/>
          <w:lang w:eastAsia="en-AU"/>
        </w:rPr>
        <w:t xml:space="preserve"> Rosedal</w:t>
      </w:r>
      <w:r w:rsidRPr="27ED1008">
        <w:rPr>
          <w:rFonts w:asciiTheme="majorHAnsi" w:eastAsia="Times New Roman" w:hAnsiTheme="majorHAnsi" w:cs="Times New Roman"/>
          <w:b/>
          <w:bCs/>
          <w:sz w:val="23"/>
          <w:szCs w:val="23"/>
          <w:lang w:eastAsia="en-AU"/>
        </w:rPr>
        <w:t xml:space="preserve">e </w:t>
      </w:r>
      <w:r w:rsidRPr="27ED1008">
        <w:rPr>
          <w:rFonts w:asciiTheme="majorHAnsi" w:eastAsia="Times New Roman" w:hAnsiTheme="majorHAnsi" w:cs="Times New Roman"/>
          <w:sz w:val="23"/>
          <w:szCs w:val="23"/>
          <w:lang w:eastAsia="en-AU"/>
        </w:rPr>
        <w:t xml:space="preserve">(pop. 15,000) is a relatively prosperous area with five distinct neighbourhoods. </w:t>
      </w:r>
      <w:r w:rsidRPr="701B9583">
        <w:rPr>
          <w:rFonts w:eastAsiaTheme="minorEastAsia"/>
          <w:b/>
          <w:sz w:val="23"/>
          <w:szCs w:val="23"/>
          <w:lang w:eastAsia="en-AU"/>
        </w:rPr>
        <w:t>3 Rooms</w:t>
      </w:r>
      <w:r w:rsidRPr="701B9583">
        <w:rPr>
          <w:rFonts w:eastAsiaTheme="minorEastAsia"/>
          <w:sz w:val="23"/>
          <w:szCs w:val="23"/>
          <w:lang w:eastAsia="en-AU"/>
        </w:rPr>
        <w:t xml:space="preserve"> </w:t>
      </w:r>
      <w:r w:rsidRPr="27ED1008">
        <w:rPr>
          <w:rFonts w:asciiTheme="majorHAnsi" w:eastAsia="Times New Roman" w:hAnsiTheme="majorHAnsi" w:cs="Times New Roman"/>
          <w:sz w:val="23"/>
          <w:szCs w:val="23"/>
          <w:lang w:eastAsia="en-AU"/>
        </w:rPr>
        <w:t xml:space="preserve">(by </w:t>
      </w:r>
      <w:proofErr w:type="spellStart"/>
      <w:r w:rsidRPr="27ED1008">
        <w:rPr>
          <w:rFonts w:asciiTheme="majorHAnsi" w:eastAsia="Times New Roman" w:hAnsiTheme="majorHAnsi" w:cs="Times New Roman"/>
          <w:sz w:val="23"/>
          <w:szCs w:val="23"/>
          <w:lang w:eastAsia="en-AU"/>
        </w:rPr>
        <w:t>Collectif</w:t>
      </w:r>
      <w:proofErr w:type="spellEnd"/>
      <w:r w:rsidRPr="27ED1008">
        <w:rPr>
          <w:rFonts w:asciiTheme="majorHAnsi" w:eastAsia="Times New Roman" w:hAnsiTheme="majorHAnsi" w:cs="Times New Roman"/>
          <w:sz w:val="23"/>
          <w:szCs w:val="23"/>
          <w:lang w:eastAsia="en-AU"/>
        </w:rPr>
        <w:t xml:space="preserve"> </w:t>
      </w:r>
      <w:proofErr w:type="spellStart"/>
      <w:r w:rsidRPr="27ED1008">
        <w:rPr>
          <w:rFonts w:asciiTheme="majorHAnsi" w:eastAsia="Times New Roman" w:hAnsiTheme="majorHAnsi" w:cs="Times New Roman"/>
          <w:sz w:val="23"/>
          <w:szCs w:val="23"/>
          <w:lang w:eastAsia="en-AU"/>
        </w:rPr>
        <w:t>Escargo</w:t>
      </w:r>
      <w:proofErr w:type="spellEnd"/>
      <w:r w:rsidRPr="27ED1008">
        <w:rPr>
          <w:rFonts w:asciiTheme="majorHAnsi" w:eastAsia="Times New Roman" w:hAnsiTheme="majorHAnsi" w:cs="Times New Roman"/>
          <w:sz w:val="23"/>
          <w:szCs w:val="23"/>
          <w:lang w:eastAsia="en-AU"/>
        </w:rPr>
        <w:t>) seeks to convey belonging and celebrate communit</w:t>
      </w:r>
      <w:r w:rsidR="004A20DE">
        <w:rPr>
          <w:rFonts w:asciiTheme="majorHAnsi" w:eastAsia="Times New Roman" w:hAnsiTheme="majorHAnsi" w:cs="Times New Roman"/>
          <w:sz w:val="23"/>
          <w:szCs w:val="23"/>
          <w:lang w:eastAsia="en-AU"/>
        </w:rPr>
        <w:t>y unity</w:t>
      </w:r>
      <w:r w:rsidRPr="27ED1008">
        <w:rPr>
          <w:rFonts w:asciiTheme="majorHAnsi" w:eastAsia="Times New Roman" w:hAnsiTheme="majorHAnsi" w:cs="Times New Roman"/>
          <w:sz w:val="23"/>
          <w:szCs w:val="23"/>
          <w:lang w:eastAsia="en-AU"/>
        </w:rPr>
        <w:t xml:space="preserve">. “The Jardin” room invites residents to participate in agriculture; ‘’Le Boudoir’’ is for napping, reading, and resting under fruit trees; “The Hut” is a playful space with a steep incline. The rooms glow softly at night, functioning as </w:t>
      </w:r>
      <w:r w:rsidR="00507BB0">
        <w:rPr>
          <w:rFonts w:asciiTheme="majorHAnsi" w:eastAsia="Times New Roman" w:hAnsiTheme="majorHAnsi" w:cs="Times New Roman"/>
          <w:sz w:val="23"/>
          <w:szCs w:val="23"/>
          <w:lang w:eastAsia="en-AU"/>
        </w:rPr>
        <w:t xml:space="preserve">a </w:t>
      </w:r>
      <w:r w:rsidRPr="27ED1008">
        <w:rPr>
          <w:rFonts w:asciiTheme="majorHAnsi" w:eastAsia="Times New Roman" w:hAnsiTheme="majorHAnsi" w:cs="Times New Roman"/>
          <w:sz w:val="23"/>
          <w:szCs w:val="23"/>
          <w:lang w:eastAsia="en-AU"/>
        </w:rPr>
        <w:t xml:space="preserve">colourful neighbourhood fireplace and </w:t>
      </w:r>
      <w:r w:rsidR="00507BB0">
        <w:rPr>
          <w:rFonts w:asciiTheme="majorHAnsi" w:eastAsia="Times New Roman" w:hAnsiTheme="majorHAnsi" w:cs="Times New Roman"/>
          <w:sz w:val="23"/>
          <w:szCs w:val="23"/>
          <w:lang w:eastAsia="en-AU"/>
        </w:rPr>
        <w:t>a safe haven</w:t>
      </w:r>
      <w:r w:rsidRPr="27ED1008">
        <w:rPr>
          <w:rFonts w:asciiTheme="majorHAnsi" w:eastAsia="Times New Roman" w:hAnsiTheme="majorHAnsi" w:cs="Times New Roman"/>
          <w:sz w:val="23"/>
          <w:szCs w:val="23"/>
          <w:lang w:eastAsia="en-AU"/>
        </w:rPr>
        <w:t xml:space="preserve"> for improvised gatherings</w:t>
      </w:r>
      <w:r w:rsidR="00507BB0">
        <w:rPr>
          <w:rFonts w:asciiTheme="majorHAnsi" w:eastAsia="Times New Roman" w:hAnsiTheme="majorHAnsi" w:cs="Times New Roman"/>
          <w:sz w:val="23"/>
          <w:szCs w:val="23"/>
          <w:lang w:eastAsia="en-AU"/>
        </w:rPr>
        <w:t>.</w:t>
      </w:r>
    </w:p>
    <w:p w14:paraId="6E44A7A5" w14:textId="77777777" w:rsidR="00F00E3D" w:rsidRPr="006C7520" w:rsidRDefault="00F00E3D" w:rsidP="00364C5D">
      <w:pPr>
        <w:numPr>
          <w:ilvl w:val="0"/>
          <w:numId w:val="25"/>
        </w:numPr>
        <w:spacing w:after="0" w:line="276" w:lineRule="auto"/>
        <w:rPr>
          <w:rFonts w:asciiTheme="majorHAnsi" w:eastAsia="Times New Roman" w:hAnsiTheme="majorHAnsi" w:cs="Times New Roman"/>
          <w:sz w:val="23"/>
          <w:szCs w:val="23"/>
          <w:lang w:eastAsia="en-AU"/>
        </w:rPr>
      </w:pPr>
      <w:r w:rsidRPr="701B9583">
        <w:rPr>
          <w:rFonts w:eastAsiaTheme="minorEastAsia"/>
          <w:b/>
          <w:sz w:val="23"/>
          <w:szCs w:val="23"/>
          <w:lang w:eastAsia="en-AU"/>
        </w:rPr>
        <w:t xml:space="preserve">Southwest Detroit </w:t>
      </w:r>
      <w:r w:rsidRPr="27ED1008">
        <w:rPr>
          <w:rFonts w:asciiTheme="majorHAnsi" w:eastAsia="Times New Roman" w:hAnsiTheme="majorHAnsi" w:cs="Times New Roman"/>
          <w:sz w:val="23"/>
          <w:szCs w:val="23"/>
          <w:lang w:eastAsia="en-AU"/>
        </w:rPr>
        <w:t>(pop. 17,000) is one of the city’s most culturally and ethnically diverse areas. A hub for Hispanic and Latino communities, it also includes some of the city’s busiest business districts.</w:t>
      </w:r>
      <w:r w:rsidRPr="27ED1008">
        <w:rPr>
          <w:rFonts w:asciiTheme="majorHAnsi" w:eastAsia="Times New Roman" w:hAnsiTheme="majorHAnsi" w:cs="Times New Roman"/>
          <w:b/>
          <w:bCs/>
          <w:sz w:val="23"/>
          <w:szCs w:val="23"/>
          <w:lang w:eastAsia="en-AU"/>
        </w:rPr>
        <w:t xml:space="preserve"> </w:t>
      </w:r>
      <w:r w:rsidRPr="701B9583">
        <w:rPr>
          <w:rFonts w:eastAsiaTheme="minorEastAsia"/>
          <w:b/>
          <w:sz w:val="23"/>
          <w:szCs w:val="23"/>
          <w:lang w:eastAsia="en-AU"/>
        </w:rPr>
        <w:t>Garden Novella</w:t>
      </w:r>
      <w:r w:rsidRPr="27ED1008">
        <w:rPr>
          <w:rFonts w:asciiTheme="majorHAnsi" w:eastAsia="Times New Roman" w:hAnsiTheme="majorHAnsi" w:cs="Times New Roman"/>
          <w:b/>
          <w:bCs/>
          <w:sz w:val="23"/>
          <w:szCs w:val="23"/>
          <w:lang w:eastAsia="en-AU"/>
        </w:rPr>
        <w:t> </w:t>
      </w:r>
      <w:r w:rsidRPr="27ED1008">
        <w:rPr>
          <w:rFonts w:asciiTheme="majorHAnsi" w:eastAsia="Times New Roman" w:hAnsiTheme="majorHAnsi" w:cs="Times New Roman"/>
          <w:sz w:val="23"/>
          <w:szCs w:val="23"/>
          <w:lang w:eastAsia="en-AU"/>
        </w:rPr>
        <w:t>(by Other Work) is an interactive platform to share cultural, collective, and personal identity. Residents’ recorded stories guide users through a series of welcoming vessels featuring sun-powered lanterns, hanging gardens, and seating. The audio stories aim to connect generations, repair the damage of the 1930s repatriations, and explore translation within a bilingual community.</w:t>
      </w:r>
    </w:p>
    <w:p w14:paraId="5AE04A05" w14:textId="7F304997" w:rsidR="00F00E3D" w:rsidRDefault="00F00E3D" w:rsidP="00364C5D">
      <w:pPr>
        <w:numPr>
          <w:ilvl w:val="0"/>
          <w:numId w:val="25"/>
        </w:numPr>
        <w:spacing w:after="0" w:line="276" w:lineRule="auto"/>
        <w:contextualSpacing/>
        <w:rPr>
          <w:rFonts w:asciiTheme="majorHAnsi" w:eastAsia="Times New Roman" w:hAnsiTheme="majorHAnsi" w:cs="Times New Roman"/>
          <w:sz w:val="23"/>
          <w:szCs w:val="23"/>
          <w:lang w:eastAsia="en-AU"/>
        </w:rPr>
      </w:pPr>
      <w:r w:rsidRPr="701B9583">
        <w:rPr>
          <w:rFonts w:eastAsiaTheme="minorEastAsia"/>
          <w:b/>
          <w:sz w:val="23"/>
          <w:szCs w:val="23"/>
          <w:lang w:eastAsia="en-AU"/>
        </w:rPr>
        <w:t>Hope Village</w:t>
      </w:r>
      <w:r w:rsidRPr="71C466D6">
        <w:rPr>
          <w:rFonts w:asciiTheme="majorHAnsi" w:eastAsia="Times New Roman" w:hAnsiTheme="majorHAnsi" w:cs="Times New Roman"/>
          <w:sz w:val="23"/>
          <w:szCs w:val="23"/>
          <w:lang w:eastAsia="en-AU"/>
        </w:rPr>
        <w:t xml:space="preserve"> (pop. 4100) has </w:t>
      </w:r>
      <w:r w:rsidR="0018762E">
        <w:rPr>
          <w:rFonts w:asciiTheme="majorHAnsi" w:eastAsia="Times New Roman" w:hAnsiTheme="majorHAnsi" w:cs="Times New Roman"/>
          <w:sz w:val="23"/>
          <w:szCs w:val="23"/>
          <w:lang w:eastAsia="en-AU"/>
        </w:rPr>
        <w:t xml:space="preserve">long been subject to </w:t>
      </w:r>
      <w:r w:rsidRPr="71C466D6">
        <w:rPr>
          <w:rFonts w:asciiTheme="majorHAnsi" w:eastAsia="Times New Roman" w:hAnsiTheme="majorHAnsi" w:cs="Times New Roman"/>
          <w:sz w:val="23"/>
          <w:szCs w:val="23"/>
          <w:lang w:eastAsia="en-AU"/>
        </w:rPr>
        <w:t>“white flight” and economic decline. Residents are 95 percent African American; one-fifth are aged below 18, and three-quarters of children live in single-parent households.</w:t>
      </w:r>
      <w:r w:rsidRPr="71C466D6">
        <w:rPr>
          <w:rFonts w:asciiTheme="majorHAnsi" w:eastAsia="Times New Roman" w:hAnsiTheme="majorHAnsi" w:cs="Times New Roman"/>
          <w:b/>
          <w:bCs/>
          <w:sz w:val="23"/>
          <w:szCs w:val="23"/>
          <w:lang w:eastAsia="en-AU"/>
        </w:rPr>
        <w:t xml:space="preserve"> </w:t>
      </w:r>
      <w:proofErr w:type="spellStart"/>
      <w:r w:rsidRPr="701B9583">
        <w:rPr>
          <w:rFonts w:eastAsiaTheme="minorEastAsia"/>
          <w:b/>
          <w:sz w:val="23"/>
          <w:szCs w:val="23"/>
          <w:lang w:eastAsia="en-AU"/>
        </w:rPr>
        <w:t>Cyclerate</w:t>
      </w:r>
      <w:proofErr w:type="spellEnd"/>
      <w:r w:rsidRPr="71C466D6">
        <w:rPr>
          <w:rFonts w:asciiTheme="majorHAnsi" w:eastAsia="Times New Roman" w:hAnsiTheme="majorHAnsi" w:cs="Times New Roman"/>
          <w:sz w:val="23"/>
          <w:szCs w:val="23"/>
          <w:lang w:eastAsia="en-AU"/>
        </w:rPr>
        <w:t xml:space="preserve"> (by Smith Group) </w:t>
      </w:r>
      <w:r w:rsidR="00A561DB">
        <w:rPr>
          <w:rFonts w:asciiTheme="majorHAnsi" w:eastAsia="Times New Roman" w:hAnsiTheme="majorHAnsi" w:cs="Times New Roman"/>
          <w:sz w:val="23"/>
          <w:szCs w:val="23"/>
          <w:lang w:eastAsia="en-AU"/>
        </w:rPr>
        <w:t xml:space="preserve">is an interactive installation that </w:t>
      </w:r>
      <w:r w:rsidR="0018762E">
        <w:rPr>
          <w:rFonts w:asciiTheme="majorHAnsi" w:eastAsia="Times New Roman" w:hAnsiTheme="majorHAnsi" w:cs="Times New Roman"/>
          <w:sz w:val="23"/>
          <w:szCs w:val="23"/>
          <w:lang w:eastAsia="en-AU"/>
        </w:rPr>
        <w:t>aim</w:t>
      </w:r>
      <w:r w:rsidRPr="71C466D6">
        <w:rPr>
          <w:rFonts w:asciiTheme="majorHAnsi" w:eastAsia="Times New Roman" w:hAnsiTheme="majorHAnsi" w:cs="Times New Roman"/>
          <w:sz w:val="23"/>
          <w:szCs w:val="23"/>
          <w:lang w:eastAsia="en-AU"/>
        </w:rPr>
        <w:t xml:space="preserve">s to enhance public safety </w:t>
      </w:r>
      <w:r w:rsidR="0018762E">
        <w:rPr>
          <w:rFonts w:asciiTheme="majorHAnsi" w:eastAsia="Times New Roman" w:hAnsiTheme="majorHAnsi" w:cs="Times New Roman"/>
          <w:sz w:val="23"/>
          <w:szCs w:val="23"/>
          <w:lang w:eastAsia="en-AU"/>
        </w:rPr>
        <w:t>via</w:t>
      </w:r>
      <w:r w:rsidRPr="71C466D6">
        <w:rPr>
          <w:rFonts w:asciiTheme="majorHAnsi" w:eastAsia="Times New Roman" w:hAnsiTheme="majorHAnsi" w:cs="Times New Roman"/>
          <w:sz w:val="23"/>
          <w:szCs w:val="23"/>
          <w:lang w:eastAsia="en-AU"/>
        </w:rPr>
        <w:t xml:space="preserve"> lighting, communication, unity, and play. Visitors use hand-powered cranks and stationary bikes to generate kinetic energy, </w:t>
      </w:r>
      <w:r w:rsidRPr="701B9583">
        <w:rPr>
          <w:rFonts w:asciiTheme="majorHAnsi" w:eastAsia="Times New Roman" w:hAnsiTheme="majorHAnsi" w:cs="Times New Roman"/>
          <w:sz w:val="23"/>
          <w:szCs w:val="23"/>
          <w:lang w:eastAsia="en-AU"/>
        </w:rPr>
        <w:t>light</w:t>
      </w:r>
      <w:r w:rsidR="6219AA0E" w:rsidRPr="701B9583">
        <w:rPr>
          <w:rFonts w:asciiTheme="majorHAnsi" w:eastAsia="Times New Roman" w:hAnsiTheme="majorHAnsi" w:cs="Times New Roman"/>
          <w:sz w:val="23"/>
          <w:szCs w:val="23"/>
          <w:lang w:eastAsia="en-AU"/>
        </w:rPr>
        <w:t>ing</w:t>
      </w:r>
      <w:r w:rsidRPr="71C466D6">
        <w:rPr>
          <w:rFonts w:asciiTheme="majorHAnsi" w:eastAsia="Times New Roman" w:hAnsiTheme="majorHAnsi" w:cs="Times New Roman"/>
          <w:sz w:val="23"/>
          <w:szCs w:val="23"/>
          <w:lang w:eastAsia="en-AU"/>
        </w:rPr>
        <w:t xml:space="preserve"> up the installation</w:t>
      </w:r>
      <w:r w:rsidR="2B00A805" w:rsidRPr="701B9583">
        <w:rPr>
          <w:rFonts w:asciiTheme="majorHAnsi" w:eastAsia="Times New Roman" w:hAnsiTheme="majorHAnsi" w:cs="Times New Roman"/>
          <w:sz w:val="23"/>
          <w:szCs w:val="23"/>
          <w:lang w:eastAsia="en-AU"/>
        </w:rPr>
        <w:t>, and</w:t>
      </w:r>
      <w:r w:rsidR="0018762E" w:rsidRPr="701B9583">
        <w:rPr>
          <w:rFonts w:asciiTheme="majorHAnsi" w:eastAsia="Times New Roman" w:hAnsiTheme="majorHAnsi" w:cs="Times New Roman"/>
          <w:sz w:val="23"/>
          <w:szCs w:val="23"/>
          <w:lang w:eastAsia="en-AU"/>
        </w:rPr>
        <w:t xml:space="preserve"> can</w:t>
      </w:r>
      <w:r w:rsidRPr="71C466D6">
        <w:rPr>
          <w:rFonts w:asciiTheme="majorHAnsi" w:eastAsia="Times New Roman" w:hAnsiTheme="majorHAnsi" w:cs="Times New Roman"/>
          <w:sz w:val="23"/>
          <w:szCs w:val="23"/>
          <w:lang w:eastAsia="en-AU"/>
        </w:rPr>
        <w:t xml:space="preserve"> </w:t>
      </w:r>
      <w:r w:rsidR="0018762E">
        <w:rPr>
          <w:rFonts w:asciiTheme="majorHAnsi" w:eastAsia="Times New Roman" w:hAnsiTheme="majorHAnsi" w:cs="Times New Roman"/>
          <w:sz w:val="23"/>
          <w:szCs w:val="23"/>
          <w:lang w:eastAsia="en-AU"/>
        </w:rPr>
        <w:t xml:space="preserve">compete </w:t>
      </w:r>
      <w:r w:rsidRPr="71C466D6">
        <w:rPr>
          <w:rFonts w:asciiTheme="majorHAnsi" w:eastAsia="Times New Roman" w:hAnsiTheme="majorHAnsi" w:cs="Times New Roman"/>
          <w:sz w:val="23"/>
          <w:szCs w:val="23"/>
          <w:lang w:eastAsia="en-AU"/>
        </w:rPr>
        <w:t xml:space="preserve">to produce electricity, </w:t>
      </w:r>
      <w:r w:rsidR="0018762E">
        <w:rPr>
          <w:rFonts w:asciiTheme="majorHAnsi" w:eastAsia="Times New Roman" w:hAnsiTheme="majorHAnsi" w:cs="Times New Roman"/>
          <w:sz w:val="23"/>
          <w:szCs w:val="23"/>
          <w:lang w:eastAsia="en-AU"/>
        </w:rPr>
        <w:t>viewing</w:t>
      </w:r>
      <w:r w:rsidRPr="71C466D6">
        <w:rPr>
          <w:rFonts w:asciiTheme="majorHAnsi" w:eastAsia="Times New Roman" w:hAnsiTheme="majorHAnsi" w:cs="Times New Roman"/>
          <w:sz w:val="23"/>
          <w:szCs w:val="23"/>
          <w:lang w:eastAsia="en-AU"/>
        </w:rPr>
        <w:t xml:space="preserve"> real-time outputs. Featuring LED lighting, Bluetooth speakers, and USB charging stations, the installation can be scaled up.</w:t>
      </w:r>
    </w:p>
    <w:p w14:paraId="69847D00" w14:textId="77777777" w:rsidR="00F00E3D" w:rsidRPr="00D13A25" w:rsidRDefault="00F00E3D" w:rsidP="009B2FA7">
      <w:pPr>
        <w:spacing w:after="0" w:line="276" w:lineRule="auto"/>
        <w:contextualSpacing/>
        <w:rPr>
          <w:rFonts w:asciiTheme="majorHAnsi" w:eastAsia="Times New Roman" w:hAnsiTheme="majorHAnsi" w:cs="Times New Roman"/>
          <w:sz w:val="16"/>
          <w:szCs w:val="16"/>
          <w:lang w:eastAsia="en-AU"/>
        </w:rPr>
      </w:pPr>
    </w:p>
    <w:p w14:paraId="7D678025" w14:textId="06AC0308" w:rsidR="0018762E" w:rsidRDefault="00D82753" w:rsidP="0018762E">
      <w:pPr>
        <w:spacing w:line="276" w:lineRule="auto"/>
        <w:rPr>
          <w:rFonts w:asciiTheme="majorHAnsi" w:hAnsiTheme="majorHAnsi"/>
          <w:sz w:val="23"/>
          <w:szCs w:val="23"/>
        </w:rPr>
      </w:pPr>
      <w:r w:rsidRPr="006C7520">
        <w:rPr>
          <w:rFonts w:asciiTheme="majorHAnsi" w:hAnsiTheme="majorHAnsi"/>
          <w:sz w:val="23"/>
          <w:szCs w:val="23"/>
        </w:rPr>
        <w:t xml:space="preserve">Winning prototypes were revealed to an audience of 40,000 at Detroit’s Month of Design in September 2019. The plan was to install them in target neighbourhoods in April–July 2020 and gather resident feedback. Community organisations were assigned as local partners, and teams </w:t>
      </w:r>
      <w:r>
        <w:rPr>
          <w:rFonts w:asciiTheme="majorHAnsi" w:hAnsiTheme="majorHAnsi"/>
          <w:sz w:val="23"/>
          <w:szCs w:val="23"/>
        </w:rPr>
        <w:t>were given</w:t>
      </w:r>
      <w:r w:rsidRPr="006C7520">
        <w:rPr>
          <w:rFonts w:asciiTheme="majorHAnsi" w:hAnsiTheme="majorHAnsi"/>
          <w:sz w:val="23"/>
          <w:szCs w:val="23"/>
        </w:rPr>
        <w:t xml:space="preserve"> $20,000 to design and implement the prototype.</w:t>
      </w:r>
      <w:r w:rsidR="0018762E">
        <w:rPr>
          <w:rFonts w:asciiTheme="majorHAnsi" w:hAnsiTheme="majorHAnsi"/>
          <w:sz w:val="23"/>
          <w:szCs w:val="23"/>
        </w:rPr>
        <w:t xml:space="preserve"> But in</w:t>
      </w:r>
      <w:r w:rsidR="00F00E3D" w:rsidRPr="47C6F23B">
        <w:rPr>
          <w:rFonts w:asciiTheme="majorHAnsi" w:hAnsiTheme="majorHAnsi"/>
          <w:sz w:val="23"/>
          <w:szCs w:val="23"/>
        </w:rPr>
        <w:t xml:space="preserve"> March 2020</w:t>
      </w:r>
      <w:r w:rsidR="00F00E3D">
        <w:rPr>
          <w:rFonts w:asciiTheme="majorHAnsi" w:hAnsiTheme="majorHAnsi"/>
          <w:sz w:val="23"/>
          <w:szCs w:val="23"/>
        </w:rPr>
        <w:t>,</w:t>
      </w:r>
      <w:r w:rsidR="00F00E3D" w:rsidRPr="00D43A39">
        <w:rPr>
          <w:rFonts w:asciiTheme="majorHAnsi" w:hAnsiTheme="majorHAnsi"/>
          <w:sz w:val="23"/>
          <w:szCs w:val="23"/>
        </w:rPr>
        <w:t xml:space="preserve"> </w:t>
      </w:r>
      <w:r w:rsidR="00940D80">
        <w:rPr>
          <w:rFonts w:asciiTheme="majorHAnsi" w:hAnsiTheme="majorHAnsi"/>
          <w:sz w:val="23"/>
          <w:szCs w:val="23"/>
        </w:rPr>
        <w:t>COVID</w:t>
      </w:r>
      <w:r w:rsidR="00F00E3D" w:rsidRPr="47C6F23B">
        <w:rPr>
          <w:rFonts w:asciiTheme="majorHAnsi" w:hAnsiTheme="majorHAnsi"/>
          <w:sz w:val="23"/>
          <w:szCs w:val="23"/>
        </w:rPr>
        <w:t>-19 hit Detroit. Schools and businesses closed</w:t>
      </w:r>
      <w:r w:rsidR="00F00E3D">
        <w:rPr>
          <w:rFonts w:asciiTheme="majorHAnsi" w:hAnsiTheme="majorHAnsi"/>
          <w:sz w:val="23"/>
          <w:szCs w:val="23"/>
        </w:rPr>
        <w:t>,</w:t>
      </w:r>
      <w:r w:rsidR="00F00E3D" w:rsidRPr="47C6F23B">
        <w:rPr>
          <w:rFonts w:asciiTheme="majorHAnsi" w:hAnsiTheme="majorHAnsi"/>
          <w:sz w:val="23"/>
          <w:szCs w:val="23"/>
        </w:rPr>
        <w:t xml:space="preserve"> and stay-at-home orders issued (Haddad, 2020). </w:t>
      </w:r>
      <w:r w:rsidR="00F00E3D">
        <w:rPr>
          <w:rFonts w:asciiTheme="majorHAnsi" w:hAnsiTheme="majorHAnsi"/>
          <w:sz w:val="23"/>
          <w:szCs w:val="23"/>
        </w:rPr>
        <w:t>T</w:t>
      </w:r>
      <w:r w:rsidR="00F00E3D" w:rsidRPr="47C6F23B">
        <w:rPr>
          <w:rFonts w:asciiTheme="majorHAnsi" w:hAnsiTheme="majorHAnsi"/>
          <w:sz w:val="23"/>
          <w:szCs w:val="23"/>
        </w:rPr>
        <w:t>he winning prototypes were not instal</w:t>
      </w:r>
      <w:r w:rsidR="00F00E3D">
        <w:rPr>
          <w:rFonts w:asciiTheme="majorHAnsi" w:hAnsiTheme="majorHAnsi"/>
          <w:sz w:val="23"/>
          <w:szCs w:val="23"/>
        </w:rPr>
        <w:t>l</w:t>
      </w:r>
      <w:r w:rsidR="00F00E3D" w:rsidRPr="47C6F23B">
        <w:rPr>
          <w:rFonts w:asciiTheme="majorHAnsi" w:hAnsiTheme="majorHAnsi"/>
          <w:sz w:val="23"/>
          <w:szCs w:val="23"/>
        </w:rPr>
        <w:t>ed</w:t>
      </w:r>
      <w:r w:rsidR="00F00E3D">
        <w:rPr>
          <w:rFonts w:asciiTheme="majorHAnsi" w:hAnsiTheme="majorHAnsi"/>
          <w:sz w:val="23"/>
          <w:szCs w:val="23"/>
        </w:rPr>
        <w:t>,</w:t>
      </w:r>
      <w:r w:rsidR="00F00E3D" w:rsidRPr="47C6F23B">
        <w:rPr>
          <w:rFonts w:asciiTheme="majorHAnsi" w:hAnsiTheme="majorHAnsi"/>
          <w:sz w:val="23"/>
          <w:szCs w:val="23"/>
        </w:rPr>
        <w:t xml:space="preserve"> and the 2020 competition did not run.</w:t>
      </w:r>
      <w:r w:rsidR="0018762E">
        <w:rPr>
          <w:rFonts w:asciiTheme="majorHAnsi" w:hAnsiTheme="majorHAnsi"/>
          <w:sz w:val="23"/>
          <w:szCs w:val="23"/>
        </w:rPr>
        <w:br w:type="page"/>
      </w:r>
    </w:p>
    <w:p w14:paraId="6D348987" w14:textId="77777777" w:rsidR="00F00E3D" w:rsidRPr="00EA6BD1" w:rsidRDefault="00F00E3D" w:rsidP="009B2FA7">
      <w:pPr>
        <w:spacing w:after="0" w:line="276" w:lineRule="auto"/>
        <w:rPr>
          <w:b/>
          <w:bCs/>
          <w:color w:val="2F5496" w:themeColor="accent1" w:themeShade="BF"/>
          <w:sz w:val="25"/>
          <w:szCs w:val="25"/>
        </w:rPr>
      </w:pPr>
      <w:r>
        <w:rPr>
          <w:b/>
          <w:bCs/>
          <w:color w:val="2F5496" w:themeColor="accent1" w:themeShade="BF"/>
          <w:sz w:val="25"/>
          <w:szCs w:val="25"/>
        </w:rPr>
        <w:lastRenderedPageBreak/>
        <w:t>Canada</w:t>
      </w:r>
    </w:p>
    <w:p w14:paraId="138CFF80" w14:textId="77777777" w:rsidR="00F00E3D" w:rsidRPr="00CB0FD2" w:rsidRDefault="00F00E3D" w:rsidP="009B2FA7">
      <w:pPr>
        <w:spacing w:after="0" w:line="276" w:lineRule="auto"/>
        <w:rPr>
          <w:rFonts w:asciiTheme="majorHAnsi" w:hAnsiTheme="majorHAnsi" w:cstheme="majorHAnsi"/>
          <w:sz w:val="16"/>
          <w:szCs w:val="16"/>
        </w:rPr>
      </w:pPr>
    </w:p>
    <w:p w14:paraId="233283EE" w14:textId="378F958B" w:rsidR="00F00E3D" w:rsidRPr="003C5947" w:rsidRDefault="00F00E3D" w:rsidP="009B2FA7">
      <w:pPr>
        <w:spacing w:after="0" w:line="276" w:lineRule="auto"/>
        <w:rPr>
          <w:b/>
          <w:bCs/>
          <w:sz w:val="25"/>
          <w:szCs w:val="25"/>
        </w:rPr>
      </w:pPr>
      <w:bookmarkStart w:id="72" w:name="_Hlk70864234"/>
      <w:r w:rsidRPr="47C6F23B">
        <w:rPr>
          <w:b/>
          <w:bCs/>
          <w:sz w:val="25"/>
          <w:szCs w:val="25"/>
        </w:rPr>
        <w:t xml:space="preserve">Festival of Neighbourhoods: Urban </w:t>
      </w:r>
      <w:r w:rsidR="00EC683F" w:rsidRPr="47C6F23B">
        <w:rPr>
          <w:b/>
          <w:bCs/>
          <w:sz w:val="25"/>
          <w:szCs w:val="25"/>
        </w:rPr>
        <w:t xml:space="preserve">Regeneration Through </w:t>
      </w:r>
      <w:r w:rsidR="00EC683F">
        <w:rPr>
          <w:b/>
          <w:bCs/>
          <w:sz w:val="25"/>
          <w:szCs w:val="25"/>
        </w:rPr>
        <w:t>Neighbourhood</w:t>
      </w:r>
      <w:r w:rsidR="00EC683F" w:rsidRPr="47C6F23B">
        <w:rPr>
          <w:b/>
          <w:bCs/>
          <w:sz w:val="25"/>
          <w:szCs w:val="25"/>
        </w:rPr>
        <w:t xml:space="preserve"> Collaboration</w:t>
      </w:r>
    </w:p>
    <w:p w14:paraId="63FBFE4D" w14:textId="77777777" w:rsidR="00F00E3D" w:rsidRDefault="00F00E3D" w:rsidP="009B2FA7">
      <w:pPr>
        <w:spacing w:after="0" w:line="276" w:lineRule="auto"/>
        <w:rPr>
          <w:b/>
          <w:bCs/>
          <w:sz w:val="23"/>
          <w:szCs w:val="23"/>
        </w:rPr>
      </w:pPr>
      <w:r w:rsidRPr="0080793A">
        <w:rPr>
          <w:b/>
          <w:bCs/>
          <w:sz w:val="23"/>
          <w:szCs w:val="23"/>
        </w:rPr>
        <w:t>Kitchener,</w:t>
      </w:r>
      <w:r>
        <w:rPr>
          <w:b/>
          <w:bCs/>
          <w:sz w:val="23"/>
          <w:szCs w:val="23"/>
        </w:rPr>
        <w:t xml:space="preserve"> Ontario,</w:t>
      </w:r>
      <w:r w:rsidRPr="0080793A">
        <w:rPr>
          <w:b/>
          <w:bCs/>
          <w:sz w:val="23"/>
          <w:szCs w:val="23"/>
        </w:rPr>
        <w:t xml:space="preserve"> Canada</w:t>
      </w:r>
      <w:r>
        <w:rPr>
          <w:b/>
          <w:bCs/>
          <w:sz w:val="23"/>
          <w:szCs w:val="23"/>
        </w:rPr>
        <w:t xml:space="preserve"> (1994</w:t>
      </w:r>
      <w:r w:rsidRPr="003C5947">
        <w:rPr>
          <w:b/>
          <w:bCs/>
          <w:sz w:val="23"/>
          <w:szCs w:val="23"/>
        </w:rPr>
        <w:t>–</w:t>
      </w:r>
      <w:r>
        <w:rPr>
          <w:b/>
          <w:bCs/>
          <w:sz w:val="23"/>
          <w:szCs w:val="23"/>
        </w:rPr>
        <w:t>present</w:t>
      </w:r>
      <w:r w:rsidRPr="003C5947">
        <w:rPr>
          <w:b/>
          <w:bCs/>
          <w:sz w:val="23"/>
          <w:szCs w:val="23"/>
        </w:rPr>
        <w:t>)</w:t>
      </w:r>
    </w:p>
    <w:bookmarkEnd w:id="72"/>
    <w:p w14:paraId="5557BCB1" w14:textId="77777777" w:rsidR="00F00E3D" w:rsidRPr="00CB0FD2" w:rsidRDefault="00F00E3D" w:rsidP="009B2FA7">
      <w:pPr>
        <w:spacing w:after="0" w:line="276" w:lineRule="auto"/>
        <w:rPr>
          <w:b/>
          <w:bCs/>
          <w:sz w:val="16"/>
          <w:szCs w:val="16"/>
        </w:rPr>
      </w:pPr>
    </w:p>
    <w:p w14:paraId="21EEC1A5" w14:textId="447F31C6" w:rsidR="00F00E3D" w:rsidRPr="007842B4" w:rsidRDefault="00F00E3D" w:rsidP="009B2FA7">
      <w:pPr>
        <w:spacing w:after="0" w:line="276" w:lineRule="auto"/>
        <w:rPr>
          <w:rFonts w:cstheme="minorHAnsi"/>
          <w:b/>
          <w:bCs/>
          <w:color w:val="595959" w:themeColor="text1" w:themeTint="A6"/>
          <w:sz w:val="23"/>
          <w:szCs w:val="23"/>
        </w:rPr>
      </w:pPr>
      <w:r w:rsidRPr="007842B4">
        <w:rPr>
          <w:rFonts w:cstheme="minorHAnsi"/>
          <w:b/>
          <w:bCs/>
          <w:color w:val="595959" w:themeColor="text1" w:themeTint="A6"/>
          <w:sz w:val="23"/>
          <w:szCs w:val="23"/>
        </w:rPr>
        <w:t xml:space="preserve">Main </w:t>
      </w:r>
      <w:r w:rsidR="00D95573">
        <w:rPr>
          <w:rFonts w:cstheme="minorHAnsi"/>
          <w:b/>
          <w:bCs/>
          <w:color w:val="595959" w:themeColor="text1" w:themeTint="A6"/>
          <w:sz w:val="23"/>
          <w:szCs w:val="23"/>
        </w:rPr>
        <w:t>Practice Domain</w:t>
      </w:r>
      <w:r w:rsidRPr="007842B4">
        <w:rPr>
          <w:rFonts w:cstheme="minorHAnsi"/>
          <w:b/>
          <w:bCs/>
          <w:color w:val="595959" w:themeColor="text1" w:themeTint="A6"/>
          <w:sz w:val="23"/>
          <w:szCs w:val="23"/>
        </w:rPr>
        <w:t xml:space="preserve">(s): </w:t>
      </w:r>
      <w:r w:rsidRPr="007842B4">
        <w:rPr>
          <w:rFonts w:cstheme="minorHAnsi"/>
          <w:b/>
          <w:bCs/>
          <w:color w:val="595959" w:themeColor="text1" w:themeTint="A6"/>
          <w:sz w:val="23"/>
          <w:szCs w:val="23"/>
        </w:rPr>
        <w:tab/>
      </w:r>
      <w:r>
        <w:rPr>
          <w:rFonts w:cstheme="minorHAnsi"/>
          <w:b/>
          <w:bCs/>
          <w:color w:val="595959" w:themeColor="text1" w:themeTint="A6"/>
          <w:sz w:val="23"/>
          <w:szCs w:val="23"/>
        </w:rPr>
        <w:tab/>
      </w:r>
      <w:r w:rsidRPr="007842B4">
        <w:rPr>
          <w:rFonts w:cstheme="minorHAnsi"/>
          <w:b/>
          <w:bCs/>
          <w:color w:val="595959" w:themeColor="text1" w:themeTint="A6"/>
          <w:sz w:val="23"/>
          <w:szCs w:val="23"/>
        </w:rPr>
        <w:t>Liveability</w:t>
      </w:r>
    </w:p>
    <w:p w14:paraId="5F87ADA2" w14:textId="079BBEC9" w:rsidR="00F00E3D" w:rsidRPr="007842B4" w:rsidRDefault="00F00E3D" w:rsidP="009B2FA7">
      <w:pPr>
        <w:spacing w:after="0" w:line="276" w:lineRule="auto"/>
        <w:rPr>
          <w:rFonts w:cstheme="minorHAnsi"/>
          <w:b/>
          <w:bCs/>
          <w:color w:val="595959" w:themeColor="text1" w:themeTint="A6"/>
          <w:sz w:val="23"/>
          <w:szCs w:val="23"/>
        </w:rPr>
      </w:pPr>
      <w:r w:rsidRPr="007842B4">
        <w:rPr>
          <w:rFonts w:cstheme="minorHAnsi"/>
          <w:b/>
          <w:bCs/>
          <w:color w:val="595959" w:themeColor="text1" w:themeTint="A6"/>
          <w:sz w:val="23"/>
          <w:szCs w:val="23"/>
        </w:rPr>
        <w:t xml:space="preserve">Secondary </w:t>
      </w:r>
      <w:r w:rsidR="00D95573">
        <w:rPr>
          <w:rFonts w:cstheme="minorHAnsi"/>
          <w:b/>
          <w:bCs/>
          <w:color w:val="595959" w:themeColor="text1" w:themeTint="A6"/>
          <w:sz w:val="23"/>
          <w:szCs w:val="23"/>
        </w:rPr>
        <w:t>Practice Domain</w:t>
      </w:r>
      <w:r w:rsidRPr="007842B4">
        <w:rPr>
          <w:rFonts w:cstheme="minorHAnsi"/>
          <w:b/>
          <w:bCs/>
          <w:color w:val="595959" w:themeColor="text1" w:themeTint="A6"/>
          <w:sz w:val="23"/>
          <w:szCs w:val="23"/>
        </w:rPr>
        <w:t xml:space="preserve">(s): </w:t>
      </w:r>
      <w:r w:rsidRPr="007842B4">
        <w:rPr>
          <w:rFonts w:cstheme="minorHAnsi"/>
          <w:b/>
          <w:bCs/>
          <w:color w:val="595959" w:themeColor="text1" w:themeTint="A6"/>
          <w:sz w:val="23"/>
          <w:szCs w:val="23"/>
        </w:rPr>
        <w:tab/>
        <w:t>Health and Wellbeing</w:t>
      </w:r>
    </w:p>
    <w:p w14:paraId="731CFFC2" w14:textId="77777777" w:rsidR="00F00E3D" w:rsidRPr="00CB0FD2" w:rsidRDefault="00F00E3D" w:rsidP="009B2FA7">
      <w:pPr>
        <w:spacing w:after="0" w:line="276" w:lineRule="auto"/>
        <w:rPr>
          <w:rFonts w:asciiTheme="majorHAnsi" w:eastAsia="Times New Roman" w:hAnsiTheme="majorHAnsi" w:cstheme="majorHAnsi"/>
          <w:b/>
          <w:bCs/>
          <w:color w:val="808080" w:themeColor="background1" w:themeShade="80"/>
          <w:sz w:val="16"/>
          <w:szCs w:val="16"/>
        </w:rPr>
      </w:pPr>
    </w:p>
    <w:p w14:paraId="3A8CA27F" w14:textId="154F3D8A" w:rsidR="00F00E3D" w:rsidRPr="00C16561" w:rsidRDefault="00F00E3D" w:rsidP="009B2FA7">
      <w:pPr>
        <w:spacing w:line="276" w:lineRule="auto"/>
        <w:rPr>
          <w:rFonts w:asciiTheme="majorHAnsi" w:hAnsiTheme="majorHAnsi" w:cstheme="majorBidi"/>
          <w:sz w:val="23"/>
          <w:szCs w:val="23"/>
        </w:rPr>
      </w:pPr>
      <w:r w:rsidRPr="2B116086">
        <w:rPr>
          <w:rFonts w:asciiTheme="majorHAnsi" w:hAnsiTheme="majorHAnsi" w:cstheme="majorBidi"/>
          <w:sz w:val="23"/>
          <w:szCs w:val="23"/>
        </w:rPr>
        <w:t xml:space="preserve">Kitchener (pop. 260,000) is a culturally diverse city in Ontario, Canada. Located 100km from Toronto, the city has a strong manufacturing heritage and a healthy local arts scene. Around 37 </w:t>
      </w:r>
      <w:r w:rsidR="00065A1B">
        <w:rPr>
          <w:rFonts w:asciiTheme="majorHAnsi" w:hAnsiTheme="majorHAnsi" w:cstheme="majorBidi"/>
          <w:sz w:val="23"/>
          <w:szCs w:val="23"/>
        </w:rPr>
        <w:t>percent</w:t>
      </w:r>
      <w:r w:rsidRPr="2B116086">
        <w:rPr>
          <w:rFonts w:asciiTheme="majorHAnsi" w:hAnsiTheme="majorHAnsi" w:cstheme="majorBidi"/>
          <w:sz w:val="23"/>
          <w:szCs w:val="23"/>
        </w:rPr>
        <w:t xml:space="preserve"> of </w:t>
      </w:r>
      <w:r w:rsidR="00733EE0">
        <w:rPr>
          <w:rFonts w:asciiTheme="majorHAnsi" w:hAnsiTheme="majorHAnsi" w:cstheme="majorBidi"/>
          <w:sz w:val="23"/>
          <w:szCs w:val="23"/>
        </w:rPr>
        <w:t xml:space="preserve">residents </w:t>
      </w:r>
      <w:r w:rsidRPr="2B116086">
        <w:rPr>
          <w:rFonts w:asciiTheme="majorHAnsi" w:hAnsiTheme="majorHAnsi" w:cstheme="majorBidi"/>
          <w:sz w:val="23"/>
          <w:szCs w:val="23"/>
        </w:rPr>
        <w:t>are immigrants, and most perceive their local neighbourhood as welcoming and inclusive (Love My Hood, 2017: 28, 32). Poverty levels are in line with the national average (Ontario Federation of Labour, 2017: 1).</w:t>
      </w:r>
    </w:p>
    <w:p w14:paraId="4042C711" w14:textId="77777777" w:rsidR="00F00E3D" w:rsidRPr="00C16561" w:rsidRDefault="00F00E3D" w:rsidP="009B2FA7">
      <w:pPr>
        <w:spacing w:line="276" w:lineRule="auto"/>
        <w:rPr>
          <w:rFonts w:asciiTheme="majorHAnsi" w:hAnsiTheme="majorHAnsi" w:cstheme="majorHAnsi"/>
          <w:sz w:val="23"/>
          <w:szCs w:val="23"/>
          <w:shd w:val="clear" w:color="auto" w:fill="FFFFFF"/>
        </w:rPr>
      </w:pPr>
      <w:r w:rsidRPr="00C16561">
        <w:rPr>
          <w:rFonts w:asciiTheme="majorHAnsi" w:hAnsiTheme="majorHAnsi" w:cstheme="majorHAnsi"/>
          <w:sz w:val="23"/>
          <w:szCs w:val="23"/>
          <w:shd w:val="clear" w:color="auto" w:fill="FFFFFF"/>
        </w:rPr>
        <w:t>The Kitchener Festival of Neighbourhoods (</w:t>
      </w:r>
      <w:proofErr w:type="spellStart"/>
      <w:r w:rsidRPr="00C16561">
        <w:rPr>
          <w:rFonts w:asciiTheme="majorHAnsi" w:hAnsiTheme="majorHAnsi" w:cstheme="majorHAnsi"/>
          <w:sz w:val="23"/>
          <w:szCs w:val="23"/>
          <w:shd w:val="clear" w:color="auto" w:fill="FFFFFF"/>
        </w:rPr>
        <w:t>FoN</w:t>
      </w:r>
      <w:proofErr w:type="spellEnd"/>
      <w:r w:rsidRPr="00C16561">
        <w:rPr>
          <w:rFonts w:asciiTheme="majorHAnsi" w:hAnsiTheme="majorHAnsi" w:cstheme="majorHAnsi"/>
          <w:sz w:val="23"/>
          <w:szCs w:val="23"/>
          <w:shd w:val="clear" w:color="auto" w:fill="FFFFFF"/>
        </w:rPr>
        <w:t>) is a city-wide celebration that seeks to actively build local communities and strengthen the city’s social fabric. Participants define their own neighbourhoods, made up of 50 or more adjacent households, and collaboratively run an inclusive local event or project. Groups can enter a draw for a $20,000 capital improvement prize.</w:t>
      </w:r>
    </w:p>
    <w:p w14:paraId="5CDBA45A" w14:textId="77777777" w:rsidR="00F00E3D" w:rsidRPr="00C16561" w:rsidRDefault="00F00E3D" w:rsidP="009B2FA7">
      <w:pPr>
        <w:spacing w:line="276" w:lineRule="auto"/>
        <w:rPr>
          <w:rFonts w:asciiTheme="majorHAnsi" w:hAnsiTheme="majorHAnsi" w:cstheme="majorHAnsi"/>
          <w:sz w:val="23"/>
          <w:szCs w:val="23"/>
          <w:shd w:val="clear" w:color="auto" w:fill="FFFFFF"/>
        </w:rPr>
      </w:pPr>
      <w:r w:rsidRPr="00C16561">
        <w:rPr>
          <w:rFonts w:asciiTheme="majorHAnsi" w:hAnsiTheme="majorHAnsi" w:cstheme="majorHAnsi"/>
          <w:sz w:val="23"/>
          <w:szCs w:val="23"/>
          <w:shd w:val="clear" w:color="auto" w:fill="FFFFFF"/>
        </w:rPr>
        <w:t xml:space="preserve">The </w:t>
      </w:r>
      <w:proofErr w:type="spellStart"/>
      <w:r w:rsidRPr="00C16561">
        <w:rPr>
          <w:rFonts w:asciiTheme="majorHAnsi" w:hAnsiTheme="majorHAnsi" w:cstheme="majorHAnsi"/>
          <w:sz w:val="23"/>
          <w:szCs w:val="23"/>
          <w:shd w:val="clear" w:color="auto" w:fill="FFFFFF"/>
        </w:rPr>
        <w:t>FoN</w:t>
      </w:r>
      <w:proofErr w:type="spellEnd"/>
      <w:r w:rsidRPr="00C16561">
        <w:rPr>
          <w:rFonts w:asciiTheme="majorHAnsi" w:hAnsiTheme="majorHAnsi" w:cstheme="majorHAnsi"/>
          <w:sz w:val="23"/>
          <w:szCs w:val="23"/>
          <w:shd w:val="clear" w:color="auto" w:fill="FFFFFF"/>
        </w:rPr>
        <w:t xml:space="preserve"> has been running for 27 years. Initially an annual celebration, it now extends across the entire year. In 2017, more than 17,000 residents from 49 neighbourhoods took part in 130 events. Gatherings ranged in size from four to 1000 participants. Events have included carnivals, community murals, street sales, fundraisers, barbeques, picnics, outdoor movies, porch parties, book exchanges, clean-up days, tug-o-wars, new community gardens, and walking, biking and running events. One neighbourhood decided to run a backyard music festival. When they realised their individual backyards were too small, they removed their fences to create more space. </w:t>
      </w:r>
    </w:p>
    <w:p w14:paraId="713CEDFA" w14:textId="4A4C368F" w:rsidR="00F00E3D" w:rsidRPr="00C16561" w:rsidRDefault="00F00E3D" w:rsidP="009B2FA7">
      <w:pPr>
        <w:spacing w:line="276" w:lineRule="auto"/>
        <w:rPr>
          <w:rFonts w:asciiTheme="majorHAnsi" w:hAnsiTheme="majorHAnsi" w:cstheme="majorHAnsi"/>
          <w:sz w:val="23"/>
          <w:szCs w:val="23"/>
          <w:shd w:val="clear" w:color="auto" w:fill="FFFFFF"/>
        </w:rPr>
      </w:pPr>
      <w:r w:rsidRPr="00C16561">
        <w:rPr>
          <w:rFonts w:asciiTheme="majorHAnsi" w:hAnsiTheme="majorHAnsi" w:cstheme="majorHAnsi"/>
          <w:sz w:val="23"/>
          <w:szCs w:val="23"/>
          <w:shd w:val="clear" w:color="auto" w:fill="FFFFFF"/>
        </w:rPr>
        <w:t xml:space="preserve">Capital </w:t>
      </w:r>
      <w:r w:rsidR="006E7CA6">
        <w:rPr>
          <w:rFonts w:asciiTheme="majorHAnsi" w:hAnsiTheme="majorHAnsi" w:cstheme="majorHAnsi"/>
          <w:sz w:val="23"/>
          <w:szCs w:val="23"/>
          <w:shd w:val="clear" w:color="auto" w:fill="FFFFFF"/>
        </w:rPr>
        <w:t>w</w:t>
      </w:r>
      <w:r w:rsidRPr="00C16561">
        <w:rPr>
          <w:rFonts w:asciiTheme="majorHAnsi" w:hAnsiTheme="majorHAnsi" w:cstheme="majorHAnsi"/>
          <w:sz w:val="23"/>
          <w:szCs w:val="23"/>
          <w:shd w:val="clear" w:color="auto" w:fill="FFFFFF"/>
        </w:rPr>
        <w:t xml:space="preserve">orks </w:t>
      </w:r>
      <w:r w:rsidR="006E7CA6">
        <w:rPr>
          <w:rFonts w:asciiTheme="majorHAnsi" w:hAnsiTheme="majorHAnsi" w:cstheme="majorHAnsi"/>
          <w:sz w:val="23"/>
          <w:szCs w:val="23"/>
          <w:shd w:val="clear" w:color="auto" w:fill="FFFFFF"/>
        </w:rPr>
        <w:t>a</w:t>
      </w:r>
      <w:r w:rsidRPr="00C16561">
        <w:rPr>
          <w:rFonts w:asciiTheme="majorHAnsi" w:hAnsiTheme="majorHAnsi" w:cstheme="majorHAnsi"/>
          <w:sz w:val="23"/>
          <w:szCs w:val="23"/>
          <w:shd w:val="clear" w:color="auto" w:fill="FFFFFF"/>
        </w:rPr>
        <w:t xml:space="preserve">ward recipients decide collectively </w:t>
      </w:r>
      <w:r>
        <w:rPr>
          <w:rFonts w:asciiTheme="majorHAnsi" w:hAnsiTheme="majorHAnsi" w:cstheme="majorHAnsi"/>
          <w:sz w:val="23"/>
          <w:szCs w:val="23"/>
          <w:shd w:val="clear" w:color="auto" w:fill="FFFFFF"/>
        </w:rPr>
        <w:t xml:space="preserve">on </w:t>
      </w:r>
      <w:r w:rsidRPr="00C16561">
        <w:rPr>
          <w:rFonts w:asciiTheme="majorHAnsi" w:hAnsiTheme="majorHAnsi" w:cstheme="majorHAnsi"/>
          <w:sz w:val="23"/>
          <w:szCs w:val="23"/>
          <w:shd w:val="clear" w:color="auto" w:fill="FFFFFF"/>
        </w:rPr>
        <w:t xml:space="preserve">how to spend the prize money. </w:t>
      </w:r>
      <w:r>
        <w:rPr>
          <w:rFonts w:asciiTheme="majorHAnsi" w:hAnsiTheme="majorHAnsi" w:cstheme="majorHAnsi"/>
          <w:sz w:val="23"/>
          <w:szCs w:val="23"/>
          <w:shd w:val="clear" w:color="auto" w:fill="FFFFFF"/>
        </w:rPr>
        <w:t>Winning groups</w:t>
      </w:r>
      <w:r w:rsidRPr="00C16561">
        <w:rPr>
          <w:rFonts w:asciiTheme="majorHAnsi" w:hAnsiTheme="majorHAnsi" w:cstheme="majorHAnsi"/>
          <w:sz w:val="23"/>
          <w:szCs w:val="23"/>
          <w:shd w:val="clear" w:color="auto" w:fill="FFFFFF"/>
        </w:rPr>
        <w:t xml:space="preserve"> receive guidance from city planners and a local architecture firm. Outcomes have included a portable skatepark, a nature trail, and an interest-free loan program to upgrade homes in a run-down area.</w:t>
      </w:r>
      <w:r w:rsidR="0033797B">
        <w:rPr>
          <w:rFonts w:asciiTheme="majorHAnsi" w:hAnsiTheme="majorHAnsi" w:cstheme="majorHAnsi"/>
          <w:sz w:val="23"/>
          <w:szCs w:val="23"/>
          <w:shd w:val="clear" w:color="auto" w:fill="FFFFFF"/>
        </w:rPr>
        <w:t xml:space="preserve"> </w:t>
      </w:r>
      <w:r w:rsidRPr="00C16561">
        <w:rPr>
          <w:rFonts w:asciiTheme="majorHAnsi" w:hAnsiTheme="majorHAnsi" w:cstheme="majorHAnsi"/>
          <w:sz w:val="23"/>
          <w:szCs w:val="23"/>
          <w:shd w:val="clear" w:color="auto" w:fill="FFFFFF"/>
        </w:rPr>
        <w:t xml:space="preserve">A range of awards are also given to individual projects. </w:t>
      </w:r>
    </w:p>
    <w:p w14:paraId="4982957E" w14:textId="565B82F9" w:rsidR="00F00E3D" w:rsidRPr="00C16561" w:rsidRDefault="00605DE5" w:rsidP="009B2FA7">
      <w:pPr>
        <w:spacing w:line="276" w:lineRule="auto"/>
        <w:rPr>
          <w:rFonts w:asciiTheme="majorHAnsi" w:hAnsiTheme="majorHAnsi" w:cstheme="majorHAnsi"/>
          <w:sz w:val="23"/>
          <w:szCs w:val="23"/>
          <w:shd w:val="clear" w:color="auto" w:fill="FFFFFF"/>
        </w:rPr>
      </w:pPr>
      <w:r>
        <w:rPr>
          <w:rFonts w:asciiTheme="majorHAnsi" w:hAnsiTheme="majorHAnsi" w:cstheme="majorHAnsi"/>
          <w:sz w:val="23"/>
          <w:szCs w:val="23"/>
          <w:shd w:val="clear" w:color="auto" w:fill="FFFFFF"/>
        </w:rPr>
        <w:t>Genuinely c</w:t>
      </w:r>
      <w:r w:rsidR="00F8396C">
        <w:rPr>
          <w:rFonts w:asciiTheme="majorHAnsi" w:hAnsiTheme="majorHAnsi" w:cstheme="majorHAnsi"/>
          <w:sz w:val="23"/>
          <w:szCs w:val="23"/>
          <w:shd w:val="clear" w:color="auto" w:fill="FFFFFF"/>
        </w:rPr>
        <w:t>ommunity-driven</w:t>
      </w:r>
      <w:r>
        <w:rPr>
          <w:rFonts w:asciiTheme="majorHAnsi" w:hAnsiTheme="majorHAnsi" w:cstheme="majorHAnsi"/>
          <w:sz w:val="23"/>
          <w:szCs w:val="23"/>
          <w:shd w:val="clear" w:color="auto" w:fill="FFFFFF"/>
        </w:rPr>
        <w:t xml:space="preserve">, participatory, and collaborative, the </w:t>
      </w:r>
      <w:r w:rsidRPr="00C16561">
        <w:rPr>
          <w:rFonts w:asciiTheme="majorHAnsi" w:hAnsiTheme="majorHAnsi" w:cstheme="majorHAnsi"/>
          <w:sz w:val="23"/>
          <w:szCs w:val="23"/>
          <w:shd w:val="clear" w:color="auto" w:fill="FFFFFF"/>
        </w:rPr>
        <w:t xml:space="preserve">Festival of Neighbourhoods </w:t>
      </w:r>
      <w:r w:rsidR="00F00E3D" w:rsidRPr="00C16561">
        <w:rPr>
          <w:rFonts w:asciiTheme="majorHAnsi" w:hAnsiTheme="majorHAnsi" w:cstheme="majorHAnsi"/>
          <w:sz w:val="23"/>
          <w:szCs w:val="23"/>
          <w:shd w:val="clear" w:color="auto" w:fill="FFFFFF"/>
        </w:rPr>
        <w:t>helps to foster social cohesion, mutual support, meaningful social ties, capacity-building, and sense of place. The projects respond to local needs, offer local government insights into people’s priorities and concerns, and boost the city's volunteer base.</w:t>
      </w:r>
    </w:p>
    <w:p w14:paraId="31ADDE69" w14:textId="31658774" w:rsidR="00F00E3D" w:rsidRPr="00973F0B"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t xml:space="preserve">A </w:t>
      </w:r>
      <w:hyperlink r:id="rId95" w:anchor="AN=35484324&amp;db=bth">
        <w:r w:rsidRPr="359636AC">
          <w:rPr>
            <w:rFonts w:asciiTheme="majorHAnsi" w:hAnsiTheme="majorHAnsi" w:cstheme="majorBidi"/>
            <w:color w:val="0563C1"/>
            <w:sz w:val="23"/>
            <w:szCs w:val="23"/>
            <w:u w:val="single"/>
          </w:rPr>
          <w:t>2009 study</w:t>
        </w:r>
      </w:hyperlink>
      <w:r w:rsidRPr="359636AC">
        <w:rPr>
          <w:rFonts w:asciiTheme="majorHAnsi" w:hAnsiTheme="majorHAnsi" w:cstheme="majorBidi"/>
          <w:sz w:val="23"/>
          <w:szCs w:val="23"/>
        </w:rPr>
        <w:t xml:space="preserve"> found the program was successful in building social capital and community participation. The capital works grant was effective in encouraging social interaction and building relationships between residents and the City. Success factors included strong relationships of trust between city officials and community representatives, </w:t>
      </w:r>
      <w:r w:rsidRPr="00805410">
        <w:rPr>
          <w:rFonts w:asciiTheme="majorHAnsi" w:hAnsiTheme="majorHAnsi" w:cstheme="majorBidi"/>
          <w:sz w:val="23"/>
          <w:szCs w:val="23"/>
        </w:rPr>
        <w:t>and the City’s flexible approach</w:t>
      </w:r>
      <w:r w:rsidRPr="359636AC">
        <w:rPr>
          <w:rFonts w:asciiTheme="majorHAnsi" w:hAnsiTheme="majorHAnsi" w:cstheme="majorBidi"/>
          <w:sz w:val="23"/>
          <w:szCs w:val="23"/>
        </w:rPr>
        <w:t xml:space="preserve"> in providing necessary resources while enabling communities to take responsibility and ownership for projects (Johnson et al</w:t>
      </w:r>
      <w:r w:rsidR="00805410">
        <w:rPr>
          <w:rFonts w:asciiTheme="majorHAnsi" w:hAnsiTheme="majorHAnsi" w:cstheme="majorBidi"/>
          <w:sz w:val="23"/>
          <w:szCs w:val="23"/>
        </w:rPr>
        <w:t>.</w:t>
      </w:r>
      <w:r w:rsidRPr="359636AC">
        <w:rPr>
          <w:rFonts w:asciiTheme="majorHAnsi" w:hAnsiTheme="majorHAnsi" w:cstheme="majorBidi"/>
          <w:sz w:val="23"/>
          <w:szCs w:val="23"/>
        </w:rPr>
        <w:t>, 2009).</w:t>
      </w:r>
    </w:p>
    <w:p w14:paraId="763A419A" w14:textId="77777777" w:rsidR="00F00E3D" w:rsidRPr="00C16561" w:rsidRDefault="00F00E3D" w:rsidP="009B2FA7">
      <w:pPr>
        <w:spacing w:line="276" w:lineRule="auto"/>
        <w:rPr>
          <w:rFonts w:asciiTheme="majorHAnsi" w:hAnsiTheme="majorHAnsi" w:cstheme="majorBidi"/>
          <w:sz w:val="23"/>
          <w:szCs w:val="23"/>
        </w:rPr>
      </w:pPr>
      <w:r w:rsidRPr="2B116086">
        <w:rPr>
          <w:rFonts w:asciiTheme="majorHAnsi" w:hAnsiTheme="majorHAnsi" w:cstheme="majorBidi"/>
          <w:sz w:val="23"/>
          <w:szCs w:val="23"/>
          <w:shd w:val="clear" w:color="auto" w:fill="FFFFFF"/>
        </w:rPr>
        <w:t xml:space="preserve">The </w:t>
      </w:r>
      <w:proofErr w:type="spellStart"/>
      <w:r w:rsidRPr="2B116086">
        <w:rPr>
          <w:rFonts w:asciiTheme="majorHAnsi" w:hAnsiTheme="majorHAnsi" w:cstheme="majorBidi"/>
          <w:sz w:val="23"/>
          <w:szCs w:val="23"/>
          <w:shd w:val="clear" w:color="auto" w:fill="FFFFFF"/>
        </w:rPr>
        <w:t>FoN</w:t>
      </w:r>
      <w:proofErr w:type="spellEnd"/>
      <w:r w:rsidRPr="2B116086">
        <w:rPr>
          <w:rFonts w:asciiTheme="majorHAnsi" w:hAnsiTheme="majorHAnsi" w:cstheme="majorBidi"/>
          <w:sz w:val="23"/>
          <w:szCs w:val="23"/>
          <w:shd w:val="clear" w:color="auto" w:fill="FFFFFF"/>
        </w:rPr>
        <w:t xml:space="preserve"> program is overseen by a steering committee of local government, business, and community representatives.</w:t>
      </w:r>
      <w:r w:rsidRPr="2B116086">
        <w:rPr>
          <w:rFonts w:asciiTheme="majorHAnsi" w:hAnsiTheme="majorHAnsi" w:cstheme="majorBidi"/>
          <w:sz w:val="23"/>
          <w:szCs w:val="23"/>
        </w:rPr>
        <w:t xml:space="preserve"> </w:t>
      </w:r>
      <w:r w:rsidRPr="2B116086">
        <w:rPr>
          <w:rFonts w:asciiTheme="majorHAnsi" w:hAnsiTheme="majorHAnsi" w:cstheme="majorBidi"/>
          <w:sz w:val="23"/>
          <w:szCs w:val="23"/>
          <w:shd w:val="clear" w:color="auto" w:fill="FFFFFF"/>
        </w:rPr>
        <w:t xml:space="preserve">The City provides an in-kind contribution of one key staff member, administrative services, a small operating budget, and the $20,000 capital improvement award. Multiple partner organisations are also involved. Additional support is provided by the Social Development Centre </w:t>
      </w:r>
      <w:r w:rsidRPr="2B116086">
        <w:rPr>
          <w:rFonts w:asciiTheme="majorHAnsi" w:hAnsiTheme="majorHAnsi" w:cstheme="majorBidi"/>
          <w:sz w:val="23"/>
          <w:szCs w:val="23"/>
          <w:shd w:val="clear" w:color="auto" w:fill="FFFFFF"/>
        </w:rPr>
        <w:lastRenderedPageBreak/>
        <w:t>Waterloo region, a social planning and engagement organisation. Residents can also apply for a range of City grants to support their event.</w:t>
      </w:r>
    </w:p>
    <w:p w14:paraId="33F39A85" w14:textId="0CFFFA66" w:rsidR="00F00E3D" w:rsidRDefault="00F00E3D" w:rsidP="009B2FA7">
      <w:pPr>
        <w:spacing w:after="0" w:line="276" w:lineRule="auto"/>
        <w:rPr>
          <w:rFonts w:asciiTheme="majorHAnsi" w:hAnsiTheme="majorHAnsi" w:cstheme="majorBidi"/>
          <w:sz w:val="23"/>
          <w:szCs w:val="23"/>
        </w:rPr>
      </w:pPr>
      <w:r w:rsidRPr="2B116086">
        <w:rPr>
          <w:rFonts w:asciiTheme="majorHAnsi" w:hAnsiTheme="majorHAnsi" w:cstheme="majorBidi"/>
          <w:sz w:val="23"/>
          <w:szCs w:val="23"/>
          <w:shd w:val="clear" w:color="auto" w:fill="FFFFFF"/>
        </w:rPr>
        <w:t xml:space="preserve">A dedicated project website provides toolkits, resources, and advice for residents to plan events. In 2020 the program was adapted for </w:t>
      </w:r>
      <w:r w:rsidR="00940D80">
        <w:rPr>
          <w:rFonts w:asciiTheme="majorHAnsi" w:hAnsiTheme="majorHAnsi" w:cstheme="majorBidi"/>
          <w:sz w:val="23"/>
          <w:szCs w:val="23"/>
          <w:shd w:val="clear" w:color="auto" w:fill="FFFFFF"/>
        </w:rPr>
        <w:t>COVID</w:t>
      </w:r>
      <w:r w:rsidRPr="2B116086">
        <w:rPr>
          <w:rFonts w:asciiTheme="majorHAnsi" w:hAnsiTheme="majorHAnsi" w:cstheme="majorBidi"/>
          <w:sz w:val="23"/>
          <w:szCs w:val="23"/>
          <w:shd w:val="clear" w:color="auto" w:fill="FFFFFF"/>
        </w:rPr>
        <w:t>-19 restrictions, with events held online, or staged sequentially to avoid large gatherings (CBC News, 2020).</w:t>
      </w:r>
    </w:p>
    <w:p w14:paraId="237BB79C" w14:textId="77777777" w:rsidR="00F00E3D" w:rsidRPr="00977B29" w:rsidRDefault="00F00E3D" w:rsidP="00805410">
      <w:pPr>
        <w:spacing w:after="0" w:line="276" w:lineRule="auto"/>
        <w:rPr>
          <w:rFonts w:asciiTheme="majorHAnsi" w:hAnsiTheme="majorHAnsi" w:cstheme="majorBidi"/>
          <w:sz w:val="16"/>
          <w:szCs w:val="16"/>
        </w:rPr>
      </w:pPr>
    </w:p>
    <w:p w14:paraId="5C3FA699" w14:textId="77777777" w:rsidR="00F00E3D" w:rsidRPr="00EA6BD1" w:rsidRDefault="00F00E3D" w:rsidP="009B2FA7">
      <w:pPr>
        <w:spacing w:after="0" w:line="276" w:lineRule="auto"/>
        <w:rPr>
          <w:b/>
          <w:bCs/>
          <w:color w:val="2F5496" w:themeColor="accent1" w:themeShade="BF"/>
          <w:sz w:val="25"/>
          <w:szCs w:val="25"/>
        </w:rPr>
      </w:pPr>
      <w:r>
        <w:rPr>
          <w:b/>
          <w:bCs/>
          <w:color w:val="2F5496" w:themeColor="accent1" w:themeShade="BF"/>
          <w:sz w:val="25"/>
          <w:szCs w:val="25"/>
        </w:rPr>
        <w:t>United Kingdom</w:t>
      </w:r>
    </w:p>
    <w:p w14:paraId="10E72E00" w14:textId="77777777" w:rsidR="00F00E3D" w:rsidRPr="00977B29" w:rsidRDefault="00F00E3D" w:rsidP="009B2FA7">
      <w:pPr>
        <w:spacing w:after="0" w:line="276" w:lineRule="auto"/>
        <w:rPr>
          <w:rFonts w:asciiTheme="majorHAnsi" w:hAnsiTheme="majorHAnsi" w:cstheme="majorHAnsi"/>
          <w:sz w:val="16"/>
          <w:szCs w:val="16"/>
        </w:rPr>
      </w:pPr>
    </w:p>
    <w:p w14:paraId="0FDC777E" w14:textId="4B3B77BA" w:rsidR="00F00E3D" w:rsidRPr="003C5947" w:rsidRDefault="00F00E3D" w:rsidP="009B2FA7">
      <w:pPr>
        <w:spacing w:after="0" w:line="276" w:lineRule="auto"/>
        <w:rPr>
          <w:b/>
          <w:bCs/>
          <w:sz w:val="25"/>
          <w:szCs w:val="25"/>
        </w:rPr>
      </w:pPr>
      <w:bookmarkStart w:id="73" w:name="_Hlk70864243"/>
      <w:r w:rsidRPr="003C5947">
        <w:rPr>
          <w:b/>
          <w:bCs/>
          <w:sz w:val="25"/>
          <w:szCs w:val="25"/>
        </w:rPr>
        <w:t xml:space="preserve">The Broomhill Project: Arts-led </w:t>
      </w:r>
      <w:r w:rsidR="00EC683F" w:rsidRPr="003C5947">
        <w:rPr>
          <w:b/>
          <w:bCs/>
          <w:sz w:val="25"/>
          <w:szCs w:val="25"/>
        </w:rPr>
        <w:t>Community Regeneration</w:t>
      </w:r>
      <w:r w:rsidR="00EC683F">
        <w:rPr>
          <w:b/>
          <w:bCs/>
          <w:sz w:val="25"/>
          <w:szCs w:val="25"/>
        </w:rPr>
        <w:t xml:space="preserve"> and Public Housing Upgrade</w:t>
      </w:r>
    </w:p>
    <w:p w14:paraId="17E0C6D0" w14:textId="77777777" w:rsidR="00F00E3D" w:rsidRDefault="00F00E3D" w:rsidP="009B2FA7">
      <w:pPr>
        <w:spacing w:after="0" w:line="276" w:lineRule="auto"/>
        <w:rPr>
          <w:b/>
          <w:bCs/>
          <w:sz w:val="23"/>
          <w:szCs w:val="23"/>
        </w:rPr>
      </w:pPr>
      <w:r w:rsidRPr="003C5947">
        <w:rPr>
          <w:b/>
          <w:bCs/>
          <w:sz w:val="23"/>
          <w:szCs w:val="23"/>
        </w:rPr>
        <w:t xml:space="preserve">Greenock, </w:t>
      </w:r>
      <w:r>
        <w:rPr>
          <w:b/>
          <w:bCs/>
          <w:sz w:val="23"/>
          <w:szCs w:val="23"/>
        </w:rPr>
        <w:t xml:space="preserve">Glasgow, </w:t>
      </w:r>
      <w:r w:rsidRPr="003C5947">
        <w:rPr>
          <w:b/>
          <w:bCs/>
          <w:sz w:val="23"/>
          <w:szCs w:val="23"/>
        </w:rPr>
        <w:t>Scotland (2015–present)</w:t>
      </w:r>
    </w:p>
    <w:bookmarkEnd w:id="73"/>
    <w:p w14:paraId="2537C938" w14:textId="77777777" w:rsidR="00F00E3D" w:rsidRPr="00977B29" w:rsidRDefault="00F00E3D" w:rsidP="009B2FA7">
      <w:pPr>
        <w:spacing w:after="0" w:line="276" w:lineRule="auto"/>
        <w:rPr>
          <w:b/>
          <w:bCs/>
          <w:sz w:val="16"/>
          <w:szCs w:val="16"/>
        </w:rPr>
      </w:pPr>
    </w:p>
    <w:p w14:paraId="682F30E6" w14:textId="0B1AB54E" w:rsidR="00F00E3D" w:rsidRPr="00CC521D" w:rsidRDefault="00F00E3D" w:rsidP="009B2FA7">
      <w:pPr>
        <w:spacing w:after="0" w:line="276" w:lineRule="auto"/>
        <w:rPr>
          <w:rFonts w:cstheme="minorHAnsi"/>
          <w:b/>
          <w:bCs/>
          <w:color w:val="595959" w:themeColor="text1" w:themeTint="A6"/>
          <w:sz w:val="23"/>
          <w:szCs w:val="23"/>
        </w:rPr>
      </w:pPr>
      <w:r w:rsidRPr="00CC521D">
        <w:rPr>
          <w:rFonts w:cstheme="minorHAnsi"/>
          <w:b/>
          <w:bCs/>
          <w:color w:val="595959" w:themeColor="text1" w:themeTint="A6"/>
          <w:sz w:val="23"/>
          <w:szCs w:val="23"/>
        </w:rPr>
        <w:t xml:space="preserve">Main </w:t>
      </w:r>
      <w:r w:rsidR="00D95573">
        <w:rPr>
          <w:rFonts w:cstheme="minorHAnsi"/>
          <w:b/>
          <w:bCs/>
          <w:color w:val="595959" w:themeColor="text1" w:themeTint="A6"/>
          <w:sz w:val="23"/>
          <w:szCs w:val="23"/>
        </w:rPr>
        <w:t>Practice Domain</w:t>
      </w:r>
      <w:r w:rsidRPr="00CC521D">
        <w:rPr>
          <w:rFonts w:cstheme="minorHAnsi"/>
          <w:b/>
          <w:bCs/>
          <w:color w:val="595959" w:themeColor="text1" w:themeTint="A6"/>
          <w:sz w:val="23"/>
          <w:szCs w:val="23"/>
        </w:rPr>
        <w:t xml:space="preserve">(s): </w:t>
      </w:r>
      <w:r w:rsidRPr="00CC521D">
        <w:rPr>
          <w:rFonts w:cstheme="minorHAnsi"/>
          <w:b/>
          <w:bCs/>
          <w:color w:val="595959" w:themeColor="text1" w:themeTint="A6"/>
          <w:sz w:val="23"/>
          <w:szCs w:val="23"/>
        </w:rPr>
        <w:tab/>
      </w:r>
      <w:r w:rsidRPr="00CC521D">
        <w:rPr>
          <w:rFonts w:cstheme="minorHAnsi"/>
          <w:b/>
          <w:bCs/>
          <w:color w:val="595959" w:themeColor="text1" w:themeTint="A6"/>
          <w:sz w:val="23"/>
          <w:szCs w:val="23"/>
        </w:rPr>
        <w:tab/>
        <w:t>Liveability, Housing</w:t>
      </w:r>
    </w:p>
    <w:p w14:paraId="7573D34C" w14:textId="0BB2187B" w:rsidR="00F00E3D" w:rsidRPr="00CC521D" w:rsidRDefault="00F00E3D" w:rsidP="009B2FA7">
      <w:pPr>
        <w:spacing w:after="0" w:line="276" w:lineRule="auto"/>
        <w:rPr>
          <w:rFonts w:cstheme="minorHAnsi"/>
          <w:b/>
          <w:bCs/>
          <w:color w:val="595959" w:themeColor="text1" w:themeTint="A6"/>
          <w:sz w:val="23"/>
          <w:szCs w:val="23"/>
        </w:rPr>
      </w:pPr>
      <w:r w:rsidRPr="00CC521D">
        <w:rPr>
          <w:rFonts w:cstheme="minorHAnsi"/>
          <w:b/>
          <w:bCs/>
          <w:color w:val="595959" w:themeColor="text1" w:themeTint="A6"/>
          <w:sz w:val="23"/>
          <w:szCs w:val="23"/>
        </w:rPr>
        <w:t xml:space="preserve">Secondary </w:t>
      </w:r>
      <w:r w:rsidR="00D95573">
        <w:rPr>
          <w:rFonts w:cstheme="minorHAnsi"/>
          <w:b/>
          <w:bCs/>
          <w:color w:val="595959" w:themeColor="text1" w:themeTint="A6"/>
          <w:sz w:val="23"/>
          <w:szCs w:val="23"/>
        </w:rPr>
        <w:t>Practice Domain</w:t>
      </w:r>
      <w:r w:rsidRPr="00CC521D">
        <w:rPr>
          <w:rFonts w:cstheme="minorHAnsi"/>
          <w:b/>
          <w:bCs/>
          <w:color w:val="595959" w:themeColor="text1" w:themeTint="A6"/>
          <w:sz w:val="23"/>
          <w:szCs w:val="23"/>
        </w:rPr>
        <w:t xml:space="preserve">(s): </w:t>
      </w:r>
      <w:r w:rsidRPr="00CC521D">
        <w:rPr>
          <w:rFonts w:cstheme="minorHAnsi"/>
          <w:b/>
          <w:bCs/>
          <w:color w:val="595959" w:themeColor="text1" w:themeTint="A6"/>
          <w:sz w:val="23"/>
          <w:szCs w:val="23"/>
        </w:rPr>
        <w:tab/>
        <w:t>Employment, Education, Health and Wellbeing</w:t>
      </w:r>
    </w:p>
    <w:p w14:paraId="777E1274" w14:textId="77777777" w:rsidR="00F00E3D" w:rsidRPr="00977B29" w:rsidRDefault="00F00E3D" w:rsidP="009B2FA7">
      <w:pPr>
        <w:spacing w:after="0" w:line="276" w:lineRule="auto"/>
        <w:rPr>
          <w:sz w:val="16"/>
          <w:szCs w:val="16"/>
        </w:rPr>
      </w:pPr>
    </w:p>
    <w:p w14:paraId="3A96D21E" w14:textId="2C70EBBD" w:rsidR="00F00E3D" w:rsidRPr="003C5947" w:rsidRDefault="00F00E3D" w:rsidP="009B2FA7">
      <w:pPr>
        <w:spacing w:line="276" w:lineRule="auto"/>
        <w:rPr>
          <w:rFonts w:asciiTheme="majorHAnsi" w:hAnsiTheme="majorHAnsi" w:cstheme="majorHAnsi"/>
          <w:sz w:val="23"/>
          <w:szCs w:val="23"/>
        </w:rPr>
      </w:pPr>
      <w:r w:rsidRPr="003C5947">
        <w:rPr>
          <w:rFonts w:asciiTheme="majorHAnsi" w:hAnsiTheme="majorHAnsi" w:cstheme="majorHAnsi"/>
          <w:sz w:val="23"/>
          <w:szCs w:val="23"/>
        </w:rPr>
        <w:t xml:space="preserve">Broomhill is an area of high socioeconomic disadvantage </w:t>
      </w:r>
      <w:r w:rsidR="0099430D">
        <w:rPr>
          <w:rFonts w:asciiTheme="majorHAnsi" w:hAnsiTheme="majorHAnsi" w:cstheme="majorHAnsi"/>
          <w:sz w:val="23"/>
          <w:szCs w:val="23"/>
        </w:rPr>
        <w:t xml:space="preserve">located </w:t>
      </w:r>
      <w:r w:rsidRPr="003C5947">
        <w:rPr>
          <w:rFonts w:asciiTheme="majorHAnsi" w:hAnsiTheme="majorHAnsi" w:cstheme="majorHAnsi"/>
          <w:sz w:val="23"/>
          <w:szCs w:val="23"/>
        </w:rPr>
        <w:t xml:space="preserve">in Greenock, 40 kilometres from central Glasgow. </w:t>
      </w:r>
      <w:r>
        <w:rPr>
          <w:rFonts w:asciiTheme="majorHAnsi" w:hAnsiTheme="majorHAnsi" w:cstheme="majorHAnsi"/>
          <w:sz w:val="23"/>
          <w:szCs w:val="23"/>
        </w:rPr>
        <w:t xml:space="preserve">In 2016 </w:t>
      </w:r>
      <w:r w:rsidRPr="003C5947">
        <w:rPr>
          <w:rFonts w:asciiTheme="majorHAnsi" w:hAnsiTheme="majorHAnsi" w:cstheme="majorHAnsi"/>
          <w:sz w:val="23"/>
          <w:szCs w:val="23"/>
        </w:rPr>
        <w:t xml:space="preserve">Broomhill (pop. 14,000) was listed in the top 10 </w:t>
      </w:r>
      <w:r w:rsidR="00065A1B">
        <w:rPr>
          <w:rFonts w:asciiTheme="majorHAnsi" w:hAnsiTheme="majorHAnsi" w:cstheme="majorHAnsi"/>
          <w:sz w:val="23"/>
          <w:szCs w:val="23"/>
        </w:rPr>
        <w:t>percent</w:t>
      </w:r>
      <w:r w:rsidRPr="003C5947">
        <w:rPr>
          <w:rFonts w:asciiTheme="majorHAnsi" w:hAnsiTheme="majorHAnsi" w:cstheme="majorHAnsi"/>
          <w:sz w:val="23"/>
          <w:szCs w:val="23"/>
        </w:rPr>
        <w:t xml:space="preserve"> of deprived areas in Scotland (Scottish Index of Multiple Deprivation, 2016).</w:t>
      </w:r>
    </w:p>
    <w:p w14:paraId="4707AAFB" w14:textId="1C3E080F" w:rsidR="00F00E3D" w:rsidRPr="003C5947" w:rsidRDefault="00F00E3D" w:rsidP="009B2FA7">
      <w:pPr>
        <w:spacing w:line="276" w:lineRule="auto"/>
        <w:rPr>
          <w:rFonts w:asciiTheme="majorHAnsi" w:hAnsiTheme="majorHAnsi" w:cstheme="majorHAnsi"/>
          <w:sz w:val="23"/>
          <w:szCs w:val="23"/>
        </w:rPr>
      </w:pPr>
      <w:r w:rsidRPr="003C5947">
        <w:rPr>
          <w:rFonts w:asciiTheme="majorHAnsi" w:hAnsiTheme="majorHAnsi" w:cstheme="majorHAnsi"/>
          <w:sz w:val="23"/>
          <w:szCs w:val="23"/>
        </w:rPr>
        <w:t>Launched in 2015, the Broomhill</w:t>
      </w:r>
      <w:r>
        <w:rPr>
          <w:rFonts w:asciiTheme="majorHAnsi" w:hAnsiTheme="majorHAnsi" w:cstheme="majorHAnsi"/>
          <w:sz w:val="23"/>
          <w:szCs w:val="23"/>
        </w:rPr>
        <w:t xml:space="preserve"> </w:t>
      </w:r>
      <w:r w:rsidRPr="003C5947">
        <w:rPr>
          <w:rFonts w:asciiTheme="majorHAnsi" w:hAnsiTheme="majorHAnsi" w:cstheme="majorHAnsi"/>
          <w:sz w:val="23"/>
          <w:szCs w:val="23"/>
        </w:rPr>
        <w:t>Project</w:t>
      </w:r>
      <w:r>
        <w:rPr>
          <w:rFonts w:asciiTheme="majorHAnsi" w:hAnsiTheme="majorHAnsi" w:cstheme="majorHAnsi"/>
          <w:sz w:val="23"/>
          <w:szCs w:val="23"/>
        </w:rPr>
        <w:t xml:space="preserve"> centre</w:t>
      </w:r>
      <w:r w:rsidR="0099430D">
        <w:rPr>
          <w:rFonts w:asciiTheme="majorHAnsi" w:hAnsiTheme="majorHAnsi" w:cstheme="majorHAnsi"/>
          <w:sz w:val="23"/>
          <w:szCs w:val="23"/>
        </w:rPr>
        <w:t>s</w:t>
      </w:r>
      <w:r>
        <w:rPr>
          <w:rFonts w:asciiTheme="majorHAnsi" w:hAnsiTheme="majorHAnsi" w:cstheme="majorHAnsi"/>
          <w:sz w:val="23"/>
          <w:szCs w:val="23"/>
        </w:rPr>
        <w:t xml:space="preserve"> on</w:t>
      </w:r>
      <w:r w:rsidRPr="003C5947">
        <w:rPr>
          <w:rFonts w:asciiTheme="majorHAnsi" w:hAnsiTheme="majorHAnsi" w:cstheme="majorHAnsi"/>
          <w:sz w:val="23"/>
          <w:szCs w:val="23"/>
        </w:rPr>
        <w:t xml:space="preserve"> community-led collaboration</w:t>
      </w:r>
      <w:r>
        <w:rPr>
          <w:rFonts w:asciiTheme="majorHAnsi" w:hAnsiTheme="majorHAnsi" w:cstheme="majorHAnsi"/>
          <w:sz w:val="23"/>
          <w:szCs w:val="23"/>
        </w:rPr>
        <w:t>s</w:t>
      </w:r>
      <w:r w:rsidRPr="003C5947">
        <w:rPr>
          <w:rFonts w:asciiTheme="majorHAnsi" w:hAnsiTheme="majorHAnsi" w:cstheme="majorHAnsi"/>
          <w:sz w:val="23"/>
          <w:szCs w:val="23"/>
        </w:rPr>
        <w:t xml:space="preserve"> between local residents and experienced artists. </w:t>
      </w:r>
      <w:r>
        <w:rPr>
          <w:rFonts w:asciiTheme="majorHAnsi" w:hAnsiTheme="majorHAnsi" w:cstheme="majorHAnsi"/>
          <w:sz w:val="23"/>
          <w:szCs w:val="23"/>
        </w:rPr>
        <w:t xml:space="preserve">Activities </w:t>
      </w:r>
      <w:r w:rsidR="0021132C">
        <w:rPr>
          <w:rFonts w:asciiTheme="majorHAnsi" w:hAnsiTheme="majorHAnsi" w:cstheme="majorHAnsi"/>
          <w:sz w:val="23"/>
          <w:szCs w:val="23"/>
        </w:rPr>
        <w:t xml:space="preserve">have </w:t>
      </w:r>
      <w:r>
        <w:rPr>
          <w:rFonts w:asciiTheme="majorHAnsi" w:hAnsiTheme="majorHAnsi" w:cstheme="majorHAnsi"/>
          <w:sz w:val="23"/>
          <w:szCs w:val="23"/>
        </w:rPr>
        <w:t xml:space="preserve">included </w:t>
      </w:r>
      <w:r w:rsidRPr="003C5947">
        <w:rPr>
          <w:rFonts w:asciiTheme="majorHAnsi" w:hAnsiTheme="majorHAnsi" w:cstheme="majorHAnsi"/>
          <w:sz w:val="23"/>
          <w:szCs w:val="23"/>
        </w:rPr>
        <w:t xml:space="preserve">workshops, artist residencies, films, </w:t>
      </w:r>
      <w:r>
        <w:rPr>
          <w:rFonts w:asciiTheme="majorHAnsi" w:hAnsiTheme="majorHAnsi" w:cstheme="majorHAnsi"/>
          <w:sz w:val="23"/>
          <w:szCs w:val="23"/>
        </w:rPr>
        <w:t xml:space="preserve">community </w:t>
      </w:r>
      <w:r w:rsidRPr="003C5947">
        <w:rPr>
          <w:rFonts w:asciiTheme="majorHAnsi" w:hAnsiTheme="majorHAnsi" w:cstheme="majorHAnsi"/>
          <w:sz w:val="23"/>
          <w:szCs w:val="23"/>
        </w:rPr>
        <w:t>events, murals, public gardens, heritage projects</w:t>
      </w:r>
      <w:r>
        <w:rPr>
          <w:rFonts w:asciiTheme="majorHAnsi" w:hAnsiTheme="majorHAnsi" w:cstheme="majorHAnsi"/>
          <w:sz w:val="23"/>
          <w:szCs w:val="23"/>
        </w:rPr>
        <w:t>,</w:t>
      </w:r>
      <w:r w:rsidRPr="003C5947">
        <w:rPr>
          <w:rFonts w:asciiTheme="majorHAnsi" w:hAnsiTheme="majorHAnsi" w:cstheme="majorHAnsi"/>
          <w:sz w:val="23"/>
          <w:szCs w:val="23"/>
        </w:rPr>
        <w:t xml:space="preserve"> and exhibitions.</w:t>
      </w:r>
    </w:p>
    <w:p w14:paraId="0C37301C" w14:textId="51F0C2F8" w:rsidR="00F00E3D" w:rsidRPr="003C5947" w:rsidRDefault="00F00E3D" w:rsidP="009B2FA7">
      <w:pPr>
        <w:spacing w:line="276" w:lineRule="auto"/>
        <w:rPr>
          <w:rFonts w:asciiTheme="majorHAnsi" w:hAnsiTheme="majorHAnsi" w:cstheme="majorHAnsi"/>
          <w:sz w:val="23"/>
          <w:szCs w:val="23"/>
        </w:rPr>
      </w:pPr>
      <w:r w:rsidRPr="003C5947">
        <w:rPr>
          <w:rFonts w:asciiTheme="majorHAnsi" w:hAnsiTheme="majorHAnsi" w:cstheme="majorHAnsi"/>
          <w:sz w:val="23"/>
          <w:szCs w:val="23"/>
        </w:rPr>
        <w:t xml:space="preserve">The Broomhill Project </w:t>
      </w:r>
      <w:r w:rsidR="0021132C">
        <w:rPr>
          <w:rFonts w:asciiTheme="majorHAnsi" w:hAnsiTheme="majorHAnsi" w:cstheme="majorHAnsi"/>
          <w:sz w:val="23"/>
          <w:szCs w:val="23"/>
        </w:rPr>
        <w:t xml:space="preserve">was </w:t>
      </w:r>
      <w:r w:rsidRPr="003C5947">
        <w:rPr>
          <w:rFonts w:asciiTheme="majorHAnsi" w:hAnsiTheme="majorHAnsi" w:cstheme="majorHAnsi"/>
          <w:sz w:val="23"/>
          <w:szCs w:val="23"/>
        </w:rPr>
        <w:t xml:space="preserve">developed alongside a major local </w:t>
      </w:r>
      <w:r w:rsidR="0021132C">
        <w:rPr>
          <w:rFonts w:asciiTheme="majorHAnsi" w:hAnsiTheme="majorHAnsi" w:cstheme="majorHAnsi"/>
          <w:sz w:val="23"/>
          <w:szCs w:val="23"/>
        </w:rPr>
        <w:t xml:space="preserve">social </w:t>
      </w:r>
      <w:r w:rsidRPr="003C5947">
        <w:rPr>
          <w:rFonts w:asciiTheme="majorHAnsi" w:hAnsiTheme="majorHAnsi" w:cstheme="majorHAnsi"/>
          <w:sz w:val="23"/>
          <w:szCs w:val="23"/>
        </w:rPr>
        <w:t xml:space="preserve">housing </w:t>
      </w:r>
      <w:r w:rsidR="0021132C">
        <w:rPr>
          <w:rFonts w:asciiTheme="majorHAnsi" w:hAnsiTheme="majorHAnsi" w:cstheme="majorHAnsi"/>
          <w:sz w:val="23"/>
          <w:szCs w:val="23"/>
        </w:rPr>
        <w:t>project</w:t>
      </w:r>
      <w:r w:rsidRPr="003C5947">
        <w:rPr>
          <w:rFonts w:asciiTheme="majorHAnsi" w:hAnsiTheme="majorHAnsi" w:cstheme="majorHAnsi"/>
          <w:sz w:val="23"/>
          <w:szCs w:val="23"/>
        </w:rPr>
        <w:t>. In 2014 housing association River Clyde Homes began a £26m program to upgrade 600 Broomhill properties. Local arts charity RIG Arts was g</w:t>
      </w:r>
      <w:r>
        <w:rPr>
          <w:rFonts w:asciiTheme="majorHAnsi" w:hAnsiTheme="majorHAnsi" w:cstheme="majorHAnsi"/>
          <w:sz w:val="23"/>
          <w:szCs w:val="23"/>
        </w:rPr>
        <w:t>ranted</w:t>
      </w:r>
      <w:r w:rsidRPr="003C5947">
        <w:rPr>
          <w:rFonts w:asciiTheme="majorHAnsi" w:hAnsiTheme="majorHAnsi" w:cstheme="majorHAnsi"/>
          <w:sz w:val="23"/>
          <w:szCs w:val="23"/>
        </w:rPr>
        <w:t xml:space="preserve"> initial three-year funding to work creatively with disengaged community members. </w:t>
      </w:r>
      <w:r>
        <w:rPr>
          <w:rFonts w:asciiTheme="majorHAnsi" w:hAnsiTheme="majorHAnsi" w:cstheme="majorHAnsi"/>
          <w:sz w:val="23"/>
          <w:szCs w:val="23"/>
        </w:rPr>
        <w:t xml:space="preserve">Additional </w:t>
      </w:r>
      <w:r w:rsidRPr="003C5947">
        <w:rPr>
          <w:rFonts w:asciiTheme="majorHAnsi" w:hAnsiTheme="majorHAnsi" w:cstheme="majorHAnsi"/>
          <w:sz w:val="23"/>
          <w:szCs w:val="23"/>
        </w:rPr>
        <w:t>funding was invested in a range of sub-projects:</w:t>
      </w:r>
    </w:p>
    <w:p w14:paraId="3C3D5C3E" w14:textId="3D18C2A8" w:rsidR="00F00E3D" w:rsidRPr="003C5947" w:rsidRDefault="00F00E3D" w:rsidP="00364C5D">
      <w:pPr>
        <w:pStyle w:val="ListParagraph"/>
        <w:numPr>
          <w:ilvl w:val="0"/>
          <w:numId w:val="19"/>
        </w:numPr>
        <w:spacing w:line="276" w:lineRule="auto"/>
        <w:rPr>
          <w:rFonts w:asciiTheme="majorHAnsi" w:hAnsiTheme="majorHAnsi" w:cstheme="majorBidi"/>
          <w:sz w:val="23"/>
          <w:szCs w:val="23"/>
        </w:rPr>
      </w:pPr>
      <w:r w:rsidRPr="00ED1F9E">
        <w:rPr>
          <w:rFonts w:cstheme="minorHAnsi"/>
          <w:b/>
          <w:bCs/>
          <w:sz w:val="23"/>
          <w:szCs w:val="23"/>
        </w:rPr>
        <w:t>Broomhill Art Flat (2015):</w:t>
      </w:r>
      <w:r w:rsidRPr="71C466D6">
        <w:rPr>
          <w:rFonts w:asciiTheme="majorHAnsi" w:hAnsiTheme="majorHAnsi" w:cstheme="majorBidi"/>
          <w:sz w:val="23"/>
          <w:szCs w:val="23"/>
        </w:rPr>
        <w:t xml:space="preserve"> dedicated hub for free creative workshops: </w:t>
      </w:r>
      <w:proofErr w:type="spellStart"/>
      <w:r w:rsidRPr="71C466D6">
        <w:rPr>
          <w:rFonts w:asciiTheme="majorHAnsi" w:hAnsiTheme="majorHAnsi" w:cstheme="majorBidi"/>
          <w:sz w:val="23"/>
          <w:szCs w:val="23"/>
        </w:rPr>
        <w:t>songwriting</w:t>
      </w:r>
      <w:proofErr w:type="spellEnd"/>
      <w:r w:rsidRPr="71C466D6">
        <w:rPr>
          <w:rFonts w:asciiTheme="majorHAnsi" w:hAnsiTheme="majorHAnsi" w:cstheme="majorBidi"/>
          <w:sz w:val="23"/>
          <w:szCs w:val="23"/>
        </w:rPr>
        <w:t xml:space="preserve">, photography, filmmaking, painting, stained glass, carving, ceramics, textiles, </w:t>
      </w:r>
      <w:r w:rsidR="00ED1F9E">
        <w:rPr>
          <w:rFonts w:asciiTheme="majorHAnsi" w:hAnsiTheme="majorHAnsi" w:cstheme="majorBidi"/>
          <w:sz w:val="23"/>
          <w:szCs w:val="23"/>
        </w:rPr>
        <w:t xml:space="preserve">3D </w:t>
      </w:r>
      <w:r w:rsidRPr="71C466D6">
        <w:rPr>
          <w:rFonts w:asciiTheme="majorHAnsi" w:hAnsiTheme="majorHAnsi" w:cstheme="majorBidi"/>
          <w:sz w:val="23"/>
          <w:szCs w:val="23"/>
        </w:rPr>
        <w:t>drawing, mosaic, upcycling. Sit</w:t>
      </w:r>
      <w:r w:rsidR="00805410">
        <w:rPr>
          <w:rFonts w:asciiTheme="majorHAnsi" w:hAnsiTheme="majorHAnsi" w:cstheme="majorBidi"/>
          <w:sz w:val="23"/>
          <w:szCs w:val="23"/>
        </w:rPr>
        <w:t xml:space="preserve">ed </w:t>
      </w:r>
      <w:r w:rsidRPr="71C466D6">
        <w:rPr>
          <w:rFonts w:asciiTheme="majorHAnsi" w:hAnsiTheme="majorHAnsi" w:cstheme="majorBidi"/>
          <w:sz w:val="23"/>
          <w:szCs w:val="23"/>
        </w:rPr>
        <w:t xml:space="preserve">in a public housing tower, it </w:t>
      </w:r>
      <w:r w:rsidR="00805410">
        <w:rPr>
          <w:rFonts w:asciiTheme="majorHAnsi" w:hAnsiTheme="majorHAnsi" w:cstheme="majorBidi"/>
          <w:sz w:val="23"/>
          <w:szCs w:val="23"/>
        </w:rPr>
        <w:t>became</w:t>
      </w:r>
      <w:r w:rsidRPr="71C466D6">
        <w:rPr>
          <w:rFonts w:asciiTheme="majorHAnsi" w:hAnsiTheme="majorHAnsi" w:cstheme="majorBidi"/>
          <w:sz w:val="23"/>
          <w:szCs w:val="23"/>
        </w:rPr>
        <w:t xml:space="preserve"> a popular cultural hub and meeting place.</w:t>
      </w:r>
    </w:p>
    <w:p w14:paraId="19088799" w14:textId="589EBF92" w:rsidR="00F00E3D" w:rsidRPr="003C5947" w:rsidRDefault="00F00E3D" w:rsidP="00364C5D">
      <w:pPr>
        <w:pStyle w:val="ListParagraph"/>
        <w:numPr>
          <w:ilvl w:val="0"/>
          <w:numId w:val="19"/>
        </w:numPr>
        <w:spacing w:line="276" w:lineRule="auto"/>
        <w:rPr>
          <w:rFonts w:asciiTheme="majorHAnsi" w:hAnsiTheme="majorHAnsi" w:cstheme="majorHAnsi"/>
          <w:sz w:val="23"/>
          <w:szCs w:val="23"/>
        </w:rPr>
      </w:pPr>
      <w:r w:rsidRPr="00ED1F9E">
        <w:rPr>
          <w:rFonts w:cstheme="minorHAnsi"/>
          <w:b/>
          <w:bCs/>
          <w:sz w:val="23"/>
          <w:szCs w:val="23"/>
        </w:rPr>
        <w:t>Heid O’ The Hill (2015–2016):</w:t>
      </w:r>
      <w:r w:rsidRPr="003C5947">
        <w:rPr>
          <w:rFonts w:asciiTheme="majorHAnsi" w:hAnsiTheme="majorHAnsi" w:cstheme="majorHAnsi"/>
          <w:sz w:val="23"/>
          <w:szCs w:val="23"/>
        </w:rPr>
        <w:t xml:space="preserve"> 12-month pilot arts scheme exploring Broomhill’s rich heritage. Participants created works celebrating the area’s history as a former metal foundry, its 1970s punk music scene, and childhood games fondly recalled by older residents.</w:t>
      </w:r>
    </w:p>
    <w:p w14:paraId="7746C096" w14:textId="77777777" w:rsidR="00F00E3D" w:rsidRPr="003C5947" w:rsidRDefault="00F00E3D" w:rsidP="00364C5D">
      <w:pPr>
        <w:pStyle w:val="ListParagraph"/>
        <w:numPr>
          <w:ilvl w:val="0"/>
          <w:numId w:val="19"/>
        </w:numPr>
        <w:spacing w:line="276" w:lineRule="auto"/>
        <w:rPr>
          <w:rFonts w:asciiTheme="majorHAnsi" w:hAnsiTheme="majorHAnsi" w:cstheme="majorHAnsi"/>
          <w:sz w:val="23"/>
          <w:szCs w:val="23"/>
        </w:rPr>
      </w:pPr>
      <w:r w:rsidRPr="00ED1F9E">
        <w:rPr>
          <w:rFonts w:cstheme="minorHAnsi"/>
          <w:b/>
          <w:bCs/>
          <w:sz w:val="23"/>
          <w:szCs w:val="23"/>
        </w:rPr>
        <w:t>Up the Broomy (2017–2019):</w:t>
      </w:r>
      <w:r w:rsidRPr="003C5947">
        <w:rPr>
          <w:rFonts w:asciiTheme="majorHAnsi" w:hAnsiTheme="majorHAnsi" w:cstheme="majorHAnsi"/>
          <w:sz w:val="23"/>
          <w:szCs w:val="23"/>
        </w:rPr>
        <w:t xml:space="preserve"> a two-year </w:t>
      </w:r>
      <w:r>
        <w:rPr>
          <w:rFonts w:asciiTheme="majorHAnsi" w:hAnsiTheme="majorHAnsi" w:cstheme="majorHAnsi"/>
          <w:sz w:val="23"/>
          <w:szCs w:val="23"/>
        </w:rPr>
        <w:t>sub-</w:t>
      </w:r>
      <w:r w:rsidRPr="003C5947">
        <w:rPr>
          <w:rFonts w:asciiTheme="majorHAnsi" w:hAnsiTheme="majorHAnsi" w:cstheme="majorHAnsi"/>
          <w:sz w:val="23"/>
          <w:szCs w:val="23"/>
        </w:rPr>
        <w:t xml:space="preserve">project focused on training, </w:t>
      </w:r>
      <w:r>
        <w:rPr>
          <w:rFonts w:asciiTheme="majorHAnsi" w:hAnsiTheme="majorHAnsi" w:cstheme="majorHAnsi"/>
          <w:sz w:val="23"/>
          <w:szCs w:val="23"/>
        </w:rPr>
        <w:t>creativity,</w:t>
      </w:r>
      <w:r w:rsidRPr="003C5947">
        <w:rPr>
          <w:rFonts w:asciiTheme="majorHAnsi" w:hAnsiTheme="majorHAnsi" w:cstheme="majorHAnsi"/>
          <w:sz w:val="23"/>
          <w:szCs w:val="23"/>
        </w:rPr>
        <w:t xml:space="preserve"> and capacity building. RIG Arts worked with local agencies to recruit “community champions” who could benefit from arts training. Participants created inspiring objects, events</w:t>
      </w:r>
      <w:r>
        <w:rPr>
          <w:rFonts w:asciiTheme="majorHAnsi" w:hAnsiTheme="majorHAnsi" w:cstheme="majorHAnsi"/>
          <w:sz w:val="23"/>
          <w:szCs w:val="23"/>
        </w:rPr>
        <w:t>,</w:t>
      </w:r>
      <w:r w:rsidRPr="003C5947">
        <w:rPr>
          <w:rFonts w:asciiTheme="majorHAnsi" w:hAnsiTheme="majorHAnsi" w:cstheme="majorHAnsi"/>
          <w:sz w:val="23"/>
          <w:szCs w:val="23"/>
        </w:rPr>
        <w:t xml:space="preserve"> and performances. Ongoing supports were embedded via partnerships with mental health organisations, schools</w:t>
      </w:r>
      <w:r>
        <w:rPr>
          <w:rFonts w:asciiTheme="majorHAnsi" w:hAnsiTheme="majorHAnsi" w:cstheme="majorHAnsi"/>
          <w:sz w:val="23"/>
          <w:szCs w:val="23"/>
        </w:rPr>
        <w:t>,</w:t>
      </w:r>
      <w:r w:rsidRPr="003C5947">
        <w:rPr>
          <w:rFonts w:asciiTheme="majorHAnsi" w:hAnsiTheme="majorHAnsi" w:cstheme="majorHAnsi"/>
          <w:sz w:val="23"/>
          <w:szCs w:val="23"/>
        </w:rPr>
        <w:t xml:space="preserve"> and youth services.</w:t>
      </w:r>
    </w:p>
    <w:p w14:paraId="705729AF" w14:textId="2A948A5A" w:rsidR="00F00E3D" w:rsidRPr="003C5947" w:rsidRDefault="00F00E3D" w:rsidP="00364C5D">
      <w:pPr>
        <w:pStyle w:val="ListParagraph"/>
        <w:numPr>
          <w:ilvl w:val="0"/>
          <w:numId w:val="19"/>
        </w:numPr>
        <w:spacing w:line="276" w:lineRule="auto"/>
        <w:rPr>
          <w:rFonts w:asciiTheme="majorHAnsi" w:hAnsiTheme="majorHAnsi" w:cstheme="majorBidi"/>
          <w:sz w:val="23"/>
          <w:szCs w:val="23"/>
        </w:rPr>
      </w:pPr>
      <w:r w:rsidRPr="00ED1F9E">
        <w:rPr>
          <w:rFonts w:cstheme="minorHAnsi"/>
          <w:b/>
          <w:bCs/>
          <w:sz w:val="23"/>
          <w:szCs w:val="23"/>
        </w:rPr>
        <w:t>Broomy’s Bees</w:t>
      </w:r>
      <w:r w:rsidRPr="00ED1F9E">
        <w:rPr>
          <w:rFonts w:cstheme="minorHAnsi"/>
          <w:sz w:val="23"/>
          <w:szCs w:val="23"/>
        </w:rPr>
        <w:t xml:space="preserve"> </w:t>
      </w:r>
      <w:r w:rsidRPr="00ED1F9E">
        <w:rPr>
          <w:rFonts w:cstheme="minorHAnsi"/>
          <w:b/>
          <w:bCs/>
          <w:sz w:val="23"/>
          <w:szCs w:val="23"/>
        </w:rPr>
        <w:t>(2018)</w:t>
      </w:r>
      <w:r w:rsidRPr="00ED1F9E">
        <w:rPr>
          <w:rFonts w:cstheme="minorHAnsi"/>
          <w:sz w:val="23"/>
          <w:szCs w:val="23"/>
        </w:rPr>
        <w:t>:</w:t>
      </w:r>
      <w:r w:rsidRPr="359636AC">
        <w:rPr>
          <w:rFonts w:asciiTheme="majorHAnsi" w:hAnsiTheme="majorHAnsi" w:cstheme="majorBidi"/>
          <w:sz w:val="23"/>
          <w:szCs w:val="23"/>
        </w:rPr>
        <w:t xml:space="preserve"> community</w:t>
      </w:r>
      <w:r w:rsidR="00F33B60">
        <w:rPr>
          <w:rFonts w:asciiTheme="majorHAnsi" w:hAnsiTheme="majorHAnsi" w:cstheme="majorBidi"/>
          <w:sz w:val="23"/>
          <w:szCs w:val="23"/>
        </w:rPr>
        <w:t xml:space="preserve"> co</w:t>
      </w:r>
      <w:r w:rsidRPr="359636AC">
        <w:rPr>
          <w:rFonts w:asciiTheme="majorHAnsi" w:hAnsiTheme="majorHAnsi" w:cstheme="majorBidi"/>
          <w:sz w:val="23"/>
          <w:szCs w:val="23"/>
        </w:rPr>
        <w:t xml:space="preserve">-designed </w:t>
      </w:r>
      <w:r w:rsidRPr="1A3976D9">
        <w:rPr>
          <w:rFonts w:asciiTheme="majorHAnsi" w:hAnsiTheme="majorHAnsi" w:cstheme="majorBidi"/>
          <w:sz w:val="23"/>
          <w:szCs w:val="23"/>
        </w:rPr>
        <w:t>pocket</w:t>
      </w:r>
      <w:r w:rsidRPr="359636AC">
        <w:rPr>
          <w:rFonts w:asciiTheme="majorHAnsi" w:hAnsiTheme="majorHAnsi" w:cstheme="majorBidi"/>
          <w:sz w:val="23"/>
          <w:szCs w:val="23"/>
        </w:rPr>
        <w:t xml:space="preserve"> park and educational sensory garden, created on a derelict site opposite </w:t>
      </w:r>
      <w:r w:rsidRPr="1A3976D9">
        <w:rPr>
          <w:rFonts w:asciiTheme="majorHAnsi" w:hAnsiTheme="majorHAnsi" w:cstheme="majorBidi"/>
          <w:sz w:val="23"/>
          <w:szCs w:val="23"/>
        </w:rPr>
        <w:t xml:space="preserve">a </w:t>
      </w:r>
      <w:r w:rsidRPr="359636AC">
        <w:rPr>
          <w:rFonts w:asciiTheme="majorHAnsi" w:hAnsiTheme="majorHAnsi" w:cstheme="majorBidi"/>
          <w:sz w:val="23"/>
          <w:szCs w:val="23"/>
        </w:rPr>
        <w:t xml:space="preserve">public housing tower. Increases biodiversity, promotes eco-friendly behaviour, references local heritage, and provides welcoming green space. </w:t>
      </w:r>
      <w:r w:rsidR="00805410">
        <w:rPr>
          <w:rFonts w:asciiTheme="majorHAnsi" w:hAnsiTheme="majorHAnsi" w:cstheme="majorBidi"/>
          <w:sz w:val="23"/>
          <w:szCs w:val="23"/>
        </w:rPr>
        <w:t>Has</w:t>
      </w:r>
      <w:r w:rsidRPr="359636AC">
        <w:rPr>
          <w:rFonts w:asciiTheme="majorHAnsi" w:hAnsiTheme="majorHAnsi" w:cstheme="majorBidi"/>
          <w:sz w:val="23"/>
          <w:szCs w:val="23"/>
        </w:rPr>
        <w:t xml:space="preserve"> all-weather seating and interactive night-lighting. Children created tile artworks and bee habitats.</w:t>
      </w:r>
    </w:p>
    <w:p w14:paraId="56DCB32E" w14:textId="151AED3B" w:rsidR="00805410" w:rsidRPr="00805410" w:rsidRDefault="00F00E3D" w:rsidP="00364C5D">
      <w:pPr>
        <w:pStyle w:val="ListParagraph"/>
        <w:numPr>
          <w:ilvl w:val="0"/>
          <w:numId w:val="19"/>
        </w:numPr>
        <w:spacing w:line="276" w:lineRule="auto"/>
        <w:rPr>
          <w:rFonts w:asciiTheme="majorHAnsi" w:hAnsiTheme="majorHAnsi" w:cstheme="majorBidi"/>
          <w:sz w:val="23"/>
          <w:szCs w:val="23"/>
        </w:rPr>
      </w:pPr>
      <w:r w:rsidRPr="00ED1F9E">
        <w:rPr>
          <w:rFonts w:cstheme="minorHAnsi"/>
          <w:b/>
          <w:bCs/>
          <w:sz w:val="23"/>
          <w:szCs w:val="23"/>
        </w:rPr>
        <w:t>Plastic Fantastic</w:t>
      </w:r>
      <w:r w:rsidRPr="00ED1F9E">
        <w:rPr>
          <w:rFonts w:cstheme="minorHAnsi"/>
          <w:sz w:val="23"/>
          <w:szCs w:val="23"/>
        </w:rPr>
        <w:t>:</w:t>
      </w:r>
      <w:r w:rsidRPr="47C6F23B">
        <w:rPr>
          <w:rFonts w:asciiTheme="majorHAnsi" w:hAnsiTheme="majorHAnsi" w:cstheme="majorBidi"/>
          <w:sz w:val="23"/>
          <w:szCs w:val="23"/>
        </w:rPr>
        <w:t xml:space="preserve"> eco-focused project engaging local schools and residents to increase environmental literacy, promote recycling, and reduce landfill. Includes upcycling workshops (furniture, clothes mending), an innovative plastic recycling machine (converts discarded bottles into material for 3-D printing), and a public display of upcycled items.</w:t>
      </w:r>
      <w:r w:rsidR="00805410" w:rsidRPr="00805410">
        <w:rPr>
          <w:rFonts w:asciiTheme="majorHAnsi" w:hAnsiTheme="majorHAnsi" w:cstheme="majorBidi"/>
          <w:sz w:val="23"/>
          <w:szCs w:val="23"/>
        </w:rPr>
        <w:br w:type="page"/>
      </w:r>
    </w:p>
    <w:p w14:paraId="6D052786" w14:textId="4469E170" w:rsidR="00F00E3D" w:rsidRPr="006B4974"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lastRenderedPageBreak/>
        <w:t>Over four years</w:t>
      </w:r>
      <w:r>
        <w:rPr>
          <w:rFonts w:asciiTheme="majorHAnsi" w:hAnsiTheme="majorHAnsi" w:cstheme="majorBidi"/>
          <w:sz w:val="23"/>
          <w:szCs w:val="23"/>
        </w:rPr>
        <w:t>,</w:t>
      </w:r>
      <w:r w:rsidRPr="359636AC">
        <w:rPr>
          <w:rFonts w:asciiTheme="majorHAnsi" w:hAnsiTheme="majorHAnsi" w:cstheme="majorBidi"/>
          <w:sz w:val="23"/>
          <w:szCs w:val="23"/>
        </w:rPr>
        <w:t xml:space="preserve"> around 3600 people participated directly in the Broomhill Project, and over 500 activities were delivered. </w:t>
      </w:r>
      <w:hyperlink r:id="rId96">
        <w:r w:rsidRPr="359636AC">
          <w:rPr>
            <w:rStyle w:val="Hyperlink"/>
            <w:rFonts w:asciiTheme="majorHAnsi" w:hAnsiTheme="majorHAnsi" w:cstheme="majorBidi"/>
            <w:sz w:val="23"/>
            <w:szCs w:val="23"/>
          </w:rPr>
          <w:t>Evaluated</w:t>
        </w:r>
      </w:hyperlink>
      <w:r w:rsidRPr="359636AC">
        <w:rPr>
          <w:rFonts w:asciiTheme="majorHAnsi" w:hAnsiTheme="majorHAnsi" w:cstheme="majorBidi"/>
          <w:sz w:val="23"/>
          <w:szCs w:val="23"/>
        </w:rPr>
        <w:t xml:space="preserve"> as part of a broader assessment, the project</w:t>
      </w:r>
      <w:r>
        <w:rPr>
          <w:rFonts w:asciiTheme="majorHAnsi" w:hAnsiTheme="majorHAnsi" w:cstheme="majorBidi"/>
          <w:sz w:val="23"/>
          <w:szCs w:val="23"/>
        </w:rPr>
        <w:t xml:space="preserve"> was found to have</w:t>
      </w:r>
      <w:r w:rsidRPr="359636AC">
        <w:rPr>
          <w:rFonts w:asciiTheme="majorHAnsi" w:hAnsiTheme="majorHAnsi" w:cstheme="majorBidi"/>
          <w:sz w:val="23"/>
          <w:szCs w:val="23"/>
        </w:rPr>
        <w:t xml:space="preserve"> improved social cohesion, raised community spirit, helped residents build transferable skills, g</w:t>
      </w:r>
      <w:r>
        <w:rPr>
          <w:rFonts w:asciiTheme="majorHAnsi" w:hAnsiTheme="majorHAnsi" w:cstheme="majorBidi"/>
          <w:sz w:val="23"/>
          <w:szCs w:val="23"/>
        </w:rPr>
        <w:t>iven</w:t>
      </w:r>
      <w:r w:rsidRPr="359636AC">
        <w:rPr>
          <w:rFonts w:asciiTheme="majorHAnsi" w:hAnsiTheme="majorHAnsi" w:cstheme="majorBidi"/>
          <w:sz w:val="23"/>
          <w:szCs w:val="23"/>
        </w:rPr>
        <w:t xml:space="preserve"> them a voice in the regeneration process, strengthened sense of place, attracted people to the area, and reduced place-based stigma. It also fostered economic development, created new community assets, improved wellbeing, and increased residents’ opportunities for work, education</w:t>
      </w:r>
      <w:r w:rsidR="00AD7BAB">
        <w:rPr>
          <w:rFonts w:asciiTheme="majorHAnsi" w:hAnsiTheme="majorHAnsi" w:cstheme="majorBidi"/>
          <w:sz w:val="23"/>
          <w:szCs w:val="23"/>
        </w:rPr>
        <w:t>,</w:t>
      </w:r>
      <w:r w:rsidRPr="359636AC">
        <w:rPr>
          <w:rFonts w:asciiTheme="majorHAnsi" w:hAnsiTheme="majorHAnsi" w:cstheme="majorBidi"/>
          <w:sz w:val="23"/>
          <w:szCs w:val="23"/>
        </w:rPr>
        <w:t xml:space="preserve"> and training (Anderson et al, 2019: 29–30; Orr, 2019). </w:t>
      </w:r>
      <w:r w:rsidR="00AD7BAB">
        <w:rPr>
          <w:rFonts w:asciiTheme="majorHAnsi" w:hAnsiTheme="majorHAnsi" w:cstheme="majorBidi"/>
          <w:sz w:val="23"/>
          <w:szCs w:val="23"/>
        </w:rPr>
        <w:t>As of early 2021, e</w:t>
      </w:r>
      <w:r w:rsidRPr="359636AC">
        <w:rPr>
          <w:rFonts w:asciiTheme="majorHAnsi" w:hAnsiTheme="majorHAnsi" w:cstheme="majorBidi"/>
          <w:sz w:val="23"/>
          <w:szCs w:val="23"/>
        </w:rPr>
        <w:t xml:space="preserve">lements of the project </w:t>
      </w:r>
      <w:r w:rsidR="00AD7BAB">
        <w:rPr>
          <w:rFonts w:asciiTheme="majorHAnsi" w:hAnsiTheme="majorHAnsi" w:cstheme="majorBidi"/>
          <w:sz w:val="23"/>
          <w:szCs w:val="23"/>
        </w:rPr>
        <w:t>remain</w:t>
      </w:r>
      <w:r w:rsidRPr="359636AC">
        <w:rPr>
          <w:rFonts w:asciiTheme="majorHAnsi" w:hAnsiTheme="majorHAnsi" w:cstheme="majorBidi"/>
          <w:sz w:val="23"/>
          <w:szCs w:val="23"/>
        </w:rPr>
        <w:t xml:space="preserve"> active.</w:t>
      </w:r>
    </w:p>
    <w:p w14:paraId="4540311F" w14:textId="666A7663" w:rsidR="001500F8" w:rsidRDefault="00F00E3D" w:rsidP="008D0F7F">
      <w:pPr>
        <w:spacing w:after="0" w:line="276" w:lineRule="auto"/>
        <w:rPr>
          <w:rFonts w:asciiTheme="majorHAnsi" w:hAnsiTheme="majorHAnsi" w:cstheme="majorHAnsi"/>
          <w:sz w:val="23"/>
          <w:szCs w:val="23"/>
        </w:rPr>
      </w:pPr>
      <w:r w:rsidRPr="006B4974">
        <w:rPr>
          <w:rFonts w:asciiTheme="majorHAnsi" w:hAnsiTheme="majorHAnsi" w:cstheme="majorHAnsi"/>
          <w:sz w:val="23"/>
          <w:szCs w:val="23"/>
        </w:rPr>
        <w:t xml:space="preserve">The </w:t>
      </w:r>
      <w:r w:rsidR="00F33B60" w:rsidRPr="359636AC">
        <w:rPr>
          <w:rFonts w:asciiTheme="majorHAnsi" w:hAnsiTheme="majorHAnsi" w:cstheme="majorBidi"/>
          <w:sz w:val="23"/>
          <w:szCs w:val="23"/>
        </w:rPr>
        <w:t>Broomhill Project</w:t>
      </w:r>
      <w:r w:rsidR="00F33B60" w:rsidRPr="006B4974">
        <w:rPr>
          <w:rFonts w:asciiTheme="majorHAnsi" w:hAnsiTheme="majorHAnsi" w:cstheme="majorHAnsi"/>
          <w:sz w:val="23"/>
          <w:szCs w:val="23"/>
        </w:rPr>
        <w:t xml:space="preserve"> </w:t>
      </w:r>
      <w:proofErr w:type="spellStart"/>
      <w:r w:rsidRPr="006B4974">
        <w:rPr>
          <w:rFonts w:asciiTheme="majorHAnsi" w:hAnsiTheme="majorHAnsi" w:cstheme="majorHAnsi"/>
          <w:sz w:val="23"/>
          <w:szCs w:val="23"/>
        </w:rPr>
        <w:t>project</w:t>
      </w:r>
      <w:proofErr w:type="spellEnd"/>
      <w:r w:rsidRPr="006B4974">
        <w:rPr>
          <w:rFonts w:asciiTheme="majorHAnsi" w:hAnsiTheme="majorHAnsi" w:cstheme="majorHAnsi"/>
          <w:sz w:val="23"/>
          <w:szCs w:val="23"/>
        </w:rPr>
        <w:t xml:space="preserve"> won a 2017 Scottish Urban Regeneration Forum best-practice award (SURF, 2017: 6). Success factors include robust collaborative partnerships, a strong </w:t>
      </w:r>
      <w:r w:rsidR="008D0F7F">
        <w:rPr>
          <w:rFonts w:asciiTheme="majorHAnsi" w:hAnsiTheme="majorHAnsi" w:cstheme="majorHAnsi"/>
          <w:sz w:val="23"/>
          <w:szCs w:val="23"/>
        </w:rPr>
        <w:t xml:space="preserve">focus on </w:t>
      </w:r>
      <w:r w:rsidRPr="006B4974">
        <w:rPr>
          <w:rFonts w:asciiTheme="majorHAnsi" w:hAnsiTheme="majorHAnsi" w:cstheme="majorHAnsi"/>
          <w:sz w:val="23"/>
          <w:szCs w:val="23"/>
        </w:rPr>
        <w:t>community-led</w:t>
      </w:r>
      <w:r w:rsidR="008D0F7F">
        <w:rPr>
          <w:rFonts w:asciiTheme="majorHAnsi" w:hAnsiTheme="majorHAnsi" w:cstheme="majorHAnsi"/>
          <w:sz w:val="23"/>
          <w:szCs w:val="23"/>
        </w:rPr>
        <w:t xml:space="preserve"> and </w:t>
      </w:r>
      <w:r w:rsidRPr="006B4974">
        <w:rPr>
          <w:rFonts w:asciiTheme="majorHAnsi" w:hAnsiTheme="majorHAnsi" w:cstheme="majorHAnsi"/>
          <w:sz w:val="23"/>
          <w:szCs w:val="23"/>
        </w:rPr>
        <w:t xml:space="preserve">co-design </w:t>
      </w:r>
      <w:r w:rsidR="008D0F7F">
        <w:rPr>
          <w:rFonts w:asciiTheme="majorHAnsi" w:hAnsiTheme="majorHAnsi" w:cstheme="majorHAnsi"/>
          <w:sz w:val="23"/>
          <w:szCs w:val="23"/>
        </w:rPr>
        <w:t>approaches</w:t>
      </w:r>
      <w:r w:rsidRPr="006B4974">
        <w:rPr>
          <w:rFonts w:asciiTheme="majorHAnsi" w:hAnsiTheme="majorHAnsi" w:cstheme="majorHAnsi"/>
          <w:sz w:val="23"/>
          <w:szCs w:val="23"/>
        </w:rPr>
        <w:t>, alignment with a concurrent housing/revitalisation project, the creative hub</w:t>
      </w:r>
      <w:r w:rsidR="008D0F7F">
        <w:rPr>
          <w:rFonts w:asciiTheme="majorHAnsi" w:hAnsiTheme="majorHAnsi" w:cstheme="majorHAnsi"/>
          <w:sz w:val="23"/>
          <w:szCs w:val="23"/>
        </w:rPr>
        <w:t xml:space="preserve"> being sited </w:t>
      </w:r>
      <w:r w:rsidRPr="006B4974">
        <w:rPr>
          <w:rFonts w:asciiTheme="majorHAnsi" w:hAnsiTheme="majorHAnsi" w:cstheme="majorHAnsi"/>
          <w:sz w:val="23"/>
          <w:szCs w:val="23"/>
        </w:rPr>
        <w:t>within a housing estate, the skills of individual artists, and the innovative approach of RIG Arts, which oversaw a steering group of participating artists and community members. Funding partners included Creative Scotland, Riverside Inverclyde, British Gas, Heritage Lottery Fund, Tesco, People’s Postcode Trust, Climate Challenge Fund, and the Scottish Government.</w:t>
      </w:r>
    </w:p>
    <w:p w14:paraId="22B426C7" w14:textId="77777777" w:rsidR="008D0F7F" w:rsidRPr="008D0F7F" w:rsidRDefault="008D0F7F" w:rsidP="009B2FA7">
      <w:pPr>
        <w:spacing w:after="0" w:line="276" w:lineRule="auto"/>
        <w:rPr>
          <w:rFonts w:cstheme="majorHAnsi"/>
          <w:b/>
          <w:bCs/>
          <w:sz w:val="16"/>
          <w:szCs w:val="16"/>
        </w:rPr>
      </w:pPr>
    </w:p>
    <w:p w14:paraId="54D8C00D" w14:textId="76859C33" w:rsidR="00F00E3D" w:rsidRPr="00F96DA1" w:rsidRDefault="00F00E3D" w:rsidP="009B2FA7">
      <w:pPr>
        <w:spacing w:after="0" w:line="276" w:lineRule="auto"/>
        <w:rPr>
          <w:rFonts w:cstheme="majorHAnsi"/>
          <w:b/>
          <w:bCs/>
          <w:sz w:val="25"/>
          <w:szCs w:val="25"/>
        </w:rPr>
      </w:pPr>
      <w:r w:rsidRPr="00F96DA1">
        <w:rPr>
          <w:rFonts w:cstheme="majorHAnsi"/>
          <w:b/>
          <w:bCs/>
          <w:sz w:val="25"/>
          <w:szCs w:val="25"/>
        </w:rPr>
        <w:t xml:space="preserve">My Community Matters: </w:t>
      </w:r>
      <w:r>
        <w:rPr>
          <w:rFonts w:cstheme="majorHAnsi"/>
          <w:b/>
          <w:bCs/>
          <w:sz w:val="25"/>
          <w:szCs w:val="25"/>
        </w:rPr>
        <w:t xml:space="preserve">Asset-based </w:t>
      </w:r>
      <w:r w:rsidR="00EC683F">
        <w:rPr>
          <w:rFonts w:cstheme="majorHAnsi"/>
          <w:b/>
          <w:bCs/>
          <w:sz w:val="25"/>
          <w:szCs w:val="25"/>
        </w:rPr>
        <w:t>Community Development Tackling Health Inequalities</w:t>
      </w:r>
    </w:p>
    <w:p w14:paraId="1A4C8B97" w14:textId="77777777" w:rsidR="00F00E3D" w:rsidRDefault="00F00E3D" w:rsidP="009B2FA7">
      <w:pPr>
        <w:spacing w:after="0" w:line="276" w:lineRule="auto"/>
        <w:rPr>
          <w:rFonts w:cstheme="majorBidi"/>
          <w:b/>
          <w:bCs/>
          <w:sz w:val="23"/>
          <w:szCs w:val="23"/>
        </w:rPr>
      </w:pPr>
      <w:r w:rsidRPr="2B116086">
        <w:rPr>
          <w:rFonts w:cstheme="majorBidi"/>
          <w:b/>
          <w:bCs/>
          <w:sz w:val="23"/>
          <w:szCs w:val="23"/>
        </w:rPr>
        <w:t>Stoke-on-Trent, Staffordshire, UK (2012–present)</w:t>
      </w:r>
    </w:p>
    <w:p w14:paraId="0593E3AB" w14:textId="77777777" w:rsidR="00F00E3D" w:rsidRPr="00977B29" w:rsidRDefault="00F00E3D" w:rsidP="009B2FA7">
      <w:pPr>
        <w:spacing w:after="0" w:line="276" w:lineRule="auto"/>
        <w:rPr>
          <w:rFonts w:cstheme="majorHAnsi"/>
          <w:b/>
          <w:bCs/>
          <w:sz w:val="16"/>
          <w:szCs w:val="16"/>
        </w:rPr>
      </w:pPr>
    </w:p>
    <w:p w14:paraId="1591D95C" w14:textId="2700E84F" w:rsidR="00F00E3D" w:rsidRPr="00BF493B" w:rsidRDefault="00F00E3D" w:rsidP="009B2FA7">
      <w:pPr>
        <w:spacing w:after="0" w:line="276" w:lineRule="auto"/>
        <w:rPr>
          <w:rFonts w:cstheme="minorHAnsi"/>
          <w:b/>
          <w:bCs/>
          <w:color w:val="595959" w:themeColor="text1" w:themeTint="A6"/>
          <w:sz w:val="23"/>
          <w:szCs w:val="23"/>
        </w:rPr>
      </w:pPr>
      <w:r w:rsidRPr="00BF493B">
        <w:rPr>
          <w:rFonts w:cstheme="minorHAnsi"/>
          <w:b/>
          <w:bCs/>
          <w:color w:val="595959" w:themeColor="text1" w:themeTint="A6"/>
          <w:sz w:val="23"/>
          <w:szCs w:val="23"/>
        </w:rPr>
        <w:t xml:space="preserve">Main </w:t>
      </w:r>
      <w:r w:rsidR="00D95573">
        <w:rPr>
          <w:rFonts w:cstheme="minorHAnsi"/>
          <w:b/>
          <w:bCs/>
          <w:color w:val="595959" w:themeColor="text1" w:themeTint="A6"/>
          <w:sz w:val="23"/>
          <w:szCs w:val="23"/>
        </w:rPr>
        <w:t>Practice Domain</w:t>
      </w:r>
      <w:r w:rsidRPr="00BF493B">
        <w:rPr>
          <w:rFonts w:cstheme="minorHAnsi"/>
          <w:b/>
          <w:bCs/>
          <w:color w:val="595959" w:themeColor="text1" w:themeTint="A6"/>
          <w:sz w:val="23"/>
          <w:szCs w:val="23"/>
        </w:rPr>
        <w:t xml:space="preserve">(s): </w:t>
      </w:r>
      <w:r w:rsidRPr="00BF493B">
        <w:rPr>
          <w:rFonts w:cstheme="minorHAnsi"/>
          <w:b/>
          <w:bCs/>
          <w:color w:val="595959" w:themeColor="text1" w:themeTint="A6"/>
          <w:sz w:val="23"/>
          <w:szCs w:val="23"/>
        </w:rPr>
        <w:tab/>
      </w:r>
      <w:r>
        <w:rPr>
          <w:rFonts w:cstheme="minorHAnsi"/>
          <w:b/>
          <w:bCs/>
          <w:color w:val="595959" w:themeColor="text1" w:themeTint="A6"/>
          <w:sz w:val="23"/>
          <w:szCs w:val="23"/>
        </w:rPr>
        <w:tab/>
      </w:r>
      <w:r w:rsidRPr="00BF493B">
        <w:rPr>
          <w:rFonts w:cstheme="minorHAnsi"/>
          <w:b/>
          <w:bCs/>
          <w:color w:val="595959" w:themeColor="text1" w:themeTint="A6"/>
          <w:sz w:val="23"/>
          <w:szCs w:val="23"/>
        </w:rPr>
        <w:t>Health and Wellbeing, Liveability</w:t>
      </w:r>
    </w:p>
    <w:p w14:paraId="174C67C8" w14:textId="7EEA26CE" w:rsidR="00F00E3D" w:rsidRPr="00BF493B" w:rsidRDefault="00F00E3D" w:rsidP="009B2FA7">
      <w:pPr>
        <w:spacing w:after="0" w:line="276" w:lineRule="auto"/>
        <w:rPr>
          <w:rFonts w:cstheme="minorHAnsi"/>
          <w:b/>
          <w:bCs/>
          <w:color w:val="595959" w:themeColor="text1" w:themeTint="A6"/>
          <w:sz w:val="23"/>
          <w:szCs w:val="23"/>
        </w:rPr>
      </w:pPr>
      <w:r w:rsidRPr="00BF493B">
        <w:rPr>
          <w:rFonts w:cstheme="minorHAnsi"/>
          <w:b/>
          <w:bCs/>
          <w:color w:val="595959" w:themeColor="text1" w:themeTint="A6"/>
          <w:sz w:val="23"/>
          <w:szCs w:val="23"/>
        </w:rPr>
        <w:t xml:space="preserve">Secondary </w:t>
      </w:r>
      <w:r w:rsidR="00D95573">
        <w:rPr>
          <w:rFonts w:cstheme="minorHAnsi"/>
          <w:b/>
          <w:bCs/>
          <w:color w:val="595959" w:themeColor="text1" w:themeTint="A6"/>
          <w:sz w:val="23"/>
          <w:szCs w:val="23"/>
        </w:rPr>
        <w:t>Practice Domain</w:t>
      </w:r>
      <w:r w:rsidRPr="00BF493B">
        <w:rPr>
          <w:rFonts w:cstheme="minorHAnsi"/>
          <w:b/>
          <w:bCs/>
          <w:color w:val="595959" w:themeColor="text1" w:themeTint="A6"/>
          <w:sz w:val="23"/>
          <w:szCs w:val="23"/>
        </w:rPr>
        <w:t xml:space="preserve">(s): </w:t>
      </w:r>
      <w:r w:rsidRPr="00BF493B">
        <w:rPr>
          <w:rFonts w:cstheme="minorHAnsi"/>
          <w:b/>
          <w:bCs/>
          <w:color w:val="595959" w:themeColor="text1" w:themeTint="A6"/>
          <w:sz w:val="23"/>
          <w:szCs w:val="23"/>
        </w:rPr>
        <w:tab/>
        <w:t>Education</w:t>
      </w:r>
    </w:p>
    <w:p w14:paraId="69361076" w14:textId="77777777" w:rsidR="00F00E3D" w:rsidRPr="00977B29" w:rsidRDefault="00F00E3D" w:rsidP="009B2FA7">
      <w:pPr>
        <w:spacing w:after="0" w:line="276" w:lineRule="auto"/>
        <w:rPr>
          <w:rFonts w:cstheme="majorHAnsi"/>
          <w:b/>
          <w:bCs/>
          <w:sz w:val="16"/>
          <w:szCs w:val="16"/>
        </w:rPr>
      </w:pPr>
    </w:p>
    <w:p w14:paraId="5A227088" w14:textId="63A19F0F" w:rsidR="00F00E3D" w:rsidRDefault="00F00E3D" w:rsidP="009B2FA7">
      <w:pPr>
        <w:spacing w:after="0" w:line="276" w:lineRule="auto"/>
        <w:rPr>
          <w:rFonts w:asciiTheme="majorHAnsi" w:hAnsiTheme="majorHAnsi"/>
          <w:sz w:val="23"/>
          <w:szCs w:val="23"/>
        </w:rPr>
      </w:pPr>
      <w:r w:rsidRPr="2B116086">
        <w:rPr>
          <w:rFonts w:asciiTheme="majorHAnsi" w:hAnsiTheme="majorHAnsi"/>
          <w:sz w:val="23"/>
          <w:szCs w:val="23"/>
        </w:rPr>
        <w:t>Stoke-on-Trent (pop. 256,000) is one of England’s most disadvantaged cities, ranking 12th of 317 local government areas on the Indices of Multiple Deprivation scale (MHCLG, 2019: 14). Launched in 2012, the</w:t>
      </w:r>
      <w:r>
        <w:t xml:space="preserve"> </w:t>
      </w:r>
      <w:r w:rsidRPr="2B116086">
        <w:rPr>
          <w:rFonts w:asciiTheme="majorHAnsi" w:hAnsiTheme="majorHAnsi"/>
          <w:sz w:val="23"/>
          <w:szCs w:val="23"/>
        </w:rPr>
        <w:t>My Community Matters (MCM) program s</w:t>
      </w:r>
      <w:r w:rsidR="00682FD3">
        <w:rPr>
          <w:rFonts w:asciiTheme="majorHAnsi" w:hAnsiTheme="majorHAnsi"/>
          <w:sz w:val="23"/>
          <w:szCs w:val="23"/>
        </w:rPr>
        <w:t>eeks</w:t>
      </w:r>
      <w:r w:rsidRPr="2B116086">
        <w:rPr>
          <w:rFonts w:asciiTheme="majorHAnsi" w:hAnsiTheme="majorHAnsi"/>
          <w:sz w:val="23"/>
          <w:szCs w:val="23"/>
        </w:rPr>
        <w:t xml:space="preserve"> to address health inequalities and empower residents to help positively transform disadvantaged Stoke-on-Trent neighbourhoods. </w:t>
      </w:r>
      <w:r w:rsidR="00682FD3">
        <w:rPr>
          <w:rFonts w:asciiTheme="majorHAnsi" w:hAnsiTheme="majorHAnsi"/>
          <w:sz w:val="23"/>
          <w:szCs w:val="23"/>
        </w:rPr>
        <w:t xml:space="preserve">Isolation, </w:t>
      </w:r>
      <w:r w:rsidRPr="2B116086">
        <w:rPr>
          <w:rFonts w:asciiTheme="majorHAnsi" w:hAnsiTheme="majorHAnsi"/>
          <w:sz w:val="23"/>
          <w:szCs w:val="23"/>
        </w:rPr>
        <w:t>apathy</w:t>
      </w:r>
      <w:r w:rsidR="00682FD3" w:rsidRPr="00682FD3">
        <w:rPr>
          <w:rFonts w:asciiTheme="majorHAnsi" w:hAnsiTheme="majorHAnsi"/>
          <w:sz w:val="23"/>
          <w:szCs w:val="23"/>
        </w:rPr>
        <w:t xml:space="preserve"> </w:t>
      </w:r>
      <w:r w:rsidR="00682FD3">
        <w:rPr>
          <w:rFonts w:asciiTheme="majorHAnsi" w:hAnsiTheme="majorHAnsi"/>
          <w:sz w:val="23"/>
          <w:szCs w:val="23"/>
        </w:rPr>
        <w:t>d</w:t>
      </w:r>
      <w:r w:rsidR="00682FD3" w:rsidRPr="2B116086">
        <w:rPr>
          <w:rFonts w:asciiTheme="majorHAnsi" w:hAnsiTheme="majorHAnsi"/>
          <w:sz w:val="23"/>
          <w:szCs w:val="23"/>
        </w:rPr>
        <w:t>isempowerment</w:t>
      </w:r>
      <w:r w:rsidRPr="2B116086">
        <w:rPr>
          <w:rFonts w:asciiTheme="majorHAnsi" w:hAnsiTheme="majorHAnsi"/>
          <w:sz w:val="23"/>
          <w:szCs w:val="23"/>
        </w:rPr>
        <w:t xml:space="preserve">, pessimism, distrust, and feeling forgotten were common in the target communities. Ethnic tensions, loss of community spirit, low social cohesion, lack of pride in place, community apathy, and degradation of the physical environment were also pervasive issues </w:t>
      </w:r>
      <w:r>
        <w:rPr>
          <w:rFonts w:asciiTheme="majorHAnsi" w:hAnsiTheme="majorHAnsi"/>
          <w:sz w:val="23"/>
          <w:szCs w:val="23"/>
        </w:rPr>
        <w:t>(</w:t>
      </w:r>
      <w:r w:rsidRPr="359636AC">
        <w:rPr>
          <w:rFonts w:asciiTheme="majorHAnsi" w:hAnsiTheme="majorHAnsi"/>
          <w:sz w:val="23"/>
          <w:szCs w:val="23"/>
        </w:rPr>
        <w:t>Romeo-Velilla et al</w:t>
      </w:r>
      <w:r>
        <w:rPr>
          <w:rFonts w:asciiTheme="majorHAnsi" w:hAnsiTheme="majorHAnsi"/>
          <w:sz w:val="23"/>
          <w:szCs w:val="23"/>
        </w:rPr>
        <w:t>.</w:t>
      </w:r>
      <w:r w:rsidRPr="359636AC">
        <w:rPr>
          <w:rFonts w:asciiTheme="majorHAnsi" w:hAnsiTheme="majorHAnsi"/>
          <w:sz w:val="23"/>
          <w:szCs w:val="23"/>
        </w:rPr>
        <w:t>, 2016</w:t>
      </w:r>
      <w:r>
        <w:rPr>
          <w:rFonts w:asciiTheme="majorHAnsi" w:hAnsiTheme="majorHAnsi"/>
          <w:sz w:val="23"/>
          <w:szCs w:val="23"/>
        </w:rPr>
        <w:t>).</w:t>
      </w:r>
    </w:p>
    <w:p w14:paraId="7644004C" w14:textId="77777777" w:rsidR="00F00E3D" w:rsidRPr="00682FD3" w:rsidRDefault="00F00E3D" w:rsidP="009B2FA7">
      <w:pPr>
        <w:spacing w:after="0" w:line="276" w:lineRule="auto"/>
        <w:rPr>
          <w:sz w:val="16"/>
          <w:szCs w:val="16"/>
        </w:rPr>
      </w:pPr>
    </w:p>
    <w:p w14:paraId="29CC5D38" w14:textId="59402D19" w:rsidR="00F00E3D" w:rsidRPr="001B3BEC" w:rsidRDefault="00F00E3D" w:rsidP="009B2FA7">
      <w:pPr>
        <w:spacing w:after="0" w:line="276" w:lineRule="auto"/>
        <w:rPr>
          <w:rFonts w:asciiTheme="majorHAnsi" w:hAnsiTheme="majorHAnsi"/>
          <w:sz w:val="23"/>
          <w:szCs w:val="23"/>
        </w:rPr>
      </w:pPr>
      <w:r w:rsidRPr="359636AC">
        <w:rPr>
          <w:rFonts w:asciiTheme="majorHAnsi" w:hAnsiTheme="majorHAnsi"/>
          <w:sz w:val="23"/>
          <w:szCs w:val="23"/>
        </w:rPr>
        <w:t>Trialled in three pilot neighbourhoods in 2012, the MCM program now extends to 10 locations. It offers “community development activities” (fun days, coffee mornings, sewing classes, craft workshops, sport/fitness sessions, gardening clubs, youth events), and “community empowerment activities”, focu</w:t>
      </w:r>
      <w:r w:rsidR="00682FD3">
        <w:rPr>
          <w:rFonts w:asciiTheme="majorHAnsi" w:hAnsiTheme="majorHAnsi"/>
          <w:sz w:val="23"/>
          <w:szCs w:val="23"/>
        </w:rPr>
        <w:t>sing</w:t>
      </w:r>
      <w:r w:rsidRPr="359636AC">
        <w:rPr>
          <w:rFonts w:asciiTheme="majorHAnsi" w:hAnsiTheme="majorHAnsi"/>
          <w:sz w:val="23"/>
          <w:szCs w:val="23"/>
        </w:rPr>
        <w:t xml:space="preserve"> on hearing residents’ needs and working for positive change (listening events, feedback events, steering group meetings, partnership meetings). Residents can also undertake training opportunities, and “community walkabouts” to map local assets and identify problems (Romeo-Velilla et al</w:t>
      </w:r>
      <w:r w:rsidR="00682FD3">
        <w:rPr>
          <w:rFonts w:asciiTheme="majorHAnsi" w:hAnsiTheme="majorHAnsi"/>
          <w:sz w:val="23"/>
          <w:szCs w:val="23"/>
        </w:rPr>
        <w:t>.</w:t>
      </w:r>
      <w:r w:rsidRPr="359636AC">
        <w:rPr>
          <w:rFonts w:asciiTheme="majorHAnsi" w:hAnsiTheme="majorHAnsi"/>
          <w:sz w:val="23"/>
          <w:szCs w:val="23"/>
        </w:rPr>
        <w:t>, 2016; Community Ventures, n.d.).</w:t>
      </w:r>
    </w:p>
    <w:p w14:paraId="2020FFB1" w14:textId="77777777" w:rsidR="00F00E3D" w:rsidRPr="00023A4E" w:rsidRDefault="00F00E3D" w:rsidP="009B2FA7">
      <w:pPr>
        <w:spacing w:after="0" w:line="276" w:lineRule="auto"/>
        <w:rPr>
          <w:rFonts w:asciiTheme="majorHAnsi" w:hAnsiTheme="majorHAnsi"/>
          <w:sz w:val="16"/>
          <w:szCs w:val="16"/>
        </w:rPr>
      </w:pPr>
    </w:p>
    <w:p w14:paraId="1A5CC33E" w14:textId="0BF60375" w:rsidR="00F00E3D" w:rsidRPr="00B6649A" w:rsidRDefault="00F00E3D" w:rsidP="009B2FA7">
      <w:pPr>
        <w:spacing w:after="0" w:line="276" w:lineRule="auto"/>
        <w:rPr>
          <w:rFonts w:asciiTheme="majorHAnsi" w:hAnsiTheme="majorHAnsi"/>
          <w:sz w:val="23"/>
          <w:szCs w:val="23"/>
        </w:rPr>
      </w:pPr>
      <w:r w:rsidRPr="359636AC">
        <w:rPr>
          <w:rFonts w:asciiTheme="majorHAnsi" w:hAnsiTheme="majorHAnsi"/>
          <w:sz w:val="23"/>
          <w:szCs w:val="23"/>
        </w:rPr>
        <w:t>MCM is anchored in a “Connecting Communities” (C2) approach (</w:t>
      </w:r>
      <w:proofErr w:type="spellStart"/>
      <w:r w:rsidRPr="359636AC">
        <w:rPr>
          <w:rFonts w:asciiTheme="majorHAnsi" w:hAnsiTheme="majorHAnsi"/>
          <w:sz w:val="23"/>
          <w:szCs w:val="23"/>
        </w:rPr>
        <w:t>Stuteley</w:t>
      </w:r>
      <w:proofErr w:type="spellEnd"/>
      <w:r w:rsidRPr="359636AC">
        <w:rPr>
          <w:rFonts w:asciiTheme="majorHAnsi" w:hAnsiTheme="majorHAnsi"/>
          <w:sz w:val="23"/>
          <w:szCs w:val="23"/>
        </w:rPr>
        <w:t xml:space="preserve"> &amp; Hughes, 2011), a community-led and asset-based model of neighbourhood transformation. </w:t>
      </w:r>
      <w:r w:rsidR="00A56011">
        <w:rPr>
          <w:rFonts w:asciiTheme="majorHAnsi" w:hAnsiTheme="majorHAnsi"/>
          <w:sz w:val="23"/>
          <w:szCs w:val="23"/>
        </w:rPr>
        <w:t>C2 is</w:t>
      </w:r>
      <w:r w:rsidRPr="359636AC">
        <w:rPr>
          <w:rFonts w:asciiTheme="majorHAnsi" w:hAnsiTheme="majorHAnsi"/>
          <w:sz w:val="23"/>
          <w:szCs w:val="23"/>
        </w:rPr>
        <w:t xml:space="preserve"> a long-term, “bottom-up” </w:t>
      </w:r>
      <w:r w:rsidR="00A56011">
        <w:rPr>
          <w:rFonts w:asciiTheme="majorHAnsi" w:hAnsiTheme="majorHAnsi"/>
          <w:sz w:val="23"/>
          <w:szCs w:val="23"/>
        </w:rPr>
        <w:t>model for</w:t>
      </w:r>
      <w:r w:rsidRPr="359636AC">
        <w:rPr>
          <w:rFonts w:asciiTheme="majorHAnsi" w:hAnsiTheme="majorHAnsi"/>
          <w:sz w:val="23"/>
          <w:szCs w:val="23"/>
        </w:rPr>
        <w:t xml:space="preserve"> improving health, wellbeing, and liveability in disadvantaged areas. The MCM program s</w:t>
      </w:r>
      <w:r w:rsidR="00682FD3">
        <w:rPr>
          <w:rFonts w:asciiTheme="majorHAnsi" w:hAnsiTheme="majorHAnsi"/>
          <w:sz w:val="23"/>
          <w:szCs w:val="23"/>
        </w:rPr>
        <w:t>eeks</w:t>
      </w:r>
      <w:r w:rsidRPr="359636AC">
        <w:rPr>
          <w:rFonts w:asciiTheme="majorHAnsi" w:hAnsiTheme="majorHAnsi"/>
          <w:sz w:val="23"/>
          <w:szCs w:val="23"/>
        </w:rPr>
        <w:t xml:space="preserve"> to map local assets (social, physical, economic, services); encourage residents to take action, “learn by doing”, and lead decisions; and foster partnerships between residents and local service providers (Romeo-Velilla et al, 2016: 8).</w:t>
      </w:r>
      <w:r w:rsidR="00A56011">
        <w:rPr>
          <w:rFonts w:asciiTheme="majorHAnsi" w:hAnsiTheme="majorHAnsi"/>
          <w:sz w:val="23"/>
          <w:szCs w:val="23"/>
        </w:rPr>
        <w:t xml:space="preserve"> </w:t>
      </w:r>
      <w:r w:rsidRPr="359636AC">
        <w:rPr>
          <w:rFonts w:asciiTheme="majorHAnsi" w:hAnsiTheme="majorHAnsi"/>
          <w:sz w:val="23"/>
          <w:szCs w:val="23"/>
        </w:rPr>
        <w:t xml:space="preserve">Tailored to each neighbourhood, </w:t>
      </w:r>
      <w:r w:rsidR="00A56011">
        <w:rPr>
          <w:rFonts w:asciiTheme="majorHAnsi" w:hAnsiTheme="majorHAnsi"/>
          <w:sz w:val="23"/>
          <w:szCs w:val="23"/>
        </w:rPr>
        <w:t>it is</w:t>
      </w:r>
      <w:r w:rsidRPr="359636AC">
        <w:rPr>
          <w:rFonts w:asciiTheme="majorHAnsi" w:hAnsiTheme="majorHAnsi"/>
          <w:sz w:val="23"/>
          <w:szCs w:val="23"/>
        </w:rPr>
        <w:t xml:space="preserve"> funded by Stoke-on-Trent Council and </w:t>
      </w:r>
      <w:r w:rsidR="001D29C6">
        <w:rPr>
          <w:rFonts w:asciiTheme="majorHAnsi" w:hAnsiTheme="majorHAnsi"/>
          <w:sz w:val="23"/>
          <w:szCs w:val="23"/>
        </w:rPr>
        <w:t>delivered</w:t>
      </w:r>
      <w:r w:rsidRPr="359636AC">
        <w:rPr>
          <w:rFonts w:asciiTheme="majorHAnsi" w:hAnsiTheme="majorHAnsi"/>
          <w:sz w:val="23"/>
          <w:szCs w:val="23"/>
        </w:rPr>
        <w:t xml:space="preserve"> </w:t>
      </w:r>
      <w:r w:rsidR="00A56011">
        <w:rPr>
          <w:rFonts w:asciiTheme="majorHAnsi" w:hAnsiTheme="majorHAnsi"/>
          <w:sz w:val="23"/>
          <w:szCs w:val="23"/>
        </w:rPr>
        <w:t>via</w:t>
      </w:r>
      <w:r w:rsidRPr="359636AC">
        <w:rPr>
          <w:rFonts w:asciiTheme="majorHAnsi" w:hAnsiTheme="majorHAnsi"/>
          <w:sz w:val="23"/>
          <w:szCs w:val="23"/>
        </w:rPr>
        <w:t xml:space="preserve"> community development workers. It buil</w:t>
      </w:r>
      <w:r w:rsidR="00A56011">
        <w:rPr>
          <w:rFonts w:asciiTheme="majorHAnsi" w:hAnsiTheme="majorHAnsi"/>
          <w:sz w:val="23"/>
          <w:szCs w:val="23"/>
        </w:rPr>
        <w:t>ds</w:t>
      </w:r>
      <w:r w:rsidRPr="359636AC">
        <w:rPr>
          <w:rFonts w:asciiTheme="majorHAnsi" w:hAnsiTheme="majorHAnsi"/>
          <w:sz w:val="23"/>
          <w:szCs w:val="23"/>
        </w:rPr>
        <w:t xml:space="preserve"> on an earlier program, My Health Matters (2009–2012), which </w:t>
      </w:r>
      <w:r w:rsidR="001D29C6">
        <w:rPr>
          <w:rFonts w:asciiTheme="majorHAnsi" w:hAnsiTheme="majorHAnsi"/>
          <w:sz w:val="23"/>
          <w:szCs w:val="23"/>
        </w:rPr>
        <w:t>aimed</w:t>
      </w:r>
      <w:r w:rsidRPr="359636AC">
        <w:rPr>
          <w:rFonts w:asciiTheme="majorHAnsi" w:hAnsiTheme="majorHAnsi"/>
          <w:sz w:val="23"/>
          <w:szCs w:val="23"/>
        </w:rPr>
        <w:t xml:space="preserve"> to increase physical activity and healthy eating in </w:t>
      </w:r>
      <w:r>
        <w:rPr>
          <w:rFonts w:asciiTheme="majorHAnsi" w:hAnsiTheme="majorHAnsi"/>
          <w:sz w:val="23"/>
          <w:szCs w:val="23"/>
        </w:rPr>
        <w:t>disadvantage</w:t>
      </w:r>
      <w:r w:rsidR="001D29C6">
        <w:rPr>
          <w:rFonts w:asciiTheme="majorHAnsi" w:hAnsiTheme="majorHAnsi"/>
          <w:sz w:val="23"/>
          <w:szCs w:val="23"/>
        </w:rPr>
        <w:t xml:space="preserve">d </w:t>
      </w:r>
      <w:r w:rsidR="001D29C6">
        <w:rPr>
          <w:rFonts w:asciiTheme="majorHAnsi" w:hAnsiTheme="majorHAnsi"/>
          <w:sz w:val="23"/>
          <w:szCs w:val="23"/>
        </w:rPr>
        <w:lastRenderedPageBreak/>
        <w:t>communities</w:t>
      </w:r>
      <w:r w:rsidRPr="359636AC">
        <w:rPr>
          <w:rFonts w:asciiTheme="majorHAnsi" w:hAnsiTheme="majorHAnsi"/>
          <w:sz w:val="23"/>
          <w:szCs w:val="23"/>
        </w:rPr>
        <w:t>. Partners include Staffordshire Police, Staffordshire fire service, Stoke City Football Club, and Engage Communities (a specialist service working with ethnic minorities and marginalised groups).</w:t>
      </w:r>
    </w:p>
    <w:p w14:paraId="73BAF42B" w14:textId="77777777" w:rsidR="00F00E3D" w:rsidRPr="00023A4E" w:rsidRDefault="00F00E3D" w:rsidP="009B2FA7">
      <w:pPr>
        <w:spacing w:after="0" w:line="276" w:lineRule="auto"/>
        <w:rPr>
          <w:rFonts w:asciiTheme="majorHAnsi" w:hAnsiTheme="majorHAnsi"/>
          <w:sz w:val="16"/>
          <w:szCs w:val="16"/>
        </w:rPr>
      </w:pPr>
    </w:p>
    <w:p w14:paraId="6635FCDF" w14:textId="77777777" w:rsidR="00F00E3D" w:rsidRPr="002973CB" w:rsidRDefault="00F00E3D" w:rsidP="009B2FA7">
      <w:pPr>
        <w:spacing w:after="0" w:line="276" w:lineRule="auto"/>
        <w:rPr>
          <w:rFonts w:asciiTheme="majorHAnsi" w:hAnsiTheme="majorHAnsi"/>
          <w:sz w:val="23"/>
          <w:szCs w:val="23"/>
        </w:rPr>
      </w:pPr>
      <w:r w:rsidRPr="359636AC">
        <w:rPr>
          <w:rFonts w:asciiTheme="majorHAnsi" w:hAnsiTheme="majorHAnsi"/>
          <w:sz w:val="23"/>
          <w:szCs w:val="23"/>
        </w:rPr>
        <w:t>A 2016</w:t>
      </w:r>
      <w:hyperlink r:id="rId97">
        <w:r w:rsidRPr="359636AC">
          <w:rPr>
            <w:rStyle w:val="Hyperlink"/>
            <w:rFonts w:asciiTheme="majorHAnsi" w:hAnsiTheme="majorHAnsi"/>
            <w:sz w:val="23"/>
            <w:szCs w:val="23"/>
          </w:rPr>
          <w:t xml:space="preserve"> evaluation</w:t>
        </w:r>
      </w:hyperlink>
      <w:r w:rsidRPr="359636AC">
        <w:rPr>
          <w:rFonts w:asciiTheme="majorHAnsi" w:hAnsiTheme="majorHAnsi"/>
          <w:sz w:val="23"/>
          <w:szCs w:val="23"/>
        </w:rPr>
        <w:t xml:space="preserve"> covered six target neighbourhoods (Romeo-Velilla et al, 2016). Outcomes included enhanced local environments and new assets (new community hubs, kerb crossings, park and community garden upgrades, clean-ups, new youth group funding); increased empowerment, social cohesion and positivity in some localities, particularly amongst highly engaged participants; and reduced isolation, littering and antisocial behaviour. Outcomes were limited for more disengaged residents/neighbourhoods, and resident-led partnerships did not develop. MCM was nominated for a 2014 NHS Alliance Innovation in Action Awards (Provider Collaboration).</w:t>
      </w:r>
    </w:p>
    <w:p w14:paraId="4032DC8A" w14:textId="77777777" w:rsidR="00F00E3D" w:rsidRPr="00023A4E" w:rsidRDefault="00F00E3D" w:rsidP="009B2FA7">
      <w:pPr>
        <w:spacing w:after="0" w:line="276" w:lineRule="auto"/>
        <w:rPr>
          <w:sz w:val="16"/>
          <w:szCs w:val="16"/>
        </w:rPr>
      </w:pPr>
    </w:p>
    <w:p w14:paraId="7A4378B0" w14:textId="0170D68F" w:rsidR="00F00E3D" w:rsidRDefault="00682FD3" w:rsidP="009B2FA7">
      <w:pPr>
        <w:spacing w:after="0" w:line="276" w:lineRule="auto"/>
        <w:rPr>
          <w:rFonts w:asciiTheme="majorHAnsi" w:hAnsiTheme="majorHAnsi" w:cstheme="majorBidi"/>
          <w:sz w:val="23"/>
          <w:szCs w:val="23"/>
        </w:rPr>
      </w:pPr>
      <w:r>
        <w:rPr>
          <w:rFonts w:asciiTheme="majorHAnsi" w:hAnsiTheme="majorHAnsi"/>
          <w:sz w:val="23"/>
          <w:szCs w:val="23"/>
        </w:rPr>
        <w:t>E</w:t>
      </w:r>
      <w:r w:rsidR="00F00E3D" w:rsidRPr="359636AC">
        <w:rPr>
          <w:rFonts w:asciiTheme="majorHAnsi" w:hAnsiTheme="majorHAnsi"/>
          <w:sz w:val="23"/>
          <w:szCs w:val="23"/>
        </w:rPr>
        <w:t xml:space="preserve">valuators made some recommendations: development programs should engage entire communities, including disengaged residents and areas of high apathy; highly disengaged cohorts require longer program timelines; programs should form collaborations with existing local groups/projects; and resident perceptions of neutral, independent governance can improve engagement (Romeo-Velilla et al, 2016). The program is now delivered by Community Ventures, a community development agency. During the </w:t>
      </w:r>
      <w:r w:rsidR="00940D80">
        <w:rPr>
          <w:rFonts w:asciiTheme="majorHAnsi" w:hAnsiTheme="majorHAnsi"/>
          <w:sz w:val="23"/>
          <w:szCs w:val="23"/>
        </w:rPr>
        <w:t>COVID</w:t>
      </w:r>
      <w:r w:rsidR="00F00E3D" w:rsidRPr="359636AC">
        <w:rPr>
          <w:rFonts w:asciiTheme="majorHAnsi" w:hAnsiTheme="majorHAnsi"/>
          <w:sz w:val="23"/>
          <w:szCs w:val="23"/>
        </w:rPr>
        <w:t xml:space="preserve">-19 pandemic it offered a befriending service, emergency shopping and prescription collections, dog walking, and </w:t>
      </w:r>
      <w:r w:rsidR="005F7E44">
        <w:rPr>
          <w:rFonts w:asciiTheme="majorHAnsi" w:hAnsiTheme="majorHAnsi"/>
          <w:sz w:val="23"/>
          <w:szCs w:val="23"/>
        </w:rPr>
        <w:t xml:space="preserve">community </w:t>
      </w:r>
      <w:r w:rsidR="00F00E3D" w:rsidRPr="359636AC">
        <w:rPr>
          <w:rFonts w:asciiTheme="majorHAnsi" w:hAnsiTheme="majorHAnsi"/>
          <w:sz w:val="23"/>
          <w:szCs w:val="23"/>
        </w:rPr>
        <w:t>service referral</w:t>
      </w:r>
      <w:r w:rsidR="00F00E3D">
        <w:t xml:space="preserve"> (</w:t>
      </w:r>
      <w:r w:rsidR="00F00E3D" w:rsidRPr="359636AC">
        <w:rPr>
          <w:rFonts w:asciiTheme="majorHAnsi" w:hAnsiTheme="majorHAnsi"/>
          <w:sz w:val="23"/>
          <w:szCs w:val="23"/>
        </w:rPr>
        <w:t>Community Ventures, n.d.).</w:t>
      </w:r>
    </w:p>
    <w:p w14:paraId="097A00FC" w14:textId="77777777" w:rsidR="00F00E3D" w:rsidRPr="00A56011" w:rsidRDefault="00F00E3D" w:rsidP="009B2FA7">
      <w:pPr>
        <w:spacing w:after="0" w:line="276" w:lineRule="auto"/>
        <w:rPr>
          <w:rFonts w:asciiTheme="majorHAnsi" w:hAnsiTheme="majorHAnsi"/>
          <w:sz w:val="16"/>
          <w:szCs w:val="16"/>
        </w:rPr>
      </w:pPr>
    </w:p>
    <w:p w14:paraId="4B22D8E0" w14:textId="12D348C4" w:rsidR="00682FD3" w:rsidRDefault="00A86F50" w:rsidP="009B2FA7">
      <w:pPr>
        <w:spacing w:after="0" w:line="276" w:lineRule="auto"/>
        <w:rPr>
          <w:rFonts w:ascii="Calibri" w:eastAsia="Calibri" w:hAnsi="Calibri" w:cs="Calibri"/>
          <w:b/>
          <w:bCs/>
          <w:sz w:val="25"/>
          <w:szCs w:val="25"/>
        </w:rPr>
      </w:pPr>
      <w:bookmarkStart w:id="74" w:name="_Hlk70864411"/>
      <w:r>
        <w:rPr>
          <w:rFonts w:ascii="Calibri" w:eastAsia="Calibri" w:hAnsi="Calibri" w:cs="Calibri"/>
          <w:b/>
          <w:bCs/>
          <w:sz w:val="25"/>
          <w:szCs w:val="25"/>
        </w:rPr>
        <w:t xml:space="preserve">The </w:t>
      </w:r>
      <w:r w:rsidR="00F00E3D" w:rsidRPr="359636AC">
        <w:rPr>
          <w:rFonts w:ascii="Calibri" w:eastAsia="Calibri" w:hAnsi="Calibri" w:cs="Calibri"/>
          <w:b/>
          <w:bCs/>
          <w:sz w:val="25"/>
          <w:szCs w:val="25"/>
        </w:rPr>
        <w:t>Skip Garden and Kitchen</w:t>
      </w:r>
      <w:r w:rsidR="00682FD3">
        <w:rPr>
          <w:rFonts w:ascii="Calibri" w:eastAsia="Calibri" w:hAnsi="Calibri" w:cs="Calibri"/>
          <w:b/>
          <w:bCs/>
          <w:sz w:val="25"/>
          <w:szCs w:val="25"/>
        </w:rPr>
        <w:t>, Story Garden, Paper Garden</w:t>
      </w:r>
      <w:r w:rsidR="00F00E3D" w:rsidRPr="359636AC">
        <w:rPr>
          <w:rFonts w:ascii="Calibri" w:eastAsia="Calibri" w:hAnsi="Calibri" w:cs="Calibri"/>
          <w:b/>
          <w:bCs/>
          <w:sz w:val="25"/>
          <w:szCs w:val="25"/>
        </w:rPr>
        <w:t>:</w:t>
      </w:r>
    </w:p>
    <w:p w14:paraId="28847F91" w14:textId="0A2F141A" w:rsidR="00F00E3D" w:rsidRPr="00682FD3" w:rsidRDefault="00F00E3D" w:rsidP="009B2FA7">
      <w:pPr>
        <w:spacing w:after="0" w:line="276" w:lineRule="auto"/>
        <w:rPr>
          <w:rFonts w:ascii="Calibri" w:eastAsia="Calibri" w:hAnsi="Calibri" w:cs="Calibri"/>
          <w:b/>
          <w:bCs/>
          <w:sz w:val="25"/>
          <w:szCs w:val="25"/>
        </w:rPr>
      </w:pPr>
      <w:r w:rsidRPr="359636AC">
        <w:rPr>
          <w:rFonts w:ascii="Calibri" w:eastAsia="Calibri" w:hAnsi="Calibri" w:cs="Calibri"/>
          <w:b/>
          <w:bCs/>
          <w:sz w:val="25"/>
          <w:szCs w:val="25"/>
        </w:rPr>
        <w:t xml:space="preserve">Community </w:t>
      </w:r>
      <w:r w:rsidR="00682FD3" w:rsidRPr="359636AC">
        <w:rPr>
          <w:rFonts w:ascii="Calibri" w:eastAsia="Calibri" w:hAnsi="Calibri" w:cs="Calibri"/>
          <w:b/>
          <w:bCs/>
          <w:sz w:val="25"/>
          <w:szCs w:val="25"/>
        </w:rPr>
        <w:t xml:space="preserve">Gardens </w:t>
      </w:r>
      <w:r w:rsidR="00682FD3">
        <w:rPr>
          <w:rFonts w:ascii="Calibri" w:eastAsia="Calibri" w:hAnsi="Calibri" w:cs="Calibri"/>
          <w:b/>
          <w:bCs/>
          <w:sz w:val="25"/>
          <w:szCs w:val="25"/>
        </w:rPr>
        <w:t>f</w:t>
      </w:r>
      <w:r w:rsidR="00682FD3" w:rsidRPr="359636AC">
        <w:rPr>
          <w:rFonts w:ascii="Calibri" w:eastAsia="Calibri" w:hAnsi="Calibri" w:cs="Calibri"/>
          <w:b/>
          <w:bCs/>
          <w:sz w:val="25"/>
          <w:szCs w:val="25"/>
        </w:rPr>
        <w:t xml:space="preserve">or Learning, Health, </w:t>
      </w:r>
      <w:r w:rsidR="00682FD3">
        <w:rPr>
          <w:rFonts w:ascii="Calibri" w:eastAsia="Calibri" w:hAnsi="Calibri" w:cs="Calibri"/>
          <w:b/>
          <w:bCs/>
          <w:sz w:val="25"/>
          <w:szCs w:val="25"/>
        </w:rPr>
        <w:t>a</w:t>
      </w:r>
      <w:r w:rsidR="00682FD3" w:rsidRPr="359636AC">
        <w:rPr>
          <w:rFonts w:ascii="Calibri" w:eastAsia="Calibri" w:hAnsi="Calibri" w:cs="Calibri"/>
          <w:b/>
          <w:bCs/>
          <w:sz w:val="25"/>
          <w:szCs w:val="25"/>
        </w:rPr>
        <w:t xml:space="preserve">nd </w:t>
      </w:r>
      <w:r w:rsidR="00682FD3">
        <w:rPr>
          <w:rFonts w:ascii="Calibri" w:eastAsia="Calibri" w:hAnsi="Calibri" w:cs="Calibri"/>
          <w:b/>
          <w:bCs/>
          <w:sz w:val="25"/>
          <w:szCs w:val="25"/>
        </w:rPr>
        <w:t xml:space="preserve">Social </w:t>
      </w:r>
      <w:r w:rsidR="00682FD3" w:rsidRPr="359636AC">
        <w:rPr>
          <w:rFonts w:ascii="Calibri" w:eastAsia="Calibri" w:hAnsi="Calibri" w:cs="Calibri"/>
          <w:b/>
          <w:bCs/>
          <w:sz w:val="25"/>
          <w:szCs w:val="25"/>
        </w:rPr>
        <w:t>Inclusion</w:t>
      </w:r>
    </w:p>
    <w:p w14:paraId="7E1EA41B" w14:textId="293860A3" w:rsidR="00F00E3D" w:rsidRDefault="00F00E3D" w:rsidP="009B2FA7">
      <w:pPr>
        <w:spacing w:after="0" w:line="276" w:lineRule="auto"/>
        <w:rPr>
          <w:rFonts w:ascii="Calibri" w:eastAsia="Calibri" w:hAnsi="Calibri" w:cs="Calibri"/>
          <w:b/>
          <w:bCs/>
          <w:sz w:val="23"/>
          <w:szCs w:val="23"/>
        </w:rPr>
      </w:pPr>
      <w:r w:rsidRPr="359636AC">
        <w:rPr>
          <w:rFonts w:ascii="Calibri" w:eastAsia="Calibri" w:hAnsi="Calibri" w:cs="Calibri"/>
          <w:b/>
          <w:bCs/>
          <w:sz w:val="23"/>
          <w:szCs w:val="23"/>
        </w:rPr>
        <w:t>King’s Cross, London (2009 –</w:t>
      </w:r>
      <w:r w:rsidR="00682FD3">
        <w:rPr>
          <w:rFonts w:ascii="Calibri" w:eastAsia="Calibri" w:hAnsi="Calibri" w:cs="Calibri"/>
          <w:b/>
          <w:bCs/>
          <w:sz w:val="23"/>
          <w:szCs w:val="23"/>
        </w:rPr>
        <w:t>present</w:t>
      </w:r>
      <w:r w:rsidRPr="359636AC">
        <w:rPr>
          <w:rFonts w:ascii="Calibri" w:eastAsia="Calibri" w:hAnsi="Calibri" w:cs="Calibri"/>
          <w:b/>
          <w:bCs/>
          <w:sz w:val="23"/>
          <w:szCs w:val="23"/>
        </w:rPr>
        <w:t>)</w:t>
      </w:r>
    </w:p>
    <w:bookmarkEnd w:id="74"/>
    <w:p w14:paraId="788A961E" w14:textId="77777777" w:rsidR="00F00E3D" w:rsidRPr="00023A4E" w:rsidRDefault="00F00E3D" w:rsidP="009B2FA7">
      <w:pPr>
        <w:spacing w:after="0" w:line="276" w:lineRule="auto"/>
        <w:rPr>
          <w:sz w:val="16"/>
          <w:szCs w:val="16"/>
        </w:rPr>
      </w:pPr>
    </w:p>
    <w:p w14:paraId="77ADF5E8" w14:textId="57D38ED9" w:rsidR="00F00E3D" w:rsidRPr="00CC521D" w:rsidRDefault="00F00E3D" w:rsidP="009B2FA7">
      <w:pPr>
        <w:spacing w:after="0" w:line="276" w:lineRule="auto"/>
        <w:rPr>
          <w:color w:val="595959" w:themeColor="text1" w:themeTint="A6"/>
        </w:rPr>
      </w:pPr>
      <w:r w:rsidRPr="00CC521D">
        <w:rPr>
          <w:rFonts w:ascii="Calibri" w:eastAsia="Calibri" w:hAnsi="Calibri" w:cs="Calibri"/>
          <w:b/>
          <w:bCs/>
          <w:color w:val="595959" w:themeColor="text1" w:themeTint="A6"/>
          <w:sz w:val="23"/>
          <w:szCs w:val="23"/>
        </w:rPr>
        <w:t xml:space="preserve">Main </w:t>
      </w:r>
      <w:r w:rsidR="00D95573">
        <w:rPr>
          <w:rFonts w:ascii="Calibri" w:eastAsia="Calibri" w:hAnsi="Calibri" w:cs="Calibri"/>
          <w:b/>
          <w:bCs/>
          <w:color w:val="595959" w:themeColor="text1" w:themeTint="A6"/>
          <w:sz w:val="23"/>
          <w:szCs w:val="23"/>
        </w:rPr>
        <w:t>Practice Domain</w:t>
      </w:r>
      <w:r w:rsidRPr="00CC521D">
        <w:rPr>
          <w:rFonts w:ascii="Calibri" w:eastAsia="Calibri" w:hAnsi="Calibri" w:cs="Calibri"/>
          <w:b/>
          <w:bCs/>
          <w:color w:val="595959" w:themeColor="text1" w:themeTint="A6"/>
          <w:sz w:val="23"/>
          <w:szCs w:val="23"/>
        </w:rPr>
        <w:t xml:space="preserve">(s):          </w:t>
      </w:r>
      <w:r w:rsidRPr="00CC521D">
        <w:rPr>
          <w:rFonts w:ascii="Calibri" w:eastAsia="Calibri" w:hAnsi="Calibri" w:cs="Calibri"/>
          <w:b/>
          <w:bCs/>
          <w:color w:val="595959" w:themeColor="text1" w:themeTint="A6"/>
          <w:sz w:val="23"/>
          <w:szCs w:val="23"/>
        </w:rPr>
        <w:tab/>
        <w:t>Health and Wellbeing, Liveability, Education</w:t>
      </w:r>
    </w:p>
    <w:p w14:paraId="67BFAC9B" w14:textId="50325D60" w:rsidR="00F00E3D" w:rsidRPr="00CC521D" w:rsidRDefault="00F00E3D" w:rsidP="009B2FA7">
      <w:pPr>
        <w:spacing w:after="0" w:line="276" w:lineRule="auto"/>
        <w:rPr>
          <w:color w:val="595959" w:themeColor="text1" w:themeTint="A6"/>
        </w:rPr>
      </w:pPr>
      <w:r w:rsidRPr="00CC521D">
        <w:rPr>
          <w:rFonts w:ascii="Calibri" w:eastAsia="Calibri" w:hAnsi="Calibri" w:cs="Calibri"/>
          <w:b/>
          <w:bCs/>
          <w:color w:val="595959" w:themeColor="text1" w:themeTint="A6"/>
          <w:sz w:val="23"/>
          <w:szCs w:val="23"/>
        </w:rPr>
        <w:t xml:space="preserve">Secondary </w:t>
      </w:r>
      <w:r w:rsidR="00D95573">
        <w:rPr>
          <w:rFonts w:ascii="Calibri" w:eastAsia="Calibri" w:hAnsi="Calibri" w:cs="Calibri"/>
          <w:b/>
          <w:bCs/>
          <w:color w:val="595959" w:themeColor="text1" w:themeTint="A6"/>
          <w:sz w:val="23"/>
          <w:szCs w:val="23"/>
        </w:rPr>
        <w:t>Practice Domain</w:t>
      </w:r>
      <w:r w:rsidRPr="00CC521D">
        <w:rPr>
          <w:rFonts w:ascii="Calibri" w:eastAsia="Calibri" w:hAnsi="Calibri" w:cs="Calibri"/>
          <w:b/>
          <w:bCs/>
          <w:color w:val="595959" w:themeColor="text1" w:themeTint="A6"/>
          <w:sz w:val="23"/>
          <w:szCs w:val="23"/>
        </w:rPr>
        <w:t xml:space="preserve">(s): </w:t>
      </w:r>
      <w:r w:rsidRPr="00CC521D">
        <w:rPr>
          <w:rFonts w:ascii="Calibri" w:eastAsia="Calibri" w:hAnsi="Calibri" w:cs="Calibri"/>
          <w:b/>
          <w:bCs/>
          <w:color w:val="595959" w:themeColor="text1" w:themeTint="A6"/>
          <w:sz w:val="23"/>
          <w:szCs w:val="23"/>
        </w:rPr>
        <w:tab/>
        <w:t>Employment, Housing</w:t>
      </w:r>
    </w:p>
    <w:p w14:paraId="3F4DA2BB" w14:textId="77777777" w:rsidR="00F00E3D" w:rsidRPr="00023A4E" w:rsidRDefault="00F00E3D" w:rsidP="009B2FA7">
      <w:pPr>
        <w:spacing w:after="0" w:line="276" w:lineRule="auto"/>
        <w:rPr>
          <w:rFonts w:ascii="Calibri Light" w:eastAsia="Calibri Light" w:hAnsi="Calibri Light" w:cs="Calibri Light"/>
          <w:sz w:val="16"/>
          <w:szCs w:val="16"/>
        </w:rPr>
      </w:pPr>
    </w:p>
    <w:p w14:paraId="2068B368" w14:textId="3CC18195" w:rsidR="00F00E3D" w:rsidRDefault="00F00E3D" w:rsidP="009B2FA7">
      <w:pPr>
        <w:spacing w:line="276" w:lineRule="auto"/>
      </w:pPr>
      <w:r w:rsidRPr="359636AC">
        <w:rPr>
          <w:rFonts w:ascii="Calibri Light" w:eastAsia="Calibri Light" w:hAnsi="Calibri Light" w:cs="Calibri Light"/>
          <w:sz w:val="23"/>
          <w:szCs w:val="23"/>
        </w:rPr>
        <w:t>London is a city of high rents, spatial inequalities, overcrowd</w:t>
      </w:r>
      <w:r w:rsidR="003C6B70">
        <w:rPr>
          <w:rFonts w:ascii="Calibri Light" w:eastAsia="Calibri Light" w:hAnsi="Calibri Light" w:cs="Calibri Light"/>
          <w:sz w:val="23"/>
          <w:szCs w:val="23"/>
        </w:rPr>
        <w:t>ed housing</w:t>
      </w:r>
      <w:r w:rsidRPr="359636AC">
        <w:rPr>
          <w:rFonts w:ascii="Calibri Light" w:eastAsia="Calibri Light" w:hAnsi="Calibri Light" w:cs="Calibri Light"/>
          <w:sz w:val="23"/>
          <w:szCs w:val="23"/>
        </w:rPr>
        <w:t>, and wealth disparity. Despite several policy initiatives</w:t>
      </w:r>
      <w:r w:rsidRPr="1A3976D9">
        <w:rPr>
          <w:rFonts w:ascii="Calibri Light" w:eastAsia="Calibri Light" w:hAnsi="Calibri Light" w:cs="Calibri Light"/>
          <w:sz w:val="23"/>
          <w:szCs w:val="23"/>
        </w:rPr>
        <w:t xml:space="preserve"> targeting</w:t>
      </w:r>
      <w:r w:rsidRPr="359636AC">
        <w:rPr>
          <w:rFonts w:ascii="Calibri Light" w:eastAsia="Calibri Light" w:hAnsi="Calibri Light" w:cs="Calibri Light"/>
          <w:sz w:val="23"/>
          <w:szCs w:val="23"/>
        </w:rPr>
        <w:t xml:space="preserve"> food security</w:t>
      </w:r>
      <w:r w:rsidRPr="1A3976D9">
        <w:rPr>
          <w:rFonts w:ascii="Calibri Light" w:eastAsia="Calibri Light" w:hAnsi="Calibri Light" w:cs="Calibri Light"/>
          <w:sz w:val="23"/>
          <w:szCs w:val="23"/>
        </w:rPr>
        <w:t>, it</w:t>
      </w:r>
      <w:r w:rsidRPr="359636AC">
        <w:rPr>
          <w:rFonts w:ascii="Calibri Light" w:eastAsia="Calibri Light" w:hAnsi="Calibri Light" w:cs="Calibri Light"/>
          <w:sz w:val="23"/>
          <w:szCs w:val="23"/>
        </w:rPr>
        <w:t xml:space="preserve"> remains a major issue. Food banks struggle to meet demand and 9 percent of children sometimes or often go to bed hungry (Marovelli, 2019: 191; Sustain, 2016). In 2015 London was rated the loneliest region in the UK (ACEVO, 2015).</w:t>
      </w:r>
    </w:p>
    <w:p w14:paraId="6BB75D98" w14:textId="77777777" w:rsidR="00F00E3D" w:rsidRDefault="00F00E3D" w:rsidP="009B2FA7">
      <w:pPr>
        <w:spacing w:line="276" w:lineRule="auto"/>
      </w:pPr>
      <w:r w:rsidRPr="359636AC">
        <w:rPr>
          <w:rFonts w:ascii="Calibri Light" w:eastAsia="Calibri Light" w:hAnsi="Calibri Light" w:cs="Calibri Light"/>
          <w:sz w:val="23"/>
          <w:szCs w:val="23"/>
        </w:rPr>
        <w:t>Many of London’s low-income residents are clustered in council estates and social housing blocks, with minimal or non-existent access to communal spaces. This limits social interaction, community cohesion, and play opportunities for children. King’s Cross (pop. 13,400) is a multicultural neighbourhood in central London. In 2015 around 48 percent of local children lived in poverty, and 45 percent of older residents lived in deprivation (Kings Cross, 2015). Until recently it had limited green space and a longstanding reputation for crime and drugs.</w:t>
      </w:r>
    </w:p>
    <w:p w14:paraId="748E6EA0" w14:textId="77777777" w:rsidR="00F00E3D" w:rsidRDefault="00F00E3D" w:rsidP="009B2FA7">
      <w:pPr>
        <w:spacing w:line="276" w:lineRule="auto"/>
      </w:pPr>
      <w:r w:rsidRPr="359636AC">
        <w:rPr>
          <w:rFonts w:ascii="Calibri Light" w:eastAsia="Calibri Light" w:hAnsi="Calibri Light" w:cs="Calibri Light"/>
          <w:sz w:val="23"/>
          <w:szCs w:val="23"/>
        </w:rPr>
        <w:t>In 2007 Kings Cross became the site of a huge urban regeneration project, now nearing completion. In 2009 Global Generation, an education charity, established a community garden on the 67-acre construction site. The Skip Garden was set up as a temporary food growing space, under a “meanwhile lease” as part of the developer’s strategy for “sustainable innovation and community involvement”. The £200,000 project was funded by the Big Lottery, Islington and Camden Councils, and developers (Interim Spaces, n.d.).</w:t>
      </w:r>
      <w:r w:rsidRPr="1A3976D9">
        <w:rPr>
          <w:rFonts w:ascii="Calibri Light" w:eastAsia="Calibri Light" w:hAnsi="Calibri Light" w:cs="Calibri Light"/>
          <w:sz w:val="23"/>
          <w:szCs w:val="23"/>
        </w:rPr>
        <w:t xml:space="preserve"> The installation became an epicentre for a range of community development and engagement activities.</w:t>
      </w:r>
    </w:p>
    <w:p w14:paraId="1736EB3C" w14:textId="77777777" w:rsidR="00F00E3D" w:rsidRDefault="00F00E3D" w:rsidP="009B2FA7">
      <w:pPr>
        <w:spacing w:line="276" w:lineRule="auto"/>
      </w:pPr>
      <w:r w:rsidRPr="359636AC">
        <w:rPr>
          <w:rFonts w:ascii="Calibri Light" w:eastAsia="Calibri Light" w:hAnsi="Calibri Light" w:cs="Calibri Light"/>
          <w:sz w:val="23"/>
          <w:szCs w:val="23"/>
        </w:rPr>
        <w:lastRenderedPageBreak/>
        <w:t>The Skip Garden was designed to be portable, moving to different locations as land was sold for construction. Built by young people and local volunteers, it was created from upcycled rubbish skips and polytunnels, with material donated by construction companies. Residents grew fruit trees, vegetables, herbs, and flowers, and maintained beehives. Based on organic practices (rotational planting, rainwater harvesting, aerobic composting), the garden was largely self-sustaining (Global Generation, n.d.).</w:t>
      </w:r>
    </w:p>
    <w:p w14:paraId="30EB210F" w14:textId="77777777" w:rsidR="00F00E3D" w:rsidRDefault="00F00E3D" w:rsidP="009B2FA7">
      <w:pPr>
        <w:spacing w:line="276" w:lineRule="auto"/>
      </w:pPr>
      <w:r w:rsidRPr="359636AC">
        <w:rPr>
          <w:rFonts w:ascii="Calibri Light" w:eastAsia="Calibri Light" w:hAnsi="Calibri Light" w:cs="Calibri Light"/>
          <w:sz w:val="23"/>
          <w:szCs w:val="23"/>
        </w:rPr>
        <w:t xml:space="preserve">The project combined food education for kids, healthy food-sharing activities, </w:t>
      </w:r>
      <w:r w:rsidRPr="1A3976D9">
        <w:rPr>
          <w:rFonts w:ascii="Calibri Light" w:eastAsia="Calibri Light" w:hAnsi="Calibri Light" w:cs="Calibri Light"/>
          <w:sz w:val="23"/>
          <w:szCs w:val="23"/>
        </w:rPr>
        <w:t xml:space="preserve">workshops, recreational programs, </w:t>
      </w:r>
      <w:r w:rsidRPr="359636AC">
        <w:rPr>
          <w:rFonts w:ascii="Calibri Light" w:eastAsia="Calibri Light" w:hAnsi="Calibri Light" w:cs="Calibri Light"/>
          <w:sz w:val="23"/>
          <w:szCs w:val="23"/>
        </w:rPr>
        <w:t xml:space="preserve">and the Skip Kitchen, a small but lively vegetarian cafe that generated independent income. Staff and volunteers were primarily women from different ethnic backgrounds. Young people with learning disabilities also helped prepare and serve meals. The food preparation area was open to the dining room, and staff, guests, and volunteers ate together at shared tables (Marovelli, 2019: 196). </w:t>
      </w:r>
    </w:p>
    <w:p w14:paraId="47600222" w14:textId="77777777" w:rsidR="00F00E3D" w:rsidRDefault="00F00E3D" w:rsidP="009B2FA7">
      <w:pPr>
        <w:spacing w:line="276" w:lineRule="auto"/>
      </w:pPr>
      <w:r w:rsidRPr="359636AC">
        <w:rPr>
          <w:rFonts w:ascii="Calibri Light" w:eastAsia="Calibri Light" w:hAnsi="Calibri Light" w:cs="Calibri Light"/>
          <w:sz w:val="23"/>
          <w:szCs w:val="23"/>
        </w:rPr>
        <w:t>Sub-projects included:</w:t>
      </w:r>
    </w:p>
    <w:p w14:paraId="493EA958" w14:textId="77777777" w:rsidR="00F00E3D" w:rsidRDefault="00F00E3D" w:rsidP="00364C5D">
      <w:pPr>
        <w:pStyle w:val="ListParagraph"/>
        <w:numPr>
          <w:ilvl w:val="0"/>
          <w:numId w:val="23"/>
        </w:numPr>
        <w:spacing w:line="276" w:lineRule="auto"/>
        <w:rPr>
          <w:rFonts w:eastAsiaTheme="minorEastAsia"/>
          <w:sz w:val="23"/>
          <w:szCs w:val="23"/>
        </w:rPr>
      </w:pPr>
      <w:r w:rsidRPr="00ED1F9E">
        <w:rPr>
          <w:rFonts w:eastAsia="Calibri Light" w:cstheme="minorHAnsi"/>
          <w:b/>
          <w:bCs/>
          <w:sz w:val="23"/>
          <w:szCs w:val="23"/>
        </w:rPr>
        <w:t>Junior Chef Club:</w:t>
      </w:r>
      <w:r w:rsidRPr="71C466D6">
        <w:rPr>
          <w:rFonts w:ascii="Calibri Light" w:eastAsia="Calibri Light" w:hAnsi="Calibri Light" w:cs="Calibri Light"/>
          <w:b/>
          <w:bCs/>
          <w:sz w:val="23"/>
          <w:szCs w:val="23"/>
        </w:rPr>
        <w:t xml:space="preserve"> </w:t>
      </w:r>
      <w:r w:rsidRPr="71C466D6">
        <w:rPr>
          <w:rFonts w:ascii="Calibri Light" w:eastAsia="Calibri Light" w:hAnsi="Calibri Light" w:cs="Calibri Light"/>
          <w:sz w:val="23"/>
          <w:szCs w:val="23"/>
        </w:rPr>
        <w:t>10-session program teaching kids about seasonality and diverse culinary traditions</w:t>
      </w:r>
    </w:p>
    <w:p w14:paraId="03F36A64" w14:textId="77777777" w:rsidR="00F00E3D" w:rsidRDefault="00F00E3D" w:rsidP="00364C5D">
      <w:pPr>
        <w:pStyle w:val="ListParagraph"/>
        <w:numPr>
          <w:ilvl w:val="0"/>
          <w:numId w:val="23"/>
        </w:numPr>
        <w:spacing w:line="276" w:lineRule="auto"/>
        <w:rPr>
          <w:rFonts w:eastAsiaTheme="minorEastAsia"/>
          <w:sz w:val="23"/>
          <w:szCs w:val="23"/>
        </w:rPr>
      </w:pPr>
      <w:r w:rsidRPr="00ED1F9E">
        <w:rPr>
          <w:rFonts w:eastAsia="Calibri Light" w:cstheme="minorHAnsi"/>
          <w:b/>
          <w:bCs/>
          <w:sz w:val="23"/>
          <w:szCs w:val="23"/>
        </w:rPr>
        <w:t>Friday Night Out:</w:t>
      </w:r>
      <w:r w:rsidRPr="71C466D6">
        <w:rPr>
          <w:rFonts w:ascii="Calibri Light" w:eastAsia="Calibri Light" w:hAnsi="Calibri Light" w:cs="Calibri Light"/>
          <w:b/>
          <w:bCs/>
          <w:sz w:val="23"/>
          <w:szCs w:val="23"/>
        </w:rPr>
        <w:t xml:space="preserve"> </w:t>
      </w:r>
      <w:r w:rsidRPr="71C466D6">
        <w:rPr>
          <w:rFonts w:ascii="Calibri Light" w:eastAsia="Calibri Light" w:hAnsi="Calibri Light" w:cs="Calibri Light"/>
          <w:sz w:val="23"/>
          <w:szCs w:val="23"/>
        </w:rPr>
        <w:t>fortnightly program for kids aged 8–14 to play football, cook and eat together (fostering healthy attitudes towards sports and food)</w:t>
      </w:r>
    </w:p>
    <w:p w14:paraId="2C453481" w14:textId="057AF54A" w:rsidR="00F00E3D" w:rsidRPr="00117765" w:rsidRDefault="00F00E3D" w:rsidP="00364C5D">
      <w:pPr>
        <w:pStyle w:val="ListParagraph"/>
        <w:numPr>
          <w:ilvl w:val="0"/>
          <w:numId w:val="23"/>
        </w:numPr>
        <w:spacing w:line="276" w:lineRule="auto"/>
        <w:rPr>
          <w:rFonts w:eastAsiaTheme="minorEastAsia"/>
          <w:sz w:val="23"/>
          <w:szCs w:val="23"/>
        </w:rPr>
      </w:pPr>
      <w:r w:rsidRPr="00ED1F9E">
        <w:rPr>
          <w:rFonts w:eastAsia="Calibri Light" w:cstheme="minorHAnsi"/>
          <w:b/>
          <w:bCs/>
          <w:sz w:val="23"/>
          <w:szCs w:val="23"/>
        </w:rPr>
        <w:t>Lunch and Learning</w:t>
      </w:r>
      <w:r w:rsidRPr="00ED1F9E">
        <w:rPr>
          <w:rFonts w:eastAsia="Calibri Light" w:cstheme="minorHAnsi"/>
          <w:sz w:val="23"/>
          <w:szCs w:val="23"/>
        </w:rPr>
        <w:t>:</w:t>
      </w:r>
      <w:r w:rsidRPr="71C466D6">
        <w:rPr>
          <w:rFonts w:ascii="Calibri Light" w:eastAsia="Calibri Light" w:hAnsi="Calibri Light" w:cs="Calibri Light"/>
          <w:sz w:val="23"/>
          <w:szCs w:val="23"/>
        </w:rPr>
        <w:t xml:space="preserve"> kids meet local businesses owners</w:t>
      </w:r>
      <w:r w:rsidR="00DF46BA">
        <w:rPr>
          <w:rFonts w:ascii="Calibri Light" w:eastAsia="Calibri Light" w:hAnsi="Calibri Light" w:cs="Calibri Light"/>
          <w:sz w:val="23"/>
          <w:szCs w:val="23"/>
        </w:rPr>
        <w:t xml:space="preserve"> and volunteers</w:t>
      </w:r>
      <w:r w:rsidRPr="71C466D6">
        <w:rPr>
          <w:rFonts w:ascii="Calibri Light" w:eastAsia="Calibri Light" w:hAnsi="Calibri Light" w:cs="Calibri Light"/>
          <w:sz w:val="23"/>
          <w:szCs w:val="23"/>
        </w:rPr>
        <w:t xml:space="preserve">, do workshops together, </w:t>
      </w:r>
      <w:r w:rsidR="00DF46BA">
        <w:rPr>
          <w:rFonts w:ascii="Calibri Light" w:eastAsia="Calibri Light" w:hAnsi="Calibri Light" w:cs="Calibri Light"/>
          <w:sz w:val="23"/>
          <w:szCs w:val="23"/>
        </w:rPr>
        <w:t xml:space="preserve">co-design </w:t>
      </w:r>
      <w:r w:rsidR="00633FB1">
        <w:rPr>
          <w:rFonts w:ascii="Calibri Light" w:eastAsia="Calibri Light" w:hAnsi="Calibri Light" w:cs="Calibri Light"/>
          <w:sz w:val="23"/>
          <w:szCs w:val="23"/>
        </w:rPr>
        <w:t>products and activities</w:t>
      </w:r>
      <w:r w:rsidR="00DF46BA">
        <w:rPr>
          <w:rFonts w:ascii="Calibri Light" w:eastAsia="Calibri Light" w:hAnsi="Calibri Light" w:cs="Calibri Light"/>
          <w:sz w:val="23"/>
          <w:szCs w:val="23"/>
        </w:rPr>
        <w:t xml:space="preserve">, </w:t>
      </w:r>
      <w:r w:rsidRPr="71C466D6">
        <w:rPr>
          <w:rFonts w:ascii="Calibri Light" w:eastAsia="Calibri Light" w:hAnsi="Calibri Light" w:cs="Calibri Light"/>
          <w:sz w:val="23"/>
          <w:szCs w:val="23"/>
        </w:rPr>
        <w:t xml:space="preserve">then share lunch (Marovelli, </w:t>
      </w:r>
      <w:r w:rsidRPr="00117765">
        <w:rPr>
          <w:rFonts w:ascii="Calibri Light" w:eastAsia="Calibri Light" w:hAnsi="Calibri Light" w:cs="Calibri Light"/>
          <w:sz w:val="23"/>
          <w:szCs w:val="23"/>
        </w:rPr>
        <w:t>2019: 193).</w:t>
      </w:r>
    </w:p>
    <w:p w14:paraId="7D379581" w14:textId="210483DE" w:rsidR="001545C0" w:rsidRPr="001545C0" w:rsidRDefault="00F00E3D" w:rsidP="009B2FA7">
      <w:pPr>
        <w:spacing w:line="276" w:lineRule="auto"/>
      </w:pPr>
      <w:r w:rsidRPr="00117765">
        <w:rPr>
          <w:rFonts w:ascii="Calibri Light" w:eastAsia="Calibri Light" w:hAnsi="Calibri Light" w:cs="Calibri Light"/>
          <w:sz w:val="23"/>
          <w:szCs w:val="23"/>
        </w:rPr>
        <w:t xml:space="preserve">A recent </w:t>
      </w:r>
      <w:hyperlink r:id="rId98" w:history="1">
        <w:r w:rsidRPr="00117765">
          <w:rPr>
            <w:rStyle w:val="Hyperlink"/>
            <w:rFonts w:ascii="Calibri Light" w:eastAsia="Calibri Light" w:hAnsi="Calibri Light" w:cs="Calibri Light"/>
            <w:sz w:val="23"/>
            <w:szCs w:val="23"/>
          </w:rPr>
          <w:t>ethnographic study</w:t>
        </w:r>
      </w:hyperlink>
      <w:r w:rsidRPr="00117765">
        <w:rPr>
          <w:rFonts w:ascii="Calibri Light" w:eastAsia="Calibri Light" w:hAnsi="Calibri Light" w:cs="Calibri Light"/>
          <w:sz w:val="23"/>
          <w:szCs w:val="23"/>
        </w:rPr>
        <w:t xml:space="preserve"> found that the Skip Garden and Kitchen provided a safe, welcoming space for people to socialise, eat nourishing meals together, exchange knowledge, and share experiences. It fostered social cohesion, built community</w:t>
      </w:r>
      <w:r w:rsidRPr="47C6F23B">
        <w:rPr>
          <w:rFonts w:ascii="Calibri Light" w:eastAsia="Calibri Light" w:hAnsi="Calibri Light" w:cs="Calibri Light"/>
          <w:sz w:val="23"/>
          <w:szCs w:val="23"/>
        </w:rPr>
        <w:t xml:space="preserve"> across difference, and eased loneliness for both participants and volunteers (Marovelli, 2019). The project </w:t>
      </w:r>
      <w:r w:rsidRPr="1A3976D9">
        <w:rPr>
          <w:rFonts w:ascii="Calibri Light" w:eastAsia="Calibri Light" w:hAnsi="Calibri Light" w:cs="Calibri Light"/>
          <w:sz w:val="23"/>
          <w:szCs w:val="23"/>
        </w:rPr>
        <w:t>also improved</w:t>
      </w:r>
      <w:r w:rsidRPr="47C6F23B">
        <w:rPr>
          <w:rFonts w:ascii="Calibri Light" w:eastAsia="Calibri Light" w:hAnsi="Calibri Light" w:cs="Calibri Light"/>
          <w:sz w:val="23"/>
          <w:szCs w:val="23"/>
        </w:rPr>
        <w:t xml:space="preserve"> residents’ food security, access to communal space, and knowledge of healthy food. Parents said the garden was “the perfect antidote” to urban lifestyles</w:t>
      </w:r>
      <w:r w:rsidRPr="1A3976D9">
        <w:rPr>
          <w:rFonts w:ascii="Calibri Light" w:eastAsia="Calibri Light" w:hAnsi="Calibri Light" w:cs="Calibri Light"/>
          <w:sz w:val="23"/>
          <w:szCs w:val="23"/>
        </w:rPr>
        <w:t>, and that it</w:t>
      </w:r>
      <w:r w:rsidRPr="47C6F23B">
        <w:rPr>
          <w:rFonts w:ascii="Calibri Light" w:eastAsia="Calibri Light" w:hAnsi="Calibri Light" w:cs="Calibri Light"/>
          <w:sz w:val="23"/>
          <w:szCs w:val="23"/>
        </w:rPr>
        <w:t xml:space="preserve"> encouraged kids to leave the house (Global Generation, 2016).</w:t>
      </w:r>
      <w:r w:rsidR="001545C0">
        <w:t xml:space="preserve"> </w:t>
      </w:r>
      <w:r w:rsidRPr="359636AC">
        <w:rPr>
          <w:rFonts w:ascii="Calibri Light" w:eastAsia="Calibri Light" w:hAnsi="Calibri Light" w:cs="Calibri Light"/>
          <w:sz w:val="23"/>
          <w:szCs w:val="23"/>
        </w:rPr>
        <w:t>The Skip Garden and Kitchen ran for 10 years, closing in October 2019.</w:t>
      </w:r>
      <w:r w:rsidR="005B0733" w:rsidRPr="005B0733">
        <w:rPr>
          <w:rFonts w:ascii="Calibri Light" w:eastAsia="Calibri Light" w:hAnsi="Calibri Light" w:cs="Calibri Light"/>
          <w:sz w:val="23"/>
          <w:szCs w:val="23"/>
        </w:rPr>
        <w:t xml:space="preserve"> </w:t>
      </w:r>
      <w:r w:rsidR="005B0733">
        <w:rPr>
          <w:rFonts w:ascii="Calibri Light" w:eastAsia="Calibri Light" w:hAnsi="Calibri Light" w:cs="Calibri Light"/>
          <w:sz w:val="23"/>
          <w:szCs w:val="23"/>
        </w:rPr>
        <w:t>In early 2021, some of the skips were relocated to form “parklets” in Kentish Town.</w:t>
      </w:r>
    </w:p>
    <w:p w14:paraId="6DF56BFF" w14:textId="71CA3A12" w:rsidR="00F00E3D" w:rsidRDefault="00F00E3D" w:rsidP="009B2FA7">
      <w:pPr>
        <w:spacing w:line="276" w:lineRule="auto"/>
      </w:pPr>
      <w:r w:rsidRPr="00DA6944">
        <w:rPr>
          <w:rFonts w:eastAsia="Calibri Light" w:cstheme="minorHAnsi"/>
          <w:b/>
          <w:bCs/>
          <w:sz w:val="23"/>
          <w:szCs w:val="23"/>
        </w:rPr>
        <w:t>Story Garden:</w:t>
      </w:r>
      <w:r w:rsidRPr="359636AC">
        <w:rPr>
          <w:rFonts w:ascii="Calibri Light" w:eastAsia="Calibri Light" w:hAnsi="Calibri Light" w:cs="Calibri Light"/>
          <w:sz w:val="23"/>
          <w:szCs w:val="23"/>
        </w:rPr>
        <w:t xml:space="preserve"> In June 2019 work began on a new temporary garden in Somers Town, an adjacent suburb. The Story Garden is sited on a one-acre block behind the British Library. Around 650 adults and 300 young people </w:t>
      </w:r>
      <w:r w:rsidR="00C9067E">
        <w:rPr>
          <w:rFonts w:ascii="Calibri Light" w:eastAsia="Calibri Light" w:hAnsi="Calibri Light" w:cs="Calibri Light"/>
          <w:sz w:val="23"/>
          <w:szCs w:val="23"/>
        </w:rPr>
        <w:t xml:space="preserve">co-designed and </w:t>
      </w:r>
      <w:r w:rsidRPr="359636AC">
        <w:rPr>
          <w:rFonts w:ascii="Calibri Light" w:eastAsia="Calibri Light" w:hAnsi="Calibri Light" w:cs="Calibri Light"/>
          <w:sz w:val="23"/>
          <w:szCs w:val="23"/>
        </w:rPr>
        <w:t>created the new garden, including residents, school students, local workers, and library staff. Strategies to foster collective ownership included kids’ design and build sessions, university collaborations, drop-in volunteer sessions, holiday clubs, and work experience placements.</w:t>
      </w:r>
    </w:p>
    <w:p w14:paraId="7B3D0307" w14:textId="77777777" w:rsidR="00F00E3D" w:rsidRDefault="00F00E3D" w:rsidP="009B2FA7">
      <w:pPr>
        <w:spacing w:line="276" w:lineRule="auto"/>
      </w:pPr>
      <w:r w:rsidRPr="359636AC">
        <w:rPr>
          <w:rFonts w:ascii="Calibri Light" w:eastAsia="Calibri Light" w:hAnsi="Calibri Light" w:cs="Calibri Light"/>
          <w:sz w:val="23"/>
          <w:szCs w:val="23"/>
        </w:rPr>
        <w:t>The site includes garden beds, a kitchen, classroom, gathering space, and workshop. Run by Central Saint Martin’s (University of the Arts), the MAKE workshop provides space, guidance, and equipment to help young people co-create projects with community members. Activities include weaving, upcycling, carpentry, permaculture, cooking, and storytelling workshops.</w:t>
      </w:r>
    </w:p>
    <w:p w14:paraId="75ED79BB" w14:textId="2F218244" w:rsidR="00555926" w:rsidRDefault="00555926" w:rsidP="00555926">
      <w:pPr>
        <w:spacing w:line="276" w:lineRule="auto"/>
        <w:rPr>
          <w:rFonts w:ascii="Calibri Light" w:eastAsia="Calibri Light" w:hAnsi="Calibri Light" w:cs="Calibri Light"/>
          <w:sz w:val="23"/>
          <w:szCs w:val="23"/>
        </w:rPr>
      </w:pPr>
      <w:r w:rsidRPr="00DA6944">
        <w:rPr>
          <w:rFonts w:eastAsia="Calibri Light" w:cstheme="minorHAnsi"/>
          <w:b/>
          <w:bCs/>
          <w:sz w:val="23"/>
          <w:szCs w:val="23"/>
        </w:rPr>
        <w:t>Paper Garden + Floating Garden:</w:t>
      </w:r>
      <w:r w:rsidRPr="00555926">
        <w:rPr>
          <w:rFonts w:ascii="Calibri Light" w:eastAsia="Calibri Light" w:hAnsi="Calibri Light" w:cs="Calibri Light"/>
          <w:b/>
          <w:bCs/>
          <w:sz w:val="23"/>
          <w:szCs w:val="23"/>
        </w:rPr>
        <w:t xml:space="preserve"> </w:t>
      </w:r>
      <w:r w:rsidR="00682FD3">
        <w:rPr>
          <w:rFonts w:ascii="Calibri Light" w:eastAsia="Calibri Light" w:hAnsi="Calibri Light" w:cs="Calibri Light"/>
          <w:sz w:val="23"/>
          <w:szCs w:val="23"/>
        </w:rPr>
        <w:t>As of April</w:t>
      </w:r>
      <w:r w:rsidRPr="00555926">
        <w:rPr>
          <w:rFonts w:ascii="Calibri Light" w:eastAsia="Calibri Light" w:hAnsi="Calibri Light" w:cs="Calibri Light"/>
          <w:sz w:val="23"/>
          <w:szCs w:val="23"/>
        </w:rPr>
        <w:t xml:space="preserve"> </w:t>
      </w:r>
      <w:r>
        <w:rPr>
          <w:rFonts w:ascii="Calibri Light" w:eastAsia="Calibri Light" w:hAnsi="Calibri Light" w:cs="Calibri Light"/>
          <w:sz w:val="23"/>
          <w:szCs w:val="23"/>
        </w:rPr>
        <w:t>2021, two new participatory projects are underway: the Paper Garden, a “collaborative seedbed” for intergenerational knowledge-sharing, creativity, and community-building, sited in an old print factory in Canada Water, a major new development site in London’s Docklands; and a project involving young people and architects co-designing a floating garden on a barge along a nearby canal.</w:t>
      </w:r>
    </w:p>
    <w:p w14:paraId="6EAA2B3C" w14:textId="3777EA82" w:rsidR="00F00E3D" w:rsidRDefault="00F00E3D" w:rsidP="009B2FA7">
      <w:pPr>
        <w:spacing w:after="0" w:line="276" w:lineRule="auto"/>
      </w:pPr>
      <w:r w:rsidRPr="359636AC">
        <w:rPr>
          <w:rFonts w:ascii="Calibri Light" w:eastAsia="Calibri Light" w:hAnsi="Calibri Light" w:cs="Calibri Light"/>
          <w:sz w:val="23"/>
          <w:szCs w:val="23"/>
        </w:rPr>
        <w:lastRenderedPageBreak/>
        <w:t xml:space="preserve">Success factors include the lead agency’s expertise; its flexible, inclusive, and creative approach; </w:t>
      </w:r>
      <w:r w:rsidR="0061696B">
        <w:rPr>
          <w:rFonts w:ascii="Calibri Light" w:eastAsia="Calibri Light" w:hAnsi="Calibri Light" w:cs="Calibri Light"/>
          <w:sz w:val="23"/>
          <w:szCs w:val="23"/>
        </w:rPr>
        <w:t xml:space="preserve">effective community engagement strategies; </w:t>
      </w:r>
      <w:r w:rsidRPr="359636AC">
        <w:rPr>
          <w:rFonts w:ascii="Calibri Light" w:eastAsia="Calibri Light" w:hAnsi="Calibri Light" w:cs="Calibri Light"/>
          <w:sz w:val="23"/>
          <w:szCs w:val="23"/>
        </w:rPr>
        <w:t>a strong volunteer population; and robust partnerships with local councils, developers, businesses, schools, universities, and community organisations.</w:t>
      </w:r>
    </w:p>
    <w:p w14:paraId="11499B34" w14:textId="77777777" w:rsidR="00F00E3D" w:rsidRPr="00747F56" w:rsidRDefault="00F00E3D" w:rsidP="009B2FA7">
      <w:pPr>
        <w:spacing w:after="0" w:line="276" w:lineRule="auto"/>
        <w:rPr>
          <w:rFonts w:asciiTheme="majorHAnsi" w:hAnsiTheme="majorHAnsi" w:cstheme="majorHAnsi"/>
          <w:sz w:val="16"/>
          <w:szCs w:val="16"/>
        </w:rPr>
      </w:pPr>
    </w:p>
    <w:p w14:paraId="4FD3DDDA" w14:textId="31E979E4" w:rsidR="00F00E3D" w:rsidRPr="0030000F" w:rsidRDefault="00F00E3D" w:rsidP="009B2FA7">
      <w:pPr>
        <w:spacing w:after="0" w:line="276" w:lineRule="auto"/>
        <w:rPr>
          <w:b/>
          <w:bCs/>
          <w:sz w:val="25"/>
          <w:szCs w:val="25"/>
        </w:rPr>
      </w:pPr>
      <w:bookmarkStart w:id="75" w:name="_Hlk70864687"/>
      <w:r w:rsidRPr="0030000F">
        <w:rPr>
          <w:b/>
          <w:bCs/>
          <w:sz w:val="25"/>
          <w:szCs w:val="25"/>
        </w:rPr>
        <w:t xml:space="preserve">We Dundee: </w:t>
      </w:r>
      <w:r w:rsidR="00682FD3" w:rsidRPr="0030000F">
        <w:rPr>
          <w:b/>
          <w:bCs/>
          <w:sz w:val="25"/>
          <w:szCs w:val="25"/>
        </w:rPr>
        <w:t xml:space="preserve">Crowd-Sourcing Platform </w:t>
      </w:r>
      <w:r w:rsidR="00682FD3">
        <w:rPr>
          <w:b/>
          <w:bCs/>
          <w:sz w:val="25"/>
          <w:szCs w:val="25"/>
        </w:rPr>
        <w:t>f</w:t>
      </w:r>
      <w:r w:rsidR="00682FD3" w:rsidRPr="0030000F">
        <w:rPr>
          <w:b/>
          <w:bCs/>
          <w:sz w:val="25"/>
          <w:szCs w:val="25"/>
        </w:rPr>
        <w:t>or Citizen Engagement</w:t>
      </w:r>
    </w:p>
    <w:p w14:paraId="0DF2C45F" w14:textId="77777777" w:rsidR="00F00E3D" w:rsidRPr="0030000F" w:rsidRDefault="00F00E3D" w:rsidP="009B2FA7">
      <w:pPr>
        <w:spacing w:after="0" w:line="276" w:lineRule="auto"/>
        <w:rPr>
          <w:b/>
          <w:bCs/>
          <w:sz w:val="23"/>
          <w:szCs w:val="23"/>
        </w:rPr>
      </w:pPr>
      <w:r w:rsidRPr="0030000F">
        <w:rPr>
          <w:b/>
          <w:bCs/>
          <w:sz w:val="23"/>
          <w:szCs w:val="23"/>
        </w:rPr>
        <w:t>Dundee, Scotland (2013–present)</w:t>
      </w:r>
    </w:p>
    <w:bookmarkEnd w:id="75"/>
    <w:p w14:paraId="356431A0" w14:textId="77777777" w:rsidR="00F00E3D" w:rsidRPr="00117765" w:rsidRDefault="00F00E3D" w:rsidP="009B2FA7">
      <w:pPr>
        <w:spacing w:after="0" w:line="276" w:lineRule="auto"/>
        <w:rPr>
          <w:b/>
          <w:bCs/>
          <w:sz w:val="16"/>
          <w:szCs w:val="16"/>
        </w:rPr>
      </w:pPr>
    </w:p>
    <w:p w14:paraId="5FD09B0B" w14:textId="0A95F339" w:rsidR="00F00E3D" w:rsidRPr="00BF493B" w:rsidRDefault="00F00E3D" w:rsidP="009B2FA7">
      <w:pPr>
        <w:spacing w:after="0" w:line="276" w:lineRule="auto"/>
        <w:rPr>
          <w:rFonts w:cstheme="minorHAnsi"/>
          <w:b/>
          <w:bCs/>
          <w:color w:val="595959" w:themeColor="text1" w:themeTint="A6"/>
          <w:sz w:val="23"/>
          <w:szCs w:val="23"/>
        </w:rPr>
      </w:pPr>
      <w:r w:rsidRPr="00BF493B">
        <w:rPr>
          <w:rFonts w:cstheme="minorHAnsi"/>
          <w:b/>
          <w:bCs/>
          <w:color w:val="595959" w:themeColor="text1" w:themeTint="A6"/>
          <w:sz w:val="23"/>
          <w:szCs w:val="23"/>
        </w:rPr>
        <w:t xml:space="preserve">Main </w:t>
      </w:r>
      <w:r w:rsidR="00D95573">
        <w:rPr>
          <w:rFonts w:cstheme="minorHAnsi"/>
          <w:b/>
          <w:bCs/>
          <w:color w:val="595959" w:themeColor="text1" w:themeTint="A6"/>
          <w:sz w:val="23"/>
          <w:szCs w:val="23"/>
        </w:rPr>
        <w:t>Practice Domain</w:t>
      </w:r>
      <w:r w:rsidRPr="00BF493B">
        <w:rPr>
          <w:rFonts w:cstheme="minorHAnsi"/>
          <w:b/>
          <w:bCs/>
          <w:color w:val="595959" w:themeColor="text1" w:themeTint="A6"/>
          <w:sz w:val="23"/>
          <w:szCs w:val="23"/>
        </w:rPr>
        <w:t xml:space="preserve">(s): </w:t>
      </w:r>
      <w:r w:rsidRPr="00BF493B">
        <w:rPr>
          <w:rFonts w:cstheme="minorHAnsi"/>
          <w:b/>
          <w:bCs/>
          <w:color w:val="595959" w:themeColor="text1" w:themeTint="A6"/>
          <w:sz w:val="23"/>
          <w:szCs w:val="23"/>
        </w:rPr>
        <w:tab/>
        <w:t>Liveability</w:t>
      </w:r>
    </w:p>
    <w:p w14:paraId="60D8DF9E" w14:textId="77777777" w:rsidR="00F00E3D" w:rsidRPr="00117765" w:rsidRDefault="00F00E3D" w:rsidP="009B2FA7">
      <w:pPr>
        <w:spacing w:after="0" w:line="276" w:lineRule="auto"/>
        <w:rPr>
          <w:rFonts w:asciiTheme="majorHAnsi" w:eastAsia="Times New Roman" w:hAnsiTheme="majorHAnsi" w:cstheme="majorHAnsi"/>
          <w:color w:val="808080" w:themeColor="background1" w:themeShade="80"/>
          <w:sz w:val="16"/>
          <w:szCs w:val="16"/>
          <w:lang w:val="en-GB"/>
        </w:rPr>
      </w:pPr>
    </w:p>
    <w:p w14:paraId="7B079C71" w14:textId="77777777" w:rsidR="00F00E3D" w:rsidRPr="006B5D3D" w:rsidRDefault="00F00E3D" w:rsidP="009B2FA7">
      <w:pPr>
        <w:spacing w:line="276" w:lineRule="auto"/>
        <w:rPr>
          <w:rFonts w:asciiTheme="majorHAnsi" w:hAnsiTheme="majorHAnsi" w:cstheme="majorBidi"/>
          <w:sz w:val="23"/>
          <w:szCs w:val="23"/>
        </w:rPr>
      </w:pPr>
      <w:r w:rsidRPr="2B116086">
        <w:rPr>
          <w:rFonts w:asciiTheme="majorHAnsi" w:hAnsiTheme="majorHAnsi" w:cstheme="majorBidi"/>
          <w:sz w:val="23"/>
          <w:szCs w:val="23"/>
        </w:rPr>
        <w:t xml:space="preserve">The port city of Dundee (pop. 149,000) is Scotland’s fourth-largest city. Dundee has a vibrant creative community, a high student population, and a strong industrial and maritime heritage founded on textile manufacturing, whaling, and shipbuilding. The city also ranks relatively high on the Scottish Index of Multiple Deprivation (SIMD, 2020), with lower wages, lower life expectancy, and higher unemployment than Scotland overall (Dundee City Council, 2019; NRS Scotland, 2019). </w:t>
      </w:r>
    </w:p>
    <w:p w14:paraId="6E099867" w14:textId="77777777" w:rsidR="00F00E3D" w:rsidRPr="006B5D3D"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t>Since the late 1980s, arts and culture-led regeneration have played a central role in countering Dundee’s post-industrial decline (Dundee City Council, 2015: 3). The city’s creative industries now produce an annual turnover of £190m and employ 3000 people (Harris, 2017).</w:t>
      </w:r>
    </w:p>
    <w:p w14:paraId="0128A347" w14:textId="7B0DB108" w:rsidR="00F00E3D" w:rsidRPr="006B5D3D"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t xml:space="preserve">The We Dundee project was conceived in 2013 </w:t>
      </w:r>
      <w:r w:rsidR="00537503">
        <w:rPr>
          <w:rFonts w:asciiTheme="majorHAnsi" w:hAnsiTheme="majorHAnsi" w:cstheme="majorBidi"/>
          <w:sz w:val="23"/>
          <w:szCs w:val="23"/>
        </w:rPr>
        <w:t>as a participatory tool for residents</w:t>
      </w:r>
      <w:r w:rsidRPr="359636AC">
        <w:rPr>
          <w:rFonts w:asciiTheme="majorHAnsi" w:hAnsiTheme="majorHAnsi" w:cstheme="majorBidi"/>
          <w:sz w:val="23"/>
          <w:szCs w:val="23"/>
        </w:rPr>
        <w:t xml:space="preserve"> to help shape Dundee’s bid to become the UK City of Culture (a national award). A digital crowd-sourcing platform was set up to collect people’s impressions of Dundee and ideas for its future. Over nine months the We Dundee website attracted contributions from 4000 people, from over 1000 cities around the world. Local input was also gathered through a pop-up consultation stand that roved around Dundee, and via hundreds of hand-written notes submitted to local libraries. Many of the resulting ideas were staged as activities, projects, and events across the city in the following years (Creative Dundee, 2013).</w:t>
      </w:r>
    </w:p>
    <w:p w14:paraId="0F0C9803" w14:textId="58C9AAE8" w:rsidR="00F00E3D" w:rsidRPr="006B5D3D"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t xml:space="preserve">Dundee did not win its 2017 City of Culture bid. But in 2014 it landed a bigger prize, becoming a designated UNESCO City of Design. Public engagement </w:t>
      </w:r>
      <w:r w:rsidR="005B3C55">
        <w:rPr>
          <w:rFonts w:asciiTheme="majorHAnsi" w:hAnsiTheme="majorHAnsi" w:cstheme="majorBidi"/>
          <w:sz w:val="23"/>
          <w:szCs w:val="23"/>
        </w:rPr>
        <w:t xml:space="preserve">and participation </w:t>
      </w:r>
      <w:r w:rsidRPr="359636AC">
        <w:rPr>
          <w:rFonts w:asciiTheme="majorHAnsi" w:hAnsiTheme="majorHAnsi" w:cstheme="majorBidi"/>
          <w:sz w:val="23"/>
          <w:szCs w:val="23"/>
        </w:rPr>
        <w:t>through the We Dundee project was a “defining feature” of the city’s successful UNESCO bid (Dundee City Council, 2015: 3). Citizens’ ideas were incorporated into both the UNESCO application and the city’s Cultural Strategy (Creative Dundee, 2019: 8).</w:t>
      </w:r>
    </w:p>
    <w:p w14:paraId="71306DED" w14:textId="362AEB44" w:rsidR="00F00E3D" w:rsidRPr="006B5D3D"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t xml:space="preserve">In May 2020 a major waterfront redevelopment project – the centrepiece of a 30-year scheme to boost Dundee’s economic fortunes – was halted due to </w:t>
      </w:r>
      <w:r w:rsidR="00940D80">
        <w:rPr>
          <w:rFonts w:asciiTheme="majorHAnsi" w:hAnsiTheme="majorHAnsi" w:cstheme="majorBidi"/>
          <w:sz w:val="23"/>
          <w:szCs w:val="23"/>
        </w:rPr>
        <w:t>COVID</w:t>
      </w:r>
      <w:r w:rsidRPr="359636AC">
        <w:rPr>
          <w:rFonts w:asciiTheme="majorHAnsi" w:hAnsiTheme="majorHAnsi" w:cstheme="majorBidi"/>
          <w:sz w:val="23"/>
          <w:szCs w:val="23"/>
        </w:rPr>
        <w:t xml:space="preserve">-19 lockdowns (Anderson, 2020). That same month, the We Dundee project was relaunched. The project seeks to “put the voices of people at the heart of the conversation” about Dundee’s future, and its </w:t>
      </w:r>
      <w:r w:rsidR="00940D80">
        <w:rPr>
          <w:rFonts w:asciiTheme="majorHAnsi" w:hAnsiTheme="majorHAnsi" w:cstheme="majorBidi"/>
          <w:sz w:val="23"/>
          <w:szCs w:val="23"/>
        </w:rPr>
        <w:t>COVID</w:t>
      </w:r>
      <w:r w:rsidRPr="359636AC">
        <w:rPr>
          <w:rFonts w:asciiTheme="majorHAnsi" w:hAnsiTheme="majorHAnsi" w:cstheme="majorBidi"/>
          <w:sz w:val="23"/>
          <w:szCs w:val="23"/>
        </w:rPr>
        <w:t>-19 recovery. Project partners are UNESCO City of Design Dundee and Creative Dundee, an arts-based social enterprise.</w:t>
      </w:r>
    </w:p>
    <w:p w14:paraId="69F60356" w14:textId="58517DF6" w:rsidR="00F00E3D" w:rsidRPr="006B5D3D"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t xml:space="preserve">The </w:t>
      </w:r>
      <w:hyperlink r:id="rId99">
        <w:r w:rsidRPr="359636AC">
          <w:rPr>
            <w:rFonts w:asciiTheme="majorHAnsi" w:hAnsiTheme="majorHAnsi" w:cstheme="majorBidi"/>
            <w:color w:val="0000FF"/>
            <w:sz w:val="23"/>
            <w:szCs w:val="23"/>
            <w:u w:val="single"/>
          </w:rPr>
          <w:t>We Dundee website</w:t>
        </w:r>
      </w:hyperlink>
      <w:r w:rsidRPr="359636AC">
        <w:rPr>
          <w:rFonts w:asciiTheme="majorHAnsi" w:hAnsiTheme="majorHAnsi" w:cstheme="majorBidi"/>
          <w:sz w:val="23"/>
          <w:szCs w:val="23"/>
        </w:rPr>
        <w:t xml:space="preserve"> is a “playful design tool”</w:t>
      </w:r>
      <w:r w:rsidR="00705D59">
        <w:rPr>
          <w:rFonts w:asciiTheme="majorHAnsi" w:hAnsiTheme="majorHAnsi" w:cstheme="majorBidi"/>
          <w:sz w:val="23"/>
          <w:szCs w:val="23"/>
        </w:rPr>
        <w:t xml:space="preserve"> and participatory online platform</w:t>
      </w:r>
      <w:r w:rsidRPr="359636AC">
        <w:rPr>
          <w:rFonts w:asciiTheme="majorHAnsi" w:hAnsiTheme="majorHAnsi" w:cstheme="majorBidi"/>
          <w:sz w:val="23"/>
          <w:szCs w:val="23"/>
        </w:rPr>
        <w:t xml:space="preserve"> that acts as a public bulletin board, displaying residents’ contributions textual/visual form. The process is simple: a question is posted, people type short responses into a box, then add simple design features to create a colourful tile. The tiles are displayed in grid format, forming a collage of diverse voices, ideas, and recommendations.</w:t>
      </w:r>
    </w:p>
    <w:p w14:paraId="1DEAE192" w14:textId="0EDB2FED" w:rsidR="00F00E3D" w:rsidRPr="006B5D3D"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t>The first question, “What has surprised you during these [</w:t>
      </w:r>
      <w:r w:rsidR="00940D80">
        <w:rPr>
          <w:rFonts w:asciiTheme="majorHAnsi" w:hAnsiTheme="majorHAnsi" w:cstheme="majorBidi"/>
          <w:sz w:val="23"/>
          <w:szCs w:val="23"/>
        </w:rPr>
        <w:t>COVID</w:t>
      </w:r>
      <w:r w:rsidRPr="359636AC">
        <w:rPr>
          <w:rFonts w:asciiTheme="majorHAnsi" w:hAnsiTheme="majorHAnsi" w:cstheme="majorBidi"/>
          <w:sz w:val="23"/>
          <w:szCs w:val="23"/>
        </w:rPr>
        <w:t xml:space="preserve">] times?”, elicited 215 anonymous responses over six weeks. Data was collated into a report, including respondents’ postcodes. Replies reflected people’s experiences of lockdown: 39 percent of responses related to outdoor activities. </w:t>
      </w:r>
      <w:r w:rsidRPr="359636AC">
        <w:rPr>
          <w:rFonts w:asciiTheme="majorHAnsi" w:hAnsiTheme="majorHAnsi" w:cstheme="majorBidi"/>
          <w:sz w:val="23"/>
          <w:szCs w:val="23"/>
        </w:rPr>
        <w:lastRenderedPageBreak/>
        <w:t>Across all entries, the most prevalent themes were nature, parks and green spaces, community, walks, and sense of place</w:t>
      </w:r>
      <w:r w:rsidR="00747F56">
        <w:rPr>
          <w:rFonts w:asciiTheme="majorHAnsi" w:hAnsiTheme="majorHAnsi" w:cstheme="majorBidi"/>
          <w:sz w:val="23"/>
          <w:szCs w:val="23"/>
        </w:rPr>
        <w:t>,</w:t>
      </w:r>
      <w:r w:rsidRPr="359636AC">
        <w:rPr>
          <w:rFonts w:asciiTheme="majorHAnsi" w:hAnsiTheme="majorHAnsi" w:cstheme="majorBidi"/>
          <w:sz w:val="23"/>
          <w:szCs w:val="23"/>
        </w:rPr>
        <w:t xml:space="preserve"> respectively.</w:t>
      </w:r>
    </w:p>
    <w:p w14:paraId="56DC6405" w14:textId="28E56E39" w:rsidR="00F00E3D" w:rsidRPr="00347897" w:rsidRDefault="00F00E3D" w:rsidP="009B2FA7">
      <w:pPr>
        <w:spacing w:line="276" w:lineRule="auto"/>
        <w:rPr>
          <w:rFonts w:asciiTheme="majorHAnsi" w:hAnsiTheme="majorHAnsi" w:cstheme="majorBidi"/>
          <w:sz w:val="23"/>
          <w:szCs w:val="23"/>
        </w:rPr>
      </w:pPr>
      <w:r w:rsidRPr="359636AC">
        <w:rPr>
          <w:rFonts w:asciiTheme="majorHAnsi" w:hAnsiTheme="majorHAnsi" w:cstheme="majorBidi"/>
          <w:sz w:val="23"/>
          <w:szCs w:val="23"/>
        </w:rPr>
        <w:t xml:space="preserve">The current </w:t>
      </w:r>
      <w:r w:rsidR="00747F56">
        <w:rPr>
          <w:rFonts w:asciiTheme="majorHAnsi" w:hAnsiTheme="majorHAnsi" w:cstheme="majorBidi"/>
          <w:sz w:val="23"/>
          <w:szCs w:val="23"/>
        </w:rPr>
        <w:t xml:space="preserve">posted </w:t>
      </w:r>
      <w:r w:rsidRPr="359636AC">
        <w:rPr>
          <w:rFonts w:asciiTheme="majorHAnsi" w:hAnsiTheme="majorHAnsi" w:cstheme="majorBidi"/>
          <w:sz w:val="23"/>
          <w:szCs w:val="23"/>
        </w:rPr>
        <w:t>question is: “Re-imagine Dundee. What needs to happen next?” Sample answers include: “</w:t>
      </w:r>
      <w:proofErr w:type="spellStart"/>
      <w:r w:rsidRPr="359636AC">
        <w:rPr>
          <w:rFonts w:asciiTheme="majorHAnsi" w:hAnsiTheme="majorHAnsi" w:cstheme="majorBidi"/>
          <w:sz w:val="23"/>
          <w:szCs w:val="23"/>
        </w:rPr>
        <w:t>Pedestrianise</w:t>
      </w:r>
      <w:proofErr w:type="spellEnd"/>
      <w:r w:rsidRPr="359636AC">
        <w:rPr>
          <w:rFonts w:asciiTheme="majorHAnsi" w:hAnsiTheme="majorHAnsi" w:cstheme="majorBidi"/>
          <w:sz w:val="23"/>
          <w:szCs w:val="23"/>
        </w:rPr>
        <w:t xml:space="preserve"> Reform Street”, “House the homeless”, “Give graduates a reason to stay in Dundee”, “Infect the city with joy and hope”, “Clean up your dog poo”, “Build properly segregated cycle lanes so I can cycle to work safely”, and “Make more of our City of Design status.” Site moderators also posted several responses that were critical of the We Dundee project (including one that proposed an alternative means of seeking citizen input: “This is not a good way to find out what people need. People who are struggling to survive will not be filling out frilly websites. Please support people’s assemblies.”)</w:t>
      </w:r>
    </w:p>
    <w:p w14:paraId="5FF606AE" w14:textId="77777777" w:rsidR="00F00E3D" w:rsidRPr="00961AD3" w:rsidRDefault="00F00E3D" w:rsidP="009B2FA7">
      <w:pPr>
        <w:spacing w:after="0" w:line="276" w:lineRule="auto"/>
        <w:rPr>
          <w:b/>
          <w:bCs/>
          <w:color w:val="2F5496" w:themeColor="accent1" w:themeShade="BF"/>
          <w:sz w:val="25"/>
          <w:szCs w:val="25"/>
        </w:rPr>
      </w:pPr>
      <w:r>
        <w:rPr>
          <w:b/>
          <w:bCs/>
          <w:color w:val="2F5496" w:themeColor="accent1" w:themeShade="BF"/>
          <w:sz w:val="25"/>
          <w:szCs w:val="25"/>
        </w:rPr>
        <w:t>France</w:t>
      </w:r>
    </w:p>
    <w:p w14:paraId="7C6B2C81" w14:textId="77777777" w:rsidR="00F00E3D" w:rsidRPr="00117765" w:rsidRDefault="00F00E3D" w:rsidP="009B2FA7">
      <w:pPr>
        <w:spacing w:after="0" w:line="276" w:lineRule="auto"/>
        <w:rPr>
          <w:rFonts w:cstheme="minorHAnsi"/>
          <w:b/>
          <w:bCs/>
          <w:color w:val="2F5496" w:themeColor="accent1" w:themeShade="BF"/>
          <w:sz w:val="16"/>
          <w:szCs w:val="16"/>
        </w:rPr>
      </w:pPr>
    </w:p>
    <w:p w14:paraId="36975543" w14:textId="2F9DE92A" w:rsidR="00F00E3D" w:rsidRPr="00232E4F" w:rsidRDefault="00F00E3D" w:rsidP="009B2FA7">
      <w:pPr>
        <w:spacing w:after="0" w:line="276" w:lineRule="auto"/>
        <w:rPr>
          <w:rFonts w:asciiTheme="majorHAnsi" w:hAnsiTheme="majorHAnsi" w:cstheme="minorHAnsi"/>
          <w:sz w:val="25"/>
          <w:szCs w:val="25"/>
        </w:rPr>
      </w:pPr>
      <w:r w:rsidRPr="00232E4F">
        <w:rPr>
          <w:rFonts w:cstheme="minorHAnsi"/>
          <w:b/>
          <w:bCs/>
          <w:sz w:val="25"/>
          <w:szCs w:val="25"/>
        </w:rPr>
        <w:t>Nourishing Landscapes</w:t>
      </w:r>
      <w:r>
        <w:rPr>
          <w:rFonts w:cstheme="minorHAnsi"/>
          <w:b/>
          <w:bCs/>
          <w:sz w:val="25"/>
          <w:szCs w:val="25"/>
        </w:rPr>
        <w:t xml:space="preserve">: Urban </w:t>
      </w:r>
      <w:r w:rsidR="00682FD3">
        <w:rPr>
          <w:rFonts w:cstheme="minorHAnsi"/>
          <w:b/>
          <w:bCs/>
          <w:sz w:val="25"/>
          <w:szCs w:val="25"/>
        </w:rPr>
        <w:t xml:space="preserve">Gardens </w:t>
      </w:r>
      <w:r w:rsidR="00DD6928">
        <w:rPr>
          <w:rFonts w:cstheme="minorHAnsi"/>
          <w:b/>
          <w:bCs/>
          <w:sz w:val="25"/>
          <w:szCs w:val="25"/>
        </w:rPr>
        <w:t>f</w:t>
      </w:r>
      <w:r w:rsidR="00682FD3">
        <w:rPr>
          <w:rFonts w:cstheme="minorHAnsi"/>
          <w:b/>
          <w:bCs/>
          <w:sz w:val="25"/>
          <w:szCs w:val="25"/>
        </w:rPr>
        <w:t>or Food Security</w:t>
      </w:r>
    </w:p>
    <w:p w14:paraId="66AEC3AE" w14:textId="77777777" w:rsidR="00F00E3D" w:rsidRDefault="00F00E3D" w:rsidP="009B2FA7">
      <w:pPr>
        <w:spacing w:after="0" w:line="276" w:lineRule="auto"/>
        <w:rPr>
          <w:rFonts w:cstheme="minorHAnsi"/>
          <w:b/>
          <w:bCs/>
          <w:sz w:val="23"/>
          <w:szCs w:val="23"/>
        </w:rPr>
      </w:pPr>
      <w:r w:rsidRPr="00086D33">
        <w:rPr>
          <w:rFonts w:cstheme="minorHAnsi"/>
          <w:b/>
          <w:bCs/>
          <w:sz w:val="23"/>
          <w:szCs w:val="23"/>
        </w:rPr>
        <w:t>Nantes, France (</w:t>
      </w:r>
      <w:r>
        <w:rPr>
          <w:rFonts w:cstheme="minorHAnsi"/>
          <w:b/>
          <w:bCs/>
          <w:sz w:val="23"/>
          <w:szCs w:val="23"/>
        </w:rPr>
        <w:t xml:space="preserve">June </w:t>
      </w:r>
      <w:r w:rsidRPr="00086D33">
        <w:rPr>
          <w:rFonts w:cstheme="minorHAnsi"/>
          <w:b/>
          <w:bCs/>
          <w:sz w:val="23"/>
          <w:szCs w:val="23"/>
        </w:rPr>
        <w:t>2020–present)</w:t>
      </w:r>
    </w:p>
    <w:p w14:paraId="5995C9F8" w14:textId="77777777" w:rsidR="00F00E3D" w:rsidRPr="008C09EB" w:rsidRDefault="00F00E3D" w:rsidP="009B2FA7">
      <w:pPr>
        <w:spacing w:after="0" w:line="276" w:lineRule="auto"/>
        <w:rPr>
          <w:rFonts w:cstheme="minorHAnsi"/>
          <w:b/>
          <w:bCs/>
          <w:sz w:val="16"/>
          <w:szCs w:val="16"/>
        </w:rPr>
      </w:pPr>
    </w:p>
    <w:p w14:paraId="62720E2D" w14:textId="68E5FBF8" w:rsidR="00F00E3D" w:rsidRPr="00BF493B" w:rsidRDefault="00F00E3D" w:rsidP="009B2FA7">
      <w:pPr>
        <w:spacing w:after="0" w:line="276" w:lineRule="auto"/>
        <w:rPr>
          <w:rFonts w:cstheme="minorHAnsi"/>
          <w:b/>
          <w:bCs/>
          <w:color w:val="595959" w:themeColor="text1" w:themeTint="A6"/>
          <w:sz w:val="23"/>
          <w:szCs w:val="23"/>
        </w:rPr>
      </w:pPr>
      <w:r w:rsidRPr="00BF493B">
        <w:rPr>
          <w:rFonts w:cstheme="minorHAnsi"/>
          <w:b/>
          <w:bCs/>
          <w:color w:val="595959" w:themeColor="text1" w:themeTint="A6"/>
          <w:sz w:val="23"/>
          <w:szCs w:val="23"/>
        </w:rPr>
        <w:t xml:space="preserve">Main </w:t>
      </w:r>
      <w:r w:rsidR="00D95573">
        <w:rPr>
          <w:rFonts w:cstheme="minorHAnsi"/>
          <w:b/>
          <w:bCs/>
          <w:color w:val="595959" w:themeColor="text1" w:themeTint="A6"/>
          <w:sz w:val="23"/>
          <w:szCs w:val="23"/>
        </w:rPr>
        <w:t>Practice Domain</w:t>
      </w:r>
      <w:r w:rsidRPr="00BF493B">
        <w:rPr>
          <w:rFonts w:cstheme="minorHAnsi"/>
          <w:b/>
          <w:bCs/>
          <w:color w:val="595959" w:themeColor="text1" w:themeTint="A6"/>
          <w:sz w:val="23"/>
          <w:szCs w:val="23"/>
        </w:rPr>
        <w:t xml:space="preserve">(s): </w:t>
      </w:r>
      <w:r w:rsidRPr="00BF493B">
        <w:rPr>
          <w:rFonts w:cstheme="minorHAnsi"/>
          <w:b/>
          <w:bCs/>
          <w:color w:val="595959" w:themeColor="text1" w:themeTint="A6"/>
          <w:sz w:val="23"/>
          <w:szCs w:val="23"/>
        </w:rPr>
        <w:tab/>
      </w:r>
      <w:r>
        <w:rPr>
          <w:rFonts w:cstheme="minorHAnsi"/>
          <w:b/>
          <w:bCs/>
          <w:color w:val="595959" w:themeColor="text1" w:themeTint="A6"/>
          <w:sz w:val="23"/>
          <w:szCs w:val="23"/>
        </w:rPr>
        <w:tab/>
      </w:r>
      <w:r w:rsidRPr="00BF493B">
        <w:rPr>
          <w:rFonts w:cstheme="minorHAnsi"/>
          <w:b/>
          <w:bCs/>
          <w:color w:val="595959" w:themeColor="text1" w:themeTint="A6"/>
          <w:sz w:val="23"/>
          <w:szCs w:val="23"/>
        </w:rPr>
        <w:t>Health and Wellbeing, Liveability</w:t>
      </w:r>
    </w:p>
    <w:p w14:paraId="4C96C171" w14:textId="594F1736" w:rsidR="00F00E3D" w:rsidRPr="00BF493B" w:rsidRDefault="00F00E3D" w:rsidP="009B2FA7">
      <w:pPr>
        <w:spacing w:after="0" w:line="276" w:lineRule="auto"/>
        <w:rPr>
          <w:rFonts w:cstheme="minorHAnsi"/>
          <w:b/>
          <w:bCs/>
          <w:color w:val="595959" w:themeColor="text1" w:themeTint="A6"/>
          <w:sz w:val="23"/>
          <w:szCs w:val="23"/>
        </w:rPr>
      </w:pPr>
      <w:r w:rsidRPr="00BF493B">
        <w:rPr>
          <w:rFonts w:cstheme="minorHAnsi"/>
          <w:b/>
          <w:bCs/>
          <w:color w:val="595959" w:themeColor="text1" w:themeTint="A6"/>
          <w:sz w:val="23"/>
          <w:szCs w:val="23"/>
        </w:rPr>
        <w:t xml:space="preserve">Secondary </w:t>
      </w:r>
      <w:r w:rsidR="00D95573">
        <w:rPr>
          <w:rFonts w:cstheme="minorHAnsi"/>
          <w:b/>
          <w:bCs/>
          <w:color w:val="595959" w:themeColor="text1" w:themeTint="A6"/>
          <w:sz w:val="23"/>
          <w:szCs w:val="23"/>
        </w:rPr>
        <w:t>Practice Domain</w:t>
      </w:r>
      <w:r w:rsidRPr="00BF493B">
        <w:rPr>
          <w:rFonts w:cstheme="minorHAnsi"/>
          <w:b/>
          <w:bCs/>
          <w:color w:val="595959" w:themeColor="text1" w:themeTint="A6"/>
          <w:sz w:val="23"/>
          <w:szCs w:val="23"/>
        </w:rPr>
        <w:t xml:space="preserve">(s): </w:t>
      </w:r>
      <w:r w:rsidRPr="00BF493B">
        <w:rPr>
          <w:rFonts w:cstheme="minorHAnsi"/>
          <w:b/>
          <w:bCs/>
          <w:color w:val="595959" w:themeColor="text1" w:themeTint="A6"/>
          <w:sz w:val="23"/>
          <w:szCs w:val="23"/>
        </w:rPr>
        <w:tab/>
        <w:t>Education</w:t>
      </w:r>
    </w:p>
    <w:p w14:paraId="4E87F7DF" w14:textId="77777777" w:rsidR="00F00E3D" w:rsidRPr="00BF493B" w:rsidRDefault="00F00E3D" w:rsidP="009B2FA7">
      <w:pPr>
        <w:spacing w:after="0" w:line="276" w:lineRule="auto"/>
        <w:rPr>
          <w:rFonts w:cstheme="minorHAnsi"/>
          <w:b/>
          <w:bCs/>
          <w:sz w:val="16"/>
          <w:szCs w:val="16"/>
        </w:rPr>
      </w:pPr>
    </w:p>
    <w:p w14:paraId="513D0E76" w14:textId="467E69C8" w:rsidR="00F00E3D" w:rsidRPr="00F65F01" w:rsidRDefault="00F00E3D" w:rsidP="009B2FA7">
      <w:pPr>
        <w:spacing w:line="276" w:lineRule="auto"/>
        <w:rPr>
          <w:rFonts w:asciiTheme="majorHAnsi" w:hAnsiTheme="majorHAnsi" w:cstheme="minorHAnsi"/>
          <w:sz w:val="23"/>
          <w:szCs w:val="23"/>
        </w:rPr>
      </w:pPr>
      <w:r w:rsidRPr="00F65F01">
        <w:rPr>
          <w:rFonts w:asciiTheme="majorHAnsi" w:hAnsiTheme="majorHAnsi" w:cstheme="minorHAnsi"/>
          <w:sz w:val="23"/>
          <w:szCs w:val="23"/>
        </w:rPr>
        <w:t xml:space="preserve">In early 2020, food charities in Nantes </w:t>
      </w:r>
      <w:r w:rsidR="0068341C">
        <w:rPr>
          <w:rFonts w:asciiTheme="majorHAnsi" w:hAnsiTheme="majorHAnsi" w:cstheme="minorHAnsi"/>
          <w:sz w:val="23"/>
          <w:szCs w:val="23"/>
        </w:rPr>
        <w:t>saw</w:t>
      </w:r>
      <w:r w:rsidRPr="00F65F01">
        <w:rPr>
          <w:rFonts w:asciiTheme="majorHAnsi" w:hAnsiTheme="majorHAnsi" w:cstheme="minorHAnsi"/>
          <w:sz w:val="23"/>
          <w:szCs w:val="23"/>
        </w:rPr>
        <w:t xml:space="preserve"> a steep increase in demand as </w:t>
      </w:r>
      <w:r w:rsidR="00940D80">
        <w:rPr>
          <w:rFonts w:asciiTheme="majorHAnsi" w:hAnsiTheme="majorHAnsi" w:cstheme="minorHAnsi"/>
          <w:sz w:val="23"/>
          <w:szCs w:val="23"/>
        </w:rPr>
        <w:t>COVID</w:t>
      </w:r>
      <w:r w:rsidRPr="00F65F01">
        <w:rPr>
          <w:rFonts w:asciiTheme="majorHAnsi" w:hAnsiTheme="majorHAnsi" w:cstheme="minorHAnsi"/>
          <w:sz w:val="23"/>
          <w:szCs w:val="23"/>
        </w:rPr>
        <w:t xml:space="preserve">-19 </w:t>
      </w:r>
      <w:r w:rsidR="0068341C">
        <w:rPr>
          <w:rFonts w:asciiTheme="majorHAnsi" w:hAnsiTheme="majorHAnsi" w:cstheme="minorHAnsi"/>
          <w:sz w:val="23"/>
          <w:szCs w:val="23"/>
        </w:rPr>
        <w:t>heightened</w:t>
      </w:r>
      <w:r>
        <w:rPr>
          <w:rFonts w:asciiTheme="majorHAnsi" w:hAnsiTheme="majorHAnsi" w:cstheme="minorHAnsi"/>
          <w:sz w:val="23"/>
          <w:szCs w:val="23"/>
        </w:rPr>
        <w:t xml:space="preserve"> </w:t>
      </w:r>
      <w:r w:rsidRPr="00F65F01">
        <w:rPr>
          <w:rFonts w:asciiTheme="majorHAnsi" w:hAnsiTheme="majorHAnsi" w:cstheme="minorHAnsi"/>
          <w:sz w:val="23"/>
          <w:szCs w:val="23"/>
        </w:rPr>
        <w:t>poverty</w:t>
      </w:r>
      <w:r>
        <w:rPr>
          <w:rFonts w:asciiTheme="majorHAnsi" w:hAnsiTheme="majorHAnsi" w:cstheme="minorHAnsi"/>
          <w:sz w:val="23"/>
          <w:szCs w:val="23"/>
        </w:rPr>
        <w:t xml:space="preserve"> and food insecurity</w:t>
      </w:r>
      <w:r w:rsidRPr="00F65F01">
        <w:rPr>
          <w:rFonts w:asciiTheme="majorHAnsi" w:hAnsiTheme="majorHAnsi" w:cstheme="minorHAnsi"/>
          <w:sz w:val="23"/>
          <w:szCs w:val="23"/>
        </w:rPr>
        <w:t xml:space="preserve">. </w:t>
      </w:r>
      <w:r w:rsidR="0068341C">
        <w:rPr>
          <w:rFonts w:asciiTheme="majorHAnsi" w:hAnsiTheme="majorHAnsi" w:cstheme="minorHAnsi"/>
          <w:sz w:val="23"/>
          <w:szCs w:val="23"/>
        </w:rPr>
        <w:t>Sited</w:t>
      </w:r>
      <w:r w:rsidRPr="00F65F01">
        <w:rPr>
          <w:rFonts w:asciiTheme="majorHAnsi" w:hAnsiTheme="majorHAnsi" w:cstheme="minorHAnsi"/>
          <w:sz w:val="23"/>
          <w:szCs w:val="23"/>
        </w:rPr>
        <w:t xml:space="preserve"> on the Loir River in north-west France, Nantes (pop. 303,000) </w:t>
      </w:r>
      <w:r w:rsidRPr="00F65F01">
        <w:rPr>
          <w:rFonts w:asciiTheme="majorHAnsi" w:hAnsiTheme="majorHAnsi"/>
          <w:sz w:val="23"/>
          <w:szCs w:val="23"/>
        </w:rPr>
        <w:t xml:space="preserve">won the EU </w:t>
      </w:r>
      <w:r w:rsidRPr="00F65F01">
        <w:rPr>
          <w:rFonts w:asciiTheme="majorHAnsi" w:hAnsiTheme="majorHAnsi" w:cstheme="minorHAnsi"/>
          <w:sz w:val="23"/>
          <w:szCs w:val="23"/>
        </w:rPr>
        <w:t xml:space="preserve">European Green Capital Award </w:t>
      </w:r>
      <w:r w:rsidR="0068341C">
        <w:rPr>
          <w:rFonts w:asciiTheme="majorHAnsi" w:hAnsiTheme="majorHAnsi" w:cstheme="minorHAnsi"/>
          <w:sz w:val="23"/>
          <w:szCs w:val="23"/>
        </w:rPr>
        <w:t>in</w:t>
      </w:r>
      <w:r w:rsidRPr="00F65F01">
        <w:rPr>
          <w:rFonts w:asciiTheme="majorHAnsi" w:hAnsiTheme="majorHAnsi" w:cstheme="minorHAnsi"/>
          <w:sz w:val="23"/>
          <w:szCs w:val="23"/>
        </w:rPr>
        <w:t xml:space="preserve"> 2013 and was named Europe’s most liveable city by </w:t>
      </w:r>
      <w:r w:rsidRPr="00F65F01">
        <w:rPr>
          <w:rFonts w:asciiTheme="majorHAnsi" w:hAnsiTheme="majorHAnsi" w:cstheme="minorHAnsi"/>
          <w:i/>
          <w:iCs/>
          <w:sz w:val="23"/>
          <w:szCs w:val="23"/>
        </w:rPr>
        <w:t>Time</w:t>
      </w:r>
      <w:r w:rsidRPr="00F65F01">
        <w:rPr>
          <w:rFonts w:asciiTheme="majorHAnsi" w:hAnsiTheme="majorHAnsi" w:cstheme="minorHAnsi"/>
          <w:sz w:val="23"/>
          <w:szCs w:val="23"/>
        </w:rPr>
        <w:t xml:space="preserve"> magazine </w:t>
      </w:r>
      <w:r w:rsidR="0068341C">
        <w:rPr>
          <w:rFonts w:asciiTheme="majorHAnsi" w:hAnsiTheme="majorHAnsi" w:cstheme="minorHAnsi"/>
          <w:sz w:val="23"/>
          <w:szCs w:val="23"/>
        </w:rPr>
        <w:t xml:space="preserve">in </w:t>
      </w:r>
      <w:r w:rsidRPr="00F65F01">
        <w:rPr>
          <w:rFonts w:asciiTheme="majorHAnsi" w:hAnsiTheme="majorHAnsi" w:cstheme="minorHAnsi"/>
          <w:sz w:val="23"/>
          <w:szCs w:val="23"/>
        </w:rPr>
        <w:t>2004. The city has a strong economy</w:t>
      </w:r>
      <w:r>
        <w:rPr>
          <w:rFonts w:asciiTheme="majorHAnsi" w:hAnsiTheme="majorHAnsi" w:cstheme="minorHAnsi"/>
          <w:sz w:val="23"/>
          <w:szCs w:val="23"/>
        </w:rPr>
        <w:t xml:space="preserve"> </w:t>
      </w:r>
      <w:r w:rsidRPr="00F65F01">
        <w:rPr>
          <w:rFonts w:asciiTheme="majorHAnsi" w:hAnsiTheme="majorHAnsi" w:cstheme="minorHAnsi"/>
          <w:sz w:val="23"/>
          <w:szCs w:val="23"/>
        </w:rPr>
        <w:t>but</w:t>
      </w:r>
      <w:r w:rsidR="0068341C">
        <w:rPr>
          <w:rFonts w:asciiTheme="majorHAnsi" w:hAnsiTheme="majorHAnsi" w:cstheme="minorHAnsi"/>
          <w:sz w:val="23"/>
          <w:szCs w:val="23"/>
        </w:rPr>
        <w:t xml:space="preserve"> retains</w:t>
      </w:r>
      <w:r>
        <w:rPr>
          <w:rFonts w:asciiTheme="majorHAnsi" w:hAnsiTheme="majorHAnsi" w:cstheme="minorHAnsi"/>
          <w:sz w:val="23"/>
          <w:szCs w:val="23"/>
        </w:rPr>
        <w:t xml:space="preserve"> </w:t>
      </w:r>
      <w:r w:rsidRPr="00F65F01">
        <w:rPr>
          <w:rFonts w:asciiTheme="majorHAnsi" w:hAnsiTheme="majorHAnsi" w:cstheme="minorHAnsi"/>
          <w:sz w:val="23"/>
          <w:szCs w:val="23"/>
        </w:rPr>
        <w:t>concentrated pockets of disadvantage and poverty.</w:t>
      </w:r>
    </w:p>
    <w:p w14:paraId="2E60A6A6" w14:textId="77777777" w:rsidR="00F00E3D" w:rsidRPr="00F65F01" w:rsidRDefault="00F00E3D" w:rsidP="009B2FA7">
      <w:pPr>
        <w:spacing w:line="276" w:lineRule="auto"/>
        <w:rPr>
          <w:rFonts w:asciiTheme="majorHAnsi" w:hAnsiTheme="majorHAnsi"/>
          <w:sz w:val="23"/>
          <w:szCs w:val="23"/>
        </w:rPr>
      </w:pPr>
      <w:r w:rsidRPr="2B116086">
        <w:rPr>
          <w:rFonts w:asciiTheme="majorHAnsi" w:hAnsiTheme="majorHAnsi"/>
          <w:sz w:val="23"/>
          <w:szCs w:val="23"/>
        </w:rPr>
        <w:t xml:space="preserve">In June 2020, the Mayor of Nantes launched </w:t>
      </w:r>
      <w:proofErr w:type="spellStart"/>
      <w:r w:rsidRPr="2B116086">
        <w:rPr>
          <w:rFonts w:asciiTheme="majorHAnsi" w:hAnsiTheme="majorHAnsi"/>
          <w:sz w:val="23"/>
          <w:szCs w:val="23"/>
        </w:rPr>
        <w:t>Paysages</w:t>
      </w:r>
      <w:proofErr w:type="spellEnd"/>
      <w:r w:rsidRPr="2B116086">
        <w:rPr>
          <w:rFonts w:asciiTheme="majorHAnsi" w:hAnsiTheme="majorHAnsi"/>
          <w:sz w:val="23"/>
          <w:szCs w:val="23"/>
        </w:rPr>
        <w:t xml:space="preserve"> </w:t>
      </w:r>
      <w:proofErr w:type="spellStart"/>
      <w:r w:rsidRPr="2B116086">
        <w:rPr>
          <w:rFonts w:asciiTheme="majorHAnsi" w:hAnsiTheme="majorHAnsi"/>
          <w:sz w:val="23"/>
          <w:szCs w:val="23"/>
        </w:rPr>
        <w:t>Nourriciers</w:t>
      </w:r>
      <w:proofErr w:type="spellEnd"/>
      <w:r w:rsidRPr="2B116086">
        <w:rPr>
          <w:rFonts w:asciiTheme="majorHAnsi" w:hAnsiTheme="majorHAnsi"/>
          <w:sz w:val="23"/>
          <w:szCs w:val="23"/>
        </w:rPr>
        <w:t xml:space="preserve"> (Nourishing Landscapes), an urban food project set up to provide fresh produce to vulnerable residents, many of whom became unemployed due to the pandemic. Council staff and volunteers transformed unused municipal land, green space, public parks and greenhouses into community vegetable gardens. More than 50 plots, totalling around 25,000 square metres, have been planted with seasonal crops including tomatoes, courgettes, beets, corn, potatoes, squash</w:t>
      </w:r>
      <w:r>
        <w:rPr>
          <w:rFonts w:asciiTheme="majorHAnsi" w:hAnsiTheme="majorHAnsi"/>
          <w:sz w:val="23"/>
          <w:szCs w:val="23"/>
        </w:rPr>
        <w:t>,</w:t>
      </w:r>
      <w:r w:rsidRPr="2B116086">
        <w:rPr>
          <w:rFonts w:asciiTheme="majorHAnsi" w:hAnsiTheme="majorHAnsi"/>
          <w:sz w:val="23"/>
          <w:szCs w:val="23"/>
        </w:rPr>
        <w:t xml:space="preserve"> and beans.</w:t>
      </w:r>
    </w:p>
    <w:p w14:paraId="4CE609B7" w14:textId="77777777" w:rsidR="00F00E3D" w:rsidRPr="00F65F01" w:rsidRDefault="00F00E3D" w:rsidP="009B2FA7">
      <w:pPr>
        <w:spacing w:line="276" w:lineRule="auto"/>
        <w:rPr>
          <w:rFonts w:asciiTheme="majorHAnsi" w:hAnsiTheme="majorHAnsi"/>
          <w:sz w:val="23"/>
          <w:szCs w:val="23"/>
        </w:rPr>
      </w:pPr>
      <w:r w:rsidRPr="2A9E8271">
        <w:rPr>
          <w:rFonts w:asciiTheme="majorHAnsi" w:hAnsiTheme="majorHAnsi"/>
          <w:sz w:val="23"/>
          <w:szCs w:val="23"/>
        </w:rPr>
        <w:t>Production sites are scattered widely across 11 city districts, with 250 urban gardeners growing organic produce in raised beds with support from local specialists. The gardens are created and tended by resident volunteer and young farmers from around the district.</w:t>
      </w:r>
      <w:r w:rsidRPr="2A9E8271">
        <w:rPr>
          <w:rFonts w:asciiTheme="majorHAnsi" w:hAnsiTheme="majorHAnsi"/>
        </w:rPr>
        <w:t xml:space="preserve"> </w:t>
      </w:r>
      <w:r w:rsidRPr="2A9E8271">
        <w:rPr>
          <w:rFonts w:asciiTheme="majorHAnsi" w:hAnsiTheme="majorHAnsi"/>
          <w:sz w:val="23"/>
          <w:szCs w:val="23"/>
        </w:rPr>
        <w:t>From July–October 2020, around 25 tons of pesticide-free fruits and vegetables were grown, harvested and delivered to 1000 low-income households. Recipients were also given recipe suggestions. Distribution was supported by the local Food Bank, charities, volunteers, and more than 100 neighbourhood associations (Eurocities, 2020; TheMayor.eu, 2020b). Inspired by communal gardens run by the Communal Centre of Social Action (CCAS) in rural and regional towns, the Nourishing Landscapes project was a partnership between the City of Nantes, CCAS, and Service of Green Spaces and the Environment (SEVE).</w:t>
      </w:r>
    </w:p>
    <w:p w14:paraId="1C7D5E22" w14:textId="10910875" w:rsidR="0068341C" w:rsidRDefault="00F00E3D" w:rsidP="0068341C">
      <w:pPr>
        <w:spacing w:line="276" w:lineRule="auto"/>
        <w:rPr>
          <w:rFonts w:asciiTheme="majorHAnsi" w:hAnsiTheme="majorHAnsi"/>
          <w:sz w:val="23"/>
          <w:szCs w:val="23"/>
        </w:rPr>
      </w:pPr>
      <w:r w:rsidRPr="2A9E8271">
        <w:rPr>
          <w:rFonts w:asciiTheme="majorHAnsi" w:hAnsiTheme="majorHAnsi"/>
          <w:sz w:val="23"/>
          <w:szCs w:val="23"/>
        </w:rPr>
        <w:t>The project increased the local supply of fresh produce, helped green the city, and improved food security for vulnerable Nantes residents. It also enabled participants to learn new skills, share cultural practices and knowledge, and gain new understandings of agriculture, organic practices, seasonal produce, nutrition, and healthy cooking (FOA 2020a; FOA 2020b). Success factors include the city’s ample green space, the involvement of local agricultural experts, coordinated partnerships with local agencies, and the efforts of numerous community volunteers. No formal evaluation is available, but the project will run again in summer and autumn of 2021.</w:t>
      </w:r>
      <w:r w:rsidR="0068341C">
        <w:rPr>
          <w:rFonts w:asciiTheme="majorHAnsi" w:hAnsiTheme="majorHAnsi"/>
          <w:sz w:val="23"/>
          <w:szCs w:val="23"/>
        </w:rPr>
        <w:br w:type="page"/>
      </w:r>
    </w:p>
    <w:p w14:paraId="62D5F2A0" w14:textId="77777777" w:rsidR="00F00E3D" w:rsidRPr="00961AD3" w:rsidRDefault="00F00E3D" w:rsidP="0068341C">
      <w:pPr>
        <w:spacing w:after="0" w:line="276" w:lineRule="auto"/>
        <w:rPr>
          <w:b/>
          <w:bCs/>
          <w:color w:val="2F5496" w:themeColor="accent1" w:themeShade="BF"/>
          <w:sz w:val="25"/>
          <w:szCs w:val="25"/>
        </w:rPr>
      </w:pPr>
      <w:r w:rsidRPr="71C466D6">
        <w:rPr>
          <w:b/>
          <w:bCs/>
          <w:color w:val="2F5496" w:themeColor="accent1" w:themeShade="BF"/>
          <w:sz w:val="25"/>
          <w:szCs w:val="25"/>
        </w:rPr>
        <w:lastRenderedPageBreak/>
        <w:t>Norway</w:t>
      </w:r>
    </w:p>
    <w:p w14:paraId="44C9E095" w14:textId="77777777" w:rsidR="00F00E3D" w:rsidRPr="00117765" w:rsidRDefault="00F00E3D" w:rsidP="0068341C">
      <w:pPr>
        <w:spacing w:after="0" w:line="276" w:lineRule="auto"/>
        <w:rPr>
          <w:b/>
          <w:bCs/>
          <w:sz w:val="16"/>
          <w:szCs w:val="16"/>
        </w:rPr>
      </w:pPr>
    </w:p>
    <w:p w14:paraId="0FB982A8" w14:textId="0DD2610D" w:rsidR="00F00E3D" w:rsidRPr="005F0B7E" w:rsidRDefault="00F00E3D" w:rsidP="0068341C">
      <w:pPr>
        <w:spacing w:after="0" w:line="276" w:lineRule="auto"/>
        <w:rPr>
          <w:b/>
          <w:bCs/>
          <w:sz w:val="25"/>
          <w:szCs w:val="25"/>
        </w:rPr>
      </w:pPr>
      <w:bookmarkStart w:id="76" w:name="_Hlk70864721"/>
      <w:r w:rsidRPr="005F0B7E">
        <w:rPr>
          <w:b/>
          <w:bCs/>
          <w:sz w:val="25"/>
          <w:szCs w:val="25"/>
        </w:rPr>
        <w:t xml:space="preserve">Oslo Living Lab: </w:t>
      </w:r>
      <w:r>
        <w:rPr>
          <w:b/>
          <w:bCs/>
          <w:sz w:val="25"/>
          <w:szCs w:val="25"/>
        </w:rPr>
        <w:t>G</w:t>
      </w:r>
      <w:r w:rsidRPr="005F0B7E">
        <w:rPr>
          <w:b/>
          <w:bCs/>
          <w:sz w:val="25"/>
          <w:szCs w:val="25"/>
        </w:rPr>
        <w:t xml:space="preserve">reen </w:t>
      </w:r>
      <w:r w:rsidR="00682FD3" w:rsidRPr="005F0B7E">
        <w:rPr>
          <w:b/>
          <w:bCs/>
          <w:sz w:val="25"/>
          <w:szCs w:val="25"/>
        </w:rPr>
        <w:t xml:space="preserve">Jobs Training </w:t>
      </w:r>
      <w:r w:rsidR="00663407">
        <w:rPr>
          <w:b/>
          <w:bCs/>
          <w:sz w:val="25"/>
          <w:szCs w:val="25"/>
        </w:rPr>
        <w:t>a</w:t>
      </w:r>
      <w:r w:rsidR="00682FD3">
        <w:rPr>
          <w:b/>
          <w:bCs/>
          <w:sz w:val="25"/>
          <w:szCs w:val="25"/>
        </w:rPr>
        <w:t>nd P</w:t>
      </w:r>
      <w:r w:rsidR="00682FD3" w:rsidRPr="005F0B7E">
        <w:rPr>
          <w:b/>
          <w:bCs/>
          <w:sz w:val="25"/>
          <w:szCs w:val="25"/>
        </w:rPr>
        <w:t>lacemaking For At-Risk Youth</w:t>
      </w:r>
    </w:p>
    <w:p w14:paraId="5AD6284B" w14:textId="101183C4" w:rsidR="00F00E3D" w:rsidRPr="005F0B7E" w:rsidRDefault="00F00E3D" w:rsidP="0068341C">
      <w:pPr>
        <w:spacing w:after="0" w:line="276" w:lineRule="auto"/>
        <w:rPr>
          <w:b/>
          <w:bCs/>
          <w:sz w:val="23"/>
          <w:szCs w:val="23"/>
        </w:rPr>
      </w:pPr>
      <w:bookmarkStart w:id="77" w:name="_Hlk61881185"/>
      <w:proofErr w:type="spellStart"/>
      <w:r w:rsidRPr="005F0B7E">
        <w:rPr>
          <w:b/>
          <w:bCs/>
          <w:sz w:val="23"/>
          <w:szCs w:val="23"/>
        </w:rPr>
        <w:t>Grønland</w:t>
      </w:r>
      <w:proofErr w:type="spellEnd"/>
      <w:r w:rsidRPr="005F0B7E">
        <w:rPr>
          <w:b/>
          <w:bCs/>
          <w:sz w:val="23"/>
          <w:szCs w:val="23"/>
        </w:rPr>
        <w:t xml:space="preserve">, </w:t>
      </w:r>
      <w:bookmarkEnd w:id="77"/>
      <w:r w:rsidRPr="005F0B7E">
        <w:rPr>
          <w:b/>
          <w:bCs/>
          <w:sz w:val="23"/>
          <w:szCs w:val="23"/>
        </w:rPr>
        <w:t>Oslo, Norway (Feb 2019–</w:t>
      </w:r>
      <w:r w:rsidR="00682FD3">
        <w:rPr>
          <w:b/>
          <w:bCs/>
          <w:sz w:val="23"/>
          <w:szCs w:val="23"/>
        </w:rPr>
        <w:t>present</w:t>
      </w:r>
      <w:r w:rsidRPr="005F0B7E">
        <w:rPr>
          <w:b/>
          <w:bCs/>
          <w:sz w:val="23"/>
          <w:szCs w:val="23"/>
        </w:rPr>
        <w:t>)</w:t>
      </w:r>
    </w:p>
    <w:bookmarkEnd w:id="76"/>
    <w:p w14:paraId="64D4A71A" w14:textId="77777777" w:rsidR="00F00E3D" w:rsidRPr="00ED1F9E" w:rsidRDefault="00F00E3D" w:rsidP="0068341C">
      <w:pPr>
        <w:spacing w:after="0" w:line="276" w:lineRule="auto"/>
        <w:rPr>
          <w:b/>
          <w:bCs/>
          <w:sz w:val="12"/>
          <w:szCs w:val="12"/>
        </w:rPr>
      </w:pPr>
    </w:p>
    <w:p w14:paraId="4D1B72D3" w14:textId="3DC705CF" w:rsidR="00F00E3D" w:rsidRPr="00FD2DF0" w:rsidRDefault="00F00E3D" w:rsidP="0068341C">
      <w:pPr>
        <w:spacing w:after="0" w:line="276" w:lineRule="auto"/>
        <w:rPr>
          <w:rFonts w:cstheme="minorHAnsi"/>
          <w:b/>
          <w:bCs/>
          <w:color w:val="595959" w:themeColor="text1" w:themeTint="A6"/>
          <w:sz w:val="23"/>
          <w:szCs w:val="23"/>
        </w:rPr>
      </w:pPr>
      <w:r w:rsidRPr="00FD2DF0">
        <w:rPr>
          <w:rFonts w:cstheme="minorHAnsi"/>
          <w:b/>
          <w:bCs/>
          <w:color w:val="595959" w:themeColor="text1" w:themeTint="A6"/>
          <w:sz w:val="23"/>
          <w:szCs w:val="23"/>
        </w:rPr>
        <w:t xml:space="preserve">Main </w:t>
      </w:r>
      <w:r w:rsidR="00D95573">
        <w:rPr>
          <w:rFonts w:cstheme="minorHAnsi"/>
          <w:b/>
          <w:bCs/>
          <w:color w:val="595959" w:themeColor="text1" w:themeTint="A6"/>
          <w:sz w:val="23"/>
          <w:szCs w:val="23"/>
        </w:rPr>
        <w:t>Practice Domain</w:t>
      </w:r>
      <w:r w:rsidRPr="00FD2DF0">
        <w:rPr>
          <w:rFonts w:cstheme="minorHAnsi"/>
          <w:b/>
          <w:bCs/>
          <w:color w:val="595959" w:themeColor="text1" w:themeTint="A6"/>
          <w:sz w:val="23"/>
          <w:szCs w:val="23"/>
        </w:rPr>
        <w:t xml:space="preserve">(s): </w:t>
      </w:r>
      <w:r w:rsidRPr="00FD2DF0">
        <w:rPr>
          <w:rFonts w:cstheme="minorHAnsi"/>
          <w:b/>
          <w:bCs/>
          <w:color w:val="595959" w:themeColor="text1" w:themeTint="A6"/>
          <w:sz w:val="23"/>
          <w:szCs w:val="23"/>
        </w:rPr>
        <w:tab/>
      </w:r>
      <w:r>
        <w:rPr>
          <w:rFonts w:cstheme="minorHAnsi"/>
          <w:b/>
          <w:bCs/>
          <w:color w:val="595959" w:themeColor="text1" w:themeTint="A6"/>
          <w:sz w:val="23"/>
          <w:szCs w:val="23"/>
        </w:rPr>
        <w:tab/>
      </w:r>
      <w:r w:rsidRPr="00FD2DF0">
        <w:rPr>
          <w:rFonts w:cstheme="minorHAnsi"/>
          <w:b/>
          <w:bCs/>
          <w:color w:val="595959" w:themeColor="text1" w:themeTint="A6"/>
          <w:sz w:val="23"/>
          <w:szCs w:val="23"/>
        </w:rPr>
        <w:t>Education, Employment</w:t>
      </w:r>
    </w:p>
    <w:p w14:paraId="3110F573" w14:textId="26F84DB9" w:rsidR="00F00E3D" w:rsidRPr="00FD2DF0" w:rsidRDefault="00F00E3D" w:rsidP="0068341C">
      <w:pPr>
        <w:spacing w:after="0" w:line="276" w:lineRule="auto"/>
        <w:rPr>
          <w:rFonts w:cstheme="minorHAnsi"/>
          <w:b/>
          <w:bCs/>
          <w:color w:val="595959" w:themeColor="text1" w:themeTint="A6"/>
          <w:sz w:val="23"/>
          <w:szCs w:val="23"/>
        </w:rPr>
      </w:pPr>
      <w:r w:rsidRPr="00FD2DF0">
        <w:rPr>
          <w:rFonts w:cstheme="minorHAnsi"/>
          <w:b/>
          <w:bCs/>
          <w:color w:val="595959" w:themeColor="text1" w:themeTint="A6"/>
          <w:sz w:val="23"/>
          <w:szCs w:val="23"/>
        </w:rPr>
        <w:t xml:space="preserve">Secondary </w:t>
      </w:r>
      <w:r w:rsidR="00D95573">
        <w:rPr>
          <w:rFonts w:cstheme="minorHAnsi"/>
          <w:b/>
          <w:bCs/>
          <w:color w:val="595959" w:themeColor="text1" w:themeTint="A6"/>
          <w:sz w:val="23"/>
          <w:szCs w:val="23"/>
        </w:rPr>
        <w:t>Practice Domain</w:t>
      </w:r>
      <w:r w:rsidRPr="00FD2DF0">
        <w:rPr>
          <w:rFonts w:cstheme="minorHAnsi"/>
          <w:b/>
          <w:bCs/>
          <w:color w:val="595959" w:themeColor="text1" w:themeTint="A6"/>
          <w:sz w:val="23"/>
          <w:szCs w:val="23"/>
        </w:rPr>
        <w:t xml:space="preserve">(s): </w:t>
      </w:r>
      <w:r w:rsidRPr="00FD2DF0">
        <w:rPr>
          <w:rFonts w:cstheme="minorHAnsi"/>
          <w:b/>
          <w:bCs/>
          <w:color w:val="595959" w:themeColor="text1" w:themeTint="A6"/>
          <w:sz w:val="23"/>
          <w:szCs w:val="23"/>
        </w:rPr>
        <w:tab/>
        <w:t>Health and Wellbeing, Liveability</w:t>
      </w:r>
    </w:p>
    <w:p w14:paraId="72A50CB9" w14:textId="77777777" w:rsidR="00F00E3D" w:rsidRPr="00ED1F9E" w:rsidRDefault="00F00E3D" w:rsidP="0068341C">
      <w:pPr>
        <w:spacing w:after="0" w:line="276" w:lineRule="auto"/>
        <w:rPr>
          <w:rFonts w:asciiTheme="majorHAnsi" w:hAnsiTheme="majorHAnsi" w:cstheme="majorHAnsi"/>
          <w:color w:val="595959" w:themeColor="text1" w:themeTint="A6"/>
          <w:sz w:val="12"/>
          <w:szCs w:val="12"/>
        </w:rPr>
      </w:pPr>
    </w:p>
    <w:p w14:paraId="40E60E24" w14:textId="77777777" w:rsidR="00F00E3D" w:rsidRPr="005F0B7E" w:rsidRDefault="00F00E3D" w:rsidP="0068341C">
      <w:pPr>
        <w:spacing w:line="276" w:lineRule="auto"/>
        <w:rPr>
          <w:rFonts w:asciiTheme="majorHAnsi" w:eastAsia="Times New Roman" w:hAnsiTheme="majorHAnsi" w:cstheme="majorBidi"/>
          <w:sz w:val="23"/>
          <w:szCs w:val="23"/>
          <w:lang w:eastAsia="en-AU"/>
        </w:rPr>
      </w:pPr>
      <w:r w:rsidRPr="359636AC">
        <w:rPr>
          <w:rFonts w:asciiTheme="majorHAnsi" w:eastAsia="Times New Roman" w:hAnsiTheme="majorHAnsi" w:cstheme="majorBidi"/>
          <w:sz w:val="23"/>
          <w:szCs w:val="23"/>
          <w:lang w:eastAsia="en-AU"/>
        </w:rPr>
        <w:t>Norway is a wealthy country, but in the capital city of Oslo (pop. 1,000,000) there is significant and growing spatial inequality (</w:t>
      </w:r>
      <w:proofErr w:type="spellStart"/>
      <w:r w:rsidRPr="359636AC">
        <w:rPr>
          <w:rFonts w:asciiTheme="majorHAnsi" w:eastAsia="Times New Roman" w:hAnsiTheme="majorHAnsi" w:cstheme="majorBidi"/>
          <w:sz w:val="23"/>
          <w:szCs w:val="23"/>
          <w:lang w:eastAsia="en-AU"/>
        </w:rPr>
        <w:t>Finnvold</w:t>
      </w:r>
      <w:proofErr w:type="spellEnd"/>
      <w:r w:rsidRPr="359636AC">
        <w:rPr>
          <w:rFonts w:asciiTheme="majorHAnsi" w:eastAsia="Times New Roman" w:hAnsiTheme="majorHAnsi" w:cstheme="majorBidi"/>
          <w:sz w:val="23"/>
          <w:szCs w:val="23"/>
          <w:lang w:eastAsia="en-AU"/>
        </w:rPr>
        <w:t xml:space="preserve">, 2019). Urban regeneration projects devised to tackle this problem have in fact gentrified some areas, pushing out low-income residents </w:t>
      </w:r>
      <w:r w:rsidRPr="359636AC">
        <w:rPr>
          <w:rFonts w:asciiTheme="majorHAnsi" w:hAnsiTheme="majorHAnsi" w:cstheme="majorBidi"/>
          <w:sz w:val="23"/>
          <w:szCs w:val="23"/>
        </w:rPr>
        <w:t>(</w:t>
      </w:r>
      <w:proofErr w:type="spellStart"/>
      <w:r w:rsidRPr="359636AC">
        <w:rPr>
          <w:rFonts w:asciiTheme="majorHAnsi" w:eastAsia="Times New Roman" w:hAnsiTheme="majorHAnsi" w:cstheme="majorBidi"/>
          <w:sz w:val="23"/>
          <w:szCs w:val="23"/>
          <w:lang w:eastAsia="en-AU"/>
        </w:rPr>
        <w:t>Huse</w:t>
      </w:r>
      <w:proofErr w:type="spellEnd"/>
      <w:r w:rsidRPr="359636AC">
        <w:rPr>
          <w:rFonts w:asciiTheme="majorHAnsi" w:eastAsia="Times New Roman" w:hAnsiTheme="majorHAnsi" w:cstheme="majorBidi"/>
          <w:sz w:val="23"/>
          <w:szCs w:val="23"/>
          <w:lang w:eastAsia="en-AU"/>
        </w:rPr>
        <w:t>, 2014).</w:t>
      </w:r>
    </w:p>
    <w:p w14:paraId="65F881A9" w14:textId="3FCC0156" w:rsidR="00F00E3D" w:rsidRPr="005F0B7E" w:rsidRDefault="00F00E3D" w:rsidP="0068341C">
      <w:pPr>
        <w:spacing w:after="0" w:line="276" w:lineRule="auto"/>
        <w:rPr>
          <w:rFonts w:asciiTheme="majorHAnsi" w:eastAsia="Times New Roman" w:hAnsiTheme="majorHAnsi" w:cstheme="majorBidi"/>
          <w:sz w:val="23"/>
          <w:szCs w:val="23"/>
          <w:lang w:eastAsia="en-AU"/>
        </w:rPr>
      </w:pPr>
      <w:proofErr w:type="spellStart"/>
      <w:r w:rsidRPr="2B116086">
        <w:rPr>
          <w:rFonts w:asciiTheme="majorHAnsi" w:eastAsia="Times New Roman" w:hAnsiTheme="majorHAnsi" w:cstheme="majorBidi"/>
          <w:sz w:val="23"/>
          <w:szCs w:val="23"/>
          <w:lang w:eastAsia="en-AU"/>
        </w:rPr>
        <w:t>Grønland</w:t>
      </w:r>
      <w:proofErr w:type="spellEnd"/>
      <w:r w:rsidRPr="2B116086">
        <w:rPr>
          <w:rFonts w:asciiTheme="majorHAnsi" w:eastAsia="Times New Roman" w:hAnsiTheme="majorHAnsi" w:cstheme="majorBidi"/>
          <w:sz w:val="23"/>
          <w:szCs w:val="23"/>
          <w:lang w:eastAsia="en-AU"/>
        </w:rPr>
        <w:t xml:space="preserve"> (pop. 9000) is Oslo’s most culturally diverse neighbourhood. Almost half of local residents have an immigrant background (</w:t>
      </w:r>
      <w:proofErr w:type="spellStart"/>
      <w:r w:rsidRPr="359636AC">
        <w:rPr>
          <w:rFonts w:asciiTheme="majorHAnsi" w:hAnsiTheme="majorHAnsi" w:cstheme="majorBidi"/>
          <w:sz w:val="23"/>
          <w:szCs w:val="23"/>
          <w:shd w:val="clear" w:color="auto" w:fill="FFFFFF"/>
        </w:rPr>
        <w:t>Vassenden</w:t>
      </w:r>
      <w:proofErr w:type="spellEnd"/>
      <w:r w:rsidRPr="359636AC">
        <w:rPr>
          <w:rFonts w:asciiTheme="majorHAnsi" w:hAnsiTheme="majorHAnsi" w:cstheme="majorBidi"/>
          <w:sz w:val="23"/>
          <w:szCs w:val="23"/>
          <w:shd w:val="clear" w:color="auto" w:fill="FFFFFF"/>
        </w:rPr>
        <w:t xml:space="preserve"> &amp; Andersson, 2011</w:t>
      </w:r>
      <w:r w:rsidRPr="2B116086">
        <w:rPr>
          <w:rFonts w:asciiTheme="majorHAnsi" w:eastAsia="Times New Roman" w:hAnsiTheme="majorHAnsi" w:cstheme="majorBidi"/>
          <w:sz w:val="23"/>
          <w:szCs w:val="23"/>
          <w:lang w:eastAsia="en-AU"/>
        </w:rPr>
        <w:t xml:space="preserve">); key ethic groups include Pakistani, Somali, and </w:t>
      </w:r>
      <w:proofErr w:type="spellStart"/>
      <w:r w:rsidRPr="2B116086">
        <w:rPr>
          <w:rFonts w:asciiTheme="majorHAnsi" w:eastAsia="Times New Roman" w:hAnsiTheme="majorHAnsi" w:cstheme="majorBidi"/>
          <w:sz w:val="23"/>
          <w:szCs w:val="23"/>
          <w:lang w:eastAsia="en-AU"/>
        </w:rPr>
        <w:t>Iraqui</w:t>
      </w:r>
      <w:proofErr w:type="spellEnd"/>
      <w:r w:rsidRPr="2B116086">
        <w:rPr>
          <w:rFonts w:asciiTheme="majorHAnsi" w:eastAsia="Times New Roman" w:hAnsiTheme="majorHAnsi" w:cstheme="majorBidi"/>
          <w:sz w:val="23"/>
          <w:szCs w:val="23"/>
          <w:lang w:eastAsia="en-AU"/>
        </w:rPr>
        <w:t>. Bounded by major roads and railway lines, the suburb is spatially isolated from wider Oslo.</w:t>
      </w:r>
      <w:r w:rsidR="00D26523">
        <w:rPr>
          <w:rFonts w:asciiTheme="majorHAnsi" w:eastAsia="Times New Roman" w:hAnsiTheme="majorHAnsi" w:cstheme="majorBidi"/>
          <w:sz w:val="23"/>
          <w:szCs w:val="23"/>
          <w:lang w:eastAsia="en-AU"/>
        </w:rPr>
        <w:t xml:space="preserve"> </w:t>
      </w:r>
      <w:r w:rsidRPr="359636AC">
        <w:rPr>
          <w:rFonts w:asciiTheme="majorHAnsi" w:eastAsia="Times New Roman" w:hAnsiTheme="majorHAnsi" w:cstheme="majorBidi"/>
          <w:sz w:val="23"/>
          <w:szCs w:val="23"/>
          <w:lang w:eastAsia="en-AU"/>
        </w:rPr>
        <w:t xml:space="preserve">A vibrant place characterised by strong social networks (Miller, 2016: 10, 50), </w:t>
      </w:r>
      <w:proofErr w:type="spellStart"/>
      <w:r w:rsidRPr="359636AC">
        <w:rPr>
          <w:rFonts w:asciiTheme="majorHAnsi" w:eastAsia="Times New Roman" w:hAnsiTheme="majorHAnsi" w:cstheme="majorBidi"/>
          <w:sz w:val="23"/>
          <w:szCs w:val="23"/>
          <w:lang w:eastAsia="en-AU"/>
        </w:rPr>
        <w:t>Grønland</w:t>
      </w:r>
      <w:proofErr w:type="spellEnd"/>
      <w:r w:rsidRPr="359636AC">
        <w:rPr>
          <w:rFonts w:asciiTheme="majorHAnsi" w:eastAsia="Times New Roman" w:hAnsiTheme="majorHAnsi" w:cstheme="majorBidi"/>
          <w:sz w:val="23"/>
          <w:szCs w:val="23"/>
          <w:lang w:eastAsia="en-AU"/>
        </w:rPr>
        <w:t xml:space="preserve"> also has high unemployment and concentrated public housing. Sixty percent of children live in poverty (Taylor, 2017); one-third of young people drop out of high school, and a quarter believe they will become unemployed</w:t>
      </w:r>
      <w:r w:rsidRPr="359636AC">
        <w:rPr>
          <w:rFonts w:asciiTheme="majorHAnsi" w:hAnsiTheme="majorHAnsi" w:cstheme="majorBidi"/>
          <w:sz w:val="23"/>
          <w:szCs w:val="23"/>
        </w:rPr>
        <w:t xml:space="preserve"> (</w:t>
      </w:r>
      <w:r w:rsidRPr="359636AC">
        <w:rPr>
          <w:rFonts w:asciiTheme="majorHAnsi" w:eastAsia="Times New Roman" w:hAnsiTheme="majorHAnsi" w:cstheme="majorBidi"/>
          <w:sz w:val="23"/>
          <w:szCs w:val="23"/>
          <w:lang w:eastAsia="en-AU"/>
        </w:rPr>
        <w:t xml:space="preserve">Placemaking Europe, 2019). There are few extra-curricular activities for youth, and limited access to high-quality public space (Miller, 2016). </w:t>
      </w:r>
    </w:p>
    <w:p w14:paraId="09931EC4" w14:textId="77777777" w:rsidR="00F00E3D" w:rsidRPr="00ED1F9E" w:rsidRDefault="00F00E3D" w:rsidP="0068341C">
      <w:pPr>
        <w:spacing w:after="0" w:line="276" w:lineRule="auto"/>
        <w:rPr>
          <w:rFonts w:asciiTheme="majorHAnsi" w:eastAsia="Times New Roman" w:hAnsiTheme="majorHAnsi" w:cstheme="majorBidi"/>
          <w:sz w:val="12"/>
          <w:szCs w:val="12"/>
          <w:lang w:eastAsia="en-AU"/>
        </w:rPr>
      </w:pPr>
    </w:p>
    <w:p w14:paraId="6C100E08" w14:textId="77777777" w:rsidR="00F00E3D" w:rsidRPr="005F0B7E" w:rsidRDefault="00F00E3D" w:rsidP="0068341C">
      <w:pPr>
        <w:spacing w:line="276" w:lineRule="auto"/>
        <w:rPr>
          <w:rFonts w:asciiTheme="majorHAnsi" w:hAnsiTheme="majorHAnsi" w:cstheme="majorBidi"/>
          <w:b/>
          <w:bCs/>
          <w:sz w:val="23"/>
          <w:szCs w:val="23"/>
          <w:shd w:val="clear" w:color="auto" w:fill="FFFFFF"/>
        </w:rPr>
      </w:pPr>
      <w:r w:rsidRPr="359636AC">
        <w:rPr>
          <w:rFonts w:asciiTheme="majorHAnsi" w:hAnsiTheme="majorHAnsi" w:cstheme="majorBidi"/>
          <w:sz w:val="23"/>
          <w:szCs w:val="23"/>
        </w:rPr>
        <w:t xml:space="preserve">Established in 2018, the Oslo Living Lab (OLL) </w:t>
      </w:r>
      <w:r w:rsidRPr="359636AC">
        <w:rPr>
          <w:rFonts w:asciiTheme="majorHAnsi" w:eastAsia="Times New Roman" w:hAnsiTheme="majorHAnsi" w:cstheme="majorBidi"/>
          <w:sz w:val="23"/>
          <w:szCs w:val="23"/>
          <w:lang w:eastAsia="en-AU"/>
        </w:rPr>
        <w:t xml:space="preserve">provides work experience and urban greening training to young people from the local </w:t>
      </w:r>
      <w:proofErr w:type="spellStart"/>
      <w:r w:rsidRPr="359636AC">
        <w:rPr>
          <w:rFonts w:asciiTheme="majorHAnsi" w:eastAsia="Times New Roman" w:hAnsiTheme="majorHAnsi" w:cstheme="majorBidi"/>
          <w:sz w:val="23"/>
          <w:szCs w:val="23"/>
          <w:lang w:eastAsia="en-AU"/>
        </w:rPr>
        <w:t>Hersleb</w:t>
      </w:r>
      <w:proofErr w:type="spellEnd"/>
      <w:r w:rsidRPr="359636AC">
        <w:rPr>
          <w:rFonts w:asciiTheme="majorHAnsi" w:eastAsia="Times New Roman" w:hAnsiTheme="majorHAnsi" w:cstheme="majorBidi"/>
          <w:sz w:val="23"/>
          <w:szCs w:val="23"/>
          <w:lang w:eastAsia="en-AU"/>
        </w:rPr>
        <w:t xml:space="preserve"> High School (H20). The program also</w:t>
      </w:r>
      <w:r w:rsidRPr="359636AC">
        <w:rPr>
          <w:rFonts w:asciiTheme="majorHAnsi" w:hAnsiTheme="majorHAnsi" w:cstheme="majorBidi"/>
          <w:sz w:val="23"/>
          <w:szCs w:val="23"/>
        </w:rPr>
        <w:t xml:space="preserve"> </w:t>
      </w:r>
      <w:r w:rsidRPr="359636AC">
        <w:rPr>
          <w:rFonts w:asciiTheme="majorHAnsi" w:eastAsia="Times New Roman" w:hAnsiTheme="majorHAnsi" w:cstheme="majorBidi"/>
          <w:sz w:val="23"/>
          <w:szCs w:val="23"/>
          <w:lang w:eastAsia="en-AU"/>
        </w:rPr>
        <w:t xml:space="preserve">empowers them to improve public spaces using tactical urbanism. Run by </w:t>
      </w:r>
      <w:proofErr w:type="spellStart"/>
      <w:r w:rsidRPr="359636AC">
        <w:rPr>
          <w:rFonts w:asciiTheme="majorHAnsi" w:hAnsiTheme="majorHAnsi" w:cstheme="majorBidi"/>
          <w:sz w:val="23"/>
          <w:szCs w:val="23"/>
          <w:shd w:val="clear" w:color="auto" w:fill="FFFFFF"/>
        </w:rPr>
        <w:t>Nabolagshager</w:t>
      </w:r>
      <w:proofErr w:type="spellEnd"/>
      <w:r w:rsidRPr="359636AC">
        <w:rPr>
          <w:rFonts w:asciiTheme="majorHAnsi" w:hAnsiTheme="majorHAnsi" w:cstheme="majorBidi"/>
          <w:sz w:val="23"/>
          <w:szCs w:val="23"/>
          <w:shd w:val="clear" w:color="auto" w:fill="FFFFFF"/>
        </w:rPr>
        <w:t xml:space="preserve"> (Neighbourhood Gardens), a local </w:t>
      </w:r>
      <w:proofErr w:type="spellStart"/>
      <w:r w:rsidRPr="359636AC">
        <w:rPr>
          <w:rFonts w:asciiTheme="majorHAnsi" w:eastAsia="Times New Roman" w:hAnsiTheme="majorHAnsi" w:cstheme="majorBidi"/>
          <w:sz w:val="23"/>
          <w:szCs w:val="23"/>
          <w:lang w:eastAsia="en-AU"/>
        </w:rPr>
        <w:t>Grønland</w:t>
      </w:r>
      <w:proofErr w:type="spellEnd"/>
      <w:r w:rsidRPr="359636AC">
        <w:rPr>
          <w:rFonts w:asciiTheme="majorHAnsi" w:eastAsia="Times New Roman" w:hAnsiTheme="majorHAnsi" w:cstheme="majorBidi"/>
          <w:sz w:val="23"/>
          <w:szCs w:val="23"/>
          <w:lang w:eastAsia="en-AU"/>
        </w:rPr>
        <w:t>-based</w:t>
      </w:r>
      <w:r w:rsidRPr="359636AC">
        <w:rPr>
          <w:rFonts w:asciiTheme="majorHAnsi" w:hAnsiTheme="majorHAnsi" w:cstheme="majorBidi"/>
          <w:sz w:val="23"/>
          <w:szCs w:val="23"/>
          <w:shd w:val="clear" w:color="auto" w:fill="FFFFFF"/>
        </w:rPr>
        <w:t xml:space="preserve"> urban agriculture and place-making organisation, the program is</w:t>
      </w:r>
      <w:r w:rsidRPr="359636AC">
        <w:rPr>
          <w:rFonts w:asciiTheme="majorHAnsi" w:eastAsia="Times New Roman" w:hAnsiTheme="majorHAnsi" w:cstheme="majorBidi"/>
          <w:sz w:val="23"/>
          <w:szCs w:val="23"/>
          <w:lang w:eastAsia="en-AU"/>
        </w:rPr>
        <w:t xml:space="preserve"> founded in </w:t>
      </w:r>
      <w:r w:rsidRPr="359636AC">
        <w:rPr>
          <w:rFonts w:asciiTheme="majorHAnsi" w:hAnsiTheme="majorHAnsi" w:cstheme="majorBidi"/>
          <w:sz w:val="23"/>
          <w:szCs w:val="23"/>
          <w:shd w:val="clear" w:color="auto" w:fill="FFFFFF"/>
        </w:rPr>
        <w:t>participatory design principles. Young people are encouraged to drive innovation, with guidance from professional mentors.</w:t>
      </w:r>
      <w:r w:rsidRPr="359636AC">
        <w:rPr>
          <w:rFonts w:asciiTheme="majorHAnsi" w:eastAsia="Times New Roman" w:hAnsiTheme="majorHAnsi" w:cstheme="majorBidi"/>
          <w:b/>
          <w:bCs/>
          <w:color w:val="000000"/>
          <w:sz w:val="23"/>
          <w:szCs w:val="23"/>
          <w:lang w:eastAsia="en-AU"/>
        </w:rPr>
        <w:t xml:space="preserve"> </w:t>
      </w:r>
    </w:p>
    <w:p w14:paraId="3EF73806" w14:textId="77777777" w:rsidR="00F00E3D" w:rsidRPr="005F0B7E" w:rsidRDefault="00F00E3D" w:rsidP="0068341C">
      <w:pPr>
        <w:spacing w:after="0" w:line="276" w:lineRule="auto"/>
        <w:rPr>
          <w:rFonts w:asciiTheme="majorHAnsi" w:eastAsia="Times New Roman" w:hAnsiTheme="majorHAnsi" w:cstheme="majorBidi"/>
          <w:sz w:val="23"/>
          <w:szCs w:val="23"/>
          <w:lang w:eastAsia="en-AU"/>
        </w:rPr>
      </w:pPr>
      <w:r w:rsidRPr="359636AC">
        <w:rPr>
          <w:rFonts w:asciiTheme="majorHAnsi" w:eastAsia="Times New Roman" w:hAnsiTheme="majorHAnsi" w:cstheme="majorBidi"/>
          <w:sz w:val="23"/>
          <w:szCs w:val="23"/>
          <w:lang w:eastAsia="en-AU"/>
        </w:rPr>
        <w:t xml:space="preserve">The H20 school has struggled with a negative public reputation and </w:t>
      </w:r>
      <w:proofErr w:type="gramStart"/>
      <w:r w:rsidRPr="359636AC">
        <w:rPr>
          <w:rFonts w:asciiTheme="majorHAnsi" w:eastAsia="Times New Roman" w:hAnsiTheme="majorHAnsi" w:cstheme="majorBidi"/>
          <w:sz w:val="23"/>
          <w:szCs w:val="23"/>
          <w:lang w:eastAsia="en-AU"/>
        </w:rPr>
        <w:t>low test</w:t>
      </w:r>
      <w:proofErr w:type="gramEnd"/>
      <w:r w:rsidRPr="359636AC">
        <w:rPr>
          <w:rFonts w:asciiTheme="majorHAnsi" w:eastAsia="Times New Roman" w:hAnsiTheme="majorHAnsi" w:cstheme="majorBidi"/>
          <w:sz w:val="23"/>
          <w:szCs w:val="23"/>
          <w:lang w:eastAsia="en-AU"/>
        </w:rPr>
        <w:t xml:space="preserve"> scores, and students face a range of barriers</w:t>
      </w:r>
      <w:r w:rsidRPr="359636AC">
        <w:rPr>
          <w:rFonts w:asciiTheme="majorHAnsi" w:hAnsiTheme="majorHAnsi" w:cstheme="majorBidi"/>
          <w:sz w:val="23"/>
          <w:szCs w:val="23"/>
        </w:rPr>
        <w:t xml:space="preserve"> (</w:t>
      </w:r>
      <w:r w:rsidRPr="359636AC">
        <w:rPr>
          <w:rFonts w:asciiTheme="majorHAnsi" w:eastAsia="Times New Roman" w:hAnsiTheme="majorHAnsi" w:cstheme="majorBidi"/>
          <w:sz w:val="23"/>
          <w:szCs w:val="23"/>
          <w:lang w:eastAsia="en-AU"/>
        </w:rPr>
        <w:t xml:space="preserve">Placemaking Europe, 2019). The schoolyard, a large area of underused open space, presented an opportunity to improve the whole neighbourhood’s living environment. </w:t>
      </w:r>
      <w:r w:rsidRPr="359636AC">
        <w:rPr>
          <w:rFonts w:asciiTheme="majorHAnsi" w:hAnsiTheme="majorHAnsi" w:cstheme="majorBidi"/>
          <w:sz w:val="23"/>
          <w:szCs w:val="23"/>
        </w:rPr>
        <w:t>S</w:t>
      </w:r>
      <w:r w:rsidRPr="359636AC">
        <w:rPr>
          <w:rFonts w:asciiTheme="majorHAnsi" w:eastAsia="Times New Roman" w:hAnsiTheme="majorHAnsi" w:cstheme="majorBidi"/>
          <w:sz w:val="23"/>
          <w:szCs w:val="23"/>
          <w:lang w:eastAsia="en-AU"/>
        </w:rPr>
        <w:t>tudents researched community needs, then tested and implemented short-term actions designed to create inclusive neighbourhood meeting places.</w:t>
      </w:r>
    </w:p>
    <w:p w14:paraId="2D2D2668" w14:textId="77777777" w:rsidR="00F00E3D" w:rsidRPr="00ED1F9E" w:rsidRDefault="00F00E3D" w:rsidP="0068341C">
      <w:pPr>
        <w:spacing w:after="0" w:line="276" w:lineRule="auto"/>
        <w:rPr>
          <w:rFonts w:asciiTheme="majorHAnsi" w:eastAsia="Times New Roman" w:hAnsiTheme="majorHAnsi" w:cstheme="majorBidi"/>
          <w:sz w:val="12"/>
          <w:szCs w:val="12"/>
          <w:lang w:eastAsia="en-AU"/>
        </w:rPr>
      </w:pPr>
    </w:p>
    <w:p w14:paraId="382730A9" w14:textId="6A7F6ED9" w:rsidR="00F00E3D" w:rsidRPr="005F0B7E" w:rsidRDefault="00F00E3D" w:rsidP="0068341C">
      <w:pPr>
        <w:spacing w:after="0" w:line="276" w:lineRule="auto"/>
        <w:rPr>
          <w:rFonts w:asciiTheme="majorHAnsi" w:hAnsiTheme="majorHAnsi" w:cstheme="majorBidi"/>
          <w:sz w:val="23"/>
          <w:szCs w:val="23"/>
          <w:lang w:eastAsia="en-AU"/>
        </w:rPr>
      </w:pPr>
      <w:r w:rsidRPr="71C466D6">
        <w:rPr>
          <w:rFonts w:asciiTheme="majorHAnsi" w:hAnsiTheme="majorHAnsi" w:cstheme="majorBidi"/>
          <w:sz w:val="23"/>
          <w:szCs w:val="23"/>
        </w:rPr>
        <w:t xml:space="preserve">Success factors include </w:t>
      </w:r>
      <w:proofErr w:type="spellStart"/>
      <w:r w:rsidRPr="71C466D6">
        <w:rPr>
          <w:rFonts w:asciiTheme="majorHAnsi" w:hAnsiTheme="majorHAnsi" w:cstheme="majorBidi"/>
          <w:sz w:val="23"/>
          <w:szCs w:val="23"/>
        </w:rPr>
        <w:t>Nabolagshager’s</w:t>
      </w:r>
      <w:proofErr w:type="spellEnd"/>
      <w:r w:rsidRPr="71C466D6">
        <w:rPr>
          <w:rFonts w:asciiTheme="majorHAnsi" w:hAnsiTheme="majorHAnsi" w:cstheme="majorBidi"/>
          <w:sz w:val="23"/>
          <w:szCs w:val="23"/>
        </w:rPr>
        <w:t xml:space="preserve"> local connections, significant expertise, and existing resources; its effective use of co-design</w:t>
      </w:r>
      <w:r w:rsidR="006D55A5">
        <w:rPr>
          <w:rFonts w:asciiTheme="majorHAnsi" w:hAnsiTheme="majorHAnsi" w:cstheme="majorBidi"/>
          <w:sz w:val="23"/>
          <w:szCs w:val="23"/>
        </w:rPr>
        <w:t>, participatory,</w:t>
      </w:r>
      <w:r w:rsidRPr="71C466D6">
        <w:rPr>
          <w:rFonts w:asciiTheme="majorHAnsi" w:hAnsiTheme="majorHAnsi" w:cstheme="majorBidi"/>
          <w:sz w:val="23"/>
          <w:szCs w:val="23"/>
        </w:rPr>
        <w:t xml:space="preserve"> and mentoring approaches to engage young people; strong local partnerships; and diverse funding sources. Oslo Living Lab is also part of two key EU research projects, the Edible City Network and the </w:t>
      </w:r>
      <w:proofErr w:type="spellStart"/>
      <w:r w:rsidRPr="71C466D6">
        <w:rPr>
          <w:rFonts w:asciiTheme="majorHAnsi" w:hAnsiTheme="majorHAnsi" w:cstheme="majorBidi"/>
          <w:sz w:val="23"/>
          <w:szCs w:val="23"/>
        </w:rPr>
        <w:t>PlaceCity</w:t>
      </w:r>
      <w:proofErr w:type="spellEnd"/>
      <w:r w:rsidRPr="71C466D6">
        <w:rPr>
          <w:rFonts w:asciiTheme="majorHAnsi" w:hAnsiTheme="majorHAnsi" w:cstheme="majorBidi"/>
          <w:sz w:val="23"/>
          <w:szCs w:val="23"/>
        </w:rPr>
        <w:t xml:space="preserve"> project. While no formal evaluation is yet available, the program will be tracked through these initiatives.</w:t>
      </w:r>
    </w:p>
    <w:p w14:paraId="528284CE" w14:textId="77777777" w:rsidR="00F00E3D" w:rsidRPr="00ED1F9E" w:rsidRDefault="00F00E3D" w:rsidP="0068341C">
      <w:pPr>
        <w:spacing w:after="0" w:line="276" w:lineRule="auto"/>
        <w:rPr>
          <w:rFonts w:asciiTheme="majorHAnsi" w:eastAsia="Times New Roman" w:hAnsiTheme="majorHAnsi" w:cstheme="majorBidi"/>
          <w:b/>
          <w:bCs/>
          <w:sz w:val="12"/>
          <w:szCs w:val="12"/>
          <w:lang w:eastAsia="en-AU"/>
        </w:rPr>
      </w:pPr>
    </w:p>
    <w:p w14:paraId="742DC2A0" w14:textId="10FA89AC" w:rsidR="00F00E3D" w:rsidRPr="0059393F" w:rsidRDefault="00F00E3D" w:rsidP="0068341C">
      <w:pPr>
        <w:spacing w:after="0" w:line="276" w:lineRule="auto"/>
        <w:rPr>
          <w:rFonts w:cstheme="minorHAnsi"/>
          <w:b/>
          <w:bCs/>
          <w:sz w:val="23"/>
          <w:szCs w:val="23"/>
        </w:rPr>
      </w:pPr>
      <w:r w:rsidRPr="0059393F">
        <w:rPr>
          <w:rFonts w:eastAsia="Times New Roman" w:cstheme="minorHAnsi"/>
          <w:b/>
          <w:bCs/>
          <w:sz w:val="23"/>
          <w:szCs w:val="23"/>
          <w:lang w:eastAsia="en-AU"/>
        </w:rPr>
        <w:t xml:space="preserve">Placemaking </w:t>
      </w:r>
      <w:r w:rsidR="00ED1F9E">
        <w:rPr>
          <w:rFonts w:eastAsia="Times New Roman" w:cstheme="minorHAnsi"/>
          <w:b/>
          <w:bCs/>
          <w:sz w:val="23"/>
          <w:szCs w:val="23"/>
          <w:lang w:eastAsia="en-AU"/>
        </w:rPr>
        <w:t>S</w:t>
      </w:r>
      <w:r w:rsidRPr="0059393F">
        <w:rPr>
          <w:rFonts w:eastAsia="Times New Roman" w:cstheme="minorHAnsi"/>
          <w:b/>
          <w:bCs/>
          <w:sz w:val="23"/>
          <w:szCs w:val="23"/>
          <w:lang w:eastAsia="en-AU"/>
        </w:rPr>
        <w:t>ub-</w:t>
      </w:r>
      <w:r w:rsidR="00ED1F9E">
        <w:rPr>
          <w:rFonts w:eastAsia="Times New Roman" w:cstheme="minorHAnsi"/>
          <w:b/>
          <w:bCs/>
          <w:sz w:val="23"/>
          <w:szCs w:val="23"/>
          <w:lang w:eastAsia="en-AU"/>
        </w:rPr>
        <w:t>P</w:t>
      </w:r>
      <w:r w:rsidRPr="0059393F">
        <w:rPr>
          <w:rFonts w:eastAsia="Times New Roman" w:cstheme="minorHAnsi"/>
          <w:b/>
          <w:bCs/>
          <w:sz w:val="23"/>
          <w:szCs w:val="23"/>
          <w:lang w:eastAsia="en-AU"/>
        </w:rPr>
        <w:t>rojects (</w:t>
      </w:r>
      <w:r w:rsidR="00ED1F9E">
        <w:rPr>
          <w:rFonts w:eastAsia="Times New Roman" w:cstheme="minorHAnsi"/>
          <w:b/>
          <w:bCs/>
          <w:sz w:val="23"/>
          <w:szCs w:val="23"/>
          <w:lang w:eastAsia="en-AU"/>
        </w:rPr>
        <w:t>T</w:t>
      </w:r>
      <w:r w:rsidRPr="0059393F">
        <w:rPr>
          <w:rFonts w:eastAsia="Times New Roman" w:cstheme="minorHAnsi"/>
          <w:b/>
          <w:bCs/>
          <w:sz w:val="23"/>
          <w:szCs w:val="23"/>
          <w:lang w:eastAsia="en-AU"/>
        </w:rPr>
        <w:t xml:space="preserve">actical </w:t>
      </w:r>
      <w:r w:rsidR="00ED1F9E">
        <w:rPr>
          <w:rFonts w:eastAsia="Times New Roman" w:cstheme="minorHAnsi"/>
          <w:b/>
          <w:bCs/>
          <w:sz w:val="23"/>
          <w:szCs w:val="23"/>
          <w:lang w:eastAsia="en-AU"/>
        </w:rPr>
        <w:t>U</w:t>
      </w:r>
      <w:r w:rsidRPr="0059393F">
        <w:rPr>
          <w:rFonts w:eastAsia="Times New Roman" w:cstheme="minorHAnsi"/>
          <w:b/>
          <w:bCs/>
          <w:sz w:val="23"/>
          <w:szCs w:val="23"/>
          <w:lang w:eastAsia="en-AU"/>
        </w:rPr>
        <w:t>rbanism):</w:t>
      </w:r>
    </w:p>
    <w:p w14:paraId="1A9074A1" w14:textId="77777777" w:rsidR="00F00E3D" w:rsidRPr="00ED1F9E" w:rsidRDefault="00F00E3D" w:rsidP="0068341C">
      <w:pPr>
        <w:spacing w:after="0" w:line="276" w:lineRule="auto"/>
        <w:rPr>
          <w:rFonts w:asciiTheme="majorHAnsi" w:eastAsia="Times New Roman" w:hAnsiTheme="majorHAnsi" w:cstheme="majorHAnsi"/>
          <w:sz w:val="12"/>
          <w:szCs w:val="12"/>
          <w:lang w:eastAsia="en-AU"/>
        </w:rPr>
      </w:pPr>
    </w:p>
    <w:p w14:paraId="32D70BBF" w14:textId="5DE49661" w:rsidR="00F00E3D" w:rsidRPr="005F0B7E" w:rsidRDefault="00F00E3D" w:rsidP="00364C5D">
      <w:pPr>
        <w:numPr>
          <w:ilvl w:val="0"/>
          <w:numId w:val="47"/>
        </w:numPr>
        <w:spacing w:after="0" w:line="276" w:lineRule="auto"/>
        <w:contextualSpacing/>
        <w:rPr>
          <w:rFonts w:asciiTheme="majorHAnsi" w:eastAsiaTheme="majorEastAsia" w:hAnsiTheme="majorHAnsi" w:cstheme="majorBidi"/>
          <w:b/>
          <w:bCs/>
          <w:sz w:val="23"/>
          <w:szCs w:val="23"/>
          <w:shd w:val="clear" w:color="auto" w:fill="FFFFFF"/>
        </w:rPr>
      </w:pPr>
      <w:r w:rsidRPr="00ED1F9E">
        <w:rPr>
          <w:rFonts w:cstheme="minorHAnsi"/>
          <w:b/>
          <w:bCs/>
          <w:sz w:val="23"/>
          <w:szCs w:val="23"/>
          <w:shd w:val="clear" w:color="auto" w:fill="FFFFFF"/>
        </w:rPr>
        <w:t>Pop-up furniture:</w:t>
      </w:r>
      <w:r w:rsidRPr="2B116086">
        <w:rPr>
          <w:rFonts w:asciiTheme="majorHAnsi" w:hAnsiTheme="majorHAnsi" w:cstheme="majorBidi"/>
          <w:b/>
          <w:bCs/>
          <w:sz w:val="23"/>
          <w:szCs w:val="23"/>
          <w:shd w:val="clear" w:color="auto" w:fill="FFFFFF"/>
        </w:rPr>
        <w:t xml:space="preserve"> </w:t>
      </w:r>
      <w:r w:rsidR="00CE24EA" w:rsidRPr="71C466D6">
        <w:rPr>
          <w:rFonts w:asciiTheme="majorHAnsi" w:hAnsiTheme="majorHAnsi" w:cstheme="majorBidi"/>
          <w:sz w:val="23"/>
          <w:szCs w:val="23"/>
        </w:rPr>
        <w:t>Oslo Living Lab</w:t>
      </w:r>
      <w:r w:rsidRPr="2B116086">
        <w:rPr>
          <w:rFonts w:asciiTheme="majorHAnsi" w:hAnsiTheme="majorHAnsi" w:cstheme="majorBidi"/>
          <w:sz w:val="23"/>
          <w:szCs w:val="23"/>
          <w:shd w:val="clear" w:color="auto" w:fill="FFFFFF"/>
        </w:rPr>
        <w:t xml:space="preserve"> employed </w:t>
      </w:r>
      <w:r w:rsidRPr="2B116086">
        <w:rPr>
          <w:rFonts w:asciiTheme="majorHAnsi" w:eastAsia="Times New Roman" w:hAnsiTheme="majorHAnsi" w:cstheme="majorBidi"/>
          <w:sz w:val="23"/>
          <w:szCs w:val="23"/>
          <w:lang w:eastAsia="en-AU"/>
        </w:rPr>
        <w:t xml:space="preserve">local youth to </w:t>
      </w:r>
      <w:r w:rsidR="007F601D">
        <w:rPr>
          <w:rFonts w:asciiTheme="majorHAnsi" w:eastAsia="Times New Roman" w:hAnsiTheme="majorHAnsi" w:cstheme="majorBidi"/>
          <w:sz w:val="23"/>
          <w:szCs w:val="23"/>
          <w:lang w:eastAsia="en-AU"/>
        </w:rPr>
        <w:t>co-</w:t>
      </w:r>
      <w:r w:rsidRPr="2B116086">
        <w:rPr>
          <w:rFonts w:asciiTheme="majorHAnsi" w:eastAsia="Times New Roman" w:hAnsiTheme="majorHAnsi" w:cstheme="majorBidi"/>
          <w:sz w:val="23"/>
          <w:szCs w:val="23"/>
          <w:lang w:eastAsia="en-AU"/>
        </w:rPr>
        <w:t xml:space="preserve">create a colourful meeting place in their schoolyard for (and with) the local community. </w:t>
      </w:r>
      <w:r w:rsidRPr="359636AC">
        <w:rPr>
          <w:rFonts w:asciiTheme="majorHAnsi" w:hAnsiTheme="majorHAnsi" w:cstheme="majorBidi"/>
          <w:sz w:val="23"/>
          <w:szCs w:val="23"/>
        </w:rPr>
        <w:t>Working alongside volunteers from the local community,</w:t>
      </w:r>
      <w:r w:rsidRPr="359636AC">
        <w:rPr>
          <w:rFonts w:asciiTheme="majorHAnsi" w:eastAsia="Times New Roman" w:hAnsiTheme="majorHAnsi" w:cstheme="majorBidi"/>
          <w:sz w:val="23"/>
          <w:szCs w:val="23"/>
          <w:lang w:eastAsia="en-AU"/>
        </w:rPr>
        <w:t xml:space="preserve"> and g</w:t>
      </w:r>
      <w:r w:rsidRPr="2B116086">
        <w:rPr>
          <w:rFonts w:asciiTheme="majorHAnsi" w:eastAsia="Times New Roman" w:hAnsiTheme="majorHAnsi" w:cstheme="majorBidi"/>
          <w:sz w:val="23"/>
          <w:szCs w:val="23"/>
          <w:lang w:eastAsia="en-AU"/>
        </w:rPr>
        <w:t>uided by mentors</w:t>
      </w:r>
      <w:r w:rsidRPr="2B116086">
        <w:rPr>
          <w:rFonts w:asciiTheme="majorHAnsi" w:hAnsiTheme="majorHAnsi" w:cstheme="majorBidi"/>
          <w:sz w:val="23"/>
          <w:szCs w:val="23"/>
        </w:rPr>
        <w:t xml:space="preserve"> from </w:t>
      </w:r>
      <w:r w:rsidRPr="2B116086">
        <w:rPr>
          <w:rFonts w:asciiTheme="majorHAnsi" w:eastAsia="Times New Roman" w:hAnsiTheme="majorHAnsi" w:cstheme="majorBidi"/>
          <w:sz w:val="23"/>
          <w:szCs w:val="23"/>
          <w:lang w:eastAsia="en-AU"/>
        </w:rPr>
        <w:t>Makers’</w:t>
      </w:r>
      <w:r w:rsidRPr="2B116086">
        <w:rPr>
          <w:rFonts w:asciiTheme="majorHAnsi" w:hAnsiTheme="majorHAnsi" w:cstheme="majorBidi"/>
          <w:sz w:val="23"/>
          <w:szCs w:val="23"/>
        </w:rPr>
        <w:t xml:space="preserve"> </w:t>
      </w:r>
      <w:r w:rsidRPr="2B116086">
        <w:rPr>
          <w:rFonts w:asciiTheme="majorHAnsi" w:eastAsia="Times New Roman" w:hAnsiTheme="majorHAnsi" w:cstheme="majorBidi"/>
          <w:sz w:val="23"/>
          <w:szCs w:val="23"/>
          <w:lang w:eastAsia="en-AU"/>
        </w:rPr>
        <w:t xml:space="preserve">Hub, a group of </w:t>
      </w:r>
      <w:r w:rsidRPr="2B116086">
        <w:rPr>
          <w:rFonts w:asciiTheme="majorHAnsi" w:hAnsiTheme="majorHAnsi" w:cstheme="majorBidi"/>
          <w:sz w:val="23"/>
          <w:szCs w:val="23"/>
        </w:rPr>
        <w:t xml:space="preserve">participatory building experts, </w:t>
      </w:r>
      <w:r w:rsidRPr="2B116086">
        <w:rPr>
          <w:rFonts w:asciiTheme="majorHAnsi" w:eastAsia="Times New Roman" w:hAnsiTheme="majorHAnsi" w:cstheme="majorBidi"/>
          <w:sz w:val="23"/>
          <w:szCs w:val="23"/>
          <w:lang w:eastAsia="en-AU"/>
        </w:rPr>
        <w:t>the young people learned how to build pop-up furniture</w:t>
      </w:r>
      <w:r w:rsidRPr="2B116086">
        <w:rPr>
          <w:rFonts w:asciiTheme="majorHAnsi" w:hAnsiTheme="majorHAnsi" w:cstheme="majorBidi"/>
          <w:sz w:val="23"/>
          <w:szCs w:val="23"/>
        </w:rPr>
        <w:t>. The</w:t>
      </w:r>
      <w:r w:rsidRPr="2B116086">
        <w:rPr>
          <w:rFonts w:asciiTheme="majorHAnsi" w:hAnsiTheme="majorHAnsi" w:cstheme="majorBidi"/>
          <w:sz w:val="23"/>
          <w:szCs w:val="23"/>
          <w:shd w:val="clear" w:color="auto" w:fill="FFFFFF"/>
        </w:rPr>
        <w:t xml:space="preserve">y chose paint colours, built and painted six movable seating modules, and planted fruit and flowers in integrated planters. </w:t>
      </w:r>
      <w:r w:rsidRPr="2B116086">
        <w:rPr>
          <w:rFonts w:asciiTheme="majorHAnsi" w:hAnsiTheme="majorHAnsi" w:cstheme="majorBidi"/>
          <w:sz w:val="23"/>
          <w:szCs w:val="23"/>
          <w:shd w:val="clear" w:color="auto" w:fill="FFFFFF"/>
        </w:rPr>
        <w:lastRenderedPageBreak/>
        <w:t>Music and lunch were provided. Participants gained practical skills and made new connections.</w:t>
      </w:r>
      <w:r w:rsidRPr="2B116086">
        <w:rPr>
          <w:rFonts w:asciiTheme="majorHAnsi" w:hAnsiTheme="majorHAnsi" w:cstheme="majorBidi"/>
          <w:sz w:val="23"/>
          <w:szCs w:val="23"/>
        </w:rPr>
        <w:t xml:space="preserve"> Funding sources included the JPI </w:t>
      </w:r>
      <w:proofErr w:type="spellStart"/>
      <w:r w:rsidRPr="2B116086">
        <w:rPr>
          <w:rFonts w:asciiTheme="majorHAnsi" w:hAnsiTheme="majorHAnsi" w:cstheme="majorBidi"/>
          <w:sz w:val="23"/>
          <w:szCs w:val="23"/>
        </w:rPr>
        <w:t>PlaceCity</w:t>
      </w:r>
      <w:proofErr w:type="spellEnd"/>
      <w:r w:rsidRPr="2B116086">
        <w:rPr>
          <w:rFonts w:asciiTheme="majorHAnsi" w:hAnsiTheme="majorHAnsi" w:cstheme="majorBidi"/>
          <w:sz w:val="23"/>
          <w:szCs w:val="23"/>
        </w:rPr>
        <w:t xml:space="preserve"> project (Placemaking Europe, n.d.).</w:t>
      </w:r>
    </w:p>
    <w:p w14:paraId="7EEA6E42" w14:textId="77777777" w:rsidR="00F00E3D" w:rsidRPr="005F0B7E" w:rsidRDefault="00F00E3D" w:rsidP="00364C5D">
      <w:pPr>
        <w:numPr>
          <w:ilvl w:val="0"/>
          <w:numId w:val="47"/>
        </w:numPr>
        <w:spacing w:after="0" w:line="276" w:lineRule="auto"/>
        <w:contextualSpacing/>
        <w:rPr>
          <w:rFonts w:asciiTheme="majorHAnsi" w:eastAsia="Times New Roman" w:hAnsiTheme="majorHAnsi" w:cstheme="majorBidi"/>
          <w:sz w:val="23"/>
          <w:szCs w:val="23"/>
          <w:lang w:eastAsia="en-AU"/>
        </w:rPr>
      </w:pPr>
      <w:r w:rsidRPr="00ED1F9E">
        <w:rPr>
          <w:rFonts w:eastAsia="Times New Roman" w:cstheme="minorHAnsi"/>
          <w:b/>
          <w:bCs/>
          <w:sz w:val="23"/>
          <w:szCs w:val="23"/>
          <w:lang w:eastAsia="en-AU"/>
        </w:rPr>
        <w:t>Parking Day:</w:t>
      </w:r>
      <w:r w:rsidRPr="2B116086">
        <w:rPr>
          <w:rFonts w:asciiTheme="majorHAnsi" w:eastAsia="Times New Roman" w:hAnsiTheme="majorHAnsi" w:cstheme="majorBidi"/>
          <w:sz w:val="23"/>
          <w:szCs w:val="23"/>
          <w:lang w:eastAsia="en-AU"/>
        </w:rPr>
        <w:t xml:space="preserve"> 13 students transformed an underused street outside their school into a community space, staging a street party with music, workshops, fun activities, and food from local businesses. Young people offered snacks to passing residents.</w:t>
      </w:r>
    </w:p>
    <w:p w14:paraId="1D6934A7" w14:textId="1A3AC713" w:rsidR="00747F56" w:rsidRDefault="00F00E3D" w:rsidP="00364C5D">
      <w:pPr>
        <w:numPr>
          <w:ilvl w:val="0"/>
          <w:numId w:val="47"/>
        </w:numPr>
        <w:spacing w:after="0" w:line="276" w:lineRule="auto"/>
        <w:contextualSpacing/>
        <w:outlineLvl w:val="5"/>
        <w:rPr>
          <w:rFonts w:asciiTheme="majorHAnsi" w:eastAsia="Times New Roman" w:hAnsiTheme="majorHAnsi" w:cstheme="majorBidi"/>
          <w:sz w:val="23"/>
          <w:szCs w:val="23"/>
          <w:lang w:eastAsia="en-AU"/>
        </w:rPr>
      </w:pPr>
      <w:r w:rsidRPr="00ED1F9E">
        <w:rPr>
          <w:rFonts w:cstheme="minorHAnsi"/>
          <w:b/>
          <w:bCs/>
          <w:sz w:val="23"/>
          <w:szCs w:val="23"/>
          <w:shd w:val="clear" w:color="auto" w:fill="FFFFFF"/>
        </w:rPr>
        <w:t xml:space="preserve">Pop-up </w:t>
      </w:r>
      <w:r w:rsidR="00ED1F9E">
        <w:rPr>
          <w:rFonts w:cstheme="minorHAnsi"/>
          <w:b/>
          <w:bCs/>
          <w:sz w:val="23"/>
          <w:szCs w:val="23"/>
          <w:shd w:val="clear" w:color="auto" w:fill="FFFFFF"/>
        </w:rPr>
        <w:t>C</w:t>
      </w:r>
      <w:r w:rsidRPr="00ED1F9E">
        <w:rPr>
          <w:rFonts w:cstheme="minorHAnsi"/>
          <w:b/>
          <w:bCs/>
          <w:sz w:val="23"/>
          <w:szCs w:val="23"/>
          <w:shd w:val="clear" w:color="auto" w:fill="FFFFFF"/>
        </w:rPr>
        <w:t>afes</w:t>
      </w:r>
      <w:r w:rsidRPr="00ED1F9E">
        <w:rPr>
          <w:rFonts w:cstheme="minorHAnsi"/>
          <w:sz w:val="23"/>
          <w:szCs w:val="23"/>
          <w:shd w:val="clear" w:color="auto" w:fill="FFFFFF"/>
        </w:rPr>
        <w:t>:</w:t>
      </w:r>
      <w:r w:rsidRPr="47C6F23B">
        <w:rPr>
          <w:rFonts w:asciiTheme="majorHAnsi" w:hAnsiTheme="majorHAnsi" w:cstheme="majorBidi"/>
          <w:sz w:val="23"/>
          <w:szCs w:val="23"/>
          <w:shd w:val="clear" w:color="auto" w:fill="FFFFFF"/>
        </w:rPr>
        <w:t xml:space="preserve"> students created three</w:t>
      </w:r>
      <w:r w:rsidRPr="47C6F23B">
        <w:rPr>
          <w:rFonts w:asciiTheme="majorHAnsi" w:eastAsia="Times New Roman" w:hAnsiTheme="majorHAnsi" w:cstheme="majorBidi"/>
          <w:sz w:val="23"/>
          <w:szCs w:val="23"/>
          <w:lang w:eastAsia="en-AU"/>
        </w:rPr>
        <w:t xml:space="preserve"> temporary spaces for students and passers-by to sit and socialise, sharing free food and drinks.</w:t>
      </w:r>
    </w:p>
    <w:p w14:paraId="0DD54B4D" w14:textId="77777777" w:rsidR="00747F56" w:rsidRPr="00747F56" w:rsidRDefault="00747F56" w:rsidP="00747F56">
      <w:pPr>
        <w:spacing w:after="0" w:line="276" w:lineRule="auto"/>
        <w:ind w:left="360"/>
        <w:contextualSpacing/>
        <w:outlineLvl w:val="5"/>
        <w:rPr>
          <w:rFonts w:asciiTheme="majorHAnsi" w:eastAsia="Times New Roman" w:hAnsiTheme="majorHAnsi" w:cstheme="majorBidi"/>
          <w:sz w:val="12"/>
          <w:szCs w:val="12"/>
          <w:lang w:eastAsia="en-AU"/>
        </w:rPr>
      </w:pPr>
    </w:p>
    <w:p w14:paraId="2160C108" w14:textId="56FBD30A" w:rsidR="00F00E3D" w:rsidRPr="00747F56" w:rsidRDefault="00747F56" w:rsidP="00747F56">
      <w:pPr>
        <w:spacing w:after="0" w:line="276" w:lineRule="auto"/>
        <w:contextualSpacing/>
        <w:outlineLvl w:val="5"/>
        <w:rPr>
          <w:rFonts w:eastAsia="Times New Roman" w:cstheme="minorHAnsi"/>
          <w:b/>
          <w:bCs/>
          <w:sz w:val="23"/>
          <w:szCs w:val="23"/>
          <w:lang w:eastAsia="en-AU"/>
        </w:rPr>
      </w:pPr>
      <w:r w:rsidRPr="00747F56">
        <w:rPr>
          <w:rFonts w:eastAsia="Times New Roman" w:cstheme="minorHAnsi"/>
          <w:b/>
          <w:bCs/>
          <w:sz w:val="23"/>
          <w:szCs w:val="23"/>
          <w:lang w:eastAsia="en-AU"/>
        </w:rPr>
        <w:t xml:space="preserve">Green </w:t>
      </w:r>
      <w:r w:rsidR="00ED1F9E" w:rsidRPr="00747F56">
        <w:rPr>
          <w:rFonts w:eastAsia="Times New Roman" w:cstheme="minorHAnsi"/>
          <w:b/>
          <w:bCs/>
          <w:sz w:val="23"/>
          <w:szCs w:val="23"/>
          <w:lang w:eastAsia="en-AU"/>
        </w:rPr>
        <w:t>Training</w:t>
      </w:r>
      <w:r w:rsidR="00ED1F9E">
        <w:rPr>
          <w:rFonts w:eastAsia="Times New Roman" w:cstheme="minorHAnsi"/>
          <w:b/>
          <w:bCs/>
          <w:sz w:val="23"/>
          <w:szCs w:val="23"/>
          <w:lang w:eastAsia="en-AU"/>
        </w:rPr>
        <w:t xml:space="preserve"> and Employment</w:t>
      </w:r>
      <w:r w:rsidR="00ED1F9E" w:rsidRPr="00747F56">
        <w:rPr>
          <w:rFonts w:eastAsia="Times New Roman" w:cstheme="minorHAnsi"/>
          <w:b/>
          <w:bCs/>
          <w:sz w:val="23"/>
          <w:szCs w:val="23"/>
          <w:lang w:eastAsia="en-AU"/>
        </w:rPr>
        <w:t xml:space="preserve"> Sub-Projects:</w:t>
      </w:r>
    </w:p>
    <w:p w14:paraId="17DA19A4" w14:textId="77777777" w:rsidR="00F00E3D" w:rsidRPr="00747F56" w:rsidRDefault="00F00E3D" w:rsidP="0068341C">
      <w:pPr>
        <w:spacing w:after="0" w:line="276" w:lineRule="auto"/>
        <w:rPr>
          <w:rFonts w:cstheme="minorHAnsi"/>
          <w:b/>
          <w:bCs/>
          <w:sz w:val="8"/>
          <w:szCs w:val="8"/>
          <w:shd w:val="clear" w:color="auto" w:fill="FFFFFF"/>
        </w:rPr>
      </w:pPr>
    </w:p>
    <w:p w14:paraId="251668DE" w14:textId="77777777" w:rsidR="00F00E3D" w:rsidRPr="005F0B7E" w:rsidRDefault="00F00E3D" w:rsidP="00364C5D">
      <w:pPr>
        <w:numPr>
          <w:ilvl w:val="0"/>
          <w:numId w:val="20"/>
        </w:numPr>
        <w:spacing w:line="276" w:lineRule="auto"/>
        <w:contextualSpacing/>
        <w:rPr>
          <w:rFonts w:asciiTheme="majorHAnsi" w:eastAsia="Times New Roman" w:hAnsiTheme="majorHAnsi" w:cstheme="majorBidi"/>
          <w:sz w:val="23"/>
          <w:szCs w:val="23"/>
          <w:lang w:eastAsia="en-AU"/>
        </w:rPr>
      </w:pPr>
      <w:r w:rsidRPr="00ED1F9E">
        <w:rPr>
          <w:rFonts w:cstheme="minorHAnsi"/>
          <w:b/>
          <w:bCs/>
          <w:sz w:val="23"/>
          <w:szCs w:val="23"/>
          <w:shd w:val="clear" w:color="auto" w:fill="FFFFFF"/>
        </w:rPr>
        <w:t>Rooftop garden</w:t>
      </w:r>
      <w:r w:rsidRPr="00ED1F9E">
        <w:rPr>
          <w:rFonts w:cstheme="minorHAnsi"/>
          <w:sz w:val="23"/>
          <w:szCs w:val="23"/>
          <w:shd w:val="clear" w:color="auto" w:fill="FFFFFF"/>
        </w:rPr>
        <w:t>:</w:t>
      </w:r>
      <w:r w:rsidRPr="2B116086">
        <w:rPr>
          <w:rFonts w:asciiTheme="majorHAnsi" w:hAnsiTheme="majorHAnsi" w:cstheme="majorBidi"/>
          <w:sz w:val="23"/>
          <w:szCs w:val="23"/>
          <w:shd w:val="clear" w:color="auto" w:fill="FFFFFF"/>
        </w:rPr>
        <w:t xml:space="preserve"> </w:t>
      </w:r>
      <w:r w:rsidRPr="2B116086">
        <w:rPr>
          <w:rFonts w:asciiTheme="majorHAnsi" w:eastAsia="Times New Roman" w:hAnsiTheme="majorHAnsi" w:cstheme="majorBidi"/>
          <w:sz w:val="23"/>
          <w:szCs w:val="23"/>
          <w:lang w:eastAsia="en-AU"/>
        </w:rPr>
        <w:t xml:space="preserve">12 at-risk young people (aged 16–20) were paid a union wage to work part time in </w:t>
      </w:r>
      <w:proofErr w:type="spellStart"/>
      <w:r w:rsidRPr="2B116086">
        <w:rPr>
          <w:rFonts w:asciiTheme="majorHAnsi" w:hAnsiTheme="majorHAnsi" w:cstheme="majorBidi"/>
          <w:sz w:val="23"/>
          <w:szCs w:val="23"/>
          <w:shd w:val="clear" w:color="auto" w:fill="FFFFFF"/>
        </w:rPr>
        <w:t>Nabolagshager’s</w:t>
      </w:r>
      <w:proofErr w:type="spellEnd"/>
      <w:r w:rsidRPr="2B116086">
        <w:rPr>
          <w:rFonts w:asciiTheme="majorHAnsi" w:hAnsiTheme="majorHAnsi" w:cstheme="majorBidi"/>
          <w:sz w:val="23"/>
          <w:szCs w:val="23"/>
          <w:shd w:val="clear" w:color="auto" w:fill="FFFFFF"/>
        </w:rPr>
        <w:t xml:space="preserve"> rooftop garden</w:t>
      </w:r>
      <w:r w:rsidRPr="2B116086">
        <w:rPr>
          <w:rFonts w:asciiTheme="majorHAnsi" w:eastAsia="Times New Roman" w:hAnsiTheme="majorHAnsi" w:cstheme="majorBidi"/>
          <w:sz w:val="23"/>
          <w:szCs w:val="23"/>
          <w:lang w:eastAsia="en-AU"/>
        </w:rPr>
        <w:t xml:space="preserve"> in summer 2018</w:t>
      </w:r>
      <w:r w:rsidRPr="2B116086">
        <w:rPr>
          <w:rFonts w:asciiTheme="majorHAnsi" w:hAnsiTheme="majorHAnsi" w:cstheme="majorBidi"/>
          <w:sz w:val="23"/>
          <w:szCs w:val="23"/>
          <w:shd w:val="clear" w:color="auto" w:fill="FFFFFF"/>
        </w:rPr>
        <w:t xml:space="preserve">. </w:t>
      </w:r>
      <w:r w:rsidRPr="2B116086">
        <w:rPr>
          <w:rFonts w:asciiTheme="majorHAnsi" w:eastAsia="Times New Roman" w:hAnsiTheme="majorHAnsi" w:cstheme="majorBidi"/>
          <w:sz w:val="23"/>
          <w:szCs w:val="23"/>
          <w:lang w:eastAsia="en-AU"/>
        </w:rPr>
        <w:t xml:space="preserve">The garden </w:t>
      </w:r>
      <w:r w:rsidRPr="2B116086">
        <w:rPr>
          <w:rFonts w:asciiTheme="majorHAnsi" w:hAnsiTheme="majorHAnsi" w:cstheme="majorBidi"/>
          <w:sz w:val="23"/>
          <w:szCs w:val="23"/>
          <w:shd w:val="clear" w:color="auto" w:fill="FFFFFF"/>
        </w:rPr>
        <w:t>has 30 raised beds, a greenhouse, beehives, fruit trees, and laying hens.</w:t>
      </w:r>
      <w:r w:rsidRPr="2B116086">
        <w:rPr>
          <w:rFonts w:asciiTheme="majorHAnsi" w:eastAsia="Times New Roman" w:hAnsiTheme="majorHAnsi" w:cstheme="majorBidi"/>
          <w:sz w:val="23"/>
          <w:szCs w:val="23"/>
          <w:lang w:eastAsia="en-AU"/>
        </w:rPr>
        <w:t xml:space="preserve"> Participants planted, grew, and harvested food, cared for animals, undertook construction projects, and did workplace skills training. The project is being evaluated, but </w:t>
      </w:r>
      <w:hyperlink r:id="rId100" w:history="1">
        <w:r w:rsidRPr="2B116086">
          <w:rPr>
            <w:rFonts w:asciiTheme="majorHAnsi" w:eastAsia="Times New Roman" w:hAnsiTheme="majorHAnsi" w:cstheme="majorBidi"/>
            <w:color w:val="0000FF"/>
            <w:sz w:val="23"/>
            <w:szCs w:val="23"/>
            <w:u w:val="single"/>
            <w:lang w:eastAsia="en-AU"/>
          </w:rPr>
          <w:t>initial findings</w:t>
        </w:r>
      </w:hyperlink>
      <w:r w:rsidRPr="2B116086">
        <w:rPr>
          <w:rFonts w:asciiTheme="majorHAnsi" w:eastAsia="Times New Roman" w:hAnsiTheme="majorHAnsi" w:cstheme="majorBidi"/>
          <w:sz w:val="23"/>
          <w:szCs w:val="23"/>
          <w:lang w:eastAsia="en-AU"/>
        </w:rPr>
        <w:t xml:space="preserve"> suggest it fostered social inclusion. Participants received written references to use in job applications, and many expressed </w:t>
      </w:r>
      <w:proofErr w:type="gramStart"/>
      <w:r w:rsidRPr="2B116086">
        <w:rPr>
          <w:rFonts w:asciiTheme="majorHAnsi" w:eastAsia="Times New Roman" w:hAnsiTheme="majorHAnsi" w:cstheme="majorBidi"/>
          <w:sz w:val="23"/>
          <w:szCs w:val="23"/>
          <w:lang w:eastAsia="en-AU"/>
        </w:rPr>
        <w:t>interest</w:t>
      </w:r>
      <w:proofErr w:type="gramEnd"/>
      <w:r w:rsidRPr="2B116086">
        <w:rPr>
          <w:rFonts w:asciiTheme="majorHAnsi" w:eastAsia="Times New Roman" w:hAnsiTheme="majorHAnsi" w:cstheme="majorBidi"/>
          <w:sz w:val="23"/>
          <w:szCs w:val="23"/>
          <w:lang w:eastAsia="en-AU"/>
        </w:rPr>
        <w:t xml:space="preserve"> in further work. Program funding came from private and public grants. </w:t>
      </w:r>
      <w:r w:rsidRPr="2B116086">
        <w:rPr>
          <w:rFonts w:asciiTheme="majorHAnsi" w:hAnsiTheme="majorHAnsi" w:cstheme="majorBidi"/>
          <w:sz w:val="23"/>
          <w:szCs w:val="23"/>
          <w:shd w:val="clear" w:color="auto" w:fill="FFFFFF"/>
        </w:rPr>
        <w:t>Future graduates will be trained to work as consultants and peer mentors</w:t>
      </w:r>
      <w:r w:rsidRPr="2B116086">
        <w:rPr>
          <w:rFonts w:asciiTheme="majorHAnsi" w:eastAsia="Times New Roman" w:hAnsiTheme="majorHAnsi" w:cstheme="majorBidi"/>
          <w:sz w:val="23"/>
          <w:szCs w:val="23"/>
          <w:lang w:eastAsia="en-AU"/>
        </w:rPr>
        <w:t xml:space="preserve"> (</w:t>
      </w:r>
      <w:r w:rsidRPr="359636AC">
        <w:rPr>
          <w:rFonts w:asciiTheme="majorHAnsi" w:eastAsia="Times New Roman" w:hAnsiTheme="majorHAnsi" w:cstheme="majorBidi"/>
          <w:sz w:val="23"/>
          <w:szCs w:val="23"/>
          <w:lang w:eastAsia="en-AU"/>
        </w:rPr>
        <w:t xml:space="preserve">Curtis &amp; </w:t>
      </w:r>
      <w:proofErr w:type="spellStart"/>
      <w:r w:rsidRPr="359636AC">
        <w:rPr>
          <w:rFonts w:asciiTheme="majorHAnsi" w:eastAsia="Times New Roman" w:hAnsiTheme="majorHAnsi" w:cstheme="majorBidi"/>
          <w:sz w:val="23"/>
          <w:szCs w:val="23"/>
          <w:lang w:eastAsia="en-AU"/>
        </w:rPr>
        <w:t>Gallis</w:t>
      </w:r>
      <w:proofErr w:type="spellEnd"/>
      <w:r w:rsidRPr="359636AC">
        <w:rPr>
          <w:rFonts w:asciiTheme="majorHAnsi" w:eastAsia="Times New Roman" w:hAnsiTheme="majorHAnsi" w:cstheme="majorBidi"/>
          <w:sz w:val="23"/>
          <w:szCs w:val="23"/>
          <w:lang w:eastAsia="en-AU"/>
        </w:rPr>
        <w:t>, 2018: 15–17)</w:t>
      </w:r>
      <w:r w:rsidRPr="2B116086">
        <w:rPr>
          <w:rFonts w:asciiTheme="majorHAnsi" w:eastAsia="Times New Roman" w:hAnsiTheme="majorHAnsi" w:cstheme="majorBidi"/>
          <w:sz w:val="23"/>
          <w:szCs w:val="23"/>
          <w:lang w:eastAsia="en-AU"/>
        </w:rPr>
        <w:t xml:space="preserve">. </w:t>
      </w:r>
    </w:p>
    <w:p w14:paraId="67C1E0A4" w14:textId="77777777" w:rsidR="00F00E3D" w:rsidRPr="005F0B7E" w:rsidRDefault="00F00E3D" w:rsidP="00364C5D">
      <w:pPr>
        <w:numPr>
          <w:ilvl w:val="0"/>
          <w:numId w:val="47"/>
        </w:numPr>
        <w:spacing w:line="276" w:lineRule="auto"/>
        <w:contextualSpacing/>
        <w:rPr>
          <w:rFonts w:asciiTheme="majorHAnsi" w:hAnsiTheme="majorHAnsi" w:cstheme="majorBidi"/>
          <w:sz w:val="23"/>
          <w:szCs w:val="23"/>
          <w:shd w:val="clear" w:color="auto" w:fill="FFFFFF"/>
        </w:rPr>
      </w:pPr>
      <w:r w:rsidRPr="2B116086">
        <w:rPr>
          <w:rFonts w:asciiTheme="majorHAnsi" w:hAnsiTheme="majorHAnsi" w:cstheme="majorBidi"/>
          <w:b/>
          <w:bCs/>
          <w:sz w:val="23"/>
          <w:szCs w:val="23"/>
          <w:shd w:val="clear" w:color="auto" w:fill="FFFFFF"/>
        </w:rPr>
        <w:t>Circular business model</w:t>
      </w:r>
      <w:r w:rsidRPr="2B116086">
        <w:rPr>
          <w:rFonts w:asciiTheme="majorHAnsi" w:hAnsiTheme="majorHAnsi" w:cstheme="majorBidi"/>
          <w:sz w:val="23"/>
          <w:szCs w:val="23"/>
          <w:shd w:val="clear" w:color="auto" w:fill="FFFFFF"/>
        </w:rPr>
        <w:t xml:space="preserve">: In 2018–2019, </w:t>
      </w:r>
      <w:r w:rsidRPr="2B116086">
        <w:rPr>
          <w:rFonts w:asciiTheme="majorHAnsi" w:hAnsiTheme="majorHAnsi" w:cstheme="majorBidi"/>
          <w:sz w:val="23"/>
          <w:szCs w:val="23"/>
        </w:rPr>
        <w:t xml:space="preserve">OLL ran </w:t>
      </w:r>
      <w:r w:rsidRPr="2B116086">
        <w:rPr>
          <w:rFonts w:asciiTheme="majorHAnsi" w:hAnsiTheme="majorHAnsi" w:cstheme="majorBidi"/>
          <w:sz w:val="23"/>
          <w:szCs w:val="23"/>
          <w:shd w:val="clear" w:color="auto" w:fill="FFFFFF"/>
        </w:rPr>
        <w:t>an award-winning pilot program using waste from five local businesses to produce a new product. Using bokashi composting, young people made an organic fertiliser, along with a “growing kit” for urban farmers, selling them via pop-up stands at markets. Participants learned business planning, branding, social media, production, marketing, and sales. Project partners included local businesses and Oslo School of Architecture and Design</w:t>
      </w:r>
      <w:r w:rsidRPr="2B116086">
        <w:rPr>
          <w:rFonts w:asciiTheme="majorHAnsi" w:hAnsiTheme="majorHAnsi" w:cstheme="majorBidi"/>
          <w:sz w:val="23"/>
          <w:szCs w:val="23"/>
        </w:rPr>
        <w:t xml:space="preserve"> </w:t>
      </w:r>
      <w:r w:rsidRPr="2B116086">
        <w:rPr>
          <w:rFonts w:asciiTheme="majorHAnsi" w:hAnsiTheme="majorHAnsi" w:cstheme="majorBidi"/>
          <w:sz w:val="23"/>
          <w:szCs w:val="23"/>
          <w:shd w:val="clear" w:color="auto" w:fill="FFFFFF"/>
        </w:rPr>
        <w:t>(</w:t>
      </w:r>
      <w:proofErr w:type="spellStart"/>
      <w:r w:rsidRPr="2B116086">
        <w:rPr>
          <w:rFonts w:asciiTheme="majorHAnsi" w:hAnsiTheme="majorHAnsi" w:cstheme="majorBidi"/>
          <w:sz w:val="23"/>
          <w:szCs w:val="23"/>
          <w:shd w:val="clear" w:color="auto" w:fill="FFFFFF"/>
        </w:rPr>
        <w:t>Sæstad</w:t>
      </w:r>
      <w:proofErr w:type="spellEnd"/>
      <w:r w:rsidRPr="2B116086">
        <w:rPr>
          <w:rFonts w:asciiTheme="majorHAnsi" w:hAnsiTheme="majorHAnsi" w:cstheme="majorBidi"/>
          <w:sz w:val="23"/>
          <w:szCs w:val="23"/>
          <w:shd w:val="clear" w:color="auto" w:fill="FFFFFF"/>
        </w:rPr>
        <w:t>, 2019).</w:t>
      </w:r>
    </w:p>
    <w:p w14:paraId="13D3E52C" w14:textId="26FE3CA2" w:rsidR="00682FD3" w:rsidRDefault="00682FD3">
      <w:pPr>
        <w:spacing w:after="0" w:line="240" w:lineRule="auto"/>
        <w:rPr>
          <w:rFonts w:asciiTheme="majorHAnsi" w:hAnsiTheme="majorHAnsi" w:cstheme="majorBidi"/>
          <w:sz w:val="16"/>
          <w:szCs w:val="16"/>
        </w:rPr>
      </w:pPr>
    </w:p>
    <w:p w14:paraId="430B8A8C" w14:textId="77777777" w:rsidR="00F00E3D" w:rsidRPr="00961AD3" w:rsidRDefault="00F00E3D" w:rsidP="009B2FA7">
      <w:pPr>
        <w:spacing w:after="0" w:line="276" w:lineRule="auto"/>
        <w:rPr>
          <w:b/>
          <w:bCs/>
          <w:color w:val="2F5496" w:themeColor="accent1" w:themeShade="BF"/>
          <w:sz w:val="25"/>
          <w:szCs w:val="25"/>
        </w:rPr>
      </w:pPr>
      <w:r w:rsidRPr="71C466D6">
        <w:rPr>
          <w:b/>
          <w:bCs/>
          <w:color w:val="2F5496" w:themeColor="accent1" w:themeShade="BF"/>
          <w:sz w:val="25"/>
          <w:szCs w:val="25"/>
        </w:rPr>
        <w:t>Denmark</w:t>
      </w:r>
    </w:p>
    <w:p w14:paraId="2CCEF43A" w14:textId="77777777" w:rsidR="00F00E3D" w:rsidRPr="0059393F" w:rsidRDefault="00F00E3D" w:rsidP="009B2FA7">
      <w:pPr>
        <w:spacing w:after="0" w:line="276" w:lineRule="auto"/>
        <w:rPr>
          <w:rFonts w:asciiTheme="majorHAnsi" w:hAnsiTheme="majorHAnsi" w:cstheme="majorHAnsi"/>
          <w:sz w:val="16"/>
          <w:szCs w:val="16"/>
        </w:rPr>
      </w:pPr>
    </w:p>
    <w:p w14:paraId="1A7C26F8" w14:textId="0876AF4B" w:rsidR="00F00E3D" w:rsidRPr="00BE4FC0" w:rsidRDefault="00F00E3D" w:rsidP="009B2FA7">
      <w:pPr>
        <w:spacing w:after="0"/>
        <w:rPr>
          <w:b/>
          <w:bCs/>
          <w:sz w:val="25"/>
          <w:szCs w:val="25"/>
        </w:rPr>
      </w:pPr>
      <w:bookmarkStart w:id="78" w:name="_Hlk70864745"/>
      <w:r w:rsidRPr="27ED1008">
        <w:rPr>
          <w:b/>
          <w:bCs/>
          <w:sz w:val="25"/>
          <w:szCs w:val="25"/>
        </w:rPr>
        <w:t>We Design for Life: Design</w:t>
      </w:r>
      <w:r w:rsidR="00682FD3" w:rsidRPr="27ED1008">
        <w:rPr>
          <w:b/>
          <w:bCs/>
          <w:sz w:val="25"/>
          <w:szCs w:val="25"/>
        </w:rPr>
        <w:t>-Led Policy Development</w:t>
      </w:r>
      <w:r w:rsidR="00682FD3" w:rsidRPr="008F0FAA">
        <w:rPr>
          <w:b/>
          <w:bCs/>
          <w:sz w:val="25"/>
          <w:szCs w:val="25"/>
        </w:rPr>
        <w:t xml:space="preserve"> </w:t>
      </w:r>
      <w:r w:rsidR="00682FD3">
        <w:rPr>
          <w:b/>
          <w:bCs/>
          <w:sz w:val="25"/>
          <w:szCs w:val="25"/>
        </w:rPr>
        <w:t xml:space="preserve">and Participatory </w:t>
      </w:r>
      <w:r w:rsidR="00682FD3" w:rsidRPr="27ED1008">
        <w:rPr>
          <w:b/>
          <w:bCs/>
          <w:sz w:val="25"/>
          <w:szCs w:val="25"/>
        </w:rPr>
        <w:t>Urban Regeneration</w:t>
      </w:r>
    </w:p>
    <w:p w14:paraId="27EFC007" w14:textId="4E211E75" w:rsidR="00F00E3D" w:rsidRDefault="00F00E3D" w:rsidP="009B2FA7">
      <w:pPr>
        <w:spacing w:after="0"/>
        <w:rPr>
          <w:rFonts w:cstheme="minorHAnsi"/>
          <w:b/>
          <w:bCs/>
          <w:sz w:val="23"/>
          <w:szCs w:val="23"/>
        </w:rPr>
      </w:pPr>
      <w:r w:rsidRPr="00BE4FC0">
        <w:rPr>
          <w:rFonts w:cstheme="minorHAnsi"/>
          <w:b/>
          <w:bCs/>
          <w:sz w:val="23"/>
          <w:szCs w:val="23"/>
        </w:rPr>
        <w:t>Kolding, Denmark (2012–</w:t>
      </w:r>
      <w:r w:rsidR="00C26E85">
        <w:rPr>
          <w:rFonts w:cstheme="minorHAnsi"/>
          <w:b/>
          <w:bCs/>
          <w:sz w:val="23"/>
          <w:szCs w:val="23"/>
        </w:rPr>
        <w:t>present</w:t>
      </w:r>
      <w:r w:rsidRPr="00BE4FC0">
        <w:rPr>
          <w:rFonts w:cstheme="minorHAnsi"/>
          <w:b/>
          <w:bCs/>
          <w:sz w:val="23"/>
          <w:szCs w:val="23"/>
        </w:rPr>
        <w:t>)</w:t>
      </w:r>
    </w:p>
    <w:bookmarkEnd w:id="78"/>
    <w:p w14:paraId="33A68E68" w14:textId="77777777" w:rsidR="00F00E3D" w:rsidRPr="0059393F" w:rsidRDefault="00F00E3D" w:rsidP="009B2FA7">
      <w:pPr>
        <w:spacing w:after="0"/>
        <w:rPr>
          <w:rFonts w:cstheme="minorHAnsi"/>
          <w:b/>
          <w:bCs/>
          <w:sz w:val="16"/>
          <w:szCs w:val="16"/>
        </w:rPr>
      </w:pPr>
    </w:p>
    <w:p w14:paraId="17B1F8A9" w14:textId="57666854" w:rsidR="00F00E3D" w:rsidRPr="00FD2DF0" w:rsidRDefault="00F00E3D" w:rsidP="009B2FA7">
      <w:pPr>
        <w:spacing w:after="0" w:line="240" w:lineRule="auto"/>
        <w:rPr>
          <w:rFonts w:cstheme="minorHAnsi"/>
          <w:b/>
          <w:bCs/>
          <w:color w:val="595959" w:themeColor="text1" w:themeTint="A6"/>
          <w:sz w:val="23"/>
          <w:szCs w:val="23"/>
        </w:rPr>
      </w:pPr>
      <w:r w:rsidRPr="00FD2DF0">
        <w:rPr>
          <w:rFonts w:cstheme="minorHAnsi"/>
          <w:b/>
          <w:bCs/>
          <w:color w:val="595959" w:themeColor="text1" w:themeTint="A6"/>
          <w:sz w:val="23"/>
          <w:szCs w:val="23"/>
        </w:rPr>
        <w:t xml:space="preserve">Main </w:t>
      </w:r>
      <w:r w:rsidR="00D95573">
        <w:rPr>
          <w:rFonts w:cstheme="minorHAnsi"/>
          <w:b/>
          <w:bCs/>
          <w:color w:val="595959" w:themeColor="text1" w:themeTint="A6"/>
          <w:sz w:val="23"/>
          <w:szCs w:val="23"/>
        </w:rPr>
        <w:t>Practice Domain</w:t>
      </w:r>
      <w:r w:rsidRPr="00FD2DF0">
        <w:rPr>
          <w:rFonts w:cstheme="minorHAnsi"/>
          <w:b/>
          <w:bCs/>
          <w:color w:val="595959" w:themeColor="text1" w:themeTint="A6"/>
          <w:sz w:val="23"/>
          <w:szCs w:val="23"/>
        </w:rPr>
        <w:t xml:space="preserve">(s): </w:t>
      </w:r>
      <w:r w:rsidRPr="00FD2DF0">
        <w:rPr>
          <w:rFonts w:cstheme="minorHAnsi"/>
          <w:b/>
          <w:bCs/>
          <w:color w:val="595959" w:themeColor="text1" w:themeTint="A6"/>
          <w:sz w:val="23"/>
          <w:szCs w:val="23"/>
        </w:rPr>
        <w:tab/>
      </w:r>
      <w:r>
        <w:rPr>
          <w:rFonts w:cstheme="minorHAnsi"/>
          <w:b/>
          <w:bCs/>
          <w:color w:val="595959" w:themeColor="text1" w:themeTint="A6"/>
          <w:sz w:val="23"/>
          <w:szCs w:val="23"/>
        </w:rPr>
        <w:tab/>
      </w:r>
      <w:r w:rsidRPr="00FD2DF0">
        <w:rPr>
          <w:rFonts w:cstheme="minorHAnsi"/>
          <w:b/>
          <w:bCs/>
          <w:color w:val="595959" w:themeColor="text1" w:themeTint="A6"/>
          <w:sz w:val="23"/>
          <w:szCs w:val="23"/>
        </w:rPr>
        <w:t>Liveability</w:t>
      </w:r>
    </w:p>
    <w:p w14:paraId="219D2CCF" w14:textId="0EB72F3F" w:rsidR="00F00E3D" w:rsidRPr="00FD2DF0" w:rsidRDefault="00F00E3D" w:rsidP="009B2FA7">
      <w:pPr>
        <w:spacing w:after="0" w:line="240" w:lineRule="auto"/>
        <w:rPr>
          <w:rFonts w:cstheme="minorHAnsi"/>
          <w:b/>
          <w:bCs/>
          <w:color w:val="595959" w:themeColor="text1" w:themeTint="A6"/>
          <w:sz w:val="23"/>
          <w:szCs w:val="23"/>
        </w:rPr>
      </w:pPr>
      <w:r w:rsidRPr="00FD2DF0">
        <w:rPr>
          <w:rFonts w:cstheme="minorHAnsi"/>
          <w:b/>
          <w:bCs/>
          <w:color w:val="595959" w:themeColor="text1" w:themeTint="A6"/>
          <w:sz w:val="23"/>
          <w:szCs w:val="23"/>
        </w:rPr>
        <w:t xml:space="preserve">Secondary </w:t>
      </w:r>
      <w:r w:rsidR="00D95573">
        <w:rPr>
          <w:rFonts w:cstheme="minorHAnsi"/>
          <w:b/>
          <w:bCs/>
          <w:color w:val="595959" w:themeColor="text1" w:themeTint="A6"/>
          <w:sz w:val="23"/>
          <w:szCs w:val="23"/>
        </w:rPr>
        <w:t>Practice Domain</w:t>
      </w:r>
      <w:r w:rsidRPr="00FD2DF0">
        <w:rPr>
          <w:rFonts w:cstheme="minorHAnsi"/>
          <w:b/>
          <w:bCs/>
          <w:color w:val="595959" w:themeColor="text1" w:themeTint="A6"/>
          <w:sz w:val="23"/>
          <w:szCs w:val="23"/>
        </w:rPr>
        <w:t xml:space="preserve">(s): </w:t>
      </w:r>
      <w:r w:rsidRPr="00FD2DF0">
        <w:rPr>
          <w:rFonts w:cstheme="minorHAnsi"/>
          <w:b/>
          <w:bCs/>
          <w:color w:val="595959" w:themeColor="text1" w:themeTint="A6"/>
          <w:sz w:val="23"/>
          <w:szCs w:val="23"/>
        </w:rPr>
        <w:tab/>
        <w:t>Education, Employment, Housing, Health and Wellbeing</w:t>
      </w:r>
    </w:p>
    <w:p w14:paraId="25CCCAA2" w14:textId="77777777" w:rsidR="00F00E3D" w:rsidRPr="0059393F" w:rsidRDefault="00F00E3D" w:rsidP="009B2FA7">
      <w:pPr>
        <w:spacing w:after="0"/>
        <w:rPr>
          <w:rFonts w:asciiTheme="majorHAnsi" w:hAnsiTheme="majorHAnsi" w:cstheme="majorBidi"/>
          <w:b/>
          <w:bCs/>
          <w:sz w:val="16"/>
          <w:szCs w:val="16"/>
        </w:rPr>
      </w:pPr>
    </w:p>
    <w:p w14:paraId="3C865CA1" w14:textId="77777777" w:rsidR="00F00E3D" w:rsidRPr="00BE4FC0" w:rsidRDefault="00F00E3D" w:rsidP="0068341C">
      <w:pPr>
        <w:spacing w:line="276" w:lineRule="auto"/>
        <w:rPr>
          <w:rFonts w:asciiTheme="majorHAnsi" w:hAnsiTheme="majorHAnsi" w:cstheme="majorBidi"/>
          <w:sz w:val="23"/>
          <w:szCs w:val="23"/>
        </w:rPr>
      </w:pPr>
      <w:r w:rsidRPr="359636AC">
        <w:rPr>
          <w:rFonts w:asciiTheme="majorHAnsi" w:hAnsiTheme="majorHAnsi" w:cstheme="majorBidi"/>
          <w:sz w:val="23"/>
          <w:szCs w:val="23"/>
        </w:rPr>
        <w:t>Kolding (pop. 61,000) is a seaport city in Denmark. The city is now a high-tech manufacturing and transport hub, but its historic roots lie in textile manufacturing and silver production. A UNESCO City of Design since 2017, Kolding is part of Denmark’s Triangle Region, made up of seven Danish municipalities that cooperate economically and politically.</w:t>
      </w:r>
    </w:p>
    <w:p w14:paraId="099C53AC" w14:textId="77777777" w:rsidR="00F00E3D" w:rsidRPr="00BE4FC0" w:rsidRDefault="00F00E3D" w:rsidP="0068341C">
      <w:pPr>
        <w:spacing w:line="276" w:lineRule="auto"/>
        <w:rPr>
          <w:rFonts w:asciiTheme="majorHAnsi" w:hAnsiTheme="majorHAnsi" w:cstheme="majorBidi"/>
          <w:sz w:val="23"/>
          <w:szCs w:val="23"/>
        </w:rPr>
      </w:pPr>
      <w:r w:rsidRPr="359636AC">
        <w:rPr>
          <w:rFonts w:asciiTheme="majorHAnsi" w:hAnsiTheme="majorHAnsi" w:cstheme="majorBidi"/>
          <w:sz w:val="23"/>
          <w:szCs w:val="23"/>
        </w:rPr>
        <w:t xml:space="preserve">While English-language data on Kolding is scant, there is evidence of locational disadvantage. The suburb of </w:t>
      </w:r>
      <w:proofErr w:type="spellStart"/>
      <w:r w:rsidRPr="359636AC">
        <w:rPr>
          <w:rFonts w:asciiTheme="majorHAnsi" w:hAnsiTheme="majorHAnsi" w:cstheme="majorBidi"/>
          <w:sz w:val="23"/>
          <w:szCs w:val="23"/>
        </w:rPr>
        <w:t>Skovvejen</w:t>
      </w:r>
      <w:proofErr w:type="spellEnd"/>
      <w:r w:rsidRPr="359636AC">
        <w:rPr>
          <w:rFonts w:asciiTheme="majorHAnsi" w:hAnsiTheme="majorHAnsi" w:cstheme="majorBidi"/>
          <w:sz w:val="23"/>
          <w:szCs w:val="23"/>
        </w:rPr>
        <w:t>/</w:t>
      </w:r>
      <w:proofErr w:type="spellStart"/>
      <w:r w:rsidRPr="359636AC">
        <w:rPr>
          <w:rFonts w:asciiTheme="majorHAnsi" w:hAnsiTheme="majorHAnsi" w:cstheme="majorBidi"/>
          <w:sz w:val="23"/>
          <w:szCs w:val="23"/>
        </w:rPr>
        <w:t>Skovparken</w:t>
      </w:r>
      <w:proofErr w:type="spellEnd"/>
      <w:r w:rsidRPr="359636AC">
        <w:rPr>
          <w:rFonts w:asciiTheme="majorHAnsi" w:hAnsiTheme="majorHAnsi" w:cstheme="majorBidi"/>
          <w:sz w:val="23"/>
          <w:szCs w:val="23"/>
        </w:rPr>
        <w:t>, for example, is one of Denmark’s 15 legally designated “ghettos”, controversially defined as a neighbourhood of 1000-plus where 50 percent of residents have “non-Western” heritage, and where income, education, and employment levels are low. The area has a high concentration of social housing and many residents are from refugee backgrounds (Overgaard, 2018; Barrett, 2020; Nord News, 2020).</w:t>
      </w:r>
    </w:p>
    <w:p w14:paraId="135BEA0E" w14:textId="30CE68F6" w:rsidR="00F00E3D" w:rsidRPr="00BE4FC0" w:rsidRDefault="00F00E3D" w:rsidP="0068341C">
      <w:pPr>
        <w:spacing w:line="276" w:lineRule="auto"/>
        <w:rPr>
          <w:rFonts w:asciiTheme="majorHAnsi" w:hAnsiTheme="majorHAnsi" w:cstheme="majorBidi"/>
          <w:sz w:val="23"/>
          <w:szCs w:val="23"/>
        </w:rPr>
      </w:pPr>
      <w:r w:rsidRPr="359636AC">
        <w:rPr>
          <w:rFonts w:asciiTheme="majorHAnsi" w:hAnsiTheme="majorHAnsi" w:cstheme="majorBidi"/>
          <w:sz w:val="23"/>
          <w:szCs w:val="23"/>
        </w:rPr>
        <w:t xml:space="preserve">In 2010, the Kolding Municipal Council began exploring options to regenerate the city, which was being impacted by the GFC, an ageing population, and a lacklustre reputation. After conducting a survey on the city’s image, in 2012 Council engaged a consultant </w:t>
      </w:r>
      <w:r w:rsidR="00D174CF">
        <w:rPr>
          <w:rFonts w:asciiTheme="majorHAnsi" w:hAnsiTheme="majorHAnsi" w:cstheme="majorBidi"/>
          <w:sz w:val="23"/>
          <w:szCs w:val="23"/>
        </w:rPr>
        <w:t>to run</w:t>
      </w:r>
      <w:r w:rsidRPr="359636AC">
        <w:rPr>
          <w:rFonts w:asciiTheme="majorHAnsi" w:hAnsiTheme="majorHAnsi" w:cstheme="majorBidi"/>
          <w:sz w:val="23"/>
          <w:szCs w:val="23"/>
        </w:rPr>
        <w:t xml:space="preserve"> staff workshops and in-depth citizen </w:t>
      </w:r>
      <w:r w:rsidRPr="359636AC">
        <w:rPr>
          <w:rFonts w:asciiTheme="majorHAnsi" w:hAnsiTheme="majorHAnsi" w:cstheme="majorBidi"/>
          <w:sz w:val="23"/>
          <w:szCs w:val="23"/>
        </w:rPr>
        <w:lastRenderedPageBreak/>
        <w:t xml:space="preserve">interviews to pinpoint Kolding’s main strengths. Four “future scenarios” were </w:t>
      </w:r>
      <w:r w:rsidR="00D174CF">
        <w:rPr>
          <w:rFonts w:asciiTheme="majorHAnsi" w:hAnsiTheme="majorHAnsi" w:cstheme="majorBidi"/>
          <w:sz w:val="23"/>
          <w:szCs w:val="23"/>
        </w:rPr>
        <w:t xml:space="preserve">then </w:t>
      </w:r>
      <w:r w:rsidRPr="359636AC">
        <w:rPr>
          <w:rFonts w:asciiTheme="majorHAnsi" w:hAnsiTheme="majorHAnsi" w:cstheme="majorBidi"/>
          <w:sz w:val="23"/>
          <w:szCs w:val="23"/>
        </w:rPr>
        <w:t xml:space="preserve">devised and tested in creative workshops with residents. Finally, 650 citizens attended a public meeting (“Vision Forum”) to explore scenarios in depth. SMS responses were streamed to a </w:t>
      </w:r>
      <w:r w:rsidR="00C86031">
        <w:rPr>
          <w:rFonts w:asciiTheme="majorHAnsi" w:hAnsiTheme="majorHAnsi" w:cstheme="majorBidi"/>
          <w:sz w:val="23"/>
          <w:szCs w:val="23"/>
        </w:rPr>
        <w:t xml:space="preserve">big </w:t>
      </w:r>
      <w:r w:rsidRPr="359636AC">
        <w:rPr>
          <w:rFonts w:asciiTheme="majorHAnsi" w:hAnsiTheme="majorHAnsi" w:cstheme="majorBidi"/>
          <w:sz w:val="23"/>
          <w:szCs w:val="23"/>
        </w:rPr>
        <w:t>screen, and attendees voted for their preferred scenario.</w:t>
      </w:r>
      <w:r w:rsidR="00C86031">
        <w:rPr>
          <w:rFonts w:asciiTheme="majorHAnsi" w:hAnsiTheme="majorHAnsi" w:cstheme="majorBidi"/>
          <w:sz w:val="23"/>
          <w:szCs w:val="23"/>
        </w:rPr>
        <w:t xml:space="preserve"> </w:t>
      </w:r>
      <w:r w:rsidRPr="359636AC">
        <w:rPr>
          <w:rFonts w:asciiTheme="majorHAnsi" w:hAnsiTheme="majorHAnsi" w:cstheme="majorBidi"/>
          <w:sz w:val="23"/>
          <w:szCs w:val="23"/>
        </w:rPr>
        <w:t>Co-designed with 900 residents, the resulting Vision Statement positioned Kolding as a hub for entrepreneurship, social innovation, and education. In December 2012 it evolved into a municipal strategy called “We Design For Life”, which p</w:t>
      </w:r>
      <w:r w:rsidR="00D174CF">
        <w:rPr>
          <w:rFonts w:asciiTheme="majorHAnsi" w:hAnsiTheme="majorHAnsi" w:cstheme="majorBidi"/>
          <w:sz w:val="23"/>
          <w:szCs w:val="23"/>
        </w:rPr>
        <w:t>uts</w:t>
      </w:r>
      <w:r w:rsidRPr="359636AC">
        <w:rPr>
          <w:rFonts w:asciiTheme="majorHAnsi" w:hAnsiTheme="majorHAnsi" w:cstheme="majorBidi"/>
          <w:sz w:val="23"/>
          <w:szCs w:val="23"/>
        </w:rPr>
        <w:t xml:space="preserve"> design at the centre of all civic processes.</w:t>
      </w:r>
    </w:p>
    <w:p w14:paraId="482ED8C0" w14:textId="77777777" w:rsidR="00F00E3D" w:rsidRPr="00BE4FC0" w:rsidRDefault="00F00E3D" w:rsidP="0068341C">
      <w:pPr>
        <w:spacing w:line="276" w:lineRule="auto"/>
        <w:rPr>
          <w:rFonts w:asciiTheme="majorHAnsi" w:hAnsiTheme="majorHAnsi" w:cstheme="majorBidi"/>
          <w:sz w:val="23"/>
          <w:szCs w:val="23"/>
        </w:rPr>
      </w:pPr>
      <w:r w:rsidRPr="359636AC">
        <w:rPr>
          <w:rFonts w:asciiTheme="majorHAnsi" w:hAnsiTheme="majorHAnsi" w:cstheme="majorBidi"/>
          <w:sz w:val="23"/>
          <w:szCs w:val="23"/>
        </w:rPr>
        <w:t>Kolding’s approach went beyond the traditional formats for design-led regeneration: urban design (new/upgraded public facilities), creative industries approaches (attracting creative workers), cultural planning (devising events to attract investment), and place-branding. Criticisms of these approaches highlight their high cost, tendency to fragment into projects run by separate departments, and focus on material outcomes, rather than design-led processes (</w:t>
      </w:r>
      <w:proofErr w:type="spellStart"/>
      <w:r w:rsidRPr="359636AC">
        <w:rPr>
          <w:rFonts w:asciiTheme="majorHAnsi" w:hAnsiTheme="majorHAnsi" w:cstheme="majorBidi"/>
          <w:sz w:val="23"/>
          <w:szCs w:val="23"/>
        </w:rPr>
        <w:t>Julier</w:t>
      </w:r>
      <w:proofErr w:type="spellEnd"/>
      <w:r w:rsidRPr="359636AC">
        <w:rPr>
          <w:rFonts w:asciiTheme="majorHAnsi" w:hAnsiTheme="majorHAnsi" w:cstheme="majorBidi"/>
          <w:sz w:val="23"/>
          <w:szCs w:val="23"/>
        </w:rPr>
        <w:t xml:space="preserve"> &amp; </w:t>
      </w:r>
      <w:proofErr w:type="spellStart"/>
      <w:r w:rsidRPr="359636AC">
        <w:rPr>
          <w:rFonts w:asciiTheme="majorHAnsi" w:hAnsiTheme="majorHAnsi" w:cstheme="majorBidi"/>
          <w:sz w:val="23"/>
          <w:szCs w:val="23"/>
        </w:rPr>
        <w:t>Leerberg</w:t>
      </w:r>
      <w:proofErr w:type="spellEnd"/>
      <w:r w:rsidRPr="359636AC">
        <w:rPr>
          <w:rFonts w:asciiTheme="majorHAnsi" w:hAnsiTheme="majorHAnsi" w:cstheme="majorBidi"/>
          <w:sz w:val="23"/>
          <w:szCs w:val="23"/>
        </w:rPr>
        <w:t>, 2014).</w:t>
      </w:r>
    </w:p>
    <w:p w14:paraId="483E2A65" w14:textId="77777777" w:rsidR="00F00E3D" w:rsidRPr="00BE4FC0" w:rsidRDefault="00F00E3D" w:rsidP="0068341C">
      <w:pPr>
        <w:spacing w:line="276" w:lineRule="auto"/>
        <w:rPr>
          <w:rFonts w:asciiTheme="majorHAnsi" w:hAnsiTheme="majorHAnsi" w:cstheme="majorBidi"/>
          <w:sz w:val="23"/>
          <w:szCs w:val="23"/>
        </w:rPr>
      </w:pPr>
      <w:r w:rsidRPr="359636AC">
        <w:rPr>
          <w:rFonts w:asciiTheme="majorHAnsi" w:hAnsiTheme="majorHAnsi" w:cstheme="majorBidi"/>
          <w:sz w:val="23"/>
          <w:szCs w:val="23"/>
        </w:rPr>
        <w:t>Kolding’s strategy exemplifies the emergent use of “design thinking” as a policy development tool (Armstrong et al, 2014). Design thinking is an exploratory, iterative, collaborative process in which participants redefine problems and co-create solutions. It emphasises empathy, observation, visualisation, prototyping, and testing (</w:t>
      </w:r>
      <w:proofErr w:type="spellStart"/>
      <w:r w:rsidRPr="359636AC">
        <w:rPr>
          <w:rFonts w:asciiTheme="majorHAnsi" w:hAnsiTheme="majorHAnsi" w:cstheme="majorBidi"/>
          <w:sz w:val="23"/>
          <w:szCs w:val="23"/>
        </w:rPr>
        <w:t>Mintrom</w:t>
      </w:r>
      <w:proofErr w:type="spellEnd"/>
      <w:r w:rsidRPr="359636AC">
        <w:rPr>
          <w:rFonts w:asciiTheme="majorHAnsi" w:hAnsiTheme="majorHAnsi" w:cstheme="majorBidi"/>
          <w:sz w:val="23"/>
          <w:szCs w:val="23"/>
        </w:rPr>
        <w:t xml:space="preserve"> &amp; </w:t>
      </w:r>
      <w:proofErr w:type="spellStart"/>
      <w:r w:rsidRPr="359636AC">
        <w:rPr>
          <w:rFonts w:asciiTheme="majorHAnsi" w:hAnsiTheme="majorHAnsi" w:cstheme="majorBidi"/>
          <w:sz w:val="23"/>
          <w:szCs w:val="23"/>
        </w:rPr>
        <w:t>Luetjens</w:t>
      </w:r>
      <w:proofErr w:type="spellEnd"/>
      <w:r w:rsidRPr="359636AC">
        <w:rPr>
          <w:rFonts w:asciiTheme="majorHAnsi" w:hAnsiTheme="majorHAnsi" w:cstheme="majorBidi"/>
          <w:sz w:val="23"/>
          <w:szCs w:val="23"/>
        </w:rPr>
        <w:t>, 2016). To support the new strategy the City created a Design Secretariat, established a new role of Chief Design Officer, trained 25 staff in design thinking, engaged 250 municipal managers to revise council systems, and recruited</w:t>
      </w:r>
      <w:r w:rsidRPr="359636AC">
        <w:rPr>
          <w:sz w:val="23"/>
          <w:szCs w:val="23"/>
        </w:rPr>
        <w:t xml:space="preserve"> </w:t>
      </w:r>
      <w:r w:rsidRPr="359636AC">
        <w:rPr>
          <w:rFonts w:asciiTheme="majorHAnsi" w:hAnsiTheme="majorHAnsi" w:cstheme="majorBidi"/>
          <w:sz w:val="23"/>
          <w:szCs w:val="23"/>
        </w:rPr>
        <w:t>50 local representatives as “vision ambassadors”</w:t>
      </w:r>
      <w:r w:rsidRPr="359636AC">
        <w:rPr>
          <w:sz w:val="23"/>
          <w:szCs w:val="23"/>
        </w:rPr>
        <w:t xml:space="preserve"> </w:t>
      </w:r>
      <w:r w:rsidRPr="359636AC">
        <w:rPr>
          <w:rFonts w:asciiTheme="majorHAnsi" w:hAnsiTheme="majorHAnsi" w:cstheme="majorBidi"/>
          <w:sz w:val="23"/>
          <w:szCs w:val="23"/>
        </w:rPr>
        <w:t>(</w:t>
      </w:r>
      <w:proofErr w:type="spellStart"/>
      <w:r w:rsidRPr="359636AC">
        <w:rPr>
          <w:rFonts w:asciiTheme="majorHAnsi" w:hAnsiTheme="majorHAnsi" w:cstheme="majorBidi"/>
          <w:sz w:val="23"/>
          <w:szCs w:val="23"/>
        </w:rPr>
        <w:t>Jungersen</w:t>
      </w:r>
      <w:proofErr w:type="spellEnd"/>
      <w:r w:rsidRPr="359636AC">
        <w:rPr>
          <w:rFonts w:asciiTheme="majorHAnsi" w:hAnsiTheme="majorHAnsi" w:cstheme="majorBidi"/>
          <w:sz w:val="23"/>
          <w:szCs w:val="23"/>
        </w:rPr>
        <w:t xml:space="preserve"> &amp; Hansen 2014).</w:t>
      </w:r>
    </w:p>
    <w:p w14:paraId="11B25FFE" w14:textId="0BB231FB" w:rsidR="00F00E3D" w:rsidRPr="00BE4FC0" w:rsidRDefault="00F00E3D" w:rsidP="0068341C">
      <w:pPr>
        <w:spacing w:line="276" w:lineRule="auto"/>
        <w:rPr>
          <w:rFonts w:asciiTheme="majorHAnsi" w:hAnsiTheme="majorHAnsi" w:cstheme="majorBidi"/>
          <w:sz w:val="23"/>
          <w:szCs w:val="23"/>
        </w:rPr>
      </w:pPr>
      <w:r w:rsidRPr="359636AC">
        <w:rPr>
          <w:rFonts w:asciiTheme="majorHAnsi" w:hAnsiTheme="majorHAnsi" w:cstheme="majorBidi"/>
          <w:sz w:val="23"/>
          <w:szCs w:val="23"/>
        </w:rPr>
        <w:t>One evaluation found Kolding’s shift to design-driven processes reduced the municipality’s expenses by 6.6 million Euros per year from 2013–2015 (UNESCO, n.d.). Success factors include effective citizen engagement; partnerships with local universities and business associations; and an existing Danish governance culture that emphasise co-creation, participation, and decentralised decision-making.</w:t>
      </w:r>
      <w:r w:rsidR="0068341C">
        <w:rPr>
          <w:rFonts w:asciiTheme="majorHAnsi" w:hAnsiTheme="majorHAnsi" w:cstheme="majorBidi"/>
          <w:sz w:val="23"/>
          <w:szCs w:val="23"/>
        </w:rPr>
        <w:t xml:space="preserve"> </w:t>
      </w:r>
      <w:r w:rsidRPr="359636AC">
        <w:rPr>
          <w:rFonts w:asciiTheme="majorHAnsi" w:hAnsiTheme="majorHAnsi" w:cstheme="majorBidi"/>
          <w:sz w:val="23"/>
          <w:szCs w:val="23"/>
        </w:rPr>
        <w:t>Detailed English-language sources are scant, but many initiatives evidently seek to engage citizens in addressing social disadvantage and/or sustainability. Examples include:</w:t>
      </w:r>
    </w:p>
    <w:p w14:paraId="03194C73" w14:textId="77777777" w:rsidR="00F00E3D" w:rsidRPr="00BE4FC0" w:rsidRDefault="00F00E3D" w:rsidP="00364C5D">
      <w:pPr>
        <w:numPr>
          <w:ilvl w:val="0"/>
          <w:numId w:val="29"/>
        </w:numPr>
        <w:spacing w:after="0" w:line="276" w:lineRule="auto"/>
        <w:contextualSpacing/>
        <w:rPr>
          <w:rFonts w:asciiTheme="majorHAnsi" w:eastAsia="Times New Roman" w:hAnsiTheme="majorHAnsi" w:cstheme="majorBidi"/>
          <w:sz w:val="23"/>
          <w:szCs w:val="23"/>
          <w:lang w:eastAsia="en-AU"/>
        </w:rPr>
      </w:pPr>
      <w:r w:rsidRPr="00CE2692">
        <w:rPr>
          <w:rFonts w:eastAsia="Times New Roman" w:cstheme="minorHAnsi"/>
          <w:b/>
          <w:bCs/>
          <w:sz w:val="23"/>
          <w:szCs w:val="23"/>
          <w:lang w:eastAsia="en-AU"/>
        </w:rPr>
        <w:t>RE:USE</w:t>
      </w:r>
      <w:r w:rsidRPr="2B116086">
        <w:rPr>
          <w:rFonts w:asciiTheme="majorHAnsi" w:eastAsia="Times New Roman" w:hAnsiTheme="majorHAnsi" w:cstheme="majorBidi"/>
          <w:b/>
          <w:bCs/>
          <w:sz w:val="23"/>
          <w:szCs w:val="23"/>
          <w:lang w:eastAsia="en-AU"/>
        </w:rPr>
        <w:t xml:space="preserve"> </w:t>
      </w:r>
      <w:r w:rsidRPr="2B116086">
        <w:rPr>
          <w:rFonts w:asciiTheme="majorHAnsi" w:eastAsia="Times New Roman" w:hAnsiTheme="majorHAnsi" w:cstheme="majorBidi"/>
          <w:sz w:val="23"/>
          <w:szCs w:val="23"/>
          <w:lang w:eastAsia="en-AU"/>
        </w:rPr>
        <w:t>circular economy project: unwanted household items are donated to the city’s recycling depot, upcycled by staff, and displayed in a showroom. Unemployed citizens can collect the items for free. In 2018, 36.5 tons of furniture and appliances were donated to vulnerable residents; 52 unemployed people worked in the project, 50 percent of whom subsequently took up employment, internships, or education opportunities (Kolding Municipality, 2019: 14–15).</w:t>
      </w:r>
    </w:p>
    <w:p w14:paraId="7C967B97" w14:textId="75750B36" w:rsidR="00F00E3D" w:rsidRPr="00BE4FC0" w:rsidRDefault="00F00E3D" w:rsidP="00364C5D">
      <w:pPr>
        <w:numPr>
          <w:ilvl w:val="0"/>
          <w:numId w:val="29"/>
        </w:numPr>
        <w:spacing w:after="0" w:line="276" w:lineRule="auto"/>
        <w:contextualSpacing/>
        <w:rPr>
          <w:rFonts w:asciiTheme="majorHAnsi" w:eastAsia="Times New Roman" w:hAnsiTheme="majorHAnsi" w:cstheme="majorBidi"/>
          <w:sz w:val="23"/>
          <w:szCs w:val="23"/>
          <w:lang w:eastAsia="en-AU"/>
        </w:rPr>
      </w:pPr>
      <w:r w:rsidRPr="00CE2692">
        <w:rPr>
          <w:rFonts w:eastAsia="Times New Roman" w:cstheme="minorHAnsi"/>
          <w:b/>
          <w:bCs/>
          <w:sz w:val="23"/>
          <w:szCs w:val="23"/>
          <w:lang w:eastAsia="en-AU"/>
        </w:rPr>
        <w:t>Sustainable City:</w:t>
      </w:r>
      <w:r w:rsidR="00D174CF">
        <w:rPr>
          <w:rFonts w:asciiTheme="majorHAnsi" w:eastAsia="Times New Roman" w:hAnsiTheme="majorHAnsi" w:cstheme="majorBidi"/>
          <w:sz w:val="23"/>
          <w:szCs w:val="23"/>
          <w:lang w:eastAsia="en-AU"/>
        </w:rPr>
        <w:t xml:space="preserve"> </w:t>
      </w:r>
      <w:r w:rsidRPr="2A9E8271">
        <w:rPr>
          <w:rFonts w:asciiTheme="majorHAnsi" w:eastAsia="Times New Roman" w:hAnsiTheme="majorHAnsi" w:cstheme="majorBidi"/>
          <w:sz w:val="23"/>
          <w:szCs w:val="23"/>
          <w:lang w:eastAsia="en-AU"/>
        </w:rPr>
        <w:t>retrofitted portable shipping container where citizens co-design sustainability projects (repair events, urban gardens, sustainable festivals) with municipal staff (ICLEI, n.d.).</w:t>
      </w:r>
    </w:p>
    <w:p w14:paraId="34104951" w14:textId="3091D9D3" w:rsidR="00F00E3D" w:rsidRPr="00BE4FC0" w:rsidRDefault="00F00E3D" w:rsidP="00364C5D">
      <w:pPr>
        <w:numPr>
          <w:ilvl w:val="0"/>
          <w:numId w:val="29"/>
        </w:numPr>
        <w:spacing w:after="0" w:line="276" w:lineRule="auto"/>
        <w:contextualSpacing/>
        <w:rPr>
          <w:rFonts w:asciiTheme="majorHAnsi" w:eastAsia="Times New Roman" w:hAnsiTheme="majorHAnsi" w:cstheme="majorBidi"/>
          <w:sz w:val="23"/>
          <w:szCs w:val="23"/>
          <w:lang w:eastAsia="en-AU"/>
        </w:rPr>
      </w:pPr>
      <w:r w:rsidRPr="00CE2692">
        <w:rPr>
          <w:rFonts w:eastAsia="Times New Roman" w:cstheme="minorHAnsi"/>
          <w:b/>
          <w:bCs/>
          <w:sz w:val="23"/>
          <w:szCs w:val="23"/>
          <w:lang w:eastAsia="en-AU"/>
        </w:rPr>
        <w:t>International Design Camp 2017:</w:t>
      </w:r>
      <w:r w:rsidRPr="359636AC">
        <w:rPr>
          <w:rFonts w:asciiTheme="majorHAnsi" w:eastAsia="Times New Roman" w:hAnsiTheme="majorHAnsi" w:cstheme="majorBidi"/>
          <w:sz w:val="23"/>
          <w:szCs w:val="23"/>
          <w:lang w:eastAsia="en-AU"/>
        </w:rPr>
        <w:t xml:space="preserve"> over two weeks, Danish and international students joined companies, designers and researchers to co-design “scalable design solutions to meet the world’s sustainability challenges” (partnership with Kolding Design School and Business Kolding)</w:t>
      </w:r>
    </w:p>
    <w:p w14:paraId="6FD983C3" w14:textId="58596DDE" w:rsidR="00F00E3D" w:rsidRPr="00BE4FC0" w:rsidRDefault="00F00E3D" w:rsidP="00364C5D">
      <w:pPr>
        <w:numPr>
          <w:ilvl w:val="0"/>
          <w:numId w:val="29"/>
        </w:numPr>
        <w:spacing w:after="0" w:line="276" w:lineRule="auto"/>
        <w:contextualSpacing/>
        <w:rPr>
          <w:rFonts w:asciiTheme="majorHAnsi" w:eastAsia="Times New Roman" w:hAnsiTheme="majorHAnsi" w:cstheme="majorBidi"/>
          <w:sz w:val="23"/>
          <w:szCs w:val="23"/>
          <w:lang w:eastAsia="en-AU"/>
        </w:rPr>
      </w:pPr>
      <w:r w:rsidRPr="00CE2692">
        <w:rPr>
          <w:rFonts w:eastAsia="Times New Roman" w:cstheme="minorHAnsi"/>
          <w:b/>
          <w:bCs/>
          <w:sz w:val="23"/>
          <w:szCs w:val="23"/>
          <w:lang w:eastAsia="en-AU"/>
        </w:rPr>
        <w:t xml:space="preserve">Sustainable Social Housing </w:t>
      </w:r>
      <w:r w:rsidR="00CE2692">
        <w:rPr>
          <w:rFonts w:eastAsia="Times New Roman" w:cstheme="minorHAnsi"/>
          <w:b/>
          <w:bCs/>
          <w:sz w:val="23"/>
          <w:szCs w:val="23"/>
          <w:lang w:eastAsia="en-AU"/>
        </w:rPr>
        <w:t>P</w:t>
      </w:r>
      <w:r w:rsidRPr="00CE2692">
        <w:rPr>
          <w:rFonts w:eastAsia="Times New Roman" w:cstheme="minorHAnsi"/>
          <w:b/>
          <w:bCs/>
          <w:sz w:val="23"/>
          <w:szCs w:val="23"/>
          <w:lang w:eastAsia="en-AU"/>
        </w:rPr>
        <w:t>roject</w:t>
      </w:r>
      <w:r w:rsidR="00747F56" w:rsidRPr="00CE2692">
        <w:rPr>
          <w:rFonts w:eastAsia="Times New Roman" w:cstheme="minorHAnsi"/>
          <w:sz w:val="23"/>
          <w:szCs w:val="23"/>
          <w:lang w:eastAsia="en-AU"/>
        </w:rPr>
        <w:t>:</w:t>
      </w:r>
      <w:r w:rsidRPr="359636AC">
        <w:rPr>
          <w:rFonts w:asciiTheme="majorHAnsi" w:eastAsia="Times New Roman" w:hAnsiTheme="majorHAnsi" w:cstheme="majorBidi"/>
          <w:sz w:val="23"/>
          <w:szCs w:val="23"/>
          <w:lang w:eastAsia="en-AU"/>
        </w:rPr>
        <w:t xml:space="preserve"> university-City partnership that challenged PhD students to design strategies to upgrade Kolding’s social housing spaces (</w:t>
      </w:r>
      <w:proofErr w:type="spellStart"/>
      <w:r w:rsidRPr="359636AC">
        <w:rPr>
          <w:rFonts w:asciiTheme="majorHAnsi" w:eastAsia="Times New Roman" w:hAnsiTheme="majorHAnsi" w:cstheme="majorBidi"/>
          <w:sz w:val="23"/>
          <w:szCs w:val="23"/>
          <w:lang w:eastAsia="en-AU"/>
        </w:rPr>
        <w:t>Jungersen</w:t>
      </w:r>
      <w:proofErr w:type="spellEnd"/>
      <w:r w:rsidRPr="359636AC">
        <w:rPr>
          <w:rFonts w:asciiTheme="majorHAnsi" w:eastAsia="Times New Roman" w:hAnsiTheme="majorHAnsi" w:cstheme="majorBidi"/>
          <w:sz w:val="23"/>
          <w:szCs w:val="23"/>
          <w:lang w:eastAsia="en-AU"/>
        </w:rPr>
        <w:t xml:space="preserve"> &amp; Calleja, 2017: 5)</w:t>
      </w:r>
    </w:p>
    <w:p w14:paraId="2B808DAE" w14:textId="08A8D238" w:rsidR="00D174CF" w:rsidRPr="00D174CF" w:rsidRDefault="00F00E3D" w:rsidP="00D174CF">
      <w:pPr>
        <w:numPr>
          <w:ilvl w:val="0"/>
          <w:numId w:val="29"/>
        </w:numPr>
        <w:spacing w:after="0" w:line="276" w:lineRule="auto"/>
        <w:contextualSpacing/>
        <w:rPr>
          <w:rFonts w:asciiTheme="majorHAnsi" w:eastAsia="Times New Roman" w:hAnsiTheme="majorHAnsi" w:cstheme="majorBidi"/>
          <w:sz w:val="23"/>
          <w:szCs w:val="23"/>
          <w:lang w:eastAsia="en-AU"/>
        </w:rPr>
      </w:pPr>
      <w:r w:rsidRPr="00CE2692">
        <w:rPr>
          <w:rFonts w:eastAsia="Times New Roman" w:cstheme="minorHAnsi"/>
          <w:b/>
          <w:bCs/>
          <w:sz w:val="23"/>
          <w:szCs w:val="23"/>
          <w:lang w:eastAsia="en-AU"/>
        </w:rPr>
        <w:t>Warm Hearted Job Centre</w:t>
      </w:r>
      <w:r w:rsidRPr="359636AC">
        <w:rPr>
          <w:rFonts w:asciiTheme="majorHAnsi" w:eastAsia="Times New Roman" w:hAnsiTheme="majorHAnsi" w:cstheme="majorBidi"/>
          <w:sz w:val="23"/>
          <w:szCs w:val="23"/>
          <w:lang w:eastAsia="en-AU"/>
        </w:rPr>
        <w:t xml:space="preserve"> (2015): jobseekers found Kolding’s Job Centre unwelcoming and did not enjoy engaging with staff. This intervention sought to make the place more “warm hearted” for them. Workshops were run, and a script for a “warm hearted” phone conversation was developed; the user journey through the centre was mapped, décor upgraded, and architectural firms submitted proposals for a café in the foyer. An evaluation found improved user perceptions of interactions with staff (City of Kolding, 2017).</w:t>
      </w:r>
      <w:r w:rsidR="00D174CF" w:rsidRPr="00D174CF">
        <w:rPr>
          <w:rFonts w:asciiTheme="majorHAnsi" w:eastAsia="Times New Roman" w:hAnsiTheme="majorHAnsi" w:cstheme="majorBidi"/>
          <w:sz w:val="23"/>
          <w:szCs w:val="23"/>
          <w:lang w:eastAsia="en-AU"/>
        </w:rPr>
        <w:br w:type="page"/>
      </w:r>
    </w:p>
    <w:p w14:paraId="4339EABA" w14:textId="77777777" w:rsidR="00F00E3D" w:rsidRPr="008F0FAA" w:rsidRDefault="00F00E3D" w:rsidP="0068341C">
      <w:pPr>
        <w:spacing w:after="0" w:line="276" w:lineRule="auto"/>
        <w:rPr>
          <w:b/>
          <w:bCs/>
          <w:color w:val="2F5496" w:themeColor="accent1" w:themeShade="BF"/>
          <w:sz w:val="25"/>
          <w:szCs w:val="25"/>
        </w:rPr>
      </w:pPr>
      <w:r w:rsidRPr="71C466D6">
        <w:rPr>
          <w:b/>
          <w:bCs/>
          <w:color w:val="2F5496" w:themeColor="accent1" w:themeShade="BF"/>
          <w:sz w:val="25"/>
          <w:szCs w:val="25"/>
        </w:rPr>
        <w:lastRenderedPageBreak/>
        <w:t>New Zealand</w:t>
      </w:r>
    </w:p>
    <w:p w14:paraId="1FEEAB61" w14:textId="77777777" w:rsidR="00F00E3D" w:rsidRPr="0059393F" w:rsidRDefault="00F00E3D" w:rsidP="0068341C">
      <w:pPr>
        <w:spacing w:after="0" w:line="276" w:lineRule="auto"/>
        <w:rPr>
          <w:rFonts w:asciiTheme="majorHAnsi" w:hAnsiTheme="majorHAnsi" w:cstheme="majorBidi"/>
          <w:color w:val="000000" w:themeColor="text1"/>
          <w:sz w:val="16"/>
          <w:szCs w:val="16"/>
        </w:rPr>
      </w:pPr>
    </w:p>
    <w:p w14:paraId="2231587F" w14:textId="1C8D6894" w:rsidR="00F00E3D" w:rsidRDefault="00F00E3D" w:rsidP="0068341C">
      <w:pPr>
        <w:spacing w:after="0" w:line="276" w:lineRule="auto"/>
      </w:pPr>
      <w:bookmarkStart w:id="79" w:name="_Hlk70864771"/>
      <w:r w:rsidRPr="359636AC">
        <w:rPr>
          <w:rFonts w:ascii="Calibri" w:eastAsia="Calibri" w:hAnsi="Calibri" w:cs="Calibri"/>
          <w:b/>
          <w:bCs/>
          <w:sz w:val="25"/>
          <w:szCs w:val="25"/>
        </w:rPr>
        <w:t>All Right? Community-</w:t>
      </w:r>
      <w:r w:rsidR="00682FD3" w:rsidRPr="359636AC">
        <w:rPr>
          <w:rFonts w:ascii="Calibri" w:eastAsia="Calibri" w:hAnsi="Calibri" w:cs="Calibri"/>
          <w:b/>
          <w:bCs/>
          <w:sz w:val="25"/>
          <w:szCs w:val="25"/>
        </w:rPr>
        <w:t>Led Mental Health Initiative For Disaster Recovery</w:t>
      </w:r>
    </w:p>
    <w:p w14:paraId="5A1CB2B6" w14:textId="715CDA8E" w:rsidR="00F00E3D" w:rsidRDefault="00F00E3D" w:rsidP="0068341C">
      <w:pPr>
        <w:spacing w:after="0" w:line="276" w:lineRule="auto"/>
        <w:rPr>
          <w:rFonts w:ascii="Calibri" w:eastAsia="Calibri" w:hAnsi="Calibri" w:cs="Calibri"/>
          <w:b/>
          <w:bCs/>
          <w:sz w:val="23"/>
          <w:szCs w:val="23"/>
        </w:rPr>
      </w:pPr>
      <w:r w:rsidRPr="359636AC">
        <w:rPr>
          <w:rFonts w:ascii="Calibri" w:eastAsia="Calibri" w:hAnsi="Calibri" w:cs="Calibri"/>
          <w:b/>
          <w:bCs/>
          <w:sz w:val="23"/>
          <w:szCs w:val="23"/>
        </w:rPr>
        <w:t>Christchurch (2013–</w:t>
      </w:r>
      <w:r w:rsidR="00C26E85">
        <w:rPr>
          <w:rFonts w:ascii="Calibri" w:eastAsia="Calibri" w:hAnsi="Calibri" w:cs="Calibri"/>
          <w:b/>
          <w:bCs/>
          <w:sz w:val="23"/>
          <w:szCs w:val="23"/>
        </w:rPr>
        <w:t>present</w:t>
      </w:r>
      <w:r w:rsidRPr="359636AC">
        <w:rPr>
          <w:rFonts w:ascii="Calibri" w:eastAsia="Calibri" w:hAnsi="Calibri" w:cs="Calibri"/>
          <w:b/>
          <w:bCs/>
          <w:sz w:val="23"/>
          <w:szCs w:val="23"/>
        </w:rPr>
        <w:t>)</w:t>
      </w:r>
    </w:p>
    <w:bookmarkEnd w:id="79"/>
    <w:p w14:paraId="1A00E143" w14:textId="77777777" w:rsidR="00F00E3D" w:rsidRPr="0059393F" w:rsidRDefault="00F00E3D" w:rsidP="0068341C">
      <w:pPr>
        <w:spacing w:after="0" w:line="276" w:lineRule="auto"/>
        <w:rPr>
          <w:sz w:val="16"/>
          <w:szCs w:val="16"/>
        </w:rPr>
      </w:pPr>
    </w:p>
    <w:p w14:paraId="2ECE8575" w14:textId="1ADEDB9C" w:rsidR="00F00E3D" w:rsidRPr="00FD2DF0" w:rsidRDefault="00F00E3D" w:rsidP="0068341C">
      <w:pPr>
        <w:spacing w:after="0" w:line="276" w:lineRule="auto"/>
        <w:rPr>
          <w:rFonts w:cstheme="minorHAnsi"/>
          <w:b/>
          <w:bCs/>
          <w:color w:val="595959" w:themeColor="text1" w:themeTint="A6"/>
          <w:sz w:val="23"/>
          <w:szCs w:val="23"/>
        </w:rPr>
      </w:pPr>
      <w:r w:rsidRPr="00FD2DF0">
        <w:rPr>
          <w:rFonts w:cstheme="minorHAnsi"/>
          <w:b/>
          <w:bCs/>
          <w:color w:val="595959" w:themeColor="text1" w:themeTint="A6"/>
          <w:sz w:val="23"/>
          <w:szCs w:val="23"/>
        </w:rPr>
        <w:t xml:space="preserve">Main </w:t>
      </w:r>
      <w:r w:rsidR="00D95573">
        <w:rPr>
          <w:rFonts w:cstheme="minorHAnsi"/>
          <w:b/>
          <w:bCs/>
          <w:color w:val="595959" w:themeColor="text1" w:themeTint="A6"/>
          <w:sz w:val="23"/>
          <w:szCs w:val="23"/>
        </w:rPr>
        <w:t>Practice Domain</w:t>
      </w:r>
      <w:r w:rsidRPr="00FD2DF0">
        <w:rPr>
          <w:rFonts w:cstheme="minorHAnsi"/>
          <w:b/>
          <w:bCs/>
          <w:color w:val="595959" w:themeColor="text1" w:themeTint="A6"/>
          <w:sz w:val="23"/>
          <w:szCs w:val="23"/>
        </w:rPr>
        <w:t xml:space="preserve">(s): </w:t>
      </w:r>
      <w:r w:rsidRPr="00FD2DF0">
        <w:rPr>
          <w:rFonts w:cstheme="minorHAnsi"/>
          <w:b/>
          <w:bCs/>
          <w:color w:val="595959" w:themeColor="text1" w:themeTint="A6"/>
          <w:sz w:val="23"/>
          <w:szCs w:val="23"/>
        </w:rPr>
        <w:tab/>
      </w:r>
      <w:r>
        <w:rPr>
          <w:rFonts w:cstheme="minorHAnsi"/>
          <w:b/>
          <w:bCs/>
          <w:color w:val="595959" w:themeColor="text1" w:themeTint="A6"/>
          <w:sz w:val="23"/>
          <w:szCs w:val="23"/>
        </w:rPr>
        <w:tab/>
      </w:r>
      <w:r w:rsidRPr="00FD2DF0">
        <w:rPr>
          <w:rFonts w:cstheme="minorHAnsi"/>
          <w:b/>
          <w:bCs/>
          <w:color w:val="595959" w:themeColor="text1" w:themeTint="A6"/>
          <w:sz w:val="23"/>
          <w:szCs w:val="23"/>
        </w:rPr>
        <w:t xml:space="preserve">Health and Wellbeing </w:t>
      </w:r>
    </w:p>
    <w:p w14:paraId="43E2A33C" w14:textId="5BD98BEB" w:rsidR="00F00E3D" w:rsidRPr="00FD2DF0" w:rsidRDefault="00F00E3D" w:rsidP="0068341C">
      <w:pPr>
        <w:spacing w:after="0" w:line="276" w:lineRule="auto"/>
        <w:rPr>
          <w:rFonts w:cstheme="minorHAnsi"/>
          <w:b/>
          <w:bCs/>
          <w:color w:val="595959" w:themeColor="text1" w:themeTint="A6"/>
          <w:sz w:val="23"/>
          <w:szCs w:val="23"/>
        </w:rPr>
      </w:pPr>
      <w:r w:rsidRPr="00FD2DF0">
        <w:rPr>
          <w:rFonts w:cstheme="minorHAnsi"/>
          <w:b/>
          <w:bCs/>
          <w:color w:val="595959" w:themeColor="text1" w:themeTint="A6"/>
          <w:sz w:val="23"/>
          <w:szCs w:val="23"/>
        </w:rPr>
        <w:t xml:space="preserve">Secondary </w:t>
      </w:r>
      <w:r w:rsidR="00D95573">
        <w:rPr>
          <w:rFonts w:cstheme="minorHAnsi"/>
          <w:b/>
          <w:bCs/>
          <w:color w:val="595959" w:themeColor="text1" w:themeTint="A6"/>
          <w:sz w:val="23"/>
          <w:szCs w:val="23"/>
        </w:rPr>
        <w:t>Practice Domain</w:t>
      </w:r>
      <w:r w:rsidRPr="00FD2DF0">
        <w:rPr>
          <w:rFonts w:cstheme="minorHAnsi"/>
          <w:b/>
          <w:bCs/>
          <w:color w:val="595959" w:themeColor="text1" w:themeTint="A6"/>
          <w:sz w:val="23"/>
          <w:szCs w:val="23"/>
        </w:rPr>
        <w:t xml:space="preserve">(s): </w:t>
      </w:r>
      <w:r w:rsidRPr="00FD2DF0">
        <w:rPr>
          <w:rFonts w:cstheme="minorHAnsi"/>
          <w:b/>
          <w:bCs/>
          <w:color w:val="595959" w:themeColor="text1" w:themeTint="A6"/>
          <w:sz w:val="23"/>
          <w:szCs w:val="23"/>
        </w:rPr>
        <w:tab/>
        <w:t xml:space="preserve">Education, Employment, Housing, </w:t>
      </w:r>
    </w:p>
    <w:p w14:paraId="689D0472" w14:textId="77777777" w:rsidR="00F00E3D" w:rsidRPr="0059393F" w:rsidRDefault="00F00E3D" w:rsidP="0068341C">
      <w:pPr>
        <w:spacing w:after="0" w:line="276" w:lineRule="auto"/>
        <w:rPr>
          <w:rFonts w:ascii="Calibri Light" w:eastAsia="Calibri Light" w:hAnsi="Calibri Light" w:cs="Calibri Light"/>
          <w:sz w:val="16"/>
          <w:szCs w:val="16"/>
        </w:rPr>
      </w:pPr>
    </w:p>
    <w:p w14:paraId="6AC06679" w14:textId="77777777" w:rsidR="00F00E3D" w:rsidRDefault="00F00E3D" w:rsidP="0068341C">
      <w:pPr>
        <w:spacing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In 2010 and 2011, the city of Christchurch was rocked by a series of devastating earthquakes that killed 185 people, injured 6659 more, destroyed over 10,000 homes, and reduced much of the city to rubble. In the aftermath, safeguarding residents’ wellbeing became an urgent priority for local government. The disaster sparked trauma, anxiety, and chronic stress, and exacerbated hardship and disadvantage (Sullivan &amp; Wong, 2011; Thornley et al, 2015). In a survey of 800 residents in 2012, almost one-third of respondents said the earthquakes had caused them financial problems, over one third stated that their life was worse since the quakes, and one third said they were now experiencing more health issues (All Right? 2013).</w:t>
      </w:r>
    </w:p>
    <w:p w14:paraId="722820B9" w14:textId="766373A9" w:rsidR="00F00E3D" w:rsidRDefault="00F00E3D" w:rsidP="0068341C">
      <w:pPr>
        <w:spacing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 xml:space="preserve">Launched in February 2013, All Right? </w:t>
      </w:r>
      <w:r w:rsidR="009F1DAE">
        <w:rPr>
          <w:rFonts w:ascii="Calibri Light" w:eastAsia="Calibri Light" w:hAnsi="Calibri Light" w:cs="Calibri Light"/>
          <w:sz w:val="23"/>
          <w:szCs w:val="23"/>
        </w:rPr>
        <w:t xml:space="preserve">began as a </w:t>
      </w:r>
      <w:r w:rsidRPr="359636AC">
        <w:rPr>
          <w:rFonts w:ascii="Calibri Light" w:eastAsia="Calibri Light" w:hAnsi="Calibri Light" w:cs="Calibri Light"/>
          <w:sz w:val="23"/>
          <w:szCs w:val="23"/>
        </w:rPr>
        <w:t xml:space="preserve">mental health promotion campaign designed to support the psychosocial recovery of Christchurch residents (pop. 390,000) and the wider Canterbury region (pop. 645,000) after the quakes. </w:t>
      </w:r>
      <w:r w:rsidR="006968BA">
        <w:rPr>
          <w:rFonts w:ascii="Calibri Light" w:eastAsia="Calibri Light" w:hAnsi="Calibri Light" w:cs="Calibri Light"/>
          <w:sz w:val="23"/>
          <w:szCs w:val="23"/>
        </w:rPr>
        <w:t>It was a</w:t>
      </w:r>
      <w:r w:rsidR="00D652BD">
        <w:rPr>
          <w:rFonts w:ascii="Calibri Light" w:eastAsia="Calibri Light" w:hAnsi="Calibri Light" w:cs="Calibri Light"/>
          <w:sz w:val="23"/>
          <w:szCs w:val="23"/>
        </w:rPr>
        <w:t xml:space="preserve"> community-led project</w:t>
      </w:r>
      <w:r w:rsidR="006968BA">
        <w:rPr>
          <w:rFonts w:ascii="Calibri Light" w:eastAsia="Calibri Light" w:hAnsi="Calibri Light" w:cs="Calibri Light"/>
          <w:sz w:val="23"/>
          <w:szCs w:val="23"/>
        </w:rPr>
        <w:t>, with the campaign</w:t>
      </w:r>
      <w:r w:rsidR="00D652BD">
        <w:rPr>
          <w:rFonts w:ascii="Calibri Light" w:eastAsia="Calibri Light" w:hAnsi="Calibri Light" w:cs="Calibri Light"/>
          <w:sz w:val="23"/>
          <w:szCs w:val="23"/>
        </w:rPr>
        <w:t xml:space="preserve"> designed </w:t>
      </w:r>
      <w:r w:rsidR="00D652BD" w:rsidRPr="359636AC">
        <w:rPr>
          <w:rFonts w:ascii="Calibri Light" w:eastAsia="Calibri Light" w:hAnsi="Calibri Light" w:cs="Calibri Light"/>
          <w:sz w:val="23"/>
          <w:szCs w:val="23"/>
        </w:rPr>
        <w:t>by a cross-disciplinary project team</w:t>
      </w:r>
      <w:r w:rsidR="00D652BD">
        <w:rPr>
          <w:rFonts w:ascii="Calibri Light" w:eastAsia="Calibri Light" w:hAnsi="Calibri Light" w:cs="Calibri Light"/>
          <w:sz w:val="23"/>
          <w:szCs w:val="23"/>
        </w:rPr>
        <w:t xml:space="preserve"> made up </w:t>
      </w:r>
      <w:r w:rsidR="00D652BD" w:rsidRPr="359636AC">
        <w:rPr>
          <w:rFonts w:ascii="Calibri Light" w:eastAsia="Calibri Light" w:hAnsi="Calibri Light" w:cs="Calibri Light"/>
          <w:sz w:val="23"/>
          <w:szCs w:val="23"/>
        </w:rPr>
        <w:t>of local residents</w:t>
      </w:r>
      <w:r w:rsidR="00D652BD">
        <w:rPr>
          <w:rFonts w:ascii="Calibri Light" w:eastAsia="Calibri Light" w:hAnsi="Calibri Light" w:cs="Calibri Light"/>
          <w:sz w:val="23"/>
          <w:szCs w:val="23"/>
        </w:rPr>
        <w:t xml:space="preserve">. </w:t>
      </w:r>
      <w:r w:rsidRPr="359636AC">
        <w:rPr>
          <w:rFonts w:ascii="Calibri Light" w:eastAsia="Calibri Light" w:hAnsi="Calibri Light" w:cs="Calibri Light"/>
          <w:sz w:val="23"/>
          <w:szCs w:val="23"/>
        </w:rPr>
        <w:t xml:space="preserve">The initial rollout featured validating messages and gentle questions about mental health, self-care, and the importance of seeking support from family and friends. These conversation prompts were placed on hoardings, road cones, and banners around the city. </w:t>
      </w:r>
      <w:r w:rsidR="00D652BD">
        <w:rPr>
          <w:rFonts w:ascii="Calibri Light" w:eastAsia="Calibri Light" w:hAnsi="Calibri Light" w:cs="Calibri Light"/>
          <w:sz w:val="23"/>
          <w:szCs w:val="23"/>
        </w:rPr>
        <w:t>The</w:t>
      </w:r>
      <w:r w:rsidRPr="359636AC">
        <w:rPr>
          <w:rFonts w:ascii="Calibri Light" w:eastAsia="Calibri Light" w:hAnsi="Calibri Light" w:cs="Calibri Light"/>
          <w:sz w:val="23"/>
          <w:szCs w:val="23"/>
        </w:rPr>
        <w:t xml:space="preserve"> campaign was deliberately designed to resemble guerrilla street art, not a branded official government message (SRRG, 2019: 54–62).</w:t>
      </w:r>
    </w:p>
    <w:p w14:paraId="087C4136" w14:textId="77777777" w:rsidR="00F00E3D" w:rsidRDefault="00F00E3D" w:rsidP="0068341C">
      <w:pPr>
        <w:spacing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The All Right? program sought to normalise conversations around wellbeing, promote responsibility-sharing, and build community capacity and resilience. It was informed by the “social determinants of health” approach, local action research, and academic literature on disaster recovery. It drew on a briefing paper by NZ’s Chief Science Advisor about the likely psychosocial effects of the quakes, and strategies for mitigating harm (Gluckman, 2011). Post-disaster research posits four stages of recovery: the Heroic Phase, Honeymoon Phase, Disillusionment Phase, and Reconstruction Phase. All Right? was launched two years after the main quakes, during the “disillusionment phase”, when people begin to grasp how long recovery will take and start feeling frustrated, tired, overwhelmed, and a sense of grief (SRRG, 2019: 57).</w:t>
      </w:r>
    </w:p>
    <w:p w14:paraId="21DE6C97" w14:textId="715FDE29" w:rsidR="00F00E3D" w:rsidRPr="00822646" w:rsidRDefault="00F00E3D" w:rsidP="0068341C">
      <w:pPr>
        <w:spacing w:line="276" w:lineRule="auto"/>
      </w:pPr>
      <w:r w:rsidRPr="359636AC">
        <w:rPr>
          <w:rFonts w:ascii="Calibri Light" w:eastAsia="Calibri Light" w:hAnsi="Calibri Light" w:cs="Calibri Light"/>
          <w:sz w:val="23"/>
          <w:szCs w:val="23"/>
        </w:rPr>
        <w:t>All Right? has evolved into an ongoing</w:t>
      </w:r>
      <w:r w:rsidR="006E4EEA">
        <w:rPr>
          <w:rFonts w:ascii="Calibri Light" w:eastAsia="Calibri Light" w:hAnsi="Calibri Light" w:cs="Calibri Light"/>
          <w:sz w:val="23"/>
          <w:szCs w:val="23"/>
        </w:rPr>
        <w:t>, national</w:t>
      </w:r>
      <w:r w:rsidRPr="359636AC">
        <w:rPr>
          <w:rFonts w:ascii="Calibri Light" w:eastAsia="Calibri Light" w:hAnsi="Calibri Light" w:cs="Calibri Light"/>
          <w:sz w:val="23"/>
          <w:szCs w:val="23"/>
        </w:rPr>
        <w:t xml:space="preserve"> wellbeing and mental health program. It runs social media campaigns, publishes research, and provides free online and hard-copy resources for kids and adults, including apps, games, and parenting courses. Playful and creative elements have included singing telegrams, reassurance postcards, and tear-off complement posters. Project partners include the </w:t>
      </w:r>
      <w:r w:rsidRPr="00822646">
        <w:rPr>
          <w:rFonts w:ascii="Calibri Light" w:eastAsia="Calibri Light" w:hAnsi="Calibri Light" w:cs="Calibri Light"/>
          <w:sz w:val="23"/>
          <w:szCs w:val="23"/>
        </w:rPr>
        <w:t>Canterbury District Health Board and the Mental Health Foundation of New Zealand (All Right? n.d.).</w:t>
      </w:r>
    </w:p>
    <w:p w14:paraId="6CF8AAA1" w14:textId="365A96E0" w:rsidR="00F00E3D" w:rsidRDefault="00F00E3D" w:rsidP="0068341C">
      <w:pPr>
        <w:spacing w:line="276" w:lineRule="auto"/>
      </w:pPr>
      <w:r w:rsidRPr="00822646">
        <w:rPr>
          <w:rFonts w:ascii="Calibri Light" w:eastAsia="Calibri Light" w:hAnsi="Calibri Light" w:cs="Calibri Light"/>
          <w:sz w:val="23"/>
          <w:szCs w:val="23"/>
        </w:rPr>
        <w:t xml:space="preserve">A </w:t>
      </w:r>
      <w:hyperlink r:id="rId101" w:history="1">
        <w:r w:rsidRPr="00822646">
          <w:rPr>
            <w:rStyle w:val="Hyperlink"/>
            <w:rFonts w:ascii="Calibri Light" w:eastAsia="Calibri Light" w:hAnsi="Calibri Light" w:cs="Calibri Light"/>
            <w:sz w:val="23"/>
            <w:szCs w:val="23"/>
          </w:rPr>
          <w:t>2019 evaluation</w:t>
        </w:r>
      </w:hyperlink>
      <w:r w:rsidRPr="00822646">
        <w:rPr>
          <w:rFonts w:ascii="Calibri Light" w:eastAsia="Calibri Light" w:hAnsi="Calibri Light" w:cs="Calibri Light"/>
          <w:sz w:val="23"/>
          <w:szCs w:val="23"/>
        </w:rPr>
        <w:t xml:space="preserve"> found that 98 percent of respondents said </w:t>
      </w:r>
      <w:r>
        <w:rPr>
          <w:rFonts w:ascii="Calibri Light" w:eastAsia="Calibri Light" w:hAnsi="Calibri Light" w:cs="Calibri Light"/>
          <w:sz w:val="23"/>
          <w:szCs w:val="23"/>
        </w:rPr>
        <w:t xml:space="preserve">the </w:t>
      </w:r>
      <w:r w:rsidRPr="00822646">
        <w:rPr>
          <w:rFonts w:ascii="Calibri Light" w:eastAsia="Calibri Light" w:hAnsi="Calibri Light" w:cs="Calibri Light"/>
          <w:sz w:val="23"/>
          <w:szCs w:val="23"/>
        </w:rPr>
        <w:t>All Right? campaign’s social media messages were helpful, and 96 percent said it gave them ideas about ways to help themselves (SRRG, 2019: 61). Success factors include a clear policy mandate, ongoing funding, sound research and evaluation, a basis in established practice models, effective engagement tools, and a diverse multidisciplinary team who built community trust (SRRG, 2019: 58</w:t>
      </w:r>
      <w:r w:rsidRPr="359636AC">
        <w:rPr>
          <w:rFonts w:ascii="Calibri Light" w:eastAsia="Calibri Light" w:hAnsi="Calibri Light" w:cs="Calibri Light"/>
          <w:sz w:val="23"/>
          <w:szCs w:val="23"/>
        </w:rPr>
        <w:t>–59).</w:t>
      </w:r>
      <w:r>
        <w:t xml:space="preserve"> </w:t>
      </w:r>
      <w:r w:rsidRPr="359636AC">
        <w:rPr>
          <w:rFonts w:ascii="Calibri Light" w:eastAsia="Calibri Light" w:hAnsi="Calibri Light" w:cs="Calibri Light"/>
          <w:sz w:val="23"/>
          <w:szCs w:val="23"/>
        </w:rPr>
        <w:t xml:space="preserve">The program also helped foster </w:t>
      </w:r>
      <w:r w:rsidRPr="359636AC">
        <w:rPr>
          <w:rFonts w:ascii="Calibri Light" w:eastAsia="Calibri Light" w:hAnsi="Calibri Light" w:cs="Calibri Light"/>
          <w:sz w:val="23"/>
          <w:szCs w:val="23"/>
        </w:rPr>
        <w:lastRenderedPageBreak/>
        <w:t xml:space="preserve">several community-led recovery projects, including River of Flowers (annual memorial event), </w:t>
      </w:r>
      <w:r w:rsidR="00574A58">
        <w:rPr>
          <w:rFonts w:ascii="Calibri Light" w:eastAsia="Calibri Light" w:hAnsi="Calibri Light" w:cs="Calibri Light"/>
          <w:sz w:val="23"/>
          <w:szCs w:val="23"/>
        </w:rPr>
        <w:t xml:space="preserve">the participatory place-making project </w:t>
      </w:r>
      <w:r w:rsidRPr="359636AC">
        <w:rPr>
          <w:rFonts w:ascii="Calibri Light" w:eastAsia="Calibri Light" w:hAnsi="Calibri Light" w:cs="Calibri Light"/>
          <w:sz w:val="23"/>
          <w:szCs w:val="23"/>
        </w:rPr>
        <w:t>Gap Filler (tactical urbanism), and Greening the Rubble (urban greening). A “Champions Network” of residents who were recruited early in the campaign remains connected, with 60 members reuniting after the 2019 mosque attacks.</w:t>
      </w:r>
    </w:p>
    <w:p w14:paraId="11F28C11" w14:textId="1FB7860C" w:rsidR="003D0F94" w:rsidRDefault="00F00E3D" w:rsidP="00747F56">
      <w:pPr>
        <w:spacing w:after="0" w:line="276" w:lineRule="auto"/>
        <w:rPr>
          <w:rFonts w:ascii="Calibri Light" w:eastAsia="Calibri Light" w:hAnsi="Calibri Light" w:cs="Calibri Light"/>
          <w:sz w:val="23"/>
          <w:szCs w:val="23"/>
        </w:rPr>
      </w:pPr>
      <w:r w:rsidRPr="359636AC">
        <w:rPr>
          <w:rFonts w:ascii="Calibri Light" w:eastAsia="Calibri Light" w:hAnsi="Calibri Light" w:cs="Calibri Light"/>
          <w:sz w:val="23"/>
          <w:szCs w:val="23"/>
        </w:rPr>
        <w:t xml:space="preserve">Despite schooling disruptions, a 2017 study found that overall, the quakes did not impact school completion rates for students who remained living in Christchurch after the quakes. The study suggests post-quake health-promotion initiatives likely </w:t>
      </w:r>
      <w:r w:rsidRPr="00822646">
        <w:rPr>
          <w:rFonts w:ascii="Calibri Light" w:eastAsia="Calibri Light" w:hAnsi="Calibri Light" w:cs="Calibri Light"/>
          <w:sz w:val="23"/>
          <w:szCs w:val="23"/>
        </w:rPr>
        <w:t xml:space="preserve">served as a protective factor, increasing community </w:t>
      </w:r>
      <w:r w:rsidRPr="00F65BB0">
        <w:rPr>
          <w:rFonts w:ascii="Calibri Light" w:eastAsia="Calibri Light" w:hAnsi="Calibri Light" w:cs="Calibri Light"/>
          <w:sz w:val="23"/>
          <w:szCs w:val="23"/>
        </w:rPr>
        <w:t>cohesion and helping residents manage stress (Beaglehole et al., 2017: 73).</w:t>
      </w:r>
    </w:p>
    <w:p w14:paraId="5E9E48E2" w14:textId="77777777" w:rsidR="00747F56" w:rsidRPr="00747F56" w:rsidRDefault="00747F56" w:rsidP="00747F56">
      <w:pPr>
        <w:spacing w:after="0" w:line="276" w:lineRule="auto"/>
        <w:rPr>
          <w:rFonts w:ascii="Calibri Light" w:eastAsia="Calibri Light" w:hAnsi="Calibri Light" w:cs="Calibri Light"/>
          <w:sz w:val="16"/>
          <w:szCs w:val="16"/>
        </w:rPr>
      </w:pPr>
    </w:p>
    <w:p w14:paraId="2FEF696D" w14:textId="20386635" w:rsidR="007D66C4" w:rsidRDefault="007D66C4" w:rsidP="0068341C">
      <w:pPr>
        <w:spacing w:after="0" w:line="276" w:lineRule="auto"/>
        <w:rPr>
          <w:b/>
          <w:bCs/>
          <w:color w:val="2F5496" w:themeColor="accent1" w:themeShade="BF"/>
          <w:sz w:val="28"/>
          <w:szCs w:val="28"/>
        </w:rPr>
      </w:pPr>
      <w:r>
        <w:rPr>
          <w:b/>
          <w:bCs/>
          <w:color w:val="2F5496" w:themeColor="accent1" w:themeShade="BF"/>
          <w:sz w:val="28"/>
          <w:szCs w:val="28"/>
        </w:rPr>
        <w:t>5.</w:t>
      </w:r>
      <w:r w:rsidR="00193641">
        <w:rPr>
          <w:b/>
          <w:bCs/>
          <w:color w:val="2F5496" w:themeColor="accent1" w:themeShade="BF"/>
          <w:sz w:val="28"/>
          <w:szCs w:val="28"/>
        </w:rPr>
        <w:t xml:space="preserve">5 </w:t>
      </w:r>
      <w:r w:rsidR="00EE7216">
        <w:rPr>
          <w:b/>
          <w:bCs/>
          <w:color w:val="2F5496" w:themeColor="accent1" w:themeShade="BF"/>
          <w:sz w:val="28"/>
          <w:szCs w:val="28"/>
        </w:rPr>
        <w:t>Conclusion</w:t>
      </w:r>
      <w:r w:rsidR="00D3009E">
        <w:rPr>
          <w:b/>
          <w:bCs/>
          <w:color w:val="2F5496" w:themeColor="accent1" w:themeShade="BF"/>
          <w:sz w:val="28"/>
          <w:szCs w:val="28"/>
        </w:rPr>
        <w:t>:</w:t>
      </w:r>
      <w:r>
        <w:rPr>
          <w:b/>
          <w:bCs/>
          <w:color w:val="2F5496" w:themeColor="accent1" w:themeShade="BF"/>
          <w:sz w:val="28"/>
          <w:szCs w:val="28"/>
        </w:rPr>
        <w:t xml:space="preserve"> </w:t>
      </w:r>
      <w:r w:rsidRPr="003E2342">
        <w:rPr>
          <w:b/>
          <w:bCs/>
          <w:color w:val="2F5496" w:themeColor="accent1" w:themeShade="BF"/>
          <w:sz w:val="28"/>
          <w:szCs w:val="28"/>
        </w:rPr>
        <w:t>What Factors Influence Program Success?</w:t>
      </w:r>
    </w:p>
    <w:p w14:paraId="2EB5B308" w14:textId="77777777" w:rsidR="00EF7E59" w:rsidRPr="00EF7E59" w:rsidRDefault="00EF7E59" w:rsidP="0068341C">
      <w:pPr>
        <w:spacing w:after="0" w:line="276" w:lineRule="auto"/>
        <w:rPr>
          <w:b/>
          <w:bCs/>
          <w:color w:val="2F5496" w:themeColor="accent1" w:themeShade="BF"/>
          <w:sz w:val="12"/>
          <w:szCs w:val="12"/>
        </w:rPr>
      </w:pPr>
    </w:p>
    <w:p w14:paraId="1688B8BB" w14:textId="0E55A415" w:rsidR="00387D2B" w:rsidRPr="00387D2B" w:rsidRDefault="007D66C4" w:rsidP="0068341C">
      <w:pPr>
        <w:spacing w:after="0" w:line="276" w:lineRule="auto"/>
        <w:rPr>
          <w:rFonts w:asciiTheme="majorHAnsi" w:eastAsiaTheme="majorEastAsia" w:hAnsiTheme="majorHAnsi" w:cstheme="majorBidi"/>
          <w:sz w:val="23"/>
          <w:szCs w:val="23"/>
        </w:rPr>
      </w:pPr>
      <w:r w:rsidRPr="47C6F23B">
        <w:rPr>
          <w:rFonts w:asciiTheme="majorHAnsi" w:hAnsiTheme="majorHAnsi" w:cstheme="majorBidi"/>
          <w:sz w:val="23"/>
          <w:szCs w:val="23"/>
        </w:rPr>
        <w:t xml:space="preserve">Despite the </w:t>
      </w:r>
      <w:r w:rsidR="00143086">
        <w:rPr>
          <w:rFonts w:asciiTheme="majorHAnsi" w:hAnsiTheme="majorHAnsi" w:cstheme="majorBidi"/>
          <w:sz w:val="23"/>
          <w:szCs w:val="23"/>
        </w:rPr>
        <w:t>challenges</w:t>
      </w:r>
      <w:r w:rsidR="00FD71BE">
        <w:rPr>
          <w:rFonts w:asciiTheme="majorHAnsi" w:hAnsiTheme="majorHAnsi" w:cstheme="majorBidi"/>
          <w:sz w:val="23"/>
          <w:szCs w:val="23"/>
        </w:rPr>
        <w:t xml:space="preserve"> of</w:t>
      </w:r>
      <w:r w:rsidR="00D3009E">
        <w:rPr>
          <w:rFonts w:asciiTheme="majorHAnsi" w:hAnsiTheme="majorHAnsi" w:cstheme="majorBidi"/>
          <w:sz w:val="23"/>
          <w:szCs w:val="23"/>
        </w:rPr>
        <w:t xml:space="preserve"> evaluating</w:t>
      </w:r>
      <w:r w:rsidR="003251B6">
        <w:rPr>
          <w:rFonts w:asciiTheme="majorHAnsi" w:hAnsiTheme="majorHAnsi" w:cstheme="majorBidi"/>
          <w:sz w:val="23"/>
          <w:szCs w:val="23"/>
        </w:rPr>
        <w:t xml:space="preserve"> </w:t>
      </w:r>
      <w:r w:rsidR="00E15F39">
        <w:rPr>
          <w:rFonts w:asciiTheme="majorHAnsi" w:hAnsiTheme="majorHAnsi" w:cstheme="majorBidi"/>
          <w:sz w:val="23"/>
          <w:szCs w:val="23"/>
        </w:rPr>
        <w:t>place-based initiatives</w:t>
      </w:r>
      <w:r w:rsidR="00D3009E">
        <w:rPr>
          <w:rFonts w:asciiTheme="majorHAnsi" w:hAnsiTheme="majorHAnsi" w:cstheme="majorBidi"/>
          <w:sz w:val="23"/>
          <w:szCs w:val="23"/>
        </w:rPr>
        <w:t xml:space="preserve"> </w:t>
      </w:r>
      <w:r w:rsidR="00193641">
        <w:rPr>
          <w:rFonts w:asciiTheme="majorHAnsi" w:hAnsiTheme="majorHAnsi" w:cstheme="majorBidi"/>
          <w:sz w:val="23"/>
          <w:szCs w:val="23"/>
        </w:rPr>
        <w:t>(</w:t>
      </w:r>
      <w:r w:rsidR="00D3009E">
        <w:rPr>
          <w:rFonts w:asciiTheme="majorHAnsi" w:hAnsiTheme="majorHAnsi" w:cstheme="majorBidi"/>
          <w:sz w:val="23"/>
          <w:szCs w:val="23"/>
        </w:rPr>
        <w:t>see p.</w:t>
      </w:r>
      <w:r w:rsidR="0081306D">
        <w:rPr>
          <w:rFonts w:asciiTheme="majorHAnsi" w:hAnsiTheme="majorHAnsi" w:cstheme="majorBidi"/>
          <w:sz w:val="23"/>
          <w:szCs w:val="23"/>
        </w:rPr>
        <w:t xml:space="preserve"> </w:t>
      </w:r>
      <w:r w:rsidR="003355E7">
        <w:rPr>
          <w:rFonts w:asciiTheme="majorHAnsi" w:hAnsiTheme="majorHAnsi" w:cstheme="majorBidi"/>
          <w:sz w:val="23"/>
          <w:szCs w:val="23"/>
        </w:rPr>
        <w:t>57–</w:t>
      </w:r>
      <w:r w:rsidR="00AD2DA5">
        <w:rPr>
          <w:rFonts w:asciiTheme="majorHAnsi" w:hAnsiTheme="majorHAnsi" w:cstheme="majorBidi"/>
          <w:sz w:val="23"/>
          <w:szCs w:val="23"/>
        </w:rPr>
        <w:t>5</w:t>
      </w:r>
      <w:r w:rsidR="003355E7">
        <w:rPr>
          <w:rFonts w:asciiTheme="majorHAnsi" w:hAnsiTheme="majorHAnsi" w:cstheme="majorBidi"/>
          <w:sz w:val="23"/>
          <w:szCs w:val="23"/>
        </w:rPr>
        <w:t>8</w:t>
      </w:r>
      <w:r w:rsidR="00193641">
        <w:rPr>
          <w:rFonts w:asciiTheme="majorHAnsi" w:hAnsiTheme="majorHAnsi" w:cstheme="majorBidi"/>
          <w:sz w:val="23"/>
          <w:szCs w:val="23"/>
        </w:rPr>
        <w:t>)</w:t>
      </w:r>
      <w:r w:rsidRPr="47C6F23B">
        <w:rPr>
          <w:rFonts w:asciiTheme="majorHAnsi" w:hAnsiTheme="majorHAnsi" w:cstheme="majorBidi"/>
          <w:sz w:val="23"/>
          <w:szCs w:val="23"/>
        </w:rPr>
        <w:t xml:space="preserve">, </w:t>
      </w:r>
      <w:r w:rsidR="00C3589B">
        <w:rPr>
          <w:rFonts w:asciiTheme="majorHAnsi" w:hAnsiTheme="majorHAnsi" w:cstheme="majorBidi"/>
          <w:sz w:val="23"/>
          <w:szCs w:val="23"/>
        </w:rPr>
        <w:t>the research undertaken for these</w:t>
      </w:r>
      <w:r w:rsidR="006A0DA3">
        <w:rPr>
          <w:rFonts w:asciiTheme="majorHAnsi" w:hAnsiTheme="majorHAnsi" w:cstheme="majorBidi"/>
          <w:sz w:val="23"/>
          <w:szCs w:val="23"/>
        </w:rPr>
        <w:t xml:space="preserve"> </w:t>
      </w:r>
      <w:r w:rsidR="00AD2DA5">
        <w:rPr>
          <w:rFonts w:asciiTheme="majorHAnsi" w:hAnsiTheme="majorHAnsi" w:cstheme="majorBidi"/>
          <w:sz w:val="23"/>
          <w:szCs w:val="23"/>
        </w:rPr>
        <w:t>Case Studies</w:t>
      </w:r>
      <w:r w:rsidR="0004275D">
        <w:rPr>
          <w:rFonts w:asciiTheme="majorHAnsi" w:hAnsiTheme="majorHAnsi" w:cstheme="majorBidi"/>
          <w:sz w:val="23"/>
          <w:szCs w:val="23"/>
        </w:rPr>
        <w:t xml:space="preserve"> </w:t>
      </w:r>
      <w:r w:rsidR="00C3589B">
        <w:rPr>
          <w:rFonts w:asciiTheme="majorHAnsi" w:hAnsiTheme="majorHAnsi" w:cstheme="majorBidi"/>
          <w:sz w:val="23"/>
          <w:szCs w:val="23"/>
        </w:rPr>
        <w:t>highlights</w:t>
      </w:r>
      <w:r w:rsidR="00511389">
        <w:rPr>
          <w:rFonts w:asciiTheme="majorHAnsi" w:hAnsiTheme="majorHAnsi" w:cstheme="majorBidi"/>
          <w:sz w:val="23"/>
          <w:szCs w:val="23"/>
        </w:rPr>
        <w:t xml:space="preserve"> some </w:t>
      </w:r>
      <w:r w:rsidR="009B3F43">
        <w:rPr>
          <w:rFonts w:asciiTheme="majorHAnsi" w:hAnsiTheme="majorHAnsi" w:cstheme="majorBidi"/>
          <w:sz w:val="23"/>
          <w:szCs w:val="23"/>
        </w:rPr>
        <w:t xml:space="preserve">important </w:t>
      </w:r>
      <w:r w:rsidR="00897442">
        <w:rPr>
          <w:rFonts w:asciiTheme="majorHAnsi" w:hAnsiTheme="majorHAnsi" w:cstheme="majorBidi"/>
          <w:sz w:val="23"/>
          <w:szCs w:val="23"/>
        </w:rPr>
        <w:t xml:space="preserve">factors that </w:t>
      </w:r>
      <w:r w:rsidR="009B3F43">
        <w:rPr>
          <w:rFonts w:asciiTheme="majorHAnsi" w:hAnsiTheme="majorHAnsi" w:cstheme="majorBidi"/>
          <w:sz w:val="23"/>
          <w:szCs w:val="23"/>
        </w:rPr>
        <w:t>can</w:t>
      </w:r>
      <w:r w:rsidR="00FE568F">
        <w:rPr>
          <w:rFonts w:asciiTheme="majorHAnsi" w:hAnsiTheme="majorHAnsi" w:cstheme="majorBidi"/>
          <w:sz w:val="23"/>
          <w:szCs w:val="23"/>
        </w:rPr>
        <w:t xml:space="preserve"> contribute to </w:t>
      </w:r>
      <w:r w:rsidR="005077E1">
        <w:rPr>
          <w:rFonts w:asciiTheme="majorHAnsi" w:hAnsiTheme="majorHAnsi" w:cstheme="majorBidi"/>
          <w:sz w:val="23"/>
          <w:szCs w:val="23"/>
        </w:rPr>
        <w:t>positive outcomes</w:t>
      </w:r>
      <w:r w:rsidR="004E3B8F" w:rsidRPr="004E3B8F">
        <w:rPr>
          <w:rFonts w:asciiTheme="majorHAnsi" w:hAnsiTheme="majorHAnsi" w:cstheme="majorBidi"/>
          <w:sz w:val="23"/>
          <w:szCs w:val="23"/>
        </w:rPr>
        <w:t xml:space="preserve"> </w:t>
      </w:r>
      <w:r w:rsidR="004E3B8F">
        <w:rPr>
          <w:rFonts w:asciiTheme="majorHAnsi" w:hAnsiTheme="majorHAnsi" w:cstheme="majorBidi"/>
          <w:sz w:val="23"/>
          <w:szCs w:val="23"/>
        </w:rPr>
        <w:t>and</w:t>
      </w:r>
      <w:r w:rsidR="00511389">
        <w:rPr>
          <w:rFonts w:asciiTheme="majorHAnsi" w:hAnsiTheme="majorHAnsi" w:cstheme="majorBidi"/>
          <w:sz w:val="23"/>
          <w:szCs w:val="23"/>
        </w:rPr>
        <w:t xml:space="preserve"> </w:t>
      </w:r>
      <w:r w:rsidR="009B3F43">
        <w:rPr>
          <w:rFonts w:asciiTheme="majorHAnsi" w:hAnsiTheme="majorHAnsi" w:cstheme="majorBidi"/>
          <w:sz w:val="23"/>
          <w:szCs w:val="23"/>
        </w:rPr>
        <w:t xml:space="preserve">overall </w:t>
      </w:r>
      <w:r w:rsidR="004E3B8F">
        <w:rPr>
          <w:rFonts w:asciiTheme="majorHAnsi" w:hAnsiTheme="majorHAnsi" w:cstheme="majorBidi"/>
          <w:sz w:val="23"/>
          <w:szCs w:val="23"/>
        </w:rPr>
        <w:t>program success</w:t>
      </w:r>
      <w:r w:rsidR="00351CC0">
        <w:rPr>
          <w:rFonts w:asciiTheme="majorHAnsi" w:hAnsiTheme="majorHAnsi" w:cstheme="majorBidi"/>
          <w:sz w:val="23"/>
          <w:szCs w:val="23"/>
        </w:rPr>
        <w:t>.</w:t>
      </w:r>
      <w:r w:rsidR="00387D2B">
        <w:rPr>
          <w:rFonts w:asciiTheme="majorHAnsi" w:hAnsiTheme="majorHAnsi" w:cstheme="majorBidi"/>
          <w:sz w:val="23"/>
          <w:szCs w:val="23"/>
        </w:rPr>
        <w:t xml:space="preserve"> E</w:t>
      </w:r>
      <w:r w:rsidR="00930927">
        <w:rPr>
          <w:rFonts w:asciiTheme="majorHAnsi" w:hAnsiTheme="majorHAnsi" w:cstheme="majorBidi"/>
          <w:sz w:val="23"/>
          <w:szCs w:val="23"/>
        </w:rPr>
        <w:t xml:space="preserve">ffective </w:t>
      </w:r>
      <w:r w:rsidR="00351CC0">
        <w:rPr>
          <w:rFonts w:asciiTheme="majorHAnsi" w:hAnsiTheme="majorHAnsi" w:cstheme="majorBidi"/>
          <w:sz w:val="23"/>
          <w:szCs w:val="23"/>
        </w:rPr>
        <w:t xml:space="preserve">initiatives </w:t>
      </w:r>
      <w:r w:rsidR="00387D2B">
        <w:rPr>
          <w:rFonts w:asciiTheme="majorHAnsi" w:hAnsiTheme="majorHAnsi" w:cstheme="majorBidi"/>
          <w:sz w:val="23"/>
          <w:szCs w:val="23"/>
        </w:rPr>
        <w:t xml:space="preserve">often </w:t>
      </w:r>
      <w:r w:rsidR="006A0DA3" w:rsidRPr="000573F1">
        <w:rPr>
          <w:rFonts w:asciiTheme="majorHAnsi" w:hAnsiTheme="majorHAnsi" w:cstheme="majorBidi"/>
          <w:sz w:val="23"/>
          <w:szCs w:val="23"/>
        </w:rPr>
        <w:t xml:space="preserve">had a multi-pronged focus, involving cross-sector collaboration and spanning more than one </w:t>
      </w:r>
      <w:r w:rsidR="00D95573">
        <w:rPr>
          <w:rFonts w:asciiTheme="majorHAnsi" w:hAnsiTheme="majorHAnsi" w:cstheme="majorBidi"/>
          <w:sz w:val="23"/>
          <w:szCs w:val="23"/>
        </w:rPr>
        <w:t>Practice Domain</w:t>
      </w:r>
      <w:r w:rsidR="006A0DA3" w:rsidRPr="000573F1">
        <w:rPr>
          <w:rFonts w:asciiTheme="majorHAnsi" w:hAnsiTheme="majorHAnsi" w:cstheme="majorBidi"/>
          <w:sz w:val="23"/>
          <w:szCs w:val="23"/>
        </w:rPr>
        <w:t xml:space="preserve">. </w:t>
      </w:r>
      <w:r w:rsidR="00131B53">
        <w:rPr>
          <w:rFonts w:asciiTheme="majorHAnsi" w:hAnsiTheme="majorHAnsi" w:cstheme="majorBidi"/>
          <w:sz w:val="23"/>
          <w:szCs w:val="23"/>
        </w:rPr>
        <w:t>Having</w:t>
      </w:r>
      <w:r w:rsidR="002B2200">
        <w:rPr>
          <w:rFonts w:asciiTheme="majorHAnsi" w:hAnsiTheme="majorHAnsi" w:cstheme="majorBidi"/>
          <w:sz w:val="23"/>
          <w:szCs w:val="23"/>
        </w:rPr>
        <w:t xml:space="preserve"> a</w:t>
      </w:r>
      <w:r w:rsidR="006A0DA3" w:rsidRPr="000573F1">
        <w:rPr>
          <w:rFonts w:asciiTheme="majorHAnsi" w:hAnsiTheme="majorHAnsi" w:cstheme="majorBidi"/>
          <w:sz w:val="23"/>
          <w:szCs w:val="23"/>
        </w:rPr>
        <w:t xml:space="preserve"> highly capable</w:t>
      </w:r>
      <w:r w:rsidR="00C016A4">
        <w:rPr>
          <w:rFonts w:asciiTheme="majorHAnsi" w:hAnsiTheme="majorHAnsi" w:cstheme="majorBidi"/>
          <w:sz w:val="23"/>
          <w:szCs w:val="23"/>
        </w:rPr>
        <w:t xml:space="preserve"> </w:t>
      </w:r>
      <w:r w:rsidR="00B32F61">
        <w:rPr>
          <w:rFonts w:asciiTheme="majorHAnsi" w:hAnsiTheme="majorHAnsi" w:cstheme="majorBidi"/>
          <w:sz w:val="23"/>
          <w:szCs w:val="23"/>
        </w:rPr>
        <w:t xml:space="preserve">and </w:t>
      </w:r>
      <w:r w:rsidR="00C6455B">
        <w:rPr>
          <w:rFonts w:asciiTheme="majorHAnsi" w:hAnsiTheme="majorHAnsi" w:cstheme="majorBidi"/>
          <w:sz w:val="23"/>
          <w:szCs w:val="23"/>
        </w:rPr>
        <w:t>properly</w:t>
      </w:r>
      <w:r w:rsidR="00B32F61">
        <w:rPr>
          <w:rFonts w:asciiTheme="majorHAnsi" w:hAnsiTheme="majorHAnsi" w:cstheme="majorBidi"/>
          <w:sz w:val="23"/>
          <w:szCs w:val="23"/>
        </w:rPr>
        <w:t xml:space="preserve"> resourced </w:t>
      </w:r>
      <w:r w:rsidR="006A0DA3" w:rsidRPr="000573F1">
        <w:rPr>
          <w:rFonts w:asciiTheme="majorHAnsi" w:hAnsiTheme="majorHAnsi" w:cstheme="majorBidi"/>
          <w:sz w:val="23"/>
          <w:szCs w:val="23"/>
        </w:rPr>
        <w:t>lead agency</w:t>
      </w:r>
      <w:r w:rsidR="005943C9">
        <w:rPr>
          <w:rFonts w:asciiTheme="majorHAnsi" w:hAnsiTheme="majorHAnsi" w:cstheme="majorBidi"/>
          <w:sz w:val="23"/>
          <w:szCs w:val="23"/>
        </w:rPr>
        <w:t>, one</w:t>
      </w:r>
      <w:r w:rsidR="004260B6">
        <w:rPr>
          <w:rFonts w:asciiTheme="majorHAnsi" w:hAnsiTheme="majorHAnsi" w:cstheme="majorBidi"/>
          <w:sz w:val="23"/>
          <w:szCs w:val="23"/>
        </w:rPr>
        <w:t xml:space="preserve"> </w:t>
      </w:r>
      <w:r w:rsidR="00346F2D">
        <w:rPr>
          <w:rFonts w:asciiTheme="majorHAnsi" w:hAnsiTheme="majorHAnsi" w:cstheme="majorBidi"/>
          <w:sz w:val="23"/>
          <w:szCs w:val="23"/>
        </w:rPr>
        <w:t>with</w:t>
      </w:r>
      <w:r w:rsidR="006A0DA3">
        <w:rPr>
          <w:rFonts w:asciiTheme="majorHAnsi" w:hAnsiTheme="majorHAnsi" w:cstheme="majorBidi"/>
          <w:sz w:val="23"/>
          <w:szCs w:val="23"/>
        </w:rPr>
        <w:t xml:space="preserve"> strong connections</w:t>
      </w:r>
      <w:r w:rsidR="00645BF2">
        <w:rPr>
          <w:rFonts w:asciiTheme="majorHAnsi" w:hAnsiTheme="majorHAnsi" w:cstheme="majorBidi"/>
          <w:sz w:val="23"/>
          <w:szCs w:val="23"/>
        </w:rPr>
        <w:t xml:space="preserve"> </w:t>
      </w:r>
      <w:r w:rsidR="00346F2D">
        <w:rPr>
          <w:rFonts w:asciiTheme="majorHAnsi" w:hAnsiTheme="majorHAnsi" w:cstheme="majorBidi"/>
          <w:sz w:val="23"/>
          <w:szCs w:val="23"/>
        </w:rPr>
        <w:t>to</w:t>
      </w:r>
      <w:r w:rsidR="00645BF2">
        <w:rPr>
          <w:rFonts w:asciiTheme="majorHAnsi" w:hAnsiTheme="majorHAnsi" w:cstheme="majorBidi"/>
          <w:sz w:val="23"/>
          <w:szCs w:val="23"/>
        </w:rPr>
        <w:t xml:space="preserve"> the community it serves</w:t>
      </w:r>
      <w:r w:rsidR="0011741E">
        <w:rPr>
          <w:rFonts w:asciiTheme="majorHAnsi" w:hAnsiTheme="majorHAnsi" w:cstheme="majorBidi"/>
          <w:sz w:val="23"/>
          <w:szCs w:val="23"/>
        </w:rPr>
        <w:t xml:space="preserve">, </w:t>
      </w:r>
      <w:r w:rsidR="001A084D">
        <w:rPr>
          <w:rFonts w:asciiTheme="majorHAnsi" w:hAnsiTheme="majorHAnsi" w:cstheme="majorBidi"/>
          <w:sz w:val="23"/>
          <w:szCs w:val="23"/>
        </w:rPr>
        <w:t xml:space="preserve">seems </w:t>
      </w:r>
      <w:r w:rsidR="00E5723F">
        <w:rPr>
          <w:rFonts w:asciiTheme="majorHAnsi" w:hAnsiTheme="majorHAnsi" w:cstheme="majorBidi"/>
          <w:sz w:val="23"/>
          <w:szCs w:val="23"/>
        </w:rPr>
        <w:t>to be a</w:t>
      </w:r>
      <w:r w:rsidR="00EC105B">
        <w:rPr>
          <w:rFonts w:asciiTheme="majorHAnsi" w:hAnsiTheme="majorHAnsi" w:cstheme="majorBidi"/>
          <w:sz w:val="23"/>
          <w:szCs w:val="23"/>
        </w:rPr>
        <w:t>n almost universal feature of</w:t>
      </w:r>
      <w:r w:rsidR="001A084D">
        <w:rPr>
          <w:rFonts w:asciiTheme="majorHAnsi" w:hAnsiTheme="majorHAnsi" w:cstheme="majorBidi"/>
          <w:sz w:val="23"/>
          <w:szCs w:val="23"/>
        </w:rPr>
        <w:t xml:space="preserve"> </w:t>
      </w:r>
      <w:r w:rsidR="00E5723F">
        <w:rPr>
          <w:rFonts w:asciiTheme="majorHAnsi" w:hAnsiTheme="majorHAnsi" w:cstheme="majorBidi"/>
          <w:sz w:val="23"/>
          <w:szCs w:val="23"/>
        </w:rPr>
        <w:t>effective programs</w:t>
      </w:r>
      <w:r w:rsidR="006A0DA3">
        <w:rPr>
          <w:rFonts w:asciiTheme="majorHAnsi" w:hAnsiTheme="majorHAnsi" w:cstheme="majorBidi"/>
          <w:sz w:val="23"/>
          <w:szCs w:val="23"/>
        </w:rPr>
        <w:t>.</w:t>
      </w:r>
      <w:r w:rsidR="00387D2B" w:rsidRPr="00387D2B">
        <w:rPr>
          <w:rFonts w:asciiTheme="majorHAnsi" w:hAnsiTheme="majorHAnsi" w:cstheme="majorBidi"/>
          <w:sz w:val="23"/>
          <w:szCs w:val="23"/>
        </w:rPr>
        <w:t xml:space="preserve"> </w:t>
      </w:r>
      <w:r w:rsidR="008C48E2">
        <w:rPr>
          <w:rFonts w:asciiTheme="majorHAnsi" w:hAnsiTheme="majorHAnsi" w:cstheme="majorBidi"/>
          <w:sz w:val="23"/>
          <w:szCs w:val="23"/>
        </w:rPr>
        <w:t>Robust</w:t>
      </w:r>
      <w:r w:rsidR="00387D2B" w:rsidRPr="00C1296B">
        <w:rPr>
          <w:rFonts w:asciiTheme="majorHAnsi" w:hAnsiTheme="majorHAnsi" w:cstheme="majorBidi"/>
          <w:sz w:val="23"/>
          <w:szCs w:val="23"/>
        </w:rPr>
        <w:t xml:space="preserve"> partnerships, sound governance, </w:t>
      </w:r>
      <w:r w:rsidR="00387D2B">
        <w:rPr>
          <w:rFonts w:asciiTheme="majorHAnsi" w:hAnsiTheme="majorHAnsi" w:cstheme="majorBidi"/>
          <w:sz w:val="23"/>
          <w:szCs w:val="23"/>
        </w:rPr>
        <w:t xml:space="preserve">adequate funding, </w:t>
      </w:r>
      <w:r w:rsidR="00C6455B">
        <w:rPr>
          <w:rFonts w:asciiTheme="majorHAnsi" w:hAnsiTheme="majorHAnsi" w:cstheme="majorBidi"/>
          <w:sz w:val="23"/>
          <w:szCs w:val="23"/>
        </w:rPr>
        <w:t xml:space="preserve">and </w:t>
      </w:r>
      <w:r w:rsidR="00387D2B" w:rsidRPr="00C1296B">
        <w:rPr>
          <w:rFonts w:asciiTheme="majorHAnsi" w:hAnsiTheme="majorHAnsi" w:cstheme="majorBidi"/>
          <w:sz w:val="23"/>
          <w:szCs w:val="23"/>
        </w:rPr>
        <w:t>generous timeframes</w:t>
      </w:r>
      <w:r w:rsidR="00C6455B">
        <w:rPr>
          <w:rFonts w:asciiTheme="majorHAnsi" w:hAnsiTheme="majorHAnsi" w:cstheme="majorBidi"/>
          <w:sz w:val="23"/>
          <w:szCs w:val="23"/>
        </w:rPr>
        <w:t xml:space="preserve"> </w:t>
      </w:r>
      <w:r w:rsidR="00AB0929">
        <w:rPr>
          <w:rFonts w:asciiTheme="majorHAnsi" w:hAnsiTheme="majorHAnsi" w:cstheme="majorBidi"/>
          <w:sz w:val="23"/>
          <w:szCs w:val="23"/>
        </w:rPr>
        <w:t xml:space="preserve">were </w:t>
      </w:r>
      <w:r w:rsidR="009C787A">
        <w:rPr>
          <w:rFonts w:asciiTheme="majorHAnsi" w:hAnsiTheme="majorHAnsi" w:cstheme="majorBidi"/>
          <w:sz w:val="23"/>
          <w:szCs w:val="23"/>
        </w:rPr>
        <w:t xml:space="preserve">also identified as </w:t>
      </w:r>
      <w:r w:rsidR="00E45327">
        <w:rPr>
          <w:rFonts w:asciiTheme="majorHAnsi" w:hAnsiTheme="majorHAnsi" w:cstheme="majorBidi"/>
          <w:sz w:val="23"/>
          <w:szCs w:val="23"/>
        </w:rPr>
        <w:t>central</w:t>
      </w:r>
      <w:r w:rsidR="009C787A">
        <w:rPr>
          <w:rFonts w:asciiTheme="majorHAnsi" w:hAnsiTheme="majorHAnsi" w:cstheme="majorBidi"/>
          <w:sz w:val="23"/>
          <w:szCs w:val="23"/>
        </w:rPr>
        <w:t xml:space="preserve"> to</w:t>
      </w:r>
      <w:r w:rsidR="00AB0929">
        <w:rPr>
          <w:rFonts w:asciiTheme="majorHAnsi" w:hAnsiTheme="majorHAnsi" w:cstheme="majorBidi"/>
          <w:sz w:val="23"/>
          <w:szCs w:val="23"/>
        </w:rPr>
        <w:t xml:space="preserve"> </w:t>
      </w:r>
      <w:r w:rsidR="00EC105B">
        <w:rPr>
          <w:rFonts w:asciiTheme="majorHAnsi" w:hAnsiTheme="majorHAnsi" w:cstheme="majorBidi"/>
          <w:sz w:val="23"/>
          <w:szCs w:val="23"/>
        </w:rPr>
        <w:t>program success</w:t>
      </w:r>
      <w:r w:rsidR="00E5723F">
        <w:rPr>
          <w:rFonts w:asciiTheme="majorHAnsi" w:hAnsiTheme="majorHAnsi" w:cstheme="majorBidi"/>
          <w:sz w:val="23"/>
          <w:szCs w:val="23"/>
        </w:rPr>
        <w:t>.</w:t>
      </w:r>
    </w:p>
    <w:p w14:paraId="70235D12" w14:textId="77777777" w:rsidR="00387D2B" w:rsidRPr="00EF7E59" w:rsidRDefault="00387D2B" w:rsidP="0068341C">
      <w:pPr>
        <w:spacing w:after="0" w:line="276" w:lineRule="auto"/>
        <w:rPr>
          <w:rFonts w:asciiTheme="majorHAnsi" w:hAnsiTheme="majorHAnsi" w:cstheme="majorBidi"/>
          <w:sz w:val="12"/>
          <w:szCs w:val="12"/>
        </w:rPr>
      </w:pPr>
    </w:p>
    <w:p w14:paraId="403583AB" w14:textId="77777777" w:rsidR="00232C97" w:rsidRDefault="004A3DAC" w:rsidP="0068341C">
      <w:pPr>
        <w:spacing w:after="0" w:line="276" w:lineRule="auto"/>
        <w:rPr>
          <w:rFonts w:asciiTheme="majorHAnsi" w:hAnsiTheme="majorHAnsi" w:cstheme="majorBidi"/>
          <w:sz w:val="23"/>
          <w:szCs w:val="23"/>
        </w:rPr>
      </w:pPr>
      <w:r>
        <w:rPr>
          <w:rFonts w:asciiTheme="majorHAnsi" w:hAnsiTheme="majorHAnsi" w:cstheme="majorBidi"/>
          <w:sz w:val="23"/>
          <w:szCs w:val="23"/>
        </w:rPr>
        <w:t>Sound</w:t>
      </w:r>
      <w:r w:rsidR="006A0DA3" w:rsidRPr="000573F1">
        <w:rPr>
          <w:rFonts w:asciiTheme="majorHAnsi" w:hAnsiTheme="majorHAnsi" w:cstheme="majorBidi"/>
          <w:sz w:val="23"/>
          <w:szCs w:val="23"/>
        </w:rPr>
        <w:t xml:space="preserve"> community engagement strategies</w:t>
      </w:r>
      <w:r w:rsidR="00D305F6">
        <w:rPr>
          <w:rFonts w:asciiTheme="majorHAnsi" w:hAnsiTheme="majorHAnsi" w:cstheme="majorBidi"/>
          <w:sz w:val="23"/>
          <w:szCs w:val="23"/>
        </w:rPr>
        <w:t xml:space="preserve"> </w:t>
      </w:r>
      <w:r w:rsidR="000271AA">
        <w:rPr>
          <w:rFonts w:asciiTheme="majorHAnsi" w:hAnsiTheme="majorHAnsi" w:cstheme="majorBidi"/>
          <w:sz w:val="23"/>
          <w:szCs w:val="23"/>
        </w:rPr>
        <w:t xml:space="preserve">emerged as </w:t>
      </w:r>
      <w:r w:rsidR="008878AB">
        <w:rPr>
          <w:rFonts w:asciiTheme="majorHAnsi" w:hAnsiTheme="majorHAnsi" w:cstheme="majorBidi"/>
          <w:sz w:val="23"/>
          <w:szCs w:val="23"/>
        </w:rPr>
        <w:t>the</w:t>
      </w:r>
      <w:r w:rsidR="00E45327">
        <w:rPr>
          <w:rFonts w:asciiTheme="majorHAnsi" w:hAnsiTheme="majorHAnsi" w:cstheme="majorBidi"/>
          <w:sz w:val="23"/>
          <w:szCs w:val="23"/>
        </w:rPr>
        <w:t xml:space="preserve"> bedrock</w:t>
      </w:r>
      <w:r w:rsidR="00617951">
        <w:rPr>
          <w:rFonts w:asciiTheme="majorHAnsi" w:hAnsiTheme="majorHAnsi" w:cstheme="majorBidi"/>
          <w:sz w:val="23"/>
          <w:szCs w:val="23"/>
        </w:rPr>
        <w:t xml:space="preserve"> of </w:t>
      </w:r>
      <w:r w:rsidR="00905C27">
        <w:rPr>
          <w:rFonts w:asciiTheme="majorHAnsi" w:hAnsiTheme="majorHAnsi" w:cstheme="majorBidi"/>
          <w:sz w:val="23"/>
          <w:szCs w:val="23"/>
        </w:rPr>
        <w:t xml:space="preserve">many </w:t>
      </w:r>
      <w:r w:rsidR="00617951">
        <w:rPr>
          <w:rFonts w:asciiTheme="majorHAnsi" w:hAnsiTheme="majorHAnsi" w:cstheme="majorBidi"/>
          <w:sz w:val="23"/>
          <w:szCs w:val="23"/>
        </w:rPr>
        <w:t>effective programs</w:t>
      </w:r>
      <w:r>
        <w:rPr>
          <w:rFonts w:asciiTheme="majorHAnsi" w:hAnsiTheme="majorHAnsi" w:cstheme="majorBidi"/>
          <w:sz w:val="23"/>
          <w:szCs w:val="23"/>
        </w:rPr>
        <w:t>.</w:t>
      </w:r>
      <w:r w:rsidR="004260B6">
        <w:rPr>
          <w:rFonts w:asciiTheme="majorHAnsi" w:hAnsiTheme="majorHAnsi" w:cstheme="majorBidi"/>
          <w:sz w:val="23"/>
          <w:szCs w:val="23"/>
        </w:rPr>
        <w:t xml:space="preserve"> </w:t>
      </w:r>
      <w:r>
        <w:rPr>
          <w:rFonts w:asciiTheme="majorHAnsi" w:hAnsiTheme="majorHAnsi" w:cstheme="majorBidi"/>
          <w:sz w:val="23"/>
          <w:szCs w:val="23"/>
        </w:rPr>
        <w:t>While terminology and models differ</w:t>
      </w:r>
      <w:r w:rsidR="004B7B32">
        <w:rPr>
          <w:rFonts w:asciiTheme="majorHAnsi" w:hAnsiTheme="majorHAnsi" w:cstheme="majorBidi"/>
          <w:sz w:val="23"/>
          <w:szCs w:val="23"/>
        </w:rPr>
        <w:t>ed</w:t>
      </w:r>
      <w:r>
        <w:rPr>
          <w:rFonts w:asciiTheme="majorHAnsi" w:hAnsiTheme="majorHAnsi" w:cstheme="majorBidi"/>
          <w:sz w:val="23"/>
          <w:szCs w:val="23"/>
        </w:rPr>
        <w:t>, there was a</w:t>
      </w:r>
      <w:r w:rsidR="00006174">
        <w:rPr>
          <w:rFonts w:asciiTheme="majorHAnsi" w:hAnsiTheme="majorHAnsi" w:cstheme="majorBidi"/>
          <w:sz w:val="23"/>
          <w:szCs w:val="23"/>
        </w:rPr>
        <w:t xml:space="preserve">n emphasis on </w:t>
      </w:r>
      <w:r w:rsidRPr="0032692F">
        <w:rPr>
          <w:rFonts w:asciiTheme="majorHAnsi" w:hAnsiTheme="majorHAnsi" w:cstheme="majorBidi"/>
          <w:sz w:val="23"/>
          <w:szCs w:val="23"/>
        </w:rPr>
        <w:t>approaches that are genuinely collaborative, respectful, empowering, and inclusive</w:t>
      </w:r>
      <w:r w:rsidR="008B54AC">
        <w:rPr>
          <w:rFonts w:asciiTheme="majorHAnsi" w:eastAsia="Calibri Light" w:hAnsiTheme="majorHAnsi" w:cs="Calibri Light"/>
          <w:sz w:val="23"/>
          <w:szCs w:val="23"/>
        </w:rPr>
        <w:t xml:space="preserve">; </w:t>
      </w:r>
      <w:r w:rsidR="002226D9">
        <w:rPr>
          <w:rFonts w:asciiTheme="majorHAnsi" w:eastAsia="Calibri Light" w:hAnsiTheme="majorHAnsi" w:cs="Calibri Light"/>
          <w:sz w:val="23"/>
          <w:szCs w:val="23"/>
        </w:rPr>
        <w:t>relevant terms</w:t>
      </w:r>
      <w:r w:rsidR="00387A1C">
        <w:rPr>
          <w:rFonts w:asciiTheme="majorHAnsi" w:eastAsia="Calibri Light" w:hAnsiTheme="majorHAnsi" w:cs="Calibri Light"/>
          <w:sz w:val="23"/>
          <w:szCs w:val="23"/>
        </w:rPr>
        <w:t xml:space="preserve"> </w:t>
      </w:r>
      <w:r w:rsidR="008B54AC" w:rsidRPr="008817FE">
        <w:rPr>
          <w:rFonts w:asciiTheme="majorHAnsi" w:eastAsia="Calibri Light" w:hAnsiTheme="majorHAnsi" w:cs="Calibri Light"/>
          <w:sz w:val="23"/>
          <w:szCs w:val="23"/>
        </w:rPr>
        <w:t xml:space="preserve">included </w:t>
      </w:r>
      <w:r w:rsidR="00622D06">
        <w:rPr>
          <w:rFonts w:asciiTheme="majorHAnsi" w:eastAsia="Calibri Light" w:hAnsiTheme="majorHAnsi" w:cs="Calibri Light"/>
          <w:sz w:val="23"/>
          <w:szCs w:val="23"/>
        </w:rPr>
        <w:t>“</w:t>
      </w:r>
      <w:r w:rsidR="008B54AC" w:rsidRPr="008817FE">
        <w:rPr>
          <w:rFonts w:asciiTheme="majorHAnsi" w:hAnsiTheme="majorHAnsi"/>
          <w:sz w:val="23"/>
          <w:szCs w:val="23"/>
        </w:rPr>
        <w:t>participatory</w:t>
      </w:r>
      <w:r w:rsidR="00622D06">
        <w:rPr>
          <w:rFonts w:asciiTheme="majorHAnsi" w:hAnsiTheme="majorHAnsi"/>
          <w:sz w:val="23"/>
          <w:szCs w:val="23"/>
        </w:rPr>
        <w:t>”</w:t>
      </w:r>
      <w:r w:rsidR="008B54AC" w:rsidRPr="008817FE">
        <w:rPr>
          <w:rFonts w:asciiTheme="majorHAnsi" w:hAnsiTheme="majorHAnsi"/>
          <w:sz w:val="23"/>
          <w:szCs w:val="23"/>
        </w:rPr>
        <w:t xml:space="preserve">, </w:t>
      </w:r>
      <w:r w:rsidR="00622D06">
        <w:rPr>
          <w:rFonts w:asciiTheme="majorHAnsi" w:hAnsiTheme="majorHAnsi"/>
          <w:sz w:val="23"/>
          <w:szCs w:val="23"/>
        </w:rPr>
        <w:t>“</w:t>
      </w:r>
      <w:r w:rsidR="008B54AC" w:rsidRPr="008817FE">
        <w:rPr>
          <w:rFonts w:asciiTheme="majorHAnsi" w:eastAsia="Calibri Light" w:hAnsiTheme="majorHAnsi" w:cs="Calibri Light"/>
          <w:sz w:val="23"/>
          <w:szCs w:val="23"/>
        </w:rPr>
        <w:t>community-led</w:t>
      </w:r>
      <w:r w:rsidR="00622D06">
        <w:rPr>
          <w:rFonts w:asciiTheme="majorHAnsi" w:eastAsia="Calibri Light" w:hAnsiTheme="majorHAnsi" w:cs="Calibri Light"/>
          <w:sz w:val="23"/>
          <w:szCs w:val="23"/>
        </w:rPr>
        <w:t>”</w:t>
      </w:r>
      <w:r w:rsidR="008B54AC" w:rsidRPr="008817FE">
        <w:rPr>
          <w:rFonts w:asciiTheme="majorHAnsi" w:eastAsia="Calibri Light" w:hAnsiTheme="majorHAnsi" w:cs="Calibri Light"/>
          <w:sz w:val="23"/>
          <w:szCs w:val="23"/>
        </w:rPr>
        <w:t xml:space="preserve">, </w:t>
      </w:r>
      <w:r w:rsidR="00622D06">
        <w:rPr>
          <w:rFonts w:asciiTheme="majorHAnsi" w:eastAsia="Calibri Light" w:hAnsiTheme="majorHAnsi" w:cs="Calibri Light"/>
          <w:sz w:val="23"/>
          <w:szCs w:val="23"/>
        </w:rPr>
        <w:t>“</w:t>
      </w:r>
      <w:r w:rsidR="008B54AC" w:rsidRPr="008817FE">
        <w:rPr>
          <w:rFonts w:asciiTheme="majorHAnsi" w:eastAsia="Calibri Light" w:hAnsiTheme="majorHAnsi" w:cs="Calibri Light"/>
          <w:sz w:val="23"/>
          <w:szCs w:val="23"/>
        </w:rPr>
        <w:t>community-driven</w:t>
      </w:r>
      <w:r w:rsidR="002226D9">
        <w:rPr>
          <w:rFonts w:asciiTheme="majorHAnsi" w:eastAsia="Calibri Light" w:hAnsiTheme="majorHAnsi" w:cs="Calibri Light"/>
          <w:sz w:val="23"/>
          <w:szCs w:val="23"/>
        </w:rPr>
        <w:t>”</w:t>
      </w:r>
      <w:r w:rsidR="008B54AC" w:rsidRPr="008817FE">
        <w:rPr>
          <w:rFonts w:asciiTheme="majorHAnsi" w:eastAsia="Calibri Light" w:hAnsiTheme="majorHAnsi" w:cs="Calibri Light"/>
          <w:sz w:val="23"/>
          <w:szCs w:val="23"/>
        </w:rPr>
        <w:t xml:space="preserve">, </w:t>
      </w:r>
      <w:r w:rsidR="002226D9">
        <w:rPr>
          <w:rFonts w:asciiTheme="majorHAnsi" w:eastAsia="Calibri Light" w:hAnsiTheme="majorHAnsi" w:cs="Calibri Light"/>
          <w:sz w:val="23"/>
          <w:szCs w:val="23"/>
        </w:rPr>
        <w:t>“</w:t>
      </w:r>
      <w:r w:rsidR="008B54AC" w:rsidRPr="008817FE">
        <w:rPr>
          <w:rFonts w:asciiTheme="majorHAnsi" w:eastAsia="Calibri Light" w:hAnsiTheme="majorHAnsi" w:cs="Calibri Light"/>
          <w:sz w:val="23"/>
          <w:szCs w:val="23"/>
        </w:rPr>
        <w:t>co-design</w:t>
      </w:r>
      <w:r w:rsidR="002226D9">
        <w:rPr>
          <w:rFonts w:asciiTheme="majorHAnsi" w:eastAsia="Calibri Light" w:hAnsiTheme="majorHAnsi" w:cs="Calibri Light"/>
          <w:sz w:val="23"/>
          <w:szCs w:val="23"/>
        </w:rPr>
        <w:t>”</w:t>
      </w:r>
      <w:r w:rsidR="008B54AC" w:rsidRPr="008817FE">
        <w:rPr>
          <w:rFonts w:asciiTheme="majorHAnsi" w:eastAsia="Calibri Light" w:hAnsiTheme="majorHAnsi" w:cs="Calibri Light"/>
          <w:sz w:val="23"/>
          <w:szCs w:val="23"/>
        </w:rPr>
        <w:t xml:space="preserve">, </w:t>
      </w:r>
      <w:r w:rsidR="008817FE" w:rsidRPr="008817FE">
        <w:rPr>
          <w:rFonts w:asciiTheme="majorHAnsi" w:eastAsia="Calibri Light" w:hAnsiTheme="majorHAnsi" w:cs="Calibri Light"/>
          <w:sz w:val="23"/>
          <w:szCs w:val="23"/>
        </w:rPr>
        <w:t xml:space="preserve">and </w:t>
      </w:r>
      <w:r w:rsidR="002226D9">
        <w:rPr>
          <w:rFonts w:asciiTheme="majorHAnsi" w:eastAsia="Calibri Light" w:hAnsiTheme="majorHAnsi" w:cs="Calibri Light"/>
          <w:sz w:val="23"/>
          <w:szCs w:val="23"/>
        </w:rPr>
        <w:t>“d</w:t>
      </w:r>
      <w:r w:rsidR="008B54AC" w:rsidRPr="008817FE">
        <w:rPr>
          <w:rFonts w:asciiTheme="majorHAnsi" w:eastAsia="Calibri Light" w:hAnsiTheme="majorHAnsi" w:cs="Calibri Light"/>
          <w:sz w:val="23"/>
          <w:szCs w:val="23"/>
        </w:rPr>
        <w:t xml:space="preserve">esign </w:t>
      </w:r>
      <w:r w:rsidR="002226D9">
        <w:rPr>
          <w:rFonts w:asciiTheme="majorHAnsi" w:eastAsia="Calibri Light" w:hAnsiTheme="majorHAnsi" w:cs="Calibri Light"/>
          <w:sz w:val="23"/>
          <w:szCs w:val="23"/>
        </w:rPr>
        <w:t>t</w:t>
      </w:r>
      <w:r w:rsidR="008B54AC" w:rsidRPr="008817FE">
        <w:rPr>
          <w:rFonts w:asciiTheme="majorHAnsi" w:eastAsia="Calibri Light" w:hAnsiTheme="majorHAnsi" w:cs="Calibri Light"/>
          <w:sz w:val="23"/>
          <w:szCs w:val="23"/>
        </w:rPr>
        <w:t>hinking</w:t>
      </w:r>
      <w:r w:rsidR="002226D9">
        <w:rPr>
          <w:rFonts w:asciiTheme="majorHAnsi" w:eastAsia="Calibri Light" w:hAnsiTheme="majorHAnsi" w:cs="Calibri Light"/>
          <w:sz w:val="23"/>
          <w:szCs w:val="23"/>
        </w:rPr>
        <w:t>”</w:t>
      </w:r>
      <w:r w:rsidR="008B54AC" w:rsidRPr="008817FE">
        <w:rPr>
          <w:rFonts w:ascii="Calibri Light" w:eastAsia="Calibri Light" w:hAnsi="Calibri Light" w:cs="Calibri Light"/>
          <w:sz w:val="23"/>
          <w:szCs w:val="23"/>
        </w:rPr>
        <w:t>.</w:t>
      </w:r>
      <w:r w:rsidR="008B54AC" w:rsidRPr="008817FE">
        <w:rPr>
          <w:rFonts w:asciiTheme="majorHAnsi" w:eastAsiaTheme="majorEastAsia" w:hAnsiTheme="majorHAnsi" w:cstheme="majorBidi"/>
          <w:sz w:val="23"/>
          <w:szCs w:val="23"/>
        </w:rPr>
        <w:t xml:space="preserve"> </w:t>
      </w:r>
      <w:r w:rsidR="00422D25" w:rsidRPr="008817FE">
        <w:rPr>
          <w:rFonts w:asciiTheme="majorHAnsi" w:hAnsiTheme="majorHAnsi" w:cstheme="majorBidi"/>
          <w:sz w:val="23"/>
          <w:szCs w:val="23"/>
        </w:rPr>
        <w:t>E</w:t>
      </w:r>
      <w:r w:rsidR="00900CF9" w:rsidRPr="008817FE">
        <w:rPr>
          <w:rFonts w:asciiTheme="majorHAnsi" w:hAnsiTheme="majorHAnsi" w:cstheme="majorBidi"/>
          <w:sz w:val="23"/>
          <w:szCs w:val="23"/>
        </w:rPr>
        <w:t>ffective</w:t>
      </w:r>
      <w:r w:rsidR="006A0DA3" w:rsidRPr="008817FE">
        <w:rPr>
          <w:rFonts w:asciiTheme="majorHAnsi" w:hAnsiTheme="majorHAnsi" w:cstheme="majorBidi"/>
          <w:sz w:val="23"/>
          <w:szCs w:val="23"/>
        </w:rPr>
        <w:t xml:space="preserve"> programs</w:t>
      </w:r>
      <w:r w:rsidR="006A0DA3" w:rsidRPr="000573F1">
        <w:rPr>
          <w:rFonts w:asciiTheme="majorHAnsi" w:hAnsiTheme="majorHAnsi" w:cstheme="majorBidi"/>
          <w:sz w:val="23"/>
          <w:szCs w:val="23"/>
        </w:rPr>
        <w:t xml:space="preserve"> empower</w:t>
      </w:r>
      <w:r w:rsidR="004260B6">
        <w:rPr>
          <w:rFonts w:asciiTheme="majorHAnsi" w:hAnsiTheme="majorHAnsi" w:cstheme="majorBidi"/>
          <w:sz w:val="23"/>
          <w:szCs w:val="23"/>
        </w:rPr>
        <w:t>ed</w:t>
      </w:r>
      <w:r w:rsidR="006A0DA3" w:rsidRPr="000573F1">
        <w:rPr>
          <w:rFonts w:asciiTheme="majorHAnsi" w:hAnsiTheme="majorHAnsi" w:cstheme="majorBidi"/>
          <w:sz w:val="23"/>
          <w:szCs w:val="23"/>
        </w:rPr>
        <w:t xml:space="preserve"> residents to play an active role in identifying issues, solving problems, and shaping the </w:t>
      </w:r>
      <w:r w:rsidR="006A0DA3">
        <w:rPr>
          <w:rFonts w:asciiTheme="majorHAnsi" w:hAnsiTheme="majorHAnsi" w:cstheme="majorBidi"/>
          <w:sz w:val="23"/>
          <w:szCs w:val="23"/>
        </w:rPr>
        <w:t>purpose, direction, and</w:t>
      </w:r>
      <w:r w:rsidR="004B7B32">
        <w:rPr>
          <w:rFonts w:asciiTheme="majorHAnsi" w:hAnsiTheme="majorHAnsi" w:cstheme="majorBidi"/>
          <w:sz w:val="23"/>
          <w:szCs w:val="23"/>
        </w:rPr>
        <w:t>/or</w:t>
      </w:r>
      <w:r w:rsidR="006A0DA3">
        <w:rPr>
          <w:rFonts w:asciiTheme="majorHAnsi" w:hAnsiTheme="majorHAnsi" w:cstheme="majorBidi"/>
          <w:sz w:val="23"/>
          <w:szCs w:val="23"/>
        </w:rPr>
        <w:t xml:space="preserve"> </w:t>
      </w:r>
      <w:r w:rsidR="00D66F4F">
        <w:rPr>
          <w:rFonts w:asciiTheme="majorHAnsi" w:hAnsiTheme="majorHAnsi" w:cstheme="majorBidi"/>
          <w:sz w:val="23"/>
          <w:szCs w:val="23"/>
        </w:rPr>
        <w:t xml:space="preserve">roll-out of </w:t>
      </w:r>
      <w:r w:rsidR="009D5E2A">
        <w:rPr>
          <w:rFonts w:asciiTheme="majorHAnsi" w:hAnsiTheme="majorHAnsi" w:cstheme="majorBidi"/>
          <w:sz w:val="23"/>
          <w:szCs w:val="23"/>
        </w:rPr>
        <w:t>the</w:t>
      </w:r>
      <w:r w:rsidR="00D66F4F">
        <w:rPr>
          <w:rFonts w:asciiTheme="majorHAnsi" w:hAnsiTheme="majorHAnsi" w:cstheme="majorBidi"/>
          <w:sz w:val="23"/>
          <w:szCs w:val="23"/>
        </w:rPr>
        <w:t xml:space="preserve"> program</w:t>
      </w:r>
      <w:r w:rsidR="006A0DA3" w:rsidRPr="000573F1">
        <w:rPr>
          <w:rFonts w:asciiTheme="majorHAnsi" w:hAnsiTheme="majorHAnsi" w:cstheme="majorBidi"/>
          <w:sz w:val="23"/>
          <w:szCs w:val="23"/>
        </w:rPr>
        <w:t>.</w:t>
      </w:r>
    </w:p>
    <w:p w14:paraId="54081FA1" w14:textId="77777777" w:rsidR="00232C97" w:rsidRPr="00232C97" w:rsidRDefault="00232C97" w:rsidP="0068341C">
      <w:pPr>
        <w:spacing w:after="0" w:line="276" w:lineRule="auto"/>
        <w:rPr>
          <w:rFonts w:asciiTheme="majorHAnsi" w:hAnsiTheme="majorHAnsi" w:cstheme="majorBidi"/>
          <w:sz w:val="12"/>
          <w:szCs w:val="12"/>
        </w:rPr>
      </w:pPr>
    </w:p>
    <w:p w14:paraId="7D7BADB0" w14:textId="6008FE14" w:rsidR="00403081" w:rsidRDefault="007C25FA" w:rsidP="0068341C">
      <w:pPr>
        <w:spacing w:after="0" w:line="276" w:lineRule="auto"/>
        <w:rPr>
          <w:rFonts w:ascii="Calibri Light" w:eastAsia="Calibri Light" w:hAnsi="Calibri Light" w:cs="Calibri Light"/>
          <w:sz w:val="23"/>
          <w:szCs w:val="23"/>
        </w:rPr>
      </w:pPr>
      <w:r>
        <w:rPr>
          <w:rFonts w:asciiTheme="majorHAnsi" w:eastAsiaTheme="majorEastAsia" w:hAnsiTheme="majorHAnsi" w:cstheme="majorBidi"/>
          <w:sz w:val="23"/>
          <w:szCs w:val="23"/>
        </w:rPr>
        <w:t xml:space="preserve">Less obvious, but </w:t>
      </w:r>
      <w:r w:rsidR="00893E72">
        <w:rPr>
          <w:rFonts w:asciiTheme="majorHAnsi" w:eastAsiaTheme="majorEastAsia" w:hAnsiTheme="majorHAnsi" w:cstheme="majorBidi"/>
          <w:sz w:val="23"/>
          <w:szCs w:val="23"/>
        </w:rPr>
        <w:t>worth notin</w:t>
      </w:r>
      <w:r w:rsidR="00680FB3">
        <w:rPr>
          <w:rFonts w:asciiTheme="majorHAnsi" w:eastAsiaTheme="majorEastAsia" w:hAnsiTheme="majorHAnsi" w:cstheme="majorBidi"/>
          <w:sz w:val="23"/>
          <w:szCs w:val="23"/>
        </w:rPr>
        <w:t xml:space="preserve">g, </w:t>
      </w:r>
      <w:r w:rsidR="00DA15CD">
        <w:rPr>
          <w:rFonts w:asciiTheme="majorHAnsi" w:eastAsiaTheme="majorEastAsia" w:hAnsiTheme="majorHAnsi" w:cstheme="majorBidi"/>
          <w:sz w:val="23"/>
          <w:szCs w:val="23"/>
        </w:rPr>
        <w:t>w</w:t>
      </w:r>
      <w:r w:rsidR="00163532">
        <w:rPr>
          <w:rFonts w:asciiTheme="majorHAnsi" w:eastAsiaTheme="majorEastAsia" w:hAnsiTheme="majorHAnsi" w:cstheme="majorBidi"/>
          <w:sz w:val="23"/>
          <w:szCs w:val="23"/>
        </w:rPr>
        <w:t>as the inclusion of</w:t>
      </w:r>
      <w:r w:rsidR="00D17113">
        <w:rPr>
          <w:rFonts w:asciiTheme="majorHAnsi" w:eastAsiaTheme="majorEastAsia" w:hAnsiTheme="majorHAnsi" w:cstheme="majorBidi"/>
          <w:sz w:val="23"/>
          <w:szCs w:val="23"/>
        </w:rPr>
        <w:t xml:space="preserve"> </w:t>
      </w:r>
      <w:r w:rsidR="00163532">
        <w:rPr>
          <w:rFonts w:asciiTheme="majorHAnsi" w:eastAsiaTheme="majorEastAsia" w:hAnsiTheme="majorHAnsi" w:cstheme="majorBidi"/>
          <w:sz w:val="23"/>
          <w:szCs w:val="23"/>
        </w:rPr>
        <w:t xml:space="preserve">program </w:t>
      </w:r>
      <w:r w:rsidR="00E50DB9">
        <w:rPr>
          <w:rFonts w:asciiTheme="majorHAnsi" w:eastAsiaTheme="majorEastAsia" w:hAnsiTheme="majorHAnsi" w:cstheme="majorBidi"/>
          <w:sz w:val="23"/>
          <w:szCs w:val="23"/>
        </w:rPr>
        <w:t>ingredients</w:t>
      </w:r>
      <w:r w:rsidR="002D48D5">
        <w:rPr>
          <w:rFonts w:asciiTheme="majorHAnsi" w:eastAsiaTheme="majorEastAsia" w:hAnsiTheme="majorHAnsi" w:cstheme="majorBidi"/>
          <w:sz w:val="23"/>
          <w:szCs w:val="23"/>
        </w:rPr>
        <w:t xml:space="preserve"> </w:t>
      </w:r>
      <w:r w:rsidR="00163532">
        <w:rPr>
          <w:rFonts w:asciiTheme="majorHAnsi" w:eastAsiaTheme="majorEastAsia" w:hAnsiTheme="majorHAnsi" w:cstheme="majorBidi"/>
          <w:sz w:val="23"/>
          <w:szCs w:val="23"/>
        </w:rPr>
        <w:t xml:space="preserve">not </w:t>
      </w:r>
      <w:r w:rsidR="00FA3373">
        <w:rPr>
          <w:rFonts w:asciiTheme="majorHAnsi" w:eastAsiaTheme="majorEastAsia" w:hAnsiTheme="majorHAnsi" w:cstheme="majorBidi"/>
          <w:sz w:val="23"/>
          <w:szCs w:val="23"/>
        </w:rPr>
        <w:t>easily</w:t>
      </w:r>
      <w:r w:rsidR="00984E27">
        <w:rPr>
          <w:rFonts w:asciiTheme="majorHAnsi" w:eastAsiaTheme="majorEastAsia" w:hAnsiTheme="majorHAnsi" w:cstheme="majorBidi"/>
          <w:sz w:val="23"/>
          <w:szCs w:val="23"/>
        </w:rPr>
        <w:t xml:space="preserve"> </w:t>
      </w:r>
      <w:r w:rsidR="00163532">
        <w:rPr>
          <w:rFonts w:asciiTheme="majorHAnsi" w:eastAsiaTheme="majorEastAsia" w:hAnsiTheme="majorHAnsi" w:cstheme="majorBidi"/>
          <w:sz w:val="23"/>
          <w:szCs w:val="23"/>
        </w:rPr>
        <w:t xml:space="preserve">captured </w:t>
      </w:r>
      <w:r w:rsidR="00661C50">
        <w:rPr>
          <w:rFonts w:asciiTheme="majorHAnsi" w:eastAsiaTheme="majorEastAsia" w:hAnsiTheme="majorHAnsi" w:cstheme="majorBidi"/>
          <w:sz w:val="23"/>
          <w:szCs w:val="23"/>
        </w:rPr>
        <w:t>in</w:t>
      </w:r>
      <w:r w:rsidR="00163532">
        <w:rPr>
          <w:rFonts w:asciiTheme="majorHAnsi" w:eastAsiaTheme="majorEastAsia" w:hAnsiTheme="majorHAnsi" w:cstheme="majorBidi"/>
          <w:sz w:val="23"/>
          <w:szCs w:val="23"/>
        </w:rPr>
        <w:t xml:space="preserve"> the dry language of policy</w:t>
      </w:r>
      <w:r w:rsidR="00762CB8">
        <w:rPr>
          <w:rFonts w:asciiTheme="majorHAnsi" w:eastAsiaTheme="majorEastAsia" w:hAnsiTheme="majorHAnsi" w:cstheme="majorBidi"/>
          <w:sz w:val="23"/>
          <w:szCs w:val="23"/>
        </w:rPr>
        <w:t>:</w:t>
      </w:r>
      <w:r w:rsidR="00D05566">
        <w:rPr>
          <w:rFonts w:asciiTheme="majorHAnsi" w:eastAsiaTheme="majorEastAsia" w:hAnsiTheme="majorHAnsi" w:cstheme="majorBidi"/>
          <w:sz w:val="23"/>
          <w:szCs w:val="23"/>
        </w:rPr>
        <w:t xml:space="preserve"> </w:t>
      </w:r>
      <w:r w:rsidR="00387D2B" w:rsidRPr="00906408">
        <w:rPr>
          <w:rFonts w:ascii="Calibri Light" w:eastAsia="Calibri Light" w:hAnsi="Calibri Light" w:cs="Calibri Light"/>
          <w:sz w:val="23"/>
          <w:szCs w:val="23"/>
        </w:rPr>
        <w:t xml:space="preserve">playful, innovative, creative, </w:t>
      </w:r>
      <w:r w:rsidR="00A50027">
        <w:rPr>
          <w:rFonts w:ascii="Calibri Light" w:eastAsia="Calibri Light" w:hAnsi="Calibri Light" w:cs="Calibri Light"/>
          <w:sz w:val="23"/>
          <w:szCs w:val="23"/>
        </w:rPr>
        <w:t xml:space="preserve">spontaneous, </w:t>
      </w:r>
      <w:r w:rsidR="00E50DB9">
        <w:rPr>
          <w:rFonts w:ascii="Calibri Light" w:eastAsia="Calibri Light" w:hAnsi="Calibri Light" w:cs="Calibri Light"/>
          <w:sz w:val="23"/>
          <w:szCs w:val="23"/>
        </w:rPr>
        <w:t>or</w:t>
      </w:r>
      <w:r w:rsidR="00387D2B" w:rsidRPr="00906408">
        <w:rPr>
          <w:rFonts w:ascii="Calibri Light" w:eastAsia="Calibri Light" w:hAnsi="Calibri Light" w:cs="Calibri Light"/>
          <w:sz w:val="23"/>
          <w:szCs w:val="23"/>
        </w:rPr>
        <w:t xml:space="preserve"> celebratory</w:t>
      </w:r>
      <w:r w:rsidR="00FA3373" w:rsidRPr="00FA3373">
        <w:rPr>
          <w:rFonts w:asciiTheme="majorHAnsi" w:eastAsiaTheme="majorEastAsia" w:hAnsiTheme="majorHAnsi" w:cstheme="majorBidi"/>
          <w:sz w:val="23"/>
          <w:szCs w:val="23"/>
        </w:rPr>
        <w:t xml:space="preserve"> </w:t>
      </w:r>
      <w:r w:rsidR="000278ED">
        <w:rPr>
          <w:rFonts w:asciiTheme="majorHAnsi" w:eastAsiaTheme="majorEastAsia" w:hAnsiTheme="majorHAnsi" w:cstheme="majorBidi"/>
          <w:sz w:val="23"/>
          <w:szCs w:val="23"/>
        </w:rPr>
        <w:t>a</w:t>
      </w:r>
      <w:r w:rsidR="00E50DB9">
        <w:rPr>
          <w:rFonts w:asciiTheme="majorHAnsi" w:eastAsiaTheme="majorEastAsia" w:hAnsiTheme="majorHAnsi" w:cstheme="majorBidi"/>
          <w:sz w:val="23"/>
          <w:szCs w:val="23"/>
        </w:rPr>
        <w:t>ctivities and approaches</w:t>
      </w:r>
      <w:r w:rsidR="000278ED">
        <w:rPr>
          <w:rFonts w:asciiTheme="majorHAnsi" w:eastAsiaTheme="majorEastAsia" w:hAnsiTheme="majorHAnsi" w:cstheme="majorBidi"/>
          <w:sz w:val="23"/>
          <w:szCs w:val="23"/>
        </w:rPr>
        <w:t>.</w:t>
      </w:r>
      <w:r w:rsidR="00387D2B" w:rsidRPr="00906408">
        <w:rPr>
          <w:rFonts w:ascii="Calibri Light" w:eastAsia="Calibri Light" w:hAnsi="Calibri Light" w:cs="Calibri Light"/>
          <w:sz w:val="23"/>
          <w:szCs w:val="23"/>
        </w:rPr>
        <w:t xml:space="preserve"> While </w:t>
      </w:r>
      <w:r w:rsidR="00387D2B">
        <w:rPr>
          <w:rFonts w:ascii="Calibri Light" w:eastAsia="Calibri Light" w:hAnsi="Calibri Light" w:cs="Calibri Light"/>
          <w:sz w:val="23"/>
          <w:szCs w:val="23"/>
        </w:rPr>
        <w:t>tricky</w:t>
      </w:r>
      <w:r w:rsidR="00387D2B" w:rsidRPr="00906408">
        <w:rPr>
          <w:rFonts w:ascii="Calibri Light" w:eastAsia="Calibri Light" w:hAnsi="Calibri Light" w:cs="Calibri Light"/>
          <w:sz w:val="23"/>
          <w:szCs w:val="23"/>
        </w:rPr>
        <w:t xml:space="preserve"> to quantify, the value of </w:t>
      </w:r>
      <w:r w:rsidR="00163532">
        <w:rPr>
          <w:rFonts w:ascii="Calibri Light" w:eastAsia="Calibri Light" w:hAnsi="Calibri Light" w:cs="Calibri Light"/>
          <w:sz w:val="23"/>
          <w:szCs w:val="23"/>
        </w:rPr>
        <w:t>these</w:t>
      </w:r>
      <w:r w:rsidR="000B4762">
        <w:rPr>
          <w:rFonts w:ascii="Calibri Light" w:eastAsia="Calibri Light" w:hAnsi="Calibri Light" w:cs="Calibri Light"/>
          <w:sz w:val="23"/>
          <w:szCs w:val="23"/>
        </w:rPr>
        <w:t xml:space="preserve"> </w:t>
      </w:r>
      <w:r w:rsidR="00E50DB9">
        <w:rPr>
          <w:rFonts w:ascii="Calibri Light" w:eastAsia="Calibri Light" w:hAnsi="Calibri Light" w:cs="Calibri Light"/>
          <w:sz w:val="23"/>
          <w:szCs w:val="23"/>
        </w:rPr>
        <w:t>elements</w:t>
      </w:r>
      <w:r w:rsidR="000B4762">
        <w:rPr>
          <w:rFonts w:ascii="Calibri Light" w:eastAsia="Calibri Light" w:hAnsi="Calibri Light" w:cs="Calibri Light"/>
          <w:sz w:val="23"/>
          <w:szCs w:val="23"/>
        </w:rPr>
        <w:t xml:space="preserve"> </w:t>
      </w:r>
      <w:r w:rsidR="00387D2B" w:rsidRPr="00906408">
        <w:rPr>
          <w:rFonts w:ascii="Calibri Light" w:eastAsia="Calibri Light" w:hAnsi="Calibri Light" w:cs="Calibri Light"/>
          <w:sz w:val="23"/>
          <w:szCs w:val="23"/>
        </w:rPr>
        <w:t>should not be underestimated.</w:t>
      </w:r>
      <w:r w:rsidR="00442156" w:rsidRPr="00442156">
        <w:rPr>
          <w:rFonts w:asciiTheme="majorHAnsi" w:hAnsiTheme="majorHAnsi" w:cstheme="majorBidi"/>
          <w:sz w:val="23"/>
          <w:szCs w:val="23"/>
        </w:rPr>
        <w:t xml:space="preserve"> </w:t>
      </w:r>
    </w:p>
    <w:p w14:paraId="61988C93" w14:textId="77777777" w:rsidR="006A0DA3" w:rsidRPr="00EF7E59" w:rsidRDefault="006A0DA3" w:rsidP="0068341C">
      <w:pPr>
        <w:spacing w:after="0" w:line="276" w:lineRule="auto"/>
        <w:rPr>
          <w:rFonts w:asciiTheme="majorHAnsi" w:hAnsiTheme="majorHAnsi" w:cstheme="majorBidi"/>
          <w:sz w:val="12"/>
          <w:szCs w:val="12"/>
        </w:rPr>
      </w:pPr>
    </w:p>
    <w:p w14:paraId="0EAC4142" w14:textId="58D6CABB" w:rsidR="007D66C4" w:rsidRDefault="00995219" w:rsidP="0068341C">
      <w:pPr>
        <w:spacing w:after="0" w:line="276" w:lineRule="auto"/>
      </w:pPr>
      <w:r w:rsidRPr="00E50DB9">
        <w:rPr>
          <w:rFonts w:asciiTheme="majorHAnsi" w:hAnsiTheme="majorHAnsi" w:cstheme="majorBidi"/>
          <w:sz w:val="23"/>
          <w:szCs w:val="23"/>
        </w:rPr>
        <w:t>Past studies have</w:t>
      </w:r>
      <w:r w:rsidR="007D66C4" w:rsidRPr="00E50DB9">
        <w:rPr>
          <w:rFonts w:asciiTheme="majorHAnsi" w:hAnsiTheme="majorHAnsi" w:cstheme="majorBidi"/>
          <w:sz w:val="23"/>
          <w:szCs w:val="23"/>
        </w:rPr>
        <w:t xml:space="preserve"> identified some </w:t>
      </w:r>
      <w:r w:rsidR="004D3523" w:rsidRPr="00E50DB9">
        <w:rPr>
          <w:rFonts w:asciiTheme="majorHAnsi" w:hAnsiTheme="majorHAnsi" w:cstheme="majorBidi"/>
          <w:sz w:val="23"/>
          <w:szCs w:val="23"/>
        </w:rPr>
        <w:t>key</w:t>
      </w:r>
      <w:r w:rsidR="007D66C4" w:rsidRPr="00E50DB9">
        <w:rPr>
          <w:rFonts w:asciiTheme="majorHAnsi" w:hAnsiTheme="majorHAnsi" w:cstheme="majorBidi"/>
          <w:sz w:val="23"/>
          <w:szCs w:val="23"/>
        </w:rPr>
        <w:t xml:space="preserve"> factors that </w:t>
      </w:r>
      <w:r w:rsidR="00D84CB8" w:rsidRPr="00E50DB9">
        <w:rPr>
          <w:rFonts w:asciiTheme="majorHAnsi" w:hAnsiTheme="majorHAnsi" w:cstheme="majorBidi"/>
          <w:sz w:val="23"/>
          <w:szCs w:val="23"/>
        </w:rPr>
        <w:t xml:space="preserve">can </w:t>
      </w:r>
      <w:r w:rsidR="007D66C4" w:rsidRPr="00E50DB9">
        <w:rPr>
          <w:rFonts w:asciiTheme="majorHAnsi" w:hAnsiTheme="majorHAnsi" w:cstheme="majorBidi"/>
          <w:sz w:val="23"/>
          <w:szCs w:val="23"/>
        </w:rPr>
        <w:t xml:space="preserve">influence </w:t>
      </w:r>
      <w:r w:rsidR="00F273E3" w:rsidRPr="00E50DB9">
        <w:rPr>
          <w:rFonts w:asciiTheme="majorHAnsi" w:hAnsiTheme="majorHAnsi" w:cstheme="majorBidi"/>
          <w:sz w:val="23"/>
          <w:szCs w:val="23"/>
        </w:rPr>
        <w:t>the</w:t>
      </w:r>
      <w:r w:rsidR="003251B6" w:rsidRPr="00E50DB9">
        <w:rPr>
          <w:rFonts w:asciiTheme="majorHAnsi" w:hAnsiTheme="majorHAnsi" w:cstheme="majorBidi"/>
          <w:sz w:val="23"/>
          <w:szCs w:val="23"/>
        </w:rPr>
        <w:t xml:space="preserve"> success</w:t>
      </w:r>
      <w:r w:rsidR="00F273E3" w:rsidRPr="00E50DB9">
        <w:rPr>
          <w:rFonts w:asciiTheme="majorHAnsi" w:hAnsiTheme="majorHAnsi" w:cstheme="majorBidi"/>
          <w:sz w:val="23"/>
          <w:szCs w:val="23"/>
        </w:rPr>
        <w:t xml:space="preserve"> of place-based programs</w:t>
      </w:r>
      <w:r w:rsidR="00D84CB8" w:rsidRPr="00E50DB9">
        <w:rPr>
          <w:rFonts w:asciiTheme="majorHAnsi" w:hAnsiTheme="majorHAnsi" w:cstheme="majorBidi"/>
          <w:sz w:val="23"/>
          <w:szCs w:val="23"/>
        </w:rPr>
        <w:t>.</w:t>
      </w:r>
      <w:r w:rsidR="00D84CB8">
        <w:rPr>
          <w:rFonts w:asciiTheme="majorHAnsi" w:hAnsiTheme="majorHAnsi" w:cstheme="majorBidi"/>
          <w:sz w:val="23"/>
          <w:szCs w:val="23"/>
        </w:rPr>
        <w:t xml:space="preserve"> </w:t>
      </w:r>
      <w:r w:rsidR="007D66C4" w:rsidRPr="47C6F23B">
        <w:rPr>
          <w:rFonts w:asciiTheme="majorHAnsi" w:hAnsiTheme="majorHAnsi" w:cstheme="majorBidi"/>
          <w:sz w:val="23"/>
          <w:szCs w:val="23"/>
        </w:rPr>
        <w:t xml:space="preserve">Broadly speaking, </w:t>
      </w:r>
      <w:r w:rsidR="004D3523">
        <w:rPr>
          <w:rFonts w:asciiTheme="majorHAnsi" w:hAnsiTheme="majorHAnsi" w:cstheme="majorBidi"/>
          <w:sz w:val="23"/>
          <w:szCs w:val="23"/>
        </w:rPr>
        <w:t>the</w:t>
      </w:r>
      <w:r w:rsidR="00E50DB9">
        <w:rPr>
          <w:rFonts w:asciiTheme="majorHAnsi" w:hAnsiTheme="majorHAnsi" w:cstheme="majorBidi"/>
          <w:sz w:val="23"/>
          <w:szCs w:val="23"/>
        </w:rPr>
        <w:t>se</w:t>
      </w:r>
      <w:r w:rsidR="00607038">
        <w:rPr>
          <w:rFonts w:asciiTheme="majorHAnsi" w:hAnsiTheme="majorHAnsi" w:cstheme="majorBidi"/>
          <w:sz w:val="23"/>
          <w:szCs w:val="23"/>
        </w:rPr>
        <w:t xml:space="preserve"> </w:t>
      </w:r>
      <w:r w:rsidR="007D66C4" w:rsidRPr="47C6F23B">
        <w:rPr>
          <w:rFonts w:asciiTheme="majorHAnsi" w:hAnsiTheme="majorHAnsi" w:cstheme="majorBidi"/>
          <w:sz w:val="23"/>
          <w:szCs w:val="23"/>
        </w:rPr>
        <w:t xml:space="preserve">include funding, program duration, governance, partnership frameworks and processes, program actions/activities, and community involvement (Crimeen et al, 2018: 7). More specifically, </w:t>
      </w:r>
      <w:r w:rsidR="00776DA9">
        <w:rPr>
          <w:rFonts w:asciiTheme="majorHAnsi" w:hAnsiTheme="majorHAnsi" w:cstheme="majorBidi"/>
          <w:sz w:val="23"/>
          <w:szCs w:val="23"/>
        </w:rPr>
        <w:t>one</w:t>
      </w:r>
      <w:r w:rsidR="002527BD">
        <w:rPr>
          <w:rFonts w:asciiTheme="majorHAnsi" w:hAnsiTheme="majorHAnsi" w:cstheme="majorBidi"/>
          <w:sz w:val="23"/>
          <w:szCs w:val="23"/>
        </w:rPr>
        <w:t xml:space="preserve"> </w:t>
      </w:r>
      <w:r w:rsidR="007D66C4" w:rsidRPr="47C6F23B">
        <w:rPr>
          <w:rFonts w:asciiTheme="majorHAnsi" w:hAnsiTheme="majorHAnsi" w:cstheme="majorBidi"/>
          <w:sz w:val="23"/>
          <w:szCs w:val="23"/>
        </w:rPr>
        <w:t>recent study identified four key characteristics of “promising” place-based interventions in the Australian context</w:t>
      </w:r>
      <w:r w:rsidR="0004275D">
        <w:rPr>
          <w:rFonts w:asciiTheme="majorHAnsi" w:hAnsiTheme="majorHAnsi" w:cstheme="majorBidi"/>
          <w:sz w:val="23"/>
          <w:szCs w:val="23"/>
        </w:rPr>
        <w:t>:</w:t>
      </w:r>
    </w:p>
    <w:p w14:paraId="01503F79" w14:textId="77777777" w:rsidR="007D66C4" w:rsidRPr="00EF7E59" w:rsidRDefault="007D66C4" w:rsidP="0068341C">
      <w:pPr>
        <w:spacing w:after="0" w:line="276" w:lineRule="auto"/>
        <w:rPr>
          <w:sz w:val="8"/>
          <w:szCs w:val="8"/>
        </w:rPr>
      </w:pPr>
    </w:p>
    <w:p w14:paraId="7E9FA4CC" w14:textId="77777777" w:rsidR="007D66C4" w:rsidRDefault="007D66C4" w:rsidP="00364C5D">
      <w:pPr>
        <w:pStyle w:val="ListParagraph"/>
        <w:numPr>
          <w:ilvl w:val="0"/>
          <w:numId w:val="11"/>
        </w:numPr>
        <w:spacing w:after="0" w:line="276" w:lineRule="auto"/>
        <w:rPr>
          <w:rFonts w:asciiTheme="majorHAnsi" w:eastAsiaTheme="majorEastAsia" w:hAnsiTheme="majorHAnsi" w:cstheme="majorBidi"/>
          <w:sz w:val="23"/>
          <w:szCs w:val="23"/>
        </w:rPr>
      </w:pPr>
      <w:r w:rsidRPr="00B17FD7">
        <w:rPr>
          <w:rFonts w:cstheme="minorHAnsi"/>
          <w:b/>
          <w:bCs/>
          <w:sz w:val="23"/>
          <w:szCs w:val="23"/>
        </w:rPr>
        <w:t>Cross-sector collaboration:</w:t>
      </w:r>
      <w:r w:rsidRPr="359636AC">
        <w:rPr>
          <w:rFonts w:asciiTheme="majorHAnsi" w:hAnsiTheme="majorHAnsi" w:cstheme="majorBidi"/>
          <w:sz w:val="23"/>
          <w:szCs w:val="23"/>
        </w:rPr>
        <w:t xml:space="preserve"> trusting and respectful relationships, shared vision and goals, inclusive and open processes, clear communication, multi-sector capacity-building, having dedicated and skilled “backbone” organisations, sufficient resources, sound leadership</w:t>
      </w:r>
    </w:p>
    <w:p w14:paraId="4D822DE1" w14:textId="77777777" w:rsidR="007D66C4" w:rsidRDefault="007D66C4" w:rsidP="00364C5D">
      <w:pPr>
        <w:pStyle w:val="ListParagraph"/>
        <w:numPr>
          <w:ilvl w:val="0"/>
          <w:numId w:val="11"/>
        </w:numPr>
        <w:spacing w:after="0" w:line="276" w:lineRule="auto"/>
        <w:rPr>
          <w:rFonts w:asciiTheme="majorHAnsi" w:eastAsiaTheme="majorEastAsia" w:hAnsiTheme="majorHAnsi" w:cstheme="majorBidi"/>
          <w:sz w:val="23"/>
          <w:szCs w:val="23"/>
        </w:rPr>
      </w:pPr>
      <w:r w:rsidRPr="00B17FD7">
        <w:rPr>
          <w:rFonts w:cstheme="minorHAnsi"/>
          <w:b/>
          <w:bCs/>
          <w:sz w:val="23"/>
          <w:szCs w:val="23"/>
        </w:rPr>
        <w:t>Genuine community engagement</w:t>
      </w:r>
      <w:r w:rsidRPr="359636AC">
        <w:rPr>
          <w:rFonts w:asciiTheme="majorHAnsi" w:hAnsiTheme="majorHAnsi" w:cstheme="majorBidi"/>
          <w:b/>
          <w:bCs/>
          <w:sz w:val="23"/>
          <w:szCs w:val="23"/>
        </w:rPr>
        <w:t xml:space="preserve">: </w:t>
      </w:r>
      <w:r w:rsidRPr="359636AC">
        <w:rPr>
          <w:rFonts w:asciiTheme="majorHAnsi" w:hAnsiTheme="majorHAnsi" w:cstheme="majorBidi"/>
          <w:sz w:val="23"/>
          <w:szCs w:val="23"/>
        </w:rPr>
        <w:t>involve and empower people, build capacity, manage power dynamics and conflict</w:t>
      </w:r>
    </w:p>
    <w:p w14:paraId="1626FB37" w14:textId="77777777" w:rsidR="007D66C4" w:rsidRDefault="007D66C4" w:rsidP="00364C5D">
      <w:pPr>
        <w:pStyle w:val="ListParagraph"/>
        <w:numPr>
          <w:ilvl w:val="0"/>
          <w:numId w:val="11"/>
        </w:numPr>
        <w:spacing w:after="0" w:line="276" w:lineRule="auto"/>
        <w:rPr>
          <w:sz w:val="23"/>
          <w:szCs w:val="23"/>
        </w:rPr>
      </w:pPr>
      <w:r w:rsidRPr="00B17FD7">
        <w:rPr>
          <w:rFonts w:cstheme="minorHAnsi"/>
          <w:b/>
          <w:bCs/>
          <w:sz w:val="23"/>
          <w:szCs w:val="23"/>
        </w:rPr>
        <w:t>Holistic thinking:</w:t>
      </w:r>
      <w:r w:rsidRPr="359636AC">
        <w:rPr>
          <w:rFonts w:asciiTheme="majorHAnsi" w:hAnsiTheme="majorHAnsi" w:cstheme="majorBidi"/>
          <w:sz w:val="23"/>
          <w:szCs w:val="23"/>
        </w:rPr>
        <w:t xml:space="preserve"> diverse perspectives, inclusive processes, holistic planning, pursue systemic action, tailor to local context</w:t>
      </w:r>
    </w:p>
    <w:p w14:paraId="708024B9" w14:textId="77777777" w:rsidR="007D66C4" w:rsidRDefault="007D66C4" w:rsidP="00364C5D">
      <w:pPr>
        <w:pStyle w:val="ListParagraph"/>
        <w:numPr>
          <w:ilvl w:val="0"/>
          <w:numId w:val="11"/>
        </w:numPr>
        <w:spacing w:after="0" w:line="276" w:lineRule="auto"/>
        <w:rPr>
          <w:sz w:val="23"/>
          <w:szCs w:val="23"/>
        </w:rPr>
      </w:pPr>
      <w:r w:rsidRPr="00B17FD7">
        <w:rPr>
          <w:rFonts w:cstheme="minorHAnsi"/>
          <w:b/>
          <w:bCs/>
          <w:sz w:val="23"/>
          <w:szCs w:val="23"/>
        </w:rPr>
        <w:t>Adaptability:</w:t>
      </w:r>
      <w:r w:rsidRPr="359636AC">
        <w:rPr>
          <w:rFonts w:asciiTheme="majorHAnsi" w:hAnsiTheme="majorHAnsi" w:cstheme="majorBidi"/>
          <w:b/>
          <w:bCs/>
          <w:sz w:val="23"/>
          <w:szCs w:val="23"/>
        </w:rPr>
        <w:t xml:space="preserve"> </w:t>
      </w:r>
      <w:r w:rsidRPr="359636AC">
        <w:rPr>
          <w:rFonts w:asciiTheme="majorHAnsi" w:hAnsiTheme="majorHAnsi" w:cstheme="majorBidi"/>
          <w:sz w:val="23"/>
          <w:szCs w:val="23"/>
        </w:rPr>
        <w:t>flexible structures, responsive approach, clear roles, supportive governance, feasible evaluation methods, a culture of continuous learning (Fry, 2019: 52–54).</w:t>
      </w:r>
    </w:p>
    <w:p w14:paraId="70AD8D14" w14:textId="77777777" w:rsidR="007D66C4" w:rsidRPr="006D515A" w:rsidRDefault="007D66C4" w:rsidP="0068341C">
      <w:pPr>
        <w:spacing w:after="0" w:line="276" w:lineRule="auto"/>
        <w:rPr>
          <w:rFonts w:asciiTheme="majorHAnsi" w:hAnsiTheme="majorHAnsi" w:cstheme="majorBidi"/>
          <w:sz w:val="16"/>
          <w:szCs w:val="16"/>
        </w:rPr>
      </w:pPr>
    </w:p>
    <w:p w14:paraId="50FA208C" w14:textId="77777777" w:rsidR="00232C97" w:rsidRDefault="00907AB1" w:rsidP="0068341C">
      <w:pPr>
        <w:spacing w:after="0" w:line="276" w:lineRule="auto"/>
        <w:rPr>
          <w:rFonts w:asciiTheme="majorHAnsi" w:hAnsiTheme="majorHAnsi" w:cstheme="majorBidi"/>
          <w:sz w:val="23"/>
          <w:szCs w:val="23"/>
        </w:rPr>
      </w:pPr>
      <w:r w:rsidRPr="5ADA7538">
        <w:rPr>
          <w:rFonts w:asciiTheme="majorHAnsi" w:hAnsiTheme="majorHAnsi" w:cstheme="majorBidi"/>
          <w:sz w:val="23"/>
          <w:szCs w:val="23"/>
        </w:rPr>
        <w:lastRenderedPageBreak/>
        <w:t>AHURI researchers offer a useful schema for thinking about locational inequalit</w:t>
      </w:r>
      <w:r>
        <w:rPr>
          <w:rFonts w:asciiTheme="majorHAnsi" w:hAnsiTheme="majorHAnsi" w:cstheme="majorBidi"/>
          <w:sz w:val="23"/>
          <w:szCs w:val="23"/>
        </w:rPr>
        <w:t>ies</w:t>
      </w:r>
      <w:r w:rsidRPr="5ADA7538">
        <w:rPr>
          <w:rFonts w:asciiTheme="majorHAnsi" w:hAnsiTheme="majorHAnsi" w:cstheme="majorBidi"/>
          <w:sz w:val="23"/>
          <w:szCs w:val="23"/>
        </w:rPr>
        <w:t xml:space="preserve">. Cheshire et al identify two types of place-based disadvantage: “places where disadvantaged people live” </w:t>
      </w:r>
      <w:r w:rsidR="005A2D27">
        <w:rPr>
          <w:rFonts w:asciiTheme="majorHAnsi" w:hAnsiTheme="majorHAnsi" w:cstheme="majorBidi"/>
          <w:sz w:val="23"/>
          <w:szCs w:val="23"/>
        </w:rPr>
        <w:t xml:space="preserve">– </w:t>
      </w:r>
      <w:r w:rsidRPr="5ADA7538">
        <w:rPr>
          <w:rFonts w:asciiTheme="majorHAnsi" w:hAnsiTheme="majorHAnsi" w:cstheme="majorBidi"/>
          <w:sz w:val="23"/>
          <w:szCs w:val="23"/>
        </w:rPr>
        <w:t xml:space="preserve">areas </w:t>
      </w:r>
      <w:r w:rsidR="000F104F">
        <w:rPr>
          <w:rFonts w:asciiTheme="majorHAnsi" w:hAnsiTheme="majorHAnsi" w:cstheme="majorBidi"/>
          <w:sz w:val="23"/>
          <w:szCs w:val="23"/>
        </w:rPr>
        <w:t xml:space="preserve">with </w:t>
      </w:r>
      <w:r w:rsidRPr="5ADA7538">
        <w:rPr>
          <w:rFonts w:asciiTheme="majorHAnsi" w:hAnsiTheme="majorHAnsi" w:cstheme="majorBidi"/>
          <w:sz w:val="23"/>
          <w:szCs w:val="23"/>
        </w:rPr>
        <w:t xml:space="preserve">above-average unemployment, </w:t>
      </w:r>
      <w:r w:rsidR="005A2D27">
        <w:rPr>
          <w:rFonts w:asciiTheme="majorHAnsi" w:hAnsiTheme="majorHAnsi" w:cstheme="majorBidi"/>
          <w:sz w:val="23"/>
          <w:szCs w:val="23"/>
        </w:rPr>
        <w:t xml:space="preserve">and </w:t>
      </w:r>
      <w:r w:rsidRPr="5ADA7538">
        <w:rPr>
          <w:rFonts w:asciiTheme="majorHAnsi" w:hAnsiTheme="majorHAnsi" w:cstheme="majorBidi"/>
          <w:sz w:val="23"/>
          <w:szCs w:val="23"/>
        </w:rPr>
        <w:t>lower</w:t>
      </w:r>
      <w:r w:rsidR="005A2D27">
        <w:rPr>
          <w:rFonts w:asciiTheme="majorHAnsi" w:hAnsiTheme="majorHAnsi" w:cstheme="majorBidi"/>
          <w:sz w:val="23"/>
          <w:szCs w:val="23"/>
        </w:rPr>
        <w:t xml:space="preserve"> levels of</w:t>
      </w:r>
      <w:r w:rsidRPr="5ADA7538">
        <w:rPr>
          <w:rFonts w:asciiTheme="majorHAnsi" w:hAnsiTheme="majorHAnsi" w:cstheme="majorBidi"/>
          <w:sz w:val="23"/>
          <w:szCs w:val="23"/>
        </w:rPr>
        <w:t xml:space="preserve"> education</w:t>
      </w:r>
      <w:r w:rsidR="005A2D27">
        <w:rPr>
          <w:rFonts w:asciiTheme="majorHAnsi" w:hAnsiTheme="majorHAnsi" w:cstheme="majorBidi"/>
          <w:sz w:val="23"/>
          <w:szCs w:val="23"/>
        </w:rPr>
        <w:t xml:space="preserve"> and income</w:t>
      </w:r>
      <w:r w:rsidRPr="5ADA7538">
        <w:rPr>
          <w:rFonts w:asciiTheme="majorHAnsi" w:hAnsiTheme="majorHAnsi" w:cstheme="majorBidi"/>
          <w:sz w:val="23"/>
          <w:szCs w:val="23"/>
        </w:rPr>
        <w:t xml:space="preserve">, etcetera; and “places that may disadvantage people” </w:t>
      </w:r>
      <w:r w:rsidR="005A2D27">
        <w:rPr>
          <w:rFonts w:asciiTheme="majorHAnsi" w:hAnsiTheme="majorHAnsi" w:cstheme="majorBidi"/>
          <w:sz w:val="23"/>
          <w:szCs w:val="23"/>
        </w:rPr>
        <w:t xml:space="preserve">– </w:t>
      </w:r>
      <w:r w:rsidRPr="5ADA7538">
        <w:rPr>
          <w:rFonts w:asciiTheme="majorHAnsi" w:hAnsiTheme="majorHAnsi" w:cstheme="majorBidi"/>
          <w:sz w:val="23"/>
          <w:szCs w:val="23"/>
        </w:rPr>
        <w:t xml:space="preserve">where the characteristics of an area </w:t>
      </w:r>
      <w:r w:rsidR="005A2D27">
        <w:rPr>
          <w:rFonts w:asciiTheme="majorHAnsi" w:hAnsiTheme="majorHAnsi" w:cstheme="majorBidi"/>
          <w:sz w:val="23"/>
          <w:szCs w:val="23"/>
        </w:rPr>
        <w:t xml:space="preserve">itself </w:t>
      </w:r>
      <w:r w:rsidRPr="5ADA7538">
        <w:rPr>
          <w:rFonts w:asciiTheme="majorHAnsi" w:hAnsiTheme="majorHAnsi" w:cstheme="majorBidi"/>
          <w:sz w:val="23"/>
          <w:szCs w:val="23"/>
        </w:rPr>
        <w:t>put its residents at a disadvantage</w:t>
      </w:r>
      <w:r w:rsidR="005A2D27">
        <w:rPr>
          <w:rFonts w:asciiTheme="majorHAnsi" w:hAnsiTheme="majorHAnsi" w:cstheme="majorBidi"/>
          <w:sz w:val="23"/>
          <w:szCs w:val="23"/>
        </w:rPr>
        <w:t xml:space="preserve">, </w:t>
      </w:r>
      <w:r w:rsidR="000A4848">
        <w:rPr>
          <w:rFonts w:asciiTheme="majorHAnsi" w:hAnsiTheme="majorHAnsi" w:cstheme="majorBidi"/>
          <w:sz w:val="23"/>
          <w:szCs w:val="23"/>
        </w:rPr>
        <w:t>perhaps because</w:t>
      </w:r>
      <w:r w:rsidRPr="5ADA7538">
        <w:rPr>
          <w:rFonts w:asciiTheme="majorHAnsi" w:hAnsiTheme="majorHAnsi" w:cstheme="majorBidi"/>
          <w:sz w:val="23"/>
          <w:szCs w:val="23"/>
        </w:rPr>
        <w:t xml:space="preserve"> services are limited, or the place is inaccessible/physically isolated (Cheshire et al, 2014: 2–3).</w:t>
      </w:r>
    </w:p>
    <w:p w14:paraId="19DE6959" w14:textId="77777777" w:rsidR="00232C97" w:rsidRPr="00232C97" w:rsidRDefault="00232C97" w:rsidP="0068341C">
      <w:pPr>
        <w:spacing w:after="0" w:line="276" w:lineRule="auto"/>
        <w:rPr>
          <w:rFonts w:asciiTheme="majorHAnsi" w:hAnsiTheme="majorHAnsi" w:cstheme="majorBidi"/>
          <w:sz w:val="12"/>
          <w:szCs w:val="12"/>
        </w:rPr>
      </w:pPr>
    </w:p>
    <w:p w14:paraId="187A7C36" w14:textId="26BF7453" w:rsidR="00907AB1" w:rsidRDefault="00907AB1" w:rsidP="0068341C">
      <w:pPr>
        <w:spacing w:after="0" w:line="276" w:lineRule="auto"/>
        <w:rPr>
          <w:rFonts w:asciiTheme="majorHAnsi" w:hAnsiTheme="majorHAnsi" w:cstheme="majorBidi"/>
          <w:sz w:val="23"/>
          <w:szCs w:val="23"/>
        </w:rPr>
      </w:pPr>
      <w:r w:rsidRPr="5ADA7538">
        <w:rPr>
          <w:rFonts w:asciiTheme="majorHAnsi" w:hAnsiTheme="majorHAnsi" w:cstheme="majorBidi"/>
          <w:sz w:val="23"/>
          <w:szCs w:val="23"/>
        </w:rPr>
        <w:t xml:space="preserve">These two types of disadvantage often overlap, but the distinction is worth bearing in mind when considering the </w:t>
      </w:r>
      <w:r>
        <w:rPr>
          <w:rFonts w:asciiTheme="majorHAnsi" w:hAnsiTheme="majorHAnsi" w:cstheme="majorBidi"/>
          <w:sz w:val="23"/>
          <w:szCs w:val="23"/>
        </w:rPr>
        <w:t>aims, design, and implementation</w:t>
      </w:r>
      <w:r w:rsidRPr="5ADA7538">
        <w:rPr>
          <w:rFonts w:asciiTheme="majorHAnsi" w:hAnsiTheme="majorHAnsi" w:cstheme="majorBidi"/>
          <w:sz w:val="23"/>
          <w:szCs w:val="23"/>
        </w:rPr>
        <w:t xml:space="preserve"> of place-based </w:t>
      </w:r>
      <w:r>
        <w:rPr>
          <w:rFonts w:asciiTheme="majorHAnsi" w:hAnsiTheme="majorHAnsi" w:cstheme="majorBidi"/>
          <w:sz w:val="23"/>
          <w:szCs w:val="23"/>
        </w:rPr>
        <w:t>programs in communities</w:t>
      </w:r>
      <w:r w:rsidRPr="5ADA7538">
        <w:rPr>
          <w:rFonts w:asciiTheme="majorHAnsi" w:hAnsiTheme="majorHAnsi" w:cstheme="majorBidi"/>
          <w:sz w:val="23"/>
          <w:szCs w:val="23"/>
        </w:rPr>
        <w:t xml:space="preserve">. </w:t>
      </w:r>
      <w:r w:rsidR="000A4848">
        <w:rPr>
          <w:rFonts w:asciiTheme="majorHAnsi" w:hAnsiTheme="majorHAnsi" w:cstheme="majorBidi"/>
          <w:sz w:val="23"/>
          <w:szCs w:val="23"/>
        </w:rPr>
        <w:t>It is</w:t>
      </w:r>
      <w:r w:rsidR="00680544">
        <w:rPr>
          <w:rFonts w:asciiTheme="majorHAnsi" w:hAnsiTheme="majorHAnsi" w:cstheme="majorBidi"/>
          <w:sz w:val="23"/>
          <w:szCs w:val="23"/>
        </w:rPr>
        <w:t xml:space="preserve"> also</w:t>
      </w:r>
      <w:r w:rsidR="000A4848">
        <w:rPr>
          <w:rFonts w:asciiTheme="majorHAnsi" w:hAnsiTheme="majorHAnsi" w:cstheme="majorBidi"/>
          <w:sz w:val="23"/>
          <w:szCs w:val="23"/>
        </w:rPr>
        <w:t xml:space="preserve"> important to </w:t>
      </w:r>
      <w:r w:rsidR="005074FA">
        <w:rPr>
          <w:rFonts w:asciiTheme="majorHAnsi" w:hAnsiTheme="majorHAnsi" w:cstheme="majorBidi"/>
          <w:sz w:val="23"/>
          <w:szCs w:val="23"/>
        </w:rPr>
        <w:t xml:space="preserve">acknowledge </w:t>
      </w:r>
      <w:r w:rsidR="000A4848">
        <w:rPr>
          <w:rFonts w:asciiTheme="majorHAnsi" w:hAnsiTheme="majorHAnsi" w:cstheme="majorBidi"/>
          <w:sz w:val="23"/>
          <w:szCs w:val="23"/>
        </w:rPr>
        <w:t>that</w:t>
      </w:r>
      <w:r w:rsidRPr="5ADA7538">
        <w:rPr>
          <w:rFonts w:asciiTheme="majorHAnsi" w:hAnsiTheme="majorHAnsi" w:cstheme="majorBidi"/>
          <w:sz w:val="23"/>
          <w:szCs w:val="23"/>
        </w:rPr>
        <w:t xml:space="preserve"> neighbourhood-level interventions cannot address the structural drivers of poverty; </w:t>
      </w:r>
      <w:r w:rsidR="00490332">
        <w:rPr>
          <w:rFonts w:asciiTheme="majorHAnsi" w:hAnsiTheme="majorHAnsi" w:cstheme="majorBidi"/>
          <w:sz w:val="23"/>
          <w:szCs w:val="23"/>
        </w:rPr>
        <w:t>effective</w:t>
      </w:r>
      <w:r w:rsidR="00836C16">
        <w:rPr>
          <w:rFonts w:asciiTheme="majorHAnsi" w:hAnsiTheme="majorHAnsi" w:cstheme="majorBidi"/>
          <w:sz w:val="23"/>
          <w:szCs w:val="23"/>
        </w:rPr>
        <w:t xml:space="preserve"> local </w:t>
      </w:r>
      <w:r w:rsidRPr="5ADA7538">
        <w:rPr>
          <w:rFonts w:asciiTheme="majorHAnsi" w:hAnsiTheme="majorHAnsi" w:cstheme="majorBidi"/>
          <w:sz w:val="23"/>
          <w:szCs w:val="23"/>
        </w:rPr>
        <w:t xml:space="preserve">action </w:t>
      </w:r>
      <w:r>
        <w:rPr>
          <w:rFonts w:asciiTheme="majorHAnsi" w:hAnsiTheme="majorHAnsi" w:cstheme="majorBidi"/>
          <w:sz w:val="23"/>
          <w:szCs w:val="23"/>
        </w:rPr>
        <w:t>must</w:t>
      </w:r>
      <w:r w:rsidRPr="5ADA7538">
        <w:rPr>
          <w:rFonts w:asciiTheme="majorHAnsi" w:hAnsiTheme="majorHAnsi" w:cstheme="majorBidi"/>
          <w:sz w:val="23"/>
          <w:szCs w:val="23"/>
        </w:rPr>
        <w:t xml:space="preserve"> be connected to broader contexts, including regional and national policy (Taylor et al</w:t>
      </w:r>
      <w:r>
        <w:rPr>
          <w:rFonts w:asciiTheme="majorHAnsi" w:hAnsiTheme="majorHAnsi" w:cstheme="majorBidi"/>
          <w:sz w:val="23"/>
          <w:szCs w:val="23"/>
        </w:rPr>
        <w:t>.</w:t>
      </w:r>
      <w:r w:rsidRPr="5ADA7538">
        <w:rPr>
          <w:rFonts w:asciiTheme="majorHAnsi" w:hAnsiTheme="majorHAnsi" w:cstheme="majorBidi"/>
          <w:sz w:val="23"/>
          <w:szCs w:val="23"/>
        </w:rPr>
        <w:t>, 2017).</w:t>
      </w:r>
    </w:p>
    <w:p w14:paraId="17043BE5" w14:textId="77777777" w:rsidR="00907AB1" w:rsidRPr="00EF7E59" w:rsidRDefault="00907AB1" w:rsidP="0068341C">
      <w:pPr>
        <w:spacing w:after="0" w:line="276" w:lineRule="auto"/>
        <w:rPr>
          <w:rFonts w:asciiTheme="majorHAnsi" w:hAnsiTheme="majorHAnsi" w:cstheme="majorBidi"/>
          <w:sz w:val="16"/>
          <w:szCs w:val="16"/>
        </w:rPr>
      </w:pPr>
    </w:p>
    <w:p w14:paraId="2E167662" w14:textId="29D99C7A" w:rsidR="0068341C" w:rsidRDefault="00C3589B" w:rsidP="0068341C">
      <w:pPr>
        <w:spacing w:after="0" w:line="276" w:lineRule="auto"/>
        <w:rPr>
          <w:rFonts w:asciiTheme="majorHAnsi" w:hAnsiTheme="majorHAnsi" w:cstheme="majorBidi"/>
          <w:sz w:val="23"/>
          <w:szCs w:val="23"/>
        </w:rPr>
      </w:pPr>
      <w:r>
        <w:rPr>
          <w:rFonts w:asciiTheme="majorHAnsi" w:hAnsiTheme="majorHAnsi" w:cstheme="majorBidi"/>
          <w:sz w:val="23"/>
          <w:szCs w:val="23"/>
        </w:rPr>
        <w:t>O</w:t>
      </w:r>
      <w:r w:rsidR="00C42FDD">
        <w:rPr>
          <w:rFonts w:asciiTheme="majorHAnsi" w:hAnsiTheme="majorHAnsi" w:cstheme="majorBidi"/>
          <w:sz w:val="23"/>
          <w:szCs w:val="23"/>
        </w:rPr>
        <w:t xml:space="preserve">ther </w:t>
      </w:r>
      <w:r w:rsidR="00A25A69">
        <w:rPr>
          <w:rFonts w:asciiTheme="majorHAnsi" w:hAnsiTheme="majorHAnsi" w:cstheme="majorBidi"/>
          <w:sz w:val="23"/>
          <w:szCs w:val="23"/>
        </w:rPr>
        <w:t>studies</w:t>
      </w:r>
      <w:r w:rsidR="00583814">
        <w:rPr>
          <w:rFonts w:asciiTheme="majorHAnsi" w:hAnsiTheme="majorHAnsi" w:cstheme="majorBidi"/>
          <w:sz w:val="23"/>
          <w:szCs w:val="23"/>
        </w:rPr>
        <w:t xml:space="preserve"> </w:t>
      </w:r>
      <w:r w:rsidR="00EF7E59">
        <w:rPr>
          <w:rFonts w:asciiTheme="majorHAnsi" w:hAnsiTheme="majorHAnsi" w:cstheme="majorBidi"/>
          <w:sz w:val="23"/>
          <w:szCs w:val="23"/>
        </w:rPr>
        <w:t>emphasise</w:t>
      </w:r>
      <w:r w:rsidR="007D66C4" w:rsidRPr="5ADA7538">
        <w:rPr>
          <w:rFonts w:asciiTheme="majorHAnsi" w:hAnsiTheme="majorHAnsi" w:cstheme="majorBidi"/>
          <w:sz w:val="23"/>
          <w:szCs w:val="23"/>
        </w:rPr>
        <w:t xml:space="preserve"> the importance of avoiding a </w:t>
      </w:r>
      <w:r w:rsidR="00232C97">
        <w:rPr>
          <w:rFonts w:asciiTheme="majorHAnsi" w:hAnsiTheme="majorHAnsi" w:cstheme="majorBidi"/>
          <w:sz w:val="23"/>
          <w:szCs w:val="23"/>
        </w:rPr>
        <w:t>“</w:t>
      </w:r>
      <w:r w:rsidR="007D66C4" w:rsidRPr="5ADA7538">
        <w:rPr>
          <w:rFonts w:asciiTheme="majorHAnsi" w:hAnsiTheme="majorHAnsi" w:cstheme="majorBidi"/>
          <w:sz w:val="23"/>
          <w:szCs w:val="23"/>
        </w:rPr>
        <w:t>deficit mindset</w:t>
      </w:r>
      <w:r w:rsidR="00232C97">
        <w:rPr>
          <w:rFonts w:asciiTheme="majorHAnsi" w:hAnsiTheme="majorHAnsi" w:cstheme="majorBidi"/>
          <w:sz w:val="23"/>
          <w:szCs w:val="23"/>
        </w:rPr>
        <w:t>”</w:t>
      </w:r>
      <w:r w:rsidR="007D66C4" w:rsidRPr="5ADA7538">
        <w:rPr>
          <w:rFonts w:asciiTheme="majorHAnsi" w:hAnsiTheme="majorHAnsi" w:cstheme="majorBidi"/>
          <w:sz w:val="23"/>
          <w:szCs w:val="23"/>
        </w:rPr>
        <w:t xml:space="preserve"> </w:t>
      </w:r>
      <w:r w:rsidR="00A25A69">
        <w:rPr>
          <w:rFonts w:asciiTheme="majorHAnsi" w:hAnsiTheme="majorHAnsi" w:cstheme="majorBidi"/>
          <w:sz w:val="23"/>
          <w:szCs w:val="23"/>
        </w:rPr>
        <w:t>in</w:t>
      </w:r>
      <w:r w:rsidR="004F2EF3">
        <w:rPr>
          <w:rFonts w:asciiTheme="majorHAnsi" w:hAnsiTheme="majorHAnsi" w:cstheme="majorBidi"/>
          <w:sz w:val="23"/>
          <w:szCs w:val="23"/>
        </w:rPr>
        <w:t xml:space="preserve"> developing</w:t>
      </w:r>
      <w:r w:rsidR="002B3CDF">
        <w:rPr>
          <w:rFonts w:asciiTheme="majorHAnsi" w:hAnsiTheme="majorHAnsi" w:cstheme="majorBidi"/>
          <w:sz w:val="23"/>
          <w:szCs w:val="23"/>
        </w:rPr>
        <w:t xml:space="preserve"> place-based policy responses</w:t>
      </w:r>
      <w:r w:rsidR="00536E1A">
        <w:rPr>
          <w:rFonts w:asciiTheme="majorHAnsi" w:hAnsiTheme="majorHAnsi" w:cstheme="majorBidi"/>
          <w:sz w:val="23"/>
          <w:szCs w:val="23"/>
        </w:rPr>
        <w:t xml:space="preserve"> and</w:t>
      </w:r>
      <w:r w:rsidR="004F2EF3">
        <w:rPr>
          <w:rFonts w:asciiTheme="majorHAnsi" w:hAnsiTheme="majorHAnsi" w:cstheme="majorBidi"/>
          <w:sz w:val="23"/>
          <w:szCs w:val="23"/>
        </w:rPr>
        <w:t xml:space="preserve"> </w:t>
      </w:r>
      <w:r w:rsidR="001F295F">
        <w:rPr>
          <w:rFonts w:asciiTheme="majorHAnsi" w:hAnsiTheme="majorHAnsi" w:cstheme="majorBidi"/>
          <w:sz w:val="23"/>
          <w:szCs w:val="23"/>
        </w:rPr>
        <w:t xml:space="preserve">social equity programs </w:t>
      </w:r>
      <w:r w:rsidR="007D66C4" w:rsidRPr="5ADA7538">
        <w:rPr>
          <w:rFonts w:asciiTheme="majorHAnsi" w:hAnsiTheme="majorHAnsi" w:cstheme="majorBidi"/>
          <w:sz w:val="23"/>
          <w:szCs w:val="23"/>
        </w:rPr>
        <w:t>(Churchill et al, 2012: 30; Taylor et al, 2017). So</w:t>
      </w:r>
      <w:r w:rsidR="007D66C4">
        <w:rPr>
          <w:rFonts w:asciiTheme="majorHAnsi" w:hAnsiTheme="majorHAnsi" w:cstheme="majorBidi"/>
          <w:sz w:val="23"/>
          <w:szCs w:val="23"/>
        </w:rPr>
        <w:t>me so</w:t>
      </w:r>
      <w:r w:rsidR="007D66C4" w:rsidRPr="5ADA7538">
        <w:rPr>
          <w:rFonts w:asciiTheme="majorHAnsi" w:hAnsiTheme="majorHAnsi" w:cstheme="majorBidi"/>
          <w:sz w:val="23"/>
          <w:szCs w:val="23"/>
        </w:rPr>
        <w:t>-called “disadvantaged” communities may reject that label outright, viewing it as patronising, counterproductive, or inaccurate</w:t>
      </w:r>
      <w:r w:rsidR="00B745C4">
        <w:rPr>
          <w:rFonts w:asciiTheme="majorHAnsi" w:hAnsiTheme="majorHAnsi" w:cstheme="majorBidi"/>
          <w:sz w:val="23"/>
          <w:szCs w:val="23"/>
        </w:rPr>
        <w:t xml:space="preserve"> (</w:t>
      </w:r>
      <w:proofErr w:type="spellStart"/>
      <w:r w:rsidR="00B745C4">
        <w:rPr>
          <w:rFonts w:asciiTheme="majorHAnsi" w:hAnsiTheme="majorHAnsi" w:cstheme="majorBidi"/>
          <w:sz w:val="23"/>
          <w:szCs w:val="23"/>
        </w:rPr>
        <w:t>Pyett</w:t>
      </w:r>
      <w:proofErr w:type="spellEnd"/>
      <w:r w:rsidR="00B745C4">
        <w:rPr>
          <w:rFonts w:asciiTheme="majorHAnsi" w:hAnsiTheme="majorHAnsi" w:cstheme="majorBidi"/>
          <w:sz w:val="23"/>
          <w:szCs w:val="23"/>
        </w:rPr>
        <w:t xml:space="preserve">, 2002: </w:t>
      </w:r>
      <w:r w:rsidR="002F653C">
        <w:rPr>
          <w:rFonts w:asciiTheme="majorHAnsi" w:hAnsiTheme="majorHAnsi" w:cstheme="majorBidi"/>
          <w:sz w:val="23"/>
          <w:szCs w:val="23"/>
        </w:rPr>
        <w:t>332–</w:t>
      </w:r>
      <w:r w:rsidR="00B745C4">
        <w:rPr>
          <w:rFonts w:asciiTheme="majorHAnsi" w:hAnsiTheme="majorHAnsi" w:cstheme="majorBidi"/>
          <w:sz w:val="23"/>
          <w:szCs w:val="23"/>
        </w:rPr>
        <w:t>333)</w:t>
      </w:r>
      <w:r w:rsidR="007D66C4" w:rsidRPr="5ADA7538">
        <w:rPr>
          <w:rFonts w:asciiTheme="majorHAnsi" w:hAnsiTheme="majorHAnsi" w:cstheme="majorBidi"/>
          <w:sz w:val="23"/>
          <w:szCs w:val="23"/>
        </w:rPr>
        <w:t>. The reality is that every “disadvantaged” area has its own unique characteristics and strengths, and resident populations often harbour significant social capital, community pride, dynamism</w:t>
      </w:r>
      <w:r w:rsidR="004361B1">
        <w:rPr>
          <w:rFonts w:asciiTheme="majorHAnsi" w:hAnsiTheme="majorHAnsi" w:cstheme="majorBidi"/>
          <w:sz w:val="23"/>
          <w:szCs w:val="23"/>
        </w:rPr>
        <w:t>, and talent</w:t>
      </w:r>
      <w:r w:rsidR="007D66C4" w:rsidRPr="5ADA7538">
        <w:rPr>
          <w:rFonts w:asciiTheme="majorHAnsi" w:hAnsiTheme="majorHAnsi" w:cstheme="majorBidi"/>
          <w:sz w:val="23"/>
          <w:szCs w:val="23"/>
        </w:rPr>
        <w:t xml:space="preserve"> (Cheshire et al, 2014: 94). Overlooking these positive attributes not only risks </w:t>
      </w:r>
      <w:r w:rsidR="00E21473" w:rsidRPr="5ADA7538">
        <w:rPr>
          <w:rFonts w:asciiTheme="majorHAnsi" w:hAnsiTheme="majorHAnsi" w:cstheme="majorBidi"/>
          <w:sz w:val="23"/>
          <w:szCs w:val="23"/>
        </w:rPr>
        <w:t>disempowering residents</w:t>
      </w:r>
      <w:r w:rsidR="00F422F1">
        <w:rPr>
          <w:rFonts w:asciiTheme="majorHAnsi" w:hAnsiTheme="majorHAnsi" w:cstheme="majorBidi"/>
          <w:sz w:val="23"/>
          <w:szCs w:val="23"/>
        </w:rPr>
        <w:t>, eroding</w:t>
      </w:r>
      <w:r w:rsidR="00970F8A">
        <w:rPr>
          <w:rFonts w:asciiTheme="majorHAnsi" w:hAnsiTheme="majorHAnsi" w:cstheme="majorBidi"/>
          <w:sz w:val="23"/>
          <w:szCs w:val="23"/>
        </w:rPr>
        <w:t xml:space="preserve"> mutual</w:t>
      </w:r>
      <w:r w:rsidR="00F422F1">
        <w:rPr>
          <w:rFonts w:asciiTheme="majorHAnsi" w:hAnsiTheme="majorHAnsi" w:cstheme="majorBidi"/>
          <w:sz w:val="23"/>
          <w:szCs w:val="23"/>
        </w:rPr>
        <w:t xml:space="preserve"> respect,</w:t>
      </w:r>
      <w:r w:rsidR="00E21473" w:rsidRPr="5ADA7538">
        <w:rPr>
          <w:rFonts w:asciiTheme="majorHAnsi" w:hAnsiTheme="majorHAnsi" w:cstheme="majorBidi"/>
          <w:sz w:val="23"/>
          <w:szCs w:val="23"/>
        </w:rPr>
        <w:t xml:space="preserve"> </w:t>
      </w:r>
      <w:r w:rsidR="00E21473">
        <w:rPr>
          <w:rFonts w:asciiTheme="majorHAnsi" w:hAnsiTheme="majorHAnsi" w:cstheme="majorBidi"/>
          <w:sz w:val="23"/>
          <w:szCs w:val="23"/>
        </w:rPr>
        <w:t xml:space="preserve">and </w:t>
      </w:r>
      <w:r w:rsidR="007D66C4" w:rsidRPr="5ADA7538">
        <w:rPr>
          <w:rFonts w:asciiTheme="majorHAnsi" w:hAnsiTheme="majorHAnsi" w:cstheme="majorBidi"/>
          <w:sz w:val="23"/>
          <w:szCs w:val="23"/>
        </w:rPr>
        <w:t>perpetuating place-based stigma</w:t>
      </w:r>
      <w:r w:rsidR="004361B1">
        <w:rPr>
          <w:rFonts w:asciiTheme="majorHAnsi" w:hAnsiTheme="majorHAnsi" w:cstheme="majorBidi"/>
          <w:sz w:val="23"/>
          <w:szCs w:val="23"/>
        </w:rPr>
        <w:t>; it</w:t>
      </w:r>
      <w:r w:rsidR="007D66C4" w:rsidRPr="5ADA7538">
        <w:rPr>
          <w:rFonts w:asciiTheme="majorHAnsi" w:hAnsiTheme="majorHAnsi" w:cstheme="majorBidi"/>
          <w:sz w:val="23"/>
          <w:szCs w:val="23"/>
        </w:rPr>
        <w:t xml:space="preserve"> also represents a missed opportunity.</w:t>
      </w:r>
    </w:p>
    <w:p w14:paraId="589FB272" w14:textId="77777777" w:rsidR="0068341C" w:rsidRPr="00EF7E59" w:rsidRDefault="0068341C" w:rsidP="0068341C">
      <w:pPr>
        <w:spacing w:after="0" w:line="276" w:lineRule="auto"/>
        <w:rPr>
          <w:rFonts w:asciiTheme="majorHAnsi" w:hAnsiTheme="majorHAnsi" w:cstheme="majorBidi"/>
          <w:sz w:val="16"/>
          <w:szCs w:val="16"/>
        </w:rPr>
      </w:pPr>
    </w:p>
    <w:p w14:paraId="7282D04F" w14:textId="26AD8E2E" w:rsidR="00F00E3D" w:rsidRPr="00E51316" w:rsidRDefault="005C50F2" w:rsidP="0068341C">
      <w:pPr>
        <w:spacing w:after="0" w:line="276" w:lineRule="auto"/>
        <w:rPr>
          <w:rFonts w:ascii="Calibri Light" w:eastAsia="Calibri Light" w:hAnsi="Calibri Light" w:cs="Calibri Light"/>
          <w:sz w:val="23"/>
          <w:szCs w:val="23"/>
        </w:rPr>
        <w:sectPr w:rsidR="00F00E3D" w:rsidRPr="00E51316" w:rsidSect="009452E8">
          <w:pgSz w:w="11906" w:h="16838"/>
          <w:pgMar w:top="1134" w:right="1134" w:bottom="1134" w:left="1134" w:header="709" w:footer="709" w:gutter="0"/>
          <w:cols w:space="708"/>
          <w:docGrid w:linePitch="360"/>
        </w:sectPr>
      </w:pPr>
      <w:r>
        <w:rPr>
          <w:rFonts w:asciiTheme="majorHAnsi" w:hAnsiTheme="majorHAnsi" w:cstheme="majorBidi"/>
          <w:sz w:val="23"/>
          <w:szCs w:val="23"/>
        </w:rPr>
        <w:t>Both those prior studies and our Case Studies research reinforce an</w:t>
      </w:r>
      <w:r w:rsidR="0068341C">
        <w:rPr>
          <w:rFonts w:asciiTheme="majorHAnsi" w:hAnsiTheme="majorHAnsi" w:cstheme="majorBidi"/>
          <w:sz w:val="23"/>
          <w:szCs w:val="23"/>
        </w:rPr>
        <w:t xml:space="preserve"> important point </w:t>
      </w:r>
      <w:proofErr w:type="gramStart"/>
      <w:r w:rsidR="0068341C">
        <w:rPr>
          <w:rFonts w:asciiTheme="majorHAnsi" w:hAnsiTheme="majorHAnsi" w:cstheme="majorBidi"/>
          <w:sz w:val="23"/>
          <w:szCs w:val="23"/>
        </w:rPr>
        <w:t>emerges:</w:t>
      </w:r>
      <w:proofErr w:type="gramEnd"/>
      <w:r w:rsidR="00C3589B">
        <w:rPr>
          <w:rFonts w:asciiTheme="majorHAnsi" w:hAnsiTheme="majorHAnsi" w:cstheme="majorBidi"/>
          <w:sz w:val="23"/>
          <w:szCs w:val="23"/>
        </w:rPr>
        <w:t xml:space="preserve"> in order to</w:t>
      </w:r>
      <w:r w:rsidR="00583814">
        <w:rPr>
          <w:rFonts w:asciiTheme="majorHAnsi" w:hAnsiTheme="majorHAnsi" w:cstheme="majorBidi"/>
          <w:sz w:val="23"/>
          <w:szCs w:val="23"/>
        </w:rPr>
        <w:t xml:space="preserve"> deliver</w:t>
      </w:r>
      <w:r w:rsidR="00583814" w:rsidRPr="00E21473">
        <w:rPr>
          <w:rFonts w:asciiTheme="majorHAnsi" w:hAnsiTheme="majorHAnsi" w:cstheme="majorBidi"/>
          <w:sz w:val="23"/>
          <w:szCs w:val="23"/>
        </w:rPr>
        <w:t xml:space="preserve"> meaningful</w:t>
      </w:r>
      <w:r w:rsidR="003808F7">
        <w:rPr>
          <w:rFonts w:asciiTheme="majorHAnsi" w:hAnsiTheme="majorHAnsi" w:cstheme="majorBidi"/>
          <w:sz w:val="23"/>
          <w:szCs w:val="23"/>
        </w:rPr>
        <w:t xml:space="preserve"> </w:t>
      </w:r>
      <w:r w:rsidR="00583814" w:rsidRPr="00E21473">
        <w:rPr>
          <w:rFonts w:asciiTheme="majorHAnsi" w:hAnsiTheme="majorHAnsi" w:cstheme="majorBidi"/>
          <w:sz w:val="23"/>
          <w:szCs w:val="23"/>
        </w:rPr>
        <w:t>and lasting benefits</w:t>
      </w:r>
      <w:r w:rsidR="00DA6854">
        <w:rPr>
          <w:rFonts w:asciiTheme="majorHAnsi" w:hAnsiTheme="majorHAnsi" w:cstheme="majorBidi"/>
          <w:sz w:val="23"/>
          <w:szCs w:val="23"/>
        </w:rPr>
        <w:t xml:space="preserve"> for a</w:t>
      </w:r>
      <w:r w:rsidR="00330B39">
        <w:rPr>
          <w:rFonts w:asciiTheme="majorHAnsi" w:hAnsiTheme="majorHAnsi" w:cstheme="majorBidi"/>
          <w:sz w:val="23"/>
          <w:szCs w:val="23"/>
        </w:rPr>
        <w:t xml:space="preserve"> particular</w:t>
      </w:r>
      <w:r w:rsidR="00DA6854">
        <w:rPr>
          <w:rFonts w:asciiTheme="majorHAnsi" w:hAnsiTheme="majorHAnsi" w:cstheme="majorBidi"/>
          <w:sz w:val="23"/>
          <w:szCs w:val="23"/>
        </w:rPr>
        <w:t xml:space="preserve"> community</w:t>
      </w:r>
      <w:r w:rsidR="00583814">
        <w:rPr>
          <w:rFonts w:asciiTheme="majorHAnsi" w:hAnsiTheme="majorHAnsi" w:cstheme="majorBidi"/>
          <w:sz w:val="23"/>
          <w:szCs w:val="23"/>
        </w:rPr>
        <w:t xml:space="preserve">, </w:t>
      </w:r>
      <w:r w:rsidR="00C3589B">
        <w:rPr>
          <w:rFonts w:asciiTheme="majorHAnsi" w:hAnsiTheme="majorHAnsi" w:cstheme="majorBidi"/>
          <w:sz w:val="23"/>
          <w:szCs w:val="23"/>
        </w:rPr>
        <w:t>place-based interventions</w:t>
      </w:r>
      <w:r w:rsidR="00330B39">
        <w:rPr>
          <w:rFonts w:asciiTheme="majorHAnsi" w:hAnsiTheme="majorHAnsi" w:cstheme="majorBidi"/>
          <w:sz w:val="23"/>
          <w:szCs w:val="23"/>
        </w:rPr>
        <w:t xml:space="preserve"> must first seek</w:t>
      </w:r>
      <w:r w:rsidR="000E7333">
        <w:rPr>
          <w:rFonts w:asciiTheme="majorHAnsi" w:hAnsiTheme="majorHAnsi" w:cstheme="majorBidi"/>
          <w:sz w:val="23"/>
          <w:szCs w:val="23"/>
        </w:rPr>
        <w:t xml:space="preserve"> to </w:t>
      </w:r>
      <w:r w:rsidR="00583814">
        <w:rPr>
          <w:rFonts w:asciiTheme="majorHAnsi" w:hAnsiTheme="majorHAnsi" w:cstheme="majorBidi"/>
          <w:sz w:val="23"/>
          <w:szCs w:val="23"/>
        </w:rPr>
        <w:t>recognise</w:t>
      </w:r>
      <w:r w:rsidR="00001550">
        <w:rPr>
          <w:rFonts w:asciiTheme="majorHAnsi" w:hAnsiTheme="majorHAnsi" w:cstheme="majorBidi"/>
          <w:sz w:val="23"/>
          <w:szCs w:val="23"/>
        </w:rPr>
        <w:t xml:space="preserve"> </w:t>
      </w:r>
      <w:r w:rsidR="00E9342A">
        <w:rPr>
          <w:rFonts w:asciiTheme="majorHAnsi" w:hAnsiTheme="majorHAnsi" w:cstheme="majorBidi"/>
          <w:sz w:val="23"/>
          <w:szCs w:val="23"/>
        </w:rPr>
        <w:t>and</w:t>
      </w:r>
      <w:r w:rsidR="00330B39">
        <w:rPr>
          <w:rFonts w:asciiTheme="majorHAnsi" w:hAnsiTheme="majorHAnsi" w:cstheme="majorBidi"/>
          <w:sz w:val="23"/>
          <w:szCs w:val="23"/>
        </w:rPr>
        <w:t xml:space="preserve"> </w:t>
      </w:r>
      <w:r w:rsidR="00583814" w:rsidRPr="5ADA7538">
        <w:rPr>
          <w:rFonts w:asciiTheme="majorHAnsi" w:hAnsiTheme="majorHAnsi" w:cstheme="majorBidi"/>
          <w:sz w:val="23"/>
          <w:szCs w:val="23"/>
        </w:rPr>
        <w:t xml:space="preserve">build </w:t>
      </w:r>
      <w:r w:rsidR="00583814">
        <w:rPr>
          <w:rFonts w:asciiTheme="majorHAnsi" w:hAnsiTheme="majorHAnsi" w:cstheme="majorBidi"/>
          <w:sz w:val="23"/>
          <w:szCs w:val="23"/>
        </w:rPr>
        <w:t>up</w:t>
      </w:r>
      <w:r w:rsidR="00583814" w:rsidRPr="5ADA7538">
        <w:rPr>
          <w:rFonts w:asciiTheme="majorHAnsi" w:hAnsiTheme="majorHAnsi" w:cstheme="majorBidi"/>
          <w:sz w:val="23"/>
          <w:szCs w:val="23"/>
        </w:rPr>
        <w:t xml:space="preserve">on </w:t>
      </w:r>
      <w:r w:rsidR="00583814">
        <w:rPr>
          <w:rFonts w:asciiTheme="majorHAnsi" w:hAnsiTheme="majorHAnsi" w:cstheme="majorBidi"/>
          <w:sz w:val="23"/>
          <w:szCs w:val="23"/>
        </w:rPr>
        <w:t>th</w:t>
      </w:r>
      <w:r w:rsidR="009D05EC">
        <w:rPr>
          <w:rFonts w:asciiTheme="majorHAnsi" w:hAnsiTheme="majorHAnsi" w:cstheme="majorBidi"/>
          <w:sz w:val="23"/>
          <w:szCs w:val="23"/>
        </w:rPr>
        <w:t>at</w:t>
      </w:r>
      <w:r w:rsidR="00583814">
        <w:rPr>
          <w:rFonts w:asciiTheme="majorHAnsi" w:hAnsiTheme="majorHAnsi" w:cstheme="majorBidi"/>
          <w:sz w:val="23"/>
          <w:szCs w:val="23"/>
        </w:rPr>
        <w:t xml:space="preserve"> </w:t>
      </w:r>
      <w:r w:rsidR="00583814" w:rsidRPr="5ADA7538">
        <w:rPr>
          <w:rFonts w:asciiTheme="majorHAnsi" w:hAnsiTheme="majorHAnsi" w:cstheme="majorBidi"/>
          <w:sz w:val="23"/>
          <w:szCs w:val="23"/>
        </w:rPr>
        <w:t>community’s existing assets, knowledge, and strengths</w:t>
      </w:r>
      <w:r w:rsidR="00E51316">
        <w:rPr>
          <w:rFonts w:asciiTheme="majorHAnsi" w:hAnsiTheme="majorHAnsi" w:cstheme="majorBidi"/>
          <w:sz w:val="23"/>
          <w:szCs w:val="23"/>
        </w:rPr>
        <w:t>.</w:t>
      </w:r>
    </w:p>
    <w:p w14:paraId="336CF77B" w14:textId="0BF6766C" w:rsidR="00F00E3D" w:rsidRPr="003710F5" w:rsidRDefault="00F00E3D" w:rsidP="00B035B6">
      <w:pPr>
        <w:pStyle w:val="Title"/>
        <w:rPr>
          <w:rFonts w:cstheme="minorHAnsi"/>
          <w:color w:val="2F5496" w:themeColor="accent1" w:themeShade="BF"/>
        </w:rPr>
      </w:pPr>
      <w:bookmarkStart w:id="80" w:name="OLE_LINKPartTwo"/>
      <w:r w:rsidRPr="003710F5">
        <w:rPr>
          <w:rFonts w:cstheme="minorHAnsi"/>
          <w:color w:val="2F5496" w:themeColor="accent1" w:themeShade="BF"/>
        </w:rPr>
        <w:lastRenderedPageBreak/>
        <w:t>P</w:t>
      </w:r>
      <w:r w:rsidR="00FE53A2">
        <w:rPr>
          <w:rFonts w:cstheme="minorHAnsi"/>
          <w:color w:val="2F5496" w:themeColor="accent1" w:themeShade="BF"/>
        </w:rPr>
        <w:t>ART</w:t>
      </w:r>
      <w:r w:rsidRPr="003710F5">
        <w:rPr>
          <w:rFonts w:cstheme="minorHAnsi"/>
          <w:color w:val="2F5496" w:themeColor="accent1" w:themeShade="BF"/>
        </w:rPr>
        <w:t xml:space="preserve"> </w:t>
      </w:r>
      <w:r w:rsidR="00626536" w:rsidRPr="003710F5">
        <w:rPr>
          <w:rFonts w:cstheme="minorHAnsi"/>
          <w:color w:val="2F5496" w:themeColor="accent1" w:themeShade="BF"/>
        </w:rPr>
        <w:t>B</w:t>
      </w:r>
      <w:r w:rsidRPr="003710F5">
        <w:rPr>
          <w:rFonts w:cstheme="minorHAnsi"/>
          <w:color w:val="2F5496" w:themeColor="accent1" w:themeShade="BF"/>
        </w:rPr>
        <w:t xml:space="preserve">: </w:t>
      </w:r>
      <w:r w:rsidR="00940D80" w:rsidRPr="003710F5">
        <w:rPr>
          <w:rFonts w:cstheme="minorHAnsi"/>
          <w:color w:val="2F5496" w:themeColor="accent1" w:themeShade="BF"/>
        </w:rPr>
        <w:t>COVID</w:t>
      </w:r>
      <w:r w:rsidRPr="003710F5">
        <w:rPr>
          <w:rFonts w:cstheme="minorHAnsi"/>
          <w:color w:val="2F5496" w:themeColor="accent1" w:themeShade="BF"/>
        </w:rPr>
        <w:t xml:space="preserve">-19 </w:t>
      </w:r>
      <w:bookmarkEnd w:id="80"/>
      <w:r w:rsidR="007A393F" w:rsidRPr="003710F5">
        <w:rPr>
          <w:rFonts w:cstheme="minorHAnsi"/>
          <w:color w:val="2F5496" w:themeColor="accent1" w:themeShade="BF"/>
        </w:rPr>
        <w:t>Impact Study</w:t>
      </w:r>
    </w:p>
    <w:p w14:paraId="765EF788" w14:textId="77777777" w:rsidR="00F00E3D" w:rsidRPr="00CE2E4E" w:rsidRDefault="00F00E3D" w:rsidP="00CE2E4E">
      <w:pPr>
        <w:pStyle w:val="Default"/>
        <w:spacing w:line="276" w:lineRule="auto"/>
        <w:rPr>
          <w:rFonts w:asciiTheme="majorHAnsi" w:hAnsiTheme="majorHAnsi" w:cstheme="majorHAnsi"/>
          <w:sz w:val="12"/>
          <w:szCs w:val="12"/>
        </w:rPr>
      </w:pPr>
    </w:p>
    <w:p w14:paraId="64E6075A" w14:textId="7DE55DEE" w:rsidR="001812D0" w:rsidRDefault="00F00E3D" w:rsidP="00CE2E4E">
      <w:pPr>
        <w:pStyle w:val="Default"/>
        <w:spacing w:line="276" w:lineRule="auto"/>
        <w:rPr>
          <w:rFonts w:asciiTheme="majorHAnsi" w:hAnsiTheme="majorHAnsi" w:cstheme="majorBidi"/>
          <w:sz w:val="23"/>
          <w:szCs w:val="23"/>
        </w:rPr>
      </w:pPr>
      <w:r w:rsidRPr="47C6F23B">
        <w:rPr>
          <w:rFonts w:asciiTheme="majorHAnsi" w:hAnsiTheme="majorHAnsi" w:cstheme="majorBidi"/>
          <w:sz w:val="23"/>
          <w:szCs w:val="23"/>
        </w:rPr>
        <w:t xml:space="preserve">Part </w:t>
      </w:r>
      <w:r w:rsidR="002B2BA9">
        <w:rPr>
          <w:rFonts w:asciiTheme="majorHAnsi" w:hAnsiTheme="majorHAnsi" w:cstheme="majorBidi"/>
          <w:sz w:val="23"/>
          <w:szCs w:val="23"/>
        </w:rPr>
        <w:t>B</w:t>
      </w:r>
      <w:r w:rsidR="00B95D86">
        <w:rPr>
          <w:rFonts w:asciiTheme="majorHAnsi" w:hAnsiTheme="majorHAnsi" w:cstheme="majorBidi"/>
          <w:sz w:val="23"/>
          <w:szCs w:val="23"/>
        </w:rPr>
        <w:t xml:space="preserve"> of this report</w:t>
      </w:r>
      <w:r w:rsidR="002B2BA9">
        <w:rPr>
          <w:rFonts w:asciiTheme="majorHAnsi" w:hAnsiTheme="majorHAnsi" w:cstheme="majorBidi"/>
          <w:sz w:val="23"/>
          <w:szCs w:val="23"/>
        </w:rPr>
        <w:t xml:space="preserve"> </w:t>
      </w:r>
      <w:r w:rsidRPr="47C6F23B">
        <w:rPr>
          <w:rFonts w:asciiTheme="majorHAnsi" w:hAnsiTheme="majorHAnsi" w:cstheme="majorBidi"/>
          <w:sz w:val="23"/>
          <w:szCs w:val="23"/>
        </w:rPr>
        <w:t>comprise</w:t>
      </w:r>
      <w:r w:rsidR="00FC27F0">
        <w:rPr>
          <w:rFonts w:asciiTheme="majorHAnsi" w:hAnsiTheme="majorHAnsi" w:cstheme="majorBidi"/>
          <w:sz w:val="23"/>
          <w:szCs w:val="23"/>
        </w:rPr>
        <w:t>s</w:t>
      </w:r>
      <w:r w:rsidRPr="47C6F23B">
        <w:rPr>
          <w:rFonts w:asciiTheme="majorHAnsi" w:hAnsiTheme="majorHAnsi" w:cstheme="majorBidi"/>
          <w:sz w:val="23"/>
          <w:szCs w:val="23"/>
        </w:rPr>
        <w:t xml:space="preserve"> a</w:t>
      </w:r>
      <w:r w:rsidR="00BB3A71">
        <w:rPr>
          <w:rFonts w:asciiTheme="majorHAnsi" w:hAnsiTheme="majorHAnsi" w:cstheme="majorBidi"/>
          <w:sz w:val="23"/>
          <w:szCs w:val="23"/>
        </w:rPr>
        <w:t>n analysis of</w:t>
      </w:r>
      <w:r w:rsidRPr="47C6F23B">
        <w:rPr>
          <w:rFonts w:asciiTheme="majorHAnsi" w:hAnsiTheme="majorHAnsi" w:cstheme="majorBidi"/>
          <w:sz w:val="23"/>
          <w:szCs w:val="23"/>
        </w:rPr>
        <w:t xml:space="preserve"> </w:t>
      </w:r>
      <w:r w:rsidR="00940D80">
        <w:rPr>
          <w:rFonts w:asciiTheme="majorHAnsi" w:hAnsiTheme="majorHAnsi" w:cstheme="majorBidi"/>
          <w:sz w:val="23"/>
          <w:szCs w:val="23"/>
        </w:rPr>
        <w:t>COVID</w:t>
      </w:r>
      <w:r w:rsidRPr="47C6F23B">
        <w:rPr>
          <w:rFonts w:asciiTheme="majorHAnsi" w:hAnsiTheme="majorHAnsi" w:cstheme="majorBidi"/>
          <w:sz w:val="23"/>
          <w:szCs w:val="23"/>
        </w:rPr>
        <w:t>-19</w:t>
      </w:r>
      <w:r w:rsidR="00BB3A71">
        <w:rPr>
          <w:rFonts w:asciiTheme="majorHAnsi" w:hAnsiTheme="majorHAnsi" w:cstheme="majorBidi"/>
          <w:sz w:val="23"/>
          <w:szCs w:val="23"/>
        </w:rPr>
        <w:t>’s impacts on Australia, Geelong, and our three localities of focus</w:t>
      </w:r>
      <w:r w:rsidRPr="47C6F23B">
        <w:rPr>
          <w:rFonts w:asciiTheme="majorHAnsi" w:hAnsiTheme="majorHAnsi" w:cstheme="majorBidi"/>
          <w:sz w:val="23"/>
          <w:szCs w:val="23"/>
        </w:rPr>
        <w:t xml:space="preserve">. </w:t>
      </w:r>
      <w:r w:rsidR="00CE2E4E">
        <w:rPr>
          <w:rFonts w:asciiTheme="majorHAnsi" w:hAnsiTheme="majorHAnsi" w:cstheme="majorBidi"/>
          <w:sz w:val="23"/>
          <w:szCs w:val="23"/>
        </w:rPr>
        <w:t>Building</w:t>
      </w:r>
      <w:r w:rsidR="00CE2E4E" w:rsidRPr="47C6F23B">
        <w:rPr>
          <w:rFonts w:asciiTheme="majorHAnsi" w:hAnsiTheme="majorHAnsi" w:cstheme="majorBidi"/>
          <w:sz w:val="23"/>
          <w:szCs w:val="23"/>
        </w:rPr>
        <w:t xml:space="preserve"> on</w:t>
      </w:r>
      <w:r w:rsidR="00CE2E4E">
        <w:rPr>
          <w:rFonts w:asciiTheme="majorHAnsi" w:hAnsiTheme="majorHAnsi" w:cstheme="majorBidi"/>
          <w:sz w:val="23"/>
          <w:szCs w:val="23"/>
        </w:rPr>
        <w:t xml:space="preserve"> our</w:t>
      </w:r>
      <w:r w:rsidR="00CE2E4E" w:rsidRPr="47C6F23B">
        <w:rPr>
          <w:rFonts w:asciiTheme="majorHAnsi" w:hAnsiTheme="majorHAnsi" w:cstheme="majorBidi"/>
          <w:sz w:val="23"/>
          <w:szCs w:val="23"/>
        </w:rPr>
        <w:t xml:space="preserve"> findings from Part </w:t>
      </w:r>
      <w:r w:rsidR="00CE2E4E">
        <w:rPr>
          <w:rFonts w:asciiTheme="majorHAnsi" w:hAnsiTheme="majorHAnsi" w:cstheme="majorBidi"/>
          <w:sz w:val="23"/>
          <w:szCs w:val="23"/>
        </w:rPr>
        <w:t>A</w:t>
      </w:r>
      <w:r w:rsidR="00CE2E4E" w:rsidRPr="47C6F23B">
        <w:rPr>
          <w:rFonts w:asciiTheme="majorHAnsi" w:hAnsiTheme="majorHAnsi" w:cstheme="majorBidi"/>
          <w:sz w:val="23"/>
          <w:szCs w:val="23"/>
        </w:rPr>
        <w:t xml:space="preserve"> (Environmental Scan), </w:t>
      </w:r>
      <w:r w:rsidR="006156FA">
        <w:rPr>
          <w:rFonts w:asciiTheme="majorHAnsi" w:hAnsiTheme="majorHAnsi" w:cstheme="majorBidi"/>
          <w:sz w:val="23"/>
          <w:szCs w:val="23"/>
        </w:rPr>
        <w:t>th</w:t>
      </w:r>
      <w:r w:rsidR="0077684A">
        <w:rPr>
          <w:rFonts w:asciiTheme="majorHAnsi" w:hAnsiTheme="majorHAnsi" w:cstheme="majorBidi"/>
          <w:sz w:val="23"/>
          <w:szCs w:val="23"/>
        </w:rPr>
        <w:t>e</w:t>
      </w:r>
      <w:r w:rsidR="006156FA">
        <w:rPr>
          <w:rFonts w:asciiTheme="majorHAnsi" w:hAnsiTheme="majorHAnsi" w:cstheme="majorBidi"/>
          <w:sz w:val="23"/>
          <w:szCs w:val="23"/>
        </w:rPr>
        <w:t xml:space="preserve"> COVID-19 Impact Study</w:t>
      </w:r>
      <w:r w:rsidR="000F4102">
        <w:rPr>
          <w:rFonts w:asciiTheme="majorHAnsi" w:hAnsiTheme="majorHAnsi" w:cstheme="majorBidi"/>
          <w:sz w:val="23"/>
          <w:szCs w:val="23"/>
        </w:rPr>
        <w:t xml:space="preserve"> seeks to</w:t>
      </w:r>
      <w:r w:rsidRPr="47C6F23B">
        <w:rPr>
          <w:rFonts w:asciiTheme="majorHAnsi" w:hAnsiTheme="majorHAnsi" w:cstheme="majorBidi"/>
          <w:sz w:val="23"/>
          <w:szCs w:val="23"/>
        </w:rPr>
        <w:t xml:space="preserve"> </w:t>
      </w:r>
      <w:r w:rsidR="0077684A">
        <w:rPr>
          <w:rFonts w:asciiTheme="majorHAnsi" w:hAnsiTheme="majorHAnsi" w:cstheme="majorBidi"/>
          <w:sz w:val="23"/>
          <w:szCs w:val="23"/>
        </w:rPr>
        <w:t xml:space="preserve">do the following: </w:t>
      </w:r>
      <w:r w:rsidRPr="47C6F23B">
        <w:rPr>
          <w:rFonts w:asciiTheme="majorHAnsi" w:hAnsiTheme="majorHAnsi" w:cstheme="majorBidi"/>
          <w:sz w:val="23"/>
          <w:szCs w:val="23"/>
        </w:rPr>
        <w:t xml:space="preserve">extend understanding of the social and economic factors that drive </w:t>
      </w:r>
      <w:r w:rsidRPr="001F13AB">
        <w:rPr>
          <w:rFonts w:asciiTheme="majorHAnsi" w:hAnsiTheme="majorHAnsi" w:cstheme="majorBidi"/>
          <w:sz w:val="23"/>
          <w:szCs w:val="23"/>
        </w:rPr>
        <w:t>community outcomes; take a focused look at the Geelong region and its statistical and policy context</w:t>
      </w:r>
      <w:r w:rsidR="005636CB">
        <w:rPr>
          <w:rFonts w:asciiTheme="majorHAnsi" w:hAnsiTheme="majorHAnsi" w:cstheme="majorBidi"/>
          <w:sz w:val="23"/>
          <w:szCs w:val="23"/>
        </w:rPr>
        <w:t>s</w:t>
      </w:r>
      <w:r w:rsidRPr="001F13AB">
        <w:rPr>
          <w:rFonts w:asciiTheme="majorHAnsi" w:hAnsiTheme="majorHAnsi" w:cstheme="majorBidi"/>
          <w:sz w:val="23"/>
          <w:szCs w:val="23"/>
        </w:rPr>
        <w:t xml:space="preserve">; </w:t>
      </w:r>
      <w:r w:rsidR="005636CB">
        <w:rPr>
          <w:rFonts w:asciiTheme="majorHAnsi" w:hAnsiTheme="majorHAnsi" w:cstheme="majorBidi"/>
          <w:sz w:val="23"/>
          <w:szCs w:val="23"/>
        </w:rPr>
        <w:t>compile</w:t>
      </w:r>
      <w:r w:rsidR="00C51544">
        <w:rPr>
          <w:rFonts w:asciiTheme="majorHAnsi" w:hAnsiTheme="majorHAnsi" w:cstheme="majorBidi"/>
          <w:sz w:val="23"/>
          <w:szCs w:val="23"/>
        </w:rPr>
        <w:t xml:space="preserve"> </w:t>
      </w:r>
      <w:r w:rsidR="005636CB">
        <w:rPr>
          <w:rFonts w:asciiTheme="majorHAnsi" w:hAnsiTheme="majorHAnsi" w:cstheme="majorBidi"/>
          <w:sz w:val="23"/>
          <w:szCs w:val="23"/>
        </w:rPr>
        <w:t>a statistical and historical profile of</w:t>
      </w:r>
      <w:r w:rsidR="00437409">
        <w:rPr>
          <w:rFonts w:asciiTheme="majorHAnsi" w:hAnsiTheme="majorHAnsi" w:cstheme="majorBidi"/>
          <w:sz w:val="23"/>
          <w:szCs w:val="23"/>
        </w:rPr>
        <w:t xml:space="preserve"> </w:t>
      </w:r>
      <w:r w:rsidR="00437409" w:rsidRPr="001F13AB">
        <w:rPr>
          <w:rFonts w:asciiTheme="majorHAnsi" w:hAnsiTheme="majorHAnsi" w:cstheme="majorBidi"/>
          <w:sz w:val="23"/>
          <w:szCs w:val="23"/>
        </w:rPr>
        <w:t>Corio, Norlane, and Whittington</w:t>
      </w:r>
      <w:r w:rsidR="005636CB">
        <w:rPr>
          <w:rFonts w:asciiTheme="majorHAnsi" w:hAnsiTheme="majorHAnsi" w:cstheme="majorBidi"/>
          <w:sz w:val="23"/>
          <w:szCs w:val="23"/>
        </w:rPr>
        <w:t>; provide</w:t>
      </w:r>
      <w:r w:rsidR="00FA47E7">
        <w:rPr>
          <w:rFonts w:asciiTheme="majorHAnsi" w:hAnsiTheme="majorHAnsi" w:cstheme="majorBidi"/>
          <w:sz w:val="23"/>
          <w:szCs w:val="23"/>
        </w:rPr>
        <w:t xml:space="preserve"> a</w:t>
      </w:r>
      <w:r w:rsidR="00C51544">
        <w:rPr>
          <w:rFonts w:asciiTheme="majorHAnsi" w:hAnsiTheme="majorHAnsi" w:cstheme="majorBidi"/>
          <w:sz w:val="23"/>
          <w:szCs w:val="23"/>
        </w:rPr>
        <w:t xml:space="preserve"> </w:t>
      </w:r>
      <w:r w:rsidR="00437409">
        <w:rPr>
          <w:rFonts w:asciiTheme="majorHAnsi" w:hAnsiTheme="majorHAnsi" w:cstheme="majorBidi"/>
          <w:sz w:val="23"/>
          <w:szCs w:val="23"/>
        </w:rPr>
        <w:t xml:space="preserve">detailed analysis of the </w:t>
      </w:r>
      <w:r w:rsidR="00233C19">
        <w:rPr>
          <w:rFonts w:asciiTheme="majorHAnsi" w:hAnsiTheme="majorHAnsi" w:cstheme="majorBidi"/>
          <w:sz w:val="23"/>
          <w:szCs w:val="23"/>
        </w:rPr>
        <w:t>pandemic’s impacts on</w:t>
      </w:r>
      <w:r w:rsidR="00C51544">
        <w:rPr>
          <w:rFonts w:asciiTheme="majorHAnsi" w:hAnsiTheme="majorHAnsi" w:cstheme="majorBidi"/>
          <w:sz w:val="23"/>
          <w:szCs w:val="23"/>
        </w:rPr>
        <w:t xml:space="preserve"> </w:t>
      </w:r>
      <w:r w:rsidR="00437409">
        <w:rPr>
          <w:rFonts w:asciiTheme="majorHAnsi" w:hAnsiTheme="majorHAnsi" w:cstheme="majorBidi"/>
          <w:sz w:val="23"/>
          <w:szCs w:val="23"/>
        </w:rPr>
        <w:t>communities in these three localities; analyse gaps and unmet needs revealed</w:t>
      </w:r>
      <w:r w:rsidR="00FA47E7">
        <w:rPr>
          <w:rFonts w:asciiTheme="majorHAnsi" w:hAnsiTheme="majorHAnsi" w:cstheme="majorBidi"/>
          <w:sz w:val="23"/>
          <w:szCs w:val="23"/>
        </w:rPr>
        <w:t xml:space="preserve"> </w:t>
      </w:r>
      <w:r w:rsidR="00E66C9C">
        <w:rPr>
          <w:rFonts w:asciiTheme="majorHAnsi" w:hAnsiTheme="majorHAnsi" w:cstheme="majorBidi"/>
          <w:sz w:val="23"/>
          <w:szCs w:val="23"/>
        </w:rPr>
        <w:t xml:space="preserve">or highlighted </w:t>
      </w:r>
      <w:r w:rsidR="00437409">
        <w:rPr>
          <w:rFonts w:asciiTheme="majorHAnsi" w:hAnsiTheme="majorHAnsi" w:cstheme="majorBidi"/>
          <w:sz w:val="23"/>
          <w:szCs w:val="23"/>
        </w:rPr>
        <w:t>during COVID-19</w:t>
      </w:r>
      <w:r w:rsidR="00562626">
        <w:rPr>
          <w:rFonts w:asciiTheme="majorHAnsi" w:hAnsiTheme="majorHAnsi" w:cstheme="majorBidi"/>
          <w:sz w:val="23"/>
          <w:szCs w:val="23"/>
        </w:rPr>
        <w:t xml:space="preserve">; </w:t>
      </w:r>
      <w:r w:rsidRPr="001F13AB">
        <w:rPr>
          <w:rFonts w:asciiTheme="majorHAnsi" w:hAnsiTheme="majorHAnsi" w:cstheme="majorBidi"/>
          <w:sz w:val="23"/>
          <w:szCs w:val="23"/>
        </w:rPr>
        <w:t xml:space="preserve">explore possibilities for targeted </w:t>
      </w:r>
      <w:r w:rsidR="009C5904" w:rsidRPr="001F13AB">
        <w:rPr>
          <w:rFonts w:asciiTheme="majorHAnsi" w:hAnsiTheme="majorHAnsi" w:cstheme="majorBidi"/>
          <w:sz w:val="23"/>
          <w:szCs w:val="23"/>
        </w:rPr>
        <w:t>initiatives</w:t>
      </w:r>
      <w:r w:rsidRPr="001F13AB">
        <w:rPr>
          <w:rFonts w:asciiTheme="majorHAnsi" w:hAnsiTheme="majorHAnsi" w:cstheme="majorBidi"/>
          <w:sz w:val="23"/>
          <w:szCs w:val="23"/>
        </w:rPr>
        <w:t xml:space="preserve"> </w:t>
      </w:r>
      <w:r w:rsidR="0077684A">
        <w:rPr>
          <w:rFonts w:asciiTheme="majorHAnsi" w:hAnsiTheme="majorHAnsi" w:cstheme="majorBidi"/>
          <w:sz w:val="23"/>
          <w:szCs w:val="23"/>
        </w:rPr>
        <w:t>to improve residents’ quality of life</w:t>
      </w:r>
      <w:r w:rsidRPr="001F13AB">
        <w:rPr>
          <w:rFonts w:asciiTheme="majorHAnsi" w:hAnsiTheme="majorHAnsi" w:cstheme="majorBidi"/>
          <w:sz w:val="23"/>
          <w:szCs w:val="23"/>
        </w:rPr>
        <w:t xml:space="preserve">; and formulate a set of </w:t>
      </w:r>
      <w:r w:rsidR="00911475" w:rsidRPr="001F13AB">
        <w:rPr>
          <w:rFonts w:asciiTheme="majorHAnsi" w:hAnsiTheme="majorHAnsi" w:cstheme="majorBidi"/>
          <w:sz w:val="23"/>
          <w:szCs w:val="23"/>
        </w:rPr>
        <w:t xml:space="preserve">preliminary </w:t>
      </w:r>
      <w:r w:rsidR="00233C19">
        <w:rPr>
          <w:rFonts w:asciiTheme="majorHAnsi" w:hAnsiTheme="majorHAnsi" w:cstheme="majorBidi"/>
          <w:sz w:val="23"/>
          <w:szCs w:val="23"/>
        </w:rPr>
        <w:t>suggestion</w:t>
      </w:r>
      <w:r w:rsidR="002D42CF">
        <w:rPr>
          <w:rFonts w:asciiTheme="majorHAnsi" w:hAnsiTheme="majorHAnsi" w:cstheme="majorBidi"/>
          <w:sz w:val="23"/>
          <w:szCs w:val="23"/>
        </w:rPr>
        <w:t>s.</w:t>
      </w:r>
    </w:p>
    <w:p w14:paraId="26AC57D9" w14:textId="6775BD23" w:rsidR="001812D0" w:rsidRPr="001812D0" w:rsidRDefault="001812D0" w:rsidP="00CE2E4E">
      <w:pPr>
        <w:pStyle w:val="Default"/>
        <w:spacing w:line="276" w:lineRule="auto"/>
        <w:rPr>
          <w:rFonts w:asciiTheme="majorHAnsi" w:hAnsiTheme="majorHAnsi" w:cstheme="majorBidi"/>
          <w:sz w:val="16"/>
          <w:szCs w:val="16"/>
        </w:rPr>
      </w:pPr>
    </w:p>
    <w:p w14:paraId="38442BC7" w14:textId="77777777" w:rsidR="000D271B" w:rsidRPr="003710F5" w:rsidRDefault="001812D0" w:rsidP="00CE2E4E">
      <w:pPr>
        <w:pStyle w:val="Default"/>
        <w:spacing w:line="276" w:lineRule="auto"/>
        <w:rPr>
          <w:rFonts w:asciiTheme="minorHAnsi" w:hAnsiTheme="minorHAnsi" w:cstheme="minorHAnsi"/>
          <w:b/>
          <w:bCs/>
          <w:color w:val="2F5496" w:themeColor="accent1" w:themeShade="BF"/>
          <w:sz w:val="32"/>
          <w:szCs w:val="32"/>
        </w:rPr>
      </w:pPr>
      <w:r w:rsidRPr="003710F5">
        <w:rPr>
          <w:rFonts w:asciiTheme="minorHAnsi" w:hAnsiTheme="minorHAnsi" w:cstheme="minorHAnsi"/>
          <w:b/>
          <w:bCs/>
          <w:color w:val="2F5496" w:themeColor="accent1" w:themeShade="BF"/>
          <w:sz w:val="32"/>
          <w:szCs w:val="32"/>
        </w:rPr>
        <w:t>Methodology</w:t>
      </w:r>
    </w:p>
    <w:p w14:paraId="64E94E53" w14:textId="77777777" w:rsidR="000D271B" w:rsidRPr="000D271B" w:rsidRDefault="000D271B" w:rsidP="00CE2E4E">
      <w:pPr>
        <w:pStyle w:val="Default"/>
        <w:spacing w:line="276" w:lineRule="auto"/>
        <w:rPr>
          <w:rFonts w:asciiTheme="minorHAnsi" w:hAnsiTheme="minorHAnsi" w:cstheme="minorHAnsi"/>
          <w:b/>
          <w:bCs/>
          <w:color w:val="7030A0"/>
          <w:sz w:val="16"/>
          <w:szCs w:val="16"/>
        </w:rPr>
      </w:pPr>
    </w:p>
    <w:p w14:paraId="344B120B" w14:textId="2A504810" w:rsidR="00F00E3D" w:rsidRPr="000D271B" w:rsidRDefault="00F00E3D" w:rsidP="00CE2E4E">
      <w:pPr>
        <w:pStyle w:val="Default"/>
        <w:spacing w:line="276" w:lineRule="auto"/>
        <w:rPr>
          <w:rFonts w:asciiTheme="minorHAnsi" w:hAnsiTheme="minorHAnsi" w:cstheme="minorHAnsi"/>
          <w:b/>
          <w:bCs/>
          <w:color w:val="7030A0"/>
          <w:sz w:val="32"/>
          <w:szCs w:val="32"/>
        </w:rPr>
      </w:pPr>
      <w:r w:rsidRPr="003126D6">
        <w:rPr>
          <w:rFonts w:asciiTheme="majorHAnsi" w:hAnsiTheme="majorHAnsi" w:cstheme="majorBidi"/>
          <w:sz w:val="23"/>
          <w:szCs w:val="23"/>
        </w:rPr>
        <w:t xml:space="preserve">The </w:t>
      </w:r>
      <w:r w:rsidR="00940D80" w:rsidRPr="003126D6">
        <w:rPr>
          <w:rFonts w:asciiTheme="majorHAnsi" w:hAnsiTheme="majorHAnsi" w:cstheme="majorBidi"/>
          <w:sz w:val="23"/>
          <w:szCs w:val="23"/>
        </w:rPr>
        <w:t>COVID</w:t>
      </w:r>
      <w:r w:rsidRPr="003126D6">
        <w:rPr>
          <w:rFonts w:asciiTheme="majorHAnsi" w:hAnsiTheme="majorHAnsi" w:cstheme="majorBidi"/>
          <w:sz w:val="23"/>
          <w:szCs w:val="23"/>
        </w:rPr>
        <w:t xml:space="preserve">-19 Impact Study </w:t>
      </w:r>
      <w:r w:rsidR="000F4102" w:rsidRPr="003126D6">
        <w:rPr>
          <w:rFonts w:asciiTheme="majorHAnsi" w:hAnsiTheme="majorHAnsi" w:cstheme="majorBidi"/>
          <w:sz w:val="23"/>
          <w:szCs w:val="23"/>
        </w:rPr>
        <w:t xml:space="preserve">was </w:t>
      </w:r>
      <w:r w:rsidRPr="003126D6">
        <w:rPr>
          <w:rFonts w:asciiTheme="majorHAnsi" w:hAnsiTheme="majorHAnsi" w:cstheme="majorBidi"/>
          <w:sz w:val="23"/>
          <w:szCs w:val="23"/>
        </w:rPr>
        <w:t>completed in t</w:t>
      </w:r>
      <w:r w:rsidR="008E627F">
        <w:rPr>
          <w:rFonts w:asciiTheme="majorHAnsi" w:hAnsiTheme="majorHAnsi" w:cstheme="majorBidi"/>
          <w:sz w:val="23"/>
          <w:szCs w:val="23"/>
        </w:rPr>
        <w:t>hree</w:t>
      </w:r>
      <w:r w:rsidRPr="003126D6">
        <w:rPr>
          <w:rFonts w:asciiTheme="majorHAnsi" w:hAnsiTheme="majorHAnsi" w:cstheme="majorBidi"/>
          <w:sz w:val="23"/>
          <w:szCs w:val="23"/>
        </w:rPr>
        <w:t xml:space="preserve"> stages:</w:t>
      </w:r>
    </w:p>
    <w:p w14:paraId="3F0010BB" w14:textId="77777777" w:rsidR="00F00E3D" w:rsidRPr="004C5B0D" w:rsidRDefault="00F00E3D" w:rsidP="00CE2E4E">
      <w:pPr>
        <w:pStyle w:val="Default"/>
        <w:spacing w:line="276" w:lineRule="auto"/>
        <w:rPr>
          <w:rFonts w:asciiTheme="majorHAnsi" w:hAnsiTheme="majorHAnsi" w:cstheme="majorHAnsi"/>
          <w:sz w:val="12"/>
          <w:szCs w:val="12"/>
        </w:rPr>
      </w:pPr>
    </w:p>
    <w:p w14:paraId="008E9C85" w14:textId="237C9DE9" w:rsidR="00F00E3D" w:rsidRPr="001F13AB" w:rsidRDefault="00F00E3D" w:rsidP="00364C5D">
      <w:pPr>
        <w:pStyle w:val="Default"/>
        <w:numPr>
          <w:ilvl w:val="0"/>
          <w:numId w:val="49"/>
        </w:numPr>
        <w:spacing w:line="276" w:lineRule="auto"/>
        <w:rPr>
          <w:rFonts w:asciiTheme="majorHAnsi" w:hAnsiTheme="majorHAnsi" w:cstheme="majorHAnsi"/>
          <w:sz w:val="23"/>
          <w:szCs w:val="23"/>
        </w:rPr>
      </w:pPr>
      <w:r w:rsidRPr="002E5998">
        <w:rPr>
          <w:rFonts w:asciiTheme="majorHAnsi" w:hAnsiTheme="majorHAnsi" w:cstheme="majorHAnsi"/>
          <w:sz w:val="23"/>
          <w:szCs w:val="23"/>
        </w:rPr>
        <w:t xml:space="preserve">Examine how </w:t>
      </w:r>
      <w:r w:rsidR="001F13AB">
        <w:rPr>
          <w:rFonts w:asciiTheme="majorHAnsi" w:hAnsiTheme="majorHAnsi" w:cstheme="majorHAnsi"/>
          <w:sz w:val="23"/>
          <w:szCs w:val="23"/>
        </w:rPr>
        <w:t xml:space="preserve">the </w:t>
      </w:r>
      <w:r w:rsidRPr="002E5998">
        <w:rPr>
          <w:rFonts w:asciiTheme="majorHAnsi" w:hAnsiTheme="majorHAnsi" w:cstheme="majorHAnsi"/>
          <w:sz w:val="23"/>
          <w:szCs w:val="23"/>
        </w:rPr>
        <w:t xml:space="preserve">key learnings identified in Part </w:t>
      </w:r>
      <w:r w:rsidR="000F634B">
        <w:rPr>
          <w:rFonts w:asciiTheme="majorHAnsi" w:hAnsiTheme="majorHAnsi" w:cstheme="majorHAnsi"/>
          <w:sz w:val="23"/>
          <w:szCs w:val="23"/>
        </w:rPr>
        <w:t>A</w:t>
      </w:r>
      <w:r w:rsidRPr="002E5998">
        <w:rPr>
          <w:rFonts w:asciiTheme="majorHAnsi" w:hAnsiTheme="majorHAnsi" w:cstheme="majorHAnsi"/>
          <w:sz w:val="23"/>
          <w:szCs w:val="23"/>
        </w:rPr>
        <w:t xml:space="preserve"> (Environmental Scan) may be impacted by the </w:t>
      </w:r>
      <w:r w:rsidR="00940D80">
        <w:rPr>
          <w:rFonts w:asciiTheme="majorHAnsi" w:hAnsiTheme="majorHAnsi" w:cstheme="majorHAnsi"/>
          <w:sz w:val="23"/>
          <w:szCs w:val="23"/>
        </w:rPr>
        <w:t>COVID</w:t>
      </w:r>
      <w:r w:rsidRPr="002E5998">
        <w:rPr>
          <w:rFonts w:asciiTheme="majorHAnsi" w:hAnsiTheme="majorHAnsi" w:cstheme="majorHAnsi"/>
          <w:sz w:val="23"/>
          <w:szCs w:val="23"/>
        </w:rPr>
        <w:t xml:space="preserve">-19 pandemic in Australia (across the five </w:t>
      </w:r>
      <w:r w:rsidR="00D95573">
        <w:rPr>
          <w:rFonts w:asciiTheme="majorHAnsi" w:hAnsiTheme="majorHAnsi" w:cstheme="majorHAnsi"/>
          <w:sz w:val="23"/>
          <w:szCs w:val="23"/>
        </w:rPr>
        <w:t>Practice Domain</w:t>
      </w:r>
      <w:r w:rsidR="001F13AB" w:rsidRPr="002E5998">
        <w:rPr>
          <w:rFonts w:asciiTheme="majorHAnsi" w:hAnsiTheme="majorHAnsi" w:cstheme="majorHAnsi"/>
          <w:sz w:val="23"/>
          <w:szCs w:val="23"/>
        </w:rPr>
        <w:t>s</w:t>
      </w:r>
      <w:r w:rsidRPr="002E5998">
        <w:rPr>
          <w:rFonts w:asciiTheme="majorHAnsi" w:hAnsiTheme="majorHAnsi" w:cstheme="majorHAnsi"/>
          <w:sz w:val="23"/>
          <w:szCs w:val="23"/>
        </w:rPr>
        <w:t xml:space="preserve">). </w:t>
      </w:r>
      <w:r w:rsidRPr="001F13AB">
        <w:rPr>
          <w:rFonts w:asciiTheme="majorHAnsi" w:hAnsiTheme="majorHAnsi" w:cstheme="majorHAnsi"/>
          <w:sz w:val="23"/>
          <w:szCs w:val="23"/>
        </w:rPr>
        <w:t xml:space="preserve">The learnings and possibilities </w:t>
      </w:r>
      <w:r w:rsidR="00D41996" w:rsidRPr="001F13AB">
        <w:rPr>
          <w:rFonts w:asciiTheme="majorHAnsi" w:hAnsiTheme="majorHAnsi" w:cstheme="majorHAnsi"/>
          <w:sz w:val="23"/>
          <w:szCs w:val="23"/>
        </w:rPr>
        <w:t>from</w:t>
      </w:r>
      <w:r w:rsidRPr="001F13AB">
        <w:rPr>
          <w:rFonts w:asciiTheme="majorHAnsi" w:hAnsiTheme="majorHAnsi" w:cstheme="majorHAnsi"/>
          <w:sz w:val="23"/>
          <w:szCs w:val="23"/>
        </w:rPr>
        <w:t xml:space="preserve"> Part </w:t>
      </w:r>
      <w:r w:rsidR="000F634B">
        <w:rPr>
          <w:rFonts w:asciiTheme="majorHAnsi" w:hAnsiTheme="majorHAnsi" w:cstheme="majorHAnsi"/>
          <w:sz w:val="23"/>
          <w:szCs w:val="23"/>
        </w:rPr>
        <w:t>A</w:t>
      </w:r>
      <w:r w:rsidRPr="001F13AB">
        <w:rPr>
          <w:rFonts w:asciiTheme="majorHAnsi" w:hAnsiTheme="majorHAnsi" w:cstheme="majorHAnsi"/>
          <w:sz w:val="23"/>
          <w:szCs w:val="23"/>
        </w:rPr>
        <w:t xml:space="preserve"> </w:t>
      </w:r>
      <w:r w:rsidR="00431BF8" w:rsidRPr="001F13AB">
        <w:rPr>
          <w:rFonts w:asciiTheme="majorHAnsi" w:hAnsiTheme="majorHAnsi" w:cstheme="majorHAnsi"/>
          <w:sz w:val="23"/>
          <w:szCs w:val="23"/>
        </w:rPr>
        <w:t>were then</w:t>
      </w:r>
      <w:r w:rsidRPr="001F13AB">
        <w:rPr>
          <w:rFonts w:asciiTheme="majorHAnsi" w:hAnsiTheme="majorHAnsi" w:cstheme="majorHAnsi"/>
          <w:sz w:val="23"/>
          <w:szCs w:val="23"/>
        </w:rPr>
        <w:t xml:space="preserve"> assessed in terms of their po</w:t>
      </w:r>
      <w:r w:rsidR="00330ECC" w:rsidRPr="001F13AB">
        <w:rPr>
          <w:rFonts w:asciiTheme="majorHAnsi" w:hAnsiTheme="majorHAnsi" w:cstheme="majorHAnsi"/>
          <w:sz w:val="23"/>
          <w:szCs w:val="23"/>
        </w:rPr>
        <w:t>tential</w:t>
      </w:r>
      <w:r w:rsidRPr="001F13AB">
        <w:rPr>
          <w:rFonts w:asciiTheme="majorHAnsi" w:hAnsiTheme="majorHAnsi" w:cstheme="majorHAnsi"/>
          <w:sz w:val="23"/>
          <w:szCs w:val="23"/>
        </w:rPr>
        <w:t xml:space="preserve"> application to Geelong</w:t>
      </w:r>
      <w:r w:rsidR="00A930AA">
        <w:rPr>
          <w:rFonts w:asciiTheme="majorHAnsi" w:hAnsiTheme="majorHAnsi" w:cstheme="majorHAnsi"/>
          <w:sz w:val="23"/>
          <w:szCs w:val="23"/>
        </w:rPr>
        <w:t xml:space="preserve">, and to the suburbs of </w:t>
      </w:r>
      <w:r w:rsidR="00A930AA" w:rsidRPr="178087EA">
        <w:rPr>
          <w:rFonts w:asciiTheme="majorHAnsi" w:hAnsiTheme="majorHAnsi" w:cstheme="majorBidi"/>
          <w:sz w:val="23"/>
          <w:szCs w:val="23"/>
        </w:rPr>
        <w:t>on Corio, Norlane, and Whittington.</w:t>
      </w:r>
    </w:p>
    <w:p w14:paraId="1889B97C" w14:textId="4FAB76E2" w:rsidR="008E627F" w:rsidRDefault="000F634B" w:rsidP="00364C5D">
      <w:pPr>
        <w:pStyle w:val="Default"/>
        <w:numPr>
          <w:ilvl w:val="0"/>
          <w:numId w:val="49"/>
        </w:numPr>
        <w:spacing w:line="276" w:lineRule="auto"/>
        <w:rPr>
          <w:rFonts w:asciiTheme="majorHAnsi" w:hAnsiTheme="majorHAnsi" w:cstheme="majorBidi"/>
          <w:sz w:val="23"/>
          <w:szCs w:val="23"/>
        </w:rPr>
      </w:pPr>
      <w:r>
        <w:rPr>
          <w:rFonts w:asciiTheme="majorHAnsi" w:hAnsiTheme="majorHAnsi" w:cstheme="majorBidi"/>
          <w:sz w:val="23"/>
          <w:szCs w:val="23"/>
        </w:rPr>
        <w:t>Source and analyse</w:t>
      </w:r>
      <w:r w:rsidR="00F00E3D" w:rsidRPr="001F13AB">
        <w:rPr>
          <w:rFonts w:asciiTheme="majorHAnsi" w:hAnsiTheme="majorHAnsi" w:cstheme="majorBidi"/>
          <w:sz w:val="23"/>
          <w:szCs w:val="23"/>
        </w:rPr>
        <w:t xml:space="preserve"> relevant data to gauge the impacts of </w:t>
      </w:r>
      <w:r w:rsidR="00940D80" w:rsidRPr="001F13AB">
        <w:rPr>
          <w:rFonts w:asciiTheme="majorHAnsi" w:hAnsiTheme="majorHAnsi" w:cstheme="majorBidi"/>
          <w:sz w:val="23"/>
          <w:szCs w:val="23"/>
        </w:rPr>
        <w:t>COVID</w:t>
      </w:r>
      <w:r w:rsidR="00F00E3D" w:rsidRPr="178087EA">
        <w:rPr>
          <w:rFonts w:asciiTheme="majorHAnsi" w:hAnsiTheme="majorHAnsi" w:cstheme="majorBidi"/>
          <w:sz w:val="23"/>
          <w:szCs w:val="23"/>
        </w:rPr>
        <w:t xml:space="preserve">-19 on the Geelong region, with a focus on Corio, Norlane, and Whittington. </w:t>
      </w:r>
      <w:r>
        <w:rPr>
          <w:rFonts w:asciiTheme="majorHAnsi" w:hAnsiTheme="majorHAnsi" w:cstheme="majorBidi"/>
          <w:sz w:val="23"/>
          <w:szCs w:val="23"/>
        </w:rPr>
        <w:t>This d</w:t>
      </w:r>
      <w:r w:rsidR="00F00E3D" w:rsidRPr="178087EA">
        <w:rPr>
          <w:rFonts w:asciiTheme="majorHAnsi" w:hAnsiTheme="majorHAnsi" w:cstheme="majorBidi"/>
          <w:sz w:val="23"/>
          <w:szCs w:val="23"/>
        </w:rPr>
        <w:t xml:space="preserve">ata </w:t>
      </w:r>
      <w:r w:rsidR="00E521D0">
        <w:rPr>
          <w:rFonts w:asciiTheme="majorHAnsi" w:hAnsiTheme="majorHAnsi" w:cstheme="majorBidi"/>
          <w:sz w:val="23"/>
          <w:szCs w:val="23"/>
        </w:rPr>
        <w:t>was</w:t>
      </w:r>
      <w:r w:rsidR="00F00E3D" w:rsidRPr="178087EA">
        <w:rPr>
          <w:rFonts w:asciiTheme="majorHAnsi" w:hAnsiTheme="majorHAnsi" w:cstheme="majorBidi"/>
          <w:sz w:val="23"/>
          <w:szCs w:val="23"/>
        </w:rPr>
        <w:t xml:space="preserve"> both city-wide and locality </w:t>
      </w:r>
      <w:proofErr w:type="gramStart"/>
      <w:r w:rsidR="00F00E3D" w:rsidRPr="178087EA">
        <w:rPr>
          <w:rFonts w:asciiTheme="majorHAnsi" w:hAnsiTheme="majorHAnsi" w:cstheme="majorBidi"/>
          <w:sz w:val="23"/>
          <w:szCs w:val="23"/>
        </w:rPr>
        <w:t xml:space="preserve">based, </w:t>
      </w:r>
      <w:r w:rsidR="002C17B2">
        <w:rPr>
          <w:rFonts w:asciiTheme="majorHAnsi" w:hAnsiTheme="majorHAnsi" w:cstheme="majorBidi"/>
          <w:sz w:val="23"/>
          <w:szCs w:val="23"/>
        </w:rPr>
        <w:t>and</w:t>
      </w:r>
      <w:proofErr w:type="gramEnd"/>
      <w:r w:rsidR="002C17B2">
        <w:rPr>
          <w:rFonts w:asciiTheme="majorHAnsi" w:hAnsiTheme="majorHAnsi" w:cstheme="majorBidi"/>
          <w:sz w:val="23"/>
          <w:szCs w:val="23"/>
        </w:rPr>
        <w:t xml:space="preserve"> drawn from</w:t>
      </w:r>
      <w:r w:rsidR="0085213B">
        <w:rPr>
          <w:rFonts w:asciiTheme="majorHAnsi" w:hAnsiTheme="majorHAnsi" w:cstheme="majorBidi"/>
          <w:sz w:val="23"/>
          <w:szCs w:val="23"/>
        </w:rPr>
        <w:t xml:space="preserve"> sources</w:t>
      </w:r>
      <w:r w:rsidR="00F00E3D" w:rsidRPr="178087EA">
        <w:rPr>
          <w:rFonts w:asciiTheme="majorHAnsi" w:hAnsiTheme="majorHAnsi" w:cstheme="majorBidi"/>
          <w:sz w:val="23"/>
          <w:szCs w:val="23"/>
        </w:rPr>
        <w:t xml:space="preserve"> both external and internal to the City of Greater Geelong. </w:t>
      </w:r>
      <w:r w:rsidR="00A930AA">
        <w:rPr>
          <w:rFonts w:asciiTheme="majorHAnsi" w:hAnsiTheme="majorHAnsi" w:cstheme="majorBidi"/>
          <w:sz w:val="23"/>
          <w:szCs w:val="23"/>
        </w:rPr>
        <w:t>From this data the research team compiled a</w:t>
      </w:r>
      <w:r w:rsidR="00F00E3D" w:rsidRPr="178087EA">
        <w:rPr>
          <w:rFonts w:asciiTheme="majorHAnsi" w:hAnsiTheme="majorHAnsi" w:cstheme="majorBidi"/>
          <w:sz w:val="23"/>
          <w:szCs w:val="23"/>
        </w:rPr>
        <w:t xml:space="preserve"> statistical portrait of the </w:t>
      </w:r>
      <w:r w:rsidR="003710F5">
        <w:rPr>
          <w:rFonts w:asciiTheme="majorHAnsi" w:hAnsiTheme="majorHAnsi" w:cstheme="majorBidi"/>
          <w:sz w:val="23"/>
          <w:szCs w:val="23"/>
        </w:rPr>
        <w:t xml:space="preserve">three </w:t>
      </w:r>
      <w:r w:rsidR="00F00E3D" w:rsidRPr="178087EA">
        <w:rPr>
          <w:rFonts w:asciiTheme="majorHAnsi" w:hAnsiTheme="majorHAnsi" w:cstheme="majorBidi"/>
          <w:sz w:val="23"/>
          <w:szCs w:val="23"/>
        </w:rPr>
        <w:t xml:space="preserve">target </w:t>
      </w:r>
      <w:proofErr w:type="gramStart"/>
      <w:r w:rsidR="00F00E3D" w:rsidRPr="178087EA">
        <w:rPr>
          <w:rFonts w:asciiTheme="majorHAnsi" w:hAnsiTheme="majorHAnsi" w:cstheme="majorBidi"/>
          <w:sz w:val="23"/>
          <w:szCs w:val="23"/>
        </w:rPr>
        <w:t>localities</w:t>
      </w:r>
      <w:r w:rsidR="003710F5">
        <w:rPr>
          <w:rFonts w:asciiTheme="majorHAnsi" w:hAnsiTheme="majorHAnsi" w:cstheme="majorBidi"/>
          <w:sz w:val="23"/>
          <w:szCs w:val="23"/>
        </w:rPr>
        <w:t>,</w:t>
      </w:r>
      <w:r w:rsidR="00A930AA">
        <w:rPr>
          <w:rFonts w:asciiTheme="majorHAnsi" w:hAnsiTheme="majorHAnsi" w:cstheme="majorBidi"/>
          <w:sz w:val="23"/>
          <w:szCs w:val="23"/>
        </w:rPr>
        <w:t xml:space="preserve"> and</w:t>
      </w:r>
      <w:proofErr w:type="gramEnd"/>
      <w:r w:rsidR="00A930AA">
        <w:rPr>
          <w:rFonts w:asciiTheme="majorHAnsi" w:hAnsiTheme="majorHAnsi" w:cstheme="majorBidi"/>
          <w:sz w:val="23"/>
          <w:szCs w:val="23"/>
        </w:rPr>
        <w:t xml:space="preserve"> provided key</w:t>
      </w:r>
      <w:r w:rsidR="003710F5">
        <w:rPr>
          <w:rFonts w:asciiTheme="majorHAnsi" w:hAnsiTheme="majorHAnsi" w:cstheme="majorBidi"/>
          <w:sz w:val="23"/>
          <w:szCs w:val="23"/>
        </w:rPr>
        <w:t xml:space="preserve"> historical context </w:t>
      </w:r>
      <w:r w:rsidR="00A930AA">
        <w:rPr>
          <w:rFonts w:asciiTheme="majorHAnsi" w:hAnsiTheme="majorHAnsi" w:cstheme="majorBidi"/>
          <w:sz w:val="23"/>
          <w:szCs w:val="23"/>
        </w:rPr>
        <w:t>to give a</w:t>
      </w:r>
      <w:r w:rsidR="003710F5">
        <w:rPr>
          <w:rFonts w:asciiTheme="majorHAnsi" w:hAnsiTheme="majorHAnsi" w:cstheme="majorBidi"/>
          <w:sz w:val="23"/>
          <w:szCs w:val="23"/>
        </w:rPr>
        <w:t xml:space="preserve"> fuller picture of their </w:t>
      </w:r>
      <w:r w:rsidR="00A930AA">
        <w:rPr>
          <w:rFonts w:asciiTheme="majorHAnsi" w:hAnsiTheme="majorHAnsi" w:cstheme="majorBidi"/>
          <w:sz w:val="23"/>
          <w:szCs w:val="23"/>
        </w:rPr>
        <w:t xml:space="preserve">socioeconomic </w:t>
      </w:r>
      <w:r w:rsidR="003710F5">
        <w:rPr>
          <w:rFonts w:asciiTheme="majorHAnsi" w:hAnsiTheme="majorHAnsi" w:cstheme="majorBidi"/>
          <w:sz w:val="23"/>
          <w:szCs w:val="23"/>
        </w:rPr>
        <w:t>trajectories</w:t>
      </w:r>
      <w:r w:rsidR="008E627F">
        <w:rPr>
          <w:rFonts w:asciiTheme="majorHAnsi" w:hAnsiTheme="majorHAnsi" w:cstheme="majorBidi"/>
          <w:sz w:val="23"/>
          <w:szCs w:val="23"/>
        </w:rPr>
        <w:t>.</w:t>
      </w:r>
    </w:p>
    <w:p w14:paraId="6BAB6F6F" w14:textId="2427D8FA" w:rsidR="00EF7E59" w:rsidRDefault="003418E6" w:rsidP="00364C5D">
      <w:pPr>
        <w:pStyle w:val="Default"/>
        <w:numPr>
          <w:ilvl w:val="0"/>
          <w:numId w:val="49"/>
        </w:numPr>
        <w:spacing w:line="276" w:lineRule="auto"/>
        <w:rPr>
          <w:rFonts w:asciiTheme="majorHAnsi" w:hAnsiTheme="majorHAnsi" w:cstheme="majorBidi"/>
          <w:sz w:val="23"/>
          <w:szCs w:val="23"/>
        </w:rPr>
      </w:pPr>
      <w:r w:rsidRPr="001F13AB">
        <w:rPr>
          <w:rFonts w:asciiTheme="majorHAnsi" w:hAnsiTheme="majorHAnsi" w:cstheme="majorBidi"/>
          <w:sz w:val="23"/>
          <w:szCs w:val="23"/>
        </w:rPr>
        <w:t>C</w:t>
      </w:r>
      <w:r w:rsidR="001F13AB" w:rsidRPr="001F13AB">
        <w:rPr>
          <w:rFonts w:asciiTheme="majorHAnsi" w:hAnsiTheme="majorHAnsi" w:cstheme="majorBidi"/>
          <w:sz w:val="23"/>
          <w:szCs w:val="23"/>
        </w:rPr>
        <w:t>onsult with community experts to c</w:t>
      </w:r>
      <w:r w:rsidRPr="001F13AB">
        <w:rPr>
          <w:rFonts w:asciiTheme="majorHAnsi" w:hAnsiTheme="majorHAnsi" w:cstheme="majorBidi"/>
          <w:sz w:val="23"/>
          <w:szCs w:val="23"/>
        </w:rPr>
        <w:t>omplete</w:t>
      </w:r>
      <w:r w:rsidR="00F00E3D" w:rsidRPr="001F13AB">
        <w:rPr>
          <w:rFonts w:asciiTheme="majorHAnsi" w:hAnsiTheme="majorHAnsi" w:cstheme="majorBidi"/>
          <w:sz w:val="23"/>
          <w:szCs w:val="23"/>
        </w:rPr>
        <w:t xml:space="preserve"> a </w:t>
      </w:r>
      <w:r w:rsidR="006C7977" w:rsidRPr="001F13AB">
        <w:rPr>
          <w:rFonts w:asciiTheme="majorHAnsi" w:hAnsiTheme="majorHAnsi" w:cstheme="majorBidi"/>
          <w:sz w:val="23"/>
          <w:szCs w:val="23"/>
        </w:rPr>
        <w:t xml:space="preserve">more </w:t>
      </w:r>
      <w:r w:rsidR="00F00E3D" w:rsidRPr="001F13AB">
        <w:rPr>
          <w:rFonts w:asciiTheme="majorHAnsi" w:hAnsiTheme="majorHAnsi" w:cstheme="majorBidi"/>
          <w:sz w:val="23"/>
          <w:szCs w:val="23"/>
        </w:rPr>
        <w:t xml:space="preserve">fine-grained and grounded assessment of how </w:t>
      </w:r>
      <w:r w:rsidR="00940D80" w:rsidRPr="001F13AB">
        <w:rPr>
          <w:rFonts w:asciiTheme="majorHAnsi" w:hAnsiTheme="majorHAnsi" w:cstheme="majorBidi"/>
          <w:sz w:val="23"/>
          <w:szCs w:val="23"/>
        </w:rPr>
        <w:t>COVID</w:t>
      </w:r>
      <w:r w:rsidR="00F00E3D" w:rsidRPr="001F13AB">
        <w:rPr>
          <w:rFonts w:asciiTheme="majorHAnsi" w:hAnsiTheme="majorHAnsi" w:cstheme="majorBidi"/>
          <w:sz w:val="23"/>
          <w:szCs w:val="23"/>
        </w:rPr>
        <w:t xml:space="preserve">-19 has been lived in these </w:t>
      </w:r>
      <w:r w:rsidR="006C7977" w:rsidRPr="001F13AB">
        <w:rPr>
          <w:rFonts w:asciiTheme="majorHAnsi" w:hAnsiTheme="majorHAnsi" w:cstheme="majorBidi"/>
          <w:sz w:val="23"/>
          <w:szCs w:val="23"/>
        </w:rPr>
        <w:t>three localities</w:t>
      </w:r>
      <w:r w:rsidR="00F00E3D" w:rsidRPr="001F13AB">
        <w:rPr>
          <w:rFonts w:asciiTheme="majorHAnsi" w:hAnsiTheme="majorHAnsi" w:cstheme="majorBidi"/>
          <w:sz w:val="23"/>
          <w:szCs w:val="23"/>
        </w:rPr>
        <w:t xml:space="preserve">. Data </w:t>
      </w:r>
      <w:r w:rsidR="0085213B" w:rsidRPr="001F13AB">
        <w:rPr>
          <w:rFonts w:asciiTheme="majorHAnsi" w:hAnsiTheme="majorHAnsi" w:cstheme="majorBidi"/>
          <w:sz w:val="23"/>
          <w:szCs w:val="23"/>
        </w:rPr>
        <w:t>was</w:t>
      </w:r>
      <w:r w:rsidR="00F00E3D" w:rsidRPr="001F13AB">
        <w:rPr>
          <w:rFonts w:asciiTheme="majorHAnsi" w:hAnsiTheme="majorHAnsi" w:cstheme="majorBidi"/>
          <w:sz w:val="23"/>
          <w:szCs w:val="23"/>
        </w:rPr>
        <w:t xml:space="preserve"> gathered via </w:t>
      </w:r>
      <w:r w:rsidR="0085213B" w:rsidRPr="001F13AB">
        <w:rPr>
          <w:rFonts w:asciiTheme="majorHAnsi" w:hAnsiTheme="majorHAnsi" w:cstheme="majorBidi"/>
          <w:sz w:val="23"/>
          <w:szCs w:val="23"/>
        </w:rPr>
        <w:t>i</w:t>
      </w:r>
      <w:r w:rsidR="00F00E3D" w:rsidRPr="001F13AB">
        <w:rPr>
          <w:rFonts w:asciiTheme="majorHAnsi" w:hAnsiTheme="majorHAnsi" w:cstheme="majorBidi"/>
          <w:sz w:val="23"/>
          <w:szCs w:val="23"/>
        </w:rPr>
        <w:t xml:space="preserve">nterviews and a </w:t>
      </w:r>
      <w:r w:rsidR="0085213B" w:rsidRPr="001F13AB">
        <w:rPr>
          <w:rFonts w:asciiTheme="majorHAnsi" w:hAnsiTheme="majorHAnsi" w:cstheme="majorBidi"/>
          <w:sz w:val="23"/>
          <w:szCs w:val="23"/>
        </w:rPr>
        <w:t>f</w:t>
      </w:r>
      <w:r w:rsidR="00F00E3D" w:rsidRPr="001F13AB">
        <w:rPr>
          <w:rFonts w:asciiTheme="majorHAnsi" w:hAnsiTheme="majorHAnsi" w:cstheme="majorBidi"/>
          <w:sz w:val="23"/>
          <w:szCs w:val="23"/>
        </w:rPr>
        <w:t xml:space="preserve">ocus </w:t>
      </w:r>
      <w:r w:rsidR="0085213B" w:rsidRPr="001F13AB">
        <w:rPr>
          <w:rFonts w:asciiTheme="majorHAnsi" w:hAnsiTheme="majorHAnsi" w:cstheme="majorBidi"/>
          <w:sz w:val="23"/>
          <w:szCs w:val="23"/>
        </w:rPr>
        <w:t>g</w:t>
      </w:r>
      <w:r w:rsidR="00F00E3D" w:rsidRPr="001F13AB">
        <w:rPr>
          <w:rFonts w:asciiTheme="majorHAnsi" w:hAnsiTheme="majorHAnsi" w:cstheme="majorBidi"/>
          <w:sz w:val="23"/>
          <w:szCs w:val="23"/>
        </w:rPr>
        <w:t xml:space="preserve">roup with </w:t>
      </w:r>
      <w:r w:rsidR="0085213B" w:rsidRPr="001F13AB">
        <w:rPr>
          <w:rFonts w:asciiTheme="majorHAnsi" w:hAnsiTheme="majorHAnsi" w:cstheme="majorBidi"/>
          <w:sz w:val="23"/>
          <w:szCs w:val="23"/>
        </w:rPr>
        <w:t>key</w:t>
      </w:r>
      <w:r w:rsidR="002038D3" w:rsidRPr="001F13AB">
        <w:rPr>
          <w:rFonts w:asciiTheme="majorHAnsi" w:hAnsiTheme="majorHAnsi" w:cstheme="majorBidi"/>
          <w:sz w:val="23"/>
          <w:szCs w:val="23"/>
        </w:rPr>
        <w:t xml:space="preserve"> </w:t>
      </w:r>
      <w:r w:rsidR="001F13AB" w:rsidRPr="001F13AB">
        <w:rPr>
          <w:rFonts w:asciiTheme="majorHAnsi" w:hAnsiTheme="majorHAnsi" w:cstheme="majorBidi"/>
          <w:sz w:val="23"/>
          <w:szCs w:val="23"/>
        </w:rPr>
        <w:t>people working in local community-based roles</w:t>
      </w:r>
      <w:r w:rsidR="00F00E3D" w:rsidRPr="001F13AB">
        <w:rPr>
          <w:rFonts w:asciiTheme="majorHAnsi" w:hAnsiTheme="majorHAnsi" w:cstheme="majorBidi"/>
          <w:sz w:val="23"/>
          <w:szCs w:val="23"/>
        </w:rPr>
        <w:t xml:space="preserve">. </w:t>
      </w:r>
      <w:r w:rsidR="004C5B0D">
        <w:rPr>
          <w:rFonts w:asciiTheme="majorHAnsi" w:hAnsiTheme="majorHAnsi" w:cstheme="majorBidi"/>
          <w:sz w:val="23"/>
          <w:szCs w:val="23"/>
        </w:rPr>
        <w:t>C</w:t>
      </w:r>
      <w:r w:rsidR="00F55C25" w:rsidRPr="001F13AB">
        <w:rPr>
          <w:rFonts w:asciiTheme="majorHAnsi" w:hAnsiTheme="majorHAnsi" w:cstheme="majorBidi"/>
          <w:sz w:val="23"/>
          <w:szCs w:val="23"/>
        </w:rPr>
        <w:t xml:space="preserve">onsultations </w:t>
      </w:r>
      <w:r w:rsidR="00081387" w:rsidRPr="001F13AB">
        <w:rPr>
          <w:rFonts w:asciiTheme="majorHAnsi" w:hAnsiTheme="majorHAnsi" w:cstheme="majorBidi"/>
          <w:sz w:val="23"/>
          <w:szCs w:val="23"/>
        </w:rPr>
        <w:t>sought to gain</w:t>
      </w:r>
      <w:r w:rsidR="00F00E3D" w:rsidRPr="001F13AB">
        <w:rPr>
          <w:rFonts w:asciiTheme="majorHAnsi" w:hAnsiTheme="majorHAnsi" w:cstheme="majorBidi"/>
          <w:sz w:val="23"/>
          <w:szCs w:val="23"/>
        </w:rPr>
        <w:t xml:space="preserve"> insights into how these</w:t>
      </w:r>
      <w:r w:rsidR="00F00E3D" w:rsidRPr="178087EA">
        <w:rPr>
          <w:rFonts w:asciiTheme="majorHAnsi" w:hAnsiTheme="majorHAnsi" w:cstheme="majorBidi"/>
          <w:sz w:val="23"/>
          <w:szCs w:val="23"/>
        </w:rPr>
        <w:t xml:space="preserve"> communities dealt with the pandemic, what </w:t>
      </w:r>
      <w:r w:rsidR="004137BE">
        <w:rPr>
          <w:rFonts w:asciiTheme="majorHAnsi" w:hAnsiTheme="majorHAnsi" w:cstheme="majorBidi"/>
          <w:sz w:val="23"/>
          <w:szCs w:val="23"/>
        </w:rPr>
        <w:t xml:space="preserve">factors </w:t>
      </w:r>
      <w:r w:rsidR="004C5B0D">
        <w:rPr>
          <w:rFonts w:asciiTheme="majorHAnsi" w:hAnsiTheme="majorHAnsi" w:cstheme="majorBidi"/>
          <w:sz w:val="23"/>
          <w:szCs w:val="23"/>
        </w:rPr>
        <w:t xml:space="preserve">supported </w:t>
      </w:r>
      <w:r w:rsidR="00F00E3D" w:rsidRPr="178087EA">
        <w:rPr>
          <w:rFonts w:asciiTheme="majorHAnsi" w:hAnsiTheme="majorHAnsi" w:cstheme="majorBidi"/>
          <w:sz w:val="23"/>
          <w:szCs w:val="23"/>
        </w:rPr>
        <w:t xml:space="preserve">economic resilience and social cohesion, which interventions worked best or could have enhanced </w:t>
      </w:r>
      <w:r w:rsidR="002C44D0">
        <w:rPr>
          <w:rFonts w:asciiTheme="majorHAnsi" w:hAnsiTheme="majorHAnsi" w:cstheme="majorBidi"/>
          <w:sz w:val="23"/>
          <w:szCs w:val="23"/>
        </w:rPr>
        <w:t>people’s</w:t>
      </w:r>
      <w:r w:rsidR="00F00E3D" w:rsidRPr="178087EA">
        <w:rPr>
          <w:rFonts w:asciiTheme="majorHAnsi" w:hAnsiTheme="majorHAnsi" w:cstheme="majorBidi"/>
          <w:sz w:val="23"/>
          <w:szCs w:val="23"/>
        </w:rPr>
        <w:t xml:space="preserve"> experience</w:t>
      </w:r>
      <w:r w:rsidR="002038D3">
        <w:rPr>
          <w:rFonts w:asciiTheme="majorHAnsi" w:hAnsiTheme="majorHAnsi" w:cstheme="majorBidi"/>
          <w:sz w:val="23"/>
          <w:szCs w:val="23"/>
        </w:rPr>
        <w:t>s</w:t>
      </w:r>
      <w:r w:rsidR="00F55C25">
        <w:rPr>
          <w:rFonts w:asciiTheme="majorHAnsi" w:hAnsiTheme="majorHAnsi" w:cstheme="majorBidi"/>
          <w:sz w:val="23"/>
          <w:szCs w:val="23"/>
        </w:rPr>
        <w:t>,</w:t>
      </w:r>
      <w:r w:rsidR="002C44D0">
        <w:rPr>
          <w:rFonts w:asciiTheme="majorHAnsi" w:hAnsiTheme="majorHAnsi" w:cstheme="majorBidi"/>
          <w:sz w:val="23"/>
          <w:szCs w:val="23"/>
        </w:rPr>
        <w:t xml:space="preserve"> </w:t>
      </w:r>
      <w:r w:rsidR="00154816">
        <w:rPr>
          <w:rFonts w:asciiTheme="majorHAnsi" w:hAnsiTheme="majorHAnsi" w:cstheme="majorBidi"/>
          <w:sz w:val="23"/>
          <w:szCs w:val="23"/>
        </w:rPr>
        <w:t xml:space="preserve">what </w:t>
      </w:r>
      <w:r w:rsidR="002C44D0">
        <w:rPr>
          <w:rFonts w:asciiTheme="majorHAnsi" w:hAnsiTheme="majorHAnsi" w:cstheme="majorBidi"/>
          <w:sz w:val="23"/>
          <w:szCs w:val="23"/>
        </w:rPr>
        <w:t xml:space="preserve">gaps and unmet needs </w:t>
      </w:r>
      <w:r w:rsidR="00154816">
        <w:rPr>
          <w:rFonts w:asciiTheme="majorHAnsi" w:hAnsiTheme="majorHAnsi" w:cstheme="majorBidi"/>
          <w:sz w:val="23"/>
          <w:szCs w:val="23"/>
        </w:rPr>
        <w:t xml:space="preserve">were </w:t>
      </w:r>
      <w:r w:rsidR="004E3BFA">
        <w:rPr>
          <w:rFonts w:asciiTheme="majorHAnsi" w:hAnsiTheme="majorHAnsi" w:cstheme="majorBidi"/>
          <w:sz w:val="23"/>
          <w:szCs w:val="23"/>
        </w:rPr>
        <w:t>exposed</w:t>
      </w:r>
      <w:r w:rsidR="004137BE">
        <w:rPr>
          <w:rFonts w:asciiTheme="majorHAnsi" w:hAnsiTheme="majorHAnsi" w:cstheme="majorBidi"/>
          <w:sz w:val="23"/>
          <w:szCs w:val="23"/>
        </w:rPr>
        <w:t xml:space="preserve">, and </w:t>
      </w:r>
      <w:r w:rsidR="00324BA7">
        <w:rPr>
          <w:rFonts w:asciiTheme="majorHAnsi" w:hAnsiTheme="majorHAnsi" w:cstheme="majorBidi"/>
          <w:sz w:val="23"/>
          <w:szCs w:val="23"/>
        </w:rPr>
        <w:t>suggestions on priority areas for action and specific initiatives</w:t>
      </w:r>
      <w:r w:rsidR="00330ECC">
        <w:rPr>
          <w:rFonts w:asciiTheme="majorHAnsi" w:hAnsiTheme="majorHAnsi" w:cstheme="majorBidi"/>
          <w:sz w:val="23"/>
          <w:szCs w:val="23"/>
        </w:rPr>
        <w:t xml:space="preserve"> that would benefit </w:t>
      </w:r>
      <w:r w:rsidR="00154816">
        <w:rPr>
          <w:rFonts w:asciiTheme="majorHAnsi" w:hAnsiTheme="majorHAnsi" w:cstheme="majorBidi"/>
          <w:sz w:val="23"/>
          <w:szCs w:val="23"/>
        </w:rPr>
        <w:t xml:space="preserve">these </w:t>
      </w:r>
      <w:r w:rsidR="00330ECC">
        <w:rPr>
          <w:rFonts w:asciiTheme="majorHAnsi" w:hAnsiTheme="majorHAnsi" w:cstheme="majorBidi"/>
          <w:sz w:val="23"/>
          <w:szCs w:val="23"/>
        </w:rPr>
        <w:t>communities</w:t>
      </w:r>
      <w:r w:rsidR="00F00E3D" w:rsidRPr="178087EA">
        <w:rPr>
          <w:rFonts w:asciiTheme="majorHAnsi" w:hAnsiTheme="majorHAnsi" w:cstheme="majorBidi"/>
          <w:sz w:val="23"/>
          <w:szCs w:val="23"/>
        </w:rPr>
        <w:t>.</w:t>
      </w:r>
    </w:p>
    <w:p w14:paraId="27BBB747" w14:textId="77777777" w:rsidR="00EF7E59" w:rsidRDefault="00EF7E59">
      <w:pPr>
        <w:spacing w:after="0" w:line="240" w:lineRule="auto"/>
        <w:rPr>
          <w:rFonts w:asciiTheme="majorHAnsi" w:hAnsiTheme="majorHAnsi" w:cstheme="majorBidi"/>
          <w:color w:val="000000"/>
          <w:sz w:val="23"/>
          <w:szCs w:val="23"/>
        </w:rPr>
      </w:pPr>
      <w:r>
        <w:rPr>
          <w:rFonts w:asciiTheme="majorHAnsi" w:hAnsiTheme="majorHAnsi" w:cstheme="majorBidi"/>
          <w:sz w:val="23"/>
          <w:szCs w:val="23"/>
        </w:rPr>
        <w:br w:type="page"/>
      </w:r>
    </w:p>
    <w:p w14:paraId="438CEFAC" w14:textId="3A7F18ED" w:rsidR="00F00E3D" w:rsidRPr="003710F5" w:rsidRDefault="00636540" w:rsidP="00CE2E4E">
      <w:pPr>
        <w:widowControl w:val="0"/>
        <w:tabs>
          <w:tab w:val="right" w:leader="dot" w:pos="9912"/>
        </w:tabs>
        <w:suppressAutoHyphens/>
        <w:spacing w:after="0" w:line="276" w:lineRule="auto"/>
        <w:rPr>
          <w:rFonts w:eastAsia="Calibri" w:cstheme="minorHAnsi"/>
          <w:b/>
          <w:color w:val="2F5496" w:themeColor="accent1" w:themeShade="BF"/>
          <w:sz w:val="36"/>
          <w:szCs w:val="36"/>
        </w:rPr>
      </w:pPr>
      <w:bookmarkStart w:id="81" w:name="OLE_LINK11"/>
      <w:bookmarkStart w:id="82" w:name="OLE_LINK12"/>
      <w:r w:rsidRPr="003710F5">
        <w:rPr>
          <w:rFonts w:eastAsia="Calibri" w:cstheme="minorHAnsi"/>
          <w:b/>
          <w:color w:val="2F5496" w:themeColor="accent1" w:themeShade="BF"/>
          <w:sz w:val="36"/>
          <w:szCs w:val="36"/>
        </w:rPr>
        <w:lastRenderedPageBreak/>
        <w:t xml:space="preserve">SECTION 6: </w:t>
      </w:r>
      <w:r w:rsidR="00F00E3D" w:rsidRPr="003710F5">
        <w:rPr>
          <w:rFonts w:eastAsia="Calibri" w:cstheme="minorHAnsi"/>
          <w:b/>
          <w:color w:val="2F5496" w:themeColor="accent1" w:themeShade="BF"/>
          <w:sz w:val="36"/>
          <w:szCs w:val="36"/>
        </w:rPr>
        <w:t>Impact</w:t>
      </w:r>
      <w:r w:rsidR="00E9751C" w:rsidRPr="003710F5">
        <w:rPr>
          <w:rFonts w:eastAsia="Calibri" w:cstheme="minorHAnsi"/>
          <w:b/>
          <w:color w:val="2F5496" w:themeColor="accent1" w:themeShade="BF"/>
          <w:sz w:val="36"/>
          <w:szCs w:val="36"/>
        </w:rPr>
        <w:t>s</w:t>
      </w:r>
      <w:r w:rsidR="00F00E3D" w:rsidRPr="003710F5">
        <w:rPr>
          <w:rFonts w:eastAsia="Calibri" w:cstheme="minorHAnsi"/>
          <w:b/>
          <w:color w:val="2F5496" w:themeColor="accent1" w:themeShade="BF"/>
          <w:sz w:val="36"/>
          <w:szCs w:val="36"/>
        </w:rPr>
        <w:t xml:space="preserve"> </w:t>
      </w:r>
      <w:r w:rsidR="00826C0E" w:rsidRPr="003710F5">
        <w:rPr>
          <w:rFonts w:eastAsia="Calibri" w:cstheme="minorHAnsi"/>
          <w:b/>
          <w:color w:val="2F5496" w:themeColor="accent1" w:themeShade="BF"/>
          <w:sz w:val="36"/>
          <w:szCs w:val="36"/>
        </w:rPr>
        <w:t>of</w:t>
      </w:r>
      <w:r w:rsidR="00F00E3D" w:rsidRPr="003710F5">
        <w:rPr>
          <w:rFonts w:eastAsia="Calibri" w:cstheme="minorHAnsi"/>
          <w:b/>
          <w:color w:val="2F5496" w:themeColor="accent1" w:themeShade="BF"/>
          <w:sz w:val="36"/>
          <w:szCs w:val="36"/>
        </w:rPr>
        <w:t xml:space="preserve"> </w:t>
      </w:r>
      <w:r w:rsidR="00940D80" w:rsidRPr="003710F5">
        <w:rPr>
          <w:rFonts w:eastAsia="Calibri" w:cstheme="minorHAnsi"/>
          <w:b/>
          <w:color w:val="2F5496" w:themeColor="accent1" w:themeShade="BF"/>
          <w:sz w:val="36"/>
          <w:szCs w:val="36"/>
        </w:rPr>
        <w:t>COVID</w:t>
      </w:r>
      <w:r w:rsidR="00F00E3D" w:rsidRPr="003710F5">
        <w:rPr>
          <w:rFonts w:eastAsia="Calibri" w:cstheme="minorHAnsi"/>
          <w:b/>
          <w:color w:val="2F5496" w:themeColor="accent1" w:themeShade="BF"/>
          <w:sz w:val="36"/>
          <w:szCs w:val="36"/>
        </w:rPr>
        <w:t xml:space="preserve">-19 </w:t>
      </w:r>
      <w:proofErr w:type="gramStart"/>
      <w:r w:rsidR="00BF21AC" w:rsidRPr="003710F5">
        <w:rPr>
          <w:rFonts w:eastAsia="Calibri" w:cstheme="minorHAnsi"/>
          <w:b/>
          <w:color w:val="2F5496" w:themeColor="accent1" w:themeShade="BF"/>
          <w:sz w:val="36"/>
          <w:szCs w:val="36"/>
        </w:rPr>
        <w:t>o</w:t>
      </w:r>
      <w:r w:rsidR="00E9751C" w:rsidRPr="003710F5">
        <w:rPr>
          <w:rFonts w:eastAsia="Calibri" w:cstheme="minorHAnsi"/>
          <w:b/>
          <w:color w:val="2F5496" w:themeColor="accent1" w:themeShade="BF"/>
          <w:sz w:val="36"/>
          <w:szCs w:val="36"/>
        </w:rPr>
        <w:t>n</w:t>
      </w:r>
      <w:proofErr w:type="gramEnd"/>
      <w:r w:rsidR="00E9751C" w:rsidRPr="003710F5">
        <w:rPr>
          <w:rFonts w:eastAsia="Calibri" w:cstheme="minorHAnsi"/>
          <w:b/>
          <w:color w:val="2F5496" w:themeColor="accent1" w:themeShade="BF"/>
          <w:sz w:val="36"/>
          <w:szCs w:val="36"/>
        </w:rPr>
        <w:t xml:space="preserve"> </w:t>
      </w:r>
      <w:r w:rsidR="00826C0E" w:rsidRPr="003710F5">
        <w:rPr>
          <w:rFonts w:eastAsia="Calibri" w:cstheme="minorHAnsi"/>
          <w:b/>
          <w:color w:val="2F5496" w:themeColor="accent1" w:themeShade="BF"/>
          <w:sz w:val="36"/>
          <w:szCs w:val="36"/>
        </w:rPr>
        <w:t>Australia</w:t>
      </w:r>
      <w:r w:rsidR="00E9751C" w:rsidRPr="003710F5">
        <w:rPr>
          <w:rFonts w:eastAsia="Calibri" w:cstheme="minorHAnsi"/>
          <w:b/>
          <w:color w:val="2F5496" w:themeColor="accent1" w:themeShade="BF"/>
          <w:sz w:val="36"/>
          <w:szCs w:val="36"/>
        </w:rPr>
        <w:t xml:space="preserve"> and Geelong</w:t>
      </w:r>
    </w:p>
    <w:p w14:paraId="5245401A" w14:textId="45B91683" w:rsidR="001F13AB" w:rsidRPr="00CE2E4E" w:rsidRDefault="001F13AB" w:rsidP="00CE2E4E">
      <w:pPr>
        <w:widowControl w:val="0"/>
        <w:tabs>
          <w:tab w:val="right" w:leader="dot" w:pos="9912"/>
        </w:tabs>
        <w:suppressAutoHyphens/>
        <w:spacing w:after="0" w:line="276" w:lineRule="auto"/>
        <w:rPr>
          <w:rFonts w:asciiTheme="majorHAnsi" w:eastAsia="Calibri" w:hAnsiTheme="majorHAnsi" w:cstheme="majorHAnsi"/>
          <w:bCs/>
          <w:sz w:val="12"/>
          <w:szCs w:val="12"/>
        </w:rPr>
      </w:pPr>
    </w:p>
    <w:p w14:paraId="6753E57B" w14:textId="7DEE63E8" w:rsidR="001F13AB" w:rsidRPr="00CE2E4E" w:rsidRDefault="001F13AB" w:rsidP="004D51EB">
      <w:pPr>
        <w:widowControl w:val="0"/>
        <w:tabs>
          <w:tab w:val="right" w:leader="dot" w:pos="9912"/>
        </w:tabs>
        <w:suppressAutoHyphens/>
        <w:spacing w:after="0" w:line="276" w:lineRule="auto"/>
        <w:rPr>
          <w:rFonts w:asciiTheme="majorHAnsi" w:eastAsia="Calibri" w:hAnsiTheme="majorHAnsi" w:cstheme="majorHAnsi"/>
          <w:bCs/>
          <w:sz w:val="23"/>
          <w:szCs w:val="23"/>
        </w:rPr>
      </w:pPr>
      <w:r w:rsidRPr="001F13AB">
        <w:rPr>
          <w:rFonts w:asciiTheme="majorHAnsi" w:eastAsia="Calibri" w:hAnsiTheme="majorHAnsi" w:cstheme="majorHAnsi"/>
          <w:bCs/>
          <w:sz w:val="23"/>
          <w:szCs w:val="23"/>
        </w:rPr>
        <w:t xml:space="preserve">This section </w:t>
      </w:r>
      <w:r w:rsidR="009E01BC">
        <w:rPr>
          <w:rFonts w:asciiTheme="majorHAnsi" w:eastAsia="Calibri" w:hAnsiTheme="majorHAnsi" w:cstheme="majorHAnsi"/>
          <w:bCs/>
          <w:sz w:val="23"/>
          <w:szCs w:val="23"/>
        </w:rPr>
        <w:t>is structured as follows:</w:t>
      </w:r>
    </w:p>
    <w:p w14:paraId="0812B961" w14:textId="0FE4FBA8" w:rsidR="009E01BC" w:rsidRPr="008F1CE2" w:rsidRDefault="008F1CE2" w:rsidP="00364C5D">
      <w:pPr>
        <w:pStyle w:val="ListParagraph"/>
        <w:widowControl w:val="0"/>
        <w:numPr>
          <w:ilvl w:val="0"/>
          <w:numId w:val="75"/>
        </w:numPr>
        <w:tabs>
          <w:tab w:val="right" w:leader="dot" w:pos="9912"/>
        </w:tabs>
        <w:suppressAutoHyphens/>
        <w:spacing w:after="0" w:line="276" w:lineRule="auto"/>
        <w:rPr>
          <w:rFonts w:asciiTheme="majorHAnsi" w:hAnsiTheme="majorHAnsi" w:cstheme="majorHAnsi"/>
          <w:noProof/>
          <w:sz w:val="23"/>
          <w:szCs w:val="23"/>
        </w:rPr>
      </w:pPr>
      <w:r>
        <w:rPr>
          <w:rFonts w:asciiTheme="majorHAnsi" w:hAnsiTheme="majorHAnsi" w:cstheme="majorHAnsi"/>
          <w:noProof/>
          <w:sz w:val="23"/>
          <w:szCs w:val="23"/>
        </w:rPr>
        <w:t>N</w:t>
      </w:r>
      <w:r w:rsidR="009E01BC" w:rsidRPr="008F1CE2">
        <w:rPr>
          <w:rFonts w:asciiTheme="majorHAnsi" w:hAnsiTheme="majorHAnsi" w:cstheme="majorHAnsi"/>
          <w:noProof/>
          <w:sz w:val="23"/>
          <w:szCs w:val="23"/>
        </w:rPr>
        <w:t>ational trends</w:t>
      </w:r>
      <w:r>
        <w:rPr>
          <w:rFonts w:asciiTheme="majorHAnsi" w:hAnsiTheme="majorHAnsi" w:cstheme="majorHAnsi"/>
          <w:noProof/>
          <w:sz w:val="23"/>
          <w:szCs w:val="23"/>
        </w:rPr>
        <w:t>:</w:t>
      </w:r>
      <w:r w:rsidR="009E01BC" w:rsidRPr="008F1CE2">
        <w:rPr>
          <w:rFonts w:asciiTheme="majorHAnsi" w:hAnsiTheme="majorHAnsi" w:cstheme="majorHAnsi"/>
          <w:noProof/>
          <w:sz w:val="23"/>
          <w:szCs w:val="23"/>
        </w:rPr>
        <w:t xml:space="preserve"> COVID-19’s impact in relation to the economy, income, and each of the five </w:t>
      </w:r>
      <w:r w:rsidR="00D95573">
        <w:rPr>
          <w:rFonts w:asciiTheme="majorHAnsi" w:hAnsiTheme="majorHAnsi" w:cstheme="majorHAnsi"/>
          <w:noProof/>
          <w:sz w:val="23"/>
          <w:szCs w:val="23"/>
        </w:rPr>
        <w:t>Practice Domain</w:t>
      </w:r>
      <w:r w:rsidR="009E01BC" w:rsidRPr="008F1CE2">
        <w:rPr>
          <w:rFonts w:asciiTheme="majorHAnsi" w:hAnsiTheme="majorHAnsi" w:cstheme="majorHAnsi"/>
          <w:noProof/>
          <w:sz w:val="23"/>
          <w:szCs w:val="23"/>
        </w:rPr>
        <w:t>s, concluding with a summary of how these trends impact on disadvantage</w:t>
      </w:r>
    </w:p>
    <w:p w14:paraId="2F48CAA3" w14:textId="44AB101D" w:rsidR="009E01BC" w:rsidRPr="008F1CE2" w:rsidRDefault="009E01BC" w:rsidP="00364C5D">
      <w:pPr>
        <w:pStyle w:val="ListParagraph"/>
        <w:widowControl w:val="0"/>
        <w:numPr>
          <w:ilvl w:val="0"/>
          <w:numId w:val="75"/>
        </w:numPr>
        <w:tabs>
          <w:tab w:val="right" w:leader="dot" w:pos="9912"/>
        </w:tabs>
        <w:suppressAutoHyphens/>
        <w:spacing w:after="0" w:line="276" w:lineRule="auto"/>
        <w:rPr>
          <w:rFonts w:asciiTheme="majorHAnsi" w:hAnsiTheme="majorHAnsi" w:cstheme="majorHAnsi"/>
          <w:noProof/>
          <w:sz w:val="23"/>
          <w:szCs w:val="23"/>
        </w:rPr>
      </w:pPr>
      <w:r w:rsidRPr="008F1CE2">
        <w:rPr>
          <w:rFonts w:asciiTheme="majorHAnsi" w:hAnsiTheme="majorHAnsi" w:cstheme="majorHAnsi"/>
          <w:noProof/>
          <w:sz w:val="23"/>
          <w:szCs w:val="23"/>
        </w:rPr>
        <w:t>A portrait of Geelong before the pandemic (2019)</w:t>
      </w:r>
      <w:r w:rsidR="007E6A41">
        <w:rPr>
          <w:rFonts w:asciiTheme="majorHAnsi" w:hAnsiTheme="majorHAnsi" w:cstheme="majorHAnsi"/>
          <w:noProof/>
          <w:sz w:val="23"/>
          <w:szCs w:val="23"/>
        </w:rPr>
        <w:t>,</w:t>
      </w:r>
      <w:r w:rsidRPr="008F1CE2">
        <w:rPr>
          <w:rFonts w:asciiTheme="majorHAnsi" w:hAnsiTheme="majorHAnsi" w:cstheme="majorHAnsi"/>
          <w:noProof/>
          <w:sz w:val="23"/>
          <w:szCs w:val="23"/>
        </w:rPr>
        <w:t xml:space="preserve"> and during </w:t>
      </w:r>
      <w:r w:rsidR="007E6A41">
        <w:rPr>
          <w:rFonts w:asciiTheme="majorHAnsi" w:hAnsiTheme="majorHAnsi" w:cstheme="majorHAnsi"/>
          <w:noProof/>
          <w:sz w:val="23"/>
          <w:szCs w:val="23"/>
        </w:rPr>
        <w:t>the</w:t>
      </w:r>
      <w:r w:rsidRPr="008F1CE2">
        <w:rPr>
          <w:rFonts w:asciiTheme="majorHAnsi" w:hAnsiTheme="majorHAnsi" w:cstheme="majorHAnsi"/>
          <w:noProof/>
          <w:sz w:val="23"/>
          <w:szCs w:val="23"/>
        </w:rPr>
        <w:t xml:space="preserve"> first year</w:t>
      </w:r>
      <w:r w:rsidR="007E6A41">
        <w:rPr>
          <w:rFonts w:asciiTheme="majorHAnsi" w:hAnsiTheme="majorHAnsi" w:cstheme="majorHAnsi"/>
          <w:noProof/>
          <w:sz w:val="23"/>
          <w:szCs w:val="23"/>
        </w:rPr>
        <w:t xml:space="preserve"> of the crisis</w:t>
      </w:r>
      <w:r w:rsidRPr="008F1CE2">
        <w:rPr>
          <w:rFonts w:asciiTheme="majorHAnsi" w:hAnsiTheme="majorHAnsi" w:cstheme="majorHAnsi"/>
          <w:noProof/>
          <w:sz w:val="23"/>
          <w:szCs w:val="23"/>
        </w:rPr>
        <w:t xml:space="preserve"> (2020), including a picture of</w:t>
      </w:r>
      <w:r w:rsidR="007E6A41">
        <w:rPr>
          <w:rFonts w:asciiTheme="majorHAnsi" w:hAnsiTheme="majorHAnsi" w:cstheme="majorHAnsi"/>
          <w:noProof/>
          <w:sz w:val="23"/>
          <w:szCs w:val="23"/>
        </w:rPr>
        <w:t xml:space="preserve"> </w:t>
      </w:r>
      <w:r w:rsidRPr="008F1CE2">
        <w:rPr>
          <w:rFonts w:asciiTheme="majorHAnsi" w:hAnsiTheme="majorHAnsi" w:cstheme="majorHAnsi"/>
          <w:noProof/>
          <w:sz w:val="23"/>
          <w:szCs w:val="23"/>
        </w:rPr>
        <w:t xml:space="preserve">employment losses, local reponses, and </w:t>
      </w:r>
      <w:r w:rsidR="007E6A41">
        <w:rPr>
          <w:rFonts w:asciiTheme="majorHAnsi" w:hAnsiTheme="majorHAnsi" w:cstheme="majorHAnsi"/>
          <w:noProof/>
          <w:sz w:val="23"/>
          <w:szCs w:val="23"/>
        </w:rPr>
        <w:t>in-migration.</w:t>
      </w:r>
    </w:p>
    <w:p w14:paraId="5C49E554" w14:textId="55E26336" w:rsidR="009E01BC" w:rsidRPr="008F1CE2" w:rsidRDefault="009E01BC" w:rsidP="00364C5D">
      <w:pPr>
        <w:pStyle w:val="ListParagraph"/>
        <w:widowControl w:val="0"/>
        <w:numPr>
          <w:ilvl w:val="0"/>
          <w:numId w:val="75"/>
        </w:numPr>
        <w:tabs>
          <w:tab w:val="right" w:leader="dot" w:pos="9912"/>
        </w:tabs>
        <w:suppressAutoHyphens/>
        <w:spacing w:after="0" w:line="276" w:lineRule="auto"/>
        <w:rPr>
          <w:rFonts w:asciiTheme="majorHAnsi" w:hAnsiTheme="majorHAnsi" w:cstheme="majorHAnsi"/>
          <w:noProof/>
          <w:sz w:val="23"/>
          <w:szCs w:val="23"/>
        </w:rPr>
      </w:pPr>
      <w:r w:rsidRPr="008F1CE2">
        <w:rPr>
          <w:rFonts w:asciiTheme="majorHAnsi" w:hAnsiTheme="majorHAnsi" w:cstheme="majorHAnsi"/>
          <w:noProof/>
          <w:sz w:val="23"/>
          <w:szCs w:val="23"/>
        </w:rPr>
        <w:t xml:space="preserve">Looking ahead </w:t>
      </w:r>
      <w:r w:rsidR="007E6A41">
        <w:rPr>
          <w:rFonts w:asciiTheme="majorHAnsi" w:hAnsiTheme="majorHAnsi" w:cstheme="majorHAnsi"/>
          <w:noProof/>
          <w:sz w:val="23"/>
          <w:szCs w:val="23"/>
        </w:rPr>
        <w:t>at</w:t>
      </w:r>
      <w:r w:rsidR="008F1CE2">
        <w:rPr>
          <w:rFonts w:asciiTheme="majorHAnsi" w:hAnsiTheme="majorHAnsi" w:cstheme="majorHAnsi"/>
          <w:noProof/>
          <w:sz w:val="23"/>
          <w:szCs w:val="23"/>
        </w:rPr>
        <w:t xml:space="preserve"> </w:t>
      </w:r>
      <w:r w:rsidRPr="008F1CE2">
        <w:rPr>
          <w:rFonts w:asciiTheme="majorHAnsi" w:hAnsiTheme="majorHAnsi" w:cstheme="majorHAnsi"/>
          <w:noProof/>
          <w:sz w:val="23"/>
          <w:szCs w:val="23"/>
        </w:rPr>
        <w:t>likely future impacts</w:t>
      </w:r>
      <w:r w:rsidR="00CE2E4E">
        <w:rPr>
          <w:rFonts w:asciiTheme="majorHAnsi" w:hAnsiTheme="majorHAnsi" w:cstheme="majorHAnsi"/>
          <w:noProof/>
          <w:sz w:val="23"/>
          <w:szCs w:val="23"/>
        </w:rPr>
        <w:t xml:space="preserve"> on Geelong</w:t>
      </w:r>
      <w:r w:rsidR="008F1CE2">
        <w:rPr>
          <w:rFonts w:asciiTheme="majorHAnsi" w:hAnsiTheme="majorHAnsi" w:cstheme="majorHAnsi"/>
          <w:noProof/>
          <w:sz w:val="23"/>
          <w:szCs w:val="23"/>
        </w:rPr>
        <w:t>.</w:t>
      </w:r>
    </w:p>
    <w:p w14:paraId="29900FAF" w14:textId="671F085F" w:rsidR="001F13AB" w:rsidRPr="00EF7E59" w:rsidRDefault="001F13AB" w:rsidP="004D51EB">
      <w:pPr>
        <w:widowControl w:val="0"/>
        <w:tabs>
          <w:tab w:val="right" w:leader="dot" w:pos="9912"/>
        </w:tabs>
        <w:suppressAutoHyphens/>
        <w:spacing w:after="0" w:line="276" w:lineRule="auto"/>
        <w:rPr>
          <w:rFonts w:cstheme="minorHAnsi"/>
          <w:b/>
          <w:bCs/>
          <w:caps/>
          <w:noProof/>
          <w:sz w:val="12"/>
          <w:szCs w:val="12"/>
          <w:highlight w:val="yellow"/>
        </w:rPr>
      </w:pPr>
    </w:p>
    <w:bookmarkEnd w:id="81"/>
    <w:bookmarkEnd w:id="82"/>
    <w:p w14:paraId="10D37F64" w14:textId="203E8458" w:rsidR="00F00E3D" w:rsidRPr="003710F5" w:rsidRDefault="00F04772" w:rsidP="004D51EB">
      <w:pPr>
        <w:spacing w:line="276" w:lineRule="auto"/>
        <w:rPr>
          <w:rFonts w:eastAsia="Calibri" w:cstheme="minorHAnsi"/>
          <w:b/>
          <w:color w:val="2F5496" w:themeColor="accent1" w:themeShade="BF"/>
          <w:sz w:val="28"/>
          <w:szCs w:val="28"/>
        </w:rPr>
      </w:pPr>
      <w:r w:rsidRPr="003710F5">
        <w:rPr>
          <w:rFonts w:eastAsia="Calibri" w:cstheme="minorHAnsi"/>
          <w:b/>
          <w:color w:val="2F5496" w:themeColor="accent1" w:themeShade="BF"/>
          <w:sz w:val="28"/>
          <w:szCs w:val="28"/>
        </w:rPr>
        <w:t>6.1</w:t>
      </w:r>
      <w:r w:rsidR="00010A97" w:rsidRPr="003710F5">
        <w:rPr>
          <w:rFonts w:eastAsia="Calibri" w:cstheme="minorHAnsi"/>
          <w:b/>
          <w:color w:val="2F5496" w:themeColor="accent1" w:themeShade="BF"/>
          <w:sz w:val="28"/>
          <w:szCs w:val="28"/>
        </w:rPr>
        <w:t xml:space="preserve"> </w:t>
      </w:r>
      <w:r w:rsidR="00F00E3D" w:rsidRPr="003710F5">
        <w:rPr>
          <w:rFonts w:eastAsia="Calibri" w:cstheme="minorHAnsi"/>
          <w:b/>
          <w:color w:val="2F5496" w:themeColor="accent1" w:themeShade="BF"/>
          <w:sz w:val="28"/>
          <w:szCs w:val="28"/>
        </w:rPr>
        <w:t>National Trends</w:t>
      </w:r>
    </w:p>
    <w:p w14:paraId="1CCAD401" w14:textId="1967EBC1" w:rsidR="00F00E3D" w:rsidRPr="003710F5" w:rsidRDefault="00010A97" w:rsidP="004D51EB">
      <w:pPr>
        <w:spacing w:line="276" w:lineRule="auto"/>
        <w:rPr>
          <w:rFonts w:eastAsia="Calibri" w:cstheme="minorHAnsi"/>
          <w:b/>
          <w:color w:val="2F5496" w:themeColor="accent1" w:themeShade="BF"/>
          <w:sz w:val="25"/>
          <w:szCs w:val="25"/>
        </w:rPr>
      </w:pPr>
      <w:r w:rsidRPr="003710F5">
        <w:rPr>
          <w:rFonts w:eastAsia="Calibri" w:cstheme="minorHAnsi"/>
          <w:b/>
          <w:color w:val="2F5496" w:themeColor="accent1" w:themeShade="BF"/>
          <w:sz w:val="25"/>
          <w:szCs w:val="25"/>
        </w:rPr>
        <w:t xml:space="preserve">6.1.1 </w:t>
      </w:r>
      <w:r w:rsidR="00F00E3D" w:rsidRPr="003710F5">
        <w:rPr>
          <w:rFonts w:eastAsia="Calibri" w:cstheme="minorHAnsi"/>
          <w:b/>
          <w:color w:val="2F5496" w:themeColor="accent1" w:themeShade="BF"/>
          <w:sz w:val="25"/>
          <w:szCs w:val="25"/>
        </w:rPr>
        <w:t xml:space="preserve">Economy </w:t>
      </w:r>
      <w:r w:rsidR="00C554A9" w:rsidRPr="003710F5">
        <w:rPr>
          <w:rFonts w:eastAsia="Calibri" w:cstheme="minorHAnsi"/>
          <w:b/>
          <w:color w:val="2F5496" w:themeColor="accent1" w:themeShade="BF"/>
          <w:sz w:val="25"/>
          <w:szCs w:val="25"/>
        </w:rPr>
        <w:t>and</w:t>
      </w:r>
      <w:r w:rsidR="00F00E3D" w:rsidRPr="003710F5">
        <w:rPr>
          <w:rFonts w:eastAsia="Calibri" w:cstheme="minorHAnsi"/>
          <w:b/>
          <w:color w:val="2F5496" w:themeColor="accent1" w:themeShade="BF"/>
          <w:sz w:val="25"/>
          <w:szCs w:val="25"/>
        </w:rPr>
        <w:t xml:space="preserve"> Income</w:t>
      </w:r>
    </w:p>
    <w:p w14:paraId="2C33F871" w14:textId="655A32F7" w:rsidR="00F00E3D" w:rsidRPr="00DD331C" w:rsidRDefault="00F00E3D" w:rsidP="004D51EB">
      <w:pPr>
        <w:spacing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During the Global Financial Crisis (2007</w:t>
      </w:r>
      <w:r w:rsidR="00E21A2B">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2009) the Australian economy contracted by 0.5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w:t>
      </w:r>
      <w:r w:rsidR="00663718">
        <w:rPr>
          <w:rFonts w:ascii="Calibri Light" w:eastAsia="Calibri" w:hAnsi="Calibri Light" w:cs="Calibri Light"/>
          <w:sz w:val="23"/>
          <w:szCs w:val="23"/>
        </w:rPr>
        <w:t xml:space="preserve">In </w:t>
      </w:r>
      <w:r w:rsidRPr="00DD331C">
        <w:rPr>
          <w:rFonts w:ascii="Calibri Light" w:eastAsia="Calibri" w:hAnsi="Calibri Light" w:cs="Calibri Light"/>
          <w:sz w:val="23"/>
          <w:szCs w:val="23"/>
        </w:rPr>
        <w:t xml:space="preserve">the first half of 2020, the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 xml:space="preserve">-19 pandemic </w:t>
      </w:r>
      <w:r w:rsidR="00E21A2B">
        <w:rPr>
          <w:rFonts w:ascii="Calibri Light" w:eastAsia="Calibri" w:hAnsi="Calibri Light" w:cs="Calibri Light"/>
          <w:sz w:val="23"/>
          <w:szCs w:val="23"/>
        </w:rPr>
        <w:t>caused</w:t>
      </w:r>
      <w:r w:rsidRPr="00DD331C">
        <w:rPr>
          <w:rFonts w:ascii="Calibri Light" w:eastAsia="Calibri" w:hAnsi="Calibri Light" w:cs="Calibri Light"/>
          <w:sz w:val="23"/>
          <w:szCs w:val="23"/>
        </w:rPr>
        <w:t xml:space="preserve"> the most severe contraction in global and domestic economic activity in decades </w:t>
      </w:r>
      <w:r w:rsidRPr="00DD331C">
        <w:rPr>
          <w:rFonts w:ascii="Calibri Light" w:eastAsia="Calibri" w:hAnsi="Calibri Light" w:cs="Calibri Light"/>
          <w:noProof/>
          <w:sz w:val="23"/>
          <w:szCs w:val="23"/>
        </w:rPr>
        <w:t>(Reserve Bank of Australia, 2020)</w:t>
      </w:r>
      <w:r w:rsidRPr="00DD331C">
        <w:rPr>
          <w:rFonts w:ascii="Calibri Light" w:eastAsia="Calibri" w:hAnsi="Calibri Light" w:cs="Calibri Light"/>
          <w:sz w:val="23"/>
          <w:szCs w:val="23"/>
        </w:rPr>
        <w:t xml:space="preserve">. By the June quarter </w:t>
      </w:r>
      <w:r w:rsidR="00663718">
        <w:rPr>
          <w:rFonts w:ascii="Calibri Light" w:eastAsia="Calibri" w:hAnsi="Calibri Light" w:cs="Calibri Light"/>
          <w:sz w:val="23"/>
          <w:szCs w:val="23"/>
        </w:rPr>
        <w:t xml:space="preserve">of </w:t>
      </w:r>
      <w:r w:rsidRPr="00DD331C">
        <w:rPr>
          <w:rFonts w:ascii="Calibri Light" w:eastAsia="Calibri" w:hAnsi="Calibri Light" w:cs="Calibri Light"/>
          <w:sz w:val="23"/>
          <w:szCs w:val="23"/>
        </w:rPr>
        <w:t>2020</w:t>
      </w:r>
      <w:r w:rsidR="00663718">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the Australian economy had contracted 7.0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w:t>
      </w:r>
      <w:r w:rsidR="00A4271B">
        <w:rPr>
          <w:rFonts w:ascii="Calibri Light" w:eastAsia="Calibri" w:hAnsi="Calibri Light" w:cs="Calibri Light"/>
          <w:sz w:val="23"/>
          <w:szCs w:val="23"/>
        </w:rPr>
        <w:t>This</w:t>
      </w:r>
      <w:r w:rsidRPr="00DD331C">
        <w:rPr>
          <w:rFonts w:ascii="Calibri Light" w:eastAsia="Calibri" w:hAnsi="Calibri Light" w:cs="Calibri Light"/>
          <w:sz w:val="23"/>
          <w:szCs w:val="23"/>
        </w:rPr>
        <w:t xml:space="preserve"> was the second consecutive quarterly contraction</w:t>
      </w:r>
      <w:r w:rsidR="00A4271B">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and the sharpest on record, </w:t>
      </w:r>
      <w:r w:rsidR="00663718">
        <w:rPr>
          <w:rFonts w:ascii="Calibri Light" w:eastAsia="Calibri" w:hAnsi="Calibri Light" w:cs="Calibri Light"/>
          <w:sz w:val="23"/>
          <w:szCs w:val="23"/>
        </w:rPr>
        <w:t>sending</w:t>
      </w:r>
      <w:r w:rsidRPr="00DD331C">
        <w:rPr>
          <w:rFonts w:ascii="Calibri Light" w:eastAsia="Calibri" w:hAnsi="Calibri Light" w:cs="Calibri Light"/>
          <w:sz w:val="23"/>
          <w:szCs w:val="23"/>
        </w:rPr>
        <w:t xml:space="preserve"> Australia into </w:t>
      </w:r>
      <w:r w:rsidR="00663718">
        <w:rPr>
          <w:rFonts w:ascii="Calibri Light" w:eastAsia="Calibri" w:hAnsi="Calibri Light" w:cs="Calibri Light"/>
          <w:sz w:val="23"/>
          <w:szCs w:val="23"/>
        </w:rPr>
        <w:t>its</w:t>
      </w:r>
      <w:r w:rsidRPr="00DD331C">
        <w:rPr>
          <w:rFonts w:ascii="Calibri Light" w:eastAsia="Calibri" w:hAnsi="Calibri Light" w:cs="Calibri Light"/>
          <w:sz w:val="23"/>
          <w:szCs w:val="23"/>
        </w:rPr>
        <w:t xml:space="preserve"> first recession in 30 years. By February 2021, a domestic recovery had occurred faster than was expected, with the Victorian lockdown impacting economic activity less than had been predicted </w:t>
      </w:r>
      <w:r w:rsidRPr="00DD331C">
        <w:rPr>
          <w:rFonts w:ascii="Calibri Light" w:eastAsia="Calibri" w:hAnsi="Calibri Light" w:cs="Calibri Light"/>
          <w:noProof/>
          <w:sz w:val="23"/>
          <w:szCs w:val="23"/>
        </w:rPr>
        <w:t>(Reserve Bank of Australia, 2021)</w:t>
      </w:r>
      <w:r w:rsidRPr="00DD331C">
        <w:rPr>
          <w:rFonts w:ascii="Calibri Light" w:eastAsia="Calibri" w:hAnsi="Calibri Light" w:cs="Calibri Light"/>
          <w:sz w:val="23"/>
          <w:szCs w:val="23"/>
        </w:rPr>
        <w:t xml:space="preserve">. This recovery was consistent with </w:t>
      </w:r>
      <w:r w:rsidR="00A4271B">
        <w:rPr>
          <w:rFonts w:ascii="Calibri Light" w:eastAsia="Calibri" w:hAnsi="Calibri Light" w:cs="Calibri Light"/>
          <w:sz w:val="23"/>
          <w:szCs w:val="23"/>
        </w:rPr>
        <w:t>global patterns,</w:t>
      </w:r>
      <w:r w:rsidRPr="00DD331C">
        <w:rPr>
          <w:rFonts w:ascii="Calibri Light" w:eastAsia="Calibri" w:hAnsi="Calibri Light" w:cs="Calibri Light"/>
          <w:sz w:val="23"/>
          <w:szCs w:val="23"/>
        </w:rPr>
        <w:t xml:space="preserve"> where</w:t>
      </w:r>
      <w:r w:rsidR="00A4271B">
        <w:rPr>
          <w:rFonts w:ascii="Calibri Light" w:eastAsia="Calibri" w:hAnsi="Calibri Light" w:cs="Calibri Light"/>
          <w:sz w:val="23"/>
          <w:szCs w:val="23"/>
        </w:rPr>
        <w:t>by</w:t>
      </w:r>
      <w:r w:rsidRPr="00DD331C">
        <w:rPr>
          <w:rFonts w:ascii="Calibri Light" w:eastAsia="Calibri" w:hAnsi="Calibri Light" w:cs="Calibri Light"/>
          <w:sz w:val="23"/>
          <w:szCs w:val="23"/>
        </w:rPr>
        <w:t xml:space="preserve"> partial recovery has followed the easing of lockdown restrictions. </w:t>
      </w:r>
      <w:r w:rsidR="00342A71">
        <w:rPr>
          <w:rFonts w:ascii="Calibri Light" w:eastAsia="Calibri" w:hAnsi="Calibri Light" w:cs="Calibri Light"/>
          <w:sz w:val="23"/>
          <w:szCs w:val="23"/>
        </w:rPr>
        <w:t>However, t</w:t>
      </w:r>
      <w:r w:rsidRPr="00DD331C">
        <w:rPr>
          <w:rFonts w:ascii="Calibri Light" w:eastAsia="Calibri" w:hAnsi="Calibri Light" w:cs="Calibri Light"/>
          <w:sz w:val="23"/>
          <w:szCs w:val="23"/>
        </w:rPr>
        <w:t xml:space="preserve">he unpredictability of the economic context was </w:t>
      </w:r>
      <w:r w:rsidR="00342A71">
        <w:rPr>
          <w:rFonts w:ascii="Calibri Light" w:eastAsia="Calibri" w:hAnsi="Calibri Light" w:cs="Calibri Light"/>
          <w:sz w:val="23"/>
          <w:szCs w:val="23"/>
        </w:rPr>
        <w:t>underscored</w:t>
      </w:r>
      <w:r w:rsidRPr="00DD331C">
        <w:rPr>
          <w:rFonts w:ascii="Calibri Light" w:eastAsia="Calibri" w:hAnsi="Calibri Light" w:cs="Calibri Light"/>
          <w:sz w:val="23"/>
          <w:szCs w:val="23"/>
        </w:rPr>
        <w:t xml:space="preserve"> by a snap </w:t>
      </w:r>
      <w:r w:rsidR="001011BF">
        <w:rPr>
          <w:rFonts w:ascii="Calibri Light" w:eastAsia="Calibri" w:hAnsi="Calibri Light" w:cs="Calibri Light"/>
          <w:sz w:val="23"/>
          <w:szCs w:val="23"/>
        </w:rPr>
        <w:t>S</w:t>
      </w:r>
      <w:r w:rsidRPr="00DD331C">
        <w:rPr>
          <w:rFonts w:ascii="Calibri Light" w:eastAsia="Calibri" w:hAnsi="Calibri Light" w:cs="Calibri Light"/>
          <w:sz w:val="23"/>
          <w:szCs w:val="23"/>
        </w:rPr>
        <w:t>tage</w:t>
      </w:r>
      <w:r w:rsidR="001011BF">
        <w:rPr>
          <w:rFonts w:ascii="Calibri Light" w:eastAsia="Calibri" w:hAnsi="Calibri Light" w:cs="Calibri Light"/>
          <w:sz w:val="23"/>
          <w:szCs w:val="23"/>
        </w:rPr>
        <w:t xml:space="preserve"> F</w:t>
      </w:r>
      <w:r w:rsidR="00A4271B">
        <w:rPr>
          <w:rFonts w:ascii="Calibri Light" w:eastAsia="Calibri" w:hAnsi="Calibri Light" w:cs="Calibri Light"/>
          <w:sz w:val="23"/>
          <w:szCs w:val="23"/>
        </w:rPr>
        <w:t>our</w:t>
      </w:r>
      <w:r w:rsidR="00342A71">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w:t>
      </w:r>
      <w:r w:rsidR="00342A71">
        <w:rPr>
          <w:rFonts w:ascii="Calibri Light" w:eastAsia="Calibri" w:hAnsi="Calibri Light" w:cs="Calibri Light"/>
          <w:sz w:val="23"/>
          <w:szCs w:val="23"/>
        </w:rPr>
        <w:t>five</w:t>
      </w:r>
      <w:r w:rsidRPr="00DD331C">
        <w:rPr>
          <w:rFonts w:ascii="Calibri Light" w:eastAsia="Calibri" w:hAnsi="Calibri Light" w:cs="Calibri Light"/>
          <w:sz w:val="23"/>
          <w:szCs w:val="23"/>
        </w:rPr>
        <w:t xml:space="preserve">-day lockdown in Victoria in mid-February. To </w:t>
      </w:r>
      <w:r w:rsidR="000D271B">
        <w:rPr>
          <w:rFonts w:ascii="Calibri Light" w:eastAsia="Calibri" w:hAnsi="Calibri Light" w:cs="Calibri Light"/>
          <w:sz w:val="23"/>
          <w:szCs w:val="23"/>
        </w:rPr>
        <w:t>provide</w:t>
      </w:r>
      <w:r w:rsidRPr="00DD331C">
        <w:rPr>
          <w:rFonts w:ascii="Calibri Light" w:eastAsia="Calibri" w:hAnsi="Calibri Light" w:cs="Calibri Light"/>
          <w:sz w:val="23"/>
          <w:szCs w:val="23"/>
        </w:rPr>
        <w:t xml:space="preserve"> context </w:t>
      </w:r>
      <w:r w:rsidR="000D271B">
        <w:rPr>
          <w:rFonts w:ascii="Calibri Light" w:eastAsia="Calibri" w:hAnsi="Calibri Light" w:cs="Calibri Light"/>
          <w:sz w:val="23"/>
          <w:szCs w:val="23"/>
        </w:rPr>
        <w:t>for</w:t>
      </w:r>
      <w:r w:rsidRPr="00DD331C">
        <w:rPr>
          <w:rFonts w:ascii="Calibri Light" w:eastAsia="Calibri" w:hAnsi="Calibri Light" w:cs="Calibri Light"/>
          <w:sz w:val="23"/>
          <w:szCs w:val="23"/>
        </w:rPr>
        <w:t xml:space="preserve"> the impacts of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 xml:space="preserve">-19 on the five </w:t>
      </w:r>
      <w:r w:rsidR="00D95573">
        <w:rPr>
          <w:rFonts w:ascii="Calibri Light" w:eastAsia="Calibri" w:hAnsi="Calibri Light" w:cs="Calibri Light"/>
          <w:sz w:val="23"/>
          <w:szCs w:val="23"/>
        </w:rPr>
        <w:t>Practice Domain</w:t>
      </w:r>
      <w:r w:rsidRPr="00DD331C">
        <w:rPr>
          <w:rFonts w:ascii="Calibri Light" w:eastAsia="Calibri" w:hAnsi="Calibri Light" w:cs="Calibri Light"/>
          <w:sz w:val="23"/>
          <w:szCs w:val="23"/>
        </w:rPr>
        <w:t>s, we will look now at this evolving picture in a more detail.</w:t>
      </w:r>
    </w:p>
    <w:p w14:paraId="60CEC4DD" w14:textId="77777777" w:rsidR="00F00E3D" w:rsidRPr="006F4CEA" w:rsidRDefault="00F00E3D" w:rsidP="004D51EB">
      <w:pPr>
        <w:spacing w:after="0" w:line="276" w:lineRule="auto"/>
        <w:rPr>
          <w:rFonts w:ascii="Calibri Light" w:eastAsia="Calibri" w:hAnsi="Calibri Light" w:cs="Calibri Light"/>
          <w:sz w:val="12"/>
          <w:szCs w:val="12"/>
        </w:rPr>
      </w:pPr>
    </w:p>
    <w:p w14:paraId="77634CDD" w14:textId="039084B7" w:rsidR="00F00E3D" w:rsidRPr="00DD331C" w:rsidRDefault="00F00E3D" w:rsidP="004D51EB">
      <w:pPr>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In 2019, Australia was not in great economic shape. While </w:t>
      </w:r>
      <w:r w:rsidR="000E36F9">
        <w:rPr>
          <w:rFonts w:ascii="Calibri Light" w:eastAsia="Calibri" w:hAnsi="Calibri Light" w:cs="Calibri Light"/>
          <w:sz w:val="23"/>
          <w:szCs w:val="23"/>
        </w:rPr>
        <w:t>the country had seen</w:t>
      </w:r>
      <w:r w:rsidRPr="00DD331C">
        <w:rPr>
          <w:rFonts w:ascii="Calibri Light" w:eastAsia="Calibri" w:hAnsi="Calibri Light" w:cs="Calibri Light"/>
          <w:sz w:val="23"/>
          <w:szCs w:val="23"/>
        </w:rPr>
        <w:t xml:space="preserve"> over 20 years of uninterrupted economic growth, this had slowed considerably and there was rising unemployment, stagnant wage growth, and interest rates at close to zero. Consumer confidence was down, and retail spending slumped to a 28-year low nationally </w:t>
      </w:r>
      <w:r w:rsidRPr="00DF244B">
        <w:rPr>
          <w:rFonts w:ascii="Calibri Light" w:eastAsia="Calibri" w:hAnsi="Calibri Light" w:cs="Calibri Light"/>
          <w:sz w:val="23"/>
          <w:szCs w:val="23"/>
        </w:rPr>
        <w:t>in 2019. Nationwide</w:t>
      </w:r>
      <w:r w:rsidR="00A73A77" w:rsidRPr="00DF244B">
        <w:rPr>
          <w:rFonts w:ascii="Calibri Light" w:eastAsia="Calibri" w:hAnsi="Calibri Light" w:cs="Calibri Light"/>
          <w:sz w:val="23"/>
          <w:szCs w:val="23"/>
        </w:rPr>
        <w:t>,</w:t>
      </w:r>
      <w:r w:rsidRPr="00DF244B">
        <w:rPr>
          <w:rFonts w:ascii="Calibri Light" w:eastAsia="Calibri" w:hAnsi="Calibri Light" w:cs="Calibri Light"/>
          <w:sz w:val="23"/>
          <w:szCs w:val="23"/>
        </w:rPr>
        <w:t xml:space="preserve"> over 160 popular Australian chain stores were earmarked for closure in late 2019, including </w:t>
      </w:r>
      <w:proofErr w:type="spellStart"/>
      <w:r w:rsidRPr="00DF244B">
        <w:rPr>
          <w:rFonts w:ascii="Calibri Light" w:eastAsia="Calibri" w:hAnsi="Calibri Light" w:cs="Calibri Light"/>
          <w:sz w:val="23"/>
          <w:szCs w:val="23"/>
        </w:rPr>
        <w:t>Dimmy’s</w:t>
      </w:r>
      <w:proofErr w:type="spellEnd"/>
      <w:r w:rsidRPr="00DF244B">
        <w:rPr>
          <w:rFonts w:ascii="Calibri Light" w:eastAsia="Calibri" w:hAnsi="Calibri Light" w:cs="Calibri Light"/>
          <w:sz w:val="23"/>
          <w:szCs w:val="23"/>
        </w:rPr>
        <w:t xml:space="preserve">, Bardot, EB Games, </w:t>
      </w:r>
      <w:proofErr w:type="spellStart"/>
      <w:r w:rsidRPr="00DF244B">
        <w:rPr>
          <w:rFonts w:ascii="Calibri Light" w:eastAsia="Calibri" w:hAnsi="Calibri Light" w:cs="Calibri Light"/>
          <w:sz w:val="23"/>
          <w:szCs w:val="23"/>
        </w:rPr>
        <w:t>JeansWest</w:t>
      </w:r>
      <w:proofErr w:type="spellEnd"/>
      <w:r w:rsidRPr="00DF244B">
        <w:rPr>
          <w:rFonts w:ascii="Calibri Light" w:eastAsia="Calibri" w:hAnsi="Calibri Light" w:cs="Calibri Light"/>
          <w:sz w:val="23"/>
          <w:szCs w:val="23"/>
        </w:rPr>
        <w:t xml:space="preserve"> and Curious Planet (National Geographic)</w:t>
      </w:r>
      <w:r w:rsidR="00DF244B" w:rsidRPr="00DF244B">
        <w:rPr>
          <w:rFonts w:ascii="Calibri Light" w:eastAsia="Calibri" w:hAnsi="Calibri Light" w:cs="Calibri Light"/>
          <w:sz w:val="23"/>
          <w:szCs w:val="23"/>
        </w:rPr>
        <w:t>, which closed Geelong outlets.</w:t>
      </w:r>
      <w:r w:rsidRPr="00DF244B">
        <w:rPr>
          <w:rFonts w:ascii="Calibri Light" w:eastAsia="Calibri" w:hAnsi="Calibri Light" w:cs="Calibri Light"/>
          <w:sz w:val="23"/>
          <w:szCs w:val="23"/>
        </w:rPr>
        <w:t xml:space="preserve"> </w:t>
      </w:r>
    </w:p>
    <w:p w14:paraId="3BE77794" w14:textId="54209FAB" w:rsidR="00131F19" w:rsidRDefault="00F00E3D" w:rsidP="004D51EB">
      <w:pPr>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The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 xml:space="preserve">-19 </w:t>
      </w:r>
      <w:r w:rsidR="00866C65">
        <w:rPr>
          <w:rFonts w:ascii="Calibri Light" w:eastAsia="Calibri" w:hAnsi="Calibri Light" w:cs="Calibri Light"/>
          <w:sz w:val="23"/>
          <w:szCs w:val="23"/>
        </w:rPr>
        <w:t>pan</w:t>
      </w:r>
      <w:r w:rsidRPr="00DD331C">
        <w:rPr>
          <w:rFonts w:ascii="Calibri Light" w:eastAsia="Calibri" w:hAnsi="Calibri Light" w:cs="Calibri Light"/>
          <w:sz w:val="23"/>
          <w:szCs w:val="23"/>
        </w:rPr>
        <w:t>demic therefore hit an already-vulnerable economy.</w:t>
      </w:r>
      <w:r w:rsidRPr="00DD331C" w:rsidDel="00BC723B">
        <w:rPr>
          <w:rFonts w:ascii="Calibri Light" w:eastAsia="Calibri" w:hAnsi="Calibri Light" w:cs="Calibri Light"/>
          <w:sz w:val="23"/>
          <w:szCs w:val="23"/>
        </w:rPr>
        <w:t xml:space="preserve"> </w:t>
      </w:r>
      <w:r w:rsidRPr="00DD331C">
        <w:rPr>
          <w:rFonts w:ascii="Calibri Light" w:eastAsia="Calibri" w:hAnsi="Calibri Light" w:cs="Calibri Light"/>
          <w:sz w:val="23"/>
          <w:szCs w:val="23"/>
        </w:rPr>
        <w:t xml:space="preserve">As Australia began implementing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-19 social distancing rules and stay</w:t>
      </w:r>
      <w:r w:rsidR="00DF244B">
        <w:rPr>
          <w:rFonts w:ascii="Calibri Light" w:eastAsia="Calibri" w:hAnsi="Calibri Light" w:cs="Calibri Light"/>
          <w:sz w:val="23"/>
          <w:szCs w:val="23"/>
        </w:rPr>
        <w:t>-</w:t>
      </w:r>
      <w:r w:rsidRPr="00DD331C">
        <w:rPr>
          <w:rFonts w:ascii="Calibri Light" w:eastAsia="Calibri" w:hAnsi="Calibri Light" w:cs="Calibri Light"/>
          <w:sz w:val="23"/>
          <w:szCs w:val="23"/>
        </w:rPr>
        <w:t>at</w:t>
      </w:r>
      <w:r w:rsidR="00DF244B">
        <w:rPr>
          <w:rFonts w:ascii="Calibri Light" w:eastAsia="Calibri" w:hAnsi="Calibri Light" w:cs="Calibri Light"/>
          <w:sz w:val="23"/>
          <w:szCs w:val="23"/>
        </w:rPr>
        <w:t>-</w:t>
      </w:r>
      <w:r w:rsidRPr="00DD331C">
        <w:rPr>
          <w:rFonts w:ascii="Calibri Light" w:eastAsia="Calibri" w:hAnsi="Calibri Light" w:cs="Calibri Light"/>
          <w:sz w:val="23"/>
          <w:szCs w:val="23"/>
        </w:rPr>
        <w:t>home restrictions, the national borders closed on 20 March 2020. Over the March quarter 2020</w:t>
      </w:r>
      <w:r w:rsidR="00DF244B">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GDP fell 0.3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leading to a 2 percent contraction by the end of the year. Incomes rose by 6.2 </w:t>
      </w:r>
      <w:r w:rsidR="00065A1B">
        <w:rPr>
          <w:rFonts w:ascii="Calibri Light" w:eastAsia="Calibri" w:hAnsi="Calibri Light" w:cs="Calibri Light"/>
          <w:sz w:val="23"/>
          <w:szCs w:val="23"/>
        </w:rPr>
        <w:t>percent</w:t>
      </w:r>
      <w:r w:rsidR="00DC5AEB">
        <w:rPr>
          <w:rFonts w:ascii="Calibri Light" w:eastAsia="Calibri" w:hAnsi="Calibri Light" w:cs="Calibri Light"/>
          <w:sz w:val="23"/>
          <w:szCs w:val="23"/>
        </w:rPr>
        <w:t xml:space="preserve"> over this period</w:t>
      </w:r>
      <w:r w:rsidRPr="00DD331C">
        <w:rPr>
          <w:rFonts w:ascii="Calibri Light" w:eastAsia="Calibri" w:hAnsi="Calibri Light" w:cs="Calibri Light"/>
          <w:sz w:val="23"/>
          <w:szCs w:val="23"/>
        </w:rPr>
        <w:t xml:space="preserve">, but only as a result of government payments related to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 xml:space="preserve">-19 and </w:t>
      </w:r>
      <w:r w:rsidR="00DC5AEB">
        <w:rPr>
          <w:rFonts w:ascii="Calibri Light" w:eastAsia="Calibri" w:hAnsi="Calibri Light" w:cs="Calibri Light"/>
          <w:sz w:val="23"/>
          <w:szCs w:val="23"/>
        </w:rPr>
        <w:t xml:space="preserve">the Black Summer </w:t>
      </w:r>
      <w:r w:rsidRPr="00DD331C">
        <w:rPr>
          <w:rFonts w:ascii="Calibri Light" w:eastAsia="Calibri" w:hAnsi="Calibri Light" w:cs="Calibri Light"/>
          <w:sz w:val="23"/>
          <w:szCs w:val="23"/>
        </w:rPr>
        <w:t xml:space="preserve">bushfires, along with an 11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increase in insurance payouts as a result of bushfire and hailstorm claims. But rather than spend this additional income, Australians saved. </w:t>
      </w:r>
      <w:r w:rsidR="00131F19">
        <w:rPr>
          <w:rFonts w:ascii="Calibri Light" w:eastAsia="Calibri" w:hAnsi="Calibri Light" w:cs="Calibri Light"/>
          <w:sz w:val="23"/>
          <w:szCs w:val="23"/>
        </w:rPr>
        <w:t>While</w:t>
      </w:r>
      <w:r w:rsidRPr="00DD331C">
        <w:rPr>
          <w:rFonts w:ascii="Calibri Light" w:eastAsia="Calibri" w:hAnsi="Calibri Light" w:cs="Calibri Light"/>
          <w:sz w:val="23"/>
          <w:szCs w:val="23"/>
        </w:rPr>
        <w:t xml:space="preserve">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-19 reduced overall consumer spending, some sectors</w:t>
      </w:r>
      <w:r w:rsidR="00131F19">
        <w:rPr>
          <w:rFonts w:ascii="Calibri Light" w:eastAsia="Calibri" w:hAnsi="Calibri Light" w:cs="Calibri Light"/>
          <w:sz w:val="23"/>
          <w:szCs w:val="23"/>
        </w:rPr>
        <w:t xml:space="preserve"> did</w:t>
      </w:r>
      <w:r w:rsidRPr="00DD331C">
        <w:rPr>
          <w:rFonts w:ascii="Calibri Light" w:eastAsia="Calibri" w:hAnsi="Calibri Light" w:cs="Calibri Light"/>
          <w:sz w:val="23"/>
          <w:szCs w:val="23"/>
        </w:rPr>
        <w:t xml:space="preserve"> experience a lift as people stocked up on food, </w:t>
      </w:r>
      <w:r w:rsidR="00A16DB1" w:rsidRPr="00DD331C">
        <w:rPr>
          <w:rFonts w:ascii="Calibri Light" w:eastAsia="Calibri" w:hAnsi="Calibri Light" w:cs="Calibri Light"/>
          <w:sz w:val="23"/>
          <w:szCs w:val="23"/>
        </w:rPr>
        <w:t>home furnishings, household equipment</w:t>
      </w:r>
      <w:r w:rsidR="00131F19">
        <w:rPr>
          <w:rFonts w:ascii="Calibri Light" w:eastAsia="Calibri" w:hAnsi="Calibri Light" w:cs="Calibri Light"/>
          <w:sz w:val="23"/>
          <w:szCs w:val="23"/>
        </w:rPr>
        <w:t>,</w:t>
      </w:r>
      <w:r w:rsidR="00A16DB1" w:rsidRPr="00DD331C">
        <w:rPr>
          <w:rFonts w:ascii="Calibri Light" w:eastAsia="Calibri" w:hAnsi="Calibri Light" w:cs="Calibri Light"/>
          <w:sz w:val="23"/>
          <w:szCs w:val="23"/>
        </w:rPr>
        <w:t xml:space="preserve"> </w:t>
      </w:r>
      <w:r w:rsidR="00131F19">
        <w:rPr>
          <w:rFonts w:ascii="Calibri Light" w:eastAsia="Calibri" w:hAnsi="Calibri Light" w:cs="Calibri Light"/>
          <w:sz w:val="23"/>
          <w:szCs w:val="23"/>
        </w:rPr>
        <w:t xml:space="preserve">and </w:t>
      </w:r>
      <w:r w:rsidRPr="00DD331C">
        <w:rPr>
          <w:rFonts w:ascii="Calibri Light" w:eastAsia="Calibri" w:hAnsi="Calibri Light" w:cs="Calibri Light"/>
          <w:sz w:val="23"/>
          <w:szCs w:val="23"/>
        </w:rPr>
        <w:t>cleaning products, a</w:t>
      </w:r>
      <w:r w:rsidR="00131F19">
        <w:rPr>
          <w:rFonts w:ascii="Calibri Light" w:eastAsia="Calibri" w:hAnsi="Calibri Light" w:cs="Calibri Light"/>
          <w:sz w:val="23"/>
          <w:szCs w:val="23"/>
        </w:rPr>
        <w:t>nd spent more money on</w:t>
      </w:r>
      <w:r w:rsidRPr="00DD331C">
        <w:rPr>
          <w:rFonts w:ascii="Calibri Light" w:eastAsia="Calibri" w:hAnsi="Calibri Light" w:cs="Calibri Light"/>
          <w:sz w:val="23"/>
          <w:szCs w:val="23"/>
        </w:rPr>
        <w:t xml:space="preserve"> communications</w:t>
      </w:r>
      <w:r w:rsidR="00131F19">
        <w:rPr>
          <w:rFonts w:ascii="Calibri Light" w:eastAsia="Calibri" w:hAnsi="Calibri Light" w:cs="Calibri Light"/>
          <w:sz w:val="23"/>
          <w:szCs w:val="23"/>
        </w:rPr>
        <w:t xml:space="preserve"> and </w:t>
      </w:r>
      <w:r w:rsidR="00131F19" w:rsidRPr="00DD331C">
        <w:rPr>
          <w:rFonts w:ascii="Calibri Light" w:eastAsia="Calibri" w:hAnsi="Calibri Light" w:cs="Calibri Light"/>
          <w:sz w:val="23"/>
          <w:szCs w:val="23"/>
        </w:rPr>
        <w:t>education</w:t>
      </w:r>
      <w:r w:rsidRPr="00DD331C">
        <w:rPr>
          <w:rFonts w:ascii="Calibri Light" w:eastAsia="Calibri" w:hAnsi="Calibri Light" w:cs="Calibri Light"/>
          <w:sz w:val="23"/>
          <w:szCs w:val="23"/>
        </w:rPr>
        <w:t>. Other sectors saw dramatic falls, led by transport, hotels, cafes</w:t>
      </w:r>
      <w:r w:rsidR="00131F19">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and restaurants (down 9.2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along with falls in </w:t>
      </w:r>
      <w:r w:rsidR="0059653C">
        <w:rPr>
          <w:rFonts w:ascii="Calibri Light" w:eastAsia="Calibri" w:hAnsi="Calibri Light" w:cs="Calibri Light"/>
          <w:sz w:val="23"/>
          <w:szCs w:val="23"/>
        </w:rPr>
        <w:t>sales of</w:t>
      </w:r>
      <w:r w:rsidRPr="00DD331C">
        <w:rPr>
          <w:rFonts w:ascii="Calibri Light" w:eastAsia="Calibri" w:hAnsi="Calibri Light" w:cs="Calibri Light"/>
          <w:sz w:val="23"/>
          <w:szCs w:val="23"/>
        </w:rPr>
        <w:t xml:space="preserve"> clothing, footwear</w:t>
      </w:r>
      <w:r w:rsidR="0059653C">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and vehicles (both their purchase and operation</w:t>
      </w:r>
      <w:r w:rsidR="0059653C">
        <w:rPr>
          <w:rFonts w:ascii="Calibri Light" w:eastAsia="Calibri" w:hAnsi="Calibri Light" w:cs="Calibri Light"/>
          <w:sz w:val="23"/>
          <w:szCs w:val="23"/>
        </w:rPr>
        <w:t xml:space="preserve"> costs</w:t>
      </w:r>
      <w:r w:rsidRPr="00DD331C">
        <w:rPr>
          <w:rFonts w:ascii="Calibri Light" w:eastAsia="Calibri" w:hAnsi="Calibri Light" w:cs="Calibri Light"/>
          <w:sz w:val="23"/>
          <w:szCs w:val="23"/>
        </w:rPr>
        <w:t>) (Martin, 2020).</w:t>
      </w:r>
      <w:bookmarkStart w:id="83" w:name="_Hlk45201829"/>
    </w:p>
    <w:p w14:paraId="3788C0C8" w14:textId="799B2DB7" w:rsidR="00F00E3D" w:rsidRPr="00DD331C" w:rsidRDefault="00F00E3D" w:rsidP="004D51EB">
      <w:pPr>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While consumption increased nationally in the September </w:t>
      </w:r>
      <w:r w:rsidR="00131F19">
        <w:rPr>
          <w:rFonts w:ascii="Calibri Light" w:eastAsia="Calibri" w:hAnsi="Calibri Light" w:cs="Calibri Light"/>
          <w:sz w:val="23"/>
          <w:szCs w:val="23"/>
        </w:rPr>
        <w:t xml:space="preserve">2020 </w:t>
      </w:r>
      <w:r w:rsidRPr="00DD331C">
        <w:rPr>
          <w:rFonts w:ascii="Calibri Light" w:eastAsia="Calibri" w:hAnsi="Calibri Light" w:cs="Calibri Light"/>
          <w:sz w:val="23"/>
          <w:szCs w:val="23"/>
        </w:rPr>
        <w:t xml:space="preserve">quarter, following an extremely weak June quarter, the global recession reduced export demand for Australian goods and services and disrupted supply chains that businesses depend on. </w:t>
      </w:r>
      <w:r w:rsidR="00DD2B0E">
        <w:rPr>
          <w:rFonts w:ascii="Calibri Light" w:eastAsia="Calibri" w:hAnsi="Calibri Light" w:cs="Calibri Light"/>
          <w:sz w:val="23"/>
          <w:szCs w:val="23"/>
        </w:rPr>
        <w:t>In October t</w:t>
      </w:r>
      <w:r w:rsidRPr="00DD331C">
        <w:rPr>
          <w:rFonts w:ascii="Calibri Light" w:eastAsia="Calibri" w:hAnsi="Calibri Light" w:cs="Calibri Light"/>
          <w:sz w:val="23"/>
          <w:szCs w:val="23"/>
        </w:rPr>
        <w:t xml:space="preserve">he International Monetary Fund (IMF) </w:t>
      </w:r>
      <w:r w:rsidRPr="00DD331C">
        <w:rPr>
          <w:rFonts w:ascii="Calibri Light" w:eastAsia="Calibri" w:hAnsi="Calibri Light" w:cs="Calibri Light"/>
          <w:sz w:val="23"/>
          <w:szCs w:val="23"/>
        </w:rPr>
        <w:lastRenderedPageBreak/>
        <w:t xml:space="preserve">estimated a </w:t>
      </w:r>
      <w:r w:rsidR="00125C15" w:rsidRPr="00DD331C">
        <w:rPr>
          <w:rFonts w:ascii="Calibri Light" w:eastAsia="Calibri" w:hAnsi="Calibri Light" w:cs="Calibri Light"/>
          <w:sz w:val="23"/>
          <w:szCs w:val="23"/>
        </w:rPr>
        <w:t xml:space="preserve">-3.5 percent </w:t>
      </w:r>
      <w:r w:rsidRPr="00DD331C">
        <w:rPr>
          <w:rFonts w:ascii="Calibri Light" w:eastAsia="Calibri" w:hAnsi="Calibri Light" w:cs="Calibri Light"/>
          <w:sz w:val="23"/>
          <w:szCs w:val="23"/>
        </w:rPr>
        <w:t>global growth contraction for 2020, 0.9 percentage point</w:t>
      </w:r>
      <w:r w:rsidR="00DD2B0E">
        <w:rPr>
          <w:rFonts w:ascii="Calibri Light" w:eastAsia="Calibri" w:hAnsi="Calibri Light" w:cs="Calibri Light"/>
          <w:sz w:val="23"/>
          <w:szCs w:val="23"/>
        </w:rPr>
        <w:t>s</w:t>
      </w:r>
      <w:r w:rsidRPr="00DD331C">
        <w:rPr>
          <w:rFonts w:ascii="Calibri Light" w:eastAsia="Calibri" w:hAnsi="Calibri Light" w:cs="Calibri Light"/>
          <w:sz w:val="23"/>
          <w:szCs w:val="23"/>
        </w:rPr>
        <w:t xml:space="preserve"> higher than projected in the previous forecast (reflecting stronger-than-expected momentum in the second half of 2020). Amid exceptional uncertainty, </w:t>
      </w:r>
      <w:r w:rsidR="00334112" w:rsidRPr="00DD331C">
        <w:rPr>
          <w:rFonts w:ascii="Calibri Light" w:eastAsia="Calibri" w:hAnsi="Calibri Light" w:cs="Calibri Light"/>
          <w:sz w:val="23"/>
          <w:szCs w:val="23"/>
        </w:rPr>
        <w:t xml:space="preserve">in January 2021 </w:t>
      </w:r>
      <w:r w:rsidRPr="00DD331C">
        <w:rPr>
          <w:rFonts w:ascii="Calibri Light" w:eastAsia="Calibri" w:hAnsi="Calibri Light" w:cs="Calibri Light"/>
          <w:sz w:val="23"/>
          <w:szCs w:val="23"/>
        </w:rPr>
        <w:t xml:space="preserve">the IMF reported that the global economy </w:t>
      </w:r>
      <w:r w:rsidR="00125C15">
        <w:rPr>
          <w:rFonts w:ascii="Calibri Light" w:eastAsia="Calibri" w:hAnsi="Calibri Light" w:cs="Calibri Light"/>
          <w:sz w:val="23"/>
          <w:szCs w:val="23"/>
        </w:rPr>
        <w:t>was</w:t>
      </w:r>
      <w:r w:rsidRPr="00DD331C">
        <w:rPr>
          <w:rFonts w:ascii="Calibri Light" w:eastAsia="Calibri" w:hAnsi="Calibri Light" w:cs="Calibri Light"/>
          <w:sz w:val="23"/>
          <w:szCs w:val="23"/>
        </w:rPr>
        <w:t xml:space="preserve"> projected to grow 5.5 percent in 2021 and 4.2 percent in 2022. </w:t>
      </w:r>
      <w:r w:rsidR="00E12395">
        <w:rPr>
          <w:rFonts w:ascii="Calibri Light" w:eastAsia="Calibri" w:hAnsi="Calibri Light" w:cs="Calibri Light"/>
          <w:sz w:val="23"/>
          <w:szCs w:val="23"/>
        </w:rPr>
        <w:t>In February 2021, g</w:t>
      </w:r>
      <w:r w:rsidRPr="00DD331C">
        <w:rPr>
          <w:rFonts w:ascii="Calibri Light" w:eastAsia="Calibri" w:hAnsi="Calibri Light" w:cs="Calibri Light"/>
          <w:sz w:val="23"/>
          <w:szCs w:val="23"/>
        </w:rPr>
        <w:t xml:space="preserve">rowth in the Australian economy </w:t>
      </w:r>
      <w:r w:rsidR="00E12395">
        <w:rPr>
          <w:rFonts w:ascii="Calibri Light" w:eastAsia="Calibri" w:hAnsi="Calibri Light" w:cs="Calibri Light"/>
          <w:sz w:val="23"/>
          <w:szCs w:val="23"/>
        </w:rPr>
        <w:t>wa</w:t>
      </w:r>
      <w:r w:rsidRPr="00DD331C">
        <w:rPr>
          <w:rFonts w:ascii="Calibri Light" w:eastAsia="Calibri" w:hAnsi="Calibri Light" w:cs="Calibri Light"/>
          <w:sz w:val="23"/>
          <w:szCs w:val="23"/>
        </w:rPr>
        <w:t xml:space="preserve">s expected to be around 3.5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over </w:t>
      </w:r>
      <w:r w:rsidR="00EE56D6">
        <w:rPr>
          <w:rFonts w:ascii="Calibri Light" w:eastAsia="Calibri" w:hAnsi="Calibri Light" w:cs="Calibri Light"/>
          <w:sz w:val="23"/>
          <w:szCs w:val="23"/>
        </w:rPr>
        <w:t>both</w:t>
      </w:r>
      <w:r w:rsidRPr="00DD331C">
        <w:rPr>
          <w:rFonts w:ascii="Calibri Light" w:eastAsia="Calibri" w:hAnsi="Calibri Light" w:cs="Calibri Light"/>
          <w:sz w:val="23"/>
          <w:szCs w:val="23"/>
        </w:rPr>
        <w:t xml:space="preserve"> 2021 and 2022 as the recovery progresses </w:t>
      </w:r>
      <w:r w:rsidRPr="00DD331C">
        <w:rPr>
          <w:rFonts w:ascii="Calibri Light" w:eastAsia="Calibri" w:hAnsi="Calibri Light" w:cs="Calibri Light"/>
          <w:noProof/>
          <w:sz w:val="23"/>
          <w:szCs w:val="23"/>
        </w:rPr>
        <w:t>(Reserve Bank of Australia, 2021)</w:t>
      </w:r>
      <w:r w:rsidRPr="00DD331C">
        <w:rPr>
          <w:rFonts w:ascii="Calibri Light" w:eastAsia="Calibri" w:hAnsi="Calibri Light" w:cs="Calibri Light"/>
          <w:sz w:val="23"/>
          <w:szCs w:val="23"/>
        </w:rPr>
        <w:t>.</w:t>
      </w:r>
    </w:p>
    <w:p w14:paraId="1458944C" w14:textId="4553B008" w:rsidR="00F00E3D" w:rsidRPr="00DD331C" w:rsidRDefault="00F00E3D" w:rsidP="004D51EB">
      <w:pPr>
        <w:widowControl w:val="0"/>
        <w:spacing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In line with the unexpectedly speedy economic recovery</w:t>
      </w:r>
      <w:r w:rsidR="000B3CC4">
        <w:rPr>
          <w:rFonts w:ascii="Calibri Light" w:eastAsia="Calibri" w:hAnsi="Calibri Light" w:cs="Calibri Light"/>
          <w:sz w:val="23"/>
          <w:szCs w:val="23"/>
        </w:rPr>
        <w:t xml:space="preserve"> evident by</w:t>
      </w:r>
      <w:r w:rsidRPr="00DD331C">
        <w:rPr>
          <w:rFonts w:ascii="Calibri Light" w:eastAsia="Calibri" w:hAnsi="Calibri Light" w:cs="Calibri Light"/>
          <w:sz w:val="23"/>
          <w:szCs w:val="23"/>
        </w:rPr>
        <w:t xml:space="preserve"> February 2021, the labour market performed better than </w:t>
      </w:r>
      <w:r w:rsidRPr="000F634B">
        <w:rPr>
          <w:rFonts w:ascii="Calibri Light" w:eastAsia="Calibri" w:hAnsi="Calibri Light" w:cs="Calibri Light"/>
          <w:sz w:val="23"/>
          <w:szCs w:val="23"/>
        </w:rPr>
        <w:t>predicted</w:t>
      </w:r>
      <w:r w:rsidR="00F817A8" w:rsidRPr="000F634B">
        <w:rPr>
          <w:rFonts w:ascii="Calibri Light" w:eastAsia="Calibri" w:hAnsi="Calibri Light" w:cs="Calibri Light"/>
          <w:sz w:val="23"/>
          <w:szCs w:val="23"/>
        </w:rPr>
        <w:t>:</w:t>
      </w:r>
      <w:r w:rsidRPr="000F634B">
        <w:rPr>
          <w:rFonts w:ascii="Calibri Light" w:eastAsia="Calibri" w:hAnsi="Calibri Light" w:cs="Calibri Light"/>
          <w:sz w:val="23"/>
          <w:szCs w:val="23"/>
        </w:rPr>
        <w:t xml:space="preserve"> “</w:t>
      </w:r>
      <w:r w:rsidR="00F817A8" w:rsidRPr="000F634B">
        <w:rPr>
          <w:rFonts w:ascii="Calibri Light" w:eastAsia="Calibri" w:hAnsi="Calibri Light" w:cs="Calibri Light"/>
          <w:sz w:val="23"/>
          <w:szCs w:val="23"/>
        </w:rPr>
        <w:t>E</w:t>
      </w:r>
      <w:r w:rsidRPr="000F634B">
        <w:rPr>
          <w:rFonts w:ascii="Calibri Light" w:eastAsia="Calibri" w:hAnsi="Calibri Light" w:cs="Calibri Light"/>
          <w:sz w:val="23"/>
          <w:szCs w:val="23"/>
        </w:rPr>
        <w:t xml:space="preserve">mployment grew strongly over the latter part of 2020, and the unemployment rate declined to 6.6 </w:t>
      </w:r>
      <w:r w:rsidR="00065A1B" w:rsidRPr="000F634B">
        <w:rPr>
          <w:rFonts w:ascii="Calibri Light" w:eastAsia="Calibri" w:hAnsi="Calibri Light" w:cs="Calibri Light"/>
          <w:sz w:val="23"/>
          <w:szCs w:val="23"/>
        </w:rPr>
        <w:t>percent</w:t>
      </w:r>
      <w:r w:rsidRPr="000F634B">
        <w:rPr>
          <w:rFonts w:ascii="Calibri Light" w:eastAsia="Calibri" w:hAnsi="Calibri Light" w:cs="Calibri Light"/>
          <w:sz w:val="23"/>
          <w:szCs w:val="23"/>
        </w:rPr>
        <w:t xml:space="preserve"> in December” </w:t>
      </w:r>
      <w:r w:rsidRPr="000F634B">
        <w:rPr>
          <w:rFonts w:ascii="Calibri Light" w:eastAsia="Calibri" w:hAnsi="Calibri Light" w:cs="Calibri Light"/>
          <w:noProof/>
          <w:sz w:val="23"/>
          <w:szCs w:val="23"/>
        </w:rPr>
        <w:t>(Reserve Bank of Australia, 2021, p. 1)</w:t>
      </w:r>
      <w:r w:rsidRPr="000F634B">
        <w:rPr>
          <w:rFonts w:ascii="Calibri Light" w:eastAsia="Calibri" w:hAnsi="Calibri Light" w:cs="Calibri Light"/>
          <w:sz w:val="23"/>
          <w:szCs w:val="23"/>
        </w:rPr>
        <w:t xml:space="preserve">. </w:t>
      </w:r>
      <w:r w:rsidR="00F817A8" w:rsidRPr="000F634B">
        <w:rPr>
          <w:rFonts w:ascii="Calibri Light" w:eastAsia="Calibri" w:hAnsi="Calibri Light" w:cs="Calibri Light"/>
          <w:sz w:val="23"/>
          <w:szCs w:val="23"/>
        </w:rPr>
        <w:t>While</w:t>
      </w:r>
      <w:r w:rsidRPr="000F634B">
        <w:rPr>
          <w:rFonts w:ascii="Calibri Light" w:eastAsia="Calibri" w:hAnsi="Calibri Light" w:cs="Calibri Light"/>
          <w:sz w:val="23"/>
          <w:szCs w:val="23"/>
        </w:rPr>
        <w:t xml:space="preserve"> the sharp increase in unemployment </w:t>
      </w:r>
      <w:r w:rsidR="00DC5D63" w:rsidRPr="000F634B">
        <w:rPr>
          <w:rFonts w:ascii="Calibri Light" w:eastAsia="Calibri" w:hAnsi="Calibri Light" w:cs="Calibri Light"/>
          <w:sz w:val="23"/>
          <w:szCs w:val="23"/>
        </w:rPr>
        <w:t xml:space="preserve">at </w:t>
      </w:r>
      <w:r w:rsidRPr="000F634B">
        <w:rPr>
          <w:rFonts w:ascii="Calibri Light" w:eastAsia="Calibri" w:hAnsi="Calibri Light" w:cs="Calibri Light"/>
          <w:sz w:val="23"/>
          <w:szCs w:val="23"/>
        </w:rPr>
        <w:t>the height of the 2020 restrictions mostly reversed, over 900,000 Australians remain unemployed in the first</w:t>
      </w:r>
      <w:r w:rsidRPr="00DD331C">
        <w:rPr>
          <w:rFonts w:ascii="Calibri Light" w:eastAsia="Calibri" w:hAnsi="Calibri Light" w:cs="Calibri Light"/>
          <w:sz w:val="23"/>
          <w:szCs w:val="23"/>
        </w:rPr>
        <w:t xml:space="preserve"> quarter of 2021, around 220,000 more than at the onset of the pandemic.</w:t>
      </w:r>
    </w:p>
    <w:p w14:paraId="253DE0B5" w14:textId="77777777" w:rsidR="00F00E3D" w:rsidRPr="00DC5D63" w:rsidRDefault="00F00E3D" w:rsidP="004D51EB">
      <w:pPr>
        <w:widowControl w:val="0"/>
        <w:spacing w:after="0" w:line="276" w:lineRule="auto"/>
        <w:rPr>
          <w:rFonts w:ascii="Calibri Light" w:eastAsia="Calibri" w:hAnsi="Calibri Light" w:cs="Calibri Light"/>
          <w:sz w:val="12"/>
          <w:szCs w:val="12"/>
        </w:rPr>
      </w:pPr>
    </w:p>
    <w:p w14:paraId="51E242F7" w14:textId="5073BB15" w:rsidR="00F00E3D" w:rsidRPr="00DD331C" w:rsidRDefault="00F00E3D" w:rsidP="004D51EB">
      <w:pPr>
        <w:widowControl w:val="0"/>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In Victoria,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 xml:space="preserve">-19 Stage 3 </w:t>
      </w:r>
      <w:r w:rsidR="001011BF">
        <w:rPr>
          <w:rFonts w:ascii="Calibri Light" w:eastAsia="Calibri" w:hAnsi="Calibri Light" w:cs="Calibri Light"/>
          <w:sz w:val="23"/>
          <w:szCs w:val="23"/>
        </w:rPr>
        <w:t>s</w:t>
      </w:r>
      <w:r w:rsidRPr="00DD331C">
        <w:rPr>
          <w:rFonts w:ascii="Calibri Light" w:eastAsia="Calibri" w:hAnsi="Calibri Light" w:cs="Calibri Light"/>
          <w:sz w:val="23"/>
          <w:szCs w:val="23"/>
        </w:rPr>
        <w:t>tay</w:t>
      </w:r>
      <w:r w:rsidR="001011BF">
        <w:rPr>
          <w:rFonts w:ascii="Calibri Light" w:eastAsia="Calibri" w:hAnsi="Calibri Light" w:cs="Calibri Light"/>
          <w:sz w:val="23"/>
          <w:szCs w:val="23"/>
        </w:rPr>
        <w:t>-</w:t>
      </w:r>
      <w:r w:rsidRPr="00DD331C">
        <w:rPr>
          <w:rFonts w:ascii="Calibri Light" w:eastAsia="Calibri" w:hAnsi="Calibri Light" w:cs="Calibri Light"/>
          <w:sz w:val="23"/>
          <w:szCs w:val="23"/>
        </w:rPr>
        <w:t>at</w:t>
      </w:r>
      <w:r w:rsidR="001011BF">
        <w:rPr>
          <w:rFonts w:ascii="Calibri Light" w:eastAsia="Calibri" w:hAnsi="Calibri Light" w:cs="Calibri Light"/>
          <w:sz w:val="23"/>
          <w:szCs w:val="23"/>
        </w:rPr>
        <w:t>-h</w:t>
      </w:r>
      <w:r w:rsidRPr="00DD331C">
        <w:rPr>
          <w:rFonts w:ascii="Calibri Light" w:eastAsia="Calibri" w:hAnsi="Calibri Light" w:cs="Calibri Light"/>
          <w:sz w:val="23"/>
          <w:szCs w:val="23"/>
        </w:rPr>
        <w:t xml:space="preserve">ome restrictions were in place from 30 March to </w:t>
      </w:r>
      <w:proofErr w:type="gramStart"/>
      <w:r w:rsidRPr="00DD331C">
        <w:rPr>
          <w:rFonts w:ascii="Calibri Light" w:eastAsia="Calibri" w:hAnsi="Calibri Light" w:cs="Calibri Light"/>
          <w:sz w:val="23"/>
          <w:szCs w:val="23"/>
        </w:rPr>
        <w:t xml:space="preserve">12 May </w:t>
      </w:r>
      <w:r w:rsidR="001011BF">
        <w:rPr>
          <w:rFonts w:ascii="Calibri Light" w:eastAsia="Calibri" w:hAnsi="Calibri Light" w:cs="Calibri Light"/>
          <w:sz w:val="23"/>
          <w:szCs w:val="23"/>
        </w:rPr>
        <w:t xml:space="preserve">2020, </w:t>
      </w:r>
      <w:r w:rsidRPr="00DD331C">
        <w:rPr>
          <w:rFonts w:ascii="Calibri Light" w:eastAsia="Calibri" w:hAnsi="Calibri Light" w:cs="Calibri Light"/>
          <w:sz w:val="23"/>
          <w:szCs w:val="23"/>
        </w:rPr>
        <w:t>and</w:t>
      </w:r>
      <w:proofErr w:type="gramEnd"/>
      <w:r w:rsidRPr="00DD331C">
        <w:rPr>
          <w:rFonts w:ascii="Calibri Light" w:eastAsia="Calibri" w:hAnsi="Calibri Light" w:cs="Calibri Light"/>
          <w:sz w:val="23"/>
          <w:szCs w:val="23"/>
        </w:rPr>
        <w:t xml:space="preserve"> resumed for metropolitan Melbourne and Mitchell Shire from 9 July to 2 August. On </w:t>
      </w:r>
      <w:r w:rsidR="0088076B">
        <w:rPr>
          <w:rFonts w:ascii="Calibri Light" w:eastAsia="Calibri" w:hAnsi="Calibri Light" w:cs="Calibri Light"/>
          <w:sz w:val="23"/>
          <w:szCs w:val="23"/>
        </w:rPr>
        <w:t>7</w:t>
      </w:r>
      <w:r w:rsidRPr="00DD331C">
        <w:rPr>
          <w:rFonts w:ascii="Calibri Light" w:eastAsia="Calibri" w:hAnsi="Calibri Light" w:cs="Calibri Light"/>
          <w:sz w:val="23"/>
          <w:szCs w:val="23"/>
        </w:rPr>
        <w:t xml:space="preserve"> July restrictions escalated to Stage 4 and a curfew was </w:t>
      </w:r>
      <w:r w:rsidR="00910963">
        <w:rPr>
          <w:rFonts w:ascii="Calibri Light" w:eastAsia="Calibri" w:hAnsi="Calibri Light" w:cs="Calibri Light"/>
          <w:sz w:val="23"/>
          <w:szCs w:val="23"/>
        </w:rPr>
        <w:t>put in place</w:t>
      </w:r>
      <w:r w:rsidRPr="00DD331C">
        <w:rPr>
          <w:rFonts w:ascii="Calibri Light" w:eastAsia="Calibri" w:hAnsi="Calibri Light" w:cs="Calibri Light"/>
          <w:sz w:val="23"/>
          <w:szCs w:val="23"/>
        </w:rPr>
        <w:t xml:space="preserve"> between 8pm </w:t>
      </w:r>
      <w:r w:rsidR="0088076B">
        <w:rPr>
          <w:rFonts w:ascii="Calibri Light" w:eastAsia="Calibri" w:hAnsi="Calibri Light" w:cs="Calibri Light"/>
          <w:sz w:val="23"/>
          <w:szCs w:val="23"/>
        </w:rPr>
        <w:t>and</w:t>
      </w:r>
      <w:r w:rsidRPr="00DD331C">
        <w:rPr>
          <w:rFonts w:ascii="Calibri Light" w:eastAsia="Calibri" w:hAnsi="Calibri Light" w:cs="Calibri Light"/>
          <w:sz w:val="23"/>
          <w:szCs w:val="23"/>
        </w:rPr>
        <w:t xml:space="preserve"> 5am. Victoria’s regional areas, </w:t>
      </w:r>
      <w:r w:rsidR="00594598">
        <w:rPr>
          <w:rFonts w:ascii="Calibri Light" w:eastAsia="Calibri" w:hAnsi="Calibri Light" w:cs="Calibri Light"/>
          <w:sz w:val="23"/>
          <w:szCs w:val="23"/>
        </w:rPr>
        <w:t xml:space="preserve">placed </w:t>
      </w:r>
      <w:r w:rsidRPr="00DD331C">
        <w:rPr>
          <w:rFonts w:ascii="Calibri Light" w:eastAsia="Calibri" w:hAnsi="Calibri Light" w:cs="Calibri Light"/>
          <w:sz w:val="23"/>
          <w:szCs w:val="23"/>
        </w:rPr>
        <w:t xml:space="preserve">on Stage 2 restrictions from 13 May, </w:t>
      </w:r>
      <w:r w:rsidR="00594598">
        <w:rPr>
          <w:rFonts w:ascii="Calibri Light" w:eastAsia="Calibri" w:hAnsi="Calibri Light" w:cs="Calibri Light"/>
          <w:sz w:val="23"/>
          <w:szCs w:val="23"/>
        </w:rPr>
        <w:t>moved to</w:t>
      </w:r>
      <w:r w:rsidRPr="00DD331C">
        <w:rPr>
          <w:rFonts w:ascii="Calibri Light" w:eastAsia="Calibri" w:hAnsi="Calibri Light" w:cs="Calibri Light"/>
          <w:sz w:val="23"/>
          <w:szCs w:val="23"/>
        </w:rPr>
        <w:t xml:space="preserve"> Stage 3 from 5 August. </w:t>
      </w:r>
      <w:r w:rsidR="008F0BED">
        <w:rPr>
          <w:rFonts w:ascii="Calibri Light" w:eastAsia="Calibri" w:hAnsi="Calibri Light" w:cs="Calibri Light"/>
          <w:sz w:val="23"/>
          <w:szCs w:val="23"/>
        </w:rPr>
        <w:t>The</w:t>
      </w:r>
      <w:r w:rsidRPr="00DD331C">
        <w:rPr>
          <w:rFonts w:ascii="Calibri Light" w:eastAsia="Calibri" w:hAnsi="Calibri Light" w:cs="Calibri Light"/>
          <w:sz w:val="23"/>
          <w:szCs w:val="23"/>
        </w:rPr>
        <w:t xml:space="preserve"> second lockdown ended on 2</w:t>
      </w:r>
      <w:r w:rsidR="00594598">
        <w:rPr>
          <w:rFonts w:ascii="Calibri Light" w:eastAsia="Calibri" w:hAnsi="Calibri Light" w:cs="Calibri Light"/>
          <w:sz w:val="23"/>
          <w:szCs w:val="23"/>
        </w:rPr>
        <w:t xml:space="preserve">8 </w:t>
      </w:r>
      <w:r w:rsidRPr="00DD331C">
        <w:rPr>
          <w:rFonts w:ascii="Calibri Light" w:eastAsia="Calibri" w:hAnsi="Calibri Light" w:cs="Calibri Light"/>
          <w:sz w:val="23"/>
          <w:szCs w:val="23"/>
        </w:rPr>
        <w:t>October for Melburnians</w:t>
      </w:r>
      <w:r w:rsidR="003641DC">
        <w:rPr>
          <w:rFonts w:ascii="Calibri Light" w:eastAsia="Calibri" w:hAnsi="Calibri Light" w:cs="Calibri Light"/>
          <w:sz w:val="23"/>
          <w:szCs w:val="23"/>
        </w:rPr>
        <w:t xml:space="preserve">. While it </w:t>
      </w:r>
      <w:r w:rsidRPr="00DD331C">
        <w:rPr>
          <w:rFonts w:ascii="Calibri Light" w:eastAsia="Calibri" w:hAnsi="Calibri Light" w:cs="Calibri Light"/>
          <w:sz w:val="23"/>
          <w:szCs w:val="23"/>
        </w:rPr>
        <w:t xml:space="preserve">was necessary to protect the </w:t>
      </w:r>
      <w:r w:rsidR="00B36966">
        <w:rPr>
          <w:rFonts w:ascii="Calibri Light" w:eastAsia="Calibri" w:hAnsi="Calibri Light" w:cs="Calibri Light"/>
          <w:sz w:val="23"/>
          <w:szCs w:val="23"/>
        </w:rPr>
        <w:t xml:space="preserve">community’s </w:t>
      </w:r>
      <w:r w:rsidRPr="00DD331C">
        <w:rPr>
          <w:rFonts w:ascii="Calibri Light" w:eastAsia="Calibri" w:hAnsi="Calibri Light" w:cs="Calibri Light"/>
          <w:sz w:val="23"/>
          <w:szCs w:val="23"/>
        </w:rPr>
        <w:t xml:space="preserve">health and safety, </w:t>
      </w:r>
      <w:r w:rsidR="00AA32FB">
        <w:rPr>
          <w:rFonts w:ascii="Calibri Light" w:eastAsia="Calibri" w:hAnsi="Calibri Light" w:cs="Calibri Light"/>
          <w:sz w:val="23"/>
          <w:szCs w:val="23"/>
        </w:rPr>
        <w:t>it</w:t>
      </w:r>
      <w:r w:rsidRPr="00DD331C">
        <w:rPr>
          <w:rFonts w:ascii="Calibri Light" w:eastAsia="Calibri" w:hAnsi="Calibri Light" w:cs="Calibri Light"/>
          <w:sz w:val="23"/>
          <w:szCs w:val="23"/>
        </w:rPr>
        <w:t xml:space="preserve"> limited activity across a range of consumer service sectors </w:t>
      </w:r>
      <w:r w:rsidR="000E36C6">
        <w:rPr>
          <w:rFonts w:ascii="Calibri Light" w:eastAsia="Calibri" w:hAnsi="Calibri Light" w:cs="Calibri Light"/>
          <w:sz w:val="23"/>
          <w:szCs w:val="23"/>
        </w:rPr>
        <w:t xml:space="preserve">and </w:t>
      </w:r>
      <w:r w:rsidRPr="00DD331C">
        <w:rPr>
          <w:rFonts w:ascii="Calibri Light" w:eastAsia="Calibri" w:hAnsi="Calibri Light" w:cs="Calibri Light"/>
          <w:sz w:val="23"/>
          <w:szCs w:val="23"/>
        </w:rPr>
        <w:t xml:space="preserve">was expected to cost between $10–12 billion (Federal Treasury estimates, 2020). In mid-February 2021, </w:t>
      </w:r>
      <w:r w:rsidR="003641DC">
        <w:rPr>
          <w:rFonts w:ascii="Calibri Light" w:eastAsia="Calibri" w:hAnsi="Calibri Light" w:cs="Calibri Light"/>
          <w:sz w:val="23"/>
          <w:szCs w:val="23"/>
        </w:rPr>
        <w:t>a</w:t>
      </w:r>
      <w:r w:rsidRPr="00DD331C">
        <w:rPr>
          <w:rFonts w:ascii="Calibri Light" w:eastAsia="Calibri" w:hAnsi="Calibri Light" w:cs="Calibri Light"/>
          <w:sz w:val="23"/>
          <w:szCs w:val="23"/>
        </w:rPr>
        <w:t xml:space="preserve"> snap </w:t>
      </w:r>
      <w:r w:rsidR="003F19E7">
        <w:rPr>
          <w:rFonts w:ascii="Calibri Light" w:eastAsia="Calibri" w:hAnsi="Calibri Light" w:cs="Calibri Light"/>
          <w:sz w:val="23"/>
          <w:szCs w:val="23"/>
        </w:rPr>
        <w:t>S</w:t>
      </w:r>
      <w:r w:rsidRPr="00DD331C">
        <w:rPr>
          <w:rFonts w:ascii="Calibri Light" w:eastAsia="Calibri" w:hAnsi="Calibri Light" w:cs="Calibri Light"/>
          <w:sz w:val="23"/>
          <w:szCs w:val="23"/>
        </w:rPr>
        <w:t>tage</w:t>
      </w:r>
      <w:r w:rsidR="003F19E7">
        <w:rPr>
          <w:rFonts w:ascii="Calibri Light" w:eastAsia="Calibri" w:hAnsi="Calibri Light" w:cs="Calibri Light"/>
          <w:sz w:val="23"/>
          <w:szCs w:val="23"/>
        </w:rPr>
        <w:t xml:space="preserve"> </w:t>
      </w:r>
      <w:r w:rsidRPr="00DD331C">
        <w:rPr>
          <w:rFonts w:ascii="Calibri Light" w:eastAsia="Calibri" w:hAnsi="Calibri Light" w:cs="Calibri Light"/>
          <w:sz w:val="23"/>
          <w:szCs w:val="23"/>
        </w:rPr>
        <w:t>4 lockdown</w:t>
      </w:r>
      <w:r w:rsidR="003641DC">
        <w:rPr>
          <w:rFonts w:ascii="Calibri Light" w:eastAsia="Calibri" w:hAnsi="Calibri Light" w:cs="Calibri Light"/>
          <w:sz w:val="23"/>
          <w:szCs w:val="23"/>
        </w:rPr>
        <w:t xml:space="preserve"> was imposed</w:t>
      </w:r>
      <w:r w:rsidRPr="00DD331C">
        <w:rPr>
          <w:rFonts w:ascii="Calibri Light" w:eastAsia="Calibri" w:hAnsi="Calibri Light" w:cs="Calibri Light"/>
          <w:sz w:val="23"/>
          <w:szCs w:val="23"/>
        </w:rPr>
        <w:t xml:space="preserve"> </w:t>
      </w:r>
      <w:r w:rsidR="00FC65CE">
        <w:rPr>
          <w:rFonts w:ascii="Calibri Light" w:eastAsia="Calibri" w:hAnsi="Calibri Light" w:cs="Calibri Light"/>
          <w:sz w:val="23"/>
          <w:szCs w:val="23"/>
        </w:rPr>
        <w:t>in</w:t>
      </w:r>
      <w:r w:rsidRPr="00DD331C">
        <w:rPr>
          <w:rFonts w:ascii="Calibri Light" w:eastAsia="Calibri" w:hAnsi="Calibri Light" w:cs="Calibri Light"/>
          <w:sz w:val="23"/>
          <w:szCs w:val="23"/>
        </w:rPr>
        <w:t xml:space="preserve"> response to an outbreak of the more virulent UK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 xml:space="preserve">-19 variant. </w:t>
      </w:r>
    </w:p>
    <w:p w14:paraId="702FD4F2" w14:textId="4AD6492E" w:rsidR="00F00E3D" w:rsidRPr="00DD331C" w:rsidRDefault="00F00E3D" w:rsidP="004D51EB">
      <w:pPr>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In mid</w:t>
      </w:r>
      <w:r w:rsidR="008F60E1">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2020, Victorian Government modelling predicated that real Gross State Product (GSP) would fall by 5.25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in the 2020 calendar year, and that by the September quarter Victoria’s unemployment rate would rise to 9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In reality</w:t>
      </w:r>
      <w:r w:rsidR="00910963">
        <w:rPr>
          <w:rFonts w:ascii="Calibri Light" w:eastAsia="Calibri" w:hAnsi="Calibri Light" w:cs="Calibri Light"/>
          <w:sz w:val="23"/>
          <w:szCs w:val="23"/>
        </w:rPr>
        <w:t xml:space="preserve">, </w:t>
      </w:r>
      <w:r w:rsidRPr="00DD331C">
        <w:rPr>
          <w:rFonts w:ascii="Calibri Light" w:eastAsia="Calibri" w:hAnsi="Calibri Light" w:cs="Calibri Light"/>
          <w:sz w:val="23"/>
          <w:szCs w:val="23"/>
        </w:rPr>
        <w:t xml:space="preserve">unemployment peaked at 7.5 percent in September, and a 2.1 percent increase in full-time employment over October and November saw the </w:t>
      </w:r>
      <w:r w:rsidR="000705A3">
        <w:rPr>
          <w:rFonts w:ascii="Calibri Light" w:eastAsia="Calibri" w:hAnsi="Calibri Light" w:cs="Calibri Light"/>
          <w:sz w:val="23"/>
          <w:szCs w:val="23"/>
        </w:rPr>
        <w:t xml:space="preserve">state’s </w:t>
      </w:r>
      <w:r w:rsidRPr="00DD331C">
        <w:rPr>
          <w:rFonts w:ascii="Calibri Light" w:eastAsia="Calibri" w:hAnsi="Calibri Light" w:cs="Calibri Light"/>
          <w:sz w:val="23"/>
          <w:szCs w:val="23"/>
        </w:rPr>
        <w:t>unemployment rate recover to 6.8 percent</w:t>
      </w:r>
      <w:r w:rsidR="004B09B5" w:rsidRPr="004B09B5">
        <w:rPr>
          <w:rFonts w:ascii="Calibri Light" w:eastAsia="Calibri" w:hAnsi="Calibri Light" w:cs="Calibri Light"/>
          <w:sz w:val="23"/>
          <w:szCs w:val="23"/>
        </w:rPr>
        <w:t xml:space="preserve"> </w:t>
      </w:r>
      <w:r w:rsidR="004B09B5" w:rsidRPr="00DD331C">
        <w:rPr>
          <w:rFonts w:ascii="Calibri Light" w:eastAsia="Calibri" w:hAnsi="Calibri Light" w:cs="Calibri Light"/>
          <w:sz w:val="23"/>
          <w:szCs w:val="23"/>
        </w:rPr>
        <w:t>by November</w:t>
      </w:r>
      <w:r w:rsidRPr="00DD331C">
        <w:rPr>
          <w:rFonts w:ascii="Calibri Light" w:eastAsia="Calibri" w:hAnsi="Calibri Light" w:cs="Calibri Light"/>
          <w:sz w:val="23"/>
          <w:szCs w:val="23"/>
        </w:rPr>
        <w:t>. However, at the end of 2020</w:t>
      </w:r>
      <w:r w:rsidR="008F60E1">
        <w:rPr>
          <w:rFonts w:ascii="Calibri Light" w:eastAsia="Calibri" w:hAnsi="Calibri Light" w:cs="Calibri Light"/>
          <w:sz w:val="23"/>
          <w:szCs w:val="23"/>
        </w:rPr>
        <w:t xml:space="preserve">, </w:t>
      </w:r>
      <w:r w:rsidRPr="00DD331C">
        <w:rPr>
          <w:rFonts w:ascii="Calibri Light" w:eastAsia="Calibri" w:hAnsi="Calibri Light" w:cs="Calibri Light"/>
          <w:sz w:val="23"/>
          <w:szCs w:val="23"/>
        </w:rPr>
        <w:t>Victoria still</w:t>
      </w:r>
      <w:r w:rsidR="008F60E1">
        <w:rPr>
          <w:rFonts w:ascii="Calibri Light" w:eastAsia="Calibri" w:hAnsi="Calibri Light" w:cs="Calibri Light"/>
          <w:sz w:val="23"/>
          <w:szCs w:val="23"/>
        </w:rPr>
        <w:t xml:space="preserve"> had</w:t>
      </w:r>
      <w:r w:rsidRPr="00DD331C">
        <w:rPr>
          <w:rFonts w:ascii="Calibri Light" w:eastAsia="Calibri" w:hAnsi="Calibri Light" w:cs="Calibri Light"/>
          <w:sz w:val="23"/>
          <w:szCs w:val="23"/>
        </w:rPr>
        <w:t xml:space="preserve"> 138,000 fewer employed people than in March 2020</w:t>
      </w:r>
      <w:r w:rsidR="008F60E1">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and 226,000 more unemployed people </w:t>
      </w:r>
      <w:r w:rsidRPr="00DD331C">
        <w:rPr>
          <w:rFonts w:ascii="Calibri Light" w:eastAsia="Calibri" w:hAnsi="Calibri Light" w:cs="Calibri Light"/>
          <w:noProof/>
          <w:sz w:val="23"/>
          <w:szCs w:val="23"/>
        </w:rPr>
        <w:t>(ABS, 2020)</w:t>
      </w:r>
      <w:r w:rsidRPr="00DD331C">
        <w:rPr>
          <w:rFonts w:ascii="Calibri Light" w:eastAsia="Calibri" w:hAnsi="Calibri Light" w:cs="Calibri Light"/>
          <w:sz w:val="23"/>
          <w:szCs w:val="23"/>
        </w:rPr>
        <w:t>.</w:t>
      </w:r>
    </w:p>
    <w:p w14:paraId="7609323C" w14:textId="65203AED" w:rsidR="00F00E3D" w:rsidRPr="00DD331C" w:rsidRDefault="00800B21" w:rsidP="004D51EB">
      <w:pPr>
        <w:spacing w:after="0" w:line="276" w:lineRule="auto"/>
        <w:rPr>
          <w:rFonts w:ascii="Calibri Light" w:eastAsia="Calibri" w:hAnsi="Calibri Light" w:cs="Calibri Light"/>
          <w:sz w:val="23"/>
          <w:szCs w:val="23"/>
        </w:rPr>
      </w:pPr>
      <w:r>
        <w:rPr>
          <w:rFonts w:ascii="Calibri Light" w:eastAsia="Calibri" w:hAnsi="Calibri Light" w:cs="Calibri Light"/>
          <w:sz w:val="23"/>
          <w:szCs w:val="23"/>
        </w:rPr>
        <w:t>U</w:t>
      </w:r>
      <w:r w:rsidRPr="00DD331C">
        <w:rPr>
          <w:rFonts w:ascii="Calibri Light" w:eastAsia="Calibri" w:hAnsi="Calibri Light" w:cs="Calibri Light"/>
          <w:sz w:val="23"/>
          <w:szCs w:val="23"/>
        </w:rPr>
        <w:t xml:space="preserve">nemployment </w:t>
      </w:r>
      <w:r>
        <w:rPr>
          <w:rFonts w:ascii="Calibri Light" w:eastAsia="Calibri" w:hAnsi="Calibri Light" w:cs="Calibri Light"/>
          <w:sz w:val="23"/>
          <w:szCs w:val="23"/>
        </w:rPr>
        <w:t>and</w:t>
      </w:r>
      <w:r w:rsidR="00F00E3D" w:rsidRPr="00DD331C">
        <w:rPr>
          <w:rFonts w:ascii="Calibri Light" w:eastAsia="Calibri" w:hAnsi="Calibri Light" w:cs="Calibri Light"/>
          <w:sz w:val="23"/>
          <w:szCs w:val="23"/>
        </w:rPr>
        <w:t xml:space="preserve"> significant reductions in hours worked over 2020 had obvious impacts on income, with </w:t>
      </w:r>
      <w:r>
        <w:rPr>
          <w:rFonts w:ascii="Calibri Light" w:eastAsia="Calibri" w:hAnsi="Calibri Light" w:cs="Calibri Light"/>
          <w:sz w:val="23"/>
          <w:szCs w:val="23"/>
        </w:rPr>
        <w:t>people</w:t>
      </w:r>
      <w:r w:rsidR="00F00E3D" w:rsidRPr="00DD331C">
        <w:rPr>
          <w:rFonts w:ascii="Calibri Light" w:eastAsia="Calibri" w:hAnsi="Calibri Light" w:cs="Calibri Light"/>
          <w:sz w:val="23"/>
          <w:szCs w:val="23"/>
        </w:rPr>
        <w:t xml:space="preserve"> at the lower end of the scale hardest hit. A report </w:t>
      </w:r>
      <w:r w:rsidR="00F720ED">
        <w:rPr>
          <w:rFonts w:ascii="Calibri Light" w:eastAsia="Calibri" w:hAnsi="Calibri Light" w:cs="Calibri Light"/>
          <w:sz w:val="23"/>
          <w:szCs w:val="23"/>
        </w:rPr>
        <w:t>on</w:t>
      </w:r>
      <w:r w:rsidR="00F00E3D" w:rsidRPr="00DD331C">
        <w:rPr>
          <w:rFonts w:ascii="Calibri Light" w:eastAsia="Calibri" w:hAnsi="Calibri Light" w:cs="Calibri Light"/>
          <w:sz w:val="23"/>
          <w:szCs w:val="23"/>
        </w:rPr>
        <w:t xml:space="preserve"> </w:t>
      </w:r>
      <w:r w:rsidR="00940D80">
        <w:rPr>
          <w:rFonts w:ascii="Calibri Light" w:eastAsia="Calibri" w:hAnsi="Calibri Light" w:cs="Calibri Light"/>
          <w:sz w:val="23"/>
          <w:szCs w:val="23"/>
        </w:rPr>
        <w:t>COVID</w:t>
      </w:r>
      <w:r w:rsidR="00F00E3D" w:rsidRPr="00DD331C">
        <w:rPr>
          <w:rFonts w:ascii="Calibri Light" w:eastAsia="Calibri" w:hAnsi="Calibri Light" w:cs="Calibri Light"/>
          <w:sz w:val="23"/>
          <w:szCs w:val="23"/>
        </w:rPr>
        <w:t>-19</w:t>
      </w:r>
      <w:r w:rsidR="00D56E63">
        <w:rPr>
          <w:rFonts w:ascii="Calibri Light" w:eastAsia="Calibri" w:hAnsi="Calibri Light" w:cs="Calibri Light"/>
          <w:sz w:val="23"/>
          <w:szCs w:val="23"/>
        </w:rPr>
        <w:t>’s impact on</w:t>
      </w:r>
      <w:r w:rsidR="00F00E3D" w:rsidRPr="00DD331C">
        <w:rPr>
          <w:rFonts w:ascii="Calibri Light" w:eastAsia="Calibri" w:hAnsi="Calibri Light" w:cs="Calibri Light"/>
          <w:sz w:val="23"/>
          <w:szCs w:val="23"/>
        </w:rPr>
        <w:t xml:space="preserve"> income inequality in Australia stated five key findings</w:t>
      </w:r>
      <w:r>
        <w:rPr>
          <w:rFonts w:ascii="Calibri Light" w:eastAsia="Calibri" w:hAnsi="Calibri Light" w:cs="Calibri Light"/>
          <w:sz w:val="23"/>
          <w:szCs w:val="23"/>
        </w:rPr>
        <w:t xml:space="preserve">, based on </w:t>
      </w:r>
      <w:r w:rsidR="00F00E3D" w:rsidRPr="00DD331C">
        <w:rPr>
          <w:rFonts w:ascii="Calibri Light" w:eastAsia="Calibri" w:hAnsi="Calibri Light" w:cs="Calibri Light"/>
          <w:sz w:val="23"/>
          <w:szCs w:val="23"/>
        </w:rPr>
        <w:t xml:space="preserve">data for the first half of 2020 </w:t>
      </w:r>
      <w:r w:rsidR="00F00E3D" w:rsidRPr="00DD331C">
        <w:rPr>
          <w:rFonts w:ascii="Calibri Light" w:eastAsia="Calibri" w:hAnsi="Calibri Light" w:cs="Calibri Light"/>
          <w:noProof/>
          <w:sz w:val="23"/>
          <w:szCs w:val="23"/>
        </w:rPr>
        <w:t>(Davidson, 2020b)</w:t>
      </w:r>
      <w:r w:rsidR="00F00E3D" w:rsidRPr="00DD331C">
        <w:rPr>
          <w:rFonts w:ascii="Calibri Light" w:eastAsia="Calibri" w:hAnsi="Calibri Light" w:cs="Calibri Light"/>
          <w:sz w:val="23"/>
          <w:szCs w:val="23"/>
        </w:rPr>
        <w:t>:</w:t>
      </w:r>
    </w:p>
    <w:p w14:paraId="59D91E68" w14:textId="5E9CCFA0" w:rsidR="00F00E3D" w:rsidRPr="00DD331C" w:rsidRDefault="00940D80" w:rsidP="00364C5D">
      <w:pPr>
        <w:pStyle w:val="ListParagraph"/>
        <w:numPr>
          <w:ilvl w:val="0"/>
          <w:numId w:val="34"/>
        </w:numPr>
        <w:spacing w:before="240" w:after="0" w:line="276" w:lineRule="auto"/>
        <w:rPr>
          <w:rFonts w:ascii="Calibri Light" w:eastAsia="Calibri" w:hAnsi="Calibri Light" w:cs="Calibri Light"/>
          <w:color w:val="000000" w:themeColor="text1"/>
          <w:sz w:val="23"/>
          <w:szCs w:val="23"/>
        </w:rPr>
      </w:pPr>
      <w:r>
        <w:rPr>
          <w:rFonts w:ascii="Calibri Light" w:eastAsia="Calibri" w:hAnsi="Calibri Light" w:cs="Calibri Light"/>
          <w:color w:val="000000" w:themeColor="text1"/>
          <w:sz w:val="23"/>
          <w:szCs w:val="23"/>
        </w:rPr>
        <w:t>COVID</w:t>
      </w:r>
      <w:r w:rsidR="00F00E3D" w:rsidRPr="00DD331C">
        <w:rPr>
          <w:rFonts w:ascii="Calibri Light" w:eastAsia="Calibri" w:hAnsi="Calibri Light" w:cs="Calibri Light"/>
          <w:color w:val="000000" w:themeColor="text1"/>
          <w:sz w:val="23"/>
          <w:szCs w:val="23"/>
        </w:rPr>
        <w:t>-19 has led to sharp falls in paid working hours</w:t>
      </w:r>
      <w:r w:rsidR="00800B21">
        <w:rPr>
          <w:rFonts w:ascii="Calibri Light" w:eastAsia="Calibri" w:hAnsi="Calibri Light" w:cs="Calibri Light"/>
          <w:color w:val="000000" w:themeColor="text1"/>
          <w:sz w:val="23"/>
          <w:szCs w:val="23"/>
        </w:rPr>
        <w:t>.</w:t>
      </w:r>
    </w:p>
    <w:p w14:paraId="79706A4C" w14:textId="07AD841E" w:rsidR="00F00E3D" w:rsidRPr="00DD331C" w:rsidRDefault="00F00E3D" w:rsidP="00364C5D">
      <w:pPr>
        <w:pStyle w:val="ListParagraph"/>
        <w:numPr>
          <w:ilvl w:val="0"/>
          <w:numId w:val="34"/>
        </w:numPr>
        <w:spacing w:before="240" w:after="0" w:line="276" w:lineRule="auto"/>
        <w:rPr>
          <w:rFonts w:ascii="Calibri Light" w:eastAsia="Calibri" w:hAnsi="Calibri Light" w:cs="Calibri Light"/>
          <w:color w:val="000000" w:themeColor="text1"/>
          <w:sz w:val="23"/>
          <w:szCs w:val="23"/>
        </w:rPr>
      </w:pPr>
      <w:r w:rsidRPr="00DD331C">
        <w:rPr>
          <w:rFonts w:ascii="Calibri Light" w:eastAsia="Calibri" w:hAnsi="Calibri Light" w:cs="Calibri Light"/>
          <w:color w:val="000000" w:themeColor="text1"/>
          <w:sz w:val="23"/>
          <w:szCs w:val="23"/>
        </w:rPr>
        <w:t>Women, young people</w:t>
      </w:r>
      <w:r w:rsidR="00F720ED">
        <w:rPr>
          <w:rFonts w:ascii="Calibri Light" w:eastAsia="Calibri" w:hAnsi="Calibri Light" w:cs="Calibri Light"/>
          <w:color w:val="000000" w:themeColor="text1"/>
          <w:sz w:val="23"/>
          <w:szCs w:val="23"/>
        </w:rPr>
        <w:t>,</w:t>
      </w:r>
      <w:r w:rsidRPr="00DD331C">
        <w:rPr>
          <w:rFonts w:ascii="Calibri Light" w:eastAsia="Calibri" w:hAnsi="Calibri Light" w:cs="Calibri Light"/>
          <w:color w:val="000000" w:themeColor="text1"/>
          <w:sz w:val="23"/>
          <w:szCs w:val="23"/>
        </w:rPr>
        <w:t xml:space="preserve"> and lower-paid workers have been most affected to date</w:t>
      </w:r>
      <w:r w:rsidR="00800B21">
        <w:rPr>
          <w:rFonts w:ascii="Calibri Light" w:eastAsia="Calibri" w:hAnsi="Calibri Light" w:cs="Calibri Light"/>
          <w:color w:val="000000" w:themeColor="text1"/>
          <w:sz w:val="23"/>
          <w:szCs w:val="23"/>
        </w:rPr>
        <w:t>.</w:t>
      </w:r>
    </w:p>
    <w:p w14:paraId="68AAE2BD" w14:textId="511010E9" w:rsidR="00F00E3D" w:rsidRPr="00DD331C" w:rsidRDefault="00F00E3D" w:rsidP="00364C5D">
      <w:pPr>
        <w:pStyle w:val="ListParagraph"/>
        <w:numPr>
          <w:ilvl w:val="0"/>
          <w:numId w:val="34"/>
        </w:numPr>
        <w:spacing w:before="240" w:after="0" w:line="276" w:lineRule="auto"/>
        <w:rPr>
          <w:rFonts w:ascii="Calibri Light" w:eastAsia="Calibri" w:hAnsi="Calibri Light" w:cs="Calibri Light"/>
          <w:color w:val="000000" w:themeColor="text1"/>
          <w:sz w:val="23"/>
          <w:szCs w:val="23"/>
        </w:rPr>
      </w:pPr>
      <w:r w:rsidRPr="00DD331C">
        <w:rPr>
          <w:rFonts w:ascii="Calibri Light" w:eastAsia="Calibri" w:hAnsi="Calibri Light" w:cs="Calibri Light"/>
          <w:color w:val="000000" w:themeColor="text1"/>
          <w:sz w:val="23"/>
          <w:szCs w:val="23"/>
        </w:rPr>
        <w:t>Government income support policies shielded many low income-earners from income losses</w:t>
      </w:r>
      <w:r w:rsidR="00800B21">
        <w:rPr>
          <w:rFonts w:ascii="Calibri Light" w:eastAsia="Calibri" w:hAnsi="Calibri Light" w:cs="Calibri Light"/>
          <w:color w:val="000000" w:themeColor="text1"/>
          <w:sz w:val="23"/>
          <w:szCs w:val="23"/>
        </w:rPr>
        <w:t>.</w:t>
      </w:r>
    </w:p>
    <w:p w14:paraId="7EC953AF" w14:textId="11B3AB47" w:rsidR="00F00E3D" w:rsidRPr="00DD331C" w:rsidRDefault="00F00E3D" w:rsidP="00364C5D">
      <w:pPr>
        <w:pStyle w:val="ListParagraph"/>
        <w:numPr>
          <w:ilvl w:val="0"/>
          <w:numId w:val="34"/>
        </w:numPr>
        <w:spacing w:before="240" w:after="0" w:line="276" w:lineRule="auto"/>
        <w:rPr>
          <w:rFonts w:ascii="Calibri Light" w:eastAsia="Calibri" w:hAnsi="Calibri Light" w:cs="Calibri Light"/>
          <w:color w:val="000000" w:themeColor="text1"/>
          <w:sz w:val="23"/>
          <w:szCs w:val="23"/>
        </w:rPr>
      </w:pPr>
      <w:r w:rsidRPr="00DD331C">
        <w:rPr>
          <w:rFonts w:ascii="Calibri Light" w:eastAsia="Calibri" w:hAnsi="Calibri Light" w:cs="Calibri Light"/>
          <w:color w:val="000000" w:themeColor="text1"/>
          <w:sz w:val="23"/>
          <w:szCs w:val="23"/>
        </w:rPr>
        <w:t xml:space="preserve">These new income supports offset much of the increase in earnings inequality from </w:t>
      </w:r>
      <w:r w:rsidR="00940D80">
        <w:rPr>
          <w:rFonts w:ascii="Calibri Light" w:eastAsia="Calibri" w:hAnsi="Calibri Light" w:cs="Calibri Light"/>
          <w:color w:val="000000" w:themeColor="text1"/>
          <w:sz w:val="23"/>
          <w:szCs w:val="23"/>
        </w:rPr>
        <w:t>COVID</w:t>
      </w:r>
      <w:r w:rsidR="0023132D">
        <w:rPr>
          <w:rFonts w:ascii="Calibri Light" w:eastAsia="Calibri" w:hAnsi="Calibri Light" w:cs="Calibri Light"/>
          <w:color w:val="000000" w:themeColor="text1"/>
          <w:sz w:val="23"/>
          <w:szCs w:val="23"/>
        </w:rPr>
        <w:t>-</w:t>
      </w:r>
      <w:r w:rsidRPr="00DD331C">
        <w:rPr>
          <w:rFonts w:ascii="Calibri Light" w:eastAsia="Calibri" w:hAnsi="Calibri Light" w:cs="Calibri Light"/>
          <w:color w:val="000000" w:themeColor="text1"/>
          <w:sz w:val="23"/>
          <w:szCs w:val="23"/>
        </w:rPr>
        <w:t>19</w:t>
      </w:r>
      <w:r w:rsidR="00800B21">
        <w:rPr>
          <w:rFonts w:ascii="Calibri Light" w:eastAsia="Calibri" w:hAnsi="Calibri Light" w:cs="Calibri Light"/>
          <w:color w:val="000000" w:themeColor="text1"/>
          <w:sz w:val="23"/>
          <w:szCs w:val="23"/>
        </w:rPr>
        <w:t>.</w:t>
      </w:r>
    </w:p>
    <w:p w14:paraId="0C9C576A" w14:textId="6A3010BE" w:rsidR="00F00E3D" w:rsidRPr="00DD331C" w:rsidRDefault="00F00E3D" w:rsidP="00364C5D">
      <w:pPr>
        <w:pStyle w:val="ListParagraph"/>
        <w:numPr>
          <w:ilvl w:val="0"/>
          <w:numId w:val="34"/>
        </w:numPr>
        <w:spacing w:before="240" w:after="0" w:line="276" w:lineRule="auto"/>
        <w:rPr>
          <w:rFonts w:ascii="Calibri Light" w:eastAsia="Calibri" w:hAnsi="Calibri Light" w:cs="Calibri Light"/>
          <w:color w:val="000000" w:themeColor="text1"/>
          <w:sz w:val="23"/>
          <w:szCs w:val="23"/>
        </w:rPr>
      </w:pPr>
      <w:r w:rsidRPr="00DD331C">
        <w:rPr>
          <w:rFonts w:ascii="Calibri Light" w:eastAsia="Calibri" w:hAnsi="Calibri Light" w:cs="Calibri Light"/>
          <w:color w:val="000000" w:themeColor="text1"/>
          <w:sz w:val="23"/>
          <w:szCs w:val="23"/>
        </w:rPr>
        <w:t xml:space="preserve">The impact of </w:t>
      </w:r>
      <w:r w:rsidR="00940D80">
        <w:rPr>
          <w:rFonts w:ascii="Calibri Light" w:eastAsia="Calibri" w:hAnsi="Calibri Light" w:cs="Calibri Light"/>
          <w:color w:val="000000" w:themeColor="text1"/>
          <w:sz w:val="23"/>
          <w:szCs w:val="23"/>
        </w:rPr>
        <w:t>COVID</w:t>
      </w:r>
      <w:r w:rsidRPr="00DD331C">
        <w:rPr>
          <w:rFonts w:ascii="Calibri Light" w:eastAsia="Calibri" w:hAnsi="Calibri Light" w:cs="Calibri Light"/>
          <w:color w:val="000000" w:themeColor="text1"/>
          <w:sz w:val="23"/>
          <w:szCs w:val="23"/>
        </w:rPr>
        <w:t>-19 on income inequality over the next few years will depend very much on how these income support policies evolve.</w:t>
      </w:r>
    </w:p>
    <w:p w14:paraId="64D23447" w14:textId="77777777" w:rsidR="00F00E3D" w:rsidRPr="0023132D" w:rsidRDefault="00F00E3D" w:rsidP="004D51EB">
      <w:pPr>
        <w:spacing w:after="0" w:line="276" w:lineRule="auto"/>
        <w:rPr>
          <w:rFonts w:ascii="Calibri Light" w:eastAsia="Calibri" w:hAnsi="Calibri Light" w:cs="Calibri Light"/>
          <w:color w:val="000000" w:themeColor="text1"/>
          <w:sz w:val="12"/>
          <w:szCs w:val="12"/>
        </w:rPr>
      </w:pPr>
    </w:p>
    <w:p w14:paraId="6F2C7F87" w14:textId="68D1F3F8" w:rsidR="00F00E3D" w:rsidRPr="00DD331C" w:rsidRDefault="00F00E3D" w:rsidP="004D51EB">
      <w:pPr>
        <w:spacing w:after="0" w:line="276" w:lineRule="auto"/>
        <w:rPr>
          <w:rFonts w:ascii="Calibri Light" w:eastAsia="Calibri" w:hAnsi="Calibri Light" w:cs="Calibri Light"/>
          <w:color w:val="000000" w:themeColor="text1"/>
          <w:sz w:val="23"/>
          <w:szCs w:val="23"/>
        </w:rPr>
      </w:pPr>
      <w:r w:rsidRPr="00DD331C">
        <w:rPr>
          <w:rFonts w:ascii="Calibri Light" w:eastAsia="Calibri" w:hAnsi="Calibri Light" w:cs="Calibri Light"/>
          <w:color w:val="000000" w:themeColor="text1"/>
          <w:sz w:val="23"/>
          <w:szCs w:val="23"/>
        </w:rPr>
        <w:t xml:space="preserve">The report concluded that unless public policies can fully offset the increase in private income inequality, “those on the lowest incomes would no longer be shielded from the effects of higher unemployment and income loss, and it is likely that </w:t>
      </w:r>
      <w:r w:rsidR="00940D80">
        <w:rPr>
          <w:rFonts w:ascii="Calibri Light" w:eastAsia="Calibri" w:hAnsi="Calibri Light" w:cs="Calibri Light"/>
          <w:color w:val="000000" w:themeColor="text1"/>
          <w:sz w:val="23"/>
          <w:szCs w:val="23"/>
        </w:rPr>
        <w:t>COVID</w:t>
      </w:r>
      <w:r w:rsidRPr="00DD331C">
        <w:rPr>
          <w:rFonts w:ascii="Calibri Light" w:eastAsia="Calibri" w:hAnsi="Calibri Light" w:cs="Calibri Light"/>
          <w:color w:val="000000" w:themeColor="text1"/>
          <w:sz w:val="23"/>
          <w:szCs w:val="23"/>
        </w:rPr>
        <w:t xml:space="preserve">19 will leave a legacy of greatly-increased income inequality and poverty” </w:t>
      </w:r>
      <w:r w:rsidRPr="00DD331C">
        <w:rPr>
          <w:rFonts w:ascii="Calibri Light" w:eastAsia="Calibri" w:hAnsi="Calibri Light" w:cs="Calibri Light"/>
          <w:noProof/>
          <w:color w:val="000000" w:themeColor="text1"/>
          <w:sz w:val="23"/>
          <w:szCs w:val="23"/>
        </w:rPr>
        <w:t>(Davidson, 2020b, p. 14)</w:t>
      </w:r>
    </w:p>
    <w:p w14:paraId="192541ED" w14:textId="77777777" w:rsidR="00F00E3D" w:rsidRPr="00861C46" w:rsidRDefault="00F00E3D" w:rsidP="004D51EB">
      <w:pPr>
        <w:spacing w:after="0" w:line="276" w:lineRule="auto"/>
        <w:rPr>
          <w:rFonts w:ascii="Calibri Light" w:eastAsia="Calibri" w:hAnsi="Calibri Light" w:cs="Calibri Light"/>
          <w:color w:val="000000" w:themeColor="text1"/>
          <w:sz w:val="12"/>
          <w:szCs w:val="12"/>
        </w:rPr>
      </w:pPr>
    </w:p>
    <w:p w14:paraId="5E3BF210" w14:textId="5D336D6A" w:rsidR="00EF7E59" w:rsidRDefault="00F00E3D" w:rsidP="00EF7E59">
      <w:pPr>
        <w:spacing w:after="0" w:line="276" w:lineRule="auto"/>
        <w:rPr>
          <w:rFonts w:asciiTheme="majorHAnsi" w:hAnsiTheme="majorHAnsi" w:cstheme="majorBidi"/>
          <w:sz w:val="23"/>
          <w:szCs w:val="23"/>
        </w:rPr>
      </w:pPr>
      <w:r w:rsidRPr="000F634B">
        <w:rPr>
          <w:rFonts w:ascii="Calibri Light" w:eastAsia="Calibri" w:hAnsi="Calibri Light" w:cs="Calibri Light"/>
          <w:color w:val="000000" w:themeColor="text1"/>
          <w:sz w:val="23"/>
          <w:szCs w:val="23"/>
        </w:rPr>
        <w:t xml:space="preserve">Next, we consider </w:t>
      </w:r>
      <w:r w:rsidR="0090188B" w:rsidRPr="000F634B">
        <w:rPr>
          <w:rFonts w:ascii="Calibri Light" w:eastAsia="Calibri" w:hAnsi="Calibri Light" w:cs="Calibri Light"/>
          <w:color w:val="000000" w:themeColor="text1"/>
          <w:sz w:val="23"/>
          <w:szCs w:val="23"/>
        </w:rPr>
        <w:t xml:space="preserve">COVID-19’s </w:t>
      </w:r>
      <w:r w:rsidRPr="000F634B">
        <w:rPr>
          <w:rFonts w:ascii="Calibri Light" w:eastAsia="Calibri" w:hAnsi="Calibri Light" w:cs="Calibri Light"/>
          <w:color w:val="000000" w:themeColor="text1"/>
          <w:sz w:val="23"/>
          <w:szCs w:val="23"/>
        </w:rPr>
        <w:t xml:space="preserve">reported impacts </w:t>
      </w:r>
      <w:r w:rsidR="0090188B" w:rsidRPr="000F634B">
        <w:rPr>
          <w:rFonts w:ascii="Calibri Light" w:eastAsia="Calibri" w:hAnsi="Calibri Light" w:cs="Calibri Light"/>
          <w:color w:val="000000" w:themeColor="text1"/>
          <w:sz w:val="23"/>
          <w:szCs w:val="23"/>
        </w:rPr>
        <w:t>on</w:t>
      </w:r>
      <w:r w:rsidRPr="000F634B">
        <w:rPr>
          <w:rFonts w:ascii="Calibri Light" w:eastAsia="Calibri" w:hAnsi="Calibri Light" w:cs="Calibri Light"/>
          <w:color w:val="000000" w:themeColor="text1"/>
          <w:sz w:val="23"/>
          <w:szCs w:val="23"/>
        </w:rPr>
        <w:t xml:space="preserve"> Australia </w:t>
      </w:r>
      <w:r w:rsidR="0090188B" w:rsidRPr="000F634B">
        <w:rPr>
          <w:rFonts w:ascii="Calibri Light" w:eastAsia="Calibri" w:hAnsi="Calibri Light" w:cs="Calibri Light"/>
          <w:color w:val="000000" w:themeColor="text1"/>
          <w:sz w:val="23"/>
          <w:szCs w:val="23"/>
        </w:rPr>
        <w:t>for</w:t>
      </w:r>
      <w:r w:rsidRPr="000F634B">
        <w:rPr>
          <w:rFonts w:ascii="Calibri Light" w:eastAsia="Calibri" w:hAnsi="Calibri Light" w:cs="Calibri Light"/>
          <w:color w:val="000000" w:themeColor="text1"/>
          <w:sz w:val="23"/>
          <w:szCs w:val="23"/>
        </w:rPr>
        <w:t xml:space="preserve"> the five </w:t>
      </w:r>
      <w:r w:rsidR="00D95573">
        <w:rPr>
          <w:rFonts w:ascii="Calibri Light" w:eastAsia="Calibri" w:hAnsi="Calibri Light" w:cs="Calibri Light"/>
          <w:color w:val="000000" w:themeColor="text1"/>
          <w:sz w:val="23"/>
          <w:szCs w:val="23"/>
        </w:rPr>
        <w:t>Practice Domain</w:t>
      </w:r>
      <w:r w:rsidR="00C7512E" w:rsidRPr="000F634B">
        <w:rPr>
          <w:rFonts w:ascii="Calibri Light" w:eastAsia="Calibri" w:hAnsi="Calibri Light" w:cs="Calibri Light"/>
          <w:color w:val="000000" w:themeColor="text1"/>
          <w:sz w:val="23"/>
          <w:szCs w:val="23"/>
        </w:rPr>
        <w:t xml:space="preserve">s: </w:t>
      </w:r>
      <w:r w:rsidRPr="000F634B">
        <w:rPr>
          <w:rFonts w:asciiTheme="majorHAnsi" w:hAnsiTheme="majorHAnsi" w:cstheme="majorBidi"/>
          <w:sz w:val="23"/>
          <w:szCs w:val="23"/>
        </w:rPr>
        <w:t>Education, Employment, Health and Wellbeing, Housing (</w:t>
      </w:r>
      <w:r w:rsidR="00C7512E">
        <w:rPr>
          <w:rFonts w:asciiTheme="majorHAnsi" w:hAnsiTheme="majorHAnsi" w:cstheme="majorBidi"/>
          <w:sz w:val="23"/>
          <w:szCs w:val="23"/>
        </w:rPr>
        <w:t>mostly relating</w:t>
      </w:r>
      <w:r w:rsidRPr="000F634B">
        <w:rPr>
          <w:rFonts w:asciiTheme="majorHAnsi" w:hAnsiTheme="majorHAnsi" w:cstheme="majorBidi"/>
          <w:sz w:val="23"/>
          <w:szCs w:val="23"/>
        </w:rPr>
        <w:t xml:space="preserve"> to affordability), and Liveability.</w:t>
      </w:r>
      <w:r w:rsidR="00EF7E59">
        <w:rPr>
          <w:rFonts w:asciiTheme="majorHAnsi" w:hAnsiTheme="majorHAnsi" w:cstheme="majorBidi"/>
          <w:sz w:val="23"/>
          <w:szCs w:val="23"/>
        </w:rPr>
        <w:br w:type="page"/>
      </w:r>
    </w:p>
    <w:p w14:paraId="370E4814" w14:textId="359C39B1" w:rsidR="00F00E3D" w:rsidRPr="003710F5" w:rsidRDefault="00466FB3" w:rsidP="004D51EB">
      <w:pPr>
        <w:spacing w:line="276" w:lineRule="auto"/>
        <w:rPr>
          <w:rFonts w:eastAsia="Calibri" w:cstheme="minorHAnsi"/>
          <w:b/>
          <w:color w:val="2F5496" w:themeColor="accent1" w:themeShade="BF"/>
          <w:sz w:val="25"/>
          <w:szCs w:val="25"/>
        </w:rPr>
      </w:pPr>
      <w:r w:rsidRPr="003710F5">
        <w:rPr>
          <w:rFonts w:eastAsia="Calibri" w:cstheme="minorHAnsi"/>
          <w:b/>
          <w:color w:val="2F5496" w:themeColor="accent1" w:themeShade="BF"/>
          <w:sz w:val="25"/>
          <w:szCs w:val="25"/>
        </w:rPr>
        <w:lastRenderedPageBreak/>
        <w:t>6.1.</w:t>
      </w:r>
      <w:r w:rsidR="00AA08A3" w:rsidRPr="003710F5">
        <w:rPr>
          <w:rFonts w:eastAsia="Calibri" w:cstheme="minorHAnsi"/>
          <w:b/>
          <w:color w:val="2F5496" w:themeColor="accent1" w:themeShade="BF"/>
          <w:sz w:val="25"/>
          <w:szCs w:val="25"/>
        </w:rPr>
        <w:t>2</w:t>
      </w:r>
      <w:r w:rsidRPr="003710F5">
        <w:rPr>
          <w:rFonts w:eastAsia="Calibri" w:cstheme="minorHAnsi"/>
          <w:b/>
          <w:color w:val="2F5496" w:themeColor="accent1" w:themeShade="BF"/>
          <w:sz w:val="25"/>
          <w:szCs w:val="25"/>
        </w:rPr>
        <w:t xml:space="preserve"> </w:t>
      </w:r>
      <w:r w:rsidR="00F00E3D" w:rsidRPr="003710F5">
        <w:rPr>
          <w:rFonts w:eastAsia="Calibri" w:cstheme="minorHAnsi"/>
          <w:b/>
          <w:color w:val="2F5496" w:themeColor="accent1" w:themeShade="BF"/>
          <w:sz w:val="25"/>
          <w:szCs w:val="25"/>
        </w:rPr>
        <w:t>Education</w:t>
      </w:r>
    </w:p>
    <w:p w14:paraId="39EFE7DB" w14:textId="6771CB74" w:rsidR="00F00E3D" w:rsidRPr="000F634B" w:rsidRDefault="00AA08A3" w:rsidP="004C5B0D">
      <w:pPr>
        <w:widowControl w:val="0"/>
        <w:spacing w:after="0" w:line="276" w:lineRule="auto"/>
        <w:rPr>
          <w:rFonts w:asciiTheme="majorHAnsi" w:eastAsia="Times New Roman" w:hAnsiTheme="majorHAnsi" w:cstheme="majorBidi"/>
          <w:sz w:val="23"/>
          <w:szCs w:val="23"/>
          <w:lang w:eastAsia="en-GB"/>
        </w:rPr>
      </w:pPr>
      <w:r w:rsidRPr="000F634B">
        <w:rPr>
          <w:rFonts w:ascii="Calibri Light" w:eastAsia="Calibri" w:hAnsi="Calibri Light" w:cs="Calibri Light"/>
          <w:sz w:val="23"/>
          <w:szCs w:val="23"/>
        </w:rPr>
        <w:t xml:space="preserve">As </w:t>
      </w:r>
      <w:r w:rsidR="004C5B0D">
        <w:rPr>
          <w:rFonts w:ascii="Calibri Light" w:eastAsia="Calibri" w:hAnsi="Calibri Light" w:cs="Calibri Light"/>
          <w:sz w:val="23"/>
          <w:szCs w:val="23"/>
        </w:rPr>
        <w:t>discussed in</w:t>
      </w:r>
      <w:r w:rsidR="00802665" w:rsidRPr="000F634B">
        <w:rPr>
          <w:rFonts w:ascii="Calibri Light" w:eastAsia="Calibri" w:hAnsi="Calibri Light" w:cs="Calibri Light"/>
          <w:sz w:val="23"/>
          <w:szCs w:val="23"/>
        </w:rPr>
        <w:t xml:space="preserve"> </w:t>
      </w:r>
      <w:r w:rsidR="00F00E3D" w:rsidRPr="000F634B">
        <w:rPr>
          <w:rFonts w:ascii="Calibri Light" w:eastAsia="Calibri" w:hAnsi="Calibri Light" w:cs="Calibri Light"/>
          <w:sz w:val="23"/>
          <w:szCs w:val="23"/>
        </w:rPr>
        <w:t xml:space="preserve">Part </w:t>
      </w:r>
      <w:r w:rsidR="00195878" w:rsidRPr="000F634B">
        <w:rPr>
          <w:rFonts w:ascii="Calibri Light" w:eastAsia="Calibri" w:hAnsi="Calibri Light" w:cs="Calibri Light"/>
          <w:sz w:val="23"/>
          <w:szCs w:val="23"/>
        </w:rPr>
        <w:t>A</w:t>
      </w:r>
      <w:r w:rsidR="00F00E3D" w:rsidRPr="000F634B">
        <w:rPr>
          <w:rFonts w:ascii="Calibri Light" w:eastAsia="Calibri" w:hAnsi="Calibri Light" w:cs="Calibri Light"/>
          <w:sz w:val="23"/>
          <w:szCs w:val="23"/>
        </w:rPr>
        <w:t xml:space="preserve">, educational outcomes are impacted by </w:t>
      </w:r>
      <w:r w:rsidRPr="000F634B">
        <w:rPr>
          <w:rFonts w:ascii="Calibri Light" w:eastAsia="Calibri" w:hAnsi="Calibri Light" w:cs="Calibri Light"/>
          <w:sz w:val="23"/>
          <w:szCs w:val="23"/>
        </w:rPr>
        <w:t>several</w:t>
      </w:r>
      <w:r w:rsidR="00F00E3D" w:rsidRPr="000F634B">
        <w:rPr>
          <w:rFonts w:ascii="Calibri Light" w:eastAsia="Calibri" w:hAnsi="Calibri Light" w:cs="Calibri Light"/>
          <w:sz w:val="23"/>
          <w:szCs w:val="23"/>
        </w:rPr>
        <w:t xml:space="preserve"> factors linked to locational disadvantage</w:t>
      </w:r>
      <w:r w:rsidR="004C5B0D">
        <w:rPr>
          <w:rFonts w:ascii="Calibri Light" w:eastAsia="Calibri" w:hAnsi="Calibri Light" w:cs="Calibri Light"/>
          <w:sz w:val="23"/>
          <w:szCs w:val="23"/>
        </w:rPr>
        <w:t xml:space="preserve">, including </w:t>
      </w:r>
      <w:r w:rsidR="00F00E3D" w:rsidRPr="000F634B">
        <w:rPr>
          <w:rFonts w:asciiTheme="majorHAnsi" w:eastAsia="Times New Roman" w:hAnsiTheme="majorHAnsi" w:cstheme="majorBidi"/>
          <w:sz w:val="23"/>
          <w:szCs w:val="23"/>
          <w:lang w:eastAsia="en-GB"/>
        </w:rPr>
        <w:t xml:space="preserve">family background </w:t>
      </w:r>
      <w:r w:rsidRPr="000F634B">
        <w:rPr>
          <w:rFonts w:asciiTheme="majorHAnsi" w:eastAsia="Times New Roman" w:hAnsiTheme="majorHAnsi" w:cstheme="majorBidi"/>
          <w:sz w:val="23"/>
          <w:szCs w:val="23"/>
          <w:lang w:eastAsia="en-GB"/>
        </w:rPr>
        <w:t>and</w:t>
      </w:r>
      <w:r w:rsidR="00F00E3D" w:rsidRPr="000F634B">
        <w:rPr>
          <w:rFonts w:asciiTheme="majorHAnsi" w:eastAsia="Times New Roman" w:hAnsiTheme="majorHAnsi" w:cstheme="majorBidi"/>
          <w:sz w:val="23"/>
          <w:szCs w:val="23"/>
          <w:lang w:eastAsia="en-GB"/>
        </w:rPr>
        <w:t xml:space="preserve"> housing. A </w:t>
      </w:r>
      <w:r w:rsidR="004C7DF4" w:rsidRPr="000F634B">
        <w:rPr>
          <w:rFonts w:asciiTheme="majorHAnsi" w:eastAsia="Times New Roman" w:hAnsiTheme="majorHAnsi" w:cstheme="majorBidi"/>
          <w:sz w:val="23"/>
          <w:szCs w:val="23"/>
          <w:lang w:eastAsia="en-GB"/>
        </w:rPr>
        <w:t>recent</w:t>
      </w:r>
      <w:r w:rsidR="00F00E3D" w:rsidRPr="000F634B">
        <w:rPr>
          <w:rFonts w:asciiTheme="majorHAnsi" w:eastAsia="Times New Roman" w:hAnsiTheme="majorHAnsi" w:cstheme="majorBidi"/>
          <w:sz w:val="23"/>
          <w:szCs w:val="23"/>
          <w:lang w:eastAsia="en-GB"/>
        </w:rPr>
        <w:t xml:space="preserve"> study </w:t>
      </w:r>
      <w:r w:rsidR="00C5564D" w:rsidRPr="000F634B">
        <w:rPr>
          <w:rFonts w:asciiTheme="majorHAnsi" w:eastAsia="Times New Roman" w:hAnsiTheme="majorHAnsi" w:cstheme="majorBidi"/>
          <w:sz w:val="23"/>
          <w:szCs w:val="23"/>
          <w:lang w:eastAsia="en-GB"/>
        </w:rPr>
        <w:t>examining</w:t>
      </w:r>
      <w:r w:rsidR="00F00E3D" w:rsidRPr="000F634B">
        <w:rPr>
          <w:rFonts w:asciiTheme="majorHAnsi" w:eastAsia="Times New Roman" w:hAnsiTheme="majorHAnsi" w:cstheme="majorBidi"/>
          <w:sz w:val="23"/>
          <w:szCs w:val="23"/>
          <w:lang w:eastAsia="en-GB"/>
        </w:rPr>
        <w:t xml:space="preserve"> the impact of rising unemployment on disadvantage </w:t>
      </w:r>
      <w:r w:rsidR="004C7DF4" w:rsidRPr="000F634B">
        <w:rPr>
          <w:rFonts w:asciiTheme="majorHAnsi" w:eastAsia="Times New Roman" w:hAnsiTheme="majorHAnsi" w:cstheme="majorBidi"/>
          <w:sz w:val="23"/>
          <w:szCs w:val="23"/>
          <w:lang w:eastAsia="en-GB"/>
        </w:rPr>
        <w:t>in</w:t>
      </w:r>
      <w:r w:rsidR="00F00E3D" w:rsidRPr="000F634B">
        <w:rPr>
          <w:rFonts w:asciiTheme="majorHAnsi" w:eastAsia="Times New Roman" w:hAnsiTheme="majorHAnsi" w:cstheme="majorBidi"/>
          <w:sz w:val="23"/>
          <w:szCs w:val="23"/>
          <w:lang w:eastAsia="en-GB"/>
        </w:rPr>
        <w:t xml:space="preserve"> </w:t>
      </w:r>
      <w:r w:rsidR="004C7DF4" w:rsidRPr="000F634B">
        <w:rPr>
          <w:rFonts w:asciiTheme="majorHAnsi" w:eastAsia="Times New Roman" w:hAnsiTheme="majorHAnsi" w:cstheme="majorBidi"/>
          <w:sz w:val="23"/>
          <w:szCs w:val="23"/>
          <w:lang w:eastAsia="en-GB"/>
        </w:rPr>
        <w:t>regional NSW</w:t>
      </w:r>
      <w:r w:rsidR="00F00E3D" w:rsidRPr="000F634B">
        <w:rPr>
          <w:rFonts w:asciiTheme="majorHAnsi" w:eastAsia="Times New Roman" w:hAnsiTheme="majorHAnsi" w:cstheme="majorBidi"/>
          <w:sz w:val="23"/>
          <w:szCs w:val="23"/>
          <w:lang w:eastAsia="en-GB"/>
        </w:rPr>
        <w:t xml:space="preserve"> suggests that “evidence from previous recessions and analysis of the impact of </w:t>
      </w:r>
      <w:r w:rsidR="00940D80" w:rsidRPr="000F634B">
        <w:rPr>
          <w:rFonts w:asciiTheme="majorHAnsi" w:eastAsia="Times New Roman" w:hAnsiTheme="majorHAnsi" w:cstheme="majorBidi"/>
          <w:sz w:val="23"/>
          <w:szCs w:val="23"/>
          <w:lang w:eastAsia="en-GB"/>
        </w:rPr>
        <w:t>COVID</w:t>
      </w:r>
      <w:r w:rsidR="00F00E3D" w:rsidRPr="000F634B">
        <w:rPr>
          <w:rFonts w:asciiTheme="majorHAnsi" w:eastAsia="Times New Roman" w:hAnsiTheme="majorHAnsi" w:cstheme="majorBidi"/>
          <w:sz w:val="23"/>
          <w:szCs w:val="23"/>
          <w:lang w:eastAsia="en-GB"/>
        </w:rPr>
        <w:t xml:space="preserve">-19 and the public health response on education suggest that the effect on educational attainment and engagement will be greatest for disadvantaged students, who can least afford the additional negative impact” </w:t>
      </w:r>
      <w:r w:rsidR="00F00E3D" w:rsidRPr="000F634B">
        <w:rPr>
          <w:rFonts w:asciiTheme="majorHAnsi" w:eastAsia="Times New Roman" w:hAnsiTheme="majorHAnsi" w:cstheme="majorBidi"/>
          <w:noProof/>
          <w:sz w:val="23"/>
          <w:szCs w:val="23"/>
          <w:lang w:eastAsia="en-GB"/>
        </w:rPr>
        <w:t>(Equity Economics, 2020</w:t>
      </w:r>
      <w:r w:rsidR="001D54C5" w:rsidRPr="000F634B">
        <w:rPr>
          <w:rFonts w:asciiTheme="majorHAnsi" w:eastAsia="Times New Roman" w:hAnsiTheme="majorHAnsi" w:cstheme="majorBidi"/>
          <w:noProof/>
          <w:sz w:val="23"/>
          <w:szCs w:val="23"/>
          <w:lang w:eastAsia="en-GB"/>
        </w:rPr>
        <w:t>a</w:t>
      </w:r>
      <w:r w:rsidR="00F00E3D" w:rsidRPr="000F634B">
        <w:rPr>
          <w:rFonts w:asciiTheme="majorHAnsi" w:eastAsia="Times New Roman" w:hAnsiTheme="majorHAnsi" w:cstheme="majorBidi"/>
          <w:noProof/>
          <w:sz w:val="23"/>
          <w:szCs w:val="23"/>
          <w:lang w:eastAsia="en-GB"/>
        </w:rPr>
        <w:t>, p. 33)</w:t>
      </w:r>
      <w:r w:rsidR="00F00E3D" w:rsidRPr="000F634B">
        <w:rPr>
          <w:rFonts w:asciiTheme="majorHAnsi" w:eastAsia="Times New Roman" w:hAnsiTheme="majorHAnsi" w:cstheme="majorBidi"/>
          <w:sz w:val="23"/>
          <w:szCs w:val="23"/>
          <w:lang w:eastAsia="en-GB"/>
        </w:rPr>
        <w:t xml:space="preserve">. These impacts </w:t>
      </w:r>
      <w:r w:rsidR="00D20493" w:rsidRPr="000F634B">
        <w:rPr>
          <w:rFonts w:asciiTheme="majorHAnsi" w:eastAsia="Times New Roman" w:hAnsiTheme="majorHAnsi" w:cstheme="majorBidi"/>
          <w:sz w:val="23"/>
          <w:szCs w:val="23"/>
          <w:lang w:eastAsia="en-GB"/>
        </w:rPr>
        <w:t>are attributed to two main</w:t>
      </w:r>
      <w:r w:rsidR="00F00E3D" w:rsidRPr="000F634B">
        <w:rPr>
          <w:rFonts w:asciiTheme="majorHAnsi" w:eastAsia="Times New Roman" w:hAnsiTheme="majorHAnsi" w:cstheme="majorBidi"/>
          <w:sz w:val="23"/>
          <w:szCs w:val="23"/>
          <w:lang w:eastAsia="en-GB"/>
        </w:rPr>
        <w:t xml:space="preserve"> factors: “disruption of face-to-face learning because of public health orders and increased absenteeism; and increased rates of parental and societal unemployment leading to increases in family stress and insecurity” </w:t>
      </w:r>
      <w:r w:rsidR="00F00E3D" w:rsidRPr="000F634B">
        <w:rPr>
          <w:rFonts w:asciiTheme="majorHAnsi" w:eastAsia="Times New Roman" w:hAnsiTheme="majorHAnsi" w:cstheme="majorBidi"/>
          <w:noProof/>
          <w:sz w:val="23"/>
          <w:szCs w:val="23"/>
          <w:lang w:eastAsia="en-GB"/>
        </w:rPr>
        <w:t>(Equity Economics, 2020</w:t>
      </w:r>
      <w:r w:rsidR="001D54C5" w:rsidRPr="000F634B">
        <w:rPr>
          <w:rFonts w:asciiTheme="majorHAnsi" w:eastAsia="Times New Roman" w:hAnsiTheme="majorHAnsi" w:cstheme="majorBidi"/>
          <w:noProof/>
          <w:sz w:val="23"/>
          <w:szCs w:val="23"/>
          <w:lang w:eastAsia="en-GB"/>
        </w:rPr>
        <w:t>a</w:t>
      </w:r>
      <w:r w:rsidR="00F00E3D" w:rsidRPr="000F634B">
        <w:rPr>
          <w:rFonts w:asciiTheme="majorHAnsi" w:eastAsia="Times New Roman" w:hAnsiTheme="majorHAnsi" w:cstheme="majorBidi"/>
          <w:noProof/>
          <w:sz w:val="23"/>
          <w:szCs w:val="23"/>
          <w:lang w:eastAsia="en-GB"/>
        </w:rPr>
        <w:t>, p. 32)</w:t>
      </w:r>
      <w:r w:rsidR="00F00E3D" w:rsidRPr="000F634B">
        <w:rPr>
          <w:rFonts w:asciiTheme="majorHAnsi" w:eastAsia="Times New Roman" w:hAnsiTheme="majorHAnsi" w:cstheme="majorBidi"/>
          <w:sz w:val="23"/>
          <w:szCs w:val="23"/>
          <w:lang w:eastAsia="en-GB"/>
        </w:rPr>
        <w:t xml:space="preserve">. To date, only Victoria has introduced </w:t>
      </w:r>
      <w:r w:rsidR="00781AD4">
        <w:rPr>
          <w:rFonts w:asciiTheme="majorHAnsi" w:eastAsia="Times New Roman" w:hAnsiTheme="majorHAnsi" w:cstheme="majorBidi"/>
          <w:sz w:val="23"/>
          <w:szCs w:val="23"/>
          <w:lang w:eastAsia="en-GB"/>
        </w:rPr>
        <w:t xml:space="preserve">a policy response </w:t>
      </w:r>
      <w:r w:rsidR="00F00E3D" w:rsidRPr="000F634B">
        <w:rPr>
          <w:rFonts w:asciiTheme="majorHAnsi" w:eastAsia="Times New Roman" w:hAnsiTheme="majorHAnsi" w:cstheme="majorBidi"/>
          <w:sz w:val="23"/>
          <w:szCs w:val="23"/>
          <w:lang w:eastAsia="en-GB"/>
        </w:rPr>
        <w:t xml:space="preserve">to address </w:t>
      </w:r>
      <w:r w:rsidR="00940D80" w:rsidRPr="000F634B">
        <w:rPr>
          <w:rFonts w:asciiTheme="majorHAnsi" w:eastAsia="Times New Roman" w:hAnsiTheme="majorHAnsi" w:cstheme="majorBidi"/>
          <w:sz w:val="23"/>
          <w:szCs w:val="23"/>
          <w:lang w:eastAsia="en-GB"/>
        </w:rPr>
        <w:t>COVID</w:t>
      </w:r>
      <w:r w:rsidR="00F00E3D" w:rsidRPr="000F634B">
        <w:rPr>
          <w:rFonts w:asciiTheme="majorHAnsi" w:eastAsia="Times New Roman" w:hAnsiTheme="majorHAnsi" w:cstheme="majorBidi"/>
          <w:sz w:val="23"/>
          <w:szCs w:val="23"/>
          <w:lang w:eastAsia="en-GB"/>
        </w:rPr>
        <w:t>-19</w:t>
      </w:r>
      <w:r w:rsidR="00D20493" w:rsidRPr="000F634B">
        <w:rPr>
          <w:rFonts w:asciiTheme="majorHAnsi" w:eastAsia="Times New Roman" w:hAnsiTheme="majorHAnsi" w:cstheme="majorBidi"/>
          <w:sz w:val="23"/>
          <w:szCs w:val="23"/>
          <w:lang w:eastAsia="en-GB"/>
        </w:rPr>
        <w:t>’s impact</w:t>
      </w:r>
      <w:r w:rsidR="00F00E3D" w:rsidRPr="000F634B">
        <w:rPr>
          <w:rFonts w:asciiTheme="majorHAnsi" w:eastAsia="Times New Roman" w:hAnsiTheme="majorHAnsi" w:cstheme="majorBidi"/>
          <w:sz w:val="23"/>
          <w:szCs w:val="23"/>
          <w:lang w:eastAsia="en-GB"/>
        </w:rPr>
        <w:t xml:space="preserve"> on student disadvantage</w:t>
      </w:r>
      <w:r w:rsidR="00C7512E">
        <w:rPr>
          <w:rFonts w:asciiTheme="majorHAnsi" w:eastAsia="Times New Roman" w:hAnsiTheme="majorHAnsi" w:cstheme="majorBidi"/>
          <w:sz w:val="23"/>
          <w:szCs w:val="23"/>
          <w:lang w:eastAsia="en-GB"/>
        </w:rPr>
        <w:t xml:space="preserve"> (</w:t>
      </w:r>
      <w:r w:rsidR="00781AD4" w:rsidRPr="00781AD4">
        <w:rPr>
          <w:rFonts w:asciiTheme="majorHAnsi" w:eastAsia="Times New Roman" w:hAnsiTheme="majorHAnsi" w:cstheme="majorBidi"/>
          <w:sz w:val="23"/>
          <w:szCs w:val="23"/>
          <w:lang w:eastAsia="en-GB"/>
        </w:rPr>
        <w:t>Tutor Learning Initiative 2021</w:t>
      </w:r>
      <w:r w:rsidR="00C7512E">
        <w:rPr>
          <w:rFonts w:asciiTheme="majorHAnsi" w:eastAsia="Times New Roman" w:hAnsiTheme="majorHAnsi" w:cstheme="majorBidi"/>
          <w:sz w:val="23"/>
          <w:szCs w:val="23"/>
          <w:lang w:eastAsia="en-GB"/>
        </w:rPr>
        <w:t>)</w:t>
      </w:r>
      <w:r w:rsidR="00F00E3D" w:rsidRPr="000F634B">
        <w:rPr>
          <w:rFonts w:asciiTheme="majorHAnsi" w:eastAsia="Times New Roman" w:hAnsiTheme="majorHAnsi" w:cstheme="majorBidi"/>
          <w:sz w:val="23"/>
          <w:szCs w:val="23"/>
          <w:lang w:eastAsia="en-GB"/>
        </w:rPr>
        <w:t>.</w:t>
      </w:r>
    </w:p>
    <w:p w14:paraId="439E8610" w14:textId="77777777" w:rsidR="00F00E3D" w:rsidRPr="000F634B" w:rsidRDefault="00F00E3D" w:rsidP="004C5B0D">
      <w:pPr>
        <w:widowControl w:val="0"/>
        <w:spacing w:after="0" w:line="276" w:lineRule="auto"/>
        <w:rPr>
          <w:rFonts w:asciiTheme="majorHAnsi" w:eastAsia="Times New Roman" w:hAnsiTheme="majorHAnsi" w:cstheme="majorBidi"/>
          <w:sz w:val="12"/>
          <w:szCs w:val="12"/>
          <w:lang w:eastAsia="en-GB"/>
        </w:rPr>
      </w:pPr>
    </w:p>
    <w:p w14:paraId="3389F4EC" w14:textId="5659FF3E" w:rsidR="00F00E3D" w:rsidRPr="000F634B" w:rsidRDefault="008052B3" w:rsidP="004D51EB">
      <w:pPr>
        <w:spacing w:after="0" w:line="276" w:lineRule="auto"/>
        <w:rPr>
          <w:rFonts w:asciiTheme="majorHAnsi" w:eastAsia="Times New Roman" w:hAnsiTheme="majorHAnsi" w:cstheme="majorBidi"/>
          <w:sz w:val="23"/>
          <w:szCs w:val="23"/>
          <w:lang w:eastAsia="en-GB"/>
        </w:rPr>
      </w:pPr>
      <w:r w:rsidRPr="000F634B">
        <w:rPr>
          <w:rFonts w:asciiTheme="majorHAnsi" w:eastAsia="Times New Roman" w:hAnsiTheme="majorHAnsi" w:cstheme="majorBidi"/>
          <w:sz w:val="23"/>
          <w:szCs w:val="23"/>
          <w:lang w:eastAsia="en-GB"/>
        </w:rPr>
        <w:t>Another</w:t>
      </w:r>
      <w:r w:rsidR="00F00E3D" w:rsidRPr="000F634B">
        <w:rPr>
          <w:rFonts w:asciiTheme="majorHAnsi" w:eastAsia="Times New Roman" w:hAnsiTheme="majorHAnsi" w:cstheme="majorBidi"/>
          <w:sz w:val="23"/>
          <w:szCs w:val="23"/>
          <w:lang w:eastAsia="en-GB"/>
        </w:rPr>
        <w:t xml:space="preserve"> </w:t>
      </w:r>
      <w:r w:rsidRPr="000F634B">
        <w:rPr>
          <w:rFonts w:asciiTheme="majorHAnsi" w:eastAsia="Times New Roman" w:hAnsiTheme="majorHAnsi" w:cstheme="majorBidi"/>
          <w:sz w:val="23"/>
          <w:szCs w:val="23"/>
          <w:lang w:eastAsia="en-GB"/>
        </w:rPr>
        <w:t>study</w:t>
      </w:r>
      <w:r w:rsidR="00F00E3D" w:rsidRPr="000F634B">
        <w:rPr>
          <w:rFonts w:asciiTheme="majorHAnsi" w:eastAsia="Times New Roman" w:hAnsiTheme="majorHAnsi" w:cstheme="majorBidi"/>
          <w:sz w:val="23"/>
          <w:szCs w:val="23"/>
          <w:lang w:eastAsia="en-GB"/>
        </w:rPr>
        <w:t xml:space="preserve"> reports that children living in low</w:t>
      </w:r>
      <w:r w:rsidRPr="000F634B">
        <w:rPr>
          <w:rFonts w:asciiTheme="majorHAnsi" w:eastAsia="Times New Roman" w:hAnsiTheme="majorHAnsi" w:cstheme="majorBidi"/>
          <w:sz w:val="23"/>
          <w:szCs w:val="23"/>
          <w:lang w:eastAsia="en-GB"/>
        </w:rPr>
        <w:t>-</w:t>
      </w:r>
      <w:r w:rsidR="00F00E3D" w:rsidRPr="000F634B">
        <w:rPr>
          <w:rFonts w:asciiTheme="majorHAnsi" w:eastAsia="Times New Roman" w:hAnsiTheme="majorHAnsi" w:cstheme="majorBidi"/>
          <w:sz w:val="23"/>
          <w:szCs w:val="23"/>
          <w:lang w:eastAsia="en-GB"/>
        </w:rPr>
        <w:t xml:space="preserve">SES </w:t>
      </w:r>
      <w:r w:rsidR="00BD7A97" w:rsidRPr="000F634B">
        <w:rPr>
          <w:rFonts w:asciiTheme="majorHAnsi" w:eastAsia="Times New Roman" w:hAnsiTheme="majorHAnsi" w:cstheme="majorBidi"/>
          <w:sz w:val="23"/>
          <w:szCs w:val="23"/>
          <w:lang w:eastAsia="en-GB"/>
        </w:rPr>
        <w:t xml:space="preserve">(socioeconomic status) </w:t>
      </w:r>
      <w:r w:rsidR="00F00E3D" w:rsidRPr="000F634B">
        <w:rPr>
          <w:rFonts w:asciiTheme="majorHAnsi" w:eastAsia="Times New Roman" w:hAnsiTheme="majorHAnsi" w:cstheme="majorBidi"/>
          <w:sz w:val="23"/>
          <w:szCs w:val="23"/>
          <w:lang w:eastAsia="en-GB"/>
        </w:rPr>
        <w:t xml:space="preserve">communities face four key barriers to remote learning </w:t>
      </w:r>
      <w:r w:rsidR="00F00E3D" w:rsidRPr="000F634B">
        <w:rPr>
          <w:rFonts w:asciiTheme="majorHAnsi" w:eastAsia="Times New Roman" w:hAnsiTheme="majorHAnsi" w:cstheme="majorBidi"/>
          <w:noProof/>
          <w:sz w:val="23"/>
          <w:szCs w:val="23"/>
          <w:lang w:eastAsia="en-GB"/>
        </w:rPr>
        <w:t>(Drane, Vernon, &amp; O’Shea, 2020, p. 3)</w:t>
      </w:r>
      <w:r w:rsidR="00F00E3D" w:rsidRPr="000F634B">
        <w:rPr>
          <w:rFonts w:asciiTheme="majorHAnsi" w:eastAsia="Times New Roman" w:hAnsiTheme="majorHAnsi" w:cstheme="majorBidi"/>
          <w:sz w:val="23"/>
          <w:szCs w:val="23"/>
          <w:lang w:eastAsia="en-GB"/>
        </w:rPr>
        <w:t xml:space="preserve">: long-term educational disengagement; digital exclusion; poor technology management; and increased psychosocial challenges. </w:t>
      </w:r>
      <w:r w:rsidR="00C7512E">
        <w:rPr>
          <w:rFonts w:asciiTheme="majorHAnsi" w:eastAsia="Times New Roman" w:hAnsiTheme="majorHAnsi" w:cstheme="majorBidi"/>
          <w:sz w:val="23"/>
          <w:szCs w:val="23"/>
          <w:lang w:eastAsia="en-GB"/>
        </w:rPr>
        <w:t>Next we</w:t>
      </w:r>
      <w:r w:rsidR="00F00E3D" w:rsidRPr="000F634B">
        <w:rPr>
          <w:rFonts w:asciiTheme="majorHAnsi" w:eastAsia="Times New Roman" w:hAnsiTheme="majorHAnsi" w:cstheme="majorBidi"/>
          <w:sz w:val="23"/>
          <w:szCs w:val="23"/>
          <w:lang w:eastAsia="en-GB"/>
        </w:rPr>
        <w:t xml:space="preserve"> summarise </w:t>
      </w:r>
      <w:r w:rsidR="00C7512E">
        <w:rPr>
          <w:rFonts w:asciiTheme="majorHAnsi" w:eastAsia="Times New Roman" w:hAnsiTheme="majorHAnsi" w:cstheme="majorBidi"/>
          <w:sz w:val="23"/>
          <w:szCs w:val="23"/>
          <w:lang w:eastAsia="en-GB"/>
        </w:rPr>
        <w:t>some</w:t>
      </w:r>
      <w:r w:rsidR="00F00E3D" w:rsidRPr="000F634B">
        <w:rPr>
          <w:rFonts w:asciiTheme="majorHAnsi" w:eastAsia="Times New Roman" w:hAnsiTheme="majorHAnsi" w:cstheme="majorBidi"/>
          <w:sz w:val="23"/>
          <w:szCs w:val="23"/>
          <w:lang w:eastAsia="en-GB"/>
        </w:rPr>
        <w:t xml:space="preserve"> recent </w:t>
      </w:r>
      <w:r w:rsidR="00BD7A97" w:rsidRPr="000F634B">
        <w:rPr>
          <w:rFonts w:asciiTheme="majorHAnsi" w:eastAsia="Times New Roman" w:hAnsiTheme="majorHAnsi" w:cstheme="majorBidi"/>
          <w:sz w:val="23"/>
          <w:szCs w:val="23"/>
          <w:lang w:eastAsia="en-GB"/>
        </w:rPr>
        <w:t xml:space="preserve">Australian </w:t>
      </w:r>
      <w:r w:rsidR="00F00E3D" w:rsidRPr="000F634B">
        <w:rPr>
          <w:rFonts w:asciiTheme="majorHAnsi" w:eastAsia="Times New Roman" w:hAnsiTheme="majorHAnsi" w:cstheme="majorBidi"/>
          <w:sz w:val="23"/>
          <w:szCs w:val="23"/>
          <w:lang w:eastAsia="en-GB"/>
        </w:rPr>
        <w:t xml:space="preserve">studies that </w:t>
      </w:r>
      <w:r w:rsidR="00BD7A97" w:rsidRPr="000F634B">
        <w:rPr>
          <w:rFonts w:asciiTheme="majorHAnsi" w:eastAsia="Times New Roman" w:hAnsiTheme="majorHAnsi" w:cstheme="majorBidi"/>
          <w:sz w:val="23"/>
          <w:szCs w:val="23"/>
          <w:lang w:eastAsia="en-GB"/>
        </w:rPr>
        <w:t>consider</w:t>
      </w:r>
      <w:r w:rsidR="00F00E3D" w:rsidRPr="000F634B">
        <w:rPr>
          <w:rFonts w:asciiTheme="majorHAnsi" w:eastAsia="Times New Roman" w:hAnsiTheme="majorHAnsi" w:cstheme="majorBidi"/>
          <w:sz w:val="23"/>
          <w:szCs w:val="23"/>
          <w:lang w:eastAsia="en-GB"/>
        </w:rPr>
        <w:t xml:space="preserve"> </w:t>
      </w:r>
      <w:r w:rsidR="00940D80" w:rsidRPr="000F634B">
        <w:rPr>
          <w:rFonts w:asciiTheme="majorHAnsi" w:eastAsia="Times New Roman" w:hAnsiTheme="majorHAnsi" w:cstheme="majorBidi"/>
          <w:sz w:val="23"/>
          <w:szCs w:val="23"/>
          <w:lang w:eastAsia="en-GB"/>
        </w:rPr>
        <w:t>COVID</w:t>
      </w:r>
      <w:r w:rsidR="00F00E3D" w:rsidRPr="000F634B">
        <w:rPr>
          <w:rFonts w:asciiTheme="majorHAnsi" w:eastAsia="Times New Roman" w:hAnsiTheme="majorHAnsi" w:cstheme="majorBidi"/>
          <w:sz w:val="23"/>
          <w:szCs w:val="23"/>
          <w:lang w:eastAsia="en-GB"/>
        </w:rPr>
        <w:t>-19</w:t>
      </w:r>
      <w:r w:rsidR="00BD7A97" w:rsidRPr="000F634B">
        <w:rPr>
          <w:rFonts w:asciiTheme="majorHAnsi" w:eastAsia="Times New Roman" w:hAnsiTheme="majorHAnsi" w:cstheme="majorBidi"/>
          <w:sz w:val="23"/>
          <w:szCs w:val="23"/>
          <w:lang w:eastAsia="en-GB"/>
        </w:rPr>
        <w:t>’s</w:t>
      </w:r>
      <w:r w:rsidR="00F00E3D" w:rsidRPr="000F634B">
        <w:rPr>
          <w:rFonts w:asciiTheme="majorHAnsi" w:eastAsia="Times New Roman" w:hAnsiTheme="majorHAnsi" w:cstheme="majorBidi"/>
          <w:sz w:val="23"/>
          <w:szCs w:val="23"/>
          <w:lang w:eastAsia="en-GB"/>
        </w:rPr>
        <w:t xml:space="preserve"> impacts on education in relation to five key areas of concern: (1) access to quality education</w:t>
      </w:r>
      <w:r w:rsidR="00956F8D" w:rsidRPr="000F634B">
        <w:rPr>
          <w:rFonts w:asciiTheme="majorHAnsi" w:eastAsia="Times New Roman" w:hAnsiTheme="majorHAnsi" w:cstheme="majorBidi"/>
          <w:sz w:val="23"/>
          <w:szCs w:val="23"/>
          <w:lang w:eastAsia="en-GB"/>
        </w:rPr>
        <w:t>;</w:t>
      </w:r>
      <w:r w:rsidR="00F00E3D" w:rsidRPr="000F634B">
        <w:rPr>
          <w:rFonts w:asciiTheme="majorHAnsi" w:eastAsia="Times New Roman" w:hAnsiTheme="majorHAnsi" w:cstheme="majorBidi"/>
          <w:sz w:val="23"/>
          <w:szCs w:val="23"/>
          <w:lang w:eastAsia="en-GB"/>
        </w:rPr>
        <w:t xml:space="preserve"> (2) students with disability; (3) Aboriginal and Torres Strait Islander children; (4) parents’ perspectives on home-based learning; and (5) digital inclusion and online education. </w:t>
      </w:r>
    </w:p>
    <w:p w14:paraId="4E85C4CB" w14:textId="77777777" w:rsidR="00F00E3D" w:rsidRPr="000F634B" w:rsidRDefault="00F00E3D" w:rsidP="004D51EB">
      <w:pPr>
        <w:spacing w:after="0" w:line="276" w:lineRule="auto"/>
        <w:rPr>
          <w:rFonts w:asciiTheme="majorHAnsi" w:eastAsia="Times New Roman" w:hAnsiTheme="majorHAnsi" w:cstheme="majorBidi"/>
          <w:b/>
          <w:sz w:val="12"/>
          <w:szCs w:val="12"/>
          <w:lang w:eastAsia="en-GB"/>
        </w:rPr>
      </w:pPr>
    </w:p>
    <w:p w14:paraId="7CDB8F63" w14:textId="3B252F5B" w:rsidR="00F00E3D" w:rsidRPr="000F634B" w:rsidRDefault="00F00E3D" w:rsidP="004D51EB">
      <w:pPr>
        <w:spacing w:after="0" w:line="276" w:lineRule="auto"/>
        <w:rPr>
          <w:rFonts w:eastAsia="Times New Roman" w:cstheme="minorHAnsi"/>
          <w:b/>
          <w:bCs/>
          <w:sz w:val="23"/>
          <w:szCs w:val="23"/>
          <w:lang w:eastAsia="en-GB"/>
        </w:rPr>
      </w:pPr>
      <w:r w:rsidRPr="000F634B">
        <w:rPr>
          <w:rFonts w:eastAsia="Times New Roman" w:cstheme="minorHAnsi"/>
          <w:b/>
          <w:bCs/>
          <w:sz w:val="23"/>
          <w:szCs w:val="23"/>
          <w:lang w:eastAsia="en-GB"/>
        </w:rPr>
        <w:t xml:space="preserve">Access to </w:t>
      </w:r>
      <w:r w:rsidR="00C513AA" w:rsidRPr="000F634B">
        <w:rPr>
          <w:rFonts w:eastAsia="Times New Roman" w:cstheme="minorHAnsi"/>
          <w:b/>
          <w:bCs/>
          <w:sz w:val="23"/>
          <w:szCs w:val="23"/>
          <w:lang w:eastAsia="en-GB"/>
        </w:rPr>
        <w:t>Q</w:t>
      </w:r>
      <w:r w:rsidRPr="000F634B">
        <w:rPr>
          <w:rFonts w:eastAsia="Times New Roman" w:cstheme="minorHAnsi"/>
          <w:b/>
          <w:bCs/>
          <w:sz w:val="23"/>
          <w:szCs w:val="23"/>
          <w:lang w:eastAsia="en-GB"/>
        </w:rPr>
        <w:t xml:space="preserve">uality </w:t>
      </w:r>
      <w:r w:rsidR="00C513AA" w:rsidRPr="000F634B">
        <w:rPr>
          <w:rFonts w:eastAsia="Times New Roman" w:cstheme="minorHAnsi"/>
          <w:b/>
          <w:bCs/>
          <w:sz w:val="23"/>
          <w:szCs w:val="23"/>
          <w:lang w:eastAsia="en-GB"/>
        </w:rPr>
        <w:t>E</w:t>
      </w:r>
      <w:r w:rsidRPr="000F634B">
        <w:rPr>
          <w:rFonts w:eastAsia="Times New Roman" w:cstheme="minorHAnsi"/>
          <w:b/>
          <w:bCs/>
          <w:sz w:val="23"/>
          <w:szCs w:val="23"/>
          <w:lang w:eastAsia="en-GB"/>
        </w:rPr>
        <w:t>ducation</w:t>
      </w:r>
    </w:p>
    <w:p w14:paraId="220C590C" w14:textId="77777777" w:rsidR="00C513AA" w:rsidRPr="000F634B" w:rsidRDefault="00C513AA" w:rsidP="004D51EB">
      <w:pPr>
        <w:spacing w:after="0" w:line="276" w:lineRule="auto"/>
        <w:rPr>
          <w:rFonts w:asciiTheme="majorHAnsi" w:eastAsia="Times New Roman" w:hAnsiTheme="majorHAnsi" w:cstheme="majorHAnsi"/>
          <w:sz w:val="12"/>
          <w:szCs w:val="12"/>
          <w:lang w:eastAsia="en-GB"/>
        </w:rPr>
      </w:pPr>
    </w:p>
    <w:p w14:paraId="0FBF2A1D" w14:textId="2EF644BD" w:rsidR="00C018C9" w:rsidRPr="000F634B" w:rsidRDefault="00F00E3D" w:rsidP="004D51EB">
      <w:pPr>
        <w:spacing w:after="0" w:line="276" w:lineRule="auto"/>
        <w:rPr>
          <w:rFonts w:asciiTheme="majorHAnsi" w:eastAsia="Times New Roman" w:hAnsiTheme="majorHAnsi" w:cstheme="majorHAnsi"/>
          <w:sz w:val="23"/>
          <w:szCs w:val="23"/>
          <w:lang w:eastAsia="en-GB"/>
        </w:rPr>
      </w:pPr>
      <w:r w:rsidRPr="000F634B">
        <w:rPr>
          <w:rFonts w:asciiTheme="majorHAnsi" w:eastAsia="Times New Roman" w:hAnsiTheme="majorHAnsi" w:cstheme="majorHAnsi"/>
          <w:sz w:val="23"/>
          <w:szCs w:val="23"/>
          <w:lang w:eastAsia="en-GB"/>
        </w:rPr>
        <w:t>Clinton consider</w:t>
      </w:r>
      <w:r w:rsidR="00C7512E">
        <w:rPr>
          <w:rFonts w:asciiTheme="majorHAnsi" w:eastAsia="Times New Roman" w:hAnsiTheme="majorHAnsi" w:cstheme="majorHAnsi"/>
          <w:sz w:val="23"/>
          <w:szCs w:val="23"/>
          <w:lang w:eastAsia="en-GB"/>
        </w:rPr>
        <w:t>s</w:t>
      </w:r>
      <w:r w:rsidRPr="000F634B">
        <w:rPr>
          <w:rFonts w:asciiTheme="majorHAnsi" w:eastAsia="Times New Roman" w:hAnsiTheme="majorHAnsi" w:cstheme="majorHAnsi"/>
          <w:sz w:val="23"/>
          <w:szCs w:val="23"/>
          <w:lang w:eastAsia="en-GB"/>
        </w:rPr>
        <w:t xml:space="preserve"> the factors that impede access to quality education, particular</w:t>
      </w:r>
      <w:r w:rsidR="00B249E2" w:rsidRPr="000F634B">
        <w:rPr>
          <w:rFonts w:asciiTheme="majorHAnsi" w:eastAsia="Times New Roman" w:hAnsiTheme="majorHAnsi" w:cstheme="majorHAnsi"/>
          <w:sz w:val="23"/>
          <w:szCs w:val="23"/>
          <w:lang w:eastAsia="en-GB"/>
        </w:rPr>
        <w:t>ly</w:t>
      </w:r>
      <w:r w:rsidRPr="000F634B">
        <w:rPr>
          <w:rFonts w:asciiTheme="majorHAnsi" w:eastAsia="Times New Roman" w:hAnsiTheme="majorHAnsi" w:cstheme="majorHAnsi"/>
          <w:sz w:val="23"/>
          <w:szCs w:val="23"/>
          <w:lang w:eastAsia="en-GB"/>
        </w:rPr>
        <w:t xml:space="preserve"> </w:t>
      </w:r>
      <w:r w:rsidR="00B249E2" w:rsidRPr="000F634B">
        <w:rPr>
          <w:rFonts w:asciiTheme="majorHAnsi" w:eastAsia="Times New Roman" w:hAnsiTheme="majorHAnsi" w:cstheme="majorHAnsi"/>
          <w:sz w:val="23"/>
          <w:szCs w:val="23"/>
          <w:lang w:eastAsia="en-GB"/>
        </w:rPr>
        <w:t>for</w:t>
      </w:r>
      <w:r w:rsidRPr="000F634B">
        <w:rPr>
          <w:rFonts w:asciiTheme="majorHAnsi" w:eastAsia="Times New Roman" w:hAnsiTheme="majorHAnsi" w:cstheme="majorHAnsi"/>
          <w:sz w:val="23"/>
          <w:szCs w:val="23"/>
          <w:lang w:eastAsia="en-GB"/>
        </w:rPr>
        <w:t xml:space="preserve"> more vulnerable groups. She reports that Australian children living in poverty “will experience exacerbated risk as a consequence of the </w:t>
      </w:r>
      <w:r w:rsidR="00940D80" w:rsidRPr="000F634B">
        <w:rPr>
          <w:rFonts w:asciiTheme="majorHAnsi" w:eastAsia="Times New Roman" w:hAnsiTheme="majorHAnsi" w:cstheme="majorHAnsi"/>
          <w:sz w:val="23"/>
          <w:szCs w:val="23"/>
          <w:lang w:eastAsia="en-GB"/>
        </w:rPr>
        <w:t>COVID</w:t>
      </w:r>
      <w:r w:rsidRPr="000F634B">
        <w:rPr>
          <w:rFonts w:asciiTheme="majorHAnsi" w:eastAsia="Times New Roman" w:hAnsiTheme="majorHAnsi" w:cstheme="majorHAnsi"/>
          <w:sz w:val="23"/>
          <w:szCs w:val="23"/>
          <w:lang w:eastAsia="en-GB"/>
        </w:rPr>
        <w:t>-19 school interruption”</w:t>
      </w:r>
      <w:r w:rsidR="00C7512E">
        <w:rPr>
          <w:rFonts w:asciiTheme="majorHAnsi" w:eastAsia="Times New Roman" w:hAnsiTheme="majorHAnsi" w:cstheme="majorHAnsi"/>
          <w:sz w:val="23"/>
          <w:szCs w:val="23"/>
          <w:lang w:eastAsia="en-GB"/>
        </w:rPr>
        <w:t xml:space="preserve">. These </w:t>
      </w:r>
      <w:r w:rsidRPr="000F634B">
        <w:rPr>
          <w:rFonts w:asciiTheme="majorHAnsi" w:eastAsia="Times New Roman" w:hAnsiTheme="majorHAnsi" w:cstheme="majorHAnsi"/>
          <w:sz w:val="23"/>
          <w:szCs w:val="23"/>
          <w:lang w:eastAsia="en-GB"/>
        </w:rPr>
        <w:t>children</w:t>
      </w:r>
      <w:r w:rsidR="000D0404" w:rsidRPr="000F634B">
        <w:rPr>
          <w:rFonts w:asciiTheme="majorHAnsi" w:eastAsia="Times New Roman" w:hAnsiTheme="majorHAnsi" w:cstheme="majorHAnsi"/>
          <w:sz w:val="23"/>
          <w:szCs w:val="23"/>
          <w:lang w:eastAsia="en-GB"/>
        </w:rPr>
        <w:t>,</w:t>
      </w:r>
      <w:r w:rsidRPr="000F634B">
        <w:rPr>
          <w:rFonts w:asciiTheme="majorHAnsi" w:eastAsia="Times New Roman" w:hAnsiTheme="majorHAnsi" w:cstheme="majorHAnsi"/>
          <w:sz w:val="23"/>
          <w:szCs w:val="23"/>
          <w:lang w:eastAsia="en-GB"/>
        </w:rPr>
        <w:t xml:space="preserve"> </w:t>
      </w:r>
      <w:r w:rsidR="006B5F68" w:rsidRPr="000F634B">
        <w:rPr>
          <w:rFonts w:asciiTheme="majorHAnsi" w:eastAsia="Times New Roman" w:hAnsiTheme="majorHAnsi" w:cstheme="majorHAnsi"/>
          <w:sz w:val="23"/>
          <w:szCs w:val="23"/>
          <w:lang w:eastAsia="en-GB"/>
        </w:rPr>
        <w:t xml:space="preserve">who are </w:t>
      </w:r>
      <w:r w:rsidRPr="000F634B">
        <w:rPr>
          <w:rFonts w:asciiTheme="majorHAnsi" w:eastAsia="Times New Roman" w:hAnsiTheme="majorHAnsi" w:cstheme="majorHAnsi"/>
          <w:sz w:val="23"/>
          <w:szCs w:val="23"/>
          <w:lang w:eastAsia="en-GB"/>
        </w:rPr>
        <w:t xml:space="preserve">at risk of missing </w:t>
      </w:r>
      <w:r w:rsidR="00C7512E">
        <w:rPr>
          <w:rFonts w:asciiTheme="majorHAnsi" w:eastAsia="Times New Roman" w:hAnsiTheme="majorHAnsi" w:cstheme="majorHAnsi"/>
          <w:sz w:val="23"/>
          <w:szCs w:val="23"/>
          <w:lang w:eastAsia="en-GB"/>
        </w:rPr>
        <w:t>around</w:t>
      </w:r>
      <w:r w:rsidRPr="000F634B">
        <w:rPr>
          <w:rFonts w:asciiTheme="majorHAnsi" w:eastAsia="Times New Roman" w:hAnsiTheme="majorHAnsi" w:cstheme="majorHAnsi"/>
          <w:sz w:val="23"/>
          <w:szCs w:val="23"/>
          <w:lang w:eastAsia="en-GB"/>
        </w:rPr>
        <w:t xml:space="preserve"> 10 weeks of in</w:t>
      </w:r>
      <w:r w:rsidR="000D0404" w:rsidRPr="000F634B">
        <w:rPr>
          <w:rFonts w:asciiTheme="majorHAnsi" w:eastAsia="Times New Roman" w:hAnsiTheme="majorHAnsi" w:cstheme="majorHAnsi"/>
          <w:sz w:val="23"/>
          <w:szCs w:val="23"/>
          <w:lang w:eastAsia="en-GB"/>
        </w:rPr>
        <w:t>-</w:t>
      </w:r>
      <w:r w:rsidRPr="000F634B">
        <w:rPr>
          <w:rFonts w:asciiTheme="majorHAnsi" w:eastAsia="Times New Roman" w:hAnsiTheme="majorHAnsi" w:cstheme="majorHAnsi"/>
          <w:sz w:val="23"/>
          <w:szCs w:val="23"/>
          <w:lang w:eastAsia="en-GB"/>
        </w:rPr>
        <w:t>school education</w:t>
      </w:r>
      <w:r w:rsidR="006B5F68" w:rsidRPr="000F634B">
        <w:rPr>
          <w:rFonts w:asciiTheme="majorHAnsi" w:eastAsia="Times New Roman" w:hAnsiTheme="majorHAnsi" w:cstheme="majorHAnsi"/>
          <w:sz w:val="23"/>
          <w:szCs w:val="23"/>
          <w:lang w:eastAsia="en-GB"/>
        </w:rPr>
        <w:t xml:space="preserve">, are likely to experience </w:t>
      </w:r>
      <w:r w:rsidRPr="000F634B">
        <w:rPr>
          <w:rFonts w:asciiTheme="majorHAnsi" w:eastAsia="Times New Roman" w:hAnsiTheme="majorHAnsi" w:cstheme="majorHAnsi"/>
          <w:sz w:val="23"/>
          <w:szCs w:val="23"/>
          <w:lang w:eastAsia="en-GB"/>
        </w:rPr>
        <w:t>“a significant interruption of learning, access to support for health and well-being</w:t>
      </w:r>
      <w:r w:rsidR="006B5F68" w:rsidRPr="000F634B">
        <w:rPr>
          <w:rFonts w:asciiTheme="majorHAnsi" w:eastAsia="Times New Roman" w:hAnsiTheme="majorHAnsi" w:cstheme="majorHAnsi"/>
          <w:sz w:val="23"/>
          <w:szCs w:val="23"/>
          <w:lang w:eastAsia="en-GB"/>
        </w:rPr>
        <w:t>”.</w:t>
      </w:r>
      <w:r w:rsidR="00C018C9" w:rsidRPr="000F634B">
        <w:rPr>
          <w:rFonts w:asciiTheme="majorHAnsi" w:eastAsia="Times New Roman" w:hAnsiTheme="majorHAnsi" w:cstheme="majorHAnsi"/>
          <w:sz w:val="23"/>
          <w:szCs w:val="23"/>
          <w:lang w:eastAsia="en-GB"/>
        </w:rPr>
        <w:t xml:space="preserve"> As a result,</w:t>
      </w:r>
      <w:r w:rsidRPr="000F634B">
        <w:rPr>
          <w:rFonts w:asciiTheme="majorHAnsi" w:eastAsia="Times New Roman" w:hAnsiTheme="majorHAnsi" w:cstheme="majorHAnsi"/>
          <w:sz w:val="23"/>
          <w:szCs w:val="23"/>
          <w:lang w:eastAsia="en-GB"/>
        </w:rPr>
        <w:t xml:space="preserve"> </w:t>
      </w:r>
      <w:r w:rsidR="00C018C9" w:rsidRPr="000F634B">
        <w:rPr>
          <w:rFonts w:asciiTheme="majorHAnsi" w:eastAsia="Times New Roman" w:hAnsiTheme="majorHAnsi" w:cstheme="majorHAnsi"/>
          <w:sz w:val="23"/>
          <w:szCs w:val="23"/>
          <w:lang w:eastAsia="en-GB"/>
        </w:rPr>
        <w:t>“</w:t>
      </w:r>
      <w:r w:rsidRPr="000F634B">
        <w:rPr>
          <w:rFonts w:asciiTheme="majorHAnsi" w:eastAsia="Times New Roman" w:hAnsiTheme="majorHAnsi" w:cstheme="majorHAnsi"/>
          <w:sz w:val="23"/>
          <w:szCs w:val="23"/>
          <w:lang w:eastAsia="en-GB"/>
        </w:rPr>
        <w:t>the equity gap will increase and for many, the chance of recovery from the impact of living in these vulnerable contexts will be diminished</w:t>
      </w:r>
      <w:r w:rsidRPr="000F634B">
        <w:rPr>
          <w:rFonts w:asciiTheme="majorHAnsi" w:eastAsia="Times New Roman" w:hAnsiTheme="majorHAnsi" w:cstheme="majorHAnsi"/>
          <w:i/>
          <w:iCs/>
          <w:sz w:val="23"/>
          <w:szCs w:val="23"/>
          <w:lang w:eastAsia="en-GB"/>
        </w:rPr>
        <w:t xml:space="preserve">” </w:t>
      </w:r>
      <w:r w:rsidRPr="000F634B">
        <w:rPr>
          <w:rFonts w:asciiTheme="majorHAnsi" w:eastAsia="Times New Roman" w:hAnsiTheme="majorHAnsi" w:cstheme="majorHAnsi"/>
          <w:noProof/>
          <w:sz w:val="23"/>
          <w:szCs w:val="23"/>
          <w:lang w:eastAsia="en-GB"/>
        </w:rPr>
        <w:t>(Clinton, 2020, p. 4)</w:t>
      </w:r>
      <w:r w:rsidRPr="000F634B">
        <w:rPr>
          <w:rFonts w:asciiTheme="majorHAnsi" w:eastAsia="Times New Roman" w:hAnsiTheme="majorHAnsi" w:cstheme="majorHAnsi"/>
          <w:sz w:val="23"/>
          <w:szCs w:val="23"/>
          <w:lang w:eastAsia="en-GB"/>
        </w:rPr>
        <w:t>.</w:t>
      </w:r>
    </w:p>
    <w:p w14:paraId="4C51A413" w14:textId="77777777" w:rsidR="00C018C9" w:rsidRPr="000F634B" w:rsidRDefault="00C018C9" w:rsidP="004D51EB">
      <w:pPr>
        <w:spacing w:after="0" w:line="276" w:lineRule="auto"/>
        <w:rPr>
          <w:rFonts w:asciiTheme="majorHAnsi" w:eastAsia="Times New Roman" w:hAnsiTheme="majorHAnsi" w:cstheme="majorHAnsi"/>
          <w:sz w:val="12"/>
          <w:szCs w:val="12"/>
          <w:lang w:eastAsia="en-GB"/>
        </w:rPr>
      </w:pPr>
    </w:p>
    <w:p w14:paraId="02034D9E" w14:textId="1585F0E8" w:rsidR="00EF7E59" w:rsidRDefault="00F00E3D" w:rsidP="004D51EB">
      <w:pPr>
        <w:spacing w:after="0" w:line="276" w:lineRule="auto"/>
        <w:rPr>
          <w:rFonts w:asciiTheme="majorHAnsi" w:hAnsiTheme="majorHAnsi" w:cstheme="majorHAnsi"/>
          <w:sz w:val="23"/>
          <w:szCs w:val="23"/>
        </w:rPr>
      </w:pPr>
      <w:r w:rsidRPr="000F634B">
        <w:rPr>
          <w:rFonts w:asciiTheme="majorHAnsi" w:eastAsia="Times New Roman" w:hAnsiTheme="majorHAnsi" w:cstheme="majorHAnsi"/>
          <w:sz w:val="23"/>
          <w:szCs w:val="23"/>
          <w:lang w:eastAsia="en-GB"/>
        </w:rPr>
        <w:t xml:space="preserve">More specifically, </w:t>
      </w:r>
      <w:r w:rsidR="00C018C9" w:rsidRPr="000F634B">
        <w:rPr>
          <w:rFonts w:asciiTheme="majorHAnsi" w:eastAsia="Times New Roman" w:hAnsiTheme="majorHAnsi" w:cstheme="majorHAnsi"/>
          <w:sz w:val="23"/>
          <w:szCs w:val="23"/>
          <w:lang w:eastAsia="en-GB"/>
        </w:rPr>
        <w:t>Clinton</w:t>
      </w:r>
      <w:r w:rsidRPr="000F634B">
        <w:rPr>
          <w:rFonts w:asciiTheme="majorHAnsi" w:eastAsia="Times New Roman" w:hAnsiTheme="majorHAnsi" w:cstheme="majorHAnsi"/>
          <w:sz w:val="23"/>
          <w:szCs w:val="23"/>
          <w:lang w:eastAsia="en-GB"/>
        </w:rPr>
        <w:t xml:space="preserve"> suggests that students from disadvantaged groups will likely experience ten key impacts as a result of the pandemic </w:t>
      </w:r>
      <w:r w:rsidRPr="000F634B">
        <w:rPr>
          <w:rFonts w:asciiTheme="majorHAnsi" w:eastAsia="Times New Roman" w:hAnsiTheme="majorHAnsi" w:cstheme="majorHAnsi"/>
          <w:noProof/>
          <w:sz w:val="23"/>
          <w:szCs w:val="23"/>
          <w:lang w:eastAsia="en-GB"/>
        </w:rPr>
        <w:t>(Clinton, 2020, p. 5)</w:t>
      </w:r>
      <w:r w:rsidRPr="000F634B">
        <w:rPr>
          <w:rFonts w:asciiTheme="majorHAnsi" w:eastAsia="Times New Roman" w:hAnsiTheme="majorHAnsi" w:cstheme="majorHAnsi"/>
          <w:sz w:val="23"/>
          <w:szCs w:val="23"/>
          <w:lang w:eastAsia="en-GB"/>
        </w:rPr>
        <w:t>: (1) increased stress</w:t>
      </w:r>
      <w:r w:rsidR="00956F8D" w:rsidRPr="000F634B">
        <w:rPr>
          <w:rFonts w:asciiTheme="majorHAnsi" w:eastAsia="Times New Roman" w:hAnsiTheme="majorHAnsi" w:cstheme="majorHAnsi"/>
          <w:sz w:val="23"/>
          <w:szCs w:val="23"/>
          <w:lang w:eastAsia="en-GB"/>
        </w:rPr>
        <w:t>;</w:t>
      </w:r>
      <w:r w:rsidRPr="000F634B">
        <w:rPr>
          <w:rFonts w:asciiTheme="majorHAnsi" w:eastAsia="Times New Roman" w:hAnsiTheme="majorHAnsi" w:cstheme="majorHAnsi"/>
          <w:sz w:val="23"/>
          <w:szCs w:val="23"/>
          <w:lang w:eastAsia="en-GB"/>
        </w:rPr>
        <w:t xml:space="preserve"> (2) l</w:t>
      </w:r>
      <w:r w:rsidRPr="000F634B">
        <w:rPr>
          <w:rFonts w:asciiTheme="majorHAnsi" w:hAnsiTheme="majorHAnsi" w:cstheme="majorHAnsi"/>
          <w:sz w:val="23"/>
          <w:szCs w:val="23"/>
        </w:rPr>
        <w:t>ow self-regulation of learning progression</w:t>
      </w:r>
      <w:r w:rsidR="00956F8D" w:rsidRPr="000F634B">
        <w:rPr>
          <w:rFonts w:asciiTheme="majorHAnsi" w:hAnsiTheme="majorHAnsi" w:cstheme="majorHAnsi"/>
          <w:sz w:val="23"/>
          <w:szCs w:val="23"/>
        </w:rPr>
        <w:t>;</w:t>
      </w:r>
      <w:r w:rsidRPr="000F634B">
        <w:rPr>
          <w:rFonts w:asciiTheme="majorHAnsi" w:hAnsiTheme="majorHAnsi" w:cstheme="majorHAnsi"/>
          <w:sz w:val="23"/>
          <w:szCs w:val="23"/>
        </w:rPr>
        <w:t xml:space="preserve"> (3) no access to quality learning strategies and guidance</w:t>
      </w:r>
      <w:r w:rsidR="00956F8D" w:rsidRPr="000F634B">
        <w:rPr>
          <w:rFonts w:asciiTheme="majorHAnsi" w:hAnsiTheme="majorHAnsi" w:cstheme="majorHAnsi"/>
          <w:sz w:val="23"/>
          <w:szCs w:val="23"/>
        </w:rPr>
        <w:t>;</w:t>
      </w:r>
      <w:r w:rsidRPr="000F634B">
        <w:rPr>
          <w:rFonts w:asciiTheme="majorHAnsi" w:hAnsiTheme="majorHAnsi" w:cstheme="majorHAnsi"/>
          <w:sz w:val="23"/>
          <w:szCs w:val="23"/>
        </w:rPr>
        <w:t xml:space="preserve"> (4) less </w:t>
      </w:r>
      <w:r w:rsidR="00C200BE" w:rsidRPr="000F634B">
        <w:rPr>
          <w:rFonts w:asciiTheme="majorHAnsi" w:hAnsiTheme="majorHAnsi" w:cstheme="majorHAnsi"/>
          <w:sz w:val="23"/>
          <w:szCs w:val="23"/>
        </w:rPr>
        <w:t xml:space="preserve">access </w:t>
      </w:r>
      <w:r w:rsidRPr="000F634B">
        <w:rPr>
          <w:rFonts w:asciiTheme="majorHAnsi" w:hAnsiTheme="majorHAnsi" w:cstheme="majorHAnsi"/>
          <w:sz w:val="23"/>
          <w:szCs w:val="23"/>
        </w:rPr>
        <w:t xml:space="preserve">than peers to </w:t>
      </w:r>
      <w:r w:rsidR="00C200BE" w:rsidRPr="000F634B">
        <w:rPr>
          <w:rFonts w:asciiTheme="majorHAnsi" w:hAnsiTheme="majorHAnsi" w:cstheme="majorHAnsi"/>
          <w:sz w:val="23"/>
          <w:szCs w:val="23"/>
        </w:rPr>
        <w:t xml:space="preserve">educational </w:t>
      </w:r>
      <w:r w:rsidRPr="000F634B">
        <w:rPr>
          <w:rFonts w:asciiTheme="majorHAnsi" w:hAnsiTheme="majorHAnsi" w:cstheme="majorHAnsi"/>
          <w:sz w:val="23"/>
          <w:szCs w:val="23"/>
        </w:rPr>
        <w:t>resources and activities</w:t>
      </w:r>
      <w:r w:rsidR="00C200BE" w:rsidRPr="000F634B">
        <w:rPr>
          <w:rFonts w:asciiTheme="majorHAnsi" w:hAnsiTheme="majorHAnsi" w:cstheme="majorHAnsi"/>
          <w:sz w:val="23"/>
          <w:szCs w:val="23"/>
        </w:rPr>
        <w:t>;</w:t>
      </w:r>
      <w:r w:rsidRPr="000F634B">
        <w:rPr>
          <w:rFonts w:asciiTheme="majorHAnsi" w:hAnsiTheme="majorHAnsi" w:cstheme="majorHAnsi"/>
          <w:sz w:val="23"/>
          <w:szCs w:val="23"/>
        </w:rPr>
        <w:t xml:space="preserve"> (5) continued and reaffirm</w:t>
      </w:r>
      <w:r w:rsidR="00C14289" w:rsidRPr="000F634B">
        <w:rPr>
          <w:rFonts w:asciiTheme="majorHAnsi" w:hAnsiTheme="majorHAnsi" w:cstheme="majorHAnsi"/>
          <w:sz w:val="23"/>
          <w:szCs w:val="23"/>
        </w:rPr>
        <w:t>ed</w:t>
      </w:r>
      <w:r w:rsidRPr="000F634B">
        <w:rPr>
          <w:rFonts w:asciiTheme="majorHAnsi" w:hAnsiTheme="majorHAnsi" w:cstheme="majorHAnsi"/>
          <w:sz w:val="23"/>
          <w:szCs w:val="23"/>
        </w:rPr>
        <w:t xml:space="preserve"> experience of past lack of learning progress</w:t>
      </w:r>
      <w:r w:rsidR="00C200BE" w:rsidRPr="000F634B">
        <w:rPr>
          <w:rFonts w:asciiTheme="majorHAnsi" w:hAnsiTheme="majorHAnsi" w:cstheme="majorHAnsi"/>
          <w:sz w:val="23"/>
          <w:szCs w:val="23"/>
        </w:rPr>
        <w:t>;</w:t>
      </w:r>
      <w:r w:rsidRPr="000F634B">
        <w:rPr>
          <w:rFonts w:asciiTheme="majorHAnsi" w:hAnsiTheme="majorHAnsi" w:cstheme="majorHAnsi"/>
          <w:sz w:val="23"/>
          <w:szCs w:val="23"/>
        </w:rPr>
        <w:t xml:space="preserve"> (6) minimal concept of themselves as learner</w:t>
      </w:r>
      <w:r w:rsidR="00C200BE" w:rsidRPr="000F634B">
        <w:rPr>
          <w:rFonts w:asciiTheme="majorHAnsi" w:hAnsiTheme="majorHAnsi" w:cstheme="majorHAnsi"/>
          <w:sz w:val="23"/>
          <w:szCs w:val="23"/>
        </w:rPr>
        <w:t>s</w:t>
      </w:r>
      <w:r w:rsidRPr="000F634B">
        <w:rPr>
          <w:rFonts w:asciiTheme="majorHAnsi" w:hAnsiTheme="majorHAnsi" w:cstheme="majorHAnsi"/>
          <w:sz w:val="23"/>
          <w:szCs w:val="23"/>
        </w:rPr>
        <w:t xml:space="preserve"> (possibly leading to less future engagement in schooling</w:t>
      </w:r>
      <w:r w:rsidR="00C200BE" w:rsidRPr="000F634B">
        <w:rPr>
          <w:rFonts w:asciiTheme="majorHAnsi" w:hAnsiTheme="majorHAnsi" w:cstheme="majorHAnsi"/>
          <w:sz w:val="23"/>
          <w:szCs w:val="23"/>
        </w:rPr>
        <w:t>,</w:t>
      </w:r>
      <w:r w:rsidRPr="000F634B">
        <w:rPr>
          <w:rFonts w:asciiTheme="majorHAnsi" w:hAnsiTheme="majorHAnsi" w:cstheme="majorHAnsi"/>
          <w:sz w:val="23"/>
          <w:szCs w:val="23"/>
        </w:rPr>
        <w:t xml:space="preserve"> </w:t>
      </w:r>
      <w:r w:rsidR="005F1CB1" w:rsidRPr="000F634B">
        <w:rPr>
          <w:rFonts w:asciiTheme="majorHAnsi" w:hAnsiTheme="majorHAnsi" w:cstheme="majorHAnsi"/>
          <w:sz w:val="23"/>
          <w:szCs w:val="23"/>
        </w:rPr>
        <w:t>including</w:t>
      </w:r>
      <w:r w:rsidRPr="000F634B">
        <w:rPr>
          <w:rFonts w:asciiTheme="majorHAnsi" w:hAnsiTheme="majorHAnsi" w:cstheme="majorHAnsi"/>
          <w:sz w:val="23"/>
          <w:szCs w:val="23"/>
        </w:rPr>
        <w:t xml:space="preserve"> absenteeism and dropouts)</w:t>
      </w:r>
      <w:r w:rsidR="005F1CB1" w:rsidRPr="000F634B">
        <w:rPr>
          <w:rFonts w:asciiTheme="majorHAnsi" w:hAnsiTheme="majorHAnsi" w:cstheme="majorHAnsi"/>
          <w:sz w:val="23"/>
          <w:szCs w:val="23"/>
        </w:rPr>
        <w:t>;</w:t>
      </w:r>
      <w:r w:rsidRPr="000F634B">
        <w:rPr>
          <w:rFonts w:asciiTheme="majorHAnsi" w:hAnsiTheme="majorHAnsi" w:cstheme="majorHAnsi"/>
          <w:sz w:val="23"/>
          <w:szCs w:val="23"/>
        </w:rPr>
        <w:t xml:space="preserve"> (7) lack of facility in critical reading and numeracy skills</w:t>
      </w:r>
      <w:r w:rsidR="005F1CB1" w:rsidRPr="000F634B">
        <w:rPr>
          <w:rFonts w:asciiTheme="majorHAnsi" w:hAnsiTheme="majorHAnsi" w:cstheme="majorHAnsi"/>
          <w:sz w:val="23"/>
          <w:szCs w:val="23"/>
        </w:rPr>
        <w:t>;</w:t>
      </w:r>
      <w:r w:rsidRPr="000F634B">
        <w:rPr>
          <w:rFonts w:asciiTheme="majorHAnsi" w:hAnsiTheme="majorHAnsi" w:cstheme="majorHAnsi"/>
          <w:sz w:val="23"/>
          <w:szCs w:val="23"/>
        </w:rPr>
        <w:t xml:space="preserve"> (8) living in homes not offering safe haven</w:t>
      </w:r>
      <w:r w:rsidR="005F1CB1" w:rsidRPr="000F634B">
        <w:rPr>
          <w:rFonts w:asciiTheme="majorHAnsi" w:hAnsiTheme="majorHAnsi" w:cstheme="majorHAnsi"/>
          <w:sz w:val="23"/>
          <w:szCs w:val="23"/>
        </w:rPr>
        <w:t>,</w:t>
      </w:r>
      <w:r w:rsidRPr="000F634B">
        <w:rPr>
          <w:rFonts w:asciiTheme="majorHAnsi" w:hAnsiTheme="majorHAnsi" w:cstheme="majorHAnsi"/>
          <w:sz w:val="23"/>
          <w:szCs w:val="23"/>
        </w:rPr>
        <w:t xml:space="preserve"> thus exacerbating physical and emotional health issues</w:t>
      </w:r>
      <w:r w:rsidR="005F1CB1" w:rsidRPr="000F634B">
        <w:rPr>
          <w:rFonts w:asciiTheme="majorHAnsi" w:hAnsiTheme="majorHAnsi" w:cstheme="majorHAnsi"/>
          <w:sz w:val="23"/>
          <w:szCs w:val="23"/>
        </w:rPr>
        <w:t>;</w:t>
      </w:r>
      <w:r w:rsidRPr="000F634B">
        <w:rPr>
          <w:rFonts w:asciiTheme="majorHAnsi" w:hAnsiTheme="majorHAnsi" w:cstheme="majorHAnsi"/>
          <w:sz w:val="23"/>
          <w:szCs w:val="23"/>
        </w:rPr>
        <w:t xml:space="preserve"> (9) parents with low capacity or desire to</w:t>
      </w:r>
      <w:r w:rsidR="005F1CB1" w:rsidRPr="000F634B">
        <w:rPr>
          <w:rFonts w:asciiTheme="majorHAnsi" w:hAnsiTheme="majorHAnsi" w:cstheme="majorHAnsi"/>
          <w:sz w:val="23"/>
          <w:szCs w:val="23"/>
        </w:rPr>
        <w:t xml:space="preserve"> help</w:t>
      </w:r>
      <w:r w:rsidRPr="000F634B">
        <w:rPr>
          <w:rFonts w:asciiTheme="majorHAnsi" w:hAnsiTheme="majorHAnsi" w:cstheme="majorHAnsi"/>
          <w:sz w:val="23"/>
          <w:szCs w:val="23"/>
        </w:rPr>
        <w:t xml:space="preserve"> engage them in schoolwork</w:t>
      </w:r>
      <w:r w:rsidR="005F1CB1" w:rsidRPr="000F634B">
        <w:rPr>
          <w:rFonts w:asciiTheme="majorHAnsi" w:hAnsiTheme="majorHAnsi" w:cstheme="majorHAnsi"/>
          <w:sz w:val="23"/>
          <w:szCs w:val="23"/>
        </w:rPr>
        <w:t>;</w:t>
      </w:r>
      <w:r w:rsidRPr="000F634B">
        <w:rPr>
          <w:rFonts w:asciiTheme="majorHAnsi" w:hAnsiTheme="majorHAnsi" w:cstheme="majorHAnsi"/>
          <w:sz w:val="23"/>
          <w:szCs w:val="23"/>
        </w:rPr>
        <w:t xml:space="preserve"> and (10) loss </w:t>
      </w:r>
      <w:r w:rsidR="005F1CB1" w:rsidRPr="000F634B">
        <w:rPr>
          <w:rFonts w:asciiTheme="majorHAnsi" w:hAnsiTheme="majorHAnsi" w:cstheme="majorHAnsi"/>
          <w:sz w:val="23"/>
          <w:szCs w:val="23"/>
        </w:rPr>
        <w:t>of</w:t>
      </w:r>
      <w:r w:rsidRPr="000F634B">
        <w:rPr>
          <w:rFonts w:asciiTheme="majorHAnsi" w:hAnsiTheme="majorHAnsi" w:cstheme="majorHAnsi"/>
          <w:sz w:val="23"/>
          <w:szCs w:val="23"/>
        </w:rPr>
        <w:t xml:space="preserve"> opportunity to engage</w:t>
      </w:r>
      <w:r w:rsidR="006E2F24">
        <w:rPr>
          <w:rFonts w:asciiTheme="majorHAnsi" w:hAnsiTheme="majorHAnsi" w:cstheme="majorHAnsi"/>
          <w:sz w:val="23"/>
          <w:szCs w:val="23"/>
        </w:rPr>
        <w:t xml:space="preserve"> in schoolwork</w:t>
      </w:r>
      <w:r w:rsidRPr="000F634B">
        <w:rPr>
          <w:rFonts w:asciiTheme="majorHAnsi" w:hAnsiTheme="majorHAnsi" w:cstheme="majorHAnsi"/>
          <w:sz w:val="23"/>
          <w:szCs w:val="23"/>
        </w:rPr>
        <w:t>, particularly in preparing for high</w:t>
      </w:r>
      <w:r w:rsidR="0037570D" w:rsidRPr="000F634B">
        <w:rPr>
          <w:rFonts w:asciiTheme="majorHAnsi" w:hAnsiTheme="majorHAnsi" w:cstheme="majorHAnsi"/>
          <w:sz w:val="23"/>
          <w:szCs w:val="23"/>
        </w:rPr>
        <w:t>-</w:t>
      </w:r>
      <w:r w:rsidRPr="000F634B">
        <w:rPr>
          <w:rFonts w:asciiTheme="majorHAnsi" w:hAnsiTheme="majorHAnsi" w:cstheme="majorHAnsi"/>
          <w:sz w:val="23"/>
          <w:szCs w:val="23"/>
        </w:rPr>
        <w:t>stakes exams.</w:t>
      </w:r>
    </w:p>
    <w:p w14:paraId="56ADE5AF" w14:textId="77777777" w:rsidR="00EF7E59" w:rsidRPr="00EF7E59" w:rsidRDefault="00EF7E59" w:rsidP="004D51EB">
      <w:pPr>
        <w:spacing w:after="0" w:line="276" w:lineRule="auto"/>
        <w:rPr>
          <w:rFonts w:asciiTheme="majorHAnsi" w:hAnsiTheme="majorHAnsi" w:cstheme="majorHAnsi"/>
          <w:sz w:val="12"/>
          <w:szCs w:val="12"/>
        </w:rPr>
      </w:pPr>
    </w:p>
    <w:p w14:paraId="519A330A" w14:textId="23A4F77A" w:rsidR="00EF7E59" w:rsidRDefault="00EF7E59" w:rsidP="00EF7E59">
      <w:p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Clinton</w:t>
      </w:r>
      <w:r w:rsidR="00F00E3D" w:rsidRPr="000F634B">
        <w:rPr>
          <w:rFonts w:asciiTheme="majorHAnsi" w:eastAsia="Times New Roman" w:hAnsiTheme="majorHAnsi" w:cstheme="majorHAnsi"/>
          <w:sz w:val="23"/>
          <w:szCs w:val="23"/>
          <w:lang w:eastAsia="en-GB"/>
        </w:rPr>
        <w:t xml:space="preserve"> </w:t>
      </w:r>
      <w:r w:rsidR="0037570D" w:rsidRPr="000F634B">
        <w:rPr>
          <w:rFonts w:asciiTheme="majorHAnsi" w:eastAsia="Times New Roman" w:hAnsiTheme="majorHAnsi" w:cstheme="majorHAnsi"/>
          <w:sz w:val="23"/>
          <w:szCs w:val="23"/>
          <w:lang w:eastAsia="en-GB"/>
        </w:rPr>
        <w:t xml:space="preserve">argues </w:t>
      </w:r>
      <w:r w:rsidR="00F00E3D" w:rsidRPr="000F634B">
        <w:rPr>
          <w:rFonts w:asciiTheme="majorHAnsi" w:eastAsia="Times New Roman" w:hAnsiTheme="majorHAnsi" w:cstheme="majorHAnsi"/>
          <w:sz w:val="23"/>
          <w:szCs w:val="23"/>
          <w:lang w:eastAsia="en-GB"/>
        </w:rPr>
        <w:t>that successful recovery from these impacts should be based on understanding the community context</w:t>
      </w:r>
      <w:r w:rsidR="0037570D" w:rsidRPr="000F634B">
        <w:rPr>
          <w:rFonts w:asciiTheme="majorHAnsi" w:eastAsia="Times New Roman" w:hAnsiTheme="majorHAnsi" w:cstheme="majorHAnsi"/>
          <w:sz w:val="23"/>
          <w:szCs w:val="23"/>
          <w:lang w:eastAsia="en-GB"/>
        </w:rPr>
        <w:t xml:space="preserve">. This </w:t>
      </w:r>
      <w:r w:rsidR="00F00E3D" w:rsidRPr="000F634B">
        <w:rPr>
          <w:rFonts w:asciiTheme="majorHAnsi" w:eastAsia="Times New Roman" w:hAnsiTheme="majorHAnsi" w:cstheme="majorHAnsi"/>
          <w:sz w:val="23"/>
          <w:szCs w:val="23"/>
          <w:lang w:eastAsia="en-GB"/>
        </w:rPr>
        <w:t xml:space="preserve">includes recognising the complexity and dynamic nature of communities, using community-led approaches, </w:t>
      </w:r>
      <w:r w:rsidR="00F00E3D" w:rsidRPr="000F634B">
        <w:rPr>
          <w:rFonts w:asciiTheme="majorHAnsi" w:hAnsiTheme="majorHAnsi" w:cstheme="majorHAnsi"/>
          <w:sz w:val="23"/>
          <w:szCs w:val="23"/>
        </w:rPr>
        <w:t>e</w:t>
      </w:r>
      <w:r w:rsidR="00F00E3D" w:rsidRPr="000F634B">
        <w:rPr>
          <w:rFonts w:asciiTheme="majorHAnsi" w:eastAsia="Times New Roman" w:hAnsiTheme="majorHAnsi" w:cstheme="majorHAnsi"/>
          <w:sz w:val="23"/>
          <w:szCs w:val="23"/>
          <w:lang w:eastAsia="en-GB"/>
        </w:rPr>
        <w:t>xcellent diagnosis of individual student need</w:t>
      </w:r>
      <w:r w:rsidR="0037570D" w:rsidRPr="000F634B">
        <w:rPr>
          <w:rFonts w:asciiTheme="majorHAnsi" w:eastAsia="Times New Roman" w:hAnsiTheme="majorHAnsi" w:cstheme="majorHAnsi"/>
          <w:sz w:val="23"/>
          <w:szCs w:val="23"/>
          <w:lang w:eastAsia="en-GB"/>
        </w:rPr>
        <w:t>s</w:t>
      </w:r>
      <w:r w:rsidR="00F00E3D" w:rsidRPr="000F634B">
        <w:rPr>
          <w:rFonts w:asciiTheme="majorHAnsi" w:eastAsia="Times New Roman" w:hAnsiTheme="majorHAnsi" w:cstheme="majorHAnsi"/>
          <w:sz w:val="23"/>
          <w:szCs w:val="23"/>
          <w:lang w:eastAsia="en-GB"/>
        </w:rPr>
        <w:t>, an</w:t>
      </w:r>
      <w:r w:rsidR="00F00E3D" w:rsidRPr="000F634B">
        <w:rPr>
          <w:rFonts w:asciiTheme="majorHAnsi" w:hAnsiTheme="majorHAnsi" w:cstheme="majorHAnsi"/>
          <w:sz w:val="23"/>
          <w:szCs w:val="23"/>
        </w:rPr>
        <w:t xml:space="preserve"> </w:t>
      </w:r>
      <w:r w:rsidR="00F00E3D" w:rsidRPr="000F634B">
        <w:rPr>
          <w:rFonts w:asciiTheme="majorHAnsi" w:eastAsia="Times New Roman" w:hAnsiTheme="majorHAnsi" w:cstheme="majorHAnsi"/>
          <w:sz w:val="23"/>
          <w:szCs w:val="23"/>
          <w:lang w:eastAsia="en-GB"/>
        </w:rPr>
        <w:t>adaptive approach based on continuing assessment of impacts and needs, effective communication between the community and other partners, and capacity</w:t>
      </w:r>
      <w:r w:rsidR="0037570D" w:rsidRPr="000F634B">
        <w:rPr>
          <w:rFonts w:asciiTheme="majorHAnsi" w:eastAsia="Times New Roman" w:hAnsiTheme="majorHAnsi" w:cstheme="majorHAnsi"/>
          <w:sz w:val="23"/>
          <w:szCs w:val="23"/>
          <w:lang w:eastAsia="en-GB"/>
        </w:rPr>
        <w:t>-</w:t>
      </w:r>
      <w:r w:rsidR="00F00E3D" w:rsidRPr="000F634B">
        <w:rPr>
          <w:rFonts w:asciiTheme="majorHAnsi" w:eastAsia="Times New Roman" w:hAnsiTheme="majorHAnsi" w:cstheme="majorHAnsi"/>
          <w:sz w:val="23"/>
          <w:szCs w:val="23"/>
          <w:lang w:eastAsia="en-GB"/>
        </w:rPr>
        <w:t>building that recognises, supports</w:t>
      </w:r>
      <w:r w:rsidR="0037570D" w:rsidRPr="000F634B">
        <w:rPr>
          <w:rFonts w:asciiTheme="majorHAnsi" w:eastAsia="Times New Roman" w:hAnsiTheme="majorHAnsi" w:cstheme="majorHAnsi"/>
          <w:sz w:val="23"/>
          <w:szCs w:val="23"/>
          <w:lang w:eastAsia="en-GB"/>
        </w:rPr>
        <w:t>,</w:t>
      </w:r>
      <w:r w:rsidR="00F00E3D" w:rsidRPr="000F634B">
        <w:rPr>
          <w:rFonts w:asciiTheme="majorHAnsi" w:eastAsia="Times New Roman" w:hAnsiTheme="majorHAnsi" w:cstheme="majorHAnsi"/>
          <w:sz w:val="23"/>
          <w:szCs w:val="23"/>
          <w:lang w:eastAsia="en-GB"/>
        </w:rPr>
        <w:t xml:space="preserve"> and builds on individual and community strengths.</w:t>
      </w:r>
      <w:r>
        <w:rPr>
          <w:rFonts w:asciiTheme="majorHAnsi" w:eastAsia="Times New Roman" w:hAnsiTheme="majorHAnsi" w:cstheme="majorHAnsi"/>
          <w:sz w:val="23"/>
          <w:szCs w:val="23"/>
          <w:lang w:eastAsia="en-GB"/>
        </w:rPr>
        <w:br w:type="page"/>
      </w:r>
    </w:p>
    <w:p w14:paraId="3BD7D668" w14:textId="158D8685" w:rsidR="00F00E3D" w:rsidRPr="000F634B" w:rsidRDefault="00F00E3D" w:rsidP="004D51EB">
      <w:pPr>
        <w:spacing w:after="0" w:line="276" w:lineRule="auto"/>
        <w:rPr>
          <w:rFonts w:eastAsia="Calibri" w:cstheme="minorHAnsi"/>
          <w:b/>
          <w:bCs/>
          <w:sz w:val="23"/>
          <w:szCs w:val="23"/>
        </w:rPr>
      </w:pPr>
      <w:r w:rsidRPr="000F634B">
        <w:rPr>
          <w:rFonts w:eastAsia="Calibri" w:cstheme="minorHAnsi"/>
          <w:b/>
          <w:bCs/>
          <w:sz w:val="23"/>
          <w:szCs w:val="23"/>
        </w:rPr>
        <w:lastRenderedPageBreak/>
        <w:t xml:space="preserve">Students with </w:t>
      </w:r>
      <w:r w:rsidR="000D5F55" w:rsidRPr="000F634B">
        <w:rPr>
          <w:rFonts w:eastAsia="Calibri" w:cstheme="minorHAnsi"/>
          <w:b/>
          <w:bCs/>
          <w:sz w:val="23"/>
          <w:szCs w:val="23"/>
        </w:rPr>
        <w:t>D</w:t>
      </w:r>
      <w:r w:rsidRPr="000F634B">
        <w:rPr>
          <w:rFonts w:eastAsia="Calibri" w:cstheme="minorHAnsi"/>
          <w:b/>
          <w:bCs/>
          <w:sz w:val="23"/>
          <w:szCs w:val="23"/>
        </w:rPr>
        <w:t>isability</w:t>
      </w:r>
    </w:p>
    <w:p w14:paraId="56D022A4" w14:textId="77777777" w:rsidR="000D5F55" w:rsidRPr="000F634B" w:rsidRDefault="000D5F55" w:rsidP="004D51EB">
      <w:pPr>
        <w:spacing w:after="0" w:line="276" w:lineRule="auto"/>
        <w:rPr>
          <w:rFonts w:ascii="Calibri Light" w:eastAsia="Calibri" w:hAnsi="Calibri Light" w:cs="Calibri Light"/>
          <w:b/>
          <w:bCs/>
          <w:sz w:val="12"/>
          <w:szCs w:val="12"/>
        </w:rPr>
      </w:pPr>
    </w:p>
    <w:p w14:paraId="2227DB69" w14:textId="6E563E2B" w:rsidR="00A7089F" w:rsidRPr="000F634B" w:rsidRDefault="000A0C7C" w:rsidP="004D51EB">
      <w:pPr>
        <w:widowControl w:val="0"/>
        <w:spacing w:after="0" w:line="276" w:lineRule="auto"/>
        <w:rPr>
          <w:rFonts w:ascii="Calibri Light" w:eastAsia="Calibri" w:hAnsi="Calibri Light" w:cs="Calibri Light"/>
          <w:sz w:val="23"/>
          <w:szCs w:val="23"/>
        </w:rPr>
      </w:pPr>
      <w:r w:rsidRPr="000F634B">
        <w:rPr>
          <w:rFonts w:ascii="Calibri Light" w:eastAsia="Calibri" w:hAnsi="Calibri Light" w:cs="Calibri Light"/>
          <w:sz w:val="23"/>
          <w:szCs w:val="23"/>
        </w:rPr>
        <w:t>A</w:t>
      </w:r>
      <w:r w:rsidR="00F00E3D" w:rsidRPr="000F634B">
        <w:rPr>
          <w:rFonts w:ascii="Calibri Light" w:eastAsia="Calibri" w:hAnsi="Calibri Light" w:cs="Calibri Light"/>
          <w:sz w:val="23"/>
          <w:szCs w:val="23"/>
        </w:rPr>
        <w:t xml:space="preserve"> study </w:t>
      </w:r>
      <w:r w:rsidR="00802665" w:rsidRPr="000F634B">
        <w:rPr>
          <w:rFonts w:ascii="Calibri Light" w:eastAsia="Calibri" w:hAnsi="Calibri Light" w:cs="Calibri Light"/>
          <w:sz w:val="23"/>
          <w:szCs w:val="23"/>
        </w:rPr>
        <w:t>on the</w:t>
      </w:r>
      <w:r w:rsidR="00C15B69" w:rsidRPr="000F634B">
        <w:rPr>
          <w:rFonts w:ascii="Calibri Light" w:eastAsia="Calibri" w:hAnsi="Calibri Light" w:cs="Calibri Light"/>
          <w:sz w:val="23"/>
          <w:szCs w:val="23"/>
        </w:rPr>
        <w:t xml:space="preserve"> experiences of</w:t>
      </w:r>
      <w:r w:rsidR="00F00E3D" w:rsidRPr="000F634B">
        <w:rPr>
          <w:rFonts w:ascii="Calibri Light" w:eastAsia="Calibri" w:hAnsi="Calibri Light" w:cs="Calibri Light"/>
          <w:sz w:val="23"/>
          <w:szCs w:val="23"/>
        </w:rPr>
        <w:t xml:space="preserve"> Australian students with disability</w:t>
      </w:r>
      <w:r w:rsidRPr="000F634B">
        <w:rPr>
          <w:rFonts w:ascii="Calibri Light" w:eastAsia="Calibri" w:hAnsi="Calibri Light" w:cs="Calibri Light"/>
          <w:sz w:val="23"/>
          <w:szCs w:val="23"/>
        </w:rPr>
        <w:t xml:space="preserve"> during </w:t>
      </w:r>
      <w:r w:rsidR="00940D80" w:rsidRPr="000F634B">
        <w:rPr>
          <w:rFonts w:ascii="Calibri Light" w:eastAsia="Calibri" w:hAnsi="Calibri Light" w:cs="Calibri Light"/>
          <w:sz w:val="23"/>
          <w:szCs w:val="23"/>
        </w:rPr>
        <w:t>COVID</w:t>
      </w:r>
      <w:r w:rsidR="00F00E3D" w:rsidRPr="000F634B">
        <w:rPr>
          <w:rFonts w:ascii="Calibri Light" w:eastAsia="Calibri" w:hAnsi="Calibri Light" w:cs="Calibri Light"/>
          <w:sz w:val="23"/>
          <w:szCs w:val="23"/>
        </w:rPr>
        <w:t xml:space="preserve">-19 lockdowns </w:t>
      </w:r>
      <w:r w:rsidR="00F00E3D" w:rsidRPr="000F634B">
        <w:rPr>
          <w:rFonts w:ascii="Calibri Light" w:eastAsia="Calibri" w:hAnsi="Calibri Light" w:cs="Calibri Light"/>
          <w:noProof/>
          <w:sz w:val="23"/>
          <w:szCs w:val="23"/>
        </w:rPr>
        <w:t>(Dickinson</w:t>
      </w:r>
      <w:r w:rsidR="00802665" w:rsidRPr="000F634B">
        <w:rPr>
          <w:rFonts w:ascii="Calibri Light" w:eastAsia="Calibri" w:hAnsi="Calibri Light" w:cs="Calibri Light"/>
          <w:noProof/>
          <w:sz w:val="23"/>
          <w:szCs w:val="23"/>
        </w:rPr>
        <w:t xml:space="preserve"> </w:t>
      </w:r>
      <w:r w:rsidR="00F00E3D" w:rsidRPr="000F634B">
        <w:rPr>
          <w:rFonts w:ascii="Calibri Light" w:eastAsia="Calibri" w:hAnsi="Calibri Light" w:cs="Calibri Light"/>
          <w:noProof/>
          <w:sz w:val="23"/>
          <w:szCs w:val="23"/>
        </w:rPr>
        <w:t>et al., 2020)</w:t>
      </w:r>
      <w:r w:rsidRPr="000F634B">
        <w:rPr>
          <w:rFonts w:ascii="Calibri Light" w:eastAsia="Calibri" w:hAnsi="Calibri Light" w:cs="Calibri Light"/>
          <w:sz w:val="23"/>
          <w:szCs w:val="23"/>
        </w:rPr>
        <w:t xml:space="preserve"> </w:t>
      </w:r>
      <w:r w:rsidR="00C15B69" w:rsidRPr="000F634B">
        <w:rPr>
          <w:rFonts w:ascii="Calibri Light" w:eastAsia="Calibri" w:hAnsi="Calibri Light" w:cs="Calibri Light"/>
          <w:sz w:val="23"/>
          <w:szCs w:val="23"/>
        </w:rPr>
        <w:t xml:space="preserve">reported </w:t>
      </w:r>
      <w:r w:rsidR="008110D6" w:rsidRPr="000F634B">
        <w:rPr>
          <w:rFonts w:ascii="Calibri Light" w:eastAsia="Calibri" w:hAnsi="Calibri Light" w:cs="Calibri Light"/>
          <w:sz w:val="23"/>
          <w:szCs w:val="23"/>
        </w:rPr>
        <w:t>three</w:t>
      </w:r>
      <w:r w:rsidRPr="000F634B">
        <w:rPr>
          <w:rFonts w:ascii="Calibri Light" w:eastAsia="Calibri" w:hAnsi="Calibri Light" w:cs="Calibri Light"/>
          <w:sz w:val="23"/>
          <w:szCs w:val="23"/>
        </w:rPr>
        <w:t xml:space="preserve"> </w:t>
      </w:r>
      <w:r w:rsidR="008110D6" w:rsidRPr="000F634B">
        <w:rPr>
          <w:rFonts w:ascii="Calibri Light" w:eastAsia="Calibri" w:hAnsi="Calibri Light" w:cs="Calibri Light"/>
          <w:sz w:val="23"/>
          <w:szCs w:val="23"/>
        </w:rPr>
        <w:t>significant</w:t>
      </w:r>
      <w:r w:rsidRPr="000F634B">
        <w:rPr>
          <w:rFonts w:ascii="Calibri Light" w:eastAsia="Calibri" w:hAnsi="Calibri Light" w:cs="Calibri Light"/>
          <w:sz w:val="23"/>
          <w:szCs w:val="23"/>
        </w:rPr>
        <w:t xml:space="preserve"> findings</w:t>
      </w:r>
      <w:r w:rsidR="00F00E3D" w:rsidRPr="000F634B">
        <w:rPr>
          <w:rFonts w:ascii="Calibri Light" w:eastAsia="Calibri" w:hAnsi="Calibri Light" w:cs="Calibri Light"/>
          <w:sz w:val="23"/>
          <w:szCs w:val="23"/>
        </w:rPr>
        <w:t>: schools were unable to provide adequate, assertive</w:t>
      </w:r>
      <w:r w:rsidR="008110D6" w:rsidRPr="000F634B">
        <w:rPr>
          <w:rFonts w:ascii="Calibri Light" w:eastAsia="Calibri" w:hAnsi="Calibri Light" w:cs="Calibri Light"/>
          <w:sz w:val="23"/>
          <w:szCs w:val="23"/>
        </w:rPr>
        <w:t>,</w:t>
      </w:r>
      <w:r w:rsidR="00F00E3D" w:rsidRPr="000F634B">
        <w:rPr>
          <w:rFonts w:ascii="Calibri Light" w:eastAsia="Calibri" w:hAnsi="Calibri Light" w:cs="Calibri Light"/>
          <w:sz w:val="23"/>
          <w:szCs w:val="23"/>
        </w:rPr>
        <w:t xml:space="preserve"> and proactive support for students with disability</w:t>
      </w:r>
      <w:r w:rsidR="008110D6" w:rsidRPr="000F634B">
        <w:rPr>
          <w:rFonts w:ascii="Calibri Light" w:eastAsia="Calibri" w:hAnsi="Calibri Light" w:cs="Calibri Light"/>
          <w:sz w:val="23"/>
          <w:szCs w:val="23"/>
        </w:rPr>
        <w:t>;</w:t>
      </w:r>
      <w:r w:rsidR="00F00E3D" w:rsidRPr="000F634B">
        <w:rPr>
          <w:rFonts w:ascii="Calibri Light" w:eastAsia="Calibri" w:hAnsi="Calibri Light" w:cs="Calibri Light"/>
          <w:sz w:val="23"/>
          <w:szCs w:val="23"/>
        </w:rPr>
        <w:t xml:space="preserve"> the onus for providing inclusive education shifted from teachers to students and their families</w:t>
      </w:r>
      <w:r w:rsidR="008110D6" w:rsidRPr="000F634B">
        <w:rPr>
          <w:rFonts w:ascii="Calibri Light" w:eastAsia="Calibri" w:hAnsi="Calibri Light" w:cs="Calibri Light"/>
          <w:sz w:val="23"/>
          <w:szCs w:val="23"/>
        </w:rPr>
        <w:t>;</w:t>
      </w:r>
      <w:r w:rsidR="00F00E3D" w:rsidRPr="000F634B">
        <w:rPr>
          <w:rFonts w:ascii="Calibri Light" w:eastAsia="Calibri" w:hAnsi="Calibri Light" w:cs="Calibri Light"/>
          <w:sz w:val="23"/>
          <w:szCs w:val="23"/>
        </w:rPr>
        <w:t xml:space="preserve"> individual Education Plans (IEPs) did not work as </w:t>
      </w:r>
      <w:r w:rsidR="00A028B3" w:rsidRPr="000F634B">
        <w:rPr>
          <w:rFonts w:ascii="Calibri Light" w:eastAsia="Calibri" w:hAnsi="Calibri Light" w:cs="Calibri Light"/>
          <w:sz w:val="23"/>
          <w:szCs w:val="23"/>
        </w:rPr>
        <w:t>intended</w:t>
      </w:r>
      <w:r w:rsidR="00F00E3D" w:rsidRPr="000F634B">
        <w:rPr>
          <w:rFonts w:ascii="Calibri Light" w:eastAsia="Calibri" w:hAnsi="Calibri Light" w:cs="Calibri Light"/>
          <w:sz w:val="23"/>
          <w:szCs w:val="23"/>
        </w:rPr>
        <w:t>, and while NDIS needs changed</w:t>
      </w:r>
      <w:r w:rsidR="004C5B0D">
        <w:rPr>
          <w:rFonts w:ascii="Calibri Light" w:eastAsia="Calibri" w:hAnsi="Calibri Light" w:cs="Calibri Light"/>
          <w:sz w:val="23"/>
          <w:szCs w:val="23"/>
        </w:rPr>
        <w:t>,</w:t>
      </w:r>
      <w:r w:rsidR="00F00E3D" w:rsidRPr="000F634B">
        <w:rPr>
          <w:rFonts w:ascii="Calibri Light" w:eastAsia="Calibri" w:hAnsi="Calibri Light" w:cs="Calibri Light"/>
          <w:sz w:val="23"/>
          <w:szCs w:val="23"/>
        </w:rPr>
        <w:t xml:space="preserve"> </w:t>
      </w:r>
      <w:r w:rsidR="004C5B0D">
        <w:rPr>
          <w:rFonts w:ascii="Calibri Light" w:eastAsia="Calibri" w:hAnsi="Calibri Light" w:cs="Calibri Light"/>
          <w:sz w:val="23"/>
          <w:szCs w:val="23"/>
        </w:rPr>
        <w:t>corresponding supports were</w:t>
      </w:r>
      <w:r w:rsidR="008110D6" w:rsidRPr="000F634B">
        <w:rPr>
          <w:rFonts w:ascii="Calibri Light" w:eastAsia="Calibri" w:hAnsi="Calibri Light" w:cs="Calibri Light"/>
          <w:sz w:val="23"/>
          <w:szCs w:val="23"/>
        </w:rPr>
        <w:t xml:space="preserve"> </w:t>
      </w:r>
      <w:r w:rsidR="00F00E3D" w:rsidRPr="000F634B">
        <w:rPr>
          <w:rFonts w:ascii="Calibri Light" w:eastAsia="Calibri" w:hAnsi="Calibri Light" w:cs="Calibri Light"/>
          <w:sz w:val="23"/>
          <w:szCs w:val="23"/>
        </w:rPr>
        <w:t xml:space="preserve">not secured </w:t>
      </w:r>
      <w:r w:rsidR="00F00E3D" w:rsidRPr="000F634B">
        <w:rPr>
          <w:rFonts w:ascii="Calibri Light" w:eastAsia="Calibri" w:hAnsi="Calibri Light" w:cs="Calibri Light"/>
          <w:noProof/>
          <w:sz w:val="23"/>
          <w:szCs w:val="23"/>
        </w:rPr>
        <w:t>(2020, pp. 3</w:t>
      </w:r>
      <w:r w:rsidR="008858D1" w:rsidRPr="000F634B">
        <w:rPr>
          <w:rFonts w:ascii="Calibri Light" w:eastAsia="Calibri" w:hAnsi="Calibri Light" w:cs="Calibri Light"/>
          <w:noProof/>
          <w:sz w:val="23"/>
          <w:szCs w:val="23"/>
        </w:rPr>
        <w:t>–7</w:t>
      </w:r>
      <w:r w:rsidR="00F00E3D" w:rsidRPr="000F634B">
        <w:rPr>
          <w:rFonts w:ascii="Calibri Light" w:eastAsia="Calibri" w:hAnsi="Calibri Light" w:cs="Calibri Light"/>
          <w:noProof/>
          <w:sz w:val="23"/>
          <w:szCs w:val="23"/>
        </w:rPr>
        <w:t>)</w:t>
      </w:r>
      <w:r w:rsidR="00F00E3D" w:rsidRPr="000F634B">
        <w:rPr>
          <w:rFonts w:ascii="Calibri Light" w:eastAsia="Calibri" w:hAnsi="Calibri Light" w:cs="Calibri Light"/>
          <w:sz w:val="23"/>
          <w:szCs w:val="23"/>
        </w:rPr>
        <w:t xml:space="preserve">. </w:t>
      </w:r>
      <w:r w:rsidR="008F2B17" w:rsidRPr="000F634B">
        <w:rPr>
          <w:rFonts w:ascii="Calibri Light" w:eastAsia="Calibri" w:hAnsi="Calibri Light" w:cs="Calibri Light"/>
          <w:sz w:val="23"/>
          <w:szCs w:val="23"/>
        </w:rPr>
        <w:t xml:space="preserve">On </w:t>
      </w:r>
      <w:r w:rsidR="00F00E3D" w:rsidRPr="000F634B">
        <w:rPr>
          <w:rFonts w:ascii="Calibri Light" w:eastAsia="Calibri" w:hAnsi="Calibri Light" w:cs="Calibri Light"/>
          <w:sz w:val="23"/>
          <w:szCs w:val="23"/>
        </w:rPr>
        <w:t>other factors impact</w:t>
      </w:r>
      <w:r w:rsidR="004C5B0D">
        <w:rPr>
          <w:rFonts w:ascii="Calibri Light" w:eastAsia="Calibri" w:hAnsi="Calibri Light" w:cs="Calibri Light"/>
          <w:sz w:val="23"/>
          <w:szCs w:val="23"/>
        </w:rPr>
        <w:t>ing</w:t>
      </w:r>
      <w:r w:rsidR="00F00E3D" w:rsidRPr="000F634B">
        <w:rPr>
          <w:rFonts w:ascii="Calibri Light" w:eastAsia="Calibri" w:hAnsi="Calibri Light" w:cs="Calibri Light"/>
          <w:sz w:val="23"/>
          <w:szCs w:val="23"/>
        </w:rPr>
        <w:t xml:space="preserve"> education, the study noted that </w:t>
      </w:r>
      <w:r w:rsidR="008F2B17" w:rsidRPr="000F634B">
        <w:rPr>
          <w:rFonts w:ascii="Calibri Light" w:eastAsia="Calibri" w:hAnsi="Calibri Light" w:cs="Calibri Light"/>
          <w:sz w:val="23"/>
          <w:szCs w:val="23"/>
        </w:rPr>
        <w:t>its</w:t>
      </w:r>
      <w:r w:rsidR="00F00E3D" w:rsidRPr="000F634B">
        <w:rPr>
          <w:rFonts w:ascii="Calibri Light" w:eastAsia="Calibri" w:hAnsi="Calibri Light" w:cs="Calibri Light"/>
          <w:sz w:val="23"/>
          <w:szCs w:val="23"/>
        </w:rPr>
        <w:t xml:space="preserve"> findings were related to “the age, gender, cultural background, location of individuals, their educational arrangements”</w:t>
      </w:r>
      <w:r w:rsidR="00A7089F" w:rsidRPr="000F634B">
        <w:rPr>
          <w:rFonts w:ascii="Calibri Light" w:eastAsia="Calibri" w:hAnsi="Calibri Light" w:cs="Calibri Light"/>
          <w:sz w:val="23"/>
          <w:szCs w:val="23"/>
        </w:rPr>
        <w:t>,</w:t>
      </w:r>
      <w:r w:rsidR="00F00E3D" w:rsidRPr="000F634B">
        <w:rPr>
          <w:rFonts w:ascii="Calibri Light" w:eastAsia="Calibri" w:hAnsi="Calibri Light" w:cs="Calibri Light"/>
          <w:sz w:val="23"/>
          <w:szCs w:val="23"/>
        </w:rPr>
        <w:t xml:space="preserve"> </w:t>
      </w:r>
      <w:r w:rsidR="004C5B0D">
        <w:rPr>
          <w:rFonts w:ascii="Calibri Light" w:eastAsia="Calibri" w:hAnsi="Calibri Light" w:cs="Calibri Light"/>
          <w:sz w:val="23"/>
          <w:szCs w:val="23"/>
        </w:rPr>
        <w:t>and</w:t>
      </w:r>
      <w:r w:rsidR="00F00E3D" w:rsidRPr="000F634B">
        <w:rPr>
          <w:rFonts w:ascii="Calibri Light" w:eastAsia="Calibri" w:hAnsi="Calibri Light" w:cs="Calibri Light"/>
          <w:sz w:val="23"/>
          <w:szCs w:val="23"/>
        </w:rPr>
        <w:t xml:space="preserve"> an index of </w:t>
      </w:r>
      <w:r w:rsidR="00940D80" w:rsidRPr="000F634B">
        <w:rPr>
          <w:rFonts w:ascii="Calibri Light" w:eastAsia="Calibri" w:hAnsi="Calibri Light" w:cs="Calibri Light"/>
          <w:sz w:val="23"/>
          <w:szCs w:val="23"/>
        </w:rPr>
        <w:t>COVID</w:t>
      </w:r>
      <w:r w:rsidR="00F00E3D" w:rsidRPr="000F634B">
        <w:rPr>
          <w:rFonts w:ascii="Calibri Light" w:eastAsia="Calibri" w:hAnsi="Calibri Light" w:cs="Calibri Light"/>
          <w:sz w:val="23"/>
          <w:szCs w:val="23"/>
        </w:rPr>
        <w:t>-19</w:t>
      </w:r>
      <w:r w:rsidR="00A7089F" w:rsidRPr="000F634B">
        <w:rPr>
          <w:rFonts w:ascii="Calibri Light" w:eastAsia="Calibri" w:hAnsi="Calibri Light" w:cs="Calibri Light"/>
          <w:sz w:val="23"/>
          <w:szCs w:val="23"/>
        </w:rPr>
        <w:t>’s</w:t>
      </w:r>
      <w:r w:rsidR="00F00E3D" w:rsidRPr="000F634B">
        <w:rPr>
          <w:rFonts w:ascii="Calibri Light" w:eastAsia="Calibri" w:hAnsi="Calibri Light" w:cs="Calibri Light"/>
          <w:sz w:val="23"/>
          <w:szCs w:val="23"/>
        </w:rPr>
        <w:t xml:space="preserve"> </w:t>
      </w:r>
      <w:r w:rsidR="004C5B0D">
        <w:rPr>
          <w:rFonts w:ascii="Calibri Light" w:eastAsia="Calibri" w:hAnsi="Calibri Light" w:cs="Calibri Light"/>
          <w:sz w:val="23"/>
          <w:szCs w:val="23"/>
        </w:rPr>
        <w:t xml:space="preserve">family </w:t>
      </w:r>
      <w:r w:rsidR="00F00E3D" w:rsidRPr="000F634B">
        <w:rPr>
          <w:rFonts w:ascii="Calibri Light" w:eastAsia="Calibri" w:hAnsi="Calibri Light" w:cs="Calibri Light"/>
          <w:sz w:val="23"/>
          <w:szCs w:val="23"/>
        </w:rPr>
        <w:t>impacts</w:t>
      </w:r>
      <w:r w:rsidR="00A7089F" w:rsidRPr="000F634B">
        <w:rPr>
          <w:rFonts w:ascii="Calibri Light" w:eastAsia="Calibri" w:hAnsi="Calibri Light" w:cs="Calibri Light"/>
          <w:sz w:val="23"/>
          <w:szCs w:val="23"/>
        </w:rPr>
        <w:t>, such as</w:t>
      </w:r>
      <w:r w:rsidR="00F00E3D" w:rsidRPr="000F634B">
        <w:rPr>
          <w:rFonts w:ascii="Calibri Light" w:eastAsia="Calibri" w:hAnsi="Calibri Light" w:cs="Calibri Light"/>
          <w:sz w:val="23"/>
          <w:szCs w:val="23"/>
        </w:rPr>
        <w:t xml:space="preserve"> job</w:t>
      </w:r>
      <w:r w:rsidR="004C5B0D">
        <w:rPr>
          <w:rFonts w:ascii="Calibri Light" w:eastAsia="Calibri" w:hAnsi="Calibri Light" w:cs="Calibri Light"/>
          <w:sz w:val="23"/>
          <w:szCs w:val="23"/>
        </w:rPr>
        <w:t xml:space="preserve"> or income loss</w:t>
      </w:r>
      <w:r w:rsidR="00F00E3D" w:rsidRPr="000F634B">
        <w:rPr>
          <w:rFonts w:ascii="Calibri Light" w:eastAsia="Calibri" w:hAnsi="Calibri Light" w:cs="Calibri Light"/>
          <w:sz w:val="23"/>
          <w:szCs w:val="23"/>
        </w:rPr>
        <w:t xml:space="preserve">, </w:t>
      </w:r>
      <w:r w:rsidR="00A7089F" w:rsidRPr="000F634B">
        <w:rPr>
          <w:rFonts w:ascii="Calibri Light" w:eastAsia="Calibri" w:hAnsi="Calibri Light" w:cs="Calibri Light"/>
          <w:sz w:val="23"/>
          <w:szCs w:val="23"/>
        </w:rPr>
        <w:t xml:space="preserve">and restricted </w:t>
      </w:r>
      <w:r w:rsidR="00F00E3D" w:rsidRPr="000F634B">
        <w:rPr>
          <w:rFonts w:ascii="Calibri Light" w:eastAsia="Calibri" w:hAnsi="Calibri Light" w:cs="Calibri Light"/>
          <w:sz w:val="23"/>
          <w:szCs w:val="23"/>
        </w:rPr>
        <w:t xml:space="preserve">access to food </w:t>
      </w:r>
      <w:r w:rsidR="00F00E3D" w:rsidRPr="000F634B">
        <w:rPr>
          <w:rFonts w:ascii="Calibri Light" w:eastAsia="Calibri" w:hAnsi="Calibri Light" w:cs="Calibri Light"/>
          <w:noProof/>
          <w:sz w:val="23"/>
          <w:szCs w:val="23"/>
        </w:rPr>
        <w:t>(Dickinson et al., 2020, p. 15)</w:t>
      </w:r>
      <w:r w:rsidR="00F00E3D" w:rsidRPr="000F634B">
        <w:rPr>
          <w:rFonts w:ascii="Calibri Light" w:eastAsia="Calibri" w:hAnsi="Calibri Light" w:cs="Calibri Light"/>
          <w:sz w:val="23"/>
          <w:szCs w:val="23"/>
        </w:rPr>
        <w:t>.</w:t>
      </w:r>
    </w:p>
    <w:p w14:paraId="52E9A009" w14:textId="77777777" w:rsidR="00A7089F" w:rsidRPr="000F634B" w:rsidRDefault="00A7089F" w:rsidP="004D51EB">
      <w:pPr>
        <w:widowControl w:val="0"/>
        <w:spacing w:after="0" w:line="276" w:lineRule="auto"/>
        <w:rPr>
          <w:rFonts w:ascii="Calibri Light" w:eastAsia="Calibri" w:hAnsi="Calibri Light" w:cs="Calibri Light"/>
          <w:sz w:val="12"/>
          <w:szCs w:val="12"/>
        </w:rPr>
      </w:pPr>
    </w:p>
    <w:p w14:paraId="6249266D" w14:textId="55BF5579" w:rsidR="00F00E3D" w:rsidRPr="000F634B" w:rsidRDefault="00C7512E" w:rsidP="00C7512E">
      <w:pPr>
        <w:widowControl w:val="0"/>
        <w:spacing w:after="0" w:line="276" w:lineRule="auto"/>
        <w:rPr>
          <w:rFonts w:ascii="Calibri Light" w:eastAsia="Calibri" w:hAnsi="Calibri Light" w:cs="Calibri Light"/>
          <w:sz w:val="23"/>
          <w:szCs w:val="23"/>
        </w:rPr>
      </w:pPr>
      <w:r>
        <w:rPr>
          <w:rFonts w:ascii="Calibri Light" w:eastAsia="Calibri" w:hAnsi="Calibri Light" w:cs="Calibri Light"/>
          <w:sz w:val="23"/>
          <w:szCs w:val="23"/>
        </w:rPr>
        <w:t>The study proposes</w:t>
      </w:r>
      <w:r w:rsidR="00F00E3D" w:rsidRPr="000F634B">
        <w:rPr>
          <w:rFonts w:ascii="Calibri Light" w:eastAsia="Calibri" w:hAnsi="Calibri Light" w:cs="Calibri Light"/>
          <w:sz w:val="23"/>
          <w:szCs w:val="23"/>
        </w:rPr>
        <w:t xml:space="preserve"> seven </w:t>
      </w:r>
      <w:r>
        <w:rPr>
          <w:rFonts w:ascii="Calibri Light" w:eastAsia="Calibri" w:hAnsi="Calibri Light" w:cs="Calibri Light"/>
          <w:sz w:val="23"/>
          <w:szCs w:val="23"/>
        </w:rPr>
        <w:t xml:space="preserve">educator </w:t>
      </w:r>
      <w:r w:rsidR="00F00E3D" w:rsidRPr="000F634B">
        <w:rPr>
          <w:rFonts w:ascii="Calibri Light" w:eastAsia="Calibri" w:hAnsi="Calibri Light" w:cs="Calibri Light"/>
          <w:sz w:val="23"/>
          <w:szCs w:val="23"/>
        </w:rPr>
        <w:t>strategies to support students</w:t>
      </w:r>
      <w:r w:rsidR="00F00E3D" w:rsidRPr="000F634B">
        <w:rPr>
          <w:rFonts w:ascii="Calibri Light" w:eastAsia="Calibri" w:hAnsi="Calibri Light" w:cs="Calibri Light"/>
          <w:i/>
          <w:iCs/>
          <w:color w:val="000000" w:themeColor="text1"/>
          <w:sz w:val="23"/>
          <w:szCs w:val="23"/>
        </w:rPr>
        <w:t xml:space="preserve"> </w:t>
      </w:r>
      <w:r w:rsidR="00F00E3D" w:rsidRPr="000F634B">
        <w:rPr>
          <w:rFonts w:ascii="Calibri Light" w:eastAsia="Calibri" w:hAnsi="Calibri Light" w:cs="Calibri Light"/>
          <w:sz w:val="23"/>
          <w:szCs w:val="23"/>
        </w:rPr>
        <w:t xml:space="preserve">with disability during and after the pandemic: (1) </w:t>
      </w:r>
      <w:r>
        <w:rPr>
          <w:rFonts w:ascii="Calibri Light" w:eastAsia="Calibri" w:hAnsi="Calibri Light" w:cs="Calibri Light"/>
          <w:sz w:val="23"/>
          <w:szCs w:val="23"/>
        </w:rPr>
        <w:t>en</w:t>
      </w:r>
      <w:r w:rsidR="00F00E3D" w:rsidRPr="000F634B">
        <w:rPr>
          <w:rFonts w:ascii="Calibri Light" w:eastAsia="Calibri" w:hAnsi="Calibri Light" w:cs="Calibri Light"/>
          <w:sz w:val="23"/>
          <w:szCs w:val="23"/>
        </w:rPr>
        <w:t>sure students are socially connected to peers and the school</w:t>
      </w:r>
      <w:r w:rsidR="00EA7A20" w:rsidRPr="000F634B">
        <w:rPr>
          <w:rFonts w:ascii="Calibri Light" w:eastAsia="Calibri" w:hAnsi="Calibri Light" w:cs="Calibri Light"/>
          <w:sz w:val="23"/>
          <w:szCs w:val="23"/>
        </w:rPr>
        <w:t>;</w:t>
      </w:r>
      <w:r w:rsidR="00F00E3D" w:rsidRPr="000F634B">
        <w:rPr>
          <w:rFonts w:ascii="Calibri Light" w:eastAsia="Calibri" w:hAnsi="Calibri Light" w:cs="Calibri Light"/>
          <w:sz w:val="23"/>
          <w:szCs w:val="23"/>
        </w:rPr>
        <w:t xml:space="preserve"> (2) pay attention to social and emotional learning and foster deep connections between students</w:t>
      </w:r>
      <w:r w:rsidR="00EA7A20" w:rsidRPr="000F634B">
        <w:rPr>
          <w:rFonts w:ascii="Calibri Light" w:eastAsia="Calibri" w:hAnsi="Calibri Light" w:cs="Calibri Light"/>
          <w:sz w:val="23"/>
          <w:szCs w:val="23"/>
        </w:rPr>
        <w:t>;</w:t>
      </w:r>
      <w:r w:rsidR="00F00E3D" w:rsidRPr="000F634B">
        <w:rPr>
          <w:rFonts w:ascii="Calibri Light" w:eastAsia="Calibri" w:hAnsi="Calibri Light" w:cs="Calibri Light"/>
          <w:sz w:val="23"/>
          <w:szCs w:val="23"/>
        </w:rPr>
        <w:t xml:space="preserve"> (3) provide planned and intentional support</w:t>
      </w:r>
      <w:r w:rsidR="00EA7A20" w:rsidRPr="000F634B">
        <w:rPr>
          <w:rFonts w:ascii="Calibri Light" w:eastAsia="Calibri" w:hAnsi="Calibri Light" w:cs="Calibri Light"/>
          <w:sz w:val="23"/>
          <w:szCs w:val="23"/>
        </w:rPr>
        <w:t>;</w:t>
      </w:r>
      <w:r w:rsidR="00F00E3D" w:rsidRPr="000F634B">
        <w:rPr>
          <w:rFonts w:ascii="Calibri Light" w:eastAsia="Calibri" w:hAnsi="Calibri Light" w:cs="Calibri Light"/>
          <w:sz w:val="23"/>
          <w:szCs w:val="23"/>
        </w:rPr>
        <w:t xml:space="preserve"> (4) create accessible online spaces underpinned by Universal Design for Learning</w:t>
      </w:r>
      <w:r w:rsidR="00EA7A20" w:rsidRPr="000F634B">
        <w:rPr>
          <w:rFonts w:ascii="Calibri Light" w:eastAsia="Calibri" w:hAnsi="Calibri Light" w:cs="Calibri Light"/>
          <w:sz w:val="23"/>
          <w:szCs w:val="23"/>
        </w:rPr>
        <w:t xml:space="preserve"> principles;</w:t>
      </w:r>
      <w:r w:rsidR="00F00E3D" w:rsidRPr="000F634B">
        <w:rPr>
          <w:rFonts w:ascii="Calibri Light" w:eastAsia="Calibri" w:hAnsi="Calibri Light" w:cs="Calibri Light"/>
          <w:sz w:val="23"/>
          <w:szCs w:val="23"/>
        </w:rPr>
        <w:t xml:space="preserve"> (5) develop strong and enduring relationships with students</w:t>
      </w:r>
      <w:r>
        <w:rPr>
          <w:rFonts w:ascii="Calibri Light" w:eastAsia="Calibri" w:hAnsi="Calibri Light" w:cs="Calibri Light"/>
          <w:sz w:val="23"/>
          <w:szCs w:val="23"/>
        </w:rPr>
        <w:t>,</w:t>
      </w:r>
      <w:r w:rsidR="00F00E3D" w:rsidRPr="000F634B">
        <w:rPr>
          <w:rFonts w:ascii="Calibri Light" w:eastAsia="Calibri" w:hAnsi="Calibri Light" w:cs="Calibri Light"/>
          <w:sz w:val="23"/>
          <w:szCs w:val="23"/>
        </w:rPr>
        <w:t xml:space="preserve"> check</w:t>
      </w:r>
      <w:r>
        <w:rPr>
          <w:rFonts w:ascii="Calibri Light" w:eastAsia="Calibri" w:hAnsi="Calibri Light" w:cs="Calibri Light"/>
          <w:sz w:val="23"/>
          <w:szCs w:val="23"/>
        </w:rPr>
        <w:t>ing</w:t>
      </w:r>
      <w:r w:rsidR="00F00E3D" w:rsidRPr="000F634B">
        <w:rPr>
          <w:rFonts w:ascii="Calibri Light" w:eastAsia="Calibri" w:hAnsi="Calibri Light" w:cs="Calibri Light"/>
          <w:sz w:val="23"/>
          <w:szCs w:val="23"/>
        </w:rPr>
        <w:t xml:space="preserve"> in regularly </w:t>
      </w:r>
      <w:r>
        <w:rPr>
          <w:rFonts w:ascii="Calibri Light" w:eastAsia="Calibri" w:hAnsi="Calibri Light" w:cs="Calibri Light"/>
          <w:sz w:val="23"/>
          <w:szCs w:val="23"/>
        </w:rPr>
        <w:t>via</w:t>
      </w:r>
      <w:r w:rsidR="00F00E3D" w:rsidRPr="000F634B">
        <w:rPr>
          <w:rFonts w:ascii="Calibri Light" w:eastAsia="Calibri" w:hAnsi="Calibri Light" w:cs="Calibri Light"/>
          <w:sz w:val="23"/>
          <w:szCs w:val="23"/>
        </w:rPr>
        <w:t xml:space="preserve"> formative feedback</w:t>
      </w:r>
      <w:r w:rsidR="00EA7A20" w:rsidRPr="000F634B">
        <w:rPr>
          <w:rFonts w:ascii="Calibri Light" w:eastAsia="Calibri" w:hAnsi="Calibri Light" w:cs="Calibri Light"/>
          <w:sz w:val="23"/>
          <w:szCs w:val="23"/>
        </w:rPr>
        <w:t>;</w:t>
      </w:r>
      <w:r w:rsidR="00F00E3D" w:rsidRPr="000F634B">
        <w:rPr>
          <w:rFonts w:ascii="Calibri Light" w:eastAsia="Calibri" w:hAnsi="Calibri Light" w:cs="Calibri Light"/>
          <w:sz w:val="23"/>
          <w:szCs w:val="23"/>
        </w:rPr>
        <w:t xml:space="preserve"> (6) check how </w:t>
      </w:r>
      <w:r>
        <w:rPr>
          <w:rFonts w:ascii="Calibri Light" w:eastAsia="Calibri" w:hAnsi="Calibri Light" w:cs="Calibri Light"/>
          <w:sz w:val="23"/>
          <w:szCs w:val="23"/>
        </w:rPr>
        <w:t>students</w:t>
      </w:r>
      <w:r w:rsidR="00F00E3D" w:rsidRPr="000F634B">
        <w:rPr>
          <w:rFonts w:ascii="Calibri Light" w:eastAsia="Calibri" w:hAnsi="Calibri Light" w:cs="Calibri Light"/>
          <w:sz w:val="23"/>
          <w:szCs w:val="23"/>
        </w:rPr>
        <w:t xml:space="preserve"> are faring and </w:t>
      </w:r>
      <w:r>
        <w:rPr>
          <w:rFonts w:ascii="Calibri Light" w:eastAsia="Calibri" w:hAnsi="Calibri Light" w:cs="Calibri Light"/>
          <w:sz w:val="23"/>
          <w:szCs w:val="23"/>
        </w:rPr>
        <w:t xml:space="preserve">the </w:t>
      </w:r>
      <w:r w:rsidR="00F00E3D" w:rsidRPr="000F634B">
        <w:rPr>
          <w:rFonts w:ascii="Calibri Light" w:eastAsia="Calibri" w:hAnsi="Calibri Light" w:cs="Calibri Light"/>
          <w:sz w:val="23"/>
          <w:szCs w:val="23"/>
        </w:rPr>
        <w:t>curriculum</w:t>
      </w:r>
      <w:r>
        <w:rPr>
          <w:rFonts w:ascii="Calibri Light" w:eastAsia="Calibri" w:hAnsi="Calibri Light" w:cs="Calibri Light"/>
          <w:sz w:val="23"/>
          <w:szCs w:val="23"/>
        </w:rPr>
        <w:t>’s accessibility</w:t>
      </w:r>
      <w:r w:rsidR="003578F3" w:rsidRPr="000F634B">
        <w:rPr>
          <w:rFonts w:ascii="Calibri Light" w:eastAsia="Calibri" w:hAnsi="Calibri Light" w:cs="Calibri Light"/>
          <w:sz w:val="23"/>
          <w:szCs w:val="23"/>
        </w:rPr>
        <w:t>;</w:t>
      </w:r>
      <w:r w:rsidR="00F00E3D" w:rsidRPr="000F634B">
        <w:rPr>
          <w:rFonts w:ascii="Calibri Light" w:eastAsia="Calibri" w:hAnsi="Calibri Light" w:cs="Calibri Light"/>
          <w:sz w:val="23"/>
          <w:szCs w:val="23"/>
        </w:rPr>
        <w:t xml:space="preserve"> and (7) activate student voice</w:t>
      </w:r>
      <w:r w:rsidR="003578F3" w:rsidRPr="000F634B">
        <w:rPr>
          <w:rFonts w:ascii="Calibri Light" w:eastAsia="Calibri" w:hAnsi="Calibri Light" w:cs="Calibri Light"/>
          <w:sz w:val="23"/>
          <w:szCs w:val="23"/>
        </w:rPr>
        <w:t>s</w:t>
      </w:r>
      <w:r w:rsidR="00F00E3D" w:rsidRPr="000F634B">
        <w:rPr>
          <w:rFonts w:ascii="Calibri Light" w:eastAsia="Calibri" w:hAnsi="Calibri Light" w:cs="Calibri Light"/>
          <w:sz w:val="23"/>
          <w:szCs w:val="23"/>
        </w:rPr>
        <w:t xml:space="preserve"> </w:t>
      </w:r>
      <w:r w:rsidR="00F00E3D" w:rsidRPr="000F634B">
        <w:rPr>
          <w:rFonts w:ascii="Calibri Light" w:eastAsia="Calibri" w:hAnsi="Calibri Light" w:cs="Calibri Light"/>
          <w:noProof/>
          <w:sz w:val="23"/>
          <w:szCs w:val="23"/>
        </w:rPr>
        <w:t>(Dickinson et al., 2020, p. 41)</w:t>
      </w:r>
      <w:r w:rsidR="003578F3" w:rsidRPr="000F634B">
        <w:rPr>
          <w:rFonts w:ascii="Calibri Light" w:eastAsia="Calibri" w:hAnsi="Calibri Light" w:cs="Calibri Light"/>
          <w:sz w:val="23"/>
          <w:szCs w:val="23"/>
        </w:rPr>
        <w:t>.</w:t>
      </w:r>
    </w:p>
    <w:p w14:paraId="2B540ADA" w14:textId="77777777" w:rsidR="00F00E3D" w:rsidRPr="000F634B" w:rsidRDefault="00F00E3D" w:rsidP="004D51EB">
      <w:pPr>
        <w:spacing w:after="0" w:line="276" w:lineRule="auto"/>
        <w:rPr>
          <w:rFonts w:ascii="Calibri Light" w:eastAsia="Calibri" w:hAnsi="Calibri Light" w:cs="Calibri Light"/>
          <w:b/>
          <w:bCs/>
          <w:sz w:val="12"/>
          <w:szCs w:val="12"/>
        </w:rPr>
      </w:pPr>
    </w:p>
    <w:p w14:paraId="52310C36" w14:textId="25CD5C35" w:rsidR="00F00E3D" w:rsidRPr="000F634B" w:rsidRDefault="00F00E3D" w:rsidP="004D51EB">
      <w:pPr>
        <w:spacing w:after="0" w:line="276" w:lineRule="auto"/>
        <w:rPr>
          <w:rFonts w:eastAsia="Calibri" w:cstheme="minorHAnsi"/>
          <w:b/>
          <w:bCs/>
          <w:sz w:val="23"/>
          <w:szCs w:val="23"/>
        </w:rPr>
      </w:pPr>
      <w:r w:rsidRPr="000F634B">
        <w:rPr>
          <w:rFonts w:eastAsia="Calibri" w:cstheme="minorHAnsi"/>
          <w:b/>
          <w:bCs/>
          <w:sz w:val="23"/>
          <w:szCs w:val="23"/>
        </w:rPr>
        <w:t xml:space="preserve">Aboriginal and Torres Strait Islander </w:t>
      </w:r>
      <w:r w:rsidR="003578F3" w:rsidRPr="000F634B">
        <w:rPr>
          <w:rFonts w:eastAsia="Calibri" w:cstheme="minorHAnsi"/>
          <w:b/>
          <w:bCs/>
          <w:sz w:val="23"/>
          <w:szCs w:val="23"/>
        </w:rPr>
        <w:t>C</w:t>
      </w:r>
      <w:r w:rsidRPr="000F634B">
        <w:rPr>
          <w:rFonts w:eastAsia="Calibri" w:cstheme="minorHAnsi"/>
          <w:b/>
          <w:bCs/>
          <w:sz w:val="23"/>
          <w:szCs w:val="23"/>
        </w:rPr>
        <w:t xml:space="preserve">hildren and </w:t>
      </w:r>
      <w:r w:rsidR="00351098" w:rsidRPr="000F634B">
        <w:rPr>
          <w:rFonts w:eastAsia="Calibri" w:cstheme="minorHAnsi"/>
          <w:b/>
          <w:bCs/>
          <w:sz w:val="23"/>
          <w:szCs w:val="23"/>
        </w:rPr>
        <w:t>T</w:t>
      </w:r>
      <w:r w:rsidRPr="000F634B">
        <w:rPr>
          <w:rFonts w:eastAsia="Calibri" w:cstheme="minorHAnsi"/>
          <w:b/>
          <w:bCs/>
          <w:sz w:val="23"/>
          <w:szCs w:val="23"/>
        </w:rPr>
        <w:t xml:space="preserve">heir </w:t>
      </w:r>
      <w:r w:rsidR="003578F3" w:rsidRPr="000F634B">
        <w:rPr>
          <w:rFonts w:eastAsia="Calibri" w:cstheme="minorHAnsi"/>
          <w:b/>
          <w:bCs/>
          <w:sz w:val="23"/>
          <w:szCs w:val="23"/>
        </w:rPr>
        <w:t>F</w:t>
      </w:r>
      <w:r w:rsidRPr="000F634B">
        <w:rPr>
          <w:rFonts w:eastAsia="Calibri" w:cstheme="minorHAnsi"/>
          <w:b/>
          <w:bCs/>
          <w:sz w:val="23"/>
          <w:szCs w:val="23"/>
        </w:rPr>
        <w:t>amilies</w:t>
      </w:r>
    </w:p>
    <w:p w14:paraId="75EAC1A0" w14:textId="77777777" w:rsidR="003578F3" w:rsidRPr="000F634B" w:rsidRDefault="003578F3" w:rsidP="004D51EB">
      <w:pPr>
        <w:spacing w:after="0" w:line="276" w:lineRule="auto"/>
        <w:rPr>
          <w:rFonts w:ascii="Calibri Light" w:eastAsia="Calibri" w:hAnsi="Calibri Light" w:cs="Calibri Light"/>
          <w:b/>
          <w:bCs/>
          <w:sz w:val="12"/>
          <w:szCs w:val="12"/>
        </w:rPr>
      </w:pPr>
    </w:p>
    <w:p w14:paraId="3EAE443E" w14:textId="5F0E995D" w:rsidR="00F00E3D" w:rsidRPr="000F634B" w:rsidRDefault="00F00E3D" w:rsidP="004D51EB">
      <w:pPr>
        <w:spacing w:after="0" w:line="276" w:lineRule="auto"/>
        <w:rPr>
          <w:rFonts w:ascii="Calibri Light" w:eastAsia="Calibri" w:hAnsi="Calibri Light" w:cs="Calibri Light"/>
          <w:sz w:val="23"/>
          <w:szCs w:val="23"/>
        </w:rPr>
      </w:pPr>
      <w:r w:rsidRPr="000F634B">
        <w:rPr>
          <w:rFonts w:ascii="Calibri Light" w:eastAsia="Calibri" w:hAnsi="Calibri Light" w:cs="Calibri Light"/>
          <w:sz w:val="23"/>
          <w:szCs w:val="23"/>
        </w:rPr>
        <w:t xml:space="preserve">A study </w:t>
      </w:r>
      <w:r w:rsidR="00680775" w:rsidRPr="000F634B">
        <w:rPr>
          <w:rFonts w:ascii="Calibri Light" w:eastAsia="Calibri" w:hAnsi="Calibri Light" w:cs="Calibri Light"/>
          <w:sz w:val="23"/>
          <w:szCs w:val="23"/>
        </w:rPr>
        <w:t>exploring COVID-19’s</w:t>
      </w:r>
      <w:r w:rsidRPr="000F634B">
        <w:rPr>
          <w:rFonts w:ascii="Calibri Light" w:eastAsia="Calibri" w:hAnsi="Calibri Light" w:cs="Calibri Light"/>
          <w:sz w:val="23"/>
          <w:szCs w:val="23"/>
        </w:rPr>
        <w:t xml:space="preserve"> impacts on Aboriginal and Torres Strait Islander children and their families highlighted three major issues </w:t>
      </w:r>
      <w:r w:rsidRPr="000F634B">
        <w:rPr>
          <w:rFonts w:ascii="Calibri Light" w:eastAsia="Calibri" w:hAnsi="Calibri Light" w:cs="Calibri Light"/>
          <w:noProof/>
          <w:sz w:val="23"/>
          <w:szCs w:val="23"/>
        </w:rPr>
        <w:t>(Secretariat of National Aboriginal and Islander Child Care, 2021, p. 1)</w:t>
      </w:r>
      <w:r w:rsidRPr="000F634B">
        <w:rPr>
          <w:rFonts w:ascii="Calibri Light" w:eastAsia="Calibri" w:hAnsi="Calibri Light" w:cs="Calibri Light"/>
          <w:sz w:val="23"/>
          <w:szCs w:val="23"/>
        </w:rPr>
        <w:t>:</w:t>
      </w:r>
      <w:r w:rsidRPr="000F634B">
        <w:rPr>
          <w:rFonts w:ascii="Calibri Light" w:eastAsia="Calibri" w:hAnsi="Calibri Light" w:cs="Calibri Light"/>
          <w:color w:val="000000" w:themeColor="text1"/>
          <w:sz w:val="23"/>
          <w:szCs w:val="23"/>
        </w:rPr>
        <w:t xml:space="preserve"> restrictions impact</w:t>
      </w:r>
      <w:r w:rsidR="00680775" w:rsidRPr="000F634B">
        <w:rPr>
          <w:rFonts w:ascii="Calibri Light" w:eastAsia="Calibri" w:hAnsi="Calibri Light" w:cs="Calibri Light"/>
          <w:color w:val="000000" w:themeColor="text1"/>
          <w:sz w:val="23"/>
          <w:szCs w:val="23"/>
        </w:rPr>
        <w:t>ing</w:t>
      </w:r>
      <w:r w:rsidRPr="000F634B">
        <w:rPr>
          <w:rFonts w:ascii="Calibri Light" w:eastAsia="Calibri" w:hAnsi="Calibri Light" w:cs="Calibri Light"/>
          <w:color w:val="000000" w:themeColor="text1"/>
          <w:sz w:val="23"/>
          <w:szCs w:val="23"/>
        </w:rPr>
        <w:t xml:space="preserve"> children’s ability to maintain connected to their culture and/or language</w:t>
      </w:r>
      <w:r w:rsidR="00680775" w:rsidRPr="000F634B">
        <w:rPr>
          <w:rFonts w:ascii="Calibri Light" w:eastAsia="Calibri" w:hAnsi="Calibri Light" w:cs="Calibri Light"/>
          <w:color w:val="000000" w:themeColor="text1"/>
          <w:sz w:val="23"/>
          <w:szCs w:val="23"/>
        </w:rPr>
        <w:t>;</w:t>
      </w:r>
      <w:r w:rsidRPr="000F634B">
        <w:rPr>
          <w:rFonts w:ascii="Calibri Light" w:eastAsia="Calibri" w:hAnsi="Calibri Light" w:cs="Calibri Light"/>
          <w:color w:val="000000" w:themeColor="text1"/>
          <w:sz w:val="23"/>
          <w:szCs w:val="23"/>
        </w:rPr>
        <w:t xml:space="preserve"> </w:t>
      </w:r>
      <w:r w:rsidR="00B06F71" w:rsidRPr="000F634B">
        <w:rPr>
          <w:rFonts w:ascii="Calibri Light" w:eastAsia="Calibri" w:hAnsi="Calibri Light" w:cs="Calibri Light"/>
          <w:color w:val="000000" w:themeColor="text1"/>
          <w:sz w:val="23"/>
          <w:szCs w:val="23"/>
        </w:rPr>
        <w:t xml:space="preserve">the pandemic’s </w:t>
      </w:r>
      <w:r w:rsidR="00F707DB" w:rsidRPr="000F634B">
        <w:rPr>
          <w:rFonts w:ascii="Calibri Light" w:eastAsia="Calibri" w:hAnsi="Calibri Light" w:cs="Calibri Light"/>
          <w:color w:val="000000" w:themeColor="text1"/>
          <w:sz w:val="23"/>
          <w:szCs w:val="23"/>
        </w:rPr>
        <w:t xml:space="preserve">social and economic impacts </w:t>
      </w:r>
      <w:r w:rsidR="00B06F71" w:rsidRPr="000F634B">
        <w:rPr>
          <w:rFonts w:ascii="Calibri Light" w:eastAsia="Calibri" w:hAnsi="Calibri Light" w:cs="Calibri Light"/>
          <w:color w:val="000000" w:themeColor="text1"/>
          <w:sz w:val="23"/>
          <w:szCs w:val="23"/>
        </w:rPr>
        <w:t xml:space="preserve">causing </w:t>
      </w:r>
      <w:r w:rsidRPr="000F634B">
        <w:rPr>
          <w:rFonts w:ascii="Calibri Light" w:eastAsia="Calibri" w:hAnsi="Calibri Light" w:cs="Calibri Light"/>
          <w:color w:val="000000" w:themeColor="text1"/>
          <w:sz w:val="23"/>
          <w:szCs w:val="23"/>
        </w:rPr>
        <w:t>disruption and stress</w:t>
      </w:r>
      <w:r w:rsidR="00B06F71" w:rsidRPr="000F634B">
        <w:rPr>
          <w:rFonts w:ascii="Calibri Light" w:eastAsia="Calibri" w:hAnsi="Calibri Light" w:cs="Calibri Light"/>
          <w:color w:val="000000" w:themeColor="text1"/>
          <w:sz w:val="23"/>
          <w:szCs w:val="23"/>
        </w:rPr>
        <w:t xml:space="preserve">, </w:t>
      </w:r>
      <w:r w:rsidR="00957B35" w:rsidRPr="000F634B">
        <w:rPr>
          <w:rFonts w:ascii="Calibri Light" w:eastAsia="Calibri" w:hAnsi="Calibri Light" w:cs="Calibri Light"/>
          <w:color w:val="000000" w:themeColor="text1"/>
          <w:sz w:val="23"/>
          <w:szCs w:val="23"/>
        </w:rPr>
        <w:t>and affecting</w:t>
      </w:r>
      <w:r w:rsidRPr="000F634B">
        <w:rPr>
          <w:rFonts w:ascii="Calibri Light" w:eastAsia="Calibri" w:hAnsi="Calibri Light" w:cs="Calibri Light"/>
          <w:color w:val="000000" w:themeColor="text1"/>
          <w:sz w:val="23"/>
          <w:szCs w:val="23"/>
        </w:rPr>
        <w:t xml:space="preserve"> the mental health of children and families</w:t>
      </w:r>
      <w:r w:rsidR="00957B35" w:rsidRPr="000F634B">
        <w:rPr>
          <w:rFonts w:ascii="Calibri Light" w:eastAsia="Calibri" w:hAnsi="Calibri Light" w:cs="Calibri Light"/>
          <w:color w:val="000000" w:themeColor="text1"/>
          <w:sz w:val="23"/>
          <w:szCs w:val="23"/>
        </w:rPr>
        <w:t>;</w:t>
      </w:r>
      <w:r w:rsidRPr="000F634B">
        <w:rPr>
          <w:rFonts w:ascii="Calibri Light" w:eastAsia="Calibri" w:hAnsi="Calibri Light" w:cs="Calibri Light"/>
          <w:color w:val="000000" w:themeColor="text1"/>
          <w:sz w:val="23"/>
          <w:szCs w:val="23"/>
        </w:rPr>
        <w:t xml:space="preserve"> and </w:t>
      </w:r>
      <w:r w:rsidR="00DF58CB" w:rsidRPr="000F634B">
        <w:rPr>
          <w:rFonts w:ascii="Calibri Light" w:eastAsia="Calibri" w:hAnsi="Calibri Light" w:cs="Calibri Light"/>
          <w:color w:val="000000" w:themeColor="text1"/>
          <w:sz w:val="23"/>
          <w:szCs w:val="23"/>
        </w:rPr>
        <w:t xml:space="preserve">an </w:t>
      </w:r>
      <w:r w:rsidRPr="000F634B">
        <w:rPr>
          <w:rFonts w:ascii="Calibri Light" w:eastAsia="Calibri" w:hAnsi="Calibri Light" w:cs="Calibri Light"/>
          <w:color w:val="000000" w:themeColor="text1"/>
          <w:sz w:val="23"/>
          <w:szCs w:val="23"/>
        </w:rPr>
        <w:t xml:space="preserve">early childhood education and care (ECEC) funding model </w:t>
      </w:r>
      <w:r w:rsidR="00957B35" w:rsidRPr="000F634B">
        <w:rPr>
          <w:rFonts w:ascii="Calibri Light" w:eastAsia="Calibri" w:hAnsi="Calibri Light" w:cs="Calibri Light"/>
          <w:color w:val="000000" w:themeColor="text1"/>
          <w:sz w:val="23"/>
          <w:szCs w:val="23"/>
        </w:rPr>
        <w:t xml:space="preserve">that is </w:t>
      </w:r>
      <w:r w:rsidRPr="000F634B">
        <w:rPr>
          <w:rFonts w:ascii="Calibri Light" w:eastAsia="Calibri" w:hAnsi="Calibri Light" w:cs="Calibri Light"/>
          <w:color w:val="000000" w:themeColor="text1"/>
          <w:sz w:val="23"/>
          <w:szCs w:val="23"/>
        </w:rPr>
        <w:t>ill</w:t>
      </w:r>
      <w:r w:rsidR="00957B35" w:rsidRPr="000F634B">
        <w:rPr>
          <w:rFonts w:ascii="Calibri Light" w:eastAsia="Calibri" w:hAnsi="Calibri Light" w:cs="Calibri Light"/>
          <w:color w:val="000000" w:themeColor="text1"/>
          <w:sz w:val="23"/>
          <w:szCs w:val="23"/>
        </w:rPr>
        <w:t>-</w:t>
      </w:r>
      <w:r w:rsidRPr="000F634B">
        <w:rPr>
          <w:rFonts w:ascii="Calibri Light" w:eastAsia="Calibri" w:hAnsi="Calibri Light" w:cs="Calibri Light"/>
          <w:color w:val="000000" w:themeColor="text1"/>
          <w:sz w:val="23"/>
          <w:szCs w:val="23"/>
        </w:rPr>
        <w:t xml:space="preserve">equipped to meet the support needs of families. </w:t>
      </w:r>
      <w:r w:rsidRPr="000F634B">
        <w:rPr>
          <w:rFonts w:ascii="Calibri Light" w:eastAsia="Calibri" w:hAnsi="Calibri Light" w:cs="Calibri Light"/>
          <w:sz w:val="23"/>
          <w:szCs w:val="23"/>
        </w:rPr>
        <w:t xml:space="preserve">In relation to education, the study recommended </w:t>
      </w:r>
      <w:r w:rsidRPr="000F634B">
        <w:rPr>
          <w:rFonts w:ascii="Calibri Light" w:eastAsia="Calibri" w:hAnsi="Calibri Light" w:cs="Calibri Light"/>
          <w:color w:val="000000" w:themeColor="text1"/>
          <w:sz w:val="23"/>
          <w:szCs w:val="23"/>
        </w:rPr>
        <w:t>additional therapeutic support for young children and infants</w:t>
      </w:r>
      <w:r w:rsidR="00FF6166" w:rsidRPr="000F634B">
        <w:rPr>
          <w:rFonts w:ascii="Calibri Light" w:eastAsia="Calibri" w:hAnsi="Calibri Light" w:cs="Calibri Light"/>
          <w:color w:val="000000" w:themeColor="text1"/>
          <w:sz w:val="23"/>
          <w:szCs w:val="23"/>
        </w:rPr>
        <w:t xml:space="preserve"> to address issues including</w:t>
      </w:r>
      <w:r w:rsidRPr="000F634B">
        <w:rPr>
          <w:rFonts w:ascii="Calibri Light" w:eastAsia="Calibri" w:hAnsi="Calibri Light" w:cs="Calibri Light"/>
          <w:color w:val="000000" w:themeColor="text1"/>
          <w:sz w:val="23"/>
          <w:szCs w:val="23"/>
        </w:rPr>
        <w:t xml:space="preserve"> heightened feelings of anxiety, distress, and uncertainty; worry about infection</w:t>
      </w:r>
      <w:r w:rsidR="00FF6166" w:rsidRPr="000F634B">
        <w:rPr>
          <w:rFonts w:ascii="Calibri Light" w:eastAsia="Calibri" w:hAnsi="Calibri Light" w:cs="Calibri Light"/>
          <w:color w:val="000000" w:themeColor="text1"/>
          <w:sz w:val="23"/>
          <w:szCs w:val="23"/>
        </w:rPr>
        <w:t>,</w:t>
      </w:r>
      <w:r w:rsidRPr="000F634B">
        <w:rPr>
          <w:rFonts w:ascii="Calibri Light" w:eastAsia="Calibri" w:hAnsi="Calibri Light" w:cs="Calibri Light"/>
          <w:color w:val="000000" w:themeColor="text1"/>
          <w:sz w:val="23"/>
          <w:szCs w:val="23"/>
        </w:rPr>
        <w:t xml:space="preserve"> or infecting family members and Elders; and disruption to usual care and education. It also recommended that </w:t>
      </w:r>
      <w:r w:rsidR="00FF6166" w:rsidRPr="000F634B">
        <w:rPr>
          <w:rFonts w:ascii="Calibri Light" w:eastAsia="Calibri" w:hAnsi="Calibri Light" w:cs="Calibri Light"/>
          <w:color w:val="000000" w:themeColor="text1"/>
          <w:sz w:val="23"/>
          <w:szCs w:val="23"/>
        </w:rPr>
        <w:t>g</w:t>
      </w:r>
      <w:r w:rsidRPr="000F634B">
        <w:rPr>
          <w:rFonts w:ascii="Calibri Light" w:eastAsia="Calibri" w:hAnsi="Calibri Light" w:cs="Calibri Light"/>
          <w:color w:val="000000" w:themeColor="text1"/>
          <w:sz w:val="23"/>
          <w:szCs w:val="23"/>
        </w:rPr>
        <w:t>overnments provide children</w:t>
      </w:r>
      <w:r w:rsidR="00FF6166" w:rsidRPr="000F634B">
        <w:rPr>
          <w:rFonts w:ascii="Calibri Light" w:eastAsia="Calibri" w:hAnsi="Calibri Light" w:cs="Calibri Light"/>
          <w:color w:val="000000" w:themeColor="text1"/>
          <w:sz w:val="23"/>
          <w:szCs w:val="23"/>
        </w:rPr>
        <w:t xml:space="preserve"> and carers</w:t>
      </w:r>
      <w:r w:rsidRPr="000F634B">
        <w:rPr>
          <w:rFonts w:ascii="Calibri Light" w:eastAsia="Calibri" w:hAnsi="Calibri Light" w:cs="Calibri Light"/>
          <w:color w:val="000000" w:themeColor="text1"/>
          <w:sz w:val="23"/>
          <w:szCs w:val="23"/>
        </w:rPr>
        <w:t xml:space="preserve"> with technological resources </w:t>
      </w:r>
      <w:r w:rsidR="0035588D" w:rsidRPr="000F634B">
        <w:rPr>
          <w:rFonts w:ascii="Calibri Light" w:eastAsia="Calibri" w:hAnsi="Calibri Light" w:cs="Calibri Light"/>
          <w:color w:val="000000" w:themeColor="text1"/>
          <w:sz w:val="23"/>
          <w:szCs w:val="23"/>
        </w:rPr>
        <w:t>so they can</w:t>
      </w:r>
      <w:r w:rsidRPr="000F634B">
        <w:rPr>
          <w:rFonts w:ascii="Calibri Light" w:eastAsia="Calibri" w:hAnsi="Calibri Light" w:cs="Calibri Light"/>
          <w:color w:val="000000" w:themeColor="text1"/>
          <w:sz w:val="23"/>
          <w:szCs w:val="23"/>
        </w:rPr>
        <w:t xml:space="preserve"> access essential education and support services</w:t>
      </w:r>
      <w:r w:rsidR="0035588D" w:rsidRPr="000F634B">
        <w:rPr>
          <w:rFonts w:ascii="Calibri Light" w:eastAsia="Calibri" w:hAnsi="Calibri Light" w:cs="Calibri Light"/>
          <w:color w:val="000000" w:themeColor="text1"/>
          <w:sz w:val="23"/>
          <w:szCs w:val="23"/>
        </w:rPr>
        <w:t>,</w:t>
      </w:r>
      <w:r w:rsidRPr="000F634B">
        <w:rPr>
          <w:rFonts w:ascii="Calibri Light" w:eastAsia="Calibri" w:hAnsi="Calibri Light" w:cs="Calibri Light"/>
          <w:color w:val="000000" w:themeColor="text1"/>
          <w:sz w:val="23"/>
          <w:szCs w:val="23"/>
        </w:rPr>
        <w:t xml:space="preserve"> and </w:t>
      </w:r>
      <w:r w:rsidR="0035588D" w:rsidRPr="000F634B">
        <w:rPr>
          <w:rFonts w:ascii="Calibri Light" w:eastAsia="Calibri" w:hAnsi="Calibri Light" w:cs="Calibri Light"/>
          <w:color w:val="000000" w:themeColor="text1"/>
          <w:sz w:val="23"/>
          <w:szCs w:val="23"/>
        </w:rPr>
        <w:t>so</w:t>
      </w:r>
      <w:r w:rsidRPr="000F634B">
        <w:rPr>
          <w:rFonts w:ascii="Calibri Light" w:eastAsia="Calibri" w:hAnsi="Calibri Light" w:cs="Calibri Light"/>
          <w:color w:val="000000" w:themeColor="text1"/>
          <w:sz w:val="23"/>
          <w:szCs w:val="23"/>
        </w:rPr>
        <w:t xml:space="preserve"> children </w:t>
      </w:r>
      <w:r w:rsidR="0035588D" w:rsidRPr="000F634B">
        <w:rPr>
          <w:rFonts w:ascii="Calibri Light" w:eastAsia="Calibri" w:hAnsi="Calibri Light" w:cs="Calibri Light"/>
          <w:color w:val="000000" w:themeColor="text1"/>
          <w:sz w:val="23"/>
          <w:szCs w:val="23"/>
        </w:rPr>
        <w:t>can</w:t>
      </w:r>
      <w:r w:rsidRPr="000F634B">
        <w:rPr>
          <w:rFonts w:ascii="Calibri Light" w:eastAsia="Calibri" w:hAnsi="Calibri Light" w:cs="Calibri Light"/>
          <w:color w:val="000000" w:themeColor="text1"/>
          <w:sz w:val="23"/>
          <w:szCs w:val="23"/>
        </w:rPr>
        <w:t xml:space="preserve"> maintain contact with their families and communities.</w:t>
      </w:r>
    </w:p>
    <w:p w14:paraId="3E7CC315" w14:textId="77777777" w:rsidR="00F00E3D" w:rsidRPr="000F634B" w:rsidRDefault="00F00E3D" w:rsidP="004D51EB">
      <w:pPr>
        <w:spacing w:after="0" w:line="276" w:lineRule="auto"/>
        <w:rPr>
          <w:rFonts w:ascii="Calibri Light" w:eastAsia="Calibri" w:hAnsi="Calibri Light" w:cs="Calibri Light"/>
          <w:b/>
          <w:bCs/>
          <w:sz w:val="12"/>
          <w:szCs w:val="12"/>
        </w:rPr>
      </w:pPr>
    </w:p>
    <w:p w14:paraId="5354DE2F" w14:textId="4E3C2C39" w:rsidR="00F00E3D" w:rsidRPr="000F634B" w:rsidRDefault="00F00E3D" w:rsidP="004D51EB">
      <w:pPr>
        <w:spacing w:after="0" w:line="276" w:lineRule="auto"/>
        <w:rPr>
          <w:rFonts w:eastAsia="Calibri" w:cstheme="minorHAnsi"/>
          <w:b/>
          <w:bCs/>
          <w:sz w:val="23"/>
          <w:szCs w:val="23"/>
        </w:rPr>
      </w:pPr>
      <w:r w:rsidRPr="000F634B">
        <w:rPr>
          <w:rFonts w:eastAsia="Calibri" w:cstheme="minorHAnsi"/>
          <w:b/>
          <w:bCs/>
          <w:sz w:val="23"/>
          <w:szCs w:val="23"/>
        </w:rPr>
        <w:t xml:space="preserve">Parents’ </w:t>
      </w:r>
      <w:r w:rsidR="0035588D" w:rsidRPr="000F634B">
        <w:rPr>
          <w:rFonts w:eastAsia="Calibri" w:cstheme="minorHAnsi"/>
          <w:b/>
          <w:bCs/>
          <w:sz w:val="23"/>
          <w:szCs w:val="23"/>
        </w:rPr>
        <w:t>Perspectives on Home-Based Learning</w:t>
      </w:r>
    </w:p>
    <w:p w14:paraId="01376E3D" w14:textId="77777777" w:rsidR="0035588D" w:rsidRPr="000F634B" w:rsidRDefault="0035588D" w:rsidP="004D51EB">
      <w:pPr>
        <w:spacing w:after="0" w:line="276" w:lineRule="auto"/>
        <w:rPr>
          <w:rFonts w:ascii="Calibri Light" w:eastAsia="Calibri" w:hAnsi="Calibri Light" w:cs="Calibri Light"/>
          <w:b/>
          <w:bCs/>
          <w:sz w:val="12"/>
          <w:szCs w:val="12"/>
        </w:rPr>
      </w:pPr>
    </w:p>
    <w:p w14:paraId="132ED32C" w14:textId="1973A089" w:rsidR="001827BC" w:rsidRPr="000F634B" w:rsidRDefault="00C41CBF" w:rsidP="004D51EB">
      <w:pPr>
        <w:spacing w:after="0" w:line="276" w:lineRule="auto"/>
        <w:rPr>
          <w:rFonts w:ascii="Calibri Light" w:eastAsia="Calibri" w:hAnsi="Calibri Light" w:cs="Calibri Light"/>
          <w:sz w:val="23"/>
          <w:szCs w:val="23"/>
        </w:rPr>
      </w:pPr>
      <w:r w:rsidRPr="000F634B">
        <w:rPr>
          <w:rFonts w:ascii="Calibri Light" w:eastAsia="Calibri" w:hAnsi="Calibri Light" w:cs="Calibri Light"/>
          <w:sz w:val="23"/>
          <w:szCs w:val="23"/>
        </w:rPr>
        <w:t>Research</w:t>
      </w:r>
      <w:r w:rsidR="00B47544" w:rsidRPr="000F634B">
        <w:rPr>
          <w:rFonts w:ascii="Calibri Light" w:eastAsia="Calibri" w:hAnsi="Calibri Light" w:cs="Calibri Light"/>
          <w:sz w:val="23"/>
          <w:szCs w:val="23"/>
        </w:rPr>
        <w:t xml:space="preserve"> examining</w:t>
      </w:r>
      <w:r w:rsidR="00F00E3D" w:rsidRPr="000F634B">
        <w:rPr>
          <w:rFonts w:ascii="Calibri Light" w:eastAsia="Calibri" w:hAnsi="Calibri Light" w:cs="Calibri Light"/>
          <w:sz w:val="23"/>
          <w:szCs w:val="23"/>
        </w:rPr>
        <w:t xml:space="preserve"> </w:t>
      </w:r>
      <w:r w:rsidR="00B47544" w:rsidRPr="000F634B">
        <w:rPr>
          <w:rFonts w:ascii="Calibri Light" w:eastAsia="Calibri" w:hAnsi="Calibri Light" w:cs="Calibri Light"/>
          <w:iCs/>
          <w:sz w:val="23"/>
          <w:szCs w:val="23"/>
        </w:rPr>
        <w:t>p</w:t>
      </w:r>
      <w:r w:rsidR="00F00E3D" w:rsidRPr="000F634B">
        <w:rPr>
          <w:rFonts w:ascii="Calibri Light" w:eastAsia="Calibri" w:hAnsi="Calibri Light" w:cs="Calibri Light"/>
          <w:iCs/>
          <w:sz w:val="23"/>
          <w:szCs w:val="23"/>
        </w:rPr>
        <w:t xml:space="preserve">arents’ perspectives on home-based </w:t>
      </w:r>
      <w:r w:rsidR="00B47544" w:rsidRPr="000F634B">
        <w:rPr>
          <w:rFonts w:ascii="Calibri Light" w:eastAsia="Calibri" w:hAnsi="Calibri Light" w:cs="Calibri Light"/>
          <w:iCs/>
          <w:sz w:val="23"/>
          <w:szCs w:val="23"/>
        </w:rPr>
        <w:t>during</w:t>
      </w:r>
      <w:r w:rsidR="00F00E3D" w:rsidRPr="000F634B">
        <w:rPr>
          <w:rFonts w:ascii="Calibri Light" w:eastAsia="Calibri" w:hAnsi="Calibri Light" w:cs="Calibri Light"/>
          <w:iCs/>
          <w:sz w:val="23"/>
          <w:szCs w:val="23"/>
        </w:rPr>
        <w:t xml:space="preserve"> </w:t>
      </w:r>
      <w:r w:rsidR="00940D80" w:rsidRPr="000F634B">
        <w:rPr>
          <w:rFonts w:ascii="Calibri Light" w:eastAsia="Calibri" w:hAnsi="Calibri Light" w:cs="Calibri Light"/>
          <w:iCs/>
          <w:sz w:val="23"/>
          <w:szCs w:val="23"/>
        </w:rPr>
        <w:t>COVID</w:t>
      </w:r>
      <w:r w:rsidR="00F00E3D" w:rsidRPr="000F634B">
        <w:rPr>
          <w:rFonts w:ascii="Calibri Light" w:eastAsia="Calibri" w:hAnsi="Calibri Light" w:cs="Calibri Light"/>
          <w:iCs/>
          <w:sz w:val="23"/>
          <w:szCs w:val="23"/>
        </w:rPr>
        <w:t>-19</w:t>
      </w:r>
      <w:r w:rsidR="00F00E3D" w:rsidRPr="000F634B">
        <w:rPr>
          <w:rFonts w:ascii="Calibri Light" w:eastAsia="Calibri" w:hAnsi="Calibri Light" w:cs="Calibri Light"/>
          <w:i/>
          <w:sz w:val="23"/>
          <w:szCs w:val="23"/>
        </w:rPr>
        <w:t xml:space="preserve"> </w:t>
      </w:r>
      <w:r w:rsidR="00F00E3D" w:rsidRPr="000F634B">
        <w:rPr>
          <w:rFonts w:ascii="Calibri Light" w:eastAsia="Calibri" w:hAnsi="Calibri Light" w:cs="Calibri Light"/>
          <w:sz w:val="23"/>
          <w:szCs w:val="23"/>
        </w:rPr>
        <w:t xml:space="preserve">found that parents have a wide range of views on how, how often, and how well schooling was carried out </w:t>
      </w:r>
      <w:r w:rsidR="00F00E3D" w:rsidRPr="000F634B">
        <w:rPr>
          <w:rFonts w:ascii="Calibri Light" w:eastAsia="Calibri" w:hAnsi="Calibri Light" w:cs="Calibri Light"/>
          <w:noProof/>
          <w:sz w:val="23"/>
          <w:szCs w:val="23"/>
        </w:rPr>
        <w:t>(Fahey &amp; Joseph, 2020)</w:t>
      </w:r>
      <w:r w:rsidR="00F00E3D" w:rsidRPr="000F634B">
        <w:rPr>
          <w:rFonts w:ascii="Calibri Light" w:eastAsia="Calibri" w:hAnsi="Calibri Light" w:cs="Calibri Light"/>
          <w:sz w:val="23"/>
          <w:szCs w:val="23"/>
        </w:rPr>
        <w:t xml:space="preserve">. </w:t>
      </w:r>
      <w:r w:rsidR="007D0E27" w:rsidRPr="000F634B">
        <w:rPr>
          <w:rFonts w:ascii="Calibri Light" w:eastAsia="Calibri" w:hAnsi="Calibri Light" w:cs="Calibri Light"/>
          <w:sz w:val="23"/>
          <w:szCs w:val="23"/>
        </w:rPr>
        <w:t>W</w:t>
      </w:r>
      <w:r w:rsidR="00F00E3D" w:rsidRPr="000F634B">
        <w:rPr>
          <w:rFonts w:ascii="Calibri Light" w:eastAsia="Calibri" w:hAnsi="Calibri Light" w:cs="Calibri Light"/>
          <w:sz w:val="23"/>
          <w:szCs w:val="23"/>
        </w:rPr>
        <w:t>hile many parents report</w:t>
      </w:r>
      <w:r w:rsidR="007D0E27" w:rsidRPr="000F634B">
        <w:rPr>
          <w:rFonts w:ascii="Calibri Light" w:eastAsia="Calibri" w:hAnsi="Calibri Light" w:cs="Calibri Light"/>
          <w:sz w:val="23"/>
          <w:szCs w:val="23"/>
        </w:rPr>
        <w:t>ed</w:t>
      </w:r>
      <w:r w:rsidR="00F00E3D" w:rsidRPr="000F634B">
        <w:rPr>
          <w:rFonts w:ascii="Calibri Light" w:eastAsia="Calibri" w:hAnsi="Calibri Light" w:cs="Calibri Light"/>
          <w:sz w:val="23"/>
          <w:szCs w:val="23"/>
        </w:rPr>
        <w:t xml:space="preserve"> that their children fell behind in their learning, most felt well</w:t>
      </w:r>
      <w:r w:rsidR="007D0E27" w:rsidRPr="000F634B">
        <w:rPr>
          <w:rFonts w:ascii="Calibri Light" w:eastAsia="Calibri" w:hAnsi="Calibri Light" w:cs="Calibri Light"/>
          <w:sz w:val="23"/>
          <w:szCs w:val="23"/>
        </w:rPr>
        <w:t>-</w:t>
      </w:r>
      <w:r w:rsidR="00F00E3D" w:rsidRPr="000F634B">
        <w:rPr>
          <w:rFonts w:ascii="Calibri Light" w:eastAsia="Calibri" w:hAnsi="Calibri Light" w:cs="Calibri Light"/>
          <w:sz w:val="23"/>
          <w:szCs w:val="23"/>
        </w:rPr>
        <w:t>supported by schools</w:t>
      </w:r>
      <w:r w:rsidR="007D0E27" w:rsidRPr="000F634B">
        <w:rPr>
          <w:rFonts w:ascii="Calibri Light" w:eastAsia="Calibri" w:hAnsi="Calibri Light" w:cs="Calibri Light"/>
          <w:sz w:val="23"/>
          <w:szCs w:val="23"/>
        </w:rPr>
        <w:t>,</w:t>
      </w:r>
      <w:r w:rsidR="00F00E3D" w:rsidRPr="000F634B">
        <w:rPr>
          <w:rFonts w:ascii="Calibri Light" w:eastAsia="Calibri" w:hAnsi="Calibri Light" w:cs="Calibri Light"/>
          <w:sz w:val="23"/>
          <w:szCs w:val="23"/>
        </w:rPr>
        <w:t xml:space="preserve"> and </w:t>
      </w:r>
      <w:r w:rsidR="007D0E27" w:rsidRPr="000F634B">
        <w:rPr>
          <w:rFonts w:ascii="Calibri Light" w:eastAsia="Calibri" w:hAnsi="Calibri Light" w:cs="Calibri Light"/>
          <w:sz w:val="23"/>
          <w:szCs w:val="23"/>
        </w:rPr>
        <w:t xml:space="preserve">the experience </w:t>
      </w:r>
      <w:r w:rsidR="00F00E3D" w:rsidRPr="000F634B">
        <w:rPr>
          <w:rFonts w:ascii="Calibri Light" w:eastAsia="Calibri" w:hAnsi="Calibri Light" w:cs="Calibri Light"/>
          <w:sz w:val="23"/>
          <w:szCs w:val="23"/>
        </w:rPr>
        <w:t xml:space="preserve">generally improved their opinions of the education system — especially the role played by teachers. However, parents in regional and rural areas </w:t>
      </w:r>
      <w:r w:rsidR="007D0E27" w:rsidRPr="000F634B">
        <w:rPr>
          <w:rFonts w:ascii="Calibri Light" w:eastAsia="Calibri" w:hAnsi="Calibri Light" w:cs="Calibri Light"/>
          <w:sz w:val="23"/>
          <w:szCs w:val="23"/>
        </w:rPr>
        <w:t>we</w:t>
      </w:r>
      <w:r w:rsidR="00F00E3D" w:rsidRPr="000F634B">
        <w:rPr>
          <w:rFonts w:ascii="Calibri Light" w:eastAsia="Calibri" w:hAnsi="Calibri Light" w:cs="Calibri Light"/>
          <w:sz w:val="23"/>
          <w:szCs w:val="23"/>
        </w:rPr>
        <w:t xml:space="preserve">re markedly less satisfied with </w:t>
      </w:r>
      <w:r w:rsidR="007D0E27" w:rsidRPr="000F634B">
        <w:rPr>
          <w:rFonts w:ascii="Calibri Light" w:eastAsia="Calibri" w:hAnsi="Calibri Light" w:cs="Calibri Light"/>
          <w:sz w:val="23"/>
          <w:szCs w:val="23"/>
        </w:rPr>
        <w:t xml:space="preserve">the </w:t>
      </w:r>
      <w:r w:rsidR="00F00E3D" w:rsidRPr="000F634B">
        <w:rPr>
          <w:rFonts w:ascii="Calibri Light" w:eastAsia="Calibri" w:hAnsi="Calibri Light" w:cs="Calibri Light"/>
          <w:sz w:val="23"/>
          <w:szCs w:val="23"/>
        </w:rPr>
        <w:t>home-based learning experience.</w:t>
      </w:r>
    </w:p>
    <w:p w14:paraId="5B68FA93" w14:textId="77777777" w:rsidR="001827BC" w:rsidRPr="000F634B" w:rsidRDefault="001827BC" w:rsidP="004D51EB">
      <w:pPr>
        <w:spacing w:after="0" w:line="276" w:lineRule="auto"/>
        <w:rPr>
          <w:rFonts w:ascii="Calibri Light" w:eastAsia="Calibri" w:hAnsi="Calibri Light" w:cs="Calibri Light"/>
          <w:sz w:val="12"/>
          <w:szCs w:val="12"/>
        </w:rPr>
      </w:pPr>
    </w:p>
    <w:p w14:paraId="79DC9DF1" w14:textId="74336FE0" w:rsidR="00F00E3D" w:rsidRPr="00DD331C" w:rsidRDefault="00F00E3D" w:rsidP="004D51EB">
      <w:pPr>
        <w:spacing w:after="0" w:line="276" w:lineRule="auto"/>
        <w:rPr>
          <w:rFonts w:ascii="Calibri Light" w:eastAsia="Calibri" w:hAnsi="Calibri Light" w:cs="Calibri Light"/>
          <w:sz w:val="23"/>
          <w:szCs w:val="23"/>
        </w:rPr>
      </w:pPr>
      <w:r w:rsidRPr="000F634B">
        <w:rPr>
          <w:rFonts w:ascii="Calibri Light" w:eastAsia="Calibri" w:hAnsi="Calibri Light" w:cs="Calibri Light"/>
          <w:sz w:val="23"/>
          <w:szCs w:val="23"/>
        </w:rPr>
        <w:t>Importantly, 66</w:t>
      </w:r>
      <w:r w:rsidR="007D0E27" w:rsidRPr="000F634B">
        <w:rPr>
          <w:rFonts w:ascii="Calibri Light" w:eastAsia="Calibri" w:hAnsi="Calibri Light" w:cs="Calibri Light"/>
          <w:sz w:val="23"/>
          <w:szCs w:val="23"/>
        </w:rPr>
        <w:t xml:space="preserve"> percent</w:t>
      </w:r>
      <w:r w:rsidRPr="000F634B">
        <w:rPr>
          <w:rFonts w:ascii="Calibri Light" w:eastAsia="Calibri" w:hAnsi="Calibri Light" w:cs="Calibri Light"/>
          <w:sz w:val="23"/>
          <w:szCs w:val="23"/>
        </w:rPr>
        <w:t xml:space="preserve"> of parents in low-income households reported reduced </w:t>
      </w:r>
      <w:r w:rsidR="007D0E27" w:rsidRPr="000F634B">
        <w:rPr>
          <w:rFonts w:ascii="Calibri Light" w:eastAsia="Calibri" w:hAnsi="Calibri Light" w:cs="Calibri Light"/>
          <w:sz w:val="23"/>
          <w:szCs w:val="23"/>
        </w:rPr>
        <w:t xml:space="preserve">work </w:t>
      </w:r>
      <w:r w:rsidRPr="000F634B">
        <w:rPr>
          <w:rFonts w:ascii="Calibri Light" w:eastAsia="Calibri" w:hAnsi="Calibri Light" w:cs="Calibri Light"/>
          <w:sz w:val="23"/>
          <w:szCs w:val="23"/>
        </w:rPr>
        <w:t xml:space="preserve">hours or </w:t>
      </w:r>
      <w:r w:rsidR="007D0E27" w:rsidRPr="000F634B">
        <w:rPr>
          <w:rFonts w:ascii="Calibri Light" w:eastAsia="Calibri" w:hAnsi="Calibri Light" w:cs="Calibri Light"/>
          <w:sz w:val="23"/>
          <w:szCs w:val="23"/>
        </w:rPr>
        <w:t xml:space="preserve">loss of </w:t>
      </w:r>
      <w:r w:rsidR="001827BC" w:rsidRPr="000F634B">
        <w:rPr>
          <w:rFonts w:ascii="Calibri Light" w:eastAsia="Calibri" w:hAnsi="Calibri Light" w:cs="Calibri Light"/>
          <w:sz w:val="23"/>
          <w:szCs w:val="23"/>
        </w:rPr>
        <w:t>employment</w:t>
      </w:r>
      <w:r w:rsidRPr="000F634B">
        <w:rPr>
          <w:rFonts w:ascii="Calibri Light" w:eastAsia="Calibri" w:hAnsi="Calibri Light" w:cs="Calibri Light"/>
          <w:sz w:val="23"/>
          <w:szCs w:val="23"/>
        </w:rPr>
        <w:t xml:space="preserve"> due to school closures. This appears partly explained by </w:t>
      </w:r>
      <w:r w:rsidR="00804CD7" w:rsidRPr="000F634B">
        <w:rPr>
          <w:rFonts w:ascii="Calibri Light" w:eastAsia="Calibri" w:hAnsi="Calibri Light" w:cs="Calibri Light"/>
          <w:sz w:val="23"/>
          <w:szCs w:val="23"/>
        </w:rPr>
        <w:t>the finding</w:t>
      </w:r>
      <w:r w:rsidRPr="000F634B">
        <w:rPr>
          <w:rFonts w:ascii="Calibri Light" w:eastAsia="Calibri" w:hAnsi="Calibri Light" w:cs="Calibri Light"/>
          <w:sz w:val="23"/>
          <w:szCs w:val="23"/>
        </w:rPr>
        <w:t xml:space="preserve"> that “lower income households disproportionately reported being those with a single working parent — meaning that school closures left little option for working parents to reduce hours or withdraw from work” </w:t>
      </w:r>
      <w:r w:rsidRPr="000F634B">
        <w:rPr>
          <w:rFonts w:ascii="Calibri Light" w:eastAsia="Calibri" w:hAnsi="Calibri Light" w:cs="Calibri Light"/>
          <w:noProof/>
          <w:sz w:val="23"/>
          <w:szCs w:val="23"/>
        </w:rPr>
        <w:t>(Fahey &amp; Joseph, 2020, p. 6)</w:t>
      </w:r>
      <w:r w:rsidRPr="000F634B">
        <w:rPr>
          <w:rFonts w:ascii="Calibri Light" w:eastAsia="Calibri" w:hAnsi="Calibri Light" w:cs="Calibri Light"/>
          <w:sz w:val="23"/>
          <w:szCs w:val="23"/>
        </w:rPr>
        <w:t xml:space="preserve">. While this suggests children </w:t>
      </w:r>
      <w:r w:rsidR="001074FD" w:rsidRPr="000F634B">
        <w:rPr>
          <w:rFonts w:ascii="Calibri Light" w:eastAsia="Calibri" w:hAnsi="Calibri Light" w:cs="Calibri Light"/>
          <w:sz w:val="23"/>
          <w:szCs w:val="23"/>
        </w:rPr>
        <w:t>of</w:t>
      </w:r>
      <w:r w:rsidRPr="000F634B">
        <w:rPr>
          <w:rFonts w:ascii="Calibri Light" w:eastAsia="Calibri" w:hAnsi="Calibri Light" w:cs="Calibri Light"/>
          <w:sz w:val="23"/>
          <w:szCs w:val="23"/>
        </w:rPr>
        <w:t xml:space="preserve"> single</w:t>
      </w:r>
      <w:r w:rsidR="00804CD7" w:rsidRPr="000F634B">
        <w:rPr>
          <w:rFonts w:ascii="Calibri Light" w:eastAsia="Calibri" w:hAnsi="Calibri Light" w:cs="Calibri Light"/>
          <w:sz w:val="23"/>
          <w:szCs w:val="23"/>
        </w:rPr>
        <w:t xml:space="preserve"> </w:t>
      </w:r>
      <w:r w:rsidRPr="000F634B">
        <w:rPr>
          <w:rFonts w:ascii="Calibri Light" w:eastAsia="Calibri" w:hAnsi="Calibri Light" w:cs="Calibri Light"/>
          <w:sz w:val="23"/>
          <w:szCs w:val="23"/>
        </w:rPr>
        <w:t xml:space="preserve">working parents may have had greater access to parental supervision, other factors linked to household income may </w:t>
      </w:r>
      <w:r w:rsidR="001074FD" w:rsidRPr="000F634B">
        <w:rPr>
          <w:rFonts w:ascii="Calibri Light" w:eastAsia="Calibri" w:hAnsi="Calibri Light" w:cs="Calibri Light"/>
          <w:sz w:val="23"/>
          <w:szCs w:val="23"/>
        </w:rPr>
        <w:t xml:space="preserve">also </w:t>
      </w:r>
      <w:r w:rsidRPr="000F634B">
        <w:rPr>
          <w:rFonts w:ascii="Calibri Light" w:eastAsia="Calibri" w:hAnsi="Calibri Light" w:cs="Calibri Light"/>
          <w:sz w:val="23"/>
          <w:szCs w:val="23"/>
        </w:rPr>
        <w:t xml:space="preserve">have impacted educational </w:t>
      </w:r>
      <w:r w:rsidRPr="000F634B">
        <w:rPr>
          <w:rFonts w:ascii="Calibri Light" w:eastAsia="Calibri" w:hAnsi="Calibri Light" w:cs="Calibri Light"/>
          <w:sz w:val="23"/>
          <w:szCs w:val="23"/>
        </w:rPr>
        <w:lastRenderedPageBreak/>
        <w:t>outcomes, such as security of housing tenure. This may e</w:t>
      </w:r>
      <w:r w:rsidR="006467B2" w:rsidRPr="000F634B">
        <w:rPr>
          <w:rFonts w:ascii="Calibri Light" w:eastAsia="Calibri" w:hAnsi="Calibri Light" w:cs="Calibri Light"/>
          <w:sz w:val="23"/>
          <w:szCs w:val="23"/>
        </w:rPr>
        <w:t>xplain</w:t>
      </w:r>
      <w:r w:rsidRPr="000F634B">
        <w:rPr>
          <w:rFonts w:ascii="Calibri Light" w:eastAsia="Calibri" w:hAnsi="Calibri Light" w:cs="Calibri Light"/>
          <w:sz w:val="23"/>
          <w:szCs w:val="23"/>
        </w:rPr>
        <w:t xml:space="preserve"> why “parents in lower income households were more likely to report their child made less progress than those in higher income households” </w:t>
      </w:r>
      <w:r w:rsidRPr="000F634B">
        <w:rPr>
          <w:rFonts w:ascii="Calibri Light" w:eastAsia="Calibri" w:hAnsi="Calibri Light" w:cs="Calibri Light"/>
          <w:noProof/>
          <w:sz w:val="23"/>
          <w:szCs w:val="23"/>
        </w:rPr>
        <w:t>(Fahey &amp; Joseph, 2020, p. 9)</w:t>
      </w:r>
      <w:r w:rsidRPr="000F634B">
        <w:rPr>
          <w:rFonts w:ascii="Calibri Light" w:eastAsia="Calibri" w:hAnsi="Calibri Light" w:cs="Calibri Light"/>
          <w:sz w:val="23"/>
          <w:szCs w:val="23"/>
        </w:rPr>
        <w:t>. Moreover, parents in lower income loca</w:t>
      </w:r>
      <w:r w:rsidR="006467B2" w:rsidRPr="000F634B">
        <w:rPr>
          <w:rFonts w:ascii="Calibri Light" w:eastAsia="Calibri" w:hAnsi="Calibri Light" w:cs="Calibri Light"/>
          <w:sz w:val="23"/>
          <w:szCs w:val="23"/>
        </w:rPr>
        <w:t>lities</w:t>
      </w:r>
      <w:r w:rsidRPr="00DD331C">
        <w:rPr>
          <w:rFonts w:ascii="Calibri Light" w:eastAsia="Calibri" w:hAnsi="Calibri Light" w:cs="Calibri Light"/>
          <w:sz w:val="23"/>
          <w:szCs w:val="23"/>
        </w:rPr>
        <w:t xml:space="preserve"> were less informed and confident </w:t>
      </w:r>
      <w:r w:rsidR="00D10E4F">
        <w:rPr>
          <w:rFonts w:ascii="Calibri Light" w:eastAsia="Calibri" w:hAnsi="Calibri Light" w:cs="Calibri Light"/>
          <w:sz w:val="23"/>
          <w:szCs w:val="23"/>
        </w:rPr>
        <w:t>around</w:t>
      </w:r>
      <w:r w:rsidRPr="00DD331C">
        <w:rPr>
          <w:rFonts w:ascii="Calibri Light" w:eastAsia="Calibri" w:hAnsi="Calibri Light" w:cs="Calibri Light"/>
          <w:sz w:val="23"/>
          <w:szCs w:val="23"/>
        </w:rPr>
        <w:t xml:space="preserve"> </w:t>
      </w:r>
      <w:r w:rsidR="00D10E4F" w:rsidRPr="00DD331C">
        <w:rPr>
          <w:rFonts w:ascii="Calibri Light" w:eastAsia="Calibri" w:hAnsi="Calibri Light" w:cs="Calibri Light"/>
          <w:sz w:val="23"/>
          <w:szCs w:val="23"/>
        </w:rPr>
        <w:t xml:space="preserve">expectations </w:t>
      </w:r>
      <w:r w:rsidR="00D10E4F">
        <w:rPr>
          <w:rFonts w:ascii="Calibri Light" w:eastAsia="Calibri" w:hAnsi="Calibri Light" w:cs="Calibri Light"/>
          <w:sz w:val="23"/>
          <w:szCs w:val="23"/>
        </w:rPr>
        <w:t xml:space="preserve">for </w:t>
      </w:r>
      <w:r w:rsidRPr="00DD331C">
        <w:rPr>
          <w:rFonts w:ascii="Calibri Light" w:eastAsia="Calibri" w:hAnsi="Calibri Light" w:cs="Calibri Light"/>
          <w:sz w:val="23"/>
          <w:szCs w:val="23"/>
        </w:rPr>
        <w:t xml:space="preserve">home-based learning. </w:t>
      </w:r>
    </w:p>
    <w:p w14:paraId="1FA423D5" w14:textId="77777777" w:rsidR="00F00E3D" w:rsidRPr="00DC194B" w:rsidRDefault="00F00E3D" w:rsidP="004D51EB">
      <w:pPr>
        <w:spacing w:after="0" w:line="276" w:lineRule="auto"/>
        <w:rPr>
          <w:rFonts w:ascii="Calibri Light" w:eastAsia="Calibri" w:hAnsi="Calibri Light" w:cs="Calibri Light"/>
          <w:b/>
          <w:bCs/>
          <w:sz w:val="12"/>
          <w:szCs w:val="12"/>
        </w:rPr>
      </w:pPr>
    </w:p>
    <w:p w14:paraId="76FF70D3" w14:textId="6AD9796F" w:rsidR="00F00E3D" w:rsidRPr="00DC194B" w:rsidRDefault="00F00E3D" w:rsidP="004D51EB">
      <w:pPr>
        <w:spacing w:after="0" w:line="276" w:lineRule="auto"/>
        <w:rPr>
          <w:rFonts w:eastAsia="Calibri" w:cstheme="minorHAnsi"/>
          <w:b/>
          <w:bCs/>
          <w:sz w:val="23"/>
          <w:szCs w:val="23"/>
        </w:rPr>
      </w:pPr>
      <w:r w:rsidRPr="00DC194B">
        <w:rPr>
          <w:rFonts w:eastAsia="Calibri" w:cstheme="minorHAnsi"/>
          <w:b/>
          <w:bCs/>
          <w:sz w:val="23"/>
          <w:szCs w:val="23"/>
        </w:rPr>
        <w:t xml:space="preserve">Digital </w:t>
      </w:r>
      <w:r w:rsidR="003F7CC7">
        <w:rPr>
          <w:rFonts w:eastAsia="Calibri" w:cstheme="minorHAnsi"/>
          <w:b/>
          <w:bCs/>
          <w:sz w:val="23"/>
          <w:szCs w:val="23"/>
        </w:rPr>
        <w:t>I</w:t>
      </w:r>
      <w:r w:rsidRPr="00DC194B">
        <w:rPr>
          <w:rFonts w:eastAsia="Calibri" w:cstheme="minorHAnsi"/>
          <w:b/>
          <w:bCs/>
          <w:sz w:val="23"/>
          <w:szCs w:val="23"/>
        </w:rPr>
        <w:t xml:space="preserve">nclusion and </w:t>
      </w:r>
      <w:r w:rsidR="003F7CC7">
        <w:rPr>
          <w:rFonts w:eastAsia="Calibri" w:cstheme="minorHAnsi"/>
          <w:b/>
          <w:bCs/>
          <w:sz w:val="23"/>
          <w:szCs w:val="23"/>
        </w:rPr>
        <w:t>O</w:t>
      </w:r>
      <w:r w:rsidRPr="00DC194B">
        <w:rPr>
          <w:rFonts w:eastAsia="Calibri" w:cstheme="minorHAnsi"/>
          <w:b/>
          <w:bCs/>
          <w:sz w:val="23"/>
          <w:szCs w:val="23"/>
        </w:rPr>
        <w:t xml:space="preserve">nline </w:t>
      </w:r>
      <w:r w:rsidR="003F7CC7">
        <w:rPr>
          <w:rFonts w:eastAsia="Calibri" w:cstheme="minorHAnsi"/>
          <w:b/>
          <w:bCs/>
          <w:sz w:val="23"/>
          <w:szCs w:val="23"/>
        </w:rPr>
        <w:t>E</w:t>
      </w:r>
      <w:r w:rsidRPr="00DC194B">
        <w:rPr>
          <w:rFonts w:eastAsia="Calibri" w:cstheme="minorHAnsi"/>
          <w:b/>
          <w:bCs/>
          <w:sz w:val="23"/>
          <w:szCs w:val="23"/>
        </w:rPr>
        <w:t>ducation</w:t>
      </w:r>
    </w:p>
    <w:p w14:paraId="5F806C80" w14:textId="77777777" w:rsidR="00DC194B" w:rsidRPr="00DC194B" w:rsidRDefault="00DC194B" w:rsidP="004D51EB">
      <w:pPr>
        <w:spacing w:after="0" w:line="276" w:lineRule="auto"/>
        <w:rPr>
          <w:rFonts w:ascii="Calibri Light" w:eastAsia="Calibri" w:hAnsi="Calibri Light" w:cs="Calibri Light"/>
          <w:sz w:val="12"/>
          <w:szCs w:val="12"/>
        </w:rPr>
      </w:pPr>
    </w:p>
    <w:p w14:paraId="409855AC" w14:textId="2BEA4EB4" w:rsidR="00F00E3D" w:rsidRPr="00DD331C" w:rsidRDefault="00C7512E" w:rsidP="004D51EB">
      <w:pPr>
        <w:spacing w:after="0" w:line="276" w:lineRule="auto"/>
        <w:rPr>
          <w:rFonts w:ascii="Calibri Light" w:eastAsia="Calibri" w:hAnsi="Calibri Light" w:cs="Calibri Light"/>
          <w:sz w:val="23"/>
          <w:szCs w:val="23"/>
        </w:rPr>
      </w:pPr>
      <w:r>
        <w:rPr>
          <w:rFonts w:ascii="Calibri Light" w:eastAsia="Calibri" w:hAnsi="Calibri Light" w:cs="Calibri Light"/>
          <w:sz w:val="23"/>
          <w:szCs w:val="23"/>
        </w:rPr>
        <w:t>A key</w:t>
      </w:r>
      <w:r w:rsidR="00F00E3D" w:rsidRPr="00DD331C">
        <w:rPr>
          <w:rFonts w:ascii="Calibri Light" w:eastAsia="Calibri" w:hAnsi="Calibri Light" w:cs="Calibri Light"/>
          <w:sz w:val="23"/>
          <w:szCs w:val="23"/>
        </w:rPr>
        <w:t xml:space="preserve"> concern expressed in recent</w:t>
      </w:r>
      <w:r w:rsidR="00DC194B">
        <w:rPr>
          <w:rFonts w:ascii="Calibri Light" w:eastAsia="Calibri" w:hAnsi="Calibri Light" w:cs="Calibri Light"/>
          <w:sz w:val="23"/>
          <w:szCs w:val="23"/>
        </w:rPr>
        <w:t xml:space="preserve"> academic</w:t>
      </w:r>
      <w:r w:rsidR="00F00E3D" w:rsidRPr="00DD331C">
        <w:rPr>
          <w:rFonts w:ascii="Calibri Light" w:eastAsia="Calibri" w:hAnsi="Calibri Light" w:cs="Calibri Light"/>
          <w:sz w:val="23"/>
          <w:szCs w:val="23"/>
        </w:rPr>
        <w:t xml:space="preserve"> literature is how the shift to online education delivery will generate disadvantages for </w:t>
      </w:r>
      <w:r w:rsidR="00263543">
        <w:rPr>
          <w:rFonts w:ascii="Calibri Light" w:eastAsia="Calibri" w:hAnsi="Calibri Light" w:cs="Calibri Light"/>
          <w:sz w:val="23"/>
          <w:szCs w:val="23"/>
        </w:rPr>
        <w:t>students who are</w:t>
      </w:r>
      <w:r w:rsidR="00F00E3D" w:rsidRPr="00DD331C">
        <w:rPr>
          <w:rFonts w:ascii="Calibri Light" w:eastAsia="Calibri" w:hAnsi="Calibri Light" w:cs="Calibri Light"/>
          <w:sz w:val="23"/>
          <w:szCs w:val="23"/>
        </w:rPr>
        <w:t xml:space="preserve"> digitally excluded </w:t>
      </w:r>
      <w:r w:rsidR="00F00E3D" w:rsidRPr="00DD331C">
        <w:rPr>
          <w:rFonts w:ascii="Calibri Light" w:eastAsia="Calibri" w:hAnsi="Calibri Light" w:cs="Calibri Light"/>
          <w:noProof/>
          <w:sz w:val="23"/>
          <w:szCs w:val="23"/>
        </w:rPr>
        <w:t>(Wilson, 2020)</w:t>
      </w:r>
      <w:r w:rsidR="003F7CC7">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 xml:space="preserve">and how this </w:t>
      </w:r>
      <w:r w:rsidR="003F7CC7">
        <w:rPr>
          <w:rFonts w:ascii="Calibri Light" w:eastAsia="Calibri" w:hAnsi="Calibri Light" w:cs="Calibri Light"/>
          <w:sz w:val="23"/>
          <w:szCs w:val="23"/>
        </w:rPr>
        <w:t xml:space="preserve">problem </w:t>
      </w:r>
      <w:r w:rsidR="00F00E3D" w:rsidRPr="00DD331C">
        <w:rPr>
          <w:rFonts w:ascii="Calibri Light" w:eastAsia="Calibri" w:hAnsi="Calibri Light" w:cs="Calibri Light"/>
          <w:sz w:val="23"/>
          <w:szCs w:val="23"/>
        </w:rPr>
        <w:t xml:space="preserve">might be addressed. Two recent Australian </w:t>
      </w:r>
      <w:r w:rsidR="00B76000">
        <w:rPr>
          <w:rFonts w:ascii="Calibri Light" w:eastAsia="Calibri" w:hAnsi="Calibri Light" w:cs="Calibri Light"/>
          <w:sz w:val="23"/>
          <w:szCs w:val="23"/>
        </w:rPr>
        <w:t>studies</w:t>
      </w:r>
      <w:r w:rsidR="00F00E3D" w:rsidRPr="00DD331C">
        <w:rPr>
          <w:rFonts w:ascii="Calibri Light" w:eastAsia="Calibri" w:hAnsi="Calibri Light" w:cs="Calibri Light"/>
          <w:sz w:val="23"/>
          <w:szCs w:val="23"/>
        </w:rPr>
        <w:t xml:space="preserve"> discuss inequalities in access and digital skills.</w:t>
      </w:r>
    </w:p>
    <w:p w14:paraId="2F1B8D9D" w14:textId="77777777" w:rsidR="00F00E3D" w:rsidRPr="003F7CC7" w:rsidRDefault="00F00E3D" w:rsidP="004D51EB">
      <w:pPr>
        <w:spacing w:after="0" w:line="276" w:lineRule="auto"/>
        <w:rPr>
          <w:rFonts w:ascii="Calibri Light" w:eastAsia="Calibri" w:hAnsi="Calibri Light" w:cs="Calibri Light"/>
          <w:sz w:val="12"/>
          <w:szCs w:val="12"/>
        </w:rPr>
      </w:pPr>
    </w:p>
    <w:p w14:paraId="4F14899D" w14:textId="13D04589" w:rsidR="00F00E3D" w:rsidRPr="00DD331C" w:rsidRDefault="00F00E3D" w:rsidP="004D51EB">
      <w:pPr>
        <w:spacing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The first, from </w:t>
      </w:r>
      <w:r w:rsidR="009F20B9">
        <w:rPr>
          <w:rFonts w:ascii="Calibri Light" w:eastAsia="Calibri" w:hAnsi="Calibri Light" w:cs="Calibri Light"/>
          <w:sz w:val="23"/>
          <w:szCs w:val="23"/>
        </w:rPr>
        <w:t>t</w:t>
      </w:r>
      <w:r w:rsidRPr="00DD331C">
        <w:rPr>
          <w:rFonts w:ascii="Calibri Light" w:eastAsia="Calibri" w:hAnsi="Calibri Light" w:cs="Calibri Light"/>
          <w:sz w:val="23"/>
          <w:szCs w:val="23"/>
        </w:rPr>
        <w:t xml:space="preserve">he Mitchell Institute for Education and Health Policy </w:t>
      </w:r>
      <w:r w:rsidRPr="00DD331C">
        <w:rPr>
          <w:rFonts w:ascii="Calibri Light" w:eastAsia="Calibri" w:hAnsi="Calibri Light" w:cs="Calibri Light"/>
          <w:noProof/>
          <w:sz w:val="23"/>
          <w:szCs w:val="23"/>
        </w:rPr>
        <w:t>(Noble, 2020)</w:t>
      </w:r>
      <w:r w:rsidRPr="00DD331C">
        <w:rPr>
          <w:rFonts w:ascii="Calibri Light" w:eastAsia="Calibri" w:hAnsi="Calibri Light" w:cs="Calibri Light"/>
          <w:sz w:val="23"/>
          <w:szCs w:val="23"/>
        </w:rPr>
        <w:t xml:space="preserve">, </w:t>
      </w:r>
      <w:r w:rsidR="00B76000">
        <w:rPr>
          <w:rFonts w:ascii="Calibri Light" w:eastAsia="Calibri" w:hAnsi="Calibri Light" w:cs="Calibri Light"/>
          <w:sz w:val="23"/>
          <w:szCs w:val="23"/>
        </w:rPr>
        <w:t>posi</w:t>
      </w:r>
      <w:r w:rsidR="00B76000" w:rsidRPr="00B76000">
        <w:rPr>
          <w:rFonts w:ascii="Calibri Light" w:eastAsia="Calibri" w:hAnsi="Calibri Light" w:cs="Calibri Light"/>
          <w:sz w:val="23"/>
          <w:szCs w:val="23"/>
        </w:rPr>
        <w:t>ts</w:t>
      </w:r>
      <w:r w:rsidRPr="00B76000">
        <w:rPr>
          <w:rFonts w:ascii="Calibri Light" w:eastAsia="Calibri" w:hAnsi="Calibri Light" w:cs="Calibri Light"/>
          <w:sz w:val="23"/>
          <w:szCs w:val="23"/>
        </w:rPr>
        <w:t xml:space="preserve"> that </w:t>
      </w:r>
      <w:r w:rsidR="00B76000">
        <w:rPr>
          <w:rFonts w:ascii="Calibri Light" w:eastAsia="Calibri" w:hAnsi="Calibri Light" w:cs="Calibri Light"/>
          <w:sz w:val="23"/>
          <w:szCs w:val="23"/>
        </w:rPr>
        <w:t>“s</w:t>
      </w:r>
      <w:r w:rsidRPr="00B76000">
        <w:rPr>
          <w:rFonts w:ascii="Calibri Light" w:eastAsia="Calibri" w:hAnsi="Calibri Light" w:cs="Calibri Light"/>
          <w:sz w:val="23"/>
          <w:szCs w:val="23"/>
        </w:rPr>
        <w:t>chool closures will increase inequality unless urgent action closes the digital divide</w:t>
      </w:r>
      <w:r w:rsidR="00B76000">
        <w:rPr>
          <w:rFonts w:ascii="Calibri Light" w:eastAsia="Calibri" w:hAnsi="Calibri Light" w:cs="Calibri Light"/>
          <w:sz w:val="23"/>
          <w:szCs w:val="23"/>
        </w:rPr>
        <w:t>”</w:t>
      </w:r>
      <w:r w:rsidRPr="00B76000">
        <w:rPr>
          <w:rFonts w:ascii="Calibri Light" w:eastAsia="Calibri" w:hAnsi="Calibri Light" w:cs="Calibri Light"/>
          <w:sz w:val="23"/>
          <w:szCs w:val="23"/>
        </w:rPr>
        <w:t>. Noble</w:t>
      </w:r>
      <w:r w:rsidRPr="00DD331C">
        <w:rPr>
          <w:rFonts w:ascii="Calibri Light" w:eastAsia="Calibri" w:hAnsi="Calibri Light" w:cs="Calibri Light"/>
          <w:sz w:val="23"/>
          <w:szCs w:val="23"/>
        </w:rPr>
        <w:t xml:space="preserve"> </w:t>
      </w:r>
      <w:r w:rsidR="00CF6D5D">
        <w:rPr>
          <w:rFonts w:ascii="Calibri Light" w:eastAsia="Calibri" w:hAnsi="Calibri Light" w:cs="Calibri Light"/>
          <w:sz w:val="23"/>
          <w:szCs w:val="23"/>
        </w:rPr>
        <w:t>uses</w:t>
      </w:r>
      <w:r w:rsidRPr="00DD331C">
        <w:rPr>
          <w:rFonts w:ascii="Calibri Light" w:eastAsia="Calibri" w:hAnsi="Calibri Light" w:cs="Calibri Light"/>
          <w:sz w:val="23"/>
          <w:szCs w:val="23"/>
        </w:rPr>
        <w:t xml:space="preserve"> data from the</w:t>
      </w:r>
      <w:r w:rsidRPr="00DD331C">
        <w:rPr>
          <w:rFonts w:ascii="Calibri Light" w:eastAsia="Calibri" w:hAnsi="Calibri Light" w:cs="Calibri Light"/>
          <w:i/>
          <w:sz w:val="23"/>
          <w:szCs w:val="23"/>
        </w:rPr>
        <w:t xml:space="preserve"> </w:t>
      </w:r>
      <w:r w:rsidRPr="00DD331C">
        <w:rPr>
          <w:rFonts w:ascii="Calibri Light" w:eastAsia="Calibri" w:hAnsi="Calibri Light" w:cs="Calibri Light"/>
          <w:sz w:val="23"/>
          <w:szCs w:val="23"/>
        </w:rPr>
        <w:t xml:space="preserve">Australian Bureau of Statistics Household Use of Information Technology (HUIT) Survey to evidence </w:t>
      </w:r>
      <w:r w:rsidR="00DB2A65">
        <w:rPr>
          <w:rFonts w:ascii="Calibri Light" w:eastAsia="Calibri" w:hAnsi="Calibri Light" w:cs="Calibri Light"/>
          <w:sz w:val="23"/>
          <w:szCs w:val="23"/>
        </w:rPr>
        <w:t xml:space="preserve">the link between </w:t>
      </w:r>
      <w:r w:rsidR="00DB2A65" w:rsidRPr="00DD331C">
        <w:rPr>
          <w:rFonts w:ascii="Calibri Light" w:eastAsia="Calibri" w:hAnsi="Calibri Light" w:cs="Calibri Light"/>
          <w:sz w:val="23"/>
          <w:szCs w:val="23"/>
        </w:rPr>
        <w:t xml:space="preserve">household income </w:t>
      </w:r>
      <w:r w:rsidR="00DB2A65">
        <w:rPr>
          <w:rFonts w:ascii="Calibri Light" w:eastAsia="Calibri" w:hAnsi="Calibri Light" w:cs="Calibri Light"/>
          <w:sz w:val="23"/>
          <w:szCs w:val="23"/>
        </w:rPr>
        <w:t xml:space="preserve">and </w:t>
      </w:r>
      <w:r w:rsidRPr="00DD331C">
        <w:rPr>
          <w:rFonts w:ascii="Calibri Light" w:eastAsia="Calibri" w:hAnsi="Calibri Light" w:cs="Calibri Light"/>
          <w:sz w:val="23"/>
          <w:szCs w:val="23"/>
        </w:rPr>
        <w:t xml:space="preserve">significant disparities in home internet access, with those in the lowest income quintile much less likely to have access. As Wilson reports, </w:t>
      </w:r>
      <w:r w:rsidR="00005239">
        <w:rPr>
          <w:rFonts w:ascii="Calibri Light" w:eastAsia="Calibri" w:hAnsi="Calibri Light" w:cs="Calibri Light"/>
          <w:sz w:val="23"/>
          <w:szCs w:val="23"/>
        </w:rPr>
        <w:t>this</w:t>
      </w:r>
      <w:r w:rsidRPr="00DD331C">
        <w:rPr>
          <w:rFonts w:ascii="Calibri Light" w:eastAsia="Calibri" w:hAnsi="Calibri Light" w:cs="Calibri Light"/>
          <w:sz w:val="23"/>
          <w:szCs w:val="23"/>
        </w:rPr>
        <w:t xml:space="preserve"> suggests that a shift to online schooling will see digital inequality compound </w:t>
      </w:r>
      <w:r w:rsidR="00B7698E">
        <w:rPr>
          <w:rFonts w:ascii="Calibri Light" w:eastAsia="Calibri" w:hAnsi="Calibri Light" w:cs="Calibri Light"/>
          <w:sz w:val="23"/>
          <w:szCs w:val="23"/>
        </w:rPr>
        <w:t xml:space="preserve">the </w:t>
      </w:r>
      <w:r w:rsidRPr="00DD331C">
        <w:rPr>
          <w:rFonts w:ascii="Calibri Light" w:eastAsia="Calibri" w:hAnsi="Calibri Light" w:cs="Calibri Light"/>
          <w:sz w:val="23"/>
          <w:szCs w:val="23"/>
        </w:rPr>
        <w:t>existing educational disadvantages faced by students in low-income households</w:t>
      </w:r>
      <w:r w:rsidR="00F8104B">
        <w:rPr>
          <w:rFonts w:ascii="Calibri Light" w:eastAsia="Calibri" w:hAnsi="Calibri Light" w:cs="Calibri Light"/>
          <w:sz w:val="23"/>
          <w:szCs w:val="23"/>
        </w:rPr>
        <w:t>. Furthermore, if</w:t>
      </w:r>
      <w:r w:rsidRPr="00DD331C">
        <w:rPr>
          <w:rFonts w:ascii="Calibri Light" w:eastAsia="Calibri" w:hAnsi="Calibri Light" w:cs="Calibri Light"/>
          <w:sz w:val="23"/>
          <w:szCs w:val="23"/>
        </w:rPr>
        <w:t xml:space="preserve"> digital exclusion disrupts the education of these students, they are less likely to return to a successful educational pathway </w:t>
      </w:r>
      <w:r w:rsidRPr="00DD331C">
        <w:rPr>
          <w:rFonts w:ascii="Calibri Light" w:eastAsia="Calibri" w:hAnsi="Calibri Light" w:cs="Calibri Light"/>
          <w:noProof/>
          <w:sz w:val="23"/>
          <w:szCs w:val="23"/>
        </w:rPr>
        <w:t>(Wilson, 2020)</w:t>
      </w:r>
      <w:r w:rsidRPr="00DD331C">
        <w:rPr>
          <w:rFonts w:ascii="Calibri Light" w:eastAsia="Calibri" w:hAnsi="Calibri Light" w:cs="Calibri Light"/>
          <w:sz w:val="23"/>
          <w:szCs w:val="23"/>
        </w:rPr>
        <w:t xml:space="preserve">. Negative effects may be further </w:t>
      </w:r>
      <w:r w:rsidR="00FA26B0">
        <w:rPr>
          <w:rFonts w:ascii="Calibri Light" w:eastAsia="Calibri" w:hAnsi="Calibri Light" w:cs="Calibri Light"/>
          <w:sz w:val="23"/>
          <w:szCs w:val="23"/>
        </w:rPr>
        <w:t>compounded</w:t>
      </w:r>
      <w:r w:rsidRPr="00DD331C">
        <w:rPr>
          <w:rFonts w:ascii="Calibri Light" w:eastAsia="Calibri" w:hAnsi="Calibri Light" w:cs="Calibri Light"/>
          <w:sz w:val="23"/>
          <w:szCs w:val="23"/>
        </w:rPr>
        <w:t xml:space="preserve"> by </w:t>
      </w:r>
      <w:r w:rsidRPr="00204AFC">
        <w:rPr>
          <w:rFonts w:ascii="Calibri Light" w:eastAsia="Calibri" w:hAnsi="Calibri Light" w:cs="Calibri Light"/>
          <w:sz w:val="23"/>
          <w:szCs w:val="23"/>
        </w:rPr>
        <w:t>low digital reading literacy skills amongst</w:t>
      </w:r>
      <w:r w:rsidRPr="00DD331C">
        <w:rPr>
          <w:rFonts w:ascii="Calibri Light" w:eastAsia="Calibri" w:hAnsi="Calibri Light" w:cs="Calibri Light"/>
          <w:sz w:val="23"/>
          <w:szCs w:val="23"/>
        </w:rPr>
        <w:t xml:space="preserve"> students from low socioeconomic backgrounds. Noble concludes by calling for “a more comprehensive policy response that might include the subsidised provision of equipment and home internet to students or education providers” (</w:t>
      </w:r>
      <w:r w:rsidR="00D27E3C">
        <w:rPr>
          <w:rFonts w:ascii="Calibri Light" w:eastAsia="Calibri" w:hAnsi="Calibri Light" w:cs="Calibri Light"/>
          <w:sz w:val="23"/>
          <w:szCs w:val="23"/>
        </w:rPr>
        <w:t>reported</w:t>
      </w:r>
      <w:r w:rsidR="00024A1E">
        <w:rPr>
          <w:rFonts w:ascii="Calibri Light" w:eastAsia="Calibri" w:hAnsi="Calibri Light" w:cs="Calibri Light"/>
          <w:sz w:val="23"/>
          <w:szCs w:val="23"/>
        </w:rPr>
        <w:t xml:space="preserve"> </w:t>
      </w:r>
      <w:r w:rsidR="00D27E3C">
        <w:rPr>
          <w:rFonts w:ascii="Calibri Light" w:eastAsia="Calibri" w:hAnsi="Calibri Light" w:cs="Calibri Light"/>
          <w:sz w:val="23"/>
          <w:szCs w:val="23"/>
        </w:rPr>
        <w:t xml:space="preserve">in </w:t>
      </w:r>
      <w:r w:rsidRPr="00DD331C">
        <w:rPr>
          <w:rFonts w:ascii="Calibri Light" w:eastAsia="Calibri" w:hAnsi="Calibri Light" w:cs="Calibri Light"/>
          <w:noProof/>
          <w:sz w:val="23"/>
          <w:szCs w:val="23"/>
        </w:rPr>
        <w:t>Wilson, 2020, p. 2)</w:t>
      </w:r>
      <w:r w:rsidRPr="00DD331C">
        <w:rPr>
          <w:rFonts w:ascii="Calibri Light" w:eastAsia="Calibri" w:hAnsi="Calibri Light" w:cs="Calibri Light"/>
          <w:sz w:val="23"/>
          <w:szCs w:val="23"/>
        </w:rPr>
        <w:t>.</w:t>
      </w:r>
    </w:p>
    <w:p w14:paraId="61F0341C" w14:textId="77777777" w:rsidR="00F00E3D" w:rsidRPr="00024A1E" w:rsidRDefault="00F00E3D" w:rsidP="004D51EB">
      <w:pPr>
        <w:spacing w:after="0" w:line="276" w:lineRule="auto"/>
        <w:rPr>
          <w:rFonts w:ascii="Calibri Light" w:eastAsia="Calibri" w:hAnsi="Calibri Light" w:cs="Calibri Light"/>
          <w:sz w:val="12"/>
          <w:szCs w:val="12"/>
        </w:rPr>
      </w:pPr>
    </w:p>
    <w:p w14:paraId="7C035436" w14:textId="77777777" w:rsidR="00EF7E59" w:rsidRDefault="00C7512E" w:rsidP="004D51EB">
      <w:pPr>
        <w:spacing w:after="0" w:line="276" w:lineRule="auto"/>
        <w:rPr>
          <w:rFonts w:ascii="Calibri Light" w:eastAsia="Calibri" w:hAnsi="Calibri Light" w:cs="Calibri Light"/>
          <w:sz w:val="23"/>
          <w:szCs w:val="23"/>
        </w:rPr>
      </w:pPr>
      <w:r>
        <w:rPr>
          <w:rFonts w:ascii="Calibri Light" w:eastAsia="Calibri" w:hAnsi="Calibri Light" w:cs="Calibri Light"/>
          <w:sz w:val="23"/>
          <w:szCs w:val="23"/>
        </w:rPr>
        <w:t>In a</w:t>
      </w:r>
      <w:r w:rsidR="00F00E3D" w:rsidRPr="00DD331C">
        <w:rPr>
          <w:rFonts w:ascii="Calibri Light" w:eastAsia="Calibri" w:hAnsi="Calibri Light" w:cs="Calibri Light"/>
          <w:sz w:val="23"/>
          <w:szCs w:val="23"/>
        </w:rPr>
        <w:t xml:space="preserve"> second</w:t>
      </w:r>
      <w:r w:rsidR="005F6F93">
        <w:rPr>
          <w:rFonts w:ascii="Calibri Light" w:eastAsia="Calibri" w:hAnsi="Calibri Light" w:cs="Calibri Light"/>
          <w:sz w:val="23"/>
          <w:szCs w:val="23"/>
        </w:rPr>
        <w:t xml:space="preserve"> study</w:t>
      </w:r>
      <w:r w:rsidR="00F00E3D" w:rsidRPr="00DD331C">
        <w:rPr>
          <w:rFonts w:ascii="Calibri Light" w:eastAsia="Calibri" w:hAnsi="Calibri Light" w:cs="Calibri Light"/>
          <w:sz w:val="23"/>
          <w:szCs w:val="23"/>
        </w:rPr>
        <w:t xml:space="preserve">, </w:t>
      </w:r>
      <w:r>
        <w:rPr>
          <w:rFonts w:ascii="Calibri Light" w:eastAsia="Calibri" w:hAnsi="Calibri Light" w:cs="Calibri Light"/>
          <w:sz w:val="23"/>
          <w:szCs w:val="23"/>
        </w:rPr>
        <w:t>by</w:t>
      </w:r>
      <w:r w:rsidR="00F00E3D" w:rsidRPr="00DD331C">
        <w:rPr>
          <w:rFonts w:ascii="Calibri Light" w:eastAsia="Calibri" w:hAnsi="Calibri Light" w:cs="Calibri Light"/>
          <w:sz w:val="23"/>
          <w:szCs w:val="23"/>
        </w:rPr>
        <w:t xml:space="preserve"> </w:t>
      </w:r>
      <w:r w:rsidR="005F6F93">
        <w:rPr>
          <w:rFonts w:ascii="Calibri Light" w:eastAsia="Calibri" w:hAnsi="Calibri Light" w:cs="Calibri Light"/>
          <w:sz w:val="23"/>
          <w:szCs w:val="23"/>
        </w:rPr>
        <w:t>t</w:t>
      </w:r>
      <w:r w:rsidR="00F00E3D" w:rsidRPr="00DD331C">
        <w:rPr>
          <w:rFonts w:ascii="Calibri Light" w:eastAsia="Calibri" w:hAnsi="Calibri Light" w:cs="Calibri Light"/>
          <w:sz w:val="23"/>
          <w:szCs w:val="23"/>
        </w:rPr>
        <w:t xml:space="preserve">he Australian Council for Educational Research (ACER), </w:t>
      </w:r>
      <w:proofErr w:type="spellStart"/>
      <w:r w:rsidR="00F00E3D" w:rsidRPr="00DD331C">
        <w:rPr>
          <w:rFonts w:ascii="Calibri Light" w:eastAsia="Calibri" w:hAnsi="Calibri Light" w:cs="Calibri Light"/>
          <w:sz w:val="23"/>
          <w:szCs w:val="23"/>
        </w:rPr>
        <w:t>Fraillon</w:t>
      </w:r>
      <w:proofErr w:type="spellEnd"/>
      <w:r w:rsidR="00F00E3D" w:rsidRPr="00DD331C">
        <w:rPr>
          <w:rFonts w:ascii="Calibri Light" w:eastAsia="Calibri" w:hAnsi="Calibri Light" w:cs="Calibri Light"/>
          <w:sz w:val="23"/>
          <w:szCs w:val="23"/>
        </w:rPr>
        <w:t xml:space="preserve"> reports on working from home and digital literacy </w:t>
      </w:r>
      <w:r w:rsidR="00F00E3D" w:rsidRPr="00DD331C">
        <w:rPr>
          <w:rFonts w:ascii="Calibri Light" w:eastAsia="Calibri" w:hAnsi="Calibri Light" w:cs="Calibri Light"/>
          <w:noProof/>
          <w:sz w:val="23"/>
          <w:szCs w:val="23"/>
        </w:rPr>
        <w:t>(Fraillon, 2020)</w:t>
      </w:r>
      <w:r w:rsidR="00F00E3D" w:rsidRPr="00DD331C">
        <w:rPr>
          <w:rFonts w:ascii="Calibri Light" w:eastAsia="Calibri" w:hAnsi="Calibri Light" w:cs="Calibri Light"/>
          <w:sz w:val="23"/>
          <w:szCs w:val="23"/>
        </w:rPr>
        <w:t xml:space="preserve">. </w:t>
      </w:r>
      <w:r w:rsidR="00E41A8E">
        <w:rPr>
          <w:rFonts w:ascii="Calibri Light" w:eastAsia="Calibri" w:hAnsi="Calibri Light" w:cs="Calibri Light"/>
          <w:sz w:val="23"/>
          <w:szCs w:val="23"/>
        </w:rPr>
        <w:t>He</w:t>
      </w:r>
      <w:r w:rsidR="00F00E3D" w:rsidRPr="00DD331C">
        <w:rPr>
          <w:rFonts w:ascii="Calibri Light" w:eastAsia="Calibri" w:hAnsi="Calibri Light" w:cs="Calibri Light"/>
          <w:sz w:val="23"/>
          <w:szCs w:val="23"/>
        </w:rPr>
        <w:t xml:space="preserve"> </w:t>
      </w:r>
      <w:r w:rsidR="00B47249">
        <w:rPr>
          <w:rFonts w:ascii="Calibri Light" w:eastAsia="Calibri" w:hAnsi="Calibri Light" w:cs="Calibri Light"/>
          <w:sz w:val="23"/>
          <w:szCs w:val="23"/>
        </w:rPr>
        <w:t>questions</w:t>
      </w:r>
      <w:r w:rsidR="00B74F79">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“whether Australian school students are sufficiently digitally literate and confident to effectively transition to online learning and whether teachers have demonstrated the capacity to innovatively use digital technologies in their teaching and learning practice to facilitate this transition” (</w:t>
      </w:r>
      <w:r w:rsidR="00D27E3C">
        <w:rPr>
          <w:rFonts w:ascii="Calibri Light" w:eastAsia="Calibri" w:hAnsi="Calibri Light" w:cs="Calibri Light"/>
          <w:sz w:val="23"/>
          <w:szCs w:val="23"/>
        </w:rPr>
        <w:t>reported in</w:t>
      </w:r>
      <w:r w:rsidR="00B74F79">
        <w:rPr>
          <w:rFonts w:ascii="Calibri Light" w:eastAsia="Calibri" w:hAnsi="Calibri Light" w:cs="Calibri Light"/>
          <w:sz w:val="23"/>
          <w:szCs w:val="23"/>
        </w:rPr>
        <w:t xml:space="preserve"> </w:t>
      </w:r>
      <w:r w:rsidR="00F00E3D" w:rsidRPr="00DD331C">
        <w:rPr>
          <w:rFonts w:ascii="Calibri Light" w:eastAsia="Calibri" w:hAnsi="Calibri Light" w:cs="Calibri Light"/>
          <w:noProof/>
          <w:sz w:val="23"/>
          <w:szCs w:val="23"/>
        </w:rPr>
        <w:t>Wilson, 2020, p. 3</w:t>
      </w:r>
      <w:r w:rsidR="00F00E3D" w:rsidRPr="00DD331C">
        <w:rPr>
          <w:rFonts w:ascii="Calibri Light" w:eastAsia="Calibri" w:hAnsi="Calibri Light" w:cs="Calibri Light"/>
          <w:sz w:val="23"/>
          <w:szCs w:val="23"/>
        </w:rPr>
        <w:t xml:space="preserve">). </w:t>
      </w:r>
      <w:proofErr w:type="spellStart"/>
      <w:r w:rsidR="00F00E3D" w:rsidRPr="00DD331C">
        <w:rPr>
          <w:rFonts w:ascii="Calibri Light" w:eastAsia="Calibri" w:hAnsi="Calibri Light" w:cs="Calibri Light"/>
          <w:sz w:val="23"/>
          <w:szCs w:val="23"/>
        </w:rPr>
        <w:t>Fraillon</w:t>
      </w:r>
      <w:proofErr w:type="spellEnd"/>
      <w:r w:rsidR="00F00E3D" w:rsidRPr="00DD331C">
        <w:rPr>
          <w:rFonts w:ascii="Calibri Light" w:eastAsia="Calibri" w:hAnsi="Calibri Light" w:cs="Calibri Light"/>
          <w:sz w:val="23"/>
          <w:szCs w:val="23"/>
        </w:rPr>
        <w:t xml:space="preserve"> concludes that “[</w:t>
      </w:r>
      <w:r w:rsidR="00B47249">
        <w:rPr>
          <w:rFonts w:ascii="Calibri Light" w:eastAsia="Calibri" w:hAnsi="Calibri Light" w:cs="Calibri Light"/>
          <w:sz w:val="23"/>
          <w:szCs w:val="23"/>
        </w:rPr>
        <w:t>I</w:t>
      </w:r>
      <w:r w:rsidR="00F00E3D" w:rsidRPr="00DD331C">
        <w:rPr>
          <w:rFonts w:ascii="Calibri Light" w:eastAsia="Calibri" w:hAnsi="Calibri Light" w:cs="Calibri Light"/>
          <w:sz w:val="23"/>
          <w:szCs w:val="23"/>
        </w:rPr>
        <w:t>n</w:t>
      </w:r>
      <w:r w:rsidR="00B47249">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the context of remote learning, the impact of deficiencies of these skills will be magnified as they may inhibit students’ capacity to engage effectively with remote learning, as well as being necessary areas of learning themselves”</w:t>
      </w:r>
      <w:r w:rsidR="00B47249">
        <w:rPr>
          <w:rFonts w:ascii="Calibri Light" w:eastAsia="Calibri" w:hAnsi="Calibri Light" w:cs="Calibri Light"/>
          <w:sz w:val="23"/>
          <w:szCs w:val="23"/>
        </w:rPr>
        <w:t xml:space="preserve"> </w:t>
      </w:r>
      <w:r w:rsidR="00F00E3D" w:rsidRPr="00DD331C">
        <w:rPr>
          <w:rFonts w:ascii="Calibri Light" w:eastAsia="Calibri" w:hAnsi="Calibri Light" w:cs="Calibri Light"/>
          <w:noProof/>
          <w:sz w:val="23"/>
          <w:szCs w:val="23"/>
        </w:rPr>
        <w:t>(Fraillon, 2020)</w:t>
      </w:r>
      <w:r w:rsidR="00F00E3D" w:rsidRPr="00DD331C">
        <w:rPr>
          <w:rFonts w:ascii="Calibri Light" w:eastAsia="Calibri" w:hAnsi="Calibri Light" w:cs="Calibri Light"/>
          <w:sz w:val="23"/>
          <w:szCs w:val="23"/>
        </w:rPr>
        <w:t>.</w:t>
      </w:r>
    </w:p>
    <w:p w14:paraId="0FB8DD74" w14:textId="77777777" w:rsidR="00EF7E59" w:rsidRPr="00EF7E59" w:rsidRDefault="00EF7E59" w:rsidP="004D51EB">
      <w:pPr>
        <w:spacing w:after="0" w:line="276" w:lineRule="auto"/>
        <w:rPr>
          <w:rFonts w:ascii="Calibri Light" w:eastAsia="Calibri" w:hAnsi="Calibri Light" w:cs="Calibri Light"/>
          <w:sz w:val="12"/>
          <w:szCs w:val="12"/>
        </w:rPr>
      </w:pPr>
    </w:p>
    <w:p w14:paraId="570BFB79" w14:textId="26C286C4" w:rsidR="00F00E3D" w:rsidRPr="00DD331C" w:rsidRDefault="00B47249" w:rsidP="004D51EB">
      <w:pPr>
        <w:spacing w:after="0" w:line="276" w:lineRule="auto"/>
        <w:rPr>
          <w:rFonts w:ascii="Calibri Light" w:eastAsia="Calibri" w:hAnsi="Calibri Light" w:cs="Calibri Light"/>
          <w:sz w:val="23"/>
          <w:szCs w:val="23"/>
        </w:rPr>
      </w:pPr>
      <w:r>
        <w:rPr>
          <w:rFonts w:ascii="Calibri Light" w:eastAsia="Calibri" w:hAnsi="Calibri Light" w:cs="Calibri Light"/>
          <w:sz w:val="23"/>
          <w:szCs w:val="23"/>
        </w:rPr>
        <w:t xml:space="preserve">Data from the </w:t>
      </w:r>
      <w:r w:rsidR="00F00E3D" w:rsidRPr="00DD331C">
        <w:rPr>
          <w:rFonts w:ascii="Calibri Light" w:eastAsia="Calibri" w:hAnsi="Calibri Light" w:cs="Calibri Light"/>
          <w:sz w:val="23"/>
          <w:szCs w:val="23"/>
        </w:rPr>
        <w:t>National Assessment Program – Information and Communication Technology Literacy (NAP-ICT) reveal</w:t>
      </w:r>
      <w:r w:rsidR="000D4DE8">
        <w:rPr>
          <w:rFonts w:ascii="Calibri Light" w:eastAsia="Calibri" w:hAnsi="Calibri Light" w:cs="Calibri Light"/>
          <w:sz w:val="23"/>
          <w:szCs w:val="23"/>
        </w:rPr>
        <w:t>s</w:t>
      </w:r>
      <w:r w:rsidR="00F00E3D" w:rsidRPr="00DD331C">
        <w:rPr>
          <w:rFonts w:ascii="Calibri Light" w:eastAsia="Calibri" w:hAnsi="Calibri Light" w:cs="Calibri Light"/>
          <w:sz w:val="23"/>
          <w:szCs w:val="23"/>
        </w:rPr>
        <w:t xml:space="preserve"> significant disparities in digital skill</w:t>
      </w:r>
      <w:r w:rsidR="00E16A95">
        <w:rPr>
          <w:rFonts w:ascii="Calibri Light" w:eastAsia="Calibri" w:hAnsi="Calibri Light" w:cs="Calibri Light"/>
          <w:sz w:val="23"/>
          <w:szCs w:val="23"/>
        </w:rPr>
        <w:t>s</w:t>
      </w:r>
      <w:r w:rsidR="00F00E3D" w:rsidRPr="00DD331C">
        <w:rPr>
          <w:rFonts w:ascii="Calibri Light" w:eastAsia="Calibri" w:hAnsi="Calibri Light" w:cs="Calibri Light"/>
          <w:sz w:val="23"/>
          <w:szCs w:val="23"/>
        </w:rPr>
        <w:t xml:space="preserve"> and literacy proficiency based on socioeconomic status and geographic location</w:t>
      </w:r>
      <w:r w:rsidR="00817BDF">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Indigenous students, </w:t>
      </w:r>
      <w:r w:rsidR="00817BDF">
        <w:rPr>
          <w:rFonts w:ascii="Calibri Light" w:eastAsia="Calibri" w:hAnsi="Calibri Light" w:cs="Calibri Light"/>
          <w:sz w:val="23"/>
          <w:szCs w:val="23"/>
        </w:rPr>
        <w:t>pupils</w:t>
      </w:r>
      <w:r w:rsidR="00F00E3D" w:rsidRPr="00DD331C">
        <w:rPr>
          <w:rFonts w:ascii="Calibri Light" w:eastAsia="Calibri" w:hAnsi="Calibri Light" w:cs="Calibri Light"/>
          <w:sz w:val="23"/>
          <w:szCs w:val="23"/>
        </w:rPr>
        <w:t xml:space="preserve"> w</w:t>
      </w:r>
      <w:r w:rsidR="00817BDF">
        <w:rPr>
          <w:rFonts w:ascii="Calibri Light" w:eastAsia="Calibri" w:hAnsi="Calibri Light" w:cs="Calibri Light"/>
          <w:sz w:val="23"/>
          <w:szCs w:val="23"/>
        </w:rPr>
        <w:t>hose</w:t>
      </w:r>
      <w:r w:rsidR="00F00E3D" w:rsidRPr="00DD331C">
        <w:rPr>
          <w:rFonts w:ascii="Calibri Light" w:eastAsia="Calibri" w:hAnsi="Calibri Light" w:cs="Calibri Light"/>
          <w:sz w:val="23"/>
          <w:szCs w:val="23"/>
        </w:rPr>
        <w:t xml:space="preserve"> parents </w:t>
      </w:r>
      <w:r w:rsidR="00817BDF">
        <w:rPr>
          <w:rFonts w:ascii="Calibri Light" w:eastAsia="Calibri" w:hAnsi="Calibri Light" w:cs="Calibri Light"/>
          <w:sz w:val="23"/>
          <w:szCs w:val="23"/>
        </w:rPr>
        <w:t>have low</w:t>
      </w:r>
      <w:r w:rsidR="00F00E3D" w:rsidRPr="00DD331C">
        <w:rPr>
          <w:rFonts w:ascii="Calibri Light" w:eastAsia="Calibri" w:hAnsi="Calibri Light" w:cs="Calibri Light"/>
          <w:sz w:val="23"/>
          <w:szCs w:val="23"/>
        </w:rPr>
        <w:t xml:space="preserve"> education </w:t>
      </w:r>
      <w:r w:rsidR="00817BDF">
        <w:rPr>
          <w:rFonts w:ascii="Calibri Light" w:eastAsia="Calibri" w:hAnsi="Calibri Light" w:cs="Calibri Light"/>
          <w:sz w:val="23"/>
          <w:szCs w:val="23"/>
        </w:rPr>
        <w:t>levels</w:t>
      </w:r>
      <w:r w:rsidR="00F00E3D" w:rsidRPr="00DD331C">
        <w:rPr>
          <w:rFonts w:ascii="Calibri Light" w:eastAsia="Calibri" w:hAnsi="Calibri Light" w:cs="Calibri Light"/>
          <w:sz w:val="23"/>
          <w:szCs w:val="23"/>
        </w:rPr>
        <w:t>,</w:t>
      </w:r>
      <w:r w:rsidR="00817BDF">
        <w:rPr>
          <w:rFonts w:ascii="Calibri Light" w:eastAsia="Calibri" w:hAnsi="Calibri Light" w:cs="Calibri Light"/>
          <w:sz w:val="23"/>
          <w:szCs w:val="23"/>
        </w:rPr>
        <w:t xml:space="preserve"> are</w:t>
      </w:r>
      <w:r w:rsidR="00F00E3D" w:rsidRPr="00DD331C">
        <w:rPr>
          <w:rFonts w:ascii="Calibri Light" w:eastAsia="Calibri" w:hAnsi="Calibri Light" w:cs="Calibri Light"/>
          <w:sz w:val="23"/>
          <w:szCs w:val="23"/>
        </w:rPr>
        <w:t xml:space="preserve"> </w:t>
      </w:r>
      <w:r w:rsidR="00817BDF">
        <w:rPr>
          <w:rFonts w:ascii="Calibri Light" w:eastAsia="Calibri" w:hAnsi="Calibri Light" w:cs="Calibri Light"/>
          <w:sz w:val="23"/>
          <w:szCs w:val="23"/>
        </w:rPr>
        <w:t>not employed or</w:t>
      </w:r>
      <w:r w:rsidR="00F00E3D" w:rsidRPr="00DD331C">
        <w:rPr>
          <w:rFonts w:ascii="Calibri Light" w:eastAsia="Calibri" w:hAnsi="Calibri Light" w:cs="Calibri Light"/>
          <w:sz w:val="23"/>
          <w:szCs w:val="23"/>
        </w:rPr>
        <w:t xml:space="preserve"> </w:t>
      </w:r>
      <w:r w:rsidR="00817BDF">
        <w:rPr>
          <w:rFonts w:ascii="Calibri Light" w:eastAsia="Calibri" w:hAnsi="Calibri Light" w:cs="Calibri Light"/>
          <w:sz w:val="23"/>
          <w:szCs w:val="23"/>
        </w:rPr>
        <w:t>work</w:t>
      </w:r>
      <w:r w:rsidR="00F00E3D" w:rsidRPr="00DD331C">
        <w:rPr>
          <w:rFonts w:ascii="Calibri Light" w:eastAsia="Calibri" w:hAnsi="Calibri Light" w:cs="Calibri Light"/>
          <w:sz w:val="23"/>
          <w:szCs w:val="23"/>
        </w:rPr>
        <w:t xml:space="preserve"> in low</w:t>
      </w:r>
      <w:r w:rsidR="00817BDF">
        <w:rPr>
          <w:rFonts w:ascii="Calibri Light" w:eastAsia="Calibri" w:hAnsi="Calibri Light" w:cs="Calibri Light"/>
          <w:sz w:val="23"/>
          <w:szCs w:val="23"/>
        </w:rPr>
        <w:t>-</w:t>
      </w:r>
      <w:r w:rsidR="00F00E3D" w:rsidRPr="00DD331C">
        <w:rPr>
          <w:rFonts w:ascii="Calibri Light" w:eastAsia="Calibri" w:hAnsi="Calibri Light" w:cs="Calibri Light"/>
          <w:sz w:val="23"/>
          <w:szCs w:val="23"/>
        </w:rPr>
        <w:t>skill occupations</w:t>
      </w:r>
      <w:r w:rsidR="00817BDF">
        <w:rPr>
          <w:rFonts w:ascii="Calibri Light" w:eastAsia="Calibri" w:hAnsi="Calibri Light" w:cs="Calibri Light"/>
          <w:sz w:val="23"/>
          <w:szCs w:val="23"/>
        </w:rPr>
        <w:t>, and</w:t>
      </w:r>
      <w:r w:rsidR="00F00E3D" w:rsidRPr="00DD331C">
        <w:rPr>
          <w:rFonts w:ascii="Calibri Light" w:eastAsia="Calibri" w:hAnsi="Calibri Light" w:cs="Calibri Light"/>
          <w:sz w:val="23"/>
          <w:szCs w:val="23"/>
        </w:rPr>
        <w:t xml:space="preserve"> students from regional and remote areas </w:t>
      </w:r>
      <w:r w:rsidR="00817BDF">
        <w:rPr>
          <w:rFonts w:ascii="Calibri Light" w:eastAsia="Calibri" w:hAnsi="Calibri Light" w:cs="Calibri Light"/>
          <w:sz w:val="23"/>
          <w:szCs w:val="23"/>
        </w:rPr>
        <w:t>“</w:t>
      </w:r>
      <w:r w:rsidR="00F00E3D" w:rsidRPr="00DD331C">
        <w:rPr>
          <w:rFonts w:ascii="Calibri Light" w:eastAsia="Calibri" w:hAnsi="Calibri Light" w:cs="Calibri Light"/>
          <w:sz w:val="23"/>
          <w:szCs w:val="23"/>
        </w:rPr>
        <w:t>report significantly lower than average proficiency scores” (</w:t>
      </w:r>
      <w:r w:rsidR="00D27E3C">
        <w:rPr>
          <w:rFonts w:ascii="Calibri Light" w:eastAsia="Calibri" w:hAnsi="Calibri Light" w:cs="Calibri Light"/>
          <w:sz w:val="23"/>
          <w:szCs w:val="23"/>
        </w:rPr>
        <w:t>reported in</w:t>
      </w:r>
      <w:r w:rsidR="00F00E3D" w:rsidRPr="00DD331C">
        <w:rPr>
          <w:rFonts w:ascii="Calibri Light" w:eastAsia="Calibri" w:hAnsi="Calibri Light" w:cs="Calibri Light"/>
          <w:sz w:val="23"/>
          <w:szCs w:val="23"/>
        </w:rPr>
        <w:t xml:space="preserve"> </w:t>
      </w:r>
      <w:r w:rsidR="00F00E3D" w:rsidRPr="00DD331C">
        <w:rPr>
          <w:rFonts w:ascii="Calibri Light" w:eastAsia="Calibri" w:hAnsi="Calibri Light" w:cs="Calibri Light"/>
          <w:noProof/>
          <w:sz w:val="23"/>
          <w:szCs w:val="23"/>
        </w:rPr>
        <w:t>Wilson, 2020, p. 3)</w:t>
      </w:r>
      <w:r w:rsidR="00F00E3D" w:rsidRPr="00DD331C">
        <w:rPr>
          <w:rFonts w:ascii="Calibri Light" w:eastAsia="Calibri" w:hAnsi="Calibri Light" w:cs="Calibri Light"/>
          <w:sz w:val="23"/>
          <w:szCs w:val="23"/>
        </w:rPr>
        <w:t xml:space="preserve">. The findings suggest schools </w:t>
      </w:r>
      <w:r w:rsidR="00740943">
        <w:rPr>
          <w:rFonts w:ascii="Calibri Light" w:eastAsia="Calibri" w:hAnsi="Calibri Light" w:cs="Calibri Light"/>
          <w:sz w:val="23"/>
          <w:szCs w:val="23"/>
        </w:rPr>
        <w:t>with</w:t>
      </w:r>
      <w:r w:rsidR="00F00E3D" w:rsidRPr="00DD331C">
        <w:rPr>
          <w:rFonts w:ascii="Calibri Light" w:eastAsia="Calibri" w:hAnsi="Calibri Light" w:cs="Calibri Light"/>
          <w:sz w:val="23"/>
          <w:szCs w:val="23"/>
        </w:rPr>
        <w:t xml:space="preserve"> high numbers of such students </w:t>
      </w:r>
      <w:r w:rsidR="00046F6E">
        <w:rPr>
          <w:rFonts w:ascii="Calibri Light" w:eastAsia="Calibri" w:hAnsi="Calibri Light" w:cs="Calibri Light"/>
          <w:sz w:val="23"/>
          <w:szCs w:val="23"/>
        </w:rPr>
        <w:t>should be</w:t>
      </w:r>
      <w:r w:rsidR="00F00E3D" w:rsidRPr="00DD331C">
        <w:rPr>
          <w:rFonts w:ascii="Calibri Light" w:eastAsia="Calibri" w:hAnsi="Calibri Light" w:cs="Calibri Light"/>
          <w:sz w:val="23"/>
          <w:szCs w:val="23"/>
        </w:rPr>
        <w:t xml:space="preserve"> mindful of the need for substantial student and teacher support.</w:t>
      </w:r>
    </w:p>
    <w:p w14:paraId="01BB40FB" w14:textId="77777777" w:rsidR="00F00E3D" w:rsidRPr="00740943" w:rsidRDefault="00F00E3D" w:rsidP="004D51EB">
      <w:pPr>
        <w:spacing w:after="0" w:line="276" w:lineRule="auto"/>
        <w:rPr>
          <w:rFonts w:ascii="Calibri Light" w:eastAsia="Calibri" w:hAnsi="Calibri Light" w:cs="Calibri Light"/>
          <w:sz w:val="12"/>
          <w:szCs w:val="12"/>
        </w:rPr>
      </w:pPr>
    </w:p>
    <w:p w14:paraId="07B87F81" w14:textId="45C4A6BC" w:rsidR="00F00E3D" w:rsidRPr="00DD331C" w:rsidRDefault="00642E75" w:rsidP="004D51EB">
      <w:pPr>
        <w:spacing w:after="0" w:line="276" w:lineRule="auto"/>
        <w:rPr>
          <w:rFonts w:ascii="Calibri Light" w:eastAsia="Calibri" w:hAnsi="Calibri Light" w:cs="Calibri Light"/>
          <w:sz w:val="23"/>
          <w:szCs w:val="23"/>
        </w:rPr>
      </w:pPr>
      <w:r>
        <w:rPr>
          <w:rFonts w:ascii="Calibri Light" w:eastAsia="Calibri" w:hAnsi="Calibri Light" w:cs="Calibri Light"/>
          <w:sz w:val="23"/>
          <w:szCs w:val="23"/>
        </w:rPr>
        <w:t>In a ministerial briefing paper</w:t>
      </w:r>
      <w:r w:rsidR="000B51FE">
        <w:rPr>
          <w:rFonts w:ascii="Calibri Light" w:eastAsia="Calibri" w:hAnsi="Calibri Light" w:cs="Calibri Light"/>
          <w:sz w:val="23"/>
          <w:szCs w:val="23"/>
        </w:rPr>
        <w:t xml:space="preserve"> on the</w:t>
      </w:r>
      <w:r w:rsidR="00997D92">
        <w:rPr>
          <w:rFonts w:ascii="Calibri Light" w:eastAsia="Calibri" w:hAnsi="Calibri Light" w:cs="Calibri Light"/>
          <w:sz w:val="23"/>
          <w:szCs w:val="23"/>
        </w:rPr>
        <w:t xml:space="preserve"> likely educational</w:t>
      </w:r>
      <w:r w:rsidR="000B51FE">
        <w:rPr>
          <w:rFonts w:ascii="Calibri Light" w:eastAsia="Calibri" w:hAnsi="Calibri Light" w:cs="Calibri Light"/>
          <w:sz w:val="23"/>
          <w:szCs w:val="23"/>
        </w:rPr>
        <w:t xml:space="preserve"> impacts of COVID-19</w:t>
      </w:r>
      <w:r>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Masters</w:t>
      </w:r>
      <w:r>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 xml:space="preserve">presents five key findings </w:t>
      </w:r>
      <w:r>
        <w:rPr>
          <w:rFonts w:ascii="Calibri Light" w:eastAsia="Calibri" w:hAnsi="Calibri Light" w:cs="Calibri Light"/>
          <w:sz w:val="23"/>
          <w:szCs w:val="23"/>
        </w:rPr>
        <w:t>about</w:t>
      </w:r>
      <w:r w:rsidR="00F00E3D" w:rsidRPr="00DD331C">
        <w:rPr>
          <w:rFonts w:ascii="Calibri Light" w:eastAsia="Calibri" w:hAnsi="Calibri Light" w:cs="Calibri Light"/>
          <w:sz w:val="23"/>
          <w:szCs w:val="23"/>
        </w:rPr>
        <w:t xml:space="preserve"> home learning for children considered </w:t>
      </w:r>
      <w:r w:rsidR="00CD7A1F">
        <w:rPr>
          <w:rFonts w:ascii="Calibri Light" w:eastAsia="Calibri" w:hAnsi="Calibri Light" w:cs="Calibri Light"/>
          <w:sz w:val="23"/>
          <w:szCs w:val="23"/>
        </w:rPr>
        <w:t>to be</w:t>
      </w:r>
      <w:r w:rsidR="00F00E3D" w:rsidRPr="00DD331C">
        <w:rPr>
          <w:rFonts w:ascii="Calibri Light" w:eastAsia="Calibri" w:hAnsi="Calibri Light" w:cs="Calibri Light"/>
          <w:sz w:val="23"/>
          <w:szCs w:val="23"/>
        </w:rPr>
        <w:t xml:space="preserve"> vulnerable from both </w:t>
      </w:r>
      <w:r w:rsidR="00997D92">
        <w:rPr>
          <w:rFonts w:ascii="Calibri Light" w:eastAsia="Calibri" w:hAnsi="Calibri Light" w:cs="Calibri Light"/>
          <w:sz w:val="23"/>
          <w:szCs w:val="23"/>
        </w:rPr>
        <w:t xml:space="preserve">a </w:t>
      </w:r>
      <w:r w:rsidR="00F00E3D" w:rsidRPr="00DD331C">
        <w:rPr>
          <w:rFonts w:ascii="Calibri Light" w:eastAsia="Calibri" w:hAnsi="Calibri Light" w:cs="Calibri Light"/>
          <w:sz w:val="23"/>
          <w:szCs w:val="23"/>
        </w:rPr>
        <w:t xml:space="preserve">social and educational perspective </w:t>
      </w:r>
      <w:r w:rsidR="00F00E3D" w:rsidRPr="00DD331C">
        <w:rPr>
          <w:rFonts w:ascii="Calibri Light" w:eastAsia="Calibri" w:hAnsi="Calibri Light" w:cs="Calibri Light"/>
          <w:noProof/>
          <w:sz w:val="23"/>
          <w:szCs w:val="23"/>
        </w:rPr>
        <w:t>(2020)</w:t>
      </w:r>
      <w:r w:rsidR="00F00E3D" w:rsidRPr="00DD331C">
        <w:rPr>
          <w:rFonts w:ascii="Calibri Light" w:eastAsia="Calibri" w:hAnsi="Calibri Light" w:cs="Calibri Light"/>
          <w:sz w:val="23"/>
          <w:szCs w:val="23"/>
        </w:rPr>
        <w:t>: (1) s</w:t>
      </w:r>
      <w:r w:rsidR="00F00E3D" w:rsidRPr="00DD331C">
        <w:rPr>
          <w:rFonts w:ascii="Calibri Light" w:eastAsia="Calibri" w:hAnsi="Calibri Light" w:cs="Calibri Light"/>
          <w:color w:val="000000" w:themeColor="text1"/>
          <w:sz w:val="23"/>
          <w:szCs w:val="23"/>
        </w:rPr>
        <w:t>ocially vulnerable children are over-represented among educationally vulnerable students; (2) the negative impact of educational vulnerability on students’ capacity to learn is exacerbated by their reduced access to resources at home</w:t>
      </w:r>
      <w:r w:rsidR="000A0AFF">
        <w:rPr>
          <w:rFonts w:ascii="Calibri Light" w:eastAsia="Calibri" w:hAnsi="Calibri Light" w:cs="Calibri Light"/>
          <w:color w:val="000000" w:themeColor="text1"/>
          <w:sz w:val="23"/>
          <w:szCs w:val="23"/>
        </w:rPr>
        <w:t>; it</w:t>
      </w:r>
      <w:r w:rsidR="00F00E3D" w:rsidRPr="00DD331C">
        <w:rPr>
          <w:rFonts w:ascii="Calibri Light" w:eastAsia="Calibri" w:hAnsi="Calibri Light" w:cs="Calibri Light"/>
          <w:color w:val="000000" w:themeColor="text1"/>
          <w:sz w:val="23"/>
          <w:szCs w:val="23"/>
        </w:rPr>
        <w:t xml:space="preserve"> is</w:t>
      </w:r>
      <w:r w:rsidR="000A0AFF">
        <w:rPr>
          <w:rFonts w:ascii="Calibri Light" w:eastAsia="Calibri" w:hAnsi="Calibri Light" w:cs="Calibri Light"/>
          <w:color w:val="000000" w:themeColor="text1"/>
          <w:sz w:val="23"/>
          <w:szCs w:val="23"/>
        </w:rPr>
        <w:t xml:space="preserve"> also</w:t>
      </w:r>
      <w:r w:rsidR="00F00E3D" w:rsidRPr="00DD331C">
        <w:rPr>
          <w:rFonts w:ascii="Calibri Light" w:eastAsia="Calibri" w:hAnsi="Calibri Light" w:cs="Calibri Light"/>
          <w:color w:val="000000" w:themeColor="text1"/>
          <w:sz w:val="23"/>
          <w:szCs w:val="23"/>
        </w:rPr>
        <w:t xml:space="preserve"> associated with social vulnerability</w:t>
      </w:r>
      <w:r w:rsidR="00A40ACC">
        <w:rPr>
          <w:rFonts w:ascii="Calibri Light" w:eastAsia="Calibri" w:hAnsi="Calibri Light" w:cs="Calibri Light"/>
          <w:color w:val="000000" w:themeColor="text1"/>
          <w:sz w:val="23"/>
          <w:szCs w:val="23"/>
        </w:rPr>
        <w:t>,</w:t>
      </w:r>
      <w:r w:rsidR="00F00E3D" w:rsidRPr="00DD331C">
        <w:rPr>
          <w:rFonts w:ascii="Calibri Light" w:eastAsia="Calibri" w:hAnsi="Calibri Light" w:cs="Calibri Light"/>
          <w:color w:val="000000" w:themeColor="text1"/>
          <w:sz w:val="23"/>
          <w:szCs w:val="23"/>
        </w:rPr>
        <w:t xml:space="preserve"> thus reinforcing a continuous cycle of disadvantage; (3) </w:t>
      </w:r>
      <w:r w:rsidR="000A0AFF" w:rsidRPr="00DD331C">
        <w:rPr>
          <w:rFonts w:ascii="Calibri Light" w:eastAsia="Calibri" w:hAnsi="Calibri Light" w:cs="Calibri Light"/>
          <w:color w:val="000000" w:themeColor="text1"/>
          <w:sz w:val="23"/>
          <w:szCs w:val="23"/>
        </w:rPr>
        <w:t xml:space="preserve">parents of educationally </w:t>
      </w:r>
      <w:r w:rsidR="000A0AFF" w:rsidRPr="00DD331C">
        <w:rPr>
          <w:rFonts w:ascii="Calibri Light" w:eastAsia="Calibri" w:hAnsi="Calibri Light" w:cs="Calibri Light"/>
          <w:color w:val="000000" w:themeColor="text1"/>
          <w:sz w:val="23"/>
          <w:szCs w:val="23"/>
        </w:rPr>
        <w:lastRenderedPageBreak/>
        <w:t xml:space="preserve">disadvantaged students </w:t>
      </w:r>
      <w:r w:rsidR="000A0AFF">
        <w:rPr>
          <w:rFonts w:ascii="Calibri Light" w:eastAsia="Calibri" w:hAnsi="Calibri Light" w:cs="Calibri Light"/>
          <w:color w:val="000000" w:themeColor="text1"/>
          <w:sz w:val="23"/>
          <w:szCs w:val="23"/>
        </w:rPr>
        <w:t>tend to have lowers</w:t>
      </w:r>
      <w:r w:rsidR="00F00E3D" w:rsidRPr="00DD331C">
        <w:rPr>
          <w:rFonts w:ascii="Calibri Light" w:eastAsia="Calibri" w:hAnsi="Calibri Light" w:cs="Calibri Light"/>
          <w:color w:val="000000" w:themeColor="text1"/>
          <w:sz w:val="23"/>
          <w:szCs w:val="23"/>
        </w:rPr>
        <w:t xml:space="preserve"> level</w:t>
      </w:r>
      <w:r w:rsidR="000A0AFF">
        <w:rPr>
          <w:rFonts w:ascii="Calibri Light" w:eastAsia="Calibri" w:hAnsi="Calibri Light" w:cs="Calibri Light"/>
          <w:color w:val="000000" w:themeColor="text1"/>
          <w:sz w:val="23"/>
          <w:szCs w:val="23"/>
        </w:rPr>
        <w:t>s</w:t>
      </w:r>
      <w:r w:rsidR="00F00E3D" w:rsidRPr="00DD331C">
        <w:rPr>
          <w:rFonts w:ascii="Calibri Light" w:eastAsia="Calibri" w:hAnsi="Calibri Light" w:cs="Calibri Light"/>
          <w:color w:val="000000" w:themeColor="text1"/>
          <w:sz w:val="23"/>
          <w:szCs w:val="23"/>
        </w:rPr>
        <w:t xml:space="preserve"> of education, socioeconomic status, and consequent capacity to provide home learning support and resources; (4) the likelihood of educational programs </w:t>
      </w:r>
      <w:r w:rsidR="00C145A9">
        <w:rPr>
          <w:rFonts w:ascii="Calibri Light" w:eastAsia="Calibri" w:hAnsi="Calibri Light" w:cs="Calibri Light"/>
          <w:color w:val="000000" w:themeColor="text1"/>
          <w:sz w:val="23"/>
          <w:szCs w:val="23"/>
        </w:rPr>
        <w:t xml:space="preserve">having a positive impact </w:t>
      </w:r>
      <w:r w:rsidR="00F00E3D" w:rsidRPr="00DD331C">
        <w:rPr>
          <w:rFonts w:ascii="Calibri Light" w:eastAsia="Calibri" w:hAnsi="Calibri Light" w:cs="Calibri Light"/>
          <w:color w:val="000000" w:themeColor="text1"/>
          <w:sz w:val="23"/>
          <w:szCs w:val="23"/>
        </w:rPr>
        <w:t xml:space="preserve">on vulnerable students will greatly increase if support is also provided to deal with their basic needs; and (5) the basic profile of educationally vulnerable children </w:t>
      </w:r>
      <w:r w:rsidR="00A40ACC">
        <w:rPr>
          <w:rFonts w:ascii="Calibri Light" w:eastAsia="Calibri" w:hAnsi="Calibri Light" w:cs="Calibri Light"/>
          <w:color w:val="000000" w:themeColor="text1"/>
          <w:sz w:val="23"/>
          <w:szCs w:val="23"/>
        </w:rPr>
        <w:t>seems to be</w:t>
      </w:r>
      <w:r w:rsidR="00F00E3D" w:rsidRPr="00DD331C">
        <w:rPr>
          <w:rFonts w:ascii="Calibri Light" w:eastAsia="Calibri" w:hAnsi="Calibri Light" w:cs="Calibri Light"/>
          <w:color w:val="000000" w:themeColor="text1"/>
          <w:sz w:val="23"/>
          <w:szCs w:val="23"/>
        </w:rPr>
        <w:t xml:space="preserve"> consistent across students, regardless of their age. </w:t>
      </w:r>
    </w:p>
    <w:p w14:paraId="4C0032AF" w14:textId="77777777" w:rsidR="00F00E3D" w:rsidRPr="00A40ACC" w:rsidRDefault="00F00E3D" w:rsidP="004D51EB">
      <w:pPr>
        <w:spacing w:after="0" w:line="276" w:lineRule="auto"/>
        <w:rPr>
          <w:rFonts w:ascii="Calibri Light" w:eastAsia="Calibri" w:hAnsi="Calibri Light" w:cs="Calibri Light"/>
          <w:sz w:val="12"/>
          <w:szCs w:val="12"/>
        </w:rPr>
      </w:pPr>
    </w:p>
    <w:p w14:paraId="3EA54499" w14:textId="77777777" w:rsidR="00F00E3D" w:rsidRPr="00DD331C" w:rsidRDefault="00F00E3D" w:rsidP="004D51EB">
      <w:pPr>
        <w:spacing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Drawing similar connections between social and educational disadvantage, Quilter-Pinner and</w:t>
      </w:r>
    </w:p>
    <w:p w14:paraId="654574C0" w14:textId="1A47BEFB" w:rsidR="00F00E3D" w:rsidRPr="00DD331C" w:rsidRDefault="00F00E3D" w:rsidP="004D51EB">
      <w:pPr>
        <w:spacing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Ambrose </w:t>
      </w:r>
      <w:r w:rsidR="009F0150">
        <w:rPr>
          <w:rFonts w:ascii="Calibri Light" w:eastAsia="Calibri" w:hAnsi="Calibri Light" w:cs="Calibri Light"/>
          <w:sz w:val="23"/>
          <w:szCs w:val="23"/>
        </w:rPr>
        <w:t>reach</w:t>
      </w:r>
      <w:r w:rsidRPr="00DD331C">
        <w:rPr>
          <w:rFonts w:ascii="Calibri Light" w:eastAsia="Calibri" w:hAnsi="Calibri Light" w:cs="Calibri Light"/>
          <w:sz w:val="23"/>
          <w:szCs w:val="23"/>
        </w:rPr>
        <w:t xml:space="preserve"> similar conclusions </w:t>
      </w:r>
      <w:r w:rsidR="009F0150">
        <w:rPr>
          <w:rFonts w:ascii="Calibri Light" w:eastAsia="Calibri" w:hAnsi="Calibri Light" w:cs="Calibri Light"/>
          <w:sz w:val="23"/>
          <w:szCs w:val="23"/>
        </w:rPr>
        <w:t>in their study on the</w:t>
      </w:r>
      <w:r w:rsidRPr="00DD331C">
        <w:rPr>
          <w:rFonts w:ascii="Calibri Light" w:eastAsia="Calibri" w:hAnsi="Calibri Light" w:cs="Calibri Light"/>
          <w:sz w:val="23"/>
          <w:szCs w:val="23"/>
        </w:rPr>
        <w:t xml:space="preserve"> future of education in the UK after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 xml:space="preserve">-19, highlighting a need “to tackle inequalities outside, as well as inside, the classroom” </w:t>
      </w:r>
      <w:r w:rsidRPr="00DD331C">
        <w:rPr>
          <w:rFonts w:ascii="Calibri Light" w:eastAsia="Calibri" w:hAnsi="Calibri Light" w:cs="Calibri Light"/>
          <w:noProof/>
          <w:sz w:val="23"/>
          <w:szCs w:val="23"/>
        </w:rPr>
        <w:t>(2020, p. 3)</w:t>
      </w:r>
      <w:r w:rsidRPr="00DD331C">
        <w:rPr>
          <w:rFonts w:ascii="Calibri Light" w:eastAsia="Calibri" w:hAnsi="Calibri Light" w:cs="Calibri Light"/>
          <w:sz w:val="23"/>
          <w:szCs w:val="23"/>
        </w:rPr>
        <w:t>.</w:t>
      </w:r>
    </w:p>
    <w:p w14:paraId="349CDB6B" w14:textId="77777777" w:rsidR="00F00E3D" w:rsidRPr="000E5A33" w:rsidRDefault="00F00E3D" w:rsidP="004D51EB">
      <w:pPr>
        <w:spacing w:after="0" w:line="276" w:lineRule="auto"/>
        <w:rPr>
          <w:rFonts w:eastAsia="Calibri" w:cstheme="minorHAnsi"/>
          <w:b/>
          <w:color w:val="1F3864" w:themeColor="accent1" w:themeShade="80"/>
          <w:sz w:val="16"/>
          <w:szCs w:val="16"/>
        </w:rPr>
      </w:pPr>
    </w:p>
    <w:p w14:paraId="009A6068" w14:textId="7ED98CDC" w:rsidR="00F00E3D" w:rsidRPr="003710F5" w:rsidRDefault="00C41CBF" w:rsidP="004D51EB">
      <w:pPr>
        <w:spacing w:line="276" w:lineRule="auto"/>
        <w:rPr>
          <w:rFonts w:eastAsia="Calibri" w:cstheme="minorHAnsi"/>
          <w:b/>
          <w:color w:val="2F5496" w:themeColor="accent1" w:themeShade="BF"/>
          <w:sz w:val="25"/>
          <w:szCs w:val="25"/>
        </w:rPr>
      </w:pPr>
      <w:r w:rsidRPr="003710F5">
        <w:rPr>
          <w:rFonts w:eastAsia="Calibri" w:cstheme="minorHAnsi"/>
          <w:b/>
          <w:color w:val="2F5496" w:themeColor="accent1" w:themeShade="BF"/>
          <w:sz w:val="25"/>
          <w:szCs w:val="25"/>
        </w:rPr>
        <w:t xml:space="preserve">6.1.3 </w:t>
      </w:r>
      <w:r w:rsidR="00F00E3D" w:rsidRPr="003710F5">
        <w:rPr>
          <w:rFonts w:eastAsia="Calibri" w:cstheme="minorHAnsi"/>
          <w:b/>
          <w:color w:val="2F5496" w:themeColor="accent1" w:themeShade="BF"/>
          <w:sz w:val="25"/>
          <w:szCs w:val="25"/>
        </w:rPr>
        <w:t>Employment</w:t>
      </w:r>
    </w:p>
    <w:p w14:paraId="3D7122AA" w14:textId="3D00013A" w:rsidR="00F00E3D" w:rsidRPr="00DD331C" w:rsidRDefault="00CE1AF0" w:rsidP="004D51EB">
      <w:pPr>
        <w:spacing w:after="0" w:line="276" w:lineRule="auto"/>
        <w:rPr>
          <w:rFonts w:asciiTheme="majorHAnsi" w:eastAsia="Times New Roman" w:hAnsiTheme="majorHAnsi" w:cstheme="majorHAnsi"/>
          <w:sz w:val="23"/>
          <w:szCs w:val="23"/>
          <w:lang w:eastAsia="en-GB"/>
        </w:rPr>
      </w:pPr>
      <w:r>
        <w:rPr>
          <w:rFonts w:asciiTheme="majorHAnsi" w:eastAsia="Calibri" w:hAnsiTheme="majorHAnsi" w:cstheme="majorHAnsi"/>
          <w:sz w:val="23"/>
          <w:szCs w:val="23"/>
        </w:rPr>
        <w:t>Our review of key academic research</w:t>
      </w:r>
      <w:r w:rsidR="00090FC6">
        <w:rPr>
          <w:rFonts w:asciiTheme="majorHAnsi" w:eastAsia="Calibri" w:hAnsiTheme="majorHAnsi" w:cstheme="majorHAnsi"/>
          <w:sz w:val="23"/>
          <w:szCs w:val="23"/>
        </w:rPr>
        <w:t xml:space="preserve"> </w:t>
      </w:r>
      <w:r w:rsidR="00271B5E">
        <w:rPr>
          <w:rFonts w:asciiTheme="majorHAnsi" w:eastAsia="Calibri" w:hAnsiTheme="majorHAnsi" w:cstheme="majorHAnsi"/>
          <w:sz w:val="23"/>
          <w:szCs w:val="23"/>
        </w:rPr>
        <w:t>(Section 3)</w:t>
      </w:r>
      <w:r w:rsidR="00F00E3D" w:rsidRPr="00DD331C">
        <w:rPr>
          <w:rFonts w:asciiTheme="majorHAnsi" w:eastAsia="Calibri" w:hAnsiTheme="majorHAnsi" w:cstheme="majorHAnsi"/>
          <w:sz w:val="23"/>
          <w:szCs w:val="23"/>
        </w:rPr>
        <w:t xml:space="preserve"> indicate</w:t>
      </w:r>
      <w:r w:rsidR="002C5F2B">
        <w:rPr>
          <w:rFonts w:asciiTheme="majorHAnsi" w:eastAsia="Calibri" w:hAnsiTheme="majorHAnsi" w:cstheme="majorHAnsi"/>
          <w:sz w:val="23"/>
          <w:szCs w:val="23"/>
        </w:rPr>
        <w:t>s</w:t>
      </w:r>
      <w:r w:rsidR="00F00E3D" w:rsidRPr="00DD331C">
        <w:rPr>
          <w:rFonts w:asciiTheme="majorHAnsi" w:eastAsia="Calibri" w:hAnsiTheme="majorHAnsi" w:cstheme="majorHAnsi"/>
          <w:sz w:val="23"/>
          <w:szCs w:val="23"/>
        </w:rPr>
        <w:t xml:space="preserve"> that employment outcomes are impacted by </w:t>
      </w:r>
      <w:r w:rsidR="00FB5DC5">
        <w:rPr>
          <w:rFonts w:asciiTheme="majorHAnsi" w:eastAsia="Calibri" w:hAnsiTheme="majorHAnsi" w:cstheme="majorHAnsi"/>
          <w:sz w:val="23"/>
          <w:szCs w:val="23"/>
        </w:rPr>
        <w:t>several</w:t>
      </w:r>
      <w:r w:rsidR="00F00E3D" w:rsidRPr="00DD331C">
        <w:rPr>
          <w:rFonts w:asciiTheme="majorHAnsi" w:eastAsia="Calibri" w:hAnsiTheme="majorHAnsi" w:cstheme="majorHAnsi"/>
          <w:sz w:val="23"/>
          <w:szCs w:val="23"/>
        </w:rPr>
        <w:t xml:space="preserve"> factors linked to locational disadvantage</w:t>
      </w:r>
      <w:r w:rsidR="00CF717E">
        <w:rPr>
          <w:rFonts w:asciiTheme="majorHAnsi" w:eastAsia="Calibri" w:hAnsiTheme="majorHAnsi" w:cstheme="majorHAnsi"/>
          <w:sz w:val="23"/>
          <w:szCs w:val="23"/>
        </w:rPr>
        <w:t xml:space="preserve"> –</w:t>
      </w:r>
      <w:r w:rsidR="008F5C72">
        <w:rPr>
          <w:rFonts w:asciiTheme="majorHAnsi" w:eastAsia="Times New Roman" w:hAnsiTheme="majorHAnsi" w:cstheme="majorHAnsi"/>
          <w:sz w:val="23"/>
          <w:szCs w:val="23"/>
          <w:lang w:eastAsia="en-GB"/>
        </w:rPr>
        <w:t xml:space="preserve"> </w:t>
      </w:r>
      <w:r w:rsidR="007D374C">
        <w:rPr>
          <w:rFonts w:asciiTheme="majorHAnsi" w:eastAsia="Times New Roman" w:hAnsiTheme="majorHAnsi" w:cstheme="majorHAnsi"/>
          <w:sz w:val="23"/>
          <w:szCs w:val="23"/>
          <w:lang w:eastAsia="en-GB"/>
        </w:rPr>
        <w:t xml:space="preserve">in particular, </w:t>
      </w:r>
      <w:r w:rsidR="00D6782B">
        <w:rPr>
          <w:rFonts w:asciiTheme="majorHAnsi" w:eastAsia="Calibri" w:hAnsiTheme="majorHAnsi" w:cstheme="majorHAnsi"/>
          <w:sz w:val="23"/>
          <w:szCs w:val="23"/>
        </w:rPr>
        <w:t>e</w:t>
      </w:r>
      <w:r w:rsidR="00F00E3D" w:rsidRPr="00DD331C">
        <w:rPr>
          <w:rFonts w:asciiTheme="majorHAnsi" w:eastAsia="Times New Roman" w:hAnsiTheme="majorHAnsi" w:cstheme="majorHAnsi"/>
          <w:sz w:val="23"/>
          <w:szCs w:val="23"/>
          <w:lang w:eastAsia="en-GB"/>
        </w:rPr>
        <w:t>ducation, housing, health and wellbeing, and socioeconomic status.</w:t>
      </w:r>
      <w:r w:rsidR="00271B5E">
        <w:rPr>
          <w:rFonts w:asciiTheme="majorHAnsi" w:eastAsia="Times New Roman" w:hAnsiTheme="majorHAnsi" w:cstheme="majorHAnsi"/>
          <w:sz w:val="23"/>
          <w:szCs w:val="23"/>
          <w:lang w:eastAsia="en-GB"/>
        </w:rPr>
        <w:t xml:space="preserve"> In turn,</w:t>
      </w:r>
      <w:r w:rsidR="00F00E3D" w:rsidRPr="00DD331C">
        <w:rPr>
          <w:rFonts w:asciiTheme="majorHAnsi" w:eastAsia="Times New Roman" w:hAnsiTheme="majorHAnsi" w:cstheme="majorHAnsi"/>
          <w:sz w:val="23"/>
          <w:szCs w:val="23"/>
          <w:lang w:eastAsia="en-GB"/>
        </w:rPr>
        <w:t xml:space="preserve"> employment </w:t>
      </w:r>
      <w:r w:rsidR="004F1B8F">
        <w:rPr>
          <w:rFonts w:asciiTheme="majorHAnsi" w:eastAsia="Times New Roman" w:hAnsiTheme="majorHAnsi" w:cstheme="majorHAnsi"/>
          <w:sz w:val="23"/>
          <w:szCs w:val="23"/>
          <w:lang w:eastAsia="en-GB"/>
        </w:rPr>
        <w:t>can</w:t>
      </w:r>
      <w:r w:rsidR="00BF4171">
        <w:rPr>
          <w:rFonts w:asciiTheme="majorHAnsi" w:eastAsia="Times New Roman" w:hAnsiTheme="majorHAnsi" w:cstheme="majorHAnsi"/>
          <w:sz w:val="23"/>
          <w:szCs w:val="23"/>
          <w:lang w:eastAsia="en-GB"/>
        </w:rPr>
        <w:t xml:space="preserve"> also</w:t>
      </w:r>
      <w:r w:rsidR="004F1B8F">
        <w:rPr>
          <w:rFonts w:asciiTheme="majorHAnsi" w:eastAsia="Times New Roman" w:hAnsiTheme="majorHAnsi" w:cstheme="majorHAnsi"/>
          <w:sz w:val="23"/>
          <w:szCs w:val="23"/>
          <w:lang w:eastAsia="en-GB"/>
        </w:rPr>
        <w:t xml:space="preserve"> significantly impact</w:t>
      </w:r>
      <w:r w:rsidR="005E6142">
        <w:rPr>
          <w:rFonts w:asciiTheme="majorHAnsi" w:eastAsia="Times New Roman" w:hAnsiTheme="majorHAnsi" w:cstheme="majorHAnsi"/>
          <w:sz w:val="23"/>
          <w:szCs w:val="23"/>
          <w:lang w:eastAsia="en-GB"/>
        </w:rPr>
        <w:t xml:space="preserve"> all these</w:t>
      </w:r>
      <w:r w:rsidR="00F00E3D" w:rsidRPr="00DD331C">
        <w:rPr>
          <w:rFonts w:asciiTheme="majorHAnsi" w:eastAsia="Times New Roman" w:hAnsiTheme="majorHAnsi" w:cstheme="majorHAnsi"/>
          <w:sz w:val="23"/>
          <w:szCs w:val="23"/>
          <w:lang w:eastAsia="en-GB"/>
        </w:rPr>
        <w:t xml:space="preserve"> </w:t>
      </w:r>
      <w:r w:rsidR="00E879A0">
        <w:rPr>
          <w:rFonts w:asciiTheme="majorHAnsi" w:eastAsia="Times New Roman" w:hAnsiTheme="majorHAnsi" w:cstheme="majorHAnsi"/>
          <w:sz w:val="23"/>
          <w:szCs w:val="23"/>
          <w:lang w:eastAsia="en-GB"/>
        </w:rPr>
        <w:t>factors</w:t>
      </w:r>
      <w:r w:rsidR="005E6142">
        <w:rPr>
          <w:rFonts w:asciiTheme="majorHAnsi" w:eastAsia="Times New Roman" w:hAnsiTheme="majorHAnsi" w:cstheme="majorHAnsi"/>
          <w:sz w:val="23"/>
          <w:szCs w:val="23"/>
          <w:lang w:eastAsia="en-GB"/>
        </w:rPr>
        <w:t>,</w:t>
      </w:r>
      <w:r w:rsidR="00F00E3D" w:rsidRPr="00DD331C">
        <w:rPr>
          <w:rFonts w:asciiTheme="majorHAnsi" w:eastAsia="Times New Roman" w:hAnsiTheme="majorHAnsi" w:cstheme="majorHAnsi"/>
          <w:sz w:val="23"/>
          <w:szCs w:val="23"/>
          <w:lang w:eastAsia="en-GB"/>
        </w:rPr>
        <w:t xml:space="preserve"> </w:t>
      </w:r>
      <w:r w:rsidR="00017F9A">
        <w:rPr>
          <w:rFonts w:asciiTheme="majorHAnsi" w:eastAsia="Times New Roman" w:hAnsiTheme="majorHAnsi" w:cstheme="majorHAnsi"/>
          <w:sz w:val="23"/>
          <w:szCs w:val="23"/>
          <w:lang w:eastAsia="en-GB"/>
        </w:rPr>
        <w:t xml:space="preserve">and is </w:t>
      </w:r>
      <w:r w:rsidR="002C5F2B">
        <w:rPr>
          <w:rFonts w:asciiTheme="majorHAnsi" w:eastAsia="Times New Roman" w:hAnsiTheme="majorHAnsi" w:cstheme="majorHAnsi"/>
          <w:sz w:val="23"/>
          <w:szCs w:val="23"/>
          <w:lang w:eastAsia="en-GB"/>
        </w:rPr>
        <w:t>deeply implicated in</w:t>
      </w:r>
      <w:r w:rsidR="00901D48">
        <w:rPr>
          <w:rFonts w:asciiTheme="majorHAnsi" w:eastAsia="Times New Roman" w:hAnsiTheme="majorHAnsi" w:cstheme="majorHAnsi"/>
          <w:sz w:val="23"/>
          <w:szCs w:val="23"/>
          <w:lang w:eastAsia="en-GB"/>
        </w:rPr>
        <w:t xml:space="preserve"> </w:t>
      </w:r>
      <w:r w:rsidR="00F00E3D" w:rsidRPr="00DD331C">
        <w:rPr>
          <w:rFonts w:asciiTheme="majorHAnsi" w:eastAsia="Times New Roman" w:hAnsiTheme="majorHAnsi" w:cstheme="majorHAnsi"/>
          <w:sz w:val="23"/>
          <w:szCs w:val="23"/>
          <w:lang w:eastAsia="en-GB"/>
        </w:rPr>
        <w:t xml:space="preserve">locational disadvantage. </w:t>
      </w:r>
      <w:r w:rsidR="00273212">
        <w:rPr>
          <w:rFonts w:asciiTheme="majorHAnsi" w:eastAsia="Times New Roman" w:hAnsiTheme="majorHAnsi" w:cstheme="majorHAnsi"/>
          <w:sz w:val="23"/>
          <w:szCs w:val="23"/>
          <w:lang w:eastAsia="en-GB"/>
        </w:rPr>
        <w:t>For example</w:t>
      </w:r>
      <w:r w:rsidR="009A1362">
        <w:rPr>
          <w:rFonts w:asciiTheme="majorHAnsi" w:eastAsia="Times New Roman" w:hAnsiTheme="majorHAnsi" w:cstheme="majorHAnsi"/>
          <w:sz w:val="23"/>
          <w:szCs w:val="23"/>
          <w:lang w:eastAsia="en-GB"/>
        </w:rPr>
        <w:t>,</w:t>
      </w:r>
      <w:r w:rsidR="00273212">
        <w:rPr>
          <w:rFonts w:asciiTheme="majorHAnsi" w:eastAsia="Times New Roman" w:hAnsiTheme="majorHAnsi" w:cstheme="majorHAnsi"/>
          <w:sz w:val="23"/>
          <w:szCs w:val="23"/>
          <w:lang w:eastAsia="en-GB"/>
        </w:rPr>
        <w:t xml:space="preserve"> a drop in </w:t>
      </w:r>
      <w:r w:rsidR="009A1362">
        <w:rPr>
          <w:rFonts w:asciiTheme="majorHAnsi" w:eastAsia="Times New Roman" w:hAnsiTheme="majorHAnsi" w:cstheme="majorHAnsi"/>
          <w:sz w:val="23"/>
          <w:szCs w:val="23"/>
          <w:lang w:eastAsia="en-GB"/>
        </w:rPr>
        <w:t>employment</w:t>
      </w:r>
      <w:r w:rsidR="00F00E3D" w:rsidRPr="00DD331C">
        <w:rPr>
          <w:rFonts w:asciiTheme="majorHAnsi" w:eastAsia="Times New Roman" w:hAnsiTheme="majorHAnsi" w:cstheme="majorHAnsi"/>
          <w:sz w:val="23"/>
          <w:szCs w:val="23"/>
          <w:lang w:eastAsia="en-GB"/>
        </w:rPr>
        <w:t xml:space="preserve"> is likely to lead to </w:t>
      </w:r>
      <w:r w:rsidR="009A1362">
        <w:rPr>
          <w:rFonts w:asciiTheme="majorHAnsi" w:eastAsia="Times New Roman" w:hAnsiTheme="majorHAnsi" w:cstheme="majorHAnsi"/>
          <w:sz w:val="23"/>
          <w:szCs w:val="23"/>
          <w:lang w:eastAsia="en-GB"/>
        </w:rPr>
        <w:t xml:space="preserve">higher </w:t>
      </w:r>
      <w:r w:rsidR="00F00E3D" w:rsidRPr="00DD331C">
        <w:rPr>
          <w:rFonts w:asciiTheme="majorHAnsi" w:eastAsia="Times New Roman" w:hAnsiTheme="majorHAnsi" w:cstheme="majorHAnsi"/>
          <w:sz w:val="23"/>
          <w:szCs w:val="23"/>
          <w:lang w:eastAsia="en-GB"/>
        </w:rPr>
        <w:t>rates of domestic violence and children at risk of neglect, increase</w:t>
      </w:r>
      <w:r w:rsidR="00434DCA">
        <w:rPr>
          <w:rFonts w:asciiTheme="majorHAnsi" w:eastAsia="Times New Roman" w:hAnsiTheme="majorHAnsi" w:cstheme="majorHAnsi"/>
          <w:sz w:val="23"/>
          <w:szCs w:val="23"/>
          <w:lang w:eastAsia="en-GB"/>
        </w:rPr>
        <w:t>d</w:t>
      </w:r>
      <w:r w:rsidR="002C5F2B">
        <w:rPr>
          <w:rFonts w:asciiTheme="majorHAnsi" w:eastAsia="Times New Roman" w:hAnsiTheme="majorHAnsi" w:cstheme="majorHAnsi"/>
          <w:sz w:val="23"/>
          <w:szCs w:val="23"/>
          <w:lang w:eastAsia="en-GB"/>
        </w:rPr>
        <w:t xml:space="preserve"> housing stress and</w:t>
      </w:r>
      <w:r w:rsidR="00F00E3D" w:rsidRPr="00DD331C">
        <w:rPr>
          <w:rFonts w:asciiTheme="majorHAnsi" w:eastAsia="Times New Roman" w:hAnsiTheme="majorHAnsi" w:cstheme="majorHAnsi"/>
          <w:sz w:val="23"/>
          <w:szCs w:val="23"/>
          <w:lang w:eastAsia="en-GB"/>
        </w:rPr>
        <w:t xml:space="preserve"> homelessness </w:t>
      </w:r>
      <w:r w:rsidR="00F00E3D" w:rsidRPr="00DD331C">
        <w:rPr>
          <w:rFonts w:asciiTheme="majorHAnsi" w:eastAsia="Times New Roman" w:hAnsiTheme="majorHAnsi" w:cstheme="majorHAnsi"/>
          <w:noProof/>
          <w:sz w:val="23"/>
          <w:szCs w:val="23"/>
          <w:lang w:eastAsia="en-GB"/>
        </w:rPr>
        <w:t>(Equity Economics, 2020</w:t>
      </w:r>
      <w:r w:rsidR="001D54C5">
        <w:rPr>
          <w:rFonts w:asciiTheme="majorHAnsi" w:eastAsia="Times New Roman" w:hAnsiTheme="majorHAnsi" w:cstheme="majorHAnsi"/>
          <w:noProof/>
          <w:sz w:val="23"/>
          <w:szCs w:val="23"/>
          <w:lang w:eastAsia="en-GB"/>
        </w:rPr>
        <w:t>b</w:t>
      </w:r>
      <w:r w:rsidR="00F00E3D" w:rsidRPr="00DD331C">
        <w:rPr>
          <w:rFonts w:asciiTheme="majorHAnsi" w:eastAsia="Times New Roman" w:hAnsiTheme="majorHAnsi" w:cstheme="majorHAnsi"/>
          <w:noProof/>
          <w:sz w:val="23"/>
          <w:szCs w:val="23"/>
          <w:lang w:eastAsia="en-GB"/>
        </w:rPr>
        <w:t>)</w:t>
      </w:r>
      <w:r w:rsidR="009A1362">
        <w:rPr>
          <w:rFonts w:asciiTheme="majorHAnsi" w:eastAsia="Times New Roman" w:hAnsiTheme="majorHAnsi" w:cstheme="majorHAnsi"/>
          <w:noProof/>
          <w:sz w:val="23"/>
          <w:szCs w:val="23"/>
          <w:lang w:eastAsia="en-GB"/>
        </w:rPr>
        <w:t>,</w:t>
      </w:r>
      <w:r w:rsidR="00F00E3D" w:rsidRPr="00DD331C">
        <w:rPr>
          <w:rFonts w:asciiTheme="majorHAnsi" w:eastAsia="Times New Roman" w:hAnsiTheme="majorHAnsi" w:cstheme="majorHAnsi"/>
          <w:sz w:val="23"/>
          <w:szCs w:val="23"/>
          <w:lang w:eastAsia="en-GB"/>
        </w:rPr>
        <w:t xml:space="preserve"> and </w:t>
      </w:r>
      <w:r w:rsidR="009A1362">
        <w:rPr>
          <w:rFonts w:asciiTheme="majorHAnsi" w:eastAsia="Times New Roman" w:hAnsiTheme="majorHAnsi" w:cstheme="majorHAnsi"/>
          <w:sz w:val="23"/>
          <w:szCs w:val="23"/>
          <w:lang w:eastAsia="en-GB"/>
        </w:rPr>
        <w:t xml:space="preserve">lower </w:t>
      </w:r>
      <w:r w:rsidR="00F00E3D" w:rsidRPr="00DD331C">
        <w:rPr>
          <w:rFonts w:asciiTheme="majorHAnsi" w:eastAsia="Times New Roman" w:hAnsiTheme="majorHAnsi" w:cstheme="majorHAnsi"/>
          <w:sz w:val="23"/>
          <w:szCs w:val="23"/>
          <w:lang w:eastAsia="en-GB"/>
        </w:rPr>
        <w:t xml:space="preserve">educational attainment </w:t>
      </w:r>
      <w:r w:rsidR="00F00E3D" w:rsidRPr="00DD331C">
        <w:rPr>
          <w:rFonts w:asciiTheme="majorHAnsi" w:eastAsia="Times New Roman" w:hAnsiTheme="majorHAnsi" w:cstheme="majorHAnsi"/>
          <w:noProof/>
          <w:sz w:val="23"/>
          <w:szCs w:val="23"/>
          <w:lang w:eastAsia="en-GB"/>
        </w:rPr>
        <w:t>(Deloitte Access Economics, 2020)</w:t>
      </w:r>
      <w:r w:rsidR="00F00E3D" w:rsidRPr="00DD331C">
        <w:rPr>
          <w:rFonts w:asciiTheme="majorHAnsi" w:eastAsia="Times New Roman" w:hAnsiTheme="majorHAnsi" w:cstheme="majorHAnsi"/>
          <w:sz w:val="23"/>
          <w:szCs w:val="23"/>
          <w:lang w:eastAsia="en-GB"/>
        </w:rPr>
        <w:t xml:space="preserve">. Moreover, </w:t>
      </w:r>
      <w:r w:rsidR="009A1362">
        <w:rPr>
          <w:rFonts w:asciiTheme="majorHAnsi" w:eastAsia="Times New Roman" w:hAnsiTheme="majorHAnsi" w:cstheme="majorHAnsi"/>
          <w:sz w:val="23"/>
          <w:szCs w:val="23"/>
          <w:lang w:eastAsia="en-GB"/>
        </w:rPr>
        <w:t xml:space="preserve">from </w:t>
      </w:r>
      <w:r w:rsidR="002C5F2B">
        <w:rPr>
          <w:rFonts w:asciiTheme="majorHAnsi" w:eastAsia="Times New Roman" w:hAnsiTheme="majorHAnsi" w:cstheme="majorHAnsi"/>
          <w:sz w:val="23"/>
          <w:szCs w:val="23"/>
          <w:lang w:eastAsia="en-GB"/>
        </w:rPr>
        <w:t xml:space="preserve">late </w:t>
      </w:r>
      <w:r w:rsidR="009A1362">
        <w:rPr>
          <w:rFonts w:asciiTheme="majorHAnsi" w:eastAsia="Times New Roman" w:hAnsiTheme="majorHAnsi" w:cstheme="majorHAnsi"/>
          <w:sz w:val="23"/>
          <w:szCs w:val="23"/>
          <w:lang w:eastAsia="en-GB"/>
        </w:rPr>
        <w:t xml:space="preserve">March 2021, </w:t>
      </w:r>
      <w:r w:rsidR="00F00E3D" w:rsidRPr="00DD331C">
        <w:rPr>
          <w:rFonts w:asciiTheme="majorHAnsi" w:eastAsia="Times New Roman" w:hAnsiTheme="majorHAnsi" w:cstheme="majorHAnsi"/>
          <w:sz w:val="23"/>
          <w:szCs w:val="23"/>
          <w:lang w:eastAsia="en-GB"/>
        </w:rPr>
        <w:t xml:space="preserve">as the </w:t>
      </w:r>
      <w:r w:rsidR="009A1362">
        <w:rPr>
          <w:rFonts w:asciiTheme="majorHAnsi" w:eastAsia="Times New Roman" w:hAnsiTheme="majorHAnsi" w:cstheme="majorHAnsi"/>
          <w:sz w:val="23"/>
          <w:szCs w:val="23"/>
          <w:lang w:eastAsia="en-GB"/>
        </w:rPr>
        <w:t>Federal</w:t>
      </w:r>
      <w:r w:rsidR="00F00E3D" w:rsidRPr="00DD331C">
        <w:rPr>
          <w:rFonts w:asciiTheme="majorHAnsi" w:eastAsia="Times New Roman" w:hAnsiTheme="majorHAnsi" w:cstheme="majorHAnsi"/>
          <w:sz w:val="23"/>
          <w:szCs w:val="23"/>
          <w:lang w:eastAsia="en-GB"/>
        </w:rPr>
        <w:t xml:space="preserve"> Government JobKeeper</w:t>
      </w:r>
      <w:r w:rsidR="002C5F2B">
        <w:rPr>
          <w:rFonts w:asciiTheme="majorHAnsi" w:eastAsia="Times New Roman" w:hAnsiTheme="majorHAnsi" w:cstheme="majorHAnsi"/>
          <w:sz w:val="23"/>
          <w:szCs w:val="23"/>
          <w:lang w:eastAsia="en-GB"/>
        </w:rPr>
        <w:t xml:space="preserve"> scheme and JobSeeker Coronavirus Supplement both come to an end</w:t>
      </w:r>
      <w:r w:rsidR="00F00E3D" w:rsidRPr="00DD331C">
        <w:rPr>
          <w:rFonts w:asciiTheme="majorHAnsi" w:eastAsia="Times New Roman" w:hAnsiTheme="majorHAnsi" w:cstheme="majorHAnsi"/>
          <w:sz w:val="23"/>
          <w:szCs w:val="23"/>
          <w:lang w:eastAsia="en-GB"/>
        </w:rPr>
        <w:t>, the true effect</w:t>
      </w:r>
      <w:r w:rsidR="009A1362">
        <w:rPr>
          <w:rFonts w:asciiTheme="majorHAnsi" w:eastAsia="Times New Roman" w:hAnsiTheme="majorHAnsi" w:cstheme="majorHAnsi"/>
          <w:sz w:val="23"/>
          <w:szCs w:val="23"/>
          <w:lang w:eastAsia="en-GB"/>
        </w:rPr>
        <w:t>s</w:t>
      </w:r>
      <w:r w:rsidR="00F00E3D" w:rsidRPr="00DD331C">
        <w:rPr>
          <w:rFonts w:asciiTheme="majorHAnsi" w:eastAsia="Times New Roman" w:hAnsiTheme="majorHAnsi" w:cstheme="majorHAnsi"/>
          <w:sz w:val="23"/>
          <w:szCs w:val="23"/>
          <w:lang w:eastAsia="en-GB"/>
        </w:rPr>
        <w:t xml:space="preserve"> </w:t>
      </w:r>
      <w:r w:rsidR="002C5F2B">
        <w:rPr>
          <w:rFonts w:asciiTheme="majorHAnsi" w:eastAsia="Times New Roman" w:hAnsiTheme="majorHAnsi" w:cstheme="majorHAnsi"/>
          <w:sz w:val="23"/>
          <w:szCs w:val="23"/>
          <w:lang w:eastAsia="en-GB"/>
        </w:rPr>
        <w:t xml:space="preserve">of </w:t>
      </w:r>
      <w:r w:rsidR="00F00E3D" w:rsidRPr="00DD331C">
        <w:rPr>
          <w:rFonts w:asciiTheme="majorHAnsi" w:eastAsia="Times New Roman" w:hAnsiTheme="majorHAnsi" w:cstheme="majorHAnsi"/>
          <w:sz w:val="23"/>
          <w:szCs w:val="23"/>
          <w:lang w:eastAsia="en-GB"/>
        </w:rPr>
        <w:t xml:space="preserve">higher unemployment will start to materialise </w:t>
      </w:r>
      <w:r w:rsidR="00F00E3D" w:rsidRPr="00DD331C">
        <w:rPr>
          <w:rFonts w:asciiTheme="majorHAnsi" w:eastAsia="Times New Roman" w:hAnsiTheme="majorHAnsi" w:cstheme="majorHAnsi"/>
          <w:noProof/>
          <w:sz w:val="23"/>
          <w:szCs w:val="23"/>
          <w:lang w:eastAsia="en-GB"/>
        </w:rPr>
        <w:t>(Deloitte Access Economics, 2020)</w:t>
      </w:r>
      <w:r w:rsidR="00F00E3D" w:rsidRPr="00DD331C">
        <w:rPr>
          <w:rFonts w:asciiTheme="majorHAnsi" w:eastAsia="Times New Roman" w:hAnsiTheme="majorHAnsi" w:cstheme="majorHAnsi"/>
          <w:sz w:val="23"/>
          <w:szCs w:val="23"/>
          <w:lang w:eastAsia="en-GB"/>
        </w:rPr>
        <w:t>.</w:t>
      </w:r>
      <w:r w:rsidR="0092376E">
        <w:rPr>
          <w:rFonts w:asciiTheme="majorHAnsi" w:eastAsia="Times New Roman" w:hAnsiTheme="majorHAnsi" w:cstheme="majorHAnsi"/>
          <w:sz w:val="23"/>
          <w:szCs w:val="23"/>
          <w:lang w:eastAsia="en-GB"/>
        </w:rPr>
        <w:t xml:space="preserve"> For details of payment rates for both schemes, along with the current baseline rates for JobSeeker payments, see </w:t>
      </w:r>
      <w:r w:rsidR="0092376E" w:rsidRPr="0092376E">
        <w:rPr>
          <w:rFonts w:asciiTheme="majorHAnsi" w:eastAsia="Times New Roman" w:hAnsiTheme="majorHAnsi" w:cstheme="majorHAnsi"/>
          <w:sz w:val="23"/>
          <w:szCs w:val="23"/>
          <w:lang w:eastAsia="en-GB"/>
        </w:rPr>
        <w:t>Section 2.6</w:t>
      </w:r>
      <w:r w:rsidR="0092376E">
        <w:rPr>
          <w:rFonts w:asciiTheme="majorHAnsi" w:eastAsia="Times New Roman" w:hAnsiTheme="majorHAnsi" w:cstheme="majorHAnsi"/>
          <w:sz w:val="23"/>
          <w:szCs w:val="23"/>
          <w:lang w:eastAsia="en-GB"/>
        </w:rPr>
        <w:t xml:space="preserve"> (</w:t>
      </w:r>
      <w:r w:rsidR="0092376E" w:rsidRPr="0092376E">
        <w:rPr>
          <w:rFonts w:asciiTheme="majorHAnsi" w:eastAsia="Times New Roman" w:hAnsiTheme="majorHAnsi" w:cstheme="majorHAnsi"/>
          <w:sz w:val="23"/>
          <w:szCs w:val="23"/>
          <w:lang w:eastAsia="en-GB"/>
        </w:rPr>
        <w:t>p.</w:t>
      </w:r>
      <w:r w:rsidR="00E10B2F">
        <w:rPr>
          <w:rFonts w:asciiTheme="majorHAnsi" w:eastAsia="Times New Roman" w:hAnsiTheme="majorHAnsi" w:cstheme="majorHAnsi"/>
          <w:sz w:val="23"/>
          <w:szCs w:val="23"/>
          <w:lang w:eastAsia="en-GB"/>
        </w:rPr>
        <w:t xml:space="preserve"> </w:t>
      </w:r>
      <w:r w:rsidR="0092376E" w:rsidRPr="0092376E">
        <w:rPr>
          <w:rFonts w:asciiTheme="majorHAnsi" w:eastAsia="Times New Roman" w:hAnsiTheme="majorHAnsi" w:cstheme="majorHAnsi"/>
          <w:sz w:val="23"/>
          <w:szCs w:val="23"/>
          <w:lang w:eastAsia="en-GB"/>
        </w:rPr>
        <w:t>13)</w:t>
      </w:r>
    </w:p>
    <w:p w14:paraId="384BA608" w14:textId="77777777" w:rsidR="00F00E3D" w:rsidRPr="00AB2679" w:rsidRDefault="00F00E3D" w:rsidP="004D51EB">
      <w:pPr>
        <w:spacing w:after="0" w:line="276" w:lineRule="auto"/>
        <w:rPr>
          <w:rFonts w:asciiTheme="majorHAnsi" w:eastAsia="Times New Roman" w:hAnsiTheme="majorHAnsi" w:cstheme="majorHAnsi"/>
          <w:sz w:val="12"/>
          <w:szCs w:val="12"/>
          <w:lang w:eastAsia="en-GB"/>
        </w:rPr>
      </w:pPr>
    </w:p>
    <w:p w14:paraId="492D50C8" w14:textId="50487547" w:rsidR="00F00E3D" w:rsidRPr="00DD331C" w:rsidRDefault="00F00E3D" w:rsidP="004D51EB">
      <w:pPr>
        <w:spacing w:after="0"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As </w:t>
      </w:r>
      <w:r w:rsidR="00940D80">
        <w:rPr>
          <w:rFonts w:asciiTheme="majorHAnsi" w:eastAsia="Calibri" w:hAnsiTheme="majorHAnsi" w:cstheme="majorHAnsi"/>
          <w:sz w:val="23"/>
          <w:szCs w:val="23"/>
        </w:rPr>
        <w:t>COVID</w:t>
      </w:r>
      <w:r w:rsidRPr="00DD331C">
        <w:rPr>
          <w:rFonts w:asciiTheme="majorHAnsi" w:eastAsia="Calibri" w:hAnsiTheme="majorHAnsi" w:cstheme="majorHAnsi"/>
          <w:sz w:val="23"/>
          <w:szCs w:val="23"/>
        </w:rPr>
        <w:t>-19 restrictions hit</w:t>
      </w:r>
      <w:r w:rsidR="00EE20CC">
        <w:rPr>
          <w:rFonts w:asciiTheme="majorHAnsi" w:eastAsia="Calibri" w:hAnsiTheme="majorHAnsi" w:cstheme="majorHAnsi"/>
          <w:sz w:val="23"/>
          <w:szCs w:val="23"/>
        </w:rPr>
        <w:t xml:space="preserve"> home</w:t>
      </w:r>
      <w:r w:rsidRPr="00DD331C">
        <w:rPr>
          <w:rFonts w:asciiTheme="majorHAnsi" w:eastAsia="Calibri" w:hAnsiTheme="majorHAnsi" w:cstheme="majorHAnsi"/>
          <w:sz w:val="23"/>
          <w:szCs w:val="23"/>
        </w:rPr>
        <w:t xml:space="preserve">, </w:t>
      </w:r>
      <w:r w:rsidR="00D26CA7">
        <w:rPr>
          <w:rFonts w:asciiTheme="majorHAnsi" w:eastAsia="Calibri" w:hAnsiTheme="majorHAnsi" w:cstheme="majorHAnsi"/>
          <w:sz w:val="23"/>
          <w:szCs w:val="23"/>
        </w:rPr>
        <w:t>Australia’s</w:t>
      </w:r>
      <w:r w:rsidRPr="00DD331C">
        <w:rPr>
          <w:rFonts w:asciiTheme="majorHAnsi" w:eastAsia="Calibri" w:hAnsiTheme="majorHAnsi" w:cstheme="majorHAnsi"/>
          <w:sz w:val="23"/>
          <w:szCs w:val="23"/>
        </w:rPr>
        <w:t xml:space="preserve"> unemployment rate </w:t>
      </w:r>
      <w:r w:rsidR="008A4ADD">
        <w:rPr>
          <w:rFonts w:asciiTheme="majorHAnsi" w:eastAsia="Calibri" w:hAnsiTheme="majorHAnsi" w:cstheme="majorHAnsi"/>
          <w:sz w:val="23"/>
          <w:szCs w:val="23"/>
        </w:rPr>
        <w:t>hit</w:t>
      </w:r>
      <w:r w:rsidRPr="00DD331C">
        <w:rPr>
          <w:rFonts w:asciiTheme="majorHAnsi" w:eastAsia="Calibri" w:hAnsiTheme="majorHAnsi" w:cstheme="majorHAnsi"/>
          <w:sz w:val="23"/>
          <w:szCs w:val="23"/>
        </w:rPr>
        <w:t xml:space="preserve"> a two-decade high in </w:t>
      </w:r>
      <w:r w:rsidR="00B33AA9">
        <w:rPr>
          <w:rFonts w:asciiTheme="majorHAnsi" w:eastAsia="Calibri" w:hAnsiTheme="majorHAnsi" w:cstheme="majorHAnsi"/>
          <w:sz w:val="23"/>
          <w:szCs w:val="23"/>
        </w:rPr>
        <w:t>June</w:t>
      </w:r>
      <w:r w:rsidRPr="00DD331C">
        <w:rPr>
          <w:rFonts w:asciiTheme="majorHAnsi" w:eastAsia="Calibri" w:hAnsiTheme="majorHAnsi" w:cstheme="majorHAnsi"/>
          <w:sz w:val="23"/>
          <w:szCs w:val="23"/>
        </w:rPr>
        <w:t xml:space="preserve"> 2020</w:t>
      </w:r>
      <w:r w:rsidR="00EE20CC">
        <w:rPr>
          <w:rFonts w:asciiTheme="majorHAnsi" w:eastAsia="Calibri" w:hAnsiTheme="majorHAnsi" w:cstheme="majorHAnsi"/>
          <w:sz w:val="23"/>
          <w:szCs w:val="23"/>
        </w:rPr>
        <w:t>, B</w:t>
      </w:r>
      <w:r w:rsidRPr="00DD331C">
        <w:rPr>
          <w:rFonts w:asciiTheme="majorHAnsi" w:eastAsia="Calibri" w:hAnsiTheme="majorHAnsi" w:cstheme="majorHAnsi"/>
          <w:sz w:val="23"/>
          <w:szCs w:val="23"/>
        </w:rPr>
        <w:t xml:space="preserve">usiness confidence nosedived in </w:t>
      </w:r>
      <w:r w:rsidR="00F30E6A">
        <w:rPr>
          <w:rFonts w:asciiTheme="majorHAnsi" w:eastAsia="Calibri" w:hAnsiTheme="majorHAnsi" w:cstheme="majorHAnsi"/>
          <w:sz w:val="23"/>
          <w:szCs w:val="23"/>
        </w:rPr>
        <w:t>September</w:t>
      </w:r>
      <w:r w:rsidR="009211E4">
        <w:rPr>
          <w:rFonts w:asciiTheme="majorHAnsi" w:eastAsia="Calibri" w:hAnsiTheme="majorHAnsi" w:cstheme="majorHAnsi"/>
          <w:sz w:val="23"/>
          <w:szCs w:val="23"/>
        </w:rPr>
        <w:t xml:space="preserve">, reflecting </w:t>
      </w:r>
      <w:r w:rsidR="00817BDF">
        <w:rPr>
          <w:rFonts w:asciiTheme="majorHAnsi" w:eastAsia="Calibri" w:hAnsiTheme="majorHAnsi" w:cstheme="majorHAnsi"/>
          <w:sz w:val="23"/>
          <w:szCs w:val="23"/>
        </w:rPr>
        <w:t>eroding</w:t>
      </w:r>
      <w:r w:rsidR="009211E4">
        <w:rPr>
          <w:rFonts w:asciiTheme="majorHAnsi" w:eastAsia="Calibri" w:hAnsiTheme="majorHAnsi" w:cstheme="majorHAnsi"/>
          <w:sz w:val="23"/>
          <w:szCs w:val="23"/>
        </w:rPr>
        <w:t xml:space="preserve"> </w:t>
      </w:r>
      <w:r w:rsidRPr="00DD331C">
        <w:rPr>
          <w:rFonts w:asciiTheme="majorHAnsi" w:eastAsia="Calibri" w:hAnsiTheme="majorHAnsi" w:cstheme="majorHAnsi"/>
          <w:sz w:val="23"/>
          <w:szCs w:val="23"/>
        </w:rPr>
        <w:t>consumer confidence.</w:t>
      </w:r>
      <w:r w:rsidR="00817BDF">
        <w:rPr>
          <w:rFonts w:asciiTheme="majorHAnsi" w:eastAsia="Calibri" w:hAnsiTheme="majorHAnsi" w:cstheme="majorHAnsi"/>
          <w:sz w:val="23"/>
          <w:szCs w:val="23"/>
        </w:rPr>
        <w:t xml:space="preserve"> </w:t>
      </w:r>
      <w:r w:rsidR="007D6BF9">
        <w:rPr>
          <w:rFonts w:asciiTheme="majorHAnsi" w:eastAsia="Calibri" w:hAnsiTheme="majorHAnsi" w:cstheme="majorHAnsi"/>
          <w:sz w:val="23"/>
          <w:szCs w:val="23"/>
        </w:rPr>
        <w:t>There was</w:t>
      </w:r>
      <w:r w:rsidRPr="00DD331C">
        <w:rPr>
          <w:rFonts w:asciiTheme="majorHAnsi" w:eastAsia="Calibri" w:hAnsiTheme="majorHAnsi" w:cstheme="majorHAnsi"/>
          <w:sz w:val="23"/>
          <w:szCs w:val="23"/>
        </w:rPr>
        <w:t xml:space="preserve"> recogni</w:t>
      </w:r>
      <w:r w:rsidR="007D6BF9">
        <w:rPr>
          <w:rFonts w:asciiTheme="majorHAnsi" w:eastAsia="Calibri" w:hAnsiTheme="majorHAnsi" w:cstheme="majorHAnsi"/>
          <w:sz w:val="23"/>
          <w:szCs w:val="23"/>
        </w:rPr>
        <w:t>tion</w:t>
      </w:r>
      <w:r w:rsidRPr="00DD331C">
        <w:rPr>
          <w:rFonts w:asciiTheme="majorHAnsi" w:eastAsia="Calibri" w:hAnsiTheme="majorHAnsi" w:cstheme="majorHAnsi"/>
          <w:sz w:val="23"/>
          <w:szCs w:val="23"/>
        </w:rPr>
        <w:t xml:space="preserve"> that the economic downturn </w:t>
      </w:r>
      <w:r w:rsidR="007D6BF9">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is exacerbating entrenched disadvantage and placing millions of Australians on the precipice of disadvantage for the first time” </w:t>
      </w:r>
      <w:r w:rsidRPr="00DD331C">
        <w:rPr>
          <w:rFonts w:asciiTheme="majorHAnsi" w:eastAsia="Calibri" w:hAnsiTheme="majorHAnsi" w:cstheme="majorHAnsi"/>
          <w:noProof/>
          <w:sz w:val="23"/>
          <w:szCs w:val="23"/>
        </w:rPr>
        <w:t>(Equity Economics, 2020</w:t>
      </w:r>
      <w:r w:rsidR="00DF385E">
        <w:rPr>
          <w:rFonts w:asciiTheme="majorHAnsi" w:eastAsia="Calibri" w:hAnsiTheme="majorHAnsi" w:cstheme="majorHAnsi"/>
          <w:noProof/>
          <w:sz w:val="23"/>
          <w:szCs w:val="23"/>
        </w:rPr>
        <w:t>a</w:t>
      </w:r>
      <w:r w:rsidRPr="00DD331C">
        <w:rPr>
          <w:rFonts w:asciiTheme="majorHAnsi" w:eastAsia="Calibri" w:hAnsiTheme="majorHAnsi" w:cstheme="majorHAnsi"/>
          <w:noProof/>
          <w:sz w:val="23"/>
          <w:szCs w:val="23"/>
        </w:rPr>
        <w:t>, p. 4)</w:t>
      </w:r>
      <w:r w:rsidRPr="00DD331C">
        <w:rPr>
          <w:rFonts w:asciiTheme="majorHAnsi" w:eastAsia="Calibri" w:hAnsiTheme="majorHAnsi" w:cstheme="majorHAnsi"/>
          <w:sz w:val="23"/>
          <w:szCs w:val="23"/>
        </w:rPr>
        <w:t>.</w:t>
      </w:r>
    </w:p>
    <w:p w14:paraId="6A80D442" w14:textId="77777777" w:rsidR="00F00E3D" w:rsidRPr="00B67039" w:rsidRDefault="00F00E3D" w:rsidP="004D51EB">
      <w:pPr>
        <w:spacing w:after="0" w:line="276" w:lineRule="auto"/>
        <w:rPr>
          <w:rFonts w:asciiTheme="majorHAnsi" w:eastAsia="Calibri" w:hAnsiTheme="majorHAnsi" w:cstheme="majorHAnsi"/>
          <w:sz w:val="16"/>
          <w:szCs w:val="16"/>
        </w:rPr>
      </w:pPr>
    </w:p>
    <w:p w14:paraId="6B5BCC61" w14:textId="49A7C0D9" w:rsidR="00F00E3D" w:rsidRPr="00DD331C" w:rsidRDefault="00F00E3D" w:rsidP="004D51EB">
      <w:pPr>
        <w:spacing w:after="0"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In Australia, 40 </w:t>
      </w:r>
      <w:r w:rsidR="00065A1B">
        <w:rPr>
          <w:rFonts w:asciiTheme="majorHAnsi" w:eastAsia="Calibri" w:hAnsiTheme="majorHAnsi" w:cstheme="majorHAnsi"/>
          <w:sz w:val="23"/>
          <w:szCs w:val="23"/>
        </w:rPr>
        <w:t>percent</w:t>
      </w:r>
      <w:r w:rsidRPr="00DD331C">
        <w:rPr>
          <w:rFonts w:asciiTheme="majorHAnsi" w:eastAsia="Calibri" w:hAnsiTheme="majorHAnsi" w:cstheme="majorHAnsi"/>
          <w:sz w:val="23"/>
          <w:szCs w:val="23"/>
        </w:rPr>
        <w:t xml:space="preserve"> of GDP and 70 </w:t>
      </w:r>
      <w:r w:rsidR="00065A1B">
        <w:rPr>
          <w:rFonts w:asciiTheme="majorHAnsi" w:eastAsia="Calibri" w:hAnsiTheme="majorHAnsi" w:cstheme="majorHAnsi"/>
          <w:sz w:val="23"/>
          <w:szCs w:val="23"/>
        </w:rPr>
        <w:t>percent</w:t>
      </w:r>
      <w:r w:rsidRPr="00DD331C">
        <w:rPr>
          <w:rFonts w:asciiTheme="majorHAnsi" w:eastAsia="Calibri" w:hAnsiTheme="majorHAnsi" w:cstheme="majorHAnsi"/>
          <w:sz w:val="23"/>
          <w:szCs w:val="23"/>
        </w:rPr>
        <w:t xml:space="preserve"> of employment is derived from services</w:t>
      </w:r>
      <w:r w:rsidR="00B67039">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and this </w:t>
      </w:r>
      <w:r w:rsidR="00DC7E65">
        <w:rPr>
          <w:rFonts w:asciiTheme="majorHAnsi" w:eastAsia="Calibri" w:hAnsiTheme="majorHAnsi" w:cstheme="majorHAnsi"/>
          <w:sz w:val="23"/>
          <w:szCs w:val="23"/>
        </w:rPr>
        <w:t>area took a major blow</w:t>
      </w:r>
      <w:r w:rsidRPr="00DD331C">
        <w:rPr>
          <w:rFonts w:asciiTheme="majorHAnsi" w:eastAsia="Calibri" w:hAnsiTheme="majorHAnsi" w:cstheme="majorHAnsi"/>
          <w:sz w:val="23"/>
          <w:szCs w:val="23"/>
        </w:rPr>
        <w:t xml:space="preserve">. </w:t>
      </w:r>
      <w:r w:rsidR="00E80B47">
        <w:rPr>
          <w:rFonts w:asciiTheme="majorHAnsi" w:eastAsia="Calibri" w:hAnsiTheme="majorHAnsi" w:cstheme="majorHAnsi"/>
          <w:sz w:val="23"/>
          <w:szCs w:val="23"/>
        </w:rPr>
        <w:t>A</w:t>
      </w:r>
      <w:r w:rsidR="00330756">
        <w:rPr>
          <w:rFonts w:asciiTheme="majorHAnsi" w:eastAsia="Calibri" w:hAnsiTheme="majorHAnsi" w:cstheme="majorHAnsi"/>
          <w:sz w:val="23"/>
          <w:szCs w:val="23"/>
        </w:rPr>
        <w:t xml:space="preserve"> Grattan Institute</w:t>
      </w:r>
      <w:r w:rsidR="00330756" w:rsidRPr="00330756">
        <w:rPr>
          <w:rFonts w:asciiTheme="majorHAnsi" w:eastAsia="Calibri" w:hAnsiTheme="majorHAnsi" w:cstheme="majorHAnsi"/>
          <w:sz w:val="23"/>
          <w:szCs w:val="23"/>
        </w:rPr>
        <w:t xml:space="preserve"> </w:t>
      </w:r>
      <w:r w:rsidR="00330756">
        <w:rPr>
          <w:rFonts w:asciiTheme="majorHAnsi" w:eastAsia="Calibri" w:hAnsiTheme="majorHAnsi" w:cstheme="majorHAnsi"/>
          <w:sz w:val="23"/>
          <w:szCs w:val="23"/>
        </w:rPr>
        <w:t>report</w:t>
      </w:r>
      <w:r w:rsidR="007F3D15">
        <w:rPr>
          <w:rFonts w:asciiTheme="majorHAnsi" w:eastAsia="Calibri" w:hAnsiTheme="majorHAnsi" w:cstheme="majorHAnsi"/>
          <w:sz w:val="23"/>
          <w:szCs w:val="23"/>
        </w:rPr>
        <w:t xml:space="preserve"> published</w:t>
      </w:r>
      <w:r w:rsidR="00330756">
        <w:rPr>
          <w:rFonts w:asciiTheme="majorHAnsi" w:eastAsia="Calibri" w:hAnsiTheme="majorHAnsi" w:cstheme="majorHAnsi"/>
          <w:sz w:val="23"/>
          <w:szCs w:val="23"/>
        </w:rPr>
        <w:t xml:space="preserve"> </w:t>
      </w:r>
      <w:r w:rsidR="007F3D15">
        <w:rPr>
          <w:rFonts w:asciiTheme="majorHAnsi" w:eastAsia="Calibri" w:hAnsiTheme="majorHAnsi" w:cstheme="majorHAnsi"/>
          <w:sz w:val="23"/>
          <w:szCs w:val="23"/>
        </w:rPr>
        <w:t>in</w:t>
      </w:r>
      <w:r w:rsidR="00330756">
        <w:rPr>
          <w:rFonts w:asciiTheme="majorHAnsi" w:eastAsia="Calibri" w:hAnsiTheme="majorHAnsi" w:cstheme="majorHAnsi"/>
          <w:sz w:val="23"/>
          <w:szCs w:val="23"/>
        </w:rPr>
        <w:t xml:space="preserve"> April 2020</w:t>
      </w:r>
      <w:r w:rsidR="00E80B47">
        <w:rPr>
          <w:rFonts w:asciiTheme="majorHAnsi" w:eastAsia="Calibri" w:hAnsiTheme="majorHAnsi" w:cstheme="majorHAnsi"/>
          <w:sz w:val="23"/>
          <w:szCs w:val="23"/>
        </w:rPr>
        <w:t xml:space="preserve"> listed</w:t>
      </w:r>
      <w:r w:rsidR="007F3D15">
        <w:rPr>
          <w:rFonts w:asciiTheme="majorHAnsi" w:eastAsia="Calibri" w:hAnsiTheme="majorHAnsi" w:cstheme="majorHAnsi"/>
          <w:sz w:val="23"/>
          <w:szCs w:val="23"/>
        </w:rPr>
        <w:t xml:space="preserve"> </w:t>
      </w:r>
      <w:r w:rsidR="002E1919">
        <w:rPr>
          <w:rFonts w:asciiTheme="majorHAnsi" w:eastAsia="Calibri" w:hAnsiTheme="majorHAnsi" w:cstheme="majorHAnsi"/>
          <w:sz w:val="23"/>
          <w:szCs w:val="23"/>
        </w:rPr>
        <w:t>the</w:t>
      </w:r>
      <w:r w:rsidRPr="00DD331C">
        <w:rPr>
          <w:rFonts w:asciiTheme="majorHAnsi" w:eastAsia="Calibri" w:hAnsiTheme="majorHAnsi" w:cstheme="majorHAnsi"/>
          <w:sz w:val="23"/>
          <w:szCs w:val="23"/>
        </w:rPr>
        <w:t xml:space="preserve"> economic sectors and industries most impacted by </w:t>
      </w:r>
      <w:r w:rsidR="00940D80">
        <w:rPr>
          <w:rFonts w:asciiTheme="majorHAnsi" w:eastAsia="Calibri" w:hAnsiTheme="majorHAnsi" w:cstheme="majorHAnsi"/>
          <w:sz w:val="23"/>
          <w:szCs w:val="23"/>
        </w:rPr>
        <w:t>COVID</w:t>
      </w:r>
      <w:r w:rsidRPr="00DD331C">
        <w:rPr>
          <w:rFonts w:asciiTheme="majorHAnsi" w:eastAsia="Calibri" w:hAnsiTheme="majorHAnsi" w:cstheme="majorHAnsi"/>
          <w:sz w:val="23"/>
          <w:szCs w:val="23"/>
        </w:rPr>
        <w:t>-19</w:t>
      </w:r>
      <w:r w:rsidR="003360DB">
        <w:rPr>
          <w:rFonts w:asciiTheme="majorHAnsi" w:eastAsia="Calibri" w:hAnsiTheme="majorHAnsi" w:cstheme="majorHAnsi"/>
          <w:sz w:val="23"/>
          <w:szCs w:val="23"/>
        </w:rPr>
        <w:t>:</w:t>
      </w:r>
    </w:p>
    <w:p w14:paraId="3BBC8E5D" w14:textId="77777777" w:rsidR="00F00E3D" w:rsidRPr="00DD331C" w:rsidRDefault="00F00E3D" w:rsidP="00364C5D">
      <w:pPr>
        <w:numPr>
          <w:ilvl w:val="0"/>
          <w:numId w:val="35"/>
        </w:numPr>
        <w:spacing w:line="276" w:lineRule="auto"/>
        <w:contextualSpacing/>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hospitality (cafes, restaurants, hotels, and clubs) </w:t>
      </w:r>
    </w:p>
    <w:p w14:paraId="4BAE59A1" w14:textId="77777777" w:rsidR="00F00E3D" w:rsidRPr="00DD331C" w:rsidRDefault="00F00E3D" w:rsidP="00364C5D">
      <w:pPr>
        <w:numPr>
          <w:ilvl w:val="0"/>
          <w:numId w:val="35"/>
        </w:numPr>
        <w:spacing w:line="276" w:lineRule="auto"/>
        <w:contextualSpacing/>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tourism and accommodation </w:t>
      </w:r>
    </w:p>
    <w:p w14:paraId="7AB15924" w14:textId="77777777" w:rsidR="00F00E3D" w:rsidRPr="00DD331C" w:rsidRDefault="00F00E3D" w:rsidP="00364C5D">
      <w:pPr>
        <w:numPr>
          <w:ilvl w:val="0"/>
          <w:numId w:val="35"/>
        </w:numPr>
        <w:spacing w:line="276" w:lineRule="auto"/>
        <w:contextualSpacing/>
        <w:rPr>
          <w:rFonts w:asciiTheme="majorHAnsi" w:eastAsia="Calibri" w:hAnsiTheme="majorHAnsi" w:cstheme="majorHAnsi"/>
          <w:sz w:val="23"/>
          <w:szCs w:val="23"/>
        </w:rPr>
      </w:pPr>
      <w:r w:rsidRPr="00DD331C">
        <w:rPr>
          <w:rFonts w:asciiTheme="majorHAnsi" w:eastAsia="Calibri" w:hAnsiTheme="majorHAnsi" w:cstheme="majorHAnsi"/>
          <w:sz w:val="23"/>
          <w:szCs w:val="23"/>
        </w:rPr>
        <w:t>retail</w:t>
      </w:r>
    </w:p>
    <w:p w14:paraId="00B5AA40" w14:textId="07DA01FF" w:rsidR="00F00E3D" w:rsidRPr="00DD331C" w:rsidRDefault="00F00E3D" w:rsidP="00364C5D">
      <w:pPr>
        <w:numPr>
          <w:ilvl w:val="0"/>
          <w:numId w:val="35"/>
        </w:numPr>
        <w:spacing w:line="276" w:lineRule="auto"/>
        <w:contextualSpacing/>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education (especially those </w:t>
      </w:r>
      <w:r w:rsidR="00B26CE4">
        <w:rPr>
          <w:rFonts w:asciiTheme="majorHAnsi" w:eastAsia="Calibri" w:hAnsiTheme="majorHAnsi" w:cstheme="majorHAnsi"/>
          <w:sz w:val="23"/>
          <w:szCs w:val="23"/>
        </w:rPr>
        <w:t>areas</w:t>
      </w:r>
      <w:r w:rsidRPr="00DD331C">
        <w:rPr>
          <w:rFonts w:asciiTheme="majorHAnsi" w:eastAsia="Calibri" w:hAnsiTheme="majorHAnsi" w:cstheme="majorHAnsi"/>
          <w:sz w:val="23"/>
          <w:szCs w:val="23"/>
        </w:rPr>
        <w:t xml:space="preserve"> exposed to the </w:t>
      </w:r>
      <w:r w:rsidR="00B370AD">
        <w:rPr>
          <w:rFonts w:asciiTheme="majorHAnsi" w:eastAsia="Calibri" w:hAnsiTheme="majorHAnsi" w:cstheme="majorHAnsi"/>
          <w:sz w:val="23"/>
          <w:szCs w:val="23"/>
        </w:rPr>
        <w:t>loss</w:t>
      </w:r>
      <w:r w:rsidRPr="00DD331C">
        <w:rPr>
          <w:rFonts w:asciiTheme="majorHAnsi" w:eastAsia="Calibri" w:hAnsiTheme="majorHAnsi" w:cstheme="majorHAnsi"/>
          <w:sz w:val="23"/>
          <w:szCs w:val="23"/>
        </w:rPr>
        <w:t xml:space="preserve"> of international students)</w:t>
      </w:r>
    </w:p>
    <w:p w14:paraId="54510994" w14:textId="77777777" w:rsidR="00F00E3D" w:rsidRPr="00DD331C" w:rsidRDefault="00F00E3D" w:rsidP="00364C5D">
      <w:pPr>
        <w:numPr>
          <w:ilvl w:val="0"/>
          <w:numId w:val="35"/>
        </w:numPr>
        <w:spacing w:line="276" w:lineRule="auto"/>
        <w:contextualSpacing/>
        <w:rPr>
          <w:rFonts w:asciiTheme="majorHAnsi" w:eastAsia="Calibri" w:hAnsiTheme="majorHAnsi" w:cstheme="majorHAnsi"/>
          <w:sz w:val="23"/>
          <w:szCs w:val="23"/>
        </w:rPr>
      </w:pPr>
      <w:r w:rsidRPr="00DD331C">
        <w:rPr>
          <w:rFonts w:asciiTheme="majorHAnsi" w:eastAsia="Calibri" w:hAnsiTheme="majorHAnsi" w:cstheme="majorHAnsi"/>
          <w:sz w:val="23"/>
          <w:szCs w:val="23"/>
        </w:rPr>
        <w:t>arts</w:t>
      </w:r>
    </w:p>
    <w:p w14:paraId="21C4897B" w14:textId="33A01F07" w:rsidR="00A5696C" w:rsidRDefault="00F00E3D" w:rsidP="00364C5D">
      <w:pPr>
        <w:numPr>
          <w:ilvl w:val="0"/>
          <w:numId w:val="35"/>
        </w:numPr>
        <w:spacing w:line="276" w:lineRule="auto"/>
        <w:contextualSpacing/>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high-touch industries </w:t>
      </w:r>
      <w:bookmarkStart w:id="84" w:name="_Hlk45029240"/>
      <w:r w:rsidRPr="00DD331C">
        <w:rPr>
          <w:rFonts w:asciiTheme="majorHAnsi" w:eastAsia="Calibri" w:hAnsiTheme="majorHAnsi" w:cstheme="majorHAnsi"/>
          <w:sz w:val="23"/>
          <w:szCs w:val="23"/>
        </w:rPr>
        <w:t>(gyms</w:t>
      </w:r>
      <w:r w:rsidR="009E0476">
        <w:rPr>
          <w:rFonts w:asciiTheme="majorHAnsi" w:eastAsia="Calibri" w:hAnsiTheme="majorHAnsi" w:cstheme="majorHAnsi"/>
          <w:sz w:val="23"/>
          <w:szCs w:val="23"/>
        </w:rPr>
        <w:t xml:space="preserve"> and</w:t>
      </w:r>
      <w:r w:rsidRPr="00DD331C">
        <w:rPr>
          <w:rFonts w:asciiTheme="majorHAnsi" w:eastAsia="Calibri" w:hAnsiTheme="majorHAnsi" w:cstheme="majorHAnsi"/>
          <w:sz w:val="23"/>
          <w:szCs w:val="23"/>
        </w:rPr>
        <w:t xml:space="preserve"> trainers, beauty therapists, tattooists)</w:t>
      </w:r>
      <w:r w:rsidR="003360DB" w:rsidRPr="003360DB">
        <w:rPr>
          <w:rFonts w:asciiTheme="majorHAnsi" w:eastAsia="Calibri" w:hAnsiTheme="majorHAnsi" w:cstheme="majorHAnsi"/>
          <w:noProof/>
          <w:sz w:val="23"/>
          <w:szCs w:val="23"/>
        </w:rPr>
        <w:t xml:space="preserve"> </w:t>
      </w:r>
      <w:r w:rsidR="003360DB" w:rsidRPr="00DD331C">
        <w:rPr>
          <w:rFonts w:asciiTheme="majorHAnsi" w:eastAsia="Calibri" w:hAnsiTheme="majorHAnsi" w:cstheme="majorHAnsi"/>
          <w:noProof/>
          <w:sz w:val="23"/>
          <w:szCs w:val="23"/>
        </w:rPr>
        <w:t>(Coates</w:t>
      </w:r>
      <w:r w:rsidR="003360DB">
        <w:rPr>
          <w:rFonts w:asciiTheme="majorHAnsi" w:eastAsia="Calibri" w:hAnsiTheme="majorHAnsi" w:cstheme="majorHAnsi"/>
          <w:noProof/>
          <w:sz w:val="23"/>
          <w:szCs w:val="23"/>
        </w:rPr>
        <w:t xml:space="preserve"> et al.</w:t>
      </w:r>
      <w:r w:rsidR="003360DB" w:rsidRPr="00DD331C">
        <w:rPr>
          <w:rFonts w:asciiTheme="majorHAnsi" w:eastAsia="Calibri" w:hAnsiTheme="majorHAnsi" w:cstheme="majorHAnsi"/>
          <w:noProof/>
          <w:sz w:val="23"/>
          <w:szCs w:val="23"/>
        </w:rPr>
        <w:t>, 2020)</w:t>
      </w:r>
      <w:r w:rsidRPr="00DD331C">
        <w:rPr>
          <w:rFonts w:asciiTheme="majorHAnsi" w:eastAsia="Calibri" w:hAnsiTheme="majorHAnsi" w:cstheme="majorHAnsi"/>
          <w:sz w:val="23"/>
          <w:szCs w:val="23"/>
        </w:rPr>
        <w:t>.</w:t>
      </w:r>
      <w:bookmarkEnd w:id="84"/>
    </w:p>
    <w:p w14:paraId="4EB8B4EB" w14:textId="77777777" w:rsidR="005719B7" w:rsidRPr="005719B7" w:rsidRDefault="005719B7" w:rsidP="004D51EB">
      <w:pPr>
        <w:spacing w:line="276" w:lineRule="auto"/>
        <w:contextualSpacing/>
        <w:rPr>
          <w:rFonts w:asciiTheme="majorHAnsi" w:eastAsia="Calibri" w:hAnsiTheme="majorHAnsi" w:cstheme="majorHAnsi"/>
          <w:sz w:val="16"/>
          <w:szCs w:val="16"/>
        </w:rPr>
      </w:pPr>
    </w:p>
    <w:p w14:paraId="7A346EED" w14:textId="50E5FA6A" w:rsidR="00F00E3D" w:rsidRPr="00DD331C" w:rsidRDefault="00F00E3D" w:rsidP="004D51EB">
      <w:pPr>
        <w:spacing w:after="0"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While unemployment was at 5.1 </w:t>
      </w:r>
      <w:r w:rsidR="00065A1B">
        <w:rPr>
          <w:rFonts w:asciiTheme="majorHAnsi" w:eastAsia="Calibri" w:hAnsiTheme="majorHAnsi" w:cstheme="majorHAnsi"/>
          <w:sz w:val="23"/>
          <w:szCs w:val="23"/>
        </w:rPr>
        <w:t>percent</w:t>
      </w:r>
      <w:r w:rsidRPr="00DD331C">
        <w:rPr>
          <w:rFonts w:asciiTheme="majorHAnsi" w:eastAsia="Calibri" w:hAnsiTheme="majorHAnsi" w:cstheme="majorHAnsi"/>
          <w:sz w:val="23"/>
          <w:szCs w:val="23"/>
        </w:rPr>
        <w:t xml:space="preserve"> </w:t>
      </w:r>
      <w:r w:rsidR="00A65667">
        <w:rPr>
          <w:rFonts w:asciiTheme="majorHAnsi" w:eastAsia="Calibri" w:hAnsiTheme="majorHAnsi" w:cstheme="majorHAnsi"/>
          <w:sz w:val="23"/>
          <w:szCs w:val="23"/>
        </w:rPr>
        <w:t xml:space="preserve">nationally </w:t>
      </w:r>
      <w:r w:rsidRPr="00DD331C">
        <w:rPr>
          <w:rFonts w:asciiTheme="majorHAnsi" w:eastAsia="Calibri" w:hAnsiTheme="majorHAnsi" w:cstheme="majorHAnsi"/>
          <w:sz w:val="23"/>
          <w:szCs w:val="23"/>
        </w:rPr>
        <w:t xml:space="preserve">at the </w:t>
      </w:r>
      <w:r w:rsidR="00B370AD">
        <w:rPr>
          <w:rFonts w:asciiTheme="majorHAnsi" w:eastAsia="Calibri" w:hAnsiTheme="majorHAnsi" w:cstheme="majorHAnsi"/>
          <w:sz w:val="23"/>
          <w:szCs w:val="23"/>
        </w:rPr>
        <w:t xml:space="preserve">start </w:t>
      </w:r>
      <w:r w:rsidRPr="00DD331C">
        <w:rPr>
          <w:rFonts w:asciiTheme="majorHAnsi" w:eastAsia="Calibri" w:hAnsiTheme="majorHAnsi" w:cstheme="majorHAnsi"/>
          <w:sz w:val="23"/>
          <w:szCs w:val="23"/>
        </w:rPr>
        <w:t xml:space="preserve">of 2020, by August it </w:t>
      </w:r>
      <w:r w:rsidR="00B370AD">
        <w:rPr>
          <w:rFonts w:asciiTheme="majorHAnsi" w:eastAsia="Calibri" w:hAnsiTheme="majorHAnsi" w:cstheme="majorHAnsi"/>
          <w:sz w:val="23"/>
          <w:szCs w:val="23"/>
        </w:rPr>
        <w:t>had climbed to</w:t>
      </w:r>
      <w:r w:rsidRPr="00DD331C">
        <w:rPr>
          <w:rFonts w:asciiTheme="majorHAnsi" w:eastAsia="Calibri" w:hAnsiTheme="majorHAnsi" w:cstheme="majorHAnsi"/>
          <w:sz w:val="23"/>
          <w:szCs w:val="23"/>
        </w:rPr>
        <w:t xml:space="preserve"> 7.5 </w:t>
      </w:r>
      <w:r w:rsidR="00065A1B">
        <w:rPr>
          <w:rFonts w:asciiTheme="majorHAnsi" w:eastAsia="Calibri" w:hAnsiTheme="majorHAnsi" w:cstheme="majorHAnsi"/>
          <w:sz w:val="23"/>
          <w:szCs w:val="23"/>
        </w:rPr>
        <w:t>percent</w:t>
      </w:r>
      <w:r w:rsidRPr="00DD331C">
        <w:rPr>
          <w:rFonts w:asciiTheme="majorHAnsi" w:eastAsia="Calibri" w:hAnsiTheme="majorHAnsi" w:cstheme="majorHAnsi"/>
          <w:sz w:val="23"/>
          <w:szCs w:val="23"/>
        </w:rPr>
        <w:t>. When adjusted for the significant decline in labour force participation, the figure was much higher</w:t>
      </w:r>
      <w:r w:rsidR="00A65667">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at 10 </w:t>
      </w:r>
      <w:r w:rsidR="00065A1B">
        <w:rPr>
          <w:rFonts w:asciiTheme="majorHAnsi" w:eastAsia="Calibri" w:hAnsiTheme="majorHAnsi" w:cstheme="majorHAnsi"/>
          <w:sz w:val="23"/>
          <w:szCs w:val="23"/>
        </w:rPr>
        <w:t>percent</w:t>
      </w:r>
      <w:r w:rsidRPr="00DD331C">
        <w:rPr>
          <w:rFonts w:asciiTheme="majorHAnsi" w:eastAsia="Calibri" w:hAnsiTheme="majorHAnsi" w:cstheme="majorHAnsi"/>
          <w:sz w:val="23"/>
          <w:szCs w:val="23"/>
        </w:rPr>
        <w:t>.</w:t>
      </w:r>
      <w:r w:rsidR="00E24FCE">
        <w:rPr>
          <w:rFonts w:asciiTheme="majorHAnsi" w:eastAsia="Calibri" w:hAnsiTheme="majorHAnsi" w:cstheme="majorHAnsi"/>
          <w:sz w:val="23"/>
          <w:szCs w:val="23"/>
        </w:rPr>
        <w:t xml:space="preserve"> </w:t>
      </w:r>
      <w:r w:rsidR="00E24FCE" w:rsidRPr="00E24FCE">
        <w:rPr>
          <w:rFonts w:asciiTheme="majorHAnsi" w:eastAsia="Calibri" w:hAnsiTheme="majorHAnsi" w:cstheme="majorHAnsi"/>
          <w:sz w:val="23"/>
          <w:szCs w:val="23"/>
        </w:rPr>
        <w:t xml:space="preserve">By December, the national rate of unemployment had recovered to 6.6 percent, while the effective rate </w:t>
      </w:r>
      <w:r w:rsidR="00D7554A">
        <w:rPr>
          <w:rFonts w:asciiTheme="majorHAnsi" w:eastAsia="Calibri" w:hAnsiTheme="majorHAnsi" w:cstheme="majorHAnsi"/>
          <w:sz w:val="23"/>
          <w:szCs w:val="23"/>
        </w:rPr>
        <w:t>–</w:t>
      </w:r>
      <w:r w:rsidR="00E24FCE" w:rsidRPr="00E24FCE">
        <w:rPr>
          <w:rFonts w:asciiTheme="majorHAnsi" w:eastAsia="Calibri" w:hAnsiTheme="majorHAnsi" w:cstheme="majorHAnsi"/>
          <w:sz w:val="23"/>
          <w:szCs w:val="23"/>
        </w:rPr>
        <w:t xml:space="preserve"> discounting government JobKeeper payments, and </w:t>
      </w:r>
      <w:r w:rsidR="00E21272">
        <w:rPr>
          <w:rFonts w:asciiTheme="majorHAnsi" w:eastAsia="Calibri" w:hAnsiTheme="majorHAnsi" w:cstheme="majorHAnsi"/>
          <w:sz w:val="23"/>
          <w:szCs w:val="23"/>
        </w:rPr>
        <w:t xml:space="preserve">including </w:t>
      </w:r>
      <w:r w:rsidR="00307951">
        <w:rPr>
          <w:rFonts w:asciiTheme="majorHAnsi" w:eastAsia="Calibri" w:hAnsiTheme="majorHAnsi" w:cstheme="majorHAnsi"/>
          <w:sz w:val="23"/>
          <w:szCs w:val="23"/>
        </w:rPr>
        <w:t>people</w:t>
      </w:r>
      <w:r w:rsidR="00E24FCE" w:rsidRPr="00E24FCE">
        <w:rPr>
          <w:rFonts w:asciiTheme="majorHAnsi" w:eastAsia="Calibri" w:hAnsiTheme="majorHAnsi" w:cstheme="majorHAnsi"/>
          <w:sz w:val="23"/>
          <w:szCs w:val="23"/>
        </w:rPr>
        <w:t xml:space="preserve"> </w:t>
      </w:r>
      <w:r w:rsidR="008B2067">
        <w:rPr>
          <w:rFonts w:asciiTheme="majorHAnsi" w:eastAsia="Calibri" w:hAnsiTheme="majorHAnsi" w:cstheme="majorHAnsi"/>
          <w:sz w:val="23"/>
          <w:szCs w:val="23"/>
        </w:rPr>
        <w:t>not captured by official labour market figures</w:t>
      </w:r>
      <w:r w:rsidR="00547F59">
        <w:rPr>
          <w:rFonts w:asciiTheme="majorHAnsi" w:eastAsia="Calibri" w:hAnsiTheme="majorHAnsi" w:cstheme="majorHAnsi"/>
          <w:sz w:val="23"/>
          <w:szCs w:val="23"/>
        </w:rPr>
        <w:t xml:space="preserve"> </w:t>
      </w:r>
      <w:r w:rsidR="00D7554A">
        <w:rPr>
          <w:rFonts w:asciiTheme="majorHAnsi" w:eastAsia="Calibri" w:hAnsiTheme="majorHAnsi" w:cstheme="majorHAnsi"/>
          <w:sz w:val="23"/>
          <w:szCs w:val="23"/>
        </w:rPr>
        <w:t>–</w:t>
      </w:r>
      <w:r w:rsidR="00E24FCE" w:rsidRPr="00E24FCE">
        <w:rPr>
          <w:rFonts w:asciiTheme="majorHAnsi" w:eastAsia="Calibri" w:hAnsiTheme="majorHAnsi" w:cstheme="majorHAnsi"/>
          <w:sz w:val="23"/>
          <w:szCs w:val="23"/>
        </w:rPr>
        <w:t xml:space="preserve"> was estimated to be around 13 percent.</w:t>
      </w:r>
    </w:p>
    <w:p w14:paraId="48907C53" w14:textId="77777777" w:rsidR="00F00E3D" w:rsidRPr="0068077D" w:rsidRDefault="00F00E3D" w:rsidP="004D51EB">
      <w:pPr>
        <w:spacing w:after="0" w:line="276" w:lineRule="auto"/>
        <w:rPr>
          <w:rFonts w:asciiTheme="majorHAnsi" w:eastAsia="Calibri" w:hAnsiTheme="majorHAnsi" w:cstheme="majorHAnsi"/>
          <w:sz w:val="12"/>
          <w:szCs w:val="12"/>
        </w:rPr>
      </w:pPr>
    </w:p>
    <w:p w14:paraId="69FE4A4D" w14:textId="3E27B11F" w:rsidR="00F00E3D" w:rsidRPr="00DD331C" w:rsidRDefault="00940D80"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COVID</w:t>
      </w:r>
      <w:r w:rsidR="00F00E3D" w:rsidRPr="00DD331C">
        <w:rPr>
          <w:rFonts w:asciiTheme="majorHAnsi" w:eastAsia="Calibri" w:hAnsiTheme="majorHAnsi" w:cstheme="majorHAnsi"/>
          <w:sz w:val="23"/>
          <w:szCs w:val="23"/>
        </w:rPr>
        <w:t xml:space="preserve">-19 </w:t>
      </w:r>
      <w:r w:rsidR="0006788B">
        <w:rPr>
          <w:rFonts w:asciiTheme="majorHAnsi" w:eastAsia="Calibri" w:hAnsiTheme="majorHAnsi" w:cstheme="majorHAnsi"/>
          <w:sz w:val="23"/>
          <w:szCs w:val="23"/>
        </w:rPr>
        <w:t>led to</w:t>
      </w:r>
      <w:r w:rsidR="00F00E3D" w:rsidRPr="00DD331C">
        <w:rPr>
          <w:rFonts w:asciiTheme="majorHAnsi" w:eastAsia="Calibri" w:hAnsiTheme="majorHAnsi" w:cstheme="majorHAnsi"/>
          <w:sz w:val="23"/>
          <w:szCs w:val="23"/>
        </w:rPr>
        <w:t xml:space="preserve"> sharp falls in paid working hours</w:t>
      </w:r>
      <w:r w:rsidR="00456845">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w:t>
      </w:r>
      <w:r w:rsidR="00456845">
        <w:rPr>
          <w:rFonts w:asciiTheme="majorHAnsi" w:eastAsia="Calibri" w:hAnsiTheme="majorHAnsi" w:cstheme="majorHAnsi"/>
          <w:sz w:val="23"/>
          <w:szCs w:val="23"/>
        </w:rPr>
        <w:t>Y</w:t>
      </w:r>
      <w:r w:rsidR="00F00E3D" w:rsidRPr="00DD331C">
        <w:rPr>
          <w:rFonts w:asciiTheme="majorHAnsi" w:eastAsia="Calibri" w:hAnsiTheme="majorHAnsi" w:cstheme="majorHAnsi"/>
          <w:sz w:val="23"/>
          <w:szCs w:val="23"/>
        </w:rPr>
        <w:t>ounger Australians, lower-paid workers</w:t>
      </w:r>
      <w:r w:rsidR="0068077D">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and women </w:t>
      </w:r>
      <w:r w:rsidR="00456845">
        <w:rPr>
          <w:rFonts w:asciiTheme="majorHAnsi" w:eastAsia="Calibri" w:hAnsiTheme="majorHAnsi" w:cstheme="majorHAnsi"/>
          <w:sz w:val="23"/>
          <w:szCs w:val="23"/>
        </w:rPr>
        <w:t xml:space="preserve">were </w:t>
      </w:r>
      <w:r w:rsidR="00F00E3D" w:rsidRPr="00DD331C">
        <w:rPr>
          <w:rFonts w:asciiTheme="majorHAnsi" w:eastAsia="Calibri" w:hAnsiTheme="majorHAnsi" w:cstheme="majorHAnsi"/>
          <w:sz w:val="23"/>
          <w:szCs w:val="23"/>
        </w:rPr>
        <w:t xml:space="preserve">hardest hit </w:t>
      </w:r>
      <w:r w:rsidR="00F00E3D" w:rsidRPr="00DD331C">
        <w:rPr>
          <w:rFonts w:asciiTheme="majorHAnsi" w:eastAsia="Calibri" w:hAnsiTheme="majorHAnsi" w:cstheme="majorHAnsi"/>
          <w:noProof/>
          <w:sz w:val="23"/>
          <w:szCs w:val="23"/>
        </w:rPr>
        <w:t>(Davidson, 2020b)</w:t>
      </w:r>
      <w:r w:rsidR="00F00E3D" w:rsidRPr="00DD331C">
        <w:rPr>
          <w:rFonts w:asciiTheme="majorHAnsi" w:eastAsia="Calibri" w:hAnsiTheme="majorHAnsi" w:cstheme="majorHAnsi"/>
          <w:sz w:val="23"/>
          <w:szCs w:val="23"/>
        </w:rPr>
        <w:t xml:space="preserve">, </w:t>
      </w:r>
      <w:r w:rsidR="009B0122">
        <w:rPr>
          <w:rFonts w:asciiTheme="majorHAnsi" w:eastAsia="Calibri" w:hAnsiTheme="majorHAnsi" w:cstheme="majorHAnsi"/>
          <w:sz w:val="23"/>
          <w:szCs w:val="23"/>
        </w:rPr>
        <w:t>as</w:t>
      </w:r>
      <w:r w:rsidR="00F00E3D" w:rsidRPr="00DD331C">
        <w:rPr>
          <w:rFonts w:asciiTheme="majorHAnsi" w:eastAsia="Calibri" w:hAnsiTheme="majorHAnsi" w:cstheme="majorHAnsi"/>
          <w:sz w:val="23"/>
          <w:szCs w:val="23"/>
        </w:rPr>
        <w:t xml:space="preserve"> </w:t>
      </w:r>
      <w:r w:rsidR="009B0122">
        <w:rPr>
          <w:rFonts w:asciiTheme="majorHAnsi" w:eastAsia="Calibri" w:hAnsiTheme="majorHAnsi" w:cstheme="majorHAnsi"/>
          <w:sz w:val="23"/>
          <w:szCs w:val="23"/>
        </w:rPr>
        <w:t>the</w:t>
      </w:r>
      <w:r w:rsidR="0085364D">
        <w:rPr>
          <w:rFonts w:asciiTheme="majorHAnsi" w:eastAsia="Calibri" w:hAnsiTheme="majorHAnsi" w:cstheme="majorHAnsi"/>
          <w:sz w:val="23"/>
          <w:szCs w:val="23"/>
        </w:rPr>
        <w:t>se groups</w:t>
      </w:r>
      <w:r w:rsidR="009B0122">
        <w:rPr>
          <w:rFonts w:asciiTheme="majorHAnsi" w:eastAsia="Calibri" w:hAnsiTheme="majorHAnsi" w:cstheme="majorHAnsi"/>
          <w:sz w:val="23"/>
          <w:szCs w:val="23"/>
        </w:rPr>
        <w:t xml:space="preserve"> were over-represented in the </w:t>
      </w:r>
      <w:r w:rsidR="00F00E3D" w:rsidRPr="00DD331C">
        <w:rPr>
          <w:rFonts w:asciiTheme="majorHAnsi" w:eastAsia="Calibri" w:hAnsiTheme="majorHAnsi" w:cstheme="majorHAnsi"/>
          <w:sz w:val="23"/>
          <w:szCs w:val="23"/>
        </w:rPr>
        <w:t xml:space="preserve">occupations and industries most affected by lockdowns and social distancing measures </w:t>
      </w:r>
      <w:r w:rsidR="00F00E3D" w:rsidRPr="00DD331C">
        <w:rPr>
          <w:rFonts w:asciiTheme="majorHAnsi" w:eastAsia="Calibri" w:hAnsiTheme="majorHAnsi" w:cstheme="majorHAnsi"/>
          <w:noProof/>
          <w:sz w:val="23"/>
          <w:szCs w:val="23"/>
        </w:rPr>
        <w:t>(Coates et al., 2020)</w:t>
      </w:r>
      <w:r w:rsidR="00F00E3D" w:rsidRPr="00DD331C">
        <w:rPr>
          <w:rFonts w:asciiTheme="majorHAnsi" w:eastAsia="Calibri" w:hAnsiTheme="majorHAnsi" w:cstheme="majorHAnsi"/>
          <w:sz w:val="23"/>
          <w:szCs w:val="23"/>
        </w:rPr>
        <w:t xml:space="preserve">. While </w:t>
      </w:r>
      <w:r w:rsidR="0085364D">
        <w:rPr>
          <w:rFonts w:asciiTheme="majorHAnsi" w:eastAsia="Calibri" w:hAnsiTheme="majorHAnsi" w:cstheme="majorHAnsi"/>
          <w:sz w:val="23"/>
          <w:szCs w:val="23"/>
        </w:rPr>
        <w:t>an</w:t>
      </w:r>
      <w:r w:rsidR="00F00E3D" w:rsidRPr="00DD331C">
        <w:rPr>
          <w:rFonts w:asciiTheme="majorHAnsi" w:eastAsia="Calibri" w:hAnsiTheme="majorHAnsi" w:cstheme="majorHAnsi"/>
          <w:sz w:val="23"/>
          <w:szCs w:val="23"/>
        </w:rPr>
        <w:t xml:space="preserve"> </w:t>
      </w:r>
      <w:r w:rsidR="00F00E3D" w:rsidRPr="00DD331C">
        <w:rPr>
          <w:rFonts w:asciiTheme="majorHAnsi" w:eastAsia="Calibri" w:hAnsiTheme="majorHAnsi" w:cstheme="majorHAnsi"/>
          <w:sz w:val="23"/>
          <w:szCs w:val="23"/>
        </w:rPr>
        <w:lastRenderedPageBreak/>
        <w:t xml:space="preserve">estimated 38.6 </w:t>
      </w:r>
      <w:r w:rsidR="00065A1B">
        <w:rPr>
          <w:rFonts w:asciiTheme="majorHAnsi" w:eastAsia="Calibri" w:hAnsiTheme="majorHAnsi" w:cstheme="majorHAnsi"/>
          <w:sz w:val="23"/>
          <w:szCs w:val="23"/>
        </w:rPr>
        <w:t>percent</w:t>
      </w:r>
      <w:r w:rsidR="00F00E3D" w:rsidRPr="00DD331C">
        <w:rPr>
          <w:rFonts w:asciiTheme="majorHAnsi" w:eastAsia="Calibri" w:hAnsiTheme="majorHAnsi" w:cstheme="majorHAnsi"/>
          <w:sz w:val="23"/>
          <w:szCs w:val="23"/>
        </w:rPr>
        <w:t xml:space="preserve"> of jobs and 39.7 </w:t>
      </w:r>
      <w:r w:rsidR="00065A1B">
        <w:rPr>
          <w:rFonts w:asciiTheme="majorHAnsi" w:eastAsia="Calibri" w:hAnsiTheme="majorHAnsi" w:cstheme="majorHAnsi"/>
          <w:sz w:val="23"/>
          <w:szCs w:val="23"/>
        </w:rPr>
        <w:t>percent</w:t>
      </w:r>
      <w:r w:rsidR="00F00E3D" w:rsidRPr="00DD331C">
        <w:rPr>
          <w:rFonts w:asciiTheme="majorHAnsi" w:eastAsia="Calibri" w:hAnsiTheme="majorHAnsi" w:cstheme="majorHAnsi"/>
          <w:sz w:val="23"/>
          <w:szCs w:val="23"/>
        </w:rPr>
        <w:t xml:space="preserve"> of hours can be </w:t>
      </w:r>
      <w:r w:rsidR="0085364D">
        <w:rPr>
          <w:rFonts w:asciiTheme="majorHAnsi" w:eastAsia="Calibri" w:hAnsiTheme="majorHAnsi" w:cstheme="majorHAnsi"/>
          <w:sz w:val="23"/>
          <w:szCs w:val="23"/>
        </w:rPr>
        <w:t>worked</w:t>
      </w:r>
      <w:r w:rsidR="00F00E3D" w:rsidRPr="00DD331C">
        <w:rPr>
          <w:rFonts w:asciiTheme="majorHAnsi" w:eastAsia="Calibri" w:hAnsiTheme="majorHAnsi" w:cstheme="majorHAnsi"/>
          <w:sz w:val="23"/>
          <w:szCs w:val="23"/>
        </w:rPr>
        <w:t xml:space="preserve"> from home </w:t>
      </w:r>
      <w:r w:rsidR="00F00E3D" w:rsidRPr="00DD331C">
        <w:rPr>
          <w:rFonts w:asciiTheme="majorHAnsi" w:eastAsia="Calibri" w:hAnsiTheme="majorHAnsi" w:cstheme="majorHAnsi"/>
          <w:noProof/>
          <w:sz w:val="23"/>
          <w:szCs w:val="23"/>
        </w:rPr>
        <w:t>(Coates et al., 2020)</w:t>
      </w:r>
      <w:r w:rsidR="00F00E3D" w:rsidRPr="00DD331C">
        <w:rPr>
          <w:rFonts w:asciiTheme="majorHAnsi" w:eastAsia="Calibri" w:hAnsiTheme="majorHAnsi" w:cstheme="majorHAnsi"/>
          <w:sz w:val="23"/>
          <w:szCs w:val="23"/>
        </w:rPr>
        <w:t xml:space="preserve">, this still leaves </w:t>
      </w:r>
      <w:r w:rsidR="0085364D">
        <w:rPr>
          <w:rFonts w:asciiTheme="majorHAnsi" w:eastAsia="Calibri" w:hAnsiTheme="majorHAnsi" w:cstheme="majorHAnsi"/>
          <w:sz w:val="23"/>
          <w:szCs w:val="23"/>
        </w:rPr>
        <w:t xml:space="preserve">over </w:t>
      </w:r>
      <w:r w:rsidR="00F00E3D" w:rsidRPr="00DD331C">
        <w:rPr>
          <w:rFonts w:asciiTheme="majorHAnsi" w:eastAsia="Calibri" w:hAnsiTheme="majorHAnsi" w:cstheme="majorHAnsi"/>
          <w:sz w:val="23"/>
          <w:szCs w:val="23"/>
        </w:rPr>
        <w:t xml:space="preserve">60 </w:t>
      </w:r>
      <w:r w:rsidR="00065A1B">
        <w:rPr>
          <w:rFonts w:asciiTheme="majorHAnsi" w:eastAsia="Calibri" w:hAnsiTheme="majorHAnsi" w:cstheme="majorHAnsi"/>
          <w:sz w:val="23"/>
          <w:szCs w:val="23"/>
        </w:rPr>
        <w:t>percent</w:t>
      </w:r>
      <w:r w:rsidR="00F00E3D" w:rsidRPr="00DD331C">
        <w:rPr>
          <w:rFonts w:asciiTheme="majorHAnsi" w:eastAsia="Calibri" w:hAnsiTheme="majorHAnsi" w:cstheme="majorHAnsi"/>
          <w:sz w:val="23"/>
          <w:szCs w:val="23"/>
        </w:rPr>
        <w:t xml:space="preserve"> of jobs that </w:t>
      </w:r>
      <w:r w:rsidR="0085364D">
        <w:rPr>
          <w:rFonts w:asciiTheme="majorHAnsi" w:eastAsia="Calibri" w:hAnsiTheme="majorHAnsi" w:cstheme="majorHAnsi"/>
          <w:sz w:val="23"/>
          <w:szCs w:val="23"/>
        </w:rPr>
        <w:t>must be</w:t>
      </w:r>
      <w:r w:rsidR="00F00E3D" w:rsidRPr="00DD331C">
        <w:rPr>
          <w:rFonts w:asciiTheme="majorHAnsi" w:eastAsia="Calibri" w:hAnsiTheme="majorHAnsi" w:cstheme="majorHAnsi"/>
          <w:sz w:val="23"/>
          <w:szCs w:val="23"/>
        </w:rPr>
        <w:t xml:space="preserve"> done in person. Moreover, “households most vulnerable to loss of employment or reduced working hours were disproportionately younger, single people or sole parent families, living in poverty before </w:t>
      </w:r>
      <w:r>
        <w:rPr>
          <w:rFonts w:asciiTheme="majorHAnsi" w:eastAsia="Calibri" w:hAnsiTheme="majorHAnsi" w:cstheme="majorHAnsi"/>
          <w:sz w:val="23"/>
          <w:szCs w:val="23"/>
        </w:rPr>
        <w:t>COVID</w:t>
      </w:r>
      <w:r w:rsidR="00F00E3D" w:rsidRPr="00DD331C">
        <w:rPr>
          <w:rFonts w:asciiTheme="majorHAnsi" w:eastAsia="Calibri" w:hAnsiTheme="majorHAnsi" w:cstheme="majorHAnsi"/>
          <w:sz w:val="23"/>
          <w:szCs w:val="23"/>
        </w:rPr>
        <w:t xml:space="preserve">-19, and renting privately” </w:t>
      </w:r>
      <w:r w:rsidR="00F00E3D" w:rsidRPr="00DD331C">
        <w:rPr>
          <w:rFonts w:asciiTheme="majorHAnsi" w:eastAsia="Calibri" w:hAnsiTheme="majorHAnsi" w:cstheme="majorHAnsi"/>
          <w:noProof/>
          <w:sz w:val="23"/>
          <w:szCs w:val="23"/>
        </w:rPr>
        <w:t>(Davidson, 2020b, p. 10)</w:t>
      </w:r>
      <w:r w:rsidR="00F00E3D" w:rsidRPr="00DD331C">
        <w:rPr>
          <w:rFonts w:asciiTheme="majorHAnsi" w:eastAsia="Calibri" w:hAnsiTheme="majorHAnsi" w:cstheme="majorHAnsi"/>
          <w:sz w:val="23"/>
          <w:szCs w:val="23"/>
        </w:rPr>
        <w:t xml:space="preserve">. </w:t>
      </w:r>
      <w:r w:rsidR="00AD0DEB">
        <w:rPr>
          <w:rFonts w:asciiTheme="majorHAnsi" w:eastAsia="Calibri" w:hAnsiTheme="majorHAnsi" w:cstheme="majorHAnsi"/>
          <w:sz w:val="23"/>
          <w:szCs w:val="23"/>
        </w:rPr>
        <w:t>A report on inequality in Australia</w:t>
      </w:r>
      <w:r w:rsidR="00F00E3D" w:rsidRPr="00DD331C">
        <w:rPr>
          <w:rFonts w:asciiTheme="majorHAnsi" w:eastAsia="Calibri" w:hAnsiTheme="majorHAnsi" w:cstheme="majorHAnsi"/>
          <w:sz w:val="23"/>
          <w:szCs w:val="23"/>
        </w:rPr>
        <w:t xml:space="preserve"> </w:t>
      </w:r>
      <w:r w:rsidR="00AF29B2">
        <w:rPr>
          <w:rFonts w:asciiTheme="majorHAnsi" w:eastAsia="Calibri" w:hAnsiTheme="majorHAnsi" w:cstheme="majorHAnsi"/>
          <w:sz w:val="23"/>
          <w:szCs w:val="23"/>
        </w:rPr>
        <w:t xml:space="preserve">warned that </w:t>
      </w:r>
      <w:r w:rsidR="00F00E3D" w:rsidRPr="00DD331C">
        <w:rPr>
          <w:rFonts w:asciiTheme="majorHAnsi" w:eastAsia="Calibri" w:hAnsiTheme="majorHAnsi" w:cstheme="majorHAnsi"/>
          <w:sz w:val="23"/>
          <w:szCs w:val="23"/>
        </w:rPr>
        <w:t xml:space="preserve">public policy </w:t>
      </w:r>
      <w:r w:rsidR="00AF29B2">
        <w:rPr>
          <w:rFonts w:asciiTheme="majorHAnsi" w:eastAsia="Calibri" w:hAnsiTheme="majorHAnsi" w:cstheme="majorHAnsi"/>
          <w:sz w:val="23"/>
          <w:szCs w:val="23"/>
        </w:rPr>
        <w:t>should</w:t>
      </w:r>
      <w:r w:rsidR="00F00E3D" w:rsidRPr="00DD331C">
        <w:rPr>
          <w:rFonts w:asciiTheme="majorHAnsi" w:eastAsia="Calibri" w:hAnsiTheme="majorHAnsi" w:cstheme="majorHAnsi"/>
          <w:sz w:val="23"/>
          <w:szCs w:val="23"/>
        </w:rPr>
        <w:t xml:space="preserve"> target:</w:t>
      </w:r>
    </w:p>
    <w:p w14:paraId="5B75571E" w14:textId="77777777" w:rsidR="00F00E3D" w:rsidRPr="0085364D" w:rsidRDefault="00F00E3D" w:rsidP="004D51EB">
      <w:pPr>
        <w:spacing w:after="0" w:line="276" w:lineRule="auto"/>
        <w:rPr>
          <w:rFonts w:asciiTheme="majorHAnsi" w:eastAsia="Calibri" w:hAnsiTheme="majorHAnsi" w:cstheme="majorHAnsi"/>
          <w:sz w:val="16"/>
          <w:szCs w:val="16"/>
        </w:rPr>
      </w:pPr>
    </w:p>
    <w:p w14:paraId="3F9C105C" w14:textId="5D17E559" w:rsidR="00F00E3D" w:rsidRPr="0085364D" w:rsidRDefault="00F00E3D" w:rsidP="004D51EB">
      <w:pPr>
        <w:spacing w:after="0" w:line="276" w:lineRule="auto"/>
        <w:ind w:left="567" w:right="1088"/>
        <w:rPr>
          <w:rFonts w:asciiTheme="majorHAnsi" w:eastAsia="Calibri" w:hAnsiTheme="majorHAnsi" w:cstheme="majorHAnsi"/>
          <w:sz w:val="23"/>
          <w:szCs w:val="23"/>
        </w:rPr>
      </w:pPr>
      <w:r w:rsidRPr="0085364D">
        <w:rPr>
          <w:rFonts w:asciiTheme="majorHAnsi" w:eastAsia="Calibri" w:hAnsiTheme="majorHAnsi" w:cstheme="majorHAnsi"/>
          <w:sz w:val="23"/>
          <w:szCs w:val="23"/>
        </w:rPr>
        <w:t xml:space="preserve">investment in employment assistance and training for those who have lost employment or paid working hours, particularly women, young people and those unemployed long-term… Otherwise, those on the lowest incomes would no longer be shielded from the effects of higher unemployment and income loss, and it is likely that </w:t>
      </w:r>
      <w:r w:rsidR="00940D80" w:rsidRPr="0085364D">
        <w:rPr>
          <w:rFonts w:asciiTheme="majorHAnsi" w:eastAsia="Calibri" w:hAnsiTheme="majorHAnsi" w:cstheme="majorHAnsi"/>
          <w:sz w:val="23"/>
          <w:szCs w:val="23"/>
        </w:rPr>
        <w:t>COVID</w:t>
      </w:r>
      <w:r w:rsidR="009E0476">
        <w:rPr>
          <w:rFonts w:asciiTheme="majorHAnsi" w:eastAsia="Calibri" w:hAnsiTheme="majorHAnsi" w:cstheme="majorHAnsi"/>
          <w:sz w:val="23"/>
          <w:szCs w:val="23"/>
        </w:rPr>
        <w:t>-</w:t>
      </w:r>
      <w:r w:rsidRPr="0085364D">
        <w:rPr>
          <w:rFonts w:asciiTheme="majorHAnsi" w:eastAsia="Calibri" w:hAnsiTheme="majorHAnsi" w:cstheme="majorHAnsi"/>
          <w:sz w:val="23"/>
          <w:szCs w:val="23"/>
        </w:rPr>
        <w:t>19 will leave a legacy of greatly</w:t>
      </w:r>
      <w:r w:rsidR="00EB6928">
        <w:rPr>
          <w:rFonts w:asciiTheme="majorHAnsi" w:eastAsia="Calibri" w:hAnsiTheme="majorHAnsi" w:cstheme="majorHAnsi"/>
          <w:sz w:val="23"/>
          <w:szCs w:val="23"/>
        </w:rPr>
        <w:t xml:space="preserve"> </w:t>
      </w:r>
      <w:r w:rsidRPr="0085364D">
        <w:rPr>
          <w:rFonts w:asciiTheme="majorHAnsi" w:eastAsia="Calibri" w:hAnsiTheme="majorHAnsi" w:cstheme="majorHAnsi"/>
          <w:sz w:val="23"/>
          <w:szCs w:val="23"/>
        </w:rPr>
        <w:t xml:space="preserve">increased income inequality and poverty </w:t>
      </w:r>
      <w:r w:rsidRPr="0085364D">
        <w:rPr>
          <w:rFonts w:asciiTheme="majorHAnsi" w:eastAsia="Calibri" w:hAnsiTheme="majorHAnsi" w:cstheme="majorHAnsi"/>
          <w:noProof/>
          <w:sz w:val="23"/>
          <w:szCs w:val="23"/>
        </w:rPr>
        <w:t>(Davidson, 2020b, p. 14)</w:t>
      </w:r>
      <w:r w:rsidRPr="0085364D">
        <w:rPr>
          <w:rFonts w:asciiTheme="majorHAnsi" w:eastAsia="Calibri" w:hAnsiTheme="majorHAnsi" w:cstheme="majorHAnsi"/>
          <w:sz w:val="23"/>
          <w:szCs w:val="23"/>
        </w:rPr>
        <w:t>.</w:t>
      </w:r>
    </w:p>
    <w:p w14:paraId="612C79EE" w14:textId="77777777" w:rsidR="00F00E3D" w:rsidRPr="004D51EB" w:rsidRDefault="00F00E3D" w:rsidP="004D51EB">
      <w:pPr>
        <w:spacing w:after="0" w:line="276" w:lineRule="auto"/>
        <w:rPr>
          <w:rFonts w:asciiTheme="majorHAnsi" w:eastAsia="Calibri" w:hAnsiTheme="majorHAnsi" w:cstheme="majorHAnsi"/>
          <w:sz w:val="16"/>
          <w:szCs w:val="16"/>
        </w:rPr>
      </w:pPr>
    </w:p>
    <w:p w14:paraId="40248669" w14:textId="5B3C25AE" w:rsidR="0012314F" w:rsidRDefault="00F00E3D" w:rsidP="004D51EB">
      <w:pPr>
        <w:spacing w:line="276" w:lineRule="auto"/>
        <w:rPr>
          <w:rFonts w:asciiTheme="majorHAnsi" w:eastAsia="Times New Roman" w:hAnsiTheme="majorHAnsi" w:cstheme="majorHAnsi"/>
          <w:sz w:val="23"/>
          <w:szCs w:val="23"/>
          <w:lang w:eastAsia="en-GB"/>
        </w:rPr>
      </w:pPr>
      <w:r w:rsidRPr="00DD331C">
        <w:rPr>
          <w:rFonts w:asciiTheme="majorHAnsi" w:eastAsia="Times New Roman" w:hAnsiTheme="majorHAnsi" w:cstheme="majorHAnsi"/>
          <w:sz w:val="23"/>
          <w:szCs w:val="23"/>
          <w:lang w:eastAsia="en-GB"/>
        </w:rPr>
        <w:t>A</w:t>
      </w:r>
      <w:r w:rsidR="00DD47E6">
        <w:rPr>
          <w:rFonts w:asciiTheme="majorHAnsi" w:eastAsia="Times New Roman" w:hAnsiTheme="majorHAnsi" w:cstheme="majorHAnsi"/>
          <w:sz w:val="23"/>
          <w:szCs w:val="23"/>
          <w:lang w:eastAsia="en-GB"/>
        </w:rPr>
        <w:t>nother</w:t>
      </w:r>
      <w:r w:rsidRPr="00DD331C">
        <w:rPr>
          <w:rFonts w:asciiTheme="majorHAnsi" w:eastAsia="Times New Roman" w:hAnsiTheme="majorHAnsi" w:cstheme="majorHAnsi"/>
          <w:sz w:val="23"/>
          <w:szCs w:val="23"/>
          <w:lang w:eastAsia="en-GB"/>
        </w:rPr>
        <w:t xml:space="preserve"> </w:t>
      </w:r>
      <w:r w:rsidR="004B7FE2">
        <w:rPr>
          <w:rFonts w:asciiTheme="majorHAnsi" w:eastAsia="Times New Roman" w:hAnsiTheme="majorHAnsi" w:cstheme="majorHAnsi"/>
          <w:sz w:val="23"/>
          <w:szCs w:val="23"/>
          <w:lang w:eastAsia="en-GB"/>
        </w:rPr>
        <w:t>2020</w:t>
      </w:r>
      <w:r w:rsidRPr="00DD331C">
        <w:rPr>
          <w:rFonts w:asciiTheme="majorHAnsi" w:eastAsia="Times New Roman" w:hAnsiTheme="majorHAnsi" w:cstheme="majorHAnsi"/>
          <w:sz w:val="23"/>
          <w:szCs w:val="23"/>
          <w:lang w:eastAsia="en-GB"/>
        </w:rPr>
        <w:t xml:space="preserve"> study </w:t>
      </w:r>
      <w:r w:rsidR="004D51EB">
        <w:rPr>
          <w:rFonts w:asciiTheme="majorHAnsi" w:eastAsia="Times New Roman" w:hAnsiTheme="majorHAnsi" w:cstheme="majorHAnsi"/>
          <w:sz w:val="23"/>
          <w:szCs w:val="23"/>
          <w:lang w:eastAsia="en-GB"/>
        </w:rPr>
        <w:t>suggest</w:t>
      </w:r>
      <w:r w:rsidR="004B7FE2">
        <w:rPr>
          <w:rFonts w:asciiTheme="majorHAnsi" w:eastAsia="Times New Roman" w:hAnsiTheme="majorHAnsi" w:cstheme="majorHAnsi"/>
          <w:sz w:val="23"/>
          <w:szCs w:val="23"/>
          <w:lang w:eastAsia="en-GB"/>
        </w:rPr>
        <w:t>ed</w:t>
      </w:r>
      <w:r w:rsidR="004D51EB">
        <w:rPr>
          <w:rFonts w:asciiTheme="majorHAnsi" w:eastAsia="Times New Roman" w:hAnsiTheme="majorHAnsi" w:cstheme="majorHAnsi"/>
          <w:sz w:val="23"/>
          <w:szCs w:val="23"/>
          <w:lang w:eastAsia="en-GB"/>
        </w:rPr>
        <w:t xml:space="preserve"> that following shutdowns</w:t>
      </w:r>
      <w:r w:rsidR="00AF29B2">
        <w:rPr>
          <w:rFonts w:asciiTheme="majorHAnsi" w:eastAsia="Times New Roman" w:hAnsiTheme="majorHAnsi" w:cstheme="majorHAnsi"/>
          <w:sz w:val="23"/>
          <w:szCs w:val="23"/>
          <w:lang w:eastAsia="en-GB"/>
        </w:rPr>
        <w:t>,</w:t>
      </w:r>
      <w:r w:rsidRPr="00DD331C">
        <w:rPr>
          <w:rFonts w:asciiTheme="majorHAnsi" w:eastAsia="Times New Roman" w:hAnsiTheme="majorHAnsi" w:cstheme="majorHAnsi"/>
          <w:sz w:val="23"/>
          <w:szCs w:val="23"/>
          <w:lang w:eastAsia="en-GB"/>
        </w:rPr>
        <w:t xml:space="preserve"> </w:t>
      </w:r>
      <w:r w:rsidR="00AF29B2" w:rsidRPr="00DD331C">
        <w:rPr>
          <w:rFonts w:asciiTheme="majorHAnsi" w:eastAsia="Times New Roman" w:hAnsiTheme="majorHAnsi" w:cstheme="majorHAnsi"/>
          <w:sz w:val="23"/>
          <w:szCs w:val="23"/>
          <w:lang w:eastAsia="en-GB"/>
        </w:rPr>
        <w:t xml:space="preserve">employment services </w:t>
      </w:r>
      <w:r w:rsidRPr="00DD331C">
        <w:rPr>
          <w:rFonts w:asciiTheme="majorHAnsi" w:eastAsia="Times New Roman" w:hAnsiTheme="majorHAnsi" w:cstheme="majorHAnsi"/>
          <w:sz w:val="23"/>
          <w:szCs w:val="23"/>
          <w:lang w:eastAsia="en-GB"/>
        </w:rPr>
        <w:t xml:space="preserve">will have to be redesigned to “combine effective face to face job counselling, job matching technologies, and intensive case management with well-targeted employer demand strategies” </w:t>
      </w:r>
      <w:r w:rsidRPr="00DD331C">
        <w:rPr>
          <w:rFonts w:asciiTheme="majorHAnsi" w:eastAsia="Times New Roman" w:hAnsiTheme="majorHAnsi" w:cstheme="majorHAnsi"/>
          <w:noProof/>
          <w:sz w:val="23"/>
          <w:szCs w:val="23"/>
          <w:lang w:eastAsia="en-GB"/>
        </w:rPr>
        <w:t>(Casey &amp; Lewis, 2020, p. 7)</w:t>
      </w:r>
      <w:r w:rsidRPr="00DD331C">
        <w:rPr>
          <w:rFonts w:asciiTheme="majorHAnsi" w:eastAsia="Times New Roman" w:hAnsiTheme="majorHAnsi" w:cstheme="majorHAnsi"/>
          <w:sz w:val="23"/>
          <w:szCs w:val="23"/>
          <w:lang w:eastAsia="en-GB"/>
        </w:rPr>
        <w:t>.</w:t>
      </w:r>
    </w:p>
    <w:p w14:paraId="763B6604" w14:textId="6CD1830C" w:rsidR="0012314F" w:rsidRDefault="0012314F" w:rsidP="004D51EB">
      <w:p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Looking ahead, i</w:t>
      </w:r>
      <w:r w:rsidRPr="00C65B3D">
        <w:rPr>
          <w:rFonts w:asciiTheme="majorHAnsi" w:eastAsia="Times New Roman" w:hAnsiTheme="majorHAnsi" w:cstheme="majorHAnsi"/>
          <w:sz w:val="23"/>
          <w:szCs w:val="23"/>
          <w:lang w:eastAsia="en-GB"/>
        </w:rPr>
        <w:t xml:space="preserve">ndustries that rely on international travel and migration – especially higher education, tourism, and aviation – are likely to remain depressed </w:t>
      </w:r>
      <w:r>
        <w:rPr>
          <w:rFonts w:asciiTheme="majorHAnsi" w:eastAsia="Times New Roman" w:hAnsiTheme="majorHAnsi" w:cstheme="majorHAnsi"/>
          <w:sz w:val="23"/>
          <w:szCs w:val="23"/>
          <w:lang w:eastAsia="en-GB"/>
        </w:rPr>
        <w:t>while</w:t>
      </w:r>
      <w:r w:rsidRPr="00C65B3D">
        <w:rPr>
          <w:rFonts w:asciiTheme="majorHAnsi" w:eastAsia="Times New Roman" w:hAnsiTheme="majorHAnsi" w:cstheme="majorHAnsi"/>
          <w:sz w:val="23"/>
          <w:szCs w:val="23"/>
          <w:lang w:eastAsia="en-GB"/>
        </w:rPr>
        <w:t xml:space="preserve"> Australia’s borders </w:t>
      </w:r>
      <w:r>
        <w:rPr>
          <w:rFonts w:asciiTheme="majorHAnsi" w:eastAsia="Times New Roman" w:hAnsiTheme="majorHAnsi" w:cstheme="majorHAnsi"/>
          <w:sz w:val="23"/>
          <w:szCs w:val="23"/>
          <w:lang w:eastAsia="en-GB"/>
        </w:rPr>
        <w:t>remain</w:t>
      </w:r>
      <w:r w:rsidRPr="00C65B3D">
        <w:rPr>
          <w:rFonts w:asciiTheme="majorHAnsi" w:eastAsia="Times New Roman" w:hAnsiTheme="majorHAnsi" w:cstheme="majorHAnsi"/>
          <w:sz w:val="23"/>
          <w:szCs w:val="23"/>
          <w:lang w:eastAsia="en-GB"/>
        </w:rPr>
        <w:t xml:space="preserve"> closed or restricted</w:t>
      </w:r>
      <w:r>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noProof/>
          <w:sz w:val="23"/>
          <w:szCs w:val="23"/>
          <w:lang w:eastAsia="en-GB"/>
        </w:rPr>
        <w:t>(Wood, Griffiths, &amp; Crowley, 2021)</w:t>
      </w:r>
      <w:r>
        <w:rPr>
          <w:rFonts w:asciiTheme="majorHAnsi" w:eastAsia="Times New Roman" w:hAnsiTheme="majorHAnsi" w:cstheme="majorHAnsi"/>
          <w:sz w:val="23"/>
          <w:szCs w:val="23"/>
          <w:lang w:eastAsia="en-GB"/>
        </w:rPr>
        <w:t xml:space="preserve">. </w:t>
      </w:r>
      <w:r w:rsidRPr="00423CBB">
        <w:rPr>
          <w:rFonts w:asciiTheme="majorHAnsi" w:eastAsia="Times New Roman" w:hAnsiTheme="majorHAnsi" w:cstheme="majorHAnsi"/>
          <w:sz w:val="23"/>
          <w:szCs w:val="23"/>
          <w:lang w:eastAsia="en-GB"/>
        </w:rPr>
        <w:t>Universities Australia estimate</w:t>
      </w:r>
      <w:r>
        <w:rPr>
          <w:rFonts w:asciiTheme="majorHAnsi" w:eastAsia="Times New Roman" w:hAnsiTheme="majorHAnsi" w:cstheme="majorHAnsi"/>
          <w:sz w:val="23"/>
          <w:szCs w:val="23"/>
          <w:lang w:eastAsia="en-GB"/>
        </w:rPr>
        <w:t>s</w:t>
      </w:r>
      <w:r w:rsidRPr="00423CBB">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the sector will lose </w:t>
      </w:r>
      <w:r w:rsidRPr="00423CBB">
        <w:rPr>
          <w:rFonts w:asciiTheme="majorHAnsi" w:eastAsia="Times New Roman" w:hAnsiTheme="majorHAnsi" w:cstheme="majorHAnsi"/>
          <w:sz w:val="23"/>
          <w:szCs w:val="23"/>
          <w:lang w:eastAsia="en-GB"/>
        </w:rPr>
        <w:t xml:space="preserve">$16 billion in revenue between June 2020 and 2023, and widespread job losses have been reported across </w:t>
      </w:r>
      <w:r>
        <w:rPr>
          <w:rFonts w:asciiTheme="majorHAnsi" w:eastAsia="Times New Roman" w:hAnsiTheme="majorHAnsi" w:cstheme="majorHAnsi"/>
          <w:sz w:val="23"/>
          <w:szCs w:val="23"/>
          <w:lang w:eastAsia="en-GB"/>
        </w:rPr>
        <w:t xml:space="preserve">higher education </w:t>
      </w:r>
      <w:r w:rsidRPr="00423CBB">
        <w:rPr>
          <w:rFonts w:asciiTheme="majorHAnsi" w:eastAsia="Times New Roman" w:hAnsiTheme="majorHAnsi" w:cstheme="majorHAnsi"/>
          <w:sz w:val="23"/>
          <w:szCs w:val="23"/>
          <w:lang w:eastAsia="en-GB"/>
        </w:rPr>
        <w:t>institutions</w:t>
      </w:r>
      <w:r>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noProof/>
          <w:sz w:val="23"/>
          <w:szCs w:val="23"/>
          <w:lang w:eastAsia="en-GB"/>
        </w:rPr>
        <w:t>(Ferguson &amp; Love, 2020)</w:t>
      </w:r>
      <w:r w:rsidRPr="00423CBB">
        <w:rPr>
          <w:rFonts w:asciiTheme="majorHAnsi" w:eastAsia="Times New Roman" w:hAnsiTheme="majorHAnsi" w:cstheme="majorHAnsi"/>
          <w:sz w:val="23"/>
          <w:szCs w:val="23"/>
          <w:lang w:eastAsia="en-GB"/>
        </w:rPr>
        <w:t>.</w:t>
      </w:r>
      <w:r>
        <w:rPr>
          <w:rFonts w:asciiTheme="majorHAnsi" w:eastAsia="Times New Roman" w:hAnsiTheme="majorHAnsi" w:cstheme="majorHAnsi"/>
          <w:sz w:val="23"/>
          <w:szCs w:val="23"/>
          <w:lang w:eastAsia="en-GB"/>
        </w:rPr>
        <w:t xml:space="preserve"> </w:t>
      </w:r>
      <w:r w:rsidR="00162E57">
        <w:rPr>
          <w:rFonts w:asciiTheme="majorHAnsi" w:eastAsia="Times New Roman" w:hAnsiTheme="majorHAnsi" w:cstheme="majorHAnsi"/>
          <w:sz w:val="23"/>
          <w:szCs w:val="23"/>
          <w:lang w:eastAsia="en-GB"/>
        </w:rPr>
        <w:t>W</w:t>
      </w:r>
      <w:r w:rsidRPr="00C3129F">
        <w:rPr>
          <w:rFonts w:asciiTheme="majorHAnsi" w:eastAsia="Times New Roman" w:hAnsiTheme="majorHAnsi" w:cstheme="majorHAnsi"/>
          <w:sz w:val="23"/>
          <w:szCs w:val="23"/>
          <w:lang w:eastAsia="en-GB"/>
        </w:rPr>
        <w:t>orkers in</w:t>
      </w:r>
      <w:r>
        <w:rPr>
          <w:rFonts w:asciiTheme="majorHAnsi" w:eastAsia="Times New Roman" w:hAnsiTheme="majorHAnsi" w:cstheme="majorHAnsi"/>
          <w:sz w:val="23"/>
          <w:szCs w:val="23"/>
          <w:lang w:eastAsia="en-GB"/>
        </w:rPr>
        <w:t xml:space="preserve"> </w:t>
      </w:r>
      <w:r w:rsidRPr="00C3129F">
        <w:rPr>
          <w:rFonts w:asciiTheme="majorHAnsi" w:eastAsia="Times New Roman" w:hAnsiTheme="majorHAnsi" w:cstheme="majorHAnsi"/>
          <w:sz w:val="23"/>
          <w:szCs w:val="23"/>
          <w:lang w:eastAsia="en-GB"/>
        </w:rPr>
        <w:t>the hospitality industry</w:t>
      </w:r>
      <w:r>
        <w:rPr>
          <w:rFonts w:asciiTheme="majorHAnsi" w:eastAsia="Times New Roman" w:hAnsiTheme="majorHAnsi" w:cstheme="majorHAnsi"/>
          <w:sz w:val="23"/>
          <w:szCs w:val="23"/>
          <w:lang w:eastAsia="en-GB"/>
        </w:rPr>
        <w:t xml:space="preserve">, </w:t>
      </w:r>
      <w:r w:rsidRPr="00C3129F">
        <w:rPr>
          <w:rFonts w:asciiTheme="majorHAnsi" w:eastAsia="Times New Roman" w:hAnsiTheme="majorHAnsi" w:cstheme="majorHAnsi"/>
          <w:sz w:val="23"/>
          <w:szCs w:val="23"/>
          <w:lang w:eastAsia="en-GB"/>
        </w:rPr>
        <w:t>retail, education and training</w:t>
      </w:r>
      <w:r w:rsidR="00162E57">
        <w:rPr>
          <w:rFonts w:asciiTheme="majorHAnsi" w:eastAsia="Times New Roman" w:hAnsiTheme="majorHAnsi" w:cstheme="majorHAnsi"/>
          <w:sz w:val="23"/>
          <w:szCs w:val="23"/>
          <w:lang w:eastAsia="en-GB"/>
        </w:rPr>
        <w:t>,</w:t>
      </w:r>
      <w:r w:rsidRPr="00C3129F">
        <w:rPr>
          <w:rFonts w:asciiTheme="majorHAnsi" w:eastAsia="Times New Roman" w:hAnsiTheme="majorHAnsi" w:cstheme="majorHAnsi"/>
          <w:sz w:val="23"/>
          <w:szCs w:val="23"/>
          <w:lang w:eastAsia="en-GB"/>
        </w:rPr>
        <w:t xml:space="preserve"> and the arts </w:t>
      </w:r>
      <w:r w:rsidR="00DB4F86">
        <w:rPr>
          <w:rFonts w:asciiTheme="majorHAnsi" w:eastAsia="Times New Roman" w:hAnsiTheme="majorHAnsi" w:cstheme="majorHAnsi"/>
          <w:sz w:val="23"/>
          <w:szCs w:val="23"/>
          <w:lang w:eastAsia="en-GB"/>
        </w:rPr>
        <w:t xml:space="preserve">also face </w:t>
      </w:r>
      <w:r w:rsidR="00B8318D">
        <w:rPr>
          <w:rFonts w:asciiTheme="majorHAnsi" w:eastAsia="Times New Roman" w:hAnsiTheme="majorHAnsi" w:cstheme="majorHAnsi"/>
          <w:sz w:val="23"/>
          <w:szCs w:val="23"/>
          <w:lang w:eastAsia="en-GB"/>
        </w:rPr>
        <w:t>an ongoing</w:t>
      </w:r>
      <w:r w:rsidR="00DB4F86">
        <w:rPr>
          <w:rFonts w:asciiTheme="majorHAnsi" w:eastAsia="Times New Roman" w:hAnsiTheme="majorHAnsi" w:cstheme="majorHAnsi"/>
          <w:sz w:val="23"/>
          <w:szCs w:val="23"/>
          <w:lang w:eastAsia="en-GB"/>
        </w:rPr>
        <w:t xml:space="preserve"> risk of</w:t>
      </w:r>
      <w:r>
        <w:rPr>
          <w:rFonts w:asciiTheme="majorHAnsi" w:eastAsia="Times New Roman" w:hAnsiTheme="majorHAnsi" w:cstheme="majorHAnsi"/>
          <w:sz w:val="23"/>
          <w:szCs w:val="23"/>
          <w:lang w:eastAsia="en-GB"/>
        </w:rPr>
        <w:t xml:space="preserve"> significantly falling employment</w:t>
      </w:r>
      <w:r w:rsidR="00DB4F86">
        <w:rPr>
          <w:rFonts w:asciiTheme="majorHAnsi" w:eastAsia="Times New Roman" w:hAnsiTheme="majorHAnsi" w:cstheme="majorHAnsi"/>
          <w:sz w:val="23"/>
          <w:szCs w:val="23"/>
          <w:lang w:eastAsia="en-GB"/>
        </w:rPr>
        <w:t>, as these areas may be slow to recover</w:t>
      </w:r>
      <w:r>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noProof/>
          <w:sz w:val="23"/>
          <w:szCs w:val="23"/>
          <w:lang w:eastAsia="en-GB"/>
        </w:rPr>
        <w:t>(Brendan Coates et al., 2020)</w:t>
      </w:r>
      <w:r w:rsidRPr="00C3129F">
        <w:rPr>
          <w:rFonts w:asciiTheme="majorHAnsi" w:eastAsia="Times New Roman" w:hAnsiTheme="majorHAnsi" w:cstheme="majorHAnsi"/>
          <w:sz w:val="23"/>
          <w:szCs w:val="23"/>
          <w:lang w:eastAsia="en-GB"/>
        </w:rPr>
        <w:t>.</w:t>
      </w:r>
      <w:r>
        <w:rPr>
          <w:rFonts w:asciiTheme="majorHAnsi" w:eastAsia="Times New Roman" w:hAnsiTheme="majorHAnsi" w:cstheme="majorHAnsi"/>
          <w:sz w:val="23"/>
          <w:szCs w:val="23"/>
          <w:lang w:eastAsia="en-GB"/>
        </w:rPr>
        <w:t xml:space="preserve"> </w:t>
      </w:r>
      <w:r w:rsidR="00DB4F86">
        <w:rPr>
          <w:rFonts w:asciiTheme="majorHAnsi" w:eastAsia="Times New Roman" w:hAnsiTheme="majorHAnsi" w:cstheme="majorHAnsi"/>
          <w:sz w:val="23"/>
          <w:szCs w:val="23"/>
          <w:lang w:eastAsia="en-GB"/>
        </w:rPr>
        <w:t>Other</w:t>
      </w:r>
      <w:r w:rsidR="0030022C">
        <w:rPr>
          <w:rFonts w:asciiTheme="majorHAnsi" w:eastAsia="Times New Roman" w:hAnsiTheme="majorHAnsi" w:cstheme="majorHAnsi"/>
          <w:sz w:val="23"/>
          <w:szCs w:val="23"/>
          <w:lang w:eastAsia="en-GB"/>
        </w:rPr>
        <w:t xml:space="preserve"> Australian</w:t>
      </w:r>
      <w:r>
        <w:rPr>
          <w:rFonts w:asciiTheme="majorHAnsi" w:eastAsia="Times New Roman" w:hAnsiTheme="majorHAnsi" w:cstheme="majorHAnsi"/>
          <w:sz w:val="23"/>
          <w:szCs w:val="23"/>
          <w:lang w:eastAsia="en-GB"/>
        </w:rPr>
        <w:t xml:space="preserve"> data</w:t>
      </w:r>
      <w:r w:rsidRPr="004E23F2">
        <w:rPr>
          <w:rFonts w:asciiTheme="majorHAnsi" w:eastAsia="Times New Roman" w:hAnsiTheme="majorHAnsi" w:cstheme="majorHAnsi"/>
          <w:sz w:val="23"/>
          <w:szCs w:val="23"/>
          <w:lang w:eastAsia="en-GB"/>
        </w:rPr>
        <w:t xml:space="preserve"> </w:t>
      </w:r>
      <w:r w:rsidR="0030022C">
        <w:rPr>
          <w:rFonts w:asciiTheme="majorHAnsi" w:eastAsia="Times New Roman" w:hAnsiTheme="majorHAnsi" w:cstheme="majorHAnsi"/>
          <w:sz w:val="23"/>
          <w:szCs w:val="23"/>
          <w:lang w:eastAsia="en-GB"/>
        </w:rPr>
        <w:t>predicts that</w:t>
      </w:r>
      <w:r w:rsidR="00DB4F86">
        <w:rPr>
          <w:rFonts w:asciiTheme="majorHAnsi" w:eastAsia="Times New Roman" w:hAnsiTheme="majorHAnsi" w:cstheme="majorHAnsi"/>
          <w:sz w:val="23"/>
          <w:szCs w:val="23"/>
          <w:lang w:eastAsia="en-GB"/>
        </w:rPr>
        <w:t xml:space="preserve"> “a</w:t>
      </w:r>
      <w:r w:rsidR="00DB4F86" w:rsidRPr="004E23F2">
        <w:rPr>
          <w:rFonts w:asciiTheme="majorHAnsi" w:eastAsia="Times New Roman" w:hAnsiTheme="majorHAnsi" w:cstheme="majorHAnsi"/>
          <w:sz w:val="23"/>
          <w:szCs w:val="23"/>
          <w:lang w:eastAsia="en-GB"/>
        </w:rPr>
        <w:t xml:space="preserve">ccommodation </w:t>
      </w:r>
      <w:r w:rsidR="00375469">
        <w:rPr>
          <w:rFonts w:asciiTheme="majorHAnsi" w:eastAsia="Times New Roman" w:hAnsiTheme="majorHAnsi" w:cstheme="majorHAnsi"/>
          <w:sz w:val="23"/>
          <w:szCs w:val="23"/>
          <w:lang w:eastAsia="en-GB"/>
        </w:rPr>
        <w:t>and</w:t>
      </w:r>
      <w:r w:rsidR="00DB4F86" w:rsidRPr="004E23F2">
        <w:rPr>
          <w:rFonts w:asciiTheme="majorHAnsi" w:eastAsia="Times New Roman" w:hAnsiTheme="majorHAnsi" w:cstheme="majorHAnsi"/>
          <w:sz w:val="23"/>
          <w:szCs w:val="23"/>
          <w:lang w:eastAsia="en-GB"/>
        </w:rPr>
        <w:t xml:space="preserve"> food services</w:t>
      </w:r>
      <w:proofErr w:type="gramStart"/>
      <w:r w:rsidR="00DB4F86">
        <w:rPr>
          <w:rFonts w:asciiTheme="majorHAnsi" w:eastAsia="Times New Roman" w:hAnsiTheme="majorHAnsi" w:cstheme="majorHAnsi"/>
          <w:sz w:val="23"/>
          <w:szCs w:val="23"/>
          <w:lang w:eastAsia="en-GB"/>
        </w:rPr>
        <w:t>”</w:t>
      </w:r>
      <w:proofErr w:type="gramEnd"/>
      <w:r w:rsidR="00DB4F86" w:rsidRPr="004E23F2">
        <w:rPr>
          <w:rFonts w:asciiTheme="majorHAnsi" w:eastAsia="Times New Roman" w:hAnsiTheme="majorHAnsi" w:cstheme="majorHAnsi"/>
          <w:sz w:val="23"/>
          <w:szCs w:val="23"/>
          <w:lang w:eastAsia="en-GB"/>
        </w:rPr>
        <w:t xml:space="preserve"> and </w:t>
      </w:r>
      <w:r w:rsidR="00375469">
        <w:rPr>
          <w:rFonts w:asciiTheme="majorHAnsi" w:eastAsia="Times New Roman" w:hAnsiTheme="majorHAnsi" w:cstheme="majorHAnsi"/>
          <w:sz w:val="23"/>
          <w:szCs w:val="23"/>
          <w:lang w:eastAsia="en-GB"/>
        </w:rPr>
        <w:t>“</w:t>
      </w:r>
      <w:r w:rsidR="00DB4F86" w:rsidRPr="004E23F2">
        <w:rPr>
          <w:rFonts w:asciiTheme="majorHAnsi" w:eastAsia="Times New Roman" w:hAnsiTheme="majorHAnsi" w:cstheme="majorHAnsi"/>
          <w:sz w:val="23"/>
          <w:szCs w:val="23"/>
          <w:lang w:eastAsia="en-GB"/>
        </w:rPr>
        <w:t xml:space="preserve">arts </w:t>
      </w:r>
      <w:r w:rsidR="00DB4F86">
        <w:rPr>
          <w:rFonts w:asciiTheme="majorHAnsi" w:eastAsia="Times New Roman" w:hAnsiTheme="majorHAnsi" w:cstheme="majorHAnsi"/>
          <w:sz w:val="23"/>
          <w:szCs w:val="23"/>
          <w:lang w:eastAsia="en-GB"/>
        </w:rPr>
        <w:t xml:space="preserve">and </w:t>
      </w:r>
      <w:r w:rsidR="00DB4F86" w:rsidRPr="004E23F2">
        <w:rPr>
          <w:rFonts w:asciiTheme="majorHAnsi" w:eastAsia="Times New Roman" w:hAnsiTheme="majorHAnsi" w:cstheme="majorHAnsi"/>
          <w:sz w:val="23"/>
          <w:szCs w:val="23"/>
          <w:lang w:eastAsia="en-GB"/>
        </w:rPr>
        <w:t>recreational</w:t>
      </w:r>
      <w:r w:rsidR="00375469">
        <w:rPr>
          <w:rFonts w:asciiTheme="majorHAnsi" w:eastAsia="Times New Roman" w:hAnsiTheme="majorHAnsi" w:cstheme="majorHAnsi"/>
          <w:sz w:val="23"/>
          <w:szCs w:val="23"/>
          <w:lang w:eastAsia="en-GB"/>
        </w:rPr>
        <w:t xml:space="preserve"> services”</w:t>
      </w:r>
      <w:r w:rsidR="00DB4F8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will be </w:t>
      </w:r>
      <w:r w:rsidRPr="004E23F2">
        <w:rPr>
          <w:rFonts w:asciiTheme="majorHAnsi" w:eastAsia="Times New Roman" w:hAnsiTheme="majorHAnsi" w:cstheme="majorHAnsi"/>
          <w:sz w:val="23"/>
          <w:szCs w:val="23"/>
          <w:lang w:eastAsia="en-GB"/>
        </w:rPr>
        <w:t>the</w:t>
      </w:r>
      <w:r w:rsidR="00375469">
        <w:rPr>
          <w:rFonts w:asciiTheme="majorHAnsi" w:eastAsia="Times New Roman" w:hAnsiTheme="majorHAnsi" w:cstheme="majorHAnsi"/>
          <w:sz w:val="23"/>
          <w:szCs w:val="23"/>
          <w:lang w:eastAsia="en-GB"/>
        </w:rPr>
        <w:t xml:space="preserve"> </w:t>
      </w:r>
      <w:r w:rsidRPr="004E23F2">
        <w:rPr>
          <w:rFonts w:asciiTheme="majorHAnsi" w:eastAsia="Times New Roman" w:hAnsiTheme="majorHAnsi" w:cstheme="majorHAnsi"/>
          <w:sz w:val="23"/>
          <w:szCs w:val="23"/>
          <w:lang w:eastAsia="en-GB"/>
        </w:rPr>
        <w:t xml:space="preserve">sectors </w:t>
      </w:r>
      <w:r>
        <w:rPr>
          <w:rFonts w:asciiTheme="majorHAnsi" w:eastAsia="Times New Roman" w:hAnsiTheme="majorHAnsi" w:cstheme="majorHAnsi"/>
          <w:sz w:val="23"/>
          <w:szCs w:val="23"/>
          <w:lang w:eastAsia="en-GB"/>
        </w:rPr>
        <w:t>worst</w:t>
      </w:r>
      <w:r w:rsidR="0030022C">
        <w:rPr>
          <w:rFonts w:asciiTheme="majorHAnsi" w:eastAsia="Times New Roman" w:hAnsiTheme="majorHAnsi" w:cstheme="majorHAnsi"/>
          <w:sz w:val="23"/>
          <w:szCs w:val="23"/>
          <w:lang w:eastAsia="en-GB"/>
        </w:rPr>
        <w:t xml:space="preserve"> hit</w:t>
      </w:r>
      <w:r>
        <w:rPr>
          <w:rFonts w:asciiTheme="majorHAnsi" w:eastAsia="Times New Roman" w:hAnsiTheme="majorHAnsi" w:cstheme="majorHAnsi"/>
          <w:sz w:val="23"/>
          <w:szCs w:val="23"/>
          <w:lang w:eastAsia="en-GB"/>
        </w:rPr>
        <w:t xml:space="preserve"> by</w:t>
      </w:r>
      <w:r w:rsidRPr="004E23F2">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COVID</w:t>
      </w:r>
      <w:r w:rsidRPr="004E23F2">
        <w:rPr>
          <w:rFonts w:asciiTheme="majorHAnsi" w:eastAsia="Times New Roman" w:hAnsiTheme="majorHAnsi" w:cstheme="majorHAnsi"/>
          <w:sz w:val="23"/>
          <w:szCs w:val="23"/>
          <w:lang w:eastAsia="en-GB"/>
        </w:rPr>
        <w:t>‐19</w:t>
      </w:r>
      <w:r>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noProof/>
          <w:sz w:val="23"/>
          <w:szCs w:val="23"/>
          <w:lang w:eastAsia="en-GB"/>
        </w:rPr>
        <w:t>(Anderson</w:t>
      </w:r>
      <w:r w:rsidR="0030022C">
        <w:rPr>
          <w:rFonts w:asciiTheme="majorHAnsi" w:eastAsia="Times New Roman" w:hAnsiTheme="majorHAnsi" w:cstheme="majorHAnsi"/>
          <w:noProof/>
          <w:sz w:val="23"/>
          <w:szCs w:val="23"/>
          <w:lang w:eastAsia="en-GB"/>
        </w:rPr>
        <w:t xml:space="preserve"> et al.</w:t>
      </w:r>
      <w:r>
        <w:rPr>
          <w:rFonts w:asciiTheme="majorHAnsi" w:eastAsia="Times New Roman" w:hAnsiTheme="majorHAnsi" w:cstheme="majorHAnsi"/>
          <w:noProof/>
          <w:sz w:val="23"/>
          <w:szCs w:val="23"/>
          <w:lang w:eastAsia="en-GB"/>
        </w:rPr>
        <w:t>, 2020)</w:t>
      </w:r>
      <w:r>
        <w:rPr>
          <w:rFonts w:asciiTheme="majorHAnsi" w:eastAsia="Times New Roman" w:hAnsiTheme="majorHAnsi" w:cstheme="majorHAnsi"/>
          <w:sz w:val="23"/>
          <w:szCs w:val="23"/>
          <w:lang w:eastAsia="en-GB"/>
        </w:rPr>
        <w:t xml:space="preserve">. </w:t>
      </w:r>
      <w:r w:rsidR="00D5321C">
        <w:rPr>
          <w:rFonts w:asciiTheme="majorHAnsi" w:eastAsia="Times New Roman" w:hAnsiTheme="majorHAnsi" w:cstheme="majorHAnsi"/>
          <w:sz w:val="23"/>
          <w:szCs w:val="23"/>
          <w:lang w:eastAsia="en-GB"/>
        </w:rPr>
        <w:t>The</w:t>
      </w:r>
      <w:r>
        <w:rPr>
          <w:rFonts w:asciiTheme="majorHAnsi" w:eastAsia="Times New Roman" w:hAnsiTheme="majorHAnsi" w:cstheme="majorHAnsi"/>
          <w:sz w:val="23"/>
          <w:szCs w:val="23"/>
          <w:lang w:eastAsia="en-GB"/>
        </w:rPr>
        <w:t xml:space="preserve"> same research suggests that the </w:t>
      </w:r>
      <w:r w:rsidRPr="004E23F2">
        <w:rPr>
          <w:rFonts w:asciiTheme="majorHAnsi" w:eastAsia="Times New Roman" w:hAnsiTheme="majorHAnsi" w:cstheme="majorHAnsi"/>
          <w:sz w:val="23"/>
          <w:szCs w:val="23"/>
          <w:lang w:eastAsia="en-GB"/>
        </w:rPr>
        <w:t xml:space="preserve">construction and manufacturing sectors are </w:t>
      </w:r>
      <w:r w:rsidR="00D5321C">
        <w:rPr>
          <w:rFonts w:asciiTheme="majorHAnsi" w:eastAsia="Times New Roman" w:hAnsiTheme="majorHAnsi" w:cstheme="majorHAnsi"/>
          <w:sz w:val="23"/>
          <w:szCs w:val="23"/>
          <w:lang w:eastAsia="en-GB"/>
        </w:rPr>
        <w:t>best positioned to</w:t>
      </w:r>
      <w:r w:rsidRPr="004E23F2">
        <w:rPr>
          <w:rFonts w:asciiTheme="majorHAnsi" w:eastAsia="Times New Roman" w:hAnsiTheme="majorHAnsi" w:cstheme="majorHAnsi"/>
          <w:sz w:val="23"/>
          <w:szCs w:val="23"/>
          <w:lang w:eastAsia="en-GB"/>
        </w:rPr>
        <w:t xml:space="preserve"> generat</w:t>
      </w:r>
      <w:r w:rsidR="00D5321C">
        <w:rPr>
          <w:rFonts w:asciiTheme="majorHAnsi" w:eastAsia="Times New Roman" w:hAnsiTheme="majorHAnsi" w:cstheme="majorHAnsi"/>
          <w:sz w:val="23"/>
          <w:szCs w:val="23"/>
          <w:lang w:eastAsia="en-GB"/>
        </w:rPr>
        <w:t>e</w:t>
      </w:r>
      <w:r w:rsidRPr="004E23F2">
        <w:rPr>
          <w:rFonts w:asciiTheme="majorHAnsi" w:eastAsia="Times New Roman" w:hAnsiTheme="majorHAnsi" w:cstheme="majorHAnsi"/>
          <w:sz w:val="23"/>
          <w:szCs w:val="23"/>
          <w:lang w:eastAsia="en-GB"/>
        </w:rPr>
        <w:t xml:space="preserve"> the largest </w:t>
      </w:r>
      <w:r>
        <w:rPr>
          <w:rFonts w:asciiTheme="majorHAnsi" w:eastAsia="Times New Roman" w:hAnsiTheme="majorHAnsi" w:cstheme="majorHAnsi"/>
          <w:sz w:val="23"/>
          <w:szCs w:val="23"/>
          <w:lang w:eastAsia="en-GB"/>
        </w:rPr>
        <w:t xml:space="preserve">positive </w:t>
      </w:r>
      <w:proofErr w:type="spellStart"/>
      <w:r w:rsidRPr="004E23F2">
        <w:rPr>
          <w:rFonts w:asciiTheme="majorHAnsi" w:eastAsia="Times New Roman" w:hAnsiTheme="majorHAnsi" w:cstheme="majorHAnsi"/>
          <w:sz w:val="23"/>
          <w:szCs w:val="23"/>
          <w:lang w:eastAsia="en-GB"/>
        </w:rPr>
        <w:t>spillovers</w:t>
      </w:r>
      <w:proofErr w:type="spellEnd"/>
      <w:r w:rsidRPr="004E23F2">
        <w:rPr>
          <w:rFonts w:asciiTheme="majorHAnsi" w:eastAsia="Times New Roman" w:hAnsiTheme="majorHAnsi" w:cstheme="majorHAnsi"/>
          <w:sz w:val="23"/>
          <w:szCs w:val="23"/>
          <w:lang w:eastAsia="en-GB"/>
        </w:rPr>
        <w:t xml:space="preserve"> for the rest of the economy</w:t>
      </w:r>
      <w:r>
        <w:rPr>
          <w:rFonts w:asciiTheme="majorHAnsi" w:eastAsia="Times New Roman" w:hAnsiTheme="majorHAnsi" w:cstheme="majorHAnsi"/>
          <w:sz w:val="23"/>
          <w:szCs w:val="23"/>
          <w:lang w:eastAsia="en-GB"/>
        </w:rPr>
        <w:t>.</w:t>
      </w:r>
    </w:p>
    <w:p w14:paraId="5FC5A75B" w14:textId="77777777" w:rsidR="0012314F" w:rsidRPr="00D5321C" w:rsidRDefault="0012314F" w:rsidP="004D51EB">
      <w:pPr>
        <w:spacing w:after="0" w:line="276" w:lineRule="auto"/>
        <w:rPr>
          <w:rFonts w:asciiTheme="majorHAnsi" w:eastAsia="Times New Roman" w:hAnsiTheme="majorHAnsi" w:cstheme="majorHAnsi"/>
          <w:sz w:val="16"/>
          <w:szCs w:val="16"/>
          <w:lang w:eastAsia="en-GB"/>
        </w:rPr>
      </w:pPr>
    </w:p>
    <w:p w14:paraId="41A26098" w14:textId="77777777" w:rsidR="004D51EB" w:rsidRDefault="0012314F" w:rsidP="004D51EB">
      <w:p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 xml:space="preserve">While some sectors </w:t>
      </w:r>
      <w:r w:rsidR="00D5321C">
        <w:rPr>
          <w:rFonts w:asciiTheme="majorHAnsi" w:eastAsia="Times New Roman" w:hAnsiTheme="majorHAnsi" w:cstheme="majorHAnsi"/>
          <w:sz w:val="23"/>
          <w:szCs w:val="23"/>
          <w:lang w:eastAsia="en-GB"/>
        </w:rPr>
        <w:t>have evidently</w:t>
      </w:r>
      <w:r>
        <w:rPr>
          <w:rFonts w:asciiTheme="majorHAnsi" w:eastAsia="Times New Roman" w:hAnsiTheme="majorHAnsi" w:cstheme="majorHAnsi"/>
          <w:sz w:val="23"/>
          <w:szCs w:val="23"/>
          <w:lang w:eastAsia="en-GB"/>
        </w:rPr>
        <w:t xml:space="preserve"> experienced </w:t>
      </w:r>
      <w:r w:rsidRPr="00386A6D">
        <w:rPr>
          <w:rFonts w:asciiTheme="majorHAnsi" w:eastAsia="Times New Roman" w:hAnsiTheme="majorHAnsi" w:cstheme="majorHAnsi"/>
          <w:sz w:val="23"/>
          <w:szCs w:val="23"/>
          <w:lang w:eastAsia="en-GB"/>
        </w:rPr>
        <w:t xml:space="preserve">positive </w:t>
      </w:r>
      <w:r>
        <w:rPr>
          <w:rFonts w:asciiTheme="majorHAnsi" w:eastAsia="Times New Roman" w:hAnsiTheme="majorHAnsi" w:cstheme="majorHAnsi"/>
          <w:sz w:val="23"/>
          <w:szCs w:val="23"/>
          <w:lang w:eastAsia="en-GB"/>
        </w:rPr>
        <w:t>employment</w:t>
      </w:r>
      <w:r w:rsidR="00603F3D">
        <w:rPr>
          <w:rFonts w:asciiTheme="majorHAnsi" w:eastAsia="Times New Roman" w:hAnsiTheme="majorHAnsi" w:cstheme="majorHAnsi"/>
          <w:sz w:val="23"/>
          <w:szCs w:val="23"/>
          <w:lang w:eastAsia="en-GB"/>
        </w:rPr>
        <w:t xml:space="preserve"> </w:t>
      </w:r>
      <w:r w:rsidRPr="00386A6D">
        <w:rPr>
          <w:rFonts w:asciiTheme="majorHAnsi" w:eastAsia="Times New Roman" w:hAnsiTheme="majorHAnsi" w:cstheme="majorHAnsi"/>
          <w:sz w:val="23"/>
          <w:szCs w:val="23"/>
          <w:lang w:eastAsia="en-GB"/>
        </w:rPr>
        <w:t>impact</w:t>
      </w:r>
      <w:r w:rsidR="00603F3D">
        <w:rPr>
          <w:rFonts w:asciiTheme="majorHAnsi" w:eastAsia="Times New Roman" w:hAnsiTheme="majorHAnsi" w:cstheme="majorHAnsi"/>
          <w:sz w:val="23"/>
          <w:szCs w:val="23"/>
          <w:lang w:eastAsia="en-GB"/>
        </w:rPr>
        <w:t>s</w:t>
      </w:r>
      <w:r w:rsidRPr="00386A6D">
        <w:rPr>
          <w:rFonts w:asciiTheme="majorHAnsi" w:eastAsia="Times New Roman" w:hAnsiTheme="majorHAnsi" w:cstheme="majorHAnsi"/>
          <w:sz w:val="23"/>
          <w:szCs w:val="23"/>
          <w:lang w:eastAsia="en-GB"/>
        </w:rPr>
        <w:t xml:space="preserve"> </w:t>
      </w:r>
      <w:r w:rsidR="00E70F07">
        <w:rPr>
          <w:rFonts w:asciiTheme="majorHAnsi" w:eastAsia="Times New Roman" w:hAnsiTheme="majorHAnsi" w:cstheme="majorHAnsi"/>
          <w:sz w:val="23"/>
          <w:szCs w:val="23"/>
          <w:lang w:eastAsia="en-GB"/>
        </w:rPr>
        <w:t>through work</w:t>
      </w:r>
      <w:r w:rsidR="00DC289A">
        <w:rPr>
          <w:rFonts w:asciiTheme="majorHAnsi" w:eastAsia="Times New Roman" w:hAnsiTheme="majorHAnsi" w:cstheme="majorHAnsi"/>
          <w:sz w:val="23"/>
          <w:szCs w:val="23"/>
          <w:lang w:eastAsia="en-GB"/>
        </w:rPr>
        <w:t xml:space="preserve"> </w:t>
      </w:r>
      <w:r w:rsidR="00402D19">
        <w:rPr>
          <w:rFonts w:asciiTheme="majorHAnsi" w:eastAsia="Times New Roman" w:hAnsiTheme="majorHAnsi" w:cstheme="majorHAnsi"/>
          <w:sz w:val="23"/>
          <w:szCs w:val="23"/>
          <w:lang w:eastAsia="en-GB"/>
        </w:rPr>
        <w:t>respond</w:t>
      </w:r>
      <w:r w:rsidR="00E70F07">
        <w:rPr>
          <w:rFonts w:asciiTheme="majorHAnsi" w:eastAsia="Times New Roman" w:hAnsiTheme="majorHAnsi" w:cstheme="majorHAnsi"/>
          <w:sz w:val="23"/>
          <w:szCs w:val="23"/>
          <w:lang w:eastAsia="en-GB"/>
        </w:rPr>
        <w:t>ing</w:t>
      </w:r>
      <w:r w:rsidR="00402D19">
        <w:rPr>
          <w:rFonts w:asciiTheme="majorHAnsi" w:eastAsia="Times New Roman" w:hAnsiTheme="majorHAnsi" w:cstheme="majorHAnsi"/>
          <w:sz w:val="23"/>
          <w:szCs w:val="23"/>
          <w:lang w:eastAsia="en-GB"/>
        </w:rPr>
        <w:t xml:space="preserve"> to the</w:t>
      </w:r>
      <w:r>
        <w:rPr>
          <w:rFonts w:asciiTheme="majorHAnsi" w:eastAsia="Times New Roman" w:hAnsiTheme="majorHAnsi" w:cstheme="majorHAnsi"/>
          <w:sz w:val="23"/>
          <w:szCs w:val="23"/>
          <w:lang w:eastAsia="en-GB"/>
        </w:rPr>
        <w:t xml:space="preserve"> </w:t>
      </w:r>
      <w:r w:rsidR="00D5321C">
        <w:rPr>
          <w:rFonts w:asciiTheme="majorHAnsi" w:eastAsia="Times New Roman" w:hAnsiTheme="majorHAnsi" w:cstheme="majorHAnsi"/>
          <w:sz w:val="23"/>
          <w:szCs w:val="23"/>
          <w:lang w:eastAsia="en-GB"/>
        </w:rPr>
        <w:t>pandemi</w:t>
      </w:r>
      <w:r>
        <w:rPr>
          <w:rFonts w:asciiTheme="majorHAnsi" w:eastAsia="Times New Roman" w:hAnsiTheme="majorHAnsi" w:cstheme="majorHAnsi"/>
          <w:sz w:val="23"/>
          <w:szCs w:val="23"/>
          <w:lang w:eastAsia="en-GB"/>
        </w:rPr>
        <w:t>c</w:t>
      </w:r>
      <w:r w:rsidR="00DC289A">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 </w:t>
      </w:r>
      <w:r w:rsidR="00DC289A">
        <w:rPr>
          <w:rFonts w:asciiTheme="majorHAnsi" w:eastAsia="Times New Roman" w:hAnsiTheme="majorHAnsi" w:cstheme="majorHAnsi"/>
          <w:sz w:val="23"/>
          <w:szCs w:val="23"/>
          <w:lang w:eastAsia="en-GB"/>
        </w:rPr>
        <w:t>including</w:t>
      </w:r>
      <w:r>
        <w:rPr>
          <w:rFonts w:asciiTheme="majorHAnsi" w:eastAsia="Times New Roman" w:hAnsiTheme="majorHAnsi" w:cstheme="majorHAnsi"/>
          <w:sz w:val="23"/>
          <w:szCs w:val="23"/>
          <w:lang w:eastAsia="en-GB"/>
        </w:rPr>
        <w:t xml:space="preserve"> </w:t>
      </w:r>
      <w:r w:rsidRPr="00386A6D">
        <w:rPr>
          <w:rFonts w:asciiTheme="majorHAnsi" w:eastAsia="Times New Roman" w:hAnsiTheme="majorHAnsi" w:cstheme="majorHAnsi"/>
          <w:sz w:val="23"/>
          <w:szCs w:val="23"/>
          <w:lang w:eastAsia="en-GB"/>
        </w:rPr>
        <w:t xml:space="preserve">distribution, health, </w:t>
      </w:r>
      <w:r w:rsidR="00D508A2">
        <w:rPr>
          <w:rFonts w:asciiTheme="majorHAnsi" w:eastAsia="Times New Roman" w:hAnsiTheme="majorHAnsi" w:cstheme="majorHAnsi"/>
          <w:sz w:val="23"/>
          <w:szCs w:val="23"/>
          <w:lang w:eastAsia="en-GB"/>
        </w:rPr>
        <w:t xml:space="preserve">cleaning, </w:t>
      </w:r>
      <w:r>
        <w:rPr>
          <w:rFonts w:asciiTheme="majorHAnsi" w:eastAsia="Times New Roman" w:hAnsiTheme="majorHAnsi" w:cstheme="majorHAnsi"/>
          <w:sz w:val="23"/>
          <w:szCs w:val="23"/>
          <w:lang w:eastAsia="en-GB"/>
        </w:rPr>
        <w:t xml:space="preserve">and </w:t>
      </w:r>
      <w:r w:rsidRPr="00386A6D">
        <w:rPr>
          <w:rFonts w:asciiTheme="majorHAnsi" w:eastAsia="Times New Roman" w:hAnsiTheme="majorHAnsi" w:cstheme="majorHAnsi"/>
          <w:sz w:val="23"/>
          <w:szCs w:val="23"/>
          <w:lang w:eastAsia="en-GB"/>
        </w:rPr>
        <w:t>professional services</w:t>
      </w:r>
      <w:r w:rsidR="00DC289A">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 xml:space="preserve"> </w:t>
      </w:r>
      <w:r w:rsidR="00DC289A">
        <w:rPr>
          <w:rFonts w:asciiTheme="majorHAnsi" w:eastAsia="Times New Roman" w:hAnsiTheme="majorHAnsi" w:cstheme="majorHAnsi"/>
          <w:sz w:val="23"/>
          <w:szCs w:val="23"/>
          <w:lang w:eastAsia="en-GB"/>
        </w:rPr>
        <w:t>to date there is scant</w:t>
      </w:r>
      <w:r>
        <w:rPr>
          <w:rFonts w:asciiTheme="majorHAnsi" w:eastAsia="Times New Roman" w:hAnsiTheme="majorHAnsi" w:cstheme="majorHAnsi"/>
          <w:sz w:val="23"/>
          <w:szCs w:val="23"/>
          <w:lang w:eastAsia="en-GB"/>
        </w:rPr>
        <w:t xml:space="preserve"> data </w:t>
      </w:r>
      <w:r w:rsidR="00F70F81">
        <w:rPr>
          <w:rFonts w:asciiTheme="majorHAnsi" w:eastAsia="Times New Roman" w:hAnsiTheme="majorHAnsi" w:cstheme="majorHAnsi"/>
          <w:sz w:val="23"/>
          <w:szCs w:val="23"/>
          <w:lang w:eastAsia="en-GB"/>
        </w:rPr>
        <w:t xml:space="preserve">available </w:t>
      </w:r>
      <w:r w:rsidR="00C73CCF">
        <w:rPr>
          <w:rFonts w:asciiTheme="majorHAnsi" w:eastAsia="Times New Roman" w:hAnsiTheme="majorHAnsi" w:cstheme="majorHAnsi"/>
          <w:sz w:val="23"/>
          <w:szCs w:val="23"/>
          <w:lang w:eastAsia="en-GB"/>
        </w:rPr>
        <w:t>to quantify these effects.</w:t>
      </w:r>
    </w:p>
    <w:p w14:paraId="4CAB1272" w14:textId="77777777" w:rsidR="004D51EB" w:rsidRPr="004D51EB" w:rsidRDefault="004D51EB" w:rsidP="004D51EB">
      <w:pPr>
        <w:spacing w:after="0" w:line="276" w:lineRule="auto"/>
        <w:rPr>
          <w:rFonts w:asciiTheme="majorHAnsi" w:eastAsia="Times New Roman" w:hAnsiTheme="majorHAnsi" w:cstheme="majorHAnsi"/>
          <w:sz w:val="12"/>
          <w:szCs w:val="12"/>
          <w:lang w:eastAsia="en-GB"/>
        </w:rPr>
      </w:pPr>
    </w:p>
    <w:p w14:paraId="174B53C0" w14:textId="0D609119" w:rsidR="00F00E3D" w:rsidRDefault="004D51EB" w:rsidP="004D51EB">
      <w:pPr>
        <w:spacing w:after="0" w:line="276"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t xml:space="preserve">Next we </w:t>
      </w:r>
      <w:r w:rsidR="00F00E3D" w:rsidRPr="00DD331C">
        <w:rPr>
          <w:rFonts w:asciiTheme="majorHAnsi" w:eastAsia="Times New Roman" w:hAnsiTheme="majorHAnsi" w:cstheme="majorHAnsi"/>
          <w:sz w:val="23"/>
          <w:szCs w:val="23"/>
          <w:lang w:eastAsia="en-GB"/>
        </w:rPr>
        <w:t xml:space="preserve">summarise </w:t>
      </w:r>
      <w:r w:rsidR="008D7B82">
        <w:rPr>
          <w:rFonts w:asciiTheme="majorHAnsi" w:eastAsia="Times New Roman" w:hAnsiTheme="majorHAnsi" w:cstheme="majorHAnsi"/>
          <w:sz w:val="23"/>
          <w:szCs w:val="23"/>
          <w:lang w:eastAsia="en-GB"/>
        </w:rPr>
        <w:t xml:space="preserve">some </w:t>
      </w:r>
      <w:r w:rsidR="00F00E3D" w:rsidRPr="00DD331C">
        <w:rPr>
          <w:rFonts w:asciiTheme="majorHAnsi" w:eastAsia="Times New Roman" w:hAnsiTheme="majorHAnsi" w:cstheme="majorHAnsi"/>
          <w:sz w:val="23"/>
          <w:szCs w:val="23"/>
          <w:lang w:eastAsia="en-GB"/>
        </w:rPr>
        <w:t xml:space="preserve">recent </w:t>
      </w:r>
      <w:r w:rsidR="008D7B82" w:rsidRPr="00DD331C">
        <w:rPr>
          <w:rFonts w:asciiTheme="majorHAnsi" w:eastAsia="Times New Roman" w:hAnsiTheme="majorHAnsi" w:cstheme="majorHAnsi"/>
          <w:sz w:val="23"/>
          <w:szCs w:val="23"/>
          <w:lang w:eastAsia="en-GB"/>
        </w:rPr>
        <w:t>Australia</w:t>
      </w:r>
      <w:r w:rsidR="008D7B82">
        <w:rPr>
          <w:rFonts w:asciiTheme="majorHAnsi" w:eastAsia="Times New Roman" w:hAnsiTheme="majorHAnsi" w:cstheme="majorHAnsi"/>
          <w:sz w:val="23"/>
          <w:szCs w:val="23"/>
          <w:lang w:eastAsia="en-GB"/>
        </w:rPr>
        <w:t>n</w:t>
      </w:r>
      <w:r w:rsidR="008D7B82" w:rsidRPr="00DD331C">
        <w:rPr>
          <w:rFonts w:asciiTheme="majorHAnsi" w:eastAsia="Times New Roman" w:hAnsiTheme="majorHAnsi" w:cstheme="majorHAnsi"/>
          <w:sz w:val="23"/>
          <w:szCs w:val="23"/>
          <w:lang w:eastAsia="en-GB"/>
        </w:rPr>
        <w:t xml:space="preserve"> </w:t>
      </w:r>
      <w:r w:rsidR="00F00E3D" w:rsidRPr="00DD331C">
        <w:rPr>
          <w:rFonts w:asciiTheme="majorHAnsi" w:eastAsia="Times New Roman" w:hAnsiTheme="majorHAnsi" w:cstheme="majorHAnsi"/>
          <w:sz w:val="23"/>
          <w:szCs w:val="23"/>
          <w:lang w:eastAsia="en-GB"/>
        </w:rPr>
        <w:t xml:space="preserve">studies that consider </w:t>
      </w:r>
      <w:r w:rsidR="00940D80">
        <w:rPr>
          <w:rFonts w:asciiTheme="majorHAnsi" w:eastAsia="Times New Roman" w:hAnsiTheme="majorHAnsi" w:cstheme="majorHAnsi"/>
          <w:sz w:val="23"/>
          <w:szCs w:val="23"/>
          <w:lang w:eastAsia="en-GB"/>
        </w:rPr>
        <w:t>COVID</w:t>
      </w:r>
      <w:r w:rsidR="00F00E3D" w:rsidRPr="00DD331C">
        <w:rPr>
          <w:rFonts w:asciiTheme="majorHAnsi" w:eastAsia="Times New Roman" w:hAnsiTheme="majorHAnsi" w:cstheme="majorHAnsi"/>
          <w:sz w:val="23"/>
          <w:szCs w:val="23"/>
          <w:lang w:eastAsia="en-GB"/>
        </w:rPr>
        <w:t>-19</w:t>
      </w:r>
      <w:r w:rsidR="008D7B82">
        <w:rPr>
          <w:rFonts w:asciiTheme="majorHAnsi" w:eastAsia="Times New Roman" w:hAnsiTheme="majorHAnsi" w:cstheme="majorHAnsi"/>
          <w:sz w:val="23"/>
          <w:szCs w:val="23"/>
          <w:lang w:eastAsia="en-GB"/>
        </w:rPr>
        <w:t>’s</w:t>
      </w:r>
      <w:r w:rsidR="00F00E3D" w:rsidRPr="00DD331C">
        <w:rPr>
          <w:rFonts w:asciiTheme="majorHAnsi" w:eastAsia="Times New Roman" w:hAnsiTheme="majorHAnsi" w:cstheme="majorHAnsi"/>
          <w:sz w:val="23"/>
          <w:szCs w:val="23"/>
          <w:lang w:eastAsia="en-GB"/>
        </w:rPr>
        <w:t xml:space="preserve"> impacts on employment in relation to five key areas of concern: (1) remote working; (2) local manufacturing; (3) the arts and culture sector</w:t>
      </w:r>
      <w:r w:rsidR="008D7B82">
        <w:rPr>
          <w:rFonts w:asciiTheme="majorHAnsi" w:eastAsia="Times New Roman" w:hAnsiTheme="majorHAnsi" w:cstheme="majorHAnsi"/>
          <w:sz w:val="23"/>
          <w:szCs w:val="23"/>
          <w:lang w:eastAsia="en-GB"/>
        </w:rPr>
        <w:t>;</w:t>
      </w:r>
      <w:r w:rsidR="00F00E3D" w:rsidRPr="00DD331C">
        <w:rPr>
          <w:rFonts w:asciiTheme="majorHAnsi" w:eastAsia="Times New Roman" w:hAnsiTheme="majorHAnsi" w:cstheme="majorHAnsi"/>
          <w:sz w:val="23"/>
          <w:szCs w:val="23"/>
          <w:lang w:eastAsia="en-GB"/>
        </w:rPr>
        <w:t xml:space="preserve"> (4) young people</w:t>
      </w:r>
      <w:r w:rsidR="008D7B82">
        <w:rPr>
          <w:rFonts w:asciiTheme="majorHAnsi" w:eastAsia="Times New Roman" w:hAnsiTheme="majorHAnsi" w:cstheme="majorHAnsi"/>
          <w:sz w:val="23"/>
          <w:szCs w:val="23"/>
          <w:lang w:eastAsia="en-GB"/>
        </w:rPr>
        <w:t>;</w:t>
      </w:r>
      <w:r w:rsidR="00F00E3D" w:rsidRPr="00DD331C">
        <w:rPr>
          <w:rFonts w:asciiTheme="majorHAnsi" w:eastAsia="Times New Roman" w:hAnsiTheme="majorHAnsi" w:cstheme="majorHAnsi"/>
          <w:sz w:val="23"/>
          <w:szCs w:val="23"/>
          <w:lang w:eastAsia="en-GB"/>
        </w:rPr>
        <w:t xml:space="preserve"> and (5) women in the workforce. The first four </w:t>
      </w:r>
      <w:r w:rsidR="00D508A2">
        <w:rPr>
          <w:rFonts w:asciiTheme="majorHAnsi" w:eastAsia="Times New Roman" w:hAnsiTheme="majorHAnsi" w:cstheme="majorHAnsi"/>
          <w:sz w:val="23"/>
          <w:szCs w:val="23"/>
          <w:lang w:eastAsia="en-GB"/>
        </w:rPr>
        <w:t>sub-</w:t>
      </w:r>
      <w:r w:rsidR="00F00E3D" w:rsidRPr="00DD331C">
        <w:rPr>
          <w:rFonts w:asciiTheme="majorHAnsi" w:eastAsia="Times New Roman" w:hAnsiTheme="majorHAnsi" w:cstheme="majorHAnsi"/>
          <w:sz w:val="23"/>
          <w:szCs w:val="23"/>
          <w:lang w:eastAsia="en-GB"/>
        </w:rPr>
        <w:t xml:space="preserve">sections </w:t>
      </w:r>
      <w:r w:rsidR="003D4481">
        <w:rPr>
          <w:rFonts w:asciiTheme="majorHAnsi" w:eastAsia="Times New Roman" w:hAnsiTheme="majorHAnsi" w:cstheme="majorHAnsi"/>
          <w:sz w:val="23"/>
          <w:szCs w:val="23"/>
          <w:lang w:eastAsia="en-GB"/>
        </w:rPr>
        <w:t xml:space="preserve">comprise </w:t>
      </w:r>
      <w:r w:rsidR="00F00E3D" w:rsidRPr="00DD331C">
        <w:rPr>
          <w:rFonts w:asciiTheme="majorHAnsi" w:eastAsia="Times New Roman" w:hAnsiTheme="majorHAnsi" w:cstheme="majorHAnsi"/>
          <w:sz w:val="23"/>
          <w:szCs w:val="23"/>
          <w:lang w:eastAsia="en-GB"/>
        </w:rPr>
        <w:t>update</w:t>
      </w:r>
      <w:r w:rsidR="00A67B2F">
        <w:rPr>
          <w:rFonts w:asciiTheme="majorHAnsi" w:eastAsia="Times New Roman" w:hAnsiTheme="majorHAnsi" w:cstheme="majorHAnsi"/>
          <w:sz w:val="23"/>
          <w:szCs w:val="23"/>
          <w:lang w:eastAsia="en-GB"/>
        </w:rPr>
        <w:t>d</w:t>
      </w:r>
      <w:r w:rsidR="00F00E3D" w:rsidRPr="00DD331C">
        <w:rPr>
          <w:rFonts w:asciiTheme="majorHAnsi" w:eastAsia="Times New Roman" w:hAnsiTheme="majorHAnsi" w:cstheme="majorHAnsi"/>
          <w:sz w:val="23"/>
          <w:szCs w:val="23"/>
          <w:lang w:eastAsia="en-GB"/>
        </w:rPr>
        <w:t xml:space="preserve"> summaries </w:t>
      </w:r>
      <w:r w:rsidR="003D4481">
        <w:rPr>
          <w:rFonts w:asciiTheme="majorHAnsi" w:eastAsia="Times New Roman" w:hAnsiTheme="majorHAnsi" w:cstheme="majorHAnsi"/>
          <w:sz w:val="23"/>
          <w:szCs w:val="23"/>
          <w:lang w:eastAsia="en-GB"/>
        </w:rPr>
        <w:t xml:space="preserve">adapted </w:t>
      </w:r>
      <w:r w:rsidR="00A67B2F">
        <w:rPr>
          <w:rFonts w:asciiTheme="majorHAnsi" w:eastAsia="Times New Roman" w:hAnsiTheme="majorHAnsi" w:cstheme="majorHAnsi"/>
          <w:sz w:val="23"/>
          <w:szCs w:val="23"/>
          <w:lang w:eastAsia="en-GB"/>
        </w:rPr>
        <w:t>from</w:t>
      </w:r>
      <w:r w:rsidR="00F00E3D" w:rsidRPr="00DD331C">
        <w:rPr>
          <w:rFonts w:asciiTheme="majorHAnsi" w:eastAsia="Times New Roman" w:hAnsiTheme="majorHAnsi" w:cstheme="majorHAnsi"/>
          <w:sz w:val="23"/>
          <w:szCs w:val="23"/>
          <w:lang w:eastAsia="en-GB"/>
        </w:rPr>
        <w:t xml:space="preserve"> </w:t>
      </w:r>
      <w:r w:rsidR="00F00E3D" w:rsidRPr="00DD331C">
        <w:rPr>
          <w:rFonts w:asciiTheme="majorHAnsi" w:eastAsia="Times New Roman" w:hAnsiTheme="majorHAnsi" w:cstheme="majorHAnsi"/>
          <w:i/>
          <w:sz w:val="23"/>
          <w:szCs w:val="23"/>
          <w:lang w:eastAsia="en-GB"/>
        </w:rPr>
        <w:t>Resilient Geelong: Reasons for success and challenges for a post-</w:t>
      </w:r>
      <w:r w:rsidR="00940D80">
        <w:rPr>
          <w:rFonts w:asciiTheme="majorHAnsi" w:eastAsia="Times New Roman" w:hAnsiTheme="majorHAnsi" w:cstheme="majorHAnsi"/>
          <w:i/>
          <w:sz w:val="23"/>
          <w:szCs w:val="23"/>
          <w:lang w:eastAsia="en-GB"/>
        </w:rPr>
        <w:t>COVID</w:t>
      </w:r>
      <w:r w:rsidR="00F00E3D" w:rsidRPr="00DD331C">
        <w:rPr>
          <w:rFonts w:asciiTheme="majorHAnsi" w:eastAsia="Times New Roman" w:hAnsiTheme="majorHAnsi" w:cstheme="majorHAnsi"/>
          <w:i/>
          <w:sz w:val="23"/>
          <w:szCs w:val="23"/>
          <w:lang w:eastAsia="en-GB"/>
        </w:rPr>
        <w:t>-19 future</w:t>
      </w:r>
      <w:r w:rsidR="00F00E3D" w:rsidRPr="00DD331C">
        <w:rPr>
          <w:rFonts w:asciiTheme="majorHAnsi" w:eastAsia="Times New Roman" w:hAnsiTheme="majorHAnsi" w:cstheme="majorHAnsi"/>
          <w:sz w:val="23"/>
          <w:szCs w:val="23"/>
          <w:lang w:eastAsia="en-GB"/>
        </w:rPr>
        <w:t xml:space="preserve">, a </w:t>
      </w:r>
      <w:r w:rsidR="00A67B2F">
        <w:rPr>
          <w:rFonts w:asciiTheme="majorHAnsi" w:eastAsia="Times New Roman" w:hAnsiTheme="majorHAnsi" w:cstheme="majorHAnsi"/>
          <w:sz w:val="23"/>
          <w:szCs w:val="23"/>
          <w:lang w:eastAsia="en-GB"/>
        </w:rPr>
        <w:t>r</w:t>
      </w:r>
      <w:r w:rsidR="00F00E3D" w:rsidRPr="00DD331C">
        <w:rPr>
          <w:rFonts w:asciiTheme="majorHAnsi" w:eastAsia="Times New Roman" w:hAnsiTheme="majorHAnsi" w:cstheme="majorHAnsi"/>
          <w:sz w:val="23"/>
          <w:szCs w:val="23"/>
          <w:lang w:eastAsia="en-GB"/>
        </w:rPr>
        <w:t xml:space="preserve">esearch </w:t>
      </w:r>
      <w:r w:rsidR="00A67B2F">
        <w:rPr>
          <w:rFonts w:asciiTheme="majorHAnsi" w:eastAsia="Times New Roman" w:hAnsiTheme="majorHAnsi" w:cstheme="majorHAnsi"/>
          <w:sz w:val="23"/>
          <w:szCs w:val="23"/>
          <w:lang w:eastAsia="en-GB"/>
        </w:rPr>
        <w:t>r</w:t>
      </w:r>
      <w:r w:rsidR="00F00E3D" w:rsidRPr="00DD331C">
        <w:rPr>
          <w:rFonts w:asciiTheme="majorHAnsi" w:eastAsia="Times New Roman" w:hAnsiTheme="majorHAnsi" w:cstheme="majorHAnsi"/>
          <w:sz w:val="23"/>
          <w:szCs w:val="23"/>
          <w:lang w:eastAsia="en-GB"/>
        </w:rPr>
        <w:t xml:space="preserve">eport for the Committee for Geelong </w:t>
      </w:r>
      <w:r w:rsidR="00F00E3D" w:rsidRPr="00DD331C">
        <w:rPr>
          <w:rFonts w:asciiTheme="majorHAnsi" w:eastAsia="Times New Roman" w:hAnsiTheme="majorHAnsi" w:cstheme="majorHAnsi"/>
          <w:noProof/>
          <w:sz w:val="23"/>
          <w:szCs w:val="23"/>
          <w:lang w:eastAsia="en-GB"/>
        </w:rPr>
        <w:t>(Johnson, Mundell, &amp; Bartel, 2020)</w:t>
      </w:r>
      <w:r w:rsidR="00F00E3D" w:rsidRPr="00DD331C">
        <w:rPr>
          <w:rFonts w:asciiTheme="majorHAnsi" w:eastAsia="Times New Roman" w:hAnsiTheme="majorHAnsi" w:cstheme="majorHAnsi"/>
          <w:sz w:val="23"/>
          <w:szCs w:val="23"/>
          <w:lang w:eastAsia="en-GB"/>
        </w:rPr>
        <w:t>.</w:t>
      </w:r>
    </w:p>
    <w:p w14:paraId="73A45B0C" w14:textId="77777777" w:rsidR="00F00E3D" w:rsidRPr="00A30F38" w:rsidRDefault="00F00E3D" w:rsidP="004D51EB">
      <w:pPr>
        <w:spacing w:after="0" w:line="276" w:lineRule="auto"/>
        <w:rPr>
          <w:rFonts w:asciiTheme="majorHAnsi" w:eastAsia="Calibri" w:hAnsiTheme="majorHAnsi" w:cstheme="majorHAnsi"/>
          <w:sz w:val="16"/>
          <w:szCs w:val="16"/>
        </w:rPr>
      </w:pPr>
    </w:p>
    <w:p w14:paraId="0345DEA3" w14:textId="166A5F78" w:rsidR="00F00E3D" w:rsidRPr="00A30F38" w:rsidRDefault="00F00E3D" w:rsidP="004D51EB">
      <w:pPr>
        <w:spacing w:after="0" w:line="276" w:lineRule="auto"/>
        <w:rPr>
          <w:rFonts w:eastAsia="Calibri" w:cstheme="minorHAnsi"/>
          <w:b/>
          <w:bCs/>
          <w:sz w:val="23"/>
          <w:szCs w:val="23"/>
        </w:rPr>
      </w:pPr>
      <w:r w:rsidRPr="00A30F38">
        <w:rPr>
          <w:rFonts w:eastAsia="Calibri" w:cstheme="minorHAnsi"/>
          <w:b/>
          <w:bCs/>
          <w:sz w:val="23"/>
          <w:szCs w:val="23"/>
        </w:rPr>
        <w:t>Remote Working</w:t>
      </w:r>
    </w:p>
    <w:p w14:paraId="5114FB55" w14:textId="77777777" w:rsidR="00A30F38" w:rsidRPr="00A30F38" w:rsidRDefault="00A30F38" w:rsidP="004D51EB">
      <w:pPr>
        <w:spacing w:after="0" w:line="276" w:lineRule="auto"/>
        <w:rPr>
          <w:rFonts w:asciiTheme="majorHAnsi" w:eastAsia="Calibri" w:hAnsiTheme="majorHAnsi" w:cstheme="majorHAnsi"/>
          <w:b/>
          <w:bCs/>
          <w:sz w:val="12"/>
          <w:szCs w:val="12"/>
        </w:rPr>
      </w:pPr>
    </w:p>
    <w:p w14:paraId="2A7ACFAF" w14:textId="0CF62E5A" w:rsidR="00F00E3D" w:rsidRPr="00DD331C" w:rsidRDefault="00A30F38"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 xml:space="preserve">Early in the pandemic, it was </w:t>
      </w:r>
      <w:r w:rsidR="00BA486C">
        <w:rPr>
          <w:rFonts w:asciiTheme="majorHAnsi" w:eastAsia="Calibri" w:hAnsiTheme="majorHAnsi" w:cstheme="majorHAnsi"/>
          <w:sz w:val="23"/>
          <w:szCs w:val="23"/>
        </w:rPr>
        <w:t>predicted that</w:t>
      </w:r>
      <w:r w:rsidR="00F00E3D" w:rsidRPr="00DD331C">
        <w:rPr>
          <w:rFonts w:asciiTheme="majorHAnsi" w:eastAsia="Calibri" w:hAnsiTheme="majorHAnsi" w:cstheme="majorHAnsi"/>
          <w:sz w:val="23"/>
          <w:szCs w:val="23"/>
        </w:rPr>
        <w:t xml:space="preserve"> </w:t>
      </w:r>
      <w:r w:rsidR="00940D80">
        <w:rPr>
          <w:rFonts w:asciiTheme="majorHAnsi" w:eastAsia="Calibri" w:hAnsiTheme="majorHAnsi" w:cstheme="majorHAnsi"/>
          <w:sz w:val="23"/>
          <w:szCs w:val="23"/>
        </w:rPr>
        <w:t>COVID</w:t>
      </w:r>
      <w:r w:rsidR="00F00E3D" w:rsidRPr="00DD331C">
        <w:rPr>
          <w:rFonts w:asciiTheme="majorHAnsi" w:eastAsia="Calibri" w:hAnsiTheme="majorHAnsi" w:cstheme="majorHAnsi"/>
          <w:sz w:val="23"/>
          <w:szCs w:val="23"/>
        </w:rPr>
        <w:t>-19 could prompt a lasting shift to toward remote work (Hern, 2020; Hopkins, 2020). Figures published at the end of 2020 indicated that the shift was significant, with a study by</w:t>
      </w:r>
      <w:r>
        <w:rPr>
          <w:rFonts w:asciiTheme="majorHAnsi" w:eastAsia="Calibri" w:hAnsiTheme="majorHAnsi" w:cstheme="majorHAnsi"/>
          <w:sz w:val="23"/>
          <w:szCs w:val="23"/>
        </w:rPr>
        <w:t xml:space="preserve"> the</w:t>
      </w:r>
      <w:r w:rsidR="00F00E3D" w:rsidRPr="00DD331C">
        <w:rPr>
          <w:rFonts w:asciiTheme="majorHAnsi" w:eastAsia="Calibri" w:hAnsiTheme="majorHAnsi" w:cstheme="majorHAnsi"/>
          <w:sz w:val="23"/>
          <w:szCs w:val="23"/>
        </w:rPr>
        <w:t xml:space="preserve"> </w:t>
      </w:r>
      <w:r w:rsidRPr="00A30F38">
        <w:rPr>
          <w:rFonts w:asciiTheme="majorHAnsi" w:eastAsia="Calibri" w:hAnsiTheme="majorHAnsi" w:cstheme="majorHAnsi"/>
          <w:iCs/>
          <w:sz w:val="23"/>
          <w:szCs w:val="23"/>
        </w:rPr>
        <w:t>Australia Institute</w:t>
      </w:r>
      <w:r>
        <w:rPr>
          <w:rFonts w:asciiTheme="majorHAnsi" w:eastAsia="Calibri" w:hAnsiTheme="majorHAnsi" w:cstheme="majorHAnsi"/>
          <w:sz w:val="23"/>
          <w:szCs w:val="23"/>
        </w:rPr>
        <w:t>’s</w:t>
      </w:r>
      <w:r w:rsidR="00F00E3D" w:rsidRPr="00DD331C">
        <w:rPr>
          <w:rFonts w:asciiTheme="majorHAnsi" w:eastAsia="Calibri" w:hAnsiTheme="majorHAnsi" w:cstheme="majorHAnsi"/>
          <w:i/>
          <w:sz w:val="23"/>
          <w:szCs w:val="23"/>
        </w:rPr>
        <w:t xml:space="preserve"> </w:t>
      </w:r>
      <w:r w:rsidR="00F00E3D" w:rsidRPr="00A30F38">
        <w:rPr>
          <w:rFonts w:asciiTheme="majorHAnsi" w:eastAsia="Calibri" w:hAnsiTheme="majorHAnsi" w:cstheme="majorHAnsi"/>
          <w:iCs/>
          <w:sz w:val="23"/>
          <w:szCs w:val="23"/>
        </w:rPr>
        <w:t xml:space="preserve">Centre for Future Work </w:t>
      </w:r>
      <w:r w:rsidR="00F00E3D" w:rsidRPr="00DD331C">
        <w:rPr>
          <w:rFonts w:asciiTheme="majorHAnsi" w:eastAsia="Calibri" w:hAnsiTheme="majorHAnsi" w:cstheme="majorHAnsi"/>
          <w:sz w:val="23"/>
          <w:szCs w:val="23"/>
        </w:rPr>
        <w:t xml:space="preserve">indicating that 51 percent of employees had “chosen, or been requested by their employers, to perform some or all of their work from home as a result of the </w:t>
      </w:r>
      <w:r w:rsidR="00940D80">
        <w:rPr>
          <w:rFonts w:asciiTheme="majorHAnsi" w:eastAsia="Calibri" w:hAnsiTheme="majorHAnsi" w:cstheme="majorHAnsi"/>
          <w:sz w:val="23"/>
          <w:szCs w:val="23"/>
        </w:rPr>
        <w:t>COVID</w:t>
      </w:r>
      <w:r w:rsidR="00F00E3D" w:rsidRPr="00DD331C">
        <w:rPr>
          <w:rFonts w:asciiTheme="majorHAnsi" w:eastAsia="Calibri" w:hAnsiTheme="majorHAnsi" w:cstheme="majorHAnsi"/>
          <w:sz w:val="23"/>
          <w:szCs w:val="23"/>
        </w:rPr>
        <w:t xml:space="preserve">-19 pandemic (including 55% of men, and 47% of women)” (Nahum, 2020, p. 27). </w:t>
      </w:r>
      <w:r w:rsidR="00E7090E">
        <w:rPr>
          <w:rFonts w:asciiTheme="majorHAnsi" w:eastAsia="Calibri" w:hAnsiTheme="majorHAnsi" w:cstheme="majorHAnsi"/>
          <w:sz w:val="23"/>
          <w:szCs w:val="23"/>
        </w:rPr>
        <w:t>However</w:t>
      </w:r>
      <w:r w:rsidR="00E7090E" w:rsidRPr="00DD331C">
        <w:rPr>
          <w:rFonts w:asciiTheme="majorHAnsi" w:eastAsia="Calibri" w:hAnsiTheme="majorHAnsi" w:cstheme="majorHAnsi"/>
          <w:sz w:val="23"/>
          <w:szCs w:val="23"/>
        </w:rPr>
        <w:t>, the OECD note</w:t>
      </w:r>
      <w:r w:rsidR="00E7090E">
        <w:rPr>
          <w:rFonts w:asciiTheme="majorHAnsi" w:eastAsia="Calibri" w:hAnsiTheme="majorHAnsi" w:cstheme="majorHAnsi"/>
          <w:sz w:val="23"/>
          <w:szCs w:val="23"/>
        </w:rPr>
        <w:t>d</w:t>
      </w:r>
      <w:r w:rsidR="00E7090E" w:rsidRPr="00DD331C">
        <w:rPr>
          <w:rFonts w:asciiTheme="majorHAnsi" w:eastAsia="Calibri" w:hAnsiTheme="majorHAnsi" w:cstheme="majorHAnsi"/>
          <w:sz w:val="23"/>
          <w:szCs w:val="23"/>
        </w:rPr>
        <w:t xml:space="preserve"> that not all jobs, businesses or regions are equally suited or equipped for remote work</w:t>
      </w:r>
      <w:r w:rsidR="00E7090E">
        <w:rPr>
          <w:rFonts w:asciiTheme="majorHAnsi" w:eastAsia="Calibri" w:hAnsiTheme="majorHAnsi" w:cstheme="majorHAnsi"/>
          <w:sz w:val="23"/>
          <w:szCs w:val="23"/>
        </w:rPr>
        <w:t>,</w:t>
      </w:r>
      <w:r w:rsidR="00E7090E" w:rsidRPr="00DD331C">
        <w:rPr>
          <w:rFonts w:asciiTheme="majorHAnsi" w:eastAsia="Calibri" w:hAnsiTheme="majorHAnsi" w:cstheme="majorHAnsi"/>
          <w:sz w:val="23"/>
          <w:szCs w:val="23"/>
        </w:rPr>
        <w:t xml:space="preserve"> and that this option remains inaccessible to many workers due to pre-</w:t>
      </w:r>
      <w:r w:rsidR="00E7090E" w:rsidRPr="00DD331C">
        <w:rPr>
          <w:rFonts w:asciiTheme="majorHAnsi" w:eastAsia="Calibri" w:hAnsiTheme="majorHAnsi" w:cstheme="majorHAnsi"/>
          <w:sz w:val="23"/>
          <w:szCs w:val="23"/>
        </w:rPr>
        <w:lastRenderedPageBreak/>
        <w:t>existing inequalities, the digital divide</w:t>
      </w:r>
      <w:r w:rsidR="00E7090E">
        <w:rPr>
          <w:rFonts w:asciiTheme="majorHAnsi" w:eastAsia="Calibri" w:hAnsiTheme="majorHAnsi" w:cstheme="majorHAnsi"/>
          <w:sz w:val="23"/>
          <w:szCs w:val="23"/>
        </w:rPr>
        <w:t>, or</w:t>
      </w:r>
      <w:r w:rsidR="00E7090E" w:rsidRPr="00DD331C">
        <w:rPr>
          <w:rFonts w:asciiTheme="majorHAnsi" w:eastAsia="Calibri" w:hAnsiTheme="majorHAnsi" w:cstheme="majorHAnsi"/>
          <w:sz w:val="23"/>
          <w:szCs w:val="23"/>
        </w:rPr>
        <w:t xml:space="preserve"> the nature of the </w:t>
      </w:r>
      <w:r w:rsidR="00E7090E">
        <w:rPr>
          <w:rFonts w:asciiTheme="majorHAnsi" w:eastAsia="Calibri" w:hAnsiTheme="majorHAnsi" w:cstheme="majorHAnsi"/>
          <w:sz w:val="23"/>
          <w:szCs w:val="23"/>
        </w:rPr>
        <w:t>job</w:t>
      </w:r>
      <w:r w:rsidR="00E7090E" w:rsidRPr="00DD331C">
        <w:rPr>
          <w:rFonts w:asciiTheme="majorHAnsi" w:eastAsia="Calibri" w:hAnsiTheme="majorHAnsi" w:cstheme="majorHAnsi"/>
          <w:sz w:val="23"/>
          <w:szCs w:val="23"/>
        </w:rPr>
        <w:t xml:space="preserve"> requiring </w:t>
      </w:r>
      <w:r w:rsidR="00E7090E">
        <w:rPr>
          <w:rFonts w:asciiTheme="majorHAnsi" w:eastAsia="Calibri" w:hAnsiTheme="majorHAnsi" w:cstheme="majorHAnsi"/>
          <w:sz w:val="23"/>
          <w:szCs w:val="23"/>
        </w:rPr>
        <w:t xml:space="preserve">the worker’s physical presence </w:t>
      </w:r>
      <w:r w:rsidR="00E7090E" w:rsidRPr="00DD331C">
        <w:rPr>
          <w:rFonts w:asciiTheme="majorHAnsi" w:eastAsia="Calibri" w:hAnsiTheme="majorHAnsi" w:cstheme="majorHAnsi"/>
          <w:sz w:val="23"/>
          <w:szCs w:val="23"/>
        </w:rPr>
        <w:t xml:space="preserve">(OECD, 2020). </w:t>
      </w:r>
      <w:r w:rsidR="00E7090E">
        <w:rPr>
          <w:rFonts w:asciiTheme="majorHAnsi" w:eastAsia="Calibri" w:hAnsiTheme="majorHAnsi" w:cstheme="majorHAnsi"/>
          <w:sz w:val="23"/>
          <w:szCs w:val="23"/>
        </w:rPr>
        <w:t>In Australia, all</w:t>
      </w:r>
      <w:r w:rsidR="00CC7050">
        <w:rPr>
          <w:rFonts w:asciiTheme="majorHAnsi" w:eastAsia="Calibri" w:hAnsiTheme="majorHAnsi" w:cstheme="majorHAnsi"/>
          <w:sz w:val="23"/>
          <w:szCs w:val="23"/>
        </w:rPr>
        <w:t xml:space="preserve"> i</w:t>
      </w:r>
      <w:r w:rsidR="00F00E3D" w:rsidRPr="00DD331C">
        <w:rPr>
          <w:rFonts w:asciiTheme="majorHAnsi" w:eastAsia="Calibri" w:hAnsiTheme="majorHAnsi" w:cstheme="majorHAnsi"/>
          <w:sz w:val="23"/>
          <w:szCs w:val="23"/>
        </w:rPr>
        <w:t>ncome categories above $80,000 indicated a</w:t>
      </w:r>
      <w:r w:rsidR="007C6244">
        <w:rPr>
          <w:rFonts w:asciiTheme="majorHAnsi" w:eastAsia="Calibri" w:hAnsiTheme="majorHAnsi" w:cstheme="majorHAnsi"/>
          <w:sz w:val="23"/>
          <w:szCs w:val="23"/>
        </w:rPr>
        <w:t xml:space="preserve">n above-average </w:t>
      </w:r>
      <w:r w:rsidR="00F00E3D" w:rsidRPr="00DD331C">
        <w:rPr>
          <w:rFonts w:asciiTheme="majorHAnsi" w:eastAsia="Calibri" w:hAnsiTheme="majorHAnsi" w:cstheme="majorHAnsi"/>
          <w:sz w:val="23"/>
          <w:szCs w:val="23"/>
        </w:rPr>
        <w:t xml:space="preserve">propensity to work from home, </w:t>
      </w:r>
      <w:r w:rsidR="007C6244">
        <w:rPr>
          <w:rFonts w:asciiTheme="majorHAnsi" w:eastAsia="Calibri" w:hAnsiTheme="majorHAnsi" w:cstheme="majorHAnsi"/>
          <w:sz w:val="23"/>
          <w:szCs w:val="23"/>
        </w:rPr>
        <w:t>including</w:t>
      </w:r>
      <w:r w:rsidR="00F00E3D" w:rsidRPr="00DD331C">
        <w:rPr>
          <w:rFonts w:asciiTheme="majorHAnsi" w:eastAsia="Calibri" w:hAnsiTheme="majorHAnsi" w:cstheme="majorHAnsi"/>
          <w:sz w:val="23"/>
          <w:szCs w:val="23"/>
        </w:rPr>
        <w:t xml:space="preserve"> 78</w:t>
      </w:r>
      <w:r w:rsidR="00CC7050">
        <w:rPr>
          <w:rFonts w:asciiTheme="majorHAnsi" w:eastAsia="Calibri" w:hAnsiTheme="majorHAnsi" w:cstheme="majorHAnsi"/>
          <w:sz w:val="23"/>
          <w:szCs w:val="23"/>
        </w:rPr>
        <w:t xml:space="preserve"> percent of</w:t>
      </w:r>
      <w:r w:rsidR="00F00E3D" w:rsidRPr="00DD331C">
        <w:rPr>
          <w:rFonts w:asciiTheme="majorHAnsi" w:eastAsia="Calibri" w:hAnsiTheme="majorHAnsi" w:cstheme="majorHAnsi"/>
          <w:sz w:val="23"/>
          <w:szCs w:val="23"/>
        </w:rPr>
        <w:t xml:space="preserve"> workers </w:t>
      </w:r>
      <w:r w:rsidR="00CC7050">
        <w:rPr>
          <w:rFonts w:asciiTheme="majorHAnsi" w:eastAsia="Calibri" w:hAnsiTheme="majorHAnsi" w:cstheme="majorHAnsi"/>
          <w:sz w:val="23"/>
          <w:szCs w:val="23"/>
        </w:rPr>
        <w:t>earning</w:t>
      </w:r>
      <w:r w:rsidR="00F00E3D" w:rsidRPr="00DD331C">
        <w:rPr>
          <w:rFonts w:asciiTheme="majorHAnsi" w:eastAsia="Calibri" w:hAnsiTheme="majorHAnsi" w:cstheme="majorHAnsi"/>
          <w:sz w:val="23"/>
          <w:szCs w:val="23"/>
        </w:rPr>
        <w:t xml:space="preserve"> more than $200,000. </w:t>
      </w:r>
      <w:r w:rsidR="007C6244">
        <w:rPr>
          <w:rFonts w:asciiTheme="majorHAnsi" w:eastAsia="Calibri" w:hAnsiTheme="majorHAnsi" w:cstheme="majorHAnsi"/>
          <w:sz w:val="23"/>
          <w:szCs w:val="23"/>
        </w:rPr>
        <w:t>While</w:t>
      </w:r>
      <w:r w:rsidR="007C6244" w:rsidRPr="00DD331C">
        <w:rPr>
          <w:rFonts w:asciiTheme="majorHAnsi" w:eastAsia="Calibri" w:hAnsiTheme="majorHAnsi" w:cstheme="majorHAnsi"/>
          <w:sz w:val="23"/>
          <w:szCs w:val="23"/>
        </w:rPr>
        <w:t xml:space="preserve"> 62</w:t>
      </w:r>
      <w:r w:rsidR="007C6244">
        <w:rPr>
          <w:rFonts w:asciiTheme="majorHAnsi" w:eastAsia="Calibri" w:hAnsiTheme="majorHAnsi" w:cstheme="majorHAnsi"/>
          <w:sz w:val="23"/>
          <w:szCs w:val="23"/>
        </w:rPr>
        <w:t xml:space="preserve"> percent</w:t>
      </w:r>
      <w:r w:rsidR="007C6244" w:rsidRPr="00DD331C">
        <w:rPr>
          <w:rFonts w:asciiTheme="majorHAnsi" w:eastAsia="Calibri" w:hAnsiTheme="majorHAnsi" w:cstheme="majorHAnsi"/>
          <w:sz w:val="23"/>
          <w:szCs w:val="23"/>
        </w:rPr>
        <w:t xml:space="preserve"> of full-time workers had </w:t>
      </w:r>
      <w:r w:rsidR="007C6244">
        <w:rPr>
          <w:rFonts w:asciiTheme="majorHAnsi" w:eastAsia="Calibri" w:hAnsiTheme="majorHAnsi" w:cstheme="majorHAnsi"/>
          <w:sz w:val="23"/>
          <w:szCs w:val="23"/>
        </w:rPr>
        <w:t>worked from home,</w:t>
      </w:r>
      <w:r w:rsidR="007C6244" w:rsidRPr="00DD331C">
        <w:rPr>
          <w:rFonts w:asciiTheme="majorHAnsi" w:eastAsia="Calibri" w:hAnsiTheme="majorHAnsi" w:cstheme="majorHAnsi"/>
          <w:sz w:val="23"/>
          <w:szCs w:val="23"/>
        </w:rPr>
        <w:t xml:space="preserve"> </w:t>
      </w:r>
      <w:r w:rsidR="00F00E3D" w:rsidRPr="00DD331C">
        <w:rPr>
          <w:rFonts w:asciiTheme="majorHAnsi" w:eastAsia="Calibri" w:hAnsiTheme="majorHAnsi" w:cstheme="majorHAnsi"/>
          <w:sz w:val="23"/>
          <w:szCs w:val="23"/>
        </w:rPr>
        <w:t>only 30</w:t>
      </w:r>
      <w:r w:rsidR="007C6244">
        <w:rPr>
          <w:rFonts w:asciiTheme="majorHAnsi" w:eastAsia="Calibri" w:hAnsiTheme="majorHAnsi" w:cstheme="majorHAnsi"/>
          <w:sz w:val="23"/>
          <w:szCs w:val="23"/>
        </w:rPr>
        <w:t xml:space="preserve"> percent</w:t>
      </w:r>
      <w:r w:rsidR="00F00E3D" w:rsidRPr="00DD331C">
        <w:rPr>
          <w:rFonts w:asciiTheme="majorHAnsi" w:eastAsia="Calibri" w:hAnsiTheme="majorHAnsi" w:cstheme="majorHAnsi"/>
          <w:sz w:val="23"/>
          <w:szCs w:val="23"/>
        </w:rPr>
        <w:t xml:space="preserve"> of casuals</w:t>
      </w:r>
      <w:r w:rsidR="007C6244">
        <w:rPr>
          <w:rFonts w:asciiTheme="majorHAnsi" w:eastAsia="Calibri" w:hAnsiTheme="majorHAnsi" w:cstheme="majorHAnsi"/>
          <w:sz w:val="23"/>
          <w:szCs w:val="23"/>
        </w:rPr>
        <w:t xml:space="preserve"> and</w:t>
      </w:r>
      <w:r w:rsidR="00F00E3D" w:rsidRPr="00DD331C">
        <w:rPr>
          <w:rFonts w:asciiTheme="majorHAnsi" w:eastAsia="Calibri" w:hAnsiTheme="majorHAnsi" w:cstheme="majorHAnsi"/>
          <w:sz w:val="23"/>
          <w:szCs w:val="23"/>
        </w:rPr>
        <w:t xml:space="preserve"> </w:t>
      </w:r>
      <w:r w:rsidR="007C6244" w:rsidRPr="00DD331C">
        <w:rPr>
          <w:rFonts w:asciiTheme="majorHAnsi" w:eastAsia="Calibri" w:hAnsiTheme="majorHAnsi" w:cstheme="majorHAnsi"/>
          <w:sz w:val="23"/>
          <w:szCs w:val="23"/>
        </w:rPr>
        <w:t>35</w:t>
      </w:r>
      <w:r w:rsidR="007C6244">
        <w:rPr>
          <w:rFonts w:asciiTheme="majorHAnsi" w:eastAsia="Calibri" w:hAnsiTheme="majorHAnsi" w:cstheme="majorHAnsi"/>
          <w:sz w:val="23"/>
          <w:szCs w:val="23"/>
        </w:rPr>
        <w:t xml:space="preserve"> percent</w:t>
      </w:r>
      <w:r w:rsidR="007C6244" w:rsidRPr="00DD331C">
        <w:rPr>
          <w:rFonts w:asciiTheme="majorHAnsi" w:eastAsia="Calibri" w:hAnsiTheme="majorHAnsi" w:cstheme="majorHAnsi"/>
          <w:sz w:val="23"/>
          <w:szCs w:val="23"/>
        </w:rPr>
        <w:t xml:space="preserve"> of part-time workers </w:t>
      </w:r>
      <w:r w:rsidR="00F00E3D" w:rsidRPr="00DD331C">
        <w:rPr>
          <w:rFonts w:asciiTheme="majorHAnsi" w:eastAsia="Calibri" w:hAnsiTheme="majorHAnsi" w:cstheme="majorHAnsi"/>
          <w:sz w:val="23"/>
          <w:szCs w:val="23"/>
        </w:rPr>
        <w:t xml:space="preserve">had </w:t>
      </w:r>
      <w:r w:rsidR="007C6244">
        <w:rPr>
          <w:rFonts w:asciiTheme="majorHAnsi" w:eastAsia="Calibri" w:hAnsiTheme="majorHAnsi" w:cstheme="majorHAnsi"/>
          <w:sz w:val="23"/>
          <w:szCs w:val="23"/>
        </w:rPr>
        <w:t>done so</w:t>
      </w:r>
      <w:r w:rsidR="00E7090E">
        <w:rPr>
          <w:rFonts w:asciiTheme="majorHAnsi" w:eastAsia="Calibri" w:hAnsiTheme="majorHAnsi" w:cstheme="majorHAnsi"/>
          <w:sz w:val="23"/>
          <w:szCs w:val="23"/>
        </w:rPr>
        <w:t xml:space="preserve"> </w:t>
      </w:r>
      <w:r w:rsidR="00E7090E" w:rsidRPr="00DD331C">
        <w:rPr>
          <w:rFonts w:asciiTheme="majorHAnsi" w:eastAsia="Calibri" w:hAnsiTheme="majorHAnsi" w:cstheme="majorHAnsi"/>
          <w:sz w:val="23"/>
          <w:szCs w:val="23"/>
        </w:rPr>
        <w:t>(Nahum, 2020, p. 27)</w:t>
      </w:r>
      <w:r w:rsidR="007C6244">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w:t>
      </w:r>
    </w:p>
    <w:p w14:paraId="447E3675" w14:textId="77777777" w:rsidR="00F00E3D" w:rsidRPr="00490179" w:rsidRDefault="00F00E3D" w:rsidP="004D51EB">
      <w:pPr>
        <w:spacing w:after="0" w:line="276" w:lineRule="auto"/>
        <w:rPr>
          <w:rFonts w:asciiTheme="majorHAnsi" w:eastAsia="Calibri" w:hAnsiTheme="majorHAnsi" w:cstheme="majorHAnsi"/>
          <w:sz w:val="16"/>
          <w:szCs w:val="16"/>
        </w:rPr>
      </w:pPr>
    </w:p>
    <w:p w14:paraId="38FBF4BB" w14:textId="4C41A3F4" w:rsidR="00F00E3D" w:rsidRPr="00DD331C" w:rsidRDefault="00E66DA1"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Looking at global responses</w:t>
      </w:r>
      <w:r w:rsidR="00407AD2">
        <w:rPr>
          <w:rFonts w:asciiTheme="majorHAnsi" w:eastAsia="Calibri" w:hAnsiTheme="majorHAnsi" w:cstheme="majorHAnsi"/>
          <w:sz w:val="23"/>
          <w:szCs w:val="23"/>
        </w:rPr>
        <w:t>, some</w:t>
      </w:r>
      <w:r w:rsidR="00F00E3D" w:rsidRPr="00DD331C">
        <w:rPr>
          <w:rFonts w:asciiTheme="majorHAnsi" w:eastAsia="Calibri" w:hAnsiTheme="majorHAnsi" w:cstheme="majorHAnsi"/>
          <w:sz w:val="23"/>
          <w:szCs w:val="23"/>
        </w:rPr>
        <w:t xml:space="preserve"> local governments supported the switch to remote work by giving businesses access to free telework training, software</w:t>
      </w:r>
      <w:r w:rsidR="00407AD2">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and subsidised equipment</w:t>
      </w:r>
      <w:r>
        <w:rPr>
          <w:rFonts w:asciiTheme="majorHAnsi" w:eastAsia="Calibri" w:hAnsiTheme="majorHAnsi" w:cstheme="majorHAnsi"/>
          <w:sz w:val="23"/>
          <w:szCs w:val="23"/>
        </w:rPr>
        <w:t>, and</w:t>
      </w:r>
      <w:r w:rsidR="00F00E3D" w:rsidRPr="00DD331C">
        <w:rPr>
          <w:rFonts w:asciiTheme="majorHAnsi" w:eastAsia="Calibri" w:hAnsiTheme="majorHAnsi" w:cstheme="majorHAnsi"/>
          <w:sz w:val="23"/>
          <w:szCs w:val="23"/>
        </w:rPr>
        <w:t xml:space="preserve"> collaborating with local tech companies to expand </w:t>
      </w:r>
      <w:r>
        <w:rPr>
          <w:rFonts w:asciiTheme="majorHAnsi" w:eastAsia="Calibri" w:hAnsiTheme="majorHAnsi" w:cstheme="majorHAnsi"/>
          <w:sz w:val="23"/>
          <w:szCs w:val="23"/>
        </w:rPr>
        <w:t xml:space="preserve">online </w:t>
      </w:r>
      <w:r w:rsidR="00F00E3D" w:rsidRPr="00DD331C">
        <w:rPr>
          <w:rFonts w:asciiTheme="majorHAnsi" w:eastAsia="Calibri" w:hAnsiTheme="majorHAnsi" w:cstheme="majorHAnsi"/>
          <w:sz w:val="23"/>
          <w:szCs w:val="23"/>
        </w:rPr>
        <w:t xml:space="preserve">support services </w:t>
      </w:r>
      <w:r>
        <w:rPr>
          <w:rFonts w:asciiTheme="majorHAnsi" w:eastAsia="Calibri" w:hAnsiTheme="majorHAnsi" w:cstheme="majorHAnsi"/>
          <w:sz w:val="23"/>
          <w:szCs w:val="23"/>
        </w:rPr>
        <w:t>for</w:t>
      </w:r>
      <w:r w:rsidR="00F00E3D" w:rsidRPr="00DD331C">
        <w:rPr>
          <w:rFonts w:asciiTheme="majorHAnsi" w:eastAsia="Calibri" w:hAnsiTheme="majorHAnsi" w:cstheme="majorHAnsi"/>
          <w:sz w:val="23"/>
          <w:szCs w:val="23"/>
        </w:rPr>
        <w:t xml:space="preserve"> workers and employers </w:t>
      </w:r>
      <w:r w:rsidR="00F00E3D" w:rsidRPr="00DD331C">
        <w:rPr>
          <w:rFonts w:asciiTheme="majorHAnsi" w:eastAsia="Calibri" w:hAnsiTheme="majorHAnsi" w:cstheme="majorHAnsi"/>
          <w:noProof/>
          <w:sz w:val="23"/>
          <w:szCs w:val="23"/>
        </w:rPr>
        <w:t>(C40 Knowledge Hub, 2020)</w:t>
      </w:r>
      <w:r w:rsidR="00F00E3D" w:rsidRPr="00DD331C">
        <w:rPr>
          <w:rFonts w:asciiTheme="majorHAnsi" w:eastAsia="Calibri" w:hAnsiTheme="majorHAnsi" w:cstheme="majorHAnsi"/>
          <w:sz w:val="23"/>
          <w:szCs w:val="23"/>
        </w:rPr>
        <w:t xml:space="preserve">. </w:t>
      </w:r>
      <w:r>
        <w:rPr>
          <w:rFonts w:asciiTheme="majorHAnsi" w:eastAsia="Calibri" w:hAnsiTheme="majorHAnsi" w:cstheme="majorHAnsi"/>
          <w:sz w:val="23"/>
          <w:szCs w:val="23"/>
        </w:rPr>
        <w:t>Initi</w:t>
      </w:r>
      <w:r w:rsidR="005913B1">
        <w:rPr>
          <w:rFonts w:asciiTheme="majorHAnsi" w:eastAsia="Calibri" w:hAnsiTheme="majorHAnsi" w:cstheme="majorHAnsi"/>
          <w:sz w:val="23"/>
          <w:szCs w:val="23"/>
        </w:rPr>
        <w:t>ally, the shift online was</w:t>
      </w:r>
      <w:r w:rsidR="00F00E3D" w:rsidRPr="00DD331C">
        <w:rPr>
          <w:rFonts w:asciiTheme="majorHAnsi" w:eastAsia="Calibri" w:hAnsiTheme="majorHAnsi" w:cstheme="majorHAnsi"/>
          <w:sz w:val="23"/>
          <w:szCs w:val="23"/>
        </w:rPr>
        <w:t xml:space="preserve"> a crash course in learning-by-doing. </w:t>
      </w:r>
      <w:r w:rsidR="005913B1">
        <w:rPr>
          <w:rFonts w:asciiTheme="majorHAnsi" w:eastAsia="Calibri" w:hAnsiTheme="majorHAnsi" w:cstheme="majorHAnsi"/>
          <w:sz w:val="23"/>
          <w:szCs w:val="23"/>
        </w:rPr>
        <w:t>If the remote working trend persists,</w:t>
      </w:r>
      <w:r w:rsidR="00F00E3D" w:rsidRPr="00DD331C">
        <w:rPr>
          <w:rFonts w:asciiTheme="majorHAnsi" w:eastAsia="Calibri" w:hAnsiTheme="majorHAnsi" w:cstheme="majorHAnsi"/>
          <w:sz w:val="23"/>
          <w:szCs w:val="23"/>
        </w:rPr>
        <w:t xml:space="preserve"> upskilling will be an ongoing requirement </w:t>
      </w:r>
      <w:r w:rsidR="00F00E3D" w:rsidRPr="00DD331C">
        <w:rPr>
          <w:rFonts w:asciiTheme="majorHAnsi" w:eastAsia="Calibri" w:hAnsiTheme="majorHAnsi" w:cstheme="majorHAnsi"/>
          <w:noProof/>
          <w:sz w:val="23"/>
          <w:szCs w:val="23"/>
        </w:rPr>
        <w:t>(Agrawal</w:t>
      </w:r>
      <w:r w:rsidR="00801265">
        <w:rPr>
          <w:rFonts w:asciiTheme="majorHAnsi" w:eastAsia="Calibri" w:hAnsiTheme="majorHAnsi" w:cstheme="majorHAnsi"/>
          <w:noProof/>
          <w:sz w:val="23"/>
          <w:szCs w:val="23"/>
        </w:rPr>
        <w:t xml:space="preserve"> et al.</w:t>
      </w:r>
      <w:r w:rsidR="00F00E3D" w:rsidRPr="00DD331C">
        <w:rPr>
          <w:rFonts w:asciiTheme="majorHAnsi" w:eastAsia="Calibri" w:hAnsiTheme="majorHAnsi" w:cstheme="majorHAnsi"/>
          <w:noProof/>
          <w:sz w:val="23"/>
          <w:szCs w:val="23"/>
        </w:rPr>
        <w:t>, 2020)</w:t>
      </w:r>
      <w:r w:rsidR="00F00E3D" w:rsidRPr="00DD331C">
        <w:rPr>
          <w:rFonts w:asciiTheme="majorHAnsi" w:eastAsia="Calibri" w:hAnsiTheme="majorHAnsi" w:cstheme="majorHAnsi"/>
          <w:sz w:val="23"/>
          <w:szCs w:val="23"/>
        </w:rPr>
        <w:t>.</w:t>
      </w:r>
    </w:p>
    <w:p w14:paraId="34E875B0" w14:textId="42147339" w:rsidR="00F00E3D" w:rsidRPr="00EF7E59" w:rsidRDefault="00F00E3D" w:rsidP="004D51EB">
      <w:pPr>
        <w:spacing w:after="0" w:line="276" w:lineRule="auto"/>
        <w:rPr>
          <w:rFonts w:asciiTheme="majorHAnsi" w:eastAsia="Calibri" w:hAnsiTheme="majorHAnsi" w:cstheme="majorBidi"/>
          <w:sz w:val="12"/>
          <w:szCs w:val="12"/>
        </w:rPr>
      </w:pPr>
    </w:p>
    <w:p w14:paraId="54F7ACEA" w14:textId="209223A5" w:rsidR="00F00E3D" w:rsidRPr="00DD331C" w:rsidRDefault="004A2BA6"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This shift also</w:t>
      </w:r>
      <w:r w:rsidR="00F00E3D" w:rsidRPr="00DD331C">
        <w:rPr>
          <w:rFonts w:asciiTheme="majorHAnsi" w:eastAsia="Calibri" w:hAnsiTheme="majorHAnsi" w:cstheme="majorHAnsi"/>
          <w:sz w:val="23"/>
          <w:szCs w:val="23"/>
        </w:rPr>
        <w:t xml:space="preserve"> has </w:t>
      </w:r>
      <w:r w:rsidR="006B7A6F">
        <w:rPr>
          <w:rFonts w:asciiTheme="majorHAnsi" w:eastAsia="Calibri" w:hAnsiTheme="majorHAnsi" w:cstheme="majorHAnsi"/>
          <w:sz w:val="23"/>
          <w:szCs w:val="23"/>
        </w:rPr>
        <w:t>implications for</w:t>
      </w:r>
      <w:r w:rsidR="00F00E3D" w:rsidRPr="00DD331C">
        <w:rPr>
          <w:rFonts w:asciiTheme="majorHAnsi" w:eastAsia="Calibri" w:hAnsiTheme="majorHAnsi" w:cstheme="majorHAnsi"/>
          <w:sz w:val="23"/>
          <w:szCs w:val="23"/>
        </w:rPr>
        <w:t xml:space="preserve"> workplace culture, home life, and community connections. One potential upside is that a more scattered workforce could help revitalise local </w:t>
      </w:r>
      <w:r w:rsidR="006B7A6F">
        <w:rPr>
          <w:rFonts w:asciiTheme="majorHAnsi" w:eastAsia="Calibri" w:hAnsiTheme="majorHAnsi" w:cstheme="majorHAnsi"/>
          <w:sz w:val="23"/>
          <w:szCs w:val="23"/>
        </w:rPr>
        <w:t>h</w:t>
      </w:r>
      <w:r w:rsidR="00F00E3D" w:rsidRPr="00DD331C">
        <w:rPr>
          <w:rFonts w:asciiTheme="majorHAnsi" w:eastAsia="Calibri" w:hAnsiTheme="majorHAnsi" w:cstheme="majorHAnsi"/>
          <w:sz w:val="23"/>
          <w:szCs w:val="23"/>
        </w:rPr>
        <w:t xml:space="preserve">igh </w:t>
      </w:r>
      <w:r w:rsidR="006B7A6F">
        <w:rPr>
          <w:rFonts w:asciiTheme="majorHAnsi" w:eastAsia="Calibri" w:hAnsiTheme="majorHAnsi" w:cstheme="majorHAnsi"/>
          <w:sz w:val="23"/>
          <w:szCs w:val="23"/>
        </w:rPr>
        <w:t>s</w:t>
      </w:r>
      <w:r w:rsidR="00F00E3D" w:rsidRPr="00DD331C">
        <w:rPr>
          <w:rFonts w:asciiTheme="majorHAnsi" w:eastAsia="Calibri" w:hAnsiTheme="majorHAnsi" w:cstheme="majorHAnsi"/>
          <w:sz w:val="23"/>
          <w:szCs w:val="23"/>
        </w:rPr>
        <w:t xml:space="preserve">treets </w:t>
      </w:r>
      <w:r w:rsidR="00F00E3D" w:rsidRPr="00DD331C">
        <w:rPr>
          <w:rFonts w:asciiTheme="majorHAnsi" w:eastAsia="Calibri" w:hAnsiTheme="majorHAnsi" w:cstheme="majorHAnsi"/>
          <w:noProof/>
          <w:sz w:val="23"/>
          <w:szCs w:val="23"/>
        </w:rPr>
        <w:t>(De Poloni, 2020; Ryerson CBI &amp; ULI Toronto, 2020b)</w:t>
      </w:r>
      <w:r w:rsidR="00F00E3D" w:rsidRPr="00DD331C">
        <w:rPr>
          <w:rFonts w:asciiTheme="majorHAnsi" w:eastAsia="Calibri" w:hAnsiTheme="majorHAnsi" w:cstheme="majorHAnsi"/>
          <w:sz w:val="23"/>
          <w:szCs w:val="23"/>
        </w:rPr>
        <w:t xml:space="preserve">. While working from home </w:t>
      </w:r>
      <w:r w:rsidR="002E7A99">
        <w:rPr>
          <w:rFonts w:asciiTheme="majorHAnsi" w:eastAsia="Calibri" w:hAnsiTheme="majorHAnsi" w:cstheme="majorHAnsi"/>
          <w:sz w:val="23"/>
          <w:szCs w:val="23"/>
        </w:rPr>
        <w:t>may increase</w:t>
      </w:r>
      <w:r w:rsidR="00F00E3D" w:rsidRPr="00DD331C">
        <w:rPr>
          <w:rFonts w:asciiTheme="majorHAnsi" w:eastAsia="Calibri" w:hAnsiTheme="majorHAnsi" w:cstheme="majorHAnsi"/>
          <w:sz w:val="23"/>
          <w:szCs w:val="23"/>
        </w:rPr>
        <w:t xml:space="preserve"> job satisfaction and </w:t>
      </w:r>
      <w:r w:rsidR="00960F8C">
        <w:rPr>
          <w:rFonts w:asciiTheme="majorHAnsi" w:eastAsia="Calibri" w:hAnsiTheme="majorHAnsi" w:cstheme="majorHAnsi"/>
          <w:sz w:val="23"/>
          <w:szCs w:val="23"/>
        </w:rPr>
        <w:t>producti</w:t>
      </w:r>
      <w:r w:rsidR="0052135B">
        <w:rPr>
          <w:rFonts w:asciiTheme="majorHAnsi" w:eastAsia="Calibri" w:hAnsiTheme="majorHAnsi" w:cstheme="majorHAnsi"/>
          <w:sz w:val="23"/>
          <w:szCs w:val="23"/>
        </w:rPr>
        <w:t xml:space="preserve">vity and </w:t>
      </w:r>
      <w:r w:rsidR="00F00E3D" w:rsidRPr="00DD331C">
        <w:rPr>
          <w:rFonts w:asciiTheme="majorHAnsi" w:eastAsia="Calibri" w:hAnsiTheme="majorHAnsi" w:cstheme="majorHAnsi"/>
          <w:sz w:val="23"/>
          <w:szCs w:val="23"/>
        </w:rPr>
        <w:t xml:space="preserve">lower staff turnover, absenteeism and stress, </w:t>
      </w:r>
      <w:r w:rsidR="002E7A99">
        <w:rPr>
          <w:rFonts w:asciiTheme="majorHAnsi" w:eastAsia="Calibri" w:hAnsiTheme="majorHAnsi" w:cstheme="majorHAnsi"/>
          <w:sz w:val="23"/>
          <w:szCs w:val="23"/>
        </w:rPr>
        <w:t>there are potential</w:t>
      </w:r>
      <w:r w:rsidR="00F00E3D" w:rsidRPr="00DD331C">
        <w:rPr>
          <w:rFonts w:asciiTheme="majorHAnsi" w:eastAsia="Calibri" w:hAnsiTheme="majorHAnsi" w:cstheme="majorHAnsi"/>
          <w:sz w:val="23"/>
          <w:szCs w:val="23"/>
        </w:rPr>
        <w:t xml:space="preserve"> drawbacks</w:t>
      </w:r>
      <w:r w:rsidR="00205F1D">
        <w:rPr>
          <w:rFonts w:asciiTheme="majorHAnsi" w:eastAsia="Calibri" w:hAnsiTheme="majorHAnsi" w:cstheme="majorHAnsi"/>
          <w:sz w:val="23"/>
          <w:szCs w:val="23"/>
        </w:rPr>
        <w:t xml:space="preserve"> too</w:t>
      </w:r>
      <w:r w:rsidR="002E7A99">
        <w:rPr>
          <w:rFonts w:asciiTheme="majorHAnsi" w:eastAsia="Calibri" w:hAnsiTheme="majorHAnsi" w:cstheme="majorHAnsi"/>
          <w:sz w:val="23"/>
          <w:szCs w:val="23"/>
        </w:rPr>
        <w:t xml:space="preserve">. </w:t>
      </w:r>
      <w:r w:rsidR="00DB7CF2">
        <w:rPr>
          <w:rFonts w:asciiTheme="majorHAnsi" w:eastAsia="Calibri" w:hAnsiTheme="majorHAnsi" w:cstheme="majorHAnsi"/>
          <w:sz w:val="23"/>
          <w:szCs w:val="23"/>
        </w:rPr>
        <w:t xml:space="preserve">Some </w:t>
      </w:r>
      <w:r w:rsidR="007C3049">
        <w:rPr>
          <w:rFonts w:asciiTheme="majorHAnsi" w:eastAsia="Calibri" w:hAnsiTheme="majorHAnsi" w:cstheme="majorHAnsi"/>
          <w:sz w:val="23"/>
          <w:szCs w:val="23"/>
        </w:rPr>
        <w:t>research has</w:t>
      </w:r>
      <w:r w:rsidR="00F00E3D" w:rsidRPr="00DD331C">
        <w:rPr>
          <w:rFonts w:asciiTheme="majorHAnsi" w:eastAsia="Calibri" w:hAnsiTheme="majorHAnsi" w:cstheme="majorHAnsi"/>
          <w:sz w:val="23"/>
          <w:szCs w:val="23"/>
        </w:rPr>
        <w:t xml:space="preserve"> found that extended </w:t>
      </w:r>
      <w:r w:rsidR="00DB7CF2">
        <w:rPr>
          <w:rFonts w:asciiTheme="majorHAnsi" w:eastAsia="Calibri" w:hAnsiTheme="majorHAnsi" w:cstheme="majorHAnsi"/>
          <w:sz w:val="23"/>
          <w:szCs w:val="23"/>
        </w:rPr>
        <w:t>stretches of</w:t>
      </w:r>
      <w:r w:rsidR="00F00E3D" w:rsidRPr="00DD331C">
        <w:rPr>
          <w:rFonts w:asciiTheme="majorHAnsi" w:eastAsia="Calibri" w:hAnsiTheme="majorHAnsi" w:cstheme="majorHAnsi"/>
          <w:sz w:val="23"/>
          <w:szCs w:val="23"/>
        </w:rPr>
        <w:t xml:space="preserve"> home-based work can inhibit knowledge sharing, disrupt life-work balance</w:t>
      </w:r>
      <w:r w:rsidR="00DB7CF2">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and make </w:t>
      </w:r>
      <w:r w:rsidR="00DB7CF2">
        <w:rPr>
          <w:rFonts w:asciiTheme="majorHAnsi" w:eastAsia="Calibri" w:hAnsiTheme="majorHAnsi" w:cstheme="majorHAnsi"/>
          <w:sz w:val="23"/>
          <w:szCs w:val="23"/>
        </w:rPr>
        <w:t>worker</w:t>
      </w:r>
      <w:r w:rsidR="00F00E3D" w:rsidRPr="00DD331C">
        <w:rPr>
          <w:rFonts w:asciiTheme="majorHAnsi" w:eastAsia="Calibri" w:hAnsiTheme="majorHAnsi" w:cstheme="majorHAnsi"/>
          <w:sz w:val="23"/>
          <w:szCs w:val="23"/>
        </w:rPr>
        <w:t>s feel socially and professionally isolated</w:t>
      </w:r>
      <w:r w:rsidR="007C3049" w:rsidRPr="007C3049">
        <w:rPr>
          <w:rFonts w:asciiTheme="majorHAnsi" w:eastAsia="Calibri" w:hAnsiTheme="majorHAnsi" w:cstheme="majorHAnsi"/>
          <w:sz w:val="23"/>
          <w:szCs w:val="23"/>
        </w:rPr>
        <w:t xml:space="preserve"> (Sander, 2020)</w:t>
      </w:r>
      <w:r w:rsidR="00F00E3D" w:rsidRPr="00DD331C">
        <w:rPr>
          <w:rFonts w:asciiTheme="majorHAnsi" w:eastAsia="Calibri" w:hAnsiTheme="majorHAnsi" w:cstheme="majorHAnsi"/>
          <w:sz w:val="23"/>
          <w:szCs w:val="23"/>
        </w:rPr>
        <w:t>.</w:t>
      </w:r>
    </w:p>
    <w:p w14:paraId="3CB16DE4" w14:textId="25952182" w:rsidR="00817BDF" w:rsidRDefault="00817BDF">
      <w:pPr>
        <w:spacing w:after="0" w:line="240" w:lineRule="auto"/>
        <w:rPr>
          <w:rFonts w:asciiTheme="majorHAnsi" w:eastAsia="Calibri" w:hAnsiTheme="majorHAnsi" w:cstheme="majorHAnsi"/>
          <w:sz w:val="16"/>
          <w:szCs w:val="16"/>
        </w:rPr>
      </w:pPr>
    </w:p>
    <w:p w14:paraId="7DD19858" w14:textId="216E2A30" w:rsidR="00F00E3D" w:rsidRPr="00B8318D" w:rsidRDefault="00F00E3D" w:rsidP="004D51EB">
      <w:pPr>
        <w:spacing w:after="0" w:line="276" w:lineRule="auto"/>
        <w:rPr>
          <w:rFonts w:eastAsia="Calibri" w:cstheme="minorHAnsi"/>
          <w:b/>
          <w:bCs/>
          <w:sz w:val="23"/>
          <w:szCs w:val="23"/>
        </w:rPr>
      </w:pPr>
      <w:r w:rsidRPr="00B8318D">
        <w:rPr>
          <w:rFonts w:eastAsia="Calibri" w:cstheme="minorHAnsi"/>
          <w:b/>
          <w:bCs/>
          <w:sz w:val="23"/>
          <w:szCs w:val="23"/>
        </w:rPr>
        <w:t>Local Manufacturing</w:t>
      </w:r>
    </w:p>
    <w:p w14:paraId="1A554496" w14:textId="77777777" w:rsidR="00205F1D" w:rsidRPr="00205F1D" w:rsidRDefault="00205F1D" w:rsidP="004D51EB">
      <w:pPr>
        <w:spacing w:after="0" w:line="276" w:lineRule="auto"/>
        <w:rPr>
          <w:rFonts w:asciiTheme="majorHAnsi" w:eastAsia="Calibri" w:hAnsiTheme="majorHAnsi" w:cstheme="majorHAnsi"/>
          <w:b/>
          <w:bCs/>
          <w:sz w:val="12"/>
          <w:szCs w:val="12"/>
        </w:rPr>
      </w:pPr>
    </w:p>
    <w:p w14:paraId="6CCE63F9" w14:textId="70FA132E" w:rsidR="00F00E3D" w:rsidRPr="00DD331C" w:rsidRDefault="00CE08FB"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COVID-19’s disruption of global supply chains has</w:t>
      </w:r>
      <w:r w:rsidR="00F00E3D" w:rsidRPr="00DD331C">
        <w:rPr>
          <w:rFonts w:asciiTheme="majorHAnsi" w:eastAsia="Calibri" w:hAnsiTheme="majorHAnsi" w:cstheme="majorHAnsi"/>
          <w:sz w:val="23"/>
          <w:szCs w:val="23"/>
        </w:rPr>
        <w:t xml:space="preserve"> highlighted Australia’s need to be more self-sufficient. This presents an opportunity for domestic manufacturing to play </w:t>
      </w:r>
      <w:r w:rsidR="0028418D">
        <w:rPr>
          <w:rFonts w:asciiTheme="majorHAnsi" w:eastAsia="Calibri" w:hAnsiTheme="majorHAnsi" w:cstheme="majorHAnsi"/>
          <w:sz w:val="23"/>
          <w:szCs w:val="23"/>
        </w:rPr>
        <w:t>a central role in</w:t>
      </w:r>
      <w:r w:rsidR="00F00E3D" w:rsidRPr="00DD331C">
        <w:rPr>
          <w:rFonts w:asciiTheme="majorHAnsi" w:eastAsia="Calibri" w:hAnsiTheme="majorHAnsi" w:cstheme="majorHAnsi"/>
          <w:sz w:val="23"/>
          <w:szCs w:val="23"/>
        </w:rPr>
        <w:t xml:space="preserve"> </w:t>
      </w:r>
      <w:r w:rsidR="0028418D">
        <w:rPr>
          <w:rFonts w:asciiTheme="majorHAnsi" w:eastAsia="Calibri" w:hAnsiTheme="majorHAnsi" w:cstheme="majorHAnsi"/>
          <w:sz w:val="23"/>
          <w:szCs w:val="23"/>
        </w:rPr>
        <w:t xml:space="preserve">the </w:t>
      </w:r>
      <w:r w:rsidR="00F00E3D" w:rsidRPr="00DD331C">
        <w:rPr>
          <w:rFonts w:asciiTheme="majorHAnsi" w:eastAsia="Calibri" w:hAnsiTheme="majorHAnsi" w:cstheme="majorHAnsi"/>
          <w:sz w:val="23"/>
          <w:szCs w:val="23"/>
        </w:rPr>
        <w:t xml:space="preserve">nation’s economic recovery </w:t>
      </w:r>
      <w:r w:rsidR="00F00E3D" w:rsidRPr="00DD331C">
        <w:rPr>
          <w:rFonts w:asciiTheme="majorHAnsi" w:eastAsia="Calibri" w:hAnsiTheme="majorHAnsi" w:cstheme="majorHAnsi"/>
          <w:noProof/>
          <w:sz w:val="23"/>
          <w:szCs w:val="23"/>
        </w:rPr>
        <w:t>(Duke &amp; Foley, 2020; Green, 2020)</w:t>
      </w:r>
      <w:r w:rsidR="00F00E3D" w:rsidRPr="00DD331C">
        <w:rPr>
          <w:rFonts w:asciiTheme="majorHAnsi" w:eastAsia="Calibri" w:hAnsiTheme="majorHAnsi" w:cstheme="majorHAnsi"/>
          <w:sz w:val="23"/>
          <w:szCs w:val="23"/>
        </w:rPr>
        <w:t xml:space="preserve">. </w:t>
      </w:r>
      <w:r>
        <w:rPr>
          <w:rFonts w:asciiTheme="majorHAnsi" w:eastAsia="Calibri" w:hAnsiTheme="majorHAnsi" w:cstheme="majorHAnsi"/>
          <w:sz w:val="23"/>
          <w:szCs w:val="23"/>
        </w:rPr>
        <w:t xml:space="preserve">The pandemic </w:t>
      </w:r>
      <w:r w:rsidR="0097094D">
        <w:rPr>
          <w:rFonts w:asciiTheme="majorHAnsi" w:eastAsia="Calibri" w:hAnsiTheme="majorHAnsi" w:cstheme="majorHAnsi"/>
          <w:sz w:val="23"/>
          <w:szCs w:val="23"/>
        </w:rPr>
        <w:t>has</w:t>
      </w:r>
      <w:r w:rsidR="0028418D">
        <w:rPr>
          <w:rFonts w:asciiTheme="majorHAnsi" w:eastAsia="Calibri" w:hAnsiTheme="majorHAnsi" w:cstheme="majorHAnsi"/>
          <w:sz w:val="23"/>
          <w:szCs w:val="23"/>
        </w:rPr>
        <w:t xml:space="preserve"> </w:t>
      </w:r>
      <w:r w:rsidR="00D5664B">
        <w:rPr>
          <w:rFonts w:asciiTheme="majorHAnsi" w:eastAsia="Calibri" w:hAnsiTheme="majorHAnsi" w:cstheme="majorHAnsi"/>
          <w:sz w:val="23"/>
          <w:szCs w:val="23"/>
        </w:rPr>
        <w:t xml:space="preserve">accelerated the </w:t>
      </w:r>
      <w:r w:rsidR="00F00E3D" w:rsidRPr="00DD331C">
        <w:rPr>
          <w:rFonts w:asciiTheme="majorHAnsi" w:eastAsia="Calibri" w:hAnsiTheme="majorHAnsi" w:cstheme="majorHAnsi"/>
          <w:sz w:val="23"/>
          <w:szCs w:val="23"/>
        </w:rPr>
        <w:t>reshoring</w:t>
      </w:r>
      <w:r w:rsidR="00D5664B">
        <w:rPr>
          <w:rFonts w:asciiTheme="majorHAnsi" w:eastAsia="Calibri" w:hAnsiTheme="majorHAnsi" w:cstheme="majorHAnsi"/>
          <w:sz w:val="23"/>
          <w:szCs w:val="23"/>
        </w:rPr>
        <w:t xml:space="preserve"> trend</w:t>
      </w:r>
      <w:r w:rsidR="00F00E3D" w:rsidRPr="00DD331C">
        <w:rPr>
          <w:rFonts w:asciiTheme="majorHAnsi" w:eastAsia="Calibri" w:hAnsiTheme="majorHAnsi" w:cstheme="majorHAnsi"/>
          <w:sz w:val="23"/>
          <w:szCs w:val="23"/>
        </w:rPr>
        <w:t>, with Japan, France, Germany</w:t>
      </w:r>
      <w:r w:rsidR="0097094D">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and the US all moving jobs back onshore to reduce supply-chain vulnerabilities. </w:t>
      </w:r>
    </w:p>
    <w:p w14:paraId="44DE38F9" w14:textId="0CA1CACD" w:rsidR="00F00E3D" w:rsidRPr="002B4F57" w:rsidRDefault="00F00E3D" w:rsidP="004D51EB">
      <w:pPr>
        <w:spacing w:after="0" w:line="276" w:lineRule="auto"/>
        <w:rPr>
          <w:rFonts w:asciiTheme="majorHAnsi" w:eastAsia="Calibri" w:hAnsiTheme="majorHAnsi" w:cstheme="majorHAnsi"/>
          <w:sz w:val="16"/>
          <w:szCs w:val="16"/>
        </w:rPr>
      </w:pPr>
    </w:p>
    <w:p w14:paraId="1C3C897E" w14:textId="15BFF2FB" w:rsidR="00F00E3D" w:rsidRPr="00DD331C" w:rsidRDefault="00D3572B"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Manufacturing</w:t>
      </w:r>
      <w:r w:rsidR="002B4F57">
        <w:rPr>
          <w:rFonts w:asciiTheme="majorHAnsi" w:eastAsia="Calibri" w:hAnsiTheme="majorHAnsi" w:cstheme="majorHAnsi"/>
          <w:sz w:val="23"/>
          <w:szCs w:val="23"/>
        </w:rPr>
        <w:t xml:space="preserve"> expert Professor Roy Green argues that</w:t>
      </w:r>
      <w:r w:rsidR="00F00E3D" w:rsidRPr="00DD331C">
        <w:rPr>
          <w:rFonts w:asciiTheme="majorHAnsi" w:eastAsia="Calibri" w:hAnsiTheme="majorHAnsi" w:cstheme="majorHAnsi"/>
          <w:sz w:val="23"/>
          <w:szCs w:val="23"/>
        </w:rPr>
        <w:t xml:space="preserve"> Australia’s economic recovery strategy must embrace technological change and innovation, while also tackling climate change and social inequality</w:t>
      </w:r>
      <w:r w:rsidR="002B4F57">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w:t>
      </w:r>
      <w:r w:rsidR="00817BDF">
        <w:rPr>
          <w:rFonts w:asciiTheme="majorHAnsi" w:eastAsia="Calibri" w:hAnsiTheme="majorHAnsi" w:cstheme="majorHAnsi"/>
          <w:sz w:val="23"/>
          <w:szCs w:val="23"/>
        </w:rPr>
        <w:t>He argues</w:t>
      </w:r>
      <w:r w:rsidR="002B4F57">
        <w:rPr>
          <w:rFonts w:asciiTheme="majorHAnsi" w:eastAsia="Calibri" w:hAnsiTheme="majorHAnsi" w:cstheme="majorHAnsi"/>
          <w:sz w:val="23"/>
          <w:szCs w:val="23"/>
        </w:rPr>
        <w:t xml:space="preserve"> that </w:t>
      </w:r>
      <w:r w:rsidR="00E63A0C">
        <w:rPr>
          <w:rFonts w:asciiTheme="majorHAnsi" w:eastAsia="Calibri" w:hAnsiTheme="majorHAnsi" w:cstheme="majorHAnsi"/>
          <w:sz w:val="23"/>
          <w:szCs w:val="23"/>
        </w:rPr>
        <w:t>s</w:t>
      </w:r>
      <w:r w:rsidR="00E63A0C" w:rsidRPr="00DD331C">
        <w:rPr>
          <w:rFonts w:asciiTheme="majorHAnsi" w:eastAsia="Calibri" w:hAnsiTheme="majorHAnsi" w:cstheme="majorHAnsi"/>
          <w:sz w:val="23"/>
          <w:szCs w:val="23"/>
        </w:rPr>
        <w:t xml:space="preserve">mart specialisation </w:t>
      </w:r>
      <w:r w:rsidR="00817BDF">
        <w:rPr>
          <w:rFonts w:asciiTheme="majorHAnsi" w:eastAsia="Calibri" w:hAnsiTheme="majorHAnsi" w:cstheme="majorHAnsi"/>
          <w:sz w:val="23"/>
          <w:szCs w:val="23"/>
        </w:rPr>
        <w:t>offer</w:t>
      </w:r>
      <w:r w:rsidR="004C2307">
        <w:rPr>
          <w:rFonts w:asciiTheme="majorHAnsi" w:eastAsia="Calibri" w:hAnsiTheme="majorHAnsi" w:cstheme="majorHAnsi"/>
          <w:sz w:val="23"/>
          <w:szCs w:val="23"/>
        </w:rPr>
        <w:t>s a</w:t>
      </w:r>
      <w:r w:rsidR="00E63A0C">
        <w:rPr>
          <w:rFonts w:asciiTheme="majorHAnsi" w:eastAsia="Calibri" w:hAnsiTheme="majorHAnsi" w:cstheme="majorHAnsi"/>
          <w:sz w:val="23"/>
          <w:szCs w:val="23"/>
        </w:rPr>
        <w:t xml:space="preserve"> </w:t>
      </w:r>
      <w:r w:rsidR="004C2307">
        <w:rPr>
          <w:rFonts w:asciiTheme="majorHAnsi" w:eastAsia="Calibri" w:hAnsiTheme="majorHAnsi" w:cstheme="majorHAnsi"/>
          <w:sz w:val="23"/>
          <w:szCs w:val="23"/>
        </w:rPr>
        <w:t>strong</w:t>
      </w:r>
      <w:r w:rsidR="00E63A0C" w:rsidRPr="00DD331C">
        <w:rPr>
          <w:rFonts w:asciiTheme="majorHAnsi" w:eastAsia="Calibri" w:hAnsiTheme="majorHAnsi" w:cstheme="majorHAnsi"/>
          <w:sz w:val="23"/>
          <w:szCs w:val="23"/>
        </w:rPr>
        <w:t xml:space="preserve"> competitive advantage</w:t>
      </w:r>
      <w:r w:rsidR="00817BDF">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Australia should nurture its niche markets and create “clusters of small manufacturing industries we can develop”</w:t>
      </w:r>
      <w:r w:rsidR="002B4F57">
        <w:rPr>
          <w:rFonts w:asciiTheme="majorHAnsi" w:eastAsia="Calibri" w:hAnsiTheme="majorHAnsi" w:cstheme="majorHAnsi"/>
          <w:sz w:val="23"/>
          <w:szCs w:val="23"/>
        </w:rPr>
        <w:t xml:space="preserve"> </w:t>
      </w:r>
      <w:r w:rsidR="00F00E3D" w:rsidRPr="00DD331C">
        <w:rPr>
          <w:rFonts w:asciiTheme="majorHAnsi" w:eastAsia="Calibri" w:hAnsiTheme="majorHAnsi" w:cstheme="majorHAnsi"/>
          <w:noProof/>
          <w:sz w:val="23"/>
          <w:szCs w:val="23"/>
        </w:rPr>
        <w:t>(</w:t>
      </w:r>
      <w:r w:rsidR="002B4F57">
        <w:rPr>
          <w:rFonts w:asciiTheme="majorHAnsi" w:eastAsia="Calibri" w:hAnsiTheme="majorHAnsi" w:cstheme="majorHAnsi"/>
          <w:noProof/>
          <w:sz w:val="23"/>
          <w:szCs w:val="23"/>
        </w:rPr>
        <w:t xml:space="preserve">Green, </w:t>
      </w:r>
      <w:r w:rsidR="00F00E3D" w:rsidRPr="00DD331C">
        <w:rPr>
          <w:rFonts w:asciiTheme="majorHAnsi" w:eastAsia="Calibri" w:hAnsiTheme="majorHAnsi" w:cstheme="majorHAnsi"/>
          <w:noProof/>
          <w:sz w:val="23"/>
          <w:szCs w:val="23"/>
        </w:rPr>
        <w:t>2020)</w:t>
      </w:r>
      <w:r w:rsidR="00F00E3D" w:rsidRPr="00DD331C">
        <w:rPr>
          <w:rFonts w:asciiTheme="majorHAnsi" w:eastAsia="Calibri" w:hAnsiTheme="majorHAnsi" w:cstheme="majorHAnsi"/>
          <w:sz w:val="23"/>
          <w:szCs w:val="23"/>
        </w:rPr>
        <w:t xml:space="preserve">. </w:t>
      </w:r>
    </w:p>
    <w:p w14:paraId="597362DD" w14:textId="473B0866" w:rsidR="00F00E3D" w:rsidRPr="002B4F57" w:rsidRDefault="00F00E3D" w:rsidP="004D51EB">
      <w:pPr>
        <w:spacing w:after="0" w:line="276" w:lineRule="auto"/>
        <w:rPr>
          <w:rFonts w:asciiTheme="majorHAnsi" w:eastAsia="Calibri" w:hAnsiTheme="majorHAnsi" w:cstheme="majorHAnsi"/>
          <w:sz w:val="16"/>
          <w:szCs w:val="16"/>
        </w:rPr>
      </w:pPr>
    </w:p>
    <w:p w14:paraId="3AA4AC0D" w14:textId="69EB26DA" w:rsidR="00F00E3D" w:rsidRPr="00DD331C" w:rsidRDefault="00F00E3D" w:rsidP="004D51EB">
      <w:pPr>
        <w:spacing w:after="0"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The uptake of Industry 4.0 – the unfolding </w:t>
      </w:r>
      <w:r w:rsidR="007C4669">
        <w:rPr>
          <w:rFonts w:asciiTheme="majorHAnsi" w:eastAsia="Calibri" w:hAnsiTheme="majorHAnsi" w:cstheme="majorHAnsi"/>
          <w:sz w:val="23"/>
          <w:szCs w:val="23"/>
        </w:rPr>
        <w:t>“</w:t>
      </w:r>
      <w:r w:rsidRPr="00DD331C">
        <w:rPr>
          <w:rFonts w:asciiTheme="majorHAnsi" w:eastAsia="Calibri" w:hAnsiTheme="majorHAnsi" w:cstheme="majorHAnsi"/>
          <w:sz w:val="23"/>
          <w:szCs w:val="23"/>
        </w:rPr>
        <w:t>fourth industrial revolution</w:t>
      </w:r>
      <w:r w:rsidR="007C4669">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or the digitisation of production processes – </w:t>
      </w:r>
      <w:r w:rsidR="007C4669">
        <w:rPr>
          <w:rFonts w:asciiTheme="majorHAnsi" w:eastAsia="Calibri" w:hAnsiTheme="majorHAnsi" w:cstheme="majorHAnsi"/>
          <w:sz w:val="23"/>
          <w:szCs w:val="23"/>
        </w:rPr>
        <w:t>is</w:t>
      </w:r>
      <w:r w:rsidRPr="00DD331C">
        <w:rPr>
          <w:rFonts w:asciiTheme="majorHAnsi" w:eastAsia="Calibri" w:hAnsiTheme="majorHAnsi" w:cstheme="majorHAnsi"/>
          <w:sz w:val="23"/>
          <w:szCs w:val="23"/>
        </w:rPr>
        <w:t xml:space="preserve"> </w:t>
      </w:r>
      <w:r w:rsidR="002B4F57">
        <w:rPr>
          <w:rFonts w:asciiTheme="majorHAnsi" w:eastAsia="Calibri" w:hAnsiTheme="majorHAnsi" w:cstheme="majorHAnsi"/>
          <w:sz w:val="23"/>
          <w:szCs w:val="23"/>
        </w:rPr>
        <w:t>an</w:t>
      </w:r>
      <w:r w:rsidR="001B2F77">
        <w:rPr>
          <w:rFonts w:asciiTheme="majorHAnsi" w:eastAsia="Calibri" w:hAnsiTheme="majorHAnsi" w:cstheme="majorHAnsi"/>
          <w:sz w:val="23"/>
          <w:szCs w:val="23"/>
        </w:rPr>
        <w:t xml:space="preserve"> increasingly</w:t>
      </w:r>
      <w:r w:rsidR="002B4F57">
        <w:rPr>
          <w:rFonts w:asciiTheme="majorHAnsi" w:eastAsia="Calibri" w:hAnsiTheme="majorHAnsi" w:cstheme="majorHAnsi"/>
          <w:sz w:val="23"/>
          <w:szCs w:val="23"/>
        </w:rPr>
        <w:t xml:space="preserve"> important</w:t>
      </w:r>
      <w:r w:rsidR="007C4669">
        <w:rPr>
          <w:rFonts w:asciiTheme="majorHAnsi" w:eastAsia="Calibri" w:hAnsiTheme="majorHAnsi" w:cstheme="majorHAnsi"/>
          <w:sz w:val="23"/>
          <w:szCs w:val="23"/>
        </w:rPr>
        <w:t xml:space="preserve"> aspect of the</w:t>
      </w:r>
      <w:r w:rsidRPr="00DD331C">
        <w:rPr>
          <w:rFonts w:asciiTheme="majorHAnsi" w:eastAsia="Calibri" w:hAnsiTheme="majorHAnsi" w:cstheme="majorHAnsi"/>
          <w:sz w:val="23"/>
          <w:szCs w:val="23"/>
        </w:rPr>
        <w:t xml:space="preserve"> manufacturing sector </w:t>
      </w:r>
      <w:r w:rsidRPr="00DD331C">
        <w:rPr>
          <w:rFonts w:asciiTheme="majorHAnsi" w:eastAsia="Calibri" w:hAnsiTheme="majorHAnsi" w:cstheme="majorHAnsi"/>
          <w:noProof/>
          <w:sz w:val="23"/>
          <w:szCs w:val="23"/>
        </w:rPr>
        <w:t>(Belton, 2020; Seric &amp; Winkler, 2020)</w:t>
      </w:r>
      <w:r w:rsidRPr="00DD331C">
        <w:rPr>
          <w:rFonts w:asciiTheme="majorHAnsi" w:eastAsia="Calibri" w:hAnsiTheme="majorHAnsi" w:cstheme="majorHAnsi"/>
          <w:sz w:val="23"/>
          <w:szCs w:val="23"/>
        </w:rPr>
        <w:t xml:space="preserve">. In a 2018 report, Australia’s Advanced Manufacturing Growth Centre (AMGC) </w:t>
      </w:r>
      <w:r w:rsidR="00FC421B">
        <w:rPr>
          <w:rFonts w:asciiTheme="majorHAnsi" w:eastAsia="Calibri" w:hAnsiTheme="majorHAnsi" w:cstheme="majorHAnsi"/>
          <w:sz w:val="23"/>
          <w:szCs w:val="23"/>
        </w:rPr>
        <w:t>posits</w:t>
      </w:r>
      <w:r w:rsidRPr="00DD331C">
        <w:rPr>
          <w:rFonts w:asciiTheme="majorHAnsi" w:eastAsia="Calibri" w:hAnsiTheme="majorHAnsi" w:cstheme="majorHAnsi"/>
          <w:sz w:val="23"/>
          <w:szCs w:val="23"/>
        </w:rPr>
        <w:t xml:space="preserve"> Industry 4.0 as </w:t>
      </w:r>
      <w:r w:rsidR="007C4669">
        <w:rPr>
          <w:rFonts w:asciiTheme="majorHAnsi" w:eastAsia="Calibri" w:hAnsiTheme="majorHAnsi" w:cstheme="majorHAnsi"/>
          <w:sz w:val="23"/>
          <w:szCs w:val="23"/>
        </w:rPr>
        <w:t>an opportunity to</w:t>
      </w:r>
      <w:r w:rsidRPr="00DD331C">
        <w:rPr>
          <w:rFonts w:asciiTheme="majorHAnsi" w:eastAsia="Calibri" w:hAnsiTheme="majorHAnsi" w:cstheme="majorHAnsi"/>
          <w:sz w:val="23"/>
          <w:szCs w:val="23"/>
        </w:rPr>
        <w:t xml:space="preserve"> </w:t>
      </w:r>
      <w:proofErr w:type="spellStart"/>
      <w:r w:rsidRPr="00DD331C">
        <w:rPr>
          <w:rFonts w:asciiTheme="majorHAnsi" w:eastAsia="Calibri" w:hAnsiTheme="majorHAnsi" w:cstheme="majorHAnsi"/>
          <w:sz w:val="23"/>
          <w:szCs w:val="23"/>
        </w:rPr>
        <w:t>reshore</w:t>
      </w:r>
      <w:proofErr w:type="spellEnd"/>
      <w:r w:rsidRPr="00DD331C">
        <w:rPr>
          <w:rFonts w:asciiTheme="majorHAnsi" w:eastAsia="Calibri" w:hAnsiTheme="majorHAnsi" w:cstheme="majorHAnsi"/>
          <w:sz w:val="23"/>
          <w:szCs w:val="23"/>
        </w:rPr>
        <w:t xml:space="preserve"> some production to Australia and </w:t>
      </w:r>
      <w:r w:rsidR="007C4669">
        <w:rPr>
          <w:rFonts w:asciiTheme="majorHAnsi" w:eastAsia="Calibri" w:hAnsiTheme="majorHAnsi" w:cstheme="majorHAnsi"/>
          <w:sz w:val="23"/>
          <w:szCs w:val="23"/>
        </w:rPr>
        <w:t>return jobs</w:t>
      </w:r>
      <w:r w:rsidRPr="00DD331C">
        <w:rPr>
          <w:rFonts w:asciiTheme="majorHAnsi" w:eastAsia="Calibri" w:hAnsiTheme="majorHAnsi" w:cstheme="majorHAnsi"/>
          <w:sz w:val="23"/>
          <w:szCs w:val="23"/>
        </w:rPr>
        <w:t xml:space="preserve"> to regional areas, including Geelong </w:t>
      </w:r>
      <w:r w:rsidRPr="00DD331C">
        <w:rPr>
          <w:rFonts w:asciiTheme="majorHAnsi" w:eastAsia="Calibri" w:hAnsiTheme="majorHAnsi" w:cstheme="majorHAnsi"/>
          <w:noProof/>
          <w:sz w:val="23"/>
          <w:szCs w:val="23"/>
        </w:rPr>
        <w:t>(Advanced Manufacturing Growth Centre, 2018)</w:t>
      </w:r>
      <w:r w:rsidRPr="00DD331C">
        <w:rPr>
          <w:rFonts w:asciiTheme="majorHAnsi" w:eastAsia="Calibri" w:hAnsiTheme="majorHAnsi" w:cstheme="majorHAnsi"/>
          <w:sz w:val="23"/>
          <w:szCs w:val="23"/>
        </w:rPr>
        <w:t xml:space="preserve">. Geelong is well-placed to </w:t>
      </w:r>
      <w:r w:rsidR="00FC421B">
        <w:rPr>
          <w:rFonts w:asciiTheme="majorHAnsi" w:eastAsia="Calibri" w:hAnsiTheme="majorHAnsi" w:cstheme="majorHAnsi"/>
          <w:sz w:val="23"/>
          <w:szCs w:val="23"/>
        </w:rPr>
        <w:t>contribute to</w:t>
      </w:r>
      <w:r w:rsidRPr="00DD331C">
        <w:rPr>
          <w:rFonts w:asciiTheme="majorHAnsi" w:eastAsia="Calibri" w:hAnsiTheme="majorHAnsi" w:cstheme="majorHAnsi"/>
          <w:sz w:val="23"/>
          <w:szCs w:val="23"/>
        </w:rPr>
        <w:t xml:space="preserve"> a revival in regional manufacturing, argues Lyn George, Chair of the Geelong Manufacturing Council. </w:t>
      </w:r>
      <w:r w:rsidR="00393BF3">
        <w:rPr>
          <w:rFonts w:asciiTheme="majorHAnsi" w:eastAsia="Calibri" w:hAnsiTheme="majorHAnsi" w:cstheme="majorHAnsi"/>
          <w:sz w:val="23"/>
          <w:szCs w:val="23"/>
        </w:rPr>
        <w:t>The city is</w:t>
      </w:r>
      <w:r w:rsidRPr="00DD331C">
        <w:rPr>
          <w:rFonts w:asciiTheme="majorHAnsi" w:eastAsia="Calibri" w:hAnsiTheme="majorHAnsi" w:cstheme="majorHAnsi"/>
          <w:sz w:val="23"/>
          <w:szCs w:val="23"/>
        </w:rPr>
        <w:t xml:space="preserve"> big enough to be home to a diverse range of manufacturing companies, </w:t>
      </w:r>
      <w:r w:rsidR="00502FAA">
        <w:rPr>
          <w:rFonts w:asciiTheme="majorHAnsi" w:eastAsia="Calibri" w:hAnsiTheme="majorHAnsi" w:cstheme="majorHAnsi"/>
          <w:sz w:val="23"/>
          <w:szCs w:val="23"/>
        </w:rPr>
        <w:t xml:space="preserve">says George, </w:t>
      </w:r>
      <w:r w:rsidRPr="00DD331C">
        <w:rPr>
          <w:rFonts w:asciiTheme="majorHAnsi" w:eastAsia="Calibri" w:hAnsiTheme="majorHAnsi" w:cstheme="majorHAnsi"/>
          <w:sz w:val="23"/>
          <w:szCs w:val="23"/>
        </w:rPr>
        <w:t>yet small enough to foster a healthy ecosystem built on networking, knowledge exchange and cooperation. Deakin University’s</w:t>
      </w:r>
      <w:r w:rsidR="00902670">
        <w:rPr>
          <w:rFonts w:asciiTheme="majorHAnsi" w:eastAsia="Calibri" w:hAnsiTheme="majorHAnsi" w:cstheme="majorHAnsi"/>
          <w:sz w:val="23"/>
          <w:szCs w:val="23"/>
        </w:rPr>
        <w:t xml:space="preserve"> Geelong campus,</w:t>
      </w:r>
      <w:r w:rsidRPr="00DD331C">
        <w:rPr>
          <w:rFonts w:asciiTheme="majorHAnsi" w:eastAsia="Calibri" w:hAnsiTheme="majorHAnsi" w:cstheme="majorHAnsi"/>
          <w:sz w:val="23"/>
          <w:szCs w:val="23"/>
        </w:rPr>
        <w:t xml:space="preserve"> research strengths</w:t>
      </w:r>
      <w:r w:rsidR="00902670">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and industry connections </w:t>
      </w:r>
      <w:r w:rsidR="00902670">
        <w:rPr>
          <w:rFonts w:asciiTheme="majorHAnsi" w:eastAsia="Calibri" w:hAnsiTheme="majorHAnsi" w:cstheme="majorHAnsi"/>
          <w:sz w:val="23"/>
          <w:szCs w:val="23"/>
        </w:rPr>
        <w:t>present another advantage</w:t>
      </w:r>
      <w:r w:rsidR="0085348F">
        <w:rPr>
          <w:rFonts w:asciiTheme="majorHAnsi" w:eastAsia="Calibri" w:hAnsiTheme="majorHAnsi" w:cstheme="majorHAnsi"/>
          <w:sz w:val="23"/>
          <w:szCs w:val="23"/>
        </w:rPr>
        <w:t xml:space="preserve"> </w:t>
      </w:r>
      <w:r w:rsidRPr="00DD331C">
        <w:rPr>
          <w:rFonts w:asciiTheme="majorHAnsi" w:eastAsia="Calibri" w:hAnsiTheme="majorHAnsi" w:cstheme="majorHAnsi"/>
          <w:noProof/>
          <w:sz w:val="23"/>
          <w:szCs w:val="23"/>
        </w:rPr>
        <w:t>(George, 2020)</w:t>
      </w:r>
      <w:r w:rsidRPr="00DD331C">
        <w:rPr>
          <w:rFonts w:asciiTheme="majorHAnsi" w:eastAsia="Calibri" w:hAnsiTheme="majorHAnsi" w:cstheme="majorHAnsi"/>
          <w:sz w:val="23"/>
          <w:szCs w:val="23"/>
        </w:rPr>
        <w:t>.</w:t>
      </w:r>
    </w:p>
    <w:p w14:paraId="5A693A8C" w14:textId="19DC41EA" w:rsidR="00F00E3D" w:rsidRPr="00F36CCE" w:rsidRDefault="00F00E3D" w:rsidP="004D51EB">
      <w:pPr>
        <w:spacing w:after="0" w:line="276" w:lineRule="auto"/>
        <w:rPr>
          <w:rFonts w:asciiTheme="majorHAnsi" w:eastAsia="Calibri" w:hAnsiTheme="majorHAnsi" w:cstheme="majorHAnsi"/>
          <w:sz w:val="16"/>
          <w:szCs w:val="16"/>
        </w:rPr>
      </w:pPr>
    </w:p>
    <w:p w14:paraId="289674FE" w14:textId="0C72438A" w:rsidR="002C5F2B" w:rsidRDefault="00393BF3" w:rsidP="002C5F2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A</w:t>
      </w:r>
      <w:r w:rsidR="00F00E3D" w:rsidRPr="00DD331C">
        <w:rPr>
          <w:rFonts w:asciiTheme="majorHAnsi" w:eastAsia="Calibri" w:hAnsiTheme="majorHAnsi" w:cstheme="majorHAnsi"/>
          <w:sz w:val="23"/>
          <w:szCs w:val="23"/>
        </w:rPr>
        <w:t xml:space="preserve">dvanced manufacturing </w:t>
      </w:r>
      <w:r w:rsidR="004C2307">
        <w:rPr>
          <w:rFonts w:asciiTheme="majorHAnsi" w:eastAsia="Calibri" w:hAnsiTheme="majorHAnsi" w:cstheme="majorHAnsi"/>
          <w:sz w:val="23"/>
          <w:szCs w:val="23"/>
        </w:rPr>
        <w:t>demands</w:t>
      </w:r>
      <w:r w:rsidR="00F00E3D" w:rsidRPr="00DD331C">
        <w:rPr>
          <w:rFonts w:asciiTheme="majorHAnsi" w:eastAsia="Calibri" w:hAnsiTheme="majorHAnsi" w:cstheme="majorHAnsi"/>
          <w:sz w:val="23"/>
          <w:szCs w:val="23"/>
        </w:rPr>
        <w:t xml:space="preserve"> a workforce that is skilled, innovative, creative, and engaged in ongoing </w:t>
      </w:r>
      <w:r>
        <w:rPr>
          <w:rFonts w:asciiTheme="majorHAnsi" w:eastAsia="Calibri" w:hAnsiTheme="majorHAnsi" w:cstheme="majorHAnsi"/>
          <w:sz w:val="23"/>
          <w:szCs w:val="23"/>
        </w:rPr>
        <w:t>learning</w:t>
      </w:r>
      <w:r w:rsidR="00F00E3D" w:rsidRPr="00DD331C">
        <w:rPr>
          <w:rFonts w:asciiTheme="majorHAnsi" w:eastAsia="Calibri" w:hAnsiTheme="majorHAnsi" w:cstheme="majorHAnsi"/>
          <w:sz w:val="23"/>
          <w:szCs w:val="23"/>
        </w:rPr>
        <w:t xml:space="preserve"> </w:t>
      </w:r>
      <w:r w:rsidR="00F00E3D" w:rsidRPr="00DD331C">
        <w:rPr>
          <w:rFonts w:asciiTheme="majorHAnsi" w:eastAsia="Calibri" w:hAnsiTheme="majorHAnsi" w:cstheme="majorHAnsi"/>
          <w:noProof/>
          <w:sz w:val="23"/>
          <w:szCs w:val="23"/>
        </w:rPr>
        <w:t>(Shamim</w:t>
      </w:r>
      <w:r w:rsidR="00133459">
        <w:rPr>
          <w:rFonts w:asciiTheme="majorHAnsi" w:eastAsia="Calibri" w:hAnsiTheme="majorHAnsi" w:cstheme="majorHAnsi"/>
          <w:noProof/>
          <w:sz w:val="23"/>
          <w:szCs w:val="23"/>
        </w:rPr>
        <w:t xml:space="preserve"> et al.</w:t>
      </w:r>
      <w:r w:rsidR="00F00E3D" w:rsidRPr="00DD331C">
        <w:rPr>
          <w:rFonts w:asciiTheme="majorHAnsi" w:eastAsia="Calibri" w:hAnsiTheme="majorHAnsi" w:cstheme="majorHAnsi"/>
          <w:noProof/>
          <w:sz w:val="23"/>
          <w:szCs w:val="23"/>
        </w:rPr>
        <w:t>, 2016)</w:t>
      </w:r>
      <w:r w:rsidR="00F00E3D" w:rsidRPr="00DD331C">
        <w:rPr>
          <w:rFonts w:asciiTheme="majorHAnsi" w:eastAsia="Calibri" w:hAnsiTheme="majorHAnsi" w:cstheme="majorHAnsi"/>
          <w:sz w:val="23"/>
          <w:szCs w:val="23"/>
        </w:rPr>
        <w:t xml:space="preserve">. </w:t>
      </w:r>
      <w:r w:rsidR="00F36CCE">
        <w:rPr>
          <w:rFonts w:asciiTheme="majorHAnsi" w:eastAsia="Calibri" w:hAnsiTheme="majorHAnsi" w:cstheme="majorHAnsi"/>
          <w:sz w:val="23"/>
          <w:szCs w:val="23"/>
        </w:rPr>
        <w:t>Core</w:t>
      </w:r>
      <w:r w:rsidR="00F00E3D" w:rsidRPr="00DD331C">
        <w:rPr>
          <w:rFonts w:asciiTheme="majorHAnsi" w:eastAsia="Calibri" w:hAnsiTheme="majorHAnsi" w:cstheme="majorHAnsi"/>
          <w:sz w:val="23"/>
          <w:szCs w:val="23"/>
        </w:rPr>
        <w:t xml:space="preserve"> workforce skills include digital literacy, critical thinking</w:t>
      </w:r>
      <w:r>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and intelligent data analytics. </w:t>
      </w:r>
      <w:r>
        <w:rPr>
          <w:rFonts w:asciiTheme="majorHAnsi" w:eastAsia="Calibri" w:hAnsiTheme="majorHAnsi" w:cstheme="majorHAnsi"/>
          <w:sz w:val="23"/>
          <w:szCs w:val="23"/>
        </w:rPr>
        <w:t>Industry 4.0 will thus fuel</w:t>
      </w:r>
      <w:r w:rsidR="00F00E3D" w:rsidRPr="00DD331C">
        <w:rPr>
          <w:rFonts w:asciiTheme="majorHAnsi" w:eastAsia="Calibri" w:hAnsiTheme="majorHAnsi" w:cstheme="majorHAnsi"/>
          <w:sz w:val="23"/>
          <w:szCs w:val="23"/>
        </w:rPr>
        <w:t xml:space="preserve"> a need for high-quality education and training, including regular reskilling and upskilling, with short-form qualifications (micro-credentials) </w:t>
      </w:r>
      <w:r w:rsidR="00F36CCE">
        <w:rPr>
          <w:rFonts w:asciiTheme="majorHAnsi" w:eastAsia="Calibri" w:hAnsiTheme="majorHAnsi" w:cstheme="majorHAnsi"/>
          <w:sz w:val="23"/>
          <w:szCs w:val="23"/>
        </w:rPr>
        <w:t>being</w:t>
      </w:r>
      <w:r w:rsidR="00F00E3D" w:rsidRPr="00DD331C">
        <w:rPr>
          <w:rFonts w:asciiTheme="majorHAnsi" w:eastAsia="Calibri" w:hAnsiTheme="majorHAnsi" w:cstheme="majorHAnsi"/>
          <w:sz w:val="23"/>
          <w:szCs w:val="23"/>
        </w:rPr>
        <w:t xml:space="preserve"> canvassed </w:t>
      </w:r>
      <w:r w:rsidR="00F36CCE">
        <w:rPr>
          <w:rFonts w:asciiTheme="majorHAnsi" w:eastAsia="Calibri" w:hAnsiTheme="majorHAnsi" w:cstheme="majorHAnsi"/>
          <w:sz w:val="23"/>
          <w:szCs w:val="23"/>
        </w:rPr>
        <w:t xml:space="preserve">as one </w:t>
      </w:r>
      <w:r w:rsidR="00F00E3D" w:rsidRPr="00DD331C">
        <w:rPr>
          <w:rFonts w:asciiTheme="majorHAnsi" w:eastAsia="Calibri" w:hAnsiTheme="majorHAnsi" w:cstheme="majorHAnsi"/>
          <w:sz w:val="23"/>
          <w:szCs w:val="23"/>
        </w:rPr>
        <w:t xml:space="preserve">option </w:t>
      </w:r>
      <w:r w:rsidR="00F00E3D" w:rsidRPr="00DD331C">
        <w:rPr>
          <w:rFonts w:asciiTheme="majorHAnsi" w:eastAsia="Calibri" w:hAnsiTheme="majorHAnsi" w:cstheme="majorHAnsi"/>
          <w:noProof/>
          <w:sz w:val="23"/>
          <w:szCs w:val="23"/>
        </w:rPr>
        <w:t>(Price Waterhouse Coopers Australia, 2019)</w:t>
      </w:r>
      <w:r w:rsidR="00F00E3D" w:rsidRPr="00DD331C">
        <w:rPr>
          <w:rFonts w:asciiTheme="majorHAnsi" w:eastAsia="Calibri" w:hAnsiTheme="majorHAnsi" w:cstheme="majorHAnsi"/>
          <w:sz w:val="23"/>
          <w:szCs w:val="23"/>
        </w:rPr>
        <w:t>.</w:t>
      </w:r>
      <w:r w:rsidR="002C5F2B">
        <w:rPr>
          <w:rFonts w:asciiTheme="majorHAnsi" w:eastAsia="Calibri" w:hAnsiTheme="majorHAnsi" w:cstheme="majorHAnsi"/>
          <w:sz w:val="23"/>
          <w:szCs w:val="23"/>
        </w:rPr>
        <w:br w:type="page"/>
      </w:r>
    </w:p>
    <w:p w14:paraId="05CB897D" w14:textId="77777777" w:rsidR="00F00E3D" w:rsidRPr="00DD331C" w:rsidRDefault="00F00E3D" w:rsidP="004D51EB">
      <w:pPr>
        <w:spacing w:after="0" w:line="276" w:lineRule="auto"/>
        <w:rPr>
          <w:rFonts w:asciiTheme="majorHAnsi" w:eastAsia="Calibri" w:hAnsiTheme="majorHAnsi" w:cstheme="majorHAnsi"/>
          <w:sz w:val="23"/>
          <w:szCs w:val="23"/>
        </w:rPr>
      </w:pPr>
    </w:p>
    <w:p w14:paraId="00DD9080" w14:textId="3CDE3932" w:rsidR="00F00E3D" w:rsidRPr="00D8097D" w:rsidRDefault="00F00E3D" w:rsidP="004D51EB">
      <w:pPr>
        <w:spacing w:after="0" w:line="276" w:lineRule="auto"/>
        <w:rPr>
          <w:rFonts w:eastAsia="Calibri" w:cstheme="minorHAnsi"/>
          <w:b/>
          <w:bCs/>
          <w:sz w:val="23"/>
          <w:szCs w:val="23"/>
        </w:rPr>
      </w:pPr>
      <w:r w:rsidRPr="00D8097D">
        <w:rPr>
          <w:rFonts w:eastAsia="Calibri" w:cstheme="minorHAnsi"/>
          <w:b/>
          <w:bCs/>
          <w:sz w:val="23"/>
          <w:szCs w:val="23"/>
        </w:rPr>
        <w:t>Arts and Culture</w:t>
      </w:r>
    </w:p>
    <w:p w14:paraId="3444FADF" w14:textId="77777777" w:rsidR="004C2307" w:rsidRPr="00FC7447" w:rsidRDefault="004C2307" w:rsidP="004D51EB">
      <w:pPr>
        <w:spacing w:after="0" w:line="276" w:lineRule="auto"/>
        <w:rPr>
          <w:rFonts w:asciiTheme="majorHAnsi" w:eastAsia="Calibri" w:hAnsiTheme="majorHAnsi" w:cstheme="majorHAnsi"/>
          <w:b/>
          <w:bCs/>
          <w:sz w:val="12"/>
          <w:szCs w:val="12"/>
        </w:rPr>
      </w:pPr>
    </w:p>
    <w:p w14:paraId="568E7A2A" w14:textId="77777777" w:rsidR="00EF7E59" w:rsidRDefault="00940D80"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COVID</w:t>
      </w:r>
      <w:r w:rsidR="00F00E3D" w:rsidRPr="00DD331C">
        <w:rPr>
          <w:rFonts w:asciiTheme="majorHAnsi" w:eastAsia="Calibri" w:hAnsiTheme="majorHAnsi" w:cstheme="majorHAnsi"/>
          <w:sz w:val="23"/>
          <w:szCs w:val="23"/>
        </w:rPr>
        <w:t xml:space="preserve">-19 </w:t>
      </w:r>
      <w:r w:rsidR="00FC7447">
        <w:rPr>
          <w:rFonts w:asciiTheme="majorHAnsi" w:eastAsia="Calibri" w:hAnsiTheme="majorHAnsi" w:cstheme="majorHAnsi"/>
          <w:sz w:val="23"/>
          <w:szCs w:val="23"/>
        </w:rPr>
        <w:t xml:space="preserve">has </w:t>
      </w:r>
      <w:r w:rsidR="00F00E3D" w:rsidRPr="00DD331C">
        <w:rPr>
          <w:rFonts w:asciiTheme="majorHAnsi" w:eastAsia="Calibri" w:hAnsiTheme="majorHAnsi" w:cstheme="majorHAnsi"/>
          <w:sz w:val="23"/>
          <w:szCs w:val="23"/>
        </w:rPr>
        <w:t xml:space="preserve">dealt a </w:t>
      </w:r>
      <w:r w:rsidR="00FC7447">
        <w:rPr>
          <w:rFonts w:asciiTheme="majorHAnsi" w:eastAsia="Calibri" w:hAnsiTheme="majorHAnsi" w:cstheme="majorHAnsi"/>
          <w:sz w:val="23"/>
          <w:szCs w:val="23"/>
        </w:rPr>
        <w:t>heavy</w:t>
      </w:r>
      <w:r w:rsidR="00F00E3D" w:rsidRPr="00DD331C">
        <w:rPr>
          <w:rFonts w:asciiTheme="majorHAnsi" w:eastAsia="Calibri" w:hAnsiTheme="majorHAnsi" w:cstheme="majorHAnsi"/>
          <w:sz w:val="23"/>
          <w:szCs w:val="23"/>
        </w:rPr>
        <w:t xml:space="preserve"> blow to Australia</w:t>
      </w:r>
      <w:r w:rsidR="00FC7447">
        <w:rPr>
          <w:rFonts w:asciiTheme="majorHAnsi" w:eastAsia="Calibri" w:hAnsiTheme="majorHAnsi" w:cstheme="majorHAnsi"/>
          <w:sz w:val="23"/>
          <w:szCs w:val="23"/>
        </w:rPr>
        <w:t>’s</w:t>
      </w:r>
      <w:r w:rsidR="00F00E3D" w:rsidRPr="00DD331C">
        <w:rPr>
          <w:rFonts w:asciiTheme="majorHAnsi" w:eastAsia="Calibri" w:hAnsiTheme="majorHAnsi" w:cstheme="majorHAnsi"/>
          <w:sz w:val="23"/>
          <w:szCs w:val="23"/>
        </w:rPr>
        <w:t xml:space="preserve"> arts and cultural sector. </w:t>
      </w:r>
      <w:r w:rsidR="00FC7447">
        <w:rPr>
          <w:rFonts w:asciiTheme="majorHAnsi" w:eastAsia="Calibri" w:hAnsiTheme="majorHAnsi" w:cstheme="majorHAnsi"/>
          <w:sz w:val="23"/>
          <w:szCs w:val="23"/>
        </w:rPr>
        <w:t>Ongoing</w:t>
      </w:r>
      <w:r w:rsidR="00F00E3D" w:rsidRPr="00DD331C">
        <w:rPr>
          <w:rFonts w:asciiTheme="majorHAnsi" w:eastAsia="Calibri" w:hAnsiTheme="majorHAnsi" w:cstheme="majorHAnsi"/>
          <w:sz w:val="23"/>
          <w:szCs w:val="23"/>
        </w:rPr>
        <w:t xml:space="preserve"> event cancellations </w:t>
      </w:r>
      <w:r w:rsidR="00FC7447">
        <w:rPr>
          <w:rFonts w:asciiTheme="majorHAnsi" w:eastAsia="Calibri" w:hAnsiTheme="majorHAnsi" w:cstheme="majorHAnsi"/>
          <w:sz w:val="23"/>
          <w:szCs w:val="23"/>
        </w:rPr>
        <w:t>have</w:t>
      </w:r>
      <w:r w:rsidR="00F00E3D" w:rsidRPr="00DD331C">
        <w:rPr>
          <w:rFonts w:asciiTheme="majorHAnsi" w:eastAsia="Calibri" w:hAnsiTheme="majorHAnsi" w:cstheme="majorHAnsi"/>
          <w:sz w:val="23"/>
          <w:szCs w:val="23"/>
        </w:rPr>
        <w:t xml:space="preserve"> </w:t>
      </w:r>
      <w:r w:rsidR="00FC7447">
        <w:rPr>
          <w:rFonts w:asciiTheme="majorHAnsi" w:eastAsia="Calibri" w:hAnsiTheme="majorHAnsi" w:cstheme="majorHAnsi"/>
          <w:sz w:val="23"/>
          <w:szCs w:val="23"/>
        </w:rPr>
        <w:t xml:space="preserve">placed </w:t>
      </w:r>
      <w:r w:rsidR="00F00E3D" w:rsidRPr="00DD331C">
        <w:rPr>
          <w:rFonts w:asciiTheme="majorHAnsi" w:eastAsia="Calibri" w:hAnsiTheme="majorHAnsi" w:cstheme="majorHAnsi"/>
          <w:sz w:val="23"/>
          <w:szCs w:val="23"/>
        </w:rPr>
        <w:t>many arts organisations in financial peril</w:t>
      </w:r>
      <w:r w:rsidR="00362221">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and le</w:t>
      </w:r>
      <w:r w:rsidR="00FC7447">
        <w:rPr>
          <w:rFonts w:asciiTheme="majorHAnsi" w:eastAsia="Calibri" w:hAnsiTheme="majorHAnsi" w:cstheme="majorHAnsi"/>
          <w:sz w:val="23"/>
          <w:szCs w:val="23"/>
        </w:rPr>
        <w:t>ft</w:t>
      </w:r>
      <w:r w:rsidR="00F00E3D" w:rsidRPr="00DD331C">
        <w:rPr>
          <w:rFonts w:asciiTheme="majorHAnsi" w:eastAsia="Calibri" w:hAnsiTheme="majorHAnsi" w:cstheme="majorHAnsi"/>
          <w:sz w:val="23"/>
          <w:szCs w:val="23"/>
        </w:rPr>
        <w:t xml:space="preserve"> </w:t>
      </w:r>
      <w:r w:rsidR="00D827EE">
        <w:rPr>
          <w:rFonts w:asciiTheme="majorHAnsi" w:eastAsia="Calibri" w:hAnsiTheme="majorHAnsi" w:cstheme="majorHAnsi"/>
          <w:sz w:val="23"/>
          <w:szCs w:val="23"/>
        </w:rPr>
        <w:t xml:space="preserve">thousands of </w:t>
      </w:r>
      <w:r w:rsidR="00F00E3D" w:rsidRPr="00DD331C">
        <w:rPr>
          <w:rFonts w:asciiTheme="majorHAnsi" w:eastAsia="Calibri" w:hAnsiTheme="majorHAnsi" w:cstheme="majorHAnsi"/>
          <w:sz w:val="23"/>
          <w:szCs w:val="23"/>
        </w:rPr>
        <w:t xml:space="preserve">workers without income. </w:t>
      </w:r>
      <w:r w:rsidR="00D827EE">
        <w:rPr>
          <w:rFonts w:asciiTheme="majorHAnsi" w:eastAsia="Calibri" w:hAnsiTheme="majorHAnsi" w:cstheme="majorHAnsi"/>
          <w:sz w:val="23"/>
          <w:szCs w:val="23"/>
        </w:rPr>
        <w:t xml:space="preserve">The Grattan Institute predicted that </w:t>
      </w:r>
      <w:r w:rsidR="00D827EE" w:rsidRPr="00D827EE">
        <w:rPr>
          <w:rFonts w:asciiTheme="majorHAnsi" w:eastAsia="Calibri" w:hAnsiTheme="majorHAnsi" w:cstheme="majorHAnsi"/>
          <w:sz w:val="23"/>
          <w:szCs w:val="23"/>
        </w:rPr>
        <w:t>75</w:t>
      </w:r>
      <w:r w:rsidR="00D827EE">
        <w:rPr>
          <w:rFonts w:asciiTheme="majorHAnsi" w:eastAsia="Calibri" w:hAnsiTheme="majorHAnsi" w:cstheme="majorHAnsi"/>
          <w:sz w:val="23"/>
          <w:szCs w:val="23"/>
        </w:rPr>
        <w:t xml:space="preserve"> percent of workers</w:t>
      </w:r>
      <w:r w:rsidR="00D827EE" w:rsidRPr="00D827EE">
        <w:rPr>
          <w:rFonts w:asciiTheme="majorHAnsi" w:eastAsia="Calibri" w:hAnsiTheme="majorHAnsi" w:cstheme="majorHAnsi"/>
          <w:sz w:val="23"/>
          <w:szCs w:val="23"/>
        </w:rPr>
        <w:t xml:space="preserve"> in the creative and performing arts</w:t>
      </w:r>
      <w:r w:rsidR="00D827EE">
        <w:rPr>
          <w:rFonts w:asciiTheme="majorHAnsi" w:eastAsia="Calibri" w:hAnsiTheme="majorHAnsi" w:cstheme="majorHAnsi"/>
          <w:sz w:val="23"/>
          <w:szCs w:val="23"/>
        </w:rPr>
        <w:t xml:space="preserve"> would lose their jobs due to the pandemic</w:t>
      </w:r>
      <w:r w:rsidR="00EF12F9">
        <w:rPr>
          <w:rFonts w:asciiTheme="majorHAnsi" w:eastAsia="Calibri" w:hAnsiTheme="majorHAnsi" w:cstheme="majorHAnsi"/>
          <w:sz w:val="23"/>
          <w:szCs w:val="23"/>
        </w:rPr>
        <w:t xml:space="preserve"> (Coates et al, 2020)</w:t>
      </w:r>
      <w:r w:rsidR="00D827EE" w:rsidRPr="00D827EE">
        <w:rPr>
          <w:rFonts w:asciiTheme="majorHAnsi" w:eastAsia="Calibri" w:hAnsiTheme="majorHAnsi" w:cstheme="majorHAnsi"/>
          <w:sz w:val="23"/>
          <w:szCs w:val="23"/>
        </w:rPr>
        <w:t>.</w:t>
      </w:r>
    </w:p>
    <w:p w14:paraId="7416CFE4" w14:textId="77777777" w:rsidR="00EF7E59" w:rsidRPr="00EF7E59" w:rsidRDefault="00EF7E59" w:rsidP="004D51EB">
      <w:pPr>
        <w:spacing w:after="0" w:line="276" w:lineRule="auto"/>
        <w:rPr>
          <w:rFonts w:asciiTheme="majorHAnsi" w:eastAsia="Calibri" w:hAnsiTheme="majorHAnsi" w:cstheme="majorHAnsi"/>
          <w:sz w:val="12"/>
          <w:szCs w:val="12"/>
        </w:rPr>
      </w:pPr>
    </w:p>
    <w:p w14:paraId="4EFD2A55" w14:textId="0B6C5799" w:rsidR="00F00E3D" w:rsidRPr="00DD331C" w:rsidRDefault="00FD0DF6"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Many arts</w:t>
      </w:r>
      <w:r w:rsidR="00F00E3D" w:rsidRPr="00DD331C">
        <w:rPr>
          <w:rFonts w:asciiTheme="majorHAnsi" w:eastAsia="Calibri" w:hAnsiTheme="majorHAnsi" w:cstheme="majorHAnsi"/>
          <w:sz w:val="23"/>
          <w:szCs w:val="23"/>
        </w:rPr>
        <w:t xml:space="preserve"> organisations </w:t>
      </w:r>
      <w:r>
        <w:rPr>
          <w:rFonts w:asciiTheme="majorHAnsi" w:eastAsia="Calibri" w:hAnsiTheme="majorHAnsi" w:cstheme="majorHAnsi"/>
          <w:sz w:val="23"/>
          <w:szCs w:val="23"/>
        </w:rPr>
        <w:t>did not qualify for</w:t>
      </w:r>
      <w:r w:rsidR="00F00E3D" w:rsidRPr="00DD331C">
        <w:rPr>
          <w:rFonts w:asciiTheme="majorHAnsi" w:eastAsia="Calibri" w:hAnsiTheme="majorHAnsi" w:cstheme="majorHAnsi"/>
          <w:sz w:val="23"/>
          <w:szCs w:val="23"/>
        </w:rPr>
        <w:t xml:space="preserve"> the JobKeeper scheme due to the</w:t>
      </w:r>
      <w:r>
        <w:rPr>
          <w:rFonts w:asciiTheme="majorHAnsi" w:eastAsia="Calibri" w:hAnsiTheme="majorHAnsi" w:cstheme="majorHAnsi"/>
          <w:sz w:val="23"/>
          <w:szCs w:val="23"/>
        </w:rPr>
        <w:t>ir</w:t>
      </w:r>
      <w:r w:rsidR="00F00E3D" w:rsidRPr="00DD331C">
        <w:rPr>
          <w:rFonts w:asciiTheme="majorHAnsi" w:eastAsia="Calibri" w:hAnsiTheme="majorHAnsi" w:cstheme="majorHAnsi"/>
          <w:sz w:val="23"/>
          <w:szCs w:val="23"/>
        </w:rPr>
        <w:t xml:space="preserve"> uneven cash flow</w:t>
      </w:r>
      <w:r w:rsidR="009835C6">
        <w:rPr>
          <w:rFonts w:asciiTheme="majorHAnsi" w:eastAsia="Calibri" w:hAnsiTheme="majorHAnsi" w:cstheme="majorHAnsi"/>
          <w:sz w:val="23"/>
          <w:szCs w:val="23"/>
        </w:rPr>
        <w:t xml:space="preserve">, derived from </w:t>
      </w:r>
      <w:r w:rsidR="007D6EDB">
        <w:rPr>
          <w:rFonts w:asciiTheme="majorHAnsi" w:eastAsia="Calibri" w:hAnsiTheme="majorHAnsi" w:cstheme="majorHAnsi"/>
          <w:sz w:val="23"/>
          <w:szCs w:val="23"/>
        </w:rPr>
        <w:t xml:space="preserve">a mix of </w:t>
      </w:r>
      <w:r w:rsidR="00F00E3D" w:rsidRPr="00DD331C">
        <w:rPr>
          <w:rFonts w:asciiTheme="majorHAnsi" w:eastAsia="Calibri" w:hAnsiTheme="majorHAnsi" w:cstheme="majorHAnsi"/>
          <w:sz w:val="23"/>
          <w:szCs w:val="23"/>
        </w:rPr>
        <w:t xml:space="preserve">box office takings, </w:t>
      </w:r>
      <w:r w:rsidR="00343D84">
        <w:rPr>
          <w:rFonts w:asciiTheme="majorHAnsi" w:eastAsia="Calibri" w:hAnsiTheme="majorHAnsi" w:cstheme="majorHAnsi"/>
          <w:sz w:val="23"/>
          <w:szCs w:val="23"/>
        </w:rPr>
        <w:t xml:space="preserve">ticketed events, </w:t>
      </w:r>
      <w:r w:rsidR="00F00E3D" w:rsidRPr="00DD331C">
        <w:rPr>
          <w:rFonts w:asciiTheme="majorHAnsi" w:eastAsia="Calibri" w:hAnsiTheme="majorHAnsi" w:cstheme="majorHAnsi"/>
          <w:sz w:val="23"/>
          <w:szCs w:val="23"/>
        </w:rPr>
        <w:t>grants, sponsorship</w:t>
      </w:r>
      <w:r w:rsidR="009835C6">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and</w:t>
      </w:r>
      <w:r w:rsidR="009835C6">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or philanthropy. ABS figures showed 53 </w:t>
      </w:r>
      <w:r w:rsidR="00065A1B">
        <w:rPr>
          <w:rFonts w:asciiTheme="majorHAnsi" w:eastAsia="Calibri" w:hAnsiTheme="majorHAnsi" w:cstheme="majorHAnsi"/>
          <w:sz w:val="23"/>
          <w:szCs w:val="23"/>
        </w:rPr>
        <w:t>percent</w:t>
      </w:r>
      <w:r w:rsidR="00F00E3D" w:rsidRPr="00DD331C">
        <w:rPr>
          <w:rFonts w:asciiTheme="majorHAnsi" w:eastAsia="Calibri" w:hAnsiTheme="majorHAnsi" w:cstheme="majorHAnsi"/>
          <w:sz w:val="23"/>
          <w:szCs w:val="23"/>
        </w:rPr>
        <w:t xml:space="preserve"> of small arts and recreation businesses</w:t>
      </w:r>
      <w:r w:rsidR="007D6EDB">
        <w:rPr>
          <w:rFonts w:asciiTheme="majorHAnsi" w:eastAsia="Calibri" w:hAnsiTheme="majorHAnsi" w:cstheme="majorHAnsi"/>
          <w:sz w:val="23"/>
          <w:szCs w:val="23"/>
        </w:rPr>
        <w:t xml:space="preserve"> had</w:t>
      </w:r>
      <w:r w:rsidR="00F00E3D" w:rsidRPr="00DD331C">
        <w:rPr>
          <w:rFonts w:asciiTheme="majorHAnsi" w:eastAsia="Calibri" w:hAnsiTheme="majorHAnsi" w:cstheme="majorHAnsi"/>
          <w:sz w:val="23"/>
          <w:szCs w:val="23"/>
        </w:rPr>
        <w:t xml:space="preserve"> closed by early April</w:t>
      </w:r>
      <w:r w:rsidR="007D6EDB">
        <w:rPr>
          <w:rFonts w:asciiTheme="majorHAnsi" w:eastAsia="Calibri" w:hAnsiTheme="majorHAnsi" w:cstheme="majorHAnsi"/>
          <w:sz w:val="23"/>
          <w:szCs w:val="23"/>
        </w:rPr>
        <w:t xml:space="preserve"> 2020</w:t>
      </w:r>
      <w:r w:rsidR="00F00E3D" w:rsidRPr="00DD331C">
        <w:rPr>
          <w:rFonts w:asciiTheme="majorHAnsi" w:eastAsia="Calibri" w:hAnsiTheme="majorHAnsi" w:cstheme="majorHAnsi"/>
          <w:sz w:val="23"/>
          <w:szCs w:val="23"/>
        </w:rPr>
        <w:t xml:space="preserve">. </w:t>
      </w:r>
      <w:r w:rsidR="007D6EDB">
        <w:rPr>
          <w:rFonts w:asciiTheme="majorHAnsi" w:eastAsia="Calibri" w:hAnsiTheme="majorHAnsi" w:cstheme="majorHAnsi"/>
          <w:sz w:val="23"/>
          <w:szCs w:val="23"/>
        </w:rPr>
        <w:t xml:space="preserve">In </w:t>
      </w:r>
      <w:r w:rsidR="00F00E3D" w:rsidRPr="00DD331C">
        <w:rPr>
          <w:rFonts w:asciiTheme="majorHAnsi" w:eastAsia="Calibri" w:hAnsiTheme="majorHAnsi" w:cstheme="majorHAnsi"/>
          <w:sz w:val="23"/>
          <w:szCs w:val="23"/>
        </w:rPr>
        <w:t xml:space="preserve">comparison, 31 </w:t>
      </w:r>
      <w:r w:rsidR="00065A1B">
        <w:rPr>
          <w:rFonts w:asciiTheme="majorHAnsi" w:eastAsia="Calibri" w:hAnsiTheme="majorHAnsi" w:cstheme="majorHAnsi"/>
          <w:sz w:val="23"/>
          <w:szCs w:val="23"/>
        </w:rPr>
        <w:t>percent</w:t>
      </w:r>
      <w:r w:rsidR="00F00E3D" w:rsidRPr="00DD331C">
        <w:rPr>
          <w:rFonts w:asciiTheme="majorHAnsi" w:eastAsia="Calibri" w:hAnsiTheme="majorHAnsi" w:cstheme="majorHAnsi"/>
          <w:sz w:val="23"/>
          <w:szCs w:val="23"/>
        </w:rPr>
        <w:t xml:space="preserve"> of accommodation and food services closed in the same period </w:t>
      </w:r>
      <w:r w:rsidR="00F00E3D" w:rsidRPr="00DD331C">
        <w:rPr>
          <w:rFonts w:asciiTheme="majorHAnsi" w:eastAsia="Calibri" w:hAnsiTheme="majorHAnsi" w:cstheme="majorHAnsi"/>
          <w:noProof/>
          <w:sz w:val="23"/>
          <w:szCs w:val="23"/>
        </w:rPr>
        <w:t>(Boland, 2020)</w:t>
      </w:r>
      <w:r w:rsidR="00F00E3D" w:rsidRPr="00DD331C">
        <w:rPr>
          <w:rFonts w:asciiTheme="majorHAnsi" w:eastAsia="Calibri" w:hAnsiTheme="majorHAnsi" w:cstheme="majorHAnsi"/>
          <w:sz w:val="23"/>
          <w:szCs w:val="23"/>
        </w:rPr>
        <w:t xml:space="preserve">. Arts sector workers are </w:t>
      </w:r>
      <w:r w:rsidR="007D6EDB">
        <w:rPr>
          <w:rFonts w:asciiTheme="majorHAnsi" w:eastAsia="Calibri" w:hAnsiTheme="majorHAnsi" w:cstheme="majorHAnsi"/>
          <w:sz w:val="23"/>
          <w:szCs w:val="23"/>
        </w:rPr>
        <w:t>usually</w:t>
      </w:r>
      <w:r w:rsidR="00F00E3D" w:rsidRPr="00DD331C">
        <w:rPr>
          <w:rFonts w:asciiTheme="majorHAnsi" w:eastAsia="Calibri" w:hAnsiTheme="majorHAnsi" w:cstheme="majorHAnsi"/>
          <w:sz w:val="23"/>
          <w:szCs w:val="23"/>
        </w:rPr>
        <w:t xml:space="preserve"> freelancers</w:t>
      </w:r>
      <w:r w:rsidR="007D6EDB">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or employed in casual, precarious</w:t>
      </w:r>
      <w:r w:rsidR="007D6EDB">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and short-term positions. Most </w:t>
      </w:r>
      <w:r w:rsidR="004B7FE2">
        <w:rPr>
          <w:rFonts w:asciiTheme="majorHAnsi" w:eastAsia="Calibri" w:hAnsiTheme="majorHAnsi" w:cstheme="majorHAnsi"/>
          <w:sz w:val="23"/>
          <w:szCs w:val="23"/>
        </w:rPr>
        <w:t xml:space="preserve">art workers </w:t>
      </w:r>
      <w:r w:rsidR="00F00E3D" w:rsidRPr="00DD331C">
        <w:rPr>
          <w:rFonts w:asciiTheme="majorHAnsi" w:eastAsia="Calibri" w:hAnsiTheme="majorHAnsi" w:cstheme="majorHAnsi"/>
          <w:sz w:val="23"/>
          <w:szCs w:val="23"/>
        </w:rPr>
        <w:t>d</w:t>
      </w:r>
      <w:r w:rsidR="000828AD">
        <w:rPr>
          <w:rFonts w:asciiTheme="majorHAnsi" w:eastAsia="Calibri" w:hAnsiTheme="majorHAnsi" w:cstheme="majorHAnsi"/>
          <w:sz w:val="23"/>
          <w:szCs w:val="23"/>
        </w:rPr>
        <w:t>id</w:t>
      </w:r>
      <w:r w:rsidR="00F00E3D" w:rsidRPr="00DD331C">
        <w:rPr>
          <w:rFonts w:asciiTheme="majorHAnsi" w:eastAsia="Calibri" w:hAnsiTheme="majorHAnsi" w:cstheme="majorHAnsi"/>
          <w:sz w:val="23"/>
          <w:szCs w:val="23"/>
        </w:rPr>
        <w:t xml:space="preserve"> not qualify for JobSeeker payments </w:t>
      </w:r>
      <w:r w:rsidR="00F00E3D" w:rsidRPr="00DD331C">
        <w:rPr>
          <w:rFonts w:asciiTheme="majorHAnsi" w:eastAsia="Calibri" w:hAnsiTheme="majorHAnsi" w:cstheme="majorHAnsi"/>
          <w:noProof/>
          <w:sz w:val="23"/>
          <w:szCs w:val="23"/>
        </w:rPr>
        <w:t>(Boland, 2020)</w:t>
      </w:r>
      <w:r w:rsidR="00F00E3D" w:rsidRPr="00DD331C">
        <w:rPr>
          <w:rFonts w:asciiTheme="majorHAnsi" w:eastAsia="Calibri" w:hAnsiTheme="majorHAnsi" w:cstheme="majorHAnsi"/>
          <w:sz w:val="23"/>
          <w:szCs w:val="23"/>
        </w:rPr>
        <w:t>.</w:t>
      </w:r>
    </w:p>
    <w:p w14:paraId="614DE2AF" w14:textId="77777777" w:rsidR="00F00E3D" w:rsidRPr="006A7CC2" w:rsidRDefault="00F00E3D" w:rsidP="004D51EB">
      <w:pPr>
        <w:spacing w:after="0" w:line="276" w:lineRule="auto"/>
        <w:rPr>
          <w:rFonts w:asciiTheme="majorHAnsi" w:eastAsia="Calibri" w:hAnsiTheme="majorHAnsi" w:cstheme="majorHAnsi"/>
          <w:sz w:val="12"/>
          <w:szCs w:val="12"/>
        </w:rPr>
      </w:pPr>
    </w:p>
    <w:p w14:paraId="5004AE8C" w14:textId="77777777" w:rsidR="006A7CC2" w:rsidRDefault="00F00E3D" w:rsidP="004D51EB">
      <w:pPr>
        <w:spacing w:after="0"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In response to </w:t>
      </w:r>
      <w:r w:rsidR="00CB3509">
        <w:rPr>
          <w:rFonts w:asciiTheme="majorHAnsi" w:eastAsia="Calibri" w:hAnsiTheme="majorHAnsi" w:cstheme="majorHAnsi"/>
          <w:sz w:val="23"/>
          <w:szCs w:val="23"/>
        </w:rPr>
        <w:t>industry</w:t>
      </w:r>
      <w:r w:rsidR="006E3106">
        <w:rPr>
          <w:rFonts w:asciiTheme="majorHAnsi" w:eastAsia="Calibri" w:hAnsiTheme="majorHAnsi" w:cstheme="majorHAnsi"/>
          <w:sz w:val="23"/>
          <w:szCs w:val="23"/>
        </w:rPr>
        <w:t xml:space="preserve"> pressure</w:t>
      </w:r>
      <w:r w:rsidRPr="00DD331C">
        <w:rPr>
          <w:rFonts w:asciiTheme="majorHAnsi" w:eastAsia="Calibri" w:hAnsiTheme="majorHAnsi" w:cstheme="majorHAnsi"/>
          <w:sz w:val="23"/>
          <w:szCs w:val="23"/>
        </w:rPr>
        <w:t xml:space="preserve">, the </w:t>
      </w:r>
      <w:r w:rsidR="00897735">
        <w:rPr>
          <w:rFonts w:asciiTheme="majorHAnsi" w:eastAsia="Calibri" w:hAnsiTheme="majorHAnsi" w:cstheme="majorHAnsi"/>
          <w:sz w:val="23"/>
          <w:szCs w:val="23"/>
        </w:rPr>
        <w:t xml:space="preserve">Federal </w:t>
      </w:r>
      <w:r w:rsidRPr="00DD331C">
        <w:rPr>
          <w:rFonts w:asciiTheme="majorHAnsi" w:eastAsia="Calibri" w:hAnsiTheme="majorHAnsi" w:cstheme="majorHAnsi"/>
          <w:sz w:val="23"/>
          <w:szCs w:val="23"/>
        </w:rPr>
        <w:t xml:space="preserve">Government </w:t>
      </w:r>
      <w:r w:rsidR="00CB2365">
        <w:rPr>
          <w:rFonts w:asciiTheme="majorHAnsi" w:eastAsia="Calibri" w:hAnsiTheme="majorHAnsi" w:cstheme="majorHAnsi"/>
          <w:sz w:val="23"/>
          <w:szCs w:val="23"/>
        </w:rPr>
        <w:t>announced</w:t>
      </w:r>
      <w:r w:rsidRPr="00DD331C">
        <w:rPr>
          <w:rFonts w:asciiTheme="majorHAnsi" w:eastAsia="Calibri" w:hAnsiTheme="majorHAnsi" w:cstheme="majorHAnsi"/>
          <w:sz w:val="23"/>
          <w:szCs w:val="23"/>
        </w:rPr>
        <w:t xml:space="preserve"> $700 million of additional, targeted support </w:t>
      </w:r>
      <w:r w:rsidR="00CB2365">
        <w:rPr>
          <w:rFonts w:asciiTheme="majorHAnsi" w:eastAsia="Calibri" w:hAnsiTheme="majorHAnsi" w:cstheme="majorHAnsi"/>
          <w:noProof/>
          <w:sz w:val="23"/>
          <w:szCs w:val="23"/>
        </w:rPr>
        <w:t xml:space="preserve">to the </w:t>
      </w:r>
      <w:r w:rsidR="006E3106">
        <w:rPr>
          <w:rFonts w:asciiTheme="majorHAnsi" w:eastAsia="Calibri" w:hAnsiTheme="majorHAnsi" w:cstheme="majorHAnsi"/>
          <w:noProof/>
          <w:sz w:val="23"/>
          <w:szCs w:val="23"/>
        </w:rPr>
        <w:t xml:space="preserve">arts </w:t>
      </w:r>
      <w:r w:rsidR="0006023B">
        <w:rPr>
          <w:rFonts w:asciiTheme="majorHAnsi" w:eastAsia="Calibri" w:hAnsiTheme="majorHAnsi" w:cstheme="majorHAnsi"/>
          <w:noProof/>
          <w:sz w:val="23"/>
          <w:szCs w:val="23"/>
        </w:rPr>
        <w:t xml:space="preserve">and entertainment </w:t>
      </w:r>
      <w:r w:rsidR="00CB2365">
        <w:rPr>
          <w:rFonts w:asciiTheme="majorHAnsi" w:eastAsia="Calibri" w:hAnsiTheme="majorHAnsi" w:cstheme="majorHAnsi"/>
          <w:noProof/>
          <w:sz w:val="23"/>
          <w:szCs w:val="23"/>
        </w:rPr>
        <w:t>sector</w:t>
      </w:r>
      <w:r w:rsidR="00CB2365" w:rsidRPr="00DD331C">
        <w:rPr>
          <w:rFonts w:asciiTheme="majorHAnsi" w:eastAsia="Calibri" w:hAnsiTheme="majorHAnsi" w:cstheme="majorHAnsi"/>
          <w:noProof/>
          <w:sz w:val="23"/>
          <w:szCs w:val="23"/>
        </w:rPr>
        <w:t xml:space="preserve"> </w:t>
      </w:r>
      <w:r w:rsidRPr="00DD331C">
        <w:rPr>
          <w:rFonts w:asciiTheme="majorHAnsi" w:eastAsia="Calibri" w:hAnsiTheme="majorHAnsi" w:cstheme="majorHAnsi"/>
          <w:noProof/>
          <w:sz w:val="23"/>
          <w:szCs w:val="23"/>
        </w:rPr>
        <w:t>(Office of the Arts</w:t>
      </w:r>
      <w:r w:rsidR="000828AD">
        <w:rPr>
          <w:rFonts w:asciiTheme="majorHAnsi" w:eastAsia="Calibri" w:hAnsiTheme="majorHAnsi" w:cstheme="majorHAnsi"/>
          <w:noProof/>
          <w:sz w:val="23"/>
          <w:szCs w:val="23"/>
        </w:rPr>
        <w:t>,</w:t>
      </w:r>
      <w:r w:rsidRPr="00DD331C">
        <w:rPr>
          <w:rFonts w:asciiTheme="majorHAnsi" w:eastAsia="Calibri" w:hAnsiTheme="majorHAnsi" w:cstheme="majorHAnsi"/>
          <w:noProof/>
          <w:sz w:val="23"/>
          <w:szCs w:val="23"/>
        </w:rPr>
        <w:t xml:space="preserve"> Department of Infrastructure Transport Regional Development, 2020)</w:t>
      </w:r>
      <w:r w:rsidRPr="00DD331C">
        <w:rPr>
          <w:rFonts w:asciiTheme="majorHAnsi" w:eastAsia="Calibri" w:hAnsiTheme="majorHAnsi" w:cstheme="majorHAnsi"/>
          <w:sz w:val="23"/>
          <w:szCs w:val="23"/>
        </w:rPr>
        <w:t xml:space="preserve">. This included a </w:t>
      </w:r>
      <w:r w:rsidR="00CB3509" w:rsidRPr="00DD331C">
        <w:rPr>
          <w:rFonts w:asciiTheme="majorHAnsi" w:eastAsia="Calibri" w:hAnsiTheme="majorHAnsi" w:cstheme="majorHAnsi"/>
          <w:sz w:val="23"/>
          <w:szCs w:val="23"/>
        </w:rPr>
        <w:t xml:space="preserve">$250 million </w:t>
      </w:r>
      <w:r w:rsidR="00940D80">
        <w:rPr>
          <w:rFonts w:asciiTheme="majorHAnsi" w:eastAsia="Calibri" w:hAnsiTheme="majorHAnsi" w:cstheme="majorHAnsi"/>
          <w:sz w:val="23"/>
          <w:szCs w:val="23"/>
        </w:rPr>
        <w:t>COVID</w:t>
      </w:r>
      <w:r w:rsidRPr="00DD331C">
        <w:rPr>
          <w:rFonts w:asciiTheme="majorHAnsi" w:eastAsia="Calibri" w:hAnsiTheme="majorHAnsi" w:cstheme="majorHAnsi"/>
          <w:sz w:val="23"/>
          <w:szCs w:val="23"/>
        </w:rPr>
        <w:t xml:space="preserve">-19 </w:t>
      </w:r>
      <w:proofErr w:type="spellStart"/>
      <w:r w:rsidRPr="00DD331C">
        <w:rPr>
          <w:rFonts w:asciiTheme="majorHAnsi" w:eastAsia="Calibri" w:hAnsiTheme="majorHAnsi" w:cstheme="majorHAnsi"/>
          <w:sz w:val="23"/>
          <w:szCs w:val="23"/>
        </w:rPr>
        <w:t>JobMaker</w:t>
      </w:r>
      <w:proofErr w:type="spellEnd"/>
      <w:r w:rsidRPr="00DD331C">
        <w:rPr>
          <w:rFonts w:asciiTheme="majorHAnsi" w:eastAsia="Calibri" w:hAnsiTheme="majorHAnsi" w:cstheme="majorHAnsi"/>
          <w:sz w:val="23"/>
          <w:szCs w:val="23"/>
        </w:rPr>
        <w:t xml:space="preserve"> Package </w:t>
      </w:r>
      <w:r w:rsidR="00CB3509">
        <w:rPr>
          <w:rFonts w:asciiTheme="majorHAnsi" w:eastAsia="Calibri" w:hAnsiTheme="majorHAnsi" w:cstheme="majorHAnsi"/>
          <w:sz w:val="23"/>
          <w:szCs w:val="23"/>
        </w:rPr>
        <w:t>to</w:t>
      </w:r>
      <w:r w:rsidRPr="00DD331C">
        <w:rPr>
          <w:rFonts w:asciiTheme="majorHAnsi" w:eastAsia="Calibri" w:hAnsiTheme="majorHAnsi" w:cstheme="majorHAnsi"/>
          <w:sz w:val="23"/>
          <w:szCs w:val="23"/>
        </w:rPr>
        <w:t xml:space="preserve"> </w:t>
      </w:r>
      <w:r w:rsidR="00682A19">
        <w:rPr>
          <w:rFonts w:asciiTheme="majorHAnsi" w:eastAsia="Calibri" w:hAnsiTheme="majorHAnsi" w:cstheme="majorHAnsi"/>
          <w:sz w:val="23"/>
          <w:szCs w:val="23"/>
        </w:rPr>
        <w:t>help</w:t>
      </w:r>
      <w:r w:rsidR="00130225">
        <w:rPr>
          <w:rFonts w:asciiTheme="majorHAnsi" w:eastAsia="Calibri" w:hAnsiTheme="majorHAnsi" w:cstheme="majorHAnsi"/>
          <w:sz w:val="23"/>
          <w:szCs w:val="23"/>
        </w:rPr>
        <w:t xml:space="preserve"> “</w:t>
      </w:r>
      <w:r w:rsidR="00682A19">
        <w:rPr>
          <w:rFonts w:asciiTheme="majorHAnsi" w:eastAsia="Calibri" w:hAnsiTheme="majorHAnsi" w:cstheme="majorHAnsi"/>
          <w:sz w:val="23"/>
          <w:szCs w:val="23"/>
        </w:rPr>
        <w:t xml:space="preserve">restart the </w:t>
      </w:r>
      <w:r w:rsidR="00130225">
        <w:rPr>
          <w:rFonts w:asciiTheme="majorHAnsi" w:eastAsia="Calibri" w:hAnsiTheme="majorHAnsi" w:cstheme="majorHAnsi"/>
          <w:sz w:val="23"/>
          <w:szCs w:val="23"/>
        </w:rPr>
        <w:t>creative economy”</w:t>
      </w:r>
      <w:r w:rsidR="00897735">
        <w:rPr>
          <w:rFonts w:asciiTheme="majorHAnsi" w:eastAsia="Calibri" w:hAnsiTheme="majorHAnsi" w:cstheme="majorHAnsi"/>
          <w:sz w:val="23"/>
          <w:szCs w:val="23"/>
        </w:rPr>
        <w:t xml:space="preserve">; </w:t>
      </w:r>
      <w:r w:rsidR="00130225">
        <w:rPr>
          <w:rFonts w:asciiTheme="majorHAnsi" w:eastAsia="Calibri" w:hAnsiTheme="majorHAnsi" w:cstheme="majorHAnsi"/>
          <w:sz w:val="23"/>
          <w:szCs w:val="23"/>
        </w:rPr>
        <w:t xml:space="preserve">a </w:t>
      </w:r>
      <w:r w:rsidRPr="00DD331C">
        <w:rPr>
          <w:rFonts w:asciiTheme="majorHAnsi" w:eastAsia="Calibri" w:hAnsiTheme="majorHAnsi" w:cstheme="majorHAnsi"/>
          <w:sz w:val="23"/>
          <w:szCs w:val="23"/>
        </w:rPr>
        <w:t xml:space="preserve">$400 million Location Incentive to attract </w:t>
      </w:r>
      <w:r w:rsidR="00897735">
        <w:rPr>
          <w:rFonts w:asciiTheme="majorHAnsi" w:eastAsia="Calibri" w:hAnsiTheme="majorHAnsi" w:cstheme="majorHAnsi"/>
          <w:sz w:val="23"/>
          <w:szCs w:val="23"/>
        </w:rPr>
        <w:t>big-</w:t>
      </w:r>
      <w:r w:rsidRPr="00DD331C">
        <w:rPr>
          <w:rFonts w:asciiTheme="majorHAnsi" w:eastAsia="Calibri" w:hAnsiTheme="majorHAnsi" w:cstheme="majorHAnsi"/>
          <w:sz w:val="23"/>
          <w:szCs w:val="23"/>
        </w:rPr>
        <w:t>budget international film and television productions to Australia over the next seven years</w:t>
      </w:r>
      <w:r w:rsidR="00897735">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and a $27 million targeted package</w:t>
      </w:r>
      <w:r w:rsidR="00897735">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delivered through the Relief and Recovery Fund</w:t>
      </w:r>
      <w:r w:rsidR="00897735">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to provide financial support to Indigenous visual art centres, regional arts</w:t>
      </w:r>
      <w:r w:rsidR="00897735">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and the live music and performance industr</w:t>
      </w:r>
      <w:r w:rsidR="00897735">
        <w:rPr>
          <w:rFonts w:asciiTheme="majorHAnsi" w:eastAsia="Calibri" w:hAnsiTheme="majorHAnsi" w:cstheme="majorHAnsi"/>
          <w:sz w:val="23"/>
          <w:szCs w:val="23"/>
        </w:rPr>
        <w:t>ies</w:t>
      </w:r>
      <w:r w:rsidRPr="00DD331C">
        <w:rPr>
          <w:rFonts w:asciiTheme="majorHAnsi" w:eastAsia="Calibri" w:hAnsiTheme="majorHAnsi" w:cstheme="majorHAnsi"/>
          <w:sz w:val="23"/>
          <w:szCs w:val="23"/>
        </w:rPr>
        <w:t>.</w:t>
      </w:r>
    </w:p>
    <w:p w14:paraId="189BA937" w14:textId="77777777" w:rsidR="006A7CC2" w:rsidRPr="006A7CC2" w:rsidRDefault="006A7CC2" w:rsidP="004D51EB">
      <w:pPr>
        <w:spacing w:after="0" w:line="276" w:lineRule="auto"/>
        <w:rPr>
          <w:rFonts w:asciiTheme="majorHAnsi" w:eastAsia="Calibri" w:hAnsiTheme="majorHAnsi" w:cstheme="majorHAnsi"/>
          <w:sz w:val="16"/>
          <w:szCs w:val="16"/>
        </w:rPr>
      </w:pPr>
    </w:p>
    <w:p w14:paraId="03FE36C9" w14:textId="6FB28114" w:rsidR="00F00E3D" w:rsidRDefault="00897735"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H</w:t>
      </w:r>
      <w:r w:rsidR="00F00E3D" w:rsidRPr="00DD331C">
        <w:rPr>
          <w:rFonts w:asciiTheme="majorHAnsi" w:eastAsia="Calibri" w:hAnsiTheme="majorHAnsi" w:cstheme="majorHAnsi"/>
          <w:sz w:val="23"/>
          <w:szCs w:val="23"/>
        </w:rPr>
        <w:t xml:space="preserve">owever, </w:t>
      </w:r>
      <w:r>
        <w:rPr>
          <w:rFonts w:asciiTheme="majorHAnsi" w:eastAsia="Calibri" w:hAnsiTheme="majorHAnsi" w:cstheme="majorHAnsi"/>
          <w:sz w:val="23"/>
          <w:szCs w:val="23"/>
        </w:rPr>
        <w:t xml:space="preserve">critics argued </w:t>
      </w:r>
      <w:r w:rsidR="00F00E3D" w:rsidRPr="00DD331C">
        <w:rPr>
          <w:rFonts w:asciiTheme="majorHAnsi" w:eastAsia="Calibri" w:hAnsiTheme="majorHAnsi" w:cstheme="majorHAnsi"/>
          <w:sz w:val="23"/>
          <w:szCs w:val="23"/>
        </w:rPr>
        <w:t>th</w:t>
      </w:r>
      <w:r w:rsidR="003857F6">
        <w:rPr>
          <w:rFonts w:asciiTheme="majorHAnsi" w:eastAsia="Calibri" w:hAnsiTheme="majorHAnsi" w:cstheme="majorHAnsi"/>
          <w:sz w:val="23"/>
          <w:szCs w:val="23"/>
        </w:rPr>
        <w:t xml:space="preserve">is </w:t>
      </w:r>
      <w:r w:rsidR="00C25FC0">
        <w:rPr>
          <w:rFonts w:asciiTheme="majorHAnsi" w:eastAsia="Calibri" w:hAnsiTheme="majorHAnsi" w:cstheme="majorHAnsi"/>
          <w:sz w:val="23"/>
          <w:szCs w:val="23"/>
        </w:rPr>
        <w:t>funding</w:t>
      </w:r>
      <w:r w:rsidR="003857F6">
        <w:rPr>
          <w:rFonts w:asciiTheme="majorHAnsi" w:eastAsia="Calibri" w:hAnsiTheme="majorHAnsi" w:cstheme="majorHAnsi"/>
          <w:sz w:val="23"/>
          <w:szCs w:val="23"/>
        </w:rPr>
        <w:t xml:space="preserve"> was inadequate</w:t>
      </w:r>
      <w:r w:rsidR="00903EAB">
        <w:rPr>
          <w:rFonts w:asciiTheme="majorHAnsi" w:eastAsia="Calibri" w:hAnsiTheme="majorHAnsi" w:cstheme="majorHAnsi"/>
          <w:sz w:val="23"/>
          <w:szCs w:val="23"/>
        </w:rPr>
        <w:t>, slow</w:t>
      </w:r>
      <w:r w:rsidR="00C81BDD">
        <w:rPr>
          <w:rFonts w:asciiTheme="majorHAnsi" w:eastAsia="Calibri" w:hAnsiTheme="majorHAnsi" w:cstheme="majorHAnsi"/>
          <w:sz w:val="23"/>
          <w:szCs w:val="23"/>
        </w:rPr>
        <w:t xml:space="preserve"> to materialise</w:t>
      </w:r>
      <w:r w:rsidR="00903EAB">
        <w:rPr>
          <w:rFonts w:asciiTheme="majorHAnsi" w:eastAsia="Calibri" w:hAnsiTheme="majorHAnsi" w:cstheme="majorHAnsi"/>
          <w:sz w:val="23"/>
          <w:szCs w:val="23"/>
        </w:rPr>
        <w:t>,</w:t>
      </w:r>
      <w:r w:rsidR="003857F6">
        <w:rPr>
          <w:rFonts w:asciiTheme="majorHAnsi" w:eastAsia="Calibri" w:hAnsiTheme="majorHAnsi" w:cstheme="majorHAnsi"/>
          <w:sz w:val="23"/>
          <w:szCs w:val="23"/>
        </w:rPr>
        <w:t xml:space="preserve"> and unevenly distributed, with scant support for individual arts workers and small to medium organisations</w:t>
      </w:r>
      <w:r w:rsidR="00FA3EBA">
        <w:rPr>
          <w:rFonts w:asciiTheme="majorHAnsi" w:eastAsia="Calibri" w:hAnsiTheme="majorHAnsi" w:cstheme="majorHAnsi"/>
          <w:sz w:val="23"/>
          <w:szCs w:val="23"/>
        </w:rPr>
        <w:t>: the</w:t>
      </w:r>
      <w:r w:rsidR="00E86A6B">
        <w:rPr>
          <w:rFonts w:asciiTheme="majorHAnsi" w:eastAsia="Calibri" w:hAnsiTheme="majorHAnsi" w:cstheme="majorHAnsi"/>
          <w:sz w:val="23"/>
          <w:szCs w:val="23"/>
        </w:rPr>
        <w:t xml:space="preserve"> </w:t>
      </w:r>
      <w:proofErr w:type="spellStart"/>
      <w:r w:rsidR="00E86A6B">
        <w:rPr>
          <w:rFonts w:asciiTheme="majorHAnsi" w:eastAsia="Calibri" w:hAnsiTheme="majorHAnsi" w:cstheme="majorHAnsi"/>
          <w:sz w:val="23"/>
          <w:szCs w:val="23"/>
        </w:rPr>
        <w:t>JobMaker</w:t>
      </w:r>
      <w:proofErr w:type="spellEnd"/>
      <w:r w:rsidR="00E86A6B">
        <w:rPr>
          <w:rFonts w:asciiTheme="majorHAnsi" w:eastAsia="Calibri" w:hAnsiTheme="majorHAnsi" w:cstheme="majorHAnsi"/>
          <w:sz w:val="23"/>
          <w:szCs w:val="23"/>
        </w:rPr>
        <w:t xml:space="preserve"> </w:t>
      </w:r>
      <w:r w:rsidR="00110296">
        <w:rPr>
          <w:rFonts w:asciiTheme="majorHAnsi" w:eastAsia="Calibri" w:hAnsiTheme="majorHAnsi" w:cstheme="majorHAnsi"/>
          <w:sz w:val="23"/>
          <w:szCs w:val="23"/>
        </w:rPr>
        <w:t xml:space="preserve">arts </w:t>
      </w:r>
      <w:r w:rsidR="00E86A6B">
        <w:rPr>
          <w:rFonts w:asciiTheme="majorHAnsi" w:eastAsia="Calibri" w:hAnsiTheme="majorHAnsi" w:cstheme="majorHAnsi"/>
          <w:sz w:val="23"/>
          <w:szCs w:val="23"/>
        </w:rPr>
        <w:t>package</w:t>
      </w:r>
      <w:r w:rsidR="003857F6">
        <w:rPr>
          <w:rFonts w:asciiTheme="majorHAnsi" w:eastAsia="Calibri" w:hAnsiTheme="majorHAnsi" w:cstheme="majorHAnsi"/>
          <w:sz w:val="23"/>
          <w:szCs w:val="23"/>
        </w:rPr>
        <w:t>, for example,</w:t>
      </w:r>
      <w:r w:rsidR="00E86A6B">
        <w:rPr>
          <w:rFonts w:asciiTheme="majorHAnsi" w:eastAsia="Calibri" w:hAnsiTheme="majorHAnsi" w:cstheme="majorHAnsi"/>
          <w:sz w:val="23"/>
          <w:szCs w:val="23"/>
        </w:rPr>
        <w:t xml:space="preserve"> preferences larg</w:t>
      </w:r>
      <w:r w:rsidR="00232C97">
        <w:rPr>
          <w:rFonts w:asciiTheme="majorHAnsi" w:eastAsia="Calibri" w:hAnsiTheme="majorHAnsi" w:cstheme="majorHAnsi"/>
          <w:sz w:val="23"/>
          <w:szCs w:val="23"/>
        </w:rPr>
        <w:t>er</w:t>
      </w:r>
      <w:r w:rsidR="00E86A6B">
        <w:rPr>
          <w:rFonts w:asciiTheme="majorHAnsi" w:eastAsia="Calibri" w:hAnsiTheme="majorHAnsi" w:cstheme="majorHAnsi"/>
          <w:sz w:val="23"/>
          <w:szCs w:val="23"/>
        </w:rPr>
        <w:t xml:space="preserve"> events, major organisations, and the screen industry</w:t>
      </w:r>
      <w:r w:rsidR="00CB2365">
        <w:rPr>
          <w:rFonts w:asciiTheme="majorHAnsi" w:eastAsia="Calibri" w:hAnsiTheme="majorHAnsi" w:cstheme="majorHAnsi"/>
          <w:sz w:val="23"/>
          <w:szCs w:val="23"/>
        </w:rPr>
        <w:t xml:space="preserve"> (</w:t>
      </w:r>
      <w:proofErr w:type="spellStart"/>
      <w:r w:rsidR="00CB2365">
        <w:rPr>
          <w:rFonts w:asciiTheme="majorHAnsi" w:eastAsia="Calibri" w:hAnsiTheme="majorHAnsi" w:cstheme="majorHAnsi"/>
          <w:sz w:val="23"/>
          <w:szCs w:val="23"/>
        </w:rPr>
        <w:t>Caust</w:t>
      </w:r>
      <w:proofErr w:type="spellEnd"/>
      <w:r w:rsidR="00CB2365">
        <w:rPr>
          <w:rFonts w:asciiTheme="majorHAnsi" w:eastAsia="Calibri" w:hAnsiTheme="majorHAnsi" w:cstheme="majorHAnsi"/>
          <w:sz w:val="23"/>
          <w:szCs w:val="23"/>
        </w:rPr>
        <w:t>, 2020)</w:t>
      </w:r>
      <w:r w:rsidR="00E86A6B">
        <w:rPr>
          <w:rFonts w:asciiTheme="majorHAnsi" w:eastAsia="Calibri" w:hAnsiTheme="majorHAnsi" w:cstheme="majorHAnsi"/>
          <w:sz w:val="23"/>
          <w:szCs w:val="23"/>
        </w:rPr>
        <w:t>.</w:t>
      </w:r>
      <w:r w:rsidR="00CB2365">
        <w:rPr>
          <w:rFonts w:asciiTheme="majorHAnsi" w:eastAsia="Calibri" w:hAnsiTheme="majorHAnsi" w:cstheme="majorHAnsi"/>
          <w:sz w:val="23"/>
          <w:szCs w:val="23"/>
        </w:rPr>
        <w:t xml:space="preserve"> </w:t>
      </w:r>
      <w:r w:rsidR="0005506A">
        <w:rPr>
          <w:rFonts w:asciiTheme="majorHAnsi" w:eastAsia="Calibri" w:hAnsiTheme="majorHAnsi" w:cstheme="majorHAnsi"/>
          <w:sz w:val="23"/>
          <w:szCs w:val="23"/>
        </w:rPr>
        <w:t>The National Association for the Visual Arts</w:t>
      </w:r>
      <w:r w:rsidR="00CB2365">
        <w:rPr>
          <w:rFonts w:asciiTheme="majorHAnsi" w:eastAsia="Calibri" w:hAnsiTheme="majorHAnsi" w:cstheme="majorHAnsi"/>
          <w:sz w:val="23"/>
          <w:szCs w:val="23"/>
        </w:rPr>
        <w:t xml:space="preserve"> argued the measures</w:t>
      </w:r>
      <w:r w:rsidR="00E86A6B" w:rsidRPr="00DD331C">
        <w:rPr>
          <w:rFonts w:asciiTheme="majorHAnsi" w:eastAsia="Calibri" w:hAnsiTheme="majorHAnsi" w:cstheme="majorHAnsi"/>
          <w:sz w:val="23"/>
          <w:szCs w:val="23"/>
        </w:rPr>
        <w:t xml:space="preserve"> </w:t>
      </w:r>
      <w:r w:rsidR="00F00E3D" w:rsidRPr="00DD331C">
        <w:rPr>
          <w:rFonts w:asciiTheme="majorHAnsi" w:eastAsia="Calibri" w:hAnsiTheme="majorHAnsi" w:cstheme="majorHAnsi"/>
          <w:sz w:val="23"/>
          <w:szCs w:val="23"/>
        </w:rPr>
        <w:t xml:space="preserve">“will do little to rebuild the arts sector, which is already weakened by exclusions from existing income support measures, cuts to local content quotas for Australian TV, and the increase of arts and humanities degree fees” </w:t>
      </w:r>
      <w:r w:rsidR="00F00E3D" w:rsidRPr="00DD331C">
        <w:rPr>
          <w:rFonts w:asciiTheme="majorHAnsi" w:eastAsia="Calibri" w:hAnsiTheme="majorHAnsi" w:cstheme="majorHAnsi"/>
          <w:noProof/>
          <w:sz w:val="23"/>
          <w:szCs w:val="23"/>
        </w:rPr>
        <w:t>(Reid, 2020)</w:t>
      </w:r>
      <w:r w:rsidR="00F00E3D" w:rsidRPr="00DD331C">
        <w:rPr>
          <w:rFonts w:asciiTheme="majorHAnsi" w:eastAsia="Calibri" w:hAnsiTheme="majorHAnsi" w:cstheme="majorHAnsi"/>
          <w:sz w:val="23"/>
          <w:szCs w:val="23"/>
        </w:rPr>
        <w:t>.</w:t>
      </w:r>
    </w:p>
    <w:p w14:paraId="4A885D03" w14:textId="246F3AA1" w:rsidR="00F00E3D" w:rsidRPr="006A7CC2" w:rsidRDefault="00F00E3D" w:rsidP="004D51EB">
      <w:pPr>
        <w:spacing w:after="0" w:line="276" w:lineRule="auto"/>
        <w:rPr>
          <w:rFonts w:eastAsia="Calibri" w:cstheme="minorHAnsi"/>
          <w:sz w:val="16"/>
          <w:szCs w:val="16"/>
        </w:rPr>
      </w:pPr>
    </w:p>
    <w:p w14:paraId="6C652B6E" w14:textId="37499649" w:rsidR="00F00E3D" w:rsidRPr="00BB1767" w:rsidRDefault="00F00E3D" w:rsidP="004D51EB">
      <w:pPr>
        <w:spacing w:after="0" w:line="276" w:lineRule="auto"/>
        <w:rPr>
          <w:rFonts w:eastAsia="Calibri" w:cstheme="minorHAnsi"/>
          <w:b/>
          <w:bCs/>
          <w:sz w:val="23"/>
          <w:szCs w:val="23"/>
        </w:rPr>
      </w:pPr>
      <w:r w:rsidRPr="00BB1767">
        <w:rPr>
          <w:rFonts w:eastAsia="Calibri" w:cstheme="minorHAnsi"/>
          <w:b/>
          <w:bCs/>
          <w:sz w:val="23"/>
          <w:szCs w:val="23"/>
        </w:rPr>
        <w:t xml:space="preserve">Women in the </w:t>
      </w:r>
      <w:r w:rsidR="00475CC2">
        <w:rPr>
          <w:rFonts w:eastAsia="Calibri" w:cstheme="minorHAnsi"/>
          <w:b/>
          <w:bCs/>
          <w:sz w:val="23"/>
          <w:szCs w:val="23"/>
        </w:rPr>
        <w:t>W</w:t>
      </w:r>
      <w:r w:rsidRPr="00BB1767">
        <w:rPr>
          <w:rFonts w:eastAsia="Calibri" w:cstheme="minorHAnsi"/>
          <w:b/>
          <w:bCs/>
          <w:sz w:val="23"/>
          <w:szCs w:val="23"/>
        </w:rPr>
        <w:t>orkforce</w:t>
      </w:r>
    </w:p>
    <w:p w14:paraId="638FFC81" w14:textId="77777777" w:rsidR="00BB1767" w:rsidRPr="006A7CC2" w:rsidRDefault="00BB1767" w:rsidP="004D51EB">
      <w:pPr>
        <w:spacing w:after="0" w:line="276" w:lineRule="auto"/>
        <w:rPr>
          <w:rFonts w:asciiTheme="majorHAnsi" w:eastAsia="Calibri" w:hAnsiTheme="majorHAnsi" w:cstheme="majorHAnsi"/>
          <w:b/>
          <w:bCs/>
          <w:sz w:val="12"/>
          <w:szCs w:val="12"/>
        </w:rPr>
      </w:pPr>
    </w:p>
    <w:p w14:paraId="5B036350" w14:textId="7F8D2676" w:rsidR="00F00E3D" w:rsidRPr="00DD331C" w:rsidRDefault="005130DF"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For Australian women, research</w:t>
      </w:r>
      <w:r w:rsidR="00F00E3D" w:rsidRPr="00DD331C">
        <w:rPr>
          <w:rFonts w:asciiTheme="majorHAnsi" w:eastAsia="Calibri" w:hAnsiTheme="majorHAnsi" w:cstheme="majorHAnsi"/>
          <w:sz w:val="23"/>
          <w:szCs w:val="23"/>
        </w:rPr>
        <w:t xml:space="preserve"> suggests </w:t>
      </w:r>
      <w:r w:rsidR="0055297B">
        <w:rPr>
          <w:rFonts w:asciiTheme="majorHAnsi" w:eastAsia="Calibri" w:hAnsiTheme="majorHAnsi" w:cstheme="majorHAnsi"/>
          <w:sz w:val="23"/>
          <w:szCs w:val="23"/>
        </w:rPr>
        <w:t xml:space="preserve">that COVID-19 </w:t>
      </w:r>
      <w:r>
        <w:rPr>
          <w:rFonts w:asciiTheme="majorHAnsi" w:eastAsia="Calibri" w:hAnsiTheme="majorHAnsi" w:cstheme="majorHAnsi"/>
          <w:sz w:val="23"/>
          <w:szCs w:val="23"/>
        </w:rPr>
        <w:t>has caused</w:t>
      </w:r>
      <w:r w:rsidR="00F00E3D" w:rsidRPr="00DD331C">
        <w:rPr>
          <w:rFonts w:asciiTheme="majorHAnsi" w:eastAsia="Calibri" w:hAnsiTheme="majorHAnsi" w:cstheme="majorHAnsi"/>
          <w:sz w:val="23"/>
          <w:szCs w:val="23"/>
        </w:rPr>
        <w:t xml:space="preserve"> disproportionate increases</w:t>
      </w:r>
      <w:r w:rsidR="0055297B">
        <w:rPr>
          <w:rFonts w:asciiTheme="majorHAnsi" w:eastAsia="Calibri" w:hAnsiTheme="majorHAnsi" w:cstheme="majorHAnsi"/>
          <w:sz w:val="23"/>
          <w:szCs w:val="23"/>
        </w:rPr>
        <w:t xml:space="preserve"> </w:t>
      </w:r>
      <w:r w:rsidR="00F00E3D" w:rsidRPr="00DD331C">
        <w:rPr>
          <w:rFonts w:asciiTheme="majorHAnsi" w:eastAsia="Calibri" w:hAnsiTheme="majorHAnsi" w:cstheme="majorHAnsi"/>
          <w:sz w:val="23"/>
          <w:szCs w:val="23"/>
        </w:rPr>
        <w:t xml:space="preserve">in caring responsibilities and disruptions to working hours, job security and paid work capacity, and that this is most acute for </w:t>
      </w:r>
      <w:r>
        <w:rPr>
          <w:rFonts w:asciiTheme="majorHAnsi" w:eastAsia="Calibri" w:hAnsiTheme="majorHAnsi" w:cstheme="majorHAnsi"/>
          <w:sz w:val="23"/>
          <w:szCs w:val="23"/>
        </w:rPr>
        <w:t>women</w:t>
      </w:r>
      <w:r w:rsidR="00F00E3D" w:rsidRPr="00DD331C">
        <w:rPr>
          <w:rFonts w:asciiTheme="majorHAnsi" w:eastAsia="Calibri" w:hAnsiTheme="majorHAnsi" w:cstheme="majorHAnsi"/>
          <w:sz w:val="23"/>
          <w:szCs w:val="23"/>
        </w:rPr>
        <w:t xml:space="preserve"> with children under 12 </w:t>
      </w:r>
      <w:r w:rsidR="00F00E3D" w:rsidRPr="00DD331C">
        <w:rPr>
          <w:rFonts w:asciiTheme="majorHAnsi" w:eastAsia="Calibri" w:hAnsiTheme="majorHAnsi" w:cstheme="majorHAnsi"/>
          <w:noProof/>
          <w:sz w:val="23"/>
          <w:szCs w:val="23"/>
        </w:rPr>
        <w:t>(Rapid Research Information Forum, 2020)</w:t>
      </w:r>
      <w:r w:rsidR="00F00E3D" w:rsidRPr="00DD331C">
        <w:rPr>
          <w:rFonts w:asciiTheme="majorHAnsi" w:eastAsia="Calibri" w:hAnsiTheme="majorHAnsi" w:cstheme="majorHAnsi"/>
          <w:sz w:val="23"/>
          <w:szCs w:val="23"/>
        </w:rPr>
        <w:t>. Moreover, “given the compounding effect of career breaks and gender-based discrimination on career</w:t>
      </w:r>
      <w:r w:rsidR="00475CC2">
        <w:rPr>
          <w:rFonts w:asciiTheme="majorHAnsi" w:eastAsia="Calibri" w:hAnsiTheme="majorHAnsi" w:cstheme="majorHAnsi"/>
          <w:sz w:val="23"/>
          <w:szCs w:val="23"/>
        </w:rPr>
        <w:t xml:space="preserve"> </w:t>
      </w:r>
      <w:r w:rsidR="00F00E3D" w:rsidRPr="00DD331C">
        <w:rPr>
          <w:rFonts w:asciiTheme="majorHAnsi" w:eastAsia="Calibri" w:hAnsiTheme="majorHAnsi" w:cstheme="majorHAnsi"/>
          <w:sz w:val="23"/>
          <w:szCs w:val="23"/>
        </w:rPr>
        <w:t>progression</w:t>
      </w:r>
      <w:r w:rsidR="00475CC2">
        <w:rPr>
          <w:rFonts w:asciiTheme="majorHAnsi" w:eastAsia="Calibri" w:hAnsiTheme="majorHAnsi" w:cstheme="majorHAnsi"/>
          <w:sz w:val="23"/>
          <w:szCs w:val="23"/>
        </w:rPr>
        <w:t>”, the</w:t>
      </w:r>
      <w:r w:rsidR="00F00E3D" w:rsidRPr="00DD331C">
        <w:rPr>
          <w:rFonts w:asciiTheme="majorHAnsi" w:eastAsia="Calibri" w:hAnsiTheme="majorHAnsi" w:cstheme="majorHAnsi"/>
          <w:sz w:val="23"/>
          <w:szCs w:val="23"/>
        </w:rPr>
        <w:t xml:space="preserve"> pandemic is likely to </w:t>
      </w:r>
      <w:r w:rsidR="00475CC2">
        <w:rPr>
          <w:rFonts w:asciiTheme="majorHAnsi" w:eastAsia="Calibri" w:hAnsiTheme="majorHAnsi" w:cstheme="majorHAnsi"/>
          <w:sz w:val="23"/>
          <w:szCs w:val="23"/>
        </w:rPr>
        <w:t>cause further</w:t>
      </w:r>
      <w:r w:rsidR="00F00E3D" w:rsidRPr="00DD331C">
        <w:rPr>
          <w:rFonts w:asciiTheme="majorHAnsi" w:eastAsia="Calibri" w:hAnsiTheme="majorHAnsi" w:cstheme="majorHAnsi"/>
          <w:sz w:val="23"/>
          <w:szCs w:val="23"/>
        </w:rPr>
        <w:t xml:space="preserve"> long-term negative</w:t>
      </w:r>
      <w:r w:rsidR="00475CC2">
        <w:rPr>
          <w:rFonts w:asciiTheme="majorHAnsi" w:eastAsia="Calibri" w:hAnsiTheme="majorHAnsi" w:cstheme="majorHAnsi"/>
          <w:sz w:val="23"/>
          <w:szCs w:val="23"/>
        </w:rPr>
        <w:t xml:space="preserve"> impacts on</w:t>
      </w:r>
      <w:r w:rsidR="00F00E3D" w:rsidRPr="00DD331C">
        <w:rPr>
          <w:rFonts w:asciiTheme="majorHAnsi" w:eastAsia="Calibri" w:hAnsiTheme="majorHAnsi" w:cstheme="majorHAnsi"/>
          <w:sz w:val="23"/>
          <w:szCs w:val="23"/>
        </w:rPr>
        <w:t xml:space="preserve"> women </w:t>
      </w:r>
      <w:r w:rsidR="00F00E3D" w:rsidRPr="00DD331C">
        <w:rPr>
          <w:rFonts w:asciiTheme="majorHAnsi" w:eastAsia="Calibri" w:hAnsiTheme="majorHAnsi" w:cstheme="majorHAnsi"/>
          <w:noProof/>
          <w:sz w:val="23"/>
          <w:szCs w:val="23"/>
        </w:rPr>
        <w:t>(Rapid Research Information Forum, 2020)</w:t>
      </w:r>
      <w:r w:rsidR="00F00E3D" w:rsidRPr="00DD331C">
        <w:rPr>
          <w:rFonts w:asciiTheme="majorHAnsi" w:eastAsia="Calibri" w:hAnsiTheme="majorHAnsi" w:cstheme="majorHAnsi"/>
          <w:sz w:val="23"/>
          <w:szCs w:val="23"/>
        </w:rPr>
        <w:t xml:space="preserve">. </w:t>
      </w:r>
    </w:p>
    <w:p w14:paraId="2C05E32F" w14:textId="77777777" w:rsidR="00F00E3D" w:rsidRPr="008739D7" w:rsidRDefault="00F00E3D" w:rsidP="004D51EB">
      <w:pPr>
        <w:spacing w:after="0" w:line="276" w:lineRule="auto"/>
        <w:rPr>
          <w:rFonts w:asciiTheme="majorHAnsi" w:eastAsia="Calibri" w:hAnsiTheme="majorHAnsi" w:cstheme="majorHAnsi"/>
          <w:sz w:val="12"/>
          <w:szCs w:val="12"/>
        </w:rPr>
      </w:pPr>
    </w:p>
    <w:p w14:paraId="78E943DC" w14:textId="4EAB4C1F" w:rsidR="00F00E3D" w:rsidRDefault="00F00E3D" w:rsidP="004D51EB">
      <w:pPr>
        <w:spacing w:after="0"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Australia’s professional, scientific</w:t>
      </w:r>
      <w:r w:rsidR="00475CC2">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and technical services industry recorded significant job losses during the pandemic, with women hardest hit. </w:t>
      </w:r>
      <w:r w:rsidR="0006023B">
        <w:rPr>
          <w:rFonts w:asciiTheme="majorHAnsi" w:eastAsia="Calibri" w:hAnsiTheme="majorHAnsi" w:cstheme="majorHAnsi"/>
          <w:sz w:val="23"/>
          <w:szCs w:val="23"/>
        </w:rPr>
        <w:t>An</w:t>
      </w:r>
      <w:r w:rsidRPr="00DD331C">
        <w:rPr>
          <w:rFonts w:asciiTheme="majorHAnsi" w:eastAsia="Calibri" w:hAnsiTheme="majorHAnsi" w:cstheme="majorHAnsi"/>
          <w:sz w:val="23"/>
          <w:szCs w:val="23"/>
        </w:rPr>
        <w:t xml:space="preserve"> analysis submitted to the Federal Minister for Industry suggested that women’s </w:t>
      </w:r>
      <w:r w:rsidR="00BF5C9B">
        <w:rPr>
          <w:rFonts w:asciiTheme="majorHAnsi" w:eastAsia="Calibri" w:hAnsiTheme="majorHAnsi" w:cstheme="majorHAnsi"/>
          <w:sz w:val="23"/>
          <w:szCs w:val="23"/>
        </w:rPr>
        <w:t xml:space="preserve">already-precarious position in </w:t>
      </w:r>
      <w:r w:rsidRPr="00DD331C">
        <w:rPr>
          <w:rFonts w:asciiTheme="majorHAnsi" w:eastAsia="Calibri" w:hAnsiTheme="majorHAnsi" w:cstheme="majorHAnsi"/>
          <w:sz w:val="23"/>
          <w:szCs w:val="23"/>
        </w:rPr>
        <w:t xml:space="preserve">the STEM labour market </w:t>
      </w:r>
      <w:r w:rsidR="00BF5C9B">
        <w:rPr>
          <w:rFonts w:asciiTheme="majorHAnsi" w:eastAsia="Calibri" w:hAnsiTheme="majorHAnsi" w:cstheme="majorHAnsi"/>
          <w:sz w:val="23"/>
          <w:szCs w:val="23"/>
        </w:rPr>
        <w:t>will likely be</w:t>
      </w:r>
      <w:r w:rsidRPr="00DD331C">
        <w:rPr>
          <w:rFonts w:asciiTheme="majorHAnsi" w:eastAsia="Calibri" w:hAnsiTheme="majorHAnsi" w:cstheme="majorHAnsi"/>
          <w:sz w:val="23"/>
          <w:szCs w:val="23"/>
        </w:rPr>
        <w:t xml:space="preserve"> exacerbated by the pandemic, “because high proportions of women employed in short-term contract and casual jobs are likely to be threatened by cuts to research and teaching jobs” </w:t>
      </w:r>
      <w:r w:rsidRPr="00DD331C">
        <w:rPr>
          <w:rFonts w:asciiTheme="majorHAnsi" w:eastAsia="Calibri" w:hAnsiTheme="majorHAnsi" w:cstheme="majorHAnsi"/>
          <w:noProof/>
          <w:sz w:val="23"/>
          <w:szCs w:val="23"/>
        </w:rPr>
        <w:t>(Rapid Research Information Forum, 2020, p. 1)</w:t>
      </w:r>
      <w:r w:rsidRPr="00DD331C">
        <w:rPr>
          <w:rFonts w:asciiTheme="majorHAnsi" w:eastAsia="Calibri" w:hAnsiTheme="majorHAnsi" w:cstheme="majorHAnsi"/>
          <w:sz w:val="23"/>
          <w:szCs w:val="23"/>
        </w:rPr>
        <w:t xml:space="preserve">. Moreover, women </w:t>
      </w:r>
      <w:r w:rsidR="008739D7" w:rsidRPr="00DD331C">
        <w:rPr>
          <w:rFonts w:asciiTheme="majorHAnsi" w:eastAsia="Calibri" w:hAnsiTheme="majorHAnsi" w:cstheme="majorHAnsi"/>
          <w:sz w:val="23"/>
          <w:szCs w:val="23"/>
        </w:rPr>
        <w:t xml:space="preserve">in the university workforce </w:t>
      </w:r>
      <w:r w:rsidRPr="00DD331C">
        <w:rPr>
          <w:rFonts w:asciiTheme="majorHAnsi" w:eastAsia="Calibri" w:hAnsiTheme="majorHAnsi" w:cstheme="majorHAnsi"/>
          <w:sz w:val="23"/>
          <w:szCs w:val="23"/>
        </w:rPr>
        <w:t>were reported to be 1.5 times more likely than men to be in insecure jobs.</w:t>
      </w:r>
    </w:p>
    <w:p w14:paraId="27DD3B32" w14:textId="77777777" w:rsidR="00F00E3D" w:rsidRPr="008739D7" w:rsidRDefault="00F00E3D" w:rsidP="004D51EB">
      <w:pPr>
        <w:spacing w:after="0" w:line="276" w:lineRule="auto"/>
        <w:rPr>
          <w:rFonts w:asciiTheme="majorHAnsi" w:eastAsia="Calibri" w:hAnsiTheme="majorHAnsi" w:cstheme="majorHAnsi"/>
          <w:sz w:val="12"/>
          <w:szCs w:val="12"/>
        </w:rPr>
      </w:pPr>
    </w:p>
    <w:p w14:paraId="6D34B2C5" w14:textId="3B4059D0" w:rsidR="00F00E3D" w:rsidRDefault="00927C42"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lastRenderedPageBreak/>
        <w:t xml:space="preserve">As </w:t>
      </w:r>
      <w:r w:rsidR="00F00E3D">
        <w:rPr>
          <w:rFonts w:asciiTheme="majorHAnsi" w:eastAsia="Calibri" w:hAnsiTheme="majorHAnsi" w:cstheme="majorHAnsi"/>
          <w:sz w:val="23"/>
          <w:szCs w:val="23"/>
        </w:rPr>
        <w:t>Wood</w:t>
      </w:r>
      <w:r w:rsidR="00E60ED3">
        <w:rPr>
          <w:rFonts w:asciiTheme="majorHAnsi" w:eastAsia="Calibri" w:hAnsiTheme="majorHAnsi" w:cstheme="majorHAnsi"/>
          <w:sz w:val="23"/>
          <w:szCs w:val="23"/>
        </w:rPr>
        <w:t xml:space="preserve"> and colleagues report, t</w:t>
      </w:r>
      <w:r w:rsidR="00E60ED3" w:rsidRPr="00E771E1">
        <w:rPr>
          <w:rFonts w:asciiTheme="majorHAnsi" w:eastAsia="Calibri" w:hAnsiTheme="majorHAnsi" w:cstheme="majorHAnsi"/>
          <w:sz w:val="23"/>
          <w:szCs w:val="23"/>
        </w:rPr>
        <w:t xml:space="preserve">he </w:t>
      </w:r>
      <w:r w:rsidR="00E60ED3">
        <w:rPr>
          <w:rFonts w:asciiTheme="majorHAnsi" w:eastAsia="Calibri" w:hAnsiTheme="majorHAnsi" w:cstheme="majorHAnsi"/>
          <w:sz w:val="23"/>
          <w:szCs w:val="23"/>
        </w:rPr>
        <w:t>four</w:t>
      </w:r>
      <w:r w:rsidR="00E60ED3" w:rsidRPr="00E771E1">
        <w:rPr>
          <w:rFonts w:asciiTheme="majorHAnsi" w:eastAsia="Calibri" w:hAnsiTheme="majorHAnsi" w:cstheme="majorHAnsi"/>
          <w:sz w:val="23"/>
          <w:szCs w:val="23"/>
        </w:rPr>
        <w:t xml:space="preserve"> worst-affected industries in the first lockdown </w:t>
      </w:r>
      <w:r w:rsidR="00E60ED3">
        <w:rPr>
          <w:rFonts w:asciiTheme="majorHAnsi" w:eastAsia="Calibri" w:hAnsiTheme="majorHAnsi" w:cstheme="majorHAnsi"/>
          <w:sz w:val="23"/>
          <w:szCs w:val="23"/>
        </w:rPr>
        <w:t xml:space="preserve">– healthcare, education, hospitality, and retail – </w:t>
      </w:r>
      <w:r w:rsidR="00E60ED3" w:rsidRPr="00E771E1">
        <w:rPr>
          <w:rFonts w:asciiTheme="majorHAnsi" w:eastAsia="Calibri" w:hAnsiTheme="majorHAnsi" w:cstheme="majorHAnsi"/>
          <w:sz w:val="23"/>
          <w:szCs w:val="23"/>
        </w:rPr>
        <w:t>were majority-female employers</w:t>
      </w:r>
      <w:r w:rsidR="00DC2756">
        <w:rPr>
          <w:rFonts w:asciiTheme="majorHAnsi" w:eastAsia="Calibri" w:hAnsiTheme="majorHAnsi" w:cstheme="majorHAnsi"/>
          <w:sz w:val="23"/>
          <w:szCs w:val="23"/>
        </w:rPr>
        <w:t xml:space="preserve">. </w:t>
      </w:r>
      <w:r w:rsidR="00D039BE">
        <w:rPr>
          <w:rFonts w:asciiTheme="majorHAnsi" w:eastAsia="Calibri" w:hAnsiTheme="majorHAnsi" w:cstheme="majorHAnsi"/>
          <w:sz w:val="23"/>
          <w:szCs w:val="23"/>
        </w:rPr>
        <w:t>W</w:t>
      </w:r>
      <w:r w:rsidR="00F00E3D" w:rsidRPr="00D44DC3">
        <w:rPr>
          <w:rFonts w:asciiTheme="majorHAnsi" w:eastAsia="Calibri" w:hAnsiTheme="majorHAnsi" w:cstheme="majorHAnsi"/>
          <w:sz w:val="23"/>
          <w:szCs w:val="23"/>
        </w:rPr>
        <w:t xml:space="preserve">omen are </w:t>
      </w:r>
      <w:r w:rsidR="00D039BE">
        <w:rPr>
          <w:rFonts w:asciiTheme="majorHAnsi" w:eastAsia="Calibri" w:hAnsiTheme="majorHAnsi" w:cstheme="majorHAnsi"/>
          <w:sz w:val="23"/>
          <w:szCs w:val="23"/>
        </w:rPr>
        <w:t xml:space="preserve">also </w:t>
      </w:r>
      <w:r w:rsidR="00F00E3D">
        <w:rPr>
          <w:rFonts w:asciiTheme="majorHAnsi" w:eastAsia="Calibri" w:hAnsiTheme="majorHAnsi" w:cstheme="majorHAnsi"/>
          <w:sz w:val="23"/>
          <w:szCs w:val="23"/>
        </w:rPr>
        <w:t>“</w:t>
      </w:r>
      <w:r w:rsidR="00F00E3D" w:rsidRPr="00D44DC3">
        <w:rPr>
          <w:rFonts w:asciiTheme="majorHAnsi" w:eastAsia="Calibri" w:hAnsiTheme="majorHAnsi" w:cstheme="majorHAnsi"/>
          <w:sz w:val="23"/>
          <w:szCs w:val="23"/>
        </w:rPr>
        <w:t>more likely to be employed in the industries that face the longest road to recovery – such as higher education and tourism</w:t>
      </w:r>
      <w:r w:rsidR="00F00E3D">
        <w:rPr>
          <w:rFonts w:asciiTheme="majorHAnsi" w:eastAsia="Calibri" w:hAnsiTheme="majorHAnsi" w:cstheme="majorHAnsi"/>
          <w:sz w:val="23"/>
          <w:szCs w:val="23"/>
        </w:rPr>
        <w:t>”</w:t>
      </w:r>
      <w:r w:rsidR="00DC2756">
        <w:rPr>
          <w:rFonts w:asciiTheme="majorHAnsi" w:eastAsia="Calibri" w:hAnsiTheme="majorHAnsi" w:cstheme="majorHAnsi"/>
          <w:sz w:val="23"/>
          <w:szCs w:val="23"/>
        </w:rPr>
        <w:t xml:space="preserve"> (</w:t>
      </w:r>
      <w:r w:rsidR="00DC2756">
        <w:rPr>
          <w:rFonts w:asciiTheme="majorHAnsi" w:eastAsia="Calibri" w:hAnsiTheme="majorHAnsi" w:cstheme="majorHAnsi"/>
          <w:noProof/>
          <w:sz w:val="23"/>
          <w:szCs w:val="23"/>
        </w:rPr>
        <w:t>Wood et al., 2021)</w:t>
      </w:r>
      <w:r w:rsidR="00DC2756">
        <w:rPr>
          <w:rFonts w:asciiTheme="majorHAnsi" w:eastAsia="Calibri" w:hAnsiTheme="majorHAnsi" w:cstheme="majorHAnsi"/>
          <w:sz w:val="23"/>
          <w:szCs w:val="23"/>
        </w:rPr>
        <w:t>. In addition, w</w:t>
      </w:r>
      <w:r w:rsidR="00F00E3D" w:rsidRPr="00D656AF">
        <w:rPr>
          <w:rFonts w:asciiTheme="majorHAnsi" w:eastAsia="Calibri" w:hAnsiTheme="majorHAnsi" w:cstheme="majorHAnsi"/>
          <w:sz w:val="23"/>
          <w:szCs w:val="23"/>
        </w:rPr>
        <w:t xml:space="preserve">omen were also disproportionately </w:t>
      </w:r>
      <w:r w:rsidR="00F00E3D">
        <w:rPr>
          <w:rFonts w:asciiTheme="majorHAnsi" w:eastAsia="Calibri" w:hAnsiTheme="majorHAnsi" w:cstheme="majorHAnsi"/>
          <w:sz w:val="23"/>
          <w:szCs w:val="23"/>
        </w:rPr>
        <w:t xml:space="preserve">excluded </w:t>
      </w:r>
      <w:r w:rsidR="00F00E3D" w:rsidRPr="00D656AF">
        <w:rPr>
          <w:rFonts w:asciiTheme="majorHAnsi" w:eastAsia="Calibri" w:hAnsiTheme="majorHAnsi" w:cstheme="majorHAnsi"/>
          <w:sz w:val="23"/>
          <w:szCs w:val="23"/>
        </w:rPr>
        <w:t xml:space="preserve">from JobKeeper, </w:t>
      </w:r>
      <w:r w:rsidR="00EC61EA">
        <w:rPr>
          <w:rFonts w:asciiTheme="majorHAnsi" w:eastAsia="Calibri" w:hAnsiTheme="majorHAnsi" w:cstheme="majorHAnsi"/>
          <w:sz w:val="23"/>
          <w:szCs w:val="23"/>
        </w:rPr>
        <w:t>which was not available to h</w:t>
      </w:r>
      <w:r w:rsidR="00EC61EA" w:rsidRPr="00D656AF">
        <w:rPr>
          <w:rFonts w:asciiTheme="majorHAnsi" w:eastAsia="Calibri" w:hAnsiTheme="majorHAnsi" w:cstheme="majorHAnsi"/>
          <w:sz w:val="23"/>
          <w:szCs w:val="23"/>
        </w:rPr>
        <w:t>igher education workers</w:t>
      </w:r>
      <w:r w:rsidR="00EC61EA">
        <w:rPr>
          <w:rFonts w:asciiTheme="majorHAnsi" w:eastAsia="Calibri" w:hAnsiTheme="majorHAnsi" w:cstheme="majorHAnsi"/>
          <w:sz w:val="23"/>
          <w:szCs w:val="23"/>
        </w:rPr>
        <w:t>:</w:t>
      </w:r>
      <w:r w:rsidR="00F00E3D" w:rsidRPr="00D656AF">
        <w:rPr>
          <w:rFonts w:asciiTheme="majorHAnsi" w:eastAsia="Calibri" w:hAnsiTheme="majorHAnsi" w:cstheme="majorHAnsi"/>
          <w:sz w:val="23"/>
          <w:szCs w:val="23"/>
        </w:rPr>
        <w:t xml:space="preserve"> </w:t>
      </w:r>
      <w:r w:rsidR="00C10AA7">
        <w:rPr>
          <w:rFonts w:asciiTheme="majorHAnsi" w:eastAsia="Calibri" w:hAnsiTheme="majorHAnsi" w:cstheme="majorHAnsi"/>
          <w:sz w:val="23"/>
          <w:szCs w:val="23"/>
        </w:rPr>
        <w:t xml:space="preserve">thanks to the pandemic </w:t>
      </w:r>
      <w:r w:rsidR="009E5FBE">
        <w:rPr>
          <w:rFonts w:asciiTheme="majorHAnsi" w:eastAsia="Calibri" w:hAnsiTheme="majorHAnsi" w:cstheme="majorHAnsi"/>
          <w:sz w:val="23"/>
          <w:szCs w:val="23"/>
        </w:rPr>
        <w:t xml:space="preserve">Australian universities shed </w:t>
      </w:r>
      <w:r w:rsidR="007C51D6">
        <w:rPr>
          <w:rFonts w:asciiTheme="majorHAnsi" w:eastAsia="Calibri" w:hAnsiTheme="majorHAnsi" w:cstheme="majorHAnsi"/>
          <w:sz w:val="23"/>
          <w:szCs w:val="23"/>
        </w:rPr>
        <w:t>more than</w:t>
      </w:r>
      <w:r w:rsidR="009E5FBE">
        <w:rPr>
          <w:rFonts w:asciiTheme="majorHAnsi" w:eastAsia="Calibri" w:hAnsiTheme="majorHAnsi" w:cstheme="majorHAnsi"/>
          <w:sz w:val="23"/>
          <w:szCs w:val="23"/>
        </w:rPr>
        <w:t xml:space="preserve"> </w:t>
      </w:r>
      <w:r w:rsidR="009E5FBE" w:rsidRPr="008D4955">
        <w:rPr>
          <w:rFonts w:asciiTheme="majorHAnsi" w:eastAsia="Calibri" w:hAnsiTheme="majorHAnsi" w:cstheme="majorHAnsi"/>
          <w:sz w:val="23"/>
          <w:szCs w:val="23"/>
        </w:rPr>
        <w:t>17,</w:t>
      </w:r>
      <w:r w:rsidR="007C51D6">
        <w:rPr>
          <w:rFonts w:asciiTheme="majorHAnsi" w:eastAsia="Calibri" w:hAnsiTheme="majorHAnsi" w:cstheme="majorHAnsi"/>
          <w:sz w:val="23"/>
          <w:szCs w:val="23"/>
        </w:rPr>
        <w:t>0</w:t>
      </w:r>
      <w:r w:rsidR="009E5FBE" w:rsidRPr="008D4955">
        <w:rPr>
          <w:rFonts w:asciiTheme="majorHAnsi" w:eastAsia="Calibri" w:hAnsiTheme="majorHAnsi" w:cstheme="majorHAnsi"/>
          <w:sz w:val="23"/>
          <w:szCs w:val="23"/>
        </w:rPr>
        <w:t>00 jobs</w:t>
      </w:r>
      <w:r w:rsidR="009E5FBE">
        <w:rPr>
          <w:rFonts w:asciiTheme="majorHAnsi" w:eastAsia="Calibri" w:hAnsiTheme="majorHAnsi" w:cstheme="majorHAnsi"/>
          <w:sz w:val="23"/>
          <w:szCs w:val="23"/>
        </w:rPr>
        <w:t xml:space="preserve"> </w:t>
      </w:r>
      <w:r w:rsidR="00DC2756">
        <w:rPr>
          <w:rFonts w:asciiTheme="majorHAnsi" w:eastAsia="Calibri" w:hAnsiTheme="majorHAnsi" w:cstheme="majorHAnsi"/>
          <w:sz w:val="23"/>
          <w:szCs w:val="23"/>
        </w:rPr>
        <w:t>in 2020</w:t>
      </w:r>
      <w:r w:rsidR="007E2250">
        <w:rPr>
          <w:rFonts w:asciiTheme="majorHAnsi" w:eastAsia="Calibri" w:hAnsiTheme="majorHAnsi" w:cstheme="majorHAnsi"/>
          <w:sz w:val="23"/>
          <w:szCs w:val="23"/>
        </w:rPr>
        <w:t xml:space="preserve">, </w:t>
      </w:r>
      <w:r w:rsidR="009E5FBE">
        <w:rPr>
          <w:rFonts w:asciiTheme="majorHAnsi" w:eastAsia="Calibri" w:hAnsiTheme="majorHAnsi" w:cstheme="majorHAnsi"/>
          <w:sz w:val="23"/>
          <w:szCs w:val="23"/>
        </w:rPr>
        <w:t xml:space="preserve">and women make up </w:t>
      </w:r>
      <w:r w:rsidR="00F00E3D" w:rsidRPr="00D656AF">
        <w:rPr>
          <w:rFonts w:asciiTheme="majorHAnsi" w:eastAsia="Calibri" w:hAnsiTheme="majorHAnsi" w:cstheme="majorHAnsi"/>
          <w:sz w:val="23"/>
          <w:szCs w:val="23"/>
        </w:rPr>
        <w:t xml:space="preserve">59 </w:t>
      </w:r>
      <w:r w:rsidR="00065A1B">
        <w:rPr>
          <w:rFonts w:asciiTheme="majorHAnsi" w:eastAsia="Calibri" w:hAnsiTheme="majorHAnsi" w:cstheme="majorHAnsi"/>
          <w:sz w:val="23"/>
          <w:szCs w:val="23"/>
        </w:rPr>
        <w:t>percent</w:t>
      </w:r>
      <w:r w:rsidR="00F00E3D" w:rsidRPr="00D656AF">
        <w:rPr>
          <w:rFonts w:asciiTheme="majorHAnsi" w:eastAsia="Calibri" w:hAnsiTheme="majorHAnsi" w:cstheme="majorHAnsi"/>
          <w:sz w:val="23"/>
          <w:szCs w:val="23"/>
        </w:rPr>
        <w:t xml:space="preserve"> of employees in </w:t>
      </w:r>
      <w:r w:rsidR="009E5FBE">
        <w:rPr>
          <w:rFonts w:asciiTheme="majorHAnsi" w:eastAsia="Calibri" w:hAnsiTheme="majorHAnsi" w:cstheme="majorHAnsi"/>
          <w:sz w:val="23"/>
          <w:szCs w:val="23"/>
        </w:rPr>
        <w:t>that</w:t>
      </w:r>
      <w:r w:rsidR="00B43CD0">
        <w:rPr>
          <w:rFonts w:asciiTheme="majorHAnsi" w:eastAsia="Calibri" w:hAnsiTheme="majorHAnsi" w:cstheme="majorHAnsi"/>
          <w:sz w:val="23"/>
          <w:szCs w:val="23"/>
        </w:rPr>
        <w:t xml:space="preserve"> </w:t>
      </w:r>
      <w:r w:rsidR="00F00E3D" w:rsidRPr="00D656AF">
        <w:rPr>
          <w:rFonts w:asciiTheme="majorHAnsi" w:eastAsia="Calibri" w:hAnsiTheme="majorHAnsi" w:cstheme="majorHAnsi"/>
          <w:sz w:val="23"/>
          <w:szCs w:val="23"/>
        </w:rPr>
        <w:t xml:space="preserve">sector </w:t>
      </w:r>
      <w:r w:rsidR="00F00E3D">
        <w:rPr>
          <w:rFonts w:asciiTheme="majorHAnsi" w:eastAsia="Calibri" w:hAnsiTheme="majorHAnsi" w:cstheme="majorHAnsi"/>
          <w:noProof/>
          <w:sz w:val="23"/>
          <w:szCs w:val="23"/>
        </w:rPr>
        <w:t>(Wood et al., 2021</w:t>
      </w:r>
      <w:r w:rsidR="000B6B7F">
        <w:rPr>
          <w:rFonts w:asciiTheme="majorHAnsi" w:eastAsia="Calibri" w:hAnsiTheme="majorHAnsi" w:cstheme="majorHAnsi"/>
          <w:noProof/>
          <w:sz w:val="23"/>
          <w:szCs w:val="23"/>
        </w:rPr>
        <w:t>; Zhou, 2021</w:t>
      </w:r>
      <w:r w:rsidR="00F00E3D">
        <w:rPr>
          <w:rFonts w:asciiTheme="majorHAnsi" w:eastAsia="Calibri" w:hAnsiTheme="majorHAnsi" w:cstheme="majorHAnsi"/>
          <w:noProof/>
          <w:sz w:val="23"/>
          <w:szCs w:val="23"/>
        </w:rPr>
        <w:t>)</w:t>
      </w:r>
      <w:r w:rsidR="00F00E3D" w:rsidRPr="00D656AF">
        <w:rPr>
          <w:rFonts w:asciiTheme="majorHAnsi" w:eastAsia="Calibri" w:hAnsiTheme="majorHAnsi" w:cstheme="majorHAnsi"/>
          <w:sz w:val="23"/>
          <w:szCs w:val="23"/>
        </w:rPr>
        <w:t>.</w:t>
      </w:r>
    </w:p>
    <w:p w14:paraId="19BB25F5" w14:textId="77777777" w:rsidR="00F00E3D" w:rsidRPr="00B1364F" w:rsidRDefault="00F00E3D" w:rsidP="004D51EB">
      <w:pPr>
        <w:spacing w:after="0" w:line="276" w:lineRule="auto"/>
        <w:rPr>
          <w:rFonts w:asciiTheme="majorHAnsi" w:eastAsia="Calibri" w:hAnsiTheme="majorHAnsi" w:cstheme="majorHAnsi"/>
          <w:sz w:val="16"/>
          <w:szCs w:val="16"/>
        </w:rPr>
      </w:pPr>
    </w:p>
    <w:p w14:paraId="3BABDB2E" w14:textId="5201A2CE" w:rsidR="00F00E3D" w:rsidRPr="002F37DC" w:rsidRDefault="00F00E3D" w:rsidP="004D51EB">
      <w:pPr>
        <w:spacing w:after="0" w:line="276" w:lineRule="auto"/>
        <w:rPr>
          <w:rFonts w:eastAsia="Calibri" w:cstheme="minorHAnsi"/>
          <w:b/>
          <w:bCs/>
          <w:sz w:val="23"/>
          <w:szCs w:val="23"/>
        </w:rPr>
      </w:pPr>
      <w:r w:rsidRPr="002F37DC">
        <w:rPr>
          <w:rFonts w:eastAsia="Calibri" w:cstheme="minorHAnsi"/>
          <w:b/>
          <w:bCs/>
          <w:sz w:val="23"/>
          <w:szCs w:val="23"/>
        </w:rPr>
        <w:t xml:space="preserve">Young </w:t>
      </w:r>
      <w:r w:rsidR="006A7CC2" w:rsidRPr="002F37DC">
        <w:rPr>
          <w:rFonts w:eastAsia="Calibri" w:cstheme="minorHAnsi"/>
          <w:b/>
          <w:bCs/>
          <w:sz w:val="23"/>
          <w:szCs w:val="23"/>
        </w:rPr>
        <w:t>P</w:t>
      </w:r>
      <w:r w:rsidRPr="002F37DC">
        <w:rPr>
          <w:rFonts w:eastAsia="Calibri" w:cstheme="minorHAnsi"/>
          <w:b/>
          <w:bCs/>
          <w:sz w:val="23"/>
          <w:szCs w:val="23"/>
        </w:rPr>
        <w:t>eople</w:t>
      </w:r>
    </w:p>
    <w:p w14:paraId="146A2C29" w14:textId="77777777" w:rsidR="00B1364F" w:rsidRPr="00B1364F" w:rsidRDefault="00B1364F" w:rsidP="004D51EB">
      <w:pPr>
        <w:spacing w:after="0" w:line="276" w:lineRule="auto"/>
        <w:rPr>
          <w:rFonts w:asciiTheme="majorHAnsi" w:eastAsia="Calibri" w:hAnsiTheme="majorHAnsi" w:cstheme="majorHAnsi"/>
          <w:sz w:val="12"/>
          <w:szCs w:val="12"/>
        </w:rPr>
      </w:pPr>
    </w:p>
    <w:p w14:paraId="60800BC7" w14:textId="69916BD2" w:rsidR="00E24532" w:rsidRDefault="00B1364F"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 xml:space="preserve">The </w:t>
      </w:r>
      <w:r w:rsidR="00EB0F94">
        <w:rPr>
          <w:rFonts w:asciiTheme="majorHAnsi" w:eastAsia="Calibri" w:hAnsiTheme="majorHAnsi" w:cstheme="majorHAnsi"/>
          <w:sz w:val="23"/>
          <w:szCs w:val="23"/>
        </w:rPr>
        <w:t>pandemic</w:t>
      </w:r>
      <w:r>
        <w:rPr>
          <w:rFonts w:asciiTheme="majorHAnsi" w:eastAsia="Calibri" w:hAnsiTheme="majorHAnsi" w:cstheme="majorHAnsi"/>
          <w:sz w:val="23"/>
          <w:szCs w:val="23"/>
        </w:rPr>
        <w:t>-driven</w:t>
      </w:r>
      <w:r w:rsidR="00F00E3D" w:rsidRPr="00DD331C">
        <w:rPr>
          <w:rFonts w:asciiTheme="majorHAnsi" w:eastAsia="Calibri" w:hAnsiTheme="majorHAnsi" w:cstheme="majorHAnsi"/>
          <w:sz w:val="23"/>
          <w:szCs w:val="23"/>
        </w:rPr>
        <w:t xml:space="preserve"> recession </w:t>
      </w:r>
      <w:r>
        <w:rPr>
          <w:rFonts w:asciiTheme="majorHAnsi" w:eastAsia="Calibri" w:hAnsiTheme="majorHAnsi" w:cstheme="majorHAnsi"/>
          <w:sz w:val="23"/>
          <w:szCs w:val="23"/>
        </w:rPr>
        <w:t>is expected to</w:t>
      </w:r>
      <w:r w:rsidR="00F00E3D" w:rsidRPr="00DD331C">
        <w:rPr>
          <w:rFonts w:asciiTheme="majorHAnsi" w:eastAsia="Calibri" w:hAnsiTheme="majorHAnsi" w:cstheme="majorHAnsi"/>
          <w:sz w:val="23"/>
          <w:szCs w:val="23"/>
        </w:rPr>
        <w:t xml:space="preserve"> hit young people hard</w:t>
      </w:r>
      <w:r w:rsidR="001E0B55">
        <w:rPr>
          <w:rFonts w:asciiTheme="majorHAnsi" w:eastAsia="Calibri" w:hAnsiTheme="majorHAnsi" w:cstheme="majorHAnsi"/>
          <w:sz w:val="23"/>
          <w:szCs w:val="23"/>
        </w:rPr>
        <w:t xml:space="preserve">. </w:t>
      </w:r>
      <w:r w:rsidR="00451E3F">
        <w:rPr>
          <w:rFonts w:asciiTheme="majorHAnsi" w:eastAsia="Calibri" w:hAnsiTheme="majorHAnsi" w:cstheme="majorHAnsi"/>
          <w:sz w:val="23"/>
          <w:szCs w:val="23"/>
        </w:rPr>
        <w:t>F</w:t>
      </w:r>
      <w:r w:rsidR="00B24335">
        <w:rPr>
          <w:rFonts w:asciiTheme="majorHAnsi" w:eastAsia="Calibri" w:hAnsiTheme="majorHAnsi" w:cstheme="majorHAnsi"/>
          <w:sz w:val="23"/>
          <w:szCs w:val="23"/>
        </w:rPr>
        <w:t>or many</w:t>
      </w:r>
      <w:r w:rsidR="00FA3EBA">
        <w:rPr>
          <w:rFonts w:asciiTheme="majorHAnsi" w:eastAsia="Calibri" w:hAnsiTheme="majorHAnsi" w:cstheme="majorHAnsi"/>
          <w:sz w:val="23"/>
          <w:szCs w:val="23"/>
        </w:rPr>
        <w:t xml:space="preserve">, </w:t>
      </w:r>
      <w:r w:rsidR="001E0B55">
        <w:rPr>
          <w:rFonts w:asciiTheme="majorHAnsi" w:eastAsia="Calibri" w:hAnsiTheme="majorHAnsi" w:cstheme="majorHAnsi"/>
          <w:sz w:val="23"/>
          <w:szCs w:val="23"/>
        </w:rPr>
        <w:t xml:space="preserve">the impact </w:t>
      </w:r>
      <w:r w:rsidR="0098547F">
        <w:rPr>
          <w:rFonts w:asciiTheme="majorHAnsi" w:eastAsia="Calibri" w:hAnsiTheme="majorHAnsi" w:cstheme="majorHAnsi"/>
          <w:sz w:val="23"/>
          <w:szCs w:val="23"/>
        </w:rPr>
        <w:t>will likely</w:t>
      </w:r>
      <w:r w:rsidR="001E0B55">
        <w:rPr>
          <w:rFonts w:asciiTheme="majorHAnsi" w:eastAsia="Calibri" w:hAnsiTheme="majorHAnsi" w:cstheme="majorHAnsi"/>
          <w:sz w:val="23"/>
          <w:szCs w:val="23"/>
        </w:rPr>
        <w:t xml:space="preserve"> play out over the long term</w:t>
      </w:r>
      <w:r w:rsidR="00451E3F">
        <w:rPr>
          <w:rFonts w:asciiTheme="majorHAnsi" w:eastAsia="Calibri" w:hAnsiTheme="majorHAnsi" w:cstheme="majorHAnsi"/>
          <w:sz w:val="23"/>
          <w:szCs w:val="23"/>
        </w:rPr>
        <w:t xml:space="preserve">, as Andrews and colleagues </w:t>
      </w:r>
      <w:r w:rsidR="00EB0F94">
        <w:rPr>
          <w:rFonts w:asciiTheme="majorHAnsi" w:eastAsia="Calibri" w:hAnsiTheme="majorHAnsi" w:cstheme="majorHAnsi"/>
          <w:sz w:val="23"/>
          <w:szCs w:val="23"/>
        </w:rPr>
        <w:t>warn</w:t>
      </w:r>
      <w:r w:rsidR="001E0B55">
        <w:rPr>
          <w:rFonts w:asciiTheme="majorHAnsi" w:eastAsia="Calibri" w:hAnsiTheme="majorHAnsi" w:cstheme="majorHAnsi"/>
          <w:sz w:val="23"/>
          <w:szCs w:val="23"/>
        </w:rPr>
        <w:t xml:space="preserve">: </w:t>
      </w:r>
      <w:r w:rsidR="00F00E3D" w:rsidRPr="00DD331C">
        <w:rPr>
          <w:rFonts w:asciiTheme="majorHAnsi" w:eastAsia="Calibri" w:hAnsiTheme="majorHAnsi" w:cstheme="majorHAnsi"/>
          <w:sz w:val="23"/>
          <w:szCs w:val="23"/>
        </w:rPr>
        <w:t>“the negative effects of entering the labour market during a recession or long periods of unemployment</w:t>
      </w:r>
      <w:r>
        <w:rPr>
          <w:rFonts w:asciiTheme="majorHAnsi" w:eastAsia="Calibri" w:hAnsiTheme="majorHAnsi" w:cstheme="majorHAnsi"/>
          <w:sz w:val="23"/>
          <w:szCs w:val="23"/>
        </w:rPr>
        <w:t xml:space="preserve"> </w:t>
      </w:r>
      <w:r w:rsidR="00F00E3D" w:rsidRPr="00DD331C">
        <w:rPr>
          <w:rFonts w:asciiTheme="majorHAnsi" w:eastAsia="Calibri" w:hAnsiTheme="majorHAnsi" w:cstheme="majorHAnsi"/>
          <w:sz w:val="23"/>
          <w:szCs w:val="23"/>
        </w:rPr>
        <w:t>during the first years of work can have life-long consequences” (</w:t>
      </w:r>
      <w:r w:rsidR="00F00E3D" w:rsidRPr="00DD331C">
        <w:rPr>
          <w:rFonts w:asciiTheme="majorHAnsi" w:eastAsia="Calibri" w:hAnsiTheme="majorHAnsi" w:cstheme="majorHAnsi"/>
          <w:noProof/>
          <w:sz w:val="23"/>
          <w:szCs w:val="23"/>
        </w:rPr>
        <w:t>Andrews</w:t>
      </w:r>
      <w:r w:rsidR="00286F5D">
        <w:rPr>
          <w:rFonts w:asciiTheme="majorHAnsi" w:eastAsia="Calibri" w:hAnsiTheme="majorHAnsi" w:cstheme="majorHAnsi"/>
          <w:noProof/>
          <w:sz w:val="23"/>
          <w:szCs w:val="23"/>
        </w:rPr>
        <w:t xml:space="preserve"> et al.</w:t>
      </w:r>
      <w:r w:rsidR="00F00E3D" w:rsidRPr="00DD331C">
        <w:rPr>
          <w:rFonts w:asciiTheme="majorHAnsi" w:eastAsia="Calibri" w:hAnsiTheme="majorHAnsi" w:cstheme="majorHAnsi"/>
          <w:noProof/>
          <w:sz w:val="23"/>
          <w:szCs w:val="23"/>
        </w:rPr>
        <w:t>, 2020</w:t>
      </w:r>
      <w:r w:rsidR="00286F5D">
        <w:rPr>
          <w:rFonts w:asciiTheme="majorHAnsi" w:eastAsia="Calibri" w:hAnsiTheme="majorHAnsi" w:cstheme="majorHAnsi"/>
          <w:noProof/>
          <w:sz w:val="23"/>
          <w:szCs w:val="23"/>
        </w:rPr>
        <w:t>;</w:t>
      </w:r>
      <w:r w:rsidR="00F00E3D" w:rsidRPr="00DD331C">
        <w:rPr>
          <w:rFonts w:asciiTheme="majorHAnsi" w:eastAsia="Calibri" w:hAnsiTheme="majorHAnsi" w:cstheme="majorHAnsi"/>
          <w:sz w:val="23"/>
          <w:szCs w:val="23"/>
        </w:rPr>
        <w:t xml:space="preserve"> reported in </w:t>
      </w:r>
      <w:r w:rsidR="00F00E3D" w:rsidRPr="00DD331C">
        <w:rPr>
          <w:rFonts w:asciiTheme="majorHAnsi" w:eastAsia="Calibri" w:hAnsiTheme="majorHAnsi" w:cstheme="majorHAnsi"/>
          <w:noProof/>
          <w:sz w:val="23"/>
          <w:szCs w:val="23"/>
        </w:rPr>
        <w:t>Equity Economics, 2020</w:t>
      </w:r>
      <w:r w:rsidR="00DF385E">
        <w:rPr>
          <w:rFonts w:asciiTheme="majorHAnsi" w:eastAsia="Calibri" w:hAnsiTheme="majorHAnsi" w:cstheme="majorHAnsi"/>
          <w:noProof/>
          <w:sz w:val="23"/>
          <w:szCs w:val="23"/>
        </w:rPr>
        <w:t>a</w:t>
      </w:r>
      <w:r w:rsidR="00F00E3D" w:rsidRPr="00DD331C">
        <w:rPr>
          <w:rFonts w:asciiTheme="majorHAnsi" w:eastAsia="Calibri" w:hAnsiTheme="majorHAnsi" w:cstheme="majorHAnsi"/>
          <w:noProof/>
          <w:sz w:val="23"/>
          <w:szCs w:val="23"/>
        </w:rPr>
        <w:t>, p. 7</w:t>
      </w:r>
      <w:r w:rsidR="00F00E3D" w:rsidRPr="00DD331C">
        <w:rPr>
          <w:rFonts w:asciiTheme="majorHAnsi" w:eastAsia="Calibri" w:hAnsiTheme="majorHAnsi" w:cstheme="majorHAnsi"/>
          <w:sz w:val="23"/>
          <w:szCs w:val="23"/>
        </w:rPr>
        <w:t>).</w:t>
      </w:r>
    </w:p>
    <w:p w14:paraId="541AA27C" w14:textId="77777777" w:rsidR="00E24532" w:rsidRPr="00E24532" w:rsidRDefault="00E24532" w:rsidP="004D51EB">
      <w:pPr>
        <w:spacing w:after="0" w:line="276" w:lineRule="auto"/>
        <w:rPr>
          <w:rFonts w:asciiTheme="majorHAnsi" w:eastAsia="Calibri" w:hAnsiTheme="majorHAnsi" w:cstheme="majorHAnsi"/>
          <w:sz w:val="16"/>
          <w:szCs w:val="16"/>
        </w:rPr>
      </w:pPr>
    </w:p>
    <w:p w14:paraId="7F7907E2" w14:textId="0AE24B48" w:rsidR="00F00E3D" w:rsidRPr="00DD331C" w:rsidRDefault="002A214B"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 xml:space="preserve">Again, this </w:t>
      </w:r>
      <w:r w:rsidR="00E24532">
        <w:rPr>
          <w:rFonts w:asciiTheme="majorHAnsi" w:eastAsia="Calibri" w:hAnsiTheme="majorHAnsi" w:cstheme="majorHAnsi"/>
          <w:sz w:val="23"/>
          <w:szCs w:val="23"/>
        </w:rPr>
        <w:t xml:space="preserve">situation </w:t>
      </w:r>
      <w:r>
        <w:rPr>
          <w:rFonts w:asciiTheme="majorHAnsi" w:eastAsia="Calibri" w:hAnsiTheme="majorHAnsi" w:cstheme="majorHAnsi"/>
          <w:sz w:val="23"/>
          <w:szCs w:val="23"/>
        </w:rPr>
        <w:t xml:space="preserve">is likely to compound existing inequalities, particularly </w:t>
      </w:r>
      <w:r w:rsidR="00E24532">
        <w:rPr>
          <w:rFonts w:asciiTheme="majorHAnsi" w:eastAsia="Calibri" w:hAnsiTheme="majorHAnsi" w:cstheme="majorHAnsi"/>
          <w:sz w:val="23"/>
          <w:szCs w:val="23"/>
        </w:rPr>
        <w:t>on top of</w:t>
      </w:r>
      <w:r>
        <w:rPr>
          <w:rFonts w:asciiTheme="majorHAnsi" w:eastAsia="Calibri" w:hAnsiTheme="majorHAnsi" w:cstheme="majorHAnsi"/>
          <w:sz w:val="23"/>
          <w:szCs w:val="23"/>
        </w:rPr>
        <w:t xml:space="preserve"> </w:t>
      </w:r>
      <w:r w:rsidR="00501C8E">
        <w:rPr>
          <w:rFonts w:asciiTheme="majorHAnsi" w:eastAsia="Calibri" w:hAnsiTheme="majorHAnsi" w:cstheme="majorHAnsi"/>
          <w:sz w:val="23"/>
          <w:szCs w:val="23"/>
        </w:rPr>
        <w:t>the</w:t>
      </w:r>
      <w:r>
        <w:rPr>
          <w:rFonts w:asciiTheme="majorHAnsi" w:eastAsia="Calibri" w:hAnsiTheme="majorHAnsi" w:cstheme="majorHAnsi"/>
          <w:sz w:val="23"/>
          <w:szCs w:val="23"/>
        </w:rPr>
        <w:t xml:space="preserve"> </w:t>
      </w:r>
      <w:r w:rsidR="00D8097D">
        <w:rPr>
          <w:rFonts w:asciiTheme="majorHAnsi" w:eastAsia="Calibri" w:hAnsiTheme="majorHAnsi" w:cstheme="majorHAnsi"/>
          <w:sz w:val="23"/>
          <w:szCs w:val="23"/>
        </w:rPr>
        <w:t>education</w:t>
      </w:r>
      <w:r w:rsidR="00501C8E">
        <w:rPr>
          <w:rFonts w:asciiTheme="majorHAnsi" w:eastAsia="Calibri" w:hAnsiTheme="majorHAnsi" w:cstheme="majorHAnsi"/>
          <w:sz w:val="23"/>
          <w:szCs w:val="23"/>
        </w:rPr>
        <w:t>al impacts of COVID-19</w:t>
      </w:r>
      <w:r w:rsidR="00D8097D">
        <w:rPr>
          <w:rFonts w:asciiTheme="majorHAnsi" w:eastAsia="Calibri" w:hAnsiTheme="majorHAnsi" w:cstheme="majorHAnsi"/>
          <w:sz w:val="23"/>
          <w:szCs w:val="23"/>
        </w:rPr>
        <w:t xml:space="preserve"> </w:t>
      </w:r>
      <w:r w:rsidR="00501C8E">
        <w:rPr>
          <w:rFonts w:asciiTheme="majorHAnsi" w:eastAsia="Calibri" w:hAnsiTheme="majorHAnsi" w:cstheme="majorHAnsi"/>
          <w:sz w:val="23"/>
          <w:szCs w:val="23"/>
        </w:rPr>
        <w:t xml:space="preserve">(see Section </w:t>
      </w:r>
      <w:r w:rsidR="00501C8E" w:rsidRPr="00501C8E">
        <w:rPr>
          <w:rFonts w:asciiTheme="majorHAnsi" w:eastAsia="Calibri" w:hAnsiTheme="majorHAnsi" w:cstheme="majorHAnsi"/>
          <w:sz w:val="23"/>
          <w:szCs w:val="23"/>
        </w:rPr>
        <w:t>6.1.2</w:t>
      </w:r>
      <w:r w:rsidR="00501C8E">
        <w:rPr>
          <w:rFonts w:asciiTheme="majorHAnsi" w:eastAsia="Calibri" w:hAnsiTheme="majorHAnsi" w:cstheme="majorHAnsi"/>
          <w:sz w:val="23"/>
          <w:szCs w:val="23"/>
        </w:rPr>
        <w:t>, above)</w:t>
      </w:r>
      <w:r>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w:t>
      </w:r>
      <w:r w:rsidR="00286F5D">
        <w:rPr>
          <w:rFonts w:asciiTheme="majorHAnsi" w:eastAsia="Calibri" w:hAnsiTheme="majorHAnsi" w:cstheme="majorHAnsi"/>
          <w:sz w:val="23"/>
          <w:szCs w:val="23"/>
        </w:rPr>
        <w:t>D</w:t>
      </w:r>
      <w:r w:rsidR="00F00E3D" w:rsidRPr="00DD331C">
        <w:rPr>
          <w:rFonts w:asciiTheme="majorHAnsi" w:eastAsia="Calibri" w:hAnsiTheme="majorHAnsi" w:cstheme="majorHAnsi"/>
          <w:sz w:val="23"/>
          <w:szCs w:val="23"/>
        </w:rPr>
        <w:t xml:space="preserve">uring previous recessions young people with lower levels of education experienced a slump in opportunities compared to their peers </w:t>
      </w:r>
      <w:r w:rsidR="00F00E3D" w:rsidRPr="00DD331C">
        <w:rPr>
          <w:rFonts w:asciiTheme="majorHAnsi" w:eastAsia="Calibri" w:hAnsiTheme="majorHAnsi" w:cstheme="majorHAnsi"/>
          <w:noProof/>
          <w:sz w:val="23"/>
          <w:szCs w:val="23"/>
        </w:rPr>
        <w:t>(Duckworth &amp; Schoon, 2012)</w:t>
      </w:r>
      <w:r w:rsidR="00F00E3D" w:rsidRPr="00DD331C">
        <w:rPr>
          <w:rFonts w:asciiTheme="majorHAnsi" w:eastAsia="Calibri" w:hAnsiTheme="majorHAnsi" w:cstheme="majorHAnsi"/>
          <w:sz w:val="23"/>
          <w:szCs w:val="23"/>
        </w:rPr>
        <w:t xml:space="preserve">. Cohorts who are more likely to struggle include </w:t>
      </w:r>
      <w:r w:rsidR="005B5CDF">
        <w:rPr>
          <w:rFonts w:asciiTheme="majorHAnsi" w:eastAsia="Calibri" w:hAnsiTheme="majorHAnsi" w:cstheme="majorHAnsi"/>
          <w:sz w:val="23"/>
          <w:szCs w:val="23"/>
        </w:rPr>
        <w:t xml:space="preserve">young </w:t>
      </w:r>
      <w:r w:rsidR="00F00E3D" w:rsidRPr="00DD331C">
        <w:rPr>
          <w:rFonts w:asciiTheme="majorHAnsi" w:eastAsia="Calibri" w:hAnsiTheme="majorHAnsi" w:cstheme="majorHAnsi"/>
          <w:sz w:val="23"/>
          <w:szCs w:val="23"/>
        </w:rPr>
        <w:t>Aboriginal and Torres Strait Islander</w:t>
      </w:r>
      <w:r w:rsidR="008949BC">
        <w:rPr>
          <w:rFonts w:asciiTheme="majorHAnsi" w:eastAsia="Calibri" w:hAnsiTheme="majorHAnsi" w:cstheme="majorHAnsi"/>
          <w:sz w:val="23"/>
          <w:szCs w:val="23"/>
        </w:rPr>
        <w:t xml:space="preserve"> Australians</w:t>
      </w:r>
      <w:r w:rsidR="00F00E3D" w:rsidRPr="00DD331C">
        <w:rPr>
          <w:rFonts w:asciiTheme="majorHAnsi" w:eastAsia="Calibri" w:hAnsiTheme="majorHAnsi" w:cstheme="majorHAnsi"/>
          <w:sz w:val="23"/>
          <w:szCs w:val="23"/>
        </w:rPr>
        <w:t xml:space="preserve"> and </w:t>
      </w:r>
      <w:r w:rsidR="005B5CDF">
        <w:rPr>
          <w:rFonts w:asciiTheme="majorHAnsi" w:eastAsia="Calibri" w:hAnsiTheme="majorHAnsi" w:cstheme="majorHAnsi"/>
          <w:sz w:val="23"/>
          <w:szCs w:val="23"/>
        </w:rPr>
        <w:t xml:space="preserve">young people </w:t>
      </w:r>
      <w:r w:rsidR="00F00E3D" w:rsidRPr="00DD331C">
        <w:rPr>
          <w:rFonts w:asciiTheme="majorHAnsi" w:eastAsia="Calibri" w:hAnsiTheme="majorHAnsi" w:cstheme="majorHAnsi"/>
          <w:sz w:val="23"/>
          <w:szCs w:val="23"/>
        </w:rPr>
        <w:t xml:space="preserve">with a disability </w:t>
      </w:r>
      <w:r w:rsidR="00F00E3D" w:rsidRPr="00DD331C">
        <w:rPr>
          <w:rFonts w:asciiTheme="majorHAnsi" w:eastAsia="Calibri" w:hAnsiTheme="majorHAnsi" w:cstheme="majorHAnsi"/>
          <w:noProof/>
          <w:sz w:val="23"/>
          <w:szCs w:val="23"/>
        </w:rPr>
        <w:t>(Equity Economics, 2020</w:t>
      </w:r>
      <w:r w:rsidR="00DF385E">
        <w:rPr>
          <w:rFonts w:asciiTheme="majorHAnsi" w:eastAsia="Calibri" w:hAnsiTheme="majorHAnsi" w:cstheme="majorHAnsi"/>
          <w:noProof/>
          <w:sz w:val="23"/>
          <w:szCs w:val="23"/>
        </w:rPr>
        <w:t>a</w:t>
      </w:r>
      <w:r w:rsidR="00F00E3D" w:rsidRPr="00DD331C">
        <w:rPr>
          <w:rFonts w:asciiTheme="majorHAnsi" w:eastAsia="Calibri" w:hAnsiTheme="majorHAnsi" w:cstheme="majorHAnsi"/>
          <w:noProof/>
          <w:sz w:val="23"/>
          <w:szCs w:val="23"/>
        </w:rPr>
        <w:t>)</w:t>
      </w:r>
      <w:r w:rsidR="00F00E3D" w:rsidRPr="00DD331C">
        <w:rPr>
          <w:rFonts w:asciiTheme="majorHAnsi" w:eastAsia="Calibri" w:hAnsiTheme="majorHAnsi" w:cstheme="majorHAnsi"/>
          <w:sz w:val="23"/>
          <w:szCs w:val="23"/>
        </w:rPr>
        <w:t>.</w:t>
      </w:r>
      <w:r w:rsidR="00F00E3D">
        <w:rPr>
          <w:rFonts w:asciiTheme="majorHAnsi" w:eastAsia="Calibri" w:hAnsiTheme="majorHAnsi" w:cstheme="majorHAnsi"/>
          <w:sz w:val="23"/>
          <w:szCs w:val="23"/>
        </w:rPr>
        <w:t xml:space="preserve"> </w:t>
      </w:r>
      <w:r w:rsidR="006A7CC2">
        <w:rPr>
          <w:rFonts w:asciiTheme="majorHAnsi" w:eastAsia="Calibri" w:hAnsiTheme="majorHAnsi" w:cstheme="majorHAnsi"/>
          <w:sz w:val="23"/>
          <w:szCs w:val="23"/>
        </w:rPr>
        <w:t>Research</w:t>
      </w:r>
      <w:r w:rsidR="008949BC">
        <w:rPr>
          <w:rFonts w:asciiTheme="majorHAnsi" w:eastAsia="Calibri" w:hAnsiTheme="majorHAnsi" w:cstheme="majorHAnsi"/>
          <w:sz w:val="23"/>
          <w:szCs w:val="23"/>
        </w:rPr>
        <w:t xml:space="preserve"> published in late</w:t>
      </w:r>
      <w:r w:rsidR="00F00E3D">
        <w:rPr>
          <w:rFonts w:asciiTheme="majorHAnsi" w:eastAsia="Calibri" w:hAnsiTheme="majorHAnsi" w:cstheme="majorHAnsi"/>
          <w:sz w:val="23"/>
          <w:szCs w:val="23"/>
        </w:rPr>
        <w:t xml:space="preserve"> 2020 indicate</w:t>
      </w:r>
      <w:r w:rsidR="008949BC">
        <w:rPr>
          <w:rFonts w:asciiTheme="majorHAnsi" w:eastAsia="Calibri" w:hAnsiTheme="majorHAnsi" w:cstheme="majorHAnsi"/>
          <w:sz w:val="23"/>
          <w:szCs w:val="23"/>
        </w:rPr>
        <w:t>s</w:t>
      </w:r>
      <w:r w:rsidR="00F00E3D">
        <w:rPr>
          <w:rFonts w:asciiTheme="majorHAnsi" w:eastAsia="Calibri" w:hAnsiTheme="majorHAnsi" w:cstheme="majorHAnsi"/>
          <w:sz w:val="23"/>
          <w:szCs w:val="23"/>
        </w:rPr>
        <w:t xml:space="preserve"> that </w:t>
      </w:r>
      <w:r w:rsidR="00F00E3D" w:rsidRPr="00925B9D">
        <w:rPr>
          <w:rFonts w:asciiTheme="majorHAnsi" w:eastAsia="Calibri" w:hAnsiTheme="majorHAnsi" w:cstheme="majorHAnsi"/>
          <w:sz w:val="23"/>
          <w:szCs w:val="23"/>
        </w:rPr>
        <w:t xml:space="preserve">young people have been significantly impacted by </w:t>
      </w:r>
      <w:r w:rsidR="00940D80">
        <w:rPr>
          <w:rFonts w:asciiTheme="majorHAnsi" w:eastAsia="Calibri" w:hAnsiTheme="majorHAnsi" w:cstheme="majorHAnsi"/>
          <w:sz w:val="23"/>
          <w:szCs w:val="23"/>
        </w:rPr>
        <w:t>COVID</w:t>
      </w:r>
      <w:r w:rsidR="00F00E3D" w:rsidRPr="00925B9D">
        <w:rPr>
          <w:rFonts w:asciiTheme="majorHAnsi" w:eastAsia="Calibri" w:hAnsiTheme="majorHAnsi" w:cstheme="majorHAnsi"/>
          <w:sz w:val="23"/>
          <w:szCs w:val="23"/>
        </w:rPr>
        <w:t>‐19 compared to older Australian</w:t>
      </w:r>
      <w:r w:rsidR="00F00E3D">
        <w:rPr>
          <w:rFonts w:asciiTheme="majorHAnsi" w:eastAsia="Calibri" w:hAnsiTheme="majorHAnsi" w:cstheme="majorHAnsi"/>
          <w:sz w:val="23"/>
          <w:szCs w:val="23"/>
        </w:rPr>
        <w:t>s</w:t>
      </w:r>
      <w:r w:rsidR="006A7CC2">
        <w:rPr>
          <w:rFonts w:asciiTheme="majorHAnsi" w:eastAsia="Calibri" w:hAnsiTheme="majorHAnsi" w:cstheme="majorHAnsi"/>
          <w:sz w:val="23"/>
          <w:szCs w:val="23"/>
        </w:rPr>
        <w:t>.</w:t>
      </w:r>
      <w:r w:rsidR="00F00E3D">
        <w:rPr>
          <w:rFonts w:asciiTheme="majorHAnsi" w:eastAsia="Calibri" w:hAnsiTheme="majorHAnsi" w:cstheme="majorHAnsi"/>
          <w:sz w:val="23"/>
          <w:szCs w:val="23"/>
        </w:rPr>
        <w:t xml:space="preserve"> </w:t>
      </w:r>
      <w:r w:rsidR="006A7CC2">
        <w:rPr>
          <w:rFonts w:asciiTheme="majorHAnsi" w:eastAsia="Calibri" w:hAnsiTheme="majorHAnsi" w:cstheme="majorHAnsi"/>
          <w:sz w:val="23"/>
          <w:szCs w:val="23"/>
        </w:rPr>
        <w:t>Y</w:t>
      </w:r>
      <w:r w:rsidR="00F00E3D" w:rsidRPr="00925B9D">
        <w:rPr>
          <w:rFonts w:asciiTheme="majorHAnsi" w:eastAsia="Calibri" w:hAnsiTheme="majorHAnsi" w:cstheme="majorHAnsi"/>
          <w:sz w:val="23"/>
          <w:szCs w:val="23"/>
        </w:rPr>
        <w:t>oung women</w:t>
      </w:r>
      <w:r w:rsidR="00A8146A">
        <w:rPr>
          <w:rFonts w:asciiTheme="majorHAnsi" w:eastAsia="Calibri" w:hAnsiTheme="majorHAnsi" w:cstheme="majorHAnsi"/>
          <w:sz w:val="23"/>
          <w:szCs w:val="23"/>
        </w:rPr>
        <w:t>,</w:t>
      </w:r>
      <w:r w:rsidR="00F00E3D" w:rsidRPr="00925B9D">
        <w:rPr>
          <w:rFonts w:asciiTheme="majorHAnsi" w:eastAsia="Calibri" w:hAnsiTheme="majorHAnsi" w:cstheme="majorHAnsi"/>
          <w:sz w:val="23"/>
          <w:szCs w:val="23"/>
        </w:rPr>
        <w:t xml:space="preserve"> especially those in their 20s</w:t>
      </w:r>
      <w:r w:rsidR="006A7CC2">
        <w:rPr>
          <w:rFonts w:asciiTheme="majorHAnsi" w:eastAsia="Calibri" w:hAnsiTheme="majorHAnsi" w:cstheme="majorHAnsi"/>
          <w:sz w:val="23"/>
          <w:szCs w:val="23"/>
        </w:rPr>
        <w:t>,</w:t>
      </w:r>
      <w:r w:rsidR="00F00E3D" w:rsidRPr="00925B9D">
        <w:rPr>
          <w:rFonts w:asciiTheme="majorHAnsi" w:eastAsia="Calibri" w:hAnsiTheme="majorHAnsi" w:cstheme="majorHAnsi"/>
          <w:sz w:val="23"/>
          <w:szCs w:val="23"/>
        </w:rPr>
        <w:t xml:space="preserve"> are being </w:t>
      </w:r>
      <w:r w:rsidR="00F00E3D">
        <w:rPr>
          <w:rFonts w:asciiTheme="majorHAnsi" w:eastAsia="Calibri" w:hAnsiTheme="majorHAnsi" w:cstheme="majorHAnsi"/>
          <w:sz w:val="23"/>
          <w:szCs w:val="23"/>
        </w:rPr>
        <w:t xml:space="preserve">disproportionally </w:t>
      </w:r>
      <w:r w:rsidR="006A7CC2" w:rsidRPr="00925B9D">
        <w:rPr>
          <w:rFonts w:asciiTheme="majorHAnsi" w:eastAsia="Calibri" w:hAnsiTheme="majorHAnsi" w:cstheme="majorHAnsi"/>
          <w:sz w:val="23"/>
          <w:szCs w:val="23"/>
        </w:rPr>
        <w:t xml:space="preserve">exposed </w:t>
      </w:r>
      <w:r w:rsidR="00F00E3D" w:rsidRPr="00925B9D">
        <w:rPr>
          <w:rFonts w:asciiTheme="majorHAnsi" w:eastAsia="Calibri" w:hAnsiTheme="majorHAnsi" w:cstheme="majorHAnsi"/>
          <w:sz w:val="23"/>
          <w:szCs w:val="23"/>
        </w:rPr>
        <w:t>to the economic fallout</w:t>
      </w:r>
      <w:r w:rsidR="00F00E3D">
        <w:rPr>
          <w:rFonts w:asciiTheme="majorHAnsi" w:eastAsia="Calibri" w:hAnsiTheme="majorHAnsi" w:cstheme="majorHAnsi"/>
          <w:sz w:val="23"/>
          <w:szCs w:val="23"/>
        </w:rPr>
        <w:t xml:space="preserve"> </w:t>
      </w:r>
      <w:r w:rsidR="00F00E3D">
        <w:rPr>
          <w:rFonts w:asciiTheme="majorHAnsi" w:eastAsia="Calibri" w:hAnsiTheme="majorHAnsi" w:cstheme="majorHAnsi"/>
          <w:noProof/>
          <w:sz w:val="23"/>
          <w:szCs w:val="23"/>
        </w:rPr>
        <w:t>(Churchill, 2020)</w:t>
      </w:r>
      <w:r w:rsidR="00F00E3D">
        <w:rPr>
          <w:rFonts w:asciiTheme="majorHAnsi" w:eastAsia="Calibri" w:hAnsiTheme="majorHAnsi" w:cstheme="majorHAnsi"/>
          <w:sz w:val="23"/>
          <w:szCs w:val="23"/>
        </w:rPr>
        <w:t>.</w:t>
      </w:r>
    </w:p>
    <w:p w14:paraId="61305C31" w14:textId="77777777" w:rsidR="00F00E3D" w:rsidRPr="006A7CC2" w:rsidRDefault="00F00E3D" w:rsidP="004D51EB">
      <w:pPr>
        <w:spacing w:after="0" w:line="276" w:lineRule="auto"/>
        <w:rPr>
          <w:rFonts w:ascii="Calibri Light" w:eastAsia="Calibri" w:hAnsi="Calibri Light" w:cs="Calibri Light"/>
          <w:sz w:val="16"/>
          <w:szCs w:val="16"/>
        </w:rPr>
      </w:pPr>
    </w:p>
    <w:p w14:paraId="174D9DA5" w14:textId="265B501B" w:rsidR="00F00E3D" w:rsidRPr="003710F5" w:rsidRDefault="00C41CBF" w:rsidP="004D51EB">
      <w:pPr>
        <w:spacing w:line="276" w:lineRule="auto"/>
        <w:rPr>
          <w:rFonts w:eastAsia="Calibri" w:cstheme="minorHAnsi"/>
          <w:b/>
          <w:color w:val="2F5496" w:themeColor="accent1" w:themeShade="BF"/>
          <w:sz w:val="25"/>
          <w:szCs w:val="25"/>
        </w:rPr>
      </w:pPr>
      <w:r w:rsidRPr="003710F5">
        <w:rPr>
          <w:rFonts w:eastAsia="Calibri" w:cstheme="minorHAnsi"/>
          <w:b/>
          <w:color w:val="2F5496" w:themeColor="accent1" w:themeShade="BF"/>
          <w:sz w:val="25"/>
          <w:szCs w:val="25"/>
        </w:rPr>
        <w:t xml:space="preserve">6.1.4 </w:t>
      </w:r>
      <w:r w:rsidR="00F00E3D" w:rsidRPr="003710F5">
        <w:rPr>
          <w:rFonts w:eastAsia="Calibri" w:cstheme="minorHAnsi"/>
          <w:b/>
          <w:color w:val="2F5496" w:themeColor="accent1" w:themeShade="BF"/>
          <w:sz w:val="25"/>
          <w:szCs w:val="25"/>
        </w:rPr>
        <w:t xml:space="preserve">Health </w:t>
      </w:r>
      <w:r w:rsidR="00BD1BD4" w:rsidRPr="003710F5">
        <w:rPr>
          <w:rFonts w:eastAsia="Calibri" w:cstheme="minorHAnsi"/>
          <w:b/>
          <w:color w:val="2F5496" w:themeColor="accent1" w:themeShade="BF"/>
          <w:sz w:val="25"/>
          <w:szCs w:val="25"/>
        </w:rPr>
        <w:t>and</w:t>
      </w:r>
      <w:r w:rsidR="00F00E3D" w:rsidRPr="003710F5">
        <w:rPr>
          <w:rFonts w:eastAsia="Calibri" w:cstheme="minorHAnsi"/>
          <w:b/>
          <w:color w:val="2F5496" w:themeColor="accent1" w:themeShade="BF"/>
          <w:sz w:val="25"/>
          <w:szCs w:val="25"/>
        </w:rPr>
        <w:t xml:space="preserve"> Wellbeing</w:t>
      </w:r>
    </w:p>
    <w:p w14:paraId="17A56E41" w14:textId="2B0D007E" w:rsidR="00F00E3D" w:rsidRPr="00DD331C" w:rsidRDefault="00940D80" w:rsidP="004D51EB">
      <w:pPr>
        <w:spacing w:line="276" w:lineRule="auto"/>
        <w:rPr>
          <w:rFonts w:ascii="Calibri Light" w:eastAsia="Calibri" w:hAnsi="Calibri Light" w:cs="Calibri Light"/>
          <w:sz w:val="23"/>
          <w:szCs w:val="23"/>
        </w:rPr>
      </w:pPr>
      <w:r w:rsidRPr="00FE05FC">
        <w:rPr>
          <w:rFonts w:ascii="Calibri Light" w:eastAsia="Calibri" w:hAnsi="Calibri Light" w:cs="Calibri Light"/>
          <w:sz w:val="23"/>
          <w:szCs w:val="23"/>
        </w:rPr>
        <w:t>COVID</w:t>
      </w:r>
      <w:r w:rsidR="00F00E3D" w:rsidRPr="00FE05FC">
        <w:rPr>
          <w:rFonts w:ascii="Calibri Light" w:eastAsia="Calibri" w:hAnsi="Calibri Light" w:cs="Calibri Light"/>
          <w:sz w:val="23"/>
          <w:szCs w:val="23"/>
        </w:rPr>
        <w:t xml:space="preserve">-19 has </w:t>
      </w:r>
      <w:r w:rsidR="00FE05FC">
        <w:rPr>
          <w:rFonts w:ascii="Calibri Light" w:eastAsia="Calibri" w:hAnsi="Calibri Light" w:cs="Calibri Light"/>
          <w:sz w:val="23"/>
          <w:szCs w:val="23"/>
        </w:rPr>
        <w:t xml:space="preserve">both highlighted and </w:t>
      </w:r>
      <w:r w:rsidR="002E325C">
        <w:rPr>
          <w:rFonts w:ascii="Calibri Light" w:eastAsia="Calibri" w:hAnsi="Calibri Light" w:cs="Calibri Light"/>
          <w:sz w:val="23"/>
          <w:szCs w:val="23"/>
        </w:rPr>
        <w:t xml:space="preserve">amplified </w:t>
      </w:r>
      <w:r w:rsidR="00FE05FC">
        <w:rPr>
          <w:rFonts w:ascii="Calibri Light" w:eastAsia="Calibri" w:hAnsi="Calibri Light" w:cs="Calibri Light"/>
          <w:sz w:val="23"/>
          <w:szCs w:val="23"/>
        </w:rPr>
        <w:t>the link between socioeconomic disadvantage and</w:t>
      </w:r>
      <w:r w:rsidR="00F00E3D" w:rsidRPr="00FE05FC">
        <w:rPr>
          <w:rFonts w:ascii="Calibri Light" w:eastAsia="Calibri" w:hAnsi="Calibri Light" w:cs="Calibri Light"/>
          <w:sz w:val="23"/>
          <w:szCs w:val="23"/>
        </w:rPr>
        <w:t xml:space="preserve"> health</w:t>
      </w:r>
      <w:r w:rsidR="00FE05FC">
        <w:rPr>
          <w:rFonts w:ascii="Calibri Light" w:eastAsia="Calibri" w:hAnsi="Calibri Light" w:cs="Calibri Light"/>
          <w:sz w:val="23"/>
          <w:szCs w:val="23"/>
        </w:rPr>
        <w:t xml:space="preserve"> inequalities</w:t>
      </w:r>
      <w:r w:rsidR="00F00E3D" w:rsidRPr="00FE05FC">
        <w:rPr>
          <w:rFonts w:ascii="Calibri Light" w:eastAsia="Calibri" w:hAnsi="Calibri Light" w:cs="Calibri Light"/>
          <w:sz w:val="23"/>
          <w:szCs w:val="23"/>
        </w:rPr>
        <w:t xml:space="preserve">. </w:t>
      </w:r>
      <w:r w:rsidR="002E325C">
        <w:rPr>
          <w:rFonts w:ascii="Calibri Light" w:eastAsia="Calibri" w:hAnsi="Calibri Light" w:cs="Calibri Light"/>
          <w:sz w:val="23"/>
          <w:szCs w:val="23"/>
        </w:rPr>
        <w:t>In the early months of the pandemic the</w:t>
      </w:r>
      <w:r w:rsidR="00F00E3D" w:rsidRPr="00FE05FC">
        <w:rPr>
          <w:rFonts w:ascii="Calibri Light" w:eastAsia="Calibri" w:hAnsi="Calibri Light" w:cs="Calibri Light"/>
          <w:sz w:val="23"/>
          <w:szCs w:val="23"/>
        </w:rPr>
        <w:t xml:space="preserve"> United Nations (UN)</w:t>
      </w:r>
      <w:r w:rsidR="00F00E3D" w:rsidRPr="00DD331C">
        <w:rPr>
          <w:rFonts w:ascii="Calibri Light" w:eastAsia="Calibri" w:hAnsi="Calibri Light" w:cs="Calibri Light"/>
          <w:sz w:val="23"/>
          <w:szCs w:val="23"/>
        </w:rPr>
        <w:t xml:space="preserve"> and the International Monetary Fund (IMF) predict</w:t>
      </w:r>
      <w:r w:rsidR="002E325C">
        <w:rPr>
          <w:rFonts w:ascii="Calibri Light" w:eastAsia="Calibri" w:hAnsi="Calibri Light" w:cs="Calibri Light"/>
          <w:sz w:val="23"/>
          <w:szCs w:val="23"/>
        </w:rPr>
        <w:t>ed</w:t>
      </w:r>
      <w:r w:rsidR="00F00E3D" w:rsidRPr="00DD331C">
        <w:rPr>
          <w:rFonts w:ascii="Calibri Light" w:eastAsia="Calibri" w:hAnsi="Calibri Light" w:cs="Calibri Light"/>
          <w:sz w:val="23"/>
          <w:szCs w:val="23"/>
        </w:rPr>
        <w:t xml:space="preserve"> </w:t>
      </w:r>
      <w:r w:rsidR="002E325C">
        <w:rPr>
          <w:rFonts w:ascii="Calibri Light" w:eastAsia="Calibri" w:hAnsi="Calibri Light" w:cs="Calibri Light"/>
          <w:sz w:val="23"/>
          <w:szCs w:val="23"/>
        </w:rPr>
        <w:t>it would</w:t>
      </w:r>
      <w:r w:rsidR="00F00E3D" w:rsidRPr="00DD331C">
        <w:rPr>
          <w:rFonts w:ascii="Calibri Light" w:eastAsia="Calibri" w:hAnsi="Calibri Light" w:cs="Calibri Light"/>
          <w:sz w:val="23"/>
          <w:szCs w:val="23"/>
        </w:rPr>
        <w:t xml:space="preserve"> increase inequality around the world, with an additional eight </w:t>
      </w:r>
      <w:r w:rsidR="00065A1B">
        <w:rPr>
          <w:rFonts w:ascii="Calibri Light" w:eastAsia="Calibri" w:hAnsi="Calibri Light" w:cs="Calibri Light"/>
          <w:sz w:val="23"/>
          <w:szCs w:val="23"/>
        </w:rPr>
        <w:t>percent</w:t>
      </w:r>
      <w:r w:rsidR="00F00E3D" w:rsidRPr="00DD331C">
        <w:rPr>
          <w:rFonts w:ascii="Calibri Light" w:eastAsia="Calibri" w:hAnsi="Calibri Light" w:cs="Calibri Light"/>
          <w:sz w:val="23"/>
          <w:szCs w:val="23"/>
        </w:rPr>
        <w:t xml:space="preserve"> of the global population expected to fall into poverty. Groups who </w:t>
      </w:r>
      <w:r w:rsidR="00561214">
        <w:rPr>
          <w:rFonts w:ascii="Calibri Light" w:eastAsia="Calibri" w:hAnsi="Calibri Light" w:cs="Calibri Light"/>
          <w:sz w:val="23"/>
          <w:szCs w:val="23"/>
        </w:rPr>
        <w:t>have proven more</w:t>
      </w:r>
      <w:r w:rsidR="00F00E3D" w:rsidRPr="00DD331C">
        <w:rPr>
          <w:rFonts w:ascii="Calibri Light" w:eastAsia="Calibri" w:hAnsi="Calibri Light" w:cs="Calibri Light"/>
          <w:sz w:val="23"/>
          <w:szCs w:val="23"/>
        </w:rPr>
        <w:t xml:space="preserve"> vulnerable to </w:t>
      </w:r>
      <w:r w:rsidR="00561214">
        <w:rPr>
          <w:rFonts w:ascii="Calibri Light" w:eastAsia="Calibri" w:hAnsi="Calibri Light" w:cs="Calibri Light"/>
          <w:sz w:val="23"/>
          <w:szCs w:val="23"/>
        </w:rPr>
        <w:t xml:space="preserve">health impacts from </w:t>
      </w:r>
      <w:r>
        <w:rPr>
          <w:rFonts w:ascii="Calibri Light" w:eastAsia="Calibri" w:hAnsi="Calibri Light" w:cs="Calibri Light"/>
          <w:sz w:val="23"/>
          <w:szCs w:val="23"/>
        </w:rPr>
        <w:t>COVID</w:t>
      </w:r>
      <w:r w:rsidR="00F00E3D" w:rsidRPr="00DD331C">
        <w:rPr>
          <w:rFonts w:ascii="Calibri Light" w:eastAsia="Calibri" w:hAnsi="Calibri Light" w:cs="Calibri Light"/>
          <w:sz w:val="23"/>
          <w:szCs w:val="23"/>
        </w:rPr>
        <w:t>-19 include people living in poverty, low-income households, people in insecure or casual work, female and migrant workers, the elderly, youth, Indigenous peoples, refugees, ethnic minorities, people experiencing homelessness, people with disabilities or chronic illness, those with pre-existing health conditions</w:t>
      </w:r>
      <w:r w:rsidR="00786EBF">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and people who are digitally excluded </w:t>
      </w:r>
      <w:r w:rsidR="00F00E3D" w:rsidRPr="00DD331C">
        <w:rPr>
          <w:rFonts w:ascii="Calibri Light" w:eastAsia="Calibri" w:hAnsi="Calibri Light" w:cs="Calibri Light"/>
          <w:noProof/>
          <w:sz w:val="23"/>
          <w:szCs w:val="23"/>
        </w:rPr>
        <w:t>(Kabir, Afzal, Khan, &amp; Ahmed, 2020; OECD, 2020; United Nations, 2020)</w:t>
      </w:r>
      <w:r w:rsidR="00F00E3D" w:rsidRPr="00DD331C">
        <w:rPr>
          <w:rFonts w:ascii="Calibri Light" w:eastAsia="Calibri" w:hAnsi="Calibri Light" w:cs="Calibri Light"/>
          <w:sz w:val="23"/>
          <w:szCs w:val="23"/>
        </w:rPr>
        <w:t xml:space="preserve">. </w:t>
      </w:r>
      <w:r w:rsidR="00075634">
        <w:rPr>
          <w:rFonts w:ascii="Calibri Light" w:eastAsia="Calibri" w:hAnsi="Calibri Light" w:cs="Calibri Light"/>
          <w:sz w:val="23"/>
          <w:szCs w:val="23"/>
        </w:rPr>
        <w:t>D</w:t>
      </w:r>
      <w:r w:rsidR="00075634" w:rsidRPr="00DD331C">
        <w:rPr>
          <w:rFonts w:ascii="Calibri Light" w:eastAsia="Calibri" w:hAnsi="Calibri Light" w:cs="Calibri Light"/>
          <w:sz w:val="23"/>
          <w:szCs w:val="23"/>
        </w:rPr>
        <w:t>uring Australia’s lockdown</w:t>
      </w:r>
      <w:r w:rsidR="00075634">
        <w:rPr>
          <w:rFonts w:ascii="Calibri Light" w:eastAsia="Calibri" w:hAnsi="Calibri Light" w:cs="Calibri Light"/>
          <w:sz w:val="23"/>
          <w:szCs w:val="23"/>
        </w:rPr>
        <w:t>s t</w:t>
      </w:r>
      <w:r w:rsidR="00F00E3D" w:rsidRPr="00DD331C">
        <w:rPr>
          <w:rFonts w:ascii="Calibri Light" w:eastAsia="Calibri" w:hAnsi="Calibri Light" w:cs="Calibri Light"/>
          <w:sz w:val="23"/>
          <w:szCs w:val="23"/>
        </w:rPr>
        <w:t xml:space="preserve">here </w:t>
      </w:r>
      <w:r w:rsidR="00786EBF">
        <w:rPr>
          <w:rFonts w:ascii="Calibri Light" w:eastAsia="Calibri" w:hAnsi="Calibri Light" w:cs="Calibri Light"/>
          <w:sz w:val="23"/>
          <w:szCs w:val="23"/>
        </w:rPr>
        <w:t>was also a</w:t>
      </w:r>
      <w:r w:rsidR="00F00E3D" w:rsidRPr="00DD331C">
        <w:rPr>
          <w:rFonts w:ascii="Calibri Light" w:eastAsia="Calibri" w:hAnsi="Calibri Light" w:cs="Calibri Light"/>
          <w:sz w:val="23"/>
          <w:szCs w:val="23"/>
        </w:rPr>
        <w:t xml:space="preserve"> reported spike in family and domestic violence </w:t>
      </w:r>
      <w:r w:rsidR="00F00E3D" w:rsidRPr="00DD331C">
        <w:rPr>
          <w:rFonts w:ascii="Calibri Light" w:eastAsia="Calibri" w:hAnsi="Calibri Light" w:cs="Calibri Light"/>
          <w:noProof/>
          <w:sz w:val="23"/>
          <w:szCs w:val="23"/>
        </w:rPr>
        <w:t>(Usher</w:t>
      </w:r>
      <w:r w:rsidR="005E16FE">
        <w:rPr>
          <w:rFonts w:ascii="Calibri Light" w:eastAsia="Calibri" w:hAnsi="Calibri Light" w:cs="Calibri Light"/>
          <w:noProof/>
          <w:sz w:val="23"/>
          <w:szCs w:val="23"/>
        </w:rPr>
        <w:t xml:space="preserve"> et al.</w:t>
      </w:r>
      <w:r w:rsidR="00F00E3D" w:rsidRPr="00DD331C">
        <w:rPr>
          <w:rFonts w:ascii="Calibri Light" w:eastAsia="Calibri" w:hAnsi="Calibri Light" w:cs="Calibri Light"/>
          <w:noProof/>
          <w:sz w:val="23"/>
          <w:szCs w:val="23"/>
        </w:rPr>
        <w:t>, 2020)</w:t>
      </w:r>
      <w:r w:rsidR="00F00E3D" w:rsidRPr="00DD331C">
        <w:rPr>
          <w:rFonts w:ascii="Calibri Light" w:eastAsia="Calibri" w:hAnsi="Calibri Light" w:cs="Calibri Light"/>
          <w:sz w:val="23"/>
          <w:szCs w:val="23"/>
        </w:rPr>
        <w:t>.</w:t>
      </w:r>
    </w:p>
    <w:p w14:paraId="408366A4" w14:textId="7D30E3A3" w:rsidR="00F00E3D" w:rsidRPr="00DD331C" w:rsidRDefault="00F00E3D" w:rsidP="004D51EB">
      <w:pPr>
        <w:spacing w:line="276" w:lineRule="auto"/>
        <w:rPr>
          <w:rFonts w:asciiTheme="majorHAnsi" w:eastAsiaTheme="majorEastAsia" w:hAnsiTheme="majorHAnsi" w:cstheme="majorBidi"/>
          <w:sz w:val="23"/>
          <w:szCs w:val="23"/>
        </w:rPr>
      </w:pPr>
      <w:r w:rsidRPr="00DD331C">
        <w:rPr>
          <w:rFonts w:ascii="Calibri Light" w:eastAsia="Calibri" w:hAnsi="Calibri Light" w:cs="Calibri Light"/>
          <w:sz w:val="23"/>
          <w:szCs w:val="23"/>
        </w:rPr>
        <w:t xml:space="preserve">While the pandemic has exposed </w:t>
      </w:r>
      <w:r w:rsidR="00D26011">
        <w:rPr>
          <w:rFonts w:ascii="Calibri Light" w:eastAsia="Calibri" w:hAnsi="Calibri Light" w:cs="Calibri Light"/>
          <w:sz w:val="23"/>
          <w:szCs w:val="23"/>
        </w:rPr>
        <w:t xml:space="preserve">major </w:t>
      </w:r>
      <w:r w:rsidRPr="00DD331C">
        <w:rPr>
          <w:rFonts w:ascii="Calibri Light" w:eastAsia="Calibri" w:hAnsi="Calibri Light" w:cs="Calibri Light"/>
          <w:sz w:val="23"/>
          <w:szCs w:val="23"/>
        </w:rPr>
        <w:t xml:space="preserve">vulnerabilities in the health sector, </w:t>
      </w:r>
      <w:r w:rsidR="00A80D75">
        <w:rPr>
          <w:rFonts w:ascii="Calibri Light" w:eastAsia="Calibri" w:hAnsi="Calibri Light" w:cs="Calibri Light"/>
          <w:sz w:val="23"/>
          <w:szCs w:val="23"/>
        </w:rPr>
        <w:t>one study found it also</w:t>
      </w:r>
      <w:r w:rsidRPr="00DD331C">
        <w:rPr>
          <w:rFonts w:ascii="Calibri Light" w:eastAsia="Calibri" w:hAnsi="Calibri Light" w:cs="Calibri Light"/>
          <w:sz w:val="23"/>
          <w:szCs w:val="23"/>
        </w:rPr>
        <w:t xml:space="preserve"> </w:t>
      </w:r>
      <w:r w:rsidR="00A80D75">
        <w:rPr>
          <w:rFonts w:ascii="Calibri Light" w:eastAsia="Calibri" w:hAnsi="Calibri Light" w:cs="Calibri Light"/>
          <w:sz w:val="23"/>
          <w:szCs w:val="23"/>
        </w:rPr>
        <w:t>prompted</w:t>
      </w:r>
      <w:r w:rsidRPr="00DD331C">
        <w:rPr>
          <w:rFonts w:ascii="Calibri Light" w:eastAsia="Calibri" w:hAnsi="Calibri Light" w:cs="Calibri Light"/>
          <w:sz w:val="23"/>
          <w:szCs w:val="23"/>
        </w:rPr>
        <w:t xml:space="preserve"> a 14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increase in Australians’ use of telemedicine, with 15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of people keen to continue using this mode of service delivery </w:t>
      </w:r>
      <w:r w:rsidR="008C4D2E">
        <w:rPr>
          <w:rFonts w:ascii="Calibri Light" w:eastAsia="Calibri" w:hAnsi="Calibri Light" w:cs="Calibri Light"/>
          <w:sz w:val="23"/>
          <w:szCs w:val="23"/>
        </w:rPr>
        <w:t>after the crisis passes</w:t>
      </w:r>
      <w:r w:rsidRPr="00DD331C">
        <w:rPr>
          <w:rFonts w:ascii="Calibri Light" w:eastAsia="Calibri" w:hAnsi="Calibri Light" w:cs="Calibri Light"/>
          <w:sz w:val="23"/>
          <w:szCs w:val="23"/>
        </w:rPr>
        <w:t xml:space="preserve"> </w:t>
      </w:r>
      <w:r w:rsidRPr="00DD331C">
        <w:rPr>
          <w:rFonts w:ascii="Calibri Light" w:eastAsia="Calibri" w:hAnsi="Calibri Light" w:cs="Calibri Light"/>
          <w:noProof/>
          <w:sz w:val="23"/>
          <w:szCs w:val="23"/>
        </w:rPr>
        <w:t>(McKinsey &amp; Company, 2020)</w:t>
      </w:r>
      <w:r w:rsidRPr="00DD331C">
        <w:rPr>
          <w:rFonts w:ascii="Calibri Light" w:eastAsia="Calibri" w:hAnsi="Calibri Light" w:cs="Calibri Light"/>
          <w:sz w:val="23"/>
          <w:szCs w:val="23"/>
        </w:rPr>
        <w:t xml:space="preserve">. However, telemedicine is likely to remain out of reach for digitally excluded Australians, including many older people </w:t>
      </w:r>
      <w:r w:rsidRPr="00DD331C">
        <w:rPr>
          <w:rFonts w:ascii="Calibri Light" w:eastAsia="Calibri" w:hAnsi="Calibri Light" w:cs="Calibri Light"/>
          <w:noProof/>
          <w:sz w:val="23"/>
          <w:szCs w:val="23"/>
        </w:rPr>
        <w:t>(Thomas et al., 2016)</w:t>
      </w:r>
      <w:r w:rsidR="0025613B">
        <w:rPr>
          <w:rFonts w:ascii="Calibri Light" w:eastAsia="Calibri" w:hAnsi="Calibri Light" w:cs="Calibri Light"/>
          <w:sz w:val="23"/>
          <w:szCs w:val="23"/>
        </w:rPr>
        <w:t>.</w:t>
      </w:r>
      <w:r w:rsidR="00A80D75">
        <w:rPr>
          <w:rFonts w:ascii="Calibri Light" w:eastAsia="Calibri" w:hAnsi="Calibri Light" w:cs="Calibri Light"/>
          <w:sz w:val="23"/>
          <w:szCs w:val="23"/>
        </w:rPr>
        <w:t xml:space="preserve"> </w:t>
      </w:r>
      <w:r w:rsidR="00297832">
        <w:rPr>
          <w:rFonts w:ascii="Calibri Light" w:eastAsia="Calibri" w:hAnsi="Calibri Light" w:cs="Calibri Light"/>
          <w:sz w:val="23"/>
          <w:szCs w:val="23"/>
        </w:rPr>
        <w:t>COVID-19</w:t>
      </w:r>
      <w:r w:rsidR="004960D8">
        <w:rPr>
          <w:rFonts w:ascii="Calibri Light" w:eastAsia="Calibri" w:hAnsi="Calibri Light" w:cs="Calibri Light"/>
          <w:sz w:val="23"/>
          <w:szCs w:val="23"/>
        </w:rPr>
        <w:t xml:space="preserve"> </w:t>
      </w:r>
      <w:r w:rsidR="008C4D2E">
        <w:rPr>
          <w:rFonts w:ascii="Calibri Light" w:eastAsia="Calibri" w:hAnsi="Calibri Light" w:cs="Calibri Light"/>
          <w:sz w:val="23"/>
          <w:szCs w:val="23"/>
        </w:rPr>
        <w:t xml:space="preserve">has </w:t>
      </w:r>
      <w:r w:rsidR="0025613B">
        <w:rPr>
          <w:rFonts w:ascii="Calibri Light" w:eastAsia="Calibri" w:hAnsi="Calibri Light" w:cs="Calibri Light"/>
          <w:sz w:val="23"/>
          <w:szCs w:val="23"/>
        </w:rPr>
        <w:t xml:space="preserve">also </w:t>
      </w:r>
      <w:r w:rsidR="004960D8">
        <w:rPr>
          <w:rFonts w:ascii="Calibri Light" w:eastAsia="Calibri" w:hAnsi="Calibri Light" w:cs="Calibri Light"/>
          <w:sz w:val="23"/>
          <w:szCs w:val="23"/>
        </w:rPr>
        <w:t xml:space="preserve">caused a </w:t>
      </w:r>
      <w:r w:rsidRPr="00DD331C">
        <w:rPr>
          <w:rFonts w:ascii="Calibri Light" w:eastAsia="Calibri" w:hAnsi="Calibri Light" w:cs="Calibri Light"/>
          <w:sz w:val="23"/>
          <w:szCs w:val="23"/>
        </w:rPr>
        <w:t xml:space="preserve">worrying drop in GP visits, medical tests, and scheduled health check-ups </w:t>
      </w:r>
      <w:r w:rsidR="004960D8">
        <w:rPr>
          <w:rFonts w:ascii="Calibri Light" w:eastAsia="Calibri" w:hAnsi="Calibri Light" w:cs="Calibri Light"/>
          <w:sz w:val="23"/>
          <w:szCs w:val="23"/>
        </w:rPr>
        <w:t>in 2020</w:t>
      </w:r>
      <w:r w:rsidRPr="00DD331C">
        <w:rPr>
          <w:rFonts w:ascii="Calibri Light" w:eastAsia="Calibri" w:hAnsi="Calibri Light" w:cs="Calibri Light"/>
          <w:sz w:val="23"/>
          <w:szCs w:val="23"/>
        </w:rPr>
        <w:t xml:space="preserve"> </w:t>
      </w:r>
      <w:r w:rsidRPr="00DD331C">
        <w:rPr>
          <w:rFonts w:ascii="Calibri Light" w:eastAsia="Calibri" w:hAnsi="Calibri Light" w:cs="Calibri Light"/>
          <w:noProof/>
          <w:sz w:val="23"/>
          <w:szCs w:val="23"/>
        </w:rPr>
        <w:t>(Tsirtsakis, 2020)</w:t>
      </w:r>
      <w:r w:rsidRPr="00DD331C">
        <w:rPr>
          <w:rFonts w:ascii="Calibri Light" w:eastAsia="Calibri" w:hAnsi="Calibri Light" w:cs="Calibri Light"/>
          <w:sz w:val="23"/>
          <w:szCs w:val="23"/>
        </w:rPr>
        <w:t xml:space="preserve">. Despite the availability of telehealth, many services delivered via the public health system were suspended for months, </w:t>
      </w:r>
      <w:r w:rsidR="00B6018F">
        <w:rPr>
          <w:rFonts w:ascii="Calibri Light" w:eastAsia="Calibri" w:hAnsi="Calibri Light" w:cs="Calibri Light"/>
          <w:sz w:val="23"/>
          <w:szCs w:val="23"/>
        </w:rPr>
        <w:t>causing a knock-on effect</w:t>
      </w:r>
      <w:r w:rsidRPr="00DD331C">
        <w:rPr>
          <w:rFonts w:ascii="Calibri Light" w:eastAsia="Calibri" w:hAnsi="Calibri Light" w:cs="Calibri Light"/>
          <w:sz w:val="23"/>
          <w:szCs w:val="23"/>
        </w:rPr>
        <w:t xml:space="preserve"> on waiting lists and potentially </w:t>
      </w:r>
      <w:r w:rsidR="00B6018F">
        <w:rPr>
          <w:rFonts w:ascii="Calibri Light" w:eastAsia="Calibri" w:hAnsi="Calibri Light" w:cs="Calibri Light"/>
          <w:sz w:val="23"/>
          <w:szCs w:val="23"/>
        </w:rPr>
        <w:t xml:space="preserve">compromising </w:t>
      </w:r>
      <w:r w:rsidRPr="00DD331C">
        <w:rPr>
          <w:rFonts w:ascii="Calibri Light" w:eastAsia="Calibri" w:hAnsi="Calibri Light" w:cs="Calibri Light"/>
          <w:sz w:val="23"/>
          <w:szCs w:val="23"/>
        </w:rPr>
        <w:t xml:space="preserve">detection and early intervention for serious illnesses </w:t>
      </w:r>
      <w:r w:rsidRPr="00DD331C">
        <w:rPr>
          <w:rFonts w:ascii="Calibri Light" w:eastAsia="Calibri" w:hAnsi="Calibri Light" w:cs="Calibri Light"/>
          <w:noProof/>
          <w:sz w:val="23"/>
          <w:szCs w:val="23"/>
        </w:rPr>
        <w:t>(Wright</w:t>
      </w:r>
      <w:r w:rsidR="00297832">
        <w:rPr>
          <w:rFonts w:ascii="Calibri Light" w:eastAsia="Calibri" w:hAnsi="Calibri Light" w:cs="Calibri Light"/>
          <w:noProof/>
          <w:sz w:val="23"/>
          <w:szCs w:val="23"/>
        </w:rPr>
        <w:t xml:space="preserve"> et al.</w:t>
      </w:r>
      <w:r w:rsidRPr="00DD331C">
        <w:rPr>
          <w:rFonts w:ascii="Calibri Light" w:eastAsia="Calibri" w:hAnsi="Calibri Light" w:cs="Calibri Light"/>
          <w:noProof/>
          <w:sz w:val="23"/>
          <w:szCs w:val="23"/>
        </w:rPr>
        <w:t>, 2020)</w:t>
      </w:r>
      <w:r w:rsidRPr="00DD331C">
        <w:rPr>
          <w:rFonts w:ascii="Calibri Light" w:eastAsia="Calibri" w:hAnsi="Calibri Light" w:cs="Calibri Light"/>
          <w:sz w:val="23"/>
          <w:szCs w:val="23"/>
        </w:rPr>
        <w:t>.</w:t>
      </w:r>
    </w:p>
    <w:p w14:paraId="0C056FCF" w14:textId="34BC0250" w:rsidR="00F00E3D" w:rsidRPr="00DD331C" w:rsidRDefault="00F00E3D" w:rsidP="004D51EB">
      <w:pPr>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lastRenderedPageBreak/>
        <w:t xml:space="preserve">Mental health </w:t>
      </w:r>
      <w:r w:rsidR="00D26011">
        <w:rPr>
          <w:rFonts w:ascii="Calibri Light" w:eastAsia="Calibri" w:hAnsi="Calibri Light" w:cs="Calibri Light"/>
          <w:sz w:val="23"/>
          <w:szCs w:val="23"/>
        </w:rPr>
        <w:t>looks set to</w:t>
      </w:r>
      <w:r w:rsidRPr="00DD331C">
        <w:rPr>
          <w:rFonts w:ascii="Calibri Light" w:eastAsia="Calibri" w:hAnsi="Calibri Light" w:cs="Calibri Light"/>
          <w:sz w:val="23"/>
          <w:szCs w:val="23"/>
        </w:rPr>
        <w:t xml:space="preserve"> present significant and ongoing public health concerns. </w:t>
      </w:r>
      <w:r w:rsidR="003F1CF6">
        <w:rPr>
          <w:rFonts w:ascii="Calibri Light" w:eastAsia="Calibri" w:hAnsi="Calibri Light" w:cs="Calibri Light"/>
          <w:sz w:val="23"/>
          <w:szCs w:val="23"/>
        </w:rPr>
        <w:t>S</w:t>
      </w:r>
      <w:r w:rsidRPr="00DD331C">
        <w:rPr>
          <w:rFonts w:ascii="Calibri Light" w:eastAsia="Calibri" w:hAnsi="Calibri Light" w:cs="Calibri Light"/>
          <w:sz w:val="23"/>
          <w:szCs w:val="23"/>
        </w:rPr>
        <w:t>ocial psychologists warn that for many vulnerable groups</w:t>
      </w:r>
      <w:r w:rsidR="0077483A" w:rsidRPr="0077483A">
        <w:rPr>
          <w:rFonts w:ascii="Calibri Light" w:eastAsia="Calibri" w:hAnsi="Calibri Light" w:cs="Calibri Light"/>
          <w:sz w:val="23"/>
          <w:szCs w:val="23"/>
        </w:rPr>
        <w:t xml:space="preserve"> </w:t>
      </w:r>
      <w:r w:rsidR="0077483A">
        <w:rPr>
          <w:rFonts w:ascii="Calibri Light" w:eastAsia="Calibri" w:hAnsi="Calibri Light" w:cs="Calibri Light"/>
          <w:sz w:val="23"/>
          <w:szCs w:val="23"/>
        </w:rPr>
        <w:t xml:space="preserve">the pandemic has </w:t>
      </w:r>
      <w:r w:rsidR="0077483A" w:rsidRPr="00DD331C">
        <w:rPr>
          <w:rFonts w:ascii="Calibri Light" w:eastAsia="Calibri" w:hAnsi="Calibri Light" w:cs="Calibri Light"/>
          <w:sz w:val="23"/>
          <w:szCs w:val="23"/>
        </w:rPr>
        <w:t>increased social isolation</w:t>
      </w:r>
      <w:r w:rsidRPr="00DD331C">
        <w:rPr>
          <w:rFonts w:ascii="Calibri Light" w:eastAsia="Calibri" w:hAnsi="Calibri Light" w:cs="Calibri Light"/>
          <w:sz w:val="23"/>
          <w:szCs w:val="23"/>
        </w:rPr>
        <w:t xml:space="preserve">, which carries health risks and lowers psychological resilience. </w:t>
      </w:r>
      <w:r w:rsidR="00BB35A2">
        <w:rPr>
          <w:rFonts w:ascii="Calibri Light" w:eastAsia="Calibri" w:hAnsi="Calibri Light" w:cs="Calibri Light"/>
          <w:sz w:val="23"/>
          <w:szCs w:val="23"/>
        </w:rPr>
        <w:t>It is also expected to</w:t>
      </w:r>
      <w:r w:rsidR="00F71110">
        <w:rPr>
          <w:rFonts w:ascii="Calibri Light" w:eastAsia="Calibri" w:hAnsi="Calibri Light" w:cs="Calibri Light"/>
          <w:sz w:val="23"/>
          <w:szCs w:val="23"/>
        </w:rPr>
        <w:t xml:space="preserve"> in</w:t>
      </w:r>
      <w:r w:rsidR="006961AE">
        <w:rPr>
          <w:rFonts w:ascii="Calibri Light" w:eastAsia="Calibri" w:hAnsi="Calibri Light" w:cs="Calibri Light"/>
          <w:sz w:val="23"/>
          <w:szCs w:val="23"/>
        </w:rPr>
        <w:t>crease</w:t>
      </w:r>
      <w:r w:rsidRPr="00DD331C">
        <w:rPr>
          <w:rFonts w:ascii="Calibri Light" w:eastAsia="Calibri" w:hAnsi="Calibri Light" w:cs="Calibri Light"/>
          <w:sz w:val="23"/>
          <w:szCs w:val="23"/>
        </w:rPr>
        <w:t xml:space="preserve"> rates of post-traumatic stress disorder (PTSD), collective trauma, inter-group conflict, prejudice</w:t>
      </w:r>
      <w:r w:rsidR="006961AE">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and discrimination </w:t>
      </w:r>
      <w:r w:rsidRPr="00DD331C">
        <w:rPr>
          <w:rFonts w:ascii="Calibri Light" w:eastAsia="Calibri" w:hAnsi="Calibri Light" w:cs="Calibri Light"/>
          <w:noProof/>
          <w:sz w:val="23"/>
          <w:szCs w:val="23"/>
        </w:rPr>
        <w:t>(Bentley, 2020; Crimston &amp; Selvanathan, 2020; Haslam, 2020; Muldoon, 2020)</w:t>
      </w:r>
      <w:r w:rsidRPr="00DD331C">
        <w:rPr>
          <w:rFonts w:ascii="Calibri Light" w:eastAsia="Calibri" w:hAnsi="Calibri Light" w:cs="Calibri Light"/>
          <w:sz w:val="23"/>
          <w:szCs w:val="23"/>
        </w:rPr>
        <w:t xml:space="preserve">. </w:t>
      </w:r>
      <w:r w:rsidR="006961AE">
        <w:rPr>
          <w:rFonts w:ascii="Calibri Light" w:eastAsia="Calibri" w:hAnsi="Calibri Light" w:cs="Calibri Light"/>
          <w:sz w:val="23"/>
          <w:szCs w:val="23"/>
        </w:rPr>
        <w:t>One study found that a</w:t>
      </w:r>
      <w:r w:rsidRPr="00DD331C">
        <w:rPr>
          <w:rFonts w:ascii="Calibri Light" w:eastAsia="Calibri" w:hAnsi="Calibri Light" w:cs="Calibri Light"/>
          <w:sz w:val="23"/>
          <w:szCs w:val="23"/>
        </w:rPr>
        <w:t xml:space="preserve">nxiety and depression </w:t>
      </w:r>
      <w:r w:rsidR="00874058">
        <w:rPr>
          <w:rFonts w:ascii="Calibri Light" w:eastAsia="Calibri" w:hAnsi="Calibri Light" w:cs="Calibri Light"/>
          <w:sz w:val="23"/>
          <w:szCs w:val="23"/>
        </w:rPr>
        <w:t xml:space="preserve">increased </w:t>
      </w:r>
      <w:r w:rsidRPr="00DD331C">
        <w:rPr>
          <w:rFonts w:ascii="Calibri Light" w:eastAsia="Calibri" w:hAnsi="Calibri Light" w:cs="Calibri Light"/>
          <w:sz w:val="23"/>
          <w:szCs w:val="23"/>
        </w:rPr>
        <w:t xml:space="preserve">amongst Australian adults during the early months of lockdown </w:t>
      </w:r>
      <w:r w:rsidRPr="00DD331C">
        <w:rPr>
          <w:rFonts w:ascii="Calibri Light" w:eastAsia="Calibri" w:hAnsi="Calibri Light" w:cs="Calibri Light"/>
          <w:noProof/>
          <w:sz w:val="23"/>
          <w:szCs w:val="23"/>
        </w:rPr>
        <w:t>(Fisher et al., 2020; Newby</w:t>
      </w:r>
      <w:r w:rsidR="006961AE">
        <w:rPr>
          <w:rFonts w:ascii="Calibri Light" w:eastAsia="Calibri" w:hAnsi="Calibri Light" w:cs="Calibri Light"/>
          <w:noProof/>
          <w:sz w:val="23"/>
          <w:szCs w:val="23"/>
        </w:rPr>
        <w:t xml:space="preserve"> et al.</w:t>
      </w:r>
      <w:r w:rsidRPr="00DD331C">
        <w:rPr>
          <w:rFonts w:ascii="Calibri Light" w:eastAsia="Calibri" w:hAnsi="Calibri Light" w:cs="Calibri Light"/>
          <w:noProof/>
          <w:sz w:val="23"/>
          <w:szCs w:val="23"/>
        </w:rPr>
        <w:t>, 2020)</w:t>
      </w:r>
      <w:r w:rsidRPr="00DD331C">
        <w:rPr>
          <w:rFonts w:ascii="Calibri Light" w:eastAsia="Calibri" w:hAnsi="Calibri Light" w:cs="Calibri Light"/>
          <w:sz w:val="23"/>
          <w:szCs w:val="23"/>
        </w:rPr>
        <w:t xml:space="preserve">. These symptoms were seen in parallel with an increase in alcohol use </w:t>
      </w:r>
      <w:r w:rsidRPr="00DD331C">
        <w:rPr>
          <w:rFonts w:ascii="Calibri Light" w:eastAsia="Calibri" w:hAnsi="Calibri Light" w:cs="Calibri Light"/>
          <w:noProof/>
          <w:sz w:val="23"/>
          <w:szCs w:val="23"/>
        </w:rPr>
        <w:t>(Tran</w:t>
      </w:r>
      <w:r w:rsidR="006961AE">
        <w:rPr>
          <w:rFonts w:ascii="Calibri Light" w:eastAsia="Calibri" w:hAnsi="Calibri Light" w:cs="Calibri Light"/>
          <w:noProof/>
          <w:sz w:val="23"/>
          <w:szCs w:val="23"/>
        </w:rPr>
        <w:t xml:space="preserve"> et al., </w:t>
      </w:r>
      <w:r w:rsidRPr="00DD331C">
        <w:rPr>
          <w:rFonts w:ascii="Calibri Light" w:eastAsia="Calibri" w:hAnsi="Calibri Light" w:cs="Calibri Light"/>
          <w:noProof/>
          <w:sz w:val="23"/>
          <w:szCs w:val="23"/>
        </w:rPr>
        <w:t>2020)</w:t>
      </w:r>
      <w:r w:rsidRPr="00DD331C">
        <w:rPr>
          <w:rFonts w:ascii="Calibri Light" w:eastAsia="Calibri" w:hAnsi="Calibri Light" w:cs="Calibri Light"/>
          <w:sz w:val="23"/>
          <w:szCs w:val="23"/>
        </w:rPr>
        <w:t>. Building social cohesion, resilience, connection, solidarity, and a sense of collective belonging will be vital if communities are to recover from this</w:t>
      </w:r>
      <w:r w:rsidR="00BB35A2">
        <w:rPr>
          <w:rFonts w:ascii="Calibri Light" w:eastAsia="Calibri" w:hAnsi="Calibri Light" w:cs="Calibri Light"/>
          <w:sz w:val="23"/>
          <w:szCs w:val="23"/>
        </w:rPr>
        <w:t xml:space="preserve"> ongoing</w:t>
      </w:r>
      <w:r w:rsidRPr="00DD331C">
        <w:rPr>
          <w:rFonts w:ascii="Calibri Light" w:eastAsia="Calibri" w:hAnsi="Calibri Light" w:cs="Calibri Light"/>
          <w:sz w:val="23"/>
          <w:szCs w:val="23"/>
        </w:rPr>
        <w:t xml:space="preserve"> crisis. In September 2020, the Federal Government rolled out dedicated mental health clinics to address the community burden of poor mental health during the pandemic </w:t>
      </w:r>
      <w:r w:rsidRPr="00DD331C">
        <w:rPr>
          <w:rFonts w:ascii="Calibri Light" w:eastAsia="Calibri" w:hAnsi="Calibri Light" w:cs="Calibri Light"/>
          <w:noProof/>
          <w:sz w:val="23"/>
          <w:szCs w:val="23"/>
        </w:rPr>
        <w:t>(Australian Government Department of Health, 2020)</w:t>
      </w:r>
      <w:r w:rsidRPr="00DD331C">
        <w:rPr>
          <w:rFonts w:ascii="Calibri Light" w:eastAsia="Calibri" w:hAnsi="Calibri Light" w:cs="Calibri Light"/>
          <w:sz w:val="23"/>
          <w:szCs w:val="23"/>
        </w:rPr>
        <w:t xml:space="preserve">. </w:t>
      </w:r>
    </w:p>
    <w:p w14:paraId="098153E0" w14:textId="4BA562A1" w:rsidR="00817BDF" w:rsidRDefault="00F00E3D" w:rsidP="004D51EB">
      <w:pPr>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Income loss has been tied to a greater likel</w:t>
      </w:r>
      <w:r w:rsidR="00404AC5">
        <w:rPr>
          <w:rFonts w:ascii="Calibri Light" w:eastAsia="Calibri" w:hAnsi="Calibri Light" w:cs="Calibri Light"/>
          <w:sz w:val="23"/>
          <w:szCs w:val="23"/>
        </w:rPr>
        <w:t>ihood</w:t>
      </w:r>
      <w:r w:rsidRPr="00DD331C">
        <w:rPr>
          <w:rFonts w:ascii="Calibri Light" w:eastAsia="Calibri" w:hAnsi="Calibri Light" w:cs="Calibri Light"/>
          <w:sz w:val="23"/>
          <w:szCs w:val="23"/>
        </w:rPr>
        <w:t xml:space="preserve"> of Australians experiencing food insecurity during </w:t>
      </w:r>
      <w:r w:rsidR="001F20D2">
        <w:rPr>
          <w:rFonts w:ascii="Calibri Light" w:eastAsia="Calibri" w:hAnsi="Calibri Light" w:cs="Calibri Light"/>
          <w:sz w:val="23"/>
          <w:szCs w:val="23"/>
        </w:rPr>
        <w:t>COVID-19</w:t>
      </w:r>
      <w:r w:rsidRPr="00DD331C">
        <w:rPr>
          <w:rFonts w:ascii="Calibri Light" w:eastAsia="Calibri" w:hAnsi="Calibri Light" w:cs="Calibri Light"/>
          <w:sz w:val="23"/>
          <w:szCs w:val="23"/>
        </w:rPr>
        <w:t xml:space="preserve"> </w:t>
      </w:r>
      <w:r w:rsidRPr="00DD331C">
        <w:rPr>
          <w:rFonts w:ascii="Calibri Light" w:eastAsia="Calibri" w:hAnsi="Calibri Light" w:cs="Calibri Light"/>
          <w:noProof/>
          <w:sz w:val="23"/>
          <w:szCs w:val="23"/>
        </w:rPr>
        <w:t>(Kent et al., 2020)</w:t>
      </w:r>
      <w:r w:rsidR="0078644F">
        <w:rPr>
          <w:rFonts w:ascii="Calibri Light" w:eastAsia="Calibri" w:hAnsi="Calibri Light" w:cs="Calibri Light"/>
          <w:sz w:val="23"/>
          <w:szCs w:val="23"/>
        </w:rPr>
        <w:t>, with</w:t>
      </w:r>
      <w:r w:rsidRPr="00DD331C">
        <w:rPr>
          <w:rFonts w:ascii="Calibri Light" w:eastAsia="Calibri" w:hAnsi="Calibri Light" w:cs="Calibri Light"/>
          <w:sz w:val="23"/>
          <w:szCs w:val="23"/>
        </w:rPr>
        <w:t xml:space="preserve"> households in rural and remote areas also</w:t>
      </w:r>
      <w:r w:rsidR="0078644F">
        <w:rPr>
          <w:rFonts w:ascii="Calibri Light" w:eastAsia="Calibri" w:hAnsi="Calibri Light" w:cs="Calibri Light"/>
          <w:sz w:val="23"/>
          <w:szCs w:val="23"/>
        </w:rPr>
        <w:t xml:space="preserve"> potentially</w:t>
      </w:r>
      <w:r w:rsidR="00404AC5">
        <w:rPr>
          <w:rFonts w:ascii="Calibri Light" w:eastAsia="Calibri" w:hAnsi="Calibri Light" w:cs="Calibri Light"/>
          <w:sz w:val="23"/>
          <w:szCs w:val="23"/>
        </w:rPr>
        <w:t xml:space="preserve"> at</w:t>
      </w:r>
      <w:r w:rsidRPr="00DD331C">
        <w:rPr>
          <w:rFonts w:ascii="Calibri Light" w:eastAsia="Calibri" w:hAnsi="Calibri Light" w:cs="Calibri Light"/>
          <w:sz w:val="23"/>
          <w:szCs w:val="23"/>
        </w:rPr>
        <w:t xml:space="preserve"> greater risk </w:t>
      </w:r>
      <w:r w:rsidRPr="00DD331C">
        <w:rPr>
          <w:rFonts w:ascii="Calibri Light" w:eastAsia="Calibri" w:hAnsi="Calibri Light" w:cs="Calibri Light"/>
          <w:noProof/>
          <w:sz w:val="23"/>
          <w:szCs w:val="23"/>
        </w:rPr>
        <w:t>(O'Kane, 2020)</w:t>
      </w:r>
      <w:r w:rsidRPr="00DD331C">
        <w:rPr>
          <w:rFonts w:ascii="Calibri Light" w:eastAsia="Calibri" w:hAnsi="Calibri Light" w:cs="Calibri Light"/>
          <w:sz w:val="23"/>
          <w:szCs w:val="23"/>
        </w:rPr>
        <w:t xml:space="preserve">.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 xml:space="preserve">-19 also put food charities and homelessness services under enormous pressure (Nuffield, 2020), and people living in overcrowded or marginal housing remain disproportionately vulnerable, which has wider repercussions for community health </w:t>
      </w:r>
      <w:r w:rsidRPr="00DD331C">
        <w:rPr>
          <w:rFonts w:ascii="Calibri Light" w:eastAsia="Calibri" w:hAnsi="Calibri Light" w:cs="Calibri Light"/>
          <w:noProof/>
          <w:sz w:val="23"/>
          <w:szCs w:val="23"/>
        </w:rPr>
        <w:t>(Gurran</w:t>
      </w:r>
      <w:r w:rsidR="00404AC5">
        <w:rPr>
          <w:rFonts w:ascii="Calibri Light" w:eastAsia="Calibri" w:hAnsi="Calibri Light" w:cs="Calibri Light"/>
          <w:noProof/>
          <w:sz w:val="23"/>
          <w:szCs w:val="23"/>
        </w:rPr>
        <w:t xml:space="preserve"> et al., </w:t>
      </w:r>
      <w:r w:rsidRPr="00DD331C">
        <w:rPr>
          <w:rFonts w:ascii="Calibri Light" w:eastAsia="Calibri" w:hAnsi="Calibri Light" w:cs="Calibri Light"/>
          <w:noProof/>
          <w:sz w:val="23"/>
          <w:szCs w:val="23"/>
        </w:rPr>
        <w:t>2020)</w:t>
      </w:r>
      <w:r w:rsidRPr="00DD331C">
        <w:rPr>
          <w:rFonts w:ascii="Calibri Light" w:eastAsia="Calibri" w:hAnsi="Calibri Light" w:cs="Calibri Light"/>
          <w:sz w:val="23"/>
          <w:szCs w:val="23"/>
        </w:rPr>
        <w:t>.</w:t>
      </w:r>
    </w:p>
    <w:p w14:paraId="18B0AD44" w14:textId="4A5066B7" w:rsidR="00F00E3D" w:rsidRDefault="00786EBF" w:rsidP="004D51EB">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A</w:t>
      </w:r>
      <w:r w:rsidR="00F00E3D" w:rsidRPr="00DD331C">
        <w:rPr>
          <w:rFonts w:ascii="Calibri Light" w:eastAsia="Calibri" w:hAnsi="Calibri Light" w:cs="Calibri Light"/>
          <w:sz w:val="23"/>
          <w:szCs w:val="23"/>
        </w:rPr>
        <w:t xml:space="preserve"> review of 18 countries (including Australia)</w:t>
      </w:r>
      <w:r w:rsidR="007F2210">
        <w:rPr>
          <w:rFonts w:ascii="Calibri Light" w:eastAsia="Calibri" w:hAnsi="Calibri Light" w:cs="Calibri Light"/>
          <w:sz w:val="23"/>
          <w:szCs w:val="23"/>
        </w:rPr>
        <w:t xml:space="preserve"> point</w:t>
      </w:r>
      <w:r>
        <w:rPr>
          <w:rFonts w:ascii="Calibri Light" w:eastAsia="Calibri" w:hAnsi="Calibri Light" w:cs="Calibri Light"/>
          <w:sz w:val="23"/>
          <w:szCs w:val="23"/>
        </w:rPr>
        <w:t>s</w:t>
      </w:r>
      <w:r w:rsidR="007F2210">
        <w:rPr>
          <w:rFonts w:ascii="Calibri Light" w:eastAsia="Calibri" w:hAnsi="Calibri Light" w:cs="Calibri Light"/>
          <w:sz w:val="23"/>
          <w:szCs w:val="23"/>
        </w:rPr>
        <w:t xml:space="preserve"> to reduced </w:t>
      </w:r>
      <w:r w:rsidR="00F00E3D" w:rsidRPr="00DD331C">
        <w:rPr>
          <w:rFonts w:ascii="Calibri Light" w:eastAsia="Calibri" w:hAnsi="Calibri Light" w:cs="Calibri Light"/>
          <w:sz w:val="23"/>
          <w:szCs w:val="23"/>
        </w:rPr>
        <w:t>physical activity levels due to social distancing</w:t>
      </w:r>
      <w:r w:rsidR="007F2210">
        <w:rPr>
          <w:rFonts w:ascii="Calibri Light" w:eastAsia="Calibri" w:hAnsi="Calibri Light" w:cs="Calibri Light"/>
          <w:sz w:val="23"/>
          <w:szCs w:val="23"/>
        </w:rPr>
        <w:t xml:space="preserve"> during the</w:t>
      </w:r>
      <w:r w:rsidR="00F00E3D" w:rsidRPr="00DD331C">
        <w:rPr>
          <w:rFonts w:ascii="Calibri Light" w:eastAsia="Calibri" w:hAnsi="Calibri Light" w:cs="Calibri Light"/>
          <w:sz w:val="23"/>
          <w:szCs w:val="23"/>
        </w:rPr>
        <w:t xml:space="preserve"> pandemic </w:t>
      </w:r>
      <w:r w:rsidR="00F00E3D" w:rsidRPr="00DD331C">
        <w:rPr>
          <w:rFonts w:ascii="Calibri Light" w:eastAsia="Calibri" w:hAnsi="Calibri Light" w:cs="Calibri Light"/>
          <w:noProof/>
          <w:sz w:val="23"/>
          <w:szCs w:val="23"/>
        </w:rPr>
        <w:t>(Caputo &amp; Reichert, 2020)</w:t>
      </w:r>
      <w:r w:rsidR="00F00E3D" w:rsidRPr="00DD331C">
        <w:rPr>
          <w:rFonts w:ascii="Calibri Light" w:eastAsia="Calibri" w:hAnsi="Calibri Light" w:cs="Calibri Light"/>
          <w:sz w:val="23"/>
          <w:szCs w:val="23"/>
        </w:rPr>
        <w:t>. T</w:t>
      </w:r>
      <w:r w:rsidR="00404AC5">
        <w:rPr>
          <w:rFonts w:ascii="Calibri Light" w:eastAsia="Calibri" w:hAnsi="Calibri Light" w:cs="Calibri Light"/>
          <w:sz w:val="23"/>
          <w:szCs w:val="23"/>
        </w:rPr>
        <w:t>o date there</w:t>
      </w:r>
      <w:r w:rsidR="00F00E3D" w:rsidRPr="00DD331C">
        <w:rPr>
          <w:rFonts w:ascii="Calibri Light" w:eastAsia="Calibri" w:hAnsi="Calibri Light" w:cs="Calibri Light"/>
          <w:sz w:val="23"/>
          <w:szCs w:val="23"/>
        </w:rPr>
        <w:t xml:space="preserve"> is little published </w:t>
      </w:r>
      <w:r w:rsidR="00404AC5" w:rsidRPr="00DD331C">
        <w:rPr>
          <w:rFonts w:ascii="Calibri Light" w:eastAsia="Calibri" w:hAnsi="Calibri Light" w:cs="Calibri Light"/>
          <w:sz w:val="23"/>
          <w:szCs w:val="23"/>
        </w:rPr>
        <w:t xml:space="preserve">research </w:t>
      </w:r>
      <w:r w:rsidR="00404AC5">
        <w:rPr>
          <w:rFonts w:ascii="Calibri Light" w:eastAsia="Calibri" w:hAnsi="Calibri Light" w:cs="Calibri Light"/>
          <w:sz w:val="23"/>
          <w:szCs w:val="23"/>
        </w:rPr>
        <w:t xml:space="preserve">on </w:t>
      </w:r>
      <w:r w:rsidR="002537BE">
        <w:rPr>
          <w:rFonts w:ascii="Calibri Light" w:eastAsia="Calibri" w:hAnsi="Calibri Light" w:cs="Calibri Light"/>
          <w:sz w:val="23"/>
          <w:szCs w:val="23"/>
        </w:rPr>
        <w:t xml:space="preserve">the link between </w:t>
      </w:r>
      <w:r w:rsidR="00F00E3D" w:rsidRPr="00DD331C">
        <w:rPr>
          <w:rFonts w:ascii="Calibri Light" w:eastAsia="Calibri" w:hAnsi="Calibri Light" w:cs="Calibri Light"/>
          <w:sz w:val="23"/>
          <w:szCs w:val="23"/>
        </w:rPr>
        <w:t xml:space="preserve">spatial inequalities and physical activity during </w:t>
      </w:r>
      <w:r w:rsidR="00940D80">
        <w:rPr>
          <w:rFonts w:ascii="Calibri Light" w:eastAsia="Calibri" w:hAnsi="Calibri Light" w:cs="Calibri Light"/>
          <w:sz w:val="23"/>
          <w:szCs w:val="23"/>
        </w:rPr>
        <w:t>COVID</w:t>
      </w:r>
      <w:r w:rsidR="00F00E3D" w:rsidRPr="00DD331C">
        <w:rPr>
          <w:rFonts w:ascii="Calibri Light" w:eastAsia="Calibri" w:hAnsi="Calibri Light" w:cs="Calibri Light"/>
          <w:sz w:val="23"/>
          <w:szCs w:val="23"/>
        </w:rPr>
        <w:t>-19 lockdowns</w:t>
      </w:r>
      <w:r w:rsidR="002537BE">
        <w:rPr>
          <w:rFonts w:ascii="Calibri Light" w:eastAsia="Calibri" w:hAnsi="Calibri Light" w:cs="Calibri Light"/>
          <w:sz w:val="23"/>
          <w:szCs w:val="23"/>
        </w:rPr>
        <w:t>. However</w:t>
      </w:r>
      <w:r w:rsidR="006268DB">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one study found that </w:t>
      </w:r>
      <w:r w:rsidR="002537BE">
        <w:rPr>
          <w:rFonts w:ascii="Calibri Light" w:eastAsia="Calibri" w:hAnsi="Calibri Light" w:cs="Calibri Light"/>
          <w:sz w:val="23"/>
          <w:szCs w:val="23"/>
        </w:rPr>
        <w:t xml:space="preserve">Portuguese </w:t>
      </w:r>
      <w:r w:rsidR="00F00E3D" w:rsidRPr="00DD331C">
        <w:rPr>
          <w:rFonts w:ascii="Calibri Light" w:eastAsia="Calibri" w:hAnsi="Calibri Light" w:cs="Calibri Light"/>
          <w:sz w:val="23"/>
          <w:szCs w:val="23"/>
        </w:rPr>
        <w:t xml:space="preserve">children </w:t>
      </w:r>
      <w:r w:rsidR="006268DB">
        <w:rPr>
          <w:rFonts w:ascii="Calibri Light" w:eastAsia="Calibri" w:hAnsi="Calibri Light" w:cs="Calibri Light"/>
          <w:sz w:val="23"/>
          <w:szCs w:val="23"/>
        </w:rPr>
        <w:t>living in</w:t>
      </w:r>
      <w:r w:rsidR="00F00E3D" w:rsidRPr="00DD331C">
        <w:rPr>
          <w:rFonts w:ascii="Calibri Light" w:eastAsia="Calibri" w:hAnsi="Calibri Light" w:cs="Calibri Light"/>
          <w:sz w:val="23"/>
          <w:szCs w:val="23"/>
        </w:rPr>
        <w:t xml:space="preserve"> homes with access to private outdoor space were significantly more active than children w</w:t>
      </w:r>
      <w:r w:rsidR="002537BE">
        <w:rPr>
          <w:rFonts w:ascii="Calibri Light" w:eastAsia="Calibri" w:hAnsi="Calibri Light" w:cs="Calibri Light"/>
          <w:sz w:val="23"/>
          <w:szCs w:val="23"/>
        </w:rPr>
        <w:t>ho lacked</w:t>
      </w:r>
      <w:r w:rsidR="006268DB">
        <w:rPr>
          <w:rFonts w:ascii="Calibri Light" w:eastAsia="Calibri" w:hAnsi="Calibri Light" w:cs="Calibri Light"/>
          <w:sz w:val="23"/>
          <w:szCs w:val="23"/>
        </w:rPr>
        <w:t xml:space="preserve"> access to such</w:t>
      </w:r>
      <w:r w:rsidR="00F00E3D" w:rsidRPr="00DD331C">
        <w:rPr>
          <w:rFonts w:ascii="Calibri Light" w:eastAsia="Calibri" w:hAnsi="Calibri Light" w:cs="Calibri Light"/>
          <w:sz w:val="23"/>
          <w:szCs w:val="23"/>
        </w:rPr>
        <w:t xml:space="preserve"> space </w:t>
      </w:r>
      <w:r w:rsidR="00F00E3D" w:rsidRPr="00DD331C">
        <w:rPr>
          <w:rFonts w:ascii="Calibri Light" w:eastAsia="Calibri" w:hAnsi="Calibri Light" w:cs="Calibri Light"/>
          <w:noProof/>
          <w:sz w:val="23"/>
          <w:szCs w:val="23"/>
        </w:rPr>
        <w:t>(Pombo</w:t>
      </w:r>
      <w:r w:rsidR="006268DB">
        <w:rPr>
          <w:rFonts w:ascii="Calibri Light" w:eastAsia="Calibri" w:hAnsi="Calibri Light" w:cs="Calibri Light"/>
          <w:noProof/>
          <w:sz w:val="23"/>
          <w:szCs w:val="23"/>
        </w:rPr>
        <w:t xml:space="preserve"> et al.</w:t>
      </w:r>
      <w:r w:rsidR="00F00E3D" w:rsidRPr="00DD331C">
        <w:rPr>
          <w:rFonts w:ascii="Calibri Light" w:eastAsia="Calibri" w:hAnsi="Calibri Light" w:cs="Calibri Light"/>
          <w:noProof/>
          <w:sz w:val="23"/>
          <w:szCs w:val="23"/>
        </w:rPr>
        <w:t>, 2020)</w:t>
      </w:r>
      <w:r w:rsidR="00F00E3D" w:rsidRPr="00DD331C">
        <w:rPr>
          <w:rFonts w:ascii="Calibri Light" w:eastAsia="Calibri" w:hAnsi="Calibri Light" w:cs="Calibri Light"/>
          <w:sz w:val="23"/>
          <w:szCs w:val="23"/>
        </w:rPr>
        <w:t xml:space="preserve">. At the neighbourhood level, </w:t>
      </w:r>
      <w:r w:rsidR="008C66E9">
        <w:rPr>
          <w:rFonts w:ascii="Calibri Light" w:eastAsia="Calibri" w:hAnsi="Calibri Light" w:cs="Calibri Light"/>
          <w:sz w:val="23"/>
          <w:szCs w:val="23"/>
        </w:rPr>
        <w:t xml:space="preserve">one US found that </w:t>
      </w:r>
      <w:r w:rsidR="00F00E3D" w:rsidRPr="00DD331C">
        <w:rPr>
          <w:rFonts w:ascii="Calibri Light" w:eastAsia="Calibri" w:hAnsi="Calibri Light" w:cs="Calibri Light"/>
          <w:sz w:val="23"/>
          <w:szCs w:val="23"/>
        </w:rPr>
        <w:t>people living in neighbo</w:t>
      </w:r>
      <w:r w:rsidR="00FF6E7E">
        <w:rPr>
          <w:rFonts w:ascii="Calibri Light" w:eastAsia="Calibri" w:hAnsi="Calibri Light" w:cs="Calibri Light"/>
          <w:sz w:val="23"/>
          <w:szCs w:val="23"/>
        </w:rPr>
        <w:t>u</w:t>
      </w:r>
      <w:r w:rsidR="00F00E3D" w:rsidRPr="00DD331C">
        <w:rPr>
          <w:rFonts w:ascii="Calibri Light" w:eastAsia="Calibri" w:hAnsi="Calibri Light" w:cs="Calibri Light"/>
          <w:sz w:val="23"/>
          <w:szCs w:val="23"/>
        </w:rPr>
        <w:t xml:space="preserve">rhoods with low poverty levels were more likely to </w:t>
      </w:r>
      <w:r w:rsidR="00FF6E7E">
        <w:rPr>
          <w:rFonts w:ascii="Calibri Light" w:eastAsia="Calibri" w:hAnsi="Calibri Light" w:cs="Calibri Light"/>
          <w:sz w:val="23"/>
          <w:szCs w:val="23"/>
        </w:rPr>
        <w:t>spend increased time</w:t>
      </w:r>
      <w:r w:rsidR="00F00E3D" w:rsidRPr="00DD331C">
        <w:rPr>
          <w:rFonts w:ascii="Calibri Light" w:eastAsia="Calibri" w:hAnsi="Calibri Light" w:cs="Calibri Light"/>
          <w:sz w:val="23"/>
          <w:szCs w:val="23"/>
        </w:rPr>
        <w:t xml:space="preserve"> walking and exercising for leisure during the pandemic </w:t>
      </w:r>
      <w:r w:rsidR="008C66E9">
        <w:rPr>
          <w:rFonts w:ascii="Calibri Light" w:eastAsia="Calibri" w:hAnsi="Calibri Light" w:cs="Calibri Light"/>
          <w:sz w:val="23"/>
          <w:szCs w:val="23"/>
        </w:rPr>
        <w:t>in comparison with</w:t>
      </w:r>
      <w:r w:rsidR="00F00E3D" w:rsidRPr="00DD331C">
        <w:rPr>
          <w:rFonts w:ascii="Calibri Light" w:eastAsia="Calibri" w:hAnsi="Calibri Light" w:cs="Calibri Light"/>
          <w:sz w:val="23"/>
          <w:szCs w:val="23"/>
        </w:rPr>
        <w:t xml:space="preserve"> </w:t>
      </w:r>
      <w:r w:rsidR="002D55AC">
        <w:rPr>
          <w:rFonts w:ascii="Calibri Light" w:eastAsia="Calibri" w:hAnsi="Calibri Light" w:cs="Calibri Light"/>
          <w:sz w:val="23"/>
          <w:szCs w:val="23"/>
        </w:rPr>
        <w:t>residents</w:t>
      </w:r>
      <w:r w:rsidR="00F00E3D" w:rsidRPr="00DD331C">
        <w:rPr>
          <w:rFonts w:ascii="Calibri Light" w:eastAsia="Calibri" w:hAnsi="Calibri Light" w:cs="Calibri Light"/>
          <w:sz w:val="23"/>
          <w:szCs w:val="23"/>
        </w:rPr>
        <w:t xml:space="preserve"> </w:t>
      </w:r>
      <w:r w:rsidR="002D55AC">
        <w:rPr>
          <w:rFonts w:ascii="Calibri Light" w:eastAsia="Calibri" w:hAnsi="Calibri Light" w:cs="Calibri Light"/>
          <w:sz w:val="23"/>
          <w:szCs w:val="23"/>
        </w:rPr>
        <w:t>of</w:t>
      </w:r>
      <w:r w:rsidR="00F00E3D" w:rsidRPr="00DD331C">
        <w:rPr>
          <w:rFonts w:ascii="Calibri Light" w:eastAsia="Calibri" w:hAnsi="Calibri Light" w:cs="Calibri Light"/>
          <w:sz w:val="23"/>
          <w:szCs w:val="23"/>
        </w:rPr>
        <w:t xml:space="preserve"> neighbou</w:t>
      </w:r>
      <w:r w:rsidR="00FF6E7E">
        <w:rPr>
          <w:rFonts w:ascii="Calibri Light" w:eastAsia="Calibri" w:hAnsi="Calibri Light" w:cs="Calibri Light"/>
          <w:sz w:val="23"/>
          <w:szCs w:val="23"/>
        </w:rPr>
        <w:t>r</w:t>
      </w:r>
      <w:r w:rsidR="00F00E3D" w:rsidRPr="00DD331C">
        <w:rPr>
          <w:rFonts w:ascii="Calibri Light" w:eastAsia="Calibri" w:hAnsi="Calibri Light" w:cs="Calibri Light"/>
          <w:sz w:val="23"/>
          <w:szCs w:val="23"/>
        </w:rPr>
        <w:t xml:space="preserve">hoods with high poverty levels </w:t>
      </w:r>
      <w:r w:rsidR="00F00E3D" w:rsidRPr="00DD331C">
        <w:rPr>
          <w:rFonts w:ascii="Calibri Light" w:eastAsia="Calibri" w:hAnsi="Calibri Light" w:cs="Calibri Light"/>
          <w:noProof/>
          <w:sz w:val="23"/>
          <w:szCs w:val="23"/>
        </w:rPr>
        <w:t>(Yang &amp; Xiang, 2021)</w:t>
      </w:r>
      <w:r w:rsidR="00F00E3D" w:rsidRPr="00DD331C">
        <w:rPr>
          <w:rFonts w:ascii="Calibri Light" w:eastAsia="Calibri" w:hAnsi="Calibri Light" w:cs="Calibri Light"/>
          <w:sz w:val="23"/>
          <w:szCs w:val="23"/>
        </w:rPr>
        <w:t xml:space="preserve">. </w:t>
      </w:r>
      <w:r w:rsidR="00392BFC">
        <w:rPr>
          <w:rFonts w:ascii="Calibri Light" w:eastAsia="Calibri" w:hAnsi="Calibri Light" w:cs="Calibri Light"/>
          <w:sz w:val="23"/>
          <w:szCs w:val="23"/>
        </w:rPr>
        <w:t xml:space="preserve">In London, </w:t>
      </w:r>
      <w:r w:rsidR="005917A8">
        <w:rPr>
          <w:rFonts w:ascii="Calibri Light" w:eastAsia="Calibri" w:hAnsi="Calibri Light" w:cs="Calibri Light"/>
          <w:sz w:val="23"/>
          <w:szCs w:val="23"/>
        </w:rPr>
        <w:t>“</w:t>
      </w:r>
      <w:r w:rsidR="00392BFC">
        <w:rPr>
          <w:rFonts w:ascii="Calibri Light" w:eastAsia="Calibri" w:hAnsi="Calibri Light" w:cs="Calibri Light"/>
          <w:sz w:val="23"/>
          <w:szCs w:val="23"/>
        </w:rPr>
        <w:t>s</w:t>
      </w:r>
      <w:r w:rsidR="00F00E3D" w:rsidRPr="00DD331C">
        <w:rPr>
          <w:rFonts w:ascii="Calibri Light" w:eastAsia="Calibri" w:hAnsi="Calibri Light" w:cs="Calibri Light"/>
          <w:sz w:val="23"/>
          <w:szCs w:val="23"/>
        </w:rPr>
        <w:t>ocial prescribing</w:t>
      </w:r>
      <w:r w:rsidR="005917A8">
        <w:rPr>
          <w:rFonts w:ascii="Calibri Light" w:eastAsia="Calibri" w:hAnsi="Calibri Light" w:cs="Calibri Light"/>
          <w:sz w:val="23"/>
          <w:szCs w:val="23"/>
        </w:rPr>
        <w:t>”</w:t>
      </w:r>
      <w:r w:rsidR="00A62104">
        <w:rPr>
          <w:rFonts w:ascii="Calibri Light" w:eastAsia="Calibri" w:hAnsi="Calibri Light" w:cs="Calibri Light"/>
          <w:sz w:val="23"/>
          <w:szCs w:val="23"/>
        </w:rPr>
        <w:t xml:space="preserve"> schemes</w:t>
      </w:r>
      <w:r w:rsidR="00AD5C4A" w:rsidRPr="00AD5C4A">
        <w:t xml:space="preserve"> </w:t>
      </w:r>
      <w:r w:rsidR="00AD5C4A">
        <w:t>–</w:t>
      </w:r>
      <w:r w:rsidR="00A62104">
        <w:rPr>
          <w:rFonts w:ascii="Calibri Light" w:eastAsia="Calibri" w:hAnsi="Calibri Light" w:cs="Calibri Light"/>
          <w:sz w:val="23"/>
          <w:szCs w:val="23"/>
        </w:rPr>
        <w:t xml:space="preserve"> the p</w:t>
      </w:r>
      <w:r w:rsidR="00AD5C4A" w:rsidRPr="00AD5C4A">
        <w:rPr>
          <w:rFonts w:ascii="Calibri Light" w:eastAsia="Calibri" w:hAnsi="Calibri Light" w:cs="Calibri Light"/>
          <w:sz w:val="23"/>
          <w:szCs w:val="23"/>
        </w:rPr>
        <w:t>ractice of referring patients to</w:t>
      </w:r>
      <w:r w:rsidR="007551F4">
        <w:rPr>
          <w:rFonts w:ascii="Calibri Light" w:eastAsia="Calibri" w:hAnsi="Calibri Light" w:cs="Calibri Light"/>
          <w:sz w:val="23"/>
          <w:szCs w:val="23"/>
        </w:rPr>
        <w:t xml:space="preserve"> </w:t>
      </w:r>
      <w:r w:rsidR="00AD5C4A" w:rsidRPr="00AD5C4A">
        <w:rPr>
          <w:rFonts w:ascii="Calibri Light" w:eastAsia="Calibri" w:hAnsi="Calibri Light" w:cs="Calibri Light"/>
          <w:sz w:val="23"/>
          <w:szCs w:val="23"/>
        </w:rPr>
        <w:t>social</w:t>
      </w:r>
      <w:r w:rsidR="00A62104">
        <w:rPr>
          <w:rFonts w:ascii="Calibri Light" w:eastAsia="Calibri" w:hAnsi="Calibri Light" w:cs="Calibri Light"/>
          <w:sz w:val="23"/>
          <w:szCs w:val="23"/>
        </w:rPr>
        <w:t>, cultural, and creative</w:t>
      </w:r>
      <w:r w:rsidR="00AD5C4A" w:rsidRPr="00AD5C4A">
        <w:rPr>
          <w:rFonts w:ascii="Calibri Light" w:eastAsia="Calibri" w:hAnsi="Calibri Light" w:cs="Calibri Light"/>
          <w:sz w:val="23"/>
          <w:szCs w:val="23"/>
        </w:rPr>
        <w:t xml:space="preserve"> activities</w:t>
      </w:r>
      <w:r w:rsidR="00B34A0F">
        <w:rPr>
          <w:rFonts w:ascii="Calibri Light" w:eastAsia="Calibri" w:hAnsi="Calibri Light" w:cs="Calibri Light"/>
          <w:sz w:val="23"/>
          <w:szCs w:val="23"/>
        </w:rPr>
        <w:t xml:space="preserve"> and </w:t>
      </w:r>
      <w:r w:rsidR="007551F4">
        <w:rPr>
          <w:rFonts w:ascii="Calibri Light" w:eastAsia="Calibri" w:hAnsi="Calibri Light" w:cs="Calibri Light"/>
          <w:sz w:val="23"/>
          <w:szCs w:val="23"/>
        </w:rPr>
        <w:t xml:space="preserve">other </w:t>
      </w:r>
      <w:r w:rsidR="00B34A0F">
        <w:rPr>
          <w:rFonts w:ascii="Calibri Light" w:eastAsia="Calibri" w:hAnsi="Calibri Light" w:cs="Calibri Light"/>
          <w:sz w:val="23"/>
          <w:szCs w:val="23"/>
        </w:rPr>
        <w:t>local, non-clinical services</w:t>
      </w:r>
      <w:r w:rsidR="00AD5C4A">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 xml:space="preserve"> ha</w:t>
      </w:r>
      <w:r w:rsidR="00A62104">
        <w:rPr>
          <w:rFonts w:ascii="Calibri Light" w:eastAsia="Calibri" w:hAnsi="Calibri Light" w:cs="Calibri Light"/>
          <w:sz w:val="23"/>
          <w:szCs w:val="23"/>
        </w:rPr>
        <w:t>ve</w:t>
      </w:r>
      <w:r w:rsidR="00F00E3D" w:rsidRPr="00DD331C">
        <w:rPr>
          <w:rFonts w:ascii="Calibri Light" w:eastAsia="Calibri" w:hAnsi="Calibri Light" w:cs="Calibri Light"/>
          <w:sz w:val="23"/>
          <w:szCs w:val="23"/>
        </w:rPr>
        <w:t xml:space="preserve"> been flagged as a response to disparities in physical activity levels during the pandemic </w:t>
      </w:r>
      <w:r w:rsidR="00F00E3D" w:rsidRPr="00DD331C">
        <w:rPr>
          <w:rFonts w:ascii="Calibri Light" w:eastAsia="Calibri" w:hAnsi="Calibri Light" w:cs="Calibri Light"/>
          <w:noProof/>
          <w:sz w:val="23"/>
          <w:szCs w:val="23"/>
        </w:rPr>
        <w:t>(Nazroo</w:t>
      </w:r>
      <w:r w:rsidR="005917A8">
        <w:rPr>
          <w:rFonts w:ascii="Calibri Light" w:eastAsia="Calibri" w:hAnsi="Calibri Light" w:cs="Calibri Light"/>
          <w:noProof/>
          <w:sz w:val="23"/>
          <w:szCs w:val="23"/>
        </w:rPr>
        <w:t xml:space="preserve"> et al.</w:t>
      </w:r>
      <w:r w:rsidR="00F00E3D" w:rsidRPr="00DD331C">
        <w:rPr>
          <w:rFonts w:ascii="Calibri Light" w:eastAsia="Calibri" w:hAnsi="Calibri Light" w:cs="Calibri Light"/>
          <w:noProof/>
          <w:sz w:val="23"/>
          <w:szCs w:val="23"/>
        </w:rPr>
        <w:t>, 2020)</w:t>
      </w:r>
      <w:r w:rsidR="00F00E3D" w:rsidRPr="00DD331C">
        <w:rPr>
          <w:rFonts w:ascii="Calibri Light" w:eastAsia="Calibri" w:hAnsi="Calibri Light" w:cs="Calibri Light"/>
          <w:sz w:val="23"/>
          <w:szCs w:val="23"/>
        </w:rPr>
        <w:t>.</w:t>
      </w:r>
    </w:p>
    <w:p w14:paraId="1C796DD7" w14:textId="69A5B135" w:rsidR="00793172" w:rsidRPr="00DD331C" w:rsidRDefault="00985102" w:rsidP="004D51EB">
      <w:pPr>
        <w:spacing w:after="0" w:line="276" w:lineRule="auto"/>
        <w:rPr>
          <w:rFonts w:ascii="Calibri Light" w:eastAsia="Calibri" w:hAnsi="Calibri Light" w:cs="Calibri Light"/>
          <w:sz w:val="23"/>
          <w:szCs w:val="23"/>
        </w:rPr>
      </w:pPr>
      <w:r>
        <w:rPr>
          <w:rFonts w:ascii="Calibri Light" w:eastAsia="Calibri" w:hAnsi="Calibri Light" w:cs="Calibri Light"/>
          <w:sz w:val="23"/>
          <w:szCs w:val="23"/>
        </w:rPr>
        <w:t xml:space="preserve">Arts-based programs </w:t>
      </w:r>
      <w:r w:rsidR="002D489F">
        <w:rPr>
          <w:rFonts w:ascii="Calibri Light" w:eastAsia="Calibri" w:hAnsi="Calibri Light" w:cs="Calibri Light"/>
          <w:sz w:val="23"/>
          <w:szCs w:val="23"/>
        </w:rPr>
        <w:t>may also have potential to</w:t>
      </w:r>
      <w:r w:rsidR="00B24F3A">
        <w:rPr>
          <w:rFonts w:ascii="Calibri Light" w:eastAsia="Calibri" w:hAnsi="Calibri Light" w:cs="Calibri Light"/>
          <w:sz w:val="23"/>
          <w:szCs w:val="23"/>
        </w:rPr>
        <w:t xml:space="preserve"> improve</w:t>
      </w:r>
      <w:r>
        <w:rPr>
          <w:rFonts w:ascii="Calibri Light" w:eastAsia="Calibri" w:hAnsi="Calibri Light" w:cs="Calibri Light"/>
          <w:sz w:val="23"/>
          <w:szCs w:val="23"/>
        </w:rPr>
        <w:t xml:space="preserve"> health outcomes.</w:t>
      </w:r>
      <w:r w:rsidR="009F0329">
        <w:rPr>
          <w:rFonts w:ascii="Calibri Light" w:eastAsia="Calibri" w:hAnsi="Calibri Light" w:cs="Calibri Light"/>
          <w:sz w:val="23"/>
          <w:szCs w:val="23"/>
        </w:rPr>
        <w:t xml:space="preserve"> </w:t>
      </w:r>
      <w:r w:rsidR="00B24F3A">
        <w:rPr>
          <w:rFonts w:ascii="Calibri Light" w:eastAsia="Calibri" w:hAnsi="Calibri Light" w:cs="Calibri Light"/>
          <w:sz w:val="23"/>
          <w:szCs w:val="23"/>
        </w:rPr>
        <w:t>There is evidence</w:t>
      </w:r>
      <w:r w:rsidR="00C26DB4">
        <w:rPr>
          <w:rFonts w:ascii="Calibri Light" w:eastAsia="Calibri" w:hAnsi="Calibri Light" w:cs="Calibri Light"/>
          <w:sz w:val="23"/>
          <w:szCs w:val="23"/>
        </w:rPr>
        <w:t xml:space="preserve"> that t</w:t>
      </w:r>
      <w:r w:rsidR="00793172" w:rsidRPr="00DD331C">
        <w:rPr>
          <w:rFonts w:ascii="Calibri Light" w:eastAsia="Calibri" w:hAnsi="Calibri Light" w:cs="Calibri Light"/>
          <w:sz w:val="23"/>
          <w:szCs w:val="23"/>
        </w:rPr>
        <w:t xml:space="preserve">aking part in meaningful creative activities supports wellbeing, strengthens social ties, builds community, and promotes resilience in the wake of a disaster </w:t>
      </w:r>
      <w:r w:rsidR="00793172" w:rsidRPr="00DD331C">
        <w:rPr>
          <w:rFonts w:ascii="Calibri Light" w:eastAsia="Calibri" w:hAnsi="Calibri Light" w:cs="Calibri Light"/>
          <w:noProof/>
          <w:sz w:val="23"/>
          <w:szCs w:val="23"/>
        </w:rPr>
        <w:t>(Huss</w:t>
      </w:r>
      <w:r w:rsidR="00A6745F">
        <w:rPr>
          <w:rFonts w:ascii="Calibri Light" w:eastAsia="Calibri" w:hAnsi="Calibri Light" w:cs="Calibri Light"/>
          <w:noProof/>
          <w:sz w:val="23"/>
          <w:szCs w:val="23"/>
        </w:rPr>
        <w:t xml:space="preserve"> et al.</w:t>
      </w:r>
      <w:r w:rsidR="00793172" w:rsidRPr="00DD331C">
        <w:rPr>
          <w:rFonts w:ascii="Calibri Light" w:eastAsia="Calibri" w:hAnsi="Calibri Light" w:cs="Calibri Light"/>
          <w:noProof/>
          <w:sz w:val="23"/>
          <w:szCs w:val="23"/>
        </w:rPr>
        <w:t>, 2016; Maidment</w:t>
      </w:r>
      <w:r w:rsidR="00A6745F">
        <w:rPr>
          <w:rFonts w:ascii="Calibri Light" w:eastAsia="Calibri" w:hAnsi="Calibri Light" w:cs="Calibri Light"/>
          <w:noProof/>
          <w:sz w:val="23"/>
          <w:szCs w:val="23"/>
        </w:rPr>
        <w:t xml:space="preserve"> et al.</w:t>
      </w:r>
      <w:r w:rsidR="00793172" w:rsidRPr="00DD331C">
        <w:rPr>
          <w:rFonts w:ascii="Calibri Light" w:eastAsia="Calibri" w:hAnsi="Calibri Light" w:cs="Calibri Light"/>
          <w:noProof/>
          <w:sz w:val="23"/>
          <w:szCs w:val="23"/>
        </w:rPr>
        <w:t>, 2015)</w:t>
      </w:r>
      <w:r w:rsidR="00793172" w:rsidRPr="00DD331C">
        <w:rPr>
          <w:rFonts w:ascii="Calibri Light" w:eastAsia="Calibri" w:hAnsi="Calibri Light" w:cs="Calibri Light"/>
          <w:sz w:val="23"/>
          <w:szCs w:val="23"/>
        </w:rPr>
        <w:t xml:space="preserve">. Arts and culture </w:t>
      </w:r>
      <w:r w:rsidR="00793172">
        <w:rPr>
          <w:rFonts w:ascii="Calibri Light" w:eastAsia="Calibri" w:hAnsi="Calibri Light" w:cs="Calibri Light"/>
          <w:sz w:val="23"/>
          <w:szCs w:val="23"/>
        </w:rPr>
        <w:t xml:space="preserve">can also </w:t>
      </w:r>
      <w:r w:rsidR="00793172" w:rsidRPr="00DD331C">
        <w:rPr>
          <w:rFonts w:ascii="Calibri Light" w:eastAsia="Calibri" w:hAnsi="Calibri Light" w:cs="Calibri Light"/>
          <w:sz w:val="23"/>
          <w:szCs w:val="23"/>
        </w:rPr>
        <w:t>play a valuable role in post-disaster recovery programs</w:t>
      </w:r>
      <w:r w:rsidR="006E0B87">
        <w:rPr>
          <w:rFonts w:ascii="Calibri Light" w:eastAsia="Calibri" w:hAnsi="Calibri Light" w:cs="Calibri Light"/>
          <w:sz w:val="23"/>
          <w:szCs w:val="23"/>
        </w:rPr>
        <w:t>: a</w:t>
      </w:r>
      <w:r w:rsidR="00793172" w:rsidRPr="00DD331C">
        <w:rPr>
          <w:rFonts w:ascii="Calibri Light" w:eastAsia="Calibri" w:hAnsi="Calibri Light" w:cs="Calibri Light"/>
          <w:sz w:val="23"/>
          <w:szCs w:val="23"/>
        </w:rPr>
        <w:t>rts-based community projects have been successfully used as a tool for civic engagement, community-building, social inclusion</w:t>
      </w:r>
      <w:r w:rsidR="007F2210">
        <w:rPr>
          <w:rFonts w:ascii="Calibri Light" w:eastAsia="Calibri" w:hAnsi="Calibri Light" w:cs="Calibri Light"/>
          <w:sz w:val="23"/>
          <w:szCs w:val="23"/>
        </w:rPr>
        <w:t>,</w:t>
      </w:r>
      <w:r w:rsidR="00793172" w:rsidRPr="00DD331C">
        <w:rPr>
          <w:rFonts w:ascii="Calibri Light" w:eastAsia="Calibri" w:hAnsi="Calibri Light" w:cs="Calibri Light"/>
          <w:sz w:val="23"/>
          <w:szCs w:val="23"/>
        </w:rPr>
        <w:t xml:space="preserve"> and healing in the wake of prior major shocks to regions, including civil wars and natural disasters </w:t>
      </w:r>
      <w:r w:rsidR="00793172" w:rsidRPr="00DD331C">
        <w:rPr>
          <w:rFonts w:ascii="Calibri Light" w:eastAsia="Calibri" w:hAnsi="Calibri Light" w:cs="Calibri Light"/>
          <w:noProof/>
          <w:sz w:val="23"/>
          <w:szCs w:val="23"/>
        </w:rPr>
        <w:t>(Gussak, 2001; Huss et al., 2016; Maidment et al., 2015)</w:t>
      </w:r>
      <w:r w:rsidR="00793172" w:rsidRPr="00DD331C">
        <w:rPr>
          <w:rFonts w:ascii="Calibri Light" w:eastAsia="Calibri" w:hAnsi="Calibri Light" w:cs="Calibri Light"/>
          <w:sz w:val="23"/>
          <w:szCs w:val="23"/>
        </w:rPr>
        <w:t>.</w:t>
      </w:r>
    </w:p>
    <w:p w14:paraId="4CF3B7DC" w14:textId="77777777" w:rsidR="00F00E3D" w:rsidRPr="00BD5B10" w:rsidRDefault="00F00E3D" w:rsidP="004D51EB">
      <w:pPr>
        <w:spacing w:after="0" w:line="276" w:lineRule="auto"/>
        <w:rPr>
          <w:rFonts w:ascii="Calibri Light" w:eastAsia="Calibri" w:hAnsi="Calibri Light" w:cs="Calibri Light"/>
          <w:sz w:val="16"/>
          <w:szCs w:val="16"/>
        </w:rPr>
      </w:pPr>
    </w:p>
    <w:p w14:paraId="3CE14891" w14:textId="082D99BE" w:rsidR="00F00E3D" w:rsidRPr="003710F5" w:rsidRDefault="00C41CBF" w:rsidP="004D51EB">
      <w:pPr>
        <w:spacing w:line="276" w:lineRule="auto"/>
        <w:rPr>
          <w:rFonts w:eastAsia="Calibri"/>
          <w:b/>
          <w:bCs/>
          <w:color w:val="2F5496" w:themeColor="accent1" w:themeShade="BF"/>
          <w:sz w:val="25"/>
          <w:szCs w:val="25"/>
        </w:rPr>
      </w:pPr>
      <w:r w:rsidRPr="003710F5">
        <w:rPr>
          <w:rFonts w:eastAsia="Calibri" w:cstheme="minorHAnsi"/>
          <w:b/>
          <w:color w:val="2F5496" w:themeColor="accent1" w:themeShade="BF"/>
          <w:sz w:val="25"/>
          <w:szCs w:val="25"/>
        </w:rPr>
        <w:t xml:space="preserve">6.1.5 </w:t>
      </w:r>
      <w:r w:rsidR="00F00E3D" w:rsidRPr="003710F5">
        <w:rPr>
          <w:rFonts w:eastAsia="Calibri"/>
          <w:b/>
          <w:bCs/>
          <w:color w:val="2F5496" w:themeColor="accent1" w:themeShade="BF"/>
          <w:sz w:val="25"/>
          <w:szCs w:val="25"/>
        </w:rPr>
        <w:t>Housing</w:t>
      </w:r>
    </w:p>
    <w:p w14:paraId="7174D724" w14:textId="77777777" w:rsidR="004D51EB" w:rsidRDefault="00C41CBF" w:rsidP="004D51EB">
      <w:pPr>
        <w:spacing w:line="276" w:lineRule="auto"/>
        <w:rPr>
          <w:rFonts w:ascii="Calibri Light" w:eastAsia="Calibri" w:hAnsi="Calibri Light" w:cs="Calibri Light"/>
          <w:sz w:val="23"/>
          <w:szCs w:val="23"/>
        </w:rPr>
      </w:pPr>
      <w:r w:rsidRPr="00851972">
        <w:rPr>
          <w:rFonts w:ascii="Calibri Light" w:eastAsia="Calibri" w:hAnsi="Calibri Light" w:cs="Calibri Light"/>
          <w:sz w:val="23"/>
          <w:szCs w:val="23"/>
        </w:rPr>
        <w:t>At the time of writing the</w:t>
      </w:r>
      <w:r w:rsidR="00F00E3D" w:rsidRPr="00851972">
        <w:rPr>
          <w:rFonts w:ascii="Calibri Light" w:eastAsia="Calibri" w:hAnsi="Calibri Light" w:cs="Calibri Light"/>
          <w:sz w:val="23"/>
          <w:szCs w:val="23"/>
        </w:rPr>
        <w:t xml:space="preserve"> </w:t>
      </w:r>
      <w:r w:rsidR="00940D80" w:rsidRPr="00851972">
        <w:rPr>
          <w:rFonts w:ascii="Calibri Light" w:eastAsia="Calibri" w:hAnsi="Calibri Light" w:cs="Calibri Light"/>
          <w:sz w:val="23"/>
          <w:szCs w:val="23"/>
        </w:rPr>
        <w:t>COVID</w:t>
      </w:r>
      <w:r w:rsidRPr="00851972">
        <w:rPr>
          <w:rFonts w:ascii="Calibri Light" w:eastAsia="Calibri" w:hAnsi="Calibri Light" w:cs="Calibri Light"/>
          <w:sz w:val="23"/>
          <w:szCs w:val="23"/>
        </w:rPr>
        <w:t>-19</w:t>
      </w:r>
      <w:r w:rsidR="00F00E3D" w:rsidRPr="00851972">
        <w:rPr>
          <w:rFonts w:ascii="Calibri Light" w:eastAsia="Calibri" w:hAnsi="Calibri Light" w:cs="Calibri Light"/>
          <w:sz w:val="23"/>
          <w:szCs w:val="23"/>
        </w:rPr>
        <w:t xml:space="preserve"> pandemic is </w:t>
      </w:r>
      <w:r w:rsidRPr="00851972">
        <w:rPr>
          <w:rFonts w:ascii="Calibri Light" w:eastAsia="Calibri" w:hAnsi="Calibri Light" w:cs="Calibri Light"/>
          <w:sz w:val="23"/>
          <w:szCs w:val="23"/>
        </w:rPr>
        <w:t>far from over</w:t>
      </w:r>
      <w:r w:rsidR="002D655A">
        <w:rPr>
          <w:rFonts w:ascii="Calibri Light" w:eastAsia="Calibri" w:hAnsi="Calibri Light" w:cs="Calibri Light"/>
          <w:sz w:val="23"/>
          <w:szCs w:val="23"/>
        </w:rPr>
        <w:t xml:space="preserve">, and its impact on </w:t>
      </w:r>
      <w:r w:rsidR="008E6B7E">
        <w:rPr>
          <w:rFonts w:ascii="Calibri Light" w:eastAsia="Calibri" w:hAnsi="Calibri Light" w:cs="Calibri Light"/>
          <w:sz w:val="23"/>
          <w:szCs w:val="23"/>
        </w:rPr>
        <w:t>housing is</w:t>
      </w:r>
      <w:r w:rsidR="009445FF">
        <w:rPr>
          <w:rFonts w:ascii="Calibri Light" w:eastAsia="Calibri" w:hAnsi="Calibri Light" w:cs="Calibri Light"/>
          <w:sz w:val="23"/>
          <w:szCs w:val="23"/>
        </w:rPr>
        <w:t xml:space="preserve"> </w:t>
      </w:r>
      <w:r w:rsidR="00B43924">
        <w:rPr>
          <w:rFonts w:ascii="Calibri Light" w:eastAsia="Calibri" w:hAnsi="Calibri Light" w:cs="Calibri Light"/>
          <w:sz w:val="23"/>
          <w:szCs w:val="23"/>
        </w:rPr>
        <w:t>still unfolding</w:t>
      </w:r>
      <w:r w:rsidRPr="00851972">
        <w:rPr>
          <w:rFonts w:ascii="Calibri Light" w:eastAsia="Calibri" w:hAnsi="Calibri Light" w:cs="Calibri Light"/>
          <w:sz w:val="23"/>
          <w:szCs w:val="23"/>
        </w:rPr>
        <w:t>.</w:t>
      </w:r>
      <w:r w:rsidR="00F00E3D" w:rsidRPr="00851972">
        <w:rPr>
          <w:rFonts w:ascii="Calibri Light" w:eastAsia="Calibri" w:hAnsi="Calibri Light" w:cs="Calibri Light"/>
          <w:sz w:val="23"/>
          <w:szCs w:val="23"/>
        </w:rPr>
        <w:t xml:space="preserve"> </w:t>
      </w:r>
      <w:r w:rsidR="00602FB7" w:rsidRPr="00851972">
        <w:rPr>
          <w:rFonts w:ascii="Calibri Light" w:eastAsia="Calibri" w:hAnsi="Calibri Light" w:cs="Calibri Light"/>
          <w:sz w:val="23"/>
          <w:szCs w:val="23"/>
        </w:rPr>
        <w:t>To</w:t>
      </w:r>
      <w:r w:rsidR="00F00E3D" w:rsidRPr="00851972">
        <w:rPr>
          <w:rFonts w:ascii="Calibri Light" w:eastAsia="Calibri" w:hAnsi="Calibri Light" w:cs="Calibri Light"/>
          <w:sz w:val="23"/>
          <w:szCs w:val="23"/>
        </w:rPr>
        <w:t xml:space="preserve"> forecast how </w:t>
      </w:r>
      <w:r w:rsidR="00602FB7" w:rsidRPr="00851972">
        <w:rPr>
          <w:rFonts w:ascii="Calibri Light" w:eastAsia="Calibri" w:hAnsi="Calibri Light" w:cs="Calibri Light"/>
          <w:sz w:val="23"/>
          <w:szCs w:val="23"/>
        </w:rPr>
        <w:t>it</w:t>
      </w:r>
      <w:r w:rsidR="00F00E3D" w:rsidRPr="00851972">
        <w:rPr>
          <w:rFonts w:ascii="Calibri Light" w:eastAsia="Calibri" w:hAnsi="Calibri Light" w:cs="Calibri Light"/>
          <w:sz w:val="23"/>
          <w:szCs w:val="23"/>
        </w:rPr>
        <w:t xml:space="preserve"> may influence the housing market and</w:t>
      </w:r>
      <w:r w:rsidR="00034841">
        <w:rPr>
          <w:rFonts w:ascii="Calibri Light" w:eastAsia="Calibri" w:hAnsi="Calibri Light" w:cs="Calibri Light"/>
          <w:sz w:val="23"/>
          <w:szCs w:val="23"/>
        </w:rPr>
        <w:t xml:space="preserve"> housing</w:t>
      </w:r>
      <w:r w:rsidR="00F00E3D" w:rsidRPr="00851972">
        <w:rPr>
          <w:rFonts w:ascii="Calibri Light" w:eastAsia="Calibri" w:hAnsi="Calibri Light" w:cs="Calibri Light"/>
          <w:sz w:val="23"/>
          <w:szCs w:val="23"/>
        </w:rPr>
        <w:t xml:space="preserve"> affordability</w:t>
      </w:r>
      <w:r w:rsidR="00602FB7" w:rsidRPr="00851972">
        <w:rPr>
          <w:rFonts w:ascii="Calibri Light" w:eastAsia="Calibri" w:hAnsi="Calibri Light" w:cs="Calibri Light"/>
          <w:sz w:val="23"/>
          <w:szCs w:val="23"/>
        </w:rPr>
        <w:t xml:space="preserve"> in the longer term, we first consulted the research literature on major epidemics in history</w:t>
      </w:r>
      <w:r w:rsidR="00F00E3D" w:rsidRPr="00851972">
        <w:rPr>
          <w:rFonts w:ascii="Calibri Light" w:eastAsia="Calibri" w:hAnsi="Calibri Light" w:cs="Calibri Light"/>
          <w:sz w:val="23"/>
          <w:szCs w:val="23"/>
        </w:rPr>
        <w:t xml:space="preserve">. A recent study </w:t>
      </w:r>
      <w:r w:rsidR="00FB36E0" w:rsidRPr="00851972">
        <w:rPr>
          <w:rFonts w:ascii="Calibri Light" w:eastAsia="Calibri" w:hAnsi="Calibri Light" w:cs="Calibri Light"/>
          <w:sz w:val="23"/>
          <w:szCs w:val="23"/>
        </w:rPr>
        <w:t>examining</w:t>
      </w:r>
      <w:r w:rsidR="00F00E3D" w:rsidRPr="00851972">
        <w:rPr>
          <w:rFonts w:ascii="Calibri Light" w:eastAsia="Calibri" w:hAnsi="Calibri Light" w:cs="Calibri Light"/>
          <w:sz w:val="23"/>
          <w:szCs w:val="23"/>
        </w:rPr>
        <w:t xml:space="preserve"> historical outbreaks of the plague in 17th-century Amsterdam and cholera in 19th-century Paris </w:t>
      </w:r>
      <w:r w:rsidR="00D2402A" w:rsidRPr="00851972">
        <w:rPr>
          <w:rFonts w:ascii="Calibri Light" w:eastAsia="Calibri" w:hAnsi="Calibri Light" w:cs="Calibri Light"/>
          <w:sz w:val="23"/>
          <w:szCs w:val="23"/>
        </w:rPr>
        <w:t>revealed that the</w:t>
      </w:r>
      <w:r w:rsidR="00F00E3D" w:rsidRPr="00851972">
        <w:rPr>
          <w:rFonts w:ascii="Calibri Light" w:eastAsia="Calibri" w:hAnsi="Calibri Light" w:cs="Calibri Light"/>
          <w:sz w:val="23"/>
          <w:szCs w:val="23"/>
        </w:rPr>
        <w:t xml:space="preserve"> price shocks of the</w:t>
      </w:r>
      <w:r w:rsidR="00D2402A" w:rsidRPr="00851972">
        <w:rPr>
          <w:rFonts w:ascii="Calibri Light" w:eastAsia="Calibri" w:hAnsi="Calibri Light" w:cs="Calibri Light"/>
          <w:sz w:val="23"/>
          <w:szCs w:val="23"/>
        </w:rPr>
        <w:t>se</w:t>
      </w:r>
      <w:r w:rsidR="00F00E3D" w:rsidRPr="00851972">
        <w:rPr>
          <w:rFonts w:ascii="Calibri Light" w:eastAsia="Calibri" w:hAnsi="Calibri Light" w:cs="Calibri Light"/>
          <w:sz w:val="23"/>
          <w:szCs w:val="23"/>
        </w:rPr>
        <w:t xml:space="preserve"> epidemic</w:t>
      </w:r>
      <w:r w:rsidR="00D2402A" w:rsidRPr="00851972">
        <w:rPr>
          <w:rFonts w:ascii="Calibri Light" w:eastAsia="Calibri" w:hAnsi="Calibri Light" w:cs="Calibri Light"/>
          <w:sz w:val="23"/>
          <w:szCs w:val="23"/>
        </w:rPr>
        <w:t>s</w:t>
      </w:r>
      <w:r w:rsidR="00F00E3D" w:rsidRPr="00851972">
        <w:rPr>
          <w:rFonts w:ascii="Calibri Light" w:eastAsia="Calibri" w:hAnsi="Calibri Light" w:cs="Calibri Light"/>
          <w:sz w:val="23"/>
          <w:szCs w:val="23"/>
        </w:rPr>
        <w:t xml:space="preserve"> were transitory, </w:t>
      </w:r>
      <w:r w:rsidR="00D2402A" w:rsidRPr="00851972">
        <w:rPr>
          <w:rFonts w:ascii="Calibri Light" w:eastAsia="Calibri" w:hAnsi="Calibri Light" w:cs="Calibri Light"/>
          <w:sz w:val="23"/>
          <w:szCs w:val="23"/>
        </w:rPr>
        <w:t>and</w:t>
      </w:r>
      <w:r w:rsidR="00F00E3D" w:rsidRPr="00851972">
        <w:rPr>
          <w:rFonts w:ascii="Calibri Light" w:eastAsia="Calibri" w:hAnsi="Calibri Light" w:cs="Calibri Light"/>
          <w:sz w:val="23"/>
          <w:szCs w:val="23"/>
        </w:rPr>
        <w:t xml:space="preserve"> housing prices quickly revert</w:t>
      </w:r>
      <w:r w:rsidR="00D2402A" w:rsidRPr="00851972">
        <w:rPr>
          <w:rFonts w:ascii="Calibri Light" w:eastAsia="Calibri" w:hAnsi="Calibri Light" w:cs="Calibri Light"/>
          <w:sz w:val="23"/>
          <w:szCs w:val="23"/>
        </w:rPr>
        <w:t xml:space="preserve">ed </w:t>
      </w:r>
      <w:r w:rsidR="004D51EB" w:rsidRPr="004D51EB">
        <w:rPr>
          <w:rFonts w:ascii="Calibri Light" w:eastAsia="Calibri" w:hAnsi="Calibri Light" w:cs="Calibri Light"/>
          <w:sz w:val="23"/>
          <w:szCs w:val="23"/>
        </w:rPr>
        <w:t>to their pre-shock trajectory. Major capital cities also proved more resilient to major epidemic-triggered shocks than was originally expected (</w:t>
      </w:r>
      <w:proofErr w:type="spellStart"/>
      <w:r w:rsidR="004D51EB" w:rsidRPr="004D51EB">
        <w:rPr>
          <w:rFonts w:ascii="Calibri Light" w:eastAsia="Calibri" w:hAnsi="Calibri Light" w:cs="Calibri Light"/>
          <w:sz w:val="23"/>
          <w:szCs w:val="23"/>
        </w:rPr>
        <w:t>Francke</w:t>
      </w:r>
      <w:proofErr w:type="spellEnd"/>
      <w:r w:rsidR="004D51EB" w:rsidRPr="004D51EB">
        <w:rPr>
          <w:rFonts w:ascii="Calibri Light" w:eastAsia="Calibri" w:hAnsi="Calibri Light" w:cs="Calibri Light"/>
          <w:sz w:val="23"/>
          <w:szCs w:val="23"/>
        </w:rPr>
        <w:t xml:space="preserve"> &amp; </w:t>
      </w:r>
      <w:proofErr w:type="spellStart"/>
      <w:r w:rsidR="004D51EB" w:rsidRPr="004D51EB">
        <w:rPr>
          <w:rFonts w:ascii="Calibri Light" w:eastAsia="Calibri" w:hAnsi="Calibri Light" w:cs="Calibri Light"/>
          <w:sz w:val="23"/>
          <w:szCs w:val="23"/>
        </w:rPr>
        <w:t>Korevaar</w:t>
      </w:r>
      <w:proofErr w:type="spellEnd"/>
      <w:r w:rsidR="004D51EB" w:rsidRPr="004D51EB">
        <w:rPr>
          <w:rFonts w:ascii="Calibri Light" w:eastAsia="Calibri" w:hAnsi="Calibri Light" w:cs="Calibri Light"/>
          <w:sz w:val="23"/>
          <w:szCs w:val="23"/>
        </w:rPr>
        <w:t>, 2020).</w:t>
      </w:r>
    </w:p>
    <w:p w14:paraId="62C173AD" w14:textId="7737CED4" w:rsidR="004D51EB" w:rsidRDefault="004D51EB" w:rsidP="004D51EB">
      <w:pPr>
        <w:spacing w:line="276" w:lineRule="auto"/>
        <w:rPr>
          <w:rFonts w:ascii="Calibri Light" w:eastAsia="Calibri" w:hAnsi="Calibri Light" w:cs="Calibri Light"/>
          <w:sz w:val="23"/>
          <w:szCs w:val="23"/>
        </w:rPr>
      </w:pPr>
      <w:r w:rsidRPr="004D51EB">
        <w:rPr>
          <w:rFonts w:ascii="Calibri Light" w:eastAsia="Calibri" w:hAnsi="Calibri Light" w:cs="Calibri Light"/>
          <w:sz w:val="23"/>
          <w:szCs w:val="23"/>
        </w:rPr>
        <w:lastRenderedPageBreak/>
        <w:t xml:space="preserve">Conversely, a neighbourhood-level study examining a cholera epidemic’s impact on a 19th-century London neighbourhood found that </w:t>
      </w:r>
      <w:r w:rsidR="00817BDF">
        <w:rPr>
          <w:rFonts w:ascii="Calibri Light" w:eastAsia="Calibri" w:hAnsi="Calibri Light" w:cs="Calibri Light"/>
          <w:sz w:val="23"/>
          <w:szCs w:val="23"/>
        </w:rPr>
        <w:t>after the epidemic,</w:t>
      </w:r>
      <w:r w:rsidRPr="004D51EB">
        <w:rPr>
          <w:rFonts w:ascii="Calibri Light" w:eastAsia="Calibri" w:hAnsi="Calibri Light" w:cs="Calibri Light"/>
          <w:sz w:val="23"/>
          <w:szCs w:val="23"/>
        </w:rPr>
        <w:t xml:space="preserve"> housing prices in the outbreak suburb remained significantly lower than in other areas. The impact was long-lasting, affecting the structure and pattern of local housing markets over the next 160 years (</w:t>
      </w:r>
      <w:proofErr w:type="spellStart"/>
      <w:r w:rsidRPr="004D51EB">
        <w:rPr>
          <w:rFonts w:ascii="Calibri Light" w:eastAsia="Calibri" w:hAnsi="Calibri Light" w:cs="Calibri Light"/>
          <w:sz w:val="23"/>
          <w:szCs w:val="23"/>
        </w:rPr>
        <w:t>Ambrus</w:t>
      </w:r>
      <w:proofErr w:type="spellEnd"/>
      <w:r w:rsidRPr="004D51EB">
        <w:rPr>
          <w:rFonts w:ascii="Calibri Light" w:eastAsia="Calibri" w:hAnsi="Calibri Light" w:cs="Calibri Light"/>
          <w:sz w:val="23"/>
          <w:szCs w:val="23"/>
        </w:rPr>
        <w:t xml:space="preserve"> et al., 2020). A study of Hong Kong’s 2003 Severe Acute Respiratory Syndrome (SARS) pandemic found the crisis had a dampening effect on the housing market, but the impact was smaller and more rational than expected (Wong, 2008). Other research supports the idea that while major pandemics lead to drops in property prices, the property market is impacted less severely than the stock market (Li &amp; Yao, 2020; </w:t>
      </w:r>
      <w:proofErr w:type="spellStart"/>
      <w:r w:rsidRPr="004D51EB">
        <w:rPr>
          <w:rFonts w:ascii="Calibri Light" w:eastAsia="Calibri" w:hAnsi="Calibri Light" w:cs="Calibri Light"/>
          <w:sz w:val="23"/>
          <w:szCs w:val="23"/>
        </w:rPr>
        <w:t>Ortmann</w:t>
      </w:r>
      <w:proofErr w:type="spellEnd"/>
      <w:r w:rsidRPr="004D51EB">
        <w:rPr>
          <w:rFonts w:ascii="Calibri Light" w:eastAsia="Calibri" w:hAnsi="Calibri Light" w:cs="Calibri Light"/>
          <w:sz w:val="23"/>
          <w:szCs w:val="23"/>
        </w:rPr>
        <w:t xml:space="preserve"> et al., 2020).</w:t>
      </w:r>
    </w:p>
    <w:p w14:paraId="2A740576" w14:textId="73CB8BDC" w:rsidR="00153E5A" w:rsidRDefault="00B43924" w:rsidP="004D51EB">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R</w:t>
      </w:r>
      <w:r w:rsidR="007B2FC2" w:rsidRPr="001163CA">
        <w:rPr>
          <w:rFonts w:ascii="Calibri Light" w:eastAsia="Calibri" w:hAnsi="Calibri Light" w:cs="Calibri Light"/>
          <w:sz w:val="23"/>
          <w:szCs w:val="23"/>
        </w:rPr>
        <w:t>esearch assessing</w:t>
      </w:r>
      <w:r w:rsidR="00F00E3D" w:rsidRPr="001163CA">
        <w:rPr>
          <w:rFonts w:ascii="Calibri Light" w:eastAsia="Calibri" w:hAnsi="Calibri Light" w:cs="Calibri Light"/>
          <w:sz w:val="23"/>
          <w:szCs w:val="23"/>
        </w:rPr>
        <w:t xml:space="preserve"> </w:t>
      </w:r>
      <w:r w:rsidR="00940D80" w:rsidRPr="001163CA">
        <w:rPr>
          <w:rFonts w:ascii="Calibri Light" w:eastAsia="Calibri" w:hAnsi="Calibri Light" w:cs="Calibri Light"/>
          <w:sz w:val="23"/>
          <w:szCs w:val="23"/>
        </w:rPr>
        <w:t>COVID</w:t>
      </w:r>
      <w:r w:rsidR="008A1CB5" w:rsidRPr="001163CA">
        <w:rPr>
          <w:rFonts w:ascii="Calibri Light" w:eastAsia="Calibri" w:hAnsi="Calibri Light" w:cs="Calibri Light"/>
          <w:sz w:val="23"/>
          <w:szCs w:val="23"/>
        </w:rPr>
        <w:t>-19</w:t>
      </w:r>
      <w:r w:rsidR="00836E0E" w:rsidRPr="001163CA">
        <w:rPr>
          <w:rFonts w:ascii="Calibri Light" w:eastAsia="Calibri" w:hAnsi="Calibri Light" w:cs="Calibri Light"/>
          <w:sz w:val="23"/>
          <w:szCs w:val="23"/>
        </w:rPr>
        <w:t>’</w:t>
      </w:r>
      <w:r w:rsidR="008A1CB5" w:rsidRPr="001163CA">
        <w:rPr>
          <w:rFonts w:ascii="Calibri Light" w:eastAsia="Calibri" w:hAnsi="Calibri Light" w:cs="Calibri Light"/>
          <w:sz w:val="23"/>
          <w:szCs w:val="23"/>
        </w:rPr>
        <w:t>s impact</w:t>
      </w:r>
      <w:r w:rsidR="00F00E3D" w:rsidRPr="001163CA">
        <w:rPr>
          <w:rFonts w:ascii="Calibri Light" w:eastAsia="Calibri" w:hAnsi="Calibri Light" w:cs="Calibri Light"/>
          <w:sz w:val="23"/>
          <w:szCs w:val="23"/>
        </w:rPr>
        <w:t xml:space="preserve"> on the housing market </w:t>
      </w:r>
      <w:r w:rsidR="00EA10B8" w:rsidRPr="001163CA">
        <w:rPr>
          <w:rFonts w:ascii="Calibri Light" w:eastAsia="Calibri" w:hAnsi="Calibri Light" w:cs="Calibri Light"/>
          <w:sz w:val="23"/>
          <w:szCs w:val="23"/>
        </w:rPr>
        <w:t xml:space="preserve">and </w:t>
      </w:r>
      <w:r w:rsidR="001F31BA" w:rsidRPr="001163CA">
        <w:rPr>
          <w:rFonts w:ascii="Calibri Light" w:eastAsia="Calibri" w:hAnsi="Calibri Light" w:cs="Calibri Light"/>
          <w:sz w:val="23"/>
          <w:szCs w:val="23"/>
        </w:rPr>
        <w:t xml:space="preserve">housing </w:t>
      </w:r>
      <w:r w:rsidR="00EA10B8" w:rsidRPr="001163CA">
        <w:rPr>
          <w:rFonts w:ascii="Calibri Light" w:eastAsia="Calibri" w:hAnsi="Calibri Light" w:cs="Calibri Light"/>
          <w:sz w:val="23"/>
          <w:szCs w:val="23"/>
        </w:rPr>
        <w:t xml:space="preserve">affordability </w:t>
      </w:r>
      <w:r w:rsidR="00F00E3D" w:rsidRPr="001163CA">
        <w:rPr>
          <w:rFonts w:ascii="Calibri Light" w:eastAsia="Calibri" w:hAnsi="Calibri Light" w:cs="Calibri Light"/>
          <w:sz w:val="23"/>
          <w:szCs w:val="23"/>
        </w:rPr>
        <w:t xml:space="preserve">is </w:t>
      </w:r>
      <w:r w:rsidR="004F43EE">
        <w:rPr>
          <w:rFonts w:ascii="Calibri Light" w:eastAsia="Calibri" w:hAnsi="Calibri Light" w:cs="Calibri Light"/>
          <w:sz w:val="23"/>
          <w:szCs w:val="23"/>
        </w:rPr>
        <w:t xml:space="preserve">currently </w:t>
      </w:r>
      <w:r w:rsidR="00F00E3D" w:rsidRPr="001163CA">
        <w:rPr>
          <w:rFonts w:ascii="Calibri Light" w:eastAsia="Calibri" w:hAnsi="Calibri Light" w:cs="Calibri Light"/>
          <w:sz w:val="23"/>
          <w:szCs w:val="23"/>
        </w:rPr>
        <w:t>limited</w:t>
      </w:r>
      <w:r w:rsidR="008A1CB5" w:rsidRPr="001163CA">
        <w:rPr>
          <w:rFonts w:ascii="Calibri Light" w:eastAsia="Calibri" w:hAnsi="Calibri Light" w:cs="Calibri Light"/>
          <w:sz w:val="23"/>
          <w:szCs w:val="23"/>
        </w:rPr>
        <w:t>,</w:t>
      </w:r>
      <w:r w:rsidR="00F00E3D" w:rsidRPr="001163CA">
        <w:rPr>
          <w:rFonts w:ascii="Calibri Light" w:eastAsia="Calibri" w:hAnsi="Calibri Light" w:cs="Calibri Light"/>
          <w:sz w:val="23"/>
          <w:szCs w:val="23"/>
        </w:rPr>
        <w:t xml:space="preserve"> but fast growing. </w:t>
      </w:r>
      <w:r w:rsidR="007A2AAA" w:rsidRPr="001163CA">
        <w:rPr>
          <w:rFonts w:ascii="Calibri Light" w:eastAsia="Calibri" w:hAnsi="Calibri Light" w:cs="Calibri Light"/>
          <w:sz w:val="23"/>
          <w:szCs w:val="23"/>
        </w:rPr>
        <w:t xml:space="preserve">One </w:t>
      </w:r>
      <w:r w:rsidR="00E97DBF" w:rsidRPr="001163CA">
        <w:rPr>
          <w:rFonts w:ascii="Calibri Light" w:eastAsia="Calibri" w:hAnsi="Calibri Light" w:cs="Calibri Light"/>
          <w:sz w:val="23"/>
          <w:szCs w:val="23"/>
        </w:rPr>
        <w:t xml:space="preserve">US </w:t>
      </w:r>
      <w:r w:rsidR="00D54A6F" w:rsidRPr="001163CA">
        <w:rPr>
          <w:rFonts w:ascii="Calibri Light" w:eastAsia="Calibri" w:hAnsi="Calibri Light" w:cs="Calibri Light"/>
          <w:sz w:val="23"/>
          <w:szCs w:val="23"/>
        </w:rPr>
        <w:t xml:space="preserve">study </w:t>
      </w:r>
      <w:r w:rsidR="00F00E3D" w:rsidRPr="001163CA">
        <w:rPr>
          <w:rFonts w:ascii="Calibri Light" w:eastAsia="Calibri" w:hAnsi="Calibri Light" w:cs="Calibri Light"/>
          <w:sz w:val="23"/>
          <w:szCs w:val="23"/>
        </w:rPr>
        <w:t xml:space="preserve">found </w:t>
      </w:r>
      <w:r w:rsidR="008A1CB5" w:rsidRPr="001163CA">
        <w:rPr>
          <w:rFonts w:ascii="Calibri Light" w:eastAsia="Calibri" w:hAnsi="Calibri Light" w:cs="Calibri Light"/>
          <w:sz w:val="23"/>
          <w:szCs w:val="23"/>
        </w:rPr>
        <w:t>that</w:t>
      </w:r>
      <w:r w:rsidR="00F00E3D" w:rsidRPr="001163CA">
        <w:rPr>
          <w:rFonts w:ascii="Calibri Light" w:eastAsia="Calibri" w:hAnsi="Calibri Light" w:cs="Calibri Light"/>
          <w:sz w:val="23"/>
          <w:szCs w:val="23"/>
        </w:rPr>
        <w:t xml:space="preserve"> </w:t>
      </w:r>
      <w:r w:rsidR="009D1151" w:rsidRPr="001163CA">
        <w:rPr>
          <w:rFonts w:ascii="Calibri Light" w:eastAsia="Calibri" w:hAnsi="Calibri Light" w:cs="Calibri Light"/>
          <w:sz w:val="23"/>
          <w:szCs w:val="23"/>
        </w:rPr>
        <w:t>increase</w:t>
      </w:r>
      <w:r w:rsidR="00DB5719" w:rsidRPr="001163CA">
        <w:rPr>
          <w:rFonts w:ascii="Calibri Light" w:eastAsia="Calibri" w:hAnsi="Calibri Light" w:cs="Calibri Light"/>
          <w:sz w:val="23"/>
          <w:szCs w:val="23"/>
        </w:rPr>
        <w:t>s in new</w:t>
      </w:r>
      <w:r w:rsidR="009D1151" w:rsidRPr="001163CA">
        <w:rPr>
          <w:rFonts w:ascii="Calibri Light" w:eastAsia="Calibri" w:hAnsi="Calibri Light" w:cs="Calibri Light"/>
          <w:sz w:val="23"/>
          <w:szCs w:val="23"/>
        </w:rPr>
        <w:t xml:space="preserve"> </w:t>
      </w:r>
      <w:r w:rsidR="00940D80" w:rsidRPr="001163CA">
        <w:rPr>
          <w:rFonts w:ascii="Calibri Light" w:eastAsia="Calibri" w:hAnsi="Calibri Light" w:cs="Calibri Light"/>
          <w:sz w:val="23"/>
          <w:szCs w:val="23"/>
        </w:rPr>
        <w:t>COVID</w:t>
      </w:r>
      <w:r w:rsidR="008A1CB5" w:rsidRPr="001163CA">
        <w:rPr>
          <w:rFonts w:ascii="Calibri Light" w:eastAsia="Calibri" w:hAnsi="Calibri Light" w:cs="Calibri Light"/>
          <w:sz w:val="23"/>
          <w:szCs w:val="23"/>
        </w:rPr>
        <w:t>-19</w:t>
      </w:r>
      <w:r w:rsidR="00F00E3D" w:rsidRPr="001163CA">
        <w:rPr>
          <w:rFonts w:ascii="Calibri Light" w:eastAsia="Calibri" w:hAnsi="Calibri Light" w:cs="Calibri Light"/>
          <w:sz w:val="23"/>
          <w:szCs w:val="23"/>
        </w:rPr>
        <w:t xml:space="preserve"> </w:t>
      </w:r>
      <w:r w:rsidR="009D1151" w:rsidRPr="001163CA">
        <w:rPr>
          <w:rFonts w:ascii="Calibri Light" w:eastAsia="Calibri" w:hAnsi="Calibri Light" w:cs="Calibri Light"/>
          <w:sz w:val="23"/>
          <w:szCs w:val="23"/>
        </w:rPr>
        <w:t>cases</w:t>
      </w:r>
      <w:r w:rsidR="00DB5719" w:rsidRPr="001163CA">
        <w:rPr>
          <w:rFonts w:ascii="Calibri Light" w:eastAsia="Calibri" w:hAnsi="Calibri Light" w:cs="Calibri Light"/>
          <w:sz w:val="23"/>
          <w:szCs w:val="23"/>
        </w:rPr>
        <w:t xml:space="preserve"> tended to depress </w:t>
      </w:r>
      <w:r w:rsidR="003514DE">
        <w:rPr>
          <w:rFonts w:ascii="Calibri Light" w:eastAsia="Calibri" w:hAnsi="Calibri Light" w:cs="Calibri Light"/>
          <w:sz w:val="23"/>
          <w:szCs w:val="23"/>
        </w:rPr>
        <w:t>house</w:t>
      </w:r>
      <w:r w:rsidR="00DB5719" w:rsidRPr="001163CA">
        <w:rPr>
          <w:rFonts w:ascii="Calibri Light" w:eastAsia="Calibri" w:hAnsi="Calibri Light" w:cs="Calibri Light"/>
          <w:sz w:val="23"/>
          <w:szCs w:val="23"/>
        </w:rPr>
        <w:t xml:space="preserve"> prices</w:t>
      </w:r>
      <w:r w:rsidR="003514DE">
        <w:rPr>
          <w:rFonts w:ascii="Calibri Light" w:eastAsia="Calibri" w:hAnsi="Calibri Light" w:cs="Calibri Light"/>
          <w:sz w:val="23"/>
          <w:szCs w:val="23"/>
        </w:rPr>
        <w:t xml:space="preserve">, </w:t>
      </w:r>
      <w:r w:rsidR="003B6C3C">
        <w:rPr>
          <w:rFonts w:ascii="Calibri Light" w:eastAsia="Calibri" w:hAnsi="Calibri Light" w:cs="Calibri Light"/>
          <w:sz w:val="23"/>
          <w:szCs w:val="23"/>
        </w:rPr>
        <w:t xml:space="preserve">that buyers </w:t>
      </w:r>
      <w:r w:rsidR="00861DE7">
        <w:rPr>
          <w:rFonts w:ascii="Calibri Light" w:eastAsia="Calibri" w:hAnsi="Calibri Light" w:cs="Calibri Light"/>
          <w:sz w:val="23"/>
          <w:szCs w:val="23"/>
        </w:rPr>
        <w:t>may</w:t>
      </w:r>
      <w:r w:rsidR="003B6C3C">
        <w:rPr>
          <w:rFonts w:ascii="Calibri Light" w:eastAsia="Calibri" w:hAnsi="Calibri Light" w:cs="Calibri Light"/>
          <w:sz w:val="23"/>
          <w:szCs w:val="23"/>
        </w:rPr>
        <w:t xml:space="preserve"> avoid </w:t>
      </w:r>
      <w:r w:rsidR="00861DE7">
        <w:rPr>
          <w:rFonts w:ascii="Calibri Light" w:eastAsia="Calibri" w:hAnsi="Calibri Light" w:cs="Calibri Light"/>
          <w:sz w:val="23"/>
          <w:szCs w:val="23"/>
        </w:rPr>
        <w:t xml:space="preserve">areas with high </w:t>
      </w:r>
      <w:r w:rsidR="00861DE7" w:rsidRPr="00F0378E">
        <w:rPr>
          <w:rFonts w:ascii="Calibri Light" w:eastAsia="Calibri" w:hAnsi="Calibri Light" w:cs="Calibri Light"/>
          <w:sz w:val="23"/>
          <w:szCs w:val="23"/>
        </w:rPr>
        <w:t>infection rates,</w:t>
      </w:r>
      <w:r w:rsidR="003B6C3C" w:rsidRPr="00F0378E">
        <w:rPr>
          <w:rFonts w:ascii="Calibri Light" w:eastAsia="Calibri" w:hAnsi="Calibri Light" w:cs="Calibri Light"/>
          <w:sz w:val="23"/>
          <w:szCs w:val="23"/>
        </w:rPr>
        <w:t xml:space="preserve"> </w:t>
      </w:r>
      <w:r w:rsidR="003514DE" w:rsidRPr="00F0378E">
        <w:rPr>
          <w:rFonts w:ascii="Calibri Light" w:eastAsia="Calibri" w:hAnsi="Calibri Light" w:cs="Calibri Light"/>
          <w:sz w:val="23"/>
          <w:szCs w:val="23"/>
        </w:rPr>
        <w:t>and that</w:t>
      </w:r>
      <w:r w:rsidR="001A488B" w:rsidRPr="00F0378E">
        <w:rPr>
          <w:rFonts w:ascii="Calibri Light" w:eastAsia="Calibri" w:hAnsi="Calibri Light" w:cs="Calibri Light"/>
          <w:sz w:val="23"/>
          <w:szCs w:val="23"/>
        </w:rPr>
        <w:t xml:space="preserve"> </w:t>
      </w:r>
      <w:r w:rsidR="004C5110" w:rsidRPr="00F0378E">
        <w:rPr>
          <w:rFonts w:ascii="Calibri Light" w:eastAsia="Calibri" w:hAnsi="Calibri Light" w:cs="Calibri Light"/>
          <w:sz w:val="23"/>
          <w:szCs w:val="23"/>
        </w:rPr>
        <w:t>lockdowns had a</w:t>
      </w:r>
      <w:r w:rsidR="000B249A">
        <w:rPr>
          <w:rFonts w:ascii="Calibri Light" w:eastAsia="Calibri" w:hAnsi="Calibri Light" w:cs="Calibri Light"/>
          <w:sz w:val="23"/>
          <w:szCs w:val="23"/>
        </w:rPr>
        <w:t>n average</w:t>
      </w:r>
      <w:r w:rsidR="004C5110" w:rsidRPr="00F0378E">
        <w:rPr>
          <w:rFonts w:ascii="Calibri Light" w:eastAsia="Calibri" w:hAnsi="Calibri Light" w:cs="Calibri Light"/>
          <w:sz w:val="23"/>
          <w:szCs w:val="23"/>
        </w:rPr>
        <w:t xml:space="preserve"> </w:t>
      </w:r>
      <w:r w:rsidR="001A488B" w:rsidRPr="00F0378E">
        <w:rPr>
          <w:rFonts w:ascii="Calibri Light" w:eastAsia="Calibri" w:hAnsi="Calibri Light" w:cs="Calibri Light"/>
          <w:sz w:val="23"/>
          <w:szCs w:val="23"/>
        </w:rPr>
        <w:t>cooling</w:t>
      </w:r>
      <w:r w:rsidR="004C5110" w:rsidRPr="00F0378E">
        <w:rPr>
          <w:rFonts w:ascii="Calibri Light" w:eastAsia="Calibri" w:hAnsi="Calibri Light" w:cs="Calibri Light"/>
          <w:sz w:val="23"/>
          <w:szCs w:val="23"/>
        </w:rPr>
        <w:t xml:space="preserve"> </w:t>
      </w:r>
      <w:r w:rsidR="003B6C3C" w:rsidRPr="00F0378E">
        <w:rPr>
          <w:rFonts w:ascii="Calibri Light" w:eastAsia="Calibri" w:hAnsi="Calibri Light" w:cs="Calibri Light"/>
          <w:sz w:val="23"/>
          <w:szCs w:val="23"/>
        </w:rPr>
        <w:t>effect on the housing market</w:t>
      </w:r>
      <w:r w:rsidR="009D1151" w:rsidRPr="00F0378E">
        <w:rPr>
          <w:rFonts w:ascii="Calibri Light" w:eastAsia="Calibri" w:hAnsi="Calibri Light" w:cs="Calibri Light"/>
          <w:sz w:val="23"/>
          <w:szCs w:val="23"/>
        </w:rPr>
        <w:t xml:space="preserve"> </w:t>
      </w:r>
      <w:r w:rsidR="00F00E3D" w:rsidRPr="00F0378E">
        <w:rPr>
          <w:rFonts w:ascii="Calibri Light" w:eastAsia="Calibri" w:hAnsi="Calibri Light" w:cs="Calibri Light"/>
          <w:noProof/>
          <w:sz w:val="23"/>
          <w:szCs w:val="23"/>
        </w:rPr>
        <w:t>(D</w:t>
      </w:r>
      <w:r w:rsidR="00072270" w:rsidRPr="00F0378E">
        <w:rPr>
          <w:rFonts w:ascii="Calibri Light" w:eastAsia="Calibri" w:hAnsi="Calibri Light" w:cs="Calibri Light"/>
          <w:noProof/>
          <w:sz w:val="23"/>
          <w:szCs w:val="23"/>
        </w:rPr>
        <w:t>’</w:t>
      </w:r>
      <w:r w:rsidR="00F00E3D" w:rsidRPr="00F0378E">
        <w:rPr>
          <w:rFonts w:ascii="Calibri Light" w:eastAsia="Calibri" w:hAnsi="Calibri Light" w:cs="Calibri Light"/>
          <w:noProof/>
          <w:sz w:val="23"/>
          <w:szCs w:val="23"/>
        </w:rPr>
        <w:t>Lima</w:t>
      </w:r>
      <w:r w:rsidR="00006523" w:rsidRPr="00F0378E">
        <w:rPr>
          <w:rFonts w:ascii="Calibri Light" w:eastAsia="Calibri" w:hAnsi="Calibri Light" w:cs="Calibri Light"/>
          <w:noProof/>
          <w:sz w:val="23"/>
          <w:szCs w:val="23"/>
        </w:rPr>
        <w:t xml:space="preserve"> et al.</w:t>
      </w:r>
      <w:r w:rsidR="00F00E3D" w:rsidRPr="00F0378E">
        <w:rPr>
          <w:rFonts w:ascii="Calibri Light" w:eastAsia="Calibri" w:hAnsi="Calibri Light" w:cs="Calibri Light"/>
          <w:noProof/>
          <w:sz w:val="23"/>
          <w:szCs w:val="23"/>
        </w:rPr>
        <w:t>, 2020)</w:t>
      </w:r>
      <w:r w:rsidR="00F00E3D" w:rsidRPr="00F0378E">
        <w:rPr>
          <w:rFonts w:ascii="Calibri Light" w:eastAsia="Calibri" w:hAnsi="Calibri Light" w:cs="Calibri Light"/>
          <w:sz w:val="23"/>
          <w:szCs w:val="23"/>
        </w:rPr>
        <w:t xml:space="preserve">. </w:t>
      </w:r>
      <w:r w:rsidR="00006523" w:rsidRPr="00F0378E">
        <w:rPr>
          <w:rFonts w:ascii="Calibri Light" w:eastAsia="Calibri" w:hAnsi="Calibri Light" w:cs="Calibri Light"/>
          <w:sz w:val="23"/>
          <w:szCs w:val="23"/>
        </w:rPr>
        <w:t>A</w:t>
      </w:r>
      <w:r w:rsidR="00F00E3D" w:rsidRPr="00F0378E">
        <w:rPr>
          <w:rFonts w:ascii="Calibri Light" w:eastAsia="Calibri" w:hAnsi="Calibri Light" w:cs="Calibri Light"/>
          <w:sz w:val="23"/>
          <w:szCs w:val="23"/>
        </w:rPr>
        <w:t xml:space="preserve"> recent </w:t>
      </w:r>
      <w:r w:rsidR="00006523" w:rsidRPr="00F0378E">
        <w:rPr>
          <w:rFonts w:ascii="Calibri Light" w:eastAsia="Calibri" w:hAnsi="Calibri Light" w:cs="Calibri Light"/>
          <w:sz w:val="23"/>
          <w:szCs w:val="23"/>
        </w:rPr>
        <w:t xml:space="preserve">Australian </w:t>
      </w:r>
      <w:r w:rsidR="00F00E3D" w:rsidRPr="00F0378E">
        <w:rPr>
          <w:rFonts w:ascii="Calibri Light" w:eastAsia="Calibri" w:hAnsi="Calibri Light" w:cs="Calibri Light"/>
          <w:sz w:val="23"/>
          <w:szCs w:val="23"/>
        </w:rPr>
        <w:t xml:space="preserve">study </w:t>
      </w:r>
      <w:r w:rsidR="000B249A">
        <w:rPr>
          <w:rFonts w:ascii="Calibri Light" w:eastAsia="Calibri" w:hAnsi="Calibri Light" w:cs="Calibri Light"/>
          <w:sz w:val="23"/>
          <w:szCs w:val="23"/>
        </w:rPr>
        <w:t>of</w:t>
      </w:r>
      <w:r w:rsidR="00F00E3D" w:rsidRPr="00F0378E">
        <w:rPr>
          <w:rFonts w:ascii="Calibri Light" w:eastAsia="Calibri" w:hAnsi="Calibri Light" w:cs="Calibri Light"/>
          <w:sz w:val="23"/>
          <w:szCs w:val="23"/>
        </w:rPr>
        <w:t xml:space="preserve"> five capital cities found </w:t>
      </w:r>
      <w:r w:rsidR="007E144D" w:rsidRPr="00F0378E">
        <w:rPr>
          <w:rFonts w:ascii="Calibri Light" w:eastAsia="Calibri" w:hAnsi="Calibri Light" w:cs="Calibri Light"/>
          <w:sz w:val="23"/>
          <w:szCs w:val="23"/>
        </w:rPr>
        <w:t xml:space="preserve">a negative </w:t>
      </w:r>
      <w:r w:rsidR="00C6477B" w:rsidRPr="00F0378E">
        <w:rPr>
          <w:rFonts w:ascii="Calibri Light" w:eastAsia="Calibri" w:hAnsi="Calibri Light" w:cs="Calibri Light"/>
          <w:sz w:val="23"/>
          <w:szCs w:val="23"/>
        </w:rPr>
        <w:t>relationship</w:t>
      </w:r>
      <w:r w:rsidR="007E144D" w:rsidRPr="00F0378E">
        <w:rPr>
          <w:rFonts w:ascii="Calibri Light" w:eastAsia="Calibri" w:hAnsi="Calibri Light" w:cs="Calibri Light"/>
          <w:sz w:val="23"/>
          <w:szCs w:val="23"/>
        </w:rPr>
        <w:t xml:space="preserve"> between</w:t>
      </w:r>
      <w:r w:rsidR="00F00E3D" w:rsidRPr="00F0378E">
        <w:rPr>
          <w:rFonts w:ascii="Calibri Light" w:eastAsia="Calibri" w:hAnsi="Calibri Light" w:cs="Calibri Light"/>
          <w:sz w:val="23"/>
          <w:szCs w:val="23"/>
        </w:rPr>
        <w:t xml:space="preserve"> </w:t>
      </w:r>
      <w:r w:rsidR="005E366D" w:rsidRPr="00F0378E">
        <w:rPr>
          <w:rFonts w:ascii="Calibri Light" w:eastAsia="Calibri" w:hAnsi="Calibri Light" w:cs="Calibri Light"/>
          <w:sz w:val="23"/>
          <w:szCs w:val="23"/>
        </w:rPr>
        <w:t xml:space="preserve">daily housing </w:t>
      </w:r>
      <w:r w:rsidR="00DF6ED7">
        <w:rPr>
          <w:rFonts w:ascii="Calibri Light" w:eastAsia="Calibri" w:hAnsi="Calibri Light" w:cs="Calibri Light"/>
          <w:sz w:val="23"/>
          <w:szCs w:val="23"/>
        </w:rPr>
        <w:t xml:space="preserve">sale </w:t>
      </w:r>
      <w:r w:rsidR="005E366D" w:rsidRPr="00F0378E">
        <w:rPr>
          <w:rFonts w:ascii="Calibri Light" w:eastAsia="Calibri" w:hAnsi="Calibri Light" w:cs="Calibri Light"/>
          <w:sz w:val="23"/>
          <w:szCs w:val="23"/>
        </w:rPr>
        <w:t xml:space="preserve">returns </w:t>
      </w:r>
      <w:r w:rsidR="00430BBE" w:rsidRPr="00F0378E">
        <w:rPr>
          <w:rFonts w:ascii="Calibri Light" w:eastAsia="Calibri" w:hAnsi="Calibri Light" w:cs="Calibri Light"/>
          <w:sz w:val="23"/>
          <w:szCs w:val="23"/>
        </w:rPr>
        <w:t xml:space="preserve">and </w:t>
      </w:r>
      <w:r w:rsidR="00C13BDB" w:rsidRPr="00F0378E">
        <w:rPr>
          <w:rFonts w:ascii="Calibri Light" w:eastAsia="Calibri" w:hAnsi="Calibri Light" w:cs="Calibri Light"/>
          <w:sz w:val="23"/>
          <w:szCs w:val="23"/>
        </w:rPr>
        <w:t xml:space="preserve">reported </w:t>
      </w:r>
      <w:r w:rsidR="00C6477B" w:rsidRPr="00F0378E">
        <w:rPr>
          <w:rFonts w:ascii="Calibri Light" w:eastAsia="Calibri" w:hAnsi="Calibri Light" w:cs="Calibri Light"/>
          <w:sz w:val="23"/>
          <w:szCs w:val="23"/>
        </w:rPr>
        <w:t>COVID-19 cases</w:t>
      </w:r>
      <w:r w:rsidR="00795BC4" w:rsidRPr="00F0378E">
        <w:rPr>
          <w:rFonts w:ascii="Calibri Light" w:eastAsia="Calibri" w:hAnsi="Calibri Light" w:cs="Calibri Light"/>
          <w:sz w:val="23"/>
          <w:szCs w:val="23"/>
        </w:rPr>
        <w:t>: h</w:t>
      </w:r>
      <w:r w:rsidR="00F00E3D" w:rsidRPr="00F0378E">
        <w:rPr>
          <w:rFonts w:ascii="Calibri Light" w:eastAsia="Calibri" w:hAnsi="Calibri Light" w:cs="Calibri Light"/>
          <w:sz w:val="23"/>
          <w:szCs w:val="23"/>
        </w:rPr>
        <w:t xml:space="preserve">ousing value </w:t>
      </w:r>
      <w:r w:rsidR="005E366D" w:rsidRPr="00F0378E">
        <w:rPr>
          <w:rFonts w:ascii="Calibri Light" w:eastAsia="Calibri" w:hAnsi="Calibri Light" w:cs="Calibri Light"/>
          <w:sz w:val="23"/>
          <w:szCs w:val="23"/>
        </w:rPr>
        <w:t>dropped</w:t>
      </w:r>
      <w:r w:rsidR="00F00E3D" w:rsidRPr="00F0378E">
        <w:rPr>
          <w:rFonts w:ascii="Calibri Light" w:eastAsia="Calibri" w:hAnsi="Calibri Light" w:cs="Calibri Light"/>
          <w:sz w:val="23"/>
          <w:szCs w:val="23"/>
        </w:rPr>
        <w:t xml:space="preserve"> 1.26</w:t>
      </w:r>
      <w:r w:rsidR="00E87911" w:rsidRPr="00F0378E">
        <w:rPr>
          <w:rFonts w:ascii="Calibri Light" w:eastAsia="Calibri" w:hAnsi="Calibri Light" w:cs="Calibri Light"/>
          <w:sz w:val="23"/>
          <w:szCs w:val="23"/>
        </w:rPr>
        <w:t xml:space="preserve"> percent</w:t>
      </w:r>
      <w:r w:rsidR="00F00E3D" w:rsidRPr="00F0378E">
        <w:rPr>
          <w:rFonts w:ascii="Calibri Light" w:eastAsia="Calibri" w:hAnsi="Calibri Light" w:cs="Calibri Light"/>
          <w:sz w:val="23"/>
          <w:szCs w:val="23"/>
        </w:rPr>
        <w:t xml:space="preserve"> per year </w:t>
      </w:r>
      <w:r w:rsidR="00C13BDB" w:rsidRPr="00F0378E">
        <w:rPr>
          <w:rFonts w:ascii="Calibri Light" w:eastAsia="Calibri" w:hAnsi="Calibri Light" w:cs="Calibri Light"/>
          <w:sz w:val="23"/>
          <w:szCs w:val="23"/>
        </w:rPr>
        <w:t>for every doubling of</w:t>
      </w:r>
      <w:r w:rsidR="00F00E3D" w:rsidRPr="00F0378E">
        <w:rPr>
          <w:rFonts w:ascii="Calibri Light" w:eastAsia="Calibri" w:hAnsi="Calibri Light" w:cs="Calibri Light"/>
          <w:sz w:val="23"/>
          <w:szCs w:val="23"/>
        </w:rPr>
        <w:t xml:space="preserve"> daily </w:t>
      </w:r>
      <w:r w:rsidR="00C13BDB" w:rsidRPr="00F0378E">
        <w:rPr>
          <w:rFonts w:ascii="Calibri Light" w:eastAsia="Calibri" w:hAnsi="Calibri Light" w:cs="Calibri Light"/>
          <w:sz w:val="23"/>
          <w:szCs w:val="23"/>
        </w:rPr>
        <w:t>infection</w:t>
      </w:r>
      <w:r w:rsidR="00F00E3D" w:rsidRPr="001163CA">
        <w:rPr>
          <w:rFonts w:ascii="Calibri Light" w:eastAsia="Calibri" w:hAnsi="Calibri Light" w:cs="Calibri Light"/>
          <w:sz w:val="23"/>
          <w:szCs w:val="23"/>
        </w:rPr>
        <w:t xml:space="preserve"> numbers</w:t>
      </w:r>
      <w:r w:rsidR="00DF6ED7">
        <w:rPr>
          <w:rFonts w:ascii="Calibri Light" w:eastAsia="Calibri" w:hAnsi="Calibri Light" w:cs="Calibri Light"/>
          <w:sz w:val="23"/>
          <w:szCs w:val="23"/>
        </w:rPr>
        <w:t xml:space="preserve"> </w:t>
      </w:r>
      <w:r w:rsidR="00F00E3D" w:rsidRPr="001163CA">
        <w:rPr>
          <w:rFonts w:ascii="Calibri Light" w:eastAsia="Calibri" w:hAnsi="Calibri Light" w:cs="Calibri Light"/>
          <w:noProof/>
          <w:sz w:val="23"/>
          <w:szCs w:val="23"/>
        </w:rPr>
        <w:t>(Hu</w:t>
      </w:r>
      <w:r w:rsidR="00796435" w:rsidRPr="001163CA">
        <w:rPr>
          <w:rFonts w:ascii="Calibri Light" w:eastAsia="Calibri" w:hAnsi="Calibri Light" w:cs="Calibri Light"/>
          <w:noProof/>
          <w:sz w:val="23"/>
          <w:szCs w:val="23"/>
        </w:rPr>
        <w:t xml:space="preserve"> et al.</w:t>
      </w:r>
      <w:r w:rsidR="00F00E3D" w:rsidRPr="001163CA">
        <w:rPr>
          <w:rFonts w:ascii="Calibri Light" w:eastAsia="Calibri" w:hAnsi="Calibri Light" w:cs="Calibri Light"/>
          <w:noProof/>
          <w:sz w:val="23"/>
          <w:szCs w:val="23"/>
        </w:rPr>
        <w:t>, 2021)</w:t>
      </w:r>
      <w:r w:rsidR="00F00E3D" w:rsidRPr="001163CA">
        <w:rPr>
          <w:rFonts w:ascii="Calibri Light" w:eastAsia="Calibri" w:hAnsi="Calibri Light" w:cs="Calibri Light"/>
          <w:sz w:val="23"/>
          <w:szCs w:val="23"/>
        </w:rPr>
        <w:t>.</w:t>
      </w:r>
    </w:p>
    <w:p w14:paraId="3A93880E" w14:textId="0D9DAB89" w:rsidR="00F00E3D" w:rsidRPr="00DD331C" w:rsidRDefault="00DF6ED7" w:rsidP="004D51EB">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However, while</w:t>
      </w:r>
      <w:r w:rsidR="009F386B">
        <w:rPr>
          <w:rFonts w:ascii="Calibri Light" w:eastAsia="Calibri" w:hAnsi="Calibri Light" w:cs="Calibri Light"/>
          <w:sz w:val="23"/>
          <w:szCs w:val="23"/>
        </w:rPr>
        <w:t xml:space="preserve"> </w:t>
      </w:r>
      <w:r w:rsidR="002F0D22">
        <w:rPr>
          <w:rFonts w:ascii="Calibri Light" w:eastAsia="Calibri" w:hAnsi="Calibri Light" w:cs="Calibri Light"/>
          <w:sz w:val="23"/>
          <w:szCs w:val="23"/>
        </w:rPr>
        <w:t>COVID</w:t>
      </w:r>
      <w:r w:rsidR="00292727">
        <w:rPr>
          <w:rFonts w:ascii="Calibri Light" w:eastAsia="Calibri" w:hAnsi="Calibri Light" w:cs="Calibri Light"/>
          <w:sz w:val="23"/>
          <w:szCs w:val="23"/>
        </w:rPr>
        <w:t>-19</w:t>
      </w:r>
      <w:r w:rsidR="00F00E3D" w:rsidRPr="00DD331C">
        <w:rPr>
          <w:rFonts w:ascii="Calibri Light" w:eastAsia="Calibri" w:hAnsi="Calibri Light" w:cs="Calibri Light"/>
          <w:sz w:val="23"/>
          <w:szCs w:val="23"/>
        </w:rPr>
        <w:t xml:space="preserve"> pandemic might lead to a drop in housing prices in some locations, </w:t>
      </w:r>
      <w:r w:rsidR="001B718F">
        <w:rPr>
          <w:rFonts w:ascii="Calibri Light" w:eastAsia="Calibri" w:hAnsi="Calibri Light" w:cs="Calibri Light"/>
          <w:sz w:val="23"/>
          <w:szCs w:val="23"/>
        </w:rPr>
        <w:t>this</w:t>
      </w:r>
      <w:r w:rsidR="00F00E3D" w:rsidRPr="00DD331C">
        <w:rPr>
          <w:rFonts w:ascii="Calibri Light" w:eastAsia="Calibri" w:hAnsi="Calibri Light" w:cs="Calibri Light"/>
          <w:sz w:val="23"/>
          <w:szCs w:val="23"/>
        </w:rPr>
        <w:t xml:space="preserve"> does not </w:t>
      </w:r>
      <w:r w:rsidR="004E3FB6">
        <w:rPr>
          <w:rFonts w:ascii="Calibri Light" w:eastAsia="Calibri" w:hAnsi="Calibri Light" w:cs="Calibri Light"/>
          <w:sz w:val="23"/>
          <w:szCs w:val="23"/>
        </w:rPr>
        <w:t xml:space="preserve">translate to increased </w:t>
      </w:r>
      <w:r w:rsidR="00F00E3D" w:rsidRPr="00DD331C">
        <w:rPr>
          <w:rFonts w:ascii="Calibri Light" w:eastAsia="Calibri" w:hAnsi="Calibri Light" w:cs="Calibri Light"/>
          <w:sz w:val="23"/>
          <w:szCs w:val="23"/>
        </w:rPr>
        <w:t>housing affordability</w:t>
      </w:r>
      <w:r w:rsidR="004E3FB6">
        <w:rPr>
          <w:rFonts w:ascii="Calibri Light" w:eastAsia="Calibri" w:hAnsi="Calibri Light" w:cs="Calibri Light"/>
          <w:sz w:val="23"/>
          <w:szCs w:val="23"/>
        </w:rPr>
        <w:t xml:space="preserve">. </w:t>
      </w:r>
      <w:r>
        <w:rPr>
          <w:rFonts w:ascii="Calibri Light" w:eastAsia="Calibri" w:hAnsi="Calibri Light" w:cs="Calibri Light"/>
          <w:sz w:val="23"/>
          <w:szCs w:val="23"/>
        </w:rPr>
        <w:t>In fact, t</w:t>
      </w:r>
      <w:r w:rsidR="00AF47DD">
        <w:rPr>
          <w:rFonts w:ascii="Calibri Light" w:eastAsia="Calibri" w:hAnsi="Calibri Light" w:cs="Calibri Light"/>
          <w:sz w:val="23"/>
          <w:szCs w:val="23"/>
        </w:rPr>
        <w:t>he</w:t>
      </w:r>
      <w:r w:rsidR="004E3FB6">
        <w:rPr>
          <w:rFonts w:ascii="Calibri Light" w:eastAsia="Calibri" w:hAnsi="Calibri Light" w:cs="Calibri Light"/>
          <w:sz w:val="23"/>
          <w:szCs w:val="23"/>
        </w:rPr>
        <w:t xml:space="preserve"> pandemic</w:t>
      </w:r>
      <w:r w:rsidR="00AF47DD">
        <w:rPr>
          <w:rFonts w:ascii="Calibri Light" w:eastAsia="Calibri" w:hAnsi="Calibri Light" w:cs="Calibri Light"/>
          <w:sz w:val="23"/>
          <w:szCs w:val="23"/>
        </w:rPr>
        <w:t xml:space="preserve"> </w:t>
      </w:r>
      <w:r w:rsidR="00EF7E59">
        <w:rPr>
          <w:rFonts w:ascii="Calibri Light" w:eastAsia="Calibri" w:hAnsi="Calibri Light" w:cs="Calibri Light"/>
          <w:sz w:val="23"/>
          <w:szCs w:val="23"/>
        </w:rPr>
        <w:t xml:space="preserve">is </w:t>
      </w:r>
      <w:r w:rsidR="004E3FB6" w:rsidRPr="00DD331C">
        <w:rPr>
          <w:rFonts w:ascii="Calibri Light" w:eastAsia="Calibri" w:hAnsi="Calibri Light" w:cs="Calibri Light"/>
          <w:sz w:val="23"/>
          <w:szCs w:val="23"/>
        </w:rPr>
        <w:t>jeopardi</w:t>
      </w:r>
      <w:r w:rsidR="00EF7E59">
        <w:rPr>
          <w:rFonts w:ascii="Calibri Light" w:eastAsia="Calibri" w:hAnsi="Calibri Light" w:cs="Calibri Light"/>
          <w:sz w:val="23"/>
          <w:szCs w:val="23"/>
        </w:rPr>
        <w:t>sing</w:t>
      </w:r>
      <w:r w:rsidR="004E3FB6">
        <w:rPr>
          <w:rFonts w:ascii="Calibri Light" w:eastAsia="Calibri" w:hAnsi="Calibri Light" w:cs="Calibri Light"/>
          <w:sz w:val="23"/>
          <w:szCs w:val="23"/>
        </w:rPr>
        <w:t xml:space="preserve"> housing affordability,</w:t>
      </w:r>
      <w:r w:rsidR="00F00E3D" w:rsidRPr="00DD331C">
        <w:rPr>
          <w:rFonts w:ascii="Calibri Light" w:eastAsia="Calibri" w:hAnsi="Calibri Light" w:cs="Calibri Light"/>
          <w:sz w:val="23"/>
          <w:szCs w:val="23"/>
        </w:rPr>
        <w:t xml:space="preserve"> </w:t>
      </w:r>
      <w:r w:rsidR="00AF47DD">
        <w:rPr>
          <w:rFonts w:ascii="Calibri Light" w:eastAsia="Calibri" w:hAnsi="Calibri Light" w:cs="Calibri Light"/>
          <w:sz w:val="23"/>
          <w:szCs w:val="23"/>
        </w:rPr>
        <w:t>due to</w:t>
      </w:r>
      <w:r w:rsidR="00F00E3D" w:rsidRPr="00DD331C">
        <w:rPr>
          <w:rFonts w:ascii="Calibri Light" w:eastAsia="Calibri" w:hAnsi="Calibri Light" w:cs="Calibri Light"/>
          <w:sz w:val="23"/>
          <w:szCs w:val="23"/>
        </w:rPr>
        <w:t xml:space="preserve"> large-scale job losses</w:t>
      </w:r>
      <w:r w:rsidR="008A5B74">
        <w:rPr>
          <w:rFonts w:ascii="Calibri Light" w:eastAsia="Calibri" w:hAnsi="Calibri Light" w:cs="Calibri Light"/>
          <w:sz w:val="23"/>
          <w:szCs w:val="23"/>
        </w:rPr>
        <w:t xml:space="preserve"> </w:t>
      </w:r>
      <w:r w:rsidR="00AF47DD">
        <w:rPr>
          <w:rFonts w:ascii="Calibri Light" w:eastAsia="Calibri" w:hAnsi="Calibri Light" w:cs="Calibri Light"/>
          <w:sz w:val="23"/>
          <w:szCs w:val="23"/>
        </w:rPr>
        <w:t xml:space="preserve">and </w:t>
      </w:r>
      <w:r w:rsidR="00AF47DD" w:rsidRPr="00DD331C">
        <w:rPr>
          <w:rFonts w:ascii="Calibri Light" w:eastAsia="Calibri" w:hAnsi="Calibri Light" w:cs="Calibri Light"/>
          <w:sz w:val="23"/>
          <w:szCs w:val="23"/>
        </w:rPr>
        <w:t>closedown</w:t>
      </w:r>
      <w:r>
        <w:rPr>
          <w:rFonts w:ascii="Calibri Light" w:eastAsia="Calibri" w:hAnsi="Calibri Light" w:cs="Calibri Light"/>
          <w:sz w:val="23"/>
          <w:szCs w:val="23"/>
        </w:rPr>
        <w:t>s</w:t>
      </w:r>
      <w:r w:rsidR="00AF47DD" w:rsidRPr="00DD331C">
        <w:rPr>
          <w:rFonts w:ascii="Calibri Light" w:eastAsia="Calibri" w:hAnsi="Calibri Light" w:cs="Calibri Light"/>
          <w:sz w:val="23"/>
          <w:szCs w:val="23"/>
        </w:rPr>
        <w:t xml:space="preserve"> of businesses </w:t>
      </w:r>
      <w:r w:rsidR="00F00E3D" w:rsidRPr="00DD331C">
        <w:rPr>
          <w:rFonts w:ascii="Calibri Light" w:eastAsia="Calibri" w:hAnsi="Calibri Light" w:cs="Calibri Light"/>
          <w:noProof/>
          <w:sz w:val="23"/>
          <w:szCs w:val="23"/>
        </w:rPr>
        <w:t>(Agarwal</w:t>
      </w:r>
      <w:r w:rsidR="00D05D56">
        <w:rPr>
          <w:rFonts w:ascii="Calibri Light" w:eastAsia="Calibri" w:hAnsi="Calibri Light" w:cs="Calibri Light"/>
          <w:noProof/>
          <w:sz w:val="23"/>
          <w:szCs w:val="23"/>
        </w:rPr>
        <w:t xml:space="preserve"> et al., </w:t>
      </w:r>
      <w:r w:rsidR="00F00E3D" w:rsidRPr="00DD331C">
        <w:rPr>
          <w:rFonts w:ascii="Calibri Light" w:eastAsia="Calibri" w:hAnsi="Calibri Light" w:cs="Calibri Light"/>
          <w:noProof/>
          <w:sz w:val="23"/>
          <w:szCs w:val="23"/>
        </w:rPr>
        <w:t>2020; Baker</w:t>
      </w:r>
      <w:r w:rsidR="00EE28E2">
        <w:rPr>
          <w:rFonts w:ascii="Calibri Light" w:eastAsia="Calibri" w:hAnsi="Calibri Light" w:cs="Calibri Light"/>
          <w:noProof/>
          <w:sz w:val="23"/>
          <w:szCs w:val="23"/>
        </w:rPr>
        <w:t xml:space="preserve"> et al., </w:t>
      </w:r>
      <w:r w:rsidR="00F00E3D" w:rsidRPr="00DD331C">
        <w:rPr>
          <w:rFonts w:ascii="Calibri Light" w:eastAsia="Calibri" w:hAnsi="Calibri Light" w:cs="Calibri Light"/>
          <w:noProof/>
          <w:sz w:val="23"/>
          <w:szCs w:val="23"/>
        </w:rPr>
        <w:t>2020; Capponi &amp; Rios, 2020; Lin &amp; Meissner, 2020)</w:t>
      </w:r>
      <w:r w:rsidR="00F00E3D" w:rsidRPr="00DD331C">
        <w:rPr>
          <w:rFonts w:ascii="Calibri Light" w:eastAsia="Calibri" w:hAnsi="Calibri Light" w:cs="Calibri Light"/>
          <w:sz w:val="23"/>
          <w:szCs w:val="23"/>
        </w:rPr>
        <w:t>.</w:t>
      </w:r>
      <w:r w:rsidR="005E4ED5">
        <w:rPr>
          <w:rFonts w:ascii="Calibri Light" w:eastAsia="Calibri" w:hAnsi="Calibri Light" w:cs="Calibri Light"/>
          <w:sz w:val="23"/>
          <w:szCs w:val="23"/>
        </w:rPr>
        <w:t xml:space="preserve"> As</w:t>
      </w:r>
      <w:r w:rsidR="008A5B74">
        <w:rPr>
          <w:rFonts w:ascii="Calibri Light" w:eastAsia="Calibri" w:hAnsi="Calibri Light" w:cs="Calibri Light"/>
          <w:sz w:val="23"/>
          <w:szCs w:val="23"/>
        </w:rPr>
        <w:t xml:space="preserve"> we have</w:t>
      </w:r>
      <w:r w:rsidR="005E4ED5">
        <w:rPr>
          <w:rFonts w:ascii="Calibri Light" w:eastAsia="Calibri" w:hAnsi="Calibri Light" w:cs="Calibri Light"/>
          <w:sz w:val="23"/>
          <w:szCs w:val="23"/>
        </w:rPr>
        <w:t xml:space="preserve"> noted, </w:t>
      </w:r>
      <w:r w:rsidR="00B933CB">
        <w:rPr>
          <w:rFonts w:ascii="Calibri Light" w:eastAsia="Calibri" w:hAnsi="Calibri Light" w:cs="Calibri Light"/>
          <w:sz w:val="23"/>
          <w:szCs w:val="23"/>
        </w:rPr>
        <w:t xml:space="preserve">COVID-19 is </w:t>
      </w:r>
      <w:r w:rsidR="001E29BF">
        <w:rPr>
          <w:rFonts w:ascii="Calibri Light" w:eastAsia="Calibri" w:hAnsi="Calibri Light" w:cs="Calibri Light"/>
          <w:sz w:val="23"/>
          <w:szCs w:val="23"/>
        </w:rPr>
        <w:t>increasing poverty and amplifying existing inequalities,</w:t>
      </w:r>
      <w:r w:rsidR="00E43C2F">
        <w:rPr>
          <w:rFonts w:ascii="Calibri Light" w:eastAsia="Calibri" w:hAnsi="Calibri Light" w:cs="Calibri Light"/>
          <w:sz w:val="23"/>
          <w:szCs w:val="23"/>
        </w:rPr>
        <w:t xml:space="preserve"> </w:t>
      </w:r>
      <w:r w:rsidR="0010724E">
        <w:rPr>
          <w:rFonts w:ascii="Calibri Light" w:eastAsia="Calibri" w:hAnsi="Calibri Light" w:cs="Calibri Light"/>
          <w:sz w:val="23"/>
          <w:szCs w:val="23"/>
        </w:rPr>
        <w:t>with</w:t>
      </w:r>
      <w:r w:rsidR="00E43C2F">
        <w:rPr>
          <w:rFonts w:ascii="Calibri Light" w:eastAsia="Calibri" w:hAnsi="Calibri Light" w:cs="Calibri Light"/>
          <w:sz w:val="23"/>
          <w:szCs w:val="23"/>
        </w:rPr>
        <w:t xml:space="preserve"> already-vulnerable cohorts</w:t>
      </w:r>
      <w:r w:rsidR="0010724E">
        <w:rPr>
          <w:rFonts w:ascii="Calibri Light" w:eastAsia="Calibri" w:hAnsi="Calibri Light" w:cs="Calibri Light"/>
          <w:sz w:val="23"/>
          <w:szCs w:val="23"/>
        </w:rPr>
        <w:t xml:space="preserve"> hit</w:t>
      </w:r>
      <w:r w:rsidR="00E43C2F">
        <w:rPr>
          <w:rFonts w:ascii="Calibri Light" w:eastAsia="Calibri" w:hAnsi="Calibri Light" w:cs="Calibri Light"/>
          <w:sz w:val="23"/>
          <w:szCs w:val="23"/>
        </w:rPr>
        <w:t xml:space="preserve"> hardest</w:t>
      </w:r>
      <w:r w:rsidR="005E4ED5">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A survey of </w:t>
      </w:r>
      <w:r w:rsidR="009F386B">
        <w:rPr>
          <w:rFonts w:ascii="Calibri Light" w:eastAsia="Calibri" w:hAnsi="Calibri Light" w:cs="Calibri Light"/>
          <w:sz w:val="23"/>
          <w:szCs w:val="23"/>
        </w:rPr>
        <w:t xml:space="preserve">US </w:t>
      </w:r>
      <w:r w:rsidR="00F00E3D" w:rsidRPr="00DD331C">
        <w:rPr>
          <w:rFonts w:ascii="Calibri Light" w:eastAsia="Calibri" w:hAnsi="Calibri Light" w:cs="Calibri Light"/>
          <w:sz w:val="23"/>
          <w:szCs w:val="23"/>
        </w:rPr>
        <w:t>households showed that actual job losses have been significantly greater than implied by new unemployment claims (</w:t>
      </w:r>
      <w:proofErr w:type="spellStart"/>
      <w:r w:rsidR="00F00E3D" w:rsidRPr="00DD331C">
        <w:rPr>
          <w:rFonts w:ascii="Calibri Light" w:eastAsia="Calibri" w:hAnsi="Calibri Light" w:cs="Calibri Light"/>
          <w:sz w:val="23"/>
          <w:szCs w:val="23"/>
        </w:rPr>
        <w:t>Coibion</w:t>
      </w:r>
      <w:proofErr w:type="spellEnd"/>
      <w:r w:rsidR="00F00E3D" w:rsidRPr="00DD331C">
        <w:rPr>
          <w:rFonts w:ascii="Calibri Light" w:eastAsia="Calibri" w:hAnsi="Calibri Light" w:cs="Calibri Light"/>
          <w:sz w:val="23"/>
          <w:szCs w:val="23"/>
        </w:rPr>
        <w:t xml:space="preserve"> et al., 2020). </w:t>
      </w:r>
      <w:r w:rsidR="00F0354D">
        <w:rPr>
          <w:rFonts w:ascii="Calibri Light" w:eastAsia="Calibri" w:hAnsi="Calibri Light" w:cs="Calibri Light"/>
          <w:sz w:val="23"/>
          <w:szCs w:val="23"/>
        </w:rPr>
        <w:t>Another US study</w:t>
      </w:r>
      <w:r w:rsidR="00A9291B">
        <w:rPr>
          <w:rFonts w:ascii="Calibri Light" w:eastAsia="Calibri" w:hAnsi="Calibri Light" w:cs="Calibri Light"/>
          <w:sz w:val="23"/>
          <w:szCs w:val="23"/>
        </w:rPr>
        <w:t xml:space="preserve"> </w:t>
      </w:r>
      <w:r w:rsidR="00F0354D">
        <w:rPr>
          <w:rFonts w:ascii="Calibri Light" w:eastAsia="Calibri" w:hAnsi="Calibri Light" w:cs="Calibri Light"/>
          <w:sz w:val="23"/>
          <w:szCs w:val="23"/>
        </w:rPr>
        <w:t>found that at the outset of</w:t>
      </w:r>
      <w:r w:rsidR="00F0354D" w:rsidRPr="00DD331C">
        <w:rPr>
          <w:rFonts w:ascii="Calibri Light" w:eastAsia="Calibri" w:hAnsi="Calibri Light" w:cs="Calibri Light"/>
          <w:sz w:val="23"/>
          <w:szCs w:val="23"/>
        </w:rPr>
        <w:t xml:space="preserve"> the pandemic</w:t>
      </w:r>
      <w:r w:rsidR="00F0354D">
        <w:rPr>
          <w:rFonts w:ascii="Calibri Light" w:eastAsia="Calibri" w:hAnsi="Calibri Light" w:cs="Calibri Light"/>
          <w:sz w:val="23"/>
          <w:szCs w:val="23"/>
        </w:rPr>
        <w:t xml:space="preserve"> (March </w:t>
      </w:r>
      <w:r w:rsidR="00F0354D" w:rsidRPr="00C945CF">
        <w:rPr>
          <w:rFonts w:ascii="Calibri Light" w:eastAsia="Calibri" w:hAnsi="Calibri Light" w:cs="Calibri Light"/>
          <w:sz w:val="23"/>
          <w:szCs w:val="23"/>
        </w:rPr>
        <w:t xml:space="preserve">2020), </w:t>
      </w:r>
      <w:r w:rsidR="00171D32" w:rsidRPr="00C945CF">
        <w:rPr>
          <w:rFonts w:ascii="Calibri Light" w:eastAsia="Calibri" w:hAnsi="Calibri Light" w:cs="Calibri Light"/>
          <w:sz w:val="23"/>
          <w:szCs w:val="23"/>
        </w:rPr>
        <w:t xml:space="preserve">spending declined </w:t>
      </w:r>
      <w:r w:rsidR="005957E9" w:rsidRPr="00C945CF">
        <w:rPr>
          <w:rFonts w:ascii="Calibri Light" w:eastAsia="Calibri" w:hAnsi="Calibri Light" w:cs="Calibri Light"/>
          <w:sz w:val="23"/>
          <w:szCs w:val="23"/>
        </w:rPr>
        <w:t xml:space="preserve">most sharply </w:t>
      </w:r>
      <w:r w:rsidR="00171D32" w:rsidRPr="00C945CF">
        <w:rPr>
          <w:rFonts w:ascii="Calibri Light" w:eastAsia="Calibri" w:hAnsi="Calibri Light" w:cs="Calibri Light"/>
          <w:sz w:val="23"/>
          <w:szCs w:val="23"/>
        </w:rPr>
        <w:t>in hous</w:t>
      </w:r>
      <w:r w:rsidR="00E55D9B" w:rsidRPr="00C945CF">
        <w:rPr>
          <w:rFonts w:ascii="Calibri Light" w:eastAsia="Calibri" w:hAnsi="Calibri Light" w:cs="Calibri Light"/>
          <w:sz w:val="23"/>
          <w:szCs w:val="23"/>
        </w:rPr>
        <w:t>e</w:t>
      </w:r>
      <w:r w:rsidR="00171D32" w:rsidRPr="00C945CF">
        <w:rPr>
          <w:rFonts w:ascii="Calibri Light" w:eastAsia="Calibri" w:hAnsi="Calibri Light" w:cs="Calibri Light"/>
          <w:sz w:val="23"/>
          <w:szCs w:val="23"/>
        </w:rPr>
        <w:t>hold</w:t>
      </w:r>
      <w:r w:rsidR="00E55D9B" w:rsidRPr="00C945CF">
        <w:rPr>
          <w:rFonts w:ascii="Calibri Light" w:eastAsia="Calibri" w:hAnsi="Calibri Light" w:cs="Calibri Light"/>
          <w:sz w:val="23"/>
          <w:szCs w:val="23"/>
        </w:rPr>
        <w:t>s</w:t>
      </w:r>
      <w:r w:rsidR="00F00E3D" w:rsidRPr="00C945CF">
        <w:rPr>
          <w:rFonts w:ascii="Calibri Light" w:eastAsia="Calibri" w:hAnsi="Calibri Light" w:cs="Calibri Light"/>
          <w:sz w:val="23"/>
          <w:szCs w:val="23"/>
        </w:rPr>
        <w:t xml:space="preserve"> with children or low levels of liquidity (Baker et al., 2020).</w:t>
      </w:r>
    </w:p>
    <w:p w14:paraId="12CE1072" w14:textId="77777777" w:rsidR="00C15568" w:rsidRDefault="006A7B04" w:rsidP="00C15568">
      <w:pPr>
        <w:spacing w:line="276" w:lineRule="auto"/>
      </w:pPr>
      <w:r>
        <w:rPr>
          <w:rFonts w:ascii="Calibri Light" w:eastAsia="Calibri" w:hAnsi="Calibri Light" w:cs="Calibri Light"/>
          <w:sz w:val="23"/>
          <w:szCs w:val="23"/>
        </w:rPr>
        <w:t xml:space="preserve">In Australia, the housing market bounced back </w:t>
      </w:r>
      <w:r w:rsidR="008A5B74">
        <w:rPr>
          <w:rFonts w:ascii="Calibri Light" w:eastAsia="Calibri" w:hAnsi="Calibri Light" w:cs="Calibri Light"/>
          <w:sz w:val="23"/>
          <w:szCs w:val="23"/>
        </w:rPr>
        <w:t xml:space="preserve">from the initial shock of COVID-19 </w:t>
      </w:r>
      <w:r w:rsidR="00371075">
        <w:rPr>
          <w:rFonts w:ascii="Calibri Light" w:eastAsia="Calibri" w:hAnsi="Calibri Light" w:cs="Calibri Light"/>
          <w:sz w:val="23"/>
          <w:szCs w:val="23"/>
        </w:rPr>
        <w:t xml:space="preserve">much </w:t>
      </w:r>
      <w:r>
        <w:rPr>
          <w:rFonts w:ascii="Calibri Light" w:eastAsia="Calibri" w:hAnsi="Calibri Light" w:cs="Calibri Light"/>
          <w:sz w:val="23"/>
          <w:szCs w:val="23"/>
        </w:rPr>
        <w:t>harder</w:t>
      </w:r>
      <w:r w:rsidR="00EF7E59">
        <w:rPr>
          <w:rFonts w:ascii="Calibri Light" w:eastAsia="Calibri" w:hAnsi="Calibri Light" w:cs="Calibri Light"/>
          <w:sz w:val="23"/>
          <w:szCs w:val="23"/>
        </w:rPr>
        <w:t xml:space="preserve"> and sooner</w:t>
      </w:r>
      <w:r>
        <w:rPr>
          <w:rFonts w:ascii="Calibri Light" w:eastAsia="Calibri" w:hAnsi="Calibri Light" w:cs="Calibri Light"/>
          <w:sz w:val="23"/>
          <w:szCs w:val="23"/>
        </w:rPr>
        <w:t xml:space="preserve"> and earlier than expected.</w:t>
      </w:r>
      <w:r w:rsidR="001623B8">
        <w:rPr>
          <w:rFonts w:ascii="Calibri Light" w:eastAsia="Calibri" w:hAnsi="Calibri Light" w:cs="Calibri Light"/>
          <w:sz w:val="23"/>
          <w:szCs w:val="23"/>
        </w:rPr>
        <w:t xml:space="preserve"> </w:t>
      </w:r>
      <w:r w:rsidR="002342A9">
        <w:rPr>
          <w:rFonts w:ascii="Calibri Light" w:eastAsia="Calibri" w:hAnsi="Calibri Light" w:cs="Calibri Light"/>
          <w:sz w:val="23"/>
          <w:szCs w:val="23"/>
        </w:rPr>
        <w:t>In April 2020</w:t>
      </w:r>
      <w:r w:rsidR="00B34C30">
        <w:rPr>
          <w:rFonts w:ascii="Calibri Light" w:eastAsia="Calibri" w:hAnsi="Calibri Light" w:cs="Calibri Light"/>
          <w:sz w:val="23"/>
          <w:szCs w:val="23"/>
        </w:rPr>
        <w:t>,</w:t>
      </w:r>
      <w:r w:rsidR="002342A9">
        <w:rPr>
          <w:rFonts w:ascii="Calibri Light" w:eastAsia="Calibri" w:hAnsi="Calibri Light" w:cs="Calibri Light"/>
          <w:sz w:val="23"/>
          <w:szCs w:val="23"/>
        </w:rPr>
        <w:t xml:space="preserve"> experts were</w:t>
      </w:r>
      <w:r w:rsidR="001623B8">
        <w:rPr>
          <w:rFonts w:ascii="Calibri Light" w:eastAsia="Calibri" w:hAnsi="Calibri Light" w:cs="Calibri Light"/>
          <w:sz w:val="23"/>
          <w:szCs w:val="23"/>
        </w:rPr>
        <w:t xml:space="preserve"> predict</w:t>
      </w:r>
      <w:r w:rsidR="002342A9">
        <w:rPr>
          <w:rFonts w:ascii="Calibri Light" w:eastAsia="Calibri" w:hAnsi="Calibri Light" w:cs="Calibri Light"/>
          <w:sz w:val="23"/>
          <w:szCs w:val="23"/>
        </w:rPr>
        <w:t>ing</w:t>
      </w:r>
      <w:r w:rsidR="001623B8">
        <w:rPr>
          <w:rFonts w:ascii="Calibri Light" w:eastAsia="Calibri" w:hAnsi="Calibri Light" w:cs="Calibri Light"/>
          <w:sz w:val="23"/>
          <w:szCs w:val="23"/>
        </w:rPr>
        <w:t xml:space="preserve"> </w:t>
      </w:r>
      <w:r w:rsidR="00B94A8D">
        <w:rPr>
          <w:rFonts w:ascii="Calibri Light" w:eastAsia="Calibri" w:hAnsi="Calibri Light" w:cs="Calibri Light"/>
          <w:sz w:val="23"/>
          <w:szCs w:val="23"/>
        </w:rPr>
        <w:t xml:space="preserve">a </w:t>
      </w:r>
      <w:r w:rsidR="00686936">
        <w:rPr>
          <w:rFonts w:ascii="Calibri Light" w:eastAsia="Calibri" w:hAnsi="Calibri Light" w:cs="Calibri Light"/>
          <w:sz w:val="23"/>
          <w:szCs w:val="23"/>
        </w:rPr>
        <w:t>30 percent decline</w:t>
      </w:r>
      <w:r w:rsidR="007E0E96">
        <w:rPr>
          <w:rFonts w:ascii="Calibri Light" w:eastAsia="Calibri" w:hAnsi="Calibri Light" w:cs="Calibri Light"/>
          <w:sz w:val="23"/>
          <w:szCs w:val="23"/>
        </w:rPr>
        <w:t xml:space="preserve"> in housing prices and </w:t>
      </w:r>
      <w:r w:rsidR="00221CCD">
        <w:rPr>
          <w:rFonts w:ascii="Calibri Light" w:eastAsia="Calibri" w:hAnsi="Calibri Light" w:cs="Calibri Light"/>
          <w:sz w:val="23"/>
          <w:szCs w:val="23"/>
        </w:rPr>
        <w:t>a significant fall in</w:t>
      </w:r>
      <w:r w:rsidR="007E0E96">
        <w:rPr>
          <w:rFonts w:ascii="Calibri Light" w:eastAsia="Calibri" w:hAnsi="Calibri Light" w:cs="Calibri Light"/>
          <w:sz w:val="23"/>
          <w:szCs w:val="23"/>
        </w:rPr>
        <w:t xml:space="preserve"> rents</w:t>
      </w:r>
      <w:r w:rsidR="00686936">
        <w:rPr>
          <w:rFonts w:ascii="Calibri Light" w:eastAsia="Calibri" w:hAnsi="Calibri Light" w:cs="Calibri Light"/>
          <w:sz w:val="23"/>
          <w:szCs w:val="23"/>
        </w:rPr>
        <w:t xml:space="preserve"> (</w:t>
      </w:r>
      <w:r w:rsidR="00F63EE7">
        <w:rPr>
          <w:rFonts w:ascii="Calibri Light" w:eastAsia="Calibri" w:hAnsi="Calibri Light" w:cs="Calibri Light"/>
          <w:sz w:val="23"/>
          <w:szCs w:val="23"/>
        </w:rPr>
        <w:t>Chalmers, 2020</w:t>
      </w:r>
      <w:r w:rsidR="00686936">
        <w:rPr>
          <w:rFonts w:ascii="Calibri Light" w:eastAsia="Calibri" w:hAnsi="Calibri Light" w:cs="Calibri Light"/>
          <w:sz w:val="23"/>
          <w:szCs w:val="23"/>
        </w:rPr>
        <w:t>).</w:t>
      </w:r>
      <w:r w:rsidR="00376626" w:rsidRPr="00376626">
        <w:t xml:space="preserve"> </w:t>
      </w:r>
      <w:r w:rsidR="00221CCD">
        <w:rPr>
          <w:rFonts w:ascii="Calibri Light" w:eastAsia="Calibri" w:hAnsi="Calibri Light" w:cs="Calibri Light"/>
          <w:sz w:val="23"/>
          <w:szCs w:val="23"/>
        </w:rPr>
        <w:t>B</w:t>
      </w:r>
      <w:r w:rsidR="00B94A8D">
        <w:rPr>
          <w:rFonts w:ascii="Calibri Light" w:eastAsia="Calibri" w:hAnsi="Calibri Light" w:cs="Calibri Light"/>
          <w:sz w:val="23"/>
          <w:szCs w:val="23"/>
        </w:rPr>
        <w:t>ut</w:t>
      </w:r>
      <w:r>
        <w:rPr>
          <w:rFonts w:ascii="Calibri Light" w:eastAsia="Calibri" w:hAnsi="Calibri Light" w:cs="Calibri Light"/>
          <w:sz w:val="23"/>
          <w:szCs w:val="23"/>
        </w:rPr>
        <w:t xml:space="preserve"> </w:t>
      </w:r>
      <w:r w:rsidR="00B94A8D">
        <w:rPr>
          <w:rFonts w:ascii="Calibri Light" w:eastAsia="Calibri" w:hAnsi="Calibri Light" w:cs="Calibri Light"/>
          <w:sz w:val="23"/>
          <w:szCs w:val="23"/>
        </w:rPr>
        <w:t>b</w:t>
      </w:r>
      <w:r w:rsidR="002F0D22" w:rsidRPr="00DD331C">
        <w:rPr>
          <w:rFonts w:ascii="Calibri Light" w:eastAsia="Calibri" w:hAnsi="Calibri Light" w:cs="Calibri Light"/>
          <w:sz w:val="23"/>
          <w:szCs w:val="23"/>
        </w:rPr>
        <w:t>y early 2021, real estate markets in Australia’s big cities and many regions were reported to be soaring again, with</w:t>
      </w:r>
      <w:r w:rsidR="002F0D22">
        <w:rPr>
          <w:rFonts w:ascii="Calibri Light" w:eastAsia="Calibri" w:hAnsi="Calibri Light" w:cs="Calibri Light"/>
          <w:sz w:val="23"/>
          <w:szCs w:val="23"/>
        </w:rPr>
        <w:t xml:space="preserve"> Sydney’s</w:t>
      </w:r>
      <w:r w:rsidR="002F0D22" w:rsidRPr="00DD331C">
        <w:rPr>
          <w:rFonts w:ascii="Calibri Light" w:eastAsia="Calibri" w:hAnsi="Calibri Light" w:cs="Calibri Light"/>
          <w:sz w:val="23"/>
          <w:szCs w:val="23"/>
        </w:rPr>
        <w:t xml:space="preserve"> median house price reaching an all-time peak, Melbourne’s and Canberra’s close behind, and every capital city recording massive growth over 2020 </w:t>
      </w:r>
      <w:r w:rsidR="002F0D22" w:rsidRPr="00DD331C">
        <w:rPr>
          <w:rFonts w:ascii="Calibri Light" w:eastAsia="Calibri" w:hAnsi="Calibri Light" w:cs="Calibri Light"/>
          <w:noProof/>
          <w:sz w:val="23"/>
          <w:szCs w:val="23"/>
        </w:rPr>
        <w:t>(Williams, 2021)</w:t>
      </w:r>
      <w:r w:rsidR="002F0D22" w:rsidRPr="00DD331C">
        <w:rPr>
          <w:rFonts w:ascii="Calibri Light" w:eastAsia="Calibri" w:hAnsi="Calibri Light" w:cs="Calibri Light"/>
          <w:sz w:val="23"/>
          <w:szCs w:val="23"/>
        </w:rPr>
        <w:t>. Th</w:t>
      </w:r>
      <w:r w:rsidR="007E71D1">
        <w:rPr>
          <w:rFonts w:ascii="Calibri Light" w:eastAsia="Calibri" w:hAnsi="Calibri Light" w:cs="Calibri Light"/>
          <w:sz w:val="23"/>
          <w:szCs w:val="23"/>
        </w:rPr>
        <w:t>is</w:t>
      </w:r>
      <w:r w:rsidR="002F0D22" w:rsidRPr="00DD331C">
        <w:rPr>
          <w:rFonts w:ascii="Calibri Light" w:eastAsia="Calibri" w:hAnsi="Calibri Light" w:cs="Calibri Light"/>
          <w:sz w:val="23"/>
          <w:szCs w:val="23"/>
        </w:rPr>
        <w:t xml:space="preserve"> continued growth in the market is exacerbating Australia’s rampant housing affordability problem.</w:t>
      </w:r>
    </w:p>
    <w:p w14:paraId="5CD61D3F" w14:textId="501B9FF7" w:rsidR="002F0D22" w:rsidRDefault="00C15568" w:rsidP="00C15568">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 xml:space="preserve">In </w:t>
      </w:r>
      <w:r w:rsidR="007D3C1A">
        <w:rPr>
          <w:rFonts w:ascii="Calibri Light" w:eastAsia="Calibri" w:hAnsi="Calibri Light" w:cs="Calibri Light"/>
          <w:sz w:val="23"/>
          <w:szCs w:val="23"/>
        </w:rPr>
        <w:t>Australia’s</w:t>
      </w:r>
      <w:r>
        <w:rPr>
          <w:rFonts w:ascii="Calibri Light" w:eastAsia="Calibri" w:hAnsi="Calibri Light" w:cs="Calibri Light"/>
          <w:sz w:val="23"/>
          <w:szCs w:val="23"/>
        </w:rPr>
        <w:t xml:space="preserve"> rental market, the</w:t>
      </w:r>
      <w:r w:rsidRPr="00C15568">
        <w:rPr>
          <w:rFonts w:ascii="Calibri Light" w:eastAsia="Calibri" w:hAnsi="Calibri Light" w:cs="Calibri Light"/>
          <w:sz w:val="23"/>
          <w:szCs w:val="23"/>
        </w:rPr>
        <w:t xml:space="preserve"> </w:t>
      </w:r>
      <w:r w:rsidRPr="00E46EC3">
        <w:rPr>
          <w:rFonts w:ascii="Calibri Light" w:eastAsia="Calibri" w:hAnsi="Calibri Light" w:cs="Calibri Light"/>
          <w:sz w:val="23"/>
          <w:szCs w:val="23"/>
        </w:rPr>
        <w:t xml:space="preserve">pandemic’s impacts have varied significantly across localities and between different types of dwellings. A </w:t>
      </w:r>
      <w:r w:rsidR="00E46EC3" w:rsidRPr="00E46EC3">
        <w:rPr>
          <w:rFonts w:ascii="Calibri Light" w:eastAsia="Calibri" w:hAnsi="Calibri Light" w:cs="Calibri Light"/>
          <w:sz w:val="23"/>
          <w:szCs w:val="23"/>
        </w:rPr>
        <w:t>recently published</w:t>
      </w:r>
      <w:r w:rsidRPr="00E46EC3">
        <w:rPr>
          <w:rFonts w:ascii="Calibri Light" w:eastAsia="Calibri" w:hAnsi="Calibri Light" w:cs="Calibri Light"/>
          <w:sz w:val="23"/>
          <w:szCs w:val="23"/>
        </w:rPr>
        <w:t xml:space="preserve"> study found that while rents declined in the inner</w:t>
      </w:r>
      <w:r w:rsidR="007D3C1A" w:rsidRPr="00E46EC3">
        <w:rPr>
          <w:rFonts w:ascii="Calibri Light" w:eastAsia="Calibri" w:hAnsi="Calibri Light" w:cs="Calibri Light"/>
          <w:sz w:val="23"/>
          <w:szCs w:val="23"/>
        </w:rPr>
        <w:t>-urban</w:t>
      </w:r>
      <w:r w:rsidRPr="00E46EC3">
        <w:rPr>
          <w:rFonts w:ascii="Calibri Light" w:eastAsia="Calibri" w:hAnsi="Calibri Light" w:cs="Calibri Light"/>
          <w:sz w:val="23"/>
          <w:szCs w:val="23"/>
        </w:rPr>
        <w:t xml:space="preserve"> areas of some capital cities (Sydney, Melbourne, and to a lesser extent Brisbane), </w:t>
      </w:r>
      <w:r w:rsidR="007D3C1A" w:rsidRPr="00E46EC3">
        <w:rPr>
          <w:rFonts w:ascii="Calibri Light" w:eastAsia="Calibri" w:hAnsi="Calibri Light" w:cs="Calibri Light"/>
          <w:sz w:val="23"/>
          <w:szCs w:val="23"/>
        </w:rPr>
        <w:t xml:space="preserve">in areas beyond these urban centres </w:t>
      </w:r>
      <w:r w:rsidRPr="00E46EC3">
        <w:rPr>
          <w:rFonts w:ascii="Calibri Light" w:eastAsia="Calibri" w:hAnsi="Calibri Light" w:cs="Calibri Light"/>
          <w:sz w:val="23"/>
          <w:szCs w:val="23"/>
        </w:rPr>
        <w:t>rental costs</w:t>
      </w:r>
      <w:r w:rsidR="007D3C1A" w:rsidRPr="00E46EC3">
        <w:rPr>
          <w:rFonts w:ascii="Calibri Light" w:eastAsia="Calibri" w:hAnsi="Calibri Light" w:cs="Calibri Light"/>
          <w:sz w:val="23"/>
          <w:szCs w:val="23"/>
        </w:rPr>
        <w:t xml:space="preserve"> increased, or remained at</w:t>
      </w:r>
      <w:r w:rsidR="007D3C1A">
        <w:rPr>
          <w:rFonts w:ascii="Calibri Light" w:eastAsia="Calibri" w:hAnsi="Calibri Light" w:cs="Calibri Light"/>
          <w:sz w:val="23"/>
          <w:szCs w:val="23"/>
        </w:rPr>
        <w:t xml:space="preserve"> pre-pandemic levels (</w:t>
      </w:r>
      <w:proofErr w:type="spellStart"/>
      <w:r w:rsidR="007D3C1A">
        <w:rPr>
          <w:rFonts w:ascii="Calibri Light" w:eastAsia="Calibri" w:hAnsi="Calibri Light" w:cs="Calibri Light"/>
          <w:sz w:val="23"/>
          <w:szCs w:val="23"/>
        </w:rPr>
        <w:t>Palson</w:t>
      </w:r>
      <w:proofErr w:type="spellEnd"/>
      <w:r w:rsidR="007D3C1A">
        <w:rPr>
          <w:rFonts w:ascii="Calibri Light" w:eastAsia="Calibri" w:hAnsi="Calibri Light" w:cs="Calibri Light"/>
          <w:sz w:val="23"/>
          <w:szCs w:val="23"/>
        </w:rPr>
        <w:t xml:space="preserve"> et al., 2021, p. 74).</w:t>
      </w:r>
    </w:p>
    <w:p w14:paraId="02EE3507" w14:textId="15DF9FC5" w:rsidR="007D3C1A" w:rsidRDefault="00E46EC3" w:rsidP="007D3C1A">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 xml:space="preserve">As discussion in the section below, high </w:t>
      </w:r>
      <w:r w:rsidR="007D3C1A" w:rsidRPr="00DD331C">
        <w:rPr>
          <w:rFonts w:ascii="Calibri Light" w:eastAsia="Calibri" w:hAnsi="Calibri Light" w:cs="Calibri Light"/>
          <w:sz w:val="23"/>
          <w:szCs w:val="23"/>
        </w:rPr>
        <w:t xml:space="preserve">unemployment figures </w:t>
      </w:r>
      <w:r>
        <w:rPr>
          <w:rFonts w:ascii="Calibri Light" w:eastAsia="Calibri" w:hAnsi="Calibri Light" w:cs="Calibri Light"/>
          <w:sz w:val="23"/>
          <w:szCs w:val="23"/>
        </w:rPr>
        <w:t>are expected to</w:t>
      </w:r>
      <w:r w:rsidR="007D3C1A">
        <w:rPr>
          <w:rFonts w:ascii="Calibri Light" w:eastAsia="Calibri" w:hAnsi="Calibri Light" w:cs="Calibri Light"/>
          <w:sz w:val="23"/>
          <w:szCs w:val="23"/>
        </w:rPr>
        <w:t xml:space="preserve"> push more</w:t>
      </w:r>
      <w:r w:rsidR="007D3C1A" w:rsidRPr="00DD331C">
        <w:rPr>
          <w:rFonts w:ascii="Calibri Light" w:eastAsia="Calibri" w:hAnsi="Calibri Light" w:cs="Calibri Light"/>
          <w:sz w:val="23"/>
          <w:szCs w:val="23"/>
        </w:rPr>
        <w:t xml:space="preserve"> households</w:t>
      </w:r>
      <w:r w:rsidR="007D3C1A">
        <w:rPr>
          <w:rFonts w:ascii="Calibri Light" w:eastAsia="Calibri" w:hAnsi="Calibri Light" w:cs="Calibri Light"/>
          <w:sz w:val="23"/>
          <w:szCs w:val="23"/>
        </w:rPr>
        <w:t xml:space="preserve"> into</w:t>
      </w:r>
      <w:r w:rsidR="007D3C1A" w:rsidRPr="00DD331C">
        <w:rPr>
          <w:rFonts w:ascii="Calibri Light" w:eastAsia="Calibri" w:hAnsi="Calibri Light" w:cs="Calibri Light"/>
          <w:sz w:val="23"/>
          <w:szCs w:val="23"/>
        </w:rPr>
        <w:t xml:space="preserve"> housing stress</w:t>
      </w:r>
      <w:r w:rsidR="007D3C1A">
        <w:rPr>
          <w:rFonts w:ascii="Calibri Light" w:eastAsia="Calibri" w:hAnsi="Calibri Light" w:cs="Calibri Light"/>
          <w:sz w:val="23"/>
          <w:szCs w:val="23"/>
        </w:rPr>
        <w:t xml:space="preserve"> and homelessness</w:t>
      </w:r>
      <w:r w:rsidR="007D3C1A" w:rsidRPr="00DD331C">
        <w:rPr>
          <w:rFonts w:ascii="Calibri Light" w:eastAsia="Calibri" w:hAnsi="Calibri Light" w:cs="Calibri Light"/>
          <w:sz w:val="23"/>
          <w:szCs w:val="23"/>
        </w:rPr>
        <w:t xml:space="preserve"> in the</w:t>
      </w:r>
      <w:r w:rsidR="007D3C1A">
        <w:rPr>
          <w:rFonts w:ascii="Calibri Light" w:eastAsia="Calibri" w:hAnsi="Calibri Light" w:cs="Calibri Light"/>
          <w:sz w:val="23"/>
          <w:szCs w:val="23"/>
        </w:rPr>
        <w:t xml:space="preserve"> coming</w:t>
      </w:r>
      <w:r w:rsidR="007D3C1A" w:rsidRPr="00DD331C">
        <w:rPr>
          <w:rFonts w:ascii="Calibri Light" w:eastAsia="Calibri" w:hAnsi="Calibri Light" w:cs="Calibri Light"/>
          <w:sz w:val="23"/>
          <w:szCs w:val="23"/>
        </w:rPr>
        <w:t xml:space="preserve"> years.</w:t>
      </w:r>
      <w:r w:rsidR="007D3C1A">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 xml:space="preserve">Many governments, Australia’s included, placed moratoriums on rental evictions during the </w:t>
      </w:r>
      <w:r w:rsidR="00766950">
        <w:rPr>
          <w:rFonts w:ascii="Calibri Light" w:eastAsia="Calibri" w:hAnsi="Calibri Light" w:cs="Calibri Light"/>
          <w:sz w:val="23"/>
          <w:szCs w:val="23"/>
        </w:rPr>
        <w:t xml:space="preserve">first peak of the </w:t>
      </w:r>
      <w:r w:rsidR="00F00E3D" w:rsidRPr="00DD331C">
        <w:rPr>
          <w:rFonts w:ascii="Calibri Light" w:eastAsia="Calibri" w:hAnsi="Calibri Light" w:cs="Calibri Light"/>
          <w:sz w:val="23"/>
          <w:szCs w:val="23"/>
        </w:rPr>
        <w:t xml:space="preserve">crisis, while some cities banned foreclosures on homes (Parilla &amp; Dinkins, 2020). </w:t>
      </w:r>
      <w:r w:rsidR="009245F3">
        <w:rPr>
          <w:rFonts w:ascii="Calibri Light" w:eastAsia="Calibri" w:hAnsi="Calibri Light" w:cs="Calibri Light"/>
          <w:sz w:val="23"/>
          <w:szCs w:val="23"/>
        </w:rPr>
        <w:t>One</w:t>
      </w:r>
      <w:r w:rsidR="00F00E3D" w:rsidRPr="00DD331C">
        <w:rPr>
          <w:rFonts w:ascii="Calibri Light" w:eastAsia="Calibri" w:hAnsi="Calibri Light" w:cs="Calibri Light"/>
          <w:sz w:val="23"/>
          <w:szCs w:val="23"/>
        </w:rPr>
        <w:t xml:space="preserve"> study</w:t>
      </w:r>
      <w:r w:rsidR="00434B24">
        <w:rPr>
          <w:rFonts w:ascii="Calibri Light" w:eastAsia="Calibri" w:hAnsi="Calibri Light" w:cs="Calibri Light"/>
          <w:sz w:val="23"/>
          <w:szCs w:val="23"/>
        </w:rPr>
        <w:t xml:space="preserve"> found that </w:t>
      </w:r>
      <w:r w:rsidR="00F00E3D" w:rsidRPr="00DD331C">
        <w:rPr>
          <w:rFonts w:ascii="Calibri Light" w:eastAsia="Calibri" w:hAnsi="Calibri Light" w:cs="Calibri Light"/>
          <w:sz w:val="23"/>
          <w:szCs w:val="23"/>
        </w:rPr>
        <w:t xml:space="preserve">measures </w:t>
      </w:r>
      <w:r w:rsidR="00F00E3D" w:rsidRPr="000B58C1">
        <w:rPr>
          <w:rFonts w:asciiTheme="majorHAnsi" w:eastAsia="Calibri" w:hAnsiTheme="majorHAnsi" w:cstheme="majorHAnsi"/>
          <w:sz w:val="23"/>
          <w:szCs w:val="23"/>
        </w:rPr>
        <w:t>like</w:t>
      </w:r>
      <w:r w:rsidR="00F00E3D" w:rsidRPr="000B58C1">
        <w:rPr>
          <w:rFonts w:asciiTheme="majorHAnsi" w:hAnsiTheme="majorHAnsi" w:cstheme="majorHAnsi"/>
          <w:sz w:val="23"/>
          <w:szCs w:val="23"/>
        </w:rPr>
        <w:t xml:space="preserve"> </w:t>
      </w:r>
      <w:r w:rsidR="00F00E3D" w:rsidRPr="000B58C1">
        <w:rPr>
          <w:rFonts w:asciiTheme="majorHAnsi" w:eastAsiaTheme="majorEastAsia" w:hAnsiTheme="majorHAnsi" w:cstheme="majorHAnsi"/>
          <w:sz w:val="23"/>
          <w:szCs w:val="23"/>
        </w:rPr>
        <w:t>the</w:t>
      </w:r>
      <w:r w:rsidR="00F00E3D" w:rsidRPr="000B58C1">
        <w:rPr>
          <w:rFonts w:asciiTheme="majorHAnsi" w:hAnsiTheme="majorHAnsi" w:cstheme="majorHAnsi"/>
          <w:sz w:val="23"/>
          <w:szCs w:val="23"/>
        </w:rPr>
        <w:t xml:space="preserve"> </w:t>
      </w:r>
      <w:r w:rsidR="005957E9" w:rsidRPr="000B58C1">
        <w:rPr>
          <w:rFonts w:asciiTheme="majorHAnsi" w:hAnsiTheme="majorHAnsi" w:cstheme="majorHAnsi"/>
          <w:sz w:val="23"/>
          <w:szCs w:val="23"/>
        </w:rPr>
        <w:t xml:space="preserve">US </w:t>
      </w:r>
      <w:proofErr w:type="spellStart"/>
      <w:r w:rsidR="00F00E3D" w:rsidRPr="000B58C1">
        <w:rPr>
          <w:rFonts w:asciiTheme="majorHAnsi" w:eastAsia="Calibri" w:hAnsiTheme="majorHAnsi" w:cstheme="majorHAnsi"/>
          <w:sz w:val="23"/>
          <w:szCs w:val="23"/>
        </w:rPr>
        <w:t>Paycheck</w:t>
      </w:r>
      <w:proofErr w:type="spellEnd"/>
      <w:r w:rsidR="00F00E3D" w:rsidRPr="00DD331C">
        <w:rPr>
          <w:rFonts w:ascii="Calibri Light" w:eastAsia="Calibri" w:hAnsi="Calibri Light" w:cs="Calibri Light"/>
          <w:sz w:val="23"/>
          <w:szCs w:val="23"/>
        </w:rPr>
        <w:t xml:space="preserve"> Protection Program, a loan program designed to support small businesses to keep their employees during the pandemic, can reduce the delinquency rate of small commercial mortgages, especially in areas most impacted by </w:t>
      </w:r>
      <w:r w:rsidR="00940D80">
        <w:rPr>
          <w:rFonts w:ascii="Calibri Light" w:eastAsia="Calibri" w:hAnsi="Calibri Light" w:cs="Calibri Light"/>
          <w:sz w:val="23"/>
          <w:szCs w:val="23"/>
        </w:rPr>
        <w:t>COVID</w:t>
      </w:r>
      <w:r w:rsidR="000B58C1">
        <w:rPr>
          <w:rFonts w:ascii="Calibri Light" w:eastAsia="Calibri" w:hAnsi="Calibri Light" w:cs="Calibri Light"/>
          <w:sz w:val="23"/>
          <w:szCs w:val="23"/>
        </w:rPr>
        <w:t>-19</w:t>
      </w:r>
      <w:r w:rsidR="00F00E3D" w:rsidRPr="00DD331C">
        <w:rPr>
          <w:rFonts w:ascii="Calibri Light" w:eastAsia="Calibri" w:hAnsi="Calibri Light" w:cs="Calibri Light"/>
          <w:sz w:val="23"/>
          <w:szCs w:val="23"/>
        </w:rPr>
        <w:t xml:space="preserve"> </w:t>
      </w:r>
      <w:r w:rsidR="00F00E3D" w:rsidRPr="00DD331C">
        <w:rPr>
          <w:rFonts w:ascii="Calibri Light" w:eastAsia="Calibri" w:hAnsi="Calibri Light" w:cs="Calibri Light"/>
          <w:noProof/>
          <w:sz w:val="23"/>
          <w:szCs w:val="23"/>
        </w:rPr>
        <w:t>(Agarwal et al., 2020)</w:t>
      </w:r>
      <w:r w:rsidR="00F00E3D" w:rsidRPr="00DD331C">
        <w:rPr>
          <w:rFonts w:ascii="Calibri Light" w:eastAsia="Calibri" w:hAnsi="Calibri Light" w:cs="Calibri Light"/>
          <w:sz w:val="23"/>
          <w:szCs w:val="23"/>
        </w:rPr>
        <w:t xml:space="preserve">. </w:t>
      </w:r>
      <w:r w:rsidR="00434B24">
        <w:rPr>
          <w:rFonts w:ascii="Calibri Light" w:eastAsia="Calibri" w:hAnsi="Calibri Light" w:cs="Calibri Light"/>
          <w:sz w:val="23"/>
          <w:szCs w:val="23"/>
        </w:rPr>
        <w:t>The US</w:t>
      </w:r>
      <w:r w:rsidR="00F00E3D" w:rsidRPr="00DD331C">
        <w:rPr>
          <w:rFonts w:ascii="Calibri Light" w:eastAsia="Calibri" w:hAnsi="Calibri Light" w:cs="Calibri Light"/>
          <w:sz w:val="23"/>
          <w:szCs w:val="23"/>
        </w:rPr>
        <w:t xml:space="preserve"> </w:t>
      </w:r>
      <w:r w:rsidR="00F00E3D" w:rsidRPr="00434B24">
        <w:rPr>
          <w:rFonts w:ascii="Calibri Light" w:eastAsia="Calibri" w:hAnsi="Calibri Light" w:cs="Calibri Light"/>
          <w:i/>
          <w:iCs/>
          <w:sz w:val="23"/>
          <w:szCs w:val="23"/>
        </w:rPr>
        <w:t>CARES Act,</w:t>
      </w:r>
      <w:r w:rsidR="00F00E3D" w:rsidRPr="00DD331C">
        <w:rPr>
          <w:rFonts w:ascii="Calibri Light" w:eastAsia="Calibri" w:hAnsi="Calibri Light" w:cs="Calibri Light"/>
          <w:sz w:val="23"/>
          <w:szCs w:val="23"/>
        </w:rPr>
        <w:t xml:space="preserve"> which offers mortgage </w:t>
      </w:r>
      <w:r w:rsidR="00F00E3D" w:rsidRPr="00DD331C">
        <w:rPr>
          <w:rFonts w:ascii="Calibri Light" w:eastAsia="Calibri" w:hAnsi="Calibri Light" w:cs="Calibri Light"/>
          <w:sz w:val="23"/>
          <w:szCs w:val="23"/>
        </w:rPr>
        <w:lastRenderedPageBreak/>
        <w:t xml:space="preserve">forbearance, </w:t>
      </w:r>
      <w:r w:rsidR="00434B24">
        <w:rPr>
          <w:rFonts w:ascii="Calibri Light" w:eastAsia="Calibri" w:hAnsi="Calibri Light" w:cs="Calibri Light"/>
          <w:sz w:val="23"/>
          <w:szCs w:val="23"/>
        </w:rPr>
        <w:t>wa</w:t>
      </w:r>
      <w:r w:rsidR="00F00E3D" w:rsidRPr="00DD331C">
        <w:rPr>
          <w:rFonts w:ascii="Calibri Light" w:eastAsia="Calibri" w:hAnsi="Calibri Light" w:cs="Calibri Light"/>
          <w:sz w:val="23"/>
          <w:szCs w:val="23"/>
        </w:rPr>
        <w:t xml:space="preserve">s found to play a crucial role in preventing foreclosure filings and house price drops, </w:t>
      </w:r>
      <w:r w:rsidR="00F00E3D" w:rsidRPr="00E46EC3">
        <w:rPr>
          <w:rFonts w:ascii="Calibri Light" w:eastAsia="Calibri" w:hAnsi="Calibri Light" w:cs="Calibri Light"/>
          <w:sz w:val="23"/>
          <w:szCs w:val="23"/>
        </w:rPr>
        <w:t>reducing refinancing cost</w:t>
      </w:r>
      <w:r w:rsidR="009245F3" w:rsidRPr="00E46EC3">
        <w:rPr>
          <w:rFonts w:ascii="Calibri Light" w:eastAsia="Calibri" w:hAnsi="Calibri Light" w:cs="Calibri Light"/>
          <w:sz w:val="23"/>
          <w:szCs w:val="23"/>
        </w:rPr>
        <w:t>s</w:t>
      </w:r>
      <w:r w:rsidR="00F00E3D" w:rsidRPr="00E46EC3">
        <w:rPr>
          <w:rFonts w:ascii="Calibri Light" w:eastAsia="Calibri" w:hAnsi="Calibri Light" w:cs="Calibri Light"/>
          <w:sz w:val="23"/>
          <w:szCs w:val="23"/>
        </w:rPr>
        <w:t xml:space="preserve"> </w:t>
      </w:r>
      <w:r w:rsidR="009245F3" w:rsidRPr="00E46EC3">
        <w:rPr>
          <w:rFonts w:ascii="Calibri Light" w:eastAsia="Calibri" w:hAnsi="Calibri Light" w:cs="Calibri Light"/>
          <w:sz w:val="23"/>
          <w:szCs w:val="23"/>
        </w:rPr>
        <w:t>for</w:t>
      </w:r>
      <w:r w:rsidR="00F00E3D" w:rsidRPr="00E46EC3">
        <w:rPr>
          <w:rFonts w:ascii="Calibri Light" w:eastAsia="Calibri" w:hAnsi="Calibri Light" w:cs="Calibri Light"/>
          <w:sz w:val="23"/>
          <w:szCs w:val="23"/>
        </w:rPr>
        <w:t xml:space="preserve"> households, and relaxing refinancing eligibility constraints </w:t>
      </w:r>
      <w:r w:rsidR="00F00E3D" w:rsidRPr="00E46EC3">
        <w:rPr>
          <w:rFonts w:ascii="Calibri Light" w:eastAsia="Calibri" w:hAnsi="Calibri Light" w:cs="Calibri Light"/>
          <w:noProof/>
          <w:sz w:val="23"/>
          <w:szCs w:val="23"/>
        </w:rPr>
        <w:t>(Capponi &amp; Rios, 2020)</w:t>
      </w:r>
      <w:r w:rsidR="00F00E3D" w:rsidRPr="00E46EC3">
        <w:rPr>
          <w:rFonts w:ascii="Calibri Light" w:eastAsia="Calibri" w:hAnsi="Calibri Light" w:cs="Calibri Light"/>
          <w:sz w:val="23"/>
          <w:szCs w:val="23"/>
        </w:rPr>
        <w:t xml:space="preserve">. </w:t>
      </w:r>
      <w:r w:rsidR="00C15568" w:rsidRPr="00E46EC3">
        <w:rPr>
          <w:rFonts w:ascii="Calibri Light" w:eastAsia="Calibri" w:hAnsi="Calibri Light" w:cs="Calibri Light"/>
          <w:sz w:val="23"/>
          <w:szCs w:val="23"/>
        </w:rPr>
        <w:t xml:space="preserve">While </w:t>
      </w:r>
      <w:r w:rsidR="007D3C1A" w:rsidRPr="00E46EC3">
        <w:rPr>
          <w:rFonts w:ascii="Calibri Light" w:eastAsia="Calibri" w:hAnsi="Calibri Light" w:cs="Calibri Light"/>
          <w:sz w:val="23"/>
          <w:szCs w:val="23"/>
        </w:rPr>
        <w:t xml:space="preserve">some private landlords in Australia </w:t>
      </w:r>
      <w:r>
        <w:rPr>
          <w:rFonts w:ascii="Calibri Light" w:eastAsia="Calibri" w:hAnsi="Calibri Light" w:cs="Calibri Light"/>
          <w:sz w:val="23"/>
          <w:szCs w:val="23"/>
        </w:rPr>
        <w:t>agreed to reduce rents</w:t>
      </w:r>
      <w:r w:rsidR="00C15568" w:rsidRPr="00E46EC3">
        <w:rPr>
          <w:rFonts w:ascii="Calibri Light" w:eastAsia="Calibri" w:hAnsi="Calibri Light" w:cs="Calibri Light"/>
          <w:sz w:val="23"/>
          <w:szCs w:val="23"/>
        </w:rPr>
        <w:t xml:space="preserve">, </w:t>
      </w:r>
      <w:r w:rsidR="007D3C1A" w:rsidRPr="00E46EC3">
        <w:rPr>
          <w:rFonts w:ascii="Calibri Light" w:eastAsia="Calibri" w:hAnsi="Calibri Light" w:cs="Calibri Light"/>
          <w:sz w:val="23"/>
          <w:szCs w:val="23"/>
        </w:rPr>
        <w:t xml:space="preserve">only a small minority </w:t>
      </w:r>
      <w:r w:rsidRPr="00E46EC3">
        <w:rPr>
          <w:rFonts w:ascii="Calibri Light" w:eastAsia="Calibri" w:hAnsi="Calibri Light" w:cs="Calibri Light"/>
          <w:sz w:val="23"/>
          <w:szCs w:val="23"/>
        </w:rPr>
        <w:t xml:space="preserve">of private renters received a rental variation </w:t>
      </w:r>
      <w:r w:rsidR="007D3C1A" w:rsidRPr="00E46EC3">
        <w:rPr>
          <w:rFonts w:ascii="Calibri Light" w:eastAsia="Calibri" w:hAnsi="Calibri Light" w:cs="Calibri Light"/>
          <w:sz w:val="23"/>
          <w:szCs w:val="23"/>
        </w:rPr>
        <w:t xml:space="preserve">(8 to 16 percent of </w:t>
      </w:r>
      <w:r>
        <w:rPr>
          <w:rFonts w:ascii="Calibri Light" w:eastAsia="Calibri" w:hAnsi="Calibri Light" w:cs="Calibri Light"/>
          <w:sz w:val="23"/>
          <w:szCs w:val="23"/>
        </w:rPr>
        <w:t xml:space="preserve">private </w:t>
      </w:r>
      <w:r w:rsidRPr="00E46EC3">
        <w:rPr>
          <w:rFonts w:ascii="Calibri Light" w:eastAsia="Calibri" w:hAnsi="Calibri Light" w:cs="Calibri Light"/>
          <w:sz w:val="23"/>
          <w:szCs w:val="23"/>
        </w:rPr>
        <w:t>tenants)</w:t>
      </w:r>
      <w:r w:rsidR="007D3C1A" w:rsidRPr="00E46EC3">
        <w:rPr>
          <w:rFonts w:ascii="Calibri Light" w:eastAsia="Calibri" w:hAnsi="Calibri Light" w:cs="Calibri Light"/>
          <w:sz w:val="23"/>
          <w:szCs w:val="23"/>
        </w:rPr>
        <w:t xml:space="preserve"> and one-third of those </w:t>
      </w:r>
      <w:r w:rsidRPr="00E46EC3">
        <w:rPr>
          <w:rFonts w:ascii="Calibri Light" w:eastAsia="Calibri" w:hAnsi="Calibri Light" w:cs="Calibri Light"/>
          <w:sz w:val="23"/>
          <w:szCs w:val="23"/>
        </w:rPr>
        <w:t xml:space="preserve">variations </w:t>
      </w:r>
      <w:r w:rsidR="007D3C1A" w:rsidRPr="00E46EC3">
        <w:rPr>
          <w:rFonts w:ascii="Calibri Light" w:eastAsia="Calibri" w:hAnsi="Calibri Light" w:cs="Calibri Light"/>
          <w:sz w:val="23"/>
          <w:szCs w:val="23"/>
        </w:rPr>
        <w:t>were deferments, not exemptions</w:t>
      </w:r>
      <w:r w:rsidRPr="00E46EC3">
        <w:rPr>
          <w:rFonts w:ascii="Calibri Light" w:eastAsia="Calibri" w:hAnsi="Calibri Light" w:cs="Calibri Light"/>
          <w:sz w:val="23"/>
          <w:szCs w:val="23"/>
        </w:rPr>
        <w:t xml:space="preserve">, </w:t>
      </w:r>
      <w:r>
        <w:rPr>
          <w:rFonts w:ascii="Calibri Light" w:eastAsia="Calibri" w:hAnsi="Calibri Light" w:cs="Calibri Light"/>
          <w:sz w:val="23"/>
          <w:szCs w:val="23"/>
        </w:rPr>
        <w:t>which may signal mounting household</w:t>
      </w:r>
      <w:r w:rsidRPr="00E46EC3">
        <w:rPr>
          <w:rFonts w:ascii="Calibri Light" w:eastAsia="Calibri" w:hAnsi="Calibri Light" w:cs="Calibri Light"/>
          <w:sz w:val="23"/>
          <w:szCs w:val="23"/>
        </w:rPr>
        <w:t xml:space="preserve"> debt (Pawson et al., 2021, p. 77).</w:t>
      </w:r>
    </w:p>
    <w:p w14:paraId="1AB92788" w14:textId="77777777" w:rsidR="007D5518" w:rsidRPr="00DD331C" w:rsidRDefault="007D5518" w:rsidP="004D51EB">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In mid-2020 the</w:t>
      </w:r>
      <w:r w:rsidRPr="00DD331C">
        <w:rPr>
          <w:rFonts w:ascii="Calibri Light" w:eastAsia="Calibri" w:hAnsi="Calibri Light" w:cs="Calibri Light"/>
          <w:sz w:val="23"/>
          <w:szCs w:val="23"/>
        </w:rPr>
        <w:t xml:space="preserve"> Federal government announced </w:t>
      </w:r>
      <w:r>
        <w:rPr>
          <w:rFonts w:ascii="Calibri Light" w:eastAsia="Calibri" w:hAnsi="Calibri Light" w:cs="Calibri Light"/>
          <w:sz w:val="23"/>
          <w:szCs w:val="23"/>
        </w:rPr>
        <w:t>its</w:t>
      </w:r>
      <w:r w:rsidRPr="00DD331C">
        <w:rPr>
          <w:rFonts w:ascii="Calibri Light" w:eastAsia="Calibri" w:hAnsi="Calibri Light" w:cs="Calibri Light"/>
          <w:sz w:val="23"/>
          <w:szCs w:val="23"/>
        </w:rPr>
        <w:t xml:space="preserve"> </w:t>
      </w:r>
      <w:r>
        <w:rPr>
          <w:rFonts w:ascii="Calibri Light" w:eastAsia="Calibri" w:hAnsi="Calibri Light" w:cs="Calibri Light"/>
          <w:sz w:val="23"/>
          <w:szCs w:val="23"/>
        </w:rPr>
        <w:t xml:space="preserve">$680 million </w:t>
      </w:r>
      <w:proofErr w:type="spellStart"/>
      <w:r w:rsidRPr="00DD331C">
        <w:rPr>
          <w:rFonts w:ascii="Calibri Light" w:eastAsia="Calibri" w:hAnsi="Calibri Light" w:cs="Calibri Light"/>
          <w:sz w:val="23"/>
          <w:szCs w:val="23"/>
        </w:rPr>
        <w:t>HomeBuilder</w:t>
      </w:r>
      <w:proofErr w:type="spellEnd"/>
      <w:r>
        <w:rPr>
          <w:rFonts w:ascii="Calibri Light" w:eastAsia="Calibri" w:hAnsi="Calibri Light" w:cs="Calibri Light"/>
          <w:sz w:val="23"/>
          <w:szCs w:val="23"/>
        </w:rPr>
        <w:t xml:space="preserve"> grants scheme.</w:t>
      </w:r>
      <w:r w:rsidRPr="00391394">
        <w:t xml:space="preserve"> </w:t>
      </w:r>
      <w:r>
        <w:rPr>
          <w:rFonts w:ascii="Calibri Light" w:eastAsia="Calibri" w:hAnsi="Calibri Light" w:cs="Calibri Light"/>
          <w:sz w:val="23"/>
          <w:szCs w:val="23"/>
        </w:rPr>
        <w:t xml:space="preserve">Offering owner occupiers </w:t>
      </w:r>
      <w:r w:rsidRPr="00391394">
        <w:rPr>
          <w:rFonts w:ascii="Calibri Light" w:eastAsia="Calibri" w:hAnsi="Calibri Light" w:cs="Calibri Light"/>
          <w:sz w:val="23"/>
          <w:szCs w:val="23"/>
        </w:rPr>
        <w:t xml:space="preserve">$25,000 grants </w:t>
      </w:r>
      <w:r>
        <w:rPr>
          <w:rFonts w:ascii="Calibri Light" w:eastAsia="Calibri" w:hAnsi="Calibri Light" w:cs="Calibri Light"/>
          <w:sz w:val="23"/>
          <w:szCs w:val="23"/>
        </w:rPr>
        <w:t xml:space="preserve">for </w:t>
      </w:r>
      <w:r w:rsidRPr="00391394">
        <w:rPr>
          <w:rFonts w:ascii="Calibri Light" w:eastAsia="Calibri" w:hAnsi="Calibri Light" w:cs="Calibri Light"/>
          <w:sz w:val="23"/>
          <w:szCs w:val="23"/>
        </w:rPr>
        <w:t>new home builds</w:t>
      </w:r>
      <w:r>
        <w:rPr>
          <w:rFonts w:ascii="Calibri Light" w:eastAsia="Calibri" w:hAnsi="Calibri Light" w:cs="Calibri Light"/>
          <w:sz w:val="23"/>
          <w:szCs w:val="23"/>
        </w:rPr>
        <w:t xml:space="preserve"> and major home </w:t>
      </w:r>
      <w:r w:rsidRPr="00391394">
        <w:rPr>
          <w:rFonts w:ascii="Calibri Light" w:eastAsia="Calibri" w:hAnsi="Calibri Light" w:cs="Calibri Light"/>
          <w:sz w:val="23"/>
          <w:szCs w:val="23"/>
        </w:rPr>
        <w:t xml:space="preserve">renovations, </w:t>
      </w:r>
      <w:r>
        <w:rPr>
          <w:rFonts w:ascii="Calibri Light" w:eastAsia="Calibri" w:hAnsi="Calibri Light" w:cs="Calibri Light"/>
          <w:sz w:val="23"/>
          <w:szCs w:val="23"/>
        </w:rPr>
        <w:t xml:space="preserve">the scheme aimed to </w:t>
      </w:r>
      <w:r w:rsidRPr="00DD331C">
        <w:rPr>
          <w:rFonts w:ascii="Calibri Light" w:eastAsia="Calibri" w:hAnsi="Calibri Light" w:cs="Calibri Light"/>
          <w:sz w:val="23"/>
          <w:szCs w:val="23"/>
        </w:rPr>
        <w:t>stimulat</w:t>
      </w:r>
      <w:r>
        <w:rPr>
          <w:rFonts w:ascii="Calibri Light" w:eastAsia="Calibri" w:hAnsi="Calibri Light" w:cs="Calibri Light"/>
          <w:sz w:val="23"/>
          <w:szCs w:val="23"/>
        </w:rPr>
        <w:t>e the</w:t>
      </w:r>
      <w:r w:rsidRPr="00DD331C">
        <w:rPr>
          <w:rFonts w:ascii="Calibri Light" w:eastAsia="Calibri" w:hAnsi="Calibri Light" w:cs="Calibri Light"/>
          <w:sz w:val="23"/>
          <w:szCs w:val="23"/>
        </w:rPr>
        <w:t xml:space="preserve"> construction </w:t>
      </w:r>
      <w:r>
        <w:rPr>
          <w:rFonts w:ascii="Calibri Light" w:eastAsia="Calibri" w:hAnsi="Calibri Light" w:cs="Calibri Light"/>
          <w:sz w:val="23"/>
          <w:szCs w:val="23"/>
        </w:rPr>
        <w:t xml:space="preserve">industry and </w:t>
      </w:r>
      <w:r w:rsidRPr="00DD331C">
        <w:rPr>
          <w:rFonts w:ascii="Calibri Light" w:eastAsia="Calibri" w:hAnsi="Calibri Light" w:cs="Calibri Light"/>
          <w:sz w:val="23"/>
          <w:szCs w:val="23"/>
        </w:rPr>
        <w:t>b</w:t>
      </w:r>
      <w:r>
        <w:rPr>
          <w:rFonts w:ascii="Calibri Light" w:eastAsia="Calibri" w:hAnsi="Calibri Light" w:cs="Calibri Light"/>
          <w:sz w:val="23"/>
          <w:szCs w:val="23"/>
        </w:rPr>
        <w:t>r</w:t>
      </w:r>
      <w:r w:rsidRPr="00DD331C">
        <w:rPr>
          <w:rFonts w:ascii="Calibri Light" w:eastAsia="Calibri" w:hAnsi="Calibri Light" w:cs="Calibri Light"/>
          <w:sz w:val="23"/>
          <w:szCs w:val="23"/>
        </w:rPr>
        <w:t xml:space="preserve">oader economy during </w:t>
      </w:r>
      <w:r>
        <w:rPr>
          <w:rFonts w:ascii="Calibri Light" w:eastAsia="Calibri" w:hAnsi="Calibri Light" w:cs="Calibri Light"/>
          <w:sz w:val="23"/>
          <w:szCs w:val="23"/>
        </w:rPr>
        <w:t>COVID-19</w:t>
      </w:r>
      <w:r w:rsidRPr="00DD331C">
        <w:rPr>
          <w:rFonts w:ascii="Calibri Light" w:eastAsia="Calibri" w:hAnsi="Calibri Light" w:cs="Calibri Light"/>
          <w:sz w:val="23"/>
          <w:szCs w:val="23"/>
        </w:rPr>
        <w:t xml:space="preserve">. Recent reports </w:t>
      </w:r>
      <w:r>
        <w:rPr>
          <w:rFonts w:ascii="Calibri Light" w:eastAsia="Calibri" w:hAnsi="Calibri Light" w:cs="Calibri Light"/>
          <w:sz w:val="23"/>
          <w:szCs w:val="23"/>
        </w:rPr>
        <w:t>found</w:t>
      </w:r>
      <w:r w:rsidRPr="00DD331C">
        <w:rPr>
          <w:rFonts w:ascii="Calibri Light" w:eastAsia="Calibri" w:hAnsi="Calibri Light" w:cs="Calibri Light"/>
          <w:sz w:val="23"/>
          <w:szCs w:val="23"/>
        </w:rPr>
        <w:t xml:space="preserve"> the </w:t>
      </w:r>
      <w:proofErr w:type="spellStart"/>
      <w:r w:rsidRPr="00DD331C">
        <w:rPr>
          <w:rFonts w:ascii="Calibri Light" w:eastAsia="Calibri" w:hAnsi="Calibri Light" w:cs="Calibri Light"/>
          <w:sz w:val="23"/>
          <w:szCs w:val="23"/>
        </w:rPr>
        <w:t>HomeBuilder</w:t>
      </w:r>
      <w:proofErr w:type="spellEnd"/>
      <w:r w:rsidRPr="00DD331C">
        <w:rPr>
          <w:rFonts w:ascii="Calibri Light" w:eastAsia="Calibri" w:hAnsi="Calibri Light" w:cs="Calibri Light"/>
          <w:sz w:val="23"/>
          <w:szCs w:val="23"/>
        </w:rPr>
        <w:t xml:space="preserve"> Grant has been used effectively by the building industry and housing market and </w:t>
      </w:r>
      <w:r>
        <w:rPr>
          <w:rFonts w:ascii="Calibri Light" w:eastAsia="Calibri" w:hAnsi="Calibri Light" w:cs="Calibri Light"/>
          <w:sz w:val="23"/>
          <w:szCs w:val="23"/>
        </w:rPr>
        <w:t xml:space="preserve">has had </w:t>
      </w:r>
      <w:r w:rsidRPr="00DD331C">
        <w:rPr>
          <w:rFonts w:ascii="Calibri Light" w:eastAsia="Calibri" w:hAnsi="Calibri Light" w:cs="Calibri Light"/>
          <w:sz w:val="23"/>
          <w:szCs w:val="23"/>
        </w:rPr>
        <w:t xml:space="preserve">a positive </w:t>
      </w:r>
      <w:r>
        <w:rPr>
          <w:rFonts w:ascii="Calibri Light" w:eastAsia="Calibri" w:hAnsi="Calibri Light" w:cs="Calibri Light"/>
          <w:sz w:val="23"/>
          <w:szCs w:val="23"/>
        </w:rPr>
        <w:t xml:space="preserve">overall </w:t>
      </w:r>
      <w:r w:rsidRPr="00DD331C">
        <w:rPr>
          <w:rFonts w:ascii="Calibri Light" w:eastAsia="Calibri" w:hAnsi="Calibri Light" w:cs="Calibri Light"/>
          <w:sz w:val="23"/>
          <w:szCs w:val="23"/>
        </w:rPr>
        <w:t xml:space="preserve">effect on the economy </w:t>
      </w:r>
      <w:r w:rsidRPr="00DD331C">
        <w:rPr>
          <w:rFonts w:ascii="Calibri Light" w:eastAsia="Calibri" w:hAnsi="Calibri Light" w:cs="Calibri Light"/>
          <w:noProof/>
          <w:sz w:val="23"/>
          <w:szCs w:val="23"/>
        </w:rPr>
        <w:t>(Gardner &amp; Willan, 2020; Hamilton-Smith</w:t>
      </w:r>
      <w:r>
        <w:rPr>
          <w:rFonts w:ascii="Calibri Light" w:eastAsia="Calibri" w:hAnsi="Calibri Light" w:cs="Calibri Light"/>
          <w:noProof/>
          <w:sz w:val="23"/>
          <w:szCs w:val="23"/>
        </w:rPr>
        <w:t xml:space="preserve"> et al., </w:t>
      </w:r>
      <w:r w:rsidRPr="00DD331C">
        <w:rPr>
          <w:rFonts w:ascii="Calibri Light" w:eastAsia="Calibri" w:hAnsi="Calibri Light" w:cs="Calibri Light"/>
          <w:noProof/>
          <w:sz w:val="23"/>
          <w:szCs w:val="23"/>
        </w:rPr>
        <w:t>2021; Rebellato</w:t>
      </w:r>
      <w:r>
        <w:rPr>
          <w:rFonts w:ascii="Calibri Light" w:eastAsia="Calibri" w:hAnsi="Calibri Light" w:cs="Calibri Light"/>
          <w:noProof/>
          <w:sz w:val="23"/>
          <w:szCs w:val="23"/>
        </w:rPr>
        <w:t xml:space="preserve"> et al.</w:t>
      </w:r>
      <w:r w:rsidRPr="00DD331C">
        <w:rPr>
          <w:rFonts w:ascii="Calibri Light" w:eastAsia="Calibri" w:hAnsi="Calibri Light" w:cs="Calibri Light"/>
          <w:noProof/>
          <w:sz w:val="23"/>
          <w:szCs w:val="23"/>
        </w:rPr>
        <w:t>, 2021)</w:t>
      </w:r>
      <w:r w:rsidRPr="00DD331C">
        <w:rPr>
          <w:rFonts w:ascii="Calibri Light" w:eastAsia="Calibri" w:hAnsi="Calibri Light" w:cs="Calibri Light"/>
          <w:sz w:val="23"/>
          <w:szCs w:val="23"/>
        </w:rPr>
        <w:t>.</w:t>
      </w:r>
      <w:r>
        <w:rPr>
          <w:rFonts w:ascii="Calibri Light" w:eastAsia="Calibri" w:hAnsi="Calibri Light" w:cs="Calibri Light"/>
          <w:sz w:val="23"/>
          <w:szCs w:val="23"/>
        </w:rPr>
        <w:t xml:space="preserve"> However, in aiding the housing market bounce-back, </w:t>
      </w:r>
      <w:proofErr w:type="spellStart"/>
      <w:r>
        <w:rPr>
          <w:rFonts w:ascii="Calibri Light" w:eastAsia="Calibri" w:hAnsi="Calibri Light" w:cs="Calibri Light"/>
          <w:sz w:val="23"/>
          <w:szCs w:val="23"/>
        </w:rPr>
        <w:t>HomeBuilder</w:t>
      </w:r>
      <w:proofErr w:type="spellEnd"/>
      <w:r>
        <w:rPr>
          <w:rFonts w:ascii="Calibri Light" w:eastAsia="Calibri" w:hAnsi="Calibri Light" w:cs="Calibri Light"/>
          <w:sz w:val="23"/>
          <w:szCs w:val="23"/>
        </w:rPr>
        <w:t xml:space="preserve"> did not make housing more affordable. Critics also argued that the scheme was poorly designed, confusing, primarily benefited wealthier people – and, perhaps most importantly, did nothing to reduce housing precarity or address the urgent need for more social housing (Hutchens &amp; Morgan, 2020; </w:t>
      </w:r>
      <w:proofErr w:type="spellStart"/>
      <w:r>
        <w:rPr>
          <w:rFonts w:ascii="Calibri Light" w:eastAsia="Calibri" w:hAnsi="Calibri Light" w:cs="Calibri Light"/>
          <w:sz w:val="23"/>
          <w:szCs w:val="23"/>
        </w:rPr>
        <w:t>Borello</w:t>
      </w:r>
      <w:proofErr w:type="spellEnd"/>
      <w:r>
        <w:rPr>
          <w:rFonts w:ascii="Calibri Light" w:eastAsia="Calibri" w:hAnsi="Calibri Light" w:cs="Calibri Light"/>
          <w:sz w:val="23"/>
          <w:szCs w:val="23"/>
        </w:rPr>
        <w:t>, 2020).</w:t>
      </w:r>
    </w:p>
    <w:p w14:paraId="077A96C6" w14:textId="4878607E" w:rsidR="00F00E3D" w:rsidRPr="00DD331C" w:rsidRDefault="00173082" w:rsidP="004D51EB">
      <w:pPr>
        <w:spacing w:after="0" w:line="276" w:lineRule="auto"/>
        <w:rPr>
          <w:rFonts w:asciiTheme="majorHAnsi" w:eastAsia="Times New Roman" w:hAnsiTheme="majorHAnsi" w:cstheme="majorBidi"/>
          <w:sz w:val="23"/>
          <w:szCs w:val="23"/>
          <w:lang w:eastAsia="en-GB"/>
        </w:rPr>
      </w:pPr>
      <w:r w:rsidRPr="00F863F6">
        <w:rPr>
          <w:rFonts w:asciiTheme="majorHAnsi" w:eastAsia="Times New Roman" w:hAnsiTheme="majorHAnsi" w:cstheme="majorBidi"/>
          <w:sz w:val="23"/>
          <w:szCs w:val="23"/>
          <w:lang w:eastAsia="en-GB"/>
        </w:rPr>
        <w:t>Below we summarise</w:t>
      </w:r>
      <w:r w:rsidR="00F00E3D" w:rsidRPr="00F863F6">
        <w:rPr>
          <w:rFonts w:asciiTheme="majorHAnsi" w:eastAsia="Times New Roman" w:hAnsiTheme="majorHAnsi" w:cstheme="majorBidi"/>
          <w:sz w:val="23"/>
          <w:szCs w:val="23"/>
          <w:lang w:eastAsia="en-GB"/>
        </w:rPr>
        <w:t xml:space="preserve"> </w:t>
      </w:r>
      <w:r w:rsidR="00816D1B" w:rsidRPr="00F863F6">
        <w:rPr>
          <w:rFonts w:asciiTheme="majorHAnsi" w:eastAsia="Times New Roman" w:hAnsiTheme="majorHAnsi" w:cstheme="majorBidi"/>
          <w:sz w:val="23"/>
          <w:szCs w:val="23"/>
          <w:lang w:eastAsia="en-GB"/>
        </w:rPr>
        <w:t>two issues</w:t>
      </w:r>
      <w:r w:rsidR="00C85E03" w:rsidRPr="00F863F6">
        <w:rPr>
          <w:rFonts w:asciiTheme="majorHAnsi" w:eastAsia="Times New Roman" w:hAnsiTheme="majorHAnsi" w:cstheme="majorBidi"/>
          <w:sz w:val="23"/>
          <w:szCs w:val="23"/>
          <w:lang w:eastAsia="en-GB"/>
        </w:rPr>
        <w:t xml:space="preserve"> relevant to </w:t>
      </w:r>
      <w:r w:rsidR="00E24410" w:rsidRPr="00F863F6">
        <w:rPr>
          <w:rFonts w:asciiTheme="majorHAnsi" w:eastAsia="Times New Roman" w:hAnsiTheme="majorHAnsi" w:cstheme="majorBidi"/>
          <w:sz w:val="23"/>
          <w:szCs w:val="23"/>
          <w:lang w:eastAsia="en-GB"/>
        </w:rPr>
        <w:t xml:space="preserve">the </w:t>
      </w:r>
      <w:r w:rsidR="00C85E03" w:rsidRPr="00F863F6">
        <w:rPr>
          <w:rFonts w:asciiTheme="majorHAnsi" w:eastAsia="Times New Roman" w:hAnsiTheme="majorHAnsi" w:cstheme="majorBidi"/>
          <w:sz w:val="23"/>
          <w:szCs w:val="23"/>
          <w:lang w:eastAsia="en-GB"/>
        </w:rPr>
        <w:t>Australian</w:t>
      </w:r>
      <w:r w:rsidR="00E24410" w:rsidRPr="00F863F6">
        <w:rPr>
          <w:rFonts w:asciiTheme="majorHAnsi" w:eastAsia="Times New Roman" w:hAnsiTheme="majorHAnsi" w:cstheme="majorBidi"/>
          <w:sz w:val="23"/>
          <w:szCs w:val="23"/>
          <w:lang w:eastAsia="en-GB"/>
        </w:rPr>
        <w:t xml:space="preserve"> </w:t>
      </w:r>
      <w:r w:rsidR="00766950">
        <w:rPr>
          <w:rFonts w:asciiTheme="majorHAnsi" w:eastAsia="Times New Roman" w:hAnsiTheme="majorHAnsi" w:cstheme="majorBidi"/>
          <w:sz w:val="23"/>
          <w:szCs w:val="23"/>
          <w:lang w:eastAsia="en-GB"/>
        </w:rPr>
        <w:t xml:space="preserve">housing </w:t>
      </w:r>
      <w:r w:rsidR="00E24410" w:rsidRPr="00F863F6">
        <w:rPr>
          <w:rFonts w:asciiTheme="majorHAnsi" w:eastAsia="Times New Roman" w:hAnsiTheme="majorHAnsi" w:cstheme="majorBidi"/>
          <w:sz w:val="23"/>
          <w:szCs w:val="23"/>
          <w:lang w:eastAsia="en-GB"/>
        </w:rPr>
        <w:t>context</w:t>
      </w:r>
      <w:r w:rsidR="00816D1B" w:rsidRPr="00F863F6">
        <w:rPr>
          <w:rFonts w:asciiTheme="majorHAnsi" w:eastAsia="Times New Roman" w:hAnsiTheme="majorHAnsi" w:cstheme="majorBidi"/>
          <w:sz w:val="23"/>
          <w:szCs w:val="23"/>
          <w:lang w:eastAsia="en-GB"/>
        </w:rPr>
        <w:t>:</w:t>
      </w:r>
      <w:r w:rsidRPr="00F863F6">
        <w:rPr>
          <w:rFonts w:asciiTheme="majorHAnsi" w:eastAsia="Times New Roman" w:hAnsiTheme="majorHAnsi" w:cstheme="majorBidi"/>
          <w:sz w:val="23"/>
          <w:szCs w:val="23"/>
          <w:lang w:eastAsia="en-GB"/>
        </w:rPr>
        <w:t xml:space="preserve"> </w:t>
      </w:r>
      <w:r w:rsidR="00816D1B" w:rsidRPr="00F863F6">
        <w:rPr>
          <w:rFonts w:asciiTheme="majorHAnsi" w:eastAsia="Times New Roman" w:hAnsiTheme="majorHAnsi" w:cstheme="majorBidi"/>
          <w:sz w:val="23"/>
          <w:szCs w:val="23"/>
          <w:lang w:eastAsia="en-GB"/>
        </w:rPr>
        <w:t>homelessness and housing stress</w:t>
      </w:r>
      <w:r w:rsidR="00674CE0" w:rsidRPr="00F863F6">
        <w:rPr>
          <w:rFonts w:asciiTheme="majorHAnsi" w:eastAsia="Times New Roman" w:hAnsiTheme="majorHAnsi" w:cstheme="majorBidi"/>
          <w:sz w:val="23"/>
          <w:szCs w:val="23"/>
          <w:lang w:eastAsia="en-GB"/>
        </w:rPr>
        <w:t xml:space="preserve"> during COVID-19</w:t>
      </w:r>
      <w:r w:rsidR="00816D1B" w:rsidRPr="00F863F6">
        <w:rPr>
          <w:rFonts w:asciiTheme="majorHAnsi" w:eastAsia="Times New Roman" w:hAnsiTheme="majorHAnsi" w:cstheme="majorBidi"/>
          <w:sz w:val="23"/>
          <w:szCs w:val="23"/>
          <w:lang w:eastAsia="en-GB"/>
        </w:rPr>
        <w:t xml:space="preserve">, and </w:t>
      </w:r>
      <w:r w:rsidR="00E24410" w:rsidRPr="00F863F6">
        <w:rPr>
          <w:rFonts w:asciiTheme="majorHAnsi" w:eastAsia="Times New Roman" w:hAnsiTheme="majorHAnsi" w:cstheme="majorBidi"/>
          <w:sz w:val="23"/>
          <w:szCs w:val="23"/>
          <w:lang w:eastAsia="en-GB"/>
        </w:rPr>
        <w:t xml:space="preserve">housing-related </w:t>
      </w:r>
      <w:r w:rsidR="00F00E3D" w:rsidRPr="00F863F6">
        <w:rPr>
          <w:rFonts w:asciiTheme="majorHAnsi" w:eastAsia="Times New Roman" w:hAnsiTheme="majorHAnsi" w:cstheme="majorBidi"/>
          <w:sz w:val="23"/>
          <w:szCs w:val="23"/>
          <w:lang w:eastAsia="en-GB"/>
        </w:rPr>
        <w:t xml:space="preserve">government </w:t>
      </w:r>
      <w:r w:rsidR="00674CE0" w:rsidRPr="00F863F6">
        <w:rPr>
          <w:rFonts w:asciiTheme="majorHAnsi" w:eastAsia="Times New Roman" w:hAnsiTheme="majorHAnsi" w:cstheme="majorBidi"/>
          <w:sz w:val="23"/>
          <w:szCs w:val="23"/>
          <w:lang w:eastAsia="en-GB"/>
        </w:rPr>
        <w:t xml:space="preserve">funding </w:t>
      </w:r>
      <w:r w:rsidR="00E24410" w:rsidRPr="00F863F6">
        <w:rPr>
          <w:rFonts w:asciiTheme="majorHAnsi" w:eastAsia="Times New Roman" w:hAnsiTheme="majorHAnsi" w:cstheme="majorBidi"/>
          <w:sz w:val="23"/>
          <w:szCs w:val="23"/>
          <w:lang w:eastAsia="en-GB"/>
        </w:rPr>
        <w:t>in response to the pandemic.</w:t>
      </w:r>
    </w:p>
    <w:p w14:paraId="04F6EEA5" w14:textId="77777777" w:rsidR="00F00E3D" w:rsidRPr="004D51EB" w:rsidRDefault="00F00E3D" w:rsidP="004D51EB">
      <w:pPr>
        <w:spacing w:after="0" w:line="276" w:lineRule="auto"/>
        <w:rPr>
          <w:rFonts w:asciiTheme="majorHAnsi" w:eastAsia="Times New Roman" w:hAnsiTheme="majorHAnsi" w:cstheme="majorBidi"/>
          <w:sz w:val="16"/>
          <w:szCs w:val="16"/>
          <w:lang w:eastAsia="en-GB"/>
        </w:rPr>
      </w:pPr>
    </w:p>
    <w:p w14:paraId="1F40DD45" w14:textId="62B85C03" w:rsidR="00F00E3D" w:rsidRPr="00E56074" w:rsidRDefault="007E6A41" w:rsidP="004D51EB">
      <w:pPr>
        <w:spacing w:line="276" w:lineRule="auto"/>
        <w:rPr>
          <w:rFonts w:eastAsia="Calibri" w:cstheme="minorHAnsi"/>
          <w:b/>
          <w:sz w:val="23"/>
          <w:szCs w:val="23"/>
        </w:rPr>
      </w:pPr>
      <w:bookmarkStart w:id="85" w:name="_Hlk70616662"/>
      <w:r>
        <w:rPr>
          <w:rFonts w:eastAsia="Calibri" w:cstheme="minorHAnsi"/>
          <w:b/>
          <w:sz w:val="23"/>
          <w:szCs w:val="23"/>
        </w:rPr>
        <w:t xml:space="preserve">COVID-19 Impacts on </w:t>
      </w:r>
      <w:r w:rsidR="00816D1B">
        <w:rPr>
          <w:rFonts w:eastAsia="Calibri" w:cstheme="minorHAnsi"/>
          <w:b/>
          <w:sz w:val="23"/>
          <w:szCs w:val="23"/>
        </w:rPr>
        <w:t>Homelessness and Housing Stress</w:t>
      </w:r>
    </w:p>
    <w:bookmarkEnd w:id="85"/>
    <w:p w14:paraId="0C59E90A" w14:textId="53C2FA73" w:rsidR="00480ACE" w:rsidRPr="00DD331C" w:rsidRDefault="00F67B8B" w:rsidP="004D51EB">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Over</w:t>
      </w:r>
      <w:r w:rsidR="00480ACE">
        <w:rPr>
          <w:rFonts w:ascii="Calibri Light" w:eastAsia="Calibri" w:hAnsi="Calibri Light" w:cs="Calibri Light"/>
          <w:sz w:val="23"/>
          <w:szCs w:val="23"/>
        </w:rPr>
        <w:t xml:space="preserve"> the decade before COVID-19 emerged</w:t>
      </w:r>
      <w:r>
        <w:rPr>
          <w:rFonts w:ascii="Calibri Light" w:eastAsia="Calibri" w:hAnsi="Calibri Light" w:cs="Calibri Light"/>
          <w:sz w:val="23"/>
          <w:szCs w:val="23"/>
        </w:rPr>
        <w:t xml:space="preserve"> in early 2020</w:t>
      </w:r>
      <w:r w:rsidR="00480ACE">
        <w:rPr>
          <w:rFonts w:ascii="Calibri Light" w:eastAsia="Calibri" w:hAnsi="Calibri Light" w:cs="Calibri Light"/>
          <w:sz w:val="23"/>
          <w:szCs w:val="23"/>
        </w:rPr>
        <w:t>,</w:t>
      </w:r>
      <w:r w:rsidR="00480ACE" w:rsidRPr="00DD331C">
        <w:rPr>
          <w:rFonts w:ascii="Calibri Light" w:eastAsia="Calibri" w:hAnsi="Calibri Light" w:cs="Calibri Light"/>
          <w:sz w:val="23"/>
          <w:szCs w:val="23"/>
        </w:rPr>
        <w:t xml:space="preserve"> </w:t>
      </w:r>
      <w:r w:rsidR="00480ACE">
        <w:rPr>
          <w:rFonts w:ascii="Calibri Light" w:eastAsia="Calibri" w:hAnsi="Calibri Light" w:cs="Calibri Light"/>
          <w:sz w:val="23"/>
          <w:szCs w:val="23"/>
        </w:rPr>
        <w:t xml:space="preserve">Australia’s </w:t>
      </w:r>
      <w:r w:rsidR="00480ACE" w:rsidRPr="00DD331C">
        <w:rPr>
          <w:rFonts w:ascii="Calibri Light" w:eastAsia="Calibri" w:hAnsi="Calibri Light" w:cs="Calibri Light"/>
          <w:sz w:val="23"/>
          <w:szCs w:val="23"/>
        </w:rPr>
        <w:t>homelessness</w:t>
      </w:r>
      <w:r w:rsidR="00480ACE">
        <w:rPr>
          <w:rFonts w:ascii="Calibri Light" w:eastAsia="Calibri" w:hAnsi="Calibri Light" w:cs="Calibri Light"/>
          <w:sz w:val="23"/>
          <w:szCs w:val="23"/>
        </w:rPr>
        <w:t xml:space="preserve"> figures rose steeply</w:t>
      </w:r>
      <w:r w:rsidR="00CF65FC">
        <w:rPr>
          <w:rFonts w:ascii="Calibri Light" w:eastAsia="Calibri" w:hAnsi="Calibri Light" w:cs="Calibri Light"/>
          <w:sz w:val="23"/>
          <w:szCs w:val="23"/>
        </w:rPr>
        <w:t>. U</w:t>
      </w:r>
      <w:r w:rsidR="00480ACE">
        <w:rPr>
          <w:rFonts w:ascii="Calibri Light" w:eastAsia="Calibri" w:hAnsi="Calibri Light" w:cs="Calibri Light"/>
          <w:sz w:val="23"/>
          <w:szCs w:val="23"/>
        </w:rPr>
        <w:t xml:space="preserve">rban homelessness </w:t>
      </w:r>
      <w:r>
        <w:rPr>
          <w:rFonts w:ascii="Calibri Light" w:eastAsia="Calibri" w:hAnsi="Calibri Light" w:cs="Calibri Light"/>
          <w:sz w:val="23"/>
          <w:szCs w:val="23"/>
        </w:rPr>
        <w:t>also became</w:t>
      </w:r>
      <w:r w:rsidR="00480ACE">
        <w:rPr>
          <w:rFonts w:ascii="Calibri Light" w:eastAsia="Calibri" w:hAnsi="Calibri Light" w:cs="Calibri Light"/>
          <w:sz w:val="23"/>
          <w:szCs w:val="23"/>
        </w:rPr>
        <w:t xml:space="preserve"> increasingly </w:t>
      </w:r>
      <w:r w:rsidR="00480ACE" w:rsidRPr="007E6A41">
        <w:rPr>
          <w:rFonts w:ascii="Calibri Light" w:eastAsia="Calibri" w:hAnsi="Calibri Light" w:cs="Calibri Light"/>
          <w:sz w:val="23"/>
          <w:szCs w:val="23"/>
        </w:rPr>
        <w:t>visible</w:t>
      </w:r>
      <w:r w:rsidR="00CF65FC" w:rsidRPr="007E6A41">
        <w:rPr>
          <w:rFonts w:ascii="Calibri Light" w:eastAsia="Calibri" w:hAnsi="Calibri Light" w:cs="Calibri Light"/>
          <w:sz w:val="23"/>
          <w:szCs w:val="23"/>
        </w:rPr>
        <w:t xml:space="preserve"> in the years prior to the pandemic</w:t>
      </w:r>
      <w:r w:rsidR="00480ACE" w:rsidRPr="007E6A41">
        <w:rPr>
          <w:rFonts w:ascii="Calibri Light" w:eastAsia="Calibri" w:hAnsi="Calibri Light" w:cs="Calibri Light"/>
          <w:sz w:val="23"/>
          <w:szCs w:val="23"/>
        </w:rPr>
        <w:t>. Key drivers included a severe</w:t>
      </w:r>
      <w:r w:rsidR="00CE35A0" w:rsidRPr="007E6A41">
        <w:rPr>
          <w:rFonts w:ascii="Calibri Light" w:eastAsia="Calibri" w:hAnsi="Calibri Light" w:cs="Calibri Light"/>
          <w:sz w:val="23"/>
          <w:szCs w:val="23"/>
        </w:rPr>
        <w:t xml:space="preserve"> long-term </w:t>
      </w:r>
      <w:r w:rsidR="00480ACE" w:rsidRPr="007E6A41">
        <w:rPr>
          <w:rFonts w:ascii="Calibri Light" w:eastAsia="Calibri" w:hAnsi="Calibri Light" w:cs="Calibri Light"/>
          <w:sz w:val="23"/>
          <w:szCs w:val="23"/>
        </w:rPr>
        <w:t xml:space="preserve">national shortage of social housing, </w:t>
      </w:r>
      <w:r w:rsidR="00464935" w:rsidRPr="007E6A41">
        <w:rPr>
          <w:rFonts w:ascii="Calibri Light" w:eastAsia="Calibri" w:hAnsi="Calibri Light" w:cs="Calibri Light"/>
          <w:sz w:val="23"/>
          <w:szCs w:val="23"/>
        </w:rPr>
        <w:t>rising</w:t>
      </w:r>
      <w:r w:rsidR="00480ACE" w:rsidRPr="007E6A41">
        <w:rPr>
          <w:rFonts w:ascii="Calibri Light" w:eastAsia="Calibri" w:hAnsi="Calibri Light" w:cs="Calibri Light"/>
          <w:sz w:val="23"/>
          <w:szCs w:val="23"/>
        </w:rPr>
        <w:t xml:space="preserve"> unemployment, high rates of rental stress and household debt, </w:t>
      </w:r>
      <w:r w:rsidR="00CE35A0" w:rsidRPr="007E6A41">
        <w:rPr>
          <w:rFonts w:ascii="Calibri Light" w:eastAsia="Calibri" w:hAnsi="Calibri Light" w:cs="Calibri Light"/>
          <w:sz w:val="23"/>
          <w:szCs w:val="23"/>
        </w:rPr>
        <w:t xml:space="preserve">an </w:t>
      </w:r>
      <w:r w:rsidR="000C75EB" w:rsidRPr="007E6A41">
        <w:rPr>
          <w:rFonts w:ascii="Calibri Light" w:eastAsia="Calibri" w:hAnsi="Calibri Light" w:cs="Calibri Light"/>
          <w:sz w:val="23"/>
          <w:szCs w:val="23"/>
        </w:rPr>
        <w:t xml:space="preserve">inadequate </w:t>
      </w:r>
      <w:r w:rsidR="00CE35A0" w:rsidRPr="007E6A41">
        <w:rPr>
          <w:rFonts w:ascii="Calibri Light" w:eastAsia="Calibri" w:hAnsi="Calibri Light" w:cs="Calibri Light"/>
          <w:sz w:val="23"/>
          <w:szCs w:val="23"/>
        </w:rPr>
        <w:t xml:space="preserve">welfare safety net, </w:t>
      </w:r>
      <w:r w:rsidR="007E6A41" w:rsidRPr="007E6A41">
        <w:rPr>
          <w:rFonts w:ascii="Calibri Light" w:eastAsia="Calibri" w:hAnsi="Calibri Light" w:cs="Calibri Light"/>
          <w:sz w:val="23"/>
          <w:szCs w:val="23"/>
        </w:rPr>
        <w:t xml:space="preserve">the prevalence of domestic and family violence, </w:t>
      </w:r>
      <w:r w:rsidR="00480ACE" w:rsidRPr="007E6A41">
        <w:rPr>
          <w:rFonts w:ascii="Calibri Light" w:eastAsia="Calibri" w:hAnsi="Calibri Light" w:cs="Calibri Light"/>
          <w:sz w:val="23"/>
          <w:szCs w:val="23"/>
        </w:rPr>
        <w:t>and the volatile boom-bust cycle of residential construction</w:t>
      </w:r>
      <w:r w:rsidR="007E6A41" w:rsidRPr="007E6A41">
        <w:rPr>
          <w:rFonts w:ascii="Calibri Light" w:eastAsia="Calibri" w:hAnsi="Calibri Light" w:cs="Calibri Light"/>
          <w:sz w:val="23"/>
          <w:szCs w:val="23"/>
        </w:rPr>
        <w:t>.</w:t>
      </w:r>
    </w:p>
    <w:p w14:paraId="6AF2B969" w14:textId="5FB16244" w:rsidR="00A2677E" w:rsidRDefault="001F554A" w:rsidP="00084F60">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D</w:t>
      </w:r>
      <w:r w:rsidR="00F00E3D" w:rsidRPr="00DD331C">
        <w:rPr>
          <w:rFonts w:ascii="Calibri Light" w:eastAsia="Calibri" w:hAnsi="Calibri Light" w:cs="Calibri Light"/>
          <w:sz w:val="23"/>
          <w:szCs w:val="23"/>
        </w:rPr>
        <w:t xml:space="preserve">uring the </w:t>
      </w:r>
      <w:r w:rsidR="00376626">
        <w:rPr>
          <w:rFonts w:ascii="Calibri Light" w:eastAsia="Calibri" w:hAnsi="Calibri Light" w:cs="Calibri Light"/>
          <w:sz w:val="23"/>
          <w:szCs w:val="23"/>
        </w:rPr>
        <w:t>pandemic’s first wave</w:t>
      </w:r>
      <w:r w:rsidR="00F00E3D" w:rsidRPr="00DD331C">
        <w:rPr>
          <w:rFonts w:ascii="Calibri Light" w:eastAsia="Calibri" w:hAnsi="Calibri Light" w:cs="Calibri Light"/>
          <w:sz w:val="23"/>
          <w:szCs w:val="23"/>
        </w:rPr>
        <w:t xml:space="preserve">, </w:t>
      </w:r>
      <w:r w:rsidR="00492021">
        <w:rPr>
          <w:rFonts w:ascii="Calibri Light" w:eastAsia="Calibri" w:hAnsi="Calibri Light" w:cs="Calibri Light"/>
          <w:sz w:val="23"/>
          <w:szCs w:val="23"/>
        </w:rPr>
        <w:t>thousands of</w:t>
      </w:r>
      <w:r w:rsidR="00F00E3D" w:rsidRPr="00DD331C">
        <w:rPr>
          <w:rFonts w:ascii="Calibri Light" w:eastAsia="Calibri" w:hAnsi="Calibri Light" w:cs="Calibri Light"/>
          <w:sz w:val="23"/>
          <w:szCs w:val="23"/>
        </w:rPr>
        <w:t xml:space="preserve"> </w:t>
      </w:r>
      <w:r w:rsidR="0096471B">
        <w:rPr>
          <w:rFonts w:ascii="Calibri Light" w:eastAsia="Calibri" w:hAnsi="Calibri Light" w:cs="Calibri Light"/>
          <w:sz w:val="23"/>
          <w:szCs w:val="23"/>
        </w:rPr>
        <w:t>people experiencing homelessness</w:t>
      </w:r>
      <w:r w:rsidR="00F00E3D" w:rsidRPr="00DD331C">
        <w:rPr>
          <w:rFonts w:ascii="Calibri Light" w:eastAsia="Calibri" w:hAnsi="Calibri Light" w:cs="Calibri Light"/>
          <w:sz w:val="23"/>
          <w:szCs w:val="23"/>
        </w:rPr>
        <w:t xml:space="preserve"> </w:t>
      </w:r>
      <w:r>
        <w:rPr>
          <w:rFonts w:ascii="Calibri Light" w:eastAsia="Calibri" w:hAnsi="Calibri Light" w:cs="Calibri Light"/>
          <w:sz w:val="23"/>
          <w:szCs w:val="23"/>
        </w:rPr>
        <w:t xml:space="preserve">across Australia </w:t>
      </w:r>
      <w:r w:rsidR="00F00E3D" w:rsidRPr="00DD331C">
        <w:rPr>
          <w:rFonts w:ascii="Calibri Light" w:eastAsia="Calibri" w:hAnsi="Calibri Light" w:cs="Calibri Light"/>
          <w:sz w:val="23"/>
          <w:szCs w:val="23"/>
        </w:rPr>
        <w:t>were temporarily placed in hotels and pop-up accommodation.</w:t>
      </w:r>
      <w:r w:rsidR="0096471B">
        <w:rPr>
          <w:rFonts w:ascii="Calibri Light" w:eastAsia="Calibri" w:hAnsi="Calibri Light" w:cs="Calibri Light"/>
          <w:sz w:val="23"/>
          <w:szCs w:val="23"/>
        </w:rPr>
        <w:t xml:space="preserve"> Around half were rough sleepers.</w:t>
      </w:r>
      <w:r w:rsidR="00F00E3D" w:rsidRPr="00DD331C">
        <w:rPr>
          <w:rFonts w:ascii="Calibri Light" w:eastAsia="Calibri" w:hAnsi="Calibri Light" w:cs="Calibri Light"/>
          <w:sz w:val="23"/>
          <w:szCs w:val="23"/>
        </w:rPr>
        <w:t xml:space="preserve"> This emergency measure saved lives and helped curb infection rates but was no substitute for permanent secure housing. </w:t>
      </w:r>
      <w:r w:rsidR="002767E8">
        <w:rPr>
          <w:rFonts w:ascii="Calibri Light" w:eastAsia="Calibri" w:hAnsi="Calibri Light" w:cs="Calibri Light"/>
          <w:sz w:val="23"/>
          <w:szCs w:val="23"/>
        </w:rPr>
        <w:t xml:space="preserve">The rapid response was </w:t>
      </w:r>
      <w:r w:rsidR="00C332E4">
        <w:rPr>
          <w:rFonts w:ascii="Calibri Light" w:eastAsia="Calibri" w:hAnsi="Calibri Light" w:cs="Calibri Light"/>
          <w:sz w:val="23"/>
          <w:szCs w:val="23"/>
        </w:rPr>
        <w:t xml:space="preserve">also </w:t>
      </w:r>
      <w:r w:rsidR="002767E8">
        <w:rPr>
          <w:rFonts w:ascii="Calibri Light" w:eastAsia="Calibri" w:hAnsi="Calibri Light" w:cs="Calibri Light"/>
          <w:sz w:val="23"/>
          <w:szCs w:val="23"/>
        </w:rPr>
        <w:t>in</w:t>
      </w:r>
      <w:r w:rsidR="00097899">
        <w:rPr>
          <w:rFonts w:ascii="Calibri Light" w:eastAsia="Calibri" w:hAnsi="Calibri Light" w:cs="Calibri Light"/>
          <w:sz w:val="23"/>
          <w:szCs w:val="23"/>
        </w:rPr>
        <w:t xml:space="preserve"> sharp contrast with</w:t>
      </w:r>
      <w:r w:rsidR="00F00E3D" w:rsidRPr="00DD331C">
        <w:rPr>
          <w:rFonts w:ascii="Calibri Light" w:eastAsia="Calibri" w:hAnsi="Calibri Light" w:cs="Calibri Light"/>
          <w:sz w:val="23"/>
          <w:szCs w:val="23"/>
        </w:rPr>
        <w:t xml:space="preserve"> </w:t>
      </w:r>
      <w:r w:rsidR="00097899" w:rsidRPr="00DD331C">
        <w:rPr>
          <w:rFonts w:ascii="Calibri Light" w:eastAsia="Calibri" w:hAnsi="Calibri Light" w:cs="Calibri Light"/>
          <w:sz w:val="23"/>
          <w:szCs w:val="23"/>
        </w:rPr>
        <w:t xml:space="preserve">pre-pandemic </w:t>
      </w:r>
      <w:r w:rsidR="00F00E3D" w:rsidRPr="00DD331C">
        <w:rPr>
          <w:rFonts w:ascii="Calibri Light" w:eastAsia="Calibri" w:hAnsi="Calibri Light" w:cs="Calibri Light"/>
          <w:sz w:val="23"/>
          <w:szCs w:val="23"/>
        </w:rPr>
        <w:t>policy stasis</w:t>
      </w:r>
      <w:r w:rsidR="002767E8">
        <w:rPr>
          <w:rFonts w:ascii="Calibri Light" w:eastAsia="Calibri" w:hAnsi="Calibri Light" w:cs="Calibri Light"/>
          <w:sz w:val="23"/>
          <w:szCs w:val="23"/>
        </w:rPr>
        <w:t>. Homelessness researcher</w:t>
      </w:r>
      <w:r w:rsidR="00BD1BA2">
        <w:rPr>
          <w:rFonts w:ascii="Calibri Light" w:eastAsia="Calibri" w:hAnsi="Calibri Light" w:cs="Calibri Light"/>
          <w:sz w:val="23"/>
          <w:szCs w:val="23"/>
        </w:rPr>
        <w:t>s</w:t>
      </w:r>
      <w:r w:rsidR="00F00E3D" w:rsidRPr="00DD331C">
        <w:rPr>
          <w:rFonts w:ascii="Calibri Light" w:eastAsia="Calibri" w:hAnsi="Calibri Light" w:cs="Calibri Light"/>
          <w:sz w:val="23"/>
          <w:szCs w:val="23"/>
        </w:rPr>
        <w:t xml:space="preserve"> </w:t>
      </w:r>
      <w:r w:rsidR="00BD1BA2">
        <w:rPr>
          <w:rFonts w:ascii="Calibri Light" w:eastAsia="Calibri" w:hAnsi="Calibri Light" w:cs="Calibri Light"/>
          <w:sz w:val="23"/>
          <w:szCs w:val="23"/>
        </w:rPr>
        <w:t xml:space="preserve">saw these measures as being </w:t>
      </w:r>
      <w:r w:rsidR="00F00E3D" w:rsidRPr="00DD331C">
        <w:rPr>
          <w:rFonts w:ascii="Calibri Light" w:eastAsia="Calibri" w:hAnsi="Calibri Light" w:cs="Calibri Light"/>
          <w:sz w:val="23"/>
          <w:szCs w:val="23"/>
        </w:rPr>
        <w:t>“rationalized by the threat posed to people who are homeless, and the threat posed by homeless populations</w:t>
      </w:r>
      <w:r w:rsidR="00791BAC">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 xml:space="preserve"> who are at high risk of contracting and transmitting the disease</w:t>
      </w:r>
      <w:r w:rsidR="00791BAC">
        <w:rPr>
          <w:rFonts w:ascii="Calibri Light" w:eastAsia="Calibri" w:hAnsi="Calibri Light" w:cs="Calibri Light"/>
          <w:sz w:val="23"/>
          <w:szCs w:val="23"/>
        </w:rPr>
        <w:t xml:space="preserve"> – </w:t>
      </w:r>
      <w:r w:rsidR="00F00E3D" w:rsidRPr="00DD331C">
        <w:rPr>
          <w:rFonts w:ascii="Calibri Light" w:eastAsia="Calibri" w:hAnsi="Calibri Light" w:cs="Calibri Light"/>
          <w:sz w:val="23"/>
          <w:szCs w:val="23"/>
        </w:rPr>
        <w:t xml:space="preserve">to the health of the non-homeless population” </w:t>
      </w:r>
      <w:r w:rsidR="00F00E3D" w:rsidRPr="00DD331C">
        <w:rPr>
          <w:rFonts w:ascii="Calibri Light" w:eastAsia="Calibri" w:hAnsi="Calibri Light" w:cs="Calibri Light"/>
          <w:noProof/>
          <w:sz w:val="23"/>
          <w:szCs w:val="23"/>
        </w:rPr>
        <w:t>(Parsell</w:t>
      </w:r>
      <w:r w:rsidR="00BD1BA2">
        <w:rPr>
          <w:rFonts w:ascii="Calibri Light" w:eastAsia="Calibri" w:hAnsi="Calibri Light" w:cs="Calibri Light"/>
          <w:noProof/>
          <w:sz w:val="23"/>
          <w:szCs w:val="23"/>
        </w:rPr>
        <w:t xml:space="preserve"> et al.,</w:t>
      </w:r>
      <w:r w:rsidR="00F00E3D" w:rsidRPr="00DD331C">
        <w:rPr>
          <w:rFonts w:ascii="Calibri Light" w:eastAsia="Calibri" w:hAnsi="Calibri Light" w:cs="Calibri Light"/>
          <w:noProof/>
          <w:sz w:val="23"/>
          <w:szCs w:val="23"/>
        </w:rPr>
        <w:t xml:space="preserve"> 2020, p. 1)</w:t>
      </w:r>
      <w:r w:rsidR="00F00E3D" w:rsidRPr="00DD331C">
        <w:rPr>
          <w:rFonts w:ascii="Calibri Light" w:eastAsia="Calibri" w:hAnsi="Calibri Light" w:cs="Calibri Light"/>
          <w:sz w:val="23"/>
          <w:szCs w:val="23"/>
        </w:rPr>
        <w:t>.</w:t>
      </w:r>
    </w:p>
    <w:p w14:paraId="28D02E11" w14:textId="44381E54" w:rsidR="00186914" w:rsidRDefault="00096C6F" w:rsidP="00084F60">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But for</w:t>
      </w:r>
      <w:r w:rsidR="00342A39" w:rsidRPr="00084F60">
        <w:rPr>
          <w:rFonts w:ascii="Calibri Light" w:eastAsia="Calibri" w:hAnsi="Calibri Light" w:cs="Calibri Light"/>
          <w:sz w:val="23"/>
          <w:szCs w:val="23"/>
        </w:rPr>
        <w:t xml:space="preserve"> </w:t>
      </w:r>
      <w:r w:rsidR="008C3D2B" w:rsidRPr="00084F60">
        <w:rPr>
          <w:rFonts w:ascii="Calibri Light" w:eastAsia="Calibri" w:hAnsi="Calibri Light" w:cs="Calibri Light"/>
          <w:sz w:val="23"/>
          <w:szCs w:val="23"/>
        </w:rPr>
        <w:t xml:space="preserve">most of </w:t>
      </w:r>
      <w:r w:rsidR="00342A39" w:rsidRPr="00084F60">
        <w:rPr>
          <w:rFonts w:ascii="Calibri Light" w:eastAsia="Calibri" w:hAnsi="Calibri Light" w:cs="Calibri Light"/>
          <w:sz w:val="23"/>
          <w:szCs w:val="23"/>
        </w:rPr>
        <w:t>Australians</w:t>
      </w:r>
      <w:r w:rsidR="00CF5265" w:rsidRPr="00084F60">
        <w:rPr>
          <w:rFonts w:ascii="Calibri Light" w:eastAsia="Calibri" w:hAnsi="Calibri Light" w:cs="Calibri Light"/>
          <w:sz w:val="23"/>
          <w:szCs w:val="23"/>
        </w:rPr>
        <w:t xml:space="preserve"> </w:t>
      </w:r>
      <w:r w:rsidR="00643CD0" w:rsidRPr="00084F60">
        <w:rPr>
          <w:rFonts w:ascii="Calibri Light" w:eastAsia="Calibri" w:hAnsi="Calibri Light" w:cs="Calibri Light"/>
          <w:sz w:val="23"/>
          <w:szCs w:val="23"/>
        </w:rPr>
        <w:t>granted</w:t>
      </w:r>
      <w:r w:rsidR="00342A39" w:rsidRPr="00084F60">
        <w:rPr>
          <w:rFonts w:ascii="Calibri Light" w:eastAsia="Calibri" w:hAnsi="Calibri Light" w:cs="Calibri Light"/>
          <w:sz w:val="23"/>
          <w:szCs w:val="23"/>
        </w:rPr>
        <w:t xml:space="preserve"> </w:t>
      </w:r>
      <w:r w:rsidR="00253CD9" w:rsidRPr="00084F60">
        <w:rPr>
          <w:rFonts w:ascii="Calibri Light" w:eastAsia="Calibri" w:hAnsi="Calibri Light" w:cs="Calibri Light"/>
          <w:sz w:val="23"/>
          <w:szCs w:val="23"/>
        </w:rPr>
        <w:t xml:space="preserve">this </w:t>
      </w:r>
      <w:r w:rsidR="00342A39" w:rsidRPr="00084F60">
        <w:rPr>
          <w:rFonts w:ascii="Calibri Light" w:eastAsia="Calibri" w:hAnsi="Calibri Light" w:cs="Calibri Light"/>
          <w:sz w:val="23"/>
          <w:szCs w:val="23"/>
        </w:rPr>
        <w:t xml:space="preserve">emergency </w:t>
      </w:r>
      <w:r w:rsidR="00643CD0" w:rsidRPr="00084F60">
        <w:rPr>
          <w:rFonts w:ascii="Calibri Light" w:eastAsia="Calibri" w:hAnsi="Calibri Light" w:cs="Calibri Light"/>
          <w:sz w:val="23"/>
          <w:szCs w:val="23"/>
        </w:rPr>
        <w:t>shelter</w:t>
      </w:r>
      <w:r w:rsidR="00253CD9" w:rsidRPr="00084F60">
        <w:rPr>
          <w:rFonts w:ascii="Calibri Light" w:eastAsia="Calibri" w:hAnsi="Calibri Light" w:cs="Calibri Light"/>
          <w:sz w:val="23"/>
          <w:szCs w:val="23"/>
        </w:rPr>
        <w:t xml:space="preserve">, the </w:t>
      </w:r>
      <w:r w:rsidR="00342A39" w:rsidRPr="00084F60">
        <w:rPr>
          <w:rFonts w:ascii="Calibri Light" w:eastAsia="Calibri" w:hAnsi="Calibri Light" w:cs="Calibri Light"/>
          <w:sz w:val="23"/>
          <w:szCs w:val="23"/>
        </w:rPr>
        <w:t xml:space="preserve">respite </w:t>
      </w:r>
      <w:r w:rsidR="00EF7E59">
        <w:rPr>
          <w:rFonts w:ascii="Calibri Light" w:eastAsia="Calibri" w:hAnsi="Calibri Light" w:cs="Calibri Light"/>
          <w:sz w:val="23"/>
          <w:szCs w:val="23"/>
        </w:rPr>
        <w:t>proved</w:t>
      </w:r>
      <w:r w:rsidR="008C3D2B" w:rsidRPr="00084F60">
        <w:rPr>
          <w:rFonts w:ascii="Calibri Light" w:eastAsia="Calibri" w:hAnsi="Calibri Light" w:cs="Calibri Light"/>
          <w:sz w:val="23"/>
          <w:szCs w:val="23"/>
        </w:rPr>
        <w:t xml:space="preserve"> fleeting. A report </w:t>
      </w:r>
      <w:r w:rsidR="00E46EC3">
        <w:rPr>
          <w:rFonts w:ascii="Calibri Light" w:eastAsia="Calibri" w:hAnsi="Calibri Light" w:cs="Calibri Light"/>
          <w:sz w:val="23"/>
          <w:szCs w:val="23"/>
        </w:rPr>
        <w:t xml:space="preserve">for ACOSS </w:t>
      </w:r>
      <w:r w:rsidR="008C3D2B" w:rsidRPr="00084F60">
        <w:rPr>
          <w:rFonts w:ascii="Calibri Light" w:eastAsia="Calibri" w:hAnsi="Calibri Light" w:cs="Calibri Light"/>
          <w:sz w:val="23"/>
          <w:szCs w:val="23"/>
        </w:rPr>
        <w:t xml:space="preserve">published in </w:t>
      </w:r>
      <w:r w:rsidR="00BF4A53" w:rsidRPr="00084F60">
        <w:rPr>
          <w:rFonts w:ascii="Calibri Light" w:eastAsia="Calibri" w:hAnsi="Calibri Light" w:cs="Calibri Light"/>
          <w:sz w:val="23"/>
          <w:szCs w:val="23"/>
        </w:rPr>
        <w:t>early</w:t>
      </w:r>
      <w:r w:rsidR="008C3D2B" w:rsidRPr="00084F60">
        <w:rPr>
          <w:rFonts w:ascii="Calibri Light" w:eastAsia="Calibri" w:hAnsi="Calibri Light" w:cs="Calibri Light"/>
          <w:sz w:val="23"/>
          <w:szCs w:val="23"/>
        </w:rPr>
        <w:t xml:space="preserve"> 2021 found that two-thirds of</w:t>
      </w:r>
      <w:r w:rsidR="007E6A41" w:rsidRPr="00084F60">
        <w:rPr>
          <w:rFonts w:ascii="Calibri Light" w:eastAsia="Calibri" w:hAnsi="Calibri Light" w:cs="Calibri Light"/>
          <w:sz w:val="23"/>
          <w:szCs w:val="23"/>
        </w:rPr>
        <w:t xml:space="preserve"> the</w:t>
      </w:r>
      <w:r w:rsidR="00643CD0" w:rsidRPr="00084F60">
        <w:rPr>
          <w:rFonts w:ascii="Calibri Light" w:eastAsia="Calibri" w:hAnsi="Calibri Light" w:cs="Calibri Light"/>
          <w:sz w:val="23"/>
          <w:szCs w:val="23"/>
        </w:rPr>
        <w:t xml:space="preserve"> rough sleepers</w:t>
      </w:r>
      <w:r w:rsidR="007B6DB2" w:rsidRPr="00084F60">
        <w:rPr>
          <w:rFonts w:ascii="Calibri Light" w:eastAsia="Calibri" w:hAnsi="Calibri Light" w:cs="Calibri Light"/>
          <w:sz w:val="23"/>
          <w:szCs w:val="23"/>
        </w:rPr>
        <w:t xml:space="preserve"> </w:t>
      </w:r>
      <w:r w:rsidR="00723D05" w:rsidRPr="00084F60">
        <w:rPr>
          <w:rFonts w:ascii="Calibri Light" w:eastAsia="Calibri" w:hAnsi="Calibri Light" w:cs="Calibri Light"/>
          <w:sz w:val="23"/>
          <w:szCs w:val="23"/>
        </w:rPr>
        <w:t xml:space="preserve">accommodated under these </w:t>
      </w:r>
      <w:r>
        <w:rPr>
          <w:rFonts w:ascii="Calibri Light" w:eastAsia="Calibri" w:hAnsi="Calibri Light" w:cs="Calibri Light"/>
          <w:sz w:val="23"/>
          <w:szCs w:val="23"/>
        </w:rPr>
        <w:t xml:space="preserve">temporary </w:t>
      </w:r>
      <w:r w:rsidR="00723D05" w:rsidRPr="00084F60">
        <w:rPr>
          <w:rFonts w:ascii="Calibri Light" w:eastAsia="Calibri" w:hAnsi="Calibri Light" w:cs="Calibri Light"/>
          <w:sz w:val="23"/>
          <w:szCs w:val="23"/>
        </w:rPr>
        <w:t>measures</w:t>
      </w:r>
      <w:r w:rsidR="00643CD0" w:rsidRPr="00084F60">
        <w:rPr>
          <w:rFonts w:ascii="Calibri Light" w:eastAsia="Calibri" w:hAnsi="Calibri Light" w:cs="Calibri Light"/>
          <w:sz w:val="23"/>
          <w:szCs w:val="23"/>
        </w:rPr>
        <w:t xml:space="preserve"> did</w:t>
      </w:r>
      <w:r>
        <w:rPr>
          <w:rFonts w:ascii="Calibri Light" w:eastAsia="Calibri" w:hAnsi="Calibri Light" w:cs="Calibri Light"/>
          <w:sz w:val="23"/>
          <w:szCs w:val="23"/>
        </w:rPr>
        <w:t xml:space="preserve"> not </w:t>
      </w:r>
      <w:r w:rsidR="008236B4">
        <w:rPr>
          <w:rFonts w:ascii="Calibri Light" w:eastAsia="Calibri" w:hAnsi="Calibri Light" w:cs="Calibri Light"/>
          <w:sz w:val="23"/>
          <w:szCs w:val="23"/>
        </w:rPr>
        <w:t xml:space="preserve">transition into </w:t>
      </w:r>
      <w:r w:rsidR="007B6DB2" w:rsidRPr="00084F60">
        <w:rPr>
          <w:rFonts w:ascii="Calibri Light" w:eastAsia="Calibri" w:hAnsi="Calibri Light" w:cs="Calibri Light"/>
          <w:sz w:val="23"/>
          <w:szCs w:val="23"/>
        </w:rPr>
        <w:t xml:space="preserve">long-term </w:t>
      </w:r>
      <w:r w:rsidR="0056113A" w:rsidRPr="00084F60">
        <w:rPr>
          <w:rFonts w:ascii="Calibri Light" w:eastAsia="Calibri" w:hAnsi="Calibri Light" w:cs="Calibri Light"/>
          <w:sz w:val="23"/>
          <w:szCs w:val="23"/>
        </w:rPr>
        <w:t>housing and</w:t>
      </w:r>
      <w:r w:rsidR="00F53432" w:rsidRPr="00084F60">
        <w:rPr>
          <w:rFonts w:ascii="Calibri Light" w:eastAsia="Calibri" w:hAnsi="Calibri Light" w:cs="Calibri Light"/>
          <w:sz w:val="23"/>
          <w:szCs w:val="23"/>
        </w:rPr>
        <w:t xml:space="preserve"> </w:t>
      </w:r>
      <w:r w:rsidR="008236B4">
        <w:rPr>
          <w:rFonts w:ascii="Calibri Light" w:eastAsia="Calibri" w:hAnsi="Calibri Light" w:cs="Calibri Light"/>
          <w:sz w:val="23"/>
          <w:szCs w:val="23"/>
        </w:rPr>
        <w:t>became homeless again</w:t>
      </w:r>
      <w:r w:rsidR="00BF21AC" w:rsidRPr="00084F60">
        <w:rPr>
          <w:rFonts w:ascii="Calibri Light" w:eastAsia="Calibri" w:hAnsi="Calibri Light" w:cs="Calibri Light"/>
          <w:sz w:val="23"/>
          <w:szCs w:val="23"/>
        </w:rPr>
        <w:t xml:space="preserve">. </w:t>
      </w:r>
      <w:r w:rsidR="00084F60" w:rsidRPr="00084F60">
        <w:rPr>
          <w:rFonts w:ascii="Calibri Light" w:eastAsia="Calibri" w:hAnsi="Calibri Light" w:cs="Calibri Light"/>
          <w:sz w:val="23"/>
          <w:szCs w:val="23"/>
        </w:rPr>
        <w:t>This outcome highlights an urgent point: there is simply</w:t>
      </w:r>
      <w:r w:rsidR="00BF21AC" w:rsidRPr="00084F60">
        <w:rPr>
          <w:rFonts w:ascii="Calibri Light" w:eastAsia="Calibri" w:hAnsi="Calibri Light" w:cs="Calibri Light"/>
          <w:sz w:val="23"/>
          <w:szCs w:val="23"/>
        </w:rPr>
        <w:t xml:space="preserve"> not enough social and affordable housing</w:t>
      </w:r>
      <w:r w:rsidR="00084F60" w:rsidRPr="00084F60">
        <w:rPr>
          <w:rFonts w:ascii="Calibri Light" w:eastAsia="Calibri" w:hAnsi="Calibri Light" w:cs="Calibri Light"/>
          <w:sz w:val="23"/>
          <w:szCs w:val="23"/>
        </w:rPr>
        <w:t xml:space="preserve"> to meet existing need</w:t>
      </w:r>
      <w:r w:rsidR="00612C8A">
        <w:rPr>
          <w:rFonts w:ascii="Calibri Light" w:eastAsia="Calibri" w:hAnsi="Calibri Light" w:cs="Calibri Light"/>
          <w:sz w:val="23"/>
          <w:szCs w:val="23"/>
        </w:rPr>
        <w:t xml:space="preserve"> (</w:t>
      </w:r>
      <w:r>
        <w:rPr>
          <w:rFonts w:ascii="Calibri Light" w:eastAsia="Calibri" w:hAnsi="Calibri Light" w:cs="Calibri Light"/>
          <w:sz w:val="23"/>
          <w:szCs w:val="23"/>
        </w:rPr>
        <w:t>Pawson et al., 2021</w:t>
      </w:r>
      <w:r w:rsidR="008236B4">
        <w:rPr>
          <w:rFonts w:ascii="Calibri Light" w:eastAsia="Calibri" w:hAnsi="Calibri Light" w:cs="Calibri Light"/>
          <w:sz w:val="23"/>
          <w:szCs w:val="23"/>
        </w:rPr>
        <w:t>, p. 13</w:t>
      </w:r>
      <w:r w:rsidR="00612C8A">
        <w:rPr>
          <w:rFonts w:ascii="Calibri Light" w:eastAsia="Calibri" w:hAnsi="Calibri Light" w:cs="Calibri Light"/>
          <w:sz w:val="23"/>
          <w:szCs w:val="23"/>
        </w:rPr>
        <w:t>).</w:t>
      </w:r>
    </w:p>
    <w:p w14:paraId="050C1424" w14:textId="2DD70977" w:rsidR="00315E6E" w:rsidRDefault="00612C8A" w:rsidP="00084F60">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According to another study, that need will only grow</w:t>
      </w:r>
      <w:r w:rsidR="0060285B">
        <w:rPr>
          <w:rFonts w:ascii="Calibri Light" w:eastAsia="Calibri" w:hAnsi="Calibri Light" w:cs="Calibri Light"/>
          <w:sz w:val="23"/>
          <w:szCs w:val="23"/>
        </w:rPr>
        <w:t xml:space="preserve">. </w:t>
      </w:r>
      <w:r w:rsidR="00F53432">
        <w:rPr>
          <w:rFonts w:ascii="Calibri Light" w:eastAsia="Calibri" w:hAnsi="Calibri Light" w:cs="Calibri Light"/>
          <w:sz w:val="23"/>
          <w:szCs w:val="23"/>
        </w:rPr>
        <w:t>In December 2020</w:t>
      </w:r>
      <w:r w:rsidR="007A06F9">
        <w:rPr>
          <w:rFonts w:ascii="Calibri Light" w:eastAsia="Calibri" w:hAnsi="Calibri Light" w:cs="Calibri Light"/>
          <w:sz w:val="23"/>
          <w:szCs w:val="23"/>
        </w:rPr>
        <w:t xml:space="preserve"> </w:t>
      </w:r>
      <w:r w:rsidR="007A06F9" w:rsidRPr="007A06F9">
        <w:rPr>
          <w:rFonts w:ascii="Calibri Light" w:eastAsia="Calibri" w:hAnsi="Calibri Light" w:cs="Calibri Light"/>
          <w:sz w:val="23"/>
          <w:szCs w:val="23"/>
        </w:rPr>
        <w:t xml:space="preserve">Equity Economics </w:t>
      </w:r>
      <w:r w:rsidR="00F53432">
        <w:rPr>
          <w:rFonts w:ascii="Calibri Light" w:eastAsia="Calibri" w:hAnsi="Calibri Light" w:cs="Calibri Light"/>
          <w:sz w:val="23"/>
          <w:szCs w:val="23"/>
        </w:rPr>
        <w:t xml:space="preserve">published a </w:t>
      </w:r>
      <w:r w:rsidR="007A06F9" w:rsidRPr="007A06F9">
        <w:rPr>
          <w:rFonts w:ascii="Calibri Light" w:eastAsia="Calibri" w:hAnsi="Calibri Light" w:cs="Calibri Light"/>
          <w:sz w:val="23"/>
          <w:szCs w:val="23"/>
        </w:rPr>
        <w:t>report</w:t>
      </w:r>
      <w:r w:rsidR="007A06F9">
        <w:rPr>
          <w:rFonts w:ascii="Calibri Light" w:eastAsia="Calibri" w:hAnsi="Calibri Light" w:cs="Calibri Light"/>
          <w:sz w:val="23"/>
          <w:szCs w:val="23"/>
        </w:rPr>
        <w:t xml:space="preserve"> </w:t>
      </w:r>
      <w:r w:rsidR="00EE34C7">
        <w:rPr>
          <w:rFonts w:ascii="Calibri Light" w:eastAsia="Calibri" w:hAnsi="Calibri Light" w:cs="Calibri Light"/>
          <w:sz w:val="23"/>
          <w:szCs w:val="23"/>
        </w:rPr>
        <w:t xml:space="preserve">on </w:t>
      </w:r>
      <w:r w:rsidR="00C72602">
        <w:rPr>
          <w:rFonts w:ascii="Calibri Light" w:eastAsia="Calibri" w:hAnsi="Calibri Light" w:cs="Calibri Light"/>
          <w:sz w:val="23"/>
          <w:szCs w:val="23"/>
        </w:rPr>
        <w:t>COVID-19</w:t>
      </w:r>
      <w:r w:rsidR="00CE2E4E">
        <w:rPr>
          <w:rFonts w:ascii="Calibri Light" w:eastAsia="Calibri" w:hAnsi="Calibri Light" w:cs="Calibri Light"/>
          <w:sz w:val="23"/>
          <w:szCs w:val="23"/>
        </w:rPr>
        <w:t>’</w:t>
      </w:r>
      <w:r w:rsidR="001176C8">
        <w:rPr>
          <w:rFonts w:ascii="Calibri Light" w:eastAsia="Calibri" w:hAnsi="Calibri Light" w:cs="Calibri Light"/>
          <w:sz w:val="23"/>
          <w:szCs w:val="23"/>
        </w:rPr>
        <w:t>s</w:t>
      </w:r>
      <w:r w:rsidR="00CE2E4E">
        <w:rPr>
          <w:rFonts w:ascii="Calibri Light" w:eastAsia="Calibri" w:hAnsi="Calibri Light" w:cs="Calibri Light"/>
          <w:sz w:val="23"/>
          <w:szCs w:val="23"/>
        </w:rPr>
        <w:t xml:space="preserve"> predicted impacts</w:t>
      </w:r>
      <w:r w:rsidR="00776B62">
        <w:rPr>
          <w:rFonts w:ascii="Calibri Light" w:eastAsia="Calibri" w:hAnsi="Calibri Light" w:cs="Calibri Light"/>
          <w:sz w:val="23"/>
          <w:szCs w:val="23"/>
        </w:rPr>
        <w:t xml:space="preserve"> </w:t>
      </w:r>
      <w:r w:rsidR="00503996">
        <w:rPr>
          <w:rFonts w:ascii="Calibri Light" w:eastAsia="Calibri" w:hAnsi="Calibri Light" w:cs="Calibri Light"/>
          <w:sz w:val="23"/>
          <w:szCs w:val="23"/>
        </w:rPr>
        <w:t>in Australia</w:t>
      </w:r>
      <w:r w:rsidR="00CE2E4E">
        <w:rPr>
          <w:rFonts w:ascii="Calibri Light" w:eastAsia="Calibri" w:hAnsi="Calibri Light" w:cs="Calibri Light"/>
          <w:sz w:val="23"/>
          <w:szCs w:val="23"/>
        </w:rPr>
        <w:t>, particularly in relation to income, poverty, and housing stress</w:t>
      </w:r>
      <w:r w:rsidR="00792222">
        <w:rPr>
          <w:rFonts w:ascii="Calibri Light" w:eastAsia="Calibri" w:hAnsi="Calibri Light" w:cs="Calibri Light"/>
          <w:sz w:val="23"/>
          <w:szCs w:val="23"/>
        </w:rPr>
        <w:t xml:space="preserve">. </w:t>
      </w:r>
      <w:r w:rsidR="00096C6F">
        <w:rPr>
          <w:rFonts w:ascii="Calibri Light" w:eastAsia="Calibri" w:hAnsi="Calibri Light" w:cs="Calibri Light"/>
          <w:sz w:val="23"/>
          <w:szCs w:val="23"/>
        </w:rPr>
        <w:t xml:space="preserve">The report was commissioned by the Everybody’s Home campaign, a national coalition of organisations seeking to fix Australia’s housing system. </w:t>
      </w:r>
      <w:r w:rsidR="006325A2">
        <w:rPr>
          <w:rFonts w:ascii="Calibri Light" w:eastAsia="Calibri" w:hAnsi="Calibri Light" w:cs="Calibri Light"/>
          <w:sz w:val="23"/>
          <w:szCs w:val="23"/>
        </w:rPr>
        <w:t>Titled</w:t>
      </w:r>
      <w:r w:rsidR="00503996">
        <w:rPr>
          <w:rFonts w:ascii="Calibri Light" w:eastAsia="Calibri" w:hAnsi="Calibri Light" w:cs="Calibri Light"/>
          <w:sz w:val="23"/>
          <w:szCs w:val="23"/>
        </w:rPr>
        <w:t xml:space="preserve"> </w:t>
      </w:r>
      <w:r w:rsidR="006325A2" w:rsidRPr="00246253">
        <w:rPr>
          <w:rFonts w:ascii="Calibri Light" w:eastAsia="Calibri" w:hAnsi="Calibri Light" w:cs="Calibri Light"/>
          <w:i/>
          <w:iCs/>
          <w:sz w:val="23"/>
          <w:szCs w:val="23"/>
        </w:rPr>
        <w:t>Double Return</w:t>
      </w:r>
      <w:r w:rsidR="006325A2">
        <w:rPr>
          <w:rFonts w:ascii="Calibri Light" w:eastAsia="Calibri" w:hAnsi="Calibri Light" w:cs="Calibri Light"/>
          <w:i/>
          <w:iCs/>
          <w:sz w:val="23"/>
          <w:szCs w:val="23"/>
        </w:rPr>
        <w:t>,</w:t>
      </w:r>
      <w:r w:rsidR="006325A2">
        <w:rPr>
          <w:rFonts w:ascii="Calibri Light" w:eastAsia="Calibri" w:hAnsi="Calibri Light" w:cs="Calibri Light"/>
          <w:sz w:val="23"/>
          <w:szCs w:val="23"/>
        </w:rPr>
        <w:t xml:space="preserve"> </w:t>
      </w:r>
      <w:r w:rsidR="00096C6F">
        <w:rPr>
          <w:rFonts w:ascii="Calibri Light" w:eastAsia="Calibri" w:hAnsi="Calibri Light" w:cs="Calibri Light"/>
          <w:sz w:val="23"/>
          <w:szCs w:val="23"/>
        </w:rPr>
        <w:t xml:space="preserve">it </w:t>
      </w:r>
      <w:r w:rsidR="00CE2E4E">
        <w:rPr>
          <w:rFonts w:ascii="Calibri Light" w:eastAsia="Calibri" w:hAnsi="Calibri Light" w:cs="Calibri Light"/>
          <w:sz w:val="23"/>
          <w:szCs w:val="23"/>
        </w:rPr>
        <w:t>paint</w:t>
      </w:r>
      <w:r w:rsidR="001176C8">
        <w:rPr>
          <w:rFonts w:ascii="Calibri Light" w:eastAsia="Calibri" w:hAnsi="Calibri Light" w:cs="Calibri Light"/>
          <w:sz w:val="23"/>
          <w:szCs w:val="23"/>
        </w:rPr>
        <w:t>s</w:t>
      </w:r>
      <w:r w:rsidR="00776B62">
        <w:rPr>
          <w:rFonts w:ascii="Calibri Light" w:eastAsia="Calibri" w:hAnsi="Calibri Light" w:cs="Calibri Light"/>
          <w:sz w:val="23"/>
          <w:szCs w:val="23"/>
        </w:rPr>
        <w:t xml:space="preserve"> a dire picture</w:t>
      </w:r>
      <w:r w:rsidR="001176C8">
        <w:rPr>
          <w:rFonts w:ascii="Calibri Light" w:eastAsia="Calibri" w:hAnsi="Calibri Light" w:cs="Calibri Light"/>
          <w:sz w:val="23"/>
          <w:szCs w:val="23"/>
        </w:rPr>
        <w:t xml:space="preserve"> of what lies ahead in 2021 and beyond</w:t>
      </w:r>
      <w:r w:rsidR="00F34C10">
        <w:rPr>
          <w:rFonts w:ascii="Calibri Light" w:eastAsia="Calibri" w:hAnsi="Calibri Light" w:cs="Calibri Light"/>
          <w:sz w:val="23"/>
          <w:szCs w:val="23"/>
        </w:rPr>
        <w:t>.</w:t>
      </w:r>
      <w:r w:rsidR="00792222">
        <w:rPr>
          <w:rFonts w:ascii="Calibri Light" w:eastAsia="Calibri" w:hAnsi="Calibri Light" w:cs="Calibri Light"/>
          <w:sz w:val="23"/>
          <w:szCs w:val="23"/>
        </w:rPr>
        <w:t xml:space="preserve"> </w:t>
      </w:r>
      <w:r w:rsidR="001176C8">
        <w:rPr>
          <w:rFonts w:ascii="Calibri Light" w:eastAsia="Calibri" w:hAnsi="Calibri Light" w:cs="Calibri Light"/>
          <w:sz w:val="23"/>
          <w:szCs w:val="23"/>
        </w:rPr>
        <w:t xml:space="preserve">The </w:t>
      </w:r>
      <w:r>
        <w:rPr>
          <w:rFonts w:ascii="Calibri Light" w:eastAsia="Calibri" w:hAnsi="Calibri Light" w:cs="Calibri Light"/>
          <w:sz w:val="23"/>
          <w:szCs w:val="23"/>
        </w:rPr>
        <w:t xml:space="preserve">report </w:t>
      </w:r>
      <w:r w:rsidR="00F34C10">
        <w:rPr>
          <w:rFonts w:ascii="Calibri Light" w:eastAsia="Calibri" w:hAnsi="Calibri Light" w:cs="Calibri Light"/>
          <w:sz w:val="23"/>
          <w:szCs w:val="23"/>
        </w:rPr>
        <w:t>warn</w:t>
      </w:r>
      <w:r>
        <w:rPr>
          <w:rFonts w:ascii="Calibri Light" w:eastAsia="Calibri" w:hAnsi="Calibri Light" w:cs="Calibri Light"/>
          <w:sz w:val="23"/>
          <w:szCs w:val="23"/>
        </w:rPr>
        <w:t>s</w:t>
      </w:r>
      <w:r w:rsidR="00F34C10">
        <w:rPr>
          <w:rFonts w:ascii="Calibri Light" w:eastAsia="Calibri" w:hAnsi="Calibri Light" w:cs="Calibri Light"/>
          <w:sz w:val="23"/>
          <w:szCs w:val="23"/>
        </w:rPr>
        <w:t xml:space="preserve"> that </w:t>
      </w:r>
      <w:r w:rsidR="007A34FB">
        <w:rPr>
          <w:rFonts w:ascii="Calibri Light" w:eastAsia="Calibri" w:hAnsi="Calibri Light" w:cs="Calibri Light"/>
          <w:sz w:val="23"/>
          <w:szCs w:val="23"/>
        </w:rPr>
        <w:t xml:space="preserve">a mix of </w:t>
      </w:r>
      <w:r w:rsidR="005972D4">
        <w:rPr>
          <w:rFonts w:ascii="Calibri Light" w:eastAsia="Calibri" w:hAnsi="Calibri Light" w:cs="Calibri Light"/>
          <w:sz w:val="23"/>
          <w:szCs w:val="23"/>
        </w:rPr>
        <w:t>emerging</w:t>
      </w:r>
      <w:r w:rsidR="00485CC7">
        <w:rPr>
          <w:rFonts w:ascii="Calibri Light" w:eastAsia="Calibri" w:hAnsi="Calibri Light" w:cs="Calibri Light"/>
          <w:sz w:val="23"/>
          <w:szCs w:val="23"/>
        </w:rPr>
        <w:t xml:space="preserve"> and historic</w:t>
      </w:r>
      <w:r w:rsidR="007A34FB">
        <w:rPr>
          <w:rFonts w:ascii="Calibri Light" w:eastAsia="Calibri" w:hAnsi="Calibri Light" w:cs="Calibri Light"/>
          <w:sz w:val="23"/>
          <w:szCs w:val="23"/>
        </w:rPr>
        <w:t xml:space="preserve"> factors </w:t>
      </w:r>
      <w:r w:rsidR="001176C8">
        <w:rPr>
          <w:rFonts w:ascii="Calibri Light" w:eastAsia="Calibri" w:hAnsi="Calibri Light" w:cs="Calibri Light"/>
          <w:sz w:val="23"/>
          <w:szCs w:val="23"/>
        </w:rPr>
        <w:t xml:space="preserve">are </w:t>
      </w:r>
      <w:r w:rsidR="0060285B">
        <w:rPr>
          <w:rFonts w:ascii="Calibri Light" w:eastAsia="Calibri" w:hAnsi="Calibri Light" w:cs="Calibri Light"/>
          <w:sz w:val="23"/>
          <w:szCs w:val="23"/>
        </w:rPr>
        <w:t>expected to</w:t>
      </w:r>
      <w:r w:rsidR="001176C8">
        <w:rPr>
          <w:rFonts w:ascii="Calibri Light" w:eastAsia="Calibri" w:hAnsi="Calibri Light" w:cs="Calibri Light"/>
          <w:sz w:val="23"/>
          <w:szCs w:val="23"/>
        </w:rPr>
        <w:t xml:space="preserve"> drive thousands of Australians into housing stress</w:t>
      </w:r>
      <w:r w:rsidR="0060285B">
        <w:rPr>
          <w:rFonts w:ascii="Calibri Light" w:eastAsia="Calibri" w:hAnsi="Calibri Light" w:cs="Calibri Light"/>
          <w:sz w:val="23"/>
          <w:szCs w:val="23"/>
        </w:rPr>
        <w:t xml:space="preserve"> and </w:t>
      </w:r>
      <w:r w:rsidR="001176C8">
        <w:rPr>
          <w:rFonts w:ascii="Calibri Light" w:eastAsia="Calibri" w:hAnsi="Calibri Light" w:cs="Calibri Light"/>
          <w:sz w:val="23"/>
          <w:szCs w:val="23"/>
        </w:rPr>
        <w:t>homelessness</w:t>
      </w:r>
      <w:r>
        <w:rPr>
          <w:rFonts w:ascii="Calibri Light" w:eastAsia="Calibri" w:hAnsi="Calibri Light" w:cs="Calibri Light"/>
          <w:sz w:val="23"/>
          <w:szCs w:val="23"/>
        </w:rPr>
        <w:t xml:space="preserve"> in 2021</w:t>
      </w:r>
      <w:r w:rsidR="001176C8">
        <w:rPr>
          <w:rFonts w:ascii="Calibri Light" w:eastAsia="Calibri" w:hAnsi="Calibri Light" w:cs="Calibri Light"/>
          <w:sz w:val="23"/>
          <w:szCs w:val="23"/>
        </w:rPr>
        <w:t>; the drivers</w:t>
      </w:r>
      <w:r w:rsidR="0060285B">
        <w:rPr>
          <w:rFonts w:ascii="Calibri Light" w:eastAsia="Calibri" w:hAnsi="Calibri Light" w:cs="Calibri Light"/>
          <w:sz w:val="23"/>
          <w:szCs w:val="23"/>
        </w:rPr>
        <w:t xml:space="preserve"> </w:t>
      </w:r>
      <w:r w:rsidR="001176C8">
        <w:rPr>
          <w:rFonts w:ascii="Calibri Light" w:eastAsia="Calibri" w:hAnsi="Calibri Light" w:cs="Calibri Light"/>
          <w:sz w:val="23"/>
          <w:szCs w:val="23"/>
        </w:rPr>
        <w:lastRenderedPageBreak/>
        <w:t>include</w:t>
      </w:r>
      <w:r w:rsidR="007A34FB">
        <w:rPr>
          <w:rFonts w:ascii="Calibri Light" w:eastAsia="Calibri" w:hAnsi="Calibri Light" w:cs="Calibri Light"/>
          <w:sz w:val="23"/>
          <w:szCs w:val="23"/>
        </w:rPr>
        <w:t xml:space="preserve"> </w:t>
      </w:r>
      <w:r w:rsidR="00C97933">
        <w:rPr>
          <w:rFonts w:ascii="Calibri Light" w:eastAsia="Calibri" w:hAnsi="Calibri Light" w:cs="Calibri Light"/>
          <w:sz w:val="23"/>
          <w:szCs w:val="23"/>
        </w:rPr>
        <w:t>soaring</w:t>
      </w:r>
      <w:r w:rsidR="00F34C10">
        <w:rPr>
          <w:rFonts w:ascii="Calibri Light" w:eastAsia="Calibri" w:hAnsi="Calibri Light" w:cs="Calibri Light"/>
          <w:sz w:val="23"/>
          <w:szCs w:val="23"/>
        </w:rPr>
        <w:t xml:space="preserve"> unemployment</w:t>
      </w:r>
      <w:r w:rsidR="00C31374">
        <w:rPr>
          <w:rFonts w:ascii="Calibri Light" w:eastAsia="Calibri" w:hAnsi="Calibri Light" w:cs="Calibri Light"/>
          <w:sz w:val="23"/>
          <w:szCs w:val="23"/>
        </w:rPr>
        <w:t xml:space="preserve">, </w:t>
      </w:r>
      <w:r w:rsidR="004B7FE2">
        <w:rPr>
          <w:rFonts w:ascii="Calibri Light" w:eastAsia="Calibri" w:hAnsi="Calibri Light" w:cs="Calibri Light"/>
          <w:sz w:val="23"/>
          <w:szCs w:val="23"/>
        </w:rPr>
        <w:t>cuts to</w:t>
      </w:r>
      <w:r w:rsidR="00C31374">
        <w:rPr>
          <w:rFonts w:ascii="Calibri Light" w:eastAsia="Calibri" w:hAnsi="Calibri Light" w:cs="Calibri Light"/>
          <w:sz w:val="23"/>
          <w:szCs w:val="23"/>
        </w:rPr>
        <w:t xml:space="preserve"> </w:t>
      </w:r>
      <w:r w:rsidR="00C97933">
        <w:rPr>
          <w:rFonts w:ascii="Calibri Light" w:eastAsia="Calibri" w:hAnsi="Calibri Light" w:cs="Calibri Light"/>
          <w:sz w:val="23"/>
          <w:szCs w:val="23"/>
        </w:rPr>
        <w:t>JobSeeker</w:t>
      </w:r>
      <w:r w:rsidR="001176C8">
        <w:rPr>
          <w:rFonts w:ascii="Calibri Light" w:eastAsia="Calibri" w:hAnsi="Calibri Light" w:cs="Calibri Light"/>
          <w:sz w:val="23"/>
          <w:szCs w:val="23"/>
        </w:rPr>
        <w:t xml:space="preserve"> payments</w:t>
      </w:r>
      <w:r w:rsidR="004536A3">
        <w:rPr>
          <w:rFonts w:ascii="Calibri Light" w:eastAsia="Calibri" w:hAnsi="Calibri Light" w:cs="Calibri Light"/>
          <w:sz w:val="23"/>
          <w:szCs w:val="23"/>
        </w:rPr>
        <w:t xml:space="preserve"> (cessation of the Coronavirus Supplement)</w:t>
      </w:r>
      <w:r w:rsidR="00941515">
        <w:rPr>
          <w:rFonts w:ascii="Calibri Light" w:eastAsia="Calibri" w:hAnsi="Calibri Light" w:cs="Calibri Light"/>
          <w:sz w:val="23"/>
          <w:szCs w:val="23"/>
        </w:rPr>
        <w:t>,</w:t>
      </w:r>
      <w:r w:rsidR="00C31374">
        <w:rPr>
          <w:rFonts w:ascii="Calibri Light" w:eastAsia="Calibri" w:hAnsi="Calibri Light" w:cs="Calibri Light"/>
          <w:sz w:val="23"/>
          <w:szCs w:val="23"/>
        </w:rPr>
        <w:t xml:space="preserve"> </w:t>
      </w:r>
      <w:r w:rsidR="0060285B">
        <w:rPr>
          <w:rFonts w:ascii="Calibri Light" w:eastAsia="Calibri" w:hAnsi="Calibri Light" w:cs="Calibri Light"/>
          <w:sz w:val="23"/>
          <w:szCs w:val="23"/>
        </w:rPr>
        <w:t xml:space="preserve">inadequate income support, </w:t>
      </w:r>
      <w:r w:rsidR="00C31374">
        <w:rPr>
          <w:rFonts w:ascii="Calibri Light" w:eastAsia="Calibri" w:hAnsi="Calibri Light" w:cs="Calibri Light"/>
          <w:sz w:val="23"/>
          <w:szCs w:val="23"/>
        </w:rPr>
        <w:t xml:space="preserve">and </w:t>
      </w:r>
      <w:r w:rsidR="00FD1C5A">
        <w:rPr>
          <w:rFonts w:ascii="Calibri Light" w:eastAsia="Calibri" w:hAnsi="Calibri Light" w:cs="Calibri Light"/>
          <w:sz w:val="23"/>
          <w:szCs w:val="23"/>
        </w:rPr>
        <w:t>a</w:t>
      </w:r>
      <w:r w:rsidR="00043F6A">
        <w:rPr>
          <w:rFonts w:ascii="Calibri Light" w:eastAsia="Calibri" w:hAnsi="Calibri Light" w:cs="Calibri Light"/>
          <w:sz w:val="23"/>
          <w:szCs w:val="23"/>
        </w:rPr>
        <w:t xml:space="preserve"> </w:t>
      </w:r>
      <w:r w:rsidR="00C31374">
        <w:rPr>
          <w:rFonts w:ascii="Calibri Light" w:eastAsia="Calibri" w:hAnsi="Calibri Light" w:cs="Calibri Light"/>
          <w:sz w:val="23"/>
          <w:szCs w:val="23"/>
        </w:rPr>
        <w:t>long-running</w:t>
      </w:r>
      <w:r w:rsidR="0060285B">
        <w:rPr>
          <w:rFonts w:ascii="Calibri Light" w:eastAsia="Calibri" w:hAnsi="Calibri Light" w:cs="Calibri Light"/>
          <w:sz w:val="23"/>
          <w:szCs w:val="23"/>
        </w:rPr>
        <w:t xml:space="preserve"> and</w:t>
      </w:r>
      <w:r w:rsidR="00C31374">
        <w:rPr>
          <w:rFonts w:ascii="Calibri Light" w:eastAsia="Calibri" w:hAnsi="Calibri Light" w:cs="Calibri Light"/>
          <w:sz w:val="23"/>
          <w:szCs w:val="23"/>
        </w:rPr>
        <w:t xml:space="preserve"> </w:t>
      </w:r>
      <w:r w:rsidR="00FD1C5A">
        <w:rPr>
          <w:rFonts w:ascii="Calibri Light" w:eastAsia="Calibri" w:hAnsi="Calibri Light" w:cs="Calibri Light"/>
          <w:sz w:val="23"/>
          <w:szCs w:val="23"/>
        </w:rPr>
        <w:t>nationwide</w:t>
      </w:r>
      <w:r w:rsidR="00F34C10">
        <w:rPr>
          <w:rFonts w:ascii="Calibri Light" w:eastAsia="Calibri" w:hAnsi="Calibri Light" w:cs="Calibri Light"/>
          <w:sz w:val="23"/>
          <w:szCs w:val="23"/>
        </w:rPr>
        <w:t xml:space="preserve"> underinvestment in social housing</w:t>
      </w:r>
      <w:r w:rsidR="0060285B">
        <w:rPr>
          <w:rFonts w:ascii="Calibri Light" w:eastAsia="Calibri" w:hAnsi="Calibri Light" w:cs="Calibri Light"/>
          <w:sz w:val="23"/>
          <w:szCs w:val="23"/>
        </w:rPr>
        <w:t>.</w:t>
      </w:r>
    </w:p>
    <w:p w14:paraId="4C447851" w14:textId="3297CFCF" w:rsidR="007A06F9" w:rsidRPr="007A06F9" w:rsidRDefault="00612C8A" w:rsidP="00084F60">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By mid-</w:t>
      </w:r>
      <w:r w:rsidR="00AA50B7">
        <w:rPr>
          <w:rFonts w:ascii="Calibri Light" w:eastAsia="Calibri" w:hAnsi="Calibri Light" w:cs="Calibri Light"/>
          <w:sz w:val="23"/>
          <w:szCs w:val="23"/>
        </w:rPr>
        <w:t>2021</w:t>
      </w:r>
      <w:r>
        <w:rPr>
          <w:rFonts w:ascii="Calibri Light" w:eastAsia="Calibri" w:hAnsi="Calibri Light" w:cs="Calibri Light"/>
          <w:sz w:val="23"/>
          <w:szCs w:val="23"/>
        </w:rPr>
        <w:t>,</w:t>
      </w:r>
      <w:r w:rsidR="00551B91">
        <w:rPr>
          <w:rFonts w:ascii="Calibri Light" w:eastAsia="Calibri" w:hAnsi="Calibri Light" w:cs="Calibri Light"/>
          <w:sz w:val="23"/>
          <w:szCs w:val="23"/>
        </w:rPr>
        <w:t xml:space="preserve"> </w:t>
      </w:r>
      <w:r>
        <w:rPr>
          <w:rFonts w:ascii="Calibri Light" w:eastAsia="Calibri" w:hAnsi="Calibri Light" w:cs="Calibri Light"/>
          <w:sz w:val="23"/>
          <w:szCs w:val="23"/>
        </w:rPr>
        <w:t xml:space="preserve">the study authors predict, </w:t>
      </w:r>
      <w:r w:rsidR="00551B91">
        <w:rPr>
          <w:rFonts w:ascii="Calibri Light" w:eastAsia="Calibri" w:hAnsi="Calibri Light" w:cs="Calibri Light"/>
          <w:sz w:val="23"/>
          <w:szCs w:val="23"/>
        </w:rPr>
        <w:t>h</w:t>
      </w:r>
      <w:r w:rsidR="00551B91" w:rsidRPr="00551B91">
        <w:rPr>
          <w:rFonts w:ascii="Calibri Light" w:eastAsia="Calibri" w:hAnsi="Calibri Light" w:cs="Calibri Light"/>
          <w:sz w:val="23"/>
          <w:szCs w:val="23"/>
        </w:rPr>
        <w:t>omelessness w</w:t>
      </w:r>
      <w:r w:rsidR="00CE2E4E">
        <w:rPr>
          <w:rFonts w:ascii="Calibri Light" w:eastAsia="Calibri" w:hAnsi="Calibri Light" w:cs="Calibri Light"/>
          <w:sz w:val="23"/>
          <w:szCs w:val="23"/>
        </w:rPr>
        <w:t>ill</w:t>
      </w:r>
      <w:r w:rsidR="00551B91">
        <w:rPr>
          <w:rFonts w:ascii="Calibri Light" w:eastAsia="Calibri" w:hAnsi="Calibri Light" w:cs="Calibri Light"/>
          <w:sz w:val="23"/>
          <w:szCs w:val="23"/>
        </w:rPr>
        <w:t xml:space="preserve"> </w:t>
      </w:r>
      <w:r>
        <w:rPr>
          <w:rFonts w:ascii="Calibri Light" w:eastAsia="Calibri" w:hAnsi="Calibri Light" w:cs="Calibri Light"/>
          <w:sz w:val="23"/>
          <w:szCs w:val="23"/>
        </w:rPr>
        <w:t>have risen</w:t>
      </w:r>
      <w:r w:rsidR="00AA50B7">
        <w:rPr>
          <w:rFonts w:ascii="Calibri Light" w:eastAsia="Calibri" w:hAnsi="Calibri Light" w:cs="Calibri Light"/>
          <w:sz w:val="23"/>
          <w:szCs w:val="23"/>
        </w:rPr>
        <w:t xml:space="preserve"> 9 percent nationally</w:t>
      </w:r>
      <w:r w:rsidR="006773AB">
        <w:rPr>
          <w:rFonts w:ascii="Calibri Light" w:eastAsia="Calibri" w:hAnsi="Calibri Light" w:cs="Calibri Light"/>
          <w:sz w:val="23"/>
          <w:szCs w:val="23"/>
        </w:rPr>
        <w:t>,</w:t>
      </w:r>
      <w:r w:rsidR="00AA50B7">
        <w:rPr>
          <w:rFonts w:ascii="Calibri Light" w:eastAsia="Calibri" w:hAnsi="Calibri Light" w:cs="Calibri Light"/>
          <w:sz w:val="23"/>
          <w:szCs w:val="23"/>
        </w:rPr>
        <w:t xml:space="preserve"> and</w:t>
      </w:r>
      <w:r w:rsidR="00551B91" w:rsidRPr="00551B91">
        <w:rPr>
          <w:rFonts w:ascii="Calibri Light" w:eastAsia="Calibri" w:hAnsi="Calibri Light" w:cs="Calibri Light"/>
          <w:sz w:val="23"/>
          <w:szCs w:val="23"/>
        </w:rPr>
        <w:t xml:space="preserve"> 13.1</w:t>
      </w:r>
      <w:r w:rsidR="00551B91">
        <w:rPr>
          <w:rFonts w:ascii="Calibri Light" w:eastAsia="Calibri" w:hAnsi="Calibri Light" w:cs="Calibri Light"/>
          <w:sz w:val="23"/>
          <w:szCs w:val="23"/>
        </w:rPr>
        <w:t xml:space="preserve"> percent</w:t>
      </w:r>
      <w:r w:rsidR="00551B91" w:rsidRPr="00551B91">
        <w:rPr>
          <w:rFonts w:ascii="Calibri Light" w:eastAsia="Calibri" w:hAnsi="Calibri Light" w:cs="Calibri Light"/>
          <w:sz w:val="23"/>
          <w:szCs w:val="23"/>
        </w:rPr>
        <w:t xml:space="preserve"> </w:t>
      </w:r>
      <w:r w:rsidR="00211B19">
        <w:rPr>
          <w:rFonts w:ascii="Calibri Light" w:eastAsia="Calibri" w:hAnsi="Calibri Light" w:cs="Calibri Light"/>
          <w:sz w:val="23"/>
          <w:szCs w:val="23"/>
        </w:rPr>
        <w:t>in Victoria</w:t>
      </w:r>
      <w:r w:rsidR="006773AB">
        <w:rPr>
          <w:rFonts w:ascii="Calibri Light" w:eastAsia="Calibri" w:hAnsi="Calibri Light" w:cs="Calibri Light"/>
          <w:sz w:val="23"/>
          <w:szCs w:val="23"/>
        </w:rPr>
        <w:t>;</w:t>
      </w:r>
      <w:r w:rsidR="00E167D2">
        <w:rPr>
          <w:rFonts w:ascii="Calibri Light" w:eastAsia="Calibri" w:hAnsi="Calibri Light" w:cs="Calibri Light"/>
          <w:sz w:val="23"/>
          <w:szCs w:val="23"/>
        </w:rPr>
        <w:t xml:space="preserve"> compared to pre-pandemic levels</w:t>
      </w:r>
      <w:r w:rsidR="009127BD">
        <w:rPr>
          <w:rFonts w:ascii="Calibri Light" w:eastAsia="Calibri" w:hAnsi="Calibri Light" w:cs="Calibri Light"/>
          <w:sz w:val="23"/>
          <w:szCs w:val="23"/>
        </w:rPr>
        <w:t>,</w:t>
      </w:r>
      <w:r w:rsidR="00E167D2">
        <w:rPr>
          <w:rFonts w:ascii="Calibri Light" w:eastAsia="Calibri" w:hAnsi="Calibri Light" w:cs="Calibri Light"/>
          <w:sz w:val="23"/>
          <w:szCs w:val="23"/>
        </w:rPr>
        <w:t xml:space="preserve"> housing stress </w:t>
      </w:r>
      <w:r w:rsidR="00CE2E4E">
        <w:rPr>
          <w:rFonts w:ascii="Calibri Light" w:eastAsia="Calibri" w:hAnsi="Calibri Light" w:cs="Calibri Light"/>
          <w:sz w:val="23"/>
          <w:szCs w:val="23"/>
        </w:rPr>
        <w:t>i</w:t>
      </w:r>
      <w:r w:rsidR="00E167D2">
        <w:rPr>
          <w:rFonts w:ascii="Calibri Light" w:eastAsia="Calibri" w:hAnsi="Calibri Light" w:cs="Calibri Light"/>
          <w:sz w:val="23"/>
          <w:szCs w:val="23"/>
        </w:rPr>
        <w:t>s expected to affect</w:t>
      </w:r>
      <w:r w:rsidR="00C44CFA">
        <w:rPr>
          <w:rFonts w:ascii="Calibri Light" w:eastAsia="Calibri" w:hAnsi="Calibri Light" w:cs="Calibri Light"/>
          <w:sz w:val="23"/>
          <w:szCs w:val="23"/>
        </w:rPr>
        <w:t xml:space="preserve"> </w:t>
      </w:r>
      <w:r w:rsidR="00124102">
        <w:rPr>
          <w:rFonts w:ascii="Calibri Light" w:eastAsia="Calibri" w:hAnsi="Calibri Light" w:cs="Calibri Light"/>
          <w:sz w:val="23"/>
          <w:szCs w:val="23"/>
        </w:rPr>
        <w:t xml:space="preserve">24 percent more </w:t>
      </w:r>
      <w:r w:rsidR="00E167D2">
        <w:rPr>
          <w:rFonts w:ascii="Calibri Light" w:eastAsia="Calibri" w:hAnsi="Calibri Light" w:cs="Calibri Light"/>
          <w:sz w:val="23"/>
          <w:szCs w:val="23"/>
        </w:rPr>
        <w:t xml:space="preserve">Australian </w:t>
      </w:r>
      <w:r w:rsidR="00124102">
        <w:rPr>
          <w:rFonts w:ascii="Calibri Light" w:eastAsia="Calibri" w:hAnsi="Calibri Light" w:cs="Calibri Light"/>
          <w:sz w:val="23"/>
          <w:szCs w:val="23"/>
        </w:rPr>
        <w:t>households</w:t>
      </w:r>
      <w:r w:rsidR="00E167D2">
        <w:rPr>
          <w:rFonts w:ascii="Calibri Light" w:eastAsia="Calibri" w:hAnsi="Calibri Light" w:cs="Calibri Light"/>
          <w:sz w:val="23"/>
          <w:szCs w:val="23"/>
        </w:rPr>
        <w:t>,</w:t>
      </w:r>
      <w:r w:rsidR="00124102">
        <w:rPr>
          <w:rFonts w:ascii="Calibri Light" w:eastAsia="Calibri" w:hAnsi="Calibri Light" w:cs="Calibri Light"/>
          <w:sz w:val="23"/>
          <w:szCs w:val="23"/>
        </w:rPr>
        <w:t xml:space="preserve"> and</w:t>
      </w:r>
      <w:r w:rsidR="00C44CFA">
        <w:rPr>
          <w:rFonts w:ascii="Calibri Light" w:eastAsia="Calibri" w:hAnsi="Calibri Light" w:cs="Calibri Light"/>
          <w:sz w:val="23"/>
          <w:szCs w:val="23"/>
        </w:rPr>
        <w:t xml:space="preserve"> </w:t>
      </w:r>
      <w:r w:rsidR="00551B91" w:rsidRPr="00551B91">
        <w:rPr>
          <w:rFonts w:ascii="Calibri Light" w:eastAsia="Calibri" w:hAnsi="Calibri Light" w:cs="Calibri Light"/>
          <w:sz w:val="23"/>
          <w:szCs w:val="23"/>
        </w:rPr>
        <w:t>32.4</w:t>
      </w:r>
      <w:r w:rsidR="00551B91">
        <w:rPr>
          <w:rFonts w:ascii="Calibri Light" w:eastAsia="Calibri" w:hAnsi="Calibri Light" w:cs="Calibri Light"/>
          <w:sz w:val="23"/>
          <w:szCs w:val="23"/>
        </w:rPr>
        <w:t xml:space="preserve"> percent</w:t>
      </w:r>
      <w:r w:rsidR="00551B91" w:rsidRPr="00551B91">
        <w:rPr>
          <w:rFonts w:ascii="Calibri Light" w:eastAsia="Calibri" w:hAnsi="Calibri Light" w:cs="Calibri Light"/>
          <w:sz w:val="23"/>
          <w:szCs w:val="23"/>
        </w:rPr>
        <w:t xml:space="preserve"> more</w:t>
      </w:r>
      <w:r w:rsidR="00551B91">
        <w:rPr>
          <w:rFonts w:ascii="Calibri Light" w:eastAsia="Calibri" w:hAnsi="Calibri Light" w:cs="Calibri Light"/>
          <w:sz w:val="23"/>
          <w:szCs w:val="23"/>
        </w:rPr>
        <w:t xml:space="preserve"> </w:t>
      </w:r>
      <w:r w:rsidR="002E2029">
        <w:rPr>
          <w:rFonts w:ascii="Calibri Light" w:eastAsia="Calibri" w:hAnsi="Calibri Light" w:cs="Calibri Light"/>
          <w:sz w:val="23"/>
          <w:szCs w:val="23"/>
        </w:rPr>
        <w:t xml:space="preserve">Victorian </w:t>
      </w:r>
      <w:r w:rsidR="00551B91" w:rsidRPr="00551B91">
        <w:rPr>
          <w:rFonts w:ascii="Calibri Light" w:eastAsia="Calibri" w:hAnsi="Calibri Light" w:cs="Calibri Light"/>
          <w:sz w:val="23"/>
          <w:szCs w:val="23"/>
        </w:rPr>
        <w:t>household</w:t>
      </w:r>
      <w:r w:rsidR="00503996">
        <w:rPr>
          <w:rFonts w:ascii="Calibri Light" w:eastAsia="Calibri" w:hAnsi="Calibri Light" w:cs="Calibri Light"/>
          <w:sz w:val="23"/>
          <w:szCs w:val="23"/>
        </w:rPr>
        <w:t>s</w:t>
      </w:r>
      <w:r w:rsidR="004C7BD9">
        <w:rPr>
          <w:rFonts w:ascii="Calibri Light" w:eastAsia="Calibri" w:hAnsi="Calibri Light" w:cs="Calibri Light"/>
          <w:sz w:val="23"/>
          <w:szCs w:val="23"/>
        </w:rPr>
        <w:t>.</w:t>
      </w:r>
      <w:r w:rsidR="00221957">
        <w:rPr>
          <w:rFonts w:ascii="Calibri Light" w:eastAsia="Calibri" w:hAnsi="Calibri Light" w:cs="Calibri Light"/>
          <w:sz w:val="23"/>
          <w:szCs w:val="23"/>
        </w:rPr>
        <w:t xml:space="preserve"> </w:t>
      </w:r>
      <w:r w:rsidR="0060285B">
        <w:rPr>
          <w:rFonts w:ascii="Calibri Light" w:eastAsia="Calibri" w:hAnsi="Calibri Light" w:cs="Calibri Light"/>
          <w:sz w:val="23"/>
          <w:szCs w:val="23"/>
        </w:rPr>
        <w:t>Projections</w:t>
      </w:r>
      <w:r w:rsidR="00CE2E4E">
        <w:rPr>
          <w:rFonts w:ascii="Calibri Light" w:eastAsia="Calibri" w:hAnsi="Calibri Light" w:cs="Calibri Light"/>
          <w:sz w:val="23"/>
          <w:szCs w:val="23"/>
        </w:rPr>
        <w:t xml:space="preserve"> </w:t>
      </w:r>
      <w:r w:rsidR="000601D8">
        <w:rPr>
          <w:rFonts w:ascii="Calibri Light" w:eastAsia="Calibri" w:hAnsi="Calibri Light" w:cs="Calibri Light"/>
          <w:sz w:val="23"/>
          <w:szCs w:val="23"/>
        </w:rPr>
        <w:t xml:space="preserve">for Geelong </w:t>
      </w:r>
      <w:r w:rsidR="00CE2E4E">
        <w:rPr>
          <w:rFonts w:ascii="Calibri Light" w:eastAsia="Calibri" w:hAnsi="Calibri Light" w:cs="Calibri Light"/>
          <w:sz w:val="23"/>
          <w:szCs w:val="23"/>
        </w:rPr>
        <w:t>a</w:t>
      </w:r>
      <w:r w:rsidR="000601D8">
        <w:rPr>
          <w:rFonts w:ascii="Calibri Light" w:eastAsia="Calibri" w:hAnsi="Calibri Light" w:cs="Calibri Light"/>
          <w:sz w:val="23"/>
          <w:szCs w:val="23"/>
        </w:rPr>
        <w:t xml:space="preserve">re </w:t>
      </w:r>
      <w:r w:rsidR="0060285B">
        <w:rPr>
          <w:rFonts w:ascii="Calibri Light" w:eastAsia="Calibri" w:hAnsi="Calibri Light" w:cs="Calibri Light"/>
          <w:sz w:val="23"/>
          <w:szCs w:val="23"/>
        </w:rPr>
        <w:t>even</w:t>
      </w:r>
      <w:r w:rsidR="00016FA7">
        <w:rPr>
          <w:rFonts w:ascii="Calibri Light" w:eastAsia="Calibri" w:hAnsi="Calibri Light" w:cs="Calibri Light"/>
          <w:sz w:val="23"/>
          <w:szCs w:val="23"/>
        </w:rPr>
        <w:t xml:space="preserve"> more </w:t>
      </w:r>
      <w:r w:rsidR="000601D8">
        <w:rPr>
          <w:rFonts w:ascii="Calibri Light" w:eastAsia="Calibri" w:hAnsi="Calibri Light" w:cs="Calibri Light"/>
          <w:sz w:val="23"/>
          <w:szCs w:val="23"/>
        </w:rPr>
        <w:t>alarming:</w:t>
      </w:r>
      <w:r w:rsidR="00934F92">
        <w:rPr>
          <w:rFonts w:ascii="Calibri Light" w:eastAsia="Calibri" w:hAnsi="Calibri Light" w:cs="Calibri Light"/>
          <w:sz w:val="23"/>
          <w:szCs w:val="23"/>
        </w:rPr>
        <w:t xml:space="preserve"> </w:t>
      </w:r>
      <w:r w:rsidR="0072296A">
        <w:rPr>
          <w:rFonts w:ascii="Calibri Light" w:eastAsia="Calibri" w:hAnsi="Calibri Light" w:cs="Calibri Light"/>
          <w:sz w:val="23"/>
          <w:szCs w:val="23"/>
        </w:rPr>
        <w:t>h</w:t>
      </w:r>
      <w:r w:rsidR="00221957">
        <w:rPr>
          <w:rFonts w:ascii="Calibri Light" w:eastAsia="Calibri" w:hAnsi="Calibri Light" w:cs="Calibri Light"/>
          <w:sz w:val="23"/>
          <w:szCs w:val="23"/>
        </w:rPr>
        <w:t xml:space="preserve">omelessness </w:t>
      </w:r>
      <w:r w:rsidR="00CE2E4E">
        <w:rPr>
          <w:rFonts w:ascii="Calibri Light" w:eastAsia="Calibri" w:hAnsi="Calibri Light" w:cs="Calibri Light"/>
          <w:sz w:val="23"/>
          <w:szCs w:val="23"/>
        </w:rPr>
        <w:t>i</w:t>
      </w:r>
      <w:r w:rsidR="00221957">
        <w:rPr>
          <w:rFonts w:ascii="Calibri Light" w:eastAsia="Calibri" w:hAnsi="Calibri Light" w:cs="Calibri Light"/>
          <w:sz w:val="23"/>
          <w:szCs w:val="23"/>
        </w:rPr>
        <w:t xml:space="preserve">s </w:t>
      </w:r>
      <w:r w:rsidR="00C72602">
        <w:rPr>
          <w:rFonts w:ascii="Calibri Light" w:eastAsia="Calibri" w:hAnsi="Calibri Light" w:cs="Calibri Light"/>
          <w:sz w:val="23"/>
          <w:szCs w:val="23"/>
        </w:rPr>
        <w:t>expected</w:t>
      </w:r>
      <w:r w:rsidR="00221957">
        <w:rPr>
          <w:rFonts w:ascii="Calibri Light" w:eastAsia="Calibri" w:hAnsi="Calibri Light" w:cs="Calibri Light"/>
          <w:sz w:val="23"/>
          <w:szCs w:val="23"/>
        </w:rPr>
        <w:t xml:space="preserve"> to increase </w:t>
      </w:r>
      <w:r w:rsidR="000601D8" w:rsidRPr="000601D8">
        <w:rPr>
          <w:rFonts w:ascii="Calibri Light" w:eastAsia="Calibri" w:hAnsi="Calibri Light" w:cs="Calibri Light"/>
          <w:sz w:val="23"/>
          <w:szCs w:val="23"/>
        </w:rPr>
        <w:t>23</w:t>
      </w:r>
      <w:r w:rsidR="000601D8">
        <w:rPr>
          <w:rFonts w:ascii="Calibri Light" w:eastAsia="Calibri" w:hAnsi="Calibri Light" w:cs="Calibri Light"/>
          <w:sz w:val="23"/>
          <w:szCs w:val="23"/>
        </w:rPr>
        <w:t xml:space="preserve"> </w:t>
      </w:r>
      <w:r w:rsidR="00221957">
        <w:rPr>
          <w:rFonts w:ascii="Calibri Light" w:eastAsia="Calibri" w:hAnsi="Calibri Light" w:cs="Calibri Light"/>
          <w:sz w:val="23"/>
          <w:szCs w:val="23"/>
        </w:rPr>
        <w:t>percent</w:t>
      </w:r>
      <w:r w:rsidR="00016FA7">
        <w:rPr>
          <w:rFonts w:ascii="Calibri Light" w:eastAsia="Calibri" w:hAnsi="Calibri Light" w:cs="Calibri Light"/>
          <w:sz w:val="23"/>
          <w:szCs w:val="23"/>
        </w:rPr>
        <w:t>,</w:t>
      </w:r>
      <w:r w:rsidR="007A06F9" w:rsidRPr="007A06F9">
        <w:rPr>
          <w:rFonts w:ascii="Calibri Light" w:eastAsia="Calibri" w:hAnsi="Calibri Light" w:cs="Calibri Light"/>
          <w:sz w:val="23"/>
          <w:szCs w:val="23"/>
        </w:rPr>
        <w:t xml:space="preserve"> </w:t>
      </w:r>
      <w:r w:rsidR="00934F92">
        <w:rPr>
          <w:rFonts w:ascii="Calibri Light" w:eastAsia="Calibri" w:hAnsi="Calibri Light" w:cs="Calibri Light"/>
          <w:sz w:val="23"/>
          <w:szCs w:val="23"/>
        </w:rPr>
        <w:t>and housing stress</w:t>
      </w:r>
      <w:r w:rsidR="0072296A">
        <w:rPr>
          <w:rFonts w:ascii="Calibri Light" w:eastAsia="Calibri" w:hAnsi="Calibri Light" w:cs="Calibri Light"/>
          <w:sz w:val="23"/>
          <w:szCs w:val="23"/>
        </w:rPr>
        <w:t xml:space="preserve"> by</w:t>
      </w:r>
      <w:r w:rsidR="00EF7058" w:rsidRPr="007A06F9">
        <w:rPr>
          <w:rFonts w:ascii="Calibri Light" w:eastAsia="Calibri" w:hAnsi="Calibri Light" w:cs="Calibri Light"/>
          <w:sz w:val="23"/>
          <w:szCs w:val="23"/>
        </w:rPr>
        <w:t xml:space="preserve"> </w:t>
      </w:r>
      <w:r w:rsidR="00F70C62" w:rsidRPr="00F70C62">
        <w:rPr>
          <w:rFonts w:ascii="Calibri Light" w:eastAsia="Calibri" w:hAnsi="Calibri Light" w:cs="Calibri Light"/>
          <w:sz w:val="23"/>
          <w:szCs w:val="23"/>
        </w:rPr>
        <w:t xml:space="preserve">62.7 </w:t>
      </w:r>
      <w:r w:rsidR="009E346A">
        <w:rPr>
          <w:rFonts w:ascii="Calibri Light" w:eastAsia="Calibri" w:hAnsi="Calibri Light" w:cs="Calibri Light"/>
          <w:sz w:val="23"/>
          <w:szCs w:val="23"/>
        </w:rPr>
        <w:t>percent</w:t>
      </w:r>
      <w:r w:rsidR="005F7E9D">
        <w:rPr>
          <w:rFonts w:ascii="Calibri Light" w:eastAsia="Calibri" w:hAnsi="Calibri Light" w:cs="Calibri Light"/>
          <w:sz w:val="23"/>
          <w:szCs w:val="23"/>
        </w:rPr>
        <w:t xml:space="preserve"> (Equity Economics, 2020</w:t>
      </w:r>
      <w:r w:rsidR="00472B15">
        <w:rPr>
          <w:rFonts w:ascii="Calibri Light" w:eastAsia="Calibri" w:hAnsi="Calibri Light" w:cs="Calibri Light"/>
          <w:sz w:val="23"/>
          <w:szCs w:val="23"/>
        </w:rPr>
        <w:t>b</w:t>
      </w:r>
      <w:r w:rsidR="00016FA7">
        <w:rPr>
          <w:rFonts w:ascii="Calibri Light" w:eastAsia="Calibri" w:hAnsi="Calibri Light" w:cs="Calibri Light"/>
          <w:sz w:val="23"/>
          <w:szCs w:val="23"/>
        </w:rPr>
        <w:t xml:space="preserve">, p. </w:t>
      </w:r>
      <w:r w:rsidR="00485CC7">
        <w:rPr>
          <w:rFonts w:ascii="Calibri Light" w:eastAsia="Calibri" w:hAnsi="Calibri Light" w:cs="Calibri Light"/>
          <w:sz w:val="23"/>
          <w:szCs w:val="23"/>
        </w:rPr>
        <w:t xml:space="preserve">8–9, </w:t>
      </w:r>
      <w:r w:rsidR="00016FA7">
        <w:rPr>
          <w:rFonts w:ascii="Calibri Light" w:eastAsia="Calibri" w:hAnsi="Calibri Light" w:cs="Calibri Light"/>
          <w:sz w:val="23"/>
          <w:szCs w:val="23"/>
        </w:rPr>
        <w:t>4</w:t>
      </w:r>
      <w:r w:rsidR="005F7E9D">
        <w:rPr>
          <w:rFonts w:ascii="Calibri Light" w:eastAsia="Calibri" w:hAnsi="Calibri Light" w:cs="Calibri Light"/>
          <w:sz w:val="23"/>
          <w:szCs w:val="23"/>
        </w:rPr>
        <w:t>)</w:t>
      </w:r>
      <w:r w:rsidR="009E346A">
        <w:rPr>
          <w:rFonts w:ascii="Calibri Light" w:eastAsia="Calibri" w:hAnsi="Calibri Light" w:cs="Calibri Light"/>
          <w:sz w:val="23"/>
          <w:szCs w:val="23"/>
        </w:rPr>
        <w:t>.</w:t>
      </w:r>
    </w:p>
    <w:p w14:paraId="4CBA3855" w14:textId="7BCCADFF" w:rsidR="00F00E3D" w:rsidRPr="008F7828" w:rsidRDefault="0066259E" w:rsidP="004D51EB">
      <w:pPr>
        <w:spacing w:line="276" w:lineRule="auto"/>
        <w:rPr>
          <w:rFonts w:eastAsia="Calibri" w:cstheme="minorHAnsi"/>
          <w:b/>
          <w:bCs/>
          <w:sz w:val="23"/>
          <w:szCs w:val="23"/>
        </w:rPr>
      </w:pPr>
      <w:r>
        <w:rPr>
          <w:rFonts w:eastAsia="Calibri" w:cstheme="minorHAnsi"/>
          <w:b/>
          <w:bCs/>
          <w:sz w:val="23"/>
          <w:szCs w:val="23"/>
        </w:rPr>
        <w:t xml:space="preserve">COVID-related </w:t>
      </w:r>
      <w:r w:rsidR="00F863F6">
        <w:rPr>
          <w:rFonts w:eastAsia="Calibri" w:cstheme="minorHAnsi"/>
          <w:b/>
          <w:bCs/>
          <w:sz w:val="23"/>
          <w:szCs w:val="23"/>
        </w:rPr>
        <w:t xml:space="preserve">Government Investment in </w:t>
      </w:r>
      <w:r w:rsidR="00F00E3D" w:rsidRPr="008F7828">
        <w:rPr>
          <w:rFonts w:eastAsia="Calibri" w:cstheme="minorHAnsi"/>
          <w:b/>
          <w:bCs/>
          <w:sz w:val="23"/>
          <w:szCs w:val="23"/>
        </w:rPr>
        <w:t xml:space="preserve">Social </w:t>
      </w:r>
      <w:r w:rsidR="00F863F6">
        <w:rPr>
          <w:rFonts w:eastAsia="Calibri" w:cstheme="minorHAnsi"/>
          <w:b/>
          <w:bCs/>
          <w:sz w:val="23"/>
          <w:szCs w:val="23"/>
        </w:rPr>
        <w:t>and Affordable Housing</w:t>
      </w:r>
    </w:p>
    <w:p w14:paraId="5823A7C2" w14:textId="5F250034" w:rsidR="00BF33C0" w:rsidRDefault="00792222" w:rsidP="004D51EB">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In</w:t>
      </w:r>
      <w:r w:rsidR="00CC7F5A">
        <w:rPr>
          <w:rFonts w:ascii="Calibri Light" w:eastAsia="Calibri" w:hAnsi="Calibri Light" w:cs="Calibri Light"/>
          <w:sz w:val="23"/>
          <w:szCs w:val="23"/>
        </w:rPr>
        <w:t xml:space="preserve"> Australia </w:t>
      </w:r>
      <w:r w:rsidR="00817BDF">
        <w:rPr>
          <w:rFonts w:ascii="Calibri Light" w:eastAsia="Calibri" w:hAnsi="Calibri Light" w:cs="Calibri Light"/>
          <w:sz w:val="23"/>
          <w:szCs w:val="23"/>
        </w:rPr>
        <w:t>COVID-19</w:t>
      </w:r>
      <w:r w:rsidR="00186914">
        <w:rPr>
          <w:rFonts w:ascii="Calibri Light" w:eastAsia="Calibri" w:hAnsi="Calibri Light" w:cs="Calibri Light"/>
          <w:sz w:val="23"/>
          <w:szCs w:val="23"/>
        </w:rPr>
        <w:t xml:space="preserve"> has fuelled</w:t>
      </w:r>
      <w:r w:rsidR="00186914" w:rsidRPr="00DD331C">
        <w:rPr>
          <w:rFonts w:ascii="Calibri Light" w:eastAsia="Calibri" w:hAnsi="Calibri Light" w:cs="Calibri Light"/>
          <w:sz w:val="23"/>
          <w:szCs w:val="23"/>
        </w:rPr>
        <w:t xml:space="preserve"> a strong push for governments to rapidly expand and upgrade social and affordable housing as part of the recovery effort </w:t>
      </w:r>
      <w:r w:rsidR="00186914" w:rsidRPr="00DD331C">
        <w:rPr>
          <w:rFonts w:ascii="Calibri Light" w:eastAsia="Calibri" w:hAnsi="Calibri Light" w:cs="Calibri Light"/>
          <w:noProof/>
          <w:sz w:val="23"/>
          <w:szCs w:val="23"/>
        </w:rPr>
        <w:t>(Gurran et al., 2020; Pawson &amp; Mares, 2020)</w:t>
      </w:r>
      <w:r w:rsidR="00186914" w:rsidRPr="00DD331C">
        <w:rPr>
          <w:rFonts w:ascii="Calibri Light" w:eastAsia="Calibri" w:hAnsi="Calibri Light" w:cs="Calibri Light"/>
          <w:sz w:val="23"/>
          <w:szCs w:val="23"/>
        </w:rPr>
        <w:t xml:space="preserve">. </w:t>
      </w:r>
      <w:r>
        <w:rPr>
          <w:rFonts w:ascii="Calibri Light" w:eastAsia="Calibri" w:hAnsi="Calibri Light" w:cs="Calibri Light"/>
          <w:sz w:val="23"/>
          <w:szCs w:val="23"/>
        </w:rPr>
        <w:t>H</w:t>
      </w:r>
      <w:r w:rsidR="00533B61">
        <w:rPr>
          <w:rFonts w:ascii="Calibri Light" w:eastAsia="Calibri" w:hAnsi="Calibri Light" w:cs="Calibri Light"/>
          <w:sz w:val="23"/>
          <w:szCs w:val="23"/>
        </w:rPr>
        <w:t>ousing a</w:t>
      </w:r>
      <w:r w:rsidR="00186914" w:rsidRPr="00DD331C">
        <w:rPr>
          <w:rFonts w:ascii="Calibri Light" w:eastAsia="Calibri" w:hAnsi="Calibri Light" w:cs="Calibri Light"/>
          <w:sz w:val="23"/>
          <w:szCs w:val="23"/>
        </w:rPr>
        <w:t>dvocates</w:t>
      </w:r>
      <w:r>
        <w:rPr>
          <w:rFonts w:ascii="Calibri Light" w:eastAsia="Calibri" w:hAnsi="Calibri Light" w:cs="Calibri Light"/>
          <w:sz w:val="23"/>
          <w:szCs w:val="23"/>
        </w:rPr>
        <w:t>,</w:t>
      </w:r>
      <w:r w:rsidR="00533B61">
        <w:rPr>
          <w:rFonts w:ascii="Calibri Light" w:eastAsia="Calibri" w:hAnsi="Calibri Light" w:cs="Calibri Light"/>
          <w:sz w:val="23"/>
          <w:szCs w:val="23"/>
        </w:rPr>
        <w:t xml:space="preserve"> economists</w:t>
      </w:r>
      <w:r>
        <w:rPr>
          <w:rFonts w:ascii="Calibri Light" w:eastAsia="Calibri" w:hAnsi="Calibri Light" w:cs="Calibri Light"/>
          <w:sz w:val="23"/>
          <w:szCs w:val="23"/>
        </w:rPr>
        <w:t xml:space="preserve">, and building industry peak bodies </w:t>
      </w:r>
      <w:r w:rsidR="00CC7F5A">
        <w:rPr>
          <w:rFonts w:ascii="Calibri Light" w:eastAsia="Calibri" w:hAnsi="Calibri Light" w:cs="Calibri Light"/>
          <w:sz w:val="23"/>
          <w:szCs w:val="23"/>
        </w:rPr>
        <w:t xml:space="preserve">have </w:t>
      </w:r>
      <w:r w:rsidR="00186914" w:rsidRPr="00DD331C">
        <w:rPr>
          <w:rFonts w:ascii="Calibri Light" w:eastAsia="Calibri" w:hAnsi="Calibri Light" w:cs="Calibri Light"/>
          <w:sz w:val="23"/>
          <w:szCs w:val="23"/>
        </w:rPr>
        <w:t xml:space="preserve">argued that large-scale investment in social housing would create jobs, stimulate the economy, support the construction industry, reduce the significant social and economic impacts of homelessness, and promote long-term </w:t>
      </w:r>
      <w:r w:rsidR="004D51EB" w:rsidRPr="004D51EB">
        <w:rPr>
          <w:rFonts w:ascii="Calibri Light" w:eastAsia="Calibri" w:hAnsi="Calibri Light" w:cs="Calibri Light"/>
          <w:sz w:val="23"/>
          <w:szCs w:val="23"/>
        </w:rPr>
        <w:t xml:space="preserve">social wellbeing. In May 2020, a proposal by peak housing bodies – the Social Housing Acceleration and Renovation Program (SHARP) – called for Federal Government investment, backed by </w:t>
      </w:r>
      <w:r w:rsidR="00817BDF">
        <w:rPr>
          <w:rFonts w:ascii="Calibri Light" w:eastAsia="Calibri" w:hAnsi="Calibri Light" w:cs="Calibri Light"/>
          <w:sz w:val="23"/>
          <w:szCs w:val="23"/>
        </w:rPr>
        <w:t>s</w:t>
      </w:r>
      <w:r w:rsidR="004D51EB" w:rsidRPr="004D51EB">
        <w:rPr>
          <w:rFonts w:ascii="Calibri Light" w:eastAsia="Calibri" w:hAnsi="Calibri Light" w:cs="Calibri Light"/>
          <w:sz w:val="23"/>
          <w:szCs w:val="23"/>
        </w:rPr>
        <w:t xml:space="preserve">tate and </w:t>
      </w:r>
      <w:r w:rsidR="00817BDF">
        <w:rPr>
          <w:rFonts w:ascii="Calibri Light" w:eastAsia="Calibri" w:hAnsi="Calibri Light" w:cs="Calibri Light"/>
          <w:sz w:val="23"/>
          <w:szCs w:val="23"/>
        </w:rPr>
        <w:t>t</w:t>
      </w:r>
      <w:r w:rsidR="004D51EB" w:rsidRPr="004D51EB">
        <w:rPr>
          <w:rFonts w:ascii="Calibri Light" w:eastAsia="Calibri" w:hAnsi="Calibri Light" w:cs="Calibri Light"/>
          <w:sz w:val="23"/>
          <w:szCs w:val="23"/>
        </w:rPr>
        <w:t>erritory contributions, to fund the construction of 30,000 new units and eco-renovate thousands of existing properties over a four-year period (Community Housing Industry Association, 2020).</w:t>
      </w:r>
    </w:p>
    <w:p w14:paraId="754E78AE" w14:textId="44CDD437" w:rsidR="00F01226" w:rsidRPr="001F0112" w:rsidRDefault="00F01226" w:rsidP="004D51EB">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In Victoria, the</w:t>
      </w:r>
      <w:r w:rsidRPr="00DD331C">
        <w:rPr>
          <w:rFonts w:ascii="Calibri Light" w:eastAsia="Calibri" w:hAnsi="Calibri Light" w:cs="Calibri Light"/>
          <w:sz w:val="23"/>
          <w:szCs w:val="23"/>
        </w:rPr>
        <w:t xml:space="preserve"> well-publicised infection cluster</w:t>
      </w:r>
      <w:r w:rsidR="007235E8">
        <w:rPr>
          <w:rFonts w:ascii="Calibri Light" w:eastAsia="Calibri" w:hAnsi="Calibri Light" w:cs="Calibri Light"/>
          <w:sz w:val="23"/>
          <w:szCs w:val="23"/>
        </w:rPr>
        <w:t>s</w:t>
      </w:r>
      <w:r w:rsidRPr="00DD331C">
        <w:rPr>
          <w:rFonts w:ascii="Calibri Light" w:eastAsia="Calibri" w:hAnsi="Calibri Light" w:cs="Calibri Light"/>
          <w:sz w:val="23"/>
          <w:szCs w:val="23"/>
        </w:rPr>
        <w:t xml:space="preserve"> </w:t>
      </w:r>
      <w:r w:rsidR="005B76D6">
        <w:rPr>
          <w:rFonts w:ascii="Calibri Light" w:eastAsia="Calibri" w:hAnsi="Calibri Light" w:cs="Calibri Light"/>
          <w:sz w:val="23"/>
          <w:szCs w:val="23"/>
        </w:rPr>
        <w:t>that hit</w:t>
      </w:r>
      <w:r w:rsidRPr="00DD331C">
        <w:rPr>
          <w:rFonts w:ascii="Calibri Light" w:eastAsia="Calibri" w:hAnsi="Calibri Light" w:cs="Calibri Light"/>
          <w:sz w:val="23"/>
          <w:szCs w:val="23"/>
        </w:rPr>
        <w:t xml:space="preserve"> </w:t>
      </w:r>
      <w:r>
        <w:rPr>
          <w:rFonts w:ascii="Calibri Light" w:eastAsia="Calibri" w:hAnsi="Calibri Light" w:cs="Calibri Light"/>
          <w:sz w:val="23"/>
          <w:szCs w:val="23"/>
        </w:rPr>
        <w:t xml:space="preserve">several </w:t>
      </w:r>
      <w:r w:rsidR="005B76D6">
        <w:rPr>
          <w:rFonts w:ascii="Calibri Light" w:eastAsia="Calibri" w:hAnsi="Calibri Light" w:cs="Calibri Light"/>
          <w:sz w:val="23"/>
          <w:szCs w:val="23"/>
        </w:rPr>
        <w:t>Melbourne</w:t>
      </w:r>
      <w:r w:rsidR="005B76D6" w:rsidRPr="00DD331C">
        <w:rPr>
          <w:rFonts w:ascii="Calibri Light" w:eastAsia="Calibri" w:hAnsi="Calibri Light" w:cs="Calibri Light"/>
          <w:sz w:val="23"/>
          <w:szCs w:val="23"/>
        </w:rPr>
        <w:t xml:space="preserve"> </w:t>
      </w:r>
      <w:r w:rsidRPr="00DD331C">
        <w:rPr>
          <w:rFonts w:ascii="Calibri Light" w:eastAsia="Calibri" w:hAnsi="Calibri Light" w:cs="Calibri Light"/>
          <w:sz w:val="23"/>
          <w:szCs w:val="23"/>
        </w:rPr>
        <w:t>high</w:t>
      </w:r>
      <w:r>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rise public housing </w:t>
      </w:r>
      <w:r>
        <w:rPr>
          <w:rFonts w:ascii="Calibri Light" w:eastAsia="Calibri" w:hAnsi="Calibri Light" w:cs="Calibri Light"/>
          <w:sz w:val="23"/>
          <w:szCs w:val="23"/>
        </w:rPr>
        <w:t>estates</w:t>
      </w:r>
      <w:r w:rsidRPr="0082600A">
        <w:rPr>
          <w:rFonts w:ascii="Calibri Light" w:eastAsia="Calibri" w:hAnsi="Calibri Light" w:cs="Calibri Light"/>
          <w:sz w:val="23"/>
          <w:szCs w:val="23"/>
        </w:rPr>
        <w:t xml:space="preserve"> </w:t>
      </w:r>
      <w:r>
        <w:rPr>
          <w:rFonts w:ascii="Calibri Light" w:eastAsia="Calibri" w:hAnsi="Calibri Light" w:cs="Calibri Light"/>
          <w:sz w:val="23"/>
          <w:szCs w:val="23"/>
        </w:rPr>
        <w:t>in</w:t>
      </w:r>
      <w:r w:rsidR="005B76D6">
        <w:rPr>
          <w:rFonts w:ascii="Calibri Light" w:eastAsia="Calibri" w:hAnsi="Calibri Light" w:cs="Calibri Light"/>
          <w:sz w:val="23"/>
          <w:szCs w:val="23"/>
        </w:rPr>
        <w:t xml:space="preserve"> mid-2020</w:t>
      </w:r>
      <w:r>
        <w:rPr>
          <w:rFonts w:ascii="Calibri Light" w:eastAsia="Calibri" w:hAnsi="Calibri Light" w:cs="Calibri Light"/>
          <w:sz w:val="23"/>
          <w:szCs w:val="23"/>
        </w:rPr>
        <w:t xml:space="preserve"> provided a</w:t>
      </w:r>
      <w:r w:rsidRPr="00DD331C">
        <w:rPr>
          <w:rFonts w:ascii="Calibri Light" w:eastAsia="Calibri" w:hAnsi="Calibri Light" w:cs="Calibri Light"/>
          <w:sz w:val="23"/>
          <w:szCs w:val="23"/>
        </w:rPr>
        <w:t xml:space="preserve"> further catalyst for social housing investment. </w:t>
      </w:r>
      <w:r>
        <w:rPr>
          <w:rFonts w:ascii="Calibri Light" w:eastAsia="Calibri" w:hAnsi="Calibri Light" w:cs="Calibri Light"/>
          <w:sz w:val="23"/>
          <w:szCs w:val="23"/>
        </w:rPr>
        <w:t>There were reports of</w:t>
      </w:r>
      <w:r w:rsidRPr="00DD331C">
        <w:rPr>
          <w:rFonts w:ascii="Calibri Light" w:eastAsia="Calibri" w:hAnsi="Calibri Light" w:cs="Calibri Light"/>
          <w:sz w:val="23"/>
          <w:szCs w:val="23"/>
        </w:rPr>
        <w:t xml:space="preserve"> “broken lifts requiring residents to crowd together to get in and out of the hig</w:t>
      </w:r>
      <w:r>
        <w:rPr>
          <w:rFonts w:ascii="Calibri Light" w:eastAsia="Calibri" w:hAnsi="Calibri Light" w:cs="Calibri Light"/>
          <w:sz w:val="23"/>
          <w:szCs w:val="23"/>
        </w:rPr>
        <w:t>h-</w:t>
      </w:r>
      <w:r w:rsidRPr="00DD331C">
        <w:rPr>
          <w:rFonts w:ascii="Calibri Light" w:eastAsia="Calibri" w:hAnsi="Calibri Light" w:cs="Calibri Light"/>
          <w:sz w:val="23"/>
          <w:szCs w:val="23"/>
        </w:rPr>
        <w:t xml:space="preserve">rise flats, insufficient, culturally inappropriate and out-of-date food provided to detained residents, inadequate cleaning and supplies of sanitiser and related resources, and limited access to language-appropriate resources” </w:t>
      </w:r>
      <w:r w:rsidRPr="00DD331C">
        <w:rPr>
          <w:rFonts w:ascii="Calibri Light" w:eastAsia="Calibri" w:hAnsi="Calibri Light" w:cs="Calibri Light"/>
          <w:noProof/>
          <w:sz w:val="23"/>
          <w:szCs w:val="23"/>
        </w:rPr>
        <w:t>(Power, Rogers, &amp; Kadi, 2020, p. 313)</w:t>
      </w:r>
      <w:r w:rsidRPr="00DD331C">
        <w:rPr>
          <w:rFonts w:ascii="Calibri Light" w:eastAsia="Calibri" w:hAnsi="Calibri Light" w:cs="Calibri Light"/>
          <w:sz w:val="23"/>
          <w:szCs w:val="23"/>
        </w:rPr>
        <w:t xml:space="preserve">. </w:t>
      </w:r>
      <w:r>
        <w:rPr>
          <w:rFonts w:ascii="Calibri Light" w:eastAsia="Calibri" w:hAnsi="Calibri Light" w:cs="Calibri Light"/>
          <w:sz w:val="23"/>
          <w:szCs w:val="23"/>
        </w:rPr>
        <w:t xml:space="preserve">These revelations sparked public conversations around </w:t>
      </w:r>
      <w:r w:rsidRPr="00DD331C">
        <w:rPr>
          <w:rFonts w:ascii="Calibri Light" w:eastAsia="Calibri" w:hAnsi="Calibri Light" w:cs="Calibri Light"/>
          <w:sz w:val="23"/>
          <w:szCs w:val="23"/>
        </w:rPr>
        <w:t xml:space="preserve">the </w:t>
      </w:r>
      <w:r>
        <w:rPr>
          <w:rFonts w:ascii="Calibri Light" w:eastAsia="Calibri" w:hAnsi="Calibri Light" w:cs="Calibri Light"/>
          <w:sz w:val="23"/>
          <w:szCs w:val="23"/>
        </w:rPr>
        <w:t>quality of</w:t>
      </w:r>
      <w:r w:rsidRPr="00DD331C">
        <w:rPr>
          <w:rFonts w:ascii="Calibri Light" w:eastAsia="Calibri" w:hAnsi="Calibri Light" w:cs="Calibri Light"/>
          <w:sz w:val="23"/>
          <w:szCs w:val="23"/>
        </w:rPr>
        <w:t xml:space="preserve"> public and social housing </w:t>
      </w:r>
      <w:r w:rsidRPr="001F0112">
        <w:rPr>
          <w:rFonts w:ascii="Calibri Light" w:eastAsia="Calibri" w:hAnsi="Calibri Light" w:cs="Calibri Light"/>
          <w:sz w:val="23"/>
          <w:szCs w:val="23"/>
        </w:rPr>
        <w:t>in Australia, and how it might be better designed and resourced.</w:t>
      </w:r>
    </w:p>
    <w:p w14:paraId="0009BA4F" w14:textId="79AD46E6" w:rsidR="00D81EFE" w:rsidRDefault="00B14516" w:rsidP="00817BDF">
      <w:pPr>
        <w:widowControl w:val="0"/>
        <w:spacing w:line="276" w:lineRule="auto"/>
        <w:rPr>
          <w:rFonts w:ascii="Calibri Light" w:eastAsia="Calibri" w:hAnsi="Calibri Light" w:cs="Calibri Light"/>
          <w:sz w:val="23"/>
          <w:szCs w:val="23"/>
        </w:rPr>
      </w:pPr>
      <w:r>
        <w:rPr>
          <w:rFonts w:ascii="Calibri Light" w:eastAsia="Calibri" w:hAnsi="Calibri Light" w:cs="Calibri Light"/>
          <w:sz w:val="23"/>
          <w:szCs w:val="23"/>
        </w:rPr>
        <w:t xml:space="preserve">The </w:t>
      </w:r>
      <w:r w:rsidR="00F00E3D" w:rsidRPr="001F0112">
        <w:rPr>
          <w:rFonts w:ascii="Calibri Light" w:eastAsia="Calibri" w:hAnsi="Calibri Light" w:cs="Calibri Light"/>
          <w:sz w:val="23"/>
          <w:szCs w:val="23"/>
        </w:rPr>
        <w:t>Victorian</w:t>
      </w:r>
      <w:r w:rsidR="00AB37C8" w:rsidRPr="001F0112">
        <w:rPr>
          <w:rFonts w:ascii="Calibri Light" w:eastAsia="Calibri" w:hAnsi="Calibri Light" w:cs="Calibri Light"/>
          <w:sz w:val="23"/>
          <w:szCs w:val="23"/>
        </w:rPr>
        <w:t xml:space="preserve"> State</w:t>
      </w:r>
      <w:r w:rsidR="00F00E3D" w:rsidRPr="001F0112">
        <w:rPr>
          <w:rFonts w:ascii="Calibri Light" w:eastAsia="Calibri" w:hAnsi="Calibri Light" w:cs="Calibri Light"/>
          <w:sz w:val="23"/>
          <w:szCs w:val="23"/>
        </w:rPr>
        <w:t xml:space="preserve"> Government committed $500 million to social housing </w:t>
      </w:r>
      <w:r w:rsidR="007172CE">
        <w:rPr>
          <w:rFonts w:ascii="Calibri Light" w:eastAsia="Calibri" w:hAnsi="Calibri Light" w:cs="Calibri Light"/>
          <w:sz w:val="23"/>
          <w:szCs w:val="23"/>
        </w:rPr>
        <w:t>i</w:t>
      </w:r>
      <w:r w:rsidR="007172CE" w:rsidRPr="001F0112">
        <w:rPr>
          <w:rFonts w:ascii="Calibri Light" w:eastAsia="Calibri" w:hAnsi="Calibri Light" w:cs="Calibri Light"/>
          <w:sz w:val="23"/>
          <w:szCs w:val="23"/>
        </w:rPr>
        <w:t>n May 2020</w:t>
      </w:r>
      <w:r w:rsidR="007172CE">
        <w:rPr>
          <w:rFonts w:ascii="Calibri Light" w:eastAsia="Calibri" w:hAnsi="Calibri Light" w:cs="Calibri Light"/>
          <w:sz w:val="23"/>
          <w:szCs w:val="23"/>
        </w:rPr>
        <w:t xml:space="preserve"> </w:t>
      </w:r>
      <w:r w:rsidR="00F00E3D" w:rsidRPr="001F0112">
        <w:rPr>
          <w:rFonts w:ascii="Calibri Light" w:eastAsia="Calibri" w:hAnsi="Calibri Light" w:cs="Calibri Light"/>
          <w:sz w:val="23"/>
          <w:szCs w:val="23"/>
        </w:rPr>
        <w:t xml:space="preserve">as part of its </w:t>
      </w:r>
      <w:r w:rsidR="00940D80" w:rsidRPr="001F0112">
        <w:rPr>
          <w:rFonts w:ascii="Calibri Light" w:eastAsia="Calibri" w:hAnsi="Calibri Light" w:cs="Calibri Light"/>
          <w:sz w:val="23"/>
          <w:szCs w:val="23"/>
        </w:rPr>
        <w:t>COVID</w:t>
      </w:r>
      <w:r w:rsidR="00F00E3D" w:rsidRPr="001F0112">
        <w:rPr>
          <w:rFonts w:ascii="Calibri Light" w:eastAsia="Calibri" w:hAnsi="Calibri Light" w:cs="Calibri Light"/>
          <w:sz w:val="23"/>
          <w:szCs w:val="23"/>
        </w:rPr>
        <w:t>-19 recovery strategy</w:t>
      </w:r>
      <w:r w:rsidR="00E16BD9" w:rsidRPr="001F0112">
        <w:rPr>
          <w:rFonts w:ascii="Calibri Light" w:eastAsia="Calibri" w:hAnsi="Calibri Light" w:cs="Calibri Light"/>
          <w:sz w:val="23"/>
          <w:szCs w:val="23"/>
        </w:rPr>
        <w:t>, with funding</w:t>
      </w:r>
      <w:r w:rsidR="00F00E3D" w:rsidRPr="001F0112">
        <w:rPr>
          <w:rFonts w:ascii="Calibri Light" w:eastAsia="Calibri" w:hAnsi="Calibri Light" w:cs="Calibri Light"/>
          <w:sz w:val="23"/>
          <w:szCs w:val="23"/>
        </w:rPr>
        <w:t xml:space="preserve"> </w:t>
      </w:r>
      <w:r w:rsidR="007172CE">
        <w:rPr>
          <w:rFonts w:ascii="Calibri Light" w:eastAsia="Calibri" w:hAnsi="Calibri Light" w:cs="Calibri Light"/>
          <w:sz w:val="23"/>
          <w:szCs w:val="23"/>
        </w:rPr>
        <w:t>pegged to</w:t>
      </w:r>
      <w:r w:rsidR="00AB37C8" w:rsidRPr="001F0112">
        <w:rPr>
          <w:rFonts w:ascii="Calibri Light" w:eastAsia="Calibri" w:hAnsi="Calibri Light" w:cs="Calibri Light"/>
          <w:sz w:val="23"/>
          <w:szCs w:val="23"/>
        </w:rPr>
        <w:t xml:space="preserve"> upgrade</w:t>
      </w:r>
      <w:r w:rsidR="00F00E3D" w:rsidRPr="001F0112">
        <w:rPr>
          <w:rFonts w:ascii="Calibri Light" w:eastAsia="Calibri" w:hAnsi="Calibri Light" w:cs="Calibri Light"/>
          <w:sz w:val="23"/>
          <w:szCs w:val="23"/>
        </w:rPr>
        <w:t xml:space="preserve"> 23,000 properties and </w:t>
      </w:r>
      <w:r w:rsidR="00E16BD9" w:rsidRPr="001F0112">
        <w:rPr>
          <w:rFonts w:ascii="Calibri Light" w:eastAsia="Calibri" w:hAnsi="Calibri Light" w:cs="Calibri Light"/>
          <w:sz w:val="23"/>
          <w:szCs w:val="23"/>
        </w:rPr>
        <w:t xml:space="preserve">build </w:t>
      </w:r>
      <w:r w:rsidR="00F00E3D" w:rsidRPr="001F0112">
        <w:rPr>
          <w:rFonts w:ascii="Calibri Light" w:eastAsia="Calibri" w:hAnsi="Calibri Light" w:cs="Calibri Light"/>
          <w:sz w:val="23"/>
          <w:szCs w:val="23"/>
        </w:rPr>
        <w:t xml:space="preserve">168 new units </w:t>
      </w:r>
      <w:r w:rsidR="00F00E3D" w:rsidRPr="001F0112">
        <w:rPr>
          <w:rFonts w:ascii="Calibri Light" w:eastAsia="Calibri" w:hAnsi="Calibri Light" w:cs="Calibri Light"/>
          <w:noProof/>
          <w:sz w:val="23"/>
          <w:szCs w:val="23"/>
        </w:rPr>
        <w:t>(Mares, 2018)</w:t>
      </w:r>
      <w:r w:rsidR="00F00E3D" w:rsidRPr="001F0112">
        <w:rPr>
          <w:rFonts w:ascii="Calibri Light" w:eastAsia="Calibri" w:hAnsi="Calibri Light" w:cs="Calibri Light"/>
          <w:sz w:val="23"/>
          <w:szCs w:val="23"/>
        </w:rPr>
        <w:t>.</w:t>
      </w:r>
      <w:r w:rsidR="00B22A9C" w:rsidRPr="001F0112">
        <w:rPr>
          <w:rFonts w:ascii="Calibri Light" w:eastAsia="Calibri" w:hAnsi="Calibri Light" w:cs="Calibri Light"/>
          <w:sz w:val="23"/>
          <w:szCs w:val="23"/>
        </w:rPr>
        <w:t xml:space="preserve"> In November 2020,</w:t>
      </w:r>
      <w:r w:rsidR="002B3F75" w:rsidRPr="001F0112">
        <w:rPr>
          <w:rFonts w:ascii="Calibri Light" w:eastAsia="Calibri" w:hAnsi="Calibri Light" w:cs="Calibri Light"/>
          <w:sz w:val="23"/>
          <w:szCs w:val="23"/>
        </w:rPr>
        <w:t xml:space="preserve"> the </w:t>
      </w:r>
      <w:r w:rsidR="007172CE">
        <w:rPr>
          <w:rFonts w:ascii="Calibri Light" w:eastAsia="Calibri" w:hAnsi="Calibri Light" w:cs="Calibri Light"/>
          <w:sz w:val="23"/>
          <w:szCs w:val="23"/>
        </w:rPr>
        <w:t>Victorian Government</w:t>
      </w:r>
      <w:r w:rsidR="002B3F75">
        <w:rPr>
          <w:rFonts w:ascii="Calibri Light" w:eastAsia="Calibri" w:hAnsi="Calibri Light" w:cs="Calibri Light"/>
          <w:sz w:val="23"/>
          <w:szCs w:val="23"/>
        </w:rPr>
        <w:t xml:space="preserve"> announced</w:t>
      </w:r>
      <w:r w:rsidR="002B3F75" w:rsidRPr="002B3F75">
        <w:t xml:space="preserve"> </w:t>
      </w:r>
      <w:r w:rsidR="0098045B">
        <w:rPr>
          <w:rFonts w:ascii="Calibri Light" w:eastAsia="Calibri" w:hAnsi="Calibri Light" w:cs="Calibri Light"/>
          <w:sz w:val="23"/>
          <w:szCs w:val="23"/>
        </w:rPr>
        <w:t>its</w:t>
      </w:r>
      <w:r w:rsidR="00160714">
        <w:rPr>
          <w:rFonts w:ascii="Calibri Light" w:eastAsia="Calibri" w:hAnsi="Calibri Light" w:cs="Calibri Light"/>
          <w:sz w:val="23"/>
          <w:szCs w:val="23"/>
        </w:rPr>
        <w:t xml:space="preserve"> </w:t>
      </w:r>
      <w:r w:rsidR="002B3F75" w:rsidRPr="002B3F75">
        <w:rPr>
          <w:rFonts w:ascii="Calibri Light" w:eastAsia="Calibri" w:hAnsi="Calibri Light" w:cs="Calibri Light"/>
          <w:sz w:val="23"/>
          <w:szCs w:val="23"/>
        </w:rPr>
        <w:t>$5.4 billion “Big Housing Build”</w:t>
      </w:r>
      <w:r w:rsidR="00F63E25">
        <w:rPr>
          <w:rFonts w:ascii="Calibri Light" w:eastAsia="Calibri" w:hAnsi="Calibri Light" w:cs="Calibri Light"/>
          <w:sz w:val="23"/>
          <w:szCs w:val="23"/>
        </w:rPr>
        <w:t>. The</w:t>
      </w:r>
      <w:r w:rsidR="00D81EFE">
        <w:rPr>
          <w:rFonts w:ascii="Calibri Light" w:eastAsia="Calibri" w:hAnsi="Calibri Light" w:cs="Calibri Light"/>
          <w:sz w:val="23"/>
          <w:szCs w:val="23"/>
        </w:rPr>
        <w:t xml:space="preserve"> largest</w:t>
      </w:r>
      <w:r w:rsidR="00C80B0E">
        <w:rPr>
          <w:rFonts w:ascii="Calibri Light" w:eastAsia="Calibri" w:hAnsi="Calibri Light" w:cs="Calibri Light"/>
          <w:sz w:val="23"/>
          <w:szCs w:val="23"/>
        </w:rPr>
        <w:t xml:space="preserve"> single</w:t>
      </w:r>
      <w:r w:rsidR="00D81EFE">
        <w:rPr>
          <w:rFonts w:ascii="Calibri Light" w:eastAsia="Calibri" w:hAnsi="Calibri Light" w:cs="Calibri Light"/>
          <w:sz w:val="23"/>
          <w:szCs w:val="23"/>
        </w:rPr>
        <w:t xml:space="preserve"> </w:t>
      </w:r>
      <w:r w:rsidR="00CB2B14">
        <w:rPr>
          <w:rFonts w:ascii="Calibri Light" w:eastAsia="Calibri" w:hAnsi="Calibri Light" w:cs="Calibri Light"/>
          <w:sz w:val="23"/>
          <w:szCs w:val="23"/>
        </w:rPr>
        <w:t>investment</w:t>
      </w:r>
      <w:r w:rsidR="00D81EFE">
        <w:rPr>
          <w:rFonts w:ascii="Calibri Light" w:eastAsia="Calibri" w:hAnsi="Calibri Light" w:cs="Calibri Light"/>
          <w:sz w:val="23"/>
          <w:szCs w:val="23"/>
        </w:rPr>
        <w:t xml:space="preserve"> in</w:t>
      </w:r>
      <w:r w:rsidR="00C80B0E">
        <w:rPr>
          <w:rFonts w:ascii="Calibri Light" w:eastAsia="Calibri" w:hAnsi="Calibri Light" w:cs="Calibri Light"/>
          <w:sz w:val="23"/>
          <w:szCs w:val="23"/>
        </w:rPr>
        <w:t xml:space="preserve"> social and affordable housing in</w:t>
      </w:r>
      <w:r w:rsidR="00D81EFE">
        <w:rPr>
          <w:rFonts w:ascii="Calibri Light" w:eastAsia="Calibri" w:hAnsi="Calibri Light" w:cs="Calibri Light"/>
          <w:sz w:val="23"/>
          <w:szCs w:val="23"/>
        </w:rPr>
        <w:t xml:space="preserve"> Australia’s history</w:t>
      </w:r>
      <w:r w:rsidR="00F63E25">
        <w:rPr>
          <w:rFonts w:ascii="Calibri Light" w:eastAsia="Calibri" w:hAnsi="Calibri Light" w:cs="Calibri Light"/>
          <w:sz w:val="23"/>
          <w:szCs w:val="23"/>
        </w:rPr>
        <w:t>, th</w:t>
      </w:r>
      <w:r w:rsidR="00D81EFE">
        <w:rPr>
          <w:rFonts w:ascii="Calibri Light" w:eastAsia="Calibri" w:hAnsi="Calibri Light" w:cs="Calibri Light"/>
          <w:sz w:val="23"/>
          <w:szCs w:val="23"/>
        </w:rPr>
        <w:t xml:space="preserve">e program </w:t>
      </w:r>
      <w:r w:rsidR="00F87A65">
        <w:rPr>
          <w:rFonts w:ascii="Calibri Light" w:eastAsia="Calibri" w:hAnsi="Calibri Light" w:cs="Calibri Light"/>
          <w:sz w:val="23"/>
          <w:szCs w:val="23"/>
        </w:rPr>
        <w:t>will</w:t>
      </w:r>
      <w:r w:rsidR="002B3F75" w:rsidRPr="002B3F75">
        <w:rPr>
          <w:rFonts w:ascii="Calibri Light" w:eastAsia="Calibri" w:hAnsi="Calibri Light" w:cs="Calibri Light"/>
          <w:sz w:val="23"/>
          <w:szCs w:val="23"/>
        </w:rPr>
        <w:t xml:space="preserve"> create 12,000 homes </w:t>
      </w:r>
      <w:r w:rsidR="00160714">
        <w:rPr>
          <w:rFonts w:ascii="Calibri Light" w:eastAsia="Calibri" w:hAnsi="Calibri Light" w:cs="Calibri Light"/>
          <w:sz w:val="23"/>
          <w:szCs w:val="23"/>
        </w:rPr>
        <w:t xml:space="preserve">over </w:t>
      </w:r>
      <w:r w:rsidR="002B3F75" w:rsidRPr="002B3F75">
        <w:rPr>
          <w:rFonts w:ascii="Calibri Light" w:eastAsia="Calibri" w:hAnsi="Calibri Light" w:cs="Calibri Light"/>
          <w:sz w:val="23"/>
          <w:szCs w:val="23"/>
        </w:rPr>
        <w:t>four year</w:t>
      </w:r>
      <w:r w:rsidR="00E800C5">
        <w:rPr>
          <w:rFonts w:ascii="Calibri Light" w:eastAsia="Calibri" w:hAnsi="Calibri Light" w:cs="Calibri Light"/>
          <w:sz w:val="23"/>
          <w:szCs w:val="23"/>
        </w:rPr>
        <w:t>s</w:t>
      </w:r>
      <w:r w:rsidR="00CC5782">
        <w:rPr>
          <w:rFonts w:ascii="Calibri Light" w:eastAsia="Calibri" w:hAnsi="Calibri Light" w:cs="Calibri Light"/>
          <w:sz w:val="23"/>
          <w:szCs w:val="23"/>
        </w:rPr>
        <w:t>,</w:t>
      </w:r>
      <w:r w:rsidR="002B3F75" w:rsidRPr="002B3F75">
        <w:rPr>
          <w:rFonts w:ascii="Calibri Light" w:eastAsia="Calibri" w:hAnsi="Calibri Light" w:cs="Calibri Light"/>
          <w:sz w:val="23"/>
          <w:szCs w:val="23"/>
        </w:rPr>
        <w:t xml:space="preserve"> 9300 </w:t>
      </w:r>
      <w:r w:rsidR="00CC5782">
        <w:rPr>
          <w:rFonts w:ascii="Calibri Light" w:eastAsia="Calibri" w:hAnsi="Calibri Light" w:cs="Calibri Light"/>
          <w:sz w:val="23"/>
          <w:szCs w:val="23"/>
        </w:rPr>
        <w:t xml:space="preserve">of </w:t>
      </w:r>
      <w:r w:rsidR="00E800C5">
        <w:rPr>
          <w:rFonts w:ascii="Calibri Light" w:eastAsia="Calibri" w:hAnsi="Calibri Light" w:cs="Calibri Light"/>
          <w:sz w:val="23"/>
          <w:szCs w:val="23"/>
        </w:rPr>
        <w:t>them</w:t>
      </w:r>
      <w:r w:rsidR="002B3F75" w:rsidRPr="002B3F75">
        <w:rPr>
          <w:rFonts w:ascii="Calibri Light" w:eastAsia="Calibri" w:hAnsi="Calibri Light" w:cs="Calibri Light"/>
          <w:sz w:val="23"/>
          <w:szCs w:val="23"/>
        </w:rPr>
        <w:t xml:space="preserve"> social housing </w:t>
      </w:r>
      <w:r w:rsidR="00CC5782">
        <w:rPr>
          <w:rFonts w:ascii="Calibri Light" w:eastAsia="Calibri" w:hAnsi="Calibri Light" w:cs="Calibri Light"/>
          <w:sz w:val="23"/>
          <w:szCs w:val="23"/>
        </w:rPr>
        <w:t xml:space="preserve">and </w:t>
      </w:r>
      <w:r w:rsidR="00B53B67">
        <w:rPr>
          <w:rFonts w:ascii="Calibri Light" w:eastAsia="Calibri" w:hAnsi="Calibri Light" w:cs="Calibri Light"/>
          <w:sz w:val="23"/>
          <w:szCs w:val="23"/>
        </w:rPr>
        <w:t>the re</w:t>
      </w:r>
      <w:r w:rsidR="00F87A65">
        <w:rPr>
          <w:rFonts w:ascii="Calibri Light" w:eastAsia="Calibri" w:hAnsi="Calibri Light" w:cs="Calibri Light"/>
          <w:sz w:val="23"/>
          <w:szCs w:val="23"/>
        </w:rPr>
        <w:t xml:space="preserve">st </w:t>
      </w:r>
      <w:r w:rsidR="002B3F75" w:rsidRPr="002B3F75">
        <w:rPr>
          <w:rFonts w:ascii="Calibri Light" w:eastAsia="Calibri" w:hAnsi="Calibri Light" w:cs="Calibri Light"/>
          <w:sz w:val="23"/>
          <w:szCs w:val="23"/>
        </w:rPr>
        <w:t>affordable or market-rate housing</w:t>
      </w:r>
      <w:r w:rsidR="00C80B0E">
        <w:rPr>
          <w:rFonts w:ascii="Calibri Light" w:eastAsia="Calibri" w:hAnsi="Calibri Light" w:cs="Calibri Light"/>
          <w:sz w:val="23"/>
          <w:szCs w:val="23"/>
        </w:rPr>
        <w:t xml:space="preserve">. </w:t>
      </w:r>
      <w:r w:rsidR="00326078">
        <w:rPr>
          <w:rFonts w:ascii="Calibri Light" w:eastAsia="Calibri" w:hAnsi="Calibri Light" w:cs="Calibri Light"/>
          <w:sz w:val="23"/>
          <w:szCs w:val="23"/>
        </w:rPr>
        <w:t>It includes</w:t>
      </w:r>
      <w:r w:rsidR="00D01BB3">
        <w:rPr>
          <w:rFonts w:ascii="Calibri Light" w:eastAsia="Calibri" w:hAnsi="Calibri Light" w:cs="Calibri Light"/>
          <w:sz w:val="23"/>
          <w:szCs w:val="23"/>
        </w:rPr>
        <w:t xml:space="preserve"> </w:t>
      </w:r>
      <w:r w:rsidR="00D81EFE" w:rsidRPr="00D81EFE">
        <w:rPr>
          <w:rFonts w:ascii="Calibri Light" w:eastAsia="Calibri" w:hAnsi="Calibri Light" w:cs="Calibri Light"/>
          <w:sz w:val="23"/>
          <w:szCs w:val="23"/>
        </w:rPr>
        <w:t xml:space="preserve">1000 </w:t>
      </w:r>
      <w:r w:rsidR="000E1436">
        <w:rPr>
          <w:rFonts w:ascii="Calibri Light" w:eastAsia="Calibri" w:hAnsi="Calibri Light" w:cs="Calibri Light"/>
          <w:sz w:val="23"/>
          <w:szCs w:val="23"/>
        </w:rPr>
        <w:t xml:space="preserve">new </w:t>
      </w:r>
      <w:r w:rsidR="005A418C">
        <w:rPr>
          <w:rFonts w:ascii="Calibri Light" w:eastAsia="Calibri" w:hAnsi="Calibri Light" w:cs="Calibri Light"/>
          <w:sz w:val="23"/>
          <w:szCs w:val="23"/>
        </w:rPr>
        <w:t>homes allocated for</w:t>
      </w:r>
      <w:r w:rsidR="00D81EFE" w:rsidRPr="00D81EFE">
        <w:rPr>
          <w:rFonts w:ascii="Calibri Light" w:eastAsia="Calibri" w:hAnsi="Calibri Light" w:cs="Calibri Light"/>
          <w:sz w:val="23"/>
          <w:szCs w:val="23"/>
        </w:rPr>
        <w:t xml:space="preserve"> Indigenous Australians, 1000 for victims of domestic violence</w:t>
      </w:r>
      <w:r w:rsidR="005A418C">
        <w:rPr>
          <w:rFonts w:ascii="Calibri Light" w:eastAsia="Calibri" w:hAnsi="Calibri Light" w:cs="Calibri Light"/>
          <w:sz w:val="23"/>
          <w:szCs w:val="23"/>
        </w:rPr>
        <w:t>,</w:t>
      </w:r>
      <w:r w:rsidR="00D81EFE" w:rsidRPr="00D81EFE">
        <w:rPr>
          <w:rFonts w:ascii="Calibri Light" w:eastAsia="Calibri" w:hAnsi="Calibri Light" w:cs="Calibri Light"/>
          <w:sz w:val="23"/>
          <w:szCs w:val="23"/>
        </w:rPr>
        <w:t xml:space="preserve"> and 2000 for people with a mental illness</w:t>
      </w:r>
      <w:r w:rsidR="00326078">
        <w:rPr>
          <w:rFonts w:ascii="Calibri Light" w:eastAsia="Calibri" w:hAnsi="Calibri Light" w:cs="Calibri Light"/>
          <w:sz w:val="23"/>
          <w:szCs w:val="23"/>
        </w:rPr>
        <w:t>, with</w:t>
      </w:r>
      <w:r w:rsidR="003E6206" w:rsidRPr="003E6206">
        <w:rPr>
          <w:rFonts w:ascii="Calibri Light" w:eastAsia="Calibri" w:hAnsi="Calibri Light" w:cs="Calibri Light"/>
          <w:sz w:val="23"/>
          <w:szCs w:val="23"/>
        </w:rPr>
        <w:t xml:space="preserve"> 1000 rundown public housing properties</w:t>
      </w:r>
      <w:r w:rsidR="00326078">
        <w:rPr>
          <w:rFonts w:ascii="Calibri Light" w:eastAsia="Calibri" w:hAnsi="Calibri Light" w:cs="Calibri Light"/>
          <w:sz w:val="23"/>
          <w:szCs w:val="23"/>
        </w:rPr>
        <w:t xml:space="preserve"> also set to be replaced.</w:t>
      </w:r>
      <w:r w:rsidR="00C80B0E" w:rsidRPr="00C80B0E">
        <w:rPr>
          <w:rFonts w:ascii="Calibri Light" w:eastAsia="Calibri" w:hAnsi="Calibri Light" w:cs="Calibri Light"/>
          <w:sz w:val="23"/>
          <w:szCs w:val="23"/>
        </w:rPr>
        <w:t xml:space="preserve"> </w:t>
      </w:r>
      <w:r w:rsidR="00C80B0E">
        <w:rPr>
          <w:rFonts w:ascii="Calibri Light" w:eastAsia="Calibri" w:hAnsi="Calibri Light" w:cs="Calibri Light"/>
          <w:sz w:val="23"/>
          <w:szCs w:val="23"/>
        </w:rPr>
        <w:t>One quarter of the new homes will</w:t>
      </w:r>
      <w:r w:rsidR="000E1436">
        <w:rPr>
          <w:rFonts w:ascii="Calibri Light" w:eastAsia="Calibri" w:hAnsi="Calibri Light" w:cs="Calibri Light"/>
          <w:sz w:val="23"/>
          <w:szCs w:val="23"/>
        </w:rPr>
        <w:t xml:space="preserve"> be </w:t>
      </w:r>
      <w:r w:rsidR="000E1436" w:rsidRPr="000E1436">
        <w:rPr>
          <w:rFonts w:ascii="Calibri Light" w:eastAsia="Calibri" w:hAnsi="Calibri Light" w:cs="Calibri Light"/>
          <w:sz w:val="23"/>
          <w:szCs w:val="23"/>
        </w:rPr>
        <w:t>in regional Victoria</w:t>
      </w:r>
      <w:r w:rsidR="00E800C5">
        <w:rPr>
          <w:rFonts w:ascii="Calibri Light" w:eastAsia="Calibri" w:hAnsi="Calibri Light" w:cs="Calibri Light"/>
          <w:sz w:val="23"/>
          <w:szCs w:val="23"/>
        </w:rPr>
        <w:t>.</w:t>
      </w:r>
    </w:p>
    <w:p w14:paraId="1F0FE5CE" w14:textId="36E967DD" w:rsidR="00F00E3D" w:rsidRPr="00DD331C" w:rsidRDefault="00F00E3D" w:rsidP="004D51EB">
      <w:pPr>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The New South Wales Government committed $36 million to provide permanent homes for rough sleepers under its new Together Home program. Around half of the funds will be used to buy new homes, </w:t>
      </w:r>
      <w:r w:rsidR="008F7828">
        <w:rPr>
          <w:rFonts w:ascii="Calibri Light" w:eastAsia="Calibri" w:hAnsi="Calibri Light" w:cs="Calibri Light"/>
          <w:sz w:val="23"/>
          <w:szCs w:val="23"/>
        </w:rPr>
        <w:t xml:space="preserve">with </w:t>
      </w:r>
      <w:r w:rsidRPr="00DD331C">
        <w:rPr>
          <w:rFonts w:ascii="Calibri Light" w:eastAsia="Calibri" w:hAnsi="Calibri Light" w:cs="Calibri Light"/>
          <w:sz w:val="23"/>
          <w:szCs w:val="23"/>
        </w:rPr>
        <w:t xml:space="preserve">the remainder earmarked for wraparound services including mental health, drug and alcohol treatment, and connecting to the NDIS </w:t>
      </w:r>
      <w:r w:rsidRPr="00DD331C">
        <w:rPr>
          <w:rFonts w:ascii="Calibri Light" w:eastAsia="Calibri" w:hAnsi="Calibri Light" w:cs="Calibri Light"/>
          <w:noProof/>
          <w:sz w:val="23"/>
          <w:szCs w:val="23"/>
        </w:rPr>
        <w:t>(Koziol, 2020)</w:t>
      </w:r>
      <w:r w:rsidRPr="00DD331C">
        <w:rPr>
          <w:rFonts w:ascii="Calibri Light" w:eastAsia="Calibri" w:hAnsi="Calibri Light" w:cs="Calibri Light"/>
          <w:sz w:val="23"/>
          <w:szCs w:val="23"/>
        </w:rPr>
        <w:t>. </w:t>
      </w:r>
      <w:r w:rsidR="0021403B">
        <w:rPr>
          <w:rFonts w:ascii="Calibri Light" w:eastAsia="Calibri" w:hAnsi="Calibri Light" w:cs="Calibri Light"/>
          <w:sz w:val="23"/>
          <w:szCs w:val="23"/>
        </w:rPr>
        <w:t>In May 2020 t</w:t>
      </w:r>
      <w:r w:rsidR="0021403B" w:rsidRPr="00DD331C">
        <w:rPr>
          <w:rFonts w:ascii="Calibri Light" w:eastAsia="Calibri" w:hAnsi="Calibri Light" w:cs="Calibri Light"/>
          <w:sz w:val="23"/>
          <w:szCs w:val="23"/>
        </w:rPr>
        <w:t>he South Australian Government</w:t>
      </w:r>
      <w:r w:rsidR="0021403B">
        <w:rPr>
          <w:rFonts w:ascii="Calibri Light" w:eastAsia="Calibri" w:hAnsi="Calibri Light" w:cs="Calibri Light"/>
          <w:sz w:val="23"/>
          <w:szCs w:val="23"/>
        </w:rPr>
        <w:t xml:space="preserve"> announced a </w:t>
      </w:r>
      <w:r w:rsidR="0021403B" w:rsidRPr="00410906">
        <w:rPr>
          <w:rFonts w:ascii="Calibri Light" w:eastAsia="Calibri" w:hAnsi="Calibri Light" w:cs="Calibri Light"/>
          <w:sz w:val="23"/>
          <w:szCs w:val="23"/>
        </w:rPr>
        <w:t>$20 million Homelessness Prevention Fund</w:t>
      </w:r>
      <w:r w:rsidR="0021403B">
        <w:rPr>
          <w:rFonts w:ascii="Calibri Light" w:eastAsia="Calibri" w:hAnsi="Calibri Light" w:cs="Calibri Light"/>
          <w:sz w:val="23"/>
          <w:szCs w:val="23"/>
        </w:rPr>
        <w:t>,</w:t>
      </w:r>
      <w:r w:rsidR="0021403B" w:rsidRPr="00DD331C">
        <w:rPr>
          <w:rFonts w:ascii="Calibri Light" w:eastAsia="Calibri" w:hAnsi="Calibri Light" w:cs="Calibri Light"/>
          <w:sz w:val="23"/>
          <w:szCs w:val="23"/>
        </w:rPr>
        <w:t xml:space="preserve"> call</w:t>
      </w:r>
      <w:r w:rsidR="0021403B">
        <w:rPr>
          <w:rFonts w:ascii="Calibri Light" w:eastAsia="Calibri" w:hAnsi="Calibri Light" w:cs="Calibri Light"/>
          <w:sz w:val="23"/>
          <w:szCs w:val="23"/>
        </w:rPr>
        <w:t>ing</w:t>
      </w:r>
      <w:r w:rsidR="0021403B" w:rsidRPr="00DD331C">
        <w:rPr>
          <w:rFonts w:ascii="Calibri Light" w:eastAsia="Calibri" w:hAnsi="Calibri Light" w:cs="Calibri Light"/>
          <w:sz w:val="23"/>
          <w:szCs w:val="23"/>
        </w:rPr>
        <w:t xml:space="preserve"> for expressions of interest from organisations who can deliver reductions in homelessness across the state.</w:t>
      </w:r>
    </w:p>
    <w:p w14:paraId="6D219A5A" w14:textId="398653B1" w:rsidR="00F00E3D" w:rsidRDefault="0021403B" w:rsidP="004D51EB">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Also i</w:t>
      </w:r>
      <w:r w:rsidR="008F7828" w:rsidRPr="00DD331C">
        <w:rPr>
          <w:rFonts w:ascii="Calibri Light" w:eastAsia="Calibri" w:hAnsi="Calibri Light" w:cs="Calibri Light"/>
          <w:sz w:val="23"/>
          <w:szCs w:val="23"/>
        </w:rPr>
        <w:t>n May 2020</w:t>
      </w:r>
      <w:r>
        <w:rPr>
          <w:rFonts w:ascii="Calibri Light" w:eastAsia="Calibri" w:hAnsi="Calibri Light" w:cs="Calibri Light"/>
          <w:sz w:val="23"/>
          <w:szCs w:val="23"/>
        </w:rPr>
        <w:t>,</w:t>
      </w:r>
      <w:r w:rsidR="008F7828" w:rsidRPr="00DD331C">
        <w:rPr>
          <w:rFonts w:ascii="Calibri Light" w:eastAsia="Calibri" w:hAnsi="Calibri Light" w:cs="Calibri Light"/>
          <w:sz w:val="23"/>
          <w:szCs w:val="23"/>
        </w:rPr>
        <w:t xml:space="preserve"> </w:t>
      </w:r>
      <w:r w:rsidR="008F7828">
        <w:rPr>
          <w:rFonts w:ascii="Calibri Light" w:eastAsia="Calibri" w:hAnsi="Calibri Light" w:cs="Calibri Light"/>
          <w:sz w:val="23"/>
          <w:szCs w:val="23"/>
        </w:rPr>
        <w:t>t</w:t>
      </w:r>
      <w:r w:rsidR="00F00E3D" w:rsidRPr="00DD331C">
        <w:rPr>
          <w:rFonts w:ascii="Calibri Light" w:eastAsia="Calibri" w:hAnsi="Calibri Light" w:cs="Calibri Light"/>
          <w:sz w:val="23"/>
          <w:szCs w:val="23"/>
        </w:rPr>
        <w:t xml:space="preserve">he Western Australian Government announced a $444 million Social Housing Economic Recovery Package (SHERP). The funding will result in 250 new dwellings, refurbishment of 1500 existing public housing units and supported accommodation (refuges, residential group homes for </w:t>
      </w:r>
      <w:r w:rsidR="00F00E3D" w:rsidRPr="00DD331C">
        <w:rPr>
          <w:rFonts w:ascii="Calibri Light" w:eastAsia="Calibri" w:hAnsi="Calibri Light" w:cs="Calibri Light"/>
          <w:sz w:val="23"/>
          <w:szCs w:val="23"/>
        </w:rPr>
        <w:lastRenderedPageBreak/>
        <w:t>children in care, and supported disability accommodation),</w:t>
      </w:r>
      <w:r w:rsidR="00736CA6">
        <w:rPr>
          <w:rFonts w:ascii="Calibri Light" w:eastAsia="Calibri" w:hAnsi="Calibri Light" w:cs="Calibri Light"/>
          <w:sz w:val="23"/>
          <w:szCs w:val="23"/>
        </w:rPr>
        <w:t xml:space="preserve"> and</w:t>
      </w:r>
      <w:r w:rsidR="00F00E3D" w:rsidRPr="00DD331C">
        <w:rPr>
          <w:rFonts w:ascii="Calibri Light" w:eastAsia="Calibri" w:hAnsi="Calibri Light" w:cs="Calibri Light"/>
          <w:sz w:val="23"/>
          <w:szCs w:val="23"/>
        </w:rPr>
        <w:t xml:space="preserve"> maintenance for 3800 regional social housing properties, including housing for remote Aboriginal communities and regional government workers. Refurbishments will aim to improve liveability, sustainability and appropriateness for residents’ needs, and new builds will be constructed to Liveable Housing Australia’s silver standard or higher to support people with disability </w:t>
      </w:r>
      <w:r w:rsidR="00F00E3D" w:rsidRPr="00DD331C">
        <w:rPr>
          <w:rFonts w:ascii="Calibri Light" w:eastAsia="Calibri" w:hAnsi="Calibri Light" w:cs="Calibri Light"/>
          <w:noProof/>
          <w:sz w:val="23"/>
          <w:szCs w:val="23"/>
        </w:rPr>
        <w:t>(Government of Western Australia, 2020)</w:t>
      </w:r>
      <w:r w:rsidR="00F00E3D" w:rsidRPr="00DD331C">
        <w:rPr>
          <w:rFonts w:ascii="Calibri Light" w:eastAsia="Calibri" w:hAnsi="Calibri Light" w:cs="Calibri Light"/>
          <w:sz w:val="23"/>
          <w:szCs w:val="23"/>
        </w:rPr>
        <w:t xml:space="preserve">. </w:t>
      </w:r>
    </w:p>
    <w:p w14:paraId="3D2B5D11" w14:textId="2D36A358" w:rsidR="00F00E3D" w:rsidRPr="003710F5" w:rsidRDefault="00351098" w:rsidP="004D51EB">
      <w:pPr>
        <w:spacing w:line="276" w:lineRule="auto"/>
        <w:rPr>
          <w:rFonts w:eastAsia="Calibri" w:cstheme="minorHAnsi"/>
          <w:b/>
          <w:color w:val="2F5496" w:themeColor="accent1" w:themeShade="BF"/>
          <w:sz w:val="25"/>
          <w:szCs w:val="25"/>
        </w:rPr>
      </w:pPr>
      <w:r w:rsidRPr="003710F5">
        <w:rPr>
          <w:rFonts w:eastAsia="Calibri" w:cstheme="minorHAnsi"/>
          <w:b/>
          <w:color w:val="2F5496" w:themeColor="accent1" w:themeShade="BF"/>
          <w:sz w:val="25"/>
          <w:szCs w:val="25"/>
        </w:rPr>
        <w:t xml:space="preserve">6.1.6 </w:t>
      </w:r>
      <w:r w:rsidR="00F00E3D" w:rsidRPr="003710F5">
        <w:rPr>
          <w:rFonts w:eastAsia="Calibri" w:cstheme="minorHAnsi"/>
          <w:b/>
          <w:color w:val="2F5496" w:themeColor="accent1" w:themeShade="BF"/>
          <w:sz w:val="25"/>
          <w:szCs w:val="25"/>
        </w:rPr>
        <w:t>Liveability</w:t>
      </w:r>
    </w:p>
    <w:p w14:paraId="268A7F45" w14:textId="32E6EB00" w:rsidR="004D51EB" w:rsidRDefault="004D51EB" w:rsidP="004D51EB">
      <w:pPr>
        <w:spacing w:line="276" w:lineRule="auto"/>
        <w:rPr>
          <w:rFonts w:asciiTheme="majorHAnsi" w:eastAsia="Calibri" w:hAnsiTheme="majorHAnsi" w:cstheme="majorHAnsi"/>
          <w:sz w:val="23"/>
          <w:szCs w:val="23"/>
        </w:rPr>
      </w:pPr>
      <w:r w:rsidRPr="004D51EB">
        <w:rPr>
          <w:rFonts w:asciiTheme="majorHAnsi" w:eastAsia="Calibri" w:hAnsiTheme="majorHAnsi" w:cstheme="majorHAnsi"/>
          <w:sz w:val="23"/>
          <w:szCs w:val="23"/>
        </w:rPr>
        <w:t xml:space="preserve">Our research findings in Part A of this study indicated that the Liveability </w:t>
      </w:r>
      <w:r w:rsidR="00D95573">
        <w:rPr>
          <w:rFonts w:asciiTheme="majorHAnsi" w:eastAsia="Calibri" w:hAnsiTheme="majorHAnsi" w:cstheme="majorHAnsi"/>
          <w:sz w:val="23"/>
          <w:szCs w:val="23"/>
        </w:rPr>
        <w:t>Practice Domain</w:t>
      </w:r>
      <w:r w:rsidRPr="004D51EB">
        <w:rPr>
          <w:rFonts w:asciiTheme="majorHAnsi" w:eastAsia="Calibri" w:hAnsiTheme="majorHAnsi" w:cstheme="majorHAnsi"/>
          <w:sz w:val="23"/>
          <w:szCs w:val="23"/>
        </w:rPr>
        <w:t xml:space="preserve"> is impacted by multiple factors linked to locational disadvantage. Of these factors, those most likely to be influenced by the pandemic </w:t>
      </w:r>
      <w:proofErr w:type="gramStart"/>
      <w:r w:rsidRPr="004D51EB">
        <w:rPr>
          <w:rFonts w:asciiTheme="majorHAnsi" w:eastAsia="Calibri" w:hAnsiTheme="majorHAnsi" w:cstheme="majorHAnsi"/>
          <w:sz w:val="23"/>
          <w:szCs w:val="23"/>
        </w:rPr>
        <w:t>are:</w:t>
      </w:r>
      <w:proofErr w:type="gramEnd"/>
      <w:r w:rsidRPr="004D51EB">
        <w:rPr>
          <w:rFonts w:asciiTheme="majorHAnsi" w:eastAsia="Calibri" w:hAnsiTheme="majorHAnsi" w:cstheme="majorHAnsi"/>
          <w:sz w:val="23"/>
          <w:szCs w:val="23"/>
        </w:rPr>
        <w:t xml:space="preserve"> access to the natural environment and public open space; crime and safety; education; employment and income; housing; access to leisure and culture; transport, walkability and social cohesion and local democracy.</w:t>
      </w:r>
    </w:p>
    <w:p w14:paraId="6353BBB5" w14:textId="37ABF76A" w:rsidR="00ED22F8" w:rsidRPr="00DD331C" w:rsidRDefault="00F00E3D" w:rsidP="004D51EB">
      <w:pPr>
        <w:spacing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Internationally the </w:t>
      </w:r>
      <w:r w:rsidR="00CC658F">
        <w:rPr>
          <w:rFonts w:asciiTheme="majorHAnsi" w:eastAsia="Calibri" w:hAnsiTheme="majorHAnsi" w:cstheme="majorHAnsi"/>
          <w:sz w:val="23"/>
          <w:szCs w:val="23"/>
        </w:rPr>
        <w:t xml:space="preserve">pandemic </w:t>
      </w:r>
      <w:r w:rsidRPr="00DD331C">
        <w:rPr>
          <w:rFonts w:asciiTheme="majorHAnsi" w:eastAsia="Calibri" w:hAnsiTheme="majorHAnsi" w:cstheme="majorHAnsi"/>
          <w:sz w:val="23"/>
          <w:szCs w:val="23"/>
        </w:rPr>
        <w:t xml:space="preserve">is highlighting </w:t>
      </w:r>
      <w:r w:rsidR="00CC658F">
        <w:rPr>
          <w:rFonts w:asciiTheme="majorHAnsi" w:eastAsia="Calibri" w:hAnsiTheme="majorHAnsi" w:cstheme="majorHAnsi"/>
          <w:sz w:val="23"/>
          <w:szCs w:val="23"/>
        </w:rPr>
        <w:t>how central these</w:t>
      </w:r>
      <w:r w:rsidRPr="00DD331C">
        <w:rPr>
          <w:rFonts w:asciiTheme="majorHAnsi" w:eastAsia="Calibri" w:hAnsiTheme="majorHAnsi" w:cstheme="majorHAnsi"/>
          <w:sz w:val="23"/>
          <w:szCs w:val="23"/>
        </w:rPr>
        <w:t xml:space="preserve"> socio-physical and socio-cultural factors </w:t>
      </w:r>
      <w:r w:rsidR="00CC658F">
        <w:rPr>
          <w:rFonts w:asciiTheme="majorHAnsi" w:eastAsia="Calibri" w:hAnsiTheme="majorHAnsi" w:cstheme="majorHAnsi"/>
          <w:sz w:val="23"/>
          <w:szCs w:val="23"/>
        </w:rPr>
        <w:t>are to</w:t>
      </w:r>
      <w:r w:rsidRPr="00DD331C">
        <w:rPr>
          <w:rFonts w:asciiTheme="majorHAnsi" w:eastAsia="Calibri" w:hAnsiTheme="majorHAnsi" w:cstheme="majorHAnsi"/>
          <w:sz w:val="23"/>
          <w:szCs w:val="23"/>
        </w:rPr>
        <w:t xml:space="preserve"> liveability </w:t>
      </w:r>
      <w:r w:rsidRPr="00DD331C">
        <w:rPr>
          <w:rFonts w:asciiTheme="majorHAnsi" w:eastAsia="Calibri" w:hAnsiTheme="majorHAnsi" w:cstheme="majorHAnsi"/>
          <w:noProof/>
          <w:sz w:val="23"/>
          <w:szCs w:val="23"/>
        </w:rPr>
        <w:t>(Paul &amp; Sen, 2020)</w:t>
      </w:r>
      <w:r w:rsidRPr="00DD331C">
        <w:rPr>
          <w:rFonts w:asciiTheme="majorHAnsi" w:eastAsia="Calibri" w:hAnsiTheme="majorHAnsi" w:cstheme="majorHAnsi"/>
          <w:sz w:val="23"/>
          <w:szCs w:val="23"/>
        </w:rPr>
        <w:t xml:space="preserve">. </w:t>
      </w:r>
      <w:r w:rsidR="00CC658F">
        <w:rPr>
          <w:rFonts w:asciiTheme="majorHAnsi" w:eastAsia="Calibri" w:hAnsiTheme="majorHAnsi" w:cstheme="majorHAnsi"/>
          <w:sz w:val="23"/>
          <w:szCs w:val="23"/>
        </w:rPr>
        <w:t xml:space="preserve">Lockdowns, movement restrictions, and the shift toward remote working mean our cities </w:t>
      </w:r>
      <w:r w:rsidR="00E372D1">
        <w:rPr>
          <w:rFonts w:asciiTheme="majorHAnsi" w:eastAsia="Calibri" w:hAnsiTheme="majorHAnsi" w:cstheme="majorHAnsi"/>
          <w:sz w:val="23"/>
          <w:szCs w:val="23"/>
        </w:rPr>
        <w:t>have seen</w:t>
      </w:r>
      <w:r w:rsidRPr="00DD331C">
        <w:rPr>
          <w:rFonts w:asciiTheme="majorHAnsi" w:eastAsia="Calibri" w:hAnsiTheme="majorHAnsi" w:cstheme="majorHAnsi"/>
          <w:sz w:val="23"/>
          <w:szCs w:val="23"/>
        </w:rPr>
        <w:t xml:space="preserve"> less traffic</w:t>
      </w:r>
      <w:r w:rsidR="00CC658F">
        <w:rPr>
          <w:rFonts w:asciiTheme="majorHAnsi" w:eastAsia="Calibri" w:hAnsiTheme="majorHAnsi" w:cstheme="majorHAnsi"/>
          <w:sz w:val="23"/>
          <w:szCs w:val="23"/>
        </w:rPr>
        <w:t xml:space="preserve"> and congestion</w:t>
      </w:r>
      <w:r w:rsidRPr="00DD331C">
        <w:rPr>
          <w:rFonts w:asciiTheme="majorHAnsi" w:eastAsia="Calibri" w:hAnsiTheme="majorHAnsi" w:cstheme="majorHAnsi"/>
          <w:sz w:val="23"/>
          <w:szCs w:val="23"/>
        </w:rPr>
        <w:t xml:space="preserve">, improved air quality, </w:t>
      </w:r>
      <w:r w:rsidR="00CC658F">
        <w:rPr>
          <w:rFonts w:asciiTheme="majorHAnsi" w:eastAsia="Calibri" w:hAnsiTheme="majorHAnsi" w:cstheme="majorHAnsi"/>
          <w:sz w:val="23"/>
          <w:szCs w:val="23"/>
        </w:rPr>
        <w:t xml:space="preserve">and </w:t>
      </w:r>
      <w:r w:rsidRPr="00DD331C">
        <w:rPr>
          <w:rFonts w:asciiTheme="majorHAnsi" w:eastAsia="Calibri" w:hAnsiTheme="majorHAnsi" w:cstheme="majorHAnsi"/>
          <w:sz w:val="23"/>
          <w:szCs w:val="23"/>
        </w:rPr>
        <w:t>more cycling and walking</w:t>
      </w:r>
      <w:r w:rsidR="00CC658F">
        <w:rPr>
          <w:rFonts w:asciiTheme="majorHAnsi" w:eastAsia="Calibri" w:hAnsiTheme="majorHAnsi" w:cstheme="majorHAnsi"/>
          <w:sz w:val="23"/>
          <w:szCs w:val="23"/>
        </w:rPr>
        <w:t xml:space="preserve"> opportunities. Some</w:t>
      </w:r>
      <w:r w:rsidRPr="00DD331C">
        <w:rPr>
          <w:rFonts w:asciiTheme="majorHAnsi" w:eastAsia="Calibri" w:hAnsiTheme="majorHAnsi" w:cstheme="majorHAnsi"/>
          <w:sz w:val="23"/>
          <w:szCs w:val="23"/>
        </w:rPr>
        <w:t xml:space="preserve"> urban planning </w:t>
      </w:r>
      <w:r w:rsidR="00CC658F">
        <w:rPr>
          <w:rFonts w:asciiTheme="majorHAnsi" w:eastAsia="Calibri" w:hAnsiTheme="majorHAnsi" w:cstheme="majorHAnsi"/>
          <w:sz w:val="23"/>
          <w:szCs w:val="23"/>
        </w:rPr>
        <w:t>policies</w:t>
      </w:r>
      <w:r w:rsidRPr="00DD331C">
        <w:rPr>
          <w:rFonts w:asciiTheme="majorHAnsi" w:eastAsia="Calibri" w:hAnsiTheme="majorHAnsi" w:cstheme="majorHAnsi"/>
          <w:sz w:val="23"/>
          <w:szCs w:val="23"/>
        </w:rPr>
        <w:t xml:space="preserve"> are moving towards making these short-term improvements more permanent. </w:t>
      </w:r>
      <w:r w:rsidR="00CC658F">
        <w:rPr>
          <w:rFonts w:asciiTheme="majorHAnsi" w:eastAsia="Calibri" w:hAnsiTheme="majorHAnsi" w:cstheme="majorHAnsi"/>
          <w:sz w:val="23"/>
          <w:szCs w:val="23"/>
        </w:rPr>
        <w:t>As the authors of one 2020 study noted</w:t>
      </w:r>
      <w:r w:rsidRPr="00DD331C">
        <w:rPr>
          <w:rFonts w:asciiTheme="majorHAnsi" w:eastAsia="Calibri" w:hAnsiTheme="majorHAnsi" w:cstheme="majorHAnsi"/>
          <w:sz w:val="23"/>
          <w:szCs w:val="23"/>
        </w:rPr>
        <w:t xml:space="preserve">, “the accessibility to safe urban public spaces has been widely identified as an essential service function for urban populations in times of the pandemic” </w:t>
      </w:r>
      <w:r w:rsidRPr="00DD331C">
        <w:rPr>
          <w:rFonts w:asciiTheme="majorHAnsi" w:eastAsia="Calibri" w:hAnsiTheme="majorHAnsi" w:cstheme="majorHAnsi"/>
          <w:noProof/>
          <w:sz w:val="23"/>
          <w:szCs w:val="23"/>
        </w:rPr>
        <w:t>(Lorenz &amp; Grigsby, 2020, p. 11)</w:t>
      </w:r>
      <w:r w:rsidRPr="00DD331C">
        <w:rPr>
          <w:rFonts w:asciiTheme="majorHAnsi" w:eastAsia="Calibri" w:hAnsiTheme="majorHAnsi" w:cstheme="majorHAnsi"/>
          <w:sz w:val="23"/>
          <w:szCs w:val="23"/>
        </w:rPr>
        <w:t>.</w:t>
      </w:r>
    </w:p>
    <w:p w14:paraId="038FEFBB" w14:textId="30D0FA83" w:rsidR="00F00E3D" w:rsidRPr="00DD331C" w:rsidRDefault="00F00E3D" w:rsidP="00817BDF">
      <w:pPr>
        <w:widowControl w:val="0"/>
        <w:spacing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With </w:t>
      </w:r>
      <w:r w:rsidR="00CC658F">
        <w:rPr>
          <w:rFonts w:asciiTheme="majorHAnsi" w:eastAsia="Calibri" w:hAnsiTheme="majorHAnsi" w:cstheme="majorHAnsi"/>
          <w:sz w:val="23"/>
          <w:szCs w:val="23"/>
        </w:rPr>
        <w:t>scant opportunit</w:t>
      </w:r>
      <w:r w:rsidR="00507454">
        <w:rPr>
          <w:rFonts w:asciiTheme="majorHAnsi" w:eastAsia="Calibri" w:hAnsiTheme="majorHAnsi" w:cstheme="majorHAnsi"/>
          <w:sz w:val="23"/>
          <w:szCs w:val="23"/>
        </w:rPr>
        <w:t>y</w:t>
      </w:r>
      <w:r w:rsidR="00CC658F">
        <w:rPr>
          <w:rFonts w:asciiTheme="majorHAnsi" w:eastAsia="Calibri" w:hAnsiTheme="majorHAnsi" w:cstheme="majorHAnsi"/>
          <w:sz w:val="23"/>
          <w:szCs w:val="23"/>
        </w:rPr>
        <w:t xml:space="preserve"> </w:t>
      </w:r>
      <w:r w:rsidR="00507454">
        <w:rPr>
          <w:rFonts w:asciiTheme="majorHAnsi" w:eastAsia="Calibri" w:hAnsiTheme="majorHAnsi" w:cstheme="majorHAnsi"/>
          <w:sz w:val="23"/>
          <w:szCs w:val="23"/>
        </w:rPr>
        <w:t>for</w:t>
      </w:r>
      <w:r w:rsidRPr="00DD331C">
        <w:rPr>
          <w:rFonts w:asciiTheme="majorHAnsi" w:eastAsia="Calibri" w:hAnsiTheme="majorHAnsi" w:cstheme="majorHAnsi"/>
          <w:sz w:val="23"/>
          <w:szCs w:val="23"/>
        </w:rPr>
        <w:t xml:space="preserve"> empirical research since the pandemic hit, few Australian studies have</w:t>
      </w:r>
      <w:r w:rsidR="00CC658F">
        <w:rPr>
          <w:rFonts w:asciiTheme="majorHAnsi" w:eastAsia="Calibri" w:hAnsiTheme="majorHAnsi" w:cstheme="majorHAnsi"/>
          <w:sz w:val="23"/>
          <w:szCs w:val="23"/>
        </w:rPr>
        <w:t xml:space="preserve"> yet</w:t>
      </w:r>
      <w:r w:rsidRPr="00DD331C">
        <w:rPr>
          <w:rFonts w:asciiTheme="majorHAnsi" w:eastAsia="Calibri" w:hAnsiTheme="majorHAnsi" w:cstheme="majorHAnsi"/>
          <w:sz w:val="23"/>
          <w:szCs w:val="23"/>
        </w:rPr>
        <w:t xml:space="preserve"> considered </w:t>
      </w:r>
      <w:r w:rsidR="00E372D1">
        <w:rPr>
          <w:rFonts w:asciiTheme="majorHAnsi" w:eastAsia="Calibri" w:hAnsiTheme="majorHAnsi" w:cstheme="majorHAnsi"/>
          <w:sz w:val="23"/>
          <w:szCs w:val="23"/>
        </w:rPr>
        <w:t>COVID-19’s</w:t>
      </w:r>
      <w:r w:rsidR="00CC658F">
        <w:rPr>
          <w:rFonts w:asciiTheme="majorHAnsi" w:eastAsia="Calibri" w:hAnsiTheme="majorHAnsi" w:cstheme="majorHAnsi"/>
          <w:sz w:val="23"/>
          <w:szCs w:val="23"/>
        </w:rPr>
        <w:t xml:space="preserve"> impacts on</w:t>
      </w:r>
      <w:r w:rsidRPr="00DD331C">
        <w:rPr>
          <w:rFonts w:asciiTheme="majorHAnsi" w:eastAsia="Calibri" w:hAnsiTheme="majorHAnsi" w:cstheme="majorHAnsi"/>
          <w:sz w:val="23"/>
          <w:szCs w:val="23"/>
        </w:rPr>
        <w:t xml:space="preserve"> liveability. Gunn suggests that in “the midst of </w:t>
      </w:r>
      <w:r w:rsidR="00E372D1">
        <w:rPr>
          <w:rFonts w:asciiTheme="majorHAnsi" w:eastAsia="Calibri" w:hAnsiTheme="majorHAnsi" w:cstheme="majorHAnsi"/>
          <w:sz w:val="23"/>
          <w:szCs w:val="23"/>
        </w:rPr>
        <w:t>[</w:t>
      </w:r>
      <w:r w:rsidRPr="00DD331C">
        <w:rPr>
          <w:rFonts w:asciiTheme="majorHAnsi" w:eastAsia="Calibri" w:hAnsiTheme="majorHAnsi" w:cstheme="majorHAnsi"/>
          <w:sz w:val="23"/>
          <w:szCs w:val="23"/>
        </w:rPr>
        <w:t>the pandemic</w:t>
      </w:r>
      <w:r w:rsidR="00E372D1">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the liveability of cities has become more important than ever” </w:t>
      </w:r>
      <w:r w:rsidRPr="00DD331C">
        <w:rPr>
          <w:rFonts w:asciiTheme="majorHAnsi" w:eastAsia="Calibri" w:hAnsiTheme="majorHAnsi" w:cstheme="majorHAnsi"/>
          <w:noProof/>
          <w:sz w:val="23"/>
          <w:szCs w:val="23"/>
        </w:rPr>
        <w:t>(</w:t>
      </w:r>
      <w:r w:rsidR="00FD3138">
        <w:rPr>
          <w:rFonts w:asciiTheme="majorHAnsi" w:eastAsia="Calibri" w:hAnsiTheme="majorHAnsi" w:cstheme="majorHAnsi"/>
          <w:noProof/>
          <w:sz w:val="23"/>
          <w:szCs w:val="23"/>
        </w:rPr>
        <w:t xml:space="preserve">Gunn, </w:t>
      </w:r>
      <w:r w:rsidRPr="00DD331C">
        <w:rPr>
          <w:rFonts w:asciiTheme="majorHAnsi" w:eastAsia="Calibri" w:hAnsiTheme="majorHAnsi" w:cstheme="majorHAnsi"/>
          <w:noProof/>
          <w:sz w:val="23"/>
          <w:szCs w:val="23"/>
        </w:rPr>
        <w:t>2020, p. 1405)</w:t>
      </w:r>
      <w:r w:rsidRPr="00DD331C">
        <w:rPr>
          <w:rFonts w:asciiTheme="majorHAnsi" w:eastAsia="Calibri" w:hAnsiTheme="majorHAnsi" w:cstheme="majorHAnsi"/>
          <w:sz w:val="23"/>
          <w:szCs w:val="23"/>
        </w:rPr>
        <w:t xml:space="preserve">. </w:t>
      </w:r>
      <w:r w:rsidR="00CC658F">
        <w:rPr>
          <w:rFonts w:asciiTheme="majorHAnsi" w:eastAsia="Calibri" w:hAnsiTheme="majorHAnsi" w:cstheme="majorHAnsi"/>
          <w:sz w:val="23"/>
          <w:szCs w:val="23"/>
        </w:rPr>
        <w:t>The author notes that lockdowns gave extra credence to the</w:t>
      </w:r>
      <w:r w:rsidRPr="00DD331C">
        <w:rPr>
          <w:rFonts w:asciiTheme="majorHAnsi" w:eastAsia="Calibri" w:hAnsiTheme="majorHAnsi" w:cstheme="majorHAnsi"/>
          <w:sz w:val="23"/>
          <w:szCs w:val="23"/>
        </w:rPr>
        <w:t xml:space="preserve"> Victorian </w:t>
      </w:r>
      <w:r w:rsidR="00CC658F">
        <w:rPr>
          <w:rFonts w:asciiTheme="majorHAnsi" w:eastAsia="Calibri" w:hAnsiTheme="majorHAnsi" w:cstheme="majorHAnsi"/>
          <w:sz w:val="23"/>
          <w:szCs w:val="23"/>
        </w:rPr>
        <w:t>G</w:t>
      </w:r>
      <w:r w:rsidRPr="00DD331C">
        <w:rPr>
          <w:rFonts w:asciiTheme="majorHAnsi" w:eastAsia="Calibri" w:hAnsiTheme="majorHAnsi" w:cstheme="majorHAnsi"/>
          <w:sz w:val="23"/>
          <w:szCs w:val="23"/>
        </w:rPr>
        <w:t xml:space="preserve">overnment’s </w:t>
      </w:r>
      <w:r w:rsidR="00CC658F">
        <w:rPr>
          <w:rFonts w:asciiTheme="majorHAnsi" w:eastAsia="Calibri" w:hAnsiTheme="majorHAnsi" w:cstheme="majorHAnsi"/>
          <w:sz w:val="23"/>
          <w:szCs w:val="23"/>
        </w:rPr>
        <w:t>“</w:t>
      </w:r>
      <w:r w:rsidRPr="00DD331C">
        <w:rPr>
          <w:rFonts w:asciiTheme="majorHAnsi" w:eastAsia="Calibri" w:hAnsiTheme="majorHAnsi" w:cstheme="majorHAnsi"/>
          <w:sz w:val="23"/>
          <w:szCs w:val="23"/>
        </w:rPr>
        <w:t>20-</w:t>
      </w:r>
      <w:r w:rsidR="00CC658F">
        <w:rPr>
          <w:rFonts w:asciiTheme="majorHAnsi" w:eastAsia="Calibri" w:hAnsiTheme="majorHAnsi" w:cstheme="majorHAnsi"/>
          <w:sz w:val="23"/>
          <w:szCs w:val="23"/>
        </w:rPr>
        <w:t>M</w:t>
      </w:r>
      <w:r w:rsidRPr="00DD331C">
        <w:rPr>
          <w:rFonts w:asciiTheme="majorHAnsi" w:eastAsia="Calibri" w:hAnsiTheme="majorHAnsi" w:cstheme="majorHAnsi"/>
          <w:sz w:val="23"/>
          <w:szCs w:val="23"/>
        </w:rPr>
        <w:t xml:space="preserve">inute </w:t>
      </w:r>
      <w:r w:rsidR="00CC658F">
        <w:rPr>
          <w:rFonts w:asciiTheme="majorHAnsi" w:eastAsia="Calibri" w:hAnsiTheme="majorHAnsi" w:cstheme="majorHAnsi"/>
          <w:sz w:val="23"/>
          <w:szCs w:val="23"/>
        </w:rPr>
        <w:t>N</w:t>
      </w:r>
      <w:r w:rsidRPr="00DD331C">
        <w:rPr>
          <w:rFonts w:asciiTheme="majorHAnsi" w:eastAsia="Calibri" w:hAnsiTheme="majorHAnsi" w:cstheme="majorHAnsi"/>
          <w:sz w:val="23"/>
          <w:szCs w:val="23"/>
        </w:rPr>
        <w:t>eighbourhood</w:t>
      </w:r>
      <w:r w:rsidR="00CC658F">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initiative, which seeks to bring people within 800 metres of social infrastructure, </w:t>
      </w:r>
      <w:r w:rsidR="00FD3138">
        <w:rPr>
          <w:rFonts w:asciiTheme="majorHAnsi" w:eastAsia="Calibri" w:hAnsiTheme="majorHAnsi" w:cstheme="majorHAnsi"/>
          <w:sz w:val="23"/>
          <w:szCs w:val="23"/>
        </w:rPr>
        <w:t>in part by</w:t>
      </w:r>
      <w:r w:rsidRPr="00DD331C">
        <w:rPr>
          <w:rFonts w:asciiTheme="majorHAnsi" w:eastAsia="Calibri" w:hAnsiTheme="majorHAnsi" w:cstheme="majorHAnsi"/>
          <w:sz w:val="23"/>
          <w:szCs w:val="23"/>
        </w:rPr>
        <w:t xml:space="preserve"> enabling “the use of healthy, active and sustainable forms of transport such as walking, cycling</w:t>
      </w:r>
      <w:r w:rsidR="005151A8">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and public transport” </w:t>
      </w:r>
      <w:r w:rsidRPr="00DD331C">
        <w:rPr>
          <w:rFonts w:asciiTheme="majorHAnsi" w:eastAsia="Calibri" w:hAnsiTheme="majorHAnsi" w:cstheme="majorHAnsi"/>
          <w:noProof/>
          <w:sz w:val="23"/>
          <w:szCs w:val="23"/>
        </w:rPr>
        <w:t>(</w:t>
      </w:r>
      <w:r w:rsidR="00FD3138">
        <w:rPr>
          <w:rFonts w:asciiTheme="majorHAnsi" w:eastAsia="Calibri" w:hAnsiTheme="majorHAnsi" w:cstheme="majorHAnsi"/>
          <w:noProof/>
          <w:sz w:val="23"/>
          <w:szCs w:val="23"/>
        </w:rPr>
        <w:t xml:space="preserve">Gunn, </w:t>
      </w:r>
      <w:r w:rsidRPr="00DD331C">
        <w:rPr>
          <w:rFonts w:asciiTheme="majorHAnsi" w:eastAsia="Calibri" w:hAnsiTheme="majorHAnsi" w:cstheme="majorHAnsi"/>
          <w:noProof/>
          <w:sz w:val="23"/>
          <w:szCs w:val="23"/>
        </w:rPr>
        <w:t>2020, p. 1405)</w:t>
      </w:r>
      <w:r w:rsidRPr="00DD331C">
        <w:rPr>
          <w:rFonts w:asciiTheme="majorHAnsi" w:eastAsia="Calibri" w:hAnsiTheme="majorHAnsi" w:cstheme="majorHAnsi"/>
          <w:sz w:val="23"/>
          <w:szCs w:val="23"/>
        </w:rPr>
        <w:t>. Th</w:t>
      </w:r>
      <w:r w:rsidR="00FD3138">
        <w:rPr>
          <w:rFonts w:asciiTheme="majorHAnsi" w:eastAsia="Calibri" w:hAnsiTheme="majorHAnsi" w:cstheme="majorHAnsi"/>
          <w:sz w:val="23"/>
          <w:szCs w:val="23"/>
        </w:rPr>
        <w:t>is</w:t>
      </w:r>
      <w:r w:rsidRPr="00DD331C">
        <w:rPr>
          <w:rFonts w:asciiTheme="majorHAnsi" w:eastAsia="Calibri" w:hAnsiTheme="majorHAnsi" w:cstheme="majorHAnsi"/>
          <w:sz w:val="23"/>
          <w:szCs w:val="23"/>
        </w:rPr>
        <w:t xml:space="preserve"> argument </w:t>
      </w:r>
      <w:r w:rsidR="00E372D1">
        <w:rPr>
          <w:rFonts w:asciiTheme="majorHAnsi" w:eastAsia="Calibri" w:hAnsiTheme="majorHAnsi" w:cstheme="majorHAnsi"/>
          <w:sz w:val="23"/>
          <w:szCs w:val="23"/>
        </w:rPr>
        <w:t xml:space="preserve">surely </w:t>
      </w:r>
      <w:r w:rsidR="00817BDF">
        <w:rPr>
          <w:rFonts w:asciiTheme="majorHAnsi" w:eastAsia="Calibri" w:hAnsiTheme="majorHAnsi" w:cstheme="majorHAnsi"/>
          <w:sz w:val="23"/>
          <w:szCs w:val="23"/>
        </w:rPr>
        <w:t>resonates for</w:t>
      </w:r>
      <w:r w:rsidR="00FD3138">
        <w:rPr>
          <w:rFonts w:asciiTheme="majorHAnsi" w:eastAsia="Calibri" w:hAnsiTheme="majorHAnsi" w:cstheme="majorHAnsi"/>
          <w:sz w:val="23"/>
          <w:szCs w:val="23"/>
        </w:rPr>
        <w:t xml:space="preserve"> </w:t>
      </w:r>
      <w:r w:rsidRPr="00DD331C">
        <w:rPr>
          <w:rFonts w:asciiTheme="majorHAnsi" w:eastAsia="Calibri" w:hAnsiTheme="majorHAnsi" w:cstheme="majorHAnsi"/>
          <w:sz w:val="23"/>
          <w:szCs w:val="23"/>
        </w:rPr>
        <w:t>many Melbournians</w:t>
      </w:r>
      <w:r w:rsidR="00817BDF">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who</w:t>
      </w:r>
      <w:r w:rsidR="00FD3138">
        <w:rPr>
          <w:rFonts w:asciiTheme="majorHAnsi" w:eastAsia="Calibri" w:hAnsiTheme="majorHAnsi" w:cstheme="majorHAnsi"/>
          <w:sz w:val="23"/>
          <w:szCs w:val="23"/>
        </w:rPr>
        <w:t xml:space="preserve"> spent</w:t>
      </w:r>
      <w:r w:rsidRPr="00DD331C">
        <w:rPr>
          <w:rFonts w:asciiTheme="majorHAnsi" w:eastAsia="Calibri" w:hAnsiTheme="majorHAnsi" w:cstheme="majorHAnsi"/>
          <w:sz w:val="23"/>
          <w:szCs w:val="23"/>
        </w:rPr>
        <w:t xml:space="preserve"> 112 days</w:t>
      </w:r>
      <w:r w:rsidR="00FD3138">
        <w:rPr>
          <w:rFonts w:asciiTheme="majorHAnsi" w:eastAsia="Calibri" w:hAnsiTheme="majorHAnsi" w:cstheme="majorHAnsi"/>
          <w:sz w:val="23"/>
          <w:szCs w:val="23"/>
        </w:rPr>
        <w:t xml:space="preserve"> </w:t>
      </w:r>
      <w:r w:rsidR="00E372D1">
        <w:rPr>
          <w:rFonts w:asciiTheme="majorHAnsi" w:eastAsia="Calibri" w:hAnsiTheme="majorHAnsi" w:cstheme="majorHAnsi"/>
          <w:sz w:val="23"/>
          <w:szCs w:val="23"/>
        </w:rPr>
        <w:t xml:space="preserve">confined to </w:t>
      </w:r>
      <w:r w:rsidR="00FD3138">
        <w:rPr>
          <w:rFonts w:asciiTheme="majorHAnsi" w:eastAsia="Calibri" w:hAnsiTheme="majorHAnsi" w:cstheme="majorHAnsi"/>
          <w:sz w:val="23"/>
          <w:szCs w:val="23"/>
        </w:rPr>
        <w:t xml:space="preserve">within five kilometres of their homes during Stage 2 lockdowns, with </w:t>
      </w:r>
      <w:r w:rsidR="003833C0">
        <w:rPr>
          <w:rFonts w:asciiTheme="majorHAnsi" w:eastAsia="Calibri" w:hAnsiTheme="majorHAnsi" w:cstheme="majorHAnsi"/>
          <w:sz w:val="23"/>
          <w:szCs w:val="23"/>
        </w:rPr>
        <w:t>outings</w:t>
      </w:r>
      <w:r w:rsidR="00FD3138">
        <w:rPr>
          <w:rFonts w:asciiTheme="majorHAnsi" w:eastAsia="Calibri" w:hAnsiTheme="majorHAnsi" w:cstheme="majorHAnsi"/>
          <w:sz w:val="23"/>
          <w:szCs w:val="23"/>
        </w:rPr>
        <w:t xml:space="preserve"> restricted to </w:t>
      </w:r>
      <w:r w:rsidR="003833C0">
        <w:rPr>
          <w:rFonts w:asciiTheme="majorHAnsi" w:eastAsia="Calibri" w:hAnsiTheme="majorHAnsi" w:cstheme="majorHAnsi"/>
          <w:sz w:val="23"/>
          <w:szCs w:val="23"/>
        </w:rPr>
        <w:t>crucial</w:t>
      </w:r>
      <w:r w:rsidR="00817BDF">
        <w:rPr>
          <w:rFonts w:asciiTheme="majorHAnsi" w:eastAsia="Calibri" w:hAnsiTheme="majorHAnsi" w:cstheme="majorHAnsi"/>
          <w:sz w:val="23"/>
          <w:szCs w:val="23"/>
        </w:rPr>
        <w:t xml:space="preserve"> shopping,</w:t>
      </w:r>
      <w:r w:rsidRPr="00DD331C">
        <w:rPr>
          <w:rFonts w:asciiTheme="majorHAnsi" w:eastAsia="Calibri" w:hAnsiTheme="majorHAnsi" w:cstheme="majorHAnsi"/>
          <w:sz w:val="23"/>
          <w:szCs w:val="23"/>
        </w:rPr>
        <w:t xml:space="preserve"> provid</w:t>
      </w:r>
      <w:r w:rsidR="00817BDF">
        <w:rPr>
          <w:rFonts w:asciiTheme="majorHAnsi" w:eastAsia="Calibri" w:hAnsiTheme="majorHAnsi" w:cstheme="majorHAnsi"/>
          <w:sz w:val="23"/>
          <w:szCs w:val="23"/>
        </w:rPr>
        <w:t>ing</w:t>
      </w:r>
      <w:r w:rsidRPr="00DD331C">
        <w:rPr>
          <w:rFonts w:asciiTheme="majorHAnsi" w:eastAsia="Calibri" w:hAnsiTheme="majorHAnsi" w:cstheme="majorHAnsi"/>
          <w:sz w:val="23"/>
          <w:szCs w:val="23"/>
        </w:rPr>
        <w:t xml:space="preserve"> care, seek</w:t>
      </w:r>
      <w:r w:rsidR="00817BDF">
        <w:rPr>
          <w:rFonts w:asciiTheme="majorHAnsi" w:eastAsia="Calibri" w:hAnsiTheme="majorHAnsi" w:cstheme="majorHAnsi"/>
          <w:sz w:val="23"/>
          <w:szCs w:val="23"/>
        </w:rPr>
        <w:t>ing</w:t>
      </w:r>
      <w:r w:rsidRPr="00DD331C">
        <w:rPr>
          <w:rFonts w:asciiTheme="majorHAnsi" w:eastAsia="Calibri" w:hAnsiTheme="majorHAnsi" w:cstheme="majorHAnsi"/>
          <w:sz w:val="23"/>
          <w:szCs w:val="23"/>
        </w:rPr>
        <w:t xml:space="preserve"> medical treatment, </w:t>
      </w:r>
      <w:r w:rsidR="003833C0">
        <w:rPr>
          <w:rFonts w:asciiTheme="majorHAnsi" w:eastAsia="Calibri" w:hAnsiTheme="majorHAnsi" w:cstheme="majorHAnsi"/>
          <w:sz w:val="23"/>
          <w:szCs w:val="23"/>
        </w:rPr>
        <w:t xml:space="preserve">brief </w:t>
      </w:r>
      <w:r w:rsidRPr="00DD331C">
        <w:rPr>
          <w:rFonts w:asciiTheme="majorHAnsi" w:eastAsia="Calibri" w:hAnsiTheme="majorHAnsi" w:cstheme="majorHAnsi"/>
          <w:sz w:val="23"/>
          <w:szCs w:val="23"/>
        </w:rPr>
        <w:t>exercise</w:t>
      </w:r>
      <w:r w:rsidR="00FD3138">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or essential work</w:t>
      </w:r>
      <w:r w:rsidR="003833C0">
        <w:rPr>
          <w:rFonts w:asciiTheme="majorHAnsi" w:eastAsia="Calibri" w:hAnsiTheme="majorHAnsi" w:cstheme="majorHAnsi"/>
          <w:sz w:val="23"/>
          <w:szCs w:val="23"/>
        </w:rPr>
        <w:t>/</w:t>
      </w:r>
      <w:r w:rsidRPr="00DD331C">
        <w:rPr>
          <w:rFonts w:asciiTheme="majorHAnsi" w:eastAsia="Calibri" w:hAnsiTheme="majorHAnsi" w:cstheme="majorHAnsi"/>
          <w:sz w:val="23"/>
          <w:szCs w:val="23"/>
        </w:rPr>
        <w:t>education</w:t>
      </w:r>
      <w:r w:rsidR="00507454">
        <w:rPr>
          <w:rFonts w:asciiTheme="majorHAnsi" w:eastAsia="Calibri" w:hAnsiTheme="majorHAnsi" w:cstheme="majorHAnsi"/>
          <w:sz w:val="23"/>
          <w:szCs w:val="23"/>
        </w:rPr>
        <w:t>. This</w:t>
      </w:r>
      <w:r w:rsidR="003833C0">
        <w:rPr>
          <w:rFonts w:asciiTheme="majorHAnsi" w:eastAsia="Calibri" w:hAnsiTheme="majorHAnsi" w:cstheme="majorHAnsi"/>
          <w:sz w:val="23"/>
          <w:szCs w:val="23"/>
        </w:rPr>
        <w:t xml:space="preserve"> was especially challenging for residents in</w:t>
      </w:r>
      <w:r w:rsidRPr="00DD331C">
        <w:rPr>
          <w:rFonts w:asciiTheme="majorHAnsi" w:eastAsia="Calibri" w:hAnsiTheme="majorHAnsi" w:cstheme="majorHAnsi"/>
          <w:sz w:val="23"/>
          <w:szCs w:val="23"/>
        </w:rPr>
        <w:t xml:space="preserve"> places with poor access to local amenities.</w:t>
      </w:r>
    </w:p>
    <w:p w14:paraId="43EC78DA" w14:textId="77777777" w:rsidR="00F00E3D" w:rsidRPr="00DD331C" w:rsidRDefault="00F00E3D" w:rsidP="00817BDF">
      <w:pPr>
        <w:widowControl w:val="0"/>
        <w:spacing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Guaralda et al discuss many aspects of liveability when they ponder what sustainable post-pandemic urban growth might be in Australian regional towns and cities </w:t>
      </w:r>
      <w:r w:rsidRPr="00DD331C">
        <w:rPr>
          <w:rFonts w:asciiTheme="majorHAnsi" w:eastAsia="Calibri" w:hAnsiTheme="majorHAnsi" w:cstheme="majorHAnsi"/>
          <w:noProof/>
          <w:sz w:val="23"/>
          <w:szCs w:val="23"/>
        </w:rPr>
        <w:t>(Guaralda et al., 2020)</w:t>
      </w:r>
      <w:r w:rsidRPr="00DD331C">
        <w:rPr>
          <w:rFonts w:asciiTheme="majorHAnsi" w:eastAsia="Calibri" w:hAnsiTheme="majorHAnsi" w:cstheme="majorHAnsi"/>
          <w:sz w:val="23"/>
          <w:szCs w:val="23"/>
        </w:rPr>
        <w:t xml:space="preserve">. In this they highlight the current debate between the opportunity for post-pandemic growth to take the pressure from capital cities, and the “risks of growing regional towns and cities without carefully designed national, regional, and local planning, design, and development strategies” </w:t>
      </w:r>
      <w:r w:rsidRPr="00DD331C">
        <w:rPr>
          <w:rFonts w:asciiTheme="majorHAnsi" w:eastAsia="Calibri" w:hAnsiTheme="majorHAnsi" w:cstheme="majorHAnsi"/>
          <w:noProof/>
          <w:sz w:val="23"/>
          <w:szCs w:val="23"/>
        </w:rPr>
        <w:t>(Guaralda et al., 2020, p. 1)</w:t>
      </w:r>
      <w:r w:rsidRPr="00DD331C">
        <w:rPr>
          <w:rFonts w:asciiTheme="majorHAnsi" w:eastAsia="Calibri" w:hAnsiTheme="majorHAnsi" w:cstheme="majorHAnsi"/>
          <w:sz w:val="23"/>
          <w:szCs w:val="23"/>
        </w:rPr>
        <w:t xml:space="preserve">. </w:t>
      </w:r>
    </w:p>
    <w:p w14:paraId="61E52B92" w14:textId="05128EF2" w:rsidR="001F20D2" w:rsidRDefault="00F00E3D" w:rsidP="004D51EB">
      <w:pPr>
        <w:spacing w:after="0" w:line="276" w:lineRule="auto"/>
        <w:rPr>
          <w:rFonts w:asciiTheme="majorHAnsi" w:eastAsia="Times New Roman" w:hAnsiTheme="majorHAnsi" w:cstheme="majorHAnsi"/>
          <w:sz w:val="23"/>
          <w:szCs w:val="23"/>
          <w:lang w:eastAsia="en-GB"/>
        </w:rPr>
      </w:pPr>
      <w:r w:rsidRPr="00DD331C">
        <w:rPr>
          <w:rFonts w:asciiTheme="majorHAnsi" w:eastAsia="Times New Roman" w:hAnsiTheme="majorHAnsi" w:cstheme="majorHAnsi"/>
          <w:sz w:val="23"/>
          <w:szCs w:val="23"/>
          <w:lang w:eastAsia="en-GB"/>
        </w:rPr>
        <w:t xml:space="preserve">More common in the recent literature is discussion on individual aspects of liveability since the onset of </w:t>
      </w:r>
      <w:r w:rsidR="00940D80">
        <w:rPr>
          <w:rFonts w:asciiTheme="majorHAnsi" w:eastAsia="Times New Roman" w:hAnsiTheme="majorHAnsi" w:cstheme="majorHAnsi"/>
          <w:sz w:val="23"/>
          <w:szCs w:val="23"/>
          <w:lang w:eastAsia="en-GB"/>
        </w:rPr>
        <w:t>COVID</w:t>
      </w:r>
      <w:r w:rsidRPr="00DD331C">
        <w:rPr>
          <w:rFonts w:asciiTheme="majorHAnsi" w:eastAsia="Times New Roman" w:hAnsiTheme="majorHAnsi" w:cstheme="majorHAnsi"/>
          <w:sz w:val="23"/>
          <w:szCs w:val="23"/>
          <w:lang w:eastAsia="en-GB"/>
        </w:rPr>
        <w:t xml:space="preserve"> impacts on our cities and towns. We shall now summarise a number of these studies in relation to six key areas of concern: (1) public space, transport</w:t>
      </w:r>
      <w:r w:rsidR="005151A8">
        <w:rPr>
          <w:rFonts w:asciiTheme="majorHAnsi" w:eastAsia="Times New Roman" w:hAnsiTheme="majorHAnsi" w:cstheme="majorHAnsi"/>
          <w:sz w:val="23"/>
          <w:szCs w:val="23"/>
          <w:lang w:eastAsia="en-GB"/>
        </w:rPr>
        <w:t>,</w:t>
      </w:r>
      <w:r w:rsidRPr="00DD331C">
        <w:rPr>
          <w:rFonts w:asciiTheme="majorHAnsi" w:eastAsia="Times New Roman" w:hAnsiTheme="majorHAnsi" w:cstheme="majorHAnsi"/>
          <w:sz w:val="23"/>
          <w:szCs w:val="23"/>
          <w:lang w:eastAsia="en-GB"/>
        </w:rPr>
        <w:t xml:space="preserve"> and urban planning, (2) walkability; (3) access to the arts and culture sector, and (4) people with disability. The first three of these sections are </w:t>
      </w:r>
      <w:r w:rsidR="003710F5">
        <w:rPr>
          <w:rFonts w:asciiTheme="majorHAnsi" w:eastAsia="Times New Roman" w:hAnsiTheme="majorHAnsi" w:cstheme="majorHAnsi"/>
          <w:sz w:val="23"/>
          <w:szCs w:val="23"/>
          <w:lang w:eastAsia="en-GB"/>
        </w:rPr>
        <w:t xml:space="preserve">updated </w:t>
      </w:r>
      <w:r w:rsidRPr="00DD331C">
        <w:rPr>
          <w:rFonts w:asciiTheme="majorHAnsi" w:eastAsia="Times New Roman" w:hAnsiTheme="majorHAnsi" w:cstheme="majorHAnsi"/>
          <w:sz w:val="23"/>
          <w:szCs w:val="23"/>
          <w:lang w:eastAsia="en-GB"/>
        </w:rPr>
        <w:t xml:space="preserve">summaries </w:t>
      </w:r>
      <w:r w:rsidR="003710F5">
        <w:rPr>
          <w:rFonts w:asciiTheme="majorHAnsi" w:eastAsia="Times New Roman" w:hAnsiTheme="majorHAnsi" w:cstheme="majorHAnsi"/>
          <w:sz w:val="23"/>
          <w:szCs w:val="23"/>
          <w:lang w:eastAsia="en-GB"/>
        </w:rPr>
        <w:t>adapted</w:t>
      </w:r>
      <w:r w:rsidRPr="00DD331C">
        <w:rPr>
          <w:rFonts w:asciiTheme="majorHAnsi" w:eastAsia="Times New Roman" w:hAnsiTheme="majorHAnsi" w:cstheme="majorHAnsi"/>
          <w:sz w:val="23"/>
          <w:szCs w:val="23"/>
          <w:lang w:eastAsia="en-GB"/>
        </w:rPr>
        <w:t xml:space="preserve"> from </w:t>
      </w:r>
      <w:r w:rsidRPr="00DD331C">
        <w:rPr>
          <w:rFonts w:asciiTheme="majorHAnsi" w:eastAsia="Times New Roman" w:hAnsiTheme="majorHAnsi" w:cstheme="majorHAnsi"/>
          <w:i/>
          <w:sz w:val="23"/>
          <w:szCs w:val="23"/>
          <w:lang w:eastAsia="en-GB"/>
        </w:rPr>
        <w:t xml:space="preserve">Resilient Geelong: Reasons </w:t>
      </w:r>
      <w:r w:rsidR="003833C0">
        <w:rPr>
          <w:rFonts w:asciiTheme="majorHAnsi" w:eastAsia="Times New Roman" w:hAnsiTheme="majorHAnsi" w:cstheme="majorHAnsi"/>
          <w:i/>
          <w:sz w:val="23"/>
          <w:szCs w:val="23"/>
          <w:lang w:eastAsia="en-GB"/>
        </w:rPr>
        <w:t>f</w:t>
      </w:r>
      <w:r w:rsidR="003833C0" w:rsidRPr="00DD331C">
        <w:rPr>
          <w:rFonts w:asciiTheme="majorHAnsi" w:eastAsia="Times New Roman" w:hAnsiTheme="majorHAnsi" w:cstheme="majorHAnsi"/>
          <w:i/>
          <w:sz w:val="23"/>
          <w:szCs w:val="23"/>
          <w:lang w:eastAsia="en-GB"/>
        </w:rPr>
        <w:t xml:space="preserve">or Success </w:t>
      </w:r>
      <w:r w:rsidR="003833C0">
        <w:rPr>
          <w:rFonts w:asciiTheme="majorHAnsi" w:eastAsia="Times New Roman" w:hAnsiTheme="majorHAnsi" w:cstheme="majorHAnsi"/>
          <w:i/>
          <w:sz w:val="23"/>
          <w:szCs w:val="23"/>
          <w:lang w:eastAsia="en-GB"/>
        </w:rPr>
        <w:t>a</w:t>
      </w:r>
      <w:r w:rsidR="003833C0" w:rsidRPr="00DD331C">
        <w:rPr>
          <w:rFonts w:asciiTheme="majorHAnsi" w:eastAsia="Times New Roman" w:hAnsiTheme="majorHAnsi" w:cstheme="majorHAnsi"/>
          <w:i/>
          <w:sz w:val="23"/>
          <w:szCs w:val="23"/>
          <w:lang w:eastAsia="en-GB"/>
        </w:rPr>
        <w:t xml:space="preserve">nd Challenges </w:t>
      </w:r>
      <w:r w:rsidR="003833C0">
        <w:rPr>
          <w:rFonts w:asciiTheme="majorHAnsi" w:eastAsia="Times New Roman" w:hAnsiTheme="majorHAnsi" w:cstheme="majorHAnsi"/>
          <w:i/>
          <w:sz w:val="23"/>
          <w:szCs w:val="23"/>
          <w:lang w:eastAsia="en-GB"/>
        </w:rPr>
        <w:t>f</w:t>
      </w:r>
      <w:r w:rsidR="003833C0" w:rsidRPr="00DD331C">
        <w:rPr>
          <w:rFonts w:asciiTheme="majorHAnsi" w:eastAsia="Times New Roman" w:hAnsiTheme="majorHAnsi" w:cstheme="majorHAnsi"/>
          <w:i/>
          <w:sz w:val="23"/>
          <w:szCs w:val="23"/>
          <w:lang w:eastAsia="en-GB"/>
        </w:rPr>
        <w:t xml:space="preserve">or </w:t>
      </w:r>
      <w:r w:rsidR="003833C0">
        <w:rPr>
          <w:rFonts w:asciiTheme="majorHAnsi" w:eastAsia="Times New Roman" w:hAnsiTheme="majorHAnsi" w:cstheme="majorHAnsi"/>
          <w:i/>
          <w:sz w:val="23"/>
          <w:szCs w:val="23"/>
          <w:lang w:eastAsia="en-GB"/>
        </w:rPr>
        <w:t>a</w:t>
      </w:r>
      <w:r w:rsidR="003833C0" w:rsidRPr="00DD331C">
        <w:rPr>
          <w:rFonts w:asciiTheme="majorHAnsi" w:eastAsia="Times New Roman" w:hAnsiTheme="majorHAnsi" w:cstheme="majorHAnsi"/>
          <w:i/>
          <w:sz w:val="23"/>
          <w:szCs w:val="23"/>
          <w:lang w:eastAsia="en-GB"/>
        </w:rPr>
        <w:t xml:space="preserve"> Post-</w:t>
      </w:r>
      <w:r w:rsidR="00940D80">
        <w:rPr>
          <w:rFonts w:asciiTheme="majorHAnsi" w:eastAsia="Times New Roman" w:hAnsiTheme="majorHAnsi" w:cstheme="majorHAnsi"/>
          <w:i/>
          <w:sz w:val="23"/>
          <w:szCs w:val="23"/>
          <w:lang w:eastAsia="en-GB"/>
        </w:rPr>
        <w:t>COVID</w:t>
      </w:r>
      <w:r w:rsidR="003833C0" w:rsidRPr="00DD331C">
        <w:rPr>
          <w:rFonts w:asciiTheme="majorHAnsi" w:eastAsia="Times New Roman" w:hAnsiTheme="majorHAnsi" w:cstheme="majorHAnsi"/>
          <w:i/>
          <w:sz w:val="23"/>
          <w:szCs w:val="23"/>
          <w:lang w:eastAsia="en-GB"/>
        </w:rPr>
        <w:t>-19 Future</w:t>
      </w:r>
      <w:r w:rsidR="003833C0" w:rsidRPr="00DD331C">
        <w:rPr>
          <w:rFonts w:asciiTheme="majorHAnsi" w:eastAsia="Times New Roman" w:hAnsiTheme="majorHAnsi" w:cstheme="majorHAnsi"/>
          <w:sz w:val="23"/>
          <w:szCs w:val="23"/>
          <w:lang w:eastAsia="en-GB"/>
        </w:rPr>
        <w:t xml:space="preserve">, </w:t>
      </w:r>
      <w:r w:rsidRPr="00DD331C">
        <w:rPr>
          <w:rFonts w:asciiTheme="majorHAnsi" w:eastAsia="Times New Roman" w:hAnsiTheme="majorHAnsi" w:cstheme="majorHAnsi"/>
          <w:sz w:val="23"/>
          <w:szCs w:val="23"/>
          <w:lang w:eastAsia="en-GB"/>
        </w:rPr>
        <w:t xml:space="preserve">a </w:t>
      </w:r>
      <w:r w:rsidR="003833C0">
        <w:rPr>
          <w:rFonts w:asciiTheme="majorHAnsi" w:eastAsia="Times New Roman" w:hAnsiTheme="majorHAnsi" w:cstheme="majorHAnsi"/>
          <w:sz w:val="23"/>
          <w:szCs w:val="23"/>
          <w:lang w:eastAsia="en-GB"/>
        </w:rPr>
        <w:t>r</w:t>
      </w:r>
      <w:r w:rsidRPr="00DD331C">
        <w:rPr>
          <w:rFonts w:asciiTheme="majorHAnsi" w:eastAsia="Times New Roman" w:hAnsiTheme="majorHAnsi" w:cstheme="majorHAnsi"/>
          <w:sz w:val="23"/>
          <w:szCs w:val="23"/>
          <w:lang w:eastAsia="en-GB"/>
        </w:rPr>
        <w:t xml:space="preserve">esearch </w:t>
      </w:r>
      <w:r w:rsidR="003833C0">
        <w:rPr>
          <w:rFonts w:asciiTheme="majorHAnsi" w:eastAsia="Times New Roman" w:hAnsiTheme="majorHAnsi" w:cstheme="majorHAnsi"/>
          <w:sz w:val="23"/>
          <w:szCs w:val="23"/>
          <w:lang w:eastAsia="en-GB"/>
        </w:rPr>
        <w:t>r</w:t>
      </w:r>
      <w:r w:rsidRPr="00DD331C">
        <w:rPr>
          <w:rFonts w:asciiTheme="majorHAnsi" w:eastAsia="Times New Roman" w:hAnsiTheme="majorHAnsi" w:cstheme="majorHAnsi"/>
          <w:sz w:val="23"/>
          <w:szCs w:val="23"/>
          <w:lang w:eastAsia="en-GB"/>
        </w:rPr>
        <w:t xml:space="preserve">eport for the Committee for Geelong </w:t>
      </w:r>
      <w:r w:rsidRPr="00DD331C">
        <w:rPr>
          <w:rFonts w:asciiTheme="majorHAnsi" w:eastAsia="Times New Roman" w:hAnsiTheme="majorHAnsi" w:cstheme="majorHAnsi"/>
          <w:noProof/>
          <w:sz w:val="23"/>
          <w:szCs w:val="23"/>
          <w:lang w:eastAsia="en-GB"/>
        </w:rPr>
        <w:t>(Johnson et al., 2020)</w:t>
      </w:r>
      <w:r w:rsidRPr="00DD331C">
        <w:rPr>
          <w:rFonts w:asciiTheme="majorHAnsi" w:eastAsia="Times New Roman" w:hAnsiTheme="majorHAnsi" w:cstheme="majorHAnsi"/>
          <w:sz w:val="23"/>
          <w:szCs w:val="23"/>
          <w:lang w:eastAsia="en-GB"/>
        </w:rPr>
        <w:t>.</w:t>
      </w:r>
    </w:p>
    <w:p w14:paraId="34028AFE" w14:textId="77777777" w:rsidR="001F20D2" w:rsidRDefault="001F20D2">
      <w:pPr>
        <w:spacing w:after="0" w:line="240" w:lineRule="auto"/>
        <w:rPr>
          <w:rFonts w:asciiTheme="majorHAnsi" w:eastAsia="Times New Roman" w:hAnsiTheme="majorHAnsi" w:cstheme="majorHAnsi"/>
          <w:sz w:val="23"/>
          <w:szCs w:val="23"/>
          <w:lang w:eastAsia="en-GB"/>
        </w:rPr>
      </w:pPr>
      <w:r>
        <w:rPr>
          <w:rFonts w:asciiTheme="majorHAnsi" w:eastAsia="Times New Roman" w:hAnsiTheme="majorHAnsi" w:cstheme="majorHAnsi"/>
          <w:sz w:val="23"/>
          <w:szCs w:val="23"/>
          <w:lang w:eastAsia="en-GB"/>
        </w:rPr>
        <w:br w:type="page"/>
      </w:r>
    </w:p>
    <w:p w14:paraId="413B3CBB" w14:textId="5794A078" w:rsidR="00F00E3D" w:rsidRPr="000E5A33" w:rsidRDefault="00F00E3D" w:rsidP="004D51EB">
      <w:pPr>
        <w:spacing w:after="0" w:line="276" w:lineRule="auto"/>
        <w:rPr>
          <w:rFonts w:eastAsia="Times New Roman" w:cstheme="minorHAnsi"/>
          <w:b/>
          <w:bCs/>
          <w:color w:val="000000"/>
          <w:sz w:val="23"/>
          <w:szCs w:val="23"/>
          <w:lang w:eastAsia="en-GB"/>
        </w:rPr>
      </w:pPr>
      <w:r w:rsidRPr="000E5A33">
        <w:rPr>
          <w:rFonts w:eastAsia="Times New Roman" w:cstheme="minorHAnsi"/>
          <w:b/>
          <w:bCs/>
          <w:color w:val="000000"/>
          <w:sz w:val="23"/>
          <w:szCs w:val="23"/>
          <w:lang w:eastAsia="en-GB"/>
        </w:rPr>
        <w:lastRenderedPageBreak/>
        <w:t>Public Space, Transport</w:t>
      </w:r>
      <w:r w:rsidR="005151A8" w:rsidRPr="000E5A33">
        <w:rPr>
          <w:rFonts w:eastAsia="Times New Roman" w:cstheme="minorHAnsi"/>
          <w:b/>
          <w:bCs/>
          <w:color w:val="000000"/>
          <w:sz w:val="23"/>
          <w:szCs w:val="23"/>
          <w:lang w:eastAsia="en-GB"/>
        </w:rPr>
        <w:t>,</w:t>
      </w:r>
      <w:r w:rsidRPr="000E5A33">
        <w:rPr>
          <w:rFonts w:eastAsia="Times New Roman" w:cstheme="minorHAnsi"/>
          <w:b/>
          <w:bCs/>
          <w:color w:val="000000"/>
          <w:sz w:val="23"/>
          <w:szCs w:val="23"/>
          <w:lang w:eastAsia="en-GB"/>
        </w:rPr>
        <w:t xml:space="preserve"> and Urban Planning</w:t>
      </w:r>
    </w:p>
    <w:p w14:paraId="399335B0" w14:textId="77777777" w:rsidR="00351098" w:rsidRPr="00F96AD6" w:rsidRDefault="00351098" w:rsidP="004D51EB">
      <w:pPr>
        <w:spacing w:after="0" w:line="276" w:lineRule="auto"/>
        <w:rPr>
          <w:rFonts w:asciiTheme="majorHAnsi" w:eastAsia="Times New Roman" w:hAnsiTheme="majorHAnsi" w:cstheme="majorHAnsi"/>
          <w:b/>
          <w:bCs/>
          <w:color w:val="000000"/>
          <w:sz w:val="16"/>
          <w:szCs w:val="16"/>
          <w:lang w:eastAsia="en-GB"/>
        </w:rPr>
      </w:pPr>
    </w:p>
    <w:p w14:paraId="18959C1E" w14:textId="7D00A444" w:rsidR="00F00E3D" w:rsidRPr="00DD331C" w:rsidRDefault="00940D80" w:rsidP="004D51EB">
      <w:pPr>
        <w:spacing w:line="276" w:lineRule="auto"/>
        <w:rPr>
          <w:rFonts w:asciiTheme="majorHAnsi" w:eastAsia="Calibri" w:hAnsiTheme="majorHAnsi" w:cstheme="majorHAnsi"/>
          <w:sz w:val="23"/>
          <w:szCs w:val="23"/>
        </w:rPr>
      </w:pPr>
      <w:r>
        <w:rPr>
          <w:rFonts w:asciiTheme="majorHAnsi" w:eastAsia="Calibri" w:hAnsiTheme="majorHAnsi" w:cstheme="majorHAnsi"/>
          <w:sz w:val="23"/>
          <w:szCs w:val="23"/>
        </w:rPr>
        <w:t>COVID</w:t>
      </w:r>
      <w:r w:rsidR="00F00E3D" w:rsidRPr="00DD331C">
        <w:rPr>
          <w:rFonts w:asciiTheme="majorHAnsi" w:eastAsia="Calibri" w:hAnsiTheme="majorHAnsi" w:cstheme="majorHAnsi"/>
          <w:sz w:val="23"/>
          <w:szCs w:val="23"/>
        </w:rPr>
        <w:t xml:space="preserve">-19 </w:t>
      </w:r>
      <w:r w:rsidR="005151A8">
        <w:rPr>
          <w:rFonts w:asciiTheme="majorHAnsi" w:eastAsia="Calibri" w:hAnsiTheme="majorHAnsi" w:cstheme="majorHAnsi"/>
          <w:sz w:val="23"/>
          <w:szCs w:val="23"/>
        </w:rPr>
        <w:t>presents</w:t>
      </w:r>
      <w:r w:rsidR="00F00E3D" w:rsidRPr="00DD331C">
        <w:rPr>
          <w:rFonts w:asciiTheme="majorHAnsi" w:eastAsia="Calibri" w:hAnsiTheme="majorHAnsi" w:cstheme="majorHAnsi"/>
          <w:sz w:val="23"/>
          <w:szCs w:val="23"/>
        </w:rPr>
        <w:t xml:space="preserve"> an opportunity to make cities more sustainable, resilient, inclusive</w:t>
      </w:r>
      <w:r w:rsidR="005151A8">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and smarter </w:t>
      </w:r>
      <w:r w:rsidR="00F00E3D" w:rsidRPr="00DD331C">
        <w:rPr>
          <w:rFonts w:asciiTheme="majorHAnsi" w:eastAsia="Calibri" w:hAnsiTheme="majorHAnsi" w:cstheme="majorHAnsi"/>
          <w:noProof/>
          <w:sz w:val="23"/>
          <w:szCs w:val="23"/>
        </w:rPr>
        <w:t>(OECD, 2020; Ryerson CBI &amp; ULI Toronto, 2020c)</w:t>
      </w:r>
      <w:r w:rsidR="00F00E3D" w:rsidRPr="00DD331C">
        <w:rPr>
          <w:rFonts w:asciiTheme="majorHAnsi" w:eastAsia="Calibri" w:hAnsiTheme="majorHAnsi" w:cstheme="majorHAnsi"/>
          <w:sz w:val="23"/>
          <w:szCs w:val="23"/>
        </w:rPr>
        <w:t xml:space="preserve">. The pandemic </w:t>
      </w:r>
      <w:r w:rsidR="005151A8">
        <w:rPr>
          <w:rFonts w:asciiTheme="majorHAnsi" w:eastAsia="Calibri" w:hAnsiTheme="majorHAnsi" w:cstheme="majorHAnsi"/>
          <w:sz w:val="23"/>
          <w:szCs w:val="23"/>
        </w:rPr>
        <w:t>has also prompted</w:t>
      </w:r>
      <w:r w:rsidR="00F00E3D" w:rsidRPr="00DD331C">
        <w:rPr>
          <w:rFonts w:asciiTheme="majorHAnsi" w:eastAsia="Calibri" w:hAnsiTheme="majorHAnsi" w:cstheme="majorHAnsi"/>
          <w:sz w:val="23"/>
          <w:szCs w:val="23"/>
        </w:rPr>
        <w:t xml:space="preserve"> governments to rethink density management, including how essential services might be decentralised </w:t>
      </w:r>
      <w:r w:rsidR="00F00E3D" w:rsidRPr="00DD331C">
        <w:rPr>
          <w:rFonts w:asciiTheme="majorHAnsi" w:eastAsia="Calibri" w:hAnsiTheme="majorHAnsi" w:cstheme="majorHAnsi"/>
          <w:noProof/>
          <w:sz w:val="23"/>
          <w:szCs w:val="23"/>
        </w:rPr>
        <w:t>(Ryerson CBI &amp; ULI Toronto, 2020a)</w:t>
      </w:r>
      <w:r w:rsidR="00F00E3D" w:rsidRPr="00DD331C">
        <w:rPr>
          <w:rFonts w:asciiTheme="majorHAnsi" w:eastAsia="Calibri" w:hAnsiTheme="majorHAnsi" w:cstheme="majorHAnsi"/>
          <w:sz w:val="23"/>
          <w:szCs w:val="23"/>
        </w:rPr>
        <w:t xml:space="preserve">. </w:t>
      </w:r>
      <w:r w:rsidR="005151A8">
        <w:rPr>
          <w:rFonts w:asciiTheme="majorHAnsi" w:eastAsia="Calibri" w:hAnsiTheme="majorHAnsi" w:cstheme="majorHAnsi"/>
          <w:sz w:val="23"/>
          <w:szCs w:val="23"/>
        </w:rPr>
        <w:t>In the short term, city leaders</w:t>
      </w:r>
      <w:r w:rsidR="00F00E3D" w:rsidRPr="00DD331C">
        <w:rPr>
          <w:rFonts w:asciiTheme="majorHAnsi" w:eastAsia="Calibri" w:hAnsiTheme="majorHAnsi" w:cstheme="majorHAnsi"/>
          <w:sz w:val="23"/>
          <w:szCs w:val="23"/>
        </w:rPr>
        <w:t xml:space="preserve"> are exploring how public spaces can be safely reconfigured to enable social distancing </w:t>
      </w:r>
      <w:r w:rsidR="00F00E3D" w:rsidRPr="00DD331C">
        <w:rPr>
          <w:rFonts w:asciiTheme="majorHAnsi" w:eastAsia="Calibri" w:hAnsiTheme="majorHAnsi" w:cstheme="majorHAnsi"/>
          <w:noProof/>
          <w:sz w:val="23"/>
          <w:szCs w:val="23"/>
        </w:rPr>
        <w:t>(OECD, 2020)</w:t>
      </w:r>
      <w:r w:rsidR="00F00E3D" w:rsidRPr="00DD331C">
        <w:rPr>
          <w:rFonts w:asciiTheme="majorHAnsi" w:eastAsia="Calibri" w:hAnsiTheme="majorHAnsi" w:cstheme="majorHAnsi"/>
          <w:sz w:val="23"/>
          <w:szCs w:val="23"/>
        </w:rPr>
        <w:t>.</w:t>
      </w:r>
      <w:r w:rsidR="005151A8">
        <w:rPr>
          <w:rFonts w:asciiTheme="majorHAnsi" w:eastAsia="Calibri" w:hAnsiTheme="majorHAnsi" w:cstheme="majorHAnsi"/>
          <w:sz w:val="23"/>
          <w:szCs w:val="23"/>
        </w:rPr>
        <w:t xml:space="preserve"> Measures include</w:t>
      </w:r>
      <w:r w:rsidR="00F00E3D" w:rsidRPr="00DD331C">
        <w:rPr>
          <w:rFonts w:asciiTheme="majorHAnsi" w:eastAsia="Calibri" w:hAnsiTheme="majorHAnsi" w:cstheme="majorHAnsi"/>
          <w:sz w:val="23"/>
          <w:szCs w:val="23"/>
        </w:rPr>
        <w:t xml:space="preserve"> reconfiguring the urban landscape, tweaking planning laws, and/or building significant new infrastructure. Some of these changes will be permanent, paving the way for more pedestrian-friendly and less polluted future cities.</w:t>
      </w:r>
    </w:p>
    <w:p w14:paraId="629D089B" w14:textId="64B0E18B" w:rsidR="00351098" w:rsidRDefault="00F00E3D" w:rsidP="004D51EB">
      <w:pPr>
        <w:spacing w:after="0"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In Australia</w:t>
      </w:r>
      <w:r w:rsidR="00315E6E">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w:t>
      </w:r>
      <w:r w:rsidR="005151A8">
        <w:rPr>
          <w:rFonts w:asciiTheme="majorHAnsi" w:eastAsia="Calibri" w:hAnsiTheme="majorHAnsi" w:cstheme="majorHAnsi"/>
          <w:sz w:val="23"/>
          <w:szCs w:val="23"/>
        </w:rPr>
        <w:t xml:space="preserve">the pandemic </w:t>
      </w:r>
      <w:r w:rsidR="00315E6E">
        <w:rPr>
          <w:rFonts w:asciiTheme="majorHAnsi" w:eastAsia="Calibri" w:hAnsiTheme="majorHAnsi" w:cstheme="majorHAnsi"/>
          <w:sz w:val="23"/>
          <w:szCs w:val="23"/>
        </w:rPr>
        <w:t>is expected to</w:t>
      </w:r>
      <w:r w:rsidR="003833C0">
        <w:rPr>
          <w:rFonts w:asciiTheme="majorHAnsi" w:eastAsia="Calibri" w:hAnsiTheme="majorHAnsi" w:cstheme="majorHAnsi"/>
          <w:sz w:val="23"/>
          <w:szCs w:val="23"/>
        </w:rPr>
        <w:t xml:space="preserve"> </w:t>
      </w:r>
      <w:r w:rsidR="00315E6E">
        <w:rPr>
          <w:rFonts w:asciiTheme="majorHAnsi" w:eastAsia="Calibri" w:hAnsiTheme="majorHAnsi" w:cstheme="majorHAnsi"/>
          <w:sz w:val="23"/>
          <w:szCs w:val="23"/>
        </w:rPr>
        <w:t>fuel</w:t>
      </w:r>
      <w:r w:rsidRPr="00DD331C">
        <w:rPr>
          <w:rFonts w:asciiTheme="majorHAnsi" w:eastAsia="Calibri" w:hAnsiTheme="majorHAnsi" w:cstheme="majorHAnsi"/>
          <w:sz w:val="23"/>
          <w:szCs w:val="23"/>
        </w:rPr>
        <w:t xml:space="preserve"> community interest in improving active transport options</w:t>
      </w:r>
      <w:r w:rsidR="005151A8">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as many people have been reminded of the pleasures of walking and cycling </w:t>
      </w:r>
      <w:r w:rsidRPr="00DD331C">
        <w:rPr>
          <w:rFonts w:asciiTheme="majorHAnsi" w:eastAsia="Calibri" w:hAnsiTheme="majorHAnsi" w:cstheme="majorHAnsi"/>
          <w:noProof/>
          <w:sz w:val="23"/>
          <w:szCs w:val="23"/>
        </w:rPr>
        <w:t>(Matthews, 2020)</w:t>
      </w:r>
      <w:r w:rsidRPr="00DD331C">
        <w:rPr>
          <w:rFonts w:asciiTheme="majorHAnsi" w:eastAsia="Calibri" w:hAnsiTheme="majorHAnsi" w:cstheme="majorHAnsi"/>
          <w:sz w:val="23"/>
          <w:szCs w:val="23"/>
        </w:rPr>
        <w:t xml:space="preserve">. Other new priorities may be </w:t>
      </w:r>
      <w:r w:rsidR="005151A8">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more green space and better social infrastructure” </w:t>
      </w:r>
      <w:r w:rsidRPr="00DD331C">
        <w:rPr>
          <w:rFonts w:asciiTheme="majorHAnsi" w:eastAsia="Calibri" w:hAnsiTheme="majorHAnsi" w:cstheme="majorHAnsi"/>
          <w:noProof/>
          <w:sz w:val="23"/>
          <w:szCs w:val="23"/>
        </w:rPr>
        <w:t>(Matthews, 2020)</w:t>
      </w:r>
      <w:r w:rsidRPr="00DD331C">
        <w:rPr>
          <w:rFonts w:asciiTheme="majorHAnsi" w:eastAsia="Calibri" w:hAnsiTheme="majorHAnsi" w:cstheme="majorHAnsi"/>
          <w:sz w:val="23"/>
          <w:szCs w:val="23"/>
        </w:rPr>
        <w:t xml:space="preserve">. </w:t>
      </w:r>
      <w:r w:rsidR="00315E6E">
        <w:rPr>
          <w:rFonts w:asciiTheme="majorHAnsi" w:eastAsia="Calibri" w:hAnsiTheme="majorHAnsi" w:cstheme="majorHAnsi"/>
          <w:sz w:val="23"/>
          <w:szCs w:val="23"/>
        </w:rPr>
        <w:t>S</w:t>
      </w:r>
      <w:r w:rsidR="005151A8">
        <w:rPr>
          <w:rFonts w:asciiTheme="majorHAnsi" w:eastAsia="Calibri" w:hAnsiTheme="majorHAnsi" w:cstheme="majorHAnsi"/>
          <w:sz w:val="23"/>
          <w:szCs w:val="23"/>
        </w:rPr>
        <w:t>ome have argued the crisis</w:t>
      </w:r>
      <w:r w:rsidRPr="00DD331C">
        <w:rPr>
          <w:rFonts w:asciiTheme="majorHAnsi" w:eastAsia="Calibri" w:hAnsiTheme="majorHAnsi" w:cstheme="majorHAnsi"/>
          <w:sz w:val="23"/>
          <w:szCs w:val="23"/>
        </w:rPr>
        <w:t xml:space="preserve"> “presents an opportunity to establish safe, resilient and healthy urban spaces”</w:t>
      </w:r>
      <w:r w:rsidR="00315E6E">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w:t>
      </w:r>
      <w:r w:rsidR="00315E6E">
        <w:rPr>
          <w:rFonts w:asciiTheme="majorHAnsi" w:eastAsia="Calibri" w:hAnsiTheme="majorHAnsi" w:cstheme="majorHAnsi"/>
          <w:sz w:val="23"/>
          <w:szCs w:val="23"/>
        </w:rPr>
        <w:t>However,</w:t>
      </w:r>
      <w:r w:rsidRPr="00DD331C">
        <w:rPr>
          <w:rFonts w:asciiTheme="majorHAnsi" w:eastAsia="Calibri" w:hAnsiTheme="majorHAnsi" w:cstheme="majorHAnsi"/>
          <w:sz w:val="23"/>
          <w:szCs w:val="23"/>
        </w:rPr>
        <w:t xml:space="preserve"> this will require “meaningful engagement across communities, designers and decision-makers” </w:t>
      </w:r>
      <w:r w:rsidRPr="00DD331C">
        <w:rPr>
          <w:rFonts w:asciiTheme="majorHAnsi" w:eastAsia="Calibri" w:hAnsiTheme="majorHAnsi" w:cstheme="majorHAnsi"/>
          <w:noProof/>
          <w:sz w:val="23"/>
          <w:szCs w:val="23"/>
        </w:rPr>
        <w:t>(Tavares &amp; Stevens, 2020)</w:t>
      </w:r>
      <w:r w:rsidRPr="00DD331C">
        <w:rPr>
          <w:rFonts w:asciiTheme="majorHAnsi" w:eastAsia="Calibri" w:hAnsiTheme="majorHAnsi" w:cstheme="majorHAnsi"/>
          <w:sz w:val="23"/>
          <w:szCs w:val="23"/>
        </w:rPr>
        <w:t xml:space="preserve">. One </w:t>
      </w:r>
      <w:r w:rsidR="005151A8">
        <w:rPr>
          <w:rFonts w:asciiTheme="majorHAnsi" w:eastAsia="Calibri" w:hAnsiTheme="majorHAnsi" w:cstheme="majorHAnsi"/>
          <w:sz w:val="23"/>
          <w:szCs w:val="23"/>
        </w:rPr>
        <w:t>example is the</w:t>
      </w:r>
      <w:r w:rsidRPr="00DD331C">
        <w:rPr>
          <w:rFonts w:asciiTheme="majorHAnsi" w:eastAsia="Calibri" w:hAnsiTheme="majorHAnsi" w:cstheme="majorHAnsi"/>
          <w:sz w:val="23"/>
          <w:szCs w:val="23"/>
        </w:rPr>
        <w:t xml:space="preserve"> City of Melbourne’s </w:t>
      </w:r>
      <w:r w:rsidR="00940D80">
        <w:rPr>
          <w:rFonts w:asciiTheme="majorHAnsi" w:eastAsia="Calibri" w:hAnsiTheme="majorHAnsi" w:cstheme="majorHAnsi"/>
          <w:sz w:val="23"/>
          <w:szCs w:val="23"/>
        </w:rPr>
        <w:t>COVID</w:t>
      </w:r>
      <w:r w:rsidRPr="00DD331C">
        <w:rPr>
          <w:rFonts w:asciiTheme="majorHAnsi" w:eastAsia="Calibri" w:hAnsiTheme="majorHAnsi" w:cstheme="majorHAnsi"/>
          <w:sz w:val="23"/>
          <w:szCs w:val="23"/>
        </w:rPr>
        <w:t xml:space="preserve">-19 Reactivation and Recovery Plan </w:t>
      </w:r>
      <w:r w:rsidRPr="00DD331C">
        <w:rPr>
          <w:rFonts w:asciiTheme="majorHAnsi" w:eastAsia="Calibri" w:hAnsiTheme="majorHAnsi" w:cstheme="majorHAnsi"/>
          <w:noProof/>
          <w:sz w:val="23"/>
          <w:szCs w:val="23"/>
        </w:rPr>
        <w:t>(City of Melbourne, 2020)</w:t>
      </w:r>
      <w:r w:rsidRPr="00DD331C">
        <w:rPr>
          <w:rFonts w:asciiTheme="majorHAnsi" w:eastAsia="Calibri" w:hAnsiTheme="majorHAnsi" w:cstheme="majorHAnsi"/>
          <w:sz w:val="23"/>
          <w:szCs w:val="23"/>
        </w:rPr>
        <w:t>. This consists of seven linked initiatives: (1) prioritise public health and wellbeing, (2) reactivate the city, (3) build economic resilience, (4) expand equitable opportunity and access, (5) transform our spaces and buildings, (6) strengthen community participation and align with others, and (7) evaluate, measure</w:t>
      </w:r>
      <w:r w:rsidR="00315E6E">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and progress </w:t>
      </w:r>
      <w:r w:rsidRPr="00DD331C">
        <w:rPr>
          <w:rFonts w:asciiTheme="majorHAnsi" w:eastAsia="Calibri" w:hAnsiTheme="majorHAnsi" w:cstheme="majorHAnsi"/>
          <w:noProof/>
          <w:sz w:val="23"/>
          <w:szCs w:val="23"/>
        </w:rPr>
        <w:t>(City of Melbourne, 2020, p. 4)</w:t>
      </w:r>
      <w:r w:rsidRPr="00DD331C">
        <w:rPr>
          <w:rFonts w:asciiTheme="majorHAnsi" w:eastAsia="Calibri" w:hAnsiTheme="majorHAnsi" w:cstheme="majorHAnsi"/>
          <w:sz w:val="23"/>
          <w:szCs w:val="23"/>
        </w:rPr>
        <w:t>.</w:t>
      </w:r>
    </w:p>
    <w:p w14:paraId="22672630" w14:textId="4BD90AEB" w:rsidR="00F00E3D" w:rsidRPr="000E5A33" w:rsidRDefault="00F00E3D" w:rsidP="004D51EB">
      <w:pPr>
        <w:spacing w:line="276" w:lineRule="auto"/>
        <w:rPr>
          <w:rFonts w:eastAsia="Calibri" w:cstheme="minorHAnsi"/>
          <w:sz w:val="23"/>
          <w:szCs w:val="23"/>
        </w:rPr>
      </w:pPr>
      <w:r w:rsidRPr="00DD331C">
        <w:rPr>
          <w:rFonts w:asciiTheme="majorHAnsi" w:eastAsia="Times New Roman" w:hAnsiTheme="majorHAnsi" w:cstheme="majorHAnsi"/>
          <w:color w:val="000000"/>
          <w:sz w:val="23"/>
          <w:szCs w:val="23"/>
          <w:lang w:eastAsia="en-GB"/>
        </w:rPr>
        <w:br/>
      </w:r>
      <w:r w:rsidRPr="000E5A33">
        <w:rPr>
          <w:rFonts w:eastAsia="Times New Roman" w:cstheme="minorHAnsi"/>
          <w:b/>
          <w:bCs/>
          <w:color w:val="000000"/>
          <w:sz w:val="23"/>
          <w:szCs w:val="23"/>
          <w:lang w:eastAsia="en-GB"/>
        </w:rPr>
        <w:t>Walkability</w:t>
      </w:r>
      <w:r w:rsidR="0054132C">
        <w:rPr>
          <w:rFonts w:eastAsia="Times New Roman" w:cstheme="minorHAnsi"/>
          <w:b/>
          <w:bCs/>
          <w:color w:val="000000"/>
          <w:sz w:val="23"/>
          <w:szCs w:val="23"/>
          <w:lang w:eastAsia="en-GB"/>
        </w:rPr>
        <w:t>, Green Space, and People-Friendly Streets</w:t>
      </w:r>
    </w:p>
    <w:p w14:paraId="6A30CC16" w14:textId="33C6CF2B" w:rsidR="00F00E3D" w:rsidRDefault="00A74269" w:rsidP="00315E6E">
      <w:pPr>
        <w:widowControl w:val="0"/>
        <w:spacing w:after="0"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Access to nature and </w:t>
      </w:r>
      <w:r w:rsidR="003833C0">
        <w:rPr>
          <w:rFonts w:asciiTheme="majorHAnsi" w:eastAsia="Calibri" w:hAnsiTheme="majorHAnsi" w:cstheme="majorHAnsi"/>
          <w:sz w:val="23"/>
          <w:szCs w:val="23"/>
        </w:rPr>
        <w:t>open spaces</w:t>
      </w:r>
      <w:r w:rsidRPr="00DD331C">
        <w:rPr>
          <w:rFonts w:asciiTheme="majorHAnsi" w:eastAsia="Calibri" w:hAnsiTheme="majorHAnsi" w:cstheme="majorHAnsi"/>
          <w:sz w:val="23"/>
          <w:szCs w:val="23"/>
        </w:rPr>
        <w:t xml:space="preserve"> has </w:t>
      </w:r>
      <w:r>
        <w:rPr>
          <w:rFonts w:asciiTheme="majorHAnsi" w:eastAsia="Calibri" w:hAnsiTheme="majorHAnsi" w:cstheme="majorHAnsi"/>
          <w:sz w:val="23"/>
          <w:szCs w:val="23"/>
        </w:rPr>
        <w:t>long been</w:t>
      </w:r>
      <w:r w:rsidRPr="00DD331C">
        <w:rPr>
          <w:rFonts w:asciiTheme="majorHAnsi" w:eastAsia="Calibri" w:hAnsiTheme="majorHAnsi" w:cstheme="majorHAnsi"/>
          <w:sz w:val="23"/>
          <w:szCs w:val="23"/>
        </w:rPr>
        <w:t xml:space="preserve"> recognised as a key factor in quality of life </w:t>
      </w:r>
      <w:r w:rsidRPr="00DD331C">
        <w:rPr>
          <w:rFonts w:asciiTheme="majorHAnsi" w:eastAsia="Calibri" w:hAnsiTheme="majorHAnsi" w:cstheme="majorHAnsi"/>
          <w:noProof/>
          <w:sz w:val="23"/>
          <w:szCs w:val="23"/>
        </w:rPr>
        <w:t>(Naomi, 2020)</w:t>
      </w:r>
      <w:r w:rsidRPr="00DD331C">
        <w:rPr>
          <w:rFonts w:asciiTheme="majorHAnsi" w:eastAsia="Calibri" w:hAnsiTheme="majorHAnsi" w:cstheme="majorHAnsi"/>
          <w:sz w:val="23"/>
          <w:szCs w:val="23"/>
        </w:rPr>
        <w:t xml:space="preserve">, and the pandemic has bought this into sharp relief. </w:t>
      </w:r>
      <w:r>
        <w:rPr>
          <w:rFonts w:asciiTheme="majorHAnsi" w:eastAsia="Calibri" w:hAnsiTheme="majorHAnsi" w:cstheme="majorHAnsi"/>
          <w:sz w:val="23"/>
          <w:szCs w:val="23"/>
        </w:rPr>
        <w:t>In 2020 the</w:t>
      </w:r>
      <w:r w:rsidR="00F00E3D" w:rsidRPr="00DD331C">
        <w:rPr>
          <w:rFonts w:asciiTheme="majorHAnsi" w:eastAsia="Calibri" w:hAnsiTheme="majorHAnsi" w:cstheme="majorHAnsi"/>
          <w:sz w:val="23"/>
          <w:szCs w:val="23"/>
        </w:rPr>
        <w:t xml:space="preserve"> </w:t>
      </w:r>
      <w:r w:rsidR="003833C0">
        <w:rPr>
          <w:rFonts w:asciiTheme="majorHAnsi" w:eastAsia="Calibri" w:hAnsiTheme="majorHAnsi" w:cstheme="majorHAnsi"/>
          <w:sz w:val="23"/>
          <w:szCs w:val="23"/>
        </w:rPr>
        <w:t>NSW</w:t>
      </w:r>
      <w:r w:rsidR="00F00E3D" w:rsidRPr="00DD331C">
        <w:rPr>
          <w:rFonts w:asciiTheme="majorHAnsi" w:eastAsia="Calibri" w:hAnsiTheme="majorHAnsi" w:cstheme="majorHAnsi"/>
          <w:sz w:val="23"/>
          <w:szCs w:val="23"/>
        </w:rPr>
        <w:t xml:space="preserve"> Government committed $15 million to transform Sydney’s streets, improve urban walkability, and </w:t>
      </w:r>
      <w:r>
        <w:rPr>
          <w:rFonts w:asciiTheme="majorHAnsi" w:eastAsia="Calibri" w:hAnsiTheme="majorHAnsi" w:cstheme="majorHAnsi"/>
          <w:sz w:val="23"/>
          <w:szCs w:val="23"/>
        </w:rPr>
        <w:t>expand</w:t>
      </w:r>
      <w:r w:rsidR="00F00E3D" w:rsidRPr="00DD331C">
        <w:rPr>
          <w:rFonts w:asciiTheme="majorHAnsi" w:eastAsia="Calibri" w:hAnsiTheme="majorHAnsi" w:cstheme="majorHAnsi"/>
          <w:sz w:val="23"/>
          <w:szCs w:val="23"/>
        </w:rPr>
        <w:t xml:space="preserve"> public spaces </w:t>
      </w:r>
      <w:r>
        <w:rPr>
          <w:rFonts w:asciiTheme="majorHAnsi" w:eastAsia="Calibri" w:hAnsiTheme="majorHAnsi" w:cstheme="majorHAnsi"/>
          <w:sz w:val="23"/>
          <w:szCs w:val="23"/>
        </w:rPr>
        <w:t>to support</w:t>
      </w:r>
      <w:r w:rsidR="00F00E3D" w:rsidRPr="00DD331C">
        <w:rPr>
          <w:rFonts w:asciiTheme="majorHAnsi" w:eastAsia="Calibri" w:hAnsiTheme="majorHAnsi" w:cstheme="majorHAnsi"/>
          <w:sz w:val="23"/>
          <w:szCs w:val="23"/>
        </w:rPr>
        <w:t xml:space="preserve"> social distancing. </w:t>
      </w:r>
      <w:r w:rsidR="003833C0">
        <w:rPr>
          <w:rFonts w:asciiTheme="majorHAnsi" w:eastAsia="Calibri" w:hAnsiTheme="majorHAnsi" w:cstheme="majorHAnsi"/>
          <w:sz w:val="23"/>
          <w:szCs w:val="23"/>
        </w:rPr>
        <w:t xml:space="preserve">In the </w:t>
      </w:r>
      <w:r w:rsidR="00F00E3D" w:rsidRPr="00DD331C">
        <w:rPr>
          <w:rFonts w:asciiTheme="majorHAnsi" w:eastAsia="Calibri" w:hAnsiTheme="majorHAnsi" w:cstheme="majorHAnsi"/>
          <w:sz w:val="23"/>
          <w:szCs w:val="23"/>
        </w:rPr>
        <w:t xml:space="preserve">Streets as Shared Spaces program, individual </w:t>
      </w:r>
      <w:r w:rsidR="003833C0">
        <w:rPr>
          <w:rFonts w:asciiTheme="majorHAnsi" w:eastAsia="Calibri" w:hAnsiTheme="majorHAnsi" w:cstheme="majorHAnsi"/>
          <w:sz w:val="23"/>
          <w:szCs w:val="23"/>
        </w:rPr>
        <w:t>c</w:t>
      </w:r>
      <w:r w:rsidR="00F00E3D" w:rsidRPr="00DD331C">
        <w:rPr>
          <w:rFonts w:asciiTheme="majorHAnsi" w:eastAsia="Calibri" w:hAnsiTheme="majorHAnsi" w:cstheme="majorHAnsi"/>
          <w:sz w:val="23"/>
          <w:szCs w:val="23"/>
        </w:rPr>
        <w:t>ouncils can apply for $100,000 grants for immediate temporary projects</w:t>
      </w:r>
      <w:r>
        <w:rPr>
          <w:rFonts w:asciiTheme="majorHAnsi" w:eastAsia="Calibri" w:hAnsiTheme="majorHAnsi" w:cstheme="majorHAnsi"/>
          <w:sz w:val="23"/>
          <w:szCs w:val="23"/>
        </w:rPr>
        <w:t xml:space="preserve"> (for example, </w:t>
      </w:r>
      <w:r w:rsidR="00F00E3D" w:rsidRPr="00DD331C">
        <w:rPr>
          <w:rFonts w:asciiTheme="majorHAnsi" w:eastAsia="Calibri" w:hAnsiTheme="majorHAnsi" w:cstheme="majorHAnsi"/>
          <w:sz w:val="23"/>
          <w:szCs w:val="23"/>
        </w:rPr>
        <w:t>widening footpaths and cycle lanes</w:t>
      </w:r>
      <w:r>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and up to $1 million for medium-term pilot projects</w:t>
      </w:r>
      <w:r>
        <w:rPr>
          <w:rFonts w:asciiTheme="majorHAnsi" w:eastAsia="Calibri" w:hAnsiTheme="majorHAnsi" w:cstheme="majorHAnsi"/>
          <w:sz w:val="23"/>
          <w:szCs w:val="23"/>
        </w:rPr>
        <w:t xml:space="preserve"> (</w:t>
      </w:r>
      <w:r w:rsidR="00F00E3D" w:rsidRPr="00DD331C">
        <w:rPr>
          <w:rFonts w:asciiTheme="majorHAnsi" w:eastAsia="Calibri" w:hAnsiTheme="majorHAnsi" w:cstheme="majorHAnsi"/>
          <w:sz w:val="23"/>
          <w:szCs w:val="23"/>
        </w:rPr>
        <w:t>extra crossing points, widening kerbs</w:t>
      </w:r>
      <w:r>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trialling lower speed limits</w:t>
      </w:r>
      <w:r>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w:t>
      </w:r>
      <w:r>
        <w:rPr>
          <w:rFonts w:asciiTheme="majorHAnsi" w:eastAsia="Calibri" w:hAnsiTheme="majorHAnsi" w:cstheme="majorHAnsi"/>
          <w:sz w:val="23"/>
          <w:szCs w:val="23"/>
        </w:rPr>
        <w:t>Additional</w:t>
      </w:r>
      <w:r w:rsidR="00F00E3D" w:rsidRPr="00DD331C">
        <w:rPr>
          <w:rFonts w:asciiTheme="majorHAnsi" w:eastAsia="Calibri" w:hAnsiTheme="majorHAnsi" w:cstheme="majorHAnsi"/>
          <w:sz w:val="23"/>
          <w:szCs w:val="23"/>
        </w:rPr>
        <w:t xml:space="preserve"> funds </w:t>
      </w:r>
      <w:r w:rsidR="003833C0">
        <w:rPr>
          <w:rFonts w:asciiTheme="majorHAnsi" w:eastAsia="Calibri" w:hAnsiTheme="majorHAnsi" w:cstheme="majorHAnsi"/>
          <w:sz w:val="23"/>
          <w:szCs w:val="23"/>
        </w:rPr>
        <w:t>were</w:t>
      </w:r>
      <w:r w:rsidR="00F00E3D" w:rsidRPr="00DD331C">
        <w:rPr>
          <w:rFonts w:asciiTheme="majorHAnsi" w:eastAsia="Calibri" w:hAnsiTheme="majorHAnsi" w:cstheme="majorHAnsi"/>
          <w:sz w:val="23"/>
          <w:szCs w:val="23"/>
        </w:rPr>
        <w:t xml:space="preserve"> </w:t>
      </w:r>
      <w:r>
        <w:rPr>
          <w:rFonts w:asciiTheme="majorHAnsi" w:eastAsia="Calibri" w:hAnsiTheme="majorHAnsi" w:cstheme="majorHAnsi"/>
          <w:sz w:val="23"/>
          <w:szCs w:val="23"/>
        </w:rPr>
        <w:t>provided for</w:t>
      </w:r>
      <w:r w:rsidR="00F00E3D" w:rsidRPr="00DD331C">
        <w:rPr>
          <w:rFonts w:asciiTheme="majorHAnsi" w:eastAsia="Calibri" w:hAnsiTheme="majorHAnsi" w:cstheme="majorHAnsi"/>
          <w:sz w:val="23"/>
          <w:szCs w:val="23"/>
        </w:rPr>
        <w:t xml:space="preserve"> three trial pedestrianisation projects: extending the George </w:t>
      </w:r>
      <w:proofErr w:type="gramStart"/>
      <w:r w:rsidR="00F00E3D" w:rsidRPr="00DD331C">
        <w:rPr>
          <w:rFonts w:asciiTheme="majorHAnsi" w:eastAsia="Calibri" w:hAnsiTheme="majorHAnsi" w:cstheme="majorHAnsi"/>
          <w:sz w:val="23"/>
          <w:szCs w:val="23"/>
        </w:rPr>
        <w:t>Street car</w:t>
      </w:r>
      <w:proofErr w:type="gramEnd"/>
      <w:r w:rsidR="00F00E3D" w:rsidRPr="00DD331C">
        <w:rPr>
          <w:rFonts w:asciiTheme="majorHAnsi" w:eastAsia="Calibri" w:hAnsiTheme="majorHAnsi" w:cstheme="majorHAnsi"/>
          <w:sz w:val="23"/>
          <w:szCs w:val="23"/>
        </w:rPr>
        <w:t>-free zone in Sydney’s CBD (</w:t>
      </w:r>
      <w:r>
        <w:rPr>
          <w:rFonts w:asciiTheme="majorHAnsi" w:eastAsia="Calibri" w:hAnsiTheme="majorHAnsi" w:cstheme="majorHAnsi"/>
          <w:sz w:val="23"/>
          <w:szCs w:val="23"/>
        </w:rPr>
        <w:t>a</w:t>
      </w:r>
      <w:r w:rsidR="00F00E3D" w:rsidRPr="00DD331C">
        <w:rPr>
          <w:rFonts w:asciiTheme="majorHAnsi" w:eastAsia="Calibri" w:hAnsiTheme="majorHAnsi" w:cstheme="majorHAnsi"/>
          <w:sz w:val="23"/>
          <w:szCs w:val="23"/>
        </w:rPr>
        <w:t xml:space="preserve"> partnership with the City of Sydney), creating </w:t>
      </w:r>
      <w:r>
        <w:rPr>
          <w:rFonts w:asciiTheme="majorHAnsi" w:eastAsia="Calibri" w:hAnsiTheme="majorHAnsi" w:cstheme="majorHAnsi"/>
          <w:sz w:val="23"/>
          <w:szCs w:val="23"/>
        </w:rPr>
        <w:t xml:space="preserve">a </w:t>
      </w:r>
      <w:r w:rsidR="00F00E3D" w:rsidRPr="00DD331C">
        <w:rPr>
          <w:rFonts w:asciiTheme="majorHAnsi" w:eastAsia="Calibri" w:hAnsiTheme="majorHAnsi" w:cstheme="majorHAnsi"/>
          <w:sz w:val="23"/>
          <w:szCs w:val="23"/>
        </w:rPr>
        <w:t xml:space="preserve">new pedestrian-only boulevard in the Liverpool City Centre, with </w:t>
      </w:r>
      <w:r>
        <w:rPr>
          <w:rFonts w:asciiTheme="majorHAnsi" w:eastAsia="Calibri" w:hAnsiTheme="majorHAnsi" w:cstheme="majorHAnsi"/>
          <w:sz w:val="23"/>
          <w:szCs w:val="23"/>
        </w:rPr>
        <w:t xml:space="preserve">trees and </w:t>
      </w:r>
      <w:r w:rsidR="00F00E3D" w:rsidRPr="00DD331C">
        <w:rPr>
          <w:rFonts w:asciiTheme="majorHAnsi" w:eastAsia="Calibri" w:hAnsiTheme="majorHAnsi" w:cstheme="majorHAnsi"/>
          <w:sz w:val="23"/>
          <w:szCs w:val="23"/>
        </w:rPr>
        <w:t>temporary street furniture to slow traffic (with Liverpool City Council)</w:t>
      </w:r>
      <w:r>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and a temporary </w:t>
      </w:r>
      <w:r>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people’s loop</w:t>
      </w:r>
      <w:r>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in heritage-listed Parramatta Park, with re</w:t>
      </w:r>
      <w:r>
        <w:rPr>
          <w:rFonts w:asciiTheme="majorHAnsi" w:eastAsia="Calibri" w:hAnsiTheme="majorHAnsi" w:cstheme="majorHAnsi"/>
          <w:sz w:val="23"/>
          <w:szCs w:val="23"/>
        </w:rPr>
        <w:t>stricted</w:t>
      </w:r>
      <w:r w:rsidR="00F00E3D" w:rsidRPr="00DD331C">
        <w:rPr>
          <w:rFonts w:asciiTheme="majorHAnsi" w:eastAsia="Calibri" w:hAnsiTheme="majorHAnsi" w:cstheme="majorHAnsi"/>
          <w:sz w:val="23"/>
          <w:szCs w:val="23"/>
        </w:rPr>
        <w:t xml:space="preserve"> vehicle access to promote walking and cycling </w:t>
      </w:r>
      <w:r w:rsidR="00F00E3D" w:rsidRPr="00DD331C">
        <w:rPr>
          <w:rFonts w:asciiTheme="majorHAnsi" w:eastAsia="Calibri" w:hAnsiTheme="majorHAnsi" w:cstheme="majorHAnsi"/>
          <w:noProof/>
          <w:sz w:val="23"/>
          <w:szCs w:val="23"/>
        </w:rPr>
        <w:t>(NSW Government, 2020)</w:t>
      </w:r>
      <w:r w:rsidR="00F00E3D" w:rsidRPr="00DD331C">
        <w:rPr>
          <w:rFonts w:asciiTheme="majorHAnsi" w:eastAsia="Calibri" w:hAnsiTheme="majorHAnsi" w:cstheme="majorHAnsi"/>
          <w:sz w:val="23"/>
          <w:szCs w:val="23"/>
        </w:rPr>
        <w:t>.</w:t>
      </w:r>
    </w:p>
    <w:p w14:paraId="6D0682F4" w14:textId="77777777" w:rsidR="00315E6E" w:rsidRPr="00315E6E" w:rsidRDefault="00315E6E" w:rsidP="00315E6E">
      <w:pPr>
        <w:widowControl w:val="0"/>
        <w:spacing w:after="0" w:line="276" w:lineRule="auto"/>
        <w:rPr>
          <w:rFonts w:asciiTheme="majorHAnsi" w:eastAsia="Calibri" w:hAnsiTheme="majorHAnsi" w:cstheme="majorHAnsi"/>
          <w:sz w:val="12"/>
          <w:szCs w:val="12"/>
        </w:rPr>
      </w:pPr>
    </w:p>
    <w:p w14:paraId="6D126139" w14:textId="704C3C1F" w:rsidR="00F00E3D" w:rsidRPr="000E5A33" w:rsidRDefault="00F00E3D" w:rsidP="004D51EB">
      <w:pPr>
        <w:spacing w:line="276" w:lineRule="auto"/>
        <w:rPr>
          <w:rFonts w:eastAsia="Calibri" w:cstheme="minorHAnsi"/>
          <w:b/>
          <w:sz w:val="23"/>
          <w:szCs w:val="23"/>
        </w:rPr>
      </w:pPr>
      <w:r w:rsidRPr="000E5A33">
        <w:rPr>
          <w:rFonts w:eastAsia="Calibri" w:cstheme="minorHAnsi"/>
          <w:b/>
          <w:sz w:val="23"/>
          <w:szCs w:val="23"/>
        </w:rPr>
        <w:t xml:space="preserve">Access </w:t>
      </w:r>
      <w:r w:rsidR="00351098" w:rsidRPr="000E5A33">
        <w:rPr>
          <w:rFonts w:eastAsia="Calibri" w:cstheme="minorHAnsi"/>
          <w:b/>
          <w:sz w:val="23"/>
          <w:szCs w:val="23"/>
        </w:rPr>
        <w:t xml:space="preserve">to </w:t>
      </w:r>
      <w:r w:rsidR="00351098" w:rsidRPr="000E5A33">
        <w:rPr>
          <w:rFonts w:eastAsia="Calibri" w:cstheme="minorHAnsi"/>
          <w:b/>
          <w:bCs/>
          <w:sz w:val="23"/>
          <w:szCs w:val="23"/>
        </w:rPr>
        <w:t>Arts</w:t>
      </w:r>
      <w:r w:rsidR="00351098" w:rsidRPr="000E5A33">
        <w:rPr>
          <w:rFonts w:eastAsia="Calibri" w:cstheme="minorHAnsi"/>
          <w:b/>
          <w:sz w:val="23"/>
          <w:szCs w:val="23"/>
        </w:rPr>
        <w:t xml:space="preserve"> and </w:t>
      </w:r>
      <w:r w:rsidR="00351098" w:rsidRPr="000E5A33">
        <w:rPr>
          <w:rFonts w:eastAsia="Calibri" w:cstheme="minorHAnsi"/>
          <w:b/>
          <w:bCs/>
          <w:sz w:val="23"/>
          <w:szCs w:val="23"/>
        </w:rPr>
        <w:t>Culture</w:t>
      </w:r>
    </w:p>
    <w:p w14:paraId="7528C3DC" w14:textId="250100CD" w:rsidR="00F00E3D" w:rsidRPr="00DD331C" w:rsidRDefault="00315E6E" w:rsidP="004D51EB">
      <w:pPr>
        <w:spacing w:after="0" w:line="276" w:lineRule="auto"/>
        <w:rPr>
          <w:rFonts w:asciiTheme="majorHAnsi" w:eastAsia="Calibri" w:hAnsiTheme="majorHAnsi" w:cstheme="majorHAnsi"/>
          <w:sz w:val="23"/>
          <w:szCs w:val="23"/>
        </w:rPr>
      </w:pPr>
      <w:r>
        <w:rPr>
          <w:rFonts w:asciiTheme="majorHAnsi" w:eastAsia="Calibri" w:hAnsiTheme="majorHAnsi" w:cstheme="majorHAnsi"/>
          <w:sz w:val="23"/>
          <w:szCs w:val="23"/>
        </w:rPr>
        <w:t>Several</w:t>
      </w:r>
      <w:r w:rsidR="0054132C">
        <w:rPr>
          <w:rFonts w:asciiTheme="majorHAnsi" w:eastAsia="Calibri" w:hAnsiTheme="majorHAnsi" w:cstheme="majorHAnsi"/>
          <w:sz w:val="23"/>
          <w:szCs w:val="23"/>
        </w:rPr>
        <w:t xml:space="preserve"> studies have</w:t>
      </w:r>
      <w:r w:rsidR="00A74269">
        <w:rPr>
          <w:rFonts w:asciiTheme="majorHAnsi" w:eastAsia="Calibri" w:hAnsiTheme="majorHAnsi" w:cstheme="majorHAnsi"/>
          <w:sz w:val="23"/>
          <w:szCs w:val="23"/>
        </w:rPr>
        <w:t xml:space="preserve"> </w:t>
      </w:r>
      <w:r>
        <w:rPr>
          <w:rFonts w:asciiTheme="majorHAnsi" w:eastAsia="Calibri" w:hAnsiTheme="majorHAnsi" w:cstheme="majorHAnsi"/>
          <w:sz w:val="23"/>
          <w:szCs w:val="23"/>
        </w:rPr>
        <w:t>found</w:t>
      </w:r>
      <w:r w:rsidR="00A74269">
        <w:rPr>
          <w:rFonts w:asciiTheme="majorHAnsi" w:eastAsia="Calibri" w:hAnsiTheme="majorHAnsi" w:cstheme="majorHAnsi"/>
          <w:sz w:val="23"/>
          <w:szCs w:val="23"/>
        </w:rPr>
        <w:t xml:space="preserve"> </w:t>
      </w:r>
      <w:r w:rsidR="0054132C">
        <w:rPr>
          <w:rFonts w:asciiTheme="majorHAnsi" w:eastAsia="Calibri" w:hAnsiTheme="majorHAnsi" w:cstheme="majorHAnsi"/>
          <w:sz w:val="23"/>
          <w:szCs w:val="23"/>
        </w:rPr>
        <w:t xml:space="preserve">that </w:t>
      </w:r>
      <w:r w:rsidR="00A74269">
        <w:rPr>
          <w:rFonts w:asciiTheme="majorHAnsi" w:eastAsia="Calibri" w:hAnsiTheme="majorHAnsi" w:cstheme="majorHAnsi"/>
          <w:sz w:val="23"/>
          <w:szCs w:val="23"/>
        </w:rPr>
        <w:t>a</w:t>
      </w:r>
      <w:r w:rsidR="00F00E3D" w:rsidRPr="00DD331C">
        <w:rPr>
          <w:rFonts w:asciiTheme="majorHAnsi" w:eastAsia="Calibri" w:hAnsiTheme="majorHAnsi" w:cstheme="majorHAnsi"/>
          <w:sz w:val="23"/>
          <w:szCs w:val="23"/>
        </w:rPr>
        <w:t xml:space="preserve">rts and culture </w:t>
      </w:r>
      <w:r w:rsidR="00351098">
        <w:rPr>
          <w:rFonts w:asciiTheme="majorHAnsi" w:eastAsia="Calibri" w:hAnsiTheme="majorHAnsi" w:cstheme="majorHAnsi"/>
          <w:sz w:val="23"/>
          <w:szCs w:val="23"/>
        </w:rPr>
        <w:t xml:space="preserve">can </w:t>
      </w:r>
      <w:r w:rsidR="00F00E3D" w:rsidRPr="00DD331C">
        <w:rPr>
          <w:rFonts w:asciiTheme="majorHAnsi" w:eastAsia="Calibri" w:hAnsiTheme="majorHAnsi" w:cstheme="majorHAnsi"/>
          <w:sz w:val="23"/>
          <w:szCs w:val="23"/>
        </w:rPr>
        <w:t xml:space="preserve">play a valuable role in post-disaster recovery programs. </w:t>
      </w:r>
      <w:r w:rsidR="00A74269">
        <w:rPr>
          <w:rFonts w:asciiTheme="majorHAnsi" w:eastAsia="Calibri" w:hAnsiTheme="majorHAnsi" w:cstheme="majorHAnsi"/>
          <w:sz w:val="23"/>
          <w:szCs w:val="23"/>
        </w:rPr>
        <w:t>T</w:t>
      </w:r>
      <w:r w:rsidR="00F00E3D" w:rsidRPr="00DD331C">
        <w:rPr>
          <w:rFonts w:asciiTheme="majorHAnsi" w:eastAsia="Calibri" w:hAnsiTheme="majorHAnsi" w:cstheme="majorHAnsi"/>
          <w:sz w:val="23"/>
          <w:szCs w:val="23"/>
        </w:rPr>
        <w:t xml:space="preserve">aking part in meaningful creative activities supports wellbeing, strengthens social ties, builds community, and promotes resilience in the wake of a disaster </w:t>
      </w:r>
      <w:r w:rsidR="00F00E3D" w:rsidRPr="00DD331C">
        <w:rPr>
          <w:rFonts w:asciiTheme="majorHAnsi" w:eastAsia="Calibri" w:hAnsiTheme="majorHAnsi" w:cstheme="majorHAnsi"/>
          <w:noProof/>
          <w:sz w:val="23"/>
          <w:szCs w:val="23"/>
        </w:rPr>
        <w:t>(Huss et al., 2016; Maidment et al., 2015)</w:t>
      </w:r>
      <w:r w:rsidR="00F00E3D" w:rsidRPr="00DD331C">
        <w:rPr>
          <w:rFonts w:asciiTheme="majorHAnsi" w:eastAsia="Calibri" w:hAnsiTheme="majorHAnsi" w:cstheme="majorHAnsi"/>
          <w:sz w:val="23"/>
          <w:szCs w:val="23"/>
        </w:rPr>
        <w:t>. Arts-based community projects have been successfully used as a tool for civic engagement, community-building, social inclusion</w:t>
      </w:r>
      <w:r w:rsidR="0054132C">
        <w:rPr>
          <w:rFonts w:asciiTheme="majorHAnsi" w:eastAsia="Calibri" w:hAnsiTheme="majorHAnsi" w:cstheme="majorHAnsi"/>
          <w:sz w:val="23"/>
          <w:szCs w:val="23"/>
        </w:rPr>
        <w:t>,</w:t>
      </w:r>
      <w:r w:rsidR="00F00E3D" w:rsidRPr="00DD331C">
        <w:rPr>
          <w:rFonts w:asciiTheme="majorHAnsi" w:eastAsia="Calibri" w:hAnsiTheme="majorHAnsi" w:cstheme="majorHAnsi"/>
          <w:sz w:val="23"/>
          <w:szCs w:val="23"/>
        </w:rPr>
        <w:t xml:space="preserve"> and healing in the wake of prior major shocks to regions, including civil wars and natural disasters </w:t>
      </w:r>
      <w:r w:rsidR="00F00E3D" w:rsidRPr="00DD331C">
        <w:rPr>
          <w:rFonts w:asciiTheme="majorHAnsi" w:eastAsia="Calibri" w:hAnsiTheme="majorHAnsi" w:cstheme="majorHAnsi"/>
          <w:noProof/>
          <w:sz w:val="23"/>
          <w:szCs w:val="23"/>
        </w:rPr>
        <w:t>(Gussak, 2001; Huss et al., 2016; Maidment et al., 2015)</w:t>
      </w:r>
      <w:r w:rsidR="00F00E3D" w:rsidRPr="00DD331C">
        <w:rPr>
          <w:rFonts w:asciiTheme="majorHAnsi" w:eastAsia="Calibri" w:hAnsiTheme="majorHAnsi" w:cstheme="majorHAnsi"/>
          <w:sz w:val="23"/>
          <w:szCs w:val="23"/>
        </w:rPr>
        <w:t>.</w:t>
      </w:r>
    </w:p>
    <w:p w14:paraId="37EECE60" w14:textId="77777777" w:rsidR="00F00E3D" w:rsidRPr="00F96AD6" w:rsidRDefault="00F00E3D" w:rsidP="004D51EB">
      <w:pPr>
        <w:spacing w:after="0" w:line="276" w:lineRule="auto"/>
        <w:rPr>
          <w:rFonts w:asciiTheme="majorHAnsi" w:eastAsia="Times New Roman" w:hAnsiTheme="majorHAnsi" w:cstheme="majorHAnsi"/>
          <w:color w:val="000000"/>
          <w:sz w:val="16"/>
          <w:szCs w:val="16"/>
          <w:lang w:eastAsia="en-GB"/>
        </w:rPr>
      </w:pPr>
    </w:p>
    <w:p w14:paraId="5F7011AA" w14:textId="22CB1CA1" w:rsidR="00F00E3D" w:rsidRPr="000E5A33" w:rsidRDefault="00F00E3D" w:rsidP="004D51EB">
      <w:pPr>
        <w:spacing w:line="276" w:lineRule="auto"/>
        <w:rPr>
          <w:rFonts w:eastAsia="Calibri" w:cstheme="minorHAnsi"/>
          <w:b/>
          <w:sz w:val="23"/>
          <w:szCs w:val="23"/>
        </w:rPr>
      </w:pPr>
      <w:r w:rsidRPr="000E5A33">
        <w:rPr>
          <w:rFonts w:eastAsia="Calibri" w:cstheme="minorHAnsi"/>
          <w:b/>
          <w:sz w:val="23"/>
          <w:szCs w:val="23"/>
        </w:rPr>
        <w:t xml:space="preserve">Health </w:t>
      </w:r>
      <w:r w:rsidR="00351098" w:rsidRPr="000E5A33">
        <w:rPr>
          <w:rFonts w:eastAsia="Calibri" w:cstheme="minorHAnsi"/>
          <w:b/>
          <w:sz w:val="23"/>
          <w:szCs w:val="23"/>
        </w:rPr>
        <w:t>and Liveability for People with Disability</w:t>
      </w:r>
    </w:p>
    <w:p w14:paraId="59A173BA" w14:textId="77777777" w:rsidR="00507454" w:rsidRDefault="00F00E3D" w:rsidP="004D51EB">
      <w:pPr>
        <w:spacing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Pineda and Corburn’s study of the adverse health impacts on people with disabilities </w:t>
      </w:r>
      <w:r w:rsidR="00351098">
        <w:rPr>
          <w:rFonts w:asciiTheme="majorHAnsi" w:eastAsia="Calibri" w:hAnsiTheme="majorHAnsi" w:cstheme="majorHAnsi"/>
          <w:sz w:val="23"/>
          <w:szCs w:val="23"/>
        </w:rPr>
        <w:t>(</w:t>
      </w:r>
      <w:r w:rsidRPr="00DD331C">
        <w:rPr>
          <w:rFonts w:asciiTheme="majorHAnsi" w:eastAsia="Calibri" w:hAnsiTheme="majorHAnsi" w:cstheme="majorHAnsi"/>
          <w:sz w:val="23"/>
          <w:szCs w:val="23"/>
        </w:rPr>
        <w:t>PWD</w:t>
      </w:r>
      <w:r w:rsidR="00351098">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highlights that PWDs living in cities </w:t>
      </w:r>
      <w:r w:rsidR="00A74269" w:rsidRPr="00DD331C">
        <w:rPr>
          <w:rFonts w:asciiTheme="majorHAnsi" w:eastAsia="Calibri" w:hAnsiTheme="majorHAnsi" w:cstheme="majorHAnsi"/>
          <w:sz w:val="23"/>
          <w:szCs w:val="23"/>
        </w:rPr>
        <w:t xml:space="preserve">during the pandemic </w:t>
      </w:r>
      <w:r w:rsidRPr="00DD331C">
        <w:rPr>
          <w:rFonts w:asciiTheme="majorHAnsi" w:eastAsia="Calibri" w:hAnsiTheme="majorHAnsi" w:cstheme="majorHAnsi"/>
          <w:sz w:val="23"/>
          <w:szCs w:val="23"/>
        </w:rPr>
        <w:t xml:space="preserve">may “be four times more likely to be injured or die than </w:t>
      </w:r>
      <w:r w:rsidRPr="00DD331C">
        <w:rPr>
          <w:rFonts w:asciiTheme="majorHAnsi" w:eastAsia="Calibri" w:hAnsiTheme="majorHAnsi" w:cstheme="majorHAnsi"/>
          <w:sz w:val="23"/>
          <w:szCs w:val="23"/>
        </w:rPr>
        <w:lastRenderedPageBreak/>
        <w:t xml:space="preserve">non-disabled persons, not because of their “vulnerable” position but because urban health policy, planning and practice has not considered their needs” </w:t>
      </w:r>
      <w:r w:rsidRPr="00DD331C">
        <w:rPr>
          <w:rFonts w:asciiTheme="majorHAnsi" w:eastAsia="Calibri" w:hAnsiTheme="majorHAnsi" w:cstheme="majorHAnsi"/>
          <w:noProof/>
          <w:sz w:val="23"/>
          <w:szCs w:val="23"/>
        </w:rPr>
        <w:t>(2020, p. 336)</w:t>
      </w:r>
      <w:r w:rsidRPr="00DD331C">
        <w:rPr>
          <w:rFonts w:asciiTheme="majorHAnsi" w:eastAsia="Calibri" w:hAnsiTheme="majorHAnsi" w:cstheme="majorHAnsi"/>
          <w:sz w:val="23"/>
          <w:szCs w:val="23"/>
        </w:rPr>
        <w:t>. The</w:t>
      </w:r>
      <w:r w:rsidR="00A74269">
        <w:rPr>
          <w:rFonts w:asciiTheme="majorHAnsi" w:eastAsia="Calibri" w:hAnsiTheme="majorHAnsi" w:cstheme="majorHAnsi"/>
          <w:sz w:val="23"/>
          <w:szCs w:val="23"/>
        </w:rPr>
        <w:t xml:space="preserve"> researchers</w:t>
      </w:r>
      <w:r w:rsidRPr="00DD331C">
        <w:rPr>
          <w:rFonts w:asciiTheme="majorHAnsi" w:eastAsia="Calibri" w:hAnsiTheme="majorHAnsi" w:cstheme="majorHAnsi"/>
          <w:sz w:val="23"/>
          <w:szCs w:val="23"/>
        </w:rPr>
        <w:t xml:space="preserve"> suggest t</w:t>
      </w:r>
      <w:r w:rsidR="00A74269">
        <w:rPr>
          <w:rFonts w:asciiTheme="majorHAnsi" w:eastAsia="Calibri" w:hAnsiTheme="majorHAnsi" w:cstheme="majorHAnsi"/>
          <w:sz w:val="23"/>
          <w:szCs w:val="23"/>
        </w:rPr>
        <w:t>hese</w:t>
      </w:r>
      <w:r w:rsidRPr="00DD331C">
        <w:rPr>
          <w:rFonts w:asciiTheme="majorHAnsi" w:eastAsia="Calibri" w:hAnsiTheme="majorHAnsi" w:cstheme="majorHAnsi"/>
          <w:sz w:val="23"/>
          <w:szCs w:val="23"/>
        </w:rPr>
        <w:t xml:space="preserve"> consequences can be avoided through “more inclusive community planning, a whole-of-government commitment to equal access, and implementation of universal design strategies </w:t>
      </w:r>
      <w:r w:rsidRPr="00DD331C">
        <w:rPr>
          <w:rFonts w:asciiTheme="majorHAnsi" w:eastAsia="Calibri" w:hAnsiTheme="majorHAnsi" w:cstheme="majorHAnsi"/>
          <w:noProof/>
          <w:sz w:val="23"/>
          <w:szCs w:val="23"/>
        </w:rPr>
        <w:t>(2020, p. 336)</w:t>
      </w:r>
      <w:r w:rsidRPr="00DD331C">
        <w:rPr>
          <w:rFonts w:asciiTheme="majorHAnsi" w:eastAsia="Calibri" w:hAnsiTheme="majorHAnsi" w:cstheme="majorHAnsi"/>
          <w:sz w:val="23"/>
          <w:szCs w:val="23"/>
        </w:rPr>
        <w:t>.</w:t>
      </w:r>
    </w:p>
    <w:p w14:paraId="04538F18" w14:textId="7BD1FF05" w:rsidR="00F00E3D" w:rsidRPr="006D6E12" w:rsidRDefault="00F00E3D" w:rsidP="004D51EB">
      <w:pPr>
        <w:spacing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The</w:t>
      </w:r>
      <w:r w:rsidR="00507454">
        <w:rPr>
          <w:rFonts w:asciiTheme="majorHAnsi" w:eastAsia="Calibri" w:hAnsiTheme="majorHAnsi" w:cstheme="majorHAnsi"/>
          <w:sz w:val="23"/>
          <w:szCs w:val="23"/>
        </w:rPr>
        <w:t xml:space="preserve"> study authors</w:t>
      </w:r>
      <w:r w:rsidRPr="00DD331C">
        <w:rPr>
          <w:rFonts w:asciiTheme="majorHAnsi" w:eastAsia="Calibri" w:hAnsiTheme="majorHAnsi" w:cstheme="majorHAnsi"/>
          <w:sz w:val="23"/>
          <w:szCs w:val="23"/>
        </w:rPr>
        <w:t xml:space="preserve"> present the pandemic as an opportunity to address some of the liveability criteria that rate poorly for PWD</w:t>
      </w:r>
      <w:r w:rsidR="00A74269">
        <w:rPr>
          <w:rFonts w:asciiTheme="majorHAnsi" w:eastAsia="Calibri" w:hAnsiTheme="majorHAnsi" w:cstheme="majorHAnsi"/>
          <w:sz w:val="23"/>
          <w:szCs w:val="23"/>
        </w:rPr>
        <w:t>,</w:t>
      </w:r>
      <w:r w:rsidRPr="00DD331C">
        <w:rPr>
          <w:rFonts w:asciiTheme="majorHAnsi" w:eastAsia="Calibri" w:hAnsiTheme="majorHAnsi" w:cstheme="majorHAnsi"/>
          <w:sz w:val="23"/>
          <w:szCs w:val="23"/>
        </w:rPr>
        <w:t xml:space="preserve"> and indeed </w:t>
      </w:r>
      <w:r w:rsidR="00A74269">
        <w:rPr>
          <w:rFonts w:asciiTheme="majorHAnsi" w:eastAsia="Calibri" w:hAnsiTheme="majorHAnsi" w:cstheme="majorHAnsi"/>
          <w:sz w:val="23"/>
          <w:szCs w:val="23"/>
        </w:rPr>
        <w:t>pose a risk to health</w:t>
      </w:r>
      <w:r w:rsidRPr="00DD331C">
        <w:rPr>
          <w:rFonts w:asciiTheme="majorHAnsi" w:eastAsia="Calibri" w:hAnsiTheme="majorHAnsi" w:cstheme="majorHAnsi"/>
          <w:sz w:val="23"/>
          <w:szCs w:val="23"/>
        </w:rPr>
        <w:t xml:space="preserve">, such as “lack of access to services and employment, physical barriers on streets and transportation, and smart-city technologies that are not made universally accessible” </w:t>
      </w:r>
      <w:r w:rsidRPr="00DD331C">
        <w:rPr>
          <w:rFonts w:asciiTheme="majorHAnsi" w:eastAsia="Calibri" w:hAnsiTheme="majorHAnsi" w:cstheme="majorHAnsi"/>
          <w:noProof/>
          <w:sz w:val="23"/>
          <w:szCs w:val="23"/>
        </w:rPr>
        <w:t>(2020, pp. 336-337)</w:t>
      </w:r>
      <w:r w:rsidRPr="00DD331C">
        <w:rPr>
          <w:rFonts w:asciiTheme="majorHAnsi" w:eastAsia="Calibri" w:hAnsiTheme="majorHAnsi" w:cstheme="majorHAnsi"/>
          <w:sz w:val="23"/>
          <w:szCs w:val="23"/>
        </w:rPr>
        <w:t xml:space="preserve">. Striking a similar note, but with a focus on ground-up public engagement in policy making, a Canadian study has argued for forms of intersectional and inclusive community engagement that ensure “that policy making is built on processes of equity, access, and inclusion” </w:t>
      </w:r>
      <w:r w:rsidRPr="00DD331C">
        <w:rPr>
          <w:rFonts w:asciiTheme="majorHAnsi" w:eastAsia="Calibri" w:hAnsiTheme="majorHAnsi" w:cstheme="majorHAnsi"/>
          <w:noProof/>
          <w:sz w:val="23"/>
          <w:szCs w:val="23"/>
        </w:rPr>
        <w:t>(Cattapan et al., 2020, p. S287)</w:t>
      </w:r>
      <w:r w:rsidRPr="00DD331C">
        <w:rPr>
          <w:rFonts w:asciiTheme="majorHAnsi" w:eastAsia="Calibri" w:hAnsiTheme="majorHAnsi" w:cstheme="majorHAnsi"/>
          <w:sz w:val="23"/>
          <w:szCs w:val="23"/>
        </w:rPr>
        <w:t>.</w:t>
      </w:r>
    </w:p>
    <w:p w14:paraId="14A52E57" w14:textId="4DC070CE" w:rsidR="00F00E3D" w:rsidRPr="003710F5" w:rsidRDefault="00351098" w:rsidP="004D51EB">
      <w:pPr>
        <w:spacing w:line="276" w:lineRule="auto"/>
        <w:rPr>
          <w:rFonts w:eastAsia="Calibri"/>
          <w:b/>
          <w:color w:val="2F5496" w:themeColor="accent1" w:themeShade="BF"/>
          <w:sz w:val="25"/>
          <w:szCs w:val="25"/>
        </w:rPr>
      </w:pPr>
      <w:bookmarkStart w:id="86" w:name="_Hlk45201841"/>
      <w:bookmarkEnd w:id="83"/>
      <w:r w:rsidRPr="003710F5">
        <w:rPr>
          <w:rFonts w:eastAsia="Calibri"/>
          <w:b/>
          <w:color w:val="2F5496" w:themeColor="accent1" w:themeShade="BF"/>
          <w:sz w:val="25"/>
          <w:szCs w:val="25"/>
        </w:rPr>
        <w:t xml:space="preserve">6.1.7 Summary: </w:t>
      </w:r>
      <w:r w:rsidR="00F00E3D" w:rsidRPr="003710F5">
        <w:rPr>
          <w:rFonts w:eastAsia="Calibri"/>
          <w:b/>
          <w:color w:val="2F5496" w:themeColor="accent1" w:themeShade="BF"/>
          <w:sz w:val="25"/>
          <w:szCs w:val="25"/>
        </w:rPr>
        <w:t>National Trends</w:t>
      </w:r>
      <w:r w:rsidR="00F00E3D" w:rsidRPr="003710F5">
        <w:rPr>
          <w:rFonts w:eastAsia="Calibri"/>
          <w:b/>
          <w:bCs/>
          <w:color w:val="2F5496" w:themeColor="accent1" w:themeShade="BF"/>
          <w:sz w:val="25"/>
          <w:szCs w:val="25"/>
        </w:rPr>
        <w:t xml:space="preserve"> </w:t>
      </w:r>
      <w:r w:rsidRPr="003710F5">
        <w:rPr>
          <w:rFonts w:eastAsia="Calibri"/>
          <w:b/>
          <w:bCs/>
          <w:color w:val="2F5496" w:themeColor="accent1" w:themeShade="BF"/>
          <w:sz w:val="25"/>
          <w:szCs w:val="25"/>
        </w:rPr>
        <w:t>and Impacts on Disadvantage</w:t>
      </w:r>
    </w:p>
    <w:p w14:paraId="1FEF6FF0" w14:textId="094CF854" w:rsidR="00F00E3D" w:rsidRPr="00DD331C" w:rsidRDefault="00F00E3D" w:rsidP="004D51EB">
      <w:pPr>
        <w:spacing w:line="276" w:lineRule="auto"/>
        <w:rPr>
          <w:rFonts w:asciiTheme="majorHAnsi" w:eastAsiaTheme="majorEastAsia" w:hAnsiTheme="majorHAnsi" w:cstheme="majorBidi"/>
          <w:sz w:val="23"/>
          <w:szCs w:val="23"/>
        </w:rPr>
      </w:pPr>
      <w:r w:rsidRPr="00DD331C">
        <w:rPr>
          <w:rFonts w:asciiTheme="majorHAnsi" w:eastAsiaTheme="majorEastAsia" w:hAnsiTheme="majorHAnsi" w:cstheme="majorBidi"/>
          <w:sz w:val="23"/>
          <w:szCs w:val="23"/>
        </w:rPr>
        <w:t xml:space="preserve">While the </w:t>
      </w:r>
      <w:r w:rsidR="00940D80">
        <w:rPr>
          <w:rFonts w:asciiTheme="majorHAnsi" w:eastAsiaTheme="majorEastAsia" w:hAnsiTheme="majorHAnsi" w:cstheme="majorBidi"/>
          <w:sz w:val="23"/>
          <w:szCs w:val="23"/>
        </w:rPr>
        <w:t>COVID</w:t>
      </w:r>
      <w:r w:rsidRPr="00DD331C">
        <w:rPr>
          <w:rFonts w:asciiTheme="majorHAnsi" w:eastAsiaTheme="majorEastAsia" w:hAnsiTheme="majorHAnsi" w:cstheme="majorBidi"/>
          <w:sz w:val="23"/>
          <w:szCs w:val="23"/>
        </w:rPr>
        <w:t xml:space="preserve">-19 had a massive impact on Australia’s economy, health system, educational experience, housing market and employment levels, as 2020 progressed, other trends emerged which had particular implications for </w:t>
      </w:r>
      <w:r>
        <w:rPr>
          <w:rFonts w:asciiTheme="majorHAnsi" w:eastAsiaTheme="majorEastAsia" w:hAnsiTheme="majorHAnsi" w:cstheme="majorBidi"/>
          <w:sz w:val="23"/>
          <w:szCs w:val="23"/>
        </w:rPr>
        <w:t>communities affected by disadvantage</w:t>
      </w:r>
      <w:r w:rsidRPr="00DD331C">
        <w:rPr>
          <w:rFonts w:asciiTheme="majorHAnsi" w:eastAsiaTheme="majorEastAsia" w:hAnsiTheme="majorHAnsi" w:cstheme="majorBidi"/>
          <w:sz w:val="23"/>
          <w:szCs w:val="23"/>
        </w:rPr>
        <w:t>. In particular:</w:t>
      </w:r>
    </w:p>
    <w:p w14:paraId="3FA603BC" w14:textId="08787945" w:rsidR="00F00E3D" w:rsidRPr="00D337B4" w:rsidRDefault="00F00E3D" w:rsidP="004D51EB">
      <w:pPr>
        <w:spacing w:line="276" w:lineRule="auto"/>
        <w:rPr>
          <w:rFonts w:asciiTheme="majorHAnsi" w:eastAsiaTheme="majorEastAsia" w:hAnsiTheme="majorHAnsi" w:cstheme="majorBidi"/>
          <w:color w:val="000000" w:themeColor="text1"/>
          <w:sz w:val="23"/>
          <w:szCs w:val="23"/>
        </w:rPr>
      </w:pPr>
      <w:r w:rsidRPr="00E408A0">
        <w:rPr>
          <w:rFonts w:eastAsiaTheme="majorEastAsia" w:cstheme="minorHAnsi"/>
          <w:b/>
          <w:bCs/>
          <w:color w:val="000000" w:themeColor="text1"/>
          <w:sz w:val="23"/>
          <w:szCs w:val="23"/>
        </w:rPr>
        <w:t>Education</w:t>
      </w:r>
      <w:r w:rsidR="00D337B4" w:rsidRPr="00E408A0">
        <w:rPr>
          <w:rFonts w:eastAsiaTheme="majorEastAsia" w:cstheme="minorHAnsi"/>
          <w:b/>
          <w:bCs/>
          <w:color w:val="000000" w:themeColor="text1"/>
          <w:sz w:val="23"/>
          <w:szCs w:val="23"/>
        </w:rPr>
        <w:t>:</w:t>
      </w:r>
      <w:r w:rsidRPr="00D337B4">
        <w:rPr>
          <w:rFonts w:asciiTheme="majorHAnsi" w:eastAsiaTheme="majorEastAsia" w:hAnsiTheme="majorHAnsi" w:cstheme="majorBidi"/>
          <w:color w:val="000000" w:themeColor="text1"/>
          <w:sz w:val="23"/>
          <w:szCs w:val="23"/>
        </w:rPr>
        <w:t xml:space="preserve"> The challenges of online learning and home schooling were particularly felt by </w:t>
      </w:r>
      <w:r w:rsidR="004B2477">
        <w:rPr>
          <w:rFonts w:asciiTheme="majorHAnsi" w:eastAsiaTheme="majorEastAsia" w:hAnsiTheme="majorHAnsi" w:cstheme="majorBidi"/>
          <w:color w:val="000000" w:themeColor="text1"/>
          <w:sz w:val="23"/>
          <w:szCs w:val="23"/>
        </w:rPr>
        <w:t>people</w:t>
      </w:r>
      <w:r w:rsidRPr="00D337B4">
        <w:rPr>
          <w:rFonts w:asciiTheme="majorHAnsi" w:eastAsiaTheme="majorEastAsia" w:hAnsiTheme="majorHAnsi" w:cstheme="majorBidi"/>
          <w:color w:val="000000" w:themeColor="text1"/>
          <w:sz w:val="23"/>
          <w:szCs w:val="23"/>
        </w:rPr>
        <w:t xml:space="preserve"> in disadvantage</w:t>
      </w:r>
      <w:r w:rsidR="003833C0">
        <w:rPr>
          <w:rFonts w:asciiTheme="majorHAnsi" w:eastAsiaTheme="majorEastAsia" w:hAnsiTheme="majorHAnsi" w:cstheme="majorBidi"/>
          <w:color w:val="000000" w:themeColor="text1"/>
          <w:sz w:val="23"/>
          <w:szCs w:val="23"/>
        </w:rPr>
        <w:t>d</w:t>
      </w:r>
      <w:r w:rsidRPr="00D337B4">
        <w:rPr>
          <w:rFonts w:asciiTheme="majorHAnsi" w:eastAsiaTheme="majorEastAsia" w:hAnsiTheme="majorHAnsi" w:cstheme="majorBidi"/>
          <w:color w:val="000000" w:themeColor="text1"/>
          <w:sz w:val="23"/>
          <w:szCs w:val="23"/>
        </w:rPr>
        <w:t xml:space="preserve"> communities who had precarious employment, low levels of </w:t>
      </w:r>
      <w:r w:rsidR="003833C0">
        <w:rPr>
          <w:rFonts w:asciiTheme="majorHAnsi" w:eastAsiaTheme="majorEastAsia" w:hAnsiTheme="majorHAnsi" w:cstheme="majorBidi"/>
          <w:color w:val="000000" w:themeColor="text1"/>
          <w:sz w:val="23"/>
          <w:szCs w:val="23"/>
        </w:rPr>
        <w:t>digital inclusion,</w:t>
      </w:r>
      <w:r w:rsidRPr="00D337B4">
        <w:rPr>
          <w:rFonts w:asciiTheme="majorHAnsi" w:eastAsiaTheme="majorEastAsia" w:hAnsiTheme="majorHAnsi" w:cstheme="majorBidi"/>
          <w:color w:val="000000" w:themeColor="text1"/>
          <w:sz w:val="23"/>
          <w:szCs w:val="23"/>
        </w:rPr>
        <w:t xml:space="preserve"> and </w:t>
      </w:r>
      <w:r w:rsidR="003833C0">
        <w:rPr>
          <w:rFonts w:asciiTheme="majorHAnsi" w:eastAsiaTheme="majorEastAsia" w:hAnsiTheme="majorHAnsi" w:cstheme="majorBidi"/>
          <w:color w:val="000000" w:themeColor="text1"/>
          <w:sz w:val="23"/>
          <w:szCs w:val="23"/>
        </w:rPr>
        <w:t>unsuitable</w:t>
      </w:r>
      <w:r w:rsidRPr="00D337B4">
        <w:rPr>
          <w:rFonts w:asciiTheme="majorHAnsi" w:eastAsiaTheme="majorEastAsia" w:hAnsiTheme="majorHAnsi" w:cstheme="majorBidi"/>
          <w:color w:val="000000" w:themeColor="text1"/>
          <w:sz w:val="23"/>
          <w:szCs w:val="23"/>
        </w:rPr>
        <w:t xml:space="preserve"> home environments in which to study. The extra burden home schooling placed on these groups, as well as on Indigenous students </w:t>
      </w:r>
      <w:r w:rsidR="003833C0">
        <w:rPr>
          <w:rFonts w:asciiTheme="majorHAnsi" w:eastAsiaTheme="majorEastAsia" w:hAnsiTheme="majorHAnsi" w:cstheme="majorBidi"/>
          <w:color w:val="000000" w:themeColor="text1"/>
          <w:sz w:val="23"/>
          <w:szCs w:val="23"/>
        </w:rPr>
        <w:t xml:space="preserve">and those </w:t>
      </w:r>
      <w:r w:rsidRPr="00D337B4">
        <w:rPr>
          <w:rFonts w:asciiTheme="majorHAnsi" w:eastAsiaTheme="majorEastAsia" w:hAnsiTheme="majorHAnsi" w:cstheme="majorBidi"/>
          <w:color w:val="000000" w:themeColor="text1"/>
          <w:sz w:val="23"/>
          <w:szCs w:val="23"/>
        </w:rPr>
        <w:t>with disability, suggests the need for targeted make</w:t>
      </w:r>
      <w:r w:rsidR="003833C0">
        <w:rPr>
          <w:rFonts w:asciiTheme="majorHAnsi" w:eastAsiaTheme="majorEastAsia" w:hAnsiTheme="majorHAnsi" w:cstheme="majorBidi"/>
          <w:color w:val="000000" w:themeColor="text1"/>
          <w:sz w:val="23"/>
          <w:szCs w:val="23"/>
        </w:rPr>
        <w:t>-</w:t>
      </w:r>
      <w:r w:rsidRPr="00D337B4">
        <w:rPr>
          <w:rFonts w:asciiTheme="majorHAnsi" w:eastAsiaTheme="majorEastAsia" w:hAnsiTheme="majorHAnsi" w:cstheme="majorBidi"/>
          <w:color w:val="000000" w:themeColor="text1"/>
          <w:sz w:val="23"/>
          <w:szCs w:val="23"/>
        </w:rPr>
        <w:t>up programs (</w:t>
      </w:r>
      <w:r w:rsidR="00781AD4">
        <w:rPr>
          <w:rFonts w:asciiTheme="majorHAnsi" w:eastAsiaTheme="majorEastAsia" w:hAnsiTheme="majorHAnsi" w:cstheme="majorBidi"/>
          <w:color w:val="000000" w:themeColor="text1"/>
          <w:sz w:val="23"/>
          <w:szCs w:val="23"/>
        </w:rPr>
        <w:t>including</w:t>
      </w:r>
      <w:r w:rsidRPr="00D337B4">
        <w:rPr>
          <w:rFonts w:asciiTheme="majorHAnsi" w:eastAsiaTheme="majorEastAsia" w:hAnsiTheme="majorHAnsi" w:cstheme="majorBidi"/>
          <w:color w:val="000000" w:themeColor="text1"/>
          <w:sz w:val="23"/>
          <w:szCs w:val="23"/>
        </w:rPr>
        <w:t xml:space="preserve"> the</w:t>
      </w:r>
      <w:r w:rsidR="00781AD4">
        <w:rPr>
          <w:rFonts w:asciiTheme="majorHAnsi" w:eastAsiaTheme="majorEastAsia" w:hAnsiTheme="majorHAnsi" w:cstheme="majorBidi"/>
          <w:color w:val="000000" w:themeColor="text1"/>
          <w:sz w:val="23"/>
          <w:szCs w:val="23"/>
        </w:rPr>
        <w:t xml:space="preserve"> Victorian Government’s</w:t>
      </w:r>
      <w:r w:rsidRPr="00D337B4">
        <w:rPr>
          <w:rFonts w:asciiTheme="majorHAnsi" w:eastAsiaTheme="majorEastAsia" w:hAnsiTheme="majorHAnsi" w:cstheme="majorBidi"/>
          <w:color w:val="000000" w:themeColor="text1"/>
          <w:sz w:val="23"/>
          <w:szCs w:val="23"/>
        </w:rPr>
        <w:t xml:space="preserve"> </w:t>
      </w:r>
      <w:r w:rsidR="00781AD4" w:rsidRPr="00781AD4">
        <w:rPr>
          <w:rFonts w:asciiTheme="majorHAnsi" w:eastAsiaTheme="majorEastAsia" w:hAnsiTheme="majorHAnsi" w:cstheme="majorBidi"/>
          <w:color w:val="000000" w:themeColor="text1"/>
          <w:sz w:val="23"/>
          <w:szCs w:val="23"/>
        </w:rPr>
        <w:t>Tutor Learning Initiative</w:t>
      </w:r>
      <w:r w:rsidR="00781AD4">
        <w:rPr>
          <w:rFonts w:asciiTheme="majorHAnsi" w:eastAsiaTheme="majorEastAsia" w:hAnsiTheme="majorHAnsi" w:cstheme="majorBidi"/>
          <w:color w:val="000000" w:themeColor="text1"/>
          <w:sz w:val="23"/>
          <w:szCs w:val="23"/>
        </w:rPr>
        <w:t xml:space="preserve"> 2021</w:t>
      </w:r>
      <w:r w:rsidRPr="00D337B4">
        <w:rPr>
          <w:rFonts w:asciiTheme="majorHAnsi" w:eastAsiaTheme="majorEastAsia" w:hAnsiTheme="majorHAnsi" w:cstheme="majorBidi"/>
          <w:color w:val="000000" w:themeColor="text1"/>
          <w:sz w:val="23"/>
          <w:szCs w:val="23"/>
        </w:rPr>
        <w:t xml:space="preserve">). </w:t>
      </w:r>
    </w:p>
    <w:p w14:paraId="5EEA09F4" w14:textId="16B86279" w:rsidR="0054132C" w:rsidRDefault="00F00E3D" w:rsidP="001E7B37">
      <w:pPr>
        <w:spacing w:after="0" w:line="276" w:lineRule="auto"/>
        <w:rPr>
          <w:rFonts w:asciiTheme="majorHAnsi" w:eastAsiaTheme="majorEastAsia" w:hAnsiTheme="majorHAnsi" w:cstheme="majorBidi"/>
          <w:color w:val="000000" w:themeColor="text1"/>
          <w:sz w:val="23"/>
          <w:szCs w:val="23"/>
        </w:rPr>
      </w:pPr>
      <w:r w:rsidRPr="00E408A0">
        <w:rPr>
          <w:rFonts w:eastAsiaTheme="majorEastAsia" w:cstheme="minorHAnsi"/>
          <w:b/>
          <w:bCs/>
          <w:color w:val="000000" w:themeColor="text1"/>
          <w:sz w:val="23"/>
          <w:szCs w:val="23"/>
        </w:rPr>
        <w:t>Employment</w:t>
      </w:r>
      <w:r w:rsidR="00D337B4" w:rsidRPr="00E408A0">
        <w:rPr>
          <w:rFonts w:eastAsiaTheme="majorEastAsia" w:cstheme="minorHAnsi"/>
          <w:b/>
          <w:bCs/>
          <w:color w:val="000000" w:themeColor="text1"/>
          <w:sz w:val="23"/>
          <w:szCs w:val="23"/>
        </w:rPr>
        <w:t>:</w:t>
      </w:r>
      <w:r w:rsidRPr="00D337B4">
        <w:rPr>
          <w:rFonts w:asciiTheme="majorHAnsi" w:eastAsiaTheme="majorEastAsia" w:hAnsiTheme="majorHAnsi" w:cstheme="majorBidi"/>
          <w:color w:val="000000" w:themeColor="text1"/>
          <w:sz w:val="23"/>
          <w:szCs w:val="23"/>
        </w:rPr>
        <w:t xml:space="preserve"> While </w:t>
      </w:r>
      <w:r w:rsidR="003833C0">
        <w:rPr>
          <w:rFonts w:asciiTheme="majorHAnsi" w:eastAsiaTheme="majorEastAsia" w:hAnsiTheme="majorHAnsi" w:cstheme="majorBidi"/>
          <w:color w:val="000000" w:themeColor="text1"/>
          <w:sz w:val="23"/>
          <w:szCs w:val="23"/>
        </w:rPr>
        <w:t>the</w:t>
      </w:r>
      <w:r w:rsidRPr="00D337B4">
        <w:rPr>
          <w:rFonts w:asciiTheme="majorHAnsi" w:eastAsiaTheme="majorEastAsia" w:hAnsiTheme="majorHAnsi" w:cstheme="majorBidi"/>
          <w:color w:val="000000" w:themeColor="text1"/>
          <w:sz w:val="23"/>
          <w:szCs w:val="23"/>
        </w:rPr>
        <w:t xml:space="preserve"> Australian economy </w:t>
      </w:r>
      <w:r w:rsidR="0066513F">
        <w:rPr>
          <w:rFonts w:asciiTheme="majorHAnsi" w:eastAsiaTheme="majorEastAsia" w:hAnsiTheme="majorHAnsi" w:cstheme="majorBidi"/>
          <w:color w:val="000000" w:themeColor="text1"/>
          <w:sz w:val="23"/>
          <w:szCs w:val="23"/>
        </w:rPr>
        <w:t xml:space="preserve">is </w:t>
      </w:r>
      <w:r w:rsidRPr="00D337B4">
        <w:rPr>
          <w:rFonts w:asciiTheme="majorHAnsi" w:eastAsiaTheme="majorEastAsia" w:hAnsiTheme="majorHAnsi" w:cstheme="majorBidi"/>
          <w:color w:val="000000" w:themeColor="text1"/>
          <w:sz w:val="23"/>
          <w:szCs w:val="23"/>
        </w:rPr>
        <w:t>recover</w:t>
      </w:r>
      <w:r w:rsidR="0066513F">
        <w:rPr>
          <w:rFonts w:asciiTheme="majorHAnsi" w:eastAsiaTheme="majorEastAsia" w:hAnsiTheme="majorHAnsi" w:cstheme="majorBidi"/>
          <w:color w:val="000000" w:themeColor="text1"/>
          <w:sz w:val="23"/>
          <w:szCs w:val="23"/>
        </w:rPr>
        <w:t>ing</w:t>
      </w:r>
      <w:r w:rsidRPr="00D337B4">
        <w:rPr>
          <w:rFonts w:asciiTheme="majorHAnsi" w:eastAsiaTheme="majorEastAsia" w:hAnsiTheme="majorHAnsi" w:cstheme="majorBidi"/>
          <w:color w:val="000000" w:themeColor="text1"/>
          <w:sz w:val="23"/>
          <w:szCs w:val="23"/>
        </w:rPr>
        <w:t xml:space="preserve"> from the </w:t>
      </w:r>
      <w:r w:rsidR="00940D80" w:rsidRPr="00D337B4">
        <w:rPr>
          <w:rFonts w:asciiTheme="majorHAnsi" w:eastAsiaTheme="majorEastAsia" w:hAnsiTheme="majorHAnsi" w:cstheme="majorBidi"/>
          <w:color w:val="000000" w:themeColor="text1"/>
          <w:sz w:val="23"/>
          <w:szCs w:val="23"/>
        </w:rPr>
        <w:t>COVID</w:t>
      </w:r>
      <w:r w:rsidRPr="00D337B4">
        <w:rPr>
          <w:rFonts w:asciiTheme="majorHAnsi" w:eastAsiaTheme="majorEastAsia" w:hAnsiTheme="majorHAnsi" w:cstheme="majorBidi"/>
          <w:color w:val="000000" w:themeColor="text1"/>
          <w:sz w:val="23"/>
          <w:szCs w:val="23"/>
        </w:rPr>
        <w:t xml:space="preserve">-19 recession better than expected, there was a massive rise and then gradual fall in unemployment levels, especially in the areas of retail, accommodation, hospitality and personal services. The impacts of increased unemployment and underemployment were felt hardest by the young, women and those already in communities affected by disadvantage, who are now especially vulnerable </w:t>
      </w:r>
      <w:r w:rsidR="004536A3">
        <w:rPr>
          <w:rFonts w:asciiTheme="majorHAnsi" w:eastAsiaTheme="majorEastAsia" w:hAnsiTheme="majorHAnsi" w:cstheme="majorBidi"/>
          <w:color w:val="000000" w:themeColor="text1"/>
          <w:sz w:val="23"/>
          <w:szCs w:val="23"/>
        </w:rPr>
        <w:t xml:space="preserve">given the March 2021 cessation of both </w:t>
      </w:r>
      <w:r w:rsidR="0092376E">
        <w:rPr>
          <w:rFonts w:asciiTheme="majorHAnsi" w:eastAsiaTheme="majorEastAsia" w:hAnsiTheme="majorHAnsi" w:cstheme="majorBidi"/>
          <w:color w:val="000000" w:themeColor="text1"/>
          <w:sz w:val="23"/>
          <w:szCs w:val="23"/>
        </w:rPr>
        <w:t xml:space="preserve">the </w:t>
      </w:r>
      <w:r w:rsidR="004536A3">
        <w:rPr>
          <w:rFonts w:asciiTheme="majorHAnsi" w:eastAsiaTheme="majorEastAsia" w:hAnsiTheme="majorHAnsi" w:cstheme="majorBidi"/>
          <w:color w:val="000000" w:themeColor="text1"/>
          <w:sz w:val="23"/>
          <w:szCs w:val="23"/>
        </w:rPr>
        <w:t xml:space="preserve">JobKeeper </w:t>
      </w:r>
      <w:r w:rsidR="0092376E">
        <w:rPr>
          <w:rFonts w:asciiTheme="majorHAnsi" w:eastAsiaTheme="majorEastAsia" w:hAnsiTheme="majorHAnsi" w:cstheme="majorBidi"/>
          <w:color w:val="000000" w:themeColor="text1"/>
          <w:sz w:val="23"/>
          <w:szCs w:val="23"/>
        </w:rPr>
        <w:t xml:space="preserve">scheme </w:t>
      </w:r>
      <w:r w:rsidR="004536A3">
        <w:rPr>
          <w:rFonts w:asciiTheme="majorHAnsi" w:eastAsiaTheme="majorEastAsia" w:hAnsiTheme="majorHAnsi" w:cstheme="majorBidi"/>
          <w:color w:val="000000" w:themeColor="text1"/>
          <w:sz w:val="23"/>
          <w:szCs w:val="23"/>
        </w:rPr>
        <w:t xml:space="preserve">and the JobSeeker </w:t>
      </w:r>
      <w:r w:rsidRPr="00D337B4">
        <w:rPr>
          <w:rFonts w:asciiTheme="majorHAnsi" w:eastAsiaTheme="majorEastAsia" w:hAnsiTheme="majorHAnsi" w:cstheme="majorBidi"/>
          <w:color w:val="000000" w:themeColor="text1"/>
          <w:sz w:val="23"/>
          <w:szCs w:val="23"/>
        </w:rPr>
        <w:t xml:space="preserve">supplement. In addition, wholesale changes to Australian workplaces </w:t>
      </w:r>
      <w:r w:rsidR="0092376E">
        <w:rPr>
          <w:rFonts w:asciiTheme="majorHAnsi" w:eastAsiaTheme="majorEastAsia" w:hAnsiTheme="majorHAnsi" w:cstheme="majorBidi"/>
          <w:color w:val="000000" w:themeColor="text1"/>
          <w:sz w:val="23"/>
          <w:szCs w:val="23"/>
        </w:rPr>
        <w:t>due to</w:t>
      </w:r>
      <w:r w:rsidRPr="00D337B4">
        <w:rPr>
          <w:rFonts w:asciiTheme="majorHAnsi" w:eastAsiaTheme="majorEastAsia" w:hAnsiTheme="majorHAnsi" w:cstheme="majorBidi"/>
          <w:color w:val="000000" w:themeColor="text1"/>
          <w:sz w:val="23"/>
          <w:szCs w:val="23"/>
        </w:rPr>
        <w:t xml:space="preserve"> remote working had an inequal impact, with casual and part-time workers significantly less likely to have positions (or resources) </w:t>
      </w:r>
      <w:r w:rsidR="004536A3">
        <w:rPr>
          <w:rFonts w:asciiTheme="majorHAnsi" w:eastAsiaTheme="majorEastAsia" w:hAnsiTheme="majorHAnsi" w:cstheme="majorBidi"/>
          <w:color w:val="000000" w:themeColor="text1"/>
          <w:sz w:val="23"/>
          <w:szCs w:val="23"/>
        </w:rPr>
        <w:t>that</w:t>
      </w:r>
      <w:r w:rsidRPr="00D337B4">
        <w:rPr>
          <w:rFonts w:asciiTheme="majorHAnsi" w:eastAsiaTheme="majorEastAsia" w:hAnsiTheme="majorHAnsi" w:cstheme="majorBidi"/>
          <w:color w:val="000000" w:themeColor="text1"/>
          <w:sz w:val="23"/>
          <w:szCs w:val="23"/>
        </w:rPr>
        <w:t xml:space="preserve"> enabled working from home.</w:t>
      </w:r>
    </w:p>
    <w:p w14:paraId="45BF1989" w14:textId="32887850" w:rsidR="0054132C" w:rsidRPr="00315E6E" w:rsidRDefault="0054132C" w:rsidP="001E7B37">
      <w:pPr>
        <w:spacing w:after="0" w:line="276" w:lineRule="auto"/>
        <w:rPr>
          <w:rFonts w:asciiTheme="majorHAnsi" w:eastAsiaTheme="majorEastAsia" w:hAnsiTheme="majorHAnsi" w:cstheme="majorBidi"/>
          <w:color w:val="000000" w:themeColor="text1"/>
          <w:sz w:val="12"/>
          <w:szCs w:val="12"/>
        </w:rPr>
      </w:pPr>
    </w:p>
    <w:p w14:paraId="2FA13445" w14:textId="565F1641" w:rsidR="00315E6E" w:rsidRDefault="00F00E3D" w:rsidP="001E7B37">
      <w:pPr>
        <w:widowControl w:val="0"/>
        <w:spacing w:line="276" w:lineRule="auto"/>
        <w:rPr>
          <w:rFonts w:asciiTheme="majorHAnsi" w:eastAsiaTheme="majorEastAsia" w:hAnsiTheme="majorHAnsi" w:cstheme="majorBidi"/>
          <w:color w:val="000000" w:themeColor="text1"/>
          <w:sz w:val="23"/>
          <w:szCs w:val="23"/>
        </w:rPr>
      </w:pPr>
      <w:r w:rsidRPr="00E408A0">
        <w:rPr>
          <w:rFonts w:eastAsiaTheme="majorEastAsia" w:cstheme="minorHAnsi"/>
          <w:b/>
          <w:bCs/>
          <w:color w:val="000000" w:themeColor="text1"/>
          <w:sz w:val="23"/>
          <w:szCs w:val="23"/>
        </w:rPr>
        <w:t xml:space="preserve">Health and </w:t>
      </w:r>
      <w:r w:rsidR="00D337B4" w:rsidRPr="00E408A0">
        <w:rPr>
          <w:rFonts w:eastAsiaTheme="majorEastAsia" w:cstheme="minorHAnsi"/>
          <w:b/>
          <w:bCs/>
          <w:color w:val="000000" w:themeColor="text1"/>
          <w:sz w:val="23"/>
          <w:szCs w:val="23"/>
        </w:rPr>
        <w:t>W</w:t>
      </w:r>
      <w:r w:rsidRPr="00E408A0">
        <w:rPr>
          <w:rFonts w:eastAsiaTheme="majorEastAsia" w:cstheme="minorHAnsi"/>
          <w:b/>
          <w:bCs/>
          <w:color w:val="000000" w:themeColor="text1"/>
          <w:sz w:val="23"/>
          <w:szCs w:val="23"/>
        </w:rPr>
        <w:t>ellbeing</w:t>
      </w:r>
      <w:r w:rsidR="00D337B4" w:rsidRPr="00E408A0">
        <w:rPr>
          <w:rFonts w:eastAsiaTheme="majorEastAsia" w:cstheme="minorHAnsi"/>
          <w:b/>
          <w:bCs/>
          <w:color w:val="000000" w:themeColor="text1"/>
          <w:sz w:val="23"/>
          <w:szCs w:val="23"/>
        </w:rPr>
        <w:t>:</w:t>
      </w:r>
      <w:r w:rsidR="00D337B4">
        <w:rPr>
          <w:rFonts w:asciiTheme="majorHAnsi" w:eastAsiaTheme="majorEastAsia" w:hAnsiTheme="majorHAnsi" w:cstheme="majorBidi"/>
          <w:color w:val="000000" w:themeColor="text1"/>
          <w:sz w:val="23"/>
          <w:szCs w:val="23"/>
        </w:rPr>
        <w:t xml:space="preserve"> </w:t>
      </w:r>
      <w:r w:rsidRPr="00D337B4">
        <w:rPr>
          <w:rFonts w:asciiTheme="majorHAnsi" w:eastAsiaTheme="majorEastAsia" w:hAnsiTheme="majorHAnsi" w:cstheme="majorBidi"/>
          <w:color w:val="000000" w:themeColor="text1"/>
          <w:sz w:val="23"/>
          <w:szCs w:val="23"/>
        </w:rPr>
        <w:t xml:space="preserve">While </w:t>
      </w:r>
      <w:r w:rsidR="003833C0">
        <w:rPr>
          <w:rFonts w:asciiTheme="majorHAnsi" w:eastAsiaTheme="majorEastAsia" w:hAnsiTheme="majorHAnsi" w:cstheme="majorBidi"/>
          <w:color w:val="000000" w:themeColor="text1"/>
          <w:sz w:val="23"/>
          <w:szCs w:val="23"/>
        </w:rPr>
        <w:t>relatively few</w:t>
      </w:r>
      <w:r w:rsidRPr="00D337B4">
        <w:rPr>
          <w:rFonts w:asciiTheme="majorHAnsi" w:eastAsiaTheme="majorEastAsia" w:hAnsiTheme="majorHAnsi" w:cstheme="majorBidi"/>
          <w:color w:val="000000" w:themeColor="text1"/>
          <w:sz w:val="23"/>
          <w:szCs w:val="23"/>
        </w:rPr>
        <w:t xml:space="preserve"> Australians </w:t>
      </w:r>
      <w:r w:rsidR="003833C0">
        <w:rPr>
          <w:rFonts w:asciiTheme="majorHAnsi" w:eastAsiaTheme="majorEastAsia" w:hAnsiTheme="majorHAnsi" w:cstheme="majorBidi"/>
          <w:color w:val="000000" w:themeColor="text1"/>
          <w:sz w:val="23"/>
          <w:szCs w:val="23"/>
        </w:rPr>
        <w:t>have been</w:t>
      </w:r>
      <w:r w:rsidRPr="00D337B4">
        <w:rPr>
          <w:rFonts w:asciiTheme="majorHAnsi" w:eastAsiaTheme="majorEastAsia" w:hAnsiTheme="majorHAnsi" w:cstheme="majorBidi"/>
          <w:color w:val="000000" w:themeColor="text1"/>
          <w:sz w:val="23"/>
          <w:szCs w:val="23"/>
        </w:rPr>
        <w:t xml:space="preserve"> </w:t>
      </w:r>
      <w:r w:rsidR="0066513F">
        <w:rPr>
          <w:rFonts w:asciiTheme="majorHAnsi" w:eastAsiaTheme="majorEastAsia" w:hAnsiTheme="majorHAnsi" w:cstheme="majorBidi"/>
          <w:color w:val="000000" w:themeColor="text1"/>
          <w:sz w:val="23"/>
          <w:szCs w:val="23"/>
        </w:rPr>
        <w:t>directly impacted by the coronavirus itself</w:t>
      </w:r>
      <w:r w:rsidRPr="00D337B4">
        <w:rPr>
          <w:rFonts w:asciiTheme="majorHAnsi" w:eastAsiaTheme="majorEastAsia" w:hAnsiTheme="majorHAnsi" w:cstheme="majorBidi"/>
          <w:color w:val="000000" w:themeColor="text1"/>
          <w:sz w:val="23"/>
          <w:szCs w:val="23"/>
        </w:rPr>
        <w:t xml:space="preserve">, </w:t>
      </w:r>
      <w:r w:rsidR="0066513F">
        <w:rPr>
          <w:rFonts w:asciiTheme="majorHAnsi" w:eastAsiaTheme="majorEastAsia" w:hAnsiTheme="majorHAnsi" w:cstheme="majorBidi"/>
          <w:color w:val="000000" w:themeColor="text1"/>
          <w:sz w:val="23"/>
          <w:szCs w:val="23"/>
        </w:rPr>
        <w:t>a high proportion</w:t>
      </w:r>
      <w:r w:rsidR="00315E6E">
        <w:rPr>
          <w:rFonts w:asciiTheme="majorHAnsi" w:eastAsiaTheme="majorEastAsia" w:hAnsiTheme="majorHAnsi" w:cstheme="majorBidi"/>
          <w:color w:val="000000" w:themeColor="text1"/>
          <w:sz w:val="23"/>
          <w:szCs w:val="23"/>
        </w:rPr>
        <w:t xml:space="preserve"> have</w:t>
      </w:r>
      <w:r w:rsidR="0066513F">
        <w:rPr>
          <w:rFonts w:asciiTheme="majorHAnsi" w:eastAsiaTheme="majorEastAsia" w:hAnsiTheme="majorHAnsi" w:cstheme="majorBidi"/>
          <w:color w:val="000000" w:themeColor="text1"/>
          <w:sz w:val="23"/>
          <w:szCs w:val="23"/>
        </w:rPr>
        <w:t xml:space="preserve"> </w:t>
      </w:r>
      <w:r w:rsidR="003833C0">
        <w:rPr>
          <w:rFonts w:asciiTheme="majorHAnsi" w:eastAsiaTheme="majorEastAsia" w:hAnsiTheme="majorHAnsi" w:cstheme="majorBidi"/>
          <w:color w:val="000000" w:themeColor="text1"/>
          <w:sz w:val="23"/>
          <w:szCs w:val="23"/>
        </w:rPr>
        <w:t>experienced impacts on</w:t>
      </w:r>
      <w:r w:rsidRPr="00D337B4">
        <w:rPr>
          <w:rFonts w:asciiTheme="majorHAnsi" w:eastAsiaTheme="majorEastAsia" w:hAnsiTheme="majorHAnsi" w:cstheme="majorBidi"/>
          <w:color w:val="000000" w:themeColor="text1"/>
          <w:sz w:val="23"/>
          <w:szCs w:val="23"/>
        </w:rPr>
        <w:t xml:space="preserve"> mental health, physical activity levels</w:t>
      </w:r>
      <w:r w:rsidR="0066513F">
        <w:rPr>
          <w:rFonts w:asciiTheme="majorHAnsi" w:eastAsiaTheme="majorEastAsia" w:hAnsiTheme="majorHAnsi" w:cstheme="majorBidi"/>
          <w:color w:val="000000" w:themeColor="text1"/>
          <w:sz w:val="23"/>
          <w:szCs w:val="23"/>
        </w:rPr>
        <w:t>,</w:t>
      </w:r>
      <w:r w:rsidRPr="00D337B4">
        <w:rPr>
          <w:rFonts w:asciiTheme="majorHAnsi" w:eastAsiaTheme="majorEastAsia" w:hAnsiTheme="majorHAnsi" w:cstheme="majorBidi"/>
          <w:color w:val="000000" w:themeColor="text1"/>
          <w:sz w:val="23"/>
          <w:szCs w:val="23"/>
        </w:rPr>
        <w:t xml:space="preserve"> and wellbeing</w:t>
      </w:r>
      <w:r w:rsidR="00A807E5">
        <w:rPr>
          <w:rFonts w:asciiTheme="majorHAnsi" w:eastAsiaTheme="majorEastAsia" w:hAnsiTheme="majorHAnsi" w:cstheme="majorBidi"/>
          <w:color w:val="000000" w:themeColor="text1"/>
          <w:sz w:val="23"/>
          <w:szCs w:val="23"/>
        </w:rPr>
        <w:t xml:space="preserve">. </w:t>
      </w:r>
      <w:r w:rsidR="003833C0">
        <w:rPr>
          <w:rFonts w:asciiTheme="majorHAnsi" w:eastAsiaTheme="majorEastAsia" w:hAnsiTheme="majorHAnsi" w:cstheme="majorBidi"/>
          <w:color w:val="000000" w:themeColor="text1"/>
          <w:sz w:val="23"/>
          <w:szCs w:val="23"/>
        </w:rPr>
        <w:t>Contributing factors include</w:t>
      </w:r>
      <w:r w:rsidR="00A807E5">
        <w:rPr>
          <w:rFonts w:asciiTheme="majorHAnsi" w:eastAsiaTheme="majorEastAsia" w:hAnsiTheme="majorHAnsi" w:cstheme="majorBidi"/>
          <w:color w:val="000000" w:themeColor="text1"/>
          <w:sz w:val="23"/>
          <w:szCs w:val="23"/>
        </w:rPr>
        <w:t xml:space="preserve"> </w:t>
      </w:r>
      <w:r w:rsidR="0066513F">
        <w:rPr>
          <w:rFonts w:asciiTheme="majorHAnsi" w:eastAsiaTheme="majorEastAsia" w:hAnsiTheme="majorHAnsi" w:cstheme="majorBidi"/>
          <w:color w:val="000000" w:themeColor="text1"/>
          <w:sz w:val="23"/>
          <w:szCs w:val="23"/>
        </w:rPr>
        <w:t>movement restrictions</w:t>
      </w:r>
      <w:r w:rsidR="00A807E5">
        <w:rPr>
          <w:rFonts w:asciiTheme="majorHAnsi" w:eastAsiaTheme="majorEastAsia" w:hAnsiTheme="majorHAnsi" w:cstheme="majorBidi"/>
          <w:color w:val="000000" w:themeColor="text1"/>
          <w:sz w:val="23"/>
          <w:szCs w:val="23"/>
        </w:rPr>
        <w:t xml:space="preserve"> during lockdowns</w:t>
      </w:r>
      <w:r w:rsidR="0066513F">
        <w:rPr>
          <w:rFonts w:asciiTheme="majorHAnsi" w:eastAsiaTheme="majorEastAsia" w:hAnsiTheme="majorHAnsi" w:cstheme="majorBidi"/>
          <w:color w:val="000000" w:themeColor="text1"/>
          <w:sz w:val="23"/>
          <w:szCs w:val="23"/>
        </w:rPr>
        <w:t>,</w:t>
      </w:r>
      <w:r w:rsidRPr="00D337B4">
        <w:rPr>
          <w:rFonts w:asciiTheme="majorHAnsi" w:eastAsiaTheme="majorEastAsia" w:hAnsiTheme="majorHAnsi" w:cstheme="majorBidi"/>
          <w:color w:val="000000" w:themeColor="text1"/>
          <w:sz w:val="23"/>
          <w:szCs w:val="23"/>
        </w:rPr>
        <w:t xml:space="preserve"> </w:t>
      </w:r>
      <w:r w:rsidR="00507454">
        <w:rPr>
          <w:rFonts w:asciiTheme="majorHAnsi" w:eastAsiaTheme="majorEastAsia" w:hAnsiTheme="majorHAnsi" w:cstheme="majorBidi"/>
          <w:color w:val="000000" w:themeColor="text1"/>
          <w:sz w:val="23"/>
          <w:szCs w:val="23"/>
        </w:rPr>
        <w:t xml:space="preserve">job losses, </w:t>
      </w:r>
      <w:r w:rsidRPr="00D337B4">
        <w:rPr>
          <w:rFonts w:asciiTheme="majorHAnsi" w:eastAsiaTheme="majorEastAsia" w:hAnsiTheme="majorHAnsi" w:cstheme="majorBidi"/>
          <w:color w:val="000000" w:themeColor="text1"/>
          <w:sz w:val="23"/>
          <w:szCs w:val="23"/>
        </w:rPr>
        <w:t>the closure and shrinkage of workplaces</w:t>
      </w:r>
      <w:r w:rsidR="00A807E5">
        <w:rPr>
          <w:rFonts w:asciiTheme="majorHAnsi" w:eastAsiaTheme="majorEastAsia" w:hAnsiTheme="majorHAnsi" w:cstheme="majorBidi"/>
          <w:color w:val="000000" w:themeColor="text1"/>
          <w:sz w:val="23"/>
          <w:szCs w:val="23"/>
        </w:rPr>
        <w:t xml:space="preserve"> and</w:t>
      </w:r>
      <w:r w:rsidRPr="00D337B4">
        <w:rPr>
          <w:rFonts w:asciiTheme="majorHAnsi" w:eastAsiaTheme="majorEastAsia" w:hAnsiTheme="majorHAnsi" w:cstheme="majorBidi"/>
          <w:color w:val="000000" w:themeColor="text1"/>
          <w:sz w:val="23"/>
          <w:szCs w:val="23"/>
        </w:rPr>
        <w:t xml:space="preserve"> leisure spaces</w:t>
      </w:r>
      <w:r w:rsidR="00A807E5">
        <w:rPr>
          <w:rFonts w:asciiTheme="majorHAnsi" w:eastAsiaTheme="majorEastAsia" w:hAnsiTheme="majorHAnsi" w:cstheme="majorBidi"/>
          <w:color w:val="000000" w:themeColor="text1"/>
          <w:sz w:val="23"/>
          <w:szCs w:val="23"/>
        </w:rPr>
        <w:t>, increased stress and uncertainty,</w:t>
      </w:r>
      <w:r w:rsidRPr="00D337B4">
        <w:rPr>
          <w:rFonts w:asciiTheme="majorHAnsi" w:eastAsiaTheme="majorEastAsia" w:hAnsiTheme="majorHAnsi" w:cstheme="majorBidi"/>
          <w:color w:val="000000" w:themeColor="text1"/>
          <w:sz w:val="23"/>
          <w:szCs w:val="23"/>
        </w:rPr>
        <w:t xml:space="preserve"> and </w:t>
      </w:r>
      <w:r w:rsidR="00A807E5">
        <w:rPr>
          <w:rFonts w:asciiTheme="majorHAnsi" w:eastAsiaTheme="majorEastAsia" w:hAnsiTheme="majorHAnsi" w:cstheme="majorBidi"/>
          <w:color w:val="000000" w:themeColor="text1"/>
          <w:sz w:val="23"/>
          <w:szCs w:val="23"/>
        </w:rPr>
        <w:t xml:space="preserve">reduced opportunities for social connection and </w:t>
      </w:r>
      <w:r w:rsidRPr="00D337B4">
        <w:rPr>
          <w:rFonts w:asciiTheme="majorHAnsi" w:eastAsiaTheme="majorEastAsia" w:hAnsiTheme="majorHAnsi" w:cstheme="majorBidi"/>
          <w:color w:val="000000" w:themeColor="text1"/>
          <w:sz w:val="23"/>
          <w:szCs w:val="23"/>
        </w:rPr>
        <w:t xml:space="preserve">family interaction. Food </w:t>
      </w:r>
      <w:r w:rsidR="003833C0">
        <w:rPr>
          <w:rFonts w:asciiTheme="majorHAnsi" w:eastAsiaTheme="majorEastAsia" w:hAnsiTheme="majorHAnsi" w:cstheme="majorBidi"/>
          <w:color w:val="000000" w:themeColor="text1"/>
          <w:sz w:val="23"/>
          <w:szCs w:val="23"/>
        </w:rPr>
        <w:t>in</w:t>
      </w:r>
      <w:r w:rsidRPr="00D337B4">
        <w:rPr>
          <w:rFonts w:asciiTheme="majorHAnsi" w:eastAsiaTheme="majorEastAsia" w:hAnsiTheme="majorHAnsi" w:cstheme="majorBidi"/>
          <w:color w:val="000000" w:themeColor="text1"/>
          <w:sz w:val="23"/>
          <w:szCs w:val="23"/>
        </w:rPr>
        <w:t xml:space="preserve">security also became more pronounced </w:t>
      </w:r>
      <w:r w:rsidR="00A807E5">
        <w:rPr>
          <w:rFonts w:asciiTheme="majorHAnsi" w:eastAsiaTheme="majorEastAsia" w:hAnsiTheme="majorHAnsi" w:cstheme="majorBidi"/>
          <w:color w:val="000000" w:themeColor="text1"/>
          <w:sz w:val="23"/>
          <w:szCs w:val="23"/>
        </w:rPr>
        <w:t>for people</w:t>
      </w:r>
      <w:r w:rsidRPr="00D337B4">
        <w:rPr>
          <w:rFonts w:asciiTheme="majorHAnsi" w:eastAsiaTheme="majorEastAsia" w:hAnsiTheme="majorHAnsi" w:cstheme="majorBidi"/>
          <w:color w:val="000000" w:themeColor="text1"/>
          <w:sz w:val="23"/>
          <w:szCs w:val="23"/>
        </w:rPr>
        <w:t xml:space="preserve"> on low incomes</w:t>
      </w:r>
      <w:r w:rsidR="00A807E5">
        <w:rPr>
          <w:rFonts w:asciiTheme="majorHAnsi" w:eastAsiaTheme="majorEastAsia" w:hAnsiTheme="majorHAnsi" w:cstheme="majorBidi"/>
          <w:color w:val="000000" w:themeColor="text1"/>
          <w:sz w:val="23"/>
          <w:szCs w:val="23"/>
        </w:rPr>
        <w:t>,</w:t>
      </w:r>
      <w:r w:rsidRPr="00D337B4">
        <w:rPr>
          <w:rFonts w:asciiTheme="majorHAnsi" w:eastAsiaTheme="majorEastAsia" w:hAnsiTheme="majorHAnsi" w:cstheme="majorBidi"/>
          <w:color w:val="000000" w:themeColor="text1"/>
          <w:sz w:val="23"/>
          <w:szCs w:val="23"/>
        </w:rPr>
        <w:t xml:space="preserve"> and those who already </w:t>
      </w:r>
      <w:r w:rsidR="00A807E5">
        <w:rPr>
          <w:rFonts w:asciiTheme="majorHAnsi" w:eastAsiaTheme="majorEastAsia" w:hAnsiTheme="majorHAnsi" w:cstheme="majorBidi"/>
          <w:color w:val="000000" w:themeColor="text1"/>
          <w:sz w:val="23"/>
          <w:szCs w:val="23"/>
        </w:rPr>
        <w:t>face barriers in accessing fresh food</w:t>
      </w:r>
      <w:r w:rsidRPr="00D337B4">
        <w:rPr>
          <w:rFonts w:asciiTheme="majorHAnsi" w:eastAsiaTheme="majorEastAsia" w:hAnsiTheme="majorHAnsi" w:cstheme="majorBidi"/>
          <w:color w:val="000000" w:themeColor="text1"/>
          <w:sz w:val="23"/>
          <w:szCs w:val="23"/>
        </w:rPr>
        <w:t>. The expansion of telehealth</w:t>
      </w:r>
      <w:r w:rsidR="00430188">
        <w:rPr>
          <w:rFonts w:asciiTheme="majorHAnsi" w:eastAsiaTheme="majorEastAsia" w:hAnsiTheme="majorHAnsi" w:cstheme="majorBidi"/>
          <w:color w:val="000000" w:themeColor="text1"/>
          <w:sz w:val="23"/>
          <w:szCs w:val="23"/>
        </w:rPr>
        <w:t xml:space="preserve"> services was a p</w:t>
      </w:r>
      <w:r w:rsidR="00315E6E">
        <w:rPr>
          <w:rFonts w:asciiTheme="majorHAnsi" w:eastAsiaTheme="majorEastAsia" w:hAnsiTheme="majorHAnsi" w:cstheme="majorBidi"/>
          <w:color w:val="000000" w:themeColor="text1"/>
          <w:sz w:val="23"/>
          <w:szCs w:val="23"/>
        </w:rPr>
        <w:t>lus</w:t>
      </w:r>
      <w:r w:rsidRPr="00D337B4">
        <w:rPr>
          <w:rFonts w:asciiTheme="majorHAnsi" w:eastAsiaTheme="majorEastAsia" w:hAnsiTheme="majorHAnsi" w:cstheme="majorBidi"/>
          <w:color w:val="000000" w:themeColor="text1"/>
          <w:sz w:val="23"/>
          <w:szCs w:val="23"/>
        </w:rPr>
        <w:t>, but</w:t>
      </w:r>
      <w:r w:rsidR="003833C0">
        <w:rPr>
          <w:rFonts w:asciiTheme="majorHAnsi" w:eastAsiaTheme="majorEastAsia" w:hAnsiTheme="majorHAnsi" w:cstheme="majorBidi"/>
          <w:color w:val="000000" w:themeColor="text1"/>
          <w:sz w:val="23"/>
          <w:szCs w:val="23"/>
        </w:rPr>
        <w:t xml:space="preserve"> not everyone could access them</w:t>
      </w:r>
      <w:r w:rsidRPr="00D337B4">
        <w:rPr>
          <w:rFonts w:asciiTheme="majorHAnsi" w:eastAsiaTheme="majorEastAsia" w:hAnsiTheme="majorHAnsi" w:cstheme="majorBidi"/>
          <w:color w:val="000000" w:themeColor="text1"/>
          <w:sz w:val="23"/>
          <w:szCs w:val="23"/>
        </w:rPr>
        <w:t xml:space="preserve">. Many services delivered via the public health system were suspended for months, </w:t>
      </w:r>
      <w:r w:rsidR="00A807E5">
        <w:rPr>
          <w:rFonts w:asciiTheme="majorHAnsi" w:eastAsiaTheme="majorEastAsia" w:hAnsiTheme="majorHAnsi" w:cstheme="majorBidi"/>
          <w:color w:val="000000" w:themeColor="text1"/>
          <w:sz w:val="23"/>
          <w:szCs w:val="23"/>
        </w:rPr>
        <w:t>and</w:t>
      </w:r>
      <w:r w:rsidR="00315E6E">
        <w:rPr>
          <w:rFonts w:asciiTheme="majorHAnsi" w:eastAsiaTheme="majorEastAsia" w:hAnsiTheme="majorHAnsi" w:cstheme="majorBidi"/>
          <w:color w:val="000000" w:themeColor="text1"/>
          <w:sz w:val="23"/>
          <w:szCs w:val="23"/>
        </w:rPr>
        <w:t xml:space="preserve"> many</w:t>
      </w:r>
      <w:r w:rsidR="00A807E5">
        <w:rPr>
          <w:rFonts w:asciiTheme="majorHAnsi" w:eastAsiaTheme="majorEastAsia" w:hAnsiTheme="majorHAnsi" w:cstheme="majorBidi"/>
          <w:color w:val="000000" w:themeColor="text1"/>
          <w:sz w:val="23"/>
          <w:szCs w:val="23"/>
        </w:rPr>
        <w:t xml:space="preserve"> people with chronic conditions did not attend </w:t>
      </w:r>
      <w:r w:rsidR="00315E6E">
        <w:rPr>
          <w:rFonts w:asciiTheme="majorHAnsi" w:eastAsiaTheme="majorEastAsia" w:hAnsiTheme="majorHAnsi" w:cstheme="majorBidi"/>
          <w:color w:val="000000" w:themeColor="text1"/>
          <w:sz w:val="23"/>
          <w:szCs w:val="23"/>
        </w:rPr>
        <w:t>medical</w:t>
      </w:r>
      <w:r w:rsidR="00A807E5">
        <w:rPr>
          <w:rFonts w:asciiTheme="majorHAnsi" w:eastAsiaTheme="majorEastAsia" w:hAnsiTheme="majorHAnsi" w:cstheme="majorBidi"/>
          <w:color w:val="000000" w:themeColor="text1"/>
          <w:sz w:val="23"/>
          <w:szCs w:val="23"/>
        </w:rPr>
        <w:t xml:space="preserve"> appointments, </w:t>
      </w:r>
      <w:r w:rsidRPr="00D337B4">
        <w:rPr>
          <w:rFonts w:asciiTheme="majorHAnsi" w:eastAsiaTheme="majorEastAsia" w:hAnsiTheme="majorHAnsi" w:cstheme="majorBidi"/>
          <w:color w:val="000000" w:themeColor="text1"/>
          <w:sz w:val="23"/>
          <w:szCs w:val="23"/>
        </w:rPr>
        <w:t>raising concerns about the possibility of a</w:t>
      </w:r>
      <w:r w:rsidR="00A807E5">
        <w:rPr>
          <w:rFonts w:asciiTheme="majorHAnsi" w:eastAsiaTheme="majorEastAsia" w:hAnsiTheme="majorHAnsi" w:cstheme="majorBidi"/>
          <w:color w:val="000000" w:themeColor="text1"/>
          <w:sz w:val="23"/>
          <w:szCs w:val="23"/>
        </w:rPr>
        <w:t xml:space="preserve"> looming</w:t>
      </w:r>
      <w:r w:rsidRPr="00D337B4">
        <w:rPr>
          <w:rFonts w:asciiTheme="majorHAnsi" w:eastAsiaTheme="majorEastAsia" w:hAnsiTheme="majorHAnsi" w:cstheme="majorBidi"/>
          <w:color w:val="000000" w:themeColor="text1"/>
          <w:sz w:val="23"/>
          <w:szCs w:val="23"/>
        </w:rPr>
        <w:t xml:space="preserve"> </w:t>
      </w:r>
      <w:r w:rsidR="00A807E5">
        <w:rPr>
          <w:rFonts w:asciiTheme="majorHAnsi" w:eastAsiaTheme="majorEastAsia" w:hAnsiTheme="majorHAnsi" w:cstheme="majorBidi"/>
          <w:color w:val="000000" w:themeColor="text1"/>
          <w:sz w:val="23"/>
          <w:szCs w:val="23"/>
        </w:rPr>
        <w:t>“</w:t>
      </w:r>
      <w:r w:rsidRPr="00D337B4">
        <w:rPr>
          <w:rFonts w:asciiTheme="majorHAnsi" w:eastAsiaTheme="majorEastAsia" w:hAnsiTheme="majorHAnsi" w:cstheme="majorBidi"/>
          <w:color w:val="000000" w:themeColor="text1"/>
          <w:sz w:val="23"/>
          <w:szCs w:val="23"/>
        </w:rPr>
        <w:t>invisible epidemic</w:t>
      </w:r>
      <w:r w:rsidR="00A807E5">
        <w:rPr>
          <w:rFonts w:asciiTheme="majorHAnsi" w:eastAsiaTheme="majorEastAsia" w:hAnsiTheme="majorHAnsi" w:cstheme="majorBidi"/>
          <w:color w:val="000000" w:themeColor="text1"/>
          <w:sz w:val="23"/>
          <w:szCs w:val="23"/>
        </w:rPr>
        <w:t>”</w:t>
      </w:r>
      <w:r w:rsidRPr="00D337B4">
        <w:rPr>
          <w:rFonts w:asciiTheme="majorHAnsi" w:eastAsiaTheme="majorEastAsia" w:hAnsiTheme="majorHAnsi" w:cstheme="majorBidi"/>
          <w:color w:val="000000" w:themeColor="text1"/>
          <w:sz w:val="23"/>
          <w:szCs w:val="23"/>
        </w:rPr>
        <w:t xml:space="preserve"> of undetected or poorly managed disease.</w:t>
      </w:r>
      <w:r w:rsidR="00315E6E">
        <w:rPr>
          <w:rFonts w:asciiTheme="majorHAnsi" w:eastAsiaTheme="majorEastAsia" w:hAnsiTheme="majorHAnsi" w:cstheme="majorBidi"/>
          <w:color w:val="000000" w:themeColor="text1"/>
          <w:sz w:val="23"/>
          <w:szCs w:val="23"/>
        </w:rPr>
        <w:br w:type="page"/>
      </w:r>
    </w:p>
    <w:p w14:paraId="58DB6058" w14:textId="48F4B6F2" w:rsidR="00F00E3D" w:rsidRPr="00D337B4" w:rsidRDefault="00F00E3D" w:rsidP="001E7B37">
      <w:pPr>
        <w:spacing w:line="276" w:lineRule="auto"/>
        <w:rPr>
          <w:rFonts w:asciiTheme="majorHAnsi" w:eastAsiaTheme="majorEastAsia" w:hAnsiTheme="majorHAnsi" w:cstheme="majorBidi"/>
          <w:color w:val="000000" w:themeColor="text1"/>
          <w:sz w:val="23"/>
          <w:szCs w:val="23"/>
        </w:rPr>
      </w:pPr>
      <w:r w:rsidRPr="00E408A0">
        <w:rPr>
          <w:rFonts w:eastAsiaTheme="majorEastAsia" w:cstheme="minorHAnsi"/>
          <w:b/>
          <w:bCs/>
          <w:color w:val="000000" w:themeColor="text1"/>
          <w:sz w:val="23"/>
          <w:szCs w:val="23"/>
        </w:rPr>
        <w:lastRenderedPageBreak/>
        <w:t>Housing</w:t>
      </w:r>
      <w:r w:rsidR="00D337B4" w:rsidRPr="00E408A0">
        <w:rPr>
          <w:rFonts w:eastAsiaTheme="majorEastAsia" w:cstheme="minorHAnsi"/>
          <w:b/>
          <w:bCs/>
          <w:color w:val="000000" w:themeColor="text1"/>
          <w:sz w:val="23"/>
          <w:szCs w:val="23"/>
        </w:rPr>
        <w:t>:</w:t>
      </w:r>
      <w:r w:rsidR="00D337B4">
        <w:rPr>
          <w:rFonts w:asciiTheme="majorHAnsi" w:eastAsiaTheme="majorEastAsia" w:hAnsiTheme="majorHAnsi" w:cstheme="majorBidi"/>
          <w:color w:val="000000" w:themeColor="text1"/>
          <w:sz w:val="23"/>
          <w:szCs w:val="23"/>
        </w:rPr>
        <w:t xml:space="preserve"> </w:t>
      </w:r>
      <w:r w:rsidRPr="00D337B4">
        <w:rPr>
          <w:rFonts w:asciiTheme="majorHAnsi" w:eastAsiaTheme="majorEastAsia" w:hAnsiTheme="majorHAnsi" w:cstheme="majorBidi"/>
          <w:color w:val="000000" w:themeColor="text1"/>
          <w:sz w:val="23"/>
          <w:szCs w:val="23"/>
        </w:rPr>
        <w:t xml:space="preserve">Historically, housing price drops due to pandemics have been short-term in cities, although shifts in geographical patterns in markets have been longer term. </w:t>
      </w:r>
      <w:r w:rsidR="00430188">
        <w:rPr>
          <w:rFonts w:asciiTheme="majorHAnsi" w:eastAsiaTheme="majorEastAsia" w:hAnsiTheme="majorHAnsi" w:cstheme="majorBidi"/>
          <w:color w:val="000000" w:themeColor="text1"/>
          <w:sz w:val="23"/>
          <w:szCs w:val="23"/>
        </w:rPr>
        <w:t>By</w:t>
      </w:r>
      <w:r w:rsidRPr="00D337B4">
        <w:rPr>
          <w:rFonts w:asciiTheme="majorHAnsi" w:eastAsiaTheme="majorEastAsia" w:hAnsiTheme="majorHAnsi" w:cstheme="majorBidi"/>
          <w:color w:val="000000" w:themeColor="text1"/>
          <w:sz w:val="23"/>
          <w:szCs w:val="23"/>
        </w:rPr>
        <w:t xml:space="preserve"> early 2021</w:t>
      </w:r>
      <w:r w:rsidR="00430188">
        <w:rPr>
          <w:rFonts w:asciiTheme="majorHAnsi" w:eastAsiaTheme="majorEastAsia" w:hAnsiTheme="majorHAnsi" w:cstheme="majorBidi"/>
          <w:color w:val="000000" w:themeColor="text1"/>
          <w:sz w:val="23"/>
          <w:szCs w:val="23"/>
        </w:rPr>
        <w:t>,</w:t>
      </w:r>
      <w:r w:rsidRPr="00D337B4">
        <w:rPr>
          <w:rFonts w:asciiTheme="majorHAnsi" w:eastAsiaTheme="majorEastAsia" w:hAnsiTheme="majorHAnsi" w:cstheme="majorBidi"/>
          <w:color w:val="000000" w:themeColor="text1"/>
          <w:sz w:val="23"/>
          <w:szCs w:val="23"/>
        </w:rPr>
        <w:t xml:space="preserve"> </w:t>
      </w:r>
      <w:r w:rsidRPr="00D337B4">
        <w:rPr>
          <w:rFonts w:ascii="Calibri Light" w:eastAsia="Calibri" w:hAnsi="Calibri Light" w:cs="Calibri Light"/>
          <w:color w:val="000000" w:themeColor="text1"/>
          <w:sz w:val="23"/>
          <w:szCs w:val="23"/>
        </w:rPr>
        <w:t>when the Australian Reserve Bank cash rate</w:t>
      </w:r>
      <w:r w:rsidRPr="00D337B4">
        <w:rPr>
          <w:rFonts w:asciiTheme="majorHAnsi" w:eastAsiaTheme="majorEastAsia" w:hAnsiTheme="majorHAnsi" w:cstheme="majorBidi"/>
          <w:color w:val="000000" w:themeColor="text1"/>
          <w:sz w:val="23"/>
          <w:szCs w:val="23"/>
        </w:rPr>
        <w:t xml:space="preserve"> </w:t>
      </w:r>
      <w:r w:rsidR="00430188">
        <w:rPr>
          <w:rFonts w:asciiTheme="majorHAnsi" w:eastAsiaTheme="majorEastAsia" w:hAnsiTheme="majorHAnsi" w:cstheme="majorBidi"/>
          <w:color w:val="000000" w:themeColor="text1"/>
          <w:sz w:val="23"/>
          <w:szCs w:val="23"/>
        </w:rPr>
        <w:t>was</w:t>
      </w:r>
      <w:r w:rsidRPr="00D337B4">
        <w:rPr>
          <w:rFonts w:asciiTheme="majorHAnsi" w:eastAsiaTheme="majorEastAsia" w:hAnsiTheme="majorHAnsi" w:cstheme="majorBidi"/>
          <w:color w:val="000000" w:themeColor="text1"/>
          <w:sz w:val="23"/>
          <w:szCs w:val="23"/>
        </w:rPr>
        <w:t xml:space="preserve"> at a </w:t>
      </w:r>
      <w:r w:rsidRPr="00D337B4">
        <w:rPr>
          <w:rFonts w:ascii="Calibri Light" w:eastAsia="Calibri" w:hAnsi="Calibri Light" w:cs="Calibri Light"/>
          <w:color w:val="000000" w:themeColor="text1"/>
          <w:sz w:val="23"/>
          <w:szCs w:val="23"/>
        </w:rPr>
        <w:t xml:space="preserve">historical low level, </w:t>
      </w:r>
      <w:r w:rsidRPr="00D337B4">
        <w:rPr>
          <w:rFonts w:asciiTheme="majorHAnsi" w:eastAsiaTheme="majorEastAsia" w:hAnsiTheme="majorHAnsi" w:cstheme="majorBidi"/>
          <w:color w:val="000000" w:themeColor="text1"/>
          <w:sz w:val="23"/>
          <w:szCs w:val="23"/>
        </w:rPr>
        <w:t>housing markets in Australia’s big cities and many</w:t>
      </w:r>
      <w:r w:rsidR="00507454">
        <w:rPr>
          <w:rFonts w:asciiTheme="majorHAnsi" w:eastAsiaTheme="majorEastAsia" w:hAnsiTheme="majorHAnsi" w:cstheme="majorBidi"/>
          <w:color w:val="000000" w:themeColor="text1"/>
          <w:sz w:val="23"/>
          <w:szCs w:val="23"/>
        </w:rPr>
        <w:t xml:space="preserve"> </w:t>
      </w:r>
      <w:r w:rsidRPr="00D337B4">
        <w:rPr>
          <w:rFonts w:asciiTheme="majorHAnsi" w:eastAsiaTheme="majorEastAsia" w:hAnsiTheme="majorHAnsi" w:cstheme="majorBidi"/>
          <w:color w:val="000000" w:themeColor="text1"/>
          <w:sz w:val="23"/>
          <w:szCs w:val="23"/>
        </w:rPr>
        <w:t xml:space="preserve">regions </w:t>
      </w:r>
      <w:r w:rsidR="00430188">
        <w:rPr>
          <w:rFonts w:asciiTheme="majorHAnsi" w:eastAsiaTheme="majorEastAsia" w:hAnsiTheme="majorHAnsi" w:cstheme="majorBidi"/>
          <w:color w:val="000000" w:themeColor="text1"/>
          <w:sz w:val="23"/>
          <w:szCs w:val="23"/>
        </w:rPr>
        <w:t>we</w:t>
      </w:r>
      <w:r w:rsidRPr="00D337B4">
        <w:rPr>
          <w:rFonts w:asciiTheme="majorHAnsi" w:eastAsiaTheme="majorEastAsia" w:hAnsiTheme="majorHAnsi" w:cstheme="majorBidi"/>
          <w:color w:val="000000" w:themeColor="text1"/>
          <w:sz w:val="23"/>
          <w:szCs w:val="23"/>
        </w:rPr>
        <w:t xml:space="preserve">re </w:t>
      </w:r>
      <w:r w:rsidR="00430188">
        <w:rPr>
          <w:rFonts w:asciiTheme="majorHAnsi" w:eastAsiaTheme="majorEastAsia" w:hAnsiTheme="majorHAnsi" w:cstheme="majorBidi"/>
          <w:color w:val="000000" w:themeColor="text1"/>
          <w:sz w:val="23"/>
          <w:szCs w:val="23"/>
        </w:rPr>
        <w:t>rallying strongly</w:t>
      </w:r>
      <w:r w:rsidRPr="00D337B4">
        <w:rPr>
          <w:rFonts w:asciiTheme="majorHAnsi" w:eastAsiaTheme="majorEastAsia" w:hAnsiTheme="majorHAnsi" w:cstheme="majorBidi"/>
          <w:color w:val="000000" w:themeColor="text1"/>
          <w:sz w:val="23"/>
          <w:szCs w:val="23"/>
        </w:rPr>
        <w:t xml:space="preserve">. Prices in some regional locations </w:t>
      </w:r>
      <w:r w:rsidR="00507454">
        <w:rPr>
          <w:rFonts w:asciiTheme="majorHAnsi" w:eastAsiaTheme="majorEastAsia" w:hAnsiTheme="majorHAnsi" w:cstheme="majorBidi"/>
          <w:color w:val="000000" w:themeColor="text1"/>
          <w:sz w:val="23"/>
          <w:szCs w:val="23"/>
        </w:rPr>
        <w:t>increased</w:t>
      </w:r>
      <w:r w:rsidRPr="00D337B4">
        <w:rPr>
          <w:rFonts w:asciiTheme="majorHAnsi" w:eastAsiaTheme="majorEastAsia" w:hAnsiTheme="majorHAnsi" w:cstheme="majorBidi"/>
          <w:color w:val="000000" w:themeColor="text1"/>
          <w:sz w:val="23"/>
          <w:szCs w:val="23"/>
        </w:rPr>
        <w:t xml:space="preserve"> much more rapidly than expected. While the emerging evidence base has not found an association between lockdowns and the Australian housing market to date, </w:t>
      </w:r>
      <w:r w:rsidR="004203AD">
        <w:rPr>
          <w:rFonts w:asciiTheme="majorHAnsi" w:eastAsiaTheme="majorEastAsia" w:hAnsiTheme="majorHAnsi" w:cstheme="majorBidi"/>
          <w:color w:val="000000" w:themeColor="text1"/>
          <w:sz w:val="23"/>
          <w:szCs w:val="23"/>
        </w:rPr>
        <w:t>b</w:t>
      </w:r>
      <w:r w:rsidR="00430188">
        <w:rPr>
          <w:rFonts w:asciiTheme="majorHAnsi" w:eastAsiaTheme="majorEastAsia" w:hAnsiTheme="majorHAnsi" w:cstheme="majorBidi"/>
          <w:color w:val="000000" w:themeColor="text1"/>
          <w:sz w:val="23"/>
          <w:szCs w:val="23"/>
        </w:rPr>
        <w:t>usiness closedowns and</w:t>
      </w:r>
      <w:r w:rsidRPr="00D337B4">
        <w:rPr>
          <w:rFonts w:asciiTheme="majorHAnsi" w:eastAsiaTheme="majorEastAsia" w:hAnsiTheme="majorHAnsi" w:cstheme="majorBidi"/>
          <w:color w:val="000000" w:themeColor="text1"/>
          <w:sz w:val="23"/>
          <w:szCs w:val="23"/>
        </w:rPr>
        <w:t xml:space="preserve"> large-scale job losses</w:t>
      </w:r>
      <w:r w:rsidR="00430188">
        <w:rPr>
          <w:rFonts w:asciiTheme="majorHAnsi" w:eastAsiaTheme="majorEastAsia" w:hAnsiTheme="majorHAnsi" w:cstheme="majorBidi"/>
          <w:color w:val="000000" w:themeColor="text1"/>
          <w:sz w:val="23"/>
          <w:szCs w:val="23"/>
        </w:rPr>
        <w:t xml:space="preserve"> have jeopardised housing affordability,</w:t>
      </w:r>
      <w:r w:rsidRPr="00D337B4">
        <w:rPr>
          <w:rFonts w:asciiTheme="majorHAnsi" w:eastAsiaTheme="majorEastAsia" w:hAnsiTheme="majorHAnsi" w:cstheme="majorBidi"/>
          <w:color w:val="000000" w:themeColor="text1"/>
          <w:sz w:val="23"/>
          <w:szCs w:val="23"/>
        </w:rPr>
        <w:t xml:space="preserve"> particularly for households with children and lower liquidity. </w:t>
      </w:r>
      <w:r w:rsidR="001E7B37">
        <w:rPr>
          <w:rFonts w:asciiTheme="majorHAnsi" w:eastAsiaTheme="majorEastAsia" w:hAnsiTheme="majorHAnsi" w:cstheme="majorBidi"/>
          <w:color w:val="000000" w:themeColor="text1"/>
          <w:sz w:val="23"/>
          <w:szCs w:val="23"/>
        </w:rPr>
        <w:t>Despite extra</w:t>
      </w:r>
      <w:r w:rsidR="00507454">
        <w:rPr>
          <w:rFonts w:asciiTheme="majorHAnsi" w:eastAsiaTheme="majorEastAsia" w:hAnsiTheme="majorHAnsi" w:cstheme="majorBidi"/>
          <w:color w:val="000000" w:themeColor="text1"/>
          <w:sz w:val="23"/>
          <w:szCs w:val="23"/>
        </w:rPr>
        <w:t xml:space="preserve"> Federal Government payments, m</w:t>
      </w:r>
      <w:r w:rsidRPr="00D337B4">
        <w:rPr>
          <w:rFonts w:asciiTheme="majorHAnsi" w:eastAsiaTheme="majorEastAsia" w:hAnsiTheme="majorHAnsi" w:cstheme="majorBidi"/>
          <w:color w:val="000000" w:themeColor="text1"/>
          <w:sz w:val="23"/>
          <w:szCs w:val="23"/>
        </w:rPr>
        <w:t>oratoriums on rental evictions,</w:t>
      </w:r>
      <w:r w:rsidR="00430188">
        <w:rPr>
          <w:rFonts w:asciiTheme="majorHAnsi" w:eastAsiaTheme="majorEastAsia" w:hAnsiTheme="majorHAnsi" w:cstheme="majorBidi"/>
          <w:color w:val="000000" w:themeColor="text1"/>
          <w:sz w:val="23"/>
          <w:szCs w:val="23"/>
        </w:rPr>
        <w:t xml:space="preserve"> </w:t>
      </w:r>
      <w:r w:rsidRPr="00D337B4">
        <w:rPr>
          <w:rFonts w:asciiTheme="majorHAnsi" w:eastAsiaTheme="majorEastAsia" w:hAnsiTheme="majorHAnsi" w:cstheme="majorBidi"/>
          <w:color w:val="000000" w:themeColor="text1"/>
          <w:sz w:val="23"/>
          <w:szCs w:val="23"/>
        </w:rPr>
        <w:t>and mortgage holidays mitigat</w:t>
      </w:r>
      <w:r w:rsidR="001E7B37">
        <w:rPr>
          <w:rFonts w:asciiTheme="majorHAnsi" w:eastAsiaTheme="majorEastAsia" w:hAnsiTheme="majorHAnsi" w:cstheme="majorBidi"/>
          <w:color w:val="000000" w:themeColor="text1"/>
          <w:sz w:val="23"/>
          <w:szCs w:val="23"/>
        </w:rPr>
        <w:t>ing</w:t>
      </w:r>
      <w:r w:rsidRPr="00D337B4">
        <w:rPr>
          <w:rFonts w:asciiTheme="majorHAnsi" w:eastAsiaTheme="majorEastAsia" w:hAnsiTheme="majorHAnsi" w:cstheme="majorBidi"/>
          <w:color w:val="000000" w:themeColor="text1"/>
          <w:sz w:val="23"/>
          <w:szCs w:val="23"/>
        </w:rPr>
        <w:t xml:space="preserve"> </w:t>
      </w:r>
      <w:r w:rsidR="00430188">
        <w:rPr>
          <w:rFonts w:asciiTheme="majorHAnsi" w:eastAsiaTheme="majorEastAsia" w:hAnsiTheme="majorHAnsi" w:cstheme="majorBidi"/>
          <w:color w:val="000000" w:themeColor="text1"/>
          <w:sz w:val="23"/>
          <w:szCs w:val="23"/>
        </w:rPr>
        <w:t>housing</w:t>
      </w:r>
      <w:r w:rsidRPr="00D337B4">
        <w:rPr>
          <w:rFonts w:asciiTheme="majorHAnsi" w:eastAsiaTheme="majorEastAsia" w:hAnsiTheme="majorHAnsi" w:cstheme="majorBidi"/>
          <w:color w:val="000000" w:themeColor="text1"/>
          <w:sz w:val="23"/>
          <w:szCs w:val="23"/>
        </w:rPr>
        <w:t xml:space="preserve"> stress in the shorter term, </w:t>
      </w:r>
      <w:r w:rsidR="00430188">
        <w:rPr>
          <w:rFonts w:asciiTheme="majorHAnsi" w:eastAsiaTheme="majorEastAsia" w:hAnsiTheme="majorHAnsi" w:cstheme="majorBidi"/>
          <w:color w:val="000000" w:themeColor="text1"/>
          <w:sz w:val="23"/>
          <w:szCs w:val="23"/>
        </w:rPr>
        <w:t>downward</w:t>
      </w:r>
      <w:r w:rsidRPr="00D337B4">
        <w:rPr>
          <w:rFonts w:asciiTheme="majorHAnsi" w:eastAsiaTheme="majorEastAsia" w:hAnsiTheme="majorHAnsi" w:cstheme="majorBidi"/>
          <w:color w:val="000000" w:themeColor="text1"/>
          <w:sz w:val="23"/>
          <w:szCs w:val="23"/>
        </w:rPr>
        <w:t xml:space="preserve"> employment trends will continue have a significant effect into the future. </w:t>
      </w:r>
      <w:r w:rsidR="001E7B37">
        <w:rPr>
          <w:rFonts w:asciiTheme="majorHAnsi" w:eastAsiaTheme="majorEastAsia" w:hAnsiTheme="majorHAnsi" w:cstheme="majorBidi"/>
          <w:color w:val="000000" w:themeColor="text1"/>
          <w:sz w:val="23"/>
          <w:szCs w:val="23"/>
        </w:rPr>
        <w:t xml:space="preserve">While </w:t>
      </w:r>
      <w:r w:rsidR="004203AD" w:rsidRPr="00D337B4">
        <w:rPr>
          <w:rFonts w:asciiTheme="majorHAnsi" w:eastAsiaTheme="majorEastAsia" w:hAnsiTheme="majorHAnsi" w:cstheme="majorBidi"/>
          <w:color w:val="000000" w:themeColor="text1"/>
          <w:sz w:val="23"/>
          <w:szCs w:val="23"/>
        </w:rPr>
        <w:t xml:space="preserve">Federal Government </w:t>
      </w:r>
      <w:proofErr w:type="spellStart"/>
      <w:r w:rsidR="004203AD" w:rsidRPr="00D337B4">
        <w:rPr>
          <w:rFonts w:asciiTheme="majorHAnsi" w:eastAsiaTheme="majorEastAsia" w:hAnsiTheme="majorHAnsi" w:cstheme="majorBidi"/>
          <w:color w:val="000000" w:themeColor="text1"/>
          <w:sz w:val="23"/>
          <w:szCs w:val="23"/>
        </w:rPr>
        <w:t>HomeBuilder</w:t>
      </w:r>
      <w:proofErr w:type="spellEnd"/>
      <w:r w:rsidR="004203AD" w:rsidRPr="00D337B4">
        <w:rPr>
          <w:rFonts w:asciiTheme="majorHAnsi" w:eastAsiaTheme="majorEastAsia" w:hAnsiTheme="majorHAnsi" w:cstheme="majorBidi"/>
          <w:color w:val="000000" w:themeColor="text1"/>
          <w:sz w:val="23"/>
          <w:szCs w:val="23"/>
        </w:rPr>
        <w:t xml:space="preserve"> grants </w:t>
      </w:r>
      <w:r w:rsidR="004203AD">
        <w:rPr>
          <w:rFonts w:asciiTheme="majorHAnsi" w:eastAsiaTheme="majorEastAsia" w:hAnsiTheme="majorHAnsi" w:cstheme="majorBidi"/>
          <w:color w:val="000000" w:themeColor="text1"/>
          <w:sz w:val="23"/>
          <w:szCs w:val="23"/>
        </w:rPr>
        <w:t>helped maintain the</w:t>
      </w:r>
      <w:r w:rsidR="004203AD" w:rsidRPr="00D337B4">
        <w:rPr>
          <w:rFonts w:asciiTheme="majorHAnsi" w:eastAsiaTheme="majorEastAsia" w:hAnsiTheme="majorHAnsi" w:cstheme="majorBidi"/>
          <w:color w:val="000000" w:themeColor="text1"/>
          <w:sz w:val="23"/>
          <w:szCs w:val="23"/>
        </w:rPr>
        <w:t xml:space="preserve"> </w:t>
      </w:r>
      <w:r w:rsidR="004203AD" w:rsidRPr="00430188">
        <w:rPr>
          <w:rFonts w:asciiTheme="majorHAnsi" w:eastAsiaTheme="majorEastAsia" w:hAnsiTheme="majorHAnsi" w:cstheme="majorBidi"/>
          <w:color w:val="000000" w:themeColor="text1"/>
          <w:sz w:val="23"/>
          <w:szCs w:val="23"/>
        </w:rPr>
        <w:t xml:space="preserve">pipeline of work for the construction industry, </w:t>
      </w:r>
      <w:r w:rsidR="001E7B37">
        <w:rPr>
          <w:rFonts w:asciiTheme="majorHAnsi" w:eastAsiaTheme="majorEastAsia" w:hAnsiTheme="majorHAnsi" w:cstheme="majorBidi"/>
          <w:color w:val="000000" w:themeColor="text1"/>
          <w:sz w:val="23"/>
          <w:szCs w:val="23"/>
        </w:rPr>
        <w:t>these measures have</w:t>
      </w:r>
      <w:r w:rsidR="004203AD">
        <w:rPr>
          <w:rFonts w:asciiTheme="majorHAnsi" w:eastAsiaTheme="majorEastAsia" w:hAnsiTheme="majorHAnsi" w:cstheme="majorBidi"/>
          <w:color w:val="000000" w:themeColor="text1"/>
          <w:sz w:val="23"/>
          <w:szCs w:val="23"/>
        </w:rPr>
        <w:t xml:space="preserve"> not</w:t>
      </w:r>
      <w:r w:rsidR="001E7B37">
        <w:rPr>
          <w:rFonts w:asciiTheme="majorHAnsi" w:eastAsiaTheme="majorEastAsia" w:hAnsiTheme="majorHAnsi" w:cstheme="majorBidi"/>
          <w:color w:val="000000" w:themeColor="text1"/>
          <w:sz w:val="23"/>
          <w:szCs w:val="23"/>
        </w:rPr>
        <w:t xml:space="preserve"> i</w:t>
      </w:r>
      <w:r w:rsidR="00AA0FB3">
        <w:rPr>
          <w:rFonts w:asciiTheme="majorHAnsi" w:eastAsiaTheme="majorEastAsia" w:hAnsiTheme="majorHAnsi" w:cstheme="majorBidi"/>
          <w:color w:val="000000" w:themeColor="text1"/>
          <w:sz w:val="23"/>
          <w:szCs w:val="23"/>
        </w:rPr>
        <w:t xml:space="preserve">mproved </w:t>
      </w:r>
      <w:r w:rsidR="004203AD">
        <w:rPr>
          <w:rFonts w:asciiTheme="majorHAnsi" w:eastAsiaTheme="majorEastAsia" w:hAnsiTheme="majorHAnsi" w:cstheme="majorBidi"/>
          <w:color w:val="000000" w:themeColor="text1"/>
          <w:sz w:val="23"/>
          <w:szCs w:val="23"/>
        </w:rPr>
        <w:t xml:space="preserve">housing affordability or addressed the </w:t>
      </w:r>
      <w:r w:rsidR="001E7B37">
        <w:rPr>
          <w:rFonts w:asciiTheme="majorHAnsi" w:eastAsiaTheme="majorEastAsia" w:hAnsiTheme="majorHAnsi" w:cstheme="majorBidi"/>
          <w:color w:val="000000" w:themeColor="text1"/>
          <w:sz w:val="23"/>
          <w:szCs w:val="23"/>
        </w:rPr>
        <w:t xml:space="preserve">urgent </w:t>
      </w:r>
      <w:r w:rsidR="004203AD">
        <w:rPr>
          <w:rFonts w:asciiTheme="majorHAnsi" w:eastAsiaTheme="majorEastAsia" w:hAnsiTheme="majorHAnsi" w:cstheme="majorBidi"/>
          <w:color w:val="000000" w:themeColor="text1"/>
          <w:sz w:val="23"/>
          <w:szCs w:val="23"/>
        </w:rPr>
        <w:t>national shortage of social housing</w:t>
      </w:r>
      <w:r w:rsidR="006D6E12" w:rsidRPr="00430188">
        <w:rPr>
          <w:rFonts w:asciiTheme="majorHAnsi" w:eastAsiaTheme="majorEastAsia" w:hAnsiTheme="majorHAnsi" w:cstheme="majorBidi"/>
          <w:color w:val="000000" w:themeColor="text1"/>
          <w:sz w:val="23"/>
          <w:szCs w:val="23"/>
        </w:rPr>
        <w:t>.</w:t>
      </w:r>
      <w:r w:rsidRPr="00D337B4">
        <w:rPr>
          <w:rFonts w:asciiTheme="majorHAnsi" w:eastAsiaTheme="majorEastAsia" w:hAnsiTheme="majorHAnsi" w:cstheme="majorBidi"/>
          <w:color w:val="000000" w:themeColor="text1"/>
          <w:sz w:val="23"/>
          <w:szCs w:val="23"/>
        </w:rPr>
        <w:t xml:space="preserve"> </w:t>
      </w:r>
      <w:r w:rsidR="00AA0FB3">
        <w:rPr>
          <w:rFonts w:asciiTheme="majorHAnsi" w:eastAsiaTheme="majorEastAsia" w:hAnsiTheme="majorHAnsi" w:cstheme="majorBidi"/>
          <w:color w:val="000000" w:themeColor="text1"/>
          <w:sz w:val="23"/>
          <w:szCs w:val="23"/>
        </w:rPr>
        <w:t>S</w:t>
      </w:r>
      <w:r w:rsidR="00AA0FB3" w:rsidRPr="00430188">
        <w:rPr>
          <w:rFonts w:asciiTheme="majorHAnsi" w:eastAsiaTheme="majorEastAsia" w:hAnsiTheme="majorHAnsi" w:cstheme="majorBidi"/>
          <w:color w:val="000000" w:themeColor="text1"/>
          <w:sz w:val="23"/>
          <w:szCs w:val="23"/>
        </w:rPr>
        <w:t xml:space="preserve">everal state government initiatives </w:t>
      </w:r>
      <w:r w:rsidR="00AA0FB3">
        <w:rPr>
          <w:rFonts w:asciiTheme="majorHAnsi" w:eastAsiaTheme="majorEastAsia" w:hAnsiTheme="majorHAnsi" w:cstheme="majorBidi"/>
          <w:color w:val="000000" w:themeColor="text1"/>
          <w:sz w:val="23"/>
          <w:szCs w:val="23"/>
        </w:rPr>
        <w:t>have provided a welcome boost to</w:t>
      </w:r>
      <w:r w:rsidR="00AA0FB3" w:rsidRPr="00430188">
        <w:rPr>
          <w:rFonts w:asciiTheme="majorHAnsi" w:eastAsiaTheme="majorEastAsia" w:hAnsiTheme="majorHAnsi" w:cstheme="majorBidi"/>
          <w:color w:val="000000" w:themeColor="text1"/>
          <w:sz w:val="23"/>
          <w:szCs w:val="23"/>
        </w:rPr>
        <w:t xml:space="preserve"> social housing investment</w:t>
      </w:r>
      <w:r w:rsidR="00AA0FB3">
        <w:rPr>
          <w:rFonts w:asciiTheme="majorHAnsi" w:eastAsiaTheme="majorEastAsia" w:hAnsiTheme="majorHAnsi" w:cstheme="majorBidi"/>
          <w:color w:val="000000" w:themeColor="text1"/>
          <w:sz w:val="23"/>
          <w:szCs w:val="23"/>
        </w:rPr>
        <w:t xml:space="preserve"> (particularly in Victoria),</w:t>
      </w:r>
      <w:r w:rsidR="00AA0FB3" w:rsidRPr="00430188">
        <w:rPr>
          <w:rFonts w:asciiTheme="majorHAnsi" w:eastAsiaTheme="majorEastAsia" w:hAnsiTheme="majorHAnsi" w:cstheme="majorBidi"/>
          <w:color w:val="000000" w:themeColor="text1"/>
          <w:sz w:val="23"/>
          <w:szCs w:val="23"/>
        </w:rPr>
        <w:t xml:space="preserve"> and provided temporary accommodation for </w:t>
      </w:r>
      <w:r w:rsidR="00AA0FB3">
        <w:rPr>
          <w:rFonts w:asciiTheme="majorHAnsi" w:eastAsiaTheme="majorEastAsia" w:hAnsiTheme="majorHAnsi" w:cstheme="majorBidi"/>
          <w:color w:val="000000" w:themeColor="text1"/>
          <w:sz w:val="23"/>
          <w:szCs w:val="23"/>
        </w:rPr>
        <w:t>people experiencing homelessness.</w:t>
      </w:r>
      <w:r w:rsidR="00AA0FB3" w:rsidRPr="004203AD">
        <w:rPr>
          <w:rFonts w:asciiTheme="majorHAnsi" w:eastAsiaTheme="majorEastAsia" w:hAnsiTheme="majorHAnsi" w:cstheme="majorBidi"/>
          <w:color w:val="000000" w:themeColor="text1"/>
          <w:sz w:val="23"/>
          <w:szCs w:val="23"/>
        </w:rPr>
        <w:t xml:space="preserve"> </w:t>
      </w:r>
      <w:r w:rsidR="00AA0FB3">
        <w:rPr>
          <w:rFonts w:asciiTheme="majorHAnsi" w:eastAsiaTheme="majorEastAsia" w:hAnsiTheme="majorHAnsi" w:cstheme="majorBidi"/>
          <w:color w:val="000000" w:themeColor="text1"/>
          <w:sz w:val="23"/>
          <w:szCs w:val="23"/>
        </w:rPr>
        <w:t>But r</w:t>
      </w:r>
      <w:r w:rsidR="004203AD">
        <w:rPr>
          <w:rFonts w:asciiTheme="majorHAnsi" w:eastAsiaTheme="majorEastAsia" w:hAnsiTheme="majorHAnsi" w:cstheme="majorBidi"/>
          <w:color w:val="000000" w:themeColor="text1"/>
          <w:sz w:val="23"/>
          <w:szCs w:val="23"/>
        </w:rPr>
        <w:t>ates of homelessness and housing stress are predicted to rise significantly across Australia, with disproportionate increase in some areas, including Geelong.</w:t>
      </w:r>
    </w:p>
    <w:p w14:paraId="2C37CED0" w14:textId="3B17ABC2" w:rsidR="00F00E3D" w:rsidRPr="00D337B4" w:rsidRDefault="00F00E3D" w:rsidP="001E7B37">
      <w:pPr>
        <w:spacing w:line="276" w:lineRule="auto"/>
        <w:rPr>
          <w:rFonts w:asciiTheme="majorHAnsi" w:eastAsiaTheme="majorEastAsia" w:hAnsiTheme="majorHAnsi" w:cstheme="majorBidi"/>
          <w:color w:val="000000" w:themeColor="text1"/>
          <w:sz w:val="23"/>
          <w:szCs w:val="23"/>
        </w:rPr>
      </w:pPr>
      <w:r w:rsidRPr="004955F0">
        <w:rPr>
          <w:rFonts w:eastAsiaTheme="majorEastAsia" w:cstheme="minorHAnsi"/>
          <w:b/>
          <w:bCs/>
          <w:color w:val="000000" w:themeColor="text1"/>
          <w:sz w:val="23"/>
          <w:szCs w:val="23"/>
        </w:rPr>
        <w:t>Liveability</w:t>
      </w:r>
      <w:r w:rsidR="00D337B4" w:rsidRPr="004955F0">
        <w:rPr>
          <w:rFonts w:eastAsiaTheme="majorEastAsia" w:cstheme="minorHAnsi"/>
          <w:b/>
          <w:bCs/>
          <w:color w:val="000000" w:themeColor="text1"/>
          <w:sz w:val="23"/>
          <w:szCs w:val="23"/>
        </w:rPr>
        <w:t>:</w:t>
      </w:r>
      <w:r w:rsidRPr="00D337B4">
        <w:rPr>
          <w:rFonts w:asciiTheme="majorHAnsi" w:eastAsiaTheme="majorEastAsia" w:hAnsiTheme="majorHAnsi" w:cstheme="majorBidi"/>
          <w:color w:val="000000" w:themeColor="text1"/>
          <w:sz w:val="23"/>
          <w:szCs w:val="23"/>
        </w:rPr>
        <w:t xml:space="preserve"> the many travel </w:t>
      </w:r>
      <w:r w:rsidR="00A807E5">
        <w:rPr>
          <w:rFonts w:asciiTheme="majorHAnsi" w:eastAsiaTheme="majorEastAsia" w:hAnsiTheme="majorHAnsi" w:cstheme="majorBidi"/>
          <w:color w:val="000000" w:themeColor="text1"/>
          <w:sz w:val="23"/>
          <w:szCs w:val="23"/>
        </w:rPr>
        <w:t xml:space="preserve">and mobility </w:t>
      </w:r>
      <w:r w:rsidRPr="00D337B4">
        <w:rPr>
          <w:rFonts w:asciiTheme="majorHAnsi" w:eastAsiaTheme="majorEastAsia" w:hAnsiTheme="majorHAnsi" w:cstheme="majorBidi"/>
          <w:color w:val="000000" w:themeColor="text1"/>
          <w:sz w:val="23"/>
          <w:szCs w:val="23"/>
        </w:rPr>
        <w:t>restrictions</w:t>
      </w:r>
      <w:r w:rsidR="0054132C">
        <w:rPr>
          <w:rFonts w:asciiTheme="majorHAnsi" w:eastAsiaTheme="majorEastAsia" w:hAnsiTheme="majorHAnsi" w:cstheme="majorBidi"/>
          <w:color w:val="000000" w:themeColor="text1"/>
          <w:sz w:val="23"/>
          <w:szCs w:val="23"/>
        </w:rPr>
        <w:t xml:space="preserve"> imposed during the pandemic</w:t>
      </w:r>
      <w:r w:rsidR="00A807E5">
        <w:rPr>
          <w:rFonts w:asciiTheme="majorHAnsi" w:eastAsiaTheme="majorEastAsia" w:hAnsiTheme="majorHAnsi" w:cstheme="majorBidi"/>
          <w:color w:val="000000" w:themeColor="text1"/>
          <w:sz w:val="23"/>
          <w:szCs w:val="23"/>
        </w:rPr>
        <w:t>, a</w:t>
      </w:r>
      <w:r w:rsidR="0054132C">
        <w:rPr>
          <w:rFonts w:asciiTheme="majorHAnsi" w:eastAsiaTheme="majorEastAsia" w:hAnsiTheme="majorHAnsi" w:cstheme="majorBidi"/>
          <w:color w:val="000000" w:themeColor="text1"/>
          <w:sz w:val="23"/>
          <w:szCs w:val="23"/>
        </w:rPr>
        <w:t>long with</w:t>
      </w:r>
      <w:r w:rsidR="00A807E5">
        <w:rPr>
          <w:rFonts w:asciiTheme="majorHAnsi" w:eastAsiaTheme="majorEastAsia" w:hAnsiTheme="majorHAnsi" w:cstheme="majorBidi"/>
          <w:color w:val="000000" w:themeColor="text1"/>
          <w:sz w:val="23"/>
          <w:szCs w:val="23"/>
        </w:rPr>
        <w:t xml:space="preserve"> anxieties around the health risk of </w:t>
      </w:r>
      <w:r w:rsidRPr="00D337B4">
        <w:rPr>
          <w:rFonts w:asciiTheme="majorHAnsi" w:eastAsiaTheme="majorEastAsia" w:hAnsiTheme="majorHAnsi" w:cstheme="majorBidi"/>
          <w:color w:val="000000" w:themeColor="text1"/>
          <w:sz w:val="23"/>
          <w:szCs w:val="23"/>
        </w:rPr>
        <w:t>interact</w:t>
      </w:r>
      <w:r w:rsidR="00A807E5">
        <w:rPr>
          <w:rFonts w:asciiTheme="majorHAnsi" w:eastAsiaTheme="majorEastAsia" w:hAnsiTheme="majorHAnsi" w:cstheme="majorBidi"/>
          <w:color w:val="000000" w:themeColor="text1"/>
          <w:sz w:val="23"/>
          <w:szCs w:val="23"/>
        </w:rPr>
        <w:t>ing</w:t>
      </w:r>
      <w:r w:rsidRPr="00D337B4">
        <w:rPr>
          <w:rFonts w:asciiTheme="majorHAnsi" w:eastAsiaTheme="majorEastAsia" w:hAnsiTheme="majorHAnsi" w:cstheme="majorBidi"/>
          <w:color w:val="000000" w:themeColor="text1"/>
          <w:sz w:val="23"/>
          <w:szCs w:val="23"/>
        </w:rPr>
        <w:t xml:space="preserve"> with </w:t>
      </w:r>
      <w:r w:rsidR="00A807E5">
        <w:rPr>
          <w:rFonts w:asciiTheme="majorHAnsi" w:eastAsiaTheme="majorEastAsia" w:hAnsiTheme="majorHAnsi" w:cstheme="majorBidi"/>
          <w:color w:val="000000" w:themeColor="text1"/>
          <w:sz w:val="23"/>
          <w:szCs w:val="23"/>
        </w:rPr>
        <w:t>other</w:t>
      </w:r>
      <w:r w:rsidRPr="00D337B4">
        <w:rPr>
          <w:rFonts w:asciiTheme="majorHAnsi" w:eastAsiaTheme="majorEastAsia" w:hAnsiTheme="majorHAnsi" w:cstheme="majorBidi"/>
          <w:color w:val="000000" w:themeColor="text1"/>
          <w:sz w:val="23"/>
          <w:szCs w:val="23"/>
        </w:rPr>
        <w:t>s, led to a localisation of</w:t>
      </w:r>
      <w:r w:rsidR="0054132C">
        <w:rPr>
          <w:rFonts w:asciiTheme="majorHAnsi" w:eastAsiaTheme="majorEastAsia" w:hAnsiTheme="majorHAnsi" w:cstheme="majorBidi"/>
          <w:color w:val="000000" w:themeColor="text1"/>
          <w:sz w:val="23"/>
          <w:szCs w:val="23"/>
        </w:rPr>
        <w:t xml:space="preserve"> daily</w:t>
      </w:r>
      <w:r w:rsidRPr="00D337B4">
        <w:rPr>
          <w:rFonts w:asciiTheme="majorHAnsi" w:eastAsiaTheme="majorEastAsia" w:hAnsiTheme="majorHAnsi" w:cstheme="majorBidi"/>
          <w:color w:val="000000" w:themeColor="text1"/>
          <w:sz w:val="23"/>
          <w:szCs w:val="23"/>
        </w:rPr>
        <w:t xml:space="preserve"> life. This </w:t>
      </w:r>
      <w:r w:rsidR="0054132C">
        <w:rPr>
          <w:rFonts w:asciiTheme="majorHAnsi" w:eastAsiaTheme="majorEastAsia" w:hAnsiTheme="majorHAnsi" w:cstheme="majorBidi"/>
          <w:color w:val="000000" w:themeColor="text1"/>
          <w:sz w:val="23"/>
          <w:szCs w:val="23"/>
        </w:rPr>
        <w:t xml:space="preserve">shift </w:t>
      </w:r>
      <w:r w:rsidRPr="00D337B4">
        <w:rPr>
          <w:rFonts w:asciiTheme="majorHAnsi" w:eastAsiaTheme="majorEastAsia" w:hAnsiTheme="majorHAnsi" w:cstheme="majorBidi"/>
          <w:color w:val="000000" w:themeColor="text1"/>
          <w:sz w:val="23"/>
          <w:szCs w:val="23"/>
        </w:rPr>
        <w:t xml:space="preserve">highlighted the importance of accessible </w:t>
      </w:r>
      <w:r w:rsidR="0054132C">
        <w:rPr>
          <w:rFonts w:asciiTheme="majorHAnsi" w:eastAsiaTheme="majorEastAsia" w:hAnsiTheme="majorHAnsi" w:cstheme="majorBidi"/>
          <w:color w:val="000000" w:themeColor="text1"/>
          <w:sz w:val="23"/>
          <w:szCs w:val="23"/>
        </w:rPr>
        <w:t xml:space="preserve">and welcoming public spaces, including </w:t>
      </w:r>
      <w:r w:rsidRPr="00D337B4">
        <w:rPr>
          <w:rFonts w:asciiTheme="majorHAnsi" w:eastAsiaTheme="majorEastAsia" w:hAnsiTheme="majorHAnsi" w:cstheme="majorBidi"/>
          <w:color w:val="000000" w:themeColor="text1"/>
          <w:sz w:val="23"/>
          <w:szCs w:val="23"/>
        </w:rPr>
        <w:t xml:space="preserve">local parks and shops, along with </w:t>
      </w:r>
      <w:r w:rsidR="0054132C">
        <w:rPr>
          <w:rFonts w:asciiTheme="majorHAnsi" w:eastAsiaTheme="majorEastAsia" w:hAnsiTheme="majorHAnsi" w:cstheme="majorBidi"/>
          <w:color w:val="000000" w:themeColor="text1"/>
          <w:sz w:val="23"/>
          <w:szCs w:val="23"/>
        </w:rPr>
        <w:t xml:space="preserve">the value of </w:t>
      </w:r>
      <w:r w:rsidRPr="00D337B4">
        <w:rPr>
          <w:rFonts w:asciiTheme="majorHAnsi" w:eastAsiaTheme="majorEastAsia" w:hAnsiTheme="majorHAnsi" w:cstheme="majorBidi"/>
          <w:color w:val="000000" w:themeColor="text1"/>
          <w:sz w:val="23"/>
          <w:szCs w:val="23"/>
        </w:rPr>
        <w:t xml:space="preserve">walkable neighbourhoods, which may not be readily available in </w:t>
      </w:r>
      <w:r w:rsidR="00A807E5">
        <w:rPr>
          <w:rFonts w:asciiTheme="majorHAnsi" w:eastAsiaTheme="majorEastAsia" w:hAnsiTheme="majorHAnsi" w:cstheme="majorBidi"/>
          <w:color w:val="000000" w:themeColor="text1"/>
          <w:sz w:val="23"/>
          <w:szCs w:val="23"/>
        </w:rPr>
        <w:t xml:space="preserve">many </w:t>
      </w:r>
      <w:r w:rsidRPr="00D337B4">
        <w:rPr>
          <w:rFonts w:asciiTheme="majorHAnsi" w:eastAsiaTheme="majorEastAsia" w:hAnsiTheme="majorHAnsi" w:cstheme="majorBidi"/>
          <w:color w:val="000000" w:themeColor="text1"/>
          <w:sz w:val="23"/>
          <w:szCs w:val="23"/>
        </w:rPr>
        <w:t xml:space="preserve">disadvantaged suburbs. The restrictions also </w:t>
      </w:r>
      <w:r w:rsidR="0054132C">
        <w:rPr>
          <w:rFonts w:asciiTheme="majorHAnsi" w:eastAsiaTheme="majorEastAsia" w:hAnsiTheme="majorHAnsi" w:cstheme="majorBidi"/>
          <w:color w:val="000000" w:themeColor="text1"/>
          <w:sz w:val="23"/>
          <w:szCs w:val="23"/>
        </w:rPr>
        <w:t>underlined</w:t>
      </w:r>
      <w:r w:rsidRPr="00D337B4">
        <w:rPr>
          <w:rFonts w:asciiTheme="majorHAnsi" w:eastAsiaTheme="majorEastAsia" w:hAnsiTheme="majorHAnsi" w:cstheme="majorBidi"/>
          <w:color w:val="000000" w:themeColor="text1"/>
          <w:sz w:val="23"/>
          <w:szCs w:val="23"/>
        </w:rPr>
        <w:t xml:space="preserve"> the importance of </w:t>
      </w:r>
      <w:r w:rsidR="0054132C">
        <w:rPr>
          <w:rFonts w:asciiTheme="majorHAnsi" w:eastAsiaTheme="majorEastAsia" w:hAnsiTheme="majorHAnsi" w:cstheme="majorBidi"/>
          <w:color w:val="000000" w:themeColor="text1"/>
          <w:sz w:val="23"/>
          <w:szCs w:val="23"/>
        </w:rPr>
        <w:t xml:space="preserve">digital inclusion, social connection, and </w:t>
      </w:r>
      <w:r w:rsidRPr="00D337B4">
        <w:rPr>
          <w:rFonts w:asciiTheme="majorHAnsi" w:eastAsiaTheme="majorEastAsia" w:hAnsiTheme="majorHAnsi" w:cstheme="majorBidi"/>
          <w:color w:val="000000" w:themeColor="text1"/>
          <w:sz w:val="23"/>
          <w:szCs w:val="23"/>
        </w:rPr>
        <w:t>access to arts and culture. The design of environments going forward will require greater co-production with communities, with a focus on ensuring ‘</w:t>
      </w:r>
      <w:r w:rsidR="00940D80" w:rsidRPr="00D337B4">
        <w:rPr>
          <w:rFonts w:asciiTheme="majorHAnsi" w:eastAsiaTheme="majorEastAsia" w:hAnsiTheme="majorHAnsi" w:cstheme="majorBidi"/>
          <w:color w:val="000000" w:themeColor="text1"/>
          <w:sz w:val="23"/>
          <w:szCs w:val="23"/>
        </w:rPr>
        <w:t>COVID</w:t>
      </w:r>
      <w:r w:rsidRPr="00D337B4">
        <w:rPr>
          <w:rFonts w:asciiTheme="majorHAnsi" w:eastAsiaTheme="majorEastAsia" w:hAnsiTheme="majorHAnsi" w:cstheme="majorBidi"/>
          <w:color w:val="000000" w:themeColor="text1"/>
          <w:sz w:val="23"/>
          <w:szCs w:val="23"/>
        </w:rPr>
        <w:t xml:space="preserve"> safe’ practices. </w:t>
      </w:r>
    </w:p>
    <w:p w14:paraId="7405BA6E" w14:textId="51F6D6D2" w:rsidR="00F00E3D" w:rsidRPr="003710F5" w:rsidRDefault="002F5BF8" w:rsidP="001E7B37">
      <w:pPr>
        <w:spacing w:line="276" w:lineRule="auto"/>
        <w:rPr>
          <w:rFonts w:eastAsia="Calibri" w:cstheme="minorHAnsi"/>
          <w:b/>
          <w:color w:val="2F5496" w:themeColor="accent1" w:themeShade="BF"/>
          <w:sz w:val="28"/>
          <w:szCs w:val="28"/>
        </w:rPr>
      </w:pPr>
      <w:r w:rsidRPr="003710F5">
        <w:rPr>
          <w:rFonts w:eastAsia="Calibri" w:cstheme="minorHAnsi"/>
          <w:b/>
          <w:color w:val="2F5496" w:themeColor="accent1" w:themeShade="BF"/>
          <w:sz w:val="28"/>
          <w:szCs w:val="28"/>
        </w:rPr>
        <w:t>6.2</w:t>
      </w:r>
      <w:r w:rsidR="00F00E3D" w:rsidRPr="003710F5">
        <w:rPr>
          <w:rFonts w:eastAsia="Calibri" w:cstheme="minorHAnsi"/>
          <w:b/>
          <w:color w:val="2F5496" w:themeColor="accent1" w:themeShade="BF"/>
          <w:sz w:val="28"/>
          <w:szCs w:val="28"/>
        </w:rPr>
        <w:t xml:space="preserve"> Geelong in 2019</w:t>
      </w:r>
      <w:r w:rsidRPr="003710F5">
        <w:rPr>
          <w:rFonts w:eastAsia="Calibri" w:cstheme="minorHAnsi"/>
          <w:b/>
          <w:color w:val="2F5496" w:themeColor="accent1" w:themeShade="BF"/>
          <w:sz w:val="28"/>
          <w:szCs w:val="28"/>
        </w:rPr>
        <w:t>: Before COVID-19</w:t>
      </w:r>
    </w:p>
    <w:p w14:paraId="1ACE08FF" w14:textId="46ACD0BB" w:rsidR="00F00E3D" w:rsidRPr="00DD331C" w:rsidRDefault="00F00E3D" w:rsidP="001E7B37">
      <w:pPr>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In 2019 the City of Greater Geelong’s economy and society reflected a mix of optimism and pessimism: concerted economic progress, but also relatively high unemployment and long-term social challenges with below average Year 12 completion rates and pockets of social disadvantage. The region therefore entered the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-19 period in a state of ambivalence, with mixed prospects.</w:t>
      </w:r>
    </w:p>
    <w:bookmarkEnd w:id="86"/>
    <w:p w14:paraId="6D3BDC00" w14:textId="2986A244" w:rsidR="00F00E3D" w:rsidRPr="00DD331C" w:rsidRDefault="00F00E3D" w:rsidP="001E7B37">
      <w:pPr>
        <w:widowControl w:val="0"/>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In August 2019 Geelong had 5.6 </w:t>
      </w:r>
      <w:r w:rsidR="00065A1B">
        <w:rPr>
          <w:rFonts w:ascii="Calibri Light" w:eastAsia="Calibri" w:hAnsi="Calibri Light" w:cs="Calibri Light"/>
          <w:sz w:val="23"/>
          <w:szCs w:val="23"/>
        </w:rPr>
        <w:t>percent</w:t>
      </w:r>
      <w:r w:rsidR="00430188">
        <w:rPr>
          <w:rFonts w:ascii="Calibri Light" w:eastAsia="Calibri" w:hAnsi="Calibri Light" w:cs="Calibri Light"/>
          <w:sz w:val="23"/>
          <w:szCs w:val="23"/>
        </w:rPr>
        <w:t xml:space="preserve"> unemployment</w:t>
      </w:r>
      <w:r w:rsidRPr="00DD331C">
        <w:rPr>
          <w:rFonts w:ascii="Calibri Light" w:eastAsia="Calibri" w:hAnsi="Calibri Light" w:cs="Calibri Light"/>
          <w:sz w:val="23"/>
          <w:szCs w:val="23"/>
        </w:rPr>
        <w:t xml:space="preserve">, significantly higher than both Victoria (4.6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and Australia (5.1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w:t>
      </w:r>
      <w:r w:rsidRPr="00DD331C">
        <w:rPr>
          <w:rFonts w:ascii="Calibri Light" w:eastAsia="Calibri" w:hAnsi="Calibri Light" w:cs="Calibri Light"/>
          <w:noProof/>
          <w:sz w:val="23"/>
          <w:szCs w:val="23"/>
        </w:rPr>
        <w:t>(Skilling the Bay Advisory Group, 2020)</w:t>
      </w:r>
      <w:r w:rsidRPr="00DD331C">
        <w:rPr>
          <w:rFonts w:ascii="Calibri Light" w:eastAsia="Calibri" w:hAnsi="Calibri Light" w:cs="Calibri Light"/>
          <w:sz w:val="23"/>
          <w:szCs w:val="23"/>
        </w:rPr>
        <w:t xml:space="preserve">. </w:t>
      </w:r>
      <w:r w:rsidR="00507454">
        <w:rPr>
          <w:rFonts w:ascii="Calibri Light" w:eastAsia="Calibri" w:hAnsi="Calibri Light" w:cs="Calibri Light"/>
          <w:sz w:val="23"/>
          <w:szCs w:val="23"/>
        </w:rPr>
        <w:t>B</w:t>
      </w:r>
      <w:r w:rsidRPr="00DD331C">
        <w:rPr>
          <w:rFonts w:ascii="Calibri Light" w:eastAsia="Calibri" w:hAnsi="Calibri Light" w:cs="Calibri Light"/>
          <w:sz w:val="23"/>
          <w:szCs w:val="23"/>
        </w:rPr>
        <w:t xml:space="preserve">uilding on long-term socio-spatial patterns, the City also had significant areas of disadvantage. In Corio-Norlane unemployment was 21.6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and in Whittington it </w:t>
      </w:r>
      <w:r w:rsidR="00507454">
        <w:rPr>
          <w:rFonts w:ascii="Calibri Light" w:eastAsia="Calibri" w:hAnsi="Calibri Light" w:cs="Calibri Light"/>
          <w:sz w:val="23"/>
          <w:szCs w:val="23"/>
        </w:rPr>
        <w:t>was</w:t>
      </w:r>
      <w:r w:rsidRPr="00DD331C">
        <w:rPr>
          <w:rFonts w:ascii="Calibri Light" w:eastAsia="Calibri" w:hAnsi="Calibri Light" w:cs="Calibri Light"/>
          <w:sz w:val="23"/>
          <w:szCs w:val="23"/>
        </w:rPr>
        <w:t xml:space="preserve"> 18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w:t>
      </w:r>
      <w:r w:rsidRPr="00DD331C">
        <w:rPr>
          <w:rFonts w:ascii="Calibri Light" w:eastAsia="Calibri" w:hAnsi="Calibri Light" w:cs="Calibri Light"/>
          <w:noProof/>
          <w:sz w:val="23"/>
          <w:szCs w:val="23"/>
        </w:rPr>
        <w:t>(Skilling the Bay Advisory Group, 2020)</w:t>
      </w:r>
      <w:r w:rsidRPr="00DD331C">
        <w:rPr>
          <w:rFonts w:ascii="Calibri Light" w:eastAsia="Calibri" w:hAnsi="Calibri Light" w:cs="Calibri Light"/>
          <w:sz w:val="23"/>
          <w:szCs w:val="23"/>
        </w:rPr>
        <w:t xml:space="preserve">. These areas have long been on national lists of localities </w:t>
      </w:r>
      <w:r w:rsidR="00507454">
        <w:rPr>
          <w:rFonts w:ascii="Calibri Light" w:eastAsia="Calibri" w:hAnsi="Calibri Light" w:cs="Calibri Light"/>
          <w:sz w:val="23"/>
          <w:szCs w:val="23"/>
        </w:rPr>
        <w:t>with</w:t>
      </w:r>
      <w:r w:rsidRPr="00DD331C">
        <w:rPr>
          <w:rFonts w:ascii="Calibri Light" w:eastAsia="Calibri" w:hAnsi="Calibri Light" w:cs="Calibri Light"/>
          <w:sz w:val="23"/>
          <w:szCs w:val="23"/>
        </w:rPr>
        <w:t xml:space="preserve"> high levels of poverty, unemployment, domestic violence, drug use</w:t>
      </w:r>
      <w:r w:rsidR="00507454">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and low levels of education. </w:t>
      </w:r>
      <w:r w:rsidR="00507454">
        <w:rPr>
          <w:rFonts w:ascii="Calibri Light" w:eastAsia="Calibri" w:hAnsi="Calibri Light" w:cs="Calibri Light"/>
          <w:sz w:val="23"/>
          <w:szCs w:val="23"/>
        </w:rPr>
        <w:t>In</w:t>
      </w:r>
      <w:r w:rsidRPr="00DD331C">
        <w:rPr>
          <w:rFonts w:ascii="Calibri Light" w:eastAsia="Calibri" w:hAnsi="Calibri Light" w:cs="Calibri Light"/>
          <w:sz w:val="23"/>
          <w:szCs w:val="23"/>
        </w:rPr>
        <w:t xml:space="preserve"> 2019 more than 35,000 people in Greater Geelong lived at or below the poverty line, equal to 10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of the population.</w:t>
      </w:r>
    </w:p>
    <w:p w14:paraId="059B8CDE" w14:textId="01B446B8" w:rsidR="00F96AD6" w:rsidRDefault="00F00E3D" w:rsidP="001E7B37">
      <w:pPr>
        <w:widowControl w:val="0"/>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As well as long-term pockets of disadvantage, Geelong has a low educational participation rate and falls below the state average in the higher educational qualifications that will be needed in the new, high-technology economy of the future. Between 1988 and 2018 </w:t>
      </w:r>
      <w:r w:rsidR="00507454">
        <w:rPr>
          <w:rFonts w:ascii="Calibri Light" w:eastAsia="Calibri" w:hAnsi="Calibri Light" w:cs="Calibri Light"/>
          <w:sz w:val="23"/>
          <w:szCs w:val="23"/>
        </w:rPr>
        <w:t>the percentage of jobs</w:t>
      </w:r>
      <w:r w:rsidRPr="00DD331C">
        <w:rPr>
          <w:rFonts w:ascii="Calibri Light" w:eastAsia="Calibri" w:hAnsi="Calibri Light" w:cs="Calibri Light"/>
          <w:sz w:val="23"/>
          <w:szCs w:val="23"/>
        </w:rPr>
        <w:t xml:space="preserve"> in occupations requiring a bachelor’s degree or higher increased from 23 to 32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w:t>
      </w:r>
    </w:p>
    <w:p w14:paraId="2C73E323" w14:textId="053BA1C6" w:rsidR="00F00E3D" w:rsidRPr="00DD331C" w:rsidRDefault="00F00E3D" w:rsidP="001E7B37">
      <w:pPr>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Against this growing demand, Year 12 completion rates in the Geelong region increased from 39.9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in 2006 to 50.6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in </w:t>
      </w:r>
      <w:proofErr w:type="gramStart"/>
      <w:r w:rsidRPr="00DD331C">
        <w:rPr>
          <w:rFonts w:ascii="Calibri Light" w:eastAsia="Calibri" w:hAnsi="Calibri Light" w:cs="Calibri Light"/>
          <w:sz w:val="23"/>
          <w:szCs w:val="23"/>
        </w:rPr>
        <w:t>2016, but</w:t>
      </w:r>
      <w:proofErr w:type="gramEnd"/>
      <w:r w:rsidRPr="00DD331C">
        <w:rPr>
          <w:rFonts w:ascii="Calibri Light" w:eastAsia="Calibri" w:hAnsi="Calibri Light" w:cs="Calibri Light"/>
          <w:sz w:val="23"/>
          <w:szCs w:val="23"/>
        </w:rPr>
        <w:t xml:space="preserve"> remained well below the Victorian average of 59.4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w:t>
      </w:r>
      <w:r w:rsidRPr="00DD331C">
        <w:rPr>
          <w:rFonts w:ascii="Calibri Light" w:eastAsia="Calibri" w:hAnsi="Calibri Light" w:cs="Calibri Light"/>
          <w:noProof/>
          <w:sz w:val="23"/>
          <w:szCs w:val="23"/>
        </w:rPr>
        <w:t>(Skilling the Bay Advisory Group, 2020)</w:t>
      </w:r>
      <w:r w:rsidRPr="00DD331C">
        <w:rPr>
          <w:rFonts w:ascii="Calibri Light" w:eastAsia="Calibri" w:hAnsi="Calibri Light" w:cs="Calibri Light"/>
          <w:sz w:val="23"/>
          <w:szCs w:val="23"/>
        </w:rPr>
        <w:t xml:space="preserve">. At a time when the need for higher-level training is becoming </w:t>
      </w:r>
      <w:r w:rsidRPr="00DD331C">
        <w:rPr>
          <w:rFonts w:ascii="Calibri Light" w:eastAsia="Calibri" w:hAnsi="Calibri Light" w:cs="Calibri Light"/>
          <w:sz w:val="23"/>
          <w:szCs w:val="23"/>
        </w:rPr>
        <w:lastRenderedPageBreak/>
        <w:t xml:space="preserve">more acute, the number of </w:t>
      </w:r>
      <w:r w:rsidR="00507454">
        <w:rPr>
          <w:rFonts w:ascii="Calibri Light" w:eastAsia="Calibri" w:hAnsi="Calibri Light" w:cs="Calibri Light"/>
          <w:sz w:val="23"/>
          <w:szCs w:val="23"/>
        </w:rPr>
        <w:t xml:space="preserve">local </w:t>
      </w:r>
      <w:r w:rsidRPr="00DD331C">
        <w:rPr>
          <w:rFonts w:ascii="Calibri Light" w:eastAsia="Calibri" w:hAnsi="Calibri Light" w:cs="Calibri Light"/>
          <w:sz w:val="23"/>
          <w:szCs w:val="23"/>
        </w:rPr>
        <w:t xml:space="preserve">young people completing Year 12 and going on tertiary education is too low, especially for a region that aspires to become a centre of advanced manufacturing, research, and high-level service provision and employment. </w:t>
      </w:r>
    </w:p>
    <w:p w14:paraId="74DD885C" w14:textId="6C2B8F99" w:rsidR="00F00E3D" w:rsidRDefault="00F00E3D" w:rsidP="001E7B37">
      <w:pPr>
        <w:spacing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But there were also some major positives for Greater Geelong in 2019, including:</w:t>
      </w:r>
    </w:p>
    <w:p w14:paraId="5E30C762" w14:textId="77777777" w:rsidR="001E7B37" w:rsidRPr="001E7B37" w:rsidRDefault="001E7B37" w:rsidP="001E7B37">
      <w:pPr>
        <w:spacing w:after="0" w:line="276" w:lineRule="auto"/>
        <w:rPr>
          <w:rFonts w:ascii="Calibri Light" w:eastAsia="Calibri" w:hAnsi="Calibri Light" w:cs="Calibri Light"/>
          <w:sz w:val="8"/>
          <w:szCs w:val="8"/>
        </w:rPr>
      </w:pPr>
    </w:p>
    <w:p w14:paraId="71C518AC" w14:textId="77777777" w:rsidR="00F00E3D" w:rsidRPr="00DD331C" w:rsidRDefault="00F00E3D" w:rsidP="00364C5D">
      <w:pPr>
        <w:pStyle w:val="ListParagraph"/>
        <w:numPr>
          <w:ilvl w:val="0"/>
          <w:numId w:val="24"/>
        </w:numPr>
        <w:spacing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opening of the $120 million NDIA headquarters</w:t>
      </w:r>
    </w:p>
    <w:p w14:paraId="31506403" w14:textId="77777777" w:rsidR="00F00E3D" w:rsidRPr="00DD331C" w:rsidRDefault="00F00E3D" w:rsidP="00364C5D">
      <w:pPr>
        <w:pStyle w:val="ListParagraph"/>
        <w:numPr>
          <w:ilvl w:val="0"/>
          <w:numId w:val="24"/>
        </w:numPr>
        <w:spacing w:before="240"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opening of the Barwon Health North facility at Norlane </w:t>
      </w:r>
    </w:p>
    <w:p w14:paraId="7419A5B9" w14:textId="77777777" w:rsidR="00F00E3D" w:rsidRPr="00DD331C" w:rsidRDefault="00F00E3D" w:rsidP="00364C5D">
      <w:pPr>
        <w:pStyle w:val="ListParagraph"/>
        <w:numPr>
          <w:ilvl w:val="0"/>
          <w:numId w:val="24"/>
        </w:numPr>
        <w:spacing w:before="240"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commencement of construction of the new GMHBA Health Insurance head office </w:t>
      </w:r>
    </w:p>
    <w:p w14:paraId="16F793DC" w14:textId="77777777" w:rsidR="00F00E3D" w:rsidRPr="00DD331C" w:rsidRDefault="00F00E3D" w:rsidP="00364C5D">
      <w:pPr>
        <w:pStyle w:val="ListParagraph"/>
        <w:numPr>
          <w:ilvl w:val="0"/>
          <w:numId w:val="24"/>
        </w:numPr>
        <w:spacing w:before="240"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opening of the $20 million </w:t>
      </w:r>
      <w:proofErr w:type="spellStart"/>
      <w:r w:rsidRPr="00DD331C">
        <w:rPr>
          <w:rFonts w:ascii="Calibri Light" w:eastAsia="Calibri" w:hAnsi="Calibri Light" w:cs="Calibri Light"/>
          <w:sz w:val="23"/>
          <w:szCs w:val="23"/>
        </w:rPr>
        <w:t>Baptcare</w:t>
      </w:r>
      <w:proofErr w:type="spellEnd"/>
      <w:r w:rsidRPr="00DD331C">
        <w:rPr>
          <w:rFonts w:ascii="Calibri Light" w:eastAsia="Calibri" w:hAnsi="Calibri Light" w:cs="Calibri Light"/>
          <w:sz w:val="23"/>
          <w:szCs w:val="23"/>
        </w:rPr>
        <w:t xml:space="preserve"> 100-bed aged care facility in North Geelong </w:t>
      </w:r>
    </w:p>
    <w:p w14:paraId="32F016E5" w14:textId="77777777" w:rsidR="00F00E3D" w:rsidRPr="00DD331C" w:rsidRDefault="00F00E3D" w:rsidP="00364C5D">
      <w:pPr>
        <w:pStyle w:val="ListParagraph"/>
        <w:numPr>
          <w:ilvl w:val="0"/>
          <w:numId w:val="24"/>
        </w:numPr>
        <w:spacing w:before="240"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approval of the 15-storey Miramar apartments on the Geelong Waterfront</w:t>
      </w:r>
    </w:p>
    <w:p w14:paraId="3FAB1CF8" w14:textId="77777777" w:rsidR="00F00E3D" w:rsidRPr="00DD331C" w:rsidRDefault="00F00E3D" w:rsidP="00364C5D">
      <w:pPr>
        <w:pStyle w:val="ListParagraph"/>
        <w:numPr>
          <w:ilvl w:val="0"/>
          <w:numId w:val="24"/>
        </w:numPr>
        <w:spacing w:before="240"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appointment of Vestas and </w:t>
      </w:r>
      <w:proofErr w:type="spellStart"/>
      <w:r w:rsidRPr="00DD331C">
        <w:rPr>
          <w:rFonts w:ascii="Calibri Light" w:eastAsia="Calibri" w:hAnsi="Calibri Light" w:cs="Calibri Light"/>
          <w:sz w:val="23"/>
          <w:szCs w:val="23"/>
        </w:rPr>
        <w:t>Marand</w:t>
      </w:r>
      <w:proofErr w:type="spellEnd"/>
      <w:r w:rsidRPr="00DD331C">
        <w:rPr>
          <w:rFonts w:ascii="Calibri Light" w:eastAsia="Calibri" w:hAnsi="Calibri Light" w:cs="Calibri Light"/>
          <w:sz w:val="23"/>
          <w:szCs w:val="23"/>
        </w:rPr>
        <w:t xml:space="preserve"> Precision Engineering to assemble wind turbines in the old Ford factory</w:t>
      </w:r>
    </w:p>
    <w:p w14:paraId="57C534B5" w14:textId="77777777" w:rsidR="00AA0FB3" w:rsidRDefault="00F00E3D" w:rsidP="00364C5D">
      <w:pPr>
        <w:pStyle w:val="ListParagraph"/>
        <w:numPr>
          <w:ilvl w:val="0"/>
          <w:numId w:val="24"/>
        </w:numPr>
        <w:spacing w:before="240"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three levels of government committing to the $370 million City Deal package over 10 years</w:t>
      </w:r>
    </w:p>
    <w:p w14:paraId="1A3DB730" w14:textId="4D3AF077" w:rsidR="00AA0FB3" w:rsidRPr="00AA0FB3" w:rsidRDefault="00AA0FB3" w:rsidP="00364C5D">
      <w:pPr>
        <w:pStyle w:val="ListParagraph"/>
        <w:numPr>
          <w:ilvl w:val="0"/>
          <w:numId w:val="24"/>
        </w:numPr>
        <w:spacing w:before="240" w:after="0" w:line="276" w:lineRule="auto"/>
        <w:rPr>
          <w:rFonts w:ascii="Calibri Light" w:eastAsia="Calibri" w:hAnsi="Calibri Light" w:cs="Calibri Light"/>
          <w:sz w:val="23"/>
          <w:szCs w:val="23"/>
        </w:rPr>
      </w:pPr>
      <w:r>
        <w:rPr>
          <w:rFonts w:asciiTheme="majorHAnsi" w:eastAsia="Calibri" w:hAnsiTheme="majorHAnsi" w:cs="Calibri Light"/>
          <w:sz w:val="23"/>
          <w:szCs w:val="23"/>
        </w:rPr>
        <w:t>announcement of a plan to</w:t>
      </w:r>
      <w:r w:rsidR="00F00E3D" w:rsidRPr="00AA0FB3">
        <w:rPr>
          <w:rFonts w:asciiTheme="majorHAnsi" w:eastAsia="Calibri" w:hAnsiTheme="majorHAnsi" w:cs="Calibri Light"/>
          <w:sz w:val="23"/>
          <w:szCs w:val="23"/>
        </w:rPr>
        <w:t xml:space="preserve"> duplicate the Geelong–Waurn Ponds rail line</w:t>
      </w:r>
    </w:p>
    <w:p w14:paraId="6B2CD81C" w14:textId="6691C414" w:rsidR="00F00E3D" w:rsidRPr="00AA0FB3" w:rsidRDefault="00F00E3D" w:rsidP="00364C5D">
      <w:pPr>
        <w:pStyle w:val="ListParagraph"/>
        <w:numPr>
          <w:ilvl w:val="0"/>
          <w:numId w:val="24"/>
        </w:numPr>
        <w:spacing w:before="240" w:after="0" w:line="276" w:lineRule="auto"/>
        <w:rPr>
          <w:rFonts w:ascii="Calibri Light" w:eastAsia="Calibri" w:hAnsi="Calibri Light" w:cs="Calibri Light"/>
          <w:sz w:val="23"/>
          <w:szCs w:val="23"/>
        </w:rPr>
      </w:pPr>
      <w:r w:rsidRPr="00AA0FB3">
        <w:rPr>
          <w:rFonts w:asciiTheme="majorHAnsi" w:eastAsia="Calibri" w:hAnsiTheme="majorHAnsi" w:cs="Calibri Light"/>
          <w:sz w:val="23"/>
          <w:szCs w:val="23"/>
        </w:rPr>
        <w:t>budget commitment</w:t>
      </w:r>
      <w:r w:rsidR="00AA0FB3">
        <w:rPr>
          <w:rFonts w:asciiTheme="majorHAnsi" w:eastAsia="Calibri" w:hAnsiTheme="majorHAnsi" w:cs="Calibri Light"/>
          <w:sz w:val="23"/>
          <w:szCs w:val="23"/>
        </w:rPr>
        <w:t>s</w:t>
      </w:r>
      <w:r w:rsidRPr="00AA0FB3">
        <w:rPr>
          <w:rFonts w:asciiTheme="majorHAnsi" w:eastAsia="Calibri" w:hAnsiTheme="majorHAnsi" w:cs="Calibri Light"/>
          <w:sz w:val="23"/>
          <w:szCs w:val="23"/>
        </w:rPr>
        <w:t xml:space="preserve"> to invest in the Women’s and Children’s Hospital and expand the Lara Prison Precinct.</w:t>
      </w:r>
    </w:p>
    <w:p w14:paraId="326B93D2" w14:textId="77777777" w:rsidR="00F00E3D" w:rsidRPr="00F96AD6" w:rsidRDefault="00F00E3D" w:rsidP="001E7B37">
      <w:pPr>
        <w:pStyle w:val="ListParagraph"/>
        <w:spacing w:after="0" w:line="276" w:lineRule="auto"/>
        <w:ind w:left="0"/>
        <w:rPr>
          <w:rFonts w:asciiTheme="majorHAnsi" w:eastAsia="Calibri" w:hAnsiTheme="majorHAnsi" w:cs="Calibri Light"/>
          <w:sz w:val="12"/>
          <w:szCs w:val="12"/>
        </w:rPr>
      </w:pPr>
    </w:p>
    <w:p w14:paraId="6412BD9F" w14:textId="5D6AFE23" w:rsidR="00F00E3D" w:rsidRPr="00DD331C" w:rsidRDefault="00F00E3D" w:rsidP="001E7B37">
      <w:pPr>
        <w:pStyle w:val="ListParagraph"/>
        <w:spacing w:after="0" w:line="276" w:lineRule="auto"/>
        <w:ind w:left="0"/>
        <w:rPr>
          <w:rFonts w:asciiTheme="majorHAnsi" w:eastAsia="Calibri" w:hAnsiTheme="majorHAnsi" w:cs="Calibri Light"/>
          <w:sz w:val="23"/>
          <w:szCs w:val="23"/>
        </w:rPr>
      </w:pPr>
      <w:r w:rsidRPr="00DD331C">
        <w:rPr>
          <w:rFonts w:asciiTheme="majorHAnsi" w:eastAsia="Calibri" w:hAnsiTheme="majorHAnsi" w:cs="Calibri Light"/>
          <w:sz w:val="23"/>
          <w:szCs w:val="23"/>
        </w:rPr>
        <w:t>In summary,</w:t>
      </w:r>
      <w:r w:rsidR="001E7B37">
        <w:rPr>
          <w:rFonts w:asciiTheme="majorHAnsi" w:eastAsia="Calibri" w:hAnsiTheme="majorHAnsi" w:cs="Calibri Light"/>
          <w:sz w:val="23"/>
          <w:szCs w:val="23"/>
        </w:rPr>
        <w:t xml:space="preserve"> during 2019</w:t>
      </w:r>
      <w:r w:rsidRPr="00DD331C">
        <w:rPr>
          <w:rFonts w:asciiTheme="majorHAnsi" w:eastAsia="Calibri" w:hAnsiTheme="majorHAnsi" w:cs="Calibri Light"/>
          <w:sz w:val="23"/>
          <w:szCs w:val="23"/>
        </w:rPr>
        <w:t xml:space="preserve"> those sectors and sites of the Greater Geelong economy that had already shown their robustness </w:t>
      </w:r>
      <w:r w:rsidR="001E7B37">
        <w:rPr>
          <w:rFonts w:asciiTheme="majorHAnsi" w:eastAsia="Calibri" w:hAnsiTheme="majorHAnsi" w:cs="Calibri Light"/>
          <w:sz w:val="23"/>
          <w:szCs w:val="23"/>
        </w:rPr>
        <w:t>–</w:t>
      </w:r>
      <w:r w:rsidRPr="00DD331C">
        <w:rPr>
          <w:rFonts w:asciiTheme="majorHAnsi" w:eastAsia="Calibri" w:hAnsiTheme="majorHAnsi" w:cs="Calibri Light"/>
          <w:sz w:val="23"/>
          <w:szCs w:val="23"/>
        </w:rPr>
        <w:t xml:space="preserve"> health, manufacturing, tourism, and residential construction </w:t>
      </w:r>
      <w:r w:rsidR="001E7B37">
        <w:rPr>
          <w:rFonts w:asciiTheme="majorHAnsi" w:eastAsia="Calibri" w:hAnsiTheme="majorHAnsi" w:cs="Calibri Light"/>
          <w:sz w:val="23"/>
          <w:szCs w:val="23"/>
        </w:rPr>
        <w:t>–</w:t>
      </w:r>
      <w:r w:rsidRPr="00DD331C">
        <w:rPr>
          <w:rFonts w:asciiTheme="majorHAnsi" w:eastAsia="Calibri" w:hAnsiTheme="majorHAnsi" w:cs="Calibri Light"/>
          <w:sz w:val="23"/>
          <w:szCs w:val="23"/>
        </w:rPr>
        <w:t xml:space="preserve"> continued to progress, along with government funding of new infrastructure projects. However, there were some concerning signals in relation to unemployment, ongoing social disadvantage</w:t>
      </w:r>
      <w:r w:rsidR="001E7B37">
        <w:rPr>
          <w:rFonts w:asciiTheme="majorHAnsi" w:eastAsia="Calibri" w:hAnsiTheme="majorHAnsi" w:cs="Calibri Light"/>
          <w:sz w:val="23"/>
          <w:szCs w:val="23"/>
        </w:rPr>
        <w:t>,</w:t>
      </w:r>
      <w:r w:rsidRPr="00DD331C">
        <w:rPr>
          <w:rFonts w:asciiTheme="majorHAnsi" w:eastAsia="Calibri" w:hAnsiTheme="majorHAnsi" w:cs="Calibri Light"/>
          <w:sz w:val="23"/>
          <w:szCs w:val="23"/>
        </w:rPr>
        <w:t xml:space="preserve"> a mismatch between the expanding service and manufacturing sectors, and the proportion of local students going on to higher education. The catastrophic Victorian and New South Wales bushfires, while not directly affecting Greater Geelong, also had considerable community impact.</w:t>
      </w:r>
    </w:p>
    <w:p w14:paraId="3E0170E7" w14:textId="77777777" w:rsidR="00F00E3D" w:rsidRPr="00F96AD6" w:rsidRDefault="00F00E3D" w:rsidP="001E7B37">
      <w:pPr>
        <w:spacing w:after="0" w:line="276" w:lineRule="auto"/>
        <w:rPr>
          <w:rFonts w:ascii="Calibri Light" w:eastAsia="Calibri" w:hAnsi="Calibri Light" w:cs="Calibri Light"/>
          <w:sz w:val="16"/>
          <w:szCs w:val="16"/>
        </w:rPr>
      </w:pPr>
    </w:p>
    <w:p w14:paraId="58551639" w14:textId="03E40096" w:rsidR="00F00E3D" w:rsidRPr="003710F5" w:rsidRDefault="002F5BF8" w:rsidP="001E7B37">
      <w:pPr>
        <w:spacing w:line="276" w:lineRule="auto"/>
        <w:rPr>
          <w:rFonts w:eastAsia="Calibri" w:cstheme="minorHAnsi"/>
          <w:b/>
          <w:color w:val="2F5496" w:themeColor="accent1" w:themeShade="BF"/>
          <w:sz w:val="28"/>
          <w:szCs w:val="28"/>
        </w:rPr>
      </w:pPr>
      <w:bookmarkStart w:id="87" w:name="_Hlk45201855"/>
      <w:r w:rsidRPr="003710F5">
        <w:rPr>
          <w:rFonts w:eastAsia="Calibri" w:cstheme="minorHAnsi"/>
          <w:b/>
          <w:color w:val="2F5496" w:themeColor="accent1" w:themeShade="BF"/>
          <w:sz w:val="28"/>
          <w:szCs w:val="28"/>
        </w:rPr>
        <w:t>6.3</w:t>
      </w:r>
      <w:r w:rsidR="00F00E3D" w:rsidRPr="003710F5">
        <w:rPr>
          <w:rFonts w:eastAsia="Calibri" w:cstheme="minorHAnsi"/>
          <w:b/>
          <w:color w:val="2F5496" w:themeColor="accent1" w:themeShade="BF"/>
          <w:sz w:val="28"/>
          <w:szCs w:val="28"/>
        </w:rPr>
        <w:t xml:space="preserve"> Geelong in 2020</w:t>
      </w:r>
      <w:r w:rsidRPr="003710F5">
        <w:rPr>
          <w:rFonts w:eastAsia="Calibri" w:cstheme="minorHAnsi"/>
          <w:b/>
          <w:color w:val="2F5496" w:themeColor="accent1" w:themeShade="BF"/>
          <w:sz w:val="28"/>
          <w:szCs w:val="28"/>
        </w:rPr>
        <w:t>: During COVID-19</w:t>
      </w:r>
    </w:p>
    <w:p w14:paraId="53426D69" w14:textId="043F9021" w:rsidR="00F00E3D" w:rsidRPr="003710F5" w:rsidRDefault="002F5BF8" w:rsidP="001E7B37">
      <w:pPr>
        <w:spacing w:after="0" w:line="276" w:lineRule="auto"/>
        <w:rPr>
          <w:rFonts w:eastAsia="Calibri" w:cstheme="minorHAnsi"/>
          <w:b/>
          <w:color w:val="2F5496" w:themeColor="accent1" w:themeShade="BF"/>
          <w:sz w:val="25"/>
          <w:szCs w:val="25"/>
        </w:rPr>
      </w:pPr>
      <w:r w:rsidRPr="003710F5">
        <w:rPr>
          <w:rFonts w:eastAsia="Calibri" w:cstheme="minorHAnsi"/>
          <w:b/>
          <w:color w:val="2F5496" w:themeColor="accent1" w:themeShade="BF"/>
          <w:sz w:val="25"/>
          <w:szCs w:val="25"/>
        </w:rPr>
        <w:t xml:space="preserve">6.3.1 Local </w:t>
      </w:r>
      <w:r w:rsidR="00F00E3D" w:rsidRPr="003710F5">
        <w:rPr>
          <w:rFonts w:eastAsia="Calibri" w:cstheme="minorHAnsi"/>
          <w:b/>
          <w:color w:val="2F5496" w:themeColor="accent1" w:themeShade="BF"/>
          <w:sz w:val="25"/>
          <w:szCs w:val="25"/>
        </w:rPr>
        <w:t>Employment Losses</w:t>
      </w:r>
    </w:p>
    <w:p w14:paraId="49A81083" w14:textId="77777777" w:rsidR="00E372D1" w:rsidRPr="00E372D1" w:rsidRDefault="00E372D1" w:rsidP="001E7B37">
      <w:pPr>
        <w:spacing w:after="0" w:line="276" w:lineRule="auto"/>
        <w:rPr>
          <w:rFonts w:asciiTheme="majorHAnsi" w:eastAsia="Calibri" w:hAnsiTheme="majorHAnsi" w:cs="Calibri Light"/>
          <w:sz w:val="16"/>
          <w:szCs w:val="16"/>
        </w:rPr>
      </w:pPr>
    </w:p>
    <w:p w14:paraId="366C33C8" w14:textId="675337A0" w:rsidR="00F00E3D" w:rsidRPr="00DD331C" w:rsidRDefault="00F00E3D" w:rsidP="001E7B37">
      <w:pPr>
        <w:spacing w:after="0" w:line="276" w:lineRule="auto"/>
        <w:rPr>
          <w:rFonts w:asciiTheme="majorHAnsi" w:eastAsia="Calibri" w:hAnsiTheme="majorHAnsi" w:cs="Calibri Light"/>
          <w:sz w:val="23"/>
          <w:szCs w:val="23"/>
        </w:rPr>
      </w:pPr>
      <w:r w:rsidRPr="00DD331C">
        <w:rPr>
          <w:rFonts w:asciiTheme="majorHAnsi" w:eastAsia="Calibri" w:hAnsiTheme="majorHAnsi" w:cs="Calibri Light"/>
          <w:sz w:val="23"/>
          <w:szCs w:val="23"/>
        </w:rPr>
        <w:t xml:space="preserve">Nationally and locally, the industries </w:t>
      </w:r>
      <w:r w:rsidR="001E7B37">
        <w:rPr>
          <w:rFonts w:asciiTheme="majorHAnsi" w:eastAsia="Calibri" w:hAnsiTheme="majorHAnsi" w:cs="Calibri Light"/>
          <w:sz w:val="23"/>
          <w:szCs w:val="23"/>
        </w:rPr>
        <w:t xml:space="preserve">and sectors </w:t>
      </w:r>
      <w:r w:rsidRPr="00DD331C">
        <w:rPr>
          <w:rFonts w:asciiTheme="majorHAnsi" w:eastAsia="Calibri" w:hAnsiTheme="majorHAnsi" w:cs="Calibri Light"/>
          <w:sz w:val="23"/>
          <w:szCs w:val="23"/>
        </w:rPr>
        <w:t xml:space="preserve">most impacted by the virus and subsequent lockdowns </w:t>
      </w:r>
      <w:r w:rsidR="001E7B37">
        <w:rPr>
          <w:rFonts w:asciiTheme="majorHAnsi" w:eastAsia="Calibri" w:hAnsiTheme="majorHAnsi" w:cs="Calibri Light"/>
          <w:sz w:val="23"/>
          <w:szCs w:val="23"/>
        </w:rPr>
        <w:t>have been</w:t>
      </w:r>
      <w:r w:rsidRPr="00DD331C">
        <w:rPr>
          <w:rFonts w:asciiTheme="majorHAnsi" w:eastAsia="Calibri" w:hAnsiTheme="majorHAnsi" w:cs="Calibri Light"/>
          <w:sz w:val="23"/>
          <w:szCs w:val="23"/>
        </w:rPr>
        <w:t xml:space="preserve"> tourism and accommodation, </w:t>
      </w:r>
      <w:r w:rsidR="001E7B37">
        <w:rPr>
          <w:rFonts w:asciiTheme="majorHAnsi" w:eastAsia="Calibri" w:hAnsiTheme="majorHAnsi" w:cs="Calibri Light"/>
          <w:sz w:val="23"/>
          <w:szCs w:val="23"/>
        </w:rPr>
        <w:t xml:space="preserve">the arts, </w:t>
      </w:r>
      <w:r w:rsidR="001E7B37" w:rsidRPr="00DD331C">
        <w:rPr>
          <w:rFonts w:asciiTheme="majorHAnsi" w:eastAsia="Calibri" w:hAnsiTheme="majorHAnsi" w:cs="Calibri Light"/>
          <w:sz w:val="23"/>
          <w:szCs w:val="23"/>
        </w:rPr>
        <w:t xml:space="preserve">retail, hospitality, </w:t>
      </w:r>
      <w:r w:rsidRPr="00DD331C">
        <w:rPr>
          <w:rFonts w:asciiTheme="majorHAnsi" w:eastAsia="Calibri" w:hAnsiTheme="majorHAnsi" w:cs="Calibri Light"/>
          <w:sz w:val="23"/>
          <w:szCs w:val="23"/>
        </w:rPr>
        <w:t xml:space="preserve">education (especially those parts exposed to the </w:t>
      </w:r>
      <w:r w:rsidR="001E7B37">
        <w:rPr>
          <w:rFonts w:asciiTheme="majorHAnsi" w:eastAsia="Calibri" w:hAnsiTheme="majorHAnsi" w:cs="Calibri Light"/>
          <w:sz w:val="23"/>
          <w:szCs w:val="23"/>
        </w:rPr>
        <w:t>loss</w:t>
      </w:r>
      <w:r w:rsidRPr="00DD331C">
        <w:rPr>
          <w:rFonts w:asciiTheme="majorHAnsi" w:eastAsia="Calibri" w:hAnsiTheme="majorHAnsi" w:cs="Calibri Light"/>
          <w:sz w:val="23"/>
          <w:szCs w:val="23"/>
        </w:rPr>
        <w:t xml:space="preserve"> of international students), and high-touch </w:t>
      </w:r>
      <w:r w:rsidRPr="0071553E">
        <w:rPr>
          <w:rFonts w:asciiTheme="majorHAnsi" w:eastAsia="Calibri" w:hAnsiTheme="majorHAnsi" w:cs="Calibri Light"/>
          <w:sz w:val="23"/>
          <w:szCs w:val="23"/>
        </w:rPr>
        <w:t>personal service industries including gyms, personal trainers, beauty, therapists, tattooists (Grattan Institute</w:t>
      </w:r>
      <w:r w:rsidR="001E7B37">
        <w:rPr>
          <w:rFonts w:asciiTheme="majorHAnsi" w:eastAsia="Calibri" w:hAnsiTheme="majorHAnsi" w:cs="Calibri Light"/>
          <w:sz w:val="23"/>
          <w:szCs w:val="23"/>
        </w:rPr>
        <w:t xml:space="preserve">, </w:t>
      </w:r>
      <w:r w:rsidRPr="0071553E">
        <w:rPr>
          <w:rFonts w:asciiTheme="majorHAnsi" w:eastAsia="Calibri" w:hAnsiTheme="majorHAnsi" w:cs="Calibri Light"/>
          <w:noProof/>
          <w:sz w:val="23"/>
          <w:szCs w:val="23"/>
        </w:rPr>
        <w:t>2020</w:t>
      </w:r>
      <w:r w:rsidRPr="0071553E">
        <w:rPr>
          <w:rFonts w:asciiTheme="majorHAnsi" w:eastAsia="Calibri" w:hAnsiTheme="majorHAnsi" w:cs="Calibri Light"/>
          <w:sz w:val="23"/>
          <w:szCs w:val="23"/>
        </w:rPr>
        <w:t xml:space="preserve">). Table </w:t>
      </w:r>
      <w:r w:rsidR="0071553E" w:rsidRPr="0071553E">
        <w:rPr>
          <w:rFonts w:asciiTheme="majorHAnsi" w:eastAsia="Calibri" w:hAnsiTheme="majorHAnsi" w:cs="Calibri Light"/>
          <w:sz w:val="23"/>
          <w:szCs w:val="23"/>
        </w:rPr>
        <w:t xml:space="preserve">6.1 (below) </w:t>
      </w:r>
      <w:r w:rsidRPr="0071553E">
        <w:rPr>
          <w:rFonts w:asciiTheme="majorHAnsi" w:eastAsia="Calibri" w:hAnsiTheme="majorHAnsi" w:cs="Calibri Light"/>
          <w:sz w:val="23"/>
          <w:szCs w:val="23"/>
        </w:rPr>
        <w:t xml:space="preserve">shows Geelong’s employment figures in </w:t>
      </w:r>
      <w:r w:rsidR="001E7B37">
        <w:rPr>
          <w:rFonts w:asciiTheme="majorHAnsi" w:eastAsia="Calibri" w:hAnsiTheme="majorHAnsi" w:cs="Calibri Light"/>
          <w:sz w:val="23"/>
          <w:szCs w:val="23"/>
        </w:rPr>
        <w:t xml:space="preserve">four of these </w:t>
      </w:r>
      <w:r w:rsidRPr="0071553E">
        <w:rPr>
          <w:rFonts w:asciiTheme="majorHAnsi" w:eastAsia="Calibri" w:hAnsiTheme="majorHAnsi" w:cs="Calibri Light"/>
          <w:sz w:val="23"/>
          <w:szCs w:val="23"/>
        </w:rPr>
        <w:t>key sectors for 2016.</w:t>
      </w:r>
    </w:p>
    <w:bookmarkEnd w:id="87"/>
    <w:p w14:paraId="7E1F4782" w14:textId="77777777" w:rsidR="0071553E" w:rsidRPr="0054132C" w:rsidRDefault="0071553E" w:rsidP="0071553E">
      <w:pPr>
        <w:spacing w:after="0" w:line="240" w:lineRule="auto"/>
        <w:rPr>
          <w:rFonts w:eastAsia="Calibri" w:cstheme="minorHAnsi"/>
          <w:bCs/>
          <w:color w:val="808080" w:themeColor="background1" w:themeShade="80"/>
          <w:sz w:val="16"/>
          <w:szCs w:val="16"/>
        </w:rPr>
      </w:pPr>
    </w:p>
    <w:p w14:paraId="7D4F39AB" w14:textId="7A241176" w:rsidR="003710F5" w:rsidRDefault="0054132C" w:rsidP="0054132C">
      <w:pPr>
        <w:spacing w:after="0" w:line="276" w:lineRule="auto"/>
        <w:rPr>
          <w:rFonts w:asciiTheme="majorHAnsi" w:eastAsia="Calibri" w:hAnsiTheme="majorHAnsi"/>
          <w:bCs/>
          <w:sz w:val="23"/>
          <w:szCs w:val="23"/>
        </w:rPr>
      </w:pPr>
      <w:r w:rsidRPr="0054132C">
        <w:rPr>
          <w:rFonts w:asciiTheme="majorHAnsi" w:eastAsia="Calibri" w:hAnsiTheme="majorHAnsi"/>
          <w:bCs/>
          <w:sz w:val="23"/>
          <w:szCs w:val="23"/>
        </w:rPr>
        <w:t>Collectively</w:t>
      </w:r>
      <w:r w:rsidR="001E7B37">
        <w:rPr>
          <w:rFonts w:asciiTheme="majorHAnsi" w:eastAsia="Calibri" w:hAnsiTheme="majorHAnsi"/>
          <w:bCs/>
          <w:sz w:val="23"/>
          <w:szCs w:val="23"/>
        </w:rPr>
        <w:t>,</w:t>
      </w:r>
      <w:r w:rsidRPr="0054132C">
        <w:rPr>
          <w:rFonts w:asciiTheme="majorHAnsi" w:eastAsia="Calibri" w:hAnsiTheme="majorHAnsi"/>
          <w:bCs/>
          <w:sz w:val="23"/>
          <w:szCs w:val="23"/>
        </w:rPr>
        <w:t xml:space="preserve"> these four sectors </w:t>
      </w:r>
      <w:r>
        <w:rPr>
          <w:rFonts w:asciiTheme="majorHAnsi" w:eastAsia="Calibri" w:hAnsiTheme="majorHAnsi"/>
          <w:bCs/>
          <w:sz w:val="23"/>
          <w:szCs w:val="23"/>
        </w:rPr>
        <w:t>render</w:t>
      </w:r>
      <w:r w:rsidRPr="0054132C">
        <w:rPr>
          <w:rFonts w:asciiTheme="majorHAnsi" w:eastAsia="Calibri" w:hAnsiTheme="majorHAnsi"/>
          <w:bCs/>
          <w:sz w:val="23"/>
          <w:szCs w:val="23"/>
        </w:rPr>
        <w:t xml:space="preserve"> over 26,000 local jobs highly vulnerable to the impact of COVID-19. The pandemic wiped out more than 10,000 jobs in Geelong and the Surf Coast in the five-week period to 18 April (Geelong Advertiser, 2020b). </w:t>
      </w:r>
      <w:r w:rsidR="00AA0FB3" w:rsidRPr="0054132C">
        <w:rPr>
          <w:rFonts w:asciiTheme="majorHAnsi" w:eastAsia="Calibri" w:hAnsiTheme="majorHAnsi"/>
          <w:bCs/>
          <w:sz w:val="23"/>
          <w:szCs w:val="23"/>
        </w:rPr>
        <w:t>In the first three months of 2020, at least 30 Geelong businesses filed for bankruptcy, including companies in the construction, transport</w:t>
      </w:r>
      <w:r w:rsidR="00AA0FB3">
        <w:rPr>
          <w:rFonts w:asciiTheme="majorHAnsi" w:eastAsia="Calibri" w:hAnsiTheme="majorHAnsi"/>
          <w:bCs/>
          <w:sz w:val="23"/>
          <w:szCs w:val="23"/>
        </w:rPr>
        <w:t xml:space="preserve"> and </w:t>
      </w:r>
      <w:r w:rsidR="00AA0FB3" w:rsidRPr="0054132C">
        <w:rPr>
          <w:rFonts w:asciiTheme="majorHAnsi" w:eastAsia="Calibri" w:hAnsiTheme="majorHAnsi"/>
          <w:bCs/>
          <w:sz w:val="23"/>
          <w:szCs w:val="23"/>
        </w:rPr>
        <w:t>logistics</w:t>
      </w:r>
      <w:r w:rsidR="00AA0FB3">
        <w:rPr>
          <w:rFonts w:asciiTheme="majorHAnsi" w:eastAsia="Calibri" w:hAnsiTheme="majorHAnsi"/>
          <w:bCs/>
          <w:sz w:val="23"/>
          <w:szCs w:val="23"/>
        </w:rPr>
        <w:t>,</w:t>
      </w:r>
      <w:r w:rsidR="00AA0FB3" w:rsidRPr="0054132C">
        <w:rPr>
          <w:rFonts w:asciiTheme="majorHAnsi" w:eastAsia="Calibri" w:hAnsiTheme="majorHAnsi"/>
          <w:bCs/>
          <w:sz w:val="23"/>
          <w:szCs w:val="23"/>
        </w:rPr>
        <w:t xml:space="preserve"> and health sectors (Geelong Advertiser, 2020c).</w:t>
      </w:r>
      <w:r w:rsidR="003710F5">
        <w:rPr>
          <w:rFonts w:asciiTheme="majorHAnsi" w:eastAsia="Calibri" w:hAnsiTheme="majorHAnsi"/>
          <w:bCs/>
          <w:sz w:val="23"/>
          <w:szCs w:val="23"/>
        </w:rPr>
        <w:t xml:space="preserve"> </w:t>
      </w:r>
      <w:r w:rsidRPr="0054132C">
        <w:rPr>
          <w:rFonts w:asciiTheme="majorHAnsi" w:eastAsia="Calibri" w:hAnsiTheme="majorHAnsi"/>
          <w:bCs/>
          <w:sz w:val="23"/>
          <w:szCs w:val="23"/>
        </w:rPr>
        <w:t>A</w:t>
      </w:r>
      <w:r w:rsidR="001E7B37">
        <w:rPr>
          <w:rFonts w:asciiTheme="majorHAnsi" w:eastAsia="Calibri" w:hAnsiTheme="majorHAnsi"/>
          <w:bCs/>
          <w:sz w:val="23"/>
          <w:szCs w:val="23"/>
        </w:rPr>
        <w:t>n</w:t>
      </w:r>
      <w:r w:rsidRPr="0054132C">
        <w:rPr>
          <w:rFonts w:asciiTheme="majorHAnsi" w:eastAsia="Calibri" w:hAnsiTheme="majorHAnsi"/>
          <w:bCs/>
          <w:sz w:val="23"/>
          <w:szCs w:val="23"/>
        </w:rPr>
        <w:t xml:space="preserve"> SGS Economics report predicted Geelong w</w:t>
      </w:r>
      <w:r w:rsidR="001E7B37">
        <w:rPr>
          <w:rFonts w:asciiTheme="majorHAnsi" w:eastAsia="Calibri" w:hAnsiTheme="majorHAnsi"/>
          <w:bCs/>
          <w:sz w:val="23"/>
          <w:szCs w:val="23"/>
        </w:rPr>
        <w:t>ould</w:t>
      </w:r>
      <w:r w:rsidRPr="0054132C">
        <w:rPr>
          <w:rFonts w:asciiTheme="majorHAnsi" w:eastAsia="Calibri" w:hAnsiTheme="majorHAnsi"/>
          <w:bCs/>
          <w:sz w:val="23"/>
          <w:szCs w:val="23"/>
        </w:rPr>
        <w:t xml:space="preserve"> lose 7.5 to 10 percent of its GDP in the 2019</w:t>
      </w:r>
      <w:r w:rsidR="00D7750B">
        <w:rPr>
          <w:rFonts w:asciiTheme="majorHAnsi" w:eastAsia="Calibri" w:hAnsiTheme="majorHAnsi"/>
          <w:bCs/>
          <w:sz w:val="23"/>
          <w:szCs w:val="23"/>
        </w:rPr>
        <w:t>–</w:t>
      </w:r>
      <w:r w:rsidRPr="0054132C">
        <w:rPr>
          <w:rFonts w:asciiTheme="majorHAnsi" w:eastAsia="Calibri" w:hAnsiTheme="majorHAnsi"/>
          <w:bCs/>
          <w:sz w:val="23"/>
          <w:szCs w:val="23"/>
        </w:rPr>
        <w:t>2020 financial year (Geelong advertiser, 2020e).</w:t>
      </w:r>
      <w:r w:rsidR="003710F5">
        <w:rPr>
          <w:rFonts w:asciiTheme="majorHAnsi" w:eastAsia="Calibri" w:hAnsiTheme="majorHAnsi"/>
          <w:bCs/>
          <w:sz w:val="23"/>
          <w:szCs w:val="23"/>
        </w:rPr>
        <w:t>By</w:t>
      </w:r>
      <w:r w:rsidR="00AA0FB3">
        <w:rPr>
          <w:rFonts w:asciiTheme="majorHAnsi" w:eastAsia="Calibri" w:hAnsiTheme="majorHAnsi"/>
          <w:bCs/>
          <w:sz w:val="23"/>
          <w:szCs w:val="23"/>
        </w:rPr>
        <w:t xml:space="preserve"> </w:t>
      </w:r>
      <w:r w:rsidRPr="0054132C">
        <w:rPr>
          <w:rFonts w:asciiTheme="majorHAnsi" w:eastAsia="Calibri" w:hAnsiTheme="majorHAnsi"/>
          <w:bCs/>
          <w:sz w:val="23"/>
          <w:szCs w:val="23"/>
        </w:rPr>
        <w:t>early May</w:t>
      </w:r>
      <w:r w:rsidR="00D7750B">
        <w:rPr>
          <w:rFonts w:asciiTheme="majorHAnsi" w:eastAsia="Calibri" w:hAnsiTheme="majorHAnsi"/>
          <w:bCs/>
          <w:sz w:val="23"/>
          <w:szCs w:val="23"/>
        </w:rPr>
        <w:t xml:space="preserve"> 2020</w:t>
      </w:r>
      <w:r w:rsidRPr="0054132C">
        <w:rPr>
          <w:rFonts w:asciiTheme="majorHAnsi" w:eastAsia="Calibri" w:hAnsiTheme="majorHAnsi"/>
          <w:bCs/>
          <w:sz w:val="23"/>
          <w:szCs w:val="23"/>
        </w:rPr>
        <w:t xml:space="preserve">, about 130 Geelong businesses had been forced to close due to COVID-19 restrictions (Van </w:t>
      </w:r>
      <w:proofErr w:type="spellStart"/>
      <w:r w:rsidRPr="0054132C">
        <w:rPr>
          <w:rFonts w:asciiTheme="majorHAnsi" w:eastAsia="Calibri" w:hAnsiTheme="majorHAnsi"/>
          <w:bCs/>
          <w:sz w:val="23"/>
          <w:szCs w:val="23"/>
        </w:rPr>
        <w:t>Estrop</w:t>
      </w:r>
      <w:proofErr w:type="spellEnd"/>
      <w:r w:rsidRPr="0054132C">
        <w:rPr>
          <w:rFonts w:asciiTheme="majorHAnsi" w:eastAsia="Calibri" w:hAnsiTheme="majorHAnsi"/>
          <w:bCs/>
          <w:sz w:val="23"/>
          <w:szCs w:val="23"/>
        </w:rPr>
        <w:t xml:space="preserve">, 2020), with almost a third of the City’s financial losses in the retail sector (Geelong Advertiser, 2020d). </w:t>
      </w:r>
      <w:r w:rsidR="001E7B37">
        <w:rPr>
          <w:rFonts w:asciiTheme="majorHAnsi" w:eastAsia="Calibri" w:hAnsiTheme="majorHAnsi"/>
          <w:bCs/>
          <w:sz w:val="23"/>
          <w:szCs w:val="23"/>
        </w:rPr>
        <w:t>Local h</w:t>
      </w:r>
      <w:r w:rsidRPr="0054132C">
        <w:rPr>
          <w:rFonts w:asciiTheme="majorHAnsi" w:eastAsia="Calibri" w:hAnsiTheme="majorHAnsi"/>
          <w:bCs/>
          <w:sz w:val="23"/>
          <w:szCs w:val="23"/>
        </w:rPr>
        <w:t>ospitality and tourism (and thus accommodation</w:t>
      </w:r>
      <w:r w:rsidR="00AA0FB3">
        <w:rPr>
          <w:rFonts w:asciiTheme="majorHAnsi" w:eastAsia="Calibri" w:hAnsiTheme="majorHAnsi"/>
          <w:bCs/>
          <w:sz w:val="23"/>
          <w:szCs w:val="23"/>
        </w:rPr>
        <w:t>,</w:t>
      </w:r>
      <w:r w:rsidRPr="0054132C">
        <w:rPr>
          <w:rFonts w:asciiTheme="majorHAnsi" w:eastAsia="Calibri" w:hAnsiTheme="majorHAnsi"/>
          <w:bCs/>
          <w:sz w:val="23"/>
          <w:szCs w:val="23"/>
        </w:rPr>
        <w:t xml:space="preserve"> food, arts</w:t>
      </w:r>
      <w:r w:rsidR="00AA0FB3">
        <w:rPr>
          <w:rFonts w:asciiTheme="majorHAnsi" w:eastAsia="Calibri" w:hAnsiTheme="majorHAnsi"/>
          <w:bCs/>
          <w:sz w:val="23"/>
          <w:szCs w:val="23"/>
        </w:rPr>
        <w:t>,</w:t>
      </w:r>
      <w:r w:rsidRPr="0054132C">
        <w:rPr>
          <w:rFonts w:asciiTheme="majorHAnsi" w:eastAsia="Calibri" w:hAnsiTheme="majorHAnsi"/>
          <w:bCs/>
          <w:sz w:val="23"/>
          <w:szCs w:val="23"/>
        </w:rPr>
        <w:t xml:space="preserve"> and recreational services) were also hit hard, with some businesses losing more than 50 percent of their employees, although many qualified for the JobKeeper subsidy, enabling them to keep paying staff (Van </w:t>
      </w:r>
      <w:proofErr w:type="spellStart"/>
      <w:r w:rsidRPr="0054132C">
        <w:rPr>
          <w:rFonts w:asciiTheme="majorHAnsi" w:eastAsia="Calibri" w:hAnsiTheme="majorHAnsi"/>
          <w:bCs/>
          <w:sz w:val="23"/>
          <w:szCs w:val="23"/>
        </w:rPr>
        <w:t>Estrop</w:t>
      </w:r>
      <w:proofErr w:type="spellEnd"/>
      <w:r w:rsidRPr="0054132C">
        <w:rPr>
          <w:rFonts w:asciiTheme="majorHAnsi" w:eastAsia="Calibri" w:hAnsiTheme="majorHAnsi"/>
          <w:bCs/>
          <w:sz w:val="23"/>
          <w:szCs w:val="23"/>
        </w:rPr>
        <w:t xml:space="preserve"> &amp; Tippet, 2020).</w:t>
      </w:r>
    </w:p>
    <w:p w14:paraId="050EC43A" w14:textId="63643EFE" w:rsidR="0054132C" w:rsidRPr="00411EB1" w:rsidRDefault="0054132C" w:rsidP="0054132C">
      <w:pPr>
        <w:spacing w:after="0" w:line="276" w:lineRule="auto"/>
        <w:rPr>
          <w:rFonts w:asciiTheme="majorHAnsi" w:eastAsia="Calibri" w:hAnsiTheme="majorHAnsi"/>
          <w:bCs/>
          <w:sz w:val="23"/>
          <w:szCs w:val="23"/>
        </w:rPr>
      </w:pPr>
    </w:p>
    <w:tbl>
      <w:tblPr>
        <w:tblStyle w:val="TableGrid"/>
        <w:tblW w:w="0" w:type="auto"/>
        <w:tblLook w:val="04A0" w:firstRow="1" w:lastRow="0" w:firstColumn="1" w:lastColumn="0" w:noHBand="0" w:noVBand="1"/>
      </w:tblPr>
      <w:tblGrid>
        <w:gridCol w:w="2943"/>
        <w:gridCol w:w="2127"/>
        <w:gridCol w:w="2268"/>
        <w:gridCol w:w="1678"/>
      </w:tblGrid>
      <w:tr w:rsidR="00507454" w:rsidRPr="005703E7" w14:paraId="1F96F009" w14:textId="77777777" w:rsidTr="0099207D">
        <w:tc>
          <w:tcPr>
            <w:tcW w:w="2943" w:type="dxa"/>
            <w:shd w:val="clear" w:color="auto" w:fill="D0CECE" w:themeFill="background2" w:themeFillShade="E6"/>
          </w:tcPr>
          <w:p w14:paraId="5B333C3D" w14:textId="77777777" w:rsidR="00507454" w:rsidRPr="005703E7" w:rsidRDefault="00507454" w:rsidP="0099207D">
            <w:pPr>
              <w:rPr>
                <w:rFonts w:eastAsia="Calibri" w:cstheme="minorHAnsi"/>
                <w:b/>
                <w:sz w:val="21"/>
                <w:szCs w:val="21"/>
              </w:rPr>
            </w:pPr>
            <w:r w:rsidRPr="005703E7">
              <w:rPr>
                <w:rFonts w:eastAsia="Calibri" w:cstheme="minorHAnsi"/>
                <w:b/>
                <w:sz w:val="21"/>
                <w:szCs w:val="21"/>
              </w:rPr>
              <w:t>Sector</w:t>
            </w:r>
          </w:p>
        </w:tc>
        <w:tc>
          <w:tcPr>
            <w:tcW w:w="2127" w:type="dxa"/>
            <w:shd w:val="clear" w:color="auto" w:fill="D0CECE" w:themeFill="background2" w:themeFillShade="E6"/>
          </w:tcPr>
          <w:p w14:paraId="579ACAE6" w14:textId="77777777" w:rsidR="00507454" w:rsidRPr="005703E7" w:rsidRDefault="00507454" w:rsidP="0099207D">
            <w:pPr>
              <w:rPr>
                <w:rFonts w:eastAsia="Calibri" w:cstheme="minorHAnsi"/>
                <w:b/>
                <w:sz w:val="21"/>
                <w:szCs w:val="21"/>
              </w:rPr>
            </w:pPr>
            <w:r w:rsidRPr="005703E7">
              <w:rPr>
                <w:rFonts w:eastAsia="Calibri" w:cstheme="minorHAnsi"/>
                <w:b/>
                <w:sz w:val="21"/>
                <w:szCs w:val="21"/>
              </w:rPr>
              <w:t>Persons</w:t>
            </w:r>
          </w:p>
        </w:tc>
        <w:tc>
          <w:tcPr>
            <w:tcW w:w="2268" w:type="dxa"/>
            <w:shd w:val="clear" w:color="auto" w:fill="D0CECE" w:themeFill="background2" w:themeFillShade="E6"/>
          </w:tcPr>
          <w:p w14:paraId="6866B21E" w14:textId="77777777" w:rsidR="00507454" w:rsidRPr="005703E7" w:rsidRDefault="00507454" w:rsidP="0099207D">
            <w:pPr>
              <w:rPr>
                <w:rFonts w:eastAsia="Calibri" w:cstheme="minorHAnsi"/>
                <w:b/>
                <w:sz w:val="21"/>
                <w:szCs w:val="21"/>
              </w:rPr>
            </w:pPr>
            <w:r w:rsidRPr="005703E7">
              <w:rPr>
                <w:rFonts w:eastAsia="Calibri" w:cstheme="minorHAnsi"/>
                <w:b/>
                <w:sz w:val="21"/>
                <w:szCs w:val="21"/>
              </w:rPr>
              <w:t>Men</w:t>
            </w:r>
          </w:p>
        </w:tc>
        <w:tc>
          <w:tcPr>
            <w:tcW w:w="1678" w:type="dxa"/>
            <w:shd w:val="clear" w:color="auto" w:fill="D0CECE" w:themeFill="background2" w:themeFillShade="E6"/>
          </w:tcPr>
          <w:p w14:paraId="46CC1D90" w14:textId="77777777" w:rsidR="00507454" w:rsidRPr="005703E7" w:rsidRDefault="00507454" w:rsidP="0099207D">
            <w:pPr>
              <w:rPr>
                <w:rFonts w:eastAsia="Calibri" w:cstheme="minorHAnsi"/>
                <w:b/>
                <w:sz w:val="21"/>
                <w:szCs w:val="21"/>
              </w:rPr>
            </w:pPr>
            <w:r w:rsidRPr="005703E7">
              <w:rPr>
                <w:rFonts w:eastAsia="Calibri" w:cstheme="minorHAnsi"/>
                <w:b/>
                <w:sz w:val="21"/>
                <w:szCs w:val="21"/>
              </w:rPr>
              <w:t>Women</w:t>
            </w:r>
          </w:p>
        </w:tc>
      </w:tr>
      <w:tr w:rsidR="00507454" w:rsidRPr="005703E7" w14:paraId="5BBB67C7" w14:textId="77777777" w:rsidTr="0099207D">
        <w:tc>
          <w:tcPr>
            <w:tcW w:w="2943" w:type="dxa"/>
          </w:tcPr>
          <w:p w14:paraId="7C83511F"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Retail</w:t>
            </w:r>
          </w:p>
        </w:tc>
        <w:tc>
          <w:tcPr>
            <w:tcW w:w="2127" w:type="dxa"/>
          </w:tcPr>
          <w:p w14:paraId="54CC19E2"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10,256</w:t>
            </w:r>
          </w:p>
        </w:tc>
        <w:tc>
          <w:tcPr>
            <w:tcW w:w="2268" w:type="dxa"/>
          </w:tcPr>
          <w:p w14:paraId="3509C440"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4258</w:t>
            </w:r>
          </w:p>
        </w:tc>
        <w:tc>
          <w:tcPr>
            <w:tcW w:w="1678" w:type="dxa"/>
          </w:tcPr>
          <w:p w14:paraId="52BA9A39"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5997</w:t>
            </w:r>
          </w:p>
        </w:tc>
      </w:tr>
      <w:tr w:rsidR="00507454" w:rsidRPr="005703E7" w14:paraId="48620118" w14:textId="77777777" w:rsidTr="0099207D">
        <w:tc>
          <w:tcPr>
            <w:tcW w:w="2943" w:type="dxa"/>
          </w:tcPr>
          <w:p w14:paraId="3F892CC9"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Accommodation and Food</w:t>
            </w:r>
          </w:p>
        </w:tc>
        <w:tc>
          <w:tcPr>
            <w:tcW w:w="2127" w:type="dxa"/>
          </w:tcPr>
          <w:p w14:paraId="0C87FFA7"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6234</w:t>
            </w:r>
          </w:p>
        </w:tc>
        <w:tc>
          <w:tcPr>
            <w:tcW w:w="2268" w:type="dxa"/>
          </w:tcPr>
          <w:p w14:paraId="58675AF8"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2644</w:t>
            </w:r>
          </w:p>
        </w:tc>
        <w:tc>
          <w:tcPr>
            <w:tcW w:w="1678" w:type="dxa"/>
          </w:tcPr>
          <w:p w14:paraId="1019C9DE"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3595</w:t>
            </w:r>
          </w:p>
        </w:tc>
      </w:tr>
      <w:tr w:rsidR="00507454" w:rsidRPr="005703E7" w14:paraId="5B6F7973" w14:textId="77777777" w:rsidTr="0099207D">
        <w:tc>
          <w:tcPr>
            <w:tcW w:w="2943" w:type="dxa"/>
          </w:tcPr>
          <w:p w14:paraId="72D0DF71"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Education and Training</w:t>
            </w:r>
          </w:p>
        </w:tc>
        <w:tc>
          <w:tcPr>
            <w:tcW w:w="2127" w:type="dxa"/>
          </w:tcPr>
          <w:p w14:paraId="5218D734"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8164</w:t>
            </w:r>
          </w:p>
        </w:tc>
        <w:tc>
          <w:tcPr>
            <w:tcW w:w="2268" w:type="dxa"/>
          </w:tcPr>
          <w:p w14:paraId="1E04C820"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2634</w:t>
            </w:r>
          </w:p>
        </w:tc>
        <w:tc>
          <w:tcPr>
            <w:tcW w:w="1678" w:type="dxa"/>
          </w:tcPr>
          <w:p w14:paraId="387E2C1F"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5536</w:t>
            </w:r>
          </w:p>
        </w:tc>
      </w:tr>
      <w:tr w:rsidR="00507454" w:rsidRPr="005703E7" w14:paraId="6EDA4421" w14:textId="77777777" w:rsidTr="0099207D">
        <w:tc>
          <w:tcPr>
            <w:tcW w:w="2943" w:type="dxa"/>
          </w:tcPr>
          <w:p w14:paraId="5E9328F6"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Arts and Recreation Services</w:t>
            </w:r>
          </w:p>
        </w:tc>
        <w:tc>
          <w:tcPr>
            <w:tcW w:w="2127" w:type="dxa"/>
          </w:tcPr>
          <w:p w14:paraId="4E974CB1"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1408</w:t>
            </w:r>
          </w:p>
        </w:tc>
        <w:tc>
          <w:tcPr>
            <w:tcW w:w="2268" w:type="dxa"/>
          </w:tcPr>
          <w:p w14:paraId="1D660EA6"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781</w:t>
            </w:r>
          </w:p>
        </w:tc>
        <w:tc>
          <w:tcPr>
            <w:tcW w:w="1678" w:type="dxa"/>
          </w:tcPr>
          <w:p w14:paraId="6F4CC2CE" w14:textId="77777777" w:rsidR="00507454" w:rsidRPr="005703E7" w:rsidRDefault="00507454" w:rsidP="0099207D">
            <w:pPr>
              <w:rPr>
                <w:rFonts w:ascii="Calibri Light" w:eastAsia="Calibri" w:hAnsi="Calibri Light" w:cs="Calibri Light"/>
                <w:sz w:val="21"/>
                <w:szCs w:val="21"/>
              </w:rPr>
            </w:pPr>
            <w:r w:rsidRPr="005703E7">
              <w:rPr>
                <w:rFonts w:ascii="Calibri Light" w:eastAsia="Calibri" w:hAnsi="Calibri Light" w:cs="Calibri Light"/>
                <w:sz w:val="21"/>
                <w:szCs w:val="21"/>
              </w:rPr>
              <w:t>618</w:t>
            </w:r>
          </w:p>
        </w:tc>
      </w:tr>
    </w:tbl>
    <w:p w14:paraId="04B9704F" w14:textId="1B92339A" w:rsidR="00507454" w:rsidRPr="001F20D2" w:rsidRDefault="00507454" w:rsidP="00507454">
      <w:pPr>
        <w:spacing w:after="0" w:line="240" w:lineRule="auto"/>
        <w:rPr>
          <w:rFonts w:eastAsia="Calibri" w:cstheme="minorHAnsi"/>
          <w:sz w:val="21"/>
          <w:szCs w:val="21"/>
        </w:rPr>
      </w:pPr>
      <w:r w:rsidRPr="005703E7">
        <w:rPr>
          <w:rFonts w:eastAsia="Calibri" w:cstheme="minorHAnsi"/>
          <w:b/>
          <w:sz w:val="21"/>
          <w:szCs w:val="21"/>
        </w:rPr>
        <w:t xml:space="preserve">Table </w:t>
      </w:r>
      <w:r w:rsidRPr="005703E7">
        <w:rPr>
          <w:rFonts w:eastAsia="Calibri" w:cstheme="minorHAnsi"/>
          <w:b/>
          <w:bCs/>
          <w:sz w:val="21"/>
          <w:szCs w:val="21"/>
        </w:rPr>
        <w:t>6.1</w:t>
      </w:r>
      <w:r w:rsidRPr="005703E7">
        <w:rPr>
          <w:rFonts w:eastAsia="Calibri" w:cstheme="minorHAnsi"/>
          <w:b/>
          <w:sz w:val="21"/>
          <w:szCs w:val="21"/>
        </w:rPr>
        <w:t>: Employment in Vulnerable Sectors in Geelong, 2016</w:t>
      </w:r>
      <w:r w:rsidR="001F20D2">
        <w:rPr>
          <w:rFonts w:eastAsia="Calibri" w:cstheme="minorHAnsi"/>
          <w:b/>
          <w:sz w:val="21"/>
          <w:szCs w:val="21"/>
        </w:rPr>
        <w:t xml:space="preserve"> </w:t>
      </w:r>
      <w:r w:rsidR="000E4F0A">
        <w:rPr>
          <w:rFonts w:eastAsia="Calibri" w:cstheme="minorHAnsi"/>
          <w:b/>
          <w:sz w:val="21"/>
          <w:szCs w:val="21"/>
        </w:rPr>
        <w:t>(</w:t>
      </w:r>
      <w:r w:rsidRPr="005703E7">
        <w:rPr>
          <w:rFonts w:eastAsia="Calibri" w:cstheme="minorHAnsi"/>
          <w:b/>
          <w:bCs/>
          <w:sz w:val="21"/>
          <w:szCs w:val="21"/>
        </w:rPr>
        <w:t>Source: ABS, 2016, 2019)</w:t>
      </w:r>
    </w:p>
    <w:p w14:paraId="0243B804" w14:textId="77777777" w:rsidR="00507454" w:rsidRPr="005703E7" w:rsidRDefault="00507454" w:rsidP="00507454">
      <w:pPr>
        <w:spacing w:after="0" w:line="240" w:lineRule="auto"/>
        <w:rPr>
          <w:rFonts w:eastAsia="Calibri" w:cstheme="minorHAnsi"/>
          <w:b/>
          <w:bCs/>
          <w:noProof/>
          <w:sz w:val="21"/>
          <w:szCs w:val="21"/>
        </w:rPr>
      </w:pPr>
    </w:p>
    <w:p w14:paraId="00075508" w14:textId="49EA5899" w:rsidR="00507454" w:rsidRPr="00DD331C" w:rsidRDefault="00507454" w:rsidP="009B2FA7">
      <w:pPr>
        <w:spacing w:line="276" w:lineRule="auto"/>
        <w:rPr>
          <w:rFonts w:ascii="Calibri Light" w:eastAsia="Calibri" w:hAnsi="Calibri Light" w:cs="Calibri Light"/>
          <w:sz w:val="23"/>
          <w:szCs w:val="23"/>
        </w:rPr>
      </w:pPr>
      <w:r w:rsidRPr="00507454">
        <w:rPr>
          <w:rFonts w:ascii="Calibri Light" w:eastAsia="Calibri" w:hAnsi="Calibri Light" w:cs="Calibri Light"/>
          <w:sz w:val="23"/>
          <w:szCs w:val="23"/>
        </w:rPr>
        <w:t xml:space="preserve">Other sectors are also </w:t>
      </w:r>
      <w:r w:rsidR="0054132C">
        <w:rPr>
          <w:rFonts w:ascii="Calibri Light" w:eastAsia="Calibri" w:hAnsi="Calibri Light" w:cs="Calibri Light"/>
          <w:sz w:val="23"/>
          <w:szCs w:val="23"/>
        </w:rPr>
        <w:t xml:space="preserve">being </w:t>
      </w:r>
      <w:r w:rsidRPr="00507454">
        <w:rPr>
          <w:rFonts w:ascii="Calibri Light" w:eastAsia="Calibri" w:hAnsi="Calibri Light" w:cs="Calibri Light"/>
          <w:sz w:val="23"/>
          <w:szCs w:val="23"/>
        </w:rPr>
        <w:t>affected. Viva Energy, for example, scaled back production at the Geelong Refinery due to a drop in demand for fuel. Planned maintenance work</w:t>
      </w:r>
      <w:r w:rsidR="00411EB1">
        <w:rPr>
          <w:rFonts w:ascii="Calibri Light" w:eastAsia="Calibri" w:hAnsi="Calibri Light" w:cs="Calibri Light"/>
          <w:sz w:val="23"/>
          <w:szCs w:val="23"/>
        </w:rPr>
        <w:t>s</w:t>
      </w:r>
      <w:r w:rsidRPr="00507454">
        <w:rPr>
          <w:rFonts w:ascii="Calibri Light" w:eastAsia="Calibri" w:hAnsi="Calibri Light" w:cs="Calibri Light"/>
          <w:sz w:val="23"/>
          <w:szCs w:val="23"/>
        </w:rPr>
        <w:t xml:space="preserve"> – initially slated to cost up to $140 million and employ 700 contractors (Geelong Advertiser, 2020a) </w:t>
      </w:r>
      <w:r w:rsidR="0054132C">
        <w:rPr>
          <w:rFonts w:ascii="Calibri Light" w:eastAsia="Calibri" w:hAnsi="Calibri Light" w:cs="Calibri Light"/>
          <w:sz w:val="23"/>
          <w:szCs w:val="23"/>
        </w:rPr>
        <w:t xml:space="preserve">– </w:t>
      </w:r>
      <w:r w:rsidRPr="00507454">
        <w:rPr>
          <w:rFonts w:ascii="Calibri Light" w:eastAsia="Calibri" w:hAnsi="Calibri Light" w:cs="Calibri Light"/>
          <w:sz w:val="23"/>
          <w:szCs w:val="23"/>
        </w:rPr>
        <w:t>w</w:t>
      </w:r>
      <w:r w:rsidR="00411EB1">
        <w:rPr>
          <w:rFonts w:ascii="Calibri Light" w:eastAsia="Calibri" w:hAnsi="Calibri Light" w:cs="Calibri Light"/>
          <w:sz w:val="23"/>
          <w:szCs w:val="23"/>
        </w:rPr>
        <w:t>ere</w:t>
      </w:r>
      <w:r w:rsidRPr="00507454">
        <w:rPr>
          <w:rFonts w:ascii="Calibri Light" w:eastAsia="Calibri" w:hAnsi="Calibri Light" w:cs="Calibri Light"/>
          <w:sz w:val="23"/>
          <w:szCs w:val="23"/>
        </w:rPr>
        <w:t xml:space="preserve"> </w:t>
      </w:r>
      <w:r w:rsidR="00411EB1">
        <w:rPr>
          <w:rFonts w:ascii="Calibri Light" w:eastAsia="Calibri" w:hAnsi="Calibri Light" w:cs="Calibri Light"/>
          <w:sz w:val="23"/>
          <w:szCs w:val="23"/>
        </w:rPr>
        <w:t>revised down</w:t>
      </w:r>
      <w:r w:rsidRPr="00507454">
        <w:rPr>
          <w:rFonts w:ascii="Calibri Light" w:eastAsia="Calibri" w:hAnsi="Calibri Light" w:cs="Calibri Light"/>
          <w:sz w:val="23"/>
          <w:szCs w:val="23"/>
        </w:rPr>
        <w:t xml:space="preserve"> to an estimated $85</w:t>
      </w:r>
      <w:r w:rsidR="0054132C">
        <w:rPr>
          <w:rFonts w:ascii="Calibri Light" w:eastAsia="Calibri" w:hAnsi="Calibri Light" w:cs="Calibri Light"/>
          <w:sz w:val="23"/>
          <w:szCs w:val="23"/>
        </w:rPr>
        <w:t>–</w:t>
      </w:r>
      <w:r w:rsidRPr="00507454">
        <w:rPr>
          <w:rFonts w:ascii="Calibri Light" w:eastAsia="Calibri" w:hAnsi="Calibri Light" w:cs="Calibri Light"/>
          <w:sz w:val="23"/>
          <w:szCs w:val="23"/>
        </w:rPr>
        <w:t>$100 million</w:t>
      </w:r>
      <w:r w:rsidR="00D7750B">
        <w:rPr>
          <w:rFonts w:ascii="Calibri Light" w:eastAsia="Calibri" w:hAnsi="Calibri Light" w:cs="Calibri Light"/>
          <w:sz w:val="23"/>
          <w:szCs w:val="23"/>
        </w:rPr>
        <w:t xml:space="preserve"> (Viva Energy, 2020)</w:t>
      </w:r>
      <w:r w:rsidRPr="00507454">
        <w:rPr>
          <w:rFonts w:ascii="Calibri Light" w:eastAsia="Calibri" w:hAnsi="Calibri Light" w:cs="Calibri Light"/>
          <w:sz w:val="23"/>
          <w:szCs w:val="23"/>
        </w:rPr>
        <w:t xml:space="preserve">. </w:t>
      </w:r>
      <w:r w:rsidR="0054132C">
        <w:rPr>
          <w:rFonts w:ascii="Calibri Light" w:eastAsia="Calibri" w:hAnsi="Calibri Light" w:cs="Calibri Light"/>
          <w:sz w:val="23"/>
          <w:szCs w:val="23"/>
        </w:rPr>
        <w:t>At</w:t>
      </w:r>
      <w:r w:rsidRPr="00507454">
        <w:rPr>
          <w:rFonts w:ascii="Calibri Light" w:eastAsia="Calibri" w:hAnsi="Calibri Light" w:cs="Calibri Light"/>
          <w:sz w:val="23"/>
          <w:szCs w:val="23"/>
        </w:rPr>
        <w:t xml:space="preserve"> one point, Viva suggested that it may close its Geelong operations, prompting the Federal Government to introduce a fuel security package which included a payment for each litre of fuel produced, hopefully to secure the operation in the region (</w:t>
      </w:r>
      <w:proofErr w:type="spellStart"/>
      <w:r w:rsidRPr="00507454">
        <w:rPr>
          <w:rFonts w:ascii="Calibri Light" w:eastAsia="Calibri" w:hAnsi="Calibri Light" w:cs="Calibri Light"/>
          <w:sz w:val="23"/>
          <w:szCs w:val="23"/>
        </w:rPr>
        <w:t>Sukkar</w:t>
      </w:r>
      <w:proofErr w:type="spellEnd"/>
      <w:r w:rsidRPr="00507454">
        <w:rPr>
          <w:rFonts w:ascii="Calibri Light" w:eastAsia="Calibri" w:hAnsi="Calibri Light" w:cs="Calibri Light"/>
          <w:sz w:val="23"/>
          <w:szCs w:val="23"/>
        </w:rPr>
        <w:t>, 2020). The proposed closure of the Australian Taxation Office’s (ATO) Geelong office, announced in May 2020, would have resulted in 120 job losses (CPSU, 2020). A concerted local campaign led by the Committee for Geelong, the Community and Public Sector Union, and G21 Regional Alliance ensured that this decision was reversed in August 2020.</w:t>
      </w:r>
    </w:p>
    <w:p w14:paraId="14676B61" w14:textId="0B01B108" w:rsidR="00F00E3D" w:rsidRDefault="00F00E3D" w:rsidP="009B2FA7">
      <w:pPr>
        <w:spacing w:after="0" w:line="276" w:lineRule="auto"/>
        <w:rPr>
          <w:rFonts w:eastAsia="Calibri" w:cstheme="minorHAnsi"/>
          <w:b/>
          <w:sz w:val="25"/>
          <w:szCs w:val="25"/>
        </w:rPr>
      </w:pPr>
      <w:r w:rsidRPr="002F5BF8">
        <w:rPr>
          <w:rFonts w:eastAsia="Calibri" w:cstheme="minorHAnsi"/>
          <w:b/>
          <w:sz w:val="25"/>
          <w:szCs w:val="25"/>
        </w:rPr>
        <w:t>Losses by Locality</w:t>
      </w:r>
    </w:p>
    <w:p w14:paraId="5AF133AE" w14:textId="77777777" w:rsidR="00AD7374" w:rsidRPr="00F96AD6" w:rsidRDefault="00AD7374" w:rsidP="009B2FA7">
      <w:pPr>
        <w:spacing w:after="0" w:line="276" w:lineRule="auto"/>
        <w:rPr>
          <w:rFonts w:eastAsia="Calibri" w:cstheme="minorHAnsi"/>
          <w:b/>
          <w:sz w:val="12"/>
          <w:szCs w:val="12"/>
        </w:rPr>
      </w:pPr>
    </w:p>
    <w:p w14:paraId="33BC866E" w14:textId="30A6C3A5" w:rsidR="00F00E3D" w:rsidRDefault="00F00E3D" w:rsidP="005703E7">
      <w:pPr>
        <w:spacing w:line="276" w:lineRule="auto"/>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Those parts of the region </w:t>
      </w:r>
      <w:r w:rsidR="0054132C">
        <w:rPr>
          <w:rFonts w:asciiTheme="majorHAnsi" w:eastAsia="Calibri" w:hAnsiTheme="majorHAnsi" w:cstheme="majorHAnsi"/>
          <w:sz w:val="23"/>
          <w:szCs w:val="23"/>
        </w:rPr>
        <w:t>most</w:t>
      </w:r>
      <w:r w:rsidRPr="00DD331C">
        <w:rPr>
          <w:rFonts w:asciiTheme="majorHAnsi" w:eastAsia="Calibri" w:hAnsiTheme="majorHAnsi" w:cstheme="majorHAnsi"/>
          <w:sz w:val="23"/>
          <w:szCs w:val="23"/>
        </w:rPr>
        <w:t xml:space="preserve"> heavily reliant on tourism have been the hardest hit. </w:t>
      </w:r>
      <w:r w:rsidR="00D7750B">
        <w:rPr>
          <w:rFonts w:asciiTheme="majorHAnsi" w:eastAsia="Calibri" w:hAnsiTheme="majorHAnsi" w:cstheme="majorHAnsi"/>
          <w:sz w:val="23"/>
          <w:szCs w:val="23"/>
        </w:rPr>
        <w:t xml:space="preserve">One 2020 study found that </w:t>
      </w:r>
      <w:r w:rsidRPr="00DD331C">
        <w:rPr>
          <w:rFonts w:asciiTheme="majorHAnsi" w:eastAsia="Calibri" w:hAnsiTheme="majorHAnsi" w:cstheme="majorHAnsi"/>
          <w:sz w:val="23"/>
          <w:szCs w:val="23"/>
        </w:rPr>
        <w:t xml:space="preserve">Lorne–Anglesea was most impacted, shedding more than one in 10 jobs (11.75 </w:t>
      </w:r>
      <w:r w:rsidR="00065A1B">
        <w:rPr>
          <w:rFonts w:asciiTheme="majorHAnsi" w:eastAsia="Calibri" w:hAnsiTheme="majorHAnsi" w:cstheme="majorHAnsi"/>
          <w:sz w:val="23"/>
          <w:szCs w:val="23"/>
        </w:rPr>
        <w:t>percent</w:t>
      </w:r>
      <w:r w:rsidRPr="00DD331C">
        <w:rPr>
          <w:rFonts w:asciiTheme="majorHAnsi" w:eastAsia="Calibri" w:hAnsiTheme="majorHAnsi" w:cstheme="majorHAnsi"/>
          <w:sz w:val="23"/>
          <w:szCs w:val="23"/>
        </w:rPr>
        <w:t xml:space="preserve">) and losing $1 out of every $10 earned in wages, leaving 267 residents </w:t>
      </w:r>
      <w:r w:rsidRPr="005703E7">
        <w:rPr>
          <w:rFonts w:asciiTheme="majorHAnsi" w:eastAsia="Calibri" w:hAnsiTheme="majorHAnsi" w:cstheme="majorHAnsi"/>
          <w:sz w:val="23"/>
          <w:szCs w:val="23"/>
        </w:rPr>
        <w:t xml:space="preserve">jobless and around $1.4 million out of pocket </w:t>
      </w:r>
      <w:r w:rsidRPr="005703E7">
        <w:rPr>
          <w:rFonts w:asciiTheme="majorHAnsi" w:eastAsia="Calibri" w:hAnsiTheme="majorHAnsi" w:cstheme="majorHAnsi"/>
          <w:noProof/>
          <w:sz w:val="23"/>
          <w:szCs w:val="23"/>
        </w:rPr>
        <w:t>(Van Estrop &amp; Tippet, 2020)</w:t>
      </w:r>
      <w:r w:rsidRPr="005703E7">
        <w:rPr>
          <w:rFonts w:asciiTheme="majorHAnsi" w:eastAsia="Calibri" w:hAnsiTheme="majorHAnsi" w:cstheme="majorHAnsi"/>
          <w:sz w:val="23"/>
          <w:szCs w:val="23"/>
        </w:rPr>
        <w:t xml:space="preserve">. But the effect was also felt across the region, as Table </w:t>
      </w:r>
      <w:r w:rsidR="005703E7" w:rsidRPr="005703E7">
        <w:rPr>
          <w:rFonts w:asciiTheme="majorHAnsi" w:eastAsia="Calibri" w:hAnsiTheme="majorHAnsi" w:cstheme="majorHAnsi"/>
          <w:sz w:val="23"/>
          <w:szCs w:val="23"/>
        </w:rPr>
        <w:t>6</w:t>
      </w:r>
      <w:r w:rsidRPr="005703E7">
        <w:rPr>
          <w:rFonts w:asciiTheme="majorHAnsi" w:eastAsia="Calibri" w:hAnsiTheme="majorHAnsi" w:cstheme="majorHAnsi"/>
          <w:sz w:val="23"/>
          <w:szCs w:val="23"/>
        </w:rPr>
        <w:t>.2 indicates.</w:t>
      </w:r>
    </w:p>
    <w:p w14:paraId="57F333CC" w14:textId="4AA4BC9A" w:rsidR="0054132C" w:rsidRDefault="00AD7374" w:rsidP="00AD7374">
      <w:pPr>
        <w:rPr>
          <w:rFonts w:asciiTheme="majorHAnsi" w:eastAsia="Calibri" w:hAnsiTheme="majorHAnsi" w:cstheme="majorHAnsi"/>
          <w:sz w:val="23"/>
          <w:szCs w:val="23"/>
        </w:rPr>
      </w:pPr>
      <w:r w:rsidRPr="00DD331C">
        <w:rPr>
          <w:rFonts w:asciiTheme="majorHAnsi" w:eastAsia="Calibri" w:hAnsiTheme="majorHAnsi" w:cstheme="majorHAnsi"/>
          <w:sz w:val="23"/>
          <w:szCs w:val="23"/>
        </w:rPr>
        <w:t xml:space="preserve">Using data provided to the Australian Tax </w:t>
      </w:r>
      <w:r w:rsidRPr="00AD7374">
        <w:rPr>
          <w:rFonts w:asciiTheme="majorHAnsi" w:eastAsia="Calibri" w:hAnsiTheme="majorHAnsi" w:cstheme="majorHAnsi"/>
          <w:sz w:val="23"/>
          <w:szCs w:val="23"/>
        </w:rPr>
        <w:t>Office</w:t>
      </w:r>
      <w:r w:rsidR="0054132C">
        <w:rPr>
          <w:rFonts w:asciiTheme="majorHAnsi" w:eastAsia="Calibri" w:hAnsiTheme="majorHAnsi" w:cstheme="majorHAnsi"/>
          <w:sz w:val="23"/>
          <w:szCs w:val="23"/>
        </w:rPr>
        <w:t xml:space="preserve"> (ATO)</w:t>
      </w:r>
      <w:r w:rsidRPr="00AD7374">
        <w:rPr>
          <w:rFonts w:asciiTheme="majorHAnsi" w:eastAsia="Calibri" w:hAnsiTheme="majorHAnsi" w:cstheme="majorHAnsi"/>
          <w:sz w:val="23"/>
          <w:szCs w:val="23"/>
        </w:rPr>
        <w:t>, Australian Development Strategies analysed job losses and wage loss across Geelong by suburb. The table</w:t>
      </w:r>
      <w:r w:rsidR="0054132C">
        <w:rPr>
          <w:rFonts w:asciiTheme="majorHAnsi" w:eastAsia="Calibri" w:hAnsiTheme="majorHAnsi" w:cstheme="majorHAnsi"/>
          <w:sz w:val="23"/>
          <w:szCs w:val="23"/>
        </w:rPr>
        <w:t xml:space="preserve"> below</w:t>
      </w:r>
      <w:r w:rsidRPr="00AD7374">
        <w:rPr>
          <w:rFonts w:asciiTheme="majorHAnsi" w:eastAsia="Calibri" w:hAnsiTheme="majorHAnsi" w:cstheme="majorHAnsi"/>
          <w:sz w:val="23"/>
          <w:szCs w:val="23"/>
        </w:rPr>
        <w:t xml:space="preserve"> shows all areas have been impacted, with the extent of the damage linked to the sectors where employment was decimated. Interestingly the three suburbs of concern in this research – Corio, Norlane</w:t>
      </w:r>
      <w:r w:rsidR="0054132C">
        <w:rPr>
          <w:rFonts w:asciiTheme="majorHAnsi" w:eastAsia="Calibri" w:hAnsiTheme="majorHAnsi" w:cstheme="majorHAnsi"/>
          <w:sz w:val="23"/>
          <w:szCs w:val="23"/>
        </w:rPr>
        <w:t>,</w:t>
      </w:r>
      <w:r w:rsidRPr="00AD7374">
        <w:rPr>
          <w:rFonts w:asciiTheme="majorHAnsi" w:eastAsia="Calibri" w:hAnsiTheme="majorHAnsi" w:cstheme="majorHAnsi"/>
          <w:sz w:val="23"/>
          <w:szCs w:val="23"/>
        </w:rPr>
        <w:t xml:space="preserve"> and Whittington (in</w:t>
      </w:r>
      <w:r w:rsidRPr="00DD331C">
        <w:rPr>
          <w:rFonts w:asciiTheme="majorHAnsi" w:eastAsia="Calibri" w:hAnsiTheme="majorHAnsi" w:cstheme="majorHAnsi"/>
          <w:sz w:val="23"/>
          <w:szCs w:val="23"/>
        </w:rPr>
        <w:t xml:space="preserve"> the Newcomb-Moolap area) did not experience major downturns, perhaps relating to the nature of the employment done by workers in these areas. However, it can also be presumed that as time goes on, the patterns of social polarisation might reassert themselves across the City, with larger impact on these </w:t>
      </w:r>
      <w:r>
        <w:rPr>
          <w:rFonts w:asciiTheme="majorHAnsi" w:eastAsia="Calibri" w:hAnsiTheme="majorHAnsi" w:cstheme="majorHAnsi"/>
          <w:sz w:val="23"/>
          <w:szCs w:val="23"/>
        </w:rPr>
        <w:t>communities affected by disadvantage</w:t>
      </w:r>
      <w:r w:rsidRPr="00DD331C">
        <w:rPr>
          <w:rFonts w:asciiTheme="majorHAnsi" w:eastAsia="Calibri" w:hAnsiTheme="majorHAnsi" w:cstheme="majorHAnsi"/>
          <w:sz w:val="23"/>
          <w:szCs w:val="23"/>
        </w:rPr>
        <w:t>.</w:t>
      </w:r>
    </w:p>
    <w:p w14:paraId="0758A8FA" w14:textId="49E2ED31" w:rsidR="005703E7" w:rsidRPr="0054132C" w:rsidRDefault="0054132C" w:rsidP="0054132C">
      <w:pPr>
        <w:spacing w:after="0" w:line="240" w:lineRule="auto"/>
        <w:rPr>
          <w:rFonts w:asciiTheme="majorHAnsi" w:eastAsia="Calibri" w:hAnsiTheme="majorHAnsi" w:cstheme="majorHAnsi"/>
          <w:sz w:val="23"/>
          <w:szCs w:val="23"/>
        </w:rPr>
      </w:pPr>
      <w:r>
        <w:rPr>
          <w:rFonts w:asciiTheme="majorHAnsi" w:eastAsia="Calibri" w:hAnsiTheme="majorHAnsi" w:cstheme="majorHAnsi"/>
          <w:sz w:val="23"/>
          <w:szCs w:val="23"/>
        </w:rPr>
        <w:br w:type="page"/>
      </w:r>
    </w:p>
    <w:tbl>
      <w:tblPr>
        <w:tblStyle w:val="TableGrid"/>
        <w:tblW w:w="8905" w:type="dxa"/>
        <w:tblLook w:val="04A0" w:firstRow="1" w:lastRow="0" w:firstColumn="1" w:lastColumn="0" w:noHBand="0" w:noVBand="1"/>
      </w:tblPr>
      <w:tblGrid>
        <w:gridCol w:w="3595"/>
        <w:gridCol w:w="2700"/>
        <w:gridCol w:w="2610"/>
      </w:tblGrid>
      <w:tr w:rsidR="00F00E3D" w:rsidRPr="00AD7374" w14:paraId="689B7525" w14:textId="77777777" w:rsidTr="701B9583">
        <w:tc>
          <w:tcPr>
            <w:tcW w:w="3595" w:type="dxa"/>
            <w:shd w:val="clear" w:color="auto" w:fill="D0CECE" w:themeFill="background2" w:themeFillShade="E6"/>
          </w:tcPr>
          <w:p w14:paraId="627DECDF" w14:textId="77777777" w:rsidR="00F00E3D" w:rsidRPr="00AD7374" w:rsidRDefault="00F00E3D" w:rsidP="00AD7374">
            <w:pPr>
              <w:spacing w:line="240" w:lineRule="auto"/>
              <w:rPr>
                <w:rFonts w:eastAsia="Calibri" w:cstheme="minorHAnsi"/>
                <w:b/>
                <w:sz w:val="21"/>
                <w:szCs w:val="21"/>
              </w:rPr>
            </w:pPr>
            <w:r w:rsidRPr="00AD7374">
              <w:rPr>
                <w:rFonts w:eastAsia="Calibri" w:cstheme="minorHAnsi"/>
                <w:b/>
                <w:sz w:val="21"/>
                <w:szCs w:val="21"/>
              </w:rPr>
              <w:lastRenderedPageBreak/>
              <w:t>Area</w:t>
            </w:r>
          </w:p>
        </w:tc>
        <w:tc>
          <w:tcPr>
            <w:tcW w:w="2700" w:type="dxa"/>
            <w:shd w:val="clear" w:color="auto" w:fill="D0CECE" w:themeFill="background2" w:themeFillShade="E6"/>
          </w:tcPr>
          <w:p w14:paraId="3A5C4F4A" w14:textId="10985A4C" w:rsidR="00F00E3D" w:rsidRPr="00AD7374" w:rsidRDefault="00F00E3D" w:rsidP="00AD7374">
            <w:pPr>
              <w:spacing w:line="240" w:lineRule="auto"/>
              <w:rPr>
                <w:rFonts w:eastAsia="Calibri" w:cstheme="minorHAnsi"/>
                <w:b/>
                <w:sz w:val="21"/>
                <w:szCs w:val="21"/>
              </w:rPr>
            </w:pPr>
            <w:r w:rsidRPr="00AD7374">
              <w:rPr>
                <w:rFonts w:eastAsia="Calibri" w:cstheme="minorHAnsi"/>
                <w:b/>
                <w:sz w:val="21"/>
                <w:szCs w:val="21"/>
              </w:rPr>
              <w:t>Jobs Lost (%)</w:t>
            </w:r>
          </w:p>
        </w:tc>
        <w:tc>
          <w:tcPr>
            <w:tcW w:w="2610" w:type="dxa"/>
            <w:shd w:val="clear" w:color="auto" w:fill="D0CECE" w:themeFill="background2" w:themeFillShade="E6"/>
          </w:tcPr>
          <w:p w14:paraId="025A9890" w14:textId="77777777" w:rsidR="00F00E3D" w:rsidRPr="00AD7374" w:rsidRDefault="00F00E3D" w:rsidP="00AD7374">
            <w:pPr>
              <w:spacing w:line="240" w:lineRule="auto"/>
              <w:rPr>
                <w:rFonts w:eastAsia="Calibri" w:cstheme="minorHAnsi"/>
                <w:b/>
                <w:sz w:val="21"/>
                <w:szCs w:val="21"/>
              </w:rPr>
            </w:pPr>
            <w:r w:rsidRPr="00AD7374">
              <w:rPr>
                <w:rFonts w:eastAsia="Calibri" w:cstheme="minorHAnsi"/>
                <w:b/>
                <w:sz w:val="21"/>
                <w:szCs w:val="21"/>
              </w:rPr>
              <w:t>$ Wages Lost (%)</w:t>
            </w:r>
          </w:p>
        </w:tc>
      </w:tr>
      <w:tr w:rsidR="00F00E3D" w:rsidRPr="00AD7374" w14:paraId="772B6EA5" w14:textId="77777777" w:rsidTr="701B9583">
        <w:tc>
          <w:tcPr>
            <w:tcW w:w="3595" w:type="dxa"/>
          </w:tcPr>
          <w:p w14:paraId="2EEA0C6C"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Lorne–Anglesea</w:t>
            </w:r>
          </w:p>
        </w:tc>
        <w:tc>
          <w:tcPr>
            <w:tcW w:w="2700" w:type="dxa"/>
          </w:tcPr>
          <w:p w14:paraId="63EB5F01"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267 (11.75)</w:t>
            </w:r>
          </w:p>
        </w:tc>
        <w:tc>
          <w:tcPr>
            <w:tcW w:w="2610" w:type="dxa"/>
          </w:tcPr>
          <w:p w14:paraId="57A8860C"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1,382,193 (10.4)</w:t>
            </w:r>
          </w:p>
        </w:tc>
      </w:tr>
      <w:tr w:rsidR="00F00E3D" w:rsidRPr="00AD7374" w14:paraId="5383F47B" w14:textId="77777777" w:rsidTr="701B9583">
        <w:tc>
          <w:tcPr>
            <w:tcW w:w="3595" w:type="dxa"/>
          </w:tcPr>
          <w:p w14:paraId="5840AC8C"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Point Lonsdale–</w:t>
            </w:r>
            <w:proofErr w:type="spellStart"/>
            <w:r w:rsidRPr="00AD7374">
              <w:rPr>
                <w:rFonts w:asciiTheme="majorHAnsi" w:eastAsia="Calibri" w:hAnsiTheme="majorHAnsi" w:cstheme="majorHAnsi"/>
                <w:sz w:val="21"/>
                <w:szCs w:val="21"/>
              </w:rPr>
              <w:t>Queenscliffe</w:t>
            </w:r>
            <w:proofErr w:type="spellEnd"/>
          </w:p>
        </w:tc>
        <w:tc>
          <w:tcPr>
            <w:tcW w:w="2700" w:type="dxa"/>
          </w:tcPr>
          <w:p w14:paraId="44285365"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146 (9.74)</w:t>
            </w:r>
          </w:p>
        </w:tc>
        <w:tc>
          <w:tcPr>
            <w:tcW w:w="2610" w:type="dxa"/>
          </w:tcPr>
          <w:p w14:paraId="5A14300B"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876,107 (9.52)</w:t>
            </w:r>
          </w:p>
        </w:tc>
      </w:tr>
      <w:tr w:rsidR="00F00E3D" w:rsidRPr="00AD7374" w14:paraId="753E5F49" w14:textId="77777777" w:rsidTr="701B9583">
        <w:tc>
          <w:tcPr>
            <w:tcW w:w="3595" w:type="dxa"/>
          </w:tcPr>
          <w:p w14:paraId="0846EE66" w14:textId="77777777" w:rsidR="00F00E3D" w:rsidRPr="00AD7374" w:rsidRDefault="00F00E3D" w:rsidP="00AD7374">
            <w:pPr>
              <w:spacing w:line="240" w:lineRule="auto"/>
              <w:rPr>
                <w:rFonts w:asciiTheme="majorHAnsi" w:eastAsia="Calibri" w:hAnsiTheme="majorHAnsi" w:cstheme="majorHAnsi"/>
                <w:sz w:val="21"/>
                <w:szCs w:val="21"/>
              </w:rPr>
            </w:pPr>
            <w:proofErr w:type="spellStart"/>
            <w:r w:rsidRPr="00AD7374">
              <w:rPr>
                <w:rFonts w:asciiTheme="majorHAnsi" w:eastAsia="Calibri" w:hAnsiTheme="majorHAnsi" w:cstheme="majorHAnsi"/>
                <w:sz w:val="21"/>
                <w:szCs w:val="21"/>
              </w:rPr>
              <w:t>Winchlesea</w:t>
            </w:r>
            <w:proofErr w:type="spellEnd"/>
          </w:p>
        </w:tc>
        <w:tc>
          <w:tcPr>
            <w:tcW w:w="2700" w:type="dxa"/>
          </w:tcPr>
          <w:p w14:paraId="24347F1F"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256 (9.15)</w:t>
            </w:r>
          </w:p>
        </w:tc>
        <w:tc>
          <w:tcPr>
            <w:tcW w:w="2610" w:type="dxa"/>
          </w:tcPr>
          <w:p w14:paraId="0CFD875B"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1,524,729 (8.86)</w:t>
            </w:r>
          </w:p>
        </w:tc>
      </w:tr>
      <w:tr w:rsidR="00F00E3D" w:rsidRPr="00AD7374" w14:paraId="7849B16B" w14:textId="77777777" w:rsidTr="701B9583">
        <w:tc>
          <w:tcPr>
            <w:tcW w:w="3595" w:type="dxa"/>
          </w:tcPr>
          <w:p w14:paraId="74DA5A51"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Portarlington</w:t>
            </w:r>
          </w:p>
        </w:tc>
        <w:tc>
          <w:tcPr>
            <w:tcW w:w="2700" w:type="dxa"/>
          </w:tcPr>
          <w:p w14:paraId="77C7DDB8"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212 (8.94)</w:t>
            </w:r>
          </w:p>
        </w:tc>
        <w:tc>
          <w:tcPr>
            <w:tcW w:w="2610" w:type="dxa"/>
          </w:tcPr>
          <w:p w14:paraId="4991C545"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1,372,946 (9.15)</w:t>
            </w:r>
          </w:p>
        </w:tc>
      </w:tr>
      <w:tr w:rsidR="00F00E3D" w:rsidRPr="00AD7374" w14:paraId="1CE3B3B5" w14:textId="77777777" w:rsidTr="701B9583">
        <w:tc>
          <w:tcPr>
            <w:tcW w:w="3595" w:type="dxa"/>
            <w:shd w:val="clear" w:color="auto" w:fill="auto"/>
          </w:tcPr>
          <w:p w14:paraId="3E284F68" w14:textId="77777777" w:rsidR="00F00E3D" w:rsidRPr="00AD7374" w:rsidRDefault="00F00E3D" w:rsidP="00AD7374">
            <w:pPr>
              <w:spacing w:line="240" w:lineRule="auto"/>
              <w:rPr>
                <w:rFonts w:asciiTheme="majorHAnsi" w:eastAsia="Calibri" w:hAnsiTheme="majorHAnsi" w:cstheme="majorHAnsi"/>
                <w:b/>
                <w:bCs/>
                <w:sz w:val="21"/>
                <w:szCs w:val="21"/>
              </w:rPr>
            </w:pPr>
            <w:r w:rsidRPr="00AD7374">
              <w:rPr>
                <w:rFonts w:asciiTheme="majorHAnsi" w:eastAsia="Calibri" w:hAnsiTheme="majorHAnsi" w:cstheme="majorHAnsi"/>
                <w:b/>
                <w:bCs/>
                <w:sz w:val="21"/>
                <w:szCs w:val="21"/>
              </w:rPr>
              <w:t>Newcomb–Moolap</w:t>
            </w:r>
          </w:p>
        </w:tc>
        <w:tc>
          <w:tcPr>
            <w:tcW w:w="2700" w:type="dxa"/>
            <w:shd w:val="clear" w:color="auto" w:fill="auto"/>
          </w:tcPr>
          <w:p w14:paraId="2B7B143C" w14:textId="77777777" w:rsidR="00F00E3D" w:rsidRPr="00AD7374" w:rsidRDefault="00F00E3D" w:rsidP="00AD7374">
            <w:pPr>
              <w:spacing w:line="240" w:lineRule="auto"/>
              <w:rPr>
                <w:rFonts w:asciiTheme="majorHAnsi" w:eastAsia="Calibri" w:hAnsiTheme="majorHAnsi" w:cstheme="majorHAnsi"/>
                <w:b/>
                <w:bCs/>
                <w:sz w:val="21"/>
                <w:szCs w:val="21"/>
              </w:rPr>
            </w:pPr>
            <w:r w:rsidRPr="00AD7374">
              <w:rPr>
                <w:rFonts w:asciiTheme="majorHAnsi" w:eastAsia="Calibri" w:hAnsiTheme="majorHAnsi" w:cstheme="majorHAnsi"/>
                <w:b/>
                <w:bCs/>
                <w:sz w:val="21"/>
                <w:szCs w:val="21"/>
              </w:rPr>
              <w:t>531 (8.92)</w:t>
            </w:r>
          </w:p>
        </w:tc>
        <w:tc>
          <w:tcPr>
            <w:tcW w:w="2610" w:type="dxa"/>
            <w:shd w:val="clear" w:color="auto" w:fill="auto"/>
          </w:tcPr>
          <w:p w14:paraId="2BC41844" w14:textId="77777777" w:rsidR="00F00E3D" w:rsidRPr="00AD7374" w:rsidRDefault="00F00E3D" w:rsidP="00AD7374">
            <w:pPr>
              <w:spacing w:line="240" w:lineRule="auto"/>
              <w:rPr>
                <w:rFonts w:asciiTheme="majorHAnsi" w:eastAsia="Calibri" w:hAnsiTheme="majorHAnsi" w:cstheme="majorHAnsi"/>
                <w:b/>
                <w:bCs/>
                <w:sz w:val="21"/>
                <w:szCs w:val="21"/>
              </w:rPr>
            </w:pPr>
            <w:r w:rsidRPr="00AD7374">
              <w:rPr>
                <w:rFonts w:asciiTheme="majorHAnsi" w:eastAsia="Calibri" w:hAnsiTheme="majorHAnsi" w:cstheme="majorHAnsi"/>
                <w:b/>
                <w:bCs/>
                <w:sz w:val="21"/>
                <w:szCs w:val="21"/>
              </w:rPr>
              <w:t>3,418,006 (9.46)</w:t>
            </w:r>
          </w:p>
        </w:tc>
      </w:tr>
      <w:tr w:rsidR="00F00E3D" w:rsidRPr="00AD7374" w14:paraId="58057C1E" w14:textId="77777777" w:rsidTr="701B9583">
        <w:tc>
          <w:tcPr>
            <w:tcW w:w="3595" w:type="dxa"/>
            <w:shd w:val="clear" w:color="auto" w:fill="auto"/>
          </w:tcPr>
          <w:p w14:paraId="6671F9C6" w14:textId="77777777" w:rsidR="00F00E3D" w:rsidRPr="00AD7374" w:rsidRDefault="00F00E3D" w:rsidP="00AD7374">
            <w:pPr>
              <w:spacing w:line="240" w:lineRule="auto"/>
              <w:rPr>
                <w:rFonts w:asciiTheme="majorHAnsi" w:eastAsia="Calibri" w:hAnsiTheme="majorHAnsi" w:cstheme="majorHAnsi"/>
                <w:b/>
                <w:sz w:val="21"/>
                <w:szCs w:val="21"/>
              </w:rPr>
            </w:pPr>
            <w:r w:rsidRPr="00AD7374">
              <w:rPr>
                <w:rFonts w:asciiTheme="majorHAnsi" w:eastAsia="Calibri" w:hAnsiTheme="majorHAnsi" w:cstheme="majorHAnsi"/>
                <w:sz w:val="21"/>
                <w:szCs w:val="21"/>
              </w:rPr>
              <w:t>Geelong</w:t>
            </w:r>
          </w:p>
        </w:tc>
        <w:tc>
          <w:tcPr>
            <w:tcW w:w="2700" w:type="dxa"/>
            <w:shd w:val="clear" w:color="auto" w:fill="auto"/>
          </w:tcPr>
          <w:p w14:paraId="3D8804A9"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556 (8.82)</w:t>
            </w:r>
          </w:p>
        </w:tc>
        <w:tc>
          <w:tcPr>
            <w:tcW w:w="2610" w:type="dxa"/>
            <w:shd w:val="clear" w:color="auto" w:fill="auto"/>
          </w:tcPr>
          <w:p w14:paraId="2627982B"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3,570,477 (9.23)</w:t>
            </w:r>
          </w:p>
        </w:tc>
      </w:tr>
      <w:tr w:rsidR="00F00E3D" w:rsidRPr="00AD7374" w14:paraId="64E6A9DF" w14:textId="77777777" w:rsidTr="701B9583">
        <w:tc>
          <w:tcPr>
            <w:tcW w:w="3595" w:type="dxa"/>
            <w:shd w:val="clear" w:color="auto" w:fill="auto"/>
          </w:tcPr>
          <w:p w14:paraId="65776436"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Belmont</w:t>
            </w:r>
          </w:p>
        </w:tc>
        <w:tc>
          <w:tcPr>
            <w:tcW w:w="2700" w:type="dxa"/>
            <w:shd w:val="clear" w:color="auto" w:fill="auto"/>
          </w:tcPr>
          <w:p w14:paraId="304C593D"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571 (8.8)</w:t>
            </w:r>
          </w:p>
        </w:tc>
        <w:tc>
          <w:tcPr>
            <w:tcW w:w="2610" w:type="dxa"/>
            <w:shd w:val="clear" w:color="auto" w:fill="auto"/>
          </w:tcPr>
          <w:p w14:paraId="7C084908"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3,556,832 (9.01)</w:t>
            </w:r>
          </w:p>
        </w:tc>
      </w:tr>
      <w:tr w:rsidR="00F00E3D" w:rsidRPr="00AD7374" w14:paraId="1E30675D" w14:textId="77777777" w:rsidTr="701B9583">
        <w:tc>
          <w:tcPr>
            <w:tcW w:w="3595" w:type="dxa"/>
          </w:tcPr>
          <w:p w14:paraId="000FB47F"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Clifton Springs</w:t>
            </w:r>
          </w:p>
        </w:tc>
        <w:tc>
          <w:tcPr>
            <w:tcW w:w="2700" w:type="dxa"/>
          </w:tcPr>
          <w:p w14:paraId="758C0F80"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497 (8.72)</w:t>
            </w:r>
          </w:p>
        </w:tc>
        <w:tc>
          <w:tcPr>
            <w:tcW w:w="2610" w:type="dxa"/>
          </w:tcPr>
          <w:p w14:paraId="193B9784"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3,243,159 (9.17)</w:t>
            </w:r>
          </w:p>
        </w:tc>
      </w:tr>
      <w:tr w:rsidR="00F00E3D" w:rsidRPr="00AD7374" w14:paraId="674F41E5" w14:textId="77777777" w:rsidTr="701B9583">
        <w:tc>
          <w:tcPr>
            <w:tcW w:w="3595" w:type="dxa"/>
          </w:tcPr>
          <w:p w14:paraId="41FA2E68"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Grovedale</w:t>
            </w:r>
          </w:p>
        </w:tc>
        <w:tc>
          <w:tcPr>
            <w:tcW w:w="2700" w:type="dxa"/>
          </w:tcPr>
          <w:p w14:paraId="35D31A88"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958 (8.72)</w:t>
            </w:r>
          </w:p>
        </w:tc>
        <w:tc>
          <w:tcPr>
            <w:tcW w:w="2610" w:type="dxa"/>
          </w:tcPr>
          <w:p w14:paraId="7EADA992"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6,162,399 (9.15)</w:t>
            </w:r>
          </w:p>
        </w:tc>
      </w:tr>
      <w:tr w:rsidR="00F00E3D" w:rsidRPr="00AD7374" w14:paraId="16EB1E1E" w14:textId="77777777" w:rsidTr="701B9583">
        <w:tc>
          <w:tcPr>
            <w:tcW w:w="3595" w:type="dxa"/>
          </w:tcPr>
          <w:p w14:paraId="669FD1C5"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North Geelong–Bell Park</w:t>
            </w:r>
          </w:p>
        </w:tc>
        <w:tc>
          <w:tcPr>
            <w:tcW w:w="2700" w:type="dxa"/>
          </w:tcPr>
          <w:p w14:paraId="1C3F5BC5"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530 (8.67)</w:t>
            </w:r>
          </w:p>
        </w:tc>
        <w:tc>
          <w:tcPr>
            <w:tcW w:w="2610" w:type="dxa"/>
          </w:tcPr>
          <w:p w14:paraId="45B048F1"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3,414,453 (9.02)</w:t>
            </w:r>
          </w:p>
        </w:tc>
      </w:tr>
      <w:tr w:rsidR="00F00E3D" w:rsidRPr="00AD7374" w14:paraId="7DBBDE23" w14:textId="77777777" w:rsidTr="701B9583">
        <w:tc>
          <w:tcPr>
            <w:tcW w:w="3595" w:type="dxa"/>
          </w:tcPr>
          <w:p w14:paraId="54EF3333" w14:textId="77777777" w:rsidR="00F00E3D" w:rsidRPr="00AD7374" w:rsidRDefault="00F00E3D" w:rsidP="00AD7374">
            <w:pPr>
              <w:spacing w:line="240" w:lineRule="auto"/>
              <w:rPr>
                <w:rFonts w:asciiTheme="majorHAnsi" w:eastAsia="Calibri" w:hAnsiTheme="majorHAnsi" w:cstheme="majorHAnsi"/>
                <w:b/>
                <w:bCs/>
                <w:sz w:val="21"/>
                <w:szCs w:val="21"/>
              </w:rPr>
            </w:pPr>
            <w:r w:rsidRPr="00AD7374">
              <w:rPr>
                <w:rFonts w:asciiTheme="majorHAnsi" w:eastAsia="Calibri" w:hAnsiTheme="majorHAnsi" w:cstheme="majorHAnsi"/>
                <w:b/>
                <w:bCs/>
                <w:sz w:val="21"/>
                <w:szCs w:val="21"/>
              </w:rPr>
              <w:t>Corio–Norlane</w:t>
            </w:r>
          </w:p>
        </w:tc>
        <w:tc>
          <w:tcPr>
            <w:tcW w:w="2700" w:type="dxa"/>
          </w:tcPr>
          <w:p w14:paraId="778BFE3F" w14:textId="77777777" w:rsidR="00F00E3D" w:rsidRPr="00AD7374" w:rsidRDefault="00F00E3D" w:rsidP="00AD7374">
            <w:pPr>
              <w:spacing w:line="240" w:lineRule="auto"/>
              <w:rPr>
                <w:rFonts w:asciiTheme="majorHAnsi" w:eastAsia="Calibri" w:hAnsiTheme="majorHAnsi" w:cstheme="majorHAnsi"/>
                <w:b/>
                <w:bCs/>
                <w:sz w:val="21"/>
                <w:szCs w:val="21"/>
              </w:rPr>
            </w:pPr>
            <w:r w:rsidRPr="00AD7374">
              <w:rPr>
                <w:rFonts w:asciiTheme="majorHAnsi" w:eastAsia="Calibri" w:hAnsiTheme="majorHAnsi" w:cstheme="majorHAnsi"/>
                <w:b/>
                <w:bCs/>
                <w:sz w:val="21"/>
                <w:szCs w:val="21"/>
              </w:rPr>
              <w:t>763 (8.64)</w:t>
            </w:r>
          </w:p>
        </w:tc>
        <w:tc>
          <w:tcPr>
            <w:tcW w:w="2610" w:type="dxa"/>
          </w:tcPr>
          <w:p w14:paraId="50A5A51B" w14:textId="77777777" w:rsidR="00F00E3D" w:rsidRPr="00AD7374" w:rsidRDefault="00F00E3D" w:rsidP="00AD7374">
            <w:pPr>
              <w:spacing w:line="240" w:lineRule="auto"/>
              <w:rPr>
                <w:rFonts w:asciiTheme="majorHAnsi" w:eastAsia="Calibri" w:hAnsiTheme="majorHAnsi" w:cstheme="majorHAnsi"/>
                <w:b/>
                <w:bCs/>
                <w:sz w:val="21"/>
                <w:szCs w:val="21"/>
              </w:rPr>
            </w:pPr>
            <w:r w:rsidRPr="00AD7374">
              <w:rPr>
                <w:rFonts w:asciiTheme="majorHAnsi" w:eastAsia="Calibri" w:hAnsiTheme="majorHAnsi" w:cstheme="majorHAnsi"/>
                <w:b/>
                <w:bCs/>
                <w:sz w:val="21"/>
                <w:szCs w:val="21"/>
              </w:rPr>
              <w:t>4,897,124 (9.02)</w:t>
            </w:r>
          </w:p>
        </w:tc>
      </w:tr>
      <w:tr w:rsidR="00F00E3D" w:rsidRPr="00AD7374" w14:paraId="052C4AE8" w14:textId="77777777" w:rsidTr="701B9583">
        <w:tc>
          <w:tcPr>
            <w:tcW w:w="3595" w:type="dxa"/>
          </w:tcPr>
          <w:p w14:paraId="2B45E30C"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Ocean Grove–Barwon Heads</w:t>
            </w:r>
          </w:p>
        </w:tc>
        <w:tc>
          <w:tcPr>
            <w:tcW w:w="2700" w:type="dxa"/>
          </w:tcPr>
          <w:p w14:paraId="3324006D"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942 (8.59)</w:t>
            </w:r>
          </w:p>
        </w:tc>
        <w:tc>
          <w:tcPr>
            <w:tcW w:w="2610" w:type="dxa"/>
          </w:tcPr>
          <w:p w14:paraId="073130DD"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6,197,515 (8.97)</w:t>
            </w:r>
          </w:p>
        </w:tc>
      </w:tr>
      <w:tr w:rsidR="00F00E3D" w:rsidRPr="00AD7374" w14:paraId="32721711" w14:textId="77777777" w:rsidTr="701B9583">
        <w:tc>
          <w:tcPr>
            <w:tcW w:w="3595" w:type="dxa"/>
          </w:tcPr>
          <w:p w14:paraId="0F4257BD"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Leopold</w:t>
            </w:r>
          </w:p>
        </w:tc>
        <w:tc>
          <w:tcPr>
            <w:tcW w:w="2700" w:type="dxa"/>
          </w:tcPr>
          <w:p w14:paraId="7F2C9CA3"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497 (8.51)</w:t>
            </w:r>
          </w:p>
        </w:tc>
        <w:tc>
          <w:tcPr>
            <w:tcW w:w="2610" w:type="dxa"/>
          </w:tcPr>
          <w:p w14:paraId="6D821525"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3,338,518 (9.12)</w:t>
            </w:r>
          </w:p>
        </w:tc>
      </w:tr>
      <w:tr w:rsidR="00F00E3D" w:rsidRPr="00AD7374" w14:paraId="2CFB2A57" w14:textId="77777777" w:rsidTr="701B9583">
        <w:tc>
          <w:tcPr>
            <w:tcW w:w="3595" w:type="dxa"/>
          </w:tcPr>
          <w:p w14:paraId="5DEBACEF"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Geelong West–Hamlyn Heights</w:t>
            </w:r>
          </w:p>
        </w:tc>
        <w:tc>
          <w:tcPr>
            <w:tcW w:w="2700" w:type="dxa"/>
          </w:tcPr>
          <w:p w14:paraId="35562AC9"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819 (8.43)</w:t>
            </w:r>
          </w:p>
        </w:tc>
        <w:tc>
          <w:tcPr>
            <w:tcW w:w="2610" w:type="dxa"/>
          </w:tcPr>
          <w:p w14:paraId="45B43251"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5,414,929 (8.94)</w:t>
            </w:r>
          </w:p>
        </w:tc>
      </w:tr>
      <w:tr w:rsidR="00F00E3D" w:rsidRPr="00AD7374" w14:paraId="606E3757" w14:textId="77777777" w:rsidTr="701B9583">
        <w:tc>
          <w:tcPr>
            <w:tcW w:w="3595" w:type="dxa"/>
          </w:tcPr>
          <w:p w14:paraId="3A940813"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 xml:space="preserve">Highton </w:t>
            </w:r>
          </w:p>
        </w:tc>
        <w:tc>
          <w:tcPr>
            <w:tcW w:w="2700" w:type="dxa"/>
          </w:tcPr>
          <w:p w14:paraId="5C068AC8"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889 (8.36)</w:t>
            </w:r>
          </w:p>
        </w:tc>
        <w:tc>
          <w:tcPr>
            <w:tcW w:w="2610" w:type="dxa"/>
          </w:tcPr>
          <w:p w14:paraId="0206F83F"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5,795,362 (8.87)</w:t>
            </w:r>
          </w:p>
        </w:tc>
      </w:tr>
      <w:tr w:rsidR="00F00E3D" w:rsidRPr="00AD7374" w14:paraId="29188048" w14:textId="77777777" w:rsidTr="701B9583">
        <w:tc>
          <w:tcPr>
            <w:tcW w:w="3595" w:type="dxa"/>
          </w:tcPr>
          <w:p w14:paraId="7F4DF61F"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Lara</w:t>
            </w:r>
          </w:p>
        </w:tc>
        <w:tc>
          <w:tcPr>
            <w:tcW w:w="2700" w:type="dxa"/>
          </w:tcPr>
          <w:p w14:paraId="6CE7FB38"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694 (8.32)</w:t>
            </w:r>
          </w:p>
        </w:tc>
        <w:tc>
          <w:tcPr>
            <w:tcW w:w="2610" w:type="dxa"/>
          </w:tcPr>
          <w:p w14:paraId="1A9D8C35"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4,710,039 (8.85)</w:t>
            </w:r>
          </w:p>
        </w:tc>
      </w:tr>
      <w:tr w:rsidR="00F00E3D" w:rsidRPr="00AD7374" w14:paraId="5E3B9826" w14:textId="77777777" w:rsidTr="701B9583">
        <w:tc>
          <w:tcPr>
            <w:tcW w:w="3595" w:type="dxa"/>
          </w:tcPr>
          <w:p w14:paraId="2BFE1862"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Newtown</w:t>
            </w:r>
          </w:p>
        </w:tc>
        <w:tc>
          <w:tcPr>
            <w:tcW w:w="2700" w:type="dxa"/>
          </w:tcPr>
          <w:p w14:paraId="4DFA335B"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405 (8.27)</w:t>
            </w:r>
          </w:p>
        </w:tc>
        <w:tc>
          <w:tcPr>
            <w:tcW w:w="2610" w:type="dxa"/>
          </w:tcPr>
          <w:p w14:paraId="1290F60A"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2,645,064 (8.64)</w:t>
            </w:r>
          </w:p>
        </w:tc>
      </w:tr>
      <w:tr w:rsidR="00F00E3D" w:rsidRPr="00AD7374" w14:paraId="46E71F3E" w14:textId="77777777" w:rsidTr="701B9583">
        <w:tc>
          <w:tcPr>
            <w:tcW w:w="3595" w:type="dxa"/>
          </w:tcPr>
          <w:p w14:paraId="2F48E4B0"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Torquay</w:t>
            </w:r>
          </w:p>
        </w:tc>
        <w:tc>
          <w:tcPr>
            <w:tcW w:w="2700" w:type="dxa"/>
          </w:tcPr>
          <w:p w14:paraId="1A7A0995"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764 (8.16)</w:t>
            </w:r>
          </w:p>
        </w:tc>
        <w:tc>
          <w:tcPr>
            <w:tcW w:w="2610" w:type="dxa"/>
          </w:tcPr>
          <w:p w14:paraId="56CE6435"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5,031,233 (9.00)</w:t>
            </w:r>
          </w:p>
        </w:tc>
      </w:tr>
      <w:tr w:rsidR="00F00E3D" w:rsidRPr="00AD7374" w14:paraId="3CC90808" w14:textId="77777777" w:rsidTr="701B9583">
        <w:tc>
          <w:tcPr>
            <w:tcW w:w="3595" w:type="dxa"/>
          </w:tcPr>
          <w:p w14:paraId="2BA66D22"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Bannockburn</w:t>
            </w:r>
          </w:p>
        </w:tc>
        <w:tc>
          <w:tcPr>
            <w:tcW w:w="2700" w:type="dxa"/>
          </w:tcPr>
          <w:p w14:paraId="2AB58280"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243 (8.03)</w:t>
            </w:r>
          </w:p>
        </w:tc>
        <w:tc>
          <w:tcPr>
            <w:tcW w:w="2610" w:type="dxa"/>
          </w:tcPr>
          <w:p w14:paraId="105C377A" w14:textId="77777777" w:rsidR="00F00E3D" w:rsidRPr="00AD7374" w:rsidRDefault="00F00E3D" w:rsidP="00AD7374">
            <w:pPr>
              <w:spacing w:line="240" w:lineRule="auto"/>
              <w:rPr>
                <w:rFonts w:asciiTheme="majorHAnsi" w:eastAsia="Calibri" w:hAnsiTheme="majorHAnsi" w:cstheme="majorHAnsi"/>
                <w:sz w:val="21"/>
                <w:szCs w:val="21"/>
              </w:rPr>
            </w:pPr>
            <w:r w:rsidRPr="00AD7374">
              <w:rPr>
                <w:rFonts w:asciiTheme="majorHAnsi" w:eastAsia="Calibri" w:hAnsiTheme="majorHAnsi" w:cstheme="majorHAnsi"/>
                <w:sz w:val="21"/>
                <w:szCs w:val="21"/>
              </w:rPr>
              <w:t>1,647,875 (8.56)</w:t>
            </w:r>
          </w:p>
        </w:tc>
      </w:tr>
      <w:tr w:rsidR="00F00E3D" w:rsidRPr="00AD7374" w14:paraId="6FB35E1C" w14:textId="77777777" w:rsidTr="701B9583">
        <w:tc>
          <w:tcPr>
            <w:tcW w:w="3595" w:type="dxa"/>
          </w:tcPr>
          <w:p w14:paraId="0745E40A" w14:textId="77777777" w:rsidR="00F00E3D" w:rsidRPr="00AD7374" w:rsidRDefault="00F00E3D" w:rsidP="00AD7374">
            <w:pPr>
              <w:spacing w:line="240" w:lineRule="auto"/>
              <w:rPr>
                <w:rFonts w:asciiTheme="majorHAnsi" w:eastAsia="Calibri" w:hAnsiTheme="majorHAnsi" w:cstheme="majorHAnsi"/>
                <w:b/>
                <w:sz w:val="21"/>
                <w:szCs w:val="21"/>
              </w:rPr>
            </w:pPr>
            <w:r w:rsidRPr="00AD7374">
              <w:rPr>
                <w:rFonts w:asciiTheme="majorHAnsi" w:eastAsia="Calibri" w:hAnsiTheme="majorHAnsi" w:cstheme="majorHAnsi"/>
                <w:b/>
                <w:sz w:val="21"/>
                <w:szCs w:val="21"/>
              </w:rPr>
              <w:t>Total</w:t>
            </w:r>
          </w:p>
        </w:tc>
        <w:tc>
          <w:tcPr>
            <w:tcW w:w="2700" w:type="dxa"/>
          </w:tcPr>
          <w:p w14:paraId="1F4A11E7" w14:textId="77777777" w:rsidR="00F00E3D" w:rsidRPr="00AD7374" w:rsidRDefault="00F00E3D" w:rsidP="00AD7374">
            <w:pPr>
              <w:spacing w:line="240" w:lineRule="auto"/>
              <w:rPr>
                <w:rFonts w:asciiTheme="majorHAnsi" w:eastAsia="Calibri" w:hAnsiTheme="majorHAnsi" w:cstheme="majorHAnsi"/>
                <w:b/>
                <w:sz w:val="21"/>
                <w:szCs w:val="21"/>
              </w:rPr>
            </w:pPr>
            <w:r w:rsidRPr="00AD7374">
              <w:rPr>
                <w:rFonts w:asciiTheme="majorHAnsi" w:eastAsia="Calibri" w:hAnsiTheme="majorHAnsi" w:cstheme="majorHAnsi"/>
                <w:b/>
                <w:sz w:val="21"/>
                <w:szCs w:val="21"/>
              </w:rPr>
              <w:t>10,147</w:t>
            </w:r>
          </w:p>
        </w:tc>
        <w:tc>
          <w:tcPr>
            <w:tcW w:w="2610" w:type="dxa"/>
          </w:tcPr>
          <w:p w14:paraId="779D7C38" w14:textId="77777777" w:rsidR="00F00E3D" w:rsidRPr="00AD7374" w:rsidRDefault="00F00E3D" w:rsidP="00AD7374">
            <w:pPr>
              <w:spacing w:line="240" w:lineRule="auto"/>
              <w:rPr>
                <w:rFonts w:asciiTheme="majorHAnsi" w:eastAsia="Calibri" w:hAnsiTheme="majorHAnsi" w:cstheme="majorHAnsi"/>
                <w:b/>
                <w:sz w:val="21"/>
                <w:szCs w:val="21"/>
              </w:rPr>
            </w:pPr>
            <w:r w:rsidRPr="00AD7374">
              <w:rPr>
                <w:rFonts w:asciiTheme="majorHAnsi" w:eastAsia="Calibri" w:hAnsiTheme="majorHAnsi" w:cstheme="majorHAnsi"/>
                <w:b/>
                <w:sz w:val="21"/>
                <w:szCs w:val="21"/>
              </w:rPr>
              <w:t>68,200,956</w:t>
            </w:r>
          </w:p>
        </w:tc>
      </w:tr>
    </w:tbl>
    <w:p w14:paraId="01310844" w14:textId="37067B63" w:rsidR="005703E7" w:rsidRPr="00AD7374" w:rsidRDefault="005703E7" w:rsidP="00AD7374">
      <w:pPr>
        <w:spacing w:after="0" w:line="240" w:lineRule="auto"/>
        <w:rPr>
          <w:rFonts w:eastAsia="Calibri" w:cstheme="minorHAnsi"/>
          <w:sz w:val="21"/>
          <w:szCs w:val="21"/>
        </w:rPr>
      </w:pPr>
      <w:r w:rsidRPr="00AD7374">
        <w:rPr>
          <w:rFonts w:eastAsia="Calibri" w:cstheme="minorHAnsi"/>
          <w:b/>
          <w:sz w:val="21"/>
          <w:szCs w:val="21"/>
        </w:rPr>
        <w:t xml:space="preserve">Table </w:t>
      </w:r>
      <w:r w:rsidR="00AD7374">
        <w:rPr>
          <w:rFonts w:eastAsia="Calibri" w:cstheme="minorHAnsi"/>
          <w:b/>
          <w:sz w:val="21"/>
          <w:szCs w:val="21"/>
        </w:rPr>
        <w:t>6</w:t>
      </w:r>
      <w:r w:rsidRPr="00AD7374">
        <w:rPr>
          <w:rFonts w:eastAsia="Calibri" w:cstheme="minorHAnsi"/>
          <w:b/>
          <w:sz w:val="21"/>
          <w:szCs w:val="21"/>
        </w:rPr>
        <w:t>.</w:t>
      </w:r>
      <w:r w:rsidRPr="00AD7374">
        <w:rPr>
          <w:rFonts w:eastAsia="Calibri" w:cstheme="minorHAnsi"/>
          <w:b/>
          <w:bCs/>
          <w:sz w:val="21"/>
          <w:szCs w:val="21"/>
        </w:rPr>
        <w:t>2</w:t>
      </w:r>
      <w:r w:rsidRPr="00AD7374">
        <w:rPr>
          <w:rFonts w:eastAsia="Calibri" w:cstheme="minorHAnsi"/>
          <w:b/>
          <w:sz w:val="21"/>
          <w:szCs w:val="21"/>
        </w:rPr>
        <w:t>: Jobs and Wages Lost, Geelong Region, 14 March</w:t>
      </w:r>
      <w:r w:rsidR="00AD7374">
        <w:rPr>
          <w:rFonts w:eastAsia="Calibri" w:cstheme="minorHAnsi"/>
          <w:b/>
          <w:sz w:val="21"/>
          <w:szCs w:val="21"/>
        </w:rPr>
        <w:t>–</w:t>
      </w:r>
      <w:r w:rsidRPr="00AD7374">
        <w:rPr>
          <w:rFonts w:eastAsia="Calibri" w:cstheme="minorHAnsi"/>
          <w:b/>
          <w:sz w:val="21"/>
          <w:szCs w:val="21"/>
        </w:rPr>
        <w:t>18 April 2020</w:t>
      </w:r>
    </w:p>
    <w:p w14:paraId="4F2E5C6B" w14:textId="54CDED44" w:rsidR="00F00E3D" w:rsidRPr="00AD7374" w:rsidRDefault="000E4F0A" w:rsidP="00AD7374">
      <w:pPr>
        <w:spacing w:after="0" w:line="240" w:lineRule="auto"/>
        <w:rPr>
          <w:rFonts w:eastAsia="Calibri" w:cstheme="minorHAnsi"/>
          <w:b/>
          <w:bCs/>
          <w:noProof/>
          <w:sz w:val="21"/>
          <w:szCs w:val="21"/>
        </w:rPr>
      </w:pPr>
      <w:r>
        <w:rPr>
          <w:rFonts w:eastAsia="Calibri" w:cstheme="minorHAnsi"/>
          <w:b/>
          <w:bCs/>
          <w:sz w:val="21"/>
          <w:szCs w:val="21"/>
        </w:rPr>
        <w:t>(</w:t>
      </w:r>
      <w:r w:rsidR="00F00E3D" w:rsidRPr="00AD7374">
        <w:rPr>
          <w:rFonts w:eastAsia="Calibri" w:cstheme="minorHAnsi"/>
          <w:b/>
          <w:bCs/>
          <w:sz w:val="21"/>
          <w:szCs w:val="21"/>
        </w:rPr>
        <w:t xml:space="preserve">Source: ATO Payroll data, via </w:t>
      </w:r>
      <w:r w:rsidR="00F00E3D" w:rsidRPr="00AD7374">
        <w:rPr>
          <w:rFonts w:eastAsia="Calibri" w:cstheme="minorHAnsi"/>
          <w:b/>
          <w:bCs/>
          <w:noProof/>
          <w:sz w:val="21"/>
          <w:szCs w:val="21"/>
        </w:rPr>
        <w:t xml:space="preserve">Van Estrop </w:t>
      </w:r>
      <w:r w:rsidR="005703E7" w:rsidRPr="00AD7374">
        <w:rPr>
          <w:rFonts w:eastAsia="Calibri" w:cstheme="minorHAnsi"/>
          <w:b/>
          <w:bCs/>
          <w:noProof/>
          <w:sz w:val="21"/>
          <w:szCs w:val="21"/>
        </w:rPr>
        <w:t>&amp;</w:t>
      </w:r>
      <w:r w:rsidR="00F00E3D" w:rsidRPr="00AD7374">
        <w:rPr>
          <w:rFonts w:eastAsia="Calibri" w:cstheme="minorHAnsi"/>
          <w:b/>
          <w:bCs/>
          <w:noProof/>
          <w:sz w:val="21"/>
          <w:szCs w:val="21"/>
        </w:rPr>
        <w:t xml:space="preserve"> Tippet</w:t>
      </w:r>
      <w:r>
        <w:rPr>
          <w:rFonts w:eastAsia="Calibri" w:cstheme="minorHAnsi"/>
          <w:b/>
          <w:bCs/>
          <w:noProof/>
          <w:sz w:val="21"/>
          <w:szCs w:val="21"/>
        </w:rPr>
        <w:t xml:space="preserve">, </w:t>
      </w:r>
      <w:r w:rsidR="00F00E3D" w:rsidRPr="00AD7374">
        <w:rPr>
          <w:rFonts w:eastAsia="Calibri" w:cstheme="minorHAnsi"/>
          <w:b/>
          <w:bCs/>
          <w:noProof/>
          <w:sz w:val="21"/>
          <w:szCs w:val="21"/>
        </w:rPr>
        <w:t>2020)</w:t>
      </w:r>
    </w:p>
    <w:p w14:paraId="5C1A90B9" w14:textId="77777777" w:rsidR="005703E7" w:rsidRPr="005703E7" w:rsidRDefault="005703E7" w:rsidP="005703E7">
      <w:pPr>
        <w:spacing w:after="0"/>
        <w:rPr>
          <w:rFonts w:eastAsia="Calibri" w:cstheme="minorHAnsi"/>
          <w:sz w:val="21"/>
          <w:szCs w:val="21"/>
        </w:rPr>
      </w:pPr>
    </w:p>
    <w:p w14:paraId="4AF40637" w14:textId="10D6CF53" w:rsidR="00F00E3D" w:rsidRPr="003710F5" w:rsidRDefault="00351098" w:rsidP="009B2FA7">
      <w:pPr>
        <w:spacing w:after="0" w:line="276" w:lineRule="auto"/>
        <w:rPr>
          <w:rFonts w:eastAsia="Calibri" w:cstheme="minorHAnsi"/>
          <w:b/>
          <w:color w:val="2F5496" w:themeColor="accent1" w:themeShade="BF"/>
          <w:sz w:val="25"/>
          <w:szCs w:val="25"/>
        </w:rPr>
      </w:pPr>
      <w:r w:rsidRPr="003710F5">
        <w:rPr>
          <w:rFonts w:eastAsia="Calibri" w:cstheme="minorHAnsi"/>
          <w:b/>
          <w:color w:val="2F5496" w:themeColor="accent1" w:themeShade="BF"/>
          <w:sz w:val="25"/>
          <w:szCs w:val="25"/>
        </w:rPr>
        <w:t>6.3.</w:t>
      </w:r>
      <w:r w:rsidR="00562ED6">
        <w:rPr>
          <w:rFonts w:eastAsia="Calibri" w:cstheme="minorHAnsi"/>
          <w:b/>
          <w:color w:val="2F5496" w:themeColor="accent1" w:themeShade="BF"/>
          <w:sz w:val="25"/>
          <w:szCs w:val="25"/>
        </w:rPr>
        <w:t>4</w:t>
      </w:r>
      <w:r w:rsidRPr="003710F5">
        <w:rPr>
          <w:rFonts w:eastAsia="Calibri" w:cstheme="minorHAnsi"/>
          <w:b/>
          <w:color w:val="2F5496" w:themeColor="accent1" w:themeShade="BF"/>
          <w:sz w:val="25"/>
          <w:szCs w:val="25"/>
        </w:rPr>
        <w:t xml:space="preserve"> </w:t>
      </w:r>
      <w:r w:rsidR="00F00E3D" w:rsidRPr="003710F5">
        <w:rPr>
          <w:rFonts w:eastAsia="Calibri" w:cstheme="minorHAnsi"/>
          <w:b/>
          <w:color w:val="2F5496" w:themeColor="accent1" w:themeShade="BF"/>
          <w:sz w:val="25"/>
          <w:szCs w:val="25"/>
        </w:rPr>
        <w:t>Local Responses</w:t>
      </w:r>
    </w:p>
    <w:p w14:paraId="4792C9F7" w14:textId="77777777" w:rsidR="00147CA8" w:rsidRPr="00147CA8" w:rsidRDefault="00147CA8" w:rsidP="00147CA8">
      <w:pPr>
        <w:spacing w:after="0" w:line="276" w:lineRule="auto"/>
        <w:rPr>
          <w:rFonts w:asciiTheme="majorHAnsi" w:eastAsia="Calibri" w:hAnsiTheme="majorHAnsi" w:cstheme="majorBidi"/>
          <w:sz w:val="16"/>
          <w:szCs w:val="16"/>
        </w:rPr>
      </w:pPr>
    </w:p>
    <w:p w14:paraId="0E9F4A52" w14:textId="7F7F06C1" w:rsidR="00F00E3D" w:rsidRPr="00DD331C" w:rsidRDefault="00F00E3D" w:rsidP="00086F0E">
      <w:pPr>
        <w:spacing w:line="276" w:lineRule="auto"/>
        <w:rPr>
          <w:rFonts w:asciiTheme="majorHAnsi" w:eastAsia="Calibri" w:hAnsiTheme="majorHAnsi" w:cstheme="majorBidi"/>
          <w:sz w:val="23"/>
          <w:szCs w:val="23"/>
        </w:rPr>
      </w:pPr>
      <w:r w:rsidRPr="00DD331C">
        <w:rPr>
          <w:rFonts w:asciiTheme="majorHAnsi" w:eastAsia="Calibri" w:hAnsiTheme="majorHAnsi" w:cstheme="majorBidi"/>
          <w:sz w:val="23"/>
          <w:szCs w:val="23"/>
        </w:rPr>
        <w:t xml:space="preserve">In response to the challenges </w:t>
      </w:r>
      <w:r w:rsidR="003D6BB0">
        <w:rPr>
          <w:rFonts w:asciiTheme="majorHAnsi" w:eastAsia="Calibri" w:hAnsiTheme="majorHAnsi" w:cstheme="majorBidi"/>
          <w:sz w:val="23"/>
          <w:szCs w:val="23"/>
        </w:rPr>
        <w:t>of</w:t>
      </w:r>
      <w:r w:rsidRPr="00DD331C">
        <w:rPr>
          <w:rFonts w:asciiTheme="majorHAnsi" w:eastAsia="Calibri" w:hAnsiTheme="majorHAnsi" w:cstheme="majorBidi"/>
          <w:sz w:val="23"/>
          <w:szCs w:val="23"/>
        </w:rPr>
        <w:t xml:space="preserve"> </w:t>
      </w:r>
      <w:r w:rsidR="00940D80">
        <w:rPr>
          <w:rFonts w:asciiTheme="majorHAnsi" w:eastAsia="Calibri" w:hAnsiTheme="majorHAnsi" w:cstheme="majorBidi"/>
          <w:sz w:val="23"/>
          <w:szCs w:val="23"/>
        </w:rPr>
        <w:t>COVID</w:t>
      </w:r>
      <w:r w:rsidRPr="00DD331C">
        <w:rPr>
          <w:rFonts w:asciiTheme="majorHAnsi" w:eastAsia="Calibri" w:hAnsiTheme="majorHAnsi" w:cstheme="majorBidi"/>
          <w:sz w:val="23"/>
          <w:szCs w:val="23"/>
        </w:rPr>
        <w:t>-19</w:t>
      </w:r>
      <w:r w:rsidR="00606D4A">
        <w:rPr>
          <w:rFonts w:asciiTheme="majorHAnsi" w:eastAsia="Calibri" w:hAnsiTheme="majorHAnsi" w:cstheme="majorBidi"/>
          <w:sz w:val="23"/>
          <w:szCs w:val="23"/>
        </w:rPr>
        <w:t xml:space="preserve"> –</w:t>
      </w:r>
      <w:r w:rsidRPr="00DD331C">
        <w:rPr>
          <w:rFonts w:asciiTheme="majorHAnsi" w:eastAsia="Calibri" w:hAnsiTheme="majorHAnsi" w:cstheme="majorBidi"/>
          <w:sz w:val="23"/>
          <w:szCs w:val="23"/>
        </w:rPr>
        <w:t xml:space="preserve"> </w:t>
      </w:r>
      <w:r w:rsidR="00606D4A">
        <w:rPr>
          <w:rFonts w:asciiTheme="majorHAnsi" w:eastAsia="Calibri" w:hAnsiTheme="majorHAnsi" w:cstheme="majorBidi"/>
          <w:sz w:val="23"/>
          <w:szCs w:val="23"/>
        </w:rPr>
        <w:t>both as a</w:t>
      </w:r>
      <w:r w:rsidRPr="00DD331C">
        <w:rPr>
          <w:rFonts w:asciiTheme="majorHAnsi" w:eastAsia="Calibri" w:hAnsiTheme="majorHAnsi" w:cstheme="majorBidi"/>
          <w:sz w:val="23"/>
          <w:szCs w:val="23"/>
        </w:rPr>
        <w:t xml:space="preserve"> health threat</w:t>
      </w:r>
      <w:r w:rsidR="00606D4A">
        <w:rPr>
          <w:rFonts w:asciiTheme="majorHAnsi" w:eastAsia="Calibri" w:hAnsiTheme="majorHAnsi" w:cstheme="majorBidi"/>
          <w:sz w:val="23"/>
          <w:szCs w:val="23"/>
        </w:rPr>
        <w:t xml:space="preserve">, and </w:t>
      </w:r>
      <w:r w:rsidR="00147CA8">
        <w:rPr>
          <w:rFonts w:asciiTheme="majorHAnsi" w:eastAsia="Calibri" w:hAnsiTheme="majorHAnsi" w:cstheme="majorBidi"/>
          <w:sz w:val="23"/>
          <w:szCs w:val="23"/>
        </w:rPr>
        <w:t>a</w:t>
      </w:r>
      <w:r w:rsidR="00411EB1">
        <w:rPr>
          <w:rFonts w:asciiTheme="majorHAnsi" w:eastAsia="Calibri" w:hAnsiTheme="majorHAnsi" w:cstheme="majorBidi"/>
          <w:sz w:val="23"/>
          <w:szCs w:val="23"/>
        </w:rPr>
        <w:t>s a</w:t>
      </w:r>
      <w:r w:rsidR="00147CA8">
        <w:rPr>
          <w:rFonts w:asciiTheme="majorHAnsi" w:eastAsia="Calibri" w:hAnsiTheme="majorHAnsi" w:cstheme="majorBidi"/>
          <w:sz w:val="23"/>
          <w:szCs w:val="23"/>
        </w:rPr>
        <w:t xml:space="preserve"> source of</w:t>
      </w:r>
      <w:r w:rsidR="00606D4A">
        <w:rPr>
          <w:rFonts w:asciiTheme="majorHAnsi" w:eastAsia="Calibri" w:hAnsiTheme="majorHAnsi" w:cstheme="majorBidi"/>
          <w:sz w:val="23"/>
          <w:szCs w:val="23"/>
        </w:rPr>
        <w:t xml:space="preserve"> uncertainty around fluctuating</w:t>
      </w:r>
      <w:r w:rsidRPr="00DD331C">
        <w:rPr>
          <w:rFonts w:asciiTheme="majorHAnsi" w:eastAsia="Calibri" w:hAnsiTheme="majorHAnsi" w:cstheme="majorBidi"/>
          <w:sz w:val="23"/>
          <w:szCs w:val="23"/>
        </w:rPr>
        <w:t xml:space="preserve"> restrictions on business and movement</w:t>
      </w:r>
      <w:r w:rsidR="00606D4A">
        <w:rPr>
          <w:rFonts w:asciiTheme="majorHAnsi" w:eastAsia="Calibri" w:hAnsiTheme="majorHAnsi" w:cstheme="majorBidi"/>
          <w:sz w:val="23"/>
          <w:szCs w:val="23"/>
        </w:rPr>
        <w:t xml:space="preserve"> –</w:t>
      </w:r>
      <w:r w:rsidRPr="00DD331C">
        <w:rPr>
          <w:rFonts w:asciiTheme="majorHAnsi" w:eastAsia="Calibri" w:hAnsiTheme="majorHAnsi" w:cstheme="majorBidi"/>
          <w:sz w:val="23"/>
          <w:szCs w:val="23"/>
        </w:rPr>
        <w:t xml:space="preserve"> many local enterprises </w:t>
      </w:r>
      <w:r w:rsidR="00606D4A">
        <w:rPr>
          <w:rFonts w:asciiTheme="majorHAnsi" w:eastAsia="Calibri" w:hAnsiTheme="majorHAnsi" w:cstheme="majorBidi"/>
          <w:sz w:val="23"/>
          <w:szCs w:val="23"/>
        </w:rPr>
        <w:t>“</w:t>
      </w:r>
      <w:r w:rsidRPr="00DD331C">
        <w:rPr>
          <w:rFonts w:asciiTheme="majorHAnsi" w:eastAsia="Calibri" w:hAnsiTheme="majorHAnsi" w:cstheme="majorBidi"/>
          <w:sz w:val="23"/>
          <w:szCs w:val="23"/>
        </w:rPr>
        <w:t>pivoted</w:t>
      </w:r>
      <w:r w:rsidR="00606D4A">
        <w:rPr>
          <w:rFonts w:asciiTheme="majorHAnsi" w:eastAsia="Calibri" w:hAnsiTheme="majorHAnsi" w:cstheme="majorBidi"/>
          <w:sz w:val="23"/>
          <w:szCs w:val="23"/>
        </w:rPr>
        <w:t>”</w:t>
      </w:r>
      <w:r w:rsidRPr="00DD331C">
        <w:rPr>
          <w:rFonts w:asciiTheme="majorHAnsi" w:eastAsia="Calibri" w:hAnsiTheme="majorHAnsi" w:cstheme="majorBidi"/>
          <w:sz w:val="23"/>
          <w:szCs w:val="23"/>
        </w:rPr>
        <w:t xml:space="preserve"> to ensure survival, while organisations such as the City of Greater Geelong moved decisively to offer assistance.</w:t>
      </w:r>
    </w:p>
    <w:p w14:paraId="0FF2D334" w14:textId="1783E092" w:rsidR="00F00E3D" w:rsidRPr="00DD331C" w:rsidRDefault="00F00E3D" w:rsidP="00086F0E">
      <w:pPr>
        <w:spacing w:line="276" w:lineRule="auto"/>
        <w:rPr>
          <w:rFonts w:ascii="Calibri Light" w:eastAsia="Calibri" w:hAnsi="Calibri Light" w:cs="Calibri Light"/>
          <w:sz w:val="23"/>
          <w:szCs w:val="23"/>
        </w:rPr>
      </w:pPr>
      <w:r w:rsidRPr="00DD331C">
        <w:rPr>
          <w:rFonts w:asciiTheme="majorHAnsi" w:eastAsia="Calibri" w:hAnsiTheme="majorHAnsi" w:cstheme="majorBidi"/>
          <w:sz w:val="23"/>
          <w:szCs w:val="23"/>
        </w:rPr>
        <w:t xml:space="preserve">When the </w:t>
      </w:r>
      <w:r w:rsidR="00940D80">
        <w:rPr>
          <w:rFonts w:asciiTheme="majorHAnsi" w:eastAsia="Calibri" w:hAnsiTheme="majorHAnsi" w:cstheme="majorBidi"/>
          <w:sz w:val="23"/>
          <w:szCs w:val="23"/>
        </w:rPr>
        <w:t>COVID</w:t>
      </w:r>
      <w:r w:rsidRPr="00DD331C">
        <w:rPr>
          <w:rFonts w:asciiTheme="majorHAnsi" w:eastAsia="Calibri" w:hAnsiTheme="majorHAnsi" w:cstheme="majorBidi"/>
          <w:sz w:val="23"/>
          <w:szCs w:val="23"/>
        </w:rPr>
        <w:t xml:space="preserve">-19 pandemic </w:t>
      </w:r>
      <w:r w:rsidR="00606D4A">
        <w:rPr>
          <w:rFonts w:asciiTheme="majorHAnsi" w:eastAsia="Calibri" w:hAnsiTheme="majorHAnsi" w:cstheme="majorBidi"/>
          <w:sz w:val="23"/>
          <w:szCs w:val="23"/>
        </w:rPr>
        <w:t>hit Australia in</w:t>
      </w:r>
      <w:r w:rsidRPr="00DD331C">
        <w:rPr>
          <w:rFonts w:asciiTheme="majorHAnsi" w:eastAsia="Calibri" w:hAnsiTheme="majorHAnsi" w:cstheme="majorBidi"/>
          <w:sz w:val="23"/>
          <w:szCs w:val="23"/>
        </w:rPr>
        <w:t xml:space="preserve"> March 2020, it exposed the lack of Personal Protective Equipment (PPE) stockpiles</w:t>
      </w:r>
      <w:r w:rsidR="00606D4A">
        <w:rPr>
          <w:rFonts w:asciiTheme="majorHAnsi" w:eastAsia="Calibri" w:hAnsiTheme="majorHAnsi" w:cstheme="majorBidi"/>
          <w:sz w:val="23"/>
          <w:szCs w:val="23"/>
        </w:rPr>
        <w:t xml:space="preserve">, </w:t>
      </w:r>
      <w:r w:rsidR="00086F0E">
        <w:rPr>
          <w:rFonts w:asciiTheme="majorHAnsi" w:eastAsia="Calibri" w:hAnsiTheme="majorHAnsi" w:cstheme="majorBidi"/>
          <w:sz w:val="23"/>
          <w:szCs w:val="23"/>
        </w:rPr>
        <w:t>our</w:t>
      </w:r>
      <w:r w:rsidRPr="00DD331C">
        <w:rPr>
          <w:rFonts w:asciiTheme="majorHAnsi" w:eastAsia="Calibri" w:hAnsiTheme="majorHAnsi" w:cstheme="majorBidi"/>
          <w:sz w:val="23"/>
          <w:szCs w:val="23"/>
        </w:rPr>
        <w:t xml:space="preserve"> limited capacity to manufacture </w:t>
      </w:r>
      <w:r w:rsidR="00606D4A">
        <w:rPr>
          <w:rFonts w:asciiTheme="majorHAnsi" w:eastAsia="Calibri" w:hAnsiTheme="majorHAnsi" w:cstheme="majorBidi"/>
          <w:sz w:val="23"/>
          <w:szCs w:val="23"/>
        </w:rPr>
        <w:t>this equipment</w:t>
      </w:r>
      <w:r w:rsidRPr="00DD331C">
        <w:rPr>
          <w:rFonts w:asciiTheme="majorHAnsi" w:eastAsia="Calibri" w:hAnsiTheme="majorHAnsi" w:cstheme="majorBidi"/>
          <w:sz w:val="23"/>
          <w:szCs w:val="23"/>
        </w:rPr>
        <w:t xml:space="preserve"> locally</w:t>
      </w:r>
      <w:r w:rsidR="00606D4A">
        <w:rPr>
          <w:rFonts w:asciiTheme="majorHAnsi" w:eastAsia="Calibri" w:hAnsiTheme="majorHAnsi" w:cstheme="majorBidi"/>
          <w:sz w:val="23"/>
          <w:szCs w:val="23"/>
        </w:rPr>
        <w:t>,</w:t>
      </w:r>
      <w:r w:rsidRPr="00DD331C">
        <w:rPr>
          <w:rFonts w:asciiTheme="majorHAnsi" w:eastAsia="Calibri" w:hAnsiTheme="majorHAnsi" w:cstheme="majorBidi"/>
          <w:sz w:val="23"/>
          <w:szCs w:val="23"/>
        </w:rPr>
        <w:t xml:space="preserve"> and the vulnerability of </w:t>
      </w:r>
      <w:r w:rsidR="00606D4A">
        <w:rPr>
          <w:rFonts w:asciiTheme="majorHAnsi" w:eastAsia="Calibri" w:hAnsiTheme="majorHAnsi" w:cstheme="majorBidi"/>
          <w:sz w:val="23"/>
          <w:szCs w:val="23"/>
        </w:rPr>
        <w:t xml:space="preserve">global </w:t>
      </w:r>
      <w:r w:rsidRPr="00DD331C">
        <w:rPr>
          <w:rFonts w:asciiTheme="majorHAnsi" w:eastAsia="Calibri" w:hAnsiTheme="majorHAnsi" w:cstheme="majorBidi"/>
          <w:sz w:val="23"/>
          <w:szCs w:val="23"/>
        </w:rPr>
        <w:t xml:space="preserve">supply chains. Local manufacturer </w:t>
      </w:r>
      <w:proofErr w:type="spellStart"/>
      <w:r w:rsidRPr="00DD331C">
        <w:rPr>
          <w:rFonts w:asciiTheme="majorHAnsi" w:eastAsia="Calibri" w:hAnsiTheme="majorHAnsi" w:cstheme="majorBidi"/>
          <w:sz w:val="23"/>
          <w:szCs w:val="23"/>
        </w:rPr>
        <w:t>Textor</w:t>
      </w:r>
      <w:proofErr w:type="spellEnd"/>
      <w:r w:rsidRPr="00DD331C">
        <w:rPr>
          <w:rFonts w:asciiTheme="majorHAnsi" w:eastAsia="Calibri" w:hAnsiTheme="majorHAnsi" w:cstheme="majorBidi"/>
          <w:sz w:val="23"/>
          <w:szCs w:val="23"/>
        </w:rPr>
        <w:t xml:space="preserve"> </w:t>
      </w:r>
      <w:r w:rsidRPr="00DD331C">
        <w:rPr>
          <w:rFonts w:ascii="Calibri Light" w:eastAsia="Calibri" w:hAnsi="Calibri Light" w:cs="Calibri Light"/>
          <w:sz w:val="23"/>
          <w:szCs w:val="23"/>
        </w:rPr>
        <w:t>worked with long-time collaborator CSIRO to produce a special filtration fabric for surgical-grade face masks and adapted the existing machines at CSIRO’s pilot scale facility, located at Deakin University’s Waurn Ponds Campus, to develop and manufacture the complex non-woven fabric. Care Essentials</w:t>
      </w:r>
      <w:r w:rsidR="00606D4A">
        <w:rPr>
          <w:rFonts w:ascii="Calibri Light" w:eastAsia="Calibri" w:hAnsi="Calibri Light" w:cs="Calibri Light"/>
          <w:sz w:val="23"/>
          <w:szCs w:val="23"/>
        </w:rPr>
        <w:t xml:space="preserve"> also switched its production focus to vital PPE equipment,</w:t>
      </w:r>
      <w:r w:rsidRPr="00DD331C">
        <w:rPr>
          <w:rFonts w:ascii="Calibri Light" w:eastAsia="Calibri" w:hAnsi="Calibri Light" w:cs="Calibri Light"/>
          <w:sz w:val="23"/>
          <w:szCs w:val="23"/>
        </w:rPr>
        <w:t xml:space="preserve"> while Brown Uniforms reoriented to supply scrubs to healthcare workers. </w:t>
      </w:r>
    </w:p>
    <w:p w14:paraId="719D3A32" w14:textId="5C6077BC" w:rsidR="00F00E3D" w:rsidRPr="00DD331C" w:rsidRDefault="00F00E3D" w:rsidP="00086F0E">
      <w:pPr>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lastRenderedPageBreak/>
        <w:t xml:space="preserve">Geelong organisations adapted to </w:t>
      </w:r>
      <w:r w:rsidR="00606D4A">
        <w:rPr>
          <w:rFonts w:ascii="Calibri Light" w:eastAsia="Calibri" w:hAnsi="Calibri Light" w:cs="Calibri Light"/>
          <w:sz w:val="23"/>
          <w:szCs w:val="23"/>
        </w:rPr>
        <w:t>remote work</w:t>
      </w:r>
      <w:r w:rsidRPr="00DD331C">
        <w:rPr>
          <w:rFonts w:ascii="Calibri Light" w:eastAsia="Calibri" w:hAnsi="Calibri Light" w:cs="Calibri Light"/>
          <w:sz w:val="23"/>
          <w:szCs w:val="23"/>
        </w:rPr>
        <w:t xml:space="preserve"> </w:t>
      </w:r>
      <w:r w:rsidR="00606D4A">
        <w:rPr>
          <w:rFonts w:ascii="Calibri Light" w:eastAsia="Calibri" w:hAnsi="Calibri Light" w:cs="Calibri Light"/>
          <w:sz w:val="23"/>
          <w:szCs w:val="23"/>
        </w:rPr>
        <w:t>where</w:t>
      </w:r>
      <w:r w:rsidRPr="00DD331C">
        <w:rPr>
          <w:rFonts w:ascii="Calibri Light" w:eastAsia="Calibri" w:hAnsi="Calibri Light" w:cs="Calibri Light"/>
          <w:sz w:val="23"/>
          <w:szCs w:val="23"/>
        </w:rPr>
        <w:t xml:space="preserve"> possible</w:t>
      </w:r>
      <w:r w:rsidR="00606D4A">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or reorganised workplaces to operate in a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 xml:space="preserve">-19 safe way. </w:t>
      </w:r>
      <w:r w:rsidR="00A930AA">
        <w:rPr>
          <w:rFonts w:ascii="Calibri Light" w:eastAsia="Calibri" w:hAnsi="Calibri Light" w:cs="Calibri Light"/>
          <w:sz w:val="23"/>
          <w:szCs w:val="23"/>
        </w:rPr>
        <w:t>The</w:t>
      </w:r>
      <w:r w:rsidR="00086F0E">
        <w:rPr>
          <w:rFonts w:ascii="Calibri Light" w:eastAsia="Calibri" w:hAnsi="Calibri Light" w:cs="Calibri Light"/>
          <w:sz w:val="23"/>
          <w:szCs w:val="23"/>
        </w:rPr>
        <w:t xml:space="preserve"> shift of many </w:t>
      </w:r>
      <w:r w:rsidRPr="00DD331C">
        <w:rPr>
          <w:rFonts w:ascii="Calibri Light" w:eastAsia="Calibri" w:hAnsi="Calibri Light" w:cs="Calibri Light"/>
          <w:sz w:val="23"/>
          <w:szCs w:val="23"/>
        </w:rPr>
        <w:t xml:space="preserve">service sector </w:t>
      </w:r>
      <w:r w:rsidR="00086F0E">
        <w:rPr>
          <w:rFonts w:ascii="Calibri Light" w:eastAsia="Calibri" w:hAnsi="Calibri Light" w:cs="Calibri Light"/>
          <w:sz w:val="23"/>
          <w:szCs w:val="23"/>
        </w:rPr>
        <w:t>workers to</w:t>
      </w:r>
      <w:r w:rsidRPr="00DD331C">
        <w:rPr>
          <w:rFonts w:ascii="Calibri Light" w:eastAsia="Calibri" w:hAnsi="Calibri Light" w:cs="Calibri Light"/>
          <w:sz w:val="23"/>
          <w:szCs w:val="23"/>
        </w:rPr>
        <w:t xml:space="preserve"> </w:t>
      </w:r>
      <w:r w:rsidR="00086F0E">
        <w:rPr>
          <w:rFonts w:ascii="Calibri Light" w:eastAsia="Calibri" w:hAnsi="Calibri Light" w:cs="Calibri Light"/>
          <w:sz w:val="23"/>
          <w:szCs w:val="23"/>
        </w:rPr>
        <w:t>remote work may result in ongoing changes to how these organisations operate</w:t>
      </w:r>
      <w:r w:rsidRPr="00DD331C">
        <w:rPr>
          <w:rFonts w:ascii="Calibri Light" w:eastAsia="Calibri" w:hAnsi="Calibri Light" w:cs="Calibri Light"/>
          <w:sz w:val="23"/>
          <w:szCs w:val="23"/>
        </w:rPr>
        <w:t>, with more flexible workplace options</w:t>
      </w:r>
      <w:r w:rsidR="00086F0E">
        <w:rPr>
          <w:rFonts w:ascii="Calibri Light" w:eastAsia="Calibri" w:hAnsi="Calibri Light" w:cs="Calibri Light"/>
          <w:sz w:val="23"/>
          <w:szCs w:val="23"/>
        </w:rPr>
        <w:t xml:space="preserve"> potentially </w:t>
      </w:r>
      <w:r w:rsidR="00A930AA">
        <w:rPr>
          <w:rFonts w:ascii="Calibri Light" w:eastAsia="Calibri" w:hAnsi="Calibri Light" w:cs="Calibri Light"/>
          <w:sz w:val="23"/>
          <w:szCs w:val="23"/>
        </w:rPr>
        <w:t>made</w:t>
      </w:r>
      <w:r w:rsidRPr="00DD331C">
        <w:rPr>
          <w:rFonts w:ascii="Calibri Light" w:eastAsia="Calibri" w:hAnsi="Calibri Light" w:cs="Calibri Light"/>
          <w:sz w:val="23"/>
          <w:szCs w:val="23"/>
        </w:rPr>
        <w:t xml:space="preserve"> available. </w:t>
      </w:r>
      <w:r w:rsidR="00A930AA">
        <w:rPr>
          <w:rFonts w:ascii="Calibri Light" w:eastAsia="Calibri" w:hAnsi="Calibri Light" w:cs="Calibri Light"/>
          <w:sz w:val="23"/>
          <w:szCs w:val="23"/>
        </w:rPr>
        <w:t>If so, the</w:t>
      </w:r>
      <w:r w:rsidRPr="00DD331C">
        <w:rPr>
          <w:rFonts w:ascii="Calibri Light" w:eastAsia="Calibri" w:hAnsi="Calibri Light" w:cs="Calibri Light"/>
          <w:sz w:val="23"/>
          <w:szCs w:val="23"/>
        </w:rPr>
        <w:t xml:space="preserve"> need for centralised large-scale offices or campuses may well reduce. The </w:t>
      </w:r>
      <w:r w:rsidR="00A930AA">
        <w:rPr>
          <w:rFonts w:ascii="Calibri Light" w:eastAsia="Calibri" w:hAnsi="Calibri Light" w:cs="Calibri Light"/>
          <w:sz w:val="23"/>
          <w:szCs w:val="23"/>
        </w:rPr>
        <w:t>possible</w:t>
      </w:r>
      <w:r w:rsidRPr="00DD331C">
        <w:rPr>
          <w:rFonts w:ascii="Calibri Light" w:eastAsia="Calibri" w:hAnsi="Calibri Light" w:cs="Calibri Light"/>
          <w:sz w:val="23"/>
          <w:szCs w:val="23"/>
        </w:rPr>
        <w:t xml:space="preserve"> </w:t>
      </w:r>
      <w:r w:rsidR="00086F0E">
        <w:rPr>
          <w:rFonts w:ascii="Calibri Light" w:eastAsia="Calibri" w:hAnsi="Calibri Light" w:cs="Calibri Light"/>
          <w:sz w:val="23"/>
          <w:szCs w:val="23"/>
        </w:rPr>
        <w:t>relocat</w:t>
      </w:r>
      <w:r w:rsidR="00A930AA">
        <w:rPr>
          <w:rFonts w:ascii="Calibri Light" w:eastAsia="Calibri" w:hAnsi="Calibri Light" w:cs="Calibri Light"/>
          <w:sz w:val="23"/>
          <w:szCs w:val="23"/>
        </w:rPr>
        <w:t>ion of</w:t>
      </w:r>
      <w:r w:rsidRPr="00DD331C">
        <w:rPr>
          <w:rFonts w:ascii="Calibri Light" w:eastAsia="Calibri" w:hAnsi="Calibri Light" w:cs="Calibri Light"/>
          <w:sz w:val="23"/>
          <w:szCs w:val="23"/>
        </w:rPr>
        <w:t xml:space="preserve"> such operations to suburban hubs </w:t>
      </w:r>
      <w:r w:rsidR="00A930AA">
        <w:rPr>
          <w:rFonts w:ascii="Calibri Light" w:eastAsia="Calibri" w:hAnsi="Calibri Light" w:cs="Calibri Light"/>
          <w:sz w:val="23"/>
          <w:szCs w:val="23"/>
        </w:rPr>
        <w:t>may present opportunities</w:t>
      </w:r>
      <w:r w:rsidR="00086F0E">
        <w:rPr>
          <w:rFonts w:ascii="Calibri Light" w:eastAsia="Calibri" w:hAnsi="Calibri Light" w:cs="Calibri Light"/>
          <w:sz w:val="23"/>
          <w:szCs w:val="23"/>
        </w:rPr>
        <w:t xml:space="preserve">, </w:t>
      </w:r>
      <w:r w:rsidRPr="00DD331C">
        <w:rPr>
          <w:rFonts w:ascii="Calibri Light" w:eastAsia="Calibri" w:hAnsi="Calibri Light" w:cs="Calibri Light"/>
          <w:sz w:val="23"/>
          <w:szCs w:val="23"/>
        </w:rPr>
        <w:t xml:space="preserve">but also raises questions </w:t>
      </w:r>
      <w:r w:rsidR="00086F0E">
        <w:rPr>
          <w:rFonts w:ascii="Calibri Light" w:eastAsia="Calibri" w:hAnsi="Calibri Light" w:cs="Calibri Light"/>
          <w:sz w:val="23"/>
          <w:szCs w:val="23"/>
        </w:rPr>
        <w:t>around</w:t>
      </w:r>
      <w:r w:rsidRPr="00DD331C">
        <w:rPr>
          <w:rFonts w:ascii="Calibri Light" w:eastAsia="Calibri" w:hAnsi="Calibri Light" w:cs="Calibri Light"/>
          <w:sz w:val="23"/>
          <w:szCs w:val="23"/>
        </w:rPr>
        <w:t xml:space="preserve"> </w:t>
      </w:r>
      <w:r w:rsidR="00086F0E">
        <w:rPr>
          <w:rFonts w:ascii="Calibri Light" w:eastAsia="Calibri" w:hAnsi="Calibri Light" w:cs="Calibri Light"/>
          <w:sz w:val="23"/>
          <w:szCs w:val="23"/>
        </w:rPr>
        <w:t>efforts</w:t>
      </w:r>
      <w:r w:rsidRPr="00DD331C">
        <w:rPr>
          <w:rFonts w:ascii="Calibri Light" w:eastAsia="Calibri" w:hAnsi="Calibri Light" w:cs="Calibri Light"/>
          <w:sz w:val="23"/>
          <w:szCs w:val="23"/>
        </w:rPr>
        <w:t xml:space="preserve"> to activate the Geelong CBD </w:t>
      </w:r>
      <w:r w:rsidR="00086F0E">
        <w:rPr>
          <w:rFonts w:ascii="Calibri Light" w:eastAsia="Calibri" w:hAnsi="Calibri Light" w:cs="Calibri Light"/>
          <w:sz w:val="23"/>
          <w:szCs w:val="23"/>
        </w:rPr>
        <w:t>via</w:t>
      </w:r>
      <w:r w:rsidRPr="00DD331C">
        <w:rPr>
          <w:rFonts w:ascii="Calibri Light" w:eastAsia="Calibri" w:hAnsi="Calibri Light" w:cs="Calibri Light"/>
          <w:sz w:val="23"/>
          <w:szCs w:val="23"/>
        </w:rPr>
        <w:t xml:space="preserve"> large office and apartment complexes.</w:t>
      </w:r>
    </w:p>
    <w:p w14:paraId="37CE74DE" w14:textId="0B86AE21" w:rsidR="00F00E3D" w:rsidRPr="00DD331C" w:rsidRDefault="00086F0E" w:rsidP="00086F0E">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M</w:t>
      </w:r>
      <w:r w:rsidR="00F00E3D" w:rsidRPr="00DD331C">
        <w:rPr>
          <w:rFonts w:ascii="Calibri Light" w:eastAsia="Calibri" w:hAnsi="Calibri Light" w:cs="Calibri Light"/>
          <w:sz w:val="23"/>
          <w:szCs w:val="23"/>
        </w:rPr>
        <w:t>any local organisations and businesses</w:t>
      </w:r>
      <w:r>
        <w:rPr>
          <w:rFonts w:ascii="Calibri Light" w:eastAsia="Calibri" w:hAnsi="Calibri Light" w:cs="Calibri Light"/>
          <w:sz w:val="23"/>
          <w:szCs w:val="23"/>
        </w:rPr>
        <w:t xml:space="preserve"> also</w:t>
      </w:r>
      <w:r w:rsidR="00F00E3D" w:rsidRPr="00DD331C">
        <w:rPr>
          <w:rFonts w:ascii="Calibri Light" w:eastAsia="Calibri" w:hAnsi="Calibri Light" w:cs="Calibri Light"/>
          <w:sz w:val="23"/>
          <w:szCs w:val="23"/>
        </w:rPr>
        <w:t xml:space="preserve"> embraced the opportunities </w:t>
      </w:r>
      <w:r>
        <w:rPr>
          <w:rFonts w:ascii="Calibri Light" w:eastAsia="Calibri" w:hAnsi="Calibri Light" w:cs="Calibri Light"/>
          <w:sz w:val="23"/>
          <w:szCs w:val="23"/>
        </w:rPr>
        <w:t>presented by</w:t>
      </w:r>
      <w:r w:rsidR="00F00E3D" w:rsidRPr="00DD331C">
        <w:rPr>
          <w:rFonts w:ascii="Calibri Light" w:eastAsia="Calibri" w:hAnsi="Calibri Light" w:cs="Calibri Light"/>
          <w:sz w:val="23"/>
          <w:szCs w:val="23"/>
        </w:rPr>
        <w:t xml:space="preserve"> </w:t>
      </w:r>
      <w:r>
        <w:rPr>
          <w:rFonts w:ascii="Calibri Light" w:eastAsia="Calibri" w:hAnsi="Calibri Light" w:cs="Calibri Light"/>
          <w:sz w:val="23"/>
          <w:szCs w:val="23"/>
        </w:rPr>
        <w:t xml:space="preserve">digital </w:t>
      </w:r>
      <w:r w:rsidR="0033390D">
        <w:rPr>
          <w:rFonts w:ascii="Calibri Light" w:eastAsia="Calibri" w:hAnsi="Calibri Light" w:cs="Calibri Light"/>
          <w:sz w:val="23"/>
          <w:szCs w:val="23"/>
        </w:rPr>
        <w:t>delivery</w:t>
      </w:r>
      <w:r w:rsidR="00F00E3D" w:rsidRPr="00DD331C">
        <w:rPr>
          <w:rFonts w:ascii="Calibri Light" w:eastAsia="Calibri" w:hAnsi="Calibri Light" w:cs="Calibri Light"/>
          <w:sz w:val="23"/>
          <w:szCs w:val="23"/>
        </w:rPr>
        <w:t xml:space="preserve">. </w:t>
      </w:r>
      <w:r w:rsidR="00CA42EC">
        <w:rPr>
          <w:rFonts w:ascii="Calibri Light" w:eastAsia="Calibri" w:hAnsi="Calibri Light" w:cs="Calibri Light"/>
          <w:sz w:val="23"/>
          <w:szCs w:val="23"/>
        </w:rPr>
        <w:t>M</w:t>
      </w:r>
      <w:r w:rsidR="00F00E3D" w:rsidRPr="00DD331C">
        <w:rPr>
          <w:rFonts w:ascii="Calibri Light" w:eastAsia="Calibri" w:hAnsi="Calibri Light" w:cs="Calibri Light"/>
          <w:sz w:val="23"/>
          <w:szCs w:val="23"/>
        </w:rPr>
        <w:t>any arts organisations</w:t>
      </w:r>
      <w:r w:rsidR="00CA42EC" w:rsidRPr="00CA42EC">
        <w:rPr>
          <w:rFonts w:ascii="Calibri Light" w:eastAsia="Calibri" w:hAnsi="Calibri Light" w:cs="Calibri Light"/>
          <w:sz w:val="23"/>
          <w:szCs w:val="23"/>
        </w:rPr>
        <w:t xml:space="preserve"> </w:t>
      </w:r>
      <w:r w:rsidR="00CA42EC" w:rsidRPr="00DD331C">
        <w:rPr>
          <w:rFonts w:ascii="Calibri Light" w:eastAsia="Calibri" w:hAnsi="Calibri Light" w:cs="Calibri Light"/>
          <w:sz w:val="23"/>
          <w:szCs w:val="23"/>
        </w:rPr>
        <w:t>moved online</w:t>
      </w:r>
      <w:r>
        <w:rPr>
          <w:rFonts w:ascii="Calibri Light" w:eastAsia="Calibri" w:hAnsi="Calibri Light" w:cs="Calibri Light"/>
          <w:sz w:val="23"/>
          <w:szCs w:val="23"/>
        </w:rPr>
        <w:t xml:space="preserve">, </w:t>
      </w:r>
      <w:r w:rsidR="0033390D">
        <w:rPr>
          <w:rFonts w:ascii="Calibri Light" w:eastAsia="Calibri" w:hAnsi="Calibri Light" w:cs="Calibri Light"/>
          <w:sz w:val="23"/>
          <w:szCs w:val="23"/>
        </w:rPr>
        <w:t>as did</w:t>
      </w:r>
      <w:r w:rsidR="00CA42EC">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 xml:space="preserve">entertainment venues such as </w:t>
      </w:r>
      <w:r>
        <w:rPr>
          <w:rFonts w:ascii="Calibri Light" w:eastAsia="Calibri" w:hAnsi="Calibri Light" w:cs="Calibri Light"/>
          <w:sz w:val="23"/>
          <w:szCs w:val="23"/>
        </w:rPr>
        <w:t>t</w:t>
      </w:r>
      <w:r w:rsidR="00F00E3D" w:rsidRPr="00DD331C">
        <w:rPr>
          <w:rFonts w:ascii="Calibri Light" w:eastAsia="Calibri" w:hAnsi="Calibri Light" w:cs="Calibri Light"/>
          <w:sz w:val="23"/>
          <w:szCs w:val="23"/>
        </w:rPr>
        <w:t>he Piano Bar,</w:t>
      </w:r>
      <w:r w:rsidR="00CA42EC">
        <w:rPr>
          <w:rFonts w:ascii="Calibri Light" w:eastAsia="Calibri" w:hAnsi="Calibri Light" w:cs="Calibri Light"/>
          <w:sz w:val="23"/>
          <w:szCs w:val="23"/>
        </w:rPr>
        <w:t xml:space="preserve"> the vineyard </w:t>
      </w:r>
      <w:r w:rsidR="00F00E3D" w:rsidRPr="00DD331C">
        <w:rPr>
          <w:rFonts w:ascii="Calibri Light" w:eastAsia="Calibri" w:hAnsi="Calibri Light" w:cs="Calibri Light"/>
          <w:sz w:val="23"/>
          <w:szCs w:val="23"/>
        </w:rPr>
        <w:t>Provenance Wines</w:t>
      </w:r>
      <w:r w:rsidR="00CA42EC">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and</w:t>
      </w:r>
      <w:r w:rsidR="00CA42EC">
        <w:rPr>
          <w:rFonts w:ascii="Calibri Light" w:eastAsia="Calibri" w:hAnsi="Calibri Light" w:cs="Calibri Light"/>
          <w:sz w:val="23"/>
          <w:szCs w:val="23"/>
        </w:rPr>
        <w:t xml:space="preserve"> business incubator </w:t>
      </w:r>
      <w:r w:rsidR="00F00E3D" w:rsidRPr="00DD331C">
        <w:rPr>
          <w:rFonts w:ascii="Calibri Light" w:eastAsia="Calibri" w:hAnsi="Calibri Light" w:cs="Calibri Light"/>
          <w:sz w:val="23"/>
          <w:szCs w:val="23"/>
        </w:rPr>
        <w:t>Runway</w:t>
      </w:r>
      <w:r w:rsidR="00CA42EC">
        <w:rPr>
          <w:rFonts w:ascii="Calibri Light" w:eastAsia="Calibri" w:hAnsi="Calibri Light" w:cs="Calibri Light"/>
          <w:sz w:val="23"/>
          <w:szCs w:val="23"/>
        </w:rPr>
        <w:t xml:space="preserve"> Geelong</w:t>
      </w:r>
      <w:r w:rsidR="0033390D">
        <w:rPr>
          <w:rFonts w:ascii="Calibri Light" w:eastAsia="Calibri" w:hAnsi="Calibri Light" w:cs="Calibri Light"/>
          <w:sz w:val="23"/>
          <w:szCs w:val="23"/>
        </w:rPr>
        <w:t>. This extended their</w:t>
      </w:r>
      <w:r w:rsidR="00F00E3D" w:rsidRPr="00DD331C">
        <w:rPr>
          <w:rFonts w:ascii="Calibri Light" w:eastAsia="Calibri" w:hAnsi="Calibri Light" w:cs="Calibri Light"/>
          <w:sz w:val="23"/>
          <w:szCs w:val="23"/>
        </w:rPr>
        <w:t xml:space="preserve"> reach nationally and even globally,</w:t>
      </w:r>
      <w:r w:rsidR="00CA42EC">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increasing their turnover in the process (Chamber Webinars, May 2020).</w:t>
      </w:r>
    </w:p>
    <w:p w14:paraId="06664749" w14:textId="50468C84" w:rsidR="00F00E3D" w:rsidRPr="00DD331C" w:rsidRDefault="00F00E3D" w:rsidP="00B625CC">
      <w:pPr>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The City of Greater Geelong also introduced a range of supports, </w:t>
      </w:r>
      <w:r w:rsidR="00CA42EC" w:rsidRPr="00DD331C">
        <w:rPr>
          <w:rFonts w:ascii="Calibri Light" w:eastAsia="Calibri" w:hAnsi="Calibri Light" w:cs="Calibri Light"/>
          <w:sz w:val="23"/>
          <w:szCs w:val="23"/>
        </w:rPr>
        <w:t xml:space="preserve">totalling $17 million over six tranches of assistance (to September 2020). </w:t>
      </w:r>
      <w:r w:rsidR="00CA42EC">
        <w:rPr>
          <w:rFonts w:ascii="Calibri Light" w:eastAsia="Calibri" w:hAnsi="Calibri Light" w:cs="Calibri Light"/>
          <w:sz w:val="23"/>
          <w:szCs w:val="23"/>
        </w:rPr>
        <w:t>These included</w:t>
      </w:r>
      <w:r w:rsidRPr="00DD331C">
        <w:rPr>
          <w:rFonts w:ascii="Calibri Light" w:eastAsia="Calibri" w:hAnsi="Calibri Light" w:cs="Calibri Light"/>
          <w:sz w:val="23"/>
          <w:szCs w:val="23"/>
        </w:rPr>
        <w:t xml:space="preserve"> payments for international students, commercial rent relief, grants to community groups, free </w:t>
      </w:r>
      <w:r w:rsidR="00CA42EC">
        <w:rPr>
          <w:rFonts w:ascii="Calibri Light" w:eastAsia="Calibri" w:hAnsi="Calibri Light" w:cs="Calibri Light"/>
          <w:sz w:val="23"/>
          <w:szCs w:val="23"/>
        </w:rPr>
        <w:t xml:space="preserve">CBD </w:t>
      </w:r>
      <w:r w:rsidRPr="00DD331C">
        <w:rPr>
          <w:rFonts w:ascii="Calibri Light" w:eastAsia="Calibri" w:hAnsi="Calibri Light" w:cs="Calibri Light"/>
          <w:sz w:val="23"/>
          <w:szCs w:val="23"/>
        </w:rPr>
        <w:t xml:space="preserve">parking, </w:t>
      </w:r>
      <w:r w:rsidR="00CA42EC">
        <w:rPr>
          <w:rFonts w:ascii="Calibri Light" w:eastAsia="Calibri" w:hAnsi="Calibri Light" w:cs="Calibri Light"/>
          <w:sz w:val="23"/>
          <w:szCs w:val="23"/>
        </w:rPr>
        <w:t xml:space="preserve">and </w:t>
      </w:r>
      <w:r w:rsidRPr="00DD331C">
        <w:rPr>
          <w:rFonts w:ascii="Calibri Light" w:eastAsia="Calibri" w:hAnsi="Calibri Light" w:cs="Calibri Light"/>
          <w:sz w:val="23"/>
          <w:szCs w:val="23"/>
        </w:rPr>
        <w:t>fee waivers and sectoral payments in the tourism, arts</w:t>
      </w:r>
      <w:r w:rsidR="00CA42EC">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and cultural sectors, The Committee for Geelong, along with other organisations such as the Geelong Manufacturing Council, organised regular events to keep </w:t>
      </w:r>
      <w:r w:rsidR="00CA42EC">
        <w:rPr>
          <w:rFonts w:ascii="Calibri Light" w:eastAsia="Calibri" w:hAnsi="Calibri Light" w:cs="Calibri Light"/>
          <w:sz w:val="23"/>
          <w:szCs w:val="23"/>
        </w:rPr>
        <w:t>members</w:t>
      </w:r>
      <w:r w:rsidRPr="00DD331C">
        <w:rPr>
          <w:rFonts w:ascii="Calibri Light" w:eastAsia="Calibri" w:hAnsi="Calibri Light" w:cs="Calibri Light"/>
          <w:sz w:val="23"/>
          <w:szCs w:val="23"/>
        </w:rPr>
        <w:t xml:space="preserve"> informed,</w:t>
      </w:r>
      <w:r w:rsidR="00CA42EC">
        <w:rPr>
          <w:rFonts w:ascii="Calibri Light" w:eastAsia="Calibri" w:hAnsi="Calibri Light" w:cs="Calibri Light"/>
          <w:sz w:val="23"/>
          <w:szCs w:val="23"/>
        </w:rPr>
        <w:t xml:space="preserve"> and to</w:t>
      </w:r>
      <w:r w:rsidRPr="00DD331C">
        <w:rPr>
          <w:rFonts w:ascii="Calibri Light" w:eastAsia="Calibri" w:hAnsi="Calibri Light" w:cs="Calibri Light"/>
          <w:sz w:val="23"/>
          <w:szCs w:val="23"/>
        </w:rPr>
        <w:t xml:space="preserve"> offer advice and networking opportunities. </w:t>
      </w:r>
      <w:r w:rsidR="00CA42EC">
        <w:rPr>
          <w:rFonts w:ascii="Calibri Light" w:eastAsia="Calibri" w:hAnsi="Calibri Light" w:cs="Calibri Light"/>
          <w:sz w:val="23"/>
          <w:szCs w:val="23"/>
        </w:rPr>
        <w:t>These two organisations combined with</w:t>
      </w:r>
      <w:r w:rsidRPr="00DD331C">
        <w:rPr>
          <w:rFonts w:ascii="Calibri Light" w:eastAsia="Calibri" w:hAnsi="Calibri Light" w:cs="Calibri Light"/>
          <w:sz w:val="23"/>
          <w:szCs w:val="23"/>
        </w:rPr>
        <w:t xml:space="preserve"> G21, Geelong Bellarine Tourism</w:t>
      </w:r>
      <w:r w:rsidR="00B625CC">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and the Geelong Chamber of Commerce to form the Geelong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 xml:space="preserve">-19 Recovery Collective, </w:t>
      </w:r>
      <w:r w:rsidR="00B625CC">
        <w:rPr>
          <w:rFonts w:ascii="Calibri Light" w:eastAsia="Calibri" w:hAnsi="Calibri Light" w:cs="Calibri Light"/>
          <w:sz w:val="23"/>
          <w:szCs w:val="23"/>
        </w:rPr>
        <w:t>with the aim of</w:t>
      </w:r>
      <w:r w:rsidRPr="00DD331C">
        <w:rPr>
          <w:rFonts w:ascii="Calibri Light" w:eastAsia="Calibri" w:hAnsi="Calibri Light" w:cs="Calibri Light"/>
          <w:sz w:val="23"/>
          <w:szCs w:val="23"/>
        </w:rPr>
        <w:t xml:space="preserve"> ensur</w:t>
      </w:r>
      <w:r w:rsidR="00B625CC">
        <w:rPr>
          <w:rFonts w:ascii="Calibri Light" w:eastAsia="Calibri" w:hAnsi="Calibri Light" w:cs="Calibri Light"/>
          <w:sz w:val="23"/>
          <w:szCs w:val="23"/>
        </w:rPr>
        <w:t>ing</w:t>
      </w:r>
      <w:r w:rsidRPr="00DD331C">
        <w:rPr>
          <w:rFonts w:ascii="Calibri Light" w:eastAsia="Calibri" w:hAnsi="Calibri Light" w:cs="Calibri Light"/>
          <w:sz w:val="23"/>
          <w:szCs w:val="23"/>
        </w:rPr>
        <w:t xml:space="preserve"> a united political voice in developing and promoting </w:t>
      </w:r>
      <w:r w:rsidR="00B625CC">
        <w:rPr>
          <w:rFonts w:ascii="Calibri Light" w:eastAsia="Calibri" w:hAnsi="Calibri Light" w:cs="Calibri Light"/>
          <w:sz w:val="23"/>
          <w:szCs w:val="23"/>
        </w:rPr>
        <w:t xml:space="preserve">agreed </w:t>
      </w:r>
      <w:r w:rsidRPr="00DD331C">
        <w:rPr>
          <w:rFonts w:ascii="Calibri Light" w:eastAsia="Calibri" w:hAnsi="Calibri Light" w:cs="Calibri Light"/>
          <w:sz w:val="23"/>
          <w:szCs w:val="23"/>
        </w:rPr>
        <w:t>initiatives locally.</w:t>
      </w:r>
    </w:p>
    <w:p w14:paraId="1CC97ECF" w14:textId="685E7993" w:rsidR="00F00E3D" w:rsidRPr="00DD331C" w:rsidRDefault="00B625CC" w:rsidP="00B625CC">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 xml:space="preserve">The </w:t>
      </w:r>
      <w:r w:rsidR="00F00E3D" w:rsidRPr="00DD331C">
        <w:rPr>
          <w:rFonts w:ascii="Calibri Light" w:eastAsia="Calibri" w:hAnsi="Calibri Light" w:cs="Calibri Light"/>
          <w:sz w:val="23"/>
          <w:szCs w:val="23"/>
        </w:rPr>
        <w:t xml:space="preserve">Greater Geelong </w:t>
      </w:r>
      <w:r>
        <w:rPr>
          <w:rFonts w:ascii="Calibri Light" w:eastAsia="Calibri" w:hAnsi="Calibri Light" w:cs="Calibri Light"/>
          <w:sz w:val="23"/>
          <w:szCs w:val="23"/>
        </w:rPr>
        <w:t xml:space="preserve">area </w:t>
      </w:r>
      <w:r w:rsidR="00F00E3D" w:rsidRPr="00DD331C">
        <w:rPr>
          <w:rFonts w:ascii="Calibri Light" w:eastAsia="Calibri" w:hAnsi="Calibri Light" w:cs="Calibri Light"/>
          <w:sz w:val="23"/>
          <w:szCs w:val="23"/>
        </w:rPr>
        <w:t xml:space="preserve">escaped the worst of Melbourne’s second </w:t>
      </w:r>
      <w:r>
        <w:rPr>
          <w:rFonts w:ascii="Calibri Light" w:eastAsia="Calibri" w:hAnsi="Calibri Light" w:cs="Calibri Light"/>
          <w:sz w:val="23"/>
          <w:szCs w:val="23"/>
        </w:rPr>
        <w:t xml:space="preserve">COVID-19 </w:t>
      </w:r>
      <w:r w:rsidR="00F00E3D" w:rsidRPr="00DD331C">
        <w:rPr>
          <w:rFonts w:ascii="Calibri Light" w:eastAsia="Calibri" w:hAnsi="Calibri Light" w:cs="Calibri Light"/>
          <w:sz w:val="23"/>
          <w:szCs w:val="23"/>
        </w:rPr>
        <w:t xml:space="preserve">wave. Greater Geelong reported active cases of </w:t>
      </w:r>
      <w:r w:rsidR="00940D80">
        <w:rPr>
          <w:rFonts w:ascii="Calibri Light" w:eastAsia="Calibri" w:hAnsi="Calibri Light" w:cs="Calibri Light"/>
          <w:sz w:val="23"/>
          <w:szCs w:val="23"/>
        </w:rPr>
        <w:t>COVID</w:t>
      </w:r>
      <w:r w:rsidR="00F00E3D" w:rsidRPr="00DD331C">
        <w:rPr>
          <w:rFonts w:ascii="Calibri Light" w:eastAsia="Calibri" w:hAnsi="Calibri Light" w:cs="Calibri Light"/>
          <w:sz w:val="23"/>
          <w:szCs w:val="23"/>
        </w:rPr>
        <w:t xml:space="preserve">-19 by </w:t>
      </w:r>
      <w:proofErr w:type="gramStart"/>
      <w:r w:rsidR="00F00E3D" w:rsidRPr="00DD331C">
        <w:rPr>
          <w:rFonts w:ascii="Calibri Light" w:eastAsia="Calibri" w:hAnsi="Calibri Light" w:cs="Calibri Light"/>
          <w:sz w:val="23"/>
          <w:szCs w:val="23"/>
        </w:rPr>
        <w:t>May 2020</w:t>
      </w:r>
      <w:r>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but</w:t>
      </w:r>
      <w:proofErr w:type="gramEnd"/>
      <w:r w:rsidR="00F00E3D" w:rsidRPr="00DD331C">
        <w:rPr>
          <w:rFonts w:ascii="Calibri Light" w:eastAsia="Calibri" w:hAnsi="Calibri Light" w:cs="Calibri Light"/>
          <w:sz w:val="23"/>
          <w:szCs w:val="23"/>
        </w:rPr>
        <w:t xml:space="preserve"> was </w:t>
      </w:r>
      <w:r w:rsidR="00940D80">
        <w:rPr>
          <w:rFonts w:ascii="Calibri Light" w:eastAsia="Calibri" w:hAnsi="Calibri Light" w:cs="Calibri Light"/>
          <w:sz w:val="23"/>
          <w:szCs w:val="23"/>
        </w:rPr>
        <w:t>COVID</w:t>
      </w:r>
      <w:r w:rsidR="00F00E3D" w:rsidRPr="00DD331C">
        <w:rPr>
          <w:rFonts w:ascii="Calibri Light" w:eastAsia="Calibri" w:hAnsi="Calibri Light" w:cs="Calibri Light"/>
          <w:sz w:val="23"/>
          <w:szCs w:val="23"/>
        </w:rPr>
        <w:t xml:space="preserve">-free by October and remained under Stage 3 </w:t>
      </w:r>
      <w:r>
        <w:rPr>
          <w:rFonts w:ascii="Calibri Light" w:eastAsia="Calibri" w:hAnsi="Calibri Light" w:cs="Calibri Light"/>
          <w:sz w:val="23"/>
          <w:szCs w:val="23"/>
        </w:rPr>
        <w:t xml:space="preserve">restrictions, </w:t>
      </w:r>
      <w:r w:rsidR="00F00E3D" w:rsidRPr="00DD331C">
        <w:rPr>
          <w:rFonts w:ascii="Calibri Light" w:eastAsia="Calibri" w:hAnsi="Calibri Light" w:cs="Calibri Light"/>
          <w:sz w:val="23"/>
          <w:szCs w:val="23"/>
        </w:rPr>
        <w:t>rather than progress</w:t>
      </w:r>
      <w:r>
        <w:rPr>
          <w:rFonts w:ascii="Calibri Light" w:eastAsia="Calibri" w:hAnsi="Calibri Light" w:cs="Calibri Light"/>
          <w:sz w:val="23"/>
          <w:szCs w:val="23"/>
        </w:rPr>
        <w:t>ing</w:t>
      </w:r>
      <w:r w:rsidR="00F00E3D" w:rsidRPr="00DD331C">
        <w:rPr>
          <w:rFonts w:ascii="Calibri Light" w:eastAsia="Calibri" w:hAnsi="Calibri Light" w:cs="Calibri Light"/>
          <w:sz w:val="23"/>
          <w:szCs w:val="23"/>
        </w:rPr>
        <w:t xml:space="preserve"> to Stage 4.</w:t>
      </w:r>
    </w:p>
    <w:p w14:paraId="79128305" w14:textId="52FD34EF" w:rsidR="00F00E3D" w:rsidRPr="003710F5" w:rsidRDefault="00351098" w:rsidP="00086F0E">
      <w:pPr>
        <w:spacing w:after="0" w:line="276" w:lineRule="auto"/>
        <w:rPr>
          <w:rFonts w:eastAsia="Calibri" w:cstheme="minorHAnsi"/>
          <w:b/>
          <w:color w:val="2F5496" w:themeColor="accent1" w:themeShade="BF"/>
          <w:sz w:val="25"/>
          <w:szCs w:val="25"/>
        </w:rPr>
      </w:pPr>
      <w:r w:rsidRPr="003710F5">
        <w:rPr>
          <w:rFonts w:eastAsia="Calibri" w:cstheme="minorHAnsi"/>
          <w:b/>
          <w:color w:val="2F5496" w:themeColor="accent1" w:themeShade="BF"/>
          <w:sz w:val="25"/>
          <w:szCs w:val="25"/>
        </w:rPr>
        <w:t xml:space="preserve">6.3.5 </w:t>
      </w:r>
      <w:r w:rsidR="00F00E3D" w:rsidRPr="003710F5">
        <w:rPr>
          <w:rFonts w:eastAsia="Calibri" w:cstheme="minorHAnsi"/>
          <w:b/>
          <w:color w:val="2F5496" w:themeColor="accent1" w:themeShade="BF"/>
          <w:sz w:val="25"/>
          <w:szCs w:val="25"/>
        </w:rPr>
        <w:t>Population Movements into the Region</w:t>
      </w:r>
    </w:p>
    <w:p w14:paraId="56E4A823" w14:textId="77777777" w:rsidR="00147CA8" w:rsidRPr="0033390D" w:rsidRDefault="00147CA8" w:rsidP="00086F0E">
      <w:pPr>
        <w:spacing w:after="0" w:line="276" w:lineRule="auto"/>
        <w:rPr>
          <w:rFonts w:eastAsia="Calibri" w:cstheme="minorHAnsi"/>
          <w:b/>
          <w:sz w:val="12"/>
          <w:szCs w:val="12"/>
        </w:rPr>
      </w:pPr>
    </w:p>
    <w:p w14:paraId="56393D04" w14:textId="41D11D96" w:rsidR="00F00E3D" w:rsidRPr="00DD331C" w:rsidRDefault="00F00E3D" w:rsidP="00086F0E">
      <w:pPr>
        <w:spacing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Realestate.com.au monitors levels of interest and sales across the nation and is therefore a sensitive register of the Australian and regional property market. For the period May 2017–2020, strong house price growth was recorded in regional areas</w:t>
      </w:r>
      <w:r w:rsidR="00B625CC">
        <w:rPr>
          <w:rFonts w:ascii="Calibri Light" w:eastAsia="Calibri" w:hAnsi="Calibri Light" w:cs="Calibri Light"/>
          <w:sz w:val="23"/>
          <w:szCs w:val="23"/>
        </w:rPr>
        <w:t xml:space="preserve">. </w:t>
      </w:r>
      <w:r w:rsidRPr="00DD331C">
        <w:rPr>
          <w:rFonts w:ascii="Calibri Light" w:eastAsia="Calibri" w:hAnsi="Calibri Light" w:cs="Calibri Light"/>
          <w:sz w:val="23"/>
          <w:szCs w:val="23"/>
        </w:rPr>
        <w:t xml:space="preserve">Geelong </w:t>
      </w:r>
      <w:r w:rsidR="00B625CC">
        <w:rPr>
          <w:rFonts w:ascii="Calibri Light" w:eastAsia="Calibri" w:hAnsi="Calibri Light" w:cs="Calibri Light"/>
          <w:sz w:val="23"/>
          <w:szCs w:val="23"/>
        </w:rPr>
        <w:t xml:space="preserve">had </w:t>
      </w:r>
      <w:r w:rsidRPr="00DD331C">
        <w:rPr>
          <w:rFonts w:ascii="Calibri Light" w:eastAsia="Calibri" w:hAnsi="Calibri Light" w:cs="Calibri Light"/>
          <w:sz w:val="23"/>
          <w:szCs w:val="23"/>
        </w:rPr>
        <w:t xml:space="preserve">one of the highest </w:t>
      </w:r>
      <w:r w:rsidR="00B625CC">
        <w:rPr>
          <w:rFonts w:ascii="Calibri Light" w:eastAsia="Calibri" w:hAnsi="Calibri Light" w:cs="Calibri Light"/>
          <w:sz w:val="23"/>
          <w:szCs w:val="23"/>
        </w:rPr>
        <w:t xml:space="preserve">growth rates, </w:t>
      </w:r>
      <w:r w:rsidRPr="00DD331C">
        <w:rPr>
          <w:rFonts w:ascii="Calibri Light" w:eastAsia="Calibri" w:hAnsi="Calibri Light" w:cs="Calibri Light"/>
          <w:sz w:val="23"/>
          <w:szCs w:val="23"/>
        </w:rPr>
        <w:t xml:space="preserve">at 18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especially the suburb of Newtown</w:t>
      </w:r>
      <w:r w:rsidR="00B625CC">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w:t>
      </w:r>
      <w:r w:rsidR="00B625CC">
        <w:rPr>
          <w:rFonts w:ascii="Calibri Light" w:eastAsia="Calibri" w:hAnsi="Calibri Light" w:cs="Calibri Light"/>
          <w:sz w:val="23"/>
          <w:szCs w:val="23"/>
        </w:rPr>
        <w:t>For comparison,</w:t>
      </w:r>
      <w:r w:rsidRPr="00DD331C">
        <w:rPr>
          <w:rFonts w:ascii="Calibri Light" w:eastAsia="Calibri" w:hAnsi="Calibri Light" w:cs="Calibri Light"/>
          <w:sz w:val="23"/>
          <w:szCs w:val="23"/>
        </w:rPr>
        <w:t xml:space="preserve"> Launceston/North East Tasmania </w:t>
      </w:r>
      <w:r w:rsidR="00B625CC">
        <w:rPr>
          <w:rFonts w:ascii="Calibri Light" w:eastAsia="Calibri" w:hAnsi="Calibri Light" w:cs="Calibri Light"/>
          <w:sz w:val="23"/>
          <w:szCs w:val="23"/>
        </w:rPr>
        <w:t>recorded the</w:t>
      </w:r>
      <w:r w:rsidRPr="00DD331C">
        <w:rPr>
          <w:rFonts w:ascii="Calibri Light" w:eastAsia="Calibri" w:hAnsi="Calibri Light" w:cs="Calibri Light"/>
          <w:sz w:val="23"/>
          <w:szCs w:val="23"/>
        </w:rPr>
        <w:t xml:space="preserve"> highest</w:t>
      </w:r>
      <w:r w:rsidR="00B625CC">
        <w:rPr>
          <w:rFonts w:ascii="Calibri Light" w:eastAsia="Calibri" w:hAnsi="Calibri Light" w:cs="Calibri Light"/>
          <w:sz w:val="23"/>
          <w:szCs w:val="23"/>
        </w:rPr>
        <w:t xml:space="preserve"> rise</w:t>
      </w:r>
      <w:r w:rsidRPr="00DD331C">
        <w:rPr>
          <w:rFonts w:ascii="Calibri Light" w:eastAsia="Calibri" w:hAnsi="Calibri Light" w:cs="Calibri Light"/>
          <w:sz w:val="23"/>
          <w:szCs w:val="23"/>
        </w:rPr>
        <w:t xml:space="preserve"> at 30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Hobart</w:t>
      </w:r>
      <w:r w:rsidR="00B625CC">
        <w:rPr>
          <w:rFonts w:ascii="Calibri Light" w:eastAsia="Calibri" w:hAnsi="Calibri Light" w:cs="Calibri Light"/>
          <w:sz w:val="23"/>
          <w:szCs w:val="23"/>
        </w:rPr>
        <w:t xml:space="preserve"> was</w:t>
      </w:r>
      <w:r w:rsidRPr="00DD331C">
        <w:rPr>
          <w:rFonts w:ascii="Calibri Light" w:eastAsia="Calibri" w:hAnsi="Calibri Light" w:cs="Calibri Light"/>
          <w:sz w:val="23"/>
          <w:szCs w:val="23"/>
        </w:rPr>
        <w:t xml:space="preserve"> at 29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Ballarat at 28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La Trobe/Gippsland at 25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and Bendigo at 17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(Conisbee, 2020).</w:t>
      </w:r>
    </w:p>
    <w:p w14:paraId="6CE6B95D" w14:textId="77777777" w:rsidR="00F00E3D" w:rsidRPr="0033390D" w:rsidRDefault="00F00E3D" w:rsidP="00086F0E">
      <w:pPr>
        <w:spacing w:after="0" w:line="276" w:lineRule="auto"/>
        <w:rPr>
          <w:rFonts w:ascii="Calibri Light" w:eastAsia="Calibri" w:hAnsi="Calibri Light" w:cs="Calibri Light"/>
          <w:sz w:val="12"/>
          <w:szCs w:val="12"/>
        </w:rPr>
      </w:pPr>
    </w:p>
    <w:p w14:paraId="6A6208BD" w14:textId="79579ED2" w:rsidR="00F00E3D" w:rsidRDefault="00F00E3D" w:rsidP="00086F0E">
      <w:pPr>
        <w:spacing w:after="0"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 xml:space="preserve">After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-19 hit</w:t>
      </w:r>
      <w:r w:rsidR="00A930AA">
        <w:rPr>
          <w:rFonts w:ascii="Calibri Light" w:eastAsia="Calibri" w:hAnsi="Calibri Light" w:cs="Calibri Light"/>
          <w:sz w:val="23"/>
          <w:szCs w:val="23"/>
        </w:rPr>
        <w:t xml:space="preserve"> Victoria</w:t>
      </w:r>
      <w:r w:rsidRPr="00DD331C">
        <w:rPr>
          <w:rFonts w:ascii="Calibri Light" w:eastAsia="Calibri" w:hAnsi="Calibri Light" w:cs="Calibri Light"/>
          <w:sz w:val="23"/>
          <w:szCs w:val="23"/>
        </w:rPr>
        <w:t>, there was a further surge in demand</w:t>
      </w:r>
      <w:r w:rsidR="00B625CC">
        <w:rPr>
          <w:rFonts w:ascii="Calibri Light" w:eastAsia="Calibri" w:hAnsi="Calibri Light" w:cs="Calibri Light"/>
          <w:sz w:val="23"/>
          <w:szCs w:val="23"/>
        </w:rPr>
        <w:t xml:space="preserve"> for residential property in regional areas</w:t>
      </w:r>
      <w:r w:rsidRPr="00DD331C">
        <w:rPr>
          <w:rFonts w:ascii="Calibri Light" w:eastAsia="Calibri" w:hAnsi="Calibri Light" w:cs="Calibri Light"/>
          <w:sz w:val="23"/>
          <w:szCs w:val="23"/>
        </w:rPr>
        <w:t xml:space="preserve">, with enquiries about regional Victoria increasing by 22 </w:t>
      </w:r>
      <w:r w:rsidR="00065A1B">
        <w:rPr>
          <w:rFonts w:ascii="Calibri Light" w:eastAsia="Calibri" w:hAnsi="Calibri Light" w:cs="Calibri Light"/>
          <w:sz w:val="23"/>
          <w:szCs w:val="23"/>
        </w:rPr>
        <w:t>percent</w:t>
      </w:r>
      <w:r w:rsidRPr="00DD331C">
        <w:rPr>
          <w:rFonts w:ascii="Calibri Light" w:eastAsia="Calibri" w:hAnsi="Calibri Light" w:cs="Calibri Light"/>
          <w:sz w:val="23"/>
          <w:szCs w:val="23"/>
        </w:rPr>
        <w:t xml:space="preserve"> as </w:t>
      </w:r>
      <w:r w:rsidR="00B625CC">
        <w:rPr>
          <w:rFonts w:ascii="Calibri Light" w:eastAsia="Calibri" w:hAnsi="Calibri Light" w:cs="Calibri Light"/>
          <w:sz w:val="23"/>
          <w:szCs w:val="23"/>
        </w:rPr>
        <w:t xml:space="preserve">city-dwellers </w:t>
      </w:r>
      <w:r w:rsidRPr="00DD331C">
        <w:rPr>
          <w:rFonts w:ascii="Calibri Light" w:eastAsia="Calibri" w:hAnsi="Calibri Light" w:cs="Calibri Light"/>
          <w:sz w:val="23"/>
          <w:szCs w:val="23"/>
        </w:rPr>
        <w:t xml:space="preserve">rejected </w:t>
      </w:r>
      <w:r w:rsidR="0033390D">
        <w:rPr>
          <w:rFonts w:ascii="Calibri Light" w:eastAsia="Calibri" w:hAnsi="Calibri Light" w:cs="Calibri Light"/>
          <w:sz w:val="23"/>
          <w:szCs w:val="23"/>
        </w:rPr>
        <w:t>small</w:t>
      </w:r>
      <w:r w:rsidRPr="00DD331C">
        <w:rPr>
          <w:rFonts w:ascii="Calibri Light" w:eastAsia="Calibri" w:hAnsi="Calibri Light" w:cs="Calibri Light"/>
          <w:sz w:val="23"/>
          <w:szCs w:val="23"/>
        </w:rPr>
        <w:t xml:space="preserve"> apartments in Melbourne, and </w:t>
      </w:r>
      <w:r w:rsidR="0033390D">
        <w:rPr>
          <w:rFonts w:ascii="Calibri Light" w:eastAsia="Calibri" w:hAnsi="Calibri Light" w:cs="Calibri Light"/>
          <w:sz w:val="23"/>
          <w:szCs w:val="23"/>
        </w:rPr>
        <w:t>new</w:t>
      </w:r>
      <w:r w:rsidRPr="00DD331C">
        <w:rPr>
          <w:rFonts w:ascii="Calibri Light" w:eastAsia="Calibri" w:hAnsi="Calibri Light" w:cs="Calibri Light"/>
          <w:sz w:val="23"/>
          <w:szCs w:val="23"/>
        </w:rPr>
        <w:t xml:space="preserve"> work patterns reduced the need to </w:t>
      </w:r>
      <w:r w:rsidR="00B625CC">
        <w:rPr>
          <w:rFonts w:ascii="Calibri Light" w:eastAsia="Calibri" w:hAnsi="Calibri Light" w:cs="Calibri Light"/>
          <w:sz w:val="23"/>
          <w:szCs w:val="23"/>
        </w:rPr>
        <w:t>live</w:t>
      </w:r>
      <w:r w:rsidRPr="00DD331C">
        <w:rPr>
          <w:rFonts w:ascii="Calibri Light" w:eastAsia="Calibri" w:hAnsi="Calibri Light" w:cs="Calibri Light"/>
          <w:sz w:val="23"/>
          <w:szCs w:val="23"/>
        </w:rPr>
        <w:t xml:space="preserve"> close to workplaces. </w:t>
      </w:r>
      <w:r w:rsidRPr="00B625CC">
        <w:rPr>
          <w:rFonts w:ascii="Calibri Light" w:eastAsia="Calibri" w:hAnsi="Calibri Light" w:cs="Calibri Light"/>
          <w:sz w:val="23"/>
          <w:szCs w:val="23"/>
        </w:rPr>
        <w:t>According to the Real Estate Institute, in 2020</w:t>
      </w:r>
      <w:r w:rsidRPr="00DD331C">
        <w:rPr>
          <w:rFonts w:ascii="Calibri Light" w:eastAsia="Calibri" w:hAnsi="Calibri Light" w:cs="Calibri Light"/>
          <w:sz w:val="23"/>
          <w:szCs w:val="23"/>
        </w:rPr>
        <w:t xml:space="preserve"> Geelong ranked second in frequency of areas viewed in website searches for domestic property </w:t>
      </w:r>
      <w:r w:rsidR="00B625CC">
        <w:rPr>
          <w:rFonts w:ascii="Calibri Light" w:eastAsia="Calibri" w:hAnsi="Calibri Light" w:cs="Calibri Light"/>
          <w:sz w:val="23"/>
          <w:szCs w:val="23"/>
        </w:rPr>
        <w:t xml:space="preserve">in Victoria </w:t>
      </w:r>
      <w:r w:rsidRPr="00DD331C">
        <w:rPr>
          <w:rFonts w:ascii="Calibri Light" w:eastAsia="Calibri" w:hAnsi="Calibri Light" w:cs="Calibri Light"/>
          <w:sz w:val="23"/>
          <w:szCs w:val="23"/>
        </w:rPr>
        <w:t xml:space="preserve">(after Mornington). Australia’s most in-demand regional suburbs </w:t>
      </w:r>
      <w:r w:rsidR="00B625CC">
        <w:rPr>
          <w:rFonts w:ascii="Calibri Light" w:eastAsia="Calibri" w:hAnsi="Calibri Light" w:cs="Calibri Light"/>
          <w:sz w:val="23"/>
          <w:szCs w:val="23"/>
        </w:rPr>
        <w:t xml:space="preserve">for prospective homebuyers </w:t>
      </w:r>
      <w:r w:rsidRPr="00DD331C">
        <w:rPr>
          <w:rFonts w:ascii="Calibri Light" w:eastAsia="Calibri" w:hAnsi="Calibri Light" w:cs="Calibri Light"/>
          <w:sz w:val="23"/>
          <w:szCs w:val="23"/>
        </w:rPr>
        <w:t xml:space="preserve">in the six months to May 2020 were </w:t>
      </w:r>
      <w:r w:rsidRPr="00DD331C">
        <w:rPr>
          <w:rFonts w:ascii="Calibri Light" w:eastAsia="Calibri" w:hAnsi="Calibri Light" w:cs="Calibri Light"/>
          <w:noProof/>
          <w:sz w:val="23"/>
          <w:szCs w:val="23"/>
        </w:rPr>
        <w:t>(Conisbee, 2020)</w:t>
      </w:r>
      <w:r w:rsidRPr="00DD331C">
        <w:rPr>
          <w:rFonts w:ascii="Calibri Light" w:eastAsia="Calibri" w:hAnsi="Calibri Light" w:cs="Calibri Light"/>
          <w:sz w:val="23"/>
          <w:szCs w:val="23"/>
        </w:rPr>
        <w:t>:</w:t>
      </w:r>
    </w:p>
    <w:p w14:paraId="6A361E12" w14:textId="77777777" w:rsidR="00B625CC" w:rsidRPr="00B625CC" w:rsidRDefault="00B625CC" w:rsidP="00086F0E">
      <w:pPr>
        <w:spacing w:after="0" w:line="276" w:lineRule="auto"/>
        <w:rPr>
          <w:rFonts w:ascii="Calibri Light" w:eastAsia="Calibri" w:hAnsi="Calibri Light" w:cs="Calibri Light"/>
          <w:sz w:val="12"/>
          <w:szCs w:val="12"/>
        </w:rPr>
      </w:pPr>
    </w:p>
    <w:p w14:paraId="4DF6207D" w14:textId="5FC9C558" w:rsidR="00F00E3D" w:rsidRPr="00DD331C" w:rsidRDefault="00F00E3D" w:rsidP="00364C5D">
      <w:pPr>
        <w:numPr>
          <w:ilvl w:val="0"/>
          <w:numId w:val="46"/>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 xml:space="preserve">Bangalow (NSW </w:t>
      </w:r>
      <w:r w:rsidR="00B625CC">
        <w:rPr>
          <w:rFonts w:ascii="Calibri Light" w:eastAsia="Calibri" w:hAnsi="Calibri Light" w:cs="Calibri Light"/>
          <w:sz w:val="23"/>
          <w:szCs w:val="23"/>
        </w:rPr>
        <w:t>N</w:t>
      </w:r>
      <w:r w:rsidRPr="00DD331C">
        <w:rPr>
          <w:rFonts w:ascii="Calibri Light" w:eastAsia="Calibri" w:hAnsi="Calibri Light" w:cs="Calibri Light"/>
          <w:sz w:val="23"/>
          <w:szCs w:val="23"/>
        </w:rPr>
        <w:t xml:space="preserve">orth </w:t>
      </w:r>
      <w:r w:rsidR="00B625CC">
        <w:rPr>
          <w:rFonts w:ascii="Calibri Light" w:eastAsia="Calibri" w:hAnsi="Calibri Light" w:cs="Calibri Light"/>
          <w:sz w:val="23"/>
          <w:szCs w:val="23"/>
        </w:rPr>
        <w:t>C</w:t>
      </w:r>
      <w:r w:rsidRPr="00DD331C">
        <w:rPr>
          <w:rFonts w:ascii="Calibri Light" w:eastAsia="Calibri" w:hAnsi="Calibri Light" w:cs="Calibri Light"/>
          <w:sz w:val="23"/>
          <w:szCs w:val="23"/>
        </w:rPr>
        <w:t>oast, adjacent to Byron Bay)</w:t>
      </w:r>
    </w:p>
    <w:p w14:paraId="76492F7A" w14:textId="0777A73B" w:rsidR="00F00E3D" w:rsidRPr="00DD331C" w:rsidRDefault="00F00E3D" w:rsidP="00364C5D">
      <w:pPr>
        <w:numPr>
          <w:ilvl w:val="0"/>
          <w:numId w:val="46"/>
        </w:numPr>
        <w:spacing w:line="276" w:lineRule="auto"/>
        <w:contextualSpacing/>
        <w:rPr>
          <w:rFonts w:ascii="Calibri Light" w:eastAsia="Calibri" w:hAnsi="Calibri Light" w:cs="Calibri Light"/>
          <w:sz w:val="23"/>
          <w:szCs w:val="23"/>
        </w:rPr>
      </w:pPr>
      <w:proofErr w:type="spellStart"/>
      <w:r w:rsidRPr="00DD331C">
        <w:rPr>
          <w:rFonts w:ascii="Calibri Light" w:eastAsia="Calibri" w:hAnsi="Calibri Light" w:cs="Calibri Light"/>
          <w:sz w:val="23"/>
          <w:szCs w:val="23"/>
        </w:rPr>
        <w:t>Thirrourl</w:t>
      </w:r>
      <w:proofErr w:type="spellEnd"/>
      <w:r w:rsidRPr="00DD331C">
        <w:rPr>
          <w:rFonts w:ascii="Calibri Light" w:eastAsia="Calibri" w:hAnsi="Calibri Light" w:cs="Calibri Light"/>
          <w:sz w:val="23"/>
          <w:szCs w:val="23"/>
        </w:rPr>
        <w:t xml:space="preserve"> (NSW </w:t>
      </w:r>
      <w:r w:rsidR="00486CBF">
        <w:rPr>
          <w:rFonts w:ascii="Calibri Light" w:eastAsia="Calibri" w:hAnsi="Calibri Light" w:cs="Calibri Light"/>
          <w:sz w:val="23"/>
          <w:szCs w:val="23"/>
        </w:rPr>
        <w:t>S</w:t>
      </w:r>
      <w:r w:rsidRPr="00DD331C">
        <w:rPr>
          <w:rFonts w:ascii="Calibri Light" w:eastAsia="Calibri" w:hAnsi="Calibri Light" w:cs="Calibri Light"/>
          <w:sz w:val="23"/>
          <w:szCs w:val="23"/>
        </w:rPr>
        <w:t xml:space="preserve">outh </w:t>
      </w:r>
      <w:r w:rsidR="00B625CC">
        <w:rPr>
          <w:rFonts w:ascii="Calibri Light" w:eastAsia="Calibri" w:hAnsi="Calibri Light" w:cs="Calibri Light"/>
          <w:sz w:val="23"/>
          <w:szCs w:val="23"/>
        </w:rPr>
        <w:t>C</w:t>
      </w:r>
      <w:r w:rsidRPr="00DD331C">
        <w:rPr>
          <w:rFonts w:ascii="Calibri Light" w:eastAsia="Calibri" w:hAnsi="Calibri Light" w:cs="Calibri Light"/>
          <w:sz w:val="23"/>
          <w:szCs w:val="23"/>
        </w:rPr>
        <w:t xml:space="preserve">oast, close to Wollongong and within commuting distance </w:t>
      </w:r>
      <w:r w:rsidR="00486CBF">
        <w:rPr>
          <w:rFonts w:ascii="Calibri Light" w:eastAsia="Calibri" w:hAnsi="Calibri Light" w:cs="Calibri Light"/>
          <w:sz w:val="23"/>
          <w:szCs w:val="23"/>
        </w:rPr>
        <w:t>of</w:t>
      </w:r>
      <w:r w:rsidRPr="00DD331C">
        <w:rPr>
          <w:rFonts w:ascii="Calibri Light" w:eastAsia="Calibri" w:hAnsi="Calibri Light" w:cs="Calibri Light"/>
          <w:sz w:val="23"/>
          <w:szCs w:val="23"/>
        </w:rPr>
        <w:t xml:space="preserve"> Sydney)</w:t>
      </w:r>
    </w:p>
    <w:p w14:paraId="70AF53E1" w14:textId="3DB54C4F" w:rsidR="00F00E3D" w:rsidRPr="00DD331C" w:rsidRDefault="00F00E3D" w:rsidP="00364C5D">
      <w:pPr>
        <w:numPr>
          <w:ilvl w:val="0"/>
          <w:numId w:val="46"/>
        </w:numPr>
        <w:spacing w:line="276" w:lineRule="auto"/>
        <w:contextualSpacing/>
        <w:rPr>
          <w:rFonts w:ascii="Calibri Light" w:eastAsia="Calibri" w:hAnsi="Calibri Light" w:cs="Calibri Light"/>
          <w:sz w:val="23"/>
          <w:szCs w:val="23"/>
        </w:rPr>
      </w:pPr>
      <w:proofErr w:type="spellStart"/>
      <w:r w:rsidRPr="00DD331C">
        <w:rPr>
          <w:rFonts w:ascii="Calibri Light" w:eastAsia="Calibri" w:hAnsi="Calibri Light" w:cs="Calibri Light"/>
          <w:sz w:val="23"/>
          <w:szCs w:val="23"/>
        </w:rPr>
        <w:t>Woomona</w:t>
      </w:r>
      <w:proofErr w:type="spellEnd"/>
      <w:r w:rsidRPr="00DD331C">
        <w:rPr>
          <w:rFonts w:ascii="Calibri Light" w:eastAsia="Calibri" w:hAnsi="Calibri Light" w:cs="Calibri Light"/>
          <w:sz w:val="23"/>
          <w:szCs w:val="23"/>
        </w:rPr>
        <w:t xml:space="preserve"> (NSW South Coast, close to Wollongong</w:t>
      </w:r>
      <w:r w:rsidR="00486CBF">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and</w:t>
      </w:r>
      <w:r w:rsidR="00486CBF">
        <w:rPr>
          <w:rFonts w:ascii="Calibri Light" w:eastAsia="Calibri" w:hAnsi="Calibri Light" w:cs="Calibri Light"/>
          <w:sz w:val="23"/>
          <w:szCs w:val="23"/>
        </w:rPr>
        <w:t xml:space="preserve"> within</w:t>
      </w:r>
      <w:r w:rsidRPr="00DD331C">
        <w:rPr>
          <w:rFonts w:ascii="Calibri Light" w:eastAsia="Calibri" w:hAnsi="Calibri Light" w:cs="Calibri Light"/>
          <w:sz w:val="23"/>
          <w:szCs w:val="23"/>
        </w:rPr>
        <w:t xml:space="preserve"> commuting distance </w:t>
      </w:r>
      <w:r w:rsidR="00486CBF">
        <w:rPr>
          <w:rFonts w:ascii="Calibri Light" w:eastAsia="Calibri" w:hAnsi="Calibri Light" w:cs="Calibri Light"/>
          <w:sz w:val="23"/>
          <w:szCs w:val="23"/>
        </w:rPr>
        <w:t>of</w:t>
      </w:r>
      <w:r w:rsidRPr="00DD331C">
        <w:rPr>
          <w:rFonts w:ascii="Calibri Light" w:eastAsia="Calibri" w:hAnsi="Calibri Light" w:cs="Calibri Light"/>
          <w:sz w:val="23"/>
          <w:szCs w:val="23"/>
        </w:rPr>
        <w:t xml:space="preserve"> Sydney)</w:t>
      </w:r>
    </w:p>
    <w:p w14:paraId="1131C29F" w14:textId="77777777" w:rsidR="00F00E3D" w:rsidRPr="000E4F0A" w:rsidRDefault="00F00E3D" w:rsidP="00364C5D">
      <w:pPr>
        <w:numPr>
          <w:ilvl w:val="0"/>
          <w:numId w:val="46"/>
        </w:numPr>
        <w:spacing w:line="276" w:lineRule="auto"/>
        <w:contextualSpacing/>
        <w:rPr>
          <w:rFonts w:eastAsia="Calibri" w:cstheme="minorHAnsi"/>
          <w:b/>
          <w:bCs/>
          <w:sz w:val="23"/>
          <w:szCs w:val="23"/>
        </w:rPr>
      </w:pPr>
      <w:r w:rsidRPr="000E4F0A">
        <w:rPr>
          <w:rFonts w:eastAsia="Calibri" w:cstheme="minorHAnsi"/>
          <w:b/>
          <w:bCs/>
          <w:sz w:val="23"/>
          <w:szCs w:val="23"/>
        </w:rPr>
        <w:t>Geelong West</w:t>
      </w:r>
    </w:p>
    <w:p w14:paraId="3D04062F" w14:textId="77777777" w:rsidR="00F00E3D" w:rsidRPr="000E4F0A" w:rsidRDefault="00F00E3D" w:rsidP="00364C5D">
      <w:pPr>
        <w:numPr>
          <w:ilvl w:val="0"/>
          <w:numId w:val="46"/>
        </w:numPr>
        <w:spacing w:line="276" w:lineRule="auto"/>
        <w:contextualSpacing/>
        <w:rPr>
          <w:rFonts w:eastAsia="Calibri" w:cstheme="minorHAnsi"/>
          <w:b/>
          <w:bCs/>
          <w:sz w:val="23"/>
          <w:szCs w:val="23"/>
        </w:rPr>
      </w:pPr>
      <w:r w:rsidRPr="000E4F0A">
        <w:rPr>
          <w:rFonts w:eastAsia="Calibri" w:cstheme="minorHAnsi"/>
          <w:b/>
          <w:bCs/>
          <w:sz w:val="23"/>
          <w:szCs w:val="23"/>
        </w:rPr>
        <w:t>Belmont</w:t>
      </w:r>
    </w:p>
    <w:p w14:paraId="4929F9B8" w14:textId="6A77171A" w:rsidR="0033390D" w:rsidRPr="0033390D" w:rsidRDefault="00F00E3D" w:rsidP="00364C5D">
      <w:pPr>
        <w:numPr>
          <w:ilvl w:val="0"/>
          <w:numId w:val="46"/>
        </w:numPr>
        <w:spacing w:line="276" w:lineRule="auto"/>
        <w:contextualSpacing/>
        <w:rPr>
          <w:rFonts w:ascii="Calibri Light" w:eastAsia="Calibri" w:hAnsi="Calibri Light" w:cs="Calibri Light"/>
          <w:b/>
          <w:bCs/>
          <w:sz w:val="23"/>
          <w:szCs w:val="23"/>
        </w:rPr>
      </w:pPr>
      <w:r w:rsidRPr="000E4F0A">
        <w:rPr>
          <w:rFonts w:eastAsia="Calibri" w:cstheme="minorHAnsi"/>
          <w:b/>
          <w:bCs/>
          <w:sz w:val="23"/>
          <w:szCs w:val="23"/>
        </w:rPr>
        <w:t>Jan Juc</w:t>
      </w:r>
      <w:r w:rsidR="0033390D" w:rsidRPr="0033390D">
        <w:rPr>
          <w:rFonts w:ascii="Calibri Light" w:eastAsia="Calibri" w:hAnsi="Calibri Light" w:cs="Calibri Light"/>
          <w:b/>
          <w:bCs/>
          <w:sz w:val="23"/>
          <w:szCs w:val="23"/>
        </w:rPr>
        <w:br w:type="page"/>
      </w:r>
    </w:p>
    <w:p w14:paraId="632C972C" w14:textId="68E1E3B5" w:rsidR="00F00E3D" w:rsidRPr="00DD331C" w:rsidRDefault="006E70A0" w:rsidP="009B2FA7">
      <w:pPr>
        <w:spacing w:after="0" w:line="276" w:lineRule="auto"/>
        <w:rPr>
          <w:rFonts w:ascii="Calibri Light" w:eastAsia="Calibri" w:hAnsi="Calibri Light" w:cs="Calibri Light"/>
          <w:sz w:val="23"/>
          <w:szCs w:val="23"/>
        </w:rPr>
      </w:pPr>
      <w:r>
        <w:rPr>
          <w:rFonts w:ascii="Calibri Light" w:eastAsia="Calibri" w:hAnsi="Calibri Light" w:cs="Calibri Light"/>
          <w:sz w:val="23"/>
          <w:szCs w:val="23"/>
        </w:rPr>
        <w:lastRenderedPageBreak/>
        <w:t xml:space="preserve">In a 2020 report, population </w:t>
      </w:r>
      <w:r w:rsidR="00486CBF">
        <w:rPr>
          <w:rFonts w:ascii="Calibri Light" w:eastAsia="Calibri" w:hAnsi="Calibri Light" w:cs="Calibri Light"/>
          <w:sz w:val="23"/>
          <w:szCs w:val="23"/>
        </w:rPr>
        <w:t>consultancy</w:t>
      </w:r>
      <w:r>
        <w:rPr>
          <w:rFonts w:ascii="Calibri Light" w:eastAsia="Calibri" w:hAnsi="Calibri Light" w:cs="Calibri Light"/>
          <w:sz w:val="23"/>
          <w:szCs w:val="23"/>
        </w:rPr>
        <w:t xml:space="preserve"> firm</w:t>
      </w:r>
      <w:r w:rsidR="00486CBF">
        <w:rPr>
          <w:rFonts w:ascii="Calibri Light" w:eastAsia="Calibri" w:hAnsi="Calibri Light" w:cs="Calibri Light"/>
          <w:sz w:val="23"/>
          <w:szCs w:val="23"/>
        </w:rPr>
        <w:t xml:space="preserve"> .id </w:t>
      </w:r>
      <w:r w:rsidR="00F00E3D" w:rsidRPr="0063738D">
        <w:rPr>
          <w:rFonts w:ascii="Calibri Light" w:eastAsia="Calibri" w:hAnsi="Calibri Light" w:cs="Calibri Light"/>
          <w:sz w:val="23"/>
          <w:szCs w:val="23"/>
        </w:rPr>
        <w:t>considered</w:t>
      </w:r>
      <w:r w:rsidR="00F00E3D" w:rsidRPr="00DD331C">
        <w:rPr>
          <w:rFonts w:ascii="Calibri Light" w:eastAsia="Calibri" w:hAnsi="Calibri Light" w:cs="Calibri Light"/>
          <w:sz w:val="23"/>
          <w:szCs w:val="23"/>
        </w:rPr>
        <w:t xml:space="preserve"> the impact of </w:t>
      </w:r>
      <w:r w:rsidR="00940D80">
        <w:rPr>
          <w:rFonts w:ascii="Calibri Light" w:eastAsia="Calibri" w:hAnsi="Calibri Light" w:cs="Calibri Light"/>
          <w:sz w:val="23"/>
          <w:szCs w:val="23"/>
        </w:rPr>
        <w:t>COVID</w:t>
      </w:r>
      <w:r w:rsidR="00F00E3D" w:rsidRPr="00DD331C">
        <w:rPr>
          <w:rFonts w:ascii="Calibri Light" w:eastAsia="Calibri" w:hAnsi="Calibri Light" w:cs="Calibri Light"/>
          <w:sz w:val="23"/>
          <w:szCs w:val="23"/>
        </w:rPr>
        <w:t>-19 on population growth in Greater Geelong</w:t>
      </w:r>
      <w:r>
        <w:rPr>
          <w:rFonts w:ascii="Calibri Light" w:eastAsia="Calibri" w:hAnsi="Calibri Light" w:cs="Calibri Light"/>
          <w:sz w:val="23"/>
          <w:szCs w:val="23"/>
        </w:rPr>
        <w:t>. The study noted many</w:t>
      </w:r>
      <w:r w:rsidR="00F00E3D" w:rsidRPr="00DD331C">
        <w:rPr>
          <w:rFonts w:ascii="Calibri Light" w:eastAsia="Calibri" w:hAnsi="Calibri Light" w:cs="Calibri Light"/>
          <w:sz w:val="23"/>
          <w:szCs w:val="23"/>
        </w:rPr>
        <w:t xml:space="preserve"> negatives</w:t>
      </w:r>
      <w:r>
        <w:rPr>
          <w:rFonts w:ascii="Calibri Light" w:eastAsia="Calibri" w:hAnsi="Calibri Light" w:cs="Calibri Light"/>
          <w:sz w:val="23"/>
          <w:szCs w:val="23"/>
        </w:rPr>
        <w:t>, particularly</w:t>
      </w:r>
      <w:r w:rsidR="00F00E3D" w:rsidRPr="00DD331C">
        <w:rPr>
          <w:rFonts w:ascii="Calibri Light" w:eastAsia="Calibri" w:hAnsi="Calibri Light" w:cs="Calibri Light"/>
          <w:sz w:val="23"/>
          <w:szCs w:val="23"/>
        </w:rPr>
        <w:t xml:space="preserve"> </w:t>
      </w:r>
      <w:r>
        <w:rPr>
          <w:rFonts w:ascii="Calibri Light" w:eastAsia="Calibri" w:hAnsi="Calibri Light" w:cs="Calibri Light"/>
          <w:sz w:val="23"/>
          <w:szCs w:val="23"/>
        </w:rPr>
        <w:t>around</w:t>
      </w:r>
      <w:r w:rsidR="00F00E3D" w:rsidRPr="00DD331C">
        <w:rPr>
          <w:rFonts w:ascii="Calibri Light" w:eastAsia="Calibri" w:hAnsi="Calibri Light" w:cs="Calibri Light"/>
          <w:sz w:val="23"/>
          <w:szCs w:val="23"/>
        </w:rPr>
        <w:t xml:space="preserve"> the collapse in international migration and the fall in birth</w:t>
      </w:r>
      <w:r>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rate</w:t>
      </w:r>
      <w:r>
        <w:rPr>
          <w:rFonts w:ascii="Calibri Light" w:eastAsia="Calibri" w:hAnsi="Calibri Light" w:cs="Calibri Light"/>
          <w:sz w:val="23"/>
          <w:szCs w:val="23"/>
        </w:rPr>
        <w:t xml:space="preserve">s, but also found </w:t>
      </w:r>
      <w:r w:rsidR="00F00E3D" w:rsidRPr="00DD331C">
        <w:rPr>
          <w:rFonts w:ascii="Calibri Light" w:eastAsia="Calibri" w:hAnsi="Calibri Light" w:cs="Calibri Light"/>
          <w:sz w:val="23"/>
          <w:szCs w:val="23"/>
        </w:rPr>
        <w:t>that the region could well benefit from intrastate</w:t>
      </w:r>
      <w:r w:rsidR="00F00E3D" w:rsidRPr="00DD331C">
        <w:rPr>
          <w:rFonts w:ascii="Calibri Light" w:eastAsia="Calibri" w:hAnsi="Calibri Light" w:cs="Calibri Light"/>
          <w:i/>
          <w:iCs/>
          <w:sz w:val="23"/>
          <w:szCs w:val="23"/>
        </w:rPr>
        <w:t xml:space="preserve"> </w:t>
      </w:r>
      <w:r w:rsidR="00F00E3D" w:rsidRPr="00DD331C">
        <w:rPr>
          <w:rFonts w:ascii="Calibri Light" w:eastAsia="Calibri" w:hAnsi="Calibri Light" w:cs="Calibri Light"/>
          <w:sz w:val="23"/>
          <w:szCs w:val="23"/>
        </w:rPr>
        <w:t>migration</w:t>
      </w:r>
      <w:r>
        <w:rPr>
          <w:rFonts w:ascii="Calibri Light" w:eastAsia="Calibri" w:hAnsi="Calibri Light" w:cs="Calibri Light"/>
          <w:sz w:val="23"/>
          <w:szCs w:val="23"/>
        </w:rPr>
        <w:t xml:space="preserve"> resulting from the pandemic</w:t>
      </w:r>
      <w:r w:rsidR="00F00E3D" w:rsidRPr="00DD331C">
        <w:rPr>
          <w:rFonts w:ascii="Calibri Light" w:eastAsia="Calibri" w:hAnsi="Calibri Light" w:cs="Calibri Light"/>
          <w:sz w:val="23"/>
          <w:szCs w:val="23"/>
        </w:rPr>
        <w:t xml:space="preserve">. </w:t>
      </w:r>
      <w:r>
        <w:rPr>
          <w:rFonts w:ascii="Calibri Light" w:eastAsia="Calibri" w:hAnsi="Calibri Light" w:cs="Calibri Light"/>
          <w:sz w:val="23"/>
          <w:szCs w:val="23"/>
        </w:rPr>
        <w:t>While</w:t>
      </w:r>
      <w:r w:rsidR="00F00E3D" w:rsidRPr="00DD331C">
        <w:rPr>
          <w:rFonts w:ascii="Calibri Light" w:eastAsia="Calibri" w:hAnsi="Calibri Light" w:cs="Calibri Light"/>
          <w:sz w:val="23"/>
          <w:szCs w:val="23"/>
        </w:rPr>
        <w:t xml:space="preserve"> Geelong’s economy had been impacted negatively</w:t>
      </w:r>
      <w:r>
        <w:rPr>
          <w:rFonts w:ascii="Calibri Light" w:eastAsia="Calibri" w:hAnsi="Calibri Light" w:cs="Calibri Light"/>
          <w:sz w:val="23"/>
          <w:szCs w:val="23"/>
        </w:rPr>
        <w:t xml:space="preserve">, it was protected to some extent by </w:t>
      </w:r>
      <w:r w:rsidR="00F00E3D" w:rsidRPr="00DD331C">
        <w:rPr>
          <w:rFonts w:ascii="Calibri Light" w:eastAsia="Calibri" w:hAnsi="Calibri Light" w:cs="Calibri Light"/>
          <w:sz w:val="23"/>
          <w:szCs w:val="23"/>
        </w:rPr>
        <w:t>its diverse economic base, high</w:t>
      </w:r>
      <w:r>
        <w:rPr>
          <w:rFonts w:ascii="Calibri Light" w:eastAsia="Calibri" w:hAnsi="Calibri Light" w:cs="Calibri Light"/>
          <w:sz w:val="23"/>
          <w:szCs w:val="23"/>
        </w:rPr>
        <w:t>-</w:t>
      </w:r>
      <w:r w:rsidR="00F00E3D" w:rsidRPr="00DD331C">
        <w:rPr>
          <w:rFonts w:ascii="Calibri Light" w:eastAsia="Calibri" w:hAnsi="Calibri Light" w:cs="Calibri Light"/>
          <w:sz w:val="23"/>
          <w:szCs w:val="23"/>
        </w:rPr>
        <w:t>functioning CBD</w:t>
      </w:r>
      <w:r>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and viable rail, port and airport infrastructure, </w:t>
      </w:r>
      <w:r>
        <w:rPr>
          <w:rFonts w:ascii="Calibri Light" w:eastAsia="Calibri" w:hAnsi="Calibri Light" w:cs="Calibri Light"/>
          <w:sz w:val="23"/>
          <w:szCs w:val="23"/>
        </w:rPr>
        <w:t xml:space="preserve">which helped it </w:t>
      </w:r>
      <w:r w:rsidR="00F00E3D" w:rsidRPr="00DD331C">
        <w:rPr>
          <w:rFonts w:ascii="Calibri Light" w:eastAsia="Calibri" w:hAnsi="Calibri Light" w:cs="Calibri Light"/>
          <w:sz w:val="23"/>
          <w:szCs w:val="23"/>
        </w:rPr>
        <w:t xml:space="preserve">retain population. </w:t>
      </w:r>
      <w:r>
        <w:rPr>
          <w:rFonts w:ascii="Calibri Light" w:eastAsia="Calibri" w:hAnsi="Calibri Light" w:cs="Calibri Light"/>
          <w:sz w:val="23"/>
          <w:szCs w:val="23"/>
        </w:rPr>
        <w:t>The study also</w:t>
      </w:r>
      <w:r w:rsidR="00F00E3D" w:rsidRPr="00DD331C">
        <w:rPr>
          <w:rFonts w:ascii="Calibri Light" w:eastAsia="Calibri" w:hAnsi="Calibri Light" w:cs="Calibri Light"/>
          <w:sz w:val="23"/>
          <w:szCs w:val="23"/>
        </w:rPr>
        <w:t xml:space="preserve"> noted the importance of ongoing local amenity </w:t>
      </w:r>
      <w:r>
        <w:rPr>
          <w:rFonts w:ascii="Calibri Light" w:eastAsia="Calibri" w:hAnsi="Calibri Light" w:cs="Calibri Light"/>
          <w:sz w:val="23"/>
          <w:szCs w:val="23"/>
        </w:rPr>
        <w:t>and</w:t>
      </w:r>
      <w:r w:rsidR="00F00E3D" w:rsidRPr="00DD331C">
        <w:rPr>
          <w:rFonts w:ascii="Calibri Light" w:eastAsia="Calibri" w:hAnsi="Calibri Light" w:cs="Calibri Light"/>
          <w:sz w:val="23"/>
          <w:szCs w:val="23"/>
        </w:rPr>
        <w:t xml:space="preserve"> the need to address resident vulnerability, especially in areas of profound disadvantage. </w:t>
      </w:r>
      <w:r>
        <w:rPr>
          <w:rFonts w:ascii="Calibri Light" w:eastAsia="Calibri" w:hAnsi="Calibri Light" w:cs="Calibri Light"/>
          <w:sz w:val="23"/>
          <w:szCs w:val="23"/>
        </w:rPr>
        <w:t>Geelong’s attractions included</w:t>
      </w:r>
      <w:r w:rsidR="00F00E3D" w:rsidRPr="00DD331C">
        <w:rPr>
          <w:rFonts w:ascii="Calibri Light" w:eastAsia="Calibri" w:hAnsi="Calibri Light" w:cs="Calibri Light"/>
          <w:sz w:val="23"/>
          <w:szCs w:val="23"/>
        </w:rPr>
        <w:t xml:space="preserve"> </w:t>
      </w:r>
      <w:r>
        <w:rPr>
          <w:rFonts w:ascii="Calibri Light" w:eastAsia="Calibri" w:hAnsi="Calibri Light" w:cs="Calibri Light"/>
          <w:sz w:val="23"/>
          <w:szCs w:val="23"/>
        </w:rPr>
        <w:t>access to relatively</w:t>
      </w:r>
      <w:r w:rsidR="00F00E3D" w:rsidRPr="00DD331C">
        <w:rPr>
          <w:rFonts w:ascii="Calibri Light" w:eastAsia="Calibri" w:hAnsi="Calibri Light" w:cs="Calibri Light"/>
          <w:sz w:val="23"/>
          <w:szCs w:val="23"/>
        </w:rPr>
        <w:t xml:space="preserve"> affordable housing, lifestyle (especially open space and the natural environment)</w:t>
      </w:r>
      <w:r>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and quality health, education, transport, sport</w:t>
      </w:r>
      <w:r>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and cultural infrastructure </w:t>
      </w:r>
      <w:r w:rsidR="00F00E3D" w:rsidRPr="00DD331C">
        <w:rPr>
          <w:rFonts w:ascii="Calibri Light" w:eastAsia="Calibri" w:hAnsi="Calibri Light" w:cs="Calibri Light"/>
          <w:noProof/>
          <w:sz w:val="23"/>
          <w:szCs w:val="23"/>
        </w:rPr>
        <w:t>(</w:t>
      </w:r>
      <w:r w:rsidR="00486CBF">
        <w:rPr>
          <w:rFonts w:ascii="Calibri Light" w:eastAsia="Calibri" w:hAnsi="Calibri Light" w:cs="Calibri Light"/>
          <w:noProof/>
          <w:sz w:val="23"/>
          <w:szCs w:val="23"/>
        </w:rPr>
        <w:t>.id</w:t>
      </w:r>
      <w:r w:rsidR="00F00E3D" w:rsidRPr="00DD331C">
        <w:rPr>
          <w:rFonts w:ascii="Calibri Light" w:eastAsia="Calibri" w:hAnsi="Calibri Light" w:cs="Calibri Light"/>
          <w:noProof/>
          <w:sz w:val="23"/>
          <w:szCs w:val="23"/>
        </w:rPr>
        <w:t>, 2020)</w:t>
      </w:r>
      <w:r w:rsidR="00F00E3D" w:rsidRPr="00DD331C">
        <w:rPr>
          <w:rFonts w:ascii="Calibri Light" w:eastAsia="Calibri" w:hAnsi="Calibri Light" w:cs="Calibri Light"/>
          <w:sz w:val="23"/>
          <w:szCs w:val="23"/>
        </w:rPr>
        <w:t>.</w:t>
      </w:r>
    </w:p>
    <w:p w14:paraId="40B062DA" w14:textId="77777777" w:rsidR="00F00E3D" w:rsidRPr="006E70A0" w:rsidRDefault="00F00E3D" w:rsidP="009B2FA7">
      <w:pPr>
        <w:spacing w:after="0" w:line="276" w:lineRule="auto"/>
        <w:rPr>
          <w:rFonts w:ascii="Calibri Light" w:eastAsia="Calibri" w:hAnsi="Calibri Light" w:cs="Calibri Light"/>
          <w:sz w:val="16"/>
          <w:szCs w:val="16"/>
        </w:rPr>
      </w:pPr>
    </w:p>
    <w:p w14:paraId="49CD264D" w14:textId="03A0D702" w:rsidR="00F00E3D" w:rsidRDefault="001307E8" w:rsidP="009B2FA7">
      <w:pPr>
        <w:spacing w:after="0" w:line="276" w:lineRule="auto"/>
        <w:rPr>
          <w:rFonts w:ascii="Calibri Light" w:eastAsia="Calibri" w:hAnsi="Calibri Light" w:cs="Calibri Light"/>
          <w:sz w:val="23"/>
          <w:szCs w:val="23"/>
        </w:rPr>
      </w:pPr>
      <w:r>
        <w:rPr>
          <w:rFonts w:ascii="Calibri Light" w:eastAsia="Calibri" w:hAnsi="Calibri Light" w:cs="Calibri Light"/>
          <w:sz w:val="23"/>
          <w:szCs w:val="23"/>
        </w:rPr>
        <w:t>The</w:t>
      </w:r>
      <w:r w:rsidR="00F00E3D" w:rsidRPr="00DD331C">
        <w:rPr>
          <w:rFonts w:ascii="Calibri Light" w:eastAsia="Calibri" w:hAnsi="Calibri Light" w:cs="Calibri Light"/>
          <w:sz w:val="23"/>
          <w:szCs w:val="23"/>
        </w:rPr>
        <w:t xml:space="preserve"> Real Estate Institute of New South Wales is</w:t>
      </w:r>
      <w:r>
        <w:rPr>
          <w:rFonts w:ascii="Calibri Light" w:eastAsia="Calibri" w:hAnsi="Calibri Light" w:cs="Calibri Light"/>
          <w:sz w:val="23"/>
          <w:szCs w:val="23"/>
        </w:rPr>
        <w:t xml:space="preserve"> also</w:t>
      </w:r>
      <w:r w:rsidR="00F00E3D" w:rsidRPr="00DD331C">
        <w:rPr>
          <w:rFonts w:ascii="Calibri Light" w:eastAsia="Calibri" w:hAnsi="Calibri Light" w:cs="Calibri Light"/>
          <w:sz w:val="23"/>
          <w:szCs w:val="23"/>
        </w:rPr>
        <w:t xml:space="preserve"> expecting regional areas to do well in the long-term as a result of </w:t>
      </w:r>
      <w:r w:rsidR="00940D80">
        <w:rPr>
          <w:rFonts w:ascii="Calibri Light" w:eastAsia="Calibri" w:hAnsi="Calibri Light" w:cs="Calibri Light"/>
          <w:sz w:val="23"/>
          <w:szCs w:val="23"/>
        </w:rPr>
        <w:t>COVID</w:t>
      </w:r>
      <w:r w:rsidR="00F00E3D" w:rsidRPr="00DD331C">
        <w:rPr>
          <w:rFonts w:ascii="Calibri Light" w:eastAsia="Calibri" w:hAnsi="Calibri Light" w:cs="Calibri Light"/>
          <w:sz w:val="23"/>
          <w:szCs w:val="23"/>
        </w:rPr>
        <w:t xml:space="preserve">-19, because people have realised that they </w:t>
      </w:r>
      <w:r w:rsidR="00F00E3D" w:rsidRPr="00DD331C">
        <w:rPr>
          <w:rFonts w:ascii="Calibri Light" w:eastAsia="Calibri" w:hAnsi="Calibri Light" w:cs="Calibri Light"/>
          <w:noProof/>
          <w:sz w:val="23"/>
          <w:szCs w:val="23"/>
        </w:rPr>
        <w:t>(Ross, 2020)</w:t>
      </w:r>
      <w:r w:rsidR="00F00E3D" w:rsidRPr="00DD331C">
        <w:rPr>
          <w:rFonts w:ascii="Calibri Light" w:eastAsia="Calibri" w:hAnsi="Calibri Light" w:cs="Calibri Light"/>
          <w:sz w:val="23"/>
          <w:szCs w:val="23"/>
        </w:rPr>
        <w:t>:</w:t>
      </w:r>
    </w:p>
    <w:p w14:paraId="3A440245" w14:textId="77777777" w:rsidR="001307E8" w:rsidRPr="001307E8" w:rsidRDefault="001307E8" w:rsidP="009B2FA7">
      <w:pPr>
        <w:spacing w:after="0" w:line="276" w:lineRule="auto"/>
        <w:rPr>
          <w:rFonts w:ascii="Calibri Light" w:eastAsia="Calibri" w:hAnsi="Calibri Light" w:cs="Calibri Light"/>
          <w:sz w:val="12"/>
          <w:szCs w:val="12"/>
        </w:rPr>
      </w:pPr>
    </w:p>
    <w:p w14:paraId="5E434165" w14:textId="77777777" w:rsidR="00F00E3D" w:rsidRPr="00DD331C" w:rsidRDefault="00F00E3D" w:rsidP="009B2FA7">
      <w:pPr>
        <w:numPr>
          <w:ilvl w:val="0"/>
          <w:numId w:val="4"/>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can work from home effectively</w:t>
      </w:r>
    </w:p>
    <w:p w14:paraId="5530AF55" w14:textId="77777777" w:rsidR="00F00E3D" w:rsidRPr="00DD331C" w:rsidRDefault="00F00E3D" w:rsidP="009B2FA7">
      <w:pPr>
        <w:numPr>
          <w:ilvl w:val="0"/>
          <w:numId w:val="4"/>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want to get out of large, densely populated communities</w:t>
      </w:r>
    </w:p>
    <w:p w14:paraId="47C34272" w14:textId="77777777" w:rsidR="00F00E3D" w:rsidRPr="00DD331C" w:rsidRDefault="00F00E3D" w:rsidP="009B2FA7">
      <w:pPr>
        <w:numPr>
          <w:ilvl w:val="0"/>
          <w:numId w:val="4"/>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 xml:space="preserve">appreciate simpler lifestyles </w:t>
      </w:r>
    </w:p>
    <w:p w14:paraId="28D8DED7" w14:textId="2A091729" w:rsidR="00F00E3D" w:rsidRPr="00DD331C" w:rsidRDefault="00F00E3D" w:rsidP="009B2FA7">
      <w:pPr>
        <w:numPr>
          <w:ilvl w:val="0"/>
          <w:numId w:val="4"/>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 xml:space="preserve">are seeking a sanctuary, a safety retreat from the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-19 pandemic.</w:t>
      </w:r>
    </w:p>
    <w:p w14:paraId="22E9A643" w14:textId="77777777" w:rsidR="00F00E3D" w:rsidRPr="001307E8" w:rsidRDefault="00F00E3D" w:rsidP="009B2FA7">
      <w:pPr>
        <w:spacing w:after="0" w:line="276" w:lineRule="auto"/>
        <w:rPr>
          <w:rFonts w:ascii="Calibri Light" w:eastAsia="Calibri" w:hAnsi="Calibri Light" w:cs="Calibri Light"/>
          <w:sz w:val="16"/>
          <w:szCs w:val="16"/>
        </w:rPr>
      </w:pPr>
    </w:p>
    <w:p w14:paraId="789C2F1B" w14:textId="1F680C5F" w:rsidR="00F00E3D" w:rsidRPr="00CE040E" w:rsidRDefault="001307E8" w:rsidP="009B2FA7">
      <w:pPr>
        <w:spacing w:after="0" w:line="276" w:lineRule="auto"/>
        <w:rPr>
          <w:rFonts w:ascii="Calibri Light" w:eastAsia="Calibri" w:hAnsi="Calibri Light" w:cs="Calibri Light"/>
          <w:b/>
          <w:sz w:val="16"/>
          <w:szCs w:val="16"/>
        </w:rPr>
      </w:pPr>
      <w:r>
        <w:rPr>
          <w:rFonts w:ascii="Calibri Light" w:eastAsia="Calibri" w:hAnsi="Calibri Light" w:cs="Calibri Light"/>
          <w:sz w:val="23"/>
          <w:szCs w:val="23"/>
        </w:rPr>
        <w:t>Locally led</w:t>
      </w:r>
      <w:r w:rsidR="00F00E3D" w:rsidRPr="00DD331C">
        <w:rPr>
          <w:rFonts w:ascii="Calibri Light" w:eastAsia="Calibri" w:hAnsi="Calibri Light" w:cs="Calibri Light"/>
          <w:sz w:val="23"/>
          <w:szCs w:val="23"/>
        </w:rPr>
        <w:t xml:space="preserve"> campaigns to attract </w:t>
      </w:r>
      <w:r>
        <w:rPr>
          <w:rFonts w:ascii="Calibri Light" w:eastAsia="Calibri" w:hAnsi="Calibri Light" w:cs="Calibri Light"/>
          <w:sz w:val="23"/>
          <w:szCs w:val="23"/>
        </w:rPr>
        <w:t xml:space="preserve">new </w:t>
      </w:r>
      <w:r w:rsidR="00F00E3D" w:rsidRPr="00DD331C">
        <w:rPr>
          <w:rFonts w:ascii="Calibri Light" w:eastAsia="Calibri" w:hAnsi="Calibri Light" w:cs="Calibri Light"/>
          <w:sz w:val="23"/>
          <w:szCs w:val="23"/>
        </w:rPr>
        <w:t xml:space="preserve">residents </w:t>
      </w:r>
      <w:r>
        <w:rPr>
          <w:rFonts w:ascii="Calibri Light" w:eastAsia="Calibri" w:hAnsi="Calibri Light" w:cs="Calibri Light"/>
          <w:sz w:val="23"/>
          <w:szCs w:val="23"/>
        </w:rPr>
        <w:t>to regional c</w:t>
      </w:r>
      <w:r w:rsidR="00CE040E">
        <w:rPr>
          <w:rFonts w:ascii="Calibri Light" w:eastAsia="Calibri" w:hAnsi="Calibri Light" w:cs="Calibri Light"/>
          <w:sz w:val="23"/>
          <w:szCs w:val="23"/>
        </w:rPr>
        <w:t>entres</w:t>
      </w:r>
      <w:r>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tend to highlight the same things</w:t>
      </w:r>
      <w:r>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 xml:space="preserve"> including good schools, health services, and environmental or lifestyle assets</w:t>
      </w:r>
      <w:r>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 xml:space="preserve"> and small financial incentive packages </w:t>
      </w:r>
      <w:r>
        <w:rPr>
          <w:rFonts w:ascii="Calibri Light" w:eastAsia="Calibri" w:hAnsi="Calibri Light" w:cs="Calibri Light"/>
          <w:sz w:val="23"/>
          <w:szCs w:val="23"/>
        </w:rPr>
        <w:t>do not seem to be an effective enticement.</w:t>
      </w:r>
      <w:r w:rsidR="00F00E3D" w:rsidRPr="00DD331C">
        <w:rPr>
          <w:rFonts w:ascii="Calibri Light" w:eastAsia="Calibri" w:hAnsi="Calibri Light" w:cs="Calibri Light"/>
          <w:sz w:val="23"/>
          <w:szCs w:val="23"/>
        </w:rPr>
        <w:t xml:space="preserve"> </w:t>
      </w:r>
      <w:r w:rsidR="00CE040E">
        <w:rPr>
          <w:rFonts w:ascii="Calibri Light" w:eastAsia="Calibri" w:hAnsi="Calibri Light" w:cs="Calibri Light"/>
          <w:sz w:val="23"/>
          <w:szCs w:val="23"/>
        </w:rPr>
        <w:t>Nevertheless,</w:t>
      </w:r>
      <w:r>
        <w:rPr>
          <w:rFonts w:ascii="Calibri Light" w:eastAsia="Calibri" w:hAnsi="Calibri Light" w:cs="Calibri Light"/>
          <w:sz w:val="23"/>
          <w:szCs w:val="23"/>
        </w:rPr>
        <w:t xml:space="preserve"> an</w:t>
      </w:r>
      <w:r w:rsidR="00F00E3D" w:rsidRPr="00DD331C">
        <w:rPr>
          <w:rFonts w:ascii="Calibri Light" w:eastAsia="Calibri" w:hAnsi="Calibri Light" w:cs="Calibri Light"/>
          <w:sz w:val="23"/>
          <w:szCs w:val="23"/>
        </w:rPr>
        <w:t xml:space="preserve"> opportunity exists to market regional centres like Geelong to suburban families and individuals who are feeling the social, economic, health, and environmental costs of living in a post-</w:t>
      </w:r>
      <w:r w:rsidR="00940D80">
        <w:rPr>
          <w:rFonts w:ascii="Calibri Light" w:eastAsia="Calibri" w:hAnsi="Calibri Light" w:cs="Calibri Light"/>
          <w:sz w:val="23"/>
          <w:szCs w:val="23"/>
        </w:rPr>
        <w:t>COVID</w:t>
      </w:r>
      <w:r w:rsidR="00F00E3D" w:rsidRPr="00DD331C">
        <w:rPr>
          <w:rFonts w:ascii="Calibri Light" w:eastAsia="Calibri" w:hAnsi="Calibri Light" w:cs="Calibri Light"/>
          <w:sz w:val="23"/>
          <w:szCs w:val="23"/>
        </w:rPr>
        <w:t xml:space="preserve">-19 world </w:t>
      </w:r>
      <w:r w:rsidR="00F00E3D" w:rsidRPr="00DD331C">
        <w:rPr>
          <w:rFonts w:ascii="Calibri Light" w:eastAsia="Calibri" w:hAnsi="Calibri Light" w:cs="Calibri Light"/>
          <w:noProof/>
          <w:sz w:val="23"/>
          <w:szCs w:val="23"/>
        </w:rPr>
        <w:t>(Horton, 2020)</w:t>
      </w:r>
      <w:r w:rsidR="00F00E3D" w:rsidRPr="00DD331C">
        <w:rPr>
          <w:rFonts w:ascii="Calibri Light" w:eastAsia="Calibri" w:hAnsi="Calibri Light" w:cs="Calibri Light"/>
          <w:sz w:val="23"/>
          <w:szCs w:val="23"/>
        </w:rPr>
        <w:t>.</w:t>
      </w:r>
      <w:r w:rsidR="00F00E3D" w:rsidRPr="00DD331C">
        <w:rPr>
          <w:sz w:val="23"/>
          <w:szCs w:val="23"/>
        </w:rPr>
        <w:br/>
      </w:r>
    </w:p>
    <w:p w14:paraId="1AC805B0" w14:textId="26E805D4" w:rsidR="00F00E3D" w:rsidRPr="003710F5" w:rsidRDefault="00351098" w:rsidP="008E34BD">
      <w:pPr>
        <w:spacing w:line="276" w:lineRule="auto"/>
        <w:rPr>
          <w:rFonts w:eastAsia="Calibri" w:cstheme="minorHAnsi"/>
          <w:b/>
          <w:bCs/>
          <w:color w:val="2F5496" w:themeColor="accent1" w:themeShade="BF"/>
          <w:sz w:val="28"/>
          <w:szCs w:val="28"/>
        </w:rPr>
      </w:pPr>
      <w:bookmarkStart w:id="88" w:name="_Hlk45201877"/>
      <w:r w:rsidRPr="003710F5">
        <w:rPr>
          <w:rFonts w:eastAsia="Calibri" w:cstheme="minorHAnsi"/>
          <w:b/>
          <w:color w:val="2F5496" w:themeColor="accent1" w:themeShade="BF"/>
          <w:sz w:val="28"/>
          <w:szCs w:val="28"/>
        </w:rPr>
        <w:t>6.4</w:t>
      </w:r>
      <w:r w:rsidR="00F00E3D" w:rsidRPr="003710F5">
        <w:rPr>
          <w:rFonts w:eastAsia="Calibri" w:cstheme="minorHAnsi"/>
          <w:b/>
          <w:color w:val="2F5496" w:themeColor="accent1" w:themeShade="BF"/>
          <w:sz w:val="28"/>
          <w:szCs w:val="28"/>
        </w:rPr>
        <w:t xml:space="preserve"> </w:t>
      </w:r>
      <w:r w:rsidRPr="003710F5">
        <w:rPr>
          <w:rFonts w:eastAsia="Calibri" w:cstheme="minorHAnsi"/>
          <w:b/>
          <w:color w:val="2F5496" w:themeColor="accent1" w:themeShade="BF"/>
          <w:sz w:val="28"/>
          <w:szCs w:val="28"/>
        </w:rPr>
        <w:t xml:space="preserve">Geelong: </w:t>
      </w:r>
      <w:r w:rsidR="00F00E3D" w:rsidRPr="003710F5">
        <w:rPr>
          <w:rFonts w:eastAsia="Calibri" w:cstheme="minorHAnsi"/>
          <w:b/>
          <w:bCs/>
          <w:color w:val="2F5496" w:themeColor="accent1" w:themeShade="BF"/>
          <w:sz w:val="28"/>
          <w:szCs w:val="28"/>
        </w:rPr>
        <w:t>Looking Ahead</w:t>
      </w:r>
    </w:p>
    <w:bookmarkEnd w:id="88"/>
    <w:p w14:paraId="068EF38D" w14:textId="26C46852" w:rsidR="00F00E3D" w:rsidRPr="00DD331C" w:rsidRDefault="00CE2E4E" w:rsidP="008E34BD">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Reflecting on</w:t>
      </w:r>
      <w:r w:rsidR="00F00E3D" w:rsidRPr="00DD331C">
        <w:rPr>
          <w:rFonts w:ascii="Calibri Light" w:eastAsia="Calibri" w:hAnsi="Calibri Light" w:cs="Calibri Light"/>
          <w:sz w:val="23"/>
          <w:szCs w:val="23"/>
        </w:rPr>
        <w:t xml:space="preserve"> </w:t>
      </w:r>
      <w:r w:rsidR="00CE040E">
        <w:rPr>
          <w:rFonts w:ascii="Calibri Light" w:eastAsia="Calibri" w:hAnsi="Calibri Light" w:cs="Calibri Light"/>
          <w:sz w:val="23"/>
          <w:szCs w:val="23"/>
        </w:rPr>
        <w:t xml:space="preserve">how </w:t>
      </w:r>
      <w:r w:rsidR="00F00E3D" w:rsidRPr="00DD331C">
        <w:rPr>
          <w:rFonts w:ascii="Calibri Light" w:eastAsia="Calibri" w:hAnsi="Calibri Light" w:cs="Calibri Light"/>
          <w:sz w:val="23"/>
          <w:szCs w:val="23"/>
        </w:rPr>
        <w:t>Greater Geelong</w:t>
      </w:r>
      <w:r w:rsidR="00CE040E">
        <w:rPr>
          <w:rFonts w:ascii="Calibri Light" w:eastAsia="Calibri" w:hAnsi="Calibri Light" w:cs="Calibri Light"/>
          <w:sz w:val="23"/>
          <w:szCs w:val="23"/>
        </w:rPr>
        <w:t xml:space="preserve"> fared</w:t>
      </w:r>
      <w:r w:rsidR="00F00E3D" w:rsidRPr="00DD331C">
        <w:rPr>
          <w:rFonts w:ascii="Calibri Light" w:eastAsia="Calibri" w:hAnsi="Calibri Light" w:cs="Calibri Light"/>
          <w:sz w:val="23"/>
          <w:szCs w:val="23"/>
        </w:rPr>
        <w:t xml:space="preserve"> in 2020,</w:t>
      </w:r>
      <w:r w:rsidR="00CE040E">
        <w:rPr>
          <w:rFonts w:ascii="Calibri Light" w:eastAsia="Calibri" w:hAnsi="Calibri Light" w:cs="Calibri Light"/>
          <w:sz w:val="23"/>
          <w:szCs w:val="23"/>
        </w:rPr>
        <w:t xml:space="preserve"> some </w:t>
      </w:r>
      <w:r w:rsidR="00F00E3D" w:rsidRPr="00DD331C">
        <w:rPr>
          <w:rFonts w:ascii="Calibri Light" w:eastAsia="Calibri" w:hAnsi="Calibri Light" w:cs="Calibri Light"/>
          <w:sz w:val="23"/>
          <w:szCs w:val="23"/>
        </w:rPr>
        <w:t xml:space="preserve">positive </w:t>
      </w:r>
      <w:r w:rsidR="00CE040E">
        <w:rPr>
          <w:rFonts w:ascii="Calibri Light" w:eastAsia="Calibri" w:hAnsi="Calibri Light" w:cs="Calibri Light"/>
          <w:sz w:val="23"/>
          <w:szCs w:val="23"/>
        </w:rPr>
        <w:t>shifts arising from the pandemic</w:t>
      </w:r>
      <w:r w:rsidR="00F00E3D" w:rsidRPr="00DD331C">
        <w:rPr>
          <w:rFonts w:ascii="Calibri Light" w:eastAsia="Calibri" w:hAnsi="Calibri Light" w:cs="Calibri Light"/>
          <w:sz w:val="23"/>
          <w:szCs w:val="23"/>
        </w:rPr>
        <w:t xml:space="preserve"> </w:t>
      </w:r>
      <w:r w:rsidR="00CE040E">
        <w:rPr>
          <w:rFonts w:ascii="Calibri Light" w:eastAsia="Calibri" w:hAnsi="Calibri Light" w:cs="Calibri Light"/>
          <w:sz w:val="23"/>
          <w:szCs w:val="23"/>
        </w:rPr>
        <w:t>could</w:t>
      </w:r>
      <w:r w:rsidR="00F00E3D" w:rsidRPr="00DD331C">
        <w:rPr>
          <w:rFonts w:ascii="Calibri Light" w:eastAsia="Calibri" w:hAnsi="Calibri Light" w:cs="Calibri Light"/>
          <w:sz w:val="23"/>
          <w:szCs w:val="23"/>
        </w:rPr>
        <w:t xml:space="preserve"> be progressed with concrete actions. </w:t>
      </w:r>
      <w:r>
        <w:rPr>
          <w:rFonts w:ascii="Calibri Light" w:eastAsia="Calibri" w:hAnsi="Calibri Light" w:cs="Calibri Light"/>
          <w:sz w:val="23"/>
          <w:szCs w:val="23"/>
        </w:rPr>
        <w:t>For many</w:t>
      </w:r>
      <w:r w:rsidR="00CE040E">
        <w:rPr>
          <w:rFonts w:ascii="Calibri Light" w:eastAsia="Calibri" w:hAnsi="Calibri Light" w:cs="Calibri Light"/>
          <w:sz w:val="23"/>
          <w:szCs w:val="23"/>
        </w:rPr>
        <w:t xml:space="preserve"> Australian</w:t>
      </w:r>
      <w:r>
        <w:rPr>
          <w:rFonts w:ascii="Calibri Light" w:eastAsia="Calibri" w:hAnsi="Calibri Light" w:cs="Calibri Light"/>
          <w:sz w:val="23"/>
          <w:szCs w:val="23"/>
        </w:rPr>
        <w:t xml:space="preserve"> workers</w:t>
      </w:r>
      <w:r w:rsidR="00F00E3D" w:rsidRPr="00DD331C">
        <w:rPr>
          <w:rFonts w:ascii="Calibri Light" w:eastAsia="Calibri" w:hAnsi="Calibri Light" w:cs="Calibri Light"/>
          <w:sz w:val="23"/>
          <w:szCs w:val="23"/>
        </w:rPr>
        <w:t xml:space="preserve"> </w:t>
      </w:r>
      <w:r w:rsidR="00CE040E">
        <w:rPr>
          <w:rFonts w:ascii="Calibri Light" w:eastAsia="Calibri" w:hAnsi="Calibri Light" w:cs="Calibri Light"/>
          <w:sz w:val="23"/>
          <w:szCs w:val="23"/>
        </w:rPr>
        <w:t xml:space="preserve">the </w:t>
      </w:r>
      <w:r w:rsidR="00940D80">
        <w:rPr>
          <w:rFonts w:ascii="Calibri Light" w:eastAsia="Calibri" w:hAnsi="Calibri Light" w:cs="Calibri Light"/>
          <w:sz w:val="23"/>
          <w:szCs w:val="23"/>
        </w:rPr>
        <w:t>COVID</w:t>
      </w:r>
      <w:r w:rsidR="00F00E3D" w:rsidRPr="00DD331C">
        <w:rPr>
          <w:rFonts w:ascii="Calibri Light" w:eastAsia="Calibri" w:hAnsi="Calibri Light" w:cs="Calibri Light"/>
          <w:sz w:val="23"/>
          <w:szCs w:val="23"/>
        </w:rPr>
        <w:t>-19 effect has made home-based work more popular, acceptable</w:t>
      </w:r>
      <w:r w:rsidR="00CE040E">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and feasible, while for some </w:t>
      </w:r>
      <w:r w:rsidR="00CE040E">
        <w:rPr>
          <w:rFonts w:ascii="Calibri Light" w:eastAsia="Calibri" w:hAnsi="Calibri Light" w:cs="Calibri Light"/>
          <w:sz w:val="23"/>
          <w:szCs w:val="23"/>
        </w:rPr>
        <w:t>urban residents</w:t>
      </w:r>
      <w:r w:rsidR="00F00E3D" w:rsidRPr="00DD331C">
        <w:rPr>
          <w:rFonts w:ascii="Calibri Light" w:eastAsia="Calibri" w:hAnsi="Calibri Light" w:cs="Calibri Light"/>
          <w:sz w:val="23"/>
          <w:szCs w:val="23"/>
        </w:rPr>
        <w:t xml:space="preserve"> the idea of living in a large, dense city has become less attractive. </w:t>
      </w:r>
      <w:r w:rsidR="00CE040E">
        <w:rPr>
          <w:rFonts w:ascii="Calibri Light" w:eastAsia="Calibri" w:hAnsi="Calibri Light" w:cs="Calibri Light"/>
          <w:sz w:val="23"/>
          <w:szCs w:val="23"/>
        </w:rPr>
        <w:t>For some city-dwellers, the potential</w:t>
      </w:r>
      <w:r w:rsidR="00F00E3D" w:rsidRPr="00DD331C">
        <w:rPr>
          <w:rFonts w:ascii="Calibri Light" w:eastAsia="Calibri" w:hAnsi="Calibri Light" w:cs="Calibri Light"/>
          <w:sz w:val="23"/>
          <w:szCs w:val="23"/>
        </w:rPr>
        <w:t xml:space="preserve"> contagion </w:t>
      </w:r>
      <w:r w:rsidR="00CE040E">
        <w:rPr>
          <w:rFonts w:ascii="Calibri Light" w:eastAsia="Calibri" w:hAnsi="Calibri Light" w:cs="Calibri Light"/>
          <w:sz w:val="23"/>
          <w:szCs w:val="23"/>
        </w:rPr>
        <w:t xml:space="preserve">risks </w:t>
      </w:r>
      <w:r w:rsidR="00F00E3D" w:rsidRPr="00DD331C">
        <w:rPr>
          <w:rFonts w:ascii="Calibri Light" w:eastAsia="Calibri" w:hAnsi="Calibri Light" w:cs="Calibri Light"/>
          <w:sz w:val="23"/>
          <w:szCs w:val="23"/>
        </w:rPr>
        <w:t xml:space="preserve">of </w:t>
      </w:r>
      <w:r w:rsidR="00CE040E">
        <w:rPr>
          <w:rFonts w:ascii="Calibri Light" w:eastAsia="Calibri" w:hAnsi="Calibri Light" w:cs="Calibri Light"/>
          <w:sz w:val="23"/>
          <w:szCs w:val="23"/>
        </w:rPr>
        <w:t xml:space="preserve">urban </w:t>
      </w:r>
      <w:r w:rsidR="00F00E3D" w:rsidRPr="00DD331C">
        <w:rPr>
          <w:rFonts w:ascii="Calibri Light" w:eastAsia="Calibri" w:hAnsi="Calibri Light" w:cs="Calibri Light"/>
          <w:sz w:val="23"/>
          <w:szCs w:val="23"/>
        </w:rPr>
        <w:t xml:space="preserve">density </w:t>
      </w:r>
      <w:r w:rsidR="008E34BD">
        <w:rPr>
          <w:rFonts w:ascii="Calibri Light" w:eastAsia="Calibri" w:hAnsi="Calibri Light" w:cs="Calibri Light"/>
          <w:sz w:val="23"/>
          <w:szCs w:val="23"/>
        </w:rPr>
        <w:t xml:space="preserve">may </w:t>
      </w:r>
      <w:r w:rsidR="00CE040E">
        <w:rPr>
          <w:rFonts w:ascii="Calibri Light" w:eastAsia="Calibri" w:hAnsi="Calibri Light" w:cs="Calibri Light"/>
          <w:sz w:val="23"/>
          <w:szCs w:val="23"/>
        </w:rPr>
        <w:t>increase the perceived allure of</w:t>
      </w:r>
      <w:r w:rsidR="00F00E3D" w:rsidRPr="00DD331C">
        <w:rPr>
          <w:rFonts w:ascii="Calibri Light" w:eastAsia="Calibri" w:hAnsi="Calibri Light" w:cs="Calibri Light"/>
          <w:sz w:val="23"/>
          <w:szCs w:val="23"/>
        </w:rPr>
        <w:t xml:space="preserve"> the space, apparent safety</w:t>
      </w:r>
      <w:r>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and high-level health services available in a large regional centre.</w:t>
      </w:r>
    </w:p>
    <w:p w14:paraId="35222E0F" w14:textId="2A3FEB9A" w:rsidR="00F00E3D" w:rsidRDefault="008E34BD" w:rsidP="008E34BD">
      <w:pPr>
        <w:spacing w:after="0" w:line="276" w:lineRule="auto"/>
        <w:rPr>
          <w:rFonts w:ascii="Calibri Light" w:eastAsia="Calibri" w:hAnsi="Calibri Light" w:cs="Calibri Light"/>
          <w:sz w:val="23"/>
          <w:szCs w:val="23"/>
        </w:rPr>
      </w:pPr>
      <w:r>
        <w:rPr>
          <w:rFonts w:ascii="Calibri Light" w:eastAsia="Calibri" w:hAnsi="Calibri Light" w:cs="Calibri Light"/>
          <w:sz w:val="23"/>
          <w:szCs w:val="23"/>
        </w:rPr>
        <w:t>Looking</w:t>
      </w:r>
      <w:r w:rsidR="00F00E3D" w:rsidRPr="00DD331C">
        <w:rPr>
          <w:rFonts w:ascii="Calibri Light" w:eastAsia="Calibri" w:hAnsi="Calibri Light" w:cs="Calibri Light"/>
          <w:sz w:val="23"/>
          <w:szCs w:val="23"/>
        </w:rPr>
        <w:t xml:space="preserve"> ahead</w:t>
      </w:r>
      <w:r>
        <w:rPr>
          <w:rFonts w:ascii="Calibri Light" w:eastAsia="Calibri" w:hAnsi="Calibri Light" w:cs="Calibri Light"/>
          <w:sz w:val="23"/>
          <w:szCs w:val="23"/>
        </w:rPr>
        <w:t>, the effects of the COVID-19 pandemic on Greater Geelong will continue to manifest and evolve over time.</w:t>
      </w:r>
      <w:r w:rsidR="00F00E3D" w:rsidRPr="00DD331C">
        <w:rPr>
          <w:rFonts w:ascii="Calibri Light" w:eastAsia="Calibri" w:hAnsi="Calibri Light" w:cs="Calibri Light"/>
          <w:sz w:val="23"/>
          <w:szCs w:val="23"/>
        </w:rPr>
        <w:t xml:space="preserve"> </w:t>
      </w:r>
      <w:r w:rsidR="004536A3">
        <w:rPr>
          <w:rFonts w:ascii="Calibri Light" w:eastAsia="Calibri" w:hAnsi="Calibri Light" w:cs="Calibri Light"/>
          <w:sz w:val="23"/>
          <w:szCs w:val="23"/>
        </w:rPr>
        <w:t>In the immediate term, there are clear</w:t>
      </w:r>
      <w:r w:rsidR="00F00E3D" w:rsidRPr="00DD331C">
        <w:rPr>
          <w:rFonts w:ascii="Calibri Light" w:eastAsia="Calibri" w:hAnsi="Calibri Light" w:cs="Calibri Light"/>
          <w:sz w:val="23"/>
          <w:szCs w:val="23"/>
        </w:rPr>
        <w:t xml:space="preserve"> challenges for </w:t>
      </w:r>
      <w:r>
        <w:rPr>
          <w:rFonts w:ascii="Calibri Light" w:eastAsia="Calibri" w:hAnsi="Calibri Light" w:cs="Calibri Light"/>
          <w:sz w:val="23"/>
          <w:szCs w:val="23"/>
        </w:rPr>
        <w:t>Geelong’s</w:t>
      </w:r>
      <w:r w:rsidR="00F00E3D" w:rsidRPr="00DD331C">
        <w:rPr>
          <w:rFonts w:ascii="Calibri Light" w:eastAsia="Calibri" w:hAnsi="Calibri Light" w:cs="Calibri Light"/>
          <w:sz w:val="23"/>
          <w:szCs w:val="23"/>
        </w:rPr>
        <w:t xml:space="preserve"> hospitality, retail, accommodation, </w:t>
      </w:r>
      <w:r>
        <w:rPr>
          <w:rFonts w:ascii="Calibri Light" w:eastAsia="Calibri" w:hAnsi="Calibri Light" w:cs="Calibri Light"/>
          <w:sz w:val="23"/>
          <w:szCs w:val="23"/>
        </w:rPr>
        <w:t xml:space="preserve">arts, </w:t>
      </w:r>
      <w:r w:rsidR="00F00E3D" w:rsidRPr="00DD331C">
        <w:rPr>
          <w:rFonts w:ascii="Calibri Light" w:eastAsia="Calibri" w:hAnsi="Calibri Light" w:cs="Calibri Light"/>
          <w:sz w:val="23"/>
          <w:szCs w:val="23"/>
        </w:rPr>
        <w:t>personal care</w:t>
      </w:r>
      <w:r>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and education sectors. </w:t>
      </w:r>
      <w:r>
        <w:rPr>
          <w:rFonts w:ascii="Calibri Light" w:eastAsia="Calibri" w:hAnsi="Calibri Light" w:cs="Calibri Light"/>
          <w:sz w:val="23"/>
          <w:szCs w:val="23"/>
        </w:rPr>
        <w:t>While</w:t>
      </w:r>
      <w:r w:rsidR="004536A3">
        <w:rPr>
          <w:rFonts w:ascii="Calibri Light" w:eastAsia="Calibri" w:hAnsi="Calibri Light" w:cs="Calibri Light"/>
          <w:sz w:val="23"/>
          <w:szCs w:val="23"/>
        </w:rPr>
        <w:t xml:space="preserve"> </w:t>
      </w:r>
      <w:r>
        <w:rPr>
          <w:rFonts w:ascii="Calibri Light" w:eastAsia="Calibri" w:hAnsi="Calibri Light" w:cs="Calibri Light"/>
          <w:sz w:val="23"/>
          <w:szCs w:val="23"/>
        </w:rPr>
        <w:t>many sectors and employees have been protected by the</w:t>
      </w:r>
      <w:r w:rsidR="00F00E3D" w:rsidRPr="00DD331C">
        <w:rPr>
          <w:rFonts w:ascii="Calibri Light" w:eastAsia="Calibri" w:hAnsi="Calibri Light" w:cs="Calibri Light"/>
          <w:sz w:val="23"/>
          <w:szCs w:val="23"/>
        </w:rPr>
        <w:t xml:space="preserve"> Federal Government</w:t>
      </w:r>
      <w:r>
        <w:rPr>
          <w:rFonts w:ascii="Calibri Light" w:eastAsia="Calibri" w:hAnsi="Calibri Light" w:cs="Calibri Light"/>
          <w:sz w:val="23"/>
          <w:szCs w:val="23"/>
        </w:rPr>
        <w:t>’s</w:t>
      </w:r>
      <w:r w:rsidR="00F00E3D" w:rsidRPr="00DD331C">
        <w:rPr>
          <w:rFonts w:ascii="Calibri Light" w:eastAsia="Calibri" w:hAnsi="Calibri Light" w:cs="Calibri Light"/>
          <w:sz w:val="23"/>
          <w:szCs w:val="23"/>
        </w:rPr>
        <w:t xml:space="preserve"> JobKeeper </w:t>
      </w:r>
      <w:r w:rsidR="004536A3">
        <w:rPr>
          <w:rFonts w:ascii="Calibri Light" w:eastAsia="Calibri" w:hAnsi="Calibri Light" w:cs="Calibri Light"/>
          <w:sz w:val="23"/>
          <w:szCs w:val="23"/>
        </w:rPr>
        <w:t>scheme</w:t>
      </w:r>
      <w:r>
        <w:rPr>
          <w:rFonts w:ascii="Calibri Light" w:eastAsia="Calibri" w:hAnsi="Calibri Light" w:cs="Calibri Light"/>
          <w:sz w:val="23"/>
          <w:szCs w:val="23"/>
        </w:rPr>
        <w:t xml:space="preserve"> </w:t>
      </w:r>
      <w:r w:rsidR="00F00E3D" w:rsidRPr="00DD331C">
        <w:rPr>
          <w:rFonts w:ascii="Calibri Light" w:eastAsia="Calibri" w:hAnsi="Calibri Light" w:cs="Calibri Light"/>
          <w:sz w:val="23"/>
          <w:szCs w:val="23"/>
        </w:rPr>
        <w:t>and</w:t>
      </w:r>
      <w:r w:rsidR="004536A3">
        <w:rPr>
          <w:rFonts w:ascii="Calibri Light" w:eastAsia="Calibri" w:hAnsi="Calibri Light" w:cs="Calibri Light"/>
          <w:sz w:val="23"/>
          <w:szCs w:val="23"/>
        </w:rPr>
        <w:t xml:space="preserve"> the</w:t>
      </w:r>
      <w:r w:rsidR="00F00E3D" w:rsidRPr="00DD331C">
        <w:rPr>
          <w:rFonts w:ascii="Calibri Light" w:eastAsia="Calibri" w:hAnsi="Calibri Light" w:cs="Calibri Light"/>
          <w:sz w:val="23"/>
          <w:szCs w:val="23"/>
        </w:rPr>
        <w:t xml:space="preserve"> JobSeeker </w:t>
      </w:r>
      <w:r w:rsidR="004536A3">
        <w:rPr>
          <w:rFonts w:ascii="Calibri Light" w:eastAsia="Calibri" w:hAnsi="Calibri Light" w:cs="Calibri Light"/>
          <w:sz w:val="23"/>
          <w:szCs w:val="23"/>
        </w:rPr>
        <w:t>Coronavirus S</w:t>
      </w:r>
      <w:r>
        <w:rPr>
          <w:rFonts w:ascii="Calibri Light" w:eastAsia="Calibri" w:hAnsi="Calibri Light" w:cs="Calibri Light"/>
          <w:sz w:val="23"/>
          <w:szCs w:val="23"/>
        </w:rPr>
        <w:t>ubsi</w:t>
      </w:r>
      <w:r w:rsidR="004536A3">
        <w:rPr>
          <w:rFonts w:ascii="Calibri Light" w:eastAsia="Calibri" w:hAnsi="Calibri Light" w:cs="Calibri Light"/>
          <w:sz w:val="23"/>
          <w:szCs w:val="23"/>
        </w:rPr>
        <w:t>dy</w:t>
      </w:r>
      <w:r w:rsidR="00F00E3D" w:rsidRPr="00DD331C">
        <w:rPr>
          <w:rFonts w:ascii="Calibri Light" w:eastAsia="Calibri" w:hAnsi="Calibri Light" w:cs="Calibri Light"/>
          <w:sz w:val="23"/>
          <w:szCs w:val="23"/>
        </w:rPr>
        <w:t>, the</w:t>
      </w:r>
      <w:r>
        <w:rPr>
          <w:rFonts w:ascii="Calibri Light" w:eastAsia="Calibri" w:hAnsi="Calibri Light" w:cs="Calibri Light"/>
          <w:sz w:val="23"/>
          <w:szCs w:val="23"/>
        </w:rPr>
        <w:t xml:space="preserve">se </w:t>
      </w:r>
      <w:r w:rsidR="00F00E3D" w:rsidRPr="00DD331C">
        <w:rPr>
          <w:rFonts w:ascii="Calibri Light" w:eastAsia="Calibri" w:hAnsi="Calibri Light" w:cs="Calibri Light"/>
          <w:sz w:val="23"/>
          <w:szCs w:val="23"/>
        </w:rPr>
        <w:t xml:space="preserve">challenges will </w:t>
      </w:r>
      <w:r w:rsidR="004536A3">
        <w:rPr>
          <w:rFonts w:ascii="Calibri Light" w:eastAsia="Calibri" w:hAnsi="Calibri Light" w:cs="Calibri Light"/>
          <w:sz w:val="23"/>
          <w:szCs w:val="23"/>
        </w:rPr>
        <w:t xml:space="preserve">escalate </w:t>
      </w:r>
      <w:r w:rsidR="00CF4907">
        <w:rPr>
          <w:rFonts w:ascii="Calibri Light" w:eastAsia="Calibri" w:hAnsi="Calibri Light" w:cs="Calibri Light"/>
          <w:sz w:val="23"/>
          <w:szCs w:val="23"/>
        </w:rPr>
        <w:t>from March 2021, when both payments cease</w:t>
      </w:r>
      <w:r w:rsidR="00F00E3D" w:rsidRPr="00DD331C">
        <w:rPr>
          <w:rFonts w:ascii="Calibri Light" w:eastAsia="Calibri" w:hAnsi="Calibri Light" w:cs="Calibri Light"/>
          <w:sz w:val="23"/>
          <w:szCs w:val="23"/>
        </w:rPr>
        <w:t xml:space="preserve">. Longer term, </w:t>
      </w:r>
      <w:r>
        <w:rPr>
          <w:rFonts w:ascii="Calibri Light" w:eastAsia="Calibri" w:hAnsi="Calibri Light" w:cs="Calibri Light"/>
          <w:sz w:val="23"/>
          <w:szCs w:val="23"/>
        </w:rPr>
        <w:t>we can anticipate some</w:t>
      </w:r>
      <w:r w:rsidR="00F00E3D" w:rsidRPr="00DD331C">
        <w:rPr>
          <w:rFonts w:ascii="Calibri Light" w:eastAsia="Calibri" w:hAnsi="Calibri Light" w:cs="Calibri Light"/>
          <w:sz w:val="23"/>
          <w:szCs w:val="23"/>
        </w:rPr>
        <w:t xml:space="preserve"> changes</w:t>
      </w:r>
      <w:r>
        <w:rPr>
          <w:rFonts w:ascii="Calibri Light" w:eastAsia="Calibri" w:hAnsi="Calibri Light" w:cs="Calibri Light"/>
          <w:sz w:val="23"/>
          <w:szCs w:val="23"/>
        </w:rPr>
        <w:t>, and speculate about others. We may well see shifts in:</w:t>
      </w:r>
    </w:p>
    <w:p w14:paraId="4E528034" w14:textId="77777777" w:rsidR="00CE2E4E" w:rsidRPr="00CE2E4E" w:rsidRDefault="00CE2E4E" w:rsidP="008E34BD">
      <w:pPr>
        <w:spacing w:after="0" w:line="276" w:lineRule="auto"/>
        <w:rPr>
          <w:rFonts w:ascii="Calibri Light" w:eastAsia="Calibri" w:hAnsi="Calibri Light" w:cs="Calibri Light"/>
          <w:sz w:val="12"/>
          <w:szCs w:val="12"/>
        </w:rPr>
      </w:pPr>
    </w:p>
    <w:p w14:paraId="7B4DB403" w14:textId="77777777" w:rsidR="00F00E3D" w:rsidRPr="00DD331C" w:rsidRDefault="00F00E3D" w:rsidP="00364C5D">
      <w:pPr>
        <w:numPr>
          <w:ilvl w:val="0"/>
          <w:numId w:val="38"/>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how we work: more telecommuting and online work practices</w:t>
      </w:r>
    </w:p>
    <w:p w14:paraId="6EFFCAA0" w14:textId="47871017" w:rsidR="00F00E3D" w:rsidRPr="00DD331C" w:rsidRDefault="00F00E3D" w:rsidP="00364C5D">
      <w:pPr>
        <w:numPr>
          <w:ilvl w:val="0"/>
          <w:numId w:val="38"/>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how we shop: more online retailing and delivery services, but also more local shopping</w:t>
      </w:r>
    </w:p>
    <w:p w14:paraId="660D5FEC" w14:textId="77777777" w:rsidR="00F00E3D" w:rsidRPr="00DD331C" w:rsidRDefault="00F00E3D" w:rsidP="00364C5D">
      <w:pPr>
        <w:numPr>
          <w:ilvl w:val="0"/>
          <w:numId w:val="38"/>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how we live: more localisation and engagement with neighbours, neighbourhood shops, services and open spaces</w:t>
      </w:r>
    </w:p>
    <w:p w14:paraId="2A25CE0E" w14:textId="77777777" w:rsidR="00F00E3D" w:rsidRPr="00DD331C" w:rsidRDefault="00F00E3D" w:rsidP="00364C5D">
      <w:pPr>
        <w:numPr>
          <w:ilvl w:val="0"/>
          <w:numId w:val="38"/>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how we learn: different ways of learning and accessing education and training (online)</w:t>
      </w:r>
    </w:p>
    <w:p w14:paraId="075EC974" w14:textId="77777777" w:rsidR="00F00E3D" w:rsidRPr="00DD331C" w:rsidRDefault="00F00E3D" w:rsidP="00364C5D">
      <w:pPr>
        <w:numPr>
          <w:ilvl w:val="0"/>
          <w:numId w:val="38"/>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lastRenderedPageBreak/>
        <w:t>how we get around: more walking and cycling for pleasure, exercise, commuting, and slow travel</w:t>
      </w:r>
    </w:p>
    <w:p w14:paraId="5A631CDD" w14:textId="30F5AFAC" w:rsidR="00F00E3D" w:rsidRPr="00DD331C" w:rsidRDefault="00F00E3D" w:rsidP="00364C5D">
      <w:pPr>
        <w:numPr>
          <w:ilvl w:val="0"/>
          <w:numId w:val="38"/>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how we access health services: more telehealth and remote monitoring services</w:t>
      </w:r>
    </w:p>
    <w:p w14:paraId="27572D31" w14:textId="41496C1B" w:rsidR="00F00E3D" w:rsidRPr="00DD331C" w:rsidRDefault="00F00E3D" w:rsidP="00364C5D">
      <w:pPr>
        <w:numPr>
          <w:ilvl w:val="0"/>
          <w:numId w:val="38"/>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 xml:space="preserve">how we stay safe: perhaps less privacy, in return for </w:t>
      </w:r>
      <w:r w:rsidR="008E34BD">
        <w:rPr>
          <w:rFonts w:ascii="Calibri Light" w:eastAsia="Calibri" w:hAnsi="Calibri Light" w:cs="Calibri Light"/>
          <w:sz w:val="23"/>
          <w:szCs w:val="23"/>
        </w:rPr>
        <w:t xml:space="preserve">increased </w:t>
      </w:r>
      <w:r w:rsidRPr="00DD331C">
        <w:rPr>
          <w:rFonts w:ascii="Calibri Light" w:eastAsia="Calibri" w:hAnsi="Calibri Light" w:cs="Calibri Light"/>
          <w:sz w:val="23"/>
          <w:szCs w:val="23"/>
        </w:rPr>
        <w:t>safety</w:t>
      </w:r>
    </w:p>
    <w:p w14:paraId="566D81A6" w14:textId="3464C8DB" w:rsidR="00F00E3D" w:rsidRPr="00DD331C" w:rsidRDefault="00F00E3D" w:rsidP="00364C5D">
      <w:pPr>
        <w:numPr>
          <w:ilvl w:val="0"/>
          <w:numId w:val="38"/>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how we travel: less international travel</w:t>
      </w:r>
      <w:r w:rsidR="008E34BD">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and proportionally more local tourism</w:t>
      </w:r>
    </w:p>
    <w:p w14:paraId="421396C5" w14:textId="0B01229C" w:rsidR="00F00E3D" w:rsidRPr="00DD331C" w:rsidRDefault="00F00E3D" w:rsidP="00364C5D">
      <w:pPr>
        <w:numPr>
          <w:ilvl w:val="0"/>
          <w:numId w:val="38"/>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 xml:space="preserve">who we trust: more trust in experts and governments (although this is not universal: researchers note that conspiracy theories have flourished during the </w:t>
      </w:r>
      <w:r w:rsidR="008E34BD">
        <w:rPr>
          <w:rFonts w:ascii="Calibri Light" w:eastAsia="Calibri" w:hAnsi="Calibri Light" w:cs="Calibri Light"/>
          <w:sz w:val="23"/>
          <w:szCs w:val="23"/>
        </w:rPr>
        <w:t>pandemic</w:t>
      </w:r>
      <w:r w:rsidRPr="00DD331C">
        <w:rPr>
          <w:rFonts w:ascii="Calibri Light" w:eastAsia="Calibri" w:hAnsi="Calibri Light" w:cs="Calibri Light"/>
          <w:sz w:val="23"/>
          <w:szCs w:val="23"/>
        </w:rPr>
        <w:t xml:space="preserve">) </w:t>
      </w:r>
      <w:r w:rsidRPr="00DD331C">
        <w:rPr>
          <w:rFonts w:ascii="Calibri Light" w:eastAsia="Calibri" w:hAnsi="Calibri Light" w:cs="Calibri Light"/>
          <w:noProof/>
          <w:sz w:val="23"/>
          <w:szCs w:val="23"/>
        </w:rPr>
        <w:t>(Hornsey, 2020)</w:t>
      </w:r>
    </w:p>
    <w:p w14:paraId="50815588" w14:textId="60A1CAC5" w:rsidR="0063738D" w:rsidRDefault="00F00E3D" w:rsidP="00364C5D">
      <w:pPr>
        <w:numPr>
          <w:ilvl w:val="0"/>
          <w:numId w:val="38"/>
        </w:numPr>
        <w:spacing w:line="276" w:lineRule="auto"/>
        <w:contextualSpacing/>
        <w:rPr>
          <w:rFonts w:ascii="Calibri Light" w:eastAsia="Calibri" w:hAnsi="Calibri Light" w:cs="Calibri Light"/>
          <w:sz w:val="23"/>
          <w:szCs w:val="23"/>
        </w:rPr>
      </w:pPr>
      <w:r w:rsidRPr="00DD331C">
        <w:rPr>
          <w:rFonts w:ascii="Calibri Light" w:eastAsia="Calibri" w:hAnsi="Calibri Light" w:cs="Calibri Light"/>
          <w:sz w:val="23"/>
          <w:szCs w:val="23"/>
        </w:rPr>
        <w:t xml:space="preserve">how our supply </w:t>
      </w:r>
      <w:proofErr w:type="gramStart"/>
      <w:r w:rsidRPr="00DD331C">
        <w:rPr>
          <w:rFonts w:ascii="Calibri Light" w:eastAsia="Calibri" w:hAnsi="Calibri Light" w:cs="Calibri Light"/>
          <w:sz w:val="23"/>
          <w:szCs w:val="23"/>
        </w:rPr>
        <w:t>chains</w:t>
      </w:r>
      <w:proofErr w:type="gramEnd"/>
      <w:r w:rsidRPr="00DD331C">
        <w:rPr>
          <w:rFonts w:ascii="Calibri Light" w:eastAsia="Calibri" w:hAnsi="Calibri Light" w:cs="Calibri Light"/>
          <w:sz w:val="23"/>
          <w:szCs w:val="23"/>
        </w:rPr>
        <w:t xml:space="preserve"> function: a move to bring manufacturing </w:t>
      </w:r>
      <w:r w:rsidR="008E34BD">
        <w:rPr>
          <w:rFonts w:ascii="Calibri Light" w:eastAsia="Calibri" w:hAnsi="Calibri Light" w:cs="Calibri Light"/>
          <w:sz w:val="23"/>
          <w:szCs w:val="23"/>
        </w:rPr>
        <w:t xml:space="preserve">back </w:t>
      </w:r>
      <w:r w:rsidRPr="00DD331C">
        <w:rPr>
          <w:rFonts w:ascii="Calibri Light" w:eastAsia="Calibri" w:hAnsi="Calibri Light" w:cs="Calibri Light"/>
          <w:sz w:val="23"/>
          <w:szCs w:val="23"/>
        </w:rPr>
        <w:t>home.</w:t>
      </w:r>
    </w:p>
    <w:p w14:paraId="0D628914" w14:textId="77777777" w:rsidR="00CE2E4E" w:rsidRPr="008E34BD" w:rsidRDefault="00CE2E4E" w:rsidP="00CE2E4E">
      <w:pPr>
        <w:spacing w:line="276" w:lineRule="auto"/>
        <w:contextualSpacing/>
        <w:rPr>
          <w:rFonts w:ascii="Calibri Light" w:eastAsia="Calibri" w:hAnsi="Calibri Light" w:cs="Calibri Light"/>
          <w:sz w:val="16"/>
          <w:szCs w:val="16"/>
        </w:rPr>
      </w:pPr>
    </w:p>
    <w:p w14:paraId="2DA5864F" w14:textId="2281E167" w:rsidR="00F00E3D" w:rsidRPr="00DD331C" w:rsidRDefault="00F00E3D" w:rsidP="004F5260">
      <w:pPr>
        <w:spacing w:line="276" w:lineRule="auto"/>
        <w:rPr>
          <w:rFonts w:ascii="Calibri Light" w:eastAsia="Calibri" w:hAnsi="Calibri Light" w:cs="Calibri Light"/>
          <w:sz w:val="23"/>
          <w:szCs w:val="23"/>
        </w:rPr>
      </w:pPr>
      <w:r w:rsidRPr="00DD331C">
        <w:rPr>
          <w:rFonts w:ascii="Calibri Light" w:eastAsia="Calibri" w:hAnsi="Calibri Light" w:cs="Calibri Light"/>
          <w:sz w:val="23"/>
          <w:szCs w:val="23"/>
        </w:rPr>
        <w:t>There will be a</w:t>
      </w:r>
      <w:r w:rsidR="004F5260">
        <w:rPr>
          <w:rFonts w:ascii="Calibri Light" w:eastAsia="Calibri" w:hAnsi="Calibri Light" w:cs="Calibri Light"/>
          <w:sz w:val="23"/>
          <w:szCs w:val="23"/>
        </w:rPr>
        <w:t>n ongoing</w:t>
      </w:r>
      <w:r w:rsidRPr="00DD331C">
        <w:rPr>
          <w:rFonts w:ascii="Calibri Light" w:eastAsia="Calibri" w:hAnsi="Calibri Light" w:cs="Calibri Light"/>
          <w:sz w:val="23"/>
          <w:szCs w:val="23"/>
        </w:rPr>
        <w:t xml:space="preserve"> need to support </w:t>
      </w:r>
      <w:r w:rsidR="00171D37">
        <w:rPr>
          <w:rFonts w:ascii="Calibri Light" w:eastAsia="Calibri" w:hAnsi="Calibri Light" w:cs="Calibri Light"/>
          <w:sz w:val="23"/>
          <w:szCs w:val="23"/>
        </w:rPr>
        <w:t>Geelong’s</w:t>
      </w:r>
      <w:r w:rsidRPr="00DD331C">
        <w:rPr>
          <w:rFonts w:ascii="Calibri Light" w:eastAsia="Calibri" w:hAnsi="Calibri Light" w:cs="Calibri Light"/>
          <w:sz w:val="23"/>
          <w:szCs w:val="23"/>
        </w:rPr>
        <w:t xml:space="preserve"> hardest</w:t>
      </w:r>
      <w:r w:rsidR="004F5260">
        <w:rPr>
          <w:rFonts w:ascii="Calibri Light" w:eastAsia="Calibri" w:hAnsi="Calibri Light" w:cs="Calibri Light"/>
          <w:sz w:val="23"/>
          <w:szCs w:val="23"/>
        </w:rPr>
        <w:t>-</w:t>
      </w:r>
      <w:r w:rsidRPr="00DD331C">
        <w:rPr>
          <w:rFonts w:ascii="Calibri Light" w:eastAsia="Calibri" w:hAnsi="Calibri Light" w:cs="Calibri Light"/>
          <w:sz w:val="23"/>
          <w:szCs w:val="23"/>
        </w:rPr>
        <w:t>hit sectors</w:t>
      </w:r>
      <w:r w:rsidR="004F5260">
        <w:rPr>
          <w:rFonts w:ascii="Calibri Light" w:eastAsia="Calibri" w:hAnsi="Calibri Light" w:cs="Calibri Light"/>
          <w:sz w:val="23"/>
          <w:szCs w:val="23"/>
        </w:rPr>
        <w:t>. There are</w:t>
      </w:r>
      <w:r w:rsidRPr="00DD331C">
        <w:rPr>
          <w:rFonts w:ascii="Calibri Light" w:eastAsia="Calibri" w:hAnsi="Calibri Light" w:cs="Calibri Light"/>
          <w:sz w:val="23"/>
          <w:szCs w:val="23"/>
        </w:rPr>
        <w:t xml:space="preserve"> </w:t>
      </w:r>
      <w:r w:rsidR="00940D80">
        <w:rPr>
          <w:rFonts w:ascii="Calibri Light" w:eastAsia="Calibri" w:hAnsi="Calibri Light" w:cs="Calibri Light"/>
          <w:sz w:val="23"/>
          <w:szCs w:val="23"/>
        </w:rPr>
        <w:t>COVID</w:t>
      </w:r>
      <w:r w:rsidRPr="00DD331C">
        <w:rPr>
          <w:rFonts w:ascii="Calibri Light" w:eastAsia="Calibri" w:hAnsi="Calibri Light" w:cs="Calibri Light"/>
          <w:sz w:val="23"/>
          <w:szCs w:val="23"/>
        </w:rPr>
        <w:t>-</w:t>
      </w:r>
      <w:r w:rsidR="008E34BD">
        <w:rPr>
          <w:rFonts w:ascii="Calibri Light" w:eastAsia="Calibri" w:hAnsi="Calibri Light" w:cs="Calibri Light"/>
          <w:sz w:val="23"/>
          <w:szCs w:val="23"/>
        </w:rPr>
        <w:t>s</w:t>
      </w:r>
      <w:r w:rsidRPr="00DD331C">
        <w:rPr>
          <w:rFonts w:ascii="Calibri Light" w:eastAsia="Calibri" w:hAnsi="Calibri Light" w:cs="Calibri Light"/>
          <w:sz w:val="23"/>
          <w:szCs w:val="23"/>
        </w:rPr>
        <w:t xml:space="preserve">afe </w:t>
      </w:r>
      <w:r w:rsidR="008E34BD">
        <w:rPr>
          <w:rFonts w:ascii="Calibri Light" w:eastAsia="Calibri" w:hAnsi="Calibri Light" w:cs="Calibri Light"/>
          <w:sz w:val="23"/>
          <w:szCs w:val="23"/>
        </w:rPr>
        <w:t xml:space="preserve">practices being embedded in many </w:t>
      </w:r>
      <w:r w:rsidR="004F5260">
        <w:rPr>
          <w:rFonts w:ascii="Calibri Light" w:eastAsia="Calibri" w:hAnsi="Calibri Light" w:cs="Calibri Light"/>
          <w:sz w:val="23"/>
          <w:szCs w:val="23"/>
        </w:rPr>
        <w:t>businesses and industries</w:t>
      </w:r>
      <w:r w:rsidRPr="00DD331C">
        <w:rPr>
          <w:rFonts w:ascii="Calibri Light" w:eastAsia="Calibri" w:hAnsi="Calibri Light" w:cs="Calibri Light"/>
          <w:sz w:val="23"/>
          <w:szCs w:val="23"/>
        </w:rPr>
        <w:t xml:space="preserve">, </w:t>
      </w:r>
      <w:r w:rsidR="008E34BD">
        <w:rPr>
          <w:rFonts w:ascii="Calibri Light" w:eastAsia="Calibri" w:hAnsi="Calibri Light" w:cs="Calibri Light"/>
          <w:sz w:val="23"/>
          <w:szCs w:val="23"/>
        </w:rPr>
        <w:t>and</w:t>
      </w:r>
      <w:r w:rsidRPr="00DD331C">
        <w:rPr>
          <w:rFonts w:ascii="Calibri Light" w:eastAsia="Calibri" w:hAnsi="Calibri Light" w:cs="Calibri Light"/>
          <w:sz w:val="23"/>
          <w:szCs w:val="23"/>
        </w:rPr>
        <w:t xml:space="preserve"> </w:t>
      </w:r>
      <w:r w:rsidR="004F5260">
        <w:rPr>
          <w:rFonts w:ascii="Calibri Light" w:eastAsia="Calibri" w:hAnsi="Calibri Light" w:cs="Calibri Light"/>
          <w:sz w:val="23"/>
          <w:szCs w:val="23"/>
        </w:rPr>
        <w:t>discussion of</w:t>
      </w:r>
      <w:r w:rsidR="008E34BD">
        <w:rPr>
          <w:rFonts w:ascii="Calibri Light" w:eastAsia="Calibri" w:hAnsi="Calibri Light" w:cs="Calibri Light"/>
          <w:sz w:val="23"/>
          <w:szCs w:val="23"/>
        </w:rPr>
        <w:t xml:space="preserve"> </w:t>
      </w:r>
      <w:r w:rsidRPr="00DD331C">
        <w:rPr>
          <w:rFonts w:ascii="Calibri Light" w:eastAsia="Calibri" w:hAnsi="Calibri Light" w:cs="Calibri Light"/>
          <w:sz w:val="23"/>
          <w:szCs w:val="23"/>
        </w:rPr>
        <w:t>travel bubbles with other regions, states</w:t>
      </w:r>
      <w:r w:rsidR="008E34BD">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and safe countries (perhaps </w:t>
      </w:r>
      <w:r w:rsidR="004F5260">
        <w:rPr>
          <w:rFonts w:ascii="Calibri Light" w:eastAsia="Calibri" w:hAnsi="Calibri Light" w:cs="Calibri Light"/>
          <w:sz w:val="23"/>
          <w:szCs w:val="23"/>
        </w:rPr>
        <w:t>using</w:t>
      </w:r>
      <w:r w:rsidRPr="00DD331C">
        <w:rPr>
          <w:rFonts w:ascii="Calibri Light" w:eastAsia="Calibri" w:hAnsi="Calibri Light" w:cs="Calibri Light"/>
          <w:sz w:val="23"/>
          <w:szCs w:val="23"/>
        </w:rPr>
        <w:t xml:space="preserve"> Avalon Airport </w:t>
      </w:r>
      <w:r w:rsidR="004F5260">
        <w:rPr>
          <w:rFonts w:ascii="Calibri Light" w:eastAsia="Calibri" w:hAnsi="Calibri Light" w:cs="Calibri Light"/>
          <w:sz w:val="23"/>
          <w:szCs w:val="23"/>
        </w:rPr>
        <w:t>as a potential alternative to Tullamarine</w:t>
      </w:r>
      <w:r w:rsidRPr="00DD331C">
        <w:rPr>
          <w:rFonts w:ascii="Calibri Light" w:eastAsia="Calibri" w:hAnsi="Calibri Light" w:cs="Calibri Light"/>
          <w:sz w:val="23"/>
          <w:szCs w:val="23"/>
        </w:rPr>
        <w:t>)</w:t>
      </w:r>
      <w:r w:rsidR="004F5260">
        <w:rPr>
          <w:rFonts w:ascii="Calibri Light" w:eastAsia="Calibri" w:hAnsi="Calibri Light" w:cs="Calibri Light"/>
          <w:sz w:val="23"/>
          <w:szCs w:val="23"/>
        </w:rPr>
        <w:t>.</w:t>
      </w:r>
      <w:r w:rsidRPr="00DD331C">
        <w:rPr>
          <w:rFonts w:ascii="Calibri Light" w:eastAsia="Calibri" w:hAnsi="Calibri Light" w:cs="Calibri Light"/>
          <w:sz w:val="23"/>
          <w:szCs w:val="23"/>
        </w:rPr>
        <w:t xml:space="preserve"> </w:t>
      </w:r>
      <w:r w:rsidR="004F5260">
        <w:rPr>
          <w:rFonts w:ascii="Calibri Light" w:eastAsia="Calibri" w:hAnsi="Calibri Light" w:cs="Calibri Light"/>
          <w:sz w:val="23"/>
          <w:szCs w:val="23"/>
        </w:rPr>
        <w:t xml:space="preserve">To lay a strong foundation for the City’s future, there is also </w:t>
      </w:r>
      <w:r w:rsidR="00171D37">
        <w:rPr>
          <w:rFonts w:ascii="Calibri Light" w:eastAsia="Calibri" w:hAnsi="Calibri Light" w:cs="Calibri Light"/>
          <w:sz w:val="23"/>
          <w:szCs w:val="23"/>
        </w:rPr>
        <w:t>a need</w:t>
      </w:r>
      <w:r w:rsidR="004F5260">
        <w:rPr>
          <w:rFonts w:ascii="Calibri Light" w:eastAsia="Calibri" w:hAnsi="Calibri Light" w:cs="Calibri Light"/>
          <w:sz w:val="23"/>
          <w:szCs w:val="23"/>
        </w:rPr>
        <w:t xml:space="preserve"> to engage </w:t>
      </w:r>
      <w:r w:rsidRPr="00DD331C">
        <w:rPr>
          <w:rFonts w:ascii="Calibri Light" w:eastAsia="Calibri" w:hAnsi="Calibri Light" w:cs="Calibri Light"/>
          <w:sz w:val="23"/>
          <w:szCs w:val="23"/>
        </w:rPr>
        <w:t xml:space="preserve">key sectors of the Geelong economy </w:t>
      </w:r>
      <w:r w:rsidR="004F5260">
        <w:rPr>
          <w:rFonts w:ascii="Calibri Light" w:eastAsia="Calibri" w:hAnsi="Calibri Light" w:cs="Calibri Light"/>
          <w:sz w:val="23"/>
          <w:szCs w:val="23"/>
        </w:rPr>
        <w:t>in</w:t>
      </w:r>
      <w:r w:rsidRPr="004F5260">
        <w:rPr>
          <w:rFonts w:ascii="Calibri Light" w:eastAsia="Calibri" w:hAnsi="Calibri Light" w:cs="Calibri Light"/>
          <w:sz w:val="23"/>
          <w:szCs w:val="23"/>
        </w:rPr>
        <w:t xml:space="preserve"> a diversified specialisation strategy that </w:t>
      </w:r>
      <w:r w:rsidR="004F5260">
        <w:rPr>
          <w:rFonts w:ascii="Calibri Light" w:eastAsia="Calibri" w:hAnsi="Calibri Light" w:cs="Calibri Light"/>
          <w:sz w:val="23"/>
          <w:szCs w:val="23"/>
        </w:rPr>
        <w:t>leverages and</w:t>
      </w:r>
      <w:r w:rsidRPr="004F5260">
        <w:rPr>
          <w:rFonts w:ascii="Calibri Light" w:eastAsia="Calibri" w:hAnsi="Calibri Light" w:cs="Calibri Light"/>
          <w:sz w:val="23"/>
          <w:szCs w:val="23"/>
        </w:rPr>
        <w:t xml:space="preserve"> builds on </w:t>
      </w:r>
      <w:r w:rsidR="004F5260" w:rsidRPr="004F5260">
        <w:rPr>
          <w:rFonts w:ascii="Calibri Light" w:eastAsia="Calibri" w:hAnsi="Calibri Light" w:cs="Calibri Light"/>
          <w:sz w:val="23"/>
          <w:szCs w:val="23"/>
        </w:rPr>
        <w:t xml:space="preserve">local </w:t>
      </w:r>
      <w:r w:rsidRPr="004F5260">
        <w:rPr>
          <w:rFonts w:ascii="Calibri Light" w:eastAsia="Calibri" w:hAnsi="Calibri Light" w:cs="Calibri Light"/>
          <w:sz w:val="23"/>
          <w:szCs w:val="23"/>
        </w:rPr>
        <w:t>expertise.</w:t>
      </w:r>
    </w:p>
    <w:p w14:paraId="22A4BFBA" w14:textId="37820A75" w:rsidR="00F00E3D" w:rsidRPr="00CE2E4E" w:rsidRDefault="004F5260" w:rsidP="004F5260">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 xml:space="preserve">In the </w:t>
      </w:r>
      <w:r w:rsidR="00171D37">
        <w:rPr>
          <w:rFonts w:ascii="Calibri Light" w:eastAsia="Calibri" w:hAnsi="Calibri Light" w:cs="Calibri Light"/>
          <w:sz w:val="23"/>
          <w:szCs w:val="23"/>
        </w:rPr>
        <w:t>next section,</w:t>
      </w:r>
      <w:r>
        <w:rPr>
          <w:rFonts w:ascii="Calibri Light" w:eastAsia="Calibri" w:hAnsi="Calibri Light" w:cs="Calibri Light"/>
          <w:sz w:val="23"/>
          <w:szCs w:val="23"/>
        </w:rPr>
        <w:t xml:space="preserve"> we </w:t>
      </w:r>
      <w:r w:rsidR="00171D37">
        <w:rPr>
          <w:rFonts w:ascii="Calibri Light" w:eastAsia="Calibri" w:hAnsi="Calibri Light" w:cs="Calibri Light"/>
          <w:sz w:val="23"/>
          <w:szCs w:val="23"/>
        </w:rPr>
        <w:t>examine</w:t>
      </w:r>
      <w:r>
        <w:rPr>
          <w:rFonts w:ascii="Calibri Light" w:eastAsia="Calibri" w:hAnsi="Calibri Light" w:cs="Calibri Light"/>
          <w:sz w:val="23"/>
          <w:szCs w:val="23"/>
        </w:rPr>
        <w:t xml:space="preserve"> </w:t>
      </w:r>
      <w:r w:rsidR="00171D37">
        <w:rPr>
          <w:rFonts w:ascii="Calibri Light" w:eastAsia="Calibri" w:hAnsi="Calibri Light" w:cs="Calibri Light"/>
          <w:sz w:val="23"/>
          <w:szCs w:val="23"/>
        </w:rPr>
        <w:t>how</w:t>
      </w:r>
      <w:r w:rsidR="00F00E3D" w:rsidRPr="00DD331C">
        <w:rPr>
          <w:rFonts w:ascii="Calibri Light" w:eastAsia="Calibri" w:hAnsi="Calibri Light" w:cs="Calibri Light"/>
          <w:sz w:val="23"/>
          <w:szCs w:val="23"/>
        </w:rPr>
        <w:t xml:space="preserve"> </w:t>
      </w:r>
      <w:r w:rsidR="00940D80">
        <w:rPr>
          <w:rFonts w:ascii="Calibri Light" w:eastAsia="Calibri" w:hAnsi="Calibri Light" w:cs="Calibri Light"/>
          <w:sz w:val="23"/>
          <w:szCs w:val="23"/>
        </w:rPr>
        <w:t>COVID</w:t>
      </w:r>
      <w:r w:rsidR="00F00E3D" w:rsidRPr="00DD331C">
        <w:rPr>
          <w:rFonts w:ascii="Calibri Light" w:eastAsia="Calibri" w:hAnsi="Calibri Light" w:cs="Calibri Light"/>
          <w:sz w:val="23"/>
          <w:szCs w:val="23"/>
        </w:rPr>
        <w:t xml:space="preserve">-19 </w:t>
      </w:r>
      <w:r>
        <w:rPr>
          <w:rFonts w:ascii="Calibri Light" w:eastAsia="Calibri" w:hAnsi="Calibri Light" w:cs="Calibri Light"/>
          <w:sz w:val="23"/>
          <w:szCs w:val="23"/>
        </w:rPr>
        <w:t>has impacted</w:t>
      </w:r>
      <w:r w:rsidR="00F00E3D" w:rsidRPr="00DD331C">
        <w:rPr>
          <w:rFonts w:ascii="Calibri Light" w:eastAsia="Calibri" w:hAnsi="Calibri Light" w:cs="Calibri Light"/>
          <w:sz w:val="23"/>
          <w:szCs w:val="23"/>
        </w:rPr>
        <w:t xml:space="preserve"> the mo</w:t>
      </w:r>
      <w:r>
        <w:rPr>
          <w:rFonts w:ascii="Calibri Light" w:eastAsia="Calibri" w:hAnsi="Calibri Light" w:cs="Calibri Light"/>
          <w:sz w:val="23"/>
          <w:szCs w:val="23"/>
        </w:rPr>
        <w:t>re</w:t>
      </w:r>
      <w:r w:rsidR="00F00E3D" w:rsidRPr="00DD331C">
        <w:rPr>
          <w:rFonts w:ascii="Calibri Light" w:eastAsia="Calibri" w:hAnsi="Calibri Light" w:cs="Calibri Light"/>
          <w:sz w:val="23"/>
          <w:szCs w:val="23"/>
        </w:rPr>
        <w:t xml:space="preserve"> disadvantaged areas of </w:t>
      </w:r>
      <w:r>
        <w:rPr>
          <w:rFonts w:ascii="Calibri Light" w:eastAsia="Calibri" w:hAnsi="Calibri Light" w:cs="Calibri Light"/>
          <w:sz w:val="23"/>
          <w:szCs w:val="23"/>
        </w:rPr>
        <w:t>Greater Geelong</w:t>
      </w:r>
      <w:r w:rsidR="00F00E3D" w:rsidRPr="00DD331C">
        <w:rPr>
          <w:rFonts w:ascii="Calibri Light" w:eastAsia="Calibri" w:hAnsi="Calibri Light" w:cs="Calibri Light"/>
          <w:sz w:val="23"/>
          <w:szCs w:val="23"/>
        </w:rPr>
        <w:t>, in particular Corio, Norlane</w:t>
      </w:r>
      <w:r w:rsidR="00CE2E4E">
        <w:rPr>
          <w:rFonts w:ascii="Calibri Light" w:eastAsia="Calibri" w:hAnsi="Calibri Light" w:cs="Calibri Light"/>
          <w:sz w:val="23"/>
          <w:szCs w:val="23"/>
        </w:rPr>
        <w:t>,</w:t>
      </w:r>
      <w:r w:rsidR="00F00E3D" w:rsidRPr="00DD331C">
        <w:rPr>
          <w:rFonts w:ascii="Calibri Light" w:eastAsia="Calibri" w:hAnsi="Calibri Light" w:cs="Calibri Light"/>
          <w:sz w:val="23"/>
          <w:szCs w:val="23"/>
        </w:rPr>
        <w:t xml:space="preserve"> and Whittington.</w:t>
      </w:r>
      <w:r w:rsidR="00F00E3D">
        <w:rPr>
          <w:rFonts w:eastAsia="Calibri" w:cstheme="minorHAnsi"/>
          <w:b/>
          <w:color w:val="C00000"/>
          <w:sz w:val="32"/>
          <w:szCs w:val="32"/>
        </w:rPr>
        <w:br w:type="page"/>
      </w:r>
    </w:p>
    <w:p w14:paraId="255C1A17" w14:textId="0C01AE3F" w:rsidR="00F00E3D" w:rsidRPr="003710F5" w:rsidRDefault="00AE1456" w:rsidP="009B2FA7">
      <w:pPr>
        <w:spacing w:line="276" w:lineRule="auto"/>
        <w:rPr>
          <w:rFonts w:ascii="Calibri Light" w:eastAsia="Calibri" w:hAnsi="Calibri Light" w:cs="Calibri Light"/>
          <w:color w:val="2F5496" w:themeColor="accent1" w:themeShade="BF"/>
        </w:rPr>
      </w:pPr>
      <w:r w:rsidRPr="003710F5">
        <w:rPr>
          <w:rFonts w:eastAsia="Calibri" w:cstheme="minorHAnsi"/>
          <w:b/>
          <w:color w:val="2F5496" w:themeColor="accent1" w:themeShade="BF"/>
          <w:sz w:val="32"/>
          <w:szCs w:val="32"/>
        </w:rPr>
        <w:lastRenderedPageBreak/>
        <w:t xml:space="preserve">SECTION </w:t>
      </w:r>
      <w:r w:rsidR="005C43EE" w:rsidRPr="003710F5">
        <w:rPr>
          <w:rFonts w:eastAsia="Calibri" w:cstheme="minorHAnsi"/>
          <w:b/>
          <w:color w:val="2F5496" w:themeColor="accent1" w:themeShade="BF"/>
          <w:sz w:val="32"/>
          <w:szCs w:val="32"/>
        </w:rPr>
        <w:t>7:</w:t>
      </w:r>
      <w:r w:rsidR="00F00E3D" w:rsidRPr="003710F5">
        <w:rPr>
          <w:rFonts w:eastAsia="Calibri" w:cstheme="minorHAnsi"/>
          <w:b/>
          <w:color w:val="2F5496" w:themeColor="accent1" w:themeShade="BF"/>
          <w:sz w:val="32"/>
          <w:szCs w:val="32"/>
        </w:rPr>
        <w:t xml:space="preserve">  </w:t>
      </w:r>
      <w:r w:rsidR="00FE6CB9" w:rsidRPr="003710F5">
        <w:rPr>
          <w:rFonts w:eastAsia="Calibri" w:cstheme="minorHAnsi"/>
          <w:b/>
          <w:color w:val="2F5496" w:themeColor="accent1" w:themeShade="BF"/>
          <w:sz w:val="32"/>
          <w:szCs w:val="32"/>
        </w:rPr>
        <w:t>Data Scan:</w:t>
      </w:r>
      <w:r w:rsidRPr="003710F5">
        <w:rPr>
          <w:rFonts w:eastAsia="Calibri" w:cstheme="minorHAnsi"/>
          <w:b/>
          <w:color w:val="2F5496" w:themeColor="accent1" w:themeShade="BF"/>
          <w:sz w:val="32"/>
          <w:szCs w:val="32"/>
        </w:rPr>
        <w:t xml:space="preserve"> COVID-19</w:t>
      </w:r>
      <w:r w:rsidR="00FE6CB9" w:rsidRPr="003710F5">
        <w:rPr>
          <w:rFonts w:eastAsia="Calibri" w:cstheme="minorHAnsi"/>
          <w:b/>
          <w:color w:val="2F5496" w:themeColor="accent1" w:themeShade="BF"/>
          <w:sz w:val="32"/>
          <w:szCs w:val="32"/>
        </w:rPr>
        <w:t xml:space="preserve"> Impacts</w:t>
      </w:r>
      <w:r w:rsidRPr="003710F5">
        <w:rPr>
          <w:rFonts w:eastAsia="Calibri" w:cstheme="minorHAnsi"/>
          <w:b/>
          <w:color w:val="2F5496" w:themeColor="accent1" w:themeShade="BF"/>
          <w:sz w:val="32"/>
          <w:szCs w:val="32"/>
        </w:rPr>
        <w:t xml:space="preserve"> on</w:t>
      </w:r>
      <w:r w:rsidR="00F00E3D" w:rsidRPr="003710F5">
        <w:rPr>
          <w:rFonts w:eastAsia="Calibri" w:cstheme="minorHAnsi"/>
          <w:b/>
          <w:color w:val="2F5496" w:themeColor="accent1" w:themeShade="BF"/>
          <w:sz w:val="32"/>
          <w:szCs w:val="32"/>
        </w:rPr>
        <w:t xml:space="preserve"> Corio, Norlane</w:t>
      </w:r>
      <w:r w:rsidRPr="003710F5">
        <w:rPr>
          <w:rFonts w:eastAsia="Calibri" w:cstheme="minorHAnsi"/>
          <w:b/>
          <w:color w:val="2F5496" w:themeColor="accent1" w:themeShade="BF"/>
          <w:sz w:val="32"/>
          <w:szCs w:val="32"/>
        </w:rPr>
        <w:t>,</w:t>
      </w:r>
      <w:r w:rsidR="00F00E3D" w:rsidRPr="003710F5">
        <w:rPr>
          <w:rFonts w:eastAsia="Calibri" w:cstheme="minorHAnsi"/>
          <w:b/>
          <w:color w:val="2F5496" w:themeColor="accent1" w:themeShade="BF"/>
          <w:sz w:val="32"/>
          <w:szCs w:val="32"/>
        </w:rPr>
        <w:t xml:space="preserve"> and Whittington </w:t>
      </w:r>
    </w:p>
    <w:p w14:paraId="59619DD3" w14:textId="306DA3E3" w:rsidR="00F00E3D" w:rsidRPr="003710F5" w:rsidRDefault="005C43EE" w:rsidP="009B2FA7">
      <w:pPr>
        <w:spacing w:line="276" w:lineRule="auto"/>
        <w:rPr>
          <w:rFonts w:eastAsia="Calibri" w:cstheme="minorHAnsi"/>
          <w:b/>
          <w:bCs/>
          <w:color w:val="2F5496" w:themeColor="accent1" w:themeShade="BF"/>
          <w:sz w:val="28"/>
          <w:szCs w:val="28"/>
        </w:rPr>
      </w:pPr>
      <w:r w:rsidRPr="003710F5">
        <w:rPr>
          <w:rFonts w:eastAsia="Calibri" w:cstheme="minorHAnsi"/>
          <w:b/>
          <w:color w:val="2F5496" w:themeColor="accent1" w:themeShade="BF"/>
          <w:sz w:val="28"/>
          <w:szCs w:val="28"/>
        </w:rPr>
        <w:t>7</w:t>
      </w:r>
      <w:r w:rsidR="00F00E3D" w:rsidRPr="003710F5">
        <w:rPr>
          <w:rFonts w:eastAsia="Calibri" w:cstheme="minorHAnsi"/>
          <w:b/>
          <w:color w:val="2F5496" w:themeColor="accent1" w:themeShade="BF"/>
          <w:sz w:val="28"/>
          <w:szCs w:val="28"/>
        </w:rPr>
        <w:t xml:space="preserve">.1 </w:t>
      </w:r>
      <w:r w:rsidR="00F00E3D" w:rsidRPr="003710F5">
        <w:rPr>
          <w:rFonts w:eastAsia="Calibri" w:cstheme="minorHAnsi"/>
          <w:b/>
          <w:bCs/>
          <w:color w:val="2F5496" w:themeColor="accent1" w:themeShade="BF"/>
          <w:sz w:val="28"/>
          <w:szCs w:val="28"/>
        </w:rPr>
        <w:t xml:space="preserve">Introducing </w:t>
      </w:r>
      <w:r w:rsidR="0063738D" w:rsidRPr="003710F5">
        <w:rPr>
          <w:rFonts w:eastAsia="Calibri" w:cstheme="minorHAnsi"/>
          <w:b/>
          <w:bCs/>
          <w:color w:val="2F5496" w:themeColor="accent1" w:themeShade="BF"/>
          <w:sz w:val="28"/>
          <w:szCs w:val="28"/>
        </w:rPr>
        <w:t>the Three Localities</w:t>
      </w:r>
    </w:p>
    <w:p w14:paraId="10F08DB5" w14:textId="4A38BB3D" w:rsidR="00F00E3D" w:rsidRPr="00E91887" w:rsidRDefault="00F00E3D" w:rsidP="009B2FA7">
      <w:pPr>
        <w:spacing w:line="276" w:lineRule="auto"/>
        <w:rPr>
          <w:rFonts w:asciiTheme="majorHAnsi" w:hAnsiTheme="majorHAnsi" w:cstheme="majorHAnsi"/>
          <w:sz w:val="23"/>
          <w:szCs w:val="23"/>
        </w:rPr>
      </w:pPr>
      <w:r w:rsidRPr="00E91887">
        <w:rPr>
          <w:rFonts w:asciiTheme="majorHAnsi" w:hAnsiTheme="majorHAnsi" w:cstheme="majorHAnsi"/>
          <w:sz w:val="23"/>
          <w:szCs w:val="23"/>
        </w:rPr>
        <w:t>Located on the northern edge of Geelong,</w:t>
      </w:r>
      <w:r w:rsidR="00171D37">
        <w:rPr>
          <w:rFonts w:asciiTheme="majorHAnsi" w:hAnsiTheme="majorHAnsi" w:cstheme="majorHAnsi"/>
          <w:sz w:val="23"/>
          <w:szCs w:val="23"/>
        </w:rPr>
        <w:t xml:space="preserve"> </w:t>
      </w:r>
      <w:r w:rsidRPr="00E91887">
        <w:rPr>
          <w:rFonts w:asciiTheme="majorHAnsi" w:hAnsiTheme="majorHAnsi" w:cstheme="majorHAnsi"/>
          <w:sz w:val="23"/>
          <w:szCs w:val="23"/>
        </w:rPr>
        <w:t xml:space="preserve">Corio has its origins in the idealism and land speculation that characterised Geelong in the 1920s. </w:t>
      </w:r>
      <w:r w:rsidR="00171D37">
        <w:rPr>
          <w:rFonts w:asciiTheme="majorHAnsi" w:hAnsiTheme="majorHAnsi" w:cstheme="majorHAnsi"/>
          <w:sz w:val="23"/>
          <w:szCs w:val="23"/>
        </w:rPr>
        <w:t>During this time</w:t>
      </w:r>
      <w:r w:rsidRPr="00E91887">
        <w:rPr>
          <w:rFonts w:asciiTheme="majorHAnsi" w:hAnsiTheme="majorHAnsi" w:cstheme="majorHAnsi"/>
          <w:sz w:val="23"/>
          <w:szCs w:val="23"/>
        </w:rPr>
        <w:t xml:space="preserve"> major industries were moving into the </w:t>
      </w:r>
      <w:r w:rsidR="00171D37">
        <w:rPr>
          <w:rFonts w:asciiTheme="majorHAnsi" w:hAnsiTheme="majorHAnsi" w:cstheme="majorHAnsi"/>
          <w:sz w:val="23"/>
          <w:szCs w:val="23"/>
        </w:rPr>
        <w:t>C</w:t>
      </w:r>
      <w:r w:rsidRPr="00E91887">
        <w:rPr>
          <w:rFonts w:asciiTheme="majorHAnsi" w:hAnsiTheme="majorHAnsi" w:cstheme="majorHAnsi"/>
          <w:sz w:val="23"/>
          <w:szCs w:val="23"/>
        </w:rPr>
        <w:t xml:space="preserve">ity, particularly the Ford Motor Company. </w:t>
      </w:r>
      <w:r w:rsidR="00171D37">
        <w:rPr>
          <w:rFonts w:asciiTheme="majorHAnsi" w:hAnsiTheme="majorHAnsi" w:cstheme="majorHAnsi"/>
          <w:sz w:val="23"/>
          <w:szCs w:val="23"/>
        </w:rPr>
        <w:t>With an</w:t>
      </w:r>
      <w:r w:rsidRPr="00E91887">
        <w:rPr>
          <w:rFonts w:asciiTheme="majorHAnsi" w:hAnsiTheme="majorHAnsi" w:cstheme="majorHAnsi"/>
          <w:sz w:val="23"/>
          <w:szCs w:val="23"/>
        </w:rPr>
        <w:t xml:space="preserve"> expanding market for</w:t>
      </w:r>
      <w:r w:rsidR="00171D37">
        <w:rPr>
          <w:rFonts w:asciiTheme="majorHAnsi" w:hAnsiTheme="majorHAnsi" w:cstheme="majorHAnsi"/>
          <w:sz w:val="23"/>
          <w:szCs w:val="23"/>
        </w:rPr>
        <w:t xml:space="preserve"> local</w:t>
      </w:r>
      <w:r w:rsidRPr="00E91887">
        <w:rPr>
          <w:rFonts w:asciiTheme="majorHAnsi" w:hAnsiTheme="majorHAnsi" w:cstheme="majorHAnsi"/>
          <w:sz w:val="23"/>
          <w:szCs w:val="23"/>
        </w:rPr>
        <w:t xml:space="preserve"> land, a town planning movement </w:t>
      </w:r>
      <w:r w:rsidR="00171D37">
        <w:rPr>
          <w:rFonts w:asciiTheme="majorHAnsi" w:hAnsiTheme="majorHAnsi" w:cstheme="majorHAnsi"/>
          <w:sz w:val="23"/>
          <w:szCs w:val="23"/>
        </w:rPr>
        <w:t>proposed</w:t>
      </w:r>
      <w:r w:rsidRPr="00E91887">
        <w:rPr>
          <w:rFonts w:asciiTheme="majorHAnsi" w:hAnsiTheme="majorHAnsi" w:cstheme="majorHAnsi"/>
          <w:sz w:val="23"/>
          <w:szCs w:val="23"/>
        </w:rPr>
        <w:t xml:space="preserve"> </w:t>
      </w:r>
      <w:r w:rsidR="00171D37">
        <w:rPr>
          <w:rFonts w:asciiTheme="majorHAnsi" w:hAnsiTheme="majorHAnsi" w:cstheme="majorHAnsi"/>
          <w:sz w:val="23"/>
          <w:szCs w:val="23"/>
        </w:rPr>
        <w:t>the “</w:t>
      </w:r>
      <w:r w:rsidRPr="00E91887">
        <w:rPr>
          <w:rFonts w:asciiTheme="majorHAnsi" w:hAnsiTheme="majorHAnsi" w:cstheme="majorHAnsi"/>
          <w:sz w:val="23"/>
          <w:szCs w:val="23"/>
        </w:rPr>
        <w:t>Garden Suburb</w:t>
      </w:r>
      <w:r w:rsidR="00171D37">
        <w:rPr>
          <w:rFonts w:asciiTheme="majorHAnsi" w:hAnsiTheme="majorHAnsi" w:cstheme="majorHAnsi"/>
          <w:sz w:val="23"/>
          <w:szCs w:val="23"/>
        </w:rPr>
        <w:t>” as the best approach to</w:t>
      </w:r>
      <w:r w:rsidR="00171D37" w:rsidRPr="00E91887">
        <w:rPr>
          <w:rFonts w:asciiTheme="majorHAnsi" w:hAnsiTheme="majorHAnsi" w:cstheme="majorHAnsi"/>
          <w:sz w:val="23"/>
          <w:szCs w:val="23"/>
        </w:rPr>
        <w:t xml:space="preserve"> design</w:t>
      </w:r>
      <w:r w:rsidR="00171D37">
        <w:rPr>
          <w:rFonts w:asciiTheme="majorHAnsi" w:hAnsiTheme="majorHAnsi" w:cstheme="majorHAnsi"/>
          <w:sz w:val="23"/>
          <w:szCs w:val="23"/>
        </w:rPr>
        <w:t>ing</w:t>
      </w:r>
      <w:r w:rsidR="00171D37" w:rsidRPr="00E91887">
        <w:rPr>
          <w:rFonts w:asciiTheme="majorHAnsi" w:hAnsiTheme="majorHAnsi" w:cstheme="majorHAnsi"/>
          <w:sz w:val="23"/>
          <w:szCs w:val="23"/>
        </w:rPr>
        <w:t xml:space="preserve"> and build</w:t>
      </w:r>
      <w:r w:rsidR="00171D37">
        <w:rPr>
          <w:rFonts w:asciiTheme="majorHAnsi" w:hAnsiTheme="majorHAnsi" w:cstheme="majorHAnsi"/>
          <w:sz w:val="23"/>
          <w:szCs w:val="23"/>
        </w:rPr>
        <w:t>ing</w:t>
      </w:r>
      <w:r w:rsidR="00171D37" w:rsidRPr="00E91887">
        <w:rPr>
          <w:rFonts w:asciiTheme="majorHAnsi" w:hAnsiTheme="majorHAnsi" w:cstheme="majorHAnsi"/>
          <w:sz w:val="23"/>
          <w:szCs w:val="23"/>
        </w:rPr>
        <w:t xml:space="preserve"> a new urban area</w:t>
      </w:r>
      <w:r w:rsidRPr="00E91887">
        <w:rPr>
          <w:rFonts w:asciiTheme="majorHAnsi" w:hAnsiTheme="majorHAnsi" w:cstheme="majorHAnsi"/>
          <w:sz w:val="23"/>
          <w:szCs w:val="23"/>
        </w:rPr>
        <w:t xml:space="preserve">. </w:t>
      </w:r>
      <w:r w:rsidR="00520D0E">
        <w:rPr>
          <w:rFonts w:asciiTheme="majorHAnsi" w:hAnsiTheme="majorHAnsi" w:cstheme="majorHAnsi"/>
          <w:sz w:val="23"/>
          <w:szCs w:val="23"/>
        </w:rPr>
        <w:t>Thus</w:t>
      </w:r>
      <w:r w:rsidR="008A4EC2">
        <w:rPr>
          <w:rFonts w:asciiTheme="majorHAnsi" w:hAnsiTheme="majorHAnsi" w:cstheme="majorHAnsi"/>
          <w:sz w:val="23"/>
          <w:szCs w:val="23"/>
        </w:rPr>
        <w:t>,</w:t>
      </w:r>
      <w:r w:rsidR="00520D0E">
        <w:rPr>
          <w:rFonts w:asciiTheme="majorHAnsi" w:hAnsiTheme="majorHAnsi" w:cstheme="majorHAnsi"/>
          <w:sz w:val="23"/>
          <w:szCs w:val="23"/>
        </w:rPr>
        <w:t xml:space="preserve"> in the mid-1920s</w:t>
      </w:r>
      <w:r w:rsidR="008A4EC2">
        <w:rPr>
          <w:rFonts w:asciiTheme="majorHAnsi" w:hAnsiTheme="majorHAnsi" w:cstheme="majorHAnsi"/>
          <w:sz w:val="23"/>
          <w:szCs w:val="23"/>
        </w:rPr>
        <w:t>,</w:t>
      </w:r>
      <w:r w:rsidRPr="00E91887">
        <w:rPr>
          <w:rFonts w:asciiTheme="majorHAnsi" w:hAnsiTheme="majorHAnsi" w:cstheme="majorHAnsi"/>
          <w:sz w:val="23"/>
          <w:szCs w:val="23"/>
        </w:rPr>
        <w:t xml:space="preserve"> the Melbourne Subdivisions Company </w:t>
      </w:r>
      <w:r w:rsidR="00520D0E">
        <w:rPr>
          <w:rFonts w:asciiTheme="majorHAnsi" w:hAnsiTheme="majorHAnsi" w:cstheme="majorHAnsi"/>
          <w:sz w:val="23"/>
          <w:szCs w:val="23"/>
        </w:rPr>
        <w:t>established</w:t>
      </w:r>
      <w:r w:rsidRPr="00171D37">
        <w:rPr>
          <w:rFonts w:asciiTheme="majorHAnsi" w:hAnsiTheme="majorHAnsi" w:cstheme="majorHAnsi"/>
          <w:sz w:val="23"/>
          <w:szCs w:val="23"/>
        </w:rPr>
        <w:t xml:space="preserve"> the</w:t>
      </w:r>
      <w:r w:rsidR="00520D0E">
        <w:rPr>
          <w:rFonts w:asciiTheme="majorHAnsi" w:hAnsiTheme="majorHAnsi" w:cstheme="majorHAnsi"/>
          <w:sz w:val="23"/>
          <w:szCs w:val="23"/>
        </w:rPr>
        <w:t xml:space="preserve"> </w:t>
      </w:r>
      <w:r w:rsidRPr="00171D37">
        <w:rPr>
          <w:rFonts w:asciiTheme="majorHAnsi" w:hAnsiTheme="majorHAnsi" w:cstheme="majorHAnsi"/>
          <w:sz w:val="23"/>
          <w:szCs w:val="23"/>
        </w:rPr>
        <w:t>“up to date” Corio Garden Suburb</w:t>
      </w:r>
      <w:r w:rsidR="008A4EC2">
        <w:rPr>
          <w:rFonts w:asciiTheme="majorHAnsi" w:hAnsiTheme="majorHAnsi" w:cstheme="majorHAnsi"/>
          <w:sz w:val="23"/>
          <w:szCs w:val="23"/>
        </w:rPr>
        <w:t>,</w:t>
      </w:r>
      <w:r w:rsidR="00520D0E">
        <w:rPr>
          <w:rFonts w:asciiTheme="majorHAnsi" w:hAnsiTheme="majorHAnsi" w:cstheme="majorHAnsi"/>
          <w:sz w:val="23"/>
          <w:szCs w:val="23"/>
        </w:rPr>
        <w:t xml:space="preserve"> </w:t>
      </w:r>
      <w:r w:rsidR="008A4EC2">
        <w:rPr>
          <w:rFonts w:asciiTheme="majorHAnsi" w:hAnsiTheme="majorHAnsi" w:cstheme="majorHAnsi"/>
          <w:sz w:val="23"/>
          <w:szCs w:val="23"/>
        </w:rPr>
        <w:t xml:space="preserve">a land development venture </w:t>
      </w:r>
      <w:r w:rsidR="00520D0E">
        <w:rPr>
          <w:rFonts w:asciiTheme="majorHAnsi" w:hAnsiTheme="majorHAnsi" w:cstheme="majorHAnsi"/>
          <w:sz w:val="23"/>
          <w:szCs w:val="23"/>
        </w:rPr>
        <w:t xml:space="preserve">just north of the Ford </w:t>
      </w:r>
      <w:r w:rsidR="008A4EC2">
        <w:rPr>
          <w:rFonts w:asciiTheme="majorHAnsi" w:hAnsiTheme="majorHAnsi" w:cstheme="majorHAnsi"/>
          <w:sz w:val="23"/>
          <w:szCs w:val="23"/>
        </w:rPr>
        <w:t>f</w:t>
      </w:r>
      <w:r w:rsidR="00520D0E">
        <w:rPr>
          <w:rFonts w:asciiTheme="majorHAnsi" w:hAnsiTheme="majorHAnsi" w:cstheme="majorHAnsi"/>
          <w:sz w:val="23"/>
          <w:szCs w:val="23"/>
        </w:rPr>
        <w:t>actory</w:t>
      </w:r>
      <w:r w:rsidR="008A4EC2">
        <w:rPr>
          <w:rFonts w:asciiTheme="majorHAnsi" w:hAnsiTheme="majorHAnsi" w:cstheme="majorHAnsi"/>
          <w:sz w:val="23"/>
          <w:szCs w:val="23"/>
        </w:rPr>
        <w:t xml:space="preserve"> site</w:t>
      </w:r>
      <w:r w:rsidRPr="00171D37">
        <w:rPr>
          <w:rFonts w:asciiTheme="majorHAnsi" w:hAnsiTheme="majorHAnsi" w:cstheme="majorHAnsi"/>
          <w:sz w:val="23"/>
          <w:szCs w:val="23"/>
        </w:rPr>
        <w:t>, pub</w:t>
      </w:r>
      <w:r w:rsidRPr="00E91887">
        <w:rPr>
          <w:rFonts w:asciiTheme="majorHAnsi" w:hAnsiTheme="majorHAnsi" w:cstheme="majorHAnsi"/>
          <w:sz w:val="23"/>
          <w:szCs w:val="23"/>
        </w:rPr>
        <w:t>lishing a 46-page booklet extolling its virtues to prospective buyers.</w:t>
      </w:r>
    </w:p>
    <w:p w14:paraId="77791B5D" w14:textId="74D059F8" w:rsidR="00F00E3D" w:rsidRPr="00E91887" w:rsidRDefault="00F00E3D" w:rsidP="009B2FA7">
      <w:pPr>
        <w:spacing w:line="276" w:lineRule="auto"/>
        <w:rPr>
          <w:rFonts w:asciiTheme="majorHAnsi" w:hAnsiTheme="majorHAnsi" w:cstheme="majorHAnsi"/>
          <w:sz w:val="23"/>
          <w:szCs w:val="23"/>
        </w:rPr>
      </w:pPr>
      <w:r w:rsidRPr="00E91887">
        <w:rPr>
          <w:rFonts w:asciiTheme="majorHAnsi" w:hAnsiTheme="majorHAnsi" w:cstheme="majorHAnsi"/>
          <w:sz w:val="23"/>
          <w:szCs w:val="23"/>
        </w:rPr>
        <w:t>The booklet celebrates Geelong as the “metropolis of the Western District”, the “Bradford of the Australia”, “The Naples of the South”, the “Birmingham of Australia”</w:t>
      </w:r>
      <w:r w:rsidR="00520D0E">
        <w:rPr>
          <w:rFonts w:asciiTheme="majorHAnsi" w:hAnsiTheme="majorHAnsi" w:cstheme="majorHAnsi"/>
          <w:sz w:val="23"/>
          <w:szCs w:val="23"/>
        </w:rPr>
        <w:t>,</w:t>
      </w:r>
      <w:r w:rsidRPr="00E91887">
        <w:rPr>
          <w:rFonts w:asciiTheme="majorHAnsi" w:hAnsiTheme="majorHAnsi" w:cstheme="majorHAnsi"/>
          <w:sz w:val="23"/>
          <w:szCs w:val="23"/>
        </w:rPr>
        <w:t xml:space="preserve"> and the third city of the Commonwealth</w:t>
      </w:r>
      <w:r w:rsidR="00520D0E">
        <w:rPr>
          <w:rFonts w:asciiTheme="majorHAnsi" w:hAnsiTheme="majorHAnsi" w:cstheme="majorHAnsi"/>
          <w:sz w:val="23"/>
          <w:szCs w:val="23"/>
        </w:rPr>
        <w:t xml:space="preserve">. These </w:t>
      </w:r>
      <w:r w:rsidRPr="00E91887">
        <w:rPr>
          <w:rFonts w:asciiTheme="majorHAnsi" w:hAnsiTheme="majorHAnsi" w:cstheme="majorHAnsi"/>
          <w:sz w:val="23"/>
          <w:szCs w:val="23"/>
        </w:rPr>
        <w:t xml:space="preserve">labels and claims </w:t>
      </w:r>
      <w:r w:rsidR="008A4EC2">
        <w:rPr>
          <w:rFonts w:asciiTheme="majorHAnsi" w:hAnsiTheme="majorHAnsi" w:cstheme="majorHAnsi"/>
          <w:sz w:val="23"/>
          <w:szCs w:val="23"/>
        </w:rPr>
        <w:t>reflected both</w:t>
      </w:r>
      <w:r w:rsidRPr="00E91887">
        <w:rPr>
          <w:rFonts w:asciiTheme="majorHAnsi" w:hAnsiTheme="majorHAnsi" w:cstheme="majorHAnsi"/>
          <w:sz w:val="23"/>
          <w:szCs w:val="23"/>
        </w:rPr>
        <w:t xml:space="preserve"> </w:t>
      </w:r>
      <w:r w:rsidR="00520D0E">
        <w:rPr>
          <w:rFonts w:asciiTheme="majorHAnsi" w:hAnsiTheme="majorHAnsi" w:cstheme="majorHAnsi"/>
          <w:sz w:val="23"/>
          <w:szCs w:val="23"/>
        </w:rPr>
        <w:t>Geelong’s</w:t>
      </w:r>
      <w:r w:rsidRPr="00E91887">
        <w:rPr>
          <w:rFonts w:asciiTheme="majorHAnsi" w:hAnsiTheme="majorHAnsi" w:cstheme="majorHAnsi"/>
          <w:sz w:val="23"/>
          <w:szCs w:val="23"/>
        </w:rPr>
        <w:t xml:space="preserve"> economic base and the buoyant optimism of the land speculator </w:t>
      </w:r>
      <w:r w:rsidRPr="00E91887">
        <w:rPr>
          <w:rFonts w:asciiTheme="majorHAnsi" w:hAnsiTheme="majorHAnsi" w:cstheme="majorHAnsi"/>
          <w:noProof/>
          <w:sz w:val="23"/>
          <w:szCs w:val="23"/>
        </w:rPr>
        <w:t>(Melbourne Subdivisions Co</w:t>
      </w:r>
      <w:r w:rsidR="00520D0E">
        <w:rPr>
          <w:rFonts w:asciiTheme="majorHAnsi" w:hAnsiTheme="majorHAnsi" w:cstheme="majorHAnsi"/>
          <w:noProof/>
          <w:sz w:val="23"/>
          <w:szCs w:val="23"/>
        </w:rPr>
        <w:t>mpany</w:t>
      </w:r>
      <w:r w:rsidRPr="00E91887">
        <w:rPr>
          <w:rFonts w:asciiTheme="majorHAnsi" w:hAnsiTheme="majorHAnsi" w:cstheme="majorHAnsi"/>
          <w:noProof/>
          <w:sz w:val="23"/>
          <w:szCs w:val="23"/>
        </w:rPr>
        <w:t>, 1924, p. 6)</w:t>
      </w:r>
      <w:r w:rsidRPr="00E91887">
        <w:rPr>
          <w:rFonts w:asciiTheme="majorHAnsi" w:hAnsiTheme="majorHAnsi" w:cstheme="majorHAnsi"/>
          <w:sz w:val="23"/>
          <w:szCs w:val="23"/>
        </w:rPr>
        <w:t xml:space="preserve">. Like so many inflated claims for new suburban areas, </w:t>
      </w:r>
      <w:r w:rsidR="008A4EC2">
        <w:rPr>
          <w:rFonts w:asciiTheme="majorHAnsi" w:hAnsiTheme="majorHAnsi" w:cstheme="majorHAnsi"/>
          <w:sz w:val="23"/>
          <w:szCs w:val="23"/>
        </w:rPr>
        <w:t xml:space="preserve">the reality did not live up to the dream: </w:t>
      </w:r>
      <w:r w:rsidR="008A4EC2" w:rsidRPr="00E91887">
        <w:rPr>
          <w:rFonts w:asciiTheme="majorHAnsi" w:hAnsiTheme="majorHAnsi" w:cstheme="majorHAnsi"/>
          <w:sz w:val="23"/>
          <w:szCs w:val="23"/>
        </w:rPr>
        <w:t>by 1931</w:t>
      </w:r>
      <w:r w:rsidR="008A4EC2">
        <w:rPr>
          <w:rFonts w:asciiTheme="majorHAnsi" w:hAnsiTheme="majorHAnsi" w:cstheme="majorHAnsi"/>
          <w:sz w:val="23"/>
          <w:szCs w:val="23"/>
        </w:rPr>
        <w:t xml:space="preserve"> </w:t>
      </w:r>
      <w:r w:rsidRPr="00E91887">
        <w:rPr>
          <w:rFonts w:asciiTheme="majorHAnsi" w:hAnsiTheme="majorHAnsi" w:cstheme="majorHAnsi"/>
          <w:sz w:val="23"/>
          <w:szCs w:val="23"/>
        </w:rPr>
        <w:t xml:space="preserve">less than a quarter of the 2555 allotments </w:t>
      </w:r>
      <w:r w:rsidR="008A4EC2">
        <w:rPr>
          <w:rFonts w:asciiTheme="majorHAnsi" w:hAnsiTheme="majorHAnsi" w:cstheme="majorHAnsi"/>
          <w:sz w:val="23"/>
          <w:szCs w:val="23"/>
        </w:rPr>
        <w:t>had been</w:t>
      </w:r>
      <w:r w:rsidRPr="00E91887">
        <w:rPr>
          <w:rFonts w:asciiTheme="majorHAnsi" w:hAnsiTheme="majorHAnsi" w:cstheme="majorHAnsi"/>
          <w:sz w:val="23"/>
          <w:szCs w:val="23"/>
        </w:rPr>
        <w:t xml:space="preserve"> sold</w:t>
      </w:r>
      <w:r w:rsidR="008A4EC2">
        <w:rPr>
          <w:rFonts w:asciiTheme="majorHAnsi" w:hAnsiTheme="majorHAnsi" w:cstheme="majorHAnsi"/>
          <w:sz w:val="23"/>
          <w:szCs w:val="23"/>
        </w:rPr>
        <w:t>,</w:t>
      </w:r>
      <w:r w:rsidRPr="00E91887">
        <w:rPr>
          <w:rFonts w:asciiTheme="majorHAnsi" w:hAnsiTheme="majorHAnsi" w:cstheme="majorHAnsi"/>
          <w:sz w:val="23"/>
          <w:szCs w:val="23"/>
        </w:rPr>
        <w:t xml:space="preserve"> and only six houses had been built. </w:t>
      </w:r>
      <w:r w:rsidR="003710F5">
        <w:rPr>
          <w:rFonts w:asciiTheme="majorHAnsi" w:hAnsiTheme="majorHAnsi" w:cstheme="majorHAnsi"/>
          <w:sz w:val="23"/>
          <w:szCs w:val="23"/>
        </w:rPr>
        <w:t>Not until</w:t>
      </w:r>
      <w:r w:rsidRPr="00E91887">
        <w:rPr>
          <w:rFonts w:asciiTheme="majorHAnsi" w:hAnsiTheme="majorHAnsi" w:cstheme="majorHAnsi"/>
          <w:sz w:val="23"/>
          <w:szCs w:val="23"/>
        </w:rPr>
        <w:t xml:space="preserve"> 1979 </w:t>
      </w:r>
      <w:r w:rsidR="003710F5">
        <w:rPr>
          <w:rFonts w:asciiTheme="majorHAnsi" w:hAnsiTheme="majorHAnsi" w:cstheme="majorHAnsi"/>
          <w:sz w:val="23"/>
          <w:szCs w:val="23"/>
        </w:rPr>
        <w:t>were</w:t>
      </w:r>
      <w:r w:rsidR="008A4EC2">
        <w:rPr>
          <w:rFonts w:asciiTheme="majorHAnsi" w:hAnsiTheme="majorHAnsi" w:cstheme="majorHAnsi"/>
          <w:sz w:val="23"/>
          <w:szCs w:val="23"/>
        </w:rPr>
        <w:t xml:space="preserve"> some parts of the area</w:t>
      </w:r>
      <w:r w:rsidRPr="00E91887">
        <w:rPr>
          <w:rFonts w:asciiTheme="majorHAnsi" w:hAnsiTheme="majorHAnsi" w:cstheme="majorHAnsi"/>
          <w:sz w:val="23"/>
          <w:szCs w:val="23"/>
        </w:rPr>
        <w:t xml:space="preserve"> developed </w:t>
      </w:r>
      <w:r w:rsidR="008A4EC2">
        <w:rPr>
          <w:rFonts w:asciiTheme="majorHAnsi" w:hAnsiTheme="majorHAnsi" w:cstheme="majorHAnsi"/>
          <w:sz w:val="23"/>
          <w:szCs w:val="23"/>
        </w:rPr>
        <w:t>to form</w:t>
      </w:r>
      <w:r w:rsidRPr="00E91887">
        <w:rPr>
          <w:rFonts w:asciiTheme="majorHAnsi" w:hAnsiTheme="majorHAnsi" w:cstheme="majorHAnsi"/>
          <w:sz w:val="23"/>
          <w:szCs w:val="23"/>
        </w:rPr>
        <w:t xml:space="preserve"> the suburb of Rosewall </w:t>
      </w:r>
      <w:r w:rsidRPr="00E91887">
        <w:rPr>
          <w:rFonts w:asciiTheme="majorHAnsi" w:hAnsiTheme="majorHAnsi" w:cstheme="majorHAnsi"/>
          <w:noProof/>
          <w:sz w:val="23"/>
          <w:szCs w:val="23"/>
        </w:rPr>
        <w:t>(Wynd, 1979, p. 22)</w:t>
      </w:r>
      <w:r w:rsidRPr="00E91887">
        <w:rPr>
          <w:rFonts w:asciiTheme="majorHAnsi" w:hAnsiTheme="majorHAnsi" w:cstheme="majorHAnsi"/>
          <w:sz w:val="23"/>
          <w:szCs w:val="23"/>
        </w:rPr>
        <w:t>.</w:t>
      </w:r>
    </w:p>
    <w:p w14:paraId="18C4836A" w14:textId="5DEE4C55" w:rsidR="00DD5CAC" w:rsidRDefault="00F00E3D" w:rsidP="009B2FA7">
      <w:pPr>
        <w:spacing w:line="276" w:lineRule="auto"/>
        <w:rPr>
          <w:rFonts w:asciiTheme="majorHAnsi" w:hAnsiTheme="majorHAnsi" w:cstheme="majorHAnsi"/>
          <w:sz w:val="23"/>
          <w:szCs w:val="23"/>
        </w:rPr>
      </w:pPr>
      <w:r w:rsidRPr="00E91887">
        <w:rPr>
          <w:rFonts w:asciiTheme="majorHAnsi" w:hAnsiTheme="majorHAnsi" w:cstheme="majorHAnsi"/>
          <w:sz w:val="23"/>
          <w:szCs w:val="23"/>
        </w:rPr>
        <w:t xml:space="preserve">By then Corio </w:t>
      </w:r>
      <w:r w:rsidR="008A4EC2">
        <w:rPr>
          <w:rFonts w:asciiTheme="majorHAnsi" w:hAnsiTheme="majorHAnsi" w:cstheme="majorHAnsi"/>
          <w:sz w:val="23"/>
          <w:szCs w:val="23"/>
        </w:rPr>
        <w:t>had been</w:t>
      </w:r>
      <w:r w:rsidRPr="00E91887">
        <w:rPr>
          <w:rFonts w:asciiTheme="majorHAnsi" w:hAnsiTheme="majorHAnsi" w:cstheme="majorHAnsi"/>
          <w:sz w:val="23"/>
          <w:szCs w:val="23"/>
        </w:rPr>
        <w:t xml:space="preserve"> joined by its adjacent neighbour</w:t>
      </w:r>
      <w:r w:rsidR="008A4EC2">
        <w:rPr>
          <w:rFonts w:asciiTheme="majorHAnsi" w:hAnsiTheme="majorHAnsi" w:cstheme="majorHAnsi"/>
          <w:sz w:val="23"/>
          <w:szCs w:val="23"/>
        </w:rPr>
        <w:t>,</w:t>
      </w:r>
      <w:r w:rsidRPr="00E91887">
        <w:rPr>
          <w:rFonts w:asciiTheme="majorHAnsi" w:hAnsiTheme="majorHAnsi" w:cstheme="majorHAnsi"/>
          <w:sz w:val="23"/>
          <w:szCs w:val="23"/>
        </w:rPr>
        <w:t xml:space="preserve"> Norlane</w:t>
      </w:r>
      <w:r w:rsidR="008A4EC2">
        <w:rPr>
          <w:rFonts w:asciiTheme="majorHAnsi" w:hAnsiTheme="majorHAnsi" w:cstheme="majorHAnsi"/>
          <w:sz w:val="23"/>
          <w:szCs w:val="23"/>
        </w:rPr>
        <w:t>, which</w:t>
      </w:r>
      <w:r w:rsidRPr="00E91887">
        <w:rPr>
          <w:rFonts w:asciiTheme="majorHAnsi" w:hAnsiTheme="majorHAnsi" w:cstheme="majorHAnsi"/>
          <w:sz w:val="23"/>
          <w:szCs w:val="23"/>
        </w:rPr>
        <w:t xml:space="preserve"> re</w:t>
      </w:r>
      <w:r w:rsidR="002238F1">
        <w:rPr>
          <w:rFonts w:asciiTheme="majorHAnsi" w:hAnsiTheme="majorHAnsi" w:cstheme="majorHAnsi"/>
          <w:sz w:val="23"/>
          <w:szCs w:val="23"/>
        </w:rPr>
        <w:t>flected</w:t>
      </w:r>
      <w:r w:rsidR="00DD5CAC">
        <w:rPr>
          <w:rFonts w:asciiTheme="majorHAnsi" w:hAnsiTheme="majorHAnsi" w:cstheme="majorHAnsi"/>
          <w:sz w:val="23"/>
          <w:szCs w:val="23"/>
        </w:rPr>
        <w:t xml:space="preserve"> more recent elements</w:t>
      </w:r>
      <w:r w:rsidR="002238F1">
        <w:rPr>
          <w:rFonts w:asciiTheme="majorHAnsi" w:hAnsiTheme="majorHAnsi" w:cstheme="majorHAnsi"/>
          <w:sz w:val="23"/>
          <w:szCs w:val="23"/>
        </w:rPr>
        <w:t xml:space="preserve"> of Geelong’s economic </w:t>
      </w:r>
      <w:r w:rsidR="00DD5CAC">
        <w:rPr>
          <w:rFonts w:asciiTheme="majorHAnsi" w:hAnsiTheme="majorHAnsi" w:cstheme="majorHAnsi"/>
          <w:sz w:val="23"/>
          <w:szCs w:val="23"/>
        </w:rPr>
        <w:t>development</w:t>
      </w:r>
      <w:r w:rsidRPr="00E91887">
        <w:rPr>
          <w:rFonts w:asciiTheme="majorHAnsi" w:hAnsiTheme="majorHAnsi" w:cstheme="majorHAnsi"/>
          <w:sz w:val="23"/>
          <w:szCs w:val="23"/>
        </w:rPr>
        <w:t xml:space="preserve">. If Corio </w:t>
      </w:r>
      <w:r w:rsidR="008A4EC2">
        <w:rPr>
          <w:rFonts w:asciiTheme="majorHAnsi" w:hAnsiTheme="majorHAnsi" w:cstheme="majorHAnsi"/>
          <w:sz w:val="23"/>
          <w:szCs w:val="23"/>
        </w:rPr>
        <w:t>was</w:t>
      </w:r>
      <w:r w:rsidRPr="00E91887">
        <w:rPr>
          <w:rFonts w:asciiTheme="majorHAnsi" w:hAnsiTheme="majorHAnsi" w:cstheme="majorHAnsi"/>
          <w:sz w:val="23"/>
          <w:szCs w:val="23"/>
        </w:rPr>
        <w:t xml:space="preserve"> conceived as a</w:t>
      </w:r>
      <w:r w:rsidR="008A4EC2">
        <w:rPr>
          <w:rFonts w:asciiTheme="majorHAnsi" w:hAnsiTheme="majorHAnsi" w:cstheme="majorHAnsi"/>
          <w:sz w:val="23"/>
          <w:szCs w:val="23"/>
        </w:rPr>
        <w:t xml:space="preserve"> 1920s</w:t>
      </w:r>
      <w:r w:rsidRPr="00E91887">
        <w:rPr>
          <w:rFonts w:asciiTheme="majorHAnsi" w:hAnsiTheme="majorHAnsi" w:cstheme="majorHAnsi"/>
          <w:sz w:val="23"/>
          <w:szCs w:val="23"/>
        </w:rPr>
        <w:t xml:space="preserve"> Garden Suburb, Norlane was planned </w:t>
      </w:r>
      <w:r w:rsidR="008A4EC2">
        <w:rPr>
          <w:rFonts w:asciiTheme="majorHAnsi" w:hAnsiTheme="majorHAnsi" w:cstheme="majorHAnsi"/>
          <w:sz w:val="23"/>
          <w:szCs w:val="23"/>
        </w:rPr>
        <w:t>to accommodate</w:t>
      </w:r>
      <w:r w:rsidRPr="00E91887">
        <w:rPr>
          <w:rFonts w:asciiTheme="majorHAnsi" w:hAnsiTheme="majorHAnsi" w:cstheme="majorHAnsi"/>
          <w:sz w:val="23"/>
          <w:szCs w:val="23"/>
        </w:rPr>
        <w:t xml:space="preserve"> the new migrants recruited from England and Europe to serve the expanding post-war industries. </w:t>
      </w:r>
      <w:r w:rsidR="002238F1">
        <w:rPr>
          <w:rFonts w:asciiTheme="majorHAnsi" w:hAnsiTheme="majorHAnsi" w:cstheme="majorHAnsi"/>
          <w:sz w:val="23"/>
          <w:szCs w:val="23"/>
        </w:rPr>
        <w:t>Housing</w:t>
      </w:r>
      <w:r w:rsidRPr="00E91887">
        <w:rPr>
          <w:rFonts w:asciiTheme="majorHAnsi" w:hAnsiTheme="majorHAnsi" w:cstheme="majorHAnsi"/>
          <w:sz w:val="23"/>
          <w:szCs w:val="23"/>
        </w:rPr>
        <w:t xml:space="preserve"> shortage</w:t>
      </w:r>
      <w:r w:rsidR="002238F1">
        <w:rPr>
          <w:rFonts w:asciiTheme="majorHAnsi" w:hAnsiTheme="majorHAnsi" w:cstheme="majorHAnsi"/>
          <w:sz w:val="23"/>
          <w:szCs w:val="23"/>
        </w:rPr>
        <w:t xml:space="preserve">s, combined with </w:t>
      </w:r>
      <w:r w:rsidRPr="00E91887">
        <w:rPr>
          <w:rFonts w:asciiTheme="majorHAnsi" w:hAnsiTheme="majorHAnsi" w:cstheme="majorHAnsi"/>
          <w:sz w:val="23"/>
          <w:szCs w:val="23"/>
        </w:rPr>
        <w:t xml:space="preserve">optimism for building a different society after </w:t>
      </w:r>
      <w:r w:rsidR="002238F1">
        <w:rPr>
          <w:rFonts w:asciiTheme="majorHAnsi" w:hAnsiTheme="majorHAnsi" w:cstheme="majorHAnsi"/>
          <w:sz w:val="23"/>
          <w:szCs w:val="23"/>
        </w:rPr>
        <w:t>WW</w:t>
      </w:r>
      <w:r w:rsidRPr="00E91887">
        <w:rPr>
          <w:rFonts w:asciiTheme="majorHAnsi" w:hAnsiTheme="majorHAnsi" w:cstheme="majorHAnsi"/>
          <w:sz w:val="23"/>
          <w:szCs w:val="23"/>
        </w:rPr>
        <w:t>II</w:t>
      </w:r>
      <w:r w:rsidR="002238F1">
        <w:rPr>
          <w:rFonts w:asciiTheme="majorHAnsi" w:hAnsiTheme="majorHAnsi" w:cstheme="majorHAnsi"/>
          <w:sz w:val="23"/>
          <w:szCs w:val="23"/>
        </w:rPr>
        <w:t>,</w:t>
      </w:r>
      <w:r w:rsidRPr="00E91887">
        <w:rPr>
          <w:rFonts w:asciiTheme="majorHAnsi" w:hAnsiTheme="majorHAnsi" w:cstheme="majorHAnsi"/>
          <w:sz w:val="23"/>
          <w:szCs w:val="23"/>
        </w:rPr>
        <w:t xml:space="preserve"> </w:t>
      </w:r>
      <w:r w:rsidR="002238F1">
        <w:rPr>
          <w:rFonts w:asciiTheme="majorHAnsi" w:hAnsiTheme="majorHAnsi" w:cstheme="majorHAnsi"/>
          <w:sz w:val="23"/>
          <w:szCs w:val="23"/>
        </w:rPr>
        <w:t>sparked</w:t>
      </w:r>
      <w:r w:rsidRPr="00E91887">
        <w:rPr>
          <w:rFonts w:asciiTheme="majorHAnsi" w:hAnsiTheme="majorHAnsi" w:cstheme="majorHAnsi"/>
          <w:sz w:val="23"/>
          <w:szCs w:val="23"/>
        </w:rPr>
        <w:t xml:space="preserve"> the formation of various State Housing Commissions. Federally</w:t>
      </w:r>
      <w:r w:rsidR="002238F1">
        <w:rPr>
          <w:rFonts w:asciiTheme="majorHAnsi" w:hAnsiTheme="majorHAnsi" w:cstheme="majorHAnsi"/>
          <w:sz w:val="23"/>
          <w:szCs w:val="23"/>
        </w:rPr>
        <w:t xml:space="preserve"> funded</w:t>
      </w:r>
      <w:r w:rsidRPr="00E91887">
        <w:rPr>
          <w:rFonts w:asciiTheme="majorHAnsi" w:hAnsiTheme="majorHAnsi" w:cstheme="majorHAnsi"/>
          <w:sz w:val="23"/>
          <w:szCs w:val="23"/>
        </w:rPr>
        <w:t xml:space="preserve">, the Victorian Housing Commission </w:t>
      </w:r>
      <w:r w:rsidR="002238F1">
        <w:rPr>
          <w:rFonts w:asciiTheme="majorHAnsi" w:hAnsiTheme="majorHAnsi" w:cstheme="majorHAnsi"/>
          <w:sz w:val="23"/>
          <w:szCs w:val="23"/>
        </w:rPr>
        <w:t>built</w:t>
      </w:r>
      <w:r w:rsidRPr="00E91887">
        <w:rPr>
          <w:rFonts w:asciiTheme="majorHAnsi" w:hAnsiTheme="majorHAnsi" w:cstheme="majorHAnsi"/>
          <w:sz w:val="23"/>
          <w:szCs w:val="23"/>
        </w:rPr>
        <w:t xml:space="preserve"> close to 2500 homes </w:t>
      </w:r>
      <w:r w:rsidR="00DD5CAC">
        <w:rPr>
          <w:rFonts w:asciiTheme="majorHAnsi" w:hAnsiTheme="majorHAnsi" w:cstheme="majorHAnsi"/>
          <w:sz w:val="23"/>
          <w:szCs w:val="23"/>
        </w:rPr>
        <w:t xml:space="preserve">in Norlane </w:t>
      </w:r>
      <w:r w:rsidRPr="00E91887">
        <w:rPr>
          <w:rFonts w:asciiTheme="majorHAnsi" w:hAnsiTheme="majorHAnsi" w:cstheme="majorHAnsi"/>
          <w:sz w:val="23"/>
          <w:szCs w:val="23"/>
        </w:rPr>
        <w:t xml:space="preserve">for low-income renters and migrant workers </w:t>
      </w:r>
      <w:r w:rsidR="002238F1">
        <w:rPr>
          <w:rFonts w:asciiTheme="majorHAnsi" w:hAnsiTheme="majorHAnsi" w:cstheme="majorHAnsi"/>
          <w:sz w:val="23"/>
          <w:szCs w:val="23"/>
        </w:rPr>
        <w:t>hired by</w:t>
      </w:r>
      <w:r w:rsidRPr="00E91887">
        <w:rPr>
          <w:rFonts w:asciiTheme="majorHAnsi" w:hAnsiTheme="majorHAnsi" w:cstheme="majorHAnsi"/>
          <w:sz w:val="23"/>
          <w:szCs w:val="23"/>
        </w:rPr>
        <w:t xml:space="preserve"> </w:t>
      </w:r>
      <w:r w:rsidR="002238F1">
        <w:rPr>
          <w:rFonts w:asciiTheme="majorHAnsi" w:hAnsiTheme="majorHAnsi" w:cstheme="majorHAnsi"/>
          <w:sz w:val="23"/>
          <w:szCs w:val="23"/>
        </w:rPr>
        <w:t xml:space="preserve">local factories, including the </w:t>
      </w:r>
      <w:r w:rsidRPr="00E91887">
        <w:rPr>
          <w:rFonts w:asciiTheme="majorHAnsi" w:hAnsiTheme="majorHAnsi" w:cstheme="majorHAnsi"/>
          <w:sz w:val="23"/>
          <w:szCs w:val="23"/>
        </w:rPr>
        <w:t>Ford</w:t>
      </w:r>
      <w:r w:rsidR="002238F1">
        <w:rPr>
          <w:rFonts w:asciiTheme="majorHAnsi" w:hAnsiTheme="majorHAnsi" w:cstheme="majorHAnsi"/>
          <w:sz w:val="23"/>
          <w:szCs w:val="23"/>
        </w:rPr>
        <w:t xml:space="preserve"> and</w:t>
      </w:r>
      <w:r w:rsidRPr="00E91887">
        <w:rPr>
          <w:rFonts w:asciiTheme="majorHAnsi" w:hAnsiTheme="majorHAnsi" w:cstheme="majorHAnsi"/>
          <w:sz w:val="23"/>
          <w:szCs w:val="23"/>
        </w:rPr>
        <w:t xml:space="preserve"> International Harvester</w:t>
      </w:r>
      <w:r w:rsidR="00DD5CAC">
        <w:rPr>
          <w:rFonts w:asciiTheme="majorHAnsi" w:hAnsiTheme="majorHAnsi" w:cstheme="majorHAnsi"/>
          <w:sz w:val="23"/>
          <w:szCs w:val="23"/>
        </w:rPr>
        <w:t xml:space="preserve"> operations. Most were </w:t>
      </w:r>
      <w:r w:rsidR="00DD5CAC" w:rsidRPr="00E91887">
        <w:rPr>
          <w:rFonts w:asciiTheme="majorHAnsi" w:hAnsiTheme="majorHAnsi" w:cstheme="majorHAnsi"/>
          <w:sz w:val="23"/>
          <w:szCs w:val="23"/>
        </w:rPr>
        <w:t xml:space="preserve">modest weatherboard dwellings </w:t>
      </w:r>
      <w:r w:rsidR="00DD5CAC">
        <w:rPr>
          <w:rFonts w:asciiTheme="majorHAnsi" w:hAnsiTheme="majorHAnsi" w:cstheme="majorHAnsi"/>
          <w:sz w:val="23"/>
          <w:szCs w:val="23"/>
        </w:rPr>
        <w:t>sited</w:t>
      </w:r>
      <w:r w:rsidR="00DD5CAC" w:rsidRPr="00E91887">
        <w:rPr>
          <w:rFonts w:asciiTheme="majorHAnsi" w:hAnsiTheme="majorHAnsi" w:cstheme="majorHAnsi"/>
          <w:sz w:val="23"/>
          <w:szCs w:val="23"/>
        </w:rPr>
        <w:t xml:space="preserve"> on large blocks</w:t>
      </w:r>
      <w:r w:rsidR="00DD5CAC">
        <w:rPr>
          <w:rFonts w:asciiTheme="majorHAnsi" w:hAnsiTheme="majorHAnsi" w:cstheme="majorHAnsi"/>
          <w:sz w:val="23"/>
          <w:szCs w:val="23"/>
        </w:rPr>
        <w:t xml:space="preserve"> (</w:t>
      </w:r>
      <w:r w:rsidR="00DD5CAC" w:rsidRPr="00E91887">
        <w:rPr>
          <w:rFonts w:asciiTheme="majorHAnsi" w:hAnsiTheme="majorHAnsi" w:cstheme="majorHAnsi"/>
          <w:sz w:val="23"/>
          <w:szCs w:val="23"/>
        </w:rPr>
        <w:t>600</w:t>
      </w:r>
      <w:r w:rsidR="00DD5CAC">
        <w:rPr>
          <w:rFonts w:asciiTheme="majorHAnsi" w:hAnsiTheme="majorHAnsi" w:cstheme="majorHAnsi"/>
          <w:sz w:val="23"/>
          <w:szCs w:val="23"/>
        </w:rPr>
        <w:t>–</w:t>
      </w:r>
      <w:r w:rsidR="00DD5CAC" w:rsidRPr="00E91887">
        <w:rPr>
          <w:rFonts w:asciiTheme="majorHAnsi" w:hAnsiTheme="majorHAnsi" w:cstheme="majorHAnsi"/>
          <w:sz w:val="23"/>
          <w:szCs w:val="23"/>
        </w:rPr>
        <w:t>800 square metres</w:t>
      </w:r>
      <w:r w:rsidR="00DD5CAC">
        <w:rPr>
          <w:rFonts w:asciiTheme="majorHAnsi" w:hAnsiTheme="majorHAnsi" w:cstheme="majorHAnsi"/>
          <w:sz w:val="23"/>
          <w:szCs w:val="23"/>
        </w:rPr>
        <w:t>)</w:t>
      </w:r>
      <w:r w:rsidR="00DD5CAC" w:rsidRPr="00E91887">
        <w:rPr>
          <w:rFonts w:asciiTheme="majorHAnsi" w:hAnsiTheme="majorHAnsi" w:cstheme="majorHAnsi"/>
          <w:sz w:val="23"/>
          <w:szCs w:val="23"/>
        </w:rPr>
        <w:t>.</w:t>
      </w:r>
      <w:r w:rsidR="00DD5CAC">
        <w:rPr>
          <w:rFonts w:asciiTheme="majorHAnsi" w:hAnsiTheme="majorHAnsi" w:cstheme="majorHAnsi"/>
          <w:sz w:val="23"/>
          <w:szCs w:val="23"/>
        </w:rPr>
        <w:t xml:space="preserve"> Around</w:t>
      </w:r>
      <w:r w:rsidRPr="00E91887">
        <w:rPr>
          <w:rFonts w:asciiTheme="majorHAnsi" w:hAnsiTheme="majorHAnsi" w:cstheme="majorHAnsi"/>
          <w:sz w:val="23"/>
          <w:szCs w:val="23"/>
        </w:rPr>
        <w:t xml:space="preserve"> 1200 </w:t>
      </w:r>
      <w:r w:rsidR="00DD5CAC">
        <w:rPr>
          <w:rFonts w:asciiTheme="majorHAnsi" w:hAnsiTheme="majorHAnsi" w:cstheme="majorHAnsi"/>
          <w:sz w:val="23"/>
          <w:szCs w:val="23"/>
        </w:rPr>
        <w:t xml:space="preserve">of these homes </w:t>
      </w:r>
      <w:r w:rsidRPr="00E91887">
        <w:rPr>
          <w:rFonts w:asciiTheme="majorHAnsi" w:hAnsiTheme="majorHAnsi" w:cstheme="majorHAnsi"/>
          <w:sz w:val="23"/>
          <w:szCs w:val="23"/>
        </w:rPr>
        <w:t xml:space="preserve">were </w:t>
      </w:r>
      <w:r w:rsidR="00DD5CAC" w:rsidRPr="00E91887">
        <w:rPr>
          <w:rFonts w:asciiTheme="majorHAnsi" w:hAnsiTheme="majorHAnsi" w:cstheme="majorHAnsi"/>
          <w:sz w:val="23"/>
          <w:szCs w:val="23"/>
        </w:rPr>
        <w:t xml:space="preserve">prefabricated units </w:t>
      </w:r>
      <w:r w:rsidRPr="00E91887">
        <w:rPr>
          <w:rFonts w:asciiTheme="majorHAnsi" w:hAnsiTheme="majorHAnsi" w:cstheme="majorHAnsi"/>
          <w:sz w:val="23"/>
          <w:szCs w:val="23"/>
        </w:rPr>
        <w:t>imported from the Netherlands and France</w:t>
      </w:r>
      <w:r w:rsidR="00DD5CAC">
        <w:rPr>
          <w:rFonts w:asciiTheme="majorHAnsi" w:hAnsiTheme="majorHAnsi" w:cstheme="majorHAnsi"/>
          <w:sz w:val="23"/>
          <w:szCs w:val="23"/>
        </w:rPr>
        <w:t>.</w:t>
      </w:r>
      <w:r w:rsidRPr="00E91887">
        <w:rPr>
          <w:rFonts w:asciiTheme="majorHAnsi" w:hAnsiTheme="majorHAnsi" w:cstheme="majorHAnsi"/>
          <w:sz w:val="23"/>
          <w:szCs w:val="23"/>
        </w:rPr>
        <w:t xml:space="preserve"> </w:t>
      </w:r>
    </w:p>
    <w:p w14:paraId="7C1BAAFA" w14:textId="37A3BA01" w:rsidR="00F00E3D" w:rsidRPr="00E91887" w:rsidRDefault="00DD5CAC" w:rsidP="009B2FA7">
      <w:pPr>
        <w:spacing w:line="276" w:lineRule="auto"/>
        <w:rPr>
          <w:rFonts w:asciiTheme="majorHAnsi" w:hAnsiTheme="majorHAnsi" w:cstheme="majorHAnsi"/>
          <w:sz w:val="23"/>
          <w:szCs w:val="23"/>
        </w:rPr>
      </w:pPr>
      <w:r>
        <w:rPr>
          <w:rFonts w:asciiTheme="majorHAnsi" w:hAnsiTheme="majorHAnsi" w:cstheme="majorHAnsi"/>
          <w:sz w:val="23"/>
          <w:szCs w:val="23"/>
        </w:rPr>
        <w:t>B</w:t>
      </w:r>
      <w:r w:rsidR="00F00E3D" w:rsidRPr="00E91887">
        <w:rPr>
          <w:rFonts w:asciiTheme="majorHAnsi" w:hAnsiTheme="majorHAnsi" w:cstheme="majorHAnsi"/>
          <w:sz w:val="23"/>
          <w:szCs w:val="23"/>
        </w:rPr>
        <w:t xml:space="preserve">uilding activity </w:t>
      </w:r>
      <w:r>
        <w:rPr>
          <w:rFonts w:asciiTheme="majorHAnsi" w:hAnsiTheme="majorHAnsi" w:cstheme="majorHAnsi"/>
          <w:sz w:val="23"/>
          <w:szCs w:val="23"/>
        </w:rPr>
        <w:t>peaked in</w:t>
      </w:r>
      <w:r w:rsidR="00F00E3D" w:rsidRPr="00E91887">
        <w:rPr>
          <w:rFonts w:asciiTheme="majorHAnsi" w:hAnsiTheme="majorHAnsi" w:cstheme="majorHAnsi"/>
          <w:sz w:val="23"/>
          <w:szCs w:val="23"/>
        </w:rPr>
        <w:t xml:space="preserve"> 1951</w:t>
      </w:r>
      <w:r>
        <w:rPr>
          <w:rFonts w:asciiTheme="majorHAnsi" w:hAnsiTheme="majorHAnsi" w:cstheme="majorHAnsi"/>
          <w:sz w:val="23"/>
          <w:szCs w:val="23"/>
        </w:rPr>
        <w:t>–</w:t>
      </w:r>
      <w:r w:rsidR="00F00E3D" w:rsidRPr="00E91887">
        <w:rPr>
          <w:rFonts w:asciiTheme="majorHAnsi" w:hAnsiTheme="majorHAnsi" w:cstheme="majorHAnsi"/>
          <w:sz w:val="23"/>
          <w:szCs w:val="23"/>
        </w:rPr>
        <w:t>1957</w:t>
      </w:r>
      <w:r w:rsidR="00547A81">
        <w:rPr>
          <w:rFonts w:asciiTheme="majorHAnsi" w:hAnsiTheme="majorHAnsi" w:cstheme="majorHAnsi"/>
          <w:sz w:val="23"/>
          <w:szCs w:val="23"/>
        </w:rPr>
        <w:t>, with</w:t>
      </w:r>
      <w:r w:rsidR="00F00E3D" w:rsidRPr="00E91887">
        <w:rPr>
          <w:rFonts w:asciiTheme="majorHAnsi" w:hAnsiTheme="majorHAnsi" w:cstheme="majorHAnsi"/>
          <w:sz w:val="23"/>
          <w:szCs w:val="23"/>
        </w:rPr>
        <w:t xml:space="preserve"> local shopping centres such as Labuan Square</w:t>
      </w:r>
      <w:r w:rsidR="00547A81">
        <w:rPr>
          <w:rFonts w:asciiTheme="majorHAnsi" w:hAnsiTheme="majorHAnsi" w:cstheme="majorHAnsi"/>
          <w:sz w:val="23"/>
          <w:szCs w:val="23"/>
        </w:rPr>
        <w:t xml:space="preserve"> (1954)</w:t>
      </w:r>
      <w:r w:rsidR="00F00E3D" w:rsidRPr="00E91887">
        <w:rPr>
          <w:rFonts w:asciiTheme="majorHAnsi" w:hAnsiTheme="majorHAnsi" w:cstheme="majorHAnsi"/>
          <w:sz w:val="23"/>
          <w:szCs w:val="23"/>
        </w:rPr>
        <w:t xml:space="preserve"> </w:t>
      </w:r>
      <w:r w:rsidR="00333E44">
        <w:rPr>
          <w:rFonts w:asciiTheme="majorHAnsi" w:hAnsiTheme="majorHAnsi" w:cstheme="majorHAnsi"/>
          <w:sz w:val="23"/>
          <w:szCs w:val="23"/>
        </w:rPr>
        <w:t>established</w:t>
      </w:r>
      <w:r w:rsidR="00F00E3D" w:rsidRPr="00E91887">
        <w:rPr>
          <w:rFonts w:asciiTheme="majorHAnsi" w:hAnsiTheme="majorHAnsi" w:cstheme="majorHAnsi"/>
          <w:sz w:val="23"/>
          <w:szCs w:val="23"/>
        </w:rPr>
        <w:t xml:space="preserve"> to serve a dynamic, prosperous working-class suburb. At this time</w:t>
      </w:r>
      <w:r w:rsidR="00547A81">
        <w:rPr>
          <w:rFonts w:asciiTheme="majorHAnsi" w:hAnsiTheme="majorHAnsi" w:cstheme="majorHAnsi"/>
          <w:sz w:val="23"/>
          <w:szCs w:val="23"/>
        </w:rPr>
        <w:t xml:space="preserve"> Australia had</w:t>
      </w:r>
      <w:r w:rsidR="00F00E3D" w:rsidRPr="00E91887">
        <w:rPr>
          <w:rFonts w:asciiTheme="majorHAnsi" w:hAnsiTheme="majorHAnsi" w:cstheme="majorHAnsi"/>
          <w:sz w:val="23"/>
          <w:szCs w:val="23"/>
        </w:rPr>
        <w:t xml:space="preserve"> </w:t>
      </w:r>
      <w:r w:rsidR="00547A81">
        <w:rPr>
          <w:rFonts w:asciiTheme="majorHAnsi" w:hAnsiTheme="majorHAnsi" w:cstheme="majorHAnsi"/>
          <w:sz w:val="23"/>
          <w:szCs w:val="23"/>
        </w:rPr>
        <w:t>“</w:t>
      </w:r>
      <w:r w:rsidR="00F00E3D" w:rsidRPr="00E91887">
        <w:rPr>
          <w:rFonts w:asciiTheme="majorHAnsi" w:hAnsiTheme="majorHAnsi" w:cstheme="majorHAnsi"/>
          <w:sz w:val="23"/>
          <w:szCs w:val="23"/>
        </w:rPr>
        <w:t>full employment</w:t>
      </w:r>
      <w:r w:rsidR="00547A81">
        <w:rPr>
          <w:rFonts w:asciiTheme="majorHAnsi" w:hAnsiTheme="majorHAnsi" w:cstheme="majorHAnsi"/>
          <w:sz w:val="23"/>
          <w:szCs w:val="23"/>
        </w:rPr>
        <w:t>” (unemployment below 2 percent),</w:t>
      </w:r>
      <w:r w:rsidR="00F00E3D" w:rsidRPr="00E91887">
        <w:rPr>
          <w:rFonts w:asciiTheme="majorHAnsi" w:hAnsiTheme="majorHAnsi" w:cstheme="majorHAnsi"/>
          <w:sz w:val="23"/>
          <w:szCs w:val="23"/>
        </w:rPr>
        <w:t xml:space="preserve"> and 30</w:t>
      </w:r>
      <w:r>
        <w:rPr>
          <w:rFonts w:asciiTheme="majorHAnsi" w:hAnsiTheme="majorHAnsi" w:cstheme="majorHAnsi"/>
          <w:sz w:val="23"/>
          <w:szCs w:val="23"/>
        </w:rPr>
        <w:t xml:space="preserve"> percent</w:t>
      </w:r>
      <w:r w:rsidR="00F00E3D" w:rsidRPr="00E91887">
        <w:rPr>
          <w:rFonts w:asciiTheme="majorHAnsi" w:hAnsiTheme="majorHAnsi" w:cstheme="majorHAnsi"/>
          <w:sz w:val="23"/>
          <w:szCs w:val="23"/>
        </w:rPr>
        <w:t xml:space="preserve"> of </w:t>
      </w:r>
      <w:r w:rsidR="00547A81">
        <w:rPr>
          <w:rFonts w:asciiTheme="majorHAnsi" w:hAnsiTheme="majorHAnsi" w:cstheme="majorHAnsi"/>
          <w:sz w:val="23"/>
          <w:szCs w:val="23"/>
        </w:rPr>
        <w:t xml:space="preserve">Geelong’s </w:t>
      </w:r>
      <w:r w:rsidR="00F00E3D" w:rsidRPr="00E91887">
        <w:rPr>
          <w:rFonts w:asciiTheme="majorHAnsi" w:hAnsiTheme="majorHAnsi" w:cstheme="majorHAnsi"/>
          <w:sz w:val="23"/>
          <w:szCs w:val="23"/>
        </w:rPr>
        <w:t xml:space="preserve">workforce was employed in manufacturing. In Corio, </w:t>
      </w:r>
      <w:r w:rsidR="00547A81">
        <w:rPr>
          <w:rFonts w:asciiTheme="majorHAnsi" w:hAnsiTheme="majorHAnsi" w:cstheme="majorHAnsi"/>
          <w:sz w:val="23"/>
          <w:szCs w:val="23"/>
        </w:rPr>
        <w:t>almost</w:t>
      </w:r>
      <w:r w:rsidR="00F00E3D" w:rsidRPr="00E91887">
        <w:rPr>
          <w:rFonts w:asciiTheme="majorHAnsi" w:hAnsiTheme="majorHAnsi" w:cstheme="majorHAnsi"/>
          <w:sz w:val="23"/>
          <w:szCs w:val="23"/>
        </w:rPr>
        <w:t xml:space="preserve"> 40</w:t>
      </w:r>
      <w:r w:rsidR="00547A81">
        <w:rPr>
          <w:rFonts w:asciiTheme="majorHAnsi" w:hAnsiTheme="majorHAnsi" w:cstheme="majorHAnsi"/>
          <w:sz w:val="23"/>
          <w:szCs w:val="23"/>
        </w:rPr>
        <w:t xml:space="preserve"> per cent</w:t>
      </w:r>
      <w:r w:rsidR="00F00E3D" w:rsidRPr="00E91887">
        <w:rPr>
          <w:rFonts w:asciiTheme="majorHAnsi" w:hAnsiTheme="majorHAnsi" w:cstheme="majorHAnsi"/>
          <w:sz w:val="23"/>
          <w:szCs w:val="23"/>
        </w:rPr>
        <w:t xml:space="preserve"> of the workforce was </w:t>
      </w:r>
      <w:r w:rsidR="00333E44">
        <w:rPr>
          <w:rFonts w:asciiTheme="majorHAnsi" w:hAnsiTheme="majorHAnsi" w:cstheme="majorHAnsi"/>
          <w:sz w:val="23"/>
          <w:szCs w:val="23"/>
        </w:rPr>
        <w:t>in</w:t>
      </w:r>
      <w:r w:rsidR="00F00E3D" w:rsidRPr="00E91887">
        <w:rPr>
          <w:rFonts w:asciiTheme="majorHAnsi" w:hAnsiTheme="majorHAnsi" w:cstheme="majorHAnsi"/>
          <w:sz w:val="23"/>
          <w:szCs w:val="23"/>
        </w:rPr>
        <w:t xml:space="preserve"> local industry (ABS 1961). In 1986</w:t>
      </w:r>
      <w:r w:rsidR="00547A81">
        <w:rPr>
          <w:rFonts w:asciiTheme="majorHAnsi" w:hAnsiTheme="majorHAnsi" w:cstheme="majorHAnsi"/>
          <w:sz w:val="23"/>
          <w:szCs w:val="23"/>
        </w:rPr>
        <w:t>,</w:t>
      </w:r>
      <w:r w:rsidR="00F00E3D" w:rsidRPr="00E91887">
        <w:rPr>
          <w:rFonts w:asciiTheme="majorHAnsi" w:hAnsiTheme="majorHAnsi" w:cstheme="majorHAnsi"/>
          <w:sz w:val="23"/>
          <w:szCs w:val="23"/>
        </w:rPr>
        <w:t xml:space="preserve"> </w:t>
      </w:r>
      <w:r w:rsidR="00333E44">
        <w:rPr>
          <w:rFonts w:asciiTheme="majorHAnsi" w:hAnsiTheme="majorHAnsi" w:cstheme="majorHAnsi"/>
          <w:sz w:val="23"/>
          <w:szCs w:val="23"/>
        </w:rPr>
        <w:t xml:space="preserve">almost </w:t>
      </w:r>
      <w:r w:rsidR="00F00E3D" w:rsidRPr="00E91887">
        <w:rPr>
          <w:rFonts w:asciiTheme="majorHAnsi" w:hAnsiTheme="majorHAnsi" w:cstheme="majorHAnsi"/>
          <w:sz w:val="23"/>
          <w:szCs w:val="23"/>
        </w:rPr>
        <w:t>4</w:t>
      </w:r>
      <w:r w:rsidR="00333E44">
        <w:rPr>
          <w:rFonts w:asciiTheme="majorHAnsi" w:hAnsiTheme="majorHAnsi" w:cstheme="majorHAnsi"/>
          <w:sz w:val="23"/>
          <w:szCs w:val="23"/>
        </w:rPr>
        <w:t>5 percent</w:t>
      </w:r>
      <w:r w:rsidR="00F00E3D" w:rsidRPr="00E91887">
        <w:rPr>
          <w:rFonts w:asciiTheme="majorHAnsi" w:hAnsiTheme="majorHAnsi" w:cstheme="majorHAnsi"/>
          <w:sz w:val="23"/>
          <w:szCs w:val="23"/>
        </w:rPr>
        <w:t xml:space="preserve"> of </w:t>
      </w:r>
      <w:r w:rsidR="00333E44">
        <w:rPr>
          <w:rFonts w:asciiTheme="majorHAnsi" w:hAnsiTheme="majorHAnsi" w:cstheme="majorHAnsi"/>
          <w:sz w:val="23"/>
          <w:szCs w:val="23"/>
        </w:rPr>
        <w:t>Norlane’s</w:t>
      </w:r>
      <w:r w:rsidR="00F00E3D" w:rsidRPr="00E91887">
        <w:rPr>
          <w:rFonts w:asciiTheme="majorHAnsi" w:hAnsiTheme="majorHAnsi" w:cstheme="majorHAnsi"/>
          <w:sz w:val="23"/>
          <w:szCs w:val="23"/>
        </w:rPr>
        <w:t xml:space="preserve"> workforce </w:t>
      </w:r>
      <w:r w:rsidR="00333E44">
        <w:rPr>
          <w:rFonts w:asciiTheme="majorHAnsi" w:hAnsiTheme="majorHAnsi" w:cstheme="majorHAnsi"/>
          <w:sz w:val="23"/>
          <w:szCs w:val="23"/>
        </w:rPr>
        <w:t xml:space="preserve">was </w:t>
      </w:r>
      <w:r w:rsidR="00F00E3D" w:rsidRPr="00E91887">
        <w:rPr>
          <w:rFonts w:asciiTheme="majorHAnsi" w:hAnsiTheme="majorHAnsi" w:cstheme="majorHAnsi"/>
          <w:sz w:val="23"/>
          <w:szCs w:val="23"/>
        </w:rPr>
        <w:t xml:space="preserve">in manufacturing, </w:t>
      </w:r>
      <w:r w:rsidR="00333E44">
        <w:rPr>
          <w:rFonts w:asciiTheme="majorHAnsi" w:hAnsiTheme="majorHAnsi" w:cstheme="majorHAnsi"/>
          <w:sz w:val="23"/>
          <w:szCs w:val="23"/>
        </w:rPr>
        <w:t xml:space="preserve">but by </w:t>
      </w:r>
      <w:r w:rsidR="00F00E3D" w:rsidRPr="00E91887">
        <w:rPr>
          <w:rFonts w:asciiTheme="majorHAnsi" w:hAnsiTheme="majorHAnsi" w:cstheme="majorHAnsi"/>
          <w:sz w:val="23"/>
          <w:szCs w:val="23"/>
        </w:rPr>
        <w:t xml:space="preserve">2006 </w:t>
      </w:r>
      <w:r w:rsidR="00333E44">
        <w:rPr>
          <w:rFonts w:asciiTheme="majorHAnsi" w:hAnsiTheme="majorHAnsi" w:cstheme="majorHAnsi"/>
          <w:sz w:val="23"/>
          <w:szCs w:val="23"/>
        </w:rPr>
        <w:t>that figure had</w:t>
      </w:r>
      <w:r w:rsidR="00333E44" w:rsidRPr="00E91887">
        <w:rPr>
          <w:rFonts w:asciiTheme="majorHAnsi" w:hAnsiTheme="majorHAnsi" w:cstheme="majorHAnsi"/>
          <w:sz w:val="23"/>
          <w:szCs w:val="23"/>
        </w:rPr>
        <w:t xml:space="preserve"> fallen to 25</w:t>
      </w:r>
      <w:r w:rsidR="00333E44">
        <w:rPr>
          <w:rFonts w:asciiTheme="majorHAnsi" w:hAnsiTheme="majorHAnsi" w:cstheme="majorHAnsi"/>
          <w:sz w:val="23"/>
          <w:szCs w:val="23"/>
        </w:rPr>
        <w:t xml:space="preserve"> percent, accompanied by a </w:t>
      </w:r>
      <w:r w:rsidR="00F00E3D" w:rsidRPr="00E91887">
        <w:rPr>
          <w:rFonts w:asciiTheme="majorHAnsi" w:hAnsiTheme="majorHAnsi" w:cstheme="majorHAnsi"/>
          <w:sz w:val="23"/>
          <w:szCs w:val="23"/>
        </w:rPr>
        <w:t xml:space="preserve">massive increase in unemployment </w:t>
      </w:r>
      <w:r w:rsidR="00F00E3D" w:rsidRPr="00E91887">
        <w:rPr>
          <w:rFonts w:asciiTheme="majorHAnsi" w:hAnsiTheme="majorHAnsi" w:cstheme="majorHAnsi"/>
          <w:noProof/>
          <w:sz w:val="23"/>
          <w:szCs w:val="23"/>
        </w:rPr>
        <w:t>(DPCD, 2010, pp. 8</w:t>
      </w:r>
      <w:r w:rsidR="00547A81">
        <w:rPr>
          <w:rFonts w:asciiTheme="majorHAnsi" w:hAnsiTheme="majorHAnsi" w:cstheme="majorHAnsi"/>
          <w:noProof/>
          <w:sz w:val="23"/>
          <w:szCs w:val="23"/>
        </w:rPr>
        <w:t>–</w:t>
      </w:r>
      <w:r w:rsidR="00F00E3D" w:rsidRPr="00E91887">
        <w:rPr>
          <w:rFonts w:asciiTheme="majorHAnsi" w:hAnsiTheme="majorHAnsi" w:cstheme="majorHAnsi"/>
          <w:noProof/>
          <w:sz w:val="23"/>
          <w:szCs w:val="23"/>
        </w:rPr>
        <w:t>9)</w:t>
      </w:r>
      <w:r w:rsidR="00F00E3D" w:rsidRPr="00E91887">
        <w:rPr>
          <w:rFonts w:asciiTheme="majorHAnsi" w:hAnsiTheme="majorHAnsi" w:cstheme="majorHAnsi"/>
          <w:sz w:val="23"/>
          <w:szCs w:val="23"/>
        </w:rPr>
        <w:t>.</w:t>
      </w:r>
    </w:p>
    <w:p w14:paraId="4C7B441D" w14:textId="40D701F2" w:rsidR="00F00E3D" w:rsidRPr="00555FC9" w:rsidRDefault="00F00E3D" w:rsidP="009B2FA7">
      <w:pPr>
        <w:spacing w:line="276" w:lineRule="auto"/>
        <w:rPr>
          <w:rFonts w:asciiTheme="majorHAnsi" w:hAnsiTheme="majorHAnsi" w:cstheme="majorHAnsi"/>
          <w:sz w:val="23"/>
          <w:szCs w:val="23"/>
        </w:rPr>
      </w:pPr>
      <w:r w:rsidRPr="00E91887">
        <w:rPr>
          <w:rFonts w:asciiTheme="majorHAnsi" w:hAnsiTheme="majorHAnsi" w:cstheme="majorHAnsi"/>
          <w:sz w:val="23"/>
          <w:szCs w:val="23"/>
        </w:rPr>
        <w:t xml:space="preserve">If the 1950s and </w:t>
      </w:r>
      <w:r w:rsidR="00333E44">
        <w:rPr>
          <w:rFonts w:asciiTheme="majorHAnsi" w:hAnsiTheme="majorHAnsi" w:cstheme="majorHAnsi"/>
          <w:sz w:val="23"/>
          <w:szCs w:val="23"/>
        </w:rPr>
        <w:t>19</w:t>
      </w:r>
      <w:r w:rsidRPr="00E91887">
        <w:rPr>
          <w:rFonts w:asciiTheme="majorHAnsi" w:hAnsiTheme="majorHAnsi" w:cstheme="majorHAnsi"/>
          <w:sz w:val="23"/>
          <w:szCs w:val="23"/>
        </w:rPr>
        <w:t xml:space="preserve">60s were boom times, the early 1970s heralded the </w:t>
      </w:r>
      <w:r w:rsidR="00333E44">
        <w:rPr>
          <w:rFonts w:asciiTheme="majorHAnsi" w:hAnsiTheme="majorHAnsi" w:cstheme="majorHAnsi"/>
          <w:sz w:val="23"/>
          <w:szCs w:val="23"/>
        </w:rPr>
        <w:t>start of</w:t>
      </w:r>
      <w:r w:rsidRPr="00E91887">
        <w:rPr>
          <w:rFonts w:asciiTheme="majorHAnsi" w:hAnsiTheme="majorHAnsi" w:cstheme="majorHAnsi"/>
          <w:sz w:val="23"/>
          <w:szCs w:val="23"/>
        </w:rPr>
        <w:t xml:space="preserve"> a major shift away from manufacturing</w:t>
      </w:r>
      <w:r w:rsidR="00333E44">
        <w:rPr>
          <w:rFonts w:asciiTheme="majorHAnsi" w:hAnsiTheme="majorHAnsi" w:cstheme="majorHAnsi"/>
          <w:sz w:val="23"/>
          <w:szCs w:val="23"/>
        </w:rPr>
        <w:t>, both</w:t>
      </w:r>
      <w:r w:rsidRPr="00E91887">
        <w:rPr>
          <w:rFonts w:asciiTheme="majorHAnsi" w:hAnsiTheme="majorHAnsi" w:cstheme="majorHAnsi"/>
          <w:sz w:val="23"/>
          <w:szCs w:val="23"/>
        </w:rPr>
        <w:t xml:space="preserve"> nationally and </w:t>
      </w:r>
      <w:r w:rsidR="00333E44">
        <w:rPr>
          <w:rFonts w:asciiTheme="majorHAnsi" w:hAnsiTheme="majorHAnsi" w:cstheme="majorHAnsi"/>
          <w:sz w:val="23"/>
          <w:szCs w:val="23"/>
        </w:rPr>
        <w:t>in</w:t>
      </w:r>
      <w:r w:rsidRPr="00E91887">
        <w:rPr>
          <w:rFonts w:asciiTheme="majorHAnsi" w:hAnsiTheme="majorHAnsi" w:cstheme="majorHAnsi"/>
          <w:sz w:val="23"/>
          <w:szCs w:val="23"/>
        </w:rPr>
        <w:t xml:space="preserve"> Geelong</w:t>
      </w:r>
      <w:r w:rsidR="00333E44">
        <w:rPr>
          <w:rFonts w:asciiTheme="majorHAnsi" w:hAnsiTheme="majorHAnsi" w:cstheme="majorHAnsi"/>
          <w:sz w:val="23"/>
          <w:szCs w:val="23"/>
        </w:rPr>
        <w:t>. The</w:t>
      </w:r>
      <w:r w:rsidRPr="00E91887">
        <w:rPr>
          <w:rFonts w:asciiTheme="majorHAnsi" w:hAnsiTheme="majorHAnsi" w:cstheme="majorHAnsi"/>
          <w:sz w:val="23"/>
          <w:szCs w:val="23"/>
        </w:rPr>
        <w:t xml:space="preserve"> textile industry</w:t>
      </w:r>
      <w:r w:rsidR="00333E44">
        <w:rPr>
          <w:rFonts w:asciiTheme="majorHAnsi" w:hAnsiTheme="majorHAnsi" w:cstheme="majorHAnsi"/>
          <w:sz w:val="23"/>
          <w:szCs w:val="23"/>
        </w:rPr>
        <w:t xml:space="preserve">, </w:t>
      </w:r>
      <w:r w:rsidR="003710F5">
        <w:rPr>
          <w:rFonts w:asciiTheme="majorHAnsi" w:hAnsiTheme="majorHAnsi" w:cstheme="majorHAnsi"/>
          <w:sz w:val="23"/>
          <w:szCs w:val="23"/>
        </w:rPr>
        <w:t>then</w:t>
      </w:r>
      <w:r w:rsidR="00333E44">
        <w:rPr>
          <w:rFonts w:asciiTheme="majorHAnsi" w:hAnsiTheme="majorHAnsi" w:cstheme="majorHAnsi"/>
          <w:sz w:val="23"/>
          <w:szCs w:val="23"/>
        </w:rPr>
        <w:t xml:space="preserve"> </w:t>
      </w:r>
      <w:r w:rsidRPr="00E91887">
        <w:rPr>
          <w:rFonts w:asciiTheme="majorHAnsi" w:hAnsiTheme="majorHAnsi" w:cstheme="majorHAnsi"/>
          <w:sz w:val="23"/>
          <w:szCs w:val="23"/>
        </w:rPr>
        <w:t>the truck and car industries</w:t>
      </w:r>
      <w:r w:rsidR="00333E44">
        <w:rPr>
          <w:rFonts w:asciiTheme="majorHAnsi" w:hAnsiTheme="majorHAnsi" w:cstheme="majorHAnsi"/>
          <w:sz w:val="23"/>
          <w:szCs w:val="23"/>
        </w:rPr>
        <w:t>,</w:t>
      </w:r>
      <w:r w:rsidRPr="00E91887">
        <w:rPr>
          <w:rFonts w:asciiTheme="majorHAnsi" w:hAnsiTheme="majorHAnsi" w:cstheme="majorHAnsi"/>
          <w:sz w:val="23"/>
          <w:szCs w:val="23"/>
        </w:rPr>
        <w:t xml:space="preserve"> </w:t>
      </w:r>
      <w:r w:rsidRPr="001C4CA0">
        <w:rPr>
          <w:rFonts w:asciiTheme="majorHAnsi" w:hAnsiTheme="majorHAnsi" w:cstheme="majorHAnsi"/>
          <w:sz w:val="23"/>
          <w:szCs w:val="23"/>
        </w:rPr>
        <w:t xml:space="preserve">came under sustained pressure </w:t>
      </w:r>
      <w:r w:rsidR="00333E44" w:rsidRPr="001C4CA0">
        <w:rPr>
          <w:rFonts w:asciiTheme="majorHAnsi" w:hAnsiTheme="majorHAnsi" w:cstheme="majorHAnsi"/>
          <w:sz w:val="23"/>
          <w:szCs w:val="23"/>
        </w:rPr>
        <w:t>as the</w:t>
      </w:r>
      <w:r w:rsidRPr="001C4CA0">
        <w:rPr>
          <w:rFonts w:asciiTheme="majorHAnsi" w:hAnsiTheme="majorHAnsi" w:cstheme="majorHAnsi"/>
          <w:sz w:val="23"/>
          <w:szCs w:val="23"/>
        </w:rPr>
        <w:t xml:space="preserve"> tariff wall that had long protected them</w:t>
      </w:r>
      <w:r w:rsidR="00333E44" w:rsidRPr="001C4CA0">
        <w:rPr>
          <w:rFonts w:asciiTheme="majorHAnsi" w:hAnsiTheme="majorHAnsi" w:cstheme="majorHAnsi"/>
          <w:sz w:val="23"/>
          <w:szCs w:val="23"/>
        </w:rPr>
        <w:t xml:space="preserve"> was dismantled</w:t>
      </w:r>
      <w:r w:rsidRPr="001C4CA0">
        <w:rPr>
          <w:rFonts w:asciiTheme="majorHAnsi" w:hAnsiTheme="majorHAnsi" w:cstheme="majorHAnsi"/>
          <w:sz w:val="23"/>
          <w:szCs w:val="23"/>
        </w:rPr>
        <w:t xml:space="preserve">. </w:t>
      </w:r>
      <w:r w:rsidR="00333E44" w:rsidRPr="001C4CA0">
        <w:rPr>
          <w:rFonts w:asciiTheme="majorHAnsi" w:hAnsiTheme="majorHAnsi" w:cstheme="majorHAnsi"/>
          <w:sz w:val="23"/>
          <w:szCs w:val="23"/>
        </w:rPr>
        <w:t>H</w:t>
      </w:r>
      <w:r w:rsidRPr="001C4CA0">
        <w:rPr>
          <w:rFonts w:asciiTheme="majorHAnsi" w:hAnsiTheme="majorHAnsi" w:cstheme="majorHAnsi"/>
          <w:sz w:val="23"/>
          <w:szCs w:val="23"/>
        </w:rPr>
        <w:t>ousing</w:t>
      </w:r>
      <w:r w:rsidR="00333E44" w:rsidRPr="001C4CA0">
        <w:rPr>
          <w:rFonts w:asciiTheme="majorHAnsi" w:hAnsiTheme="majorHAnsi" w:cstheme="majorHAnsi"/>
          <w:sz w:val="23"/>
          <w:szCs w:val="23"/>
        </w:rPr>
        <w:t xml:space="preserve"> policy also shifted</w:t>
      </w:r>
      <w:r w:rsidR="00FB1A52" w:rsidRPr="001C4CA0">
        <w:rPr>
          <w:rFonts w:asciiTheme="majorHAnsi" w:hAnsiTheme="majorHAnsi" w:cstheme="majorHAnsi"/>
          <w:sz w:val="23"/>
          <w:szCs w:val="23"/>
        </w:rPr>
        <w:t>:</w:t>
      </w:r>
      <w:r w:rsidR="00333E44" w:rsidRPr="001C4CA0">
        <w:rPr>
          <w:rFonts w:asciiTheme="majorHAnsi" w:hAnsiTheme="majorHAnsi" w:cstheme="majorHAnsi"/>
          <w:sz w:val="23"/>
          <w:szCs w:val="23"/>
        </w:rPr>
        <w:t xml:space="preserve"> </w:t>
      </w:r>
      <w:r w:rsidR="001C4CA0" w:rsidRPr="001C4CA0">
        <w:rPr>
          <w:rFonts w:asciiTheme="majorHAnsi" w:hAnsiTheme="majorHAnsi" w:cstheme="majorHAnsi"/>
          <w:sz w:val="23"/>
          <w:szCs w:val="23"/>
        </w:rPr>
        <w:t xml:space="preserve">public housing, </w:t>
      </w:r>
      <w:r w:rsidR="00FB1A52" w:rsidRPr="001C4CA0">
        <w:rPr>
          <w:rFonts w:asciiTheme="majorHAnsi" w:hAnsiTheme="majorHAnsi" w:cstheme="majorHAnsi"/>
          <w:sz w:val="23"/>
          <w:szCs w:val="23"/>
        </w:rPr>
        <w:t>formerly seen as a legitimate form of tenure for</w:t>
      </w:r>
      <w:r w:rsidRPr="001C4CA0">
        <w:rPr>
          <w:rFonts w:asciiTheme="majorHAnsi" w:hAnsiTheme="majorHAnsi" w:cstheme="majorHAnsi"/>
          <w:sz w:val="23"/>
          <w:szCs w:val="23"/>
        </w:rPr>
        <w:t xml:space="preserve"> low-income worker</w:t>
      </w:r>
      <w:r w:rsidR="00FB1A52" w:rsidRPr="001C4CA0">
        <w:rPr>
          <w:rFonts w:asciiTheme="majorHAnsi" w:hAnsiTheme="majorHAnsi" w:cstheme="majorHAnsi"/>
          <w:sz w:val="23"/>
          <w:szCs w:val="23"/>
        </w:rPr>
        <w:t xml:space="preserve">s, was reframed as </w:t>
      </w:r>
      <w:r w:rsidR="00333E44" w:rsidRPr="001C4CA0">
        <w:rPr>
          <w:rFonts w:asciiTheme="majorHAnsi" w:hAnsiTheme="majorHAnsi" w:cstheme="majorHAnsi"/>
          <w:sz w:val="23"/>
          <w:szCs w:val="23"/>
        </w:rPr>
        <w:t>a</w:t>
      </w:r>
      <w:r w:rsidR="00FB1A52" w:rsidRPr="001C4CA0">
        <w:rPr>
          <w:rFonts w:asciiTheme="majorHAnsi" w:hAnsiTheme="majorHAnsi" w:cstheme="majorHAnsi"/>
          <w:sz w:val="23"/>
          <w:szCs w:val="23"/>
        </w:rPr>
        <w:t xml:space="preserve"> form of</w:t>
      </w:r>
      <w:r w:rsidR="00333E44" w:rsidRPr="001C4CA0">
        <w:rPr>
          <w:rFonts w:asciiTheme="majorHAnsi" w:hAnsiTheme="majorHAnsi" w:cstheme="majorHAnsi"/>
          <w:sz w:val="23"/>
          <w:szCs w:val="23"/>
        </w:rPr>
        <w:t xml:space="preserve"> welfare and residual tenure</w:t>
      </w:r>
      <w:r w:rsidR="00FB1A52" w:rsidRPr="001C4CA0">
        <w:rPr>
          <w:rFonts w:asciiTheme="majorHAnsi" w:hAnsiTheme="majorHAnsi" w:cstheme="majorHAnsi"/>
          <w:sz w:val="23"/>
          <w:szCs w:val="23"/>
        </w:rPr>
        <w:t xml:space="preserve">. </w:t>
      </w:r>
      <w:r w:rsidR="001C4CA0" w:rsidRPr="001C4CA0">
        <w:rPr>
          <w:rFonts w:asciiTheme="majorHAnsi" w:hAnsiTheme="majorHAnsi" w:cstheme="majorHAnsi"/>
          <w:sz w:val="23"/>
          <w:szCs w:val="23"/>
        </w:rPr>
        <w:t>As a result,</w:t>
      </w:r>
      <w:r w:rsidR="00FB1A52" w:rsidRPr="001C4CA0">
        <w:rPr>
          <w:rFonts w:asciiTheme="majorHAnsi" w:hAnsiTheme="majorHAnsi" w:cstheme="majorHAnsi"/>
          <w:sz w:val="23"/>
          <w:szCs w:val="23"/>
        </w:rPr>
        <w:t xml:space="preserve"> public housing</w:t>
      </w:r>
      <w:r w:rsidRPr="001C4CA0">
        <w:rPr>
          <w:rFonts w:asciiTheme="majorHAnsi" w:hAnsiTheme="majorHAnsi" w:cstheme="majorHAnsi"/>
          <w:sz w:val="23"/>
          <w:szCs w:val="23"/>
        </w:rPr>
        <w:t xml:space="preserve"> tenants were increasingly stigmatised and associated with poverty. </w:t>
      </w:r>
      <w:r w:rsidR="00FB1A52" w:rsidRPr="001C4CA0">
        <w:rPr>
          <w:rFonts w:asciiTheme="majorHAnsi" w:hAnsiTheme="majorHAnsi" w:cstheme="majorHAnsi"/>
          <w:sz w:val="23"/>
          <w:szCs w:val="23"/>
        </w:rPr>
        <w:t>In a 2000</w:t>
      </w:r>
      <w:r w:rsidRPr="001C4CA0">
        <w:rPr>
          <w:rFonts w:asciiTheme="majorHAnsi" w:hAnsiTheme="majorHAnsi" w:cstheme="majorHAnsi"/>
          <w:sz w:val="23"/>
          <w:szCs w:val="23"/>
        </w:rPr>
        <w:t xml:space="preserve"> survey of </w:t>
      </w:r>
      <w:r w:rsidR="00FB1A52" w:rsidRPr="001C4CA0">
        <w:rPr>
          <w:rFonts w:asciiTheme="majorHAnsi" w:hAnsiTheme="majorHAnsi" w:cstheme="majorHAnsi"/>
          <w:sz w:val="23"/>
          <w:szCs w:val="23"/>
        </w:rPr>
        <w:t xml:space="preserve">Corio-Norlane </w:t>
      </w:r>
      <w:r w:rsidRPr="001C4CA0">
        <w:rPr>
          <w:rFonts w:asciiTheme="majorHAnsi" w:hAnsiTheme="majorHAnsi" w:cstheme="majorHAnsi"/>
          <w:sz w:val="23"/>
          <w:szCs w:val="23"/>
        </w:rPr>
        <w:t xml:space="preserve">residents, Deborah Warr recorded how this area was perceived by </w:t>
      </w:r>
      <w:r w:rsidR="00FB1A52" w:rsidRPr="001C4CA0">
        <w:rPr>
          <w:rFonts w:asciiTheme="majorHAnsi" w:hAnsiTheme="majorHAnsi" w:cstheme="majorHAnsi"/>
          <w:sz w:val="23"/>
          <w:szCs w:val="23"/>
        </w:rPr>
        <w:t>outsiders</w:t>
      </w:r>
      <w:r w:rsidRPr="001C4CA0">
        <w:rPr>
          <w:rFonts w:asciiTheme="majorHAnsi" w:hAnsiTheme="majorHAnsi" w:cstheme="majorHAnsi"/>
          <w:sz w:val="23"/>
          <w:szCs w:val="23"/>
        </w:rPr>
        <w:t xml:space="preserve"> as the “Bronx of Geelong”</w:t>
      </w:r>
      <w:r w:rsidR="00FB1A52" w:rsidRPr="001C4CA0">
        <w:rPr>
          <w:rFonts w:asciiTheme="majorHAnsi" w:hAnsiTheme="majorHAnsi" w:cstheme="majorHAnsi"/>
          <w:sz w:val="23"/>
          <w:szCs w:val="23"/>
        </w:rPr>
        <w:t xml:space="preserve"> –</w:t>
      </w:r>
      <w:r w:rsidRPr="001C4CA0">
        <w:rPr>
          <w:rFonts w:asciiTheme="majorHAnsi" w:hAnsiTheme="majorHAnsi" w:cstheme="majorHAnsi"/>
          <w:sz w:val="23"/>
          <w:szCs w:val="23"/>
        </w:rPr>
        <w:t xml:space="preserve"> </w:t>
      </w:r>
      <w:r w:rsidR="00FB1A52" w:rsidRPr="001C4CA0">
        <w:rPr>
          <w:rFonts w:asciiTheme="majorHAnsi" w:hAnsiTheme="majorHAnsi" w:cstheme="majorHAnsi"/>
          <w:sz w:val="23"/>
          <w:szCs w:val="23"/>
        </w:rPr>
        <w:t>a</w:t>
      </w:r>
      <w:r w:rsidRPr="001C4CA0">
        <w:rPr>
          <w:rFonts w:asciiTheme="majorHAnsi" w:hAnsiTheme="majorHAnsi" w:cstheme="majorHAnsi"/>
          <w:sz w:val="23"/>
          <w:szCs w:val="23"/>
        </w:rPr>
        <w:t xml:space="preserve"> ghetto. </w:t>
      </w:r>
      <w:r w:rsidRPr="001C4CA0">
        <w:rPr>
          <w:rFonts w:asciiTheme="majorHAnsi" w:hAnsiTheme="majorHAnsi" w:cstheme="majorHAnsi"/>
          <w:sz w:val="23"/>
          <w:szCs w:val="23"/>
        </w:rPr>
        <w:lastRenderedPageBreak/>
        <w:t>As one respondent noted: “</w:t>
      </w:r>
      <w:r w:rsidR="00FB1A52" w:rsidRPr="001C4CA0">
        <w:rPr>
          <w:rFonts w:asciiTheme="majorHAnsi" w:hAnsiTheme="majorHAnsi" w:cstheme="majorHAnsi"/>
          <w:sz w:val="23"/>
          <w:szCs w:val="23"/>
        </w:rPr>
        <w:t>N</w:t>
      </w:r>
      <w:r w:rsidRPr="001C4CA0">
        <w:rPr>
          <w:rFonts w:asciiTheme="majorHAnsi" w:hAnsiTheme="majorHAnsi" w:cstheme="majorHAnsi"/>
          <w:sz w:val="23"/>
          <w:szCs w:val="23"/>
        </w:rPr>
        <w:t xml:space="preserve">obody wants to be here, and we haven’t got no choice. Like in LA, they’ve got their trailer park trash and in Geelong you’ve got Corio and Norlane trash” </w:t>
      </w:r>
      <w:r w:rsidRPr="001C4CA0">
        <w:rPr>
          <w:rFonts w:asciiTheme="majorHAnsi" w:hAnsiTheme="majorHAnsi" w:cstheme="majorHAnsi"/>
          <w:noProof/>
          <w:sz w:val="23"/>
          <w:szCs w:val="23"/>
        </w:rPr>
        <w:t>(Warr, 2005, p</w:t>
      </w:r>
      <w:r w:rsidRPr="00555FC9">
        <w:rPr>
          <w:rFonts w:asciiTheme="majorHAnsi" w:hAnsiTheme="majorHAnsi" w:cstheme="majorHAnsi"/>
          <w:noProof/>
          <w:sz w:val="23"/>
          <w:szCs w:val="23"/>
        </w:rPr>
        <w:t>. 299)</w:t>
      </w:r>
      <w:r w:rsidRPr="00555FC9">
        <w:rPr>
          <w:rFonts w:asciiTheme="majorHAnsi" w:hAnsiTheme="majorHAnsi" w:cstheme="majorHAnsi"/>
          <w:sz w:val="23"/>
          <w:szCs w:val="23"/>
        </w:rPr>
        <w:t>.</w:t>
      </w:r>
    </w:p>
    <w:p w14:paraId="5F632A8B" w14:textId="1696C04D" w:rsidR="00042C23" w:rsidRPr="00E91887" w:rsidRDefault="001C4CA0" w:rsidP="00042C23">
      <w:pPr>
        <w:spacing w:after="0" w:line="276" w:lineRule="auto"/>
        <w:rPr>
          <w:rFonts w:asciiTheme="majorHAnsi" w:hAnsiTheme="majorHAnsi" w:cstheme="majorHAnsi"/>
          <w:sz w:val="23"/>
          <w:szCs w:val="23"/>
        </w:rPr>
      </w:pPr>
      <w:r w:rsidRPr="00555FC9">
        <w:rPr>
          <w:rFonts w:asciiTheme="majorHAnsi" w:hAnsiTheme="majorHAnsi" w:cstheme="majorHAnsi"/>
          <w:sz w:val="23"/>
          <w:szCs w:val="23"/>
        </w:rPr>
        <w:t xml:space="preserve">Historically then, </w:t>
      </w:r>
      <w:r w:rsidR="00F00E3D" w:rsidRPr="00555FC9">
        <w:rPr>
          <w:rFonts w:asciiTheme="majorHAnsi" w:hAnsiTheme="majorHAnsi" w:cstheme="majorHAnsi"/>
          <w:sz w:val="23"/>
          <w:szCs w:val="23"/>
        </w:rPr>
        <w:t>Geelong</w:t>
      </w:r>
      <w:r w:rsidRPr="00555FC9">
        <w:rPr>
          <w:rFonts w:asciiTheme="majorHAnsi" w:hAnsiTheme="majorHAnsi" w:cstheme="majorHAnsi"/>
          <w:sz w:val="23"/>
          <w:szCs w:val="23"/>
        </w:rPr>
        <w:t>’s norther</w:t>
      </w:r>
      <w:r w:rsidR="00C866CE" w:rsidRPr="00555FC9">
        <w:rPr>
          <w:rFonts w:asciiTheme="majorHAnsi" w:hAnsiTheme="majorHAnsi" w:cstheme="majorHAnsi"/>
          <w:sz w:val="23"/>
          <w:szCs w:val="23"/>
        </w:rPr>
        <w:t>n</w:t>
      </w:r>
      <w:r w:rsidRPr="00555FC9">
        <w:rPr>
          <w:rFonts w:asciiTheme="majorHAnsi" w:hAnsiTheme="majorHAnsi" w:cstheme="majorHAnsi"/>
          <w:sz w:val="23"/>
          <w:szCs w:val="23"/>
        </w:rPr>
        <w:t xml:space="preserve"> suburbs</w:t>
      </w:r>
      <w:r w:rsidR="00F00E3D" w:rsidRPr="00555FC9">
        <w:rPr>
          <w:rFonts w:asciiTheme="majorHAnsi" w:hAnsiTheme="majorHAnsi" w:cstheme="majorHAnsi"/>
          <w:sz w:val="23"/>
          <w:szCs w:val="23"/>
        </w:rPr>
        <w:t xml:space="preserve"> </w:t>
      </w:r>
      <w:r w:rsidRPr="00555FC9">
        <w:rPr>
          <w:rFonts w:asciiTheme="majorHAnsi" w:hAnsiTheme="majorHAnsi" w:cstheme="majorHAnsi"/>
          <w:sz w:val="23"/>
          <w:szCs w:val="23"/>
        </w:rPr>
        <w:t>have been associated with both industry and</w:t>
      </w:r>
      <w:r w:rsidR="00F00E3D" w:rsidRPr="00555FC9">
        <w:rPr>
          <w:rFonts w:asciiTheme="majorHAnsi" w:hAnsiTheme="majorHAnsi" w:cstheme="majorHAnsi"/>
          <w:sz w:val="23"/>
          <w:szCs w:val="23"/>
        </w:rPr>
        <w:t xml:space="preserve"> social disadvantage.</w:t>
      </w:r>
      <w:r w:rsidR="00042C23" w:rsidRPr="00042C23">
        <w:rPr>
          <w:rFonts w:asciiTheme="majorHAnsi" w:hAnsiTheme="majorHAnsi" w:cstheme="majorHAnsi"/>
          <w:sz w:val="23"/>
          <w:szCs w:val="23"/>
        </w:rPr>
        <w:t xml:space="preserve"> </w:t>
      </w:r>
      <w:r w:rsidR="00042C23" w:rsidRPr="00E91887">
        <w:rPr>
          <w:rFonts w:asciiTheme="majorHAnsi" w:hAnsiTheme="majorHAnsi" w:cstheme="majorHAnsi"/>
          <w:sz w:val="23"/>
          <w:szCs w:val="23"/>
        </w:rPr>
        <w:t>Since the 1970s manufacturing downturn</w:t>
      </w:r>
      <w:r w:rsidR="00042C23">
        <w:rPr>
          <w:rFonts w:asciiTheme="majorHAnsi" w:hAnsiTheme="majorHAnsi" w:cstheme="majorHAnsi"/>
          <w:sz w:val="23"/>
          <w:szCs w:val="23"/>
        </w:rPr>
        <w:t xml:space="preserve">, localised disadvantage has persisted or worsened. </w:t>
      </w:r>
      <w:r w:rsidR="009B45C4">
        <w:rPr>
          <w:rFonts w:asciiTheme="majorHAnsi" w:hAnsiTheme="majorHAnsi" w:cstheme="majorHAnsi"/>
          <w:sz w:val="23"/>
          <w:szCs w:val="23"/>
        </w:rPr>
        <w:t>By 2013 the City’s former</w:t>
      </w:r>
      <w:r w:rsidR="009B45C4" w:rsidRPr="00E91887">
        <w:rPr>
          <w:rFonts w:asciiTheme="majorHAnsi" w:hAnsiTheme="majorHAnsi" w:cstheme="majorHAnsi"/>
          <w:sz w:val="23"/>
          <w:szCs w:val="23"/>
        </w:rPr>
        <w:t xml:space="preserve"> industrial powerhouse </w:t>
      </w:r>
      <w:r w:rsidR="009B45C4">
        <w:rPr>
          <w:rFonts w:asciiTheme="majorHAnsi" w:hAnsiTheme="majorHAnsi" w:cstheme="majorHAnsi"/>
          <w:sz w:val="23"/>
          <w:szCs w:val="23"/>
        </w:rPr>
        <w:t>had</w:t>
      </w:r>
      <w:r w:rsidR="009B45C4" w:rsidRPr="00E91887">
        <w:rPr>
          <w:rFonts w:asciiTheme="majorHAnsi" w:hAnsiTheme="majorHAnsi" w:cstheme="majorHAnsi"/>
          <w:sz w:val="23"/>
          <w:szCs w:val="23"/>
        </w:rPr>
        <w:t xml:space="preserve"> </w:t>
      </w:r>
      <w:r w:rsidR="009B45C4">
        <w:rPr>
          <w:rFonts w:asciiTheme="majorHAnsi" w:hAnsiTheme="majorHAnsi" w:cstheme="majorHAnsi"/>
          <w:sz w:val="23"/>
          <w:szCs w:val="23"/>
        </w:rPr>
        <w:t>high</w:t>
      </w:r>
      <w:r w:rsidR="009B45C4" w:rsidRPr="00E91887">
        <w:rPr>
          <w:rFonts w:asciiTheme="majorHAnsi" w:hAnsiTheme="majorHAnsi" w:cstheme="majorHAnsi"/>
          <w:sz w:val="23"/>
          <w:szCs w:val="23"/>
        </w:rPr>
        <w:t xml:space="preserve"> </w:t>
      </w:r>
      <w:r w:rsidR="009B45C4">
        <w:rPr>
          <w:rFonts w:asciiTheme="majorHAnsi" w:hAnsiTheme="majorHAnsi" w:cstheme="majorHAnsi"/>
          <w:sz w:val="23"/>
          <w:szCs w:val="23"/>
        </w:rPr>
        <w:t xml:space="preserve">unemployment, low education levels, and a high proportion of </w:t>
      </w:r>
      <w:r w:rsidR="009B45C4" w:rsidRPr="00E91887">
        <w:rPr>
          <w:rFonts w:asciiTheme="majorHAnsi" w:hAnsiTheme="majorHAnsi" w:cstheme="majorHAnsi"/>
          <w:sz w:val="23"/>
          <w:szCs w:val="23"/>
        </w:rPr>
        <w:t>low-income households</w:t>
      </w:r>
      <w:r w:rsidR="009B45C4">
        <w:rPr>
          <w:rFonts w:asciiTheme="majorHAnsi" w:hAnsiTheme="majorHAnsi" w:cstheme="majorHAnsi"/>
          <w:sz w:val="23"/>
          <w:szCs w:val="23"/>
        </w:rPr>
        <w:t xml:space="preserve"> and</w:t>
      </w:r>
      <w:r w:rsidR="009B45C4" w:rsidRPr="00E91887">
        <w:rPr>
          <w:rFonts w:asciiTheme="majorHAnsi" w:hAnsiTheme="majorHAnsi" w:cstheme="majorHAnsi"/>
          <w:sz w:val="23"/>
          <w:szCs w:val="23"/>
        </w:rPr>
        <w:t xml:space="preserve"> public housing tenants. </w:t>
      </w:r>
      <w:r w:rsidR="00042C23">
        <w:rPr>
          <w:rFonts w:asciiTheme="majorHAnsi" w:hAnsiTheme="majorHAnsi" w:cstheme="majorHAnsi"/>
          <w:sz w:val="23"/>
          <w:szCs w:val="23"/>
        </w:rPr>
        <w:t>P</w:t>
      </w:r>
      <w:r w:rsidR="00042C23" w:rsidRPr="00555FC9">
        <w:rPr>
          <w:rFonts w:asciiTheme="majorHAnsi" w:hAnsiTheme="majorHAnsi" w:cstheme="majorHAnsi"/>
          <w:sz w:val="23"/>
          <w:szCs w:val="23"/>
        </w:rPr>
        <w:t>ublic housing</w:t>
      </w:r>
      <w:r w:rsidR="00042C23">
        <w:rPr>
          <w:rFonts w:asciiTheme="majorHAnsi" w:hAnsiTheme="majorHAnsi" w:cstheme="majorHAnsi"/>
          <w:sz w:val="23"/>
          <w:szCs w:val="23"/>
        </w:rPr>
        <w:t xml:space="preserve"> </w:t>
      </w:r>
      <w:r w:rsidR="00042C23" w:rsidRPr="00555FC9">
        <w:rPr>
          <w:rFonts w:asciiTheme="majorHAnsi" w:hAnsiTheme="majorHAnsi" w:cstheme="majorHAnsi"/>
          <w:sz w:val="23"/>
          <w:szCs w:val="23"/>
        </w:rPr>
        <w:t>makes</w:t>
      </w:r>
      <w:r w:rsidR="00042C23">
        <w:rPr>
          <w:rFonts w:asciiTheme="majorHAnsi" w:hAnsiTheme="majorHAnsi" w:cstheme="majorHAnsi"/>
          <w:sz w:val="23"/>
          <w:szCs w:val="23"/>
        </w:rPr>
        <w:t xml:space="preserve"> </w:t>
      </w:r>
      <w:r w:rsidR="009B45C4">
        <w:rPr>
          <w:rFonts w:asciiTheme="majorHAnsi" w:hAnsiTheme="majorHAnsi" w:cstheme="majorHAnsi"/>
          <w:sz w:val="23"/>
          <w:szCs w:val="23"/>
        </w:rPr>
        <w:t>up</w:t>
      </w:r>
      <w:r w:rsidR="00042C23" w:rsidRPr="00555FC9">
        <w:rPr>
          <w:rFonts w:asciiTheme="majorHAnsi" w:hAnsiTheme="majorHAnsi" w:cstheme="majorHAnsi"/>
          <w:sz w:val="23"/>
          <w:szCs w:val="23"/>
        </w:rPr>
        <w:t xml:space="preserve"> 22 percent of dwellings in Norlane and 10.6 percent in Corio</w:t>
      </w:r>
      <w:r w:rsidR="00883C89">
        <w:rPr>
          <w:rFonts w:asciiTheme="majorHAnsi" w:hAnsiTheme="majorHAnsi" w:cstheme="majorHAnsi"/>
          <w:sz w:val="23"/>
          <w:szCs w:val="23"/>
        </w:rPr>
        <w:t>; the national</w:t>
      </w:r>
      <w:r w:rsidR="00042C23" w:rsidRPr="00555FC9">
        <w:rPr>
          <w:rFonts w:asciiTheme="majorHAnsi" w:hAnsiTheme="majorHAnsi" w:cstheme="majorHAnsi"/>
          <w:sz w:val="23"/>
          <w:szCs w:val="23"/>
        </w:rPr>
        <w:t xml:space="preserve"> figure is less than 4 percent. </w:t>
      </w:r>
      <w:r w:rsidR="009B45C4">
        <w:rPr>
          <w:rFonts w:asciiTheme="majorHAnsi" w:hAnsiTheme="majorHAnsi" w:cstheme="majorHAnsi"/>
          <w:sz w:val="23"/>
          <w:szCs w:val="23"/>
        </w:rPr>
        <w:t>The</w:t>
      </w:r>
      <w:r w:rsidR="00042C23" w:rsidRPr="00555FC9">
        <w:rPr>
          <w:rFonts w:asciiTheme="majorHAnsi" w:hAnsiTheme="majorHAnsi" w:cstheme="majorHAnsi"/>
          <w:sz w:val="23"/>
          <w:szCs w:val="23"/>
        </w:rPr>
        <w:t xml:space="preserve"> high school completion rate (Year 12 or equivalent) is 22.9 percent in Corio and Norlane, </w:t>
      </w:r>
      <w:r w:rsidR="009B45C4">
        <w:rPr>
          <w:rFonts w:asciiTheme="majorHAnsi" w:hAnsiTheme="majorHAnsi" w:cstheme="majorHAnsi"/>
          <w:sz w:val="23"/>
          <w:szCs w:val="23"/>
        </w:rPr>
        <w:t>against</w:t>
      </w:r>
      <w:r w:rsidR="00042C23" w:rsidRPr="00555FC9">
        <w:rPr>
          <w:rFonts w:asciiTheme="majorHAnsi" w:hAnsiTheme="majorHAnsi" w:cstheme="majorHAnsi"/>
          <w:sz w:val="23"/>
          <w:szCs w:val="23"/>
        </w:rPr>
        <w:t xml:space="preserve"> Melbourne’s rate of 48.5 percent, and Victoria’s at 44 per cent (ABS, 2006; Neville, 2013).</w:t>
      </w:r>
      <w:r w:rsidR="00042C23" w:rsidRPr="00042C23">
        <w:rPr>
          <w:rFonts w:asciiTheme="majorHAnsi" w:hAnsiTheme="majorHAnsi" w:cstheme="majorHAnsi"/>
          <w:sz w:val="23"/>
          <w:szCs w:val="23"/>
        </w:rPr>
        <w:t xml:space="preserve"> </w:t>
      </w:r>
      <w:r w:rsidR="00883C89">
        <w:rPr>
          <w:rFonts w:asciiTheme="majorHAnsi" w:hAnsiTheme="majorHAnsi" w:cstheme="majorHAnsi"/>
          <w:sz w:val="23"/>
          <w:szCs w:val="23"/>
        </w:rPr>
        <w:t xml:space="preserve">Lack of basic education means </w:t>
      </w:r>
      <w:r w:rsidR="00883C89" w:rsidRPr="00E91887">
        <w:rPr>
          <w:rFonts w:asciiTheme="majorHAnsi" w:hAnsiTheme="majorHAnsi" w:cstheme="majorHAnsi"/>
          <w:sz w:val="23"/>
          <w:szCs w:val="23"/>
        </w:rPr>
        <w:t>75</w:t>
      </w:r>
      <w:r w:rsidR="00883C89">
        <w:rPr>
          <w:rFonts w:asciiTheme="majorHAnsi" w:hAnsiTheme="majorHAnsi" w:cstheme="majorHAnsi"/>
          <w:sz w:val="23"/>
          <w:szCs w:val="23"/>
        </w:rPr>
        <w:t xml:space="preserve"> percent</w:t>
      </w:r>
      <w:r w:rsidR="00883C89" w:rsidRPr="00E91887">
        <w:rPr>
          <w:rFonts w:asciiTheme="majorHAnsi" w:hAnsiTheme="majorHAnsi" w:cstheme="majorHAnsi"/>
          <w:sz w:val="23"/>
          <w:szCs w:val="23"/>
        </w:rPr>
        <w:t xml:space="preserve"> of </w:t>
      </w:r>
      <w:r w:rsidR="00883C89">
        <w:rPr>
          <w:rFonts w:asciiTheme="majorHAnsi" w:hAnsiTheme="majorHAnsi" w:cstheme="majorHAnsi"/>
          <w:sz w:val="23"/>
          <w:szCs w:val="23"/>
        </w:rPr>
        <w:t>long-term jobseekers in these areas</w:t>
      </w:r>
      <w:r w:rsidR="00883C89" w:rsidRPr="00E91887">
        <w:rPr>
          <w:rFonts w:asciiTheme="majorHAnsi" w:hAnsiTheme="majorHAnsi" w:cstheme="majorHAnsi"/>
          <w:sz w:val="23"/>
          <w:szCs w:val="23"/>
        </w:rPr>
        <w:t xml:space="preserve"> face significant barriers to permanent employment</w:t>
      </w:r>
      <w:r w:rsidR="00883C89">
        <w:rPr>
          <w:rFonts w:asciiTheme="majorHAnsi" w:hAnsiTheme="majorHAnsi" w:cstheme="majorHAnsi"/>
          <w:sz w:val="23"/>
          <w:szCs w:val="23"/>
        </w:rPr>
        <w:t xml:space="preserve">, with limited </w:t>
      </w:r>
      <w:r w:rsidR="00042C23" w:rsidRPr="00E91887">
        <w:rPr>
          <w:rFonts w:asciiTheme="majorHAnsi" w:hAnsiTheme="majorHAnsi" w:cstheme="majorHAnsi"/>
          <w:sz w:val="23"/>
          <w:szCs w:val="23"/>
        </w:rPr>
        <w:t xml:space="preserve">public transport </w:t>
      </w:r>
      <w:r w:rsidR="00883C89">
        <w:rPr>
          <w:rFonts w:asciiTheme="majorHAnsi" w:hAnsiTheme="majorHAnsi" w:cstheme="majorHAnsi"/>
          <w:sz w:val="23"/>
          <w:szCs w:val="23"/>
        </w:rPr>
        <w:t>and inability to afford travel costs further hindering access to training</w:t>
      </w:r>
      <w:r w:rsidR="00042C23" w:rsidRPr="00E91887">
        <w:rPr>
          <w:rFonts w:asciiTheme="majorHAnsi" w:hAnsiTheme="majorHAnsi" w:cstheme="majorHAnsi"/>
          <w:sz w:val="23"/>
          <w:szCs w:val="23"/>
        </w:rPr>
        <w:t xml:space="preserve"> </w:t>
      </w:r>
      <w:r w:rsidR="00883C89">
        <w:rPr>
          <w:rFonts w:asciiTheme="majorHAnsi" w:hAnsiTheme="majorHAnsi" w:cstheme="majorHAnsi"/>
          <w:sz w:val="23"/>
          <w:szCs w:val="23"/>
        </w:rPr>
        <w:t>and</w:t>
      </w:r>
      <w:r w:rsidR="00042C23" w:rsidRPr="00E91887">
        <w:rPr>
          <w:rFonts w:asciiTheme="majorHAnsi" w:hAnsiTheme="majorHAnsi" w:cstheme="majorHAnsi"/>
          <w:sz w:val="23"/>
          <w:szCs w:val="23"/>
        </w:rPr>
        <w:t xml:space="preserve"> workforce</w:t>
      </w:r>
      <w:r w:rsidR="00883C89">
        <w:rPr>
          <w:rFonts w:asciiTheme="majorHAnsi" w:hAnsiTheme="majorHAnsi" w:cstheme="majorHAnsi"/>
          <w:sz w:val="23"/>
          <w:szCs w:val="23"/>
        </w:rPr>
        <w:t xml:space="preserve"> participation</w:t>
      </w:r>
      <w:r w:rsidR="00042C23" w:rsidRPr="00E91887">
        <w:rPr>
          <w:rFonts w:asciiTheme="majorHAnsi" w:hAnsiTheme="majorHAnsi" w:cstheme="majorHAnsi"/>
          <w:sz w:val="23"/>
          <w:szCs w:val="23"/>
        </w:rPr>
        <w:t>.</w:t>
      </w:r>
    </w:p>
    <w:p w14:paraId="24E9B2E0" w14:textId="77777777" w:rsidR="00042C23" w:rsidRPr="00883C89" w:rsidRDefault="00042C23" w:rsidP="00B26E98">
      <w:pPr>
        <w:spacing w:after="0" w:line="276" w:lineRule="auto"/>
        <w:rPr>
          <w:rFonts w:asciiTheme="majorHAnsi" w:hAnsiTheme="majorHAnsi" w:cstheme="majorHAnsi"/>
          <w:sz w:val="16"/>
          <w:szCs w:val="16"/>
        </w:rPr>
      </w:pPr>
    </w:p>
    <w:p w14:paraId="2AE6FCA7" w14:textId="7836D58F" w:rsidR="006E384B" w:rsidRDefault="009B45C4" w:rsidP="78F9AF82">
      <w:pPr>
        <w:spacing w:after="0" w:line="276" w:lineRule="auto"/>
        <w:rPr>
          <w:rFonts w:asciiTheme="majorHAnsi" w:hAnsiTheme="majorHAnsi" w:cstheme="majorBidi"/>
          <w:sz w:val="23"/>
          <w:szCs w:val="23"/>
        </w:rPr>
      </w:pPr>
      <w:r w:rsidRPr="78F9AF82">
        <w:rPr>
          <w:rFonts w:asciiTheme="majorHAnsi" w:hAnsiTheme="majorHAnsi" w:cstheme="majorBidi"/>
          <w:sz w:val="23"/>
          <w:szCs w:val="23"/>
        </w:rPr>
        <w:t>In 2013 t</w:t>
      </w:r>
      <w:r w:rsidR="005477B5" w:rsidRPr="78F9AF82">
        <w:rPr>
          <w:rFonts w:asciiTheme="majorHAnsi" w:hAnsiTheme="majorHAnsi" w:cstheme="majorBidi"/>
          <w:sz w:val="23"/>
          <w:szCs w:val="23"/>
        </w:rPr>
        <w:t>he</w:t>
      </w:r>
      <w:r w:rsidR="00B26E98" w:rsidRPr="78F9AF82">
        <w:rPr>
          <w:rFonts w:asciiTheme="majorHAnsi" w:hAnsiTheme="majorHAnsi" w:cstheme="majorBidi"/>
          <w:sz w:val="23"/>
          <w:szCs w:val="23"/>
        </w:rPr>
        <w:t xml:space="preserve"> Corio Statistical Area (Corio, Norlane, Bell Post Hill, and Bell Park) had an unemployment rate of 9.9 percent, well above Geelong (6.5 percent), Victoria (5.7 percent), and Australia (5.7 percent) </w:t>
      </w:r>
      <w:r w:rsidR="00B26E98" w:rsidRPr="78F9AF82">
        <w:rPr>
          <w:rFonts w:asciiTheme="majorHAnsi" w:hAnsiTheme="majorHAnsi" w:cstheme="majorBidi"/>
          <w:noProof/>
          <w:sz w:val="23"/>
          <w:szCs w:val="23"/>
        </w:rPr>
        <w:t>(Neville, 2013)</w:t>
      </w:r>
      <w:r w:rsidR="00883C89" w:rsidRPr="78F9AF82">
        <w:rPr>
          <w:rFonts w:asciiTheme="majorHAnsi" w:hAnsiTheme="majorHAnsi" w:cstheme="majorBidi"/>
          <w:sz w:val="23"/>
          <w:szCs w:val="23"/>
        </w:rPr>
        <w:t xml:space="preserve">. Locally, </w:t>
      </w:r>
      <w:r w:rsidR="00B26E98" w:rsidRPr="78F9AF82">
        <w:rPr>
          <w:rFonts w:asciiTheme="majorHAnsi" w:hAnsiTheme="majorHAnsi" w:cstheme="majorBidi"/>
          <w:sz w:val="23"/>
          <w:szCs w:val="23"/>
        </w:rPr>
        <w:t>23</w:t>
      </w:r>
      <w:r w:rsidR="00042C23" w:rsidRPr="78F9AF82">
        <w:rPr>
          <w:rFonts w:asciiTheme="majorHAnsi" w:hAnsiTheme="majorHAnsi" w:cstheme="majorBidi"/>
          <w:sz w:val="23"/>
          <w:szCs w:val="23"/>
        </w:rPr>
        <w:t xml:space="preserve"> percent</w:t>
      </w:r>
      <w:r w:rsidR="00B26E98" w:rsidRPr="78F9AF82">
        <w:rPr>
          <w:rFonts w:asciiTheme="majorHAnsi" w:hAnsiTheme="majorHAnsi" w:cstheme="majorBidi"/>
          <w:sz w:val="23"/>
          <w:szCs w:val="23"/>
        </w:rPr>
        <w:t xml:space="preserve"> </w:t>
      </w:r>
      <w:r w:rsidR="00042C23" w:rsidRPr="78F9AF82">
        <w:rPr>
          <w:rFonts w:asciiTheme="majorHAnsi" w:hAnsiTheme="majorHAnsi" w:cstheme="majorBidi"/>
          <w:sz w:val="23"/>
          <w:szCs w:val="23"/>
        </w:rPr>
        <w:t xml:space="preserve">of families </w:t>
      </w:r>
      <w:r w:rsidR="00B26E98" w:rsidRPr="78F9AF82">
        <w:rPr>
          <w:rFonts w:asciiTheme="majorHAnsi" w:hAnsiTheme="majorHAnsi" w:cstheme="majorBidi"/>
          <w:sz w:val="23"/>
          <w:szCs w:val="23"/>
        </w:rPr>
        <w:t>were jobless, soar</w:t>
      </w:r>
      <w:r w:rsidR="00042C23" w:rsidRPr="78F9AF82">
        <w:rPr>
          <w:rFonts w:asciiTheme="majorHAnsi" w:hAnsiTheme="majorHAnsi" w:cstheme="majorBidi"/>
          <w:sz w:val="23"/>
          <w:szCs w:val="23"/>
        </w:rPr>
        <w:t>ing</w:t>
      </w:r>
      <w:r w:rsidR="00B26E98" w:rsidRPr="78F9AF82">
        <w:rPr>
          <w:rFonts w:asciiTheme="majorHAnsi" w:hAnsiTheme="majorHAnsi" w:cstheme="majorBidi"/>
          <w:sz w:val="23"/>
          <w:szCs w:val="23"/>
        </w:rPr>
        <w:t xml:space="preserve"> to 54</w:t>
      </w:r>
      <w:r w:rsidR="00042C23" w:rsidRPr="78F9AF82">
        <w:rPr>
          <w:rFonts w:asciiTheme="majorHAnsi" w:hAnsiTheme="majorHAnsi" w:cstheme="majorBidi"/>
          <w:sz w:val="23"/>
          <w:szCs w:val="23"/>
        </w:rPr>
        <w:t xml:space="preserve"> percent</w:t>
      </w:r>
      <w:r w:rsidR="00B26E98" w:rsidRPr="78F9AF82">
        <w:rPr>
          <w:rFonts w:asciiTheme="majorHAnsi" w:hAnsiTheme="majorHAnsi" w:cstheme="majorBidi"/>
          <w:sz w:val="23"/>
          <w:szCs w:val="23"/>
        </w:rPr>
        <w:t xml:space="preserve"> for </w:t>
      </w:r>
      <w:r w:rsidR="00042C23" w:rsidRPr="78F9AF82">
        <w:rPr>
          <w:rFonts w:asciiTheme="majorHAnsi" w:hAnsiTheme="majorHAnsi" w:cstheme="majorBidi"/>
          <w:sz w:val="23"/>
          <w:szCs w:val="23"/>
        </w:rPr>
        <w:t>sole-</w:t>
      </w:r>
      <w:r w:rsidR="00B26E98" w:rsidRPr="78F9AF82">
        <w:rPr>
          <w:rFonts w:asciiTheme="majorHAnsi" w:hAnsiTheme="majorHAnsi" w:cstheme="majorBidi"/>
          <w:sz w:val="23"/>
          <w:szCs w:val="23"/>
        </w:rPr>
        <w:t xml:space="preserve">parent families </w:t>
      </w:r>
      <w:r w:rsidR="00B26E98" w:rsidRPr="78F9AF82">
        <w:rPr>
          <w:rFonts w:asciiTheme="majorHAnsi" w:hAnsiTheme="majorHAnsi" w:cstheme="majorBidi"/>
          <w:noProof/>
          <w:sz w:val="23"/>
          <w:szCs w:val="23"/>
        </w:rPr>
        <w:t>(Australian Government, 2013)</w:t>
      </w:r>
      <w:r w:rsidR="00B26E98" w:rsidRPr="78F9AF82">
        <w:rPr>
          <w:rFonts w:asciiTheme="majorHAnsi" w:hAnsiTheme="majorHAnsi" w:cstheme="majorBidi"/>
          <w:sz w:val="23"/>
          <w:szCs w:val="23"/>
        </w:rPr>
        <w:t xml:space="preserve">. </w:t>
      </w:r>
      <w:r w:rsidR="005477B5" w:rsidRPr="78F9AF82">
        <w:rPr>
          <w:rFonts w:asciiTheme="majorHAnsi" w:hAnsiTheme="majorHAnsi" w:cstheme="majorBidi"/>
          <w:sz w:val="23"/>
          <w:szCs w:val="23"/>
        </w:rPr>
        <w:t>By</w:t>
      </w:r>
      <w:r w:rsidR="00B26E98" w:rsidRPr="78F9AF82">
        <w:rPr>
          <w:rFonts w:asciiTheme="majorHAnsi" w:hAnsiTheme="majorHAnsi" w:cstheme="majorBidi"/>
          <w:sz w:val="23"/>
          <w:szCs w:val="23"/>
        </w:rPr>
        <w:t xml:space="preserve"> 2016 the </w:t>
      </w:r>
      <w:r w:rsidR="00042C23" w:rsidRPr="78F9AF82">
        <w:rPr>
          <w:rFonts w:asciiTheme="majorHAnsi" w:hAnsiTheme="majorHAnsi" w:cstheme="majorBidi"/>
          <w:sz w:val="23"/>
          <w:szCs w:val="23"/>
        </w:rPr>
        <w:t xml:space="preserve">numbers were worse: </w:t>
      </w:r>
      <w:r w:rsidR="00B26E98" w:rsidRPr="78F9AF82">
        <w:rPr>
          <w:rFonts w:asciiTheme="majorHAnsi" w:hAnsiTheme="majorHAnsi" w:cstheme="majorBidi"/>
          <w:sz w:val="23"/>
          <w:szCs w:val="23"/>
        </w:rPr>
        <w:t xml:space="preserve">unemployment </w:t>
      </w:r>
      <w:r w:rsidR="005477B5" w:rsidRPr="78F9AF82">
        <w:rPr>
          <w:rFonts w:asciiTheme="majorHAnsi" w:hAnsiTheme="majorHAnsi" w:cstheme="majorBidi"/>
          <w:sz w:val="23"/>
          <w:szCs w:val="23"/>
        </w:rPr>
        <w:t>sat</w:t>
      </w:r>
      <w:r w:rsidR="00B26E98" w:rsidRPr="78F9AF82">
        <w:rPr>
          <w:rFonts w:asciiTheme="majorHAnsi" w:hAnsiTheme="majorHAnsi" w:cstheme="majorBidi"/>
          <w:sz w:val="23"/>
          <w:szCs w:val="23"/>
        </w:rPr>
        <w:t xml:space="preserve"> </w:t>
      </w:r>
      <w:r w:rsidR="00042C23" w:rsidRPr="78F9AF82">
        <w:rPr>
          <w:rFonts w:asciiTheme="majorHAnsi" w:hAnsiTheme="majorHAnsi" w:cstheme="majorBidi"/>
          <w:sz w:val="23"/>
          <w:szCs w:val="23"/>
        </w:rPr>
        <w:t xml:space="preserve">at </w:t>
      </w:r>
      <w:r w:rsidR="00B26E98" w:rsidRPr="78F9AF82">
        <w:rPr>
          <w:rFonts w:asciiTheme="majorHAnsi" w:hAnsiTheme="majorHAnsi" w:cstheme="majorBidi"/>
          <w:sz w:val="23"/>
          <w:szCs w:val="23"/>
        </w:rPr>
        <w:t>12.5</w:t>
      </w:r>
      <w:r w:rsidR="00042C23" w:rsidRPr="78F9AF82">
        <w:rPr>
          <w:rFonts w:asciiTheme="majorHAnsi" w:hAnsiTheme="majorHAnsi" w:cstheme="majorBidi"/>
          <w:sz w:val="23"/>
          <w:szCs w:val="23"/>
        </w:rPr>
        <w:t xml:space="preserve"> percent in Corio and 17.3 percent in</w:t>
      </w:r>
      <w:r w:rsidR="00B26E98" w:rsidRPr="78F9AF82">
        <w:rPr>
          <w:rFonts w:asciiTheme="majorHAnsi" w:hAnsiTheme="majorHAnsi" w:cstheme="majorBidi"/>
          <w:sz w:val="23"/>
          <w:szCs w:val="23"/>
        </w:rPr>
        <w:t xml:space="preserve"> Norlane</w:t>
      </w:r>
      <w:r w:rsidR="00042C23" w:rsidRPr="78F9AF82">
        <w:rPr>
          <w:rFonts w:asciiTheme="majorHAnsi" w:hAnsiTheme="majorHAnsi" w:cstheme="majorBidi"/>
          <w:sz w:val="23"/>
          <w:szCs w:val="23"/>
        </w:rPr>
        <w:t>–</w:t>
      </w:r>
      <w:r w:rsidR="00B26E98" w:rsidRPr="78F9AF82">
        <w:rPr>
          <w:rFonts w:asciiTheme="majorHAnsi" w:hAnsiTheme="majorHAnsi" w:cstheme="majorBidi"/>
          <w:sz w:val="23"/>
          <w:szCs w:val="23"/>
        </w:rPr>
        <w:t>North Shor</w:t>
      </w:r>
      <w:r w:rsidR="00042C23" w:rsidRPr="78F9AF82">
        <w:rPr>
          <w:rFonts w:asciiTheme="majorHAnsi" w:hAnsiTheme="majorHAnsi" w:cstheme="majorBidi"/>
          <w:sz w:val="23"/>
          <w:szCs w:val="23"/>
        </w:rPr>
        <w:t>e, against</w:t>
      </w:r>
      <w:r w:rsidR="00B26E98" w:rsidRPr="78F9AF82">
        <w:rPr>
          <w:rFonts w:asciiTheme="majorHAnsi" w:hAnsiTheme="majorHAnsi" w:cstheme="majorBidi"/>
          <w:sz w:val="23"/>
          <w:szCs w:val="23"/>
        </w:rPr>
        <w:t xml:space="preserve"> </w:t>
      </w:r>
      <w:r w:rsidR="00042C23" w:rsidRPr="78F9AF82">
        <w:rPr>
          <w:rFonts w:asciiTheme="majorHAnsi" w:hAnsiTheme="majorHAnsi" w:cstheme="majorBidi"/>
          <w:sz w:val="23"/>
          <w:szCs w:val="23"/>
        </w:rPr>
        <w:t xml:space="preserve">6.4 percent in </w:t>
      </w:r>
      <w:r w:rsidR="00B26E98" w:rsidRPr="78F9AF82">
        <w:rPr>
          <w:rFonts w:asciiTheme="majorHAnsi" w:hAnsiTheme="majorHAnsi" w:cstheme="majorBidi"/>
          <w:sz w:val="23"/>
          <w:szCs w:val="23"/>
        </w:rPr>
        <w:t xml:space="preserve">Greater Geelong </w:t>
      </w:r>
      <w:r w:rsidR="00B26E98" w:rsidRPr="78F9AF82">
        <w:rPr>
          <w:rFonts w:asciiTheme="majorHAnsi" w:hAnsiTheme="majorHAnsi" w:cstheme="majorBidi"/>
          <w:noProof/>
          <w:sz w:val="23"/>
          <w:szCs w:val="23"/>
        </w:rPr>
        <w:t>(Profile.id, 2016)</w:t>
      </w:r>
      <w:r w:rsidR="00B26E98" w:rsidRPr="78F9AF82">
        <w:rPr>
          <w:rFonts w:asciiTheme="majorHAnsi" w:hAnsiTheme="majorHAnsi" w:cstheme="majorBidi"/>
          <w:sz w:val="23"/>
          <w:szCs w:val="23"/>
        </w:rPr>
        <w:t xml:space="preserve">. </w:t>
      </w:r>
      <w:r w:rsidRPr="78F9AF82">
        <w:rPr>
          <w:rFonts w:asciiTheme="majorHAnsi" w:hAnsiTheme="majorHAnsi" w:cstheme="majorBidi"/>
          <w:sz w:val="23"/>
          <w:szCs w:val="23"/>
        </w:rPr>
        <w:t>O</w:t>
      </w:r>
      <w:r w:rsidR="00F00E3D" w:rsidRPr="78F9AF82">
        <w:rPr>
          <w:rFonts w:asciiTheme="majorHAnsi" w:hAnsiTheme="majorHAnsi" w:cstheme="majorBidi"/>
          <w:sz w:val="23"/>
          <w:szCs w:val="23"/>
        </w:rPr>
        <w:t>nly 7.7</w:t>
      </w:r>
      <w:r w:rsidR="000E2E87" w:rsidRPr="78F9AF82">
        <w:rPr>
          <w:rFonts w:asciiTheme="majorHAnsi" w:hAnsiTheme="majorHAnsi" w:cstheme="majorBidi"/>
          <w:sz w:val="23"/>
          <w:szCs w:val="23"/>
        </w:rPr>
        <w:t xml:space="preserve"> per cent of </w:t>
      </w:r>
      <w:r w:rsidR="00F00E3D" w:rsidRPr="78F9AF82">
        <w:rPr>
          <w:rFonts w:asciiTheme="majorHAnsi" w:hAnsiTheme="majorHAnsi" w:cstheme="majorBidi"/>
          <w:sz w:val="23"/>
          <w:szCs w:val="23"/>
        </w:rPr>
        <w:t>Norlane</w:t>
      </w:r>
      <w:r w:rsidR="000E2E87" w:rsidRPr="78F9AF82">
        <w:rPr>
          <w:rFonts w:asciiTheme="majorHAnsi" w:hAnsiTheme="majorHAnsi" w:cstheme="majorBidi"/>
          <w:sz w:val="23"/>
          <w:szCs w:val="23"/>
        </w:rPr>
        <w:t>–</w:t>
      </w:r>
      <w:r w:rsidR="00F00E3D" w:rsidRPr="78F9AF82">
        <w:rPr>
          <w:rFonts w:asciiTheme="majorHAnsi" w:hAnsiTheme="majorHAnsi" w:cstheme="majorBidi"/>
          <w:sz w:val="23"/>
          <w:szCs w:val="23"/>
        </w:rPr>
        <w:t xml:space="preserve">North Shore </w:t>
      </w:r>
      <w:r w:rsidR="005477B5" w:rsidRPr="78F9AF82">
        <w:rPr>
          <w:rFonts w:asciiTheme="majorHAnsi" w:hAnsiTheme="majorHAnsi" w:cstheme="majorBidi"/>
          <w:sz w:val="23"/>
          <w:szCs w:val="23"/>
        </w:rPr>
        <w:t xml:space="preserve">residents </w:t>
      </w:r>
      <w:r w:rsidR="000E2E87" w:rsidRPr="78F9AF82">
        <w:rPr>
          <w:rFonts w:asciiTheme="majorHAnsi" w:hAnsiTheme="majorHAnsi" w:cstheme="majorBidi"/>
          <w:sz w:val="23"/>
          <w:szCs w:val="23"/>
        </w:rPr>
        <w:t xml:space="preserve">and 11.7 percent of Corio residents </w:t>
      </w:r>
      <w:r w:rsidR="00F00E3D" w:rsidRPr="78F9AF82">
        <w:rPr>
          <w:rFonts w:asciiTheme="majorHAnsi" w:hAnsiTheme="majorHAnsi" w:cstheme="majorBidi"/>
          <w:sz w:val="23"/>
          <w:szCs w:val="23"/>
        </w:rPr>
        <w:t>earned more than A$</w:t>
      </w:r>
      <w:r w:rsidR="1837EB8E" w:rsidRPr="78F9AF82">
        <w:rPr>
          <w:rFonts w:asciiTheme="majorHAnsi" w:hAnsiTheme="majorHAnsi" w:cstheme="majorBidi"/>
          <w:sz w:val="23"/>
          <w:szCs w:val="23"/>
        </w:rPr>
        <w:t>2</w:t>
      </w:r>
      <w:r w:rsidR="00F00E3D" w:rsidRPr="78F9AF82">
        <w:rPr>
          <w:rFonts w:asciiTheme="majorHAnsi" w:hAnsiTheme="majorHAnsi" w:cstheme="majorBidi"/>
          <w:sz w:val="23"/>
          <w:szCs w:val="23"/>
        </w:rPr>
        <w:t>000 per week</w:t>
      </w:r>
      <w:r w:rsidR="005477B5" w:rsidRPr="78F9AF82">
        <w:rPr>
          <w:rFonts w:asciiTheme="majorHAnsi" w:hAnsiTheme="majorHAnsi" w:cstheme="majorBidi"/>
          <w:sz w:val="23"/>
          <w:szCs w:val="23"/>
        </w:rPr>
        <w:t xml:space="preserve"> in 2016</w:t>
      </w:r>
      <w:r w:rsidR="000E2E87" w:rsidRPr="78F9AF82">
        <w:rPr>
          <w:rFonts w:asciiTheme="majorHAnsi" w:hAnsiTheme="majorHAnsi" w:cstheme="majorBidi"/>
          <w:sz w:val="23"/>
          <w:szCs w:val="23"/>
        </w:rPr>
        <w:t xml:space="preserve">, compared to </w:t>
      </w:r>
      <w:r w:rsidR="00F00E3D" w:rsidRPr="78F9AF82">
        <w:rPr>
          <w:rFonts w:asciiTheme="majorHAnsi" w:hAnsiTheme="majorHAnsi" w:cstheme="majorBidi"/>
          <w:sz w:val="23"/>
          <w:szCs w:val="23"/>
        </w:rPr>
        <w:t>25.5</w:t>
      </w:r>
      <w:r w:rsidR="000E2E87" w:rsidRPr="78F9AF82">
        <w:rPr>
          <w:rFonts w:asciiTheme="majorHAnsi" w:hAnsiTheme="majorHAnsi" w:cstheme="majorBidi"/>
          <w:sz w:val="23"/>
          <w:szCs w:val="23"/>
        </w:rPr>
        <w:t xml:space="preserve"> percent</w:t>
      </w:r>
      <w:r w:rsidR="00F00E3D" w:rsidRPr="78F9AF82">
        <w:rPr>
          <w:rFonts w:asciiTheme="majorHAnsi" w:hAnsiTheme="majorHAnsi" w:cstheme="majorBidi"/>
          <w:sz w:val="23"/>
          <w:szCs w:val="23"/>
        </w:rPr>
        <w:t xml:space="preserve"> </w:t>
      </w:r>
      <w:r w:rsidR="000E2E87" w:rsidRPr="78F9AF82">
        <w:rPr>
          <w:rFonts w:asciiTheme="majorHAnsi" w:hAnsiTheme="majorHAnsi" w:cstheme="majorBidi"/>
          <w:sz w:val="23"/>
          <w:szCs w:val="23"/>
        </w:rPr>
        <w:t>across</w:t>
      </w:r>
      <w:r w:rsidR="00F00E3D" w:rsidRPr="78F9AF82">
        <w:rPr>
          <w:rFonts w:asciiTheme="majorHAnsi" w:hAnsiTheme="majorHAnsi" w:cstheme="majorBidi"/>
          <w:sz w:val="23"/>
          <w:szCs w:val="23"/>
        </w:rPr>
        <w:t xml:space="preserve"> Greater Geelong. </w:t>
      </w:r>
      <w:r w:rsidR="005477B5" w:rsidRPr="78F9AF82">
        <w:rPr>
          <w:rFonts w:asciiTheme="majorHAnsi" w:hAnsiTheme="majorHAnsi" w:cstheme="majorBidi"/>
          <w:sz w:val="23"/>
          <w:szCs w:val="23"/>
        </w:rPr>
        <w:t>The percentage of h</w:t>
      </w:r>
      <w:r w:rsidR="00F00E3D" w:rsidRPr="78F9AF82">
        <w:rPr>
          <w:rFonts w:asciiTheme="majorHAnsi" w:hAnsiTheme="majorHAnsi" w:cstheme="majorBidi"/>
          <w:sz w:val="23"/>
          <w:szCs w:val="23"/>
        </w:rPr>
        <w:t xml:space="preserve">ouseholds on low incomes </w:t>
      </w:r>
      <w:r w:rsidR="00555FC9" w:rsidRPr="78F9AF82">
        <w:rPr>
          <w:rFonts w:asciiTheme="majorHAnsi" w:hAnsiTheme="majorHAnsi" w:cstheme="majorBidi"/>
          <w:sz w:val="23"/>
          <w:szCs w:val="23"/>
        </w:rPr>
        <w:t>(less than AU$600</w:t>
      </w:r>
      <w:r w:rsidR="005477B5" w:rsidRPr="78F9AF82">
        <w:rPr>
          <w:rFonts w:asciiTheme="majorHAnsi" w:hAnsiTheme="majorHAnsi" w:cstheme="majorBidi"/>
          <w:sz w:val="23"/>
          <w:szCs w:val="23"/>
        </w:rPr>
        <w:t xml:space="preserve"> weekly</w:t>
      </w:r>
      <w:r w:rsidR="00555FC9" w:rsidRPr="78F9AF82">
        <w:rPr>
          <w:rFonts w:asciiTheme="majorHAnsi" w:hAnsiTheme="majorHAnsi" w:cstheme="majorBidi"/>
          <w:sz w:val="23"/>
          <w:szCs w:val="23"/>
        </w:rPr>
        <w:t>)</w:t>
      </w:r>
      <w:r w:rsidR="005477B5" w:rsidRPr="78F9AF82">
        <w:rPr>
          <w:rFonts w:asciiTheme="majorHAnsi" w:hAnsiTheme="majorHAnsi" w:cstheme="majorBidi"/>
          <w:sz w:val="23"/>
          <w:szCs w:val="23"/>
        </w:rPr>
        <w:t xml:space="preserve"> was</w:t>
      </w:r>
      <w:r w:rsidR="000E2E87" w:rsidRPr="78F9AF82">
        <w:rPr>
          <w:rFonts w:asciiTheme="majorHAnsi" w:hAnsiTheme="majorHAnsi" w:cstheme="majorBidi"/>
          <w:sz w:val="23"/>
          <w:szCs w:val="23"/>
        </w:rPr>
        <w:t xml:space="preserve"> </w:t>
      </w:r>
      <w:r w:rsidR="00F00E3D" w:rsidRPr="78F9AF82">
        <w:rPr>
          <w:rFonts w:asciiTheme="majorHAnsi" w:hAnsiTheme="majorHAnsi" w:cstheme="majorBidi"/>
          <w:sz w:val="23"/>
          <w:szCs w:val="23"/>
        </w:rPr>
        <w:t>30.1</w:t>
      </w:r>
      <w:r w:rsidR="00555FC9" w:rsidRPr="78F9AF82">
        <w:rPr>
          <w:rFonts w:asciiTheme="majorHAnsi" w:hAnsiTheme="majorHAnsi" w:cstheme="majorBidi"/>
          <w:sz w:val="23"/>
          <w:szCs w:val="23"/>
        </w:rPr>
        <w:t xml:space="preserve"> percent</w:t>
      </w:r>
      <w:r w:rsidR="00F00E3D" w:rsidRPr="78F9AF82">
        <w:rPr>
          <w:rFonts w:asciiTheme="majorHAnsi" w:hAnsiTheme="majorHAnsi" w:cstheme="majorBidi"/>
          <w:sz w:val="23"/>
          <w:szCs w:val="23"/>
        </w:rPr>
        <w:t xml:space="preserve"> in Corio</w:t>
      </w:r>
      <w:r w:rsidRPr="78F9AF82">
        <w:rPr>
          <w:rFonts w:asciiTheme="majorHAnsi" w:hAnsiTheme="majorHAnsi" w:cstheme="majorBidi"/>
          <w:sz w:val="23"/>
          <w:szCs w:val="23"/>
        </w:rPr>
        <w:t>,</w:t>
      </w:r>
      <w:r w:rsidR="00F00E3D" w:rsidRPr="78F9AF82">
        <w:rPr>
          <w:rFonts w:asciiTheme="majorHAnsi" w:hAnsiTheme="majorHAnsi" w:cstheme="majorBidi"/>
          <w:sz w:val="23"/>
          <w:szCs w:val="23"/>
        </w:rPr>
        <w:t xml:space="preserve"> 42.1</w:t>
      </w:r>
      <w:r w:rsidR="00555FC9" w:rsidRPr="78F9AF82">
        <w:rPr>
          <w:rFonts w:asciiTheme="majorHAnsi" w:hAnsiTheme="majorHAnsi" w:cstheme="majorBidi"/>
          <w:sz w:val="23"/>
          <w:szCs w:val="23"/>
        </w:rPr>
        <w:t xml:space="preserve"> percent</w:t>
      </w:r>
      <w:r w:rsidR="00F00E3D" w:rsidRPr="78F9AF82">
        <w:rPr>
          <w:rFonts w:asciiTheme="majorHAnsi" w:hAnsiTheme="majorHAnsi" w:cstheme="majorBidi"/>
          <w:sz w:val="23"/>
          <w:szCs w:val="23"/>
        </w:rPr>
        <w:t xml:space="preserve"> in Norlane</w:t>
      </w:r>
      <w:r w:rsidR="00555FC9" w:rsidRPr="78F9AF82">
        <w:rPr>
          <w:rFonts w:asciiTheme="majorHAnsi" w:hAnsiTheme="majorHAnsi" w:cstheme="majorBidi"/>
          <w:sz w:val="23"/>
          <w:szCs w:val="23"/>
        </w:rPr>
        <w:t>–</w:t>
      </w:r>
      <w:r w:rsidR="00F00E3D" w:rsidRPr="78F9AF82">
        <w:rPr>
          <w:rFonts w:asciiTheme="majorHAnsi" w:hAnsiTheme="majorHAnsi" w:cstheme="majorBidi"/>
          <w:sz w:val="23"/>
          <w:szCs w:val="23"/>
        </w:rPr>
        <w:t>North Shore</w:t>
      </w:r>
      <w:r w:rsidR="00555FC9" w:rsidRPr="78F9AF82">
        <w:rPr>
          <w:rFonts w:asciiTheme="majorHAnsi" w:hAnsiTheme="majorHAnsi" w:cstheme="majorBidi"/>
          <w:sz w:val="23"/>
          <w:szCs w:val="23"/>
        </w:rPr>
        <w:t>,</w:t>
      </w:r>
      <w:r w:rsidR="00F00E3D" w:rsidRPr="78F9AF82">
        <w:rPr>
          <w:rFonts w:asciiTheme="majorHAnsi" w:hAnsiTheme="majorHAnsi" w:cstheme="majorBidi"/>
          <w:sz w:val="23"/>
          <w:szCs w:val="23"/>
        </w:rPr>
        <w:t xml:space="preserve"> </w:t>
      </w:r>
      <w:r w:rsidRPr="78F9AF82">
        <w:rPr>
          <w:rFonts w:asciiTheme="majorHAnsi" w:hAnsiTheme="majorHAnsi" w:cstheme="majorBidi"/>
          <w:sz w:val="23"/>
          <w:szCs w:val="23"/>
        </w:rPr>
        <w:t xml:space="preserve">against </w:t>
      </w:r>
      <w:r w:rsidR="00F00E3D" w:rsidRPr="78F9AF82">
        <w:rPr>
          <w:rFonts w:asciiTheme="majorHAnsi" w:hAnsiTheme="majorHAnsi" w:cstheme="majorBidi"/>
          <w:sz w:val="23"/>
          <w:szCs w:val="23"/>
        </w:rPr>
        <w:t>24.</w:t>
      </w:r>
      <w:r w:rsidR="00555FC9" w:rsidRPr="78F9AF82">
        <w:rPr>
          <w:rFonts w:asciiTheme="majorHAnsi" w:hAnsiTheme="majorHAnsi" w:cstheme="majorBidi"/>
          <w:sz w:val="23"/>
          <w:szCs w:val="23"/>
        </w:rPr>
        <w:t>8 percent</w:t>
      </w:r>
      <w:r w:rsidR="00F00E3D" w:rsidRPr="78F9AF82">
        <w:rPr>
          <w:rFonts w:asciiTheme="majorHAnsi" w:hAnsiTheme="majorHAnsi" w:cstheme="majorBidi"/>
          <w:sz w:val="23"/>
          <w:szCs w:val="23"/>
        </w:rPr>
        <w:t xml:space="preserve"> </w:t>
      </w:r>
      <w:r w:rsidRPr="78F9AF82">
        <w:rPr>
          <w:rFonts w:asciiTheme="majorHAnsi" w:hAnsiTheme="majorHAnsi" w:cstheme="majorBidi"/>
          <w:sz w:val="23"/>
          <w:szCs w:val="23"/>
        </w:rPr>
        <w:t>in</w:t>
      </w:r>
      <w:r w:rsidR="00F00E3D" w:rsidRPr="78F9AF82">
        <w:rPr>
          <w:rFonts w:asciiTheme="majorHAnsi" w:hAnsiTheme="majorHAnsi" w:cstheme="majorBidi"/>
          <w:sz w:val="23"/>
          <w:szCs w:val="23"/>
        </w:rPr>
        <w:t xml:space="preserve"> </w:t>
      </w:r>
      <w:r w:rsidR="00555FC9" w:rsidRPr="78F9AF82">
        <w:rPr>
          <w:rFonts w:asciiTheme="majorHAnsi" w:hAnsiTheme="majorHAnsi" w:cstheme="majorBidi"/>
          <w:sz w:val="23"/>
          <w:szCs w:val="23"/>
        </w:rPr>
        <w:t>Greater</w:t>
      </w:r>
      <w:r w:rsidR="00F00E3D" w:rsidRPr="78F9AF82">
        <w:rPr>
          <w:rFonts w:asciiTheme="majorHAnsi" w:hAnsiTheme="majorHAnsi" w:cstheme="majorBidi"/>
          <w:sz w:val="23"/>
          <w:szCs w:val="23"/>
        </w:rPr>
        <w:t xml:space="preserve"> Geelong (Profile.id, 2016). </w:t>
      </w:r>
      <w:r w:rsidR="005477B5" w:rsidRPr="78F9AF82">
        <w:rPr>
          <w:rFonts w:asciiTheme="majorHAnsi" w:hAnsiTheme="majorHAnsi" w:cstheme="majorBidi"/>
          <w:sz w:val="23"/>
          <w:szCs w:val="23"/>
        </w:rPr>
        <w:t xml:space="preserve">The manufacturing sector employed 12.7 percent of </w:t>
      </w:r>
      <w:r w:rsidRPr="78F9AF82">
        <w:rPr>
          <w:rFonts w:asciiTheme="majorHAnsi" w:hAnsiTheme="majorHAnsi" w:cstheme="majorBidi"/>
          <w:sz w:val="23"/>
          <w:szCs w:val="23"/>
        </w:rPr>
        <w:t>Corio’s</w:t>
      </w:r>
      <w:r w:rsidR="005477B5" w:rsidRPr="78F9AF82">
        <w:rPr>
          <w:rFonts w:asciiTheme="majorHAnsi" w:hAnsiTheme="majorHAnsi" w:cstheme="majorBidi"/>
          <w:sz w:val="23"/>
          <w:szCs w:val="23"/>
        </w:rPr>
        <w:t xml:space="preserve"> workforce </w:t>
      </w:r>
      <w:r w:rsidRPr="78F9AF82">
        <w:rPr>
          <w:rFonts w:asciiTheme="majorHAnsi" w:hAnsiTheme="majorHAnsi" w:cstheme="majorBidi"/>
          <w:sz w:val="23"/>
          <w:szCs w:val="23"/>
        </w:rPr>
        <w:t>and</w:t>
      </w:r>
      <w:r w:rsidR="005477B5" w:rsidRPr="78F9AF82">
        <w:rPr>
          <w:rFonts w:asciiTheme="majorHAnsi" w:hAnsiTheme="majorHAnsi" w:cstheme="majorBidi"/>
          <w:sz w:val="23"/>
          <w:szCs w:val="23"/>
        </w:rPr>
        <w:t xml:space="preserve"> 10.4 percent </w:t>
      </w:r>
      <w:r w:rsidRPr="78F9AF82">
        <w:rPr>
          <w:rFonts w:asciiTheme="majorHAnsi" w:hAnsiTheme="majorHAnsi" w:cstheme="majorBidi"/>
          <w:sz w:val="23"/>
          <w:szCs w:val="23"/>
        </w:rPr>
        <w:t>of</w:t>
      </w:r>
      <w:r w:rsidR="005477B5" w:rsidRPr="78F9AF82">
        <w:rPr>
          <w:rFonts w:asciiTheme="majorHAnsi" w:hAnsiTheme="majorHAnsi" w:cstheme="majorBidi"/>
          <w:sz w:val="23"/>
          <w:szCs w:val="23"/>
        </w:rPr>
        <w:t xml:space="preserve"> Norlane–North Shore</w:t>
      </w:r>
      <w:r w:rsidRPr="78F9AF82">
        <w:rPr>
          <w:rFonts w:asciiTheme="majorHAnsi" w:hAnsiTheme="majorHAnsi" w:cstheme="majorBidi"/>
          <w:sz w:val="23"/>
          <w:szCs w:val="23"/>
        </w:rPr>
        <w:t>’s</w:t>
      </w:r>
      <w:r w:rsidR="005477B5" w:rsidRPr="78F9AF82">
        <w:rPr>
          <w:rFonts w:asciiTheme="majorHAnsi" w:hAnsiTheme="majorHAnsi" w:cstheme="majorBidi"/>
          <w:sz w:val="23"/>
          <w:szCs w:val="23"/>
        </w:rPr>
        <w:t xml:space="preserve">, </w:t>
      </w:r>
      <w:r w:rsidRPr="78F9AF82">
        <w:rPr>
          <w:rFonts w:asciiTheme="majorHAnsi" w:hAnsiTheme="majorHAnsi" w:cstheme="majorBidi"/>
          <w:sz w:val="23"/>
          <w:szCs w:val="23"/>
        </w:rPr>
        <w:t>against</w:t>
      </w:r>
      <w:r w:rsidR="005477B5" w:rsidRPr="78F9AF82">
        <w:rPr>
          <w:rFonts w:asciiTheme="majorHAnsi" w:hAnsiTheme="majorHAnsi" w:cstheme="majorBidi"/>
          <w:sz w:val="23"/>
          <w:szCs w:val="23"/>
        </w:rPr>
        <w:t xml:space="preserve"> 7.5 percent across Greater Geelong (Profile.id, 2016).</w:t>
      </w:r>
    </w:p>
    <w:p w14:paraId="4F8B0B6E" w14:textId="77777777" w:rsidR="006E384B" w:rsidRPr="006E384B" w:rsidRDefault="006E384B" w:rsidP="006E384B">
      <w:pPr>
        <w:spacing w:after="0" w:line="276" w:lineRule="auto"/>
        <w:rPr>
          <w:rFonts w:asciiTheme="majorHAnsi" w:hAnsiTheme="majorHAnsi" w:cstheme="majorHAnsi"/>
          <w:sz w:val="16"/>
          <w:szCs w:val="16"/>
        </w:rPr>
      </w:pPr>
    </w:p>
    <w:p w14:paraId="5323AD15" w14:textId="1DD923E0" w:rsidR="00F00E3D" w:rsidRDefault="006E384B" w:rsidP="006E384B">
      <w:pPr>
        <w:spacing w:after="0" w:line="276" w:lineRule="auto"/>
        <w:rPr>
          <w:rFonts w:asciiTheme="majorHAnsi" w:hAnsiTheme="majorHAnsi" w:cstheme="majorHAnsi"/>
          <w:sz w:val="23"/>
          <w:szCs w:val="23"/>
        </w:rPr>
      </w:pPr>
      <w:r>
        <w:rPr>
          <w:rFonts w:asciiTheme="majorHAnsi" w:hAnsiTheme="majorHAnsi" w:cstheme="majorHAnsi"/>
          <w:sz w:val="23"/>
          <w:szCs w:val="23"/>
        </w:rPr>
        <w:t>T</w:t>
      </w:r>
      <w:r w:rsidR="009B45C4">
        <w:rPr>
          <w:rFonts w:asciiTheme="majorHAnsi" w:hAnsiTheme="majorHAnsi" w:cstheme="majorHAnsi"/>
          <w:sz w:val="23"/>
          <w:szCs w:val="23"/>
        </w:rPr>
        <w:t>his</w:t>
      </w:r>
      <w:r>
        <w:rPr>
          <w:rFonts w:asciiTheme="majorHAnsi" w:hAnsiTheme="majorHAnsi" w:cstheme="majorHAnsi"/>
          <w:sz w:val="23"/>
          <w:szCs w:val="23"/>
        </w:rPr>
        <w:t xml:space="preserve"> </w:t>
      </w:r>
      <w:r w:rsidR="00F00E3D" w:rsidRPr="00E91887">
        <w:rPr>
          <w:rFonts w:asciiTheme="majorHAnsi" w:hAnsiTheme="majorHAnsi" w:cstheme="majorHAnsi"/>
          <w:sz w:val="23"/>
          <w:szCs w:val="23"/>
        </w:rPr>
        <w:t xml:space="preserve">class divide has been exacerbated by economic restructuring and social stigmatisation, despite efforts to improve the social and urban fabric </w:t>
      </w:r>
      <w:r>
        <w:rPr>
          <w:rFonts w:asciiTheme="majorHAnsi" w:hAnsiTheme="majorHAnsi" w:cstheme="majorHAnsi"/>
          <w:sz w:val="23"/>
          <w:szCs w:val="23"/>
        </w:rPr>
        <w:t>of these areas through</w:t>
      </w:r>
      <w:r w:rsidR="00F00E3D" w:rsidRPr="00E91887">
        <w:rPr>
          <w:rFonts w:asciiTheme="majorHAnsi" w:hAnsiTheme="majorHAnsi" w:cstheme="majorHAnsi"/>
          <w:sz w:val="23"/>
          <w:szCs w:val="23"/>
        </w:rPr>
        <w:t xml:space="preserve"> initiatives such as Neighbourhood Renewal and New Norlane.</w:t>
      </w:r>
    </w:p>
    <w:p w14:paraId="2E41FD33" w14:textId="77777777" w:rsidR="006E384B" w:rsidRPr="006E384B" w:rsidRDefault="006E384B" w:rsidP="006E384B">
      <w:pPr>
        <w:spacing w:after="0" w:line="276" w:lineRule="auto"/>
        <w:rPr>
          <w:rFonts w:asciiTheme="majorHAnsi" w:hAnsiTheme="majorHAnsi" w:cstheme="majorHAnsi"/>
          <w:sz w:val="16"/>
          <w:szCs w:val="16"/>
        </w:rPr>
      </w:pPr>
    </w:p>
    <w:p w14:paraId="1AB3D39A" w14:textId="31F6A11C" w:rsidR="00F00E3D" w:rsidRPr="00E91887" w:rsidRDefault="00F00E3D" w:rsidP="009B2FA7">
      <w:pPr>
        <w:spacing w:line="276" w:lineRule="auto"/>
        <w:rPr>
          <w:rFonts w:asciiTheme="majorHAnsi" w:hAnsiTheme="majorHAnsi" w:cstheme="majorHAnsi"/>
          <w:sz w:val="23"/>
          <w:szCs w:val="23"/>
        </w:rPr>
      </w:pPr>
      <w:r w:rsidRPr="00E91887">
        <w:rPr>
          <w:rFonts w:asciiTheme="majorHAnsi" w:hAnsiTheme="majorHAnsi" w:cstheme="majorHAnsi"/>
          <w:sz w:val="23"/>
          <w:szCs w:val="23"/>
        </w:rPr>
        <w:t xml:space="preserve">Whittington has a comparable </w:t>
      </w:r>
      <w:r w:rsidR="006E384B">
        <w:rPr>
          <w:rFonts w:asciiTheme="majorHAnsi" w:hAnsiTheme="majorHAnsi" w:cstheme="majorHAnsi"/>
          <w:sz w:val="23"/>
          <w:szCs w:val="23"/>
        </w:rPr>
        <w:t xml:space="preserve">but </w:t>
      </w:r>
      <w:r w:rsidR="006E384B" w:rsidRPr="00E91887">
        <w:rPr>
          <w:rFonts w:asciiTheme="majorHAnsi" w:hAnsiTheme="majorHAnsi" w:cstheme="majorHAnsi"/>
          <w:sz w:val="23"/>
          <w:szCs w:val="23"/>
        </w:rPr>
        <w:t xml:space="preserve">somewhat different </w:t>
      </w:r>
      <w:r w:rsidR="006E384B">
        <w:rPr>
          <w:rFonts w:asciiTheme="majorHAnsi" w:hAnsiTheme="majorHAnsi" w:cstheme="majorHAnsi"/>
          <w:sz w:val="23"/>
          <w:szCs w:val="23"/>
        </w:rPr>
        <w:t>history. During early E</w:t>
      </w:r>
      <w:r w:rsidRPr="00E91887">
        <w:rPr>
          <w:rFonts w:asciiTheme="majorHAnsi" w:hAnsiTheme="majorHAnsi" w:cstheme="majorHAnsi"/>
          <w:sz w:val="23"/>
          <w:szCs w:val="23"/>
        </w:rPr>
        <w:t>uropean occupation</w:t>
      </w:r>
      <w:r w:rsidR="006E384B">
        <w:rPr>
          <w:rFonts w:asciiTheme="majorHAnsi" w:hAnsiTheme="majorHAnsi" w:cstheme="majorHAnsi"/>
          <w:sz w:val="23"/>
          <w:szCs w:val="23"/>
        </w:rPr>
        <w:t xml:space="preserve"> the area was known as “Breakwater”,</w:t>
      </w:r>
      <w:r w:rsidR="00601C89">
        <w:rPr>
          <w:rFonts w:asciiTheme="majorHAnsi" w:hAnsiTheme="majorHAnsi" w:cstheme="majorHAnsi"/>
          <w:sz w:val="23"/>
          <w:szCs w:val="23"/>
        </w:rPr>
        <w:t xml:space="preserve"> referencing a</w:t>
      </w:r>
      <w:r w:rsidR="006E384B">
        <w:rPr>
          <w:rFonts w:asciiTheme="majorHAnsi" w:hAnsiTheme="majorHAnsi" w:cstheme="majorHAnsi"/>
          <w:sz w:val="23"/>
          <w:szCs w:val="23"/>
        </w:rPr>
        <w:t xml:space="preserve"> rock ford</w:t>
      </w:r>
      <w:r w:rsidRPr="00E91887">
        <w:rPr>
          <w:rFonts w:asciiTheme="majorHAnsi" w:hAnsiTheme="majorHAnsi" w:cstheme="majorHAnsi"/>
          <w:sz w:val="23"/>
          <w:szCs w:val="23"/>
        </w:rPr>
        <w:t xml:space="preserve"> </w:t>
      </w:r>
      <w:r w:rsidR="006E384B">
        <w:rPr>
          <w:rFonts w:asciiTheme="majorHAnsi" w:hAnsiTheme="majorHAnsi" w:cstheme="majorHAnsi"/>
          <w:sz w:val="23"/>
          <w:szCs w:val="23"/>
        </w:rPr>
        <w:t>built on</w:t>
      </w:r>
      <w:r w:rsidRPr="00E91887">
        <w:rPr>
          <w:rFonts w:asciiTheme="majorHAnsi" w:hAnsiTheme="majorHAnsi" w:cstheme="majorHAnsi"/>
          <w:sz w:val="23"/>
          <w:szCs w:val="23"/>
        </w:rPr>
        <w:t xml:space="preserve"> the Barwon River to </w:t>
      </w:r>
      <w:r w:rsidR="006E384B">
        <w:rPr>
          <w:rFonts w:asciiTheme="majorHAnsi" w:hAnsiTheme="majorHAnsi" w:cstheme="majorHAnsi"/>
          <w:sz w:val="23"/>
          <w:szCs w:val="23"/>
        </w:rPr>
        <w:t>provide</w:t>
      </w:r>
      <w:r w:rsidRPr="00E91887">
        <w:rPr>
          <w:rFonts w:asciiTheme="majorHAnsi" w:hAnsiTheme="majorHAnsi" w:cstheme="majorHAnsi"/>
          <w:sz w:val="23"/>
          <w:szCs w:val="23"/>
        </w:rPr>
        <w:t xml:space="preserve"> fresh water for the burgeoning town of Geelong</w:t>
      </w:r>
      <w:r w:rsidR="006F35E5">
        <w:rPr>
          <w:rFonts w:asciiTheme="majorHAnsi" w:hAnsiTheme="majorHAnsi" w:cstheme="majorHAnsi"/>
          <w:sz w:val="23"/>
          <w:szCs w:val="23"/>
        </w:rPr>
        <w:t>, and became a centre for the h</w:t>
      </w:r>
      <w:r w:rsidR="00601C89">
        <w:rPr>
          <w:rFonts w:asciiTheme="majorHAnsi" w:hAnsiTheme="majorHAnsi" w:cstheme="majorHAnsi"/>
          <w:sz w:val="23"/>
          <w:szCs w:val="23"/>
        </w:rPr>
        <w:t xml:space="preserve">orse </w:t>
      </w:r>
      <w:r w:rsidRPr="00E91887">
        <w:rPr>
          <w:rFonts w:asciiTheme="majorHAnsi" w:hAnsiTheme="majorHAnsi" w:cstheme="majorHAnsi"/>
          <w:sz w:val="23"/>
          <w:szCs w:val="23"/>
        </w:rPr>
        <w:t>racing</w:t>
      </w:r>
      <w:r w:rsidR="00601C89">
        <w:rPr>
          <w:rFonts w:asciiTheme="majorHAnsi" w:hAnsiTheme="majorHAnsi" w:cstheme="majorHAnsi"/>
          <w:sz w:val="23"/>
          <w:szCs w:val="23"/>
        </w:rPr>
        <w:t xml:space="preserve"> and pastoral industr</w:t>
      </w:r>
      <w:r w:rsidR="006F35E5">
        <w:rPr>
          <w:rFonts w:asciiTheme="majorHAnsi" w:hAnsiTheme="majorHAnsi" w:cstheme="majorHAnsi"/>
          <w:sz w:val="23"/>
          <w:szCs w:val="23"/>
        </w:rPr>
        <w:t>ies</w:t>
      </w:r>
      <w:r w:rsidRPr="00E91887">
        <w:rPr>
          <w:rFonts w:asciiTheme="majorHAnsi" w:hAnsiTheme="majorHAnsi" w:cstheme="majorHAnsi"/>
          <w:sz w:val="23"/>
          <w:szCs w:val="23"/>
        </w:rPr>
        <w:t xml:space="preserve">. </w:t>
      </w:r>
      <w:r w:rsidR="006F35E5">
        <w:rPr>
          <w:rFonts w:asciiTheme="majorHAnsi" w:hAnsiTheme="majorHAnsi" w:cstheme="majorHAnsi"/>
          <w:sz w:val="23"/>
          <w:szCs w:val="23"/>
        </w:rPr>
        <w:t>The most notable local structure is the</w:t>
      </w:r>
      <w:r w:rsidRPr="00E91887">
        <w:rPr>
          <w:rFonts w:asciiTheme="majorHAnsi" w:hAnsiTheme="majorHAnsi" w:cstheme="majorHAnsi"/>
          <w:sz w:val="23"/>
          <w:szCs w:val="23"/>
        </w:rPr>
        <w:t xml:space="preserve"> heritage</w:t>
      </w:r>
      <w:r w:rsidR="006F35E5">
        <w:rPr>
          <w:rFonts w:asciiTheme="majorHAnsi" w:hAnsiTheme="majorHAnsi" w:cstheme="majorHAnsi"/>
          <w:sz w:val="23"/>
          <w:szCs w:val="23"/>
        </w:rPr>
        <w:t>-</w:t>
      </w:r>
      <w:r w:rsidRPr="00E91887">
        <w:rPr>
          <w:rFonts w:asciiTheme="majorHAnsi" w:hAnsiTheme="majorHAnsi" w:cstheme="majorHAnsi"/>
          <w:sz w:val="23"/>
          <w:szCs w:val="23"/>
        </w:rPr>
        <w:t>listed St Albans Homestead</w:t>
      </w:r>
      <w:r w:rsidR="006F35E5">
        <w:rPr>
          <w:rFonts w:asciiTheme="majorHAnsi" w:hAnsiTheme="majorHAnsi" w:cstheme="majorHAnsi"/>
          <w:sz w:val="23"/>
          <w:szCs w:val="23"/>
        </w:rPr>
        <w:t xml:space="preserve"> (1</w:t>
      </w:r>
      <w:r w:rsidRPr="00E91887">
        <w:rPr>
          <w:rFonts w:asciiTheme="majorHAnsi" w:hAnsiTheme="majorHAnsi" w:cstheme="majorHAnsi"/>
          <w:sz w:val="23"/>
          <w:szCs w:val="23"/>
        </w:rPr>
        <w:t>873</w:t>
      </w:r>
      <w:r w:rsidR="006F35E5">
        <w:rPr>
          <w:rFonts w:asciiTheme="majorHAnsi" w:hAnsiTheme="majorHAnsi" w:cstheme="majorHAnsi"/>
          <w:sz w:val="23"/>
          <w:szCs w:val="23"/>
        </w:rPr>
        <w:t>)</w:t>
      </w:r>
      <w:r w:rsidRPr="00E91887">
        <w:rPr>
          <w:rFonts w:asciiTheme="majorHAnsi" w:hAnsiTheme="majorHAnsi" w:cstheme="majorHAnsi"/>
          <w:sz w:val="23"/>
          <w:szCs w:val="23"/>
        </w:rPr>
        <w:t xml:space="preserve">, </w:t>
      </w:r>
      <w:r w:rsidR="006F35E5">
        <w:rPr>
          <w:rFonts w:asciiTheme="majorHAnsi" w:hAnsiTheme="majorHAnsi" w:cstheme="majorHAnsi"/>
          <w:sz w:val="23"/>
          <w:szCs w:val="23"/>
        </w:rPr>
        <w:t>which</w:t>
      </w:r>
      <w:r w:rsidRPr="00E91887">
        <w:rPr>
          <w:rFonts w:asciiTheme="majorHAnsi" w:hAnsiTheme="majorHAnsi" w:cstheme="majorHAnsi"/>
          <w:sz w:val="23"/>
          <w:szCs w:val="23"/>
        </w:rPr>
        <w:t xml:space="preserve"> forms the core of a new suburb – St Albans Park – </w:t>
      </w:r>
      <w:r w:rsidR="00601C89">
        <w:rPr>
          <w:rFonts w:asciiTheme="majorHAnsi" w:hAnsiTheme="majorHAnsi" w:cstheme="majorHAnsi"/>
          <w:sz w:val="23"/>
          <w:szCs w:val="23"/>
        </w:rPr>
        <w:t xml:space="preserve">that </w:t>
      </w:r>
      <w:r w:rsidRPr="00E91887">
        <w:rPr>
          <w:rFonts w:asciiTheme="majorHAnsi" w:hAnsiTheme="majorHAnsi" w:cstheme="majorHAnsi"/>
          <w:sz w:val="23"/>
          <w:szCs w:val="23"/>
        </w:rPr>
        <w:t xml:space="preserve">detached from the area in 1999. </w:t>
      </w:r>
      <w:r w:rsidR="006F35E5">
        <w:rPr>
          <w:rFonts w:asciiTheme="majorHAnsi" w:hAnsiTheme="majorHAnsi" w:cstheme="majorHAnsi"/>
          <w:sz w:val="23"/>
          <w:szCs w:val="23"/>
        </w:rPr>
        <w:t>As a result,</w:t>
      </w:r>
      <w:r w:rsidRPr="00E91887">
        <w:rPr>
          <w:rFonts w:asciiTheme="majorHAnsi" w:hAnsiTheme="majorHAnsi" w:cstheme="majorHAnsi"/>
          <w:sz w:val="23"/>
          <w:szCs w:val="23"/>
        </w:rPr>
        <w:t xml:space="preserve"> Whittington is relatively small in </w:t>
      </w:r>
      <w:r w:rsidR="006F35E5">
        <w:rPr>
          <w:rFonts w:asciiTheme="majorHAnsi" w:hAnsiTheme="majorHAnsi" w:cstheme="majorHAnsi"/>
          <w:sz w:val="23"/>
          <w:szCs w:val="23"/>
        </w:rPr>
        <w:t>both geography and population compared</w:t>
      </w:r>
      <w:r w:rsidRPr="00E91887">
        <w:rPr>
          <w:rFonts w:asciiTheme="majorHAnsi" w:hAnsiTheme="majorHAnsi" w:cstheme="majorHAnsi"/>
          <w:sz w:val="23"/>
          <w:szCs w:val="23"/>
        </w:rPr>
        <w:t xml:space="preserve"> to Corio and Norlane. However, it does share similarities</w:t>
      </w:r>
      <w:r w:rsidR="006F35E5">
        <w:rPr>
          <w:rFonts w:asciiTheme="majorHAnsi" w:hAnsiTheme="majorHAnsi" w:cstheme="majorHAnsi"/>
          <w:sz w:val="23"/>
          <w:szCs w:val="23"/>
        </w:rPr>
        <w:t xml:space="preserve">: the construction of </w:t>
      </w:r>
      <w:r w:rsidRPr="00E91887">
        <w:rPr>
          <w:rFonts w:asciiTheme="majorHAnsi" w:hAnsiTheme="majorHAnsi" w:cstheme="majorHAnsi"/>
          <w:sz w:val="23"/>
          <w:szCs w:val="23"/>
        </w:rPr>
        <w:t>500 Housing Commission units</w:t>
      </w:r>
      <w:r w:rsidR="006F35E5">
        <w:rPr>
          <w:rFonts w:asciiTheme="majorHAnsi" w:hAnsiTheme="majorHAnsi" w:cstheme="majorHAnsi"/>
          <w:sz w:val="23"/>
          <w:szCs w:val="23"/>
        </w:rPr>
        <w:t xml:space="preserve"> in the 1960s, along with the suburb’s</w:t>
      </w:r>
      <w:r w:rsidRPr="00E91887">
        <w:rPr>
          <w:rFonts w:asciiTheme="majorHAnsi" w:hAnsiTheme="majorHAnsi" w:cstheme="majorHAnsi"/>
          <w:sz w:val="23"/>
          <w:szCs w:val="23"/>
        </w:rPr>
        <w:t xml:space="preserve"> unique street pattern of </w:t>
      </w:r>
      <w:proofErr w:type="spellStart"/>
      <w:r w:rsidRPr="00E91887">
        <w:rPr>
          <w:rFonts w:asciiTheme="majorHAnsi" w:hAnsiTheme="majorHAnsi" w:cstheme="majorHAnsi"/>
          <w:sz w:val="23"/>
          <w:szCs w:val="23"/>
        </w:rPr>
        <w:t>cul</w:t>
      </w:r>
      <w:proofErr w:type="spellEnd"/>
      <w:r w:rsidRPr="00E91887">
        <w:rPr>
          <w:rFonts w:asciiTheme="majorHAnsi" w:hAnsiTheme="majorHAnsi" w:cstheme="majorHAnsi"/>
          <w:sz w:val="23"/>
          <w:szCs w:val="23"/>
        </w:rPr>
        <w:t xml:space="preserve"> de sacs and courts</w:t>
      </w:r>
      <w:r w:rsidR="006F35E5">
        <w:rPr>
          <w:rFonts w:asciiTheme="majorHAnsi" w:hAnsiTheme="majorHAnsi" w:cstheme="majorHAnsi"/>
          <w:sz w:val="23"/>
          <w:szCs w:val="23"/>
        </w:rPr>
        <w:t>, has contributed to a localised</w:t>
      </w:r>
      <w:r w:rsidRPr="00E91887">
        <w:rPr>
          <w:rFonts w:asciiTheme="majorHAnsi" w:hAnsiTheme="majorHAnsi" w:cstheme="majorHAnsi"/>
          <w:sz w:val="23"/>
          <w:szCs w:val="23"/>
        </w:rPr>
        <w:t xml:space="preserve"> concentration of </w:t>
      </w:r>
      <w:r w:rsidR="006F35E5">
        <w:rPr>
          <w:rFonts w:asciiTheme="majorHAnsi" w:hAnsiTheme="majorHAnsi" w:cstheme="majorHAnsi"/>
          <w:sz w:val="23"/>
          <w:szCs w:val="23"/>
        </w:rPr>
        <w:t>disadvantage</w:t>
      </w:r>
      <w:r w:rsidRPr="00E91887">
        <w:rPr>
          <w:rFonts w:asciiTheme="majorHAnsi" w:hAnsiTheme="majorHAnsi" w:cstheme="majorHAnsi"/>
          <w:sz w:val="23"/>
          <w:szCs w:val="23"/>
        </w:rPr>
        <w:t xml:space="preserve">. </w:t>
      </w:r>
      <w:r w:rsidR="006F35E5">
        <w:rPr>
          <w:rFonts w:asciiTheme="majorHAnsi" w:hAnsiTheme="majorHAnsi" w:cstheme="majorHAnsi"/>
          <w:sz w:val="23"/>
          <w:szCs w:val="23"/>
        </w:rPr>
        <w:t xml:space="preserve">In 2016 </w:t>
      </w:r>
      <w:r w:rsidRPr="00E91887">
        <w:rPr>
          <w:rFonts w:asciiTheme="majorHAnsi" w:hAnsiTheme="majorHAnsi" w:cstheme="majorHAnsi"/>
          <w:sz w:val="23"/>
          <w:szCs w:val="23"/>
        </w:rPr>
        <w:t xml:space="preserve">Whittington too had a </w:t>
      </w:r>
      <w:r w:rsidR="006F35E5">
        <w:rPr>
          <w:rFonts w:asciiTheme="majorHAnsi" w:hAnsiTheme="majorHAnsi" w:cstheme="majorHAnsi"/>
          <w:sz w:val="23"/>
          <w:szCs w:val="23"/>
        </w:rPr>
        <w:t>high</w:t>
      </w:r>
      <w:r w:rsidRPr="00E91887">
        <w:rPr>
          <w:rFonts w:asciiTheme="majorHAnsi" w:hAnsiTheme="majorHAnsi" w:cstheme="majorHAnsi"/>
          <w:sz w:val="23"/>
          <w:szCs w:val="23"/>
        </w:rPr>
        <w:t xml:space="preserve"> proportion of households earning less than $600 per week (38</w:t>
      </w:r>
      <w:r w:rsidR="006F35E5">
        <w:rPr>
          <w:rFonts w:asciiTheme="majorHAnsi" w:hAnsiTheme="majorHAnsi" w:cstheme="majorHAnsi"/>
          <w:sz w:val="23"/>
          <w:szCs w:val="23"/>
        </w:rPr>
        <w:t xml:space="preserve"> percent</w:t>
      </w:r>
      <w:r w:rsidRPr="00E91887">
        <w:rPr>
          <w:rFonts w:asciiTheme="majorHAnsi" w:hAnsiTheme="majorHAnsi" w:cstheme="majorHAnsi"/>
          <w:sz w:val="23"/>
          <w:szCs w:val="23"/>
        </w:rPr>
        <w:t>)</w:t>
      </w:r>
      <w:r w:rsidR="006F35E5">
        <w:rPr>
          <w:rFonts w:asciiTheme="majorHAnsi" w:hAnsiTheme="majorHAnsi" w:cstheme="majorHAnsi"/>
          <w:sz w:val="23"/>
          <w:szCs w:val="23"/>
        </w:rPr>
        <w:t>,</w:t>
      </w:r>
      <w:r w:rsidRPr="00E91887">
        <w:rPr>
          <w:rFonts w:asciiTheme="majorHAnsi" w:hAnsiTheme="majorHAnsi" w:cstheme="majorHAnsi"/>
          <w:sz w:val="23"/>
          <w:szCs w:val="23"/>
        </w:rPr>
        <w:t xml:space="preserve"> few earning more than $2000 per week (8.4</w:t>
      </w:r>
      <w:r w:rsidR="006F35E5">
        <w:rPr>
          <w:rFonts w:asciiTheme="majorHAnsi" w:hAnsiTheme="majorHAnsi" w:cstheme="majorHAnsi"/>
          <w:sz w:val="23"/>
          <w:szCs w:val="23"/>
        </w:rPr>
        <w:t xml:space="preserve"> percent</w:t>
      </w:r>
      <w:r w:rsidRPr="00E91887">
        <w:rPr>
          <w:rFonts w:asciiTheme="majorHAnsi" w:hAnsiTheme="majorHAnsi" w:cstheme="majorHAnsi"/>
          <w:sz w:val="23"/>
          <w:szCs w:val="23"/>
        </w:rPr>
        <w:t>)</w:t>
      </w:r>
      <w:r w:rsidR="00795ECB">
        <w:rPr>
          <w:rFonts w:asciiTheme="majorHAnsi" w:hAnsiTheme="majorHAnsi" w:cstheme="majorHAnsi"/>
          <w:sz w:val="23"/>
          <w:szCs w:val="23"/>
        </w:rPr>
        <w:t>, and relatively high</w:t>
      </w:r>
      <w:r w:rsidRPr="00E91887">
        <w:rPr>
          <w:rFonts w:asciiTheme="majorHAnsi" w:hAnsiTheme="majorHAnsi" w:cstheme="majorHAnsi"/>
          <w:sz w:val="23"/>
          <w:szCs w:val="23"/>
        </w:rPr>
        <w:t xml:space="preserve"> unemployment </w:t>
      </w:r>
      <w:r w:rsidR="00795ECB">
        <w:rPr>
          <w:rFonts w:asciiTheme="majorHAnsi" w:hAnsiTheme="majorHAnsi" w:cstheme="majorHAnsi"/>
          <w:sz w:val="23"/>
          <w:szCs w:val="23"/>
        </w:rPr>
        <w:t>(</w:t>
      </w:r>
      <w:r w:rsidRPr="00E91887">
        <w:rPr>
          <w:rFonts w:asciiTheme="majorHAnsi" w:hAnsiTheme="majorHAnsi" w:cstheme="majorHAnsi"/>
          <w:sz w:val="23"/>
          <w:szCs w:val="23"/>
        </w:rPr>
        <w:t>10.4</w:t>
      </w:r>
      <w:r w:rsidR="00795ECB">
        <w:rPr>
          <w:rFonts w:asciiTheme="majorHAnsi" w:hAnsiTheme="majorHAnsi" w:cstheme="majorHAnsi"/>
          <w:sz w:val="23"/>
          <w:szCs w:val="23"/>
        </w:rPr>
        <w:t xml:space="preserve"> percent)</w:t>
      </w:r>
      <w:r w:rsidRPr="00E91887">
        <w:rPr>
          <w:rFonts w:asciiTheme="majorHAnsi" w:hAnsiTheme="majorHAnsi" w:cstheme="majorHAnsi"/>
          <w:sz w:val="23"/>
          <w:szCs w:val="23"/>
        </w:rPr>
        <w:t xml:space="preserve"> (Profile.id, 2016).</w:t>
      </w:r>
    </w:p>
    <w:p w14:paraId="6D813832" w14:textId="28C4CFC1" w:rsidR="00795ECB" w:rsidRDefault="00795ECB" w:rsidP="009B2FA7">
      <w:pPr>
        <w:spacing w:line="276" w:lineRule="auto"/>
        <w:rPr>
          <w:rFonts w:asciiTheme="majorHAnsi" w:hAnsiTheme="majorHAnsi" w:cstheme="majorHAnsi"/>
          <w:sz w:val="23"/>
          <w:szCs w:val="23"/>
        </w:rPr>
      </w:pPr>
      <w:r>
        <w:rPr>
          <w:rFonts w:asciiTheme="majorHAnsi" w:hAnsiTheme="majorHAnsi" w:cstheme="majorHAnsi"/>
          <w:sz w:val="23"/>
          <w:szCs w:val="23"/>
        </w:rPr>
        <w:t>Table 7.1 (below) presents a b</w:t>
      </w:r>
      <w:r w:rsidR="00F00E3D" w:rsidRPr="00E91887">
        <w:rPr>
          <w:rFonts w:asciiTheme="majorHAnsi" w:hAnsiTheme="majorHAnsi" w:cstheme="majorHAnsi"/>
          <w:sz w:val="23"/>
          <w:szCs w:val="23"/>
        </w:rPr>
        <w:t>rief statistical profile of the</w:t>
      </w:r>
      <w:r>
        <w:rPr>
          <w:rFonts w:asciiTheme="majorHAnsi" w:hAnsiTheme="majorHAnsi" w:cstheme="majorHAnsi"/>
          <w:sz w:val="23"/>
          <w:szCs w:val="23"/>
        </w:rPr>
        <w:t xml:space="preserve"> three</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localities</w:t>
      </w:r>
      <w:r w:rsidR="00F00E3D" w:rsidRPr="00E91887">
        <w:rPr>
          <w:rFonts w:asciiTheme="majorHAnsi" w:hAnsiTheme="majorHAnsi" w:cstheme="majorHAnsi"/>
          <w:sz w:val="23"/>
          <w:szCs w:val="23"/>
        </w:rPr>
        <w:t xml:space="preserve"> in 2016, </w:t>
      </w:r>
      <w:r>
        <w:rPr>
          <w:rFonts w:asciiTheme="majorHAnsi" w:hAnsiTheme="majorHAnsi" w:cstheme="majorHAnsi"/>
          <w:sz w:val="23"/>
          <w:szCs w:val="23"/>
        </w:rPr>
        <w:t>with figures for the</w:t>
      </w:r>
      <w:r w:rsidR="00F00E3D" w:rsidRPr="00E91887">
        <w:rPr>
          <w:rFonts w:asciiTheme="majorHAnsi" w:hAnsiTheme="majorHAnsi" w:cstheme="majorHAnsi"/>
          <w:sz w:val="23"/>
          <w:szCs w:val="23"/>
        </w:rPr>
        <w:t xml:space="preserve"> City of Greater Geelong</w:t>
      </w:r>
      <w:r>
        <w:rPr>
          <w:rFonts w:asciiTheme="majorHAnsi" w:hAnsiTheme="majorHAnsi" w:cstheme="majorHAnsi"/>
          <w:sz w:val="23"/>
          <w:szCs w:val="23"/>
        </w:rPr>
        <w:t xml:space="preserve"> provided for comparison</w:t>
      </w:r>
      <w:r w:rsidR="00F00E3D" w:rsidRPr="00E91887">
        <w:rPr>
          <w:rFonts w:asciiTheme="majorHAnsi" w:hAnsiTheme="majorHAnsi" w:cstheme="majorHAnsi"/>
          <w:sz w:val="23"/>
          <w:szCs w:val="23"/>
        </w:rPr>
        <w:t>.</w:t>
      </w:r>
    </w:p>
    <w:p w14:paraId="444511B3" w14:textId="06003F71" w:rsidR="00F00E3D" w:rsidRPr="00E91887" w:rsidRDefault="00795ECB" w:rsidP="007C77EC">
      <w:pPr>
        <w:spacing w:after="0" w:line="240" w:lineRule="auto"/>
        <w:rPr>
          <w:rFonts w:asciiTheme="majorHAnsi" w:hAnsiTheme="majorHAnsi" w:cstheme="majorHAnsi"/>
          <w:sz w:val="23"/>
          <w:szCs w:val="23"/>
        </w:rPr>
      </w:pPr>
      <w:r>
        <w:rPr>
          <w:rFonts w:asciiTheme="majorHAnsi" w:hAnsiTheme="majorHAnsi" w:cstheme="majorHAnsi"/>
          <w:sz w:val="23"/>
          <w:szCs w:val="23"/>
        </w:rPr>
        <w:br w:type="page"/>
      </w:r>
    </w:p>
    <w:tbl>
      <w:tblPr>
        <w:tblStyle w:val="TableGrid"/>
        <w:tblW w:w="0" w:type="auto"/>
        <w:tblLook w:val="04A0" w:firstRow="1" w:lastRow="0" w:firstColumn="1" w:lastColumn="0" w:noHBand="0" w:noVBand="1"/>
      </w:tblPr>
      <w:tblGrid>
        <w:gridCol w:w="3431"/>
        <w:gridCol w:w="1530"/>
        <w:gridCol w:w="1531"/>
        <w:gridCol w:w="1530"/>
        <w:gridCol w:w="1531"/>
      </w:tblGrid>
      <w:tr w:rsidR="00F00E3D" w:rsidRPr="00A04DBE" w14:paraId="188DA668" w14:textId="77777777" w:rsidTr="71E34AD1">
        <w:trPr>
          <w:trHeight w:val="687"/>
        </w:trPr>
        <w:tc>
          <w:tcPr>
            <w:tcW w:w="3431" w:type="dxa"/>
            <w:shd w:val="clear" w:color="auto" w:fill="D0CECE" w:themeFill="background2" w:themeFillShade="E6"/>
            <w:vAlign w:val="center"/>
          </w:tcPr>
          <w:p w14:paraId="1155D8C4" w14:textId="77777777" w:rsidR="00F00E3D" w:rsidRPr="00A04DBE" w:rsidRDefault="00F00E3D" w:rsidP="001E2964">
            <w:pPr>
              <w:spacing w:after="0" w:line="276" w:lineRule="auto"/>
              <w:rPr>
                <w:rFonts w:cstheme="minorHAnsi"/>
                <w:b/>
                <w:bCs/>
                <w:sz w:val="21"/>
                <w:szCs w:val="21"/>
              </w:rPr>
            </w:pPr>
            <w:r w:rsidRPr="00A04DBE">
              <w:rPr>
                <w:rFonts w:cstheme="minorHAnsi"/>
                <w:b/>
                <w:bCs/>
                <w:sz w:val="21"/>
                <w:szCs w:val="21"/>
              </w:rPr>
              <w:lastRenderedPageBreak/>
              <w:t>Indicator</w:t>
            </w:r>
          </w:p>
        </w:tc>
        <w:tc>
          <w:tcPr>
            <w:tcW w:w="1530" w:type="dxa"/>
            <w:shd w:val="clear" w:color="auto" w:fill="D0CECE" w:themeFill="background2" w:themeFillShade="E6"/>
            <w:vAlign w:val="center"/>
          </w:tcPr>
          <w:p w14:paraId="2569A1C2" w14:textId="77777777" w:rsidR="00F00E3D" w:rsidRPr="00A04DBE" w:rsidRDefault="00F00E3D" w:rsidP="001E2964">
            <w:pPr>
              <w:spacing w:after="0" w:line="276" w:lineRule="auto"/>
              <w:rPr>
                <w:rFonts w:cstheme="minorHAnsi"/>
                <w:b/>
                <w:bCs/>
                <w:sz w:val="21"/>
                <w:szCs w:val="21"/>
              </w:rPr>
            </w:pPr>
            <w:r w:rsidRPr="00A04DBE">
              <w:rPr>
                <w:rFonts w:cstheme="minorHAnsi"/>
                <w:b/>
                <w:bCs/>
                <w:sz w:val="21"/>
                <w:szCs w:val="21"/>
              </w:rPr>
              <w:t>Corio</w:t>
            </w:r>
          </w:p>
        </w:tc>
        <w:tc>
          <w:tcPr>
            <w:tcW w:w="1531" w:type="dxa"/>
            <w:shd w:val="clear" w:color="auto" w:fill="D0CECE" w:themeFill="background2" w:themeFillShade="E6"/>
            <w:vAlign w:val="center"/>
          </w:tcPr>
          <w:p w14:paraId="048D582E" w14:textId="5B25E297" w:rsidR="00D47D14" w:rsidRPr="00A04DBE" w:rsidRDefault="00F00E3D" w:rsidP="001E2964">
            <w:pPr>
              <w:spacing w:after="0" w:line="276" w:lineRule="auto"/>
              <w:rPr>
                <w:rFonts w:cstheme="minorHAnsi"/>
                <w:b/>
                <w:bCs/>
                <w:sz w:val="21"/>
                <w:szCs w:val="21"/>
              </w:rPr>
            </w:pPr>
            <w:r w:rsidRPr="00A04DBE">
              <w:rPr>
                <w:rFonts w:cstheme="minorHAnsi"/>
                <w:b/>
                <w:bCs/>
                <w:sz w:val="21"/>
                <w:szCs w:val="21"/>
              </w:rPr>
              <w:t>Norlane</w:t>
            </w:r>
            <w:r w:rsidR="00D47D14" w:rsidRPr="00A04DBE">
              <w:rPr>
                <w:rFonts w:cstheme="minorHAnsi"/>
                <w:b/>
                <w:bCs/>
                <w:sz w:val="21"/>
                <w:szCs w:val="21"/>
              </w:rPr>
              <w:t>–</w:t>
            </w:r>
          </w:p>
          <w:p w14:paraId="606F5F0C" w14:textId="01FA90B0" w:rsidR="00F00E3D" w:rsidRPr="00A04DBE" w:rsidRDefault="00F00E3D" w:rsidP="001E2964">
            <w:pPr>
              <w:spacing w:after="0" w:line="276" w:lineRule="auto"/>
              <w:rPr>
                <w:rFonts w:cstheme="minorHAnsi"/>
                <w:b/>
                <w:bCs/>
                <w:sz w:val="21"/>
                <w:szCs w:val="21"/>
              </w:rPr>
            </w:pPr>
            <w:r w:rsidRPr="00A04DBE">
              <w:rPr>
                <w:rFonts w:cstheme="minorHAnsi"/>
                <w:b/>
                <w:bCs/>
                <w:sz w:val="21"/>
                <w:szCs w:val="21"/>
              </w:rPr>
              <w:t>North Shore</w:t>
            </w:r>
          </w:p>
        </w:tc>
        <w:tc>
          <w:tcPr>
            <w:tcW w:w="1530" w:type="dxa"/>
            <w:shd w:val="clear" w:color="auto" w:fill="D0CECE" w:themeFill="background2" w:themeFillShade="E6"/>
            <w:vAlign w:val="center"/>
          </w:tcPr>
          <w:p w14:paraId="2B9E4BD1" w14:textId="77777777" w:rsidR="00F00E3D" w:rsidRPr="00A04DBE" w:rsidRDefault="00F00E3D" w:rsidP="001E2964">
            <w:pPr>
              <w:spacing w:after="0" w:line="276" w:lineRule="auto"/>
              <w:rPr>
                <w:rFonts w:cstheme="minorHAnsi"/>
                <w:b/>
                <w:bCs/>
                <w:sz w:val="21"/>
                <w:szCs w:val="21"/>
              </w:rPr>
            </w:pPr>
            <w:r w:rsidRPr="00A04DBE">
              <w:rPr>
                <w:rFonts w:cstheme="minorHAnsi"/>
                <w:b/>
                <w:bCs/>
                <w:sz w:val="21"/>
                <w:szCs w:val="21"/>
              </w:rPr>
              <w:t>Whittington</w:t>
            </w:r>
          </w:p>
        </w:tc>
        <w:tc>
          <w:tcPr>
            <w:tcW w:w="1531" w:type="dxa"/>
            <w:shd w:val="clear" w:color="auto" w:fill="D0CECE" w:themeFill="background2" w:themeFillShade="E6"/>
            <w:vAlign w:val="center"/>
          </w:tcPr>
          <w:p w14:paraId="72CF5F73" w14:textId="7E0F83A2" w:rsidR="00F00E3D" w:rsidRPr="00A04DBE" w:rsidRDefault="00F00E3D" w:rsidP="001E2964">
            <w:pPr>
              <w:spacing w:after="0" w:line="276" w:lineRule="auto"/>
              <w:rPr>
                <w:rFonts w:cstheme="minorHAnsi"/>
                <w:b/>
                <w:bCs/>
                <w:sz w:val="21"/>
                <w:szCs w:val="21"/>
              </w:rPr>
            </w:pPr>
            <w:r w:rsidRPr="00A04DBE">
              <w:rPr>
                <w:rFonts w:cstheme="minorHAnsi"/>
                <w:b/>
                <w:bCs/>
                <w:sz w:val="21"/>
                <w:szCs w:val="21"/>
              </w:rPr>
              <w:t>City of</w:t>
            </w:r>
            <w:r w:rsidR="00D47D14" w:rsidRPr="00A04DBE">
              <w:rPr>
                <w:rFonts w:cstheme="minorHAnsi"/>
                <w:b/>
                <w:bCs/>
                <w:sz w:val="21"/>
                <w:szCs w:val="21"/>
              </w:rPr>
              <w:t xml:space="preserve"> </w:t>
            </w:r>
            <w:r w:rsidRPr="00A04DBE">
              <w:rPr>
                <w:rFonts w:cstheme="minorHAnsi"/>
                <w:b/>
                <w:bCs/>
                <w:sz w:val="21"/>
                <w:szCs w:val="21"/>
              </w:rPr>
              <w:t>Greater Geelong</w:t>
            </w:r>
          </w:p>
        </w:tc>
      </w:tr>
      <w:tr w:rsidR="00F00E3D" w:rsidRPr="000B5389" w14:paraId="0F0DAF01" w14:textId="77777777" w:rsidTr="71E34AD1">
        <w:trPr>
          <w:trHeight w:val="356"/>
        </w:trPr>
        <w:tc>
          <w:tcPr>
            <w:tcW w:w="3431" w:type="dxa"/>
            <w:vAlign w:val="center"/>
          </w:tcPr>
          <w:p w14:paraId="0D359F5A" w14:textId="3E2AF7AB" w:rsidR="00F00E3D" w:rsidRPr="000B5389" w:rsidRDefault="00D47D14" w:rsidP="001E2964">
            <w:pPr>
              <w:spacing w:after="0" w:line="276" w:lineRule="auto"/>
              <w:rPr>
                <w:rFonts w:asciiTheme="majorHAnsi" w:hAnsiTheme="majorHAnsi" w:cstheme="majorHAnsi"/>
                <w:sz w:val="21"/>
                <w:szCs w:val="21"/>
              </w:rPr>
            </w:pPr>
            <w:r>
              <w:rPr>
                <w:rFonts w:asciiTheme="majorHAnsi" w:hAnsiTheme="majorHAnsi" w:cstheme="majorHAnsi"/>
                <w:sz w:val="21"/>
                <w:szCs w:val="21"/>
              </w:rPr>
              <w:t>Population</w:t>
            </w:r>
          </w:p>
        </w:tc>
        <w:tc>
          <w:tcPr>
            <w:tcW w:w="1530" w:type="dxa"/>
            <w:vAlign w:val="center"/>
          </w:tcPr>
          <w:p w14:paraId="5D2F02AE" w14:textId="2CEE5AE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15</w:t>
            </w:r>
            <w:r w:rsidR="00D47D14">
              <w:rPr>
                <w:rFonts w:asciiTheme="majorHAnsi" w:hAnsiTheme="majorHAnsi" w:cstheme="majorHAnsi"/>
                <w:sz w:val="21"/>
                <w:szCs w:val="21"/>
              </w:rPr>
              <w:t>,</w:t>
            </w:r>
            <w:r w:rsidRPr="000B5389">
              <w:rPr>
                <w:rFonts w:asciiTheme="majorHAnsi" w:hAnsiTheme="majorHAnsi" w:cstheme="majorHAnsi"/>
                <w:sz w:val="21"/>
                <w:szCs w:val="21"/>
              </w:rPr>
              <w:t>296</w:t>
            </w:r>
          </w:p>
        </w:tc>
        <w:tc>
          <w:tcPr>
            <w:tcW w:w="1531" w:type="dxa"/>
            <w:vAlign w:val="center"/>
          </w:tcPr>
          <w:p w14:paraId="6F86B5E2"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8306</w:t>
            </w:r>
          </w:p>
        </w:tc>
        <w:tc>
          <w:tcPr>
            <w:tcW w:w="1530" w:type="dxa"/>
            <w:vAlign w:val="center"/>
          </w:tcPr>
          <w:p w14:paraId="1DFC95CA"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3879</w:t>
            </w:r>
          </w:p>
        </w:tc>
        <w:tc>
          <w:tcPr>
            <w:tcW w:w="1531" w:type="dxa"/>
            <w:vAlign w:val="center"/>
          </w:tcPr>
          <w:p w14:paraId="7E0B356E"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233 429</w:t>
            </w:r>
          </w:p>
        </w:tc>
      </w:tr>
      <w:tr w:rsidR="00F00E3D" w:rsidRPr="000B5389" w14:paraId="3F2949F8" w14:textId="77777777" w:rsidTr="71E34AD1">
        <w:trPr>
          <w:trHeight w:val="356"/>
        </w:trPr>
        <w:tc>
          <w:tcPr>
            <w:tcW w:w="3431" w:type="dxa"/>
            <w:vAlign w:val="center"/>
          </w:tcPr>
          <w:p w14:paraId="1AFF7E86" w14:textId="7EF96CE2"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 xml:space="preserve">Median </w:t>
            </w:r>
            <w:r w:rsidR="00A04DBE">
              <w:rPr>
                <w:rFonts w:asciiTheme="majorHAnsi" w:hAnsiTheme="majorHAnsi" w:cstheme="majorHAnsi"/>
                <w:sz w:val="21"/>
                <w:szCs w:val="21"/>
              </w:rPr>
              <w:t>a</w:t>
            </w:r>
            <w:r w:rsidRPr="000B5389">
              <w:rPr>
                <w:rFonts w:asciiTheme="majorHAnsi" w:hAnsiTheme="majorHAnsi" w:cstheme="majorHAnsi"/>
                <w:sz w:val="21"/>
                <w:szCs w:val="21"/>
              </w:rPr>
              <w:t>ge</w:t>
            </w:r>
          </w:p>
        </w:tc>
        <w:tc>
          <w:tcPr>
            <w:tcW w:w="1530" w:type="dxa"/>
            <w:vAlign w:val="center"/>
          </w:tcPr>
          <w:p w14:paraId="56A5A741"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35</w:t>
            </w:r>
          </w:p>
        </w:tc>
        <w:tc>
          <w:tcPr>
            <w:tcW w:w="1531" w:type="dxa"/>
            <w:vAlign w:val="center"/>
          </w:tcPr>
          <w:p w14:paraId="2C0E5AE1"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39</w:t>
            </w:r>
          </w:p>
        </w:tc>
        <w:tc>
          <w:tcPr>
            <w:tcW w:w="1530" w:type="dxa"/>
            <w:vAlign w:val="center"/>
          </w:tcPr>
          <w:p w14:paraId="3DC143A7"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43</w:t>
            </w:r>
          </w:p>
        </w:tc>
        <w:tc>
          <w:tcPr>
            <w:tcW w:w="1531" w:type="dxa"/>
            <w:vAlign w:val="center"/>
          </w:tcPr>
          <w:p w14:paraId="3A4D364F"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40</w:t>
            </w:r>
          </w:p>
        </w:tc>
      </w:tr>
      <w:tr w:rsidR="00F00E3D" w:rsidRPr="000B5389" w14:paraId="46B27431" w14:textId="77777777" w:rsidTr="71E34AD1">
        <w:trPr>
          <w:trHeight w:val="597"/>
        </w:trPr>
        <w:tc>
          <w:tcPr>
            <w:tcW w:w="3431" w:type="dxa"/>
            <w:vAlign w:val="center"/>
          </w:tcPr>
          <w:p w14:paraId="2E077DB2" w14:textId="55670831" w:rsidR="00F00E3D" w:rsidRPr="000B5389" w:rsidRDefault="00F00E3D" w:rsidP="001E2964">
            <w:pPr>
              <w:spacing w:after="0" w:line="240" w:lineRule="auto"/>
              <w:rPr>
                <w:rFonts w:asciiTheme="majorHAnsi" w:hAnsiTheme="majorHAnsi" w:cstheme="majorHAnsi"/>
                <w:sz w:val="21"/>
                <w:szCs w:val="21"/>
              </w:rPr>
            </w:pPr>
            <w:r w:rsidRPr="000B5389">
              <w:rPr>
                <w:rFonts w:asciiTheme="majorHAnsi" w:hAnsiTheme="majorHAnsi" w:cstheme="majorHAnsi"/>
                <w:sz w:val="21"/>
                <w:szCs w:val="21"/>
              </w:rPr>
              <w:t>Aboriginal and Torres Strait Islander (</w:t>
            </w:r>
            <w:r w:rsidR="00C866CE">
              <w:rPr>
                <w:rFonts w:asciiTheme="majorHAnsi" w:hAnsiTheme="majorHAnsi" w:cstheme="majorHAnsi"/>
                <w:sz w:val="21"/>
                <w:szCs w:val="21"/>
              </w:rPr>
              <w:t xml:space="preserve">number </w:t>
            </w:r>
            <w:r w:rsidRPr="000B5389">
              <w:rPr>
                <w:rFonts w:asciiTheme="majorHAnsi" w:hAnsiTheme="majorHAnsi" w:cstheme="majorHAnsi"/>
                <w:sz w:val="21"/>
                <w:szCs w:val="21"/>
              </w:rPr>
              <w:t>+</w:t>
            </w:r>
            <w:r w:rsidR="00C866CE">
              <w:rPr>
                <w:rFonts w:asciiTheme="majorHAnsi" w:hAnsiTheme="majorHAnsi" w:cstheme="majorHAnsi"/>
                <w:sz w:val="21"/>
                <w:szCs w:val="21"/>
              </w:rPr>
              <w:t xml:space="preserve"> </w:t>
            </w:r>
            <w:r w:rsidRPr="000B5389">
              <w:rPr>
                <w:rFonts w:asciiTheme="majorHAnsi" w:hAnsiTheme="majorHAnsi" w:cstheme="majorHAnsi"/>
                <w:sz w:val="21"/>
                <w:szCs w:val="21"/>
              </w:rPr>
              <w:t>%)</w:t>
            </w:r>
          </w:p>
        </w:tc>
        <w:tc>
          <w:tcPr>
            <w:tcW w:w="1530" w:type="dxa"/>
            <w:vAlign w:val="center"/>
          </w:tcPr>
          <w:p w14:paraId="706DDDE4"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300+2</w:t>
            </w:r>
          </w:p>
        </w:tc>
        <w:tc>
          <w:tcPr>
            <w:tcW w:w="1531" w:type="dxa"/>
            <w:vAlign w:val="center"/>
          </w:tcPr>
          <w:p w14:paraId="41E677ED"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204+2.5</w:t>
            </w:r>
          </w:p>
        </w:tc>
        <w:tc>
          <w:tcPr>
            <w:tcW w:w="1530" w:type="dxa"/>
            <w:vAlign w:val="center"/>
          </w:tcPr>
          <w:p w14:paraId="4193A1EE"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78+2.0</w:t>
            </w:r>
          </w:p>
        </w:tc>
        <w:tc>
          <w:tcPr>
            <w:tcW w:w="1531" w:type="dxa"/>
            <w:vAlign w:val="center"/>
          </w:tcPr>
          <w:p w14:paraId="57B7F157"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2409+1.0</w:t>
            </w:r>
          </w:p>
        </w:tc>
      </w:tr>
      <w:tr w:rsidR="00F00E3D" w:rsidRPr="000B5389" w14:paraId="5BE42B1A" w14:textId="77777777" w:rsidTr="71E34AD1">
        <w:trPr>
          <w:trHeight w:val="347"/>
        </w:trPr>
        <w:tc>
          <w:tcPr>
            <w:tcW w:w="3431" w:type="dxa"/>
            <w:vAlign w:val="center"/>
          </w:tcPr>
          <w:p w14:paraId="4720509F" w14:textId="40F6914E"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 xml:space="preserve">Median </w:t>
            </w:r>
            <w:r w:rsidR="00A04DBE">
              <w:rPr>
                <w:rFonts w:asciiTheme="majorHAnsi" w:hAnsiTheme="majorHAnsi" w:cstheme="majorHAnsi"/>
                <w:sz w:val="21"/>
                <w:szCs w:val="21"/>
              </w:rPr>
              <w:t>w</w:t>
            </w:r>
            <w:r w:rsidRPr="000B5389">
              <w:rPr>
                <w:rFonts w:asciiTheme="majorHAnsi" w:hAnsiTheme="majorHAnsi" w:cstheme="majorHAnsi"/>
                <w:sz w:val="21"/>
                <w:szCs w:val="21"/>
              </w:rPr>
              <w:t xml:space="preserve">eekly </w:t>
            </w:r>
            <w:r w:rsidR="00A04DBE">
              <w:rPr>
                <w:rFonts w:asciiTheme="majorHAnsi" w:hAnsiTheme="majorHAnsi" w:cstheme="majorHAnsi"/>
                <w:sz w:val="21"/>
                <w:szCs w:val="21"/>
              </w:rPr>
              <w:t>h</w:t>
            </w:r>
            <w:r w:rsidRPr="000B5389">
              <w:rPr>
                <w:rFonts w:asciiTheme="majorHAnsi" w:hAnsiTheme="majorHAnsi" w:cstheme="majorHAnsi"/>
                <w:sz w:val="21"/>
                <w:szCs w:val="21"/>
              </w:rPr>
              <w:t xml:space="preserve">ousehold </w:t>
            </w:r>
            <w:r w:rsidR="00A04DBE">
              <w:rPr>
                <w:rFonts w:asciiTheme="majorHAnsi" w:hAnsiTheme="majorHAnsi" w:cstheme="majorHAnsi"/>
                <w:sz w:val="21"/>
                <w:szCs w:val="21"/>
              </w:rPr>
              <w:t>i</w:t>
            </w:r>
            <w:r w:rsidRPr="000B5389">
              <w:rPr>
                <w:rFonts w:asciiTheme="majorHAnsi" w:hAnsiTheme="majorHAnsi" w:cstheme="majorHAnsi"/>
                <w:sz w:val="21"/>
                <w:szCs w:val="21"/>
              </w:rPr>
              <w:t>ncome ($)</w:t>
            </w:r>
          </w:p>
        </w:tc>
        <w:tc>
          <w:tcPr>
            <w:tcW w:w="1530" w:type="dxa"/>
            <w:vAlign w:val="center"/>
          </w:tcPr>
          <w:p w14:paraId="3DC1AEEA"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914</w:t>
            </w:r>
          </w:p>
        </w:tc>
        <w:tc>
          <w:tcPr>
            <w:tcW w:w="1531" w:type="dxa"/>
            <w:vAlign w:val="center"/>
          </w:tcPr>
          <w:p w14:paraId="4A6027F7"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728</w:t>
            </w:r>
          </w:p>
        </w:tc>
        <w:tc>
          <w:tcPr>
            <w:tcW w:w="1530" w:type="dxa"/>
            <w:vAlign w:val="center"/>
          </w:tcPr>
          <w:p w14:paraId="65EA0A37"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795</w:t>
            </w:r>
          </w:p>
        </w:tc>
        <w:tc>
          <w:tcPr>
            <w:tcW w:w="1531" w:type="dxa"/>
            <w:vAlign w:val="center"/>
          </w:tcPr>
          <w:p w14:paraId="5E96D7DD"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1244</w:t>
            </w:r>
          </w:p>
        </w:tc>
      </w:tr>
      <w:tr w:rsidR="00F00E3D" w:rsidRPr="000B5389" w14:paraId="4924C66C" w14:textId="77777777" w:rsidTr="71E34AD1">
        <w:trPr>
          <w:trHeight w:val="567"/>
        </w:trPr>
        <w:tc>
          <w:tcPr>
            <w:tcW w:w="3431" w:type="dxa"/>
            <w:vAlign w:val="center"/>
          </w:tcPr>
          <w:p w14:paraId="5B565AE9" w14:textId="77777777" w:rsidR="00F00E3D" w:rsidRPr="000B5389" w:rsidRDefault="00F00E3D" w:rsidP="001E2964">
            <w:pPr>
              <w:spacing w:after="0" w:line="240" w:lineRule="auto"/>
              <w:rPr>
                <w:rFonts w:asciiTheme="majorHAnsi" w:hAnsiTheme="majorHAnsi" w:cstheme="majorHAnsi"/>
                <w:sz w:val="21"/>
                <w:szCs w:val="21"/>
              </w:rPr>
            </w:pPr>
            <w:r w:rsidRPr="000B5389">
              <w:rPr>
                <w:rFonts w:asciiTheme="majorHAnsi" w:hAnsiTheme="majorHAnsi" w:cstheme="majorHAnsi"/>
                <w:sz w:val="21"/>
                <w:szCs w:val="21"/>
              </w:rPr>
              <w:t xml:space="preserve">Households on low income </w:t>
            </w:r>
          </w:p>
          <w:p w14:paraId="1AEA8E03" w14:textId="37198B9B" w:rsidR="00F00E3D" w:rsidRPr="000B5389" w:rsidRDefault="00F00E3D" w:rsidP="001E2964">
            <w:pPr>
              <w:spacing w:after="0" w:line="240" w:lineRule="auto"/>
              <w:rPr>
                <w:rFonts w:asciiTheme="majorHAnsi" w:hAnsiTheme="majorHAnsi" w:cstheme="majorHAnsi"/>
                <w:sz w:val="21"/>
                <w:szCs w:val="21"/>
              </w:rPr>
            </w:pPr>
            <w:r w:rsidRPr="000B5389">
              <w:rPr>
                <w:rFonts w:asciiTheme="majorHAnsi" w:hAnsiTheme="majorHAnsi" w:cstheme="majorHAnsi"/>
                <w:sz w:val="21"/>
                <w:szCs w:val="21"/>
              </w:rPr>
              <w:t>(Less than $600 pw)</w:t>
            </w:r>
          </w:p>
        </w:tc>
        <w:tc>
          <w:tcPr>
            <w:tcW w:w="1530" w:type="dxa"/>
            <w:vAlign w:val="center"/>
          </w:tcPr>
          <w:p w14:paraId="3356DC1D"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30.1</w:t>
            </w:r>
          </w:p>
        </w:tc>
        <w:tc>
          <w:tcPr>
            <w:tcW w:w="1531" w:type="dxa"/>
            <w:vAlign w:val="center"/>
          </w:tcPr>
          <w:p w14:paraId="264701E7"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42.1</w:t>
            </w:r>
          </w:p>
        </w:tc>
        <w:tc>
          <w:tcPr>
            <w:tcW w:w="1530" w:type="dxa"/>
            <w:vAlign w:val="center"/>
          </w:tcPr>
          <w:p w14:paraId="0D20CBB2"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38.0</w:t>
            </w:r>
          </w:p>
        </w:tc>
        <w:tc>
          <w:tcPr>
            <w:tcW w:w="1531" w:type="dxa"/>
            <w:vAlign w:val="center"/>
          </w:tcPr>
          <w:p w14:paraId="3E3317CC"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24.8</w:t>
            </w:r>
          </w:p>
        </w:tc>
      </w:tr>
      <w:tr w:rsidR="00F00E3D" w:rsidRPr="000B5389" w14:paraId="54BDA4E5" w14:textId="77777777" w:rsidTr="71E34AD1">
        <w:trPr>
          <w:trHeight w:val="356"/>
        </w:trPr>
        <w:tc>
          <w:tcPr>
            <w:tcW w:w="3431" w:type="dxa"/>
            <w:vAlign w:val="center"/>
          </w:tcPr>
          <w:p w14:paraId="22DD0ADB" w14:textId="77777777"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Separated</w:t>
            </w:r>
          </w:p>
        </w:tc>
        <w:tc>
          <w:tcPr>
            <w:tcW w:w="1530" w:type="dxa"/>
            <w:vAlign w:val="center"/>
          </w:tcPr>
          <w:p w14:paraId="14F6436F"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4.2</w:t>
            </w:r>
          </w:p>
        </w:tc>
        <w:tc>
          <w:tcPr>
            <w:tcW w:w="1531" w:type="dxa"/>
            <w:vAlign w:val="center"/>
          </w:tcPr>
          <w:p w14:paraId="4685C4ED"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5.5</w:t>
            </w:r>
          </w:p>
        </w:tc>
        <w:tc>
          <w:tcPr>
            <w:tcW w:w="1530" w:type="dxa"/>
            <w:vAlign w:val="center"/>
          </w:tcPr>
          <w:p w14:paraId="14E09C81"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5.6</w:t>
            </w:r>
          </w:p>
        </w:tc>
        <w:tc>
          <w:tcPr>
            <w:tcW w:w="1531" w:type="dxa"/>
            <w:vAlign w:val="center"/>
          </w:tcPr>
          <w:p w14:paraId="07E0C3A1"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3.4</w:t>
            </w:r>
          </w:p>
        </w:tc>
      </w:tr>
      <w:tr w:rsidR="00F00E3D" w:rsidRPr="000B5389" w14:paraId="42039DDB" w14:textId="77777777" w:rsidTr="71E34AD1">
        <w:trPr>
          <w:trHeight w:val="356"/>
        </w:trPr>
        <w:tc>
          <w:tcPr>
            <w:tcW w:w="3431" w:type="dxa"/>
            <w:vAlign w:val="center"/>
          </w:tcPr>
          <w:p w14:paraId="0A6BC1E2" w14:textId="77777777"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Divorced</w:t>
            </w:r>
          </w:p>
        </w:tc>
        <w:tc>
          <w:tcPr>
            <w:tcW w:w="1530" w:type="dxa"/>
            <w:vAlign w:val="center"/>
          </w:tcPr>
          <w:p w14:paraId="62F9A2A9"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9.8</w:t>
            </w:r>
          </w:p>
        </w:tc>
        <w:tc>
          <w:tcPr>
            <w:tcW w:w="1531" w:type="dxa"/>
            <w:vAlign w:val="center"/>
          </w:tcPr>
          <w:p w14:paraId="1DE22A01"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12.5</w:t>
            </w:r>
          </w:p>
        </w:tc>
        <w:tc>
          <w:tcPr>
            <w:tcW w:w="1530" w:type="dxa"/>
            <w:vAlign w:val="center"/>
          </w:tcPr>
          <w:p w14:paraId="08721E77"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13.2</w:t>
            </w:r>
          </w:p>
        </w:tc>
        <w:tc>
          <w:tcPr>
            <w:tcW w:w="1531" w:type="dxa"/>
            <w:vAlign w:val="center"/>
          </w:tcPr>
          <w:p w14:paraId="1D077441"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8.9</w:t>
            </w:r>
          </w:p>
        </w:tc>
      </w:tr>
      <w:tr w:rsidR="00F00E3D" w:rsidRPr="000B5389" w14:paraId="10BE1991" w14:textId="77777777" w:rsidTr="71E34AD1">
        <w:trPr>
          <w:trHeight w:val="365"/>
        </w:trPr>
        <w:tc>
          <w:tcPr>
            <w:tcW w:w="3431" w:type="dxa"/>
            <w:vAlign w:val="center"/>
          </w:tcPr>
          <w:p w14:paraId="1FCBB5E6" w14:textId="77777777"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One parent family</w:t>
            </w:r>
          </w:p>
        </w:tc>
        <w:tc>
          <w:tcPr>
            <w:tcW w:w="1530" w:type="dxa"/>
            <w:vAlign w:val="center"/>
          </w:tcPr>
          <w:p w14:paraId="650DFC23"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30.4</w:t>
            </w:r>
          </w:p>
        </w:tc>
        <w:tc>
          <w:tcPr>
            <w:tcW w:w="1531" w:type="dxa"/>
            <w:vAlign w:val="center"/>
          </w:tcPr>
          <w:p w14:paraId="648EC4C5"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38.0</w:t>
            </w:r>
          </w:p>
        </w:tc>
        <w:tc>
          <w:tcPr>
            <w:tcW w:w="1530" w:type="dxa"/>
            <w:vAlign w:val="center"/>
          </w:tcPr>
          <w:p w14:paraId="541FB5A6"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33.2</w:t>
            </w:r>
          </w:p>
        </w:tc>
        <w:tc>
          <w:tcPr>
            <w:tcW w:w="1531" w:type="dxa"/>
            <w:vAlign w:val="center"/>
          </w:tcPr>
          <w:p w14:paraId="5F887359"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17.3</w:t>
            </w:r>
          </w:p>
        </w:tc>
      </w:tr>
      <w:tr w:rsidR="00F00E3D" w:rsidRPr="000B5389" w14:paraId="4F447270" w14:textId="77777777" w:rsidTr="71E34AD1">
        <w:trPr>
          <w:trHeight w:val="597"/>
        </w:trPr>
        <w:tc>
          <w:tcPr>
            <w:tcW w:w="3431" w:type="dxa"/>
            <w:vAlign w:val="center"/>
          </w:tcPr>
          <w:p w14:paraId="67E7894B" w14:textId="262892C8" w:rsidR="00F00E3D" w:rsidRPr="000B5389" w:rsidRDefault="00F00E3D" w:rsidP="001E2964">
            <w:pPr>
              <w:spacing w:after="0" w:line="240" w:lineRule="auto"/>
              <w:rPr>
                <w:rFonts w:asciiTheme="majorHAnsi" w:hAnsiTheme="majorHAnsi" w:cstheme="majorHAnsi"/>
                <w:sz w:val="21"/>
                <w:szCs w:val="21"/>
              </w:rPr>
            </w:pPr>
            <w:r w:rsidRPr="000B5389">
              <w:rPr>
                <w:rFonts w:asciiTheme="majorHAnsi" w:hAnsiTheme="majorHAnsi" w:cstheme="majorHAnsi"/>
                <w:sz w:val="21"/>
                <w:szCs w:val="21"/>
              </w:rPr>
              <w:t xml:space="preserve">Highest </w:t>
            </w:r>
            <w:r w:rsidR="00A04DBE">
              <w:rPr>
                <w:rFonts w:asciiTheme="majorHAnsi" w:hAnsiTheme="majorHAnsi" w:cstheme="majorHAnsi"/>
                <w:sz w:val="21"/>
                <w:szCs w:val="21"/>
              </w:rPr>
              <w:t>l</w:t>
            </w:r>
            <w:r w:rsidRPr="000B5389">
              <w:rPr>
                <w:rFonts w:asciiTheme="majorHAnsi" w:hAnsiTheme="majorHAnsi" w:cstheme="majorHAnsi"/>
                <w:sz w:val="21"/>
                <w:szCs w:val="21"/>
              </w:rPr>
              <w:t xml:space="preserve">evel of </w:t>
            </w:r>
            <w:r w:rsidR="00A04DBE">
              <w:rPr>
                <w:rFonts w:asciiTheme="majorHAnsi" w:hAnsiTheme="majorHAnsi" w:cstheme="majorHAnsi"/>
                <w:sz w:val="21"/>
                <w:szCs w:val="21"/>
              </w:rPr>
              <w:t>e</w:t>
            </w:r>
            <w:r w:rsidRPr="000B5389">
              <w:rPr>
                <w:rFonts w:asciiTheme="majorHAnsi" w:hAnsiTheme="majorHAnsi" w:cstheme="majorHAnsi"/>
                <w:sz w:val="21"/>
                <w:szCs w:val="21"/>
              </w:rPr>
              <w:t>ducation</w:t>
            </w:r>
            <w:r w:rsidR="00A04DBE">
              <w:rPr>
                <w:rFonts w:asciiTheme="majorHAnsi" w:hAnsiTheme="majorHAnsi" w:cstheme="majorHAnsi"/>
                <w:sz w:val="21"/>
                <w:szCs w:val="21"/>
              </w:rPr>
              <w:t>:</w:t>
            </w:r>
            <w:r w:rsidRPr="000B5389">
              <w:rPr>
                <w:rFonts w:asciiTheme="majorHAnsi" w:hAnsiTheme="majorHAnsi" w:cstheme="majorHAnsi"/>
                <w:sz w:val="21"/>
                <w:szCs w:val="21"/>
              </w:rPr>
              <w:br/>
            </w:r>
            <w:proofErr w:type="gramStart"/>
            <w:r w:rsidRPr="000B5389">
              <w:rPr>
                <w:rFonts w:asciiTheme="majorHAnsi" w:hAnsiTheme="majorHAnsi" w:cstheme="majorHAnsi"/>
                <w:sz w:val="21"/>
                <w:szCs w:val="21"/>
              </w:rPr>
              <w:t>Bachelor</w:t>
            </w:r>
            <w:proofErr w:type="gramEnd"/>
            <w:r w:rsidRPr="000B5389">
              <w:rPr>
                <w:rFonts w:asciiTheme="majorHAnsi" w:hAnsiTheme="majorHAnsi" w:cstheme="majorHAnsi"/>
                <w:sz w:val="21"/>
                <w:szCs w:val="21"/>
              </w:rPr>
              <w:t xml:space="preserve"> </w:t>
            </w:r>
            <w:r w:rsidR="00A04DBE">
              <w:rPr>
                <w:rFonts w:asciiTheme="majorHAnsi" w:hAnsiTheme="majorHAnsi" w:cstheme="majorHAnsi"/>
                <w:sz w:val="21"/>
                <w:szCs w:val="21"/>
              </w:rPr>
              <w:t xml:space="preserve">degree </w:t>
            </w:r>
            <w:r w:rsidRPr="000B5389">
              <w:rPr>
                <w:rFonts w:asciiTheme="majorHAnsi" w:hAnsiTheme="majorHAnsi" w:cstheme="majorHAnsi"/>
                <w:sz w:val="21"/>
                <w:szCs w:val="21"/>
              </w:rPr>
              <w:t xml:space="preserve">or </w:t>
            </w:r>
            <w:r w:rsidR="00A04DBE">
              <w:rPr>
                <w:rFonts w:asciiTheme="majorHAnsi" w:hAnsiTheme="majorHAnsi" w:cstheme="majorHAnsi"/>
                <w:sz w:val="21"/>
                <w:szCs w:val="21"/>
              </w:rPr>
              <w:t>a</w:t>
            </w:r>
            <w:r w:rsidRPr="000B5389">
              <w:rPr>
                <w:rFonts w:asciiTheme="majorHAnsi" w:hAnsiTheme="majorHAnsi" w:cstheme="majorHAnsi"/>
                <w:sz w:val="21"/>
                <w:szCs w:val="21"/>
              </w:rPr>
              <w:t>bove</w:t>
            </w:r>
          </w:p>
        </w:tc>
        <w:tc>
          <w:tcPr>
            <w:tcW w:w="1530" w:type="dxa"/>
            <w:vAlign w:val="center"/>
          </w:tcPr>
          <w:p w14:paraId="388AF63C"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5.5</w:t>
            </w:r>
          </w:p>
        </w:tc>
        <w:tc>
          <w:tcPr>
            <w:tcW w:w="1531" w:type="dxa"/>
            <w:vAlign w:val="center"/>
          </w:tcPr>
          <w:p w14:paraId="46153C87"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4.7</w:t>
            </w:r>
          </w:p>
        </w:tc>
        <w:tc>
          <w:tcPr>
            <w:tcW w:w="1530" w:type="dxa"/>
            <w:vAlign w:val="center"/>
          </w:tcPr>
          <w:p w14:paraId="37BFF3FD"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6.3</w:t>
            </w:r>
          </w:p>
        </w:tc>
        <w:tc>
          <w:tcPr>
            <w:tcW w:w="1531" w:type="dxa"/>
            <w:vAlign w:val="center"/>
          </w:tcPr>
          <w:p w14:paraId="5A000ECB"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18.7</w:t>
            </w:r>
          </w:p>
        </w:tc>
      </w:tr>
      <w:tr w:rsidR="00F00E3D" w:rsidRPr="000B5389" w14:paraId="3490C901" w14:textId="77777777" w:rsidTr="71E34AD1">
        <w:trPr>
          <w:trHeight w:val="356"/>
        </w:trPr>
        <w:tc>
          <w:tcPr>
            <w:tcW w:w="3431" w:type="dxa"/>
            <w:vAlign w:val="center"/>
          </w:tcPr>
          <w:p w14:paraId="0FE713B9" w14:textId="77777777"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Cert III</w:t>
            </w:r>
          </w:p>
        </w:tc>
        <w:tc>
          <w:tcPr>
            <w:tcW w:w="1530" w:type="dxa"/>
            <w:vAlign w:val="center"/>
          </w:tcPr>
          <w:p w14:paraId="2EEC5C4D"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13.9</w:t>
            </w:r>
          </w:p>
        </w:tc>
        <w:tc>
          <w:tcPr>
            <w:tcW w:w="1531" w:type="dxa"/>
            <w:vAlign w:val="center"/>
          </w:tcPr>
          <w:p w14:paraId="3C9DC360"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12.3</w:t>
            </w:r>
          </w:p>
        </w:tc>
        <w:tc>
          <w:tcPr>
            <w:tcW w:w="1530" w:type="dxa"/>
            <w:vAlign w:val="center"/>
          </w:tcPr>
          <w:p w14:paraId="0B5D05B5"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13.9</w:t>
            </w:r>
          </w:p>
        </w:tc>
        <w:tc>
          <w:tcPr>
            <w:tcW w:w="1531" w:type="dxa"/>
            <w:vAlign w:val="center"/>
          </w:tcPr>
          <w:p w14:paraId="0AB09D57"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14.3</w:t>
            </w:r>
          </w:p>
        </w:tc>
      </w:tr>
      <w:tr w:rsidR="00F00E3D" w:rsidRPr="000B5389" w14:paraId="42402036" w14:textId="77777777" w:rsidTr="71E34AD1">
        <w:trPr>
          <w:trHeight w:val="356"/>
        </w:trPr>
        <w:tc>
          <w:tcPr>
            <w:tcW w:w="3431" w:type="dxa"/>
            <w:vAlign w:val="center"/>
          </w:tcPr>
          <w:p w14:paraId="317C0042" w14:textId="4FE5DDF5"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 xml:space="preserve">Year 9 or </w:t>
            </w:r>
            <w:r w:rsidR="001E2964">
              <w:rPr>
                <w:rFonts w:asciiTheme="majorHAnsi" w:hAnsiTheme="majorHAnsi" w:cstheme="majorHAnsi"/>
                <w:sz w:val="21"/>
                <w:szCs w:val="21"/>
              </w:rPr>
              <w:t>b</w:t>
            </w:r>
            <w:r w:rsidRPr="000B5389">
              <w:rPr>
                <w:rFonts w:asciiTheme="majorHAnsi" w:hAnsiTheme="majorHAnsi" w:cstheme="majorHAnsi"/>
                <w:sz w:val="21"/>
                <w:szCs w:val="21"/>
              </w:rPr>
              <w:t>elow</w:t>
            </w:r>
          </w:p>
        </w:tc>
        <w:tc>
          <w:tcPr>
            <w:tcW w:w="1530" w:type="dxa"/>
            <w:vAlign w:val="center"/>
          </w:tcPr>
          <w:p w14:paraId="7D22B618"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16.5</w:t>
            </w:r>
          </w:p>
        </w:tc>
        <w:tc>
          <w:tcPr>
            <w:tcW w:w="1531" w:type="dxa"/>
            <w:vAlign w:val="center"/>
          </w:tcPr>
          <w:p w14:paraId="37B0B9EB"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19.5</w:t>
            </w:r>
          </w:p>
        </w:tc>
        <w:tc>
          <w:tcPr>
            <w:tcW w:w="1530" w:type="dxa"/>
            <w:vAlign w:val="center"/>
          </w:tcPr>
          <w:p w14:paraId="11D94850"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18.2</w:t>
            </w:r>
          </w:p>
        </w:tc>
        <w:tc>
          <w:tcPr>
            <w:tcW w:w="1531" w:type="dxa"/>
            <w:vAlign w:val="center"/>
          </w:tcPr>
          <w:p w14:paraId="57B7D3AB"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10.0</w:t>
            </w:r>
          </w:p>
        </w:tc>
      </w:tr>
      <w:tr w:rsidR="00F00E3D" w:rsidRPr="000B5389" w14:paraId="17DC9EBA" w14:textId="77777777" w:rsidTr="71E34AD1">
        <w:trPr>
          <w:trHeight w:val="356"/>
        </w:trPr>
        <w:tc>
          <w:tcPr>
            <w:tcW w:w="3431" w:type="dxa"/>
            <w:vAlign w:val="center"/>
          </w:tcPr>
          <w:p w14:paraId="31209055" w14:textId="62CC9ECA" w:rsidR="00F00E3D" w:rsidRPr="000B5389" w:rsidRDefault="001E2964" w:rsidP="001E2964">
            <w:pPr>
              <w:spacing w:after="0" w:line="276" w:lineRule="auto"/>
              <w:rPr>
                <w:rFonts w:asciiTheme="majorHAnsi" w:hAnsiTheme="majorHAnsi" w:cstheme="majorHAnsi"/>
                <w:sz w:val="21"/>
                <w:szCs w:val="21"/>
              </w:rPr>
            </w:pPr>
            <w:r>
              <w:rPr>
                <w:rFonts w:asciiTheme="majorHAnsi" w:hAnsiTheme="majorHAnsi" w:cstheme="majorHAnsi"/>
                <w:sz w:val="21"/>
                <w:szCs w:val="21"/>
              </w:rPr>
              <w:t xml:space="preserve">Occupation: </w:t>
            </w:r>
            <w:r w:rsidR="00F00E3D" w:rsidRPr="000B5389">
              <w:rPr>
                <w:rFonts w:asciiTheme="majorHAnsi" w:hAnsiTheme="majorHAnsi" w:cstheme="majorHAnsi"/>
                <w:sz w:val="21"/>
                <w:szCs w:val="21"/>
              </w:rPr>
              <w:t>Unemployed</w:t>
            </w:r>
          </w:p>
        </w:tc>
        <w:tc>
          <w:tcPr>
            <w:tcW w:w="1530" w:type="dxa"/>
            <w:vAlign w:val="center"/>
          </w:tcPr>
          <w:p w14:paraId="494DE91E"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12.5</w:t>
            </w:r>
          </w:p>
        </w:tc>
        <w:tc>
          <w:tcPr>
            <w:tcW w:w="1531" w:type="dxa"/>
            <w:vAlign w:val="center"/>
          </w:tcPr>
          <w:p w14:paraId="4CF4EE60"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17.9</w:t>
            </w:r>
          </w:p>
        </w:tc>
        <w:tc>
          <w:tcPr>
            <w:tcW w:w="1530" w:type="dxa"/>
            <w:vAlign w:val="center"/>
          </w:tcPr>
          <w:p w14:paraId="6B69C7D7"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10.6</w:t>
            </w:r>
          </w:p>
        </w:tc>
        <w:tc>
          <w:tcPr>
            <w:tcW w:w="1531" w:type="dxa"/>
            <w:vAlign w:val="center"/>
          </w:tcPr>
          <w:p w14:paraId="542483AE"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6.4</w:t>
            </w:r>
          </w:p>
        </w:tc>
      </w:tr>
      <w:tr w:rsidR="00F00E3D" w:rsidRPr="000B5389" w14:paraId="4D4DDCF7" w14:textId="77777777" w:rsidTr="71E34AD1">
        <w:trPr>
          <w:trHeight w:val="356"/>
        </w:trPr>
        <w:tc>
          <w:tcPr>
            <w:tcW w:w="3431" w:type="dxa"/>
            <w:vAlign w:val="center"/>
          </w:tcPr>
          <w:p w14:paraId="05C20A5C" w14:textId="77E45347"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Labourers</w:t>
            </w:r>
          </w:p>
        </w:tc>
        <w:tc>
          <w:tcPr>
            <w:tcW w:w="1530" w:type="dxa"/>
            <w:vAlign w:val="center"/>
          </w:tcPr>
          <w:p w14:paraId="00141529"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22.4</w:t>
            </w:r>
          </w:p>
        </w:tc>
        <w:tc>
          <w:tcPr>
            <w:tcW w:w="1531" w:type="dxa"/>
            <w:vAlign w:val="center"/>
          </w:tcPr>
          <w:p w14:paraId="1D7C800B"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21.8</w:t>
            </w:r>
          </w:p>
        </w:tc>
        <w:tc>
          <w:tcPr>
            <w:tcW w:w="1530" w:type="dxa"/>
            <w:vAlign w:val="center"/>
          </w:tcPr>
          <w:p w14:paraId="4C48D7AD"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20.1</w:t>
            </w:r>
          </w:p>
        </w:tc>
        <w:tc>
          <w:tcPr>
            <w:tcW w:w="1531" w:type="dxa"/>
            <w:vAlign w:val="center"/>
          </w:tcPr>
          <w:p w14:paraId="2186D95F"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10.3</w:t>
            </w:r>
          </w:p>
        </w:tc>
      </w:tr>
      <w:tr w:rsidR="00F00E3D" w:rsidRPr="000B5389" w14:paraId="35DCE640" w14:textId="77777777" w:rsidTr="71E34AD1">
        <w:trPr>
          <w:trHeight w:val="356"/>
        </w:trPr>
        <w:tc>
          <w:tcPr>
            <w:tcW w:w="3431" w:type="dxa"/>
            <w:vAlign w:val="center"/>
          </w:tcPr>
          <w:p w14:paraId="3F22C633" w14:textId="3D237EDB"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 xml:space="preserve">Technicians and </w:t>
            </w:r>
            <w:r w:rsidR="00A04DBE">
              <w:rPr>
                <w:rFonts w:asciiTheme="majorHAnsi" w:hAnsiTheme="majorHAnsi" w:cstheme="majorHAnsi"/>
                <w:sz w:val="21"/>
                <w:szCs w:val="21"/>
              </w:rPr>
              <w:t>t</w:t>
            </w:r>
            <w:r w:rsidRPr="000B5389">
              <w:rPr>
                <w:rFonts w:asciiTheme="majorHAnsi" w:hAnsiTheme="majorHAnsi" w:cstheme="majorHAnsi"/>
                <w:sz w:val="21"/>
                <w:szCs w:val="21"/>
              </w:rPr>
              <w:t>rades</w:t>
            </w:r>
          </w:p>
        </w:tc>
        <w:tc>
          <w:tcPr>
            <w:tcW w:w="1530" w:type="dxa"/>
            <w:vAlign w:val="center"/>
          </w:tcPr>
          <w:p w14:paraId="341A5D88"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14.6</w:t>
            </w:r>
          </w:p>
        </w:tc>
        <w:tc>
          <w:tcPr>
            <w:tcW w:w="1531" w:type="dxa"/>
            <w:vAlign w:val="center"/>
          </w:tcPr>
          <w:p w14:paraId="7282FD6D"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15.9</w:t>
            </w:r>
          </w:p>
        </w:tc>
        <w:tc>
          <w:tcPr>
            <w:tcW w:w="1530" w:type="dxa"/>
            <w:vAlign w:val="center"/>
          </w:tcPr>
          <w:p w14:paraId="26412254"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16.6</w:t>
            </w:r>
          </w:p>
        </w:tc>
        <w:tc>
          <w:tcPr>
            <w:tcW w:w="1531" w:type="dxa"/>
            <w:vAlign w:val="center"/>
          </w:tcPr>
          <w:p w14:paraId="2BCEC15D"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15.0</w:t>
            </w:r>
          </w:p>
        </w:tc>
      </w:tr>
      <w:tr w:rsidR="00F00E3D" w:rsidRPr="000B5389" w14:paraId="53858CEA" w14:textId="77777777" w:rsidTr="71E34AD1">
        <w:trPr>
          <w:trHeight w:val="356"/>
        </w:trPr>
        <w:tc>
          <w:tcPr>
            <w:tcW w:w="3431" w:type="dxa"/>
            <w:vAlign w:val="center"/>
          </w:tcPr>
          <w:p w14:paraId="7679FA71" w14:textId="79458D5E"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Comm</w:t>
            </w:r>
            <w:r w:rsidR="00A04DBE">
              <w:rPr>
                <w:rFonts w:asciiTheme="majorHAnsi" w:hAnsiTheme="majorHAnsi" w:cstheme="majorHAnsi"/>
                <w:sz w:val="21"/>
                <w:szCs w:val="21"/>
              </w:rPr>
              <w:t>unity and</w:t>
            </w:r>
            <w:r w:rsidRPr="000B5389">
              <w:rPr>
                <w:rFonts w:asciiTheme="majorHAnsi" w:hAnsiTheme="majorHAnsi" w:cstheme="majorHAnsi"/>
                <w:sz w:val="21"/>
                <w:szCs w:val="21"/>
              </w:rPr>
              <w:t xml:space="preserve"> </w:t>
            </w:r>
            <w:r w:rsidR="00A04DBE">
              <w:rPr>
                <w:rFonts w:asciiTheme="majorHAnsi" w:hAnsiTheme="majorHAnsi" w:cstheme="majorHAnsi"/>
                <w:sz w:val="21"/>
                <w:szCs w:val="21"/>
              </w:rPr>
              <w:t>p</w:t>
            </w:r>
            <w:r w:rsidRPr="000B5389">
              <w:rPr>
                <w:rFonts w:asciiTheme="majorHAnsi" w:hAnsiTheme="majorHAnsi" w:cstheme="majorHAnsi"/>
                <w:sz w:val="21"/>
                <w:szCs w:val="21"/>
              </w:rPr>
              <w:t xml:space="preserve">ersonal </w:t>
            </w:r>
            <w:r w:rsidR="00A04DBE">
              <w:rPr>
                <w:rFonts w:asciiTheme="majorHAnsi" w:hAnsiTheme="majorHAnsi" w:cstheme="majorHAnsi"/>
                <w:sz w:val="21"/>
                <w:szCs w:val="21"/>
              </w:rPr>
              <w:t>s</w:t>
            </w:r>
            <w:r w:rsidRPr="000B5389">
              <w:rPr>
                <w:rFonts w:asciiTheme="majorHAnsi" w:hAnsiTheme="majorHAnsi" w:cstheme="majorHAnsi"/>
                <w:sz w:val="21"/>
                <w:szCs w:val="21"/>
              </w:rPr>
              <w:t>ervice</w:t>
            </w:r>
            <w:r w:rsidR="00A04DBE">
              <w:rPr>
                <w:rFonts w:asciiTheme="majorHAnsi" w:hAnsiTheme="majorHAnsi" w:cstheme="majorHAnsi"/>
                <w:sz w:val="21"/>
                <w:szCs w:val="21"/>
              </w:rPr>
              <w:t>s</w:t>
            </w:r>
          </w:p>
        </w:tc>
        <w:tc>
          <w:tcPr>
            <w:tcW w:w="1530" w:type="dxa"/>
            <w:vAlign w:val="center"/>
          </w:tcPr>
          <w:p w14:paraId="4089AF0C"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14.1</w:t>
            </w:r>
          </w:p>
        </w:tc>
        <w:tc>
          <w:tcPr>
            <w:tcW w:w="1531" w:type="dxa"/>
            <w:vAlign w:val="center"/>
          </w:tcPr>
          <w:p w14:paraId="7D0D2BB5"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15.4</w:t>
            </w:r>
          </w:p>
        </w:tc>
        <w:tc>
          <w:tcPr>
            <w:tcW w:w="1530" w:type="dxa"/>
            <w:vAlign w:val="center"/>
          </w:tcPr>
          <w:p w14:paraId="7D52C279"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16.5</w:t>
            </w:r>
          </w:p>
        </w:tc>
        <w:tc>
          <w:tcPr>
            <w:tcW w:w="1531" w:type="dxa"/>
            <w:vAlign w:val="center"/>
          </w:tcPr>
          <w:p w14:paraId="6AFBA8BF"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12.9</w:t>
            </w:r>
          </w:p>
        </w:tc>
      </w:tr>
      <w:tr w:rsidR="00F00E3D" w:rsidRPr="000B5389" w14:paraId="710921E9" w14:textId="77777777" w:rsidTr="71E34AD1">
        <w:trPr>
          <w:trHeight w:val="356"/>
        </w:trPr>
        <w:tc>
          <w:tcPr>
            <w:tcW w:w="3431" w:type="dxa"/>
            <w:vAlign w:val="center"/>
          </w:tcPr>
          <w:p w14:paraId="457BCBA4" w14:textId="352E98DF"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 xml:space="preserve">Machinery </w:t>
            </w:r>
            <w:r w:rsidR="00A04DBE">
              <w:rPr>
                <w:rFonts w:asciiTheme="majorHAnsi" w:hAnsiTheme="majorHAnsi" w:cstheme="majorHAnsi"/>
                <w:sz w:val="21"/>
                <w:szCs w:val="21"/>
              </w:rPr>
              <w:t>o</w:t>
            </w:r>
            <w:r w:rsidRPr="000B5389">
              <w:rPr>
                <w:rFonts w:asciiTheme="majorHAnsi" w:hAnsiTheme="majorHAnsi" w:cstheme="majorHAnsi"/>
                <w:sz w:val="21"/>
                <w:szCs w:val="21"/>
              </w:rPr>
              <w:t>perators</w:t>
            </w:r>
            <w:r w:rsidR="00A04DBE">
              <w:rPr>
                <w:rFonts w:asciiTheme="majorHAnsi" w:hAnsiTheme="majorHAnsi" w:cstheme="majorHAnsi"/>
                <w:sz w:val="21"/>
                <w:szCs w:val="21"/>
              </w:rPr>
              <w:t xml:space="preserve"> and d</w:t>
            </w:r>
            <w:r w:rsidRPr="000B5389">
              <w:rPr>
                <w:rFonts w:asciiTheme="majorHAnsi" w:hAnsiTheme="majorHAnsi" w:cstheme="majorHAnsi"/>
                <w:sz w:val="21"/>
                <w:szCs w:val="21"/>
              </w:rPr>
              <w:t>rivers</w:t>
            </w:r>
          </w:p>
        </w:tc>
        <w:tc>
          <w:tcPr>
            <w:tcW w:w="1530" w:type="dxa"/>
            <w:vAlign w:val="center"/>
          </w:tcPr>
          <w:p w14:paraId="39403C3A"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13.6</w:t>
            </w:r>
          </w:p>
        </w:tc>
        <w:tc>
          <w:tcPr>
            <w:tcW w:w="1531" w:type="dxa"/>
            <w:vAlign w:val="center"/>
          </w:tcPr>
          <w:p w14:paraId="70535B41"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12.4</w:t>
            </w:r>
          </w:p>
        </w:tc>
        <w:tc>
          <w:tcPr>
            <w:tcW w:w="1530" w:type="dxa"/>
            <w:vAlign w:val="center"/>
          </w:tcPr>
          <w:p w14:paraId="48E0B2D1"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10.8</w:t>
            </w:r>
          </w:p>
        </w:tc>
        <w:tc>
          <w:tcPr>
            <w:tcW w:w="1531" w:type="dxa"/>
            <w:vAlign w:val="center"/>
          </w:tcPr>
          <w:p w14:paraId="6F38CC79"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6.0</w:t>
            </w:r>
          </w:p>
        </w:tc>
      </w:tr>
      <w:tr w:rsidR="00F00E3D" w:rsidRPr="000B5389" w14:paraId="0569AD13" w14:textId="77777777" w:rsidTr="71E34AD1">
        <w:trPr>
          <w:trHeight w:val="356"/>
        </w:trPr>
        <w:tc>
          <w:tcPr>
            <w:tcW w:w="3431" w:type="dxa"/>
            <w:vAlign w:val="center"/>
          </w:tcPr>
          <w:p w14:paraId="0666CD7A" w14:textId="77777777"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Professionals</w:t>
            </w:r>
          </w:p>
        </w:tc>
        <w:tc>
          <w:tcPr>
            <w:tcW w:w="1530" w:type="dxa"/>
            <w:vAlign w:val="center"/>
          </w:tcPr>
          <w:p w14:paraId="30E56F1A"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7.6</w:t>
            </w:r>
          </w:p>
        </w:tc>
        <w:tc>
          <w:tcPr>
            <w:tcW w:w="1531" w:type="dxa"/>
            <w:vAlign w:val="center"/>
          </w:tcPr>
          <w:p w14:paraId="6CE4119C"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7.3</w:t>
            </w:r>
          </w:p>
        </w:tc>
        <w:tc>
          <w:tcPr>
            <w:tcW w:w="1530" w:type="dxa"/>
            <w:vAlign w:val="center"/>
          </w:tcPr>
          <w:p w14:paraId="04846D5C"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7.8</w:t>
            </w:r>
          </w:p>
        </w:tc>
        <w:tc>
          <w:tcPr>
            <w:tcW w:w="1531" w:type="dxa"/>
            <w:vAlign w:val="center"/>
          </w:tcPr>
          <w:p w14:paraId="6764143F"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20.8</w:t>
            </w:r>
          </w:p>
        </w:tc>
      </w:tr>
      <w:tr w:rsidR="00F00E3D" w:rsidRPr="000B5389" w14:paraId="0D8F16F8" w14:textId="77777777" w:rsidTr="71E34AD1">
        <w:trPr>
          <w:trHeight w:val="356"/>
        </w:trPr>
        <w:tc>
          <w:tcPr>
            <w:tcW w:w="3431" w:type="dxa"/>
            <w:vAlign w:val="center"/>
          </w:tcPr>
          <w:p w14:paraId="422172DE" w14:textId="77777777"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Managers</w:t>
            </w:r>
          </w:p>
        </w:tc>
        <w:tc>
          <w:tcPr>
            <w:tcW w:w="1530" w:type="dxa"/>
            <w:vAlign w:val="center"/>
          </w:tcPr>
          <w:p w14:paraId="184074A2"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5.2</w:t>
            </w:r>
          </w:p>
        </w:tc>
        <w:tc>
          <w:tcPr>
            <w:tcW w:w="1531" w:type="dxa"/>
            <w:vAlign w:val="center"/>
          </w:tcPr>
          <w:p w14:paraId="7BC7375A"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5.2</w:t>
            </w:r>
          </w:p>
        </w:tc>
        <w:tc>
          <w:tcPr>
            <w:tcW w:w="1530" w:type="dxa"/>
            <w:vAlign w:val="center"/>
          </w:tcPr>
          <w:p w14:paraId="24A362FF"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4.8</w:t>
            </w:r>
          </w:p>
        </w:tc>
        <w:tc>
          <w:tcPr>
            <w:tcW w:w="1531" w:type="dxa"/>
            <w:vAlign w:val="center"/>
          </w:tcPr>
          <w:p w14:paraId="2B19884F"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10.7</w:t>
            </w:r>
          </w:p>
        </w:tc>
      </w:tr>
      <w:tr w:rsidR="00F00E3D" w:rsidRPr="000B5389" w14:paraId="61BACA7A" w14:textId="77777777" w:rsidTr="71E34AD1">
        <w:trPr>
          <w:trHeight w:val="597"/>
        </w:trPr>
        <w:tc>
          <w:tcPr>
            <w:tcW w:w="3431" w:type="dxa"/>
            <w:vAlign w:val="center"/>
          </w:tcPr>
          <w:p w14:paraId="4570DA85" w14:textId="77777777" w:rsidR="00F00E3D" w:rsidRPr="000B5389" w:rsidRDefault="00F00E3D" w:rsidP="001E2964">
            <w:pPr>
              <w:spacing w:after="0" w:line="240" w:lineRule="auto"/>
              <w:rPr>
                <w:rFonts w:asciiTheme="majorHAnsi" w:hAnsiTheme="majorHAnsi" w:cstheme="majorHAnsi"/>
                <w:sz w:val="21"/>
                <w:szCs w:val="21"/>
              </w:rPr>
            </w:pPr>
            <w:r w:rsidRPr="000B5389">
              <w:rPr>
                <w:rFonts w:asciiTheme="majorHAnsi" w:hAnsiTheme="majorHAnsi" w:cstheme="majorHAnsi"/>
                <w:sz w:val="21"/>
                <w:szCs w:val="21"/>
              </w:rPr>
              <w:t>Provide unpaid assistance to a person with a disability (%)</w:t>
            </w:r>
          </w:p>
        </w:tc>
        <w:tc>
          <w:tcPr>
            <w:tcW w:w="1530" w:type="dxa"/>
            <w:vAlign w:val="center"/>
          </w:tcPr>
          <w:p w14:paraId="157C0386"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12.8</w:t>
            </w:r>
          </w:p>
        </w:tc>
        <w:tc>
          <w:tcPr>
            <w:tcW w:w="1531" w:type="dxa"/>
            <w:vAlign w:val="center"/>
          </w:tcPr>
          <w:p w14:paraId="519FF209"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10.9</w:t>
            </w:r>
          </w:p>
        </w:tc>
        <w:tc>
          <w:tcPr>
            <w:tcW w:w="1530" w:type="dxa"/>
            <w:vAlign w:val="center"/>
          </w:tcPr>
          <w:p w14:paraId="0015329E"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13.6</w:t>
            </w:r>
          </w:p>
        </w:tc>
        <w:tc>
          <w:tcPr>
            <w:tcW w:w="1531" w:type="dxa"/>
            <w:vAlign w:val="center"/>
          </w:tcPr>
          <w:p w14:paraId="484387BA"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12.5</w:t>
            </w:r>
          </w:p>
        </w:tc>
      </w:tr>
      <w:tr w:rsidR="00F00E3D" w:rsidRPr="000B5389" w14:paraId="05BD4DE1" w14:textId="77777777" w:rsidTr="71E34AD1">
        <w:trPr>
          <w:trHeight w:val="356"/>
        </w:trPr>
        <w:tc>
          <w:tcPr>
            <w:tcW w:w="3431" w:type="dxa"/>
            <w:vAlign w:val="center"/>
          </w:tcPr>
          <w:p w14:paraId="55F6A4FA" w14:textId="10CAF66E"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Housing</w:t>
            </w:r>
            <w:r w:rsidR="00A04DBE">
              <w:rPr>
                <w:rFonts w:asciiTheme="majorHAnsi" w:hAnsiTheme="majorHAnsi" w:cstheme="majorHAnsi"/>
                <w:sz w:val="21"/>
                <w:szCs w:val="21"/>
              </w:rPr>
              <w:t xml:space="preserve">: </w:t>
            </w:r>
            <w:r w:rsidR="001E2964">
              <w:rPr>
                <w:rFonts w:asciiTheme="majorHAnsi" w:hAnsiTheme="majorHAnsi" w:cstheme="majorHAnsi"/>
                <w:sz w:val="21"/>
                <w:szCs w:val="21"/>
              </w:rPr>
              <w:t>O</w:t>
            </w:r>
            <w:r w:rsidRPr="000B5389">
              <w:rPr>
                <w:rFonts w:asciiTheme="majorHAnsi" w:hAnsiTheme="majorHAnsi" w:cstheme="majorHAnsi"/>
                <w:sz w:val="21"/>
                <w:szCs w:val="21"/>
              </w:rPr>
              <w:t>wned outright</w:t>
            </w:r>
          </w:p>
        </w:tc>
        <w:tc>
          <w:tcPr>
            <w:tcW w:w="1530" w:type="dxa"/>
            <w:vAlign w:val="center"/>
          </w:tcPr>
          <w:p w14:paraId="7223F1EB" w14:textId="369BBF25" w:rsidR="00F00E3D" w:rsidRPr="000B5389" w:rsidRDefault="16DA5520" w:rsidP="71E34AD1">
            <w:pPr>
              <w:spacing w:after="0" w:line="276" w:lineRule="auto"/>
              <w:jc w:val="center"/>
              <w:rPr>
                <w:rFonts w:asciiTheme="majorHAnsi" w:hAnsiTheme="majorHAnsi" w:cstheme="majorBidi"/>
                <w:sz w:val="21"/>
                <w:szCs w:val="21"/>
              </w:rPr>
            </w:pPr>
            <w:r w:rsidRPr="71E34AD1">
              <w:rPr>
                <w:rFonts w:asciiTheme="majorHAnsi" w:hAnsiTheme="majorHAnsi" w:cstheme="majorBidi"/>
                <w:sz w:val="21"/>
                <w:szCs w:val="21"/>
              </w:rPr>
              <w:t>27.2</w:t>
            </w:r>
          </w:p>
        </w:tc>
        <w:tc>
          <w:tcPr>
            <w:tcW w:w="1531" w:type="dxa"/>
            <w:vAlign w:val="center"/>
          </w:tcPr>
          <w:p w14:paraId="6804C22C" w14:textId="343819E9" w:rsidR="00F00E3D" w:rsidRPr="000B5389" w:rsidRDefault="00F00E3D" w:rsidP="71E34AD1">
            <w:pPr>
              <w:spacing w:after="0" w:line="276" w:lineRule="auto"/>
              <w:jc w:val="center"/>
              <w:rPr>
                <w:rFonts w:asciiTheme="majorHAnsi" w:hAnsiTheme="majorHAnsi" w:cstheme="majorBidi"/>
                <w:sz w:val="21"/>
                <w:szCs w:val="21"/>
              </w:rPr>
            </w:pPr>
            <w:r w:rsidRPr="71E34AD1">
              <w:rPr>
                <w:rFonts w:asciiTheme="majorHAnsi" w:hAnsiTheme="majorHAnsi" w:cstheme="majorBidi"/>
                <w:sz w:val="21"/>
                <w:szCs w:val="21"/>
              </w:rPr>
              <w:t>2</w:t>
            </w:r>
            <w:r w:rsidR="344D7AC8" w:rsidRPr="71E34AD1">
              <w:rPr>
                <w:rFonts w:asciiTheme="majorHAnsi" w:hAnsiTheme="majorHAnsi" w:cstheme="majorBidi"/>
                <w:sz w:val="21"/>
                <w:szCs w:val="21"/>
              </w:rPr>
              <w:t>2</w:t>
            </w:r>
            <w:r w:rsidRPr="71E34AD1">
              <w:rPr>
                <w:rFonts w:asciiTheme="majorHAnsi" w:hAnsiTheme="majorHAnsi" w:cstheme="majorBidi"/>
                <w:sz w:val="21"/>
                <w:szCs w:val="21"/>
              </w:rPr>
              <w:t>.9</w:t>
            </w:r>
          </w:p>
        </w:tc>
        <w:tc>
          <w:tcPr>
            <w:tcW w:w="1530" w:type="dxa"/>
            <w:vAlign w:val="center"/>
          </w:tcPr>
          <w:p w14:paraId="199A114A" w14:textId="1BEBB195" w:rsidR="00F00E3D" w:rsidRPr="000B5389" w:rsidRDefault="091A36DA" w:rsidP="71E34AD1">
            <w:pPr>
              <w:spacing w:after="0" w:line="276" w:lineRule="auto"/>
              <w:jc w:val="center"/>
              <w:rPr>
                <w:rFonts w:asciiTheme="majorHAnsi" w:hAnsiTheme="majorHAnsi" w:cstheme="majorBidi"/>
                <w:sz w:val="21"/>
                <w:szCs w:val="21"/>
              </w:rPr>
            </w:pPr>
            <w:r w:rsidRPr="71E34AD1">
              <w:rPr>
                <w:rFonts w:asciiTheme="majorHAnsi" w:hAnsiTheme="majorHAnsi" w:cstheme="majorBidi"/>
                <w:sz w:val="21"/>
                <w:szCs w:val="21"/>
              </w:rPr>
              <w:t>27.9</w:t>
            </w:r>
          </w:p>
        </w:tc>
        <w:tc>
          <w:tcPr>
            <w:tcW w:w="1531" w:type="dxa"/>
            <w:vAlign w:val="center"/>
          </w:tcPr>
          <w:p w14:paraId="46960EA9" w14:textId="60397366" w:rsidR="00F00E3D" w:rsidRPr="000B5389" w:rsidRDefault="00F00E3D" w:rsidP="71E34AD1">
            <w:pPr>
              <w:spacing w:after="0" w:line="276" w:lineRule="auto"/>
              <w:jc w:val="center"/>
              <w:rPr>
                <w:rFonts w:asciiTheme="majorHAnsi" w:hAnsiTheme="majorHAnsi" w:cstheme="majorBidi"/>
                <w:sz w:val="21"/>
                <w:szCs w:val="21"/>
              </w:rPr>
            </w:pPr>
            <w:r w:rsidRPr="71E34AD1">
              <w:rPr>
                <w:rFonts w:asciiTheme="majorHAnsi" w:hAnsiTheme="majorHAnsi" w:cstheme="majorBidi"/>
                <w:sz w:val="21"/>
                <w:szCs w:val="21"/>
              </w:rPr>
              <w:t>3</w:t>
            </w:r>
            <w:r w:rsidR="475A90DD" w:rsidRPr="71E34AD1">
              <w:rPr>
                <w:rFonts w:asciiTheme="majorHAnsi" w:hAnsiTheme="majorHAnsi" w:cstheme="majorBidi"/>
                <w:sz w:val="21"/>
                <w:szCs w:val="21"/>
              </w:rPr>
              <w:t>3</w:t>
            </w:r>
            <w:r w:rsidRPr="71E34AD1">
              <w:rPr>
                <w:rFonts w:asciiTheme="majorHAnsi" w:hAnsiTheme="majorHAnsi" w:cstheme="majorBidi"/>
                <w:sz w:val="21"/>
                <w:szCs w:val="21"/>
              </w:rPr>
              <w:t>.</w:t>
            </w:r>
            <w:r w:rsidR="6E6B0CC0" w:rsidRPr="71E34AD1">
              <w:rPr>
                <w:rFonts w:asciiTheme="majorHAnsi" w:hAnsiTheme="majorHAnsi" w:cstheme="majorBidi"/>
                <w:sz w:val="21"/>
                <w:szCs w:val="21"/>
              </w:rPr>
              <w:t>2</w:t>
            </w:r>
          </w:p>
        </w:tc>
      </w:tr>
      <w:tr w:rsidR="00F00E3D" w:rsidRPr="000B5389" w14:paraId="059DEF0B" w14:textId="77777777" w:rsidTr="71E34AD1">
        <w:trPr>
          <w:trHeight w:val="356"/>
        </w:trPr>
        <w:tc>
          <w:tcPr>
            <w:tcW w:w="3431" w:type="dxa"/>
            <w:vAlign w:val="center"/>
          </w:tcPr>
          <w:p w14:paraId="4A61541B" w14:textId="4AE17536" w:rsidR="00F00E3D" w:rsidRPr="000B5389" w:rsidRDefault="00F00E3D" w:rsidP="71E34AD1">
            <w:pPr>
              <w:spacing w:after="0" w:line="276" w:lineRule="auto"/>
              <w:rPr>
                <w:rFonts w:asciiTheme="majorHAnsi" w:hAnsiTheme="majorHAnsi" w:cstheme="majorBidi"/>
                <w:sz w:val="21"/>
                <w:szCs w:val="21"/>
              </w:rPr>
            </w:pPr>
            <w:r w:rsidRPr="71E34AD1">
              <w:rPr>
                <w:rFonts w:asciiTheme="majorHAnsi" w:hAnsiTheme="majorHAnsi" w:cstheme="majorBidi"/>
                <w:sz w:val="21"/>
                <w:szCs w:val="21"/>
              </w:rPr>
              <w:t>Rented</w:t>
            </w:r>
            <w:r w:rsidR="41F3B635" w:rsidRPr="71E34AD1">
              <w:rPr>
                <w:rFonts w:asciiTheme="majorHAnsi" w:hAnsiTheme="majorHAnsi" w:cstheme="majorBidi"/>
                <w:sz w:val="21"/>
                <w:szCs w:val="21"/>
              </w:rPr>
              <w:t xml:space="preserve"> - Private</w:t>
            </w:r>
          </w:p>
        </w:tc>
        <w:tc>
          <w:tcPr>
            <w:tcW w:w="1530" w:type="dxa"/>
            <w:vAlign w:val="center"/>
          </w:tcPr>
          <w:p w14:paraId="12E45F76" w14:textId="46EAEAA6" w:rsidR="00F00E3D" w:rsidRPr="000B5389" w:rsidRDefault="3462E440" w:rsidP="71E34AD1">
            <w:pPr>
              <w:spacing w:after="0" w:line="276" w:lineRule="auto"/>
              <w:jc w:val="center"/>
              <w:rPr>
                <w:rFonts w:asciiTheme="majorHAnsi" w:hAnsiTheme="majorHAnsi" w:cstheme="majorBidi"/>
                <w:sz w:val="21"/>
                <w:szCs w:val="21"/>
              </w:rPr>
            </w:pPr>
            <w:r w:rsidRPr="71E34AD1">
              <w:rPr>
                <w:rFonts w:asciiTheme="majorHAnsi" w:hAnsiTheme="majorHAnsi" w:cstheme="majorBidi"/>
                <w:sz w:val="21"/>
                <w:szCs w:val="21"/>
              </w:rPr>
              <w:t>26.1</w:t>
            </w:r>
          </w:p>
        </w:tc>
        <w:tc>
          <w:tcPr>
            <w:tcW w:w="1531" w:type="dxa"/>
            <w:vAlign w:val="center"/>
          </w:tcPr>
          <w:p w14:paraId="5E2EE890" w14:textId="4A34291F" w:rsidR="00F00E3D" w:rsidRPr="000B5389" w:rsidRDefault="3462E440" w:rsidP="71E34AD1">
            <w:pPr>
              <w:spacing w:after="0" w:line="276" w:lineRule="auto"/>
              <w:jc w:val="center"/>
              <w:rPr>
                <w:rFonts w:asciiTheme="majorHAnsi" w:hAnsiTheme="majorHAnsi" w:cstheme="majorBidi"/>
                <w:sz w:val="21"/>
                <w:szCs w:val="21"/>
              </w:rPr>
            </w:pPr>
            <w:r w:rsidRPr="71E34AD1">
              <w:rPr>
                <w:rFonts w:asciiTheme="majorHAnsi" w:hAnsiTheme="majorHAnsi" w:cstheme="majorBidi"/>
                <w:sz w:val="21"/>
                <w:szCs w:val="21"/>
              </w:rPr>
              <w:t>25.1</w:t>
            </w:r>
          </w:p>
        </w:tc>
        <w:tc>
          <w:tcPr>
            <w:tcW w:w="1530" w:type="dxa"/>
            <w:vAlign w:val="center"/>
          </w:tcPr>
          <w:p w14:paraId="489CCD14" w14:textId="797BC0F7" w:rsidR="00F00E3D" w:rsidRPr="000B5389" w:rsidRDefault="3462E440" w:rsidP="71E34AD1">
            <w:pPr>
              <w:spacing w:after="0" w:line="276" w:lineRule="auto"/>
              <w:jc w:val="center"/>
              <w:rPr>
                <w:rFonts w:asciiTheme="majorHAnsi" w:hAnsiTheme="majorHAnsi" w:cstheme="majorBidi"/>
                <w:sz w:val="21"/>
                <w:szCs w:val="21"/>
              </w:rPr>
            </w:pPr>
            <w:r w:rsidRPr="71E34AD1">
              <w:rPr>
                <w:rFonts w:asciiTheme="majorHAnsi" w:hAnsiTheme="majorHAnsi" w:cstheme="majorBidi"/>
                <w:sz w:val="21"/>
                <w:szCs w:val="21"/>
              </w:rPr>
              <w:t>19.4</w:t>
            </w:r>
          </w:p>
        </w:tc>
        <w:tc>
          <w:tcPr>
            <w:tcW w:w="1531" w:type="dxa"/>
            <w:vAlign w:val="center"/>
          </w:tcPr>
          <w:p w14:paraId="42746044" w14:textId="1DB1C820" w:rsidR="00F00E3D" w:rsidRPr="000B5389" w:rsidRDefault="00F00E3D" w:rsidP="71E34AD1">
            <w:pPr>
              <w:spacing w:after="0" w:line="276" w:lineRule="auto"/>
              <w:jc w:val="center"/>
              <w:rPr>
                <w:rFonts w:asciiTheme="majorHAnsi" w:hAnsiTheme="majorHAnsi" w:cstheme="majorBidi"/>
                <w:sz w:val="21"/>
                <w:szCs w:val="21"/>
              </w:rPr>
            </w:pPr>
            <w:r w:rsidRPr="71E34AD1">
              <w:rPr>
                <w:rFonts w:asciiTheme="majorHAnsi" w:hAnsiTheme="majorHAnsi" w:cstheme="majorBidi"/>
                <w:sz w:val="21"/>
                <w:szCs w:val="21"/>
              </w:rPr>
              <w:t>27.</w:t>
            </w:r>
            <w:r w:rsidR="3CF171A6" w:rsidRPr="71E34AD1">
              <w:rPr>
                <w:rFonts w:asciiTheme="majorHAnsi" w:hAnsiTheme="majorHAnsi" w:cstheme="majorBidi"/>
                <w:sz w:val="21"/>
                <w:szCs w:val="21"/>
              </w:rPr>
              <w:t>5</w:t>
            </w:r>
          </w:p>
        </w:tc>
      </w:tr>
      <w:tr w:rsidR="00F00E3D" w:rsidRPr="000B5389" w14:paraId="7DE6C908" w14:textId="77777777" w:rsidTr="71E34AD1">
        <w:trPr>
          <w:trHeight w:val="356"/>
        </w:trPr>
        <w:tc>
          <w:tcPr>
            <w:tcW w:w="3431" w:type="dxa"/>
            <w:vAlign w:val="center"/>
          </w:tcPr>
          <w:p w14:paraId="16E82069" w14:textId="3BCC3184" w:rsidR="00F00E3D" w:rsidRPr="000B5389" w:rsidRDefault="55EE02FB" w:rsidP="71E34AD1">
            <w:pPr>
              <w:spacing w:after="0" w:line="276" w:lineRule="auto"/>
              <w:rPr>
                <w:rFonts w:asciiTheme="majorHAnsi" w:hAnsiTheme="majorHAnsi" w:cstheme="majorBidi"/>
                <w:sz w:val="21"/>
                <w:szCs w:val="21"/>
              </w:rPr>
            </w:pPr>
            <w:r w:rsidRPr="71E34AD1">
              <w:rPr>
                <w:rFonts w:asciiTheme="majorHAnsi" w:hAnsiTheme="majorHAnsi" w:cstheme="majorBidi"/>
                <w:sz w:val="21"/>
                <w:szCs w:val="21"/>
              </w:rPr>
              <w:t xml:space="preserve">Rental – Social </w:t>
            </w:r>
            <w:r w:rsidR="00F00E3D" w:rsidRPr="71E34AD1">
              <w:rPr>
                <w:rFonts w:asciiTheme="majorHAnsi" w:hAnsiTheme="majorHAnsi" w:cstheme="majorBidi"/>
                <w:sz w:val="21"/>
                <w:szCs w:val="21"/>
              </w:rPr>
              <w:t>housing (%)</w:t>
            </w:r>
          </w:p>
        </w:tc>
        <w:tc>
          <w:tcPr>
            <w:tcW w:w="1530" w:type="dxa"/>
            <w:vAlign w:val="center"/>
          </w:tcPr>
          <w:p w14:paraId="62302473" w14:textId="0DE96861" w:rsidR="00F00E3D" w:rsidRPr="000B5389" w:rsidRDefault="51EA63F3" w:rsidP="71E34AD1">
            <w:pPr>
              <w:spacing w:after="0" w:line="276" w:lineRule="auto"/>
              <w:jc w:val="center"/>
              <w:rPr>
                <w:rFonts w:asciiTheme="majorHAnsi" w:hAnsiTheme="majorHAnsi" w:cstheme="majorBidi"/>
                <w:sz w:val="21"/>
                <w:szCs w:val="21"/>
              </w:rPr>
            </w:pPr>
            <w:r w:rsidRPr="71E34AD1">
              <w:rPr>
                <w:rFonts w:asciiTheme="majorHAnsi" w:hAnsiTheme="majorHAnsi" w:cstheme="majorBidi"/>
                <w:sz w:val="21"/>
                <w:szCs w:val="21"/>
              </w:rPr>
              <w:t>9.2</w:t>
            </w:r>
          </w:p>
        </w:tc>
        <w:tc>
          <w:tcPr>
            <w:tcW w:w="1531" w:type="dxa"/>
            <w:vAlign w:val="center"/>
          </w:tcPr>
          <w:p w14:paraId="6BF3347B" w14:textId="35E83460" w:rsidR="00F00E3D" w:rsidRPr="000B5389" w:rsidRDefault="00F00E3D" w:rsidP="71E34AD1">
            <w:pPr>
              <w:spacing w:after="0" w:line="276" w:lineRule="auto"/>
              <w:jc w:val="center"/>
              <w:rPr>
                <w:rFonts w:asciiTheme="majorHAnsi" w:hAnsiTheme="majorHAnsi" w:cstheme="majorBidi"/>
                <w:sz w:val="21"/>
                <w:szCs w:val="21"/>
              </w:rPr>
            </w:pPr>
            <w:r w:rsidRPr="71E34AD1">
              <w:rPr>
                <w:rFonts w:asciiTheme="majorHAnsi" w:hAnsiTheme="majorHAnsi" w:cstheme="majorBidi"/>
                <w:sz w:val="21"/>
                <w:szCs w:val="21"/>
              </w:rPr>
              <w:t>2</w:t>
            </w:r>
            <w:r w:rsidR="109EDD4E" w:rsidRPr="71E34AD1">
              <w:rPr>
                <w:rFonts w:asciiTheme="majorHAnsi" w:hAnsiTheme="majorHAnsi" w:cstheme="majorBidi"/>
                <w:sz w:val="21"/>
                <w:szCs w:val="21"/>
              </w:rPr>
              <w:t>0.3</w:t>
            </w:r>
          </w:p>
        </w:tc>
        <w:tc>
          <w:tcPr>
            <w:tcW w:w="1530" w:type="dxa"/>
            <w:vAlign w:val="center"/>
          </w:tcPr>
          <w:p w14:paraId="6C313151" w14:textId="0EED424B" w:rsidR="00F00E3D" w:rsidRPr="000B5389" w:rsidRDefault="00F00E3D" w:rsidP="71E34AD1">
            <w:pPr>
              <w:spacing w:after="0" w:line="276" w:lineRule="auto"/>
              <w:jc w:val="center"/>
              <w:rPr>
                <w:rFonts w:asciiTheme="majorHAnsi" w:hAnsiTheme="majorHAnsi" w:cstheme="majorBidi"/>
                <w:sz w:val="21"/>
                <w:szCs w:val="21"/>
              </w:rPr>
            </w:pPr>
            <w:r w:rsidRPr="71E34AD1">
              <w:rPr>
                <w:rFonts w:asciiTheme="majorHAnsi" w:hAnsiTheme="majorHAnsi" w:cstheme="majorBidi"/>
                <w:sz w:val="21"/>
                <w:szCs w:val="21"/>
              </w:rPr>
              <w:t>1</w:t>
            </w:r>
            <w:r w:rsidR="23F094AC" w:rsidRPr="71E34AD1">
              <w:rPr>
                <w:rFonts w:asciiTheme="majorHAnsi" w:hAnsiTheme="majorHAnsi" w:cstheme="majorBidi"/>
                <w:sz w:val="21"/>
                <w:szCs w:val="21"/>
              </w:rPr>
              <w:t>6.7</w:t>
            </w:r>
          </w:p>
        </w:tc>
        <w:tc>
          <w:tcPr>
            <w:tcW w:w="1531" w:type="dxa"/>
            <w:vAlign w:val="center"/>
          </w:tcPr>
          <w:p w14:paraId="363DDA27" w14:textId="5553801F" w:rsidR="00F00E3D" w:rsidRPr="000B5389" w:rsidRDefault="00F00E3D" w:rsidP="71E34AD1">
            <w:pPr>
              <w:spacing w:after="0" w:line="276" w:lineRule="auto"/>
              <w:jc w:val="center"/>
              <w:rPr>
                <w:rFonts w:asciiTheme="majorHAnsi" w:hAnsiTheme="majorHAnsi" w:cstheme="majorBidi"/>
                <w:sz w:val="21"/>
                <w:szCs w:val="21"/>
              </w:rPr>
            </w:pPr>
            <w:r w:rsidRPr="71E34AD1">
              <w:rPr>
                <w:rFonts w:asciiTheme="majorHAnsi" w:hAnsiTheme="majorHAnsi" w:cstheme="majorBidi"/>
                <w:sz w:val="21"/>
                <w:szCs w:val="21"/>
              </w:rPr>
              <w:t>3.</w:t>
            </w:r>
            <w:r w:rsidR="13845F9A" w:rsidRPr="71E34AD1">
              <w:rPr>
                <w:rFonts w:asciiTheme="majorHAnsi" w:hAnsiTheme="majorHAnsi" w:cstheme="majorBidi"/>
                <w:sz w:val="21"/>
                <w:szCs w:val="21"/>
              </w:rPr>
              <w:t>6</w:t>
            </w:r>
          </w:p>
        </w:tc>
      </w:tr>
      <w:tr w:rsidR="00F00E3D" w:rsidRPr="000B5389" w14:paraId="15BE6394" w14:textId="77777777" w:rsidTr="71E34AD1">
        <w:trPr>
          <w:trHeight w:val="641"/>
        </w:trPr>
        <w:tc>
          <w:tcPr>
            <w:tcW w:w="3431" w:type="dxa"/>
            <w:vAlign w:val="center"/>
          </w:tcPr>
          <w:p w14:paraId="19BB20F5" w14:textId="77777777"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Households whose rent payments are more than 30% of income</w:t>
            </w:r>
          </w:p>
        </w:tc>
        <w:tc>
          <w:tcPr>
            <w:tcW w:w="1530" w:type="dxa"/>
            <w:vAlign w:val="center"/>
          </w:tcPr>
          <w:p w14:paraId="3AEC23F5"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15.5</w:t>
            </w:r>
          </w:p>
        </w:tc>
        <w:tc>
          <w:tcPr>
            <w:tcW w:w="1531" w:type="dxa"/>
            <w:vAlign w:val="center"/>
          </w:tcPr>
          <w:p w14:paraId="102C3663"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21.9</w:t>
            </w:r>
          </w:p>
        </w:tc>
        <w:tc>
          <w:tcPr>
            <w:tcW w:w="1530" w:type="dxa"/>
            <w:vAlign w:val="center"/>
          </w:tcPr>
          <w:p w14:paraId="0B2F3947"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18.3</w:t>
            </w:r>
          </w:p>
        </w:tc>
        <w:tc>
          <w:tcPr>
            <w:tcW w:w="1531" w:type="dxa"/>
            <w:vAlign w:val="center"/>
          </w:tcPr>
          <w:p w14:paraId="2DB50CF2"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10.7</w:t>
            </w:r>
          </w:p>
        </w:tc>
      </w:tr>
      <w:tr w:rsidR="00F00E3D" w:rsidRPr="000B5389" w14:paraId="4BA08E60" w14:textId="77777777" w:rsidTr="71E34AD1">
        <w:trPr>
          <w:trHeight w:val="356"/>
        </w:trPr>
        <w:tc>
          <w:tcPr>
            <w:tcW w:w="3431" w:type="dxa"/>
            <w:vAlign w:val="center"/>
          </w:tcPr>
          <w:p w14:paraId="43FED911" w14:textId="7A3BA0E7"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Households with no vehicle</w:t>
            </w:r>
          </w:p>
        </w:tc>
        <w:tc>
          <w:tcPr>
            <w:tcW w:w="1530" w:type="dxa"/>
            <w:vAlign w:val="center"/>
          </w:tcPr>
          <w:p w14:paraId="22DA32C6"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10</w:t>
            </w:r>
          </w:p>
        </w:tc>
        <w:tc>
          <w:tcPr>
            <w:tcW w:w="1531" w:type="dxa"/>
            <w:vAlign w:val="center"/>
          </w:tcPr>
          <w:p w14:paraId="27DAA85A"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18</w:t>
            </w:r>
          </w:p>
        </w:tc>
        <w:tc>
          <w:tcPr>
            <w:tcW w:w="1530" w:type="dxa"/>
            <w:vAlign w:val="center"/>
          </w:tcPr>
          <w:p w14:paraId="0A79570C"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11.5</w:t>
            </w:r>
          </w:p>
        </w:tc>
        <w:tc>
          <w:tcPr>
            <w:tcW w:w="1531" w:type="dxa"/>
            <w:vAlign w:val="center"/>
          </w:tcPr>
          <w:p w14:paraId="6C0D0C5F"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6.2</w:t>
            </w:r>
          </w:p>
        </w:tc>
      </w:tr>
      <w:tr w:rsidR="00F00E3D" w:rsidRPr="000B5389" w14:paraId="24E04FB6" w14:textId="77777777" w:rsidTr="71E34AD1">
        <w:trPr>
          <w:trHeight w:val="439"/>
        </w:trPr>
        <w:tc>
          <w:tcPr>
            <w:tcW w:w="3431" w:type="dxa"/>
            <w:vAlign w:val="center"/>
          </w:tcPr>
          <w:p w14:paraId="6982C812" w14:textId="6C8B8885" w:rsidR="00F00E3D" w:rsidRPr="000B5389" w:rsidRDefault="00F00E3D" w:rsidP="001E2964">
            <w:pPr>
              <w:spacing w:after="0" w:line="276" w:lineRule="auto"/>
              <w:rPr>
                <w:rFonts w:asciiTheme="majorHAnsi" w:hAnsiTheme="majorHAnsi" w:cstheme="majorHAnsi"/>
                <w:sz w:val="21"/>
                <w:szCs w:val="21"/>
              </w:rPr>
            </w:pPr>
            <w:r w:rsidRPr="000B5389">
              <w:rPr>
                <w:rFonts w:asciiTheme="majorHAnsi" w:hAnsiTheme="majorHAnsi" w:cstheme="majorHAnsi"/>
                <w:sz w:val="21"/>
                <w:szCs w:val="21"/>
              </w:rPr>
              <w:t xml:space="preserve">Internet </w:t>
            </w:r>
            <w:r w:rsidR="00A04DBE">
              <w:rPr>
                <w:rFonts w:asciiTheme="majorHAnsi" w:hAnsiTheme="majorHAnsi" w:cstheme="majorHAnsi"/>
                <w:sz w:val="21"/>
                <w:szCs w:val="21"/>
              </w:rPr>
              <w:t>c</w:t>
            </w:r>
            <w:r w:rsidRPr="000B5389">
              <w:rPr>
                <w:rFonts w:asciiTheme="majorHAnsi" w:hAnsiTheme="majorHAnsi" w:cstheme="majorHAnsi"/>
                <w:sz w:val="21"/>
                <w:szCs w:val="21"/>
              </w:rPr>
              <w:t xml:space="preserve">onnection from </w:t>
            </w:r>
            <w:r w:rsidR="00A04DBE">
              <w:rPr>
                <w:rFonts w:asciiTheme="majorHAnsi" w:hAnsiTheme="majorHAnsi" w:cstheme="majorHAnsi"/>
                <w:sz w:val="21"/>
                <w:szCs w:val="21"/>
              </w:rPr>
              <w:t>d</w:t>
            </w:r>
            <w:r w:rsidRPr="000B5389">
              <w:rPr>
                <w:rFonts w:asciiTheme="majorHAnsi" w:hAnsiTheme="majorHAnsi" w:cstheme="majorHAnsi"/>
                <w:sz w:val="21"/>
                <w:szCs w:val="21"/>
              </w:rPr>
              <w:t>welling</w:t>
            </w:r>
          </w:p>
        </w:tc>
        <w:tc>
          <w:tcPr>
            <w:tcW w:w="1530" w:type="dxa"/>
            <w:vAlign w:val="center"/>
          </w:tcPr>
          <w:p w14:paraId="59425A84"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73.8</w:t>
            </w:r>
          </w:p>
        </w:tc>
        <w:tc>
          <w:tcPr>
            <w:tcW w:w="1531" w:type="dxa"/>
            <w:vAlign w:val="center"/>
          </w:tcPr>
          <w:p w14:paraId="61975D15"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60.9</w:t>
            </w:r>
          </w:p>
        </w:tc>
        <w:tc>
          <w:tcPr>
            <w:tcW w:w="1530" w:type="dxa"/>
            <w:vAlign w:val="center"/>
          </w:tcPr>
          <w:p w14:paraId="06DAD463"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69.3</w:t>
            </w:r>
          </w:p>
        </w:tc>
        <w:tc>
          <w:tcPr>
            <w:tcW w:w="1531" w:type="dxa"/>
            <w:vAlign w:val="center"/>
          </w:tcPr>
          <w:p w14:paraId="141280B5" w14:textId="77777777" w:rsidR="00F00E3D" w:rsidRPr="000B5389" w:rsidRDefault="00F00E3D" w:rsidP="001E2964">
            <w:pPr>
              <w:spacing w:after="0" w:line="276" w:lineRule="auto"/>
              <w:jc w:val="center"/>
              <w:rPr>
                <w:rFonts w:asciiTheme="majorHAnsi" w:hAnsiTheme="majorHAnsi" w:cstheme="majorHAnsi"/>
                <w:sz w:val="21"/>
                <w:szCs w:val="21"/>
              </w:rPr>
            </w:pPr>
            <w:r w:rsidRPr="000B5389">
              <w:rPr>
                <w:rFonts w:asciiTheme="majorHAnsi" w:hAnsiTheme="majorHAnsi" w:cstheme="majorHAnsi"/>
                <w:sz w:val="21"/>
                <w:szCs w:val="21"/>
              </w:rPr>
              <w:t>80.9</w:t>
            </w:r>
          </w:p>
        </w:tc>
      </w:tr>
    </w:tbl>
    <w:p w14:paraId="393BB72F" w14:textId="4D4BF956" w:rsidR="006347A1" w:rsidRDefault="006347A1" w:rsidP="006347A1">
      <w:pPr>
        <w:spacing w:after="0" w:line="240" w:lineRule="auto"/>
        <w:rPr>
          <w:rFonts w:cstheme="minorHAnsi"/>
          <w:b/>
          <w:bCs/>
          <w:noProof/>
          <w:sz w:val="21"/>
          <w:szCs w:val="21"/>
        </w:rPr>
      </w:pPr>
      <w:r w:rsidRPr="006347A1">
        <w:rPr>
          <w:rFonts w:cstheme="minorHAnsi"/>
          <w:b/>
          <w:sz w:val="21"/>
          <w:szCs w:val="21"/>
        </w:rPr>
        <w:t xml:space="preserve">Table </w:t>
      </w:r>
      <w:r>
        <w:rPr>
          <w:rFonts w:cstheme="minorHAnsi"/>
          <w:b/>
          <w:sz w:val="21"/>
          <w:szCs w:val="21"/>
        </w:rPr>
        <w:t>7.1</w:t>
      </w:r>
      <w:r w:rsidRPr="006347A1">
        <w:rPr>
          <w:rFonts w:cstheme="minorHAnsi"/>
          <w:b/>
          <w:sz w:val="21"/>
          <w:szCs w:val="21"/>
        </w:rPr>
        <w:t>: Socio</w:t>
      </w:r>
      <w:r>
        <w:rPr>
          <w:rFonts w:cstheme="minorHAnsi"/>
          <w:b/>
          <w:sz w:val="21"/>
          <w:szCs w:val="21"/>
        </w:rPr>
        <w:t>e</w:t>
      </w:r>
      <w:r w:rsidRPr="006347A1">
        <w:rPr>
          <w:rFonts w:cstheme="minorHAnsi"/>
          <w:b/>
          <w:sz w:val="21"/>
          <w:szCs w:val="21"/>
        </w:rPr>
        <w:t>conomic profile: Corio, Norlane-North Shore, Whittington</w:t>
      </w:r>
      <w:r w:rsidR="00A02FEC">
        <w:rPr>
          <w:rFonts w:cstheme="minorHAnsi"/>
          <w:b/>
          <w:sz w:val="21"/>
          <w:szCs w:val="21"/>
        </w:rPr>
        <w:t xml:space="preserve"> vs. </w:t>
      </w:r>
      <w:r w:rsidRPr="006347A1">
        <w:rPr>
          <w:rFonts w:cstheme="minorHAnsi"/>
          <w:b/>
          <w:sz w:val="21"/>
          <w:szCs w:val="21"/>
        </w:rPr>
        <w:t xml:space="preserve">City of Greater Geelong </w:t>
      </w:r>
      <w:r w:rsidRPr="006347A1">
        <w:rPr>
          <w:rFonts w:cstheme="minorHAnsi"/>
          <w:b/>
          <w:bCs/>
          <w:noProof/>
          <w:sz w:val="21"/>
          <w:szCs w:val="21"/>
        </w:rPr>
        <w:t xml:space="preserve">(Source: </w:t>
      </w:r>
      <w:r>
        <w:rPr>
          <w:rFonts w:cstheme="minorHAnsi"/>
          <w:b/>
          <w:bCs/>
          <w:noProof/>
          <w:sz w:val="21"/>
          <w:szCs w:val="21"/>
        </w:rPr>
        <w:t>ABS</w:t>
      </w:r>
      <w:r w:rsidRPr="006347A1">
        <w:rPr>
          <w:rFonts w:cstheme="minorHAnsi"/>
          <w:b/>
          <w:bCs/>
          <w:noProof/>
          <w:sz w:val="21"/>
          <w:szCs w:val="21"/>
        </w:rPr>
        <w:t>, 2016)</w:t>
      </w:r>
    </w:p>
    <w:p w14:paraId="039967F5" w14:textId="77777777" w:rsidR="006347A1" w:rsidRPr="006347A1" w:rsidRDefault="006347A1" w:rsidP="006347A1">
      <w:pPr>
        <w:spacing w:after="0" w:line="240" w:lineRule="auto"/>
        <w:rPr>
          <w:rFonts w:cstheme="minorHAnsi"/>
          <w:sz w:val="16"/>
          <w:szCs w:val="16"/>
        </w:rPr>
      </w:pPr>
    </w:p>
    <w:p w14:paraId="68800456" w14:textId="789964C4" w:rsidR="00F00E3D" w:rsidRPr="00E91887" w:rsidRDefault="00795ECB" w:rsidP="007C77EC">
      <w:pPr>
        <w:spacing w:line="276" w:lineRule="auto"/>
        <w:rPr>
          <w:rFonts w:asciiTheme="majorHAnsi" w:hAnsiTheme="majorHAnsi" w:cstheme="majorHAnsi"/>
          <w:sz w:val="23"/>
          <w:szCs w:val="23"/>
        </w:rPr>
      </w:pPr>
      <w:r>
        <w:rPr>
          <w:rFonts w:asciiTheme="majorHAnsi" w:hAnsiTheme="majorHAnsi" w:cstheme="majorHAnsi"/>
          <w:sz w:val="23"/>
          <w:szCs w:val="23"/>
        </w:rPr>
        <w:t>W</w:t>
      </w:r>
      <w:r w:rsidR="00F00E3D" w:rsidRPr="00E91887">
        <w:rPr>
          <w:rFonts w:asciiTheme="majorHAnsi" w:hAnsiTheme="majorHAnsi" w:cstheme="majorHAnsi"/>
          <w:sz w:val="23"/>
          <w:szCs w:val="23"/>
        </w:rPr>
        <w:t xml:space="preserve">hile quite different in their population sizes – Norlane </w:t>
      </w:r>
      <w:r>
        <w:rPr>
          <w:rFonts w:asciiTheme="majorHAnsi" w:hAnsiTheme="majorHAnsi" w:cstheme="majorHAnsi"/>
          <w:sz w:val="23"/>
          <w:szCs w:val="23"/>
        </w:rPr>
        <w:t xml:space="preserve">is </w:t>
      </w:r>
      <w:r w:rsidR="00F00E3D" w:rsidRPr="00E91887">
        <w:rPr>
          <w:rFonts w:asciiTheme="majorHAnsi" w:hAnsiTheme="majorHAnsi" w:cstheme="majorHAnsi"/>
          <w:sz w:val="23"/>
          <w:szCs w:val="23"/>
        </w:rPr>
        <w:t>twice the size of Whittington</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and Corio</w:t>
      </w:r>
      <w:r>
        <w:rPr>
          <w:rFonts w:asciiTheme="majorHAnsi" w:hAnsiTheme="majorHAnsi" w:cstheme="majorHAnsi"/>
          <w:sz w:val="23"/>
          <w:szCs w:val="23"/>
        </w:rPr>
        <w:t xml:space="preserve"> is</w:t>
      </w:r>
      <w:r w:rsidR="00F00E3D" w:rsidRPr="00E91887">
        <w:rPr>
          <w:rFonts w:asciiTheme="majorHAnsi" w:hAnsiTheme="majorHAnsi" w:cstheme="majorHAnsi"/>
          <w:sz w:val="23"/>
          <w:szCs w:val="23"/>
        </w:rPr>
        <w:t xml:space="preserve"> four times the size – </w:t>
      </w:r>
      <w:r>
        <w:rPr>
          <w:rFonts w:asciiTheme="majorHAnsi" w:hAnsiTheme="majorHAnsi" w:cstheme="majorHAnsi"/>
          <w:sz w:val="23"/>
          <w:szCs w:val="23"/>
        </w:rPr>
        <w:t>in 2016 all three areas were</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characterised by</w:t>
      </w:r>
      <w:r w:rsidR="00F00E3D" w:rsidRPr="00E91887">
        <w:rPr>
          <w:rFonts w:asciiTheme="majorHAnsi" w:hAnsiTheme="majorHAnsi" w:cstheme="majorHAnsi"/>
          <w:sz w:val="23"/>
          <w:szCs w:val="23"/>
        </w:rPr>
        <w:t xml:space="preserve"> relatively low household income</w:t>
      </w:r>
      <w:r>
        <w:rPr>
          <w:rFonts w:asciiTheme="majorHAnsi" w:hAnsiTheme="majorHAnsi" w:cstheme="majorHAnsi"/>
          <w:sz w:val="23"/>
          <w:szCs w:val="23"/>
        </w:rPr>
        <w:t>s</w:t>
      </w:r>
      <w:r w:rsidR="00F00E3D" w:rsidRPr="00E91887">
        <w:rPr>
          <w:rFonts w:asciiTheme="majorHAnsi" w:hAnsiTheme="majorHAnsi" w:cstheme="majorHAnsi"/>
          <w:sz w:val="23"/>
          <w:szCs w:val="23"/>
        </w:rPr>
        <w:t xml:space="preserve"> (especially in Norlane-North Shore), low education levels</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high unemployment</w:t>
      </w:r>
      <w:r>
        <w:rPr>
          <w:rFonts w:asciiTheme="majorHAnsi" w:hAnsiTheme="majorHAnsi" w:cstheme="majorHAnsi"/>
          <w:sz w:val="23"/>
          <w:szCs w:val="23"/>
        </w:rPr>
        <w:t>, and</w:t>
      </w:r>
      <w:r w:rsidR="00F00E3D" w:rsidRPr="00E91887">
        <w:rPr>
          <w:rFonts w:asciiTheme="majorHAnsi" w:hAnsiTheme="majorHAnsi" w:cstheme="majorHAnsi"/>
          <w:sz w:val="23"/>
          <w:szCs w:val="23"/>
        </w:rPr>
        <w:t xml:space="preserve"> </w:t>
      </w:r>
      <w:r w:rsidRPr="00E91887">
        <w:rPr>
          <w:rFonts w:asciiTheme="majorHAnsi" w:hAnsiTheme="majorHAnsi" w:cstheme="majorHAnsi"/>
          <w:sz w:val="23"/>
          <w:szCs w:val="23"/>
        </w:rPr>
        <w:t>high proportions of one</w:t>
      </w:r>
      <w:r>
        <w:rPr>
          <w:rFonts w:asciiTheme="majorHAnsi" w:hAnsiTheme="majorHAnsi" w:cstheme="majorHAnsi"/>
          <w:sz w:val="23"/>
          <w:szCs w:val="23"/>
        </w:rPr>
        <w:t>-</w:t>
      </w:r>
      <w:r w:rsidRPr="00E91887">
        <w:rPr>
          <w:rFonts w:asciiTheme="majorHAnsi" w:hAnsiTheme="majorHAnsi" w:cstheme="majorHAnsi"/>
          <w:sz w:val="23"/>
          <w:szCs w:val="23"/>
        </w:rPr>
        <w:t>parent families</w:t>
      </w:r>
      <w:r>
        <w:rPr>
          <w:rFonts w:asciiTheme="majorHAnsi" w:hAnsiTheme="majorHAnsi" w:cstheme="majorHAnsi"/>
          <w:sz w:val="23"/>
          <w:szCs w:val="23"/>
        </w:rPr>
        <w:t>.</w:t>
      </w:r>
      <w:r w:rsidRPr="00E91887">
        <w:rPr>
          <w:rFonts w:asciiTheme="majorHAnsi" w:hAnsiTheme="majorHAnsi" w:cstheme="majorHAnsi"/>
          <w:sz w:val="23"/>
          <w:szCs w:val="23"/>
        </w:rPr>
        <w:t xml:space="preserve"> </w:t>
      </w:r>
      <w:r>
        <w:rPr>
          <w:rFonts w:asciiTheme="majorHAnsi" w:hAnsiTheme="majorHAnsi" w:cstheme="majorHAnsi"/>
          <w:sz w:val="23"/>
          <w:szCs w:val="23"/>
        </w:rPr>
        <w:t>Amongst residents in</w:t>
      </w:r>
      <w:r w:rsidR="00F00E3D" w:rsidRPr="00E91887">
        <w:rPr>
          <w:rFonts w:asciiTheme="majorHAnsi" w:hAnsiTheme="majorHAnsi" w:cstheme="majorHAnsi"/>
          <w:sz w:val="23"/>
          <w:szCs w:val="23"/>
        </w:rPr>
        <w:t xml:space="preserve"> paid work, </w:t>
      </w:r>
      <w:r>
        <w:rPr>
          <w:rFonts w:asciiTheme="majorHAnsi" w:hAnsiTheme="majorHAnsi" w:cstheme="majorHAnsi"/>
          <w:sz w:val="23"/>
          <w:szCs w:val="23"/>
        </w:rPr>
        <w:t>there was a</w:t>
      </w:r>
      <w:r w:rsidR="00F00E3D" w:rsidRPr="00E91887">
        <w:rPr>
          <w:rFonts w:asciiTheme="majorHAnsi" w:hAnsiTheme="majorHAnsi" w:cstheme="majorHAnsi"/>
          <w:sz w:val="23"/>
          <w:szCs w:val="23"/>
        </w:rPr>
        <w:t xml:space="preserve"> significant proportion</w:t>
      </w:r>
      <w:r>
        <w:rPr>
          <w:rFonts w:asciiTheme="majorHAnsi" w:hAnsiTheme="majorHAnsi" w:cstheme="majorHAnsi"/>
          <w:sz w:val="23"/>
          <w:szCs w:val="23"/>
        </w:rPr>
        <w:t xml:space="preserve"> working</w:t>
      </w:r>
      <w:r w:rsidR="00F00E3D" w:rsidRPr="00E91887">
        <w:rPr>
          <w:rFonts w:asciiTheme="majorHAnsi" w:hAnsiTheme="majorHAnsi" w:cstheme="majorHAnsi"/>
          <w:sz w:val="23"/>
          <w:szCs w:val="23"/>
        </w:rPr>
        <w:t xml:space="preserve"> in poorly paid occupations</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such as technicians, machine operators, </w:t>
      </w:r>
      <w:r>
        <w:rPr>
          <w:rFonts w:asciiTheme="majorHAnsi" w:hAnsiTheme="majorHAnsi" w:cstheme="majorHAnsi"/>
          <w:sz w:val="23"/>
          <w:szCs w:val="23"/>
        </w:rPr>
        <w:t xml:space="preserve">and </w:t>
      </w:r>
      <w:r w:rsidR="00F00E3D" w:rsidRPr="00E91887">
        <w:rPr>
          <w:rFonts w:asciiTheme="majorHAnsi" w:hAnsiTheme="majorHAnsi" w:cstheme="majorHAnsi"/>
          <w:sz w:val="23"/>
          <w:szCs w:val="23"/>
        </w:rPr>
        <w:t xml:space="preserve">community and personal service workers. The areas </w:t>
      </w:r>
      <w:r>
        <w:rPr>
          <w:rFonts w:asciiTheme="majorHAnsi" w:hAnsiTheme="majorHAnsi" w:cstheme="majorHAnsi"/>
          <w:sz w:val="23"/>
          <w:szCs w:val="23"/>
        </w:rPr>
        <w:t>also share</w:t>
      </w:r>
      <w:r w:rsidR="00F00E3D" w:rsidRPr="00E91887">
        <w:rPr>
          <w:rFonts w:asciiTheme="majorHAnsi" w:hAnsiTheme="majorHAnsi" w:cstheme="majorHAnsi"/>
          <w:sz w:val="23"/>
          <w:szCs w:val="23"/>
        </w:rPr>
        <w:t xml:space="preserve"> high levels of public housing</w:t>
      </w:r>
      <w:r>
        <w:rPr>
          <w:rFonts w:asciiTheme="majorHAnsi" w:hAnsiTheme="majorHAnsi" w:cstheme="majorHAnsi"/>
          <w:sz w:val="23"/>
          <w:szCs w:val="23"/>
        </w:rPr>
        <w:t xml:space="preserve">, </w:t>
      </w:r>
      <w:r w:rsidR="00F00E3D" w:rsidRPr="00E91887">
        <w:rPr>
          <w:rFonts w:asciiTheme="majorHAnsi" w:hAnsiTheme="majorHAnsi" w:cstheme="majorHAnsi"/>
          <w:sz w:val="23"/>
          <w:szCs w:val="23"/>
        </w:rPr>
        <w:t>renters</w:t>
      </w:r>
      <w:r>
        <w:rPr>
          <w:rFonts w:asciiTheme="majorHAnsi" w:hAnsiTheme="majorHAnsi" w:cstheme="majorHAnsi"/>
          <w:sz w:val="23"/>
          <w:szCs w:val="23"/>
        </w:rPr>
        <w:t xml:space="preserve">, and people in </w:t>
      </w:r>
      <w:r w:rsidR="00F00E3D" w:rsidRPr="00E91887">
        <w:rPr>
          <w:rFonts w:asciiTheme="majorHAnsi" w:hAnsiTheme="majorHAnsi" w:cstheme="majorHAnsi"/>
          <w:sz w:val="23"/>
          <w:szCs w:val="23"/>
        </w:rPr>
        <w:t xml:space="preserve">housing stress. </w:t>
      </w:r>
      <w:r>
        <w:rPr>
          <w:rFonts w:asciiTheme="majorHAnsi" w:hAnsiTheme="majorHAnsi" w:cstheme="majorHAnsi"/>
          <w:sz w:val="23"/>
          <w:szCs w:val="23"/>
        </w:rPr>
        <w:t>Many households</w:t>
      </w:r>
      <w:r w:rsidR="00F00E3D" w:rsidRPr="00E91887">
        <w:rPr>
          <w:rFonts w:asciiTheme="majorHAnsi" w:hAnsiTheme="majorHAnsi" w:cstheme="majorHAnsi"/>
          <w:sz w:val="23"/>
          <w:szCs w:val="23"/>
        </w:rPr>
        <w:t xml:space="preserve"> ha</w:t>
      </w:r>
      <w:r>
        <w:rPr>
          <w:rFonts w:asciiTheme="majorHAnsi" w:hAnsiTheme="majorHAnsi" w:cstheme="majorHAnsi"/>
          <w:sz w:val="23"/>
          <w:szCs w:val="23"/>
        </w:rPr>
        <w:t xml:space="preserve">d </w:t>
      </w:r>
      <w:r w:rsidR="00F00E3D" w:rsidRPr="00E91887">
        <w:rPr>
          <w:rFonts w:asciiTheme="majorHAnsi" w:hAnsiTheme="majorHAnsi" w:cstheme="majorHAnsi"/>
          <w:sz w:val="23"/>
          <w:szCs w:val="23"/>
        </w:rPr>
        <w:t>no vehicle</w:t>
      </w:r>
      <w:r>
        <w:rPr>
          <w:rFonts w:asciiTheme="majorHAnsi" w:hAnsiTheme="majorHAnsi" w:cstheme="majorHAnsi"/>
          <w:sz w:val="23"/>
          <w:szCs w:val="23"/>
        </w:rPr>
        <w:t xml:space="preserve">, which limits </w:t>
      </w:r>
      <w:r w:rsidR="00F00E3D" w:rsidRPr="00E91887">
        <w:rPr>
          <w:rFonts w:asciiTheme="majorHAnsi" w:hAnsiTheme="majorHAnsi" w:cstheme="majorHAnsi"/>
          <w:sz w:val="23"/>
          <w:szCs w:val="23"/>
        </w:rPr>
        <w:t>mobility</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and internet connectivity </w:t>
      </w:r>
      <w:r>
        <w:rPr>
          <w:rFonts w:asciiTheme="majorHAnsi" w:hAnsiTheme="majorHAnsi" w:cstheme="majorHAnsi"/>
          <w:sz w:val="23"/>
          <w:szCs w:val="23"/>
        </w:rPr>
        <w:t>was</w:t>
      </w:r>
      <w:r w:rsidR="00F00E3D" w:rsidRPr="00E91887">
        <w:rPr>
          <w:rFonts w:asciiTheme="majorHAnsi" w:hAnsiTheme="majorHAnsi" w:cstheme="majorHAnsi"/>
          <w:sz w:val="23"/>
          <w:szCs w:val="23"/>
        </w:rPr>
        <w:t xml:space="preserve"> well below the </w:t>
      </w:r>
      <w:r>
        <w:rPr>
          <w:rFonts w:asciiTheme="majorHAnsi" w:hAnsiTheme="majorHAnsi" w:cstheme="majorHAnsi"/>
          <w:sz w:val="23"/>
          <w:szCs w:val="23"/>
        </w:rPr>
        <w:t>average for</w:t>
      </w:r>
      <w:r w:rsidR="00F00E3D" w:rsidRPr="00E91887">
        <w:rPr>
          <w:rFonts w:asciiTheme="majorHAnsi" w:hAnsiTheme="majorHAnsi" w:cstheme="majorHAnsi"/>
          <w:sz w:val="23"/>
          <w:szCs w:val="23"/>
        </w:rPr>
        <w:t xml:space="preserve"> the City of Greater Geelong. While age structure </w:t>
      </w:r>
      <w:r>
        <w:rPr>
          <w:rFonts w:asciiTheme="majorHAnsi" w:hAnsiTheme="majorHAnsi" w:cstheme="majorHAnsi"/>
          <w:sz w:val="23"/>
          <w:szCs w:val="23"/>
        </w:rPr>
        <w:t>did not differ greatly from</w:t>
      </w:r>
      <w:r w:rsidR="00F00E3D" w:rsidRPr="00E91887">
        <w:rPr>
          <w:rFonts w:asciiTheme="majorHAnsi" w:hAnsiTheme="majorHAnsi" w:cstheme="majorHAnsi"/>
          <w:sz w:val="23"/>
          <w:szCs w:val="23"/>
        </w:rPr>
        <w:t xml:space="preserve"> the </w:t>
      </w:r>
      <w:r w:rsidR="001B7DDF">
        <w:rPr>
          <w:rFonts w:asciiTheme="majorHAnsi" w:hAnsiTheme="majorHAnsi" w:cstheme="majorHAnsi"/>
          <w:sz w:val="23"/>
          <w:szCs w:val="23"/>
        </w:rPr>
        <w:t>COGG</w:t>
      </w:r>
      <w:r w:rsidR="00F00E3D" w:rsidRPr="00E91887">
        <w:rPr>
          <w:rFonts w:asciiTheme="majorHAnsi" w:hAnsiTheme="majorHAnsi" w:cstheme="majorHAnsi"/>
          <w:sz w:val="23"/>
          <w:szCs w:val="23"/>
        </w:rPr>
        <w:t xml:space="preserve"> average, there </w:t>
      </w:r>
      <w:r w:rsidR="00F00E3D" w:rsidRPr="00E91887">
        <w:rPr>
          <w:rFonts w:asciiTheme="majorHAnsi" w:hAnsiTheme="majorHAnsi" w:cstheme="majorHAnsi"/>
          <w:sz w:val="23"/>
          <w:szCs w:val="23"/>
        </w:rPr>
        <w:lastRenderedPageBreak/>
        <w:t xml:space="preserve">are significantly more Aboriginal and Torres Strait Islander people </w:t>
      </w:r>
      <w:r>
        <w:rPr>
          <w:rFonts w:asciiTheme="majorHAnsi" w:hAnsiTheme="majorHAnsi" w:cstheme="majorHAnsi"/>
          <w:sz w:val="23"/>
          <w:szCs w:val="23"/>
        </w:rPr>
        <w:t>and</w:t>
      </w:r>
      <w:r w:rsidR="00F00E3D" w:rsidRPr="00E91887">
        <w:rPr>
          <w:rFonts w:asciiTheme="majorHAnsi" w:hAnsiTheme="majorHAnsi" w:cstheme="majorHAnsi"/>
          <w:sz w:val="23"/>
          <w:szCs w:val="23"/>
        </w:rPr>
        <w:t xml:space="preserve"> single parents living in the three localities, a pattern </w:t>
      </w:r>
      <w:r>
        <w:rPr>
          <w:rFonts w:asciiTheme="majorHAnsi" w:hAnsiTheme="majorHAnsi" w:cstheme="majorHAnsi"/>
          <w:sz w:val="23"/>
          <w:szCs w:val="23"/>
        </w:rPr>
        <w:t>typically</w:t>
      </w:r>
      <w:r w:rsidR="00F00E3D" w:rsidRPr="00E91887">
        <w:rPr>
          <w:rFonts w:asciiTheme="majorHAnsi" w:hAnsiTheme="majorHAnsi" w:cstheme="majorHAnsi"/>
          <w:sz w:val="23"/>
          <w:szCs w:val="23"/>
        </w:rPr>
        <w:t xml:space="preserve"> not unrelated to other indicators of disadvantage.</w:t>
      </w:r>
    </w:p>
    <w:p w14:paraId="12333A3A" w14:textId="52CB230E" w:rsidR="00F00E3D" w:rsidRPr="00E91887" w:rsidRDefault="00F00E3D" w:rsidP="007C77EC">
      <w:pPr>
        <w:spacing w:line="276" w:lineRule="auto"/>
        <w:rPr>
          <w:rFonts w:asciiTheme="majorHAnsi" w:hAnsiTheme="majorHAnsi" w:cstheme="majorHAnsi"/>
          <w:bCs/>
          <w:sz w:val="23"/>
          <w:szCs w:val="23"/>
        </w:rPr>
      </w:pPr>
      <w:r w:rsidRPr="00E91887">
        <w:rPr>
          <w:rFonts w:asciiTheme="majorHAnsi" w:hAnsiTheme="majorHAnsi" w:cstheme="majorHAnsi"/>
          <w:bCs/>
          <w:sz w:val="23"/>
          <w:szCs w:val="23"/>
        </w:rPr>
        <w:t xml:space="preserve">These figures </w:t>
      </w:r>
      <w:r w:rsidR="00CB0C8C">
        <w:rPr>
          <w:rFonts w:asciiTheme="majorHAnsi" w:hAnsiTheme="majorHAnsi" w:cstheme="majorHAnsi"/>
          <w:bCs/>
          <w:sz w:val="23"/>
          <w:szCs w:val="23"/>
        </w:rPr>
        <w:t>illustrate not</w:t>
      </w:r>
      <w:r w:rsidR="00795ECB">
        <w:rPr>
          <w:rFonts w:asciiTheme="majorHAnsi" w:hAnsiTheme="majorHAnsi" w:cstheme="majorHAnsi"/>
          <w:bCs/>
          <w:sz w:val="23"/>
          <w:szCs w:val="23"/>
        </w:rPr>
        <w:t xml:space="preserve"> only</w:t>
      </w:r>
      <w:r w:rsidRPr="00E91887">
        <w:rPr>
          <w:rFonts w:asciiTheme="majorHAnsi" w:hAnsiTheme="majorHAnsi" w:cstheme="majorHAnsi"/>
          <w:bCs/>
          <w:sz w:val="23"/>
          <w:szCs w:val="23"/>
        </w:rPr>
        <w:t xml:space="preserve"> the</w:t>
      </w:r>
      <w:r w:rsidR="00CB0C8C">
        <w:rPr>
          <w:rFonts w:asciiTheme="majorHAnsi" w:hAnsiTheme="majorHAnsi" w:cstheme="majorHAnsi"/>
          <w:bCs/>
          <w:sz w:val="23"/>
          <w:szCs w:val="23"/>
        </w:rPr>
        <w:t xml:space="preserve"> City’s</w:t>
      </w:r>
      <w:r w:rsidRPr="00E91887">
        <w:rPr>
          <w:rFonts w:asciiTheme="majorHAnsi" w:hAnsiTheme="majorHAnsi" w:cstheme="majorHAnsi"/>
          <w:bCs/>
          <w:sz w:val="23"/>
          <w:szCs w:val="23"/>
        </w:rPr>
        <w:t xml:space="preserve"> class structure</w:t>
      </w:r>
      <w:r w:rsidR="00CB0C8C">
        <w:rPr>
          <w:rFonts w:asciiTheme="majorHAnsi" w:hAnsiTheme="majorHAnsi" w:cstheme="majorHAnsi"/>
          <w:bCs/>
          <w:sz w:val="23"/>
          <w:szCs w:val="23"/>
        </w:rPr>
        <w:t xml:space="preserve">, but also its </w:t>
      </w:r>
      <w:r w:rsidRPr="00E91887">
        <w:rPr>
          <w:rFonts w:asciiTheme="majorHAnsi" w:hAnsiTheme="majorHAnsi" w:cstheme="majorHAnsi"/>
          <w:bCs/>
          <w:sz w:val="23"/>
          <w:szCs w:val="23"/>
        </w:rPr>
        <w:t>socio-spatial pattern</w:t>
      </w:r>
      <w:r w:rsidR="00CB0C8C">
        <w:rPr>
          <w:rFonts w:asciiTheme="majorHAnsi" w:hAnsiTheme="majorHAnsi" w:cstheme="majorHAnsi"/>
          <w:bCs/>
          <w:sz w:val="23"/>
          <w:szCs w:val="23"/>
        </w:rPr>
        <w:t>s</w:t>
      </w:r>
      <w:r w:rsidRPr="00E91887">
        <w:rPr>
          <w:rFonts w:asciiTheme="majorHAnsi" w:hAnsiTheme="majorHAnsi" w:cstheme="majorHAnsi"/>
          <w:bCs/>
          <w:sz w:val="23"/>
          <w:szCs w:val="23"/>
        </w:rPr>
        <w:t xml:space="preserve"> of disadvantage</w:t>
      </w:r>
      <w:r w:rsidR="00CB0C8C">
        <w:rPr>
          <w:rFonts w:asciiTheme="majorHAnsi" w:hAnsiTheme="majorHAnsi" w:cstheme="majorHAnsi"/>
          <w:bCs/>
          <w:sz w:val="23"/>
          <w:szCs w:val="23"/>
        </w:rPr>
        <w:t xml:space="preserve">, some of which can be traced back to the </w:t>
      </w:r>
      <w:r w:rsidRPr="00E91887">
        <w:rPr>
          <w:rFonts w:asciiTheme="majorHAnsi" w:hAnsiTheme="majorHAnsi" w:cstheme="majorHAnsi"/>
          <w:bCs/>
          <w:sz w:val="23"/>
          <w:szCs w:val="23"/>
        </w:rPr>
        <w:t xml:space="preserve">historical </w:t>
      </w:r>
      <w:r w:rsidR="00CB0C8C">
        <w:rPr>
          <w:rFonts w:asciiTheme="majorHAnsi" w:hAnsiTheme="majorHAnsi" w:cstheme="majorHAnsi"/>
          <w:bCs/>
          <w:sz w:val="23"/>
          <w:szCs w:val="23"/>
        </w:rPr>
        <w:t>causes discussed above. These include the City’s</w:t>
      </w:r>
      <w:r w:rsidRPr="00E91887">
        <w:rPr>
          <w:rFonts w:asciiTheme="majorHAnsi" w:hAnsiTheme="majorHAnsi" w:cstheme="majorHAnsi"/>
          <w:bCs/>
          <w:sz w:val="23"/>
          <w:szCs w:val="23"/>
        </w:rPr>
        <w:t xml:space="preserve"> industrial development and </w:t>
      </w:r>
      <w:r w:rsidR="00CB0C8C">
        <w:rPr>
          <w:rFonts w:asciiTheme="majorHAnsi" w:hAnsiTheme="majorHAnsi" w:cstheme="majorHAnsi"/>
          <w:bCs/>
          <w:sz w:val="23"/>
          <w:szCs w:val="23"/>
        </w:rPr>
        <w:t>subsequent decline,</w:t>
      </w:r>
      <w:r w:rsidRPr="00E91887">
        <w:rPr>
          <w:rFonts w:asciiTheme="majorHAnsi" w:hAnsiTheme="majorHAnsi" w:cstheme="majorHAnsi"/>
          <w:bCs/>
          <w:sz w:val="23"/>
          <w:szCs w:val="23"/>
        </w:rPr>
        <w:t xml:space="preserve"> and the concentration of public housing </w:t>
      </w:r>
      <w:r w:rsidR="00CB0C8C">
        <w:rPr>
          <w:rFonts w:asciiTheme="majorHAnsi" w:hAnsiTheme="majorHAnsi" w:cstheme="majorHAnsi"/>
          <w:bCs/>
          <w:sz w:val="23"/>
          <w:szCs w:val="23"/>
        </w:rPr>
        <w:t>and low-income workers coalescing over time in</w:t>
      </w:r>
      <w:r w:rsidRPr="00E91887">
        <w:rPr>
          <w:rFonts w:asciiTheme="majorHAnsi" w:hAnsiTheme="majorHAnsi" w:cstheme="majorHAnsi"/>
          <w:bCs/>
          <w:sz w:val="23"/>
          <w:szCs w:val="23"/>
        </w:rPr>
        <w:t xml:space="preserve"> these three localities. </w:t>
      </w:r>
    </w:p>
    <w:p w14:paraId="524D7486" w14:textId="455A855A" w:rsidR="00F00E3D" w:rsidRPr="00E91887" w:rsidRDefault="00CB0C8C" w:rsidP="007C77EC">
      <w:pPr>
        <w:spacing w:line="276" w:lineRule="auto"/>
        <w:rPr>
          <w:rFonts w:asciiTheme="majorHAnsi" w:hAnsiTheme="majorHAnsi" w:cstheme="majorHAnsi"/>
          <w:bCs/>
          <w:sz w:val="23"/>
          <w:szCs w:val="23"/>
        </w:rPr>
      </w:pPr>
      <w:r>
        <w:rPr>
          <w:rFonts w:asciiTheme="majorHAnsi" w:hAnsiTheme="majorHAnsi" w:cstheme="majorHAnsi"/>
          <w:bCs/>
          <w:sz w:val="23"/>
          <w:szCs w:val="23"/>
        </w:rPr>
        <w:t>Australia has two</w:t>
      </w:r>
      <w:r w:rsidR="00F00E3D" w:rsidRPr="00E91887">
        <w:rPr>
          <w:rFonts w:asciiTheme="majorHAnsi" w:hAnsiTheme="majorHAnsi" w:cstheme="majorHAnsi"/>
          <w:bCs/>
          <w:sz w:val="23"/>
          <w:szCs w:val="23"/>
        </w:rPr>
        <w:t xml:space="preserve"> </w:t>
      </w:r>
      <w:r>
        <w:rPr>
          <w:rFonts w:asciiTheme="majorHAnsi" w:hAnsiTheme="majorHAnsi" w:cstheme="majorHAnsi"/>
          <w:bCs/>
          <w:sz w:val="23"/>
          <w:szCs w:val="23"/>
        </w:rPr>
        <w:t>main instruments that measure</w:t>
      </w:r>
      <w:r w:rsidR="00F00E3D" w:rsidRPr="00E91887">
        <w:rPr>
          <w:rFonts w:asciiTheme="majorHAnsi" w:hAnsiTheme="majorHAnsi" w:cstheme="majorHAnsi"/>
          <w:bCs/>
          <w:sz w:val="23"/>
          <w:szCs w:val="23"/>
        </w:rPr>
        <w:t xml:space="preserve"> socio-spatial </w:t>
      </w:r>
      <w:r>
        <w:rPr>
          <w:rFonts w:asciiTheme="majorHAnsi" w:hAnsiTheme="majorHAnsi" w:cstheme="majorHAnsi"/>
          <w:bCs/>
          <w:sz w:val="23"/>
          <w:szCs w:val="23"/>
        </w:rPr>
        <w:t xml:space="preserve">polarisation and locational disadvantage: </w:t>
      </w:r>
      <w:r w:rsidR="00F00E3D" w:rsidRPr="00E91887">
        <w:rPr>
          <w:rFonts w:asciiTheme="majorHAnsi" w:hAnsiTheme="majorHAnsi" w:cstheme="majorHAnsi"/>
          <w:bCs/>
          <w:sz w:val="23"/>
          <w:szCs w:val="23"/>
        </w:rPr>
        <w:t xml:space="preserve">the Australian Bureau of Statistics </w:t>
      </w:r>
      <w:r>
        <w:rPr>
          <w:rFonts w:asciiTheme="majorHAnsi" w:hAnsiTheme="majorHAnsi" w:cstheme="majorHAnsi"/>
          <w:bCs/>
          <w:sz w:val="23"/>
          <w:szCs w:val="23"/>
        </w:rPr>
        <w:t xml:space="preserve">(ABS) </w:t>
      </w:r>
      <w:r w:rsidR="00F00E3D" w:rsidRPr="00E91887">
        <w:rPr>
          <w:rFonts w:asciiTheme="majorHAnsi" w:hAnsiTheme="majorHAnsi" w:cstheme="majorHAnsi"/>
          <w:bCs/>
          <w:sz w:val="23"/>
          <w:szCs w:val="23"/>
        </w:rPr>
        <w:t>SEIFA index of Social Disadvantage</w:t>
      </w:r>
      <w:r>
        <w:rPr>
          <w:rFonts w:asciiTheme="majorHAnsi" w:hAnsiTheme="majorHAnsi" w:cstheme="majorHAnsi"/>
          <w:bCs/>
          <w:sz w:val="23"/>
          <w:szCs w:val="23"/>
        </w:rPr>
        <w:t>,</w:t>
      </w:r>
      <w:r w:rsidR="00F00E3D" w:rsidRPr="00E91887">
        <w:rPr>
          <w:rFonts w:asciiTheme="majorHAnsi" w:hAnsiTheme="majorHAnsi" w:cstheme="majorHAnsi"/>
          <w:bCs/>
          <w:sz w:val="23"/>
          <w:szCs w:val="23"/>
        </w:rPr>
        <w:t xml:space="preserve"> and th</w:t>
      </w:r>
      <w:r>
        <w:rPr>
          <w:rFonts w:asciiTheme="majorHAnsi" w:hAnsiTheme="majorHAnsi" w:cstheme="majorHAnsi"/>
          <w:bCs/>
          <w:sz w:val="23"/>
          <w:szCs w:val="23"/>
        </w:rPr>
        <w:t>e instrument devised</w:t>
      </w:r>
      <w:r w:rsidR="00F00E3D" w:rsidRPr="00E91887">
        <w:rPr>
          <w:rFonts w:asciiTheme="majorHAnsi" w:hAnsiTheme="majorHAnsi" w:cstheme="majorHAnsi"/>
          <w:bCs/>
          <w:sz w:val="23"/>
          <w:szCs w:val="23"/>
        </w:rPr>
        <w:t xml:space="preserve"> by</w:t>
      </w:r>
      <w:r>
        <w:rPr>
          <w:rFonts w:asciiTheme="majorHAnsi" w:hAnsiTheme="majorHAnsi" w:cstheme="majorHAnsi"/>
          <w:bCs/>
          <w:sz w:val="23"/>
          <w:szCs w:val="23"/>
        </w:rPr>
        <w:t xml:space="preserve"> </w:t>
      </w:r>
      <w:r w:rsidR="00F37382">
        <w:rPr>
          <w:rFonts w:asciiTheme="majorHAnsi" w:hAnsiTheme="majorHAnsi" w:cstheme="majorHAnsi"/>
          <w:bCs/>
          <w:sz w:val="23"/>
          <w:szCs w:val="23"/>
        </w:rPr>
        <w:t xml:space="preserve">influential </w:t>
      </w:r>
      <w:r>
        <w:rPr>
          <w:rFonts w:asciiTheme="majorHAnsi" w:hAnsiTheme="majorHAnsi" w:cstheme="majorHAnsi"/>
          <w:bCs/>
          <w:sz w:val="23"/>
          <w:szCs w:val="23"/>
        </w:rPr>
        <w:t>social researcher</w:t>
      </w:r>
      <w:r w:rsidR="00F00E3D" w:rsidRPr="00E91887">
        <w:rPr>
          <w:rFonts w:asciiTheme="majorHAnsi" w:hAnsiTheme="majorHAnsi" w:cstheme="majorHAnsi"/>
          <w:bCs/>
          <w:sz w:val="23"/>
          <w:szCs w:val="23"/>
        </w:rPr>
        <w:t xml:space="preserve"> Tony Vinson </w:t>
      </w:r>
      <w:r w:rsidR="00F37382">
        <w:rPr>
          <w:rFonts w:asciiTheme="majorHAnsi" w:hAnsiTheme="majorHAnsi" w:cstheme="majorHAnsi"/>
          <w:bCs/>
          <w:sz w:val="23"/>
          <w:szCs w:val="23"/>
        </w:rPr>
        <w:t>for</w:t>
      </w:r>
      <w:r w:rsidR="00F00E3D" w:rsidRPr="00E91887">
        <w:rPr>
          <w:rFonts w:asciiTheme="majorHAnsi" w:hAnsiTheme="majorHAnsi" w:cstheme="majorHAnsi"/>
          <w:bCs/>
          <w:sz w:val="23"/>
          <w:szCs w:val="23"/>
        </w:rPr>
        <w:t xml:space="preserve"> </w:t>
      </w:r>
      <w:r w:rsidR="00F37382" w:rsidRPr="00F37382">
        <w:rPr>
          <w:rFonts w:asciiTheme="majorHAnsi" w:hAnsiTheme="majorHAnsi" w:cstheme="majorHAnsi"/>
          <w:bCs/>
          <w:sz w:val="23"/>
          <w:szCs w:val="23"/>
        </w:rPr>
        <w:t>Jesuit Social Services</w:t>
      </w:r>
      <w:r w:rsidR="00F00E3D" w:rsidRPr="00E91887">
        <w:rPr>
          <w:rFonts w:asciiTheme="majorHAnsi" w:hAnsiTheme="majorHAnsi" w:cstheme="majorHAnsi"/>
          <w:bCs/>
          <w:sz w:val="23"/>
          <w:szCs w:val="23"/>
        </w:rPr>
        <w:t xml:space="preserve">. </w:t>
      </w:r>
      <w:r w:rsidR="00F37382">
        <w:rPr>
          <w:rFonts w:asciiTheme="majorHAnsi" w:hAnsiTheme="majorHAnsi" w:cstheme="majorHAnsi"/>
          <w:bCs/>
          <w:sz w:val="23"/>
          <w:szCs w:val="23"/>
        </w:rPr>
        <w:t>Vinson’s measure confirms a worsening situation for</w:t>
      </w:r>
      <w:r w:rsidR="00F00E3D" w:rsidRPr="00E91887">
        <w:rPr>
          <w:rFonts w:asciiTheme="majorHAnsi" w:hAnsiTheme="majorHAnsi" w:cstheme="majorHAnsi"/>
          <w:bCs/>
          <w:sz w:val="23"/>
          <w:szCs w:val="23"/>
        </w:rPr>
        <w:t xml:space="preserve"> Corio</w:t>
      </w:r>
      <w:r w:rsidR="00F37382">
        <w:rPr>
          <w:rFonts w:asciiTheme="majorHAnsi" w:hAnsiTheme="majorHAnsi" w:cstheme="majorHAnsi"/>
          <w:bCs/>
          <w:sz w:val="23"/>
          <w:szCs w:val="23"/>
        </w:rPr>
        <w:t>–</w:t>
      </w:r>
      <w:r w:rsidR="00F00E3D" w:rsidRPr="00E91887">
        <w:rPr>
          <w:rFonts w:asciiTheme="majorHAnsi" w:hAnsiTheme="majorHAnsi" w:cstheme="majorHAnsi"/>
          <w:bCs/>
          <w:sz w:val="23"/>
          <w:szCs w:val="23"/>
        </w:rPr>
        <w:t>Norlane</w:t>
      </w:r>
      <w:r w:rsidR="00F37382">
        <w:rPr>
          <w:rFonts w:asciiTheme="majorHAnsi" w:hAnsiTheme="majorHAnsi" w:cstheme="majorHAnsi"/>
          <w:bCs/>
          <w:sz w:val="23"/>
          <w:szCs w:val="23"/>
        </w:rPr>
        <w:t xml:space="preserve">, which </w:t>
      </w:r>
      <w:r w:rsidR="00F00E3D" w:rsidRPr="00CB0C8C">
        <w:rPr>
          <w:rFonts w:asciiTheme="majorHAnsi" w:hAnsiTheme="majorHAnsi" w:cstheme="majorHAnsi"/>
          <w:sz w:val="23"/>
          <w:szCs w:val="23"/>
        </w:rPr>
        <w:t xml:space="preserve">moved from Band 3 to Band 1 in </w:t>
      </w:r>
      <w:r w:rsidR="00F37382">
        <w:rPr>
          <w:rFonts w:asciiTheme="majorHAnsi" w:hAnsiTheme="majorHAnsi" w:cstheme="majorHAnsi"/>
          <w:sz w:val="23"/>
          <w:szCs w:val="23"/>
        </w:rPr>
        <w:t>his</w:t>
      </w:r>
      <w:r w:rsidR="00F00E3D" w:rsidRPr="00CB0C8C">
        <w:rPr>
          <w:rFonts w:asciiTheme="majorHAnsi" w:hAnsiTheme="majorHAnsi" w:cstheme="majorHAnsi"/>
          <w:sz w:val="23"/>
          <w:szCs w:val="23"/>
        </w:rPr>
        <w:t xml:space="preserve"> </w:t>
      </w:r>
      <w:r w:rsidR="00F00E3D" w:rsidRPr="00CB0C8C">
        <w:rPr>
          <w:rFonts w:asciiTheme="majorHAnsi" w:hAnsiTheme="majorHAnsi" w:cstheme="majorHAnsi"/>
          <w:i/>
          <w:sz w:val="23"/>
          <w:szCs w:val="23"/>
        </w:rPr>
        <w:t>Dropping o</w:t>
      </w:r>
      <w:r w:rsidR="00F37382">
        <w:rPr>
          <w:rFonts w:asciiTheme="majorHAnsi" w:hAnsiTheme="majorHAnsi" w:cstheme="majorHAnsi"/>
          <w:i/>
          <w:sz w:val="23"/>
          <w:szCs w:val="23"/>
        </w:rPr>
        <w:t>f</w:t>
      </w:r>
      <w:r w:rsidR="00F00E3D" w:rsidRPr="00CB0C8C">
        <w:rPr>
          <w:rFonts w:asciiTheme="majorHAnsi" w:hAnsiTheme="majorHAnsi" w:cstheme="majorHAnsi"/>
          <w:i/>
          <w:sz w:val="23"/>
          <w:szCs w:val="23"/>
        </w:rPr>
        <w:t>f the Edge</w:t>
      </w:r>
      <w:r w:rsidR="00F00E3D" w:rsidRPr="00CB0C8C">
        <w:rPr>
          <w:rFonts w:asciiTheme="majorHAnsi" w:hAnsiTheme="majorHAnsi" w:cstheme="majorHAnsi"/>
          <w:sz w:val="23"/>
          <w:szCs w:val="23"/>
        </w:rPr>
        <w:t xml:space="preserve"> report over the period 2007</w:t>
      </w:r>
      <w:r w:rsidR="00F37382">
        <w:rPr>
          <w:rFonts w:asciiTheme="majorHAnsi" w:hAnsiTheme="majorHAnsi" w:cstheme="majorHAnsi"/>
          <w:sz w:val="23"/>
          <w:szCs w:val="23"/>
        </w:rPr>
        <w:t>–</w:t>
      </w:r>
      <w:r w:rsidR="00F00E3D" w:rsidRPr="00CB0C8C">
        <w:rPr>
          <w:rFonts w:asciiTheme="majorHAnsi" w:hAnsiTheme="majorHAnsi" w:cstheme="majorHAnsi"/>
          <w:sz w:val="23"/>
          <w:szCs w:val="23"/>
        </w:rPr>
        <w:t xml:space="preserve">2015. These </w:t>
      </w:r>
      <w:r w:rsidR="00F37382">
        <w:rPr>
          <w:rFonts w:asciiTheme="majorHAnsi" w:hAnsiTheme="majorHAnsi" w:cstheme="majorHAnsi"/>
          <w:sz w:val="23"/>
          <w:szCs w:val="23"/>
        </w:rPr>
        <w:t xml:space="preserve">areas </w:t>
      </w:r>
      <w:r w:rsidR="00F00E3D" w:rsidRPr="00CB0C8C">
        <w:rPr>
          <w:rFonts w:asciiTheme="majorHAnsi" w:hAnsiTheme="majorHAnsi" w:cstheme="majorHAnsi"/>
          <w:sz w:val="23"/>
          <w:szCs w:val="23"/>
        </w:rPr>
        <w:t>are currently ranked as two of the most disadvantaged in the country. The Bands co</w:t>
      </w:r>
      <w:r w:rsidR="00F37382">
        <w:rPr>
          <w:rFonts w:asciiTheme="majorHAnsi" w:hAnsiTheme="majorHAnsi" w:cstheme="majorHAnsi"/>
          <w:sz w:val="23"/>
          <w:szCs w:val="23"/>
        </w:rPr>
        <w:t>mprise</w:t>
      </w:r>
      <w:r w:rsidR="00F00E3D" w:rsidRPr="00CB0C8C">
        <w:rPr>
          <w:rFonts w:asciiTheme="majorHAnsi" w:hAnsiTheme="majorHAnsi" w:cstheme="majorHAnsi"/>
          <w:sz w:val="23"/>
          <w:szCs w:val="23"/>
        </w:rPr>
        <w:t xml:space="preserve"> a host of indicators</w:t>
      </w:r>
      <w:r w:rsidR="00F00E3D" w:rsidRPr="00E91887">
        <w:rPr>
          <w:rFonts w:asciiTheme="majorHAnsi" w:hAnsiTheme="majorHAnsi" w:cstheme="majorHAnsi"/>
          <w:sz w:val="23"/>
          <w:szCs w:val="23"/>
        </w:rPr>
        <w:t xml:space="preserve"> of social dislocation and disadvantage: </w:t>
      </w:r>
      <w:r w:rsidR="00F37382" w:rsidRPr="00E91887">
        <w:rPr>
          <w:rFonts w:asciiTheme="majorHAnsi" w:hAnsiTheme="majorHAnsi" w:cstheme="majorHAnsi"/>
          <w:sz w:val="23"/>
          <w:szCs w:val="23"/>
        </w:rPr>
        <w:t>unemployment levels, criminal convictions, disability rates, child maltreatment, low family income, rental assistance, family violence and psychiatric hospital admissions</w:t>
      </w:r>
      <w:r w:rsidR="00F00E3D" w:rsidRPr="00E91887">
        <w:rPr>
          <w:rFonts w:asciiTheme="majorHAnsi" w:hAnsiTheme="majorHAnsi" w:cstheme="majorHAnsi"/>
          <w:bCs/>
          <w:sz w:val="23"/>
          <w:szCs w:val="23"/>
        </w:rPr>
        <w:t xml:space="preserve">. </w:t>
      </w:r>
    </w:p>
    <w:p w14:paraId="3232D1C0" w14:textId="0BC7AB38" w:rsidR="00F00E3D" w:rsidRPr="00E91887" w:rsidRDefault="00EC0409" w:rsidP="007C77EC">
      <w:pPr>
        <w:spacing w:line="276" w:lineRule="auto"/>
        <w:rPr>
          <w:rFonts w:asciiTheme="majorHAnsi" w:hAnsiTheme="majorHAnsi" w:cstheme="majorHAnsi"/>
          <w:sz w:val="23"/>
          <w:szCs w:val="23"/>
        </w:rPr>
      </w:pPr>
      <w:r>
        <w:rPr>
          <w:rFonts w:asciiTheme="majorHAnsi" w:hAnsiTheme="majorHAnsi" w:cstheme="majorHAnsi"/>
          <w:sz w:val="23"/>
          <w:szCs w:val="23"/>
        </w:rPr>
        <w:t xml:space="preserve">The </w:t>
      </w:r>
      <w:r w:rsidR="00F00E3D" w:rsidRPr="00E91887">
        <w:rPr>
          <w:rFonts w:asciiTheme="majorHAnsi" w:hAnsiTheme="majorHAnsi" w:cstheme="majorHAnsi"/>
          <w:sz w:val="23"/>
          <w:szCs w:val="23"/>
        </w:rPr>
        <w:t>SEIFA Index of Relative Socio-Economic Disadvantage</w:t>
      </w:r>
      <w:r w:rsidR="00F37382">
        <w:rPr>
          <w:rFonts w:asciiTheme="majorHAnsi" w:hAnsiTheme="majorHAnsi" w:cstheme="majorHAnsi"/>
          <w:sz w:val="23"/>
          <w:szCs w:val="23"/>
        </w:rPr>
        <w:t xml:space="preserve"> confirms this picture</w:t>
      </w:r>
      <w:r w:rsidR="00A02FEC">
        <w:rPr>
          <w:rFonts w:asciiTheme="majorHAnsi" w:hAnsiTheme="majorHAnsi" w:cstheme="majorHAnsi"/>
          <w:sz w:val="23"/>
          <w:szCs w:val="23"/>
        </w:rPr>
        <w:t xml:space="preserve"> (see Table 7.2, below)</w:t>
      </w:r>
      <w:r w:rsidR="00F37382">
        <w:rPr>
          <w:rFonts w:asciiTheme="majorHAnsi" w:hAnsiTheme="majorHAnsi" w:cstheme="majorHAnsi"/>
          <w:sz w:val="23"/>
          <w:szCs w:val="23"/>
        </w:rPr>
        <w:t>.</w:t>
      </w:r>
      <w:r w:rsidR="00F00E3D" w:rsidRPr="00E91887">
        <w:rPr>
          <w:rFonts w:asciiTheme="majorHAnsi" w:hAnsiTheme="majorHAnsi" w:cstheme="majorHAnsi"/>
          <w:sz w:val="23"/>
          <w:szCs w:val="23"/>
        </w:rPr>
        <w:t xml:space="preserve"> </w:t>
      </w:r>
      <w:r w:rsidR="00F37382">
        <w:rPr>
          <w:rFonts w:asciiTheme="majorHAnsi" w:hAnsiTheme="majorHAnsi" w:cstheme="majorHAnsi"/>
          <w:sz w:val="23"/>
          <w:szCs w:val="23"/>
        </w:rPr>
        <w:t>Based on the most recent ABS</w:t>
      </w:r>
      <w:r w:rsidR="00F00E3D" w:rsidRPr="00E91887">
        <w:rPr>
          <w:rFonts w:asciiTheme="majorHAnsi" w:hAnsiTheme="majorHAnsi" w:cstheme="majorHAnsi"/>
          <w:sz w:val="23"/>
          <w:szCs w:val="23"/>
        </w:rPr>
        <w:t xml:space="preserve"> </w:t>
      </w:r>
      <w:r w:rsidR="00F00E3D" w:rsidRPr="00EC0409">
        <w:rPr>
          <w:rFonts w:asciiTheme="majorHAnsi" w:hAnsiTheme="majorHAnsi" w:cstheme="majorHAnsi"/>
          <w:sz w:val="23"/>
          <w:szCs w:val="23"/>
        </w:rPr>
        <w:t>census data (2016)</w:t>
      </w:r>
      <w:r w:rsidR="00F37382" w:rsidRPr="00EC0409">
        <w:rPr>
          <w:rFonts w:asciiTheme="majorHAnsi" w:hAnsiTheme="majorHAnsi" w:cstheme="majorHAnsi"/>
          <w:sz w:val="23"/>
          <w:szCs w:val="23"/>
        </w:rPr>
        <w:t xml:space="preserve">, Corio, Norlane, and Whittington </w:t>
      </w:r>
      <w:r>
        <w:rPr>
          <w:rFonts w:asciiTheme="majorHAnsi" w:hAnsiTheme="majorHAnsi" w:cstheme="majorHAnsi"/>
          <w:sz w:val="23"/>
          <w:szCs w:val="23"/>
        </w:rPr>
        <w:t>are all on par with the most</w:t>
      </w:r>
      <w:r w:rsidRPr="00EC0409">
        <w:rPr>
          <w:rFonts w:asciiTheme="majorHAnsi" w:hAnsiTheme="majorHAnsi" w:cstheme="majorHAnsi"/>
          <w:sz w:val="23"/>
          <w:szCs w:val="23"/>
        </w:rPr>
        <w:t xml:space="preserve"> disadvantaged areas in Victoria </w:t>
      </w:r>
      <w:r w:rsidR="00F37382" w:rsidRPr="00EC0409">
        <w:rPr>
          <w:rFonts w:asciiTheme="majorHAnsi" w:hAnsiTheme="majorHAnsi" w:cstheme="majorHAnsi"/>
          <w:sz w:val="23"/>
          <w:szCs w:val="23"/>
        </w:rPr>
        <w:t>– that is,</w:t>
      </w:r>
      <w:r w:rsidR="00F00E3D" w:rsidRPr="00EC0409">
        <w:rPr>
          <w:rFonts w:asciiTheme="majorHAnsi" w:hAnsiTheme="majorHAnsi" w:cstheme="majorHAnsi"/>
          <w:sz w:val="23"/>
          <w:szCs w:val="23"/>
        </w:rPr>
        <w:t xml:space="preserve"> </w:t>
      </w:r>
      <w:r>
        <w:rPr>
          <w:rFonts w:asciiTheme="majorHAnsi" w:hAnsiTheme="majorHAnsi" w:cstheme="majorHAnsi"/>
          <w:sz w:val="23"/>
          <w:szCs w:val="23"/>
        </w:rPr>
        <w:t>they</w:t>
      </w:r>
      <w:r w:rsidR="00F00E3D" w:rsidRPr="00EC0409">
        <w:rPr>
          <w:rFonts w:asciiTheme="majorHAnsi" w:hAnsiTheme="majorHAnsi" w:cstheme="majorHAnsi"/>
          <w:sz w:val="23"/>
          <w:szCs w:val="23"/>
        </w:rPr>
        <w:t xml:space="preserve"> are </w:t>
      </w:r>
      <w:r w:rsidRPr="00EC0409">
        <w:rPr>
          <w:rFonts w:asciiTheme="majorHAnsi" w:hAnsiTheme="majorHAnsi" w:cstheme="majorHAnsi"/>
          <w:sz w:val="23"/>
          <w:szCs w:val="23"/>
        </w:rPr>
        <w:t xml:space="preserve">ranked </w:t>
      </w:r>
      <w:r w:rsidR="00F00E3D" w:rsidRPr="00EC0409">
        <w:rPr>
          <w:rFonts w:asciiTheme="majorHAnsi" w:hAnsiTheme="majorHAnsi" w:cstheme="majorHAnsi"/>
          <w:sz w:val="23"/>
          <w:szCs w:val="23"/>
        </w:rPr>
        <w:t>in the top</w:t>
      </w:r>
      <w:r w:rsidRPr="00EC0409">
        <w:rPr>
          <w:rFonts w:asciiTheme="majorHAnsi" w:hAnsiTheme="majorHAnsi" w:cstheme="majorHAnsi"/>
          <w:sz w:val="23"/>
          <w:szCs w:val="23"/>
        </w:rPr>
        <w:t>-most</w:t>
      </w:r>
      <w:r w:rsidR="00F00E3D" w:rsidRPr="00EC0409">
        <w:rPr>
          <w:rFonts w:asciiTheme="majorHAnsi" w:hAnsiTheme="majorHAnsi" w:cstheme="majorHAnsi"/>
          <w:sz w:val="23"/>
          <w:szCs w:val="23"/>
        </w:rPr>
        <w:t xml:space="preserve"> </w:t>
      </w:r>
      <w:r w:rsidRPr="00EC0409">
        <w:rPr>
          <w:rFonts w:asciiTheme="majorHAnsi" w:hAnsiTheme="majorHAnsi" w:cstheme="majorHAnsi"/>
          <w:sz w:val="23"/>
          <w:szCs w:val="23"/>
        </w:rPr>
        <w:t xml:space="preserve">percentile </w:t>
      </w:r>
      <w:r w:rsidR="00F00E3D" w:rsidRPr="00EC0409">
        <w:rPr>
          <w:rFonts w:asciiTheme="majorHAnsi" w:hAnsiTheme="majorHAnsi" w:cstheme="majorHAnsi"/>
          <w:sz w:val="23"/>
          <w:szCs w:val="23"/>
        </w:rPr>
        <w:t xml:space="preserve">of most disadvantaged suburbs in </w:t>
      </w:r>
      <w:r w:rsidRPr="00EC0409">
        <w:rPr>
          <w:rFonts w:asciiTheme="majorHAnsi" w:hAnsiTheme="majorHAnsi" w:cstheme="majorHAnsi"/>
          <w:sz w:val="23"/>
          <w:szCs w:val="23"/>
        </w:rPr>
        <w:t>the state</w:t>
      </w:r>
      <w:r w:rsidR="00F00E3D" w:rsidRPr="00EC0409">
        <w:rPr>
          <w:rFonts w:asciiTheme="majorHAnsi" w:hAnsiTheme="majorHAnsi" w:cstheme="majorHAnsi"/>
          <w:sz w:val="23"/>
          <w:szCs w:val="23"/>
        </w:rPr>
        <w:t>.</w:t>
      </w:r>
    </w:p>
    <w:tbl>
      <w:tblPr>
        <w:tblStyle w:val="TableGrid"/>
        <w:tblW w:w="0" w:type="auto"/>
        <w:tblLook w:val="04A0" w:firstRow="1" w:lastRow="0" w:firstColumn="1" w:lastColumn="0" w:noHBand="0" w:noVBand="1"/>
      </w:tblPr>
      <w:tblGrid>
        <w:gridCol w:w="3400"/>
        <w:gridCol w:w="1887"/>
        <w:gridCol w:w="2085"/>
        <w:gridCol w:w="2085"/>
      </w:tblGrid>
      <w:tr w:rsidR="00A02FEC" w:rsidRPr="00A02FEC" w14:paraId="4C57CBC2" w14:textId="77777777" w:rsidTr="007C77EC">
        <w:trPr>
          <w:trHeight w:val="518"/>
        </w:trPr>
        <w:tc>
          <w:tcPr>
            <w:tcW w:w="3400" w:type="dxa"/>
            <w:shd w:val="clear" w:color="auto" w:fill="D0CECE" w:themeFill="background2" w:themeFillShade="E6"/>
          </w:tcPr>
          <w:p w14:paraId="62A576DC" w14:textId="77777777" w:rsidR="00F00E3D" w:rsidRPr="00A02FEC" w:rsidRDefault="00F00E3D" w:rsidP="00EC0409">
            <w:pPr>
              <w:spacing w:line="276" w:lineRule="auto"/>
              <w:rPr>
                <w:rFonts w:cstheme="minorHAnsi"/>
                <w:b/>
                <w:bCs/>
                <w:sz w:val="21"/>
                <w:szCs w:val="21"/>
              </w:rPr>
            </w:pPr>
            <w:r w:rsidRPr="00A02FEC">
              <w:rPr>
                <w:rFonts w:cstheme="minorHAnsi"/>
                <w:b/>
                <w:bCs/>
                <w:sz w:val="21"/>
                <w:szCs w:val="21"/>
              </w:rPr>
              <w:t>Area</w:t>
            </w:r>
          </w:p>
        </w:tc>
        <w:tc>
          <w:tcPr>
            <w:tcW w:w="1887" w:type="dxa"/>
            <w:shd w:val="clear" w:color="auto" w:fill="D0CECE" w:themeFill="background2" w:themeFillShade="E6"/>
          </w:tcPr>
          <w:p w14:paraId="00CDBF8A" w14:textId="77777777" w:rsidR="00F00E3D" w:rsidRPr="00A02FEC" w:rsidRDefault="00F00E3D" w:rsidP="00EC0409">
            <w:pPr>
              <w:spacing w:line="276" w:lineRule="auto"/>
              <w:rPr>
                <w:rFonts w:cstheme="minorHAnsi"/>
                <w:b/>
                <w:bCs/>
                <w:sz w:val="21"/>
                <w:szCs w:val="21"/>
              </w:rPr>
            </w:pPr>
            <w:r w:rsidRPr="00A02FEC">
              <w:rPr>
                <w:rFonts w:cstheme="minorHAnsi"/>
                <w:b/>
                <w:bCs/>
                <w:sz w:val="21"/>
                <w:szCs w:val="21"/>
              </w:rPr>
              <w:t>2006</w:t>
            </w:r>
          </w:p>
        </w:tc>
        <w:tc>
          <w:tcPr>
            <w:tcW w:w="2085" w:type="dxa"/>
            <w:shd w:val="clear" w:color="auto" w:fill="D0CECE" w:themeFill="background2" w:themeFillShade="E6"/>
          </w:tcPr>
          <w:p w14:paraId="7039B240" w14:textId="77777777" w:rsidR="00F00E3D" w:rsidRPr="00A02FEC" w:rsidRDefault="00F00E3D" w:rsidP="00EC0409">
            <w:pPr>
              <w:spacing w:line="276" w:lineRule="auto"/>
              <w:rPr>
                <w:rFonts w:cstheme="minorHAnsi"/>
                <w:b/>
                <w:bCs/>
                <w:sz w:val="21"/>
                <w:szCs w:val="21"/>
              </w:rPr>
            </w:pPr>
            <w:r w:rsidRPr="00A02FEC">
              <w:rPr>
                <w:rFonts w:cstheme="minorHAnsi"/>
                <w:b/>
                <w:bCs/>
                <w:sz w:val="21"/>
                <w:szCs w:val="21"/>
              </w:rPr>
              <w:t>2011</w:t>
            </w:r>
          </w:p>
        </w:tc>
        <w:tc>
          <w:tcPr>
            <w:tcW w:w="2085" w:type="dxa"/>
            <w:shd w:val="clear" w:color="auto" w:fill="D0CECE" w:themeFill="background2" w:themeFillShade="E6"/>
          </w:tcPr>
          <w:p w14:paraId="70782607" w14:textId="77777777" w:rsidR="00F00E3D" w:rsidRPr="00A02FEC" w:rsidRDefault="00F00E3D" w:rsidP="00EC0409">
            <w:pPr>
              <w:spacing w:line="276" w:lineRule="auto"/>
              <w:rPr>
                <w:rFonts w:cstheme="minorHAnsi"/>
                <w:b/>
                <w:bCs/>
                <w:sz w:val="21"/>
                <w:szCs w:val="21"/>
              </w:rPr>
            </w:pPr>
            <w:r w:rsidRPr="00A02FEC">
              <w:rPr>
                <w:rFonts w:cstheme="minorHAnsi"/>
                <w:b/>
                <w:bCs/>
                <w:sz w:val="21"/>
                <w:szCs w:val="21"/>
              </w:rPr>
              <w:t>2016</w:t>
            </w:r>
          </w:p>
        </w:tc>
      </w:tr>
      <w:tr w:rsidR="00F00E3D" w:rsidRPr="00A02FEC" w14:paraId="32E72DC8" w14:textId="77777777" w:rsidTr="007C77EC">
        <w:trPr>
          <w:trHeight w:val="505"/>
        </w:trPr>
        <w:tc>
          <w:tcPr>
            <w:tcW w:w="3400" w:type="dxa"/>
            <w:vAlign w:val="center"/>
          </w:tcPr>
          <w:p w14:paraId="5F30BCFF" w14:textId="77777777" w:rsidR="00F00E3D" w:rsidRPr="00A02FEC" w:rsidRDefault="00F00E3D" w:rsidP="00A02FEC">
            <w:pPr>
              <w:spacing w:line="276" w:lineRule="auto"/>
              <w:rPr>
                <w:rFonts w:asciiTheme="majorHAnsi" w:hAnsiTheme="majorHAnsi" w:cstheme="majorHAnsi"/>
                <w:sz w:val="21"/>
                <w:szCs w:val="21"/>
              </w:rPr>
            </w:pPr>
            <w:r w:rsidRPr="00A02FEC">
              <w:rPr>
                <w:rFonts w:asciiTheme="majorHAnsi" w:hAnsiTheme="majorHAnsi" w:cstheme="majorHAnsi"/>
                <w:sz w:val="21"/>
                <w:szCs w:val="21"/>
              </w:rPr>
              <w:t xml:space="preserve">Corio </w:t>
            </w:r>
          </w:p>
        </w:tc>
        <w:tc>
          <w:tcPr>
            <w:tcW w:w="1887" w:type="dxa"/>
            <w:vAlign w:val="center"/>
          </w:tcPr>
          <w:p w14:paraId="6BCF7593" w14:textId="77777777" w:rsidR="00F00E3D" w:rsidRPr="00A02FEC" w:rsidRDefault="00F00E3D" w:rsidP="00A02FEC">
            <w:pPr>
              <w:spacing w:line="276" w:lineRule="auto"/>
              <w:rPr>
                <w:rFonts w:asciiTheme="majorHAnsi" w:hAnsiTheme="majorHAnsi" w:cstheme="majorHAnsi"/>
                <w:sz w:val="21"/>
                <w:szCs w:val="21"/>
              </w:rPr>
            </w:pPr>
            <w:r w:rsidRPr="00A02FEC">
              <w:rPr>
                <w:rFonts w:asciiTheme="majorHAnsi" w:hAnsiTheme="majorHAnsi" w:cstheme="majorHAnsi"/>
                <w:sz w:val="21"/>
                <w:szCs w:val="21"/>
              </w:rPr>
              <w:t>4</w:t>
            </w:r>
            <w:r w:rsidRPr="00A02FEC">
              <w:rPr>
                <w:rFonts w:asciiTheme="majorHAnsi" w:hAnsiTheme="majorHAnsi" w:cstheme="majorHAnsi"/>
                <w:sz w:val="21"/>
                <w:szCs w:val="21"/>
                <w:vertAlign w:val="superscript"/>
              </w:rPr>
              <w:t>th</w:t>
            </w:r>
            <w:r w:rsidRPr="00A02FEC">
              <w:rPr>
                <w:rFonts w:asciiTheme="majorHAnsi" w:hAnsiTheme="majorHAnsi" w:cstheme="majorHAnsi"/>
                <w:sz w:val="21"/>
                <w:szCs w:val="21"/>
              </w:rPr>
              <w:t xml:space="preserve"> percentile</w:t>
            </w:r>
          </w:p>
        </w:tc>
        <w:tc>
          <w:tcPr>
            <w:tcW w:w="2085" w:type="dxa"/>
            <w:vAlign w:val="center"/>
          </w:tcPr>
          <w:p w14:paraId="10DE7AAC" w14:textId="77777777" w:rsidR="00F00E3D" w:rsidRPr="00A02FEC" w:rsidRDefault="00F00E3D" w:rsidP="00A02FEC">
            <w:pPr>
              <w:spacing w:line="276" w:lineRule="auto"/>
              <w:rPr>
                <w:rFonts w:asciiTheme="majorHAnsi" w:hAnsiTheme="majorHAnsi" w:cstheme="majorHAnsi"/>
                <w:sz w:val="21"/>
                <w:szCs w:val="21"/>
              </w:rPr>
            </w:pPr>
            <w:r w:rsidRPr="00A02FEC">
              <w:rPr>
                <w:rFonts w:asciiTheme="majorHAnsi" w:hAnsiTheme="majorHAnsi" w:cstheme="majorHAnsi"/>
                <w:sz w:val="21"/>
                <w:szCs w:val="21"/>
              </w:rPr>
              <w:t>3</w:t>
            </w:r>
            <w:r w:rsidRPr="00A02FEC">
              <w:rPr>
                <w:rFonts w:asciiTheme="majorHAnsi" w:hAnsiTheme="majorHAnsi" w:cstheme="majorHAnsi"/>
                <w:sz w:val="21"/>
                <w:szCs w:val="21"/>
                <w:vertAlign w:val="superscript"/>
              </w:rPr>
              <w:t>rd</w:t>
            </w:r>
            <w:r w:rsidRPr="00A02FEC">
              <w:rPr>
                <w:rFonts w:asciiTheme="majorHAnsi" w:hAnsiTheme="majorHAnsi" w:cstheme="majorHAnsi"/>
                <w:sz w:val="21"/>
                <w:szCs w:val="21"/>
              </w:rPr>
              <w:t xml:space="preserve"> percentile</w:t>
            </w:r>
          </w:p>
        </w:tc>
        <w:tc>
          <w:tcPr>
            <w:tcW w:w="2085" w:type="dxa"/>
            <w:vAlign w:val="center"/>
          </w:tcPr>
          <w:p w14:paraId="4214CC1C" w14:textId="77777777" w:rsidR="00F00E3D" w:rsidRPr="00A02FEC" w:rsidRDefault="00F00E3D" w:rsidP="00A02FEC">
            <w:pPr>
              <w:spacing w:line="276" w:lineRule="auto"/>
              <w:rPr>
                <w:rFonts w:asciiTheme="majorHAnsi" w:hAnsiTheme="majorHAnsi" w:cstheme="majorHAnsi"/>
                <w:sz w:val="21"/>
                <w:szCs w:val="21"/>
              </w:rPr>
            </w:pPr>
            <w:r w:rsidRPr="00A02FEC">
              <w:rPr>
                <w:rFonts w:asciiTheme="majorHAnsi" w:hAnsiTheme="majorHAnsi" w:cstheme="majorHAnsi"/>
                <w:sz w:val="21"/>
                <w:szCs w:val="21"/>
              </w:rPr>
              <w:t>1</w:t>
            </w:r>
            <w:r w:rsidRPr="00A02FEC">
              <w:rPr>
                <w:rFonts w:asciiTheme="majorHAnsi" w:hAnsiTheme="majorHAnsi" w:cstheme="majorHAnsi"/>
                <w:sz w:val="21"/>
                <w:szCs w:val="21"/>
                <w:vertAlign w:val="superscript"/>
              </w:rPr>
              <w:t>st</w:t>
            </w:r>
            <w:r w:rsidRPr="00A02FEC">
              <w:rPr>
                <w:rFonts w:asciiTheme="majorHAnsi" w:hAnsiTheme="majorHAnsi" w:cstheme="majorHAnsi"/>
                <w:sz w:val="21"/>
                <w:szCs w:val="21"/>
              </w:rPr>
              <w:t xml:space="preserve"> percentile</w:t>
            </w:r>
          </w:p>
        </w:tc>
      </w:tr>
      <w:tr w:rsidR="00F00E3D" w:rsidRPr="00A02FEC" w14:paraId="7A8A5393" w14:textId="77777777" w:rsidTr="007C77EC">
        <w:trPr>
          <w:trHeight w:val="518"/>
        </w:trPr>
        <w:tc>
          <w:tcPr>
            <w:tcW w:w="3400" w:type="dxa"/>
            <w:vAlign w:val="center"/>
          </w:tcPr>
          <w:p w14:paraId="69D422CD" w14:textId="77777777" w:rsidR="00F00E3D" w:rsidRPr="00A02FEC" w:rsidRDefault="00F00E3D" w:rsidP="00A02FEC">
            <w:pPr>
              <w:spacing w:line="276" w:lineRule="auto"/>
              <w:rPr>
                <w:rFonts w:asciiTheme="majorHAnsi" w:hAnsiTheme="majorHAnsi" w:cstheme="majorHAnsi"/>
                <w:sz w:val="21"/>
                <w:szCs w:val="21"/>
              </w:rPr>
            </w:pPr>
            <w:r w:rsidRPr="00A02FEC">
              <w:rPr>
                <w:rFonts w:asciiTheme="majorHAnsi" w:hAnsiTheme="majorHAnsi" w:cstheme="majorHAnsi"/>
                <w:sz w:val="21"/>
                <w:szCs w:val="21"/>
              </w:rPr>
              <w:t>Norlane</w:t>
            </w:r>
          </w:p>
        </w:tc>
        <w:tc>
          <w:tcPr>
            <w:tcW w:w="1887" w:type="dxa"/>
            <w:vAlign w:val="center"/>
          </w:tcPr>
          <w:p w14:paraId="0A4807D0" w14:textId="77777777" w:rsidR="00F00E3D" w:rsidRPr="00A02FEC" w:rsidRDefault="00F00E3D" w:rsidP="00A02FEC">
            <w:pPr>
              <w:spacing w:line="276" w:lineRule="auto"/>
              <w:rPr>
                <w:rFonts w:asciiTheme="majorHAnsi" w:hAnsiTheme="majorHAnsi" w:cstheme="majorHAnsi"/>
                <w:sz w:val="21"/>
                <w:szCs w:val="21"/>
              </w:rPr>
            </w:pPr>
            <w:r w:rsidRPr="00A02FEC">
              <w:rPr>
                <w:rFonts w:asciiTheme="majorHAnsi" w:hAnsiTheme="majorHAnsi" w:cstheme="majorHAnsi"/>
                <w:sz w:val="21"/>
                <w:szCs w:val="21"/>
              </w:rPr>
              <w:t>1</w:t>
            </w:r>
            <w:r w:rsidRPr="00A02FEC">
              <w:rPr>
                <w:rFonts w:asciiTheme="majorHAnsi" w:hAnsiTheme="majorHAnsi" w:cstheme="majorHAnsi"/>
                <w:sz w:val="21"/>
                <w:szCs w:val="21"/>
                <w:vertAlign w:val="superscript"/>
              </w:rPr>
              <w:t>st</w:t>
            </w:r>
            <w:r w:rsidRPr="00A02FEC">
              <w:rPr>
                <w:rFonts w:asciiTheme="majorHAnsi" w:hAnsiTheme="majorHAnsi" w:cstheme="majorHAnsi"/>
                <w:sz w:val="21"/>
                <w:szCs w:val="21"/>
              </w:rPr>
              <w:t xml:space="preserve"> percentile</w:t>
            </w:r>
          </w:p>
        </w:tc>
        <w:tc>
          <w:tcPr>
            <w:tcW w:w="2085" w:type="dxa"/>
            <w:vAlign w:val="center"/>
          </w:tcPr>
          <w:p w14:paraId="08607B47" w14:textId="77777777" w:rsidR="00F00E3D" w:rsidRPr="00A02FEC" w:rsidRDefault="00F00E3D" w:rsidP="00A02FEC">
            <w:pPr>
              <w:spacing w:line="276" w:lineRule="auto"/>
              <w:rPr>
                <w:rFonts w:asciiTheme="majorHAnsi" w:hAnsiTheme="majorHAnsi" w:cstheme="majorHAnsi"/>
                <w:sz w:val="21"/>
                <w:szCs w:val="21"/>
              </w:rPr>
            </w:pPr>
            <w:r w:rsidRPr="00A02FEC">
              <w:rPr>
                <w:rFonts w:asciiTheme="majorHAnsi" w:hAnsiTheme="majorHAnsi" w:cstheme="majorHAnsi"/>
                <w:sz w:val="21"/>
                <w:szCs w:val="21"/>
              </w:rPr>
              <w:t>3</w:t>
            </w:r>
            <w:r w:rsidRPr="00A02FEC">
              <w:rPr>
                <w:rFonts w:asciiTheme="majorHAnsi" w:hAnsiTheme="majorHAnsi" w:cstheme="majorHAnsi"/>
                <w:sz w:val="21"/>
                <w:szCs w:val="21"/>
                <w:vertAlign w:val="superscript"/>
              </w:rPr>
              <w:t>rd</w:t>
            </w:r>
            <w:r w:rsidRPr="00A02FEC">
              <w:rPr>
                <w:rFonts w:asciiTheme="majorHAnsi" w:hAnsiTheme="majorHAnsi" w:cstheme="majorHAnsi"/>
                <w:sz w:val="21"/>
                <w:szCs w:val="21"/>
              </w:rPr>
              <w:t xml:space="preserve"> percentile</w:t>
            </w:r>
          </w:p>
        </w:tc>
        <w:tc>
          <w:tcPr>
            <w:tcW w:w="2085" w:type="dxa"/>
            <w:vAlign w:val="center"/>
          </w:tcPr>
          <w:p w14:paraId="7865F58E" w14:textId="77777777" w:rsidR="00F00E3D" w:rsidRPr="00A02FEC" w:rsidRDefault="00F00E3D" w:rsidP="00A02FEC">
            <w:pPr>
              <w:spacing w:line="276" w:lineRule="auto"/>
              <w:rPr>
                <w:rFonts w:asciiTheme="majorHAnsi" w:hAnsiTheme="majorHAnsi" w:cstheme="majorHAnsi"/>
                <w:sz w:val="21"/>
                <w:szCs w:val="21"/>
              </w:rPr>
            </w:pPr>
            <w:r w:rsidRPr="00A02FEC">
              <w:rPr>
                <w:rFonts w:asciiTheme="majorHAnsi" w:hAnsiTheme="majorHAnsi" w:cstheme="majorHAnsi"/>
                <w:sz w:val="21"/>
                <w:szCs w:val="21"/>
              </w:rPr>
              <w:t>1</w:t>
            </w:r>
            <w:r w:rsidRPr="00A02FEC">
              <w:rPr>
                <w:rFonts w:asciiTheme="majorHAnsi" w:hAnsiTheme="majorHAnsi" w:cstheme="majorHAnsi"/>
                <w:sz w:val="21"/>
                <w:szCs w:val="21"/>
                <w:vertAlign w:val="superscript"/>
              </w:rPr>
              <w:t>st</w:t>
            </w:r>
            <w:r w:rsidRPr="00A02FEC">
              <w:rPr>
                <w:rFonts w:asciiTheme="majorHAnsi" w:hAnsiTheme="majorHAnsi" w:cstheme="majorHAnsi"/>
                <w:sz w:val="21"/>
                <w:szCs w:val="21"/>
              </w:rPr>
              <w:t xml:space="preserve"> percentile</w:t>
            </w:r>
          </w:p>
        </w:tc>
      </w:tr>
      <w:tr w:rsidR="00F00E3D" w:rsidRPr="00E91887" w14:paraId="639A39DA" w14:textId="77777777" w:rsidTr="007C77EC">
        <w:trPr>
          <w:trHeight w:val="546"/>
        </w:trPr>
        <w:tc>
          <w:tcPr>
            <w:tcW w:w="3400" w:type="dxa"/>
            <w:vAlign w:val="center"/>
          </w:tcPr>
          <w:p w14:paraId="27B52C82" w14:textId="77777777" w:rsidR="00F00E3D" w:rsidRPr="00E91887" w:rsidRDefault="00F00E3D" w:rsidP="00A02FEC">
            <w:pPr>
              <w:spacing w:line="276" w:lineRule="auto"/>
              <w:rPr>
                <w:rFonts w:asciiTheme="majorHAnsi" w:hAnsiTheme="majorHAnsi" w:cstheme="majorHAnsi"/>
                <w:sz w:val="23"/>
                <w:szCs w:val="23"/>
              </w:rPr>
            </w:pPr>
            <w:r w:rsidRPr="00E91887">
              <w:rPr>
                <w:rFonts w:asciiTheme="majorHAnsi" w:hAnsiTheme="majorHAnsi" w:cstheme="majorHAnsi"/>
                <w:sz w:val="23"/>
                <w:szCs w:val="23"/>
              </w:rPr>
              <w:t>Whittington</w:t>
            </w:r>
          </w:p>
        </w:tc>
        <w:tc>
          <w:tcPr>
            <w:tcW w:w="1887" w:type="dxa"/>
            <w:vAlign w:val="center"/>
          </w:tcPr>
          <w:p w14:paraId="6C7945AD" w14:textId="77777777" w:rsidR="00F00E3D" w:rsidRPr="00E91887" w:rsidRDefault="00F00E3D" w:rsidP="00A02FEC">
            <w:pPr>
              <w:spacing w:line="276" w:lineRule="auto"/>
              <w:rPr>
                <w:rFonts w:asciiTheme="majorHAnsi" w:hAnsiTheme="majorHAnsi" w:cstheme="majorHAnsi"/>
                <w:sz w:val="23"/>
                <w:szCs w:val="23"/>
              </w:rPr>
            </w:pPr>
            <w:r w:rsidRPr="00E91887">
              <w:rPr>
                <w:rFonts w:asciiTheme="majorHAnsi" w:hAnsiTheme="majorHAnsi" w:cstheme="majorHAnsi"/>
                <w:sz w:val="23"/>
                <w:szCs w:val="23"/>
              </w:rPr>
              <w:t>2</w:t>
            </w:r>
            <w:r w:rsidRPr="00E91887">
              <w:rPr>
                <w:rFonts w:asciiTheme="majorHAnsi" w:hAnsiTheme="majorHAnsi" w:cstheme="majorHAnsi"/>
                <w:sz w:val="23"/>
                <w:szCs w:val="23"/>
                <w:vertAlign w:val="superscript"/>
              </w:rPr>
              <w:t>nd</w:t>
            </w:r>
            <w:r w:rsidRPr="00E91887">
              <w:rPr>
                <w:rFonts w:asciiTheme="majorHAnsi" w:hAnsiTheme="majorHAnsi" w:cstheme="majorHAnsi"/>
                <w:sz w:val="23"/>
                <w:szCs w:val="23"/>
              </w:rPr>
              <w:t xml:space="preserve"> percentile</w:t>
            </w:r>
          </w:p>
        </w:tc>
        <w:tc>
          <w:tcPr>
            <w:tcW w:w="2085" w:type="dxa"/>
            <w:vAlign w:val="center"/>
          </w:tcPr>
          <w:p w14:paraId="0372DE82" w14:textId="77777777" w:rsidR="00F00E3D" w:rsidRPr="00E91887" w:rsidRDefault="00F00E3D" w:rsidP="00A02FEC">
            <w:pPr>
              <w:spacing w:line="276" w:lineRule="auto"/>
              <w:rPr>
                <w:rFonts w:asciiTheme="majorHAnsi" w:hAnsiTheme="majorHAnsi" w:cstheme="majorHAnsi"/>
                <w:sz w:val="23"/>
                <w:szCs w:val="23"/>
              </w:rPr>
            </w:pPr>
            <w:r w:rsidRPr="00E91887">
              <w:rPr>
                <w:rFonts w:asciiTheme="majorHAnsi" w:hAnsiTheme="majorHAnsi" w:cstheme="majorHAnsi"/>
                <w:sz w:val="23"/>
                <w:szCs w:val="23"/>
              </w:rPr>
              <w:t>2</w:t>
            </w:r>
            <w:r w:rsidRPr="00E91887">
              <w:rPr>
                <w:rFonts w:asciiTheme="majorHAnsi" w:hAnsiTheme="majorHAnsi" w:cstheme="majorHAnsi"/>
                <w:sz w:val="23"/>
                <w:szCs w:val="23"/>
                <w:vertAlign w:val="superscript"/>
              </w:rPr>
              <w:t>nd</w:t>
            </w:r>
            <w:r w:rsidRPr="00E91887">
              <w:rPr>
                <w:rFonts w:asciiTheme="majorHAnsi" w:hAnsiTheme="majorHAnsi" w:cstheme="majorHAnsi"/>
                <w:sz w:val="23"/>
                <w:szCs w:val="23"/>
              </w:rPr>
              <w:t xml:space="preserve"> percentile</w:t>
            </w:r>
          </w:p>
        </w:tc>
        <w:tc>
          <w:tcPr>
            <w:tcW w:w="2085" w:type="dxa"/>
            <w:vAlign w:val="center"/>
          </w:tcPr>
          <w:p w14:paraId="68CEE0FD" w14:textId="77777777" w:rsidR="00F00E3D" w:rsidRPr="00E91887" w:rsidRDefault="00F00E3D" w:rsidP="00A02FEC">
            <w:pPr>
              <w:spacing w:line="276" w:lineRule="auto"/>
              <w:rPr>
                <w:rFonts w:asciiTheme="majorHAnsi" w:hAnsiTheme="majorHAnsi" w:cstheme="majorHAnsi"/>
                <w:sz w:val="23"/>
                <w:szCs w:val="23"/>
              </w:rPr>
            </w:pPr>
            <w:r w:rsidRPr="00E91887">
              <w:rPr>
                <w:rFonts w:asciiTheme="majorHAnsi" w:hAnsiTheme="majorHAnsi" w:cstheme="majorHAnsi"/>
                <w:sz w:val="23"/>
                <w:szCs w:val="23"/>
              </w:rPr>
              <w:t>1</w:t>
            </w:r>
            <w:r w:rsidRPr="00E91887">
              <w:rPr>
                <w:rFonts w:asciiTheme="majorHAnsi" w:hAnsiTheme="majorHAnsi" w:cstheme="majorHAnsi"/>
                <w:sz w:val="23"/>
                <w:szCs w:val="23"/>
                <w:vertAlign w:val="superscript"/>
              </w:rPr>
              <w:t>st</w:t>
            </w:r>
            <w:r w:rsidRPr="00E91887">
              <w:rPr>
                <w:rFonts w:asciiTheme="majorHAnsi" w:hAnsiTheme="majorHAnsi" w:cstheme="majorHAnsi"/>
                <w:sz w:val="23"/>
                <w:szCs w:val="23"/>
              </w:rPr>
              <w:t xml:space="preserve"> percentile</w:t>
            </w:r>
          </w:p>
        </w:tc>
      </w:tr>
    </w:tbl>
    <w:p w14:paraId="1308A3E4" w14:textId="77777777" w:rsidR="007C77EC" w:rsidRDefault="00EC0409" w:rsidP="00A02FEC">
      <w:pPr>
        <w:spacing w:after="0" w:line="240" w:lineRule="auto"/>
        <w:rPr>
          <w:rFonts w:cstheme="minorHAnsi"/>
          <w:b/>
          <w:bCs/>
          <w:sz w:val="21"/>
          <w:szCs w:val="21"/>
        </w:rPr>
      </w:pPr>
      <w:r w:rsidRPr="00EC0409">
        <w:rPr>
          <w:rFonts w:cstheme="minorHAnsi"/>
          <w:b/>
          <w:bCs/>
          <w:sz w:val="21"/>
          <w:szCs w:val="21"/>
        </w:rPr>
        <w:t xml:space="preserve">Table </w:t>
      </w:r>
      <w:r>
        <w:rPr>
          <w:rFonts w:cstheme="minorHAnsi"/>
          <w:b/>
          <w:bCs/>
          <w:sz w:val="21"/>
          <w:szCs w:val="21"/>
        </w:rPr>
        <w:t>7.2</w:t>
      </w:r>
      <w:r w:rsidRPr="00EC0409">
        <w:rPr>
          <w:rFonts w:cstheme="minorHAnsi"/>
          <w:b/>
          <w:bCs/>
          <w:sz w:val="21"/>
          <w:szCs w:val="21"/>
        </w:rPr>
        <w:t xml:space="preserve">: </w:t>
      </w:r>
      <w:r w:rsidR="00A02FEC">
        <w:rPr>
          <w:rFonts w:cstheme="minorHAnsi"/>
          <w:b/>
          <w:bCs/>
          <w:sz w:val="21"/>
          <w:szCs w:val="21"/>
        </w:rPr>
        <w:t xml:space="preserve">Corio, Norlane, Whittington: </w:t>
      </w:r>
      <w:r w:rsidRPr="00EC0409">
        <w:rPr>
          <w:rFonts w:cstheme="minorHAnsi"/>
          <w:b/>
          <w:bCs/>
          <w:sz w:val="21"/>
          <w:szCs w:val="21"/>
        </w:rPr>
        <w:t>SEIFA Index of Relative Socio-Economic Disadvantage</w:t>
      </w:r>
    </w:p>
    <w:p w14:paraId="2EAA4846" w14:textId="42A620FF" w:rsidR="00F00E3D" w:rsidRPr="00EC0409" w:rsidRDefault="007C77EC" w:rsidP="00A02FEC">
      <w:pPr>
        <w:spacing w:after="0" w:line="240" w:lineRule="auto"/>
        <w:rPr>
          <w:rFonts w:cstheme="minorHAnsi"/>
          <w:b/>
          <w:bCs/>
          <w:sz w:val="21"/>
          <w:szCs w:val="21"/>
        </w:rPr>
      </w:pPr>
      <w:r>
        <w:rPr>
          <w:rFonts w:cstheme="minorHAnsi"/>
          <w:b/>
          <w:bCs/>
          <w:sz w:val="21"/>
          <w:szCs w:val="21"/>
        </w:rPr>
        <w:t>(</w:t>
      </w:r>
      <w:r w:rsidR="00EC0409" w:rsidRPr="00EC0409">
        <w:rPr>
          <w:rFonts w:cstheme="minorHAnsi"/>
          <w:b/>
          <w:bCs/>
          <w:sz w:val="21"/>
          <w:szCs w:val="21"/>
        </w:rPr>
        <w:t>2006, 2011, 2016</w:t>
      </w:r>
      <w:r>
        <w:rPr>
          <w:rFonts w:cstheme="minorHAnsi"/>
          <w:b/>
          <w:bCs/>
          <w:sz w:val="21"/>
          <w:szCs w:val="21"/>
        </w:rPr>
        <w:t>, p</w:t>
      </w:r>
      <w:r w:rsidR="00EC0409" w:rsidRPr="00EC0409">
        <w:rPr>
          <w:rFonts w:cstheme="minorHAnsi"/>
          <w:b/>
          <w:bCs/>
          <w:sz w:val="21"/>
          <w:szCs w:val="21"/>
        </w:rPr>
        <w:t xml:space="preserve">ercentile ranking relative to other suburbs in Victoria) </w:t>
      </w:r>
      <w:r w:rsidR="00EC0409" w:rsidRPr="00EC0409">
        <w:rPr>
          <w:rFonts w:cstheme="minorHAnsi"/>
          <w:b/>
          <w:bCs/>
          <w:noProof/>
          <w:sz w:val="21"/>
          <w:szCs w:val="21"/>
        </w:rPr>
        <w:t>(Source: ABS, 2006, 2011, 2016)</w:t>
      </w:r>
    </w:p>
    <w:p w14:paraId="22E3CD2E" w14:textId="77777777" w:rsidR="00EC0409" w:rsidRPr="00EC0409" w:rsidRDefault="00EC0409" w:rsidP="00EC0409">
      <w:pPr>
        <w:spacing w:after="0" w:line="276" w:lineRule="auto"/>
        <w:rPr>
          <w:rFonts w:cstheme="minorHAnsi"/>
          <w:sz w:val="21"/>
          <w:szCs w:val="21"/>
          <w:highlight w:val="yellow"/>
        </w:rPr>
      </w:pPr>
    </w:p>
    <w:p w14:paraId="5E7A283E" w14:textId="1E5D208F" w:rsidR="00A02FEC" w:rsidRDefault="0033390D" w:rsidP="00A02FEC">
      <w:pPr>
        <w:spacing w:after="0" w:line="276" w:lineRule="auto"/>
        <w:rPr>
          <w:rFonts w:asciiTheme="majorHAnsi" w:hAnsiTheme="majorHAnsi" w:cstheme="majorHAnsi"/>
          <w:sz w:val="23"/>
          <w:szCs w:val="23"/>
        </w:rPr>
      </w:pPr>
      <w:r>
        <w:rPr>
          <w:rFonts w:asciiTheme="majorHAnsi" w:hAnsiTheme="majorHAnsi" w:cstheme="majorHAnsi"/>
          <w:sz w:val="23"/>
          <w:szCs w:val="23"/>
        </w:rPr>
        <w:t>In building</w:t>
      </w:r>
      <w:r w:rsidR="00A02FEC">
        <w:rPr>
          <w:rFonts w:asciiTheme="majorHAnsi" w:hAnsiTheme="majorHAnsi" w:cstheme="majorHAnsi"/>
          <w:sz w:val="23"/>
          <w:szCs w:val="23"/>
        </w:rPr>
        <w:t xml:space="preserve"> a picture of the</w:t>
      </w:r>
      <w:r w:rsidR="007C77EC">
        <w:rPr>
          <w:rFonts w:asciiTheme="majorHAnsi" w:hAnsiTheme="majorHAnsi" w:cstheme="majorHAnsi"/>
          <w:sz w:val="23"/>
          <w:szCs w:val="23"/>
        </w:rPr>
        <w:t>se</w:t>
      </w:r>
      <w:r w:rsidR="00A02FEC">
        <w:rPr>
          <w:rFonts w:asciiTheme="majorHAnsi" w:hAnsiTheme="majorHAnsi" w:cstheme="majorHAnsi"/>
          <w:sz w:val="23"/>
          <w:szCs w:val="23"/>
        </w:rPr>
        <w:t xml:space="preserve"> three localities, general patterns of</w:t>
      </w:r>
      <w:r w:rsidR="00F00E3D" w:rsidRPr="00E91887">
        <w:rPr>
          <w:rFonts w:asciiTheme="majorHAnsi" w:hAnsiTheme="majorHAnsi" w:cstheme="majorHAnsi"/>
          <w:sz w:val="23"/>
          <w:szCs w:val="23"/>
        </w:rPr>
        <w:t xml:space="preserve"> ethnic diversity </w:t>
      </w:r>
      <w:r w:rsidR="00A02FEC">
        <w:rPr>
          <w:rFonts w:asciiTheme="majorHAnsi" w:hAnsiTheme="majorHAnsi" w:cstheme="majorHAnsi"/>
          <w:sz w:val="23"/>
          <w:szCs w:val="23"/>
        </w:rPr>
        <w:t>and employment</w:t>
      </w:r>
      <w:r>
        <w:rPr>
          <w:rFonts w:asciiTheme="majorHAnsi" w:hAnsiTheme="majorHAnsi" w:cstheme="majorHAnsi"/>
          <w:sz w:val="23"/>
          <w:szCs w:val="23"/>
        </w:rPr>
        <w:t xml:space="preserve"> sectors</w:t>
      </w:r>
      <w:r w:rsidR="00A02FEC">
        <w:rPr>
          <w:rFonts w:asciiTheme="majorHAnsi" w:hAnsiTheme="majorHAnsi" w:cstheme="majorHAnsi"/>
          <w:sz w:val="23"/>
          <w:szCs w:val="23"/>
        </w:rPr>
        <w:t xml:space="preserve"> provide useful background.</w:t>
      </w:r>
      <w:r w:rsidR="00F00E3D" w:rsidRPr="00E91887">
        <w:rPr>
          <w:rFonts w:asciiTheme="majorHAnsi" w:hAnsiTheme="majorHAnsi" w:cstheme="majorHAnsi"/>
          <w:sz w:val="23"/>
          <w:szCs w:val="23"/>
        </w:rPr>
        <w:t xml:space="preserve"> </w:t>
      </w:r>
      <w:r w:rsidR="00A02FEC">
        <w:rPr>
          <w:rFonts w:asciiTheme="majorHAnsi" w:hAnsiTheme="majorHAnsi" w:cstheme="majorHAnsi"/>
          <w:sz w:val="23"/>
          <w:szCs w:val="23"/>
        </w:rPr>
        <w:t xml:space="preserve">As Table 7.3 (below) </w:t>
      </w:r>
      <w:r w:rsidR="007C77EC">
        <w:rPr>
          <w:rFonts w:asciiTheme="majorHAnsi" w:hAnsiTheme="majorHAnsi" w:cstheme="majorHAnsi"/>
          <w:sz w:val="23"/>
          <w:szCs w:val="23"/>
        </w:rPr>
        <w:t>shows</w:t>
      </w:r>
      <w:r w:rsidR="00A02FEC">
        <w:rPr>
          <w:rFonts w:asciiTheme="majorHAnsi" w:hAnsiTheme="majorHAnsi" w:cstheme="majorHAnsi"/>
          <w:sz w:val="23"/>
          <w:szCs w:val="23"/>
        </w:rPr>
        <w:t xml:space="preserve">, </w:t>
      </w:r>
      <w:r>
        <w:rPr>
          <w:rFonts w:asciiTheme="majorHAnsi" w:hAnsiTheme="majorHAnsi" w:cstheme="majorHAnsi"/>
          <w:sz w:val="23"/>
          <w:szCs w:val="23"/>
        </w:rPr>
        <w:t xml:space="preserve">all three suburbs </w:t>
      </w:r>
      <w:r w:rsidR="00A02FEC">
        <w:rPr>
          <w:rFonts w:asciiTheme="majorHAnsi" w:hAnsiTheme="majorHAnsi" w:cstheme="majorHAnsi"/>
          <w:sz w:val="23"/>
          <w:szCs w:val="23"/>
        </w:rPr>
        <w:t>have majority</w:t>
      </w:r>
      <w:r w:rsidR="00A02FEC" w:rsidRPr="00E91887">
        <w:rPr>
          <w:rFonts w:asciiTheme="majorHAnsi" w:hAnsiTheme="majorHAnsi" w:cstheme="majorHAnsi"/>
          <w:sz w:val="23"/>
          <w:szCs w:val="23"/>
        </w:rPr>
        <w:t xml:space="preserve"> Australian-born populations, </w:t>
      </w:r>
      <w:r>
        <w:rPr>
          <w:rFonts w:asciiTheme="majorHAnsi" w:hAnsiTheme="majorHAnsi" w:cstheme="majorHAnsi"/>
          <w:sz w:val="23"/>
          <w:szCs w:val="23"/>
        </w:rPr>
        <w:t>but there is also a</w:t>
      </w:r>
      <w:r w:rsidR="00A02FEC" w:rsidRPr="00E91887">
        <w:rPr>
          <w:rFonts w:asciiTheme="majorHAnsi" w:hAnsiTheme="majorHAnsi" w:cstheme="majorHAnsi"/>
          <w:sz w:val="23"/>
          <w:szCs w:val="23"/>
        </w:rPr>
        <w:t xml:space="preserve"> significant presence </w:t>
      </w:r>
      <w:r w:rsidR="007C77EC">
        <w:rPr>
          <w:rFonts w:asciiTheme="majorHAnsi" w:hAnsiTheme="majorHAnsi" w:cstheme="majorHAnsi"/>
          <w:sz w:val="23"/>
          <w:szCs w:val="23"/>
        </w:rPr>
        <w:t>of residents born outside Australia.</w:t>
      </w:r>
    </w:p>
    <w:p w14:paraId="784E5A2A" w14:textId="6CA87FD2" w:rsidR="00F00E3D" w:rsidRPr="007C77EC" w:rsidRDefault="00F00E3D" w:rsidP="007C77EC">
      <w:pPr>
        <w:spacing w:after="0" w:line="276" w:lineRule="auto"/>
        <w:rPr>
          <w:rFonts w:asciiTheme="majorHAnsi" w:hAnsiTheme="majorHAnsi" w:cstheme="majorHAnsi"/>
          <w:sz w:val="16"/>
          <w:szCs w:val="16"/>
        </w:rPr>
      </w:pPr>
    </w:p>
    <w:tbl>
      <w:tblPr>
        <w:tblStyle w:val="TableGrid"/>
        <w:tblW w:w="0" w:type="auto"/>
        <w:tblLook w:val="04A0" w:firstRow="1" w:lastRow="0" w:firstColumn="1" w:lastColumn="0" w:noHBand="0" w:noVBand="1"/>
      </w:tblPr>
      <w:tblGrid>
        <w:gridCol w:w="3163"/>
        <w:gridCol w:w="3163"/>
        <w:gridCol w:w="3165"/>
      </w:tblGrid>
      <w:tr w:rsidR="00F00E3D" w:rsidRPr="00A02FEC" w14:paraId="123D5420" w14:textId="77777777" w:rsidTr="007C77EC">
        <w:trPr>
          <w:trHeight w:val="384"/>
        </w:trPr>
        <w:tc>
          <w:tcPr>
            <w:tcW w:w="3163" w:type="dxa"/>
            <w:shd w:val="clear" w:color="auto" w:fill="D0CECE" w:themeFill="background2" w:themeFillShade="E6"/>
          </w:tcPr>
          <w:p w14:paraId="70E5EC4D" w14:textId="77777777" w:rsidR="00F00E3D" w:rsidRPr="00A02FEC" w:rsidRDefault="00F00E3D" w:rsidP="009B2FA7">
            <w:pPr>
              <w:spacing w:line="276" w:lineRule="auto"/>
              <w:rPr>
                <w:rFonts w:cstheme="minorHAnsi"/>
                <w:b/>
                <w:bCs/>
                <w:sz w:val="21"/>
                <w:szCs w:val="21"/>
              </w:rPr>
            </w:pPr>
            <w:r w:rsidRPr="00A02FEC">
              <w:rPr>
                <w:rFonts w:cstheme="minorHAnsi"/>
                <w:b/>
                <w:bCs/>
                <w:sz w:val="21"/>
                <w:szCs w:val="21"/>
              </w:rPr>
              <w:t>Corio</w:t>
            </w:r>
          </w:p>
        </w:tc>
        <w:tc>
          <w:tcPr>
            <w:tcW w:w="3163" w:type="dxa"/>
            <w:shd w:val="clear" w:color="auto" w:fill="D0CECE" w:themeFill="background2" w:themeFillShade="E6"/>
          </w:tcPr>
          <w:p w14:paraId="3FA7274E" w14:textId="77777777" w:rsidR="00F00E3D" w:rsidRPr="00A02FEC" w:rsidRDefault="00F00E3D" w:rsidP="009B2FA7">
            <w:pPr>
              <w:spacing w:line="276" w:lineRule="auto"/>
              <w:rPr>
                <w:rFonts w:cstheme="minorHAnsi"/>
                <w:b/>
                <w:bCs/>
                <w:sz w:val="21"/>
                <w:szCs w:val="21"/>
              </w:rPr>
            </w:pPr>
            <w:r w:rsidRPr="00A02FEC">
              <w:rPr>
                <w:rFonts w:cstheme="minorHAnsi"/>
                <w:b/>
                <w:bCs/>
                <w:sz w:val="21"/>
                <w:szCs w:val="21"/>
              </w:rPr>
              <w:t>Norlane</w:t>
            </w:r>
          </w:p>
        </w:tc>
        <w:tc>
          <w:tcPr>
            <w:tcW w:w="3165" w:type="dxa"/>
            <w:shd w:val="clear" w:color="auto" w:fill="D0CECE" w:themeFill="background2" w:themeFillShade="E6"/>
          </w:tcPr>
          <w:p w14:paraId="0A9BB361" w14:textId="77777777" w:rsidR="00F00E3D" w:rsidRPr="00A02FEC" w:rsidRDefault="00F00E3D" w:rsidP="009B2FA7">
            <w:pPr>
              <w:spacing w:line="276" w:lineRule="auto"/>
              <w:rPr>
                <w:rFonts w:cstheme="minorHAnsi"/>
                <w:b/>
                <w:bCs/>
                <w:sz w:val="21"/>
                <w:szCs w:val="21"/>
              </w:rPr>
            </w:pPr>
            <w:r w:rsidRPr="00A02FEC">
              <w:rPr>
                <w:rFonts w:cstheme="minorHAnsi"/>
                <w:b/>
                <w:bCs/>
                <w:sz w:val="21"/>
                <w:szCs w:val="21"/>
              </w:rPr>
              <w:t>Whittington</w:t>
            </w:r>
          </w:p>
        </w:tc>
      </w:tr>
      <w:tr w:rsidR="00F00E3D" w:rsidRPr="00A02FEC" w14:paraId="508F75E9" w14:textId="77777777" w:rsidTr="007C77EC">
        <w:trPr>
          <w:trHeight w:val="374"/>
        </w:trPr>
        <w:tc>
          <w:tcPr>
            <w:tcW w:w="3163" w:type="dxa"/>
          </w:tcPr>
          <w:p w14:paraId="55D118D4"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Australia 68.3</w:t>
            </w:r>
          </w:p>
        </w:tc>
        <w:tc>
          <w:tcPr>
            <w:tcW w:w="3163" w:type="dxa"/>
          </w:tcPr>
          <w:p w14:paraId="51B2689D"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Australia 65.5</w:t>
            </w:r>
          </w:p>
        </w:tc>
        <w:tc>
          <w:tcPr>
            <w:tcW w:w="3165" w:type="dxa"/>
          </w:tcPr>
          <w:p w14:paraId="44642295"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Australia 77.5</w:t>
            </w:r>
          </w:p>
        </w:tc>
      </w:tr>
      <w:tr w:rsidR="00F00E3D" w:rsidRPr="00A02FEC" w14:paraId="22CC583E" w14:textId="77777777" w:rsidTr="007C77EC">
        <w:trPr>
          <w:trHeight w:val="384"/>
        </w:trPr>
        <w:tc>
          <w:tcPr>
            <w:tcW w:w="3163" w:type="dxa"/>
          </w:tcPr>
          <w:p w14:paraId="2AAB45EF"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England 3.1</w:t>
            </w:r>
          </w:p>
        </w:tc>
        <w:tc>
          <w:tcPr>
            <w:tcW w:w="3163" w:type="dxa"/>
          </w:tcPr>
          <w:p w14:paraId="07A6B6F2"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Croatia 1.9</w:t>
            </w:r>
          </w:p>
        </w:tc>
        <w:tc>
          <w:tcPr>
            <w:tcW w:w="3165" w:type="dxa"/>
          </w:tcPr>
          <w:p w14:paraId="21C52294"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England 3.1</w:t>
            </w:r>
          </w:p>
        </w:tc>
      </w:tr>
      <w:tr w:rsidR="00F00E3D" w:rsidRPr="00A02FEC" w14:paraId="10CC321F" w14:textId="77777777" w:rsidTr="007C77EC">
        <w:trPr>
          <w:trHeight w:val="384"/>
        </w:trPr>
        <w:tc>
          <w:tcPr>
            <w:tcW w:w="3163" w:type="dxa"/>
          </w:tcPr>
          <w:p w14:paraId="1461F926"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Afghanistan 1.9</w:t>
            </w:r>
          </w:p>
        </w:tc>
        <w:tc>
          <w:tcPr>
            <w:tcW w:w="3163" w:type="dxa"/>
          </w:tcPr>
          <w:p w14:paraId="0D9FEA3E"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England 1.8</w:t>
            </w:r>
          </w:p>
        </w:tc>
        <w:tc>
          <w:tcPr>
            <w:tcW w:w="3165" w:type="dxa"/>
          </w:tcPr>
          <w:p w14:paraId="4AEA1248"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New Zealand .0</w:t>
            </w:r>
          </w:p>
        </w:tc>
      </w:tr>
      <w:tr w:rsidR="00F00E3D" w:rsidRPr="00A02FEC" w14:paraId="1175BA2E" w14:textId="77777777" w:rsidTr="007C77EC">
        <w:trPr>
          <w:trHeight w:val="384"/>
        </w:trPr>
        <w:tc>
          <w:tcPr>
            <w:tcW w:w="3163" w:type="dxa"/>
          </w:tcPr>
          <w:p w14:paraId="04AB7A33"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Myanmar 1.8</w:t>
            </w:r>
          </w:p>
        </w:tc>
        <w:tc>
          <w:tcPr>
            <w:tcW w:w="3163" w:type="dxa"/>
          </w:tcPr>
          <w:p w14:paraId="417BAD13"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Macedonia 1.6</w:t>
            </w:r>
          </w:p>
        </w:tc>
        <w:tc>
          <w:tcPr>
            <w:tcW w:w="3165" w:type="dxa"/>
          </w:tcPr>
          <w:p w14:paraId="40AB94BC"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Philippines 0.7</w:t>
            </w:r>
          </w:p>
        </w:tc>
      </w:tr>
      <w:tr w:rsidR="00F00E3D" w:rsidRPr="00A02FEC" w14:paraId="5FDF38AD" w14:textId="77777777" w:rsidTr="007C77EC">
        <w:trPr>
          <w:trHeight w:val="374"/>
        </w:trPr>
        <w:tc>
          <w:tcPr>
            <w:tcW w:w="3163" w:type="dxa"/>
          </w:tcPr>
          <w:p w14:paraId="6C742DEE"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Thailand 1.5</w:t>
            </w:r>
          </w:p>
        </w:tc>
        <w:tc>
          <w:tcPr>
            <w:tcW w:w="3163" w:type="dxa"/>
          </w:tcPr>
          <w:p w14:paraId="4012FEA5"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Afghanistan 1.9</w:t>
            </w:r>
          </w:p>
        </w:tc>
        <w:tc>
          <w:tcPr>
            <w:tcW w:w="3165" w:type="dxa"/>
          </w:tcPr>
          <w:p w14:paraId="33BFCB18"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Scotland 0.7</w:t>
            </w:r>
          </w:p>
        </w:tc>
      </w:tr>
      <w:tr w:rsidR="00F00E3D" w:rsidRPr="00A02FEC" w14:paraId="098C3981" w14:textId="77777777" w:rsidTr="007C77EC">
        <w:trPr>
          <w:trHeight w:val="384"/>
        </w:trPr>
        <w:tc>
          <w:tcPr>
            <w:tcW w:w="3163" w:type="dxa"/>
          </w:tcPr>
          <w:p w14:paraId="118E2057"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Philippines 1.2</w:t>
            </w:r>
          </w:p>
        </w:tc>
        <w:tc>
          <w:tcPr>
            <w:tcW w:w="3163" w:type="dxa"/>
          </w:tcPr>
          <w:p w14:paraId="147B54C4"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Philippines 1.0</w:t>
            </w:r>
          </w:p>
        </w:tc>
        <w:tc>
          <w:tcPr>
            <w:tcW w:w="3165" w:type="dxa"/>
          </w:tcPr>
          <w:p w14:paraId="5A6FAEA8" w14:textId="77777777" w:rsidR="00F00E3D" w:rsidRPr="00A02FEC" w:rsidRDefault="00F00E3D" w:rsidP="009B2FA7">
            <w:pPr>
              <w:spacing w:line="276" w:lineRule="auto"/>
              <w:rPr>
                <w:rFonts w:asciiTheme="majorHAnsi" w:hAnsiTheme="majorHAnsi" w:cstheme="majorHAnsi"/>
                <w:sz w:val="21"/>
                <w:szCs w:val="21"/>
              </w:rPr>
            </w:pPr>
            <w:r w:rsidRPr="00A02FEC">
              <w:rPr>
                <w:rFonts w:asciiTheme="majorHAnsi" w:hAnsiTheme="majorHAnsi" w:cstheme="majorHAnsi"/>
                <w:sz w:val="21"/>
                <w:szCs w:val="21"/>
              </w:rPr>
              <w:t>Netherlands 0.7</w:t>
            </w:r>
          </w:p>
        </w:tc>
      </w:tr>
    </w:tbl>
    <w:p w14:paraId="4C92C423" w14:textId="357B4FDA" w:rsidR="007C77EC" w:rsidRDefault="00A02FEC" w:rsidP="007C77EC">
      <w:pPr>
        <w:spacing w:after="0" w:line="276" w:lineRule="auto"/>
        <w:rPr>
          <w:rFonts w:cstheme="minorHAnsi"/>
          <w:b/>
          <w:noProof/>
          <w:sz w:val="21"/>
          <w:szCs w:val="21"/>
        </w:rPr>
      </w:pPr>
      <w:r w:rsidRPr="00A02FEC">
        <w:rPr>
          <w:rFonts w:cstheme="minorHAnsi"/>
          <w:b/>
          <w:sz w:val="21"/>
          <w:szCs w:val="21"/>
        </w:rPr>
        <w:t>Table 7.3</w:t>
      </w:r>
      <w:r w:rsidRPr="00A02FEC">
        <w:rPr>
          <w:rFonts w:cstheme="minorHAnsi"/>
          <w:b/>
          <w:bCs/>
          <w:sz w:val="21"/>
          <w:szCs w:val="21"/>
        </w:rPr>
        <w:t>:</w:t>
      </w:r>
      <w:r w:rsidRPr="00A02FEC">
        <w:rPr>
          <w:rFonts w:cstheme="minorHAnsi"/>
          <w:b/>
          <w:sz w:val="21"/>
          <w:szCs w:val="21"/>
        </w:rPr>
        <w:t xml:space="preserve"> </w:t>
      </w:r>
      <w:r w:rsidRPr="00A02FEC">
        <w:rPr>
          <w:rFonts w:cstheme="minorHAnsi"/>
          <w:b/>
          <w:bCs/>
          <w:sz w:val="21"/>
          <w:szCs w:val="21"/>
        </w:rPr>
        <w:t xml:space="preserve">Corio, Norlane, Whittington: </w:t>
      </w:r>
      <w:r w:rsidRPr="00A02FEC">
        <w:rPr>
          <w:rFonts w:cstheme="minorHAnsi"/>
          <w:b/>
          <w:sz w:val="21"/>
          <w:szCs w:val="21"/>
        </w:rPr>
        <w:t>Top 5 Countries of Birth</w:t>
      </w:r>
      <w:r>
        <w:rPr>
          <w:rFonts w:cstheme="minorHAnsi"/>
          <w:b/>
          <w:sz w:val="21"/>
          <w:szCs w:val="21"/>
        </w:rPr>
        <w:t xml:space="preserve"> </w:t>
      </w:r>
      <w:r w:rsidRPr="00A02FEC">
        <w:rPr>
          <w:rFonts w:cstheme="minorHAnsi"/>
          <w:b/>
          <w:sz w:val="21"/>
          <w:szCs w:val="21"/>
        </w:rPr>
        <w:t xml:space="preserve">(Source: </w:t>
      </w:r>
      <w:r w:rsidRPr="00A02FEC">
        <w:rPr>
          <w:rFonts w:cstheme="minorHAnsi"/>
          <w:b/>
          <w:noProof/>
          <w:sz w:val="21"/>
          <w:szCs w:val="21"/>
        </w:rPr>
        <w:t>ABS, 2016)</w:t>
      </w:r>
      <w:r w:rsidR="007C77EC">
        <w:rPr>
          <w:rFonts w:cstheme="minorHAnsi"/>
          <w:b/>
          <w:noProof/>
          <w:sz w:val="21"/>
          <w:szCs w:val="21"/>
        </w:rPr>
        <w:br w:type="page"/>
      </w:r>
    </w:p>
    <w:p w14:paraId="7BDCFACC" w14:textId="1DA851E2" w:rsidR="00F00E3D" w:rsidRDefault="00F00E3D" w:rsidP="009B2FA7">
      <w:pPr>
        <w:spacing w:line="276" w:lineRule="auto"/>
        <w:rPr>
          <w:rFonts w:asciiTheme="majorHAnsi" w:hAnsiTheme="majorHAnsi" w:cstheme="majorHAnsi"/>
          <w:sz w:val="23"/>
          <w:szCs w:val="23"/>
        </w:rPr>
      </w:pPr>
      <w:r w:rsidRPr="007C77EC">
        <w:rPr>
          <w:rFonts w:asciiTheme="majorHAnsi" w:hAnsiTheme="majorHAnsi" w:cstheme="majorHAnsi"/>
          <w:sz w:val="23"/>
          <w:szCs w:val="23"/>
        </w:rPr>
        <w:lastRenderedPageBreak/>
        <w:t>The main areas of</w:t>
      </w:r>
      <w:r w:rsidR="007C77EC" w:rsidRPr="007C77EC">
        <w:rPr>
          <w:rFonts w:asciiTheme="majorHAnsi" w:hAnsiTheme="majorHAnsi" w:cstheme="majorHAnsi"/>
          <w:sz w:val="23"/>
          <w:szCs w:val="23"/>
        </w:rPr>
        <w:t xml:space="preserve"> local</w:t>
      </w:r>
      <w:r w:rsidRPr="007C77EC">
        <w:rPr>
          <w:rFonts w:asciiTheme="majorHAnsi" w:hAnsiTheme="majorHAnsi" w:cstheme="majorHAnsi"/>
          <w:sz w:val="23"/>
          <w:szCs w:val="23"/>
        </w:rPr>
        <w:t xml:space="preserve"> employment </w:t>
      </w:r>
      <w:r w:rsidR="0062191F">
        <w:rPr>
          <w:rFonts w:asciiTheme="majorHAnsi" w:hAnsiTheme="majorHAnsi" w:cstheme="majorHAnsi"/>
          <w:sz w:val="23"/>
          <w:szCs w:val="23"/>
        </w:rPr>
        <w:t xml:space="preserve">for the three localities </w:t>
      </w:r>
      <w:r w:rsidRPr="007C77EC">
        <w:rPr>
          <w:rFonts w:asciiTheme="majorHAnsi" w:hAnsiTheme="majorHAnsi" w:cstheme="majorHAnsi"/>
          <w:sz w:val="23"/>
          <w:szCs w:val="23"/>
        </w:rPr>
        <w:t>are</w:t>
      </w:r>
      <w:r w:rsidR="007C77EC" w:rsidRPr="007C77EC">
        <w:rPr>
          <w:rFonts w:asciiTheme="majorHAnsi" w:hAnsiTheme="majorHAnsi" w:cstheme="majorHAnsi"/>
          <w:sz w:val="23"/>
          <w:szCs w:val="23"/>
        </w:rPr>
        <w:t xml:space="preserve"> outlined in Table 7.4 (below). This data confirms</w:t>
      </w:r>
      <w:r w:rsidRPr="007C77EC">
        <w:rPr>
          <w:rFonts w:asciiTheme="majorHAnsi" w:hAnsiTheme="majorHAnsi" w:cstheme="majorHAnsi"/>
          <w:sz w:val="23"/>
          <w:szCs w:val="23"/>
        </w:rPr>
        <w:t xml:space="preserve"> the correlation of low education and income levels with relatively unskilled, service sector employment. </w:t>
      </w:r>
      <w:r w:rsidR="007C77EC">
        <w:rPr>
          <w:rFonts w:asciiTheme="majorHAnsi" w:hAnsiTheme="majorHAnsi" w:cstheme="majorHAnsi"/>
          <w:sz w:val="23"/>
          <w:szCs w:val="23"/>
        </w:rPr>
        <w:t>As noted elsewhere,</w:t>
      </w:r>
      <w:r w:rsidRPr="007C77EC">
        <w:rPr>
          <w:rFonts w:asciiTheme="majorHAnsi" w:hAnsiTheme="majorHAnsi" w:cstheme="majorHAnsi"/>
          <w:sz w:val="23"/>
          <w:szCs w:val="23"/>
        </w:rPr>
        <w:t xml:space="preserve"> these </w:t>
      </w:r>
      <w:r w:rsidR="007C77EC">
        <w:rPr>
          <w:rFonts w:asciiTheme="majorHAnsi" w:hAnsiTheme="majorHAnsi" w:cstheme="majorHAnsi"/>
          <w:sz w:val="23"/>
          <w:szCs w:val="23"/>
        </w:rPr>
        <w:t xml:space="preserve">sectors have </w:t>
      </w:r>
      <w:r w:rsidRPr="007C77EC">
        <w:rPr>
          <w:rFonts w:asciiTheme="majorHAnsi" w:hAnsiTheme="majorHAnsi" w:cstheme="majorHAnsi"/>
          <w:sz w:val="23"/>
          <w:szCs w:val="23"/>
        </w:rPr>
        <w:t>not</w:t>
      </w:r>
      <w:r w:rsidR="007C77EC">
        <w:rPr>
          <w:rFonts w:asciiTheme="majorHAnsi" w:hAnsiTheme="majorHAnsi" w:cstheme="majorHAnsi"/>
          <w:sz w:val="23"/>
          <w:szCs w:val="23"/>
        </w:rPr>
        <w:t xml:space="preserve"> been hit</w:t>
      </w:r>
      <w:r w:rsidRPr="007C77EC">
        <w:rPr>
          <w:rFonts w:asciiTheme="majorHAnsi" w:hAnsiTheme="majorHAnsi" w:cstheme="majorHAnsi"/>
          <w:sz w:val="23"/>
          <w:szCs w:val="23"/>
        </w:rPr>
        <w:t xml:space="preserve"> particularly hard </w:t>
      </w:r>
      <w:r w:rsidR="007C77EC">
        <w:rPr>
          <w:rFonts w:asciiTheme="majorHAnsi" w:hAnsiTheme="majorHAnsi" w:cstheme="majorHAnsi"/>
          <w:sz w:val="23"/>
          <w:szCs w:val="23"/>
        </w:rPr>
        <w:t>by the pandemic.</w:t>
      </w:r>
      <w:r w:rsidRPr="007C77EC">
        <w:rPr>
          <w:rFonts w:asciiTheme="majorHAnsi" w:hAnsiTheme="majorHAnsi" w:cstheme="majorHAnsi"/>
          <w:sz w:val="23"/>
          <w:szCs w:val="23"/>
        </w:rPr>
        <w:t xml:space="preserve"> </w:t>
      </w:r>
      <w:r w:rsidR="0062191F">
        <w:rPr>
          <w:rFonts w:asciiTheme="majorHAnsi" w:hAnsiTheme="majorHAnsi" w:cstheme="majorHAnsi"/>
          <w:sz w:val="23"/>
          <w:szCs w:val="23"/>
        </w:rPr>
        <w:t>Indeed, f</w:t>
      </w:r>
      <w:r w:rsidRPr="007C77EC">
        <w:rPr>
          <w:rFonts w:asciiTheme="majorHAnsi" w:hAnsiTheme="majorHAnsi" w:cstheme="majorHAnsi"/>
          <w:sz w:val="23"/>
          <w:szCs w:val="23"/>
        </w:rPr>
        <w:t>ood retail, aged and healthcare</w:t>
      </w:r>
      <w:r w:rsidR="00A807E5" w:rsidRPr="007C77EC">
        <w:rPr>
          <w:rFonts w:asciiTheme="majorHAnsi" w:hAnsiTheme="majorHAnsi" w:cstheme="majorHAnsi"/>
          <w:sz w:val="23"/>
          <w:szCs w:val="23"/>
        </w:rPr>
        <w:t xml:space="preserve">, </w:t>
      </w:r>
      <w:r w:rsidRPr="007C77EC">
        <w:rPr>
          <w:rFonts w:asciiTheme="majorHAnsi" w:hAnsiTheme="majorHAnsi" w:cstheme="majorHAnsi"/>
          <w:sz w:val="23"/>
          <w:szCs w:val="23"/>
        </w:rPr>
        <w:t>cleaning</w:t>
      </w:r>
      <w:r w:rsidR="00A807E5" w:rsidRPr="007C77EC">
        <w:rPr>
          <w:rFonts w:asciiTheme="majorHAnsi" w:hAnsiTheme="majorHAnsi" w:cstheme="majorHAnsi"/>
          <w:sz w:val="23"/>
          <w:szCs w:val="23"/>
        </w:rPr>
        <w:t>,</w:t>
      </w:r>
      <w:r w:rsidRPr="007C77EC">
        <w:rPr>
          <w:rFonts w:asciiTheme="majorHAnsi" w:hAnsiTheme="majorHAnsi" w:cstheme="majorHAnsi"/>
          <w:sz w:val="23"/>
          <w:szCs w:val="23"/>
        </w:rPr>
        <w:t xml:space="preserve"> and transport became even more vital – if not overly lucrative</w:t>
      </w:r>
      <w:r w:rsidR="00A807E5" w:rsidRPr="007C77EC">
        <w:rPr>
          <w:rFonts w:asciiTheme="majorHAnsi" w:hAnsiTheme="majorHAnsi" w:cstheme="majorHAnsi"/>
          <w:sz w:val="23"/>
          <w:szCs w:val="23"/>
        </w:rPr>
        <w:t xml:space="preserve"> –</w:t>
      </w:r>
      <w:r w:rsidRPr="007C77EC">
        <w:rPr>
          <w:rFonts w:asciiTheme="majorHAnsi" w:hAnsiTheme="majorHAnsi" w:cstheme="majorHAnsi"/>
          <w:sz w:val="23"/>
          <w:szCs w:val="23"/>
        </w:rPr>
        <w:t xml:space="preserve"> areas of employment during </w:t>
      </w:r>
      <w:r w:rsidR="00940D80" w:rsidRPr="007C77EC">
        <w:rPr>
          <w:rFonts w:asciiTheme="majorHAnsi" w:hAnsiTheme="majorHAnsi" w:cstheme="majorHAnsi"/>
          <w:sz w:val="23"/>
          <w:szCs w:val="23"/>
        </w:rPr>
        <w:t>COVID</w:t>
      </w:r>
      <w:r w:rsidRPr="007C77EC">
        <w:rPr>
          <w:rFonts w:asciiTheme="majorHAnsi" w:hAnsiTheme="majorHAnsi" w:cstheme="majorHAnsi"/>
          <w:sz w:val="23"/>
          <w:szCs w:val="23"/>
        </w:rPr>
        <w:t>-19 lockdown</w:t>
      </w:r>
      <w:r w:rsidR="00A807E5" w:rsidRPr="007C77EC">
        <w:rPr>
          <w:rFonts w:asciiTheme="majorHAnsi" w:hAnsiTheme="majorHAnsi" w:cstheme="majorHAnsi"/>
          <w:sz w:val="23"/>
          <w:szCs w:val="23"/>
        </w:rPr>
        <w:t>s</w:t>
      </w:r>
      <w:r w:rsidRPr="007C77EC">
        <w:rPr>
          <w:rFonts w:asciiTheme="majorHAnsi" w:hAnsiTheme="majorHAnsi" w:cstheme="majorHAnsi"/>
          <w:sz w:val="23"/>
          <w:szCs w:val="23"/>
        </w:rPr>
        <w:t xml:space="preserve"> and </w:t>
      </w:r>
      <w:r w:rsidR="00A807E5" w:rsidRPr="007C77EC">
        <w:rPr>
          <w:rFonts w:asciiTheme="majorHAnsi" w:hAnsiTheme="majorHAnsi" w:cstheme="majorHAnsi"/>
          <w:sz w:val="23"/>
          <w:szCs w:val="23"/>
        </w:rPr>
        <w:t>movement</w:t>
      </w:r>
      <w:r w:rsidRPr="007C77EC">
        <w:rPr>
          <w:rFonts w:asciiTheme="majorHAnsi" w:hAnsiTheme="majorHAnsi" w:cstheme="majorHAnsi"/>
          <w:sz w:val="23"/>
          <w:szCs w:val="23"/>
        </w:rPr>
        <w:t xml:space="preserve"> restrictions. </w:t>
      </w:r>
      <w:r w:rsidR="00A807E5" w:rsidRPr="007C77EC">
        <w:rPr>
          <w:rFonts w:asciiTheme="majorHAnsi" w:hAnsiTheme="majorHAnsi" w:cstheme="majorHAnsi"/>
          <w:sz w:val="23"/>
          <w:szCs w:val="23"/>
        </w:rPr>
        <w:t>This pattern</w:t>
      </w:r>
      <w:r w:rsidRPr="007C77EC">
        <w:rPr>
          <w:rFonts w:asciiTheme="majorHAnsi" w:hAnsiTheme="majorHAnsi" w:cstheme="majorHAnsi"/>
          <w:sz w:val="23"/>
          <w:szCs w:val="23"/>
        </w:rPr>
        <w:t xml:space="preserve"> may help explain why unemployment rates </w:t>
      </w:r>
      <w:r w:rsidRPr="00E91887">
        <w:rPr>
          <w:rFonts w:asciiTheme="majorHAnsi" w:hAnsiTheme="majorHAnsi" w:cstheme="majorHAnsi"/>
          <w:sz w:val="23"/>
          <w:szCs w:val="23"/>
        </w:rPr>
        <w:t xml:space="preserve">actually went down in these localities </w:t>
      </w:r>
      <w:r w:rsidR="0062191F" w:rsidRPr="007C77EC">
        <w:rPr>
          <w:rFonts w:asciiTheme="majorHAnsi" w:hAnsiTheme="majorHAnsi" w:cstheme="majorHAnsi"/>
          <w:sz w:val="23"/>
          <w:szCs w:val="23"/>
        </w:rPr>
        <w:t xml:space="preserve">over </w:t>
      </w:r>
      <w:r w:rsidR="0062191F">
        <w:rPr>
          <w:rFonts w:asciiTheme="majorHAnsi" w:hAnsiTheme="majorHAnsi" w:cstheme="majorHAnsi"/>
          <w:sz w:val="23"/>
          <w:szCs w:val="23"/>
        </w:rPr>
        <w:t>the</w:t>
      </w:r>
      <w:r w:rsidR="0062191F" w:rsidRPr="007C77EC">
        <w:rPr>
          <w:rFonts w:asciiTheme="majorHAnsi" w:hAnsiTheme="majorHAnsi" w:cstheme="majorHAnsi"/>
          <w:sz w:val="23"/>
          <w:szCs w:val="23"/>
        </w:rPr>
        <w:t xml:space="preserve"> first part of 2020 </w:t>
      </w:r>
      <w:r w:rsidRPr="00E91887">
        <w:rPr>
          <w:rFonts w:asciiTheme="majorHAnsi" w:hAnsiTheme="majorHAnsi" w:cstheme="majorHAnsi"/>
          <w:sz w:val="23"/>
          <w:szCs w:val="23"/>
        </w:rPr>
        <w:t xml:space="preserve">(see </w:t>
      </w:r>
      <w:r w:rsidR="00940D80">
        <w:rPr>
          <w:rFonts w:asciiTheme="majorHAnsi" w:hAnsiTheme="majorHAnsi" w:cstheme="majorHAnsi"/>
          <w:sz w:val="23"/>
          <w:szCs w:val="23"/>
        </w:rPr>
        <w:t>COVID</w:t>
      </w:r>
      <w:r w:rsidRPr="00E91887">
        <w:rPr>
          <w:rFonts w:asciiTheme="majorHAnsi" w:hAnsiTheme="majorHAnsi" w:cstheme="majorHAnsi"/>
          <w:sz w:val="23"/>
          <w:szCs w:val="23"/>
        </w:rPr>
        <w:t>-19 Impact</w:t>
      </w:r>
      <w:r w:rsidR="00A807E5">
        <w:rPr>
          <w:rFonts w:asciiTheme="majorHAnsi" w:hAnsiTheme="majorHAnsi" w:cstheme="majorHAnsi"/>
          <w:sz w:val="23"/>
          <w:szCs w:val="23"/>
        </w:rPr>
        <w:t>s: Sections 7 and 8</w:t>
      </w:r>
      <w:r w:rsidRPr="00E91887">
        <w:rPr>
          <w:rFonts w:asciiTheme="majorHAnsi" w:hAnsiTheme="majorHAnsi" w:cstheme="majorHAnsi"/>
          <w:sz w:val="23"/>
          <w:szCs w:val="23"/>
        </w:rPr>
        <w:t>).</w:t>
      </w:r>
    </w:p>
    <w:tbl>
      <w:tblPr>
        <w:tblStyle w:val="TableGrid"/>
        <w:tblW w:w="0" w:type="auto"/>
        <w:tblLook w:val="04A0" w:firstRow="1" w:lastRow="0" w:firstColumn="1" w:lastColumn="0" w:noHBand="0" w:noVBand="1"/>
      </w:tblPr>
      <w:tblGrid>
        <w:gridCol w:w="3195"/>
        <w:gridCol w:w="3195"/>
        <w:gridCol w:w="3196"/>
      </w:tblGrid>
      <w:tr w:rsidR="0062191F" w:rsidRPr="0062191F" w14:paraId="28605D8F" w14:textId="77777777" w:rsidTr="0062191F">
        <w:trPr>
          <w:trHeight w:val="484"/>
        </w:trPr>
        <w:tc>
          <w:tcPr>
            <w:tcW w:w="3195" w:type="dxa"/>
            <w:shd w:val="clear" w:color="auto" w:fill="D0CECE" w:themeFill="background2" w:themeFillShade="E6"/>
            <w:vAlign w:val="center"/>
          </w:tcPr>
          <w:p w14:paraId="792E1FC0" w14:textId="77777777" w:rsidR="007C77EC" w:rsidRPr="0062191F" w:rsidRDefault="007C77EC" w:rsidP="0062191F">
            <w:pPr>
              <w:spacing w:line="276" w:lineRule="auto"/>
              <w:rPr>
                <w:rFonts w:cstheme="minorHAnsi"/>
                <w:b/>
                <w:bCs/>
                <w:sz w:val="21"/>
                <w:szCs w:val="21"/>
              </w:rPr>
            </w:pPr>
            <w:r w:rsidRPr="0062191F">
              <w:rPr>
                <w:rFonts w:cstheme="minorHAnsi"/>
                <w:b/>
                <w:bCs/>
                <w:sz w:val="21"/>
                <w:szCs w:val="21"/>
              </w:rPr>
              <w:t>Corio</w:t>
            </w:r>
          </w:p>
        </w:tc>
        <w:tc>
          <w:tcPr>
            <w:tcW w:w="3195" w:type="dxa"/>
            <w:shd w:val="clear" w:color="auto" w:fill="D0CECE" w:themeFill="background2" w:themeFillShade="E6"/>
            <w:vAlign w:val="center"/>
          </w:tcPr>
          <w:p w14:paraId="7984F8FD" w14:textId="77777777" w:rsidR="007C77EC" w:rsidRPr="0062191F" w:rsidRDefault="007C77EC" w:rsidP="0062191F">
            <w:pPr>
              <w:spacing w:line="276" w:lineRule="auto"/>
              <w:rPr>
                <w:rFonts w:cstheme="minorHAnsi"/>
                <w:b/>
                <w:bCs/>
                <w:sz w:val="21"/>
                <w:szCs w:val="21"/>
              </w:rPr>
            </w:pPr>
            <w:r w:rsidRPr="0062191F">
              <w:rPr>
                <w:rFonts w:cstheme="minorHAnsi"/>
                <w:b/>
                <w:bCs/>
                <w:sz w:val="21"/>
                <w:szCs w:val="21"/>
              </w:rPr>
              <w:t>Norlane</w:t>
            </w:r>
          </w:p>
        </w:tc>
        <w:tc>
          <w:tcPr>
            <w:tcW w:w="3196" w:type="dxa"/>
            <w:shd w:val="clear" w:color="auto" w:fill="D0CECE" w:themeFill="background2" w:themeFillShade="E6"/>
            <w:vAlign w:val="center"/>
          </w:tcPr>
          <w:p w14:paraId="7D510601" w14:textId="77777777" w:rsidR="007C77EC" w:rsidRPr="0062191F" w:rsidRDefault="007C77EC" w:rsidP="0062191F">
            <w:pPr>
              <w:spacing w:line="276" w:lineRule="auto"/>
              <w:rPr>
                <w:rFonts w:cstheme="minorHAnsi"/>
                <w:b/>
                <w:bCs/>
                <w:sz w:val="21"/>
                <w:szCs w:val="21"/>
              </w:rPr>
            </w:pPr>
            <w:r w:rsidRPr="0062191F">
              <w:rPr>
                <w:rFonts w:cstheme="minorHAnsi"/>
                <w:b/>
                <w:bCs/>
                <w:sz w:val="21"/>
                <w:szCs w:val="21"/>
              </w:rPr>
              <w:t>Whittington</w:t>
            </w:r>
          </w:p>
        </w:tc>
      </w:tr>
      <w:tr w:rsidR="007C77EC" w:rsidRPr="007C77EC" w14:paraId="6A50F48F" w14:textId="77777777" w:rsidTr="0062191F">
        <w:trPr>
          <w:trHeight w:val="484"/>
        </w:trPr>
        <w:tc>
          <w:tcPr>
            <w:tcW w:w="3195" w:type="dxa"/>
            <w:vAlign w:val="center"/>
          </w:tcPr>
          <w:p w14:paraId="13F200E8" w14:textId="77777777" w:rsidR="007C77EC" w:rsidRPr="007C77EC" w:rsidRDefault="007C77EC" w:rsidP="0062191F">
            <w:pPr>
              <w:spacing w:line="276" w:lineRule="auto"/>
              <w:rPr>
                <w:rFonts w:asciiTheme="majorHAnsi" w:hAnsiTheme="majorHAnsi" w:cstheme="majorHAnsi"/>
                <w:sz w:val="21"/>
                <w:szCs w:val="21"/>
              </w:rPr>
            </w:pPr>
            <w:r w:rsidRPr="007C77EC">
              <w:rPr>
                <w:rFonts w:asciiTheme="majorHAnsi" w:hAnsiTheme="majorHAnsi" w:cstheme="majorHAnsi"/>
                <w:sz w:val="21"/>
                <w:szCs w:val="21"/>
              </w:rPr>
              <w:t>Supermarket and Grocery</w:t>
            </w:r>
          </w:p>
        </w:tc>
        <w:tc>
          <w:tcPr>
            <w:tcW w:w="3195" w:type="dxa"/>
            <w:vAlign w:val="center"/>
          </w:tcPr>
          <w:p w14:paraId="46198279" w14:textId="77777777" w:rsidR="007C77EC" w:rsidRPr="007C77EC" w:rsidRDefault="007C77EC" w:rsidP="0062191F">
            <w:pPr>
              <w:spacing w:line="276" w:lineRule="auto"/>
              <w:rPr>
                <w:rFonts w:asciiTheme="majorHAnsi" w:hAnsiTheme="majorHAnsi" w:cstheme="majorHAnsi"/>
                <w:sz w:val="21"/>
                <w:szCs w:val="21"/>
              </w:rPr>
            </w:pPr>
            <w:r w:rsidRPr="007C77EC">
              <w:rPr>
                <w:rFonts w:asciiTheme="majorHAnsi" w:hAnsiTheme="majorHAnsi" w:cstheme="majorHAnsi"/>
                <w:sz w:val="21"/>
                <w:szCs w:val="21"/>
              </w:rPr>
              <w:t>Other Social Assistance</w:t>
            </w:r>
          </w:p>
        </w:tc>
        <w:tc>
          <w:tcPr>
            <w:tcW w:w="3196" w:type="dxa"/>
            <w:vAlign w:val="center"/>
          </w:tcPr>
          <w:p w14:paraId="5BAF2CA7" w14:textId="77777777" w:rsidR="007C77EC" w:rsidRPr="007C77EC" w:rsidRDefault="007C77EC" w:rsidP="0062191F">
            <w:pPr>
              <w:spacing w:line="276" w:lineRule="auto"/>
              <w:rPr>
                <w:rFonts w:asciiTheme="majorHAnsi" w:hAnsiTheme="majorHAnsi" w:cstheme="majorHAnsi"/>
                <w:b/>
                <w:bCs/>
                <w:sz w:val="21"/>
                <w:szCs w:val="21"/>
              </w:rPr>
            </w:pPr>
            <w:r w:rsidRPr="007C77EC">
              <w:rPr>
                <w:rFonts w:asciiTheme="majorHAnsi" w:hAnsiTheme="majorHAnsi" w:cstheme="majorHAnsi"/>
                <w:sz w:val="21"/>
                <w:szCs w:val="21"/>
              </w:rPr>
              <w:t>Hospitals</w:t>
            </w:r>
          </w:p>
        </w:tc>
      </w:tr>
      <w:tr w:rsidR="007C77EC" w:rsidRPr="007C77EC" w14:paraId="45FEB047" w14:textId="77777777" w:rsidTr="0062191F">
        <w:trPr>
          <w:trHeight w:val="484"/>
        </w:trPr>
        <w:tc>
          <w:tcPr>
            <w:tcW w:w="3195" w:type="dxa"/>
            <w:vAlign w:val="center"/>
          </w:tcPr>
          <w:p w14:paraId="3EC2EF63" w14:textId="77777777" w:rsidR="007C77EC" w:rsidRPr="007C77EC" w:rsidRDefault="007C77EC" w:rsidP="0062191F">
            <w:pPr>
              <w:spacing w:line="276" w:lineRule="auto"/>
              <w:rPr>
                <w:rFonts w:asciiTheme="majorHAnsi" w:hAnsiTheme="majorHAnsi" w:cstheme="majorHAnsi"/>
                <w:b/>
                <w:bCs/>
                <w:sz w:val="21"/>
                <w:szCs w:val="21"/>
              </w:rPr>
            </w:pPr>
            <w:r w:rsidRPr="007C77EC">
              <w:rPr>
                <w:rFonts w:asciiTheme="majorHAnsi" w:hAnsiTheme="majorHAnsi" w:cstheme="majorHAnsi"/>
                <w:sz w:val="21"/>
                <w:szCs w:val="21"/>
              </w:rPr>
              <w:t>Takeaway food</w:t>
            </w:r>
          </w:p>
        </w:tc>
        <w:tc>
          <w:tcPr>
            <w:tcW w:w="3195" w:type="dxa"/>
            <w:vAlign w:val="center"/>
          </w:tcPr>
          <w:p w14:paraId="57666FD9" w14:textId="77777777" w:rsidR="007C77EC" w:rsidRPr="007C77EC" w:rsidRDefault="007C77EC" w:rsidP="0062191F">
            <w:pPr>
              <w:spacing w:line="276" w:lineRule="auto"/>
              <w:rPr>
                <w:rFonts w:asciiTheme="majorHAnsi" w:hAnsiTheme="majorHAnsi" w:cstheme="majorHAnsi"/>
                <w:b/>
                <w:bCs/>
                <w:sz w:val="21"/>
                <w:szCs w:val="21"/>
              </w:rPr>
            </w:pPr>
            <w:r w:rsidRPr="007C77EC">
              <w:rPr>
                <w:rFonts w:asciiTheme="majorHAnsi" w:hAnsiTheme="majorHAnsi" w:cstheme="majorHAnsi"/>
                <w:sz w:val="21"/>
                <w:szCs w:val="21"/>
              </w:rPr>
              <w:t>Aged Care Residential Services</w:t>
            </w:r>
          </w:p>
        </w:tc>
        <w:tc>
          <w:tcPr>
            <w:tcW w:w="3196" w:type="dxa"/>
            <w:vAlign w:val="center"/>
          </w:tcPr>
          <w:p w14:paraId="0FDDAB3B" w14:textId="77777777" w:rsidR="007C77EC" w:rsidRPr="007C77EC" w:rsidRDefault="007C77EC" w:rsidP="0062191F">
            <w:pPr>
              <w:spacing w:line="276" w:lineRule="auto"/>
              <w:rPr>
                <w:rFonts w:asciiTheme="majorHAnsi" w:hAnsiTheme="majorHAnsi" w:cstheme="majorHAnsi"/>
                <w:b/>
                <w:bCs/>
                <w:sz w:val="21"/>
                <w:szCs w:val="21"/>
              </w:rPr>
            </w:pPr>
            <w:r w:rsidRPr="007C77EC">
              <w:rPr>
                <w:rFonts w:asciiTheme="majorHAnsi" w:hAnsiTheme="majorHAnsi" w:cstheme="majorHAnsi"/>
                <w:sz w:val="21"/>
                <w:szCs w:val="21"/>
              </w:rPr>
              <w:t>Aged Care Residential Services</w:t>
            </w:r>
          </w:p>
        </w:tc>
      </w:tr>
      <w:tr w:rsidR="007C77EC" w:rsidRPr="007C77EC" w14:paraId="78A14748" w14:textId="77777777" w:rsidTr="0062191F">
        <w:trPr>
          <w:trHeight w:val="484"/>
        </w:trPr>
        <w:tc>
          <w:tcPr>
            <w:tcW w:w="3195" w:type="dxa"/>
            <w:vAlign w:val="center"/>
          </w:tcPr>
          <w:p w14:paraId="56BD7653" w14:textId="77777777" w:rsidR="007C77EC" w:rsidRPr="007C77EC" w:rsidRDefault="007C77EC" w:rsidP="0062191F">
            <w:pPr>
              <w:spacing w:line="276" w:lineRule="auto"/>
              <w:rPr>
                <w:rFonts w:asciiTheme="majorHAnsi" w:hAnsiTheme="majorHAnsi" w:cstheme="majorHAnsi"/>
                <w:sz w:val="21"/>
                <w:szCs w:val="21"/>
              </w:rPr>
            </w:pPr>
            <w:r w:rsidRPr="007C77EC">
              <w:rPr>
                <w:rFonts w:asciiTheme="majorHAnsi" w:hAnsiTheme="majorHAnsi" w:cstheme="majorHAnsi"/>
                <w:sz w:val="21"/>
                <w:szCs w:val="21"/>
              </w:rPr>
              <w:t>Hospitals</w:t>
            </w:r>
          </w:p>
        </w:tc>
        <w:tc>
          <w:tcPr>
            <w:tcW w:w="3195" w:type="dxa"/>
            <w:vAlign w:val="center"/>
          </w:tcPr>
          <w:p w14:paraId="3D712286" w14:textId="77777777" w:rsidR="007C77EC" w:rsidRPr="007C77EC" w:rsidRDefault="007C77EC" w:rsidP="0062191F">
            <w:pPr>
              <w:spacing w:line="276" w:lineRule="auto"/>
              <w:rPr>
                <w:rFonts w:asciiTheme="majorHAnsi" w:hAnsiTheme="majorHAnsi" w:cstheme="majorHAnsi"/>
                <w:b/>
                <w:bCs/>
                <w:sz w:val="21"/>
                <w:szCs w:val="21"/>
              </w:rPr>
            </w:pPr>
            <w:r w:rsidRPr="007C77EC">
              <w:rPr>
                <w:rFonts w:asciiTheme="majorHAnsi" w:hAnsiTheme="majorHAnsi" w:cstheme="majorHAnsi"/>
                <w:sz w:val="21"/>
                <w:szCs w:val="21"/>
              </w:rPr>
              <w:t>Supermarket and Grocery</w:t>
            </w:r>
          </w:p>
        </w:tc>
        <w:tc>
          <w:tcPr>
            <w:tcW w:w="3196" w:type="dxa"/>
            <w:vAlign w:val="center"/>
          </w:tcPr>
          <w:p w14:paraId="38463663" w14:textId="77777777" w:rsidR="007C77EC" w:rsidRPr="007C77EC" w:rsidRDefault="007C77EC" w:rsidP="0062191F">
            <w:pPr>
              <w:spacing w:line="276" w:lineRule="auto"/>
              <w:rPr>
                <w:rFonts w:asciiTheme="majorHAnsi" w:hAnsiTheme="majorHAnsi" w:cstheme="majorHAnsi"/>
                <w:b/>
                <w:bCs/>
                <w:sz w:val="21"/>
                <w:szCs w:val="21"/>
              </w:rPr>
            </w:pPr>
            <w:r w:rsidRPr="007C77EC">
              <w:rPr>
                <w:rFonts w:asciiTheme="majorHAnsi" w:hAnsiTheme="majorHAnsi" w:cstheme="majorHAnsi"/>
                <w:sz w:val="21"/>
                <w:szCs w:val="21"/>
              </w:rPr>
              <w:t>Other Social Assistance</w:t>
            </w:r>
          </w:p>
        </w:tc>
      </w:tr>
      <w:tr w:rsidR="007C77EC" w:rsidRPr="007C77EC" w14:paraId="20AFEEAB" w14:textId="77777777" w:rsidTr="0062191F">
        <w:trPr>
          <w:trHeight w:val="484"/>
        </w:trPr>
        <w:tc>
          <w:tcPr>
            <w:tcW w:w="3195" w:type="dxa"/>
            <w:vAlign w:val="center"/>
          </w:tcPr>
          <w:p w14:paraId="5E3894C2" w14:textId="77777777" w:rsidR="007C77EC" w:rsidRPr="007C77EC" w:rsidRDefault="007C77EC" w:rsidP="0062191F">
            <w:pPr>
              <w:spacing w:line="276" w:lineRule="auto"/>
              <w:rPr>
                <w:rFonts w:asciiTheme="majorHAnsi" w:hAnsiTheme="majorHAnsi" w:cstheme="majorHAnsi"/>
                <w:sz w:val="21"/>
                <w:szCs w:val="21"/>
              </w:rPr>
            </w:pPr>
            <w:r w:rsidRPr="007C77EC">
              <w:rPr>
                <w:rFonts w:asciiTheme="majorHAnsi" w:hAnsiTheme="majorHAnsi" w:cstheme="majorHAnsi"/>
                <w:sz w:val="21"/>
                <w:szCs w:val="21"/>
              </w:rPr>
              <w:t>Road Freight Transport</w:t>
            </w:r>
          </w:p>
        </w:tc>
        <w:tc>
          <w:tcPr>
            <w:tcW w:w="3195" w:type="dxa"/>
            <w:vAlign w:val="center"/>
          </w:tcPr>
          <w:p w14:paraId="3BAFBD34" w14:textId="77777777" w:rsidR="007C77EC" w:rsidRPr="007C77EC" w:rsidRDefault="007C77EC" w:rsidP="0062191F">
            <w:pPr>
              <w:spacing w:line="276" w:lineRule="auto"/>
              <w:rPr>
                <w:rFonts w:asciiTheme="majorHAnsi" w:hAnsiTheme="majorHAnsi" w:cstheme="majorHAnsi"/>
                <w:b/>
                <w:bCs/>
                <w:sz w:val="21"/>
                <w:szCs w:val="21"/>
              </w:rPr>
            </w:pPr>
            <w:r w:rsidRPr="007C77EC">
              <w:rPr>
                <w:rFonts w:asciiTheme="majorHAnsi" w:hAnsiTheme="majorHAnsi" w:cstheme="majorHAnsi"/>
                <w:sz w:val="21"/>
                <w:szCs w:val="21"/>
              </w:rPr>
              <w:t>Hospitals</w:t>
            </w:r>
          </w:p>
        </w:tc>
        <w:tc>
          <w:tcPr>
            <w:tcW w:w="3196" w:type="dxa"/>
            <w:vAlign w:val="center"/>
          </w:tcPr>
          <w:p w14:paraId="5FFA4EDA" w14:textId="77777777" w:rsidR="007C77EC" w:rsidRPr="007C77EC" w:rsidRDefault="007C77EC" w:rsidP="0062191F">
            <w:pPr>
              <w:spacing w:line="276" w:lineRule="auto"/>
              <w:rPr>
                <w:rFonts w:asciiTheme="majorHAnsi" w:hAnsiTheme="majorHAnsi" w:cstheme="majorHAnsi"/>
                <w:b/>
                <w:bCs/>
                <w:sz w:val="21"/>
                <w:szCs w:val="21"/>
              </w:rPr>
            </w:pPr>
            <w:r w:rsidRPr="007C77EC">
              <w:rPr>
                <w:rFonts w:asciiTheme="majorHAnsi" w:hAnsiTheme="majorHAnsi" w:cstheme="majorHAnsi"/>
                <w:sz w:val="21"/>
                <w:szCs w:val="21"/>
              </w:rPr>
              <w:t>Takeaway food</w:t>
            </w:r>
          </w:p>
        </w:tc>
      </w:tr>
      <w:tr w:rsidR="007C77EC" w:rsidRPr="007C77EC" w14:paraId="17432ABA" w14:textId="77777777" w:rsidTr="0062191F">
        <w:trPr>
          <w:trHeight w:val="484"/>
        </w:trPr>
        <w:tc>
          <w:tcPr>
            <w:tcW w:w="3195" w:type="dxa"/>
            <w:vAlign w:val="center"/>
          </w:tcPr>
          <w:p w14:paraId="1863D810" w14:textId="77777777" w:rsidR="007C77EC" w:rsidRPr="007C77EC" w:rsidRDefault="007C77EC" w:rsidP="0062191F">
            <w:pPr>
              <w:spacing w:line="276" w:lineRule="auto"/>
              <w:rPr>
                <w:rFonts w:asciiTheme="majorHAnsi" w:hAnsiTheme="majorHAnsi" w:cstheme="majorHAnsi"/>
                <w:sz w:val="21"/>
                <w:szCs w:val="21"/>
              </w:rPr>
            </w:pPr>
            <w:r w:rsidRPr="007C77EC">
              <w:rPr>
                <w:rFonts w:asciiTheme="majorHAnsi" w:hAnsiTheme="majorHAnsi" w:cstheme="majorHAnsi"/>
                <w:sz w:val="21"/>
                <w:szCs w:val="21"/>
              </w:rPr>
              <w:t>Aged Care Residential Services</w:t>
            </w:r>
          </w:p>
        </w:tc>
        <w:tc>
          <w:tcPr>
            <w:tcW w:w="3195" w:type="dxa"/>
            <w:vAlign w:val="center"/>
          </w:tcPr>
          <w:p w14:paraId="49648B4B" w14:textId="77777777" w:rsidR="007C77EC" w:rsidRPr="007C77EC" w:rsidRDefault="007C77EC" w:rsidP="0062191F">
            <w:pPr>
              <w:spacing w:line="276" w:lineRule="auto"/>
              <w:rPr>
                <w:rFonts w:asciiTheme="majorHAnsi" w:hAnsiTheme="majorHAnsi" w:cstheme="majorHAnsi"/>
                <w:sz w:val="21"/>
                <w:szCs w:val="21"/>
              </w:rPr>
            </w:pPr>
            <w:r w:rsidRPr="007C77EC">
              <w:rPr>
                <w:rFonts w:asciiTheme="majorHAnsi" w:hAnsiTheme="majorHAnsi" w:cstheme="majorHAnsi"/>
                <w:sz w:val="21"/>
                <w:szCs w:val="21"/>
              </w:rPr>
              <w:t>Building and Other Cleaning</w:t>
            </w:r>
          </w:p>
        </w:tc>
        <w:tc>
          <w:tcPr>
            <w:tcW w:w="3196" w:type="dxa"/>
            <w:vAlign w:val="center"/>
          </w:tcPr>
          <w:p w14:paraId="31409FE7" w14:textId="77777777" w:rsidR="007C77EC" w:rsidRPr="007C77EC" w:rsidRDefault="007C77EC" w:rsidP="0062191F">
            <w:pPr>
              <w:spacing w:line="276" w:lineRule="auto"/>
              <w:rPr>
                <w:rFonts w:asciiTheme="majorHAnsi" w:hAnsiTheme="majorHAnsi" w:cstheme="majorHAnsi"/>
                <w:b/>
                <w:bCs/>
                <w:sz w:val="21"/>
                <w:szCs w:val="21"/>
              </w:rPr>
            </w:pPr>
            <w:r w:rsidRPr="007C77EC">
              <w:rPr>
                <w:rFonts w:asciiTheme="majorHAnsi" w:hAnsiTheme="majorHAnsi" w:cstheme="majorHAnsi"/>
                <w:sz w:val="21"/>
                <w:szCs w:val="21"/>
              </w:rPr>
              <w:t>Building and Other Cleaning</w:t>
            </w:r>
          </w:p>
        </w:tc>
      </w:tr>
    </w:tbl>
    <w:p w14:paraId="2DE06498" w14:textId="3D4CB00B" w:rsidR="007C77EC" w:rsidRPr="00F353BE" w:rsidRDefault="007C77EC" w:rsidP="007C77EC">
      <w:pPr>
        <w:spacing w:after="0" w:line="240" w:lineRule="auto"/>
        <w:rPr>
          <w:rFonts w:cstheme="minorHAnsi"/>
          <w:b/>
          <w:sz w:val="21"/>
          <w:szCs w:val="21"/>
        </w:rPr>
      </w:pPr>
      <w:r w:rsidRPr="00F353BE">
        <w:rPr>
          <w:rFonts w:cstheme="minorHAnsi"/>
          <w:b/>
          <w:sz w:val="21"/>
          <w:szCs w:val="21"/>
        </w:rPr>
        <w:t>Table 7.4: Corio, Norlane, Whittington: Top 5 Industries of Employment</w:t>
      </w:r>
      <w:r w:rsidR="00F353BE">
        <w:rPr>
          <w:rFonts w:cstheme="minorHAnsi"/>
          <w:b/>
          <w:sz w:val="21"/>
          <w:szCs w:val="21"/>
        </w:rPr>
        <w:t xml:space="preserve"> </w:t>
      </w:r>
      <w:r w:rsidRPr="00F353BE">
        <w:rPr>
          <w:rFonts w:cstheme="minorHAnsi"/>
          <w:b/>
          <w:noProof/>
          <w:sz w:val="21"/>
          <w:szCs w:val="21"/>
        </w:rPr>
        <w:t xml:space="preserve">(Source: </w:t>
      </w:r>
      <w:r w:rsidR="00F353BE">
        <w:rPr>
          <w:rFonts w:cstheme="minorHAnsi"/>
          <w:b/>
          <w:noProof/>
          <w:sz w:val="21"/>
          <w:szCs w:val="21"/>
        </w:rPr>
        <w:t>ABS</w:t>
      </w:r>
      <w:r w:rsidRPr="00F353BE">
        <w:rPr>
          <w:rFonts w:cstheme="minorHAnsi"/>
          <w:b/>
          <w:noProof/>
          <w:sz w:val="21"/>
          <w:szCs w:val="21"/>
        </w:rPr>
        <w:t>, 2016)</w:t>
      </w:r>
    </w:p>
    <w:p w14:paraId="56D309DC" w14:textId="77777777" w:rsidR="007C77EC" w:rsidRPr="0062191F" w:rsidRDefault="007C77EC" w:rsidP="0062191F">
      <w:pPr>
        <w:spacing w:after="0" w:line="276" w:lineRule="auto"/>
        <w:rPr>
          <w:rFonts w:asciiTheme="majorHAnsi" w:hAnsiTheme="majorHAnsi" w:cstheme="majorHAnsi"/>
          <w:sz w:val="16"/>
          <w:szCs w:val="16"/>
        </w:rPr>
      </w:pPr>
    </w:p>
    <w:p w14:paraId="678E5E9D" w14:textId="1BB178E8" w:rsidR="00F00E3D" w:rsidRPr="003710F5" w:rsidRDefault="00AE1456" w:rsidP="009B2FA7">
      <w:pPr>
        <w:spacing w:line="276" w:lineRule="auto"/>
        <w:rPr>
          <w:rFonts w:asciiTheme="majorHAnsi" w:hAnsiTheme="majorHAnsi" w:cstheme="majorHAnsi"/>
          <w:b/>
          <w:bCs/>
          <w:color w:val="2F5496" w:themeColor="accent1" w:themeShade="BF"/>
          <w:sz w:val="28"/>
          <w:szCs w:val="28"/>
        </w:rPr>
      </w:pPr>
      <w:r w:rsidRPr="003710F5">
        <w:rPr>
          <w:rFonts w:eastAsia="Calibri" w:cstheme="minorHAnsi"/>
          <w:b/>
          <w:color w:val="2F5496" w:themeColor="accent1" w:themeShade="BF"/>
          <w:sz w:val="28"/>
          <w:szCs w:val="28"/>
        </w:rPr>
        <w:t>7.2</w:t>
      </w:r>
      <w:r w:rsidR="00F00E3D" w:rsidRPr="003710F5">
        <w:rPr>
          <w:rFonts w:eastAsia="Calibri" w:cstheme="minorHAnsi"/>
          <w:b/>
          <w:color w:val="2F5496" w:themeColor="accent1" w:themeShade="BF"/>
          <w:sz w:val="28"/>
          <w:szCs w:val="28"/>
        </w:rPr>
        <w:t xml:space="preserve"> Policy Interventions and </w:t>
      </w:r>
      <w:r w:rsidRPr="003710F5">
        <w:rPr>
          <w:rFonts w:eastAsia="Calibri" w:cstheme="minorHAnsi"/>
          <w:b/>
          <w:color w:val="2F5496" w:themeColor="accent1" w:themeShade="BF"/>
          <w:sz w:val="28"/>
          <w:szCs w:val="28"/>
        </w:rPr>
        <w:t>Lessons Learnt</w:t>
      </w:r>
    </w:p>
    <w:p w14:paraId="620CC311" w14:textId="2A65C204" w:rsidR="00DB15A8" w:rsidRDefault="00F00E3D" w:rsidP="009B2FA7">
      <w:pPr>
        <w:spacing w:line="276" w:lineRule="auto"/>
        <w:rPr>
          <w:rFonts w:asciiTheme="majorHAnsi" w:hAnsiTheme="majorHAnsi" w:cstheme="majorBidi"/>
          <w:sz w:val="23"/>
          <w:szCs w:val="23"/>
        </w:rPr>
      </w:pPr>
      <w:r w:rsidRPr="00E91887">
        <w:rPr>
          <w:rFonts w:asciiTheme="majorHAnsi" w:hAnsiTheme="majorHAnsi" w:cstheme="majorBidi"/>
          <w:sz w:val="23"/>
          <w:szCs w:val="23"/>
        </w:rPr>
        <w:t>There have been many</w:t>
      </w:r>
      <w:r w:rsidR="00DB15A8">
        <w:rPr>
          <w:rFonts w:asciiTheme="majorHAnsi" w:hAnsiTheme="majorHAnsi" w:cstheme="majorBidi"/>
          <w:sz w:val="23"/>
          <w:szCs w:val="23"/>
        </w:rPr>
        <w:t xml:space="preserve"> prior</w:t>
      </w:r>
      <w:r w:rsidRPr="00E91887">
        <w:rPr>
          <w:rFonts w:asciiTheme="majorHAnsi" w:hAnsiTheme="majorHAnsi" w:cstheme="majorBidi"/>
          <w:sz w:val="23"/>
          <w:szCs w:val="23"/>
        </w:rPr>
        <w:t xml:space="preserve"> attempts to ameliorate </w:t>
      </w:r>
      <w:r w:rsidR="0062191F">
        <w:rPr>
          <w:rFonts w:asciiTheme="majorHAnsi" w:hAnsiTheme="majorHAnsi" w:cstheme="majorBidi"/>
          <w:sz w:val="23"/>
          <w:szCs w:val="23"/>
        </w:rPr>
        <w:t>the</w:t>
      </w:r>
      <w:r w:rsidRPr="00E91887">
        <w:rPr>
          <w:rFonts w:asciiTheme="majorHAnsi" w:hAnsiTheme="majorHAnsi" w:cstheme="majorBidi"/>
          <w:sz w:val="23"/>
          <w:szCs w:val="23"/>
        </w:rPr>
        <w:t xml:space="preserve"> </w:t>
      </w:r>
      <w:r w:rsidR="0062191F">
        <w:rPr>
          <w:rFonts w:asciiTheme="majorHAnsi" w:hAnsiTheme="majorHAnsi" w:cstheme="majorBidi"/>
          <w:sz w:val="23"/>
          <w:szCs w:val="23"/>
        </w:rPr>
        <w:t xml:space="preserve">persistent </w:t>
      </w:r>
      <w:r w:rsidRPr="00E91887">
        <w:rPr>
          <w:rFonts w:asciiTheme="majorHAnsi" w:hAnsiTheme="majorHAnsi" w:cstheme="majorBidi"/>
          <w:sz w:val="23"/>
          <w:szCs w:val="23"/>
        </w:rPr>
        <w:t>disadvantage</w:t>
      </w:r>
      <w:r w:rsidR="0062191F">
        <w:rPr>
          <w:rFonts w:asciiTheme="majorHAnsi" w:hAnsiTheme="majorHAnsi" w:cstheme="majorBidi"/>
          <w:sz w:val="23"/>
          <w:szCs w:val="23"/>
        </w:rPr>
        <w:t xml:space="preserve"> experienced by communities in these three localities</w:t>
      </w:r>
      <w:r w:rsidR="00AE1456">
        <w:rPr>
          <w:rFonts w:asciiTheme="majorHAnsi" w:hAnsiTheme="majorHAnsi" w:cstheme="majorBidi"/>
          <w:sz w:val="23"/>
          <w:szCs w:val="23"/>
        </w:rPr>
        <w:t>. Past actions include</w:t>
      </w:r>
      <w:r w:rsidRPr="00E91887">
        <w:rPr>
          <w:rFonts w:asciiTheme="majorHAnsi" w:hAnsiTheme="majorHAnsi" w:cstheme="majorBidi"/>
          <w:sz w:val="23"/>
          <w:szCs w:val="23"/>
        </w:rPr>
        <w:t xml:space="preserve"> government </w:t>
      </w:r>
      <w:r w:rsidR="00A807E5">
        <w:rPr>
          <w:rFonts w:asciiTheme="majorHAnsi" w:hAnsiTheme="majorHAnsi" w:cstheme="majorBidi"/>
          <w:sz w:val="23"/>
          <w:szCs w:val="23"/>
        </w:rPr>
        <w:t>initiatives to</w:t>
      </w:r>
      <w:r w:rsidRPr="00E91887">
        <w:rPr>
          <w:rFonts w:asciiTheme="majorHAnsi" w:hAnsiTheme="majorHAnsi" w:cstheme="majorBidi"/>
          <w:sz w:val="23"/>
          <w:szCs w:val="23"/>
        </w:rPr>
        <w:t xml:space="preserve"> improve local schools through amalgamation </w:t>
      </w:r>
      <w:r w:rsidR="00AE1456">
        <w:rPr>
          <w:rFonts w:asciiTheme="majorHAnsi" w:hAnsiTheme="majorHAnsi" w:cstheme="majorBidi"/>
          <w:sz w:val="23"/>
          <w:szCs w:val="23"/>
        </w:rPr>
        <w:t>and</w:t>
      </w:r>
      <w:r w:rsidRPr="00E91887">
        <w:rPr>
          <w:rFonts w:asciiTheme="majorHAnsi" w:hAnsiTheme="majorHAnsi" w:cstheme="majorBidi"/>
          <w:sz w:val="23"/>
          <w:szCs w:val="23"/>
        </w:rPr>
        <w:t xml:space="preserve"> targeted funding</w:t>
      </w:r>
      <w:r w:rsidR="00AE1456">
        <w:rPr>
          <w:rFonts w:asciiTheme="majorHAnsi" w:hAnsiTheme="majorHAnsi" w:cstheme="majorBidi"/>
          <w:sz w:val="23"/>
          <w:szCs w:val="23"/>
        </w:rPr>
        <w:t xml:space="preserve">; </w:t>
      </w:r>
      <w:r w:rsidRPr="00E91887">
        <w:rPr>
          <w:rFonts w:asciiTheme="majorHAnsi" w:hAnsiTheme="majorHAnsi" w:cstheme="majorBidi"/>
          <w:sz w:val="23"/>
          <w:szCs w:val="23"/>
        </w:rPr>
        <w:t>investment in better health facilities</w:t>
      </w:r>
      <w:r w:rsidR="00A807E5">
        <w:rPr>
          <w:rFonts w:asciiTheme="majorHAnsi" w:hAnsiTheme="majorHAnsi" w:cstheme="majorBidi"/>
          <w:sz w:val="23"/>
          <w:szCs w:val="23"/>
        </w:rPr>
        <w:t>;</w:t>
      </w:r>
      <w:r w:rsidRPr="00E91887">
        <w:rPr>
          <w:rFonts w:asciiTheme="majorHAnsi" w:hAnsiTheme="majorHAnsi" w:cstheme="majorBidi"/>
          <w:sz w:val="23"/>
          <w:szCs w:val="23"/>
        </w:rPr>
        <w:t xml:space="preserve"> and, through the Neighbourhood Renewal </w:t>
      </w:r>
      <w:r w:rsidR="00A807E5">
        <w:rPr>
          <w:rFonts w:asciiTheme="majorHAnsi" w:hAnsiTheme="majorHAnsi" w:cstheme="majorBidi"/>
          <w:sz w:val="23"/>
          <w:szCs w:val="23"/>
        </w:rPr>
        <w:t>P</w:t>
      </w:r>
      <w:r w:rsidRPr="00E91887">
        <w:rPr>
          <w:rFonts w:asciiTheme="majorHAnsi" w:hAnsiTheme="majorHAnsi" w:cstheme="majorBidi"/>
          <w:sz w:val="23"/>
          <w:szCs w:val="23"/>
        </w:rPr>
        <w:t xml:space="preserve">rogram </w:t>
      </w:r>
      <w:r w:rsidR="00A807E5">
        <w:rPr>
          <w:rFonts w:asciiTheme="majorHAnsi" w:hAnsiTheme="majorHAnsi" w:cstheme="majorBidi"/>
          <w:sz w:val="23"/>
          <w:szCs w:val="23"/>
        </w:rPr>
        <w:t>(</w:t>
      </w:r>
      <w:r w:rsidRPr="00E91887">
        <w:rPr>
          <w:rFonts w:asciiTheme="majorHAnsi" w:hAnsiTheme="majorHAnsi" w:cstheme="majorBidi"/>
          <w:sz w:val="23"/>
          <w:szCs w:val="23"/>
        </w:rPr>
        <w:t>2003</w:t>
      </w:r>
      <w:r w:rsidR="00A807E5">
        <w:rPr>
          <w:rFonts w:asciiTheme="majorHAnsi" w:hAnsiTheme="majorHAnsi" w:cstheme="majorBidi"/>
          <w:sz w:val="23"/>
          <w:szCs w:val="23"/>
        </w:rPr>
        <w:t>–</w:t>
      </w:r>
      <w:r w:rsidRPr="00E91887">
        <w:rPr>
          <w:rFonts w:asciiTheme="majorHAnsi" w:hAnsiTheme="majorHAnsi" w:cstheme="majorBidi"/>
          <w:sz w:val="23"/>
          <w:szCs w:val="23"/>
        </w:rPr>
        <w:t>2010</w:t>
      </w:r>
      <w:r w:rsidR="00A807E5">
        <w:rPr>
          <w:rFonts w:asciiTheme="majorHAnsi" w:hAnsiTheme="majorHAnsi" w:cstheme="majorBidi"/>
          <w:sz w:val="23"/>
          <w:szCs w:val="23"/>
        </w:rPr>
        <w:t>)</w:t>
      </w:r>
      <w:r w:rsidRPr="00E91887">
        <w:rPr>
          <w:rFonts w:asciiTheme="majorHAnsi" w:hAnsiTheme="majorHAnsi" w:cstheme="majorBidi"/>
          <w:sz w:val="23"/>
          <w:szCs w:val="23"/>
        </w:rPr>
        <w:t>, a whole</w:t>
      </w:r>
      <w:r w:rsidR="00A807E5">
        <w:rPr>
          <w:rFonts w:asciiTheme="majorHAnsi" w:hAnsiTheme="majorHAnsi" w:cstheme="majorBidi"/>
          <w:sz w:val="23"/>
          <w:szCs w:val="23"/>
        </w:rPr>
        <w:t>-</w:t>
      </w:r>
      <w:r w:rsidRPr="00E91887">
        <w:rPr>
          <w:rFonts w:asciiTheme="majorHAnsi" w:hAnsiTheme="majorHAnsi" w:cstheme="majorBidi"/>
          <w:sz w:val="23"/>
          <w:szCs w:val="23"/>
        </w:rPr>
        <w:t>of</w:t>
      </w:r>
      <w:r w:rsidR="00A807E5">
        <w:rPr>
          <w:rFonts w:asciiTheme="majorHAnsi" w:hAnsiTheme="majorHAnsi" w:cstheme="majorBidi"/>
          <w:sz w:val="23"/>
          <w:szCs w:val="23"/>
        </w:rPr>
        <w:t>-</w:t>
      </w:r>
      <w:r w:rsidRPr="00E91887">
        <w:rPr>
          <w:rFonts w:asciiTheme="majorHAnsi" w:hAnsiTheme="majorHAnsi" w:cstheme="majorBidi"/>
          <w:sz w:val="23"/>
          <w:szCs w:val="23"/>
        </w:rPr>
        <w:t>government</w:t>
      </w:r>
      <w:r w:rsidR="00A807E5">
        <w:rPr>
          <w:rFonts w:asciiTheme="majorHAnsi" w:hAnsiTheme="majorHAnsi" w:cstheme="majorBidi"/>
          <w:sz w:val="23"/>
          <w:szCs w:val="23"/>
        </w:rPr>
        <w:t>,</w:t>
      </w:r>
      <w:r w:rsidRPr="00E91887">
        <w:rPr>
          <w:rFonts w:asciiTheme="majorHAnsi" w:hAnsiTheme="majorHAnsi" w:cstheme="majorBidi"/>
          <w:sz w:val="23"/>
          <w:szCs w:val="23"/>
        </w:rPr>
        <w:t xml:space="preserve"> multi-sectoral </w:t>
      </w:r>
      <w:r w:rsidR="00A807E5">
        <w:rPr>
          <w:rFonts w:asciiTheme="majorHAnsi" w:hAnsiTheme="majorHAnsi" w:cstheme="majorBidi"/>
          <w:sz w:val="23"/>
          <w:szCs w:val="23"/>
        </w:rPr>
        <w:t>effort</w:t>
      </w:r>
      <w:r w:rsidRPr="00E91887">
        <w:rPr>
          <w:rFonts w:asciiTheme="majorHAnsi" w:hAnsiTheme="majorHAnsi" w:cstheme="majorBidi"/>
          <w:sz w:val="23"/>
          <w:szCs w:val="23"/>
        </w:rPr>
        <w:t xml:space="preserve"> </w:t>
      </w:r>
      <w:r w:rsidR="00D93680">
        <w:rPr>
          <w:rFonts w:asciiTheme="majorHAnsi" w:hAnsiTheme="majorHAnsi" w:cstheme="majorBidi"/>
          <w:sz w:val="23"/>
          <w:szCs w:val="23"/>
        </w:rPr>
        <w:t>to improve</w:t>
      </w:r>
      <w:r w:rsidRPr="00E91887">
        <w:rPr>
          <w:rFonts w:asciiTheme="majorHAnsi" w:hAnsiTheme="majorHAnsi" w:cstheme="majorBidi"/>
          <w:sz w:val="23"/>
          <w:szCs w:val="23"/>
        </w:rPr>
        <w:t xml:space="preserve"> the physical environment (by investing in and upgrading local parks), local schools (via rebuilding and adding a Trade Training Centre)</w:t>
      </w:r>
      <w:r w:rsidR="00D93680">
        <w:rPr>
          <w:rFonts w:asciiTheme="majorHAnsi" w:hAnsiTheme="majorHAnsi" w:cstheme="majorBidi"/>
          <w:sz w:val="23"/>
          <w:szCs w:val="23"/>
        </w:rPr>
        <w:t>,</w:t>
      </w:r>
      <w:r w:rsidRPr="00E91887">
        <w:rPr>
          <w:rFonts w:asciiTheme="majorHAnsi" w:hAnsiTheme="majorHAnsi" w:cstheme="majorBidi"/>
          <w:sz w:val="23"/>
          <w:szCs w:val="23"/>
        </w:rPr>
        <w:t xml:space="preserve"> and public housing stock.</w:t>
      </w:r>
    </w:p>
    <w:p w14:paraId="6EC10F55" w14:textId="457651FF" w:rsidR="009D3454" w:rsidRDefault="00DB15A8" w:rsidP="009B2FA7">
      <w:pPr>
        <w:spacing w:line="276" w:lineRule="auto"/>
        <w:rPr>
          <w:rFonts w:asciiTheme="majorHAnsi" w:hAnsiTheme="majorHAnsi" w:cstheme="majorBidi"/>
          <w:sz w:val="23"/>
          <w:szCs w:val="23"/>
        </w:rPr>
      </w:pPr>
      <w:r>
        <w:rPr>
          <w:rFonts w:asciiTheme="majorHAnsi" w:hAnsiTheme="majorHAnsi" w:cstheme="majorHAnsi"/>
          <w:sz w:val="23"/>
          <w:szCs w:val="23"/>
        </w:rPr>
        <w:t xml:space="preserve">The </w:t>
      </w:r>
      <w:r w:rsidRPr="00E91887">
        <w:rPr>
          <w:rFonts w:asciiTheme="majorHAnsi" w:hAnsiTheme="majorHAnsi" w:cstheme="majorHAnsi"/>
          <w:sz w:val="23"/>
          <w:szCs w:val="23"/>
        </w:rPr>
        <w:t xml:space="preserve">Neighbourhood Renewal </w:t>
      </w:r>
      <w:r>
        <w:rPr>
          <w:rFonts w:asciiTheme="majorHAnsi" w:hAnsiTheme="majorHAnsi" w:cstheme="majorHAnsi"/>
          <w:sz w:val="23"/>
          <w:szCs w:val="23"/>
        </w:rPr>
        <w:t xml:space="preserve">Program (see </w:t>
      </w:r>
      <w:r w:rsidR="00F353BE">
        <w:rPr>
          <w:rFonts w:asciiTheme="majorHAnsi" w:hAnsiTheme="majorHAnsi" w:cstheme="majorHAnsi"/>
          <w:sz w:val="23"/>
          <w:szCs w:val="23"/>
        </w:rPr>
        <w:t xml:space="preserve">Section 5: </w:t>
      </w:r>
      <w:r w:rsidR="00AD2DA5">
        <w:rPr>
          <w:rFonts w:asciiTheme="majorHAnsi" w:hAnsiTheme="majorHAnsi" w:cstheme="majorHAnsi"/>
          <w:sz w:val="23"/>
          <w:szCs w:val="23"/>
        </w:rPr>
        <w:t xml:space="preserve">Case </w:t>
      </w:r>
      <w:r w:rsidR="00AD2DA5" w:rsidRPr="00AD2DA5">
        <w:rPr>
          <w:rFonts w:asciiTheme="majorHAnsi" w:hAnsiTheme="majorHAnsi" w:cstheme="majorHAnsi"/>
          <w:sz w:val="23"/>
          <w:szCs w:val="23"/>
        </w:rPr>
        <w:t>Studies</w:t>
      </w:r>
      <w:r w:rsidRPr="00AD2DA5">
        <w:rPr>
          <w:rFonts w:asciiTheme="majorHAnsi" w:hAnsiTheme="majorHAnsi" w:cstheme="majorHAnsi"/>
          <w:sz w:val="23"/>
          <w:szCs w:val="23"/>
        </w:rPr>
        <w:t xml:space="preserve">, p. </w:t>
      </w:r>
      <w:r w:rsidR="00AD2DA5" w:rsidRPr="00AD2DA5">
        <w:rPr>
          <w:rFonts w:asciiTheme="majorHAnsi" w:hAnsiTheme="majorHAnsi" w:cstheme="majorHAnsi"/>
          <w:sz w:val="23"/>
          <w:szCs w:val="23"/>
        </w:rPr>
        <w:t>66</w:t>
      </w:r>
      <w:r w:rsidRPr="00AD2DA5">
        <w:rPr>
          <w:rFonts w:asciiTheme="majorHAnsi" w:hAnsiTheme="majorHAnsi" w:cstheme="majorHAnsi"/>
          <w:sz w:val="23"/>
          <w:szCs w:val="23"/>
        </w:rPr>
        <w:t>) saw a highly effective, whole-of-government set of interventions rolled out in the Corio–Norlane area, producing</w:t>
      </w:r>
      <w:r w:rsidRPr="00E91887">
        <w:rPr>
          <w:rFonts w:asciiTheme="majorHAnsi" w:hAnsiTheme="majorHAnsi" w:cstheme="majorHAnsi"/>
          <w:sz w:val="23"/>
          <w:szCs w:val="23"/>
        </w:rPr>
        <w:t xml:space="preserve"> noticeable social improvements </w:t>
      </w:r>
      <w:r>
        <w:rPr>
          <w:rFonts w:asciiTheme="majorHAnsi" w:hAnsiTheme="majorHAnsi" w:cstheme="majorHAnsi"/>
          <w:sz w:val="23"/>
          <w:szCs w:val="23"/>
        </w:rPr>
        <w:t>and</w:t>
      </w:r>
      <w:r w:rsidRPr="00E91887">
        <w:rPr>
          <w:rFonts w:asciiTheme="majorHAnsi" w:hAnsiTheme="majorHAnsi" w:cstheme="majorHAnsi"/>
          <w:sz w:val="23"/>
          <w:szCs w:val="23"/>
        </w:rPr>
        <w:t xml:space="preserve"> visible upgrades to the physical environment, especially houses and parks. </w:t>
      </w:r>
      <w:r w:rsidR="00F00E3D" w:rsidRPr="00E91887">
        <w:rPr>
          <w:rFonts w:asciiTheme="majorHAnsi" w:hAnsiTheme="majorHAnsi" w:cstheme="majorBidi"/>
          <w:sz w:val="23"/>
          <w:szCs w:val="23"/>
        </w:rPr>
        <w:t xml:space="preserve">The </w:t>
      </w:r>
      <w:r w:rsidR="00F00E3D" w:rsidRPr="00E91887">
        <w:rPr>
          <w:rFonts w:asciiTheme="majorHAnsi" w:hAnsiTheme="majorHAnsi" w:cstheme="majorBidi"/>
          <w:i/>
          <w:sz w:val="23"/>
          <w:szCs w:val="23"/>
        </w:rPr>
        <w:t>Neighbourhood Renewal Year 8 Report</w:t>
      </w:r>
      <w:r w:rsidR="00F00E3D" w:rsidRPr="00E91887">
        <w:rPr>
          <w:rFonts w:asciiTheme="majorHAnsi" w:hAnsiTheme="majorHAnsi" w:cstheme="majorBidi"/>
          <w:sz w:val="23"/>
          <w:szCs w:val="23"/>
        </w:rPr>
        <w:t xml:space="preserve"> (2010) noted more than 1380 improvements and upgrades to public housing, over 600 employment outcomes and 750 extra training opportunities for local residents</w:t>
      </w:r>
      <w:r w:rsidR="00D93680">
        <w:rPr>
          <w:rFonts w:asciiTheme="majorHAnsi" w:hAnsiTheme="majorHAnsi" w:cstheme="majorBidi"/>
          <w:sz w:val="23"/>
          <w:szCs w:val="23"/>
        </w:rPr>
        <w:t>,</w:t>
      </w:r>
      <w:r w:rsidR="00F00E3D" w:rsidRPr="00E91887">
        <w:rPr>
          <w:rFonts w:asciiTheme="majorHAnsi" w:hAnsiTheme="majorHAnsi" w:cstheme="majorBidi"/>
          <w:sz w:val="23"/>
          <w:szCs w:val="23"/>
        </w:rPr>
        <w:t xml:space="preserve"> and</w:t>
      </w:r>
      <w:r w:rsidR="00D93680">
        <w:rPr>
          <w:rFonts w:asciiTheme="majorHAnsi" w:hAnsiTheme="majorHAnsi" w:cstheme="majorBidi"/>
          <w:sz w:val="23"/>
          <w:szCs w:val="23"/>
        </w:rPr>
        <w:t xml:space="preserve"> upgrades of</w:t>
      </w:r>
      <w:r w:rsidR="00F00E3D" w:rsidRPr="00E91887">
        <w:rPr>
          <w:rFonts w:asciiTheme="majorHAnsi" w:hAnsiTheme="majorHAnsi" w:cstheme="majorBidi"/>
          <w:sz w:val="23"/>
          <w:szCs w:val="23"/>
        </w:rPr>
        <w:t xml:space="preserve"> many open spaces, parks</w:t>
      </w:r>
      <w:r w:rsidR="00D93680">
        <w:rPr>
          <w:rFonts w:asciiTheme="majorHAnsi" w:hAnsiTheme="majorHAnsi" w:cstheme="majorBidi"/>
          <w:sz w:val="23"/>
          <w:szCs w:val="23"/>
        </w:rPr>
        <w:t>,</w:t>
      </w:r>
      <w:r w:rsidR="00F00E3D" w:rsidRPr="00E91887">
        <w:rPr>
          <w:rFonts w:asciiTheme="majorHAnsi" w:hAnsiTheme="majorHAnsi" w:cstheme="majorBidi"/>
          <w:sz w:val="23"/>
          <w:szCs w:val="23"/>
        </w:rPr>
        <w:t xml:space="preserve"> and playgrounds. </w:t>
      </w:r>
      <w:r w:rsidR="009D3454">
        <w:rPr>
          <w:rFonts w:asciiTheme="majorHAnsi" w:hAnsiTheme="majorHAnsi" w:cstheme="majorBidi"/>
          <w:sz w:val="23"/>
          <w:szCs w:val="23"/>
        </w:rPr>
        <w:t>It also brought</w:t>
      </w:r>
      <w:r w:rsidR="00F00E3D" w:rsidRPr="00E91887">
        <w:rPr>
          <w:rFonts w:asciiTheme="majorHAnsi" w:hAnsiTheme="majorHAnsi" w:cstheme="majorBidi"/>
          <w:sz w:val="23"/>
          <w:szCs w:val="23"/>
        </w:rPr>
        <w:t xml:space="preserve"> considerable improvements in community participation (</w:t>
      </w:r>
      <w:r w:rsidR="00F00E3D" w:rsidRPr="00E91887">
        <w:rPr>
          <w:rFonts w:asciiTheme="majorHAnsi" w:hAnsiTheme="majorHAnsi" w:cstheme="majorBidi"/>
          <w:noProof/>
          <w:sz w:val="23"/>
          <w:szCs w:val="23"/>
        </w:rPr>
        <w:t>Shield et al.</w:t>
      </w:r>
      <w:r w:rsidR="00D93680">
        <w:rPr>
          <w:rFonts w:asciiTheme="majorHAnsi" w:hAnsiTheme="majorHAnsi" w:cstheme="majorBidi"/>
          <w:noProof/>
          <w:sz w:val="23"/>
          <w:szCs w:val="23"/>
        </w:rPr>
        <w:t>,</w:t>
      </w:r>
      <w:r w:rsidR="00F00E3D" w:rsidRPr="00E91887">
        <w:rPr>
          <w:rFonts w:asciiTheme="majorHAnsi" w:hAnsiTheme="majorHAnsi" w:cstheme="majorBidi"/>
          <w:noProof/>
          <w:sz w:val="23"/>
          <w:szCs w:val="23"/>
        </w:rPr>
        <w:t xml:space="preserve"> 2011</w:t>
      </w:r>
      <w:r w:rsidR="00F00E3D" w:rsidRPr="00E91887">
        <w:rPr>
          <w:rFonts w:asciiTheme="majorHAnsi" w:hAnsiTheme="majorHAnsi" w:cstheme="majorBidi"/>
          <w:sz w:val="23"/>
          <w:szCs w:val="23"/>
        </w:rPr>
        <w:t>; Year 8 Review</w:t>
      </w:r>
      <w:r w:rsidR="00D93680">
        <w:rPr>
          <w:rFonts w:asciiTheme="majorHAnsi" w:hAnsiTheme="majorHAnsi" w:cstheme="majorBidi"/>
          <w:sz w:val="23"/>
          <w:szCs w:val="23"/>
        </w:rPr>
        <w:t>,</w:t>
      </w:r>
      <w:r w:rsidR="00F00E3D" w:rsidRPr="00E91887">
        <w:rPr>
          <w:rFonts w:asciiTheme="majorHAnsi" w:hAnsiTheme="majorHAnsi" w:cstheme="majorBidi"/>
          <w:sz w:val="23"/>
          <w:szCs w:val="23"/>
        </w:rPr>
        <w:t xml:space="preserve"> 2008).</w:t>
      </w:r>
    </w:p>
    <w:p w14:paraId="5BD0ACA3" w14:textId="69369A0F" w:rsidR="00F00E3D" w:rsidRPr="00DB15A8" w:rsidRDefault="00D93680" w:rsidP="009B2FA7">
      <w:pPr>
        <w:spacing w:line="276" w:lineRule="auto"/>
        <w:rPr>
          <w:rFonts w:asciiTheme="majorHAnsi" w:hAnsiTheme="majorHAnsi" w:cstheme="majorHAnsi"/>
          <w:sz w:val="23"/>
          <w:szCs w:val="23"/>
        </w:rPr>
      </w:pPr>
      <w:r>
        <w:rPr>
          <w:rFonts w:asciiTheme="majorHAnsi" w:hAnsiTheme="majorHAnsi" w:cstheme="majorBidi"/>
          <w:sz w:val="23"/>
          <w:szCs w:val="23"/>
        </w:rPr>
        <w:t>The</w:t>
      </w:r>
      <w:r w:rsidR="00F00E3D" w:rsidRPr="00E91887">
        <w:rPr>
          <w:rFonts w:asciiTheme="majorHAnsi" w:hAnsiTheme="majorHAnsi" w:cstheme="majorBidi"/>
          <w:sz w:val="23"/>
          <w:szCs w:val="23"/>
        </w:rPr>
        <w:t xml:space="preserve"> related </w:t>
      </w:r>
      <w:r w:rsidR="00F00E3D" w:rsidRPr="00D93680">
        <w:rPr>
          <w:rFonts w:asciiTheme="majorHAnsi" w:hAnsiTheme="majorHAnsi" w:cstheme="majorBidi"/>
          <w:iCs/>
          <w:sz w:val="23"/>
          <w:szCs w:val="23"/>
        </w:rPr>
        <w:t>Streets Ahead: Communities in Action</w:t>
      </w:r>
      <w:r w:rsidR="00F00E3D" w:rsidRPr="00E91887">
        <w:rPr>
          <w:rFonts w:asciiTheme="majorHAnsi" w:hAnsiTheme="majorHAnsi" w:cstheme="majorBidi"/>
          <w:sz w:val="23"/>
          <w:szCs w:val="23"/>
        </w:rPr>
        <w:t xml:space="preserve"> program</w:t>
      </w:r>
      <w:r>
        <w:rPr>
          <w:rFonts w:asciiTheme="majorHAnsi" w:hAnsiTheme="majorHAnsi" w:cstheme="majorBidi"/>
          <w:sz w:val="23"/>
          <w:szCs w:val="23"/>
        </w:rPr>
        <w:t>,</w:t>
      </w:r>
      <w:r w:rsidR="00F00E3D" w:rsidRPr="00E91887">
        <w:rPr>
          <w:rFonts w:asciiTheme="majorHAnsi" w:hAnsiTheme="majorHAnsi" w:cstheme="majorBidi"/>
          <w:sz w:val="23"/>
          <w:szCs w:val="23"/>
        </w:rPr>
        <w:t xml:space="preserve"> </w:t>
      </w:r>
      <w:r>
        <w:rPr>
          <w:rFonts w:asciiTheme="majorHAnsi" w:hAnsiTheme="majorHAnsi" w:cstheme="majorBidi"/>
          <w:sz w:val="23"/>
          <w:szCs w:val="23"/>
        </w:rPr>
        <w:t>which ran in</w:t>
      </w:r>
      <w:r w:rsidR="00F00E3D" w:rsidRPr="00E91887">
        <w:rPr>
          <w:rFonts w:asciiTheme="majorHAnsi" w:hAnsiTheme="majorHAnsi" w:cstheme="majorBidi"/>
          <w:sz w:val="23"/>
          <w:szCs w:val="23"/>
        </w:rPr>
        <w:t xml:space="preserve"> Corio and Norlane</w:t>
      </w:r>
      <w:r>
        <w:rPr>
          <w:rFonts w:asciiTheme="majorHAnsi" w:hAnsiTheme="majorHAnsi" w:cstheme="majorBidi"/>
          <w:sz w:val="23"/>
          <w:szCs w:val="23"/>
        </w:rPr>
        <w:t>,</w:t>
      </w:r>
      <w:r w:rsidR="00F00E3D" w:rsidRPr="00E91887">
        <w:rPr>
          <w:rFonts w:asciiTheme="majorHAnsi" w:hAnsiTheme="majorHAnsi" w:cstheme="majorBidi"/>
          <w:sz w:val="23"/>
          <w:szCs w:val="23"/>
        </w:rPr>
        <w:t xml:space="preserve"> was evaluated</w:t>
      </w:r>
      <w:r>
        <w:rPr>
          <w:rFonts w:asciiTheme="majorHAnsi" w:hAnsiTheme="majorHAnsi" w:cstheme="majorBidi"/>
          <w:sz w:val="23"/>
          <w:szCs w:val="23"/>
        </w:rPr>
        <w:t xml:space="preserve"> in 2005</w:t>
      </w:r>
      <w:r w:rsidR="00F00E3D" w:rsidRPr="00E91887">
        <w:rPr>
          <w:rFonts w:asciiTheme="majorHAnsi" w:hAnsiTheme="majorHAnsi" w:cstheme="majorBidi"/>
          <w:sz w:val="23"/>
          <w:szCs w:val="23"/>
        </w:rPr>
        <w:t>. Community aspirations were identified as:</w:t>
      </w:r>
    </w:p>
    <w:p w14:paraId="6F7BCFDD" w14:textId="5C931B00" w:rsidR="00F00E3D" w:rsidRPr="00E91887" w:rsidRDefault="00F00E3D" w:rsidP="00364C5D">
      <w:pPr>
        <w:pStyle w:val="ListParagraph"/>
        <w:numPr>
          <w:ilvl w:val="0"/>
          <w:numId w:val="47"/>
        </w:numPr>
        <w:spacing w:line="276" w:lineRule="auto"/>
        <w:rPr>
          <w:rFonts w:asciiTheme="majorHAnsi" w:hAnsiTheme="majorHAnsi" w:cstheme="majorBidi"/>
          <w:sz w:val="23"/>
          <w:szCs w:val="23"/>
        </w:rPr>
      </w:pPr>
      <w:r w:rsidRPr="00E91887">
        <w:rPr>
          <w:rFonts w:asciiTheme="majorHAnsi" w:hAnsiTheme="majorHAnsi" w:cstheme="majorBidi"/>
          <w:sz w:val="23"/>
          <w:szCs w:val="23"/>
        </w:rPr>
        <w:t>Community safety</w:t>
      </w:r>
      <w:r w:rsidR="00D93680">
        <w:rPr>
          <w:rFonts w:asciiTheme="majorHAnsi" w:hAnsiTheme="majorHAnsi" w:cstheme="majorBidi"/>
          <w:sz w:val="23"/>
          <w:szCs w:val="23"/>
        </w:rPr>
        <w:t>:</w:t>
      </w:r>
      <w:r w:rsidRPr="00E91887">
        <w:rPr>
          <w:rFonts w:asciiTheme="majorHAnsi" w:hAnsiTheme="majorHAnsi" w:cstheme="majorBidi"/>
          <w:sz w:val="23"/>
          <w:szCs w:val="23"/>
        </w:rPr>
        <w:t xml:space="preserve"> especially </w:t>
      </w:r>
      <w:r w:rsidR="00D93680">
        <w:rPr>
          <w:rFonts w:asciiTheme="majorHAnsi" w:hAnsiTheme="majorHAnsi" w:cstheme="majorBidi"/>
          <w:sz w:val="23"/>
          <w:szCs w:val="23"/>
        </w:rPr>
        <w:t>in relation to home</w:t>
      </w:r>
      <w:r w:rsidRPr="00E91887">
        <w:rPr>
          <w:rFonts w:asciiTheme="majorHAnsi" w:hAnsiTheme="majorHAnsi" w:cstheme="majorBidi"/>
          <w:sz w:val="23"/>
          <w:szCs w:val="23"/>
        </w:rPr>
        <w:t xml:space="preserve"> burglaries, street racing, drug use, harassment, assaults, “anti-social behaviour”</w:t>
      </w:r>
      <w:r w:rsidR="00D93680">
        <w:rPr>
          <w:rFonts w:asciiTheme="majorHAnsi" w:hAnsiTheme="majorHAnsi" w:cstheme="majorBidi"/>
          <w:sz w:val="23"/>
          <w:szCs w:val="23"/>
        </w:rPr>
        <w:t>,</w:t>
      </w:r>
      <w:r w:rsidRPr="00E91887">
        <w:rPr>
          <w:rFonts w:asciiTheme="majorHAnsi" w:hAnsiTheme="majorHAnsi" w:cstheme="majorBidi"/>
          <w:sz w:val="23"/>
          <w:szCs w:val="23"/>
        </w:rPr>
        <w:t xml:space="preserve"> and unsafe local shops</w:t>
      </w:r>
    </w:p>
    <w:p w14:paraId="7BE24BA4" w14:textId="5206DF9A" w:rsidR="00F00E3D" w:rsidRPr="00E91887" w:rsidRDefault="00F00E3D" w:rsidP="00364C5D">
      <w:pPr>
        <w:pStyle w:val="ListParagraph"/>
        <w:numPr>
          <w:ilvl w:val="0"/>
          <w:numId w:val="47"/>
        </w:numPr>
        <w:spacing w:line="276" w:lineRule="auto"/>
        <w:rPr>
          <w:rFonts w:asciiTheme="majorHAnsi" w:hAnsiTheme="majorHAnsi" w:cstheme="majorBidi"/>
          <w:color w:val="000000" w:themeColor="text1"/>
          <w:sz w:val="23"/>
          <w:szCs w:val="23"/>
        </w:rPr>
      </w:pPr>
      <w:r w:rsidRPr="00E91887">
        <w:rPr>
          <w:rFonts w:asciiTheme="majorHAnsi" w:hAnsiTheme="majorHAnsi" w:cstheme="majorBidi"/>
          <w:sz w:val="23"/>
          <w:szCs w:val="23"/>
        </w:rPr>
        <w:t>Institutional responses and local services</w:t>
      </w:r>
      <w:r w:rsidR="00D93680">
        <w:rPr>
          <w:rFonts w:asciiTheme="majorHAnsi" w:hAnsiTheme="majorHAnsi" w:cstheme="majorBidi"/>
          <w:sz w:val="23"/>
          <w:szCs w:val="23"/>
        </w:rPr>
        <w:t xml:space="preserve">: </w:t>
      </w:r>
      <w:r w:rsidRPr="00E91887">
        <w:rPr>
          <w:rFonts w:asciiTheme="majorHAnsi" w:hAnsiTheme="majorHAnsi" w:cstheme="majorBidi"/>
          <w:sz w:val="23"/>
          <w:szCs w:val="23"/>
        </w:rPr>
        <w:t xml:space="preserve">which was related to stigma </w:t>
      </w:r>
      <w:r w:rsidR="00D93680">
        <w:rPr>
          <w:rFonts w:asciiTheme="majorHAnsi" w:hAnsiTheme="majorHAnsi" w:cstheme="majorBidi"/>
          <w:sz w:val="23"/>
          <w:szCs w:val="23"/>
        </w:rPr>
        <w:t>around</w:t>
      </w:r>
      <w:r w:rsidRPr="00E91887">
        <w:rPr>
          <w:rFonts w:asciiTheme="majorHAnsi" w:hAnsiTheme="majorHAnsi" w:cstheme="majorBidi"/>
          <w:sz w:val="23"/>
          <w:szCs w:val="23"/>
        </w:rPr>
        <w:t xml:space="preserve"> these areas</w:t>
      </w:r>
    </w:p>
    <w:p w14:paraId="337CC43F" w14:textId="1FCCBA8E" w:rsidR="00F00E3D" w:rsidRPr="00E91887" w:rsidRDefault="00F00E3D" w:rsidP="00364C5D">
      <w:pPr>
        <w:pStyle w:val="ListParagraph"/>
        <w:numPr>
          <w:ilvl w:val="0"/>
          <w:numId w:val="47"/>
        </w:numPr>
        <w:spacing w:line="276" w:lineRule="auto"/>
        <w:rPr>
          <w:rFonts w:asciiTheme="majorHAnsi" w:hAnsiTheme="majorHAnsi" w:cstheme="majorBidi"/>
          <w:color w:val="000000" w:themeColor="text1"/>
          <w:sz w:val="23"/>
          <w:szCs w:val="23"/>
        </w:rPr>
      </w:pPr>
      <w:r w:rsidRPr="00E91887">
        <w:rPr>
          <w:rFonts w:asciiTheme="majorHAnsi" w:hAnsiTheme="majorHAnsi" w:cstheme="majorBidi"/>
          <w:sz w:val="23"/>
          <w:szCs w:val="23"/>
        </w:rPr>
        <w:t>Urban design and maintenance to improve the look</w:t>
      </w:r>
      <w:r w:rsidR="00D93680">
        <w:rPr>
          <w:rFonts w:asciiTheme="majorHAnsi" w:hAnsiTheme="majorHAnsi" w:cstheme="majorBidi"/>
          <w:sz w:val="23"/>
          <w:szCs w:val="23"/>
        </w:rPr>
        <w:t>,</w:t>
      </w:r>
      <w:r w:rsidRPr="00E91887">
        <w:rPr>
          <w:rFonts w:asciiTheme="majorHAnsi" w:hAnsiTheme="majorHAnsi" w:cstheme="majorBidi"/>
          <w:sz w:val="23"/>
          <w:szCs w:val="23"/>
        </w:rPr>
        <w:t xml:space="preserve"> feel</w:t>
      </w:r>
      <w:r w:rsidR="00D93680">
        <w:rPr>
          <w:rFonts w:asciiTheme="majorHAnsi" w:hAnsiTheme="majorHAnsi" w:cstheme="majorBidi"/>
          <w:sz w:val="23"/>
          <w:szCs w:val="23"/>
        </w:rPr>
        <w:t xml:space="preserve">, and </w:t>
      </w:r>
      <w:r w:rsidRPr="00E91887">
        <w:rPr>
          <w:rFonts w:asciiTheme="majorHAnsi" w:hAnsiTheme="majorHAnsi" w:cstheme="majorBidi"/>
          <w:sz w:val="23"/>
          <w:szCs w:val="23"/>
        </w:rPr>
        <w:t xml:space="preserve">safety of parks and housing </w:t>
      </w:r>
    </w:p>
    <w:p w14:paraId="54816D7E" w14:textId="7C2EB36F" w:rsidR="00F00E3D" w:rsidRPr="00E91887" w:rsidRDefault="00F00E3D" w:rsidP="00364C5D">
      <w:pPr>
        <w:pStyle w:val="ListParagraph"/>
        <w:numPr>
          <w:ilvl w:val="0"/>
          <w:numId w:val="47"/>
        </w:numPr>
        <w:spacing w:line="276" w:lineRule="auto"/>
        <w:rPr>
          <w:rFonts w:asciiTheme="majorHAnsi" w:hAnsiTheme="majorHAnsi" w:cstheme="majorBidi"/>
          <w:color w:val="000000" w:themeColor="text1"/>
          <w:sz w:val="23"/>
          <w:szCs w:val="23"/>
        </w:rPr>
      </w:pPr>
      <w:r w:rsidRPr="00E91887">
        <w:rPr>
          <w:rFonts w:asciiTheme="majorHAnsi" w:hAnsiTheme="majorHAnsi" w:cstheme="majorBidi"/>
          <w:sz w:val="23"/>
          <w:szCs w:val="23"/>
        </w:rPr>
        <w:t xml:space="preserve">Community participation in decisions </w:t>
      </w:r>
      <w:r w:rsidR="00D93680">
        <w:rPr>
          <w:rFonts w:asciiTheme="majorHAnsi" w:hAnsiTheme="majorHAnsi" w:cstheme="majorBidi"/>
          <w:sz w:val="23"/>
          <w:szCs w:val="23"/>
        </w:rPr>
        <w:t>that affect them</w:t>
      </w:r>
    </w:p>
    <w:p w14:paraId="045254FE" w14:textId="7873ADE0" w:rsidR="00F00E3D" w:rsidRPr="00E91887" w:rsidRDefault="00F00E3D" w:rsidP="00364C5D">
      <w:pPr>
        <w:pStyle w:val="ListParagraph"/>
        <w:numPr>
          <w:ilvl w:val="0"/>
          <w:numId w:val="47"/>
        </w:numPr>
        <w:spacing w:line="276" w:lineRule="auto"/>
        <w:rPr>
          <w:rFonts w:asciiTheme="majorHAnsi" w:hAnsiTheme="majorHAnsi" w:cstheme="majorBidi"/>
          <w:color w:val="000000" w:themeColor="text1"/>
          <w:sz w:val="23"/>
          <w:szCs w:val="23"/>
        </w:rPr>
      </w:pPr>
      <w:r w:rsidRPr="00E91887">
        <w:rPr>
          <w:rFonts w:asciiTheme="majorHAnsi" w:hAnsiTheme="majorHAnsi" w:cstheme="majorBidi"/>
          <w:sz w:val="23"/>
          <w:szCs w:val="23"/>
        </w:rPr>
        <w:t xml:space="preserve">Employment opportunities </w:t>
      </w:r>
      <w:r w:rsidR="00D93680">
        <w:rPr>
          <w:rFonts w:asciiTheme="majorHAnsi" w:hAnsiTheme="majorHAnsi" w:cstheme="majorBidi"/>
          <w:sz w:val="23"/>
          <w:szCs w:val="23"/>
        </w:rPr>
        <w:t>via training and the</w:t>
      </w:r>
      <w:r w:rsidRPr="00E91887">
        <w:rPr>
          <w:rFonts w:asciiTheme="majorHAnsi" w:hAnsiTheme="majorHAnsi" w:cstheme="majorBidi"/>
          <w:sz w:val="23"/>
          <w:szCs w:val="23"/>
        </w:rPr>
        <w:t xml:space="preserve"> removal of barriers</w:t>
      </w:r>
    </w:p>
    <w:p w14:paraId="2263B3F2" w14:textId="414B0E29" w:rsidR="0062191F" w:rsidRPr="0062191F" w:rsidRDefault="00F00E3D" w:rsidP="00364C5D">
      <w:pPr>
        <w:pStyle w:val="ListParagraph"/>
        <w:numPr>
          <w:ilvl w:val="0"/>
          <w:numId w:val="47"/>
        </w:numPr>
        <w:spacing w:line="276" w:lineRule="auto"/>
        <w:rPr>
          <w:rFonts w:asciiTheme="majorHAnsi" w:hAnsiTheme="majorHAnsi" w:cstheme="majorBidi"/>
          <w:sz w:val="23"/>
          <w:szCs w:val="23"/>
        </w:rPr>
      </w:pPr>
      <w:r w:rsidRPr="00E91887">
        <w:rPr>
          <w:rFonts w:asciiTheme="majorHAnsi" w:hAnsiTheme="majorHAnsi" w:cstheme="majorBidi"/>
          <w:sz w:val="23"/>
          <w:szCs w:val="23"/>
        </w:rPr>
        <w:t>Social and recreational opportunities</w:t>
      </w:r>
      <w:r w:rsidR="00D93680">
        <w:rPr>
          <w:rFonts w:asciiTheme="majorHAnsi" w:hAnsiTheme="majorHAnsi" w:cstheme="majorBidi"/>
          <w:sz w:val="23"/>
          <w:szCs w:val="23"/>
        </w:rPr>
        <w:t>.</w:t>
      </w:r>
      <w:r w:rsidR="0062191F" w:rsidRPr="0062191F">
        <w:rPr>
          <w:rFonts w:asciiTheme="majorHAnsi" w:hAnsiTheme="majorHAnsi" w:cstheme="majorBidi"/>
          <w:sz w:val="23"/>
          <w:szCs w:val="23"/>
        </w:rPr>
        <w:br w:type="page"/>
      </w:r>
    </w:p>
    <w:p w14:paraId="5C73F698" w14:textId="062536C0" w:rsidR="00F00E3D" w:rsidRPr="00E91887" w:rsidRDefault="0062191F" w:rsidP="009B2FA7">
      <w:pPr>
        <w:spacing w:line="276" w:lineRule="auto"/>
        <w:rPr>
          <w:rFonts w:asciiTheme="majorHAnsi" w:hAnsiTheme="majorHAnsi" w:cstheme="majorBidi"/>
          <w:sz w:val="23"/>
          <w:szCs w:val="23"/>
        </w:rPr>
      </w:pPr>
      <w:r>
        <w:rPr>
          <w:rFonts w:asciiTheme="majorHAnsi" w:hAnsiTheme="majorHAnsi" w:cstheme="majorBidi"/>
          <w:sz w:val="23"/>
          <w:szCs w:val="23"/>
        </w:rPr>
        <w:lastRenderedPageBreak/>
        <w:t>As part of this program, c</w:t>
      </w:r>
      <w:r w:rsidR="00D93680">
        <w:rPr>
          <w:rFonts w:asciiTheme="majorHAnsi" w:hAnsiTheme="majorHAnsi" w:cstheme="majorBidi"/>
          <w:sz w:val="23"/>
          <w:szCs w:val="23"/>
        </w:rPr>
        <w:t>onsultation with</w:t>
      </w:r>
      <w:r w:rsidR="00F00E3D" w:rsidRPr="00E91887">
        <w:rPr>
          <w:rFonts w:asciiTheme="majorHAnsi" w:hAnsiTheme="majorHAnsi" w:cstheme="majorBidi"/>
          <w:sz w:val="23"/>
          <w:szCs w:val="23"/>
        </w:rPr>
        <w:t xml:space="preserve"> </w:t>
      </w:r>
      <w:r>
        <w:rPr>
          <w:rFonts w:asciiTheme="majorHAnsi" w:hAnsiTheme="majorHAnsi" w:cstheme="majorBidi"/>
          <w:sz w:val="23"/>
          <w:szCs w:val="23"/>
        </w:rPr>
        <w:t xml:space="preserve">local </w:t>
      </w:r>
      <w:r w:rsidR="00F00E3D" w:rsidRPr="00E91887">
        <w:rPr>
          <w:rFonts w:asciiTheme="majorHAnsi" w:hAnsiTheme="majorHAnsi" w:cstheme="majorBidi"/>
          <w:sz w:val="23"/>
          <w:szCs w:val="23"/>
        </w:rPr>
        <w:t>community</w:t>
      </w:r>
      <w:r>
        <w:rPr>
          <w:rFonts w:asciiTheme="majorHAnsi" w:hAnsiTheme="majorHAnsi" w:cstheme="majorBidi"/>
          <w:sz w:val="23"/>
          <w:szCs w:val="23"/>
        </w:rPr>
        <w:t xml:space="preserve"> organisations identified areas for</w:t>
      </w:r>
      <w:r w:rsidRPr="00E91887">
        <w:rPr>
          <w:rFonts w:asciiTheme="majorHAnsi" w:hAnsiTheme="majorHAnsi" w:cstheme="majorBidi"/>
          <w:sz w:val="23"/>
          <w:szCs w:val="23"/>
        </w:rPr>
        <w:t xml:space="preserve"> improvement</w:t>
      </w:r>
      <w:r>
        <w:rPr>
          <w:rFonts w:asciiTheme="majorHAnsi" w:hAnsiTheme="majorHAnsi" w:cstheme="majorBidi"/>
          <w:sz w:val="23"/>
          <w:szCs w:val="23"/>
        </w:rPr>
        <w:t xml:space="preserve">. These </w:t>
      </w:r>
      <w:r w:rsidR="00D93680">
        <w:rPr>
          <w:rFonts w:asciiTheme="majorHAnsi" w:hAnsiTheme="majorHAnsi" w:cstheme="majorBidi"/>
          <w:sz w:val="23"/>
          <w:szCs w:val="23"/>
        </w:rPr>
        <w:t>included</w:t>
      </w:r>
      <w:r w:rsidR="00F00E3D" w:rsidRPr="00E91887">
        <w:rPr>
          <w:rFonts w:asciiTheme="majorHAnsi" w:hAnsiTheme="majorHAnsi" w:cstheme="majorBidi"/>
          <w:sz w:val="23"/>
          <w:szCs w:val="23"/>
        </w:rPr>
        <w:t xml:space="preserve"> </w:t>
      </w:r>
      <w:r>
        <w:rPr>
          <w:rFonts w:asciiTheme="majorHAnsi" w:hAnsiTheme="majorHAnsi" w:cstheme="majorBidi"/>
          <w:sz w:val="23"/>
          <w:szCs w:val="23"/>
        </w:rPr>
        <w:t xml:space="preserve">greater </w:t>
      </w:r>
      <w:r w:rsidR="00F00E3D" w:rsidRPr="00E91887">
        <w:rPr>
          <w:rFonts w:asciiTheme="majorHAnsi" w:hAnsiTheme="majorHAnsi" w:cstheme="majorBidi"/>
          <w:sz w:val="23"/>
          <w:szCs w:val="23"/>
        </w:rPr>
        <w:t xml:space="preserve">opportunities to obtain meaningful </w:t>
      </w:r>
      <w:r w:rsidR="00D93680">
        <w:rPr>
          <w:rFonts w:asciiTheme="majorHAnsi" w:hAnsiTheme="majorHAnsi" w:cstheme="majorBidi"/>
          <w:sz w:val="23"/>
          <w:szCs w:val="23"/>
        </w:rPr>
        <w:t>employment</w:t>
      </w:r>
      <w:r w:rsidR="00F00E3D" w:rsidRPr="00E91887">
        <w:rPr>
          <w:rFonts w:asciiTheme="majorHAnsi" w:hAnsiTheme="majorHAnsi" w:cstheme="majorBidi"/>
          <w:sz w:val="23"/>
          <w:szCs w:val="23"/>
        </w:rPr>
        <w:t xml:space="preserve">, working with the media to reduce stigma, </w:t>
      </w:r>
      <w:r>
        <w:rPr>
          <w:rFonts w:asciiTheme="majorHAnsi" w:hAnsiTheme="majorHAnsi" w:cstheme="majorBidi"/>
          <w:sz w:val="23"/>
          <w:szCs w:val="23"/>
        </w:rPr>
        <w:t>supporting</w:t>
      </w:r>
      <w:r w:rsidR="00F00E3D" w:rsidRPr="00E91887">
        <w:rPr>
          <w:rFonts w:asciiTheme="majorHAnsi" w:hAnsiTheme="majorHAnsi" w:cstheme="majorBidi"/>
          <w:sz w:val="23"/>
          <w:szCs w:val="23"/>
        </w:rPr>
        <w:t xml:space="preserve"> a diverse array of formal and informal </w:t>
      </w:r>
      <w:r>
        <w:rPr>
          <w:rFonts w:asciiTheme="majorHAnsi" w:hAnsiTheme="majorHAnsi" w:cstheme="majorBidi"/>
          <w:sz w:val="23"/>
          <w:szCs w:val="23"/>
        </w:rPr>
        <w:t xml:space="preserve">local </w:t>
      </w:r>
      <w:r w:rsidR="00F00E3D" w:rsidRPr="00E91887">
        <w:rPr>
          <w:rFonts w:asciiTheme="majorHAnsi" w:hAnsiTheme="majorHAnsi" w:cstheme="majorBidi"/>
          <w:sz w:val="23"/>
          <w:szCs w:val="23"/>
        </w:rPr>
        <w:t>leaders</w:t>
      </w:r>
      <w:r w:rsidR="00D93680">
        <w:rPr>
          <w:rFonts w:asciiTheme="majorHAnsi" w:hAnsiTheme="majorHAnsi" w:cstheme="majorBidi"/>
          <w:sz w:val="23"/>
          <w:szCs w:val="23"/>
        </w:rPr>
        <w:t>,</w:t>
      </w:r>
      <w:r w:rsidR="00F00E3D" w:rsidRPr="00E91887">
        <w:rPr>
          <w:rFonts w:asciiTheme="majorHAnsi" w:hAnsiTheme="majorHAnsi" w:cstheme="majorBidi"/>
          <w:sz w:val="23"/>
          <w:szCs w:val="23"/>
        </w:rPr>
        <w:t xml:space="preserve"> and eliciting more support from local industry. The </w:t>
      </w:r>
      <w:r w:rsidR="00D93680">
        <w:rPr>
          <w:rFonts w:asciiTheme="majorHAnsi" w:hAnsiTheme="majorHAnsi" w:cstheme="majorBidi"/>
          <w:sz w:val="23"/>
          <w:szCs w:val="23"/>
        </w:rPr>
        <w:t>program took a</w:t>
      </w:r>
      <w:r w:rsidR="00F00E3D" w:rsidRPr="00E91887">
        <w:rPr>
          <w:rFonts w:asciiTheme="majorHAnsi" w:hAnsiTheme="majorHAnsi" w:cstheme="majorBidi"/>
          <w:sz w:val="23"/>
          <w:szCs w:val="23"/>
        </w:rPr>
        <w:t xml:space="preserve"> “community development</w:t>
      </w:r>
      <w:r w:rsidR="00D93680">
        <w:rPr>
          <w:rFonts w:asciiTheme="majorHAnsi" w:hAnsiTheme="majorHAnsi" w:cstheme="majorBidi"/>
          <w:sz w:val="23"/>
          <w:szCs w:val="23"/>
        </w:rPr>
        <w:t>”</w:t>
      </w:r>
      <w:r w:rsidR="00F00E3D" w:rsidRPr="00E91887">
        <w:rPr>
          <w:rFonts w:asciiTheme="majorHAnsi" w:hAnsiTheme="majorHAnsi" w:cstheme="majorBidi"/>
          <w:sz w:val="23"/>
          <w:szCs w:val="23"/>
        </w:rPr>
        <w:t xml:space="preserve"> </w:t>
      </w:r>
      <w:r w:rsidR="00D93680">
        <w:rPr>
          <w:rFonts w:asciiTheme="majorHAnsi" w:hAnsiTheme="majorHAnsi" w:cstheme="majorBidi"/>
          <w:sz w:val="23"/>
          <w:szCs w:val="23"/>
        </w:rPr>
        <w:t>approach</w:t>
      </w:r>
      <w:r w:rsidR="00F00E3D" w:rsidRPr="00E91887">
        <w:rPr>
          <w:rFonts w:asciiTheme="majorHAnsi" w:hAnsiTheme="majorHAnsi" w:cstheme="majorBidi"/>
          <w:sz w:val="23"/>
          <w:szCs w:val="23"/>
        </w:rPr>
        <w:t xml:space="preserve">, </w:t>
      </w:r>
      <w:r w:rsidR="00D93680">
        <w:rPr>
          <w:rFonts w:asciiTheme="majorHAnsi" w:hAnsiTheme="majorHAnsi" w:cstheme="majorBidi"/>
          <w:sz w:val="23"/>
          <w:szCs w:val="23"/>
        </w:rPr>
        <w:t>aiming to</w:t>
      </w:r>
      <w:r w:rsidR="00F00E3D" w:rsidRPr="00E91887">
        <w:rPr>
          <w:rFonts w:asciiTheme="majorHAnsi" w:hAnsiTheme="majorHAnsi" w:cstheme="majorBidi"/>
          <w:sz w:val="23"/>
          <w:szCs w:val="23"/>
        </w:rPr>
        <w:t xml:space="preserve"> strengthen</w:t>
      </w:r>
      <w:r w:rsidR="00D93680">
        <w:rPr>
          <w:rFonts w:asciiTheme="majorHAnsi" w:hAnsiTheme="majorHAnsi" w:cstheme="majorBidi"/>
          <w:sz w:val="23"/>
          <w:szCs w:val="23"/>
        </w:rPr>
        <w:t xml:space="preserve"> the</w:t>
      </w:r>
      <w:r w:rsidR="00F00E3D" w:rsidRPr="00E91887">
        <w:rPr>
          <w:rFonts w:asciiTheme="majorHAnsi" w:hAnsiTheme="majorHAnsi" w:cstheme="majorBidi"/>
          <w:sz w:val="23"/>
          <w:szCs w:val="23"/>
        </w:rPr>
        <w:t xml:space="preserve"> community’s ability </w:t>
      </w:r>
      <w:r w:rsidR="00D93680">
        <w:rPr>
          <w:rFonts w:asciiTheme="majorHAnsi" w:hAnsiTheme="majorHAnsi" w:cstheme="majorBidi"/>
          <w:sz w:val="23"/>
          <w:szCs w:val="23"/>
        </w:rPr>
        <w:t>“</w:t>
      </w:r>
      <w:r w:rsidR="00F00E3D" w:rsidRPr="00E91887">
        <w:rPr>
          <w:rFonts w:asciiTheme="majorHAnsi" w:hAnsiTheme="majorHAnsi" w:cstheme="majorBidi"/>
          <w:sz w:val="23"/>
          <w:szCs w:val="23"/>
        </w:rPr>
        <w:t>to generate solutions to their needs and priorities in order to promote social, economic and environmental wellbeing”</w:t>
      </w:r>
      <w:r w:rsidR="00D93680">
        <w:rPr>
          <w:rFonts w:asciiTheme="majorHAnsi" w:hAnsiTheme="majorHAnsi" w:cstheme="majorBidi"/>
          <w:sz w:val="23"/>
          <w:szCs w:val="23"/>
        </w:rPr>
        <w:t>. It</w:t>
      </w:r>
      <w:r w:rsidR="00F00E3D" w:rsidRPr="00E91887">
        <w:rPr>
          <w:rFonts w:asciiTheme="majorHAnsi" w:hAnsiTheme="majorHAnsi" w:cstheme="majorBidi"/>
          <w:sz w:val="23"/>
          <w:szCs w:val="23"/>
        </w:rPr>
        <w:t xml:space="preserve"> led to an ongoing Community Action Network focus</w:t>
      </w:r>
      <w:r w:rsidR="00D93680">
        <w:rPr>
          <w:rFonts w:asciiTheme="majorHAnsi" w:hAnsiTheme="majorHAnsi" w:cstheme="majorBidi"/>
          <w:sz w:val="23"/>
          <w:szCs w:val="23"/>
        </w:rPr>
        <w:t>ed</w:t>
      </w:r>
      <w:r w:rsidR="00F00E3D" w:rsidRPr="00E91887">
        <w:rPr>
          <w:rFonts w:asciiTheme="majorHAnsi" w:hAnsiTheme="majorHAnsi" w:cstheme="majorBidi"/>
          <w:sz w:val="23"/>
          <w:szCs w:val="23"/>
        </w:rPr>
        <w:t xml:space="preserve"> on community gardens and parks, the building of the Rosewall Community Centre</w:t>
      </w:r>
      <w:r w:rsidR="00D93680">
        <w:rPr>
          <w:rFonts w:asciiTheme="majorHAnsi" w:hAnsiTheme="majorHAnsi" w:cstheme="majorBidi"/>
          <w:sz w:val="23"/>
          <w:szCs w:val="23"/>
        </w:rPr>
        <w:t>,</w:t>
      </w:r>
      <w:r w:rsidR="00F00E3D" w:rsidRPr="00E91887">
        <w:rPr>
          <w:rFonts w:asciiTheme="majorHAnsi" w:hAnsiTheme="majorHAnsi" w:cstheme="majorBidi"/>
          <w:sz w:val="23"/>
          <w:szCs w:val="23"/>
        </w:rPr>
        <w:t xml:space="preserve"> and a host of one-off projects to improve services and the urban environment </w:t>
      </w:r>
      <w:r w:rsidR="00F00E3D" w:rsidRPr="00E91887">
        <w:rPr>
          <w:rFonts w:asciiTheme="majorHAnsi" w:hAnsiTheme="majorHAnsi" w:cstheme="majorBidi"/>
          <w:noProof/>
          <w:sz w:val="23"/>
          <w:szCs w:val="23"/>
        </w:rPr>
        <w:t>(Savage &amp; Bailey, 2005)</w:t>
      </w:r>
      <w:r w:rsidR="00F00E3D" w:rsidRPr="00E91887">
        <w:rPr>
          <w:rFonts w:asciiTheme="majorHAnsi" w:hAnsiTheme="majorHAnsi" w:cstheme="majorBidi"/>
          <w:sz w:val="23"/>
          <w:szCs w:val="23"/>
        </w:rPr>
        <w:t>.</w:t>
      </w:r>
    </w:p>
    <w:p w14:paraId="48DB2F12" w14:textId="419F83E3" w:rsidR="009D3454" w:rsidRDefault="00F00E3D" w:rsidP="009B2FA7">
      <w:pPr>
        <w:spacing w:line="276" w:lineRule="auto"/>
        <w:rPr>
          <w:rFonts w:asciiTheme="majorHAnsi" w:hAnsiTheme="majorHAnsi" w:cstheme="majorBidi"/>
          <w:sz w:val="23"/>
          <w:szCs w:val="23"/>
        </w:rPr>
      </w:pPr>
      <w:r w:rsidRPr="00E91887">
        <w:rPr>
          <w:rFonts w:asciiTheme="majorHAnsi" w:hAnsiTheme="majorHAnsi" w:cstheme="majorBidi"/>
          <w:sz w:val="23"/>
          <w:szCs w:val="23"/>
        </w:rPr>
        <w:t>From 2007</w:t>
      </w:r>
      <w:r w:rsidR="00D93680">
        <w:rPr>
          <w:rFonts w:asciiTheme="majorHAnsi" w:hAnsiTheme="majorHAnsi" w:cstheme="majorBidi"/>
          <w:sz w:val="23"/>
          <w:szCs w:val="23"/>
        </w:rPr>
        <w:t>–20</w:t>
      </w:r>
      <w:r w:rsidRPr="00E91887">
        <w:rPr>
          <w:rFonts w:asciiTheme="majorHAnsi" w:hAnsiTheme="majorHAnsi" w:cstheme="majorBidi"/>
          <w:sz w:val="23"/>
          <w:szCs w:val="23"/>
        </w:rPr>
        <w:t xml:space="preserve">12, the Victorian </w:t>
      </w:r>
      <w:r w:rsidR="007E0115">
        <w:rPr>
          <w:rFonts w:asciiTheme="majorHAnsi" w:hAnsiTheme="majorHAnsi" w:cstheme="majorBidi"/>
          <w:sz w:val="23"/>
          <w:szCs w:val="23"/>
        </w:rPr>
        <w:t>State G</w:t>
      </w:r>
      <w:r w:rsidRPr="00E91887">
        <w:rPr>
          <w:rFonts w:asciiTheme="majorHAnsi" w:hAnsiTheme="majorHAnsi" w:cstheme="majorBidi"/>
          <w:sz w:val="23"/>
          <w:szCs w:val="23"/>
        </w:rPr>
        <w:t xml:space="preserve">overnment adopted a </w:t>
      </w:r>
      <w:r w:rsidR="00D4353A">
        <w:rPr>
          <w:rFonts w:asciiTheme="majorHAnsi" w:hAnsiTheme="majorHAnsi" w:cstheme="majorBidi"/>
          <w:sz w:val="23"/>
          <w:szCs w:val="23"/>
        </w:rPr>
        <w:t>“</w:t>
      </w:r>
      <w:r w:rsidRPr="00E91887">
        <w:rPr>
          <w:rFonts w:asciiTheme="majorHAnsi" w:hAnsiTheme="majorHAnsi" w:cstheme="majorBidi"/>
          <w:sz w:val="23"/>
          <w:szCs w:val="23"/>
        </w:rPr>
        <w:t>place-based approach</w:t>
      </w:r>
      <w:r w:rsidR="00D4353A">
        <w:rPr>
          <w:rFonts w:asciiTheme="majorHAnsi" w:hAnsiTheme="majorHAnsi" w:cstheme="majorBidi"/>
          <w:sz w:val="23"/>
          <w:szCs w:val="23"/>
        </w:rPr>
        <w:t>” to program delivery</w:t>
      </w:r>
      <w:r w:rsidRPr="00E91887">
        <w:rPr>
          <w:rFonts w:asciiTheme="majorHAnsi" w:hAnsiTheme="majorHAnsi" w:cstheme="majorBidi"/>
          <w:sz w:val="23"/>
          <w:szCs w:val="23"/>
        </w:rPr>
        <w:t>. Within the Fairer Victoria and Neighbourhood Renewal frameworks</w:t>
      </w:r>
      <w:r w:rsidR="00D4353A">
        <w:rPr>
          <w:rFonts w:asciiTheme="majorHAnsi" w:hAnsiTheme="majorHAnsi" w:cstheme="majorBidi"/>
          <w:sz w:val="23"/>
          <w:szCs w:val="23"/>
        </w:rPr>
        <w:t>,</w:t>
      </w:r>
      <w:r w:rsidRPr="00E91887">
        <w:rPr>
          <w:rFonts w:asciiTheme="majorHAnsi" w:hAnsiTheme="majorHAnsi" w:cstheme="majorBidi"/>
          <w:sz w:val="23"/>
          <w:szCs w:val="23"/>
        </w:rPr>
        <w:t xml:space="preserve"> there was also a program to work with communities</w:t>
      </w:r>
      <w:r w:rsidR="00D4353A">
        <w:rPr>
          <w:rFonts w:asciiTheme="majorHAnsi" w:hAnsiTheme="majorHAnsi" w:cstheme="majorBidi"/>
          <w:sz w:val="23"/>
          <w:szCs w:val="23"/>
        </w:rPr>
        <w:t xml:space="preserve"> of</w:t>
      </w:r>
      <w:r w:rsidRPr="00E91887">
        <w:rPr>
          <w:rFonts w:asciiTheme="majorHAnsi" w:hAnsiTheme="majorHAnsi" w:cstheme="majorBidi"/>
          <w:sz w:val="23"/>
          <w:szCs w:val="23"/>
        </w:rPr>
        <w:t xml:space="preserve"> </w:t>
      </w:r>
      <w:r w:rsidR="00D4353A">
        <w:rPr>
          <w:rFonts w:asciiTheme="majorHAnsi" w:hAnsiTheme="majorHAnsi" w:cstheme="majorBidi"/>
          <w:sz w:val="23"/>
          <w:szCs w:val="23"/>
        </w:rPr>
        <w:t>4000</w:t>
      </w:r>
      <w:r w:rsidR="005E1956">
        <w:rPr>
          <w:rFonts w:asciiTheme="majorHAnsi" w:hAnsiTheme="majorHAnsi" w:cstheme="majorBidi"/>
          <w:sz w:val="23"/>
          <w:szCs w:val="23"/>
        </w:rPr>
        <w:t>–</w:t>
      </w:r>
      <w:r w:rsidRPr="00E91887">
        <w:rPr>
          <w:rFonts w:asciiTheme="majorHAnsi" w:hAnsiTheme="majorHAnsi" w:cstheme="majorBidi"/>
          <w:sz w:val="23"/>
          <w:szCs w:val="23"/>
        </w:rPr>
        <w:t xml:space="preserve">7000 people facing a range of </w:t>
      </w:r>
      <w:r w:rsidR="00D4353A">
        <w:rPr>
          <w:rFonts w:asciiTheme="majorHAnsi" w:hAnsiTheme="majorHAnsi" w:cstheme="majorBidi"/>
          <w:sz w:val="23"/>
          <w:szCs w:val="23"/>
        </w:rPr>
        <w:t>challenges</w:t>
      </w:r>
      <w:r w:rsidRPr="00E91887">
        <w:rPr>
          <w:rFonts w:asciiTheme="majorHAnsi" w:hAnsiTheme="majorHAnsi" w:cstheme="majorBidi"/>
          <w:sz w:val="23"/>
          <w:szCs w:val="23"/>
        </w:rPr>
        <w:t>, including falling employment, insufficient access to services</w:t>
      </w:r>
      <w:r w:rsidR="00D4353A">
        <w:rPr>
          <w:rFonts w:asciiTheme="majorHAnsi" w:hAnsiTheme="majorHAnsi" w:cstheme="majorBidi"/>
          <w:sz w:val="23"/>
          <w:szCs w:val="23"/>
        </w:rPr>
        <w:t>,</w:t>
      </w:r>
      <w:r w:rsidRPr="00E91887">
        <w:rPr>
          <w:rFonts w:asciiTheme="majorHAnsi" w:hAnsiTheme="majorHAnsi" w:cstheme="majorBidi"/>
          <w:sz w:val="23"/>
          <w:szCs w:val="23"/>
        </w:rPr>
        <w:t xml:space="preserve"> and underdeveloped community facilities. </w:t>
      </w:r>
      <w:r w:rsidR="00D4353A">
        <w:rPr>
          <w:rFonts w:asciiTheme="majorHAnsi" w:hAnsiTheme="majorHAnsi" w:cstheme="majorBidi"/>
          <w:sz w:val="23"/>
          <w:szCs w:val="23"/>
        </w:rPr>
        <w:t xml:space="preserve">Whittington was one of these areas. </w:t>
      </w:r>
      <w:r w:rsidRPr="00E91887">
        <w:rPr>
          <w:rFonts w:asciiTheme="majorHAnsi" w:hAnsiTheme="majorHAnsi" w:cstheme="majorBidi"/>
          <w:sz w:val="23"/>
          <w:szCs w:val="23"/>
        </w:rPr>
        <w:t xml:space="preserve">The focus was </w:t>
      </w:r>
      <w:r w:rsidR="00D4353A">
        <w:rPr>
          <w:rFonts w:asciiTheme="majorHAnsi" w:hAnsiTheme="majorHAnsi" w:cstheme="majorBidi"/>
          <w:sz w:val="23"/>
          <w:szCs w:val="23"/>
        </w:rPr>
        <w:t>on</w:t>
      </w:r>
      <w:r w:rsidRPr="00E91887">
        <w:rPr>
          <w:rFonts w:asciiTheme="majorHAnsi" w:hAnsiTheme="majorHAnsi" w:cstheme="majorBidi"/>
          <w:sz w:val="23"/>
          <w:szCs w:val="23"/>
        </w:rPr>
        <w:t xml:space="preserve"> activities that would have long term positive social and economic outcomes by bringing together residents, businesses, government</w:t>
      </w:r>
      <w:r w:rsidR="00D4353A">
        <w:rPr>
          <w:rFonts w:asciiTheme="majorHAnsi" w:hAnsiTheme="majorHAnsi" w:cstheme="majorBidi"/>
          <w:sz w:val="23"/>
          <w:szCs w:val="23"/>
        </w:rPr>
        <w:t>,</w:t>
      </w:r>
      <w:r w:rsidRPr="00E91887">
        <w:rPr>
          <w:rFonts w:asciiTheme="majorHAnsi" w:hAnsiTheme="majorHAnsi" w:cstheme="majorBidi"/>
          <w:sz w:val="23"/>
          <w:szCs w:val="23"/>
        </w:rPr>
        <w:t xml:space="preserve"> and local organisations to “help transform their community into a place of opportunity and activity”</w:t>
      </w:r>
      <w:r w:rsidR="005E1956">
        <w:rPr>
          <w:rFonts w:asciiTheme="majorHAnsi" w:hAnsiTheme="majorHAnsi" w:cstheme="majorBidi"/>
          <w:sz w:val="23"/>
          <w:szCs w:val="23"/>
        </w:rPr>
        <w:t>.</w:t>
      </w:r>
      <w:r w:rsidRPr="00E91887">
        <w:rPr>
          <w:rFonts w:asciiTheme="majorHAnsi" w:hAnsiTheme="majorHAnsi" w:cstheme="majorBidi"/>
          <w:sz w:val="23"/>
          <w:szCs w:val="23"/>
        </w:rPr>
        <w:t xml:space="preserve"> This was to occur by stimulating local business activity, expanding job and training opportunities</w:t>
      </w:r>
      <w:r w:rsidR="00D4353A">
        <w:rPr>
          <w:rFonts w:asciiTheme="majorHAnsi" w:hAnsiTheme="majorHAnsi" w:cstheme="majorBidi"/>
          <w:sz w:val="23"/>
          <w:szCs w:val="23"/>
        </w:rPr>
        <w:t>,</w:t>
      </w:r>
      <w:r w:rsidRPr="00E91887">
        <w:rPr>
          <w:rFonts w:asciiTheme="majorHAnsi" w:hAnsiTheme="majorHAnsi" w:cstheme="majorBidi"/>
          <w:sz w:val="23"/>
          <w:szCs w:val="23"/>
        </w:rPr>
        <w:t xml:space="preserve"> linking </w:t>
      </w:r>
      <w:r w:rsidR="00D4353A">
        <w:rPr>
          <w:rFonts w:asciiTheme="majorHAnsi" w:hAnsiTheme="majorHAnsi" w:cstheme="majorBidi"/>
          <w:sz w:val="23"/>
          <w:szCs w:val="23"/>
        </w:rPr>
        <w:t>f</w:t>
      </w:r>
      <w:r w:rsidRPr="00E91887">
        <w:rPr>
          <w:rFonts w:asciiTheme="majorHAnsi" w:hAnsiTheme="majorHAnsi" w:cstheme="majorBidi"/>
          <w:sz w:val="23"/>
          <w:szCs w:val="23"/>
        </w:rPr>
        <w:t xml:space="preserve">ederal and </w:t>
      </w:r>
      <w:r w:rsidR="005E1956">
        <w:rPr>
          <w:rFonts w:asciiTheme="majorHAnsi" w:hAnsiTheme="majorHAnsi" w:cstheme="majorBidi"/>
          <w:sz w:val="23"/>
          <w:szCs w:val="23"/>
        </w:rPr>
        <w:t>S</w:t>
      </w:r>
      <w:r w:rsidRPr="00E91887">
        <w:rPr>
          <w:rFonts w:asciiTheme="majorHAnsi" w:hAnsiTheme="majorHAnsi" w:cstheme="majorBidi"/>
          <w:sz w:val="23"/>
          <w:szCs w:val="23"/>
        </w:rPr>
        <w:t>tate initiatives, stronger engagement in quality early childhood and school education</w:t>
      </w:r>
      <w:r w:rsidR="00D4353A">
        <w:rPr>
          <w:rFonts w:asciiTheme="majorHAnsi" w:hAnsiTheme="majorHAnsi" w:cstheme="majorBidi"/>
          <w:sz w:val="23"/>
          <w:szCs w:val="23"/>
        </w:rPr>
        <w:t>,</w:t>
      </w:r>
      <w:r w:rsidRPr="00E91887">
        <w:rPr>
          <w:rFonts w:asciiTheme="majorHAnsi" w:hAnsiTheme="majorHAnsi" w:cstheme="majorBidi"/>
          <w:sz w:val="23"/>
          <w:szCs w:val="23"/>
        </w:rPr>
        <w:t xml:space="preserve"> and encouraging local leadership.</w:t>
      </w:r>
    </w:p>
    <w:p w14:paraId="02DAC2B9" w14:textId="184D3BC4" w:rsidR="00F00E3D" w:rsidRPr="00E91887" w:rsidRDefault="00D4353A" w:rsidP="009B2FA7">
      <w:pPr>
        <w:spacing w:line="276" w:lineRule="auto"/>
        <w:rPr>
          <w:rFonts w:asciiTheme="majorHAnsi" w:hAnsiTheme="majorHAnsi" w:cstheme="majorBidi"/>
          <w:sz w:val="23"/>
          <w:szCs w:val="23"/>
        </w:rPr>
      </w:pPr>
      <w:r>
        <w:rPr>
          <w:rFonts w:asciiTheme="majorHAnsi" w:hAnsiTheme="majorHAnsi" w:cstheme="majorBidi"/>
          <w:sz w:val="23"/>
          <w:szCs w:val="23"/>
        </w:rPr>
        <w:t>The</w:t>
      </w:r>
      <w:r w:rsidR="00F00E3D" w:rsidRPr="00E91887">
        <w:rPr>
          <w:rFonts w:asciiTheme="majorHAnsi" w:hAnsiTheme="majorHAnsi" w:cstheme="majorBidi"/>
          <w:sz w:val="23"/>
          <w:szCs w:val="23"/>
        </w:rPr>
        <w:t xml:space="preserve"> Whittington </w:t>
      </w:r>
      <w:r>
        <w:rPr>
          <w:rFonts w:asciiTheme="majorHAnsi" w:hAnsiTheme="majorHAnsi" w:cstheme="majorBidi"/>
          <w:sz w:val="23"/>
          <w:szCs w:val="23"/>
        </w:rPr>
        <w:t>iteration of th</w:t>
      </w:r>
      <w:r w:rsidR="009D3454">
        <w:rPr>
          <w:rFonts w:asciiTheme="majorHAnsi" w:hAnsiTheme="majorHAnsi" w:cstheme="majorBidi"/>
          <w:sz w:val="23"/>
          <w:szCs w:val="23"/>
        </w:rPr>
        <w:t>is</w:t>
      </w:r>
      <w:r>
        <w:rPr>
          <w:rFonts w:asciiTheme="majorHAnsi" w:hAnsiTheme="majorHAnsi" w:cstheme="majorBidi"/>
          <w:sz w:val="23"/>
          <w:szCs w:val="23"/>
        </w:rPr>
        <w:t xml:space="preserve"> program was enacted via</w:t>
      </w:r>
      <w:r w:rsidR="00F00E3D" w:rsidRPr="00E91887">
        <w:rPr>
          <w:rFonts w:asciiTheme="majorHAnsi" w:hAnsiTheme="majorHAnsi" w:cstheme="majorBidi"/>
          <w:sz w:val="23"/>
          <w:szCs w:val="23"/>
        </w:rPr>
        <w:t xml:space="preserve"> a Local Action Plan</w:t>
      </w:r>
      <w:r>
        <w:rPr>
          <w:rFonts w:asciiTheme="majorHAnsi" w:hAnsiTheme="majorHAnsi" w:cstheme="majorBidi"/>
          <w:sz w:val="23"/>
          <w:szCs w:val="23"/>
        </w:rPr>
        <w:t>,</w:t>
      </w:r>
      <w:r w:rsidR="00F00E3D" w:rsidRPr="00E91887">
        <w:rPr>
          <w:rFonts w:asciiTheme="majorHAnsi" w:hAnsiTheme="majorHAnsi" w:cstheme="majorBidi"/>
          <w:sz w:val="23"/>
          <w:szCs w:val="23"/>
        </w:rPr>
        <w:t xml:space="preserve"> </w:t>
      </w:r>
      <w:r>
        <w:rPr>
          <w:rFonts w:asciiTheme="majorHAnsi" w:hAnsiTheme="majorHAnsi" w:cstheme="majorBidi"/>
          <w:sz w:val="23"/>
          <w:szCs w:val="23"/>
        </w:rPr>
        <w:t xml:space="preserve">a </w:t>
      </w:r>
      <w:r w:rsidR="00F00E3D" w:rsidRPr="00E91887">
        <w:rPr>
          <w:rFonts w:asciiTheme="majorHAnsi" w:hAnsiTheme="majorHAnsi" w:cstheme="majorBidi"/>
          <w:sz w:val="23"/>
          <w:szCs w:val="23"/>
        </w:rPr>
        <w:t>series of governance groups</w:t>
      </w:r>
      <w:r>
        <w:rPr>
          <w:rFonts w:asciiTheme="majorHAnsi" w:hAnsiTheme="majorHAnsi" w:cstheme="majorBidi"/>
          <w:sz w:val="23"/>
          <w:szCs w:val="23"/>
        </w:rPr>
        <w:t>,</w:t>
      </w:r>
      <w:r w:rsidR="00F00E3D" w:rsidRPr="00E91887">
        <w:rPr>
          <w:rFonts w:asciiTheme="majorHAnsi" w:hAnsiTheme="majorHAnsi" w:cstheme="majorBidi"/>
          <w:sz w:val="23"/>
          <w:szCs w:val="23"/>
        </w:rPr>
        <w:t xml:space="preserve"> and ultimately a number of ongoing networks. The </w:t>
      </w:r>
      <w:r w:rsidR="00F00E3D" w:rsidRPr="00D4353A">
        <w:rPr>
          <w:rFonts w:asciiTheme="majorHAnsi" w:hAnsiTheme="majorHAnsi" w:cstheme="majorBidi"/>
          <w:i/>
          <w:noProof/>
          <w:sz w:val="23"/>
          <w:szCs w:val="23"/>
        </w:rPr>
        <w:t>Whittington Community Renewal Sustainability Report</w:t>
      </w:r>
      <w:r w:rsidR="00F00E3D" w:rsidRPr="00E91887">
        <w:rPr>
          <w:rFonts w:asciiTheme="majorHAnsi" w:hAnsiTheme="majorHAnsi" w:cstheme="majorBidi"/>
          <w:iCs/>
          <w:noProof/>
          <w:sz w:val="23"/>
          <w:szCs w:val="23"/>
        </w:rPr>
        <w:t xml:space="preserve"> (2013)</w:t>
      </w:r>
      <w:r w:rsidR="00F00E3D" w:rsidRPr="00E91887">
        <w:rPr>
          <w:rFonts w:asciiTheme="majorHAnsi" w:hAnsiTheme="majorHAnsi" w:cstheme="majorBidi"/>
          <w:sz w:val="23"/>
          <w:szCs w:val="23"/>
        </w:rPr>
        <w:t xml:space="preserve"> documents the many programs </w:t>
      </w:r>
      <w:r>
        <w:rPr>
          <w:rFonts w:asciiTheme="majorHAnsi" w:hAnsiTheme="majorHAnsi" w:cstheme="majorBidi"/>
          <w:sz w:val="23"/>
          <w:szCs w:val="23"/>
        </w:rPr>
        <w:t>that</w:t>
      </w:r>
      <w:r w:rsidR="00F00E3D" w:rsidRPr="00E91887">
        <w:rPr>
          <w:rFonts w:asciiTheme="majorHAnsi" w:hAnsiTheme="majorHAnsi" w:cstheme="majorBidi"/>
          <w:sz w:val="23"/>
          <w:szCs w:val="23"/>
        </w:rPr>
        <w:t xml:space="preserve"> resulted</w:t>
      </w:r>
      <w:r>
        <w:rPr>
          <w:rFonts w:asciiTheme="majorHAnsi" w:hAnsiTheme="majorHAnsi" w:cstheme="majorBidi"/>
          <w:sz w:val="23"/>
          <w:szCs w:val="23"/>
        </w:rPr>
        <w:t xml:space="preserve"> across a number of areas, including </w:t>
      </w:r>
      <w:r w:rsidR="00F00E3D" w:rsidRPr="00E91887">
        <w:rPr>
          <w:rFonts w:asciiTheme="majorHAnsi" w:hAnsiTheme="majorHAnsi" w:cstheme="majorBidi"/>
          <w:sz w:val="23"/>
          <w:szCs w:val="23"/>
        </w:rPr>
        <w:t>early childhood education (play groups, family day care, kinders), safety (an audit</w:t>
      </w:r>
      <w:r>
        <w:rPr>
          <w:rFonts w:asciiTheme="majorHAnsi" w:hAnsiTheme="majorHAnsi" w:cstheme="majorBidi"/>
          <w:sz w:val="23"/>
          <w:szCs w:val="23"/>
        </w:rPr>
        <w:t>,</w:t>
      </w:r>
      <w:r w:rsidR="00F00E3D" w:rsidRPr="00E91887">
        <w:rPr>
          <w:rFonts w:asciiTheme="majorHAnsi" w:hAnsiTheme="majorHAnsi" w:cstheme="majorBidi"/>
          <w:sz w:val="23"/>
          <w:szCs w:val="23"/>
        </w:rPr>
        <w:t xml:space="preserve"> new local laws to prevent illegal motorbike riding</w:t>
      </w:r>
      <w:r>
        <w:rPr>
          <w:rFonts w:asciiTheme="majorHAnsi" w:hAnsiTheme="majorHAnsi" w:cstheme="majorBidi"/>
          <w:sz w:val="23"/>
          <w:szCs w:val="23"/>
        </w:rPr>
        <w:t>,</w:t>
      </w:r>
      <w:r w:rsidR="00F00E3D" w:rsidRPr="00E91887">
        <w:rPr>
          <w:rFonts w:asciiTheme="majorHAnsi" w:hAnsiTheme="majorHAnsi" w:cstheme="majorBidi"/>
          <w:sz w:val="23"/>
          <w:szCs w:val="23"/>
        </w:rPr>
        <w:t xml:space="preserve"> and the formation of a Community Safety Group), food security (</w:t>
      </w:r>
      <w:r>
        <w:rPr>
          <w:rFonts w:asciiTheme="majorHAnsi" w:hAnsiTheme="majorHAnsi" w:cstheme="majorBidi"/>
          <w:sz w:val="23"/>
          <w:szCs w:val="23"/>
        </w:rPr>
        <w:t>a community kitchen</w:t>
      </w:r>
      <w:r w:rsidR="00F00E3D" w:rsidRPr="00E91887">
        <w:rPr>
          <w:rFonts w:asciiTheme="majorHAnsi" w:hAnsiTheme="majorHAnsi" w:cstheme="majorBidi"/>
          <w:sz w:val="23"/>
          <w:szCs w:val="23"/>
        </w:rPr>
        <w:t xml:space="preserve"> at the Bellarine Living and Learning Centre</w:t>
      </w:r>
      <w:r>
        <w:rPr>
          <w:rFonts w:asciiTheme="majorHAnsi" w:hAnsiTheme="majorHAnsi" w:cstheme="majorBidi"/>
          <w:sz w:val="23"/>
          <w:szCs w:val="23"/>
        </w:rPr>
        <w:t>,</w:t>
      </w:r>
      <w:r w:rsidR="00F00E3D" w:rsidRPr="00E91887">
        <w:rPr>
          <w:rFonts w:asciiTheme="majorHAnsi" w:hAnsiTheme="majorHAnsi" w:cstheme="majorBidi"/>
          <w:sz w:val="23"/>
          <w:szCs w:val="23"/>
        </w:rPr>
        <w:t xml:space="preserve"> </w:t>
      </w:r>
      <w:r>
        <w:rPr>
          <w:rFonts w:asciiTheme="majorHAnsi" w:hAnsiTheme="majorHAnsi" w:cstheme="majorBidi"/>
          <w:sz w:val="23"/>
          <w:szCs w:val="23"/>
        </w:rPr>
        <w:t>the</w:t>
      </w:r>
      <w:r w:rsidR="00F00E3D" w:rsidRPr="00E91887">
        <w:rPr>
          <w:rFonts w:asciiTheme="majorHAnsi" w:hAnsiTheme="majorHAnsi" w:cstheme="majorBidi"/>
          <w:sz w:val="23"/>
          <w:szCs w:val="23"/>
        </w:rPr>
        <w:t xml:space="preserve"> Wathaurong bush food garden,</w:t>
      </w:r>
      <w:r>
        <w:rPr>
          <w:rFonts w:asciiTheme="majorHAnsi" w:hAnsiTheme="majorHAnsi" w:cstheme="majorBidi"/>
          <w:sz w:val="23"/>
          <w:szCs w:val="23"/>
        </w:rPr>
        <w:t xml:space="preserve"> and a</w:t>
      </w:r>
      <w:r w:rsidR="00F00E3D" w:rsidRPr="00E91887">
        <w:rPr>
          <w:rFonts w:asciiTheme="majorHAnsi" w:hAnsiTheme="majorHAnsi" w:cstheme="majorBidi"/>
          <w:sz w:val="23"/>
          <w:szCs w:val="23"/>
        </w:rPr>
        <w:t xml:space="preserve"> fruit and vegetable exchange at Whittington Primary</w:t>
      </w:r>
      <w:r>
        <w:rPr>
          <w:rFonts w:asciiTheme="majorHAnsi" w:hAnsiTheme="majorHAnsi" w:cstheme="majorBidi"/>
          <w:sz w:val="23"/>
          <w:szCs w:val="23"/>
        </w:rPr>
        <w:t xml:space="preserve"> School</w:t>
      </w:r>
      <w:r w:rsidR="00F00E3D" w:rsidRPr="00E91887">
        <w:rPr>
          <w:rFonts w:asciiTheme="majorHAnsi" w:hAnsiTheme="majorHAnsi" w:cstheme="majorBidi"/>
          <w:sz w:val="23"/>
          <w:szCs w:val="23"/>
        </w:rPr>
        <w:t xml:space="preserve">), training and business development (with Whittington Works established, </w:t>
      </w:r>
      <w:r>
        <w:rPr>
          <w:rFonts w:asciiTheme="majorHAnsi" w:hAnsiTheme="majorHAnsi" w:cstheme="majorBidi"/>
          <w:sz w:val="23"/>
          <w:szCs w:val="23"/>
        </w:rPr>
        <w:t xml:space="preserve">a </w:t>
      </w:r>
      <w:r w:rsidR="00F00E3D" w:rsidRPr="00E91887">
        <w:rPr>
          <w:rFonts w:asciiTheme="majorHAnsi" w:hAnsiTheme="majorHAnsi" w:cstheme="majorBidi"/>
          <w:sz w:val="23"/>
          <w:szCs w:val="23"/>
        </w:rPr>
        <w:t>social enterprise caf</w:t>
      </w:r>
      <w:r>
        <w:rPr>
          <w:rFonts w:asciiTheme="majorHAnsi" w:hAnsiTheme="majorHAnsi" w:cstheme="majorBidi"/>
          <w:sz w:val="23"/>
          <w:szCs w:val="23"/>
        </w:rPr>
        <w:t>e</w:t>
      </w:r>
      <w:r w:rsidR="00F00E3D" w:rsidRPr="00E91887">
        <w:rPr>
          <w:rFonts w:asciiTheme="majorHAnsi" w:hAnsiTheme="majorHAnsi" w:cstheme="majorBidi"/>
          <w:sz w:val="23"/>
          <w:szCs w:val="23"/>
        </w:rPr>
        <w:t xml:space="preserve"> on The Common, </w:t>
      </w:r>
      <w:r>
        <w:rPr>
          <w:rFonts w:asciiTheme="majorHAnsi" w:hAnsiTheme="majorHAnsi" w:cstheme="majorBidi"/>
          <w:sz w:val="23"/>
          <w:szCs w:val="23"/>
        </w:rPr>
        <w:t xml:space="preserve">and </w:t>
      </w:r>
      <w:r w:rsidR="00F00E3D" w:rsidRPr="00E91887">
        <w:rPr>
          <w:rFonts w:asciiTheme="majorHAnsi" w:hAnsiTheme="majorHAnsi" w:cstheme="majorBidi"/>
          <w:sz w:val="23"/>
          <w:szCs w:val="23"/>
        </w:rPr>
        <w:t>Geelong East Small Business Network), urban environment improvements (</w:t>
      </w:r>
      <w:r>
        <w:rPr>
          <w:rFonts w:asciiTheme="majorHAnsi" w:hAnsiTheme="majorHAnsi" w:cstheme="majorBidi"/>
          <w:sz w:val="23"/>
          <w:szCs w:val="23"/>
        </w:rPr>
        <w:t xml:space="preserve">a BMX track and </w:t>
      </w:r>
      <w:r w:rsidR="00F00E3D" w:rsidRPr="00E91887">
        <w:rPr>
          <w:rFonts w:asciiTheme="majorHAnsi" w:hAnsiTheme="majorHAnsi" w:cstheme="majorBidi"/>
          <w:sz w:val="23"/>
          <w:szCs w:val="23"/>
        </w:rPr>
        <w:t xml:space="preserve">upgrades of 150 front yards), key group programs (for youth, Indigenous </w:t>
      </w:r>
      <w:r w:rsidR="00F00E3D" w:rsidRPr="00677C4F">
        <w:rPr>
          <w:rFonts w:asciiTheme="majorHAnsi" w:hAnsiTheme="majorHAnsi" w:cstheme="majorBidi"/>
          <w:sz w:val="23"/>
          <w:szCs w:val="23"/>
        </w:rPr>
        <w:t>engagement, multicultural residents</w:t>
      </w:r>
      <w:r w:rsidRPr="00677C4F">
        <w:rPr>
          <w:rFonts w:asciiTheme="majorHAnsi" w:hAnsiTheme="majorHAnsi" w:cstheme="majorBidi"/>
          <w:sz w:val="23"/>
          <w:szCs w:val="23"/>
        </w:rPr>
        <w:t>,</w:t>
      </w:r>
      <w:r w:rsidR="00F00E3D" w:rsidRPr="00677C4F">
        <w:rPr>
          <w:rFonts w:asciiTheme="majorHAnsi" w:hAnsiTheme="majorHAnsi" w:cstheme="majorBidi"/>
          <w:sz w:val="23"/>
          <w:szCs w:val="23"/>
        </w:rPr>
        <w:t xml:space="preserve"> and a Men’s Shed), adult literacy programs </w:t>
      </w:r>
      <w:r w:rsidRPr="00677C4F">
        <w:rPr>
          <w:rFonts w:asciiTheme="majorHAnsi" w:hAnsiTheme="majorHAnsi" w:cstheme="majorBidi"/>
          <w:sz w:val="23"/>
          <w:szCs w:val="23"/>
        </w:rPr>
        <w:t>( at the</w:t>
      </w:r>
      <w:r w:rsidR="00F00E3D" w:rsidRPr="00677C4F">
        <w:rPr>
          <w:rFonts w:asciiTheme="majorHAnsi" w:hAnsiTheme="majorHAnsi" w:cstheme="majorBidi"/>
          <w:sz w:val="23"/>
          <w:szCs w:val="23"/>
        </w:rPr>
        <w:t xml:space="preserve"> library </w:t>
      </w:r>
      <w:r w:rsidRPr="00677C4F">
        <w:rPr>
          <w:rFonts w:asciiTheme="majorHAnsi" w:hAnsiTheme="majorHAnsi" w:cstheme="majorBidi"/>
          <w:sz w:val="23"/>
          <w:szCs w:val="23"/>
        </w:rPr>
        <w:t xml:space="preserve">and </w:t>
      </w:r>
      <w:r w:rsidR="00F00E3D" w:rsidRPr="00677C4F">
        <w:rPr>
          <w:rFonts w:asciiTheme="majorHAnsi" w:hAnsiTheme="majorHAnsi" w:cstheme="majorBidi"/>
          <w:sz w:val="23"/>
          <w:szCs w:val="23"/>
        </w:rPr>
        <w:t>Whittington Primary</w:t>
      </w:r>
      <w:r w:rsidRPr="00677C4F">
        <w:rPr>
          <w:rFonts w:asciiTheme="majorHAnsi" w:hAnsiTheme="majorHAnsi" w:cstheme="majorBidi"/>
          <w:sz w:val="23"/>
          <w:szCs w:val="23"/>
        </w:rPr>
        <w:t xml:space="preserve"> School),</w:t>
      </w:r>
      <w:r w:rsidR="00F00E3D" w:rsidRPr="00677C4F">
        <w:rPr>
          <w:rFonts w:asciiTheme="majorHAnsi" w:hAnsiTheme="majorHAnsi" w:cstheme="majorBidi"/>
          <w:sz w:val="23"/>
          <w:szCs w:val="23"/>
        </w:rPr>
        <w:t xml:space="preserve"> and community connecting programs</w:t>
      </w:r>
      <w:r w:rsidRPr="00677C4F">
        <w:rPr>
          <w:rFonts w:asciiTheme="majorHAnsi" w:hAnsiTheme="majorHAnsi" w:cstheme="majorBidi"/>
          <w:sz w:val="23"/>
          <w:szCs w:val="23"/>
        </w:rPr>
        <w:t xml:space="preserve"> (</w:t>
      </w:r>
      <w:r w:rsidR="00F00E3D" w:rsidRPr="00677C4F">
        <w:rPr>
          <w:rFonts w:asciiTheme="majorHAnsi" w:hAnsiTheme="majorHAnsi" w:cstheme="majorBidi"/>
          <w:sz w:val="23"/>
          <w:szCs w:val="23"/>
        </w:rPr>
        <w:t xml:space="preserve">Flamefest, bike maintenance, youth fair, </w:t>
      </w:r>
      <w:r w:rsidR="00F00E3D" w:rsidRPr="00677C4F">
        <w:rPr>
          <w:rFonts w:asciiTheme="majorHAnsi" w:hAnsiTheme="majorHAnsi" w:cstheme="majorBidi"/>
          <w:i/>
          <w:iCs/>
          <w:sz w:val="23"/>
          <w:szCs w:val="23"/>
        </w:rPr>
        <w:t>The Whittington Voice</w:t>
      </w:r>
      <w:r w:rsidR="00F00E3D" w:rsidRPr="00677C4F">
        <w:rPr>
          <w:rFonts w:asciiTheme="majorHAnsi" w:hAnsiTheme="majorHAnsi" w:cstheme="majorBidi"/>
          <w:sz w:val="23"/>
          <w:szCs w:val="23"/>
        </w:rPr>
        <w:t xml:space="preserve">, </w:t>
      </w:r>
      <w:r w:rsidRPr="00677C4F">
        <w:rPr>
          <w:rFonts w:asciiTheme="majorHAnsi" w:hAnsiTheme="majorHAnsi" w:cstheme="majorBidi"/>
          <w:sz w:val="23"/>
          <w:szCs w:val="23"/>
        </w:rPr>
        <w:t xml:space="preserve">a </w:t>
      </w:r>
      <w:r w:rsidR="00F00E3D" w:rsidRPr="00677C4F">
        <w:rPr>
          <w:rFonts w:asciiTheme="majorHAnsi" w:hAnsiTheme="majorHAnsi" w:cstheme="majorBidi"/>
          <w:sz w:val="23"/>
          <w:szCs w:val="23"/>
        </w:rPr>
        <w:t>community</w:t>
      </w:r>
      <w:r w:rsidRPr="00677C4F">
        <w:rPr>
          <w:rFonts w:asciiTheme="majorHAnsi" w:hAnsiTheme="majorHAnsi" w:cstheme="majorBidi"/>
          <w:sz w:val="23"/>
          <w:szCs w:val="23"/>
        </w:rPr>
        <w:t>-</w:t>
      </w:r>
      <w:r w:rsidR="00F00E3D" w:rsidRPr="00677C4F">
        <w:rPr>
          <w:rFonts w:asciiTheme="majorHAnsi" w:hAnsiTheme="majorHAnsi" w:cstheme="majorBidi"/>
          <w:sz w:val="23"/>
          <w:szCs w:val="23"/>
        </w:rPr>
        <w:t>built playground</w:t>
      </w:r>
      <w:r w:rsidRPr="00677C4F">
        <w:rPr>
          <w:rFonts w:asciiTheme="majorHAnsi" w:hAnsiTheme="majorHAnsi" w:cstheme="majorBidi"/>
          <w:sz w:val="23"/>
          <w:szCs w:val="23"/>
        </w:rPr>
        <w:t>,</w:t>
      </w:r>
      <w:r w:rsidR="00F00E3D" w:rsidRPr="00677C4F">
        <w:rPr>
          <w:rFonts w:asciiTheme="majorHAnsi" w:hAnsiTheme="majorHAnsi" w:cstheme="majorBidi"/>
          <w:sz w:val="23"/>
          <w:szCs w:val="23"/>
        </w:rPr>
        <w:t xml:space="preserve"> and landscaping and creation of the Whittington Link (see Figure </w:t>
      </w:r>
      <w:r w:rsidR="0062191F" w:rsidRPr="00677C4F">
        <w:rPr>
          <w:rFonts w:asciiTheme="majorHAnsi" w:hAnsiTheme="majorHAnsi" w:cstheme="majorBidi"/>
          <w:sz w:val="23"/>
          <w:szCs w:val="23"/>
        </w:rPr>
        <w:t>7</w:t>
      </w:r>
      <w:r w:rsidR="00F00E3D" w:rsidRPr="00677C4F">
        <w:rPr>
          <w:rFonts w:asciiTheme="majorHAnsi" w:hAnsiTheme="majorHAnsi" w:cstheme="majorBidi"/>
          <w:sz w:val="23"/>
          <w:szCs w:val="23"/>
        </w:rPr>
        <w:t>.1</w:t>
      </w:r>
      <w:r w:rsidR="0062191F" w:rsidRPr="00677C4F">
        <w:rPr>
          <w:rFonts w:asciiTheme="majorHAnsi" w:hAnsiTheme="majorHAnsi" w:cstheme="majorBidi"/>
          <w:sz w:val="23"/>
          <w:szCs w:val="23"/>
        </w:rPr>
        <w:t>, below</w:t>
      </w:r>
      <w:r w:rsidR="00F00E3D" w:rsidRPr="00677C4F">
        <w:rPr>
          <w:rFonts w:asciiTheme="majorHAnsi" w:hAnsiTheme="majorHAnsi" w:cstheme="majorBidi"/>
          <w:sz w:val="23"/>
          <w:szCs w:val="23"/>
        </w:rPr>
        <w:t>).</w:t>
      </w:r>
    </w:p>
    <w:p w14:paraId="239180D2" w14:textId="1F3D1D62" w:rsidR="007E0115" w:rsidRPr="00E91887" w:rsidRDefault="005E1956" w:rsidP="007E0115">
      <w:pPr>
        <w:spacing w:line="276" w:lineRule="auto"/>
        <w:rPr>
          <w:rFonts w:asciiTheme="majorHAnsi" w:hAnsiTheme="majorHAnsi" w:cstheme="majorHAnsi"/>
          <w:sz w:val="23"/>
          <w:szCs w:val="23"/>
        </w:rPr>
      </w:pPr>
      <w:r>
        <w:rPr>
          <w:rFonts w:asciiTheme="majorHAnsi" w:hAnsiTheme="majorHAnsi" w:cstheme="majorHAnsi"/>
          <w:sz w:val="23"/>
          <w:szCs w:val="23"/>
        </w:rPr>
        <w:t xml:space="preserve">These past programs and policy responses </w:t>
      </w:r>
      <w:r w:rsidR="007E0115" w:rsidRPr="00E91887">
        <w:rPr>
          <w:rFonts w:asciiTheme="majorHAnsi" w:hAnsiTheme="majorHAnsi" w:cstheme="majorHAnsi"/>
          <w:sz w:val="23"/>
          <w:szCs w:val="23"/>
        </w:rPr>
        <w:t xml:space="preserve">suggest </w:t>
      </w:r>
      <w:r>
        <w:rPr>
          <w:rFonts w:asciiTheme="majorHAnsi" w:hAnsiTheme="majorHAnsi" w:cstheme="majorHAnsi"/>
          <w:sz w:val="23"/>
          <w:szCs w:val="23"/>
        </w:rPr>
        <w:t>some key</w:t>
      </w:r>
      <w:r w:rsidR="007E0115" w:rsidRPr="00E91887">
        <w:rPr>
          <w:rFonts w:asciiTheme="majorHAnsi" w:hAnsiTheme="majorHAnsi" w:cstheme="majorHAnsi"/>
          <w:sz w:val="23"/>
          <w:szCs w:val="23"/>
        </w:rPr>
        <w:t xml:space="preserve"> priorit</w:t>
      </w:r>
      <w:r>
        <w:rPr>
          <w:rFonts w:asciiTheme="majorHAnsi" w:hAnsiTheme="majorHAnsi" w:cstheme="majorHAnsi"/>
          <w:sz w:val="23"/>
          <w:szCs w:val="23"/>
        </w:rPr>
        <w:t>ies for these three localities – valid at the time these initiatives ran, but also potentially now</w:t>
      </w:r>
      <w:r w:rsidR="00ED657A">
        <w:rPr>
          <w:rFonts w:asciiTheme="majorHAnsi" w:hAnsiTheme="majorHAnsi" w:cstheme="majorHAnsi"/>
          <w:sz w:val="23"/>
          <w:szCs w:val="23"/>
        </w:rPr>
        <w:t xml:space="preserve"> (with </w:t>
      </w:r>
      <w:r w:rsidR="00D95573">
        <w:rPr>
          <w:rFonts w:asciiTheme="majorHAnsi" w:hAnsiTheme="majorHAnsi" w:cstheme="majorHAnsi"/>
          <w:sz w:val="23"/>
          <w:szCs w:val="23"/>
        </w:rPr>
        <w:t>Practice Domain</w:t>
      </w:r>
      <w:r w:rsidR="00ED657A">
        <w:rPr>
          <w:rFonts w:asciiTheme="majorHAnsi" w:hAnsiTheme="majorHAnsi" w:cstheme="majorHAnsi"/>
          <w:sz w:val="23"/>
          <w:szCs w:val="23"/>
        </w:rPr>
        <w:t>s flagged)</w:t>
      </w:r>
      <w:r>
        <w:rPr>
          <w:rFonts w:asciiTheme="majorHAnsi" w:hAnsiTheme="majorHAnsi" w:cstheme="majorHAnsi"/>
          <w:sz w:val="23"/>
          <w:szCs w:val="23"/>
        </w:rPr>
        <w:t>:</w:t>
      </w:r>
    </w:p>
    <w:p w14:paraId="2007C4B8" w14:textId="7A607109" w:rsidR="007E0115" w:rsidRPr="002F495C" w:rsidRDefault="007E0115" w:rsidP="00364C5D">
      <w:pPr>
        <w:pStyle w:val="ListParagraph"/>
        <w:numPr>
          <w:ilvl w:val="0"/>
          <w:numId w:val="42"/>
        </w:numPr>
        <w:spacing w:after="0" w:line="276" w:lineRule="auto"/>
        <w:rPr>
          <w:rFonts w:asciiTheme="majorHAnsi" w:hAnsiTheme="majorHAnsi" w:cstheme="majorBidi"/>
          <w:color w:val="000000" w:themeColor="text1"/>
          <w:sz w:val="23"/>
          <w:szCs w:val="23"/>
        </w:rPr>
      </w:pPr>
      <w:r w:rsidRPr="002F495C">
        <w:rPr>
          <w:rFonts w:asciiTheme="majorHAnsi" w:hAnsiTheme="majorHAnsi" w:cstheme="majorBidi"/>
          <w:sz w:val="23"/>
          <w:szCs w:val="23"/>
        </w:rPr>
        <w:t>Employment and training tailored to address educational limitations (</w:t>
      </w:r>
      <w:proofErr w:type="gramStart"/>
      <w:r w:rsidR="00ED657A">
        <w:rPr>
          <w:rFonts w:asciiTheme="majorHAnsi" w:hAnsiTheme="majorHAnsi" w:cstheme="majorBidi"/>
          <w:sz w:val="23"/>
          <w:szCs w:val="23"/>
        </w:rPr>
        <w:t>e.g.</w:t>
      </w:r>
      <w:proofErr w:type="gramEnd"/>
      <w:r w:rsidR="00ED657A">
        <w:rPr>
          <w:rFonts w:asciiTheme="majorHAnsi" w:hAnsiTheme="majorHAnsi" w:cstheme="majorBidi"/>
          <w:sz w:val="23"/>
          <w:szCs w:val="23"/>
        </w:rPr>
        <w:t xml:space="preserve"> </w:t>
      </w:r>
      <w:r w:rsidRPr="002F495C">
        <w:rPr>
          <w:rFonts w:asciiTheme="majorHAnsi" w:hAnsiTheme="majorHAnsi" w:cstheme="majorBidi"/>
          <w:sz w:val="23"/>
          <w:szCs w:val="23"/>
        </w:rPr>
        <w:t>literacy</w:t>
      </w:r>
      <w:r w:rsidR="00ED657A">
        <w:rPr>
          <w:rFonts w:asciiTheme="majorHAnsi" w:hAnsiTheme="majorHAnsi" w:cstheme="majorBidi"/>
          <w:sz w:val="23"/>
          <w:szCs w:val="23"/>
        </w:rPr>
        <w:t xml:space="preserve">, </w:t>
      </w:r>
      <w:r w:rsidRPr="002F495C">
        <w:rPr>
          <w:rFonts w:asciiTheme="majorHAnsi" w:hAnsiTheme="majorHAnsi" w:cstheme="majorBidi"/>
          <w:sz w:val="23"/>
          <w:szCs w:val="23"/>
        </w:rPr>
        <w:t>skill</w:t>
      </w:r>
      <w:r w:rsidR="00ED657A">
        <w:rPr>
          <w:rFonts w:asciiTheme="majorHAnsi" w:hAnsiTheme="majorHAnsi" w:cstheme="majorBidi"/>
          <w:sz w:val="23"/>
          <w:szCs w:val="23"/>
        </w:rPr>
        <w:t>s</w:t>
      </w:r>
      <w:r w:rsidRPr="002F495C">
        <w:rPr>
          <w:rFonts w:asciiTheme="majorHAnsi" w:hAnsiTheme="majorHAnsi" w:cstheme="majorBidi"/>
          <w:sz w:val="23"/>
          <w:szCs w:val="23"/>
        </w:rPr>
        <w:t>)</w:t>
      </w:r>
      <w:r w:rsidR="00ED657A">
        <w:rPr>
          <w:rFonts w:asciiTheme="majorHAnsi" w:hAnsiTheme="majorHAnsi" w:cstheme="majorBidi"/>
          <w:sz w:val="23"/>
          <w:szCs w:val="23"/>
        </w:rPr>
        <w:t>,</w:t>
      </w:r>
      <w:r w:rsidRPr="002F495C">
        <w:rPr>
          <w:rFonts w:asciiTheme="majorHAnsi" w:hAnsiTheme="majorHAnsi" w:cstheme="majorBidi"/>
          <w:sz w:val="23"/>
          <w:szCs w:val="23"/>
        </w:rPr>
        <w:t xml:space="preserve"> and connecting to local employers (via a Whittington Works model)</w:t>
      </w:r>
      <w:r w:rsidR="002F495C">
        <w:rPr>
          <w:rFonts w:asciiTheme="majorHAnsi" w:hAnsiTheme="majorHAnsi" w:cstheme="majorBidi"/>
          <w:sz w:val="23"/>
          <w:szCs w:val="23"/>
        </w:rPr>
        <w:t xml:space="preserve"> </w:t>
      </w:r>
      <w:r w:rsidR="002F495C" w:rsidRPr="002F495C">
        <w:rPr>
          <w:rFonts w:asciiTheme="majorHAnsi" w:hAnsiTheme="majorHAnsi" w:cstheme="majorBidi"/>
          <w:b/>
          <w:bCs/>
          <w:sz w:val="23"/>
          <w:szCs w:val="23"/>
        </w:rPr>
        <w:t>(Education</w:t>
      </w:r>
      <w:r w:rsidR="00ED657A">
        <w:rPr>
          <w:rFonts w:asciiTheme="majorHAnsi" w:hAnsiTheme="majorHAnsi" w:cstheme="majorBidi"/>
          <w:b/>
          <w:bCs/>
          <w:sz w:val="23"/>
          <w:szCs w:val="23"/>
        </w:rPr>
        <w:t>, Employment</w:t>
      </w:r>
      <w:r w:rsidR="002F495C" w:rsidRPr="002F495C">
        <w:rPr>
          <w:rFonts w:asciiTheme="majorHAnsi" w:hAnsiTheme="majorHAnsi" w:cstheme="majorBidi"/>
          <w:b/>
          <w:bCs/>
          <w:sz w:val="23"/>
          <w:szCs w:val="23"/>
        </w:rPr>
        <w:t>)</w:t>
      </w:r>
    </w:p>
    <w:p w14:paraId="651284CF" w14:textId="224E4FA7" w:rsidR="007E0115" w:rsidRPr="002F495C" w:rsidRDefault="007E0115" w:rsidP="00364C5D">
      <w:pPr>
        <w:pStyle w:val="ListParagraph"/>
        <w:numPr>
          <w:ilvl w:val="0"/>
          <w:numId w:val="42"/>
        </w:numPr>
        <w:spacing w:after="0" w:line="276" w:lineRule="auto"/>
        <w:rPr>
          <w:rFonts w:asciiTheme="majorHAnsi" w:hAnsiTheme="majorHAnsi" w:cstheme="majorBidi"/>
          <w:color w:val="000000" w:themeColor="text1"/>
          <w:sz w:val="23"/>
          <w:szCs w:val="23"/>
        </w:rPr>
      </w:pPr>
      <w:r w:rsidRPr="002F495C">
        <w:rPr>
          <w:rFonts w:asciiTheme="majorHAnsi" w:hAnsiTheme="majorHAnsi" w:cstheme="majorBidi"/>
          <w:sz w:val="23"/>
          <w:szCs w:val="23"/>
        </w:rPr>
        <w:t xml:space="preserve">Early childhood </w:t>
      </w:r>
      <w:r w:rsidR="002F495C">
        <w:rPr>
          <w:rFonts w:asciiTheme="majorHAnsi" w:hAnsiTheme="majorHAnsi" w:cstheme="majorBidi"/>
          <w:sz w:val="23"/>
          <w:szCs w:val="23"/>
        </w:rPr>
        <w:t>e</w:t>
      </w:r>
      <w:r w:rsidRPr="002F495C">
        <w:rPr>
          <w:rFonts w:asciiTheme="majorHAnsi" w:hAnsiTheme="majorHAnsi" w:cstheme="majorBidi"/>
          <w:sz w:val="23"/>
          <w:szCs w:val="23"/>
        </w:rPr>
        <w:t>ducation and support</w:t>
      </w:r>
      <w:r w:rsidR="002F495C">
        <w:rPr>
          <w:rFonts w:asciiTheme="majorHAnsi" w:hAnsiTheme="majorHAnsi" w:cstheme="majorBidi"/>
          <w:sz w:val="23"/>
          <w:szCs w:val="23"/>
        </w:rPr>
        <w:t xml:space="preserve"> </w:t>
      </w:r>
      <w:r w:rsidR="002F495C" w:rsidRPr="002F495C">
        <w:rPr>
          <w:rFonts w:asciiTheme="majorHAnsi" w:hAnsiTheme="majorHAnsi" w:cstheme="majorBidi"/>
          <w:b/>
          <w:bCs/>
          <w:sz w:val="23"/>
          <w:szCs w:val="23"/>
        </w:rPr>
        <w:t>(Education)</w:t>
      </w:r>
    </w:p>
    <w:p w14:paraId="015509F4" w14:textId="1E8032E5" w:rsidR="007E0115" w:rsidRPr="002F495C" w:rsidRDefault="007E0115" w:rsidP="00364C5D">
      <w:pPr>
        <w:pStyle w:val="ListParagraph"/>
        <w:numPr>
          <w:ilvl w:val="0"/>
          <w:numId w:val="42"/>
        </w:numPr>
        <w:spacing w:after="0" w:line="276" w:lineRule="auto"/>
        <w:rPr>
          <w:rFonts w:asciiTheme="majorHAnsi" w:hAnsiTheme="majorHAnsi" w:cstheme="majorBidi"/>
          <w:color w:val="000000" w:themeColor="text1"/>
          <w:sz w:val="23"/>
          <w:szCs w:val="23"/>
        </w:rPr>
      </w:pPr>
      <w:r w:rsidRPr="002F495C">
        <w:rPr>
          <w:rFonts w:asciiTheme="majorHAnsi" w:hAnsiTheme="majorHAnsi" w:cstheme="majorBidi"/>
          <w:sz w:val="23"/>
          <w:szCs w:val="23"/>
        </w:rPr>
        <w:t>Food provision, affordability and security</w:t>
      </w:r>
      <w:r w:rsidR="002F495C">
        <w:rPr>
          <w:rFonts w:asciiTheme="majorHAnsi" w:hAnsiTheme="majorHAnsi" w:cstheme="majorBidi"/>
          <w:sz w:val="23"/>
          <w:szCs w:val="23"/>
        </w:rPr>
        <w:t xml:space="preserve"> </w:t>
      </w:r>
      <w:r w:rsidR="002F495C" w:rsidRPr="002F495C">
        <w:rPr>
          <w:rFonts w:asciiTheme="majorHAnsi" w:hAnsiTheme="majorHAnsi" w:cstheme="majorBidi"/>
          <w:b/>
          <w:bCs/>
          <w:sz w:val="23"/>
          <w:szCs w:val="23"/>
        </w:rPr>
        <w:t>(Liveability, Health and Wellbeing)</w:t>
      </w:r>
    </w:p>
    <w:p w14:paraId="366B8B97" w14:textId="4DF1EDEF" w:rsidR="007E0115" w:rsidRPr="002F495C" w:rsidRDefault="007E0115" w:rsidP="00364C5D">
      <w:pPr>
        <w:pStyle w:val="ListParagraph"/>
        <w:numPr>
          <w:ilvl w:val="0"/>
          <w:numId w:val="42"/>
        </w:numPr>
        <w:spacing w:after="0" w:line="276" w:lineRule="auto"/>
        <w:rPr>
          <w:rFonts w:asciiTheme="majorHAnsi" w:hAnsiTheme="majorHAnsi" w:cstheme="majorBidi"/>
          <w:color w:val="000000" w:themeColor="text1"/>
          <w:sz w:val="23"/>
          <w:szCs w:val="23"/>
        </w:rPr>
      </w:pPr>
      <w:r w:rsidRPr="002F495C">
        <w:rPr>
          <w:rFonts w:asciiTheme="majorHAnsi" w:hAnsiTheme="majorHAnsi" w:cstheme="majorBidi"/>
          <w:sz w:val="23"/>
          <w:szCs w:val="23"/>
        </w:rPr>
        <w:t>Safety – especially in the streets but also</w:t>
      </w:r>
      <w:r w:rsidR="002F495C">
        <w:rPr>
          <w:rFonts w:asciiTheme="majorHAnsi" w:hAnsiTheme="majorHAnsi" w:cstheme="majorBidi"/>
          <w:sz w:val="23"/>
          <w:szCs w:val="23"/>
        </w:rPr>
        <w:t xml:space="preserve"> local</w:t>
      </w:r>
      <w:r w:rsidRPr="002F495C">
        <w:rPr>
          <w:rFonts w:asciiTheme="majorHAnsi" w:hAnsiTheme="majorHAnsi" w:cstheme="majorBidi"/>
          <w:sz w:val="23"/>
          <w:szCs w:val="23"/>
        </w:rPr>
        <w:t xml:space="preserve"> shops</w:t>
      </w:r>
      <w:r w:rsidR="002F495C">
        <w:rPr>
          <w:rFonts w:asciiTheme="majorHAnsi" w:hAnsiTheme="majorHAnsi" w:cstheme="majorBidi"/>
          <w:sz w:val="23"/>
          <w:szCs w:val="23"/>
        </w:rPr>
        <w:t xml:space="preserve"> </w:t>
      </w:r>
      <w:r w:rsidR="002F495C" w:rsidRPr="002F495C">
        <w:rPr>
          <w:rFonts w:asciiTheme="majorHAnsi" w:hAnsiTheme="majorHAnsi" w:cstheme="majorBidi"/>
          <w:b/>
          <w:bCs/>
          <w:sz w:val="23"/>
          <w:szCs w:val="23"/>
        </w:rPr>
        <w:t>(Liveability, Health and Wellbeing)</w:t>
      </w:r>
    </w:p>
    <w:p w14:paraId="56D6F14D" w14:textId="5013EC48" w:rsidR="007E0115" w:rsidRPr="002F495C" w:rsidRDefault="007E0115" w:rsidP="00364C5D">
      <w:pPr>
        <w:pStyle w:val="ListParagraph"/>
        <w:numPr>
          <w:ilvl w:val="0"/>
          <w:numId w:val="42"/>
        </w:numPr>
        <w:spacing w:after="0" w:line="276" w:lineRule="auto"/>
        <w:rPr>
          <w:rFonts w:asciiTheme="majorHAnsi" w:hAnsiTheme="majorHAnsi" w:cstheme="majorBidi"/>
          <w:color w:val="000000" w:themeColor="text1"/>
          <w:sz w:val="23"/>
          <w:szCs w:val="23"/>
        </w:rPr>
      </w:pPr>
      <w:r w:rsidRPr="002F495C">
        <w:rPr>
          <w:rFonts w:asciiTheme="majorHAnsi" w:hAnsiTheme="majorHAnsi" w:cstheme="majorBidi"/>
          <w:sz w:val="23"/>
          <w:szCs w:val="23"/>
        </w:rPr>
        <w:t>Upgrad</w:t>
      </w:r>
      <w:r w:rsidR="002F495C">
        <w:rPr>
          <w:rFonts w:asciiTheme="majorHAnsi" w:hAnsiTheme="majorHAnsi" w:cstheme="majorBidi"/>
          <w:sz w:val="23"/>
          <w:szCs w:val="23"/>
        </w:rPr>
        <w:t>e</w:t>
      </w:r>
      <w:r w:rsidRPr="002F495C">
        <w:rPr>
          <w:rFonts w:asciiTheme="majorHAnsi" w:hAnsiTheme="majorHAnsi" w:cstheme="majorBidi"/>
          <w:sz w:val="23"/>
          <w:szCs w:val="23"/>
        </w:rPr>
        <w:t xml:space="preserve"> urban environment</w:t>
      </w:r>
      <w:r w:rsidR="002F495C">
        <w:rPr>
          <w:rFonts w:asciiTheme="majorHAnsi" w:hAnsiTheme="majorHAnsi" w:cstheme="majorBidi"/>
          <w:sz w:val="23"/>
          <w:szCs w:val="23"/>
        </w:rPr>
        <w:t>:</w:t>
      </w:r>
      <w:r w:rsidRPr="002F495C">
        <w:rPr>
          <w:rFonts w:asciiTheme="majorHAnsi" w:hAnsiTheme="majorHAnsi" w:cstheme="majorBidi"/>
          <w:sz w:val="23"/>
          <w:szCs w:val="23"/>
        </w:rPr>
        <w:t xml:space="preserve"> houses, streets</w:t>
      </w:r>
      <w:r w:rsidR="002F495C">
        <w:rPr>
          <w:rFonts w:asciiTheme="majorHAnsi" w:hAnsiTheme="majorHAnsi" w:cstheme="majorBidi"/>
          <w:sz w:val="23"/>
          <w:szCs w:val="23"/>
        </w:rPr>
        <w:t>,</w:t>
      </w:r>
      <w:r w:rsidRPr="002F495C">
        <w:rPr>
          <w:rFonts w:asciiTheme="majorHAnsi" w:hAnsiTheme="majorHAnsi" w:cstheme="majorBidi"/>
          <w:sz w:val="23"/>
          <w:szCs w:val="23"/>
        </w:rPr>
        <w:t xml:space="preserve"> schools</w:t>
      </w:r>
      <w:r w:rsidR="002F495C">
        <w:rPr>
          <w:rFonts w:asciiTheme="majorHAnsi" w:hAnsiTheme="majorHAnsi" w:cstheme="majorBidi"/>
          <w:sz w:val="23"/>
          <w:szCs w:val="23"/>
        </w:rPr>
        <w:t xml:space="preserve">, parks </w:t>
      </w:r>
      <w:r w:rsidR="002F495C" w:rsidRPr="002F495C">
        <w:rPr>
          <w:rFonts w:asciiTheme="majorHAnsi" w:hAnsiTheme="majorHAnsi" w:cstheme="majorBidi"/>
          <w:b/>
          <w:bCs/>
          <w:sz w:val="23"/>
          <w:szCs w:val="23"/>
        </w:rPr>
        <w:t>(Liveability, Health and Wellbeing)</w:t>
      </w:r>
    </w:p>
    <w:p w14:paraId="1FC1633B" w14:textId="77777777" w:rsidR="00ED657A" w:rsidRPr="00ED657A" w:rsidRDefault="007E0115" w:rsidP="00364C5D">
      <w:pPr>
        <w:pStyle w:val="ListParagraph"/>
        <w:numPr>
          <w:ilvl w:val="0"/>
          <w:numId w:val="42"/>
        </w:numPr>
        <w:spacing w:after="0" w:line="276" w:lineRule="auto"/>
        <w:rPr>
          <w:rFonts w:asciiTheme="majorHAnsi" w:hAnsiTheme="majorHAnsi" w:cstheme="majorBidi"/>
          <w:color w:val="000000" w:themeColor="text1"/>
          <w:sz w:val="23"/>
          <w:szCs w:val="23"/>
        </w:rPr>
      </w:pPr>
      <w:r w:rsidRPr="002F495C">
        <w:rPr>
          <w:rFonts w:asciiTheme="majorHAnsi" w:hAnsiTheme="majorHAnsi" w:cstheme="majorBidi"/>
          <w:sz w:val="23"/>
          <w:szCs w:val="23"/>
        </w:rPr>
        <w:t>Social connection and integration of key groups</w:t>
      </w:r>
      <w:r w:rsidR="002F495C">
        <w:rPr>
          <w:rFonts w:asciiTheme="majorHAnsi" w:hAnsiTheme="majorHAnsi" w:cstheme="majorBidi"/>
          <w:sz w:val="23"/>
          <w:szCs w:val="23"/>
        </w:rPr>
        <w:t>:</w:t>
      </w:r>
      <w:r w:rsidRPr="002F495C">
        <w:rPr>
          <w:rFonts w:asciiTheme="majorHAnsi" w:hAnsiTheme="majorHAnsi" w:cstheme="majorBidi"/>
          <w:sz w:val="23"/>
          <w:szCs w:val="23"/>
        </w:rPr>
        <w:t xml:space="preserve"> youth, migrants, Indigenous, </w:t>
      </w:r>
      <w:r w:rsidR="002F495C">
        <w:rPr>
          <w:rFonts w:asciiTheme="majorHAnsi" w:hAnsiTheme="majorHAnsi" w:cstheme="majorBidi"/>
          <w:sz w:val="23"/>
          <w:szCs w:val="23"/>
        </w:rPr>
        <w:t xml:space="preserve">older </w:t>
      </w:r>
      <w:r w:rsidR="002F495C" w:rsidRPr="002F495C">
        <w:rPr>
          <w:rFonts w:asciiTheme="majorHAnsi" w:hAnsiTheme="majorHAnsi" w:cstheme="majorBidi"/>
          <w:b/>
          <w:bCs/>
          <w:sz w:val="23"/>
          <w:szCs w:val="23"/>
        </w:rPr>
        <w:t>(Liveability, Health and Wellbeing)</w:t>
      </w:r>
    </w:p>
    <w:p w14:paraId="43D62C41" w14:textId="51AF3A06" w:rsidR="00ED657A" w:rsidRPr="00ED657A" w:rsidRDefault="007E0115" w:rsidP="00364C5D">
      <w:pPr>
        <w:pStyle w:val="ListParagraph"/>
        <w:numPr>
          <w:ilvl w:val="0"/>
          <w:numId w:val="42"/>
        </w:numPr>
        <w:spacing w:after="0" w:line="276" w:lineRule="auto"/>
        <w:rPr>
          <w:rFonts w:asciiTheme="majorHAnsi" w:hAnsiTheme="majorHAnsi" w:cstheme="majorBidi"/>
          <w:b/>
          <w:bCs/>
          <w:sz w:val="23"/>
          <w:szCs w:val="23"/>
        </w:rPr>
      </w:pPr>
      <w:r w:rsidRPr="00ED657A">
        <w:rPr>
          <w:rFonts w:asciiTheme="majorHAnsi" w:hAnsiTheme="majorHAnsi" w:cstheme="majorBidi"/>
          <w:sz w:val="23"/>
          <w:szCs w:val="23"/>
        </w:rPr>
        <w:t xml:space="preserve">Community consultation and active engagement with </w:t>
      </w:r>
      <w:r w:rsidR="00ED657A">
        <w:rPr>
          <w:rFonts w:asciiTheme="majorHAnsi" w:hAnsiTheme="majorHAnsi" w:cstheme="majorBidi"/>
          <w:sz w:val="23"/>
          <w:szCs w:val="23"/>
        </w:rPr>
        <w:t xml:space="preserve">program </w:t>
      </w:r>
      <w:r w:rsidRPr="00ED657A">
        <w:rPr>
          <w:rFonts w:asciiTheme="majorHAnsi" w:hAnsiTheme="majorHAnsi" w:cstheme="majorBidi"/>
          <w:sz w:val="23"/>
          <w:szCs w:val="23"/>
        </w:rPr>
        <w:t>development and deliver</w:t>
      </w:r>
      <w:r w:rsidR="00ED657A">
        <w:rPr>
          <w:rFonts w:asciiTheme="majorHAnsi" w:hAnsiTheme="majorHAnsi" w:cstheme="majorBidi"/>
          <w:sz w:val="23"/>
          <w:szCs w:val="23"/>
        </w:rPr>
        <w:t>y</w:t>
      </w:r>
      <w:r w:rsidR="002F495C" w:rsidRPr="00ED657A">
        <w:rPr>
          <w:rFonts w:asciiTheme="majorHAnsi" w:hAnsiTheme="majorHAnsi" w:cstheme="majorBidi"/>
          <w:sz w:val="23"/>
          <w:szCs w:val="23"/>
        </w:rPr>
        <w:t xml:space="preserve"> </w:t>
      </w:r>
      <w:r w:rsidR="002F495C" w:rsidRPr="00ED657A">
        <w:rPr>
          <w:rFonts w:asciiTheme="majorHAnsi" w:hAnsiTheme="majorHAnsi" w:cstheme="majorBidi"/>
          <w:b/>
          <w:bCs/>
          <w:sz w:val="23"/>
          <w:szCs w:val="23"/>
        </w:rPr>
        <w:t>(Liveability, Health and Wellbeing)</w:t>
      </w:r>
      <w:r w:rsidR="00ED657A">
        <w:rPr>
          <w:rFonts w:asciiTheme="majorHAnsi" w:hAnsiTheme="majorHAnsi" w:cstheme="majorBidi"/>
          <w:b/>
          <w:bCs/>
          <w:sz w:val="23"/>
          <w:szCs w:val="23"/>
        </w:rPr>
        <w:t>.</w:t>
      </w:r>
      <w:r w:rsidR="00ED657A" w:rsidRPr="00ED657A">
        <w:rPr>
          <w:rFonts w:asciiTheme="majorHAnsi" w:hAnsiTheme="majorHAnsi" w:cstheme="majorBidi"/>
          <w:b/>
          <w:bCs/>
          <w:sz w:val="23"/>
          <w:szCs w:val="23"/>
        </w:rPr>
        <w:br w:type="page"/>
      </w:r>
    </w:p>
    <w:p w14:paraId="6AA7E81B" w14:textId="77777777" w:rsidR="00F00E3D" w:rsidRPr="00ED657A" w:rsidRDefault="00F00E3D" w:rsidP="00ED657A">
      <w:pPr>
        <w:spacing w:after="0" w:line="276" w:lineRule="auto"/>
        <w:rPr>
          <w:rFonts w:asciiTheme="majorHAnsi" w:hAnsiTheme="majorHAnsi" w:cstheme="majorBidi"/>
          <w:color w:val="000000" w:themeColor="text1"/>
          <w:sz w:val="23"/>
          <w:szCs w:val="23"/>
        </w:rPr>
      </w:pPr>
    </w:p>
    <w:p w14:paraId="079C08E8" w14:textId="2754C8D7" w:rsidR="00F00E3D" w:rsidRDefault="00F00E3D" w:rsidP="0062191F">
      <w:pPr>
        <w:spacing w:after="0" w:line="276" w:lineRule="auto"/>
        <w:rPr>
          <w:rFonts w:asciiTheme="majorHAnsi" w:hAnsiTheme="majorHAnsi" w:cstheme="majorHAnsi"/>
          <w:sz w:val="23"/>
          <w:szCs w:val="23"/>
        </w:rPr>
      </w:pPr>
      <w:r>
        <w:rPr>
          <w:noProof/>
        </w:rPr>
        <w:drawing>
          <wp:inline distT="0" distB="0" distL="0" distR="0" wp14:anchorId="73D59E6C" wp14:editId="08B065BC">
            <wp:extent cx="5731510" cy="3820795"/>
            <wp:effectExtent l="0" t="0" r="2540" b="8255"/>
            <wp:docPr id="38" name="Picture 38"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02">
                      <a:extLst>
                        <a:ext uri="{28A0092B-C50C-407E-A947-70E740481C1C}">
                          <a14:useLocalDpi xmlns:a14="http://schemas.microsoft.com/office/drawing/2010/main"/>
                        </a:ext>
                      </a:extLst>
                    </a:blip>
                    <a:stretch>
                      <a:fillRect/>
                    </a:stretch>
                  </pic:blipFill>
                  <pic:spPr>
                    <a:xfrm>
                      <a:off x="0" y="0"/>
                      <a:ext cx="5731510" cy="3820795"/>
                    </a:xfrm>
                    <a:prstGeom prst="rect">
                      <a:avLst/>
                    </a:prstGeom>
                  </pic:spPr>
                </pic:pic>
              </a:graphicData>
            </a:graphic>
          </wp:inline>
        </w:drawing>
      </w:r>
    </w:p>
    <w:p w14:paraId="58C01395" w14:textId="5E312173" w:rsidR="0062191F" w:rsidRPr="0062191F" w:rsidRDefault="0062191F" w:rsidP="0062191F">
      <w:pPr>
        <w:spacing w:line="240" w:lineRule="auto"/>
        <w:rPr>
          <w:rFonts w:cstheme="minorHAnsi"/>
          <w:sz w:val="21"/>
          <w:szCs w:val="21"/>
        </w:rPr>
      </w:pPr>
      <w:r w:rsidRPr="00677C4F">
        <w:rPr>
          <w:rFonts w:cstheme="minorHAnsi"/>
          <w:b/>
          <w:bCs/>
          <w:sz w:val="21"/>
          <w:szCs w:val="21"/>
        </w:rPr>
        <w:t xml:space="preserve">Figure </w:t>
      </w:r>
      <w:r w:rsidR="006D1C92" w:rsidRPr="00677C4F">
        <w:rPr>
          <w:rFonts w:cstheme="minorHAnsi"/>
          <w:b/>
          <w:bCs/>
          <w:sz w:val="21"/>
          <w:szCs w:val="21"/>
        </w:rPr>
        <w:t>7</w:t>
      </w:r>
      <w:r w:rsidRPr="00677C4F">
        <w:rPr>
          <w:rFonts w:cstheme="minorHAnsi"/>
          <w:b/>
          <w:bCs/>
          <w:sz w:val="21"/>
          <w:szCs w:val="21"/>
        </w:rPr>
        <w:t>.1: Whittington Link</w:t>
      </w:r>
      <w:r w:rsidRPr="00677C4F">
        <w:rPr>
          <w:rFonts w:cstheme="minorHAnsi"/>
          <w:sz w:val="21"/>
          <w:szCs w:val="21"/>
        </w:rPr>
        <w:t xml:space="preserve"> </w:t>
      </w:r>
      <w:r w:rsidRPr="00677C4F">
        <w:rPr>
          <w:rFonts w:cstheme="minorHAnsi"/>
          <w:b/>
          <w:bCs/>
          <w:sz w:val="21"/>
          <w:szCs w:val="21"/>
        </w:rPr>
        <w:t>(Photo: Louise Johnson 11 February 2021)</w:t>
      </w:r>
    </w:p>
    <w:p w14:paraId="7AA9A230" w14:textId="77777777" w:rsidR="0062191F" w:rsidRPr="00ED657A" w:rsidRDefault="0062191F" w:rsidP="00ED657A">
      <w:pPr>
        <w:spacing w:after="0" w:line="276" w:lineRule="auto"/>
        <w:rPr>
          <w:rFonts w:asciiTheme="majorHAnsi" w:hAnsiTheme="majorHAnsi" w:cstheme="majorHAnsi"/>
          <w:sz w:val="12"/>
          <w:szCs w:val="12"/>
        </w:rPr>
      </w:pPr>
    </w:p>
    <w:p w14:paraId="066CED8E" w14:textId="322358C1" w:rsidR="00F00E3D" w:rsidRPr="00E91887" w:rsidRDefault="00F00E3D" w:rsidP="009B2FA7">
      <w:pPr>
        <w:spacing w:line="276" w:lineRule="auto"/>
        <w:rPr>
          <w:rFonts w:asciiTheme="majorHAnsi" w:hAnsiTheme="majorHAnsi" w:cstheme="majorHAnsi"/>
          <w:sz w:val="23"/>
          <w:szCs w:val="23"/>
        </w:rPr>
      </w:pPr>
      <w:r w:rsidRPr="00E91887">
        <w:rPr>
          <w:rFonts w:asciiTheme="majorHAnsi" w:hAnsiTheme="majorHAnsi" w:cstheme="majorHAnsi"/>
          <w:sz w:val="23"/>
          <w:szCs w:val="23"/>
        </w:rPr>
        <w:t xml:space="preserve">However, as the SEIFA indexes show, these programs </w:t>
      </w:r>
      <w:r w:rsidR="00ED657A">
        <w:rPr>
          <w:rFonts w:asciiTheme="majorHAnsi" w:hAnsiTheme="majorHAnsi" w:cstheme="majorHAnsi"/>
          <w:sz w:val="23"/>
          <w:szCs w:val="23"/>
        </w:rPr>
        <w:t>and</w:t>
      </w:r>
      <w:r w:rsidRPr="00E91887">
        <w:rPr>
          <w:rFonts w:asciiTheme="majorHAnsi" w:hAnsiTheme="majorHAnsi" w:cstheme="majorHAnsi"/>
          <w:sz w:val="23"/>
          <w:szCs w:val="23"/>
        </w:rPr>
        <w:t xml:space="preserve"> many others</w:t>
      </w:r>
      <w:r w:rsidR="00ED657A">
        <w:rPr>
          <w:rFonts w:asciiTheme="majorHAnsi" w:hAnsiTheme="majorHAnsi" w:cstheme="majorHAnsi"/>
          <w:sz w:val="23"/>
          <w:szCs w:val="23"/>
        </w:rPr>
        <w:t xml:space="preserve"> have failed to shift</w:t>
      </w:r>
      <w:r w:rsidRPr="00E91887">
        <w:rPr>
          <w:rFonts w:asciiTheme="majorHAnsi" w:hAnsiTheme="majorHAnsi" w:cstheme="majorHAnsi"/>
          <w:sz w:val="23"/>
          <w:szCs w:val="23"/>
        </w:rPr>
        <w:t xml:space="preserve"> the overall pattern of social disadvantage in these </w:t>
      </w:r>
      <w:r w:rsidR="00ED657A">
        <w:rPr>
          <w:rFonts w:asciiTheme="majorHAnsi" w:hAnsiTheme="majorHAnsi" w:cstheme="majorHAnsi"/>
          <w:sz w:val="23"/>
          <w:szCs w:val="23"/>
        </w:rPr>
        <w:t>localities</w:t>
      </w:r>
      <w:r w:rsidRPr="00E91887">
        <w:rPr>
          <w:rFonts w:asciiTheme="majorHAnsi" w:hAnsiTheme="majorHAnsi" w:cstheme="majorHAnsi"/>
          <w:sz w:val="23"/>
          <w:szCs w:val="23"/>
        </w:rPr>
        <w:t>.</w:t>
      </w:r>
    </w:p>
    <w:p w14:paraId="1BE20C46" w14:textId="75264500" w:rsidR="00F00E3D" w:rsidRPr="00E91887" w:rsidRDefault="00F00E3D" w:rsidP="009B2FA7">
      <w:pPr>
        <w:spacing w:line="276" w:lineRule="auto"/>
        <w:rPr>
          <w:rFonts w:asciiTheme="majorHAnsi" w:hAnsiTheme="majorHAnsi" w:cstheme="majorHAnsi"/>
          <w:sz w:val="23"/>
          <w:szCs w:val="23"/>
        </w:rPr>
      </w:pPr>
      <w:r w:rsidRPr="00E91887">
        <w:rPr>
          <w:rFonts w:asciiTheme="majorHAnsi" w:hAnsiTheme="majorHAnsi" w:cstheme="majorHAnsi"/>
          <w:sz w:val="23"/>
          <w:szCs w:val="23"/>
        </w:rPr>
        <w:t>Neighbourhood Renewal and a Fairer Victoria w</w:t>
      </w:r>
      <w:r w:rsidR="00ED657A">
        <w:rPr>
          <w:rFonts w:asciiTheme="majorHAnsi" w:hAnsiTheme="majorHAnsi" w:cstheme="majorHAnsi"/>
          <w:sz w:val="23"/>
          <w:szCs w:val="23"/>
        </w:rPr>
        <w:t>ere</w:t>
      </w:r>
      <w:r w:rsidRPr="00E91887">
        <w:rPr>
          <w:rFonts w:asciiTheme="majorHAnsi" w:hAnsiTheme="majorHAnsi" w:cstheme="majorHAnsi"/>
          <w:sz w:val="23"/>
          <w:szCs w:val="23"/>
        </w:rPr>
        <w:t xml:space="preserve"> associated with the </w:t>
      </w:r>
      <w:proofErr w:type="spellStart"/>
      <w:r w:rsidRPr="00E91887">
        <w:rPr>
          <w:rFonts w:asciiTheme="majorHAnsi" w:hAnsiTheme="majorHAnsi" w:cstheme="majorHAnsi"/>
          <w:sz w:val="23"/>
          <w:szCs w:val="23"/>
        </w:rPr>
        <w:t>Bracks</w:t>
      </w:r>
      <w:proofErr w:type="spellEnd"/>
      <w:r w:rsidRPr="00E91887">
        <w:rPr>
          <w:rFonts w:asciiTheme="majorHAnsi" w:hAnsiTheme="majorHAnsi" w:cstheme="majorHAnsi"/>
          <w:sz w:val="23"/>
          <w:szCs w:val="23"/>
        </w:rPr>
        <w:t xml:space="preserve"> Labor Government</w:t>
      </w:r>
      <w:r w:rsidR="00ED657A">
        <w:rPr>
          <w:rFonts w:asciiTheme="majorHAnsi" w:hAnsiTheme="majorHAnsi" w:cstheme="majorHAnsi"/>
          <w:sz w:val="23"/>
          <w:szCs w:val="23"/>
        </w:rPr>
        <w:t>. When that</w:t>
      </w:r>
      <w:r w:rsidRPr="00E91887">
        <w:rPr>
          <w:rFonts w:asciiTheme="majorHAnsi" w:hAnsiTheme="majorHAnsi" w:cstheme="majorHAnsi"/>
          <w:sz w:val="23"/>
          <w:szCs w:val="23"/>
        </w:rPr>
        <w:t xml:space="preserve"> administration was replaced by the Napthine Liberal Government in 2011, these polices were gradually abandoned. </w:t>
      </w:r>
      <w:r w:rsidR="00ED657A">
        <w:rPr>
          <w:rFonts w:asciiTheme="majorHAnsi" w:hAnsiTheme="majorHAnsi" w:cstheme="majorHAnsi"/>
          <w:sz w:val="23"/>
          <w:szCs w:val="23"/>
        </w:rPr>
        <w:t xml:space="preserve">However, some </w:t>
      </w:r>
      <w:r w:rsidRPr="00E91887">
        <w:rPr>
          <w:rFonts w:asciiTheme="majorHAnsi" w:hAnsiTheme="majorHAnsi" w:cstheme="majorHAnsi"/>
          <w:sz w:val="23"/>
          <w:szCs w:val="23"/>
        </w:rPr>
        <w:t>components were</w:t>
      </w:r>
      <w:r w:rsidR="00ED657A">
        <w:rPr>
          <w:rFonts w:asciiTheme="majorHAnsi" w:hAnsiTheme="majorHAnsi" w:cstheme="majorHAnsi"/>
          <w:sz w:val="23"/>
          <w:szCs w:val="23"/>
        </w:rPr>
        <w:t xml:space="preserve"> later</w:t>
      </w:r>
      <w:r w:rsidRPr="00E91887">
        <w:rPr>
          <w:rFonts w:asciiTheme="majorHAnsi" w:hAnsiTheme="majorHAnsi" w:cstheme="majorHAnsi"/>
          <w:sz w:val="23"/>
          <w:szCs w:val="23"/>
        </w:rPr>
        <w:t xml:space="preserve"> rediscovered and enhanced. </w:t>
      </w:r>
    </w:p>
    <w:p w14:paraId="49FD88EF" w14:textId="5F4E75EB" w:rsidR="003710F5" w:rsidRDefault="00F00E3D" w:rsidP="009B2FA7">
      <w:pPr>
        <w:spacing w:line="276" w:lineRule="auto"/>
        <w:rPr>
          <w:rFonts w:asciiTheme="majorHAnsi" w:hAnsiTheme="majorHAnsi" w:cstheme="majorBidi"/>
          <w:sz w:val="23"/>
          <w:szCs w:val="23"/>
        </w:rPr>
      </w:pPr>
      <w:r w:rsidRPr="00E91887">
        <w:rPr>
          <w:rFonts w:asciiTheme="majorHAnsi" w:hAnsiTheme="majorHAnsi" w:cstheme="majorBidi"/>
          <w:sz w:val="23"/>
          <w:szCs w:val="23"/>
        </w:rPr>
        <w:t>Thus</w:t>
      </w:r>
      <w:r w:rsidR="000D031D">
        <w:rPr>
          <w:rFonts w:asciiTheme="majorHAnsi" w:hAnsiTheme="majorHAnsi" w:cstheme="majorBidi"/>
          <w:sz w:val="23"/>
          <w:szCs w:val="23"/>
        </w:rPr>
        <w:t>,</w:t>
      </w:r>
      <w:r w:rsidRPr="00E91887">
        <w:rPr>
          <w:rFonts w:asciiTheme="majorHAnsi" w:hAnsiTheme="majorHAnsi" w:cstheme="majorBidi"/>
          <w:sz w:val="23"/>
          <w:szCs w:val="23"/>
        </w:rPr>
        <w:t xml:space="preserve"> in </w:t>
      </w:r>
      <w:r w:rsidRPr="00ED657A">
        <w:rPr>
          <w:rFonts w:asciiTheme="majorHAnsi" w:hAnsiTheme="majorHAnsi" w:cstheme="majorBidi"/>
          <w:sz w:val="23"/>
          <w:szCs w:val="23"/>
        </w:rPr>
        <w:t>2017</w:t>
      </w:r>
      <w:r w:rsidR="00ED657A">
        <w:rPr>
          <w:rFonts w:asciiTheme="majorHAnsi" w:hAnsiTheme="majorHAnsi" w:cstheme="majorBidi"/>
          <w:sz w:val="23"/>
          <w:szCs w:val="23"/>
        </w:rPr>
        <w:t>,</w:t>
      </w:r>
      <w:r w:rsidRPr="00ED657A">
        <w:rPr>
          <w:rFonts w:asciiTheme="majorHAnsi" w:hAnsiTheme="majorHAnsi" w:cstheme="majorBidi"/>
          <w:sz w:val="23"/>
          <w:szCs w:val="23"/>
        </w:rPr>
        <w:t xml:space="preserve"> </w:t>
      </w:r>
      <w:r w:rsidR="000D031D">
        <w:rPr>
          <w:rFonts w:asciiTheme="majorHAnsi" w:hAnsiTheme="majorHAnsi" w:cstheme="majorBidi"/>
          <w:sz w:val="23"/>
          <w:szCs w:val="23"/>
        </w:rPr>
        <w:t xml:space="preserve">the </w:t>
      </w:r>
      <w:r w:rsidR="00ED657A">
        <w:rPr>
          <w:rFonts w:asciiTheme="majorHAnsi" w:hAnsiTheme="majorHAnsi" w:cstheme="majorBidi"/>
          <w:sz w:val="23"/>
          <w:szCs w:val="23"/>
        </w:rPr>
        <w:t>Victorian State Government</w:t>
      </w:r>
      <w:r w:rsidR="000D031D">
        <w:rPr>
          <w:rFonts w:asciiTheme="majorHAnsi" w:hAnsiTheme="majorHAnsi" w:cstheme="majorBidi"/>
          <w:sz w:val="23"/>
          <w:szCs w:val="23"/>
        </w:rPr>
        <w:t xml:space="preserve"> established </w:t>
      </w:r>
      <w:r w:rsidR="000D031D" w:rsidRPr="00ED657A">
        <w:rPr>
          <w:rFonts w:asciiTheme="majorHAnsi" w:hAnsiTheme="majorHAnsi" w:cstheme="majorBidi"/>
          <w:sz w:val="23"/>
          <w:szCs w:val="23"/>
        </w:rPr>
        <w:t xml:space="preserve">the New Norlane </w:t>
      </w:r>
      <w:r w:rsidR="000D031D">
        <w:rPr>
          <w:rFonts w:asciiTheme="majorHAnsi" w:hAnsiTheme="majorHAnsi" w:cstheme="majorBidi"/>
          <w:sz w:val="23"/>
          <w:szCs w:val="23"/>
        </w:rPr>
        <w:t xml:space="preserve">program </w:t>
      </w:r>
      <w:r w:rsidR="00ED657A" w:rsidRPr="00ED657A">
        <w:rPr>
          <w:rFonts w:asciiTheme="majorHAnsi" w:hAnsiTheme="majorHAnsi" w:cstheme="majorBidi"/>
          <w:noProof/>
          <w:sz w:val="23"/>
          <w:szCs w:val="23"/>
        </w:rPr>
        <w:t>(Department</w:t>
      </w:r>
      <w:r w:rsidR="00ED657A" w:rsidRPr="00E91887">
        <w:rPr>
          <w:rFonts w:asciiTheme="majorHAnsi" w:hAnsiTheme="majorHAnsi" w:cstheme="majorBidi"/>
          <w:noProof/>
          <w:sz w:val="23"/>
          <w:szCs w:val="23"/>
        </w:rPr>
        <w:t xml:space="preserve"> of Health and Human Services, 2018)</w:t>
      </w:r>
      <w:r w:rsidRPr="00E91887">
        <w:rPr>
          <w:rFonts w:asciiTheme="majorHAnsi" w:hAnsiTheme="majorHAnsi" w:cstheme="majorBidi"/>
          <w:sz w:val="23"/>
          <w:szCs w:val="23"/>
        </w:rPr>
        <w:t xml:space="preserve">. </w:t>
      </w:r>
      <w:r w:rsidR="000D031D">
        <w:rPr>
          <w:rFonts w:asciiTheme="majorHAnsi" w:hAnsiTheme="majorHAnsi" w:cstheme="majorBidi"/>
          <w:sz w:val="23"/>
          <w:szCs w:val="23"/>
        </w:rPr>
        <w:t>A</w:t>
      </w:r>
      <w:r w:rsidRPr="00E91887">
        <w:rPr>
          <w:rFonts w:asciiTheme="majorHAnsi" w:hAnsiTheme="majorHAnsi" w:cstheme="majorBidi"/>
          <w:sz w:val="23"/>
          <w:szCs w:val="23"/>
        </w:rPr>
        <w:t xml:space="preserve"> commitment of A</w:t>
      </w:r>
      <w:r w:rsidR="000D031D">
        <w:rPr>
          <w:rFonts w:asciiTheme="majorHAnsi" w:hAnsiTheme="majorHAnsi" w:cstheme="majorBidi"/>
          <w:sz w:val="23"/>
          <w:szCs w:val="23"/>
        </w:rPr>
        <w:t>U</w:t>
      </w:r>
      <w:r w:rsidRPr="00E91887">
        <w:rPr>
          <w:rFonts w:asciiTheme="majorHAnsi" w:hAnsiTheme="majorHAnsi" w:cstheme="majorBidi"/>
          <w:sz w:val="23"/>
          <w:szCs w:val="23"/>
        </w:rPr>
        <w:t>$80 million</w:t>
      </w:r>
      <w:r w:rsidR="000D031D">
        <w:rPr>
          <w:rFonts w:asciiTheme="majorHAnsi" w:hAnsiTheme="majorHAnsi" w:cstheme="majorBidi"/>
          <w:sz w:val="23"/>
          <w:szCs w:val="23"/>
        </w:rPr>
        <w:t xml:space="preserve"> was allocated to build</w:t>
      </w:r>
      <w:r w:rsidRPr="00E91887">
        <w:rPr>
          <w:rFonts w:asciiTheme="majorHAnsi" w:hAnsiTheme="majorHAnsi" w:cstheme="majorBidi"/>
          <w:sz w:val="23"/>
          <w:szCs w:val="23"/>
        </w:rPr>
        <w:t xml:space="preserve"> 320 new public and affordable housing units </w:t>
      </w:r>
      <w:r w:rsidR="000D031D">
        <w:rPr>
          <w:rFonts w:asciiTheme="majorHAnsi" w:hAnsiTheme="majorHAnsi" w:cstheme="majorBidi"/>
          <w:sz w:val="23"/>
          <w:szCs w:val="23"/>
        </w:rPr>
        <w:t>in the suburb. The program sought to</w:t>
      </w:r>
      <w:r w:rsidRPr="00E91887">
        <w:rPr>
          <w:rFonts w:asciiTheme="majorHAnsi" w:hAnsiTheme="majorHAnsi" w:cstheme="majorBidi"/>
          <w:sz w:val="23"/>
          <w:szCs w:val="23"/>
        </w:rPr>
        <w:t xml:space="preserve"> broaden the tenure mix (</w:t>
      </w:r>
      <w:r w:rsidR="000D031D">
        <w:rPr>
          <w:rFonts w:asciiTheme="majorHAnsi" w:hAnsiTheme="majorHAnsi" w:cstheme="majorBidi"/>
          <w:sz w:val="23"/>
          <w:szCs w:val="23"/>
        </w:rPr>
        <w:t>some</w:t>
      </w:r>
      <w:r w:rsidRPr="00E91887">
        <w:rPr>
          <w:rFonts w:asciiTheme="majorHAnsi" w:hAnsiTheme="majorHAnsi" w:cstheme="majorBidi"/>
          <w:sz w:val="23"/>
          <w:szCs w:val="23"/>
        </w:rPr>
        <w:t xml:space="preserve"> </w:t>
      </w:r>
      <w:r w:rsidR="000D031D">
        <w:rPr>
          <w:rFonts w:asciiTheme="majorHAnsi" w:hAnsiTheme="majorHAnsi" w:cstheme="majorBidi"/>
          <w:sz w:val="23"/>
          <w:szCs w:val="23"/>
        </w:rPr>
        <w:t xml:space="preserve">units </w:t>
      </w:r>
      <w:r w:rsidRPr="000D031D">
        <w:rPr>
          <w:rFonts w:asciiTheme="majorHAnsi" w:hAnsiTheme="majorHAnsi" w:cstheme="majorBidi"/>
          <w:sz w:val="23"/>
          <w:szCs w:val="23"/>
        </w:rPr>
        <w:t>were sold into the private housing market)</w:t>
      </w:r>
      <w:r w:rsidR="000D031D" w:rsidRPr="000D031D">
        <w:rPr>
          <w:rFonts w:asciiTheme="majorHAnsi" w:hAnsiTheme="majorHAnsi" w:cstheme="majorBidi"/>
          <w:sz w:val="23"/>
          <w:szCs w:val="23"/>
        </w:rPr>
        <w:t>, enhance</w:t>
      </w:r>
      <w:r w:rsidRPr="000D031D">
        <w:rPr>
          <w:rFonts w:asciiTheme="majorHAnsi" w:hAnsiTheme="majorHAnsi" w:cstheme="majorBidi"/>
          <w:sz w:val="23"/>
          <w:szCs w:val="23"/>
        </w:rPr>
        <w:t xml:space="preserve"> the quality of the housing stock</w:t>
      </w:r>
      <w:r w:rsidR="000D031D" w:rsidRPr="000D031D">
        <w:rPr>
          <w:rFonts w:asciiTheme="majorHAnsi" w:hAnsiTheme="majorHAnsi" w:cstheme="majorBidi"/>
          <w:sz w:val="23"/>
          <w:szCs w:val="23"/>
        </w:rPr>
        <w:t>, and improve</w:t>
      </w:r>
      <w:r w:rsidRPr="000D031D">
        <w:rPr>
          <w:rFonts w:asciiTheme="majorHAnsi" w:hAnsiTheme="majorHAnsi" w:cstheme="majorBidi"/>
          <w:sz w:val="23"/>
          <w:szCs w:val="23"/>
        </w:rPr>
        <w:t xml:space="preserve"> streetscapes. A change of government policy </w:t>
      </w:r>
      <w:r w:rsidR="000D031D" w:rsidRPr="000D031D">
        <w:rPr>
          <w:rFonts w:asciiTheme="majorHAnsi" w:hAnsiTheme="majorHAnsi" w:cstheme="majorBidi"/>
          <w:sz w:val="23"/>
          <w:szCs w:val="23"/>
        </w:rPr>
        <w:t>spelt the end of this</w:t>
      </w:r>
      <w:r w:rsidRPr="000D031D">
        <w:rPr>
          <w:rFonts w:asciiTheme="majorHAnsi" w:hAnsiTheme="majorHAnsi" w:cstheme="majorBidi"/>
          <w:sz w:val="23"/>
          <w:szCs w:val="23"/>
        </w:rPr>
        <w:t xml:space="preserve"> program, a pattern </w:t>
      </w:r>
      <w:r w:rsidR="000D031D" w:rsidRPr="000D031D">
        <w:rPr>
          <w:rFonts w:asciiTheme="majorHAnsi" w:hAnsiTheme="majorHAnsi" w:cstheme="majorBidi"/>
          <w:sz w:val="23"/>
          <w:szCs w:val="23"/>
        </w:rPr>
        <w:t>that</w:t>
      </w:r>
      <w:r w:rsidRPr="000D031D">
        <w:rPr>
          <w:rFonts w:asciiTheme="majorHAnsi" w:hAnsiTheme="majorHAnsi" w:cstheme="majorBidi"/>
          <w:sz w:val="23"/>
          <w:szCs w:val="23"/>
        </w:rPr>
        <w:t xml:space="preserve"> highlights the vulnerability of the operating environment to shifts in policy. One Norlane resident observed that this policy</w:t>
      </w:r>
      <w:r w:rsidR="000D031D" w:rsidRPr="000D031D">
        <w:rPr>
          <w:rFonts w:asciiTheme="majorHAnsi" w:hAnsiTheme="majorHAnsi" w:cstheme="majorBidi"/>
          <w:sz w:val="23"/>
          <w:szCs w:val="23"/>
        </w:rPr>
        <w:t xml:space="preserve"> led to</w:t>
      </w:r>
      <w:r w:rsidRPr="000D031D">
        <w:rPr>
          <w:rFonts w:asciiTheme="majorHAnsi" w:hAnsiTheme="majorHAnsi" w:cstheme="majorBidi"/>
          <w:sz w:val="23"/>
          <w:szCs w:val="23"/>
        </w:rPr>
        <w:t xml:space="preserve"> a major inflow of investors into the Corio-Norlane</w:t>
      </w:r>
      <w:r w:rsidR="000D031D" w:rsidRPr="000D031D">
        <w:rPr>
          <w:rFonts w:asciiTheme="majorHAnsi" w:hAnsiTheme="majorHAnsi" w:cstheme="majorBidi"/>
          <w:sz w:val="23"/>
          <w:szCs w:val="23"/>
        </w:rPr>
        <w:t xml:space="preserve"> housing market</w:t>
      </w:r>
      <w:r w:rsidRPr="000D031D">
        <w:rPr>
          <w:rFonts w:asciiTheme="majorHAnsi" w:hAnsiTheme="majorHAnsi" w:cstheme="majorBidi"/>
          <w:sz w:val="23"/>
          <w:szCs w:val="23"/>
        </w:rPr>
        <w:t xml:space="preserve">, raising the number and proportion of </w:t>
      </w:r>
      <w:r w:rsidR="000D031D" w:rsidRPr="000D031D">
        <w:rPr>
          <w:rFonts w:asciiTheme="majorHAnsi" w:hAnsiTheme="majorHAnsi" w:cstheme="majorBidi"/>
          <w:sz w:val="23"/>
          <w:szCs w:val="23"/>
        </w:rPr>
        <w:t xml:space="preserve">local </w:t>
      </w:r>
      <w:r w:rsidRPr="000D031D">
        <w:rPr>
          <w:rFonts w:asciiTheme="majorHAnsi" w:hAnsiTheme="majorHAnsi" w:cstheme="majorBidi"/>
          <w:sz w:val="23"/>
          <w:szCs w:val="23"/>
        </w:rPr>
        <w:t xml:space="preserve">renters. </w:t>
      </w:r>
      <w:r w:rsidR="000D031D" w:rsidRPr="000D031D">
        <w:rPr>
          <w:rFonts w:asciiTheme="majorHAnsi" w:hAnsiTheme="majorHAnsi" w:cstheme="majorBidi"/>
          <w:sz w:val="23"/>
          <w:szCs w:val="23"/>
        </w:rPr>
        <w:t>Others observed that</w:t>
      </w:r>
      <w:r w:rsidRPr="000D031D">
        <w:rPr>
          <w:rFonts w:asciiTheme="majorHAnsi" w:hAnsiTheme="majorHAnsi" w:cstheme="majorBidi"/>
          <w:sz w:val="23"/>
          <w:szCs w:val="23"/>
        </w:rPr>
        <w:t xml:space="preserve"> least some of the public housing replacements </w:t>
      </w:r>
      <w:r w:rsidR="000D031D">
        <w:rPr>
          <w:rFonts w:asciiTheme="majorHAnsi" w:hAnsiTheme="majorHAnsi" w:cstheme="majorBidi"/>
          <w:sz w:val="23"/>
          <w:szCs w:val="23"/>
        </w:rPr>
        <w:t>did not offer</w:t>
      </w:r>
      <w:r w:rsidRPr="000D031D">
        <w:rPr>
          <w:rFonts w:asciiTheme="majorHAnsi" w:hAnsiTheme="majorHAnsi" w:cstheme="majorBidi"/>
          <w:sz w:val="23"/>
          <w:szCs w:val="23"/>
        </w:rPr>
        <w:t xml:space="preserve"> what the population</w:t>
      </w:r>
      <w:r w:rsidR="000D031D" w:rsidRPr="000D031D">
        <w:rPr>
          <w:rFonts w:asciiTheme="majorHAnsi" w:hAnsiTheme="majorHAnsi" w:cstheme="majorBidi"/>
          <w:sz w:val="23"/>
          <w:szCs w:val="23"/>
        </w:rPr>
        <w:t xml:space="preserve"> </w:t>
      </w:r>
      <w:r w:rsidR="000D031D">
        <w:rPr>
          <w:rFonts w:asciiTheme="majorHAnsi" w:hAnsiTheme="majorHAnsi" w:cstheme="majorBidi"/>
          <w:sz w:val="23"/>
          <w:szCs w:val="23"/>
        </w:rPr>
        <w:t xml:space="preserve">really </w:t>
      </w:r>
      <w:r w:rsidR="000D031D" w:rsidRPr="000D031D">
        <w:rPr>
          <w:rFonts w:asciiTheme="majorHAnsi" w:hAnsiTheme="majorHAnsi" w:cstheme="majorBidi"/>
          <w:sz w:val="23"/>
          <w:szCs w:val="23"/>
        </w:rPr>
        <w:t>needed:</w:t>
      </w:r>
      <w:r w:rsidRPr="000D031D">
        <w:rPr>
          <w:rFonts w:asciiTheme="majorHAnsi" w:hAnsiTheme="majorHAnsi" w:cstheme="majorBidi"/>
          <w:sz w:val="23"/>
          <w:szCs w:val="23"/>
        </w:rPr>
        <w:t xml:space="preserve"> </w:t>
      </w:r>
      <w:r w:rsidR="000D031D" w:rsidRPr="000D031D">
        <w:rPr>
          <w:rFonts w:asciiTheme="majorHAnsi" w:hAnsiTheme="majorHAnsi" w:cstheme="majorBidi"/>
          <w:sz w:val="23"/>
          <w:szCs w:val="23"/>
        </w:rPr>
        <w:t>three- and four</w:t>
      </w:r>
      <w:r w:rsidRPr="000D031D">
        <w:rPr>
          <w:rFonts w:asciiTheme="majorHAnsi" w:hAnsiTheme="majorHAnsi" w:cstheme="majorBidi"/>
          <w:sz w:val="23"/>
          <w:szCs w:val="23"/>
        </w:rPr>
        <w:t>-bedroom houses</w:t>
      </w:r>
      <w:r w:rsidR="000D031D" w:rsidRPr="000D031D">
        <w:rPr>
          <w:rFonts w:asciiTheme="majorHAnsi" w:hAnsiTheme="majorHAnsi" w:cstheme="majorBidi"/>
          <w:sz w:val="23"/>
          <w:szCs w:val="23"/>
        </w:rPr>
        <w:t>, rather than the smaller dwelling delivered</w:t>
      </w:r>
      <w:r w:rsidRPr="000D031D">
        <w:rPr>
          <w:rFonts w:asciiTheme="majorHAnsi" w:hAnsiTheme="majorHAnsi" w:cstheme="majorBidi"/>
          <w:sz w:val="23"/>
          <w:szCs w:val="23"/>
        </w:rPr>
        <w:t xml:space="preserve">. </w:t>
      </w:r>
      <w:r w:rsidR="000D031D" w:rsidRPr="000D031D">
        <w:rPr>
          <w:rFonts w:asciiTheme="majorHAnsi" w:hAnsiTheme="majorHAnsi" w:cstheme="majorBidi"/>
          <w:sz w:val="23"/>
          <w:szCs w:val="23"/>
        </w:rPr>
        <w:t>Before further interventions of this type are considered, the</w:t>
      </w:r>
      <w:r w:rsidRPr="000D031D">
        <w:rPr>
          <w:rFonts w:asciiTheme="majorHAnsi" w:hAnsiTheme="majorHAnsi" w:cstheme="majorBidi"/>
          <w:sz w:val="23"/>
          <w:szCs w:val="23"/>
        </w:rPr>
        <w:t xml:space="preserve"> impacts of this policy </w:t>
      </w:r>
      <w:r w:rsidR="000D031D" w:rsidRPr="000D031D">
        <w:rPr>
          <w:rFonts w:asciiTheme="majorHAnsi" w:hAnsiTheme="majorHAnsi" w:cstheme="majorBidi"/>
          <w:sz w:val="23"/>
          <w:szCs w:val="23"/>
        </w:rPr>
        <w:t>must be thoroughly assessed. Some studies</w:t>
      </w:r>
      <w:r w:rsidRPr="000D031D">
        <w:rPr>
          <w:rFonts w:asciiTheme="majorHAnsi" w:hAnsiTheme="majorHAnsi" w:cstheme="majorBidi"/>
          <w:sz w:val="23"/>
          <w:szCs w:val="23"/>
        </w:rPr>
        <w:t xml:space="preserve"> indicate </w:t>
      </w:r>
      <w:r w:rsidR="000D031D" w:rsidRPr="000D031D">
        <w:rPr>
          <w:rFonts w:asciiTheme="majorHAnsi" w:hAnsiTheme="majorHAnsi" w:cstheme="majorBidi"/>
          <w:sz w:val="23"/>
          <w:szCs w:val="23"/>
        </w:rPr>
        <w:t xml:space="preserve">that </w:t>
      </w:r>
      <w:r w:rsidRPr="000D031D">
        <w:rPr>
          <w:rFonts w:asciiTheme="majorHAnsi" w:hAnsiTheme="majorHAnsi" w:cstheme="majorBidi"/>
          <w:sz w:val="23"/>
          <w:szCs w:val="23"/>
        </w:rPr>
        <w:t xml:space="preserve">mixed tenure interventions </w:t>
      </w:r>
      <w:r w:rsidR="003710F5">
        <w:rPr>
          <w:rFonts w:asciiTheme="majorHAnsi" w:hAnsiTheme="majorHAnsi" w:cstheme="majorBidi"/>
          <w:sz w:val="23"/>
          <w:szCs w:val="23"/>
        </w:rPr>
        <w:t xml:space="preserve">are </w:t>
      </w:r>
      <w:r w:rsidRPr="000D031D">
        <w:rPr>
          <w:rFonts w:asciiTheme="majorHAnsi" w:hAnsiTheme="majorHAnsi" w:cstheme="majorBidi"/>
          <w:sz w:val="23"/>
          <w:szCs w:val="23"/>
        </w:rPr>
        <w:t xml:space="preserve">highly contested, </w:t>
      </w:r>
      <w:r w:rsidR="000D031D" w:rsidRPr="000D031D">
        <w:rPr>
          <w:rFonts w:asciiTheme="majorHAnsi" w:hAnsiTheme="majorHAnsi" w:cstheme="majorBidi"/>
          <w:sz w:val="23"/>
          <w:szCs w:val="23"/>
        </w:rPr>
        <w:t>and do not</w:t>
      </w:r>
      <w:r w:rsidRPr="000D031D">
        <w:rPr>
          <w:rFonts w:asciiTheme="majorHAnsi" w:hAnsiTheme="majorHAnsi" w:cstheme="majorBidi"/>
          <w:sz w:val="23"/>
          <w:szCs w:val="23"/>
        </w:rPr>
        <w:t xml:space="preserve"> always benefit the poor (Clark </w:t>
      </w:r>
      <w:r w:rsidR="000D031D" w:rsidRPr="000D031D">
        <w:rPr>
          <w:rFonts w:asciiTheme="majorHAnsi" w:hAnsiTheme="majorHAnsi" w:cstheme="majorBidi"/>
          <w:sz w:val="23"/>
          <w:szCs w:val="23"/>
        </w:rPr>
        <w:t>&amp;</w:t>
      </w:r>
      <w:r w:rsidRPr="000D031D">
        <w:rPr>
          <w:rFonts w:asciiTheme="majorHAnsi" w:hAnsiTheme="majorHAnsi" w:cstheme="majorBidi"/>
          <w:sz w:val="23"/>
          <w:szCs w:val="23"/>
        </w:rPr>
        <w:t xml:space="preserve"> Negrey</w:t>
      </w:r>
      <w:r w:rsidR="00BC509B">
        <w:rPr>
          <w:rFonts w:asciiTheme="majorHAnsi" w:hAnsiTheme="majorHAnsi" w:cstheme="majorBidi"/>
          <w:sz w:val="23"/>
          <w:szCs w:val="23"/>
        </w:rPr>
        <w:t>,</w:t>
      </w:r>
      <w:r w:rsidRPr="000D031D">
        <w:rPr>
          <w:rFonts w:asciiTheme="majorHAnsi" w:hAnsiTheme="majorHAnsi" w:cstheme="majorBidi"/>
          <w:sz w:val="23"/>
          <w:szCs w:val="23"/>
        </w:rPr>
        <w:t xml:space="preserve"> 2017).</w:t>
      </w:r>
    </w:p>
    <w:p w14:paraId="4B472F2F" w14:textId="77777777" w:rsidR="003710F5" w:rsidRDefault="003710F5">
      <w:pPr>
        <w:spacing w:after="0" w:line="240" w:lineRule="auto"/>
        <w:rPr>
          <w:rFonts w:asciiTheme="majorHAnsi" w:hAnsiTheme="majorHAnsi" w:cstheme="majorBidi"/>
          <w:sz w:val="23"/>
          <w:szCs w:val="23"/>
        </w:rPr>
      </w:pPr>
      <w:r>
        <w:rPr>
          <w:rFonts w:asciiTheme="majorHAnsi" w:hAnsiTheme="majorHAnsi" w:cstheme="majorBidi"/>
          <w:sz w:val="23"/>
          <w:szCs w:val="23"/>
        </w:rPr>
        <w:br w:type="page"/>
      </w:r>
    </w:p>
    <w:p w14:paraId="1E7B18CF" w14:textId="2FF222A5" w:rsidR="00F00E3D" w:rsidRPr="003710F5" w:rsidRDefault="00AE1456" w:rsidP="00735A7F">
      <w:pPr>
        <w:spacing w:line="240" w:lineRule="auto"/>
        <w:rPr>
          <w:rFonts w:asciiTheme="majorHAnsi" w:hAnsiTheme="majorHAnsi" w:cstheme="majorHAnsi"/>
          <w:b/>
          <w:bCs/>
          <w:color w:val="2F5496" w:themeColor="accent1" w:themeShade="BF"/>
          <w:sz w:val="28"/>
          <w:szCs w:val="28"/>
        </w:rPr>
      </w:pPr>
      <w:r w:rsidRPr="003710F5">
        <w:rPr>
          <w:rFonts w:eastAsia="Calibri" w:cstheme="minorHAnsi"/>
          <w:b/>
          <w:color w:val="2F5496" w:themeColor="accent1" w:themeShade="BF"/>
          <w:sz w:val="28"/>
          <w:szCs w:val="28"/>
        </w:rPr>
        <w:lastRenderedPageBreak/>
        <w:t>7.3</w:t>
      </w:r>
      <w:r w:rsidR="00F00E3D" w:rsidRPr="003710F5">
        <w:rPr>
          <w:rFonts w:eastAsia="Calibri" w:cstheme="minorHAnsi"/>
          <w:b/>
          <w:color w:val="2F5496" w:themeColor="accent1" w:themeShade="BF"/>
          <w:sz w:val="28"/>
          <w:szCs w:val="28"/>
        </w:rPr>
        <w:t xml:space="preserve"> Statistical </w:t>
      </w:r>
      <w:r w:rsidRPr="003710F5">
        <w:rPr>
          <w:rFonts w:eastAsia="Calibri" w:cstheme="minorHAnsi"/>
          <w:b/>
          <w:color w:val="2F5496" w:themeColor="accent1" w:themeShade="BF"/>
          <w:sz w:val="28"/>
          <w:szCs w:val="28"/>
        </w:rPr>
        <w:t>P</w:t>
      </w:r>
      <w:r w:rsidR="00F00E3D" w:rsidRPr="003710F5">
        <w:rPr>
          <w:rFonts w:eastAsia="Calibri" w:cstheme="minorHAnsi"/>
          <w:b/>
          <w:color w:val="2F5496" w:themeColor="accent1" w:themeShade="BF"/>
          <w:sz w:val="28"/>
          <w:szCs w:val="28"/>
        </w:rPr>
        <w:t>rofile</w:t>
      </w:r>
      <w:r w:rsidRPr="003710F5">
        <w:rPr>
          <w:rFonts w:eastAsia="Calibri" w:cstheme="minorHAnsi"/>
          <w:b/>
          <w:color w:val="2F5496" w:themeColor="accent1" w:themeShade="BF"/>
          <w:sz w:val="28"/>
          <w:szCs w:val="28"/>
        </w:rPr>
        <w:t>:</w:t>
      </w:r>
      <w:r w:rsidR="00F00E3D" w:rsidRPr="003710F5">
        <w:rPr>
          <w:rFonts w:eastAsia="Calibri" w:cstheme="minorHAnsi"/>
          <w:b/>
          <w:color w:val="2F5496" w:themeColor="accent1" w:themeShade="BF"/>
          <w:sz w:val="28"/>
          <w:szCs w:val="28"/>
        </w:rPr>
        <w:t xml:space="preserve"> Corio, Norlane</w:t>
      </w:r>
      <w:r w:rsidRPr="003710F5">
        <w:rPr>
          <w:rFonts w:eastAsia="Calibri" w:cstheme="minorHAnsi"/>
          <w:b/>
          <w:color w:val="2F5496" w:themeColor="accent1" w:themeShade="BF"/>
          <w:sz w:val="28"/>
          <w:szCs w:val="28"/>
        </w:rPr>
        <w:t>,</w:t>
      </w:r>
      <w:r w:rsidR="00F00E3D" w:rsidRPr="003710F5">
        <w:rPr>
          <w:rFonts w:eastAsia="Calibri" w:cstheme="minorHAnsi"/>
          <w:b/>
          <w:color w:val="2F5496" w:themeColor="accent1" w:themeShade="BF"/>
          <w:sz w:val="28"/>
          <w:szCs w:val="28"/>
        </w:rPr>
        <w:t xml:space="preserve"> and Whittington in 2020</w:t>
      </w:r>
    </w:p>
    <w:p w14:paraId="73738AD2" w14:textId="5FD2F552" w:rsidR="00F00E3D" w:rsidRPr="00E851A0" w:rsidRDefault="00F00E3D" w:rsidP="009B2FA7">
      <w:pPr>
        <w:spacing w:line="276" w:lineRule="auto"/>
        <w:rPr>
          <w:rFonts w:cstheme="minorHAnsi"/>
          <w:b/>
          <w:bCs/>
          <w:color w:val="2F5496" w:themeColor="accent1" w:themeShade="BF"/>
          <w:sz w:val="25"/>
          <w:szCs w:val="25"/>
        </w:rPr>
      </w:pPr>
      <w:r w:rsidRPr="00E851A0">
        <w:rPr>
          <w:rFonts w:cstheme="minorHAnsi"/>
          <w:b/>
          <w:bCs/>
          <w:color w:val="2F5496" w:themeColor="accent1" w:themeShade="BF"/>
          <w:sz w:val="25"/>
          <w:szCs w:val="25"/>
        </w:rPr>
        <w:t>Employment</w:t>
      </w:r>
      <w:r w:rsidR="00E851A0" w:rsidRPr="00E851A0">
        <w:rPr>
          <w:rFonts w:cstheme="minorHAnsi"/>
          <w:b/>
          <w:bCs/>
          <w:color w:val="2F5496" w:themeColor="accent1" w:themeShade="BF"/>
          <w:sz w:val="25"/>
          <w:szCs w:val="25"/>
        </w:rPr>
        <w:t xml:space="preserve"> and </w:t>
      </w:r>
      <w:r w:rsidRPr="00E851A0">
        <w:rPr>
          <w:rFonts w:cstheme="minorHAnsi"/>
          <w:b/>
          <w:bCs/>
          <w:color w:val="2F5496" w:themeColor="accent1" w:themeShade="BF"/>
          <w:sz w:val="25"/>
          <w:szCs w:val="25"/>
        </w:rPr>
        <w:t>Unemployment</w:t>
      </w:r>
    </w:p>
    <w:p w14:paraId="32A1A163" w14:textId="646927ED" w:rsidR="00F00E3D" w:rsidRPr="00E91887" w:rsidRDefault="0033390D" w:rsidP="00626827">
      <w:pPr>
        <w:spacing w:after="0" w:line="276" w:lineRule="auto"/>
        <w:rPr>
          <w:rFonts w:asciiTheme="majorHAnsi" w:hAnsiTheme="majorHAnsi" w:cstheme="majorHAnsi"/>
          <w:sz w:val="23"/>
          <w:szCs w:val="23"/>
        </w:rPr>
      </w:pPr>
      <w:r>
        <w:rPr>
          <w:rFonts w:asciiTheme="majorHAnsi" w:hAnsiTheme="majorHAnsi" w:cstheme="majorHAnsi"/>
          <w:sz w:val="23"/>
          <w:szCs w:val="23"/>
        </w:rPr>
        <w:t xml:space="preserve">Over </w:t>
      </w:r>
      <w:r w:rsidR="00F00E3D" w:rsidRPr="00E91887">
        <w:rPr>
          <w:rFonts w:asciiTheme="majorHAnsi" w:hAnsiTheme="majorHAnsi" w:cstheme="majorHAnsi"/>
          <w:sz w:val="23"/>
          <w:szCs w:val="23"/>
        </w:rPr>
        <w:t>2020</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as government</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mandated </w:t>
      </w:r>
      <w:r>
        <w:rPr>
          <w:rFonts w:asciiTheme="majorHAnsi" w:hAnsiTheme="majorHAnsi" w:cstheme="majorHAnsi"/>
          <w:sz w:val="23"/>
          <w:szCs w:val="23"/>
        </w:rPr>
        <w:t>lockdowns</w:t>
      </w:r>
      <w:r w:rsidR="00F00E3D" w:rsidRPr="00E91887">
        <w:rPr>
          <w:rFonts w:asciiTheme="majorHAnsi" w:hAnsiTheme="majorHAnsi" w:cstheme="majorHAnsi"/>
          <w:sz w:val="23"/>
          <w:szCs w:val="23"/>
        </w:rPr>
        <w:t xml:space="preserve"> occurred and borders were closed, unemployment rose dramatically across Australia and Geelong</w:t>
      </w:r>
      <w:r>
        <w:rPr>
          <w:rFonts w:asciiTheme="majorHAnsi" w:hAnsiTheme="majorHAnsi" w:cstheme="majorHAnsi"/>
          <w:sz w:val="23"/>
          <w:szCs w:val="23"/>
        </w:rPr>
        <w:t xml:space="preserve"> (</w:t>
      </w:r>
      <w:r w:rsidR="00904C7F">
        <w:rPr>
          <w:rFonts w:asciiTheme="majorHAnsi" w:hAnsiTheme="majorHAnsi" w:cstheme="majorHAnsi"/>
          <w:sz w:val="23"/>
          <w:szCs w:val="23"/>
        </w:rPr>
        <w:t xml:space="preserve">see </w:t>
      </w:r>
      <w:r w:rsidRPr="00E91887">
        <w:rPr>
          <w:rFonts w:asciiTheme="majorHAnsi" w:hAnsiTheme="majorHAnsi" w:cstheme="majorHAnsi"/>
          <w:sz w:val="23"/>
          <w:szCs w:val="23"/>
        </w:rPr>
        <w:t>Section</w:t>
      </w:r>
      <w:r w:rsidR="00904C7F">
        <w:rPr>
          <w:rFonts w:asciiTheme="majorHAnsi" w:hAnsiTheme="majorHAnsi" w:cstheme="majorHAnsi"/>
          <w:sz w:val="23"/>
          <w:szCs w:val="23"/>
        </w:rPr>
        <w:t>s</w:t>
      </w:r>
      <w:r w:rsidRPr="00E91887">
        <w:rPr>
          <w:rFonts w:asciiTheme="majorHAnsi" w:hAnsiTheme="majorHAnsi" w:cstheme="majorHAnsi"/>
          <w:sz w:val="23"/>
          <w:szCs w:val="23"/>
        </w:rPr>
        <w:t xml:space="preserve"> 2.1 and 2.2</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As </w:t>
      </w:r>
      <w:r w:rsidR="00904C7F">
        <w:rPr>
          <w:rFonts w:asciiTheme="majorHAnsi" w:hAnsiTheme="majorHAnsi" w:cstheme="majorHAnsi"/>
          <w:sz w:val="23"/>
          <w:szCs w:val="23"/>
        </w:rPr>
        <w:t>outlined</w:t>
      </w:r>
      <w:r>
        <w:rPr>
          <w:rFonts w:asciiTheme="majorHAnsi" w:hAnsiTheme="majorHAnsi" w:cstheme="majorHAnsi"/>
          <w:sz w:val="23"/>
          <w:szCs w:val="23"/>
        </w:rPr>
        <w:t xml:space="preserve"> above</w:t>
      </w:r>
      <w:r w:rsidR="00F00E3D" w:rsidRPr="00E91887">
        <w:rPr>
          <w:rFonts w:asciiTheme="majorHAnsi" w:hAnsiTheme="majorHAnsi" w:cstheme="majorHAnsi"/>
          <w:sz w:val="23"/>
          <w:szCs w:val="23"/>
        </w:rPr>
        <w:t xml:space="preserve">, since </w:t>
      </w:r>
      <w:r w:rsidR="00904C7F">
        <w:rPr>
          <w:rFonts w:asciiTheme="majorHAnsi" w:hAnsiTheme="majorHAnsi" w:cstheme="majorHAnsi"/>
          <w:sz w:val="23"/>
          <w:szCs w:val="23"/>
        </w:rPr>
        <w:t xml:space="preserve">the </w:t>
      </w:r>
      <w:r>
        <w:rPr>
          <w:rFonts w:asciiTheme="majorHAnsi" w:hAnsiTheme="majorHAnsi" w:cstheme="majorHAnsi"/>
          <w:sz w:val="23"/>
          <w:szCs w:val="23"/>
        </w:rPr>
        <w:t>o</w:t>
      </w:r>
      <w:r w:rsidR="00904C7F">
        <w:rPr>
          <w:rFonts w:asciiTheme="majorHAnsi" w:hAnsiTheme="majorHAnsi" w:cstheme="majorHAnsi"/>
          <w:sz w:val="23"/>
          <w:szCs w:val="23"/>
        </w:rPr>
        <w:t>nset</w:t>
      </w:r>
      <w:r>
        <w:rPr>
          <w:rFonts w:asciiTheme="majorHAnsi" w:hAnsiTheme="majorHAnsi" w:cstheme="majorHAnsi"/>
          <w:sz w:val="23"/>
          <w:szCs w:val="23"/>
        </w:rPr>
        <w:t xml:space="preserve"> of the </w:t>
      </w:r>
      <w:r w:rsidR="00F00E3D" w:rsidRPr="00E91887">
        <w:rPr>
          <w:rFonts w:asciiTheme="majorHAnsi" w:hAnsiTheme="majorHAnsi" w:cstheme="majorHAnsi"/>
          <w:sz w:val="23"/>
          <w:szCs w:val="23"/>
        </w:rPr>
        <w:t xml:space="preserve">manufacturing </w:t>
      </w:r>
      <w:r>
        <w:rPr>
          <w:rFonts w:asciiTheme="majorHAnsi" w:hAnsiTheme="majorHAnsi" w:cstheme="majorHAnsi"/>
          <w:sz w:val="23"/>
          <w:szCs w:val="23"/>
        </w:rPr>
        <w:t>downturn</w:t>
      </w:r>
      <w:r w:rsidR="00F00E3D" w:rsidRPr="00E91887">
        <w:rPr>
          <w:rFonts w:asciiTheme="majorHAnsi" w:hAnsiTheme="majorHAnsi" w:cstheme="majorHAnsi"/>
          <w:sz w:val="23"/>
          <w:szCs w:val="23"/>
        </w:rPr>
        <w:t>,</w:t>
      </w:r>
      <w:r>
        <w:rPr>
          <w:rFonts w:asciiTheme="majorHAnsi" w:hAnsiTheme="majorHAnsi" w:cstheme="majorHAnsi"/>
          <w:sz w:val="23"/>
          <w:szCs w:val="23"/>
        </w:rPr>
        <w:t xml:space="preserve"> </w:t>
      </w:r>
      <w:r w:rsidRPr="00E91887">
        <w:rPr>
          <w:rFonts w:asciiTheme="majorHAnsi" w:hAnsiTheme="majorHAnsi" w:cstheme="majorHAnsi"/>
          <w:sz w:val="23"/>
          <w:szCs w:val="23"/>
        </w:rPr>
        <w:t>Corio, Norlane</w:t>
      </w:r>
      <w:r>
        <w:rPr>
          <w:rFonts w:asciiTheme="majorHAnsi" w:hAnsiTheme="majorHAnsi" w:cstheme="majorHAnsi"/>
          <w:sz w:val="23"/>
          <w:szCs w:val="23"/>
        </w:rPr>
        <w:t>,</w:t>
      </w:r>
      <w:r w:rsidRPr="00E91887">
        <w:rPr>
          <w:rFonts w:asciiTheme="majorHAnsi" w:hAnsiTheme="majorHAnsi" w:cstheme="majorHAnsi"/>
          <w:sz w:val="23"/>
          <w:szCs w:val="23"/>
        </w:rPr>
        <w:t xml:space="preserve"> and Whittington have</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had</w:t>
      </w:r>
      <w:r w:rsidR="00F00E3D" w:rsidRPr="00E91887">
        <w:rPr>
          <w:rFonts w:asciiTheme="majorHAnsi" w:hAnsiTheme="majorHAnsi" w:cstheme="majorHAnsi"/>
          <w:sz w:val="23"/>
          <w:szCs w:val="23"/>
        </w:rPr>
        <w:t xml:space="preserve"> relatively high levels of unemployment compared to</w:t>
      </w:r>
      <w:r>
        <w:rPr>
          <w:rFonts w:asciiTheme="majorHAnsi" w:hAnsiTheme="majorHAnsi" w:cstheme="majorHAnsi"/>
          <w:sz w:val="23"/>
          <w:szCs w:val="23"/>
        </w:rPr>
        <w:t xml:space="preserve"> Greater</w:t>
      </w:r>
      <w:r w:rsidR="00F00E3D" w:rsidRPr="00E91887">
        <w:rPr>
          <w:rFonts w:asciiTheme="majorHAnsi" w:hAnsiTheme="majorHAnsi" w:cstheme="majorHAnsi"/>
          <w:sz w:val="23"/>
          <w:szCs w:val="23"/>
        </w:rPr>
        <w:t xml:space="preserve"> Geelong. However, figures </w:t>
      </w:r>
      <w:r w:rsidR="00904C7F">
        <w:rPr>
          <w:rFonts w:asciiTheme="majorHAnsi" w:hAnsiTheme="majorHAnsi" w:cstheme="majorHAnsi"/>
          <w:sz w:val="23"/>
          <w:szCs w:val="23"/>
        </w:rPr>
        <w:t>comparing</w:t>
      </w:r>
      <w:r w:rsidR="00F00E3D" w:rsidRPr="00E91887">
        <w:rPr>
          <w:rFonts w:asciiTheme="majorHAnsi" w:hAnsiTheme="majorHAnsi" w:cstheme="majorHAnsi"/>
          <w:sz w:val="23"/>
          <w:szCs w:val="23"/>
        </w:rPr>
        <w:t xml:space="preserve"> </w:t>
      </w:r>
      <w:r w:rsidR="00E851A0">
        <w:rPr>
          <w:rFonts w:asciiTheme="majorHAnsi" w:hAnsiTheme="majorHAnsi" w:cstheme="majorHAnsi"/>
          <w:sz w:val="23"/>
          <w:szCs w:val="23"/>
        </w:rPr>
        <w:t>the</w:t>
      </w:r>
      <w:r w:rsidR="00F00E3D" w:rsidRPr="00E91887">
        <w:rPr>
          <w:rFonts w:asciiTheme="majorHAnsi" w:hAnsiTheme="majorHAnsi" w:cstheme="majorHAnsi"/>
          <w:sz w:val="23"/>
          <w:szCs w:val="23"/>
        </w:rPr>
        <w:t xml:space="preserve"> first two </w:t>
      </w:r>
      <w:r w:rsidR="00E851A0">
        <w:rPr>
          <w:rFonts w:asciiTheme="majorHAnsi" w:hAnsiTheme="majorHAnsi" w:cstheme="majorHAnsi"/>
          <w:sz w:val="23"/>
          <w:szCs w:val="23"/>
        </w:rPr>
        <w:t xml:space="preserve">financial </w:t>
      </w:r>
      <w:r w:rsidR="00F00E3D" w:rsidRPr="00E91887">
        <w:rPr>
          <w:rFonts w:asciiTheme="majorHAnsi" w:hAnsiTheme="majorHAnsi" w:cstheme="majorHAnsi"/>
          <w:sz w:val="23"/>
          <w:szCs w:val="23"/>
        </w:rPr>
        <w:t xml:space="preserve">quarters of </w:t>
      </w:r>
      <w:r w:rsidR="00904C7F">
        <w:rPr>
          <w:rFonts w:asciiTheme="majorHAnsi" w:hAnsiTheme="majorHAnsi" w:cstheme="majorHAnsi"/>
          <w:sz w:val="23"/>
          <w:szCs w:val="23"/>
        </w:rPr>
        <w:t xml:space="preserve">2019 and </w:t>
      </w:r>
      <w:r w:rsidR="00F00E3D" w:rsidRPr="00E91887">
        <w:rPr>
          <w:rFonts w:asciiTheme="majorHAnsi" w:hAnsiTheme="majorHAnsi" w:cstheme="majorHAnsi"/>
          <w:sz w:val="23"/>
          <w:szCs w:val="23"/>
        </w:rPr>
        <w:t xml:space="preserve">2020 show a remarkable development </w:t>
      </w:r>
      <w:r w:rsidR="00904C7F">
        <w:rPr>
          <w:rFonts w:asciiTheme="majorHAnsi" w:hAnsiTheme="majorHAnsi" w:cstheme="majorHAnsi"/>
          <w:sz w:val="23"/>
          <w:szCs w:val="23"/>
        </w:rPr>
        <w:t xml:space="preserve">in </w:t>
      </w:r>
      <w:r w:rsidR="00F00E3D" w:rsidRPr="00E91887">
        <w:rPr>
          <w:rFonts w:asciiTheme="majorHAnsi" w:hAnsiTheme="majorHAnsi" w:cstheme="majorHAnsi"/>
          <w:sz w:val="23"/>
          <w:szCs w:val="23"/>
        </w:rPr>
        <w:t>Corio</w:t>
      </w:r>
      <w:r w:rsidR="00E851A0">
        <w:rPr>
          <w:rFonts w:asciiTheme="majorHAnsi" w:hAnsiTheme="majorHAnsi" w:cstheme="majorHAnsi"/>
          <w:sz w:val="23"/>
          <w:szCs w:val="23"/>
        </w:rPr>
        <w:t>–</w:t>
      </w:r>
      <w:r w:rsidR="00F00E3D" w:rsidRPr="00E91887">
        <w:rPr>
          <w:rFonts w:asciiTheme="majorHAnsi" w:hAnsiTheme="majorHAnsi" w:cstheme="majorHAnsi"/>
          <w:sz w:val="23"/>
          <w:szCs w:val="23"/>
        </w:rPr>
        <w:t>Norlane and Newcomb</w:t>
      </w:r>
      <w:r w:rsidR="00E851A0">
        <w:rPr>
          <w:rFonts w:asciiTheme="majorHAnsi" w:hAnsiTheme="majorHAnsi" w:cstheme="majorHAnsi"/>
          <w:sz w:val="23"/>
          <w:szCs w:val="23"/>
        </w:rPr>
        <w:t>–</w:t>
      </w:r>
      <w:r w:rsidR="00F00E3D" w:rsidRPr="00E91887">
        <w:rPr>
          <w:rFonts w:asciiTheme="majorHAnsi" w:hAnsiTheme="majorHAnsi" w:cstheme="majorHAnsi"/>
          <w:sz w:val="23"/>
          <w:szCs w:val="23"/>
        </w:rPr>
        <w:t xml:space="preserve">Moolap (which </w:t>
      </w:r>
      <w:r w:rsidR="00E851A0">
        <w:rPr>
          <w:rFonts w:asciiTheme="majorHAnsi" w:hAnsiTheme="majorHAnsi" w:cstheme="majorHAnsi"/>
          <w:sz w:val="23"/>
          <w:szCs w:val="23"/>
        </w:rPr>
        <w:t>includes</w:t>
      </w:r>
      <w:r w:rsidR="00F00E3D" w:rsidRPr="00E91887">
        <w:rPr>
          <w:rFonts w:asciiTheme="majorHAnsi" w:hAnsiTheme="majorHAnsi" w:cstheme="majorHAnsi"/>
          <w:sz w:val="23"/>
          <w:szCs w:val="23"/>
        </w:rPr>
        <w:t xml:space="preserve"> Whittington)</w:t>
      </w:r>
      <w:r w:rsidR="00E851A0">
        <w:rPr>
          <w:rFonts w:asciiTheme="majorHAnsi" w:hAnsiTheme="majorHAnsi" w:cstheme="majorHAnsi"/>
          <w:sz w:val="23"/>
          <w:szCs w:val="23"/>
        </w:rPr>
        <w:t xml:space="preserve"> –</w:t>
      </w:r>
      <w:r w:rsidR="00F00E3D" w:rsidRPr="00E91887">
        <w:rPr>
          <w:rFonts w:asciiTheme="majorHAnsi" w:hAnsiTheme="majorHAnsi" w:cstheme="majorHAnsi"/>
          <w:sz w:val="23"/>
          <w:szCs w:val="23"/>
        </w:rPr>
        <w:t xml:space="preserve"> namely, </w:t>
      </w:r>
      <w:r w:rsidR="00F00E3D" w:rsidRPr="00E851A0">
        <w:rPr>
          <w:rFonts w:asciiTheme="majorHAnsi" w:hAnsiTheme="majorHAnsi" w:cstheme="majorHAnsi"/>
          <w:iCs/>
          <w:sz w:val="23"/>
          <w:szCs w:val="23"/>
        </w:rPr>
        <w:t>significant falls in unemployment.</w:t>
      </w:r>
      <w:r w:rsidR="00F00E3D" w:rsidRPr="00E91887">
        <w:rPr>
          <w:rFonts w:asciiTheme="majorHAnsi" w:hAnsiTheme="majorHAnsi" w:cstheme="majorHAnsi"/>
          <w:b/>
          <w:i/>
          <w:sz w:val="23"/>
          <w:szCs w:val="23"/>
        </w:rPr>
        <w:t xml:space="preserve"> </w:t>
      </w:r>
      <w:r w:rsidR="00E851A0">
        <w:rPr>
          <w:rFonts w:asciiTheme="majorHAnsi" w:hAnsiTheme="majorHAnsi" w:cstheme="majorHAnsi"/>
          <w:sz w:val="23"/>
          <w:szCs w:val="23"/>
        </w:rPr>
        <w:t>F</w:t>
      </w:r>
      <w:r w:rsidR="00F00E3D" w:rsidRPr="00E91887">
        <w:rPr>
          <w:rFonts w:asciiTheme="majorHAnsi" w:hAnsiTheme="majorHAnsi" w:cstheme="majorHAnsi"/>
          <w:sz w:val="23"/>
          <w:szCs w:val="23"/>
        </w:rPr>
        <w:t>rom March</w:t>
      </w:r>
      <w:r w:rsidR="00001EFD">
        <w:rPr>
          <w:rFonts w:asciiTheme="majorHAnsi" w:hAnsiTheme="majorHAnsi" w:cstheme="majorHAnsi"/>
          <w:sz w:val="23"/>
          <w:szCs w:val="23"/>
        </w:rPr>
        <w:t xml:space="preserve"> 2020</w:t>
      </w:r>
      <w:r w:rsidR="00F00E3D" w:rsidRPr="00E91887">
        <w:rPr>
          <w:rFonts w:asciiTheme="majorHAnsi" w:hAnsiTheme="majorHAnsi" w:cstheme="majorHAnsi"/>
          <w:sz w:val="23"/>
          <w:szCs w:val="23"/>
        </w:rPr>
        <w:t xml:space="preserve"> to the June quarter</w:t>
      </w:r>
      <w:r w:rsidR="00E851A0">
        <w:rPr>
          <w:rFonts w:asciiTheme="majorHAnsi" w:hAnsiTheme="majorHAnsi" w:cstheme="majorHAnsi"/>
          <w:sz w:val="23"/>
          <w:szCs w:val="23"/>
        </w:rPr>
        <w:t>,</w:t>
      </w:r>
      <w:r w:rsidR="00F00E3D" w:rsidRPr="00E91887">
        <w:rPr>
          <w:rFonts w:asciiTheme="majorHAnsi" w:hAnsiTheme="majorHAnsi" w:cstheme="majorHAnsi"/>
          <w:sz w:val="23"/>
          <w:szCs w:val="23"/>
        </w:rPr>
        <w:t xml:space="preserve"> unemployment rates fell or remained </w:t>
      </w:r>
      <w:r w:rsidR="00E851A0">
        <w:rPr>
          <w:rFonts w:asciiTheme="majorHAnsi" w:hAnsiTheme="majorHAnsi" w:cstheme="majorHAnsi"/>
          <w:sz w:val="23"/>
          <w:szCs w:val="23"/>
        </w:rPr>
        <w:t>steady</w:t>
      </w:r>
      <w:r w:rsidR="00F00E3D" w:rsidRPr="00E91887">
        <w:rPr>
          <w:rFonts w:asciiTheme="majorHAnsi" w:hAnsiTheme="majorHAnsi" w:cstheme="majorHAnsi"/>
          <w:sz w:val="23"/>
          <w:szCs w:val="23"/>
        </w:rPr>
        <w:t xml:space="preserve"> </w:t>
      </w:r>
      <w:r w:rsidR="00F00E3D" w:rsidRPr="007610BA">
        <w:rPr>
          <w:rFonts w:asciiTheme="majorHAnsi" w:hAnsiTheme="majorHAnsi" w:cstheme="majorHAnsi"/>
          <w:sz w:val="23"/>
          <w:szCs w:val="23"/>
        </w:rPr>
        <w:t>in 11</w:t>
      </w:r>
      <w:r w:rsidR="004D177C" w:rsidRPr="007610BA">
        <w:rPr>
          <w:rFonts w:asciiTheme="majorHAnsi" w:hAnsiTheme="majorHAnsi" w:cstheme="majorHAnsi"/>
          <w:sz w:val="23"/>
          <w:szCs w:val="23"/>
        </w:rPr>
        <w:t xml:space="preserve"> o</w:t>
      </w:r>
      <w:r w:rsidR="00CB78B3" w:rsidRPr="007610BA">
        <w:rPr>
          <w:rFonts w:asciiTheme="majorHAnsi" w:hAnsiTheme="majorHAnsi" w:cstheme="majorHAnsi"/>
          <w:sz w:val="23"/>
          <w:szCs w:val="23"/>
        </w:rPr>
        <w:t>f</w:t>
      </w:r>
      <w:r w:rsidR="004D177C" w:rsidRPr="007610BA">
        <w:rPr>
          <w:rFonts w:asciiTheme="majorHAnsi" w:hAnsiTheme="majorHAnsi" w:cstheme="majorHAnsi"/>
          <w:sz w:val="23"/>
          <w:szCs w:val="23"/>
        </w:rPr>
        <w:t xml:space="preserve"> </w:t>
      </w:r>
      <w:r w:rsidR="00F00E3D" w:rsidRPr="007610BA">
        <w:rPr>
          <w:rFonts w:asciiTheme="majorHAnsi" w:hAnsiTheme="majorHAnsi" w:cstheme="majorHAnsi"/>
          <w:sz w:val="23"/>
          <w:szCs w:val="23"/>
        </w:rPr>
        <w:t>15 small</w:t>
      </w:r>
      <w:r w:rsidR="00F00E3D" w:rsidRPr="00E91887">
        <w:rPr>
          <w:rFonts w:asciiTheme="majorHAnsi" w:hAnsiTheme="majorHAnsi" w:cstheme="majorHAnsi"/>
          <w:sz w:val="23"/>
          <w:szCs w:val="23"/>
        </w:rPr>
        <w:t xml:space="preserve"> areas in Geelong, with the largest falls in </w:t>
      </w:r>
      <w:r w:rsidR="00E851A0" w:rsidRPr="00E91887">
        <w:rPr>
          <w:rFonts w:asciiTheme="majorHAnsi" w:hAnsiTheme="majorHAnsi" w:cstheme="majorHAnsi"/>
          <w:sz w:val="23"/>
          <w:szCs w:val="23"/>
        </w:rPr>
        <w:t>Corio</w:t>
      </w:r>
      <w:r w:rsidR="00E851A0">
        <w:rPr>
          <w:rFonts w:asciiTheme="majorHAnsi" w:hAnsiTheme="majorHAnsi" w:cstheme="majorHAnsi"/>
          <w:sz w:val="23"/>
          <w:szCs w:val="23"/>
        </w:rPr>
        <w:t>–</w:t>
      </w:r>
      <w:r w:rsidR="00E851A0" w:rsidRPr="00E91887">
        <w:rPr>
          <w:rFonts w:asciiTheme="majorHAnsi" w:hAnsiTheme="majorHAnsi" w:cstheme="majorHAnsi"/>
          <w:sz w:val="23"/>
          <w:szCs w:val="23"/>
        </w:rPr>
        <w:t xml:space="preserve">Norlane </w:t>
      </w:r>
      <w:r w:rsidR="00F00E3D" w:rsidRPr="00E91887">
        <w:rPr>
          <w:rFonts w:asciiTheme="majorHAnsi" w:hAnsiTheme="majorHAnsi" w:cstheme="majorHAnsi"/>
          <w:sz w:val="23"/>
          <w:szCs w:val="23"/>
        </w:rPr>
        <w:t>(-1.2</w:t>
      </w:r>
      <w:r w:rsidR="00E851A0">
        <w:rPr>
          <w:rFonts w:asciiTheme="majorHAnsi" w:hAnsiTheme="majorHAnsi" w:cstheme="majorHAnsi"/>
          <w:sz w:val="23"/>
          <w:szCs w:val="23"/>
        </w:rPr>
        <w:t xml:space="preserve"> </w:t>
      </w:r>
      <w:r w:rsidR="00E851A0" w:rsidRPr="00001EFD">
        <w:rPr>
          <w:rFonts w:asciiTheme="majorHAnsi" w:hAnsiTheme="majorHAnsi" w:cstheme="majorHAnsi"/>
          <w:sz w:val="23"/>
          <w:szCs w:val="23"/>
        </w:rPr>
        <w:t>percent</w:t>
      </w:r>
      <w:r w:rsidR="00F00E3D" w:rsidRPr="00001EFD">
        <w:rPr>
          <w:rFonts w:asciiTheme="majorHAnsi" w:hAnsiTheme="majorHAnsi" w:cstheme="majorHAnsi"/>
          <w:sz w:val="23"/>
          <w:szCs w:val="23"/>
        </w:rPr>
        <w:t xml:space="preserve">) and </w:t>
      </w:r>
      <w:r w:rsidR="00E851A0" w:rsidRPr="00001EFD">
        <w:rPr>
          <w:rFonts w:asciiTheme="majorHAnsi" w:hAnsiTheme="majorHAnsi" w:cstheme="majorHAnsi"/>
          <w:sz w:val="23"/>
          <w:szCs w:val="23"/>
        </w:rPr>
        <w:t xml:space="preserve">Newcomb–Moolap </w:t>
      </w:r>
      <w:r w:rsidR="00F00E3D" w:rsidRPr="00001EFD">
        <w:rPr>
          <w:rFonts w:asciiTheme="majorHAnsi" w:hAnsiTheme="majorHAnsi" w:cstheme="majorHAnsi"/>
          <w:sz w:val="23"/>
          <w:szCs w:val="23"/>
        </w:rPr>
        <w:t>(-0.7</w:t>
      </w:r>
      <w:r w:rsidR="00E851A0" w:rsidRPr="00001EFD">
        <w:rPr>
          <w:rFonts w:asciiTheme="majorHAnsi" w:hAnsiTheme="majorHAnsi" w:cstheme="majorHAnsi"/>
          <w:sz w:val="23"/>
          <w:szCs w:val="23"/>
        </w:rPr>
        <w:t xml:space="preserve"> percent</w:t>
      </w:r>
      <w:r w:rsidR="00F00E3D" w:rsidRPr="00001EFD">
        <w:rPr>
          <w:rFonts w:asciiTheme="majorHAnsi" w:hAnsiTheme="majorHAnsi" w:cstheme="majorHAnsi"/>
          <w:sz w:val="23"/>
          <w:szCs w:val="23"/>
        </w:rPr>
        <w:t xml:space="preserve">). </w:t>
      </w:r>
      <w:r w:rsidR="004D177C" w:rsidRPr="00001EFD">
        <w:rPr>
          <w:rFonts w:asciiTheme="majorHAnsi" w:hAnsiTheme="majorHAnsi" w:cstheme="majorHAnsi"/>
          <w:sz w:val="23"/>
          <w:szCs w:val="23"/>
        </w:rPr>
        <w:t>C</w:t>
      </w:r>
      <w:r w:rsidR="00F00E3D" w:rsidRPr="00001EFD">
        <w:rPr>
          <w:rFonts w:asciiTheme="majorHAnsi" w:hAnsiTheme="majorHAnsi" w:cstheme="majorHAnsi"/>
          <w:sz w:val="23"/>
          <w:szCs w:val="23"/>
        </w:rPr>
        <w:t>ompared to the same quarter in 2019, Corio</w:t>
      </w:r>
      <w:r w:rsidR="004D177C" w:rsidRPr="00001EFD">
        <w:rPr>
          <w:rFonts w:asciiTheme="majorHAnsi" w:hAnsiTheme="majorHAnsi" w:cstheme="majorHAnsi"/>
          <w:sz w:val="23"/>
          <w:szCs w:val="23"/>
        </w:rPr>
        <w:t>–</w:t>
      </w:r>
      <w:r w:rsidR="00F00E3D" w:rsidRPr="00001EFD">
        <w:rPr>
          <w:rFonts w:asciiTheme="majorHAnsi" w:hAnsiTheme="majorHAnsi" w:cstheme="majorHAnsi"/>
          <w:sz w:val="23"/>
          <w:szCs w:val="23"/>
        </w:rPr>
        <w:t xml:space="preserve">Norlane’s unemployment rate had decreased by </w:t>
      </w:r>
      <w:r w:rsidR="004D177C" w:rsidRPr="00001EFD">
        <w:rPr>
          <w:rFonts w:asciiTheme="majorHAnsi" w:hAnsiTheme="majorHAnsi" w:cstheme="majorHAnsi"/>
          <w:sz w:val="23"/>
          <w:szCs w:val="23"/>
        </w:rPr>
        <w:t xml:space="preserve">an extraordinary </w:t>
      </w:r>
      <w:r w:rsidR="00F00E3D" w:rsidRPr="00001EFD">
        <w:rPr>
          <w:rFonts w:asciiTheme="majorHAnsi" w:hAnsiTheme="majorHAnsi" w:cstheme="majorHAnsi"/>
          <w:sz w:val="23"/>
          <w:szCs w:val="23"/>
        </w:rPr>
        <w:t>9.1</w:t>
      </w:r>
      <w:r w:rsidR="004D177C" w:rsidRPr="00001EFD">
        <w:rPr>
          <w:rFonts w:asciiTheme="majorHAnsi" w:hAnsiTheme="majorHAnsi" w:cstheme="majorHAnsi"/>
          <w:sz w:val="23"/>
          <w:szCs w:val="23"/>
        </w:rPr>
        <w:t xml:space="preserve"> per cent.</w:t>
      </w:r>
      <w:r w:rsidR="00F00E3D" w:rsidRPr="00001EFD">
        <w:rPr>
          <w:rFonts w:asciiTheme="majorHAnsi" w:hAnsiTheme="majorHAnsi" w:cstheme="majorHAnsi"/>
          <w:sz w:val="23"/>
          <w:szCs w:val="23"/>
        </w:rPr>
        <w:t xml:space="preserve"> </w:t>
      </w:r>
      <w:r w:rsidR="004D177C" w:rsidRPr="00001EFD">
        <w:rPr>
          <w:rFonts w:asciiTheme="majorHAnsi" w:hAnsiTheme="majorHAnsi" w:cstheme="majorHAnsi"/>
          <w:sz w:val="23"/>
          <w:szCs w:val="23"/>
        </w:rPr>
        <w:t xml:space="preserve">Table </w:t>
      </w:r>
      <w:r w:rsidR="00065E37">
        <w:rPr>
          <w:rFonts w:asciiTheme="majorHAnsi" w:hAnsiTheme="majorHAnsi" w:cstheme="majorHAnsi"/>
          <w:sz w:val="23"/>
          <w:szCs w:val="23"/>
        </w:rPr>
        <w:t>7.5</w:t>
      </w:r>
      <w:r w:rsidR="004D177C" w:rsidRPr="00001EFD">
        <w:rPr>
          <w:rFonts w:asciiTheme="majorHAnsi" w:hAnsiTheme="majorHAnsi" w:cstheme="majorHAnsi"/>
          <w:sz w:val="23"/>
          <w:szCs w:val="23"/>
        </w:rPr>
        <w:t xml:space="preserve"> (below)</w:t>
      </w:r>
      <w:r w:rsidR="00F00E3D" w:rsidRPr="00001EFD">
        <w:rPr>
          <w:rFonts w:asciiTheme="majorHAnsi" w:hAnsiTheme="majorHAnsi" w:cstheme="majorHAnsi"/>
          <w:sz w:val="23"/>
          <w:szCs w:val="23"/>
        </w:rPr>
        <w:t xml:space="preserve"> </w:t>
      </w:r>
      <w:r w:rsidR="00001EFD">
        <w:rPr>
          <w:rFonts w:asciiTheme="majorHAnsi" w:hAnsiTheme="majorHAnsi" w:cstheme="majorHAnsi"/>
          <w:sz w:val="23"/>
          <w:szCs w:val="23"/>
        </w:rPr>
        <w:t>contrasts these</w:t>
      </w:r>
      <w:r w:rsidR="00F00E3D" w:rsidRPr="00001EFD">
        <w:rPr>
          <w:rFonts w:asciiTheme="majorHAnsi" w:hAnsiTheme="majorHAnsi" w:cstheme="majorHAnsi"/>
          <w:sz w:val="23"/>
          <w:szCs w:val="23"/>
        </w:rPr>
        <w:t xml:space="preserve"> areas</w:t>
      </w:r>
      <w:r w:rsidR="00F00E3D" w:rsidRPr="00E91887">
        <w:rPr>
          <w:rFonts w:asciiTheme="majorHAnsi" w:hAnsiTheme="majorHAnsi" w:cstheme="majorHAnsi"/>
          <w:sz w:val="23"/>
          <w:szCs w:val="23"/>
        </w:rPr>
        <w:t xml:space="preserve"> </w:t>
      </w:r>
      <w:r w:rsidR="00001EFD">
        <w:rPr>
          <w:rFonts w:asciiTheme="majorHAnsi" w:hAnsiTheme="majorHAnsi" w:cstheme="majorHAnsi"/>
          <w:sz w:val="23"/>
          <w:szCs w:val="23"/>
        </w:rPr>
        <w:t>with</w:t>
      </w:r>
      <w:r w:rsidR="00F00E3D" w:rsidRPr="00E91887">
        <w:rPr>
          <w:rFonts w:asciiTheme="majorHAnsi" w:hAnsiTheme="majorHAnsi" w:cstheme="majorHAnsi"/>
          <w:sz w:val="23"/>
          <w:szCs w:val="23"/>
        </w:rPr>
        <w:t xml:space="preserve"> the more affluent </w:t>
      </w:r>
      <w:r w:rsidR="00001EFD">
        <w:rPr>
          <w:rFonts w:asciiTheme="majorHAnsi" w:hAnsiTheme="majorHAnsi" w:cstheme="majorHAnsi"/>
          <w:sz w:val="23"/>
          <w:szCs w:val="23"/>
        </w:rPr>
        <w:t xml:space="preserve">suburbs </w:t>
      </w:r>
      <w:r w:rsidR="00F00E3D" w:rsidRPr="00E91887">
        <w:rPr>
          <w:rFonts w:asciiTheme="majorHAnsi" w:hAnsiTheme="majorHAnsi" w:cstheme="majorHAnsi"/>
          <w:sz w:val="23"/>
          <w:szCs w:val="23"/>
        </w:rPr>
        <w:t>of Highton and Newtown.</w:t>
      </w:r>
    </w:p>
    <w:p w14:paraId="7DB9199E" w14:textId="7128EEF3" w:rsidR="00F00E3D" w:rsidRPr="004D177C" w:rsidRDefault="00F00E3D" w:rsidP="00904C7F">
      <w:pPr>
        <w:spacing w:after="0" w:line="276" w:lineRule="auto"/>
        <w:rPr>
          <w:rFonts w:asciiTheme="majorHAnsi" w:hAnsiTheme="majorHAnsi" w:cstheme="majorHAnsi"/>
          <w:sz w:val="12"/>
          <w:szCs w:val="12"/>
        </w:rPr>
      </w:pPr>
    </w:p>
    <w:tbl>
      <w:tblPr>
        <w:tblStyle w:val="TableGrid"/>
        <w:tblW w:w="0" w:type="auto"/>
        <w:tblLook w:val="04A0" w:firstRow="1" w:lastRow="0" w:firstColumn="1" w:lastColumn="0" w:noHBand="0" w:noVBand="1"/>
      </w:tblPr>
      <w:tblGrid>
        <w:gridCol w:w="1880"/>
        <w:gridCol w:w="1906"/>
        <w:gridCol w:w="1862"/>
        <w:gridCol w:w="1996"/>
        <w:gridCol w:w="1715"/>
      </w:tblGrid>
      <w:tr w:rsidR="004D177C" w:rsidRPr="004D177C" w14:paraId="2B642358" w14:textId="77777777" w:rsidTr="00626827">
        <w:trPr>
          <w:trHeight w:val="478"/>
        </w:trPr>
        <w:tc>
          <w:tcPr>
            <w:tcW w:w="1880" w:type="dxa"/>
            <w:shd w:val="clear" w:color="auto" w:fill="D0CECE" w:themeFill="background2" w:themeFillShade="E6"/>
            <w:vAlign w:val="center"/>
          </w:tcPr>
          <w:p w14:paraId="4118CD9E" w14:textId="77777777" w:rsidR="00F00E3D" w:rsidRPr="004D177C" w:rsidRDefault="00F00E3D" w:rsidP="00626827">
            <w:pPr>
              <w:spacing w:after="0" w:line="276" w:lineRule="auto"/>
              <w:rPr>
                <w:rFonts w:cstheme="minorHAnsi"/>
                <w:b/>
                <w:bCs/>
                <w:sz w:val="21"/>
                <w:szCs w:val="21"/>
              </w:rPr>
            </w:pPr>
            <w:r w:rsidRPr="004D177C">
              <w:rPr>
                <w:rFonts w:cstheme="minorHAnsi"/>
                <w:b/>
                <w:bCs/>
                <w:sz w:val="21"/>
                <w:szCs w:val="21"/>
              </w:rPr>
              <w:t>Areas</w:t>
            </w:r>
          </w:p>
        </w:tc>
        <w:tc>
          <w:tcPr>
            <w:tcW w:w="1906" w:type="dxa"/>
            <w:shd w:val="clear" w:color="auto" w:fill="D0CECE" w:themeFill="background2" w:themeFillShade="E6"/>
            <w:vAlign w:val="center"/>
          </w:tcPr>
          <w:p w14:paraId="6F94ECC1" w14:textId="77777777" w:rsidR="00F00E3D" w:rsidRPr="004D177C" w:rsidRDefault="00F00E3D" w:rsidP="00626827">
            <w:pPr>
              <w:spacing w:after="0" w:line="276" w:lineRule="auto"/>
              <w:rPr>
                <w:rFonts w:cstheme="minorHAnsi"/>
                <w:b/>
                <w:bCs/>
                <w:sz w:val="21"/>
                <w:szCs w:val="21"/>
              </w:rPr>
            </w:pPr>
            <w:r w:rsidRPr="004D177C">
              <w:rPr>
                <w:rFonts w:cstheme="minorHAnsi"/>
                <w:b/>
                <w:bCs/>
                <w:sz w:val="21"/>
                <w:szCs w:val="21"/>
              </w:rPr>
              <w:t>March 2020</w:t>
            </w:r>
          </w:p>
        </w:tc>
        <w:tc>
          <w:tcPr>
            <w:tcW w:w="1862" w:type="dxa"/>
            <w:shd w:val="clear" w:color="auto" w:fill="D0CECE" w:themeFill="background2" w:themeFillShade="E6"/>
            <w:vAlign w:val="center"/>
          </w:tcPr>
          <w:p w14:paraId="3F4B9775" w14:textId="77777777" w:rsidR="00F00E3D" w:rsidRPr="004D177C" w:rsidRDefault="00F00E3D" w:rsidP="00626827">
            <w:pPr>
              <w:spacing w:after="0" w:line="276" w:lineRule="auto"/>
              <w:rPr>
                <w:rFonts w:cstheme="minorHAnsi"/>
                <w:b/>
                <w:bCs/>
                <w:sz w:val="21"/>
                <w:szCs w:val="21"/>
              </w:rPr>
            </w:pPr>
            <w:r w:rsidRPr="004D177C">
              <w:rPr>
                <w:rFonts w:cstheme="minorHAnsi"/>
                <w:b/>
                <w:bCs/>
                <w:sz w:val="21"/>
                <w:szCs w:val="21"/>
              </w:rPr>
              <w:t>June 2020</w:t>
            </w:r>
          </w:p>
        </w:tc>
        <w:tc>
          <w:tcPr>
            <w:tcW w:w="1996" w:type="dxa"/>
            <w:shd w:val="clear" w:color="auto" w:fill="D0CECE" w:themeFill="background2" w:themeFillShade="E6"/>
            <w:vAlign w:val="center"/>
          </w:tcPr>
          <w:p w14:paraId="51FE3A58" w14:textId="77777777" w:rsidR="00F00E3D" w:rsidRPr="004D177C" w:rsidRDefault="00F00E3D" w:rsidP="00626827">
            <w:pPr>
              <w:spacing w:after="0" w:line="276" w:lineRule="auto"/>
              <w:rPr>
                <w:rFonts w:cstheme="minorHAnsi"/>
                <w:b/>
                <w:bCs/>
                <w:sz w:val="21"/>
                <w:szCs w:val="21"/>
              </w:rPr>
            </w:pPr>
            <w:r w:rsidRPr="004D177C">
              <w:rPr>
                <w:rFonts w:cstheme="minorHAnsi"/>
                <w:b/>
                <w:bCs/>
                <w:sz w:val="21"/>
                <w:szCs w:val="21"/>
              </w:rPr>
              <w:t>Quarterly Change</w:t>
            </w:r>
          </w:p>
        </w:tc>
        <w:tc>
          <w:tcPr>
            <w:tcW w:w="1715" w:type="dxa"/>
            <w:shd w:val="clear" w:color="auto" w:fill="D0CECE" w:themeFill="background2" w:themeFillShade="E6"/>
            <w:vAlign w:val="center"/>
          </w:tcPr>
          <w:p w14:paraId="58A1BE14" w14:textId="77777777" w:rsidR="004D177C" w:rsidRDefault="00F00E3D" w:rsidP="00626827">
            <w:pPr>
              <w:spacing w:after="0" w:line="276" w:lineRule="auto"/>
              <w:rPr>
                <w:rFonts w:cstheme="minorHAnsi"/>
                <w:b/>
                <w:bCs/>
                <w:sz w:val="21"/>
                <w:szCs w:val="21"/>
              </w:rPr>
            </w:pPr>
            <w:r w:rsidRPr="004D177C">
              <w:rPr>
                <w:rFonts w:cstheme="minorHAnsi"/>
                <w:b/>
                <w:bCs/>
                <w:sz w:val="21"/>
                <w:szCs w:val="21"/>
              </w:rPr>
              <w:t>June 2019</w:t>
            </w:r>
            <w:r w:rsidR="004D177C">
              <w:rPr>
                <w:rFonts w:cstheme="minorHAnsi"/>
                <w:b/>
                <w:bCs/>
                <w:sz w:val="21"/>
                <w:szCs w:val="21"/>
              </w:rPr>
              <w:t>–</w:t>
            </w:r>
          </w:p>
          <w:p w14:paraId="21112FD1" w14:textId="482543AA" w:rsidR="00F00E3D" w:rsidRPr="004D177C" w:rsidRDefault="00F00E3D" w:rsidP="00626827">
            <w:pPr>
              <w:spacing w:after="0" w:line="276" w:lineRule="auto"/>
              <w:rPr>
                <w:rFonts w:cstheme="minorHAnsi"/>
                <w:b/>
                <w:bCs/>
                <w:sz w:val="21"/>
                <w:szCs w:val="21"/>
              </w:rPr>
            </w:pPr>
            <w:r w:rsidRPr="004D177C">
              <w:rPr>
                <w:rFonts w:cstheme="minorHAnsi"/>
                <w:b/>
                <w:bCs/>
                <w:sz w:val="21"/>
                <w:szCs w:val="21"/>
              </w:rPr>
              <w:t>June 2020</w:t>
            </w:r>
          </w:p>
        </w:tc>
      </w:tr>
      <w:tr w:rsidR="004D177C" w:rsidRPr="004D177C" w14:paraId="2FC5B0DC" w14:textId="77777777" w:rsidTr="00626827">
        <w:trPr>
          <w:trHeight w:val="478"/>
        </w:trPr>
        <w:tc>
          <w:tcPr>
            <w:tcW w:w="1880" w:type="dxa"/>
            <w:vAlign w:val="center"/>
          </w:tcPr>
          <w:p w14:paraId="3BACA635" w14:textId="73C8FC7B"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Corio</w:t>
            </w:r>
            <w:r w:rsidR="004D177C">
              <w:rPr>
                <w:rFonts w:asciiTheme="majorHAnsi" w:hAnsiTheme="majorHAnsi" w:cstheme="majorHAnsi"/>
                <w:sz w:val="21"/>
                <w:szCs w:val="21"/>
              </w:rPr>
              <w:t>–</w:t>
            </w:r>
            <w:r w:rsidRPr="004D177C">
              <w:rPr>
                <w:rFonts w:asciiTheme="majorHAnsi" w:hAnsiTheme="majorHAnsi" w:cstheme="majorHAnsi"/>
                <w:sz w:val="21"/>
                <w:szCs w:val="21"/>
              </w:rPr>
              <w:t>Norlane</w:t>
            </w:r>
          </w:p>
        </w:tc>
        <w:tc>
          <w:tcPr>
            <w:tcW w:w="1906" w:type="dxa"/>
            <w:vAlign w:val="center"/>
          </w:tcPr>
          <w:p w14:paraId="697124C8"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13.0</w:t>
            </w:r>
          </w:p>
        </w:tc>
        <w:tc>
          <w:tcPr>
            <w:tcW w:w="1862" w:type="dxa"/>
            <w:vAlign w:val="center"/>
          </w:tcPr>
          <w:p w14:paraId="349CEB37"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11.8</w:t>
            </w:r>
          </w:p>
        </w:tc>
        <w:tc>
          <w:tcPr>
            <w:tcW w:w="1996" w:type="dxa"/>
            <w:vAlign w:val="center"/>
          </w:tcPr>
          <w:p w14:paraId="02F87FAA"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-1.2</w:t>
            </w:r>
          </w:p>
        </w:tc>
        <w:tc>
          <w:tcPr>
            <w:tcW w:w="1715" w:type="dxa"/>
            <w:vAlign w:val="center"/>
          </w:tcPr>
          <w:p w14:paraId="124658B4"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-9.1</w:t>
            </w:r>
          </w:p>
        </w:tc>
      </w:tr>
      <w:tr w:rsidR="004D177C" w:rsidRPr="004D177C" w14:paraId="3B04D6EB" w14:textId="77777777" w:rsidTr="00626827">
        <w:trPr>
          <w:trHeight w:val="478"/>
        </w:trPr>
        <w:tc>
          <w:tcPr>
            <w:tcW w:w="1880" w:type="dxa"/>
            <w:vAlign w:val="center"/>
          </w:tcPr>
          <w:p w14:paraId="4E1EACA1" w14:textId="4318202F"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Newcomb</w:t>
            </w:r>
            <w:r w:rsidR="004D177C">
              <w:rPr>
                <w:rFonts w:asciiTheme="majorHAnsi" w:hAnsiTheme="majorHAnsi" w:cstheme="majorHAnsi"/>
                <w:sz w:val="21"/>
                <w:szCs w:val="21"/>
              </w:rPr>
              <w:t>–</w:t>
            </w:r>
            <w:r w:rsidRPr="004D177C">
              <w:rPr>
                <w:rFonts w:asciiTheme="majorHAnsi" w:hAnsiTheme="majorHAnsi" w:cstheme="majorHAnsi"/>
                <w:sz w:val="21"/>
                <w:szCs w:val="21"/>
              </w:rPr>
              <w:t>Moolap</w:t>
            </w:r>
          </w:p>
        </w:tc>
        <w:tc>
          <w:tcPr>
            <w:tcW w:w="1906" w:type="dxa"/>
            <w:vAlign w:val="center"/>
          </w:tcPr>
          <w:p w14:paraId="09D18BFC"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7.6</w:t>
            </w:r>
          </w:p>
        </w:tc>
        <w:tc>
          <w:tcPr>
            <w:tcW w:w="1862" w:type="dxa"/>
            <w:vAlign w:val="center"/>
          </w:tcPr>
          <w:p w14:paraId="46F400D0"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6.9</w:t>
            </w:r>
          </w:p>
        </w:tc>
        <w:tc>
          <w:tcPr>
            <w:tcW w:w="1996" w:type="dxa"/>
            <w:vAlign w:val="center"/>
          </w:tcPr>
          <w:p w14:paraId="19D0033B"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-0.7</w:t>
            </w:r>
          </w:p>
        </w:tc>
        <w:tc>
          <w:tcPr>
            <w:tcW w:w="1715" w:type="dxa"/>
            <w:vAlign w:val="center"/>
          </w:tcPr>
          <w:p w14:paraId="5C18B5D7"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-4.7</w:t>
            </w:r>
          </w:p>
        </w:tc>
      </w:tr>
      <w:tr w:rsidR="004D177C" w:rsidRPr="004D177C" w14:paraId="45B60A11" w14:textId="77777777" w:rsidTr="00626827">
        <w:trPr>
          <w:trHeight w:val="478"/>
        </w:trPr>
        <w:tc>
          <w:tcPr>
            <w:tcW w:w="1880" w:type="dxa"/>
            <w:vAlign w:val="center"/>
          </w:tcPr>
          <w:p w14:paraId="43B5B8BB"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Highton</w:t>
            </w:r>
          </w:p>
        </w:tc>
        <w:tc>
          <w:tcPr>
            <w:tcW w:w="1906" w:type="dxa"/>
            <w:vAlign w:val="center"/>
          </w:tcPr>
          <w:p w14:paraId="2D7CC317"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1.5</w:t>
            </w:r>
          </w:p>
        </w:tc>
        <w:tc>
          <w:tcPr>
            <w:tcW w:w="1862" w:type="dxa"/>
            <w:vAlign w:val="center"/>
          </w:tcPr>
          <w:p w14:paraId="26550513"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1.7</w:t>
            </w:r>
          </w:p>
        </w:tc>
        <w:tc>
          <w:tcPr>
            <w:tcW w:w="1996" w:type="dxa"/>
            <w:vAlign w:val="center"/>
          </w:tcPr>
          <w:p w14:paraId="26B07AD4"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+0.2</w:t>
            </w:r>
          </w:p>
        </w:tc>
        <w:tc>
          <w:tcPr>
            <w:tcW w:w="1715" w:type="dxa"/>
            <w:vAlign w:val="center"/>
          </w:tcPr>
          <w:p w14:paraId="5B64D115"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-0.7</w:t>
            </w:r>
          </w:p>
        </w:tc>
      </w:tr>
      <w:tr w:rsidR="004D177C" w:rsidRPr="004D177C" w14:paraId="2E1ADCB8" w14:textId="77777777" w:rsidTr="00626827">
        <w:trPr>
          <w:trHeight w:val="478"/>
        </w:trPr>
        <w:tc>
          <w:tcPr>
            <w:tcW w:w="1880" w:type="dxa"/>
            <w:vAlign w:val="center"/>
          </w:tcPr>
          <w:p w14:paraId="73ACF62E"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Newtown</w:t>
            </w:r>
          </w:p>
        </w:tc>
        <w:tc>
          <w:tcPr>
            <w:tcW w:w="1906" w:type="dxa"/>
            <w:vAlign w:val="center"/>
          </w:tcPr>
          <w:p w14:paraId="4D6D31E7"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1.8</w:t>
            </w:r>
          </w:p>
        </w:tc>
        <w:tc>
          <w:tcPr>
            <w:tcW w:w="1862" w:type="dxa"/>
            <w:vAlign w:val="center"/>
          </w:tcPr>
          <w:p w14:paraId="71205A09"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1.0</w:t>
            </w:r>
          </w:p>
        </w:tc>
        <w:tc>
          <w:tcPr>
            <w:tcW w:w="1996" w:type="dxa"/>
            <w:vAlign w:val="center"/>
          </w:tcPr>
          <w:p w14:paraId="012AF36D"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-0.8</w:t>
            </w:r>
          </w:p>
        </w:tc>
        <w:tc>
          <w:tcPr>
            <w:tcW w:w="1715" w:type="dxa"/>
            <w:vAlign w:val="center"/>
          </w:tcPr>
          <w:p w14:paraId="67C93C4A"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-1.6</w:t>
            </w:r>
          </w:p>
        </w:tc>
      </w:tr>
      <w:tr w:rsidR="004D177C" w:rsidRPr="004D177C" w14:paraId="6E9D44F3" w14:textId="77777777" w:rsidTr="00626827">
        <w:trPr>
          <w:trHeight w:val="478"/>
        </w:trPr>
        <w:tc>
          <w:tcPr>
            <w:tcW w:w="1880" w:type="dxa"/>
            <w:vAlign w:val="center"/>
          </w:tcPr>
          <w:p w14:paraId="57924B1F" w14:textId="67E5D511" w:rsidR="00F00E3D" w:rsidRPr="004D177C" w:rsidRDefault="00001EFD" w:rsidP="00626827">
            <w:pPr>
              <w:spacing w:line="276" w:lineRule="auto"/>
              <w:rPr>
                <w:rFonts w:asciiTheme="majorHAnsi" w:hAnsiTheme="majorHAnsi" w:cstheme="majorHAnsi"/>
                <w:sz w:val="21"/>
                <w:szCs w:val="21"/>
              </w:rPr>
            </w:pPr>
            <w:r>
              <w:rPr>
                <w:rFonts w:asciiTheme="majorHAnsi" w:hAnsiTheme="majorHAnsi" w:cstheme="majorHAnsi"/>
                <w:sz w:val="21"/>
                <w:szCs w:val="21"/>
              </w:rPr>
              <w:t>Greater Geelong</w:t>
            </w:r>
          </w:p>
        </w:tc>
        <w:tc>
          <w:tcPr>
            <w:tcW w:w="1906" w:type="dxa"/>
            <w:vAlign w:val="center"/>
          </w:tcPr>
          <w:p w14:paraId="2258BAA8"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4.2</w:t>
            </w:r>
          </w:p>
        </w:tc>
        <w:tc>
          <w:tcPr>
            <w:tcW w:w="1862" w:type="dxa"/>
            <w:vAlign w:val="center"/>
          </w:tcPr>
          <w:p w14:paraId="40FD8311"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4.0</w:t>
            </w:r>
          </w:p>
        </w:tc>
        <w:tc>
          <w:tcPr>
            <w:tcW w:w="1996" w:type="dxa"/>
            <w:vAlign w:val="center"/>
          </w:tcPr>
          <w:p w14:paraId="5899FA51"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-0.2</w:t>
            </w:r>
          </w:p>
        </w:tc>
        <w:tc>
          <w:tcPr>
            <w:tcW w:w="1715" w:type="dxa"/>
            <w:vAlign w:val="center"/>
          </w:tcPr>
          <w:p w14:paraId="2624D8C8"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-2.6</w:t>
            </w:r>
          </w:p>
        </w:tc>
      </w:tr>
      <w:tr w:rsidR="004D177C" w:rsidRPr="004D177C" w14:paraId="763EC6FF" w14:textId="77777777" w:rsidTr="00626827">
        <w:trPr>
          <w:trHeight w:val="478"/>
        </w:trPr>
        <w:tc>
          <w:tcPr>
            <w:tcW w:w="1880" w:type="dxa"/>
            <w:vAlign w:val="center"/>
          </w:tcPr>
          <w:p w14:paraId="226B0561" w14:textId="064E98FC"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G21</w:t>
            </w:r>
            <w:r w:rsidR="00001EFD">
              <w:rPr>
                <w:rFonts w:asciiTheme="majorHAnsi" w:hAnsiTheme="majorHAnsi" w:cstheme="majorHAnsi"/>
                <w:sz w:val="21"/>
                <w:szCs w:val="21"/>
              </w:rPr>
              <w:t xml:space="preserve"> Region</w:t>
            </w:r>
          </w:p>
        </w:tc>
        <w:tc>
          <w:tcPr>
            <w:tcW w:w="1906" w:type="dxa"/>
            <w:vAlign w:val="center"/>
          </w:tcPr>
          <w:p w14:paraId="7EBA31AD"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3.6</w:t>
            </w:r>
          </w:p>
        </w:tc>
        <w:tc>
          <w:tcPr>
            <w:tcW w:w="1862" w:type="dxa"/>
            <w:vAlign w:val="center"/>
          </w:tcPr>
          <w:p w14:paraId="4810B913"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3.6</w:t>
            </w:r>
          </w:p>
        </w:tc>
        <w:tc>
          <w:tcPr>
            <w:tcW w:w="1996" w:type="dxa"/>
            <w:vAlign w:val="center"/>
          </w:tcPr>
          <w:p w14:paraId="4498F83A"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0.0</w:t>
            </w:r>
          </w:p>
        </w:tc>
        <w:tc>
          <w:tcPr>
            <w:tcW w:w="1715" w:type="dxa"/>
            <w:vAlign w:val="center"/>
          </w:tcPr>
          <w:p w14:paraId="3B77993F"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-2.0</w:t>
            </w:r>
          </w:p>
        </w:tc>
      </w:tr>
      <w:tr w:rsidR="004D177C" w:rsidRPr="004D177C" w14:paraId="752D2238" w14:textId="77777777" w:rsidTr="00626827">
        <w:trPr>
          <w:trHeight w:val="478"/>
        </w:trPr>
        <w:tc>
          <w:tcPr>
            <w:tcW w:w="1880" w:type="dxa"/>
            <w:vAlign w:val="center"/>
          </w:tcPr>
          <w:p w14:paraId="61651EEB"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Victoria</w:t>
            </w:r>
          </w:p>
        </w:tc>
        <w:tc>
          <w:tcPr>
            <w:tcW w:w="1906" w:type="dxa"/>
            <w:vAlign w:val="center"/>
          </w:tcPr>
          <w:p w14:paraId="7F6007FE"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4.9</w:t>
            </w:r>
          </w:p>
        </w:tc>
        <w:tc>
          <w:tcPr>
            <w:tcW w:w="1862" w:type="dxa"/>
            <w:vAlign w:val="center"/>
          </w:tcPr>
          <w:p w14:paraId="221F8752"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5.4</w:t>
            </w:r>
          </w:p>
        </w:tc>
        <w:tc>
          <w:tcPr>
            <w:tcW w:w="1996" w:type="dxa"/>
            <w:vAlign w:val="center"/>
          </w:tcPr>
          <w:p w14:paraId="2E972BEF"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+0.5</w:t>
            </w:r>
          </w:p>
        </w:tc>
        <w:tc>
          <w:tcPr>
            <w:tcW w:w="1715" w:type="dxa"/>
            <w:vAlign w:val="center"/>
          </w:tcPr>
          <w:p w14:paraId="787D2CD0" w14:textId="77777777" w:rsidR="00F00E3D" w:rsidRPr="004D177C" w:rsidRDefault="00F00E3D" w:rsidP="00626827">
            <w:pPr>
              <w:spacing w:line="276" w:lineRule="auto"/>
              <w:rPr>
                <w:rFonts w:asciiTheme="majorHAnsi" w:hAnsiTheme="majorHAnsi" w:cstheme="majorHAnsi"/>
                <w:sz w:val="21"/>
                <w:szCs w:val="21"/>
              </w:rPr>
            </w:pPr>
            <w:r w:rsidRPr="004D177C">
              <w:rPr>
                <w:rFonts w:asciiTheme="majorHAnsi" w:hAnsiTheme="majorHAnsi" w:cstheme="majorHAnsi"/>
                <w:sz w:val="21"/>
                <w:szCs w:val="21"/>
              </w:rPr>
              <w:t>-0.2</w:t>
            </w:r>
          </w:p>
        </w:tc>
      </w:tr>
    </w:tbl>
    <w:p w14:paraId="5F86A585" w14:textId="0E8DCA61" w:rsidR="00F00E3D" w:rsidRPr="004D177C" w:rsidRDefault="004D177C" w:rsidP="00626827">
      <w:pPr>
        <w:spacing w:line="276" w:lineRule="auto"/>
        <w:rPr>
          <w:rFonts w:cstheme="minorHAnsi"/>
          <w:sz w:val="21"/>
          <w:szCs w:val="21"/>
        </w:rPr>
      </w:pPr>
      <w:r w:rsidRPr="004D177C">
        <w:rPr>
          <w:rFonts w:cstheme="minorHAnsi"/>
          <w:b/>
          <w:sz w:val="21"/>
          <w:szCs w:val="21"/>
        </w:rPr>
        <w:t xml:space="preserve">Table </w:t>
      </w:r>
      <w:r>
        <w:rPr>
          <w:rFonts w:cstheme="minorHAnsi"/>
          <w:b/>
          <w:sz w:val="21"/>
          <w:szCs w:val="21"/>
        </w:rPr>
        <w:t>7.5</w:t>
      </w:r>
      <w:r w:rsidRPr="004D177C">
        <w:rPr>
          <w:rFonts w:cstheme="minorHAnsi"/>
          <w:b/>
          <w:bCs/>
          <w:sz w:val="21"/>
          <w:szCs w:val="21"/>
        </w:rPr>
        <w:t>:</w:t>
      </w:r>
      <w:r w:rsidRPr="004D177C">
        <w:rPr>
          <w:rFonts w:cstheme="minorHAnsi"/>
          <w:b/>
          <w:sz w:val="21"/>
          <w:szCs w:val="21"/>
        </w:rPr>
        <w:t xml:space="preserve"> Unemployment </w:t>
      </w:r>
      <w:r>
        <w:rPr>
          <w:rFonts w:cstheme="minorHAnsi"/>
          <w:b/>
          <w:sz w:val="21"/>
          <w:szCs w:val="21"/>
        </w:rPr>
        <w:t>R</w:t>
      </w:r>
      <w:r w:rsidRPr="004D177C">
        <w:rPr>
          <w:rFonts w:cstheme="minorHAnsi"/>
          <w:b/>
          <w:sz w:val="21"/>
          <w:szCs w:val="21"/>
        </w:rPr>
        <w:t xml:space="preserve">ates </w:t>
      </w:r>
      <w:r>
        <w:rPr>
          <w:rFonts w:cstheme="minorHAnsi"/>
          <w:b/>
          <w:sz w:val="21"/>
          <w:szCs w:val="21"/>
        </w:rPr>
        <w:t>in K</w:t>
      </w:r>
      <w:r w:rsidRPr="004D177C">
        <w:rPr>
          <w:rFonts w:cstheme="minorHAnsi"/>
          <w:b/>
          <w:sz w:val="21"/>
          <w:szCs w:val="21"/>
        </w:rPr>
        <w:t xml:space="preserve">ey </w:t>
      </w:r>
      <w:r>
        <w:rPr>
          <w:rFonts w:cstheme="minorHAnsi"/>
          <w:b/>
          <w:sz w:val="21"/>
          <w:szCs w:val="21"/>
        </w:rPr>
        <w:t>A</w:t>
      </w:r>
      <w:r w:rsidRPr="004D177C">
        <w:rPr>
          <w:rFonts w:cstheme="minorHAnsi"/>
          <w:b/>
          <w:sz w:val="21"/>
          <w:szCs w:val="21"/>
        </w:rPr>
        <w:t>reas of Geelong, 2019</w:t>
      </w:r>
      <w:r>
        <w:rPr>
          <w:rFonts w:cstheme="minorHAnsi"/>
          <w:b/>
          <w:sz w:val="21"/>
          <w:szCs w:val="21"/>
        </w:rPr>
        <w:t>–</w:t>
      </w:r>
      <w:r w:rsidRPr="004D177C">
        <w:rPr>
          <w:rFonts w:cstheme="minorHAnsi"/>
          <w:b/>
          <w:sz w:val="21"/>
          <w:szCs w:val="21"/>
        </w:rPr>
        <w:t>2020</w:t>
      </w:r>
      <w:r w:rsidRPr="004D177C">
        <w:rPr>
          <w:rFonts w:cstheme="minorHAnsi"/>
          <w:sz w:val="21"/>
          <w:szCs w:val="21"/>
        </w:rPr>
        <w:t xml:space="preserve"> </w:t>
      </w:r>
      <w:r w:rsidRPr="004D177C">
        <w:rPr>
          <w:rFonts w:cstheme="minorHAnsi"/>
          <w:b/>
          <w:bCs/>
          <w:noProof/>
          <w:sz w:val="21"/>
          <w:szCs w:val="21"/>
        </w:rPr>
        <w:t>(</w:t>
      </w:r>
      <w:r>
        <w:rPr>
          <w:rFonts w:cstheme="minorHAnsi"/>
          <w:b/>
          <w:bCs/>
          <w:noProof/>
          <w:sz w:val="21"/>
          <w:szCs w:val="21"/>
        </w:rPr>
        <w:t xml:space="preserve">Source: </w:t>
      </w:r>
      <w:r w:rsidRPr="004D177C">
        <w:rPr>
          <w:rFonts w:cstheme="minorHAnsi"/>
          <w:b/>
          <w:bCs/>
          <w:noProof/>
          <w:sz w:val="21"/>
          <w:szCs w:val="21"/>
        </w:rPr>
        <w:t>City of Greater Geelong, 2021)</w:t>
      </w:r>
    </w:p>
    <w:p w14:paraId="57E63D2F" w14:textId="02915CA8" w:rsidR="00F00E3D" w:rsidRDefault="004D177C" w:rsidP="00626827">
      <w:pPr>
        <w:spacing w:after="0" w:line="276" w:lineRule="auto"/>
        <w:rPr>
          <w:rFonts w:asciiTheme="majorHAnsi" w:hAnsiTheme="majorHAnsi" w:cstheme="majorHAnsi"/>
          <w:sz w:val="23"/>
          <w:szCs w:val="23"/>
        </w:rPr>
      </w:pPr>
      <w:r>
        <w:rPr>
          <w:rFonts w:asciiTheme="majorHAnsi" w:hAnsiTheme="majorHAnsi" w:cstheme="majorHAnsi"/>
          <w:sz w:val="23"/>
          <w:szCs w:val="23"/>
        </w:rPr>
        <w:t>Figures from the</w:t>
      </w:r>
      <w:r w:rsidR="00F00E3D" w:rsidRPr="00E91887">
        <w:rPr>
          <w:rFonts w:asciiTheme="majorHAnsi" w:hAnsiTheme="majorHAnsi" w:cstheme="majorHAnsi"/>
          <w:sz w:val="23"/>
          <w:szCs w:val="23"/>
        </w:rPr>
        <w:t xml:space="preserve"> Australian Government Labour Market Information Portal and Small Area Labour Market paint a comparable picture of declining unemployment over th</w:t>
      </w:r>
      <w:r w:rsidR="00626827">
        <w:rPr>
          <w:rFonts w:asciiTheme="majorHAnsi" w:hAnsiTheme="majorHAnsi" w:cstheme="majorHAnsi"/>
          <w:sz w:val="23"/>
          <w:szCs w:val="23"/>
        </w:rPr>
        <w:t>ose</w:t>
      </w:r>
      <w:r w:rsidR="00F00E3D" w:rsidRPr="00E91887">
        <w:rPr>
          <w:rFonts w:asciiTheme="majorHAnsi" w:hAnsiTheme="majorHAnsi" w:cstheme="majorHAnsi"/>
          <w:sz w:val="23"/>
          <w:szCs w:val="23"/>
        </w:rPr>
        <w:t xml:space="preserve"> three areas from </w:t>
      </w:r>
      <w:r w:rsidR="00001EFD">
        <w:rPr>
          <w:rFonts w:asciiTheme="majorHAnsi" w:hAnsiTheme="majorHAnsi" w:cstheme="majorHAnsi"/>
          <w:sz w:val="23"/>
          <w:szCs w:val="23"/>
        </w:rPr>
        <w:t>mid-</w:t>
      </w:r>
      <w:r w:rsidR="00F00E3D" w:rsidRPr="00E91887">
        <w:rPr>
          <w:rFonts w:asciiTheme="majorHAnsi" w:hAnsiTheme="majorHAnsi" w:cstheme="majorHAnsi"/>
          <w:sz w:val="23"/>
          <w:szCs w:val="23"/>
        </w:rPr>
        <w:t xml:space="preserve">2019 to 2020, offering both numbers </w:t>
      </w:r>
      <w:r>
        <w:rPr>
          <w:rFonts w:asciiTheme="majorHAnsi" w:hAnsiTheme="majorHAnsi" w:cstheme="majorHAnsi"/>
          <w:sz w:val="23"/>
          <w:szCs w:val="23"/>
        </w:rPr>
        <w:t>and</w:t>
      </w:r>
      <w:r w:rsidR="00F00E3D" w:rsidRPr="00E91887">
        <w:rPr>
          <w:rFonts w:asciiTheme="majorHAnsi" w:hAnsiTheme="majorHAnsi" w:cstheme="majorHAnsi"/>
          <w:sz w:val="23"/>
          <w:szCs w:val="23"/>
        </w:rPr>
        <w:t xml:space="preserve"> percentages to give a clearer indication of the scale </w:t>
      </w:r>
      <w:r>
        <w:rPr>
          <w:rFonts w:asciiTheme="majorHAnsi" w:hAnsiTheme="majorHAnsi" w:cstheme="majorHAnsi"/>
          <w:sz w:val="23"/>
          <w:szCs w:val="23"/>
        </w:rPr>
        <w:t>of the</w:t>
      </w:r>
      <w:r w:rsidR="00001EFD">
        <w:rPr>
          <w:rFonts w:asciiTheme="majorHAnsi" w:hAnsiTheme="majorHAnsi" w:cstheme="majorHAnsi"/>
          <w:sz w:val="23"/>
          <w:szCs w:val="23"/>
        </w:rPr>
        <w:t xml:space="preserve"> shift</w:t>
      </w:r>
      <w:r w:rsidR="00F00E3D" w:rsidRPr="00E91887">
        <w:rPr>
          <w:rFonts w:asciiTheme="majorHAnsi" w:hAnsiTheme="majorHAnsi" w:cstheme="majorHAnsi"/>
          <w:sz w:val="23"/>
          <w:szCs w:val="23"/>
        </w:rPr>
        <w:t xml:space="preserve">. </w:t>
      </w:r>
      <w:r w:rsidR="00001EFD">
        <w:rPr>
          <w:rFonts w:asciiTheme="majorHAnsi" w:hAnsiTheme="majorHAnsi" w:cstheme="majorHAnsi"/>
          <w:sz w:val="23"/>
          <w:szCs w:val="23"/>
        </w:rPr>
        <w:t>(</w:t>
      </w:r>
      <w:r>
        <w:rPr>
          <w:rFonts w:asciiTheme="majorHAnsi" w:hAnsiTheme="majorHAnsi" w:cstheme="majorHAnsi"/>
          <w:sz w:val="23"/>
          <w:szCs w:val="23"/>
        </w:rPr>
        <w:t>I</w:t>
      </w:r>
      <w:r w:rsidR="00F00E3D" w:rsidRPr="00E91887">
        <w:rPr>
          <w:rFonts w:asciiTheme="majorHAnsi" w:hAnsiTheme="majorHAnsi" w:cstheme="majorHAnsi"/>
          <w:sz w:val="23"/>
          <w:szCs w:val="23"/>
        </w:rPr>
        <w:t>n November 2020</w:t>
      </w:r>
      <w:r w:rsidR="00904C7F">
        <w:rPr>
          <w:rFonts w:asciiTheme="majorHAnsi" w:hAnsiTheme="majorHAnsi" w:cstheme="majorHAnsi"/>
          <w:sz w:val="23"/>
          <w:szCs w:val="23"/>
        </w:rPr>
        <w:t>,</w:t>
      </w:r>
      <w:r w:rsidR="00F00E3D" w:rsidRPr="00E91887">
        <w:rPr>
          <w:rFonts w:asciiTheme="majorHAnsi" w:hAnsiTheme="majorHAnsi" w:cstheme="majorHAnsi"/>
          <w:sz w:val="23"/>
          <w:szCs w:val="23"/>
        </w:rPr>
        <w:t xml:space="preserve"> the Barwon Region had an</w:t>
      </w:r>
      <w:r w:rsidR="00904C7F">
        <w:rPr>
          <w:rFonts w:asciiTheme="majorHAnsi" w:hAnsiTheme="majorHAnsi" w:cstheme="majorHAnsi"/>
          <w:sz w:val="23"/>
          <w:szCs w:val="23"/>
        </w:rPr>
        <w:t xml:space="preserve"> </w:t>
      </w:r>
      <w:r w:rsidR="00F00E3D" w:rsidRPr="00E91887">
        <w:rPr>
          <w:rFonts w:asciiTheme="majorHAnsi" w:hAnsiTheme="majorHAnsi" w:cstheme="majorHAnsi"/>
          <w:sz w:val="23"/>
          <w:szCs w:val="23"/>
        </w:rPr>
        <w:t>unemployment rate of 4.3</w:t>
      </w:r>
      <w:r>
        <w:rPr>
          <w:rFonts w:asciiTheme="majorHAnsi" w:hAnsiTheme="majorHAnsi" w:cstheme="majorHAnsi"/>
          <w:sz w:val="23"/>
          <w:szCs w:val="23"/>
        </w:rPr>
        <w:t xml:space="preserve"> per cent,</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representing</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 xml:space="preserve">close to </w:t>
      </w:r>
      <w:r w:rsidR="00F00E3D" w:rsidRPr="00E91887">
        <w:rPr>
          <w:rFonts w:asciiTheme="majorHAnsi" w:hAnsiTheme="majorHAnsi" w:cstheme="majorHAnsi"/>
          <w:sz w:val="23"/>
          <w:szCs w:val="23"/>
        </w:rPr>
        <w:t xml:space="preserve">7000 people, though the </w:t>
      </w:r>
      <w:r w:rsidR="00626827">
        <w:rPr>
          <w:rFonts w:asciiTheme="majorHAnsi" w:hAnsiTheme="majorHAnsi" w:cstheme="majorHAnsi"/>
          <w:sz w:val="23"/>
          <w:szCs w:val="23"/>
        </w:rPr>
        <w:t xml:space="preserve">area’s </w:t>
      </w:r>
      <w:r w:rsidR="00F00E3D" w:rsidRPr="00E91887">
        <w:rPr>
          <w:rFonts w:asciiTheme="majorHAnsi" w:hAnsiTheme="majorHAnsi" w:cstheme="majorHAnsi"/>
          <w:sz w:val="23"/>
          <w:szCs w:val="23"/>
        </w:rPr>
        <w:t>Job Active case load was p</w:t>
      </w:r>
      <w:r w:rsidR="00626827">
        <w:rPr>
          <w:rFonts w:asciiTheme="majorHAnsi" w:hAnsiTheme="majorHAnsi" w:cstheme="majorHAnsi"/>
          <w:sz w:val="23"/>
          <w:szCs w:val="23"/>
        </w:rPr>
        <w:t>laced</w:t>
      </w:r>
      <w:r w:rsidR="00F00E3D" w:rsidRPr="00E91887">
        <w:rPr>
          <w:rFonts w:asciiTheme="majorHAnsi" w:hAnsiTheme="majorHAnsi" w:cstheme="majorHAnsi"/>
          <w:sz w:val="23"/>
          <w:szCs w:val="23"/>
        </w:rPr>
        <w:t xml:space="preserve"> at 18</w:t>
      </w:r>
      <w:r w:rsidR="00626827">
        <w:rPr>
          <w:rFonts w:asciiTheme="majorHAnsi" w:hAnsiTheme="majorHAnsi" w:cstheme="majorHAnsi"/>
          <w:sz w:val="23"/>
          <w:szCs w:val="23"/>
        </w:rPr>
        <w:t>,</w:t>
      </w:r>
      <w:r w:rsidR="00F00E3D" w:rsidRPr="00E91887">
        <w:rPr>
          <w:rFonts w:asciiTheme="majorHAnsi" w:hAnsiTheme="majorHAnsi" w:cstheme="majorHAnsi"/>
          <w:sz w:val="23"/>
          <w:szCs w:val="23"/>
        </w:rPr>
        <w:t>215.</w:t>
      </w:r>
      <w:r w:rsidR="00001EFD">
        <w:rPr>
          <w:rFonts w:asciiTheme="majorHAnsi" w:hAnsiTheme="majorHAnsi" w:cstheme="majorHAnsi"/>
          <w:sz w:val="23"/>
          <w:szCs w:val="23"/>
        </w:rPr>
        <w:t>)</w:t>
      </w:r>
    </w:p>
    <w:p w14:paraId="61281760" w14:textId="77777777" w:rsidR="00626827" w:rsidRPr="00626827" w:rsidRDefault="00626827" w:rsidP="00626827">
      <w:pPr>
        <w:spacing w:after="0" w:line="276" w:lineRule="auto"/>
        <w:rPr>
          <w:rFonts w:asciiTheme="majorHAnsi" w:hAnsiTheme="majorHAnsi" w:cstheme="majorHAnsi"/>
          <w:sz w:val="16"/>
          <w:szCs w:val="16"/>
        </w:rPr>
      </w:pPr>
    </w:p>
    <w:tbl>
      <w:tblPr>
        <w:tblStyle w:val="TableGrid"/>
        <w:tblW w:w="0" w:type="auto"/>
        <w:tblLook w:val="04A0" w:firstRow="1" w:lastRow="0" w:firstColumn="1" w:lastColumn="0" w:noHBand="0" w:noVBand="1"/>
      </w:tblPr>
      <w:tblGrid>
        <w:gridCol w:w="1881"/>
        <w:gridCol w:w="1881"/>
        <w:gridCol w:w="1881"/>
        <w:gridCol w:w="1881"/>
        <w:gridCol w:w="1882"/>
      </w:tblGrid>
      <w:tr w:rsidR="00F00E3D" w:rsidRPr="00626827" w14:paraId="671696EB" w14:textId="77777777" w:rsidTr="00626827">
        <w:trPr>
          <w:trHeight w:val="436"/>
        </w:trPr>
        <w:tc>
          <w:tcPr>
            <w:tcW w:w="1881" w:type="dxa"/>
            <w:shd w:val="clear" w:color="auto" w:fill="D0CECE" w:themeFill="background2" w:themeFillShade="E6"/>
            <w:vAlign w:val="center"/>
          </w:tcPr>
          <w:p w14:paraId="36C61A81" w14:textId="77777777" w:rsidR="00F00E3D" w:rsidRPr="00626827" w:rsidRDefault="00F00E3D" w:rsidP="00626827">
            <w:pPr>
              <w:spacing w:line="276" w:lineRule="auto"/>
              <w:rPr>
                <w:rFonts w:cstheme="minorHAnsi"/>
                <w:b/>
                <w:bCs/>
                <w:sz w:val="21"/>
                <w:szCs w:val="21"/>
              </w:rPr>
            </w:pPr>
            <w:r w:rsidRPr="00626827">
              <w:rPr>
                <w:rFonts w:cstheme="minorHAnsi"/>
                <w:b/>
                <w:bCs/>
                <w:sz w:val="21"/>
                <w:szCs w:val="21"/>
              </w:rPr>
              <w:t>Area</w:t>
            </w:r>
          </w:p>
        </w:tc>
        <w:tc>
          <w:tcPr>
            <w:tcW w:w="1881" w:type="dxa"/>
            <w:shd w:val="clear" w:color="auto" w:fill="D0CECE" w:themeFill="background2" w:themeFillShade="E6"/>
            <w:vAlign w:val="center"/>
          </w:tcPr>
          <w:p w14:paraId="68F385F3" w14:textId="3AC43B2A" w:rsidR="00F00E3D" w:rsidRPr="00626827" w:rsidRDefault="00001EFD" w:rsidP="00626827">
            <w:pPr>
              <w:spacing w:line="276" w:lineRule="auto"/>
              <w:rPr>
                <w:rFonts w:cstheme="minorHAnsi"/>
                <w:b/>
                <w:bCs/>
                <w:sz w:val="21"/>
                <w:szCs w:val="21"/>
              </w:rPr>
            </w:pPr>
            <w:r>
              <w:rPr>
                <w:rFonts w:cstheme="minorHAnsi"/>
                <w:b/>
                <w:bCs/>
                <w:sz w:val="21"/>
                <w:szCs w:val="21"/>
              </w:rPr>
              <w:t xml:space="preserve">Number </w:t>
            </w:r>
            <w:r w:rsidR="00F00E3D" w:rsidRPr="00626827">
              <w:rPr>
                <w:rFonts w:cstheme="minorHAnsi"/>
                <w:b/>
                <w:bCs/>
                <w:sz w:val="21"/>
                <w:szCs w:val="21"/>
              </w:rPr>
              <w:t>June 2019</w:t>
            </w:r>
          </w:p>
        </w:tc>
        <w:tc>
          <w:tcPr>
            <w:tcW w:w="1881" w:type="dxa"/>
            <w:shd w:val="clear" w:color="auto" w:fill="D0CECE" w:themeFill="background2" w:themeFillShade="E6"/>
            <w:vAlign w:val="center"/>
          </w:tcPr>
          <w:p w14:paraId="6166B93B" w14:textId="1066D89B" w:rsidR="00F00E3D" w:rsidRPr="00626827" w:rsidRDefault="00001EFD" w:rsidP="00626827">
            <w:pPr>
              <w:spacing w:line="276" w:lineRule="auto"/>
              <w:rPr>
                <w:rFonts w:cstheme="minorHAnsi"/>
                <w:b/>
                <w:bCs/>
                <w:sz w:val="21"/>
                <w:szCs w:val="21"/>
              </w:rPr>
            </w:pPr>
            <w:r>
              <w:rPr>
                <w:rFonts w:cstheme="minorHAnsi"/>
                <w:b/>
                <w:bCs/>
                <w:sz w:val="21"/>
                <w:szCs w:val="21"/>
              </w:rPr>
              <w:t xml:space="preserve">Number </w:t>
            </w:r>
            <w:r w:rsidR="00F00E3D" w:rsidRPr="00626827">
              <w:rPr>
                <w:rFonts w:cstheme="minorHAnsi"/>
                <w:b/>
                <w:bCs/>
                <w:sz w:val="21"/>
                <w:szCs w:val="21"/>
              </w:rPr>
              <w:t>June 2020</w:t>
            </w:r>
          </w:p>
        </w:tc>
        <w:tc>
          <w:tcPr>
            <w:tcW w:w="1881" w:type="dxa"/>
            <w:shd w:val="clear" w:color="auto" w:fill="D0CECE" w:themeFill="background2" w:themeFillShade="E6"/>
            <w:vAlign w:val="center"/>
          </w:tcPr>
          <w:p w14:paraId="3CDCF33C" w14:textId="33F6443C" w:rsidR="00F00E3D" w:rsidRPr="00626827" w:rsidRDefault="00F00E3D" w:rsidP="00626827">
            <w:pPr>
              <w:spacing w:line="276" w:lineRule="auto"/>
              <w:rPr>
                <w:rFonts w:cstheme="minorHAnsi"/>
                <w:b/>
                <w:bCs/>
                <w:sz w:val="21"/>
                <w:szCs w:val="21"/>
              </w:rPr>
            </w:pPr>
            <w:r w:rsidRPr="00626827">
              <w:rPr>
                <w:rFonts w:cstheme="minorHAnsi"/>
                <w:b/>
                <w:bCs/>
                <w:sz w:val="21"/>
                <w:szCs w:val="21"/>
              </w:rPr>
              <w:t>Rate June 2019</w:t>
            </w:r>
            <w:r w:rsidR="00A800B2">
              <w:rPr>
                <w:rFonts w:cstheme="minorHAnsi"/>
                <w:b/>
                <w:bCs/>
                <w:sz w:val="21"/>
                <w:szCs w:val="21"/>
              </w:rPr>
              <w:t xml:space="preserve"> (%)</w:t>
            </w:r>
          </w:p>
        </w:tc>
        <w:tc>
          <w:tcPr>
            <w:tcW w:w="1882" w:type="dxa"/>
            <w:shd w:val="clear" w:color="auto" w:fill="D0CECE" w:themeFill="background2" w:themeFillShade="E6"/>
            <w:vAlign w:val="center"/>
          </w:tcPr>
          <w:p w14:paraId="036C26BB" w14:textId="53B77F21" w:rsidR="00F00E3D" w:rsidRPr="00626827" w:rsidRDefault="00F00E3D" w:rsidP="00626827">
            <w:pPr>
              <w:spacing w:line="276" w:lineRule="auto"/>
              <w:rPr>
                <w:rFonts w:cstheme="minorHAnsi"/>
                <w:b/>
                <w:bCs/>
                <w:sz w:val="21"/>
                <w:szCs w:val="21"/>
              </w:rPr>
            </w:pPr>
            <w:r w:rsidRPr="00626827">
              <w:rPr>
                <w:rFonts w:cstheme="minorHAnsi"/>
                <w:b/>
                <w:bCs/>
                <w:sz w:val="21"/>
                <w:szCs w:val="21"/>
              </w:rPr>
              <w:t>Rate June 2020</w:t>
            </w:r>
            <w:r w:rsidR="00A800B2">
              <w:rPr>
                <w:rFonts w:cstheme="minorHAnsi"/>
                <w:b/>
                <w:bCs/>
                <w:sz w:val="21"/>
                <w:szCs w:val="21"/>
              </w:rPr>
              <w:t xml:space="preserve"> (%)</w:t>
            </w:r>
          </w:p>
        </w:tc>
      </w:tr>
      <w:tr w:rsidR="00F00E3D" w:rsidRPr="00626827" w14:paraId="165FF17A" w14:textId="77777777" w:rsidTr="00626827">
        <w:trPr>
          <w:trHeight w:val="425"/>
        </w:trPr>
        <w:tc>
          <w:tcPr>
            <w:tcW w:w="1881" w:type="dxa"/>
            <w:vAlign w:val="center"/>
          </w:tcPr>
          <w:p w14:paraId="68A89E0B" w14:textId="77777777" w:rsidR="00F00E3D" w:rsidRPr="00626827" w:rsidRDefault="00F00E3D" w:rsidP="00626827">
            <w:pPr>
              <w:spacing w:line="276" w:lineRule="auto"/>
              <w:rPr>
                <w:rFonts w:asciiTheme="majorHAnsi" w:hAnsiTheme="majorHAnsi" w:cstheme="majorHAnsi"/>
                <w:sz w:val="21"/>
                <w:szCs w:val="21"/>
              </w:rPr>
            </w:pPr>
            <w:r w:rsidRPr="00626827">
              <w:rPr>
                <w:rFonts w:asciiTheme="majorHAnsi" w:hAnsiTheme="majorHAnsi" w:cstheme="majorHAnsi"/>
                <w:sz w:val="21"/>
                <w:szCs w:val="21"/>
              </w:rPr>
              <w:t>Corio-Norlane</w:t>
            </w:r>
          </w:p>
        </w:tc>
        <w:tc>
          <w:tcPr>
            <w:tcW w:w="1881" w:type="dxa"/>
            <w:vAlign w:val="center"/>
          </w:tcPr>
          <w:p w14:paraId="27C402AF" w14:textId="77777777" w:rsidR="00F00E3D" w:rsidRPr="00626827" w:rsidRDefault="00F00E3D" w:rsidP="00626827">
            <w:pPr>
              <w:spacing w:line="276" w:lineRule="auto"/>
              <w:rPr>
                <w:rFonts w:asciiTheme="majorHAnsi" w:hAnsiTheme="majorHAnsi" w:cstheme="majorHAnsi"/>
                <w:sz w:val="21"/>
                <w:szCs w:val="21"/>
              </w:rPr>
            </w:pPr>
            <w:r w:rsidRPr="00626827">
              <w:rPr>
                <w:rFonts w:asciiTheme="majorHAnsi" w:hAnsiTheme="majorHAnsi" w:cstheme="majorHAnsi"/>
                <w:sz w:val="21"/>
                <w:szCs w:val="21"/>
              </w:rPr>
              <w:t>2517</w:t>
            </w:r>
          </w:p>
        </w:tc>
        <w:tc>
          <w:tcPr>
            <w:tcW w:w="1881" w:type="dxa"/>
            <w:vAlign w:val="center"/>
          </w:tcPr>
          <w:p w14:paraId="25A7C2A0" w14:textId="77777777" w:rsidR="00F00E3D" w:rsidRPr="00626827" w:rsidRDefault="00F00E3D" w:rsidP="00626827">
            <w:pPr>
              <w:spacing w:line="276" w:lineRule="auto"/>
              <w:rPr>
                <w:rFonts w:asciiTheme="majorHAnsi" w:hAnsiTheme="majorHAnsi" w:cstheme="majorHAnsi"/>
                <w:sz w:val="21"/>
                <w:szCs w:val="21"/>
              </w:rPr>
            </w:pPr>
            <w:r w:rsidRPr="00626827">
              <w:rPr>
                <w:rFonts w:asciiTheme="majorHAnsi" w:hAnsiTheme="majorHAnsi" w:cstheme="majorHAnsi"/>
                <w:sz w:val="21"/>
                <w:szCs w:val="21"/>
              </w:rPr>
              <w:t>1395</w:t>
            </w:r>
          </w:p>
        </w:tc>
        <w:tc>
          <w:tcPr>
            <w:tcW w:w="1881" w:type="dxa"/>
            <w:vAlign w:val="center"/>
          </w:tcPr>
          <w:p w14:paraId="2FE23FCE" w14:textId="77777777" w:rsidR="00F00E3D" w:rsidRPr="00626827" w:rsidRDefault="00F00E3D" w:rsidP="00626827">
            <w:pPr>
              <w:spacing w:line="276" w:lineRule="auto"/>
              <w:rPr>
                <w:rFonts w:asciiTheme="majorHAnsi" w:hAnsiTheme="majorHAnsi" w:cstheme="majorHAnsi"/>
                <w:sz w:val="21"/>
                <w:szCs w:val="21"/>
              </w:rPr>
            </w:pPr>
            <w:r w:rsidRPr="00626827">
              <w:rPr>
                <w:rFonts w:asciiTheme="majorHAnsi" w:hAnsiTheme="majorHAnsi" w:cstheme="majorHAnsi"/>
                <w:sz w:val="21"/>
                <w:szCs w:val="21"/>
              </w:rPr>
              <w:t>21.5</w:t>
            </w:r>
          </w:p>
        </w:tc>
        <w:tc>
          <w:tcPr>
            <w:tcW w:w="1882" w:type="dxa"/>
            <w:vAlign w:val="center"/>
          </w:tcPr>
          <w:p w14:paraId="15B686D9" w14:textId="77777777" w:rsidR="00F00E3D" w:rsidRPr="00626827" w:rsidRDefault="00F00E3D" w:rsidP="00626827">
            <w:pPr>
              <w:spacing w:line="276" w:lineRule="auto"/>
              <w:rPr>
                <w:rFonts w:asciiTheme="majorHAnsi" w:hAnsiTheme="majorHAnsi" w:cstheme="majorHAnsi"/>
                <w:sz w:val="21"/>
                <w:szCs w:val="21"/>
              </w:rPr>
            </w:pPr>
            <w:r w:rsidRPr="00626827">
              <w:rPr>
                <w:rFonts w:asciiTheme="majorHAnsi" w:hAnsiTheme="majorHAnsi" w:cstheme="majorHAnsi"/>
                <w:sz w:val="21"/>
                <w:szCs w:val="21"/>
              </w:rPr>
              <w:t>11.8</w:t>
            </w:r>
          </w:p>
        </w:tc>
      </w:tr>
      <w:tr w:rsidR="00F00E3D" w:rsidRPr="00626827" w14:paraId="0B082D62" w14:textId="77777777" w:rsidTr="00626827">
        <w:trPr>
          <w:trHeight w:val="436"/>
        </w:trPr>
        <w:tc>
          <w:tcPr>
            <w:tcW w:w="1881" w:type="dxa"/>
            <w:vAlign w:val="center"/>
          </w:tcPr>
          <w:p w14:paraId="79BF8319" w14:textId="77777777" w:rsidR="00F00E3D" w:rsidRPr="00626827" w:rsidRDefault="00F00E3D" w:rsidP="00626827">
            <w:pPr>
              <w:spacing w:line="276" w:lineRule="auto"/>
              <w:rPr>
                <w:rFonts w:asciiTheme="majorHAnsi" w:hAnsiTheme="majorHAnsi" w:cstheme="majorHAnsi"/>
                <w:sz w:val="21"/>
                <w:szCs w:val="21"/>
              </w:rPr>
            </w:pPr>
            <w:r w:rsidRPr="00626827">
              <w:rPr>
                <w:rFonts w:asciiTheme="majorHAnsi" w:hAnsiTheme="majorHAnsi" w:cstheme="majorHAnsi"/>
                <w:sz w:val="21"/>
                <w:szCs w:val="21"/>
              </w:rPr>
              <w:t>Newcomb-Moolap</w:t>
            </w:r>
          </w:p>
        </w:tc>
        <w:tc>
          <w:tcPr>
            <w:tcW w:w="1881" w:type="dxa"/>
            <w:vAlign w:val="center"/>
          </w:tcPr>
          <w:p w14:paraId="4315559C" w14:textId="77777777" w:rsidR="00F00E3D" w:rsidRPr="00626827" w:rsidRDefault="00F00E3D" w:rsidP="00626827">
            <w:pPr>
              <w:spacing w:line="276" w:lineRule="auto"/>
              <w:rPr>
                <w:rFonts w:asciiTheme="majorHAnsi" w:hAnsiTheme="majorHAnsi" w:cstheme="majorHAnsi"/>
                <w:sz w:val="21"/>
                <w:szCs w:val="21"/>
              </w:rPr>
            </w:pPr>
            <w:r w:rsidRPr="00626827">
              <w:rPr>
                <w:rFonts w:asciiTheme="majorHAnsi" w:hAnsiTheme="majorHAnsi" w:cstheme="majorHAnsi"/>
                <w:sz w:val="21"/>
                <w:szCs w:val="21"/>
              </w:rPr>
              <w:t>908</w:t>
            </w:r>
          </w:p>
        </w:tc>
        <w:tc>
          <w:tcPr>
            <w:tcW w:w="1881" w:type="dxa"/>
            <w:vAlign w:val="center"/>
          </w:tcPr>
          <w:p w14:paraId="24822182" w14:textId="77777777" w:rsidR="00F00E3D" w:rsidRPr="00626827" w:rsidRDefault="00F00E3D" w:rsidP="00626827">
            <w:pPr>
              <w:spacing w:line="276" w:lineRule="auto"/>
              <w:rPr>
                <w:rFonts w:asciiTheme="majorHAnsi" w:hAnsiTheme="majorHAnsi" w:cstheme="majorHAnsi"/>
                <w:sz w:val="21"/>
                <w:szCs w:val="21"/>
              </w:rPr>
            </w:pPr>
            <w:r w:rsidRPr="00626827">
              <w:rPr>
                <w:rFonts w:asciiTheme="majorHAnsi" w:hAnsiTheme="majorHAnsi" w:cstheme="majorHAnsi"/>
                <w:sz w:val="21"/>
                <w:szCs w:val="21"/>
              </w:rPr>
              <w:t>493</w:t>
            </w:r>
          </w:p>
        </w:tc>
        <w:tc>
          <w:tcPr>
            <w:tcW w:w="1881" w:type="dxa"/>
            <w:vAlign w:val="center"/>
          </w:tcPr>
          <w:p w14:paraId="2F4C37EB" w14:textId="77777777" w:rsidR="00F00E3D" w:rsidRPr="00626827" w:rsidRDefault="00F00E3D" w:rsidP="00626827">
            <w:pPr>
              <w:spacing w:line="276" w:lineRule="auto"/>
              <w:rPr>
                <w:rFonts w:asciiTheme="majorHAnsi" w:hAnsiTheme="majorHAnsi" w:cstheme="majorHAnsi"/>
                <w:sz w:val="21"/>
                <w:szCs w:val="21"/>
              </w:rPr>
            </w:pPr>
            <w:r w:rsidRPr="00626827">
              <w:rPr>
                <w:rFonts w:asciiTheme="majorHAnsi" w:hAnsiTheme="majorHAnsi" w:cstheme="majorHAnsi"/>
                <w:sz w:val="21"/>
                <w:szCs w:val="21"/>
              </w:rPr>
              <w:t>12.8</w:t>
            </w:r>
          </w:p>
        </w:tc>
        <w:tc>
          <w:tcPr>
            <w:tcW w:w="1882" w:type="dxa"/>
            <w:vAlign w:val="center"/>
          </w:tcPr>
          <w:p w14:paraId="1A09F4FC" w14:textId="77777777" w:rsidR="00F00E3D" w:rsidRPr="00626827" w:rsidRDefault="00F00E3D" w:rsidP="00626827">
            <w:pPr>
              <w:spacing w:line="276" w:lineRule="auto"/>
              <w:rPr>
                <w:rFonts w:asciiTheme="majorHAnsi" w:hAnsiTheme="majorHAnsi" w:cstheme="majorHAnsi"/>
                <w:sz w:val="21"/>
                <w:szCs w:val="21"/>
              </w:rPr>
            </w:pPr>
            <w:r w:rsidRPr="00626827">
              <w:rPr>
                <w:rFonts w:asciiTheme="majorHAnsi" w:hAnsiTheme="majorHAnsi" w:cstheme="majorHAnsi"/>
                <w:sz w:val="21"/>
                <w:szCs w:val="21"/>
              </w:rPr>
              <w:t>6.9</w:t>
            </w:r>
          </w:p>
        </w:tc>
      </w:tr>
    </w:tbl>
    <w:p w14:paraId="2C0EA9E3" w14:textId="6C0FA981" w:rsidR="00626827" w:rsidRPr="00626827" w:rsidRDefault="00626827" w:rsidP="00626827">
      <w:pPr>
        <w:spacing w:after="0" w:line="276" w:lineRule="auto"/>
        <w:rPr>
          <w:rFonts w:cstheme="minorHAnsi"/>
          <w:b/>
          <w:sz w:val="21"/>
          <w:szCs w:val="21"/>
        </w:rPr>
      </w:pPr>
      <w:r w:rsidRPr="00626827">
        <w:rPr>
          <w:rFonts w:cstheme="minorHAnsi"/>
          <w:b/>
          <w:sz w:val="21"/>
          <w:szCs w:val="21"/>
        </w:rPr>
        <w:t xml:space="preserve">Table </w:t>
      </w:r>
      <w:r>
        <w:rPr>
          <w:rFonts w:cstheme="minorHAnsi"/>
          <w:b/>
          <w:sz w:val="21"/>
          <w:szCs w:val="21"/>
        </w:rPr>
        <w:t>7.6</w:t>
      </w:r>
      <w:r w:rsidRPr="00626827">
        <w:rPr>
          <w:rFonts w:cstheme="minorHAnsi"/>
          <w:b/>
          <w:sz w:val="21"/>
          <w:szCs w:val="21"/>
        </w:rPr>
        <w:t>: Unemployment Numbers and Rates, 2019–2020, Corio-Norlane and Newcomb-Moolap</w:t>
      </w:r>
    </w:p>
    <w:p w14:paraId="53C1C72A" w14:textId="24AAFD64" w:rsidR="00F00E3D" w:rsidRPr="00626827" w:rsidRDefault="00626827" w:rsidP="00626827">
      <w:pPr>
        <w:spacing w:after="0" w:line="276" w:lineRule="auto"/>
        <w:rPr>
          <w:rFonts w:cstheme="minorHAnsi"/>
          <w:b/>
          <w:noProof/>
          <w:sz w:val="21"/>
          <w:szCs w:val="21"/>
        </w:rPr>
      </w:pPr>
      <w:r w:rsidRPr="00626827">
        <w:rPr>
          <w:rFonts w:cstheme="minorHAnsi"/>
          <w:b/>
          <w:noProof/>
          <w:sz w:val="21"/>
          <w:szCs w:val="21"/>
        </w:rPr>
        <w:t>(Source: Australian Government National Skills Commission, 2021)</w:t>
      </w:r>
    </w:p>
    <w:p w14:paraId="4EC7B487" w14:textId="77777777" w:rsidR="00626827" w:rsidRPr="00735A7F" w:rsidRDefault="00626827" w:rsidP="00626827">
      <w:pPr>
        <w:spacing w:after="0" w:line="276" w:lineRule="auto"/>
        <w:rPr>
          <w:rFonts w:asciiTheme="majorHAnsi" w:hAnsiTheme="majorHAnsi" w:cstheme="majorHAnsi"/>
          <w:b/>
          <w:sz w:val="12"/>
          <w:szCs w:val="12"/>
        </w:rPr>
      </w:pPr>
    </w:p>
    <w:p w14:paraId="23B77FB3" w14:textId="722DE0F6" w:rsidR="00F00E3D" w:rsidRPr="00E91887" w:rsidRDefault="00626827" w:rsidP="009B2FA7">
      <w:pPr>
        <w:spacing w:line="276" w:lineRule="auto"/>
        <w:rPr>
          <w:rFonts w:asciiTheme="majorHAnsi" w:hAnsiTheme="majorHAnsi" w:cstheme="majorHAnsi"/>
          <w:sz w:val="23"/>
          <w:szCs w:val="23"/>
        </w:rPr>
      </w:pPr>
      <w:r>
        <w:rPr>
          <w:rFonts w:asciiTheme="majorHAnsi" w:hAnsiTheme="majorHAnsi" w:cstheme="majorHAnsi"/>
          <w:sz w:val="23"/>
          <w:szCs w:val="23"/>
        </w:rPr>
        <w:t xml:space="preserve">The number of people on </w:t>
      </w:r>
      <w:r w:rsidRPr="00E91887">
        <w:rPr>
          <w:rFonts w:asciiTheme="majorHAnsi" w:hAnsiTheme="majorHAnsi" w:cstheme="majorHAnsi"/>
          <w:sz w:val="23"/>
          <w:szCs w:val="23"/>
        </w:rPr>
        <w:t xml:space="preserve">JobKeeper </w:t>
      </w:r>
      <w:r w:rsidR="00001EFD">
        <w:rPr>
          <w:rFonts w:asciiTheme="majorHAnsi" w:hAnsiTheme="majorHAnsi" w:cstheme="majorHAnsi"/>
          <w:sz w:val="23"/>
          <w:szCs w:val="23"/>
        </w:rPr>
        <w:t>provides</w:t>
      </w:r>
      <w:r w:rsidR="00B27E8B">
        <w:rPr>
          <w:rFonts w:asciiTheme="majorHAnsi" w:hAnsiTheme="majorHAnsi" w:cstheme="majorHAnsi"/>
          <w:sz w:val="23"/>
          <w:szCs w:val="23"/>
        </w:rPr>
        <w:t xml:space="preserve"> </w:t>
      </w:r>
      <w:r>
        <w:rPr>
          <w:rFonts w:asciiTheme="majorHAnsi" w:hAnsiTheme="majorHAnsi" w:cstheme="majorHAnsi"/>
          <w:sz w:val="23"/>
          <w:szCs w:val="23"/>
        </w:rPr>
        <w:t>another</w:t>
      </w:r>
      <w:r w:rsidR="00F00E3D" w:rsidRPr="00E91887">
        <w:rPr>
          <w:rFonts w:asciiTheme="majorHAnsi" w:hAnsiTheme="majorHAnsi" w:cstheme="majorHAnsi"/>
          <w:sz w:val="23"/>
          <w:szCs w:val="23"/>
        </w:rPr>
        <w:t xml:space="preserve"> indicator of unemployment in the </w:t>
      </w:r>
      <w:r w:rsidR="00001EFD">
        <w:rPr>
          <w:rFonts w:asciiTheme="majorHAnsi" w:hAnsiTheme="majorHAnsi" w:cstheme="majorHAnsi"/>
          <w:sz w:val="23"/>
          <w:szCs w:val="23"/>
        </w:rPr>
        <w:t>focus</w:t>
      </w:r>
      <w:r w:rsidR="00F00E3D" w:rsidRPr="00E91887">
        <w:rPr>
          <w:rFonts w:asciiTheme="majorHAnsi" w:hAnsiTheme="majorHAnsi" w:cstheme="majorHAnsi"/>
          <w:sz w:val="23"/>
          <w:szCs w:val="23"/>
        </w:rPr>
        <w:t xml:space="preserve"> </w:t>
      </w:r>
      <w:r w:rsidR="00001EFD">
        <w:rPr>
          <w:rFonts w:asciiTheme="majorHAnsi" w:hAnsiTheme="majorHAnsi" w:cstheme="majorHAnsi"/>
          <w:sz w:val="23"/>
          <w:szCs w:val="23"/>
        </w:rPr>
        <w:t>localities</w:t>
      </w:r>
      <w:r w:rsidR="00F00E3D" w:rsidRPr="00E91887">
        <w:rPr>
          <w:rFonts w:asciiTheme="majorHAnsi" w:hAnsiTheme="majorHAnsi" w:cstheme="majorHAnsi"/>
          <w:sz w:val="23"/>
          <w:szCs w:val="23"/>
        </w:rPr>
        <w:t>. These figures show a different pattern</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as detailed below</w:t>
      </w:r>
      <w:r>
        <w:rPr>
          <w:rFonts w:asciiTheme="majorHAnsi" w:hAnsiTheme="majorHAnsi" w:cstheme="majorHAnsi"/>
          <w:sz w:val="23"/>
          <w:szCs w:val="23"/>
        </w:rPr>
        <w:t xml:space="preserve"> (Table 7.7). This reflects</w:t>
      </w:r>
      <w:r w:rsidR="00F00E3D" w:rsidRPr="00E91887">
        <w:rPr>
          <w:rFonts w:asciiTheme="majorHAnsi" w:hAnsiTheme="majorHAnsi" w:cstheme="majorHAnsi"/>
          <w:sz w:val="23"/>
          <w:szCs w:val="23"/>
        </w:rPr>
        <w:t xml:space="preserve"> what occurred in the second half of 2020</w:t>
      </w:r>
      <w:r>
        <w:rPr>
          <w:rFonts w:asciiTheme="majorHAnsi" w:hAnsiTheme="majorHAnsi" w:cstheme="majorHAnsi"/>
          <w:sz w:val="23"/>
          <w:szCs w:val="23"/>
        </w:rPr>
        <w:t xml:space="preserve">: an </w:t>
      </w:r>
      <w:r w:rsidR="00F00E3D" w:rsidRPr="00E91887">
        <w:rPr>
          <w:rFonts w:asciiTheme="majorHAnsi" w:hAnsiTheme="majorHAnsi" w:cstheme="majorHAnsi"/>
          <w:sz w:val="23"/>
          <w:szCs w:val="23"/>
        </w:rPr>
        <w:t xml:space="preserve">exacerbation of </w:t>
      </w:r>
      <w:r w:rsidR="00A800B2">
        <w:rPr>
          <w:rFonts w:asciiTheme="majorHAnsi" w:hAnsiTheme="majorHAnsi" w:cstheme="majorHAnsi"/>
          <w:sz w:val="23"/>
          <w:szCs w:val="23"/>
        </w:rPr>
        <w:t xml:space="preserve">local </w:t>
      </w:r>
      <w:r w:rsidR="00F00E3D" w:rsidRPr="00E91887">
        <w:rPr>
          <w:rFonts w:asciiTheme="majorHAnsi" w:hAnsiTheme="majorHAnsi" w:cstheme="majorHAnsi"/>
          <w:sz w:val="23"/>
          <w:szCs w:val="23"/>
        </w:rPr>
        <w:t>unemployment</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as </w:t>
      </w:r>
      <w:r w:rsidR="00940D80">
        <w:rPr>
          <w:rFonts w:asciiTheme="majorHAnsi" w:hAnsiTheme="majorHAnsi" w:cstheme="majorHAnsi"/>
          <w:sz w:val="23"/>
          <w:szCs w:val="23"/>
        </w:rPr>
        <w:t>COVID</w:t>
      </w:r>
      <w:r w:rsidR="00F00E3D" w:rsidRPr="00E91887">
        <w:rPr>
          <w:rFonts w:asciiTheme="majorHAnsi" w:hAnsiTheme="majorHAnsi" w:cstheme="majorHAnsi"/>
          <w:sz w:val="23"/>
          <w:szCs w:val="23"/>
        </w:rPr>
        <w:t xml:space="preserve">-19 restrictions </w:t>
      </w:r>
      <w:r w:rsidR="00904C7F">
        <w:rPr>
          <w:rFonts w:asciiTheme="majorHAnsi" w:hAnsiTheme="majorHAnsi" w:cstheme="majorHAnsi"/>
          <w:sz w:val="23"/>
          <w:szCs w:val="23"/>
        </w:rPr>
        <w:t xml:space="preserve">and business shutdowns </w:t>
      </w:r>
      <w:r w:rsidR="00F00E3D" w:rsidRPr="00E91887">
        <w:rPr>
          <w:rFonts w:asciiTheme="majorHAnsi" w:hAnsiTheme="majorHAnsi" w:cstheme="majorHAnsi"/>
          <w:sz w:val="23"/>
          <w:szCs w:val="23"/>
        </w:rPr>
        <w:t xml:space="preserve">reversed the </w:t>
      </w:r>
      <w:r w:rsidR="00001EFD">
        <w:rPr>
          <w:rFonts w:asciiTheme="majorHAnsi" w:hAnsiTheme="majorHAnsi" w:cstheme="majorHAnsi"/>
          <w:sz w:val="23"/>
          <w:szCs w:val="23"/>
        </w:rPr>
        <w:t xml:space="preserve">early </w:t>
      </w:r>
      <w:r w:rsidR="00F00E3D" w:rsidRPr="00E91887">
        <w:rPr>
          <w:rFonts w:asciiTheme="majorHAnsi" w:hAnsiTheme="majorHAnsi" w:cstheme="majorHAnsi"/>
          <w:sz w:val="23"/>
          <w:szCs w:val="23"/>
        </w:rPr>
        <w:t xml:space="preserve">pattern of </w:t>
      </w:r>
      <w:r w:rsidR="00A800B2">
        <w:rPr>
          <w:rFonts w:asciiTheme="majorHAnsi" w:hAnsiTheme="majorHAnsi" w:cstheme="majorHAnsi"/>
          <w:sz w:val="23"/>
          <w:szCs w:val="23"/>
        </w:rPr>
        <w:t>improved employment prospects</w:t>
      </w:r>
      <w:r w:rsidR="00001EFD">
        <w:rPr>
          <w:rFonts w:asciiTheme="majorHAnsi" w:hAnsiTheme="majorHAnsi" w:cstheme="majorHAnsi"/>
          <w:sz w:val="23"/>
          <w:szCs w:val="23"/>
        </w:rPr>
        <w:t xml:space="preserve"> from mid-2019 to mid-2020</w:t>
      </w:r>
      <w:r w:rsidR="00F00E3D" w:rsidRPr="00E91887">
        <w:rPr>
          <w:rFonts w:asciiTheme="majorHAnsi" w:hAnsiTheme="majorHAnsi" w:cstheme="majorHAnsi"/>
          <w:sz w:val="23"/>
          <w:szCs w:val="23"/>
        </w:rPr>
        <w:t>.</w:t>
      </w:r>
      <w:r w:rsidR="00735A7F">
        <w:rPr>
          <w:rFonts w:asciiTheme="majorHAnsi" w:hAnsiTheme="majorHAnsi" w:cstheme="majorHAnsi"/>
          <w:sz w:val="23"/>
          <w:szCs w:val="23"/>
        </w:rPr>
        <w:br w:type="page"/>
      </w:r>
    </w:p>
    <w:tbl>
      <w:tblPr>
        <w:tblStyle w:val="TableGrid"/>
        <w:tblW w:w="9352" w:type="dxa"/>
        <w:tblInd w:w="-5" w:type="dxa"/>
        <w:tblLook w:val="04A0" w:firstRow="1" w:lastRow="0" w:firstColumn="1" w:lastColumn="0" w:noHBand="0" w:noVBand="1"/>
      </w:tblPr>
      <w:tblGrid>
        <w:gridCol w:w="2268"/>
        <w:gridCol w:w="1416"/>
        <w:gridCol w:w="1417"/>
        <w:gridCol w:w="1417"/>
        <w:gridCol w:w="1417"/>
        <w:gridCol w:w="1417"/>
      </w:tblGrid>
      <w:tr w:rsidR="00B85AA8" w:rsidRPr="00626827" w14:paraId="57FCEC6C" w14:textId="77777777" w:rsidTr="00A800B2">
        <w:trPr>
          <w:trHeight w:val="558"/>
        </w:trPr>
        <w:tc>
          <w:tcPr>
            <w:tcW w:w="2268" w:type="dxa"/>
            <w:shd w:val="clear" w:color="auto" w:fill="D0CECE" w:themeFill="background2" w:themeFillShade="E6"/>
          </w:tcPr>
          <w:p w14:paraId="307FE600" w14:textId="77777777" w:rsidR="00F00E3D" w:rsidRPr="00626827" w:rsidRDefault="00F00E3D" w:rsidP="00626827">
            <w:pPr>
              <w:spacing w:after="0" w:line="240" w:lineRule="auto"/>
              <w:rPr>
                <w:rFonts w:cstheme="minorHAnsi"/>
                <w:b/>
                <w:bCs/>
                <w:sz w:val="21"/>
                <w:szCs w:val="21"/>
              </w:rPr>
            </w:pPr>
            <w:r w:rsidRPr="00626827">
              <w:rPr>
                <w:rFonts w:cstheme="minorHAnsi"/>
                <w:b/>
                <w:bCs/>
                <w:sz w:val="21"/>
                <w:szCs w:val="21"/>
              </w:rPr>
              <w:lastRenderedPageBreak/>
              <w:t>Area</w:t>
            </w:r>
          </w:p>
        </w:tc>
        <w:tc>
          <w:tcPr>
            <w:tcW w:w="1416" w:type="dxa"/>
            <w:shd w:val="clear" w:color="auto" w:fill="D0CECE" w:themeFill="background2" w:themeFillShade="E6"/>
          </w:tcPr>
          <w:p w14:paraId="5C0C8A8F" w14:textId="77777777" w:rsidR="00A800B2" w:rsidRDefault="00A800B2" w:rsidP="00626827">
            <w:pPr>
              <w:spacing w:after="0" w:line="240" w:lineRule="auto"/>
              <w:rPr>
                <w:rFonts w:cstheme="minorHAnsi"/>
                <w:b/>
                <w:bCs/>
                <w:sz w:val="21"/>
                <w:szCs w:val="21"/>
              </w:rPr>
            </w:pPr>
            <w:r w:rsidRPr="00626827">
              <w:rPr>
                <w:rFonts w:cstheme="minorHAnsi"/>
                <w:b/>
                <w:bCs/>
                <w:sz w:val="21"/>
                <w:szCs w:val="21"/>
              </w:rPr>
              <w:t>Number</w:t>
            </w:r>
          </w:p>
          <w:p w14:paraId="35A769A3" w14:textId="411EF793" w:rsidR="00F00E3D" w:rsidRPr="00626827" w:rsidRDefault="00F00E3D" w:rsidP="00626827">
            <w:pPr>
              <w:spacing w:after="0" w:line="240" w:lineRule="auto"/>
              <w:rPr>
                <w:rFonts w:cstheme="minorHAnsi"/>
                <w:b/>
                <w:bCs/>
                <w:sz w:val="21"/>
                <w:szCs w:val="21"/>
              </w:rPr>
            </w:pPr>
            <w:r w:rsidRPr="00626827">
              <w:rPr>
                <w:rFonts w:cstheme="minorHAnsi"/>
                <w:b/>
                <w:bCs/>
                <w:sz w:val="21"/>
                <w:szCs w:val="21"/>
              </w:rPr>
              <w:t>Dec 2020</w:t>
            </w:r>
          </w:p>
          <w:p w14:paraId="728C71AC" w14:textId="4A3E5AF8" w:rsidR="00F00E3D" w:rsidRPr="00626827" w:rsidRDefault="00F00E3D" w:rsidP="00626827">
            <w:pPr>
              <w:spacing w:after="0" w:line="240" w:lineRule="auto"/>
              <w:rPr>
                <w:rFonts w:cstheme="minorHAnsi"/>
                <w:b/>
                <w:bCs/>
                <w:sz w:val="21"/>
                <w:szCs w:val="21"/>
              </w:rPr>
            </w:pPr>
          </w:p>
        </w:tc>
        <w:tc>
          <w:tcPr>
            <w:tcW w:w="1417" w:type="dxa"/>
            <w:shd w:val="clear" w:color="auto" w:fill="D0CECE" w:themeFill="background2" w:themeFillShade="E6"/>
          </w:tcPr>
          <w:p w14:paraId="718EF1F4" w14:textId="5A516FB2" w:rsidR="00A800B2" w:rsidRDefault="00F00E3D" w:rsidP="00626827">
            <w:pPr>
              <w:spacing w:after="0" w:line="240" w:lineRule="auto"/>
              <w:rPr>
                <w:rFonts w:cstheme="minorHAnsi"/>
                <w:b/>
                <w:bCs/>
                <w:sz w:val="21"/>
                <w:szCs w:val="21"/>
              </w:rPr>
            </w:pPr>
            <w:r w:rsidRPr="00626827">
              <w:rPr>
                <w:rFonts w:cstheme="minorHAnsi"/>
                <w:b/>
                <w:bCs/>
                <w:sz w:val="21"/>
                <w:szCs w:val="21"/>
              </w:rPr>
              <w:t>Rate</w:t>
            </w:r>
            <w:r w:rsidR="00A800B2" w:rsidRPr="00626827">
              <w:rPr>
                <w:rFonts w:cstheme="minorHAnsi"/>
                <w:b/>
                <w:bCs/>
                <w:sz w:val="21"/>
                <w:szCs w:val="21"/>
              </w:rPr>
              <w:t xml:space="preserve"> (%)</w:t>
            </w:r>
          </w:p>
          <w:p w14:paraId="24EEBFBE" w14:textId="336C3C48" w:rsidR="00F00E3D" w:rsidRPr="00626827" w:rsidRDefault="00A800B2" w:rsidP="00626827">
            <w:pPr>
              <w:spacing w:after="0" w:line="240" w:lineRule="auto"/>
              <w:rPr>
                <w:rFonts w:cstheme="minorHAnsi"/>
                <w:b/>
                <w:bCs/>
                <w:sz w:val="21"/>
                <w:szCs w:val="21"/>
              </w:rPr>
            </w:pPr>
            <w:r w:rsidRPr="00626827">
              <w:rPr>
                <w:rFonts w:cstheme="minorHAnsi"/>
                <w:b/>
                <w:bCs/>
                <w:sz w:val="21"/>
                <w:szCs w:val="21"/>
              </w:rPr>
              <w:t>Dec</w:t>
            </w:r>
            <w:r>
              <w:rPr>
                <w:rFonts w:cstheme="minorHAnsi"/>
                <w:b/>
                <w:bCs/>
                <w:sz w:val="21"/>
                <w:szCs w:val="21"/>
              </w:rPr>
              <w:t xml:space="preserve"> </w:t>
            </w:r>
            <w:r w:rsidRPr="00626827">
              <w:rPr>
                <w:rFonts w:cstheme="minorHAnsi"/>
                <w:b/>
                <w:bCs/>
                <w:sz w:val="21"/>
                <w:szCs w:val="21"/>
              </w:rPr>
              <w:t>2020</w:t>
            </w:r>
          </w:p>
        </w:tc>
        <w:tc>
          <w:tcPr>
            <w:tcW w:w="1417" w:type="dxa"/>
            <w:shd w:val="clear" w:color="auto" w:fill="D0CECE" w:themeFill="background2" w:themeFillShade="E6"/>
          </w:tcPr>
          <w:p w14:paraId="763EA6F3" w14:textId="2160FF6E" w:rsidR="00F00E3D" w:rsidRPr="00626827" w:rsidRDefault="00A800B2" w:rsidP="00626827">
            <w:pPr>
              <w:spacing w:after="0" w:line="240" w:lineRule="auto"/>
              <w:rPr>
                <w:rFonts w:cstheme="minorHAnsi"/>
                <w:b/>
                <w:bCs/>
                <w:sz w:val="21"/>
                <w:szCs w:val="21"/>
              </w:rPr>
            </w:pPr>
            <w:r w:rsidRPr="00626827">
              <w:rPr>
                <w:rFonts w:cstheme="minorHAnsi"/>
                <w:b/>
                <w:bCs/>
                <w:sz w:val="21"/>
                <w:szCs w:val="21"/>
              </w:rPr>
              <w:t xml:space="preserve">Number </w:t>
            </w:r>
            <w:r w:rsidR="00F00E3D" w:rsidRPr="00626827">
              <w:rPr>
                <w:rFonts w:cstheme="minorHAnsi"/>
                <w:b/>
                <w:bCs/>
                <w:sz w:val="21"/>
                <w:szCs w:val="21"/>
              </w:rPr>
              <w:t>March 2020</w:t>
            </w:r>
          </w:p>
          <w:p w14:paraId="5C97AAB1" w14:textId="635B228B" w:rsidR="00F00E3D" w:rsidRPr="00626827" w:rsidRDefault="00F00E3D" w:rsidP="00626827">
            <w:pPr>
              <w:spacing w:after="0" w:line="240" w:lineRule="auto"/>
              <w:rPr>
                <w:rFonts w:cstheme="minorHAnsi"/>
                <w:b/>
                <w:bCs/>
                <w:sz w:val="21"/>
                <w:szCs w:val="21"/>
              </w:rPr>
            </w:pPr>
          </w:p>
        </w:tc>
        <w:tc>
          <w:tcPr>
            <w:tcW w:w="1417" w:type="dxa"/>
            <w:shd w:val="clear" w:color="auto" w:fill="D0CECE" w:themeFill="background2" w:themeFillShade="E6"/>
          </w:tcPr>
          <w:p w14:paraId="5EF70382" w14:textId="3106237C" w:rsidR="00A800B2" w:rsidRDefault="00A800B2" w:rsidP="00626827">
            <w:pPr>
              <w:spacing w:after="0" w:line="240" w:lineRule="auto"/>
              <w:rPr>
                <w:rFonts w:cstheme="minorHAnsi"/>
                <w:b/>
                <w:bCs/>
                <w:sz w:val="21"/>
                <w:szCs w:val="21"/>
              </w:rPr>
            </w:pPr>
            <w:r>
              <w:rPr>
                <w:rFonts w:cstheme="minorHAnsi"/>
                <w:b/>
                <w:bCs/>
                <w:sz w:val="21"/>
                <w:szCs w:val="21"/>
              </w:rPr>
              <w:t xml:space="preserve">Rate </w:t>
            </w:r>
            <w:r w:rsidRPr="00626827">
              <w:rPr>
                <w:rFonts w:cstheme="minorHAnsi"/>
                <w:b/>
                <w:bCs/>
                <w:sz w:val="21"/>
                <w:szCs w:val="21"/>
              </w:rPr>
              <w:t>(%)</w:t>
            </w:r>
          </w:p>
          <w:p w14:paraId="5452F870" w14:textId="52D9AB43" w:rsidR="00F00E3D" w:rsidRPr="00626827" w:rsidRDefault="00F00E3D" w:rsidP="00626827">
            <w:pPr>
              <w:spacing w:after="0" w:line="240" w:lineRule="auto"/>
              <w:rPr>
                <w:rFonts w:cstheme="minorHAnsi"/>
                <w:b/>
                <w:bCs/>
                <w:sz w:val="21"/>
                <w:szCs w:val="21"/>
              </w:rPr>
            </w:pPr>
            <w:r w:rsidRPr="00626827">
              <w:rPr>
                <w:rFonts w:cstheme="minorHAnsi"/>
                <w:b/>
                <w:bCs/>
                <w:sz w:val="21"/>
                <w:szCs w:val="21"/>
              </w:rPr>
              <w:t xml:space="preserve">March 2020 </w:t>
            </w:r>
          </w:p>
        </w:tc>
        <w:tc>
          <w:tcPr>
            <w:tcW w:w="1417" w:type="dxa"/>
            <w:shd w:val="clear" w:color="auto" w:fill="D0CECE" w:themeFill="background2" w:themeFillShade="E6"/>
          </w:tcPr>
          <w:p w14:paraId="0E11B296" w14:textId="77777777" w:rsidR="00F00E3D" w:rsidRPr="00626827" w:rsidRDefault="00F00E3D" w:rsidP="00626827">
            <w:pPr>
              <w:spacing w:after="0" w:line="240" w:lineRule="auto"/>
              <w:rPr>
                <w:rFonts w:cstheme="minorHAnsi"/>
                <w:b/>
                <w:bCs/>
                <w:sz w:val="21"/>
                <w:szCs w:val="21"/>
              </w:rPr>
            </w:pPr>
            <w:r w:rsidRPr="00626827">
              <w:rPr>
                <w:rFonts w:cstheme="minorHAnsi"/>
                <w:b/>
                <w:bCs/>
                <w:sz w:val="21"/>
                <w:szCs w:val="21"/>
              </w:rPr>
              <w:t>Change</w:t>
            </w:r>
          </w:p>
        </w:tc>
      </w:tr>
      <w:tr w:rsidR="00F00E3D" w:rsidRPr="00626827" w14:paraId="580DB4B4" w14:textId="77777777" w:rsidTr="00626827">
        <w:trPr>
          <w:trHeight w:val="441"/>
        </w:trPr>
        <w:tc>
          <w:tcPr>
            <w:tcW w:w="2268" w:type="dxa"/>
          </w:tcPr>
          <w:p w14:paraId="1D06D376" w14:textId="77777777" w:rsidR="00F00E3D" w:rsidRPr="00626827" w:rsidRDefault="00F00E3D" w:rsidP="00626827">
            <w:pPr>
              <w:spacing w:after="0" w:line="276" w:lineRule="auto"/>
              <w:rPr>
                <w:rFonts w:asciiTheme="majorHAnsi" w:hAnsiTheme="majorHAnsi" w:cstheme="majorHAnsi"/>
                <w:sz w:val="21"/>
                <w:szCs w:val="21"/>
              </w:rPr>
            </w:pPr>
            <w:r w:rsidRPr="00626827">
              <w:rPr>
                <w:rFonts w:asciiTheme="majorHAnsi" w:hAnsiTheme="majorHAnsi" w:cstheme="majorHAnsi"/>
                <w:sz w:val="21"/>
                <w:szCs w:val="21"/>
              </w:rPr>
              <w:t>City of Greater Geelong</w:t>
            </w:r>
          </w:p>
        </w:tc>
        <w:tc>
          <w:tcPr>
            <w:tcW w:w="1416" w:type="dxa"/>
          </w:tcPr>
          <w:p w14:paraId="29EB22BF" w14:textId="6415EF6C"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15</w:t>
            </w:r>
            <w:r w:rsidR="00A800B2">
              <w:rPr>
                <w:rFonts w:asciiTheme="majorHAnsi" w:hAnsiTheme="majorHAnsi" w:cstheme="majorHAnsi"/>
                <w:sz w:val="21"/>
                <w:szCs w:val="21"/>
              </w:rPr>
              <w:t>,</w:t>
            </w:r>
            <w:r w:rsidRPr="00626827">
              <w:rPr>
                <w:rFonts w:asciiTheme="majorHAnsi" w:hAnsiTheme="majorHAnsi" w:cstheme="majorHAnsi"/>
                <w:sz w:val="21"/>
                <w:szCs w:val="21"/>
              </w:rPr>
              <w:t>590</w:t>
            </w:r>
          </w:p>
        </w:tc>
        <w:tc>
          <w:tcPr>
            <w:tcW w:w="1417" w:type="dxa"/>
          </w:tcPr>
          <w:p w14:paraId="3CA0BACD" w14:textId="77777777"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9.5</w:t>
            </w:r>
          </w:p>
        </w:tc>
        <w:tc>
          <w:tcPr>
            <w:tcW w:w="1417" w:type="dxa"/>
          </w:tcPr>
          <w:p w14:paraId="7D2B13E6" w14:textId="3CECC767"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9129</w:t>
            </w:r>
          </w:p>
        </w:tc>
        <w:tc>
          <w:tcPr>
            <w:tcW w:w="1417" w:type="dxa"/>
          </w:tcPr>
          <w:p w14:paraId="78A75F0E" w14:textId="77777777"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5.6</w:t>
            </w:r>
          </w:p>
        </w:tc>
        <w:tc>
          <w:tcPr>
            <w:tcW w:w="1417" w:type="dxa"/>
          </w:tcPr>
          <w:p w14:paraId="47F689B5" w14:textId="77777777"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+ 6 461</w:t>
            </w:r>
          </w:p>
        </w:tc>
      </w:tr>
      <w:tr w:rsidR="00F00E3D" w:rsidRPr="00626827" w14:paraId="40D24DC4" w14:textId="77777777" w:rsidTr="00626827">
        <w:trPr>
          <w:trHeight w:val="441"/>
        </w:trPr>
        <w:tc>
          <w:tcPr>
            <w:tcW w:w="2268" w:type="dxa"/>
          </w:tcPr>
          <w:p w14:paraId="20DA2FF7" w14:textId="77777777" w:rsidR="00F00E3D" w:rsidRPr="00626827" w:rsidRDefault="00F00E3D" w:rsidP="00626827">
            <w:pPr>
              <w:spacing w:after="0" w:line="276" w:lineRule="auto"/>
              <w:rPr>
                <w:rFonts w:asciiTheme="majorHAnsi" w:hAnsiTheme="majorHAnsi" w:cstheme="majorHAnsi"/>
                <w:sz w:val="21"/>
                <w:szCs w:val="21"/>
              </w:rPr>
            </w:pPr>
            <w:r w:rsidRPr="00626827">
              <w:rPr>
                <w:rFonts w:asciiTheme="majorHAnsi" w:hAnsiTheme="majorHAnsi" w:cstheme="majorHAnsi"/>
                <w:sz w:val="21"/>
                <w:szCs w:val="21"/>
              </w:rPr>
              <w:t>Corio-Norlane</w:t>
            </w:r>
          </w:p>
        </w:tc>
        <w:tc>
          <w:tcPr>
            <w:tcW w:w="1416" w:type="dxa"/>
          </w:tcPr>
          <w:p w14:paraId="6D6ED0A6" w14:textId="388EFF4A"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3389</w:t>
            </w:r>
          </w:p>
        </w:tc>
        <w:tc>
          <w:tcPr>
            <w:tcW w:w="1417" w:type="dxa"/>
          </w:tcPr>
          <w:p w14:paraId="4F4759CE" w14:textId="77777777"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18.8</w:t>
            </w:r>
          </w:p>
        </w:tc>
        <w:tc>
          <w:tcPr>
            <w:tcW w:w="1417" w:type="dxa"/>
          </w:tcPr>
          <w:p w14:paraId="7F4D0415" w14:textId="62AA9F45"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2508</w:t>
            </w:r>
          </w:p>
        </w:tc>
        <w:tc>
          <w:tcPr>
            <w:tcW w:w="1417" w:type="dxa"/>
          </w:tcPr>
          <w:p w14:paraId="48A28813" w14:textId="77777777"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13.9</w:t>
            </w:r>
          </w:p>
        </w:tc>
        <w:tc>
          <w:tcPr>
            <w:tcW w:w="1417" w:type="dxa"/>
          </w:tcPr>
          <w:p w14:paraId="1E4B10DA" w14:textId="77777777"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+ 891</w:t>
            </w:r>
          </w:p>
        </w:tc>
      </w:tr>
      <w:tr w:rsidR="00F00E3D" w:rsidRPr="00626827" w14:paraId="17FE689B" w14:textId="77777777" w:rsidTr="00626827">
        <w:trPr>
          <w:trHeight w:val="441"/>
        </w:trPr>
        <w:tc>
          <w:tcPr>
            <w:tcW w:w="2268" w:type="dxa"/>
          </w:tcPr>
          <w:p w14:paraId="5EFE387C" w14:textId="77777777" w:rsidR="00F00E3D" w:rsidRPr="00626827" w:rsidRDefault="00F00E3D" w:rsidP="00626827">
            <w:pPr>
              <w:spacing w:after="0" w:line="276" w:lineRule="auto"/>
              <w:rPr>
                <w:rFonts w:asciiTheme="majorHAnsi" w:hAnsiTheme="majorHAnsi" w:cstheme="majorHAnsi"/>
                <w:sz w:val="21"/>
                <w:szCs w:val="21"/>
              </w:rPr>
            </w:pPr>
            <w:r w:rsidRPr="00626827">
              <w:rPr>
                <w:rFonts w:asciiTheme="majorHAnsi" w:hAnsiTheme="majorHAnsi" w:cstheme="majorHAnsi"/>
                <w:sz w:val="21"/>
                <w:szCs w:val="21"/>
              </w:rPr>
              <w:t>Newcomb-Moolap</w:t>
            </w:r>
          </w:p>
        </w:tc>
        <w:tc>
          <w:tcPr>
            <w:tcW w:w="1416" w:type="dxa"/>
          </w:tcPr>
          <w:p w14:paraId="59C9D68B" w14:textId="60E499CA"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1374</w:t>
            </w:r>
          </w:p>
        </w:tc>
        <w:tc>
          <w:tcPr>
            <w:tcW w:w="1417" w:type="dxa"/>
          </w:tcPr>
          <w:p w14:paraId="2F38891C" w14:textId="77777777"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14.7</w:t>
            </w:r>
          </w:p>
        </w:tc>
        <w:tc>
          <w:tcPr>
            <w:tcW w:w="1417" w:type="dxa"/>
          </w:tcPr>
          <w:p w14:paraId="26F0BF41" w14:textId="77777777"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879</w:t>
            </w:r>
          </w:p>
        </w:tc>
        <w:tc>
          <w:tcPr>
            <w:tcW w:w="1417" w:type="dxa"/>
          </w:tcPr>
          <w:p w14:paraId="7CE5F069" w14:textId="77777777"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9.6</w:t>
            </w:r>
          </w:p>
        </w:tc>
        <w:tc>
          <w:tcPr>
            <w:tcW w:w="1417" w:type="dxa"/>
          </w:tcPr>
          <w:p w14:paraId="1C44D725" w14:textId="77777777" w:rsidR="00F00E3D" w:rsidRPr="00626827" w:rsidRDefault="00F00E3D" w:rsidP="00626827">
            <w:pPr>
              <w:spacing w:after="0" w:line="276" w:lineRule="auto"/>
              <w:jc w:val="center"/>
              <w:rPr>
                <w:rFonts w:asciiTheme="majorHAnsi" w:hAnsiTheme="majorHAnsi" w:cstheme="majorHAnsi"/>
                <w:sz w:val="21"/>
                <w:szCs w:val="21"/>
              </w:rPr>
            </w:pPr>
            <w:r w:rsidRPr="00626827">
              <w:rPr>
                <w:rFonts w:asciiTheme="majorHAnsi" w:hAnsiTheme="majorHAnsi" w:cstheme="majorHAnsi"/>
                <w:sz w:val="21"/>
                <w:szCs w:val="21"/>
              </w:rPr>
              <w:t>+ 495</w:t>
            </w:r>
          </w:p>
        </w:tc>
      </w:tr>
    </w:tbl>
    <w:p w14:paraId="15FFC4B3" w14:textId="6907B0FB" w:rsidR="00F00E3D" w:rsidRDefault="00626827" w:rsidP="00626827">
      <w:pPr>
        <w:spacing w:after="0" w:line="276" w:lineRule="auto"/>
        <w:rPr>
          <w:rFonts w:cstheme="minorHAnsi"/>
          <w:b/>
          <w:noProof/>
          <w:sz w:val="21"/>
          <w:szCs w:val="21"/>
        </w:rPr>
      </w:pPr>
      <w:r w:rsidRPr="00626827">
        <w:rPr>
          <w:rFonts w:cstheme="minorHAnsi"/>
          <w:b/>
          <w:sz w:val="21"/>
          <w:szCs w:val="21"/>
        </w:rPr>
        <w:t xml:space="preserve">Table </w:t>
      </w:r>
      <w:r w:rsidR="00F353BE">
        <w:rPr>
          <w:rFonts w:cstheme="minorHAnsi"/>
          <w:b/>
          <w:sz w:val="21"/>
          <w:szCs w:val="21"/>
        </w:rPr>
        <w:t>7.7</w:t>
      </w:r>
      <w:r w:rsidRPr="00626827">
        <w:rPr>
          <w:rFonts w:cstheme="minorHAnsi"/>
          <w:b/>
          <w:sz w:val="21"/>
          <w:szCs w:val="21"/>
        </w:rPr>
        <w:t>: Number</w:t>
      </w:r>
      <w:r>
        <w:rPr>
          <w:rFonts w:cstheme="minorHAnsi"/>
          <w:b/>
          <w:sz w:val="21"/>
          <w:szCs w:val="21"/>
        </w:rPr>
        <w:t xml:space="preserve"> of People</w:t>
      </w:r>
      <w:r w:rsidRPr="00626827">
        <w:rPr>
          <w:rFonts w:cstheme="minorHAnsi"/>
          <w:b/>
          <w:sz w:val="21"/>
          <w:szCs w:val="21"/>
        </w:rPr>
        <w:t xml:space="preserve"> on JobKeeper </w:t>
      </w:r>
      <w:r>
        <w:rPr>
          <w:rFonts w:cstheme="minorHAnsi"/>
          <w:b/>
          <w:sz w:val="21"/>
          <w:szCs w:val="21"/>
        </w:rPr>
        <w:t xml:space="preserve">Payments </w:t>
      </w:r>
      <w:r w:rsidRPr="00626827">
        <w:rPr>
          <w:rFonts w:cstheme="minorHAnsi"/>
          <w:b/>
          <w:sz w:val="21"/>
          <w:szCs w:val="21"/>
        </w:rPr>
        <w:t>(aged 15</w:t>
      </w:r>
      <w:r>
        <w:rPr>
          <w:rFonts w:cstheme="minorHAnsi"/>
          <w:b/>
          <w:sz w:val="21"/>
          <w:szCs w:val="21"/>
        </w:rPr>
        <w:t>–</w:t>
      </w:r>
      <w:r w:rsidRPr="00626827">
        <w:rPr>
          <w:rFonts w:cstheme="minorHAnsi"/>
          <w:b/>
          <w:sz w:val="21"/>
          <w:szCs w:val="21"/>
        </w:rPr>
        <w:t xml:space="preserve">64) </w:t>
      </w:r>
      <w:r w:rsidRPr="00626827">
        <w:rPr>
          <w:rFonts w:cstheme="minorHAnsi"/>
          <w:b/>
          <w:noProof/>
          <w:sz w:val="21"/>
          <w:szCs w:val="21"/>
        </w:rPr>
        <w:t>(</w:t>
      </w:r>
      <w:r>
        <w:rPr>
          <w:rFonts w:cstheme="minorHAnsi"/>
          <w:b/>
          <w:noProof/>
          <w:sz w:val="21"/>
          <w:szCs w:val="21"/>
        </w:rPr>
        <w:t xml:space="preserve">Source: </w:t>
      </w:r>
      <w:r w:rsidRPr="00626827">
        <w:rPr>
          <w:rFonts w:cstheme="minorHAnsi"/>
          <w:b/>
          <w:noProof/>
          <w:sz w:val="21"/>
          <w:szCs w:val="21"/>
        </w:rPr>
        <w:t>Profile.id, 2021)</w:t>
      </w:r>
    </w:p>
    <w:p w14:paraId="60C26CD6" w14:textId="77777777" w:rsidR="00626827" w:rsidRPr="00626827" w:rsidRDefault="00626827" w:rsidP="00626827">
      <w:pPr>
        <w:spacing w:after="0" w:line="276" w:lineRule="auto"/>
        <w:rPr>
          <w:rFonts w:cstheme="minorHAnsi"/>
          <w:b/>
          <w:sz w:val="12"/>
          <w:szCs w:val="12"/>
        </w:rPr>
      </w:pPr>
    </w:p>
    <w:p w14:paraId="5EC4E0F8" w14:textId="0D7535F0" w:rsidR="00904C7F" w:rsidRDefault="00F00E3D" w:rsidP="009B2FA7">
      <w:pPr>
        <w:spacing w:line="276" w:lineRule="auto"/>
        <w:rPr>
          <w:rFonts w:asciiTheme="majorHAnsi" w:hAnsiTheme="majorHAnsi" w:cstheme="majorHAnsi"/>
          <w:sz w:val="23"/>
          <w:szCs w:val="23"/>
        </w:rPr>
      </w:pPr>
      <w:r w:rsidRPr="00E91887">
        <w:rPr>
          <w:rFonts w:asciiTheme="majorHAnsi" w:hAnsiTheme="majorHAnsi" w:cstheme="majorHAnsi"/>
          <w:sz w:val="23"/>
          <w:szCs w:val="23"/>
        </w:rPr>
        <w:t xml:space="preserve">So, while the </w:t>
      </w:r>
      <w:r w:rsidR="00B27E8B">
        <w:rPr>
          <w:rFonts w:asciiTheme="majorHAnsi" w:hAnsiTheme="majorHAnsi" w:cstheme="majorHAnsi"/>
          <w:sz w:val="23"/>
          <w:szCs w:val="23"/>
        </w:rPr>
        <w:t xml:space="preserve">localities </w:t>
      </w:r>
      <w:r w:rsidR="00D94310">
        <w:rPr>
          <w:rFonts w:asciiTheme="majorHAnsi" w:hAnsiTheme="majorHAnsi" w:cstheme="majorHAnsi"/>
          <w:sz w:val="23"/>
          <w:szCs w:val="23"/>
        </w:rPr>
        <w:t>of focus</w:t>
      </w:r>
      <w:r w:rsidRPr="00E91887">
        <w:rPr>
          <w:rFonts w:asciiTheme="majorHAnsi" w:hAnsiTheme="majorHAnsi" w:cstheme="majorHAnsi"/>
          <w:sz w:val="23"/>
          <w:szCs w:val="23"/>
        </w:rPr>
        <w:t xml:space="preserve"> </w:t>
      </w:r>
      <w:r w:rsidR="00735A7F">
        <w:rPr>
          <w:rFonts w:asciiTheme="majorHAnsi" w:hAnsiTheme="majorHAnsi" w:cstheme="majorHAnsi"/>
          <w:sz w:val="23"/>
          <w:szCs w:val="23"/>
        </w:rPr>
        <w:t>have a long-running</w:t>
      </w:r>
      <w:r w:rsidRPr="00E91887">
        <w:rPr>
          <w:rFonts w:asciiTheme="majorHAnsi" w:hAnsiTheme="majorHAnsi" w:cstheme="majorHAnsi"/>
          <w:sz w:val="23"/>
          <w:szCs w:val="23"/>
        </w:rPr>
        <w:t xml:space="preserve"> unemployment problem, with rates far higher than other parts of the city, </w:t>
      </w:r>
      <w:r w:rsidR="00D94310" w:rsidRPr="00E91887">
        <w:rPr>
          <w:rFonts w:asciiTheme="majorHAnsi" w:hAnsiTheme="majorHAnsi" w:cstheme="majorHAnsi"/>
          <w:sz w:val="23"/>
          <w:szCs w:val="23"/>
        </w:rPr>
        <w:t xml:space="preserve">there was a marked improvement </w:t>
      </w:r>
      <w:r w:rsidRPr="00E91887">
        <w:rPr>
          <w:rFonts w:asciiTheme="majorHAnsi" w:hAnsiTheme="majorHAnsi" w:cstheme="majorHAnsi"/>
          <w:sz w:val="23"/>
          <w:szCs w:val="23"/>
        </w:rPr>
        <w:t xml:space="preserve">over 2019 and into the first </w:t>
      </w:r>
      <w:r w:rsidR="00735A7F">
        <w:rPr>
          <w:rFonts w:asciiTheme="majorHAnsi" w:hAnsiTheme="majorHAnsi" w:cstheme="majorHAnsi"/>
          <w:sz w:val="23"/>
          <w:szCs w:val="23"/>
        </w:rPr>
        <w:t>half</w:t>
      </w:r>
      <w:r w:rsidRPr="00E91887">
        <w:rPr>
          <w:rFonts w:asciiTheme="majorHAnsi" w:hAnsiTheme="majorHAnsi" w:cstheme="majorHAnsi"/>
          <w:sz w:val="23"/>
          <w:szCs w:val="23"/>
        </w:rPr>
        <w:t xml:space="preserve"> of 2020. At a time when </w:t>
      </w:r>
      <w:r w:rsidR="00B27E8B">
        <w:rPr>
          <w:rFonts w:asciiTheme="majorHAnsi" w:hAnsiTheme="majorHAnsi" w:cstheme="majorHAnsi"/>
          <w:sz w:val="23"/>
          <w:szCs w:val="23"/>
        </w:rPr>
        <w:t xml:space="preserve">people in </w:t>
      </w:r>
      <w:r w:rsidRPr="00E91887">
        <w:rPr>
          <w:rFonts w:asciiTheme="majorHAnsi" w:hAnsiTheme="majorHAnsi" w:cstheme="majorHAnsi"/>
          <w:sz w:val="23"/>
          <w:szCs w:val="23"/>
        </w:rPr>
        <w:t xml:space="preserve">most parts of </w:t>
      </w:r>
      <w:r w:rsidR="00B27E8B">
        <w:rPr>
          <w:rFonts w:asciiTheme="majorHAnsi" w:hAnsiTheme="majorHAnsi" w:cstheme="majorHAnsi"/>
          <w:sz w:val="23"/>
          <w:szCs w:val="23"/>
        </w:rPr>
        <w:t>Australia</w:t>
      </w:r>
      <w:r w:rsidRPr="00E91887">
        <w:rPr>
          <w:rFonts w:asciiTheme="majorHAnsi" w:hAnsiTheme="majorHAnsi" w:cstheme="majorHAnsi"/>
          <w:sz w:val="23"/>
          <w:szCs w:val="23"/>
        </w:rPr>
        <w:t xml:space="preserve"> were losing jobs in great numbers, these three disadvantaged localities were </w:t>
      </w:r>
      <w:r w:rsidR="00735A7F">
        <w:rPr>
          <w:rFonts w:asciiTheme="majorHAnsi" w:hAnsiTheme="majorHAnsi" w:cstheme="majorHAnsi"/>
          <w:sz w:val="23"/>
          <w:szCs w:val="23"/>
        </w:rPr>
        <w:t xml:space="preserve">bucking the trend and </w:t>
      </w:r>
      <w:r w:rsidR="00B27E8B">
        <w:rPr>
          <w:rFonts w:asciiTheme="majorHAnsi" w:hAnsiTheme="majorHAnsi" w:cstheme="majorHAnsi"/>
          <w:sz w:val="23"/>
          <w:szCs w:val="23"/>
        </w:rPr>
        <w:t xml:space="preserve">experiencing declining </w:t>
      </w:r>
      <w:r w:rsidR="00D94310">
        <w:rPr>
          <w:rFonts w:asciiTheme="majorHAnsi" w:hAnsiTheme="majorHAnsi" w:cstheme="majorHAnsi"/>
          <w:sz w:val="23"/>
          <w:szCs w:val="23"/>
        </w:rPr>
        <w:t xml:space="preserve">rates of </w:t>
      </w:r>
      <w:r w:rsidRPr="00E91887">
        <w:rPr>
          <w:rFonts w:asciiTheme="majorHAnsi" w:hAnsiTheme="majorHAnsi" w:cstheme="majorHAnsi"/>
          <w:sz w:val="23"/>
          <w:szCs w:val="23"/>
        </w:rPr>
        <w:t>unemployment</w:t>
      </w:r>
      <w:r w:rsidR="00B27E8B">
        <w:rPr>
          <w:rFonts w:asciiTheme="majorHAnsi" w:hAnsiTheme="majorHAnsi" w:cstheme="majorHAnsi"/>
          <w:sz w:val="23"/>
          <w:szCs w:val="23"/>
        </w:rPr>
        <w:t xml:space="preserve">. This invites much </w:t>
      </w:r>
      <w:r w:rsidRPr="00E91887">
        <w:rPr>
          <w:rFonts w:asciiTheme="majorHAnsi" w:hAnsiTheme="majorHAnsi" w:cstheme="majorHAnsi"/>
          <w:sz w:val="23"/>
          <w:szCs w:val="23"/>
        </w:rPr>
        <w:t xml:space="preserve">closer </w:t>
      </w:r>
      <w:r w:rsidR="00B27E8B">
        <w:rPr>
          <w:rFonts w:asciiTheme="majorHAnsi" w:hAnsiTheme="majorHAnsi" w:cstheme="majorHAnsi"/>
          <w:sz w:val="23"/>
          <w:szCs w:val="23"/>
        </w:rPr>
        <w:t>examination of</w:t>
      </w:r>
      <w:r w:rsidRPr="00E91887">
        <w:rPr>
          <w:rFonts w:asciiTheme="majorHAnsi" w:hAnsiTheme="majorHAnsi" w:cstheme="majorHAnsi"/>
          <w:sz w:val="23"/>
          <w:szCs w:val="23"/>
        </w:rPr>
        <w:t xml:space="preserve"> </w:t>
      </w:r>
      <w:r w:rsidR="00735A7F">
        <w:rPr>
          <w:rFonts w:asciiTheme="majorHAnsi" w:hAnsiTheme="majorHAnsi" w:cstheme="majorHAnsi"/>
          <w:sz w:val="23"/>
          <w:szCs w:val="23"/>
        </w:rPr>
        <w:t xml:space="preserve">the </w:t>
      </w:r>
      <w:r w:rsidRPr="00E91887">
        <w:rPr>
          <w:rFonts w:asciiTheme="majorHAnsi" w:hAnsiTheme="majorHAnsi" w:cstheme="majorHAnsi"/>
          <w:sz w:val="23"/>
          <w:szCs w:val="23"/>
        </w:rPr>
        <w:t>economic developments, employment sectors</w:t>
      </w:r>
      <w:r w:rsidR="00B27E8B">
        <w:rPr>
          <w:rFonts w:asciiTheme="majorHAnsi" w:hAnsiTheme="majorHAnsi" w:cstheme="majorHAnsi"/>
          <w:sz w:val="23"/>
          <w:szCs w:val="23"/>
        </w:rPr>
        <w:t>,</w:t>
      </w:r>
      <w:r w:rsidRPr="00E91887">
        <w:rPr>
          <w:rFonts w:asciiTheme="majorHAnsi" w:hAnsiTheme="majorHAnsi" w:cstheme="majorHAnsi"/>
          <w:sz w:val="23"/>
          <w:szCs w:val="23"/>
        </w:rPr>
        <w:t xml:space="preserve"> policy interventions</w:t>
      </w:r>
      <w:r w:rsidR="00B27E8B">
        <w:rPr>
          <w:rFonts w:asciiTheme="majorHAnsi" w:hAnsiTheme="majorHAnsi" w:cstheme="majorHAnsi"/>
          <w:sz w:val="23"/>
          <w:szCs w:val="23"/>
        </w:rPr>
        <w:t>,</w:t>
      </w:r>
      <w:r w:rsidRPr="00E91887">
        <w:rPr>
          <w:rFonts w:asciiTheme="majorHAnsi" w:hAnsiTheme="majorHAnsi" w:cstheme="majorHAnsi"/>
          <w:sz w:val="23"/>
          <w:szCs w:val="23"/>
        </w:rPr>
        <w:t xml:space="preserve"> or other actions – </w:t>
      </w:r>
      <w:r w:rsidR="00B27E8B">
        <w:rPr>
          <w:rFonts w:asciiTheme="majorHAnsi" w:hAnsiTheme="majorHAnsi" w:cstheme="majorHAnsi"/>
          <w:sz w:val="23"/>
          <w:szCs w:val="23"/>
        </w:rPr>
        <w:t xml:space="preserve">whether </w:t>
      </w:r>
      <w:r w:rsidRPr="00E91887">
        <w:rPr>
          <w:rFonts w:asciiTheme="majorHAnsi" w:hAnsiTheme="majorHAnsi" w:cstheme="majorHAnsi"/>
          <w:sz w:val="23"/>
          <w:szCs w:val="23"/>
        </w:rPr>
        <w:t xml:space="preserve">by community groups, </w:t>
      </w:r>
      <w:r w:rsidR="00B27E8B">
        <w:rPr>
          <w:rFonts w:asciiTheme="majorHAnsi" w:hAnsiTheme="majorHAnsi" w:cstheme="majorHAnsi"/>
          <w:sz w:val="23"/>
          <w:szCs w:val="23"/>
        </w:rPr>
        <w:t>j</w:t>
      </w:r>
      <w:r w:rsidRPr="00E91887">
        <w:rPr>
          <w:rFonts w:asciiTheme="majorHAnsi" w:hAnsiTheme="majorHAnsi" w:cstheme="majorHAnsi"/>
          <w:sz w:val="23"/>
          <w:szCs w:val="23"/>
        </w:rPr>
        <w:t>ob agencies, employers</w:t>
      </w:r>
      <w:r w:rsidR="00B27E8B">
        <w:rPr>
          <w:rFonts w:asciiTheme="majorHAnsi" w:hAnsiTheme="majorHAnsi" w:cstheme="majorHAnsi"/>
          <w:sz w:val="23"/>
          <w:szCs w:val="23"/>
        </w:rPr>
        <w:t>,</w:t>
      </w:r>
      <w:r w:rsidRPr="00E91887">
        <w:rPr>
          <w:rFonts w:asciiTheme="majorHAnsi" w:hAnsiTheme="majorHAnsi" w:cstheme="majorHAnsi"/>
          <w:sz w:val="23"/>
          <w:szCs w:val="23"/>
        </w:rPr>
        <w:t xml:space="preserve"> or </w:t>
      </w:r>
      <w:r w:rsidR="00B27E8B">
        <w:rPr>
          <w:rFonts w:asciiTheme="majorHAnsi" w:hAnsiTheme="majorHAnsi" w:cstheme="majorHAnsi"/>
          <w:sz w:val="23"/>
          <w:szCs w:val="23"/>
        </w:rPr>
        <w:t>residents</w:t>
      </w:r>
      <w:r w:rsidRPr="00E91887">
        <w:rPr>
          <w:rFonts w:asciiTheme="majorHAnsi" w:hAnsiTheme="majorHAnsi" w:cstheme="majorHAnsi"/>
          <w:sz w:val="23"/>
          <w:szCs w:val="23"/>
        </w:rPr>
        <w:t xml:space="preserve"> themselves – </w:t>
      </w:r>
      <w:r w:rsidR="00735A7F">
        <w:rPr>
          <w:rFonts w:asciiTheme="majorHAnsi" w:hAnsiTheme="majorHAnsi" w:cstheme="majorHAnsi"/>
          <w:sz w:val="23"/>
          <w:szCs w:val="23"/>
        </w:rPr>
        <w:t>that contributed to this improvement</w:t>
      </w:r>
      <w:r w:rsidR="006B5838">
        <w:rPr>
          <w:rFonts w:asciiTheme="majorHAnsi" w:hAnsiTheme="majorHAnsi" w:cstheme="majorHAnsi"/>
          <w:sz w:val="23"/>
          <w:szCs w:val="23"/>
        </w:rPr>
        <w:t xml:space="preserve"> in local employment figures</w:t>
      </w:r>
      <w:r w:rsidR="00735A7F">
        <w:rPr>
          <w:rFonts w:asciiTheme="majorHAnsi" w:hAnsiTheme="majorHAnsi" w:cstheme="majorHAnsi"/>
          <w:sz w:val="23"/>
          <w:szCs w:val="23"/>
        </w:rPr>
        <w:t>.</w:t>
      </w:r>
      <w:r w:rsidR="00904C7F">
        <w:rPr>
          <w:rFonts w:asciiTheme="majorHAnsi" w:hAnsiTheme="majorHAnsi" w:cstheme="majorHAnsi"/>
          <w:sz w:val="23"/>
          <w:szCs w:val="23"/>
        </w:rPr>
        <w:t xml:space="preserve"> </w:t>
      </w:r>
      <w:r w:rsidR="006B5838">
        <w:rPr>
          <w:rFonts w:asciiTheme="majorHAnsi" w:hAnsiTheme="majorHAnsi" w:cstheme="majorHAnsi"/>
          <w:sz w:val="23"/>
          <w:szCs w:val="23"/>
        </w:rPr>
        <w:t>The early stages of the pandemic evidently created</w:t>
      </w:r>
      <w:r w:rsidR="006B5838" w:rsidRPr="00E91887">
        <w:rPr>
          <w:rFonts w:asciiTheme="majorHAnsi" w:hAnsiTheme="majorHAnsi" w:cstheme="majorHAnsi"/>
          <w:sz w:val="23"/>
          <w:szCs w:val="23"/>
        </w:rPr>
        <w:t xml:space="preserve"> additional job opportunities in the health, transport, cleaning, food</w:t>
      </w:r>
      <w:r w:rsidR="006B5838">
        <w:rPr>
          <w:rFonts w:asciiTheme="majorHAnsi" w:hAnsiTheme="majorHAnsi" w:cstheme="majorHAnsi"/>
          <w:sz w:val="23"/>
          <w:szCs w:val="23"/>
        </w:rPr>
        <w:t>,</w:t>
      </w:r>
      <w:r w:rsidR="006B5838" w:rsidRPr="00E91887">
        <w:rPr>
          <w:rFonts w:asciiTheme="majorHAnsi" w:hAnsiTheme="majorHAnsi" w:cstheme="majorHAnsi"/>
          <w:sz w:val="23"/>
          <w:szCs w:val="23"/>
        </w:rPr>
        <w:t xml:space="preserve"> and social assistance sector</w:t>
      </w:r>
      <w:r w:rsidR="006B5838">
        <w:rPr>
          <w:rFonts w:asciiTheme="majorHAnsi" w:hAnsiTheme="majorHAnsi" w:cstheme="majorHAnsi"/>
          <w:sz w:val="23"/>
          <w:szCs w:val="23"/>
        </w:rPr>
        <w:t>s</w:t>
      </w:r>
      <w:r w:rsidR="006B5838" w:rsidRPr="00E91887">
        <w:rPr>
          <w:rFonts w:asciiTheme="majorHAnsi" w:hAnsiTheme="majorHAnsi" w:cstheme="majorHAnsi"/>
          <w:sz w:val="23"/>
          <w:szCs w:val="23"/>
        </w:rPr>
        <w:t>.</w:t>
      </w:r>
      <w:r w:rsidR="006B5838">
        <w:rPr>
          <w:rFonts w:asciiTheme="majorHAnsi" w:hAnsiTheme="majorHAnsi" w:cstheme="majorHAnsi"/>
          <w:sz w:val="23"/>
          <w:szCs w:val="23"/>
        </w:rPr>
        <w:t xml:space="preserve"> And perhaps </w:t>
      </w:r>
      <w:r w:rsidR="00904C7F">
        <w:rPr>
          <w:rFonts w:asciiTheme="majorHAnsi" w:hAnsiTheme="majorHAnsi" w:cstheme="majorHAnsi"/>
          <w:sz w:val="23"/>
          <w:szCs w:val="23"/>
        </w:rPr>
        <w:t>o</w:t>
      </w:r>
      <w:r w:rsidRPr="00E91887">
        <w:rPr>
          <w:rFonts w:asciiTheme="majorHAnsi" w:hAnsiTheme="majorHAnsi" w:cstheme="majorHAnsi"/>
          <w:sz w:val="23"/>
          <w:szCs w:val="23"/>
        </w:rPr>
        <w:t>rganisations such as Northern Futures and GROW were</w:t>
      </w:r>
      <w:r w:rsidR="00B27E8B">
        <w:rPr>
          <w:rFonts w:asciiTheme="majorHAnsi" w:hAnsiTheme="majorHAnsi" w:cstheme="majorHAnsi"/>
          <w:sz w:val="23"/>
          <w:szCs w:val="23"/>
        </w:rPr>
        <w:t xml:space="preserve"> </w:t>
      </w:r>
      <w:r w:rsidRPr="00E91887">
        <w:rPr>
          <w:rFonts w:asciiTheme="majorHAnsi" w:hAnsiTheme="majorHAnsi" w:cstheme="majorHAnsi"/>
          <w:sz w:val="23"/>
          <w:szCs w:val="23"/>
        </w:rPr>
        <w:t xml:space="preserve">even more effective </w:t>
      </w:r>
      <w:r w:rsidR="00410FFA">
        <w:rPr>
          <w:rFonts w:asciiTheme="majorHAnsi" w:hAnsiTheme="majorHAnsi" w:cstheme="majorHAnsi"/>
          <w:sz w:val="23"/>
          <w:szCs w:val="23"/>
        </w:rPr>
        <w:t>during this time</w:t>
      </w:r>
      <w:r w:rsidR="006B5838">
        <w:rPr>
          <w:rFonts w:asciiTheme="majorHAnsi" w:hAnsiTheme="majorHAnsi" w:cstheme="majorHAnsi"/>
          <w:sz w:val="23"/>
          <w:szCs w:val="23"/>
        </w:rPr>
        <w:t>.</w:t>
      </w:r>
      <w:r w:rsidRPr="00E91887">
        <w:rPr>
          <w:rFonts w:asciiTheme="majorHAnsi" w:hAnsiTheme="majorHAnsi" w:cstheme="majorHAnsi"/>
          <w:sz w:val="23"/>
          <w:szCs w:val="23"/>
        </w:rPr>
        <w:t xml:space="preserve"> </w:t>
      </w:r>
    </w:p>
    <w:p w14:paraId="1029B7F5" w14:textId="6A7B9525" w:rsidR="00F00E3D" w:rsidRPr="00E91887" w:rsidRDefault="00F00E3D" w:rsidP="009B2FA7">
      <w:pPr>
        <w:spacing w:line="276" w:lineRule="auto"/>
        <w:rPr>
          <w:rFonts w:asciiTheme="majorHAnsi" w:hAnsiTheme="majorHAnsi" w:cstheme="majorHAnsi"/>
          <w:sz w:val="23"/>
          <w:szCs w:val="23"/>
        </w:rPr>
      </w:pPr>
      <w:r w:rsidRPr="00E91887">
        <w:rPr>
          <w:rFonts w:asciiTheme="majorHAnsi" w:hAnsiTheme="majorHAnsi" w:cstheme="majorHAnsi"/>
          <w:sz w:val="23"/>
          <w:szCs w:val="23"/>
        </w:rPr>
        <w:t xml:space="preserve">However, this early </w:t>
      </w:r>
      <w:r w:rsidR="00D94310">
        <w:rPr>
          <w:rFonts w:asciiTheme="majorHAnsi" w:hAnsiTheme="majorHAnsi" w:cstheme="majorHAnsi"/>
          <w:sz w:val="23"/>
          <w:szCs w:val="23"/>
        </w:rPr>
        <w:t xml:space="preserve">positive </w:t>
      </w:r>
      <w:r w:rsidRPr="00E91887">
        <w:rPr>
          <w:rFonts w:asciiTheme="majorHAnsi" w:hAnsiTheme="majorHAnsi" w:cstheme="majorHAnsi"/>
          <w:sz w:val="23"/>
          <w:szCs w:val="23"/>
        </w:rPr>
        <w:t xml:space="preserve">pattern was decisively reversed in the latter part of 2020, with significant increases in the numbers and proportion of </w:t>
      </w:r>
      <w:r w:rsidR="00D94310">
        <w:rPr>
          <w:rFonts w:asciiTheme="majorHAnsi" w:hAnsiTheme="majorHAnsi" w:cstheme="majorHAnsi"/>
          <w:sz w:val="23"/>
          <w:szCs w:val="23"/>
        </w:rPr>
        <w:t>residents</w:t>
      </w:r>
      <w:r w:rsidRPr="00E91887">
        <w:rPr>
          <w:rFonts w:asciiTheme="majorHAnsi" w:hAnsiTheme="majorHAnsi" w:cstheme="majorHAnsi"/>
          <w:sz w:val="23"/>
          <w:szCs w:val="23"/>
        </w:rPr>
        <w:t xml:space="preserve"> in the three localities receiving Job</w:t>
      </w:r>
      <w:r w:rsidR="006B5838">
        <w:rPr>
          <w:rFonts w:asciiTheme="majorHAnsi" w:hAnsiTheme="majorHAnsi" w:cstheme="majorHAnsi"/>
          <w:sz w:val="23"/>
          <w:szCs w:val="23"/>
        </w:rPr>
        <w:t>S</w:t>
      </w:r>
      <w:r w:rsidRPr="00E91887">
        <w:rPr>
          <w:rFonts w:asciiTheme="majorHAnsi" w:hAnsiTheme="majorHAnsi" w:cstheme="majorHAnsi"/>
          <w:sz w:val="23"/>
          <w:szCs w:val="23"/>
        </w:rPr>
        <w:t>eeker</w:t>
      </w:r>
      <w:r w:rsidR="00D94310">
        <w:rPr>
          <w:rFonts w:asciiTheme="majorHAnsi" w:hAnsiTheme="majorHAnsi" w:cstheme="majorHAnsi"/>
          <w:sz w:val="23"/>
          <w:szCs w:val="23"/>
        </w:rPr>
        <w:t xml:space="preserve"> payments</w:t>
      </w:r>
      <w:r w:rsidRPr="00E91887">
        <w:rPr>
          <w:rFonts w:asciiTheme="majorHAnsi" w:hAnsiTheme="majorHAnsi" w:cstheme="majorHAnsi"/>
          <w:sz w:val="23"/>
          <w:szCs w:val="23"/>
        </w:rPr>
        <w:t xml:space="preserve">. </w:t>
      </w:r>
      <w:r w:rsidR="006B5838">
        <w:rPr>
          <w:rFonts w:asciiTheme="majorHAnsi" w:hAnsiTheme="majorHAnsi" w:cstheme="majorHAnsi"/>
          <w:sz w:val="23"/>
          <w:szCs w:val="23"/>
        </w:rPr>
        <w:t>The</w:t>
      </w:r>
      <w:r w:rsidRPr="00E91887">
        <w:rPr>
          <w:rFonts w:asciiTheme="majorHAnsi" w:hAnsiTheme="majorHAnsi" w:cstheme="majorHAnsi"/>
          <w:sz w:val="23"/>
          <w:szCs w:val="23"/>
        </w:rPr>
        <w:t xml:space="preserve"> </w:t>
      </w:r>
      <w:r w:rsidR="00D94310">
        <w:rPr>
          <w:rFonts w:asciiTheme="majorHAnsi" w:hAnsiTheme="majorHAnsi" w:cstheme="majorHAnsi"/>
          <w:sz w:val="23"/>
          <w:szCs w:val="23"/>
        </w:rPr>
        <w:t>cessation of</w:t>
      </w:r>
      <w:r w:rsidRPr="00E91887">
        <w:rPr>
          <w:rFonts w:asciiTheme="majorHAnsi" w:hAnsiTheme="majorHAnsi" w:cstheme="majorHAnsi"/>
          <w:sz w:val="23"/>
          <w:szCs w:val="23"/>
        </w:rPr>
        <w:t xml:space="preserve"> </w:t>
      </w:r>
      <w:r w:rsidR="006B5838">
        <w:rPr>
          <w:rFonts w:asciiTheme="majorHAnsi" w:hAnsiTheme="majorHAnsi" w:cstheme="majorHAnsi"/>
          <w:sz w:val="23"/>
          <w:szCs w:val="23"/>
        </w:rPr>
        <w:t xml:space="preserve">the </w:t>
      </w:r>
      <w:r w:rsidRPr="00E91887">
        <w:rPr>
          <w:rFonts w:asciiTheme="majorHAnsi" w:hAnsiTheme="majorHAnsi" w:cstheme="majorHAnsi"/>
          <w:sz w:val="23"/>
          <w:szCs w:val="23"/>
        </w:rPr>
        <w:t>Job</w:t>
      </w:r>
      <w:r w:rsidR="006B5838">
        <w:rPr>
          <w:rFonts w:asciiTheme="majorHAnsi" w:hAnsiTheme="majorHAnsi" w:cstheme="majorHAnsi"/>
          <w:sz w:val="23"/>
          <w:szCs w:val="23"/>
        </w:rPr>
        <w:t>S</w:t>
      </w:r>
      <w:r w:rsidRPr="00E91887">
        <w:rPr>
          <w:rFonts w:asciiTheme="majorHAnsi" w:hAnsiTheme="majorHAnsi" w:cstheme="majorHAnsi"/>
          <w:sz w:val="23"/>
          <w:szCs w:val="23"/>
        </w:rPr>
        <w:t xml:space="preserve">eeker </w:t>
      </w:r>
      <w:r w:rsidR="004536A3">
        <w:rPr>
          <w:rFonts w:asciiTheme="majorHAnsi" w:hAnsiTheme="majorHAnsi" w:cstheme="majorHAnsi"/>
          <w:sz w:val="23"/>
          <w:szCs w:val="23"/>
        </w:rPr>
        <w:t>Coronavirus S</w:t>
      </w:r>
      <w:r w:rsidR="006B5838">
        <w:rPr>
          <w:rFonts w:asciiTheme="majorHAnsi" w:hAnsiTheme="majorHAnsi" w:cstheme="majorHAnsi"/>
          <w:sz w:val="23"/>
          <w:szCs w:val="23"/>
        </w:rPr>
        <w:t xml:space="preserve">ubsidy </w:t>
      </w:r>
      <w:r w:rsidR="004536A3">
        <w:rPr>
          <w:rFonts w:asciiTheme="majorHAnsi" w:hAnsiTheme="majorHAnsi" w:cstheme="majorHAnsi"/>
          <w:sz w:val="23"/>
          <w:szCs w:val="23"/>
        </w:rPr>
        <w:t>in late</w:t>
      </w:r>
      <w:r w:rsidRPr="00E91887">
        <w:rPr>
          <w:rFonts w:asciiTheme="majorHAnsi" w:hAnsiTheme="majorHAnsi" w:cstheme="majorHAnsi"/>
          <w:sz w:val="23"/>
          <w:szCs w:val="23"/>
        </w:rPr>
        <w:t xml:space="preserve"> March 2021 </w:t>
      </w:r>
      <w:r w:rsidR="004536A3">
        <w:rPr>
          <w:rFonts w:asciiTheme="majorHAnsi" w:hAnsiTheme="majorHAnsi" w:cstheme="majorHAnsi"/>
          <w:sz w:val="23"/>
          <w:szCs w:val="23"/>
        </w:rPr>
        <w:t>will</w:t>
      </w:r>
      <w:r w:rsidRPr="00E91887">
        <w:rPr>
          <w:rFonts w:asciiTheme="majorHAnsi" w:hAnsiTheme="majorHAnsi" w:cstheme="majorHAnsi"/>
          <w:sz w:val="23"/>
          <w:szCs w:val="23"/>
        </w:rPr>
        <w:t xml:space="preserve"> have a major impact on these areas and their vulnerable populations.</w:t>
      </w:r>
      <w:r w:rsidR="00904C7F">
        <w:rPr>
          <w:rFonts w:asciiTheme="majorHAnsi" w:hAnsiTheme="majorHAnsi" w:cstheme="majorHAnsi"/>
          <w:sz w:val="23"/>
          <w:szCs w:val="23"/>
        </w:rPr>
        <w:t xml:space="preserve"> </w:t>
      </w:r>
      <w:r w:rsidR="006B5838">
        <w:rPr>
          <w:rFonts w:asciiTheme="majorHAnsi" w:hAnsiTheme="majorHAnsi" w:cstheme="majorHAnsi"/>
          <w:sz w:val="23"/>
          <w:szCs w:val="23"/>
        </w:rPr>
        <w:t xml:space="preserve">This concern </w:t>
      </w:r>
      <w:r w:rsidR="00CF4907">
        <w:rPr>
          <w:rFonts w:asciiTheme="majorHAnsi" w:hAnsiTheme="majorHAnsi" w:cstheme="majorHAnsi"/>
          <w:sz w:val="23"/>
          <w:szCs w:val="23"/>
        </w:rPr>
        <w:t>i</w:t>
      </w:r>
      <w:r w:rsidR="006B5838">
        <w:rPr>
          <w:rFonts w:asciiTheme="majorHAnsi" w:hAnsiTheme="majorHAnsi" w:cstheme="majorHAnsi"/>
          <w:sz w:val="23"/>
          <w:szCs w:val="23"/>
        </w:rPr>
        <w:t>s underlined in the next stage of this research, in our consultations with community organisations (see Section 8).</w:t>
      </w:r>
      <w:r w:rsidR="00CF4907" w:rsidRPr="00CF4907">
        <w:t xml:space="preserve"> </w:t>
      </w:r>
      <w:r w:rsidR="00CF4907" w:rsidRPr="00CF4907">
        <w:rPr>
          <w:rFonts w:asciiTheme="majorHAnsi" w:hAnsiTheme="majorHAnsi" w:cstheme="majorHAnsi"/>
          <w:sz w:val="23"/>
          <w:szCs w:val="23"/>
        </w:rPr>
        <w:t>For details of payment</w:t>
      </w:r>
      <w:r w:rsidR="00CF4907">
        <w:rPr>
          <w:rFonts w:asciiTheme="majorHAnsi" w:hAnsiTheme="majorHAnsi" w:cstheme="majorHAnsi"/>
          <w:sz w:val="23"/>
          <w:szCs w:val="23"/>
        </w:rPr>
        <w:t xml:space="preserve"> wind-backs</w:t>
      </w:r>
      <w:r w:rsidR="00CF4907" w:rsidRPr="00CF4907">
        <w:rPr>
          <w:rFonts w:asciiTheme="majorHAnsi" w:hAnsiTheme="majorHAnsi" w:cstheme="majorHAnsi"/>
          <w:sz w:val="23"/>
          <w:szCs w:val="23"/>
        </w:rPr>
        <w:t xml:space="preserve"> </w:t>
      </w:r>
      <w:r w:rsidR="00CF4907">
        <w:rPr>
          <w:rFonts w:asciiTheme="majorHAnsi" w:hAnsiTheme="majorHAnsi" w:cstheme="majorHAnsi"/>
          <w:sz w:val="23"/>
          <w:szCs w:val="23"/>
        </w:rPr>
        <w:t>and</w:t>
      </w:r>
      <w:r w:rsidR="00CF4907" w:rsidRPr="00CF4907">
        <w:rPr>
          <w:rFonts w:asciiTheme="majorHAnsi" w:hAnsiTheme="majorHAnsi" w:cstheme="majorHAnsi"/>
          <w:sz w:val="23"/>
          <w:szCs w:val="23"/>
        </w:rPr>
        <w:t xml:space="preserve"> current JobSeeker </w:t>
      </w:r>
      <w:r w:rsidR="00CF4907">
        <w:rPr>
          <w:rFonts w:asciiTheme="majorHAnsi" w:hAnsiTheme="majorHAnsi" w:cstheme="majorHAnsi"/>
          <w:sz w:val="23"/>
          <w:szCs w:val="23"/>
        </w:rPr>
        <w:t>rate</w:t>
      </w:r>
      <w:r w:rsidR="00CF4907" w:rsidRPr="00CF4907">
        <w:rPr>
          <w:rFonts w:asciiTheme="majorHAnsi" w:hAnsiTheme="majorHAnsi" w:cstheme="majorHAnsi"/>
          <w:sz w:val="23"/>
          <w:szCs w:val="23"/>
        </w:rPr>
        <w:t>s, see Section 2</w:t>
      </w:r>
      <w:r w:rsidR="00F353BE">
        <w:rPr>
          <w:rFonts w:asciiTheme="majorHAnsi" w:hAnsiTheme="majorHAnsi" w:cstheme="majorHAnsi"/>
          <w:sz w:val="23"/>
          <w:szCs w:val="23"/>
        </w:rPr>
        <w:t>: Policy Contexts</w:t>
      </w:r>
      <w:r w:rsidR="00CF4907" w:rsidRPr="00CF4907">
        <w:rPr>
          <w:rFonts w:asciiTheme="majorHAnsi" w:hAnsiTheme="majorHAnsi" w:cstheme="majorHAnsi"/>
          <w:sz w:val="23"/>
          <w:szCs w:val="23"/>
        </w:rPr>
        <w:t xml:space="preserve"> (p.13)</w:t>
      </w:r>
    </w:p>
    <w:p w14:paraId="2B82FCEF" w14:textId="77777777" w:rsidR="00F00E3D" w:rsidRPr="002C52A2" w:rsidRDefault="00F00E3D" w:rsidP="009B2FA7">
      <w:pPr>
        <w:spacing w:line="276" w:lineRule="auto"/>
        <w:rPr>
          <w:rFonts w:cstheme="minorHAnsi"/>
          <w:b/>
          <w:color w:val="2F5496" w:themeColor="accent1" w:themeShade="BF"/>
          <w:sz w:val="25"/>
          <w:szCs w:val="25"/>
        </w:rPr>
      </w:pPr>
      <w:r w:rsidRPr="002C52A2">
        <w:rPr>
          <w:rFonts w:eastAsiaTheme="majorEastAsia" w:cstheme="minorHAnsi"/>
          <w:b/>
          <w:color w:val="2F5496" w:themeColor="accent1" w:themeShade="BF"/>
          <w:sz w:val="25"/>
          <w:szCs w:val="25"/>
        </w:rPr>
        <w:t>Housing</w:t>
      </w:r>
    </w:p>
    <w:p w14:paraId="52EBEC73" w14:textId="77777777" w:rsidR="00410FFA" w:rsidRPr="00410FFA" w:rsidRDefault="00F00E3D" w:rsidP="009B2FA7">
      <w:pPr>
        <w:spacing w:line="276" w:lineRule="auto"/>
        <w:rPr>
          <w:rFonts w:asciiTheme="majorHAnsi" w:hAnsiTheme="majorHAnsi" w:cstheme="majorHAnsi"/>
          <w:sz w:val="23"/>
          <w:szCs w:val="23"/>
        </w:rPr>
      </w:pPr>
      <w:r w:rsidRPr="00E91887">
        <w:rPr>
          <w:rFonts w:asciiTheme="majorHAnsi" w:hAnsiTheme="majorHAnsi" w:cstheme="majorHAnsi"/>
          <w:sz w:val="23"/>
          <w:szCs w:val="23"/>
        </w:rPr>
        <w:t>We know that the areas of Corio, but more particularly Norlane and Whittington have high concentrations of public housing. Many of these units were built in the 1950s and 60s and were not always of high quality or appropriate for today’s expectations. Many are coming to the end of their lives and some have already been replaced as part of Neighbourhood Renewal and Renew Norlane policies in the past.</w:t>
      </w:r>
    </w:p>
    <w:p w14:paraId="5B2E28E0" w14:textId="4B26F942" w:rsidR="00F00E3D" w:rsidRDefault="00F00E3D" w:rsidP="009B2FA7">
      <w:pPr>
        <w:spacing w:line="276" w:lineRule="auto"/>
        <w:rPr>
          <w:rFonts w:asciiTheme="majorHAnsi" w:hAnsiTheme="majorHAnsi" w:cstheme="majorHAnsi"/>
          <w:sz w:val="23"/>
          <w:szCs w:val="23"/>
        </w:rPr>
      </w:pPr>
      <w:r w:rsidRPr="00410FFA">
        <w:rPr>
          <w:rFonts w:asciiTheme="majorHAnsi" w:hAnsiTheme="majorHAnsi" w:cstheme="majorHAnsi"/>
          <w:sz w:val="23"/>
          <w:szCs w:val="23"/>
        </w:rPr>
        <w:t xml:space="preserve">There is great scope and need to extend these renewal and renovation programs as part of the state level Homes for Victorians and </w:t>
      </w:r>
      <w:r w:rsidR="001B7DDF">
        <w:rPr>
          <w:rFonts w:asciiTheme="majorHAnsi" w:hAnsiTheme="majorHAnsi" w:cstheme="majorHAnsi"/>
          <w:sz w:val="23"/>
          <w:szCs w:val="23"/>
        </w:rPr>
        <w:t>CoGG</w:t>
      </w:r>
      <w:r w:rsidRPr="00410FFA">
        <w:rPr>
          <w:rFonts w:asciiTheme="majorHAnsi" w:hAnsiTheme="majorHAnsi" w:cstheme="majorHAnsi"/>
          <w:sz w:val="23"/>
          <w:szCs w:val="23"/>
        </w:rPr>
        <w:t xml:space="preserve"> Social Housing Policy, though whether these areas should accommodate even more social housing units is debatable, with most</w:t>
      </w:r>
      <w:r w:rsidRPr="00E91887">
        <w:rPr>
          <w:rFonts w:asciiTheme="majorHAnsi" w:hAnsiTheme="majorHAnsi" w:cstheme="majorHAnsi"/>
          <w:sz w:val="23"/>
          <w:szCs w:val="23"/>
        </w:rPr>
        <w:t xml:space="preserve"> research tending to support social mix rather than the large </w:t>
      </w:r>
      <w:proofErr w:type="gramStart"/>
      <w:r w:rsidRPr="00E91887">
        <w:rPr>
          <w:rFonts w:asciiTheme="majorHAnsi" w:hAnsiTheme="majorHAnsi" w:cstheme="majorHAnsi"/>
          <w:sz w:val="23"/>
          <w:szCs w:val="23"/>
        </w:rPr>
        <w:t>low income</w:t>
      </w:r>
      <w:proofErr w:type="gramEnd"/>
      <w:r w:rsidRPr="00E91887">
        <w:rPr>
          <w:rFonts w:asciiTheme="majorHAnsi" w:hAnsiTheme="majorHAnsi" w:cstheme="majorHAnsi"/>
          <w:sz w:val="23"/>
          <w:szCs w:val="23"/>
        </w:rPr>
        <w:t xml:space="preserve"> estates that were built in the past. Any policy intervention, however, needs to ensure that the housing within these areas remains appropriate, accessible and affordable to those who wish to live there.</w:t>
      </w:r>
    </w:p>
    <w:p w14:paraId="1E94E431" w14:textId="562287E5" w:rsidR="00410FFA" w:rsidRPr="00E91887" w:rsidRDefault="00410FFA" w:rsidP="71E34AD1">
      <w:pPr>
        <w:spacing w:line="276" w:lineRule="auto"/>
        <w:rPr>
          <w:rFonts w:asciiTheme="majorHAnsi" w:hAnsiTheme="majorHAnsi" w:cstheme="majorBidi"/>
          <w:sz w:val="23"/>
          <w:szCs w:val="23"/>
        </w:rPr>
      </w:pPr>
      <w:r w:rsidRPr="00B159B3">
        <w:rPr>
          <w:rFonts w:asciiTheme="majorHAnsi" w:hAnsiTheme="majorHAnsi" w:cstheme="majorBidi"/>
          <w:sz w:val="23"/>
          <w:szCs w:val="23"/>
        </w:rPr>
        <w:t xml:space="preserve">Local proportions of public housing range from </w:t>
      </w:r>
      <w:r w:rsidR="1EA2AEFA" w:rsidRPr="00B159B3">
        <w:rPr>
          <w:rFonts w:asciiTheme="majorHAnsi" w:hAnsiTheme="majorHAnsi" w:cstheme="majorBidi"/>
          <w:sz w:val="23"/>
          <w:szCs w:val="23"/>
        </w:rPr>
        <w:t>9</w:t>
      </w:r>
      <w:r w:rsidRPr="00B159B3">
        <w:rPr>
          <w:rFonts w:asciiTheme="majorHAnsi" w:hAnsiTheme="majorHAnsi" w:cstheme="majorBidi"/>
          <w:sz w:val="23"/>
          <w:szCs w:val="23"/>
        </w:rPr>
        <w:t>–2</w:t>
      </w:r>
      <w:r w:rsidR="0667845F" w:rsidRPr="00B159B3">
        <w:rPr>
          <w:rFonts w:asciiTheme="majorHAnsi" w:hAnsiTheme="majorHAnsi" w:cstheme="majorBidi"/>
          <w:sz w:val="23"/>
          <w:szCs w:val="23"/>
        </w:rPr>
        <w:t>0</w:t>
      </w:r>
      <w:r w:rsidRPr="00B159B3">
        <w:rPr>
          <w:rFonts w:asciiTheme="majorHAnsi" w:hAnsiTheme="majorHAnsi" w:cstheme="majorBidi"/>
          <w:sz w:val="23"/>
          <w:szCs w:val="23"/>
        </w:rPr>
        <w:t xml:space="preserve"> per cent, meaning a significant amount of the housing in these areas is rental accommodation or mortgaged (with only 2</w:t>
      </w:r>
      <w:r w:rsidR="37FDDB8F" w:rsidRPr="00B159B3">
        <w:rPr>
          <w:rFonts w:asciiTheme="majorHAnsi" w:hAnsiTheme="majorHAnsi" w:cstheme="majorBidi"/>
          <w:sz w:val="23"/>
          <w:szCs w:val="23"/>
        </w:rPr>
        <w:t>3</w:t>
      </w:r>
      <w:r w:rsidR="006D1C92" w:rsidRPr="00B159B3">
        <w:rPr>
          <w:rFonts w:asciiTheme="majorHAnsi" w:hAnsiTheme="majorHAnsi" w:cstheme="majorBidi"/>
          <w:sz w:val="23"/>
          <w:szCs w:val="23"/>
        </w:rPr>
        <w:t>–</w:t>
      </w:r>
      <w:r w:rsidR="3E2197B4" w:rsidRPr="00B159B3">
        <w:rPr>
          <w:rFonts w:asciiTheme="majorHAnsi" w:hAnsiTheme="majorHAnsi" w:cstheme="majorBidi"/>
          <w:sz w:val="23"/>
          <w:szCs w:val="23"/>
        </w:rPr>
        <w:t>28</w:t>
      </w:r>
      <w:r w:rsidRPr="00B159B3">
        <w:rPr>
          <w:rFonts w:asciiTheme="majorHAnsi" w:hAnsiTheme="majorHAnsi" w:cstheme="majorBidi"/>
          <w:sz w:val="23"/>
          <w:szCs w:val="23"/>
        </w:rPr>
        <w:t xml:space="preserve"> percent owned outright</w:t>
      </w:r>
      <w:r w:rsidR="006D1C92" w:rsidRPr="00B159B3">
        <w:rPr>
          <w:rFonts w:asciiTheme="majorHAnsi" w:hAnsiTheme="majorHAnsi" w:cstheme="majorBidi"/>
          <w:sz w:val="23"/>
          <w:szCs w:val="23"/>
        </w:rPr>
        <w:t xml:space="preserve">: </w:t>
      </w:r>
      <w:r w:rsidRPr="00B159B3">
        <w:rPr>
          <w:rFonts w:asciiTheme="majorHAnsi" w:hAnsiTheme="majorHAnsi" w:cstheme="majorBidi"/>
          <w:sz w:val="23"/>
          <w:szCs w:val="23"/>
        </w:rPr>
        <w:t xml:space="preserve">see Table </w:t>
      </w:r>
      <w:r w:rsidR="5A0870FF" w:rsidRPr="00B159B3">
        <w:rPr>
          <w:rFonts w:asciiTheme="majorHAnsi" w:hAnsiTheme="majorHAnsi" w:cstheme="majorBidi"/>
          <w:sz w:val="23"/>
          <w:szCs w:val="23"/>
        </w:rPr>
        <w:t>7.1</w:t>
      </w:r>
      <w:r w:rsidRPr="00B159B3">
        <w:rPr>
          <w:rFonts w:asciiTheme="majorHAnsi" w:hAnsiTheme="majorHAnsi" w:cstheme="majorBidi"/>
          <w:sz w:val="23"/>
          <w:szCs w:val="23"/>
        </w:rPr>
        <w:t>).</w:t>
      </w:r>
    </w:p>
    <w:p w14:paraId="5102E9C4" w14:textId="3FA6AE44" w:rsidR="00410FFA" w:rsidRPr="00E91887" w:rsidRDefault="00BD3C71" w:rsidP="00410FFA">
      <w:pPr>
        <w:spacing w:line="276" w:lineRule="auto"/>
        <w:rPr>
          <w:rFonts w:asciiTheme="majorHAnsi" w:hAnsiTheme="majorHAnsi" w:cstheme="majorHAnsi"/>
          <w:sz w:val="23"/>
          <w:szCs w:val="23"/>
        </w:rPr>
      </w:pPr>
      <w:r w:rsidRPr="778E395A">
        <w:rPr>
          <w:rFonts w:asciiTheme="majorHAnsi" w:hAnsiTheme="majorHAnsi" w:cstheme="majorBidi"/>
          <w:sz w:val="23"/>
          <w:szCs w:val="23"/>
        </w:rPr>
        <w:t>To inform this section of the study, we</w:t>
      </w:r>
      <w:r w:rsidR="00410FFA" w:rsidRPr="778E395A">
        <w:rPr>
          <w:rFonts w:asciiTheme="majorHAnsi" w:hAnsiTheme="majorHAnsi" w:cstheme="majorBidi"/>
          <w:sz w:val="23"/>
          <w:szCs w:val="23"/>
        </w:rPr>
        <w:t xml:space="preserve"> conducted a detailed statistical analysis of the housing property market in the three </w:t>
      </w:r>
      <w:r w:rsidRPr="778E395A">
        <w:rPr>
          <w:rFonts w:asciiTheme="majorHAnsi" w:hAnsiTheme="majorHAnsi" w:cstheme="majorBidi"/>
          <w:sz w:val="23"/>
          <w:szCs w:val="23"/>
        </w:rPr>
        <w:t xml:space="preserve">localities </w:t>
      </w:r>
      <w:r w:rsidR="00410FFA" w:rsidRPr="778E395A">
        <w:rPr>
          <w:rFonts w:asciiTheme="majorHAnsi" w:hAnsiTheme="majorHAnsi" w:cstheme="majorBidi"/>
          <w:sz w:val="23"/>
          <w:szCs w:val="23"/>
        </w:rPr>
        <w:t>from 2015</w:t>
      </w:r>
      <w:r w:rsidRPr="778E395A">
        <w:rPr>
          <w:rFonts w:asciiTheme="majorHAnsi" w:hAnsiTheme="majorHAnsi" w:cstheme="majorBidi"/>
          <w:sz w:val="23"/>
          <w:szCs w:val="23"/>
        </w:rPr>
        <w:t>–</w:t>
      </w:r>
      <w:r w:rsidR="00410FFA" w:rsidRPr="778E395A">
        <w:rPr>
          <w:rFonts w:asciiTheme="majorHAnsi" w:hAnsiTheme="majorHAnsi" w:cstheme="majorBidi"/>
          <w:sz w:val="23"/>
          <w:szCs w:val="23"/>
        </w:rPr>
        <w:t>2020. Details are below.</w:t>
      </w:r>
    </w:p>
    <w:p w14:paraId="63B2DE77" w14:textId="4953885B" w:rsidR="00F00E3D" w:rsidRDefault="00F00E3D" w:rsidP="00B27E8B">
      <w:pPr>
        <w:spacing w:after="0" w:line="276" w:lineRule="auto"/>
      </w:pPr>
    </w:p>
    <w:p w14:paraId="60F9D0E2" w14:textId="4A995E2D" w:rsidR="00AA3A66" w:rsidRDefault="00F00E3D" w:rsidP="778E395A">
      <w:pPr>
        <w:spacing w:after="0" w:line="240" w:lineRule="auto"/>
        <w:rPr>
          <w:rFonts w:asciiTheme="majorHAnsi" w:hAnsiTheme="majorHAnsi" w:cstheme="majorBidi"/>
          <w:sz w:val="23"/>
          <w:szCs w:val="23"/>
        </w:rPr>
      </w:pPr>
      <w:r w:rsidRPr="778E395A">
        <w:rPr>
          <w:rFonts w:asciiTheme="majorHAnsi" w:hAnsiTheme="majorHAnsi" w:cstheme="majorBidi"/>
          <w:sz w:val="23"/>
          <w:szCs w:val="23"/>
        </w:rPr>
        <w:t>Th</w:t>
      </w:r>
      <w:r w:rsidR="006D1C92" w:rsidRPr="778E395A">
        <w:rPr>
          <w:rFonts w:asciiTheme="majorHAnsi" w:hAnsiTheme="majorHAnsi" w:cstheme="majorBidi"/>
          <w:sz w:val="23"/>
          <w:szCs w:val="23"/>
        </w:rPr>
        <w:t>e</w:t>
      </w:r>
      <w:r w:rsidRPr="778E395A">
        <w:rPr>
          <w:rFonts w:asciiTheme="majorHAnsi" w:hAnsiTheme="majorHAnsi" w:cstheme="majorBidi"/>
          <w:sz w:val="23"/>
          <w:szCs w:val="23"/>
        </w:rPr>
        <w:t xml:space="preserve"> section</w:t>
      </w:r>
      <w:r w:rsidR="006D1C92" w:rsidRPr="778E395A">
        <w:rPr>
          <w:rFonts w:asciiTheme="majorHAnsi" w:hAnsiTheme="majorHAnsi" w:cstheme="majorBidi"/>
          <w:sz w:val="23"/>
          <w:szCs w:val="23"/>
        </w:rPr>
        <w:t xml:space="preserve"> below</w:t>
      </w:r>
      <w:r w:rsidRPr="778E395A">
        <w:rPr>
          <w:rFonts w:asciiTheme="majorHAnsi" w:hAnsiTheme="majorHAnsi" w:cstheme="majorBidi"/>
          <w:sz w:val="23"/>
          <w:szCs w:val="23"/>
        </w:rPr>
        <w:t xml:space="preserve"> provides </w:t>
      </w:r>
      <w:r w:rsidR="006D1C92" w:rsidRPr="778E395A">
        <w:rPr>
          <w:rFonts w:asciiTheme="majorHAnsi" w:hAnsiTheme="majorHAnsi" w:cstheme="majorBidi"/>
          <w:sz w:val="23"/>
          <w:szCs w:val="23"/>
        </w:rPr>
        <w:t xml:space="preserve">a </w:t>
      </w:r>
      <w:r w:rsidRPr="778E395A">
        <w:rPr>
          <w:rFonts w:asciiTheme="majorHAnsi" w:hAnsiTheme="majorHAnsi" w:cstheme="majorBidi"/>
          <w:sz w:val="23"/>
          <w:szCs w:val="23"/>
        </w:rPr>
        <w:t xml:space="preserve">housing transactional and rental market analysis for the three focal suburbs: Corio, Norlane and Whittington, from 1 January 2015 to 31 October 2020. The point-level housing transactional and rental data of the three suburbs are </w:t>
      </w:r>
      <w:r w:rsidR="006D1C92" w:rsidRPr="778E395A">
        <w:rPr>
          <w:rFonts w:asciiTheme="majorHAnsi" w:hAnsiTheme="majorHAnsi" w:cstheme="majorBidi"/>
          <w:sz w:val="23"/>
          <w:szCs w:val="23"/>
        </w:rPr>
        <w:t>sourced from the</w:t>
      </w:r>
      <w:r w:rsidRPr="778E395A">
        <w:rPr>
          <w:rFonts w:asciiTheme="majorHAnsi" w:hAnsiTheme="majorHAnsi" w:cstheme="majorBidi"/>
          <w:sz w:val="23"/>
          <w:szCs w:val="23"/>
        </w:rPr>
        <w:t xml:space="preserve"> Australian Property Monitor (APM).</w:t>
      </w:r>
    </w:p>
    <w:p w14:paraId="0F508604" w14:textId="77777777" w:rsidR="00AA3A66" w:rsidRDefault="006D1C92" w:rsidP="006D1C92">
      <w:pPr>
        <w:spacing w:before="120" w:after="120" w:line="276" w:lineRule="auto"/>
        <w:rPr>
          <w:rFonts w:asciiTheme="majorHAnsi" w:hAnsiTheme="majorHAnsi" w:cstheme="majorHAnsi"/>
          <w:sz w:val="23"/>
          <w:szCs w:val="23"/>
        </w:rPr>
      </w:pPr>
      <w:r>
        <w:rPr>
          <w:rFonts w:asciiTheme="majorHAnsi" w:hAnsiTheme="majorHAnsi" w:cstheme="majorHAnsi"/>
          <w:sz w:val="23"/>
          <w:szCs w:val="23"/>
        </w:rPr>
        <w:t>R</w:t>
      </w:r>
      <w:r w:rsidR="00F00E3D" w:rsidRPr="00E91887">
        <w:rPr>
          <w:rFonts w:asciiTheme="majorHAnsi" w:hAnsiTheme="majorHAnsi" w:cstheme="majorHAnsi"/>
          <w:sz w:val="23"/>
          <w:szCs w:val="23"/>
        </w:rPr>
        <w:t xml:space="preserve">esidential property in Australia breaks down into the two main categories </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house and unit</w:t>
      </w:r>
      <w:r>
        <w:rPr>
          <w:rFonts w:asciiTheme="majorHAnsi" w:hAnsiTheme="majorHAnsi" w:cstheme="majorHAnsi"/>
          <w:sz w:val="23"/>
          <w:szCs w:val="23"/>
        </w:rPr>
        <w:t xml:space="preserve"> –</w:t>
      </w:r>
      <w:r w:rsidR="00F00E3D" w:rsidRPr="00E91887">
        <w:rPr>
          <w:rFonts w:asciiTheme="majorHAnsi" w:hAnsiTheme="majorHAnsi" w:cstheme="majorHAnsi"/>
          <w:sz w:val="23"/>
          <w:szCs w:val="23"/>
        </w:rPr>
        <w:t xml:space="preserve"> and each submarket ha</w:t>
      </w:r>
      <w:r>
        <w:rPr>
          <w:rFonts w:asciiTheme="majorHAnsi" w:hAnsiTheme="majorHAnsi" w:cstheme="majorHAnsi"/>
          <w:sz w:val="23"/>
          <w:szCs w:val="23"/>
        </w:rPr>
        <w:t>s</w:t>
      </w:r>
      <w:r w:rsidR="00F00E3D" w:rsidRPr="00E91887">
        <w:rPr>
          <w:rFonts w:asciiTheme="majorHAnsi" w:hAnsiTheme="majorHAnsi" w:cstheme="majorHAnsi"/>
          <w:sz w:val="23"/>
          <w:szCs w:val="23"/>
        </w:rPr>
        <w:t xml:space="preserve"> distinctive market movement and trends </w:t>
      </w:r>
      <w:r w:rsidR="00F00E3D" w:rsidRPr="00E91887">
        <w:rPr>
          <w:rFonts w:asciiTheme="majorHAnsi" w:hAnsiTheme="majorHAnsi" w:cstheme="majorHAnsi"/>
          <w:noProof/>
          <w:sz w:val="23"/>
          <w:szCs w:val="23"/>
        </w:rPr>
        <w:t>(Koo &amp; Liang, 2020; Liang, Koo, &amp; Lee, 2021; Ma, Reed, &amp; Liang, 2019)</w:t>
      </w:r>
      <w:r w:rsidR="00F00E3D" w:rsidRPr="00E91887">
        <w:rPr>
          <w:rFonts w:asciiTheme="majorHAnsi" w:hAnsiTheme="majorHAnsi" w:cstheme="majorHAnsi"/>
          <w:sz w:val="23"/>
          <w:szCs w:val="23"/>
        </w:rPr>
        <w:t xml:space="preserve">. Thus, we separate the whole sample into </w:t>
      </w:r>
      <w:r>
        <w:rPr>
          <w:rFonts w:asciiTheme="majorHAnsi" w:hAnsiTheme="majorHAnsi" w:cstheme="majorHAnsi"/>
          <w:sz w:val="23"/>
          <w:szCs w:val="23"/>
        </w:rPr>
        <w:t xml:space="preserve">the </w:t>
      </w:r>
      <w:r w:rsidR="00F00E3D" w:rsidRPr="00E91887">
        <w:rPr>
          <w:rFonts w:asciiTheme="majorHAnsi" w:hAnsiTheme="majorHAnsi" w:cstheme="majorHAnsi"/>
          <w:sz w:val="23"/>
          <w:szCs w:val="23"/>
        </w:rPr>
        <w:t xml:space="preserve">house and unit </w:t>
      </w:r>
      <w:proofErr w:type="gramStart"/>
      <w:r w:rsidR="00F00E3D" w:rsidRPr="00E91887">
        <w:rPr>
          <w:rFonts w:asciiTheme="majorHAnsi" w:hAnsiTheme="majorHAnsi" w:cstheme="majorHAnsi"/>
          <w:sz w:val="23"/>
          <w:szCs w:val="23"/>
        </w:rPr>
        <w:t>submarket</w:t>
      </w:r>
      <w:r>
        <w:rPr>
          <w:rFonts w:asciiTheme="majorHAnsi" w:hAnsiTheme="majorHAnsi" w:cstheme="majorHAnsi"/>
          <w:sz w:val="23"/>
          <w:szCs w:val="23"/>
        </w:rPr>
        <w:t>s,</w:t>
      </w:r>
      <w:r w:rsidR="00F00E3D" w:rsidRPr="00E91887">
        <w:rPr>
          <w:rFonts w:asciiTheme="majorHAnsi" w:hAnsiTheme="majorHAnsi" w:cstheme="majorHAnsi"/>
          <w:sz w:val="23"/>
          <w:szCs w:val="23"/>
        </w:rPr>
        <w:t xml:space="preserve"> and</w:t>
      </w:r>
      <w:proofErr w:type="gramEnd"/>
      <w:r w:rsidR="00F00E3D" w:rsidRPr="00E91887">
        <w:rPr>
          <w:rFonts w:asciiTheme="majorHAnsi" w:hAnsiTheme="majorHAnsi" w:cstheme="majorHAnsi"/>
          <w:sz w:val="23"/>
          <w:szCs w:val="23"/>
        </w:rPr>
        <w:t xml:space="preserve"> analyse </w:t>
      </w:r>
      <w:r w:rsidR="00F00E3D" w:rsidRPr="006D1C92">
        <w:rPr>
          <w:rFonts w:asciiTheme="majorHAnsi" w:hAnsiTheme="majorHAnsi" w:cstheme="majorHAnsi"/>
          <w:sz w:val="23"/>
          <w:szCs w:val="23"/>
        </w:rPr>
        <w:t>them separately.</w:t>
      </w:r>
    </w:p>
    <w:p w14:paraId="04A4D4A5" w14:textId="326448CD" w:rsidR="00AA3A66" w:rsidRDefault="00F00E3D" w:rsidP="00AA3A66">
      <w:pPr>
        <w:spacing w:before="120" w:after="120" w:line="276" w:lineRule="auto"/>
        <w:rPr>
          <w:rFonts w:asciiTheme="majorHAnsi" w:eastAsia="Times New Roman" w:hAnsiTheme="majorHAnsi" w:cstheme="majorHAnsi"/>
          <w:color w:val="000000" w:themeColor="text1"/>
          <w:sz w:val="23"/>
          <w:szCs w:val="23"/>
        </w:rPr>
      </w:pPr>
      <w:r w:rsidRPr="006D1C92">
        <w:rPr>
          <w:rFonts w:asciiTheme="majorHAnsi" w:hAnsiTheme="majorHAnsi" w:cstheme="majorHAnsi"/>
          <w:sz w:val="23"/>
          <w:szCs w:val="23"/>
        </w:rPr>
        <w:t>Table</w:t>
      </w:r>
      <w:r w:rsidR="00BD3C71">
        <w:rPr>
          <w:rFonts w:asciiTheme="majorHAnsi" w:hAnsiTheme="majorHAnsi" w:cstheme="majorHAnsi"/>
          <w:sz w:val="23"/>
          <w:szCs w:val="23"/>
        </w:rPr>
        <w:t xml:space="preserve"> 7.8</w:t>
      </w:r>
      <w:r w:rsidRPr="006D1C92">
        <w:rPr>
          <w:rFonts w:asciiTheme="majorHAnsi" w:hAnsiTheme="majorHAnsi" w:cstheme="majorHAnsi"/>
          <w:sz w:val="23"/>
          <w:szCs w:val="23"/>
        </w:rPr>
        <w:t xml:space="preserve"> </w:t>
      </w:r>
      <w:r w:rsidR="006D1C92">
        <w:rPr>
          <w:rFonts w:asciiTheme="majorHAnsi" w:hAnsiTheme="majorHAnsi" w:cstheme="majorHAnsi"/>
          <w:sz w:val="23"/>
          <w:szCs w:val="23"/>
        </w:rPr>
        <w:t>(</w:t>
      </w:r>
      <w:r w:rsidRPr="006D1C92">
        <w:rPr>
          <w:rFonts w:asciiTheme="majorHAnsi" w:hAnsiTheme="majorHAnsi" w:cstheme="majorHAnsi"/>
          <w:sz w:val="23"/>
          <w:szCs w:val="23"/>
        </w:rPr>
        <w:t>below</w:t>
      </w:r>
      <w:r w:rsidR="006D1C92">
        <w:rPr>
          <w:rFonts w:asciiTheme="majorHAnsi" w:hAnsiTheme="majorHAnsi" w:cstheme="majorHAnsi"/>
          <w:sz w:val="23"/>
          <w:szCs w:val="23"/>
        </w:rPr>
        <w:t>)</w:t>
      </w:r>
      <w:r w:rsidRPr="00E91887">
        <w:rPr>
          <w:rFonts w:asciiTheme="majorHAnsi" w:hAnsiTheme="majorHAnsi" w:cstheme="majorHAnsi"/>
          <w:sz w:val="23"/>
          <w:szCs w:val="23"/>
        </w:rPr>
        <w:t xml:space="preserve"> provides a statistical summary </w:t>
      </w:r>
      <w:r w:rsidR="00AA3A66">
        <w:rPr>
          <w:rFonts w:asciiTheme="majorHAnsi" w:hAnsiTheme="majorHAnsi" w:cstheme="majorHAnsi"/>
          <w:sz w:val="23"/>
          <w:szCs w:val="23"/>
        </w:rPr>
        <w:t>for</w:t>
      </w:r>
      <w:r w:rsidR="006D1C92" w:rsidRPr="006D1C92">
        <w:rPr>
          <w:rFonts w:asciiTheme="majorHAnsi" w:hAnsiTheme="majorHAnsi" w:cstheme="majorHAnsi"/>
          <w:iCs/>
          <w:sz w:val="23"/>
          <w:szCs w:val="23"/>
        </w:rPr>
        <w:t xml:space="preserve"> </w:t>
      </w:r>
      <w:r w:rsidR="00AA3A66">
        <w:rPr>
          <w:rFonts w:asciiTheme="majorHAnsi" w:hAnsiTheme="majorHAnsi" w:cstheme="majorHAnsi"/>
          <w:iCs/>
          <w:sz w:val="23"/>
          <w:szCs w:val="23"/>
        </w:rPr>
        <w:t>the</w:t>
      </w:r>
      <w:r w:rsidR="006D1C92" w:rsidRPr="006D1C92">
        <w:rPr>
          <w:rFonts w:asciiTheme="majorHAnsi" w:hAnsiTheme="majorHAnsi" w:cstheme="majorHAnsi"/>
          <w:iCs/>
          <w:sz w:val="23"/>
          <w:szCs w:val="23"/>
        </w:rPr>
        <w:t xml:space="preserve"> three focal suburbs</w:t>
      </w:r>
      <w:r w:rsidR="00AA3A66">
        <w:rPr>
          <w:rFonts w:asciiTheme="majorHAnsi" w:hAnsiTheme="majorHAnsi" w:cstheme="majorHAnsi"/>
          <w:iCs/>
          <w:sz w:val="23"/>
          <w:szCs w:val="23"/>
        </w:rPr>
        <w:t xml:space="preserve">. </w:t>
      </w:r>
      <w:r w:rsidR="00AA3A66" w:rsidRPr="00E91887">
        <w:rPr>
          <w:rFonts w:asciiTheme="majorHAnsi" w:hAnsiTheme="majorHAnsi" w:cstheme="majorHAnsi"/>
          <w:sz w:val="23"/>
          <w:szCs w:val="23"/>
        </w:rPr>
        <w:t xml:space="preserve">As </w:t>
      </w:r>
      <w:r w:rsidR="00AA3A66">
        <w:rPr>
          <w:rFonts w:asciiTheme="majorHAnsi" w:hAnsiTheme="majorHAnsi" w:cstheme="majorHAnsi"/>
          <w:sz w:val="23"/>
          <w:szCs w:val="23"/>
        </w:rPr>
        <w:t>this table shows</w:t>
      </w:r>
      <w:r w:rsidR="00AA3A66" w:rsidRPr="00E91887">
        <w:rPr>
          <w:rFonts w:asciiTheme="majorHAnsi" w:hAnsiTheme="majorHAnsi" w:cstheme="majorHAnsi"/>
          <w:sz w:val="23"/>
          <w:szCs w:val="23"/>
        </w:rPr>
        <w:t>, the housing market of the three focal suburbs is dominated by house</w:t>
      </w:r>
      <w:r w:rsidR="00AA3A66">
        <w:rPr>
          <w:rFonts w:asciiTheme="majorHAnsi" w:hAnsiTheme="majorHAnsi" w:cstheme="majorHAnsi"/>
          <w:sz w:val="23"/>
          <w:szCs w:val="23"/>
        </w:rPr>
        <w:t>s</w:t>
      </w:r>
      <w:r w:rsidR="00AA3A66" w:rsidRPr="00E91887">
        <w:rPr>
          <w:rFonts w:asciiTheme="majorHAnsi" w:hAnsiTheme="majorHAnsi" w:cstheme="majorHAnsi"/>
          <w:sz w:val="23"/>
          <w:szCs w:val="23"/>
        </w:rPr>
        <w:t>, rather than unit</w:t>
      </w:r>
      <w:r w:rsidR="00AA3A66">
        <w:rPr>
          <w:rFonts w:asciiTheme="majorHAnsi" w:hAnsiTheme="majorHAnsi" w:cstheme="majorHAnsi"/>
          <w:sz w:val="23"/>
          <w:szCs w:val="23"/>
        </w:rPr>
        <w:t>s</w:t>
      </w:r>
      <w:r w:rsidR="00AA3A66" w:rsidRPr="00E91887">
        <w:rPr>
          <w:rFonts w:asciiTheme="majorHAnsi" w:hAnsiTheme="majorHAnsi" w:cstheme="majorHAnsi"/>
          <w:sz w:val="23"/>
          <w:szCs w:val="23"/>
        </w:rPr>
        <w:t>. From</w:t>
      </w:r>
      <w:r w:rsidR="00AA3A66">
        <w:rPr>
          <w:rFonts w:asciiTheme="majorHAnsi" w:hAnsiTheme="majorHAnsi" w:cstheme="majorHAnsi"/>
          <w:sz w:val="23"/>
          <w:szCs w:val="23"/>
        </w:rPr>
        <w:t xml:space="preserve"> 1</w:t>
      </w:r>
      <w:r w:rsidR="00AA3A66" w:rsidRPr="00E91887">
        <w:rPr>
          <w:rFonts w:asciiTheme="majorHAnsi" w:hAnsiTheme="majorHAnsi" w:cstheme="majorHAnsi"/>
          <w:sz w:val="23"/>
          <w:szCs w:val="23"/>
        </w:rPr>
        <w:t xml:space="preserve"> January 2015 to 31 October 2020, there were 4396 houses sold in the three suburbs</w:t>
      </w:r>
      <w:r w:rsidR="00AA3A66">
        <w:rPr>
          <w:rFonts w:asciiTheme="majorHAnsi" w:hAnsiTheme="majorHAnsi" w:cstheme="majorHAnsi"/>
          <w:sz w:val="23"/>
          <w:szCs w:val="23"/>
        </w:rPr>
        <w:t>;</w:t>
      </w:r>
      <w:r w:rsidR="00AA3A66" w:rsidRPr="00E91887">
        <w:rPr>
          <w:rFonts w:asciiTheme="majorHAnsi" w:hAnsiTheme="majorHAnsi" w:cstheme="majorHAnsi"/>
          <w:sz w:val="23"/>
          <w:szCs w:val="23"/>
        </w:rPr>
        <w:t xml:space="preserve"> the number of units sold during this period is only 283. There were 8364 houses rented out during this period, </w:t>
      </w:r>
      <w:r w:rsidR="00AA3A66">
        <w:rPr>
          <w:rFonts w:asciiTheme="majorHAnsi" w:hAnsiTheme="majorHAnsi" w:cstheme="majorHAnsi"/>
          <w:sz w:val="23"/>
          <w:szCs w:val="23"/>
        </w:rPr>
        <w:t>while</w:t>
      </w:r>
      <w:r w:rsidR="00AA3A66" w:rsidRPr="00E91887">
        <w:rPr>
          <w:rFonts w:asciiTheme="majorHAnsi" w:hAnsiTheme="majorHAnsi" w:cstheme="majorHAnsi"/>
          <w:sz w:val="23"/>
          <w:szCs w:val="23"/>
        </w:rPr>
        <w:t xml:space="preserve"> the number for units rented is 1049. The average transactional price of houses during this period is $323,276, </w:t>
      </w:r>
      <w:r w:rsidR="00AA3A66">
        <w:rPr>
          <w:rFonts w:asciiTheme="majorHAnsi" w:hAnsiTheme="majorHAnsi" w:cstheme="majorHAnsi"/>
          <w:sz w:val="23"/>
          <w:szCs w:val="23"/>
        </w:rPr>
        <w:t>while</w:t>
      </w:r>
      <w:r w:rsidR="00AA3A66" w:rsidRPr="00E91887">
        <w:rPr>
          <w:rFonts w:asciiTheme="majorHAnsi" w:hAnsiTheme="majorHAnsi" w:cstheme="majorHAnsi"/>
          <w:sz w:val="23"/>
          <w:szCs w:val="23"/>
        </w:rPr>
        <w:t xml:space="preserve"> the average transactional price of units is $</w:t>
      </w:r>
      <w:r w:rsidR="00AA3A66" w:rsidRPr="00E91887">
        <w:rPr>
          <w:rFonts w:asciiTheme="majorHAnsi" w:eastAsia="Times New Roman" w:hAnsiTheme="majorHAnsi" w:cstheme="majorHAnsi"/>
          <w:color w:val="000000" w:themeColor="text1"/>
          <w:sz w:val="23"/>
          <w:szCs w:val="23"/>
        </w:rPr>
        <w:t xml:space="preserve">263,982. The average </w:t>
      </w:r>
      <w:r w:rsidR="00AA3A66" w:rsidRPr="00E91887">
        <w:rPr>
          <w:rFonts w:asciiTheme="majorHAnsi" w:hAnsiTheme="majorHAnsi" w:cstheme="majorHAnsi"/>
          <w:sz w:val="23"/>
          <w:szCs w:val="23"/>
        </w:rPr>
        <w:t xml:space="preserve">rental price of houses during this period is $ 280.81 per week, </w:t>
      </w:r>
      <w:r w:rsidR="00AA3A66">
        <w:rPr>
          <w:rFonts w:asciiTheme="majorHAnsi" w:hAnsiTheme="majorHAnsi" w:cstheme="majorHAnsi"/>
          <w:sz w:val="23"/>
          <w:szCs w:val="23"/>
        </w:rPr>
        <w:t>with an</w:t>
      </w:r>
      <w:r w:rsidR="00AA3A66" w:rsidRPr="00E91887">
        <w:rPr>
          <w:rFonts w:asciiTheme="majorHAnsi" w:hAnsiTheme="majorHAnsi" w:cstheme="majorHAnsi"/>
          <w:sz w:val="23"/>
          <w:szCs w:val="23"/>
        </w:rPr>
        <w:t xml:space="preserve"> average transactional price for units </w:t>
      </w:r>
      <w:r w:rsidR="00AA3A66">
        <w:rPr>
          <w:rFonts w:asciiTheme="majorHAnsi" w:hAnsiTheme="majorHAnsi" w:cstheme="majorHAnsi"/>
          <w:sz w:val="23"/>
          <w:szCs w:val="23"/>
        </w:rPr>
        <w:t>of</w:t>
      </w:r>
      <w:r w:rsidR="00AA3A66" w:rsidRPr="00E91887">
        <w:rPr>
          <w:rFonts w:asciiTheme="majorHAnsi" w:hAnsiTheme="majorHAnsi" w:cstheme="majorHAnsi"/>
          <w:sz w:val="23"/>
          <w:szCs w:val="23"/>
        </w:rPr>
        <w:t xml:space="preserve"> $ </w:t>
      </w:r>
      <w:r w:rsidR="00AA3A66" w:rsidRPr="00E91887">
        <w:rPr>
          <w:rFonts w:asciiTheme="majorHAnsi" w:eastAsia="Times New Roman" w:hAnsiTheme="majorHAnsi" w:cstheme="majorHAnsi"/>
          <w:color w:val="000000" w:themeColor="text1"/>
          <w:sz w:val="23"/>
          <w:szCs w:val="23"/>
        </w:rPr>
        <w:t>244.81 per week.</w:t>
      </w:r>
    </w:p>
    <w:p w14:paraId="39C87ECF" w14:textId="2E8BF76A" w:rsidR="00AA3A66" w:rsidRPr="00AA3A66" w:rsidRDefault="00AA3A66" w:rsidP="71E34AD1">
      <w:pPr>
        <w:spacing w:before="120" w:after="120" w:line="276" w:lineRule="auto"/>
        <w:rPr>
          <w:rFonts w:asciiTheme="majorHAnsi" w:hAnsiTheme="majorHAnsi" w:cstheme="majorBidi"/>
          <w:sz w:val="23"/>
          <w:szCs w:val="23"/>
        </w:rPr>
      </w:pPr>
      <w:r w:rsidRPr="71E34AD1">
        <w:rPr>
          <w:rFonts w:asciiTheme="majorHAnsi" w:eastAsia="Times New Roman" w:hAnsiTheme="majorHAnsi" w:cstheme="majorBidi"/>
          <w:color w:val="000000" w:themeColor="text1"/>
          <w:sz w:val="23"/>
          <w:szCs w:val="23"/>
        </w:rPr>
        <w:t>During the same period, the average transactional price of houses and units across Victoria was $</w:t>
      </w:r>
      <w:r w:rsidRPr="71E34AD1">
        <w:rPr>
          <w:rFonts w:asciiTheme="majorHAnsi" w:hAnsiTheme="majorHAnsi" w:cstheme="majorBidi"/>
          <w:sz w:val="23"/>
          <w:szCs w:val="23"/>
        </w:rPr>
        <w:t xml:space="preserve">758,385 and $549,393 respectively, while the average rental </w:t>
      </w:r>
      <w:r w:rsidRPr="71E34AD1">
        <w:rPr>
          <w:rFonts w:asciiTheme="majorHAnsi" w:eastAsia="Times New Roman" w:hAnsiTheme="majorHAnsi" w:cstheme="majorBidi"/>
          <w:color w:val="000000" w:themeColor="text1"/>
          <w:sz w:val="23"/>
          <w:szCs w:val="23"/>
        </w:rPr>
        <w:t>price of houses and units in Victoria was $</w:t>
      </w:r>
      <w:r w:rsidRPr="71E34AD1">
        <w:rPr>
          <w:rFonts w:asciiTheme="majorHAnsi" w:hAnsiTheme="majorHAnsi" w:cstheme="majorBidi"/>
          <w:sz w:val="23"/>
          <w:szCs w:val="23"/>
        </w:rPr>
        <w:t>447.85 and $349.54</w:t>
      </w:r>
      <w:r w:rsidR="00BD3C71" w:rsidRPr="71E34AD1">
        <w:rPr>
          <w:rFonts w:asciiTheme="majorHAnsi" w:hAnsiTheme="majorHAnsi" w:cstheme="majorBidi"/>
          <w:sz w:val="23"/>
          <w:szCs w:val="23"/>
        </w:rPr>
        <w:t xml:space="preserve"> respectively</w:t>
      </w:r>
      <w:r w:rsidRPr="71E34AD1">
        <w:rPr>
          <w:rFonts w:asciiTheme="majorHAnsi" w:hAnsiTheme="majorHAnsi" w:cstheme="majorBidi"/>
          <w:sz w:val="23"/>
          <w:szCs w:val="23"/>
        </w:rPr>
        <w:t xml:space="preserve"> (see </w:t>
      </w:r>
      <w:r w:rsidR="00BD3C71" w:rsidRPr="71E34AD1">
        <w:rPr>
          <w:rFonts w:asciiTheme="majorHAnsi" w:hAnsiTheme="majorHAnsi" w:cstheme="majorBidi"/>
          <w:sz w:val="23"/>
          <w:szCs w:val="23"/>
        </w:rPr>
        <w:t xml:space="preserve">Table 7.8, </w:t>
      </w:r>
      <w:r w:rsidRPr="71E34AD1">
        <w:rPr>
          <w:rFonts w:asciiTheme="majorHAnsi" w:hAnsiTheme="majorHAnsi" w:cstheme="majorBidi"/>
          <w:sz w:val="23"/>
          <w:szCs w:val="23"/>
        </w:rPr>
        <w:t>Panel A). The housing cost of the three focal suburbs is significantly lower than the average of Victoria, confirming that these areas remain relatively very affordable.</w:t>
      </w:r>
      <w:r w:rsidR="00BD3C71" w:rsidRPr="71E34AD1">
        <w:rPr>
          <w:rFonts w:asciiTheme="majorHAnsi" w:hAnsiTheme="majorHAnsi" w:cstheme="majorBidi"/>
          <w:sz w:val="23"/>
          <w:szCs w:val="23"/>
        </w:rPr>
        <w:t xml:space="preserve"> However, it is important to note that</w:t>
      </w:r>
      <w:r w:rsidR="004B36AE" w:rsidRPr="71E34AD1">
        <w:rPr>
          <w:rFonts w:asciiTheme="majorHAnsi" w:hAnsiTheme="majorHAnsi" w:cstheme="majorBidi"/>
          <w:sz w:val="23"/>
          <w:szCs w:val="23"/>
        </w:rPr>
        <w:t xml:space="preserve"> during this period,</w:t>
      </w:r>
      <w:r w:rsidR="00BD3C71" w:rsidRPr="71E34AD1">
        <w:rPr>
          <w:rFonts w:asciiTheme="majorHAnsi" w:hAnsiTheme="majorHAnsi" w:cstheme="majorBidi"/>
          <w:sz w:val="23"/>
          <w:szCs w:val="23"/>
        </w:rPr>
        <w:t xml:space="preserve"> both housing values and rents </w:t>
      </w:r>
      <w:r w:rsidR="004B36AE" w:rsidRPr="71E34AD1">
        <w:rPr>
          <w:rFonts w:asciiTheme="majorHAnsi" w:hAnsiTheme="majorHAnsi" w:cstheme="majorBidi"/>
          <w:sz w:val="23"/>
          <w:szCs w:val="23"/>
        </w:rPr>
        <w:t xml:space="preserve">in our three focus suburbs </w:t>
      </w:r>
      <w:r w:rsidR="00BD3C71" w:rsidRPr="71E34AD1">
        <w:rPr>
          <w:rFonts w:asciiTheme="majorHAnsi" w:hAnsiTheme="majorHAnsi" w:cstheme="majorBidi"/>
          <w:sz w:val="23"/>
          <w:szCs w:val="23"/>
        </w:rPr>
        <w:t xml:space="preserve">increased in at a higher rate than </w:t>
      </w:r>
      <w:r w:rsidR="00DC2177" w:rsidRPr="71E34AD1">
        <w:rPr>
          <w:rFonts w:asciiTheme="majorHAnsi" w:hAnsiTheme="majorHAnsi" w:cstheme="majorBidi"/>
          <w:sz w:val="23"/>
          <w:szCs w:val="23"/>
        </w:rPr>
        <w:t xml:space="preserve">in </w:t>
      </w:r>
      <w:r w:rsidR="00BD3C71" w:rsidRPr="71E34AD1">
        <w:rPr>
          <w:rFonts w:asciiTheme="majorHAnsi" w:hAnsiTheme="majorHAnsi" w:cstheme="majorBidi"/>
          <w:sz w:val="23"/>
          <w:szCs w:val="23"/>
        </w:rPr>
        <w:t>Greater Geelong or Victoria as a whole.</w:t>
      </w:r>
    </w:p>
    <w:p w14:paraId="065D0654" w14:textId="77777777" w:rsidR="00AA3A66" w:rsidRPr="006D1C92" w:rsidRDefault="00AA3A66" w:rsidP="006D1C92">
      <w:pPr>
        <w:spacing w:before="120" w:after="120" w:line="276" w:lineRule="auto"/>
        <w:rPr>
          <w:rFonts w:asciiTheme="majorHAnsi" w:hAnsiTheme="majorHAnsi" w:cstheme="majorHAnsi"/>
          <w:iCs/>
          <w:sz w:val="23"/>
          <w:szCs w:val="23"/>
        </w:rPr>
      </w:pPr>
    </w:p>
    <w:p w14:paraId="5F483C3D" w14:textId="60D9D2CC" w:rsidR="006D1C92" w:rsidRDefault="006D1C92" w:rsidP="006D1C92">
      <w:pPr>
        <w:spacing w:before="120" w:after="120" w:line="276" w:lineRule="auto"/>
        <w:rPr>
          <w:rFonts w:asciiTheme="majorHAnsi" w:hAnsiTheme="majorHAnsi" w:cstheme="majorHAnsi"/>
          <w:sz w:val="23"/>
          <w:szCs w:val="23"/>
        </w:rPr>
      </w:pPr>
    </w:p>
    <w:p w14:paraId="2CD4434A" w14:textId="77777777" w:rsidR="006D1C92" w:rsidRDefault="006D1C92">
      <w:pPr>
        <w:spacing w:after="0" w:line="240" w:lineRule="auto"/>
        <w:rPr>
          <w:rFonts w:asciiTheme="majorHAnsi" w:hAnsiTheme="majorHAnsi" w:cstheme="majorHAnsi"/>
          <w:sz w:val="23"/>
          <w:szCs w:val="23"/>
        </w:rPr>
      </w:pPr>
      <w:r>
        <w:rPr>
          <w:rFonts w:asciiTheme="majorHAnsi" w:hAnsiTheme="majorHAnsi" w:cstheme="majorHAnsi"/>
          <w:sz w:val="23"/>
          <w:szCs w:val="23"/>
        </w:rPr>
        <w:br w:type="page"/>
      </w:r>
    </w:p>
    <w:p w14:paraId="335A9551" w14:textId="77777777" w:rsidR="00F00E3D" w:rsidRPr="00F353BE" w:rsidRDefault="00F00E3D" w:rsidP="00AA3A66">
      <w:pPr>
        <w:spacing w:after="0" w:line="240" w:lineRule="auto"/>
        <w:rPr>
          <w:rFonts w:cstheme="minorHAnsi"/>
          <w:b/>
          <w:bCs/>
          <w:color w:val="2F5496" w:themeColor="accent1" w:themeShade="BF"/>
          <w:sz w:val="21"/>
          <w:szCs w:val="21"/>
        </w:rPr>
      </w:pPr>
      <w:r w:rsidRPr="00F353BE">
        <w:rPr>
          <w:rFonts w:cstheme="minorHAnsi"/>
          <w:b/>
          <w:bCs/>
          <w:color w:val="2F5496" w:themeColor="accent1" w:themeShade="BF"/>
          <w:sz w:val="21"/>
          <w:szCs w:val="21"/>
        </w:rPr>
        <w:lastRenderedPageBreak/>
        <w:t>Panel A: House Transactional Sample</w:t>
      </w:r>
    </w:p>
    <w:tbl>
      <w:tblPr>
        <w:tblW w:w="4953" w:type="pct"/>
        <w:tblBorders>
          <w:top w:val="double" w:sz="4" w:space="0" w:color="auto"/>
          <w:bottom w:val="double" w:sz="4" w:space="0" w:color="auto"/>
        </w:tblBorders>
        <w:tblCellMar>
          <w:left w:w="57" w:type="dxa"/>
          <w:right w:w="57" w:type="dxa"/>
        </w:tblCellMar>
        <w:tblLook w:val="04A0" w:firstRow="1" w:lastRow="0" w:firstColumn="1" w:lastColumn="0" w:noHBand="0" w:noVBand="1"/>
      </w:tblPr>
      <w:tblGrid>
        <w:gridCol w:w="1482"/>
        <w:gridCol w:w="2677"/>
        <w:gridCol w:w="801"/>
        <w:gridCol w:w="1091"/>
        <w:gridCol w:w="1237"/>
        <w:gridCol w:w="946"/>
        <w:gridCol w:w="1307"/>
      </w:tblGrid>
      <w:tr w:rsidR="00F353BE" w:rsidRPr="00F353BE" w14:paraId="0E114858" w14:textId="77777777" w:rsidTr="00F353BE">
        <w:trPr>
          <w:trHeight w:val="274"/>
        </w:trPr>
        <w:tc>
          <w:tcPr>
            <w:tcW w:w="776" w:type="pct"/>
            <w:tcBorders>
              <w:top w:val="double" w:sz="4" w:space="0" w:color="auto"/>
              <w:bottom w:val="single" w:sz="4" w:space="0" w:color="auto"/>
            </w:tcBorders>
            <w:shd w:val="clear" w:color="auto" w:fill="D0CECE" w:themeFill="background2" w:themeFillShade="E6"/>
            <w:noWrap/>
            <w:vAlign w:val="center"/>
            <w:hideMark/>
          </w:tcPr>
          <w:p w14:paraId="351F1E31"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Variable</w:t>
            </w:r>
          </w:p>
        </w:tc>
        <w:tc>
          <w:tcPr>
            <w:tcW w:w="1403" w:type="pct"/>
            <w:tcBorders>
              <w:top w:val="double" w:sz="4" w:space="0" w:color="auto"/>
              <w:bottom w:val="single" w:sz="4" w:space="0" w:color="auto"/>
            </w:tcBorders>
            <w:shd w:val="clear" w:color="auto" w:fill="D0CECE" w:themeFill="background2" w:themeFillShade="E6"/>
            <w:vAlign w:val="center"/>
          </w:tcPr>
          <w:p w14:paraId="05D60882"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Definition</w:t>
            </w:r>
          </w:p>
        </w:tc>
        <w:tc>
          <w:tcPr>
            <w:tcW w:w="420" w:type="pct"/>
            <w:tcBorders>
              <w:top w:val="double" w:sz="4" w:space="0" w:color="auto"/>
              <w:bottom w:val="single" w:sz="4" w:space="0" w:color="auto"/>
            </w:tcBorders>
            <w:shd w:val="clear" w:color="auto" w:fill="D0CECE" w:themeFill="background2" w:themeFillShade="E6"/>
            <w:noWrap/>
            <w:vAlign w:val="center"/>
            <w:hideMark/>
          </w:tcPr>
          <w:p w14:paraId="7F111A5F"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Obs</w:t>
            </w:r>
          </w:p>
        </w:tc>
        <w:tc>
          <w:tcPr>
            <w:tcW w:w="572" w:type="pct"/>
            <w:tcBorders>
              <w:top w:val="double" w:sz="4" w:space="0" w:color="auto"/>
              <w:bottom w:val="single" w:sz="4" w:space="0" w:color="auto"/>
            </w:tcBorders>
            <w:shd w:val="clear" w:color="auto" w:fill="D0CECE" w:themeFill="background2" w:themeFillShade="E6"/>
            <w:noWrap/>
            <w:vAlign w:val="center"/>
            <w:hideMark/>
          </w:tcPr>
          <w:p w14:paraId="4E2DA2BA"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Mean</w:t>
            </w:r>
          </w:p>
        </w:tc>
        <w:tc>
          <w:tcPr>
            <w:tcW w:w="648" w:type="pct"/>
            <w:tcBorders>
              <w:top w:val="double" w:sz="4" w:space="0" w:color="auto"/>
              <w:bottom w:val="single" w:sz="4" w:space="0" w:color="auto"/>
            </w:tcBorders>
            <w:shd w:val="clear" w:color="auto" w:fill="D0CECE" w:themeFill="background2" w:themeFillShade="E6"/>
            <w:noWrap/>
            <w:vAlign w:val="center"/>
            <w:hideMark/>
          </w:tcPr>
          <w:p w14:paraId="47C888EB"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Std. Dev.</w:t>
            </w:r>
          </w:p>
        </w:tc>
        <w:tc>
          <w:tcPr>
            <w:tcW w:w="496" w:type="pct"/>
            <w:tcBorders>
              <w:top w:val="double" w:sz="4" w:space="0" w:color="auto"/>
              <w:bottom w:val="single" w:sz="4" w:space="0" w:color="auto"/>
            </w:tcBorders>
            <w:shd w:val="clear" w:color="auto" w:fill="D0CECE" w:themeFill="background2" w:themeFillShade="E6"/>
            <w:noWrap/>
            <w:vAlign w:val="center"/>
            <w:hideMark/>
          </w:tcPr>
          <w:p w14:paraId="733986EB"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Min</w:t>
            </w:r>
          </w:p>
        </w:tc>
        <w:tc>
          <w:tcPr>
            <w:tcW w:w="686" w:type="pct"/>
            <w:tcBorders>
              <w:top w:val="double" w:sz="4" w:space="0" w:color="auto"/>
              <w:bottom w:val="single" w:sz="4" w:space="0" w:color="auto"/>
            </w:tcBorders>
            <w:shd w:val="clear" w:color="auto" w:fill="D0CECE" w:themeFill="background2" w:themeFillShade="E6"/>
            <w:noWrap/>
            <w:vAlign w:val="center"/>
            <w:hideMark/>
          </w:tcPr>
          <w:p w14:paraId="00F9E6A0"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Max</w:t>
            </w:r>
          </w:p>
        </w:tc>
      </w:tr>
      <w:tr w:rsidR="00F00E3D" w:rsidRPr="00AA3A66" w14:paraId="4E8A2312" w14:textId="77777777" w:rsidTr="00AA3A66">
        <w:trPr>
          <w:trHeight w:val="274"/>
        </w:trPr>
        <w:tc>
          <w:tcPr>
            <w:tcW w:w="776" w:type="pct"/>
            <w:shd w:val="clear" w:color="auto" w:fill="auto"/>
            <w:noWrap/>
            <w:vAlign w:val="center"/>
            <w:hideMark/>
          </w:tcPr>
          <w:p w14:paraId="4810FEA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Price</w:t>
            </w:r>
          </w:p>
        </w:tc>
        <w:tc>
          <w:tcPr>
            <w:tcW w:w="1403" w:type="pct"/>
            <w:vAlign w:val="center"/>
          </w:tcPr>
          <w:p w14:paraId="4F0567B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Transactional Price</w:t>
            </w:r>
          </w:p>
        </w:tc>
        <w:tc>
          <w:tcPr>
            <w:tcW w:w="420" w:type="pct"/>
            <w:shd w:val="clear" w:color="auto" w:fill="auto"/>
            <w:noWrap/>
            <w:vAlign w:val="center"/>
            <w:hideMark/>
          </w:tcPr>
          <w:p w14:paraId="1D68344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4,396</w:t>
            </w:r>
          </w:p>
        </w:tc>
        <w:tc>
          <w:tcPr>
            <w:tcW w:w="572" w:type="pct"/>
            <w:shd w:val="clear" w:color="auto" w:fill="auto"/>
            <w:noWrap/>
            <w:vAlign w:val="center"/>
            <w:hideMark/>
          </w:tcPr>
          <w:p w14:paraId="41A9E04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323,276</w:t>
            </w:r>
          </w:p>
        </w:tc>
        <w:tc>
          <w:tcPr>
            <w:tcW w:w="648" w:type="pct"/>
            <w:shd w:val="clear" w:color="auto" w:fill="auto"/>
            <w:noWrap/>
            <w:vAlign w:val="center"/>
            <w:hideMark/>
          </w:tcPr>
          <w:p w14:paraId="2D0EF4B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87,448</w:t>
            </w:r>
          </w:p>
        </w:tc>
        <w:tc>
          <w:tcPr>
            <w:tcW w:w="496" w:type="pct"/>
            <w:shd w:val="clear" w:color="auto" w:fill="auto"/>
            <w:noWrap/>
            <w:vAlign w:val="center"/>
            <w:hideMark/>
          </w:tcPr>
          <w:p w14:paraId="31CFDFC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65,650</w:t>
            </w:r>
          </w:p>
        </w:tc>
        <w:tc>
          <w:tcPr>
            <w:tcW w:w="686" w:type="pct"/>
            <w:shd w:val="clear" w:color="auto" w:fill="auto"/>
            <w:noWrap/>
            <w:vAlign w:val="center"/>
            <w:hideMark/>
          </w:tcPr>
          <w:p w14:paraId="0EC8F5C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2,150,000</w:t>
            </w:r>
          </w:p>
        </w:tc>
      </w:tr>
      <w:tr w:rsidR="00F00E3D" w:rsidRPr="00AA3A66" w14:paraId="15C3033B" w14:textId="77777777" w:rsidTr="00AA3A66">
        <w:trPr>
          <w:trHeight w:val="274"/>
        </w:trPr>
        <w:tc>
          <w:tcPr>
            <w:tcW w:w="776" w:type="pct"/>
            <w:shd w:val="clear" w:color="auto" w:fill="auto"/>
            <w:noWrap/>
            <w:vAlign w:val="center"/>
            <w:hideMark/>
          </w:tcPr>
          <w:p w14:paraId="2470377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Size</w:t>
            </w:r>
          </w:p>
        </w:tc>
        <w:tc>
          <w:tcPr>
            <w:tcW w:w="1403" w:type="pct"/>
            <w:vAlign w:val="center"/>
          </w:tcPr>
          <w:p w14:paraId="000CA67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Size of land</w:t>
            </w:r>
          </w:p>
        </w:tc>
        <w:tc>
          <w:tcPr>
            <w:tcW w:w="420" w:type="pct"/>
            <w:shd w:val="clear" w:color="auto" w:fill="auto"/>
            <w:noWrap/>
            <w:vAlign w:val="center"/>
            <w:hideMark/>
          </w:tcPr>
          <w:p w14:paraId="005B4C6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4,363</w:t>
            </w:r>
          </w:p>
        </w:tc>
        <w:tc>
          <w:tcPr>
            <w:tcW w:w="572" w:type="pct"/>
            <w:shd w:val="clear" w:color="auto" w:fill="auto"/>
            <w:noWrap/>
            <w:vAlign w:val="center"/>
            <w:hideMark/>
          </w:tcPr>
          <w:p w14:paraId="498F844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627.12</w:t>
            </w:r>
          </w:p>
        </w:tc>
        <w:tc>
          <w:tcPr>
            <w:tcW w:w="648" w:type="pct"/>
            <w:shd w:val="clear" w:color="auto" w:fill="auto"/>
            <w:noWrap/>
            <w:vAlign w:val="center"/>
            <w:hideMark/>
          </w:tcPr>
          <w:p w14:paraId="21D1A1E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499.88</w:t>
            </w:r>
          </w:p>
        </w:tc>
        <w:tc>
          <w:tcPr>
            <w:tcW w:w="496" w:type="pct"/>
            <w:shd w:val="clear" w:color="auto" w:fill="auto"/>
            <w:noWrap/>
            <w:vAlign w:val="center"/>
            <w:hideMark/>
          </w:tcPr>
          <w:p w14:paraId="023BE14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98.00</w:t>
            </w:r>
          </w:p>
        </w:tc>
        <w:tc>
          <w:tcPr>
            <w:tcW w:w="686" w:type="pct"/>
            <w:shd w:val="clear" w:color="auto" w:fill="auto"/>
            <w:noWrap/>
            <w:vAlign w:val="center"/>
            <w:hideMark/>
          </w:tcPr>
          <w:p w14:paraId="4E3D03A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13,510.00</w:t>
            </w:r>
          </w:p>
        </w:tc>
      </w:tr>
      <w:tr w:rsidR="00F00E3D" w:rsidRPr="00AA3A66" w14:paraId="6B75E27D" w14:textId="77777777" w:rsidTr="00AA3A66">
        <w:trPr>
          <w:trHeight w:val="274"/>
        </w:trPr>
        <w:tc>
          <w:tcPr>
            <w:tcW w:w="776" w:type="pct"/>
            <w:shd w:val="clear" w:color="auto" w:fill="auto"/>
            <w:noWrap/>
            <w:vAlign w:val="center"/>
            <w:hideMark/>
          </w:tcPr>
          <w:p w14:paraId="755FB0D1"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No.Beds</w:t>
            </w:r>
          </w:p>
        </w:tc>
        <w:tc>
          <w:tcPr>
            <w:tcW w:w="1403" w:type="pct"/>
            <w:vAlign w:val="center"/>
          </w:tcPr>
          <w:p w14:paraId="730F3F9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Number of Bedrooms</w:t>
            </w:r>
          </w:p>
        </w:tc>
        <w:tc>
          <w:tcPr>
            <w:tcW w:w="420" w:type="pct"/>
            <w:shd w:val="clear" w:color="auto" w:fill="auto"/>
            <w:noWrap/>
            <w:vAlign w:val="center"/>
            <w:hideMark/>
          </w:tcPr>
          <w:p w14:paraId="2B07022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4,398</w:t>
            </w:r>
          </w:p>
        </w:tc>
        <w:tc>
          <w:tcPr>
            <w:tcW w:w="572" w:type="pct"/>
            <w:shd w:val="clear" w:color="auto" w:fill="auto"/>
            <w:noWrap/>
            <w:vAlign w:val="center"/>
            <w:hideMark/>
          </w:tcPr>
          <w:p w14:paraId="46E9A57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2.91</w:t>
            </w:r>
          </w:p>
        </w:tc>
        <w:tc>
          <w:tcPr>
            <w:tcW w:w="648" w:type="pct"/>
            <w:shd w:val="clear" w:color="auto" w:fill="auto"/>
            <w:noWrap/>
            <w:vAlign w:val="center"/>
            <w:hideMark/>
          </w:tcPr>
          <w:p w14:paraId="0C7CF11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0.68</w:t>
            </w:r>
          </w:p>
        </w:tc>
        <w:tc>
          <w:tcPr>
            <w:tcW w:w="496" w:type="pct"/>
            <w:shd w:val="clear" w:color="auto" w:fill="auto"/>
            <w:noWrap/>
            <w:vAlign w:val="center"/>
            <w:hideMark/>
          </w:tcPr>
          <w:p w14:paraId="303AB23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vAlign w:val="center"/>
            <w:hideMark/>
          </w:tcPr>
          <w:p w14:paraId="56D2AE4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6.00</w:t>
            </w:r>
          </w:p>
        </w:tc>
      </w:tr>
      <w:tr w:rsidR="00F00E3D" w:rsidRPr="00AA3A66" w14:paraId="3616B822" w14:textId="77777777" w:rsidTr="00AA3A66">
        <w:trPr>
          <w:trHeight w:val="274"/>
        </w:trPr>
        <w:tc>
          <w:tcPr>
            <w:tcW w:w="776" w:type="pct"/>
            <w:shd w:val="clear" w:color="auto" w:fill="auto"/>
            <w:noWrap/>
            <w:vAlign w:val="center"/>
            <w:hideMark/>
          </w:tcPr>
          <w:p w14:paraId="247ED4C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No.Baths</w:t>
            </w:r>
          </w:p>
        </w:tc>
        <w:tc>
          <w:tcPr>
            <w:tcW w:w="1403" w:type="pct"/>
            <w:vAlign w:val="center"/>
          </w:tcPr>
          <w:p w14:paraId="30B61B21"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Number of Bathroom</w:t>
            </w:r>
          </w:p>
        </w:tc>
        <w:tc>
          <w:tcPr>
            <w:tcW w:w="420" w:type="pct"/>
            <w:shd w:val="clear" w:color="auto" w:fill="auto"/>
            <w:noWrap/>
            <w:vAlign w:val="center"/>
            <w:hideMark/>
          </w:tcPr>
          <w:p w14:paraId="553BA15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4,398</w:t>
            </w:r>
          </w:p>
        </w:tc>
        <w:tc>
          <w:tcPr>
            <w:tcW w:w="572" w:type="pct"/>
            <w:shd w:val="clear" w:color="auto" w:fill="auto"/>
            <w:noWrap/>
            <w:vAlign w:val="center"/>
            <w:hideMark/>
          </w:tcPr>
          <w:p w14:paraId="6BA99D6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1.13</w:t>
            </w:r>
          </w:p>
        </w:tc>
        <w:tc>
          <w:tcPr>
            <w:tcW w:w="648" w:type="pct"/>
            <w:shd w:val="clear" w:color="auto" w:fill="auto"/>
            <w:noWrap/>
            <w:vAlign w:val="center"/>
            <w:hideMark/>
          </w:tcPr>
          <w:p w14:paraId="65099DD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0.49</w:t>
            </w:r>
          </w:p>
        </w:tc>
        <w:tc>
          <w:tcPr>
            <w:tcW w:w="496" w:type="pct"/>
            <w:shd w:val="clear" w:color="auto" w:fill="auto"/>
            <w:noWrap/>
            <w:vAlign w:val="center"/>
            <w:hideMark/>
          </w:tcPr>
          <w:p w14:paraId="3CF8236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vAlign w:val="center"/>
            <w:hideMark/>
          </w:tcPr>
          <w:p w14:paraId="167232E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3.00</w:t>
            </w:r>
          </w:p>
        </w:tc>
      </w:tr>
      <w:tr w:rsidR="00F00E3D" w:rsidRPr="00AA3A66" w14:paraId="625E51CD" w14:textId="77777777" w:rsidTr="00AA3A66">
        <w:trPr>
          <w:trHeight w:val="274"/>
        </w:trPr>
        <w:tc>
          <w:tcPr>
            <w:tcW w:w="776" w:type="pct"/>
            <w:shd w:val="clear" w:color="auto" w:fill="auto"/>
            <w:noWrap/>
            <w:vAlign w:val="center"/>
            <w:hideMark/>
          </w:tcPr>
          <w:p w14:paraId="20A2B46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No.Parking</w:t>
            </w:r>
          </w:p>
        </w:tc>
        <w:tc>
          <w:tcPr>
            <w:tcW w:w="1403" w:type="pct"/>
            <w:vAlign w:val="center"/>
          </w:tcPr>
          <w:p w14:paraId="1CEF111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Number of Carpark</w:t>
            </w:r>
          </w:p>
        </w:tc>
        <w:tc>
          <w:tcPr>
            <w:tcW w:w="420" w:type="pct"/>
            <w:shd w:val="clear" w:color="auto" w:fill="auto"/>
            <w:noWrap/>
            <w:vAlign w:val="center"/>
            <w:hideMark/>
          </w:tcPr>
          <w:p w14:paraId="1A701C2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4,398</w:t>
            </w:r>
          </w:p>
        </w:tc>
        <w:tc>
          <w:tcPr>
            <w:tcW w:w="572" w:type="pct"/>
            <w:shd w:val="clear" w:color="auto" w:fill="auto"/>
            <w:noWrap/>
            <w:vAlign w:val="center"/>
            <w:hideMark/>
          </w:tcPr>
          <w:p w14:paraId="59F54B8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1.99</w:t>
            </w:r>
          </w:p>
        </w:tc>
        <w:tc>
          <w:tcPr>
            <w:tcW w:w="648" w:type="pct"/>
            <w:shd w:val="clear" w:color="auto" w:fill="auto"/>
            <w:noWrap/>
            <w:vAlign w:val="center"/>
            <w:hideMark/>
          </w:tcPr>
          <w:p w14:paraId="3260475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1.45</w:t>
            </w:r>
          </w:p>
        </w:tc>
        <w:tc>
          <w:tcPr>
            <w:tcW w:w="496" w:type="pct"/>
            <w:shd w:val="clear" w:color="auto" w:fill="auto"/>
            <w:noWrap/>
            <w:vAlign w:val="center"/>
            <w:hideMark/>
          </w:tcPr>
          <w:p w14:paraId="329D129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vAlign w:val="center"/>
            <w:hideMark/>
          </w:tcPr>
          <w:p w14:paraId="4EDF2A15"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10.00</w:t>
            </w:r>
          </w:p>
        </w:tc>
      </w:tr>
      <w:tr w:rsidR="00F00E3D" w:rsidRPr="00AA3A66" w14:paraId="5C62E0D1" w14:textId="77777777" w:rsidTr="00AA3A66">
        <w:trPr>
          <w:trHeight w:val="274"/>
        </w:trPr>
        <w:tc>
          <w:tcPr>
            <w:tcW w:w="776" w:type="pct"/>
            <w:shd w:val="clear" w:color="auto" w:fill="auto"/>
            <w:noWrap/>
            <w:vAlign w:val="center"/>
            <w:hideMark/>
          </w:tcPr>
          <w:p w14:paraId="57750E1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DY-2015</w:t>
            </w:r>
          </w:p>
        </w:tc>
        <w:tc>
          <w:tcPr>
            <w:tcW w:w="1403" w:type="pct"/>
            <w:vAlign w:val="center"/>
          </w:tcPr>
          <w:p w14:paraId="40A9B84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2015</w:t>
            </w:r>
          </w:p>
        </w:tc>
        <w:tc>
          <w:tcPr>
            <w:tcW w:w="420" w:type="pct"/>
            <w:shd w:val="clear" w:color="auto" w:fill="auto"/>
            <w:noWrap/>
            <w:vAlign w:val="center"/>
            <w:hideMark/>
          </w:tcPr>
          <w:p w14:paraId="4A0E8F2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4,398</w:t>
            </w:r>
          </w:p>
        </w:tc>
        <w:tc>
          <w:tcPr>
            <w:tcW w:w="572" w:type="pct"/>
            <w:shd w:val="clear" w:color="auto" w:fill="auto"/>
            <w:noWrap/>
            <w:vAlign w:val="center"/>
            <w:hideMark/>
          </w:tcPr>
          <w:p w14:paraId="2B96701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0.13</w:t>
            </w:r>
          </w:p>
        </w:tc>
        <w:tc>
          <w:tcPr>
            <w:tcW w:w="648" w:type="pct"/>
            <w:shd w:val="clear" w:color="auto" w:fill="auto"/>
            <w:noWrap/>
            <w:vAlign w:val="center"/>
            <w:hideMark/>
          </w:tcPr>
          <w:p w14:paraId="4557AAB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0.34</w:t>
            </w:r>
          </w:p>
        </w:tc>
        <w:tc>
          <w:tcPr>
            <w:tcW w:w="496" w:type="pct"/>
            <w:shd w:val="clear" w:color="auto" w:fill="auto"/>
            <w:noWrap/>
            <w:vAlign w:val="center"/>
            <w:hideMark/>
          </w:tcPr>
          <w:p w14:paraId="4F3C8EA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vAlign w:val="center"/>
            <w:hideMark/>
          </w:tcPr>
          <w:p w14:paraId="6138D57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1.00</w:t>
            </w:r>
          </w:p>
        </w:tc>
      </w:tr>
      <w:tr w:rsidR="00F00E3D" w:rsidRPr="00AA3A66" w14:paraId="2C84E87F" w14:textId="77777777" w:rsidTr="00AA3A66">
        <w:trPr>
          <w:trHeight w:val="274"/>
        </w:trPr>
        <w:tc>
          <w:tcPr>
            <w:tcW w:w="776" w:type="pct"/>
            <w:shd w:val="clear" w:color="auto" w:fill="auto"/>
            <w:noWrap/>
            <w:vAlign w:val="center"/>
            <w:hideMark/>
          </w:tcPr>
          <w:p w14:paraId="5857ABE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DY-2016</w:t>
            </w:r>
          </w:p>
        </w:tc>
        <w:tc>
          <w:tcPr>
            <w:tcW w:w="1403" w:type="pct"/>
            <w:vAlign w:val="center"/>
          </w:tcPr>
          <w:p w14:paraId="366AD865"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2016</w:t>
            </w:r>
          </w:p>
        </w:tc>
        <w:tc>
          <w:tcPr>
            <w:tcW w:w="420" w:type="pct"/>
            <w:shd w:val="clear" w:color="auto" w:fill="auto"/>
            <w:noWrap/>
            <w:vAlign w:val="center"/>
            <w:hideMark/>
          </w:tcPr>
          <w:p w14:paraId="3BFC70D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4,398</w:t>
            </w:r>
          </w:p>
        </w:tc>
        <w:tc>
          <w:tcPr>
            <w:tcW w:w="572" w:type="pct"/>
            <w:shd w:val="clear" w:color="auto" w:fill="auto"/>
            <w:noWrap/>
            <w:vAlign w:val="center"/>
            <w:hideMark/>
          </w:tcPr>
          <w:p w14:paraId="5E827D6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0.17</w:t>
            </w:r>
          </w:p>
        </w:tc>
        <w:tc>
          <w:tcPr>
            <w:tcW w:w="648" w:type="pct"/>
            <w:shd w:val="clear" w:color="auto" w:fill="auto"/>
            <w:noWrap/>
            <w:vAlign w:val="center"/>
            <w:hideMark/>
          </w:tcPr>
          <w:p w14:paraId="4F122F0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0.38</w:t>
            </w:r>
          </w:p>
        </w:tc>
        <w:tc>
          <w:tcPr>
            <w:tcW w:w="496" w:type="pct"/>
            <w:shd w:val="clear" w:color="auto" w:fill="auto"/>
            <w:noWrap/>
            <w:vAlign w:val="center"/>
            <w:hideMark/>
          </w:tcPr>
          <w:p w14:paraId="07A2685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vAlign w:val="center"/>
            <w:hideMark/>
          </w:tcPr>
          <w:p w14:paraId="7C88F0A5"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1.00</w:t>
            </w:r>
          </w:p>
        </w:tc>
      </w:tr>
      <w:tr w:rsidR="00F00E3D" w:rsidRPr="00AA3A66" w14:paraId="1B047159" w14:textId="77777777" w:rsidTr="00AA3A66">
        <w:trPr>
          <w:trHeight w:val="274"/>
        </w:trPr>
        <w:tc>
          <w:tcPr>
            <w:tcW w:w="776" w:type="pct"/>
            <w:shd w:val="clear" w:color="auto" w:fill="auto"/>
            <w:noWrap/>
            <w:vAlign w:val="center"/>
            <w:hideMark/>
          </w:tcPr>
          <w:p w14:paraId="01D8220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DY-2017</w:t>
            </w:r>
          </w:p>
        </w:tc>
        <w:tc>
          <w:tcPr>
            <w:tcW w:w="1403" w:type="pct"/>
            <w:vAlign w:val="center"/>
          </w:tcPr>
          <w:p w14:paraId="5B9E7B3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2017</w:t>
            </w:r>
          </w:p>
        </w:tc>
        <w:tc>
          <w:tcPr>
            <w:tcW w:w="420" w:type="pct"/>
            <w:shd w:val="clear" w:color="auto" w:fill="auto"/>
            <w:noWrap/>
            <w:vAlign w:val="center"/>
            <w:hideMark/>
          </w:tcPr>
          <w:p w14:paraId="69E93BC1"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4,398</w:t>
            </w:r>
          </w:p>
        </w:tc>
        <w:tc>
          <w:tcPr>
            <w:tcW w:w="572" w:type="pct"/>
            <w:shd w:val="clear" w:color="auto" w:fill="auto"/>
            <w:noWrap/>
            <w:vAlign w:val="center"/>
            <w:hideMark/>
          </w:tcPr>
          <w:p w14:paraId="33A63EF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0.17</w:t>
            </w:r>
          </w:p>
        </w:tc>
        <w:tc>
          <w:tcPr>
            <w:tcW w:w="648" w:type="pct"/>
            <w:shd w:val="clear" w:color="auto" w:fill="auto"/>
            <w:noWrap/>
            <w:vAlign w:val="center"/>
            <w:hideMark/>
          </w:tcPr>
          <w:p w14:paraId="0BCB74F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0.38</w:t>
            </w:r>
          </w:p>
        </w:tc>
        <w:tc>
          <w:tcPr>
            <w:tcW w:w="496" w:type="pct"/>
            <w:shd w:val="clear" w:color="auto" w:fill="auto"/>
            <w:noWrap/>
            <w:vAlign w:val="center"/>
            <w:hideMark/>
          </w:tcPr>
          <w:p w14:paraId="1753B1C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vAlign w:val="center"/>
            <w:hideMark/>
          </w:tcPr>
          <w:p w14:paraId="00D8DF8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1.00</w:t>
            </w:r>
          </w:p>
        </w:tc>
      </w:tr>
      <w:tr w:rsidR="00F00E3D" w:rsidRPr="00AA3A66" w14:paraId="3B35A3FA" w14:textId="77777777" w:rsidTr="00AA3A66">
        <w:trPr>
          <w:trHeight w:val="274"/>
        </w:trPr>
        <w:tc>
          <w:tcPr>
            <w:tcW w:w="776" w:type="pct"/>
            <w:shd w:val="clear" w:color="auto" w:fill="auto"/>
            <w:noWrap/>
            <w:vAlign w:val="center"/>
            <w:hideMark/>
          </w:tcPr>
          <w:p w14:paraId="147D305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DY-2018</w:t>
            </w:r>
          </w:p>
        </w:tc>
        <w:tc>
          <w:tcPr>
            <w:tcW w:w="1403" w:type="pct"/>
            <w:vAlign w:val="center"/>
          </w:tcPr>
          <w:p w14:paraId="21B5144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2018</w:t>
            </w:r>
          </w:p>
        </w:tc>
        <w:tc>
          <w:tcPr>
            <w:tcW w:w="420" w:type="pct"/>
            <w:shd w:val="clear" w:color="auto" w:fill="auto"/>
            <w:noWrap/>
            <w:vAlign w:val="center"/>
            <w:hideMark/>
          </w:tcPr>
          <w:p w14:paraId="3AD7914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4,398</w:t>
            </w:r>
          </w:p>
        </w:tc>
        <w:tc>
          <w:tcPr>
            <w:tcW w:w="572" w:type="pct"/>
            <w:shd w:val="clear" w:color="auto" w:fill="auto"/>
            <w:noWrap/>
            <w:vAlign w:val="center"/>
            <w:hideMark/>
          </w:tcPr>
          <w:p w14:paraId="7AECB90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0.22</w:t>
            </w:r>
          </w:p>
        </w:tc>
        <w:tc>
          <w:tcPr>
            <w:tcW w:w="648" w:type="pct"/>
            <w:shd w:val="clear" w:color="auto" w:fill="auto"/>
            <w:noWrap/>
            <w:vAlign w:val="center"/>
            <w:hideMark/>
          </w:tcPr>
          <w:p w14:paraId="66822EA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0.41</w:t>
            </w:r>
          </w:p>
        </w:tc>
        <w:tc>
          <w:tcPr>
            <w:tcW w:w="496" w:type="pct"/>
            <w:shd w:val="clear" w:color="auto" w:fill="auto"/>
            <w:noWrap/>
            <w:vAlign w:val="center"/>
            <w:hideMark/>
          </w:tcPr>
          <w:p w14:paraId="2B45C8D1"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vAlign w:val="center"/>
            <w:hideMark/>
          </w:tcPr>
          <w:p w14:paraId="2F35BA3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1.00</w:t>
            </w:r>
          </w:p>
        </w:tc>
      </w:tr>
      <w:tr w:rsidR="00F00E3D" w:rsidRPr="00AA3A66" w14:paraId="7DC7BD43" w14:textId="77777777" w:rsidTr="00AA3A66">
        <w:trPr>
          <w:trHeight w:val="274"/>
        </w:trPr>
        <w:tc>
          <w:tcPr>
            <w:tcW w:w="776" w:type="pct"/>
            <w:shd w:val="clear" w:color="auto" w:fill="auto"/>
            <w:noWrap/>
            <w:vAlign w:val="center"/>
            <w:hideMark/>
          </w:tcPr>
          <w:p w14:paraId="13E0790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DY-2019</w:t>
            </w:r>
          </w:p>
        </w:tc>
        <w:tc>
          <w:tcPr>
            <w:tcW w:w="1403" w:type="pct"/>
            <w:vAlign w:val="center"/>
          </w:tcPr>
          <w:p w14:paraId="2590A94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2019</w:t>
            </w:r>
          </w:p>
        </w:tc>
        <w:tc>
          <w:tcPr>
            <w:tcW w:w="420" w:type="pct"/>
            <w:shd w:val="clear" w:color="auto" w:fill="auto"/>
            <w:noWrap/>
            <w:vAlign w:val="center"/>
            <w:hideMark/>
          </w:tcPr>
          <w:p w14:paraId="39BB2CE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4,398</w:t>
            </w:r>
          </w:p>
        </w:tc>
        <w:tc>
          <w:tcPr>
            <w:tcW w:w="572" w:type="pct"/>
            <w:shd w:val="clear" w:color="auto" w:fill="auto"/>
            <w:noWrap/>
            <w:vAlign w:val="center"/>
            <w:hideMark/>
          </w:tcPr>
          <w:p w14:paraId="5CB5D25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0.19</w:t>
            </w:r>
          </w:p>
        </w:tc>
        <w:tc>
          <w:tcPr>
            <w:tcW w:w="648" w:type="pct"/>
            <w:shd w:val="clear" w:color="auto" w:fill="auto"/>
            <w:noWrap/>
            <w:vAlign w:val="center"/>
            <w:hideMark/>
          </w:tcPr>
          <w:p w14:paraId="465401B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0.39</w:t>
            </w:r>
          </w:p>
        </w:tc>
        <w:tc>
          <w:tcPr>
            <w:tcW w:w="496" w:type="pct"/>
            <w:shd w:val="clear" w:color="auto" w:fill="auto"/>
            <w:noWrap/>
            <w:vAlign w:val="center"/>
            <w:hideMark/>
          </w:tcPr>
          <w:p w14:paraId="1FD2B1B5"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vAlign w:val="center"/>
            <w:hideMark/>
          </w:tcPr>
          <w:p w14:paraId="70F839A1"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1.00</w:t>
            </w:r>
          </w:p>
        </w:tc>
      </w:tr>
      <w:tr w:rsidR="00F00E3D" w:rsidRPr="00AA3A66" w14:paraId="66CC8EB5" w14:textId="77777777" w:rsidTr="00AA3A66">
        <w:trPr>
          <w:trHeight w:val="274"/>
        </w:trPr>
        <w:tc>
          <w:tcPr>
            <w:tcW w:w="776" w:type="pct"/>
            <w:shd w:val="clear" w:color="auto" w:fill="auto"/>
            <w:noWrap/>
            <w:vAlign w:val="center"/>
            <w:hideMark/>
          </w:tcPr>
          <w:p w14:paraId="72B4A33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DY-2020</w:t>
            </w:r>
          </w:p>
        </w:tc>
        <w:tc>
          <w:tcPr>
            <w:tcW w:w="1403" w:type="pct"/>
            <w:vAlign w:val="center"/>
          </w:tcPr>
          <w:p w14:paraId="16E6097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2020</w:t>
            </w:r>
          </w:p>
        </w:tc>
        <w:tc>
          <w:tcPr>
            <w:tcW w:w="420" w:type="pct"/>
            <w:shd w:val="clear" w:color="auto" w:fill="auto"/>
            <w:noWrap/>
            <w:vAlign w:val="center"/>
            <w:hideMark/>
          </w:tcPr>
          <w:p w14:paraId="1204D7C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4,398</w:t>
            </w:r>
          </w:p>
        </w:tc>
        <w:tc>
          <w:tcPr>
            <w:tcW w:w="572" w:type="pct"/>
            <w:shd w:val="clear" w:color="auto" w:fill="auto"/>
            <w:noWrap/>
            <w:vAlign w:val="center"/>
            <w:hideMark/>
          </w:tcPr>
          <w:p w14:paraId="5ED752D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0.12</w:t>
            </w:r>
          </w:p>
        </w:tc>
        <w:tc>
          <w:tcPr>
            <w:tcW w:w="648" w:type="pct"/>
            <w:shd w:val="clear" w:color="auto" w:fill="auto"/>
            <w:noWrap/>
            <w:vAlign w:val="center"/>
            <w:hideMark/>
          </w:tcPr>
          <w:p w14:paraId="059323D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0.32</w:t>
            </w:r>
          </w:p>
        </w:tc>
        <w:tc>
          <w:tcPr>
            <w:tcW w:w="496" w:type="pct"/>
            <w:shd w:val="clear" w:color="auto" w:fill="auto"/>
            <w:noWrap/>
            <w:vAlign w:val="center"/>
            <w:hideMark/>
          </w:tcPr>
          <w:p w14:paraId="78D26EA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vAlign w:val="center"/>
            <w:hideMark/>
          </w:tcPr>
          <w:p w14:paraId="3BEBF96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1.00</w:t>
            </w:r>
          </w:p>
        </w:tc>
      </w:tr>
    </w:tbl>
    <w:p w14:paraId="508B93DD" w14:textId="77777777" w:rsidR="00F00E3D" w:rsidRPr="00F353BE" w:rsidRDefault="00F00E3D" w:rsidP="00AA3A66">
      <w:pPr>
        <w:spacing w:after="0" w:line="240" w:lineRule="auto"/>
        <w:rPr>
          <w:rFonts w:cstheme="minorHAnsi"/>
          <w:b/>
          <w:bCs/>
          <w:color w:val="2F5496" w:themeColor="accent1" w:themeShade="BF"/>
          <w:sz w:val="21"/>
          <w:szCs w:val="21"/>
        </w:rPr>
      </w:pPr>
      <w:r w:rsidRPr="00F353BE">
        <w:rPr>
          <w:rFonts w:cstheme="minorHAnsi"/>
          <w:b/>
          <w:bCs/>
          <w:color w:val="2F5496" w:themeColor="accent1" w:themeShade="BF"/>
          <w:sz w:val="21"/>
          <w:szCs w:val="21"/>
        </w:rPr>
        <w:t>Panel B: Unit Transactional Sample</w:t>
      </w:r>
    </w:p>
    <w:tbl>
      <w:tblPr>
        <w:tblW w:w="4953" w:type="pct"/>
        <w:tblBorders>
          <w:top w:val="double" w:sz="4" w:space="0" w:color="auto"/>
          <w:bottom w:val="double" w:sz="4" w:space="0" w:color="auto"/>
        </w:tblBorders>
        <w:tblCellMar>
          <w:left w:w="57" w:type="dxa"/>
          <w:right w:w="57" w:type="dxa"/>
        </w:tblCellMar>
        <w:tblLook w:val="04A0" w:firstRow="1" w:lastRow="0" w:firstColumn="1" w:lastColumn="0" w:noHBand="0" w:noVBand="1"/>
      </w:tblPr>
      <w:tblGrid>
        <w:gridCol w:w="1484"/>
        <w:gridCol w:w="2677"/>
        <w:gridCol w:w="801"/>
        <w:gridCol w:w="1091"/>
        <w:gridCol w:w="1237"/>
        <w:gridCol w:w="946"/>
        <w:gridCol w:w="1305"/>
      </w:tblGrid>
      <w:tr w:rsidR="00F353BE" w:rsidRPr="00F353BE" w14:paraId="1AF1F5CB" w14:textId="77777777" w:rsidTr="00F353BE">
        <w:trPr>
          <w:trHeight w:val="273"/>
        </w:trPr>
        <w:tc>
          <w:tcPr>
            <w:tcW w:w="777" w:type="pct"/>
            <w:tcBorders>
              <w:top w:val="double" w:sz="4" w:space="0" w:color="auto"/>
              <w:bottom w:val="single" w:sz="4" w:space="0" w:color="auto"/>
            </w:tcBorders>
            <w:shd w:val="clear" w:color="auto" w:fill="D0CECE" w:themeFill="background2" w:themeFillShade="E6"/>
            <w:noWrap/>
            <w:vAlign w:val="bottom"/>
            <w:hideMark/>
          </w:tcPr>
          <w:p w14:paraId="15B46486"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Variable</w:t>
            </w:r>
          </w:p>
        </w:tc>
        <w:tc>
          <w:tcPr>
            <w:tcW w:w="1403" w:type="pct"/>
            <w:tcBorders>
              <w:top w:val="double" w:sz="4" w:space="0" w:color="auto"/>
              <w:bottom w:val="single" w:sz="4" w:space="0" w:color="auto"/>
            </w:tcBorders>
            <w:shd w:val="clear" w:color="auto" w:fill="D0CECE" w:themeFill="background2" w:themeFillShade="E6"/>
          </w:tcPr>
          <w:p w14:paraId="448116FC"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Definition</w:t>
            </w:r>
          </w:p>
        </w:tc>
        <w:tc>
          <w:tcPr>
            <w:tcW w:w="420" w:type="pct"/>
            <w:tcBorders>
              <w:top w:val="double" w:sz="4" w:space="0" w:color="auto"/>
              <w:bottom w:val="single" w:sz="4" w:space="0" w:color="auto"/>
            </w:tcBorders>
            <w:shd w:val="clear" w:color="auto" w:fill="D0CECE" w:themeFill="background2" w:themeFillShade="E6"/>
            <w:noWrap/>
            <w:vAlign w:val="bottom"/>
            <w:hideMark/>
          </w:tcPr>
          <w:p w14:paraId="275BA521"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Obs</w:t>
            </w:r>
          </w:p>
        </w:tc>
        <w:tc>
          <w:tcPr>
            <w:tcW w:w="572" w:type="pct"/>
            <w:tcBorders>
              <w:top w:val="double" w:sz="4" w:space="0" w:color="auto"/>
              <w:bottom w:val="single" w:sz="4" w:space="0" w:color="auto"/>
            </w:tcBorders>
            <w:shd w:val="clear" w:color="auto" w:fill="D0CECE" w:themeFill="background2" w:themeFillShade="E6"/>
            <w:noWrap/>
            <w:vAlign w:val="bottom"/>
            <w:hideMark/>
          </w:tcPr>
          <w:p w14:paraId="01DAA5D4"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Mean</w:t>
            </w:r>
          </w:p>
        </w:tc>
        <w:tc>
          <w:tcPr>
            <w:tcW w:w="648" w:type="pct"/>
            <w:tcBorders>
              <w:top w:val="double" w:sz="4" w:space="0" w:color="auto"/>
              <w:bottom w:val="single" w:sz="4" w:space="0" w:color="auto"/>
            </w:tcBorders>
            <w:shd w:val="clear" w:color="auto" w:fill="D0CECE" w:themeFill="background2" w:themeFillShade="E6"/>
            <w:noWrap/>
            <w:vAlign w:val="bottom"/>
            <w:hideMark/>
          </w:tcPr>
          <w:p w14:paraId="3C186A64"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Std. Dev.</w:t>
            </w:r>
          </w:p>
        </w:tc>
        <w:tc>
          <w:tcPr>
            <w:tcW w:w="496" w:type="pct"/>
            <w:tcBorders>
              <w:top w:val="double" w:sz="4" w:space="0" w:color="auto"/>
              <w:bottom w:val="single" w:sz="4" w:space="0" w:color="auto"/>
            </w:tcBorders>
            <w:shd w:val="clear" w:color="auto" w:fill="D0CECE" w:themeFill="background2" w:themeFillShade="E6"/>
            <w:noWrap/>
            <w:vAlign w:val="bottom"/>
            <w:hideMark/>
          </w:tcPr>
          <w:p w14:paraId="0FB656E6"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Min</w:t>
            </w:r>
          </w:p>
        </w:tc>
        <w:tc>
          <w:tcPr>
            <w:tcW w:w="685" w:type="pct"/>
            <w:tcBorders>
              <w:top w:val="double" w:sz="4" w:space="0" w:color="auto"/>
              <w:bottom w:val="single" w:sz="4" w:space="0" w:color="auto"/>
            </w:tcBorders>
            <w:shd w:val="clear" w:color="auto" w:fill="D0CECE" w:themeFill="background2" w:themeFillShade="E6"/>
            <w:noWrap/>
            <w:vAlign w:val="bottom"/>
            <w:hideMark/>
          </w:tcPr>
          <w:p w14:paraId="6130747E"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Max</w:t>
            </w:r>
          </w:p>
        </w:tc>
      </w:tr>
      <w:tr w:rsidR="00AA3A66" w:rsidRPr="00AA3A66" w14:paraId="60D67244" w14:textId="77777777" w:rsidTr="00AA3A66">
        <w:trPr>
          <w:trHeight w:val="273"/>
        </w:trPr>
        <w:tc>
          <w:tcPr>
            <w:tcW w:w="777" w:type="pct"/>
            <w:shd w:val="clear" w:color="auto" w:fill="auto"/>
            <w:noWrap/>
            <w:vAlign w:val="bottom"/>
            <w:hideMark/>
          </w:tcPr>
          <w:p w14:paraId="4F6F356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Price</w:t>
            </w:r>
          </w:p>
        </w:tc>
        <w:tc>
          <w:tcPr>
            <w:tcW w:w="1403" w:type="pct"/>
          </w:tcPr>
          <w:p w14:paraId="786177C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Transactional Price</w:t>
            </w:r>
          </w:p>
        </w:tc>
        <w:tc>
          <w:tcPr>
            <w:tcW w:w="420" w:type="pct"/>
            <w:shd w:val="clear" w:color="auto" w:fill="auto"/>
            <w:noWrap/>
            <w:hideMark/>
          </w:tcPr>
          <w:p w14:paraId="4E3CFDA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283 </w:t>
            </w:r>
          </w:p>
        </w:tc>
        <w:tc>
          <w:tcPr>
            <w:tcW w:w="572" w:type="pct"/>
            <w:shd w:val="clear" w:color="auto" w:fill="auto"/>
            <w:noWrap/>
            <w:hideMark/>
          </w:tcPr>
          <w:p w14:paraId="14DD0E1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263,982 </w:t>
            </w:r>
          </w:p>
        </w:tc>
        <w:tc>
          <w:tcPr>
            <w:tcW w:w="648" w:type="pct"/>
            <w:shd w:val="clear" w:color="auto" w:fill="auto"/>
            <w:noWrap/>
            <w:hideMark/>
          </w:tcPr>
          <w:p w14:paraId="7F72A1A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68,126 </w:t>
            </w:r>
          </w:p>
        </w:tc>
        <w:tc>
          <w:tcPr>
            <w:tcW w:w="496" w:type="pct"/>
            <w:shd w:val="clear" w:color="auto" w:fill="auto"/>
            <w:noWrap/>
            <w:hideMark/>
          </w:tcPr>
          <w:p w14:paraId="6BB09C4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137,500 </w:t>
            </w:r>
          </w:p>
        </w:tc>
        <w:tc>
          <w:tcPr>
            <w:tcW w:w="685" w:type="pct"/>
            <w:shd w:val="clear" w:color="auto" w:fill="auto"/>
            <w:noWrap/>
            <w:hideMark/>
          </w:tcPr>
          <w:p w14:paraId="7168E99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508,000 </w:t>
            </w:r>
          </w:p>
        </w:tc>
      </w:tr>
      <w:tr w:rsidR="00AA3A66" w:rsidRPr="00AA3A66" w14:paraId="3D49C580" w14:textId="77777777" w:rsidTr="00AA3A66">
        <w:trPr>
          <w:trHeight w:val="273"/>
        </w:trPr>
        <w:tc>
          <w:tcPr>
            <w:tcW w:w="777" w:type="pct"/>
            <w:shd w:val="clear" w:color="auto" w:fill="auto"/>
            <w:noWrap/>
            <w:vAlign w:val="bottom"/>
            <w:hideMark/>
          </w:tcPr>
          <w:p w14:paraId="1DEA72E5"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Size</w:t>
            </w:r>
          </w:p>
        </w:tc>
        <w:tc>
          <w:tcPr>
            <w:tcW w:w="1403" w:type="pct"/>
          </w:tcPr>
          <w:p w14:paraId="46468D0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Size of Indoor Area</w:t>
            </w:r>
          </w:p>
        </w:tc>
        <w:tc>
          <w:tcPr>
            <w:tcW w:w="420" w:type="pct"/>
            <w:shd w:val="clear" w:color="auto" w:fill="auto"/>
            <w:noWrap/>
            <w:hideMark/>
          </w:tcPr>
          <w:p w14:paraId="1B9C936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284 </w:t>
            </w:r>
          </w:p>
        </w:tc>
        <w:tc>
          <w:tcPr>
            <w:tcW w:w="572" w:type="pct"/>
            <w:shd w:val="clear" w:color="auto" w:fill="auto"/>
            <w:noWrap/>
            <w:hideMark/>
          </w:tcPr>
          <w:p w14:paraId="60D035D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214.30 </w:t>
            </w:r>
          </w:p>
        </w:tc>
        <w:tc>
          <w:tcPr>
            <w:tcW w:w="648" w:type="pct"/>
            <w:shd w:val="clear" w:color="auto" w:fill="auto"/>
            <w:noWrap/>
            <w:hideMark/>
          </w:tcPr>
          <w:p w14:paraId="2EAEDF1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162.67 </w:t>
            </w:r>
          </w:p>
        </w:tc>
        <w:tc>
          <w:tcPr>
            <w:tcW w:w="496" w:type="pct"/>
            <w:shd w:val="clear" w:color="auto" w:fill="auto"/>
            <w:noWrap/>
            <w:hideMark/>
          </w:tcPr>
          <w:p w14:paraId="05B02DC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44.00 </w:t>
            </w:r>
          </w:p>
        </w:tc>
        <w:tc>
          <w:tcPr>
            <w:tcW w:w="685" w:type="pct"/>
            <w:shd w:val="clear" w:color="auto" w:fill="auto"/>
            <w:noWrap/>
            <w:hideMark/>
          </w:tcPr>
          <w:p w14:paraId="52D7D66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1,113.00 </w:t>
            </w:r>
          </w:p>
        </w:tc>
      </w:tr>
      <w:tr w:rsidR="00AA3A66" w:rsidRPr="00AA3A66" w14:paraId="3E1FD1B4" w14:textId="77777777" w:rsidTr="00AA3A66">
        <w:trPr>
          <w:trHeight w:val="273"/>
        </w:trPr>
        <w:tc>
          <w:tcPr>
            <w:tcW w:w="777" w:type="pct"/>
            <w:shd w:val="clear" w:color="auto" w:fill="auto"/>
            <w:noWrap/>
            <w:vAlign w:val="bottom"/>
            <w:hideMark/>
          </w:tcPr>
          <w:p w14:paraId="522A984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No.Beds</w:t>
            </w:r>
          </w:p>
        </w:tc>
        <w:tc>
          <w:tcPr>
            <w:tcW w:w="1403" w:type="pct"/>
          </w:tcPr>
          <w:p w14:paraId="4721321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Number of Bedrooms</w:t>
            </w:r>
          </w:p>
        </w:tc>
        <w:tc>
          <w:tcPr>
            <w:tcW w:w="420" w:type="pct"/>
            <w:shd w:val="clear" w:color="auto" w:fill="auto"/>
            <w:noWrap/>
            <w:hideMark/>
          </w:tcPr>
          <w:p w14:paraId="5F8B62B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284 </w:t>
            </w:r>
          </w:p>
        </w:tc>
        <w:tc>
          <w:tcPr>
            <w:tcW w:w="572" w:type="pct"/>
            <w:shd w:val="clear" w:color="auto" w:fill="auto"/>
            <w:noWrap/>
            <w:hideMark/>
          </w:tcPr>
          <w:p w14:paraId="0156CF7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1.93 </w:t>
            </w:r>
          </w:p>
        </w:tc>
        <w:tc>
          <w:tcPr>
            <w:tcW w:w="648" w:type="pct"/>
            <w:shd w:val="clear" w:color="auto" w:fill="auto"/>
            <w:noWrap/>
            <w:hideMark/>
          </w:tcPr>
          <w:p w14:paraId="7A61B88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0.67 </w:t>
            </w:r>
          </w:p>
        </w:tc>
        <w:tc>
          <w:tcPr>
            <w:tcW w:w="496" w:type="pct"/>
            <w:shd w:val="clear" w:color="auto" w:fill="auto"/>
            <w:noWrap/>
            <w:hideMark/>
          </w:tcPr>
          <w:p w14:paraId="11F225D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5" w:type="pct"/>
            <w:shd w:val="clear" w:color="auto" w:fill="auto"/>
            <w:noWrap/>
            <w:hideMark/>
          </w:tcPr>
          <w:p w14:paraId="11A33B1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4.00 </w:t>
            </w:r>
          </w:p>
        </w:tc>
      </w:tr>
      <w:tr w:rsidR="00AA3A66" w:rsidRPr="00AA3A66" w14:paraId="4C873D66" w14:textId="77777777" w:rsidTr="00AA3A66">
        <w:trPr>
          <w:trHeight w:val="273"/>
        </w:trPr>
        <w:tc>
          <w:tcPr>
            <w:tcW w:w="777" w:type="pct"/>
            <w:shd w:val="clear" w:color="auto" w:fill="auto"/>
            <w:noWrap/>
            <w:vAlign w:val="bottom"/>
            <w:hideMark/>
          </w:tcPr>
          <w:p w14:paraId="65BCBE21"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No.Baths</w:t>
            </w:r>
          </w:p>
        </w:tc>
        <w:tc>
          <w:tcPr>
            <w:tcW w:w="1403" w:type="pct"/>
          </w:tcPr>
          <w:p w14:paraId="14D6ECB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Number of Bathroom</w:t>
            </w:r>
          </w:p>
        </w:tc>
        <w:tc>
          <w:tcPr>
            <w:tcW w:w="420" w:type="pct"/>
            <w:shd w:val="clear" w:color="auto" w:fill="auto"/>
            <w:noWrap/>
            <w:hideMark/>
          </w:tcPr>
          <w:p w14:paraId="1444754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284 </w:t>
            </w:r>
          </w:p>
        </w:tc>
        <w:tc>
          <w:tcPr>
            <w:tcW w:w="572" w:type="pct"/>
            <w:shd w:val="clear" w:color="auto" w:fill="auto"/>
            <w:noWrap/>
            <w:hideMark/>
          </w:tcPr>
          <w:p w14:paraId="21534F1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1.02 </w:t>
            </w:r>
          </w:p>
        </w:tc>
        <w:tc>
          <w:tcPr>
            <w:tcW w:w="648" w:type="pct"/>
            <w:shd w:val="clear" w:color="auto" w:fill="auto"/>
            <w:noWrap/>
            <w:hideMark/>
          </w:tcPr>
          <w:p w14:paraId="140D6D8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0.39 </w:t>
            </w:r>
          </w:p>
        </w:tc>
        <w:tc>
          <w:tcPr>
            <w:tcW w:w="496" w:type="pct"/>
            <w:shd w:val="clear" w:color="auto" w:fill="auto"/>
            <w:noWrap/>
            <w:hideMark/>
          </w:tcPr>
          <w:p w14:paraId="622FEE3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5" w:type="pct"/>
            <w:shd w:val="clear" w:color="auto" w:fill="auto"/>
            <w:noWrap/>
            <w:hideMark/>
          </w:tcPr>
          <w:p w14:paraId="63D3B9A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3.00 </w:t>
            </w:r>
          </w:p>
        </w:tc>
      </w:tr>
      <w:tr w:rsidR="00AA3A66" w:rsidRPr="00AA3A66" w14:paraId="38D09A62" w14:textId="77777777" w:rsidTr="00AA3A66">
        <w:trPr>
          <w:trHeight w:val="273"/>
        </w:trPr>
        <w:tc>
          <w:tcPr>
            <w:tcW w:w="777" w:type="pct"/>
            <w:shd w:val="clear" w:color="auto" w:fill="auto"/>
            <w:noWrap/>
            <w:vAlign w:val="bottom"/>
            <w:hideMark/>
          </w:tcPr>
          <w:p w14:paraId="7B4B4F3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No.Parking</w:t>
            </w:r>
          </w:p>
        </w:tc>
        <w:tc>
          <w:tcPr>
            <w:tcW w:w="1403" w:type="pct"/>
          </w:tcPr>
          <w:p w14:paraId="1329DC2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Number of Carpark</w:t>
            </w:r>
          </w:p>
        </w:tc>
        <w:tc>
          <w:tcPr>
            <w:tcW w:w="420" w:type="pct"/>
            <w:shd w:val="clear" w:color="auto" w:fill="auto"/>
            <w:noWrap/>
            <w:hideMark/>
          </w:tcPr>
          <w:p w14:paraId="47F0680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284 </w:t>
            </w:r>
          </w:p>
        </w:tc>
        <w:tc>
          <w:tcPr>
            <w:tcW w:w="572" w:type="pct"/>
            <w:shd w:val="clear" w:color="auto" w:fill="auto"/>
            <w:noWrap/>
            <w:hideMark/>
          </w:tcPr>
          <w:p w14:paraId="6CD327B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1.11 </w:t>
            </w:r>
          </w:p>
        </w:tc>
        <w:tc>
          <w:tcPr>
            <w:tcW w:w="648" w:type="pct"/>
            <w:shd w:val="clear" w:color="auto" w:fill="auto"/>
            <w:noWrap/>
            <w:hideMark/>
          </w:tcPr>
          <w:p w14:paraId="7BA83FA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0.64 </w:t>
            </w:r>
          </w:p>
        </w:tc>
        <w:tc>
          <w:tcPr>
            <w:tcW w:w="496" w:type="pct"/>
            <w:shd w:val="clear" w:color="auto" w:fill="auto"/>
            <w:noWrap/>
            <w:hideMark/>
          </w:tcPr>
          <w:p w14:paraId="009F846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5" w:type="pct"/>
            <w:shd w:val="clear" w:color="auto" w:fill="auto"/>
            <w:noWrap/>
            <w:hideMark/>
          </w:tcPr>
          <w:p w14:paraId="02A6171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4.00 </w:t>
            </w:r>
          </w:p>
        </w:tc>
      </w:tr>
      <w:tr w:rsidR="00AA3A66" w:rsidRPr="00AA3A66" w14:paraId="42AF77F9" w14:textId="77777777" w:rsidTr="00AA3A66">
        <w:trPr>
          <w:trHeight w:val="273"/>
        </w:trPr>
        <w:tc>
          <w:tcPr>
            <w:tcW w:w="777" w:type="pct"/>
            <w:shd w:val="clear" w:color="auto" w:fill="auto"/>
            <w:noWrap/>
            <w:vAlign w:val="bottom"/>
            <w:hideMark/>
          </w:tcPr>
          <w:p w14:paraId="35BF7C7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DY-2015</w:t>
            </w:r>
          </w:p>
        </w:tc>
        <w:tc>
          <w:tcPr>
            <w:tcW w:w="1403" w:type="pct"/>
          </w:tcPr>
          <w:p w14:paraId="0E16270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2015</w:t>
            </w:r>
          </w:p>
        </w:tc>
        <w:tc>
          <w:tcPr>
            <w:tcW w:w="420" w:type="pct"/>
            <w:shd w:val="clear" w:color="auto" w:fill="auto"/>
            <w:noWrap/>
            <w:hideMark/>
          </w:tcPr>
          <w:p w14:paraId="02E372C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284 </w:t>
            </w:r>
          </w:p>
        </w:tc>
        <w:tc>
          <w:tcPr>
            <w:tcW w:w="572" w:type="pct"/>
            <w:shd w:val="clear" w:color="auto" w:fill="auto"/>
            <w:noWrap/>
            <w:hideMark/>
          </w:tcPr>
          <w:p w14:paraId="6AB6600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0.08 </w:t>
            </w:r>
          </w:p>
        </w:tc>
        <w:tc>
          <w:tcPr>
            <w:tcW w:w="648" w:type="pct"/>
            <w:shd w:val="clear" w:color="auto" w:fill="auto"/>
            <w:noWrap/>
            <w:hideMark/>
          </w:tcPr>
          <w:p w14:paraId="718FE24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0.27 </w:t>
            </w:r>
          </w:p>
        </w:tc>
        <w:tc>
          <w:tcPr>
            <w:tcW w:w="496" w:type="pct"/>
            <w:shd w:val="clear" w:color="auto" w:fill="auto"/>
            <w:noWrap/>
            <w:hideMark/>
          </w:tcPr>
          <w:p w14:paraId="37E8FC4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5" w:type="pct"/>
            <w:shd w:val="clear" w:color="auto" w:fill="auto"/>
            <w:noWrap/>
            <w:hideMark/>
          </w:tcPr>
          <w:p w14:paraId="002265F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6B720530" w14:textId="77777777" w:rsidTr="00AA3A66">
        <w:trPr>
          <w:trHeight w:val="273"/>
        </w:trPr>
        <w:tc>
          <w:tcPr>
            <w:tcW w:w="777" w:type="pct"/>
            <w:shd w:val="clear" w:color="auto" w:fill="auto"/>
            <w:noWrap/>
            <w:vAlign w:val="bottom"/>
            <w:hideMark/>
          </w:tcPr>
          <w:p w14:paraId="609A55D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DY-2016</w:t>
            </w:r>
          </w:p>
        </w:tc>
        <w:tc>
          <w:tcPr>
            <w:tcW w:w="1403" w:type="pct"/>
          </w:tcPr>
          <w:p w14:paraId="1BDCCF5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2016</w:t>
            </w:r>
          </w:p>
        </w:tc>
        <w:tc>
          <w:tcPr>
            <w:tcW w:w="420" w:type="pct"/>
            <w:shd w:val="clear" w:color="auto" w:fill="auto"/>
            <w:noWrap/>
            <w:hideMark/>
          </w:tcPr>
          <w:p w14:paraId="0109E33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284 </w:t>
            </w:r>
          </w:p>
        </w:tc>
        <w:tc>
          <w:tcPr>
            <w:tcW w:w="572" w:type="pct"/>
            <w:shd w:val="clear" w:color="auto" w:fill="auto"/>
            <w:noWrap/>
            <w:hideMark/>
          </w:tcPr>
          <w:p w14:paraId="735F775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0.18 </w:t>
            </w:r>
          </w:p>
        </w:tc>
        <w:tc>
          <w:tcPr>
            <w:tcW w:w="648" w:type="pct"/>
            <w:shd w:val="clear" w:color="auto" w:fill="auto"/>
            <w:noWrap/>
            <w:hideMark/>
          </w:tcPr>
          <w:p w14:paraId="30716EA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0.39 </w:t>
            </w:r>
          </w:p>
        </w:tc>
        <w:tc>
          <w:tcPr>
            <w:tcW w:w="496" w:type="pct"/>
            <w:shd w:val="clear" w:color="auto" w:fill="auto"/>
            <w:noWrap/>
            <w:hideMark/>
          </w:tcPr>
          <w:p w14:paraId="0AAF481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5" w:type="pct"/>
            <w:shd w:val="clear" w:color="auto" w:fill="auto"/>
            <w:noWrap/>
            <w:hideMark/>
          </w:tcPr>
          <w:p w14:paraId="016DC6D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2DB55941" w14:textId="77777777" w:rsidTr="00AA3A66">
        <w:trPr>
          <w:trHeight w:val="273"/>
        </w:trPr>
        <w:tc>
          <w:tcPr>
            <w:tcW w:w="777" w:type="pct"/>
            <w:shd w:val="clear" w:color="auto" w:fill="auto"/>
            <w:noWrap/>
            <w:vAlign w:val="bottom"/>
            <w:hideMark/>
          </w:tcPr>
          <w:p w14:paraId="103DEF8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DY-2017</w:t>
            </w:r>
          </w:p>
        </w:tc>
        <w:tc>
          <w:tcPr>
            <w:tcW w:w="1403" w:type="pct"/>
          </w:tcPr>
          <w:p w14:paraId="331B2BC5"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2017</w:t>
            </w:r>
          </w:p>
        </w:tc>
        <w:tc>
          <w:tcPr>
            <w:tcW w:w="420" w:type="pct"/>
            <w:shd w:val="clear" w:color="auto" w:fill="auto"/>
            <w:noWrap/>
            <w:hideMark/>
          </w:tcPr>
          <w:p w14:paraId="346AE59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284 </w:t>
            </w:r>
          </w:p>
        </w:tc>
        <w:tc>
          <w:tcPr>
            <w:tcW w:w="572" w:type="pct"/>
            <w:shd w:val="clear" w:color="auto" w:fill="auto"/>
            <w:noWrap/>
            <w:hideMark/>
          </w:tcPr>
          <w:p w14:paraId="03F7384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0.23 </w:t>
            </w:r>
          </w:p>
        </w:tc>
        <w:tc>
          <w:tcPr>
            <w:tcW w:w="648" w:type="pct"/>
            <w:shd w:val="clear" w:color="auto" w:fill="auto"/>
            <w:noWrap/>
            <w:hideMark/>
          </w:tcPr>
          <w:p w14:paraId="3E362AB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0.42 </w:t>
            </w:r>
          </w:p>
        </w:tc>
        <w:tc>
          <w:tcPr>
            <w:tcW w:w="496" w:type="pct"/>
            <w:shd w:val="clear" w:color="auto" w:fill="auto"/>
            <w:noWrap/>
            <w:hideMark/>
          </w:tcPr>
          <w:p w14:paraId="3F11C08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5" w:type="pct"/>
            <w:shd w:val="clear" w:color="auto" w:fill="auto"/>
            <w:noWrap/>
            <w:hideMark/>
          </w:tcPr>
          <w:p w14:paraId="2713627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4658CD13" w14:textId="77777777" w:rsidTr="00AA3A66">
        <w:trPr>
          <w:trHeight w:val="273"/>
        </w:trPr>
        <w:tc>
          <w:tcPr>
            <w:tcW w:w="777" w:type="pct"/>
            <w:shd w:val="clear" w:color="auto" w:fill="auto"/>
            <w:noWrap/>
            <w:vAlign w:val="bottom"/>
            <w:hideMark/>
          </w:tcPr>
          <w:p w14:paraId="212DED4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DY-2018</w:t>
            </w:r>
          </w:p>
        </w:tc>
        <w:tc>
          <w:tcPr>
            <w:tcW w:w="1403" w:type="pct"/>
          </w:tcPr>
          <w:p w14:paraId="79F48E6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2018</w:t>
            </w:r>
          </w:p>
        </w:tc>
        <w:tc>
          <w:tcPr>
            <w:tcW w:w="420" w:type="pct"/>
            <w:shd w:val="clear" w:color="auto" w:fill="auto"/>
            <w:noWrap/>
            <w:hideMark/>
          </w:tcPr>
          <w:p w14:paraId="360764C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284 </w:t>
            </w:r>
          </w:p>
        </w:tc>
        <w:tc>
          <w:tcPr>
            <w:tcW w:w="572" w:type="pct"/>
            <w:shd w:val="clear" w:color="auto" w:fill="auto"/>
            <w:noWrap/>
            <w:hideMark/>
          </w:tcPr>
          <w:p w14:paraId="54B0EC1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0.12 </w:t>
            </w:r>
          </w:p>
        </w:tc>
        <w:tc>
          <w:tcPr>
            <w:tcW w:w="648" w:type="pct"/>
            <w:shd w:val="clear" w:color="auto" w:fill="auto"/>
            <w:noWrap/>
            <w:hideMark/>
          </w:tcPr>
          <w:p w14:paraId="225E467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0.33 </w:t>
            </w:r>
          </w:p>
        </w:tc>
        <w:tc>
          <w:tcPr>
            <w:tcW w:w="496" w:type="pct"/>
            <w:shd w:val="clear" w:color="auto" w:fill="auto"/>
            <w:noWrap/>
            <w:hideMark/>
          </w:tcPr>
          <w:p w14:paraId="15C1EC5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5" w:type="pct"/>
            <w:shd w:val="clear" w:color="auto" w:fill="auto"/>
            <w:noWrap/>
            <w:hideMark/>
          </w:tcPr>
          <w:p w14:paraId="4B95A14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7FB62301" w14:textId="77777777" w:rsidTr="00AA3A66">
        <w:trPr>
          <w:trHeight w:val="273"/>
        </w:trPr>
        <w:tc>
          <w:tcPr>
            <w:tcW w:w="777" w:type="pct"/>
            <w:shd w:val="clear" w:color="auto" w:fill="auto"/>
            <w:noWrap/>
            <w:vAlign w:val="bottom"/>
            <w:hideMark/>
          </w:tcPr>
          <w:p w14:paraId="57C0392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DY-2019</w:t>
            </w:r>
          </w:p>
        </w:tc>
        <w:tc>
          <w:tcPr>
            <w:tcW w:w="1403" w:type="pct"/>
          </w:tcPr>
          <w:p w14:paraId="045D728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2019</w:t>
            </w:r>
          </w:p>
        </w:tc>
        <w:tc>
          <w:tcPr>
            <w:tcW w:w="420" w:type="pct"/>
            <w:shd w:val="clear" w:color="auto" w:fill="auto"/>
            <w:noWrap/>
            <w:hideMark/>
          </w:tcPr>
          <w:p w14:paraId="1000357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284 </w:t>
            </w:r>
          </w:p>
        </w:tc>
        <w:tc>
          <w:tcPr>
            <w:tcW w:w="572" w:type="pct"/>
            <w:shd w:val="clear" w:color="auto" w:fill="auto"/>
            <w:noWrap/>
            <w:hideMark/>
          </w:tcPr>
          <w:p w14:paraId="73109A9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0.20 </w:t>
            </w:r>
          </w:p>
        </w:tc>
        <w:tc>
          <w:tcPr>
            <w:tcW w:w="648" w:type="pct"/>
            <w:shd w:val="clear" w:color="auto" w:fill="auto"/>
            <w:noWrap/>
            <w:hideMark/>
          </w:tcPr>
          <w:p w14:paraId="5F080DD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0.40 </w:t>
            </w:r>
          </w:p>
        </w:tc>
        <w:tc>
          <w:tcPr>
            <w:tcW w:w="496" w:type="pct"/>
            <w:shd w:val="clear" w:color="auto" w:fill="auto"/>
            <w:noWrap/>
            <w:hideMark/>
          </w:tcPr>
          <w:p w14:paraId="5308C44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5" w:type="pct"/>
            <w:shd w:val="clear" w:color="auto" w:fill="auto"/>
            <w:noWrap/>
            <w:hideMark/>
          </w:tcPr>
          <w:p w14:paraId="125FC931"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69AE5288" w14:textId="77777777" w:rsidTr="00AA3A66">
        <w:trPr>
          <w:trHeight w:val="273"/>
        </w:trPr>
        <w:tc>
          <w:tcPr>
            <w:tcW w:w="777" w:type="pct"/>
            <w:shd w:val="clear" w:color="auto" w:fill="auto"/>
            <w:noWrap/>
            <w:vAlign w:val="bottom"/>
            <w:hideMark/>
          </w:tcPr>
          <w:p w14:paraId="0969E52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DY-2020</w:t>
            </w:r>
          </w:p>
        </w:tc>
        <w:tc>
          <w:tcPr>
            <w:tcW w:w="1403" w:type="pct"/>
          </w:tcPr>
          <w:p w14:paraId="3E88284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2020</w:t>
            </w:r>
          </w:p>
        </w:tc>
        <w:tc>
          <w:tcPr>
            <w:tcW w:w="420" w:type="pct"/>
            <w:shd w:val="clear" w:color="auto" w:fill="auto"/>
            <w:noWrap/>
            <w:hideMark/>
          </w:tcPr>
          <w:p w14:paraId="087E57A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284 </w:t>
            </w:r>
          </w:p>
        </w:tc>
        <w:tc>
          <w:tcPr>
            <w:tcW w:w="572" w:type="pct"/>
            <w:shd w:val="clear" w:color="auto" w:fill="auto"/>
            <w:noWrap/>
            <w:hideMark/>
          </w:tcPr>
          <w:p w14:paraId="71F67BE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0.19 </w:t>
            </w:r>
          </w:p>
        </w:tc>
        <w:tc>
          <w:tcPr>
            <w:tcW w:w="648" w:type="pct"/>
            <w:shd w:val="clear" w:color="auto" w:fill="auto"/>
            <w:noWrap/>
            <w:hideMark/>
          </w:tcPr>
          <w:p w14:paraId="17FC815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0.39 </w:t>
            </w:r>
          </w:p>
        </w:tc>
        <w:tc>
          <w:tcPr>
            <w:tcW w:w="496" w:type="pct"/>
            <w:shd w:val="clear" w:color="auto" w:fill="auto"/>
            <w:noWrap/>
            <w:hideMark/>
          </w:tcPr>
          <w:p w14:paraId="4CFAF5C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5" w:type="pct"/>
            <w:shd w:val="clear" w:color="auto" w:fill="auto"/>
            <w:noWrap/>
            <w:hideMark/>
          </w:tcPr>
          <w:p w14:paraId="52B44B01"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bl>
    <w:p w14:paraId="5FA11E32" w14:textId="77777777" w:rsidR="00F00E3D" w:rsidRPr="00F353BE" w:rsidRDefault="00F00E3D" w:rsidP="00AA3A66">
      <w:pPr>
        <w:spacing w:after="0" w:line="240" w:lineRule="auto"/>
        <w:rPr>
          <w:rFonts w:cstheme="minorHAnsi"/>
          <w:b/>
          <w:bCs/>
          <w:color w:val="2F5496" w:themeColor="accent1" w:themeShade="BF"/>
          <w:sz w:val="21"/>
          <w:szCs w:val="21"/>
        </w:rPr>
      </w:pPr>
      <w:r w:rsidRPr="00F353BE">
        <w:rPr>
          <w:rFonts w:cstheme="minorHAnsi"/>
          <w:b/>
          <w:bCs/>
          <w:color w:val="2F5496" w:themeColor="accent1" w:themeShade="BF"/>
          <w:sz w:val="21"/>
          <w:szCs w:val="21"/>
        </w:rPr>
        <w:t>Panel C: House Rental Sample</w:t>
      </w:r>
    </w:p>
    <w:tbl>
      <w:tblPr>
        <w:tblW w:w="4953" w:type="pct"/>
        <w:tblBorders>
          <w:top w:val="double" w:sz="4" w:space="0" w:color="auto"/>
          <w:bottom w:val="double" w:sz="4" w:space="0" w:color="auto"/>
        </w:tblBorders>
        <w:tblCellMar>
          <w:left w:w="57" w:type="dxa"/>
          <w:right w:w="57" w:type="dxa"/>
        </w:tblCellMar>
        <w:tblLook w:val="04A0" w:firstRow="1" w:lastRow="0" w:firstColumn="1" w:lastColumn="0" w:noHBand="0" w:noVBand="1"/>
      </w:tblPr>
      <w:tblGrid>
        <w:gridCol w:w="1486"/>
        <w:gridCol w:w="2677"/>
        <w:gridCol w:w="801"/>
        <w:gridCol w:w="1091"/>
        <w:gridCol w:w="1237"/>
        <w:gridCol w:w="946"/>
        <w:gridCol w:w="1303"/>
      </w:tblGrid>
      <w:tr w:rsidR="00F353BE" w:rsidRPr="00F353BE" w14:paraId="137A23BA" w14:textId="77777777" w:rsidTr="00F353BE">
        <w:trPr>
          <w:trHeight w:val="261"/>
        </w:trPr>
        <w:tc>
          <w:tcPr>
            <w:tcW w:w="778" w:type="pct"/>
            <w:tcBorders>
              <w:top w:val="double" w:sz="4" w:space="0" w:color="auto"/>
              <w:bottom w:val="single" w:sz="4" w:space="0" w:color="auto"/>
            </w:tcBorders>
            <w:shd w:val="clear" w:color="auto" w:fill="D0CECE" w:themeFill="background2" w:themeFillShade="E6"/>
            <w:noWrap/>
            <w:vAlign w:val="bottom"/>
            <w:hideMark/>
          </w:tcPr>
          <w:p w14:paraId="4310487E"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Variable</w:t>
            </w:r>
          </w:p>
        </w:tc>
        <w:tc>
          <w:tcPr>
            <w:tcW w:w="1403" w:type="pct"/>
            <w:tcBorders>
              <w:top w:val="double" w:sz="4" w:space="0" w:color="auto"/>
              <w:bottom w:val="single" w:sz="4" w:space="0" w:color="auto"/>
            </w:tcBorders>
            <w:shd w:val="clear" w:color="auto" w:fill="D0CECE" w:themeFill="background2" w:themeFillShade="E6"/>
          </w:tcPr>
          <w:p w14:paraId="62B9EBED"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Definition</w:t>
            </w:r>
          </w:p>
        </w:tc>
        <w:tc>
          <w:tcPr>
            <w:tcW w:w="420" w:type="pct"/>
            <w:tcBorders>
              <w:top w:val="double" w:sz="4" w:space="0" w:color="auto"/>
              <w:bottom w:val="single" w:sz="4" w:space="0" w:color="auto"/>
            </w:tcBorders>
            <w:shd w:val="clear" w:color="auto" w:fill="D0CECE" w:themeFill="background2" w:themeFillShade="E6"/>
            <w:noWrap/>
            <w:vAlign w:val="bottom"/>
            <w:hideMark/>
          </w:tcPr>
          <w:p w14:paraId="119CE15B"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Obs</w:t>
            </w:r>
          </w:p>
        </w:tc>
        <w:tc>
          <w:tcPr>
            <w:tcW w:w="572" w:type="pct"/>
            <w:tcBorders>
              <w:top w:val="double" w:sz="4" w:space="0" w:color="auto"/>
              <w:bottom w:val="single" w:sz="4" w:space="0" w:color="auto"/>
            </w:tcBorders>
            <w:shd w:val="clear" w:color="auto" w:fill="D0CECE" w:themeFill="background2" w:themeFillShade="E6"/>
            <w:noWrap/>
            <w:vAlign w:val="bottom"/>
            <w:hideMark/>
          </w:tcPr>
          <w:p w14:paraId="4A7E1602"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Mean</w:t>
            </w:r>
          </w:p>
        </w:tc>
        <w:tc>
          <w:tcPr>
            <w:tcW w:w="648" w:type="pct"/>
            <w:tcBorders>
              <w:top w:val="double" w:sz="4" w:space="0" w:color="auto"/>
              <w:bottom w:val="single" w:sz="4" w:space="0" w:color="auto"/>
            </w:tcBorders>
            <w:shd w:val="clear" w:color="auto" w:fill="D0CECE" w:themeFill="background2" w:themeFillShade="E6"/>
            <w:noWrap/>
            <w:vAlign w:val="bottom"/>
            <w:hideMark/>
          </w:tcPr>
          <w:p w14:paraId="621F1C2C"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Std. Dev.</w:t>
            </w:r>
          </w:p>
        </w:tc>
        <w:tc>
          <w:tcPr>
            <w:tcW w:w="496" w:type="pct"/>
            <w:tcBorders>
              <w:top w:val="double" w:sz="4" w:space="0" w:color="auto"/>
              <w:bottom w:val="single" w:sz="4" w:space="0" w:color="auto"/>
            </w:tcBorders>
            <w:shd w:val="clear" w:color="auto" w:fill="D0CECE" w:themeFill="background2" w:themeFillShade="E6"/>
            <w:noWrap/>
            <w:vAlign w:val="bottom"/>
            <w:hideMark/>
          </w:tcPr>
          <w:p w14:paraId="5E88AED5"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Min</w:t>
            </w:r>
          </w:p>
        </w:tc>
        <w:tc>
          <w:tcPr>
            <w:tcW w:w="684" w:type="pct"/>
            <w:tcBorders>
              <w:top w:val="double" w:sz="4" w:space="0" w:color="auto"/>
              <w:bottom w:val="single" w:sz="4" w:space="0" w:color="auto"/>
            </w:tcBorders>
            <w:shd w:val="clear" w:color="auto" w:fill="D0CECE" w:themeFill="background2" w:themeFillShade="E6"/>
            <w:noWrap/>
            <w:vAlign w:val="bottom"/>
            <w:hideMark/>
          </w:tcPr>
          <w:p w14:paraId="3CA7FBF8"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Max</w:t>
            </w:r>
          </w:p>
        </w:tc>
      </w:tr>
      <w:tr w:rsidR="00AA3A66" w:rsidRPr="00AA3A66" w14:paraId="1D4B3BC7" w14:textId="77777777" w:rsidTr="00BA4844">
        <w:trPr>
          <w:trHeight w:val="261"/>
        </w:trPr>
        <w:tc>
          <w:tcPr>
            <w:tcW w:w="778" w:type="pct"/>
            <w:shd w:val="clear" w:color="auto" w:fill="auto"/>
            <w:noWrap/>
            <w:vAlign w:val="bottom"/>
            <w:hideMark/>
          </w:tcPr>
          <w:p w14:paraId="4FB946C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Price</w:t>
            </w:r>
          </w:p>
        </w:tc>
        <w:tc>
          <w:tcPr>
            <w:tcW w:w="1403" w:type="pct"/>
          </w:tcPr>
          <w:p w14:paraId="11DC05B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Transactional Price</w:t>
            </w:r>
          </w:p>
        </w:tc>
        <w:tc>
          <w:tcPr>
            <w:tcW w:w="420" w:type="pct"/>
            <w:shd w:val="clear" w:color="auto" w:fill="auto"/>
            <w:noWrap/>
            <w:hideMark/>
          </w:tcPr>
          <w:p w14:paraId="40D4591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8,362</w:t>
            </w:r>
          </w:p>
        </w:tc>
        <w:tc>
          <w:tcPr>
            <w:tcW w:w="572" w:type="pct"/>
            <w:shd w:val="clear" w:color="auto" w:fill="auto"/>
            <w:noWrap/>
            <w:hideMark/>
          </w:tcPr>
          <w:p w14:paraId="2D6B44E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280.81 </w:t>
            </w:r>
          </w:p>
        </w:tc>
        <w:tc>
          <w:tcPr>
            <w:tcW w:w="648" w:type="pct"/>
            <w:shd w:val="clear" w:color="auto" w:fill="auto"/>
            <w:noWrap/>
            <w:hideMark/>
          </w:tcPr>
          <w:p w14:paraId="073F924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52.98 </w:t>
            </w:r>
          </w:p>
        </w:tc>
        <w:tc>
          <w:tcPr>
            <w:tcW w:w="496" w:type="pct"/>
            <w:shd w:val="clear" w:color="auto" w:fill="auto"/>
            <w:noWrap/>
            <w:hideMark/>
          </w:tcPr>
          <w:p w14:paraId="2CDAD23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195.00 </w:t>
            </w:r>
          </w:p>
        </w:tc>
        <w:tc>
          <w:tcPr>
            <w:tcW w:w="684" w:type="pct"/>
            <w:shd w:val="clear" w:color="auto" w:fill="auto"/>
            <w:noWrap/>
            <w:hideMark/>
          </w:tcPr>
          <w:p w14:paraId="61BFFC9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1,304.00 </w:t>
            </w:r>
          </w:p>
        </w:tc>
      </w:tr>
      <w:tr w:rsidR="00AA3A66" w:rsidRPr="00AA3A66" w14:paraId="304A604E" w14:textId="77777777" w:rsidTr="00BA4844">
        <w:trPr>
          <w:trHeight w:val="261"/>
        </w:trPr>
        <w:tc>
          <w:tcPr>
            <w:tcW w:w="778" w:type="pct"/>
            <w:shd w:val="clear" w:color="auto" w:fill="auto"/>
            <w:noWrap/>
            <w:vAlign w:val="bottom"/>
            <w:hideMark/>
          </w:tcPr>
          <w:p w14:paraId="6A40F6D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Size</w:t>
            </w:r>
          </w:p>
        </w:tc>
        <w:tc>
          <w:tcPr>
            <w:tcW w:w="1403" w:type="pct"/>
          </w:tcPr>
          <w:p w14:paraId="594B779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Size of land</w:t>
            </w:r>
          </w:p>
        </w:tc>
        <w:tc>
          <w:tcPr>
            <w:tcW w:w="420" w:type="pct"/>
            <w:shd w:val="clear" w:color="auto" w:fill="auto"/>
            <w:noWrap/>
            <w:hideMark/>
          </w:tcPr>
          <w:p w14:paraId="3F38C17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8,433</w:t>
            </w:r>
          </w:p>
        </w:tc>
        <w:tc>
          <w:tcPr>
            <w:tcW w:w="572" w:type="pct"/>
            <w:shd w:val="clear" w:color="auto" w:fill="auto"/>
            <w:noWrap/>
            <w:hideMark/>
          </w:tcPr>
          <w:p w14:paraId="7F63B11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579.86 </w:t>
            </w:r>
          </w:p>
        </w:tc>
        <w:tc>
          <w:tcPr>
            <w:tcW w:w="648" w:type="pct"/>
            <w:shd w:val="clear" w:color="auto" w:fill="auto"/>
            <w:noWrap/>
            <w:hideMark/>
          </w:tcPr>
          <w:p w14:paraId="2E8EF4D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216.88 </w:t>
            </w:r>
          </w:p>
        </w:tc>
        <w:tc>
          <w:tcPr>
            <w:tcW w:w="496" w:type="pct"/>
            <w:shd w:val="clear" w:color="auto" w:fill="auto"/>
            <w:noWrap/>
            <w:hideMark/>
          </w:tcPr>
          <w:p w14:paraId="3D548CD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4" w:type="pct"/>
            <w:shd w:val="clear" w:color="auto" w:fill="auto"/>
            <w:noWrap/>
            <w:hideMark/>
          </w:tcPr>
          <w:p w14:paraId="6FABE3A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3,255.00 </w:t>
            </w:r>
          </w:p>
        </w:tc>
      </w:tr>
      <w:tr w:rsidR="00AA3A66" w:rsidRPr="00AA3A66" w14:paraId="63F4DD85" w14:textId="77777777" w:rsidTr="00BA4844">
        <w:trPr>
          <w:trHeight w:val="261"/>
        </w:trPr>
        <w:tc>
          <w:tcPr>
            <w:tcW w:w="778" w:type="pct"/>
            <w:shd w:val="clear" w:color="auto" w:fill="auto"/>
            <w:noWrap/>
            <w:vAlign w:val="bottom"/>
            <w:hideMark/>
          </w:tcPr>
          <w:p w14:paraId="305D5EF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No.Beds</w:t>
            </w:r>
          </w:p>
        </w:tc>
        <w:tc>
          <w:tcPr>
            <w:tcW w:w="1403" w:type="pct"/>
          </w:tcPr>
          <w:p w14:paraId="090FE56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Number of Bedrooms</w:t>
            </w:r>
          </w:p>
        </w:tc>
        <w:tc>
          <w:tcPr>
            <w:tcW w:w="420" w:type="pct"/>
            <w:shd w:val="clear" w:color="auto" w:fill="auto"/>
            <w:noWrap/>
            <w:hideMark/>
          </w:tcPr>
          <w:p w14:paraId="41E1179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8,433</w:t>
            </w:r>
          </w:p>
        </w:tc>
        <w:tc>
          <w:tcPr>
            <w:tcW w:w="572" w:type="pct"/>
            <w:shd w:val="clear" w:color="auto" w:fill="auto"/>
            <w:noWrap/>
            <w:hideMark/>
          </w:tcPr>
          <w:p w14:paraId="7353781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2.82 </w:t>
            </w:r>
          </w:p>
        </w:tc>
        <w:tc>
          <w:tcPr>
            <w:tcW w:w="648" w:type="pct"/>
            <w:shd w:val="clear" w:color="auto" w:fill="auto"/>
            <w:noWrap/>
            <w:hideMark/>
          </w:tcPr>
          <w:p w14:paraId="6431E71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0.59 </w:t>
            </w:r>
          </w:p>
        </w:tc>
        <w:tc>
          <w:tcPr>
            <w:tcW w:w="496" w:type="pct"/>
            <w:shd w:val="clear" w:color="auto" w:fill="auto"/>
            <w:noWrap/>
            <w:hideMark/>
          </w:tcPr>
          <w:p w14:paraId="697B18C5"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4" w:type="pct"/>
            <w:shd w:val="clear" w:color="auto" w:fill="auto"/>
            <w:noWrap/>
            <w:hideMark/>
          </w:tcPr>
          <w:p w14:paraId="32723F5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6.00 </w:t>
            </w:r>
          </w:p>
        </w:tc>
      </w:tr>
      <w:tr w:rsidR="00AA3A66" w:rsidRPr="00AA3A66" w14:paraId="6DD23BD9" w14:textId="77777777" w:rsidTr="00BA4844">
        <w:trPr>
          <w:trHeight w:val="261"/>
        </w:trPr>
        <w:tc>
          <w:tcPr>
            <w:tcW w:w="778" w:type="pct"/>
            <w:shd w:val="clear" w:color="auto" w:fill="auto"/>
            <w:noWrap/>
            <w:vAlign w:val="bottom"/>
            <w:hideMark/>
          </w:tcPr>
          <w:p w14:paraId="43E32D41"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No.Baths</w:t>
            </w:r>
          </w:p>
        </w:tc>
        <w:tc>
          <w:tcPr>
            <w:tcW w:w="1403" w:type="pct"/>
          </w:tcPr>
          <w:p w14:paraId="7D4BECB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Number of Bathroom</w:t>
            </w:r>
          </w:p>
        </w:tc>
        <w:tc>
          <w:tcPr>
            <w:tcW w:w="420" w:type="pct"/>
            <w:shd w:val="clear" w:color="auto" w:fill="auto"/>
            <w:noWrap/>
            <w:hideMark/>
          </w:tcPr>
          <w:p w14:paraId="64C4AA4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8,433</w:t>
            </w:r>
          </w:p>
        </w:tc>
        <w:tc>
          <w:tcPr>
            <w:tcW w:w="572" w:type="pct"/>
            <w:shd w:val="clear" w:color="auto" w:fill="auto"/>
            <w:noWrap/>
            <w:hideMark/>
          </w:tcPr>
          <w:p w14:paraId="67C54D6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1.12 </w:t>
            </w:r>
          </w:p>
        </w:tc>
        <w:tc>
          <w:tcPr>
            <w:tcW w:w="648" w:type="pct"/>
            <w:shd w:val="clear" w:color="auto" w:fill="auto"/>
            <w:noWrap/>
            <w:hideMark/>
          </w:tcPr>
          <w:p w14:paraId="1737E3B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0.35 </w:t>
            </w:r>
          </w:p>
        </w:tc>
        <w:tc>
          <w:tcPr>
            <w:tcW w:w="496" w:type="pct"/>
            <w:shd w:val="clear" w:color="auto" w:fill="auto"/>
            <w:noWrap/>
            <w:hideMark/>
          </w:tcPr>
          <w:p w14:paraId="562838F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4" w:type="pct"/>
            <w:shd w:val="clear" w:color="auto" w:fill="auto"/>
            <w:noWrap/>
            <w:hideMark/>
          </w:tcPr>
          <w:p w14:paraId="601DAF1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3.00 </w:t>
            </w:r>
          </w:p>
        </w:tc>
      </w:tr>
      <w:tr w:rsidR="00AA3A66" w:rsidRPr="00AA3A66" w14:paraId="14BE4431" w14:textId="77777777" w:rsidTr="00BA4844">
        <w:trPr>
          <w:trHeight w:val="261"/>
        </w:trPr>
        <w:tc>
          <w:tcPr>
            <w:tcW w:w="778" w:type="pct"/>
            <w:shd w:val="clear" w:color="auto" w:fill="auto"/>
            <w:noWrap/>
            <w:vAlign w:val="bottom"/>
            <w:hideMark/>
          </w:tcPr>
          <w:p w14:paraId="354EECC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No.Parking</w:t>
            </w:r>
          </w:p>
        </w:tc>
        <w:tc>
          <w:tcPr>
            <w:tcW w:w="1403" w:type="pct"/>
          </w:tcPr>
          <w:p w14:paraId="2FDDFBA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Number of Carpark</w:t>
            </w:r>
          </w:p>
        </w:tc>
        <w:tc>
          <w:tcPr>
            <w:tcW w:w="420" w:type="pct"/>
            <w:shd w:val="clear" w:color="auto" w:fill="auto"/>
            <w:noWrap/>
            <w:hideMark/>
          </w:tcPr>
          <w:p w14:paraId="720B6D4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8,433</w:t>
            </w:r>
          </w:p>
        </w:tc>
        <w:tc>
          <w:tcPr>
            <w:tcW w:w="572" w:type="pct"/>
            <w:shd w:val="clear" w:color="auto" w:fill="auto"/>
            <w:noWrap/>
            <w:hideMark/>
          </w:tcPr>
          <w:p w14:paraId="3B6C77E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1.39 </w:t>
            </w:r>
          </w:p>
        </w:tc>
        <w:tc>
          <w:tcPr>
            <w:tcW w:w="648" w:type="pct"/>
            <w:shd w:val="clear" w:color="auto" w:fill="auto"/>
            <w:noWrap/>
            <w:hideMark/>
          </w:tcPr>
          <w:p w14:paraId="4B402EB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1.04 </w:t>
            </w:r>
          </w:p>
        </w:tc>
        <w:tc>
          <w:tcPr>
            <w:tcW w:w="496" w:type="pct"/>
            <w:shd w:val="clear" w:color="auto" w:fill="auto"/>
            <w:noWrap/>
            <w:hideMark/>
          </w:tcPr>
          <w:p w14:paraId="784DB20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4" w:type="pct"/>
            <w:shd w:val="clear" w:color="auto" w:fill="auto"/>
            <w:noWrap/>
            <w:hideMark/>
          </w:tcPr>
          <w:p w14:paraId="57B34DD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8.00 </w:t>
            </w:r>
          </w:p>
        </w:tc>
      </w:tr>
      <w:tr w:rsidR="00AA3A66" w:rsidRPr="00AA3A66" w14:paraId="2777F471" w14:textId="77777777" w:rsidTr="00BA4844">
        <w:trPr>
          <w:trHeight w:val="261"/>
        </w:trPr>
        <w:tc>
          <w:tcPr>
            <w:tcW w:w="778" w:type="pct"/>
            <w:shd w:val="clear" w:color="auto" w:fill="auto"/>
            <w:noWrap/>
            <w:vAlign w:val="bottom"/>
            <w:hideMark/>
          </w:tcPr>
          <w:p w14:paraId="624AD4C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DY-2015</w:t>
            </w:r>
          </w:p>
        </w:tc>
        <w:tc>
          <w:tcPr>
            <w:tcW w:w="1403" w:type="pct"/>
          </w:tcPr>
          <w:p w14:paraId="6BD1D35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2015</w:t>
            </w:r>
          </w:p>
        </w:tc>
        <w:tc>
          <w:tcPr>
            <w:tcW w:w="420" w:type="pct"/>
            <w:shd w:val="clear" w:color="auto" w:fill="auto"/>
            <w:noWrap/>
            <w:hideMark/>
          </w:tcPr>
          <w:p w14:paraId="6BA5DD3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8,433</w:t>
            </w:r>
          </w:p>
        </w:tc>
        <w:tc>
          <w:tcPr>
            <w:tcW w:w="572" w:type="pct"/>
            <w:shd w:val="clear" w:color="auto" w:fill="auto"/>
            <w:noWrap/>
            <w:hideMark/>
          </w:tcPr>
          <w:p w14:paraId="55255A2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0.07 </w:t>
            </w:r>
          </w:p>
        </w:tc>
        <w:tc>
          <w:tcPr>
            <w:tcW w:w="648" w:type="pct"/>
            <w:shd w:val="clear" w:color="auto" w:fill="auto"/>
            <w:noWrap/>
            <w:hideMark/>
          </w:tcPr>
          <w:p w14:paraId="15017BA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0.25 </w:t>
            </w:r>
          </w:p>
        </w:tc>
        <w:tc>
          <w:tcPr>
            <w:tcW w:w="496" w:type="pct"/>
            <w:shd w:val="clear" w:color="auto" w:fill="auto"/>
            <w:noWrap/>
            <w:hideMark/>
          </w:tcPr>
          <w:p w14:paraId="74F10FC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4" w:type="pct"/>
            <w:shd w:val="clear" w:color="auto" w:fill="auto"/>
            <w:noWrap/>
            <w:hideMark/>
          </w:tcPr>
          <w:p w14:paraId="5EF63C6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52C53618" w14:textId="77777777" w:rsidTr="00BA4844">
        <w:trPr>
          <w:trHeight w:val="261"/>
        </w:trPr>
        <w:tc>
          <w:tcPr>
            <w:tcW w:w="778" w:type="pct"/>
            <w:shd w:val="clear" w:color="auto" w:fill="auto"/>
            <w:noWrap/>
            <w:vAlign w:val="bottom"/>
            <w:hideMark/>
          </w:tcPr>
          <w:p w14:paraId="3FE94F4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DY-2016</w:t>
            </w:r>
          </w:p>
        </w:tc>
        <w:tc>
          <w:tcPr>
            <w:tcW w:w="1403" w:type="pct"/>
          </w:tcPr>
          <w:p w14:paraId="7493CB95"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2016</w:t>
            </w:r>
          </w:p>
        </w:tc>
        <w:tc>
          <w:tcPr>
            <w:tcW w:w="420" w:type="pct"/>
            <w:shd w:val="clear" w:color="auto" w:fill="auto"/>
            <w:noWrap/>
            <w:hideMark/>
          </w:tcPr>
          <w:p w14:paraId="64F5FD1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8,433</w:t>
            </w:r>
          </w:p>
        </w:tc>
        <w:tc>
          <w:tcPr>
            <w:tcW w:w="572" w:type="pct"/>
            <w:shd w:val="clear" w:color="auto" w:fill="auto"/>
            <w:noWrap/>
            <w:hideMark/>
          </w:tcPr>
          <w:p w14:paraId="4BFABC1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0.12 </w:t>
            </w:r>
          </w:p>
        </w:tc>
        <w:tc>
          <w:tcPr>
            <w:tcW w:w="648" w:type="pct"/>
            <w:shd w:val="clear" w:color="auto" w:fill="auto"/>
            <w:noWrap/>
            <w:hideMark/>
          </w:tcPr>
          <w:p w14:paraId="6D0F61D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0.32 </w:t>
            </w:r>
          </w:p>
        </w:tc>
        <w:tc>
          <w:tcPr>
            <w:tcW w:w="496" w:type="pct"/>
            <w:shd w:val="clear" w:color="auto" w:fill="auto"/>
            <w:noWrap/>
            <w:hideMark/>
          </w:tcPr>
          <w:p w14:paraId="0228CBD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4" w:type="pct"/>
            <w:shd w:val="clear" w:color="auto" w:fill="auto"/>
            <w:noWrap/>
            <w:hideMark/>
          </w:tcPr>
          <w:p w14:paraId="72200DF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5DB64FF3" w14:textId="77777777" w:rsidTr="00BA4844">
        <w:trPr>
          <w:trHeight w:val="261"/>
        </w:trPr>
        <w:tc>
          <w:tcPr>
            <w:tcW w:w="778" w:type="pct"/>
            <w:shd w:val="clear" w:color="auto" w:fill="auto"/>
            <w:noWrap/>
            <w:vAlign w:val="bottom"/>
            <w:hideMark/>
          </w:tcPr>
          <w:p w14:paraId="72B9147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DY-2017</w:t>
            </w:r>
          </w:p>
        </w:tc>
        <w:tc>
          <w:tcPr>
            <w:tcW w:w="1403" w:type="pct"/>
          </w:tcPr>
          <w:p w14:paraId="415288E5"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2017</w:t>
            </w:r>
          </w:p>
        </w:tc>
        <w:tc>
          <w:tcPr>
            <w:tcW w:w="420" w:type="pct"/>
            <w:shd w:val="clear" w:color="auto" w:fill="auto"/>
            <w:noWrap/>
            <w:hideMark/>
          </w:tcPr>
          <w:p w14:paraId="165AA29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8,433</w:t>
            </w:r>
          </w:p>
        </w:tc>
        <w:tc>
          <w:tcPr>
            <w:tcW w:w="572" w:type="pct"/>
            <w:shd w:val="clear" w:color="auto" w:fill="auto"/>
            <w:noWrap/>
            <w:hideMark/>
          </w:tcPr>
          <w:p w14:paraId="2E1D50A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0.24 </w:t>
            </w:r>
          </w:p>
        </w:tc>
        <w:tc>
          <w:tcPr>
            <w:tcW w:w="648" w:type="pct"/>
            <w:shd w:val="clear" w:color="auto" w:fill="auto"/>
            <w:noWrap/>
            <w:hideMark/>
          </w:tcPr>
          <w:p w14:paraId="35ACEF6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0.43 </w:t>
            </w:r>
          </w:p>
        </w:tc>
        <w:tc>
          <w:tcPr>
            <w:tcW w:w="496" w:type="pct"/>
            <w:shd w:val="clear" w:color="auto" w:fill="auto"/>
            <w:noWrap/>
            <w:hideMark/>
          </w:tcPr>
          <w:p w14:paraId="466984E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4" w:type="pct"/>
            <w:shd w:val="clear" w:color="auto" w:fill="auto"/>
            <w:noWrap/>
            <w:hideMark/>
          </w:tcPr>
          <w:p w14:paraId="591D8CF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6A9814DA" w14:textId="77777777" w:rsidTr="00BA4844">
        <w:trPr>
          <w:trHeight w:val="261"/>
        </w:trPr>
        <w:tc>
          <w:tcPr>
            <w:tcW w:w="778" w:type="pct"/>
            <w:shd w:val="clear" w:color="auto" w:fill="auto"/>
            <w:noWrap/>
            <w:vAlign w:val="bottom"/>
            <w:hideMark/>
          </w:tcPr>
          <w:p w14:paraId="3626042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DY-2018</w:t>
            </w:r>
          </w:p>
        </w:tc>
        <w:tc>
          <w:tcPr>
            <w:tcW w:w="1403" w:type="pct"/>
          </w:tcPr>
          <w:p w14:paraId="6B7A3511"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2018</w:t>
            </w:r>
          </w:p>
        </w:tc>
        <w:tc>
          <w:tcPr>
            <w:tcW w:w="420" w:type="pct"/>
            <w:shd w:val="clear" w:color="auto" w:fill="auto"/>
            <w:noWrap/>
            <w:hideMark/>
          </w:tcPr>
          <w:p w14:paraId="4A52B26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8,433</w:t>
            </w:r>
          </w:p>
        </w:tc>
        <w:tc>
          <w:tcPr>
            <w:tcW w:w="572" w:type="pct"/>
            <w:shd w:val="clear" w:color="auto" w:fill="auto"/>
            <w:noWrap/>
            <w:hideMark/>
          </w:tcPr>
          <w:p w14:paraId="6193028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0.20 </w:t>
            </w:r>
          </w:p>
        </w:tc>
        <w:tc>
          <w:tcPr>
            <w:tcW w:w="648" w:type="pct"/>
            <w:shd w:val="clear" w:color="auto" w:fill="auto"/>
            <w:noWrap/>
            <w:hideMark/>
          </w:tcPr>
          <w:p w14:paraId="5FD5624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0.40 </w:t>
            </w:r>
          </w:p>
        </w:tc>
        <w:tc>
          <w:tcPr>
            <w:tcW w:w="496" w:type="pct"/>
            <w:shd w:val="clear" w:color="auto" w:fill="auto"/>
            <w:noWrap/>
            <w:hideMark/>
          </w:tcPr>
          <w:p w14:paraId="1827A76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4" w:type="pct"/>
            <w:shd w:val="clear" w:color="auto" w:fill="auto"/>
            <w:noWrap/>
            <w:hideMark/>
          </w:tcPr>
          <w:p w14:paraId="444D7541"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473CEF15" w14:textId="77777777" w:rsidTr="00BA4844">
        <w:trPr>
          <w:trHeight w:val="261"/>
        </w:trPr>
        <w:tc>
          <w:tcPr>
            <w:tcW w:w="778" w:type="pct"/>
            <w:shd w:val="clear" w:color="auto" w:fill="auto"/>
            <w:noWrap/>
            <w:vAlign w:val="bottom"/>
            <w:hideMark/>
          </w:tcPr>
          <w:p w14:paraId="6764F205"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DY-2019</w:t>
            </w:r>
          </w:p>
        </w:tc>
        <w:tc>
          <w:tcPr>
            <w:tcW w:w="1403" w:type="pct"/>
          </w:tcPr>
          <w:p w14:paraId="26A5893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2019</w:t>
            </w:r>
          </w:p>
        </w:tc>
        <w:tc>
          <w:tcPr>
            <w:tcW w:w="420" w:type="pct"/>
            <w:shd w:val="clear" w:color="auto" w:fill="auto"/>
            <w:noWrap/>
            <w:hideMark/>
          </w:tcPr>
          <w:p w14:paraId="378D4C2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8,433</w:t>
            </w:r>
          </w:p>
        </w:tc>
        <w:tc>
          <w:tcPr>
            <w:tcW w:w="572" w:type="pct"/>
            <w:shd w:val="clear" w:color="auto" w:fill="auto"/>
            <w:noWrap/>
            <w:hideMark/>
          </w:tcPr>
          <w:p w14:paraId="42AE8FB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0.20 </w:t>
            </w:r>
          </w:p>
        </w:tc>
        <w:tc>
          <w:tcPr>
            <w:tcW w:w="648" w:type="pct"/>
            <w:shd w:val="clear" w:color="auto" w:fill="auto"/>
            <w:noWrap/>
            <w:hideMark/>
          </w:tcPr>
          <w:p w14:paraId="3DCB3CE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0.40 </w:t>
            </w:r>
          </w:p>
        </w:tc>
        <w:tc>
          <w:tcPr>
            <w:tcW w:w="496" w:type="pct"/>
            <w:shd w:val="clear" w:color="auto" w:fill="auto"/>
            <w:noWrap/>
            <w:hideMark/>
          </w:tcPr>
          <w:p w14:paraId="38EBA42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4" w:type="pct"/>
            <w:shd w:val="clear" w:color="auto" w:fill="auto"/>
            <w:noWrap/>
            <w:hideMark/>
          </w:tcPr>
          <w:p w14:paraId="43058E9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2B646692" w14:textId="77777777" w:rsidTr="00BA4844">
        <w:trPr>
          <w:trHeight w:val="261"/>
        </w:trPr>
        <w:tc>
          <w:tcPr>
            <w:tcW w:w="778" w:type="pct"/>
            <w:shd w:val="clear" w:color="auto" w:fill="auto"/>
            <w:noWrap/>
            <w:vAlign w:val="bottom"/>
            <w:hideMark/>
          </w:tcPr>
          <w:p w14:paraId="07ACCE8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DY-2020</w:t>
            </w:r>
          </w:p>
        </w:tc>
        <w:tc>
          <w:tcPr>
            <w:tcW w:w="1403" w:type="pct"/>
          </w:tcPr>
          <w:p w14:paraId="0B7ABE2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2020</w:t>
            </w:r>
          </w:p>
        </w:tc>
        <w:tc>
          <w:tcPr>
            <w:tcW w:w="420" w:type="pct"/>
            <w:shd w:val="clear" w:color="auto" w:fill="auto"/>
            <w:noWrap/>
            <w:hideMark/>
          </w:tcPr>
          <w:p w14:paraId="7EDC78E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8,433</w:t>
            </w:r>
          </w:p>
        </w:tc>
        <w:tc>
          <w:tcPr>
            <w:tcW w:w="572" w:type="pct"/>
            <w:shd w:val="clear" w:color="auto" w:fill="auto"/>
            <w:noWrap/>
            <w:hideMark/>
          </w:tcPr>
          <w:p w14:paraId="6B167D3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0.14 </w:t>
            </w:r>
          </w:p>
        </w:tc>
        <w:tc>
          <w:tcPr>
            <w:tcW w:w="648" w:type="pct"/>
            <w:shd w:val="clear" w:color="auto" w:fill="auto"/>
            <w:noWrap/>
            <w:hideMark/>
          </w:tcPr>
          <w:p w14:paraId="58CDD42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0.34 </w:t>
            </w:r>
          </w:p>
        </w:tc>
        <w:tc>
          <w:tcPr>
            <w:tcW w:w="496" w:type="pct"/>
            <w:shd w:val="clear" w:color="auto" w:fill="auto"/>
            <w:noWrap/>
            <w:hideMark/>
          </w:tcPr>
          <w:p w14:paraId="6B51F40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4" w:type="pct"/>
            <w:shd w:val="clear" w:color="auto" w:fill="auto"/>
            <w:noWrap/>
            <w:hideMark/>
          </w:tcPr>
          <w:p w14:paraId="420A978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bl>
    <w:p w14:paraId="66B2F221" w14:textId="77777777" w:rsidR="00F00E3D" w:rsidRPr="00F353BE" w:rsidRDefault="00F00E3D" w:rsidP="00AA3A66">
      <w:pPr>
        <w:spacing w:after="0" w:line="240" w:lineRule="auto"/>
        <w:rPr>
          <w:rFonts w:cstheme="minorHAnsi"/>
          <w:b/>
          <w:bCs/>
          <w:color w:val="2F5496" w:themeColor="accent1" w:themeShade="BF"/>
          <w:sz w:val="21"/>
          <w:szCs w:val="21"/>
        </w:rPr>
      </w:pPr>
      <w:r w:rsidRPr="00F353BE">
        <w:rPr>
          <w:rFonts w:cstheme="minorHAnsi"/>
          <w:b/>
          <w:bCs/>
          <w:color w:val="2F5496" w:themeColor="accent1" w:themeShade="BF"/>
          <w:sz w:val="21"/>
          <w:szCs w:val="21"/>
        </w:rPr>
        <w:t>Panel D: Unit Rental Sample</w:t>
      </w:r>
    </w:p>
    <w:tbl>
      <w:tblPr>
        <w:tblW w:w="4953" w:type="pct"/>
        <w:tblBorders>
          <w:top w:val="double" w:sz="4" w:space="0" w:color="auto"/>
          <w:bottom w:val="double" w:sz="4" w:space="0" w:color="auto"/>
        </w:tblBorders>
        <w:tblCellMar>
          <w:left w:w="57" w:type="dxa"/>
          <w:right w:w="57" w:type="dxa"/>
        </w:tblCellMar>
        <w:tblLook w:val="04A0" w:firstRow="1" w:lastRow="0" w:firstColumn="1" w:lastColumn="0" w:noHBand="0" w:noVBand="1"/>
      </w:tblPr>
      <w:tblGrid>
        <w:gridCol w:w="1482"/>
        <w:gridCol w:w="2677"/>
        <w:gridCol w:w="801"/>
        <w:gridCol w:w="1091"/>
        <w:gridCol w:w="1237"/>
        <w:gridCol w:w="946"/>
        <w:gridCol w:w="1307"/>
      </w:tblGrid>
      <w:tr w:rsidR="00F353BE" w:rsidRPr="00F353BE" w14:paraId="57A1312A" w14:textId="77777777" w:rsidTr="00F353BE">
        <w:trPr>
          <w:trHeight w:val="175"/>
        </w:trPr>
        <w:tc>
          <w:tcPr>
            <w:tcW w:w="776" w:type="pct"/>
            <w:tcBorders>
              <w:top w:val="double" w:sz="4" w:space="0" w:color="auto"/>
              <w:bottom w:val="single" w:sz="4" w:space="0" w:color="auto"/>
            </w:tcBorders>
            <w:shd w:val="clear" w:color="auto" w:fill="D0CECE" w:themeFill="background2" w:themeFillShade="E6"/>
            <w:noWrap/>
            <w:vAlign w:val="bottom"/>
            <w:hideMark/>
          </w:tcPr>
          <w:p w14:paraId="79FFBC31"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Variable</w:t>
            </w:r>
          </w:p>
        </w:tc>
        <w:tc>
          <w:tcPr>
            <w:tcW w:w="1403" w:type="pct"/>
            <w:tcBorders>
              <w:top w:val="double" w:sz="4" w:space="0" w:color="auto"/>
              <w:bottom w:val="single" w:sz="4" w:space="0" w:color="auto"/>
            </w:tcBorders>
            <w:shd w:val="clear" w:color="auto" w:fill="D0CECE" w:themeFill="background2" w:themeFillShade="E6"/>
          </w:tcPr>
          <w:p w14:paraId="62E3ACB1"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Definition</w:t>
            </w:r>
          </w:p>
        </w:tc>
        <w:tc>
          <w:tcPr>
            <w:tcW w:w="420" w:type="pct"/>
            <w:tcBorders>
              <w:top w:val="double" w:sz="4" w:space="0" w:color="auto"/>
              <w:bottom w:val="single" w:sz="4" w:space="0" w:color="auto"/>
            </w:tcBorders>
            <w:shd w:val="clear" w:color="auto" w:fill="D0CECE" w:themeFill="background2" w:themeFillShade="E6"/>
            <w:noWrap/>
            <w:vAlign w:val="bottom"/>
            <w:hideMark/>
          </w:tcPr>
          <w:p w14:paraId="5364FD1B"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Obs</w:t>
            </w:r>
          </w:p>
        </w:tc>
        <w:tc>
          <w:tcPr>
            <w:tcW w:w="572" w:type="pct"/>
            <w:tcBorders>
              <w:top w:val="double" w:sz="4" w:space="0" w:color="auto"/>
              <w:bottom w:val="single" w:sz="4" w:space="0" w:color="auto"/>
            </w:tcBorders>
            <w:shd w:val="clear" w:color="auto" w:fill="D0CECE" w:themeFill="background2" w:themeFillShade="E6"/>
            <w:noWrap/>
            <w:vAlign w:val="bottom"/>
            <w:hideMark/>
          </w:tcPr>
          <w:p w14:paraId="644EE9D8"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Mean</w:t>
            </w:r>
          </w:p>
        </w:tc>
        <w:tc>
          <w:tcPr>
            <w:tcW w:w="648" w:type="pct"/>
            <w:tcBorders>
              <w:top w:val="double" w:sz="4" w:space="0" w:color="auto"/>
              <w:bottom w:val="single" w:sz="4" w:space="0" w:color="auto"/>
            </w:tcBorders>
            <w:shd w:val="clear" w:color="auto" w:fill="D0CECE" w:themeFill="background2" w:themeFillShade="E6"/>
            <w:noWrap/>
            <w:vAlign w:val="bottom"/>
            <w:hideMark/>
          </w:tcPr>
          <w:p w14:paraId="426DF908"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Std. Dev.</w:t>
            </w:r>
          </w:p>
        </w:tc>
        <w:tc>
          <w:tcPr>
            <w:tcW w:w="496" w:type="pct"/>
            <w:tcBorders>
              <w:top w:val="double" w:sz="4" w:space="0" w:color="auto"/>
              <w:bottom w:val="single" w:sz="4" w:space="0" w:color="auto"/>
            </w:tcBorders>
            <w:shd w:val="clear" w:color="auto" w:fill="D0CECE" w:themeFill="background2" w:themeFillShade="E6"/>
            <w:noWrap/>
            <w:vAlign w:val="bottom"/>
            <w:hideMark/>
          </w:tcPr>
          <w:p w14:paraId="0FF78186"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Min</w:t>
            </w:r>
          </w:p>
        </w:tc>
        <w:tc>
          <w:tcPr>
            <w:tcW w:w="686" w:type="pct"/>
            <w:tcBorders>
              <w:top w:val="double" w:sz="4" w:space="0" w:color="auto"/>
              <w:bottom w:val="single" w:sz="4" w:space="0" w:color="auto"/>
            </w:tcBorders>
            <w:shd w:val="clear" w:color="auto" w:fill="D0CECE" w:themeFill="background2" w:themeFillShade="E6"/>
            <w:noWrap/>
            <w:vAlign w:val="bottom"/>
            <w:hideMark/>
          </w:tcPr>
          <w:p w14:paraId="2530AE73" w14:textId="77777777" w:rsidR="00F00E3D" w:rsidRPr="00F353BE" w:rsidRDefault="00F00E3D" w:rsidP="00AA3A66">
            <w:pPr>
              <w:spacing w:after="0" w:line="240" w:lineRule="auto"/>
              <w:rPr>
                <w:rFonts w:eastAsia="Times New Roman" w:cstheme="minorHAnsi"/>
                <w:b/>
                <w:bCs/>
                <w:sz w:val="21"/>
                <w:szCs w:val="21"/>
              </w:rPr>
            </w:pPr>
            <w:r w:rsidRPr="00F353BE">
              <w:rPr>
                <w:rFonts w:eastAsia="Times New Roman" w:cstheme="minorHAnsi"/>
                <w:b/>
                <w:bCs/>
                <w:sz w:val="21"/>
                <w:szCs w:val="21"/>
              </w:rPr>
              <w:t>Max</w:t>
            </w:r>
          </w:p>
        </w:tc>
      </w:tr>
      <w:tr w:rsidR="00AA3A66" w:rsidRPr="00AA3A66" w14:paraId="64642E0C" w14:textId="77777777" w:rsidTr="00AA3A66">
        <w:trPr>
          <w:trHeight w:val="175"/>
        </w:trPr>
        <w:tc>
          <w:tcPr>
            <w:tcW w:w="776" w:type="pct"/>
            <w:shd w:val="clear" w:color="auto" w:fill="auto"/>
            <w:noWrap/>
            <w:vAlign w:val="bottom"/>
            <w:hideMark/>
          </w:tcPr>
          <w:p w14:paraId="5DE80BB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Price</w:t>
            </w:r>
          </w:p>
        </w:tc>
        <w:tc>
          <w:tcPr>
            <w:tcW w:w="1403" w:type="pct"/>
          </w:tcPr>
          <w:p w14:paraId="2A168E8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Transactional Price</w:t>
            </w:r>
          </w:p>
        </w:tc>
        <w:tc>
          <w:tcPr>
            <w:tcW w:w="420" w:type="pct"/>
            <w:shd w:val="clear" w:color="auto" w:fill="auto"/>
            <w:noWrap/>
            <w:hideMark/>
          </w:tcPr>
          <w:p w14:paraId="3E668E1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1,049 </w:t>
            </w:r>
          </w:p>
        </w:tc>
        <w:tc>
          <w:tcPr>
            <w:tcW w:w="572" w:type="pct"/>
            <w:shd w:val="clear" w:color="auto" w:fill="auto"/>
            <w:noWrap/>
            <w:hideMark/>
          </w:tcPr>
          <w:p w14:paraId="7F66A36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244.81 </w:t>
            </w:r>
          </w:p>
        </w:tc>
        <w:tc>
          <w:tcPr>
            <w:tcW w:w="648" w:type="pct"/>
            <w:shd w:val="clear" w:color="auto" w:fill="auto"/>
            <w:noWrap/>
            <w:hideMark/>
          </w:tcPr>
          <w:p w14:paraId="1F98BC4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43.20 </w:t>
            </w:r>
          </w:p>
        </w:tc>
        <w:tc>
          <w:tcPr>
            <w:tcW w:w="496" w:type="pct"/>
            <w:shd w:val="clear" w:color="auto" w:fill="auto"/>
            <w:noWrap/>
            <w:hideMark/>
          </w:tcPr>
          <w:p w14:paraId="417CD43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180.00 </w:t>
            </w:r>
          </w:p>
        </w:tc>
        <w:tc>
          <w:tcPr>
            <w:tcW w:w="686" w:type="pct"/>
            <w:shd w:val="clear" w:color="auto" w:fill="auto"/>
            <w:noWrap/>
            <w:hideMark/>
          </w:tcPr>
          <w:p w14:paraId="6CE69161"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385.00 </w:t>
            </w:r>
          </w:p>
        </w:tc>
      </w:tr>
      <w:tr w:rsidR="00AA3A66" w:rsidRPr="00AA3A66" w14:paraId="6E8102DE" w14:textId="77777777" w:rsidTr="00AA3A66">
        <w:trPr>
          <w:trHeight w:val="175"/>
        </w:trPr>
        <w:tc>
          <w:tcPr>
            <w:tcW w:w="776" w:type="pct"/>
            <w:shd w:val="clear" w:color="auto" w:fill="auto"/>
            <w:noWrap/>
            <w:vAlign w:val="bottom"/>
            <w:hideMark/>
          </w:tcPr>
          <w:p w14:paraId="72476D4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Size</w:t>
            </w:r>
          </w:p>
        </w:tc>
        <w:tc>
          <w:tcPr>
            <w:tcW w:w="1403" w:type="pct"/>
          </w:tcPr>
          <w:p w14:paraId="393844B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Size of Indoor Area</w:t>
            </w:r>
          </w:p>
        </w:tc>
        <w:tc>
          <w:tcPr>
            <w:tcW w:w="420" w:type="pct"/>
            <w:shd w:val="clear" w:color="auto" w:fill="auto"/>
            <w:noWrap/>
            <w:hideMark/>
          </w:tcPr>
          <w:p w14:paraId="3EB0E72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1,089 </w:t>
            </w:r>
          </w:p>
        </w:tc>
        <w:tc>
          <w:tcPr>
            <w:tcW w:w="572" w:type="pct"/>
            <w:shd w:val="clear" w:color="auto" w:fill="auto"/>
            <w:noWrap/>
            <w:hideMark/>
          </w:tcPr>
          <w:p w14:paraId="23A00E9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295.82 </w:t>
            </w:r>
          </w:p>
        </w:tc>
        <w:tc>
          <w:tcPr>
            <w:tcW w:w="648" w:type="pct"/>
            <w:shd w:val="clear" w:color="auto" w:fill="auto"/>
            <w:noWrap/>
            <w:hideMark/>
          </w:tcPr>
          <w:p w14:paraId="4E5BBD3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308.14 </w:t>
            </w:r>
          </w:p>
        </w:tc>
        <w:tc>
          <w:tcPr>
            <w:tcW w:w="496" w:type="pct"/>
            <w:shd w:val="clear" w:color="auto" w:fill="auto"/>
            <w:noWrap/>
            <w:hideMark/>
          </w:tcPr>
          <w:p w14:paraId="3077FB4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hideMark/>
          </w:tcPr>
          <w:p w14:paraId="05F04B2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2,000.00 </w:t>
            </w:r>
          </w:p>
        </w:tc>
      </w:tr>
      <w:tr w:rsidR="00AA3A66" w:rsidRPr="00AA3A66" w14:paraId="38F6ADE7" w14:textId="77777777" w:rsidTr="00AA3A66">
        <w:trPr>
          <w:trHeight w:val="175"/>
        </w:trPr>
        <w:tc>
          <w:tcPr>
            <w:tcW w:w="776" w:type="pct"/>
            <w:shd w:val="clear" w:color="auto" w:fill="auto"/>
            <w:noWrap/>
            <w:vAlign w:val="bottom"/>
            <w:hideMark/>
          </w:tcPr>
          <w:p w14:paraId="6657F2B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No.Beds</w:t>
            </w:r>
          </w:p>
        </w:tc>
        <w:tc>
          <w:tcPr>
            <w:tcW w:w="1403" w:type="pct"/>
          </w:tcPr>
          <w:p w14:paraId="570717E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Number of Bedrooms</w:t>
            </w:r>
          </w:p>
        </w:tc>
        <w:tc>
          <w:tcPr>
            <w:tcW w:w="420" w:type="pct"/>
            <w:shd w:val="clear" w:color="auto" w:fill="auto"/>
            <w:noWrap/>
            <w:hideMark/>
          </w:tcPr>
          <w:p w14:paraId="462C759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1,089 </w:t>
            </w:r>
          </w:p>
        </w:tc>
        <w:tc>
          <w:tcPr>
            <w:tcW w:w="572" w:type="pct"/>
            <w:shd w:val="clear" w:color="auto" w:fill="auto"/>
            <w:noWrap/>
            <w:hideMark/>
          </w:tcPr>
          <w:p w14:paraId="32A92EE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1.73 </w:t>
            </w:r>
          </w:p>
        </w:tc>
        <w:tc>
          <w:tcPr>
            <w:tcW w:w="648" w:type="pct"/>
            <w:shd w:val="clear" w:color="auto" w:fill="auto"/>
            <w:noWrap/>
            <w:hideMark/>
          </w:tcPr>
          <w:p w14:paraId="1F791B1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0.64 </w:t>
            </w:r>
          </w:p>
        </w:tc>
        <w:tc>
          <w:tcPr>
            <w:tcW w:w="496" w:type="pct"/>
            <w:shd w:val="clear" w:color="auto" w:fill="auto"/>
            <w:noWrap/>
            <w:hideMark/>
          </w:tcPr>
          <w:p w14:paraId="04117D5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1.00</w:t>
            </w:r>
          </w:p>
        </w:tc>
        <w:tc>
          <w:tcPr>
            <w:tcW w:w="686" w:type="pct"/>
            <w:shd w:val="clear" w:color="auto" w:fill="auto"/>
            <w:noWrap/>
            <w:hideMark/>
          </w:tcPr>
          <w:p w14:paraId="2E02B56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3.00 </w:t>
            </w:r>
          </w:p>
        </w:tc>
      </w:tr>
      <w:tr w:rsidR="00AA3A66" w:rsidRPr="00AA3A66" w14:paraId="40E95E64" w14:textId="77777777" w:rsidTr="00AA3A66">
        <w:trPr>
          <w:trHeight w:val="175"/>
        </w:trPr>
        <w:tc>
          <w:tcPr>
            <w:tcW w:w="776" w:type="pct"/>
            <w:shd w:val="clear" w:color="auto" w:fill="auto"/>
            <w:noWrap/>
            <w:vAlign w:val="bottom"/>
            <w:hideMark/>
          </w:tcPr>
          <w:p w14:paraId="6A7A3D3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No.Baths</w:t>
            </w:r>
          </w:p>
        </w:tc>
        <w:tc>
          <w:tcPr>
            <w:tcW w:w="1403" w:type="pct"/>
          </w:tcPr>
          <w:p w14:paraId="6E8AB5E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Number of Bathroom</w:t>
            </w:r>
          </w:p>
        </w:tc>
        <w:tc>
          <w:tcPr>
            <w:tcW w:w="420" w:type="pct"/>
            <w:shd w:val="clear" w:color="auto" w:fill="auto"/>
            <w:noWrap/>
            <w:hideMark/>
          </w:tcPr>
          <w:p w14:paraId="5A7139B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1,089 </w:t>
            </w:r>
          </w:p>
        </w:tc>
        <w:tc>
          <w:tcPr>
            <w:tcW w:w="572" w:type="pct"/>
            <w:shd w:val="clear" w:color="auto" w:fill="auto"/>
            <w:noWrap/>
            <w:hideMark/>
          </w:tcPr>
          <w:p w14:paraId="44C09A7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1.06 </w:t>
            </w:r>
          </w:p>
        </w:tc>
        <w:tc>
          <w:tcPr>
            <w:tcW w:w="648" w:type="pct"/>
            <w:shd w:val="clear" w:color="auto" w:fill="auto"/>
            <w:noWrap/>
            <w:hideMark/>
          </w:tcPr>
          <w:p w14:paraId="2BF2B7C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0.24 </w:t>
            </w:r>
          </w:p>
        </w:tc>
        <w:tc>
          <w:tcPr>
            <w:tcW w:w="496" w:type="pct"/>
            <w:shd w:val="clear" w:color="auto" w:fill="auto"/>
            <w:noWrap/>
            <w:hideMark/>
          </w:tcPr>
          <w:p w14:paraId="1980FA0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1.00</w:t>
            </w:r>
          </w:p>
        </w:tc>
        <w:tc>
          <w:tcPr>
            <w:tcW w:w="686" w:type="pct"/>
            <w:shd w:val="clear" w:color="auto" w:fill="auto"/>
            <w:noWrap/>
            <w:hideMark/>
          </w:tcPr>
          <w:p w14:paraId="0404A2E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2.00 </w:t>
            </w:r>
          </w:p>
        </w:tc>
      </w:tr>
      <w:tr w:rsidR="00AA3A66" w:rsidRPr="00AA3A66" w14:paraId="46325016" w14:textId="77777777" w:rsidTr="00AA3A66">
        <w:trPr>
          <w:trHeight w:val="175"/>
        </w:trPr>
        <w:tc>
          <w:tcPr>
            <w:tcW w:w="776" w:type="pct"/>
            <w:shd w:val="clear" w:color="auto" w:fill="auto"/>
            <w:noWrap/>
            <w:vAlign w:val="bottom"/>
            <w:hideMark/>
          </w:tcPr>
          <w:p w14:paraId="53D6F53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No.Parking</w:t>
            </w:r>
          </w:p>
        </w:tc>
        <w:tc>
          <w:tcPr>
            <w:tcW w:w="1403" w:type="pct"/>
          </w:tcPr>
          <w:p w14:paraId="78897B51"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Number of Carpark</w:t>
            </w:r>
          </w:p>
        </w:tc>
        <w:tc>
          <w:tcPr>
            <w:tcW w:w="420" w:type="pct"/>
            <w:shd w:val="clear" w:color="auto" w:fill="auto"/>
            <w:noWrap/>
            <w:hideMark/>
          </w:tcPr>
          <w:p w14:paraId="4D4CD1C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1,089 </w:t>
            </w:r>
          </w:p>
        </w:tc>
        <w:tc>
          <w:tcPr>
            <w:tcW w:w="572" w:type="pct"/>
            <w:shd w:val="clear" w:color="auto" w:fill="auto"/>
            <w:noWrap/>
            <w:hideMark/>
          </w:tcPr>
          <w:p w14:paraId="17199D9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1.05 </w:t>
            </w:r>
          </w:p>
        </w:tc>
        <w:tc>
          <w:tcPr>
            <w:tcW w:w="648" w:type="pct"/>
            <w:shd w:val="clear" w:color="auto" w:fill="auto"/>
            <w:noWrap/>
            <w:hideMark/>
          </w:tcPr>
          <w:p w14:paraId="4CBF3D7C"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0.40 </w:t>
            </w:r>
          </w:p>
        </w:tc>
        <w:tc>
          <w:tcPr>
            <w:tcW w:w="496" w:type="pct"/>
            <w:shd w:val="clear" w:color="auto" w:fill="auto"/>
            <w:noWrap/>
            <w:hideMark/>
          </w:tcPr>
          <w:p w14:paraId="5FA6AE8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hideMark/>
          </w:tcPr>
          <w:p w14:paraId="1881CA15"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3.00 </w:t>
            </w:r>
          </w:p>
        </w:tc>
      </w:tr>
      <w:tr w:rsidR="00AA3A66" w:rsidRPr="00AA3A66" w14:paraId="6C81EFAA" w14:textId="77777777" w:rsidTr="00AA3A66">
        <w:trPr>
          <w:trHeight w:val="175"/>
        </w:trPr>
        <w:tc>
          <w:tcPr>
            <w:tcW w:w="776" w:type="pct"/>
            <w:shd w:val="clear" w:color="auto" w:fill="auto"/>
            <w:noWrap/>
            <w:vAlign w:val="bottom"/>
            <w:hideMark/>
          </w:tcPr>
          <w:p w14:paraId="1337284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DY-2015</w:t>
            </w:r>
          </w:p>
        </w:tc>
        <w:tc>
          <w:tcPr>
            <w:tcW w:w="1403" w:type="pct"/>
          </w:tcPr>
          <w:p w14:paraId="4610B575"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2015</w:t>
            </w:r>
          </w:p>
        </w:tc>
        <w:tc>
          <w:tcPr>
            <w:tcW w:w="420" w:type="pct"/>
            <w:shd w:val="clear" w:color="auto" w:fill="auto"/>
            <w:noWrap/>
            <w:hideMark/>
          </w:tcPr>
          <w:p w14:paraId="0A0E33E8"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1,089 </w:t>
            </w:r>
          </w:p>
        </w:tc>
        <w:tc>
          <w:tcPr>
            <w:tcW w:w="572" w:type="pct"/>
            <w:shd w:val="clear" w:color="auto" w:fill="auto"/>
            <w:noWrap/>
            <w:hideMark/>
          </w:tcPr>
          <w:p w14:paraId="5DE9FC0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0.07 </w:t>
            </w:r>
          </w:p>
        </w:tc>
        <w:tc>
          <w:tcPr>
            <w:tcW w:w="648" w:type="pct"/>
            <w:shd w:val="clear" w:color="auto" w:fill="auto"/>
            <w:noWrap/>
            <w:hideMark/>
          </w:tcPr>
          <w:p w14:paraId="7477AEC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0.25 </w:t>
            </w:r>
          </w:p>
        </w:tc>
        <w:tc>
          <w:tcPr>
            <w:tcW w:w="496" w:type="pct"/>
            <w:shd w:val="clear" w:color="auto" w:fill="auto"/>
            <w:noWrap/>
            <w:hideMark/>
          </w:tcPr>
          <w:p w14:paraId="2E79E92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hideMark/>
          </w:tcPr>
          <w:p w14:paraId="15F17E2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560538F8" w14:textId="77777777" w:rsidTr="00AA3A66">
        <w:trPr>
          <w:trHeight w:val="175"/>
        </w:trPr>
        <w:tc>
          <w:tcPr>
            <w:tcW w:w="776" w:type="pct"/>
            <w:shd w:val="clear" w:color="auto" w:fill="auto"/>
            <w:noWrap/>
            <w:vAlign w:val="bottom"/>
            <w:hideMark/>
          </w:tcPr>
          <w:p w14:paraId="4FD447D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DY-2016</w:t>
            </w:r>
          </w:p>
        </w:tc>
        <w:tc>
          <w:tcPr>
            <w:tcW w:w="1403" w:type="pct"/>
          </w:tcPr>
          <w:p w14:paraId="1DD5D3E9"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2016</w:t>
            </w:r>
          </w:p>
        </w:tc>
        <w:tc>
          <w:tcPr>
            <w:tcW w:w="420" w:type="pct"/>
            <w:shd w:val="clear" w:color="auto" w:fill="auto"/>
            <w:noWrap/>
            <w:hideMark/>
          </w:tcPr>
          <w:p w14:paraId="2F2F575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1,089 </w:t>
            </w:r>
          </w:p>
        </w:tc>
        <w:tc>
          <w:tcPr>
            <w:tcW w:w="572" w:type="pct"/>
            <w:shd w:val="clear" w:color="auto" w:fill="auto"/>
            <w:noWrap/>
            <w:hideMark/>
          </w:tcPr>
          <w:p w14:paraId="46360882"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0.09 </w:t>
            </w:r>
          </w:p>
        </w:tc>
        <w:tc>
          <w:tcPr>
            <w:tcW w:w="648" w:type="pct"/>
            <w:shd w:val="clear" w:color="auto" w:fill="auto"/>
            <w:noWrap/>
            <w:hideMark/>
          </w:tcPr>
          <w:p w14:paraId="21F138A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0.29 </w:t>
            </w:r>
          </w:p>
        </w:tc>
        <w:tc>
          <w:tcPr>
            <w:tcW w:w="496" w:type="pct"/>
            <w:shd w:val="clear" w:color="auto" w:fill="auto"/>
            <w:noWrap/>
            <w:hideMark/>
          </w:tcPr>
          <w:p w14:paraId="3E16EE7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hideMark/>
          </w:tcPr>
          <w:p w14:paraId="10C7A4A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0FD43C0A" w14:textId="77777777" w:rsidTr="00AA3A66">
        <w:trPr>
          <w:trHeight w:val="175"/>
        </w:trPr>
        <w:tc>
          <w:tcPr>
            <w:tcW w:w="776" w:type="pct"/>
            <w:shd w:val="clear" w:color="auto" w:fill="auto"/>
            <w:noWrap/>
            <w:vAlign w:val="bottom"/>
            <w:hideMark/>
          </w:tcPr>
          <w:p w14:paraId="21675DC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DY-2017</w:t>
            </w:r>
          </w:p>
        </w:tc>
        <w:tc>
          <w:tcPr>
            <w:tcW w:w="1403" w:type="pct"/>
          </w:tcPr>
          <w:p w14:paraId="15868E4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2017</w:t>
            </w:r>
          </w:p>
        </w:tc>
        <w:tc>
          <w:tcPr>
            <w:tcW w:w="420" w:type="pct"/>
            <w:shd w:val="clear" w:color="auto" w:fill="auto"/>
            <w:noWrap/>
            <w:hideMark/>
          </w:tcPr>
          <w:p w14:paraId="660C85C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1,089 </w:t>
            </w:r>
          </w:p>
        </w:tc>
        <w:tc>
          <w:tcPr>
            <w:tcW w:w="572" w:type="pct"/>
            <w:shd w:val="clear" w:color="auto" w:fill="auto"/>
            <w:noWrap/>
            <w:hideMark/>
          </w:tcPr>
          <w:p w14:paraId="0975945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0.25 </w:t>
            </w:r>
          </w:p>
        </w:tc>
        <w:tc>
          <w:tcPr>
            <w:tcW w:w="648" w:type="pct"/>
            <w:shd w:val="clear" w:color="auto" w:fill="auto"/>
            <w:noWrap/>
            <w:hideMark/>
          </w:tcPr>
          <w:p w14:paraId="7EC88E0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0.43 </w:t>
            </w:r>
          </w:p>
        </w:tc>
        <w:tc>
          <w:tcPr>
            <w:tcW w:w="496" w:type="pct"/>
            <w:shd w:val="clear" w:color="auto" w:fill="auto"/>
            <w:noWrap/>
            <w:hideMark/>
          </w:tcPr>
          <w:p w14:paraId="6EFE1DE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hideMark/>
          </w:tcPr>
          <w:p w14:paraId="25CEF68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4BD8B07D" w14:textId="77777777" w:rsidTr="00AA3A66">
        <w:trPr>
          <w:trHeight w:val="175"/>
        </w:trPr>
        <w:tc>
          <w:tcPr>
            <w:tcW w:w="776" w:type="pct"/>
            <w:shd w:val="clear" w:color="auto" w:fill="auto"/>
            <w:noWrap/>
            <w:vAlign w:val="bottom"/>
            <w:hideMark/>
          </w:tcPr>
          <w:p w14:paraId="5C0FF87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DY-2018</w:t>
            </w:r>
          </w:p>
        </w:tc>
        <w:tc>
          <w:tcPr>
            <w:tcW w:w="1403" w:type="pct"/>
          </w:tcPr>
          <w:p w14:paraId="6BBAD25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2018</w:t>
            </w:r>
          </w:p>
        </w:tc>
        <w:tc>
          <w:tcPr>
            <w:tcW w:w="420" w:type="pct"/>
            <w:shd w:val="clear" w:color="auto" w:fill="auto"/>
            <w:noWrap/>
            <w:hideMark/>
          </w:tcPr>
          <w:p w14:paraId="7924B59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1,089 </w:t>
            </w:r>
          </w:p>
        </w:tc>
        <w:tc>
          <w:tcPr>
            <w:tcW w:w="572" w:type="pct"/>
            <w:shd w:val="clear" w:color="auto" w:fill="auto"/>
            <w:noWrap/>
            <w:hideMark/>
          </w:tcPr>
          <w:p w14:paraId="1057351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0.26 </w:t>
            </w:r>
          </w:p>
        </w:tc>
        <w:tc>
          <w:tcPr>
            <w:tcW w:w="648" w:type="pct"/>
            <w:shd w:val="clear" w:color="auto" w:fill="auto"/>
            <w:noWrap/>
            <w:hideMark/>
          </w:tcPr>
          <w:p w14:paraId="7C9CF8C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0.44 </w:t>
            </w:r>
          </w:p>
        </w:tc>
        <w:tc>
          <w:tcPr>
            <w:tcW w:w="496" w:type="pct"/>
            <w:shd w:val="clear" w:color="auto" w:fill="auto"/>
            <w:noWrap/>
            <w:hideMark/>
          </w:tcPr>
          <w:p w14:paraId="2D014F2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hideMark/>
          </w:tcPr>
          <w:p w14:paraId="26454E4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1C55B50F" w14:textId="77777777" w:rsidTr="00AA3A66">
        <w:trPr>
          <w:trHeight w:val="175"/>
        </w:trPr>
        <w:tc>
          <w:tcPr>
            <w:tcW w:w="776" w:type="pct"/>
            <w:shd w:val="clear" w:color="auto" w:fill="auto"/>
            <w:noWrap/>
            <w:vAlign w:val="bottom"/>
            <w:hideMark/>
          </w:tcPr>
          <w:p w14:paraId="52F79C2D"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DY-2019</w:t>
            </w:r>
          </w:p>
        </w:tc>
        <w:tc>
          <w:tcPr>
            <w:tcW w:w="1403" w:type="pct"/>
          </w:tcPr>
          <w:p w14:paraId="002F525A"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2019</w:t>
            </w:r>
          </w:p>
        </w:tc>
        <w:tc>
          <w:tcPr>
            <w:tcW w:w="420" w:type="pct"/>
            <w:shd w:val="clear" w:color="auto" w:fill="auto"/>
            <w:noWrap/>
            <w:hideMark/>
          </w:tcPr>
          <w:p w14:paraId="3276FEA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1,089 </w:t>
            </w:r>
          </w:p>
        </w:tc>
        <w:tc>
          <w:tcPr>
            <w:tcW w:w="572" w:type="pct"/>
            <w:shd w:val="clear" w:color="auto" w:fill="auto"/>
            <w:noWrap/>
            <w:hideMark/>
          </w:tcPr>
          <w:p w14:paraId="1A14B3E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0.17 </w:t>
            </w:r>
          </w:p>
        </w:tc>
        <w:tc>
          <w:tcPr>
            <w:tcW w:w="648" w:type="pct"/>
            <w:shd w:val="clear" w:color="auto" w:fill="auto"/>
            <w:noWrap/>
            <w:hideMark/>
          </w:tcPr>
          <w:p w14:paraId="27465540"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0.37 </w:t>
            </w:r>
          </w:p>
        </w:tc>
        <w:tc>
          <w:tcPr>
            <w:tcW w:w="496" w:type="pct"/>
            <w:shd w:val="clear" w:color="auto" w:fill="auto"/>
            <w:noWrap/>
            <w:hideMark/>
          </w:tcPr>
          <w:p w14:paraId="504131C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hideMark/>
          </w:tcPr>
          <w:p w14:paraId="702025C4"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r w:rsidR="00AA3A66" w:rsidRPr="00AA3A66" w14:paraId="0DB40B37" w14:textId="77777777" w:rsidTr="00AA3A66">
        <w:trPr>
          <w:trHeight w:val="175"/>
        </w:trPr>
        <w:tc>
          <w:tcPr>
            <w:tcW w:w="776" w:type="pct"/>
            <w:shd w:val="clear" w:color="auto" w:fill="auto"/>
            <w:noWrap/>
            <w:vAlign w:val="bottom"/>
            <w:hideMark/>
          </w:tcPr>
          <w:p w14:paraId="1F0FC6CF"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DY-2020</w:t>
            </w:r>
          </w:p>
        </w:tc>
        <w:tc>
          <w:tcPr>
            <w:tcW w:w="1403" w:type="pct"/>
          </w:tcPr>
          <w:p w14:paraId="3B4ABC2E"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Year of 2020</w:t>
            </w:r>
          </w:p>
        </w:tc>
        <w:tc>
          <w:tcPr>
            <w:tcW w:w="420" w:type="pct"/>
            <w:shd w:val="clear" w:color="auto" w:fill="auto"/>
            <w:noWrap/>
            <w:hideMark/>
          </w:tcPr>
          <w:p w14:paraId="3D220767"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1,089 </w:t>
            </w:r>
          </w:p>
        </w:tc>
        <w:tc>
          <w:tcPr>
            <w:tcW w:w="572" w:type="pct"/>
            <w:shd w:val="clear" w:color="auto" w:fill="auto"/>
            <w:noWrap/>
            <w:hideMark/>
          </w:tcPr>
          <w:p w14:paraId="5D82DA53"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0.13 </w:t>
            </w:r>
          </w:p>
        </w:tc>
        <w:tc>
          <w:tcPr>
            <w:tcW w:w="648" w:type="pct"/>
            <w:shd w:val="clear" w:color="auto" w:fill="auto"/>
            <w:noWrap/>
            <w:hideMark/>
          </w:tcPr>
          <w:p w14:paraId="7FFE8F2B"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0.33 </w:t>
            </w:r>
          </w:p>
        </w:tc>
        <w:tc>
          <w:tcPr>
            <w:tcW w:w="496" w:type="pct"/>
            <w:shd w:val="clear" w:color="auto" w:fill="auto"/>
            <w:noWrap/>
            <w:hideMark/>
          </w:tcPr>
          <w:p w14:paraId="63C76FD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0.00</w:t>
            </w:r>
          </w:p>
        </w:tc>
        <w:tc>
          <w:tcPr>
            <w:tcW w:w="686" w:type="pct"/>
            <w:shd w:val="clear" w:color="auto" w:fill="auto"/>
            <w:noWrap/>
            <w:hideMark/>
          </w:tcPr>
          <w:p w14:paraId="751A5176" w14:textId="77777777" w:rsidR="00F00E3D" w:rsidRPr="00AA3A66" w:rsidRDefault="00F00E3D" w:rsidP="00AA3A66">
            <w:pPr>
              <w:spacing w:after="0" w:line="240" w:lineRule="auto"/>
              <w:rPr>
                <w:rFonts w:asciiTheme="majorHAnsi" w:eastAsia="Times New Roman" w:hAnsiTheme="majorHAnsi" w:cstheme="majorHAnsi"/>
                <w:color w:val="000000"/>
                <w:sz w:val="21"/>
                <w:szCs w:val="21"/>
              </w:rPr>
            </w:pPr>
            <w:r w:rsidRPr="00AA3A66">
              <w:rPr>
                <w:rFonts w:asciiTheme="majorHAnsi" w:eastAsia="Times New Roman" w:hAnsiTheme="majorHAnsi" w:cstheme="majorHAnsi"/>
                <w:color w:val="000000"/>
                <w:sz w:val="21"/>
                <w:szCs w:val="21"/>
              </w:rPr>
              <w:t xml:space="preserve"> 1.00 </w:t>
            </w:r>
          </w:p>
        </w:tc>
      </w:tr>
    </w:tbl>
    <w:p w14:paraId="08697BFD" w14:textId="4644D02E" w:rsidR="00BA4844" w:rsidRPr="00F353BE" w:rsidRDefault="00827892">
      <w:pPr>
        <w:spacing w:after="0" w:line="240" w:lineRule="auto"/>
        <w:rPr>
          <w:rFonts w:cstheme="minorHAnsi"/>
          <w:b/>
          <w:bCs/>
          <w:sz w:val="21"/>
          <w:szCs w:val="21"/>
        </w:rPr>
      </w:pPr>
      <w:r w:rsidRPr="00F353BE">
        <w:rPr>
          <w:rFonts w:cstheme="minorHAnsi"/>
          <w:b/>
          <w:bCs/>
          <w:sz w:val="21"/>
          <w:szCs w:val="21"/>
        </w:rPr>
        <w:t xml:space="preserve">Table </w:t>
      </w:r>
      <w:r w:rsidR="00F353BE">
        <w:rPr>
          <w:rFonts w:cstheme="minorHAnsi"/>
          <w:b/>
          <w:bCs/>
          <w:sz w:val="21"/>
          <w:szCs w:val="21"/>
        </w:rPr>
        <w:t>7</w:t>
      </w:r>
      <w:r w:rsidRPr="00F353BE">
        <w:rPr>
          <w:rFonts w:cstheme="minorHAnsi"/>
          <w:b/>
          <w:bCs/>
          <w:sz w:val="21"/>
          <w:szCs w:val="21"/>
        </w:rPr>
        <w:t>.</w:t>
      </w:r>
      <w:r w:rsidR="00BD3C71">
        <w:rPr>
          <w:rFonts w:cstheme="minorHAnsi"/>
          <w:b/>
          <w:bCs/>
          <w:sz w:val="21"/>
          <w:szCs w:val="21"/>
        </w:rPr>
        <w:t>8</w:t>
      </w:r>
      <w:r w:rsidRPr="00F353BE">
        <w:rPr>
          <w:rFonts w:cstheme="minorHAnsi"/>
          <w:b/>
          <w:bCs/>
          <w:sz w:val="21"/>
          <w:szCs w:val="21"/>
        </w:rPr>
        <w:t>: Statistical Description of Housing Market for the Three Focal Suburbs</w:t>
      </w:r>
      <w:r w:rsidR="00BA4844" w:rsidRPr="00F353BE">
        <w:rPr>
          <w:rFonts w:cstheme="minorHAnsi"/>
          <w:b/>
          <w:bCs/>
          <w:sz w:val="21"/>
          <w:szCs w:val="21"/>
        </w:rPr>
        <w:br w:type="page"/>
      </w:r>
    </w:p>
    <w:p w14:paraId="3625CDDA" w14:textId="55FE9D3A" w:rsidR="00F00E3D" w:rsidRPr="002C52A2" w:rsidRDefault="00BD3C71" w:rsidP="00827892">
      <w:pPr>
        <w:spacing w:before="120" w:after="120" w:line="276" w:lineRule="auto"/>
        <w:rPr>
          <w:rFonts w:asciiTheme="majorHAnsi" w:hAnsiTheme="majorHAnsi" w:cstheme="majorHAnsi"/>
          <w:sz w:val="23"/>
          <w:szCs w:val="23"/>
        </w:rPr>
      </w:pPr>
      <w:r>
        <w:rPr>
          <w:rFonts w:asciiTheme="majorHAnsi" w:hAnsiTheme="majorHAnsi" w:cstheme="majorHAnsi"/>
          <w:sz w:val="23"/>
          <w:szCs w:val="23"/>
        </w:rPr>
        <w:lastRenderedPageBreak/>
        <w:t>We have also</w:t>
      </w:r>
      <w:r w:rsidR="00F00E3D" w:rsidRPr="00E91887">
        <w:rPr>
          <w:rFonts w:asciiTheme="majorHAnsi" w:hAnsiTheme="majorHAnsi" w:cstheme="majorHAnsi"/>
          <w:sz w:val="23"/>
          <w:szCs w:val="23"/>
        </w:rPr>
        <w:t xml:space="preserve"> constructed monthly </w:t>
      </w:r>
      <w:r w:rsidR="00F353BE">
        <w:rPr>
          <w:rFonts w:asciiTheme="majorHAnsi" w:hAnsiTheme="majorHAnsi" w:cstheme="majorHAnsi"/>
          <w:sz w:val="23"/>
          <w:szCs w:val="23"/>
        </w:rPr>
        <w:t>h</w:t>
      </w:r>
      <w:r w:rsidR="00F00E3D" w:rsidRPr="00E91887">
        <w:rPr>
          <w:rFonts w:asciiTheme="majorHAnsi" w:hAnsiTheme="majorHAnsi" w:cstheme="majorHAnsi"/>
          <w:sz w:val="23"/>
          <w:szCs w:val="23"/>
        </w:rPr>
        <w:t>edonic indexes to track the trend of housing cost</w:t>
      </w:r>
      <w:r>
        <w:rPr>
          <w:rFonts w:asciiTheme="majorHAnsi" w:hAnsiTheme="majorHAnsi" w:cstheme="majorHAnsi"/>
          <w:sz w:val="23"/>
          <w:szCs w:val="23"/>
        </w:rPr>
        <w:t>s</w:t>
      </w:r>
      <w:r w:rsidR="00F00E3D" w:rsidRPr="00E91887">
        <w:rPr>
          <w:rFonts w:asciiTheme="majorHAnsi" w:hAnsiTheme="majorHAnsi" w:cstheme="majorHAnsi"/>
          <w:sz w:val="23"/>
          <w:szCs w:val="23"/>
        </w:rPr>
        <w:t xml:space="preserve"> for the three suburbs, as well as for the whole of Victoria, Greater Melbourne, Regional Victoria, and Greater Geelong</w:t>
      </w:r>
      <w:r w:rsidR="00F353BE">
        <w:rPr>
          <w:rFonts w:asciiTheme="majorHAnsi" w:hAnsiTheme="majorHAnsi" w:cstheme="majorHAnsi"/>
          <w:sz w:val="23"/>
          <w:szCs w:val="23"/>
        </w:rPr>
        <w:t>,</w:t>
      </w:r>
      <w:r w:rsidR="00F00E3D" w:rsidRPr="00E91887">
        <w:rPr>
          <w:rFonts w:asciiTheme="majorHAnsi" w:hAnsiTheme="majorHAnsi" w:cstheme="majorHAnsi"/>
          <w:sz w:val="23"/>
          <w:szCs w:val="23"/>
        </w:rPr>
        <w:t xml:space="preserve"> for comparison. The time frame of the indexes is from January 2015 to October 2020. We construct indexes for submarkets of house transactional sample, unit transactional sample, house rental sample, and unit rental sample. </w:t>
      </w:r>
      <w:r w:rsidR="00F353BE">
        <w:rPr>
          <w:rFonts w:asciiTheme="majorHAnsi" w:hAnsiTheme="majorHAnsi" w:cstheme="majorHAnsi"/>
          <w:sz w:val="23"/>
          <w:szCs w:val="23"/>
        </w:rPr>
        <w:t>The</w:t>
      </w:r>
      <w:r>
        <w:rPr>
          <w:rFonts w:asciiTheme="majorHAnsi" w:hAnsiTheme="majorHAnsi" w:cstheme="majorHAnsi"/>
          <w:sz w:val="23"/>
          <w:szCs w:val="23"/>
        </w:rPr>
        <w:t xml:space="preserve"> hedonic</w:t>
      </w:r>
      <w:r w:rsidR="00F353BE">
        <w:rPr>
          <w:rFonts w:asciiTheme="majorHAnsi" w:hAnsiTheme="majorHAnsi" w:cstheme="majorHAnsi"/>
          <w:sz w:val="23"/>
          <w:szCs w:val="23"/>
        </w:rPr>
        <w:t xml:space="preserve"> indexes are presented in</w:t>
      </w:r>
      <w:r w:rsidR="00F00E3D" w:rsidRPr="00E91887">
        <w:rPr>
          <w:rFonts w:asciiTheme="majorHAnsi" w:hAnsiTheme="majorHAnsi" w:cstheme="majorHAnsi"/>
          <w:sz w:val="23"/>
          <w:szCs w:val="23"/>
        </w:rPr>
        <w:t xml:space="preserve"> Figure</w:t>
      </w:r>
      <w:r>
        <w:rPr>
          <w:rFonts w:asciiTheme="majorHAnsi" w:hAnsiTheme="majorHAnsi" w:cstheme="majorHAnsi"/>
          <w:sz w:val="23"/>
          <w:szCs w:val="23"/>
        </w:rPr>
        <w:t>s</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7</w:t>
      </w:r>
      <w:r w:rsidR="00F00E3D" w:rsidRPr="00E91887">
        <w:rPr>
          <w:rFonts w:asciiTheme="majorHAnsi" w:hAnsiTheme="majorHAnsi" w:cstheme="majorHAnsi"/>
          <w:sz w:val="23"/>
          <w:szCs w:val="23"/>
        </w:rPr>
        <w:t>.3</w:t>
      </w:r>
      <w:r>
        <w:rPr>
          <w:rFonts w:asciiTheme="majorHAnsi" w:hAnsiTheme="majorHAnsi" w:cstheme="majorHAnsi"/>
          <w:sz w:val="23"/>
          <w:szCs w:val="23"/>
        </w:rPr>
        <w:t>–7</w:t>
      </w:r>
      <w:r w:rsidR="00F00E3D" w:rsidRPr="00E91887">
        <w:rPr>
          <w:rFonts w:asciiTheme="majorHAnsi" w:hAnsiTheme="majorHAnsi" w:cstheme="majorHAnsi"/>
          <w:sz w:val="23"/>
          <w:szCs w:val="23"/>
        </w:rPr>
        <w:t>.6</w:t>
      </w:r>
      <w:r w:rsidR="00F353BE">
        <w:rPr>
          <w:rFonts w:asciiTheme="majorHAnsi" w:hAnsiTheme="majorHAnsi" w:cstheme="majorHAnsi"/>
          <w:sz w:val="23"/>
          <w:szCs w:val="23"/>
        </w:rPr>
        <w:t xml:space="preserve"> (below)</w:t>
      </w:r>
      <w:r w:rsidR="00F00E3D" w:rsidRPr="00E91887">
        <w:rPr>
          <w:rFonts w:asciiTheme="majorHAnsi" w:hAnsiTheme="majorHAnsi" w:cstheme="majorHAnsi"/>
          <w:sz w:val="23"/>
          <w:szCs w:val="23"/>
        </w:rPr>
        <w:t>.</w:t>
      </w:r>
      <w:r w:rsidRPr="00BD3C71">
        <w:rPr>
          <w:rFonts w:asciiTheme="majorHAnsi" w:hAnsiTheme="majorHAnsi" w:cstheme="majorHAnsi"/>
          <w:sz w:val="23"/>
          <w:szCs w:val="23"/>
        </w:rPr>
        <w:t xml:space="preserve"> </w:t>
      </w:r>
      <w:r w:rsidR="002C52A2">
        <w:rPr>
          <w:rFonts w:asciiTheme="majorHAnsi" w:hAnsiTheme="majorHAnsi" w:cstheme="majorHAnsi"/>
          <w:sz w:val="23"/>
          <w:szCs w:val="23"/>
        </w:rPr>
        <w:t>The</w:t>
      </w:r>
      <w:r w:rsidRPr="00E91887">
        <w:rPr>
          <w:rFonts w:asciiTheme="majorHAnsi" w:hAnsiTheme="majorHAnsi" w:cstheme="majorHAnsi"/>
          <w:sz w:val="23"/>
          <w:szCs w:val="23"/>
        </w:rPr>
        <w:t xml:space="preserve"> methodology </w:t>
      </w:r>
      <w:r>
        <w:rPr>
          <w:rFonts w:asciiTheme="majorHAnsi" w:hAnsiTheme="majorHAnsi" w:cstheme="majorHAnsi"/>
          <w:sz w:val="23"/>
          <w:szCs w:val="23"/>
        </w:rPr>
        <w:t>for</w:t>
      </w:r>
      <w:r w:rsidRPr="00E91887">
        <w:rPr>
          <w:rFonts w:asciiTheme="majorHAnsi" w:hAnsiTheme="majorHAnsi" w:cstheme="majorHAnsi"/>
          <w:sz w:val="23"/>
          <w:szCs w:val="23"/>
        </w:rPr>
        <w:t xml:space="preserve"> the </w:t>
      </w:r>
      <w:r w:rsidRPr="002C52A2">
        <w:rPr>
          <w:rFonts w:asciiTheme="majorHAnsi" w:hAnsiTheme="majorHAnsi" w:cstheme="majorHAnsi"/>
          <w:sz w:val="23"/>
          <w:szCs w:val="23"/>
        </w:rPr>
        <w:t>hedonic indexes</w:t>
      </w:r>
      <w:r w:rsidR="002C52A2">
        <w:rPr>
          <w:rFonts w:asciiTheme="majorHAnsi" w:hAnsiTheme="majorHAnsi" w:cstheme="majorHAnsi"/>
          <w:sz w:val="23"/>
          <w:szCs w:val="23"/>
        </w:rPr>
        <w:t xml:space="preserve"> is outlined</w:t>
      </w:r>
      <w:r w:rsidRPr="002C52A2">
        <w:rPr>
          <w:rFonts w:asciiTheme="majorHAnsi" w:hAnsiTheme="majorHAnsi" w:cstheme="majorHAnsi"/>
          <w:sz w:val="23"/>
          <w:szCs w:val="23"/>
        </w:rPr>
        <w:t xml:space="preserve"> in Appendix </w:t>
      </w:r>
      <w:r w:rsidR="002C52A2">
        <w:rPr>
          <w:rFonts w:asciiTheme="majorHAnsi" w:hAnsiTheme="majorHAnsi" w:cstheme="majorHAnsi"/>
          <w:sz w:val="23"/>
          <w:szCs w:val="23"/>
        </w:rPr>
        <w:t>D</w:t>
      </w:r>
      <w:r w:rsidRPr="002C52A2">
        <w:rPr>
          <w:rFonts w:asciiTheme="majorHAnsi" w:hAnsiTheme="majorHAnsi" w:cstheme="majorHAnsi"/>
          <w:sz w:val="23"/>
          <w:szCs w:val="23"/>
        </w:rPr>
        <w:t>.</w:t>
      </w:r>
    </w:p>
    <w:p w14:paraId="6356EA54" w14:textId="7D2C9F70" w:rsidR="00F00E3D" w:rsidRPr="00E91887" w:rsidRDefault="00F00E3D" w:rsidP="778E395A">
      <w:pPr>
        <w:spacing w:before="120" w:after="120" w:line="276" w:lineRule="auto"/>
        <w:rPr>
          <w:rFonts w:asciiTheme="majorHAnsi" w:hAnsiTheme="majorHAnsi" w:cstheme="majorBidi"/>
          <w:sz w:val="23"/>
          <w:szCs w:val="23"/>
        </w:rPr>
      </w:pPr>
      <w:r w:rsidRPr="778E395A">
        <w:rPr>
          <w:rFonts w:asciiTheme="majorHAnsi" w:hAnsiTheme="majorHAnsi" w:cstheme="majorBidi"/>
          <w:sz w:val="23"/>
          <w:szCs w:val="23"/>
        </w:rPr>
        <w:t>As Figure</w:t>
      </w:r>
      <w:r w:rsidR="00BD3C71" w:rsidRPr="778E395A">
        <w:rPr>
          <w:rFonts w:asciiTheme="majorHAnsi" w:hAnsiTheme="majorHAnsi" w:cstheme="majorBidi"/>
          <w:sz w:val="23"/>
          <w:szCs w:val="23"/>
        </w:rPr>
        <w:t xml:space="preserve"> 7</w:t>
      </w:r>
      <w:r w:rsidRPr="778E395A">
        <w:rPr>
          <w:rFonts w:asciiTheme="majorHAnsi" w:hAnsiTheme="majorHAnsi" w:cstheme="majorBidi"/>
          <w:sz w:val="23"/>
          <w:szCs w:val="23"/>
        </w:rPr>
        <w:t>.</w:t>
      </w:r>
      <w:r w:rsidR="5A286461" w:rsidRPr="778E395A">
        <w:rPr>
          <w:rFonts w:asciiTheme="majorHAnsi" w:hAnsiTheme="majorHAnsi" w:cstheme="majorBidi"/>
          <w:sz w:val="23"/>
          <w:szCs w:val="23"/>
        </w:rPr>
        <w:t>2</w:t>
      </w:r>
      <w:r w:rsidRPr="778E395A">
        <w:rPr>
          <w:rFonts w:asciiTheme="majorHAnsi" w:hAnsiTheme="majorHAnsi" w:cstheme="majorBidi"/>
          <w:sz w:val="23"/>
          <w:szCs w:val="23"/>
        </w:rPr>
        <w:t xml:space="preserve"> shows, the house value of the three focal suburbs grows by 43.2</w:t>
      </w:r>
      <w:r w:rsidR="00BD3C71" w:rsidRPr="778E395A">
        <w:rPr>
          <w:rFonts w:asciiTheme="majorHAnsi" w:hAnsiTheme="majorHAnsi" w:cstheme="majorBidi"/>
          <w:sz w:val="23"/>
          <w:szCs w:val="23"/>
        </w:rPr>
        <w:t xml:space="preserve"> percent</w:t>
      </w:r>
      <w:r w:rsidRPr="778E395A">
        <w:rPr>
          <w:rFonts w:asciiTheme="majorHAnsi" w:hAnsiTheme="majorHAnsi" w:cstheme="majorBidi"/>
          <w:sz w:val="23"/>
          <w:szCs w:val="23"/>
        </w:rPr>
        <w:t xml:space="preserve"> </w:t>
      </w:r>
      <w:r w:rsidR="00BD3C71" w:rsidRPr="778E395A">
        <w:rPr>
          <w:rFonts w:asciiTheme="majorHAnsi" w:hAnsiTheme="majorHAnsi" w:cstheme="majorBidi"/>
          <w:sz w:val="23"/>
          <w:szCs w:val="23"/>
        </w:rPr>
        <w:t>over</w:t>
      </w:r>
      <w:r w:rsidRPr="778E395A">
        <w:rPr>
          <w:rFonts w:asciiTheme="majorHAnsi" w:hAnsiTheme="majorHAnsi" w:cstheme="majorBidi"/>
          <w:sz w:val="23"/>
          <w:szCs w:val="23"/>
        </w:rPr>
        <w:t xml:space="preserve"> </w:t>
      </w:r>
      <w:r w:rsidR="00BD3C71" w:rsidRPr="778E395A">
        <w:rPr>
          <w:rFonts w:asciiTheme="majorHAnsi" w:hAnsiTheme="majorHAnsi" w:cstheme="majorBidi"/>
          <w:sz w:val="23"/>
          <w:szCs w:val="23"/>
        </w:rPr>
        <w:t xml:space="preserve">the </w:t>
      </w:r>
      <w:r w:rsidRPr="778E395A">
        <w:rPr>
          <w:rFonts w:asciiTheme="majorHAnsi" w:hAnsiTheme="majorHAnsi" w:cstheme="majorBidi"/>
          <w:sz w:val="23"/>
          <w:szCs w:val="23"/>
        </w:rPr>
        <w:t>period January 2015</w:t>
      </w:r>
      <w:r w:rsidR="00BD3C71" w:rsidRPr="778E395A">
        <w:rPr>
          <w:rFonts w:asciiTheme="majorHAnsi" w:hAnsiTheme="majorHAnsi" w:cstheme="majorBidi"/>
          <w:sz w:val="23"/>
          <w:szCs w:val="23"/>
        </w:rPr>
        <w:t>–</w:t>
      </w:r>
      <w:r w:rsidRPr="778E395A">
        <w:rPr>
          <w:rFonts w:asciiTheme="majorHAnsi" w:hAnsiTheme="majorHAnsi" w:cstheme="majorBidi"/>
          <w:sz w:val="23"/>
          <w:szCs w:val="23"/>
        </w:rPr>
        <w:t xml:space="preserve">October 2020, higher than the growth rates of </w:t>
      </w:r>
      <w:bookmarkStart w:id="89" w:name="_Hlk71035945"/>
      <w:r w:rsidRPr="778E395A">
        <w:rPr>
          <w:rFonts w:asciiTheme="majorHAnsi" w:hAnsiTheme="majorHAnsi" w:cstheme="majorBidi"/>
          <w:sz w:val="23"/>
          <w:szCs w:val="23"/>
        </w:rPr>
        <w:t>Greater Geelong (39.75</w:t>
      </w:r>
      <w:r w:rsidR="00BD3C71" w:rsidRPr="778E395A">
        <w:rPr>
          <w:rFonts w:asciiTheme="majorHAnsi" w:hAnsiTheme="majorHAnsi" w:cstheme="majorBidi"/>
          <w:sz w:val="23"/>
          <w:szCs w:val="23"/>
        </w:rPr>
        <w:t xml:space="preserve"> percent</w:t>
      </w:r>
      <w:r w:rsidRPr="778E395A">
        <w:rPr>
          <w:rFonts w:asciiTheme="majorHAnsi" w:hAnsiTheme="majorHAnsi" w:cstheme="majorBidi"/>
          <w:sz w:val="23"/>
          <w:szCs w:val="23"/>
        </w:rPr>
        <w:t>), Regional Victoria (32.75</w:t>
      </w:r>
      <w:r w:rsidR="00BD3C71" w:rsidRPr="778E395A">
        <w:rPr>
          <w:rFonts w:asciiTheme="majorHAnsi" w:hAnsiTheme="majorHAnsi" w:cstheme="majorBidi"/>
          <w:sz w:val="23"/>
          <w:szCs w:val="23"/>
        </w:rPr>
        <w:t xml:space="preserve"> percent</w:t>
      </w:r>
      <w:r w:rsidRPr="778E395A">
        <w:rPr>
          <w:rFonts w:asciiTheme="majorHAnsi" w:hAnsiTheme="majorHAnsi" w:cstheme="majorBidi"/>
          <w:sz w:val="23"/>
          <w:szCs w:val="23"/>
        </w:rPr>
        <w:t>), Greater Melbourne (36.4</w:t>
      </w:r>
      <w:r w:rsidR="00BD3C71" w:rsidRPr="778E395A">
        <w:rPr>
          <w:rFonts w:asciiTheme="majorHAnsi" w:hAnsiTheme="majorHAnsi" w:cstheme="majorBidi"/>
          <w:sz w:val="23"/>
          <w:szCs w:val="23"/>
        </w:rPr>
        <w:t xml:space="preserve"> percent</w:t>
      </w:r>
      <w:r w:rsidRPr="778E395A">
        <w:rPr>
          <w:rFonts w:asciiTheme="majorHAnsi" w:hAnsiTheme="majorHAnsi" w:cstheme="majorBidi"/>
          <w:sz w:val="23"/>
          <w:szCs w:val="23"/>
        </w:rPr>
        <w:t>), and Victoria</w:t>
      </w:r>
      <w:r w:rsidR="00BD3C71" w:rsidRPr="778E395A">
        <w:rPr>
          <w:rFonts w:asciiTheme="majorHAnsi" w:hAnsiTheme="majorHAnsi" w:cstheme="majorBidi"/>
          <w:sz w:val="23"/>
          <w:szCs w:val="23"/>
        </w:rPr>
        <w:t xml:space="preserve"> as a whole</w:t>
      </w:r>
      <w:r w:rsidRPr="778E395A">
        <w:rPr>
          <w:rFonts w:asciiTheme="majorHAnsi" w:hAnsiTheme="majorHAnsi" w:cstheme="majorBidi"/>
          <w:sz w:val="23"/>
          <w:szCs w:val="23"/>
        </w:rPr>
        <w:t xml:space="preserve"> (35.8</w:t>
      </w:r>
      <w:r w:rsidR="00BD3C71" w:rsidRPr="778E395A">
        <w:rPr>
          <w:rFonts w:asciiTheme="majorHAnsi" w:hAnsiTheme="majorHAnsi" w:cstheme="majorBidi"/>
          <w:sz w:val="23"/>
          <w:szCs w:val="23"/>
        </w:rPr>
        <w:t xml:space="preserve"> percent</w:t>
      </w:r>
      <w:r w:rsidRPr="778E395A">
        <w:rPr>
          <w:rFonts w:asciiTheme="majorHAnsi" w:hAnsiTheme="majorHAnsi" w:cstheme="majorBidi"/>
          <w:sz w:val="23"/>
          <w:szCs w:val="23"/>
        </w:rPr>
        <w:t xml:space="preserve">) </w:t>
      </w:r>
      <w:bookmarkEnd w:id="89"/>
      <w:r w:rsidRPr="778E395A">
        <w:rPr>
          <w:rFonts w:asciiTheme="majorHAnsi" w:hAnsiTheme="majorHAnsi" w:cstheme="majorBidi"/>
          <w:sz w:val="23"/>
          <w:szCs w:val="23"/>
        </w:rPr>
        <w:t>during the same period. A similar trend is found for the</w:t>
      </w:r>
      <w:r w:rsidR="00BD3C71" w:rsidRPr="778E395A">
        <w:rPr>
          <w:rFonts w:asciiTheme="majorHAnsi" w:hAnsiTheme="majorHAnsi" w:cstheme="majorBidi"/>
          <w:sz w:val="23"/>
          <w:szCs w:val="23"/>
        </w:rPr>
        <w:t xml:space="preserve"> local</w:t>
      </w:r>
      <w:r w:rsidRPr="778E395A">
        <w:rPr>
          <w:rFonts w:asciiTheme="majorHAnsi" w:hAnsiTheme="majorHAnsi" w:cstheme="majorBidi"/>
          <w:sz w:val="23"/>
          <w:szCs w:val="23"/>
        </w:rPr>
        <w:t xml:space="preserve"> house rental price</w:t>
      </w:r>
      <w:r w:rsidR="00BD3C71" w:rsidRPr="778E395A">
        <w:rPr>
          <w:rFonts w:asciiTheme="majorHAnsi" w:hAnsiTheme="majorHAnsi" w:cstheme="majorBidi"/>
          <w:sz w:val="23"/>
          <w:szCs w:val="23"/>
        </w:rPr>
        <w:t>,</w:t>
      </w:r>
      <w:r w:rsidRPr="778E395A">
        <w:rPr>
          <w:rFonts w:asciiTheme="majorHAnsi" w:hAnsiTheme="majorHAnsi" w:cstheme="majorBidi"/>
          <w:sz w:val="23"/>
          <w:szCs w:val="23"/>
        </w:rPr>
        <w:t xml:space="preserve"> with Figure</w:t>
      </w:r>
      <w:r w:rsidR="00BD3C71" w:rsidRPr="778E395A">
        <w:rPr>
          <w:rFonts w:asciiTheme="majorHAnsi" w:hAnsiTheme="majorHAnsi" w:cstheme="majorBidi"/>
          <w:sz w:val="23"/>
          <w:szCs w:val="23"/>
        </w:rPr>
        <w:t xml:space="preserve"> 7</w:t>
      </w:r>
      <w:r w:rsidRPr="778E395A">
        <w:rPr>
          <w:rFonts w:asciiTheme="majorHAnsi" w:hAnsiTheme="majorHAnsi" w:cstheme="majorBidi"/>
          <w:sz w:val="23"/>
          <w:szCs w:val="23"/>
        </w:rPr>
        <w:t>.</w:t>
      </w:r>
      <w:r w:rsidR="2AB9B04A" w:rsidRPr="778E395A">
        <w:rPr>
          <w:rFonts w:asciiTheme="majorHAnsi" w:hAnsiTheme="majorHAnsi" w:cstheme="majorBidi"/>
          <w:sz w:val="23"/>
          <w:szCs w:val="23"/>
        </w:rPr>
        <w:t>3</w:t>
      </w:r>
      <w:r w:rsidRPr="778E395A">
        <w:rPr>
          <w:rFonts w:asciiTheme="majorHAnsi" w:hAnsiTheme="majorHAnsi" w:cstheme="majorBidi"/>
          <w:sz w:val="23"/>
          <w:szCs w:val="23"/>
        </w:rPr>
        <w:t xml:space="preserve"> showing that the growth rate of the three focal suburbs (18.05</w:t>
      </w:r>
      <w:r w:rsidR="00BD3C71" w:rsidRPr="778E395A">
        <w:rPr>
          <w:rFonts w:asciiTheme="majorHAnsi" w:hAnsiTheme="majorHAnsi" w:cstheme="majorBidi"/>
          <w:sz w:val="23"/>
          <w:szCs w:val="23"/>
        </w:rPr>
        <w:t xml:space="preserve"> percent</w:t>
      </w:r>
      <w:r w:rsidRPr="778E395A">
        <w:rPr>
          <w:rFonts w:asciiTheme="majorHAnsi" w:hAnsiTheme="majorHAnsi" w:cstheme="majorBidi"/>
          <w:sz w:val="23"/>
          <w:szCs w:val="23"/>
        </w:rPr>
        <w:t>) outperforms Greater Geelong (14.55</w:t>
      </w:r>
      <w:r w:rsidR="00BD3C71" w:rsidRPr="778E395A">
        <w:rPr>
          <w:rFonts w:asciiTheme="majorHAnsi" w:hAnsiTheme="majorHAnsi" w:cstheme="majorBidi"/>
          <w:sz w:val="23"/>
          <w:szCs w:val="23"/>
        </w:rPr>
        <w:t xml:space="preserve"> percent</w:t>
      </w:r>
      <w:r w:rsidRPr="778E395A">
        <w:rPr>
          <w:rFonts w:asciiTheme="majorHAnsi" w:hAnsiTheme="majorHAnsi" w:cstheme="majorBidi"/>
          <w:sz w:val="23"/>
          <w:szCs w:val="23"/>
        </w:rPr>
        <w:t>) and the other reference groups.</w:t>
      </w:r>
    </w:p>
    <w:p w14:paraId="186872F5" w14:textId="2FB2AFA9" w:rsidR="00F00E3D" w:rsidRPr="00E91887" w:rsidRDefault="00F00E3D" w:rsidP="71E34AD1">
      <w:pPr>
        <w:spacing w:before="120" w:after="120" w:line="276" w:lineRule="auto"/>
        <w:rPr>
          <w:rFonts w:asciiTheme="majorHAnsi" w:hAnsiTheme="majorHAnsi" w:cstheme="majorBidi"/>
          <w:sz w:val="23"/>
          <w:szCs w:val="23"/>
        </w:rPr>
      </w:pPr>
      <w:r w:rsidRPr="778E395A">
        <w:rPr>
          <w:rFonts w:asciiTheme="majorHAnsi" w:hAnsiTheme="majorHAnsi" w:cstheme="majorBidi"/>
          <w:sz w:val="23"/>
          <w:szCs w:val="23"/>
        </w:rPr>
        <w:t xml:space="preserve">The unit price index for the three focal suburbs </w:t>
      </w:r>
      <w:r w:rsidR="004B36AE" w:rsidRPr="778E395A">
        <w:rPr>
          <w:rFonts w:asciiTheme="majorHAnsi" w:hAnsiTheme="majorHAnsi" w:cstheme="majorBidi"/>
          <w:sz w:val="23"/>
          <w:szCs w:val="23"/>
        </w:rPr>
        <w:t>(</w:t>
      </w:r>
      <w:r w:rsidRPr="778E395A">
        <w:rPr>
          <w:rFonts w:asciiTheme="majorHAnsi" w:hAnsiTheme="majorHAnsi" w:cstheme="majorBidi"/>
          <w:sz w:val="23"/>
          <w:szCs w:val="23"/>
        </w:rPr>
        <w:t>Figure</w:t>
      </w:r>
      <w:r w:rsidR="004B36AE" w:rsidRPr="778E395A">
        <w:rPr>
          <w:rFonts w:asciiTheme="majorHAnsi" w:hAnsiTheme="majorHAnsi" w:cstheme="majorBidi"/>
          <w:sz w:val="23"/>
          <w:szCs w:val="23"/>
        </w:rPr>
        <w:t xml:space="preserve"> 7</w:t>
      </w:r>
      <w:r w:rsidRPr="778E395A">
        <w:rPr>
          <w:rFonts w:asciiTheme="majorHAnsi" w:hAnsiTheme="majorHAnsi" w:cstheme="majorBidi"/>
          <w:sz w:val="23"/>
          <w:szCs w:val="23"/>
        </w:rPr>
        <w:t>.</w:t>
      </w:r>
      <w:r w:rsidR="700AAE9A" w:rsidRPr="778E395A">
        <w:rPr>
          <w:rFonts w:asciiTheme="majorHAnsi" w:hAnsiTheme="majorHAnsi" w:cstheme="majorBidi"/>
          <w:sz w:val="23"/>
          <w:szCs w:val="23"/>
        </w:rPr>
        <w:t>4</w:t>
      </w:r>
      <w:r w:rsidR="004B36AE" w:rsidRPr="778E395A">
        <w:rPr>
          <w:rFonts w:asciiTheme="majorHAnsi" w:hAnsiTheme="majorHAnsi" w:cstheme="majorBidi"/>
          <w:sz w:val="23"/>
          <w:szCs w:val="23"/>
        </w:rPr>
        <w:t>)</w:t>
      </w:r>
      <w:r w:rsidRPr="778E395A">
        <w:rPr>
          <w:rFonts w:asciiTheme="majorHAnsi" w:hAnsiTheme="majorHAnsi" w:cstheme="majorBidi"/>
          <w:sz w:val="23"/>
          <w:szCs w:val="23"/>
        </w:rPr>
        <w:t xml:space="preserve"> is more volatile compared to the other reference group</w:t>
      </w:r>
      <w:r w:rsidR="004B36AE" w:rsidRPr="778E395A">
        <w:rPr>
          <w:rFonts w:asciiTheme="majorHAnsi" w:hAnsiTheme="majorHAnsi" w:cstheme="majorBidi"/>
          <w:sz w:val="23"/>
          <w:szCs w:val="23"/>
        </w:rPr>
        <w:t>s,</w:t>
      </w:r>
      <w:r w:rsidRPr="778E395A">
        <w:rPr>
          <w:rFonts w:asciiTheme="majorHAnsi" w:hAnsiTheme="majorHAnsi" w:cstheme="majorBidi"/>
          <w:sz w:val="23"/>
          <w:szCs w:val="23"/>
        </w:rPr>
        <w:t xml:space="preserve"> because of small size of the unit transaction subsample of the three focal suburbs. The growth rate of unit value in Greater Geelong and the three focal suburbs </w:t>
      </w:r>
      <w:r w:rsidR="004B36AE" w:rsidRPr="778E395A">
        <w:rPr>
          <w:rFonts w:asciiTheme="majorHAnsi" w:hAnsiTheme="majorHAnsi" w:cstheme="majorBidi"/>
          <w:sz w:val="23"/>
          <w:szCs w:val="23"/>
        </w:rPr>
        <w:t xml:space="preserve">has </w:t>
      </w:r>
      <w:r w:rsidRPr="778E395A">
        <w:rPr>
          <w:rFonts w:asciiTheme="majorHAnsi" w:hAnsiTheme="majorHAnsi" w:cstheme="majorBidi"/>
          <w:sz w:val="23"/>
          <w:szCs w:val="23"/>
        </w:rPr>
        <w:t>surpassed the rest of Victoria since 2017. The growth rate of the three focal suburbs from January 2015</w:t>
      </w:r>
      <w:r w:rsidR="004B36AE" w:rsidRPr="778E395A">
        <w:rPr>
          <w:rFonts w:asciiTheme="majorHAnsi" w:hAnsiTheme="majorHAnsi" w:cstheme="majorBidi"/>
          <w:sz w:val="23"/>
          <w:szCs w:val="23"/>
        </w:rPr>
        <w:t>–</w:t>
      </w:r>
      <w:r w:rsidRPr="778E395A">
        <w:rPr>
          <w:rFonts w:asciiTheme="majorHAnsi" w:hAnsiTheme="majorHAnsi" w:cstheme="majorBidi"/>
          <w:sz w:val="23"/>
          <w:szCs w:val="23"/>
        </w:rPr>
        <w:t>October 2020 is 29.35</w:t>
      </w:r>
      <w:r w:rsidR="004B36AE" w:rsidRPr="778E395A">
        <w:rPr>
          <w:rFonts w:asciiTheme="majorHAnsi" w:hAnsiTheme="majorHAnsi" w:cstheme="majorBidi"/>
          <w:sz w:val="23"/>
          <w:szCs w:val="23"/>
        </w:rPr>
        <w:t xml:space="preserve"> percent</w:t>
      </w:r>
      <w:r w:rsidRPr="778E395A">
        <w:rPr>
          <w:rFonts w:asciiTheme="majorHAnsi" w:hAnsiTheme="majorHAnsi" w:cstheme="majorBidi"/>
          <w:sz w:val="23"/>
          <w:szCs w:val="23"/>
        </w:rPr>
        <w:t xml:space="preserve">, slightly lower than the </w:t>
      </w:r>
      <w:r w:rsidR="004B36AE" w:rsidRPr="778E395A">
        <w:rPr>
          <w:rFonts w:asciiTheme="majorHAnsi" w:hAnsiTheme="majorHAnsi" w:cstheme="majorBidi"/>
          <w:sz w:val="23"/>
          <w:szCs w:val="23"/>
        </w:rPr>
        <w:t xml:space="preserve">rate for </w:t>
      </w:r>
      <w:r w:rsidRPr="778E395A">
        <w:rPr>
          <w:rFonts w:asciiTheme="majorHAnsi" w:hAnsiTheme="majorHAnsi" w:cstheme="majorBidi"/>
          <w:sz w:val="23"/>
          <w:szCs w:val="23"/>
        </w:rPr>
        <w:t xml:space="preserve">Greater </w:t>
      </w:r>
      <w:r w:rsidRPr="00FA6B7C">
        <w:rPr>
          <w:rFonts w:asciiTheme="majorHAnsi" w:hAnsiTheme="majorHAnsi" w:cstheme="majorBidi"/>
          <w:sz w:val="23"/>
          <w:szCs w:val="23"/>
        </w:rPr>
        <w:t>Geelong (32.7</w:t>
      </w:r>
      <w:r w:rsidR="3A749B42" w:rsidRPr="00FA6B7C">
        <w:rPr>
          <w:rFonts w:asciiTheme="majorHAnsi" w:hAnsiTheme="majorHAnsi" w:cstheme="majorBidi"/>
          <w:sz w:val="23"/>
          <w:szCs w:val="23"/>
        </w:rPr>
        <w:t>3</w:t>
      </w:r>
      <w:r w:rsidR="004B36AE" w:rsidRPr="00FA6B7C">
        <w:rPr>
          <w:rFonts w:asciiTheme="majorHAnsi" w:hAnsiTheme="majorHAnsi" w:cstheme="majorBidi"/>
          <w:sz w:val="23"/>
          <w:szCs w:val="23"/>
        </w:rPr>
        <w:t xml:space="preserve"> percent</w:t>
      </w:r>
      <w:r w:rsidRPr="00FA6B7C">
        <w:rPr>
          <w:rFonts w:asciiTheme="majorHAnsi" w:hAnsiTheme="majorHAnsi" w:cstheme="majorBidi"/>
          <w:sz w:val="23"/>
          <w:szCs w:val="23"/>
        </w:rPr>
        <w:t>), but</w:t>
      </w:r>
      <w:r w:rsidRPr="778E395A">
        <w:rPr>
          <w:rFonts w:asciiTheme="majorHAnsi" w:hAnsiTheme="majorHAnsi" w:cstheme="majorBidi"/>
          <w:sz w:val="23"/>
          <w:szCs w:val="23"/>
        </w:rPr>
        <w:t xml:space="preserve"> much higher than the growth </w:t>
      </w:r>
      <w:r w:rsidR="004B36AE" w:rsidRPr="778E395A">
        <w:rPr>
          <w:rFonts w:asciiTheme="majorHAnsi" w:hAnsiTheme="majorHAnsi" w:cstheme="majorBidi"/>
          <w:sz w:val="23"/>
          <w:szCs w:val="23"/>
        </w:rPr>
        <w:t>for</w:t>
      </w:r>
      <w:r w:rsidRPr="778E395A">
        <w:rPr>
          <w:rFonts w:asciiTheme="majorHAnsi" w:hAnsiTheme="majorHAnsi" w:cstheme="majorBidi"/>
          <w:sz w:val="23"/>
          <w:szCs w:val="23"/>
        </w:rPr>
        <w:t xml:space="preserve"> Regional Victoria (15.25</w:t>
      </w:r>
      <w:r w:rsidR="004B36AE" w:rsidRPr="778E395A">
        <w:rPr>
          <w:rFonts w:asciiTheme="majorHAnsi" w:hAnsiTheme="majorHAnsi" w:cstheme="majorBidi"/>
          <w:sz w:val="23"/>
          <w:szCs w:val="23"/>
        </w:rPr>
        <w:t xml:space="preserve"> percent</w:t>
      </w:r>
      <w:r w:rsidRPr="778E395A">
        <w:rPr>
          <w:rFonts w:asciiTheme="majorHAnsi" w:hAnsiTheme="majorHAnsi" w:cstheme="majorBidi"/>
          <w:sz w:val="23"/>
          <w:szCs w:val="23"/>
        </w:rPr>
        <w:t>), Greater Melbourne (8.72</w:t>
      </w:r>
      <w:r w:rsidR="004B36AE" w:rsidRPr="778E395A">
        <w:rPr>
          <w:rFonts w:asciiTheme="majorHAnsi" w:hAnsiTheme="majorHAnsi" w:cstheme="majorBidi"/>
          <w:sz w:val="23"/>
          <w:szCs w:val="23"/>
        </w:rPr>
        <w:t xml:space="preserve"> percent</w:t>
      </w:r>
      <w:r w:rsidRPr="778E395A">
        <w:rPr>
          <w:rFonts w:asciiTheme="majorHAnsi" w:hAnsiTheme="majorHAnsi" w:cstheme="majorBidi"/>
          <w:sz w:val="23"/>
          <w:szCs w:val="23"/>
        </w:rPr>
        <w:t>), and the whole of Victoria (10.82</w:t>
      </w:r>
      <w:r w:rsidR="004B36AE" w:rsidRPr="778E395A">
        <w:rPr>
          <w:rFonts w:asciiTheme="majorHAnsi" w:hAnsiTheme="majorHAnsi" w:cstheme="majorBidi"/>
          <w:sz w:val="23"/>
          <w:szCs w:val="23"/>
        </w:rPr>
        <w:t xml:space="preserve"> percent</w:t>
      </w:r>
      <w:r w:rsidRPr="778E395A">
        <w:rPr>
          <w:rFonts w:asciiTheme="majorHAnsi" w:hAnsiTheme="majorHAnsi" w:cstheme="majorBidi"/>
          <w:sz w:val="23"/>
          <w:szCs w:val="23"/>
        </w:rPr>
        <w:t>) during the same period. Similar to the trend of unit value, the growth of unit rental price</w:t>
      </w:r>
      <w:r w:rsidR="004B36AE" w:rsidRPr="778E395A">
        <w:rPr>
          <w:rFonts w:asciiTheme="majorHAnsi" w:hAnsiTheme="majorHAnsi" w:cstheme="majorBidi"/>
          <w:sz w:val="23"/>
          <w:szCs w:val="23"/>
        </w:rPr>
        <w:t xml:space="preserve"> for the </w:t>
      </w:r>
      <w:r w:rsidRPr="778E395A">
        <w:rPr>
          <w:rFonts w:asciiTheme="majorHAnsi" w:hAnsiTheme="majorHAnsi" w:cstheme="majorBidi"/>
          <w:sz w:val="23"/>
          <w:szCs w:val="23"/>
        </w:rPr>
        <w:t>three focal suburbs (21.6</w:t>
      </w:r>
      <w:r w:rsidR="004B36AE" w:rsidRPr="778E395A">
        <w:rPr>
          <w:rFonts w:asciiTheme="majorHAnsi" w:hAnsiTheme="majorHAnsi" w:cstheme="majorBidi"/>
          <w:sz w:val="23"/>
          <w:szCs w:val="23"/>
        </w:rPr>
        <w:t xml:space="preserve"> percent</w:t>
      </w:r>
      <w:r w:rsidRPr="778E395A">
        <w:rPr>
          <w:rFonts w:asciiTheme="majorHAnsi" w:hAnsiTheme="majorHAnsi" w:cstheme="majorBidi"/>
          <w:sz w:val="23"/>
          <w:szCs w:val="23"/>
        </w:rPr>
        <w:t>) and Greater Geelong (11.6</w:t>
      </w:r>
      <w:r w:rsidR="004B36AE" w:rsidRPr="778E395A">
        <w:rPr>
          <w:rFonts w:asciiTheme="majorHAnsi" w:hAnsiTheme="majorHAnsi" w:cstheme="majorBidi"/>
          <w:sz w:val="23"/>
          <w:szCs w:val="23"/>
        </w:rPr>
        <w:t xml:space="preserve"> percent</w:t>
      </w:r>
      <w:r w:rsidRPr="778E395A">
        <w:rPr>
          <w:rFonts w:asciiTheme="majorHAnsi" w:hAnsiTheme="majorHAnsi" w:cstheme="majorBidi"/>
          <w:sz w:val="23"/>
          <w:szCs w:val="23"/>
        </w:rPr>
        <w:t xml:space="preserve">) also outperforms the other reference groups. More importantly, the unit rental price has been declining dramatically in Greater Melbourne since early 2020 because of the outbreak of </w:t>
      </w:r>
      <w:r w:rsidR="00940D80" w:rsidRPr="778E395A">
        <w:rPr>
          <w:rFonts w:asciiTheme="majorHAnsi" w:hAnsiTheme="majorHAnsi" w:cstheme="majorBidi"/>
          <w:sz w:val="23"/>
          <w:szCs w:val="23"/>
        </w:rPr>
        <w:t>COVID</w:t>
      </w:r>
      <w:r w:rsidRPr="778E395A">
        <w:rPr>
          <w:rFonts w:asciiTheme="majorHAnsi" w:hAnsiTheme="majorHAnsi" w:cstheme="majorBidi"/>
          <w:sz w:val="23"/>
          <w:szCs w:val="23"/>
        </w:rPr>
        <w:t xml:space="preserve">-19, but the drop of unit rental cost in Greater Geelong is much lower. However, the unit rental price in the three focal suburbs continued to grow after March 2020, regardless of the </w:t>
      </w:r>
      <w:r w:rsidR="00940D80" w:rsidRPr="778E395A">
        <w:rPr>
          <w:rFonts w:asciiTheme="majorHAnsi" w:hAnsiTheme="majorHAnsi" w:cstheme="majorBidi"/>
          <w:sz w:val="23"/>
          <w:szCs w:val="23"/>
        </w:rPr>
        <w:t>COVID</w:t>
      </w:r>
      <w:r w:rsidR="004B36AE" w:rsidRPr="778E395A">
        <w:rPr>
          <w:rFonts w:asciiTheme="majorHAnsi" w:hAnsiTheme="majorHAnsi" w:cstheme="majorBidi"/>
          <w:sz w:val="23"/>
          <w:szCs w:val="23"/>
        </w:rPr>
        <w:t>-19</w:t>
      </w:r>
      <w:r w:rsidRPr="778E395A">
        <w:rPr>
          <w:rFonts w:asciiTheme="majorHAnsi" w:hAnsiTheme="majorHAnsi" w:cstheme="majorBidi"/>
          <w:sz w:val="23"/>
          <w:szCs w:val="23"/>
        </w:rPr>
        <w:t xml:space="preserve"> pandemic.</w:t>
      </w:r>
    </w:p>
    <w:p w14:paraId="036AA81B" w14:textId="77777777" w:rsidR="004B36AE" w:rsidRDefault="004B36AE" w:rsidP="00827892">
      <w:pPr>
        <w:spacing w:before="120" w:after="120" w:line="276" w:lineRule="auto"/>
        <w:rPr>
          <w:rFonts w:asciiTheme="majorHAnsi" w:hAnsiTheme="majorHAnsi" w:cstheme="majorHAnsi"/>
          <w:sz w:val="23"/>
          <w:szCs w:val="23"/>
        </w:rPr>
      </w:pPr>
      <w:r>
        <w:rPr>
          <w:rFonts w:asciiTheme="majorHAnsi" w:hAnsiTheme="majorHAnsi" w:cstheme="majorHAnsi"/>
          <w:sz w:val="23"/>
          <w:szCs w:val="23"/>
        </w:rPr>
        <w:t>The</w:t>
      </w:r>
      <w:r w:rsidR="00F00E3D" w:rsidRPr="00E91887">
        <w:rPr>
          <w:rFonts w:asciiTheme="majorHAnsi" w:hAnsiTheme="majorHAnsi" w:cstheme="majorHAnsi"/>
          <w:sz w:val="23"/>
          <w:szCs w:val="23"/>
        </w:rPr>
        <w:t xml:space="preserve"> average transactional prices of house</w:t>
      </w:r>
      <w:r>
        <w:rPr>
          <w:rFonts w:asciiTheme="majorHAnsi" w:hAnsiTheme="majorHAnsi" w:cstheme="majorHAnsi"/>
          <w:sz w:val="23"/>
          <w:szCs w:val="23"/>
        </w:rPr>
        <w:t>s</w:t>
      </w:r>
      <w:r w:rsidR="00F00E3D" w:rsidRPr="00E91887">
        <w:rPr>
          <w:rFonts w:asciiTheme="majorHAnsi" w:hAnsiTheme="majorHAnsi" w:cstheme="majorHAnsi"/>
          <w:sz w:val="23"/>
          <w:szCs w:val="23"/>
        </w:rPr>
        <w:t xml:space="preserve"> and unit</w:t>
      </w:r>
      <w:r>
        <w:rPr>
          <w:rFonts w:asciiTheme="majorHAnsi" w:hAnsiTheme="majorHAnsi" w:cstheme="majorHAnsi"/>
          <w:sz w:val="23"/>
          <w:szCs w:val="23"/>
        </w:rPr>
        <w:t>s</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 xml:space="preserve">in </w:t>
      </w:r>
      <w:r w:rsidR="00F00E3D" w:rsidRPr="00E91887">
        <w:rPr>
          <w:rFonts w:asciiTheme="majorHAnsi" w:hAnsiTheme="majorHAnsi" w:cstheme="majorHAnsi"/>
          <w:sz w:val="23"/>
          <w:szCs w:val="23"/>
        </w:rPr>
        <w:t>the three focal suburbs from</w:t>
      </w:r>
      <w:r>
        <w:rPr>
          <w:rFonts w:asciiTheme="majorHAnsi" w:hAnsiTheme="majorHAnsi" w:cstheme="majorHAnsi"/>
          <w:sz w:val="23"/>
          <w:szCs w:val="23"/>
        </w:rPr>
        <w:t xml:space="preserve"> 1</w:t>
      </w:r>
      <w:r w:rsidR="00F00E3D" w:rsidRPr="00E91887">
        <w:rPr>
          <w:rFonts w:asciiTheme="majorHAnsi" w:hAnsiTheme="majorHAnsi" w:cstheme="majorHAnsi"/>
          <w:sz w:val="23"/>
          <w:szCs w:val="23"/>
        </w:rPr>
        <w:t xml:space="preserve"> January 2020 to</w:t>
      </w:r>
      <w:r>
        <w:rPr>
          <w:rFonts w:asciiTheme="majorHAnsi" w:hAnsiTheme="majorHAnsi" w:cstheme="majorHAnsi"/>
          <w:sz w:val="23"/>
          <w:szCs w:val="23"/>
        </w:rPr>
        <w:t xml:space="preserve"> 31 </w:t>
      </w:r>
      <w:r w:rsidR="00F00E3D" w:rsidRPr="00E91887">
        <w:rPr>
          <w:rFonts w:asciiTheme="majorHAnsi" w:hAnsiTheme="majorHAnsi" w:cstheme="majorHAnsi"/>
          <w:sz w:val="23"/>
          <w:szCs w:val="23"/>
        </w:rPr>
        <w:t>October 2020 are $384,539.9 and $366,150.9</w:t>
      </w:r>
      <w:r>
        <w:rPr>
          <w:rFonts w:asciiTheme="majorHAnsi" w:hAnsiTheme="majorHAnsi" w:cstheme="majorHAnsi"/>
          <w:sz w:val="23"/>
          <w:szCs w:val="23"/>
        </w:rPr>
        <w:t xml:space="preserve"> respectively</w:t>
      </w:r>
      <w:r w:rsidR="00F00E3D" w:rsidRPr="00E91887">
        <w:rPr>
          <w:rFonts w:asciiTheme="majorHAnsi" w:hAnsiTheme="majorHAnsi" w:cstheme="majorHAnsi"/>
          <w:sz w:val="23"/>
          <w:szCs w:val="23"/>
        </w:rPr>
        <w:t xml:space="preserve">, lower than that of Greater Geelong ($603,725.7 and $478,179.9), Metropolitan Melbourne ($913,772.3 and $615,105.4), and the whole Victoria ($749,952.4 and $582,934.1). Also, the average rental prices of house and units </w:t>
      </w:r>
      <w:r>
        <w:rPr>
          <w:rFonts w:asciiTheme="majorHAnsi" w:hAnsiTheme="majorHAnsi" w:cstheme="majorHAnsi"/>
          <w:sz w:val="23"/>
          <w:szCs w:val="23"/>
        </w:rPr>
        <w:t>for</w:t>
      </w:r>
      <w:r w:rsidR="00F00E3D" w:rsidRPr="00E91887">
        <w:rPr>
          <w:rFonts w:asciiTheme="majorHAnsi" w:hAnsiTheme="majorHAnsi" w:cstheme="majorHAnsi"/>
          <w:sz w:val="23"/>
          <w:szCs w:val="23"/>
        </w:rPr>
        <w:t xml:space="preserve"> the three focal suburbs in the same period are $306 and $208 per week</w:t>
      </w:r>
      <w:r>
        <w:rPr>
          <w:rFonts w:asciiTheme="majorHAnsi" w:hAnsiTheme="majorHAnsi" w:cstheme="majorHAnsi"/>
          <w:sz w:val="23"/>
          <w:szCs w:val="23"/>
        </w:rPr>
        <w:t xml:space="preserve"> respectively</w:t>
      </w:r>
      <w:r w:rsidR="00F00E3D" w:rsidRPr="00E91887">
        <w:rPr>
          <w:rFonts w:asciiTheme="majorHAnsi" w:hAnsiTheme="majorHAnsi" w:cstheme="majorHAnsi"/>
          <w:sz w:val="23"/>
          <w:szCs w:val="23"/>
        </w:rPr>
        <w:t>, lower than that of Greater Geelong ($440 and $353), Metropolitan Melbourne ($624 and $524), and the whole</w:t>
      </w:r>
      <w:r>
        <w:rPr>
          <w:rFonts w:asciiTheme="majorHAnsi" w:hAnsiTheme="majorHAnsi" w:cstheme="majorHAnsi"/>
          <w:sz w:val="23"/>
          <w:szCs w:val="23"/>
        </w:rPr>
        <w:t xml:space="preserve"> of</w:t>
      </w:r>
      <w:r w:rsidR="00F00E3D" w:rsidRPr="00E91887">
        <w:rPr>
          <w:rFonts w:asciiTheme="majorHAnsi" w:hAnsiTheme="majorHAnsi" w:cstheme="majorHAnsi"/>
          <w:sz w:val="23"/>
          <w:szCs w:val="23"/>
        </w:rPr>
        <w:t xml:space="preserve"> Victoria ($634 pw and $550 pw).</w:t>
      </w:r>
    </w:p>
    <w:p w14:paraId="0E1CFB5B" w14:textId="247F40F1" w:rsidR="00641972" w:rsidRDefault="004B36AE" w:rsidP="6A3610E4">
      <w:pPr>
        <w:spacing w:before="120" w:after="120" w:line="276" w:lineRule="auto"/>
        <w:rPr>
          <w:rFonts w:asciiTheme="majorHAnsi" w:hAnsiTheme="majorHAnsi" w:cstheme="majorBidi"/>
          <w:sz w:val="23"/>
          <w:szCs w:val="23"/>
        </w:rPr>
      </w:pPr>
      <w:r w:rsidRPr="6A3610E4">
        <w:rPr>
          <w:rFonts w:asciiTheme="majorHAnsi" w:hAnsiTheme="majorHAnsi" w:cstheme="majorBidi"/>
          <w:sz w:val="23"/>
          <w:szCs w:val="23"/>
        </w:rPr>
        <w:t>While</w:t>
      </w:r>
      <w:r w:rsidR="00F00E3D" w:rsidRPr="6A3610E4">
        <w:rPr>
          <w:rFonts w:asciiTheme="majorHAnsi" w:hAnsiTheme="majorHAnsi" w:cstheme="majorBidi"/>
          <w:sz w:val="23"/>
          <w:szCs w:val="23"/>
        </w:rPr>
        <w:t xml:space="preserve"> the current housing cost </w:t>
      </w:r>
      <w:r w:rsidR="00641972" w:rsidRPr="6A3610E4">
        <w:rPr>
          <w:rFonts w:asciiTheme="majorHAnsi" w:hAnsiTheme="majorHAnsi" w:cstheme="majorBidi"/>
          <w:sz w:val="23"/>
          <w:szCs w:val="23"/>
        </w:rPr>
        <w:t>in</w:t>
      </w:r>
      <w:r w:rsidR="00F00E3D" w:rsidRPr="6A3610E4">
        <w:rPr>
          <w:rFonts w:asciiTheme="majorHAnsi" w:hAnsiTheme="majorHAnsi" w:cstheme="majorBidi"/>
          <w:sz w:val="23"/>
          <w:szCs w:val="23"/>
        </w:rPr>
        <w:t xml:space="preserve"> the three focal suburbs </w:t>
      </w:r>
      <w:r w:rsidRPr="6A3610E4">
        <w:rPr>
          <w:rFonts w:asciiTheme="majorHAnsi" w:hAnsiTheme="majorHAnsi" w:cstheme="majorBidi"/>
          <w:sz w:val="23"/>
          <w:szCs w:val="23"/>
        </w:rPr>
        <w:t>is</w:t>
      </w:r>
      <w:r w:rsidR="00F00E3D" w:rsidRPr="6A3610E4">
        <w:rPr>
          <w:rFonts w:asciiTheme="majorHAnsi" w:hAnsiTheme="majorHAnsi" w:cstheme="majorBidi"/>
          <w:sz w:val="23"/>
          <w:szCs w:val="23"/>
        </w:rPr>
        <w:t xml:space="preserve"> lower than </w:t>
      </w:r>
      <w:r w:rsidR="00641972" w:rsidRPr="6A3610E4">
        <w:rPr>
          <w:rFonts w:asciiTheme="majorHAnsi" w:hAnsiTheme="majorHAnsi" w:cstheme="majorBidi"/>
          <w:sz w:val="23"/>
          <w:szCs w:val="23"/>
        </w:rPr>
        <w:t xml:space="preserve">in </w:t>
      </w:r>
      <w:r w:rsidR="00F00E3D" w:rsidRPr="6A3610E4">
        <w:rPr>
          <w:rFonts w:asciiTheme="majorHAnsi" w:hAnsiTheme="majorHAnsi" w:cstheme="majorBidi"/>
          <w:sz w:val="23"/>
          <w:szCs w:val="23"/>
        </w:rPr>
        <w:t>Greater Melbourne, Greater Geelong, and the rest of Victoria, the growth rate of housing costs</w:t>
      </w:r>
      <w:r w:rsidR="00641972" w:rsidRPr="6A3610E4">
        <w:rPr>
          <w:rFonts w:asciiTheme="majorHAnsi" w:hAnsiTheme="majorHAnsi" w:cstheme="majorBidi"/>
          <w:sz w:val="23"/>
          <w:szCs w:val="23"/>
        </w:rPr>
        <w:t xml:space="preserve"> in these suburbs –</w:t>
      </w:r>
      <w:r w:rsidR="00F00E3D" w:rsidRPr="6A3610E4">
        <w:rPr>
          <w:rFonts w:asciiTheme="majorHAnsi" w:hAnsiTheme="majorHAnsi" w:cstheme="majorBidi"/>
          <w:sz w:val="23"/>
          <w:szCs w:val="23"/>
        </w:rPr>
        <w:t xml:space="preserve"> especially the unit rental cost</w:t>
      </w:r>
      <w:r w:rsidR="00641972" w:rsidRPr="6A3610E4">
        <w:rPr>
          <w:rFonts w:asciiTheme="majorHAnsi" w:hAnsiTheme="majorHAnsi" w:cstheme="majorBidi"/>
          <w:sz w:val="23"/>
          <w:szCs w:val="23"/>
        </w:rPr>
        <w:t xml:space="preserve"> – </w:t>
      </w:r>
      <w:r w:rsidR="00F00E3D" w:rsidRPr="6A3610E4">
        <w:rPr>
          <w:rFonts w:asciiTheme="majorHAnsi" w:hAnsiTheme="majorHAnsi" w:cstheme="majorBidi"/>
          <w:sz w:val="23"/>
          <w:szCs w:val="23"/>
        </w:rPr>
        <w:t>increased much more than these reference groups</w:t>
      </w:r>
      <w:r w:rsidR="00641972" w:rsidRPr="6A3610E4">
        <w:rPr>
          <w:rFonts w:asciiTheme="majorHAnsi" w:hAnsiTheme="majorHAnsi" w:cstheme="majorBidi"/>
          <w:sz w:val="23"/>
          <w:szCs w:val="23"/>
        </w:rPr>
        <w:t xml:space="preserve"> over the past six years</w:t>
      </w:r>
      <w:r w:rsidR="00F00E3D" w:rsidRPr="6A3610E4">
        <w:rPr>
          <w:rFonts w:asciiTheme="majorHAnsi" w:hAnsiTheme="majorHAnsi" w:cstheme="majorBidi"/>
          <w:sz w:val="23"/>
          <w:szCs w:val="23"/>
        </w:rPr>
        <w:t xml:space="preserve">. </w:t>
      </w:r>
      <w:r w:rsidR="00641972" w:rsidRPr="6A3610E4">
        <w:rPr>
          <w:rFonts w:asciiTheme="majorHAnsi" w:hAnsiTheme="majorHAnsi" w:cstheme="majorBidi"/>
          <w:sz w:val="23"/>
          <w:szCs w:val="23"/>
        </w:rPr>
        <w:t>The main factors</w:t>
      </w:r>
      <w:r w:rsidR="00F00E3D" w:rsidRPr="6A3610E4">
        <w:rPr>
          <w:rFonts w:asciiTheme="majorHAnsi" w:hAnsiTheme="majorHAnsi" w:cstheme="majorBidi"/>
          <w:sz w:val="23"/>
          <w:szCs w:val="23"/>
        </w:rPr>
        <w:t xml:space="preserve"> </w:t>
      </w:r>
      <w:r w:rsidR="00641972" w:rsidRPr="6A3610E4">
        <w:rPr>
          <w:rFonts w:asciiTheme="majorHAnsi" w:hAnsiTheme="majorHAnsi" w:cstheme="majorBidi"/>
          <w:sz w:val="23"/>
          <w:szCs w:val="23"/>
        </w:rPr>
        <w:t>driving this rapid</w:t>
      </w:r>
      <w:r w:rsidR="00F00E3D" w:rsidRPr="6A3610E4">
        <w:rPr>
          <w:rFonts w:asciiTheme="majorHAnsi" w:hAnsiTheme="majorHAnsi" w:cstheme="majorBidi"/>
          <w:sz w:val="23"/>
          <w:szCs w:val="23"/>
        </w:rPr>
        <w:t xml:space="preserve"> increase </w:t>
      </w:r>
      <w:r w:rsidR="00641972" w:rsidRPr="6A3610E4">
        <w:rPr>
          <w:rFonts w:asciiTheme="majorHAnsi" w:hAnsiTheme="majorHAnsi" w:cstheme="majorBidi"/>
          <w:sz w:val="23"/>
          <w:szCs w:val="23"/>
        </w:rPr>
        <w:t>in</w:t>
      </w:r>
      <w:r w:rsidR="00F00E3D" w:rsidRPr="6A3610E4">
        <w:rPr>
          <w:rFonts w:asciiTheme="majorHAnsi" w:hAnsiTheme="majorHAnsi" w:cstheme="majorBidi"/>
          <w:sz w:val="23"/>
          <w:szCs w:val="23"/>
        </w:rPr>
        <w:t xml:space="preserve"> housing cost </w:t>
      </w:r>
      <w:r w:rsidR="00641972" w:rsidRPr="6A3610E4">
        <w:rPr>
          <w:rFonts w:asciiTheme="majorHAnsi" w:hAnsiTheme="majorHAnsi" w:cstheme="majorBidi"/>
          <w:sz w:val="23"/>
          <w:szCs w:val="23"/>
        </w:rPr>
        <w:t>with</w:t>
      </w:r>
      <w:r w:rsidR="00F00E3D" w:rsidRPr="6A3610E4">
        <w:rPr>
          <w:rFonts w:asciiTheme="majorHAnsi" w:hAnsiTheme="majorHAnsi" w:cstheme="majorBidi"/>
          <w:sz w:val="23"/>
          <w:szCs w:val="23"/>
        </w:rPr>
        <w:t>in the focal suburbs could include</w:t>
      </w:r>
      <w:r w:rsidR="00641972" w:rsidRPr="6A3610E4">
        <w:rPr>
          <w:rFonts w:asciiTheme="majorHAnsi" w:hAnsiTheme="majorHAnsi" w:cstheme="majorBidi"/>
          <w:sz w:val="23"/>
          <w:szCs w:val="23"/>
        </w:rPr>
        <w:t xml:space="preserve"> </w:t>
      </w:r>
      <w:r w:rsidR="00F00E3D" w:rsidRPr="6A3610E4">
        <w:rPr>
          <w:rFonts w:asciiTheme="majorHAnsi" w:hAnsiTheme="majorHAnsi" w:cstheme="majorBidi"/>
          <w:sz w:val="23"/>
          <w:szCs w:val="23"/>
        </w:rPr>
        <w:t>Victoria</w:t>
      </w:r>
      <w:r w:rsidR="00641972" w:rsidRPr="6A3610E4">
        <w:rPr>
          <w:rFonts w:asciiTheme="majorHAnsi" w:hAnsiTheme="majorHAnsi" w:cstheme="majorBidi"/>
          <w:sz w:val="23"/>
          <w:szCs w:val="23"/>
        </w:rPr>
        <w:t>’s population growth</w:t>
      </w:r>
      <w:r w:rsidR="00F00E3D" w:rsidRPr="6A3610E4">
        <w:rPr>
          <w:rFonts w:asciiTheme="majorHAnsi" w:hAnsiTheme="majorHAnsi" w:cstheme="majorBidi"/>
          <w:sz w:val="23"/>
          <w:szCs w:val="23"/>
        </w:rPr>
        <w:t xml:space="preserve"> </w:t>
      </w:r>
      <w:r w:rsidR="00641972" w:rsidRPr="6A3610E4">
        <w:rPr>
          <w:rFonts w:asciiTheme="majorHAnsi" w:hAnsiTheme="majorHAnsi" w:cstheme="majorBidi"/>
          <w:sz w:val="23"/>
          <w:szCs w:val="23"/>
        </w:rPr>
        <w:t>over</w:t>
      </w:r>
      <w:r w:rsidR="00F00E3D" w:rsidRPr="6A3610E4">
        <w:rPr>
          <w:rFonts w:asciiTheme="majorHAnsi" w:hAnsiTheme="majorHAnsi" w:cstheme="majorBidi"/>
          <w:sz w:val="23"/>
          <w:szCs w:val="23"/>
        </w:rPr>
        <w:t xml:space="preserve"> recent </w:t>
      </w:r>
      <w:r w:rsidR="00F00E3D" w:rsidRPr="00F16880">
        <w:rPr>
          <w:rFonts w:asciiTheme="majorHAnsi" w:hAnsiTheme="majorHAnsi" w:cstheme="majorBidi"/>
          <w:sz w:val="23"/>
          <w:szCs w:val="23"/>
        </w:rPr>
        <w:t>years</w:t>
      </w:r>
      <w:r w:rsidR="00641972" w:rsidRPr="00F16880">
        <w:rPr>
          <w:rFonts w:asciiTheme="majorHAnsi" w:hAnsiTheme="majorHAnsi" w:cstheme="majorBidi"/>
          <w:sz w:val="23"/>
          <w:szCs w:val="23"/>
        </w:rPr>
        <w:t xml:space="preserve">, and the </w:t>
      </w:r>
      <w:r w:rsidR="63A6B6AE" w:rsidRPr="00F16880">
        <w:rPr>
          <w:rFonts w:asciiTheme="majorHAnsi" w:hAnsiTheme="majorHAnsi" w:cstheme="majorBidi"/>
          <w:sz w:val="23"/>
          <w:szCs w:val="23"/>
        </w:rPr>
        <w:t xml:space="preserve">Regional </w:t>
      </w:r>
      <w:r w:rsidR="00F00E3D" w:rsidRPr="00F16880">
        <w:rPr>
          <w:rFonts w:asciiTheme="majorHAnsi" w:hAnsiTheme="majorHAnsi" w:cstheme="majorBidi"/>
          <w:sz w:val="23"/>
          <w:szCs w:val="23"/>
        </w:rPr>
        <w:t>Victorian</w:t>
      </w:r>
      <w:r w:rsidR="53936DFF" w:rsidRPr="00F16880">
        <w:rPr>
          <w:rFonts w:asciiTheme="majorHAnsi" w:hAnsiTheme="majorHAnsi" w:cstheme="majorBidi"/>
          <w:sz w:val="23"/>
          <w:szCs w:val="23"/>
        </w:rPr>
        <w:t xml:space="preserve"> First </w:t>
      </w:r>
      <w:r w:rsidR="00F00E3D" w:rsidRPr="00F16880">
        <w:rPr>
          <w:rFonts w:asciiTheme="majorHAnsi" w:hAnsiTheme="majorHAnsi" w:cstheme="majorBidi"/>
          <w:sz w:val="23"/>
          <w:szCs w:val="23"/>
        </w:rPr>
        <w:t>package</w:t>
      </w:r>
      <w:r w:rsidR="00641972" w:rsidRPr="00F16880">
        <w:rPr>
          <w:rFonts w:asciiTheme="majorHAnsi" w:hAnsiTheme="majorHAnsi" w:cstheme="majorBidi"/>
          <w:sz w:val="23"/>
          <w:szCs w:val="23"/>
        </w:rPr>
        <w:t>, which</w:t>
      </w:r>
      <w:r w:rsidR="00F00E3D" w:rsidRPr="00F16880">
        <w:rPr>
          <w:rFonts w:asciiTheme="majorHAnsi" w:hAnsiTheme="majorHAnsi" w:cstheme="majorBidi"/>
          <w:sz w:val="23"/>
          <w:szCs w:val="23"/>
        </w:rPr>
        <w:t xml:space="preserve"> encourages</w:t>
      </w:r>
      <w:r w:rsidR="00F00E3D" w:rsidRPr="6A3610E4">
        <w:rPr>
          <w:rFonts w:asciiTheme="majorHAnsi" w:hAnsiTheme="majorHAnsi" w:cstheme="majorBidi"/>
          <w:sz w:val="23"/>
          <w:szCs w:val="23"/>
        </w:rPr>
        <w:t xml:space="preserve"> first home buyers to purchase property in </w:t>
      </w:r>
      <w:r w:rsidR="7D734029" w:rsidRPr="6A3610E4">
        <w:rPr>
          <w:rFonts w:asciiTheme="majorHAnsi" w:hAnsiTheme="majorHAnsi" w:cstheme="majorBidi"/>
          <w:sz w:val="23"/>
          <w:szCs w:val="23"/>
        </w:rPr>
        <w:t>regional</w:t>
      </w:r>
      <w:r w:rsidR="00F00E3D" w:rsidRPr="6A3610E4">
        <w:rPr>
          <w:rFonts w:asciiTheme="majorHAnsi" w:hAnsiTheme="majorHAnsi" w:cstheme="majorBidi"/>
          <w:sz w:val="23"/>
          <w:szCs w:val="23"/>
        </w:rPr>
        <w:t xml:space="preserve"> areas.</w:t>
      </w:r>
    </w:p>
    <w:p w14:paraId="7A0EDDB1" w14:textId="42E60A11" w:rsidR="00F00E3D" w:rsidRPr="00E91887" w:rsidRDefault="00641972" w:rsidP="00827892">
      <w:pPr>
        <w:spacing w:before="120" w:after="120" w:line="276" w:lineRule="auto"/>
        <w:rPr>
          <w:rFonts w:asciiTheme="majorHAnsi" w:hAnsiTheme="majorHAnsi" w:cstheme="majorHAnsi"/>
          <w:sz w:val="23"/>
          <w:szCs w:val="23"/>
        </w:rPr>
      </w:pPr>
      <w:r>
        <w:rPr>
          <w:rFonts w:asciiTheme="majorHAnsi" w:hAnsiTheme="majorHAnsi" w:cstheme="majorHAnsi"/>
          <w:sz w:val="23"/>
          <w:szCs w:val="23"/>
        </w:rPr>
        <w:t xml:space="preserve">In addition, </w:t>
      </w:r>
      <w:r w:rsidR="00F00E3D" w:rsidRPr="00E91887">
        <w:rPr>
          <w:rFonts w:asciiTheme="majorHAnsi" w:hAnsiTheme="majorHAnsi" w:cstheme="majorHAnsi"/>
          <w:sz w:val="23"/>
          <w:szCs w:val="23"/>
        </w:rPr>
        <w:t xml:space="preserve">Geelong has been growing relatively fast </w:t>
      </w:r>
      <w:r>
        <w:rPr>
          <w:rFonts w:asciiTheme="majorHAnsi" w:hAnsiTheme="majorHAnsi" w:cstheme="majorHAnsi"/>
          <w:sz w:val="23"/>
          <w:szCs w:val="23"/>
        </w:rPr>
        <w:t>since</w:t>
      </w:r>
      <w:r w:rsidR="00F00E3D" w:rsidRPr="00E91887">
        <w:rPr>
          <w:rFonts w:asciiTheme="majorHAnsi" w:hAnsiTheme="majorHAnsi" w:cstheme="majorHAnsi"/>
          <w:sz w:val="23"/>
          <w:szCs w:val="23"/>
        </w:rPr>
        <w:t xml:space="preserve"> 2015</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while the </w:t>
      </w:r>
      <w:r w:rsidR="00940D80">
        <w:rPr>
          <w:rFonts w:asciiTheme="majorHAnsi" w:hAnsiTheme="majorHAnsi" w:cstheme="majorHAnsi"/>
          <w:sz w:val="23"/>
          <w:szCs w:val="23"/>
        </w:rPr>
        <w:t>COVID</w:t>
      </w:r>
      <w:r w:rsidR="00F00E3D" w:rsidRPr="00E91887">
        <w:rPr>
          <w:rFonts w:asciiTheme="majorHAnsi" w:hAnsiTheme="majorHAnsi" w:cstheme="majorHAnsi"/>
          <w:sz w:val="23"/>
          <w:szCs w:val="23"/>
        </w:rPr>
        <w:t xml:space="preserve">-19 pandemic </w:t>
      </w:r>
      <w:r>
        <w:rPr>
          <w:rFonts w:asciiTheme="majorHAnsi" w:hAnsiTheme="majorHAnsi" w:cstheme="majorHAnsi"/>
          <w:sz w:val="23"/>
          <w:szCs w:val="23"/>
        </w:rPr>
        <w:t xml:space="preserve">has </w:t>
      </w:r>
      <w:r w:rsidR="00F00E3D" w:rsidRPr="00E91887">
        <w:rPr>
          <w:rFonts w:asciiTheme="majorHAnsi" w:hAnsiTheme="majorHAnsi" w:cstheme="majorHAnsi"/>
          <w:sz w:val="23"/>
          <w:szCs w:val="23"/>
        </w:rPr>
        <w:t xml:space="preserve">pushed out </w:t>
      </w:r>
      <w:r>
        <w:rPr>
          <w:rFonts w:asciiTheme="majorHAnsi" w:hAnsiTheme="majorHAnsi" w:cstheme="majorHAnsi"/>
          <w:sz w:val="23"/>
          <w:szCs w:val="23"/>
        </w:rPr>
        <w:t xml:space="preserve">housing </w:t>
      </w:r>
      <w:r w:rsidR="00F00E3D" w:rsidRPr="00E91887">
        <w:rPr>
          <w:rFonts w:asciiTheme="majorHAnsi" w:hAnsiTheme="majorHAnsi" w:cstheme="majorHAnsi"/>
          <w:sz w:val="23"/>
          <w:szCs w:val="23"/>
        </w:rPr>
        <w:t xml:space="preserve">demand </w:t>
      </w:r>
      <w:r>
        <w:rPr>
          <w:rFonts w:asciiTheme="majorHAnsi" w:hAnsiTheme="majorHAnsi" w:cstheme="majorHAnsi"/>
          <w:sz w:val="23"/>
          <w:szCs w:val="23"/>
        </w:rPr>
        <w:t>in</w:t>
      </w:r>
      <w:r w:rsidR="00F00E3D" w:rsidRPr="00E91887">
        <w:rPr>
          <w:rFonts w:asciiTheme="majorHAnsi" w:hAnsiTheme="majorHAnsi" w:cstheme="majorHAnsi"/>
          <w:sz w:val="23"/>
          <w:szCs w:val="23"/>
        </w:rPr>
        <w:t>to regional Victoria</w:t>
      </w:r>
      <w:r>
        <w:rPr>
          <w:rFonts w:asciiTheme="majorHAnsi" w:hAnsiTheme="majorHAnsi" w:cstheme="majorHAnsi"/>
          <w:sz w:val="23"/>
          <w:szCs w:val="23"/>
        </w:rPr>
        <w:t>. This has further</w:t>
      </w:r>
      <w:r w:rsidR="00F00E3D" w:rsidRPr="00E91887">
        <w:rPr>
          <w:rFonts w:asciiTheme="majorHAnsi" w:hAnsiTheme="majorHAnsi" w:cstheme="majorHAnsi"/>
          <w:sz w:val="23"/>
          <w:szCs w:val="23"/>
        </w:rPr>
        <w:t xml:space="preserve"> aggravate</w:t>
      </w:r>
      <w:r>
        <w:rPr>
          <w:rFonts w:asciiTheme="majorHAnsi" w:hAnsiTheme="majorHAnsi" w:cstheme="majorHAnsi"/>
          <w:sz w:val="23"/>
          <w:szCs w:val="23"/>
        </w:rPr>
        <w:t>d</w:t>
      </w:r>
      <w:r w:rsidR="00F00E3D" w:rsidRPr="00E91887">
        <w:rPr>
          <w:rFonts w:asciiTheme="majorHAnsi" w:hAnsiTheme="majorHAnsi" w:cstheme="majorHAnsi"/>
          <w:sz w:val="23"/>
          <w:szCs w:val="23"/>
        </w:rPr>
        <w:t xml:space="preserve"> housing cost in the</w:t>
      </w:r>
      <w:r>
        <w:rPr>
          <w:rFonts w:asciiTheme="majorHAnsi" w:hAnsiTheme="majorHAnsi" w:cstheme="majorHAnsi"/>
          <w:sz w:val="23"/>
          <w:szCs w:val="23"/>
        </w:rPr>
        <w:t xml:space="preserve"> three</w:t>
      </w:r>
      <w:r w:rsidR="00F00E3D" w:rsidRPr="00E91887">
        <w:rPr>
          <w:rFonts w:asciiTheme="majorHAnsi" w:hAnsiTheme="majorHAnsi" w:cstheme="majorHAnsi"/>
          <w:sz w:val="23"/>
          <w:szCs w:val="23"/>
        </w:rPr>
        <w:t xml:space="preserve"> focal suburbs, especially in the unit rental market. </w:t>
      </w:r>
      <w:r>
        <w:rPr>
          <w:rFonts w:asciiTheme="majorHAnsi" w:hAnsiTheme="majorHAnsi" w:cstheme="majorHAnsi"/>
          <w:sz w:val="23"/>
          <w:szCs w:val="23"/>
        </w:rPr>
        <w:t>Given that</w:t>
      </w:r>
      <w:r w:rsidR="00F00E3D" w:rsidRPr="00E91887">
        <w:rPr>
          <w:rFonts w:asciiTheme="majorHAnsi" w:hAnsiTheme="majorHAnsi" w:cstheme="majorHAnsi"/>
          <w:sz w:val="23"/>
          <w:szCs w:val="23"/>
        </w:rPr>
        <w:t xml:space="preserve"> renting a unit is the most common housing </w:t>
      </w:r>
      <w:r>
        <w:rPr>
          <w:rFonts w:asciiTheme="majorHAnsi" w:hAnsiTheme="majorHAnsi" w:cstheme="majorHAnsi"/>
          <w:sz w:val="23"/>
          <w:szCs w:val="23"/>
        </w:rPr>
        <w:t>tenure</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for</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people on low incomes</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it is important to continue to monitor this aspect of the housing situation in Corio, Norlane, and Whittington.</w:t>
      </w:r>
    </w:p>
    <w:p w14:paraId="275BD473" w14:textId="77777777" w:rsidR="00F00E3D" w:rsidRPr="00E91887" w:rsidRDefault="00F00E3D" w:rsidP="009B2FA7">
      <w:pPr>
        <w:spacing w:after="0" w:line="360" w:lineRule="auto"/>
        <w:jc w:val="both"/>
        <w:rPr>
          <w:rFonts w:asciiTheme="majorHAnsi" w:hAnsiTheme="majorHAnsi" w:cstheme="majorHAnsi"/>
          <w:sz w:val="23"/>
          <w:szCs w:val="23"/>
        </w:rPr>
      </w:pPr>
      <w:r w:rsidRPr="00E91887">
        <w:rPr>
          <w:rFonts w:asciiTheme="majorHAnsi" w:hAnsiTheme="majorHAnsi" w:cstheme="majorHAnsi"/>
          <w:noProof/>
          <w:color w:val="2B579A"/>
          <w:sz w:val="23"/>
          <w:szCs w:val="23"/>
          <w:shd w:val="clear" w:color="auto" w:fill="E6E6E6"/>
          <w:lang w:eastAsia="zh-CN"/>
        </w:rPr>
        <w:lastRenderedPageBreak/>
        <w:drawing>
          <wp:inline distT="0" distB="0" distL="0" distR="0" wp14:anchorId="646C0615" wp14:editId="075A4459">
            <wp:extent cx="5943600" cy="31623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8F21114" w14:textId="79163ED9" w:rsidR="00F00E3D" w:rsidRPr="00B27E8B" w:rsidRDefault="00F00E3D" w:rsidP="778E395A">
      <w:pPr>
        <w:spacing w:after="0" w:line="240" w:lineRule="auto"/>
        <w:rPr>
          <w:b/>
          <w:bCs/>
          <w:sz w:val="21"/>
          <w:szCs w:val="21"/>
        </w:rPr>
      </w:pPr>
      <w:r w:rsidRPr="778E395A">
        <w:rPr>
          <w:b/>
          <w:bCs/>
          <w:sz w:val="21"/>
          <w:szCs w:val="21"/>
        </w:rPr>
        <w:t xml:space="preserve">Figure </w:t>
      </w:r>
      <w:r w:rsidR="00600C52" w:rsidRPr="778E395A">
        <w:rPr>
          <w:b/>
          <w:bCs/>
          <w:sz w:val="21"/>
          <w:szCs w:val="21"/>
        </w:rPr>
        <w:t>7</w:t>
      </w:r>
      <w:r w:rsidRPr="778E395A">
        <w:rPr>
          <w:b/>
          <w:bCs/>
          <w:sz w:val="21"/>
          <w:szCs w:val="21"/>
        </w:rPr>
        <w:t>.</w:t>
      </w:r>
      <w:r w:rsidR="7AD5F1C8" w:rsidRPr="778E395A">
        <w:rPr>
          <w:b/>
          <w:bCs/>
          <w:sz w:val="21"/>
          <w:szCs w:val="21"/>
        </w:rPr>
        <w:t>2</w:t>
      </w:r>
      <w:r w:rsidRPr="778E395A">
        <w:rPr>
          <w:b/>
          <w:bCs/>
          <w:sz w:val="21"/>
          <w:szCs w:val="21"/>
        </w:rPr>
        <w:t xml:space="preserve">: Hedonic </w:t>
      </w:r>
      <w:r w:rsidR="00600C52" w:rsidRPr="778E395A">
        <w:rPr>
          <w:b/>
          <w:bCs/>
          <w:sz w:val="21"/>
          <w:szCs w:val="21"/>
        </w:rPr>
        <w:t>i</w:t>
      </w:r>
      <w:r w:rsidRPr="778E395A">
        <w:rPr>
          <w:b/>
          <w:bCs/>
          <w:sz w:val="21"/>
          <w:szCs w:val="21"/>
        </w:rPr>
        <w:t xml:space="preserve">ndexes of house transactional price for whole </w:t>
      </w:r>
      <w:r w:rsidR="00600C52" w:rsidRPr="778E395A">
        <w:rPr>
          <w:b/>
          <w:bCs/>
          <w:sz w:val="21"/>
          <w:szCs w:val="21"/>
        </w:rPr>
        <w:t xml:space="preserve">of </w:t>
      </w:r>
      <w:r w:rsidRPr="778E395A">
        <w:rPr>
          <w:b/>
          <w:bCs/>
          <w:sz w:val="21"/>
          <w:szCs w:val="21"/>
        </w:rPr>
        <w:t>V</w:t>
      </w:r>
      <w:r w:rsidR="00600C52" w:rsidRPr="778E395A">
        <w:rPr>
          <w:b/>
          <w:bCs/>
          <w:sz w:val="21"/>
          <w:szCs w:val="21"/>
        </w:rPr>
        <w:t>IC</w:t>
      </w:r>
      <w:r w:rsidRPr="778E395A">
        <w:rPr>
          <w:b/>
          <w:bCs/>
          <w:sz w:val="21"/>
          <w:szCs w:val="21"/>
        </w:rPr>
        <w:t>, Greater Melbourne, Regional VIC, Greater Geelong, and the three focal suburbs, from January 2015</w:t>
      </w:r>
      <w:r w:rsidR="00600C52" w:rsidRPr="778E395A">
        <w:rPr>
          <w:b/>
          <w:bCs/>
          <w:sz w:val="21"/>
          <w:szCs w:val="21"/>
        </w:rPr>
        <w:t>–</w:t>
      </w:r>
      <w:r w:rsidRPr="778E395A">
        <w:rPr>
          <w:b/>
          <w:bCs/>
          <w:sz w:val="21"/>
          <w:szCs w:val="21"/>
        </w:rPr>
        <w:t>October 2020</w:t>
      </w:r>
    </w:p>
    <w:p w14:paraId="4985E2D0" w14:textId="6639034F" w:rsidR="00F00E3D" w:rsidRDefault="00F00E3D" w:rsidP="009B2FA7">
      <w:pPr>
        <w:spacing w:after="0" w:line="240" w:lineRule="auto"/>
        <w:jc w:val="both"/>
        <w:rPr>
          <w:rFonts w:asciiTheme="majorHAnsi" w:hAnsiTheme="majorHAnsi" w:cstheme="majorHAnsi"/>
          <w:i/>
          <w:sz w:val="23"/>
          <w:szCs w:val="23"/>
        </w:rPr>
      </w:pPr>
    </w:p>
    <w:p w14:paraId="3440E237" w14:textId="38331CC4" w:rsidR="00600C52" w:rsidRDefault="00600C52" w:rsidP="009B2FA7">
      <w:pPr>
        <w:spacing w:after="0" w:line="240" w:lineRule="auto"/>
        <w:jc w:val="both"/>
        <w:rPr>
          <w:rFonts w:asciiTheme="majorHAnsi" w:hAnsiTheme="majorHAnsi" w:cstheme="majorHAnsi"/>
          <w:iCs/>
          <w:sz w:val="23"/>
          <w:szCs w:val="23"/>
        </w:rPr>
      </w:pPr>
    </w:p>
    <w:p w14:paraId="1BE35B4E" w14:textId="77777777" w:rsidR="00600C52" w:rsidRPr="00600C52" w:rsidRDefault="00600C52" w:rsidP="009B2FA7">
      <w:pPr>
        <w:spacing w:after="0" w:line="240" w:lineRule="auto"/>
        <w:jc w:val="both"/>
        <w:rPr>
          <w:rFonts w:asciiTheme="majorHAnsi" w:hAnsiTheme="majorHAnsi" w:cstheme="majorHAnsi"/>
          <w:iCs/>
          <w:sz w:val="23"/>
          <w:szCs w:val="23"/>
        </w:rPr>
      </w:pPr>
    </w:p>
    <w:p w14:paraId="305B2865" w14:textId="77777777" w:rsidR="00F00E3D" w:rsidRPr="00E91887" w:rsidRDefault="00F00E3D" w:rsidP="009B2FA7">
      <w:pPr>
        <w:spacing w:after="0" w:line="360" w:lineRule="auto"/>
        <w:jc w:val="both"/>
        <w:rPr>
          <w:rFonts w:asciiTheme="majorHAnsi" w:hAnsiTheme="majorHAnsi" w:cstheme="majorHAnsi"/>
          <w:sz w:val="23"/>
          <w:szCs w:val="23"/>
        </w:rPr>
      </w:pPr>
      <w:r w:rsidRPr="00E91887">
        <w:rPr>
          <w:rFonts w:asciiTheme="majorHAnsi" w:hAnsiTheme="majorHAnsi" w:cstheme="majorHAnsi"/>
          <w:noProof/>
          <w:color w:val="2B579A"/>
          <w:sz w:val="23"/>
          <w:szCs w:val="23"/>
          <w:shd w:val="clear" w:color="auto" w:fill="E6E6E6"/>
          <w:lang w:eastAsia="zh-CN"/>
        </w:rPr>
        <w:drawing>
          <wp:inline distT="0" distB="0" distL="0" distR="0" wp14:anchorId="636BC1BD" wp14:editId="2CFCC407">
            <wp:extent cx="5943600" cy="3175000"/>
            <wp:effectExtent l="0" t="0" r="0" b="63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42F9314" w14:textId="4CBFFC52" w:rsidR="00600C52" w:rsidRPr="00B27E8B" w:rsidRDefault="00F00E3D" w:rsidP="778E395A">
      <w:pPr>
        <w:spacing w:after="0" w:line="240" w:lineRule="auto"/>
        <w:rPr>
          <w:b/>
          <w:bCs/>
          <w:sz w:val="21"/>
          <w:szCs w:val="21"/>
        </w:rPr>
      </w:pPr>
      <w:r w:rsidRPr="778E395A">
        <w:rPr>
          <w:b/>
          <w:bCs/>
          <w:sz w:val="21"/>
          <w:szCs w:val="21"/>
        </w:rPr>
        <w:t xml:space="preserve">Figure </w:t>
      </w:r>
      <w:r w:rsidR="00600C52" w:rsidRPr="778E395A">
        <w:rPr>
          <w:b/>
          <w:bCs/>
          <w:sz w:val="21"/>
          <w:szCs w:val="21"/>
        </w:rPr>
        <w:t>7</w:t>
      </w:r>
      <w:r w:rsidRPr="778E395A">
        <w:rPr>
          <w:b/>
          <w:bCs/>
          <w:sz w:val="21"/>
          <w:szCs w:val="21"/>
        </w:rPr>
        <w:t>.</w:t>
      </w:r>
      <w:r w:rsidR="2A9ECDF3" w:rsidRPr="778E395A">
        <w:rPr>
          <w:b/>
          <w:bCs/>
          <w:sz w:val="21"/>
          <w:szCs w:val="21"/>
        </w:rPr>
        <w:t>3</w:t>
      </w:r>
      <w:r w:rsidRPr="778E395A">
        <w:rPr>
          <w:b/>
          <w:bCs/>
          <w:sz w:val="21"/>
          <w:szCs w:val="21"/>
        </w:rPr>
        <w:t xml:space="preserve">: Hedonic </w:t>
      </w:r>
      <w:r w:rsidR="00600C52" w:rsidRPr="778E395A">
        <w:rPr>
          <w:b/>
          <w:bCs/>
          <w:sz w:val="21"/>
          <w:szCs w:val="21"/>
        </w:rPr>
        <w:t>i</w:t>
      </w:r>
      <w:r w:rsidRPr="778E395A">
        <w:rPr>
          <w:b/>
          <w:bCs/>
          <w:sz w:val="21"/>
          <w:szCs w:val="21"/>
        </w:rPr>
        <w:t xml:space="preserve">ndexes of house rental price for the </w:t>
      </w:r>
      <w:r w:rsidR="00600C52" w:rsidRPr="778E395A">
        <w:rPr>
          <w:b/>
          <w:bCs/>
          <w:sz w:val="21"/>
          <w:szCs w:val="21"/>
        </w:rPr>
        <w:t>whole of VIC, Greater Melbourne, Regional VIC, Greater Geelong, and the three focal suburbs, from January 2015–October 2020</w:t>
      </w:r>
    </w:p>
    <w:p w14:paraId="34297492" w14:textId="602A5010" w:rsidR="00F00E3D" w:rsidRPr="00B27E8B" w:rsidRDefault="00F00E3D" w:rsidP="00600C52">
      <w:pPr>
        <w:spacing w:after="0" w:line="240" w:lineRule="auto"/>
        <w:rPr>
          <w:rFonts w:cstheme="minorHAnsi"/>
          <w:b/>
          <w:bCs/>
          <w:iCs/>
          <w:sz w:val="21"/>
          <w:szCs w:val="21"/>
        </w:rPr>
      </w:pPr>
    </w:p>
    <w:p w14:paraId="3569E2A0" w14:textId="77777777" w:rsidR="00F00E3D" w:rsidRPr="00E91887" w:rsidRDefault="00F00E3D" w:rsidP="009B2FA7">
      <w:pPr>
        <w:spacing w:after="0" w:line="360" w:lineRule="auto"/>
        <w:jc w:val="both"/>
        <w:rPr>
          <w:rFonts w:asciiTheme="majorHAnsi" w:hAnsiTheme="majorHAnsi" w:cstheme="majorHAnsi"/>
          <w:sz w:val="23"/>
          <w:szCs w:val="23"/>
        </w:rPr>
      </w:pPr>
      <w:r w:rsidRPr="00E91887">
        <w:rPr>
          <w:rFonts w:asciiTheme="majorHAnsi" w:hAnsiTheme="majorHAnsi" w:cstheme="majorHAnsi"/>
          <w:noProof/>
          <w:color w:val="2B579A"/>
          <w:sz w:val="23"/>
          <w:szCs w:val="23"/>
          <w:shd w:val="clear" w:color="auto" w:fill="E6E6E6"/>
          <w:lang w:eastAsia="zh-CN"/>
        </w:rPr>
        <w:lastRenderedPageBreak/>
        <w:drawing>
          <wp:inline distT="0" distB="0" distL="0" distR="0" wp14:anchorId="3304D60B" wp14:editId="77F91522">
            <wp:extent cx="5943600" cy="325755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1D54F52" w14:textId="280EB280" w:rsidR="00600C52" w:rsidRDefault="00F00E3D" w:rsidP="778E395A">
      <w:pPr>
        <w:spacing w:after="0" w:line="240" w:lineRule="auto"/>
        <w:jc w:val="both"/>
        <w:rPr>
          <w:b/>
          <w:bCs/>
          <w:sz w:val="21"/>
          <w:szCs w:val="21"/>
        </w:rPr>
      </w:pPr>
      <w:r w:rsidRPr="778E395A">
        <w:rPr>
          <w:b/>
          <w:bCs/>
          <w:sz w:val="21"/>
          <w:szCs w:val="21"/>
        </w:rPr>
        <w:t xml:space="preserve">Figure </w:t>
      </w:r>
      <w:r w:rsidR="00600C52" w:rsidRPr="778E395A">
        <w:rPr>
          <w:b/>
          <w:bCs/>
          <w:sz w:val="21"/>
          <w:szCs w:val="21"/>
        </w:rPr>
        <w:t>7</w:t>
      </w:r>
      <w:r w:rsidRPr="778E395A">
        <w:rPr>
          <w:b/>
          <w:bCs/>
          <w:sz w:val="21"/>
          <w:szCs w:val="21"/>
        </w:rPr>
        <w:t>.</w:t>
      </w:r>
      <w:r w:rsidR="2C53C388" w:rsidRPr="778E395A">
        <w:rPr>
          <w:b/>
          <w:bCs/>
          <w:sz w:val="21"/>
          <w:szCs w:val="21"/>
        </w:rPr>
        <w:t>4</w:t>
      </w:r>
      <w:r w:rsidRPr="778E395A">
        <w:rPr>
          <w:b/>
          <w:bCs/>
          <w:sz w:val="21"/>
          <w:szCs w:val="21"/>
        </w:rPr>
        <w:t xml:space="preserve">: Hedonic </w:t>
      </w:r>
      <w:r w:rsidR="001B7C91" w:rsidRPr="778E395A">
        <w:rPr>
          <w:b/>
          <w:bCs/>
          <w:sz w:val="21"/>
          <w:szCs w:val="21"/>
        </w:rPr>
        <w:t>i</w:t>
      </w:r>
      <w:r w:rsidRPr="778E395A">
        <w:rPr>
          <w:b/>
          <w:bCs/>
          <w:sz w:val="21"/>
          <w:szCs w:val="21"/>
        </w:rPr>
        <w:t xml:space="preserve">ndexes of unit transactional price for the </w:t>
      </w:r>
      <w:r w:rsidR="00600C52" w:rsidRPr="778E395A">
        <w:rPr>
          <w:b/>
          <w:bCs/>
          <w:sz w:val="21"/>
          <w:szCs w:val="21"/>
        </w:rPr>
        <w:t>whole of VIC, Greater Melbourne, Regional VIC, Greater Geelong, and the three focal suburbs, from January 2015–October 2020</w:t>
      </w:r>
    </w:p>
    <w:p w14:paraId="376B3BBA" w14:textId="27DF1288" w:rsidR="00600C52" w:rsidRDefault="00600C52" w:rsidP="00600C52">
      <w:pPr>
        <w:spacing w:after="0" w:line="240" w:lineRule="auto"/>
        <w:jc w:val="both"/>
        <w:rPr>
          <w:rFonts w:cstheme="minorHAnsi"/>
          <w:b/>
          <w:bCs/>
          <w:iCs/>
          <w:sz w:val="21"/>
          <w:szCs w:val="21"/>
        </w:rPr>
      </w:pPr>
    </w:p>
    <w:p w14:paraId="33D6BB95" w14:textId="77777777" w:rsidR="00600C52" w:rsidRPr="00B27E8B" w:rsidRDefault="00600C52" w:rsidP="00600C52">
      <w:pPr>
        <w:spacing w:after="0" w:line="240" w:lineRule="auto"/>
        <w:jc w:val="both"/>
        <w:rPr>
          <w:rFonts w:cstheme="minorHAnsi"/>
          <w:b/>
          <w:bCs/>
          <w:iCs/>
          <w:sz w:val="21"/>
          <w:szCs w:val="21"/>
        </w:rPr>
      </w:pPr>
    </w:p>
    <w:p w14:paraId="28205712" w14:textId="77777777" w:rsidR="00F00E3D" w:rsidRPr="00E91887" w:rsidRDefault="00F00E3D" w:rsidP="009B2FA7">
      <w:pPr>
        <w:spacing w:after="0" w:line="240" w:lineRule="auto"/>
        <w:jc w:val="both"/>
        <w:rPr>
          <w:rFonts w:asciiTheme="majorHAnsi" w:hAnsiTheme="majorHAnsi" w:cstheme="majorHAnsi"/>
          <w:b/>
          <w:bCs/>
          <w:iCs/>
          <w:sz w:val="23"/>
          <w:szCs w:val="23"/>
        </w:rPr>
      </w:pPr>
    </w:p>
    <w:p w14:paraId="7BB90821" w14:textId="77777777" w:rsidR="00F00E3D" w:rsidRPr="00E91887" w:rsidRDefault="00F00E3D" w:rsidP="009B2FA7">
      <w:pPr>
        <w:spacing w:after="0" w:line="240" w:lineRule="auto"/>
        <w:jc w:val="both"/>
        <w:rPr>
          <w:rFonts w:asciiTheme="majorHAnsi" w:hAnsiTheme="majorHAnsi" w:cstheme="majorHAnsi"/>
          <w:sz w:val="23"/>
          <w:szCs w:val="23"/>
        </w:rPr>
      </w:pPr>
      <w:r w:rsidRPr="00E91887">
        <w:rPr>
          <w:rFonts w:asciiTheme="majorHAnsi" w:hAnsiTheme="majorHAnsi" w:cstheme="majorHAnsi"/>
          <w:noProof/>
          <w:color w:val="2B579A"/>
          <w:sz w:val="23"/>
          <w:szCs w:val="23"/>
          <w:shd w:val="clear" w:color="auto" w:fill="E6E6E6"/>
          <w:lang w:eastAsia="zh-CN"/>
        </w:rPr>
        <w:drawing>
          <wp:inline distT="0" distB="0" distL="0" distR="0" wp14:anchorId="5DBF52D3" wp14:editId="29ACBC54">
            <wp:extent cx="5886450" cy="3594100"/>
            <wp:effectExtent l="0" t="0" r="0" b="63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1F398B4" w14:textId="4A024EC6" w:rsidR="00F00E3D" w:rsidRDefault="00F00E3D" w:rsidP="778E395A">
      <w:pPr>
        <w:spacing w:after="0" w:line="240" w:lineRule="auto"/>
        <w:rPr>
          <w:b/>
          <w:bCs/>
          <w:sz w:val="21"/>
          <w:szCs w:val="21"/>
        </w:rPr>
      </w:pPr>
      <w:r w:rsidRPr="778E395A">
        <w:rPr>
          <w:b/>
          <w:bCs/>
          <w:sz w:val="21"/>
          <w:szCs w:val="21"/>
        </w:rPr>
        <w:t xml:space="preserve">Figure </w:t>
      </w:r>
      <w:r w:rsidR="00600C52" w:rsidRPr="778E395A">
        <w:rPr>
          <w:b/>
          <w:bCs/>
          <w:sz w:val="21"/>
          <w:szCs w:val="21"/>
        </w:rPr>
        <w:t>7</w:t>
      </w:r>
      <w:r w:rsidRPr="778E395A">
        <w:rPr>
          <w:b/>
          <w:bCs/>
          <w:sz w:val="21"/>
          <w:szCs w:val="21"/>
        </w:rPr>
        <w:t>.</w:t>
      </w:r>
      <w:r w:rsidR="4E3CF78F" w:rsidRPr="778E395A">
        <w:rPr>
          <w:b/>
          <w:bCs/>
          <w:sz w:val="21"/>
          <w:szCs w:val="21"/>
        </w:rPr>
        <w:t>5</w:t>
      </w:r>
      <w:r w:rsidRPr="778E395A">
        <w:rPr>
          <w:b/>
          <w:bCs/>
          <w:sz w:val="21"/>
          <w:szCs w:val="21"/>
        </w:rPr>
        <w:t xml:space="preserve">: Hedonic </w:t>
      </w:r>
      <w:r w:rsidR="001B7C91" w:rsidRPr="778E395A">
        <w:rPr>
          <w:b/>
          <w:bCs/>
          <w:sz w:val="21"/>
          <w:szCs w:val="21"/>
        </w:rPr>
        <w:t>i</w:t>
      </w:r>
      <w:r w:rsidRPr="778E395A">
        <w:rPr>
          <w:b/>
          <w:bCs/>
          <w:sz w:val="21"/>
          <w:szCs w:val="21"/>
        </w:rPr>
        <w:t xml:space="preserve">ndexes of unit rental price for the </w:t>
      </w:r>
      <w:r w:rsidR="00600C52" w:rsidRPr="778E395A">
        <w:rPr>
          <w:b/>
          <w:bCs/>
          <w:sz w:val="21"/>
          <w:szCs w:val="21"/>
        </w:rPr>
        <w:t>whole of VIC, Greater Melbourne, Regional VIC, Greater Geelong, and the three focal suburbs, from January 2015–October 2020</w:t>
      </w:r>
    </w:p>
    <w:p w14:paraId="3950610B" w14:textId="77777777" w:rsidR="00600C52" w:rsidRPr="00600C52" w:rsidRDefault="00600C52" w:rsidP="00600C52">
      <w:pPr>
        <w:spacing w:after="0" w:line="240" w:lineRule="auto"/>
        <w:rPr>
          <w:rFonts w:cstheme="minorHAnsi"/>
          <w:b/>
          <w:bCs/>
          <w:iCs/>
          <w:sz w:val="21"/>
          <w:szCs w:val="21"/>
        </w:rPr>
      </w:pPr>
    </w:p>
    <w:p w14:paraId="6C5F4C40" w14:textId="5B3969F4" w:rsidR="001C6281" w:rsidRDefault="001C6281">
      <w:pPr>
        <w:spacing w:after="0" w:line="240" w:lineRule="auto"/>
        <w:rPr>
          <w:rFonts w:asciiTheme="majorHAnsi" w:hAnsiTheme="majorHAnsi" w:cstheme="majorHAnsi"/>
          <w:sz w:val="23"/>
          <w:szCs w:val="23"/>
        </w:rPr>
      </w:pPr>
      <w:r>
        <w:rPr>
          <w:rFonts w:asciiTheme="majorHAnsi" w:hAnsiTheme="majorHAnsi" w:cstheme="majorHAnsi"/>
          <w:sz w:val="23"/>
          <w:szCs w:val="23"/>
        </w:rPr>
        <w:br w:type="page"/>
      </w:r>
    </w:p>
    <w:p w14:paraId="093603D1" w14:textId="45975D4C" w:rsidR="00F00E3D" w:rsidRPr="00E91887" w:rsidRDefault="001C6281" w:rsidP="001C6281">
      <w:pPr>
        <w:spacing w:line="276" w:lineRule="auto"/>
        <w:rPr>
          <w:rFonts w:asciiTheme="majorHAnsi" w:hAnsiTheme="majorHAnsi" w:cstheme="majorHAnsi"/>
          <w:sz w:val="23"/>
          <w:szCs w:val="23"/>
        </w:rPr>
      </w:pPr>
      <w:r>
        <w:rPr>
          <w:rFonts w:asciiTheme="majorHAnsi" w:hAnsiTheme="majorHAnsi" w:cstheme="majorHAnsi"/>
          <w:sz w:val="23"/>
          <w:szCs w:val="23"/>
        </w:rPr>
        <w:lastRenderedPageBreak/>
        <w:t xml:space="preserve">The data presented above </w:t>
      </w:r>
      <w:r w:rsidR="00F00E3D" w:rsidRPr="00E91887">
        <w:rPr>
          <w:rFonts w:asciiTheme="majorHAnsi" w:hAnsiTheme="majorHAnsi" w:cstheme="majorHAnsi"/>
          <w:sz w:val="23"/>
          <w:szCs w:val="23"/>
        </w:rPr>
        <w:t>confirm</w:t>
      </w:r>
      <w:r w:rsidR="00DC2177">
        <w:rPr>
          <w:rFonts w:asciiTheme="majorHAnsi" w:hAnsiTheme="majorHAnsi" w:cstheme="majorHAnsi"/>
          <w:sz w:val="23"/>
          <w:szCs w:val="23"/>
        </w:rPr>
        <w:t>s</w:t>
      </w:r>
      <w:r w:rsidR="00F00E3D" w:rsidRPr="00E91887">
        <w:rPr>
          <w:rFonts w:asciiTheme="majorHAnsi" w:hAnsiTheme="majorHAnsi" w:cstheme="majorHAnsi"/>
          <w:sz w:val="23"/>
          <w:szCs w:val="23"/>
        </w:rPr>
        <w:t xml:space="preserve"> that Corio, Norlane</w:t>
      </w:r>
      <w:r w:rsidR="00B7171E">
        <w:rPr>
          <w:rFonts w:asciiTheme="majorHAnsi" w:hAnsiTheme="majorHAnsi" w:cstheme="majorHAnsi"/>
          <w:sz w:val="23"/>
          <w:szCs w:val="23"/>
        </w:rPr>
        <w:t>,</w:t>
      </w:r>
      <w:r w:rsidR="00F00E3D" w:rsidRPr="00E91887">
        <w:rPr>
          <w:rFonts w:asciiTheme="majorHAnsi" w:hAnsiTheme="majorHAnsi" w:cstheme="majorHAnsi"/>
          <w:sz w:val="23"/>
          <w:szCs w:val="23"/>
        </w:rPr>
        <w:t xml:space="preserve"> and Whittington have </w:t>
      </w:r>
      <w:r w:rsidR="00B7171E">
        <w:rPr>
          <w:rFonts w:asciiTheme="majorHAnsi" w:hAnsiTheme="majorHAnsi" w:cstheme="majorHAnsi"/>
          <w:sz w:val="23"/>
          <w:szCs w:val="23"/>
        </w:rPr>
        <w:t xml:space="preserve">relatively </w:t>
      </w:r>
      <w:r w:rsidR="00F00E3D" w:rsidRPr="00E91887">
        <w:rPr>
          <w:rFonts w:asciiTheme="majorHAnsi" w:hAnsiTheme="majorHAnsi" w:cstheme="majorHAnsi"/>
          <w:sz w:val="23"/>
          <w:szCs w:val="23"/>
        </w:rPr>
        <w:t xml:space="preserve">affordable housing compared to </w:t>
      </w:r>
      <w:r w:rsidR="00DC2177">
        <w:rPr>
          <w:rFonts w:asciiTheme="majorHAnsi" w:hAnsiTheme="majorHAnsi" w:cstheme="majorHAnsi"/>
          <w:sz w:val="23"/>
          <w:szCs w:val="23"/>
        </w:rPr>
        <w:t>Greater</w:t>
      </w:r>
      <w:r w:rsidR="00F00E3D" w:rsidRPr="00E91887">
        <w:rPr>
          <w:rFonts w:asciiTheme="majorHAnsi" w:hAnsiTheme="majorHAnsi" w:cstheme="majorHAnsi"/>
          <w:sz w:val="23"/>
          <w:szCs w:val="23"/>
        </w:rPr>
        <w:t xml:space="preserve"> Geelong, Melbourne</w:t>
      </w:r>
      <w:r w:rsidR="00B7171E">
        <w:rPr>
          <w:rFonts w:asciiTheme="majorHAnsi" w:hAnsiTheme="majorHAnsi" w:cstheme="majorHAnsi"/>
          <w:sz w:val="23"/>
          <w:szCs w:val="23"/>
        </w:rPr>
        <w:t>,</w:t>
      </w:r>
      <w:r w:rsidR="00F00E3D" w:rsidRPr="00E91887">
        <w:rPr>
          <w:rFonts w:asciiTheme="majorHAnsi" w:hAnsiTheme="majorHAnsi" w:cstheme="majorHAnsi"/>
          <w:sz w:val="23"/>
          <w:szCs w:val="23"/>
        </w:rPr>
        <w:t xml:space="preserve"> and Victoria. However, </w:t>
      </w:r>
      <w:r w:rsidR="001B7C91">
        <w:rPr>
          <w:rFonts w:asciiTheme="majorHAnsi" w:hAnsiTheme="majorHAnsi" w:cstheme="majorHAnsi"/>
          <w:sz w:val="23"/>
          <w:szCs w:val="23"/>
        </w:rPr>
        <w:t>our analysis also</w:t>
      </w:r>
      <w:r w:rsidR="00F00E3D" w:rsidRPr="00E91887">
        <w:rPr>
          <w:rFonts w:asciiTheme="majorHAnsi" w:hAnsiTheme="majorHAnsi" w:cstheme="majorHAnsi"/>
          <w:sz w:val="23"/>
          <w:szCs w:val="23"/>
        </w:rPr>
        <w:t xml:space="preserve"> reveals significant increases in the costs of dwellings</w:t>
      </w:r>
      <w:r>
        <w:rPr>
          <w:rFonts w:asciiTheme="majorHAnsi" w:hAnsiTheme="majorHAnsi" w:cstheme="majorHAnsi"/>
          <w:sz w:val="23"/>
          <w:szCs w:val="23"/>
        </w:rPr>
        <w:t xml:space="preserve"> within these focal suburbs in recent years</w:t>
      </w:r>
      <w:r w:rsidR="00F00E3D" w:rsidRPr="00E91887">
        <w:rPr>
          <w:rFonts w:asciiTheme="majorHAnsi" w:hAnsiTheme="majorHAnsi" w:cstheme="majorHAnsi"/>
          <w:sz w:val="23"/>
          <w:szCs w:val="23"/>
        </w:rPr>
        <w:t xml:space="preserve">, both for houses and units. In particular, there </w:t>
      </w:r>
      <w:r w:rsidR="00DD31C8">
        <w:rPr>
          <w:rFonts w:asciiTheme="majorHAnsi" w:hAnsiTheme="majorHAnsi" w:cstheme="majorHAnsi"/>
          <w:sz w:val="23"/>
          <w:szCs w:val="23"/>
        </w:rPr>
        <w:t>was</w:t>
      </w:r>
      <w:r w:rsidR="00F00E3D" w:rsidRPr="00E91887">
        <w:rPr>
          <w:rFonts w:asciiTheme="majorHAnsi" w:hAnsiTheme="majorHAnsi" w:cstheme="majorHAnsi"/>
          <w:sz w:val="23"/>
          <w:szCs w:val="23"/>
        </w:rPr>
        <w:t xml:space="preserve"> a significant rise in the numbers and prices of rental units </w:t>
      </w:r>
      <w:r w:rsidR="001B7C91">
        <w:rPr>
          <w:rFonts w:asciiTheme="majorHAnsi" w:hAnsiTheme="majorHAnsi" w:cstheme="majorHAnsi"/>
          <w:sz w:val="23"/>
          <w:szCs w:val="23"/>
        </w:rPr>
        <w:t xml:space="preserve">sold </w:t>
      </w:r>
      <w:r w:rsidR="00F00E3D" w:rsidRPr="00E91887">
        <w:rPr>
          <w:rFonts w:asciiTheme="majorHAnsi" w:hAnsiTheme="majorHAnsi" w:cstheme="majorHAnsi"/>
          <w:sz w:val="23"/>
          <w:szCs w:val="23"/>
        </w:rPr>
        <w:t>in th</w:t>
      </w:r>
      <w:r>
        <w:rPr>
          <w:rFonts w:asciiTheme="majorHAnsi" w:hAnsiTheme="majorHAnsi" w:cstheme="majorHAnsi"/>
          <w:sz w:val="23"/>
          <w:szCs w:val="23"/>
        </w:rPr>
        <w:t>e three areas</w:t>
      </w:r>
      <w:r w:rsidR="00B7171E">
        <w:rPr>
          <w:rFonts w:asciiTheme="majorHAnsi" w:hAnsiTheme="majorHAnsi" w:cstheme="majorHAnsi"/>
          <w:sz w:val="23"/>
          <w:szCs w:val="23"/>
        </w:rPr>
        <w:t xml:space="preserve">, along with </w:t>
      </w:r>
      <w:r w:rsidR="00F00E3D" w:rsidRPr="00E91887">
        <w:rPr>
          <w:rFonts w:asciiTheme="majorHAnsi" w:hAnsiTheme="majorHAnsi" w:cstheme="majorHAnsi"/>
          <w:sz w:val="23"/>
          <w:szCs w:val="23"/>
        </w:rPr>
        <w:t xml:space="preserve">increases in house prices well above those registered </w:t>
      </w:r>
      <w:r>
        <w:rPr>
          <w:rFonts w:asciiTheme="majorHAnsi" w:hAnsiTheme="majorHAnsi" w:cstheme="majorHAnsi"/>
          <w:sz w:val="23"/>
          <w:szCs w:val="23"/>
        </w:rPr>
        <w:t>for</w:t>
      </w:r>
      <w:r w:rsidR="00F00E3D" w:rsidRPr="00E91887">
        <w:rPr>
          <w:rFonts w:asciiTheme="majorHAnsi" w:hAnsiTheme="majorHAnsi" w:cstheme="majorHAnsi"/>
          <w:sz w:val="23"/>
          <w:szCs w:val="23"/>
        </w:rPr>
        <w:t xml:space="preserve"> the City</w:t>
      </w:r>
      <w:r>
        <w:rPr>
          <w:rFonts w:asciiTheme="majorHAnsi" w:hAnsiTheme="majorHAnsi" w:cstheme="majorHAnsi"/>
          <w:sz w:val="23"/>
          <w:szCs w:val="23"/>
        </w:rPr>
        <w:t xml:space="preserve"> of Geelong</w:t>
      </w:r>
      <w:r w:rsidR="00F00E3D" w:rsidRPr="00E91887">
        <w:rPr>
          <w:rFonts w:asciiTheme="majorHAnsi" w:hAnsiTheme="majorHAnsi" w:cstheme="majorHAnsi"/>
          <w:sz w:val="23"/>
          <w:szCs w:val="23"/>
        </w:rPr>
        <w:t xml:space="preserve"> and across </w:t>
      </w:r>
      <w:r>
        <w:rPr>
          <w:rFonts w:asciiTheme="majorHAnsi" w:hAnsiTheme="majorHAnsi" w:cstheme="majorHAnsi"/>
          <w:sz w:val="23"/>
          <w:szCs w:val="23"/>
        </w:rPr>
        <w:t>Victoria</w:t>
      </w:r>
      <w:r w:rsidR="00F00E3D" w:rsidRPr="00E91887">
        <w:rPr>
          <w:rFonts w:asciiTheme="majorHAnsi" w:hAnsiTheme="majorHAnsi" w:cstheme="majorHAnsi"/>
          <w:sz w:val="23"/>
          <w:szCs w:val="23"/>
        </w:rPr>
        <w:t xml:space="preserve">. This raises </w:t>
      </w:r>
      <w:r w:rsidR="00DC2177">
        <w:rPr>
          <w:rFonts w:asciiTheme="majorHAnsi" w:hAnsiTheme="majorHAnsi" w:cstheme="majorHAnsi"/>
          <w:sz w:val="23"/>
          <w:szCs w:val="23"/>
        </w:rPr>
        <w:t>the urgent</w:t>
      </w:r>
      <w:r w:rsidR="00F00E3D" w:rsidRPr="00E91887">
        <w:rPr>
          <w:rFonts w:asciiTheme="majorHAnsi" w:hAnsiTheme="majorHAnsi" w:cstheme="majorHAnsi"/>
          <w:sz w:val="23"/>
          <w:szCs w:val="23"/>
        </w:rPr>
        <w:t xml:space="preserve"> question of housing affordability in the three </w:t>
      </w:r>
      <w:r>
        <w:rPr>
          <w:rFonts w:asciiTheme="majorHAnsi" w:hAnsiTheme="majorHAnsi" w:cstheme="majorHAnsi"/>
          <w:sz w:val="23"/>
          <w:szCs w:val="23"/>
        </w:rPr>
        <w:t>focal suburbs</w:t>
      </w:r>
      <w:r w:rsidR="00DC2177">
        <w:rPr>
          <w:rFonts w:asciiTheme="majorHAnsi" w:hAnsiTheme="majorHAnsi" w:cstheme="majorHAnsi"/>
          <w:sz w:val="23"/>
          <w:szCs w:val="23"/>
        </w:rPr>
        <w:t xml:space="preserve">: whether it will continue to decline, by how much, and how </w:t>
      </w:r>
      <w:r>
        <w:rPr>
          <w:rFonts w:asciiTheme="majorHAnsi" w:hAnsiTheme="majorHAnsi" w:cstheme="majorHAnsi"/>
          <w:sz w:val="23"/>
          <w:szCs w:val="23"/>
        </w:rPr>
        <w:t>this will impact local rates of</w:t>
      </w:r>
      <w:r w:rsidR="00F00E3D" w:rsidRPr="00E91887">
        <w:rPr>
          <w:rFonts w:asciiTheme="majorHAnsi" w:hAnsiTheme="majorHAnsi" w:cstheme="majorHAnsi"/>
          <w:sz w:val="23"/>
          <w:szCs w:val="23"/>
        </w:rPr>
        <w:t xml:space="preserve"> housing stress.</w:t>
      </w:r>
    </w:p>
    <w:p w14:paraId="728AE3FF" w14:textId="77309536" w:rsidR="00DD31C8" w:rsidRPr="00A03FCA" w:rsidRDefault="001C6281" w:rsidP="71E34AD1">
      <w:pPr>
        <w:spacing w:after="0" w:line="276" w:lineRule="auto"/>
        <w:rPr>
          <w:rFonts w:asciiTheme="majorHAnsi" w:hAnsiTheme="majorHAnsi" w:cstheme="majorBidi"/>
          <w:sz w:val="23"/>
          <w:szCs w:val="23"/>
        </w:rPr>
      </w:pPr>
      <w:r w:rsidRPr="778E395A">
        <w:rPr>
          <w:rFonts w:asciiTheme="majorHAnsi" w:hAnsiTheme="majorHAnsi" w:cstheme="majorBidi"/>
          <w:sz w:val="23"/>
          <w:szCs w:val="23"/>
        </w:rPr>
        <w:t>“Housing stress” is defined by households in prescribed income brackets spending more than 30 percent of their gross income on either rent or mortgage payments</w:t>
      </w:r>
      <w:r w:rsidR="006629D7" w:rsidRPr="778E395A">
        <w:rPr>
          <w:rFonts w:asciiTheme="majorHAnsi" w:hAnsiTheme="majorHAnsi" w:cstheme="majorBidi"/>
          <w:sz w:val="23"/>
          <w:szCs w:val="23"/>
        </w:rPr>
        <w:t>.</w:t>
      </w:r>
      <w:r w:rsidRPr="778E395A">
        <w:rPr>
          <w:rFonts w:asciiTheme="majorHAnsi" w:hAnsiTheme="majorHAnsi" w:cstheme="majorBidi"/>
          <w:sz w:val="23"/>
          <w:szCs w:val="23"/>
        </w:rPr>
        <w:t xml:space="preserve"> </w:t>
      </w:r>
      <w:r w:rsidR="006629D7" w:rsidRPr="778E395A">
        <w:rPr>
          <w:rFonts w:asciiTheme="majorHAnsi" w:hAnsiTheme="majorHAnsi" w:cstheme="majorBidi"/>
          <w:sz w:val="23"/>
          <w:szCs w:val="23"/>
        </w:rPr>
        <w:t>In 2016 there were</w:t>
      </w:r>
      <w:r w:rsidR="00F00E3D" w:rsidRPr="778E395A">
        <w:rPr>
          <w:rFonts w:asciiTheme="majorHAnsi" w:hAnsiTheme="majorHAnsi" w:cstheme="majorBidi"/>
          <w:sz w:val="23"/>
          <w:szCs w:val="23"/>
        </w:rPr>
        <w:t xml:space="preserve"> 91</w:t>
      </w:r>
      <w:r w:rsidRPr="778E395A">
        <w:rPr>
          <w:rFonts w:asciiTheme="majorHAnsi" w:hAnsiTheme="majorHAnsi" w:cstheme="majorBidi"/>
          <w:sz w:val="23"/>
          <w:szCs w:val="23"/>
        </w:rPr>
        <w:t>,</w:t>
      </w:r>
      <w:r w:rsidR="00F00E3D" w:rsidRPr="778E395A">
        <w:rPr>
          <w:rFonts w:asciiTheme="majorHAnsi" w:hAnsiTheme="majorHAnsi" w:cstheme="majorBidi"/>
          <w:sz w:val="23"/>
          <w:szCs w:val="23"/>
        </w:rPr>
        <w:t>802 households in the City of Greater Geelong</w:t>
      </w:r>
      <w:r w:rsidRPr="778E395A">
        <w:rPr>
          <w:rFonts w:asciiTheme="majorHAnsi" w:hAnsiTheme="majorHAnsi" w:cstheme="majorBidi"/>
          <w:sz w:val="23"/>
          <w:szCs w:val="23"/>
        </w:rPr>
        <w:t>,</w:t>
      </w:r>
      <w:r w:rsidR="00F00E3D" w:rsidRPr="778E395A">
        <w:rPr>
          <w:rFonts w:asciiTheme="majorHAnsi" w:hAnsiTheme="majorHAnsi" w:cstheme="majorBidi"/>
          <w:sz w:val="23"/>
          <w:szCs w:val="23"/>
        </w:rPr>
        <w:t xml:space="preserve"> 8618</w:t>
      </w:r>
      <w:r w:rsidRPr="778E395A">
        <w:rPr>
          <w:rFonts w:asciiTheme="majorHAnsi" w:hAnsiTheme="majorHAnsi" w:cstheme="majorBidi"/>
          <w:sz w:val="23"/>
          <w:szCs w:val="23"/>
        </w:rPr>
        <w:t xml:space="preserve"> </w:t>
      </w:r>
      <w:r w:rsidR="006629D7" w:rsidRPr="778E395A">
        <w:rPr>
          <w:rFonts w:asciiTheme="majorHAnsi" w:hAnsiTheme="majorHAnsi" w:cstheme="majorBidi"/>
          <w:sz w:val="23"/>
          <w:szCs w:val="23"/>
        </w:rPr>
        <w:t xml:space="preserve">of these </w:t>
      </w:r>
      <w:r w:rsidRPr="778E395A">
        <w:rPr>
          <w:rFonts w:asciiTheme="majorHAnsi" w:hAnsiTheme="majorHAnsi" w:cstheme="majorBidi"/>
          <w:sz w:val="23"/>
          <w:szCs w:val="23"/>
        </w:rPr>
        <w:t>households</w:t>
      </w:r>
      <w:r w:rsidR="00F00E3D" w:rsidRPr="778E395A">
        <w:rPr>
          <w:rFonts w:asciiTheme="majorHAnsi" w:hAnsiTheme="majorHAnsi" w:cstheme="majorBidi"/>
          <w:sz w:val="23"/>
          <w:szCs w:val="23"/>
        </w:rPr>
        <w:t xml:space="preserve"> were in rental housing stress (41</w:t>
      </w:r>
      <w:r w:rsidRPr="778E395A">
        <w:rPr>
          <w:rFonts w:asciiTheme="majorHAnsi" w:hAnsiTheme="majorHAnsi" w:cstheme="majorBidi"/>
          <w:sz w:val="23"/>
          <w:szCs w:val="23"/>
        </w:rPr>
        <w:t xml:space="preserve"> percent</w:t>
      </w:r>
      <w:r w:rsidR="00F00E3D" w:rsidRPr="778E395A">
        <w:rPr>
          <w:rFonts w:asciiTheme="majorHAnsi" w:hAnsiTheme="majorHAnsi" w:cstheme="majorBidi"/>
          <w:sz w:val="23"/>
          <w:szCs w:val="23"/>
        </w:rPr>
        <w:t xml:space="preserve"> of </w:t>
      </w:r>
      <w:r w:rsidRPr="778E395A">
        <w:rPr>
          <w:rFonts w:asciiTheme="majorHAnsi" w:hAnsiTheme="majorHAnsi" w:cstheme="majorBidi"/>
          <w:sz w:val="23"/>
          <w:szCs w:val="23"/>
        </w:rPr>
        <w:t>a total</w:t>
      </w:r>
      <w:r w:rsidR="00F00E3D" w:rsidRPr="778E395A">
        <w:rPr>
          <w:rFonts w:asciiTheme="majorHAnsi" w:hAnsiTheme="majorHAnsi" w:cstheme="majorBidi"/>
          <w:sz w:val="23"/>
          <w:szCs w:val="23"/>
        </w:rPr>
        <w:t xml:space="preserve"> 24</w:t>
      </w:r>
      <w:r w:rsidRPr="778E395A">
        <w:rPr>
          <w:rFonts w:asciiTheme="majorHAnsi" w:hAnsiTheme="majorHAnsi" w:cstheme="majorBidi"/>
          <w:sz w:val="23"/>
          <w:szCs w:val="23"/>
        </w:rPr>
        <w:t>,</w:t>
      </w:r>
      <w:r w:rsidR="00F00E3D" w:rsidRPr="778E395A">
        <w:rPr>
          <w:rFonts w:asciiTheme="majorHAnsi" w:hAnsiTheme="majorHAnsi" w:cstheme="majorBidi"/>
          <w:sz w:val="23"/>
          <w:szCs w:val="23"/>
        </w:rPr>
        <w:t>377 renters)</w:t>
      </w:r>
      <w:r w:rsidR="006629D7" w:rsidRPr="778E395A">
        <w:rPr>
          <w:rFonts w:asciiTheme="majorHAnsi" w:hAnsiTheme="majorHAnsi" w:cstheme="majorBidi"/>
          <w:sz w:val="23"/>
          <w:szCs w:val="23"/>
        </w:rPr>
        <w:t>,</w:t>
      </w:r>
      <w:r w:rsidR="00F00E3D" w:rsidRPr="778E395A">
        <w:rPr>
          <w:rFonts w:asciiTheme="majorHAnsi" w:hAnsiTheme="majorHAnsi" w:cstheme="majorBidi"/>
          <w:sz w:val="23"/>
          <w:szCs w:val="23"/>
        </w:rPr>
        <w:t xml:space="preserve"> and 322 </w:t>
      </w:r>
      <w:r w:rsidRPr="778E395A">
        <w:rPr>
          <w:rFonts w:asciiTheme="majorHAnsi" w:hAnsiTheme="majorHAnsi" w:cstheme="majorBidi"/>
          <w:sz w:val="23"/>
          <w:szCs w:val="23"/>
        </w:rPr>
        <w:t xml:space="preserve">were </w:t>
      </w:r>
      <w:r w:rsidR="00F00E3D" w:rsidRPr="778E395A">
        <w:rPr>
          <w:rFonts w:asciiTheme="majorHAnsi" w:hAnsiTheme="majorHAnsi" w:cstheme="majorBidi"/>
          <w:sz w:val="23"/>
          <w:szCs w:val="23"/>
        </w:rPr>
        <w:t>in mortgage stress</w:t>
      </w:r>
      <w:r w:rsidR="00203685">
        <w:rPr>
          <w:rFonts w:asciiTheme="majorHAnsi" w:hAnsiTheme="majorHAnsi" w:cstheme="majorBidi"/>
          <w:sz w:val="23"/>
          <w:szCs w:val="23"/>
        </w:rPr>
        <w:t>.</w:t>
      </w:r>
      <w:r w:rsidR="00203685">
        <w:rPr>
          <w:rStyle w:val="FootnoteReference"/>
          <w:rFonts w:asciiTheme="majorHAnsi" w:hAnsiTheme="majorHAnsi" w:cstheme="majorBidi"/>
          <w:sz w:val="23"/>
          <w:szCs w:val="23"/>
        </w:rPr>
        <w:footnoteReference w:id="5"/>
      </w:r>
      <w:r w:rsidR="0E35C8A3" w:rsidRPr="778E395A">
        <w:rPr>
          <w:rFonts w:asciiTheme="majorHAnsi" w:hAnsiTheme="majorHAnsi" w:cstheme="majorBidi"/>
          <w:sz w:val="23"/>
          <w:szCs w:val="23"/>
        </w:rPr>
        <w:t xml:space="preserve"> </w:t>
      </w:r>
      <w:r w:rsidR="003B1129" w:rsidRPr="778E395A">
        <w:rPr>
          <w:rFonts w:asciiTheme="majorHAnsi" w:hAnsiTheme="majorHAnsi" w:cstheme="majorBidi"/>
          <w:sz w:val="23"/>
          <w:szCs w:val="23"/>
        </w:rPr>
        <w:t>Table 7.</w:t>
      </w:r>
      <w:r w:rsidR="00DD31C8" w:rsidRPr="778E395A">
        <w:rPr>
          <w:rFonts w:asciiTheme="majorHAnsi" w:hAnsiTheme="majorHAnsi" w:cstheme="majorBidi"/>
          <w:sz w:val="23"/>
          <w:szCs w:val="23"/>
        </w:rPr>
        <w:t>9</w:t>
      </w:r>
      <w:r w:rsidR="003B1129" w:rsidRPr="778E395A">
        <w:rPr>
          <w:rFonts w:asciiTheme="majorHAnsi" w:hAnsiTheme="majorHAnsi" w:cstheme="majorBidi"/>
          <w:sz w:val="23"/>
          <w:szCs w:val="23"/>
        </w:rPr>
        <w:t xml:space="preserve"> (below) shows </w:t>
      </w:r>
      <w:r w:rsidR="00DD31C8" w:rsidRPr="778E395A">
        <w:rPr>
          <w:rFonts w:asciiTheme="majorHAnsi" w:hAnsiTheme="majorHAnsi" w:cstheme="majorBidi"/>
          <w:sz w:val="23"/>
          <w:szCs w:val="23"/>
        </w:rPr>
        <w:t>data on</w:t>
      </w:r>
      <w:r w:rsidR="003B1129" w:rsidRPr="778E395A">
        <w:rPr>
          <w:rFonts w:asciiTheme="majorHAnsi" w:hAnsiTheme="majorHAnsi" w:cstheme="majorBidi"/>
          <w:sz w:val="23"/>
          <w:szCs w:val="23"/>
        </w:rPr>
        <w:t xml:space="preserve"> households</w:t>
      </w:r>
      <w:r w:rsidR="00F00E3D" w:rsidRPr="778E395A">
        <w:rPr>
          <w:rFonts w:asciiTheme="majorHAnsi" w:hAnsiTheme="majorHAnsi" w:cstheme="majorBidi"/>
          <w:sz w:val="23"/>
          <w:szCs w:val="23"/>
        </w:rPr>
        <w:t xml:space="preserve"> </w:t>
      </w:r>
      <w:r w:rsidR="00DD31C8" w:rsidRPr="778E395A">
        <w:rPr>
          <w:rFonts w:asciiTheme="majorHAnsi" w:hAnsiTheme="majorHAnsi" w:cstheme="majorBidi"/>
          <w:sz w:val="23"/>
          <w:szCs w:val="23"/>
        </w:rPr>
        <w:t>experiencing</w:t>
      </w:r>
      <w:r w:rsidR="00F00E3D" w:rsidRPr="778E395A">
        <w:rPr>
          <w:rFonts w:asciiTheme="majorHAnsi" w:hAnsiTheme="majorHAnsi" w:cstheme="majorBidi"/>
          <w:sz w:val="23"/>
          <w:szCs w:val="23"/>
        </w:rPr>
        <w:t xml:space="preserve"> rental stress </w:t>
      </w:r>
      <w:r w:rsidR="00A03FCA" w:rsidRPr="778E395A">
        <w:rPr>
          <w:rFonts w:asciiTheme="majorHAnsi" w:hAnsiTheme="majorHAnsi" w:cstheme="majorBidi"/>
          <w:sz w:val="23"/>
          <w:szCs w:val="23"/>
        </w:rPr>
        <w:t>in several Geelong localities in</w:t>
      </w:r>
      <w:r w:rsidR="00DD31C8" w:rsidRPr="778E395A">
        <w:rPr>
          <w:rFonts w:asciiTheme="majorHAnsi" w:hAnsiTheme="majorHAnsi" w:cstheme="majorBidi"/>
          <w:sz w:val="23"/>
          <w:szCs w:val="23"/>
        </w:rPr>
        <w:t xml:space="preserve"> 2020, while Table 7.10 (below) provides comparable local data for mortgage stress.</w:t>
      </w:r>
      <w:r w:rsidR="00A03FCA" w:rsidRPr="778E395A">
        <w:rPr>
          <w:rFonts w:asciiTheme="majorHAnsi" w:hAnsiTheme="majorHAnsi" w:cstheme="majorBidi"/>
          <w:sz w:val="23"/>
          <w:szCs w:val="23"/>
        </w:rPr>
        <w:t xml:space="preserve"> This data reveals a significant issue of rental stress in the localities of focus, and a smaller but nonetheless significant incidence of mortgage stress.</w:t>
      </w:r>
      <w:r w:rsidR="00B82C64" w:rsidRPr="778E395A">
        <w:rPr>
          <w:rFonts w:asciiTheme="majorHAnsi" w:hAnsiTheme="majorHAnsi" w:cstheme="majorBidi"/>
          <w:sz w:val="23"/>
          <w:szCs w:val="23"/>
        </w:rPr>
        <w:t xml:space="preserve"> Figure 7.</w:t>
      </w:r>
      <w:r w:rsidR="3BB40AD3" w:rsidRPr="778E395A">
        <w:rPr>
          <w:rFonts w:asciiTheme="majorHAnsi" w:hAnsiTheme="majorHAnsi" w:cstheme="majorBidi"/>
          <w:sz w:val="23"/>
          <w:szCs w:val="23"/>
        </w:rPr>
        <w:t>6</w:t>
      </w:r>
      <w:r w:rsidR="00B82C64" w:rsidRPr="778E395A">
        <w:rPr>
          <w:rFonts w:asciiTheme="majorHAnsi" w:hAnsiTheme="majorHAnsi" w:cstheme="majorBidi"/>
          <w:sz w:val="23"/>
          <w:szCs w:val="23"/>
        </w:rPr>
        <w:t xml:space="preserve"> (below) reinforces this picture of localised rental stress, particularly in Corio–Norlane.</w:t>
      </w:r>
    </w:p>
    <w:p w14:paraId="5969A96A" w14:textId="77777777" w:rsidR="00DD31C8" w:rsidRPr="00DD31C8" w:rsidRDefault="00DD31C8" w:rsidP="009B2FA7">
      <w:pPr>
        <w:spacing w:line="276" w:lineRule="auto"/>
        <w:rPr>
          <w:rFonts w:asciiTheme="majorHAnsi" w:hAnsiTheme="majorHAnsi" w:cstheme="majorHAnsi"/>
          <w:sz w:val="12"/>
          <w:szCs w:val="12"/>
        </w:rPr>
      </w:pPr>
    </w:p>
    <w:tbl>
      <w:tblPr>
        <w:tblStyle w:val="TableGrid"/>
        <w:tblW w:w="0" w:type="auto"/>
        <w:tblLook w:val="04A0" w:firstRow="1" w:lastRow="0" w:firstColumn="1" w:lastColumn="0" w:noHBand="0" w:noVBand="1"/>
      </w:tblPr>
      <w:tblGrid>
        <w:gridCol w:w="2972"/>
        <w:gridCol w:w="3260"/>
        <w:gridCol w:w="3390"/>
      </w:tblGrid>
      <w:tr w:rsidR="003B1129" w:rsidRPr="003B1129" w14:paraId="3396C542" w14:textId="77777777" w:rsidTr="00DD31C8">
        <w:tc>
          <w:tcPr>
            <w:tcW w:w="2972" w:type="dxa"/>
            <w:shd w:val="clear" w:color="auto" w:fill="D0CECE" w:themeFill="background2" w:themeFillShade="E6"/>
            <w:vAlign w:val="center"/>
          </w:tcPr>
          <w:p w14:paraId="5AF2E7FC" w14:textId="387C32FC" w:rsidR="003B1129" w:rsidRPr="003B1129" w:rsidRDefault="003B1129" w:rsidP="00DD31C8">
            <w:pPr>
              <w:spacing w:line="276" w:lineRule="auto"/>
              <w:rPr>
                <w:rFonts w:cstheme="minorHAnsi"/>
                <w:b/>
                <w:bCs/>
                <w:sz w:val="21"/>
                <w:szCs w:val="21"/>
              </w:rPr>
            </w:pPr>
            <w:bookmarkStart w:id="90" w:name="_Hlk71039991"/>
            <w:r w:rsidRPr="003B1129">
              <w:rPr>
                <w:rFonts w:cstheme="minorHAnsi"/>
                <w:b/>
                <w:bCs/>
                <w:sz w:val="21"/>
                <w:szCs w:val="21"/>
              </w:rPr>
              <w:t>Locality</w:t>
            </w:r>
          </w:p>
        </w:tc>
        <w:tc>
          <w:tcPr>
            <w:tcW w:w="3260" w:type="dxa"/>
            <w:shd w:val="clear" w:color="auto" w:fill="D0CECE" w:themeFill="background2" w:themeFillShade="E6"/>
            <w:vAlign w:val="center"/>
          </w:tcPr>
          <w:p w14:paraId="33BA8324" w14:textId="0F9DC059" w:rsidR="003B1129" w:rsidRPr="003B1129" w:rsidRDefault="003B1129" w:rsidP="00DD31C8">
            <w:pPr>
              <w:spacing w:line="276" w:lineRule="auto"/>
              <w:rPr>
                <w:rFonts w:cstheme="minorHAnsi"/>
                <w:b/>
                <w:bCs/>
                <w:sz w:val="21"/>
                <w:szCs w:val="21"/>
              </w:rPr>
            </w:pPr>
            <w:r w:rsidRPr="003B1129">
              <w:rPr>
                <w:rFonts w:cstheme="minorHAnsi"/>
                <w:b/>
                <w:bCs/>
                <w:sz w:val="21"/>
                <w:szCs w:val="21"/>
              </w:rPr>
              <w:t>Households in Rental Stress (%)</w:t>
            </w:r>
          </w:p>
        </w:tc>
        <w:tc>
          <w:tcPr>
            <w:tcW w:w="3390" w:type="dxa"/>
            <w:shd w:val="clear" w:color="auto" w:fill="D0CECE" w:themeFill="background2" w:themeFillShade="E6"/>
            <w:vAlign w:val="center"/>
          </w:tcPr>
          <w:p w14:paraId="1545D8B1" w14:textId="7BA240FD" w:rsidR="003B1129" w:rsidRPr="003B1129" w:rsidRDefault="003B1129" w:rsidP="00DD31C8">
            <w:pPr>
              <w:spacing w:line="276" w:lineRule="auto"/>
              <w:rPr>
                <w:rFonts w:cstheme="minorHAnsi"/>
                <w:b/>
                <w:bCs/>
                <w:sz w:val="21"/>
                <w:szCs w:val="21"/>
              </w:rPr>
            </w:pPr>
            <w:r w:rsidRPr="003B1129">
              <w:rPr>
                <w:rFonts w:cstheme="minorHAnsi"/>
                <w:b/>
                <w:bCs/>
                <w:sz w:val="21"/>
                <w:szCs w:val="21"/>
              </w:rPr>
              <w:t>Households in Rental Stress (#)</w:t>
            </w:r>
          </w:p>
        </w:tc>
      </w:tr>
      <w:tr w:rsidR="003B1129" w:rsidRPr="003B1129" w14:paraId="5F9D3F1A" w14:textId="77777777" w:rsidTr="00DD31C8">
        <w:tc>
          <w:tcPr>
            <w:tcW w:w="2972" w:type="dxa"/>
            <w:vAlign w:val="center"/>
          </w:tcPr>
          <w:p w14:paraId="3A1A4F57" w14:textId="069D7DA5"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Portarlington</w:t>
            </w:r>
          </w:p>
        </w:tc>
        <w:tc>
          <w:tcPr>
            <w:tcW w:w="3260" w:type="dxa"/>
            <w:vAlign w:val="center"/>
          </w:tcPr>
          <w:p w14:paraId="1E6298B2" w14:textId="092F279C"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 xml:space="preserve">45.4      </w:t>
            </w:r>
          </w:p>
        </w:tc>
        <w:tc>
          <w:tcPr>
            <w:tcW w:w="3390" w:type="dxa"/>
            <w:vAlign w:val="center"/>
          </w:tcPr>
          <w:p w14:paraId="4788A135" w14:textId="73DC5832"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325</w:t>
            </w:r>
          </w:p>
        </w:tc>
      </w:tr>
      <w:tr w:rsidR="003B1129" w:rsidRPr="003B1129" w14:paraId="2B58DE04" w14:textId="77777777" w:rsidTr="00DD31C8">
        <w:tc>
          <w:tcPr>
            <w:tcW w:w="2972" w:type="dxa"/>
            <w:vAlign w:val="center"/>
          </w:tcPr>
          <w:p w14:paraId="2E8AA1E9" w14:textId="2DC429A2"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Newcomb-Moolap</w:t>
            </w:r>
          </w:p>
        </w:tc>
        <w:tc>
          <w:tcPr>
            <w:tcW w:w="3260" w:type="dxa"/>
            <w:vAlign w:val="center"/>
          </w:tcPr>
          <w:p w14:paraId="17723CD7" w14:textId="29ADBCC2"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43.1</w:t>
            </w:r>
          </w:p>
        </w:tc>
        <w:tc>
          <w:tcPr>
            <w:tcW w:w="3390" w:type="dxa"/>
            <w:vAlign w:val="center"/>
          </w:tcPr>
          <w:p w14:paraId="1494CBBD" w14:textId="30DAF27B"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559</w:t>
            </w:r>
          </w:p>
        </w:tc>
      </w:tr>
      <w:tr w:rsidR="003B1129" w:rsidRPr="003B1129" w14:paraId="5195A3C7" w14:textId="77777777" w:rsidTr="00DD31C8">
        <w:tc>
          <w:tcPr>
            <w:tcW w:w="2972" w:type="dxa"/>
            <w:vAlign w:val="center"/>
          </w:tcPr>
          <w:p w14:paraId="0B49F674" w14:textId="1FBCC1C2"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Corio-Norlane</w:t>
            </w:r>
          </w:p>
        </w:tc>
        <w:tc>
          <w:tcPr>
            <w:tcW w:w="3260" w:type="dxa"/>
            <w:vAlign w:val="center"/>
          </w:tcPr>
          <w:p w14:paraId="2F80800E" w14:textId="5B3AED1A"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41.9</w:t>
            </w:r>
          </w:p>
        </w:tc>
        <w:tc>
          <w:tcPr>
            <w:tcW w:w="3390" w:type="dxa"/>
            <w:vAlign w:val="center"/>
          </w:tcPr>
          <w:p w14:paraId="6FBD7099" w14:textId="13A8672E"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1035</w:t>
            </w:r>
          </w:p>
        </w:tc>
      </w:tr>
      <w:tr w:rsidR="003B1129" w:rsidRPr="003B1129" w14:paraId="1F654E47" w14:textId="77777777" w:rsidTr="00DD31C8">
        <w:tc>
          <w:tcPr>
            <w:tcW w:w="2972" w:type="dxa"/>
            <w:vAlign w:val="center"/>
          </w:tcPr>
          <w:p w14:paraId="7DFBDDA8" w14:textId="5F9F6D39"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Highton</w:t>
            </w:r>
          </w:p>
        </w:tc>
        <w:tc>
          <w:tcPr>
            <w:tcW w:w="3260" w:type="dxa"/>
            <w:vAlign w:val="center"/>
          </w:tcPr>
          <w:p w14:paraId="42737F73" w14:textId="46102A6A"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30.0</w:t>
            </w:r>
          </w:p>
        </w:tc>
        <w:tc>
          <w:tcPr>
            <w:tcW w:w="3390" w:type="dxa"/>
            <w:vAlign w:val="center"/>
          </w:tcPr>
          <w:p w14:paraId="63ED3DB6" w14:textId="1BC75F78"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321</w:t>
            </w:r>
          </w:p>
        </w:tc>
      </w:tr>
      <w:tr w:rsidR="003B1129" w:rsidRPr="003B1129" w14:paraId="379BBA0B" w14:textId="77777777" w:rsidTr="00DD31C8">
        <w:tc>
          <w:tcPr>
            <w:tcW w:w="2972" w:type="dxa"/>
            <w:vAlign w:val="center"/>
          </w:tcPr>
          <w:p w14:paraId="6A1B2CEA" w14:textId="38B72492"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Newtown</w:t>
            </w:r>
          </w:p>
        </w:tc>
        <w:tc>
          <w:tcPr>
            <w:tcW w:w="3260" w:type="dxa"/>
            <w:vAlign w:val="center"/>
          </w:tcPr>
          <w:p w14:paraId="2F96FA2E" w14:textId="05FD0761"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27.4</w:t>
            </w:r>
          </w:p>
        </w:tc>
        <w:tc>
          <w:tcPr>
            <w:tcW w:w="3390" w:type="dxa"/>
            <w:vAlign w:val="center"/>
          </w:tcPr>
          <w:p w14:paraId="4E088323" w14:textId="59FF1C8C"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258</w:t>
            </w:r>
          </w:p>
        </w:tc>
      </w:tr>
      <w:tr w:rsidR="003B1129" w:rsidRPr="003B1129" w14:paraId="1DAF640D" w14:textId="77777777" w:rsidTr="00DD31C8">
        <w:tc>
          <w:tcPr>
            <w:tcW w:w="2972" w:type="dxa"/>
            <w:vAlign w:val="center"/>
          </w:tcPr>
          <w:p w14:paraId="3C4413B8" w14:textId="3B749E52"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Geelong City</w:t>
            </w:r>
          </w:p>
        </w:tc>
        <w:tc>
          <w:tcPr>
            <w:tcW w:w="3260" w:type="dxa"/>
            <w:vAlign w:val="center"/>
          </w:tcPr>
          <w:p w14:paraId="1AB540A7" w14:textId="4307355A"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28.5</w:t>
            </w:r>
          </w:p>
        </w:tc>
        <w:tc>
          <w:tcPr>
            <w:tcW w:w="3390" w:type="dxa"/>
            <w:vAlign w:val="center"/>
          </w:tcPr>
          <w:p w14:paraId="367E1319" w14:textId="586A2AB8" w:rsidR="003B1129" w:rsidRPr="003B1129" w:rsidRDefault="003B1129" w:rsidP="00DD31C8">
            <w:pPr>
              <w:spacing w:line="276" w:lineRule="auto"/>
              <w:rPr>
                <w:rFonts w:asciiTheme="majorHAnsi" w:hAnsiTheme="majorHAnsi" w:cstheme="majorHAnsi"/>
                <w:sz w:val="21"/>
                <w:szCs w:val="21"/>
              </w:rPr>
            </w:pPr>
            <w:r w:rsidRPr="003B1129">
              <w:rPr>
                <w:rFonts w:asciiTheme="majorHAnsi" w:hAnsiTheme="majorHAnsi" w:cstheme="majorHAnsi"/>
                <w:sz w:val="21"/>
                <w:szCs w:val="21"/>
              </w:rPr>
              <w:t>491</w:t>
            </w:r>
          </w:p>
        </w:tc>
      </w:tr>
    </w:tbl>
    <w:bookmarkEnd w:id="90"/>
    <w:p w14:paraId="73121CC3" w14:textId="41C6D85F" w:rsidR="003B1129" w:rsidRDefault="003B1129" w:rsidP="00A03FCA">
      <w:pPr>
        <w:spacing w:after="0" w:line="276" w:lineRule="auto"/>
        <w:rPr>
          <w:rFonts w:cstheme="minorHAnsi"/>
          <w:noProof/>
          <w:sz w:val="21"/>
          <w:szCs w:val="21"/>
        </w:rPr>
      </w:pPr>
      <w:r w:rsidRPr="003B1129">
        <w:rPr>
          <w:rFonts w:cstheme="minorHAnsi"/>
          <w:b/>
          <w:bCs/>
          <w:sz w:val="21"/>
          <w:szCs w:val="21"/>
        </w:rPr>
        <w:t xml:space="preserve">Table </w:t>
      </w:r>
      <w:r w:rsidR="00DD31C8">
        <w:rPr>
          <w:rFonts w:cstheme="minorHAnsi"/>
          <w:b/>
          <w:bCs/>
          <w:sz w:val="21"/>
          <w:szCs w:val="21"/>
        </w:rPr>
        <w:t>7.9</w:t>
      </w:r>
      <w:r w:rsidRPr="003B1129">
        <w:rPr>
          <w:rFonts w:cstheme="minorHAnsi"/>
          <w:b/>
          <w:bCs/>
          <w:sz w:val="21"/>
          <w:szCs w:val="21"/>
        </w:rPr>
        <w:t xml:space="preserve">: Households in Rental Stress, Geelong Region, 2020 </w:t>
      </w:r>
      <w:r w:rsidRPr="00DD31C8">
        <w:rPr>
          <w:rFonts w:cstheme="minorHAnsi"/>
          <w:b/>
          <w:bCs/>
          <w:noProof/>
          <w:sz w:val="21"/>
          <w:szCs w:val="21"/>
        </w:rPr>
        <w:t>(Source: .id consulting pty ltd, 2021)</w:t>
      </w:r>
    </w:p>
    <w:p w14:paraId="1A2756CA" w14:textId="77777777" w:rsidR="00DD31C8" w:rsidRPr="002C52A2" w:rsidRDefault="00DD31C8" w:rsidP="003B1129">
      <w:pPr>
        <w:spacing w:line="276" w:lineRule="auto"/>
        <w:rPr>
          <w:rFonts w:cstheme="minorHAnsi"/>
          <w:b/>
          <w:sz w:val="12"/>
          <w:szCs w:val="12"/>
        </w:rPr>
      </w:pPr>
    </w:p>
    <w:tbl>
      <w:tblPr>
        <w:tblStyle w:val="TableGrid"/>
        <w:tblW w:w="0" w:type="auto"/>
        <w:tblLook w:val="04A0" w:firstRow="1" w:lastRow="0" w:firstColumn="1" w:lastColumn="0" w:noHBand="0" w:noVBand="1"/>
      </w:tblPr>
      <w:tblGrid>
        <w:gridCol w:w="2972"/>
        <w:gridCol w:w="3260"/>
        <w:gridCol w:w="3390"/>
      </w:tblGrid>
      <w:tr w:rsidR="00DD31C8" w:rsidRPr="00DD31C8" w14:paraId="6E434054" w14:textId="77777777" w:rsidTr="00DD31C8">
        <w:tc>
          <w:tcPr>
            <w:tcW w:w="2972" w:type="dxa"/>
            <w:shd w:val="clear" w:color="auto" w:fill="D0CECE" w:themeFill="background2" w:themeFillShade="E6"/>
            <w:vAlign w:val="center"/>
          </w:tcPr>
          <w:p w14:paraId="73492E15" w14:textId="77777777" w:rsidR="00DD31C8" w:rsidRPr="00DD31C8" w:rsidRDefault="00DD31C8" w:rsidP="00DD31C8">
            <w:pPr>
              <w:spacing w:line="276" w:lineRule="auto"/>
              <w:rPr>
                <w:rFonts w:cstheme="minorHAnsi"/>
                <w:b/>
                <w:bCs/>
                <w:sz w:val="21"/>
                <w:szCs w:val="21"/>
              </w:rPr>
            </w:pPr>
            <w:r w:rsidRPr="00DD31C8">
              <w:rPr>
                <w:rFonts w:cstheme="minorHAnsi"/>
                <w:b/>
                <w:bCs/>
                <w:sz w:val="21"/>
                <w:szCs w:val="21"/>
              </w:rPr>
              <w:t>Locality</w:t>
            </w:r>
          </w:p>
        </w:tc>
        <w:tc>
          <w:tcPr>
            <w:tcW w:w="3260" w:type="dxa"/>
            <w:shd w:val="clear" w:color="auto" w:fill="D0CECE" w:themeFill="background2" w:themeFillShade="E6"/>
            <w:vAlign w:val="center"/>
          </w:tcPr>
          <w:p w14:paraId="5979CF2B" w14:textId="260C9CF3" w:rsidR="00DD31C8" w:rsidRPr="00DD31C8" w:rsidRDefault="00DD31C8" w:rsidP="00DD31C8">
            <w:pPr>
              <w:spacing w:line="276" w:lineRule="auto"/>
              <w:rPr>
                <w:rFonts w:cstheme="minorHAnsi"/>
                <w:b/>
                <w:bCs/>
                <w:sz w:val="21"/>
                <w:szCs w:val="21"/>
              </w:rPr>
            </w:pPr>
            <w:r w:rsidRPr="00DD31C8">
              <w:rPr>
                <w:rFonts w:cstheme="minorHAnsi"/>
                <w:b/>
                <w:bCs/>
                <w:sz w:val="21"/>
                <w:szCs w:val="21"/>
              </w:rPr>
              <w:t>Households in Mort</w:t>
            </w:r>
            <w:r>
              <w:rPr>
                <w:rFonts w:cstheme="minorHAnsi"/>
                <w:b/>
                <w:bCs/>
                <w:sz w:val="21"/>
                <w:szCs w:val="21"/>
              </w:rPr>
              <w:t>g</w:t>
            </w:r>
            <w:r w:rsidRPr="00DD31C8">
              <w:rPr>
                <w:rFonts w:cstheme="minorHAnsi"/>
                <w:b/>
                <w:bCs/>
                <w:sz w:val="21"/>
                <w:szCs w:val="21"/>
              </w:rPr>
              <w:t>age Stress (%)</w:t>
            </w:r>
          </w:p>
        </w:tc>
        <w:tc>
          <w:tcPr>
            <w:tcW w:w="3390" w:type="dxa"/>
            <w:shd w:val="clear" w:color="auto" w:fill="D0CECE" w:themeFill="background2" w:themeFillShade="E6"/>
            <w:vAlign w:val="center"/>
          </w:tcPr>
          <w:p w14:paraId="310D820F" w14:textId="4CEDCE66" w:rsidR="00DD31C8" w:rsidRPr="00DD31C8" w:rsidRDefault="00DD31C8" w:rsidP="00DD31C8">
            <w:pPr>
              <w:spacing w:line="276" w:lineRule="auto"/>
              <w:rPr>
                <w:rFonts w:cstheme="minorHAnsi"/>
                <w:b/>
                <w:bCs/>
                <w:sz w:val="21"/>
                <w:szCs w:val="21"/>
              </w:rPr>
            </w:pPr>
            <w:r w:rsidRPr="00DD31C8">
              <w:rPr>
                <w:rFonts w:cstheme="minorHAnsi"/>
                <w:b/>
                <w:bCs/>
                <w:sz w:val="21"/>
                <w:szCs w:val="21"/>
              </w:rPr>
              <w:t>Households in Mort</w:t>
            </w:r>
            <w:r>
              <w:rPr>
                <w:rFonts w:cstheme="minorHAnsi"/>
                <w:b/>
                <w:bCs/>
                <w:sz w:val="21"/>
                <w:szCs w:val="21"/>
              </w:rPr>
              <w:t>g</w:t>
            </w:r>
            <w:r w:rsidRPr="00DD31C8">
              <w:rPr>
                <w:rFonts w:cstheme="minorHAnsi"/>
                <w:b/>
                <w:bCs/>
                <w:sz w:val="21"/>
                <w:szCs w:val="21"/>
              </w:rPr>
              <w:t>age Stress (#)</w:t>
            </w:r>
          </w:p>
        </w:tc>
      </w:tr>
      <w:tr w:rsidR="00DD31C8" w:rsidRPr="00DD31C8" w14:paraId="1B5FA5A6" w14:textId="77777777" w:rsidTr="00DD31C8">
        <w:tc>
          <w:tcPr>
            <w:tcW w:w="2972" w:type="dxa"/>
            <w:vAlign w:val="center"/>
          </w:tcPr>
          <w:p w14:paraId="2507D047" w14:textId="4CF3DDD1" w:rsidR="00DD31C8" w:rsidRPr="00DD31C8" w:rsidRDefault="00DD31C8" w:rsidP="00DD31C8">
            <w:pPr>
              <w:spacing w:line="276" w:lineRule="auto"/>
              <w:rPr>
                <w:rFonts w:asciiTheme="majorHAnsi" w:hAnsiTheme="majorHAnsi" w:cstheme="majorHAnsi"/>
                <w:sz w:val="21"/>
                <w:szCs w:val="21"/>
              </w:rPr>
            </w:pPr>
            <w:r w:rsidRPr="00DD31C8">
              <w:rPr>
                <w:rFonts w:asciiTheme="majorHAnsi" w:hAnsiTheme="majorHAnsi" w:cstheme="majorHAnsi"/>
                <w:sz w:val="21"/>
                <w:szCs w:val="21"/>
              </w:rPr>
              <w:t>Corio-Norlane</w:t>
            </w:r>
            <w:r w:rsidRPr="00DD31C8">
              <w:rPr>
                <w:rFonts w:asciiTheme="majorHAnsi" w:hAnsiTheme="majorHAnsi" w:cstheme="majorHAnsi"/>
                <w:sz w:val="21"/>
                <w:szCs w:val="21"/>
              </w:rPr>
              <w:tab/>
            </w:r>
          </w:p>
        </w:tc>
        <w:tc>
          <w:tcPr>
            <w:tcW w:w="3260" w:type="dxa"/>
            <w:vAlign w:val="center"/>
          </w:tcPr>
          <w:p w14:paraId="37CDEDB7" w14:textId="0EA78820" w:rsidR="00DD31C8" w:rsidRPr="00DD31C8" w:rsidRDefault="00DD31C8" w:rsidP="00DD31C8">
            <w:pPr>
              <w:spacing w:line="276" w:lineRule="auto"/>
              <w:rPr>
                <w:rFonts w:asciiTheme="majorHAnsi" w:hAnsiTheme="majorHAnsi" w:cstheme="majorHAnsi"/>
                <w:sz w:val="21"/>
                <w:szCs w:val="21"/>
              </w:rPr>
            </w:pPr>
            <w:r w:rsidRPr="00DD31C8">
              <w:rPr>
                <w:rFonts w:asciiTheme="majorHAnsi" w:hAnsiTheme="majorHAnsi" w:cstheme="majorHAnsi"/>
                <w:sz w:val="21"/>
                <w:szCs w:val="21"/>
              </w:rPr>
              <w:t>15.2</w:t>
            </w:r>
          </w:p>
        </w:tc>
        <w:tc>
          <w:tcPr>
            <w:tcW w:w="3390" w:type="dxa"/>
            <w:vAlign w:val="center"/>
          </w:tcPr>
          <w:p w14:paraId="7225489D" w14:textId="32BD62EC" w:rsidR="00DD31C8" w:rsidRPr="00DD31C8" w:rsidRDefault="00DD31C8" w:rsidP="00DD31C8">
            <w:pPr>
              <w:spacing w:line="276" w:lineRule="auto"/>
              <w:rPr>
                <w:rFonts w:asciiTheme="majorHAnsi" w:hAnsiTheme="majorHAnsi" w:cstheme="majorHAnsi"/>
                <w:sz w:val="21"/>
                <w:szCs w:val="21"/>
              </w:rPr>
            </w:pPr>
            <w:r w:rsidRPr="00DD31C8">
              <w:rPr>
                <w:rFonts w:asciiTheme="majorHAnsi" w:hAnsiTheme="majorHAnsi" w:cstheme="majorHAnsi"/>
                <w:sz w:val="21"/>
                <w:szCs w:val="21"/>
              </w:rPr>
              <w:t>395</w:t>
            </w:r>
          </w:p>
        </w:tc>
      </w:tr>
      <w:tr w:rsidR="00DD31C8" w:rsidRPr="00DD31C8" w14:paraId="69F48B78" w14:textId="77777777" w:rsidTr="00DD31C8">
        <w:tc>
          <w:tcPr>
            <w:tcW w:w="2972" w:type="dxa"/>
            <w:vAlign w:val="center"/>
          </w:tcPr>
          <w:p w14:paraId="3F629976" w14:textId="72F977A1" w:rsidR="00DD31C8" w:rsidRPr="00DD31C8" w:rsidRDefault="00DD31C8" w:rsidP="00DD31C8">
            <w:pPr>
              <w:spacing w:line="276" w:lineRule="auto"/>
              <w:rPr>
                <w:rFonts w:asciiTheme="majorHAnsi" w:hAnsiTheme="majorHAnsi" w:cstheme="majorHAnsi"/>
                <w:sz w:val="21"/>
                <w:szCs w:val="21"/>
              </w:rPr>
            </w:pPr>
            <w:r w:rsidRPr="00DD31C8">
              <w:rPr>
                <w:rFonts w:asciiTheme="majorHAnsi" w:hAnsiTheme="majorHAnsi" w:cstheme="majorHAnsi"/>
                <w:sz w:val="21"/>
                <w:szCs w:val="21"/>
              </w:rPr>
              <w:t>Newcomb-Moolap</w:t>
            </w:r>
          </w:p>
        </w:tc>
        <w:tc>
          <w:tcPr>
            <w:tcW w:w="3260" w:type="dxa"/>
            <w:vAlign w:val="center"/>
          </w:tcPr>
          <w:p w14:paraId="44A61AA2" w14:textId="5BD5017B" w:rsidR="00DD31C8" w:rsidRPr="00DD31C8" w:rsidRDefault="00DD31C8" w:rsidP="00DD31C8">
            <w:pPr>
              <w:spacing w:line="276" w:lineRule="auto"/>
              <w:rPr>
                <w:rFonts w:asciiTheme="majorHAnsi" w:hAnsiTheme="majorHAnsi" w:cstheme="majorHAnsi"/>
                <w:sz w:val="21"/>
                <w:szCs w:val="21"/>
              </w:rPr>
            </w:pPr>
            <w:r w:rsidRPr="00DD31C8">
              <w:rPr>
                <w:rFonts w:asciiTheme="majorHAnsi" w:hAnsiTheme="majorHAnsi" w:cstheme="majorHAnsi"/>
                <w:sz w:val="21"/>
                <w:szCs w:val="21"/>
              </w:rPr>
              <w:t>13.9</w:t>
            </w:r>
          </w:p>
        </w:tc>
        <w:tc>
          <w:tcPr>
            <w:tcW w:w="3390" w:type="dxa"/>
            <w:vAlign w:val="center"/>
          </w:tcPr>
          <w:p w14:paraId="33589FBB" w14:textId="3A2E8F53" w:rsidR="00DD31C8" w:rsidRPr="00DD31C8" w:rsidRDefault="00DD31C8" w:rsidP="00DD31C8">
            <w:pPr>
              <w:spacing w:line="276" w:lineRule="auto"/>
              <w:rPr>
                <w:rFonts w:asciiTheme="majorHAnsi" w:hAnsiTheme="majorHAnsi" w:cstheme="majorHAnsi"/>
                <w:sz w:val="21"/>
                <w:szCs w:val="21"/>
              </w:rPr>
            </w:pPr>
            <w:r w:rsidRPr="00DD31C8">
              <w:rPr>
                <w:rFonts w:asciiTheme="majorHAnsi" w:hAnsiTheme="majorHAnsi" w:cstheme="majorHAnsi"/>
                <w:sz w:val="21"/>
                <w:szCs w:val="21"/>
              </w:rPr>
              <w:t>256</w:t>
            </w:r>
          </w:p>
        </w:tc>
      </w:tr>
      <w:tr w:rsidR="00DD31C8" w:rsidRPr="00DD31C8" w14:paraId="4CE538AA" w14:textId="77777777" w:rsidTr="00DD31C8">
        <w:tc>
          <w:tcPr>
            <w:tcW w:w="2972" w:type="dxa"/>
            <w:vAlign w:val="center"/>
          </w:tcPr>
          <w:p w14:paraId="65975FD2" w14:textId="74763BA2" w:rsidR="00DD31C8" w:rsidRPr="00DD31C8" w:rsidRDefault="00DD31C8" w:rsidP="00DD31C8">
            <w:pPr>
              <w:spacing w:line="276" w:lineRule="auto"/>
              <w:rPr>
                <w:rFonts w:asciiTheme="majorHAnsi" w:hAnsiTheme="majorHAnsi" w:cstheme="majorHAnsi"/>
                <w:sz w:val="21"/>
                <w:szCs w:val="21"/>
              </w:rPr>
            </w:pPr>
            <w:r w:rsidRPr="00DD31C8">
              <w:rPr>
                <w:rFonts w:asciiTheme="majorHAnsi" w:hAnsiTheme="majorHAnsi" w:cstheme="majorHAnsi"/>
                <w:sz w:val="21"/>
                <w:szCs w:val="21"/>
              </w:rPr>
              <w:t>Highton</w:t>
            </w:r>
          </w:p>
        </w:tc>
        <w:tc>
          <w:tcPr>
            <w:tcW w:w="3260" w:type="dxa"/>
            <w:vAlign w:val="center"/>
          </w:tcPr>
          <w:p w14:paraId="7B43E456" w14:textId="52695E88" w:rsidR="00DD31C8" w:rsidRPr="00DD31C8" w:rsidRDefault="00DD31C8" w:rsidP="00DD31C8">
            <w:pPr>
              <w:spacing w:line="276" w:lineRule="auto"/>
              <w:rPr>
                <w:rFonts w:asciiTheme="majorHAnsi" w:hAnsiTheme="majorHAnsi" w:cstheme="majorHAnsi"/>
                <w:sz w:val="21"/>
                <w:szCs w:val="21"/>
              </w:rPr>
            </w:pPr>
            <w:r w:rsidRPr="00DD31C8">
              <w:rPr>
                <w:rFonts w:asciiTheme="majorHAnsi" w:hAnsiTheme="majorHAnsi" w:cstheme="majorHAnsi"/>
                <w:sz w:val="21"/>
                <w:szCs w:val="21"/>
              </w:rPr>
              <w:t>7.3</w:t>
            </w:r>
          </w:p>
        </w:tc>
        <w:tc>
          <w:tcPr>
            <w:tcW w:w="3390" w:type="dxa"/>
            <w:vAlign w:val="center"/>
          </w:tcPr>
          <w:p w14:paraId="769BAA67" w14:textId="20F0503C" w:rsidR="00DD31C8" w:rsidRPr="00DD31C8" w:rsidRDefault="00DD31C8" w:rsidP="00DD31C8">
            <w:pPr>
              <w:spacing w:line="276" w:lineRule="auto"/>
              <w:rPr>
                <w:rFonts w:asciiTheme="majorHAnsi" w:hAnsiTheme="majorHAnsi" w:cstheme="majorHAnsi"/>
                <w:sz w:val="21"/>
                <w:szCs w:val="21"/>
              </w:rPr>
            </w:pPr>
            <w:r w:rsidRPr="00DD31C8">
              <w:rPr>
                <w:rFonts w:asciiTheme="majorHAnsi" w:hAnsiTheme="majorHAnsi" w:cstheme="majorHAnsi"/>
                <w:sz w:val="21"/>
                <w:szCs w:val="21"/>
              </w:rPr>
              <w:t>210</w:t>
            </w:r>
          </w:p>
        </w:tc>
      </w:tr>
      <w:tr w:rsidR="00DD31C8" w:rsidRPr="00DD31C8" w14:paraId="7C242F64" w14:textId="77777777" w:rsidTr="00DD31C8">
        <w:tc>
          <w:tcPr>
            <w:tcW w:w="2972" w:type="dxa"/>
            <w:vAlign w:val="center"/>
          </w:tcPr>
          <w:p w14:paraId="10BBA65B" w14:textId="7CACE141" w:rsidR="00DD31C8" w:rsidRPr="00DD31C8" w:rsidRDefault="00DD31C8" w:rsidP="00DD31C8">
            <w:pPr>
              <w:spacing w:line="276" w:lineRule="auto"/>
              <w:rPr>
                <w:rFonts w:asciiTheme="majorHAnsi" w:hAnsiTheme="majorHAnsi" w:cstheme="majorHAnsi"/>
                <w:sz w:val="21"/>
                <w:szCs w:val="21"/>
              </w:rPr>
            </w:pPr>
            <w:r w:rsidRPr="00DD31C8">
              <w:rPr>
                <w:rFonts w:asciiTheme="majorHAnsi" w:hAnsiTheme="majorHAnsi" w:cstheme="majorHAnsi"/>
                <w:sz w:val="21"/>
                <w:szCs w:val="21"/>
              </w:rPr>
              <w:t>Newtown</w:t>
            </w:r>
          </w:p>
        </w:tc>
        <w:tc>
          <w:tcPr>
            <w:tcW w:w="3260" w:type="dxa"/>
            <w:vAlign w:val="center"/>
          </w:tcPr>
          <w:p w14:paraId="09E9A74F" w14:textId="01BC3A73" w:rsidR="00DD31C8" w:rsidRPr="00DD31C8" w:rsidRDefault="00DD31C8" w:rsidP="00DD31C8">
            <w:pPr>
              <w:spacing w:line="276" w:lineRule="auto"/>
              <w:rPr>
                <w:rFonts w:asciiTheme="majorHAnsi" w:hAnsiTheme="majorHAnsi" w:cstheme="majorHAnsi"/>
                <w:sz w:val="21"/>
                <w:szCs w:val="21"/>
              </w:rPr>
            </w:pPr>
            <w:r w:rsidRPr="00DD31C8">
              <w:rPr>
                <w:rFonts w:asciiTheme="majorHAnsi" w:hAnsiTheme="majorHAnsi" w:cstheme="majorHAnsi"/>
                <w:sz w:val="21"/>
                <w:szCs w:val="21"/>
              </w:rPr>
              <w:t>5.5</w:t>
            </w:r>
          </w:p>
        </w:tc>
        <w:tc>
          <w:tcPr>
            <w:tcW w:w="3390" w:type="dxa"/>
            <w:vAlign w:val="center"/>
          </w:tcPr>
          <w:p w14:paraId="63C448A8" w14:textId="26B27F1F" w:rsidR="00DD31C8" w:rsidRPr="00DD31C8" w:rsidRDefault="00DD31C8" w:rsidP="00DD31C8">
            <w:pPr>
              <w:spacing w:line="276" w:lineRule="auto"/>
              <w:rPr>
                <w:rFonts w:asciiTheme="majorHAnsi" w:hAnsiTheme="majorHAnsi" w:cstheme="majorHAnsi"/>
                <w:sz w:val="21"/>
                <w:szCs w:val="21"/>
              </w:rPr>
            </w:pPr>
            <w:r w:rsidRPr="00DD31C8">
              <w:rPr>
                <w:rFonts w:asciiTheme="majorHAnsi" w:hAnsiTheme="majorHAnsi" w:cstheme="majorHAnsi"/>
                <w:sz w:val="21"/>
                <w:szCs w:val="21"/>
              </w:rPr>
              <w:t>67</w:t>
            </w:r>
          </w:p>
        </w:tc>
      </w:tr>
    </w:tbl>
    <w:p w14:paraId="0545255D" w14:textId="29EC6294" w:rsidR="00DD31C8" w:rsidRPr="00DD31C8" w:rsidRDefault="00DD31C8" w:rsidP="00DD31C8">
      <w:pPr>
        <w:spacing w:line="276" w:lineRule="auto"/>
        <w:rPr>
          <w:rFonts w:cstheme="minorHAnsi"/>
          <w:b/>
          <w:bCs/>
          <w:sz w:val="21"/>
          <w:szCs w:val="21"/>
        </w:rPr>
      </w:pPr>
      <w:r w:rsidRPr="00DD31C8">
        <w:rPr>
          <w:rFonts w:cstheme="minorHAnsi"/>
          <w:b/>
          <w:bCs/>
          <w:sz w:val="21"/>
          <w:szCs w:val="21"/>
        </w:rPr>
        <w:t xml:space="preserve">Table </w:t>
      </w:r>
      <w:r>
        <w:rPr>
          <w:rFonts w:cstheme="minorHAnsi"/>
          <w:b/>
          <w:bCs/>
          <w:sz w:val="21"/>
          <w:szCs w:val="21"/>
        </w:rPr>
        <w:t>7.10</w:t>
      </w:r>
      <w:r w:rsidRPr="00DD31C8">
        <w:rPr>
          <w:rFonts w:cstheme="minorHAnsi"/>
          <w:b/>
          <w:bCs/>
          <w:sz w:val="21"/>
          <w:szCs w:val="21"/>
        </w:rPr>
        <w:t xml:space="preserve">: Households in Mortgage Stress, Geelong Region, 2020 </w:t>
      </w:r>
      <w:r w:rsidRPr="00DD31C8">
        <w:rPr>
          <w:rFonts w:cstheme="minorHAnsi"/>
          <w:b/>
          <w:bCs/>
          <w:noProof/>
          <w:sz w:val="21"/>
          <w:szCs w:val="21"/>
        </w:rPr>
        <w:t>(</w:t>
      </w:r>
      <w:r>
        <w:rPr>
          <w:rFonts w:cstheme="minorHAnsi"/>
          <w:b/>
          <w:bCs/>
          <w:noProof/>
          <w:sz w:val="21"/>
          <w:szCs w:val="21"/>
        </w:rPr>
        <w:t xml:space="preserve">Source: </w:t>
      </w:r>
      <w:r w:rsidRPr="00DD31C8">
        <w:rPr>
          <w:rFonts w:cstheme="minorHAnsi"/>
          <w:b/>
          <w:bCs/>
          <w:noProof/>
          <w:sz w:val="21"/>
          <w:szCs w:val="21"/>
        </w:rPr>
        <w:t>.id consulting pty ltd, 2021)</w:t>
      </w:r>
    </w:p>
    <w:p w14:paraId="0A735309" w14:textId="3E8C0DE5" w:rsidR="00DD31C8" w:rsidRDefault="00BA2641" w:rsidP="71E34AD1">
      <w:pPr>
        <w:spacing w:line="276" w:lineRule="auto"/>
        <w:rPr>
          <w:rFonts w:asciiTheme="majorHAnsi" w:hAnsiTheme="majorHAnsi" w:cstheme="majorBidi"/>
          <w:sz w:val="23"/>
          <w:szCs w:val="23"/>
        </w:rPr>
      </w:pPr>
      <w:r w:rsidRPr="71E34AD1">
        <w:rPr>
          <w:rFonts w:asciiTheme="majorHAnsi" w:hAnsiTheme="majorHAnsi" w:cstheme="majorBidi"/>
          <w:sz w:val="23"/>
          <w:szCs w:val="23"/>
        </w:rPr>
        <w:t>Over the 12 months to June 2020, only 0.4 percent of all rental listings</w:t>
      </w:r>
      <w:r w:rsidR="3C5FA25E" w:rsidRPr="71E34AD1">
        <w:rPr>
          <w:rFonts w:asciiTheme="majorHAnsi" w:hAnsiTheme="majorHAnsi" w:cstheme="majorBidi"/>
          <w:sz w:val="23"/>
          <w:szCs w:val="23"/>
        </w:rPr>
        <w:t xml:space="preserve"> in the City of Greater Geelong</w:t>
      </w:r>
      <w:r w:rsidRPr="71E34AD1">
        <w:rPr>
          <w:rFonts w:asciiTheme="majorHAnsi" w:hAnsiTheme="majorHAnsi" w:cstheme="majorBidi"/>
          <w:sz w:val="23"/>
          <w:szCs w:val="23"/>
        </w:rPr>
        <w:t xml:space="preserve"> would have been affordable to a household on a “very low income”. However, people on a “low income” can more readily afford to rent a unit or house in Corio, Norlane, or Newcomb-Moolap. These more affordable</w:t>
      </w:r>
      <w:r w:rsidR="00A03FCA" w:rsidRPr="71E34AD1">
        <w:rPr>
          <w:rFonts w:asciiTheme="majorHAnsi" w:hAnsiTheme="majorHAnsi" w:cstheme="majorBidi"/>
          <w:sz w:val="23"/>
          <w:szCs w:val="23"/>
        </w:rPr>
        <w:t xml:space="preserve"> areas</w:t>
      </w:r>
      <w:r w:rsidRPr="71E34AD1">
        <w:rPr>
          <w:rFonts w:asciiTheme="majorHAnsi" w:hAnsiTheme="majorHAnsi" w:cstheme="majorBidi"/>
          <w:sz w:val="23"/>
          <w:szCs w:val="23"/>
        </w:rPr>
        <w:t xml:space="preserve"> provide a vital housing option for people on low incomes </w:t>
      </w:r>
      <w:r w:rsidR="00A03FCA" w:rsidRPr="71E34AD1">
        <w:rPr>
          <w:rFonts w:asciiTheme="majorHAnsi" w:hAnsiTheme="majorHAnsi" w:cstheme="majorBidi"/>
          <w:sz w:val="23"/>
          <w:szCs w:val="23"/>
        </w:rPr>
        <w:t>in the</w:t>
      </w:r>
      <w:r w:rsidRPr="71E34AD1">
        <w:rPr>
          <w:rFonts w:asciiTheme="majorHAnsi" w:hAnsiTheme="majorHAnsi" w:cstheme="majorBidi"/>
          <w:sz w:val="23"/>
          <w:szCs w:val="23"/>
        </w:rPr>
        <w:t xml:space="preserve"> City of Greater Geelong. However, the significant numbers of local households already under housing stress underlines </w:t>
      </w:r>
      <w:r w:rsidRPr="71E34AD1">
        <w:rPr>
          <w:rFonts w:asciiTheme="majorHAnsi" w:hAnsiTheme="majorHAnsi" w:cstheme="majorBidi"/>
          <w:sz w:val="23"/>
          <w:szCs w:val="23"/>
        </w:rPr>
        <w:lastRenderedPageBreak/>
        <w:t>the need to investigate this issue further and develop targeted actions. If current trends continue, rates of housing stress and homelessness in Corio, Norlane, and Whittington look almost certain to increase.</w:t>
      </w:r>
    </w:p>
    <w:p w14:paraId="7D2D8E1B" w14:textId="2AFC245F" w:rsidR="00F00E3D" w:rsidRPr="00E91887" w:rsidRDefault="00F00E3D" w:rsidP="006629D7">
      <w:pPr>
        <w:spacing w:after="0" w:line="276" w:lineRule="auto"/>
      </w:pPr>
      <w:r w:rsidRPr="00E91887">
        <w:rPr>
          <w:rFonts w:asciiTheme="majorHAnsi" w:hAnsiTheme="majorHAnsi" w:cstheme="majorHAnsi"/>
          <w:noProof/>
          <w:color w:val="2B579A"/>
          <w:sz w:val="23"/>
          <w:szCs w:val="23"/>
          <w:shd w:val="clear" w:color="auto" w:fill="E6E6E6"/>
          <w:lang w:eastAsia="zh-CN"/>
        </w:rPr>
        <w:drawing>
          <wp:inline distT="0" distB="0" distL="0" distR="0" wp14:anchorId="1C3A9490" wp14:editId="62C1A979">
            <wp:extent cx="6057604" cy="4749800"/>
            <wp:effectExtent l="19050" t="19050" r="19685" b="12700"/>
            <wp:docPr id="45" name="Picture 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07" cstate="print">
                      <a:extLst>
                        <a:ext uri="{28A0092B-C50C-407E-A947-70E740481C1C}">
                          <a14:useLocalDpi xmlns:a14="http://schemas.microsoft.com/office/drawing/2010/main"/>
                        </a:ext>
                      </a:extLst>
                    </a:blip>
                    <a:stretch>
                      <a:fillRect/>
                    </a:stretch>
                  </pic:blipFill>
                  <pic:spPr>
                    <a:xfrm>
                      <a:off x="0" y="0"/>
                      <a:ext cx="6060517" cy="4752084"/>
                    </a:xfrm>
                    <a:prstGeom prst="rect">
                      <a:avLst/>
                    </a:prstGeom>
                    <a:ln w="3175">
                      <a:solidFill>
                        <a:schemeClr val="tx1"/>
                      </a:solidFill>
                    </a:ln>
                  </pic:spPr>
                </pic:pic>
              </a:graphicData>
            </a:graphic>
          </wp:inline>
        </w:drawing>
      </w:r>
      <w:r w:rsidR="2BB41770" w:rsidRPr="701B9583">
        <w:rPr>
          <w:sz w:val="12"/>
          <w:szCs w:val="12"/>
        </w:rPr>
        <w:t xml:space="preserve">       </w:t>
      </w:r>
    </w:p>
    <w:p w14:paraId="533CF3F4" w14:textId="22F86B30" w:rsidR="00D53380" w:rsidRPr="00D53380" w:rsidRDefault="00F00E3D" w:rsidP="701B9583">
      <w:pPr>
        <w:spacing w:after="0" w:line="240" w:lineRule="auto"/>
        <w:rPr>
          <w:b/>
          <w:sz w:val="21"/>
          <w:szCs w:val="21"/>
        </w:rPr>
      </w:pPr>
      <w:r w:rsidRPr="778E395A">
        <w:rPr>
          <w:b/>
          <w:bCs/>
          <w:sz w:val="21"/>
          <w:szCs w:val="21"/>
        </w:rPr>
        <w:t xml:space="preserve">Figure </w:t>
      </w:r>
      <w:r w:rsidR="00DD31C8" w:rsidRPr="778E395A">
        <w:rPr>
          <w:b/>
          <w:bCs/>
          <w:sz w:val="21"/>
          <w:szCs w:val="21"/>
        </w:rPr>
        <w:t>7</w:t>
      </w:r>
      <w:r w:rsidRPr="778E395A">
        <w:rPr>
          <w:b/>
          <w:bCs/>
          <w:sz w:val="21"/>
          <w:szCs w:val="21"/>
        </w:rPr>
        <w:t>.</w:t>
      </w:r>
      <w:r w:rsidR="54D9E3CB" w:rsidRPr="778E395A">
        <w:rPr>
          <w:b/>
          <w:bCs/>
          <w:sz w:val="21"/>
          <w:szCs w:val="21"/>
        </w:rPr>
        <w:t>6</w:t>
      </w:r>
      <w:r w:rsidRPr="778E395A">
        <w:rPr>
          <w:b/>
          <w:bCs/>
          <w:sz w:val="21"/>
          <w:szCs w:val="21"/>
        </w:rPr>
        <w:t xml:space="preserve">: </w:t>
      </w:r>
      <w:r w:rsidR="00DD31C8" w:rsidRPr="778E395A">
        <w:rPr>
          <w:b/>
          <w:bCs/>
          <w:noProof/>
          <w:sz w:val="21"/>
          <w:szCs w:val="21"/>
        </w:rPr>
        <w:t>P</w:t>
      </w:r>
      <w:r w:rsidRPr="778E395A">
        <w:rPr>
          <w:b/>
          <w:bCs/>
          <w:noProof/>
          <w:sz w:val="21"/>
          <w:szCs w:val="21"/>
        </w:rPr>
        <w:t xml:space="preserve">roportion </w:t>
      </w:r>
      <w:r w:rsidR="00BA2641" w:rsidRPr="778E395A">
        <w:rPr>
          <w:b/>
          <w:bCs/>
          <w:noProof/>
          <w:sz w:val="21"/>
          <w:szCs w:val="21"/>
        </w:rPr>
        <w:t>of</w:t>
      </w:r>
      <w:r w:rsidR="00BA2641" w:rsidRPr="778E395A">
        <w:rPr>
          <w:b/>
          <w:bCs/>
          <w:sz w:val="21"/>
          <w:szCs w:val="21"/>
        </w:rPr>
        <w:t xml:space="preserve"> </w:t>
      </w:r>
      <w:r w:rsidR="00D53380" w:rsidRPr="778E395A">
        <w:rPr>
          <w:b/>
          <w:bCs/>
          <w:sz w:val="21"/>
          <w:szCs w:val="21"/>
        </w:rPr>
        <w:t xml:space="preserve">Geelong </w:t>
      </w:r>
      <w:r w:rsidR="00BA2641" w:rsidRPr="778E395A">
        <w:rPr>
          <w:b/>
          <w:bCs/>
          <w:sz w:val="21"/>
          <w:szCs w:val="21"/>
        </w:rPr>
        <w:t xml:space="preserve">Households in Each </w:t>
      </w:r>
      <w:r w:rsidRPr="778E395A">
        <w:rPr>
          <w:b/>
          <w:bCs/>
          <w:noProof/>
          <w:sz w:val="21"/>
          <w:szCs w:val="21"/>
        </w:rPr>
        <w:t>SA2</w:t>
      </w:r>
      <w:r w:rsidR="00BA2641" w:rsidRPr="778E395A">
        <w:rPr>
          <w:b/>
          <w:bCs/>
          <w:noProof/>
          <w:sz w:val="21"/>
          <w:szCs w:val="21"/>
        </w:rPr>
        <w:t>-Level Statistical</w:t>
      </w:r>
      <w:r w:rsidR="00BA2641" w:rsidRPr="778E395A">
        <w:rPr>
          <w:b/>
          <w:bCs/>
          <w:sz w:val="21"/>
          <w:szCs w:val="21"/>
        </w:rPr>
        <w:t xml:space="preserve"> </w:t>
      </w:r>
      <w:r w:rsidR="00991229" w:rsidRPr="778E395A">
        <w:rPr>
          <w:b/>
          <w:bCs/>
          <w:sz w:val="21"/>
          <w:szCs w:val="21"/>
        </w:rPr>
        <w:t xml:space="preserve">Area </w:t>
      </w:r>
      <w:r w:rsidR="00BA2641" w:rsidRPr="778E395A">
        <w:rPr>
          <w:b/>
          <w:bCs/>
          <w:noProof/>
          <w:sz w:val="21"/>
          <w:szCs w:val="21"/>
        </w:rPr>
        <w:t xml:space="preserve">Where Rent Payments </w:t>
      </w:r>
      <w:r w:rsidR="00A03FCA" w:rsidRPr="778E395A">
        <w:rPr>
          <w:b/>
          <w:bCs/>
          <w:noProof/>
          <w:sz w:val="21"/>
          <w:szCs w:val="21"/>
        </w:rPr>
        <w:t>w</w:t>
      </w:r>
      <w:r w:rsidR="00BA2641" w:rsidRPr="778E395A">
        <w:rPr>
          <w:b/>
          <w:bCs/>
          <w:noProof/>
          <w:sz w:val="21"/>
          <w:szCs w:val="21"/>
        </w:rPr>
        <w:t xml:space="preserve">ere Greater </w:t>
      </w:r>
      <w:r w:rsidR="006629D7" w:rsidRPr="778E395A">
        <w:rPr>
          <w:b/>
          <w:bCs/>
          <w:noProof/>
          <w:sz w:val="21"/>
          <w:szCs w:val="21"/>
        </w:rPr>
        <w:t>t</w:t>
      </w:r>
      <w:r w:rsidR="00BA2641" w:rsidRPr="778E395A">
        <w:rPr>
          <w:b/>
          <w:bCs/>
          <w:noProof/>
          <w:sz w:val="21"/>
          <w:szCs w:val="21"/>
        </w:rPr>
        <w:t xml:space="preserve">han or Equal </w:t>
      </w:r>
      <w:r w:rsidR="006629D7" w:rsidRPr="778E395A">
        <w:rPr>
          <w:b/>
          <w:bCs/>
          <w:noProof/>
          <w:sz w:val="21"/>
          <w:szCs w:val="21"/>
        </w:rPr>
        <w:t>t</w:t>
      </w:r>
      <w:r w:rsidR="00BA2641" w:rsidRPr="778E395A">
        <w:rPr>
          <w:b/>
          <w:bCs/>
          <w:noProof/>
          <w:sz w:val="21"/>
          <w:szCs w:val="21"/>
        </w:rPr>
        <w:t xml:space="preserve">o 30% </w:t>
      </w:r>
      <w:r w:rsidR="00A03FCA" w:rsidRPr="778E395A">
        <w:rPr>
          <w:b/>
          <w:bCs/>
          <w:noProof/>
          <w:sz w:val="21"/>
          <w:szCs w:val="21"/>
        </w:rPr>
        <w:t>o</w:t>
      </w:r>
      <w:r w:rsidR="00BA2641" w:rsidRPr="778E395A">
        <w:rPr>
          <w:b/>
          <w:bCs/>
          <w:noProof/>
          <w:sz w:val="21"/>
          <w:szCs w:val="21"/>
        </w:rPr>
        <w:t xml:space="preserve">f Household Income </w:t>
      </w:r>
      <w:r w:rsidRPr="778E395A">
        <w:rPr>
          <w:b/>
          <w:bCs/>
          <w:noProof/>
          <w:sz w:val="21"/>
          <w:szCs w:val="21"/>
        </w:rPr>
        <w:t>(</w:t>
      </w:r>
      <w:r w:rsidR="0E25559F" w:rsidRPr="701B9583">
        <w:rPr>
          <w:b/>
          <w:bCs/>
          <w:noProof/>
          <w:sz w:val="21"/>
          <w:szCs w:val="21"/>
        </w:rPr>
        <w:t>Source: ABS, 2016)</w:t>
      </w:r>
      <w:r w:rsidR="00BA2641" w:rsidRPr="701B9583">
        <w:rPr>
          <w:b/>
          <w:bCs/>
          <w:noProof/>
          <w:sz w:val="21"/>
          <w:szCs w:val="21"/>
        </w:rPr>
        <w:t xml:space="preserve"> </w:t>
      </w:r>
      <w:r w:rsidRPr="701B9583">
        <w:rPr>
          <w:b/>
          <w:bCs/>
          <w:noProof/>
          <w:sz w:val="21"/>
          <w:szCs w:val="21"/>
        </w:rPr>
        <w:t>(</w:t>
      </w:r>
      <w:r w:rsidR="0575A7CE" w:rsidRPr="701B9583">
        <w:rPr>
          <w:b/>
          <w:bCs/>
          <w:noProof/>
          <w:sz w:val="21"/>
          <w:szCs w:val="21"/>
        </w:rPr>
        <w:t xml:space="preserve">Note: </w:t>
      </w:r>
      <w:r w:rsidR="4468A931" w:rsidRPr="701B9583">
        <w:rPr>
          <w:rFonts w:ascii="Segoe UI" w:eastAsia="Segoe UI" w:hAnsi="Segoe UI" w:cs="Segoe UI"/>
          <w:b/>
          <w:sz w:val="18"/>
          <w:szCs w:val="18"/>
        </w:rPr>
        <w:t>C-N is Corio-Norlane</w:t>
      </w:r>
      <w:r w:rsidR="30BE2FEE" w:rsidRPr="701B9583">
        <w:rPr>
          <w:rFonts w:ascii="Segoe UI" w:eastAsia="Segoe UI" w:hAnsi="Segoe UI" w:cs="Segoe UI"/>
          <w:b/>
          <w:bCs/>
          <w:noProof/>
          <w:sz w:val="18"/>
          <w:szCs w:val="18"/>
        </w:rPr>
        <w:t>,</w:t>
      </w:r>
      <w:r w:rsidR="4468A931" w:rsidRPr="701B9583">
        <w:rPr>
          <w:rFonts w:ascii="Segoe UI" w:eastAsia="Segoe UI" w:hAnsi="Segoe UI" w:cs="Segoe UI"/>
          <w:b/>
          <w:sz w:val="18"/>
          <w:szCs w:val="18"/>
        </w:rPr>
        <w:t xml:space="preserve"> and N-M is Newcomb-Moolap</w:t>
      </w:r>
      <w:r w:rsidR="0E325DB7" w:rsidRPr="701B9583">
        <w:rPr>
          <w:rFonts w:ascii="Segoe UI" w:eastAsia="Segoe UI" w:hAnsi="Segoe UI" w:cs="Segoe UI"/>
          <w:b/>
          <w:bCs/>
          <w:noProof/>
          <w:sz w:val="18"/>
          <w:szCs w:val="18"/>
        </w:rPr>
        <w:t>, which</w:t>
      </w:r>
      <w:r w:rsidR="4468A931" w:rsidRPr="701B9583">
        <w:rPr>
          <w:rFonts w:ascii="Segoe UI" w:eastAsia="Segoe UI" w:hAnsi="Segoe UI" w:cs="Segoe UI"/>
          <w:b/>
          <w:sz w:val="18"/>
          <w:szCs w:val="18"/>
        </w:rPr>
        <w:t xml:space="preserve"> takes in Whittington</w:t>
      </w:r>
      <w:r w:rsidRPr="701B9583">
        <w:rPr>
          <w:b/>
          <w:bCs/>
          <w:noProof/>
          <w:sz w:val="21"/>
          <w:szCs w:val="21"/>
        </w:rPr>
        <w:t>)</w:t>
      </w:r>
    </w:p>
    <w:p w14:paraId="15D7BF49" w14:textId="215E34D7" w:rsidR="786BA920" w:rsidRDefault="786BA920" w:rsidP="701B9583">
      <w:pPr>
        <w:spacing w:after="0" w:line="240" w:lineRule="auto"/>
        <w:rPr>
          <w:b/>
          <w:bCs/>
          <w:noProof/>
          <w:sz w:val="12"/>
          <w:szCs w:val="12"/>
        </w:rPr>
      </w:pPr>
      <w:r w:rsidRPr="701B9583">
        <w:rPr>
          <w:b/>
          <w:bCs/>
          <w:noProof/>
          <w:sz w:val="12"/>
          <w:szCs w:val="12"/>
        </w:rPr>
        <w:t xml:space="preserve">                        </w:t>
      </w:r>
    </w:p>
    <w:p w14:paraId="12B6D995" w14:textId="77777777" w:rsidR="00F00E3D" w:rsidRPr="002C52A2" w:rsidRDefault="00F00E3D" w:rsidP="009B2FA7">
      <w:pPr>
        <w:spacing w:line="276" w:lineRule="auto"/>
        <w:rPr>
          <w:rFonts w:eastAsiaTheme="majorEastAsia" w:cstheme="minorHAnsi"/>
          <w:b/>
          <w:color w:val="2F5496" w:themeColor="accent1" w:themeShade="BF"/>
          <w:sz w:val="25"/>
          <w:szCs w:val="25"/>
        </w:rPr>
      </w:pPr>
      <w:r w:rsidRPr="002C52A2">
        <w:rPr>
          <w:rFonts w:eastAsiaTheme="majorEastAsia" w:cstheme="minorHAnsi"/>
          <w:b/>
          <w:color w:val="2F5496" w:themeColor="accent1" w:themeShade="BF"/>
          <w:sz w:val="25"/>
          <w:szCs w:val="25"/>
        </w:rPr>
        <w:t>Education</w:t>
      </w:r>
    </w:p>
    <w:p w14:paraId="0BC5D3C4" w14:textId="4678B6E8" w:rsidR="00F00E3D" w:rsidRPr="00E91887" w:rsidRDefault="00871F54" w:rsidP="009B2FA7">
      <w:pPr>
        <w:spacing w:line="276" w:lineRule="auto"/>
        <w:rPr>
          <w:rFonts w:asciiTheme="majorHAnsi" w:hAnsiTheme="majorHAnsi" w:cstheme="majorHAnsi"/>
          <w:sz w:val="23"/>
          <w:szCs w:val="23"/>
        </w:rPr>
      </w:pPr>
      <w:r w:rsidRPr="00871F54">
        <w:rPr>
          <w:rFonts w:asciiTheme="majorHAnsi" w:hAnsiTheme="majorHAnsi" w:cstheme="majorHAnsi"/>
          <w:sz w:val="23"/>
          <w:szCs w:val="23"/>
        </w:rPr>
        <w:t>As previously noted, d</w:t>
      </w:r>
      <w:r w:rsidR="00F00E3D" w:rsidRPr="00871F54">
        <w:rPr>
          <w:rFonts w:asciiTheme="majorHAnsi" w:hAnsiTheme="majorHAnsi" w:cstheme="majorHAnsi"/>
          <w:sz w:val="23"/>
          <w:szCs w:val="23"/>
        </w:rPr>
        <w:t xml:space="preserve">ata on </w:t>
      </w:r>
      <w:r w:rsidR="002C52A2" w:rsidRPr="00871F54">
        <w:rPr>
          <w:rFonts w:asciiTheme="majorHAnsi" w:hAnsiTheme="majorHAnsi" w:cstheme="majorHAnsi"/>
          <w:sz w:val="23"/>
          <w:szCs w:val="23"/>
        </w:rPr>
        <w:t>e</w:t>
      </w:r>
      <w:r w:rsidR="00F00E3D" w:rsidRPr="00871F54">
        <w:rPr>
          <w:rFonts w:asciiTheme="majorHAnsi" w:hAnsiTheme="majorHAnsi" w:cstheme="majorHAnsi"/>
          <w:sz w:val="23"/>
          <w:szCs w:val="23"/>
        </w:rPr>
        <w:t xml:space="preserve">ducation levels </w:t>
      </w:r>
      <w:r w:rsidR="00DC2177" w:rsidRPr="00871F54">
        <w:rPr>
          <w:rFonts w:asciiTheme="majorHAnsi" w:hAnsiTheme="majorHAnsi" w:cstheme="majorHAnsi"/>
          <w:sz w:val="23"/>
          <w:szCs w:val="23"/>
        </w:rPr>
        <w:t>in</w:t>
      </w:r>
      <w:r w:rsidR="00F00E3D" w:rsidRPr="00871F54">
        <w:rPr>
          <w:rFonts w:asciiTheme="majorHAnsi" w:hAnsiTheme="majorHAnsi" w:cstheme="majorHAnsi"/>
          <w:sz w:val="23"/>
          <w:szCs w:val="23"/>
        </w:rPr>
        <w:t xml:space="preserve"> </w:t>
      </w:r>
      <w:r w:rsidRPr="00871F54">
        <w:rPr>
          <w:rFonts w:asciiTheme="majorHAnsi" w:hAnsiTheme="majorHAnsi" w:cstheme="majorHAnsi"/>
          <w:sz w:val="23"/>
          <w:szCs w:val="23"/>
        </w:rPr>
        <w:t>Corio, Norlane, and Whittington</w:t>
      </w:r>
      <w:r w:rsidR="00F00E3D" w:rsidRPr="00871F54">
        <w:rPr>
          <w:rFonts w:asciiTheme="majorHAnsi" w:hAnsiTheme="majorHAnsi" w:cstheme="majorHAnsi"/>
          <w:sz w:val="23"/>
          <w:szCs w:val="23"/>
        </w:rPr>
        <w:t xml:space="preserve"> indicates relatively low levels of educational achievement</w:t>
      </w:r>
      <w:r w:rsidRPr="00871F54">
        <w:rPr>
          <w:rFonts w:asciiTheme="majorHAnsi" w:hAnsiTheme="majorHAnsi" w:cstheme="majorHAnsi"/>
          <w:sz w:val="23"/>
          <w:szCs w:val="23"/>
        </w:rPr>
        <w:t>, and</w:t>
      </w:r>
      <w:r w:rsidR="00F00E3D" w:rsidRPr="00871F54">
        <w:rPr>
          <w:rFonts w:asciiTheme="majorHAnsi" w:hAnsiTheme="majorHAnsi" w:cstheme="majorHAnsi"/>
          <w:sz w:val="23"/>
          <w:szCs w:val="23"/>
        </w:rPr>
        <w:t xml:space="preserve"> few </w:t>
      </w:r>
      <w:r w:rsidR="00DC2177" w:rsidRPr="00871F54">
        <w:rPr>
          <w:rFonts w:asciiTheme="majorHAnsi" w:hAnsiTheme="majorHAnsi" w:cstheme="majorHAnsi"/>
          <w:sz w:val="23"/>
          <w:szCs w:val="23"/>
        </w:rPr>
        <w:t xml:space="preserve">students </w:t>
      </w:r>
      <w:r w:rsidR="00F00E3D" w:rsidRPr="00871F54">
        <w:rPr>
          <w:rFonts w:asciiTheme="majorHAnsi" w:hAnsiTheme="majorHAnsi" w:cstheme="majorHAnsi"/>
          <w:sz w:val="23"/>
          <w:szCs w:val="23"/>
        </w:rPr>
        <w:t>who go on to tertiary study</w:t>
      </w:r>
      <w:r w:rsidRPr="00871F54">
        <w:rPr>
          <w:rFonts w:asciiTheme="majorHAnsi" w:hAnsiTheme="majorHAnsi" w:cstheme="majorHAnsi"/>
          <w:sz w:val="23"/>
          <w:szCs w:val="23"/>
        </w:rPr>
        <w:t>,</w:t>
      </w:r>
      <w:r w:rsidR="00F00E3D" w:rsidRPr="00871F54">
        <w:rPr>
          <w:rFonts w:asciiTheme="majorHAnsi" w:hAnsiTheme="majorHAnsi" w:cstheme="majorHAnsi"/>
          <w:sz w:val="23"/>
          <w:szCs w:val="23"/>
        </w:rPr>
        <w:t xml:space="preserve"> but about</w:t>
      </w:r>
      <w:r w:rsidRPr="00871F54">
        <w:rPr>
          <w:rFonts w:asciiTheme="majorHAnsi" w:hAnsiTheme="majorHAnsi" w:cstheme="majorHAnsi"/>
          <w:sz w:val="23"/>
          <w:szCs w:val="23"/>
        </w:rPr>
        <w:t>-</w:t>
      </w:r>
      <w:r w:rsidR="00F00E3D" w:rsidRPr="00871F54">
        <w:rPr>
          <w:rFonts w:asciiTheme="majorHAnsi" w:hAnsiTheme="majorHAnsi" w:cstheme="majorHAnsi"/>
          <w:sz w:val="23"/>
          <w:szCs w:val="23"/>
        </w:rPr>
        <w:t>average level</w:t>
      </w:r>
      <w:r w:rsidRPr="00871F54">
        <w:rPr>
          <w:rFonts w:asciiTheme="majorHAnsi" w:hAnsiTheme="majorHAnsi" w:cstheme="majorHAnsi"/>
          <w:sz w:val="23"/>
          <w:szCs w:val="23"/>
        </w:rPr>
        <w:t>s</w:t>
      </w:r>
      <w:r w:rsidR="00F00E3D" w:rsidRPr="00871F54">
        <w:rPr>
          <w:rFonts w:asciiTheme="majorHAnsi" w:hAnsiTheme="majorHAnsi" w:cstheme="majorHAnsi"/>
          <w:sz w:val="23"/>
          <w:szCs w:val="23"/>
        </w:rPr>
        <w:t xml:space="preserve"> of trade and technical </w:t>
      </w:r>
      <w:r w:rsidRPr="00871F54">
        <w:rPr>
          <w:rFonts w:asciiTheme="majorHAnsi" w:hAnsiTheme="majorHAnsi" w:cstheme="majorHAnsi"/>
          <w:sz w:val="23"/>
          <w:szCs w:val="23"/>
        </w:rPr>
        <w:t xml:space="preserve">training </w:t>
      </w:r>
      <w:r w:rsidR="00DC2177" w:rsidRPr="00871F54">
        <w:rPr>
          <w:rFonts w:asciiTheme="majorHAnsi" w:hAnsiTheme="majorHAnsi" w:cstheme="majorHAnsi"/>
          <w:sz w:val="23"/>
          <w:szCs w:val="23"/>
        </w:rPr>
        <w:t>(</w:t>
      </w:r>
      <w:r w:rsidRPr="00871F54">
        <w:rPr>
          <w:rFonts w:asciiTheme="majorHAnsi" w:hAnsiTheme="majorHAnsi" w:cstheme="majorHAnsi"/>
          <w:sz w:val="23"/>
          <w:szCs w:val="23"/>
        </w:rPr>
        <w:t>ABS,</w:t>
      </w:r>
      <w:r w:rsidR="00DC2177" w:rsidRPr="00871F54">
        <w:rPr>
          <w:rFonts w:asciiTheme="majorHAnsi" w:hAnsiTheme="majorHAnsi" w:cstheme="majorHAnsi"/>
          <w:sz w:val="23"/>
          <w:szCs w:val="23"/>
        </w:rPr>
        <w:t xml:space="preserve"> 2016</w:t>
      </w:r>
      <w:r w:rsidRPr="00871F54">
        <w:rPr>
          <w:rFonts w:asciiTheme="majorHAnsi" w:hAnsiTheme="majorHAnsi" w:cstheme="majorHAnsi"/>
          <w:sz w:val="23"/>
          <w:szCs w:val="23"/>
        </w:rPr>
        <w:t>; Profile.id).</w:t>
      </w:r>
      <w:r w:rsidR="00F00E3D" w:rsidRPr="00871F54">
        <w:rPr>
          <w:rFonts w:asciiTheme="majorHAnsi" w:hAnsiTheme="majorHAnsi" w:cstheme="majorHAnsi"/>
          <w:sz w:val="23"/>
          <w:szCs w:val="23"/>
        </w:rPr>
        <w:t xml:space="preserve"> The </w:t>
      </w:r>
      <w:r w:rsidR="00F00E3D" w:rsidRPr="00871F54">
        <w:rPr>
          <w:rFonts w:asciiTheme="majorHAnsi" w:hAnsiTheme="majorHAnsi" w:cstheme="majorHAnsi"/>
          <w:noProof/>
          <w:sz w:val="23"/>
          <w:szCs w:val="23"/>
        </w:rPr>
        <w:t>My School (2021)</w:t>
      </w:r>
      <w:r w:rsidR="00F00E3D" w:rsidRPr="00871F54">
        <w:rPr>
          <w:rFonts w:asciiTheme="majorHAnsi" w:hAnsiTheme="majorHAnsi" w:cstheme="majorHAnsi"/>
          <w:sz w:val="23"/>
          <w:szCs w:val="23"/>
        </w:rPr>
        <w:t xml:space="preserve"> website offers insight into the key educational institutions in these areas</w:t>
      </w:r>
      <w:r w:rsidR="00F00E3D" w:rsidRPr="00E91887">
        <w:rPr>
          <w:rFonts w:asciiTheme="majorHAnsi" w:hAnsiTheme="majorHAnsi" w:cstheme="majorHAnsi"/>
          <w:sz w:val="23"/>
          <w:szCs w:val="23"/>
        </w:rPr>
        <w:t>.</w:t>
      </w:r>
    </w:p>
    <w:p w14:paraId="3F59C73E" w14:textId="09EF684A" w:rsidR="00F00E3D" w:rsidRPr="00E91887" w:rsidRDefault="00871F54" w:rsidP="009B2FA7">
      <w:pPr>
        <w:spacing w:line="276" w:lineRule="auto"/>
        <w:rPr>
          <w:rFonts w:asciiTheme="majorHAnsi" w:hAnsiTheme="majorHAnsi" w:cstheme="majorHAnsi"/>
          <w:sz w:val="23"/>
          <w:szCs w:val="23"/>
        </w:rPr>
      </w:pPr>
      <w:r>
        <w:rPr>
          <w:rFonts w:asciiTheme="majorHAnsi" w:hAnsiTheme="majorHAnsi" w:cstheme="majorHAnsi"/>
          <w:sz w:val="23"/>
          <w:szCs w:val="23"/>
        </w:rPr>
        <w:t>Local p</w:t>
      </w:r>
      <w:r w:rsidR="00F00E3D" w:rsidRPr="00E91887">
        <w:rPr>
          <w:rFonts w:asciiTheme="majorHAnsi" w:hAnsiTheme="majorHAnsi" w:cstheme="majorHAnsi"/>
          <w:sz w:val="23"/>
          <w:szCs w:val="23"/>
        </w:rPr>
        <w:t xml:space="preserve">rimary </w:t>
      </w:r>
      <w:r>
        <w:rPr>
          <w:rFonts w:asciiTheme="majorHAnsi" w:hAnsiTheme="majorHAnsi" w:cstheme="majorHAnsi"/>
          <w:sz w:val="23"/>
          <w:szCs w:val="23"/>
        </w:rPr>
        <w:t xml:space="preserve">education comprises a </w:t>
      </w:r>
      <w:r w:rsidR="00F00E3D" w:rsidRPr="00E91887">
        <w:rPr>
          <w:rFonts w:asciiTheme="majorHAnsi" w:hAnsiTheme="majorHAnsi" w:cstheme="majorHAnsi"/>
          <w:sz w:val="23"/>
          <w:szCs w:val="23"/>
        </w:rPr>
        <w:t xml:space="preserve">mix of </w:t>
      </w:r>
      <w:r>
        <w:rPr>
          <w:rFonts w:asciiTheme="majorHAnsi" w:hAnsiTheme="majorHAnsi" w:cstheme="majorHAnsi"/>
          <w:sz w:val="23"/>
          <w:szCs w:val="23"/>
        </w:rPr>
        <w:t>public</w:t>
      </w:r>
      <w:r w:rsidR="00F00E3D" w:rsidRPr="00E91887">
        <w:rPr>
          <w:rFonts w:asciiTheme="majorHAnsi" w:hAnsiTheme="majorHAnsi" w:cstheme="majorHAnsi"/>
          <w:sz w:val="23"/>
          <w:szCs w:val="23"/>
        </w:rPr>
        <w:t xml:space="preserve"> and Catholic schools, </w:t>
      </w:r>
      <w:r>
        <w:rPr>
          <w:rFonts w:asciiTheme="majorHAnsi" w:hAnsiTheme="majorHAnsi" w:cstheme="majorHAnsi"/>
          <w:sz w:val="23"/>
          <w:szCs w:val="23"/>
        </w:rPr>
        <w:t xml:space="preserve">which </w:t>
      </w:r>
      <w:r w:rsidR="005776E4">
        <w:rPr>
          <w:rFonts w:asciiTheme="majorHAnsi" w:hAnsiTheme="majorHAnsi" w:cstheme="majorHAnsi"/>
          <w:sz w:val="23"/>
          <w:szCs w:val="23"/>
        </w:rPr>
        <w:t>all differ in terms of</w:t>
      </w:r>
      <w:r>
        <w:rPr>
          <w:rFonts w:asciiTheme="majorHAnsi" w:hAnsiTheme="majorHAnsi" w:cstheme="majorHAnsi"/>
          <w:sz w:val="23"/>
          <w:szCs w:val="23"/>
        </w:rPr>
        <w:t xml:space="preserve"> </w:t>
      </w:r>
      <w:r w:rsidR="005776E4">
        <w:rPr>
          <w:rFonts w:asciiTheme="majorHAnsi" w:hAnsiTheme="majorHAnsi" w:cstheme="majorHAnsi"/>
          <w:sz w:val="23"/>
          <w:szCs w:val="23"/>
        </w:rPr>
        <w:t xml:space="preserve">student </w:t>
      </w:r>
      <w:r w:rsidR="00F00E3D" w:rsidRPr="00E91887">
        <w:rPr>
          <w:rFonts w:asciiTheme="majorHAnsi" w:hAnsiTheme="majorHAnsi" w:cstheme="majorHAnsi"/>
          <w:sz w:val="23"/>
          <w:szCs w:val="23"/>
        </w:rPr>
        <w:t>socioeconomic profiles, NAPLAN results</w:t>
      </w:r>
      <w:r>
        <w:rPr>
          <w:rFonts w:asciiTheme="majorHAnsi" w:hAnsiTheme="majorHAnsi" w:cstheme="majorHAnsi"/>
          <w:sz w:val="23"/>
          <w:szCs w:val="23"/>
        </w:rPr>
        <w:t xml:space="preserve">, and funding levels </w:t>
      </w:r>
      <w:r w:rsidR="00F00E3D" w:rsidRPr="00E91887">
        <w:rPr>
          <w:rFonts w:asciiTheme="majorHAnsi" w:hAnsiTheme="majorHAnsi" w:cstheme="majorHAnsi"/>
          <w:sz w:val="23"/>
          <w:szCs w:val="23"/>
        </w:rPr>
        <w:t xml:space="preserve">per student. </w:t>
      </w:r>
      <w:r>
        <w:rPr>
          <w:rFonts w:asciiTheme="majorHAnsi" w:hAnsiTheme="majorHAnsi" w:cstheme="majorHAnsi"/>
          <w:sz w:val="23"/>
          <w:szCs w:val="23"/>
        </w:rPr>
        <w:t>P</w:t>
      </w:r>
      <w:r w:rsidR="00F00E3D" w:rsidRPr="00E91887">
        <w:rPr>
          <w:rFonts w:asciiTheme="majorHAnsi" w:hAnsiTheme="majorHAnsi" w:cstheme="majorHAnsi"/>
          <w:sz w:val="23"/>
          <w:szCs w:val="23"/>
        </w:rPr>
        <w:t xml:space="preserve">rimary schools with high </w:t>
      </w:r>
      <w:r w:rsidR="005776E4">
        <w:rPr>
          <w:rFonts w:asciiTheme="majorHAnsi" w:hAnsiTheme="majorHAnsi" w:cstheme="majorHAnsi"/>
          <w:sz w:val="23"/>
          <w:szCs w:val="23"/>
        </w:rPr>
        <w:t>student representation in the</w:t>
      </w:r>
      <w:r w:rsidR="00F00E3D" w:rsidRPr="00E91887">
        <w:rPr>
          <w:rFonts w:asciiTheme="majorHAnsi" w:hAnsiTheme="majorHAnsi" w:cstheme="majorHAnsi"/>
          <w:sz w:val="23"/>
          <w:szCs w:val="23"/>
        </w:rPr>
        <w:t xml:space="preserve"> lowest socio</w:t>
      </w:r>
      <w:r>
        <w:rPr>
          <w:rFonts w:asciiTheme="majorHAnsi" w:hAnsiTheme="majorHAnsi" w:cstheme="majorHAnsi"/>
          <w:sz w:val="23"/>
          <w:szCs w:val="23"/>
        </w:rPr>
        <w:t>-</w:t>
      </w:r>
      <w:r w:rsidR="00F00E3D" w:rsidRPr="00E91887">
        <w:rPr>
          <w:rFonts w:asciiTheme="majorHAnsi" w:hAnsiTheme="majorHAnsi" w:cstheme="majorHAnsi"/>
          <w:sz w:val="23"/>
          <w:szCs w:val="23"/>
        </w:rPr>
        <w:t>educational quartiles tend to have significant proportions of</w:t>
      </w:r>
      <w:r w:rsidR="005776E4">
        <w:rPr>
          <w:rFonts w:asciiTheme="majorHAnsi" w:hAnsiTheme="majorHAnsi" w:cstheme="majorHAnsi"/>
          <w:sz w:val="23"/>
          <w:szCs w:val="23"/>
        </w:rPr>
        <w:t xml:space="preserve"> students from</w:t>
      </w:r>
      <w:r w:rsidR="00F00E3D" w:rsidRPr="00E91887">
        <w:rPr>
          <w:rFonts w:asciiTheme="majorHAnsi" w:hAnsiTheme="majorHAnsi" w:cstheme="majorHAnsi"/>
          <w:sz w:val="23"/>
          <w:szCs w:val="23"/>
        </w:rPr>
        <w:t xml:space="preserve"> </w:t>
      </w:r>
      <w:r w:rsidR="005776E4">
        <w:rPr>
          <w:rFonts w:asciiTheme="majorHAnsi" w:hAnsiTheme="majorHAnsi" w:cstheme="majorHAnsi"/>
          <w:sz w:val="23"/>
          <w:szCs w:val="23"/>
        </w:rPr>
        <w:t xml:space="preserve">both </w:t>
      </w:r>
      <w:r w:rsidR="00F00E3D" w:rsidRPr="00E91887">
        <w:rPr>
          <w:rFonts w:asciiTheme="majorHAnsi" w:hAnsiTheme="majorHAnsi" w:cstheme="majorHAnsi"/>
          <w:sz w:val="23"/>
          <w:szCs w:val="23"/>
        </w:rPr>
        <w:t xml:space="preserve">Indigenous </w:t>
      </w:r>
      <w:r w:rsidR="005776E4">
        <w:rPr>
          <w:rFonts w:asciiTheme="majorHAnsi" w:hAnsiTheme="majorHAnsi" w:cstheme="majorHAnsi"/>
          <w:sz w:val="23"/>
          <w:szCs w:val="23"/>
        </w:rPr>
        <w:t xml:space="preserve">and </w:t>
      </w:r>
      <w:r w:rsidR="00F00E3D" w:rsidRPr="00E91887">
        <w:rPr>
          <w:rFonts w:asciiTheme="majorHAnsi" w:hAnsiTheme="majorHAnsi" w:cstheme="majorHAnsi"/>
          <w:sz w:val="23"/>
          <w:szCs w:val="23"/>
        </w:rPr>
        <w:t xml:space="preserve">non-English-speaking </w:t>
      </w:r>
      <w:r w:rsidR="005776E4">
        <w:rPr>
          <w:rFonts w:asciiTheme="majorHAnsi" w:hAnsiTheme="majorHAnsi" w:cstheme="majorHAnsi"/>
          <w:sz w:val="23"/>
          <w:szCs w:val="23"/>
        </w:rPr>
        <w:t>backgrounds</w:t>
      </w:r>
      <w:r w:rsidR="00F00E3D" w:rsidRPr="00E91887">
        <w:rPr>
          <w:rFonts w:asciiTheme="majorHAnsi" w:hAnsiTheme="majorHAnsi" w:cstheme="majorHAnsi"/>
          <w:sz w:val="23"/>
          <w:szCs w:val="23"/>
        </w:rPr>
        <w:t>. We know from other research that these student</w:t>
      </w:r>
      <w:r>
        <w:rPr>
          <w:rFonts w:asciiTheme="majorHAnsi" w:hAnsiTheme="majorHAnsi" w:cstheme="majorHAnsi"/>
          <w:sz w:val="23"/>
          <w:szCs w:val="23"/>
        </w:rPr>
        <w:t xml:space="preserve"> groups</w:t>
      </w:r>
      <w:r w:rsidR="00F00E3D" w:rsidRPr="00E91887">
        <w:rPr>
          <w:rFonts w:asciiTheme="majorHAnsi" w:hAnsiTheme="majorHAnsi" w:cstheme="majorHAnsi"/>
          <w:sz w:val="23"/>
          <w:szCs w:val="23"/>
        </w:rPr>
        <w:t xml:space="preserve"> fared</w:t>
      </w:r>
      <w:r>
        <w:rPr>
          <w:rFonts w:asciiTheme="majorHAnsi" w:hAnsiTheme="majorHAnsi" w:cstheme="majorHAnsi"/>
          <w:sz w:val="23"/>
          <w:szCs w:val="23"/>
        </w:rPr>
        <w:t xml:space="preserve"> relatively</w:t>
      </w:r>
      <w:r w:rsidR="00F00E3D" w:rsidRPr="00E91887">
        <w:rPr>
          <w:rFonts w:asciiTheme="majorHAnsi" w:hAnsiTheme="majorHAnsi" w:cstheme="majorHAnsi"/>
          <w:sz w:val="23"/>
          <w:szCs w:val="23"/>
        </w:rPr>
        <w:t xml:space="preserve"> poorly during </w:t>
      </w:r>
      <w:r w:rsidR="005776E4">
        <w:rPr>
          <w:rFonts w:asciiTheme="majorHAnsi" w:hAnsiTheme="majorHAnsi" w:cstheme="majorHAnsi"/>
          <w:sz w:val="23"/>
          <w:szCs w:val="23"/>
        </w:rPr>
        <w:t xml:space="preserve">COVID-19 </w:t>
      </w:r>
      <w:r w:rsidR="00F00E3D" w:rsidRPr="00E91887">
        <w:rPr>
          <w:rFonts w:asciiTheme="majorHAnsi" w:hAnsiTheme="majorHAnsi" w:cstheme="majorHAnsi"/>
          <w:sz w:val="23"/>
          <w:szCs w:val="23"/>
        </w:rPr>
        <w:t>lockdown</w:t>
      </w:r>
      <w:r w:rsidR="005776E4">
        <w:rPr>
          <w:rFonts w:asciiTheme="majorHAnsi" w:hAnsiTheme="majorHAnsi" w:cstheme="majorHAnsi"/>
          <w:sz w:val="23"/>
          <w:szCs w:val="23"/>
        </w:rPr>
        <w:t>s and home schooling, and that</w:t>
      </w:r>
      <w:r w:rsidR="00F00E3D" w:rsidRPr="00E91887">
        <w:rPr>
          <w:rFonts w:asciiTheme="majorHAnsi" w:hAnsiTheme="majorHAnsi" w:cstheme="majorHAnsi"/>
          <w:sz w:val="23"/>
          <w:szCs w:val="23"/>
        </w:rPr>
        <w:t xml:space="preserve"> </w:t>
      </w:r>
      <w:r w:rsidR="005776E4">
        <w:rPr>
          <w:rFonts w:asciiTheme="majorHAnsi" w:hAnsiTheme="majorHAnsi" w:cstheme="majorHAnsi"/>
          <w:sz w:val="23"/>
          <w:szCs w:val="23"/>
        </w:rPr>
        <w:t>school attendance</w:t>
      </w:r>
      <w:r w:rsidR="005776E4" w:rsidRPr="00E91887">
        <w:rPr>
          <w:rFonts w:asciiTheme="majorHAnsi" w:hAnsiTheme="majorHAnsi" w:cstheme="majorHAnsi"/>
          <w:sz w:val="23"/>
          <w:szCs w:val="23"/>
        </w:rPr>
        <w:t xml:space="preserve"> </w:t>
      </w:r>
      <w:r w:rsidR="005776E4">
        <w:rPr>
          <w:rFonts w:asciiTheme="majorHAnsi" w:hAnsiTheme="majorHAnsi" w:cstheme="majorHAnsi"/>
          <w:sz w:val="23"/>
          <w:szCs w:val="23"/>
        </w:rPr>
        <w:t xml:space="preserve">is </w:t>
      </w:r>
      <w:r w:rsidR="005776E4" w:rsidRPr="00E91887">
        <w:rPr>
          <w:rFonts w:asciiTheme="majorHAnsi" w:hAnsiTheme="majorHAnsi" w:cstheme="majorHAnsi"/>
          <w:sz w:val="23"/>
          <w:szCs w:val="23"/>
        </w:rPr>
        <w:t xml:space="preserve">generally lower </w:t>
      </w:r>
      <w:r w:rsidR="005776E4">
        <w:rPr>
          <w:rFonts w:asciiTheme="majorHAnsi" w:hAnsiTheme="majorHAnsi" w:cstheme="majorHAnsi"/>
          <w:sz w:val="23"/>
          <w:szCs w:val="23"/>
        </w:rPr>
        <w:t>on average for</w:t>
      </w:r>
      <w:r w:rsidR="005776E4" w:rsidRPr="00E91887">
        <w:rPr>
          <w:rFonts w:asciiTheme="majorHAnsi" w:hAnsiTheme="majorHAnsi" w:cstheme="majorHAnsi"/>
          <w:sz w:val="23"/>
          <w:szCs w:val="23"/>
        </w:rPr>
        <w:t xml:space="preserve"> </w:t>
      </w:r>
      <w:r w:rsidR="00F00E3D" w:rsidRPr="00E91887">
        <w:rPr>
          <w:rFonts w:asciiTheme="majorHAnsi" w:hAnsiTheme="majorHAnsi" w:cstheme="majorHAnsi"/>
          <w:sz w:val="23"/>
          <w:szCs w:val="23"/>
        </w:rPr>
        <w:t>Indigenous student</w:t>
      </w:r>
      <w:r w:rsidR="005776E4">
        <w:rPr>
          <w:rFonts w:asciiTheme="majorHAnsi" w:hAnsiTheme="majorHAnsi" w:cstheme="majorHAnsi"/>
          <w:sz w:val="23"/>
          <w:szCs w:val="23"/>
        </w:rPr>
        <w:t>s</w:t>
      </w:r>
      <w:r w:rsidR="00F00E3D" w:rsidRPr="00E91887">
        <w:rPr>
          <w:rFonts w:asciiTheme="majorHAnsi" w:hAnsiTheme="majorHAnsi" w:cstheme="majorHAnsi"/>
          <w:sz w:val="23"/>
          <w:szCs w:val="23"/>
        </w:rPr>
        <w:t xml:space="preserve"> than non-Indigenous students</w:t>
      </w:r>
      <w:r w:rsidR="005776E4">
        <w:rPr>
          <w:rFonts w:asciiTheme="majorHAnsi" w:hAnsiTheme="majorHAnsi" w:cstheme="majorHAnsi"/>
          <w:sz w:val="23"/>
          <w:szCs w:val="23"/>
        </w:rPr>
        <w:t>. ATSI and CALD students thus</w:t>
      </w:r>
      <w:r w:rsidR="00F00E3D" w:rsidRPr="00E91887">
        <w:rPr>
          <w:rFonts w:asciiTheme="majorHAnsi" w:hAnsiTheme="majorHAnsi" w:cstheme="majorHAnsi"/>
          <w:sz w:val="23"/>
          <w:szCs w:val="23"/>
        </w:rPr>
        <w:t xml:space="preserve"> present </w:t>
      </w:r>
      <w:r w:rsidR="005776E4">
        <w:rPr>
          <w:rFonts w:asciiTheme="majorHAnsi" w:hAnsiTheme="majorHAnsi" w:cstheme="majorHAnsi"/>
          <w:sz w:val="23"/>
          <w:szCs w:val="23"/>
        </w:rPr>
        <w:t>two</w:t>
      </w:r>
      <w:r w:rsidR="00F00E3D" w:rsidRPr="00E91887">
        <w:rPr>
          <w:rFonts w:asciiTheme="majorHAnsi" w:hAnsiTheme="majorHAnsi" w:cstheme="majorHAnsi"/>
          <w:sz w:val="23"/>
          <w:szCs w:val="23"/>
        </w:rPr>
        <w:t xml:space="preserve"> cohort</w:t>
      </w:r>
      <w:r w:rsidR="005776E4">
        <w:rPr>
          <w:rFonts w:asciiTheme="majorHAnsi" w:hAnsiTheme="majorHAnsi" w:cstheme="majorHAnsi"/>
          <w:sz w:val="23"/>
          <w:szCs w:val="23"/>
        </w:rPr>
        <w:t>s</w:t>
      </w:r>
      <w:r w:rsidR="00F00E3D" w:rsidRPr="00E91887">
        <w:rPr>
          <w:rFonts w:asciiTheme="majorHAnsi" w:hAnsiTheme="majorHAnsi" w:cstheme="majorHAnsi"/>
          <w:sz w:val="23"/>
          <w:szCs w:val="23"/>
        </w:rPr>
        <w:t xml:space="preserve"> for whom targeted educational support will be needed going forward.</w:t>
      </w:r>
    </w:p>
    <w:p w14:paraId="37F7AAB4" w14:textId="4CBD8F28" w:rsidR="00F00E3D" w:rsidRDefault="00B84E25" w:rsidP="00853850">
      <w:pPr>
        <w:spacing w:after="0" w:line="276" w:lineRule="auto"/>
        <w:rPr>
          <w:rFonts w:asciiTheme="majorHAnsi" w:hAnsiTheme="majorHAnsi" w:cstheme="majorHAnsi"/>
          <w:sz w:val="23"/>
          <w:szCs w:val="23"/>
        </w:rPr>
      </w:pPr>
      <w:r>
        <w:rPr>
          <w:rFonts w:asciiTheme="majorHAnsi" w:hAnsiTheme="majorHAnsi" w:cstheme="majorHAnsi"/>
          <w:sz w:val="23"/>
          <w:szCs w:val="23"/>
        </w:rPr>
        <w:lastRenderedPageBreak/>
        <w:t>S</w:t>
      </w:r>
      <w:r w:rsidR="00F00E3D" w:rsidRPr="00E91887">
        <w:rPr>
          <w:rFonts w:asciiTheme="majorHAnsi" w:hAnsiTheme="majorHAnsi" w:cstheme="majorHAnsi"/>
          <w:sz w:val="23"/>
          <w:szCs w:val="23"/>
        </w:rPr>
        <w:t>ignificantly</w:t>
      </w:r>
      <w:r>
        <w:rPr>
          <w:rFonts w:asciiTheme="majorHAnsi" w:hAnsiTheme="majorHAnsi" w:cstheme="majorHAnsi"/>
          <w:sz w:val="23"/>
          <w:szCs w:val="23"/>
        </w:rPr>
        <w:t>, however,</w:t>
      </w:r>
      <w:r w:rsidR="00F00E3D" w:rsidRPr="00E91887">
        <w:rPr>
          <w:rFonts w:asciiTheme="majorHAnsi" w:hAnsiTheme="majorHAnsi" w:cstheme="majorHAnsi"/>
          <w:sz w:val="23"/>
          <w:szCs w:val="23"/>
        </w:rPr>
        <w:t xml:space="preserve"> these patterns do not necessarily map onto </w:t>
      </w:r>
      <w:r w:rsidR="005776E4">
        <w:rPr>
          <w:rFonts w:asciiTheme="majorHAnsi" w:hAnsiTheme="majorHAnsi" w:cstheme="majorHAnsi"/>
          <w:sz w:val="23"/>
          <w:szCs w:val="23"/>
        </w:rPr>
        <w:t xml:space="preserve">local </w:t>
      </w:r>
      <w:r w:rsidR="00F00E3D" w:rsidRPr="00E91887">
        <w:rPr>
          <w:rFonts w:asciiTheme="majorHAnsi" w:hAnsiTheme="majorHAnsi" w:cstheme="majorHAnsi"/>
          <w:sz w:val="23"/>
          <w:szCs w:val="23"/>
        </w:rPr>
        <w:t>NAPLAN results</w:t>
      </w:r>
      <w:r w:rsidR="005776E4">
        <w:rPr>
          <w:rFonts w:asciiTheme="majorHAnsi" w:hAnsiTheme="majorHAnsi" w:cstheme="majorHAnsi"/>
          <w:sz w:val="23"/>
          <w:szCs w:val="23"/>
        </w:rPr>
        <w:t xml:space="preserve">. For </w:t>
      </w:r>
      <w:r w:rsidR="00F00E3D" w:rsidRPr="00E91887">
        <w:rPr>
          <w:rFonts w:asciiTheme="majorHAnsi" w:hAnsiTheme="majorHAnsi" w:cstheme="majorHAnsi"/>
          <w:sz w:val="23"/>
          <w:szCs w:val="23"/>
        </w:rPr>
        <w:t>example</w:t>
      </w:r>
      <w:r w:rsidR="005776E4">
        <w:rPr>
          <w:rFonts w:asciiTheme="majorHAnsi" w:hAnsiTheme="majorHAnsi" w:cstheme="majorHAnsi"/>
          <w:sz w:val="23"/>
          <w:szCs w:val="23"/>
        </w:rPr>
        <w:t xml:space="preserve">, </w:t>
      </w:r>
      <w:r w:rsidR="00F00E3D" w:rsidRPr="00E91887">
        <w:rPr>
          <w:rFonts w:asciiTheme="majorHAnsi" w:hAnsiTheme="majorHAnsi" w:cstheme="majorHAnsi"/>
          <w:sz w:val="23"/>
          <w:szCs w:val="23"/>
        </w:rPr>
        <w:t>Whittington Primary</w:t>
      </w:r>
      <w:r w:rsidR="005776E4">
        <w:rPr>
          <w:rFonts w:asciiTheme="majorHAnsi" w:hAnsiTheme="majorHAnsi" w:cstheme="majorHAnsi"/>
          <w:sz w:val="23"/>
          <w:szCs w:val="23"/>
        </w:rPr>
        <w:t>, which</w:t>
      </w:r>
      <w:r w:rsidR="00F00E3D" w:rsidRPr="00E91887">
        <w:rPr>
          <w:rFonts w:asciiTheme="majorHAnsi" w:hAnsiTheme="majorHAnsi" w:cstheme="majorHAnsi"/>
          <w:sz w:val="23"/>
          <w:szCs w:val="23"/>
        </w:rPr>
        <w:t xml:space="preserve"> </w:t>
      </w:r>
      <w:r w:rsidR="005776E4">
        <w:rPr>
          <w:rFonts w:asciiTheme="majorHAnsi" w:hAnsiTheme="majorHAnsi" w:cstheme="majorHAnsi"/>
          <w:sz w:val="23"/>
          <w:szCs w:val="23"/>
        </w:rPr>
        <w:t>has the</w:t>
      </w:r>
      <w:r w:rsidR="00F00E3D" w:rsidRPr="00E91887">
        <w:rPr>
          <w:rFonts w:asciiTheme="majorHAnsi" w:hAnsiTheme="majorHAnsi" w:cstheme="majorHAnsi"/>
          <w:sz w:val="23"/>
          <w:szCs w:val="23"/>
        </w:rPr>
        <w:t xml:space="preserve"> lowest</w:t>
      </w:r>
      <w:r w:rsidR="00FB42B9">
        <w:rPr>
          <w:rFonts w:asciiTheme="majorHAnsi" w:hAnsiTheme="majorHAnsi" w:cstheme="majorHAnsi"/>
          <w:sz w:val="23"/>
          <w:szCs w:val="23"/>
        </w:rPr>
        <w:t xml:space="preserve"> </w:t>
      </w:r>
      <w:bookmarkStart w:id="91" w:name="_Hlk71048813"/>
      <w:r w:rsidR="00FB42B9">
        <w:rPr>
          <w:rFonts w:asciiTheme="majorHAnsi" w:hAnsiTheme="majorHAnsi" w:cstheme="majorHAnsi"/>
          <w:sz w:val="23"/>
          <w:szCs w:val="23"/>
        </w:rPr>
        <w:t>SEIFA</w:t>
      </w:r>
      <w:r w:rsidR="00F00E3D" w:rsidRPr="00E91887">
        <w:rPr>
          <w:rFonts w:asciiTheme="majorHAnsi" w:hAnsiTheme="majorHAnsi" w:cstheme="majorHAnsi"/>
          <w:sz w:val="23"/>
          <w:szCs w:val="23"/>
        </w:rPr>
        <w:t xml:space="preserve"> </w:t>
      </w:r>
      <w:r w:rsidR="00FB42B9">
        <w:rPr>
          <w:rFonts w:asciiTheme="majorHAnsi" w:hAnsiTheme="majorHAnsi" w:cstheme="majorHAnsi"/>
          <w:sz w:val="23"/>
          <w:szCs w:val="23"/>
        </w:rPr>
        <w:t>Socio-</w:t>
      </w:r>
      <w:r w:rsidR="00FB42B9" w:rsidRPr="00E91887">
        <w:rPr>
          <w:rFonts w:asciiTheme="majorHAnsi" w:hAnsiTheme="majorHAnsi" w:cstheme="majorHAnsi"/>
          <w:sz w:val="23"/>
          <w:szCs w:val="23"/>
        </w:rPr>
        <w:t>Educational Profile</w:t>
      </w:r>
      <w:r w:rsidR="00FB42B9">
        <w:rPr>
          <w:rFonts w:asciiTheme="majorHAnsi" w:hAnsiTheme="majorHAnsi" w:cstheme="majorHAnsi"/>
          <w:sz w:val="23"/>
          <w:szCs w:val="23"/>
        </w:rPr>
        <w:t xml:space="preserve"> </w:t>
      </w:r>
      <w:bookmarkEnd w:id="91"/>
      <w:r w:rsidR="005776E4">
        <w:rPr>
          <w:rFonts w:asciiTheme="majorHAnsi" w:hAnsiTheme="majorHAnsi" w:cstheme="majorHAnsi"/>
          <w:sz w:val="23"/>
          <w:szCs w:val="23"/>
        </w:rPr>
        <w:t>of any local school</w:t>
      </w:r>
      <w:r w:rsidR="00F00E3D" w:rsidRPr="00E91887">
        <w:rPr>
          <w:rFonts w:asciiTheme="majorHAnsi" w:hAnsiTheme="majorHAnsi" w:cstheme="majorHAnsi"/>
          <w:sz w:val="23"/>
          <w:szCs w:val="23"/>
        </w:rPr>
        <w:t>,</w:t>
      </w:r>
      <w:r w:rsidR="005776E4">
        <w:rPr>
          <w:rFonts w:asciiTheme="majorHAnsi" w:hAnsiTheme="majorHAnsi" w:cstheme="majorHAnsi"/>
          <w:sz w:val="23"/>
          <w:szCs w:val="23"/>
        </w:rPr>
        <w:t xml:space="preserve"> had NAPLAN result on par with</w:t>
      </w:r>
      <w:r w:rsidR="00F00E3D" w:rsidRPr="00E91887">
        <w:rPr>
          <w:rFonts w:asciiTheme="majorHAnsi" w:hAnsiTheme="majorHAnsi" w:cstheme="majorHAnsi"/>
          <w:sz w:val="23"/>
          <w:szCs w:val="23"/>
        </w:rPr>
        <w:t xml:space="preserve"> Christ the King </w:t>
      </w:r>
      <w:r w:rsidR="005776E4">
        <w:rPr>
          <w:rFonts w:asciiTheme="majorHAnsi" w:hAnsiTheme="majorHAnsi" w:cstheme="majorHAnsi"/>
          <w:sz w:val="23"/>
          <w:szCs w:val="23"/>
        </w:rPr>
        <w:t xml:space="preserve">Primary School </w:t>
      </w:r>
      <w:r w:rsidR="00F00E3D" w:rsidRPr="00E91887">
        <w:rPr>
          <w:rFonts w:asciiTheme="majorHAnsi" w:hAnsiTheme="majorHAnsi" w:cstheme="majorHAnsi"/>
          <w:sz w:val="23"/>
          <w:szCs w:val="23"/>
        </w:rPr>
        <w:t>in reading, writing</w:t>
      </w:r>
      <w:r w:rsidR="005776E4">
        <w:rPr>
          <w:rFonts w:asciiTheme="majorHAnsi" w:hAnsiTheme="majorHAnsi" w:cstheme="majorHAnsi"/>
          <w:sz w:val="23"/>
          <w:szCs w:val="23"/>
        </w:rPr>
        <w:t>,</w:t>
      </w:r>
      <w:r w:rsidR="00F00E3D" w:rsidRPr="00E91887">
        <w:rPr>
          <w:rFonts w:asciiTheme="majorHAnsi" w:hAnsiTheme="majorHAnsi" w:cstheme="majorHAnsi"/>
          <w:sz w:val="23"/>
          <w:szCs w:val="23"/>
        </w:rPr>
        <w:t xml:space="preserve"> and numeracy in 2019</w:t>
      </w:r>
      <w:r w:rsidR="005776E4">
        <w:rPr>
          <w:rFonts w:asciiTheme="majorHAnsi" w:hAnsiTheme="majorHAnsi" w:cstheme="majorHAnsi"/>
          <w:sz w:val="23"/>
          <w:szCs w:val="23"/>
        </w:rPr>
        <w:t>. This may well confirm the</w:t>
      </w:r>
      <w:r w:rsidR="00F00E3D" w:rsidRPr="00E91887">
        <w:rPr>
          <w:rFonts w:asciiTheme="majorHAnsi" w:hAnsiTheme="majorHAnsi" w:cstheme="majorHAnsi"/>
          <w:sz w:val="23"/>
          <w:szCs w:val="23"/>
        </w:rPr>
        <w:t xml:space="preserve"> value of quality teaching and leadership</w:t>
      </w:r>
      <w:r w:rsidR="005776E4">
        <w:rPr>
          <w:rFonts w:asciiTheme="majorHAnsi" w:hAnsiTheme="majorHAnsi" w:cstheme="majorHAnsi"/>
          <w:sz w:val="23"/>
          <w:szCs w:val="23"/>
        </w:rPr>
        <w:t xml:space="preserve">, </w:t>
      </w:r>
      <w:r>
        <w:rPr>
          <w:rFonts w:asciiTheme="majorHAnsi" w:hAnsiTheme="majorHAnsi" w:cstheme="majorHAnsi"/>
          <w:sz w:val="23"/>
          <w:szCs w:val="23"/>
        </w:rPr>
        <w:t>while also pointing out the perils of</w:t>
      </w:r>
      <w:r w:rsidR="00F00E3D" w:rsidRPr="00E91887">
        <w:rPr>
          <w:rFonts w:asciiTheme="majorHAnsi" w:hAnsiTheme="majorHAnsi" w:cstheme="majorHAnsi"/>
          <w:sz w:val="23"/>
          <w:szCs w:val="23"/>
        </w:rPr>
        <w:t xml:space="preserve"> mapping </w:t>
      </w:r>
      <w:r w:rsidR="005776E4">
        <w:rPr>
          <w:rFonts w:asciiTheme="majorHAnsi" w:hAnsiTheme="majorHAnsi" w:cstheme="majorHAnsi"/>
          <w:sz w:val="23"/>
          <w:szCs w:val="23"/>
        </w:rPr>
        <w:t>somewhat blunt indicators</w:t>
      </w:r>
      <w:r>
        <w:rPr>
          <w:rFonts w:asciiTheme="majorHAnsi" w:hAnsiTheme="majorHAnsi" w:cstheme="majorHAnsi"/>
          <w:sz w:val="23"/>
          <w:szCs w:val="23"/>
        </w:rPr>
        <w:t xml:space="preserve"> of</w:t>
      </w:r>
      <w:r w:rsidR="005776E4">
        <w:rPr>
          <w:rFonts w:asciiTheme="majorHAnsi" w:hAnsiTheme="majorHAnsi" w:cstheme="majorHAnsi"/>
          <w:sz w:val="23"/>
          <w:szCs w:val="23"/>
        </w:rPr>
        <w:t xml:space="preserve"> </w:t>
      </w:r>
      <w:r w:rsidR="005776E4" w:rsidRPr="00E91887">
        <w:rPr>
          <w:rFonts w:asciiTheme="majorHAnsi" w:hAnsiTheme="majorHAnsi" w:cstheme="majorHAnsi"/>
          <w:sz w:val="23"/>
          <w:szCs w:val="23"/>
        </w:rPr>
        <w:t xml:space="preserve">socio-economic disadvantage </w:t>
      </w:r>
      <w:r w:rsidR="00F00E3D" w:rsidRPr="00E91887">
        <w:rPr>
          <w:rFonts w:asciiTheme="majorHAnsi" w:hAnsiTheme="majorHAnsi" w:cstheme="majorHAnsi"/>
          <w:sz w:val="23"/>
          <w:szCs w:val="23"/>
        </w:rPr>
        <w:t>against educational outcomes.</w:t>
      </w:r>
      <w:r w:rsidR="00853850">
        <w:rPr>
          <w:rFonts w:asciiTheme="majorHAnsi" w:hAnsiTheme="majorHAnsi" w:cstheme="majorHAnsi"/>
          <w:sz w:val="23"/>
          <w:szCs w:val="23"/>
        </w:rPr>
        <w:t xml:space="preserve"> </w:t>
      </w:r>
      <w:r>
        <w:rPr>
          <w:rFonts w:asciiTheme="majorHAnsi" w:hAnsiTheme="majorHAnsi" w:cstheme="majorHAnsi"/>
          <w:sz w:val="23"/>
          <w:szCs w:val="23"/>
        </w:rPr>
        <w:t xml:space="preserve">However, the </w:t>
      </w:r>
      <w:r w:rsidR="00F00E3D" w:rsidRPr="00E91887">
        <w:rPr>
          <w:rFonts w:asciiTheme="majorHAnsi" w:hAnsiTheme="majorHAnsi" w:cstheme="majorHAnsi"/>
          <w:sz w:val="23"/>
          <w:szCs w:val="23"/>
        </w:rPr>
        <w:t xml:space="preserve">funding </w:t>
      </w:r>
      <w:r>
        <w:rPr>
          <w:rFonts w:asciiTheme="majorHAnsi" w:hAnsiTheme="majorHAnsi" w:cstheme="majorHAnsi"/>
          <w:sz w:val="23"/>
          <w:szCs w:val="23"/>
        </w:rPr>
        <w:t xml:space="preserve">level variations between local schools </w:t>
      </w:r>
      <w:r w:rsidR="00F00E3D" w:rsidRPr="00E91887">
        <w:rPr>
          <w:rFonts w:asciiTheme="majorHAnsi" w:hAnsiTheme="majorHAnsi" w:cstheme="majorHAnsi"/>
          <w:sz w:val="23"/>
          <w:szCs w:val="23"/>
        </w:rPr>
        <w:t>are significant,</w:t>
      </w:r>
      <w:r>
        <w:rPr>
          <w:rFonts w:asciiTheme="majorHAnsi" w:hAnsiTheme="majorHAnsi" w:cstheme="majorHAnsi"/>
          <w:sz w:val="23"/>
          <w:szCs w:val="23"/>
        </w:rPr>
        <w:t xml:space="preserve"> given that they</w:t>
      </w:r>
      <w:r w:rsidR="00F00E3D" w:rsidRPr="00E91887">
        <w:rPr>
          <w:rFonts w:asciiTheme="majorHAnsi" w:hAnsiTheme="majorHAnsi" w:cstheme="majorHAnsi"/>
          <w:sz w:val="23"/>
          <w:szCs w:val="23"/>
        </w:rPr>
        <w:t xml:space="preserve"> all serve areas of high social disadvantage. </w:t>
      </w:r>
      <w:r>
        <w:rPr>
          <w:rFonts w:asciiTheme="majorHAnsi" w:hAnsiTheme="majorHAnsi" w:cstheme="majorHAnsi"/>
          <w:sz w:val="23"/>
          <w:szCs w:val="23"/>
        </w:rPr>
        <w:t xml:space="preserve">Table 7.11 (below) provides some </w:t>
      </w:r>
      <w:r w:rsidR="004D73CA">
        <w:rPr>
          <w:rFonts w:asciiTheme="majorHAnsi" w:hAnsiTheme="majorHAnsi" w:cstheme="majorHAnsi"/>
          <w:sz w:val="23"/>
          <w:szCs w:val="23"/>
        </w:rPr>
        <w:t>comparative figures for local primary schools.</w:t>
      </w:r>
      <w:r w:rsidR="00FB42B9">
        <w:rPr>
          <w:rFonts w:asciiTheme="majorHAnsi" w:hAnsiTheme="majorHAnsi" w:cstheme="majorHAnsi"/>
          <w:sz w:val="23"/>
          <w:szCs w:val="23"/>
        </w:rPr>
        <w:t xml:space="preserve"> (References to “Quartiles” refer to the school’s </w:t>
      </w:r>
      <w:r w:rsidR="00FB42B9" w:rsidRPr="00FB42B9">
        <w:rPr>
          <w:rFonts w:asciiTheme="majorHAnsi" w:hAnsiTheme="majorHAnsi" w:cstheme="majorHAnsi"/>
          <w:sz w:val="23"/>
          <w:szCs w:val="23"/>
        </w:rPr>
        <w:t>SEIFA Socio-Educational Profile</w:t>
      </w:r>
      <w:r w:rsidR="00FB42B9">
        <w:rPr>
          <w:rFonts w:asciiTheme="majorHAnsi" w:hAnsiTheme="majorHAnsi" w:cstheme="majorHAnsi"/>
          <w:sz w:val="23"/>
          <w:szCs w:val="23"/>
        </w:rPr>
        <w:t>.)</w:t>
      </w:r>
    </w:p>
    <w:p w14:paraId="4A40DDD2" w14:textId="77777777" w:rsidR="00B84E25" w:rsidRPr="00853850" w:rsidRDefault="00B84E25" w:rsidP="00B84E25">
      <w:pPr>
        <w:spacing w:after="0" w:line="276" w:lineRule="auto"/>
        <w:rPr>
          <w:rStyle w:val="Hyperlink"/>
          <w:rFonts w:asciiTheme="majorHAnsi" w:hAnsiTheme="majorHAnsi" w:cstheme="majorHAnsi"/>
          <w:color w:val="auto"/>
          <w:sz w:val="20"/>
          <w:szCs w:val="20"/>
          <w:u w:val="none"/>
        </w:rPr>
      </w:pPr>
    </w:p>
    <w:tbl>
      <w:tblPr>
        <w:tblStyle w:val="TableGrid"/>
        <w:tblW w:w="9470" w:type="dxa"/>
        <w:tblInd w:w="-5" w:type="dxa"/>
        <w:tblLook w:val="04A0" w:firstRow="1" w:lastRow="0" w:firstColumn="1" w:lastColumn="0" w:noHBand="0" w:noVBand="1"/>
      </w:tblPr>
      <w:tblGrid>
        <w:gridCol w:w="1546"/>
        <w:gridCol w:w="1091"/>
        <w:gridCol w:w="984"/>
        <w:gridCol w:w="984"/>
        <w:gridCol w:w="1329"/>
        <w:gridCol w:w="1148"/>
        <w:gridCol w:w="1142"/>
        <w:gridCol w:w="1246"/>
      </w:tblGrid>
      <w:tr w:rsidR="00F00E3D" w:rsidRPr="002C52A2" w14:paraId="584B6C6B" w14:textId="77777777" w:rsidTr="00853850">
        <w:trPr>
          <w:trHeight w:val="1008"/>
        </w:trPr>
        <w:tc>
          <w:tcPr>
            <w:tcW w:w="1546" w:type="dxa"/>
            <w:shd w:val="clear" w:color="auto" w:fill="D0CECE" w:themeFill="background2" w:themeFillShade="E6"/>
          </w:tcPr>
          <w:p w14:paraId="659EA055" w14:textId="185A380E" w:rsidR="00E0466C" w:rsidRDefault="00F00E3D" w:rsidP="00B84E25">
            <w:pPr>
              <w:spacing w:after="0" w:line="240" w:lineRule="auto"/>
              <w:rPr>
                <w:rFonts w:cstheme="minorHAnsi"/>
                <w:b/>
                <w:bCs/>
                <w:sz w:val="21"/>
                <w:szCs w:val="21"/>
              </w:rPr>
            </w:pPr>
            <w:r w:rsidRPr="002C52A2">
              <w:rPr>
                <w:rFonts w:cstheme="minorHAnsi"/>
                <w:b/>
                <w:bCs/>
                <w:sz w:val="21"/>
                <w:szCs w:val="21"/>
              </w:rPr>
              <w:t>School</w:t>
            </w:r>
          </w:p>
          <w:p w14:paraId="335C80DA" w14:textId="2B865949" w:rsidR="00F00E3D" w:rsidRPr="002C52A2" w:rsidRDefault="00F00E3D" w:rsidP="00B84E25">
            <w:pPr>
              <w:spacing w:after="0" w:line="240" w:lineRule="auto"/>
              <w:rPr>
                <w:rFonts w:cstheme="minorHAnsi"/>
                <w:b/>
                <w:bCs/>
                <w:sz w:val="21"/>
                <w:szCs w:val="21"/>
              </w:rPr>
            </w:pPr>
          </w:p>
        </w:tc>
        <w:tc>
          <w:tcPr>
            <w:tcW w:w="1091" w:type="dxa"/>
            <w:shd w:val="clear" w:color="auto" w:fill="D0CECE" w:themeFill="background2" w:themeFillShade="E6"/>
          </w:tcPr>
          <w:p w14:paraId="56E6C4F0" w14:textId="77777777" w:rsidR="00F00E3D" w:rsidRPr="002C52A2" w:rsidRDefault="00F00E3D" w:rsidP="00B84E25">
            <w:pPr>
              <w:spacing w:after="0" w:line="240" w:lineRule="auto"/>
              <w:rPr>
                <w:rFonts w:cstheme="minorHAnsi"/>
                <w:b/>
                <w:bCs/>
                <w:sz w:val="21"/>
                <w:szCs w:val="21"/>
              </w:rPr>
            </w:pPr>
            <w:r w:rsidRPr="002C52A2">
              <w:rPr>
                <w:rFonts w:cstheme="minorHAnsi"/>
                <w:b/>
                <w:bCs/>
                <w:sz w:val="21"/>
                <w:szCs w:val="21"/>
              </w:rPr>
              <w:t>Bottom Quartile</w:t>
            </w:r>
          </w:p>
        </w:tc>
        <w:tc>
          <w:tcPr>
            <w:tcW w:w="984" w:type="dxa"/>
            <w:shd w:val="clear" w:color="auto" w:fill="D0CECE" w:themeFill="background2" w:themeFillShade="E6"/>
          </w:tcPr>
          <w:p w14:paraId="3204B133" w14:textId="7CC3AC4D" w:rsidR="00F00E3D" w:rsidRPr="002C52A2" w:rsidRDefault="00F00E3D" w:rsidP="00B84E25">
            <w:pPr>
              <w:spacing w:after="0" w:line="240" w:lineRule="auto"/>
              <w:rPr>
                <w:rFonts w:cstheme="minorHAnsi"/>
                <w:b/>
                <w:bCs/>
                <w:sz w:val="21"/>
                <w:szCs w:val="21"/>
              </w:rPr>
            </w:pPr>
            <w:r w:rsidRPr="002C52A2">
              <w:rPr>
                <w:rFonts w:cstheme="minorHAnsi"/>
                <w:b/>
                <w:bCs/>
                <w:sz w:val="21"/>
                <w:szCs w:val="21"/>
              </w:rPr>
              <w:t>Mid</w:t>
            </w:r>
            <w:r w:rsidR="00853850">
              <w:rPr>
                <w:rFonts w:cstheme="minorHAnsi"/>
                <w:b/>
                <w:bCs/>
                <w:sz w:val="21"/>
                <w:szCs w:val="21"/>
              </w:rPr>
              <w:t>dle</w:t>
            </w:r>
          </w:p>
          <w:p w14:paraId="790EBC87" w14:textId="77777777" w:rsidR="00F00E3D" w:rsidRPr="002C52A2" w:rsidRDefault="00F00E3D" w:rsidP="00B84E25">
            <w:pPr>
              <w:spacing w:after="0" w:line="240" w:lineRule="auto"/>
              <w:rPr>
                <w:rFonts w:cstheme="minorHAnsi"/>
                <w:b/>
                <w:bCs/>
                <w:sz w:val="21"/>
                <w:szCs w:val="21"/>
              </w:rPr>
            </w:pPr>
            <w:r w:rsidRPr="002C52A2">
              <w:rPr>
                <w:rFonts w:cstheme="minorHAnsi"/>
                <w:b/>
                <w:bCs/>
                <w:sz w:val="21"/>
                <w:szCs w:val="21"/>
              </w:rPr>
              <w:t>Quartile</w:t>
            </w:r>
          </w:p>
        </w:tc>
        <w:tc>
          <w:tcPr>
            <w:tcW w:w="984" w:type="dxa"/>
            <w:shd w:val="clear" w:color="auto" w:fill="D0CECE" w:themeFill="background2" w:themeFillShade="E6"/>
          </w:tcPr>
          <w:p w14:paraId="33949561" w14:textId="4B2B35A0" w:rsidR="00F00E3D" w:rsidRPr="002C52A2" w:rsidRDefault="0056113A" w:rsidP="00B84E25">
            <w:pPr>
              <w:spacing w:after="0" w:line="240" w:lineRule="auto"/>
              <w:rPr>
                <w:rFonts w:cstheme="minorHAnsi"/>
                <w:b/>
                <w:bCs/>
                <w:sz w:val="21"/>
                <w:szCs w:val="21"/>
              </w:rPr>
            </w:pPr>
            <w:r>
              <w:rPr>
                <w:rFonts w:cstheme="minorHAnsi"/>
                <w:b/>
                <w:bCs/>
                <w:sz w:val="21"/>
                <w:szCs w:val="21"/>
              </w:rPr>
              <w:t>Top</w:t>
            </w:r>
          </w:p>
          <w:p w14:paraId="6633838D" w14:textId="77777777" w:rsidR="00F00E3D" w:rsidRPr="002C52A2" w:rsidRDefault="00F00E3D" w:rsidP="00B84E25">
            <w:pPr>
              <w:spacing w:after="0" w:line="240" w:lineRule="auto"/>
              <w:rPr>
                <w:rFonts w:cstheme="minorHAnsi"/>
                <w:b/>
                <w:bCs/>
                <w:sz w:val="21"/>
                <w:szCs w:val="21"/>
              </w:rPr>
            </w:pPr>
            <w:r w:rsidRPr="002C52A2">
              <w:rPr>
                <w:rFonts w:cstheme="minorHAnsi"/>
                <w:b/>
                <w:bCs/>
                <w:sz w:val="21"/>
                <w:szCs w:val="21"/>
              </w:rPr>
              <w:t>Quartile</w:t>
            </w:r>
          </w:p>
        </w:tc>
        <w:tc>
          <w:tcPr>
            <w:tcW w:w="1329" w:type="dxa"/>
            <w:shd w:val="clear" w:color="auto" w:fill="D0CECE" w:themeFill="background2" w:themeFillShade="E6"/>
          </w:tcPr>
          <w:p w14:paraId="614AA5D7" w14:textId="77777777" w:rsidR="00F00E3D" w:rsidRPr="002C52A2" w:rsidRDefault="00F00E3D" w:rsidP="00B84E25">
            <w:pPr>
              <w:spacing w:after="0" w:line="240" w:lineRule="auto"/>
              <w:rPr>
                <w:rFonts w:cstheme="minorHAnsi"/>
                <w:b/>
                <w:bCs/>
                <w:sz w:val="21"/>
                <w:szCs w:val="21"/>
              </w:rPr>
            </w:pPr>
            <w:r w:rsidRPr="002C52A2">
              <w:rPr>
                <w:rFonts w:cstheme="minorHAnsi"/>
                <w:b/>
                <w:bCs/>
                <w:sz w:val="21"/>
                <w:szCs w:val="21"/>
              </w:rPr>
              <w:t>Index of Community Socio-Educational Advantage</w:t>
            </w:r>
          </w:p>
        </w:tc>
        <w:tc>
          <w:tcPr>
            <w:tcW w:w="1148" w:type="dxa"/>
            <w:shd w:val="clear" w:color="auto" w:fill="D0CECE" w:themeFill="background2" w:themeFillShade="E6"/>
          </w:tcPr>
          <w:p w14:paraId="07C91F59" w14:textId="6017A4A5" w:rsidR="00F00E3D" w:rsidRPr="002C52A2" w:rsidRDefault="00F00E3D" w:rsidP="00B84E25">
            <w:pPr>
              <w:spacing w:after="0" w:line="240" w:lineRule="auto"/>
              <w:rPr>
                <w:rFonts w:cstheme="minorHAnsi"/>
                <w:b/>
                <w:bCs/>
                <w:sz w:val="21"/>
                <w:szCs w:val="21"/>
              </w:rPr>
            </w:pPr>
            <w:r w:rsidRPr="002C52A2">
              <w:rPr>
                <w:rFonts w:cstheme="minorHAnsi"/>
                <w:b/>
                <w:bCs/>
                <w:sz w:val="21"/>
                <w:szCs w:val="21"/>
              </w:rPr>
              <w:t xml:space="preserve">ATSI </w:t>
            </w:r>
            <w:r w:rsidR="00E0466C">
              <w:rPr>
                <w:rFonts w:cstheme="minorHAnsi"/>
                <w:b/>
                <w:bCs/>
                <w:sz w:val="21"/>
                <w:szCs w:val="21"/>
              </w:rPr>
              <w:t>S</w:t>
            </w:r>
            <w:r w:rsidRPr="002C52A2">
              <w:rPr>
                <w:rFonts w:cstheme="minorHAnsi"/>
                <w:b/>
                <w:bCs/>
                <w:sz w:val="21"/>
                <w:szCs w:val="21"/>
              </w:rPr>
              <w:t>tudents</w:t>
            </w:r>
          </w:p>
          <w:p w14:paraId="49C43E92" w14:textId="77777777" w:rsidR="00F00E3D" w:rsidRPr="002C52A2" w:rsidRDefault="00F00E3D" w:rsidP="00B84E25">
            <w:pPr>
              <w:spacing w:after="0" w:line="240" w:lineRule="auto"/>
              <w:rPr>
                <w:rFonts w:cstheme="minorHAnsi"/>
                <w:b/>
                <w:bCs/>
                <w:sz w:val="21"/>
                <w:szCs w:val="21"/>
              </w:rPr>
            </w:pPr>
            <w:r w:rsidRPr="002C52A2">
              <w:rPr>
                <w:rFonts w:cstheme="minorHAnsi"/>
                <w:b/>
                <w:bCs/>
                <w:sz w:val="21"/>
                <w:szCs w:val="21"/>
              </w:rPr>
              <w:t>(%)</w:t>
            </w:r>
          </w:p>
        </w:tc>
        <w:tc>
          <w:tcPr>
            <w:tcW w:w="1142" w:type="dxa"/>
            <w:shd w:val="clear" w:color="auto" w:fill="D0CECE" w:themeFill="background2" w:themeFillShade="E6"/>
          </w:tcPr>
          <w:p w14:paraId="08A14B72" w14:textId="5C70210B" w:rsidR="00F00E3D" w:rsidRPr="002C52A2" w:rsidRDefault="00F00E3D" w:rsidP="00B84E25">
            <w:pPr>
              <w:spacing w:after="0" w:line="240" w:lineRule="auto"/>
              <w:rPr>
                <w:rFonts w:cstheme="minorHAnsi"/>
                <w:b/>
                <w:bCs/>
                <w:sz w:val="21"/>
                <w:szCs w:val="21"/>
              </w:rPr>
            </w:pPr>
            <w:r w:rsidRPr="002C52A2">
              <w:rPr>
                <w:rFonts w:cstheme="minorHAnsi"/>
                <w:b/>
                <w:bCs/>
                <w:sz w:val="21"/>
                <w:szCs w:val="21"/>
              </w:rPr>
              <w:t xml:space="preserve">Language </w:t>
            </w:r>
            <w:r w:rsidR="002C52A2">
              <w:rPr>
                <w:rFonts w:cstheme="minorHAnsi"/>
                <w:b/>
                <w:bCs/>
                <w:sz w:val="21"/>
                <w:szCs w:val="21"/>
              </w:rPr>
              <w:t>O</w:t>
            </w:r>
            <w:r w:rsidRPr="002C52A2">
              <w:rPr>
                <w:rFonts w:cstheme="minorHAnsi"/>
                <w:b/>
                <w:bCs/>
                <w:sz w:val="21"/>
                <w:szCs w:val="21"/>
              </w:rPr>
              <w:t xml:space="preserve">ther </w:t>
            </w:r>
            <w:r w:rsidR="002C52A2">
              <w:rPr>
                <w:rFonts w:cstheme="minorHAnsi"/>
                <w:b/>
                <w:bCs/>
                <w:sz w:val="21"/>
                <w:szCs w:val="21"/>
              </w:rPr>
              <w:t>T</w:t>
            </w:r>
            <w:r w:rsidRPr="002C52A2">
              <w:rPr>
                <w:rFonts w:cstheme="minorHAnsi"/>
                <w:b/>
                <w:bCs/>
                <w:sz w:val="21"/>
                <w:szCs w:val="21"/>
              </w:rPr>
              <w:t>han English</w:t>
            </w:r>
            <w:r w:rsidR="00E0466C">
              <w:rPr>
                <w:rFonts w:cstheme="minorHAnsi"/>
                <w:b/>
                <w:bCs/>
                <w:sz w:val="21"/>
                <w:szCs w:val="21"/>
              </w:rPr>
              <w:t xml:space="preserve"> Students</w:t>
            </w:r>
          </w:p>
        </w:tc>
        <w:tc>
          <w:tcPr>
            <w:tcW w:w="1246" w:type="dxa"/>
            <w:shd w:val="clear" w:color="auto" w:fill="D0CECE" w:themeFill="background2" w:themeFillShade="E6"/>
          </w:tcPr>
          <w:p w14:paraId="2ED8172D" w14:textId="77777777" w:rsidR="00F00E3D" w:rsidRPr="002C52A2" w:rsidRDefault="00F00E3D" w:rsidP="00B84E25">
            <w:pPr>
              <w:spacing w:after="0" w:line="240" w:lineRule="auto"/>
              <w:rPr>
                <w:rFonts w:cstheme="minorHAnsi"/>
                <w:b/>
                <w:bCs/>
                <w:sz w:val="21"/>
                <w:szCs w:val="21"/>
              </w:rPr>
            </w:pPr>
            <w:r w:rsidRPr="002C52A2">
              <w:rPr>
                <w:rFonts w:cstheme="minorHAnsi"/>
                <w:b/>
                <w:bCs/>
                <w:sz w:val="21"/>
                <w:szCs w:val="21"/>
              </w:rPr>
              <w:t xml:space="preserve">Funding </w:t>
            </w:r>
          </w:p>
          <w:p w14:paraId="32FDED1E" w14:textId="152A2775" w:rsidR="00F00E3D" w:rsidRPr="002C52A2" w:rsidRDefault="00F00E3D" w:rsidP="00B84E25">
            <w:pPr>
              <w:spacing w:after="0" w:line="240" w:lineRule="auto"/>
              <w:rPr>
                <w:rFonts w:cstheme="minorHAnsi"/>
                <w:b/>
                <w:bCs/>
                <w:sz w:val="21"/>
                <w:szCs w:val="21"/>
              </w:rPr>
            </w:pPr>
            <w:r w:rsidRPr="002C52A2">
              <w:rPr>
                <w:rFonts w:cstheme="minorHAnsi"/>
                <w:b/>
                <w:bCs/>
                <w:sz w:val="21"/>
                <w:szCs w:val="21"/>
              </w:rPr>
              <w:t xml:space="preserve">Per </w:t>
            </w:r>
            <w:r w:rsidR="00E0466C">
              <w:rPr>
                <w:rFonts w:cstheme="minorHAnsi"/>
                <w:b/>
                <w:bCs/>
                <w:sz w:val="21"/>
                <w:szCs w:val="21"/>
              </w:rPr>
              <w:t>S</w:t>
            </w:r>
            <w:r w:rsidRPr="002C52A2">
              <w:rPr>
                <w:rFonts w:cstheme="minorHAnsi"/>
                <w:b/>
                <w:bCs/>
                <w:sz w:val="21"/>
                <w:szCs w:val="21"/>
              </w:rPr>
              <w:t>tudent</w:t>
            </w:r>
          </w:p>
          <w:p w14:paraId="527E7495" w14:textId="77777777" w:rsidR="00F00E3D" w:rsidRPr="002C52A2" w:rsidRDefault="00F00E3D" w:rsidP="00B84E25">
            <w:pPr>
              <w:spacing w:after="0" w:line="240" w:lineRule="auto"/>
              <w:rPr>
                <w:rFonts w:cstheme="minorHAnsi"/>
                <w:b/>
                <w:bCs/>
                <w:sz w:val="21"/>
                <w:szCs w:val="21"/>
              </w:rPr>
            </w:pPr>
            <w:r w:rsidRPr="002C52A2">
              <w:rPr>
                <w:rFonts w:cstheme="minorHAnsi"/>
                <w:b/>
                <w:bCs/>
                <w:sz w:val="21"/>
                <w:szCs w:val="21"/>
              </w:rPr>
              <w:t>($)</w:t>
            </w:r>
          </w:p>
        </w:tc>
      </w:tr>
      <w:tr w:rsidR="00F00E3D" w:rsidRPr="002C52A2" w14:paraId="08431706" w14:textId="77777777" w:rsidTr="00853850">
        <w:trPr>
          <w:trHeight w:val="702"/>
        </w:trPr>
        <w:tc>
          <w:tcPr>
            <w:tcW w:w="1546" w:type="dxa"/>
            <w:vAlign w:val="center"/>
          </w:tcPr>
          <w:p w14:paraId="539C03FF" w14:textId="21016D1E" w:rsidR="00F00E3D" w:rsidRPr="00E0466C" w:rsidRDefault="00F00E3D" w:rsidP="00B84E25">
            <w:pPr>
              <w:spacing w:line="240" w:lineRule="auto"/>
              <w:rPr>
                <w:rFonts w:asciiTheme="majorHAnsi" w:hAnsiTheme="majorHAnsi" w:cstheme="majorHAnsi"/>
                <w:sz w:val="21"/>
                <w:szCs w:val="21"/>
              </w:rPr>
            </w:pPr>
            <w:r w:rsidRPr="00E0466C">
              <w:rPr>
                <w:rFonts w:asciiTheme="majorHAnsi" w:hAnsiTheme="majorHAnsi" w:cstheme="majorHAnsi"/>
                <w:sz w:val="21"/>
                <w:szCs w:val="21"/>
              </w:rPr>
              <w:t>St Francis Xavier</w:t>
            </w:r>
            <w:r w:rsidR="00E0466C" w:rsidRPr="00E0466C">
              <w:rPr>
                <w:rFonts w:asciiTheme="majorHAnsi" w:hAnsiTheme="majorHAnsi" w:cstheme="majorHAnsi"/>
                <w:sz w:val="21"/>
                <w:szCs w:val="21"/>
              </w:rPr>
              <w:t xml:space="preserve"> </w:t>
            </w:r>
            <w:r w:rsidR="00E0466C">
              <w:rPr>
                <w:rFonts w:asciiTheme="majorHAnsi" w:hAnsiTheme="majorHAnsi" w:cstheme="majorHAnsi"/>
                <w:sz w:val="21"/>
                <w:szCs w:val="21"/>
              </w:rPr>
              <w:t>(</w:t>
            </w:r>
            <w:r w:rsidR="00E0466C" w:rsidRPr="00E0466C">
              <w:rPr>
                <w:rFonts w:asciiTheme="majorHAnsi" w:hAnsiTheme="majorHAnsi" w:cstheme="majorHAnsi"/>
                <w:sz w:val="21"/>
                <w:szCs w:val="21"/>
              </w:rPr>
              <w:t>Corio</w:t>
            </w:r>
            <w:r w:rsidR="00E0466C">
              <w:rPr>
                <w:rFonts w:asciiTheme="majorHAnsi" w:hAnsiTheme="majorHAnsi" w:cstheme="majorHAnsi"/>
                <w:sz w:val="21"/>
                <w:szCs w:val="21"/>
              </w:rPr>
              <w:t>)</w:t>
            </w:r>
          </w:p>
        </w:tc>
        <w:tc>
          <w:tcPr>
            <w:tcW w:w="1091" w:type="dxa"/>
            <w:vAlign w:val="center"/>
          </w:tcPr>
          <w:p w14:paraId="23522D06"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59</w:t>
            </w:r>
          </w:p>
        </w:tc>
        <w:tc>
          <w:tcPr>
            <w:tcW w:w="984" w:type="dxa"/>
            <w:vAlign w:val="center"/>
          </w:tcPr>
          <w:p w14:paraId="2295FB6D"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31</w:t>
            </w:r>
          </w:p>
        </w:tc>
        <w:tc>
          <w:tcPr>
            <w:tcW w:w="984" w:type="dxa"/>
            <w:vAlign w:val="center"/>
          </w:tcPr>
          <w:p w14:paraId="6EDB3992"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9</w:t>
            </w:r>
          </w:p>
        </w:tc>
        <w:tc>
          <w:tcPr>
            <w:tcW w:w="1329" w:type="dxa"/>
            <w:vAlign w:val="center"/>
          </w:tcPr>
          <w:p w14:paraId="6B3C7FFC"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936</w:t>
            </w:r>
          </w:p>
        </w:tc>
        <w:tc>
          <w:tcPr>
            <w:tcW w:w="1148" w:type="dxa"/>
            <w:vAlign w:val="center"/>
          </w:tcPr>
          <w:p w14:paraId="0B06E0C2"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3</w:t>
            </w:r>
          </w:p>
        </w:tc>
        <w:tc>
          <w:tcPr>
            <w:tcW w:w="1142" w:type="dxa"/>
            <w:vAlign w:val="center"/>
          </w:tcPr>
          <w:p w14:paraId="21E92FD8"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36</w:t>
            </w:r>
          </w:p>
        </w:tc>
        <w:tc>
          <w:tcPr>
            <w:tcW w:w="1246" w:type="dxa"/>
            <w:vAlign w:val="center"/>
          </w:tcPr>
          <w:p w14:paraId="09DD423F" w14:textId="46A5AA6F"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14</w:t>
            </w:r>
            <w:r w:rsidR="00E0466C">
              <w:rPr>
                <w:rFonts w:asciiTheme="majorHAnsi" w:hAnsiTheme="majorHAnsi" w:cstheme="majorHAnsi"/>
                <w:sz w:val="21"/>
                <w:szCs w:val="21"/>
              </w:rPr>
              <w:t>,</w:t>
            </w:r>
            <w:r w:rsidRPr="002C52A2">
              <w:rPr>
                <w:rFonts w:asciiTheme="majorHAnsi" w:hAnsiTheme="majorHAnsi" w:cstheme="majorHAnsi"/>
                <w:sz w:val="21"/>
                <w:szCs w:val="21"/>
              </w:rPr>
              <w:t>357</w:t>
            </w:r>
          </w:p>
        </w:tc>
      </w:tr>
      <w:tr w:rsidR="00F00E3D" w:rsidRPr="002C52A2" w14:paraId="768CF360" w14:textId="77777777" w:rsidTr="00853850">
        <w:trPr>
          <w:trHeight w:val="592"/>
        </w:trPr>
        <w:tc>
          <w:tcPr>
            <w:tcW w:w="1546" w:type="dxa"/>
            <w:vAlign w:val="center"/>
          </w:tcPr>
          <w:p w14:paraId="2160839C" w14:textId="051C1294" w:rsidR="00F00E3D" w:rsidRPr="00E0466C" w:rsidRDefault="00F00E3D" w:rsidP="00B84E25">
            <w:pPr>
              <w:spacing w:line="240" w:lineRule="auto"/>
              <w:rPr>
                <w:rFonts w:asciiTheme="majorHAnsi" w:hAnsiTheme="majorHAnsi" w:cstheme="majorHAnsi"/>
                <w:sz w:val="21"/>
                <w:szCs w:val="21"/>
              </w:rPr>
            </w:pPr>
            <w:r w:rsidRPr="00E0466C">
              <w:rPr>
                <w:rFonts w:asciiTheme="majorHAnsi" w:hAnsiTheme="majorHAnsi" w:cstheme="majorHAnsi"/>
                <w:sz w:val="21"/>
                <w:szCs w:val="21"/>
              </w:rPr>
              <w:t>St Thomas Aquinas</w:t>
            </w:r>
            <w:r w:rsidR="00E0466C" w:rsidRPr="00E0466C">
              <w:rPr>
                <w:rFonts w:asciiTheme="majorHAnsi" w:hAnsiTheme="majorHAnsi" w:cstheme="majorHAnsi"/>
                <w:sz w:val="21"/>
                <w:szCs w:val="21"/>
              </w:rPr>
              <w:t xml:space="preserve"> </w:t>
            </w:r>
            <w:r w:rsidR="00E0466C">
              <w:rPr>
                <w:rFonts w:asciiTheme="majorHAnsi" w:hAnsiTheme="majorHAnsi" w:cstheme="majorHAnsi"/>
                <w:sz w:val="21"/>
                <w:szCs w:val="21"/>
              </w:rPr>
              <w:t>(</w:t>
            </w:r>
            <w:r w:rsidR="00E0466C" w:rsidRPr="00E0466C">
              <w:rPr>
                <w:rFonts w:asciiTheme="majorHAnsi" w:hAnsiTheme="majorHAnsi" w:cstheme="majorHAnsi"/>
                <w:sz w:val="21"/>
                <w:szCs w:val="21"/>
              </w:rPr>
              <w:t>Norlane</w:t>
            </w:r>
            <w:r w:rsidR="00E0466C">
              <w:rPr>
                <w:rFonts w:asciiTheme="majorHAnsi" w:hAnsiTheme="majorHAnsi" w:cstheme="majorHAnsi"/>
                <w:sz w:val="21"/>
                <w:szCs w:val="21"/>
              </w:rPr>
              <w:t>)</w:t>
            </w:r>
          </w:p>
        </w:tc>
        <w:tc>
          <w:tcPr>
            <w:tcW w:w="1091" w:type="dxa"/>
            <w:vAlign w:val="center"/>
          </w:tcPr>
          <w:p w14:paraId="0EA5C78C"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66</w:t>
            </w:r>
          </w:p>
        </w:tc>
        <w:tc>
          <w:tcPr>
            <w:tcW w:w="984" w:type="dxa"/>
            <w:vAlign w:val="center"/>
          </w:tcPr>
          <w:p w14:paraId="08E51177"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22</w:t>
            </w:r>
          </w:p>
        </w:tc>
        <w:tc>
          <w:tcPr>
            <w:tcW w:w="984" w:type="dxa"/>
            <w:vAlign w:val="center"/>
          </w:tcPr>
          <w:p w14:paraId="56DBC045"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9</w:t>
            </w:r>
          </w:p>
        </w:tc>
        <w:tc>
          <w:tcPr>
            <w:tcW w:w="1329" w:type="dxa"/>
            <w:vAlign w:val="center"/>
          </w:tcPr>
          <w:p w14:paraId="476C0031"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917</w:t>
            </w:r>
          </w:p>
        </w:tc>
        <w:tc>
          <w:tcPr>
            <w:tcW w:w="1148" w:type="dxa"/>
            <w:vAlign w:val="center"/>
          </w:tcPr>
          <w:p w14:paraId="15502B93"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9</w:t>
            </w:r>
          </w:p>
        </w:tc>
        <w:tc>
          <w:tcPr>
            <w:tcW w:w="1142" w:type="dxa"/>
            <w:vAlign w:val="center"/>
          </w:tcPr>
          <w:p w14:paraId="3FA45CBA"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25</w:t>
            </w:r>
          </w:p>
        </w:tc>
        <w:tc>
          <w:tcPr>
            <w:tcW w:w="1246" w:type="dxa"/>
            <w:vAlign w:val="center"/>
          </w:tcPr>
          <w:p w14:paraId="1F86197F" w14:textId="734F7136"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21</w:t>
            </w:r>
            <w:r w:rsidR="00E0466C">
              <w:rPr>
                <w:rFonts w:asciiTheme="majorHAnsi" w:hAnsiTheme="majorHAnsi" w:cstheme="majorHAnsi"/>
                <w:sz w:val="21"/>
                <w:szCs w:val="21"/>
              </w:rPr>
              <w:t>,</w:t>
            </w:r>
            <w:r w:rsidRPr="002C52A2">
              <w:rPr>
                <w:rFonts w:asciiTheme="majorHAnsi" w:hAnsiTheme="majorHAnsi" w:cstheme="majorHAnsi"/>
                <w:sz w:val="21"/>
                <w:szCs w:val="21"/>
              </w:rPr>
              <w:t>045</w:t>
            </w:r>
          </w:p>
        </w:tc>
      </w:tr>
      <w:tr w:rsidR="00F00E3D" w:rsidRPr="002C52A2" w14:paraId="16B890BD" w14:textId="77777777" w:rsidTr="00853850">
        <w:trPr>
          <w:trHeight w:val="527"/>
        </w:trPr>
        <w:tc>
          <w:tcPr>
            <w:tcW w:w="1546" w:type="dxa"/>
            <w:vAlign w:val="center"/>
          </w:tcPr>
          <w:p w14:paraId="1861ACB4"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Whittington Primary</w:t>
            </w:r>
          </w:p>
        </w:tc>
        <w:tc>
          <w:tcPr>
            <w:tcW w:w="1091" w:type="dxa"/>
            <w:vAlign w:val="center"/>
          </w:tcPr>
          <w:p w14:paraId="762B2E8F"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82</w:t>
            </w:r>
          </w:p>
        </w:tc>
        <w:tc>
          <w:tcPr>
            <w:tcW w:w="984" w:type="dxa"/>
            <w:vAlign w:val="center"/>
          </w:tcPr>
          <w:p w14:paraId="71A6147D"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14</w:t>
            </w:r>
          </w:p>
        </w:tc>
        <w:tc>
          <w:tcPr>
            <w:tcW w:w="984" w:type="dxa"/>
            <w:vAlign w:val="center"/>
          </w:tcPr>
          <w:p w14:paraId="0B6CF906"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3</w:t>
            </w:r>
          </w:p>
        </w:tc>
        <w:tc>
          <w:tcPr>
            <w:tcW w:w="1329" w:type="dxa"/>
            <w:vAlign w:val="center"/>
          </w:tcPr>
          <w:p w14:paraId="6E9A0729"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862</w:t>
            </w:r>
          </w:p>
        </w:tc>
        <w:tc>
          <w:tcPr>
            <w:tcW w:w="1148" w:type="dxa"/>
            <w:vAlign w:val="center"/>
          </w:tcPr>
          <w:p w14:paraId="2611A1A3"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12</w:t>
            </w:r>
          </w:p>
        </w:tc>
        <w:tc>
          <w:tcPr>
            <w:tcW w:w="1142" w:type="dxa"/>
            <w:vAlign w:val="center"/>
          </w:tcPr>
          <w:p w14:paraId="0D72B9DE"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11</w:t>
            </w:r>
          </w:p>
        </w:tc>
        <w:tc>
          <w:tcPr>
            <w:tcW w:w="1246" w:type="dxa"/>
            <w:vAlign w:val="center"/>
          </w:tcPr>
          <w:p w14:paraId="0551305A" w14:textId="0DDC2E5A"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17</w:t>
            </w:r>
            <w:r w:rsidR="00E0466C">
              <w:rPr>
                <w:rFonts w:asciiTheme="majorHAnsi" w:hAnsiTheme="majorHAnsi" w:cstheme="majorHAnsi"/>
                <w:sz w:val="21"/>
                <w:szCs w:val="21"/>
              </w:rPr>
              <w:t>,</w:t>
            </w:r>
            <w:r w:rsidRPr="002C52A2">
              <w:rPr>
                <w:rFonts w:asciiTheme="majorHAnsi" w:hAnsiTheme="majorHAnsi" w:cstheme="majorHAnsi"/>
                <w:sz w:val="21"/>
                <w:szCs w:val="21"/>
              </w:rPr>
              <w:t>202</w:t>
            </w:r>
          </w:p>
        </w:tc>
      </w:tr>
      <w:tr w:rsidR="00F00E3D" w:rsidRPr="002C52A2" w14:paraId="6004F798" w14:textId="77777777" w:rsidTr="00853850">
        <w:trPr>
          <w:trHeight w:val="527"/>
        </w:trPr>
        <w:tc>
          <w:tcPr>
            <w:tcW w:w="1546" w:type="dxa"/>
            <w:vAlign w:val="center"/>
          </w:tcPr>
          <w:p w14:paraId="4195644C"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Newcomb Park</w:t>
            </w:r>
          </w:p>
        </w:tc>
        <w:tc>
          <w:tcPr>
            <w:tcW w:w="1091" w:type="dxa"/>
            <w:vAlign w:val="center"/>
          </w:tcPr>
          <w:p w14:paraId="1B3595F2"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67</w:t>
            </w:r>
          </w:p>
        </w:tc>
        <w:tc>
          <w:tcPr>
            <w:tcW w:w="984" w:type="dxa"/>
            <w:vAlign w:val="center"/>
          </w:tcPr>
          <w:p w14:paraId="71C632B0"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20</w:t>
            </w:r>
          </w:p>
        </w:tc>
        <w:tc>
          <w:tcPr>
            <w:tcW w:w="984" w:type="dxa"/>
            <w:vAlign w:val="center"/>
          </w:tcPr>
          <w:p w14:paraId="5B93789B"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10</w:t>
            </w:r>
          </w:p>
        </w:tc>
        <w:tc>
          <w:tcPr>
            <w:tcW w:w="1329" w:type="dxa"/>
            <w:vAlign w:val="center"/>
          </w:tcPr>
          <w:p w14:paraId="4386B716"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925</w:t>
            </w:r>
          </w:p>
        </w:tc>
        <w:tc>
          <w:tcPr>
            <w:tcW w:w="1148" w:type="dxa"/>
            <w:vAlign w:val="center"/>
          </w:tcPr>
          <w:p w14:paraId="222AAC99"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6</w:t>
            </w:r>
          </w:p>
        </w:tc>
        <w:tc>
          <w:tcPr>
            <w:tcW w:w="1142" w:type="dxa"/>
            <w:vAlign w:val="center"/>
          </w:tcPr>
          <w:p w14:paraId="5A2C28BF"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7</w:t>
            </w:r>
          </w:p>
        </w:tc>
        <w:tc>
          <w:tcPr>
            <w:tcW w:w="1246" w:type="dxa"/>
            <w:vAlign w:val="center"/>
          </w:tcPr>
          <w:p w14:paraId="6B2405F2" w14:textId="1AF6FBDB"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15</w:t>
            </w:r>
            <w:r w:rsidR="00E0466C">
              <w:rPr>
                <w:rFonts w:asciiTheme="majorHAnsi" w:hAnsiTheme="majorHAnsi" w:cstheme="majorHAnsi"/>
                <w:sz w:val="21"/>
                <w:szCs w:val="21"/>
              </w:rPr>
              <w:t>,</w:t>
            </w:r>
            <w:r w:rsidRPr="002C52A2">
              <w:rPr>
                <w:rFonts w:asciiTheme="majorHAnsi" w:hAnsiTheme="majorHAnsi" w:cstheme="majorHAnsi"/>
                <w:sz w:val="21"/>
                <w:szCs w:val="21"/>
              </w:rPr>
              <w:t>836</w:t>
            </w:r>
          </w:p>
        </w:tc>
      </w:tr>
      <w:tr w:rsidR="00F00E3D" w:rsidRPr="002C52A2" w14:paraId="6A01A6CF" w14:textId="77777777" w:rsidTr="00853850">
        <w:trPr>
          <w:trHeight w:val="725"/>
        </w:trPr>
        <w:tc>
          <w:tcPr>
            <w:tcW w:w="1546" w:type="dxa"/>
            <w:vAlign w:val="center"/>
          </w:tcPr>
          <w:p w14:paraId="399B649A" w14:textId="5BEB3584"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Christ the King</w:t>
            </w:r>
            <w:r w:rsidR="00E0466C">
              <w:rPr>
                <w:rFonts w:asciiTheme="majorHAnsi" w:hAnsiTheme="majorHAnsi" w:cstheme="majorHAnsi"/>
                <w:sz w:val="21"/>
                <w:szCs w:val="21"/>
              </w:rPr>
              <w:t xml:space="preserve"> (Newcomb)</w:t>
            </w:r>
          </w:p>
        </w:tc>
        <w:tc>
          <w:tcPr>
            <w:tcW w:w="1091" w:type="dxa"/>
            <w:vAlign w:val="center"/>
          </w:tcPr>
          <w:p w14:paraId="196F2E61"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20</w:t>
            </w:r>
          </w:p>
        </w:tc>
        <w:tc>
          <w:tcPr>
            <w:tcW w:w="984" w:type="dxa"/>
            <w:vAlign w:val="center"/>
          </w:tcPr>
          <w:p w14:paraId="59530F30"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37</w:t>
            </w:r>
          </w:p>
        </w:tc>
        <w:tc>
          <w:tcPr>
            <w:tcW w:w="984" w:type="dxa"/>
            <w:vAlign w:val="center"/>
          </w:tcPr>
          <w:p w14:paraId="627A7702"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29</w:t>
            </w:r>
          </w:p>
        </w:tc>
        <w:tc>
          <w:tcPr>
            <w:tcW w:w="1329" w:type="dxa"/>
            <w:vAlign w:val="center"/>
          </w:tcPr>
          <w:p w14:paraId="0F346803"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1027</w:t>
            </w:r>
          </w:p>
        </w:tc>
        <w:tc>
          <w:tcPr>
            <w:tcW w:w="1148" w:type="dxa"/>
            <w:vAlign w:val="center"/>
          </w:tcPr>
          <w:p w14:paraId="6886FE39"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1</w:t>
            </w:r>
          </w:p>
        </w:tc>
        <w:tc>
          <w:tcPr>
            <w:tcW w:w="1142" w:type="dxa"/>
            <w:vAlign w:val="center"/>
          </w:tcPr>
          <w:p w14:paraId="1DD3C752" w14:textId="77777777"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6</w:t>
            </w:r>
          </w:p>
        </w:tc>
        <w:tc>
          <w:tcPr>
            <w:tcW w:w="1246" w:type="dxa"/>
            <w:vAlign w:val="center"/>
          </w:tcPr>
          <w:p w14:paraId="60925CDE" w14:textId="03F1760F" w:rsidR="00F00E3D" w:rsidRPr="002C52A2" w:rsidRDefault="00F00E3D" w:rsidP="00B84E25">
            <w:pPr>
              <w:spacing w:line="240" w:lineRule="auto"/>
              <w:rPr>
                <w:rFonts w:asciiTheme="majorHAnsi" w:hAnsiTheme="majorHAnsi" w:cstheme="majorHAnsi"/>
                <w:sz w:val="21"/>
                <w:szCs w:val="21"/>
              </w:rPr>
            </w:pPr>
            <w:r w:rsidRPr="002C52A2">
              <w:rPr>
                <w:rFonts w:asciiTheme="majorHAnsi" w:hAnsiTheme="majorHAnsi" w:cstheme="majorHAnsi"/>
                <w:sz w:val="21"/>
                <w:szCs w:val="21"/>
              </w:rPr>
              <w:t>15</w:t>
            </w:r>
            <w:r w:rsidR="00E0466C">
              <w:rPr>
                <w:rFonts w:asciiTheme="majorHAnsi" w:hAnsiTheme="majorHAnsi" w:cstheme="majorHAnsi"/>
                <w:sz w:val="21"/>
                <w:szCs w:val="21"/>
              </w:rPr>
              <w:t>,</w:t>
            </w:r>
            <w:r w:rsidRPr="002C52A2">
              <w:rPr>
                <w:rFonts w:asciiTheme="majorHAnsi" w:hAnsiTheme="majorHAnsi" w:cstheme="majorHAnsi"/>
                <w:sz w:val="21"/>
                <w:szCs w:val="21"/>
              </w:rPr>
              <w:t>057</w:t>
            </w:r>
          </w:p>
        </w:tc>
      </w:tr>
    </w:tbl>
    <w:p w14:paraId="48A7B3D5" w14:textId="3732B243" w:rsidR="00E0466C" w:rsidRPr="00E0466C" w:rsidRDefault="002C52A2" w:rsidP="00E0466C">
      <w:pPr>
        <w:spacing w:after="0" w:line="276" w:lineRule="auto"/>
        <w:rPr>
          <w:rFonts w:cstheme="minorHAnsi"/>
          <w:b/>
          <w:sz w:val="21"/>
          <w:szCs w:val="21"/>
        </w:rPr>
      </w:pPr>
      <w:r w:rsidRPr="00E0466C">
        <w:rPr>
          <w:rFonts w:cstheme="minorHAnsi"/>
          <w:b/>
          <w:sz w:val="21"/>
          <w:szCs w:val="21"/>
        </w:rPr>
        <w:t xml:space="preserve">Table </w:t>
      </w:r>
      <w:r w:rsidR="00866FE5">
        <w:rPr>
          <w:rFonts w:cstheme="minorHAnsi"/>
          <w:b/>
          <w:sz w:val="21"/>
          <w:szCs w:val="21"/>
        </w:rPr>
        <w:t>7</w:t>
      </w:r>
      <w:r w:rsidRPr="00E0466C">
        <w:rPr>
          <w:rFonts w:cstheme="minorHAnsi"/>
          <w:b/>
          <w:sz w:val="21"/>
          <w:szCs w:val="21"/>
        </w:rPr>
        <w:t>.1</w:t>
      </w:r>
      <w:r w:rsidR="00D9134E">
        <w:rPr>
          <w:rFonts w:cstheme="minorHAnsi"/>
          <w:b/>
          <w:sz w:val="21"/>
          <w:szCs w:val="21"/>
        </w:rPr>
        <w:t>1</w:t>
      </w:r>
      <w:r w:rsidRPr="00E0466C">
        <w:rPr>
          <w:rFonts w:cstheme="minorHAnsi"/>
          <w:b/>
          <w:sz w:val="21"/>
          <w:szCs w:val="21"/>
        </w:rPr>
        <w:t xml:space="preserve">: </w:t>
      </w:r>
      <w:r w:rsidR="00E0466C" w:rsidRPr="00E0466C">
        <w:rPr>
          <w:rFonts w:cstheme="minorHAnsi"/>
          <w:b/>
          <w:sz w:val="21"/>
          <w:szCs w:val="21"/>
        </w:rPr>
        <w:t>Education Indicators for P</w:t>
      </w:r>
      <w:r w:rsidRPr="00E0466C">
        <w:rPr>
          <w:rFonts w:cstheme="minorHAnsi"/>
          <w:b/>
          <w:sz w:val="21"/>
          <w:szCs w:val="21"/>
        </w:rPr>
        <w:t>rimary Schools in</w:t>
      </w:r>
      <w:r w:rsidR="00E0466C" w:rsidRPr="00E0466C">
        <w:rPr>
          <w:rFonts w:cstheme="minorHAnsi"/>
          <w:b/>
          <w:sz w:val="21"/>
          <w:szCs w:val="21"/>
        </w:rPr>
        <w:t xml:space="preserve"> the</w:t>
      </w:r>
      <w:r w:rsidRPr="00E0466C">
        <w:rPr>
          <w:rFonts w:cstheme="minorHAnsi"/>
          <w:b/>
          <w:sz w:val="21"/>
          <w:szCs w:val="21"/>
        </w:rPr>
        <w:t xml:space="preserve"> Corio, Norlane</w:t>
      </w:r>
      <w:r w:rsidR="00E0466C" w:rsidRPr="00E0466C">
        <w:rPr>
          <w:rFonts w:cstheme="minorHAnsi"/>
          <w:b/>
          <w:sz w:val="21"/>
          <w:szCs w:val="21"/>
        </w:rPr>
        <w:t>,</w:t>
      </w:r>
      <w:r w:rsidRPr="00E0466C">
        <w:rPr>
          <w:rFonts w:cstheme="minorHAnsi"/>
          <w:b/>
          <w:sz w:val="21"/>
          <w:szCs w:val="21"/>
        </w:rPr>
        <w:t xml:space="preserve"> and Whittington </w:t>
      </w:r>
      <w:r w:rsidR="00B84E25">
        <w:rPr>
          <w:rFonts w:cstheme="minorHAnsi"/>
          <w:b/>
          <w:sz w:val="21"/>
          <w:szCs w:val="21"/>
        </w:rPr>
        <w:t>A</w:t>
      </w:r>
      <w:r w:rsidRPr="00E0466C">
        <w:rPr>
          <w:rFonts w:cstheme="minorHAnsi"/>
          <w:b/>
          <w:sz w:val="21"/>
          <w:szCs w:val="21"/>
        </w:rPr>
        <w:t xml:space="preserve">reas </w:t>
      </w:r>
    </w:p>
    <w:p w14:paraId="5C693E32" w14:textId="0099A1E1" w:rsidR="00F00E3D" w:rsidRDefault="002C52A2" w:rsidP="00E0466C">
      <w:pPr>
        <w:spacing w:after="0" w:line="276" w:lineRule="auto"/>
        <w:rPr>
          <w:rFonts w:cstheme="minorHAnsi"/>
          <w:b/>
          <w:noProof/>
          <w:sz w:val="21"/>
          <w:szCs w:val="21"/>
        </w:rPr>
      </w:pPr>
      <w:r w:rsidRPr="00E0466C">
        <w:rPr>
          <w:rFonts w:cstheme="minorHAnsi"/>
          <w:b/>
          <w:noProof/>
          <w:sz w:val="21"/>
          <w:szCs w:val="21"/>
        </w:rPr>
        <w:t>(</w:t>
      </w:r>
      <w:r w:rsidR="00E0466C" w:rsidRPr="00E0466C">
        <w:rPr>
          <w:rFonts w:cstheme="minorHAnsi"/>
          <w:b/>
          <w:noProof/>
          <w:sz w:val="21"/>
          <w:szCs w:val="21"/>
        </w:rPr>
        <w:t xml:space="preserve">Source: </w:t>
      </w:r>
      <w:r w:rsidRPr="00E0466C">
        <w:rPr>
          <w:rFonts w:cstheme="minorHAnsi"/>
          <w:b/>
          <w:noProof/>
          <w:sz w:val="21"/>
          <w:szCs w:val="21"/>
        </w:rPr>
        <w:t>My School, 2021)</w:t>
      </w:r>
    </w:p>
    <w:p w14:paraId="20E3D602" w14:textId="77777777" w:rsidR="00E0466C" w:rsidRPr="00E0466C" w:rsidRDefault="00E0466C" w:rsidP="00E0466C">
      <w:pPr>
        <w:spacing w:after="0" w:line="276" w:lineRule="auto"/>
        <w:rPr>
          <w:rFonts w:cstheme="minorHAnsi"/>
          <w:b/>
          <w:sz w:val="16"/>
          <w:szCs w:val="16"/>
        </w:rPr>
      </w:pPr>
    </w:p>
    <w:p w14:paraId="4E910019" w14:textId="7376DCD0" w:rsidR="00866FE5" w:rsidRDefault="004D73CA" w:rsidP="009B2FA7">
      <w:pPr>
        <w:spacing w:line="276" w:lineRule="auto"/>
        <w:rPr>
          <w:rFonts w:asciiTheme="majorHAnsi" w:hAnsiTheme="majorHAnsi" w:cstheme="majorHAnsi"/>
          <w:sz w:val="23"/>
          <w:szCs w:val="23"/>
        </w:rPr>
      </w:pPr>
      <w:r>
        <w:rPr>
          <w:rFonts w:asciiTheme="majorHAnsi" w:hAnsiTheme="majorHAnsi" w:cstheme="majorHAnsi"/>
          <w:sz w:val="23"/>
          <w:szCs w:val="23"/>
        </w:rPr>
        <w:t>Turning</w:t>
      </w:r>
      <w:r w:rsidR="00F00E3D" w:rsidRPr="00E91887">
        <w:rPr>
          <w:rFonts w:asciiTheme="majorHAnsi" w:hAnsiTheme="majorHAnsi" w:cstheme="majorHAnsi"/>
          <w:sz w:val="23"/>
          <w:szCs w:val="23"/>
        </w:rPr>
        <w:t xml:space="preserve"> to </w:t>
      </w:r>
      <w:r>
        <w:rPr>
          <w:rFonts w:asciiTheme="majorHAnsi" w:hAnsiTheme="majorHAnsi" w:cstheme="majorHAnsi"/>
          <w:sz w:val="23"/>
          <w:szCs w:val="23"/>
        </w:rPr>
        <w:t xml:space="preserve">local </w:t>
      </w:r>
      <w:r w:rsidR="00F00E3D" w:rsidRPr="00E91887">
        <w:rPr>
          <w:rFonts w:asciiTheme="majorHAnsi" w:hAnsiTheme="majorHAnsi" w:cstheme="majorHAnsi"/>
          <w:sz w:val="23"/>
          <w:szCs w:val="23"/>
        </w:rPr>
        <w:t>high schools, Northern Bay</w:t>
      </w:r>
      <w:r w:rsidR="00866FE5">
        <w:rPr>
          <w:rFonts w:asciiTheme="majorHAnsi" w:hAnsiTheme="majorHAnsi" w:cstheme="majorHAnsi"/>
          <w:sz w:val="23"/>
          <w:szCs w:val="23"/>
        </w:rPr>
        <w:t xml:space="preserve"> </w:t>
      </w:r>
      <w:r w:rsidR="00F00E3D" w:rsidRPr="00E91887">
        <w:rPr>
          <w:rFonts w:asciiTheme="majorHAnsi" w:hAnsiTheme="majorHAnsi" w:cstheme="majorHAnsi"/>
          <w:sz w:val="23"/>
          <w:szCs w:val="23"/>
        </w:rPr>
        <w:t xml:space="preserve">College </w:t>
      </w:r>
      <w:r w:rsidR="00465C0D">
        <w:rPr>
          <w:rFonts w:asciiTheme="majorHAnsi" w:hAnsiTheme="majorHAnsi" w:cstheme="majorHAnsi"/>
          <w:sz w:val="23"/>
          <w:szCs w:val="23"/>
        </w:rPr>
        <w:t xml:space="preserve">in </w:t>
      </w:r>
      <w:r w:rsidR="00F00E3D" w:rsidRPr="00E91887">
        <w:rPr>
          <w:rFonts w:asciiTheme="majorHAnsi" w:hAnsiTheme="majorHAnsi" w:cstheme="majorHAnsi"/>
          <w:sz w:val="23"/>
          <w:szCs w:val="23"/>
        </w:rPr>
        <w:t>Corio serves the Corio</w:t>
      </w:r>
      <w:r>
        <w:rPr>
          <w:rFonts w:asciiTheme="majorHAnsi" w:hAnsiTheme="majorHAnsi" w:cstheme="majorHAnsi"/>
          <w:sz w:val="23"/>
          <w:szCs w:val="23"/>
        </w:rPr>
        <w:t>–</w:t>
      </w:r>
      <w:r w:rsidR="00F00E3D" w:rsidRPr="00E91887">
        <w:rPr>
          <w:rFonts w:asciiTheme="majorHAnsi" w:hAnsiTheme="majorHAnsi" w:cstheme="majorHAnsi"/>
          <w:sz w:val="23"/>
          <w:szCs w:val="23"/>
        </w:rPr>
        <w:t>Norlane area</w:t>
      </w:r>
      <w:r w:rsidR="00465C0D">
        <w:rPr>
          <w:rFonts w:asciiTheme="majorHAnsi" w:hAnsiTheme="majorHAnsi" w:cstheme="majorHAnsi"/>
          <w:sz w:val="23"/>
          <w:szCs w:val="23"/>
        </w:rPr>
        <w:t>. In 2019 the school</w:t>
      </w:r>
      <w:r w:rsidR="00465C0D" w:rsidRPr="00465C0D">
        <w:rPr>
          <w:rFonts w:asciiTheme="majorHAnsi" w:hAnsiTheme="majorHAnsi" w:cstheme="majorHAnsi"/>
          <w:sz w:val="23"/>
          <w:szCs w:val="23"/>
        </w:rPr>
        <w:t xml:space="preserve"> </w:t>
      </w:r>
      <w:r w:rsidR="00465C0D">
        <w:rPr>
          <w:rFonts w:asciiTheme="majorHAnsi" w:hAnsiTheme="majorHAnsi" w:cstheme="majorHAnsi"/>
          <w:sz w:val="23"/>
          <w:szCs w:val="23"/>
        </w:rPr>
        <w:t>had</w:t>
      </w:r>
      <w:r w:rsidR="00465C0D" w:rsidRPr="00E91887">
        <w:rPr>
          <w:rFonts w:asciiTheme="majorHAnsi" w:hAnsiTheme="majorHAnsi" w:cstheme="majorHAnsi"/>
          <w:sz w:val="23"/>
          <w:szCs w:val="23"/>
        </w:rPr>
        <w:t xml:space="preserve"> 1935 students</w:t>
      </w:r>
      <w:r w:rsidR="00F00E3D" w:rsidRPr="00E91887">
        <w:rPr>
          <w:rFonts w:asciiTheme="majorHAnsi" w:hAnsiTheme="majorHAnsi" w:cstheme="majorHAnsi"/>
          <w:sz w:val="23"/>
          <w:szCs w:val="23"/>
        </w:rPr>
        <w:t>.</w:t>
      </w:r>
      <w:r w:rsidR="00465C0D">
        <w:rPr>
          <w:rFonts w:asciiTheme="majorHAnsi" w:hAnsiTheme="majorHAnsi" w:cstheme="majorHAnsi"/>
          <w:sz w:val="23"/>
          <w:szCs w:val="23"/>
        </w:rPr>
        <w:t xml:space="preserve"> Given that</w:t>
      </w:r>
      <w:r w:rsidR="00F00E3D" w:rsidRPr="00E91887">
        <w:rPr>
          <w:rFonts w:asciiTheme="majorHAnsi" w:hAnsiTheme="majorHAnsi" w:cstheme="majorHAnsi"/>
          <w:sz w:val="23"/>
          <w:szCs w:val="23"/>
        </w:rPr>
        <w:t xml:space="preserve"> </w:t>
      </w:r>
      <w:r w:rsidR="00465C0D" w:rsidRPr="00E91887">
        <w:rPr>
          <w:rFonts w:asciiTheme="majorHAnsi" w:hAnsiTheme="majorHAnsi" w:cstheme="majorHAnsi"/>
          <w:sz w:val="23"/>
          <w:szCs w:val="23"/>
        </w:rPr>
        <w:t>A</w:t>
      </w:r>
      <w:r w:rsidR="00465C0D">
        <w:rPr>
          <w:rFonts w:asciiTheme="majorHAnsi" w:hAnsiTheme="majorHAnsi" w:cstheme="majorHAnsi"/>
          <w:sz w:val="23"/>
          <w:szCs w:val="23"/>
        </w:rPr>
        <w:t xml:space="preserve">boriginal and </w:t>
      </w:r>
      <w:r w:rsidR="00465C0D" w:rsidRPr="00E91887">
        <w:rPr>
          <w:rFonts w:asciiTheme="majorHAnsi" w:hAnsiTheme="majorHAnsi" w:cstheme="majorHAnsi"/>
          <w:sz w:val="23"/>
          <w:szCs w:val="23"/>
        </w:rPr>
        <w:t>T</w:t>
      </w:r>
      <w:r w:rsidR="00465C0D">
        <w:rPr>
          <w:rFonts w:asciiTheme="majorHAnsi" w:hAnsiTheme="majorHAnsi" w:cstheme="majorHAnsi"/>
          <w:sz w:val="23"/>
          <w:szCs w:val="23"/>
        </w:rPr>
        <w:t xml:space="preserve">orres </w:t>
      </w:r>
      <w:r w:rsidR="00465C0D" w:rsidRPr="00E91887">
        <w:rPr>
          <w:rFonts w:asciiTheme="majorHAnsi" w:hAnsiTheme="majorHAnsi" w:cstheme="majorHAnsi"/>
          <w:sz w:val="23"/>
          <w:szCs w:val="23"/>
        </w:rPr>
        <w:t>S</w:t>
      </w:r>
      <w:r w:rsidR="00465C0D">
        <w:rPr>
          <w:rFonts w:asciiTheme="majorHAnsi" w:hAnsiTheme="majorHAnsi" w:cstheme="majorHAnsi"/>
          <w:sz w:val="23"/>
          <w:szCs w:val="23"/>
        </w:rPr>
        <w:t xml:space="preserve">trait </w:t>
      </w:r>
      <w:r w:rsidR="00465C0D" w:rsidRPr="00E91887">
        <w:rPr>
          <w:rFonts w:asciiTheme="majorHAnsi" w:hAnsiTheme="majorHAnsi" w:cstheme="majorHAnsi"/>
          <w:sz w:val="23"/>
          <w:szCs w:val="23"/>
        </w:rPr>
        <w:t>I</w:t>
      </w:r>
      <w:r w:rsidR="00465C0D">
        <w:rPr>
          <w:rFonts w:asciiTheme="majorHAnsi" w:hAnsiTheme="majorHAnsi" w:cstheme="majorHAnsi"/>
          <w:sz w:val="23"/>
          <w:szCs w:val="23"/>
        </w:rPr>
        <w:t xml:space="preserve">slander Australians make up less than </w:t>
      </w:r>
      <w:r w:rsidR="00F00E3D" w:rsidRPr="00E91887">
        <w:rPr>
          <w:rFonts w:asciiTheme="majorHAnsi" w:hAnsiTheme="majorHAnsi" w:cstheme="majorHAnsi"/>
          <w:sz w:val="23"/>
          <w:szCs w:val="23"/>
        </w:rPr>
        <w:t>1</w:t>
      </w:r>
      <w:r w:rsidR="00465C0D">
        <w:rPr>
          <w:rFonts w:asciiTheme="majorHAnsi" w:hAnsiTheme="majorHAnsi" w:cstheme="majorHAnsi"/>
          <w:sz w:val="23"/>
          <w:szCs w:val="23"/>
        </w:rPr>
        <w:t xml:space="preserve"> percent of the Geelong population, it is </w:t>
      </w:r>
      <w:r w:rsidR="00E0287E">
        <w:rPr>
          <w:rFonts w:asciiTheme="majorHAnsi" w:hAnsiTheme="majorHAnsi" w:cstheme="majorHAnsi"/>
          <w:sz w:val="23"/>
          <w:szCs w:val="23"/>
        </w:rPr>
        <w:t>notable that</w:t>
      </w:r>
      <w:r w:rsidR="00465C0D">
        <w:rPr>
          <w:rFonts w:asciiTheme="majorHAnsi" w:hAnsiTheme="majorHAnsi" w:cstheme="majorHAnsi"/>
          <w:sz w:val="23"/>
          <w:szCs w:val="23"/>
        </w:rPr>
        <w:t xml:space="preserve"> </w:t>
      </w:r>
      <w:r w:rsidR="00465C0D" w:rsidRPr="00E91887">
        <w:rPr>
          <w:rFonts w:asciiTheme="majorHAnsi" w:hAnsiTheme="majorHAnsi" w:cstheme="majorHAnsi"/>
          <w:sz w:val="23"/>
          <w:szCs w:val="23"/>
        </w:rPr>
        <w:t>8</w:t>
      </w:r>
      <w:r w:rsidR="00465C0D">
        <w:rPr>
          <w:rFonts w:asciiTheme="majorHAnsi" w:hAnsiTheme="majorHAnsi" w:cstheme="majorHAnsi"/>
          <w:sz w:val="23"/>
          <w:szCs w:val="23"/>
        </w:rPr>
        <w:t xml:space="preserve"> percent</w:t>
      </w:r>
      <w:r w:rsidR="00465C0D" w:rsidRPr="00E91887">
        <w:rPr>
          <w:rFonts w:asciiTheme="majorHAnsi" w:hAnsiTheme="majorHAnsi" w:cstheme="majorHAnsi"/>
          <w:sz w:val="23"/>
          <w:szCs w:val="23"/>
        </w:rPr>
        <w:t xml:space="preserve"> of </w:t>
      </w:r>
      <w:r w:rsidR="00465C0D">
        <w:rPr>
          <w:rFonts w:asciiTheme="majorHAnsi" w:hAnsiTheme="majorHAnsi" w:cstheme="majorHAnsi"/>
          <w:sz w:val="23"/>
          <w:szCs w:val="23"/>
        </w:rPr>
        <w:t xml:space="preserve">students at this </w:t>
      </w:r>
      <w:r w:rsidR="00E0287E">
        <w:rPr>
          <w:rFonts w:asciiTheme="majorHAnsi" w:hAnsiTheme="majorHAnsi" w:cstheme="majorHAnsi"/>
          <w:sz w:val="23"/>
          <w:szCs w:val="23"/>
        </w:rPr>
        <w:t xml:space="preserve">high </w:t>
      </w:r>
      <w:r w:rsidR="00465C0D">
        <w:rPr>
          <w:rFonts w:asciiTheme="majorHAnsi" w:hAnsiTheme="majorHAnsi" w:cstheme="majorHAnsi"/>
          <w:sz w:val="23"/>
          <w:szCs w:val="23"/>
        </w:rPr>
        <w:t>school</w:t>
      </w:r>
      <w:r w:rsidR="00E0287E">
        <w:rPr>
          <w:rFonts w:asciiTheme="majorHAnsi" w:hAnsiTheme="majorHAnsi" w:cstheme="majorHAnsi"/>
          <w:sz w:val="23"/>
          <w:szCs w:val="23"/>
        </w:rPr>
        <w:t xml:space="preserve"> are</w:t>
      </w:r>
      <w:r w:rsidR="00465C0D" w:rsidRPr="00E91887">
        <w:rPr>
          <w:rFonts w:asciiTheme="majorHAnsi" w:hAnsiTheme="majorHAnsi" w:cstheme="majorHAnsi"/>
          <w:sz w:val="23"/>
          <w:szCs w:val="23"/>
        </w:rPr>
        <w:t xml:space="preserve"> Indigenous</w:t>
      </w:r>
      <w:r w:rsidR="00465C0D">
        <w:rPr>
          <w:rFonts w:asciiTheme="majorHAnsi" w:hAnsiTheme="majorHAnsi" w:cstheme="majorHAnsi"/>
          <w:sz w:val="23"/>
          <w:szCs w:val="23"/>
        </w:rPr>
        <w:t xml:space="preserve">. </w:t>
      </w:r>
      <w:r w:rsidR="00E0287E">
        <w:rPr>
          <w:rFonts w:asciiTheme="majorHAnsi" w:hAnsiTheme="majorHAnsi" w:cstheme="majorHAnsi"/>
          <w:sz w:val="23"/>
          <w:szCs w:val="23"/>
        </w:rPr>
        <w:t>Figures for the same year (2019) show that</w:t>
      </w:r>
      <w:r w:rsidR="00F00E3D" w:rsidRPr="00E91887">
        <w:rPr>
          <w:rFonts w:asciiTheme="majorHAnsi" w:hAnsiTheme="majorHAnsi" w:cstheme="majorHAnsi"/>
          <w:sz w:val="23"/>
          <w:szCs w:val="23"/>
        </w:rPr>
        <w:t xml:space="preserve"> 34</w:t>
      </w:r>
      <w:r w:rsidR="00E0287E">
        <w:rPr>
          <w:rFonts w:asciiTheme="majorHAnsi" w:hAnsiTheme="majorHAnsi" w:cstheme="majorHAnsi"/>
          <w:sz w:val="23"/>
          <w:szCs w:val="23"/>
        </w:rPr>
        <w:t xml:space="preserve"> percent of students</w:t>
      </w:r>
      <w:r w:rsidR="00F00E3D" w:rsidRPr="00E91887">
        <w:rPr>
          <w:rFonts w:asciiTheme="majorHAnsi" w:hAnsiTheme="majorHAnsi" w:cstheme="majorHAnsi"/>
          <w:sz w:val="23"/>
          <w:szCs w:val="23"/>
        </w:rPr>
        <w:t xml:space="preserve"> have a language background other than English (</w:t>
      </w:r>
      <w:r w:rsidR="00E0287E">
        <w:rPr>
          <w:rFonts w:asciiTheme="majorHAnsi" w:hAnsiTheme="majorHAnsi" w:cstheme="majorHAnsi"/>
          <w:sz w:val="23"/>
          <w:szCs w:val="23"/>
        </w:rPr>
        <w:t>up from</w:t>
      </w:r>
      <w:r w:rsidR="00F00E3D" w:rsidRPr="00E91887">
        <w:rPr>
          <w:rFonts w:asciiTheme="majorHAnsi" w:hAnsiTheme="majorHAnsi" w:cstheme="majorHAnsi"/>
          <w:sz w:val="23"/>
          <w:szCs w:val="23"/>
        </w:rPr>
        <w:t xml:space="preserve"> 23</w:t>
      </w:r>
      <w:r w:rsidR="00E0287E">
        <w:rPr>
          <w:rFonts w:asciiTheme="majorHAnsi" w:hAnsiTheme="majorHAnsi" w:cstheme="majorHAnsi"/>
          <w:sz w:val="23"/>
          <w:szCs w:val="23"/>
        </w:rPr>
        <w:t xml:space="preserve"> percent</w:t>
      </w:r>
      <w:r w:rsidR="00F00E3D" w:rsidRPr="00E91887">
        <w:rPr>
          <w:rFonts w:asciiTheme="majorHAnsi" w:hAnsiTheme="majorHAnsi" w:cstheme="majorHAnsi"/>
          <w:sz w:val="23"/>
          <w:szCs w:val="23"/>
        </w:rPr>
        <w:t xml:space="preserve"> in 2014)</w:t>
      </w:r>
      <w:r w:rsidR="00E0287E">
        <w:rPr>
          <w:rFonts w:asciiTheme="majorHAnsi" w:hAnsiTheme="majorHAnsi" w:cstheme="majorHAnsi"/>
          <w:sz w:val="23"/>
          <w:szCs w:val="23"/>
        </w:rPr>
        <w:t>,</w:t>
      </w:r>
      <w:r w:rsidR="00F00E3D" w:rsidRPr="00E91887">
        <w:rPr>
          <w:rFonts w:asciiTheme="majorHAnsi" w:hAnsiTheme="majorHAnsi" w:cstheme="majorHAnsi"/>
          <w:sz w:val="23"/>
          <w:szCs w:val="23"/>
        </w:rPr>
        <w:t xml:space="preserve"> indicating that this school</w:t>
      </w:r>
      <w:r w:rsidR="00E0287E">
        <w:rPr>
          <w:rFonts w:asciiTheme="majorHAnsi" w:hAnsiTheme="majorHAnsi" w:cstheme="majorHAnsi"/>
          <w:sz w:val="23"/>
          <w:szCs w:val="23"/>
        </w:rPr>
        <w:t xml:space="preserve"> attracts</w:t>
      </w:r>
      <w:r w:rsidR="00F00E3D" w:rsidRPr="00E91887">
        <w:rPr>
          <w:rFonts w:asciiTheme="majorHAnsi" w:hAnsiTheme="majorHAnsi" w:cstheme="majorHAnsi"/>
          <w:sz w:val="23"/>
          <w:szCs w:val="23"/>
        </w:rPr>
        <w:t xml:space="preserve"> a growing number of newly arrived migrants, </w:t>
      </w:r>
      <w:r w:rsidR="00E0287E">
        <w:rPr>
          <w:rFonts w:asciiTheme="majorHAnsi" w:hAnsiTheme="majorHAnsi" w:cstheme="majorHAnsi"/>
          <w:sz w:val="23"/>
          <w:szCs w:val="23"/>
        </w:rPr>
        <w:t>including</w:t>
      </w:r>
      <w:r w:rsidR="00F00E3D" w:rsidRPr="00E91887">
        <w:rPr>
          <w:rFonts w:asciiTheme="majorHAnsi" w:hAnsiTheme="majorHAnsi" w:cstheme="majorHAnsi"/>
          <w:sz w:val="23"/>
          <w:szCs w:val="23"/>
        </w:rPr>
        <w:t xml:space="preserve"> refugees.</w:t>
      </w:r>
    </w:p>
    <w:p w14:paraId="4C83ECB0" w14:textId="39883437" w:rsidR="00F00E3D" w:rsidRPr="00E91887" w:rsidRDefault="00866FE5" w:rsidP="009B2FA7">
      <w:pPr>
        <w:spacing w:line="276" w:lineRule="auto"/>
        <w:rPr>
          <w:rFonts w:asciiTheme="majorHAnsi" w:hAnsiTheme="majorHAnsi" w:cstheme="majorHAnsi"/>
          <w:sz w:val="23"/>
          <w:szCs w:val="23"/>
        </w:rPr>
      </w:pPr>
      <w:r>
        <w:rPr>
          <w:rFonts w:asciiTheme="majorHAnsi" w:hAnsiTheme="majorHAnsi" w:cstheme="majorHAnsi"/>
          <w:sz w:val="23"/>
          <w:szCs w:val="23"/>
        </w:rPr>
        <w:t>Northern Bay College’s</w:t>
      </w:r>
      <w:r w:rsidR="00E0287E">
        <w:rPr>
          <w:rFonts w:asciiTheme="majorHAnsi" w:hAnsiTheme="majorHAnsi" w:cstheme="majorHAnsi"/>
          <w:sz w:val="23"/>
          <w:szCs w:val="23"/>
        </w:rPr>
        <w:t xml:space="preserve"> SEIFA</w:t>
      </w:r>
      <w:r w:rsidR="00F00E3D" w:rsidRPr="00E91887">
        <w:rPr>
          <w:rFonts w:asciiTheme="majorHAnsi" w:hAnsiTheme="majorHAnsi" w:cstheme="majorHAnsi"/>
          <w:sz w:val="23"/>
          <w:szCs w:val="23"/>
        </w:rPr>
        <w:t xml:space="preserve"> Index </w:t>
      </w:r>
      <w:r w:rsidR="00E0287E">
        <w:rPr>
          <w:rFonts w:asciiTheme="majorHAnsi" w:hAnsiTheme="majorHAnsi" w:cstheme="majorHAnsi"/>
          <w:sz w:val="23"/>
          <w:szCs w:val="23"/>
        </w:rPr>
        <w:t xml:space="preserve">ranking for </w:t>
      </w:r>
      <w:r w:rsidRPr="00E91887">
        <w:rPr>
          <w:rFonts w:asciiTheme="majorHAnsi" w:hAnsiTheme="majorHAnsi" w:cstheme="majorHAnsi"/>
          <w:sz w:val="23"/>
          <w:szCs w:val="23"/>
        </w:rPr>
        <w:t xml:space="preserve">Socio-Educational Advantage </w:t>
      </w:r>
      <w:r w:rsidR="00E0287E">
        <w:rPr>
          <w:rFonts w:asciiTheme="majorHAnsi" w:hAnsiTheme="majorHAnsi" w:cstheme="majorHAnsi"/>
          <w:sz w:val="23"/>
          <w:szCs w:val="23"/>
        </w:rPr>
        <w:t xml:space="preserve">has remained </w:t>
      </w:r>
      <w:r w:rsidR="00F00E3D" w:rsidRPr="00E91887">
        <w:rPr>
          <w:rFonts w:asciiTheme="majorHAnsi" w:hAnsiTheme="majorHAnsi" w:cstheme="majorHAnsi"/>
          <w:sz w:val="23"/>
          <w:szCs w:val="23"/>
        </w:rPr>
        <w:t xml:space="preserve">relatively stable </w:t>
      </w:r>
      <w:r w:rsidR="00E0287E">
        <w:rPr>
          <w:rFonts w:asciiTheme="majorHAnsi" w:hAnsiTheme="majorHAnsi" w:cstheme="majorHAnsi"/>
          <w:sz w:val="23"/>
          <w:szCs w:val="23"/>
        </w:rPr>
        <w:t xml:space="preserve">over time, </w:t>
      </w:r>
      <w:r w:rsidR="00F00E3D" w:rsidRPr="00E91887">
        <w:rPr>
          <w:rFonts w:asciiTheme="majorHAnsi" w:hAnsiTheme="majorHAnsi" w:cstheme="majorHAnsi"/>
          <w:sz w:val="23"/>
          <w:szCs w:val="23"/>
        </w:rPr>
        <w:t xml:space="preserve">at 882, </w:t>
      </w:r>
      <w:r w:rsidR="00E0287E">
        <w:rPr>
          <w:rFonts w:asciiTheme="majorHAnsi" w:hAnsiTheme="majorHAnsi" w:cstheme="majorHAnsi"/>
          <w:sz w:val="23"/>
          <w:szCs w:val="23"/>
        </w:rPr>
        <w:t xml:space="preserve">and is </w:t>
      </w:r>
      <w:r w:rsidR="00F00E3D" w:rsidRPr="00E91887">
        <w:rPr>
          <w:rFonts w:asciiTheme="majorHAnsi" w:hAnsiTheme="majorHAnsi" w:cstheme="majorHAnsi"/>
          <w:sz w:val="23"/>
          <w:szCs w:val="23"/>
        </w:rPr>
        <w:t>higher than the area as a whole</w:t>
      </w:r>
      <w:r w:rsidR="00E0287E">
        <w:rPr>
          <w:rFonts w:asciiTheme="majorHAnsi" w:hAnsiTheme="majorHAnsi" w:cstheme="majorHAnsi"/>
          <w:sz w:val="23"/>
          <w:szCs w:val="23"/>
        </w:rPr>
        <w:t xml:space="preserve">. </w:t>
      </w:r>
      <w:r w:rsidR="00212C56">
        <w:rPr>
          <w:rFonts w:asciiTheme="majorHAnsi" w:hAnsiTheme="majorHAnsi" w:cstheme="majorHAnsi"/>
          <w:sz w:val="23"/>
          <w:szCs w:val="23"/>
        </w:rPr>
        <w:t>This suggest that</w:t>
      </w:r>
      <w:r w:rsidR="00F00E3D" w:rsidRPr="00E91887">
        <w:rPr>
          <w:rFonts w:asciiTheme="majorHAnsi" w:hAnsiTheme="majorHAnsi" w:cstheme="majorHAnsi"/>
          <w:sz w:val="23"/>
          <w:szCs w:val="23"/>
        </w:rPr>
        <w:t xml:space="preserve"> </w:t>
      </w:r>
      <w:r w:rsidR="00212C56">
        <w:rPr>
          <w:rFonts w:asciiTheme="majorHAnsi" w:hAnsiTheme="majorHAnsi" w:cstheme="majorHAnsi"/>
          <w:sz w:val="23"/>
          <w:szCs w:val="23"/>
        </w:rPr>
        <w:t>students attending this school are</w:t>
      </w:r>
      <w:r w:rsidR="00F00E3D" w:rsidRPr="00E91887">
        <w:rPr>
          <w:rFonts w:asciiTheme="majorHAnsi" w:hAnsiTheme="majorHAnsi" w:cstheme="majorHAnsi"/>
          <w:sz w:val="23"/>
          <w:szCs w:val="23"/>
        </w:rPr>
        <w:t xml:space="preserve"> from more affluent and secure households – </w:t>
      </w:r>
      <w:r w:rsidR="00212C56">
        <w:rPr>
          <w:rFonts w:asciiTheme="majorHAnsi" w:hAnsiTheme="majorHAnsi" w:cstheme="majorHAnsi"/>
          <w:sz w:val="23"/>
          <w:szCs w:val="23"/>
        </w:rPr>
        <w:t>which begs the</w:t>
      </w:r>
      <w:r w:rsidR="00F00E3D" w:rsidRPr="00E91887">
        <w:rPr>
          <w:rFonts w:asciiTheme="majorHAnsi" w:hAnsiTheme="majorHAnsi" w:cstheme="majorHAnsi"/>
          <w:sz w:val="23"/>
          <w:szCs w:val="23"/>
        </w:rPr>
        <w:t xml:space="preserve"> question as to where other</w:t>
      </w:r>
      <w:r w:rsidR="00212C56">
        <w:rPr>
          <w:rFonts w:asciiTheme="majorHAnsi" w:hAnsiTheme="majorHAnsi" w:cstheme="majorHAnsi"/>
          <w:sz w:val="23"/>
          <w:szCs w:val="23"/>
        </w:rPr>
        <w:t xml:space="preserve"> students</w:t>
      </w:r>
      <w:r w:rsidR="00F00E3D" w:rsidRPr="00E91887">
        <w:rPr>
          <w:rFonts w:asciiTheme="majorHAnsi" w:hAnsiTheme="majorHAnsi" w:cstheme="majorHAnsi"/>
          <w:sz w:val="23"/>
          <w:szCs w:val="23"/>
        </w:rPr>
        <w:t xml:space="preserve"> in the community attend high school. </w:t>
      </w:r>
      <w:r w:rsidR="00212C56">
        <w:rPr>
          <w:rFonts w:asciiTheme="majorHAnsi" w:hAnsiTheme="majorHAnsi" w:cstheme="majorHAnsi"/>
          <w:sz w:val="23"/>
          <w:szCs w:val="23"/>
        </w:rPr>
        <w:t>However, this score remains</w:t>
      </w:r>
      <w:r w:rsidR="00F00E3D" w:rsidRPr="00E91887">
        <w:rPr>
          <w:rFonts w:asciiTheme="majorHAnsi" w:hAnsiTheme="majorHAnsi" w:cstheme="majorHAnsi"/>
          <w:sz w:val="23"/>
          <w:szCs w:val="23"/>
        </w:rPr>
        <w:t xml:space="preserve"> well short of the 1000 average</w:t>
      </w:r>
      <w:r w:rsidR="00212C56">
        <w:rPr>
          <w:rFonts w:asciiTheme="majorHAnsi" w:hAnsiTheme="majorHAnsi" w:cstheme="majorHAnsi"/>
          <w:sz w:val="23"/>
          <w:szCs w:val="23"/>
        </w:rPr>
        <w:t>,</w:t>
      </w:r>
      <w:r w:rsidR="00F00E3D" w:rsidRPr="00E91887">
        <w:rPr>
          <w:rFonts w:asciiTheme="majorHAnsi" w:hAnsiTheme="majorHAnsi" w:cstheme="majorHAnsi"/>
          <w:sz w:val="23"/>
          <w:szCs w:val="23"/>
        </w:rPr>
        <w:t xml:space="preserve"> </w:t>
      </w:r>
      <w:r w:rsidR="00212C56">
        <w:rPr>
          <w:rFonts w:asciiTheme="majorHAnsi" w:hAnsiTheme="majorHAnsi" w:cstheme="majorHAnsi"/>
          <w:sz w:val="23"/>
          <w:szCs w:val="23"/>
        </w:rPr>
        <w:t>which</w:t>
      </w:r>
      <w:r w:rsidR="00F00E3D" w:rsidRPr="00E91887">
        <w:rPr>
          <w:rFonts w:asciiTheme="majorHAnsi" w:hAnsiTheme="majorHAnsi" w:cstheme="majorHAnsi"/>
          <w:sz w:val="23"/>
          <w:szCs w:val="23"/>
        </w:rPr>
        <w:t xml:space="preserve"> helps explain why only 54 VCE Certificates were awarded</w:t>
      </w:r>
      <w:r w:rsidR="00212C56">
        <w:rPr>
          <w:rFonts w:asciiTheme="majorHAnsi" w:hAnsiTheme="majorHAnsi" w:cstheme="majorHAnsi"/>
          <w:sz w:val="23"/>
          <w:szCs w:val="23"/>
        </w:rPr>
        <w:t xml:space="preserve"> at the school</w:t>
      </w:r>
      <w:r w:rsidR="00F00E3D" w:rsidRPr="00E91887">
        <w:rPr>
          <w:rFonts w:asciiTheme="majorHAnsi" w:hAnsiTheme="majorHAnsi" w:cstheme="majorHAnsi"/>
          <w:sz w:val="23"/>
          <w:szCs w:val="23"/>
        </w:rPr>
        <w:t xml:space="preserve"> </w:t>
      </w:r>
      <w:r w:rsidR="00212C56" w:rsidRPr="00E91887">
        <w:rPr>
          <w:rFonts w:asciiTheme="majorHAnsi" w:hAnsiTheme="majorHAnsi" w:cstheme="majorHAnsi"/>
          <w:sz w:val="23"/>
          <w:szCs w:val="23"/>
        </w:rPr>
        <w:t xml:space="preserve">in 2019 </w:t>
      </w:r>
      <w:r w:rsidR="00F00E3D" w:rsidRPr="00E91887">
        <w:rPr>
          <w:rFonts w:asciiTheme="majorHAnsi" w:hAnsiTheme="majorHAnsi" w:cstheme="majorHAnsi"/>
          <w:sz w:val="23"/>
          <w:szCs w:val="23"/>
        </w:rPr>
        <w:t>(up from 31 in 2014</w:t>
      </w:r>
      <w:r w:rsidR="00212C56">
        <w:rPr>
          <w:rFonts w:asciiTheme="majorHAnsi" w:hAnsiTheme="majorHAnsi" w:cstheme="majorHAnsi"/>
          <w:sz w:val="23"/>
          <w:szCs w:val="23"/>
        </w:rPr>
        <w:t>,</w:t>
      </w:r>
      <w:r w:rsidR="00F00E3D" w:rsidRPr="00E91887">
        <w:rPr>
          <w:rFonts w:asciiTheme="majorHAnsi" w:hAnsiTheme="majorHAnsi" w:cstheme="majorHAnsi"/>
          <w:sz w:val="23"/>
          <w:szCs w:val="23"/>
        </w:rPr>
        <w:t xml:space="preserve"> but still very low). The distribution of </w:t>
      </w:r>
      <w:r w:rsidRPr="00E91887">
        <w:rPr>
          <w:rFonts w:asciiTheme="majorHAnsi" w:hAnsiTheme="majorHAnsi" w:cstheme="majorHAnsi"/>
          <w:sz w:val="23"/>
          <w:szCs w:val="23"/>
        </w:rPr>
        <w:t xml:space="preserve">Socio-Educational Advantage </w:t>
      </w:r>
      <w:r w:rsidR="00F00E3D" w:rsidRPr="00E91887">
        <w:rPr>
          <w:rFonts w:asciiTheme="majorHAnsi" w:hAnsiTheme="majorHAnsi" w:cstheme="majorHAnsi"/>
          <w:sz w:val="23"/>
          <w:szCs w:val="23"/>
        </w:rPr>
        <w:t>is revealing, especially when compared to the other major high school in the area</w:t>
      </w:r>
      <w:r w:rsidR="00212C56">
        <w:rPr>
          <w:rFonts w:asciiTheme="majorHAnsi" w:hAnsiTheme="majorHAnsi" w:cstheme="majorHAnsi"/>
          <w:sz w:val="23"/>
          <w:szCs w:val="23"/>
        </w:rPr>
        <w:t>,</w:t>
      </w:r>
      <w:r w:rsidR="00F00E3D" w:rsidRPr="00E91887">
        <w:rPr>
          <w:rFonts w:asciiTheme="majorHAnsi" w:hAnsiTheme="majorHAnsi" w:cstheme="majorHAnsi"/>
          <w:sz w:val="23"/>
          <w:szCs w:val="23"/>
        </w:rPr>
        <w:t xml:space="preserve"> Geelong Grammar</w:t>
      </w:r>
      <w:r w:rsidR="00212C56">
        <w:rPr>
          <w:rFonts w:asciiTheme="majorHAnsi" w:hAnsiTheme="majorHAnsi" w:cstheme="majorHAnsi"/>
          <w:sz w:val="23"/>
          <w:szCs w:val="23"/>
        </w:rPr>
        <w:t xml:space="preserve">, </w:t>
      </w:r>
      <w:r w:rsidR="00F00E3D" w:rsidRPr="00E91887">
        <w:rPr>
          <w:rFonts w:asciiTheme="majorHAnsi" w:hAnsiTheme="majorHAnsi" w:cstheme="majorHAnsi"/>
          <w:sz w:val="23"/>
          <w:szCs w:val="23"/>
        </w:rPr>
        <w:t>whose 1152</w:t>
      </w:r>
      <w:r w:rsidR="00212C56">
        <w:rPr>
          <w:rFonts w:asciiTheme="majorHAnsi" w:hAnsiTheme="majorHAnsi" w:cstheme="majorHAnsi"/>
          <w:sz w:val="23"/>
          <w:szCs w:val="23"/>
        </w:rPr>
        <w:t>-strong</w:t>
      </w:r>
      <w:r w:rsidR="00F00E3D" w:rsidRPr="00E91887">
        <w:rPr>
          <w:rFonts w:asciiTheme="majorHAnsi" w:hAnsiTheme="majorHAnsi" w:cstheme="majorHAnsi"/>
          <w:sz w:val="23"/>
          <w:szCs w:val="23"/>
        </w:rPr>
        <w:t xml:space="preserve"> student</w:t>
      </w:r>
      <w:r w:rsidR="00212C56">
        <w:rPr>
          <w:rFonts w:asciiTheme="majorHAnsi" w:hAnsiTheme="majorHAnsi" w:cstheme="majorHAnsi"/>
          <w:sz w:val="23"/>
          <w:szCs w:val="23"/>
        </w:rPr>
        <w:t xml:space="preserve"> population has</w:t>
      </w:r>
      <w:r w:rsidR="00F00E3D" w:rsidRPr="00E91887">
        <w:rPr>
          <w:rFonts w:asciiTheme="majorHAnsi" w:hAnsiTheme="majorHAnsi" w:cstheme="majorHAnsi"/>
          <w:sz w:val="23"/>
          <w:szCs w:val="23"/>
        </w:rPr>
        <w:t xml:space="preserve"> a very different profile.</w:t>
      </w:r>
    </w:p>
    <w:p w14:paraId="59ECAB3A" w14:textId="7C84A361" w:rsidR="00F00E3D" w:rsidRPr="00853850" w:rsidRDefault="00F00E3D" w:rsidP="00B82C64">
      <w:pPr>
        <w:spacing w:after="0" w:line="276" w:lineRule="auto"/>
        <w:rPr>
          <w:rFonts w:asciiTheme="majorHAnsi" w:hAnsiTheme="majorHAnsi" w:cstheme="majorBidi"/>
          <w:sz w:val="23"/>
          <w:szCs w:val="23"/>
        </w:rPr>
      </w:pPr>
      <w:r w:rsidRPr="701B9583">
        <w:rPr>
          <w:rFonts w:asciiTheme="majorHAnsi" w:hAnsiTheme="majorHAnsi" w:cstheme="majorBidi"/>
          <w:sz w:val="23"/>
          <w:szCs w:val="23"/>
        </w:rPr>
        <w:t>Newcomb Secondary College serves the Whittington area</w:t>
      </w:r>
      <w:r w:rsidR="00212C56" w:rsidRPr="701B9583">
        <w:rPr>
          <w:rFonts w:asciiTheme="majorHAnsi" w:hAnsiTheme="majorHAnsi" w:cstheme="majorBidi"/>
          <w:sz w:val="23"/>
          <w:szCs w:val="23"/>
        </w:rPr>
        <w:t xml:space="preserve">, along with </w:t>
      </w:r>
      <w:r w:rsidRPr="701B9583">
        <w:rPr>
          <w:rFonts w:asciiTheme="majorHAnsi" w:hAnsiTheme="majorHAnsi" w:cstheme="majorBidi"/>
          <w:sz w:val="23"/>
          <w:szCs w:val="23"/>
        </w:rPr>
        <w:t>St Albans, Moolap</w:t>
      </w:r>
      <w:r w:rsidR="00212C56" w:rsidRPr="701B9583">
        <w:rPr>
          <w:rFonts w:asciiTheme="majorHAnsi" w:hAnsiTheme="majorHAnsi" w:cstheme="majorBidi"/>
          <w:sz w:val="23"/>
          <w:szCs w:val="23"/>
        </w:rPr>
        <w:t>,</w:t>
      </w:r>
      <w:r w:rsidRPr="701B9583">
        <w:rPr>
          <w:rFonts w:asciiTheme="majorHAnsi" w:hAnsiTheme="majorHAnsi" w:cstheme="majorBidi"/>
          <w:sz w:val="23"/>
          <w:szCs w:val="23"/>
        </w:rPr>
        <w:t xml:space="preserve"> and Newcomb. It has </w:t>
      </w:r>
      <w:r w:rsidR="00212C56" w:rsidRPr="701B9583">
        <w:rPr>
          <w:rFonts w:asciiTheme="majorHAnsi" w:hAnsiTheme="majorHAnsi" w:cstheme="majorBidi"/>
          <w:sz w:val="23"/>
          <w:szCs w:val="23"/>
        </w:rPr>
        <w:t>a high</w:t>
      </w:r>
      <w:r w:rsidRPr="701B9583">
        <w:rPr>
          <w:rFonts w:asciiTheme="majorHAnsi" w:hAnsiTheme="majorHAnsi" w:cstheme="majorBidi"/>
          <w:sz w:val="23"/>
          <w:szCs w:val="23"/>
        </w:rPr>
        <w:t xml:space="preserve"> proportion of students in the lowest quartile of </w:t>
      </w:r>
      <w:r w:rsidR="00866FE5" w:rsidRPr="701B9583">
        <w:rPr>
          <w:rFonts w:asciiTheme="majorHAnsi" w:hAnsiTheme="majorHAnsi" w:cstheme="majorBidi"/>
          <w:sz w:val="23"/>
          <w:szCs w:val="23"/>
        </w:rPr>
        <w:t xml:space="preserve">Socio-Educational Advantage, </w:t>
      </w:r>
      <w:r w:rsidRPr="701B9583">
        <w:rPr>
          <w:rFonts w:asciiTheme="majorHAnsi" w:hAnsiTheme="majorHAnsi" w:cstheme="majorBidi"/>
          <w:sz w:val="23"/>
          <w:szCs w:val="23"/>
        </w:rPr>
        <w:t>a</w:t>
      </w:r>
      <w:r w:rsidR="00212C56" w:rsidRPr="701B9583">
        <w:rPr>
          <w:rFonts w:asciiTheme="majorHAnsi" w:hAnsiTheme="majorHAnsi" w:cstheme="majorBidi"/>
          <w:sz w:val="23"/>
          <w:szCs w:val="23"/>
        </w:rPr>
        <w:t>long with</w:t>
      </w:r>
      <w:r w:rsidRPr="701B9583">
        <w:rPr>
          <w:rFonts w:asciiTheme="majorHAnsi" w:hAnsiTheme="majorHAnsi" w:cstheme="majorBidi"/>
          <w:sz w:val="23"/>
          <w:szCs w:val="23"/>
        </w:rPr>
        <w:t xml:space="preserve"> a large representation of Indigenous students (4</w:t>
      </w:r>
      <w:r w:rsidR="00212C56" w:rsidRPr="701B9583">
        <w:rPr>
          <w:rFonts w:asciiTheme="majorHAnsi" w:hAnsiTheme="majorHAnsi" w:cstheme="majorBidi"/>
          <w:sz w:val="23"/>
          <w:szCs w:val="23"/>
        </w:rPr>
        <w:t xml:space="preserve"> percent</w:t>
      </w:r>
      <w:r w:rsidRPr="701B9583">
        <w:rPr>
          <w:rFonts w:asciiTheme="majorHAnsi" w:hAnsiTheme="majorHAnsi" w:cstheme="majorBidi"/>
          <w:sz w:val="23"/>
          <w:szCs w:val="23"/>
        </w:rPr>
        <w:t xml:space="preserve">). Whittington also has </w:t>
      </w:r>
      <w:r w:rsidR="00212C56" w:rsidRPr="701B9583">
        <w:rPr>
          <w:rFonts w:asciiTheme="majorHAnsi" w:hAnsiTheme="majorHAnsi" w:cstheme="majorBidi"/>
          <w:sz w:val="23"/>
          <w:szCs w:val="23"/>
        </w:rPr>
        <w:t>St Helen</w:t>
      </w:r>
      <w:r w:rsidR="00866FE5" w:rsidRPr="701B9583">
        <w:rPr>
          <w:rFonts w:asciiTheme="majorHAnsi" w:hAnsiTheme="majorHAnsi" w:cstheme="majorBidi"/>
          <w:sz w:val="23"/>
          <w:szCs w:val="23"/>
        </w:rPr>
        <w:t>’</w:t>
      </w:r>
      <w:r w:rsidR="00212C56" w:rsidRPr="701B9583">
        <w:rPr>
          <w:rFonts w:asciiTheme="majorHAnsi" w:hAnsiTheme="majorHAnsi" w:cstheme="majorBidi"/>
          <w:sz w:val="23"/>
          <w:szCs w:val="23"/>
        </w:rPr>
        <w:t>s</w:t>
      </w:r>
      <w:r w:rsidR="00866FE5" w:rsidRPr="701B9583">
        <w:rPr>
          <w:rFonts w:asciiTheme="majorHAnsi" w:hAnsiTheme="majorHAnsi" w:cstheme="majorBidi"/>
          <w:sz w:val="23"/>
          <w:szCs w:val="23"/>
        </w:rPr>
        <w:t xml:space="preserve"> Special School</w:t>
      </w:r>
      <w:r w:rsidR="00212C56" w:rsidRPr="701B9583">
        <w:rPr>
          <w:rFonts w:asciiTheme="majorHAnsi" w:hAnsiTheme="majorHAnsi" w:cstheme="majorBidi"/>
          <w:sz w:val="23"/>
          <w:szCs w:val="23"/>
        </w:rPr>
        <w:t xml:space="preserve">, </w:t>
      </w:r>
      <w:r w:rsidRPr="701B9583">
        <w:rPr>
          <w:rFonts w:asciiTheme="majorHAnsi" w:hAnsiTheme="majorHAnsi" w:cstheme="majorBidi"/>
          <w:sz w:val="23"/>
          <w:szCs w:val="23"/>
        </w:rPr>
        <w:lastRenderedPageBreak/>
        <w:t>a small</w:t>
      </w:r>
      <w:r w:rsidR="00212C56" w:rsidRPr="701B9583">
        <w:rPr>
          <w:rFonts w:asciiTheme="majorHAnsi" w:hAnsiTheme="majorHAnsi" w:cstheme="majorBidi"/>
          <w:sz w:val="23"/>
          <w:szCs w:val="23"/>
        </w:rPr>
        <w:t xml:space="preserve"> Catholic school for </w:t>
      </w:r>
      <w:r w:rsidRPr="701B9583">
        <w:rPr>
          <w:rFonts w:asciiTheme="majorHAnsi" w:hAnsiTheme="majorHAnsi" w:cstheme="majorBidi"/>
          <w:sz w:val="23"/>
          <w:szCs w:val="23"/>
        </w:rPr>
        <w:t>special</w:t>
      </w:r>
      <w:r w:rsidR="00212C56" w:rsidRPr="701B9583">
        <w:rPr>
          <w:rFonts w:asciiTheme="majorHAnsi" w:hAnsiTheme="majorHAnsi" w:cstheme="majorBidi"/>
          <w:sz w:val="23"/>
          <w:szCs w:val="23"/>
        </w:rPr>
        <w:t>-needs students.</w:t>
      </w:r>
      <w:r w:rsidRPr="701B9583">
        <w:rPr>
          <w:rFonts w:asciiTheme="majorHAnsi" w:hAnsiTheme="majorHAnsi" w:cstheme="majorBidi"/>
          <w:sz w:val="23"/>
          <w:szCs w:val="23"/>
        </w:rPr>
        <w:t xml:space="preserve"> With only 95 students</w:t>
      </w:r>
      <w:r w:rsidR="00212C56" w:rsidRPr="701B9583">
        <w:rPr>
          <w:rFonts w:asciiTheme="majorHAnsi" w:hAnsiTheme="majorHAnsi" w:cstheme="majorBidi"/>
          <w:sz w:val="23"/>
          <w:szCs w:val="23"/>
        </w:rPr>
        <w:t>, St Helen</w:t>
      </w:r>
      <w:r w:rsidR="00866FE5" w:rsidRPr="701B9583">
        <w:rPr>
          <w:rFonts w:asciiTheme="majorHAnsi" w:hAnsiTheme="majorHAnsi" w:cstheme="majorBidi"/>
          <w:sz w:val="23"/>
          <w:szCs w:val="23"/>
        </w:rPr>
        <w:t>’</w:t>
      </w:r>
      <w:r w:rsidR="00212C56" w:rsidRPr="701B9583">
        <w:rPr>
          <w:rFonts w:asciiTheme="majorHAnsi" w:hAnsiTheme="majorHAnsi" w:cstheme="majorBidi"/>
          <w:sz w:val="23"/>
          <w:szCs w:val="23"/>
        </w:rPr>
        <w:t>s</w:t>
      </w:r>
      <w:r w:rsidRPr="701B9583">
        <w:rPr>
          <w:rFonts w:asciiTheme="majorHAnsi" w:hAnsiTheme="majorHAnsi" w:cstheme="majorBidi"/>
          <w:sz w:val="23"/>
          <w:szCs w:val="23"/>
        </w:rPr>
        <w:t xml:space="preserve"> receives high levels of specialist Australian government funding ($46</w:t>
      </w:r>
      <w:r w:rsidR="00212C56" w:rsidRPr="701B9583">
        <w:rPr>
          <w:rFonts w:asciiTheme="majorHAnsi" w:hAnsiTheme="majorHAnsi" w:cstheme="majorBidi"/>
          <w:sz w:val="23"/>
          <w:szCs w:val="23"/>
        </w:rPr>
        <w:t>,</w:t>
      </w:r>
      <w:r w:rsidRPr="701B9583">
        <w:rPr>
          <w:rFonts w:asciiTheme="majorHAnsi" w:hAnsiTheme="majorHAnsi" w:cstheme="majorBidi"/>
          <w:sz w:val="23"/>
          <w:szCs w:val="23"/>
        </w:rPr>
        <w:t>899 per student</w:t>
      </w:r>
      <w:r w:rsidR="00212C56" w:rsidRPr="701B9583">
        <w:rPr>
          <w:rFonts w:asciiTheme="majorHAnsi" w:hAnsiTheme="majorHAnsi" w:cstheme="majorBidi"/>
          <w:sz w:val="23"/>
          <w:szCs w:val="23"/>
        </w:rPr>
        <w:t>,</w:t>
      </w:r>
      <w:r w:rsidRPr="701B9583">
        <w:rPr>
          <w:rFonts w:asciiTheme="majorHAnsi" w:hAnsiTheme="majorHAnsi" w:cstheme="majorBidi"/>
          <w:sz w:val="23"/>
          <w:szCs w:val="23"/>
        </w:rPr>
        <w:t xml:space="preserve"> compared to $3331 for Northern Bay and $4762 for Geelong Grammar)</w:t>
      </w:r>
      <w:r w:rsidR="00866FE5" w:rsidRPr="701B9583">
        <w:rPr>
          <w:rFonts w:asciiTheme="majorHAnsi" w:hAnsiTheme="majorHAnsi" w:cstheme="majorBidi"/>
          <w:sz w:val="23"/>
          <w:szCs w:val="23"/>
        </w:rPr>
        <w:t>. W</w:t>
      </w:r>
      <w:r w:rsidRPr="701B9583">
        <w:rPr>
          <w:rFonts w:asciiTheme="majorHAnsi" w:hAnsiTheme="majorHAnsi" w:cstheme="majorBidi"/>
          <w:sz w:val="23"/>
          <w:szCs w:val="23"/>
        </w:rPr>
        <w:t xml:space="preserve">hile </w:t>
      </w:r>
      <w:r w:rsidR="00866FE5" w:rsidRPr="701B9583">
        <w:rPr>
          <w:rFonts w:asciiTheme="majorHAnsi" w:hAnsiTheme="majorHAnsi" w:cstheme="majorBidi"/>
          <w:sz w:val="23"/>
          <w:szCs w:val="23"/>
        </w:rPr>
        <w:t xml:space="preserve">St Helen’s </w:t>
      </w:r>
      <w:r w:rsidRPr="701B9583">
        <w:rPr>
          <w:rFonts w:asciiTheme="majorHAnsi" w:hAnsiTheme="majorHAnsi" w:cstheme="majorBidi"/>
          <w:sz w:val="23"/>
          <w:szCs w:val="23"/>
        </w:rPr>
        <w:t>has a high Index of Socio-Educational Advantage (959),</w:t>
      </w:r>
      <w:r w:rsidR="00866FE5" w:rsidRPr="701B9583">
        <w:rPr>
          <w:rFonts w:asciiTheme="majorHAnsi" w:hAnsiTheme="majorHAnsi" w:cstheme="majorBidi"/>
          <w:sz w:val="23"/>
          <w:szCs w:val="23"/>
        </w:rPr>
        <w:t xml:space="preserve"> it</w:t>
      </w:r>
      <w:r w:rsidRPr="701B9583">
        <w:rPr>
          <w:rFonts w:asciiTheme="majorHAnsi" w:hAnsiTheme="majorHAnsi" w:cstheme="majorBidi"/>
          <w:sz w:val="23"/>
          <w:szCs w:val="23"/>
        </w:rPr>
        <w:t xml:space="preserve"> still has a significant number of low</w:t>
      </w:r>
      <w:r w:rsidR="00866FE5" w:rsidRPr="701B9583">
        <w:rPr>
          <w:rFonts w:asciiTheme="majorHAnsi" w:hAnsiTheme="majorHAnsi" w:cstheme="majorBidi"/>
          <w:sz w:val="23"/>
          <w:szCs w:val="23"/>
        </w:rPr>
        <w:t>-</w:t>
      </w:r>
      <w:r w:rsidRPr="701B9583">
        <w:rPr>
          <w:rFonts w:asciiTheme="majorHAnsi" w:hAnsiTheme="majorHAnsi" w:cstheme="majorBidi"/>
          <w:sz w:val="23"/>
          <w:szCs w:val="23"/>
        </w:rPr>
        <w:t xml:space="preserve">income students, as Table </w:t>
      </w:r>
      <w:r w:rsidR="00866FE5" w:rsidRPr="701B9583">
        <w:rPr>
          <w:rFonts w:asciiTheme="majorHAnsi" w:hAnsiTheme="majorHAnsi" w:cstheme="majorBidi"/>
          <w:sz w:val="23"/>
          <w:szCs w:val="23"/>
        </w:rPr>
        <w:t>7.1</w:t>
      </w:r>
      <w:r w:rsidR="007A7618" w:rsidRPr="701B9583">
        <w:rPr>
          <w:rFonts w:asciiTheme="majorHAnsi" w:hAnsiTheme="majorHAnsi" w:cstheme="majorBidi"/>
          <w:sz w:val="23"/>
          <w:szCs w:val="23"/>
        </w:rPr>
        <w:t>2</w:t>
      </w:r>
      <w:r w:rsidR="00866FE5" w:rsidRPr="701B9583">
        <w:rPr>
          <w:rFonts w:asciiTheme="majorHAnsi" w:hAnsiTheme="majorHAnsi" w:cstheme="majorBidi"/>
          <w:sz w:val="23"/>
          <w:szCs w:val="23"/>
        </w:rPr>
        <w:t xml:space="preserve"> </w:t>
      </w:r>
      <w:r w:rsidR="5CAD2F18" w:rsidRPr="701B9583">
        <w:rPr>
          <w:rFonts w:asciiTheme="majorHAnsi" w:hAnsiTheme="majorHAnsi" w:cstheme="majorBidi"/>
          <w:sz w:val="23"/>
          <w:szCs w:val="23"/>
        </w:rPr>
        <w:t xml:space="preserve">(below) </w:t>
      </w:r>
      <w:r w:rsidR="00866FE5" w:rsidRPr="701B9583">
        <w:rPr>
          <w:rFonts w:asciiTheme="majorHAnsi" w:hAnsiTheme="majorHAnsi" w:cstheme="majorBidi"/>
          <w:sz w:val="23"/>
          <w:szCs w:val="23"/>
        </w:rPr>
        <w:t>shows</w:t>
      </w:r>
      <w:r w:rsidRPr="701B9583">
        <w:rPr>
          <w:rFonts w:asciiTheme="majorHAnsi" w:hAnsiTheme="majorHAnsi" w:cstheme="majorBidi"/>
          <w:sz w:val="23"/>
          <w:szCs w:val="23"/>
        </w:rPr>
        <w:t>.</w:t>
      </w:r>
    </w:p>
    <w:p w14:paraId="3587DE68" w14:textId="0576939E" w:rsidR="3BC9AB85" w:rsidRDefault="3BC9AB85" w:rsidP="701B9583">
      <w:pPr>
        <w:spacing w:after="0" w:line="276" w:lineRule="auto"/>
        <w:rPr>
          <w:rFonts w:asciiTheme="majorHAnsi" w:hAnsiTheme="majorHAnsi" w:cstheme="majorBidi"/>
          <w:sz w:val="12"/>
          <w:szCs w:val="12"/>
        </w:rPr>
      </w:pPr>
      <w:r w:rsidRPr="701B9583">
        <w:rPr>
          <w:rFonts w:asciiTheme="majorHAnsi" w:hAnsiTheme="majorHAnsi" w:cstheme="majorBidi"/>
          <w:sz w:val="12"/>
          <w:szCs w:val="12"/>
        </w:rPr>
        <w:t xml:space="preserve">    </w:t>
      </w:r>
    </w:p>
    <w:tbl>
      <w:tblPr>
        <w:tblStyle w:val="TableGrid"/>
        <w:tblW w:w="9613" w:type="dxa"/>
        <w:tblInd w:w="-5" w:type="dxa"/>
        <w:tblLook w:val="04A0" w:firstRow="1" w:lastRow="0" w:firstColumn="1" w:lastColumn="0" w:noHBand="0" w:noVBand="1"/>
      </w:tblPr>
      <w:tblGrid>
        <w:gridCol w:w="1462"/>
        <w:gridCol w:w="1082"/>
        <w:gridCol w:w="1132"/>
        <w:gridCol w:w="1090"/>
        <w:gridCol w:w="1355"/>
        <w:gridCol w:w="1104"/>
        <w:gridCol w:w="1298"/>
        <w:gridCol w:w="1090"/>
      </w:tblGrid>
      <w:tr w:rsidR="00F00E3D" w:rsidRPr="00866FE5" w14:paraId="34DD5255" w14:textId="77777777" w:rsidTr="00853850">
        <w:trPr>
          <w:trHeight w:val="826"/>
        </w:trPr>
        <w:tc>
          <w:tcPr>
            <w:tcW w:w="1462" w:type="dxa"/>
            <w:shd w:val="clear" w:color="auto" w:fill="D0CECE" w:themeFill="background2" w:themeFillShade="E6"/>
          </w:tcPr>
          <w:p w14:paraId="6771C16F" w14:textId="77777777" w:rsidR="00F00E3D" w:rsidRPr="00866FE5" w:rsidRDefault="00F00E3D" w:rsidP="00FB42B9">
            <w:pPr>
              <w:spacing w:after="0" w:line="240" w:lineRule="auto"/>
              <w:rPr>
                <w:rFonts w:cstheme="minorHAnsi"/>
                <w:b/>
                <w:bCs/>
                <w:sz w:val="21"/>
                <w:szCs w:val="21"/>
              </w:rPr>
            </w:pPr>
            <w:r w:rsidRPr="00866FE5">
              <w:rPr>
                <w:rFonts w:cstheme="minorHAnsi"/>
                <w:b/>
                <w:bCs/>
                <w:sz w:val="21"/>
                <w:szCs w:val="21"/>
              </w:rPr>
              <w:t>School</w:t>
            </w:r>
          </w:p>
        </w:tc>
        <w:tc>
          <w:tcPr>
            <w:tcW w:w="1082" w:type="dxa"/>
            <w:shd w:val="clear" w:color="auto" w:fill="D0CECE" w:themeFill="background2" w:themeFillShade="E6"/>
          </w:tcPr>
          <w:p w14:paraId="1216B8B6" w14:textId="467D1CBD" w:rsidR="00F00E3D" w:rsidRPr="00866FE5" w:rsidRDefault="00F00E3D" w:rsidP="00FB42B9">
            <w:pPr>
              <w:spacing w:after="0" w:line="240" w:lineRule="auto"/>
              <w:rPr>
                <w:rFonts w:cstheme="minorHAnsi"/>
                <w:b/>
                <w:bCs/>
                <w:sz w:val="21"/>
                <w:szCs w:val="21"/>
              </w:rPr>
            </w:pPr>
            <w:r w:rsidRPr="00866FE5">
              <w:rPr>
                <w:rFonts w:cstheme="minorHAnsi"/>
                <w:b/>
                <w:bCs/>
                <w:sz w:val="21"/>
                <w:szCs w:val="21"/>
              </w:rPr>
              <w:t xml:space="preserve">Bottom </w:t>
            </w:r>
            <w:r w:rsidR="00FB42B9">
              <w:rPr>
                <w:rFonts w:cstheme="minorHAnsi"/>
                <w:b/>
                <w:bCs/>
                <w:sz w:val="21"/>
                <w:szCs w:val="21"/>
              </w:rPr>
              <w:t>Q</w:t>
            </w:r>
            <w:r w:rsidRPr="00866FE5">
              <w:rPr>
                <w:rFonts w:cstheme="minorHAnsi"/>
                <w:b/>
                <w:bCs/>
                <w:sz w:val="21"/>
                <w:szCs w:val="21"/>
              </w:rPr>
              <w:t>uartile</w:t>
            </w:r>
          </w:p>
        </w:tc>
        <w:tc>
          <w:tcPr>
            <w:tcW w:w="1132" w:type="dxa"/>
            <w:shd w:val="clear" w:color="auto" w:fill="D0CECE" w:themeFill="background2" w:themeFillShade="E6"/>
          </w:tcPr>
          <w:p w14:paraId="0CB8DB7D" w14:textId="77777777" w:rsidR="00F00E3D" w:rsidRPr="00866FE5" w:rsidRDefault="00F00E3D" w:rsidP="00FB42B9">
            <w:pPr>
              <w:spacing w:after="0" w:line="240" w:lineRule="auto"/>
              <w:rPr>
                <w:rFonts w:cstheme="minorHAnsi"/>
                <w:b/>
                <w:bCs/>
                <w:sz w:val="21"/>
                <w:szCs w:val="21"/>
              </w:rPr>
            </w:pPr>
            <w:r w:rsidRPr="00866FE5">
              <w:rPr>
                <w:rFonts w:cstheme="minorHAnsi"/>
                <w:b/>
                <w:bCs/>
                <w:sz w:val="21"/>
                <w:szCs w:val="21"/>
              </w:rPr>
              <w:t>Middle Quartile</w:t>
            </w:r>
          </w:p>
        </w:tc>
        <w:tc>
          <w:tcPr>
            <w:tcW w:w="1090" w:type="dxa"/>
            <w:shd w:val="clear" w:color="auto" w:fill="D0CECE" w:themeFill="background2" w:themeFillShade="E6"/>
          </w:tcPr>
          <w:p w14:paraId="2AC8F4D2" w14:textId="3F5022F3" w:rsidR="00F00E3D" w:rsidRPr="00866FE5" w:rsidRDefault="0056113A" w:rsidP="00FB42B9">
            <w:pPr>
              <w:spacing w:after="0" w:line="240" w:lineRule="auto"/>
              <w:rPr>
                <w:rFonts w:cstheme="minorHAnsi"/>
                <w:b/>
                <w:bCs/>
                <w:sz w:val="21"/>
                <w:szCs w:val="21"/>
              </w:rPr>
            </w:pPr>
            <w:r>
              <w:rPr>
                <w:rFonts w:cstheme="minorHAnsi"/>
                <w:b/>
                <w:bCs/>
                <w:sz w:val="21"/>
                <w:szCs w:val="21"/>
              </w:rPr>
              <w:t>Top</w:t>
            </w:r>
            <w:r w:rsidR="00F00E3D" w:rsidRPr="00866FE5">
              <w:rPr>
                <w:rFonts w:cstheme="minorHAnsi"/>
                <w:b/>
                <w:bCs/>
                <w:sz w:val="21"/>
                <w:szCs w:val="21"/>
              </w:rPr>
              <w:t xml:space="preserve"> Quartile</w:t>
            </w:r>
          </w:p>
        </w:tc>
        <w:tc>
          <w:tcPr>
            <w:tcW w:w="1355" w:type="dxa"/>
            <w:shd w:val="clear" w:color="auto" w:fill="D0CECE" w:themeFill="background2" w:themeFillShade="E6"/>
          </w:tcPr>
          <w:p w14:paraId="7A64EEC8" w14:textId="77777777" w:rsidR="00F00E3D" w:rsidRPr="00866FE5" w:rsidRDefault="00F00E3D" w:rsidP="00FB42B9">
            <w:pPr>
              <w:spacing w:after="0" w:line="240" w:lineRule="auto"/>
              <w:rPr>
                <w:rFonts w:cstheme="minorHAnsi"/>
                <w:b/>
                <w:bCs/>
                <w:sz w:val="21"/>
                <w:szCs w:val="21"/>
              </w:rPr>
            </w:pPr>
            <w:r w:rsidRPr="00866FE5">
              <w:rPr>
                <w:rFonts w:cstheme="minorHAnsi"/>
                <w:b/>
                <w:bCs/>
                <w:sz w:val="21"/>
                <w:szCs w:val="21"/>
              </w:rPr>
              <w:t>Index of Socio-Educational Advantage</w:t>
            </w:r>
          </w:p>
        </w:tc>
        <w:tc>
          <w:tcPr>
            <w:tcW w:w="1104" w:type="dxa"/>
            <w:shd w:val="clear" w:color="auto" w:fill="D0CECE" w:themeFill="background2" w:themeFillShade="E6"/>
          </w:tcPr>
          <w:p w14:paraId="0D296E56" w14:textId="77777777" w:rsidR="00F00E3D" w:rsidRPr="00866FE5" w:rsidRDefault="00F00E3D" w:rsidP="00FB42B9">
            <w:pPr>
              <w:spacing w:after="0" w:line="240" w:lineRule="auto"/>
              <w:rPr>
                <w:rFonts w:cstheme="minorHAnsi"/>
                <w:b/>
                <w:bCs/>
                <w:sz w:val="21"/>
                <w:szCs w:val="21"/>
              </w:rPr>
            </w:pPr>
            <w:r w:rsidRPr="00866FE5">
              <w:rPr>
                <w:rFonts w:cstheme="minorHAnsi"/>
                <w:b/>
                <w:bCs/>
                <w:sz w:val="21"/>
                <w:szCs w:val="21"/>
              </w:rPr>
              <w:t>ATSI students</w:t>
            </w:r>
          </w:p>
          <w:p w14:paraId="097AA081" w14:textId="77777777" w:rsidR="00F00E3D" w:rsidRPr="00866FE5" w:rsidRDefault="00F00E3D" w:rsidP="00FB42B9">
            <w:pPr>
              <w:spacing w:after="0" w:line="240" w:lineRule="auto"/>
              <w:rPr>
                <w:rFonts w:cstheme="minorHAnsi"/>
                <w:b/>
                <w:bCs/>
                <w:sz w:val="21"/>
                <w:szCs w:val="21"/>
              </w:rPr>
            </w:pPr>
            <w:r w:rsidRPr="00866FE5">
              <w:rPr>
                <w:rFonts w:cstheme="minorHAnsi"/>
                <w:b/>
                <w:bCs/>
                <w:sz w:val="21"/>
                <w:szCs w:val="21"/>
              </w:rPr>
              <w:t>(%)</w:t>
            </w:r>
          </w:p>
        </w:tc>
        <w:tc>
          <w:tcPr>
            <w:tcW w:w="1298" w:type="dxa"/>
            <w:shd w:val="clear" w:color="auto" w:fill="D0CECE" w:themeFill="background2" w:themeFillShade="E6"/>
          </w:tcPr>
          <w:p w14:paraId="406C1E60" w14:textId="397E78E0" w:rsidR="00F00E3D" w:rsidRPr="00866FE5" w:rsidRDefault="00F00E3D" w:rsidP="00FB42B9">
            <w:pPr>
              <w:spacing w:after="0" w:line="240" w:lineRule="auto"/>
              <w:rPr>
                <w:rFonts w:cstheme="minorHAnsi"/>
                <w:b/>
                <w:bCs/>
                <w:sz w:val="21"/>
                <w:szCs w:val="21"/>
              </w:rPr>
            </w:pPr>
            <w:r w:rsidRPr="00866FE5">
              <w:rPr>
                <w:rFonts w:cstheme="minorHAnsi"/>
                <w:b/>
                <w:bCs/>
                <w:sz w:val="21"/>
                <w:szCs w:val="21"/>
              </w:rPr>
              <w:t xml:space="preserve">Language </w:t>
            </w:r>
            <w:r w:rsidR="00FB42B9">
              <w:rPr>
                <w:rFonts w:cstheme="minorHAnsi"/>
                <w:b/>
                <w:bCs/>
                <w:sz w:val="21"/>
                <w:szCs w:val="21"/>
              </w:rPr>
              <w:t>O</w:t>
            </w:r>
            <w:r w:rsidRPr="00866FE5">
              <w:rPr>
                <w:rFonts w:cstheme="minorHAnsi"/>
                <w:b/>
                <w:bCs/>
                <w:sz w:val="21"/>
                <w:szCs w:val="21"/>
              </w:rPr>
              <w:t xml:space="preserve">ther </w:t>
            </w:r>
            <w:r w:rsidR="00FB42B9">
              <w:rPr>
                <w:rFonts w:cstheme="minorHAnsi"/>
                <w:b/>
                <w:bCs/>
                <w:sz w:val="21"/>
                <w:szCs w:val="21"/>
              </w:rPr>
              <w:t>T</w:t>
            </w:r>
            <w:r w:rsidRPr="00866FE5">
              <w:rPr>
                <w:rFonts w:cstheme="minorHAnsi"/>
                <w:b/>
                <w:bCs/>
                <w:sz w:val="21"/>
                <w:szCs w:val="21"/>
              </w:rPr>
              <w:t>han English</w:t>
            </w:r>
            <w:r w:rsidR="00FB42B9">
              <w:rPr>
                <w:rFonts w:cstheme="minorHAnsi"/>
                <w:b/>
                <w:bCs/>
                <w:sz w:val="21"/>
                <w:szCs w:val="21"/>
              </w:rPr>
              <w:t xml:space="preserve"> Students</w:t>
            </w:r>
          </w:p>
        </w:tc>
        <w:tc>
          <w:tcPr>
            <w:tcW w:w="1090" w:type="dxa"/>
            <w:shd w:val="clear" w:color="auto" w:fill="D0CECE" w:themeFill="background2" w:themeFillShade="E6"/>
          </w:tcPr>
          <w:p w14:paraId="0ED6147B" w14:textId="205D7844" w:rsidR="00F00E3D" w:rsidRPr="00866FE5" w:rsidRDefault="00F00E3D" w:rsidP="00FB42B9">
            <w:pPr>
              <w:spacing w:after="0" w:line="240" w:lineRule="auto"/>
              <w:rPr>
                <w:rFonts w:cstheme="minorHAnsi"/>
                <w:b/>
                <w:bCs/>
                <w:sz w:val="21"/>
                <w:szCs w:val="21"/>
              </w:rPr>
            </w:pPr>
            <w:r w:rsidRPr="00866FE5">
              <w:rPr>
                <w:rFonts w:cstheme="minorHAnsi"/>
                <w:b/>
                <w:bCs/>
                <w:sz w:val="21"/>
                <w:szCs w:val="21"/>
              </w:rPr>
              <w:t xml:space="preserve">Funding </w:t>
            </w:r>
            <w:r w:rsidR="00FB42B9">
              <w:rPr>
                <w:rFonts w:cstheme="minorHAnsi"/>
                <w:b/>
                <w:bCs/>
                <w:sz w:val="21"/>
                <w:szCs w:val="21"/>
              </w:rPr>
              <w:t>P</w:t>
            </w:r>
            <w:r w:rsidRPr="00866FE5">
              <w:rPr>
                <w:rFonts w:cstheme="minorHAnsi"/>
                <w:b/>
                <w:bCs/>
                <w:sz w:val="21"/>
                <w:szCs w:val="21"/>
              </w:rPr>
              <w:t xml:space="preserve">er </w:t>
            </w:r>
            <w:r w:rsidR="00FB42B9">
              <w:rPr>
                <w:rFonts w:cstheme="minorHAnsi"/>
                <w:b/>
                <w:bCs/>
                <w:sz w:val="21"/>
                <w:szCs w:val="21"/>
              </w:rPr>
              <w:t>S</w:t>
            </w:r>
            <w:r w:rsidRPr="00866FE5">
              <w:rPr>
                <w:rFonts w:cstheme="minorHAnsi"/>
                <w:b/>
                <w:bCs/>
                <w:sz w:val="21"/>
                <w:szCs w:val="21"/>
              </w:rPr>
              <w:t>tudent</w:t>
            </w:r>
          </w:p>
          <w:p w14:paraId="45DC70B9" w14:textId="77777777" w:rsidR="00F00E3D" w:rsidRPr="00866FE5" w:rsidRDefault="00F00E3D" w:rsidP="00FB42B9">
            <w:pPr>
              <w:spacing w:after="0" w:line="240" w:lineRule="auto"/>
              <w:rPr>
                <w:rFonts w:cstheme="minorHAnsi"/>
                <w:b/>
                <w:bCs/>
                <w:sz w:val="21"/>
                <w:szCs w:val="21"/>
              </w:rPr>
            </w:pPr>
            <w:r w:rsidRPr="00866FE5">
              <w:rPr>
                <w:rFonts w:cstheme="minorHAnsi"/>
                <w:b/>
                <w:bCs/>
                <w:sz w:val="21"/>
                <w:szCs w:val="21"/>
              </w:rPr>
              <w:t>($)</w:t>
            </w:r>
          </w:p>
        </w:tc>
      </w:tr>
      <w:tr w:rsidR="00F00E3D" w:rsidRPr="00866FE5" w14:paraId="47A22285" w14:textId="77777777" w:rsidTr="00853850">
        <w:trPr>
          <w:trHeight w:val="545"/>
        </w:trPr>
        <w:tc>
          <w:tcPr>
            <w:tcW w:w="1462" w:type="dxa"/>
            <w:vAlign w:val="center"/>
          </w:tcPr>
          <w:p w14:paraId="29AC5AA7" w14:textId="3A807F8D"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Northern Bay College</w:t>
            </w:r>
            <w:r w:rsidR="00866FE5">
              <w:rPr>
                <w:rFonts w:asciiTheme="majorHAnsi" w:hAnsiTheme="majorHAnsi" w:cstheme="majorHAnsi"/>
                <w:sz w:val="21"/>
                <w:szCs w:val="21"/>
              </w:rPr>
              <w:t xml:space="preserve"> (Corio)</w:t>
            </w:r>
          </w:p>
        </w:tc>
        <w:tc>
          <w:tcPr>
            <w:tcW w:w="1082" w:type="dxa"/>
            <w:vAlign w:val="center"/>
          </w:tcPr>
          <w:p w14:paraId="541E6EFD"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78</w:t>
            </w:r>
          </w:p>
        </w:tc>
        <w:tc>
          <w:tcPr>
            <w:tcW w:w="1132" w:type="dxa"/>
            <w:vAlign w:val="center"/>
          </w:tcPr>
          <w:p w14:paraId="2E94D433"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16</w:t>
            </w:r>
          </w:p>
        </w:tc>
        <w:tc>
          <w:tcPr>
            <w:tcW w:w="1090" w:type="dxa"/>
            <w:vAlign w:val="center"/>
          </w:tcPr>
          <w:p w14:paraId="1E9D7EC6"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5</w:t>
            </w:r>
          </w:p>
        </w:tc>
        <w:tc>
          <w:tcPr>
            <w:tcW w:w="1355" w:type="dxa"/>
            <w:vAlign w:val="center"/>
          </w:tcPr>
          <w:p w14:paraId="1B152808"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882</w:t>
            </w:r>
          </w:p>
        </w:tc>
        <w:tc>
          <w:tcPr>
            <w:tcW w:w="1104" w:type="dxa"/>
            <w:vAlign w:val="center"/>
          </w:tcPr>
          <w:p w14:paraId="15AD73EE"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8</w:t>
            </w:r>
          </w:p>
        </w:tc>
        <w:tc>
          <w:tcPr>
            <w:tcW w:w="1298" w:type="dxa"/>
            <w:vAlign w:val="center"/>
          </w:tcPr>
          <w:p w14:paraId="3A452DB4"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34</w:t>
            </w:r>
          </w:p>
        </w:tc>
        <w:tc>
          <w:tcPr>
            <w:tcW w:w="1090" w:type="dxa"/>
            <w:vAlign w:val="center"/>
          </w:tcPr>
          <w:p w14:paraId="0AF72DBB" w14:textId="4E42BF56"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18</w:t>
            </w:r>
            <w:r w:rsidR="00FB42B9">
              <w:rPr>
                <w:rFonts w:asciiTheme="majorHAnsi" w:hAnsiTheme="majorHAnsi" w:cstheme="majorHAnsi"/>
                <w:sz w:val="21"/>
                <w:szCs w:val="21"/>
              </w:rPr>
              <w:t>,</w:t>
            </w:r>
            <w:r w:rsidRPr="00866FE5">
              <w:rPr>
                <w:rFonts w:asciiTheme="majorHAnsi" w:hAnsiTheme="majorHAnsi" w:cstheme="majorHAnsi"/>
                <w:sz w:val="21"/>
                <w:szCs w:val="21"/>
              </w:rPr>
              <w:t>181</w:t>
            </w:r>
          </w:p>
        </w:tc>
      </w:tr>
      <w:tr w:rsidR="00F00E3D" w:rsidRPr="00866FE5" w14:paraId="7B0E4407" w14:textId="77777777" w:rsidTr="00853850">
        <w:trPr>
          <w:trHeight w:val="671"/>
        </w:trPr>
        <w:tc>
          <w:tcPr>
            <w:tcW w:w="1462" w:type="dxa"/>
            <w:vAlign w:val="center"/>
          </w:tcPr>
          <w:p w14:paraId="32131C03" w14:textId="19147A22"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Geelong Grammar</w:t>
            </w:r>
            <w:r w:rsidR="00FB42B9">
              <w:rPr>
                <w:rFonts w:asciiTheme="majorHAnsi" w:hAnsiTheme="majorHAnsi" w:cstheme="majorHAnsi"/>
                <w:sz w:val="21"/>
                <w:szCs w:val="21"/>
              </w:rPr>
              <w:t xml:space="preserve"> (Senior School, Corio)</w:t>
            </w:r>
          </w:p>
        </w:tc>
        <w:tc>
          <w:tcPr>
            <w:tcW w:w="1082" w:type="dxa"/>
            <w:vAlign w:val="center"/>
          </w:tcPr>
          <w:p w14:paraId="222674CF"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2</w:t>
            </w:r>
          </w:p>
        </w:tc>
        <w:tc>
          <w:tcPr>
            <w:tcW w:w="1132" w:type="dxa"/>
            <w:vAlign w:val="center"/>
          </w:tcPr>
          <w:p w14:paraId="385BFB3F"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7</w:t>
            </w:r>
          </w:p>
        </w:tc>
        <w:tc>
          <w:tcPr>
            <w:tcW w:w="1090" w:type="dxa"/>
            <w:vAlign w:val="center"/>
          </w:tcPr>
          <w:p w14:paraId="3BC275C1"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22</w:t>
            </w:r>
          </w:p>
        </w:tc>
        <w:tc>
          <w:tcPr>
            <w:tcW w:w="1355" w:type="dxa"/>
            <w:vAlign w:val="center"/>
          </w:tcPr>
          <w:p w14:paraId="2E2C4D19"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1152</w:t>
            </w:r>
          </w:p>
        </w:tc>
        <w:tc>
          <w:tcPr>
            <w:tcW w:w="1104" w:type="dxa"/>
            <w:vAlign w:val="center"/>
          </w:tcPr>
          <w:p w14:paraId="749685B4"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1</w:t>
            </w:r>
          </w:p>
        </w:tc>
        <w:tc>
          <w:tcPr>
            <w:tcW w:w="1298" w:type="dxa"/>
            <w:vAlign w:val="center"/>
          </w:tcPr>
          <w:p w14:paraId="4D94517C"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26</w:t>
            </w:r>
          </w:p>
        </w:tc>
        <w:tc>
          <w:tcPr>
            <w:tcW w:w="1090" w:type="dxa"/>
            <w:vAlign w:val="center"/>
          </w:tcPr>
          <w:p w14:paraId="4E06EF11" w14:textId="7F2D7F72"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26</w:t>
            </w:r>
            <w:r w:rsidR="00FB42B9">
              <w:rPr>
                <w:rFonts w:asciiTheme="majorHAnsi" w:hAnsiTheme="majorHAnsi" w:cstheme="majorHAnsi"/>
                <w:sz w:val="21"/>
                <w:szCs w:val="21"/>
              </w:rPr>
              <w:t>,</w:t>
            </w:r>
            <w:r w:rsidRPr="00866FE5">
              <w:rPr>
                <w:rFonts w:asciiTheme="majorHAnsi" w:hAnsiTheme="majorHAnsi" w:cstheme="majorHAnsi"/>
                <w:sz w:val="21"/>
                <w:szCs w:val="21"/>
              </w:rPr>
              <w:t>473</w:t>
            </w:r>
          </w:p>
        </w:tc>
      </w:tr>
      <w:tr w:rsidR="00F00E3D" w:rsidRPr="00866FE5" w14:paraId="2D716298" w14:textId="77777777" w:rsidTr="00853850">
        <w:trPr>
          <w:trHeight w:val="766"/>
        </w:trPr>
        <w:tc>
          <w:tcPr>
            <w:tcW w:w="1462" w:type="dxa"/>
            <w:vAlign w:val="center"/>
          </w:tcPr>
          <w:p w14:paraId="6D54AD1D"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Newcomb Secondary College</w:t>
            </w:r>
          </w:p>
        </w:tc>
        <w:tc>
          <w:tcPr>
            <w:tcW w:w="1082" w:type="dxa"/>
            <w:vAlign w:val="center"/>
          </w:tcPr>
          <w:p w14:paraId="64821304"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61</w:t>
            </w:r>
          </w:p>
        </w:tc>
        <w:tc>
          <w:tcPr>
            <w:tcW w:w="1132" w:type="dxa"/>
            <w:vAlign w:val="center"/>
          </w:tcPr>
          <w:p w14:paraId="6D20666E"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25</w:t>
            </w:r>
          </w:p>
        </w:tc>
        <w:tc>
          <w:tcPr>
            <w:tcW w:w="1090" w:type="dxa"/>
            <w:vAlign w:val="center"/>
          </w:tcPr>
          <w:p w14:paraId="0F066BF8"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11</w:t>
            </w:r>
          </w:p>
        </w:tc>
        <w:tc>
          <w:tcPr>
            <w:tcW w:w="1355" w:type="dxa"/>
            <w:vAlign w:val="center"/>
          </w:tcPr>
          <w:p w14:paraId="0468D30D"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934</w:t>
            </w:r>
          </w:p>
        </w:tc>
        <w:tc>
          <w:tcPr>
            <w:tcW w:w="1104" w:type="dxa"/>
            <w:vAlign w:val="center"/>
          </w:tcPr>
          <w:p w14:paraId="447557EA"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4</w:t>
            </w:r>
          </w:p>
        </w:tc>
        <w:tc>
          <w:tcPr>
            <w:tcW w:w="1298" w:type="dxa"/>
            <w:vAlign w:val="center"/>
          </w:tcPr>
          <w:p w14:paraId="64BA7CB4"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2</w:t>
            </w:r>
          </w:p>
        </w:tc>
        <w:tc>
          <w:tcPr>
            <w:tcW w:w="1090" w:type="dxa"/>
            <w:vAlign w:val="center"/>
          </w:tcPr>
          <w:p w14:paraId="614EF748" w14:textId="1D47672F"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25</w:t>
            </w:r>
            <w:r w:rsidR="00FB42B9">
              <w:rPr>
                <w:rFonts w:asciiTheme="majorHAnsi" w:hAnsiTheme="majorHAnsi" w:cstheme="majorHAnsi"/>
                <w:sz w:val="21"/>
                <w:szCs w:val="21"/>
              </w:rPr>
              <w:t>,</w:t>
            </w:r>
            <w:r w:rsidRPr="00866FE5">
              <w:rPr>
                <w:rFonts w:asciiTheme="majorHAnsi" w:hAnsiTheme="majorHAnsi" w:cstheme="majorHAnsi"/>
                <w:sz w:val="21"/>
                <w:szCs w:val="21"/>
              </w:rPr>
              <w:t>698</w:t>
            </w:r>
          </w:p>
        </w:tc>
      </w:tr>
      <w:tr w:rsidR="00F00E3D" w:rsidRPr="00866FE5" w14:paraId="01D3AE77" w14:textId="77777777" w:rsidTr="00853850">
        <w:trPr>
          <w:trHeight w:val="914"/>
        </w:trPr>
        <w:tc>
          <w:tcPr>
            <w:tcW w:w="1462" w:type="dxa"/>
            <w:vAlign w:val="center"/>
          </w:tcPr>
          <w:p w14:paraId="71E02819" w14:textId="3473497B"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 xml:space="preserve">MacKillop Specialist School </w:t>
            </w:r>
            <w:r w:rsidR="00866FE5">
              <w:rPr>
                <w:rFonts w:asciiTheme="majorHAnsi" w:hAnsiTheme="majorHAnsi" w:cstheme="majorHAnsi"/>
                <w:sz w:val="21"/>
                <w:szCs w:val="21"/>
              </w:rPr>
              <w:t>(</w:t>
            </w:r>
            <w:r w:rsidRPr="00866FE5">
              <w:rPr>
                <w:rFonts w:asciiTheme="majorHAnsi" w:hAnsiTheme="majorHAnsi" w:cstheme="majorHAnsi"/>
                <w:sz w:val="21"/>
                <w:szCs w:val="21"/>
              </w:rPr>
              <w:t>Whittington</w:t>
            </w:r>
            <w:r w:rsidR="00866FE5">
              <w:rPr>
                <w:rFonts w:asciiTheme="majorHAnsi" w:hAnsiTheme="majorHAnsi" w:cstheme="majorHAnsi"/>
                <w:sz w:val="21"/>
                <w:szCs w:val="21"/>
              </w:rPr>
              <w:t>)</w:t>
            </w:r>
          </w:p>
        </w:tc>
        <w:tc>
          <w:tcPr>
            <w:tcW w:w="1082" w:type="dxa"/>
            <w:vAlign w:val="center"/>
          </w:tcPr>
          <w:p w14:paraId="3F6F40D7"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44</w:t>
            </w:r>
          </w:p>
        </w:tc>
        <w:tc>
          <w:tcPr>
            <w:tcW w:w="1132" w:type="dxa"/>
            <w:vAlign w:val="center"/>
          </w:tcPr>
          <w:p w14:paraId="2A175864"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29</w:t>
            </w:r>
          </w:p>
        </w:tc>
        <w:tc>
          <w:tcPr>
            <w:tcW w:w="1090" w:type="dxa"/>
            <w:vAlign w:val="center"/>
          </w:tcPr>
          <w:p w14:paraId="5CA6B776"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20</w:t>
            </w:r>
          </w:p>
        </w:tc>
        <w:tc>
          <w:tcPr>
            <w:tcW w:w="1355" w:type="dxa"/>
            <w:vAlign w:val="center"/>
          </w:tcPr>
          <w:p w14:paraId="02D9207C"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959</w:t>
            </w:r>
          </w:p>
        </w:tc>
        <w:tc>
          <w:tcPr>
            <w:tcW w:w="1104" w:type="dxa"/>
            <w:vAlign w:val="center"/>
          </w:tcPr>
          <w:p w14:paraId="5EBFD6C3"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13</w:t>
            </w:r>
          </w:p>
        </w:tc>
        <w:tc>
          <w:tcPr>
            <w:tcW w:w="1298" w:type="dxa"/>
            <w:vAlign w:val="center"/>
          </w:tcPr>
          <w:p w14:paraId="009EED02" w14:textId="77777777"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4</w:t>
            </w:r>
          </w:p>
        </w:tc>
        <w:tc>
          <w:tcPr>
            <w:tcW w:w="1090" w:type="dxa"/>
            <w:vAlign w:val="center"/>
          </w:tcPr>
          <w:p w14:paraId="6BF71B00" w14:textId="6F6E576E" w:rsidR="00F00E3D" w:rsidRPr="00866FE5" w:rsidRDefault="00F00E3D" w:rsidP="00FB42B9">
            <w:pPr>
              <w:spacing w:line="240" w:lineRule="auto"/>
              <w:rPr>
                <w:rFonts w:asciiTheme="majorHAnsi" w:hAnsiTheme="majorHAnsi" w:cstheme="majorHAnsi"/>
                <w:sz w:val="21"/>
                <w:szCs w:val="21"/>
              </w:rPr>
            </w:pPr>
            <w:r w:rsidRPr="00866FE5">
              <w:rPr>
                <w:rFonts w:asciiTheme="majorHAnsi" w:hAnsiTheme="majorHAnsi" w:cstheme="majorHAnsi"/>
                <w:sz w:val="21"/>
                <w:szCs w:val="21"/>
              </w:rPr>
              <w:t>56</w:t>
            </w:r>
            <w:r w:rsidR="00FB42B9">
              <w:rPr>
                <w:rFonts w:asciiTheme="majorHAnsi" w:hAnsiTheme="majorHAnsi" w:cstheme="majorHAnsi"/>
                <w:sz w:val="21"/>
                <w:szCs w:val="21"/>
              </w:rPr>
              <w:t>,</w:t>
            </w:r>
            <w:r w:rsidRPr="00866FE5">
              <w:rPr>
                <w:rFonts w:asciiTheme="majorHAnsi" w:hAnsiTheme="majorHAnsi" w:cstheme="majorHAnsi"/>
                <w:sz w:val="21"/>
                <w:szCs w:val="21"/>
              </w:rPr>
              <w:t>540</w:t>
            </w:r>
          </w:p>
        </w:tc>
      </w:tr>
    </w:tbl>
    <w:p w14:paraId="5FE15834" w14:textId="0D8D57FB" w:rsidR="00866FE5" w:rsidRDefault="00866FE5" w:rsidP="00866FE5">
      <w:pPr>
        <w:spacing w:after="0" w:line="240" w:lineRule="auto"/>
        <w:rPr>
          <w:rFonts w:cstheme="minorHAnsi"/>
          <w:b/>
          <w:sz w:val="21"/>
          <w:szCs w:val="21"/>
        </w:rPr>
      </w:pPr>
      <w:r w:rsidRPr="00866FE5">
        <w:rPr>
          <w:rFonts w:cstheme="minorHAnsi"/>
          <w:b/>
          <w:sz w:val="21"/>
          <w:szCs w:val="21"/>
        </w:rPr>
        <w:t>Table 7.1</w:t>
      </w:r>
      <w:r w:rsidR="007A7618">
        <w:rPr>
          <w:rFonts w:cstheme="minorHAnsi"/>
          <w:b/>
          <w:sz w:val="21"/>
          <w:szCs w:val="21"/>
        </w:rPr>
        <w:t>2</w:t>
      </w:r>
      <w:r w:rsidRPr="00866FE5">
        <w:rPr>
          <w:rFonts w:cstheme="minorHAnsi"/>
          <w:b/>
          <w:sz w:val="21"/>
          <w:szCs w:val="21"/>
        </w:rPr>
        <w:t xml:space="preserve">: Distribution of Socio-Educational Advantage, Corio, Norlane, and Newcomb </w:t>
      </w:r>
      <w:r>
        <w:rPr>
          <w:rFonts w:cstheme="minorHAnsi"/>
          <w:b/>
          <w:sz w:val="21"/>
          <w:szCs w:val="21"/>
        </w:rPr>
        <w:t>H</w:t>
      </w:r>
      <w:r w:rsidRPr="00866FE5">
        <w:rPr>
          <w:rFonts w:cstheme="minorHAnsi"/>
          <w:b/>
          <w:sz w:val="21"/>
          <w:szCs w:val="21"/>
        </w:rPr>
        <w:t xml:space="preserve">igh </w:t>
      </w:r>
      <w:r>
        <w:rPr>
          <w:rFonts w:cstheme="minorHAnsi"/>
          <w:b/>
          <w:sz w:val="21"/>
          <w:szCs w:val="21"/>
        </w:rPr>
        <w:t>S</w:t>
      </w:r>
      <w:r w:rsidRPr="00866FE5">
        <w:rPr>
          <w:rFonts w:cstheme="minorHAnsi"/>
          <w:b/>
          <w:sz w:val="21"/>
          <w:szCs w:val="21"/>
        </w:rPr>
        <w:t xml:space="preserve">chools </w:t>
      </w:r>
    </w:p>
    <w:p w14:paraId="30D8B39E" w14:textId="54419E82" w:rsidR="00F00E3D" w:rsidRDefault="00866FE5" w:rsidP="00866FE5">
      <w:pPr>
        <w:spacing w:after="0" w:line="240" w:lineRule="auto"/>
        <w:rPr>
          <w:rFonts w:cstheme="minorHAnsi"/>
          <w:b/>
          <w:noProof/>
          <w:sz w:val="21"/>
          <w:szCs w:val="21"/>
        </w:rPr>
      </w:pPr>
      <w:r w:rsidRPr="00866FE5">
        <w:rPr>
          <w:rFonts w:cstheme="minorHAnsi"/>
          <w:b/>
          <w:noProof/>
          <w:sz w:val="21"/>
          <w:szCs w:val="21"/>
        </w:rPr>
        <w:t>(Source: My School, 2021)</w:t>
      </w:r>
    </w:p>
    <w:p w14:paraId="746ACF85" w14:textId="60915DA5" w:rsidR="00866FE5" w:rsidRPr="00866FE5" w:rsidRDefault="2B9EADF8" w:rsidP="00866FE5">
      <w:pPr>
        <w:spacing w:after="0" w:line="240" w:lineRule="auto"/>
        <w:rPr>
          <w:b/>
          <w:sz w:val="16"/>
          <w:szCs w:val="16"/>
        </w:rPr>
      </w:pPr>
      <w:r w:rsidRPr="701B9583">
        <w:rPr>
          <w:b/>
          <w:bCs/>
          <w:sz w:val="16"/>
          <w:szCs w:val="16"/>
        </w:rPr>
        <w:t xml:space="preserve"> </w:t>
      </w:r>
      <w:r w:rsidR="450F4405" w:rsidRPr="701B9583">
        <w:rPr>
          <w:b/>
          <w:bCs/>
          <w:sz w:val="16"/>
          <w:szCs w:val="16"/>
        </w:rPr>
        <w:t xml:space="preserve">   </w:t>
      </w:r>
    </w:p>
    <w:p w14:paraId="046F8A93" w14:textId="0EDD111B" w:rsidR="004B2477" w:rsidRDefault="00FB42B9" w:rsidP="00F01390">
      <w:pPr>
        <w:spacing w:after="0" w:line="276" w:lineRule="auto"/>
        <w:rPr>
          <w:rFonts w:asciiTheme="majorHAnsi" w:hAnsiTheme="majorHAnsi" w:cstheme="majorHAnsi"/>
          <w:sz w:val="23"/>
          <w:szCs w:val="23"/>
        </w:rPr>
      </w:pPr>
      <w:r>
        <w:rPr>
          <w:rFonts w:asciiTheme="majorHAnsi" w:hAnsiTheme="majorHAnsi" w:cstheme="majorHAnsi"/>
          <w:sz w:val="23"/>
          <w:szCs w:val="23"/>
        </w:rPr>
        <w:t>In</w:t>
      </w:r>
      <w:r w:rsidR="00F00E3D" w:rsidRPr="00E91887">
        <w:rPr>
          <w:rFonts w:asciiTheme="majorHAnsi" w:hAnsiTheme="majorHAnsi" w:cstheme="majorHAnsi"/>
          <w:sz w:val="23"/>
          <w:szCs w:val="23"/>
        </w:rPr>
        <w:t xml:space="preserve"> considering why the</w:t>
      </w:r>
      <w:r w:rsidR="004B2477">
        <w:rPr>
          <w:rFonts w:asciiTheme="majorHAnsi" w:hAnsiTheme="majorHAnsi" w:cstheme="majorHAnsi"/>
          <w:sz w:val="23"/>
          <w:szCs w:val="23"/>
        </w:rPr>
        <w:t xml:space="preserve"> three </w:t>
      </w:r>
      <w:r>
        <w:rPr>
          <w:rFonts w:asciiTheme="majorHAnsi" w:hAnsiTheme="majorHAnsi" w:cstheme="majorHAnsi"/>
          <w:sz w:val="23"/>
          <w:szCs w:val="23"/>
        </w:rPr>
        <w:t>localities</w:t>
      </w:r>
      <w:r w:rsidR="004B2477">
        <w:rPr>
          <w:rFonts w:asciiTheme="majorHAnsi" w:hAnsiTheme="majorHAnsi" w:cstheme="majorHAnsi"/>
          <w:sz w:val="23"/>
          <w:szCs w:val="23"/>
        </w:rPr>
        <w:t xml:space="preserve"> of focus</w:t>
      </w:r>
      <w:r w:rsidR="00F00E3D" w:rsidRPr="00E91887">
        <w:rPr>
          <w:rFonts w:asciiTheme="majorHAnsi" w:hAnsiTheme="majorHAnsi" w:cstheme="majorHAnsi"/>
          <w:sz w:val="23"/>
          <w:szCs w:val="23"/>
        </w:rPr>
        <w:t xml:space="preserve"> express high levels of socioeconomic disadvantage, clearly the quality and catchment</w:t>
      </w:r>
      <w:r>
        <w:rPr>
          <w:rFonts w:asciiTheme="majorHAnsi" w:hAnsiTheme="majorHAnsi" w:cstheme="majorHAnsi"/>
          <w:sz w:val="23"/>
          <w:szCs w:val="23"/>
        </w:rPr>
        <w:t xml:space="preserve"> areas</w:t>
      </w:r>
      <w:r w:rsidR="00F00E3D" w:rsidRPr="00E91887">
        <w:rPr>
          <w:rFonts w:asciiTheme="majorHAnsi" w:hAnsiTheme="majorHAnsi" w:cstheme="majorHAnsi"/>
          <w:sz w:val="23"/>
          <w:szCs w:val="23"/>
        </w:rPr>
        <w:t xml:space="preserve"> of their schools is a major contributor. P</w:t>
      </w:r>
      <w:r>
        <w:rPr>
          <w:rFonts w:asciiTheme="majorHAnsi" w:hAnsiTheme="majorHAnsi" w:cstheme="majorHAnsi"/>
          <w:sz w:val="23"/>
          <w:szCs w:val="23"/>
        </w:rPr>
        <w:t>ast p</w:t>
      </w:r>
      <w:r w:rsidR="00F00E3D" w:rsidRPr="00E91887">
        <w:rPr>
          <w:rFonts w:asciiTheme="majorHAnsi" w:hAnsiTheme="majorHAnsi" w:cstheme="majorHAnsi"/>
          <w:sz w:val="23"/>
          <w:szCs w:val="23"/>
        </w:rPr>
        <w:t>olicy interventions have focused on improving local schools, upgrad</w:t>
      </w:r>
      <w:r>
        <w:rPr>
          <w:rFonts w:asciiTheme="majorHAnsi" w:hAnsiTheme="majorHAnsi" w:cstheme="majorHAnsi"/>
          <w:sz w:val="23"/>
          <w:szCs w:val="23"/>
        </w:rPr>
        <w:t>ing</w:t>
      </w:r>
      <w:r w:rsidR="00F00E3D" w:rsidRPr="00E91887">
        <w:rPr>
          <w:rFonts w:asciiTheme="majorHAnsi" w:hAnsiTheme="majorHAnsi" w:cstheme="majorHAnsi"/>
          <w:sz w:val="23"/>
          <w:szCs w:val="23"/>
        </w:rPr>
        <w:t xml:space="preserve"> facilities</w:t>
      </w:r>
      <w:r w:rsidR="004B2477">
        <w:rPr>
          <w:rFonts w:asciiTheme="majorHAnsi" w:hAnsiTheme="majorHAnsi" w:cstheme="majorHAnsi"/>
          <w:sz w:val="23"/>
          <w:szCs w:val="23"/>
        </w:rPr>
        <w:t>,</w:t>
      </w:r>
      <w:r w:rsidR="00F00E3D" w:rsidRPr="00E91887">
        <w:rPr>
          <w:rFonts w:asciiTheme="majorHAnsi" w:hAnsiTheme="majorHAnsi" w:cstheme="majorHAnsi"/>
          <w:sz w:val="23"/>
          <w:szCs w:val="23"/>
        </w:rPr>
        <w:t xml:space="preserve"> and rais</w:t>
      </w:r>
      <w:r>
        <w:rPr>
          <w:rFonts w:asciiTheme="majorHAnsi" w:hAnsiTheme="majorHAnsi" w:cstheme="majorHAnsi"/>
          <w:sz w:val="23"/>
          <w:szCs w:val="23"/>
        </w:rPr>
        <w:t>ing</w:t>
      </w:r>
      <w:r w:rsidR="00F00E3D" w:rsidRPr="00E91887">
        <w:rPr>
          <w:rFonts w:asciiTheme="majorHAnsi" w:hAnsiTheme="majorHAnsi" w:cstheme="majorHAnsi"/>
          <w:sz w:val="23"/>
          <w:szCs w:val="23"/>
        </w:rPr>
        <w:t xml:space="preserve"> </w:t>
      </w:r>
      <w:r w:rsidR="004B2477">
        <w:rPr>
          <w:rFonts w:asciiTheme="majorHAnsi" w:hAnsiTheme="majorHAnsi" w:cstheme="majorHAnsi"/>
          <w:sz w:val="23"/>
          <w:szCs w:val="23"/>
        </w:rPr>
        <w:t xml:space="preserve">the </w:t>
      </w:r>
      <w:r w:rsidR="00F00E3D" w:rsidRPr="00E91887">
        <w:rPr>
          <w:rFonts w:asciiTheme="majorHAnsi" w:hAnsiTheme="majorHAnsi" w:cstheme="majorHAnsi"/>
          <w:sz w:val="23"/>
          <w:szCs w:val="23"/>
        </w:rPr>
        <w:t>expectations of</w:t>
      </w:r>
      <w:r>
        <w:rPr>
          <w:rFonts w:asciiTheme="majorHAnsi" w:hAnsiTheme="majorHAnsi" w:cstheme="majorHAnsi"/>
          <w:sz w:val="23"/>
          <w:szCs w:val="23"/>
        </w:rPr>
        <w:t xml:space="preserve"> both</w:t>
      </w:r>
      <w:r w:rsidR="00F00E3D" w:rsidRPr="00E91887">
        <w:rPr>
          <w:rFonts w:asciiTheme="majorHAnsi" w:hAnsiTheme="majorHAnsi" w:cstheme="majorHAnsi"/>
          <w:sz w:val="23"/>
          <w:szCs w:val="23"/>
        </w:rPr>
        <w:t xml:space="preserve"> students and teachers</w:t>
      </w:r>
      <w:r>
        <w:rPr>
          <w:rFonts w:asciiTheme="majorHAnsi" w:hAnsiTheme="majorHAnsi" w:cstheme="majorHAnsi"/>
          <w:sz w:val="23"/>
          <w:szCs w:val="23"/>
        </w:rPr>
        <w:t>. This has</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 xml:space="preserve">been </w:t>
      </w:r>
      <w:r w:rsidR="00F00E3D" w:rsidRPr="00E91887">
        <w:rPr>
          <w:rFonts w:asciiTheme="majorHAnsi" w:hAnsiTheme="majorHAnsi" w:cstheme="majorHAnsi"/>
          <w:sz w:val="23"/>
          <w:szCs w:val="23"/>
        </w:rPr>
        <w:t>successful in some schools</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such as Whittington Primary</w:t>
      </w:r>
      <w:r>
        <w:rPr>
          <w:rFonts w:asciiTheme="majorHAnsi" w:hAnsiTheme="majorHAnsi" w:cstheme="majorHAnsi"/>
          <w:sz w:val="23"/>
          <w:szCs w:val="23"/>
        </w:rPr>
        <w:t xml:space="preserve">. </w:t>
      </w:r>
      <w:r w:rsidR="00781AD4">
        <w:rPr>
          <w:rFonts w:asciiTheme="majorHAnsi" w:hAnsiTheme="majorHAnsi" w:cstheme="majorHAnsi"/>
          <w:sz w:val="23"/>
          <w:szCs w:val="23"/>
        </w:rPr>
        <w:t>But there is</w:t>
      </w:r>
      <w:r w:rsidR="00F00E3D" w:rsidRPr="00E91887">
        <w:rPr>
          <w:rFonts w:asciiTheme="majorHAnsi" w:hAnsiTheme="majorHAnsi" w:cstheme="majorHAnsi"/>
          <w:sz w:val="23"/>
          <w:szCs w:val="23"/>
        </w:rPr>
        <w:t xml:space="preserve"> clearly more to be done here, especially for particular groups such as Indigenous </w:t>
      </w:r>
      <w:r w:rsidR="004B2477">
        <w:rPr>
          <w:rFonts w:asciiTheme="majorHAnsi" w:hAnsiTheme="majorHAnsi" w:cstheme="majorHAnsi"/>
          <w:sz w:val="23"/>
          <w:szCs w:val="23"/>
        </w:rPr>
        <w:t xml:space="preserve">and CALD </w:t>
      </w:r>
      <w:r w:rsidR="00F00E3D" w:rsidRPr="00E91887">
        <w:rPr>
          <w:rFonts w:asciiTheme="majorHAnsi" w:hAnsiTheme="majorHAnsi" w:cstheme="majorHAnsi"/>
          <w:sz w:val="23"/>
          <w:szCs w:val="23"/>
        </w:rPr>
        <w:t>students.</w:t>
      </w:r>
      <w:r w:rsidR="00F01390">
        <w:rPr>
          <w:rFonts w:asciiTheme="majorHAnsi" w:hAnsiTheme="majorHAnsi" w:cstheme="majorHAnsi"/>
          <w:sz w:val="23"/>
          <w:szCs w:val="23"/>
        </w:rPr>
        <w:t xml:space="preserve"> </w:t>
      </w:r>
      <w:r w:rsidR="00781AD4">
        <w:rPr>
          <w:rFonts w:asciiTheme="majorHAnsi" w:hAnsiTheme="majorHAnsi" w:cstheme="majorHAnsi"/>
          <w:sz w:val="23"/>
          <w:szCs w:val="23"/>
        </w:rPr>
        <w:t>We also know the</w:t>
      </w:r>
      <w:r w:rsidR="00F00E3D" w:rsidRPr="00E91887">
        <w:rPr>
          <w:rFonts w:asciiTheme="majorHAnsi" w:hAnsiTheme="majorHAnsi" w:cstheme="majorHAnsi"/>
          <w:sz w:val="23"/>
          <w:szCs w:val="23"/>
        </w:rPr>
        <w:t xml:space="preserve"> pandemic impacted hard on families with limited digital </w:t>
      </w:r>
      <w:r w:rsidR="00781AD4">
        <w:rPr>
          <w:rFonts w:asciiTheme="majorHAnsi" w:hAnsiTheme="majorHAnsi" w:cstheme="majorHAnsi"/>
          <w:sz w:val="23"/>
          <w:szCs w:val="23"/>
        </w:rPr>
        <w:t>inclusion</w:t>
      </w:r>
      <w:r w:rsidR="00F00E3D" w:rsidRPr="00E91887">
        <w:rPr>
          <w:rFonts w:asciiTheme="majorHAnsi" w:hAnsiTheme="majorHAnsi" w:cstheme="majorHAnsi"/>
          <w:sz w:val="23"/>
          <w:szCs w:val="23"/>
        </w:rPr>
        <w:t xml:space="preserve"> and insecure employment</w:t>
      </w:r>
      <w:r w:rsidR="00781AD4">
        <w:rPr>
          <w:rFonts w:asciiTheme="majorHAnsi" w:hAnsiTheme="majorHAnsi" w:cstheme="majorHAnsi"/>
          <w:sz w:val="23"/>
          <w:szCs w:val="23"/>
        </w:rPr>
        <w:t>. This underlines the need</w:t>
      </w:r>
      <w:r w:rsidR="00F00E3D" w:rsidRPr="00E91887">
        <w:rPr>
          <w:rFonts w:asciiTheme="majorHAnsi" w:hAnsiTheme="majorHAnsi" w:cstheme="majorHAnsi"/>
          <w:sz w:val="23"/>
          <w:szCs w:val="23"/>
        </w:rPr>
        <w:t xml:space="preserve"> to ensure that any</w:t>
      </w:r>
      <w:r w:rsidR="00781AD4">
        <w:rPr>
          <w:rFonts w:asciiTheme="majorHAnsi" w:hAnsiTheme="majorHAnsi" w:cstheme="majorHAnsi"/>
          <w:sz w:val="23"/>
          <w:szCs w:val="23"/>
        </w:rPr>
        <w:t xml:space="preserve"> available</w:t>
      </w:r>
      <w:r w:rsidR="00F00E3D" w:rsidRPr="00E91887">
        <w:rPr>
          <w:rFonts w:asciiTheme="majorHAnsi" w:hAnsiTheme="majorHAnsi" w:cstheme="majorHAnsi"/>
          <w:sz w:val="23"/>
          <w:szCs w:val="23"/>
        </w:rPr>
        <w:t xml:space="preserve"> </w:t>
      </w:r>
      <w:r w:rsidR="00853850">
        <w:rPr>
          <w:rFonts w:asciiTheme="majorHAnsi" w:hAnsiTheme="majorHAnsi" w:cstheme="majorHAnsi"/>
          <w:sz w:val="23"/>
          <w:szCs w:val="23"/>
        </w:rPr>
        <w:t xml:space="preserve">support </w:t>
      </w:r>
      <w:r w:rsidR="00F00E3D" w:rsidRPr="00E91887">
        <w:rPr>
          <w:rFonts w:asciiTheme="majorHAnsi" w:hAnsiTheme="majorHAnsi" w:cstheme="majorHAnsi"/>
          <w:sz w:val="23"/>
          <w:szCs w:val="23"/>
        </w:rPr>
        <w:t xml:space="preserve">programs – such as the Victorian </w:t>
      </w:r>
      <w:r w:rsidR="00781AD4">
        <w:rPr>
          <w:rFonts w:asciiTheme="majorHAnsi" w:hAnsiTheme="majorHAnsi" w:cstheme="majorHAnsi"/>
          <w:sz w:val="23"/>
          <w:szCs w:val="23"/>
        </w:rPr>
        <w:t>G</w:t>
      </w:r>
      <w:r w:rsidR="00F00E3D" w:rsidRPr="00E91887">
        <w:rPr>
          <w:rFonts w:asciiTheme="majorHAnsi" w:hAnsiTheme="majorHAnsi" w:cstheme="majorHAnsi"/>
          <w:sz w:val="23"/>
          <w:szCs w:val="23"/>
        </w:rPr>
        <w:t>overnment</w:t>
      </w:r>
      <w:r w:rsidR="00781AD4">
        <w:rPr>
          <w:rFonts w:asciiTheme="majorHAnsi" w:hAnsiTheme="majorHAnsi" w:cstheme="majorHAnsi"/>
          <w:sz w:val="23"/>
          <w:szCs w:val="23"/>
        </w:rPr>
        <w:t>’s</w:t>
      </w:r>
      <w:r w:rsidR="00F00E3D" w:rsidRPr="00E91887">
        <w:rPr>
          <w:rFonts w:asciiTheme="majorHAnsi" w:hAnsiTheme="majorHAnsi" w:cstheme="majorHAnsi"/>
          <w:sz w:val="23"/>
          <w:szCs w:val="23"/>
        </w:rPr>
        <w:t xml:space="preserve"> </w:t>
      </w:r>
      <w:r w:rsidR="004B2477" w:rsidRPr="004B2477">
        <w:rPr>
          <w:rFonts w:asciiTheme="majorHAnsi" w:hAnsiTheme="majorHAnsi" w:cstheme="majorHAnsi"/>
          <w:sz w:val="23"/>
          <w:szCs w:val="23"/>
        </w:rPr>
        <w:t xml:space="preserve">Tutor Learning Initiative 2021 </w:t>
      </w:r>
      <w:r w:rsidR="00F00E3D" w:rsidRPr="00E91887">
        <w:rPr>
          <w:rFonts w:asciiTheme="majorHAnsi" w:hAnsiTheme="majorHAnsi" w:cstheme="majorHAnsi"/>
          <w:sz w:val="23"/>
          <w:szCs w:val="23"/>
        </w:rPr>
        <w:t xml:space="preserve">– </w:t>
      </w:r>
      <w:r w:rsidR="00781AD4">
        <w:rPr>
          <w:rFonts w:asciiTheme="majorHAnsi" w:hAnsiTheme="majorHAnsi" w:cstheme="majorHAnsi"/>
          <w:sz w:val="23"/>
          <w:szCs w:val="23"/>
        </w:rPr>
        <w:t>are</w:t>
      </w:r>
      <w:r w:rsidR="00F00E3D" w:rsidRPr="00E91887">
        <w:rPr>
          <w:rFonts w:asciiTheme="majorHAnsi" w:hAnsiTheme="majorHAnsi" w:cstheme="majorHAnsi"/>
          <w:sz w:val="23"/>
          <w:szCs w:val="23"/>
        </w:rPr>
        <w:t xml:space="preserve"> accessed </w:t>
      </w:r>
      <w:r w:rsidR="00781AD4">
        <w:rPr>
          <w:rFonts w:asciiTheme="majorHAnsi" w:hAnsiTheme="majorHAnsi" w:cstheme="majorHAnsi"/>
          <w:sz w:val="23"/>
          <w:szCs w:val="23"/>
        </w:rPr>
        <w:t xml:space="preserve">to support </w:t>
      </w:r>
      <w:r w:rsidR="004B2477">
        <w:rPr>
          <w:rFonts w:asciiTheme="majorHAnsi" w:hAnsiTheme="majorHAnsi" w:cstheme="majorHAnsi"/>
          <w:sz w:val="23"/>
          <w:szCs w:val="23"/>
        </w:rPr>
        <w:t>local students</w:t>
      </w:r>
      <w:r w:rsidR="00F00E3D" w:rsidRPr="00E91887">
        <w:rPr>
          <w:rFonts w:asciiTheme="majorHAnsi" w:hAnsiTheme="majorHAnsi" w:cstheme="majorHAnsi"/>
          <w:sz w:val="23"/>
          <w:szCs w:val="23"/>
        </w:rPr>
        <w:t>.</w:t>
      </w:r>
    </w:p>
    <w:p w14:paraId="4D7E81D4" w14:textId="4437328C" w:rsidR="004B2477" w:rsidRPr="00B82C64" w:rsidRDefault="004B2477">
      <w:pPr>
        <w:spacing w:after="0" w:line="240" w:lineRule="auto"/>
        <w:rPr>
          <w:rFonts w:asciiTheme="majorHAnsi" w:hAnsiTheme="majorHAnsi" w:cstheme="majorHAnsi"/>
          <w:sz w:val="16"/>
          <w:szCs w:val="16"/>
        </w:rPr>
      </w:pPr>
    </w:p>
    <w:p w14:paraId="4623C92C" w14:textId="79C86826" w:rsidR="00F00E3D" w:rsidRPr="004B2477" w:rsidRDefault="00F00E3D" w:rsidP="009B2FA7">
      <w:pPr>
        <w:spacing w:line="276" w:lineRule="auto"/>
        <w:rPr>
          <w:rFonts w:eastAsiaTheme="majorEastAsia" w:cstheme="minorHAnsi"/>
          <w:b/>
          <w:color w:val="2F5496" w:themeColor="accent1" w:themeShade="BF"/>
          <w:sz w:val="25"/>
          <w:szCs w:val="25"/>
        </w:rPr>
      </w:pPr>
      <w:r w:rsidRPr="004B2477">
        <w:rPr>
          <w:rFonts w:eastAsiaTheme="majorEastAsia" w:cstheme="minorHAnsi"/>
          <w:b/>
          <w:color w:val="2F5496" w:themeColor="accent1" w:themeShade="BF"/>
          <w:sz w:val="25"/>
          <w:szCs w:val="25"/>
        </w:rPr>
        <w:t>Health and Wellbeing</w:t>
      </w:r>
    </w:p>
    <w:p w14:paraId="65E9776C" w14:textId="4E692E91" w:rsidR="00F00E3D" w:rsidRPr="00E91887" w:rsidRDefault="00F00E3D" w:rsidP="00744543">
      <w:pPr>
        <w:spacing w:after="0" w:line="276" w:lineRule="auto"/>
        <w:rPr>
          <w:rFonts w:asciiTheme="majorHAnsi" w:hAnsiTheme="majorHAnsi" w:cstheme="majorHAnsi"/>
          <w:sz w:val="23"/>
          <w:szCs w:val="23"/>
        </w:rPr>
      </w:pPr>
      <w:r w:rsidRPr="00E91887">
        <w:rPr>
          <w:rFonts w:asciiTheme="majorHAnsi" w:hAnsiTheme="majorHAnsi" w:cstheme="majorHAnsi"/>
          <w:sz w:val="23"/>
          <w:szCs w:val="23"/>
        </w:rPr>
        <w:t>The National Health Service Directory lists</w:t>
      </w:r>
      <w:r w:rsidR="004B2477">
        <w:rPr>
          <w:rFonts w:asciiTheme="majorHAnsi" w:hAnsiTheme="majorHAnsi" w:cstheme="majorHAnsi"/>
          <w:sz w:val="23"/>
          <w:szCs w:val="23"/>
        </w:rPr>
        <w:t xml:space="preserve"> a</w:t>
      </w:r>
      <w:r w:rsidRPr="00E91887">
        <w:rPr>
          <w:rFonts w:asciiTheme="majorHAnsi" w:hAnsiTheme="majorHAnsi" w:cstheme="majorHAnsi"/>
          <w:sz w:val="23"/>
          <w:szCs w:val="23"/>
        </w:rPr>
        <w:t xml:space="preserve"> significant number</w:t>
      </w:r>
      <w:r w:rsidR="004B2477">
        <w:rPr>
          <w:rFonts w:asciiTheme="majorHAnsi" w:hAnsiTheme="majorHAnsi" w:cstheme="majorHAnsi"/>
          <w:sz w:val="23"/>
          <w:szCs w:val="23"/>
        </w:rPr>
        <w:t xml:space="preserve"> and diversity of </w:t>
      </w:r>
      <w:r w:rsidRPr="00E91887">
        <w:rPr>
          <w:rFonts w:asciiTheme="majorHAnsi" w:hAnsiTheme="majorHAnsi" w:cstheme="majorHAnsi"/>
          <w:sz w:val="23"/>
          <w:szCs w:val="23"/>
        </w:rPr>
        <w:t xml:space="preserve">health providers in the three </w:t>
      </w:r>
      <w:r w:rsidR="004B2477">
        <w:rPr>
          <w:rFonts w:asciiTheme="majorHAnsi" w:hAnsiTheme="majorHAnsi" w:cstheme="majorHAnsi"/>
          <w:sz w:val="23"/>
          <w:szCs w:val="23"/>
        </w:rPr>
        <w:t>localities:</w:t>
      </w:r>
      <w:r w:rsidRPr="00E91887">
        <w:rPr>
          <w:rFonts w:asciiTheme="majorHAnsi" w:hAnsiTheme="majorHAnsi" w:cstheme="majorHAnsi"/>
          <w:sz w:val="23"/>
          <w:szCs w:val="23"/>
        </w:rPr>
        <w:t xml:space="preserve"> 40 in Corio, 19 in Norlane</w:t>
      </w:r>
      <w:r w:rsidR="004B2477">
        <w:rPr>
          <w:rFonts w:asciiTheme="majorHAnsi" w:hAnsiTheme="majorHAnsi" w:cstheme="majorHAnsi"/>
          <w:sz w:val="23"/>
          <w:szCs w:val="23"/>
        </w:rPr>
        <w:t>–</w:t>
      </w:r>
      <w:r w:rsidRPr="00E91887">
        <w:rPr>
          <w:rFonts w:asciiTheme="majorHAnsi" w:hAnsiTheme="majorHAnsi" w:cstheme="majorHAnsi"/>
          <w:sz w:val="23"/>
          <w:szCs w:val="23"/>
        </w:rPr>
        <w:t>North Geelong</w:t>
      </w:r>
      <w:r w:rsidR="004B2477">
        <w:rPr>
          <w:rFonts w:asciiTheme="majorHAnsi" w:hAnsiTheme="majorHAnsi" w:cstheme="majorHAnsi"/>
          <w:sz w:val="23"/>
          <w:szCs w:val="23"/>
        </w:rPr>
        <w:t>,</w:t>
      </w:r>
      <w:r w:rsidRPr="00E91887">
        <w:rPr>
          <w:rFonts w:asciiTheme="majorHAnsi" w:hAnsiTheme="majorHAnsi" w:cstheme="majorHAnsi"/>
          <w:sz w:val="23"/>
          <w:szCs w:val="23"/>
        </w:rPr>
        <w:t xml:space="preserve"> and 21 in Whittington. The</w:t>
      </w:r>
      <w:r w:rsidR="004B2477">
        <w:rPr>
          <w:rFonts w:asciiTheme="majorHAnsi" w:hAnsiTheme="majorHAnsi" w:cstheme="majorHAnsi"/>
          <w:sz w:val="23"/>
          <w:szCs w:val="23"/>
        </w:rPr>
        <w:t>y</w:t>
      </w:r>
      <w:r w:rsidRPr="00E91887">
        <w:rPr>
          <w:rFonts w:asciiTheme="majorHAnsi" w:hAnsiTheme="majorHAnsi" w:cstheme="majorHAnsi"/>
          <w:sz w:val="23"/>
          <w:szCs w:val="23"/>
        </w:rPr>
        <w:t xml:space="preserve"> include everything from pharmacies</w:t>
      </w:r>
      <w:r w:rsidR="004B2477">
        <w:rPr>
          <w:rFonts w:asciiTheme="majorHAnsi" w:hAnsiTheme="majorHAnsi" w:cstheme="majorHAnsi"/>
          <w:sz w:val="23"/>
          <w:szCs w:val="23"/>
        </w:rPr>
        <w:t>,</w:t>
      </w:r>
      <w:r w:rsidRPr="00E91887">
        <w:rPr>
          <w:rFonts w:asciiTheme="majorHAnsi" w:hAnsiTheme="majorHAnsi" w:cstheme="majorHAnsi"/>
          <w:sz w:val="23"/>
          <w:szCs w:val="23"/>
        </w:rPr>
        <w:t xml:space="preserve"> community health centres</w:t>
      </w:r>
      <w:r w:rsidR="004B2477">
        <w:rPr>
          <w:rFonts w:asciiTheme="majorHAnsi" w:hAnsiTheme="majorHAnsi" w:cstheme="majorHAnsi"/>
          <w:sz w:val="23"/>
          <w:szCs w:val="23"/>
        </w:rPr>
        <w:t>,</w:t>
      </w:r>
      <w:r w:rsidRPr="00E91887">
        <w:rPr>
          <w:rFonts w:asciiTheme="majorHAnsi" w:hAnsiTheme="majorHAnsi" w:cstheme="majorHAnsi"/>
          <w:sz w:val="23"/>
          <w:szCs w:val="23"/>
        </w:rPr>
        <w:t xml:space="preserve"> and GP clinics</w:t>
      </w:r>
      <w:r w:rsidR="004B2477">
        <w:rPr>
          <w:rFonts w:asciiTheme="majorHAnsi" w:hAnsiTheme="majorHAnsi" w:cstheme="majorHAnsi"/>
          <w:sz w:val="23"/>
          <w:szCs w:val="23"/>
        </w:rPr>
        <w:t>,</w:t>
      </w:r>
      <w:r w:rsidRPr="00E91887">
        <w:rPr>
          <w:rFonts w:asciiTheme="majorHAnsi" w:hAnsiTheme="majorHAnsi" w:cstheme="majorHAnsi"/>
          <w:sz w:val="23"/>
          <w:szCs w:val="23"/>
        </w:rPr>
        <w:t xml:space="preserve"> to more specialist services (podiatry, dental, prosthetics). With Barwon North </w:t>
      </w:r>
      <w:r w:rsidR="004B2477">
        <w:rPr>
          <w:rFonts w:asciiTheme="majorHAnsi" w:hAnsiTheme="majorHAnsi" w:cstheme="majorHAnsi"/>
          <w:sz w:val="23"/>
          <w:szCs w:val="23"/>
        </w:rPr>
        <w:t xml:space="preserve">also </w:t>
      </w:r>
      <w:r w:rsidRPr="00E91887">
        <w:rPr>
          <w:rFonts w:asciiTheme="majorHAnsi" w:hAnsiTheme="majorHAnsi" w:cstheme="majorHAnsi"/>
          <w:sz w:val="23"/>
          <w:szCs w:val="23"/>
        </w:rPr>
        <w:t xml:space="preserve">serving the northern suburbs, </w:t>
      </w:r>
      <w:r w:rsidR="004B2477">
        <w:rPr>
          <w:rFonts w:asciiTheme="majorHAnsi" w:hAnsiTheme="majorHAnsi" w:cstheme="majorHAnsi"/>
          <w:sz w:val="23"/>
          <w:szCs w:val="23"/>
        </w:rPr>
        <w:t xml:space="preserve">at first glance health </w:t>
      </w:r>
      <w:r w:rsidRPr="00E91887">
        <w:rPr>
          <w:rFonts w:asciiTheme="majorHAnsi" w:hAnsiTheme="majorHAnsi" w:cstheme="majorHAnsi"/>
          <w:sz w:val="23"/>
          <w:szCs w:val="23"/>
        </w:rPr>
        <w:t xml:space="preserve">service provision </w:t>
      </w:r>
      <w:r w:rsidR="004B2477">
        <w:rPr>
          <w:rFonts w:asciiTheme="majorHAnsi" w:hAnsiTheme="majorHAnsi" w:cstheme="majorHAnsi"/>
          <w:sz w:val="23"/>
          <w:szCs w:val="23"/>
        </w:rPr>
        <w:t>would seem</w:t>
      </w:r>
      <w:r w:rsidRPr="00E91887">
        <w:rPr>
          <w:rFonts w:asciiTheme="majorHAnsi" w:hAnsiTheme="majorHAnsi" w:cstheme="majorHAnsi"/>
          <w:sz w:val="23"/>
          <w:szCs w:val="23"/>
        </w:rPr>
        <w:t xml:space="preserve"> adequate in the three areas. However, </w:t>
      </w:r>
      <w:r w:rsidR="004B2477">
        <w:rPr>
          <w:rFonts w:asciiTheme="majorHAnsi" w:hAnsiTheme="majorHAnsi" w:cstheme="majorHAnsi"/>
          <w:sz w:val="23"/>
          <w:szCs w:val="23"/>
        </w:rPr>
        <w:t>communities in th</w:t>
      </w:r>
      <w:r w:rsidR="00744543">
        <w:rPr>
          <w:rFonts w:asciiTheme="majorHAnsi" w:hAnsiTheme="majorHAnsi" w:cstheme="majorHAnsi"/>
          <w:sz w:val="23"/>
          <w:szCs w:val="23"/>
        </w:rPr>
        <w:t>ese</w:t>
      </w:r>
      <w:r w:rsidR="004B2477">
        <w:rPr>
          <w:rFonts w:asciiTheme="majorHAnsi" w:hAnsiTheme="majorHAnsi" w:cstheme="majorHAnsi"/>
          <w:sz w:val="23"/>
          <w:szCs w:val="23"/>
        </w:rPr>
        <w:t xml:space="preserve"> suburbs</w:t>
      </w:r>
      <w:r w:rsidRPr="00E91887">
        <w:rPr>
          <w:rFonts w:asciiTheme="majorHAnsi" w:hAnsiTheme="majorHAnsi" w:cstheme="majorHAnsi"/>
          <w:sz w:val="23"/>
          <w:szCs w:val="23"/>
        </w:rPr>
        <w:t xml:space="preserve"> </w:t>
      </w:r>
      <w:r w:rsidR="00744543">
        <w:rPr>
          <w:rFonts w:asciiTheme="majorHAnsi" w:hAnsiTheme="majorHAnsi" w:cstheme="majorHAnsi"/>
          <w:sz w:val="23"/>
          <w:szCs w:val="23"/>
        </w:rPr>
        <w:t>have some</w:t>
      </w:r>
      <w:r w:rsidRPr="00E91887">
        <w:rPr>
          <w:rFonts w:asciiTheme="majorHAnsi" w:hAnsiTheme="majorHAnsi" w:cstheme="majorHAnsi"/>
          <w:sz w:val="23"/>
          <w:szCs w:val="23"/>
        </w:rPr>
        <w:t xml:space="preserve"> significant health issues,</w:t>
      </w:r>
      <w:r w:rsidR="00744543">
        <w:rPr>
          <w:rFonts w:asciiTheme="majorHAnsi" w:hAnsiTheme="majorHAnsi" w:cstheme="majorHAnsi"/>
          <w:sz w:val="23"/>
          <w:szCs w:val="23"/>
        </w:rPr>
        <w:t xml:space="preserve"> which are</w:t>
      </w:r>
      <w:r w:rsidRPr="00E91887">
        <w:rPr>
          <w:rFonts w:asciiTheme="majorHAnsi" w:hAnsiTheme="majorHAnsi" w:cstheme="majorHAnsi"/>
          <w:sz w:val="23"/>
          <w:szCs w:val="23"/>
        </w:rPr>
        <w:t xml:space="preserve"> </w:t>
      </w:r>
      <w:r w:rsidR="00744543">
        <w:rPr>
          <w:rFonts w:asciiTheme="majorHAnsi" w:hAnsiTheme="majorHAnsi" w:cstheme="majorHAnsi"/>
          <w:sz w:val="23"/>
          <w:szCs w:val="23"/>
        </w:rPr>
        <w:t>demonstrated</w:t>
      </w:r>
      <w:r w:rsidRPr="00E91887">
        <w:rPr>
          <w:rFonts w:asciiTheme="majorHAnsi" w:hAnsiTheme="majorHAnsi" w:cstheme="majorHAnsi"/>
          <w:sz w:val="23"/>
          <w:szCs w:val="23"/>
        </w:rPr>
        <w:t xml:space="preserve"> by an array of indicators.</w:t>
      </w:r>
    </w:p>
    <w:p w14:paraId="5C5BBD9C" w14:textId="77777777" w:rsidR="00744543" w:rsidRPr="007307BF" w:rsidRDefault="00744543" w:rsidP="00744543">
      <w:pPr>
        <w:spacing w:after="0" w:line="240" w:lineRule="auto"/>
        <w:rPr>
          <w:rFonts w:cstheme="minorHAnsi"/>
          <w:b/>
          <w:bCs/>
          <w:sz w:val="12"/>
          <w:szCs w:val="12"/>
        </w:rPr>
      </w:pPr>
    </w:p>
    <w:p w14:paraId="2E2C44B8" w14:textId="1A163C90" w:rsidR="00B82C64" w:rsidRPr="00F01390" w:rsidRDefault="00BA70D7" w:rsidP="00B82C64">
      <w:pPr>
        <w:spacing w:after="0" w:line="276" w:lineRule="auto"/>
        <w:rPr>
          <w:rFonts w:asciiTheme="majorHAnsi" w:hAnsiTheme="majorHAnsi" w:cstheme="majorBidi"/>
          <w:sz w:val="23"/>
          <w:szCs w:val="23"/>
        </w:rPr>
      </w:pPr>
      <w:r w:rsidRPr="701B9583">
        <w:rPr>
          <w:rFonts w:asciiTheme="majorHAnsi" w:hAnsiTheme="majorHAnsi" w:cstheme="majorBidi"/>
          <w:sz w:val="23"/>
          <w:szCs w:val="23"/>
        </w:rPr>
        <w:t>Broadly speaking, the</w:t>
      </w:r>
      <w:r w:rsidR="00E84802" w:rsidRPr="701B9583">
        <w:rPr>
          <w:rFonts w:asciiTheme="majorHAnsi" w:hAnsiTheme="majorHAnsi" w:cstheme="majorBidi"/>
          <w:sz w:val="23"/>
          <w:szCs w:val="23"/>
        </w:rPr>
        <w:t xml:space="preserve"> activity and BMI</w:t>
      </w:r>
      <w:r w:rsidRPr="701B9583">
        <w:rPr>
          <w:rFonts w:asciiTheme="majorHAnsi" w:hAnsiTheme="majorHAnsi" w:cstheme="majorBidi"/>
          <w:sz w:val="23"/>
          <w:szCs w:val="23"/>
        </w:rPr>
        <w:t xml:space="preserve"> figures </w:t>
      </w:r>
      <w:r w:rsidR="00995073" w:rsidRPr="701B9583">
        <w:rPr>
          <w:rFonts w:asciiTheme="majorHAnsi" w:hAnsiTheme="majorHAnsi" w:cstheme="majorBidi"/>
          <w:sz w:val="23"/>
          <w:szCs w:val="23"/>
        </w:rPr>
        <w:t xml:space="preserve">above </w:t>
      </w:r>
      <w:r w:rsidRPr="701B9583">
        <w:rPr>
          <w:rFonts w:asciiTheme="majorHAnsi" w:hAnsiTheme="majorHAnsi" w:cstheme="majorBidi"/>
          <w:sz w:val="23"/>
          <w:szCs w:val="23"/>
        </w:rPr>
        <w:t xml:space="preserve">suggest </w:t>
      </w:r>
      <w:r w:rsidR="00E84802" w:rsidRPr="701B9583">
        <w:rPr>
          <w:rFonts w:asciiTheme="majorHAnsi" w:hAnsiTheme="majorHAnsi" w:cstheme="majorBidi"/>
          <w:sz w:val="23"/>
          <w:szCs w:val="23"/>
        </w:rPr>
        <w:t xml:space="preserve">relatively </w:t>
      </w:r>
      <w:r w:rsidRPr="701B9583">
        <w:rPr>
          <w:rFonts w:asciiTheme="majorHAnsi" w:hAnsiTheme="majorHAnsi" w:cstheme="majorBidi"/>
          <w:sz w:val="23"/>
          <w:szCs w:val="23"/>
        </w:rPr>
        <w:t xml:space="preserve">low levels of both physical activity and healthy eating behaviours within these communities. However, </w:t>
      </w:r>
      <w:r w:rsidR="00995073" w:rsidRPr="701B9583">
        <w:rPr>
          <w:rFonts w:asciiTheme="majorHAnsi" w:hAnsiTheme="majorHAnsi" w:cstheme="majorBidi"/>
          <w:sz w:val="23"/>
          <w:szCs w:val="23"/>
        </w:rPr>
        <w:t>there are likely to be</w:t>
      </w:r>
      <w:r w:rsidR="00F00E3D" w:rsidRPr="701B9583">
        <w:rPr>
          <w:rFonts w:asciiTheme="majorHAnsi" w:hAnsiTheme="majorHAnsi" w:cstheme="majorBidi"/>
          <w:sz w:val="23"/>
          <w:szCs w:val="23"/>
        </w:rPr>
        <w:t xml:space="preserve"> </w:t>
      </w:r>
      <w:r w:rsidR="00E84802" w:rsidRPr="701B9583">
        <w:rPr>
          <w:rFonts w:asciiTheme="majorHAnsi" w:hAnsiTheme="majorHAnsi" w:cstheme="majorBidi"/>
          <w:sz w:val="23"/>
          <w:szCs w:val="23"/>
        </w:rPr>
        <w:t>other contributing factors</w:t>
      </w:r>
      <w:r w:rsidR="00995073" w:rsidRPr="701B9583">
        <w:rPr>
          <w:rFonts w:asciiTheme="majorHAnsi" w:hAnsiTheme="majorHAnsi" w:cstheme="majorBidi"/>
          <w:sz w:val="23"/>
          <w:szCs w:val="23"/>
        </w:rPr>
        <w:t>, including structural inequalities and localised</w:t>
      </w:r>
      <w:r w:rsidR="00E84802" w:rsidRPr="701B9583">
        <w:rPr>
          <w:rFonts w:asciiTheme="majorHAnsi" w:hAnsiTheme="majorHAnsi" w:cstheme="majorBidi"/>
          <w:sz w:val="23"/>
          <w:szCs w:val="23"/>
        </w:rPr>
        <w:t xml:space="preserve"> </w:t>
      </w:r>
      <w:r w:rsidR="00995073" w:rsidRPr="701B9583">
        <w:rPr>
          <w:rFonts w:asciiTheme="majorHAnsi" w:hAnsiTheme="majorHAnsi" w:cstheme="majorBidi"/>
          <w:sz w:val="23"/>
          <w:szCs w:val="23"/>
        </w:rPr>
        <w:t xml:space="preserve">patterns of </w:t>
      </w:r>
      <w:r w:rsidR="00E84802" w:rsidRPr="701B9583">
        <w:rPr>
          <w:rFonts w:asciiTheme="majorHAnsi" w:hAnsiTheme="majorHAnsi" w:cstheme="majorBidi"/>
          <w:sz w:val="23"/>
          <w:szCs w:val="23"/>
        </w:rPr>
        <w:t>disadvantage in these areas</w:t>
      </w:r>
      <w:r w:rsidR="00995073" w:rsidRPr="701B9583">
        <w:rPr>
          <w:rFonts w:asciiTheme="majorHAnsi" w:hAnsiTheme="majorHAnsi" w:cstheme="majorBidi"/>
          <w:sz w:val="23"/>
          <w:szCs w:val="23"/>
        </w:rPr>
        <w:t>. T</w:t>
      </w:r>
      <w:r w:rsidR="00E84802" w:rsidRPr="701B9583">
        <w:rPr>
          <w:rFonts w:asciiTheme="majorHAnsi" w:hAnsiTheme="majorHAnsi" w:cstheme="majorBidi"/>
          <w:sz w:val="23"/>
          <w:szCs w:val="23"/>
        </w:rPr>
        <w:t>he</w:t>
      </w:r>
      <w:r w:rsidR="00995073" w:rsidRPr="701B9583">
        <w:rPr>
          <w:rFonts w:asciiTheme="majorHAnsi" w:hAnsiTheme="majorHAnsi" w:cstheme="majorBidi"/>
          <w:sz w:val="23"/>
          <w:szCs w:val="23"/>
        </w:rPr>
        <w:t>se include the</w:t>
      </w:r>
      <w:r w:rsidR="00E84802" w:rsidRPr="701B9583">
        <w:rPr>
          <w:rFonts w:asciiTheme="majorHAnsi" w:hAnsiTheme="majorHAnsi" w:cstheme="majorBidi"/>
          <w:sz w:val="23"/>
          <w:szCs w:val="23"/>
        </w:rPr>
        <w:t xml:space="preserve"> prevalence of </w:t>
      </w:r>
      <w:r w:rsidR="00F00E3D" w:rsidRPr="701B9583">
        <w:rPr>
          <w:rFonts w:asciiTheme="majorHAnsi" w:hAnsiTheme="majorHAnsi" w:cstheme="majorBidi"/>
          <w:sz w:val="23"/>
          <w:szCs w:val="23"/>
        </w:rPr>
        <w:t>low</w:t>
      </w:r>
      <w:r w:rsidR="00E84802" w:rsidRPr="701B9583">
        <w:rPr>
          <w:rFonts w:asciiTheme="majorHAnsi" w:hAnsiTheme="majorHAnsi" w:cstheme="majorBidi"/>
          <w:sz w:val="23"/>
          <w:szCs w:val="23"/>
        </w:rPr>
        <w:t>-</w:t>
      </w:r>
      <w:r w:rsidR="00F00E3D" w:rsidRPr="701B9583">
        <w:rPr>
          <w:rFonts w:asciiTheme="majorHAnsi" w:hAnsiTheme="majorHAnsi" w:cstheme="majorBidi"/>
          <w:sz w:val="23"/>
          <w:szCs w:val="23"/>
        </w:rPr>
        <w:t>income</w:t>
      </w:r>
      <w:r w:rsidR="00E84802" w:rsidRPr="701B9583">
        <w:rPr>
          <w:rFonts w:asciiTheme="majorHAnsi" w:hAnsiTheme="majorHAnsi" w:cstheme="majorBidi"/>
          <w:sz w:val="23"/>
          <w:szCs w:val="23"/>
        </w:rPr>
        <w:t xml:space="preserve"> household</w:t>
      </w:r>
      <w:r w:rsidR="00995073" w:rsidRPr="701B9583">
        <w:rPr>
          <w:rFonts w:asciiTheme="majorHAnsi" w:hAnsiTheme="majorHAnsi" w:cstheme="majorBidi"/>
          <w:sz w:val="23"/>
          <w:szCs w:val="23"/>
        </w:rPr>
        <w:t>s</w:t>
      </w:r>
      <w:r w:rsidR="00E84802" w:rsidRPr="701B9583">
        <w:rPr>
          <w:rFonts w:asciiTheme="majorHAnsi" w:hAnsiTheme="majorHAnsi" w:cstheme="majorBidi"/>
          <w:sz w:val="23"/>
          <w:szCs w:val="23"/>
        </w:rPr>
        <w:t xml:space="preserve">, </w:t>
      </w:r>
      <w:r w:rsidR="00995073" w:rsidRPr="701B9583">
        <w:rPr>
          <w:rFonts w:asciiTheme="majorHAnsi" w:hAnsiTheme="majorHAnsi" w:cstheme="majorBidi"/>
          <w:sz w:val="23"/>
          <w:szCs w:val="23"/>
        </w:rPr>
        <w:t xml:space="preserve">chronic health conditions, </w:t>
      </w:r>
      <w:r w:rsidRPr="701B9583">
        <w:rPr>
          <w:rFonts w:asciiTheme="majorHAnsi" w:hAnsiTheme="majorHAnsi" w:cstheme="majorBidi"/>
          <w:sz w:val="23"/>
          <w:szCs w:val="23"/>
        </w:rPr>
        <w:t xml:space="preserve">difficulties in </w:t>
      </w:r>
      <w:r w:rsidR="00E84802" w:rsidRPr="701B9583">
        <w:rPr>
          <w:rFonts w:asciiTheme="majorHAnsi" w:hAnsiTheme="majorHAnsi" w:cstheme="majorBidi"/>
          <w:sz w:val="23"/>
          <w:szCs w:val="23"/>
        </w:rPr>
        <w:t>obtaining</w:t>
      </w:r>
      <w:r w:rsidRPr="701B9583">
        <w:rPr>
          <w:rFonts w:asciiTheme="majorHAnsi" w:hAnsiTheme="majorHAnsi" w:cstheme="majorBidi"/>
          <w:sz w:val="23"/>
          <w:szCs w:val="23"/>
        </w:rPr>
        <w:t xml:space="preserve"> </w:t>
      </w:r>
      <w:r w:rsidR="00663407" w:rsidRPr="701B9583">
        <w:rPr>
          <w:rFonts w:asciiTheme="majorHAnsi" w:hAnsiTheme="majorHAnsi" w:cstheme="majorBidi"/>
          <w:sz w:val="23"/>
          <w:szCs w:val="23"/>
        </w:rPr>
        <w:t>healthy</w:t>
      </w:r>
      <w:r w:rsidRPr="701B9583">
        <w:rPr>
          <w:rFonts w:asciiTheme="majorHAnsi" w:hAnsiTheme="majorHAnsi" w:cstheme="majorBidi"/>
          <w:sz w:val="23"/>
          <w:szCs w:val="23"/>
        </w:rPr>
        <w:t xml:space="preserve"> food, </w:t>
      </w:r>
      <w:r w:rsidR="00E84802" w:rsidRPr="701B9583">
        <w:rPr>
          <w:rFonts w:asciiTheme="majorHAnsi" w:hAnsiTheme="majorHAnsi" w:cstheme="majorBidi"/>
          <w:sz w:val="23"/>
          <w:szCs w:val="23"/>
        </w:rPr>
        <w:t>mobility and transport challenges, low education levels, a</w:t>
      </w:r>
      <w:r w:rsidR="00F00E3D" w:rsidRPr="701B9583">
        <w:rPr>
          <w:rFonts w:asciiTheme="majorHAnsi" w:hAnsiTheme="majorHAnsi" w:cstheme="majorBidi"/>
          <w:sz w:val="23"/>
          <w:szCs w:val="23"/>
        </w:rPr>
        <w:t xml:space="preserve"> </w:t>
      </w:r>
      <w:r w:rsidR="00E84802" w:rsidRPr="701B9583">
        <w:rPr>
          <w:rFonts w:asciiTheme="majorHAnsi" w:hAnsiTheme="majorHAnsi" w:cstheme="majorBidi"/>
          <w:sz w:val="23"/>
          <w:szCs w:val="23"/>
        </w:rPr>
        <w:t xml:space="preserve">lack of welcoming and </w:t>
      </w:r>
      <w:r w:rsidR="00E84802" w:rsidRPr="701B9583">
        <w:rPr>
          <w:rFonts w:asciiTheme="majorHAnsi" w:hAnsiTheme="majorHAnsi" w:cstheme="majorBidi"/>
          <w:sz w:val="23"/>
          <w:szCs w:val="23"/>
        </w:rPr>
        <w:lastRenderedPageBreak/>
        <w:t>inclusive public spaces, and</w:t>
      </w:r>
      <w:r w:rsidR="00F00E3D" w:rsidRPr="701B9583">
        <w:rPr>
          <w:rFonts w:asciiTheme="majorHAnsi" w:hAnsiTheme="majorHAnsi" w:cstheme="majorBidi"/>
          <w:sz w:val="23"/>
          <w:szCs w:val="23"/>
        </w:rPr>
        <w:t xml:space="preserve"> what is widely perceived as an unsafe urban environment. </w:t>
      </w:r>
      <w:r w:rsidR="00995073" w:rsidRPr="701B9583">
        <w:rPr>
          <w:rFonts w:asciiTheme="majorHAnsi" w:hAnsiTheme="majorHAnsi" w:cstheme="majorBidi"/>
          <w:sz w:val="23"/>
          <w:szCs w:val="23"/>
        </w:rPr>
        <w:t>We can assume the</w:t>
      </w:r>
      <w:r w:rsidR="00E84802" w:rsidRPr="701B9583">
        <w:rPr>
          <w:rFonts w:asciiTheme="majorHAnsi" w:hAnsiTheme="majorHAnsi" w:cstheme="majorBidi"/>
          <w:sz w:val="23"/>
          <w:szCs w:val="23"/>
        </w:rPr>
        <w:t xml:space="preserve"> figures </w:t>
      </w:r>
      <w:r w:rsidR="00F00E3D" w:rsidRPr="701B9583">
        <w:rPr>
          <w:rFonts w:asciiTheme="majorHAnsi" w:hAnsiTheme="majorHAnsi" w:cstheme="majorBidi"/>
          <w:sz w:val="23"/>
          <w:szCs w:val="23"/>
        </w:rPr>
        <w:t xml:space="preserve">relating to self-perception and </w:t>
      </w:r>
      <w:r w:rsidR="00A87E47" w:rsidRPr="701B9583">
        <w:rPr>
          <w:rFonts w:asciiTheme="majorHAnsi" w:hAnsiTheme="majorHAnsi" w:cstheme="majorBidi"/>
          <w:sz w:val="23"/>
          <w:szCs w:val="23"/>
        </w:rPr>
        <w:t>psychological distress</w:t>
      </w:r>
      <w:r w:rsidR="00F00E3D" w:rsidRPr="701B9583">
        <w:rPr>
          <w:rFonts w:asciiTheme="majorHAnsi" w:hAnsiTheme="majorHAnsi" w:cstheme="majorBidi"/>
          <w:sz w:val="23"/>
          <w:szCs w:val="23"/>
        </w:rPr>
        <w:t xml:space="preserve"> </w:t>
      </w:r>
      <w:r w:rsidR="00995073" w:rsidRPr="701B9583">
        <w:rPr>
          <w:rFonts w:asciiTheme="majorHAnsi" w:hAnsiTheme="majorHAnsi" w:cstheme="majorBidi"/>
          <w:sz w:val="23"/>
          <w:szCs w:val="23"/>
        </w:rPr>
        <w:t xml:space="preserve">reflect the </w:t>
      </w:r>
      <w:r w:rsidR="00E84802" w:rsidRPr="701B9583">
        <w:rPr>
          <w:rFonts w:asciiTheme="majorHAnsi" w:hAnsiTheme="majorHAnsi" w:cstheme="majorBidi"/>
          <w:sz w:val="23"/>
          <w:szCs w:val="23"/>
        </w:rPr>
        <w:t>cumulative effect of these</w:t>
      </w:r>
      <w:r w:rsidR="00995073" w:rsidRPr="701B9583">
        <w:rPr>
          <w:rFonts w:asciiTheme="majorHAnsi" w:hAnsiTheme="majorHAnsi" w:cstheme="majorBidi"/>
          <w:sz w:val="23"/>
          <w:szCs w:val="23"/>
        </w:rPr>
        <w:t xml:space="preserve"> factors and others</w:t>
      </w:r>
      <w:r w:rsidR="00A87E47" w:rsidRPr="701B9583">
        <w:rPr>
          <w:rFonts w:asciiTheme="majorHAnsi" w:hAnsiTheme="majorHAnsi" w:cstheme="majorBidi"/>
          <w:sz w:val="23"/>
          <w:szCs w:val="23"/>
        </w:rPr>
        <w:t xml:space="preserve"> (including family violence)</w:t>
      </w:r>
      <w:r w:rsidR="00E84802" w:rsidRPr="701B9583">
        <w:rPr>
          <w:rFonts w:asciiTheme="majorHAnsi" w:hAnsiTheme="majorHAnsi" w:cstheme="majorBidi"/>
          <w:sz w:val="23"/>
          <w:szCs w:val="23"/>
        </w:rPr>
        <w:t>,</w:t>
      </w:r>
      <w:r w:rsidR="00995073" w:rsidRPr="701B9583">
        <w:rPr>
          <w:rFonts w:asciiTheme="majorHAnsi" w:hAnsiTheme="majorHAnsi" w:cstheme="majorBidi"/>
          <w:sz w:val="23"/>
          <w:szCs w:val="23"/>
        </w:rPr>
        <w:t xml:space="preserve"> and perhaps to some extent </w:t>
      </w:r>
      <w:r w:rsidR="00900C12" w:rsidRPr="701B9583">
        <w:rPr>
          <w:rFonts w:asciiTheme="majorHAnsi" w:hAnsiTheme="majorHAnsi" w:cstheme="majorBidi"/>
          <w:sz w:val="23"/>
          <w:szCs w:val="23"/>
        </w:rPr>
        <w:t xml:space="preserve">also </w:t>
      </w:r>
      <w:r w:rsidR="00F00E3D" w:rsidRPr="701B9583">
        <w:rPr>
          <w:rFonts w:asciiTheme="majorHAnsi" w:hAnsiTheme="majorHAnsi" w:cstheme="majorBidi"/>
          <w:sz w:val="23"/>
          <w:szCs w:val="23"/>
        </w:rPr>
        <w:t xml:space="preserve">the stigma </w:t>
      </w:r>
      <w:r w:rsidR="00995073" w:rsidRPr="701B9583">
        <w:rPr>
          <w:rFonts w:asciiTheme="majorHAnsi" w:hAnsiTheme="majorHAnsi" w:cstheme="majorBidi"/>
          <w:sz w:val="23"/>
          <w:szCs w:val="23"/>
        </w:rPr>
        <w:t>associated with</w:t>
      </w:r>
      <w:r w:rsidR="00F00E3D" w:rsidRPr="701B9583">
        <w:rPr>
          <w:rFonts w:asciiTheme="majorHAnsi" w:hAnsiTheme="majorHAnsi" w:cstheme="majorBidi"/>
          <w:sz w:val="23"/>
          <w:szCs w:val="23"/>
        </w:rPr>
        <w:t xml:space="preserve"> living in these </w:t>
      </w:r>
      <w:r w:rsidR="00995073" w:rsidRPr="701B9583">
        <w:rPr>
          <w:rFonts w:asciiTheme="majorHAnsi" w:hAnsiTheme="majorHAnsi" w:cstheme="majorBidi"/>
          <w:sz w:val="23"/>
          <w:szCs w:val="23"/>
        </w:rPr>
        <w:t>areas.</w:t>
      </w:r>
      <w:r w:rsidR="00F00E3D" w:rsidRPr="701B9583">
        <w:rPr>
          <w:rFonts w:asciiTheme="majorHAnsi" w:hAnsiTheme="majorHAnsi" w:cstheme="majorBidi"/>
          <w:sz w:val="23"/>
          <w:szCs w:val="23"/>
        </w:rPr>
        <w:t xml:space="preserve"> </w:t>
      </w:r>
      <w:r w:rsidR="00995073" w:rsidRPr="701B9583">
        <w:rPr>
          <w:rFonts w:asciiTheme="majorHAnsi" w:hAnsiTheme="majorHAnsi" w:cstheme="majorBidi"/>
          <w:sz w:val="23"/>
          <w:szCs w:val="23"/>
        </w:rPr>
        <w:t xml:space="preserve">Whatever the causes, there is clearly a need for </w:t>
      </w:r>
      <w:r w:rsidR="00F00E3D" w:rsidRPr="701B9583">
        <w:rPr>
          <w:rFonts w:asciiTheme="majorHAnsi" w:hAnsiTheme="majorHAnsi" w:cstheme="majorBidi"/>
          <w:sz w:val="23"/>
          <w:szCs w:val="23"/>
        </w:rPr>
        <w:t>more specialist mental health services – which were not overly abundant in the National Health Services listing.</w:t>
      </w:r>
    </w:p>
    <w:p w14:paraId="24435BD6" w14:textId="014DA1A5" w:rsidR="64143AF0" w:rsidRDefault="64143AF0" w:rsidP="701B9583">
      <w:pPr>
        <w:spacing w:after="0" w:line="276" w:lineRule="auto"/>
        <w:rPr>
          <w:rFonts w:asciiTheme="majorHAnsi" w:hAnsiTheme="majorHAnsi" w:cstheme="majorBidi"/>
          <w:sz w:val="12"/>
          <w:szCs w:val="12"/>
        </w:rPr>
      </w:pPr>
      <w:r w:rsidRPr="701B9583">
        <w:rPr>
          <w:rFonts w:asciiTheme="majorHAnsi" w:hAnsiTheme="majorHAnsi" w:cstheme="majorBidi"/>
          <w:sz w:val="12"/>
          <w:szCs w:val="12"/>
        </w:rPr>
        <w:t xml:space="preserve">   </w:t>
      </w:r>
    </w:p>
    <w:tbl>
      <w:tblPr>
        <w:tblStyle w:val="TableGrid"/>
        <w:tblW w:w="9555" w:type="dxa"/>
        <w:tblLook w:val="04A0" w:firstRow="1" w:lastRow="0" w:firstColumn="1" w:lastColumn="0" w:noHBand="0" w:noVBand="1"/>
      </w:tblPr>
      <w:tblGrid>
        <w:gridCol w:w="3078"/>
        <w:gridCol w:w="3064"/>
        <w:gridCol w:w="3413"/>
      </w:tblGrid>
      <w:tr w:rsidR="00B82C64" w:rsidRPr="00744543" w14:paraId="2B848DD7" w14:textId="77777777" w:rsidTr="00B25E3F">
        <w:trPr>
          <w:trHeight w:val="478"/>
        </w:trPr>
        <w:tc>
          <w:tcPr>
            <w:tcW w:w="3078" w:type="dxa"/>
            <w:shd w:val="clear" w:color="auto" w:fill="D0CECE" w:themeFill="background2" w:themeFillShade="E6"/>
            <w:vAlign w:val="center"/>
          </w:tcPr>
          <w:p w14:paraId="73551D62" w14:textId="77777777" w:rsidR="00B82C64" w:rsidRPr="00744543" w:rsidRDefault="00B82C64" w:rsidP="00B25E3F">
            <w:pPr>
              <w:spacing w:line="276" w:lineRule="auto"/>
              <w:rPr>
                <w:rFonts w:cstheme="minorHAnsi"/>
                <w:b/>
                <w:bCs/>
                <w:sz w:val="21"/>
                <w:szCs w:val="21"/>
              </w:rPr>
            </w:pPr>
            <w:r w:rsidRPr="00744543">
              <w:rPr>
                <w:rFonts w:cstheme="minorHAnsi"/>
                <w:b/>
                <w:bCs/>
                <w:sz w:val="21"/>
                <w:szCs w:val="21"/>
              </w:rPr>
              <w:t>Health Indicator</w:t>
            </w:r>
          </w:p>
        </w:tc>
        <w:tc>
          <w:tcPr>
            <w:tcW w:w="3064" w:type="dxa"/>
            <w:shd w:val="clear" w:color="auto" w:fill="D0CECE" w:themeFill="background2" w:themeFillShade="E6"/>
            <w:vAlign w:val="center"/>
          </w:tcPr>
          <w:p w14:paraId="235530F0" w14:textId="77777777" w:rsidR="00B82C64" w:rsidRPr="00744543" w:rsidRDefault="00B82C64" w:rsidP="00B25E3F">
            <w:pPr>
              <w:spacing w:line="276" w:lineRule="auto"/>
              <w:rPr>
                <w:rFonts w:cstheme="minorHAnsi"/>
                <w:b/>
                <w:bCs/>
                <w:sz w:val="21"/>
                <w:szCs w:val="21"/>
              </w:rPr>
            </w:pPr>
            <w:r w:rsidRPr="00744543">
              <w:rPr>
                <w:rFonts w:cstheme="minorHAnsi"/>
                <w:b/>
                <w:bCs/>
                <w:sz w:val="21"/>
                <w:szCs w:val="21"/>
              </w:rPr>
              <w:t>Corio-Norlane (13)</w:t>
            </w:r>
          </w:p>
        </w:tc>
        <w:tc>
          <w:tcPr>
            <w:tcW w:w="3413" w:type="dxa"/>
            <w:shd w:val="clear" w:color="auto" w:fill="D0CECE" w:themeFill="background2" w:themeFillShade="E6"/>
            <w:vAlign w:val="center"/>
          </w:tcPr>
          <w:p w14:paraId="1643363D" w14:textId="77777777" w:rsidR="00B82C64" w:rsidRPr="00744543" w:rsidRDefault="00B82C64" w:rsidP="00B25E3F">
            <w:pPr>
              <w:spacing w:line="276" w:lineRule="auto"/>
              <w:rPr>
                <w:rFonts w:cstheme="minorHAnsi"/>
                <w:b/>
                <w:bCs/>
                <w:sz w:val="21"/>
                <w:szCs w:val="21"/>
              </w:rPr>
            </w:pPr>
            <w:r w:rsidRPr="00744543">
              <w:rPr>
                <w:rFonts w:cstheme="minorHAnsi"/>
                <w:b/>
                <w:bCs/>
                <w:sz w:val="21"/>
                <w:szCs w:val="21"/>
              </w:rPr>
              <w:t>Whittington,</w:t>
            </w:r>
            <w:r w:rsidRPr="00744543">
              <w:rPr>
                <w:rFonts w:cstheme="minorHAnsi"/>
                <w:b/>
                <w:sz w:val="21"/>
                <w:szCs w:val="21"/>
              </w:rPr>
              <w:t xml:space="preserve"> Newcomb, Moolap</w:t>
            </w:r>
            <w:r w:rsidRPr="00744543">
              <w:rPr>
                <w:rFonts w:cstheme="minorHAnsi"/>
                <w:b/>
                <w:bCs/>
                <w:sz w:val="21"/>
                <w:szCs w:val="21"/>
              </w:rPr>
              <w:t xml:space="preserve"> (6)</w:t>
            </w:r>
          </w:p>
        </w:tc>
      </w:tr>
      <w:tr w:rsidR="00B82C64" w:rsidRPr="00744543" w14:paraId="1D9CA9F6" w14:textId="77777777" w:rsidTr="00B25E3F">
        <w:trPr>
          <w:trHeight w:val="620"/>
        </w:trPr>
        <w:tc>
          <w:tcPr>
            <w:tcW w:w="3078" w:type="dxa"/>
            <w:vAlign w:val="center"/>
          </w:tcPr>
          <w:p w14:paraId="1742361E"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Self-</w:t>
            </w:r>
            <w:r>
              <w:rPr>
                <w:rFonts w:asciiTheme="majorHAnsi" w:hAnsiTheme="majorHAnsi" w:cstheme="majorHAnsi"/>
                <w:sz w:val="21"/>
                <w:szCs w:val="21"/>
              </w:rPr>
              <w:t>R</w:t>
            </w:r>
            <w:r w:rsidRPr="00744543">
              <w:rPr>
                <w:rFonts w:asciiTheme="majorHAnsi" w:hAnsiTheme="majorHAnsi" w:cstheme="majorHAnsi"/>
                <w:sz w:val="21"/>
                <w:szCs w:val="21"/>
              </w:rPr>
              <w:t xml:space="preserve">ated </w:t>
            </w:r>
            <w:r>
              <w:rPr>
                <w:rFonts w:asciiTheme="majorHAnsi" w:hAnsiTheme="majorHAnsi" w:cstheme="majorHAnsi"/>
                <w:sz w:val="21"/>
                <w:szCs w:val="21"/>
              </w:rPr>
              <w:t>H</w:t>
            </w:r>
            <w:r w:rsidRPr="00744543">
              <w:rPr>
                <w:rFonts w:asciiTheme="majorHAnsi" w:hAnsiTheme="majorHAnsi" w:cstheme="majorHAnsi"/>
                <w:sz w:val="21"/>
                <w:szCs w:val="21"/>
              </w:rPr>
              <w:t>ealth</w:t>
            </w:r>
            <w:r>
              <w:rPr>
                <w:rFonts w:asciiTheme="majorHAnsi" w:hAnsiTheme="majorHAnsi" w:cstheme="majorHAnsi"/>
                <w:sz w:val="21"/>
                <w:szCs w:val="21"/>
              </w:rPr>
              <w:t>:</w:t>
            </w:r>
            <w:r w:rsidRPr="00744543">
              <w:rPr>
                <w:rFonts w:asciiTheme="majorHAnsi" w:hAnsiTheme="majorHAnsi" w:cstheme="majorHAnsi"/>
                <w:sz w:val="21"/>
                <w:szCs w:val="21"/>
              </w:rPr>
              <w:t xml:space="preserve"> Fair to Poor (%)</w:t>
            </w:r>
          </w:p>
        </w:tc>
        <w:tc>
          <w:tcPr>
            <w:tcW w:w="3064" w:type="dxa"/>
            <w:vAlign w:val="center"/>
          </w:tcPr>
          <w:p w14:paraId="6222DB89"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21.2</w:t>
            </w:r>
          </w:p>
        </w:tc>
        <w:tc>
          <w:tcPr>
            <w:tcW w:w="3413" w:type="dxa"/>
            <w:vAlign w:val="center"/>
          </w:tcPr>
          <w:p w14:paraId="6E4D1146"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18.4</w:t>
            </w:r>
          </w:p>
        </w:tc>
      </w:tr>
      <w:tr w:rsidR="00B82C64" w:rsidRPr="00744543" w14:paraId="7613D90A" w14:textId="77777777" w:rsidTr="00B25E3F">
        <w:trPr>
          <w:trHeight w:val="620"/>
        </w:trPr>
        <w:tc>
          <w:tcPr>
            <w:tcW w:w="3078" w:type="dxa"/>
            <w:vAlign w:val="center"/>
          </w:tcPr>
          <w:p w14:paraId="1E30FBD7"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 xml:space="preserve">Physical </w:t>
            </w:r>
            <w:r>
              <w:rPr>
                <w:rFonts w:asciiTheme="majorHAnsi" w:hAnsiTheme="majorHAnsi" w:cstheme="majorHAnsi"/>
                <w:sz w:val="21"/>
                <w:szCs w:val="21"/>
              </w:rPr>
              <w:t>A</w:t>
            </w:r>
            <w:r w:rsidRPr="00744543">
              <w:rPr>
                <w:rFonts w:asciiTheme="majorHAnsi" w:hAnsiTheme="majorHAnsi" w:cstheme="majorHAnsi"/>
                <w:sz w:val="21"/>
                <w:szCs w:val="21"/>
              </w:rPr>
              <w:t>ctivity</w:t>
            </w:r>
            <w:r>
              <w:rPr>
                <w:rFonts w:asciiTheme="majorHAnsi" w:hAnsiTheme="majorHAnsi" w:cstheme="majorHAnsi"/>
                <w:sz w:val="21"/>
                <w:szCs w:val="21"/>
              </w:rPr>
              <w:t>:</w:t>
            </w:r>
            <w:r w:rsidRPr="00744543">
              <w:rPr>
                <w:rFonts w:asciiTheme="majorHAnsi" w:hAnsiTheme="majorHAnsi" w:cstheme="majorHAnsi"/>
                <w:sz w:val="21"/>
                <w:szCs w:val="21"/>
              </w:rPr>
              <w:t xml:space="preserve"> Sedentary (%)</w:t>
            </w:r>
          </w:p>
        </w:tc>
        <w:tc>
          <w:tcPr>
            <w:tcW w:w="3064" w:type="dxa"/>
            <w:vAlign w:val="center"/>
          </w:tcPr>
          <w:p w14:paraId="583A26CB"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22.6</w:t>
            </w:r>
          </w:p>
        </w:tc>
        <w:tc>
          <w:tcPr>
            <w:tcW w:w="3413" w:type="dxa"/>
            <w:vAlign w:val="center"/>
          </w:tcPr>
          <w:p w14:paraId="49EF22B8"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14.1</w:t>
            </w:r>
          </w:p>
        </w:tc>
      </w:tr>
      <w:tr w:rsidR="00B82C64" w:rsidRPr="00744543" w14:paraId="570153BC" w14:textId="77777777" w:rsidTr="00B25E3F">
        <w:trPr>
          <w:trHeight w:val="620"/>
        </w:trPr>
        <w:tc>
          <w:tcPr>
            <w:tcW w:w="3078" w:type="dxa"/>
            <w:vAlign w:val="center"/>
          </w:tcPr>
          <w:p w14:paraId="727A398F"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Overweight (via BMI)</w:t>
            </w:r>
          </w:p>
        </w:tc>
        <w:tc>
          <w:tcPr>
            <w:tcW w:w="3064" w:type="dxa"/>
            <w:vAlign w:val="center"/>
          </w:tcPr>
          <w:p w14:paraId="55FF1690"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25.9</w:t>
            </w:r>
          </w:p>
        </w:tc>
        <w:tc>
          <w:tcPr>
            <w:tcW w:w="3413" w:type="dxa"/>
            <w:vAlign w:val="center"/>
          </w:tcPr>
          <w:p w14:paraId="361176A4"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47.0</w:t>
            </w:r>
          </w:p>
        </w:tc>
      </w:tr>
      <w:tr w:rsidR="00B82C64" w:rsidRPr="00744543" w14:paraId="38585003" w14:textId="77777777" w:rsidTr="00B25E3F">
        <w:trPr>
          <w:trHeight w:val="620"/>
        </w:trPr>
        <w:tc>
          <w:tcPr>
            <w:tcW w:w="3078" w:type="dxa"/>
            <w:vAlign w:val="center"/>
          </w:tcPr>
          <w:p w14:paraId="68F62B30"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Obese (via BMI)</w:t>
            </w:r>
          </w:p>
        </w:tc>
        <w:tc>
          <w:tcPr>
            <w:tcW w:w="3064" w:type="dxa"/>
            <w:vAlign w:val="center"/>
          </w:tcPr>
          <w:p w14:paraId="46E3ACC0"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28.4</w:t>
            </w:r>
          </w:p>
        </w:tc>
        <w:tc>
          <w:tcPr>
            <w:tcW w:w="3413" w:type="dxa"/>
            <w:vAlign w:val="center"/>
          </w:tcPr>
          <w:p w14:paraId="27671333"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29.5</w:t>
            </w:r>
          </w:p>
        </w:tc>
      </w:tr>
      <w:tr w:rsidR="00B82C64" w:rsidRPr="00744543" w14:paraId="1BAE58B2" w14:textId="77777777" w:rsidTr="00B25E3F">
        <w:trPr>
          <w:trHeight w:val="620"/>
        </w:trPr>
        <w:tc>
          <w:tcPr>
            <w:tcW w:w="3078" w:type="dxa"/>
            <w:vAlign w:val="center"/>
          </w:tcPr>
          <w:p w14:paraId="2F025DAE" w14:textId="77777777" w:rsidR="00B82C64" w:rsidRDefault="00B82C64" w:rsidP="00B25E3F">
            <w:pPr>
              <w:spacing w:after="0" w:line="240" w:lineRule="auto"/>
              <w:rPr>
                <w:rFonts w:asciiTheme="majorHAnsi" w:hAnsiTheme="majorHAnsi" w:cstheme="majorHAnsi"/>
                <w:sz w:val="21"/>
                <w:szCs w:val="21"/>
              </w:rPr>
            </w:pPr>
            <w:r w:rsidRPr="00744543">
              <w:rPr>
                <w:rFonts w:asciiTheme="majorHAnsi" w:hAnsiTheme="majorHAnsi" w:cstheme="majorHAnsi"/>
                <w:sz w:val="21"/>
                <w:szCs w:val="21"/>
              </w:rPr>
              <w:t xml:space="preserve">Psychological </w:t>
            </w:r>
            <w:r>
              <w:rPr>
                <w:rFonts w:asciiTheme="majorHAnsi" w:hAnsiTheme="majorHAnsi" w:cstheme="majorHAnsi"/>
                <w:sz w:val="21"/>
                <w:szCs w:val="21"/>
              </w:rPr>
              <w:t>D</w:t>
            </w:r>
            <w:r w:rsidRPr="00744543">
              <w:rPr>
                <w:rFonts w:asciiTheme="majorHAnsi" w:hAnsiTheme="majorHAnsi" w:cstheme="majorHAnsi"/>
                <w:sz w:val="21"/>
                <w:szCs w:val="21"/>
              </w:rPr>
              <w:t>istress</w:t>
            </w:r>
          </w:p>
          <w:p w14:paraId="08D0A6D8" w14:textId="77777777" w:rsidR="00B82C64" w:rsidRPr="00744543" w:rsidRDefault="00B82C64" w:rsidP="00B25E3F">
            <w:pPr>
              <w:spacing w:after="0" w:line="240" w:lineRule="auto"/>
              <w:rPr>
                <w:rFonts w:asciiTheme="majorHAnsi" w:hAnsiTheme="majorHAnsi" w:cstheme="majorHAnsi"/>
                <w:sz w:val="21"/>
                <w:szCs w:val="21"/>
              </w:rPr>
            </w:pPr>
            <w:r w:rsidRPr="00744543">
              <w:rPr>
                <w:rFonts w:asciiTheme="majorHAnsi" w:hAnsiTheme="majorHAnsi" w:cstheme="majorHAnsi"/>
                <w:sz w:val="21"/>
                <w:szCs w:val="21"/>
              </w:rPr>
              <w:t xml:space="preserve">(% High or Very </w:t>
            </w:r>
            <w:r>
              <w:rPr>
                <w:rFonts w:asciiTheme="majorHAnsi" w:hAnsiTheme="majorHAnsi" w:cstheme="majorHAnsi"/>
                <w:sz w:val="21"/>
                <w:szCs w:val="21"/>
              </w:rPr>
              <w:t>H</w:t>
            </w:r>
            <w:r w:rsidRPr="00744543">
              <w:rPr>
                <w:rFonts w:asciiTheme="majorHAnsi" w:hAnsiTheme="majorHAnsi" w:cstheme="majorHAnsi"/>
                <w:sz w:val="21"/>
                <w:szCs w:val="21"/>
              </w:rPr>
              <w:t>igh)</w:t>
            </w:r>
          </w:p>
        </w:tc>
        <w:tc>
          <w:tcPr>
            <w:tcW w:w="3064" w:type="dxa"/>
            <w:vAlign w:val="center"/>
          </w:tcPr>
          <w:p w14:paraId="479D5CA6"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21.3</w:t>
            </w:r>
          </w:p>
        </w:tc>
        <w:tc>
          <w:tcPr>
            <w:tcW w:w="3413" w:type="dxa"/>
            <w:vAlign w:val="center"/>
          </w:tcPr>
          <w:p w14:paraId="7AF81E46"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12.0</w:t>
            </w:r>
          </w:p>
        </w:tc>
      </w:tr>
      <w:tr w:rsidR="00B82C64" w:rsidRPr="00744543" w14:paraId="2566B8E2" w14:textId="77777777" w:rsidTr="00B25E3F">
        <w:trPr>
          <w:trHeight w:val="620"/>
        </w:trPr>
        <w:tc>
          <w:tcPr>
            <w:tcW w:w="3078" w:type="dxa"/>
            <w:vAlign w:val="center"/>
          </w:tcPr>
          <w:p w14:paraId="0A8D627C" w14:textId="77777777" w:rsidR="00B82C64" w:rsidRDefault="00B82C64" w:rsidP="00B25E3F">
            <w:pPr>
              <w:spacing w:after="0" w:line="240" w:lineRule="auto"/>
              <w:rPr>
                <w:rFonts w:asciiTheme="majorHAnsi" w:hAnsiTheme="majorHAnsi" w:cstheme="majorHAnsi"/>
                <w:sz w:val="21"/>
                <w:szCs w:val="21"/>
              </w:rPr>
            </w:pPr>
            <w:r w:rsidRPr="00744543">
              <w:rPr>
                <w:rFonts w:asciiTheme="majorHAnsi" w:hAnsiTheme="majorHAnsi" w:cstheme="majorHAnsi"/>
                <w:sz w:val="21"/>
                <w:szCs w:val="21"/>
              </w:rPr>
              <w:t>Life Satisfaction</w:t>
            </w:r>
          </w:p>
          <w:p w14:paraId="6D07DCE7" w14:textId="77777777" w:rsidR="00B82C64" w:rsidRPr="00744543" w:rsidRDefault="00B82C64" w:rsidP="00B25E3F">
            <w:pPr>
              <w:spacing w:after="0" w:line="240" w:lineRule="auto"/>
              <w:rPr>
                <w:rFonts w:asciiTheme="majorHAnsi" w:hAnsiTheme="majorHAnsi" w:cstheme="majorHAnsi"/>
                <w:sz w:val="21"/>
                <w:szCs w:val="21"/>
              </w:rPr>
            </w:pPr>
            <w:r>
              <w:rPr>
                <w:rFonts w:asciiTheme="majorHAnsi" w:hAnsiTheme="majorHAnsi" w:cstheme="majorHAnsi"/>
                <w:sz w:val="21"/>
                <w:szCs w:val="21"/>
              </w:rPr>
              <w:t xml:space="preserve">(% </w:t>
            </w:r>
            <w:r w:rsidRPr="00744543">
              <w:rPr>
                <w:rFonts w:asciiTheme="majorHAnsi" w:hAnsiTheme="majorHAnsi" w:cstheme="majorHAnsi"/>
                <w:sz w:val="21"/>
                <w:szCs w:val="21"/>
              </w:rPr>
              <w:t>High to Very High</w:t>
            </w:r>
            <w:r>
              <w:rPr>
                <w:rFonts w:asciiTheme="majorHAnsi" w:hAnsiTheme="majorHAnsi" w:cstheme="majorHAnsi"/>
                <w:sz w:val="21"/>
                <w:szCs w:val="21"/>
              </w:rPr>
              <w:t>)</w:t>
            </w:r>
          </w:p>
        </w:tc>
        <w:tc>
          <w:tcPr>
            <w:tcW w:w="3064" w:type="dxa"/>
            <w:vAlign w:val="center"/>
          </w:tcPr>
          <w:p w14:paraId="61B26A0D"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68.1</w:t>
            </w:r>
          </w:p>
        </w:tc>
        <w:tc>
          <w:tcPr>
            <w:tcW w:w="3413" w:type="dxa"/>
            <w:vAlign w:val="center"/>
          </w:tcPr>
          <w:p w14:paraId="149B505D" w14:textId="77777777" w:rsidR="00B82C64" w:rsidRPr="00744543" w:rsidRDefault="00B82C64" w:rsidP="00B25E3F">
            <w:pPr>
              <w:spacing w:line="240" w:lineRule="auto"/>
              <w:rPr>
                <w:rFonts w:asciiTheme="majorHAnsi" w:hAnsiTheme="majorHAnsi" w:cstheme="majorHAnsi"/>
                <w:sz w:val="21"/>
                <w:szCs w:val="21"/>
              </w:rPr>
            </w:pPr>
            <w:r w:rsidRPr="00744543">
              <w:rPr>
                <w:rFonts w:asciiTheme="majorHAnsi" w:hAnsiTheme="majorHAnsi" w:cstheme="majorHAnsi"/>
                <w:sz w:val="21"/>
                <w:szCs w:val="21"/>
              </w:rPr>
              <w:t>83.2</w:t>
            </w:r>
          </w:p>
        </w:tc>
      </w:tr>
    </w:tbl>
    <w:p w14:paraId="70CF794F" w14:textId="5BB5163A" w:rsidR="00B82C64" w:rsidRPr="00744543" w:rsidRDefault="00B82C64" w:rsidP="00B82C64">
      <w:pPr>
        <w:spacing w:after="0" w:line="240" w:lineRule="auto"/>
        <w:rPr>
          <w:rFonts w:cstheme="minorHAnsi"/>
          <w:b/>
          <w:sz w:val="21"/>
          <w:szCs w:val="21"/>
        </w:rPr>
      </w:pPr>
      <w:r w:rsidRPr="00744543">
        <w:rPr>
          <w:rFonts w:cstheme="minorHAnsi"/>
          <w:b/>
          <w:sz w:val="21"/>
          <w:szCs w:val="21"/>
        </w:rPr>
        <w:t xml:space="preserve">Table </w:t>
      </w:r>
      <w:r>
        <w:rPr>
          <w:rFonts w:cstheme="minorHAnsi"/>
          <w:b/>
          <w:sz w:val="21"/>
          <w:szCs w:val="21"/>
        </w:rPr>
        <w:t>7</w:t>
      </w:r>
      <w:r w:rsidRPr="00744543">
        <w:rPr>
          <w:rFonts w:cstheme="minorHAnsi"/>
          <w:b/>
          <w:sz w:val="21"/>
          <w:szCs w:val="21"/>
        </w:rPr>
        <w:t>.1</w:t>
      </w:r>
      <w:r w:rsidR="007A7618">
        <w:rPr>
          <w:rFonts w:cstheme="minorHAnsi"/>
          <w:b/>
          <w:sz w:val="21"/>
          <w:szCs w:val="21"/>
        </w:rPr>
        <w:t>3</w:t>
      </w:r>
      <w:r w:rsidRPr="00744543">
        <w:rPr>
          <w:rFonts w:cstheme="minorHAnsi"/>
          <w:b/>
          <w:sz w:val="21"/>
          <w:szCs w:val="21"/>
        </w:rPr>
        <w:t>: Health Indicators for Planning Areas 13 (Corio–No</w:t>
      </w:r>
      <w:r>
        <w:rPr>
          <w:rFonts w:cstheme="minorHAnsi"/>
          <w:b/>
          <w:sz w:val="21"/>
          <w:szCs w:val="21"/>
        </w:rPr>
        <w:t>r</w:t>
      </w:r>
      <w:r w:rsidRPr="00744543">
        <w:rPr>
          <w:rFonts w:cstheme="minorHAnsi"/>
          <w:b/>
          <w:sz w:val="21"/>
          <w:szCs w:val="21"/>
        </w:rPr>
        <w:t>lane) and 6 (Whittington, Newcomb, Moolap)</w:t>
      </w:r>
    </w:p>
    <w:p w14:paraId="626DC947" w14:textId="77777777" w:rsidR="00B82C64" w:rsidRPr="00744543" w:rsidRDefault="00B82C64" w:rsidP="00B82C64">
      <w:pPr>
        <w:spacing w:after="0" w:line="240" w:lineRule="auto"/>
        <w:rPr>
          <w:rFonts w:cstheme="minorHAnsi"/>
          <w:b/>
          <w:noProof/>
          <w:sz w:val="21"/>
          <w:szCs w:val="21"/>
        </w:rPr>
      </w:pPr>
      <w:r w:rsidRPr="00744543">
        <w:rPr>
          <w:rFonts w:cstheme="minorHAnsi"/>
          <w:b/>
          <w:noProof/>
          <w:sz w:val="21"/>
          <w:szCs w:val="21"/>
        </w:rPr>
        <w:t>(Source: City of Greater Geelong, 2020–2023)</w:t>
      </w:r>
    </w:p>
    <w:p w14:paraId="3CBCB303" w14:textId="77777777" w:rsidR="00B82C64" w:rsidRPr="00853850" w:rsidRDefault="00B82C64" w:rsidP="00B82C64">
      <w:pPr>
        <w:spacing w:after="0" w:line="276" w:lineRule="auto"/>
        <w:rPr>
          <w:rFonts w:asciiTheme="majorHAnsi" w:hAnsiTheme="majorHAnsi" w:cstheme="majorHAnsi"/>
          <w:sz w:val="16"/>
          <w:szCs w:val="16"/>
        </w:rPr>
      </w:pPr>
    </w:p>
    <w:p w14:paraId="63A3E91B" w14:textId="640D4984" w:rsidR="00663407" w:rsidRPr="00927CD1" w:rsidRDefault="00853850" w:rsidP="00B82C64">
      <w:pPr>
        <w:spacing w:line="276" w:lineRule="auto"/>
        <w:rPr>
          <w:rFonts w:asciiTheme="majorHAnsi" w:hAnsiTheme="majorHAnsi" w:cstheme="majorHAnsi"/>
          <w:sz w:val="23"/>
          <w:szCs w:val="23"/>
        </w:rPr>
      </w:pPr>
      <w:r w:rsidRPr="218BA1B0">
        <w:rPr>
          <w:rFonts w:asciiTheme="majorHAnsi" w:hAnsiTheme="majorHAnsi" w:cstheme="majorBidi"/>
          <w:sz w:val="23"/>
          <w:szCs w:val="23"/>
        </w:rPr>
        <w:t>Limited a</w:t>
      </w:r>
      <w:r w:rsidR="00A87E47" w:rsidRPr="218BA1B0">
        <w:rPr>
          <w:rFonts w:asciiTheme="majorHAnsi" w:hAnsiTheme="majorHAnsi" w:cstheme="majorBidi"/>
          <w:sz w:val="23"/>
          <w:szCs w:val="23"/>
        </w:rPr>
        <w:t>ccess</w:t>
      </w:r>
      <w:r w:rsidR="00CA52E3" w:rsidRPr="218BA1B0">
        <w:rPr>
          <w:rFonts w:asciiTheme="majorHAnsi" w:hAnsiTheme="majorHAnsi" w:cstheme="majorBidi"/>
          <w:sz w:val="23"/>
          <w:szCs w:val="23"/>
        </w:rPr>
        <w:t xml:space="preserve"> to</w:t>
      </w:r>
      <w:r w:rsidR="00F00E3D" w:rsidRPr="218BA1B0">
        <w:rPr>
          <w:rFonts w:asciiTheme="majorHAnsi" w:hAnsiTheme="majorHAnsi" w:cstheme="majorBidi"/>
          <w:sz w:val="23"/>
          <w:szCs w:val="23"/>
        </w:rPr>
        <w:t xml:space="preserve"> </w:t>
      </w:r>
      <w:r w:rsidR="00A87E47" w:rsidRPr="218BA1B0">
        <w:rPr>
          <w:rFonts w:asciiTheme="majorHAnsi" w:hAnsiTheme="majorHAnsi" w:cstheme="majorBidi"/>
          <w:sz w:val="23"/>
          <w:szCs w:val="23"/>
        </w:rPr>
        <w:t xml:space="preserve">nutritious </w:t>
      </w:r>
      <w:r w:rsidRPr="218BA1B0">
        <w:rPr>
          <w:rFonts w:asciiTheme="majorHAnsi" w:hAnsiTheme="majorHAnsi" w:cstheme="majorBidi"/>
          <w:sz w:val="23"/>
          <w:szCs w:val="23"/>
        </w:rPr>
        <w:t xml:space="preserve">and </w:t>
      </w:r>
      <w:r w:rsidR="00A87E47" w:rsidRPr="218BA1B0">
        <w:rPr>
          <w:rFonts w:asciiTheme="majorHAnsi" w:hAnsiTheme="majorHAnsi" w:cstheme="majorBidi"/>
          <w:sz w:val="23"/>
          <w:szCs w:val="23"/>
        </w:rPr>
        <w:t>fresh</w:t>
      </w:r>
      <w:r w:rsidR="00F00E3D" w:rsidRPr="218BA1B0">
        <w:rPr>
          <w:rFonts w:asciiTheme="majorHAnsi" w:hAnsiTheme="majorHAnsi" w:cstheme="majorBidi"/>
          <w:sz w:val="23"/>
          <w:szCs w:val="23"/>
        </w:rPr>
        <w:t xml:space="preserve"> food</w:t>
      </w:r>
      <w:r w:rsidR="00A87E47" w:rsidRPr="218BA1B0">
        <w:rPr>
          <w:rFonts w:asciiTheme="majorHAnsi" w:hAnsiTheme="majorHAnsi" w:cstheme="majorBidi"/>
          <w:sz w:val="23"/>
          <w:szCs w:val="23"/>
        </w:rPr>
        <w:t xml:space="preserve"> is </w:t>
      </w:r>
      <w:r w:rsidR="00B82C64" w:rsidRPr="218BA1B0">
        <w:rPr>
          <w:rFonts w:asciiTheme="majorHAnsi" w:hAnsiTheme="majorHAnsi" w:cstheme="majorBidi"/>
          <w:sz w:val="23"/>
          <w:szCs w:val="23"/>
        </w:rPr>
        <w:t>an identified</w:t>
      </w:r>
      <w:r w:rsidRPr="218BA1B0">
        <w:rPr>
          <w:rFonts w:asciiTheme="majorHAnsi" w:hAnsiTheme="majorHAnsi" w:cstheme="majorBidi"/>
          <w:sz w:val="23"/>
          <w:szCs w:val="23"/>
        </w:rPr>
        <w:t xml:space="preserve"> problem</w:t>
      </w:r>
      <w:r w:rsidR="00B82C64" w:rsidRPr="218BA1B0">
        <w:rPr>
          <w:rFonts w:asciiTheme="majorHAnsi" w:hAnsiTheme="majorHAnsi" w:cstheme="majorBidi"/>
          <w:sz w:val="23"/>
          <w:szCs w:val="23"/>
        </w:rPr>
        <w:t xml:space="preserve"> in the three</w:t>
      </w:r>
      <w:r w:rsidR="00A87E47" w:rsidRPr="218BA1B0">
        <w:rPr>
          <w:rFonts w:asciiTheme="majorHAnsi" w:hAnsiTheme="majorHAnsi" w:cstheme="majorBidi"/>
          <w:sz w:val="23"/>
          <w:szCs w:val="23"/>
        </w:rPr>
        <w:t xml:space="preserve"> localities</w:t>
      </w:r>
      <w:r w:rsidR="00F00E3D" w:rsidRPr="218BA1B0">
        <w:rPr>
          <w:rFonts w:asciiTheme="majorHAnsi" w:hAnsiTheme="majorHAnsi" w:cstheme="majorBidi"/>
          <w:sz w:val="23"/>
          <w:szCs w:val="23"/>
        </w:rPr>
        <w:t>. Both the Norlane Community Centre and the Bellarine Living and Learning Centres have regular and well</w:t>
      </w:r>
      <w:r w:rsidR="00A87E47" w:rsidRPr="218BA1B0">
        <w:rPr>
          <w:rFonts w:asciiTheme="majorHAnsi" w:hAnsiTheme="majorHAnsi" w:cstheme="majorBidi"/>
          <w:sz w:val="23"/>
          <w:szCs w:val="23"/>
        </w:rPr>
        <w:t>-</w:t>
      </w:r>
      <w:r w:rsidR="00F00E3D" w:rsidRPr="218BA1B0">
        <w:rPr>
          <w:rFonts w:asciiTheme="majorHAnsi" w:hAnsiTheme="majorHAnsi" w:cstheme="majorBidi"/>
          <w:sz w:val="23"/>
          <w:szCs w:val="23"/>
        </w:rPr>
        <w:t>supported food banks</w:t>
      </w:r>
      <w:r w:rsidR="00A87E47" w:rsidRPr="218BA1B0">
        <w:rPr>
          <w:rFonts w:asciiTheme="majorHAnsi" w:hAnsiTheme="majorHAnsi" w:cstheme="majorBidi"/>
          <w:sz w:val="23"/>
          <w:szCs w:val="23"/>
        </w:rPr>
        <w:t>. Several organisations run c</w:t>
      </w:r>
      <w:r w:rsidR="00F00E3D" w:rsidRPr="218BA1B0">
        <w:rPr>
          <w:rFonts w:asciiTheme="majorHAnsi" w:hAnsiTheme="majorHAnsi" w:cstheme="majorBidi"/>
          <w:sz w:val="23"/>
          <w:szCs w:val="23"/>
        </w:rPr>
        <w:t>ommunity gardens</w:t>
      </w:r>
      <w:r w:rsidR="00A87E47" w:rsidRPr="218BA1B0">
        <w:rPr>
          <w:rFonts w:asciiTheme="majorHAnsi" w:hAnsiTheme="majorHAnsi" w:cstheme="majorBidi"/>
          <w:sz w:val="23"/>
          <w:szCs w:val="23"/>
        </w:rPr>
        <w:t xml:space="preserve"> or urban farms that make a valuable contribution to local food security,</w:t>
      </w:r>
      <w:r w:rsidR="00F00E3D" w:rsidRPr="218BA1B0">
        <w:rPr>
          <w:rFonts w:asciiTheme="majorHAnsi" w:hAnsiTheme="majorHAnsi" w:cstheme="majorBidi"/>
          <w:sz w:val="23"/>
          <w:szCs w:val="23"/>
        </w:rPr>
        <w:t xml:space="preserve"> </w:t>
      </w:r>
      <w:r w:rsidR="00A87E47" w:rsidRPr="218BA1B0">
        <w:rPr>
          <w:rFonts w:asciiTheme="majorHAnsi" w:hAnsiTheme="majorHAnsi" w:cstheme="majorBidi"/>
          <w:sz w:val="23"/>
          <w:szCs w:val="23"/>
        </w:rPr>
        <w:t>including Norlane Community Initiative</w:t>
      </w:r>
      <w:r w:rsidR="00663407" w:rsidRPr="218BA1B0">
        <w:rPr>
          <w:rFonts w:asciiTheme="majorHAnsi" w:hAnsiTheme="majorHAnsi" w:cstheme="majorBidi"/>
          <w:sz w:val="23"/>
          <w:szCs w:val="23"/>
        </w:rPr>
        <w:t>s</w:t>
      </w:r>
      <w:r w:rsidR="00A87E47" w:rsidRPr="218BA1B0">
        <w:rPr>
          <w:rFonts w:asciiTheme="majorHAnsi" w:hAnsiTheme="majorHAnsi" w:cstheme="majorBidi"/>
          <w:sz w:val="23"/>
          <w:szCs w:val="23"/>
        </w:rPr>
        <w:t>,</w:t>
      </w:r>
      <w:r w:rsidR="00F00E3D" w:rsidRPr="218BA1B0">
        <w:rPr>
          <w:rFonts w:asciiTheme="majorHAnsi" w:hAnsiTheme="majorHAnsi" w:cstheme="majorBidi"/>
          <w:sz w:val="23"/>
          <w:szCs w:val="23"/>
        </w:rPr>
        <w:t xml:space="preserve"> Cloverdale Community Centre, Diversitat, Norlane Baptist Church</w:t>
      </w:r>
      <w:r w:rsidR="00A87E47" w:rsidRPr="218BA1B0">
        <w:rPr>
          <w:rFonts w:asciiTheme="majorHAnsi" w:hAnsiTheme="majorHAnsi" w:cstheme="majorBidi"/>
          <w:sz w:val="23"/>
          <w:szCs w:val="23"/>
        </w:rPr>
        <w:t>, Encompass, and</w:t>
      </w:r>
      <w:r w:rsidR="00F00E3D" w:rsidRPr="218BA1B0">
        <w:rPr>
          <w:rFonts w:asciiTheme="majorHAnsi" w:hAnsiTheme="majorHAnsi" w:cstheme="majorBidi"/>
          <w:sz w:val="23"/>
          <w:szCs w:val="23"/>
        </w:rPr>
        <w:t xml:space="preserve"> the Hope Community Garden at the Northern Hub. But the health indicators above suggest </w:t>
      </w:r>
      <w:r w:rsidR="00A87E47" w:rsidRPr="218BA1B0">
        <w:rPr>
          <w:rFonts w:asciiTheme="majorHAnsi" w:hAnsiTheme="majorHAnsi" w:cstheme="majorBidi"/>
          <w:sz w:val="23"/>
          <w:szCs w:val="23"/>
        </w:rPr>
        <w:t xml:space="preserve">a need to extend </w:t>
      </w:r>
      <w:r w:rsidR="00663407" w:rsidRPr="218BA1B0">
        <w:rPr>
          <w:rFonts w:asciiTheme="majorHAnsi" w:hAnsiTheme="majorHAnsi" w:cstheme="majorBidi"/>
          <w:sz w:val="23"/>
          <w:szCs w:val="23"/>
        </w:rPr>
        <w:t>up</w:t>
      </w:r>
      <w:r w:rsidR="00A87E47" w:rsidRPr="218BA1B0">
        <w:rPr>
          <w:rFonts w:asciiTheme="majorHAnsi" w:hAnsiTheme="majorHAnsi" w:cstheme="majorBidi"/>
          <w:sz w:val="23"/>
          <w:szCs w:val="23"/>
        </w:rPr>
        <w:t xml:space="preserve">on </w:t>
      </w:r>
      <w:r w:rsidR="00CA52E3" w:rsidRPr="218BA1B0">
        <w:rPr>
          <w:rFonts w:asciiTheme="majorHAnsi" w:hAnsiTheme="majorHAnsi" w:cstheme="majorBidi"/>
          <w:sz w:val="23"/>
          <w:szCs w:val="23"/>
        </w:rPr>
        <w:t xml:space="preserve">these </w:t>
      </w:r>
      <w:r w:rsidR="00A87E47" w:rsidRPr="218BA1B0">
        <w:rPr>
          <w:rFonts w:asciiTheme="majorHAnsi" w:hAnsiTheme="majorHAnsi" w:cstheme="majorBidi"/>
          <w:sz w:val="23"/>
          <w:szCs w:val="23"/>
        </w:rPr>
        <w:t>existing programs</w:t>
      </w:r>
      <w:r w:rsidR="00F00E3D" w:rsidRPr="218BA1B0">
        <w:rPr>
          <w:rFonts w:asciiTheme="majorHAnsi" w:hAnsiTheme="majorHAnsi" w:cstheme="majorBidi"/>
          <w:sz w:val="23"/>
          <w:szCs w:val="23"/>
        </w:rPr>
        <w:t>, perhaps ad</w:t>
      </w:r>
      <w:r w:rsidR="00A87E47" w:rsidRPr="218BA1B0">
        <w:rPr>
          <w:rFonts w:asciiTheme="majorHAnsi" w:hAnsiTheme="majorHAnsi" w:cstheme="majorBidi"/>
          <w:sz w:val="23"/>
          <w:szCs w:val="23"/>
        </w:rPr>
        <w:t>a</w:t>
      </w:r>
      <w:r w:rsidR="00F00E3D" w:rsidRPr="218BA1B0">
        <w:rPr>
          <w:rFonts w:asciiTheme="majorHAnsi" w:hAnsiTheme="majorHAnsi" w:cstheme="majorBidi"/>
          <w:sz w:val="23"/>
          <w:szCs w:val="23"/>
        </w:rPr>
        <w:t xml:space="preserve">pting </w:t>
      </w:r>
      <w:r w:rsidR="00A87E47" w:rsidRPr="218BA1B0">
        <w:rPr>
          <w:rFonts w:asciiTheme="majorHAnsi" w:hAnsiTheme="majorHAnsi" w:cstheme="majorBidi"/>
          <w:sz w:val="23"/>
          <w:szCs w:val="23"/>
        </w:rPr>
        <w:t xml:space="preserve">some of the </w:t>
      </w:r>
      <w:r w:rsidR="00663407" w:rsidRPr="218BA1B0">
        <w:rPr>
          <w:rFonts w:asciiTheme="majorHAnsi" w:hAnsiTheme="majorHAnsi" w:cstheme="majorBidi"/>
          <w:sz w:val="23"/>
          <w:szCs w:val="23"/>
        </w:rPr>
        <w:t xml:space="preserve">models and </w:t>
      </w:r>
      <w:r w:rsidR="00A87E47" w:rsidRPr="218BA1B0">
        <w:rPr>
          <w:rFonts w:asciiTheme="majorHAnsi" w:hAnsiTheme="majorHAnsi" w:cstheme="majorBidi"/>
          <w:sz w:val="23"/>
          <w:szCs w:val="23"/>
        </w:rPr>
        <w:t>approaches</w:t>
      </w:r>
      <w:r w:rsidR="00663407" w:rsidRPr="218BA1B0">
        <w:rPr>
          <w:rFonts w:asciiTheme="majorHAnsi" w:hAnsiTheme="majorHAnsi" w:cstheme="majorBidi"/>
          <w:sz w:val="23"/>
          <w:szCs w:val="23"/>
        </w:rPr>
        <w:t xml:space="preserve"> documented in Section 5: </w:t>
      </w:r>
      <w:r w:rsidR="00AD2DA5" w:rsidRPr="218BA1B0">
        <w:rPr>
          <w:rFonts w:asciiTheme="majorHAnsi" w:hAnsiTheme="majorHAnsi" w:cstheme="majorBidi"/>
          <w:sz w:val="23"/>
          <w:szCs w:val="23"/>
        </w:rPr>
        <w:t>Case Studies</w:t>
      </w:r>
      <w:r w:rsidR="00F00E3D" w:rsidRPr="218BA1B0">
        <w:rPr>
          <w:rFonts w:asciiTheme="majorHAnsi" w:hAnsiTheme="majorHAnsi" w:cstheme="majorBidi"/>
          <w:sz w:val="23"/>
          <w:szCs w:val="23"/>
        </w:rPr>
        <w:t xml:space="preserve"> </w:t>
      </w:r>
      <w:r w:rsidR="00663407" w:rsidRPr="218BA1B0">
        <w:rPr>
          <w:rFonts w:asciiTheme="majorHAnsi" w:hAnsiTheme="majorHAnsi" w:cstheme="majorBidi"/>
          <w:sz w:val="23"/>
          <w:szCs w:val="23"/>
        </w:rPr>
        <w:t>(London’s Story Garden/</w:t>
      </w:r>
      <w:r w:rsidR="00F00E3D" w:rsidRPr="218BA1B0">
        <w:rPr>
          <w:rFonts w:asciiTheme="majorHAnsi" w:hAnsiTheme="majorHAnsi" w:cstheme="majorBidi"/>
          <w:sz w:val="23"/>
          <w:szCs w:val="23"/>
        </w:rPr>
        <w:t>S</w:t>
      </w:r>
      <w:r w:rsidR="00663407" w:rsidRPr="218BA1B0">
        <w:rPr>
          <w:rFonts w:asciiTheme="majorHAnsi" w:hAnsiTheme="majorHAnsi" w:cstheme="majorBidi"/>
          <w:sz w:val="23"/>
          <w:szCs w:val="23"/>
        </w:rPr>
        <w:t>k</w:t>
      </w:r>
      <w:r w:rsidR="00F00E3D" w:rsidRPr="218BA1B0">
        <w:rPr>
          <w:rFonts w:asciiTheme="majorHAnsi" w:hAnsiTheme="majorHAnsi" w:cstheme="majorBidi"/>
          <w:sz w:val="23"/>
          <w:szCs w:val="23"/>
        </w:rPr>
        <w:t>ip Garden and Kitchen</w:t>
      </w:r>
      <w:r w:rsidR="00663407" w:rsidRPr="218BA1B0">
        <w:rPr>
          <w:rFonts w:asciiTheme="majorHAnsi" w:hAnsiTheme="majorHAnsi" w:cstheme="majorBidi"/>
          <w:sz w:val="23"/>
          <w:szCs w:val="23"/>
        </w:rPr>
        <w:t>, Oslo Living Lab’s Rooftop Garden, Fawkner Commons, and Nourishing Landscapes)</w:t>
      </w:r>
      <w:r w:rsidR="00F00E3D" w:rsidRPr="218BA1B0">
        <w:rPr>
          <w:rFonts w:asciiTheme="majorHAnsi" w:hAnsiTheme="majorHAnsi" w:cstheme="majorBidi"/>
          <w:sz w:val="23"/>
          <w:szCs w:val="23"/>
        </w:rPr>
        <w:t xml:space="preserve">. </w:t>
      </w:r>
      <w:r w:rsidR="00663407" w:rsidRPr="218BA1B0">
        <w:rPr>
          <w:rFonts w:asciiTheme="majorHAnsi" w:hAnsiTheme="majorHAnsi" w:cstheme="majorBidi"/>
          <w:sz w:val="23"/>
          <w:szCs w:val="23"/>
        </w:rPr>
        <w:t>In collaboration with</w:t>
      </w:r>
      <w:r w:rsidR="00F00E3D" w:rsidRPr="218BA1B0">
        <w:rPr>
          <w:rFonts w:asciiTheme="majorHAnsi" w:hAnsiTheme="majorHAnsi" w:cstheme="majorBidi"/>
          <w:sz w:val="23"/>
          <w:szCs w:val="23"/>
        </w:rPr>
        <w:t xml:space="preserve"> existing </w:t>
      </w:r>
      <w:r w:rsidR="00663407" w:rsidRPr="218BA1B0">
        <w:rPr>
          <w:rFonts w:asciiTheme="majorHAnsi" w:hAnsiTheme="majorHAnsi" w:cstheme="majorBidi"/>
          <w:sz w:val="23"/>
          <w:szCs w:val="23"/>
        </w:rPr>
        <w:t xml:space="preserve">organisations, </w:t>
      </w:r>
      <w:r w:rsidR="001B7DDF" w:rsidRPr="218BA1B0">
        <w:rPr>
          <w:rFonts w:asciiTheme="majorHAnsi" w:hAnsiTheme="majorHAnsi" w:cstheme="majorBidi"/>
          <w:sz w:val="23"/>
          <w:szCs w:val="23"/>
        </w:rPr>
        <w:t>CoGG</w:t>
      </w:r>
      <w:r w:rsidR="00663407" w:rsidRPr="218BA1B0">
        <w:rPr>
          <w:rFonts w:asciiTheme="majorHAnsi" w:hAnsiTheme="majorHAnsi" w:cstheme="majorBidi"/>
          <w:sz w:val="23"/>
          <w:szCs w:val="23"/>
        </w:rPr>
        <w:t xml:space="preserve"> could </w:t>
      </w:r>
      <w:r w:rsidR="00CA52E3" w:rsidRPr="218BA1B0">
        <w:rPr>
          <w:rFonts w:asciiTheme="majorHAnsi" w:hAnsiTheme="majorHAnsi" w:cstheme="majorBidi"/>
          <w:sz w:val="23"/>
          <w:szCs w:val="23"/>
        </w:rPr>
        <w:t xml:space="preserve">also </w:t>
      </w:r>
      <w:r w:rsidR="00F00E3D" w:rsidRPr="218BA1B0">
        <w:rPr>
          <w:rFonts w:asciiTheme="majorHAnsi" w:hAnsiTheme="majorHAnsi" w:cstheme="majorBidi"/>
          <w:sz w:val="23"/>
          <w:szCs w:val="23"/>
        </w:rPr>
        <w:t>explore the development of support programs for households to grow their own f</w:t>
      </w:r>
      <w:r w:rsidR="00663407" w:rsidRPr="218BA1B0">
        <w:rPr>
          <w:rFonts w:asciiTheme="majorHAnsi" w:hAnsiTheme="majorHAnsi" w:cstheme="majorBidi"/>
          <w:sz w:val="23"/>
          <w:szCs w:val="23"/>
        </w:rPr>
        <w:t>resh produce</w:t>
      </w:r>
      <w:r w:rsidR="00F00E3D" w:rsidRPr="218BA1B0">
        <w:rPr>
          <w:rFonts w:asciiTheme="majorHAnsi" w:hAnsiTheme="majorHAnsi" w:cstheme="majorBidi"/>
          <w:sz w:val="23"/>
          <w:szCs w:val="23"/>
        </w:rPr>
        <w:t>.</w:t>
      </w:r>
    </w:p>
    <w:p w14:paraId="51ED4F53" w14:textId="1A4C241B" w:rsidR="00F00E3D" w:rsidRPr="00927CD1" w:rsidRDefault="00F00E3D" w:rsidP="00927CD1">
      <w:pPr>
        <w:spacing w:line="276" w:lineRule="auto"/>
        <w:rPr>
          <w:rFonts w:eastAsiaTheme="majorEastAsia" w:cstheme="minorHAnsi"/>
          <w:b/>
          <w:color w:val="2F5496" w:themeColor="accent1" w:themeShade="BF"/>
          <w:sz w:val="25"/>
          <w:szCs w:val="25"/>
        </w:rPr>
      </w:pPr>
      <w:r w:rsidRPr="00927CD1">
        <w:rPr>
          <w:rFonts w:eastAsiaTheme="majorEastAsia" w:cstheme="minorHAnsi"/>
          <w:b/>
          <w:color w:val="2F5496" w:themeColor="accent1" w:themeShade="BF"/>
          <w:sz w:val="25"/>
          <w:szCs w:val="25"/>
        </w:rPr>
        <w:t>Liveability</w:t>
      </w:r>
    </w:p>
    <w:p w14:paraId="7611D155" w14:textId="1FE995B2" w:rsidR="007307BF" w:rsidRDefault="00CA52E3" w:rsidP="00927CD1">
      <w:pPr>
        <w:spacing w:line="276" w:lineRule="auto"/>
        <w:rPr>
          <w:rFonts w:asciiTheme="majorHAnsi" w:eastAsiaTheme="majorEastAsia" w:hAnsiTheme="majorHAnsi" w:cstheme="majorBidi"/>
          <w:sz w:val="23"/>
          <w:szCs w:val="23"/>
        </w:rPr>
      </w:pPr>
      <w:r w:rsidRPr="701B9583">
        <w:rPr>
          <w:rFonts w:asciiTheme="majorHAnsi" w:eastAsiaTheme="majorEastAsia" w:hAnsiTheme="majorHAnsi" w:cstheme="majorBidi"/>
          <w:sz w:val="23"/>
          <w:szCs w:val="23"/>
        </w:rPr>
        <w:t xml:space="preserve">As </w:t>
      </w:r>
      <w:r w:rsidR="00927CD1" w:rsidRPr="701B9583">
        <w:rPr>
          <w:rFonts w:asciiTheme="majorHAnsi" w:eastAsiaTheme="majorEastAsia" w:hAnsiTheme="majorHAnsi" w:cstheme="majorBidi"/>
          <w:sz w:val="23"/>
          <w:szCs w:val="23"/>
        </w:rPr>
        <w:t>discussed in</w:t>
      </w:r>
      <w:r w:rsidRPr="701B9583">
        <w:rPr>
          <w:rFonts w:asciiTheme="majorHAnsi" w:eastAsiaTheme="majorEastAsia" w:hAnsiTheme="majorHAnsi" w:cstheme="majorBidi"/>
          <w:sz w:val="23"/>
          <w:szCs w:val="23"/>
        </w:rPr>
        <w:t xml:space="preserve"> Part A</w:t>
      </w:r>
      <w:r w:rsidR="00927CD1" w:rsidRPr="701B9583">
        <w:rPr>
          <w:rFonts w:asciiTheme="majorHAnsi" w:eastAsiaTheme="majorEastAsia" w:hAnsiTheme="majorHAnsi" w:cstheme="majorBidi"/>
          <w:sz w:val="23"/>
          <w:szCs w:val="23"/>
        </w:rPr>
        <w:t>, “liveability” has been defined in various ways</w:t>
      </w:r>
      <w:r w:rsidRPr="701B9583">
        <w:rPr>
          <w:rFonts w:asciiTheme="majorHAnsi" w:eastAsiaTheme="majorEastAsia" w:hAnsiTheme="majorHAnsi" w:cstheme="majorBidi"/>
          <w:sz w:val="23"/>
          <w:szCs w:val="23"/>
        </w:rPr>
        <w:t xml:space="preserve"> (see p.</w:t>
      </w:r>
      <w:r w:rsidR="00AD2DA5" w:rsidRPr="701B9583">
        <w:rPr>
          <w:rFonts w:asciiTheme="majorHAnsi" w:eastAsiaTheme="majorEastAsia" w:hAnsiTheme="majorHAnsi" w:cstheme="majorBidi"/>
          <w:sz w:val="23"/>
          <w:szCs w:val="23"/>
        </w:rPr>
        <w:t xml:space="preserve"> </w:t>
      </w:r>
      <w:r w:rsidRPr="701B9583">
        <w:rPr>
          <w:rFonts w:asciiTheme="majorHAnsi" w:eastAsiaTheme="majorEastAsia" w:hAnsiTheme="majorHAnsi" w:cstheme="majorBidi"/>
          <w:sz w:val="23"/>
          <w:szCs w:val="23"/>
        </w:rPr>
        <w:t>2)</w:t>
      </w:r>
      <w:r w:rsidR="00927CD1" w:rsidRPr="701B9583">
        <w:rPr>
          <w:rFonts w:asciiTheme="majorHAnsi" w:eastAsiaTheme="majorEastAsia" w:hAnsiTheme="majorHAnsi" w:cstheme="majorBidi"/>
          <w:sz w:val="23"/>
          <w:szCs w:val="23"/>
        </w:rPr>
        <w:t>. For the purposes of this study, the “L</w:t>
      </w:r>
      <w:r w:rsidRPr="701B9583">
        <w:rPr>
          <w:rFonts w:asciiTheme="majorHAnsi" w:eastAsiaTheme="majorEastAsia" w:hAnsiTheme="majorHAnsi" w:cstheme="majorBidi"/>
          <w:sz w:val="23"/>
          <w:szCs w:val="23"/>
        </w:rPr>
        <w:t>iveability</w:t>
      </w:r>
      <w:r w:rsidR="00927CD1" w:rsidRPr="701B9583">
        <w:rPr>
          <w:rFonts w:asciiTheme="majorHAnsi" w:eastAsiaTheme="majorEastAsia" w:hAnsiTheme="majorHAnsi" w:cstheme="majorBidi"/>
          <w:sz w:val="23"/>
          <w:szCs w:val="23"/>
        </w:rPr>
        <w:t xml:space="preserve">” </w:t>
      </w:r>
      <w:r w:rsidR="00D95573" w:rsidRPr="701B9583">
        <w:rPr>
          <w:rFonts w:asciiTheme="majorHAnsi" w:eastAsiaTheme="majorEastAsia" w:hAnsiTheme="majorHAnsi" w:cstheme="majorBidi"/>
          <w:sz w:val="23"/>
          <w:szCs w:val="23"/>
        </w:rPr>
        <w:t>Practice Domain</w:t>
      </w:r>
      <w:r w:rsidRPr="701B9583">
        <w:rPr>
          <w:rFonts w:asciiTheme="majorHAnsi" w:eastAsiaTheme="majorEastAsia" w:hAnsiTheme="majorHAnsi" w:cstheme="majorBidi"/>
          <w:sz w:val="23"/>
          <w:szCs w:val="23"/>
        </w:rPr>
        <w:t xml:space="preserve"> is used to </w:t>
      </w:r>
      <w:r w:rsidR="00927CD1" w:rsidRPr="701B9583">
        <w:rPr>
          <w:rFonts w:asciiTheme="majorHAnsi" w:eastAsiaTheme="majorEastAsia" w:hAnsiTheme="majorHAnsi" w:cstheme="majorBidi"/>
          <w:sz w:val="23"/>
          <w:szCs w:val="23"/>
        </w:rPr>
        <w:t>capture</w:t>
      </w:r>
      <w:r w:rsidRPr="701B9583">
        <w:rPr>
          <w:rFonts w:asciiTheme="majorHAnsi" w:eastAsiaTheme="majorEastAsia" w:hAnsiTheme="majorHAnsi" w:cstheme="majorBidi"/>
          <w:sz w:val="23"/>
          <w:szCs w:val="23"/>
        </w:rPr>
        <w:t xml:space="preserve"> a range of important local features and characteristics not already captured by the other four </w:t>
      </w:r>
      <w:r w:rsidR="00927CD1" w:rsidRPr="701B9583">
        <w:rPr>
          <w:rFonts w:asciiTheme="majorHAnsi" w:eastAsiaTheme="majorEastAsia" w:hAnsiTheme="majorHAnsi" w:cstheme="majorBidi"/>
          <w:sz w:val="23"/>
          <w:szCs w:val="23"/>
        </w:rPr>
        <w:t>domains</w:t>
      </w:r>
      <w:r w:rsidRPr="701B9583">
        <w:rPr>
          <w:rFonts w:asciiTheme="majorHAnsi" w:eastAsiaTheme="majorEastAsia" w:hAnsiTheme="majorHAnsi" w:cstheme="majorBidi"/>
          <w:sz w:val="23"/>
          <w:szCs w:val="23"/>
        </w:rPr>
        <w:t xml:space="preserve">. </w:t>
      </w:r>
      <w:r w:rsidR="00927CD1" w:rsidRPr="701B9583">
        <w:rPr>
          <w:rFonts w:asciiTheme="majorHAnsi" w:eastAsiaTheme="majorEastAsia" w:hAnsiTheme="majorHAnsi" w:cstheme="majorBidi"/>
          <w:sz w:val="23"/>
          <w:szCs w:val="23"/>
        </w:rPr>
        <w:t>Liveability thus</w:t>
      </w:r>
      <w:r w:rsidRPr="701B9583">
        <w:rPr>
          <w:rFonts w:asciiTheme="majorHAnsi" w:eastAsiaTheme="majorEastAsia" w:hAnsiTheme="majorHAnsi" w:cstheme="majorBidi"/>
          <w:sz w:val="23"/>
          <w:szCs w:val="23"/>
        </w:rPr>
        <w:t xml:space="preserve"> include</w:t>
      </w:r>
      <w:r w:rsidR="00927CD1" w:rsidRPr="701B9583">
        <w:rPr>
          <w:rFonts w:asciiTheme="majorHAnsi" w:eastAsiaTheme="majorEastAsia" w:hAnsiTheme="majorHAnsi" w:cstheme="majorBidi"/>
          <w:sz w:val="23"/>
          <w:szCs w:val="23"/>
        </w:rPr>
        <w:t>s</w:t>
      </w:r>
      <w:r w:rsidRPr="701B9583">
        <w:rPr>
          <w:rFonts w:asciiTheme="majorHAnsi" w:eastAsiaTheme="majorEastAsia" w:hAnsiTheme="majorHAnsi" w:cstheme="majorBidi"/>
          <w:sz w:val="23"/>
          <w:szCs w:val="23"/>
        </w:rPr>
        <w:t xml:space="preserve"> the following: public open space, transport, walkability, accessibility, sustainability, safety, digital inclusion, arts and cultural organisations and venues, other local amenities (shops, eateries, community facilities, public events, leisure options, significant places), </w:t>
      </w:r>
      <w:r w:rsidR="00927CD1" w:rsidRPr="701B9583">
        <w:rPr>
          <w:rFonts w:asciiTheme="majorHAnsi" w:eastAsiaTheme="majorEastAsia" w:hAnsiTheme="majorHAnsi" w:cstheme="majorBidi"/>
          <w:sz w:val="23"/>
          <w:szCs w:val="23"/>
        </w:rPr>
        <w:t xml:space="preserve">social infrastructure, </w:t>
      </w:r>
      <w:r w:rsidRPr="701B9583">
        <w:rPr>
          <w:rFonts w:asciiTheme="majorHAnsi" w:eastAsiaTheme="majorEastAsia" w:hAnsiTheme="majorHAnsi" w:cstheme="majorBidi"/>
          <w:sz w:val="23"/>
          <w:szCs w:val="23"/>
        </w:rPr>
        <w:t>and intangible community assets (social networks</w:t>
      </w:r>
      <w:r w:rsidR="00927CD1" w:rsidRPr="701B9583">
        <w:rPr>
          <w:rFonts w:asciiTheme="majorHAnsi" w:eastAsiaTheme="majorEastAsia" w:hAnsiTheme="majorHAnsi" w:cstheme="majorBidi"/>
          <w:sz w:val="23"/>
          <w:szCs w:val="23"/>
        </w:rPr>
        <w:t>,</w:t>
      </w:r>
      <w:r w:rsidRPr="701B9583">
        <w:rPr>
          <w:rFonts w:asciiTheme="majorHAnsi" w:eastAsiaTheme="majorEastAsia" w:hAnsiTheme="majorHAnsi" w:cstheme="majorBidi"/>
          <w:sz w:val="23"/>
          <w:szCs w:val="23"/>
        </w:rPr>
        <w:t xml:space="preserve"> social capital, community knowledge, sense of belonging, place attachment)</w:t>
      </w:r>
      <w:r w:rsidR="00927CD1" w:rsidRPr="701B9583">
        <w:rPr>
          <w:rFonts w:asciiTheme="majorHAnsi" w:eastAsiaTheme="majorEastAsia" w:hAnsiTheme="majorHAnsi" w:cstheme="majorBidi"/>
          <w:sz w:val="23"/>
          <w:szCs w:val="23"/>
        </w:rPr>
        <w:t>. Here we discuss some key liveability issues that emerged in the research conducted for this section of the report.</w:t>
      </w:r>
    </w:p>
    <w:p w14:paraId="2193013E" w14:textId="77777777" w:rsidR="007307BF" w:rsidRDefault="007307BF">
      <w:pPr>
        <w:spacing w:after="0" w:line="240" w:lineRule="auto"/>
        <w:rPr>
          <w:rFonts w:asciiTheme="majorHAnsi" w:eastAsiaTheme="majorEastAsia" w:hAnsiTheme="majorHAnsi" w:cstheme="majorHAnsi"/>
          <w:bCs/>
          <w:sz w:val="23"/>
          <w:szCs w:val="23"/>
        </w:rPr>
      </w:pPr>
      <w:r>
        <w:rPr>
          <w:rFonts w:asciiTheme="majorHAnsi" w:eastAsiaTheme="majorEastAsia" w:hAnsiTheme="majorHAnsi" w:cstheme="majorHAnsi"/>
          <w:bCs/>
          <w:sz w:val="23"/>
          <w:szCs w:val="23"/>
        </w:rPr>
        <w:br w:type="page"/>
      </w:r>
    </w:p>
    <w:p w14:paraId="18090B15" w14:textId="2E86CDCA" w:rsidR="00F00E3D" w:rsidRPr="00927CD1" w:rsidRDefault="00F00E3D" w:rsidP="00927CD1">
      <w:pPr>
        <w:spacing w:line="276" w:lineRule="auto"/>
        <w:rPr>
          <w:rFonts w:cstheme="minorHAnsi"/>
          <w:b/>
          <w:bCs/>
          <w:sz w:val="23"/>
          <w:szCs w:val="23"/>
        </w:rPr>
      </w:pPr>
      <w:r w:rsidRPr="00927CD1">
        <w:rPr>
          <w:rFonts w:cstheme="minorHAnsi"/>
          <w:b/>
          <w:bCs/>
          <w:sz w:val="23"/>
          <w:szCs w:val="23"/>
        </w:rPr>
        <w:lastRenderedPageBreak/>
        <w:t>Mobility</w:t>
      </w:r>
    </w:p>
    <w:p w14:paraId="2DFAD5A2" w14:textId="7407FDFC" w:rsidR="00F00E3D" w:rsidRPr="00927CD1" w:rsidRDefault="00F00E3D" w:rsidP="6A3610E4">
      <w:pPr>
        <w:spacing w:line="276" w:lineRule="auto"/>
        <w:rPr>
          <w:rFonts w:asciiTheme="majorHAnsi" w:hAnsiTheme="majorHAnsi" w:cstheme="majorBidi"/>
          <w:sz w:val="23"/>
          <w:szCs w:val="23"/>
        </w:rPr>
      </w:pPr>
      <w:r w:rsidRPr="6A3610E4">
        <w:rPr>
          <w:rFonts w:asciiTheme="majorHAnsi" w:hAnsiTheme="majorHAnsi" w:cstheme="majorBidi"/>
          <w:sz w:val="23"/>
          <w:szCs w:val="23"/>
        </w:rPr>
        <w:t xml:space="preserve"> While there are bus services </w:t>
      </w:r>
      <w:r w:rsidR="00927CD1" w:rsidRPr="6A3610E4">
        <w:rPr>
          <w:rFonts w:asciiTheme="majorHAnsi" w:hAnsiTheme="majorHAnsi" w:cstheme="majorBidi"/>
          <w:sz w:val="23"/>
          <w:szCs w:val="23"/>
        </w:rPr>
        <w:t>operating in</w:t>
      </w:r>
      <w:r w:rsidRPr="6A3610E4">
        <w:rPr>
          <w:rFonts w:asciiTheme="majorHAnsi" w:hAnsiTheme="majorHAnsi" w:cstheme="majorBidi"/>
          <w:sz w:val="23"/>
          <w:szCs w:val="23"/>
        </w:rPr>
        <w:t xml:space="preserve"> the three localities</w:t>
      </w:r>
      <w:r w:rsidR="00927CD1" w:rsidRPr="6A3610E4">
        <w:rPr>
          <w:rFonts w:asciiTheme="majorHAnsi" w:hAnsiTheme="majorHAnsi" w:cstheme="majorBidi"/>
          <w:sz w:val="23"/>
          <w:szCs w:val="23"/>
        </w:rPr>
        <w:t xml:space="preserve">, a </w:t>
      </w:r>
      <w:r w:rsidRPr="6A3610E4">
        <w:rPr>
          <w:rFonts w:asciiTheme="majorHAnsi" w:hAnsiTheme="majorHAnsi" w:cstheme="majorBidi"/>
          <w:sz w:val="23"/>
          <w:szCs w:val="23"/>
        </w:rPr>
        <w:t xml:space="preserve">heavy rail line that passes through Corio and Norlane </w:t>
      </w:r>
      <w:r w:rsidR="00927CD1" w:rsidRPr="6A3610E4">
        <w:rPr>
          <w:rFonts w:asciiTheme="majorHAnsi" w:hAnsiTheme="majorHAnsi" w:cstheme="majorBidi"/>
          <w:sz w:val="23"/>
          <w:szCs w:val="23"/>
        </w:rPr>
        <w:t>(</w:t>
      </w:r>
      <w:r w:rsidRPr="6A3610E4">
        <w:rPr>
          <w:rFonts w:asciiTheme="majorHAnsi" w:hAnsiTheme="majorHAnsi" w:cstheme="majorBidi"/>
          <w:sz w:val="23"/>
          <w:szCs w:val="23"/>
        </w:rPr>
        <w:t xml:space="preserve">on its way to Melbourne and the </w:t>
      </w:r>
      <w:r w:rsidR="00927CD1" w:rsidRPr="6A3610E4">
        <w:rPr>
          <w:rFonts w:asciiTheme="majorHAnsi" w:hAnsiTheme="majorHAnsi" w:cstheme="majorBidi"/>
          <w:sz w:val="23"/>
          <w:szCs w:val="23"/>
        </w:rPr>
        <w:t xml:space="preserve">Geelong </w:t>
      </w:r>
      <w:r w:rsidRPr="6A3610E4">
        <w:rPr>
          <w:rFonts w:asciiTheme="majorHAnsi" w:hAnsiTheme="majorHAnsi" w:cstheme="majorBidi"/>
          <w:sz w:val="23"/>
          <w:szCs w:val="23"/>
        </w:rPr>
        <w:t>CBD</w:t>
      </w:r>
      <w:r w:rsidR="00927CD1" w:rsidRPr="6A3610E4">
        <w:rPr>
          <w:rFonts w:asciiTheme="majorHAnsi" w:hAnsiTheme="majorHAnsi" w:cstheme="majorBidi"/>
          <w:sz w:val="23"/>
          <w:szCs w:val="23"/>
        </w:rPr>
        <w:t xml:space="preserve">), </w:t>
      </w:r>
      <w:r w:rsidRPr="6A3610E4">
        <w:rPr>
          <w:rFonts w:asciiTheme="majorHAnsi" w:hAnsiTheme="majorHAnsi" w:cstheme="majorBidi"/>
          <w:sz w:val="23"/>
          <w:szCs w:val="23"/>
        </w:rPr>
        <w:t>many</w:t>
      </w:r>
      <w:r w:rsidR="00927CD1" w:rsidRPr="6A3610E4">
        <w:rPr>
          <w:rFonts w:asciiTheme="majorHAnsi" w:hAnsiTheme="majorHAnsi" w:cstheme="majorBidi"/>
          <w:sz w:val="23"/>
          <w:szCs w:val="23"/>
        </w:rPr>
        <w:t xml:space="preserve"> prior</w:t>
      </w:r>
      <w:r w:rsidRPr="6A3610E4">
        <w:rPr>
          <w:rFonts w:asciiTheme="majorHAnsi" w:hAnsiTheme="majorHAnsi" w:cstheme="majorBidi"/>
          <w:sz w:val="23"/>
          <w:szCs w:val="23"/>
        </w:rPr>
        <w:t xml:space="preserve"> studies and interviews have confirmed that personal mobility is a big issue in these communities.</w:t>
      </w:r>
      <w:r w:rsidR="0057767E" w:rsidRPr="6A3610E4">
        <w:rPr>
          <w:rFonts w:asciiTheme="majorHAnsi" w:hAnsiTheme="majorHAnsi" w:cstheme="majorBidi"/>
          <w:sz w:val="23"/>
          <w:szCs w:val="23"/>
        </w:rPr>
        <w:t xml:space="preserve"> </w:t>
      </w:r>
      <w:r w:rsidR="00BA2641" w:rsidRPr="6A3610E4">
        <w:rPr>
          <w:rFonts w:asciiTheme="majorHAnsi" w:hAnsiTheme="majorHAnsi" w:cstheme="majorBidi"/>
          <w:sz w:val="23"/>
          <w:szCs w:val="23"/>
        </w:rPr>
        <w:t>At the human scale, there is scope to build on</w:t>
      </w:r>
      <w:r w:rsidR="0057767E" w:rsidRPr="6A3610E4">
        <w:rPr>
          <w:rFonts w:asciiTheme="majorHAnsi" w:hAnsiTheme="majorHAnsi" w:cstheme="majorBidi"/>
          <w:sz w:val="23"/>
          <w:szCs w:val="23"/>
        </w:rPr>
        <w:t xml:space="preserve"> past initiatives to improve neighbourhood walkability </w:t>
      </w:r>
      <w:r w:rsidR="00BA2641" w:rsidRPr="6A3610E4">
        <w:rPr>
          <w:rFonts w:asciiTheme="majorHAnsi" w:hAnsiTheme="majorHAnsi" w:cstheme="majorBidi"/>
          <w:sz w:val="23"/>
          <w:szCs w:val="23"/>
        </w:rPr>
        <w:t xml:space="preserve">and expand active transport options </w:t>
      </w:r>
      <w:r w:rsidR="0057767E" w:rsidRPr="6A3610E4">
        <w:rPr>
          <w:rFonts w:asciiTheme="majorHAnsi" w:hAnsiTheme="majorHAnsi" w:cstheme="majorBidi"/>
          <w:sz w:val="23"/>
          <w:szCs w:val="23"/>
        </w:rPr>
        <w:t>in the three localities.</w:t>
      </w:r>
    </w:p>
    <w:p w14:paraId="625E48EA" w14:textId="3F6EEF63" w:rsidR="005F5FF4" w:rsidRDefault="00F00E3D" w:rsidP="00927CD1">
      <w:pPr>
        <w:spacing w:line="276" w:lineRule="auto"/>
        <w:rPr>
          <w:rFonts w:asciiTheme="majorHAnsi" w:hAnsiTheme="majorHAnsi" w:cstheme="majorHAnsi"/>
          <w:sz w:val="23"/>
          <w:szCs w:val="23"/>
        </w:rPr>
      </w:pPr>
      <w:r w:rsidRPr="00927CD1">
        <w:rPr>
          <w:rFonts w:asciiTheme="majorHAnsi" w:hAnsiTheme="majorHAnsi" w:cstheme="majorHAnsi"/>
          <w:sz w:val="23"/>
          <w:szCs w:val="23"/>
        </w:rPr>
        <w:t xml:space="preserve">ABS data </w:t>
      </w:r>
      <w:r w:rsidR="00BA2641">
        <w:rPr>
          <w:rFonts w:asciiTheme="majorHAnsi" w:hAnsiTheme="majorHAnsi" w:cstheme="majorHAnsi"/>
          <w:sz w:val="23"/>
          <w:szCs w:val="23"/>
        </w:rPr>
        <w:t xml:space="preserve">also </w:t>
      </w:r>
      <w:r w:rsidRPr="00927CD1">
        <w:rPr>
          <w:rFonts w:asciiTheme="majorHAnsi" w:hAnsiTheme="majorHAnsi" w:cstheme="majorHAnsi"/>
          <w:sz w:val="23"/>
          <w:szCs w:val="23"/>
        </w:rPr>
        <w:t xml:space="preserve">highlights the </w:t>
      </w:r>
      <w:r w:rsidR="005F5FF4">
        <w:rPr>
          <w:rFonts w:asciiTheme="majorHAnsi" w:hAnsiTheme="majorHAnsi" w:cstheme="majorHAnsi"/>
          <w:sz w:val="23"/>
          <w:szCs w:val="23"/>
        </w:rPr>
        <w:t>significant proportion</w:t>
      </w:r>
      <w:r w:rsidRPr="00927CD1">
        <w:rPr>
          <w:rFonts w:asciiTheme="majorHAnsi" w:hAnsiTheme="majorHAnsi" w:cstheme="majorHAnsi"/>
          <w:sz w:val="23"/>
          <w:szCs w:val="23"/>
        </w:rPr>
        <w:t xml:space="preserve"> of residents who </w:t>
      </w:r>
      <w:r w:rsidR="005F5FF4">
        <w:rPr>
          <w:rFonts w:asciiTheme="majorHAnsi" w:hAnsiTheme="majorHAnsi" w:cstheme="majorHAnsi"/>
          <w:sz w:val="23"/>
          <w:szCs w:val="23"/>
        </w:rPr>
        <w:t>lack</w:t>
      </w:r>
      <w:r w:rsidRPr="00927CD1">
        <w:rPr>
          <w:rFonts w:asciiTheme="majorHAnsi" w:hAnsiTheme="majorHAnsi" w:cstheme="majorHAnsi"/>
          <w:sz w:val="23"/>
          <w:szCs w:val="23"/>
        </w:rPr>
        <w:t xml:space="preserve"> access to a vehicle: 10</w:t>
      </w:r>
      <w:r w:rsidR="005F5FF4">
        <w:rPr>
          <w:rFonts w:asciiTheme="majorHAnsi" w:hAnsiTheme="majorHAnsi" w:cstheme="majorHAnsi"/>
          <w:sz w:val="23"/>
          <w:szCs w:val="23"/>
        </w:rPr>
        <w:t xml:space="preserve"> percent</w:t>
      </w:r>
      <w:r w:rsidRPr="00927CD1">
        <w:rPr>
          <w:rFonts w:asciiTheme="majorHAnsi" w:hAnsiTheme="majorHAnsi" w:cstheme="majorHAnsi"/>
          <w:sz w:val="23"/>
          <w:szCs w:val="23"/>
        </w:rPr>
        <w:t xml:space="preserve"> in Corio, 18</w:t>
      </w:r>
      <w:r w:rsidR="005F5FF4">
        <w:rPr>
          <w:rFonts w:asciiTheme="majorHAnsi" w:hAnsiTheme="majorHAnsi" w:cstheme="majorHAnsi"/>
          <w:sz w:val="23"/>
          <w:szCs w:val="23"/>
        </w:rPr>
        <w:t xml:space="preserve"> percent</w:t>
      </w:r>
      <w:r w:rsidRPr="00927CD1">
        <w:rPr>
          <w:rFonts w:asciiTheme="majorHAnsi" w:hAnsiTheme="majorHAnsi" w:cstheme="majorHAnsi"/>
          <w:sz w:val="23"/>
          <w:szCs w:val="23"/>
        </w:rPr>
        <w:t xml:space="preserve"> in Norlane</w:t>
      </w:r>
      <w:r w:rsidR="005F5FF4">
        <w:rPr>
          <w:rFonts w:asciiTheme="majorHAnsi" w:hAnsiTheme="majorHAnsi" w:cstheme="majorHAnsi"/>
          <w:sz w:val="23"/>
          <w:szCs w:val="23"/>
        </w:rPr>
        <w:t>,</w:t>
      </w:r>
      <w:r w:rsidRPr="00927CD1">
        <w:rPr>
          <w:rFonts w:asciiTheme="majorHAnsi" w:hAnsiTheme="majorHAnsi" w:cstheme="majorHAnsi"/>
          <w:sz w:val="23"/>
          <w:szCs w:val="23"/>
        </w:rPr>
        <w:t xml:space="preserve"> and 14.5</w:t>
      </w:r>
      <w:r w:rsidR="005F5FF4">
        <w:rPr>
          <w:rFonts w:asciiTheme="majorHAnsi" w:hAnsiTheme="majorHAnsi" w:cstheme="majorHAnsi"/>
          <w:sz w:val="23"/>
          <w:szCs w:val="23"/>
        </w:rPr>
        <w:t xml:space="preserve"> percent</w:t>
      </w:r>
      <w:r w:rsidRPr="00927CD1">
        <w:rPr>
          <w:rFonts w:asciiTheme="majorHAnsi" w:hAnsiTheme="majorHAnsi" w:cstheme="majorHAnsi"/>
          <w:sz w:val="23"/>
          <w:szCs w:val="23"/>
        </w:rPr>
        <w:t xml:space="preserve"> in Whittington. Despite this</w:t>
      </w:r>
      <w:r w:rsidR="005F5FF4">
        <w:rPr>
          <w:rFonts w:asciiTheme="majorHAnsi" w:hAnsiTheme="majorHAnsi" w:cstheme="majorHAnsi"/>
          <w:sz w:val="23"/>
          <w:szCs w:val="23"/>
        </w:rPr>
        <w:t xml:space="preserve"> fact</w:t>
      </w:r>
      <w:r w:rsidRPr="00927CD1">
        <w:rPr>
          <w:rFonts w:asciiTheme="majorHAnsi" w:hAnsiTheme="majorHAnsi" w:cstheme="majorHAnsi"/>
          <w:sz w:val="23"/>
          <w:szCs w:val="23"/>
        </w:rPr>
        <w:t xml:space="preserve">, the </w:t>
      </w:r>
      <w:r w:rsidRPr="00927CD1">
        <w:rPr>
          <w:rFonts w:asciiTheme="majorHAnsi" w:hAnsiTheme="majorHAnsi" w:cstheme="majorHAnsi"/>
          <w:i/>
          <w:sz w:val="23"/>
          <w:szCs w:val="23"/>
        </w:rPr>
        <w:t xml:space="preserve">Corio-Norlane Structure Plan </w:t>
      </w:r>
      <w:r w:rsidR="005F5FF4">
        <w:rPr>
          <w:rFonts w:asciiTheme="majorHAnsi" w:hAnsiTheme="majorHAnsi" w:cstheme="majorHAnsi"/>
          <w:sz w:val="23"/>
          <w:szCs w:val="23"/>
        </w:rPr>
        <w:t>(</w:t>
      </w:r>
      <w:r w:rsidRPr="00927CD1">
        <w:rPr>
          <w:rFonts w:asciiTheme="majorHAnsi" w:hAnsiTheme="majorHAnsi" w:cstheme="majorHAnsi"/>
          <w:sz w:val="23"/>
          <w:szCs w:val="23"/>
        </w:rPr>
        <w:t>2012</w:t>
      </w:r>
      <w:r w:rsidR="005F5FF4">
        <w:rPr>
          <w:rFonts w:asciiTheme="majorHAnsi" w:hAnsiTheme="majorHAnsi" w:cstheme="majorHAnsi"/>
          <w:sz w:val="23"/>
          <w:szCs w:val="23"/>
        </w:rPr>
        <w:t>)</w:t>
      </w:r>
      <w:r w:rsidRPr="00927CD1">
        <w:rPr>
          <w:rFonts w:asciiTheme="majorHAnsi" w:hAnsiTheme="majorHAnsi" w:cstheme="majorHAnsi"/>
          <w:sz w:val="23"/>
          <w:szCs w:val="23"/>
        </w:rPr>
        <w:t xml:space="preserve"> noted that “Given the spread</w:t>
      </w:r>
      <w:r w:rsidR="005F5FF4">
        <w:rPr>
          <w:rFonts w:asciiTheme="majorHAnsi" w:hAnsiTheme="majorHAnsi" w:cstheme="majorHAnsi"/>
          <w:sz w:val="23"/>
          <w:szCs w:val="23"/>
        </w:rPr>
        <w:t>-</w:t>
      </w:r>
      <w:r w:rsidRPr="00927CD1">
        <w:rPr>
          <w:rFonts w:asciiTheme="majorHAnsi" w:hAnsiTheme="majorHAnsi" w:cstheme="majorHAnsi"/>
          <w:sz w:val="23"/>
          <w:szCs w:val="23"/>
        </w:rPr>
        <w:t>out nature of the</w:t>
      </w:r>
      <w:r w:rsidRPr="00E91887">
        <w:rPr>
          <w:rFonts w:asciiTheme="majorHAnsi" w:hAnsiTheme="majorHAnsi" w:cstheme="majorHAnsi"/>
          <w:sz w:val="23"/>
          <w:szCs w:val="23"/>
        </w:rPr>
        <w:t xml:space="preserve"> area and distance to services…the car will continue to dominate as the necessary mode of transport for a majority of residents” </w:t>
      </w:r>
      <w:r w:rsidRPr="00E91887">
        <w:rPr>
          <w:rFonts w:asciiTheme="majorHAnsi" w:hAnsiTheme="majorHAnsi" w:cstheme="majorHAnsi"/>
          <w:noProof/>
          <w:sz w:val="23"/>
          <w:szCs w:val="23"/>
        </w:rPr>
        <w:t>(City of Greater Geelong Department of Planning and Community Development, 2012, p. 24)</w:t>
      </w:r>
      <w:r w:rsidR="005F5FF4">
        <w:rPr>
          <w:rFonts w:asciiTheme="majorHAnsi" w:hAnsiTheme="majorHAnsi" w:cstheme="majorHAnsi"/>
          <w:sz w:val="23"/>
          <w:szCs w:val="23"/>
        </w:rPr>
        <w:t>. The plan goes on to</w:t>
      </w:r>
      <w:r w:rsidRPr="00E91887">
        <w:rPr>
          <w:rFonts w:asciiTheme="majorHAnsi" w:hAnsiTheme="majorHAnsi" w:cstheme="majorHAnsi"/>
          <w:sz w:val="23"/>
          <w:szCs w:val="23"/>
        </w:rPr>
        <w:t xml:space="preserve"> recommend </w:t>
      </w:r>
      <w:r w:rsidR="005F5FF4">
        <w:rPr>
          <w:rFonts w:asciiTheme="majorHAnsi" w:hAnsiTheme="majorHAnsi" w:cstheme="majorHAnsi"/>
          <w:sz w:val="23"/>
          <w:szCs w:val="23"/>
        </w:rPr>
        <w:t>redesigning</w:t>
      </w:r>
      <w:r w:rsidRPr="00E91887">
        <w:rPr>
          <w:rFonts w:asciiTheme="majorHAnsi" w:hAnsiTheme="majorHAnsi" w:cstheme="majorHAnsi"/>
          <w:sz w:val="23"/>
          <w:szCs w:val="23"/>
        </w:rPr>
        <w:t xml:space="preserve"> major intersections and </w:t>
      </w:r>
      <w:r w:rsidR="005F5FF4">
        <w:rPr>
          <w:rFonts w:asciiTheme="majorHAnsi" w:hAnsiTheme="majorHAnsi" w:cstheme="majorHAnsi"/>
          <w:sz w:val="23"/>
          <w:szCs w:val="23"/>
        </w:rPr>
        <w:t xml:space="preserve">installing </w:t>
      </w:r>
      <w:r w:rsidRPr="00E91887">
        <w:rPr>
          <w:rFonts w:asciiTheme="majorHAnsi" w:hAnsiTheme="majorHAnsi" w:cstheme="majorHAnsi"/>
          <w:sz w:val="23"/>
          <w:szCs w:val="23"/>
        </w:rPr>
        <w:t xml:space="preserve">additional ramps to </w:t>
      </w:r>
      <w:r w:rsidR="005F5FF4">
        <w:rPr>
          <w:rFonts w:asciiTheme="majorHAnsi" w:hAnsiTheme="majorHAnsi" w:cstheme="majorHAnsi"/>
          <w:sz w:val="23"/>
          <w:szCs w:val="23"/>
        </w:rPr>
        <w:t>encourage</w:t>
      </w:r>
      <w:r w:rsidRPr="00E91887">
        <w:rPr>
          <w:rFonts w:asciiTheme="majorHAnsi" w:hAnsiTheme="majorHAnsi" w:cstheme="majorHAnsi"/>
          <w:sz w:val="23"/>
          <w:szCs w:val="23"/>
        </w:rPr>
        <w:t xml:space="preserve"> </w:t>
      </w:r>
      <w:r w:rsidR="005F5FF4" w:rsidRPr="00E91887">
        <w:rPr>
          <w:rFonts w:asciiTheme="majorHAnsi" w:hAnsiTheme="majorHAnsi" w:cstheme="majorHAnsi"/>
          <w:sz w:val="23"/>
          <w:szCs w:val="23"/>
        </w:rPr>
        <w:t>industry and port traffic</w:t>
      </w:r>
      <w:r w:rsidR="005F5FF4">
        <w:rPr>
          <w:rFonts w:asciiTheme="majorHAnsi" w:hAnsiTheme="majorHAnsi" w:cstheme="majorHAnsi"/>
          <w:sz w:val="23"/>
          <w:szCs w:val="23"/>
        </w:rPr>
        <w:t xml:space="preserve"> to bypass</w:t>
      </w:r>
      <w:r w:rsidRPr="00E91887">
        <w:rPr>
          <w:rFonts w:asciiTheme="majorHAnsi" w:hAnsiTheme="majorHAnsi" w:cstheme="majorHAnsi"/>
          <w:sz w:val="23"/>
          <w:szCs w:val="23"/>
        </w:rPr>
        <w:t xml:space="preserve"> residential areas</w:t>
      </w:r>
      <w:r w:rsidR="005F5FF4">
        <w:rPr>
          <w:rFonts w:asciiTheme="majorHAnsi" w:hAnsiTheme="majorHAnsi" w:cstheme="majorHAnsi"/>
          <w:sz w:val="23"/>
          <w:szCs w:val="23"/>
        </w:rPr>
        <w:t xml:space="preserve">. To improve mobility in these areas, the plan identifies the need for </w:t>
      </w:r>
      <w:r w:rsidRPr="00E91887">
        <w:rPr>
          <w:rFonts w:asciiTheme="majorHAnsi" w:hAnsiTheme="majorHAnsi" w:cstheme="majorHAnsi"/>
          <w:sz w:val="23"/>
          <w:szCs w:val="23"/>
        </w:rPr>
        <w:t>“a public transport network which meets the needs of residents”</w:t>
      </w:r>
      <w:r w:rsidR="005F5FF4">
        <w:rPr>
          <w:rFonts w:asciiTheme="majorHAnsi" w:hAnsiTheme="majorHAnsi" w:cstheme="majorHAnsi"/>
          <w:sz w:val="23"/>
          <w:szCs w:val="23"/>
        </w:rPr>
        <w:t xml:space="preserve">. This goal was to be achieved by </w:t>
      </w:r>
      <w:r w:rsidRPr="00E91887">
        <w:rPr>
          <w:rFonts w:asciiTheme="majorHAnsi" w:hAnsiTheme="majorHAnsi" w:cstheme="majorHAnsi"/>
          <w:sz w:val="23"/>
          <w:szCs w:val="23"/>
        </w:rPr>
        <w:t>“increasing bus accessibility, frequency and connectivity”</w:t>
      </w:r>
      <w:r w:rsidR="005F5FF4">
        <w:rPr>
          <w:rFonts w:asciiTheme="majorHAnsi" w:hAnsiTheme="majorHAnsi" w:cstheme="majorHAnsi"/>
          <w:sz w:val="23"/>
          <w:szCs w:val="23"/>
        </w:rPr>
        <w:t>,</w:t>
      </w:r>
      <w:r w:rsidRPr="00E91887">
        <w:rPr>
          <w:rFonts w:asciiTheme="majorHAnsi" w:hAnsiTheme="majorHAnsi" w:cstheme="majorHAnsi"/>
          <w:sz w:val="23"/>
          <w:szCs w:val="23"/>
        </w:rPr>
        <w:t xml:space="preserve"> especially from east to west.</w:t>
      </w:r>
    </w:p>
    <w:p w14:paraId="0AE279C0" w14:textId="46372A66" w:rsidR="00F00E3D" w:rsidRDefault="005F5FF4" w:rsidP="00927CD1">
      <w:pPr>
        <w:spacing w:line="276" w:lineRule="auto"/>
        <w:rPr>
          <w:rFonts w:asciiTheme="majorHAnsi" w:hAnsiTheme="majorHAnsi" w:cstheme="majorHAnsi"/>
          <w:sz w:val="23"/>
          <w:szCs w:val="23"/>
        </w:rPr>
      </w:pPr>
      <w:r>
        <w:rPr>
          <w:rFonts w:asciiTheme="majorHAnsi" w:hAnsiTheme="majorHAnsi" w:cstheme="majorHAnsi"/>
          <w:sz w:val="23"/>
          <w:szCs w:val="23"/>
        </w:rPr>
        <w:t>However, it</w:t>
      </w:r>
      <w:r w:rsidR="00F00E3D" w:rsidRPr="00E91887">
        <w:rPr>
          <w:rFonts w:asciiTheme="majorHAnsi" w:hAnsiTheme="majorHAnsi" w:cstheme="majorHAnsi"/>
          <w:sz w:val="23"/>
          <w:szCs w:val="23"/>
        </w:rPr>
        <w:t xml:space="preserve"> is not clear whether th</w:t>
      </w:r>
      <w:r>
        <w:rPr>
          <w:rFonts w:asciiTheme="majorHAnsi" w:hAnsiTheme="majorHAnsi" w:cstheme="majorHAnsi"/>
          <w:sz w:val="23"/>
          <w:szCs w:val="23"/>
        </w:rPr>
        <w:t xml:space="preserve">ese </w:t>
      </w:r>
      <w:r w:rsidR="00BA2641">
        <w:rPr>
          <w:rFonts w:asciiTheme="majorHAnsi" w:hAnsiTheme="majorHAnsi" w:cstheme="majorHAnsi"/>
          <w:sz w:val="23"/>
          <w:szCs w:val="23"/>
        </w:rPr>
        <w:t xml:space="preserve">planned </w:t>
      </w:r>
      <w:r>
        <w:rPr>
          <w:rFonts w:asciiTheme="majorHAnsi" w:hAnsiTheme="majorHAnsi" w:cstheme="majorHAnsi"/>
          <w:sz w:val="23"/>
          <w:szCs w:val="23"/>
        </w:rPr>
        <w:t xml:space="preserve">actions </w:t>
      </w:r>
      <w:r w:rsidR="00F00E3D" w:rsidRPr="00E91887">
        <w:rPr>
          <w:rFonts w:asciiTheme="majorHAnsi" w:hAnsiTheme="majorHAnsi" w:cstheme="majorHAnsi"/>
          <w:sz w:val="23"/>
          <w:szCs w:val="23"/>
        </w:rPr>
        <w:t xml:space="preserve">occurred. Past interviews with Northern Futures clients who live in Corio and Norlane confirm the very real problems the poor bus service and lack of access to a vehicle presents </w:t>
      </w:r>
      <w:r>
        <w:rPr>
          <w:rFonts w:asciiTheme="majorHAnsi" w:hAnsiTheme="majorHAnsi" w:cstheme="majorHAnsi"/>
          <w:sz w:val="23"/>
          <w:szCs w:val="23"/>
        </w:rPr>
        <w:t xml:space="preserve">for jobseekers </w:t>
      </w:r>
      <w:r w:rsidR="00F00E3D" w:rsidRPr="00E91887">
        <w:rPr>
          <w:rFonts w:asciiTheme="majorHAnsi" w:hAnsiTheme="majorHAnsi" w:cstheme="majorHAnsi"/>
          <w:noProof/>
          <w:sz w:val="23"/>
          <w:szCs w:val="23"/>
        </w:rPr>
        <w:t>(Johnson, 2012)</w:t>
      </w:r>
      <w:r w:rsidR="00F00E3D" w:rsidRPr="00E91887">
        <w:rPr>
          <w:rFonts w:asciiTheme="majorHAnsi" w:hAnsiTheme="majorHAnsi" w:cstheme="majorHAnsi"/>
          <w:sz w:val="23"/>
          <w:szCs w:val="23"/>
        </w:rPr>
        <w:t xml:space="preserve">. For many </w:t>
      </w:r>
      <w:r>
        <w:rPr>
          <w:rFonts w:asciiTheme="majorHAnsi" w:hAnsiTheme="majorHAnsi" w:cstheme="majorHAnsi"/>
          <w:sz w:val="23"/>
          <w:szCs w:val="23"/>
        </w:rPr>
        <w:t xml:space="preserve">people, </w:t>
      </w:r>
      <w:r w:rsidR="00F00E3D" w:rsidRPr="00E91887">
        <w:rPr>
          <w:rFonts w:asciiTheme="majorHAnsi" w:hAnsiTheme="majorHAnsi" w:cstheme="majorHAnsi"/>
          <w:sz w:val="23"/>
          <w:szCs w:val="23"/>
        </w:rPr>
        <w:t xml:space="preserve">just getting a driver’s licence </w:t>
      </w:r>
      <w:r>
        <w:rPr>
          <w:rFonts w:asciiTheme="majorHAnsi" w:hAnsiTheme="majorHAnsi" w:cstheme="majorHAnsi"/>
          <w:sz w:val="23"/>
          <w:szCs w:val="23"/>
        </w:rPr>
        <w:t>and being able to</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buy and</w:t>
      </w:r>
      <w:r w:rsidR="00F00E3D" w:rsidRPr="00E91887">
        <w:rPr>
          <w:rFonts w:asciiTheme="majorHAnsi" w:hAnsiTheme="majorHAnsi" w:cstheme="majorHAnsi"/>
          <w:sz w:val="23"/>
          <w:szCs w:val="23"/>
        </w:rPr>
        <w:t xml:space="preserve"> maintain a car were huge barriers to </w:t>
      </w:r>
      <w:r>
        <w:rPr>
          <w:rFonts w:asciiTheme="majorHAnsi" w:hAnsiTheme="majorHAnsi" w:cstheme="majorHAnsi"/>
          <w:sz w:val="23"/>
          <w:szCs w:val="23"/>
        </w:rPr>
        <w:t xml:space="preserve">both employment prospects and </w:t>
      </w:r>
      <w:r w:rsidR="00BA2641">
        <w:rPr>
          <w:rFonts w:asciiTheme="majorHAnsi" w:hAnsiTheme="majorHAnsi" w:cstheme="majorHAnsi"/>
          <w:sz w:val="23"/>
          <w:szCs w:val="23"/>
        </w:rPr>
        <w:t>active participation</w:t>
      </w:r>
      <w:r>
        <w:rPr>
          <w:rFonts w:asciiTheme="majorHAnsi" w:hAnsiTheme="majorHAnsi" w:cstheme="majorHAnsi"/>
          <w:sz w:val="23"/>
          <w:szCs w:val="23"/>
        </w:rPr>
        <w:t xml:space="preserve"> in their communities</w:t>
      </w:r>
      <w:r w:rsidR="00F00E3D" w:rsidRPr="00E91887">
        <w:rPr>
          <w:rFonts w:asciiTheme="majorHAnsi" w:hAnsiTheme="majorHAnsi" w:cstheme="majorHAnsi"/>
          <w:sz w:val="23"/>
          <w:szCs w:val="23"/>
        </w:rPr>
        <w:t xml:space="preserve">. </w:t>
      </w:r>
      <w:r w:rsidR="00CB0C96">
        <w:rPr>
          <w:rFonts w:asciiTheme="majorHAnsi" w:hAnsiTheme="majorHAnsi" w:cstheme="majorHAnsi"/>
          <w:sz w:val="23"/>
          <w:szCs w:val="23"/>
        </w:rPr>
        <w:t>As the research literature shows, t</w:t>
      </w:r>
      <w:r w:rsidR="00CB0C96" w:rsidRPr="00E91887">
        <w:rPr>
          <w:rFonts w:asciiTheme="majorHAnsi" w:hAnsiTheme="majorHAnsi" w:cstheme="majorHAnsi"/>
          <w:sz w:val="23"/>
          <w:szCs w:val="23"/>
        </w:rPr>
        <w:t xml:space="preserve">ransport disadvantage </w:t>
      </w:r>
      <w:r w:rsidR="00CB0C96" w:rsidRPr="0057767E">
        <w:rPr>
          <w:rFonts w:asciiTheme="majorHAnsi" w:hAnsiTheme="majorHAnsi" w:cstheme="majorHAnsi"/>
          <w:sz w:val="23"/>
          <w:szCs w:val="23"/>
        </w:rPr>
        <w:t>exacerbates other forms of social and economic exclusion (</w:t>
      </w:r>
      <w:r w:rsidR="00CB0C96" w:rsidRPr="0057767E">
        <w:rPr>
          <w:rFonts w:asciiTheme="majorHAnsi" w:hAnsiTheme="majorHAnsi" w:cstheme="majorHAnsi"/>
          <w:noProof/>
          <w:sz w:val="23"/>
          <w:szCs w:val="23"/>
        </w:rPr>
        <w:t>Delbosc &amp; Currie, 2011)</w:t>
      </w:r>
      <w:r w:rsidR="00CB0C96" w:rsidRPr="0057767E">
        <w:rPr>
          <w:rFonts w:asciiTheme="majorHAnsi" w:hAnsiTheme="majorHAnsi" w:cstheme="majorHAnsi"/>
          <w:sz w:val="23"/>
          <w:szCs w:val="23"/>
        </w:rPr>
        <w:t>.</w:t>
      </w:r>
      <w:r w:rsidR="0057767E">
        <w:rPr>
          <w:rFonts w:asciiTheme="majorHAnsi" w:hAnsiTheme="majorHAnsi" w:cstheme="majorHAnsi"/>
          <w:sz w:val="23"/>
          <w:szCs w:val="23"/>
        </w:rPr>
        <w:t xml:space="preserve"> </w:t>
      </w:r>
      <w:r w:rsidR="0057767E" w:rsidRPr="0057767E">
        <w:rPr>
          <w:rFonts w:asciiTheme="majorHAnsi" w:hAnsiTheme="majorHAnsi" w:cstheme="majorHAnsi"/>
          <w:sz w:val="23"/>
          <w:szCs w:val="23"/>
        </w:rPr>
        <w:t xml:space="preserve">Concrete actions to improve public transport, residential mobility, and neighbourhood walkability should be </w:t>
      </w:r>
      <w:r w:rsidR="00BA2641">
        <w:rPr>
          <w:rFonts w:asciiTheme="majorHAnsi" w:hAnsiTheme="majorHAnsi" w:cstheme="majorHAnsi"/>
          <w:sz w:val="23"/>
          <w:szCs w:val="23"/>
        </w:rPr>
        <w:t>built into any</w:t>
      </w:r>
      <w:r w:rsidR="0057767E" w:rsidRPr="0057767E">
        <w:rPr>
          <w:rFonts w:asciiTheme="majorHAnsi" w:hAnsiTheme="majorHAnsi" w:cstheme="majorHAnsi"/>
          <w:sz w:val="23"/>
          <w:szCs w:val="23"/>
        </w:rPr>
        <w:t xml:space="preserve"> coordinated effort to</w:t>
      </w:r>
      <w:r w:rsidR="006C73EB" w:rsidRPr="0057767E">
        <w:rPr>
          <w:rFonts w:asciiTheme="majorHAnsi" w:hAnsiTheme="majorHAnsi" w:cstheme="majorHAnsi"/>
          <w:sz w:val="23"/>
          <w:szCs w:val="23"/>
        </w:rPr>
        <w:t xml:space="preserve"> address systemic disadvantage in Geelong’s northern suburbs</w:t>
      </w:r>
      <w:r w:rsidR="0057767E" w:rsidRPr="0057767E">
        <w:rPr>
          <w:rFonts w:asciiTheme="majorHAnsi" w:hAnsiTheme="majorHAnsi" w:cstheme="majorHAnsi"/>
          <w:sz w:val="23"/>
          <w:szCs w:val="23"/>
        </w:rPr>
        <w:t>.</w:t>
      </w:r>
    </w:p>
    <w:p w14:paraId="4D626D6F" w14:textId="77777777" w:rsidR="00170A75" w:rsidRPr="00170A75" w:rsidRDefault="00170A75" w:rsidP="00170A75">
      <w:pPr>
        <w:spacing w:after="0" w:line="276" w:lineRule="auto"/>
        <w:rPr>
          <w:rFonts w:asciiTheme="majorHAnsi" w:hAnsiTheme="majorHAnsi" w:cstheme="majorHAnsi"/>
          <w:sz w:val="8"/>
          <w:szCs w:val="8"/>
        </w:rPr>
      </w:pPr>
    </w:p>
    <w:p w14:paraId="5535D690" w14:textId="77777777" w:rsidR="00F00E3D" w:rsidRPr="00E91887" w:rsidRDefault="00F00E3D" w:rsidP="00853850">
      <w:pPr>
        <w:spacing w:after="0" w:line="276" w:lineRule="auto"/>
        <w:rPr>
          <w:rFonts w:asciiTheme="majorHAnsi" w:hAnsiTheme="majorHAnsi" w:cstheme="majorHAnsi"/>
          <w:sz w:val="23"/>
          <w:szCs w:val="23"/>
        </w:rPr>
      </w:pPr>
      <w:r>
        <w:rPr>
          <w:noProof/>
        </w:rPr>
        <w:drawing>
          <wp:inline distT="0" distB="0" distL="0" distR="0" wp14:anchorId="61D2BCE8" wp14:editId="65149B90">
            <wp:extent cx="4938743" cy="3178037"/>
            <wp:effectExtent l="0" t="0" r="0" b="3810"/>
            <wp:docPr id="46" name="Picture 46" descr="C:\Users\lcj\AppData\Local\Microsoft\Windows\INetCache\Content.Word\IMG_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08">
                      <a:extLst>
                        <a:ext uri="{28A0092B-C50C-407E-A947-70E740481C1C}">
                          <a14:useLocalDpi xmlns:a14="http://schemas.microsoft.com/office/drawing/2010/main"/>
                        </a:ext>
                      </a:extLst>
                    </a:blip>
                    <a:stretch>
                      <a:fillRect/>
                    </a:stretch>
                  </pic:blipFill>
                  <pic:spPr>
                    <a:xfrm>
                      <a:off x="0" y="0"/>
                      <a:ext cx="4938743" cy="3178037"/>
                    </a:xfrm>
                    <a:prstGeom prst="rect">
                      <a:avLst/>
                    </a:prstGeom>
                  </pic:spPr>
                </pic:pic>
              </a:graphicData>
            </a:graphic>
          </wp:inline>
        </w:drawing>
      </w:r>
    </w:p>
    <w:p w14:paraId="17FD89D0" w14:textId="0A2958FD" w:rsidR="00267695" w:rsidRDefault="00BA2641" w:rsidP="778E395A">
      <w:pPr>
        <w:spacing w:after="0" w:line="276" w:lineRule="auto"/>
        <w:rPr>
          <w:b/>
          <w:bCs/>
          <w:sz w:val="21"/>
          <w:szCs w:val="21"/>
        </w:rPr>
      </w:pPr>
      <w:r w:rsidRPr="778E395A">
        <w:rPr>
          <w:b/>
          <w:bCs/>
          <w:sz w:val="21"/>
          <w:szCs w:val="21"/>
        </w:rPr>
        <w:t xml:space="preserve">Figure </w:t>
      </w:r>
      <w:r w:rsidR="00316F78" w:rsidRPr="778E395A">
        <w:rPr>
          <w:b/>
          <w:bCs/>
          <w:sz w:val="21"/>
          <w:szCs w:val="21"/>
        </w:rPr>
        <w:t>7</w:t>
      </w:r>
      <w:r w:rsidRPr="778E395A">
        <w:rPr>
          <w:b/>
          <w:bCs/>
          <w:sz w:val="21"/>
          <w:szCs w:val="21"/>
        </w:rPr>
        <w:t>.</w:t>
      </w:r>
      <w:r w:rsidR="60FDC36F" w:rsidRPr="778E395A">
        <w:rPr>
          <w:b/>
          <w:bCs/>
          <w:sz w:val="21"/>
          <w:szCs w:val="21"/>
        </w:rPr>
        <w:t>7</w:t>
      </w:r>
      <w:r w:rsidRPr="778E395A">
        <w:rPr>
          <w:b/>
          <w:bCs/>
          <w:sz w:val="21"/>
          <w:szCs w:val="21"/>
        </w:rPr>
        <w:t xml:space="preserve">: North Geelong </w:t>
      </w:r>
      <w:r w:rsidR="00853850" w:rsidRPr="778E395A">
        <w:rPr>
          <w:b/>
          <w:bCs/>
          <w:sz w:val="21"/>
          <w:szCs w:val="21"/>
        </w:rPr>
        <w:t>S</w:t>
      </w:r>
      <w:r w:rsidRPr="778E395A">
        <w:rPr>
          <w:b/>
          <w:bCs/>
          <w:sz w:val="21"/>
          <w:szCs w:val="21"/>
        </w:rPr>
        <w:t>tation (Photo: Louise Johnson, June 2020)</w:t>
      </w:r>
    </w:p>
    <w:p w14:paraId="17F4D65C" w14:textId="77777777" w:rsidR="00267695" w:rsidRDefault="00267695">
      <w:pPr>
        <w:spacing w:after="0" w:line="240" w:lineRule="auto"/>
        <w:rPr>
          <w:rFonts w:cstheme="minorHAnsi"/>
          <w:b/>
          <w:bCs/>
          <w:sz w:val="21"/>
          <w:szCs w:val="21"/>
        </w:rPr>
      </w:pPr>
      <w:r>
        <w:rPr>
          <w:rFonts w:cstheme="minorHAnsi"/>
          <w:b/>
          <w:bCs/>
          <w:sz w:val="21"/>
          <w:szCs w:val="21"/>
        </w:rPr>
        <w:br w:type="page"/>
      </w:r>
    </w:p>
    <w:p w14:paraId="7745D6EC" w14:textId="21DCE0E8" w:rsidR="007307BF" w:rsidRPr="00E91887" w:rsidRDefault="007307BF" w:rsidP="778E395A">
      <w:pPr>
        <w:spacing w:after="0" w:line="276" w:lineRule="auto"/>
        <w:rPr>
          <w:rFonts w:asciiTheme="majorHAnsi" w:hAnsiTheme="majorHAnsi" w:cstheme="majorBidi"/>
          <w:sz w:val="23"/>
          <w:szCs w:val="23"/>
        </w:rPr>
      </w:pPr>
      <w:r w:rsidRPr="778E395A">
        <w:rPr>
          <w:rFonts w:asciiTheme="majorHAnsi" w:hAnsiTheme="majorHAnsi" w:cstheme="majorBidi"/>
          <w:sz w:val="23"/>
          <w:szCs w:val="23"/>
        </w:rPr>
        <w:lastRenderedPageBreak/>
        <w:t xml:space="preserve">The </w:t>
      </w:r>
      <w:r w:rsidRPr="778E395A">
        <w:rPr>
          <w:rFonts w:asciiTheme="majorHAnsi" w:hAnsiTheme="majorHAnsi" w:cstheme="majorBidi"/>
          <w:i/>
          <w:iCs/>
          <w:sz w:val="23"/>
          <w:szCs w:val="23"/>
        </w:rPr>
        <w:t xml:space="preserve">Corio-Norlane Structure Plan </w:t>
      </w:r>
      <w:r w:rsidRPr="778E395A">
        <w:rPr>
          <w:rFonts w:asciiTheme="majorHAnsi" w:hAnsiTheme="majorHAnsi" w:cstheme="majorBidi"/>
          <w:noProof/>
          <w:sz w:val="23"/>
          <w:szCs w:val="23"/>
        </w:rPr>
        <w:t>(City of Greater Geelong Department of Planning and Community Development, 2012)</w:t>
      </w:r>
      <w:r w:rsidRPr="778E395A">
        <w:rPr>
          <w:rFonts w:asciiTheme="majorHAnsi" w:hAnsiTheme="majorHAnsi" w:cstheme="majorBidi"/>
          <w:sz w:val="23"/>
          <w:szCs w:val="23"/>
        </w:rPr>
        <w:t xml:space="preserve"> </w:t>
      </w:r>
      <w:r w:rsidR="00170A75" w:rsidRPr="778E395A">
        <w:rPr>
          <w:rFonts w:asciiTheme="majorHAnsi" w:hAnsiTheme="majorHAnsi" w:cstheme="majorBidi"/>
          <w:sz w:val="23"/>
          <w:szCs w:val="23"/>
        </w:rPr>
        <w:t>also</w:t>
      </w:r>
      <w:r w:rsidRPr="778E395A">
        <w:rPr>
          <w:rFonts w:asciiTheme="majorHAnsi" w:hAnsiTheme="majorHAnsi" w:cstheme="majorBidi"/>
          <w:sz w:val="23"/>
          <w:szCs w:val="23"/>
        </w:rPr>
        <w:t xml:space="preserve"> observed that the North Shore and Corio rail services “suffer from low patronage [and] poor passenger amenity and lack integration with their surrounding area”. The plan then recommends upgrading the North Geelong station. A recent photograph of this station suggests this planned upgrade and integration did not occur (see Figure </w:t>
      </w:r>
      <w:r w:rsidR="002563C7" w:rsidRPr="778E395A">
        <w:rPr>
          <w:rFonts w:asciiTheme="majorHAnsi" w:hAnsiTheme="majorHAnsi" w:cstheme="majorBidi"/>
          <w:sz w:val="23"/>
          <w:szCs w:val="23"/>
        </w:rPr>
        <w:t>7</w:t>
      </w:r>
      <w:r w:rsidRPr="778E395A">
        <w:rPr>
          <w:rFonts w:asciiTheme="majorHAnsi" w:hAnsiTheme="majorHAnsi" w:cstheme="majorBidi"/>
          <w:sz w:val="23"/>
          <w:szCs w:val="23"/>
        </w:rPr>
        <w:t>.</w:t>
      </w:r>
      <w:r w:rsidR="22259265" w:rsidRPr="778E395A">
        <w:rPr>
          <w:rFonts w:asciiTheme="majorHAnsi" w:hAnsiTheme="majorHAnsi" w:cstheme="majorBidi"/>
          <w:sz w:val="23"/>
          <w:szCs w:val="23"/>
        </w:rPr>
        <w:t>7</w:t>
      </w:r>
      <w:r w:rsidRPr="778E395A">
        <w:rPr>
          <w:rFonts w:asciiTheme="majorHAnsi" w:hAnsiTheme="majorHAnsi" w:cstheme="majorBidi"/>
          <w:sz w:val="23"/>
          <w:szCs w:val="23"/>
        </w:rPr>
        <w:t>, above). It is not clear how many local residents use the relatively infrequent intercity train as a commuter service.</w:t>
      </w:r>
    </w:p>
    <w:p w14:paraId="0D753A17" w14:textId="77777777" w:rsidR="00F00E3D" w:rsidRPr="000158ED" w:rsidRDefault="00F00E3D" w:rsidP="00853850">
      <w:pPr>
        <w:spacing w:after="0" w:line="276" w:lineRule="auto"/>
        <w:rPr>
          <w:rFonts w:asciiTheme="majorHAnsi" w:hAnsiTheme="majorHAnsi" w:cstheme="majorHAnsi"/>
          <w:sz w:val="12"/>
          <w:szCs w:val="12"/>
        </w:rPr>
      </w:pPr>
    </w:p>
    <w:p w14:paraId="65424DC9" w14:textId="3E272D76" w:rsidR="00F00E3D" w:rsidRPr="00316F78" w:rsidRDefault="00853850" w:rsidP="009B2FA7">
      <w:pPr>
        <w:spacing w:line="276" w:lineRule="auto"/>
        <w:rPr>
          <w:rFonts w:cstheme="minorHAnsi"/>
          <w:b/>
          <w:bCs/>
          <w:sz w:val="23"/>
          <w:szCs w:val="23"/>
        </w:rPr>
      </w:pPr>
      <w:r w:rsidRPr="00316F78">
        <w:rPr>
          <w:rFonts w:cstheme="minorHAnsi"/>
          <w:b/>
          <w:bCs/>
          <w:sz w:val="23"/>
          <w:szCs w:val="23"/>
        </w:rPr>
        <w:t>Local Shops</w:t>
      </w:r>
      <w:r w:rsidR="00BB0963" w:rsidRPr="00BB0963">
        <w:rPr>
          <w:rFonts w:cstheme="minorHAnsi"/>
          <w:b/>
          <w:bCs/>
          <w:sz w:val="23"/>
          <w:szCs w:val="23"/>
        </w:rPr>
        <w:t xml:space="preserve"> </w:t>
      </w:r>
      <w:r w:rsidR="00BB0963">
        <w:rPr>
          <w:rFonts w:cstheme="minorHAnsi"/>
          <w:b/>
          <w:bCs/>
          <w:sz w:val="23"/>
          <w:szCs w:val="23"/>
        </w:rPr>
        <w:t xml:space="preserve">and </w:t>
      </w:r>
      <w:r w:rsidR="00BB0963" w:rsidRPr="00316F78">
        <w:rPr>
          <w:rFonts w:cstheme="minorHAnsi"/>
          <w:b/>
          <w:bCs/>
          <w:sz w:val="23"/>
          <w:szCs w:val="23"/>
        </w:rPr>
        <w:t>Retail</w:t>
      </w:r>
    </w:p>
    <w:p w14:paraId="3BAEF229" w14:textId="4ABBCB7C" w:rsidR="00F00E3D" w:rsidRPr="00E91887" w:rsidRDefault="00F00E3D" w:rsidP="6A3610E4">
      <w:pPr>
        <w:spacing w:line="276" w:lineRule="auto"/>
        <w:rPr>
          <w:rFonts w:asciiTheme="majorHAnsi" w:hAnsiTheme="majorHAnsi" w:cstheme="majorBidi"/>
          <w:sz w:val="23"/>
          <w:szCs w:val="23"/>
        </w:rPr>
      </w:pPr>
      <w:r w:rsidRPr="778E395A">
        <w:rPr>
          <w:rFonts w:asciiTheme="majorHAnsi" w:hAnsiTheme="majorHAnsi" w:cstheme="majorBidi"/>
          <w:sz w:val="23"/>
          <w:szCs w:val="23"/>
        </w:rPr>
        <w:t xml:space="preserve">The </w:t>
      </w:r>
      <w:r w:rsidRPr="778E395A">
        <w:rPr>
          <w:rFonts w:asciiTheme="majorHAnsi" w:hAnsiTheme="majorHAnsi" w:cstheme="majorBidi"/>
          <w:i/>
          <w:iCs/>
          <w:sz w:val="23"/>
          <w:szCs w:val="23"/>
        </w:rPr>
        <w:t>Corio</w:t>
      </w:r>
      <w:r w:rsidR="00853850" w:rsidRPr="778E395A">
        <w:rPr>
          <w:rFonts w:asciiTheme="majorHAnsi" w:hAnsiTheme="majorHAnsi" w:cstheme="majorBidi"/>
          <w:i/>
          <w:iCs/>
          <w:sz w:val="23"/>
          <w:szCs w:val="23"/>
        </w:rPr>
        <w:t>–</w:t>
      </w:r>
      <w:r w:rsidRPr="778E395A">
        <w:rPr>
          <w:rFonts w:asciiTheme="majorHAnsi" w:hAnsiTheme="majorHAnsi" w:cstheme="majorBidi"/>
          <w:i/>
          <w:iCs/>
          <w:sz w:val="23"/>
          <w:szCs w:val="23"/>
        </w:rPr>
        <w:t xml:space="preserve">Norlane Structure Plan </w:t>
      </w:r>
      <w:r w:rsidRPr="778E395A">
        <w:rPr>
          <w:rFonts w:asciiTheme="majorHAnsi" w:hAnsiTheme="majorHAnsi" w:cstheme="majorBidi"/>
          <w:noProof/>
          <w:sz w:val="23"/>
          <w:szCs w:val="23"/>
        </w:rPr>
        <w:t>(City of Greater Geelong Department of Planning and Community Development, 2012)</w:t>
      </w:r>
      <w:r w:rsidRPr="778E395A">
        <w:rPr>
          <w:rFonts w:asciiTheme="majorHAnsi" w:hAnsiTheme="majorHAnsi" w:cstheme="majorBidi"/>
          <w:sz w:val="23"/>
          <w:szCs w:val="23"/>
        </w:rPr>
        <w:t xml:space="preserve"> noted the existence of 19 shopping centres across these two </w:t>
      </w:r>
      <w:r w:rsidR="00853850" w:rsidRPr="778E395A">
        <w:rPr>
          <w:rFonts w:asciiTheme="majorHAnsi" w:hAnsiTheme="majorHAnsi" w:cstheme="majorBidi"/>
          <w:sz w:val="23"/>
          <w:szCs w:val="23"/>
        </w:rPr>
        <w:t>suburbs,</w:t>
      </w:r>
      <w:r w:rsidRPr="778E395A">
        <w:rPr>
          <w:rFonts w:asciiTheme="majorHAnsi" w:hAnsiTheme="majorHAnsi" w:cstheme="majorBidi"/>
          <w:sz w:val="23"/>
          <w:szCs w:val="23"/>
        </w:rPr>
        <w:t xml:space="preserve"> before suggesting that </w:t>
      </w:r>
      <w:r w:rsidR="00170A75" w:rsidRPr="778E395A">
        <w:rPr>
          <w:rFonts w:asciiTheme="majorHAnsi" w:hAnsiTheme="majorHAnsi" w:cstheme="majorBidi"/>
          <w:sz w:val="23"/>
          <w:szCs w:val="23"/>
        </w:rPr>
        <w:t xml:space="preserve">of those 19, </w:t>
      </w:r>
      <w:r w:rsidRPr="778E395A">
        <w:rPr>
          <w:rFonts w:asciiTheme="majorHAnsi" w:hAnsiTheme="majorHAnsi" w:cstheme="majorBidi"/>
          <w:sz w:val="23"/>
          <w:szCs w:val="23"/>
        </w:rPr>
        <w:t xml:space="preserve">only </w:t>
      </w:r>
      <w:r w:rsidR="00853850" w:rsidRPr="778E395A">
        <w:rPr>
          <w:rFonts w:asciiTheme="majorHAnsi" w:hAnsiTheme="majorHAnsi" w:cstheme="majorBidi"/>
          <w:sz w:val="23"/>
          <w:szCs w:val="23"/>
        </w:rPr>
        <w:t xml:space="preserve">the </w:t>
      </w:r>
      <w:r w:rsidRPr="778E395A">
        <w:rPr>
          <w:rFonts w:asciiTheme="majorHAnsi" w:hAnsiTheme="majorHAnsi" w:cstheme="majorBidi"/>
          <w:sz w:val="23"/>
          <w:szCs w:val="23"/>
        </w:rPr>
        <w:t xml:space="preserve">Bell Post Hill </w:t>
      </w:r>
      <w:r w:rsidR="00853850" w:rsidRPr="778E395A">
        <w:rPr>
          <w:rFonts w:asciiTheme="majorHAnsi" w:hAnsiTheme="majorHAnsi" w:cstheme="majorBidi"/>
          <w:sz w:val="23"/>
          <w:szCs w:val="23"/>
        </w:rPr>
        <w:t xml:space="preserve">shopping centre </w:t>
      </w:r>
      <w:r w:rsidRPr="778E395A">
        <w:rPr>
          <w:rFonts w:asciiTheme="majorHAnsi" w:hAnsiTheme="majorHAnsi" w:cstheme="majorBidi"/>
          <w:sz w:val="23"/>
          <w:szCs w:val="23"/>
        </w:rPr>
        <w:t xml:space="preserve">“works”. The plan </w:t>
      </w:r>
      <w:r w:rsidR="00170A75" w:rsidRPr="778E395A">
        <w:rPr>
          <w:rFonts w:asciiTheme="majorHAnsi" w:hAnsiTheme="majorHAnsi" w:cstheme="majorBidi"/>
          <w:sz w:val="23"/>
          <w:szCs w:val="23"/>
        </w:rPr>
        <w:t>recommending priority action to</w:t>
      </w:r>
      <w:r w:rsidRPr="778E395A">
        <w:rPr>
          <w:rFonts w:asciiTheme="majorHAnsi" w:hAnsiTheme="majorHAnsi" w:cstheme="majorBidi"/>
          <w:sz w:val="23"/>
          <w:szCs w:val="23"/>
        </w:rPr>
        <w:t>: “Improve the role, function and presentation of local shopping centres”, especially Labuan Square (</w:t>
      </w:r>
      <w:r w:rsidR="00170A75" w:rsidRPr="778E395A">
        <w:rPr>
          <w:rFonts w:asciiTheme="majorHAnsi" w:hAnsiTheme="majorHAnsi" w:cstheme="majorBidi"/>
          <w:sz w:val="23"/>
          <w:szCs w:val="23"/>
        </w:rPr>
        <w:t xml:space="preserve">see </w:t>
      </w:r>
      <w:r w:rsidRPr="778E395A">
        <w:rPr>
          <w:rFonts w:asciiTheme="majorHAnsi" w:hAnsiTheme="majorHAnsi" w:cstheme="majorBidi"/>
          <w:sz w:val="23"/>
          <w:szCs w:val="23"/>
        </w:rPr>
        <w:t xml:space="preserve">Figure </w:t>
      </w:r>
      <w:r w:rsidR="00170A75" w:rsidRPr="778E395A">
        <w:rPr>
          <w:rFonts w:asciiTheme="majorHAnsi" w:hAnsiTheme="majorHAnsi" w:cstheme="majorBidi"/>
          <w:sz w:val="23"/>
          <w:szCs w:val="23"/>
        </w:rPr>
        <w:t>7</w:t>
      </w:r>
      <w:r w:rsidRPr="778E395A">
        <w:rPr>
          <w:rFonts w:asciiTheme="majorHAnsi" w:hAnsiTheme="majorHAnsi" w:cstheme="majorBidi"/>
          <w:sz w:val="23"/>
          <w:szCs w:val="23"/>
        </w:rPr>
        <w:t>.</w:t>
      </w:r>
      <w:r w:rsidR="29F77495" w:rsidRPr="778E395A">
        <w:rPr>
          <w:rFonts w:asciiTheme="majorHAnsi" w:hAnsiTheme="majorHAnsi" w:cstheme="majorBidi"/>
          <w:sz w:val="23"/>
          <w:szCs w:val="23"/>
        </w:rPr>
        <w:t>7</w:t>
      </w:r>
      <w:r w:rsidRPr="778E395A">
        <w:rPr>
          <w:rFonts w:asciiTheme="majorHAnsi" w:hAnsiTheme="majorHAnsi" w:cstheme="majorBidi"/>
          <w:sz w:val="23"/>
          <w:szCs w:val="23"/>
        </w:rPr>
        <w:t>). It also recommended that the Corio Shopping Village become a much larger centre</w:t>
      </w:r>
      <w:r w:rsidR="00170A75" w:rsidRPr="778E395A">
        <w:rPr>
          <w:rFonts w:asciiTheme="majorHAnsi" w:hAnsiTheme="majorHAnsi" w:cstheme="majorBidi"/>
          <w:sz w:val="23"/>
          <w:szCs w:val="23"/>
        </w:rPr>
        <w:t>,</w:t>
      </w:r>
      <w:r w:rsidRPr="778E395A">
        <w:rPr>
          <w:rFonts w:asciiTheme="majorHAnsi" w:hAnsiTheme="majorHAnsi" w:cstheme="majorBidi"/>
          <w:sz w:val="23"/>
          <w:szCs w:val="23"/>
        </w:rPr>
        <w:t xml:space="preserve"> </w:t>
      </w:r>
      <w:r w:rsidR="00853850" w:rsidRPr="778E395A">
        <w:rPr>
          <w:rFonts w:asciiTheme="majorHAnsi" w:hAnsiTheme="majorHAnsi" w:cstheme="majorBidi"/>
          <w:sz w:val="23"/>
          <w:szCs w:val="23"/>
        </w:rPr>
        <w:t>somehow connecting to</w:t>
      </w:r>
      <w:r w:rsidRPr="778E395A">
        <w:rPr>
          <w:rFonts w:asciiTheme="majorHAnsi" w:hAnsiTheme="majorHAnsi" w:cstheme="majorBidi"/>
          <w:sz w:val="23"/>
          <w:szCs w:val="23"/>
        </w:rPr>
        <w:t xml:space="preserve"> a tree</w:t>
      </w:r>
      <w:r w:rsidR="00853850" w:rsidRPr="778E395A">
        <w:rPr>
          <w:rFonts w:asciiTheme="majorHAnsi" w:hAnsiTheme="majorHAnsi" w:cstheme="majorBidi"/>
          <w:sz w:val="23"/>
          <w:szCs w:val="23"/>
        </w:rPr>
        <w:t>-line</w:t>
      </w:r>
      <w:r w:rsidRPr="778E395A">
        <w:rPr>
          <w:rFonts w:asciiTheme="majorHAnsi" w:hAnsiTheme="majorHAnsi" w:cstheme="majorBidi"/>
          <w:sz w:val="23"/>
          <w:szCs w:val="23"/>
        </w:rPr>
        <w:t xml:space="preserve">d boulevard </w:t>
      </w:r>
      <w:r w:rsidR="00170A75" w:rsidRPr="778E395A">
        <w:rPr>
          <w:rFonts w:asciiTheme="majorHAnsi" w:hAnsiTheme="majorHAnsi" w:cstheme="majorBidi"/>
          <w:sz w:val="23"/>
          <w:szCs w:val="23"/>
        </w:rPr>
        <w:t>on</w:t>
      </w:r>
      <w:r w:rsidRPr="778E395A">
        <w:rPr>
          <w:rFonts w:asciiTheme="majorHAnsi" w:hAnsiTheme="majorHAnsi" w:cstheme="majorBidi"/>
          <w:sz w:val="23"/>
          <w:szCs w:val="23"/>
        </w:rPr>
        <w:t xml:space="preserve"> Bacchus Marsh Road </w:t>
      </w:r>
      <w:r w:rsidR="00170A75" w:rsidRPr="778E395A">
        <w:rPr>
          <w:rFonts w:asciiTheme="majorHAnsi" w:hAnsiTheme="majorHAnsi" w:cstheme="majorBidi"/>
          <w:sz w:val="23"/>
          <w:szCs w:val="23"/>
        </w:rPr>
        <w:t>and</w:t>
      </w:r>
      <w:r w:rsidRPr="778E395A">
        <w:rPr>
          <w:rFonts w:asciiTheme="majorHAnsi" w:hAnsiTheme="majorHAnsi" w:cstheme="majorBidi"/>
          <w:sz w:val="23"/>
          <w:szCs w:val="23"/>
        </w:rPr>
        <w:t xml:space="preserve"> a redeveloped Waterworld precinct. This has not occurred, as the Waterworld precinct is now a major health hub</w:t>
      </w:r>
      <w:r w:rsidR="00170A75" w:rsidRPr="778E395A">
        <w:rPr>
          <w:rFonts w:asciiTheme="majorHAnsi" w:hAnsiTheme="majorHAnsi" w:cstheme="majorBidi"/>
          <w:sz w:val="23"/>
          <w:szCs w:val="23"/>
        </w:rPr>
        <w:t>,</w:t>
      </w:r>
      <w:r w:rsidRPr="778E395A">
        <w:rPr>
          <w:rFonts w:asciiTheme="majorHAnsi" w:hAnsiTheme="majorHAnsi" w:cstheme="majorBidi"/>
          <w:sz w:val="23"/>
          <w:szCs w:val="23"/>
        </w:rPr>
        <w:t xml:space="preserve"> and Bacchus Marsh Road remains a formidable arterial barrier. As one Norlane resident observed: “</w:t>
      </w:r>
      <w:r w:rsidR="00170A75" w:rsidRPr="778E395A">
        <w:rPr>
          <w:rFonts w:asciiTheme="majorHAnsi" w:hAnsiTheme="majorHAnsi" w:cstheme="majorBidi"/>
          <w:sz w:val="23"/>
          <w:szCs w:val="23"/>
        </w:rPr>
        <w:t>T</w:t>
      </w:r>
      <w:r w:rsidRPr="778E395A">
        <w:rPr>
          <w:rFonts w:asciiTheme="majorHAnsi" w:hAnsiTheme="majorHAnsi" w:cstheme="majorBidi"/>
          <w:sz w:val="23"/>
          <w:szCs w:val="23"/>
        </w:rPr>
        <w:t>his plan involved great consultation but then it was ignored!”</w:t>
      </w:r>
      <w:r w:rsidR="0B08897E" w:rsidRPr="778E395A">
        <w:rPr>
          <w:rFonts w:asciiTheme="majorHAnsi" w:hAnsiTheme="majorHAnsi" w:cstheme="majorBidi"/>
          <w:sz w:val="23"/>
          <w:szCs w:val="23"/>
        </w:rPr>
        <w:t xml:space="preserve"> (Resident conversation 16.2.21)</w:t>
      </w:r>
      <w:r w:rsidRPr="778E395A">
        <w:rPr>
          <w:rFonts w:asciiTheme="majorHAnsi" w:hAnsiTheme="majorHAnsi" w:cstheme="majorBidi"/>
          <w:sz w:val="23"/>
          <w:szCs w:val="23"/>
        </w:rPr>
        <w:t>.</w:t>
      </w:r>
    </w:p>
    <w:p w14:paraId="418CD614" w14:textId="0E1CA19A" w:rsidR="00F00E3D" w:rsidRDefault="00170A75" w:rsidP="778E395A">
      <w:pPr>
        <w:spacing w:line="276" w:lineRule="auto"/>
        <w:rPr>
          <w:rFonts w:asciiTheme="majorHAnsi" w:hAnsiTheme="majorHAnsi" w:cstheme="majorBidi"/>
          <w:sz w:val="23"/>
          <w:szCs w:val="23"/>
        </w:rPr>
      </w:pPr>
      <w:r w:rsidRPr="778E395A">
        <w:rPr>
          <w:rFonts w:asciiTheme="majorHAnsi" w:hAnsiTheme="majorHAnsi" w:cstheme="majorBidi"/>
          <w:sz w:val="23"/>
          <w:szCs w:val="23"/>
        </w:rPr>
        <w:t>As</w:t>
      </w:r>
      <w:r w:rsidR="00F00E3D" w:rsidRPr="778E395A">
        <w:rPr>
          <w:rFonts w:asciiTheme="majorHAnsi" w:hAnsiTheme="majorHAnsi" w:cstheme="majorBidi"/>
          <w:sz w:val="23"/>
          <w:szCs w:val="23"/>
        </w:rPr>
        <w:t xml:space="preserve"> </w:t>
      </w:r>
      <w:r w:rsidRPr="778E395A">
        <w:rPr>
          <w:rFonts w:asciiTheme="majorHAnsi" w:hAnsiTheme="majorHAnsi" w:cstheme="majorBidi"/>
          <w:sz w:val="23"/>
          <w:szCs w:val="23"/>
        </w:rPr>
        <w:t>Figures 7.</w:t>
      </w:r>
      <w:r w:rsidR="213578D0" w:rsidRPr="778E395A">
        <w:rPr>
          <w:rFonts w:asciiTheme="majorHAnsi" w:hAnsiTheme="majorHAnsi" w:cstheme="majorBidi"/>
          <w:sz w:val="23"/>
          <w:szCs w:val="23"/>
        </w:rPr>
        <w:t>8</w:t>
      </w:r>
      <w:r w:rsidRPr="778E395A">
        <w:rPr>
          <w:rFonts w:asciiTheme="majorHAnsi" w:hAnsiTheme="majorHAnsi" w:cstheme="majorBidi"/>
          <w:sz w:val="23"/>
          <w:szCs w:val="23"/>
        </w:rPr>
        <w:t xml:space="preserve"> and 7.</w:t>
      </w:r>
      <w:r w:rsidR="2A00D43C" w:rsidRPr="778E395A">
        <w:rPr>
          <w:rFonts w:asciiTheme="majorHAnsi" w:hAnsiTheme="majorHAnsi" w:cstheme="majorBidi"/>
          <w:sz w:val="23"/>
          <w:szCs w:val="23"/>
        </w:rPr>
        <w:t>9</w:t>
      </w:r>
      <w:r w:rsidR="00BC28E8" w:rsidRPr="778E395A">
        <w:rPr>
          <w:rFonts w:asciiTheme="majorHAnsi" w:hAnsiTheme="majorHAnsi" w:cstheme="majorBidi"/>
          <w:sz w:val="23"/>
          <w:szCs w:val="23"/>
        </w:rPr>
        <w:t xml:space="preserve"> </w:t>
      </w:r>
      <w:r w:rsidR="008F1005" w:rsidRPr="778E395A">
        <w:rPr>
          <w:rFonts w:asciiTheme="majorHAnsi" w:hAnsiTheme="majorHAnsi" w:cstheme="majorBidi"/>
          <w:sz w:val="23"/>
          <w:szCs w:val="23"/>
        </w:rPr>
        <w:t>show</w:t>
      </w:r>
      <w:r w:rsidR="00BC28E8" w:rsidRPr="778E395A">
        <w:rPr>
          <w:rFonts w:asciiTheme="majorHAnsi" w:hAnsiTheme="majorHAnsi" w:cstheme="majorBidi"/>
          <w:sz w:val="23"/>
          <w:szCs w:val="23"/>
        </w:rPr>
        <w:t xml:space="preserve"> (below)</w:t>
      </w:r>
      <w:r w:rsidR="00F00E3D" w:rsidRPr="778E395A">
        <w:rPr>
          <w:rFonts w:asciiTheme="majorHAnsi" w:hAnsiTheme="majorHAnsi" w:cstheme="majorBidi"/>
          <w:sz w:val="23"/>
          <w:szCs w:val="23"/>
        </w:rPr>
        <w:t xml:space="preserve">, the quality of local shopping </w:t>
      </w:r>
      <w:r w:rsidR="00BC28E8" w:rsidRPr="778E395A">
        <w:rPr>
          <w:rFonts w:asciiTheme="majorHAnsi" w:hAnsiTheme="majorHAnsi" w:cstheme="majorBidi"/>
          <w:sz w:val="23"/>
          <w:szCs w:val="23"/>
        </w:rPr>
        <w:t>strip</w:t>
      </w:r>
      <w:r w:rsidR="00F00E3D" w:rsidRPr="778E395A">
        <w:rPr>
          <w:rFonts w:asciiTheme="majorHAnsi" w:hAnsiTheme="majorHAnsi" w:cstheme="majorBidi"/>
          <w:sz w:val="23"/>
          <w:szCs w:val="23"/>
        </w:rPr>
        <w:t>s is very low</w:t>
      </w:r>
      <w:r w:rsidRPr="778E395A">
        <w:rPr>
          <w:rFonts w:asciiTheme="majorHAnsi" w:hAnsiTheme="majorHAnsi" w:cstheme="majorBidi"/>
          <w:sz w:val="23"/>
          <w:szCs w:val="23"/>
        </w:rPr>
        <w:t xml:space="preserve">. </w:t>
      </w:r>
      <w:r w:rsidR="000158ED" w:rsidRPr="778E395A">
        <w:rPr>
          <w:rFonts w:asciiTheme="majorHAnsi" w:hAnsiTheme="majorHAnsi" w:cstheme="majorBidi"/>
          <w:sz w:val="23"/>
          <w:szCs w:val="23"/>
        </w:rPr>
        <w:t xml:space="preserve">Locally, </w:t>
      </w:r>
      <w:r w:rsidRPr="778E395A">
        <w:rPr>
          <w:rFonts w:asciiTheme="majorHAnsi" w:hAnsiTheme="majorHAnsi" w:cstheme="majorBidi"/>
          <w:sz w:val="23"/>
          <w:szCs w:val="23"/>
        </w:rPr>
        <w:t>COVID-19 has highlighted</w:t>
      </w:r>
      <w:r w:rsidR="00F00E3D" w:rsidRPr="778E395A">
        <w:rPr>
          <w:rFonts w:asciiTheme="majorHAnsi" w:hAnsiTheme="majorHAnsi" w:cstheme="majorBidi"/>
          <w:sz w:val="23"/>
          <w:szCs w:val="23"/>
        </w:rPr>
        <w:t xml:space="preserve"> </w:t>
      </w:r>
      <w:r w:rsidR="002C40AE" w:rsidRPr="778E395A">
        <w:rPr>
          <w:rFonts w:asciiTheme="majorHAnsi" w:hAnsiTheme="majorHAnsi" w:cstheme="majorBidi"/>
          <w:sz w:val="23"/>
          <w:szCs w:val="23"/>
        </w:rPr>
        <w:t xml:space="preserve">a </w:t>
      </w:r>
      <w:r w:rsidR="000158ED" w:rsidRPr="778E395A">
        <w:rPr>
          <w:rFonts w:asciiTheme="majorHAnsi" w:hAnsiTheme="majorHAnsi" w:cstheme="majorBidi"/>
          <w:sz w:val="23"/>
          <w:szCs w:val="23"/>
        </w:rPr>
        <w:t>n</w:t>
      </w:r>
      <w:r w:rsidR="00F00E3D" w:rsidRPr="778E395A">
        <w:rPr>
          <w:rFonts w:asciiTheme="majorHAnsi" w:hAnsiTheme="majorHAnsi" w:cstheme="majorBidi"/>
          <w:sz w:val="23"/>
          <w:szCs w:val="23"/>
        </w:rPr>
        <w:t>eed for</w:t>
      </w:r>
      <w:r w:rsidRPr="778E395A">
        <w:rPr>
          <w:rFonts w:asciiTheme="majorHAnsi" w:hAnsiTheme="majorHAnsi" w:cstheme="majorBidi"/>
          <w:sz w:val="23"/>
          <w:szCs w:val="23"/>
        </w:rPr>
        <w:t xml:space="preserve"> more</w:t>
      </w:r>
      <w:r w:rsidR="00F00E3D" w:rsidRPr="778E395A">
        <w:rPr>
          <w:rFonts w:asciiTheme="majorHAnsi" w:hAnsiTheme="majorHAnsi" w:cstheme="majorBidi"/>
          <w:sz w:val="23"/>
          <w:szCs w:val="23"/>
        </w:rPr>
        <w:t xml:space="preserve"> walkable neighbourhoods</w:t>
      </w:r>
      <w:r w:rsidR="00F44B8A" w:rsidRPr="778E395A">
        <w:rPr>
          <w:rFonts w:asciiTheme="majorHAnsi" w:hAnsiTheme="majorHAnsi" w:cstheme="majorBidi"/>
          <w:sz w:val="23"/>
          <w:szCs w:val="23"/>
        </w:rPr>
        <w:t xml:space="preserve">, </w:t>
      </w:r>
      <w:r w:rsidR="00225EFE" w:rsidRPr="778E395A">
        <w:rPr>
          <w:rFonts w:asciiTheme="majorHAnsi" w:hAnsiTheme="majorHAnsi" w:cstheme="majorBidi"/>
          <w:sz w:val="23"/>
          <w:szCs w:val="23"/>
        </w:rPr>
        <w:t>more inclusive</w:t>
      </w:r>
      <w:r w:rsidR="00F44B8A" w:rsidRPr="778E395A">
        <w:rPr>
          <w:rFonts w:asciiTheme="majorHAnsi" w:hAnsiTheme="majorHAnsi" w:cstheme="majorBidi"/>
          <w:sz w:val="23"/>
          <w:szCs w:val="23"/>
        </w:rPr>
        <w:t xml:space="preserve"> public spaces,</w:t>
      </w:r>
      <w:r w:rsidR="00F00E3D" w:rsidRPr="778E395A">
        <w:rPr>
          <w:rFonts w:asciiTheme="majorHAnsi" w:hAnsiTheme="majorHAnsi" w:cstheme="majorBidi"/>
          <w:sz w:val="23"/>
          <w:szCs w:val="23"/>
        </w:rPr>
        <w:t xml:space="preserve"> and </w:t>
      </w:r>
      <w:r w:rsidR="00702FE4" w:rsidRPr="778E395A">
        <w:rPr>
          <w:rFonts w:asciiTheme="majorHAnsi" w:hAnsiTheme="majorHAnsi" w:cstheme="majorBidi"/>
          <w:sz w:val="23"/>
          <w:szCs w:val="23"/>
        </w:rPr>
        <w:t xml:space="preserve">more </w:t>
      </w:r>
      <w:r w:rsidR="00F00E3D" w:rsidRPr="778E395A">
        <w:rPr>
          <w:rFonts w:asciiTheme="majorHAnsi" w:hAnsiTheme="majorHAnsi" w:cstheme="majorBidi"/>
          <w:sz w:val="23"/>
          <w:szCs w:val="23"/>
        </w:rPr>
        <w:t>accessible services</w:t>
      </w:r>
      <w:r w:rsidR="00F44B8A" w:rsidRPr="778E395A">
        <w:rPr>
          <w:rFonts w:asciiTheme="majorHAnsi" w:hAnsiTheme="majorHAnsi" w:cstheme="majorBidi"/>
          <w:sz w:val="23"/>
          <w:szCs w:val="23"/>
        </w:rPr>
        <w:t xml:space="preserve"> and </w:t>
      </w:r>
      <w:r w:rsidR="00702FE4" w:rsidRPr="778E395A">
        <w:rPr>
          <w:rFonts w:asciiTheme="majorHAnsi" w:hAnsiTheme="majorHAnsi" w:cstheme="majorBidi"/>
          <w:sz w:val="23"/>
          <w:szCs w:val="23"/>
        </w:rPr>
        <w:t>facilities</w:t>
      </w:r>
      <w:r w:rsidR="00F00E3D" w:rsidRPr="778E395A">
        <w:rPr>
          <w:rFonts w:asciiTheme="majorHAnsi" w:hAnsiTheme="majorHAnsi" w:cstheme="majorBidi"/>
          <w:sz w:val="23"/>
          <w:szCs w:val="23"/>
        </w:rPr>
        <w:t>, especially quality food shops</w:t>
      </w:r>
      <w:r w:rsidR="00225EFE" w:rsidRPr="778E395A">
        <w:rPr>
          <w:rFonts w:asciiTheme="majorHAnsi" w:hAnsiTheme="majorHAnsi" w:cstheme="majorBidi"/>
          <w:sz w:val="23"/>
          <w:szCs w:val="23"/>
        </w:rPr>
        <w:t xml:space="preserve"> (see Section </w:t>
      </w:r>
      <w:r w:rsidR="000D5150" w:rsidRPr="778E395A">
        <w:rPr>
          <w:rFonts w:asciiTheme="majorHAnsi" w:hAnsiTheme="majorHAnsi" w:cstheme="majorBidi"/>
          <w:sz w:val="23"/>
          <w:szCs w:val="23"/>
        </w:rPr>
        <w:t>8</w:t>
      </w:r>
      <w:r w:rsidR="00225EFE" w:rsidRPr="778E395A">
        <w:rPr>
          <w:rFonts w:asciiTheme="majorHAnsi" w:hAnsiTheme="majorHAnsi" w:cstheme="majorBidi"/>
          <w:sz w:val="23"/>
          <w:szCs w:val="23"/>
        </w:rPr>
        <w:t>)</w:t>
      </w:r>
      <w:r w:rsidR="00F00E3D" w:rsidRPr="778E395A">
        <w:rPr>
          <w:rFonts w:asciiTheme="majorHAnsi" w:hAnsiTheme="majorHAnsi" w:cstheme="majorBidi"/>
          <w:sz w:val="23"/>
          <w:szCs w:val="23"/>
        </w:rPr>
        <w:t xml:space="preserve">. </w:t>
      </w:r>
      <w:r w:rsidR="000D5150" w:rsidRPr="778E395A">
        <w:rPr>
          <w:rFonts w:asciiTheme="majorHAnsi" w:hAnsiTheme="majorHAnsi" w:cstheme="majorBidi"/>
          <w:sz w:val="23"/>
          <w:szCs w:val="23"/>
        </w:rPr>
        <w:t xml:space="preserve">Across these two suburbs, </w:t>
      </w:r>
      <w:r w:rsidR="002C40AE" w:rsidRPr="778E395A">
        <w:rPr>
          <w:rFonts w:asciiTheme="majorHAnsi" w:hAnsiTheme="majorHAnsi" w:cstheme="majorBidi"/>
          <w:sz w:val="23"/>
          <w:szCs w:val="23"/>
        </w:rPr>
        <w:t>this present</w:t>
      </w:r>
      <w:r w:rsidR="001A5443" w:rsidRPr="778E395A">
        <w:rPr>
          <w:rFonts w:asciiTheme="majorHAnsi" w:hAnsiTheme="majorHAnsi" w:cstheme="majorBidi"/>
          <w:sz w:val="23"/>
          <w:szCs w:val="23"/>
        </w:rPr>
        <w:t>s</w:t>
      </w:r>
      <w:r w:rsidR="00F00E3D" w:rsidRPr="778E395A">
        <w:rPr>
          <w:rFonts w:asciiTheme="majorHAnsi" w:hAnsiTheme="majorHAnsi" w:cstheme="majorBidi"/>
          <w:sz w:val="23"/>
          <w:szCs w:val="23"/>
        </w:rPr>
        <w:t xml:space="preserve"> </w:t>
      </w:r>
      <w:r w:rsidR="00DB7D7E" w:rsidRPr="778E395A">
        <w:rPr>
          <w:rFonts w:asciiTheme="majorHAnsi" w:hAnsiTheme="majorHAnsi" w:cstheme="majorBidi"/>
          <w:sz w:val="23"/>
          <w:szCs w:val="23"/>
        </w:rPr>
        <w:t xml:space="preserve">both </w:t>
      </w:r>
      <w:r w:rsidR="000D5150" w:rsidRPr="778E395A">
        <w:rPr>
          <w:rFonts w:asciiTheme="majorHAnsi" w:hAnsiTheme="majorHAnsi" w:cstheme="majorBidi"/>
          <w:sz w:val="23"/>
          <w:szCs w:val="23"/>
        </w:rPr>
        <w:t>a</w:t>
      </w:r>
      <w:r w:rsidR="00F00E3D" w:rsidRPr="778E395A">
        <w:rPr>
          <w:rFonts w:asciiTheme="majorHAnsi" w:hAnsiTheme="majorHAnsi" w:cstheme="majorBidi"/>
          <w:sz w:val="23"/>
          <w:szCs w:val="23"/>
        </w:rPr>
        <w:t xml:space="preserve"> planning</w:t>
      </w:r>
      <w:r w:rsidR="00DB7D7E" w:rsidRPr="778E395A">
        <w:rPr>
          <w:rFonts w:asciiTheme="majorHAnsi" w:hAnsiTheme="majorHAnsi" w:cstheme="majorBidi"/>
          <w:sz w:val="23"/>
          <w:szCs w:val="23"/>
        </w:rPr>
        <w:t xml:space="preserve"> challenge</w:t>
      </w:r>
      <w:r w:rsidR="00F00E3D" w:rsidRPr="778E395A">
        <w:rPr>
          <w:rFonts w:asciiTheme="majorHAnsi" w:hAnsiTheme="majorHAnsi" w:cstheme="majorBidi"/>
          <w:sz w:val="23"/>
          <w:szCs w:val="23"/>
        </w:rPr>
        <w:t xml:space="preserve"> </w:t>
      </w:r>
      <w:r w:rsidR="000D5150" w:rsidRPr="778E395A">
        <w:rPr>
          <w:rFonts w:asciiTheme="majorHAnsi" w:hAnsiTheme="majorHAnsi" w:cstheme="majorBidi"/>
          <w:sz w:val="23"/>
          <w:szCs w:val="23"/>
        </w:rPr>
        <w:t>and</w:t>
      </w:r>
      <w:r w:rsidR="00DB7D7E" w:rsidRPr="778E395A">
        <w:rPr>
          <w:rFonts w:asciiTheme="majorHAnsi" w:hAnsiTheme="majorHAnsi" w:cstheme="majorBidi"/>
          <w:sz w:val="23"/>
          <w:szCs w:val="23"/>
        </w:rPr>
        <w:t xml:space="preserve"> a</w:t>
      </w:r>
      <w:r w:rsidR="00F00E3D" w:rsidRPr="778E395A">
        <w:rPr>
          <w:rFonts w:asciiTheme="majorHAnsi" w:hAnsiTheme="majorHAnsi" w:cstheme="majorBidi"/>
          <w:sz w:val="23"/>
          <w:szCs w:val="23"/>
        </w:rPr>
        <w:t xml:space="preserve"> commercial </w:t>
      </w:r>
      <w:r w:rsidR="00DB7D7E" w:rsidRPr="778E395A">
        <w:rPr>
          <w:rFonts w:asciiTheme="majorHAnsi" w:hAnsiTheme="majorHAnsi" w:cstheme="majorBidi"/>
          <w:sz w:val="23"/>
          <w:szCs w:val="23"/>
        </w:rPr>
        <w:t>one: how to</w:t>
      </w:r>
      <w:r w:rsidR="00F00E3D" w:rsidRPr="778E395A">
        <w:rPr>
          <w:rFonts w:asciiTheme="majorHAnsi" w:hAnsiTheme="majorHAnsi" w:cstheme="majorBidi"/>
          <w:sz w:val="23"/>
          <w:szCs w:val="23"/>
        </w:rPr>
        <w:t xml:space="preserve"> rationalise </w:t>
      </w:r>
      <w:r w:rsidR="001A5443" w:rsidRPr="778E395A">
        <w:rPr>
          <w:rFonts w:asciiTheme="majorHAnsi" w:hAnsiTheme="majorHAnsi" w:cstheme="majorBidi"/>
          <w:sz w:val="23"/>
          <w:szCs w:val="23"/>
        </w:rPr>
        <w:t>and</w:t>
      </w:r>
      <w:r w:rsidR="00F00E3D" w:rsidRPr="778E395A">
        <w:rPr>
          <w:rFonts w:asciiTheme="majorHAnsi" w:hAnsiTheme="majorHAnsi" w:cstheme="majorBidi"/>
          <w:sz w:val="23"/>
          <w:szCs w:val="23"/>
        </w:rPr>
        <w:t xml:space="preserve"> boost some key neighbourhood shopping precincts</w:t>
      </w:r>
      <w:r w:rsidR="00775D44" w:rsidRPr="778E395A">
        <w:rPr>
          <w:rFonts w:asciiTheme="majorHAnsi" w:hAnsiTheme="majorHAnsi" w:cstheme="majorBidi"/>
          <w:sz w:val="23"/>
          <w:szCs w:val="23"/>
        </w:rPr>
        <w:t>.</w:t>
      </w:r>
      <w:r w:rsidR="00F00E3D" w:rsidRPr="778E395A">
        <w:rPr>
          <w:rFonts w:asciiTheme="majorHAnsi" w:hAnsiTheme="majorHAnsi" w:cstheme="majorBidi"/>
          <w:sz w:val="23"/>
          <w:szCs w:val="23"/>
        </w:rPr>
        <w:t xml:space="preserve"> </w:t>
      </w:r>
      <w:r w:rsidR="00775D44" w:rsidRPr="778E395A">
        <w:rPr>
          <w:rFonts w:asciiTheme="majorHAnsi" w:hAnsiTheme="majorHAnsi" w:cstheme="majorBidi"/>
          <w:sz w:val="23"/>
          <w:szCs w:val="23"/>
        </w:rPr>
        <w:t xml:space="preserve">This could be </w:t>
      </w:r>
      <w:r w:rsidR="00A76BC3" w:rsidRPr="778E395A">
        <w:rPr>
          <w:rFonts w:asciiTheme="majorHAnsi" w:hAnsiTheme="majorHAnsi" w:cstheme="majorBidi"/>
          <w:sz w:val="23"/>
          <w:szCs w:val="23"/>
        </w:rPr>
        <w:t xml:space="preserve">done as </w:t>
      </w:r>
      <w:r w:rsidR="00775D44" w:rsidRPr="778E395A">
        <w:rPr>
          <w:rFonts w:asciiTheme="majorHAnsi" w:hAnsiTheme="majorHAnsi" w:cstheme="majorBidi"/>
          <w:sz w:val="23"/>
          <w:szCs w:val="23"/>
        </w:rPr>
        <w:t>part of an initiative</w:t>
      </w:r>
      <w:r w:rsidR="00F00E3D" w:rsidRPr="778E395A">
        <w:rPr>
          <w:rFonts w:asciiTheme="majorHAnsi" w:hAnsiTheme="majorHAnsi" w:cstheme="majorBidi"/>
          <w:sz w:val="23"/>
          <w:szCs w:val="23"/>
        </w:rPr>
        <w:t xml:space="preserve"> </w:t>
      </w:r>
      <w:r w:rsidR="00775D44" w:rsidRPr="778E395A">
        <w:rPr>
          <w:rFonts w:asciiTheme="majorHAnsi" w:hAnsiTheme="majorHAnsi" w:cstheme="majorBidi"/>
          <w:sz w:val="23"/>
          <w:szCs w:val="23"/>
        </w:rPr>
        <w:t>engaging</w:t>
      </w:r>
      <w:r w:rsidR="00F00E3D" w:rsidRPr="778E395A">
        <w:rPr>
          <w:rFonts w:asciiTheme="majorHAnsi" w:hAnsiTheme="majorHAnsi" w:cstheme="majorBidi"/>
          <w:sz w:val="23"/>
          <w:szCs w:val="23"/>
        </w:rPr>
        <w:t xml:space="preserve"> </w:t>
      </w:r>
      <w:r w:rsidR="00775D44" w:rsidRPr="778E395A">
        <w:rPr>
          <w:rFonts w:asciiTheme="majorHAnsi" w:hAnsiTheme="majorHAnsi" w:cstheme="majorBidi"/>
          <w:sz w:val="23"/>
          <w:szCs w:val="23"/>
        </w:rPr>
        <w:t>local</w:t>
      </w:r>
      <w:r w:rsidR="00F00E3D" w:rsidRPr="778E395A">
        <w:rPr>
          <w:rFonts w:asciiTheme="majorHAnsi" w:hAnsiTheme="majorHAnsi" w:cstheme="majorBidi"/>
          <w:sz w:val="23"/>
          <w:szCs w:val="23"/>
        </w:rPr>
        <w:t xml:space="preserve"> communities</w:t>
      </w:r>
      <w:r w:rsidR="00775D44" w:rsidRPr="778E395A">
        <w:rPr>
          <w:rFonts w:asciiTheme="majorHAnsi" w:hAnsiTheme="majorHAnsi" w:cstheme="majorBidi"/>
          <w:sz w:val="23"/>
          <w:szCs w:val="23"/>
        </w:rPr>
        <w:t xml:space="preserve"> and groups – for example, </w:t>
      </w:r>
      <w:r w:rsidR="00F00E3D" w:rsidRPr="778E395A">
        <w:rPr>
          <w:rFonts w:asciiTheme="majorHAnsi" w:hAnsiTheme="majorHAnsi" w:cstheme="majorBidi"/>
          <w:sz w:val="23"/>
          <w:szCs w:val="23"/>
        </w:rPr>
        <w:t xml:space="preserve">an array of ethnic restaurants in Labuan Square, </w:t>
      </w:r>
      <w:r w:rsidR="006F729E" w:rsidRPr="778E395A">
        <w:rPr>
          <w:rFonts w:asciiTheme="majorHAnsi" w:hAnsiTheme="majorHAnsi" w:cstheme="majorBidi"/>
          <w:sz w:val="23"/>
          <w:szCs w:val="23"/>
        </w:rPr>
        <w:t>building</w:t>
      </w:r>
      <w:r w:rsidR="00310B15" w:rsidRPr="778E395A">
        <w:rPr>
          <w:rFonts w:asciiTheme="majorHAnsi" w:hAnsiTheme="majorHAnsi" w:cstheme="majorBidi"/>
          <w:sz w:val="23"/>
          <w:szCs w:val="23"/>
        </w:rPr>
        <w:t xml:space="preserve"> </w:t>
      </w:r>
      <w:r w:rsidR="0077350A" w:rsidRPr="778E395A">
        <w:rPr>
          <w:rFonts w:asciiTheme="majorHAnsi" w:hAnsiTheme="majorHAnsi" w:cstheme="majorBidi"/>
          <w:sz w:val="23"/>
          <w:szCs w:val="23"/>
        </w:rPr>
        <w:t>on</w:t>
      </w:r>
      <w:r w:rsidR="00310B15" w:rsidRPr="778E395A">
        <w:rPr>
          <w:rFonts w:asciiTheme="majorHAnsi" w:hAnsiTheme="majorHAnsi" w:cstheme="majorBidi"/>
          <w:sz w:val="23"/>
          <w:szCs w:val="23"/>
        </w:rPr>
        <w:t xml:space="preserve"> local</w:t>
      </w:r>
      <w:r w:rsidR="00F00E3D" w:rsidRPr="778E395A">
        <w:rPr>
          <w:rFonts w:asciiTheme="majorHAnsi" w:hAnsiTheme="majorHAnsi" w:cstheme="majorBidi"/>
          <w:sz w:val="23"/>
          <w:szCs w:val="23"/>
        </w:rPr>
        <w:t xml:space="preserve"> culinary and business skills within local refugee and </w:t>
      </w:r>
      <w:r w:rsidR="006A67B3" w:rsidRPr="778E395A">
        <w:rPr>
          <w:rFonts w:asciiTheme="majorHAnsi" w:hAnsiTheme="majorHAnsi" w:cstheme="majorBidi"/>
          <w:sz w:val="23"/>
          <w:szCs w:val="23"/>
        </w:rPr>
        <w:t>cultural</w:t>
      </w:r>
      <w:r w:rsidR="00F00E3D" w:rsidRPr="778E395A">
        <w:rPr>
          <w:rFonts w:asciiTheme="majorHAnsi" w:hAnsiTheme="majorHAnsi" w:cstheme="majorBidi"/>
          <w:sz w:val="23"/>
          <w:szCs w:val="23"/>
        </w:rPr>
        <w:t xml:space="preserve"> communities</w:t>
      </w:r>
      <w:r w:rsidR="001010EE" w:rsidRPr="778E395A">
        <w:rPr>
          <w:rFonts w:asciiTheme="majorHAnsi" w:hAnsiTheme="majorHAnsi" w:cstheme="majorBidi"/>
          <w:sz w:val="23"/>
          <w:szCs w:val="23"/>
        </w:rPr>
        <w:t>. Th</w:t>
      </w:r>
      <w:r w:rsidR="0052403C" w:rsidRPr="778E395A">
        <w:rPr>
          <w:rFonts w:asciiTheme="majorHAnsi" w:hAnsiTheme="majorHAnsi" w:cstheme="majorBidi"/>
          <w:sz w:val="23"/>
          <w:szCs w:val="23"/>
        </w:rPr>
        <w:t xml:space="preserve">is </w:t>
      </w:r>
      <w:r w:rsidR="00F00E3D" w:rsidRPr="778E395A">
        <w:rPr>
          <w:rFonts w:asciiTheme="majorHAnsi" w:hAnsiTheme="majorHAnsi" w:cstheme="majorBidi"/>
          <w:sz w:val="23"/>
          <w:szCs w:val="23"/>
        </w:rPr>
        <w:t>c</w:t>
      </w:r>
      <w:r w:rsidR="006A67B3" w:rsidRPr="778E395A">
        <w:rPr>
          <w:rFonts w:asciiTheme="majorHAnsi" w:hAnsiTheme="majorHAnsi" w:cstheme="majorBidi"/>
          <w:sz w:val="23"/>
          <w:szCs w:val="23"/>
        </w:rPr>
        <w:t>ould</w:t>
      </w:r>
      <w:r w:rsidR="00F00E3D" w:rsidRPr="778E395A">
        <w:rPr>
          <w:rFonts w:asciiTheme="majorHAnsi" w:hAnsiTheme="majorHAnsi" w:cstheme="majorBidi"/>
          <w:sz w:val="23"/>
          <w:szCs w:val="23"/>
        </w:rPr>
        <w:t xml:space="preserve"> be readily advertised on </w:t>
      </w:r>
      <w:r w:rsidR="006A67B3" w:rsidRPr="778E395A">
        <w:rPr>
          <w:rFonts w:asciiTheme="majorHAnsi" w:hAnsiTheme="majorHAnsi" w:cstheme="majorBidi"/>
          <w:sz w:val="23"/>
          <w:szCs w:val="23"/>
        </w:rPr>
        <w:t xml:space="preserve">nearby </w:t>
      </w:r>
      <w:r w:rsidR="00F00E3D" w:rsidRPr="778E395A">
        <w:rPr>
          <w:rFonts w:asciiTheme="majorHAnsi" w:hAnsiTheme="majorHAnsi" w:cstheme="majorBidi"/>
          <w:sz w:val="23"/>
          <w:szCs w:val="23"/>
        </w:rPr>
        <w:t xml:space="preserve">Melbourne Road. </w:t>
      </w:r>
      <w:r w:rsidR="00C14DE9" w:rsidRPr="778E395A">
        <w:rPr>
          <w:rFonts w:asciiTheme="majorHAnsi" w:hAnsiTheme="majorHAnsi" w:cstheme="majorBidi"/>
          <w:sz w:val="23"/>
          <w:szCs w:val="23"/>
        </w:rPr>
        <w:t>Local s</w:t>
      </w:r>
      <w:r w:rsidR="00C07D32" w:rsidRPr="778E395A">
        <w:rPr>
          <w:rFonts w:asciiTheme="majorHAnsi" w:hAnsiTheme="majorHAnsi" w:cstheme="majorBidi"/>
          <w:sz w:val="23"/>
          <w:szCs w:val="23"/>
        </w:rPr>
        <w:t xml:space="preserve">hopping strips </w:t>
      </w:r>
      <w:r w:rsidR="00F00E3D" w:rsidRPr="778E395A">
        <w:rPr>
          <w:rFonts w:asciiTheme="majorHAnsi" w:hAnsiTheme="majorHAnsi" w:cstheme="majorBidi"/>
          <w:sz w:val="23"/>
          <w:szCs w:val="23"/>
        </w:rPr>
        <w:t xml:space="preserve">could be revitalised </w:t>
      </w:r>
      <w:r w:rsidR="006A67B3" w:rsidRPr="778E395A">
        <w:rPr>
          <w:rFonts w:asciiTheme="majorHAnsi" w:hAnsiTheme="majorHAnsi" w:cstheme="majorBidi"/>
          <w:sz w:val="23"/>
          <w:szCs w:val="23"/>
        </w:rPr>
        <w:t>based on</w:t>
      </w:r>
      <w:r w:rsidR="00F00E3D" w:rsidRPr="778E395A">
        <w:rPr>
          <w:rFonts w:asciiTheme="majorHAnsi" w:hAnsiTheme="majorHAnsi" w:cstheme="majorBidi"/>
          <w:sz w:val="23"/>
          <w:szCs w:val="23"/>
        </w:rPr>
        <w:t xml:space="preserve"> local needs</w:t>
      </w:r>
      <w:r w:rsidR="006F4ED3" w:rsidRPr="778E395A">
        <w:rPr>
          <w:rFonts w:asciiTheme="majorHAnsi" w:hAnsiTheme="majorHAnsi" w:cstheme="majorBidi"/>
          <w:sz w:val="23"/>
          <w:szCs w:val="23"/>
        </w:rPr>
        <w:t>,</w:t>
      </w:r>
      <w:r w:rsidR="00F00E3D" w:rsidRPr="778E395A">
        <w:rPr>
          <w:rFonts w:asciiTheme="majorHAnsi" w:hAnsiTheme="majorHAnsi" w:cstheme="majorBidi"/>
          <w:sz w:val="23"/>
          <w:szCs w:val="23"/>
        </w:rPr>
        <w:t xml:space="preserve"> </w:t>
      </w:r>
      <w:r w:rsidR="001010EE" w:rsidRPr="778E395A">
        <w:rPr>
          <w:rFonts w:asciiTheme="majorHAnsi" w:hAnsiTheme="majorHAnsi" w:cstheme="majorBidi"/>
          <w:sz w:val="23"/>
          <w:szCs w:val="23"/>
        </w:rPr>
        <w:t>engaging residents in the process</w:t>
      </w:r>
      <w:r w:rsidR="00C07D32" w:rsidRPr="778E395A">
        <w:rPr>
          <w:rFonts w:asciiTheme="majorHAnsi" w:hAnsiTheme="majorHAnsi" w:cstheme="majorBidi"/>
          <w:sz w:val="23"/>
          <w:szCs w:val="23"/>
        </w:rPr>
        <w:t xml:space="preserve">, and as part of a venture </w:t>
      </w:r>
      <w:r w:rsidR="006F4ED3" w:rsidRPr="778E395A">
        <w:rPr>
          <w:rFonts w:asciiTheme="majorHAnsi" w:hAnsiTheme="majorHAnsi" w:cstheme="majorBidi"/>
          <w:sz w:val="23"/>
          <w:szCs w:val="23"/>
        </w:rPr>
        <w:t>to</w:t>
      </w:r>
      <w:r w:rsidR="00F00E3D" w:rsidRPr="778E395A">
        <w:rPr>
          <w:rFonts w:asciiTheme="majorHAnsi" w:hAnsiTheme="majorHAnsi" w:cstheme="majorBidi"/>
          <w:sz w:val="23"/>
          <w:szCs w:val="23"/>
        </w:rPr>
        <w:t xml:space="preserve"> decentralis</w:t>
      </w:r>
      <w:r w:rsidR="006F4ED3" w:rsidRPr="778E395A">
        <w:rPr>
          <w:rFonts w:asciiTheme="majorHAnsi" w:hAnsiTheme="majorHAnsi" w:cstheme="majorBidi"/>
          <w:sz w:val="23"/>
          <w:szCs w:val="23"/>
        </w:rPr>
        <w:t xml:space="preserve">e services and </w:t>
      </w:r>
      <w:r w:rsidR="000158ED" w:rsidRPr="778E395A">
        <w:rPr>
          <w:rFonts w:asciiTheme="majorHAnsi" w:hAnsiTheme="majorHAnsi" w:cstheme="majorBidi"/>
          <w:sz w:val="23"/>
          <w:szCs w:val="23"/>
        </w:rPr>
        <w:t>i</w:t>
      </w:r>
      <w:r w:rsidR="0077350A" w:rsidRPr="778E395A">
        <w:rPr>
          <w:rFonts w:asciiTheme="majorHAnsi" w:hAnsiTheme="majorHAnsi" w:cstheme="majorBidi"/>
          <w:sz w:val="23"/>
          <w:szCs w:val="23"/>
        </w:rPr>
        <w:t xml:space="preserve">mprove </w:t>
      </w:r>
      <w:r w:rsidR="000158ED" w:rsidRPr="778E395A">
        <w:rPr>
          <w:rFonts w:asciiTheme="majorHAnsi" w:hAnsiTheme="majorHAnsi" w:cstheme="majorBidi"/>
          <w:sz w:val="23"/>
          <w:szCs w:val="23"/>
        </w:rPr>
        <w:t>access</w:t>
      </w:r>
      <w:r w:rsidR="003F625B" w:rsidRPr="778E395A">
        <w:rPr>
          <w:rFonts w:asciiTheme="majorHAnsi" w:hAnsiTheme="majorHAnsi" w:cstheme="majorBidi"/>
          <w:sz w:val="23"/>
          <w:szCs w:val="23"/>
        </w:rPr>
        <w:t>;</w:t>
      </w:r>
      <w:r w:rsidR="00F00E3D" w:rsidRPr="778E395A">
        <w:rPr>
          <w:rFonts w:asciiTheme="majorHAnsi" w:hAnsiTheme="majorHAnsi" w:cstheme="majorBidi"/>
          <w:sz w:val="23"/>
          <w:szCs w:val="23"/>
        </w:rPr>
        <w:t xml:space="preserve"> the </w:t>
      </w:r>
      <w:r w:rsidR="003F625B" w:rsidRPr="778E395A">
        <w:rPr>
          <w:rFonts w:asciiTheme="majorHAnsi" w:hAnsiTheme="majorHAnsi" w:cstheme="majorBidi"/>
          <w:sz w:val="23"/>
          <w:szCs w:val="23"/>
        </w:rPr>
        <w:t>successful relocation of</w:t>
      </w:r>
      <w:r w:rsidR="00F00E3D" w:rsidRPr="778E395A">
        <w:rPr>
          <w:rFonts w:asciiTheme="majorHAnsi" w:hAnsiTheme="majorHAnsi" w:cstheme="majorBidi"/>
          <w:sz w:val="23"/>
          <w:szCs w:val="23"/>
        </w:rPr>
        <w:t xml:space="preserve"> many health services</w:t>
      </w:r>
      <w:r w:rsidR="006F4ED3" w:rsidRPr="778E395A">
        <w:rPr>
          <w:rFonts w:asciiTheme="majorHAnsi" w:hAnsiTheme="majorHAnsi" w:cstheme="majorBidi"/>
          <w:sz w:val="23"/>
          <w:szCs w:val="23"/>
        </w:rPr>
        <w:t xml:space="preserve"> to</w:t>
      </w:r>
      <w:r w:rsidR="002C40AE" w:rsidRPr="778E395A">
        <w:rPr>
          <w:rFonts w:asciiTheme="majorHAnsi" w:hAnsiTheme="majorHAnsi" w:cstheme="majorBidi"/>
          <w:sz w:val="23"/>
          <w:szCs w:val="23"/>
        </w:rPr>
        <w:t xml:space="preserve"> the</w:t>
      </w:r>
      <w:r w:rsidR="00F00E3D" w:rsidRPr="778E395A">
        <w:rPr>
          <w:rFonts w:asciiTheme="majorHAnsi" w:hAnsiTheme="majorHAnsi" w:cstheme="majorBidi"/>
          <w:sz w:val="23"/>
          <w:szCs w:val="23"/>
        </w:rPr>
        <w:t xml:space="preserve"> Corio Shopping Centre</w:t>
      </w:r>
      <w:r w:rsidR="002C40AE" w:rsidRPr="778E395A">
        <w:rPr>
          <w:rFonts w:asciiTheme="majorHAnsi" w:hAnsiTheme="majorHAnsi" w:cstheme="majorBidi"/>
          <w:sz w:val="23"/>
          <w:szCs w:val="23"/>
        </w:rPr>
        <w:t xml:space="preserve"> precinct</w:t>
      </w:r>
      <w:r w:rsidR="00F00E3D" w:rsidRPr="778E395A">
        <w:rPr>
          <w:rFonts w:asciiTheme="majorHAnsi" w:hAnsiTheme="majorHAnsi" w:cstheme="majorBidi"/>
          <w:sz w:val="23"/>
          <w:szCs w:val="23"/>
        </w:rPr>
        <w:t xml:space="preserve"> </w:t>
      </w:r>
      <w:r w:rsidR="002C40AE" w:rsidRPr="778E395A">
        <w:rPr>
          <w:rFonts w:asciiTheme="majorHAnsi" w:hAnsiTheme="majorHAnsi" w:cstheme="majorBidi"/>
          <w:sz w:val="23"/>
          <w:szCs w:val="23"/>
        </w:rPr>
        <w:t>shows this</w:t>
      </w:r>
      <w:r w:rsidR="006F4ED3" w:rsidRPr="778E395A">
        <w:rPr>
          <w:rFonts w:asciiTheme="majorHAnsi" w:hAnsiTheme="majorHAnsi" w:cstheme="majorBidi"/>
          <w:sz w:val="23"/>
          <w:szCs w:val="23"/>
        </w:rPr>
        <w:t xml:space="preserve"> is</w:t>
      </w:r>
      <w:r w:rsidR="00F00E3D" w:rsidRPr="778E395A">
        <w:rPr>
          <w:rFonts w:asciiTheme="majorHAnsi" w:hAnsiTheme="majorHAnsi" w:cstheme="majorBidi"/>
          <w:sz w:val="23"/>
          <w:szCs w:val="23"/>
        </w:rPr>
        <w:t xml:space="preserve"> possible</w:t>
      </w:r>
      <w:r w:rsidR="002C40AE" w:rsidRPr="778E395A">
        <w:rPr>
          <w:rFonts w:asciiTheme="majorHAnsi" w:hAnsiTheme="majorHAnsi" w:cstheme="majorBidi"/>
          <w:sz w:val="23"/>
          <w:szCs w:val="23"/>
        </w:rPr>
        <w:t>.</w:t>
      </w:r>
      <w:r w:rsidR="00F00E3D" w:rsidRPr="778E395A">
        <w:rPr>
          <w:rFonts w:asciiTheme="majorHAnsi" w:hAnsiTheme="majorHAnsi" w:cstheme="majorBidi"/>
          <w:sz w:val="23"/>
          <w:szCs w:val="23"/>
        </w:rPr>
        <w:t xml:space="preserve"> </w:t>
      </w:r>
      <w:r w:rsidR="0052403C" w:rsidRPr="778E395A">
        <w:rPr>
          <w:rFonts w:asciiTheme="majorHAnsi" w:hAnsiTheme="majorHAnsi" w:cstheme="majorBidi"/>
          <w:sz w:val="23"/>
          <w:szCs w:val="23"/>
        </w:rPr>
        <w:t xml:space="preserve">There is also scope to investigate </w:t>
      </w:r>
      <w:r w:rsidR="00C14DE9" w:rsidRPr="778E395A">
        <w:rPr>
          <w:rFonts w:asciiTheme="majorHAnsi" w:hAnsiTheme="majorHAnsi" w:cstheme="majorBidi"/>
          <w:sz w:val="23"/>
          <w:szCs w:val="23"/>
        </w:rPr>
        <w:t>whether</w:t>
      </w:r>
      <w:r w:rsidR="0061176C" w:rsidRPr="778E395A">
        <w:rPr>
          <w:rFonts w:asciiTheme="majorHAnsi" w:hAnsiTheme="majorHAnsi" w:cstheme="majorBidi"/>
          <w:sz w:val="23"/>
          <w:szCs w:val="23"/>
        </w:rPr>
        <w:t xml:space="preserve"> a</w:t>
      </w:r>
      <w:r w:rsidR="0052403C" w:rsidRPr="778E395A">
        <w:rPr>
          <w:rFonts w:asciiTheme="majorHAnsi" w:hAnsiTheme="majorHAnsi" w:cstheme="majorBidi"/>
          <w:sz w:val="23"/>
          <w:szCs w:val="23"/>
        </w:rPr>
        <w:t xml:space="preserve"> </w:t>
      </w:r>
      <w:r w:rsidR="00F00E3D" w:rsidRPr="778E395A">
        <w:rPr>
          <w:rFonts w:asciiTheme="majorHAnsi" w:hAnsiTheme="majorHAnsi" w:cstheme="majorBidi"/>
          <w:sz w:val="23"/>
          <w:szCs w:val="23"/>
        </w:rPr>
        <w:t>major supermarket</w:t>
      </w:r>
      <w:r w:rsidR="0061176C" w:rsidRPr="778E395A">
        <w:rPr>
          <w:rFonts w:asciiTheme="majorHAnsi" w:hAnsiTheme="majorHAnsi" w:cstheme="majorBidi"/>
          <w:sz w:val="23"/>
          <w:szCs w:val="23"/>
        </w:rPr>
        <w:t xml:space="preserve"> could be accommodated.</w:t>
      </w:r>
    </w:p>
    <w:p w14:paraId="1BC8CF6F" w14:textId="42BBBD5E" w:rsidR="00B65206" w:rsidRDefault="00B65206" w:rsidP="778E395A">
      <w:pPr>
        <w:spacing w:line="276" w:lineRule="auto"/>
        <w:rPr>
          <w:rFonts w:asciiTheme="majorHAnsi" w:hAnsiTheme="majorHAnsi" w:cstheme="majorBidi"/>
          <w:sz w:val="23"/>
          <w:szCs w:val="23"/>
        </w:rPr>
      </w:pPr>
      <w:r w:rsidRPr="778E395A">
        <w:rPr>
          <w:rFonts w:asciiTheme="majorHAnsi" w:hAnsiTheme="majorHAnsi" w:cstheme="majorBidi"/>
          <w:sz w:val="23"/>
          <w:szCs w:val="23"/>
        </w:rPr>
        <w:t xml:space="preserve">Whittington presents a different problem. There are virtually no local shops besides those </w:t>
      </w:r>
      <w:r w:rsidR="00A76BC3" w:rsidRPr="778E395A">
        <w:rPr>
          <w:rFonts w:asciiTheme="majorHAnsi" w:hAnsiTheme="majorHAnsi" w:cstheme="majorBidi"/>
          <w:sz w:val="23"/>
          <w:szCs w:val="23"/>
        </w:rPr>
        <w:t>along</w:t>
      </w:r>
      <w:r w:rsidRPr="778E395A">
        <w:rPr>
          <w:rFonts w:asciiTheme="majorHAnsi" w:hAnsiTheme="majorHAnsi" w:cstheme="majorBidi"/>
          <w:sz w:val="23"/>
          <w:szCs w:val="23"/>
        </w:rPr>
        <w:t xml:space="preserve"> the Bellarine Highway, which lie outside the suburb boundary. The </w:t>
      </w:r>
      <w:r w:rsidR="00825F4B" w:rsidRPr="778E395A">
        <w:rPr>
          <w:rFonts w:asciiTheme="majorHAnsi" w:hAnsiTheme="majorHAnsi" w:cstheme="majorBidi"/>
          <w:sz w:val="23"/>
          <w:szCs w:val="23"/>
        </w:rPr>
        <w:t xml:space="preserve">third </w:t>
      </w:r>
      <w:r w:rsidRPr="778E395A">
        <w:rPr>
          <w:rFonts w:asciiTheme="majorHAnsi" w:hAnsiTheme="majorHAnsi" w:cstheme="majorBidi"/>
          <w:sz w:val="23"/>
          <w:szCs w:val="23"/>
        </w:rPr>
        <w:t>photo below (Figure 7.1</w:t>
      </w:r>
      <w:r w:rsidR="5DC35BB0" w:rsidRPr="778E395A">
        <w:rPr>
          <w:rFonts w:asciiTheme="majorHAnsi" w:hAnsiTheme="majorHAnsi" w:cstheme="majorBidi"/>
          <w:sz w:val="23"/>
          <w:szCs w:val="23"/>
        </w:rPr>
        <w:t>0</w:t>
      </w:r>
      <w:r w:rsidRPr="778E395A">
        <w:rPr>
          <w:rFonts w:asciiTheme="majorHAnsi" w:hAnsiTheme="majorHAnsi" w:cstheme="majorBidi"/>
          <w:sz w:val="23"/>
          <w:szCs w:val="23"/>
        </w:rPr>
        <w:t>) shows a rare local outlet, the HomeStart shopfront in Apollo Place</w:t>
      </w:r>
      <w:r w:rsidR="00A76BC3" w:rsidRPr="778E395A">
        <w:rPr>
          <w:rFonts w:asciiTheme="majorHAnsi" w:hAnsiTheme="majorHAnsi" w:cstheme="majorBidi"/>
          <w:sz w:val="23"/>
          <w:szCs w:val="23"/>
        </w:rPr>
        <w:t>, r</w:t>
      </w:r>
      <w:r w:rsidRPr="778E395A">
        <w:rPr>
          <w:rFonts w:asciiTheme="majorHAnsi" w:hAnsiTheme="majorHAnsi" w:cstheme="majorBidi"/>
          <w:sz w:val="23"/>
          <w:szCs w:val="23"/>
        </w:rPr>
        <w:t>un by Encompass</w:t>
      </w:r>
      <w:r w:rsidR="00F56901" w:rsidRPr="778E395A">
        <w:rPr>
          <w:rFonts w:asciiTheme="majorHAnsi" w:hAnsiTheme="majorHAnsi" w:cstheme="majorBidi"/>
          <w:sz w:val="23"/>
          <w:szCs w:val="23"/>
        </w:rPr>
        <w:t xml:space="preserve"> Community Services</w:t>
      </w:r>
      <w:r w:rsidR="00A76BC3" w:rsidRPr="778E395A">
        <w:rPr>
          <w:rFonts w:asciiTheme="majorHAnsi" w:hAnsiTheme="majorHAnsi" w:cstheme="majorBidi"/>
          <w:sz w:val="23"/>
          <w:szCs w:val="23"/>
        </w:rPr>
        <w:t>.</w:t>
      </w:r>
      <w:r w:rsidRPr="778E395A">
        <w:rPr>
          <w:rFonts w:asciiTheme="majorHAnsi" w:hAnsiTheme="majorHAnsi" w:cstheme="majorBidi"/>
          <w:sz w:val="23"/>
          <w:szCs w:val="23"/>
        </w:rPr>
        <w:t xml:space="preserve"> </w:t>
      </w:r>
      <w:r w:rsidR="00825F4B" w:rsidRPr="778E395A">
        <w:rPr>
          <w:rFonts w:asciiTheme="majorHAnsi" w:hAnsiTheme="majorHAnsi" w:cstheme="majorBidi"/>
          <w:sz w:val="23"/>
          <w:szCs w:val="23"/>
        </w:rPr>
        <w:t>HomeStart</w:t>
      </w:r>
      <w:r w:rsidRPr="778E395A">
        <w:rPr>
          <w:rFonts w:asciiTheme="majorHAnsi" w:hAnsiTheme="majorHAnsi" w:cstheme="majorBidi"/>
          <w:sz w:val="23"/>
          <w:szCs w:val="23"/>
        </w:rPr>
        <w:t xml:space="preserve"> upcycles and recycles donated goods, trains and employs local people, and provides low-income residents with free or discounted furniture and homewares</w:t>
      </w:r>
      <w:r w:rsidR="002C6949" w:rsidRPr="778E395A">
        <w:rPr>
          <w:rFonts w:asciiTheme="majorHAnsi" w:hAnsiTheme="majorHAnsi" w:cstheme="majorBidi"/>
          <w:sz w:val="23"/>
          <w:szCs w:val="23"/>
        </w:rPr>
        <w:t xml:space="preserve"> to furnish their homes</w:t>
      </w:r>
      <w:r w:rsidRPr="778E395A">
        <w:rPr>
          <w:rFonts w:asciiTheme="majorHAnsi" w:hAnsiTheme="majorHAnsi" w:cstheme="majorBidi"/>
          <w:sz w:val="23"/>
          <w:szCs w:val="23"/>
        </w:rPr>
        <w:t xml:space="preserve">. </w:t>
      </w:r>
      <w:r w:rsidR="00892C84" w:rsidRPr="778E395A">
        <w:rPr>
          <w:rFonts w:asciiTheme="majorHAnsi" w:hAnsiTheme="majorHAnsi" w:cstheme="majorBidi"/>
          <w:sz w:val="23"/>
          <w:szCs w:val="23"/>
        </w:rPr>
        <w:t>Besides</w:t>
      </w:r>
      <w:r w:rsidRPr="778E395A">
        <w:rPr>
          <w:rFonts w:asciiTheme="majorHAnsi" w:hAnsiTheme="majorHAnsi" w:cstheme="majorBidi"/>
          <w:sz w:val="23"/>
          <w:szCs w:val="23"/>
        </w:rPr>
        <w:t xml:space="preserve"> an adjacent op shop (also run by Encounter) and </w:t>
      </w:r>
      <w:r w:rsidR="00892C84" w:rsidRPr="778E395A">
        <w:rPr>
          <w:rFonts w:asciiTheme="majorHAnsi" w:hAnsiTheme="majorHAnsi" w:cstheme="majorBidi"/>
          <w:sz w:val="23"/>
          <w:szCs w:val="23"/>
        </w:rPr>
        <w:t>a</w:t>
      </w:r>
      <w:r w:rsidRPr="778E395A">
        <w:rPr>
          <w:rFonts w:asciiTheme="majorHAnsi" w:hAnsiTheme="majorHAnsi" w:cstheme="majorBidi"/>
          <w:sz w:val="23"/>
          <w:szCs w:val="23"/>
        </w:rPr>
        <w:t xml:space="preserve"> fast-food place, Whittington </w:t>
      </w:r>
      <w:r w:rsidR="00892C84" w:rsidRPr="778E395A">
        <w:rPr>
          <w:rFonts w:asciiTheme="majorHAnsi" w:hAnsiTheme="majorHAnsi" w:cstheme="majorBidi"/>
          <w:sz w:val="23"/>
          <w:szCs w:val="23"/>
        </w:rPr>
        <w:t>lacks</w:t>
      </w:r>
      <w:r w:rsidRPr="778E395A">
        <w:rPr>
          <w:rFonts w:asciiTheme="majorHAnsi" w:hAnsiTheme="majorHAnsi" w:cstheme="majorBidi"/>
          <w:sz w:val="23"/>
          <w:szCs w:val="23"/>
        </w:rPr>
        <w:t xml:space="preserve"> retail or food outlets.</w:t>
      </w:r>
    </w:p>
    <w:p w14:paraId="06ACBD6A" w14:textId="2985DFEF" w:rsidR="00B65206" w:rsidRPr="00E91887" w:rsidRDefault="006E612F" w:rsidP="009B2FA7">
      <w:pPr>
        <w:spacing w:line="276" w:lineRule="auto"/>
        <w:rPr>
          <w:rFonts w:asciiTheme="majorHAnsi" w:hAnsiTheme="majorHAnsi" w:cstheme="majorHAnsi"/>
          <w:sz w:val="23"/>
          <w:szCs w:val="23"/>
        </w:rPr>
      </w:pPr>
      <w:r>
        <w:rPr>
          <w:rFonts w:asciiTheme="majorHAnsi" w:hAnsiTheme="majorHAnsi" w:cstheme="majorHAnsi"/>
          <w:sz w:val="23"/>
          <w:szCs w:val="23"/>
        </w:rPr>
        <w:t>A</w:t>
      </w:r>
      <w:r w:rsidR="00B65206">
        <w:rPr>
          <w:rFonts w:asciiTheme="majorHAnsi" w:hAnsiTheme="majorHAnsi" w:cstheme="majorHAnsi"/>
          <w:sz w:val="23"/>
          <w:szCs w:val="23"/>
        </w:rPr>
        <w:t>cross all three localities, there</w:t>
      </w:r>
      <w:r w:rsidR="00B65206" w:rsidRPr="00E91887">
        <w:rPr>
          <w:rFonts w:asciiTheme="majorHAnsi" w:hAnsiTheme="majorHAnsi" w:cstheme="majorHAnsi"/>
          <w:sz w:val="23"/>
          <w:szCs w:val="23"/>
        </w:rPr>
        <w:t xml:space="preserve"> is a need to investigate </w:t>
      </w:r>
      <w:r w:rsidR="00B65206">
        <w:rPr>
          <w:rFonts w:asciiTheme="majorHAnsi" w:hAnsiTheme="majorHAnsi" w:cstheme="majorHAnsi"/>
          <w:sz w:val="23"/>
          <w:szCs w:val="23"/>
        </w:rPr>
        <w:t>how a good mix of retail, food, and service outlets might be fostered in local shopping strips, and these areas made more attractive, productive, and welcoming for the community</w:t>
      </w:r>
      <w:r w:rsidR="00B65206" w:rsidRPr="00E91887">
        <w:rPr>
          <w:rFonts w:asciiTheme="majorHAnsi" w:hAnsiTheme="majorHAnsi" w:cstheme="majorHAnsi"/>
          <w:sz w:val="23"/>
          <w:szCs w:val="23"/>
        </w:rPr>
        <w:t>.</w:t>
      </w:r>
    </w:p>
    <w:p w14:paraId="631115B5" w14:textId="77777777" w:rsidR="00F00E3D" w:rsidRPr="00E91887" w:rsidRDefault="00F00E3D" w:rsidP="00170A75">
      <w:pPr>
        <w:spacing w:after="0" w:line="276" w:lineRule="auto"/>
        <w:rPr>
          <w:rFonts w:asciiTheme="majorHAnsi" w:hAnsiTheme="majorHAnsi" w:cstheme="majorHAnsi"/>
          <w:i/>
          <w:iCs/>
          <w:sz w:val="23"/>
          <w:szCs w:val="23"/>
        </w:rPr>
      </w:pPr>
      <w:r>
        <w:rPr>
          <w:noProof/>
          <w:lang w:eastAsia="zh-CN"/>
        </w:rPr>
        <w:lastRenderedPageBreak/>
        <w:drawing>
          <wp:inline distT="0" distB="0" distL="0" distR="0" wp14:anchorId="37FEABCD" wp14:editId="299562E1">
            <wp:extent cx="4750435" cy="2801247"/>
            <wp:effectExtent l="0" t="0" r="0" b="0"/>
            <wp:docPr id="47" name="Picture 47" descr="D:\DCIM\100D3400\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rotWithShape="1">
                    <a:blip r:embed="rId109" cstate="print">
                      <a:extLst>
                        <a:ext uri="{28A0092B-C50C-407E-A947-70E740481C1C}">
                          <a14:useLocalDpi xmlns:a14="http://schemas.microsoft.com/office/drawing/2010/main"/>
                        </a:ext>
                      </a:extLst>
                    </a:blip>
                    <a:srcRect/>
                    <a:stretch/>
                  </pic:blipFill>
                  <pic:spPr bwMode="auto">
                    <a:xfrm>
                      <a:off x="0" y="0"/>
                      <a:ext cx="4785454" cy="2821897"/>
                    </a:xfrm>
                    <a:prstGeom prst="rect">
                      <a:avLst/>
                    </a:prstGeom>
                    <a:ln>
                      <a:noFill/>
                    </a:ln>
                    <a:extLst>
                      <a:ext uri="{53640926-AAD7-44D8-BBD7-CCE9431645EC}">
                        <a14:shadowObscured xmlns:a14="http://schemas.microsoft.com/office/drawing/2010/main"/>
                      </a:ext>
                    </a:extLst>
                  </pic:spPr>
                </pic:pic>
              </a:graphicData>
            </a:graphic>
          </wp:inline>
        </w:drawing>
      </w:r>
    </w:p>
    <w:p w14:paraId="217AA4C9" w14:textId="31E7145A" w:rsidR="00F00E3D" w:rsidRDefault="00170A75" w:rsidP="778E395A">
      <w:pPr>
        <w:spacing w:after="0" w:line="276" w:lineRule="auto"/>
        <w:rPr>
          <w:b/>
          <w:bCs/>
          <w:sz w:val="21"/>
          <w:szCs w:val="21"/>
        </w:rPr>
      </w:pPr>
      <w:r w:rsidRPr="778E395A">
        <w:rPr>
          <w:b/>
          <w:bCs/>
          <w:sz w:val="21"/>
          <w:szCs w:val="21"/>
        </w:rPr>
        <w:t xml:space="preserve">Figure </w:t>
      </w:r>
      <w:r w:rsidR="00BC28E8" w:rsidRPr="778E395A">
        <w:rPr>
          <w:b/>
          <w:bCs/>
          <w:sz w:val="21"/>
          <w:szCs w:val="21"/>
        </w:rPr>
        <w:t>7</w:t>
      </w:r>
      <w:r w:rsidRPr="778E395A">
        <w:rPr>
          <w:b/>
          <w:bCs/>
          <w:sz w:val="21"/>
          <w:szCs w:val="21"/>
        </w:rPr>
        <w:t>.</w:t>
      </w:r>
      <w:r w:rsidR="2C7C8DE0" w:rsidRPr="778E395A">
        <w:rPr>
          <w:b/>
          <w:bCs/>
          <w:sz w:val="21"/>
          <w:szCs w:val="21"/>
        </w:rPr>
        <w:t>8</w:t>
      </w:r>
      <w:r w:rsidRPr="778E395A">
        <w:rPr>
          <w:b/>
          <w:bCs/>
          <w:sz w:val="21"/>
          <w:szCs w:val="21"/>
        </w:rPr>
        <w:t>: Rose Street Shops, Norlane (Photo: Louise Johnson, June 2020)</w:t>
      </w:r>
    </w:p>
    <w:p w14:paraId="168E3546" w14:textId="77777777" w:rsidR="00034D7F" w:rsidRPr="00034D7F" w:rsidRDefault="00034D7F" w:rsidP="00034D7F">
      <w:pPr>
        <w:spacing w:after="0" w:line="276" w:lineRule="auto"/>
        <w:rPr>
          <w:rFonts w:cstheme="minorHAnsi"/>
          <w:b/>
          <w:bCs/>
          <w:sz w:val="12"/>
          <w:szCs w:val="12"/>
        </w:rPr>
      </w:pPr>
    </w:p>
    <w:p w14:paraId="080A675A" w14:textId="776312DE" w:rsidR="00F00E3D" w:rsidRDefault="00F00E3D" w:rsidP="00BC28E8">
      <w:pPr>
        <w:spacing w:after="0" w:line="276" w:lineRule="auto"/>
        <w:rPr>
          <w:rFonts w:asciiTheme="majorHAnsi" w:hAnsiTheme="majorHAnsi" w:cstheme="majorHAnsi"/>
          <w:b/>
          <w:bCs/>
          <w:sz w:val="23"/>
          <w:szCs w:val="23"/>
        </w:rPr>
      </w:pPr>
      <w:r>
        <w:rPr>
          <w:noProof/>
          <w:lang w:eastAsia="zh-CN"/>
        </w:rPr>
        <w:drawing>
          <wp:inline distT="0" distB="0" distL="0" distR="0" wp14:anchorId="7EEC3CD7" wp14:editId="62FF0E47">
            <wp:extent cx="4750435" cy="2734302"/>
            <wp:effectExtent l="0" t="0" r="0" b="9525"/>
            <wp:docPr id="48" name="Picture 48" descr="\\lcj.homes.deakin.edu.au\my-home\My Documents\GeelongRes\14.2Labuan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rotWithShape="1">
                    <a:blip r:embed="rId110">
                      <a:extLst>
                        <a:ext uri="{28A0092B-C50C-407E-A947-70E740481C1C}">
                          <a14:useLocalDpi xmlns:a14="http://schemas.microsoft.com/office/drawing/2010/main"/>
                        </a:ext>
                      </a:extLst>
                    </a:blip>
                    <a:srcRect/>
                    <a:stretch/>
                  </pic:blipFill>
                  <pic:spPr bwMode="auto">
                    <a:xfrm>
                      <a:off x="0" y="0"/>
                      <a:ext cx="4792217" cy="2758352"/>
                    </a:xfrm>
                    <a:prstGeom prst="rect">
                      <a:avLst/>
                    </a:prstGeom>
                    <a:ln>
                      <a:noFill/>
                    </a:ln>
                    <a:extLst>
                      <a:ext uri="{53640926-AAD7-44D8-BBD7-CCE9431645EC}">
                        <a14:shadowObscured xmlns:a14="http://schemas.microsoft.com/office/drawing/2010/main"/>
                      </a:ext>
                    </a:extLst>
                  </pic:spPr>
                </pic:pic>
              </a:graphicData>
            </a:graphic>
          </wp:inline>
        </w:drawing>
      </w:r>
    </w:p>
    <w:p w14:paraId="24AC3B09" w14:textId="5131B8AD" w:rsidR="00BC28E8" w:rsidRPr="00BC28E8" w:rsidRDefault="00BC28E8" w:rsidP="778E395A">
      <w:pPr>
        <w:spacing w:after="0" w:line="276" w:lineRule="auto"/>
        <w:rPr>
          <w:b/>
          <w:bCs/>
          <w:sz w:val="21"/>
          <w:szCs w:val="21"/>
        </w:rPr>
      </w:pPr>
      <w:r w:rsidRPr="778E395A">
        <w:rPr>
          <w:b/>
          <w:bCs/>
          <w:sz w:val="21"/>
          <w:szCs w:val="21"/>
        </w:rPr>
        <w:t xml:space="preserve">Figure </w:t>
      </w:r>
      <w:r w:rsidR="00A0783B" w:rsidRPr="778E395A">
        <w:rPr>
          <w:b/>
          <w:bCs/>
          <w:sz w:val="21"/>
          <w:szCs w:val="21"/>
        </w:rPr>
        <w:t>7</w:t>
      </w:r>
      <w:r w:rsidRPr="778E395A">
        <w:rPr>
          <w:b/>
          <w:bCs/>
          <w:sz w:val="21"/>
          <w:szCs w:val="21"/>
        </w:rPr>
        <w:t>.</w:t>
      </w:r>
      <w:r w:rsidR="11CDD504" w:rsidRPr="778E395A">
        <w:rPr>
          <w:b/>
          <w:bCs/>
          <w:sz w:val="21"/>
          <w:szCs w:val="21"/>
        </w:rPr>
        <w:t>9</w:t>
      </w:r>
      <w:r w:rsidRPr="778E395A">
        <w:rPr>
          <w:b/>
          <w:bCs/>
          <w:sz w:val="21"/>
          <w:szCs w:val="21"/>
        </w:rPr>
        <w:t>: Labuan Square, Norlane (Photo: Louise Johnson, June 2020)</w:t>
      </w:r>
    </w:p>
    <w:p w14:paraId="2ED7B7A0" w14:textId="77777777" w:rsidR="00BC28E8" w:rsidRPr="00034D7F" w:rsidRDefault="00BC28E8" w:rsidP="00BC28E8">
      <w:pPr>
        <w:spacing w:after="0" w:line="276" w:lineRule="auto"/>
        <w:rPr>
          <w:rFonts w:asciiTheme="majorHAnsi" w:hAnsiTheme="majorHAnsi" w:cstheme="majorHAnsi"/>
          <w:b/>
          <w:bCs/>
          <w:sz w:val="12"/>
          <w:szCs w:val="12"/>
        </w:rPr>
      </w:pPr>
    </w:p>
    <w:p w14:paraId="754EA8E3" w14:textId="4C0C5B47" w:rsidR="00F00E3D" w:rsidRDefault="00F00E3D" w:rsidP="00BC28E8">
      <w:pPr>
        <w:spacing w:after="0" w:line="276" w:lineRule="auto"/>
        <w:rPr>
          <w:rFonts w:asciiTheme="majorHAnsi" w:hAnsiTheme="majorHAnsi" w:cstheme="majorHAnsi"/>
          <w:sz w:val="23"/>
          <w:szCs w:val="23"/>
        </w:rPr>
      </w:pPr>
      <w:r>
        <w:rPr>
          <w:noProof/>
          <w:lang w:eastAsia="zh-CN"/>
        </w:rPr>
        <w:drawing>
          <wp:inline distT="0" distB="0" distL="0" distR="0" wp14:anchorId="01ABFE55" wp14:editId="6DD3B100">
            <wp:extent cx="4751069" cy="2773549"/>
            <wp:effectExtent l="0" t="0" r="0" b="8255"/>
            <wp:docPr id="49" name="Picture 49" descr="A picture containing text, road,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rotWithShape="1">
                    <a:blip r:embed="rId111" cstate="print">
                      <a:extLst>
                        <a:ext uri="{28A0092B-C50C-407E-A947-70E740481C1C}">
                          <a14:useLocalDpi xmlns:a14="http://schemas.microsoft.com/office/drawing/2010/main"/>
                        </a:ext>
                      </a:extLst>
                    </a:blip>
                    <a:srcRect/>
                    <a:stretch/>
                  </pic:blipFill>
                  <pic:spPr bwMode="auto">
                    <a:xfrm>
                      <a:off x="0" y="0"/>
                      <a:ext cx="4795886" cy="2799712"/>
                    </a:xfrm>
                    <a:prstGeom prst="rect">
                      <a:avLst/>
                    </a:prstGeom>
                    <a:ln>
                      <a:noFill/>
                    </a:ln>
                    <a:extLst>
                      <a:ext uri="{53640926-AAD7-44D8-BBD7-CCE9431645EC}">
                        <a14:shadowObscured xmlns:a14="http://schemas.microsoft.com/office/drawing/2010/main"/>
                      </a:ext>
                    </a:extLst>
                  </pic:spPr>
                </pic:pic>
              </a:graphicData>
            </a:graphic>
          </wp:inline>
        </w:drawing>
      </w:r>
    </w:p>
    <w:p w14:paraId="7A260337" w14:textId="4CE4D3C0" w:rsidR="00BC28E8" w:rsidRPr="00BC28E8" w:rsidRDefault="00BC28E8" w:rsidP="778E395A">
      <w:pPr>
        <w:spacing w:line="240" w:lineRule="auto"/>
        <w:rPr>
          <w:b/>
          <w:bCs/>
          <w:sz w:val="21"/>
          <w:szCs w:val="21"/>
        </w:rPr>
      </w:pPr>
      <w:r w:rsidRPr="778E395A">
        <w:rPr>
          <w:b/>
          <w:bCs/>
          <w:sz w:val="21"/>
          <w:szCs w:val="21"/>
        </w:rPr>
        <w:t xml:space="preserve">Figure </w:t>
      </w:r>
      <w:r w:rsidR="00A0783B" w:rsidRPr="778E395A">
        <w:rPr>
          <w:b/>
          <w:bCs/>
          <w:sz w:val="21"/>
          <w:szCs w:val="21"/>
        </w:rPr>
        <w:t>7</w:t>
      </w:r>
      <w:r w:rsidRPr="778E395A">
        <w:rPr>
          <w:b/>
          <w:bCs/>
          <w:sz w:val="21"/>
          <w:szCs w:val="21"/>
        </w:rPr>
        <w:t>.1</w:t>
      </w:r>
      <w:r w:rsidR="2BCEF407" w:rsidRPr="778E395A">
        <w:rPr>
          <w:b/>
          <w:bCs/>
          <w:sz w:val="21"/>
          <w:szCs w:val="21"/>
        </w:rPr>
        <w:t>0</w:t>
      </w:r>
      <w:r w:rsidRPr="778E395A">
        <w:rPr>
          <w:b/>
          <w:bCs/>
          <w:sz w:val="21"/>
          <w:szCs w:val="21"/>
        </w:rPr>
        <w:t>: Whittington (Photo: Louise Johnson, February 2021)</w:t>
      </w:r>
    </w:p>
    <w:p w14:paraId="65B2064C" w14:textId="45A602A9" w:rsidR="00F00E3D" w:rsidRPr="00CD2BB0" w:rsidRDefault="00F00E3D" w:rsidP="009B2FA7">
      <w:pPr>
        <w:spacing w:line="276" w:lineRule="auto"/>
        <w:rPr>
          <w:rFonts w:cstheme="minorHAnsi"/>
          <w:b/>
          <w:bCs/>
          <w:sz w:val="23"/>
          <w:szCs w:val="23"/>
        </w:rPr>
      </w:pPr>
      <w:r w:rsidRPr="00CD2BB0">
        <w:rPr>
          <w:rFonts w:cstheme="minorHAnsi"/>
          <w:b/>
          <w:bCs/>
          <w:sz w:val="23"/>
          <w:szCs w:val="23"/>
        </w:rPr>
        <w:lastRenderedPageBreak/>
        <w:t xml:space="preserve">Open </w:t>
      </w:r>
      <w:r w:rsidR="001D5312" w:rsidRPr="00CD2BB0">
        <w:rPr>
          <w:rFonts w:cstheme="minorHAnsi"/>
          <w:b/>
          <w:bCs/>
          <w:sz w:val="23"/>
          <w:szCs w:val="23"/>
        </w:rPr>
        <w:t>S</w:t>
      </w:r>
      <w:r w:rsidRPr="00CD2BB0">
        <w:rPr>
          <w:rFonts w:cstheme="minorHAnsi"/>
          <w:b/>
          <w:bCs/>
          <w:sz w:val="23"/>
          <w:szCs w:val="23"/>
        </w:rPr>
        <w:t>pace</w:t>
      </w:r>
    </w:p>
    <w:p w14:paraId="2505D4BC" w14:textId="14291459" w:rsidR="002F6BA9" w:rsidRDefault="00BC28E8" w:rsidP="009B2FA7">
      <w:pPr>
        <w:spacing w:line="276" w:lineRule="auto"/>
        <w:rPr>
          <w:rFonts w:asciiTheme="majorHAnsi" w:hAnsiTheme="majorHAnsi" w:cstheme="majorHAnsi"/>
          <w:sz w:val="23"/>
          <w:szCs w:val="23"/>
        </w:rPr>
      </w:pPr>
      <w:r>
        <w:rPr>
          <w:rFonts w:asciiTheme="majorHAnsi" w:hAnsiTheme="majorHAnsi" w:cstheme="majorHAnsi"/>
          <w:sz w:val="23"/>
          <w:szCs w:val="23"/>
        </w:rPr>
        <w:t>Across</w:t>
      </w:r>
      <w:r w:rsidR="00F00E3D" w:rsidRPr="00E91887">
        <w:rPr>
          <w:rFonts w:asciiTheme="majorHAnsi" w:hAnsiTheme="majorHAnsi" w:cstheme="majorHAnsi"/>
          <w:sz w:val="23"/>
          <w:szCs w:val="23"/>
        </w:rPr>
        <w:t xml:space="preserve"> Geelong, </w:t>
      </w:r>
      <w:r w:rsidRPr="00E91887">
        <w:rPr>
          <w:rFonts w:asciiTheme="majorHAnsi" w:hAnsiTheme="majorHAnsi" w:cstheme="majorHAnsi"/>
          <w:sz w:val="23"/>
          <w:szCs w:val="23"/>
        </w:rPr>
        <w:t>44</w:t>
      </w:r>
      <w:r>
        <w:rPr>
          <w:rFonts w:asciiTheme="majorHAnsi" w:hAnsiTheme="majorHAnsi" w:cstheme="majorHAnsi"/>
          <w:sz w:val="23"/>
          <w:szCs w:val="23"/>
        </w:rPr>
        <w:t xml:space="preserve"> percent of</w:t>
      </w:r>
      <w:r w:rsidRPr="00E91887">
        <w:rPr>
          <w:rFonts w:asciiTheme="majorHAnsi" w:hAnsiTheme="majorHAnsi" w:cstheme="majorHAnsi"/>
          <w:sz w:val="23"/>
          <w:szCs w:val="23"/>
        </w:rPr>
        <w:t xml:space="preserve"> </w:t>
      </w:r>
      <w:r w:rsidR="00F00E3D" w:rsidRPr="00E91887">
        <w:rPr>
          <w:rFonts w:asciiTheme="majorHAnsi" w:hAnsiTheme="majorHAnsi" w:cstheme="majorHAnsi"/>
          <w:sz w:val="23"/>
          <w:szCs w:val="23"/>
        </w:rPr>
        <w:t xml:space="preserve">the </w:t>
      </w:r>
      <w:r>
        <w:rPr>
          <w:rFonts w:asciiTheme="majorHAnsi" w:hAnsiTheme="majorHAnsi" w:cstheme="majorHAnsi"/>
          <w:sz w:val="23"/>
          <w:szCs w:val="23"/>
        </w:rPr>
        <w:t>population</w:t>
      </w:r>
      <w:r w:rsidR="00F00E3D" w:rsidRPr="00E91887">
        <w:rPr>
          <w:rFonts w:asciiTheme="majorHAnsi" w:hAnsiTheme="majorHAnsi" w:cstheme="majorHAnsi"/>
          <w:sz w:val="23"/>
          <w:szCs w:val="23"/>
        </w:rPr>
        <w:t xml:space="preserve"> liv</w:t>
      </w:r>
      <w:r>
        <w:rPr>
          <w:rFonts w:asciiTheme="majorHAnsi" w:hAnsiTheme="majorHAnsi" w:cstheme="majorHAnsi"/>
          <w:sz w:val="23"/>
          <w:szCs w:val="23"/>
        </w:rPr>
        <w:t>e</w:t>
      </w:r>
      <w:r w:rsidR="00F00E3D" w:rsidRPr="00E91887">
        <w:rPr>
          <w:rFonts w:asciiTheme="majorHAnsi" w:hAnsiTheme="majorHAnsi" w:cstheme="majorHAnsi"/>
          <w:sz w:val="23"/>
          <w:szCs w:val="23"/>
        </w:rPr>
        <w:t xml:space="preserve"> within 400 metres of public open space </w:t>
      </w:r>
      <w:r>
        <w:rPr>
          <w:rFonts w:asciiTheme="majorHAnsi" w:hAnsiTheme="majorHAnsi" w:cstheme="majorHAnsi"/>
          <w:sz w:val="23"/>
          <w:szCs w:val="23"/>
        </w:rPr>
        <w:t>that measures</w:t>
      </w:r>
      <w:r w:rsidR="00F00E3D" w:rsidRPr="00E91887">
        <w:rPr>
          <w:rFonts w:asciiTheme="majorHAnsi" w:hAnsiTheme="majorHAnsi" w:cstheme="majorHAnsi"/>
          <w:sz w:val="23"/>
          <w:szCs w:val="23"/>
        </w:rPr>
        <w:t xml:space="preserve"> more than 1.5</w:t>
      </w:r>
      <w:r>
        <w:rPr>
          <w:rFonts w:asciiTheme="majorHAnsi" w:hAnsiTheme="majorHAnsi" w:cstheme="majorHAnsi"/>
          <w:sz w:val="23"/>
          <w:szCs w:val="23"/>
        </w:rPr>
        <w:t xml:space="preserve"> half-acres.</w:t>
      </w:r>
      <w:r w:rsidR="00CA7A29">
        <w:rPr>
          <w:rFonts w:asciiTheme="majorHAnsi" w:hAnsiTheme="majorHAnsi" w:cstheme="majorHAnsi"/>
          <w:sz w:val="23"/>
          <w:szCs w:val="23"/>
        </w:rPr>
        <w:t xml:space="preserve"> Looking at our three localities of focus, o</w:t>
      </w:r>
      <w:r>
        <w:rPr>
          <w:rFonts w:asciiTheme="majorHAnsi" w:hAnsiTheme="majorHAnsi" w:cstheme="majorHAnsi"/>
          <w:sz w:val="23"/>
          <w:szCs w:val="23"/>
        </w:rPr>
        <w:t>n the face of it t</w:t>
      </w:r>
      <w:r w:rsidR="00F00E3D" w:rsidRPr="00E91887">
        <w:rPr>
          <w:rFonts w:asciiTheme="majorHAnsi" w:hAnsiTheme="majorHAnsi" w:cstheme="majorHAnsi"/>
          <w:sz w:val="23"/>
          <w:szCs w:val="23"/>
        </w:rPr>
        <w:t>here seems to be an abundance of parks</w:t>
      </w:r>
      <w:r w:rsidR="00E65747">
        <w:rPr>
          <w:rFonts w:asciiTheme="majorHAnsi" w:hAnsiTheme="majorHAnsi" w:cstheme="majorHAnsi"/>
          <w:sz w:val="23"/>
          <w:szCs w:val="23"/>
        </w:rPr>
        <w:t>,</w:t>
      </w:r>
      <w:r w:rsidR="00F00E3D" w:rsidRPr="00E91887">
        <w:rPr>
          <w:rFonts w:asciiTheme="majorHAnsi" w:hAnsiTheme="majorHAnsi" w:cstheme="majorHAnsi"/>
          <w:sz w:val="23"/>
          <w:szCs w:val="23"/>
        </w:rPr>
        <w:t xml:space="preserve"> open space</w:t>
      </w:r>
      <w:r w:rsidR="00E65747">
        <w:rPr>
          <w:rFonts w:asciiTheme="majorHAnsi" w:hAnsiTheme="majorHAnsi" w:cstheme="majorHAnsi"/>
          <w:sz w:val="23"/>
          <w:szCs w:val="23"/>
        </w:rPr>
        <w:t xml:space="preserve">, </w:t>
      </w:r>
      <w:r w:rsidR="00641E20">
        <w:rPr>
          <w:rFonts w:asciiTheme="majorHAnsi" w:hAnsiTheme="majorHAnsi" w:cstheme="majorHAnsi"/>
          <w:sz w:val="23"/>
          <w:szCs w:val="23"/>
        </w:rPr>
        <w:t xml:space="preserve">playgrounds, </w:t>
      </w:r>
      <w:r w:rsidR="00E65747">
        <w:rPr>
          <w:rFonts w:asciiTheme="majorHAnsi" w:hAnsiTheme="majorHAnsi" w:cstheme="majorHAnsi"/>
          <w:sz w:val="23"/>
          <w:szCs w:val="23"/>
        </w:rPr>
        <w:t>and outdoor sports facilities</w:t>
      </w:r>
      <w:r w:rsidR="00F00E3D" w:rsidRPr="00E91887">
        <w:rPr>
          <w:rFonts w:asciiTheme="majorHAnsi" w:hAnsiTheme="majorHAnsi" w:cstheme="majorHAnsi"/>
          <w:sz w:val="23"/>
          <w:szCs w:val="23"/>
        </w:rPr>
        <w:t xml:space="preserve"> in Corio and Norlane</w:t>
      </w:r>
      <w:r w:rsidR="00E65747">
        <w:rPr>
          <w:rFonts w:asciiTheme="majorHAnsi" w:hAnsiTheme="majorHAnsi" w:cstheme="majorHAnsi"/>
          <w:sz w:val="23"/>
          <w:szCs w:val="23"/>
        </w:rPr>
        <w:t>; these include</w:t>
      </w:r>
      <w:r w:rsidR="009F09C8">
        <w:rPr>
          <w:rFonts w:asciiTheme="majorHAnsi" w:hAnsiTheme="majorHAnsi" w:cstheme="majorHAnsi"/>
          <w:sz w:val="23"/>
          <w:szCs w:val="23"/>
        </w:rPr>
        <w:t xml:space="preserve"> </w:t>
      </w:r>
      <w:r w:rsidR="002F6BA9">
        <w:rPr>
          <w:rFonts w:asciiTheme="majorHAnsi" w:hAnsiTheme="majorHAnsi" w:cstheme="majorHAnsi"/>
          <w:sz w:val="23"/>
          <w:szCs w:val="23"/>
        </w:rPr>
        <w:t xml:space="preserve">(but are not limited to) </w:t>
      </w:r>
      <w:r w:rsidR="00270A34" w:rsidRPr="00270A34">
        <w:rPr>
          <w:rFonts w:asciiTheme="majorHAnsi" w:hAnsiTheme="majorHAnsi" w:cstheme="majorHAnsi"/>
          <w:sz w:val="23"/>
          <w:szCs w:val="23"/>
        </w:rPr>
        <w:t>Corio Community Park</w:t>
      </w:r>
      <w:r w:rsidR="00F3220A">
        <w:rPr>
          <w:rFonts w:asciiTheme="majorHAnsi" w:hAnsiTheme="majorHAnsi" w:cstheme="majorHAnsi"/>
          <w:sz w:val="23"/>
          <w:szCs w:val="23"/>
        </w:rPr>
        <w:t>, Stead Park, Corio Community Reserve</w:t>
      </w:r>
      <w:r w:rsidR="0057209A">
        <w:rPr>
          <w:rFonts w:asciiTheme="majorHAnsi" w:hAnsiTheme="majorHAnsi" w:cstheme="majorHAnsi"/>
          <w:sz w:val="23"/>
          <w:szCs w:val="23"/>
        </w:rPr>
        <w:t>, and Shell Reserve</w:t>
      </w:r>
      <w:r w:rsidR="002F6BA9">
        <w:rPr>
          <w:rFonts w:asciiTheme="majorHAnsi" w:hAnsiTheme="majorHAnsi" w:cstheme="majorHAnsi"/>
          <w:sz w:val="23"/>
          <w:szCs w:val="23"/>
        </w:rPr>
        <w:t>, all</w:t>
      </w:r>
      <w:r w:rsidR="002A11CC">
        <w:rPr>
          <w:rFonts w:asciiTheme="majorHAnsi" w:hAnsiTheme="majorHAnsi" w:cstheme="majorHAnsi"/>
          <w:sz w:val="23"/>
          <w:szCs w:val="23"/>
        </w:rPr>
        <w:t xml:space="preserve"> in Corio</w:t>
      </w:r>
      <w:r w:rsidR="002F6BA9">
        <w:rPr>
          <w:rFonts w:asciiTheme="majorHAnsi" w:hAnsiTheme="majorHAnsi" w:cstheme="majorHAnsi"/>
          <w:sz w:val="23"/>
          <w:szCs w:val="23"/>
        </w:rPr>
        <w:t>;</w:t>
      </w:r>
      <w:r w:rsidR="002A11CC">
        <w:rPr>
          <w:rFonts w:asciiTheme="majorHAnsi" w:hAnsiTheme="majorHAnsi" w:cstheme="majorHAnsi"/>
          <w:sz w:val="23"/>
          <w:szCs w:val="23"/>
        </w:rPr>
        <w:t xml:space="preserve"> and </w:t>
      </w:r>
      <w:r w:rsidR="008B1144">
        <w:rPr>
          <w:rFonts w:asciiTheme="majorHAnsi" w:hAnsiTheme="majorHAnsi" w:cstheme="majorHAnsi"/>
          <w:sz w:val="23"/>
          <w:szCs w:val="23"/>
        </w:rPr>
        <w:t xml:space="preserve">the </w:t>
      </w:r>
      <w:r w:rsidR="002A11CC">
        <w:rPr>
          <w:rFonts w:asciiTheme="majorHAnsi" w:hAnsiTheme="majorHAnsi" w:cstheme="majorHAnsi"/>
          <w:sz w:val="23"/>
          <w:szCs w:val="23"/>
        </w:rPr>
        <w:t xml:space="preserve">Fountain of Friendship Park, </w:t>
      </w:r>
      <w:r w:rsidR="00D53E91">
        <w:rPr>
          <w:rFonts w:asciiTheme="majorHAnsi" w:hAnsiTheme="majorHAnsi" w:cstheme="majorHAnsi"/>
          <w:sz w:val="23"/>
          <w:szCs w:val="23"/>
        </w:rPr>
        <w:t>Evans Reserve</w:t>
      </w:r>
      <w:r w:rsidR="002A11CC">
        <w:rPr>
          <w:rFonts w:asciiTheme="majorHAnsi" w:hAnsiTheme="majorHAnsi" w:cstheme="majorHAnsi"/>
          <w:sz w:val="23"/>
          <w:szCs w:val="23"/>
        </w:rPr>
        <w:t xml:space="preserve">, </w:t>
      </w:r>
      <w:r w:rsidR="002F6BA9">
        <w:rPr>
          <w:rFonts w:asciiTheme="majorHAnsi" w:hAnsiTheme="majorHAnsi" w:cstheme="majorHAnsi"/>
          <w:sz w:val="23"/>
          <w:szCs w:val="23"/>
        </w:rPr>
        <w:t>Windsor Park</w:t>
      </w:r>
      <w:r w:rsidR="002A11CC">
        <w:rPr>
          <w:rFonts w:asciiTheme="majorHAnsi" w:hAnsiTheme="majorHAnsi" w:cstheme="majorHAnsi"/>
          <w:sz w:val="23"/>
          <w:szCs w:val="23"/>
        </w:rPr>
        <w:t xml:space="preserve">, and </w:t>
      </w:r>
      <w:r w:rsidR="000E7801">
        <w:rPr>
          <w:rFonts w:asciiTheme="majorHAnsi" w:hAnsiTheme="majorHAnsi" w:cstheme="majorHAnsi"/>
          <w:sz w:val="23"/>
          <w:szCs w:val="23"/>
        </w:rPr>
        <w:t>Norlane Skate Park</w:t>
      </w:r>
      <w:r w:rsidR="002A11CC">
        <w:rPr>
          <w:rFonts w:asciiTheme="majorHAnsi" w:hAnsiTheme="majorHAnsi" w:cstheme="majorHAnsi"/>
          <w:sz w:val="23"/>
          <w:szCs w:val="23"/>
        </w:rPr>
        <w:t xml:space="preserve"> in Norlane</w:t>
      </w:r>
      <w:r w:rsidR="009F09C8">
        <w:rPr>
          <w:rFonts w:asciiTheme="majorHAnsi" w:hAnsiTheme="majorHAnsi" w:cstheme="majorHAnsi"/>
          <w:sz w:val="23"/>
          <w:szCs w:val="23"/>
        </w:rPr>
        <w:t>.</w:t>
      </w:r>
      <w:r w:rsidR="00CA7A29">
        <w:rPr>
          <w:rFonts w:asciiTheme="majorHAnsi" w:hAnsiTheme="majorHAnsi" w:cstheme="majorHAnsi"/>
          <w:sz w:val="23"/>
          <w:szCs w:val="23"/>
        </w:rPr>
        <w:t xml:space="preserve"> </w:t>
      </w:r>
      <w:r w:rsidR="0031144D">
        <w:rPr>
          <w:rFonts w:asciiTheme="majorHAnsi" w:hAnsiTheme="majorHAnsi" w:cstheme="majorHAnsi"/>
          <w:sz w:val="23"/>
          <w:szCs w:val="23"/>
        </w:rPr>
        <w:t xml:space="preserve">There is also the adjacent </w:t>
      </w:r>
      <w:r w:rsidR="008D39FF">
        <w:rPr>
          <w:rFonts w:asciiTheme="majorHAnsi" w:hAnsiTheme="majorHAnsi" w:cstheme="majorHAnsi"/>
          <w:sz w:val="23"/>
          <w:szCs w:val="23"/>
        </w:rPr>
        <w:t xml:space="preserve">green space of </w:t>
      </w:r>
      <w:r w:rsidR="0031144D">
        <w:rPr>
          <w:rFonts w:asciiTheme="majorHAnsi" w:hAnsiTheme="majorHAnsi" w:cstheme="majorHAnsi"/>
          <w:sz w:val="23"/>
          <w:szCs w:val="23"/>
        </w:rPr>
        <w:t xml:space="preserve">Cowies Creek and Seagull Paddock. </w:t>
      </w:r>
      <w:r w:rsidR="009F09C8">
        <w:rPr>
          <w:rFonts w:asciiTheme="majorHAnsi" w:hAnsiTheme="majorHAnsi" w:cstheme="majorHAnsi"/>
          <w:sz w:val="23"/>
          <w:szCs w:val="23"/>
        </w:rPr>
        <w:t>O</w:t>
      </w:r>
      <w:r w:rsidR="007F7A47">
        <w:rPr>
          <w:rFonts w:asciiTheme="majorHAnsi" w:hAnsiTheme="majorHAnsi" w:cstheme="majorHAnsi"/>
          <w:sz w:val="23"/>
          <w:szCs w:val="23"/>
        </w:rPr>
        <w:t xml:space="preserve">pen </w:t>
      </w:r>
      <w:r w:rsidR="002B510C">
        <w:rPr>
          <w:rFonts w:asciiTheme="majorHAnsi" w:hAnsiTheme="majorHAnsi" w:cstheme="majorHAnsi"/>
          <w:sz w:val="23"/>
          <w:szCs w:val="23"/>
        </w:rPr>
        <w:t xml:space="preserve">space is more limited in </w:t>
      </w:r>
      <w:r w:rsidR="00020CB7" w:rsidRPr="00E91887">
        <w:rPr>
          <w:rFonts w:asciiTheme="majorHAnsi" w:hAnsiTheme="majorHAnsi" w:cstheme="majorHAnsi"/>
          <w:sz w:val="23"/>
          <w:szCs w:val="23"/>
        </w:rPr>
        <w:t>Whittington</w:t>
      </w:r>
      <w:r w:rsidR="002B510C">
        <w:rPr>
          <w:rFonts w:asciiTheme="majorHAnsi" w:hAnsiTheme="majorHAnsi" w:cstheme="majorHAnsi"/>
          <w:sz w:val="23"/>
          <w:szCs w:val="23"/>
        </w:rPr>
        <w:t>, but includes Whittington Link</w:t>
      </w:r>
      <w:r w:rsidR="00EA7E25">
        <w:rPr>
          <w:rFonts w:asciiTheme="majorHAnsi" w:hAnsiTheme="majorHAnsi" w:cstheme="majorHAnsi"/>
          <w:sz w:val="23"/>
          <w:szCs w:val="23"/>
        </w:rPr>
        <w:t xml:space="preserve">, </w:t>
      </w:r>
      <w:r w:rsidR="007F4079">
        <w:rPr>
          <w:rFonts w:asciiTheme="majorHAnsi" w:hAnsiTheme="majorHAnsi" w:cstheme="majorHAnsi"/>
          <w:sz w:val="23"/>
          <w:szCs w:val="23"/>
        </w:rPr>
        <w:t>St Albans Reserve, other</w:t>
      </w:r>
      <w:r w:rsidR="00EA7E25">
        <w:rPr>
          <w:rFonts w:asciiTheme="majorHAnsi" w:hAnsiTheme="majorHAnsi" w:cstheme="majorHAnsi"/>
          <w:sz w:val="23"/>
          <w:szCs w:val="23"/>
        </w:rPr>
        <w:t xml:space="preserve"> smaller reserves and playgrounds,</w:t>
      </w:r>
      <w:r w:rsidR="002B510C">
        <w:rPr>
          <w:rFonts w:asciiTheme="majorHAnsi" w:hAnsiTheme="majorHAnsi" w:cstheme="majorHAnsi"/>
          <w:sz w:val="23"/>
          <w:szCs w:val="23"/>
        </w:rPr>
        <w:t xml:space="preserve"> and the Bellarine Rail Trail</w:t>
      </w:r>
      <w:r w:rsidR="00B02D5A">
        <w:rPr>
          <w:rFonts w:asciiTheme="majorHAnsi" w:hAnsiTheme="majorHAnsi" w:cstheme="majorHAnsi"/>
          <w:sz w:val="23"/>
          <w:szCs w:val="23"/>
        </w:rPr>
        <w:t xml:space="preserve"> on the suburb’s north</w:t>
      </w:r>
      <w:r w:rsidR="008D39FF">
        <w:rPr>
          <w:rFonts w:asciiTheme="majorHAnsi" w:hAnsiTheme="majorHAnsi" w:cstheme="majorHAnsi"/>
          <w:sz w:val="23"/>
          <w:szCs w:val="23"/>
        </w:rPr>
        <w:t>ern</w:t>
      </w:r>
      <w:r w:rsidR="00B02D5A">
        <w:rPr>
          <w:rFonts w:asciiTheme="majorHAnsi" w:hAnsiTheme="majorHAnsi" w:cstheme="majorHAnsi"/>
          <w:sz w:val="23"/>
          <w:szCs w:val="23"/>
        </w:rPr>
        <w:t xml:space="preserve"> bor</w:t>
      </w:r>
      <w:r w:rsidR="007F7A47">
        <w:rPr>
          <w:rFonts w:asciiTheme="majorHAnsi" w:hAnsiTheme="majorHAnsi" w:cstheme="majorHAnsi"/>
          <w:sz w:val="23"/>
          <w:szCs w:val="23"/>
        </w:rPr>
        <w:t>de</w:t>
      </w:r>
      <w:r w:rsidR="00B02D5A">
        <w:rPr>
          <w:rFonts w:asciiTheme="majorHAnsi" w:hAnsiTheme="majorHAnsi" w:cstheme="majorHAnsi"/>
          <w:sz w:val="23"/>
          <w:szCs w:val="23"/>
        </w:rPr>
        <w:t>r</w:t>
      </w:r>
      <w:r w:rsidR="00CA7A29">
        <w:rPr>
          <w:rFonts w:asciiTheme="majorHAnsi" w:hAnsiTheme="majorHAnsi" w:cstheme="majorHAnsi"/>
          <w:sz w:val="23"/>
          <w:szCs w:val="23"/>
        </w:rPr>
        <w:t>.</w:t>
      </w:r>
    </w:p>
    <w:p w14:paraId="4F34552C" w14:textId="2258EA42" w:rsidR="00F00E3D" w:rsidRPr="00E91887" w:rsidRDefault="005B04E2" w:rsidP="009B2FA7">
      <w:pPr>
        <w:spacing w:line="276" w:lineRule="auto"/>
        <w:rPr>
          <w:rFonts w:asciiTheme="majorHAnsi" w:hAnsiTheme="majorHAnsi" w:cstheme="majorHAnsi"/>
          <w:sz w:val="23"/>
          <w:szCs w:val="23"/>
        </w:rPr>
      </w:pPr>
      <w:r>
        <w:rPr>
          <w:rFonts w:asciiTheme="majorHAnsi" w:hAnsiTheme="majorHAnsi" w:cstheme="majorHAnsi"/>
          <w:sz w:val="23"/>
          <w:szCs w:val="23"/>
        </w:rPr>
        <w:t>There have been both past</w:t>
      </w:r>
      <w:r w:rsidR="00F00E3D" w:rsidRPr="00E91887">
        <w:rPr>
          <w:rFonts w:asciiTheme="majorHAnsi" w:hAnsiTheme="majorHAnsi" w:cstheme="majorHAnsi"/>
          <w:sz w:val="23"/>
          <w:szCs w:val="23"/>
        </w:rPr>
        <w:t xml:space="preserve"> actions</w:t>
      </w:r>
      <w:r>
        <w:rPr>
          <w:rFonts w:asciiTheme="majorHAnsi" w:hAnsiTheme="majorHAnsi" w:cstheme="majorHAnsi"/>
          <w:sz w:val="23"/>
          <w:szCs w:val="23"/>
        </w:rPr>
        <w:t xml:space="preserve"> and recent plans</w:t>
      </w:r>
      <w:r w:rsidR="00F00E3D" w:rsidRPr="00E91887">
        <w:rPr>
          <w:rFonts w:asciiTheme="majorHAnsi" w:hAnsiTheme="majorHAnsi" w:cstheme="majorHAnsi"/>
          <w:sz w:val="23"/>
          <w:szCs w:val="23"/>
        </w:rPr>
        <w:t xml:space="preserve"> to upgrade </w:t>
      </w:r>
      <w:r w:rsidR="00CA7A29">
        <w:rPr>
          <w:rFonts w:asciiTheme="majorHAnsi" w:hAnsiTheme="majorHAnsi" w:cstheme="majorHAnsi"/>
          <w:sz w:val="23"/>
          <w:szCs w:val="23"/>
        </w:rPr>
        <w:t>public open spaces in these areas</w:t>
      </w:r>
      <w:r w:rsidR="00CD2BB0">
        <w:rPr>
          <w:rFonts w:asciiTheme="majorHAnsi" w:hAnsiTheme="majorHAnsi" w:cstheme="majorHAnsi"/>
          <w:sz w:val="23"/>
          <w:szCs w:val="23"/>
        </w:rPr>
        <w:t xml:space="preserve">, </w:t>
      </w:r>
      <w:r>
        <w:rPr>
          <w:rFonts w:asciiTheme="majorHAnsi" w:hAnsiTheme="majorHAnsi" w:cstheme="majorHAnsi"/>
          <w:sz w:val="23"/>
          <w:szCs w:val="23"/>
        </w:rPr>
        <w:t>in particular</w:t>
      </w:r>
      <w:r w:rsidR="00F00E3D" w:rsidRPr="00E91887">
        <w:rPr>
          <w:rFonts w:asciiTheme="majorHAnsi" w:hAnsiTheme="majorHAnsi" w:cstheme="majorHAnsi"/>
          <w:sz w:val="23"/>
          <w:szCs w:val="23"/>
        </w:rPr>
        <w:t xml:space="preserve"> lighting</w:t>
      </w:r>
      <w:r>
        <w:rPr>
          <w:rFonts w:asciiTheme="majorHAnsi" w:hAnsiTheme="majorHAnsi" w:cstheme="majorHAnsi"/>
          <w:sz w:val="23"/>
          <w:szCs w:val="23"/>
        </w:rPr>
        <w:t xml:space="preserve"> improvements</w:t>
      </w:r>
      <w:r w:rsidR="00CD2BB0">
        <w:rPr>
          <w:rFonts w:asciiTheme="majorHAnsi" w:hAnsiTheme="majorHAnsi" w:cstheme="majorHAnsi"/>
          <w:sz w:val="23"/>
          <w:szCs w:val="23"/>
        </w:rPr>
        <w:t xml:space="preserve"> and</w:t>
      </w:r>
      <w:r w:rsidR="00F00E3D" w:rsidRPr="00E91887">
        <w:rPr>
          <w:rFonts w:asciiTheme="majorHAnsi" w:hAnsiTheme="majorHAnsi" w:cstheme="majorHAnsi"/>
          <w:sz w:val="23"/>
          <w:szCs w:val="23"/>
        </w:rPr>
        <w:t xml:space="preserve"> toilet facilities (</w:t>
      </w:r>
      <w:r w:rsidR="00CD2BB0">
        <w:rPr>
          <w:rFonts w:asciiTheme="majorHAnsi" w:hAnsiTheme="majorHAnsi" w:cstheme="majorHAnsi"/>
          <w:sz w:val="23"/>
          <w:szCs w:val="23"/>
        </w:rPr>
        <w:t xml:space="preserve">as noted in </w:t>
      </w:r>
      <w:r w:rsidR="001B7DDF">
        <w:rPr>
          <w:rFonts w:asciiTheme="majorHAnsi" w:hAnsiTheme="majorHAnsi" w:cstheme="majorHAnsi"/>
          <w:sz w:val="23"/>
          <w:szCs w:val="23"/>
        </w:rPr>
        <w:t>CoGG</w:t>
      </w:r>
      <w:r w:rsidR="00CD2BB0">
        <w:rPr>
          <w:rFonts w:asciiTheme="majorHAnsi" w:hAnsiTheme="majorHAnsi" w:cstheme="majorHAnsi"/>
          <w:sz w:val="23"/>
          <w:szCs w:val="23"/>
        </w:rPr>
        <w:t>’s</w:t>
      </w:r>
      <w:r w:rsidR="00F00E3D" w:rsidRPr="00E91887">
        <w:rPr>
          <w:rFonts w:asciiTheme="majorHAnsi" w:hAnsiTheme="majorHAnsi" w:cstheme="majorHAnsi"/>
          <w:sz w:val="23"/>
          <w:szCs w:val="23"/>
        </w:rPr>
        <w:t xml:space="preserve"> </w:t>
      </w:r>
      <w:r w:rsidR="00F00E3D" w:rsidRPr="00E91887">
        <w:rPr>
          <w:rFonts w:asciiTheme="majorHAnsi" w:hAnsiTheme="majorHAnsi" w:cstheme="majorHAnsi"/>
          <w:i/>
          <w:sz w:val="23"/>
          <w:szCs w:val="23"/>
        </w:rPr>
        <w:t>Social Infrastructure Plan</w:t>
      </w:r>
      <w:r w:rsidR="00F00E3D" w:rsidRPr="00E91887">
        <w:rPr>
          <w:rFonts w:asciiTheme="majorHAnsi" w:hAnsiTheme="majorHAnsi" w:cstheme="majorHAnsi"/>
          <w:sz w:val="23"/>
          <w:szCs w:val="23"/>
        </w:rPr>
        <w:t xml:space="preserve">). However, as an earlier investigation into Corio-Norlane </w:t>
      </w:r>
      <w:r w:rsidR="00CD2BB0">
        <w:rPr>
          <w:rFonts w:asciiTheme="majorHAnsi" w:hAnsiTheme="majorHAnsi" w:cstheme="majorHAnsi"/>
          <w:sz w:val="23"/>
          <w:szCs w:val="23"/>
        </w:rPr>
        <w:t>found</w:t>
      </w:r>
      <w:r w:rsidR="00F00E3D" w:rsidRPr="00E91887">
        <w:rPr>
          <w:rFonts w:asciiTheme="majorHAnsi" w:hAnsiTheme="majorHAnsi" w:cstheme="majorHAnsi"/>
          <w:sz w:val="23"/>
          <w:szCs w:val="23"/>
        </w:rPr>
        <w:t xml:space="preserve">, many of the parks are not considered safe by residents, </w:t>
      </w:r>
      <w:r w:rsidR="00CD2BB0">
        <w:rPr>
          <w:rFonts w:asciiTheme="majorHAnsi" w:hAnsiTheme="majorHAnsi" w:cstheme="majorHAnsi"/>
          <w:sz w:val="23"/>
          <w:szCs w:val="23"/>
        </w:rPr>
        <w:t>a</w:t>
      </w:r>
      <w:r w:rsidR="00F00E3D" w:rsidRPr="00E91887">
        <w:rPr>
          <w:rFonts w:asciiTheme="majorHAnsi" w:hAnsiTheme="majorHAnsi" w:cstheme="majorHAnsi"/>
          <w:sz w:val="23"/>
          <w:szCs w:val="23"/>
        </w:rPr>
        <w:t xml:space="preserve"> sprinkling of </w:t>
      </w:r>
      <w:r w:rsidR="00CD2BB0">
        <w:rPr>
          <w:rFonts w:asciiTheme="majorHAnsi" w:hAnsiTheme="majorHAnsi" w:cstheme="majorHAnsi"/>
          <w:sz w:val="23"/>
          <w:szCs w:val="23"/>
        </w:rPr>
        <w:t xml:space="preserve">local </w:t>
      </w:r>
      <w:r w:rsidR="00F00E3D" w:rsidRPr="00E91887">
        <w:rPr>
          <w:rFonts w:asciiTheme="majorHAnsi" w:hAnsiTheme="majorHAnsi" w:cstheme="majorHAnsi"/>
          <w:sz w:val="23"/>
          <w:szCs w:val="23"/>
        </w:rPr>
        <w:t xml:space="preserve">pocket parks </w:t>
      </w:r>
      <w:r w:rsidR="00CD2BB0">
        <w:rPr>
          <w:rFonts w:asciiTheme="majorHAnsi" w:hAnsiTheme="majorHAnsi" w:cstheme="majorHAnsi"/>
          <w:sz w:val="23"/>
          <w:szCs w:val="23"/>
        </w:rPr>
        <w:t>are</w:t>
      </w:r>
      <w:r w:rsidR="00F00E3D" w:rsidRPr="00E91887">
        <w:rPr>
          <w:rFonts w:asciiTheme="majorHAnsi" w:hAnsiTheme="majorHAnsi" w:cstheme="majorHAnsi"/>
          <w:sz w:val="23"/>
          <w:szCs w:val="23"/>
        </w:rPr>
        <w:t xml:space="preserve"> not necessarily well used</w:t>
      </w:r>
      <w:r w:rsidR="00CD2BB0">
        <w:rPr>
          <w:rFonts w:asciiTheme="majorHAnsi" w:hAnsiTheme="majorHAnsi" w:cstheme="majorHAnsi"/>
          <w:sz w:val="23"/>
          <w:szCs w:val="23"/>
        </w:rPr>
        <w:t>,</w:t>
      </w:r>
      <w:r w:rsidR="00F00E3D" w:rsidRPr="00E91887">
        <w:rPr>
          <w:rFonts w:asciiTheme="majorHAnsi" w:hAnsiTheme="majorHAnsi" w:cstheme="majorHAnsi"/>
          <w:sz w:val="23"/>
          <w:szCs w:val="23"/>
        </w:rPr>
        <w:t xml:space="preserve"> and there is a need for greater connectivity </w:t>
      </w:r>
      <w:r w:rsidR="00CD2BB0">
        <w:rPr>
          <w:rFonts w:asciiTheme="majorHAnsi" w:hAnsiTheme="majorHAnsi" w:cstheme="majorHAnsi"/>
          <w:sz w:val="23"/>
          <w:szCs w:val="23"/>
        </w:rPr>
        <w:t>and</w:t>
      </w:r>
      <w:r w:rsidR="00F00E3D" w:rsidRPr="00E91887">
        <w:rPr>
          <w:rFonts w:asciiTheme="majorHAnsi" w:hAnsiTheme="majorHAnsi" w:cstheme="majorHAnsi"/>
          <w:sz w:val="23"/>
          <w:szCs w:val="23"/>
        </w:rPr>
        <w:t xml:space="preserve"> safety.</w:t>
      </w:r>
      <w:r w:rsidR="002F6BA9">
        <w:rPr>
          <w:rFonts w:asciiTheme="majorHAnsi" w:hAnsiTheme="majorHAnsi" w:cstheme="majorHAnsi"/>
          <w:sz w:val="23"/>
          <w:szCs w:val="23"/>
        </w:rPr>
        <w:t xml:space="preserve"> Our consultations</w:t>
      </w:r>
      <w:r w:rsidR="00D16ADC">
        <w:rPr>
          <w:rFonts w:asciiTheme="majorHAnsi" w:hAnsiTheme="majorHAnsi" w:cstheme="majorHAnsi"/>
          <w:sz w:val="23"/>
          <w:szCs w:val="23"/>
        </w:rPr>
        <w:t xml:space="preserve"> (see Section 8) confirmed these earlier observations, with a perceived lack of welcoming, accessible and attractive open and green space in the three localities</w:t>
      </w:r>
      <w:r w:rsidR="00FB4C21">
        <w:rPr>
          <w:rFonts w:asciiTheme="majorHAnsi" w:hAnsiTheme="majorHAnsi" w:cstheme="majorHAnsi"/>
          <w:sz w:val="23"/>
          <w:szCs w:val="23"/>
        </w:rPr>
        <w:t xml:space="preserve">, and scope </w:t>
      </w:r>
      <w:r w:rsidR="008D39FF">
        <w:rPr>
          <w:rFonts w:asciiTheme="majorHAnsi" w:hAnsiTheme="majorHAnsi" w:cstheme="majorHAnsi"/>
          <w:sz w:val="23"/>
          <w:szCs w:val="23"/>
        </w:rPr>
        <w:t>to further upgrade and extend</w:t>
      </w:r>
      <w:r w:rsidR="00FB4C21">
        <w:rPr>
          <w:rFonts w:asciiTheme="majorHAnsi" w:hAnsiTheme="majorHAnsi" w:cstheme="majorHAnsi"/>
          <w:sz w:val="23"/>
          <w:szCs w:val="23"/>
        </w:rPr>
        <w:t xml:space="preserve"> existing options</w:t>
      </w:r>
      <w:r w:rsidR="00D16ADC">
        <w:rPr>
          <w:rFonts w:asciiTheme="majorHAnsi" w:hAnsiTheme="majorHAnsi" w:cstheme="majorHAnsi"/>
          <w:sz w:val="23"/>
          <w:szCs w:val="23"/>
        </w:rPr>
        <w:t>.</w:t>
      </w:r>
    </w:p>
    <w:p w14:paraId="25B445A3" w14:textId="77777777" w:rsidR="00F00E3D" w:rsidRPr="00CD2BB0" w:rsidRDefault="00F00E3D" w:rsidP="009B2FA7">
      <w:pPr>
        <w:spacing w:line="276" w:lineRule="auto"/>
        <w:rPr>
          <w:rFonts w:cstheme="minorHAnsi"/>
          <w:b/>
          <w:bCs/>
          <w:sz w:val="23"/>
          <w:szCs w:val="23"/>
        </w:rPr>
      </w:pPr>
      <w:r w:rsidRPr="00CD2BB0">
        <w:rPr>
          <w:rFonts w:cstheme="minorHAnsi"/>
          <w:b/>
          <w:bCs/>
          <w:sz w:val="23"/>
          <w:szCs w:val="23"/>
        </w:rPr>
        <w:t>Social Infrastructure</w:t>
      </w:r>
    </w:p>
    <w:p w14:paraId="0FE05117" w14:textId="324C1723" w:rsidR="00F00E3D" w:rsidRPr="00E91887" w:rsidRDefault="00F00E3D" w:rsidP="009B2FA7">
      <w:pPr>
        <w:spacing w:line="276" w:lineRule="auto"/>
        <w:rPr>
          <w:rFonts w:asciiTheme="majorHAnsi" w:hAnsiTheme="majorHAnsi" w:cstheme="majorHAnsi"/>
          <w:sz w:val="23"/>
          <w:szCs w:val="23"/>
        </w:rPr>
      </w:pPr>
      <w:r w:rsidRPr="00E91887">
        <w:rPr>
          <w:rFonts w:asciiTheme="majorHAnsi" w:hAnsiTheme="majorHAnsi" w:cstheme="majorHAnsi"/>
          <w:sz w:val="23"/>
          <w:szCs w:val="23"/>
        </w:rPr>
        <w:t xml:space="preserve">The City of Greater Geelong </w:t>
      </w:r>
      <w:r w:rsidRPr="00E91887">
        <w:rPr>
          <w:rFonts w:asciiTheme="majorHAnsi" w:hAnsiTheme="majorHAnsi" w:cstheme="majorHAnsi"/>
          <w:i/>
          <w:sz w:val="23"/>
          <w:szCs w:val="23"/>
        </w:rPr>
        <w:t>Social Infrastructure Plan</w:t>
      </w:r>
      <w:r w:rsidRPr="00E91887">
        <w:rPr>
          <w:rFonts w:asciiTheme="majorHAnsi" w:hAnsiTheme="majorHAnsi" w:cstheme="majorHAnsi"/>
          <w:sz w:val="23"/>
          <w:szCs w:val="23"/>
        </w:rPr>
        <w:t xml:space="preserve"> (2020</w:t>
      </w:r>
      <w:r w:rsidR="005B04E2">
        <w:rPr>
          <w:rFonts w:asciiTheme="majorHAnsi" w:hAnsiTheme="majorHAnsi" w:cstheme="majorHAnsi"/>
          <w:sz w:val="23"/>
          <w:szCs w:val="23"/>
        </w:rPr>
        <w:t>–</w:t>
      </w:r>
      <w:r w:rsidRPr="00E91887">
        <w:rPr>
          <w:rFonts w:asciiTheme="majorHAnsi" w:hAnsiTheme="majorHAnsi" w:cstheme="majorHAnsi"/>
          <w:sz w:val="23"/>
          <w:szCs w:val="23"/>
        </w:rPr>
        <w:t xml:space="preserve">2023) </w:t>
      </w:r>
      <w:r w:rsidR="005B04E2">
        <w:rPr>
          <w:rFonts w:asciiTheme="majorHAnsi" w:hAnsiTheme="majorHAnsi" w:cstheme="majorHAnsi"/>
          <w:sz w:val="23"/>
          <w:szCs w:val="23"/>
        </w:rPr>
        <w:t>sets out plans for</w:t>
      </w:r>
      <w:r w:rsidRPr="00E91887">
        <w:rPr>
          <w:rFonts w:asciiTheme="majorHAnsi" w:hAnsiTheme="majorHAnsi" w:cstheme="majorHAnsi"/>
          <w:sz w:val="23"/>
          <w:szCs w:val="23"/>
        </w:rPr>
        <w:t xml:space="preserve"> considerable investment into the three areas under consideration. In Corio there are planned refurbishments of existing park facilities </w:t>
      </w:r>
      <w:r w:rsidR="005B04E2">
        <w:rPr>
          <w:rFonts w:asciiTheme="majorHAnsi" w:hAnsiTheme="majorHAnsi" w:cstheme="majorHAnsi"/>
          <w:sz w:val="23"/>
          <w:szCs w:val="23"/>
        </w:rPr>
        <w:t>(</w:t>
      </w:r>
      <w:r w:rsidRPr="00E91887">
        <w:rPr>
          <w:rFonts w:asciiTheme="majorHAnsi" w:hAnsiTheme="majorHAnsi" w:cstheme="majorHAnsi"/>
          <w:sz w:val="23"/>
          <w:szCs w:val="23"/>
        </w:rPr>
        <w:t>toilets in Stead Park, skatepark</w:t>
      </w:r>
      <w:r w:rsidR="005B04E2">
        <w:rPr>
          <w:rFonts w:asciiTheme="majorHAnsi" w:hAnsiTheme="majorHAnsi" w:cstheme="majorHAnsi"/>
          <w:sz w:val="23"/>
          <w:szCs w:val="23"/>
        </w:rPr>
        <w:t>,</w:t>
      </w:r>
      <w:r w:rsidRPr="00E91887">
        <w:rPr>
          <w:rFonts w:asciiTheme="majorHAnsi" w:hAnsiTheme="majorHAnsi" w:cstheme="majorHAnsi"/>
          <w:sz w:val="23"/>
          <w:szCs w:val="23"/>
        </w:rPr>
        <w:t xml:space="preserve"> floodlights</w:t>
      </w:r>
      <w:r w:rsidR="005B04E2">
        <w:rPr>
          <w:rFonts w:asciiTheme="majorHAnsi" w:hAnsiTheme="majorHAnsi" w:cstheme="majorHAnsi"/>
          <w:sz w:val="23"/>
          <w:szCs w:val="23"/>
        </w:rPr>
        <w:t>)</w:t>
      </w:r>
      <w:r w:rsidRPr="00E91887">
        <w:rPr>
          <w:rFonts w:asciiTheme="majorHAnsi" w:hAnsiTheme="majorHAnsi" w:cstheme="majorHAnsi"/>
          <w:sz w:val="23"/>
          <w:szCs w:val="23"/>
        </w:rPr>
        <w:t xml:space="preserve">; the redevelopment of key community </w:t>
      </w:r>
      <w:r w:rsidR="005B04E2">
        <w:rPr>
          <w:rFonts w:asciiTheme="majorHAnsi" w:hAnsiTheme="majorHAnsi" w:cstheme="majorHAnsi"/>
          <w:sz w:val="23"/>
          <w:szCs w:val="23"/>
        </w:rPr>
        <w:t>facilities</w:t>
      </w:r>
      <w:r w:rsidRPr="00E91887">
        <w:rPr>
          <w:rFonts w:asciiTheme="majorHAnsi" w:hAnsiTheme="majorHAnsi" w:cstheme="majorHAnsi"/>
          <w:sz w:val="23"/>
          <w:szCs w:val="23"/>
        </w:rPr>
        <w:t xml:space="preserve"> (Norlane </w:t>
      </w:r>
      <w:r w:rsidRPr="00AC47D2">
        <w:rPr>
          <w:rFonts w:asciiTheme="majorHAnsi" w:hAnsiTheme="majorHAnsi" w:cstheme="majorHAnsi"/>
          <w:sz w:val="23"/>
          <w:szCs w:val="23"/>
        </w:rPr>
        <w:t>Community Centre, Corio Library)</w:t>
      </w:r>
      <w:r w:rsidR="005B04E2" w:rsidRPr="00AC47D2">
        <w:rPr>
          <w:rFonts w:asciiTheme="majorHAnsi" w:hAnsiTheme="majorHAnsi" w:cstheme="majorHAnsi"/>
          <w:sz w:val="23"/>
          <w:szCs w:val="23"/>
        </w:rPr>
        <w:t>;</w:t>
      </w:r>
      <w:r w:rsidRPr="00AC47D2">
        <w:rPr>
          <w:rFonts w:asciiTheme="majorHAnsi" w:hAnsiTheme="majorHAnsi" w:cstheme="majorHAnsi"/>
          <w:sz w:val="23"/>
          <w:szCs w:val="23"/>
        </w:rPr>
        <w:t xml:space="preserve"> and the implementation of plans for Osborne House and </w:t>
      </w:r>
      <w:r w:rsidR="00AB3D7C" w:rsidRPr="00AC47D2">
        <w:rPr>
          <w:rFonts w:asciiTheme="majorHAnsi" w:hAnsiTheme="majorHAnsi" w:cstheme="majorHAnsi"/>
          <w:sz w:val="23"/>
          <w:szCs w:val="23"/>
        </w:rPr>
        <w:t xml:space="preserve">fOrT Youth Centre </w:t>
      </w:r>
      <w:r w:rsidRPr="00AC47D2">
        <w:rPr>
          <w:rFonts w:asciiTheme="majorHAnsi" w:hAnsiTheme="majorHAnsi" w:cstheme="majorHAnsi"/>
          <w:sz w:val="23"/>
          <w:szCs w:val="23"/>
        </w:rPr>
        <w:t>in North Geelong. However, a key initiative</w:t>
      </w:r>
      <w:r w:rsidR="00F64675">
        <w:rPr>
          <w:rFonts w:asciiTheme="majorHAnsi" w:hAnsiTheme="majorHAnsi" w:cstheme="majorHAnsi"/>
          <w:sz w:val="23"/>
          <w:szCs w:val="23"/>
        </w:rPr>
        <w:t xml:space="preserve"> has not been </w:t>
      </w:r>
      <w:r w:rsidR="00623F1B">
        <w:rPr>
          <w:rFonts w:asciiTheme="majorHAnsi" w:hAnsiTheme="majorHAnsi" w:cstheme="majorHAnsi"/>
          <w:sz w:val="23"/>
          <w:szCs w:val="23"/>
        </w:rPr>
        <w:t xml:space="preserve">fully </w:t>
      </w:r>
      <w:r w:rsidR="00F64675">
        <w:rPr>
          <w:rFonts w:asciiTheme="majorHAnsi" w:hAnsiTheme="majorHAnsi" w:cstheme="majorHAnsi"/>
          <w:sz w:val="23"/>
          <w:szCs w:val="23"/>
        </w:rPr>
        <w:t>funded</w:t>
      </w:r>
      <w:r w:rsidR="00D865A6" w:rsidRPr="00AC47D2">
        <w:rPr>
          <w:rFonts w:asciiTheme="majorHAnsi" w:hAnsiTheme="majorHAnsi" w:cstheme="majorHAnsi"/>
          <w:sz w:val="23"/>
          <w:szCs w:val="23"/>
        </w:rPr>
        <w:t>:</w:t>
      </w:r>
      <w:r w:rsidRPr="00AC47D2">
        <w:rPr>
          <w:rFonts w:asciiTheme="majorHAnsi" w:hAnsiTheme="majorHAnsi" w:cstheme="majorHAnsi"/>
          <w:sz w:val="23"/>
          <w:szCs w:val="23"/>
        </w:rPr>
        <w:t xml:space="preserve"> the </w:t>
      </w:r>
      <w:r w:rsidR="008C1DAB" w:rsidRPr="00AC47D2">
        <w:rPr>
          <w:rFonts w:asciiTheme="majorHAnsi" w:hAnsiTheme="majorHAnsi" w:cstheme="majorHAnsi"/>
          <w:sz w:val="23"/>
          <w:szCs w:val="23"/>
          <w:lang w:val="en-GB"/>
        </w:rPr>
        <w:t>NACH (</w:t>
      </w:r>
      <w:r w:rsidR="00AC47D2" w:rsidRPr="00AC47D2">
        <w:rPr>
          <w:rFonts w:asciiTheme="majorHAnsi" w:eastAsia="Calibri Light" w:hAnsiTheme="majorHAnsi" w:cstheme="majorHAnsi"/>
          <w:sz w:val="23"/>
          <w:szCs w:val="23"/>
        </w:rPr>
        <w:t>Northern Aquatic and Community Hub</w:t>
      </w:r>
      <w:r w:rsidR="008C1DAB" w:rsidRPr="00AC47D2">
        <w:rPr>
          <w:rFonts w:asciiTheme="majorHAnsi" w:hAnsiTheme="majorHAnsi" w:cstheme="majorHAnsi"/>
          <w:sz w:val="23"/>
          <w:szCs w:val="23"/>
          <w:lang w:val="en-GB"/>
        </w:rPr>
        <w:t>, formerly</w:t>
      </w:r>
      <w:r w:rsidR="008C1DAB" w:rsidRPr="00AC47D2">
        <w:rPr>
          <w:rFonts w:asciiTheme="majorHAnsi" w:hAnsiTheme="majorHAnsi" w:cstheme="majorHAnsi"/>
          <w:sz w:val="23"/>
          <w:szCs w:val="23"/>
        </w:rPr>
        <w:t xml:space="preserve"> </w:t>
      </w:r>
      <w:r w:rsidRPr="00AC47D2">
        <w:rPr>
          <w:rFonts w:asciiTheme="majorHAnsi" w:hAnsiTheme="majorHAnsi" w:cstheme="majorHAnsi"/>
          <w:sz w:val="23"/>
          <w:szCs w:val="23"/>
        </w:rPr>
        <w:t>Northern ARC</w:t>
      </w:r>
      <w:r w:rsidR="008C1DAB" w:rsidRPr="00AC47D2">
        <w:rPr>
          <w:rFonts w:asciiTheme="majorHAnsi" w:hAnsiTheme="majorHAnsi" w:cstheme="majorHAnsi"/>
          <w:sz w:val="23"/>
          <w:szCs w:val="23"/>
        </w:rPr>
        <w:t>)</w:t>
      </w:r>
      <w:r w:rsidRPr="00AC47D2">
        <w:rPr>
          <w:rFonts w:asciiTheme="majorHAnsi" w:hAnsiTheme="majorHAnsi" w:cstheme="majorHAnsi"/>
          <w:sz w:val="23"/>
          <w:szCs w:val="23"/>
        </w:rPr>
        <w:t>, which is to replace Waterworld</w:t>
      </w:r>
      <w:r w:rsidR="00D865A6" w:rsidRPr="00AC47D2">
        <w:rPr>
          <w:rFonts w:asciiTheme="majorHAnsi" w:hAnsiTheme="majorHAnsi" w:cstheme="majorHAnsi"/>
          <w:sz w:val="23"/>
          <w:szCs w:val="23"/>
        </w:rPr>
        <w:t>,</w:t>
      </w:r>
      <w:r w:rsidRPr="00AC47D2">
        <w:rPr>
          <w:rFonts w:asciiTheme="majorHAnsi" w:hAnsiTheme="majorHAnsi" w:cstheme="majorHAnsi"/>
          <w:sz w:val="23"/>
          <w:szCs w:val="23"/>
        </w:rPr>
        <w:t xml:space="preserve"> and include</w:t>
      </w:r>
      <w:r w:rsidR="00D865A6" w:rsidRPr="00AC47D2">
        <w:rPr>
          <w:rFonts w:asciiTheme="majorHAnsi" w:hAnsiTheme="majorHAnsi" w:cstheme="majorHAnsi"/>
          <w:sz w:val="23"/>
          <w:szCs w:val="23"/>
        </w:rPr>
        <w:t>s</w:t>
      </w:r>
      <w:r w:rsidRPr="00AC47D2">
        <w:rPr>
          <w:rFonts w:asciiTheme="majorHAnsi" w:hAnsiTheme="majorHAnsi" w:cstheme="majorHAnsi"/>
          <w:sz w:val="23"/>
          <w:szCs w:val="23"/>
        </w:rPr>
        <w:t xml:space="preserve"> an aquatic, health</w:t>
      </w:r>
      <w:r w:rsidR="00AB3D7C" w:rsidRPr="00AC47D2">
        <w:rPr>
          <w:rFonts w:asciiTheme="majorHAnsi" w:hAnsiTheme="majorHAnsi" w:cstheme="majorHAnsi"/>
          <w:sz w:val="23"/>
          <w:szCs w:val="23"/>
        </w:rPr>
        <w:t>,</w:t>
      </w:r>
      <w:r w:rsidRPr="00AC47D2">
        <w:rPr>
          <w:rFonts w:asciiTheme="majorHAnsi" w:hAnsiTheme="majorHAnsi" w:cstheme="majorHAnsi"/>
          <w:sz w:val="23"/>
          <w:szCs w:val="23"/>
        </w:rPr>
        <w:t xml:space="preserve"> and leisure</w:t>
      </w:r>
      <w:r w:rsidRPr="00FF6C06">
        <w:rPr>
          <w:rFonts w:asciiTheme="majorHAnsi" w:hAnsiTheme="majorHAnsi" w:cstheme="majorHAnsi"/>
          <w:sz w:val="23"/>
          <w:szCs w:val="23"/>
        </w:rPr>
        <w:t xml:space="preserve"> facility</w:t>
      </w:r>
      <w:r w:rsidR="00D865A6">
        <w:rPr>
          <w:rFonts w:asciiTheme="majorHAnsi" w:hAnsiTheme="majorHAnsi" w:cstheme="majorHAnsi"/>
          <w:sz w:val="23"/>
          <w:szCs w:val="23"/>
        </w:rPr>
        <w:t>,</w:t>
      </w:r>
      <w:r w:rsidRPr="00FF6C06">
        <w:rPr>
          <w:rFonts w:asciiTheme="majorHAnsi" w:hAnsiTheme="majorHAnsi" w:cstheme="majorHAnsi"/>
          <w:sz w:val="23"/>
          <w:szCs w:val="23"/>
        </w:rPr>
        <w:t xml:space="preserve"> </w:t>
      </w:r>
      <w:r w:rsidR="00AB3D7C">
        <w:rPr>
          <w:rFonts w:asciiTheme="majorHAnsi" w:hAnsiTheme="majorHAnsi" w:cstheme="majorHAnsi"/>
          <w:sz w:val="23"/>
          <w:szCs w:val="23"/>
        </w:rPr>
        <w:t>plus</w:t>
      </w:r>
      <w:r w:rsidRPr="00FF6C06">
        <w:rPr>
          <w:rFonts w:asciiTheme="majorHAnsi" w:hAnsiTheme="majorHAnsi" w:cstheme="majorHAnsi"/>
          <w:sz w:val="23"/>
          <w:szCs w:val="23"/>
        </w:rPr>
        <w:t xml:space="preserve"> community and meeting space</w:t>
      </w:r>
      <w:r w:rsidR="00D865A6">
        <w:rPr>
          <w:rFonts w:asciiTheme="majorHAnsi" w:hAnsiTheme="majorHAnsi" w:cstheme="majorHAnsi"/>
          <w:sz w:val="23"/>
          <w:szCs w:val="23"/>
        </w:rPr>
        <w:t>s</w:t>
      </w:r>
      <w:r w:rsidRPr="00FF6C06">
        <w:rPr>
          <w:rFonts w:asciiTheme="majorHAnsi" w:hAnsiTheme="majorHAnsi" w:cstheme="majorHAnsi"/>
          <w:sz w:val="23"/>
          <w:szCs w:val="23"/>
        </w:rPr>
        <w:t>.</w:t>
      </w:r>
    </w:p>
    <w:p w14:paraId="2B938EC9" w14:textId="0BE94AA9" w:rsidR="00F00E3D" w:rsidRPr="00E91887" w:rsidRDefault="004F0435" w:rsidP="009B2FA7">
      <w:pPr>
        <w:spacing w:line="276" w:lineRule="auto"/>
        <w:rPr>
          <w:rFonts w:asciiTheme="majorHAnsi" w:hAnsiTheme="majorHAnsi" w:cstheme="majorHAnsi"/>
          <w:sz w:val="23"/>
          <w:szCs w:val="23"/>
        </w:rPr>
      </w:pPr>
      <w:r>
        <w:rPr>
          <w:rFonts w:asciiTheme="majorHAnsi" w:hAnsiTheme="majorHAnsi" w:cstheme="majorHAnsi"/>
          <w:sz w:val="23"/>
          <w:szCs w:val="23"/>
        </w:rPr>
        <w:t>Under this plan, there is</w:t>
      </w:r>
      <w:r w:rsidR="00F00E3D" w:rsidRPr="00E91887">
        <w:rPr>
          <w:rFonts w:asciiTheme="majorHAnsi" w:hAnsiTheme="majorHAnsi" w:cstheme="majorHAnsi"/>
          <w:sz w:val="23"/>
          <w:szCs w:val="23"/>
        </w:rPr>
        <w:t xml:space="preserve"> little </w:t>
      </w:r>
      <w:r w:rsidR="00D865A6">
        <w:rPr>
          <w:rFonts w:asciiTheme="majorHAnsi" w:hAnsiTheme="majorHAnsi" w:cstheme="majorHAnsi"/>
          <w:sz w:val="23"/>
          <w:szCs w:val="23"/>
        </w:rPr>
        <w:t xml:space="preserve">social infrastructure </w:t>
      </w:r>
      <w:r w:rsidR="00F00E3D" w:rsidRPr="00E91887">
        <w:rPr>
          <w:rFonts w:asciiTheme="majorHAnsi" w:hAnsiTheme="majorHAnsi" w:cstheme="majorHAnsi"/>
          <w:sz w:val="23"/>
          <w:szCs w:val="23"/>
        </w:rPr>
        <w:t xml:space="preserve">proposed for Norlane, beyond the extension of the Leisuretime </w:t>
      </w:r>
      <w:r w:rsidR="00D865A6">
        <w:rPr>
          <w:rFonts w:asciiTheme="majorHAnsi" w:hAnsiTheme="majorHAnsi" w:cstheme="majorHAnsi"/>
          <w:sz w:val="23"/>
          <w:szCs w:val="23"/>
        </w:rPr>
        <w:t>C</w:t>
      </w:r>
      <w:r w:rsidR="00F00E3D" w:rsidRPr="00E91887">
        <w:rPr>
          <w:rFonts w:asciiTheme="majorHAnsi" w:hAnsiTheme="majorHAnsi" w:cstheme="majorHAnsi"/>
          <w:sz w:val="23"/>
          <w:szCs w:val="23"/>
        </w:rPr>
        <w:t xml:space="preserve">entre and Purnell Road Early Learning Centre. Whittington’s St Albans Reserve receives floodlights and Thomson Reserve </w:t>
      </w:r>
      <w:r>
        <w:rPr>
          <w:rFonts w:asciiTheme="majorHAnsi" w:hAnsiTheme="majorHAnsi" w:cstheme="majorHAnsi"/>
          <w:sz w:val="23"/>
          <w:szCs w:val="23"/>
        </w:rPr>
        <w:t xml:space="preserve">will have </w:t>
      </w:r>
      <w:r w:rsidR="00F00E3D" w:rsidRPr="00E91887">
        <w:rPr>
          <w:rFonts w:asciiTheme="majorHAnsi" w:hAnsiTheme="majorHAnsi" w:cstheme="majorHAnsi"/>
          <w:sz w:val="23"/>
          <w:szCs w:val="23"/>
        </w:rPr>
        <w:t>gender</w:t>
      </w:r>
      <w:r>
        <w:rPr>
          <w:rFonts w:asciiTheme="majorHAnsi" w:hAnsiTheme="majorHAnsi" w:cstheme="majorHAnsi"/>
          <w:sz w:val="23"/>
          <w:szCs w:val="23"/>
        </w:rPr>
        <w:t>-</w:t>
      </w:r>
      <w:r w:rsidR="00F00E3D" w:rsidRPr="00E91887">
        <w:rPr>
          <w:rFonts w:asciiTheme="majorHAnsi" w:hAnsiTheme="majorHAnsi" w:cstheme="majorHAnsi"/>
          <w:sz w:val="23"/>
          <w:szCs w:val="23"/>
        </w:rPr>
        <w:t>neutral change rooms, along with change facilities for Ervin Reserve and Howard Glover Reserve. However larger community centre</w:t>
      </w:r>
      <w:r>
        <w:rPr>
          <w:rFonts w:asciiTheme="majorHAnsi" w:hAnsiTheme="majorHAnsi" w:cstheme="majorHAnsi"/>
          <w:sz w:val="23"/>
          <w:szCs w:val="23"/>
        </w:rPr>
        <w:t xml:space="preserve">s </w:t>
      </w:r>
      <w:r w:rsidR="00F00E3D" w:rsidRPr="00E91887">
        <w:rPr>
          <w:rFonts w:asciiTheme="majorHAnsi" w:hAnsiTheme="majorHAnsi" w:cstheme="majorHAnsi"/>
          <w:sz w:val="23"/>
          <w:szCs w:val="23"/>
        </w:rPr>
        <w:t xml:space="preserve">and projects – such as the proposed Whittington Community Hub and Aldershot Master Plan </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remain</w:t>
      </w:r>
      <w:r w:rsidR="00F00E3D" w:rsidRPr="00E91887">
        <w:rPr>
          <w:rFonts w:asciiTheme="majorHAnsi" w:hAnsiTheme="majorHAnsi" w:cstheme="majorHAnsi"/>
          <w:sz w:val="23"/>
          <w:szCs w:val="23"/>
        </w:rPr>
        <w:t xml:space="preserve"> open for “investigation” and further “design work”. The only other major investment involves boosting cycling track linkages to other parts of the city.</w:t>
      </w:r>
    </w:p>
    <w:p w14:paraId="56D98E09" w14:textId="2070216D" w:rsidR="00F00E3D" w:rsidRPr="00E91887" w:rsidRDefault="008C1364" w:rsidP="009B2FA7">
      <w:pPr>
        <w:spacing w:line="276" w:lineRule="auto"/>
        <w:rPr>
          <w:rFonts w:asciiTheme="majorHAnsi" w:hAnsiTheme="majorHAnsi" w:cstheme="majorBidi"/>
          <w:sz w:val="23"/>
          <w:szCs w:val="23"/>
        </w:rPr>
      </w:pPr>
      <w:r>
        <w:rPr>
          <w:rFonts w:asciiTheme="majorHAnsi" w:hAnsiTheme="majorHAnsi" w:cstheme="majorBidi"/>
          <w:sz w:val="23"/>
          <w:szCs w:val="23"/>
        </w:rPr>
        <w:t>Based on available information, there</w:t>
      </w:r>
      <w:r w:rsidR="00F00E3D" w:rsidRPr="72EF3811">
        <w:rPr>
          <w:rFonts w:asciiTheme="majorHAnsi" w:hAnsiTheme="majorHAnsi" w:cstheme="majorBidi"/>
          <w:sz w:val="23"/>
          <w:szCs w:val="23"/>
        </w:rPr>
        <w:t xml:space="preserve"> appear</w:t>
      </w:r>
      <w:r w:rsidR="006B30BC">
        <w:rPr>
          <w:rFonts w:asciiTheme="majorHAnsi" w:hAnsiTheme="majorHAnsi" w:cstheme="majorBidi"/>
          <w:sz w:val="23"/>
          <w:szCs w:val="23"/>
        </w:rPr>
        <w:t xml:space="preserve">s </w:t>
      </w:r>
      <w:r w:rsidR="00F00E3D" w:rsidRPr="72EF3811">
        <w:rPr>
          <w:rFonts w:asciiTheme="majorHAnsi" w:hAnsiTheme="majorHAnsi" w:cstheme="majorBidi"/>
          <w:sz w:val="23"/>
          <w:szCs w:val="23"/>
        </w:rPr>
        <w:t xml:space="preserve">to be limited new investment in </w:t>
      </w:r>
      <w:r w:rsidR="0092409C">
        <w:rPr>
          <w:rFonts w:asciiTheme="majorHAnsi" w:hAnsiTheme="majorHAnsi" w:cstheme="majorBidi"/>
          <w:sz w:val="23"/>
          <w:szCs w:val="23"/>
        </w:rPr>
        <w:t xml:space="preserve">community infrastructure </w:t>
      </w:r>
      <w:r w:rsidR="00EE1A93">
        <w:rPr>
          <w:rFonts w:asciiTheme="majorHAnsi" w:hAnsiTheme="majorHAnsi" w:cstheme="majorBidi"/>
          <w:sz w:val="23"/>
          <w:szCs w:val="23"/>
        </w:rPr>
        <w:t>for</w:t>
      </w:r>
      <w:r w:rsidR="0092409C">
        <w:rPr>
          <w:rFonts w:asciiTheme="majorHAnsi" w:hAnsiTheme="majorHAnsi" w:cstheme="majorBidi"/>
          <w:sz w:val="23"/>
          <w:szCs w:val="23"/>
        </w:rPr>
        <w:t xml:space="preserve"> </w:t>
      </w:r>
      <w:r w:rsidR="00F00E3D" w:rsidRPr="72EF3811">
        <w:rPr>
          <w:rFonts w:asciiTheme="majorHAnsi" w:hAnsiTheme="majorHAnsi" w:cstheme="majorBidi"/>
          <w:sz w:val="23"/>
          <w:szCs w:val="23"/>
        </w:rPr>
        <w:t>early years, youth, arts and culture, indoor sport</w:t>
      </w:r>
      <w:r w:rsidR="006B30BC">
        <w:rPr>
          <w:rFonts w:asciiTheme="majorHAnsi" w:hAnsiTheme="majorHAnsi" w:cstheme="majorBidi"/>
          <w:sz w:val="23"/>
          <w:szCs w:val="23"/>
        </w:rPr>
        <w:t>,</w:t>
      </w:r>
      <w:r w:rsidR="00F00E3D" w:rsidRPr="72EF3811">
        <w:rPr>
          <w:rFonts w:asciiTheme="majorHAnsi" w:hAnsiTheme="majorHAnsi" w:cstheme="majorBidi"/>
          <w:sz w:val="23"/>
          <w:szCs w:val="23"/>
        </w:rPr>
        <w:t xml:space="preserve"> and recreation in these areas</w:t>
      </w:r>
      <w:r w:rsidR="0092409C">
        <w:rPr>
          <w:rFonts w:asciiTheme="majorHAnsi" w:hAnsiTheme="majorHAnsi" w:cstheme="majorBidi"/>
          <w:sz w:val="23"/>
          <w:szCs w:val="23"/>
        </w:rPr>
        <w:t>. However, a</w:t>
      </w:r>
      <w:r w:rsidR="00F00E3D" w:rsidRPr="72EF3811">
        <w:rPr>
          <w:rFonts w:asciiTheme="majorHAnsi" w:hAnsiTheme="majorHAnsi" w:cstheme="majorBidi"/>
          <w:sz w:val="23"/>
          <w:szCs w:val="23"/>
        </w:rPr>
        <w:t xml:space="preserve"> more detailed audit of existing and nearby facilities</w:t>
      </w:r>
      <w:r w:rsidR="0092409C">
        <w:rPr>
          <w:rFonts w:asciiTheme="majorHAnsi" w:hAnsiTheme="majorHAnsi" w:cstheme="majorBidi"/>
          <w:sz w:val="23"/>
          <w:szCs w:val="23"/>
        </w:rPr>
        <w:t>,</w:t>
      </w:r>
      <w:r w:rsidR="00F00E3D" w:rsidRPr="72EF3811">
        <w:rPr>
          <w:rFonts w:asciiTheme="majorHAnsi" w:hAnsiTheme="majorHAnsi" w:cstheme="majorBidi"/>
          <w:sz w:val="23"/>
          <w:szCs w:val="23"/>
        </w:rPr>
        <w:t xml:space="preserve"> along with benchmarking standards </w:t>
      </w:r>
      <w:r w:rsidR="0092409C">
        <w:rPr>
          <w:rFonts w:asciiTheme="majorHAnsi" w:hAnsiTheme="majorHAnsi" w:cstheme="majorBidi"/>
          <w:sz w:val="23"/>
          <w:szCs w:val="23"/>
        </w:rPr>
        <w:t xml:space="preserve">and </w:t>
      </w:r>
      <w:r w:rsidR="00F00E3D" w:rsidRPr="72EF3811">
        <w:rPr>
          <w:rFonts w:asciiTheme="majorHAnsi" w:hAnsiTheme="majorHAnsi" w:cstheme="majorBidi"/>
          <w:sz w:val="23"/>
          <w:szCs w:val="23"/>
        </w:rPr>
        <w:t xml:space="preserve">canvassing </w:t>
      </w:r>
      <w:r w:rsidR="0092409C">
        <w:rPr>
          <w:rFonts w:asciiTheme="majorHAnsi" w:hAnsiTheme="majorHAnsi" w:cstheme="majorBidi"/>
          <w:sz w:val="23"/>
          <w:szCs w:val="23"/>
        </w:rPr>
        <w:t xml:space="preserve">local </w:t>
      </w:r>
      <w:r w:rsidR="00F00E3D" w:rsidRPr="72EF3811">
        <w:rPr>
          <w:rFonts w:asciiTheme="majorHAnsi" w:hAnsiTheme="majorHAnsi" w:cstheme="majorBidi"/>
          <w:sz w:val="23"/>
          <w:szCs w:val="23"/>
        </w:rPr>
        <w:t>need</w:t>
      </w:r>
      <w:r w:rsidR="0092409C">
        <w:rPr>
          <w:rFonts w:asciiTheme="majorHAnsi" w:hAnsiTheme="majorHAnsi" w:cstheme="majorBidi"/>
          <w:sz w:val="23"/>
          <w:szCs w:val="23"/>
        </w:rPr>
        <w:t>s,</w:t>
      </w:r>
      <w:r w:rsidR="00F00E3D" w:rsidRPr="72EF3811">
        <w:rPr>
          <w:rFonts w:asciiTheme="majorHAnsi" w:hAnsiTheme="majorHAnsi" w:cstheme="majorBidi"/>
          <w:sz w:val="23"/>
          <w:szCs w:val="23"/>
        </w:rPr>
        <w:t xml:space="preserve"> would be necessary to confirm this initial judgement. </w:t>
      </w:r>
      <w:r w:rsidR="00E75FA9">
        <w:rPr>
          <w:rFonts w:asciiTheme="majorHAnsi" w:hAnsiTheme="majorHAnsi" w:cstheme="majorBidi"/>
          <w:sz w:val="23"/>
          <w:szCs w:val="23"/>
        </w:rPr>
        <w:t>The</w:t>
      </w:r>
      <w:r w:rsidR="00F00E3D" w:rsidRPr="72EF3811">
        <w:rPr>
          <w:rFonts w:asciiTheme="majorHAnsi" w:hAnsiTheme="majorHAnsi" w:cstheme="majorBidi"/>
          <w:sz w:val="23"/>
          <w:szCs w:val="23"/>
        </w:rPr>
        <w:t xml:space="preserve"> future residential growth area of Lovely Banks</w:t>
      </w:r>
      <w:r w:rsidR="00E75FA9">
        <w:rPr>
          <w:rFonts w:asciiTheme="majorHAnsi" w:hAnsiTheme="majorHAnsi" w:cstheme="majorBidi"/>
          <w:sz w:val="23"/>
          <w:szCs w:val="23"/>
        </w:rPr>
        <w:t>,</w:t>
      </w:r>
      <w:r w:rsidR="00F00E3D" w:rsidRPr="72EF3811">
        <w:rPr>
          <w:rFonts w:asciiTheme="majorHAnsi" w:hAnsiTheme="majorHAnsi" w:cstheme="majorBidi"/>
          <w:sz w:val="23"/>
          <w:szCs w:val="23"/>
        </w:rPr>
        <w:t xml:space="preserve"> part of the </w:t>
      </w:r>
      <w:r w:rsidR="00136DEA">
        <w:rPr>
          <w:rFonts w:asciiTheme="majorHAnsi" w:hAnsiTheme="majorHAnsi" w:cstheme="majorBidi"/>
          <w:sz w:val="23"/>
          <w:szCs w:val="23"/>
        </w:rPr>
        <w:t>C</w:t>
      </w:r>
      <w:r w:rsidR="00B83F7B">
        <w:rPr>
          <w:rFonts w:asciiTheme="majorHAnsi" w:hAnsiTheme="majorHAnsi" w:cstheme="majorBidi"/>
          <w:sz w:val="23"/>
          <w:szCs w:val="23"/>
        </w:rPr>
        <w:t xml:space="preserve">ity’s </w:t>
      </w:r>
      <w:r w:rsidR="00F00E3D" w:rsidRPr="72EF3811">
        <w:rPr>
          <w:rFonts w:asciiTheme="majorHAnsi" w:hAnsiTheme="majorHAnsi" w:cstheme="majorBidi"/>
          <w:sz w:val="23"/>
          <w:szCs w:val="23"/>
        </w:rPr>
        <w:t>North Western corridor development</w:t>
      </w:r>
      <w:r w:rsidR="00B83F7B">
        <w:rPr>
          <w:rFonts w:asciiTheme="majorHAnsi" w:hAnsiTheme="majorHAnsi" w:cstheme="majorBidi"/>
          <w:sz w:val="23"/>
          <w:szCs w:val="23"/>
        </w:rPr>
        <w:t xml:space="preserve">, </w:t>
      </w:r>
      <w:r w:rsidR="00F00E3D" w:rsidRPr="72EF3811">
        <w:rPr>
          <w:rFonts w:asciiTheme="majorHAnsi" w:hAnsiTheme="majorHAnsi" w:cstheme="majorBidi"/>
          <w:sz w:val="23"/>
          <w:szCs w:val="23"/>
        </w:rPr>
        <w:t xml:space="preserve">will no doubt be accompanied by </w:t>
      </w:r>
      <w:r w:rsidR="00B83F7B">
        <w:rPr>
          <w:rFonts w:asciiTheme="majorHAnsi" w:hAnsiTheme="majorHAnsi" w:cstheme="majorBidi"/>
          <w:sz w:val="23"/>
          <w:szCs w:val="23"/>
        </w:rPr>
        <w:t>an</w:t>
      </w:r>
      <w:r w:rsidR="00F00E3D" w:rsidRPr="72EF3811">
        <w:rPr>
          <w:rFonts w:asciiTheme="majorHAnsi" w:hAnsiTheme="majorHAnsi" w:cstheme="majorBidi"/>
          <w:sz w:val="23"/>
          <w:szCs w:val="23"/>
        </w:rPr>
        <w:t xml:space="preserve"> inflow of new, quality infrastructure. However, the limited mobility of residents in Corio</w:t>
      </w:r>
      <w:r w:rsidR="00B83F7B">
        <w:rPr>
          <w:rFonts w:asciiTheme="majorHAnsi" w:hAnsiTheme="majorHAnsi" w:cstheme="majorBidi"/>
          <w:sz w:val="23"/>
          <w:szCs w:val="23"/>
        </w:rPr>
        <w:t xml:space="preserve">, </w:t>
      </w:r>
      <w:r w:rsidR="00F00E3D" w:rsidRPr="72EF3811">
        <w:rPr>
          <w:rFonts w:asciiTheme="majorHAnsi" w:hAnsiTheme="majorHAnsi" w:cstheme="majorBidi"/>
          <w:sz w:val="23"/>
          <w:szCs w:val="23"/>
        </w:rPr>
        <w:t>Norlane</w:t>
      </w:r>
      <w:r w:rsidR="00B83F7B">
        <w:rPr>
          <w:rFonts w:asciiTheme="majorHAnsi" w:hAnsiTheme="majorHAnsi" w:cstheme="majorBidi"/>
          <w:sz w:val="23"/>
          <w:szCs w:val="23"/>
        </w:rPr>
        <w:t>, and Whittington,</w:t>
      </w:r>
      <w:r w:rsidR="00F00E3D" w:rsidRPr="72EF3811">
        <w:rPr>
          <w:rFonts w:asciiTheme="majorHAnsi" w:hAnsiTheme="majorHAnsi" w:cstheme="majorBidi"/>
          <w:sz w:val="23"/>
          <w:szCs w:val="23"/>
        </w:rPr>
        <w:t xml:space="preserve"> </w:t>
      </w:r>
      <w:r w:rsidR="00B83F7B">
        <w:rPr>
          <w:rFonts w:asciiTheme="majorHAnsi" w:hAnsiTheme="majorHAnsi" w:cstheme="majorBidi"/>
          <w:sz w:val="23"/>
          <w:szCs w:val="23"/>
        </w:rPr>
        <w:t>and</w:t>
      </w:r>
      <w:r w:rsidR="009E3DDF">
        <w:rPr>
          <w:rFonts w:asciiTheme="majorHAnsi" w:hAnsiTheme="majorHAnsi" w:cstheme="majorBidi"/>
          <w:sz w:val="23"/>
          <w:szCs w:val="23"/>
        </w:rPr>
        <w:t xml:space="preserve"> their expressed need for greater local</w:t>
      </w:r>
      <w:r w:rsidR="00F00E3D" w:rsidRPr="72EF3811">
        <w:rPr>
          <w:rFonts w:asciiTheme="majorHAnsi" w:hAnsiTheme="majorHAnsi" w:cstheme="majorBidi"/>
          <w:sz w:val="23"/>
          <w:szCs w:val="23"/>
        </w:rPr>
        <w:t xml:space="preserve"> services</w:t>
      </w:r>
      <w:r w:rsidR="009E3DDF">
        <w:rPr>
          <w:rFonts w:asciiTheme="majorHAnsi" w:hAnsiTheme="majorHAnsi" w:cstheme="majorBidi"/>
          <w:sz w:val="23"/>
          <w:szCs w:val="23"/>
        </w:rPr>
        <w:t xml:space="preserve">, </w:t>
      </w:r>
      <w:r w:rsidR="00F00E3D" w:rsidRPr="72EF3811">
        <w:rPr>
          <w:rFonts w:asciiTheme="majorHAnsi" w:hAnsiTheme="majorHAnsi" w:cstheme="majorBidi"/>
          <w:sz w:val="23"/>
          <w:szCs w:val="23"/>
        </w:rPr>
        <w:t xml:space="preserve">may limit the value of this new development </w:t>
      </w:r>
      <w:r w:rsidR="009E3DDF">
        <w:rPr>
          <w:rFonts w:asciiTheme="majorHAnsi" w:hAnsiTheme="majorHAnsi" w:cstheme="majorBidi"/>
          <w:sz w:val="23"/>
          <w:szCs w:val="23"/>
        </w:rPr>
        <w:t>for these communities</w:t>
      </w:r>
      <w:r w:rsidR="00F00E3D" w:rsidRPr="72EF3811">
        <w:rPr>
          <w:rFonts w:asciiTheme="majorHAnsi" w:hAnsiTheme="majorHAnsi" w:cstheme="majorBidi"/>
          <w:sz w:val="23"/>
          <w:szCs w:val="23"/>
        </w:rPr>
        <w:t xml:space="preserve">, </w:t>
      </w:r>
      <w:r w:rsidR="001218F5">
        <w:rPr>
          <w:rFonts w:asciiTheme="majorHAnsi" w:hAnsiTheme="majorHAnsi" w:cstheme="majorBidi"/>
          <w:sz w:val="23"/>
          <w:szCs w:val="23"/>
        </w:rPr>
        <w:t>with the possible exception of new retail outlets</w:t>
      </w:r>
      <w:r w:rsidR="00F00E3D" w:rsidRPr="72EF3811">
        <w:rPr>
          <w:rFonts w:asciiTheme="majorHAnsi" w:hAnsiTheme="majorHAnsi" w:cstheme="majorBidi"/>
          <w:sz w:val="23"/>
          <w:szCs w:val="23"/>
        </w:rPr>
        <w:t>.</w:t>
      </w:r>
    </w:p>
    <w:p w14:paraId="0CEDB2C0" w14:textId="77777777" w:rsidR="00397EF4" w:rsidRDefault="001218F5" w:rsidP="009B2FA7">
      <w:pPr>
        <w:spacing w:line="276" w:lineRule="auto"/>
        <w:rPr>
          <w:rFonts w:asciiTheme="majorHAnsi" w:hAnsiTheme="majorHAnsi" w:cstheme="majorHAnsi"/>
          <w:sz w:val="23"/>
          <w:szCs w:val="23"/>
        </w:rPr>
      </w:pPr>
      <w:r>
        <w:rPr>
          <w:rFonts w:asciiTheme="majorHAnsi" w:hAnsiTheme="majorHAnsi" w:cstheme="majorHAnsi"/>
          <w:sz w:val="23"/>
          <w:szCs w:val="23"/>
        </w:rPr>
        <w:t>Existing local organisations are already</w:t>
      </w:r>
      <w:r w:rsidR="00F00E3D" w:rsidRPr="00E91887">
        <w:rPr>
          <w:rFonts w:asciiTheme="majorHAnsi" w:hAnsiTheme="majorHAnsi" w:cstheme="majorHAnsi"/>
          <w:sz w:val="23"/>
          <w:szCs w:val="23"/>
        </w:rPr>
        <w:t xml:space="preserve"> surveying their catchments to assess need. </w:t>
      </w:r>
      <w:r>
        <w:rPr>
          <w:rFonts w:asciiTheme="majorHAnsi" w:hAnsiTheme="majorHAnsi" w:cstheme="majorHAnsi"/>
          <w:sz w:val="23"/>
          <w:szCs w:val="23"/>
        </w:rPr>
        <w:t>At the end of</w:t>
      </w:r>
      <w:r w:rsidR="00F00E3D" w:rsidRPr="00E91887">
        <w:rPr>
          <w:rFonts w:asciiTheme="majorHAnsi" w:hAnsiTheme="majorHAnsi" w:cstheme="majorHAnsi"/>
          <w:sz w:val="23"/>
          <w:szCs w:val="23"/>
        </w:rPr>
        <w:t xml:space="preserve"> 2019</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the </w:t>
      </w:r>
      <w:r w:rsidR="006713BF">
        <w:rPr>
          <w:rFonts w:asciiTheme="majorHAnsi" w:hAnsiTheme="majorHAnsi" w:cstheme="majorHAnsi"/>
          <w:sz w:val="23"/>
          <w:szCs w:val="23"/>
        </w:rPr>
        <w:t xml:space="preserve">Whittington-based </w:t>
      </w:r>
      <w:r w:rsidR="00F00E3D" w:rsidRPr="00E91887">
        <w:rPr>
          <w:rFonts w:asciiTheme="majorHAnsi" w:hAnsiTheme="majorHAnsi" w:cstheme="majorHAnsi"/>
          <w:sz w:val="23"/>
          <w:szCs w:val="23"/>
        </w:rPr>
        <w:t xml:space="preserve">Bellarine Living and Learning Centre (BLLC) commissioned a </w:t>
      </w:r>
      <w:r w:rsidR="00F00E3D" w:rsidRPr="00E91887">
        <w:rPr>
          <w:rFonts w:asciiTheme="majorHAnsi" w:hAnsiTheme="majorHAnsi" w:cstheme="majorHAnsi"/>
          <w:i/>
          <w:sz w:val="23"/>
          <w:szCs w:val="23"/>
        </w:rPr>
        <w:t xml:space="preserve">Community </w:t>
      </w:r>
      <w:r w:rsidR="00F00E3D" w:rsidRPr="00E91887">
        <w:rPr>
          <w:rFonts w:asciiTheme="majorHAnsi" w:hAnsiTheme="majorHAnsi" w:cstheme="majorHAnsi"/>
          <w:i/>
          <w:sz w:val="23"/>
          <w:szCs w:val="23"/>
        </w:rPr>
        <w:lastRenderedPageBreak/>
        <w:t>Engagement Project Report</w:t>
      </w:r>
      <w:r w:rsidR="00F00E3D" w:rsidRPr="00E91887">
        <w:rPr>
          <w:rFonts w:asciiTheme="majorHAnsi" w:hAnsiTheme="majorHAnsi" w:cstheme="majorHAnsi"/>
          <w:sz w:val="23"/>
          <w:szCs w:val="23"/>
        </w:rPr>
        <w:t xml:space="preserve"> to “develop a better understanding of what the Whittington community wants from its neighbourhood centre”. </w:t>
      </w:r>
      <w:r>
        <w:rPr>
          <w:rFonts w:asciiTheme="majorHAnsi" w:hAnsiTheme="majorHAnsi" w:cstheme="majorHAnsi"/>
          <w:sz w:val="23"/>
          <w:szCs w:val="23"/>
        </w:rPr>
        <w:t>This study used an array</w:t>
      </w:r>
      <w:r w:rsidR="00F00E3D" w:rsidRPr="00E91887">
        <w:rPr>
          <w:rFonts w:asciiTheme="majorHAnsi" w:hAnsiTheme="majorHAnsi" w:cstheme="majorHAnsi"/>
          <w:sz w:val="23"/>
          <w:szCs w:val="23"/>
        </w:rPr>
        <w:t xml:space="preserve"> of methods</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from coffee mornings to phone interviews</w:t>
      </w:r>
      <w:r>
        <w:rPr>
          <w:rFonts w:asciiTheme="majorHAnsi" w:hAnsiTheme="majorHAnsi" w:cstheme="majorHAnsi"/>
          <w:sz w:val="23"/>
          <w:szCs w:val="23"/>
        </w:rPr>
        <w:t>,</w:t>
      </w:r>
      <w:r w:rsidR="00F00E3D" w:rsidRPr="00E91887">
        <w:rPr>
          <w:rFonts w:asciiTheme="majorHAnsi" w:hAnsiTheme="majorHAnsi" w:cstheme="majorHAnsi"/>
          <w:sz w:val="23"/>
          <w:szCs w:val="23"/>
        </w:rPr>
        <w:t xml:space="preserve"> online surveys</w:t>
      </w:r>
      <w:r>
        <w:rPr>
          <w:rFonts w:asciiTheme="majorHAnsi" w:hAnsiTheme="majorHAnsi" w:cstheme="majorHAnsi"/>
          <w:sz w:val="23"/>
          <w:szCs w:val="23"/>
        </w:rPr>
        <w:t xml:space="preserve">, and </w:t>
      </w:r>
      <w:r w:rsidR="00F00E3D" w:rsidRPr="00E91887">
        <w:rPr>
          <w:rFonts w:asciiTheme="majorHAnsi" w:hAnsiTheme="majorHAnsi" w:cstheme="majorHAnsi"/>
          <w:sz w:val="23"/>
          <w:szCs w:val="23"/>
        </w:rPr>
        <w:t xml:space="preserve">contact with </w:t>
      </w:r>
      <w:r>
        <w:rPr>
          <w:rFonts w:asciiTheme="majorHAnsi" w:hAnsiTheme="majorHAnsi" w:cstheme="majorHAnsi"/>
          <w:sz w:val="23"/>
          <w:szCs w:val="23"/>
        </w:rPr>
        <w:t xml:space="preserve">other </w:t>
      </w:r>
      <w:r w:rsidR="00F00E3D" w:rsidRPr="00E91887">
        <w:rPr>
          <w:rFonts w:asciiTheme="majorHAnsi" w:hAnsiTheme="majorHAnsi" w:cstheme="majorHAnsi"/>
          <w:sz w:val="23"/>
          <w:szCs w:val="23"/>
        </w:rPr>
        <w:t>key local organisations (sports and recreation clubs, Encompass, Men’s Sheds and Churches)</w:t>
      </w:r>
      <w:r>
        <w:rPr>
          <w:rFonts w:asciiTheme="majorHAnsi" w:hAnsiTheme="majorHAnsi" w:cstheme="majorHAnsi"/>
          <w:sz w:val="23"/>
          <w:szCs w:val="23"/>
        </w:rPr>
        <w:t>.</w:t>
      </w:r>
    </w:p>
    <w:p w14:paraId="0295BA7E" w14:textId="35C7F619" w:rsidR="001227C5" w:rsidRDefault="00397EF4" w:rsidP="778E395A">
      <w:pPr>
        <w:spacing w:line="276" w:lineRule="auto"/>
        <w:rPr>
          <w:rFonts w:asciiTheme="majorHAnsi" w:hAnsiTheme="majorHAnsi" w:cstheme="majorBidi"/>
          <w:sz w:val="23"/>
          <w:szCs w:val="23"/>
        </w:rPr>
      </w:pPr>
      <w:r w:rsidRPr="778E395A">
        <w:rPr>
          <w:rFonts w:asciiTheme="majorHAnsi" w:hAnsiTheme="majorHAnsi" w:cstheme="majorBidi"/>
          <w:sz w:val="23"/>
          <w:szCs w:val="23"/>
        </w:rPr>
        <w:t xml:space="preserve">Based on input from </w:t>
      </w:r>
      <w:r w:rsidR="00F00E3D" w:rsidRPr="778E395A">
        <w:rPr>
          <w:rFonts w:asciiTheme="majorHAnsi" w:hAnsiTheme="majorHAnsi" w:cstheme="majorBidi"/>
          <w:sz w:val="23"/>
          <w:szCs w:val="23"/>
        </w:rPr>
        <w:t>52 community members and eight stakeholders</w:t>
      </w:r>
      <w:r w:rsidRPr="778E395A">
        <w:rPr>
          <w:rFonts w:asciiTheme="majorHAnsi" w:hAnsiTheme="majorHAnsi" w:cstheme="majorBidi"/>
          <w:sz w:val="23"/>
          <w:szCs w:val="23"/>
        </w:rPr>
        <w:t>, the report</w:t>
      </w:r>
      <w:r w:rsidR="00F00E3D" w:rsidRPr="778E395A">
        <w:rPr>
          <w:rFonts w:asciiTheme="majorHAnsi" w:hAnsiTheme="majorHAnsi" w:cstheme="majorBidi"/>
          <w:sz w:val="23"/>
          <w:szCs w:val="23"/>
        </w:rPr>
        <w:t xml:space="preserve"> confirmed the value of BLLC, especially its food bank</w:t>
      </w:r>
      <w:r w:rsidR="00D74E23" w:rsidRPr="778E395A">
        <w:rPr>
          <w:rFonts w:asciiTheme="majorHAnsi" w:hAnsiTheme="majorHAnsi" w:cstheme="majorBidi"/>
          <w:sz w:val="23"/>
          <w:szCs w:val="23"/>
        </w:rPr>
        <w:t xml:space="preserve">, but also its </w:t>
      </w:r>
      <w:r w:rsidR="00F00E3D" w:rsidRPr="778E395A">
        <w:rPr>
          <w:rFonts w:asciiTheme="majorHAnsi" w:hAnsiTheme="majorHAnsi" w:cstheme="majorBidi"/>
          <w:sz w:val="23"/>
          <w:szCs w:val="23"/>
        </w:rPr>
        <w:t>open and inclusive</w:t>
      </w:r>
      <w:r w:rsidR="00D74E23" w:rsidRPr="778E395A">
        <w:rPr>
          <w:rFonts w:asciiTheme="majorHAnsi" w:hAnsiTheme="majorHAnsi" w:cstheme="majorBidi"/>
          <w:sz w:val="23"/>
          <w:szCs w:val="23"/>
        </w:rPr>
        <w:t xml:space="preserve"> approach and the opportunities it created for socialising</w:t>
      </w:r>
      <w:r w:rsidR="00F00E3D" w:rsidRPr="778E395A">
        <w:rPr>
          <w:rFonts w:asciiTheme="majorHAnsi" w:hAnsiTheme="majorHAnsi" w:cstheme="majorBidi"/>
          <w:sz w:val="23"/>
          <w:szCs w:val="23"/>
        </w:rPr>
        <w:t xml:space="preserve">. </w:t>
      </w:r>
      <w:r w:rsidRPr="778E395A">
        <w:rPr>
          <w:rFonts w:asciiTheme="majorHAnsi" w:hAnsiTheme="majorHAnsi" w:cstheme="majorBidi"/>
          <w:sz w:val="23"/>
          <w:szCs w:val="23"/>
        </w:rPr>
        <w:t>The report authors</w:t>
      </w:r>
      <w:r w:rsidR="00D74E23" w:rsidRPr="778E395A">
        <w:rPr>
          <w:rFonts w:asciiTheme="majorHAnsi" w:hAnsiTheme="majorHAnsi" w:cstheme="majorBidi"/>
          <w:sz w:val="23"/>
          <w:szCs w:val="23"/>
        </w:rPr>
        <w:t xml:space="preserve"> suggested BL</w:t>
      </w:r>
      <w:r w:rsidR="00B91406" w:rsidRPr="778E395A">
        <w:rPr>
          <w:rFonts w:asciiTheme="majorHAnsi" w:hAnsiTheme="majorHAnsi" w:cstheme="majorBidi"/>
          <w:sz w:val="23"/>
          <w:szCs w:val="23"/>
        </w:rPr>
        <w:t>LC</w:t>
      </w:r>
      <w:r w:rsidR="00F00E3D" w:rsidRPr="778E395A">
        <w:rPr>
          <w:rFonts w:asciiTheme="majorHAnsi" w:hAnsiTheme="majorHAnsi" w:cstheme="majorBidi"/>
          <w:sz w:val="23"/>
          <w:szCs w:val="23"/>
        </w:rPr>
        <w:t xml:space="preserve"> did need to identify and work with people who were “falling through the cracks”</w:t>
      </w:r>
      <w:r w:rsidR="00B91406" w:rsidRPr="778E395A">
        <w:rPr>
          <w:rFonts w:asciiTheme="majorHAnsi" w:hAnsiTheme="majorHAnsi" w:cstheme="majorBidi"/>
          <w:sz w:val="23"/>
          <w:szCs w:val="23"/>
        </w:rPr>
        <w:t xml:space="preserve"> – described as</w:t>
      </w:r>
      <w:r w:rsidR="00F00E3D" w:rsidRPr="778E395A">
        <w:rPr>
          <w:rFonts w:asciiTheme="majorHAnsi" w:hAnsiTheme="majorHAnsi" w:cstheme="majorBidi"/>
          <w:sz w:val="23"/>
          <w:szCs w:val="23"/>
        </w:rPr>
        <w:t xml:space="preserve"> “the new poor”</w:t>
      </w:r>
      <w:r w:rsidR="00B91406" w:rsidRPr="778E395A">
        <w:rPr>
          <w:rFonts w:asciiTheme="majorHAnsi" w:hAnsiTheme="majorHAnsi" w:cstheme="majorBidi"/>
          <w:sz w:val="23"/>
          <w:szCs w:val="23"/>
        </w:rPr>
        <w:t>, residents</w:t>
      </w:r>
      <w:r w:rsidR="00F00E3D" w:rsidRPr="778E395A">
        <w:rPr>
          <w:rFonts w:asciiTheme="majorHAnsi" w:hAnsiTheme="majorHAnsi" w:cstheme="majorBidi"/>
          <w:sz w:val="23"/>
          <w:szCs w:val="23"/>
        </w:rPr>
        <w:t xml:space="preserve"> aged 40</w:t>
      </w:r>
      <w:r w:rsidR="00B91406" w:rsidRPr="778E395A">
        <w:rPr>
          <w:rFonts w:asciiTheme="majorHAnsi" w:hAnsiTheme="majorHAnsi" w:cstheme="majorBidi"/>
          <w:sz w:val="23"/>
          <w:szCs w:val="23"/>
        </w:rPr>
        <w:t>–</w:t>
      </w:r>
      <w:r w:rsidR="00F00E3D" w:rsidRPr="778E395A">
        <w:rPr>
          <w:rFonts w:asciiTheme="majorHAnsi" w:hAnsiTheme="majorHAnsi" w:cstheme="majorBidi"/>
          <w:sz w:val="23"/>
          <w:szCs w:val="23"/>
        </w:rPr>
        <w:t xml:space="preserve">60 “who don’t know where to go to get help and no one looks after them”. </w:t>
      </w:r>
      <w:r w:rsidRPr="778E395A">
        <w:rPr>
          <w:rFonts w:asciiTheme="majorHAnsi" w:hAnsiTheme="majorHAnsi" w:cstheme="majorBidi"/>
          <w:sz w:val="23"/>
          <w:szCs w:val="23"/>
        </w:rPr>
        <w:t>The report</w:t>
      </w:r>
      <w:r w:rsidR="006713BF" w:rsidRPr="778E395A">
        <w:rPr>
          <w:rFonts w:asciiTheme="majorHAnsi" w:hAnsiTheme="majorHAnsi" w:cstheme="majorBidi"/>
          <w:sz w:val="23"/>
          <w:szCs w:val="23"/>
        </w:rPr>
        <w:t xml:space="preserve"> </w:t>
      </w:r>
      <w:r w:rsidR="00B91406" w:rsidRPr="778E395A">
        <w:rPr>
          <w:rFonts w:asciiTheme="majorHAnsi" w:hAnsiTheme="majorHAnsi" w:cstheme="majorBidi"/>
          <w:sz w:val="23"/>
          <w:szCs w:val="23"/>
        </w:rPr>
        <w:t xml:space="preserve">also </w:t>
      </w:r>
      <w:r w:rsidR="00F00E3D" w:rsidRPr="778E395A">
        <w:rPr>
          <w:rFonts w:asciiTheme="majorHAnsi" w:hAnsiTheme="majorHAnsi" w:cstheme="majorBidi"/>
          <w:sz w:val="23"/>
          <w:szCs w:val="23"/>
        </w:rPr>
        <w:t xml:space="preserve">recommended </w:t>
      </w:r>
      <w:r w:rsidR="00B91406" w:rsidRPr="778E395A">
        <w:rPr>
          <w:rFonts w:asciiTheme="majorHAnsi" w:hAnsiTheme="majorHAnsi" w:cstheme="majorBidi"/>
          <w:sz w:val="23"/>
          <w:szCs w:val="23"/>
        </w:rPr>
        <w:t>a name</w:t>
      </w:r>
      <w:r w:rsidR="00F00E3D" w:rsidRPr="778E395A">
        <w:rPr>
          <w:rFonts w:asciiTheme="majorHAnsi" w:hAnsiTheme="majorHAnsi" w:cstheme="majorBidi"/>
          <w:sz w:val="23"/>
          <w:szCs w:val="23"/>
        </w:rPr>
        <w:t xml:space="preserve"> change</w:t>
      </w:r>
      <w:r w:rsidR="005062D0" w:rsidRPr="778E395A">
        <w:rPr>
          <w:rFonts w:asciiTheme="majorHAnsi" w:hAnsiTheme="majorHAnsi" w:cstheme="majorBidi"/>
          <w:sz w:val="23"/>
          <w:szCs w:val="23"/>
        </w:rPr>
        <w:t xml:space="preserve"> for the organisation</w:t>
      </w:r>
      <w:r w:rsidR="00F00E3D" w:rsidRPr="778E395A">
        <w:rPr>
          <w:rFonts w:asciiTheme="majorHAnsi" w:hAnsiTheme="majorHAnsi" w:cstheme="majorBidi"/>
          <w:sz w:val="23"/>
          <w:szCs w:val="23"/>
        </w:rPr>
        <w:t xml:space="preserve"> – to </w:t>
      </w:r>
      <w:r w:rsidR="005062D0" w:rsidRPr="778E395A">
        <w:rPr>
          <w:rFonts w:asciiTheme="majorHAnsi" w:hAnsiTheme="majorHAnsi" w:cstheme="majorBidi"/>
          <w:sz w:val="23"/>
          <w:szCs w:val="23"/>
        </w:rPr>
        <w:t>address historic</w:t>
      </w:r>
      <w:r w:rsidR="00F00E3D" w:rsidRPr="778E395A">
        <w:rPr>
          <w:rFonts w:asciiTheme="majorHAnsi" w:hAnsiTheme="majorHAnsi" w:cstheme="majorBidi"/>
          <w:sz w:val="23"/>
          <w:szCs w:val="23"/>
        </w:rPr>
        <w:t xml:space="preserve"> stigma </w:t>
      </w:r>
      <w:r w:rsidRPr="778E395A">
        <w:rPr>
          <w:rFonts w:asciiTheme="majorHAnsi" w:hAnsiTheme="majorHAnsi" w:cstheme="majorBidi"/>
          <w:sz w:val="23"/>
          <w:szCs w:val="23"/>
        </w:rPr>
        <w:t>around</w:t>
      </w:r>
      <w:r w:rsidR="00F00E3D" w:rsidRPr="778E395A">
        <w:rPr>
          <w:rFonts w:asciiTheme="majorHAnsi" w:hAnsiTheme="majorHAnsi" w:cstheme="majorBidi"/>
          <w:sz w:val="23"/>
          <w:szCs w:val="23"/>
        </w:rPr>
        <w:t xml:space="preserve"> Whittington – and </w:t>
      </w:r>
      <w:r w:rsidRPr="778E395A">
        <w:rPr>
          <w:rFonts w:asciiTheme="majorHAnsi" w:hAnsiTheme="majorHAnsi" w:cstheme="majorBidi"/>
          <w:sz w:val="23"/>
          <w:szCs w:val="23"/>
        </w:rPr>
        <w:t xml:space="preserve">an upgrade of </w:t>
      </w:r>
      <w:r w:rsidR="00F00E3D" w:rsidRPr="778E395A">
        <w:rPr>
          <w:rFonts w:asciiTheme="majorHAnsi" w:hAnsiTheme="majorHAnsi" w:cstheme="majorBidi"/>
          <w:sz w:val="23"/>
          <w:szCs w:val="23"/>
        </w:rPr>
        <w:t>the BLLC facility</w:t>
      </w:r>
      <w:r w:rsidRPr="778E395A">
        <w:rPr>
          <w:rFonts w:asciiTheme="majorHAnsi" w:hAnsiTheme="majorHAnsi" w:cstheme="majorBidi"/>
          <w:sz w:val="23"/>
          <w:szCs w:val="23"/>
        </w:rPr>
        <w:t xml:space="preserve">, as </w:t>
      </w:r>
      <w:r w:rsidR="00F00E3D" w:rsidRPr="778E395A">
        <w:rPr>
          <w:rFonts w:asciiTheme="majorHAnsi" w:hAnsiTheme="majorHAnsi" w:cstheme="majorBidi"/>
          <w:sz w:val="23"/>
          <w:szCs w:val="23"/>
        </w:rPr>
        <w:t xml:space="preserve">“it looks austere, utilitarian, like a prison” (see Figure </w:t>
      </w:r>
      <w:r w:rsidRPr="778E395A">
        <w:rPr>
          <w:rFonts w:asciiTheme="majorHAnsi" w:hAnsiTheme="majorHAnsi" w:cstheme="majorBidi"/>
          <w:sz w:val="23"/>
          <w:szCs w:val="23"/>
        </w:rPr>
        <w:t>7</w:t>
      </w:r>
      <w:r w:rsidR="00F00E3D" w:rsidRPr="778E395A">
        <w:rPr>
          <w:rFonts w:asciiTheme="majorHAnsi" w:hAnsiTheme="majorHAnsi" w:cstheme="majorBidi"/>
          <w:sz w:val="23"/>
          <w:szCs w:val="23"/>
        </w:rPr>
        <w:t>.1</w:t>
      </w:r>
      <w:r w:rsidR="7ED9B9E5" w:rsidRPr="778E395A">
        <w:rPr>
          <w:rFonts w:asciiTheme="majorHAnsi" w:hAnsiTheme="majorHAnsi" w:cstheme="majorBidi"/>
          <w:sz w:val="23"/>
          <w:szCs w:val="23"/>
        </w:rPr>
        <w:t>1</w:t>
      </w:r>
      <w:r w:rsidR="00F00E3D" w:rsidRPr="778E395A">
        <w:rPr>
          <w:rFonts w:asciiTheme="majorHAnsi" w:hAnsiTheme="majorHAnsi" w:cstheme="majorBidi"/>
          <w:sz w:val="23"/>
          <w:szCs w:val="23"/>
        </w:rPr>
        <w:t>).</w:t>
      </w:r>
    </w:p>
    <w:p w14:paraId="732AC103" w14:textId="006B7655" w:rsidR="00F00E3D" w:rsidRPr="00E91887" w:rsidRDefault="001227C5" w:rsidP="009B2FA7">
      <w:pPr>
        <w:spacing w:line="276" w:lineRule="auto"/>
        <w:rPr>
          <w:rFonts w:asciiTheme="majorHAnsi" w:hAnsiTheme="majorHAnsi" w:cstheme="majorHAnsi"/>
          <w:sz w:val="23"/>
          <w:szCs w:val="23"/>
        </w:rPr>
      </w:pPr>
      <w:r>
        <w:rPr>
          <w:rFonts w:asciiTheme="majorHAnsi" w:hAnsiTheme="majorHAnsi" w:cstheme="majorHAnsi"/>
          <w:sz w:val="23"/>
          <w:szCs w:val="23"/>
        </w:rPr>
        <w:t>The report also</w:t>
      </w:r>
      <w:r w:rsidR="00F00E3D" w:rsidRPr="00E91887">
        <w:rPr>
          <w:rFonts w:asciiTheme="majorHAnsi" w:hAnsiTheme="majorHAnsi" w:cstheme="majorHAnsi"/>
          <w:sz w:val="23"/>
          <w:szCs w:val="23"/>
        </w:rPr>
        <w:t xml:space="preserve"> suggest</w:t>
      </w:r>
      <w:r>
        <w:rPr>
          <w:rFonts w:asciiTheme="majorHAnsi" w:hAnsiTheme="majorHAnsi" w:cstheme="majorHAnsi"/>
          <w:sz w:val="23"/>
          <w:szCs w:val="23"/>
        </w:rPr>
        <w:t>ed</w:t>
      </w:r>
      <w:r w:rsidR="00F00E3D" w:rsidRPr="00E91887">
        <w:rPr>
          <w:rFonts w:asciiTheme="majorHAnsi" w:hAnsiTheme="majorHAnsi" w:cstheme="majorHAnsi"/>
          <w:sz w:val="23"/>
          <w:szCs w:val="23"/>
        </w:rPr>
        <w:t xml:space="preserve"> that the centre </w:t>
      </w:r>
      <w:r w:rsidR="004A20FF">
        <w:rPr>
          <w:rFonts w:asciiTheme="majorHAnsi" w:hAnsiTheme="majorHAnsi" w:cstheme="majorHAnsi"/>
          <w:sz w:val="23"/>
          <w:szCs w:val="23"/>
        </w:rPr>
        <w:t>consider offering</w:t>
      </w:r>
      <w:r w:rsidR="00397EF4">
        <w:rPr>
          <w:rFonts w:asciiTheme="majorHAnsi" w:hAnsiTheme="majorHAnsi" w:cstheme="majorHAnsi"/>
          <w:sz w:val="23"/>
          <w:szCs w:val="23"/>
        </w:rPr>
        <w:t xml:space="preserve"> additional activities, facilities, and programs</w:t>
      </w:r>
      <w:r>
        <w:rPr>
          <w:rFonts w:asciiTheme="majorHAnsi" w:hAnsiTheme="majorHAnsi" w:cstheme="majorHAnsi"/>
          <w:sz w:val="23"/>
          <w:szCs w:val="23"/>
        </w:rPr>
        <w:t>. Ideas included</w:t>
      </w:r>
      <w:r w:rsidR="00F00E3D" w:rsidRPr="00E91887">
        <w:rPr>
          <w:rFonts w:asciiTheme="majorHAnsi" w:hAnsiTheme="majorHAnsi" w:cstheme="majorHAnsi"/>
          <w:sz w:val="23"/>
          <w:szCs w:val="23"/>
        </w:rPr>
        <w:t xml:space="preserve"> </w:t>
      </w:r>
      <w:r w:rsidR="00397EF4">
        <w:rPr>
          <w:rFonts w:asciiTheme="majorHAnsi" w:hAnsiTheme="majorHAnsi" w:cstheme="majorHAnsi"/>
          <w:sz w:val="23"/>
          <w:szCs w:val="23"/>
        </w:rPr>
        <w:t>e</w:t>
      </w:r>
      <w:r w:rsidR="00F00E3D" w:rsidRPr="00E91887">
        <w:rPr>
          <w:rFonts w:asciiTheme="majorHAnsi" w:hAnsiTheme="majorHAnsi" w:cstheme="majorHAnsi"/>
          <w:sz w:val="23"/>
          <w:szCs w:val="23"/>
        </w:rPr>
        <w:t>xercise/Zumba classes,</w:t>
      </w:r>
      <w:r w:rsidR="00397EF4" w:rsidRPr="00E91887">
        <w:rPr>
          <w:rFonts w:asciiTheme="majorHAnsi" w:hAnsiTheme="majorHAnsi" w:cstheme="majorHAnsi"/>
          <w:sz w:val="23"/>
          <w:szCs w:val="23"/>
        </w:rPr>
        <w:t xml:space="preserve"> a youth space, a men’s </w:t>
      </w:r>
      <w:r w:rsidR="004A20FF">
        <w:rPr>
          <w:rFonts w:asciiTheme="majorHAnsi" w:hAnsiTheme="majorHAnsi" w:cstheme="majorHAnsi"/>
          <w:sz w:val="23"/>
          <w:szCs w:val="23"/>
        </w:rPr>
        <w:t>“</w:t>
      </w:r>
      <w:r w:rsidR="00397EF4" w:rsidRPr="00E91887">
        <w:rPr>
          <w:rFonts w:asciiTheme="majorHAnsi" w:hAnsiTheme="majorHAnsi" w:cstheme="majorHAnsi"/>
          <w:sz w:val="23"/>
          <w:szCs w:val="23"/>
        </w:rPr>
        <w:t>fix</w:t>
      </w:r>
      <w:r w:rsidR="004A20FF">
        <w:rPr>
          <w:rFonts w:asciiTheme="majorHAnsi" w:hAnsiTheme="majorHAnsi" w:cstheme="majorHAnsi"/>
          <w:sz w:val="23"/>
          <w:szCs w:val="23"/>
        </w:rPr>
        <w:t>-</w:t>
      </w:r>
      <w:r w:rsidR="00397EF4" w:rsidRPr="00E91887">
        <w:rPr>
          <w:rFonts w:asciiTheme="majorHAnsi" w:hAnsiTheme="majorHAnsi" w:cstheme="majorHAnsi"/>
          <w:sz w:val="23"/>
          <w:szCs w:val="23"/>
        </w:rPr>
        <w:t>it</w:t>
      </w:r>
      <w:r w:rsidR="004A20FF">
        <w:rPr>
          <w:rFonts w:asciiTheme="majorHAnsi" w:hAnsiTheme="majorHAnsi" w:cstheme="majorHAnsi"/>
          <w:sz w:val="23"/>
          <w:szCs w:val="23"/>
        </w:rPr>
        <w:t>”</w:t>
      </w:r>
      <w:r w:rsidR="00397EF4" w:rsidRPr="00E91887">
        <w:rPr>
          <w:rFonts w:asciiTheme="majorHAnsi" w:hAnsiTheme="majorHAnsi" w:cstheme="majorHAnsi"/>
          <w:sz w:val="23"/>
          <w:szCs w:val="23"/>
        </w:rPr>
        <w:t xml:space="preserve"> shed, a traffic course</w:t>
      </w:r>
      <w:r w:rsidR="004A20FF">
        <w:rPr>
          <w:rFonts w:asciiTheme="majorHAnsi" w:hAnsiTheme="majorHAnsi" w:cstheme="majorHAnsi"/>
          <w:sz w:val="23"/>
          <w:szCs w:val="23"/>
        </w:rPr>
        <w:t xml:space="preserve">, </w:t>
      </w:r>
      <w:r w:rsidR="00397EF4" w:rsidRPr="00E91887">
        <w:rPr>
          <w:rFonts w:asciiTheme="majorHAnsi" w:hAnsiTheme="majorHAnsi" w:cstheme="majorHAnsi"/>
          <w:sz w:val="23"/>
          <w:szCs w:val="23"/>
        </w:rPr>
        <w:t>a coffee sho</w:t>
      </w:r>
      <w:r w:rsidR="004A20FF">
        <w:rPr>
          <w:rFonts w:asciiTheme="majorHAnsi" w:hAnsiTheme="majorHAnsi" w:cstheme="majorHAnsi"/>
          <w:sz w:val="23"/>
          <w:szCs w:val="23"/>
        </w:rPr>
        <w:t>p,</w:t>
      </w:r>
      <w:r w:rsidR="00F00E3D" w:rsidRPr="00E91887">
        <w:rPr>
          <w:rFonts w:asciiTheme="majorHAnsi" w:hAnsiTheme="majorHAnsi" w:cstheme="majorHAnsi"/>
          <w:sz w:val="23"/>
          <w:szCs w:val="23"/>
        </w:rPr>
        <w:t xml:space="preserve"> job</w:t>
      </w:r>
      <w:r w:rsidR="00397EF4">
        <w:rPr>
          <w:rFonts w:asciiTheme="majorHAnsi" w:hAnsiTheme="majorHAnsi" w:cstheme="majorHAnsi"/>
          <w:sz w:val="23"/>
          <w:szCs w:val="23"/>
        </w:rPr>
        <w:t>-</w:t>
      </w:r>
      <w:r w:rsidR="00F00E3D" w:rsidRPr="00E91887">
        <w:rPr>
          <w:rFonts w:asciiTheme="majorHAnsi" w:hAnsiTheme="majorHAnsi" w:cstheme="majorHAnsi"/>
          <w:sz w:val="23"/>
          <w:szCs w:val="23"/>
        </w:rPr>
        <w:t xml:space="preserve">ready and computer courses, food and nutrition activities, </w:t>
      </w:r>
      <w:r w:rsidR="00397EF4">
        <w:rPr>
          <w:rFonts w:asciiTheme="majorHAnsi" w:hAnsiTheme="majorHAnsi" w:cstheme="majorHAnsi"/>
          <w:sz w:val="23"/>
          <w:szCs w:val="23"/>
        </w:rPr>
        <w:t>and</w:t>
      </w:r>
      <w:r w:rsidR="00F00E3D" w:rsidRPr="00E91887">
        <w:rPr>
          <w:rFonts w:asciiTheme="majorHAnsi" w:hAnsiTheme="majorHAnsi" w:cstheme="majorHAnsi"/>
          <w:sz w:val="23"/>
          <w:szCs w:val="23"/>
        </w:rPr>
        <w:t xml:space="preserve"> </w:t>
      </w:r>
      <w:r w:rsidR="004A20FF">
        <w:rPr>
          <w:rFonts w:asciiTheme="majorHAnsi" w:hAnsiTheme="majorHAnsi" w:cstheme="majorHAnsi"/>
          <w:sz w:val="23"/>
          <w:szCs w:val="23"/>
        </w:rPr>
        <w:t xml:space="preserve">a </w:t>
      </w:r>
      <w:r w:rsidR="00F00E3D" w:rsidRPr="00E91887">
        <w:rPr>
          <w:rFonts w:asciiTheme="majorHAnsi" w:hAnsiTheme="majorHAnsi" w:cstheme="majorHAnsi"/>
          <w:sz w:val="23"/>
          <w:szCs w:val="23"/>
        </w:rPr>
        <w:t>course on “how to make ends meet – making pocket money into household savings”</w:t>
      </w:r>
      <w:r w:rsidR="004A20FF">
        <w:rPr>
          <w:rFonts w:asciiTheme="majorHAnsi" w:hAnsiTheme="majorHAnsi" w:cstheme="majorHAnsi"/>
          <w:sz w:val="23"/>
          <w:szCs w:val="23"/>
        </w:rPr>
        <w:t xml:space="preserve"> </w:t>
      </w:r>
      <w:r w:rsidR="00F00E3D" w:rsidRPr="00E91887">
        <w:rPr>
          <w:rFonts w:asciiTheme="majorHAnsi" w:hAnsiTheme="majorHAnsi" w:cstheme="majorHAnsi"/>
          <w:noProof/>
          <w:sz w:val="23"/>
          <w:szCs w:val="23"/>
        </w:rPr>
        <w:t>Bellarine LLC, 2019)</w:t>
      </w:r>
      <w:r w:rsidR="00F00E3D" w:rsidRPr="00E91887">
        <w:rPr>
          <w:rFonts w:asciiTheme="majorHAnsi" w:hAnsiTheme="majorHAnsi" w:cstheme="majorHAnsi"/>
          <w:sz w:val="23"/>
          <w:szCs w:val="23"/>
        </w:rPr>
        <w:t>. In short</w:t>
      </w:r>
      <w:r w:rsidR="004A20FF">
        <w:rPr>
          <w:rFonts w:asciiTheme="majorHAnsi" w:hAnsiTheme="majorHAnsi" w:cstheme="majorHAnsi"/>
          <w:sz w:val="23"/>
          <w:szCs w:val="23"/>
        </w:rPr>
        <w:t>,</w:t>
      </w:r>
      <w:r w:rsidR="00F00E3D" w:rsidRPr="00E91887">
        <w:rPr>
          <w:rFonts w:asciiTheme="majorHAnsi" w:hAnsiTheme="majorHAnsi" w:cstheme="majorHAnsi"/>
          <w:sz w:val="23"/>
          <w:szCs w:val="23"/>
        </w:rPr>
        <w:t xml:space="preserve"> </w:t>
      </w:r>
      <w:r w:rsidR="004A20FF">
        <w:rPr>
          <w:rFonts w:asciiTheme="majorHAnsi" w:hAnsiTheme="majorHAnsi" w:cstheme="majorHAnsi"/>
          <w:sz w:val="23"/>
          <w:szCs w:val="23"/>
        </w:rPr>
        <w:t>the</w:t>
      </w:r>
      <w:r w:rsidR="001E2264">
        <w:rPr>
          <w:rFonts w:asciiTheme="majorHAnsi" w:hAnsiTheme="majorHAnsi" w:cstheme="majorHAnsi"/>
          <w:sz w:val="23"/>
          <w:szCs w:val="23"/>
        </w:rPr>
        <w:t xml:space="preserve"> report</w:t>
      </w:r>
      <w:r w:rsidR="004A20FF">
        <w:rPr>
          <w:rFonts w:asciiTheme="majorHAnsi" w:hAnsiTheme="majorHAnsi" w:cstheme="majorHAnsi"/>
          <w:sz w:val="23"/>
          <w:szCs w:val="23"/>
        </w:rPr>
        <w:t xml:space="preserve"> identified</w:t>
      </w:r>
      <w:r w:rsidR="00F00E3D" w:rsidRPr="00E91887">
        <w:rPr>
          <w:rFonts w:asciiTheme="majorHAnsi" w:hAnsiTheme="majorHAnsi" w:cstheme="majorHAnsi"/>
          <w:sz w:val="23"/>
          <w:szCs w:val="23"/>
        </w:rPr>
        <w:t xml:space="preserve"> </w:t>
      </w:r>
      <w:r w:rsidR="004A20FF">
        <w:rPr>
          <w:rFonts w:asciiTheme="majorHAnsi" w:hAnsiTheme="majorHAnsi" w:cstheme="majorHAnsi"/>
          <w:sz w:val="23"/>
          <w:szCs w:val="23"/>
        </w:rPr>
        <w:t>many other</w:t>
      </w:r>
      <w:r w:rsidR="005422EB">
        <w:rPr>
          <w:rFonts w:asciiTheme="majorHAnsi" w:hAnsiTheme="majorHAnsi" w:cstheme="majorHAnsi"/>
          <w:sz w:val="23"/>
          <w:szCs w:val="23"/>
        </w:rPr>
        <w:t xml:space="preserve"> options</w:t>
      </w:r>
      <w:r w:rsidR="0066528A">
        <w:rPr>
          <w:rFonts w:asciiTheme="majorHAnsi" w:hAnsiTheme="majorHAnsi" w:cstheme="majorHAnsi"/>
          <w:sz w:val="23"/>
          <w:szCs w:val="23"/>
        </w:rPr>
        <w:t xml:space="preserve"> </w:t>
      </w:r>
      <w:r w:rsidR="005422EB">
        <w:rPr>
          <w:rFonts w:asciiTheme="majorHAnsi" w:hAnsiTheme="majorHAnsi" w:cstheme="majorHAnsi"/>
          <w:sz w:val="23"/>
          <w:szCs w:val="23"/>
        </w:rPr>
        <w:t xml:space="preserve">that </w:t>
      </w:r>
      <w:r w:rsidR="0066528A">
        <w:rPr>
          <w:rFonts w:asciiTheme="majorHAnsi" w:hAnsiTheme="majorHAnsi" w:cstheme="majorHAnsi"/>
          <w:sz w:val="23"/>
          <w:szCs w:val="23"/>
        </w:rPr>
        <w:t xml:space="preserve">the </w:t>
      </w:r>
      <w:r w:rsidR="005422EB">
        <w:rPr>
          <w:rFonts w:asciiTheme="majorHAnsi" w:hAnsiTheme="majorHAnsi" w:cstheme="majorHAnsi"/>
          <w:sz w:val="23"/>
          <w:szCs w:val="23"/>
        </w:rPr>
        <w:t>BLLC, and</w:t>
      </w:r>
      <w:r w:rsidR="00F00E3D" w:rsidRPr="00E91887">
        <w:rPr>
          <w:rFonts w:asciiTheme="majorHAnsi" w:hAnsiTheme="majorHAnsi" w:cstheme="majorHAnsi"/>
          <w:sz w:val="23"/>
          <w:szCs w:val="23"/>
        </w:rPr>
        <w:t xml:space="preserve"> perhaps other</w:t>
      </w:r>
      <w:r w:rsidR="005422EB">
        <w:rPr>
          <w:rFonts w:asciiTheme="majorHAnsi" w:hAnsiTheme="majorHAnsi" w:cstheme="majorHAnsi"/>
          <w:sz w:val="23"/>
          <w:szCs w:val="23"/>
        </w:rPr>
        <w:t xml:space="preserve"> organisations</w:t>
      </w:r>
      <w:r w:rsidR="00F00E3D" w:rsidRPr="00E91887">
        <w:rPr>
          <w:rFonts w:asciiTheme="majorHAnsi" w:hAnsiTheme="majorHAnsi" w:cstheme="majorHAnsi"/>
          <w:sz w:val="23"/>
          <w:szCs w:val="23"/>
        </w:rPr>
        <w:t xml:space="preserve"> in the three localities, could offer</w:t>
      </w:r>
      <w:r w:rsidR="0066528A">
        <w:rPr>
          <w:rFonts w:asciiTheme="majorHAnsi" w:hAnsiTheme="majorHAnsi" w:cstheme="majorHAnsi"/>
          <w:sz w:val="23"/>
          <w:szCs w:val="23"/>
        </w:rPr>
        <w:t xml:space="preserve"> </w:t>
      </w:r>
      <w:r w:rsidR="00F00E3D" w:rsidRPr="00E91887">
        <w:rPr>
          <w:rFonts w:asciiTheme="majorHAnsi" w:hAnsiTheme="majorHAnsi" w:cstheme="majorHAnsi"/>
          <w:sz w:val="23"/>
          <w:szCs w:val="23"/>
        </w:rPr>
        <w:t>residents in relation to leisure, educational</w:t>
      </w:r>
      <w:r w:rsidR="00FA10E7">
        <w:rPr>
          <w:rFonts w:asciiTheme="majorHAnsi" w:hAnsiTheme="majorHAnsi" w:cstheme="majorHAnsi"/>
          <w:sz w:val="23"/>
          <w:szCs w:val="23"/>
        </w:rPr>
        <w:t>,</w:t>
      </w:r>
      <w:r w:rsidR="00F00E3D" w:rsidRPr="00E91887">
        <w:rPr>
          <w:rFonts w:asciiTheme="majorHAnsi" w:hAnsiTheme="majorHAnsi" w:cstheme="majorHAnsi"/>
          <w:sz w:val="23"/>
          <w:szCs w:val="23"/>
        </w:rPr>
        <w:t xml:space="preserve"> and </w:t>
      </w:r>
      <w:r w:rsidR="00FA10E7">
        <w:rPr>
          <w:rFonts w:asciiTheme="majorHAnsi" w:hAnsiTheme="majorHAnsi" w:cstheme="majorHAnsi"/>
          <w:sz w:val="23"/>
          <w:szCs w:val="23"/>
        </w:rPr>
        <w:t xml:space="preserve">social </w:t>
      </w:r>
      <w:r w:rsidR="00F00E3D" w:rsidRPr="00E91887">
        <w:rPr>
          <w:rFonts w:asciiTheme="majorHAnsi" w:hAnsiTheme="majorHAnsi" w:cstheme="majorHAnsi"/>
          <w:sz w:val="23"/>
          <w:szCs w:val="23"/>
        </w:rPr>
        <w:t>activities.</w:t>
      </w:r>
    </w:p>
    <w:p w14:paraId="6B1573D0" w14:textId="5DB68A3E" w:rsidR="00F00E3D" w:rsidRDefault="00F00E3D" w:rsidP="00092C1F">
      <w:pPr>
        <w:spacing w:after="0" w:line="276" w:lineRule="auto"/>
        <w:rPr>
          <w:rFonts w:asciiTheme="majorHAnsi" w:hAnsiTheme="majorHAnsi" w:cstheme="majorHAnsi"/>
          <w:sz w:val="23"/>
          <w:szCs w:val="23"/>
        </w:rPr>
      </w:pPr>
      <w:r>
        <w:rPr>
          <w:noProof/>
        </w:rPr>
        <w:drawing>
          <wp:inline distT="0" distB="0" distL="0" distR="0" wp14:anchorId="08575DEA" wp14:editId="0A23261F">
            <wp:extent cx="4797120" cy="3000080"/>
            <wp:effectExtent l="0" t="0" r="3810" b="0"/>
            <wp:docPr id="50" name="Picture 50" descr="A car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12">
                      <a:extLst>
                        <a:ext uri="{28A0092B-C50C-407E-A947-70E740481C1C}">
                          <a14:useLocalDpi xmlns:a14="http://schemas.microsoft.com/office/drawing/2010/main"/>
                        </a:ext>
                      </a:extLst>
                    </a:blip>
                    <a:stretch>
                      <a:fillRect/>
                    </a:stretch>
                  </pic:blipFill>
                  <pic:spPr>
                    <a:xfrm>
                      <a:off x="0" y="0"/>
                      <a:ext cx="4797120" cy="3000080"/>
                    </a:xfrm>
                    <a:prstGeom prst="rect">
                      <a:avLst/>
                    </a:prstGeom>
                  </pic:spPr>
                </pic:pic>
              </a:graphicData>
            </a:graphic>
          </wp:inline>
        </w:drawing>
      </w:r>
    </w:p>
    <w:p w14:paraId="42EB83D3" w14:textId="7AE3891E" w:rsidR="001E2264" w:rsidRDefault="00092C1F" w:rsidP="778E395A">
      <w:pPr>
        <w:spacing w:after="0" w:line="240" w:lineRule="auto"/>
        <w:rPr>
          <w:b/>
          <w:bCs/>
          <w:sz w:val="21"/>
          <w:szCs w:val="21"/>
        </w:rPr>
      </w:pPr>
      <w:r w:rsidRPr="778E395A">
        <w:rPr>
          <w:b/>
          <w:bCs/>
          <w:sz w:val="21"/>
          <w:szCs w:val="21"/>
        </w:rPr>
        <w:t>Figure 7.1</w:t>
      </w:r>
      <w:r w:rsidR="36600113" w:rsidRPr="778E395A">
        <w:rPr>
          <w:b/>
          <w:bCs/>
          <w:sz w:val="21"/>
          <w:szCs w:val="21"/>
        </w:rPr>
        <w:t>1</w:t>
      </w:r>
      <w:r w:rsidRPr="778E395A">
        <w:rPr>
          <w:b/>
          <w:bCs/>
          <w:sz w:val="21"/>
          <w:szCs w:val="21"/>
        </w:rPr>
        <w:t>: Bellarine Living and Learning Centre, Whittington</w:t>
      </w:r>
    </w:p>
    <w:p w14:paraId="0CC00C49" w14:textId="4B818581" w:rsidR="00092C1F" w:rsidRPr="00092C1F" w:rsidRDefault="00092C1F" w:rsidP="006A1A80">
      <w:pPr>
        <w:spacing w:after="0" w:line="240" w:lineRule="auto"/>
        <w:rPr>
          <w:rFonts w:cstheme="minorHAnsi"/>
          <w:b/>
          <w:bCs/>
          <w:sz w:val="21"/>
          <w:szCs w:val="21"/>
        </w:rPr>
      </w:pPr>
      <w:r w:rsidRPr="00092C1F">
        <w:rPr>
          <w:rFonts w:cstheme="minorHAnsi"/>
          <w:b/>
          <w:bCs/>
          <w:sz w:val="21"/>
          <w:szCs w:val="21"/>
        </w:rPr>
        <w:t>(Photo: Louise Johnson</w:t>
      </w:r>
      <w:r>
        <w:rPr>
          <w:rFonts w:cstheme="minorHAnsi"/>
          <w:b/>
          <w:bCs/>
          <w:sz w:val="21"/>
          <w:szCs w:val="21"/>
        </w:rPr>
        <w:t>,</w:t>
      </w:r>
      <w:r w:rsidRPr="00092C1F">
        <w:rPr>
          <w:rFonts w:cstheme="minorHAnsi"/>
          <w:b/>
          <w:bCs/>
          <w:sz w:val="21"/>
          <w:szCs w:val="21"/>
        </w:rPr>
        <w:t xml:space="preserve"> February 2021)</w:t>
      </w:r>
    </w:p>
    <w:p w14:paraId="3EE25ABE" w14:textId="77777777" w:rsidR="00092C1F" w:rsidRPr="00E91887" w:rsidRDefault="00092C1F" w:rsidP="009B2FA7">
      <w:pPr>
        <w:spacing w:line="276" w:lineRule="auto"/>
        <w:rPr>
          <w:rFonts w:asciiTheme="majorHAnsi" w:hAnsiTheme="majorHAnsi" w:cstheme="majorHAnsi"/>
          <w:sz w:val="23"/>
          <w:szCs w:val="23"/>
        </w:rPr>
      </w:pPr>
    </w:p>
    <w:p w14:paraId="3F5EBAA3" w14:textId="219FF0D8" w:rsidR="00F00E3D" w:rsidRDefault="00F00E3D" w:rsidP="001E2264">
      <w:pPr>
        <w:spacing w:after="0" w:line="276" w:lineRule="auto"/>
        <w:rPr>
          <w:rFonts w:asciiTheme="majorHAnsi" w:hAnsiTheme="majorHAnsi" w:cstheme="majorHAnsi"/>
          <w:sz w:val="23"/>
          <w:szCs w:val="23"/>
        </w:rPr>
      </w:pPr>
      <w:r>
        <w:rPr>
          <w:noProof/>
        </w:rPr>
        <w:lastRenderedPageBreak/>
        <w:drawing>
          <wp:inline distT="0" distB="0" distL="0" distR="0" wp14:anchorId="0381CC53" wp14:editId="3EC989C3">
            <wp:extent cx="4797120" cy="2997247"/>
            <wp:effectExtent l="0" t="0" r="3810" b="0"/>
            <wp:docPr id="51" name="Picture 51" descr="D:\DCIM\100D3400\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13">
                      <a:extLst>
                        <a:ext uri="{28A0092B-C50C-407E-A947-70E740481C1C}">
                          <a14:useLocalDpi xmlns:a14="http://schemas.microsoft.com/office/drawing/2010/main"/>
                        </a:ext>
                      </a:extLst>
                    </a:blip>
                    <a:stretch>
                      <a:fillRect/>
                    </a:stretch>
                  </pic:blipFill>
                  <pic:spPr>
                    <a:xfrm>
                      <a:off x="0" y="0"/>
                      <a:ext cx="4797120" cy="2997247"/>
                    </a:xfrm>
                    <a:prstGeom prst="rect">
                      <a:avLst/>
                    </a:prstGeom>
                  </pic:spPr>
                </pic:pic>
              </a:graphicData>
            </a:graphic>
          </wp:inline>
        </w:drawing>
      </w:r>
    </w:p>
    <w:p w14:paraId="3B2C3549" w14:textId="09785712" w:rsidR="006A1A80" w:rsidRPr="001E2264" w:rsidRDefault="006A1A80" w:rsidP="778E395A">
      <w:pPr>
        <w:spacing w:after="0" w:line="276" w:lineRule="auto"/>
        <w:rPr>
          <w:b/>
          <w:bCs/>
          <w:sz w:val="21"/>
          <w:szCs w:val="21"/>
        </w:rPr>
      </w:pPr>
      <w:r w:rsidRPr="778E395A">
        <w:rPr>
          <w:b/>
          <w:bCs/>
          <w:sz w:val="21"/>
          <w:szCs w:val="21"/>
        </w:rPr>
        <w:t>Figure 7.1</w:t>
      </w:r>
      <w:r w:rsidR="458FB4C6" w:rsidRPr="778E395A">
        <w:rPr>
          <w:b/>
          <w:bCs/>
          <w:sz w:val="21"/>
          <w:szCs w:val="21"/>
        </w:rPr>
        <w:t>2</w:t>
      </w:r>
      <w:r w:rsidRPr="778E395A">
        <w:rPr>
          <w:b/>
          <w:bCs/>
          <w:sz w:val="21"/>
          <w:szCs w:val="21"/>
        </w:rPr>
        <w:t>: Norlane Community Centre, Norlane (Photo: Louise Johnson, June 2020)</w:t>
      </w:r>
    </w:p>
    <w:p w14:paraId="0FE76577" w14:textId="77777777" w:rsidR="006A1A80" w:rsidRPr="00354CC5" w:rsidRDefault="006A1A80" w:rsidP="001E2264">
      <w:pPr>
        <w:spacing w:after="0" w:line="276" w:lineRule="auto"/>
        <w:rPr>
          <w:rFonts w:asciiTheme="majorHAnsi" w:hAnsiTheme="majorHAnsi" w:cstheme="majorHAnsi"/>
          <w:sz w:val="16"/>
          <w:szCs w:val="16"/>
        </w:rPr>
      </w:pPr>
    </w:p>
    <w:p w14:paraId="302ADA2E" w14:textId="256F5383" w:rsidR="00F00E3D" w:rsidRDefault="00F00E3D" w:rsidP="001E2264">
      <w:pPr>
        <w:spacing w:after="0" w:line="276" w:lineRule="auto"/>
        <w:rPr>
          <w:rFonts w:cstheme="minorHAnsi"/>
          <w:b/>
          <w:bCs/>
          <w:sz w:val="25"/>
          <w:szCs w:val="25"/>
        </w:rPr>
      </w:pPr>
      <w:r w:rsidRPr="001E2264">
        <w:rPr>
          <w:rFonts w:cstheme="minorHAnsi"/>
          <w:b/>
          <w:bCs/>
          <w:sz w:val="25"/>
          <w:szCs w:val="25"/>
        </w:rPr>
        <w:t>Crime and Safety</w:t>
      </w:r>
    </w:p>
    <w:p w14:paraId="3AE37DB7" w14:textId="77777777" w:rsidR="001E2264" w:rsidRPr="001E2264" w:rsidRDefault="001E2264" w:rsidP="001E2264">
      <w:pPr>
        <w:spacing w:after="0" w:line="276" w:lineRule="auto"/>
        <w:rPr>
          <w:rFonts w:cstheme="minorHAnsi"/>
          <w:b/>
          <w:bCs/>
          <w:sz w:val="12"/>
          <w:szCs w:val="12"/>
        </w:rPr>
      </w:pPr>
    </w:p>
    <w:p w14:paraId="774A8339" w14:textId="5B7F9AAA" w:rsidR="00F00E3D" w:rsidRPr="006812F7" w:rsidRDefault="006F23F3" w:rsidP="009B2FA7">
      <w:pPr>
        <w:spacing w:line="276" w:lineRule="auto"/>
        <w:rPr>
          <w:rFonts w:asciiTheme="majorHAnsi" w:hAnsiTheme="majorHAnsi" w:cstheme="majorHAnsi"/>
          <w:sz w:val="23"/>
          <w:szCs w:val="23"/>
        </w:rPr>
      </w:pPr>
      <w:r>
        <w:rPr>
          <w:rFonts w:asciiTheme="majorHAnsi" w:hAnsiTheme="majorHAnsi" w:cstheme="majorHAnsi"/>
          <w:sz w:val="23"/>
          <w:szCs w:val="23"/>
        </w:rPr>
        <w:t>S</w:t>
      </w:r>
      <w:r w:rsidR="00F00E3D" w:rsidRPr="00E91887">
        <w:rPr>
          <w:rFonts w:asciiTheme="majorHAnsi" w:hAnsiTheme="majorHAnsi" w:cstheme="majorHAnsi"/>
          <w:sz w:val="23"/>
          <w:szCs w:val="23"/>
        </w:rPr>
        <w:t xml:space="preserve">afety is a very real </w:t>
      </w:r>
      <w:r w:rsidR="001E2264">
        <w:rPr>
          <w:rFonts w:asciiTheme="majorHAnsi" w:hAnsiTheme="majorHAnsi" w:cstheme="majorHAnsi"/>
          <w:sz w:val="23"/>
          <w:szCs w:val="23"/>
        </w:rPr>
        <w:t>concern</w:t>
      </w:r>
      <w:r w:rsidR="00F00E3D" w:rsidRPr="00E91887">
        <w:rPr>
          <w:rFonts w:asciiTheme="majorHAnsi" w:hAnsiTheme="majorHAnsi" w:cstheme="majorHAnsi"/>
          <w:sz w:val="23"/>
          <w:szCs w:val="23"/>
        </w:rPr>
        <w:t xml:space="preserve"> </w:t>
      </w:r>
      <w:r w:rsidR="00834B75">
        <w:rPr>
          <w:rFonts w:asciiTheme="majorHAnsi" w:hAnsiTheme="majorHAnsi" w:cstheme="majorHAnsi"/>
          <w:sz w:val="23"/>
          <w:szCs w:val="23"/>
        </w:rPr>
        <w:t xml:space="preserve">for residents </w:t>
      </w:r>
      <w:r w:rsidR="00F00E3D" w:rsidRPr="00E91887">
        <w:rPr>
          <w:rFonts w:asciiTheme="majorHAnsi" w:hAnsiTheme="majorHAnsi" w:cstheme="majorHAnsi"/>
          <w:sz w:val="23"/>
          <w:szCs w:val="23"/>
        </w:rPr>
        <w:t>in the</w:t>
      </w:r>
      <w:r w:rsidR="001E2264">
        <w:rPr>
          <w:rFonts w:asciiTheme="majorHAnsi" w:hAnsiTheme="majorHAnsi" w:cstheme="majorHAnsi"/>
          <w:sz w:val="23"/>
          <w:szCs w:val="23"/>
        </w:rPr>
        <w:t xml:space="preserve"> three </w:t>
      </w:r>
      <w:r w:rsidR="00F00E3D" w:rsidRPr="00E91887">
        <w:rPr>
          <w:rFonts w:asciiTheme="majorHAnsi" w:hAnsiTheme="majorHAnsi" w:cstheme="majorHAnsi"/>
          <w:sz w:val="23"/>
          <w:szCs w:val="23"/>
        </w:rPr>
        <w:t>localities</w:t>
      </w:r>
      <w:r w:rsidR="001E2264">
        <w:rPr>
          <w:rFonts w:asciiTheme="majorHAnsi" w:hAnsiTheme="majorHAnsi" w:cstheme="majorHAnsi"/>
          <w:sz w:val="23"/>
          <w:szCs w:val="23"/>
        </w:rPr>
        <w:t xml:space="preserve"> of focus</w:t>
      </w:r>
      <w:r w:rsidR="00F00E3D" w:rsidRPr="00E91887">
        <w:rPr>
          <w:rFonts w:asciiTheme="majorHAnsi" w:hAnsiTheme="majorHAnsi" w:cstheme="majorHAnsi"/>
          <w:sz w:val="23"/>
          <w:szCs w:val="23"/>
        </w:rPr>
        <w:t xml:space="preserve">. </w:t>
      </w:r>
      <w:r>
        <w:rPr>
          <w:rFonts w:asciiTheme="majorHAnsi" w:hAnsiTheme="majorHAnsi" w:cstheme="majorHAnsi"/>
          <w:sz w:val="23"/>
          <w:szCs w:val="23"/>
        </w:rPr>
        <w:t>It</w:t>
      </w:r>
      <w:r w:rsidR="00F00E3D" w:rsidRPr="00E91887">
        <w:rPr>
          <w:rFonts w:asciiTheme="majorHAnsi" w:hAnsiTheme="majorHAnsi" w:cstheme="majorHAnsi"/>
          <w:sz w:val="23"/>
          <w:szCs w:val="23"/>
        </w:rPr>
        <w:t xml:space="preserve"> readily emerges in any community-based forum </w:t>
      </w:r>
      <w:r w:rsidR="006869C2">
        <w:rPr>
          <w:rFonts w:asciiTheme="majorHAnsi" w:hAnsiTheme="majorHAnsi" w:cstheme="majorHAnsi"/>
          <w:sz w:val="23"/>
          <w:szCs w:val="23"/>
        </w:rPr>
        <w:t xml:space="preserve">seeking feedback on local </w:t>
      </w:r>
      <w:r>
        <w:rPr>
          <w:rFonts w:asciiTheme="majorHAnsi" w:hAnsiTheme="majorHAnsi" w:cstheme="majorHAnsi"/>
          <w:sz w:val="23"/>
          <w:szCs w:val="23"/>
        </w:rPr>
        <w:t>issue</w:t>
      </w:r>
      <w:r w:rsidR="006869C2">
        <w:rPr>
          <w:rFonts w:asciiTheme="majorHAnsi" w:hAnsiTheme="majorHAnsi" w:cstheme="majorHAnsi"/>
          <w:sz w:val="23"/>
          <w:szCs w:val="23"/>
        </w:rPr>
        <w:t>s</w:t>
      </w:r>
      <w:r w:rsidR="00F00E3D" w:rsidRPr="00E91887">
        <w:rPr>
          <w:rFonts w:asciiTheme="majorHAnsi" w:hAnsiTheme="majorHAnsi" w:cstheme="majorHAnsi"/>
          <w:sz w:val="23"/>
          <w:szCs w:val="23"/>
        </w:rPr>
        <w:t>. The data confirms th</w:t>
      </w:r>
      <w:r w:rsidR="006869C2">
        <w:rPr>
          <w:rFonts w:asciiTheme="majorHAnsi" w:hAnsiTheme="majorHAnsi" w:cstheme="majorHAnsi"/>
          <w:sz w:val="23"/>
          <w:szCs w:val="23"/>
        </w:rPr>
        <w:t>is,</w:t>
      </w:r>
      <w:r w:rsidR="00F00E3D" w:rsidRPr="00E91887">
        <w:rPr>
          <w:rFonts w:asciiTheme="majorHAnsi" w:hAnsiTheme="majorHAnsi" w:cstheme="majorHAnsi"/>
          <w:sz w:val="23"/>
          <w:szCs w:val="23"/>
        </w:rPr>
        <w:t xml:space="preserve"> </w:t>
      </w:r>
      <w:r w:rsidR="006869C2">
        <w:rPr>
          <w:rFonts w:asciiTheme="majorHAnsi" w:hAnsiTheme="majorHAnsi" w:cstheme="majorHAnsi"/>
          <w:sz w:val="23"/>
          <w:szCs w:val="23"/>
        </w:rPr>
        <w:t>offering a snapshot of the</w:t>
      </w:r>
      <w:r w:rsidR="00F00E3D" w:rsidRPr="00E91887">
        <w:rPr>
          <w:rFonts w:asciiTheme="majorHAnsi" w:hAnsiTheme="majorHAnsi" w:cstheme="majorHAnsi"/>
          <w:sz w:val="23"/>
          <w:szCs w:val="23"/>
        </w:rPr>
        <w:t xml:space="preserve"> range of criminal activity </w:t>
      </w:r>
      <w:r w:rsidR="006869C2">
        <w:rPr>
          <w:rFonts w:asciiTheme="majorHAnsi" w:hAnsiTheme="majorHAnsi" w:cstheme="majorHAnsi"/>
          <w:sz w:val="23"/>
          <w:szCs w:val="23"/>
        </w:rPr>
        <w:t>occur</w:t>
      </w:r>
      <w:r w:rsidR="009746B7">
        <w:rPr>
          <w:rFonts w:asciiTheme="majorHAnsi" w:hAnsiTheme="majorHAnsi" w:cstheme="majorHAnsi"/>
          <w:sz w:val="23"/>
          <w:szCs w:val="23"/>
        </w:rPr>
        <w:t>r</w:t>
      </w:r>
      <w:r w:rsidR="00606361">
        <w:rPr>
          <w:rFonts w:asciiTheme="majorHAnsi" w:hAnsiTheme="majorHAnsi" w:cstheme="majorHAnsi"/>
          <w:sz w:val="23"/>
          <w:szCs w:val="23"/>
        </w:rPr>
        <w:t>ing</w:t>
      </w:r>
      <w:r w:rsidR="006869C2">
        <w:rPr>
          <w:rFonts w:asciiTheme="majorHAnsi" w:hAnsiTheme="majorHAnsi" w:cstheme="majorHAnsi"/>
          <w:sz w:val="23"/>
          <w:szCs w:val="23"/>
        </w:rPr>
        <w:t xml:space="preserve"> in these suburb</w:t>
      </w:r>
      <w:r w:rsidR="006812F7">
        <w:rPr>
          <w:rFonts w:asciiTheme="majorHAnsi" w:hAnsiTheme="majorHAnsi" w:cstheme="majorHAnsi"/>
          <w:sz w:val="23"/>
          <w:szCs w:val="23"/>
        </w:rPr>
        <w:t>s, and</w:t>
      </w:r>
      <w:r w:rsidR="006869C2">
        <w:rPr>
          <w:rFonts w:asciiTheme="majorHAnsi" w:hAnsiTheme="majorHAnsi" w:cstheme="majorHAnsi"/>
          <w:sz w:val="23"/>
          <w:szCs w:val="23"/>
        </w:rPr>
        <w:t xml:space="preserve"> underlin</w:t>
      </w:r>
      <w:r>
        <w:rPr>
          <w:rFonts w:asciiTheme="majorHAnsi" w:hAnsiTheme="majorHAnsi" w:cstheme="majorHAnsi"/>
          <w:sz w:val="23"/>
          <w:szCs w:val="23"/>
        </w:rPr>
        <w:t>ing</w:t>
      </w:r>
      <w:r w:rsidR="006869C2">
        <w:rPr>
          <w:rFonts w:asciiTheme="majorHAnsi" w:hAnsiTheme="majorHAnsi" w:cstheme="majorHAnsi"/>
          <w:sz w:val="23"/>
          <w:szCs w:val="23"/>
        </w:rPr>
        <w:t xml:space="preserve"> the </w:t>
      </w:r>
      <w:r w:rsidR="00F00E3D" w:rsidRPr="00E91887">
        <w:rPr>
          <w:rFonts w:asciiTheme="majorHAnsi" w:hAnsiTheme="majorHAnsi" w:cstheme="majorHAnsi"/>
          <w:sz w:val="23"/>
          <w:szCs w:val="23"/>
        </w:rPr>
        <w:t xml:space="preserve">challenges faced by </w:t>
      </w:r>
      <w:r w:rsidR="006812F7">
        <w:rPr>
          <w:rFonts w:asciiTheme="majorHAnsi" w:hAnsiTheme="majorHAnsi" w:cstheme="majorHAnsi"/>
          <w:sz w:val="23"/>
          <w:szCs w:val="23"/>
        </w:rPr>
        <w:t>people</w:t>
      </w:r>
      <w:r w:rsidR="00F00E3D" w:rsidRPr="00E91887">
        <w:rPr>
          <w:rFonts w:asciiTheme="majorHAnsi" w:hAnsiTheme="majorHAnsi" w:cstheme="majorHAnsi"/>
          <w:sz w:val="23"/>
          <w:szCs w:val="23"/>
        </w:rPr>
        <w:t xml:space="preserve"> living in – and policing </w:t>
      </w:r>
      <w:r w:rsidR="006812F7">
        <w:rPr>
          <w:rFonts w:asciiTheme="majorHAnsi" w:hAnsiTheme="majorHAnsi" w:cstheme="majorHAnsi"/>
          <w:sz w:val="23"/>
          <w:szCs w:val="23"/>
        </w:rPr>
        <w:t xml:space="preserve">– </w:t>
      </w:r>
      <w:r w:rsidR="00F00E3D" w:rsidRPr="00E91887">
        <w:rPr>
          <w:rFonts w:asciiTheme="majorHAnsi" w:hAnsiTheme="majorHAnsi" w:cstheme="majorHAnsi"/>
          <w:sz w:val="23"/>
          <w:szCs w:val="23"/>
        </w:rPr>
        <w:t xml:space="preserve">these areas. </w:t>
      </w:r>
      <w:r w:rsidR="004670E0">
        <w:rPr>
          <w:rFonts w:asciiTheme="majorHAnsi" w:hAnsiTheme="majorHAnsi" w:cstheme="majorHAnsi"/>
          <w:sz w:val="23"/>
          <w:szCs w:val="23"/>
        </w:rPr>
        <w:t xml:space="preserve">Local </w:t>
      </w:r>
      <w:r w:rsidR="006812F7">
        <w:rPr>
          <w:rFonts w:asciiTheme="majorHAnsi" w:hAnsiTheme="majorHAnsi" w:cstheme="majorHAnsi"/>
          <w:sz w:val="23"/>
          <w:szCs w:val="23"/>
        </w:rPr>
        <w:t>b</w:t>
      </w:r>
      <w:r w:rsidR="00F00E3D" w:rsidRPr="00E91887">
        <w:rPr>
          <w:rFonts w:asciiTheme="majorHAnsi" w:hAnsiTheme="majorHAnsi" w:cstheme="majorHAnsi"/>
          <w:sz w:val="23"/>
          <w:szCs w:val="23"/>
        </w:rPr>
        <w:t xml:space="preserve">urglary and </w:t>
      </w:r>
      <w:r w:rsidR="006812F7">
        <w:rPr>
          <w:rFonts w:asciiTheme="majorHAnsi" w:hAnsiTheme="majorHAnsi" w:cstheme="majorHAnsi"/>
          <w:sz w:val="23"/>
          <w:szCs w:val="23"/>
        </w:rPr>
        <w:t>d</w:t>
      </w:r>
      <w:r w:rsidR="00F00E3D" w:rsidRPr="00E91887">
        <w:rPr>
          <w:rFonts w:asciiTheme="majorHAnsi" w:hAnsiTheme="majorHAnsi" w:cstheme="majorHAnsi"/>
          <w:sz w:val="23"/>
          <w:szCs w:val="23"/>
        </w:rPr>
        <w:t xml:space="preserve">rug trafficking </w:t>
      </w:r>
      <w:r w:rsidR="00606361">
        <w:rPr>
          <w:rFonts w:asciiTheme="majorHAnsi" w:hAnsiTheme="majorHAnsi" w:cstheme="majorHAnsi"/>
          <w:sz w:val="23"/>
          <w:szCs w:val="23"/>
        </w:rPr>
        <w:t>rat</w:t>
      </w:r>
      <w:r w:rsidR="004670E0">
        <w:rPr>
          <w:rFonts w:asciiTheme="majorHAnsi" w:hAnsiTheme="majorHAnsi" w:cstheme="majorHAnsi"/>
          <w:sz w:val="23"/>
          <w:szCs w:val="23"/>
        </w:rPr>
        <w:t>e</w:t>
      </w:r>
      <w:r w:rsidR="00606361">
        <w:rPr>
          <w:rFonts w:asciiTheme="majorHAnsi" w:hAnsiTheme="majorHAnsi" w:cstheme="majorHAnsi"/>
          <w:sz w:val="23"/>
          <w:szCs w:val="23"/>
        </w:rPr>
        <w:t xml:space="preserve">s </w:t>
      </w:r>
      <w:r w:rsidRPr="00E91887">
        <w:rPr>
          <w:rFonts w:asciiTheme="majorHAnsi" w:hAnsiTheme="majorHAnsi" w:cstheme="majorHAnsi"/>
          <w:sz w:val="23"/>
          <w:szCs w:val="23"/>
        </w:rPr>
        <w:t xml:space="preserve">are extraordinary </w:t>
      </w:r>
      <w:r w:rsidR="00F00E3D" w:rsidRPr="00E91887">
        <w:rPr>
          <w:rFonts w:asciiTheme="majorHAnsi" w:hAnsiTheme="majorHAnsi" w:cstheme="majorHAnsi"/>
          <w:sz w:val="23"/>
          <w:szCs w:val="23"/>
        </w:rPr>
        <w:t>(</w:t>
      </w:r>
      <w:r w:rsidR="00877936">
        <w:rPr>
          <w:rFonts w:asciiTheme="majorHAnsi" w:hAnsiTheme="majorHAnsi" w:cstheme="majorHAnsi"/>
          <w:sz w:val="23"/>
          <w:szCs w:val="23"/>
        </w:rPr>
        <w:t xml:space="preserve">around </w:t>
      </w:r>
      <w:r w:rsidR="00F00E3D" w:rsidRPr="00E91887">
        <w:rPr>
          <w:rFonts w:asciiTheme="majorHAnsi" w:hAnsiTheme="majorHAnsi" w:cstheme="majorHAnsi"/>
          <w:sz w:val="23"/>
          <w:szCs w:val="23"/>
        </w:rPr>
        <w:t>twice Victoria</w:t>
      </w:r>
      <w:r w:rsidR="00606361">
        <w:rPr>
          <w:rFonts w:asciiTheme="majorHAnsi" w:hAnsiTheme="majorHAnsi" w:cstheme="majorHAnsi"/>
          <w:sz w:val="23"/>
          <w:szCs w:val="23"/>
        </w:rPr>
        <w:t>’s rates</w:t>
      </w:r>
      <w:r w:rsidR="00F00E3D" w:rsidRPr="00E91887">
        <w:rPr>
          <w:rFonts w:asciiTheme="majorHAnsi" w:hAnsiTheme="majorHAnsi" w:cstheme="majorHAnsi"/>
          <w:sz w:val="23"/>
          <w:szCs w:val="23"/>
        </w:rPr>
        <w:t xml:space="preserve">). But the most dramatic figures relate to domestic violence and associated </w:t>
      </w:r>
      <w:r w:rsidR="00877936">
        <w:rPr>
          <w:rFonts w:asciiTheme="majorHAnsi" w:hAnsiTheme="majorHAnsi" w:cstheme="majorHAnsi"/>
          <w:sz w:val="23"/>
          <w:szCs w:val="23"/>
        </w:rPr>
        <w:t>crimes</w:t>
      </w:r>
      <w:r w:rsidR="00F00E3D" w:rsidRPr="00E91887">
        <w:rPr>
          <w:rFonts w:asciiTheme="majorHAnsi" w:hAnsiTheme="majorHAnsi" w:cstheme="majorHAnsi"/>
          <w:sz w:val="23"/>
          <w:szCs w:val="23"/>
        </w:rPr>
        <w:t xml:space="preserve">, such as </w:t>
      </w:r>
      <w:r w:rsidR="00877936">
        <w:rPr>
          <w:rFonts w:asciiTheme="majorHAnsi" w:hAnsiTheme="majorHAnsi" w:cstheme="majorHAnsi"/>
          <w:sz w:val="23"/>
          <w:szCs w:val="23"/>
        </w:rPr>
        <w:t>b</w:t>
      </w:r>
      <w:r w:rsidR="00F00E3D" w:rsidRPr="00E91887">
        <w:rPr>
          <w:rFonts w:asciiTheme="majorHAnsi" w:hAnsiTheme="majorHAnsi" w:cstheme="majorHAnsi"/>
          <w:sz w:val="23"/>
          <w:szCs w:val="23"/>
        </w:rPr>
        <w:t>reaching a Family Violence Order</w:t>
      </w:r>
      <w:r w:rsidR="00A0292D">
        <w:rPr>
          <w:rFonts w:asciiTheme="majorHAnsi" w:hAnsiTheme="majorHAnsi" w:cstheme="majorHAnsi"/>
          <w:sz w:val="23"/>
          <w:szCs w:val="23"/>
        </w:rPr>
        <w:t>. Alarmingly,</w:t>
      </w:r>
      <w:r w:rsidR="00F00E3D" w:rsidRPr="00E91887">
        <w:rPr>
          <w:rFonts w:asciiTheme="majorHAnsi" w:hAnsiTheme="majorHAnsi" w:cstheme="majorHAnsi"/>
          <w:sz w:val="23"/>
          <w:szCs w:val="23"/>
        </w:rPr>
        <w:t xml:space="preserve"> </w:t>
      </w:r>
      <w:r w:rsidR="00A0292D">
        <w:rPr>
          <w:rFonts w:asciiTheme="majorHAnsi" w:hAnsiTheme="majorHAnsi" w:cstheme="majorHAnsi"/>
          <w:sz w:val="23"/>
          <w:szCs w:val="23"/>
        </w:rPr>
        <w:t>these figures</w:t>
      </w:r>
      <w:r w:rsidR="00F00E3D" w:rsidRPr="00E91887">
        <w:rPr>
          <w:rFonts w:asciiTheme="majorHAnsi" w:hAnsiTheme="majorHAnsi" w:cstheme="majorHAnsi"/>
          <w:sz w:val="23"/>
          <w:szCs w:val="23"/>
        </w:rPr>
        <w:t xml:space="preserve"> range from twice to five times the Victorian rates</w:t>
      </w:r>
      <w:r w:rsidR="00A0292D">
        <w:rPr>
          <w:rFonts w:asciiTheme="majorHAnsi" w:hAnsiTheme="majorHAnsi" w:cstheme="majorHAnsi"/>
          <w:sz w:val="23"/>
          <w:szCs w:val="23"/>
        </w:rPr>
        <w:t>.</w:t>
      </w:r>
      <w:r w:rsidR="00F00E3D" w:rsidRPr="00E91887">
        <w:rPr>
          <w:rFonts w:asciiTheme="majorHAnsi" w:hAnsiTheme="majorHAnsi" w:cstheme="majorHAnsi"/>
          <w:sz w:val="23"/>
          <w:szCs w:val="23"/>
        </w:rPr>
        <w:t xml:space="preserve"> </w:t>
      </w:r>
      <w:r w:rsidR="001E4834">
        <w:rPr>
          <w:rFonts w:asciiTheme="majorHAnsi" w:hAnsiTheme="majorHAnsi" w:cstheme="majorHAnsi"/>
          <w:sz w:val="23"/>
          <w:szCs w:val="23"/>
        </w:rPr>
        <w:t>Domestic violence is clearly a</w:t>
      </w:r>
      <w:r w:rsidR="004670E0">
        <w:rPr>
          <w:rFonts w:asciiTheme="majorHAnsi" w:hAnsiTheme="majorHAnsi" w:cstheme="majorHAnsi"/>
          <w:sz w:val="23"/>
          <w:szCs w:val="23"/>
        </w:rPr>
        <w:t xml:space="preserve"> problem</w:t>
      </w:r>
      <w:r w:rsidR="00A0292D">
        <w:rPr>
          <w:rFonts w:asciiTheme="majorHAnsi" w:hAnsiTheme="majorHAnsi" w:cstheme="majorHAnsi"/>
          <w:sz w:val="23"/>
          <w:szCs w:val="23"/>
        </w:rPr>
        <w:t xml:space="preserve"> that</w:t>
      </w:r>
      <w:r w:rsidR="00F00E3D" w:rsidRPr="00E91887">
        <w:rPr>
          <w:rFonts w:asciiTheme="majorHAnsi" w:hAnsiTheme="majorHAnsi" w:cstheme="majorHAnsi"/>
          <w:sz w:val="23"/>
          <w:szCs w:val="23"/>
        </w:rPr>
        <w:t xml:space="preserve"> </w:t>
      </w:r>
      <w:r w:rsidR="00F40734">
        <w:rPr>
          <w:rFonts w:asciiTheme="majorHAnsi" w:hAnsiTheme="majorHAnsi" w:cstheme="majorHAnsi"/>
          <w:sz w:val="23"/>
          <w:szCs w:val="23"/>
        </w:rPr>
        <w:t>demands</w:t>
      </w:r>
      <w:r w:rsidR="00F00E3D" w:rsidRPr="00E91887">
        <w:rPr>
          <w:rFonts w:asciiTheme="majorHAnsi" w:hAnsiTheme="majorHAnsi" w:cstheme="majorHAnsi"/>
          <w:sz w:val="23"/>
          <w:szCs w:val="23"/>
        </w:rPr>
        <w:t xml:space="preserve"> serious intervention</w:t>
      </w:r>
      <w:r w:rsidR="00F40734">
        <w:rPr>
          <w:rFonts w:asciiTheme="majorHAnsi" w:hAnsiTheme="majorHAnsi" w:cstheme="majorHAnsi"/>
          <w:sz w:val="23"/>
          <w:szCs w:val="23"/>
        </w:rPr>
        <w:t xml:space="preserve"> in all three localities</w:t>
      </w:r>
      <w:r w:rsidR="00F00E3D" w:rsidRPr="00E91887">
        <w:rPr>
          <w:rFonts w:asciiTheme="majorHAnsi" w:hAnsiTheme="majorHAnsi" w:cstheme="majorHAnsi"/>
          <w:sz w:val="23"/>
          <w:szCs w:val="23"/>
        </w:rPr>
        <w:t xml:space="preserve">. </w:t>
      </w:r>
      <w:r w:rsidR="00205FF7">
        <w:rPr>
          <w:rFonts w:asciiTheme="majorHAnsi" w:hAnsiTheme="majorHAnsi" w:cstheme="majorHAnsi"/>
          <w:sz w:val="23"/>
          <w:szCs w:val="23"/>
        </w:rPr>
        <w:t xml:space="preserve">For </w:t>
      </w:r>
      <w:r w:rsidR="00F00E3D" w:rsidRPr="00E91887">
        <w:rPr>
          <w:rFonts w:asciiTheme="majorHAnsi" w:hAnsiTheme="majorHAnsi" w:cstheme="majorHAnsi"/>
          <w:sz w:val="23"/>
          <w:szCs w:val="23"/>
        </w:rPr>
        <w:t xml:space="preserve">the women and children </w:t>
      </w:r>
      <w:r w:rsidR="00F40734">
        <w:rPr>
          <w:rFonts w:asciiTheme="majorHAnsi" w:hAnsiTheme="majorHAnsi" w:cstheme="majorHAnsi"/>
          <w:sz w:val="23"/>
          <w:szCs w:val="23"/>
        </w:rPr>
        <w:t>affected</w:t>
      </w:r>
      <w:r w:rsidR="00F00E3D" w:rsidRPr="00E91887">
        <w:rPr>
          <w:rFonts w:asciiTheme="majorHAnsi" w:hAnsiTheme="majorHAnsi" w:cstheme="majorHAnsi"/>
          <w:sz w:val="23"/>
          <w:szCs w:val="23"/>
        </w:rPr>
        <w:t>,</w:t>
      </w:r>
      <w:r w:rsidR="00205FF7" w:rsidRPr="00205FF7">
        <w:rPr>
          <w:rFonts w:asciiTheme="majorHAnsi" w:hAnsiTheme="majorHAnsi" w:cstheme="majorHAnsi"/>
          <w:sz w:val="23"/>
          <w:szCs w:val="23"/>
        </w:rPr>
        <w:t xml:space="preserve"> </w:t>
      </w:r>
      <w:r w:rsidR="00AE603B">
        <w:rPr>
          <w:rFonts w:asciiTheme="majorHAnsi" w:hAnsiTheme="majorHAnsi" w:cstheme="majorHAnsi"/>
          <w:sz w:val="23"/>
          <w:szCs w:val="23"/>
        </w:rPr>
        <w:t>these disturbing figures are</w:t>
      </w:r>
      <w:r w:rsidR="00205FF7">
        <w:rPr>
          <w:rFonts w:asciiTheme="majorHAnsi" w:hAnsiTheme="majorHAnsi" w:cstheme="majorHAnsi"/>
          <w:sz w:val="23"/>
          <w:szCs w:val="23"/>
        </w:rPr>
        <w:t xml:space="preserve"> not merely a</w:t>
      </w:r>
      <w:r w:rsidR="00205FF7" w:rsidRPr="00E91887">
        <w:rPr>
          <w:rFonts w:asciiTheme="majorHAnsi" w:hAnsiTheme="majorHAnsi" w:cstheme="majorHAnsi"/>
          <w:sz w:val="23"/>
          <w:szCs w:val="23"/>
        </w:rPr>
        <w:t xml:space="preserve"> symptom of </w:t>
      </w:r>
      <w:r w:rsidR="00AE603B">
        <w:rPr>
          <w:rFonts w:asciiTheme="majorHAnsi" w:hAnsiTheme="majorHAnsi" w:cstheme="majorHAnsi"/>
          <w:sz w:val="23"/>
          <w:szCs w:val="23"/>
        </w:rPr>
        <w:t xml:space="preserve">localised </w:t>
      </w:r>
      <w:r w:rsidR="00205FF7" w:rsidRPr="00E91887">
        <w:rPr>
          <w:rFonts w:asciiTheme="majorHAnsi" w:hAnsiTheme="majorHAnsi" w:cstheme="majorHAnsi"/>
          <w:sz w:val="23"/>
          <w:szCs w:val="23"/>
        </w:rPr>
        <w:t>disadvantage</w:t>
      </w:r>
      <w:r w:rsidR="00842644">
        <w:rPr>
          <w:rFonts w:asciiTheme="majorHAnsi" w:hAnsiTheme="majorHAnsi" w:cstheme="majorHAnsi"/>
          <w:sz w:val="23"/>
          <w:szCs w:val="23"/>
        </w:rPr>
        <w:t>, but pose</w:t>
      </w:r>
      <w:r w:rsidR="00205FF7">
        <w:rPr>
          <w:rFonts w:asciiTheme="majorHAnsi" w:hAnsiTheme="majorHAnsi" w:cstheme="majorHAnsi"/>
          <w:sz w:val="23"/>
          <w:szCs w:val="23"/>
        </w:rPr>
        <w:t xml:space="preserve"> a very real</w:t>
      </w:r>
      <w:r w:rsidR="008C3E10">
        <w:rPr>
          <w:rFonts w:asciiTheme="majorHAnsi" w:hAnsiTheme="majorHAnsi" w:cstheme="majorHAnsi"/>
          <w:sz w:val="23"/>
          <w:szCs w:val="23"/>
        </w:rPr>
        <w:t xml:space="preserve"> </w:t>
      </w:r>
      <w:r w:rsidR="00842644">
        <w:rPr>
          <w:rFonts w:asciiTheme="majorHAnsi" w:hAnsiTheme="majorHAnsi" w:cstheme="majorHAnsi"/>
          <w:sz w:val="23"/>
          <w:szCs w:val="23"/>
        </w:rPr>
        <w:t>threat</w:t>
      </w:r>
      <w:r w:rsidR="008C3E10">
        <w:rPr>
          <w:rFonts w:asciiTheme="majorHAnsi" w:hAnsiTheme="majorHAnsi" w:cstheme="majorHAnsi"/>
          <w:sz w:val="23"/>
          <w:szCs w:val="23"/>
        </w:rPr>
        <w:t xml:space="preserve"> to wellbeing, health, and potentially life</w:t>
      </w:r>
      <w:r w:rsidR="00F00E3D" w:rsidRPr="00E91887">
        <w:rPr>
          <w:rFonts w:asciiTheme="majorHAnsi" w:hAnsiTheme="majorHAnsi" w:cstheme="majorHAnsi"/>
          <w:sz w:val="23"/>
          <w:szCs w:val="23"/>
        </w:rPr>
        <w:t>.</w:t>
      </w:r>
    </w:p>
    <w:tbl>
      <w:tblPr>
        <w:tblStyle w:val="TableGrid"/>
        <w:tblW w:w="0" w:type="auto"/>
        <w:tblInd w:w="-5" w:type="dxa"/>
        <w:tblLayout w:type="fixed"/>
        <w:tblLook w:val="04A0" w:firstRow="1" w:lastRow="0" w:firstColumn="1" w:lastColumn="0" w:noHBand="0" w:noVBand="1"/>
      </w:tblPr>
      <w:tblGrid>
        <w:gridCol w:w="3046"/>
        <w:gridCol w:w="1383"/>
        <w:gridCol w:w="1247"/>
        <w:gridCol w:w="1246"/>
        <w:gridCol w:w="1246"/>
        <w:gridCol w:w="1233"/>
      </w:tblGrid>
      <w:tr w:rsidR="008A203D" w:rsidRPr="008A203D" w14:paraId="33B12A9F" w14:textId="77777777" w:rsidTr="008A203D">
        <w:trPr>
          <w:trHeight w:val="580"/>
        </w:trPr>
        <w:tc>
          <w:tcPr>
            <w:tcW w:w="3046" w:type="dxa"/>
            <w:shd w:val="clear" w:color="auto" w:fill="D0CECE" w:themeFill="background2" w:themeFillShade="E6"/>
            <w:vAlign w:val="center"/>
          </w:tcPr>
          <w:p w14:paraId="00991BEB" w14:textId="69307B45" w:rsidR="004563B2" w:rsidRPr="008A203D" w:rsidRDefault="00F00E3D" w:rsidP="00E871CF">
            <w:pPr>
              <w:spacing w:after="0" w:line="240" w:lineRule="auto"/>
              <w:rPr>
                <w:rFonts w:cstheme="minorHAnsi"/>
                <w:b/>
                <w:bCs/>
                <w:sz w:val="21"/>
                <w:szCs w:val="21"/>
              </w:rPr>
            </w:pPr>
            <w:r w:rsidRPr="008A203D">
              <w:rPr>
                <w:rFonts w:cstheme="minorHAnsi"/>
                <w:b/>
                <w:bCs/>
                <w:sz w:val="21"/>
                <w:szCs w:val="21"/>
              </w:rPr>
              <w:t>Offence</w:t>
            </w:r>
          </w:p>
        </w:tc>
        <w:tc>
          <w:tcPr>
            <w:tcW w:w="2630" w:type="dxa"/>
            <w:gridSpan w:val="2"/>
            <w:shd w:val="clear" w:color="auto" w:fill="D0CECE" w:themeFill="background2" w:themeFillShade="E6"/>
            <w:vAlign w:val="center"/>
          </w:tcPr>
          <w:p w14:paraId="3FF1FA6F" w14:textId="38613DD7" w:rsidR="004D3880" w:rsidRPr="008A203D" w:rsidRDefault="00F00E3D" w:rsidP="00E871CF">
            <w:pPr>
              <w:spacing w:after="0" w:line="240" w:lineRule="auto"/>
              <w:jc w:val="center"/>
              <w:rPr>
                <w:rFonts w:cstheme="minorHAnsi"/>
                <w:b/>
                <w:bCs/>
                <w:sz w:val="21"/>
                <w:szCs w:val="21"/>
              </w:rPr>
            </w:pPr>
            <w:r w:rsidRPr="008A203D">
              <w:rPr>
                <w:rFonts w:cstheme="minorHAnsi"/>
                <w:b/>
                <w:bCs/>
                <w:sz w:val="21"/>
                <w:szCs w:val="21"/>
              </w:rPr>
              <w:t>Corio-Norlane (3214)</w:t>
            </w:r>
          </w:p>
        </w:tc>
        <w:tc>
          <w:tcPr>
            <w:tcW w:w="2492" w:type="dxa"/>
            <w:gridSpan w:val="2"/>
            <w:shd w:val="clear" w:color="auto" w:fill="D0CECE" w:themeFill="background2" w:themeFillShade="E6"/>
            <w:vAlign w:val="center"/>
          </w:tcPr>
          <w:p w14:paraId="365FFBCA" w14:textId="5C07137A" w:rsidR="00F00E3D" w:rsidRPr="008A203D" w:rsidRDefault="00F00E3D" w:rsidP="00E871CF">
            <w:pPr>
              <w:spacing w:after="0" w:line="240" w:lineRule="auto"/>
              <w:jc w:val="center"/>
              <w:rPr>
                <w:rFonts w:cstheme="minorHAnsi"/>
                <w:b/>
                <w:bCs/>
                <w:sz w:val="21"/>
                <w:szCs w:val="21"/>
              </w:rPr>
            </w:pPr>
            <w:r w:rsidRPr="008A203D">
              <w:rPr>
                <w:rFonts w:cstheme="minorHAnsi"/>
                <w:b/>
                <w:bCs/>
                <w:sz w:val="21"/>
                <w:szCs w:val="21"/>
              </w:rPr>
              <w:t>Whittington</w:t>
            </w:r>
            <w:r w:rsidR="009746B7" w:rsidRPr="008A203D">
              <w:rPr>
                <w:rFonts w:cstheme="minorHAnsi"/>
                <w:b/>
                <w:bCs/>
                <w:sz w:val="21"/>
                <w:szCs w:val="21"/>
              </w:rPr>
              <w:t xml:space="preserve"> </w:t>
            </w:r>
            <w:r w:rsidRPr="008A203D">
              <w:rPr>
                <w:rFonts w:cstheme="minorHAnsi"/>
                <w:b/>
                <w:bCs/>
                <w:sz w:val="21"/>
                <w:szCs w:val="21"/>
              </w:rPr>
              <w:t>(</w:t>
            </w:r>
            <w:r w:rsidR="00524398">
              <w:rPr>
                <w:rFonts w:cstheme="minorHAnsi"/>
                <w:b/>
                <w:bCs/>
                <w:sz w:val="21"/>
                <w:szCs w:val="21"/>
              </w:rPr>
              <w:t>*</w:t>
            </w:r>
            <w:r w:rsidRPr="008A203D">
              <w:rPr>
                <w:rFonts w:cstheme="minorHAnsi"/>
                <w:b/>
                <w:bCs/>
                <w:sz w:val="21"/>
                <w:szCs w:val="21"/>
              </w:rPr>
              <w:t>3219)</w:t>
            </w:r>
          </w:p>
        </w:tc>
        <w:tc>
          <w:tcPr>
            <w:tcW w:w="1233" w:type="dxa"/>
            <w:shd w:val="clear" w:color="auto" w:fill="D0CECE" w:themeFill="background2" w:themeFillShade="E6"/>
            <w:vAlign w:val="center"/>
          </w:tcPr>
          <w:p w14:paraId="1B4B52B8" w14:textId="4DE82D25" w:rsidR="00F00E3D" w:rsidRPr="008A203D" w:rsidRDefault="00F00E3D" w:rsidP="00E871CF">
            <w:pPr>
              <w:spacing w:after="0" w:line="240" w:lineRule="auto"/>
              <w:jc w:val="center"/>
              <w:rPr>
                <w:rFonts w:cstheme="minorHAnsi"/>
                <w:b/>
                <w:bCs/>
                <w:sz w:val="21"/>
                <w:szCs w:val="21"/>
              </w:rPr>
            </w:pPr>
            <w:r w:rsidRPr="008A203D">
              <w:rPr>
                <w:rFonts w:cstheme="minorHAnsi"/>
                <w:b/>
                <w:bCs/>
                <w:sz w:val="21"/>
                <w:szCs w:val="21"/>
              </w:rPr>
              <w:t>Victoria</w:t>
            </w:r>
          </w:p>
        </w:tc>
      </w:tr>
      <w:tr w:rsidR="008A203D" w:rsidRPr="008A203D" w14:paraId="4D8ABE13" w14:textId="77777777" w:rsidTr="008A203D">
        <w:trPr>
          <w:trHeight w:val="428"/>
        </w:trPr>
        <w:tc>
          <w:tcPr>
            <w:tcW w:w="3046" w:type="dxa"/>
          </w:tcPr>
          <w:p w14:paraId="2EBCDE12" w14:textId="4D57CE04" w:rsidR="00F00E3D" w:rsidRPr="008A203D" w:rsidRDefault="00E871CF" w:rsidP="00524398">
            <w:pPr>
              <w:spacing w:line="240" w:lineRule="auto"/>
              <w:rPr>
                <w:rFonts w:asciiTheme="majorHAnsi" w:hAnsiTheme="majorHAnsi" w:cstheme="majorHAnsi"/>
                <w:sz w:val="21"/>
                <w:szCs w:val="21"/>
              </w:rPr>
            </w:pPr>
            <w:r w:rsidRPr="008A203D">
              <w:rPr>
                <w:rFonts w:cstheme="minorHAnsi"/>
                <w:sz w:val="21"/>
                <w:szCs w:val="21"/>
              </w:rPr>
              <w:t>(All rates are per/100,000 &gt;&gt;)</w:t>
            </w:r>
          </w:p>
        </w:tc>
        <w:tc>
          <w:tcPr>
            <w:tcW w:w="1383" w:type="dxa"/>
            <w:vAlign w:val="center"/>
          </w:tcPr>
          <w:p w14:paraId="1EA016E2" w14:textId="76582CDB" w:rsidR="00F00E3D" w:rsidRPr="008A203D" w:rsidRDefault="009746B7" w:rsidP="00524398">
            <w:pPr>
              <w:spacing w:line="240" w:lineRule="auto"/>
              <w:jc w:val="right"/>
              <w:rPr>
                <w:rFonts w:asciiTheme="majorHAnsi" w:hAnsiTheme="majorHAnsi" w:cstheme="majorHAnsi"/>
                <w:sz w:val="21"/>
                <w:szCs w:val="21"/>
              </w:rPr>
            </w:pPr>
            <w:r w:rsidRPr="008A203D">
              <w:rPr>
                <w:rFonts w:cstheme="minorHAnsi"/>
                <w:b/>
                <w:bCs/>
                <w:sz w:val="21"/>
                <w:szCs w:val="21"/>
              </w:rPr>
              <w:t>Number</w:t>
            </w:r>
          </w:p>
        </w:tc>
        <w:tc>
          <w:tcPr>
            <w:tcW w:w="1246" w:type="dxa"/>
            <w:vAlign w:val="center"/>
          </w:tcPr>
          <w:p w14:paraId="7E9A945F" w14:textId="2D1AAE0B" w:rsidR="00F00E3D" w:rsidRPr="008A203D" w:rsidRDefault="009746B7" w:rsidP="00524398">
            <w:pPr>
              <w:spacing w:line="240" w:lineRule="auto"/>
              <w:jc w:val="right"/>
              <w:rPr>
                <w:rFonts w:asciiTheme="majorHAnsi" w:hAnsiTheme="majorHAnsi" w:cstheme="majorHAnsi"/>
                <w:sz w:val="21"/>
                <w:szCs w:val="21"/>
              </w:rPr>
            </w:pPr>
            <w:r w:rsidRPr="008A203D">
              <w:rPr>
                <w:rFonts w:cstheme="minorHAnsi"/>
                <w:b/>
                <w:bCs/>
                <w:sz w:val="21"/>
                <w:szCs w:val="21"/>
              </w:rPr>
              <w:t>Rate</w:t>
            </w:r>
          </w:p>
        </w:tc>
        <w:tc>
          <w:tcPr>
            <w:tcW w:w="1246" w:type="dxa"/>
            <w:vAlign w:val="center"/>
          </w:tcPr>
          <w:p w14:paraId="0B3AEA2A" w14:textId="77A0617F" w:rsidR="00F00E3D" w:rsidRPr="008A203D" w:rsidRDefault="009746B7" w:rsidP="00524398">
            <w:pPr>
              <w:spacing w:line="240" w:lineRule="auto"/>
              <w:jc w:val="right"/>
              <w:rPr>
                <w:rFonts w:asciiTheme="majorHAnsi" w:hAnsiTheme="majorHAnsi" w:cstheme="majorHAnsi"/>
                <w:sz w:val="21"/>
                <w:szCs w:val="21"/>
              </w:rPr>
            </w:pPr>
            <w:r w:rsidRPr="008A203D">
              <w:rPr>
                <w:rFonts w:cstheme="minorHAnsi"/>
                <w:b/>
                <w:bCs/>
                <w:sz w:val="21"/>
                <w:szCs w:val="21"/>
              </w:rPr>
              <w:t>Number</w:t>
            </w:r>
          </w:p>
        </w:tc>
        <w:tc>
          <w:tcPr>
            <w:tcW w:w="1246" w:type="dxa"/>
            <w:vAlign w:val="center"/>
          </w:tcPr>
          <w:p w14:paraId="6E36053A" w14:textId="21E05A96" w:rsidR="00F00E3D" w:rsidRPr="008A203D" w:rsidRDefault="009746B7" w:rsidP="00524398">
            <w:pPr>
              <w:spacing w:line="240" w:lineRule="auto"/>
              <w:jc w:val="right"/>
              <w:rPr>
                <w:rFonts w:asciiTheme="majorHAnsi" w:hAnsiTheme="majorHAnsi" w:cstheme="majorHAnsi"/>
                <w:sz w:val="21"/>
                <w:szCs w:val="21"/>
              </w:rPr>
            </w:pPr>
            <w:r w:rsidRPr="008A203D">
              <w:rPr>
                <w:rFonts w:cstheme="minorHAnsi"/>
                <w:b/>
                <w:bCs/>
                <w:sz w:val="21"/>
                <w:szCs w:val="21"/>
              </w:rPr>
              <w:t>Rate</w:t>
            </w:r>
          </w:p>
        </w:tc>
        <w:tc>
          <w:tcPr>
            <w:tcW w:w="1233" w:type="dxa"/>
            <w:vAlign w:val="center"/>
          </w:tcPr>
          <w:p w14:paraId="29737636" w14:textId="480E7C4E" w:rsidR="00F00E3D" w:rsidRPr="008A203D" w:rsidRDefault="00B25E89" w:rsidP="00524398">
            <w:pPr>
              <w:spacing w:line="240" w:lineRule="auto"/>
              <w:jc w:val="right"/>
              <w:rPr>
                <w:rFonts w:cstheme="minorHAnsi"/>
                <w:b/>
                <w:bCs/>
                <w:sz w:val="21"/>
                <w:szCs w:val="21"/>
              </w:rPr>
            </w:pPr>
            <w:r w:rsidRPr="008A203D">
              <w:rPr>
                <w:rFonts w:cstheme="minorHAnsi"/>
                <w:b/>
                <w:bCs/>
                <w:sz w:val="21"/>
                <w:szCs w:val="21"/>
              </w:rPr>
              <w:t>Rate</w:t>
            </w:r>
          </w:p>
        </w:tc>
      </w:tr>
      <w:tr w:rsidR="00F9303F" w:rsidRPr="008A203D" w14:paraId="59886DCE" w14:textId="77777777" w:rsidTr="008A203D">
        <w:trPr>
          <w:trHeight w:val="428"/>
        </w:trPr>
        <w:tc>
          <w:tcPr>
            <w:tcW w:w="3046" w:type="dxa"/>
          </w:tcPr>
          <w:p w14:paraId="542DE9C3" w14:textId="79504F19" w:rsidR="009746B7" w:rsidRPr="008A203D" w:rsidRDefault="009746B7" w:rsidP="00524398">
            <w:pPr>
              <w:spacing w:line="240" w:lineRule="auto"/>
              <w:rPr>
                <w:rFonts w:asciiTheme="majorHAnsi" w:hAnsiTheme="majorHAnsi" w:cstheme="majorHAnsi"/>
                <w:sz w:val="21"/>
                <w:szCs w:val="21"/>
              </w:rPr>
            </w:pPr>
            <w:r w:rsidRPr="008A203D">
              <w:rPr>
                <w:rFonts w:asciiTheme="majorHAnsi" w:hAnsiTheme="majorHAnsi" w:cstheme="majorHAnsi"/>
                <w:sz w:val="21"/>
                <w:szCs w:val="21"/>
              </w:rPr>
              <w:t>Burglary/Break and enter</w:t>
            </w:r>
          </w:p>
        </w:tc>
        <w:tc>
          <w:tcPr>
            <w:tcW w:w="1383" w:type="dxa"/>
          </w:tcPr>
          <w:p w14:paraId="006DCF5C" w14:textId="77777777" w:rsidR="009746B7" w:rsidRPr="008A203D" w:rsidRDefault="009746B7"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344</w:t>
            </w:r>
          </w:p>
        </w:tc>
        <w:tc>
          <w:tcPr>
            <w:tcW w:w="1246" w:type="dxa"/>
          </w:tcPr>
          <w:p w14:paraId="0FB8B705" w14:textId="77777777" w:rsidR="009746B7" w:rsidRPr="008A203D" w:rsidRDefault="009746B7"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1417.39</w:t>
            </w:r>
          </w:p>
        </w:tc>
        <w:tc>
          <w:tcPr>
            <w:tcW w:w="1246" w:type="dxa"/>
          </w:tcPr>
          <w:p w14:paraId="3C51EFF1" w14:textId="77777777" w:rsidR="009746B7" w:rsidRPr="008A203D" w:rsidRDefault="009746B7"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246</w:t>
            </w:r>
          </w:p>
        </w:tc>
        <w:tc>
          <w:tcPr>
            <w:tcW w:w="1246" w:type="dxa"/>
          </w:tcPr>
          <w:p w14:paraId="2E6ECD93" w14:textId="77777777" w:rsidR="009746B7" w:rsidRPr="008A203D" w:rsidRDefault="009746B7"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1260.31</w:t>
            </w:r>
          </w:p>
        </w:tc>
        <w:tc>
          <w:tcPr>
            <w:tcW w:w="1233" w:type="dxa"/>
          </w:tcPr>
          <w:p w14:paraId="6BD15A77" w14:textId="77777777" w:rsidR="009746B7" w:rsidRPr="008A203D" w:rsidRDefault="009746B7"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655.25</w:t>
            </w:r>
          </w:p>
        </w:tc>
      </w:tr>
      <w:tr w:rsidR="008A203D" w:rsidRPr="008A203D" w14:paraId="7DA396D7" w14:textId="77777777" w:rsidTr="008A203D">
        <w:trPr>
          <w:trHeight w:val="428"/>
        </w:trPr>
        <w:tc>
          <w:tcPr>
            <w:tcW w:w="3046" w:type="dxa"/>
          </w:tcPr>
          <w:p w14:paraId="5EAAAB2E" w14:textId="77777777" w:rsidR="00F00E3D" w:rsidRPr="008A203D" w:rsidRDefault="00F00E3D" w:rsidP="00524398">
            <w:pPr>
              <w:spacing w:line="240" w:lineRule="auto"/>
              <w:rPr>
                <w:rFonts w:asciiTheme="majorHAnsi" w:hAnsiTheme="majorHAnsi" w:cstheme="majorHAnsi"/>
                <w:sz w:val="21"/>
                <w:szCs w:val="21"/>
              </w:rPr>
            </w:pPr>
            <w:r w:rsidRPr="008A203D">
              <w:rPr>
                <w:rFonts w:asciiTheme="majorHAnsi" w:hAnsiTheme="majorHAnsi" w:cstheme="majorHAnsi"/>
                <w:sz w:val="21"/>
                <w:szCs w:val="21"/>
              </w:rPr>
              <w:t>Motor vehicle theft</w:t>
            </w:r>
          </w:p>
        </w:tc>
        <w:tc>
          <w:tcPr>
            <w:tcW w:w="1383" w:type="dxa"/>
          </w:tcPr>
          <w:p w14:paraId="5475DA1A"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122</w:t>
            </w:r>
          </w:p>
        </w:tc>
        <w:tc>
          <w:tcPr>
            <w:tcW w:w="1246" w:type="dxa"/>
          </w:tcPr>
          <w:p w14:paraId="483D01D8"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502.68</w:t>
            </w:r>
          </w:p>
        </w:tc>
        <w:tc>
          <w:tcPr>
            <w:tcW w:w="1246" w:type="dxa"/>
          </w:tcPr>
          <w:p w14:paraId="677C929C"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97</w:t>
            </w:r>
          </w:p>
        </w:tc>
        <w:tc>
          <w:tcPr>
            <w:tcW w:w="1246" w:type="dxa"/>
          </w:tcPr>
          <w:p w14:paraId="31114E07"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496.95</w:t>
            </w:r>
          </w:p>
        </w:tc>
        <w:tc>
          <w:tcPr>
            <w:tcW w:w="1233" w:type="dxa"/>
          </w:tcPr>
          <w:p w14:paraId="7FEB36D5"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324.04</w:t>
            </w:r>
          </w:p>
        </w:tc>
      </w:tr>
      <w:tr w:rsidR="008A203D" w:rsidRPr="008A203D" w14:paraId="758C43EC" w14:textId="77777777" w:rsidTr="008A203D">
        <w:trPr>
          <w:trHeight w:val="428"/>
        </w:trPr>
        <w:tc>
          <w:tcPr>
            <w:tcW w:w="3046" w:type="dxa"/>
          </w:tcPr>
          <w:p w14:paraId="07DEB3EA" w14:textId="2F4CD5B8" w:rsidR="00F00E3D" w:rsidRPr="008A203D" w:rsidRDefault="00F00E3D" w:rsidP="00524398">
            <w:pPr>
              <w:spacing w:line="240" w:lineRule="auto"/>
              <w:rPr>
                <w:rFonts w:asciiTheme="majorHAnsi" w:hAnsiTheme="majorHAnsi" w:cstheme="majorHAnsi"/>
                <w:sz w:val="21"/>
                <w:szCs w:val="21"/>
              </w:rPr>
            </w:pPr>
            <w:r w:rsidRPr="008A203D">
              <w:rPr>
                <w:rFonts w:asciiTheme="majorHAnsi" w:hAnsiTheme="majorHAnsi" w:cstheme="majorHAnsi"/>
                <w:sz w:val="21"/>
                <w:szCs w:val="21"/>
              </w:rPr>
              <w:t>Drug dealing/</w:t>
            </w:r>
            <w:r w:rsidR="009746B7" w:rsidRPr="008A203D">
              <w:rPr>
                <w:rFonts w:asciiTheme="majorHAnsi" w:hAnsiTheme="majorHAnsi" w:cstheme="majorHAnsi"/>
                <w:sz w:val="21"/>
                <w:szCs w:val="21"/>
              </w:rPr>
              <w:t>T</w:t>
            </w:r>
            <w:r w:rsidRPr="008A203D">
              <w:rPr>
                <w:rFonts w:asciiTheme="majorHAnsi" w:hAnsiTheme="majorHAnsi" w:cstheme="majorHAnsi"/>
                <w:sz w:val="21"/>
                <w:szCs w:val="21"/>
              </w:rPr>
              <w:t>rafficking</w:t>
            </w:r>
          </w:p>
        </w:tc>
        <w:tc>
          <w:tcPr>
            <w:tcW w:w="1383" w:type="dxa"/>
          </w:tcPr>
          <w:p w14:paraId="05A8CA97"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38</w:t>
            </w:r>
          </w:p>
        </w:tc>
        <w:tc>
          <w:tcPr>
            <w:tcW w:w="1246" w:type="dxa"/>
          </w:tcPr>
          <w:p w14:paraId="3770A745"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156.57</w:t>
            </w:r>
          </w:p>
        </w:tc>
        <w:tc>
          <w:tcPr>
            <w:tcW w:w="1246" w:type="dxa"/>
          </w:tcPr>
          <w:p w14:paraId="77CDE68B"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28</w:t>
            </w:r>
          </w:p>
        </w:tc>
        <w:tc>
          <w:tcPr>
            <w:tcW w:w="1246" w:type="dxa"/>
          </w:tcPr>
          <w:p w14:paraId="31125297"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143.45</w:t>
            </w:r>
          </w:p>
        </w:tc>
        <w:tc>
          <w:tcPr>
            <w:tcW w:w="1233" w:type="dxa"/>
          </w:tcPr>
          <w:p w14:paraId="26F73A82"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80.67</w:t>
            </w:r>
          </w:p>
        </w:tc>
      </w:tr>
      <w:tr w:rsidR="008A203D" w:rsidRPr="008A203D" w14:paraId="587156C5" w14:textId="77777777" w:rsidTr="008A203D">
        <w:trPr>
          <w:trHeight w:val="428"/>
        </w:trPr>
        <w:tc>
          <w:tcPr>
            <w:tcW w:w="3046" w:type="dxa"/>
          </w:tcPr>
          <w:p w14:paraId="2116A581" w14:textId="3E2AFE80" w:rsidR="00F00E3D" w:rsidRPr="008A203D" w:rsidRDefault="00F00E3D" w:rsidP="00524398">
            <w:pPr>
              <w:spacing w:line="240" w:lineRule="auto"/>
              <w:rPr>
                <w:rFonts w:asciiTheme="majorHAnsi" w:hAnsiTheme="majorHAnsi" w:cstheme="majorHAnsi"/>
                <w:sz w:val="21"/>
                <w:szCs w:val="21"/>
              </w:rPr>
            </w:pPr>
            <w:r w:rsidRPr="008A203D">
              <w:rPr>
                <w:rFonts w:asciiTheme="majorHAnsi" w:hAnsiTheme="majorHAnsi" w:cstheme="majorHAnsi"/>
                <w:sz w:val="21"/>
                <w:szCs w:val="21"/>
              </w:rPr>
              <w:t>Family violence</w:t>
            </w:r>
            <w:r w:rsidR="006812F7" w:rsidRPr="008A203D">
              <w:rPr>
                <w:rFonts w:asciiTheme="majorHAnsi" w:hAnsiTheme="majorHAnsi" w:cstheme="majorHAnsi"/>
                <w:sz w:val="21"/>
                <w:szCs w:val="21"/>
              </w:rPr>
              <w:t xml:space="preserve">: </w:t>
            </w:r>
            <w:r w:rsidR="009746B7" w:rsidRPr="008A203D">
              <w:rPr>
                <w:rFonts w:asciiTheme="majorHAnsi" w:hAnsiTheme="majorHAnsi" w:cstheme="majorHAnsi"/>
                <w:sz w:val="21"/>
                <w:szCs w:val="21"/>
              </w:rPr>
              <w:t>S</w:t>
            </w:r>
            <w:r w:rsidRPr="008A203D">
              <w:rPr>
                <w:rFonts w:asciiTheme="majorHAnsi" w:hAnsiTheme="majorHAnsi" w:cstheme="majorHAnsi"/>
                <w:sz w:val="21"/>
                <w:szCs w:val="21"/>
              </w:rPr>
              <w:t>erious assault</w:t>
            </w:r>
          </w:p>
        </w:tc>
        <w:tc>
          <w:tcPr>
            <w:tcW w:w="1383" w:type="dxa"/>
          </w:tcPr>
          <w:p w14:paraId="7CD80792"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145</w:t>
            </w:r>
          </w:p>
        </w:tc>
        <w:tc>
          <w:tcPr>
            <w:tcW w:w="1246" w:type="dxa"/>
          </w:tcPr>
          <w:p w14:paraId="06A777B6"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597.45</w:t>
            </w:r>
          </w:p>
        </w:tc>
        <w:tc>
          <w:tcPr>
            <w:tcW w:w="1246" w:type="dxa"/>
          </w:tcPr>
          <w:p w14:paraId="61A82468"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49</w:t>
            </w:r>
          </w:p>
        </w:tc>
        <w:tc>
          <w:tcPr>
            <w:tcW w:w="1246" w:type="dxa"/>
          </w:tcPr>
          <w:p w14:paraId="0A8998D4"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259.04</w:t>
            </w:r>
          </w:p>
        </w:tc>
        <w:tc>
          <w:tcPr>
            <w:tcW w:w="1233" w:type="dxa"/>
          </w:tcPr>
          <w:p w14:paraId="5BB8B7D5"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124.98</w:t>
            </w:r>
          </w:p>
        </w:tc>
      </w:tr>
      <w:tr w:rsidR="008A203D" w:rsidRPr="008A203D" w14:paraId="637A0BDA" w14:textId="77777777" w:rsidTr="008A203D">
        <w:trPr>
          <w:trHeight w:val="428"/>
        </w:trPr>
        <w:tc>
          <w:tcPr>
            <w:tcW w:w="3046" w:type="dxa"/>
          </w:tcPr>
          <w:p w14:paraId="0F1AAF18" w14:textId="45065EDB" w:rsidR="00F00E3D" w:rsidRPr="008A203D" w:rsidRDefault="00F00E3D" w:rsidP="00524398">
            <w:pPr>
              <w:spacing w:line="240" w:lineRule="auto"/>
              <w:rPr>
                <w:rFonts w:asciiTheme="majorHAnsi" w:hAnsiTheme="majorHAnsi" w:cstheme="majorHAnsi"/>
                <w:sz w:val="21"/>
                <w:szCs w:val="21"/>
              </w:rPr>
            </w:pPr>
            <w:r w:rsidRPr="008A203D">
              <w:rPr>
                <w:rFonts w:asciiTheme="majorHAnsi" w:hAnsiTheme="majorHAnsi" w:cstheme="majorHAnsi"/>
                <w:sz w:val="21"/>
                <w:szCs w:val="21"/>
              </w:rPr>
              <w:t>FV</w:t>
            </w:r>
            <w:r w:rsidR="006812F7" w:rsidRPr="008A203D">
              <w:rPr>
                <w:rFonts w:asciiTheme="majorHAnsi" w:hAnsiTheme="majorHAnsi" w:cstheme="majorHAnsi"/>
                <w:sz w:val="21"/>
                <w:szCs w:val="21"/>
              </w:rPr>
              <w:t xml:space="preserve">: </w:t>
            </w:r>
            <w:r w:rsidR="009746B7" w:rsidRPr="008A203D">
              <w:rPr>
                <w:rFonts w:asciiTheme="majorHAnsi" w:hAnsiTheme="majorHAnsi" w:cstheme="majorHAnsi"/>
                <w:sz w:val="21"/>
                <w:szCs w:val="21"/>
              </w:rPr>
              <w:t>T</w:t>
            </w:r>
            <w:r w:rsidRPr="008A203D">
              <w:rPr>
                <w:rFonts w:asciiTheme="majorHAnsi" w:hAnsiTheme="majorHAnsi" w:cstheme="majorHAnsi"/>
                <w:sz w:val="21"/>
                <w:szCs w:val="21"/>
              </w:rPr>
              <w:t>hreatening behaviour</w:t>
            </w:r>
          </w:p>
        </w:tc>
        <w:tc>
          <w:tcPr>
            <w:tcW w:w="1383" w:type="dxa"/>
          </w:tcPr>
          <w:p w14:paraId="0DBBD1F0"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63</w:t>
            </w:r>
          </w:p>
        </w:tc>
        <w:tc>
          <w:tcPr>
            <w:tcW w:w="1246" w:type="dxa"/>
          </w:tcPr>
          <w:p w14:paraId="797189B9"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259.58</w:t>
            </w:r>
          </w:p>
        </w:tc>
        <w:tc>
          <w:tcPr>
            <w:tcW w:w="1246" w:type="dxa"/>
          </w:tcPr>
          <w:p w14:paraId="13BD7E7D"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31</w:t>
            </w:r>
          </w:p>
        </w:tc>
        <w:tc>
          <w:tcPr>
            <w:tcW w:w="1246" w:type="dxa"/>
          </w:tcPr>
          <w:p w14:paraId="67AA33AF"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158.82</w:t>
            </w:r>
          </w:p>
        </w:tc>
        <w:tc>
          <w:tcPr>
            <w:tcW w:w="1233" w:type="dxa"/>
          </w:tcPr>
          <w:p w14:paraId="078DBC36"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67.05</w:t>
            </w:r>
          </w:p>
        </w:tc>
      </w:tr>
      <w:tr w:rsidR="008A203D" w:rsidRPr="008A203D" w14:paraId="18E527FD" w14:textId="77777777" w:rsidTr="008A203D">
        <w:trPr>
          <w:trHeight w:val="428"/>
        </w:trPr>
        <w:tc>
          <w:tcPr>
            <w:tcW w:w="3046" w:type="dxa"/>
          </w:tcPr>
          <w:p w14:paraId="5C2598CA" w14:textId="1A1FCBA0" w:rsidR="00F00E3D" w:rsidRPr="008A203D" w:rsidRDefault="00F00E3D" w:rsidP="00524398">
            <w:pPr>
              <w:spacing w:line="240" w:lineRule="auto"/>
              <w:rPr>
                <w:rFonts w:asciiTheme="majorHAnsi" w:hAnsiTheme="majorHAnsi" w:cstheme="majorHAnsi"/>
                <w:sz w:val="21"/>
                <w:szCs w:val="21"/>
              </w:rPr>
            </w:pPr>
            <w:r w:rsidRPr="008A203D">
              <w:rPr>
                <w:rFonts w:asciiTheme="majorHAnsi" w:hAnsiTheme="majorHAnsi" w:cstheme="majorHAnsi"/>
                <w:sz w:val="21"/>
                <w:szCs w:val="21"/>
              </w:rPr>
              <w:t>Breach F</w:t>
            </w:r>
            <w:r w:rsidR="006812F7" w:rsidRPr="008A203D">
              <w:rPr>
                <w:rFonts w:asciiTheme="majorHAnsi" w:hAnsiTheme="majorHAnsi" w:cstheme="majorHAnsi"/>
                <w:sz w:val="21"/>
                <w:szCs w:val="21"/>
              </w:rPr>
              <w:t xml:space="preserve">amily </w:t>
            </w:r>
            <w:r w:rsidRPr="008A203D">
              <w:rPr>
                <w:rFonts w:asciiTheme="majorHAnsi" w:hAnsiTheme="majorHAnsi" w:cstheme="majorHAnsi"/>
                <w:sz w:val="21"/>
                <w:szCs w:val="21"/>
              </w:rPr>
              <w:t>V</w:t>
            </w:r>
            <w:r w:rsidR="006812F7" w:rsidRPr="008A203D">
              <w:rPr>
                <w:rFonts w:asciiTheme="majorHAnsi" w:hAnsiTheme="majorHAnsi" w:cstheme="majorHAnsi"/>
                <w:sz w:val="21"/>
                <w:szCs w:val="21"/>
              </w:rPr>
              <w:t>iolence</w:t>
            </w:r>
            <w:r w:rsidRPr="008A203D">
              <w:rPr>
                <w:rFonts w:asciiTheme="majorHAnsi" w:hAnsiTheme="majorHAnsi" w:cstheme="majorHAnsi"/>
                <w:sz w:val="21"/>
                <w:szCs w:val="21"/>
              </w:rPr>
              <w:t xml:space="preserve"> Order</w:t>
            </w:r>
          </w:p>
        </w:tc>
        <w:tc>
          <w:tcPr>
            <w:tcW w:w="1383" w:type="dxa"/>
          </w:tcPr>
          <w:p w14:paraId="29635B1F"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491</w:t>
            </w:r>
          </w:p>
        </w:tc>
        <w:tc>
          <w:tcPr>
            <w:tcW w:w="1246" w:type="dxa"/>
          </w:tcPr>
          <w:p w14:paraId="63AB70A7"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2023.07</w:t>
            </w:r>
          </w:p>
        </w:tc>
        <w:tc>
          <w:tcPr>
            <w:tcW w:w="1246" w:type="dxa"/>
          </w:tcPr>
          <w:p w14:paraId="430D9FF1"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259</w:t>
            </w:r>
          </w:p>
        </w:tc>
        <w:tc>
          <w:tcPr>
            <w:tcW w:w="1246" w:type="dxa"/>
          </w:tcPr>
          <w:p w14:paraId="7CBDC241"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1326.91</w:t>
            </w:r>
          </w:p>
        </w:tc>
        <w:tc>
          <w:tcPr>
            <w:tcW w:w="1233" w:type="dxa"/>
          </w:tcPr>
          <w:p w14:paraId="16D2326C"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753.44</w:t>
            </w:r>
          </w:p>
        </w:tc>
      </w:tr>
      <w:tr w:rsidR="008A203D" w:rsidRPr="008A203D" w14:paraId="3D36AC3C" w14:textId="77777777" w:rsidTr="008A203D">
        <w:trPr>
          <w:trHeight w:val="440"/>
        </w:trPr>
        <w:tc>
          <w:tcPr>
            <w:tcW w:w="3046" w:type="dxa"/>
          </w:tcPr>
          <w:p w14:paraId="2A3BC4B7" w14:textId="77777777" w:rsidR="00F00E3D" w:rsidRPr="008A203D" w:rsidRDefault="00F00E3D" w:rsidP="00524398">
            <w:pPr>
              <w:spacing w:line="240" w:lineRule="auto"/>
              <w:rPr>
                <w:rFonts w:asciiTheme="majorHAnsi" w:hAnsiTheme="majorHAnsi" w:cstheme="majorHAnsi"/>
                <w:sz w:val="21"/>
                <w:szCs w:val="21"/>
              </w:rPr>
            </w:pPr>
            <w:r w:rsidRPr="008A203D">
              <w:rPr>
                <w:rFonts w:asciiTheme="majorHAnsi" w:hAnsiTheme="majorHAnsi" w:cstheme="majorHAnsi"/>
                <w:sz w:val="21"/>
                <w:szCs w:val="21"/>
              </w:rPr>
              <w:t>Common assault</w:t>
            </w:r>
          </w:p>
        </w:tc>
        <w:tc>
          <w:tcPr>
            <w:tcW w:w="1383" w:type="dxa"/>
          </w:tcPr>
          <w:p w14:paraId="51F675F9"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85</w:t>
            </w:r>
          </w:p>
        </w:tc>
        <w:tc>
          <w:tcPr>
            <w:tcW w:w="1246" w:type="dxa"/>
          </w:tcPr>
          <w:p w14:paraId="7718B4F5"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350.23</w:t>
            </w:r>
          </w:p>
        </w:tc>
        <w:tc>
          <w:tcPr>
            <w:tcW w:w="1246" w:type="dxa"/>
          </w:tcPr>
          <w:p w14:paraId="09E3239A"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33</w:t>
            </w:r>
          </w:p>
        </w:tc>
        <w:tc>
          <w:tcPr>
            <w:tcW w:w="1246" w:type="dxa"/>
          </w:tcPr>
          <w:p w14:paraId="69D98384"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169.07</w:t>
            </w:r>
          </w:p>
        </w:tc>
        <w:tc>
          <w:tcPr>
            <w:tcW w:w="1233" w:type="dxa"/>
          </w:tcPr>
          <w:p w14:paraId="58973E1C"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174.44</w:t>
            </w:r>
          </w:p>
        </w:tc>
      </w:tr>
      <w:tr w:rsidR="008A203D" w:rsidRPr="008A203D" w14:paraId="5C54A74F" w14:textId="77777777" w:rsidTr="008A203D">
        <w:trPr>
          <w:trHeight w:val="416"/>
        </w:trPr>
        <w:tc>
          <w:tcPr>
            <w:tcW w:w="3046" w:type="dxa"/>
          </w:tcPr>
          <w:p w14:paraId="757A617F" w14:textId="77777777" w:rsidR="00F00E3D" w:rsidRPr="008A203D" w:rsidRDefault="00F00E3D" w:rsidP="00524398">
            <w:pPr>
              <w:spacing w:line="240" w:lineRule="auto"/>
              <w:rPr>
                <w:rFonts w:asciiTheme="majorHAnsi" w:hAnsiTheme="majorHAnsi" w:cstheme="majorHAnsi"/>
                <w:sz w:val="21"/>
                <w:szCs w:val="21"/>
              </w:rPr>
            </w:pPr>
            <w:r w:rsidRPr="008A203D">
              <w:rPr>
                <w:rFonts w:asciiTheme="majorHAnsi" w:hAnsiTheme="majorHAnsi" w:cstheme="majorHAnsi"/>
                <w:sz w:val="21"/>
                <w:szCs w:val="21"/>
              </w:rPr>
              <w:t>Aggravated robbery</w:t>
            </w:r>
          </w:p>
        </w:tc>
        <w:tc>
          <w:tcPr>
            <w:tcW w:w="1383" w:type="dxa"/>
          </w:tcPr>
          <w:p w14:paraId="72FB2DF5"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16</w:t>
            </w:r>
          </w:p>
        </w:tc>
        <w:tc>
          <w:tcPr>
            <w:tcW w:w="1246" w:type="dxa"/>
          </w:tcPr>
          <w:p w14:paraId="291F14B4"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65.93</w:t>
            </w:r>
          </w:p>
        </w:tc>
        <w:tc>
          <w:tcPr>
            <w:tcW w:w="1246" w:type="dxa"/>
          </w:tcPr>
          <w:p w14:paraId="286A0B3E"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17</w:t>
            </w:r>
          </w:p>
        </w:tc>
        <w:tc>
          <w:tcPr>
            <w:tcW w:w="1246" w:type="dxa"/>
          </w:tcPr>
          <w:p w14:paraId="073E18CD" w14:textId="77777777"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87.09</w:t>
            </w:r>
          </w:p>
        </w:tc>
        <w:tc>
          <w:tcPr>
            <w:tcW w:w="1233" w:type="dxa"/>
          </w:tcPr>
          <w:p w14:paraId="744A2AB0" w14:textId="070E72D0" w:rsidR="00F00E3D" w:rsidRPr="008A203D" w:rsidRDefault="00F00E3D" w:rsidP="00524398">
            <w:pPr>
              <w:spacing w:line="240" w:lineRule="auto"/>
              <w:jc w:val="right"/>
              <w:rPr>
                <w:rFonts w:asciiTheme="majorHAnsi" w:hAnsiTheme="majorHAnsi" w:cstheme="majorHAnsi"/>
                <w:sz w:val="21"/>
                <w:szCs w:val="21"/>
              </w:rPr>
            </w:pPr>
            <w:r w:rsidRPr="008A203D">
              <w:rPr>
                <w:rFonts w:asciiTheme="majorHAnsi" w:hAnsiTheme="majorHAnsi" w:cstheme="majorHAnsi"/>
                <w:sz w:val="21"/>
                <w:szCs w:val="21"/>
              </w:rPr>
              <w:t>54</w:t>
            </w:r>
            <w:r w:rsidR="00B25E89" w:rsidRPr="008A203D">
              <w:rPr>
                <w:rFonts w:asciiTheme="majorHAnsi" w:hAnsiTheme="majorHAnsi" w:cstheme="majorHAnsi"/>
                <w:sz w:val="21"/>
                <w:szCs w:val="21"/>
              </w:rPr>
              <w:t>.00</w:t>
            </w:r>
          </w:p>
        </w:tc>
      </w:tr>
    </w:tbl>
    <w:p w14:paraId="36A367D4" w14:textId="43C27A9A" w:rsidR="00F00E3D" w:rsidRPr="007A7618" w:rsidRDefault="006812F7" w:rsidP="6A3610E4">
      <w:pPr>
        <w:spacing w:after="0" w:line="240" w:lineRule="auto"/>
        <w:rPr>
          <w:b/>
          <w:bCs/>
          <w:sz w:val="21"/>
          <w:szCs w:val="21"/>
        </w:rPr>
      </w:pPr>
      <w:r w:rsidRPr="006D0C79">
        <w:rPr>
          <w:b/>
          <w:bCs/>
          <w:sz w:val="21"/>
          <w:szCs w:val="21"/>
        </w:rPr>
        <w:t>Table 7.1</w:t>
      </w:r>
      <w:r w:rsidR="007A7618" w:rsidRPr="006D0C79">
        <w:rPr>
          <w:b/>
          <w:bCs/>
          <w:sz w:val="21"/>
          <w:szCs w:val="21"/>
        </w:rPr>
        <w:t>4</w:t>
      </w:r>
      <w:r w:rsidRPr="006D0C79">
        <w:rPr>
          <w:b/>
          <w:bCs/>
          <w:sz w:val="21"/>
          <w:szCs w:val="21"/>
        </w:rPr>
        <w:t xml:space="preserve">: Criminal Activity in Key Localities, 2020 (Source: </w:t>
      </w:r>
      <w:r w:rsidRPr="006D0C79">
        <w:rPr>
          <w:b/>
          <w:bCs/>
          <w:noProof/>
          <w:sz w:val="21"/>
          <w:szCs w:val="21"/>
        </w:rPr>
        <w:t>Frederikson</w:t>
      </w:r>
      <w:r w:rsidR="00734624" w:rsidRPr="006D0C79">
        <w:rPr>
          <w:b/>
          <w:bCs/>
          <w:noProof/>
          <w:sz w:val="21"/>
          <w:szCs w:val="21"/>
        </w:rPr>
        <w:t xml:space="preserve">, </w:t>
      </w:r>
      <w:r w:rsidRPr="006D0C79">
        <w:rPr>
          <w:b/>
          <w:bCs/>
          <w:noProof/>
          <w:sz w:val="21"/>
          <w:szCs w:val="21"/>
        </w:rPr>
        <w:t>2018</w:t>
      </w:r>
      <w:r w:rsidR="00906644" w:rsidRPr="006D0C79">
        <w:rPr>
          <w:b/>
          <w:bCs/>
          <w:noProof/>
          <w:sz w:val="21"/>
          <w:szCs w:val="21"/>
        </w:rPr>
        <w:t>)</w:t>
      </w:r>
      <w:r w:rsidRPr="6A3610E4">
        <w:rPr>
          <w:b/>
          <w:bCs/>
          <w:sz w:val="21"/>
          <w:szCs w:val="21"/>
        </w:rPr>
        <w:t xml:space="preserve"> </w:t>
      </w:r>
    </w:p>
    <w:p w14:paraId="23ED4D36" w14:textId="3C1FFA46" w:rsidR="00524398" w:rsidRPr="007A7618" w:rsidRDefault="00460959">
      <w:pPr>
        <w:spacing w:after="0" w:line="240" w:lineRule="auto"/>
        <w:rPr>
          <w:rFonts w:cstheme="minorHAnsi"/>
          <w:sz w:val="21"/>
          <w:szCs w:val="21"/>
        </w:rPr>
      </w:pPr>
      <w:r w:rsidRPr="007A7618">
        <w:rPr>
          <w:rFonts w:cstheme="minorHAnsi"/>
          <w:sz w:val="21"/>
          <w:szCs w:val="21"/>
        </w:rPr>
        <w:t>(</w:t>
      </w:r>
      <w:r w:rsidR="00524398" w:rsidRPr="007A7618">
        <w:rPr>
          <w:rFonts w:cstheme="minorHAnsi"/>
          <w:sz w:val="21"/>
          <w:szCs w:val="21"/>
        </w:rPr>
        <w:t>*</w:t>
      </w:r>
      <w:r w:rsidRPr="007A7618">
        <w:rPr>
          <w:rFonts w:cstheme="minorHAnsi"/>
          <w:sz w:val="21"/>
          <w:szCs w:val="21"/>
        </w:rPr>
        <w:t>The 3219 postcode i</w:t>
      </w:r>
      <w:r w:rsidR="00B42AF9" w:rsidRPr="007A7618">
        <w:rPr>
          <w:rFonts w:cstheme="minorHAnsi"/>
          <w:sz w:val="21"/>
          <w:szCs w:val="21"/>
        </w:rPr>
        <w:t>ncludes St Albans Park, Thomson, Geelong East, Newcomb</w:t>
      </w:r>
      <w:r w:rsidR="00524398" w:rsidRPr="007A7618">
        <w:rPr>
          <w:rFonts w:cstheme="minorHAnsi"/>
          <w:sz w:val="21"/>
          <w:szCs w:val="21"/>
        </w:rPr>
        <w:t>,</w:t>
      </w:r>
      <w:r w:rsidR="00B42AF9" w:rsidRPr="007A7618">
        <w:rPr>
          <w:rFonts w:cstheme="minorHAnsi"/>
          <w:sz w:val="21"/>
          <w:szCs w:val="21"/>
        </w:rPr>
        <w:t xml:space="preserve"> and Whittington)</w:t>
      </w:r>
      <w:r w:rsidR="00524398" w:rsidRPr="007A7618">
        <w:rPr>
          <w:rFonts w:cstheme="minorHAnsi"/>
          <w:sz w:val="21"/>
          <w:szCs w:val="21"/>
        </w:rPr>
        <w:br w:type="page"/>
      </w:r>
    </w:p>
    <w:p w14:paraId="1C24320E" w14:textId="200318C0" w:rsidR="00F00E3D" w:rsidRPr="002822AD" w:rsidRDefault="00AE1456" w:rsidP="009B2FA7">
      <w:pPr>
        <w:spacing w:line="276" w:lineRule="auto"/>
        <w:rPr>
          <w:rFonts w:eastAsia="Calibri"/>
          <w:b/>
          <w:color w:val="2F5496" w:themeColor="accent1" w:themeShade="BF"/>
          <w:sz w:val="28"/>
          <w:szCs w:val="28"/>
        </w:rPr>
      </w:pPr>
      <w:bookmarkStart w:id="92" w:name="OLE_LINKSECTION225"/>
      <w:r w:rsidRPr="002822AD">
        <w:rPr>
          <w:rFonts w:eastAsia="Calibri"/>
          <w:b/>
          <w:color w:val="2F5496" w:themeColor="accent1" w:themeShade="BF"/>
          <w:sz w:val="28"/>
          <w:szCs w:val="28"/>
        </w:rPr>
        <w:lastRenderedPageBreak/>
        <w:t>7.</w:t>
      </w:r>
      <w:r w:rsidR="0098337E" w:rsidRPr="002822AD">
        <w:rPr>
          <w:rFonts w:eastAsia="Calibri"/>
          <w:b/>
          <w:color w:val="2F5496" w:themeColor="accent1" w:themeShade="BF"/>
          <w:sz w:val="28"/>
          <w:szCs w:val="28"/>
        </w:rPr>
        <w:t>4</w:t>
      </w:r>
      <w:r w:rsidR="00F00E3D" w:rsidRPr="002822AD">
        <w:rPr>
          <w:rFonts w:eastAsia="Calibri"/>
          <w:b/>
          <w:color w:val="2F5496" w:themeColor="accent1" w:themeShade="BF"/>
          <w:sz w:val="28"/>
          <w:szCs w:val="28"/>
        </w:rPr>
        <w:t xml:space="preserve"> City of Greater Geelong</w:t>
      </w:r>
      <w:r w:rsidRPr="002822AD">
        <w:rPr>
          <w:rFonts w:eastAsia="Calibri"/>
          <w:b/>
          <w:color w:val="2F5496" w:themeColor="accent1" w:themeShade="BF"/>
          <w:sz w:val="28"/>
          <w:szCs w:val="28"/>
        </w:rPr>
        <w:t>:</w:t>
      </w:r>
      <w:r w:rsidR="00F00E3D" w:rsidRPr="002822AD">
        <w:rPr>
          <w:rFonts w:eastAsia="Calibri"/>
          <w:b/>
          <w:color w:val="2F5496" w:themeColor="accent1" w:themeShade="BF"/>
          <w:sz w:val="28"/>
          <w:szCs w:val="28"/>
        </w:rPr>
        <w:t xml:space="preserve"> </w:t>
      </w:r>
      <w:r w:rsidRPr="002822AD">
        <w:rPr>
          <w:rFonts w:eastAsia="Calibri"/>
          <w:b/>
          <w:color w:val="2F5496" w:themeColor="accent1" w:themeShade="BF"/>
          <w:sz w:val="28"/>
          <w:szCs w:val="28"/>
        </w:rPr>
        <w:t>Policy Contexts</w:t>
      </w:r>
      <w:r w:rsidR="0098337E" w:rsidRPr="002822AD">
        <w:rPr>
          <w:rFonts w:eastAsia="Calibri"/>
          <w:b/>
          <w:bCs/>
          <w:color w:val="2F5496" w:themeColor="accent1" w:themeShade="BF"/>
          <w:sz w:val="28"/>
          <w:szCs w:val="28"/>
        </w:rPr>
        <w:t>,</w:t>
      </w:r>
      <w:r w:rsidRPr="002822AD">
        <w:rPr>
          <w:rFonts w:eastAsia="Calibri"/>
          <w:b/>
          <w:bCs/>
          <w:color w:val="2F5496" w:themeColor="accent1" w:themeShade="BF"/>
          <w:sz w:val="28"/>
          <w:szCs w:val="28"/>
        </w:rPr>
        <w:t xml:space="preserve"> Gaps</w:t>
      </w:r>
      <w:r w:rsidR="0098337E" w:rsidRPr="002822AD">
        <w:rPr>
          <w:rFonts w:eastAsia="Calibri"/>
          <w:b/>
          <w:bCs/>
          <w:color w:val="2F5496" w:themeColor="accent1" w:themeShade="BF"/>
          <w:sz w:val="28"/>
          <w:szCs w:val="28"/>
        </w:rPr>
        <w:t>, and Opportunities</w:t>
      </w:r>
    </w:p>
    <w:bookmarkEnd w:id="92"/>
    <w:p w14:paraId="2D1C51AC" w14:textId="00DD9D61" w:rsidR="000A6C85" w:rsidRDefault="002165A2" w:rsidP="009B2FA7">
      <w:pPr>
        <w:spacing w:line="257" w:lineRule="auto"/>
        <w:rPr>
          <w:rFonts w:asciiTheme="majorHAnsi" w:eastAsiaTheme="majorEastAsia" w:hAnsiTheme="majorHAnsi" w:cstheme="majorBidi"/>
          <w:sz w:val="23"/>
          <w:szCs w:val="23"/>
        </w:rPr>
      </w:pPr>
      <w:r>
        <w:rPr>
          <w:rFonts w:asciiTheme="majorHAnsi" w:eastAsia="Times New Roman" w:hAnsiTheme="majorHAnsi" w:cstheme="majorBidi"/>
          <w:sz w:val="23"/>
          <w:szCs w:val="23"/>
        </w:rPr>
        <w:t>Reviewing</w:t>
      </w:r>
      <w:r w:rsidR="00277619">
        <w:rPr>
          <w:rFonts w:asciiTheme="majorHAnsi" w:eastAsia="Times New Roman" w:hAnsiTheme="majorHAnsi" w:cstheme="majorBidi"/>
          <w:sz w:val="23"/>
          <w:szCs w:val="23"/>
        </w:rPr>
        <w:t xml:space="preserve"> existing </w:t>
      </w:r>
      <w:r w:rsidR="00932FDF">
        <w:rPr>
          <w:rFonts w:asciiTheme="majorHAnsi" w:eastAsia="Times New Roman" w:hAnsiTheme="majorHAnsi" w:cstheme="majorBidi"/>
          <w:sz w:val="23"/>
          <w:szCs w:val="23"/>
        </w:rPr>
        <w:t xml:space="preserve">government </w:t>
      </w:r>
      <w:r w:rsidR="00277619">
        <w:rPr>
          <w:rFonts w:asciiTheme="majorHAnsi" w:eastAsia="Times New Roman" w:hAnsiTheme="majorHAnsi" w:cstheme="majorBidi"/>
          <w:sz w:val="23"/>
          <w:szCs w:val="23"/>
        </w:rPr>
        <w:t>policies</w:t>
      </w:r>
      <w:r w:rsidR="003832FB">
        <w:rPr>
          <w:rFonts w:asciiTheme="majorHAnsi" w:eastAsia="Times New Roman" w:hAnsiTheme="majorHAnsi" w:cstheme="majorBidi"/>
          <w:sz w:val="23"/>
          <w:szCs w:val="23"/>
        </w:rPr>
        <w:t>, plans,</w:t>
      </w:r>
      <w:r w:rsidR="00277619">
        <w:rPr>
          <w:rFonts w:asciiTheme="majorHAnsi" w:eastAsia="Times New Roman" w:hAnsiTheme="majorHAnsi" w:cstheme="majorBidi"/>
          <w:sz w:val="23"/>
          <w:szCs w:val="23"/>
        </w:rPr>
        <w:t xml:space="preserve"> and programs is </w:t>
      </w:r>
      <w:r w:rsidR="00895605">
        <w:rPr>
          <w:rFonts w:asciiTheme="majorHAnsi" w:eastAsia="Times New Roman" w:hAnsiTheme="majorHAnsi" w:cstheme="majorBidi"/>
          <w:sz w:val="23"/>
          <w:szCs w:val="23"/>
        </w:rPr>
        <w:t xml:space="preserve">a </w:t>
      </w:r>
      <w:r w:rsidR="00277619">
        <w:rPr>
          <w:rFonts w:asciiTheme="majorHAnsi" w:eastAsia="Times New Roman" w:hAnsiTheme="majorHAnsi" w:cstheme="majorBidi"/>
          <w:sz w:val="23"/>
          <w:szCs w:val="23"/>
        </w:rPr>
        <w:t>critical</w:t>
      </w:r>
      <w:r w:rsidR="00F00E3D" w:rsidRPr="00E91887">
        <w:rPr>
          <w:rFonts w:asciiTheme="majorHAnsi" w:eastAsia="Times New Roman" w:hAnsiTheme="majorHAnsi" w:cstheme="majorBidi"/>
          <w:sz w:val="23"/>
          <w:szCs w:val="23"/>
        </w:rPr>
        <w:t xml:space="preserve"> </w:t>
      </w:r>
      <w:r w:rsidR="00895605">
        <w:rPr>
          <w:rFonts w:asciiTheme="majorHAnsi" w:eastAsia="Times New Roman" w:hAnsiTheme="majorHAnsi" w:cstheme="majorBidi"/>
          <w:sz w:val="23"/>
          <w:szCs w:val="23"/>
        </w:rPr>
        <w:t>step in</w:t>
      </w:r>
      <w:r w:rsidR="00277619">
        <w:rPr>
          <w:rFonts w:asciiTheme="majorHAnsi" w:eastAsia="Times New Roman" w:hAnsiTheme="majorHAnsi" w:cstheme="majorBidi"/>
          <w:sz w:val="23"/>
          <w:szCs w:val="23"/>
        </w:rPr>
        <w:t xml:space="preserve"> identifying priorities for </w:t>
      </w:r>
      <w:r w:rsidR="00F00E3D" w:rsidRPr="00E91887">
        <w:rPr>
          <w:rFonts w:asciiTheme="majorHAnsi" w:eastAsia="Times New Roman" w:hAnsiTheme="majorHAnsi" w:cstheme="majorBidi"/>
          <w:sz w:val="23"/>
          <w:szCs w:val="23"/>
        </w:rPr>
        <w:t>change in the three localities</w:t>
      </w:r>
      <w:r w:rsidR="00277619">
        <w:rPr>
          <w:rFonts w:asciiTheme="majorHAnsi" w:eastAsia="Times New Roman" w:hAnsiTheme="majorHAnsi" w:cstheme="majorBidi"/>
          <w:sz w:val="23"/>
          <w:szCs w:val="23"/>
        </w:rPr>
        <w:t xml:space="preserve">. </w:t>
      </w:r>
      <w:r>
        <w:rPr>
          <w:rFonts w:asciiTheme="majorHAnsi" w:eastAsiaTheme="majorEastAsia" w:hAnsiTheme="majorHAnsi" w:cstheme="majorBidi"/>
          <w:sz w:val="23"/>
          <w:szCs w:val="23"/>
        </w:rPr>
        <w:t>T</w:t>
      </w:r>
      <w:r w:rsidR="00AE5558" w:rsidRPr="00822832">
        <w:rPr>
          <w:rFonts w:asciiTheme="majorHAnsi" w:eastAsiaTheme="majorEastAsia" w:hAnsiTheme="majorHAnsi" w:cstheme="majorBidi"/>
          <w:sz w:val="23"/>
          <w:szCs w:val="23"/>
        </w:rPr>
        <w:t xml:space="preserve">he City of Geelong </w:t>
      </w:r>
      <w:r w:rsidR="002129D3">
        <w:rPr>
          <w:rFonts w:asciiTheme="majorHAnsi" w:eastAsiaTheme="majorEastAsia" w:hAnsiTheme="majorHAnsi" w:cstheme="majorBidi"/>
          <w:sz w:val="23"/>
          <w:szCs w:val="23"/>
        </w:rPr>
        <w:t>(</w:t>
      </w:r>
      <w:r w:rsidR="001B7DDF">
        <w:rPr>
          <w:rFonts w:asciiTheme="majorHAnsi" w:eastAsiaTheme="majorEastAsia" w:hAnsiTheme="majorHAnsi" w:cstheme="majorBidi"/>
          <w:sz w:val="23"/>
          <w:szCs w:val="23"/>
        </w:rPr>
        <w:t>CoGG</w:t>
      </w:r>
      <w:r w:rsidR="006E6874">
        <w:rPr>
          <w:rFonts w:asciiTheme="majorHAnsi" w:eastAsiaTheme="majorEastAsia" w:hAnsiTheme="majorHAnsi" w:cstheme="majorBidi"/>
          <w:sz w:val="23"/>
          <w:szCs w:val="23"/>
        </w:rPr>
        <w:t>)</w:t>
      </w:r>
      <w:r w:rsidR="002129D3">
        <w:rPr>
          <w:rFonts w:asciiTheme="majorHAnsi" w:eastAsiaTheme="majorEastAsia" w:hAnsiTheme="majorHAnsi" w:cstheme="majorBidi"/>
          <w:sz w:val="23"/>
          <w:szCs w:val="23"/>
        </w:rPr>
        <w:t xml:space="preserve"> </w:t>
      </w:r>
      <w:r w:rsidR="00AE5558" w:rsidRPr="00822832">
        <w:rPr>
          <w:rFonts w:asciiTheme="majorHAnsi" w:eastAsiaTheme="majorEastAsia" w:hAnsiTheme="majorHAnsi" w:cstheme="majorBidi"/>
          <w:sz w:val="23"/>
          <w:szCs w:val="23"/>
        </w:rPr>
        <w:t>has a range of existing policies targeting specific concerns in the Corio, Norlane, and Whittington areas</w:t>
      </w:r>
      <w:r>
        <w:rPr>
          <w:rFonts w:asciiTheme="majorHAnsi" w:eastAsiaTheme="majorEastAsia" w:hAnsiTheme="majorHAnsi" w:cstheme="majorBidi"/>
          <w:sz w:val="23"/>
          <w:szCs w:val="23"/>
        </w:rPr>
        <w:t>.</w:t>
      </w:r>
      <w:r w:rsidR="00AE5558" w:rsidRPr="00E91887">
        <w:rPr>
          <w:rFonts w:asciiTheme="majorHAnsi" w:eastAsia="Times New Roman" w:hAnsiTheme="majorHAnsi" w:cstheme="majorBidi"/>
          <w:sz w:val="23"/>
          <w:szCs w:val="23"/>
        </w:rPr>
        <w:t xml:space="preserve"> </w:t>
      </w:r>
      <w:r w:rsidR="00F00E3D" w:rsidRPr="00E91887">
        <w:rPr>
          <w:rFonts w:asciiTheme="majorHAnsi" w:eastAsia="Times New Roman" w:hAnsiTheme="majorHAnsi" w:cstheme="majorBidi"/>
          <w:sz w:val="23"/>
          <w:szCs w:val="23"/>
        </w:rPr>
        <w:t xml:space="preserve">While </w:t>
      </w:r>
      <w:r w:rsidR="009C6567">
        <w:rPr>
          <w:rFonts w:asciiTheme="majorHAnsi" w:eastAsia="Times New Roman" w:hAnsiTheme="majorHAnsi" w:cstheme="majorBidi"/>
          <w:sz w:val="23"/>
          <w:szCs w:val="23"/>
        </w:rPr>
        <w:t>the local policy context was</w:t>
      </w:r>
      <w:r w:rsidR="00F00E3D" w:rsidRPr="00E91887">
        <w:rPr>
          <w:rFonts w:asciiTheme="majorHAnsi" w:eastAsia="Times New Roman" w:hAnsiTheme="majorHAnsi" w:cstheme="majorBidi"/>
          <w:sz w:val="23"/>
          <w:szCs w:val="23"/>
        </w:rPr>
        <w:t xml:space="preserve"> introduced in Part </w:t>
      </w:r>
      <w:r w:rsidR="003832FB">
        <w:rPr>
          <w:rFonts w:asciiTheme="majorHAnsi" w:eastAsia="Times New Roman" w:hAnsiTheme="majorHAnsi" w:cstheme="majorBidi"/>
          <w:sz w:val="23"/>
          <w:szCs w:val="23"/>
        </w:rPr>
        <w:t>A</w:t>
      </w:r>
      <w:r w:rsidR="002F5D50">
        <w:rPr>
          <w:rFonts w:asciiTheme="majorHAnsi" w:eastAsia="Times New Roman" w:hAnsiTheme="majorHAnsi" w:cstheme="majorBidi"/>
          <w:sz w:val="23"/>
          <w:szCs w:val="23"/>
        </w:rPr>
        <w:t xml:space="preserve"> </w:t>
      </w:r>
      <w:r w:rsidR="009612BA">
        <w:rPr>
          <w:rFonts w:asciiTheme="majorHAnsi" w:eastAsia="Times New Roman" w:hAnsiTheme="majorHAnsi" w:cstheme="majorBidi"/>
          <w:sz w:val="23"/>
          <w:szCs w:val="23"/>
        </w:rPr>
        <w:t>(</w:t>
      </w:r>
      <w:r>
        <w:rPr>
          <w:rFonts w:asciiTheme="majorHAnsi" w:eastAsia="Times New Roman" w:hAnsiTheme="majorHAnsi" w:cstheme="majorBidi"/>
          <w:sz w:val="23"/>
          <w:szCs w:val="23"/>
        </w:rPr>
        <w:t xml:space="preserve">see </w:t>
      </w:r>
      <w:r w:rsidR="009612BA">
        <w:rPr>
          <w:rFonts w:asciiTheme="majorHAnsi" w:eastAsia="Times New Roman" w:hAnsiTheme="majorHAnsi" w:cstheme="majorBidi"/>
          <w:sz w:val="23"/>
          <w:szCs w:val="23"/>
        </w:rPr>
        <w:t>Section 2)</w:t>
      </w:r>
      <w:r w:rsidR="00F00E3D" w:rsidRPr="00E91887">
        <w:rPr>
          <w:rFonts w:asciiTheme="majorHAnsi" w:eastAsia="Times New Roman" w:hAnsiTheme="majorHAnsi" w:cstheme="majorBidi"/>
          <w:sz w:val="23"/>
          <w:szCs w:val="23"/>
        </w:rPr>
        <w:t xml:space="preserve">, </w:t>
      </w:r>
      <w:r>
        <w:rPr>
          <w:rFonts w:asciiTheme="majorHAnsi" w:eastAsia="Times New Roman" w:hAnsiTheme="majorHAnsi" w:cstheme="majorBidi"/>
          <w:sz w:val="23"/>
          <w:szCs w:val="23"/>
        </w:rPr>
        <w:t>here</w:t>
      </w:r>
      <w:r w:rsidR="003832FB">
        <w:rPr>
          <w:rFonts w:asciiTheme="majorHAnsi" w:eastAsia="Times New Roman" w:hAnsiTheme="majorHAnsi" w:cstheme="majorBidi"/>
          <w:sz w:val="23"/>
          <w:szCs w:val="23"/>
        </w:rPr>
        <w:t xml:space="preserve"> we present a</w:t>
      </w:r>
      <w:r w:rsidR="00F00E3D" w:rsidRPr="00E91887">
        <w:rPr>
          <w:rFonts w:asciiTheme="majorHAnsi" w:eastAsia="Times New Roman" w:hAnsiTheme="majorHAnsi" w:cstheme="majorBidi"/>
          <w:sz w:val="23"/>
          <w:szCs w:val="23"/>
        </w:rPr>
        <w:t xml:space="preserve"> </w:t>
      </w:r>
      <w:r w:rsidR="003849C5">
        <w:rPr>
          <w:rFonts w:asciiTheme="majorHAnsi" w:eastAsia="Times New Roman" w:hAnsiTheme="majorHAnsi" w:cstheme="majorBidi"/>
          <w:sz w:val="23"/>
          <w:szCs w:val="23"/>
        </w:rPr>
        <w:t xml:space="preserve">more detailed </w:t>
      </w:r>
      <w:r w:rsidR="00F00E3D" w:rsidRPr="00E91887">
        <w:rPr>
          <w:rFonts w:asciiTheme="majorHAnsi" w:eastAsia="Times New Roman" w:hAnsiTheme="majorHAnsi" w:cstheme="majorBidi"/>
          <w:sz w:val="23"/>
          <w:szCs w:val="23"/>
        </w:rPr>
        <w:t xml:space="preserve">review of 15 relevant </w:t>
      </w:r>
      <w:r w:rsidR="001B7DDF">
        <w:rPr>
          <w:rFonts w:asciiTheme="majorHAnsi" w:eastAsia="Times New Roman" w:hAnsiTheme="majorHAnsi" w:cstheme="majorBidi"/>
          <w:sz w:val="23"/>
          <w:szCs w:val="23"/>
        </w:rPr>
        <w:t>CoGG</w:t>
      </w:r>
      <w:r w:rsidR="00F00E3D" w:rsidRPr="00E91887">
        <w:rPr>
          <w:rFonts w:asciiTheme="majorHAnsi" w:eastAsia="Times New Roman" w:hAnsiTheme="majorHAnsi" w:cstheme="majorBidi"/>
          <w:sz w:val="23"/>
          <w:szCs w:val="23"/>
        </w:rPr>
        <w:t xml:space="preserve"> policies, their main priorities</w:t>
      </w:r>
      <w:r w:rsidR="003832FB">
        <w:rPr>
          <w:rFonts w:asciiTheme="majorHAnsi" w:eastAsia="Times New Roman" w:hAnsiTheme="majorHAnsi" w:cstheme="majorBidi"/>
          <w:sz w:val="23"/>
          <w:szCs w:val="23"/>
        </w:rPr>
        <w:t>,</w:t>
      </w:r>
      <w:r w:rsidR="00F00E3D" w:rsidRPr="00E91887">
        <w:rPr>
          <w:rFonts w:asciiTheme="majorHAnsi" w:eastAsia="Times New Roman" w:hAnsiTheme="majorHAnsi" w:cstheme="majorBidi"/>
          <w:sz w:val="23"/>
          <w:szCs w:val="23"/>
        </w:rPr>
        <w:t xml:space="preserve"> and how they specifically relate to Corio, Norlane</w:t>
      </w:r>
      <w:r w:rsidR="003832FB">
        <w:rPr>
          <w:rFonts w:asciiTheme="majorHAnsi" w:eastAsia="Times New Roman" w:hAnsiTheme="majorHAnsi" w:cstheme="majorBidi"/>
          <w:sz w:val="23"/>
          <w:szCs w:val="23"/>
        </w:rPr>
        <w:t>,</w:t>
      </w:r>
      <w:r w:rsidR="00F00E3D" w:rsidRPr="00E91887">
        <w:rPr>
          <w:rFonts w:asciiTheme="majorHAnsi" w:eastAsia="Times New Roman" w:hAnsiTheme="majorHAnsi" w:cstheme="majorBidi"/>
          <w:sz w:val="23"/>
          <w:szCs w:val="23"/>
        </w:rPr>
        <w:t xml:space="preserve"> and Whittington</w:t>
      </w:r>
      <w:r w:rsidR="00A6510F">
        <w:rPr>
          <w:rFonts w:asciiTheme="majorHAnsi" w:eastAsia="Times New Roman" w:hAnsiTheme="majorHAnsi" w:cstheme="majorBidi"/>
          <w:sz w:val="23"/>
          <w:szCs w:val="23"/>
        </w:rPr>
        <w:t xml:space="preserve"> (see Table 7.1</w:t>
      </w:r>
      <w:r w:rsidR="007A7618">
        <w:rPr>
          <w:rFonts w:asciiTheme="majorHAnsi" w:eastAsia="Times New Roman" w:hAnsiTheme="majorHAnsi" w:cstheme="majorBidi"/>
          <w:sz w:val="23"/>
          <w:szCs w:val="23"/>
        </w:rPr>
        <w:t>5</w:t>
      </w:r>
      <w:r w:rsidR="00A6510F">
        <w:rPr>
          <w:rFonts w:asciiTheme="majorHAnsi" w:eastAsia="Times New Roman" w:hAnsiTheme="majorHAnsi" w:cstheme="majorBidi"/>
          <w:sz w:val="23"/>
          <w:szCs w:val="23"/>
        </w:rPr>
        <w:t>, below)</w:t>
      </w:r>
      <w:r w:rsidR="00F00E3D" w:rsidRPr="00E91887">
        <w:rPr>
          <w:rFonts w:asciiTheme="majorHAnsi" w:eastAsia="Times New Roman" w:hAnsiTheme="majorHAnsi" w:cstheme="majorBidi"/>
          <w:sz w:val="23"/>
          <w:szCs w:val="23"/>
        </w:rPr>
        <w:t>.</w:t>
      </w:r>
      <w:bookmarkStart w:id="93" w:name="OLE_LINKTable217"/>
      <w:r w:rsidR="002129D3">
        <w:rPr>
          <w:rFonts w:asciiTheme="majorHAnsi" w:eastAsia="Times New Roman" w:hAnsiTheme="majorHAnsi" w:cstheme="majorBidi"/>
          <w:sz w:val="23"/>
          <w:szCs w:val="23"/>
        </w:rPr>
        <w:t xml:space="preserve"> We also include</w:t>
      </w:r>
      <w:r w:rsidR="005E6FF1">
        <w:rPr>
          <w:rFonts w:asciiTheme="majorHAnsi" w:eastAsia="Times New Roman" w:hAnsiTheme="majorHAnsi" w:cstheme="majorBidi"/>
          <w:sz w:val="23"/>
          <w:szCs w:val="23"/>
        </w:rPr>
        <w:t xml:space="preserve"> key policies from GROW </w:t>
      </w:r>
      <w:r w:rsidR="00A31465" w:rsidRPr="00A31465">
        <w:rPr>
          <w:rFonts w:asciiTheme="majorHAnsi" w:eastAsia="Times New Roman" w:hAnsiTheme="majorHAnsi" w:cstheme="majorBidi"/>
          <w:sz w:val="23"/>
          <w:szCs w:val="23"/>
        </w:rPr>
        <w:t>(G21 Geelong Regional Alliance).</w:t>
      </w:r>
    </w:p>
    <w:p w14:paraId="439F607B" w14:textId="4B6F5ADE" w:rsidR="000A6C85" w:rsidRDefault="000A6C85" w:rsidP="002129D3">
      <w:pPr>
        <w:spacing w:line="276" w:lineRule="auto"/>
        <w:rPr>
          <w:rFonts w:asciiTheme="majorHAnsi" w:eastAsiaTheme="majorEastAsia" w:hAnsiTheme="majorHAnsi" w:cstheme="majorBidi"/>
          <w:sz w:val="23"/>
          <w:szCs w:val="23"/>
        </w:rPr>
      </w:pPr>
      <w:r w:rsidRPr="00822832">
        <w:rPr>
          <w:rFonts w:asciiTheme="majorHAnsi" w:eastAsiaTheme="majorEastAsia" w:hAnsiTheme="majorHAnsi" w:cstheme="majorBidi"/>
          <w:sz w:val="23"/>
          <w:szCs w:val="23"/>
        </w:rPr>
        <w:t xml:space="preserve">In terms of </w:t>
      </w:r>
      <w:r w:rsidR="00D95573">
        <w:rPr>
          <w:rFonts w:asciiTheme="majorHAnsi" w:eastAsiaTheme="majorEastAsia" w:hAnsiTheme="majorHAnsi" w:cstheme="majorBidi"/>
          <w:sz w:val="23"/>
          <w:szCs w:val="23"/>
        </w:rPr>
        <w:t>Practice Domain</w:t>
      </w:r>
      <w:r w:rsidRPr="00822832">
        <w:rPr>
          <w:rFonts w:asciiTheme="majorHAnsi" w:eastAsiaTheme="majorEastAsia" w:hAnsiTheme="majorHAnsi" w:cstheme="majorBidi"/>
          <w:sz w:val="23"/>
          <w:szCs w:val="23"/>
        </w:rPr>
        <w:t xml:space="preserve">s, </w:t>
      </w:r>
      <w:r w:rsidR="005E6FF1">
        <w:rPr>
          <w:rFonts w:asciiTheme="majorHAnsi" w:eastAsiaTheme="majorEastAsia" w:hAnsiTheme="majorHAnsi" w:cstheme="majorBidi"/>
          <w:sz w:val="23"/>
          <w:szCs w:val="23"/>
        </w:rPr>
        <w:t>the policies outlined below</w:t>
      </w:r>
      <w:r w:rsidRPr="00822832">
        <w:rPr>
          <w:rFonts w:asciiTheme="majorHAnsi" w:eastAsiaTheme="majorEastAsia" w:hAnsiTheme="majorHAnsi" w:cstheme="majorBidi"/>
          <w:sz w:val="23"/>
          <w:szCs w:val="23"/>
        </w:rPr>
        <w:t xml:space="preserve"> relate to Employment (GROW, RISE, Whittington Works, and proposals to renew industrial areas); Housing (via commitments to affordable</w:t>
      </w:r>
      <w:r w:rsidRPr="00E91887">
        <w:rPr>
          <w:rFonts w:asciiTheme="majorHAnsi" w:eastAsiaTheme="majorEastAsia" w:hAnsiTheme="majorHAnsi" w:cstheme="majorBidi"/>
          <w:sz w:val="23"/>
          <w:szCs w:val="23"/>
        </w:rPr>
        <w:t xml:space="preserve"> and social housing, </w:t>
      </w:r>
      <w:r>
        <w:rPr>
          <w:rFonts w:asciiTheme="majorHAnsi" w:eastAsiaTheme="majorEastAsia" w:hAnsiTheme="majorHAnsi" w:cstheme="majorBidi"/>
          <w:sz w:val="23"/>
          <w:szCs w:val="23"/>
        </w:rPr>
        <w:t>and plans for</w:t>
      </w:r>
      <w:r w:rsidRPr="00E91887">
        <w:rPr>
          <w:rFonts w:asciiTheme="majorHAnsi" w:eastAsiaTheme="majorEastAsia" w:hAnsiTheme="majorHAnsi" w:cstheme="majorBidi"/>
          <w:sz w:val="23"/>
          <w:szCs w:val="23"/>
        </w:rPr>
        <w:t xml:space="preserve"> infill, urban densification</w:t>
      </w:r>
      <w:r>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and urban renewal)</w:t>
      </w:r>
      <w:r>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Education </w:t>
      </w:r>
      <w:r>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particularly for Aboriginal students</w:t>
      </w:r>
      <w:r>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Health and Wellbeing</w:t>
      </w:r>
      <w:r>
        <w:rPr>
          <w:rFonts w:asciiTheme="majorHAnsi" w:eastAsiaTheme="majorEastAsia" w:hAnsiTheme="majorHAnsi" w:cstheme="majorBidi"/>
          <w:sz w:val="23"/>
          <w:szCs w:val="23"/>
        </w:rPr>
        <w:t xml:space="preserve"> (notably in the area</w:t>
      </w:r>
      <w:r w:rsidR="006E6874">
        <w:rPr>
          <w:rFonts w:asciiTheme="majorHAnsi" w:eastAsiaTheme="majorEastAsia" w:hAnsiTheme="majorHAnsi" w:cstheme="majorBidi"/>
          <w:sz w:val="23"/>
          <w:szCs w:val="23"/>
        </w:rPr>
        <w:t>s</w:t>
      </w:r>
      <w:r>
        <w:rPr>
          <w:rFonts w:asciiTheme="majorHAnsi" w:eastAsiaTheme="majorEastAsia" w:hAnsiTheme="majorHAnsi" w:cstheme="majorBidi"/>
          <w:sz w:val="23"/>
          <w:szCs w:val="23"/>
        </w:rPr>
        <w:t xml:space="preserve"> of </w:t>
      </w:r>
      <w:r w:rsidR="007C4797">
        <w:rPr>
          <w:rFonts w:asciiTheme="majorHAnsi" w:eastAsiaTheme="majorEastAsia" w:hAnsiTheme="majorHAnsi" w:cstheme="majorBidi"/>
          <w:sz w:val="23"/>
          <w:szCs w:val="23"/>
        </w:rPr>
        <w:t xml:space="preserve">family violence and </w:t>
      </w:r>
      <w:r w:rsidRPr="00E91887">
        <w:rPr>
          <w:rFonts w:asciiTheme="majorHAnsi" w:eastAsiaTheme="majorEastAsia" w:hAnsiTheme="majorHAnsi" w:cstheme="majorBidi"/>
          <w:sz w:val="23"/>
          <w:szCs w:val="23"/>
        </w:rPr>
        <w:t>food security</w:t>
      </w:r>
      <w:r>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w:t>
      </w:r>
      <w:r>
        <w:rPr>
          <w:rFonts w:asciiTheme="majorHAnsi" w:eastAsiaTheme="majorEastAsia" w:hAnsiTheme="majorHAnsi" w:cstheme="majorBidi"/>
          <w:sz w:val="23"/>
          <w:szCs w:val="23"/>
        </w:rPr>
        <w:t xml:space="preserve">and </w:t>
      </w:r>
      <w:r w:rsidRPr="00E91887">
        <w:rPr>
          <w:rFonts w:asciiTheme="majorHAnsi" w:eastAsiaTheme="majorEastAsia" w:hAnsiTheme="majorHAnsi" w:cstheme="majorBidi"/>
          <w:sz w:val="23"/>
          <w:szCs w:val="23"/>
        </w:rPr>
        <w:t xml:space="preserve">Liveability </w:t>
      </w:r>
      <w:r>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a concern for social infrastructure provision, </w:t>
      </w:r>
      <w:r w:rsidR="0042102F">
        <w:rPr>
          <w:rFonts w:asciiTheme="majorHAnsi" w:eastAsiaTheme="majorEastAsia" w:hAnsiTheme="majorHAnsi" w:cstheme="majorBidi"/>
          <w:sz w:val="23"/>
          <w:szCs w:val="23"/>
        </w:rPr>
        <w:t xml:space="preserve">outdoor spaces and facilities, </w:t>
      </w:r>
      <w:r w:rsidRPr="00E91887">
        <w:rPr>
          <w:rFonts w:asciiTheme="majorHAnsi" w:eastAsiaTheme="majorEastAsia" w:hAnsiTheme="majorHAnsi" w:cstheme="majorBidi"/>
          <w:sz w:val="23"/>
          <w:szCs w:val="23"/>
        </w:rPr>
        <w:t>community safety, digital literacy</w:t>
      </w:r>
      <w:r>
        <w:rPr>
          <w:rFonts w:asciiTheme="majorHAnsi" w:eastAsiaTheme="majorEastAsia" w:hAnsiTheme="majorHAnsi" w:cstheme="majorBidi"/>
          <w:sz w:val="23"/>
          <w:szCs w:val="23"/>
        </w:rPr>
        <w:t xml:space="preserve">, a </w:t>
      </w:r>
      <w:r w:rsidRPr="00E91887">
        <w:rPr>
          <w:rFonts w:asciiTheme="majorHAnsi" w:eastAsiaTheme="majorEastAsia" w:hAnsiTheme="majorHAnsi" w:cstheme="majorBidi"/>
          <w:sz w:val="23"/>
          <w:szCs w:val="23"/>
        </w:rPr>
        <w:t>sense of place via</w:t>
      </w:r>
      <w:r>
        <w:rPr>
          <w:rFonts w:asciiTheme="majorHAnsi" w:eastAsiaTheme="majorEastAsia" w:hAnsiTheme="majorHAnsi" w:cstheme="majorBidi"/>
          <w:sz w:val="23"/>
          <w:szCs w:val="23"/>
        </w:rPr>
        <w:t xml:space="preserve"> heritage</w:t>
      </w:r>
      <w:r w:rsidR="007C4797">
        <w:rPr>
          <w:rFonts w:asciiTheme="majorHAnsi" w:eastAsiaTheme="majorEastAsia" w:hAnsiTheme="majorHAnsi" w:cstheme="majorBidi"/>
          <w:sz w:val="23"/>
          <w:szCs w:val="23"/>
        </w:rPr>
        <w:t xml:space="preserve"> and public art</w:t>
      </w:r>
      <w:r>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w:t>
      </w:r>
      <w:r w:rsidR="003C7D5E">
        <w:rPr>
          <w:rFonts w:asciiTheme="majorHAnsi" w:eastAsiaTheme="majorEastAsia" w:hAnsiTheme="majorHAnsi" w:cstheme="majorBidi"/>
          <w:sz w:val="23"/>
          <w:szCs w:val="23"/>
        </w:rPr>
        <w:t xml:space="preserve">local shops, </w:t>
      </w:r>
      <w:r>
        <w:rPr>
          <w:rFonts w:asciiTheme="majorHAnsi" w:eastAsiaTheme="majorEastAsia" w:hAnsiTheme="majorHAnsi" w:cstheme="majorBidi"/>
          <w:sz w:val="23"/>
          <w:szCs w:val="23"/>
        </w:rPr>
        <w:t xml:space="preserve">and </w:t>
      </w:r>
      <w:r w:rsidRPr="00E91887">
        <w:rPr>
          <w:rFonts w:asciiTheme="majorHAnsi" w:eastAsiaTheme="majorEastAsia" w:hAnsiTheme="majorHAnsi" w:cstheme="majorBidi"/>
          <w:sz w:val="23"/>
          <w:szCs w:val="23"/>
        </w:rPr>
        <w:t>mobility</w:t>
      </w:r>
      <w:r>
        <w:rPr>
          <w:rFonts w:asciiTheme="majorHAnsi" w:eastAsiaTheme="majorEastAsia" w:hAnsiTheme="majorHAnsi" w:cstheme="majorBidi"/>
          <w:sz w:val="23"/>
          <w:szCs w:val="23"/>
        </w:rPr>
        <w:t>, including</w:t>
      </w:r>
      <w:r w:rsidRPr="00E91887">
        <w:rPr>
          <w:rFonts w:asciiTheme="majorHAnsi" w:eastAsiaTheme="majorEastAsia" w:hAnsiTheme="majorHAnsi" w:cstheme="majorBidi"/>
          <w:sz w:val="23"/>
          <w:szCs w:val="23"/>
        </w:rPr>
        <w:t xml:space="preserve"> better public transport, walkable suburbs</w:t>
      </w:r>
      <w:r>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cycling paths). </w:t>
      </w:r>
      <w:r>
        <w:rPr>
          <w:rFonts w:asciiTheme="majorHAnsi" w:eastAsiaTheme="majorEastAsia" w:hAnsiTheme="majorHAnsi" w:cstheme="majorBidi"/>
          <w:sz w:val="23"/>
          <w:szCs w:val="23"/>
        </w:rPr>
        <w:t>There are s</w:t>
      </w:r>
      <w:r w:rsidRPr="00E91887">
        <w:rPr>
          <w:rFonts w:asciiTheme="majorHAnsi" w:eastAsiaTheme="majorEastAsia" w:hAnsiTheme="majorHAnsi" w:cstheme="majorBidi"/>
          <w:sz w:val="23"/>
          <w:szCs w:val="23"/>
        </w:rPr>
        <w:t xml:space="preserve">pecific commitments for the </w:t>
      </w:r>
      <w:r w:rsidRPr="00FF6C06">
        <w:rPr>
          <w:rFonts w:asciiTheme="majorHAnsi" w:hAnsiTheme="majorHAnsi" w:cstheme="majorHAnsi"/>
          <w:sz w:val="23"/>
          <w:szCs w:val="23"/>
          <w:lang w:val="en-GB"/>
        </w:rPr>
        <w:t xml:space="preserve">NACH </w:t>
      </w:r>
      <w:r>
        <w:rPr>
          <w:rFonts w:asciiTheme="majorHAnsi" w:hAnsiTheme="majorHAnsi" w:cstheme="majorHAnsi"/>
          <w:sz w:val="23"/>
          <w:szCs w:val="23"/>
          <w:lang w:val="en-GB"/>
        </w:rPr>
        <w:t xml:space="preserve">(the </w:t>
      </w:r>
      <w:r w:rsidRPr="00FF6C06">
        <w:rPr>
          <w:rFonts w:asciiTheme="majorHAnsi" w:hAnsiTheme="majorHAnsi" w:cstheme="majorHAnsi"/>
          <w:sz w:val="23"/>
          <w:szCs w:val="23"/>
          <w:lang w:val="en-GB"/>
        </w:rPr>
        <w:t xml:space="preserve">Northern Aquatic </w:t>
      </w:r>
      <w:r>
        <w:rPr>
          <w:rFonts w:asciiTheme="majorHAnsi" w:hAnsiTheme="majorHAnsi" w:cstheme="majorHAnsi"/>
          <w:sz w:val="23"/>
          <w:szCs w:val="23"/>
          <w:lang w:val="en-GB"/>
        </w:rPr>
        <w:t xml:space="preserve">and Community Hub, formerly known as </w:t>
      </w:r>
      <w:r w:rsidRPr="00E91887">
        <w:rPr>
          <w:rFonts w:asciiTheme="majorHAnsi" w:eastAsiaTheme="majorEastAsia" w:hAnsiTheme="majorHAnsi" w:cstheme="majorBidi"/>
          <w:sz w:val="23"/>
          <w:szCs w:val="23"/>
        </w:rPr>
        <w:t xml:space="preserve">Northern </w:t>
      </w:r>
      <w:r w:rsidRPr="00FF6C06">
        <w:rPr>
          <w:rFonts w:asciiTheme="majorHAnsi" w:eastAsiaTheme="majorEastAsia" w:hAnsiTheme="majorHAnsi" w:cstheme="majorBidi"/>
          <w:sz w:val="23"/>
          <w:szCs w:val="23"/>
        </w:rPr>
        <w:t>ARC</w:t>
      </w:r>
      <w:r w:rsidRPr="00FF6C06">
        <w:rPr>
          <w:rFonts w:asciiTheme="majorHAnsi" w:hAnsiTheme="majorHAnsi" w:cstheme="majorHAnsi"/>
          <w:sz w:val="23"/>
          <w:szCs w:val="23"/>
          <w:lang w:val="en-GB"/>
        </w:rPr>
        <w:t>)</w:t>
      </w:r>
      <w:r w:rsidRPr="00FF6C06">
        <w:rPr>
          <w:rFonts w:asciiTheme="majorHAnsi" w:eastAsiaTheme="majorEastAsia" w:hAnsiTheme="majorHAnsi" w:cstheme="majorBidi"/>
          <w:sz w:val="23"/>
          <w:szCs w:val="23"/>
        </w:rPr>
        <w:t>, upgrad</w:t>
      </w:r>
      <w:r>
        <w:rPr>
          <w:rFonts w:asciiTheme="majorHAnsi" w:eastAsiaTheme="majorEastAsia" w:hAnsiTheme="majorHAnsi" w:cstheme="majorBidi"/>
          <w:sz w:val="23"/>
          <w:szCs w:val="23"/>
        </w:rPr>
        <w:t>ing</w:t>
      </w:r>
      <w:r w:rsidRPr="00FF6C06">
        <w:rPr>
          <w:rFonts w:asciiTheme="majorHAnsi" w:eastAsiaTheme="majorEastAsia" w:hAnsiTheme="majorHAnsi" w:cstheme="majorBidi"/>
          <w:sz w:val="23"/>
          <w:szCs w:val="23"/>
        </w:rPr>
        <w:t xml:space="preserve"> Geelong North </w:t>
      </w:r>
      <w:r>
        <w:rPr>
          <w:rFonts w:asciiTheme="majorHAnsi" w:eastAsiaTheme="majorEastAsia" w:hAnsiTheme="majorHAnsi" w:cstheme="majorBidi"/>
          <w:sz w:val="23"/>
          <w:szCs w:val="23"/>
        </w:rPr>
        <w:t>S</w:t>
      </w:r>
      <w:r w:rsidRPr="00FF6C06">
        <w:rPr>
          <w:rFonts w:asciiTheme="majorHAnsi" w:eastAsiaTheme="majorEastAsia" w:hAnsiTheme="majorHAnsi" w:cstheme="majorBidi"/>
          <w:sz w:val="23"/>
          <w:szCs w:val="23"/>
        </w:rPr>
        <w:t>tation, redevelop</w:t>
      </w:r>
      <w:r>
        <w:rPr>
          <w:rFonts w:asciiTheme="majorHAnsi" w:eastAsiaTheme="majorEastAsia" w:hAnsiTheme="majorHAnsi" w:cstheme="majorBidi"/>
          <w:sz w:val="23"/>
          <w:szCs w:val="23"/>
        </w:rPr>
        <w:t>ing</w:t>
      </w:r>
      <w:r w:rsidRPr="00FF6C06">
        <w:rPr>
          <w:rFonts w:asciiTheme="majorHAnsi" w:eastAsiaTheme="majorEastAsia" w:hAnsiTheme="majorHAnsi" w:cstheme="majorBidi"/>
          <w:sz w:val="23"/>
          <w:szCs w:val="23"/>
        </w:rPr>
        <w:t xml:space="preserve"> Norlane Community Centre</w:t>
      </w:r>
      <w:r>
        <w:rPr>
          <w:rFonts w:asciiTheme="majorHAnsi" w:eastAsiaTheme="majorEastAsia" w:hAnsiTheme="majorHAnsi" w:cstheme="majorBidi"/>
          <w:sz w:val="23"/>
          <w:szCs w:val="23"/>
        </w:rPr>
        <w:t xml:space="preserve"> and</w:t>
      </w:r>
      <w:r w:rsidRPr="00FF6C06">
        <w:rPr>
          <w:rFonts w:asciiTheme="majorHAnsi" w:eastAsiaTheme="majorEastAsia" w:hAnsiTheme="majorHAnsi" w:cstheme="majorBidi"/>
          <w:sz w:val="23"/>
          <w:szCs w:val="23"/>
        </w:rPr>
        <w:t xml:space="preserve"> Corio Library</w:t>
      </w:r>
      <w:r>
        <w:rPr>
          <w:rFonts w:asciiTheme="majorHAnsi" w:eastAsiaTheme="majorEastAsia" w:hAnsiTheme="majorHAnsi" w:cstheme="majorBidi"/>
          <w:sz w:val="23"/>
          <w:szCs w:val="23"/>
        </w:rPr>
        <w:t>,</w:t>
      </w:r>
      <w:r w:rsidRPr="00FF6C06">
        <w:rPr>
          <w:rFonts w:asciiTheme="majorHAnsi" w:eastAsiaTheme="majorEastAsia" w:hAnsiTheme="majorHAnsi" w:cstheme="majorBidi"/>
          <w:sz w:val="23"/>
          <w:szCs w:val="23"/>
        </w:rPr>
        <w:t xml:space="preserve"> and </w:t>
      </w:r>
      <w:r>
        <w:rPr>
          <w:rFonts w:asciiTheme="majorHAnsi" w:eastAsiaTheme="majorEastAsia" w:hAnsiTheme="majorHAnsi" w:cstheme="majorBidi"/>
          <w:sz w:val="23"/>
          <w:szCs w:val="23"/>
        </w:rPr>
        <w:t>undertaking</w:t>
      </w:r>
      <w:r w:rsidRPr="00FF6C06">
        <w:rPr>
          <w:rFonts w:asciiTheme="majorHAnsi" w:eastAsiaTheme="majorEastAsia" w:hAnsiTheme="majorHAnsi" w:cstheme="majorBidi"/>
          <w:sz w:val="23"/>
          <w:szCs w:val="23"/>
        </w:rPr>
        <w:t xml:space="preserve"> minor</w:t>
      </w:r>
      <w:r>
        <w:rPr>
          <w:rFonts w:asciiTheme="majorHAnsi" w:eastAsiaTheme="majorEastAsia" w:hAnsiTheme="majorHAnsi" w:cstheme="majorBidi"/>
          <w:sz w:val="23"/>
          <w:szCs w:val="23"/>
        </w:rPr>
        <w:t xml:space="preserve"> improvement</w:t>
      </w:r>
      <w:r w:rsidRPr="00FF6C06">
        <w:rPr>
          <w:rFonts w:asciiTheme="majorHAnsi" w:eastAsiaTheme="majorEastAsia" w:hAnsiTheme="majorHAnsi" w:cstheme="majorBidi"/>
          <w:sz w:val="23"/>
          <w:szCs w:val="23"/>
        </w:rPr>
        <w:t xml:space="preserve"> works in parks and ovals.</w:t>
      </w:r>
    </w:p>
    <w:p w14:paraId="2BD86CAE" w14:textId="3F14F186" w:rsidR="002129D3" w:rsidRDefault="002129D3" w:rsidP="002129D3">
      <w:pPr>
        <w:spacing w:line="276" w:lineRule="auto"/>
        <w:rPr>
          <w:rFonts w:asciiTheme="majorHAnsi" w:eastAsiaTheme="majorEastAsia" w:hAnsiTheme="majorHAnsi" w:cstheme="majorBidi"/>
          <w:sz w:val="23"/>
          <w:szCs w:val="23"/>
        </w:rPr>
        <w:sectPr w:rsidR="002129D3" w:rsidSect="009452E8">
          <w:pgSz w:w="11900" w:h="16840"/>
          <w:pgMar w:top="1134" w:right="1134" w:bottom="1134" w:left="1134" w:header="709" w:footer="709" w:gutter="0"/>
          <w:cols w:space="708"/>
          <w:docGrid w:linePitch="360"/>
        </w:sectPr>
      </w:pPr>
      <w:r>
        <w:rPr>
          <w:rFonts w:asciiTheme="majorHAnsi" w:eastAsia="Times New Roman" w:hAnsiTheme="majorHAnsi" w:cstheme="majorBidi"/>
          <w:sz w:val="23"/>
          <w:szCs w:val="23"/>
        </w:rPr>
        <w:t xml:space="preserve">Analysing these policies at </w:t>
      </w:r>
      <w:r w:rsidRPr="00E91887">
        <w:rPr>
          <w:rFonts w:asciiTheme="majorHAnsi" w:eastAsia="Times New Roman" w:hAnsiTheme="majorHAnsi" w:cstheme="majorBidi"/>
          <w:sz w:val="23"/>
          <w:szCs w:val="23"/>
        </w:rPr>
        <w:t xml:space="preserve">strategic, operational, </w:t>
      </w:r>
      <w:r w:rsidRPr="00E91887">
        <w:rPr>
          <w:rFonts w:asciiTheme="majorHAnsi" w:eastAsiaTheme="majorEastAsia" w:hAnsiTheme="majorHAnsi" w:cstheme="majorBidi"/>
          <w:sz w:val="23"/>
          <w:szCs w:val="23"/>
        </w:rPr>
        <w:t>sectoral</w:t>
      </w:r>
      <w:r>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and social group </w:t>
      </w:r>
      <w:r w:rsidRPr="0060586F">
        <w:rPr>
          <w:rFonts w:asciiTheme="majorHAnsi" w:eastAsiaTheme="majorEastAsia" w:hAnsiTheme="majorHAnsi" w:cstheme="majorBidi"/>
          <w:sz w:val="23"/>
          <w:szCs w:val="23"/>
        </w:rPr>
        <w:t xml:space="preserve">scales, </w:t>
      </w:r>
      <w:r w:rsidRPr="0060586F">
        <w:rPr>
          <w:rFonts w:asciiTheme="majorHAnsi" w:eastAsia="Times New Roman" w:hAnsiTheme="majorHAnsi" w:cstheme="majorBidi"/>
          <w:sz w:val="23"/>
          <w:szCs w:val="23"/>
        </w:rPr>
        <w:t>we reconsider them in light of the</w:t>
      </w:r>
      <w:r>
        <w:rPr>
          <w:rFonts w:asciiTheme="majorHAnsi" w:eastAsia="Times New Roman" w:hAnsiTheme="majorHAnsi" w:cstheme="majorBidi"/>
          <w:sz w:val="23"/>
          <w:szCs w:val="23"/>
        </w:rPr>
        <w:t xml:space="preserve"> cumulative research findings presented in prior sections</w:t>
      </w:r>
      <w:r w:rsidRPr="004D7E97">
        <w:rPr>
          <w:rFonts w:asciiTheme="majorHAnsi" w:eastAsia="Times New Roman" w:hAnsiTheme="majorHAnsi" w:cstheme="majorBidi"/>
          <w:sz w:val="23"/>
          <w:szCs w:val="23"/>
        </w:rPr>
        <w:t xml:space="preserve"> </w:t>
      </w:r>
      <w:r>
        <w:rPr>
          <w:rFonts w:asciiTheme="majorHAnsi" w:eastAsia="Times New Roman" w:hAnsiTheme="majorHAnsi" w:cstheme="majorBidi"/>
          <w:sz w:val="23"/>
          <w:szCs w:val="23"/>
        </w:rPr>
        <w:t xml:space="preserve">of this report. </w:t>
      </w:r>
      <w:r w:rsidR="005E6FF1">
        <w:rPr>
          <w:rFonts w:asciiTheme="majorHAnsi" w:eastAsia="Times New Roman" w:hAnsiTheme="majorHAnsi" w:cstheme="majorBidi"/>
          <w:sz w:val="23"/>
          <w:szCs w:val="23"/>
        </w:rPr>
        <w:t xml:space="preserve">At </w:t>
      </w:r>
      <w:r w:rsidR="006D548F">
        <w:rPr>
          <w:rFonts w:asciiTheme="majorHAnsi" w:eastAsia="Times New Roman" w:hAnsiTheme="majorHAnsi" w:cstheme="majorBidi"/>
          <w:sz w:val="23"/>
          <w:szCs w:val="23"/>
        </w:rPr>
        <w:t>the conclusion of this section, we</w:t>
      </w:r>
      <w:r>
        <w:rPr>
          <w:rFonts w:asciiTheme="majorHAnsi" w:eastAsia="Times New Roman" w:hAnsiTheme="majorHAnsi" w:cstheme="majorBidi"/>
          <w:sz w:val="23"/>
          <w:szCs w:val="23"/>
        </w:rPr>
        <w:t xml:space="preserve"> </w:t>
      </w:r>
      <w:r>
        <w:rPr>
          <w:rFonts w:asciiTheme="majorHAnsi" w:eastAsiaTheme="majorEastAsia" w:hAnsiTheme="majorHAnsi" w:cstheme="majorBidi"/>
          <w:sz w:val="23"/>
          <w:szCs w:val="23"/>
        </w:rPr>
        <w:t xml:space="preserve">identify </w:t>
      </w:r>
      <w:r w:rsidRPr="00E91887">
        <w:rPr>
          <w:rFonts w:asciiTheme="majorHAnsi" w:eastAsiaTheme="majorEastAsia" w:hAnsiTheme="majorHAnsi" w:cstheme="majorBidi"/>
          <w:sz w:val="23"/>
          <w:szCs w:val="23"/>
        </w:rPr>
        <w:t xml:space="preserve">a series of </w:t>
      </w:r>
      <w:r w:rsidR="006D548F">
        <w:rPr>
          <w:rFonts w:asciiTheme="majorHAnsi" w:eastAsiaTheme="majorEastAsia" w:hAnsiTheme="majorHAnsi" w:cstheme="majorBidi"/>
          <w:sz w:val="23"/>
          <w:szCs w:val="23"/>
        </w:rPr>
        <w:t xml:space="preserve">policy </w:t>
      </w:r>
      <w:r w:rsidRPr="00E91887">
        <w:rPr>
          <w:rFonts w:asciiTheme="majorHAnsi" w:eastAsiaTheme="majorEastAsia" w:hAnsiTheme="majorHAnsi" w:cstheme="majorBidi"/>
          <w:sz w:val="23"/>
          <w:szCs w:val="23"/>
        </w:rPr>
        <w:t xml:space="preserve">gaps </w:t>
      </w:r>
      <w:r>
        <w:rPr>
          <w:rFonts w:asciiTheme="majorHAnsi" w:eastAsiaTheme="majorEastAsia" w:hAnsiTheme="majorHAnsi" w:cstheme="majorBidi"/>
          <w:sz w:val="23"/>
          <w:szCs w:val="23"/>
        </w:rPr>
        <w:t xml:space="preserve">and opportunities </w:t>
      </w:r>
      <w:r w:rsidRPr="00E91887">
        <w:rPr>
          <w:rFonts w:asciiTheme="majorHAnsi" w:eastAsiaTheme="majorEastAsia" w:hAnsiTheme="majorHAnsi" w:cstheme="majorBidi"/>
          <w:sz w:val="23"/>
          <w:szCs w:val="23"/>
        </w:rPr>
        <w:t>for further exploratio</w:t>
      </w:r>
      <w:r>
        <w:rPr>
          <w:rFonts w:asciiTheme="majorHAnsi" w:eastAsiaTheme="majorEastAsia" w:hAnsiTheme="majorHAnsi" w:cstheme="majorBidi"/>
          <w:sz w:val="23"/>
          <w:szCs w:val="23"/>
        </w:rPr>
        <w:t>n</w:t>
      </w:r>
      <w:r w:rsidR="00EB7406">
        <w:rPr>
          <w:rFonts w:asciiTheme="majorHAnsi" w:eastAsiaTheme="majorEastAsia" w:hAnsiTheme="majorHAnsi" w:cstheme="majorBidi"/>
          <w:sz w:val="23"/>
          <w:szCs w:val="23"/>
        </w:rPr>
        <w:t>, and offer some preliminary suggestions based on</w:t>
      </w:r>
      <w:r w:rsidR="00154AC9">
        <w:rPr>
          <w:rFonts w:asciiTheme="majorHAnsi" w:eastAsiaTheme="majorEastAsia" w:hAnsiTheme="majorHAnsi" w:cstheme="majorBidi"/>
          <w:sz w:val="23"/>
          <w:szCs w:val="23"/>
        </w:rPr>
        <w:t xml:space="preserve"> cumulative findings up to this point in the study.</w:t>
      </w:r>
    </w:p>
    <w:p w14:paraId="2378F507" w14:textId="7C823FD9" w:rsidR="00F00E3D" w:rsidRPr="005D3483" w:rsidRDefault="00F00E3D" w:rsidP="005D3483">
      <w:pPr>
        <w:spacing w:after="0" w:line="257" w:lineRule="auto"/>
        <w:rPr>
          <w:rFonts w:asciiTheme="majorHAnsi" w:eastAsiaTheme="majorEastAsia" w:hAnsiTheme="majorHAnsi" w:cstheme="majorBidi"/>
          <w:sz w:val="2"/>
          <w:szCs w:val="2"/>
        </w:rPr>
      </w:pPr>
    </w:p>
    <w:bookmarkEnd w:id="93"/>
    <w:tbl>
      <w:tblPr>
        <w:tblStyle w:val="TableGrid1"/>
        <w:tblW w:w="14591" w:type="dxa"/>
        <w:tblLayout w:type="fixed"/>
        <w:tblLook w:val="04A0" w:firstRow="1" w:lastRow="0" w:firstColumn="1" w:lastColumn="0" w:noHBand="0" w:noVBand="1"/>
      </w:tblPr>
      <w:tblGrid>
        <w:gridCol w:w="1696"/>
        <w:gridCol w:w="5524"/>
        <w:gridCol w:w="7371"/>
      </w:tblGrid>
      <w:tr w:rsidR="00F00E3D" w:rsidRPr="002822AD" w14:paraId="0F160AE1" w14:textId="77777777" w:rsidTr="00BD6662">
        <w:tc>
          <w:tcPr>
            <w:tcW w:w="1696" w:type="dxa"/>
            <w:shd w:val="clear" w:color="auto" w:fill="D0CECE" w:themeFill="background2" w:themeFillShade="E6"/>
          </w:tcPr>
          <w:p w14:paraId="62902D26" w14:textId="77777777" w:rsidR="0005244D" w:rsidRPr="00577676" w:rsidRDefault="0005244D" w:rsidP="0005244D">
            <w:pPr>
              <w:spacing w:after="0" w:line="240" w:lineRule="auto"/>
              <w:rPr>
                <w:rFonts w:eastAsia="Times New Roman" w:cstheme="minorHAnsi"/>
                <w:b/>
                <w:bCs/>
                <w:sz w:val="12"/>
                <w:szCs w:val="12"/>
              </w:rPr>
            </w:pPr>
          </w:p>
          <w:p w14:paraId="725CD971" w14:textId="2635371D" w:rsidR="00F00E3D" w:rsidRPr="002822AD" w:rsidRDefault="00F00E3D" w:rsidP="0005244D">
            <w:pPr>
              <w:spacing w:line="240" w:lineRule="auto"/>
              <w:rPr>
                <w:rFonts w:cstheme="minorHAnsi"/>
              </w:rPr>
            </w:pPr>
            <w:r w:rsidRPr="002822AD">
              <w:rPr>
                <w:rFonts w:eastAsia="Times New Roman" w:cstheme="minorHAnsi"/>
                <w:b/>
                <w:bCs/>
              </w:rPr>
              <w:t>Policy</w:t>
            </w:r>
          </w:p>
        </w:tc>
        <w:tc>
          <w:tcPr>
            <w:tcW w:w="5524" w:type="dxa"/>
            <w:shd w:val="clear" w:color="auto" w:fill="D0CECE" w:themeFill="background2" w:themeFillShade="E6"/>
          </w:tcPr>
          <w:p w14:paraId="12673629" w14:textId="77777777" w:rsidR="0005244D" w:rsidRPr="00577676" w:rsidRDefault="0005244D" w:rsidP="0005244D">
            <w:pPr>
              <w:spacing w:after="0" w:line="240" w:lineRule="auto"/>
              <w:rPr>
                <w:rFonts w:eastAsia="Times New Roman" w:cstheme="minorHAnsi"/>
                <w:b/>
                <w:bCs/>
                <w:sz w:val="12"/>
                <w:szCs w:val="12"/>
              </w:rPr>
            </w:pPr>
          </w:p>
          <w:p w14:paraId="50654B2C" w14:textId="77777777" w:rsidR="00F00E3D" w:rsidRDefault="00F00E3D" w:rsidP="0005244D">
            <w:pPr>
              <w:spacing w:line="240" w:lineRule="auto"/>
              <w:rPr>
                <w:rFonts w:eastAsia="Times New Roman" w:cstheme="minorHAnsi"/>
                <w:b/>
                <w:bCs/>
              </w:rPr>
            </w:pPr>
            <w:r w:rsidRPr="002822AD">
              <w:rPr>
                <w:rFonts w:eastAsia="Times New Roman" w:cstheme="minorHAnsi"/>
                <w:b/>
                <w:bCs/>
              </w:rPr>
              <w:t xml:space="preserve">General </w:t>
            </w:r>
            <w:r w:rsidR="0005244D">
              <w:rPr>
                <w:rFonts w:eastAsia="Times New Roman" w:cstheme="minorHAnsi"/>
                <w:b/>
                <w:bCs/>
              </w:rPr>
              <w:t>P</w:t>
            </w:r>
            <w:r w:rsidRPr="002822AD">
              <w:rPr>
                <w:rFonts w:eastAsia="Times New Roman" w:cstheme="minorHAnsi"/>
                <w:b/>
                <w:bCs/>
              </w:rPr>
              <w:t>riorities</w:t>
            </w:r>
          </w:p>
          <w:p w14:paraId="6F0EC453" w14:textId="45CC79B1" w:rsidR="001C370E" w:rsidRPr="001C370E" w:rsidRDefault="001C370E" w:rsidP="001C370E">
            <w:pPr>
              <w:spacing w:after="0" w:line="240" w:lineRule="auto"/>
              <w:rPr>
                <w:rFonts w:cstheme="minorHAnsi"/>
                <w:sz w:val="12"/>
                <w:szCs w:val="12"/>
              </w:rPr>
            </w:pPr>
          </w:p>
        </w:tc>
        <w:tc>
          <w:tcPr>
            <w:tcW w:w="7371" w:type="dxa"/>
            <w:shd w:val="clear" w:color="auto" w:fill="D0CECE" w:themeFill="background2" w:themeFillShade="E6"/>
          </w:tcPr>
          <w:p w14:paraId="2E499C68" w14:textId="77777777" w:rsidR="0005244D" w:rsidRPr="00577676" w:rsidRDefault="0005244D" w:rsidP="0005244D">
            <w:pPr>
              <w:spacing w:after="0" w:line="240" w:lineRule="auto"/>
              <w:rPr>
                <w:rFonts w:eastAsia="Times New Roman" w:cstheme="minorHAnsi"/>
                <w:b/>
                <w:bCs/>
                <w:sz w:val="12"/>
                <w:szCs w:val="12"/>
              </w:rPr>
            </w:pPr>
          </w:p>
          <w:p w14:paraId="248EA328" w14:textId="1C957F84" w:rsidR="00F00E3D" w:rsidRPr="002822AD" w:rsidRDefault="00F00E3D" w:rsidP="0005244D">
            <w:pPr>
              <w:spacing w:line="240" w:lineRule="auto"/>
              <w:rPr>
                <w:rFonts w:cstheme="minorHAnsi"/>
              </w:rPr>
            </w:pPr>
            <w:r w:rsidRPr="002822AD">
              <w:rPr>
                <w:rFonts w:eastAsia="Times New Roman" w:cstheme="minorHAnsi"/>
                <w:b/>
                <w:bCs/>
              </w:rPr>
              <w:t>Relevance to Corio</w:t>
            </w:r>
            <w:r w:rsidR="005B6441">
              <w:rPr>
                <w:rFonts w:eastAsia="Times New Roman" w:cstheme="minorHAnsi"/>
                <w:b/>
                <w:bCs/>
              </w:rPr>
              <w:t xml:space="preserve">, </w:t>
            </w:r>
            <w:r w:rsidRPr="002822AD">
              <w:rPr>
                <w:rFonts w:eastAsia="Times New Roman" w:cstheme="minorHAnsi"/>
                <w:b/>
                <w:bCs/>
              </w:rPr>
              <w:t>Norlane and/or Whittington</w:t>
            </w:r>
          </w:p>
        </w:tc>
      </w:tr>
      <w:tr w:rsidR="007C6B15" w:rsidRPr="002822AD" w14:paraId="29B3D050" w14:textId="77777777" w:rsidTr="00B60B72">
        <w:tc>
          <w:tcPr>
            <w:tcW w:w="14591" w:type="dxa"/>
            <w:gridSpan w:val="3"/>
            <w:shd w:val="clear" w:color="auto" w:fill="F2F2F2" w:themeFill="background1" w:themeFillShade="F2"/>
          </w:tcPr>
          <w:p w14:paraId="3963B6AE" w14:textId="77777777" w:rsidR="0005244D" w:rsidRPr="001C370E" w:rsidRDefault="0005244D" w:rsidP="0005244D">
            <w:pPr>
              <w:spacing w:after="0" w:line="240" w:lineRule="auto"/>
              <w:rPr>
                <w:rFonts w:eastAsia="Times New Roman" w:cstheme="minorHAnsi"/>
                <w:b/>
                <w:bCs/>
                <w:sz w:val="12"/>
                <w:szCs w:val="12"/>
              </w:rPr>
            </w:pPr>
          </w:p>
          <w:p w14:paraId="48883643" w14:textId="77777777" w:rsidR="007C6B15" w:rsidRPr="00822832" w:rsidRDefault="0005244D" w:rsidP="002D2C4E">
            <w:pPr>
              <w:spacing w:after="0" w:line="240" w:lineRule="auto"/>
              <w:rPr>
                <w:rFonts w:eastAsia="Times New Roman" w:cstheme="minorHAnsi"/>
                <w:b/>
                <w:bCs/>
                <w:sz w:val="21"/>
                <w:szCs w:val="21"/>
              </w:rPr>
            </w:pPr>
            <w:r w:rsidRPr="00822832">
              <w:rPr>
                <w:rFonts w:eastAsia="Times New Roman" w:cstheme="minorHAnsi"/>
                <w:b/>
                <w:bCs/>
                <w:sz w:val="21"/>
                <w:szCs w:val="21"/>
              </w:rPr>
              <w:t>CITY-WIDE: STRATEGIC</w:t>
            </w:r>
          </w:p>
          <w:p w14:paraId="67B51A03" w14:textId="18EC9E79" w:rsidR="002D2C4E" w:rsidRPr="005B0272" w:rsidRDefault="002D2C4E" w:rsidP="002D2C4E">
            <w:pPr>
              <w:spacing w:after="0" w:line="240" w:lineRule="auto"/>
              <w:rPr>
                <w:rFonts w:cstheme="minorHAnsi"/>
                <w:sz w:val="12"/>
                <w:szCs w:val="12"/>
              </w:rPr>
            </w:pPr>
          </w:p>
        </w:tc>
      </w:tr>
      <w:tr w:rsidR="00F00E3D" w:rsidRPr="0005244D" w14:paraId="3D4702A8" w14:textId="77777777" w:rsidTr="00BD6662">
        <w:tc>
          <w:tcPr>
            <w:tcW w:w="1696" w:type="dxa"/>
          </w:tcPr>
          <w:p w14:paraId="0453F828" w14:textId="77777777" w:rsidR="00577676" w:rsidRPr="00577676" w:rsidRDefault="00577676" w:rsidP="0005244D">
            <w:pPr>
              <w:spacing w:after="0" w:line="240" w:lineRule="auto"/>
              <w:rPr>
                <w:rFonts w:asciiTheme="majorHAnsi" w:eastAsia="Times New Roman" w:hAnsiTheme="majorHAnsi" w:cstheme="majorHAnsi"/>
                <w:sz w:val="12"/>
                <w:szCs w:val="12"/>
              </w:rPr>
            </w:pPr>
          </w:p>
          <w:p w14:paraId="71DFF005" w14:textId="1B5AC568" w:rsidR="00F00E3D" w:rsidRPr="0005244D" w:rsidRDefault="00F00E3D" w:rsidP="0005244D">
            <w:pPr>
              <w:spacing w:after="0" w:line="240" w:lineRule="auto"/>
              <w:rPr>
                <w:rFonts w:asciiTheme="majorHAnsi" w:hAnsiTheme="majorHAnsi" w:cstheme="majorHAnsi"/>
                <w:sz w:val="21"/>
                <w:szCs w:val="21"/>
              </w:rPr>
            </w:pPr>
            <w:r w:rsidRPr="000A6C85">
              <w:rPr>
                <w:rFonts w:eastAsia="Times New Roman" w:cstheme="minorHAnsi"/>
                <w:b/>
                <w:bCs/>
                <w:sz w:val="21"/>
                <w:szCs w:val="21"/>
              </w:rPr>
              <w:t xml:space="preserve">Greater Geelong: A </w:t>
            </w:r>
            <w:r w:rsidR="005D3483" w:rsidRPr="000A6C85">
              <w:rPr>
                <w:rFonts w:eastAsia="Times New Roman" w:cstheme="minorHAnsi"/>
                <w:b/>
                <w:bCs/>
                <w:sz w:val="21"/>
                <w:szCs w:val="21"/>
              </w:rPr>
              <w:t>Clever and Creative Future</w:t>
            </w:r>
            <w:r w:rsidR="005D3483" w:rsidRPr="000A6C85">
              <w:rPr>
                <w:rFonts w:eastAsia="Times New Roman" w:cstheme="minorHAnsi"/>
                <w:b/>
                <w:bCs/>
                <w:i/>
                <w:iCs/>
                <w:sz w:val="21"/>
                <w:szCs w:val="21"/>
              </w:rPr>
              <w:t xml:space="preserve"> </w:t>
            </w:r>
            <w:r w:rsidRPr="000A6C85">
              <w:rPr>
                <w:rFonts w:eastAsia="Times New Roman" w:cstheme="minorHAnsi"/>
                <w:b/>
                <w:bCs/>
                <w:noProof/>
                <w:sz w:val="21"/>
                <w:szCs w:val="21"/>
              </w:rPr>
              <w:t>(City of Greater</w:t>
            </w:r>
            <w:r w:rsidRPr="0005244D">
              <w:rPr>
                <w:rFonts w:asciiTheme="majorHAnsi" w:eastAsia="Times New Roman" w:hAnsiTheme="majorHAnsi" w:cstheme="majorHAnsi"/>
                <w:noProof/>
                <w:sz w:val="21"/>
                <w:szCs w:val="21"/>
              </w:rPr>
              <w:t xml:space="preserve"> Geelong, 2017)</w:t>
            </w:r>
          </w:p>
          <w:p w14:paraId="3707F44A" w14:textId="77777777" w:rsidR="00F00E3D" w:rsidRPr="000A6C85"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47339A1E"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21AC4592"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68F5AF41"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345139D0"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56A5E96F" w14:textId="6CDA177A" w:rsidR="00F00E3D" w:rsidRPr="005B0272"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tc>
        <w:tc>
          <w:tcPr>
            <w:tcW w:w="5524" w:type="dxa"/>
          </w:tcPr>
          <w:p w14:paraId="21A54C86" w14:textId="77777777" w:rsidR="00577676" w:rsidRPr="00577676" w:rsidRDefault="00577676" w:rsidP="0005244D">
            <w:pPr>
              <w:spacing w:after="0" w:line="240" w:lineRule="auto"/>
              <w:rPr>
                <w:rFonts w:asciiTheme="majorHAnsi" w:eastAsia="Calibri Light" w:hAnsiTheme="majorHAnsi" w:cstheme="majorHAnsi"/>
                <w:sz w:val="12"/>
                <w:szCs w:val="12"/>
              </w:rPr>
            </w:pPr>
          </w:p>
          <w:p w14:paraId="35F91A0C" w14:textId="332B5D41" w:rsidR="00F00E3D" w:rsidRDefault="005D3483" w:rsidP="0005244D">
            <w:pPr>
              <w:spacing w:after="0" w:line="240" w:lineRule="auto"/>
              <w:rPr>
                <w:rFonts w:asciiTheme="majorHAnsi" w:eastAsia="Calibri Light" w:hAnsiTheme="majorHAnsi" w:cstheme="majorHAnsi"/>
                <w:sz w:val="21"/>
                <w:szCs w:val="21"/>
              </w:rPr>
            </w:pPr>
            <w:r w:rsidRPr="0005244D">
              <w:rPr>
                <w:rFonts w:asciiTheme="majorHAnsi" w:eastAsia="Calibri Light" w:hAnsiTheme="majorHAnsi" w:cstheme="majorHAnsi"/>
                <w:sz w:val="21"/>
                <w:szCs w:val="21"/>
              </w:rPr>
              <w:t>“</w:t>
            </w:r>
            <w:r w:rsidR="00F00E3D" w:rsidRPr="0005244D">
              <w:rPr>
                <w:rFonts w:asciiTheme="majorHAnsi" w:eastAsia="Calibri Light" w:hAnsiTheme="majorHAnsi" w:cstheme="majorHAnsi"/>
                <w:sz w:val="21"/>
                <w:szCs w:val="21"/>
              </w:rPr>
              <w:t>Greater Geelong will be internationally recognised as a clever and creative city-region that is forward looking, enterprising and adaptive and cares for all its people.</w:t>
            </w:r>
            <w:r w:rsidRPr="0005244D">
              <w:rPr>
                <w:rFonts w:asciiTheme="majorHAnsi" w:eastAsia="Calibri Light" w:hAnsiTheme="majorHAnsi" w:cstheme="majorHAnsi"/>
                <w:sz w:val="21"/>
                <w:szCs w:val="21"/>
              </w:rPr>
              <w:t>”</w:t>
            </w:r>
          </w:p>
          <w:p w14:paraId="06942C7A" w14:textId="77777777" w:rsidR="00DC512B" w:rsidRPr="00137B21" w:rsidRDefault="00DC512B" w:rsidP="0005244D">
            <w:pPr>
              <w:spacing w:after="0" w:line="240" w:lineRule="auto"/>
              <w:rPr>
                <w:rFonts w:asciiTheme="majorHAnsi" w:eastAsia="Calibri Light" w:hAnsiTheme="majorHAnsi" w:cstheme="majorHAnsi"/>
                <w:sz w:val="12"/>
                <w:szCs w:val="12"/>
              </w:rPr>
            </w:pPr>
          </w:p>
          <w:p w14:paraId="30690638" w14:textId="7A360CC5" w:rsidR="00F00E3D" w:rsidRPr="00472ED5" w:rsidRDefault="00A1538E" w:rsidP="00472ED5">
            <w:pPr>
              <w:spacing w:after="0" w:line="240" w:lineRule="auto"/>
              <w:rPr>
                <w:rFonts w:asciiTheme="majorHAnsi" w:eastAsia="Calibri Light" w:hAnsiTheme="majorHAnsi" w:cstheme="majorHAnsi"/>
                <w:sz w:val="21"/>
                <w:szCs w:val="21"/>
              </w:rPr>
            </w:pPr>
            <w:r w:rsidRPr="00472ED5">
              <w:rPr>
                <w:rFonts w:asciiTheme="majorHAnsi" w:eastAsia="Calibri Light" w:hAnsiTheme="majorHAnsi" w:cstheme="majorHAnsi"/>
                <w:sz w:val="21"/>
                <w:szCs w:val="21"/>
              </w:rPr>
              <w:t>A</w:t>
            </w:r>
            <w:r w:rsidR="00137B21">
              <w:rPr>
                <w:rFonts w:asciiTheme="majorHAnsi" w:eastAsia="Calibri Light" w:hAnsiTheme="majorHAnsi" w:cstheme="majorHAnsi"/>
                <w:sz w:val="21"/>
                <w:szCs w:val="21"/>
              </w:rPr>
              <w:t>ims and a</w:t>
            </w:r>
            <w:r w:rsidRPr="00472ED5">
              <w:rPr>
                <w:rFonts w:asciiTheme="majorHAnsi" w:eastAsia="Calibri Light" w:hAnsiTheme="majorHAnsi" w:cstheme="majorHAnsi"/>
                <w:sz w:val="21"/>
                <w:szCs w:val="21"/>
              </w:rPr>
              <w:t>venues to realise this vision</w:t>
            </w:r>
            <w:r w:rsidR="00F00E3D" w:rsidRPr="00472ED5">
              <w:rPr>
                <w:rFonts w:asciiTheme="majorHAnsi" w:eastAsia="Calibri Light" w:hAnsiTheme="majorHAnsi" w:cstheme="majorHAnsi"/>
                <w:sz w:val="21"/>
                <w:szCs w:val="21"/>
              </w:rPr>
              <w:t>:</w:t>
            </w:r>
          </w:p>
          <w:p w14:paraId="48204D3D" w14:textId="5488C000" w:rsidR="00F00E3D" w:rsidRPr="00AA59C6" w:rsidRDefault="000203AB" w:rsidP="00364C5D">
            <w:pPr>
              <w:pStyle w:val="ListParagraph"/>
              <w:numPr>
                <w:ilvl w:val="0"/>
                <w:numId w:val="78"/>
              </w:numPr>
              <w:spacing w:after="0" w:line="240" w:lineRule="auto"/>
              <w:ind w:left="77" w:hanging="25"/>
              <w:rPr>
                <w:rFonts w:asciiTheme="majorHAnsi" w:eastAsiaTheme="minorEastAsia" w:hAnsiTheme="majorHAnsi" w:cstheme="majorHAnsi"/>
                <w:color w:val="000000" w:themeColor="text1"/>
                <w:sz w:val="21"/>
                <w:szCs w:val="21"/>
              </w:rPr>
            </w:pPr>
            <w:r>
              <w:rPr>
                <w:rFonts w:asciiTheme="majorHAnsi" w:eastAsia="Calibri Light" w:hAnsiTheme="majorHAnsi" w:cstheme="majorHAnsi"/>
                <w:sz w:val="21"/>
                <w:szCs w:val="21"/>
              </w:rPr>
              <w:t>I</w:t>
            </w:r>
            <w:r w:rsidR="00F00E3D" w:rsidRPr="00AA59C6">
              <w:rPr>
                <w:rFonts w:asciiTheme="majorHAnsi" w:eastAsia="Calibri Light" w:hAnsiTheme="majorHAnsi" w:cstheme="majorHAnsi"/>
                <w:sz w:val="21"/>
                <w:szCs w:val="21"/>
              </w:rPr>
              <w:t>nclusive, diverse, healthy</w:t>
            </w:r>
            <w:r w:rsidR="00DC512B" w:rsidRPr="00AA59C6">
              <w:rPr>
                <w:rFonts w:asciiTheme="majorHAnsi" w:eastAsia="Calibri Light" w:hAnsiTheme="majorHAnsi" w:cstheme="majorHAnsi"/>
                <w:sz w:val="21"/>
                <w:szCs w:val="21"/>
              </w:rPr>
              <w:t>,</w:t>
            </w:r>
            <w:r w:rsidR="00F00E3D" w:rsidRPr="00AA59C6">
              <w:rPr>
                <w:rFonts w:asciiTheme="majorHAnsi" w:eastAsia="Calibri Light" w:hAnsiTheme="majorHAnsi" w:cstheme="majorHAnsi"/>
                <w:sz w:val="21"/>
                <w:szCs w:val="21"/>
              </w:rPr>
              <w:t xml:space="preserve"> socially connected</w:t>
            </w:r>
            <w:r w:rsidR="00E25041">
              <w:rPr>
                <w:rFonts w:asciiTheme="majorHAnsi" w:eastAsia="Calibri Light" w:hAnsiTheme="majorHAnsi" w:cstheme="majorHAnsi"/>
                <w:sz w:val="21"/>
                <w:szCs w:val="21"/>
              </w:rPr>
              <w:t xml:space="preserve"> </w:t>
            </w:r>
            <w:r w:rsidR="00F00E3D" w:rsidRPr="00AA59C6">
              <w:rPr>
                <w:rFonts w:asciiTheme="majorHAnsi" w:eastAsia="Calibri Light" w:hAnsiTheme="majorHAnsi" w:cstheme="majorHAnsi"/>
                <w:sz w:val="21"/>
                <w:szCs w:val="21"/>
              </w:rPr>
              <w:t>community</w:t>
            </w:r>
          </w:p>
          <w:p w14:paraId="1A3FEE29" w14:textId="130CDBD8" w:rsidR="00F00E3D" w:rsidRPr="00AA59C6" w:rsidRDefault="000203AB" w:rsidP="00364C5D">
            <w:pPr>
              <w:pStyle w:val="ListParagraph"/>
              <w:numPr>
                <w:ilvl w:val="0"/>
                <w:numId w:val="78"/>
              </w:numPr>
              <w:spacing w:after="0" w:line="240" w:lineRule="auto"/>
              <w:jc w:val="both"/>
              <w:rPr>
                <w:rFonts w:asciiTheme="majorHAnsi" w:eastAsiaTheme="minorEastAsia" w:hAnsiTheme="majorHAnsi" w:cstheme="majorHAnsi"/>
                <w:color w:val="000000" w:themeColor="text1"/>
                <w:sz w:val="21"/>
                <w:szCs w:val="21"/>
              </w:rPr>
            </w:pPr>
            <w:r>
              <w:rPr>
                <w:rFonts w:asciiTheme="majorHAnsi" w:eastAsia="Calibri Light" w:hAnsiTheme="majorHAnsi" w:cstheme="majorHAnsi"/>
                <w:sz w:val="21"/>
                <w:szCs w:val="21"/>
              </w:rPr>
              <w:t>F</w:t>
            </w:r>
            <w:r w:rsidR="00F00E3D" w:rsidRPr="00AA59C6">
              <w:rPr>
                <w:rFonts w:asciiTheme="majorHAnsi" w:eastAsia="Calibri Light" w:hAnsiTheme="majorHAnsi" w:cstheme="majorHAnsi"/>
                <w:sz w:val="21"/>
                <w:szCs w:val="21"/>
              </w:rPr>
              <w:t>ast, reliable</w:t>
            </w:r>
            <w:r w:rsidR="00A1538E" w:rsidRPr="00AA59C6">
              <w:rPr>
                <w:rFonts w:asciiTheme="majorHAnsi" w:eastAsia="Calibri Light" w:hAnsiTheme="majorHAnsi" w:cstheme="majorHAnsi"/>
                <w:sz w:val="21"/>
                <w:szCs w:val="21"/>
              </w:rPr>
              <w:t>,</w:t>
            </w:r>
            <w:r w:rsidR="00F00E3D" w:rsidRPr="00AA59C6">
              <w:rPr>
                <w:rFonts w:asciiTheme="majorHAnsi" w:eastAsia="Calibri Light" w:hAnsiTheme="majorHAnsi" w:cstheme="majorHAnsi"/>
                <w:sz w:val="21"/>
                <w:szCs w:val="21"/>
              </w:rPr>
              <w:t xml:space="preserve"> and connected transport network</w:t>
            </w:r>
          </w:p>
          <w:p w14:paraId="21A05BEF" w14:textId="55CA475E" w:rsidR="00F00E3D" w:rsidRPr="00AA59C6" w:rsidRDefault="000203AB" w:rsidP="00364C5D">
            <w:pPr>
              <w:pStyle w:val="ListParagraph"/>
              <w:numPr>
                <w:ilvl w:val="0"/>
                <w:numId w:val="78"/>
              </w:numPr>
              <w:spacing w:after="0" w:line="240" w:lineRule="auto"/>
              <w:jc w:val="both"/>
              <w:rPr>
                <w:rFonts w:asciiTheme="majorHAnsi" w:eastAsiaTheme="minorEastAsia" w:hAnsiTheme="majorHAnsi" w:cstheme="majorHAnsi"/>
                <w:color w:val="000000" w:themeColor="text1"/>
                <w:sz w:val="21"/>
                <w:szCs w:val="21"/>
              </w:rPr>
            </w:pPr>
            <w:r>
              <w:rPr>
                <w:rFonts w:asciiTheme="majorHAnsi" w:eastAsia="Calibri Light" w:hAnsiTheme="majorHAnsi" w:cstheme="majorHAnsi"/>
                <w:sz w:val="21"/>
                <w:szCs w:val="21"/>
              </w:rPr>
              <w:t>P</w:t>
            </w:r>
            <w:r w:rsidR="00F00E3D" w:rsidRPr="00AA59C6">
              <w:rPr>
                <w:rFonts w:asciiTheme="majorHAnsi" w:eastAsia="Calibri Light" w:hAnsiTheme="majorHAnsi" w:cstheme="majorHAnsi"/>
                <w:sz w:val="21"/>
                <w:szCs w:val="21"/>
              </w:rPr>
              <w:t>rosperous economy that supports jobs and opportunities</w:t>
            </w:r>
          </w:p>
          <w:p w14:paraId="1FF3ACC7" w14:textId="2860140E" w:rsidR="00F00E3D" w:rsidRPr="00AA59C6" w:rsidRDefault="000203AB" w:rsidP="00364C5D">
            <w:pPr>
              <w:pStyle w:val="ListParagraph"/>
              <w:numPr>
                <w:ilvl w:val="0"/>
                <w:numId w:val="78"/>
              </w:numPr>
              <w:spacing w:after="0" w:line="240" w:lineRule="auto"/>
              <w:jc w:val="both"/>
              <w:rPr>
                <w:rFonts w:asciiTheme="majorHAnsi" w:eastAsia="Calibri Light" w:hAnsiTheme="majorHAnsi" w:cstheme="majorBidi"/>
                <w:sz w:val="21"/>
                <w:szCs w:val="21"/>
              </w:rPr>
            </w:pPr>
            <w:r>
              <w:rPr>
                <w:rFonts w:asciiTheme="majorHAnsi" w:eastAsia="Calibri Light" w:hAnsiTheme="majorHAnsi" w:cstheme="majorBidi"/>
                <w:sz w:val="21"/>
                <w:szCs w:val="21"/>
              </w:rPr>
              <w:t>L</w:t>
            </w:r>
            <w:r w:rsidR="00F00E3D" w:rsidRPr="00AA59C6">
              <w:rPr>
                <w:rFonts w:asciiTheme="majorHAnsi" w:eastAsia="Calibri Light" w:hAnsiTheme="majorHAnsi" w:cstheme="majorBidi"/>
                <w:sz w:val="21"/>
                <w:szCs w:val="21"/>
              </w:rPr>
              <w:t xml:space="preserve">eader in developing and adopting technology </w:t>
            </w:r>
          </w:p>
        </w:tc>
        <w:tc>
          <w:tcPr>
            <w:tcW w:w="7371" w:type="dxa"/>
          </w:tcPr>
          <w:p w14:paraId="3A1783E3" w14:textId="77777777" w:rsidR="00577676" w:rsidRPr="00577676" w:rsidRDefault="00577676" w:rsidP="00ED16A3">
            <w:pPr>
              <w:spacing w:after="0" w:line="240" w:lineRule="auto"/>
              <w:ind w:left="57"/>
              <w:rPr>
                <w:rFonts w:asciiTheme="majorHAnsi" w:eastAsia="Calibri Light" w:hAnsiTheme="majorHAnsi" w:cstheme="majorBidi"/>
                <w:sz w:val="12"/>
                <w:szCs w:val="12"/>
              </w:rPr>
            </w:pPr>
          </w:p>
          <w:p w14:paraId="63CB436B" w14:textId="0FB7DB0A" w:rsidR="00ED16A3" w:rsidRDefault="00577676" w:rsidP="00ED16A3">
            <w:pPr>
              <w:spacing w:after="0" w:line="240" w:lineRule="auto"/>
              <w:ind w:left="57"/>
              <w:rPr>
                <w:rFonts w:asciiTheme="majorHAnsi" w:eastAsia="Calibri Light" w:hAnsiTheme="majorHAnsi" w:cstheme="majorBidi"/>
                <w:sz w:val="21"/>
                <w:szCs w:val="21"/>
              </w:rPr>
            </w:pPr>
            <w:r>
              <w:rPr>
                <w:rFonts w:asciiTheme="majorHAnsi" w:eastAsia="Calibri Light" w:hAnsiTheme="majorHAnsi" w:cstheme="majorBidi"/>
                <w:sz w:val="21"/>
                <w:szCs w:val="21"/>
              </w:rPr>
              <w:t>General p</w:t>
            </w:r>
            <w:r w:rsidR="00F00E3D" w:rsidRPr="00ED16A3">
              <w:rPr>
                <w:rFonts w:asciiTheme="majorHAnsi" w:eastAsia="Calibri Light" w:hAnsiTheme="majorHAnsi" w:cstheme="majorBidi"/>
                <w:sz w:val="21"/>
                <w:szCs w:val="21"/>
              </w:rPr>
              <w:t xml:space="preserve">rinciples suggest commitment to </w:t>
            </w:r>
            <w:r w:rsidR="000203AB">
              <w:rPr>
                <w:rFonts w:asciiTheme="majorHAnsi" w:eastAsia="Calibri Light" w:hAnsiTheme="majorHAnsi" w:cstheme="majorBidi"/>
                <w:sz w:val="21"/>
                <w:szCs w:val="21"/>
              </w:rPr>
              <w:t>localities of</w:t>
            </w:r>
            <w:r w:rsidR="00F00E3D" w:rsidRPr="00ED16A3">
              <w:rPr>
                <w:rFonts w:asciiTheme="majorHAnsi" w:eastAsia="Calibri Light" w:hAnsiTheme="majorHAnsi" w:cstheme="majorBidi"/>
                <w:sz w:val="21"/>
                <w:szCs w:val="21"/>
              </w:rPr>
              <w:t xml:space="preserve"> disadvantage</w:t>
            </w:r>
            <w:r w:rsidR="002713DA" w:rsidRPr="00ED16A3">
              <w:rPr>
                <w:rFonts w:asciiTheme="majorHAnsi" w:eastAsia="Calibri Light" w:hAnsiTheme="majorHAnsi" w:cstheme="majorBidi"/>
                <w:sz w:val="21"/>
                <w:szCs w:val="21"/>
              </w:rPr>
              <w:t>,</w:t>
            </w:r>
            <w:r w:rsidR="00F00E3D" w:rsidRPr="00ED16A3">
              <w:rPr>
                <w:rFonts w:asciiTheme="majorHAnsi" w:eastAsia="Calibri Light" w:hAnsiTheme="majorHAnsi" w:cstheme="majorBidi"/>
                <w:sz w:val="21"/>
                <w:szCs w:val="21"/>
              </w:rPr>
              <w:t xml:space="preserve"> and a focus on </w:t>
            </w:r>
            <w:r w:rsidR="002713DA" w:rsidRPr="00ED16A3">
              <w:rPr>
                <w:rFonts w:asciiTheme="majorHAnsi" w:eastAsia="Calibri Light" w:hAnsiTheme="majorHAnsi" w:cstheme="majorBidi"/>
                <w:sz w:val="21"/>
                <w:szCs w:val="21"/>
              </w:rPr>
              <w:t xml:space="preserve">digital inclusion, safety, </w:t>
            </w:r>
            <w:r w:rsidR="00F00E3D" w:rsidRPr="00ED16A3">
              <w:rPr>
                <w:rFonts w:asciiTheme="majorHAnsi" w:eastAsia="Calibri Light" w:hAnsiTheme="majorHAnsi" w:cstheme="majorBidi"/>
                <w:sz w:val="21"/>
                <w:szCs w:val="21"/>
              </w:rPr>
              <w:t>employment,</w:t>
            </w:r>
            <w:r w:rsidR="00C436E6" w:rsidRPr="00ED16A3">
              <w:rPr>
                <w:rFonts w:asciiTheme="majorHAnsi" w:eastAsia="Calibri Light" w:hAnsiTheme="majorHAnsi" w:cstheme="majorBidi"/>
                <w:sz w:val="21"/>
                <w:szCs w:val="21"/>
              </w:rPr>
              <w:t xml:space="preserve"> and</w:t>
            </w:r>
            <w:r w:rsidR="00F00E3D" w:rsidRPr="00ED16A3">
              <w:rPr>
                <w:rFonts w:asciiTheme="majorHAnsi" w:eastAsia="Calibri Light" w:hAnsiTheme="majorHAnsi" w:cstheme="majorBidi"/>
                <w:sz w:val="21"/>
                <w:szCs w:val="21"/>
              </w:rPr>
              <w:t xml:space="preserve"> social integration of new migrants</w:t>
            </w:r>
            <w:r w:rsidR="00137B21">
              <w:rPr>
                <w:rFonts w:asciiTheme="majorHAnsi" w:eastAsia="Calibri Light" w:hAnsiTheme="majorHAnsi" w:cstheme="majorBidi"/>
                <w:sz w:val="21"/>
                <w:szCs w:val="21"/>
              </w:rPr>
              <w:t>.</w:t>
            </w:r>
          </w:p>
          <w:p w14:paraId="77D607E0" w14:textId="77777777" w:rsidR="00137B21" w:rsidRPr="00793658" w:rsidRDefault="00137B21" w:rsidP="00ED16A3">
            <w:pPr>
              <w:spacing w:after="0" w:line="240" w:lineRule="auto"/>
              <w:ind w:left="57"/>
              <w:rPr>
                <w:rFonts w:asciiTheme="majorHAnsi" w:eastAsia="Calibri Light" w:hAnsiTheme="majorHAnsi" w:cstheme="majorBidi"/>
                <w:sz w:val="8"/>
                <w:szCs w:val="8"/>
              </w:rPr>
            </w:pPr>
          </w:p>
          <w:p w14:paraId="623816AC" w14:textId="06A0D9AC" w:rsidR="00F00E3D" w:rsidRPr="00ED16A3" w:rsidRDefault="00944821" w:rsidP="00ED16A3">
            <w:pPr>
              <w:spacing w:after="0" w:line="240" w:lineRule="auto"/>
              <w:ind w:left="57"/>
              <w:rPr>
                <w:rFonts w:asciiTheme="majorHAnsi" w:eastAsia="Calibri Light" w:hAnsiTheme="majorHAnsi" w:cstheme="majorBidi"/>
                <w:sz w:val="21"/>
                <w:szCs w:val="21"/>
              </w:rPr>
            </w:pPr>
            <w:r w:rsidRPr="00ED16A3">
              <w:rPr>
                <w:rFonts w:asciiTheme="majorHAnsi" w:eastAsia="Calibri Light" w:hAnsiTheme="majorHAnsi" w:cstheme="majorBidi"/>
                <w:sz w:val="21"/>
                <w:szCs w:val="21"/>
              </w:rPr>
              <w:t>The</w:t>
            </w:r>
            <w:r w:rsidR="00F00E3D" w:rsidRPr="00ED16A3">
              <w:rPr>
                <w:rFonts w:asciiTheme="majorHAnsi" w:eastAsia="Calibri Light" w:hAnsiTheme="majorHAnsi" w:cstheme="majorBidi"/>
                <w:sz w:val="21"/>
                <w:szCs w:val="21"/>
              </w:rPr>
              <w:t xml:space="preserve"> plan can justify:</w:t>
            </w:r>
          </w:p>
          <w:p w14:paraId="1CCAB029" w14:textId="77777777" w:rsidR="00F00E3D" w:rsidRPr="00187DE5" w:rsidRDefault="00F00E3D" w:rsidP="00364C5D">
            <w:pPr>
              <w:pStyle w:val="ListParagraph"/>
              <w:numPr>
                <w:ilvl w:val="0"/>
                <w:numId w:val="80"/>
              </w:numPr>
              <w:spacing w:after="0" w:line="240" w:lineRule="auto"/>
              <w:rPr>
                <w:rFonts w:asciiTheme="majorHAnsi" w:hAnsiTheme="majorHAnsi" w:cstheme="majorHAnsi"/>
                <w:sz w:val="21"/>
                <w:szCs w:val="21"/>
              </w:rPr>
            </w:pPr>
            <w:r w:rsidRPr="00187DE5">
              <w:rPr>
                <w:rFonts w:asciiTheme="majorHAnsi" w:eastAsia="Calibri Light" w:hAnsiTheme="majorHAnsi" w:cstheme="majorHAnsi"/>
                <w:sz w:val="21"/>
                <w:szCs w:val="21"/>
              </w:rPr>
              <w:t>Support for vulnerable community members</w:t>
            </w:r>
          </w:p>
          <w:p w14:paraId="26D4C90C" w14:textId="77777777" w:rsidR="00F00E3D" w:rsidRPr="00187DE5" w:rsidRDefault="00F00E3D" w:rsidP="00364C5D">
            <w:pPr>
              <w:pStyle w:val="ListParagraph"/>
              <w:numPr>
                <w:ilvl w:val="0"/>
                <w:numId w:val="80"/>
              </w:numPr>
              <w:spacing w:after="0" w:line="240" w:lineRule="auto"/>
              <w:rPr>
                <w:rFonts w:asciiTheme="majorHAnsi" w:hAnsiTheme="majorHAnsi" w:cstheme="majorHAnsi"/>
                <w:sz w:val="21"/>
                <w:szCs w:val="21"/>
              </w:rPr>
            </w:pPr>
            <w:r w:rsidRPr="00187DE5">
              <w:rPr>
                <w:rFonts w:asciiTheme="majorHAnsi" w:eastAsia="Calibri Light" w:hAnsiTheme="majorHAnsi" w:cstheme="majorHAnsi"/>
                <w:sz w:val="21"/>
                <w:szCs w:val="21"/>
              </w:rPr>
              <w:t>A range of employment options</w:t>
            </w:r>
          </w:p>
          <w:p w14:paraId="4C319505" w14:textId="5E5DDAFE" w:rsidR="00F00E3D" w:rsidRPr="00187DE5" w:rsidRDefault="00394104" w:rsidP="00364C5D">
            <w:pPr>
              <w:pStyle w:val="ListParagraph"/>
              <w:numPr>
                <w:ilvl w:val="0"/>
                <w:numId w:val="80"/>
              </w:numPr>
              <w:spacing w:after="0" w:line="240" w:lineRule="auto"/>
              <w:rPr>
                <w:rFonts w:asciiTheme="majorHAnsi" w:hAnsiTheme="majorHAnsi" w:cstheme="majorHAnsi"/>
                <w:sz w:val="21"/>
                <w:szCs w:val="21"/>
              </w:rPr>
            </w:pPr>
            <w:r w:rsidRPr="00187DE5">
              <w:rPr>
                <w:rFonts w:asciiTheme="majorHAnsi" w:eastAsia="Calibri Light" w:hAnsiTheme="majorHAnsi" w:cstheme="majorHAnsi"/>
                <w:sz w:val="21"/>
                <w:szCs w:val="21"/>
              </w:rPr>
              <w:t>Range of</w:t>
            </w:r>
            <w:r w:rsidR="00F00E3D" w:rsidRPr="00187DE5">
              <w:rPr>
                <w:rFonts w:asciiTheme="majorHAnsi" w:eastAsia="Calibri Light" w:hAnsiTheme="majorHAnsi" w:cstheme="majorHAnsi"/>
                <w:sz w:val="21"/>
                <w:szCs w:val="21"/>
              </w:rPr>
              <w:t xml:space="preserve"> affordable options for people to rent or buy a home</w:t>
            </w:r>
          </w:p>
          <w:p w14:paraId="252EBB7B" w14:textId="2A03147E" w:rsidR="00F00E3D" w:rsidRPr="00187DE5" w:rsidRDefault="00F00E3D" w:rsidP="00364C5D">
            <w:pPr>
              <w:pStyle w:val="ListParagraph"/>
              <w:numPr>
                <w:ilvl w:val="0"/>
                <w:numId w:val="80"/>
              </w:numPr>
              <w:spacing w:after="0" w:line="240" w:lineRule="auto"/>
              <w:rPr>
                <w:rFonts w:asciiTheme="majorHAnsi" w:hAnsiTheme="majorHAnsi" w:cstheme="majorHAnsi"/>
                <w:sz w:val="21"/>
                <w:szCs w:val="21"/>
              </w:rPr>
            </w:pPr>
            <w:r w:rsidRPr="00187DE5">
              <w:rPr>
                <w:rFonts w:asciiTheme="majorHAnsi" w:eastAsia="Calibri Light" w:hAnsiTheme="majorHAnsi" w:cstheme="majorHAnsi"/>
                <w:sz w:val="21"/>
                <w:szCs w:val="21"/>
              </w:rPr>
              <w:t>People feel</w:t>
            </w:r>
            <w:r w:rsidR="00137B21">
              <w:rPr>
                <w:rFonts w:asciiTheme="majorHAnsi" w:eastAsia="Calibri Light" w:hAnsiTheme="majorHAnsi" w:cstheme="majorHAnsi"/>
                <w:sz w:val="21"/>
                <w:szCs w:val="21"/>
              </w:rPr>
              <w:t>ing</w:t>
            </w:r>
            <w:r w:rsidRPr="00187DE5">
              <w:rPr>
                <w:rFonts w:asciiTheme="majorHAnsi" w:eastAsia="Calibri Light" w:hAnsiTheme="majorHAnsi" w:cstheme="majorHAnsi"/>
                <w:sz w:val="21"/>
                <w:szCs w:val="21"/>
              </w:rPr>
              <w:t xml:space="preserve"> safe on the streets, day and night</w:t>
            </w:r>
            <w:r w:rsidR="00137B21">
              <w:rPr>
                <w:rFonts w:asciiTheme="majorHAnsi" w:eastAsia="Calibri Light" w:hAnsiTheme="majorHAnsi" w:cstheme="majorHAnsi"/>
                <w:sz w:val="21"/>
                <w:szCs w:val="21"/>
              </w:rPr>
              <w:t>,</w:t>
            </w:r>
            <w:r w:rsidRPr="00187DE5">
              <w:rPr>
                <w:rFonts w:asciiTheme="majorHAnsi" w:eastAsia="Calibri Light" w:hAnsiTheme="majorHAnsi" w:cstheme="majorHAnsi"/>
                <w:sz w:val="21"/>
                <w:szCs w:val="21"/>
              </w:rPr>
              <w:t xml:space="preserve"> </w:t>
            </w:r>
            <w:r w:rsidR="00CF55A4">
              <w:rPr>
                <w:rFonts w:asciiTheme="majorHAnsi" w:eastAsia="Calibri Light" w:hAnsiTheme="majorHAnsi" w:cstheme="majorHAnsi"/>
                <w:sz w:val="21"/>
                <w:szCs w:val="21"/>
              </w:rPr>
              <w:t xml:space="preserve">living </w:t>
            </w:r>
            <w:r w:rsidRPr="00187DE5">
              <w:rPr>
                <w:rFonts w:asciiTheme="majorHAnsi" w:eastAsia="Calibri Light" w:hAnsiTheme="majorHAnsi" w:cstheme="majorHAnsi"/>
                <w:sz w:val="21"/>
                <w:szCs w:val="21"/>
              </w:rPr>
              <w:t>in crime-free communities</w:t>
            </w:r>
          </w:p>
          <w:p w14:paraId="0CDB2F49" w14:textId="77777777" w:rsidR="00F00E3D" w:rsidRPr="00187DE5" w:rsidRDefault="00F00E3D" w:rsidP="00364C5D">
            <w:pPr>
              <w:pStyle w:val="ListParagraph"/>
              <w:numPr>
                <w:ilvl w:val="0"/>
                <w:numId w:val="80"/>
              </w:numPr>
              <w:spacing w:after="0" w:line="240" w:lineRule="auto"/>
              <w:rPr>
                <w:rFonts w:asciiTheme="majorHAnsi" w:hAnsiTheme="majorHAnsi" w:cstheme="majorHAnsi"/>
                <w:sz w:val="21"/>
                <w:szCs w:val="21"/>
              </w:rPr>
            </w:pPr>
            <w:r w:rsidRPr="00187DE5">
              <w:rPr>
                <w:rFonts w:asciiTheme="majorHAnsi" w:eastAsia="Calibri Light" w:hAnsiTheme="majorHAnsi" w:cstheme="majorHAnsi"/>
                <w:sz w:val="21"/>
                <w:szCs w:val="21"/>
              </w:rPr>
              <w:t>Local participation opportunities for new arrivals</w:t>
            </w:r>
          </w:p>
          <w:p w14:paraId="4FB1AF94" w14:textId="633184BF" w:rsidR="00F00E3D" w:rsidRPr="00187DE5" w:rsidRDefault="00F00E3D" w:rsidP="00364C5D">
            <w:pPr>
              <w:pStyle w:val="ListParagraph"/>
              <w:numPr>
                <w:ilvl w:val="0"/>
                <w:numId w:val="80"/>
              </w:numPr>
              <w:spacing w:after="0" w:line="240" w:lineRule="auto"/>
              <w:rPr>
                <w:rFonts w:asciiTheme="majorHAnsi" w:hAnsiTheme="majorHAnsi" w:cstheme="majorHAnsi"/>
                <w:sz w:val="21"/>
                <w:szCs w:val="21"/>
              </w:rPr>
            </w:pPr>
            <w:r w:rsidRPr="00187DE5">
              <w:rPr>
                <w:rFonts w:asciiTheme="majorHAnsi" w:eastAsia="Calibri Light" w:hAnsiTheme="majorHAnsi" w:cstheme="majorHAnsi"/>
                <w:sz w:val="21"/>
                <w:szCs w:val="21"/>
              </w:rPr>
              <w:t>Equity in provision of community infrastructure</w:t>
            </w:r>
          </w:p>
          <w:p w14:paraId="6EA9931C" w14:textId="77777777" w:rsidR="00F00E3D" w:rsidRPr="00187DE5" w:rsidRDefault="00F00E3D" w:rsidP="00364C5D">
            <w:pPr>
              <w:pStyle w:val="ListParagraph"/>
              <w:numPr>
                <w:ilvl w:val="0"/>
                <w:numId w:val="80"/>
              </w:numPr>
              <w:spacing w:after="0" w:line="240" w:lineRule="auto"/>
              <w:rPr>
                <w:rFonts w:asciiTheme="majorHAnsi" w:hAnsiTheme="majorHAnsi" w:cstheme="majorHAnsi"/>
                <w:sz w:val="21"/>
                <w:szCs w:val="21"/>
              </w:rPr>
            </w:pPr>
            <w:r w:rsidRPr="00187DE5">
              <w:rPr>
                <w:rFonts w:asciiTheme="majorHAnsi" w:eastAsia="Calibri Light" w:hAnsiTheme="majorHAnsi" w:cstheme="majorHAnsi"/>
                <w:sz w:val="21"/>
                <w:szCs w:val="21"/>
              </w:rPr>
              <w:t>“Creating high amenity neighbourhoods that are well connected and safe”</w:t>
            </w:r>
          </w:p>
          <w:p w14:paraId="3EAAC203" w14:textId="77777777" w:rsidR="00187DE5" w:rsidRDefault="00F00E3D" w:rsidP="00364C5D">
            <w:pPr>
              <w:pStyle w:val="ListParagraph"/>
              <w:numPr>
                <w:ilvl w:val="0"/>
                <w:numId w:val="80"/>
              </w:numPr>
              <w:spacing w:after="0" w:line="240" w:lineRule="auto"/>
              <w:rPr>
                <w:rFonts w:asciiTheme="majorHAnsi" w:hAnsiTheme="majorHAnsi" w:cstheme="majorBidi"/>
                <w:sz w:val="21"/>
                <w:szCs w:val="21"/>
              </w:rPr>
            </w:pPr>
            <w:r w:rsidRPr="00187DE5">
              <w:rPr>
                <w:rFonts w:asciiTheme="majorHAnsi" w:eastAsia="Calibri Light" w:hAnsiTheme="majorHAnsi" w:cstheme="majorBidi"/>
                <w:sz w:val="21"/>
                <w:szCs w:val="21"/>
              </w:rPr>
              <w:t>95% of dwellings within 400m of public open space</w:t>
            </w:r>
          </w:p>
          <w:p w14:paraId="7A7D8AE9" w14:textId="2C1F0FB8" w:rsidR="00D953C9" w:rsidRPr="00D953C9" w:rsidRDefault="00D953C9" w:rsidP="00D953C9">
            <w:pPr>
              <w:spacing w:after="0" w:line="240" w:lineRule="auto"/>
              <w:ind w:left="57"/>
              <w:rPr>
                <w:rFonts w:asciiTheme="majorHAnsi" w:hAnsiTheme="majorHAnsi" w:cstheme="majorBidi"/>
                <w:sz w:val="8"/>
                <w:szCs w:val="8"/>
              </w:rPr>
            </w:pPr>
          </w:p>
        </w:tc>
      </w:tr>
      <w:tr w:rsidR="003E3426" w:rsidRPr="0005244D" w14:paraId="15F0CA01" w14:textId="77777777" w:rsidTr="00B60B72">
        <w:tc>
          <w:tcPr>
            <w:tcW w:w="14591" w:type="dxa"/>
            <w:gridSpan w:val="3"/>
            <w:shd w:val="clear" w:color="auto" w:fill="F2F2F2" w:themeFill="background1" w:themeFillShade="F2"/>
          </w:tcPr>
          <w:p w14:paraId="78FF9D90" w14:textId="77777777" w:rsidR="0005244D" w:rsidRPr="001C370E" w:rsidRDefault="0005244D" w:rsidP="0005244D">
            <w:pPr>
              <w:spacing w:after="0" w:line="240" w:lineRule="auto"/>
              <w:rPr>
                <w:rFonts w:eastAsia="Times New Roman" w:cstheme="minorHAnsi"/>
                <w:b/>
                <w:bCs/>
                <w:sz w:val="12"/>
                <w:szCs w:val="12"/>
              </w:rPr>
            </w:pPr>
          </w:p>
          <w:p w14:paraId="72554755" w14:textId="014C90B5" w:rsidR="003E3426" w:rsidRPr="00822832" w:rsidRDefault="0005244D" w:rsidP="0005244D">
            <w:pPr>
              <w:spacing w:after="0" w:line="240" w:lineRule="auto"/>
              <w:rPr>
                <w:rFonts w:eastAsia="Times New Roman" w:cstheme="minorHAnsi"/>
                <w:b/>
                <w:bCs/>
                <w:sz w:val="21"/>
                <w:szCs w:val="21"/>
              </w:rPr>
            </w:pPr>
            <w:r w:rsidRPr="00822832">
              <w:rPr>
                <w:rFonts w:eastAsia="Times New Roman" w:cstheme="minorHAnsi"/>
                <w:b/>
                <w:bCs/>
                <w:sz w:val="21"/>
                <w:szCs w:val="21"/>
              </w:rPr>
              <w:t>CITY-WIDE: OPERATIONAL</w:t>
            </w:r>
          </w:p>
          <w:p w14:paraId="5A735781" w14:textId="5D9D305D" w:rsidR="0005244D" w:rsidRPr="005B0272" w:rsidRDefault="0005244D" w:rsidP="0005244D">
            <w:pPr>
              <w:spacing w:after="0" w:line="240" w:lineRule="auto"/>
              <w:rPr>
                <w:rFonts w:cstheme="minorHAnsi"/>
                <w:sz w:val="12"/>
                <w:szCs w:val="12"/>
              </w:rPr>
            </w:pPr>
          </w:p>
        </w:tc>
      </w:tr>
      <w:tr w:rsidR="00F00E3D" w:rsidRPr="0005244D" w14:paraId="2485EBDB" w14:textId="77777777" w:rsidTr="00BD6662">
        <w:trPr>
          <w:trHeight w:val="60"/>
        </w:trPr>
        <w:tc>
          <w:tcPr>
            <w:tcW w:w="1696" w:type="dxa"/>
          </w:tcPr>
          <w:p w14:paraId="609164D3" w14:textId="77777777" w:rsidR="00577676" w:rsidRPr="00577676" w:rsidRDefault="00577676" w:rsidP="0005244D">
            <w:pPr>
              <w:spacing w:after="0" w:line="240" w:lineRule="auto"/>
              <w:rPr>
                <w:rFonts w:asciiTheme="majorHAnsi" w:eastAsia="Times New Roman" w:hAnsiTheme="majorHAnsi" w:cstheme="majorHAnsi"/>
                <w:sz w:val="12"/>
                <w:szCs w:val="12"/>
              </w:rPr>
            </w:pPr>
          </w:p>
          <w:p w14:paraId="665E5331" w14:textId="77777777" w:rsidR="000A6C85" w:rsidRDefault="00F00E3D" w:rsidP="0005244D">
            <w:pPr>
              <w:spacing w:after="0" w:line="240" w:lineRule="auto"/>
              <w:rPr>
                <w:rFonts w:asciiTheme="majorHAnsi" w:eastAsia="Times New Roman" w:hAnsiTheme="majorHAnsi" w:cstheme="majorHAnsi"/>
                <w:noProof/>
                <w:sz w:val="21"/>
                <w:szCs w:val="21"/>
              </w:rPr>
            </w:pPr>
            <w:r w:rsidRPr="000A6C85">
              <w:rPr>
                <w:rFonts w:eastAsia="Times New Roman" w:cstheme="minorHAnsi"/>
                <w:b/>
                <w:bCs/>
                <w:sz w:val="21"/>
                <w:szCs w:val="21"/>
              </w:rPr>
              <w:t>Council Plan</w:t>
            </w:r>
            <w:r w:rsidR="0005244D" w:rsidRPr="000A6C85">
              <w:rPr>
                <w:rFonts w:eastAsia="Times New Roman" w:cstheme="minorHAnsi"/>
                <w:b/>
                <w:bCs/>
                <w:sz w:val="21"/>
                <w:szCs w:val="21"/>
              </w:rPr>
              <w:t xml:space="preserve">: </w:t>
            </w:r>
            <w:r w:rsidRPr="000A6C85">
              <w:rPr>
                <w:rFonts w:eastAsia="Times New Roman" w:cstheme="minorHAnsi"/>
                <w:b/>
                <w:bCs/>
                <w:sz w:val="21"/>
                <w:szCs w:val="21"/>
              </w:rPr>
              <w:t>Putting Our Communities First</w:t>
            </w:r>
          </w:p>
          <w:p w14:paraId="1A80E119" w14:textId="77777777" w:rsidR="000A6C85" w:rsidRDefault="00F00E3D" w:rsidP="0005244D">
            <w:pPr>
              <w:spacing w:after="0" w:line="240" w:lineRule="auto"/>
              <w:rPr>
                <w:rFonts w:asciiTheme="majorHAnsi" w:eastAsia="Times New Roman" w:hAnsiTheme="majorHAnsi" w:cstheme="majorHAnsi"/>
                <w:noProof/>
                <w:sz w:val="21"/>
                <w:szCs w:val="21"/>
              </w:rPr>
            </w:pPr>
            <w:r w:rsidRPr="0005244D">
              <w:rPr>
                <w:rFonts w:asciiTheme="majorHAnsi" w:eastAsia="Times New Roman" w:hAnsiTheme="majorHAnsi" w:cstheme="majorHAnsi"/>
                <w:noProof/>
                <w:sz w:val="21"/>
                <w:szCs w:val="21"/>
              </w:rPr>
              <w:t>(City of Greater Geelong,</w:t>
            </w:r>
          </w:p>
          <w:p w14:paraId="249B76FF" w14:textId="6613A3D4"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noProof/>
                <w:sz w:val="21"/>
                <w:szCs w:val="21"/>
              </w:rPr>
              <w:t>2018</w:t>
            </w:r>
            <w:r w:rsidR="0005244D">
              <w:rPr>
                <w:rFonts w:asciiTheme="majorHAnsi" w:eastAsia="Times New Roman" w:hAnsiTheme="majorHAnsi" w:cstheme="majorHAnsi"/>
                <w:noProof/>
                <w:sz w:val="21"/>
                <w:szCs w:val="21"/>
              </w:rPr>
              <w:t>–</w:t>
            </w:r>
            <w:r w:rsidRPr="0005244D">
              <w:rPr>
                <w:rFonts w:asciiTheme="majorHAnsi" w:eastAsia="Times New Roman" w:hAnsiTheme="majorHAnsi" w:cstheme="majorHAnsi"/>
                <w:noProof/>
                <w:sz w:val="21"/>
                <w:szCs w:val="21"/>
              </w:rPr>
              <w:t>2022b)</w:t>
            </w:r>
          </w:p>
          <w:p w14:paraId="7B30D226"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1AFB00E1"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2A5D81FE"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6050C756"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15FC14D2"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02B78952"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561BB7C6"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00660E7D"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3F8D01D9" w14:textId="1BAEF091" w:rsidR="00F00E3D" w:rsidRPr="001C370E"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tc>
        <w:tc>
          <w:tcPr>
            <w:tcW w:w="5524" w:type="dxa"/>
          </w:tcPr>
          <w:p w14:paraId="5D7C7C9E" w14:textId="77777777" w:rsidR="00577676" w:rsidRPr="00577676" w:rsidRDefault="00577676" w:rsidP="00050488">
            <w:pPr>
              <w:spacing w:after="0" w:line="240" w:lineRule="auto"/>
              <w:rPr>
                <w:rFonts w:asciiTheme="majorHAnsi" w:eastAsia="Calibri Light" w:hAnsiTheme="majorHAnsi" w:cstheme="majorHAnsi"/>
                <w:sz w:val="12"/>
                <w:szCs w:val="12"/>
              </w:rPr>
            </w:pPr>
          </w:p>
          <w:p w14:paraId="1F8CB7C7" w14:textId="44D5E9F0" w:rsidR="00F00E3D" w:rsidRPr="0005244D" w:rsidRDefault="00CF55A4" w:rsidP="00050488">
            <w:pPr>
              <w:spacing w:after="0" w:line="240" w:lineRule="auto"/>
              <w:rPr>
                <w:rFonts w:asciiTheme="majorHAnsi" w:eastAsia="Calibri Light" w:hAnsiTheme="majorHAnsi" w:cstheme="majorHAnsi"/>
                <w:sz w:val="21"/>
                <w:szCs w:val="21"/>
              </w:rPr>
            </w:pPr>
            <w:r>
              <w:rPr>
                <w:rFonts w:asciiTheme="majorHAnsi" w:eastAsia="Calibri Light" w:hAnsiTheme="majorHAnsi" w:cstheme="majorHAnsi"/>
                <w:sz w:val="21"/>
                <w:szCs w:val="21"/>
              </w:rPr>
              <w:t>There are</w:t>
            </w:r>
            <w:r w:rsidR="00F00E3D" w:rsidRPr="0005244D">
              <w:rPr>
                <w:rFonts w:asciiTheme="majorHAnsi" w:eastAsia="Calibri Light" w:hAnsiTheme="majorHAnsi" w:cstheme="majorHAnsi"/>
                <w:sz w:val="21"/>
                <w:szCs w:val="21"/>
              </w:rPr>
              <w:t xml:space="preserve"> 11 strategic priorities:</w:t>
            </w:r>
          </w:p>
          <w:p w14:paraId="74730DE1" w14:textId="77777777" w:rsidR="00F00E3D" w:rsidRPr="0005244D" w:rsidRDefault="00F00E3D" w:rsidP="00364C5D">
            <w:pPr>
              <w:pStyle w:val="ListParagraph"/>
              <w:numPr>
                <w:ilvl w:val="0"/>
                <w:numId w:val="13"/>
              </w:numPr>
              <w:spacing w:after="0" w:line="240" w:lineRule="auto"/>
              <w:rPr>
                <w:rFonts w:asciiTheme="majorHAnsi" w:eastAsiaTheme="minorEastAsia" w:hAnsiTheme="majorHAnsi" w:cstheme="majorHAnsi"/>
                <w:color w:val="000000" w:themeColor="text1"/>
                <w:sz w:val="21"/>
                <w:szCs w:val="21"/>
              </w:rPr>
            </w:pPr>
            <w:r w:rsidRPr="0005244D">
              <w:rPr>
                <w:rFonts w:asciiTheme="majorHAnsi" w:eastAsia="Calibri Light" w:hAnsiTheme="majorHAnsi" w:cstheme="majorHAnsi"/>
                <w:sz w:val="21"/>
                <w:szCs w:val="21"/>
              </w:rPr>
              <w:t xml:space="preserve">Improved health and safety of our community </w:t>
            </w:r>
          </w:p>
          <w:p w14:paraId="7CE8609A" w14:textId="77777777" w:rsidR="00F00E3D" w:rsidRPr="0005244D" w:rsidRDefault="00F00E3D" w:rsidP="00364C5D">
            <w:pPr>
              <w:pStyle w:val="ListParagraph"/>
              <w:numPr>
                <w:ilvl w:val="0"/>
                <w:numId w:val="13"/>
              </w:numPr>
              <w:spacing w:after="0" w:line="240" w:lineRule="auto"/>
              <w:rPr>
                <w:rFonts w:asciiTheme="majorHAnsi" w:eastAsiaTheme="minorEastAsia" w:hAnsiTheme="majorHAnsi" w:cstheme="majorHAnsi"/>
                <w:color w:val="000000" w:themeColor="text1"/>
                <w:sz w:val="21"/>
                <w:szCs w:val="21"/>
              </w:rPr>
            </w:pPr>
            <w:r w:rsidRPr="0005244D">
              <w:rPr>
                <w:rFonts w:asciiTheme="majorHAnsi" w:eastAsia="Calibri Light" w:hAnsiTheme="majorHAnsi" w:cstheme="majorHAnsi"/>
                <w:sz w:val="21"/>
                <w:szCs w:val="21"/>
              </w:rPr>
              <w:t xml:space="preserve">Informed social infrastructure and planning </w:t>
            </w:r>
          </w:p>
          <w:p w14:paraId="79CEFB7D" w14:textId="77777777" w:rsidR="00F00E3D" w:rsidRPr="0005244D" w:rsidRDefault="00F00E3D" w:rsidP="00364C5D">
            <w:pPr>
              <w:pStyle w:val="ListParagraph"/>
              <w:numPr>
                <w:ilvl w:val="0"/>
                <w:numId w:val="13"/>
              </w:numPr>
              <w:spacing w:after="0" w:line="240" w:lineRule="auto"/>
              <w:rPr>
                <w:rFonts w:asciiTheme="majorHAnsi" w:eastAsiaTheme="minorEastAsia" w:hAnsiTheme="majorHAnsi" w:cstheme="majorHAnsi"/>
                <w:color w:val="000000" w:themeColor="text1"/>
                <w:sz w:val="21"/>
                <w:szCs w:val="21"/>
              </w:rPr>
            </w:pPr>
            <w:r w:rsidRPr="0005244D">
              <w:rPr>
                <w:rFonts w:asciiTheme="majorHAnsi" w:eastAsia="Calibri Light" w:hAnsiTheme="majorHAnsi" w:cstheme="majorHAnsi"/>
                <w:sz w:val="21"/>
                <w:szCs w:val="21"/>
              </w:rPr>
              <w:t xml:space="preserve">A more inclusive and diverse community </w:t>
            </w:r>
          </w:p>
          <w:p w14:paraId="1492DAE1" w14:textId="77777777" w:rsidR="00F00E3D" w:rsidRPr="0005244D" w:rsidRDefault="00F00E3D" w:rsidP="00364C5D">
            <w:pPr>
              <w:pStyle w:val="ListParagraph"/>
              <w:numPr>
                <w:ilvl w:val="0"/>
                <w:numId w:val="13"/>
              </w:numPr>
              <w:spacing w:after="0" w:line="240" w:lineRule="auto"/>
              <w:rPr>
                <w:rFonts w:asciiTheme="majorHAnsi" w:eastAsiaTheme="minorEastAsia" w:hAnsiTheme="majorHAnsi" w:cstheme="majorHAnsi"/>
                <w:color w:val="000000" w:themeColor="text1"/>
                <w:sz w:val="21"/>
                <w:szCs w:val="21"/>
              </w:rPr>
            </w:pPr>
            <w:r w:rsidRPr="0005244D">
              <w:rPr>
                <w:rFonts w:asciiTheme="majorHAnsi" w:eastAsia="Calibri Light" w:hAnsiTheme="majorHAnsi" w:cstheme="majorHAnsi"/>
                <w:sz w:val="21"/>
                <w:szCs w:val="21"/>
              </w:rPr>
              <w:t xml:space="preserve">Planned sustainable development </w:t>
            </w:r>
          </w:p>
          <w:p w14:paraId="60E3B5F0" w14:textId="77777777" w:rsidR="00F00E3D" w:rsidRPr="0005244D" w:rsidRDefault="00F00E3D" w:rsidP="00364C5D">
            <w:pPr>
              <w:pStyle w:val="ListParagraph"/>
              <w:numPr>
                <w:ilvl w:val="0"/>
                <w:numId w:val="13"/>
              </w:numPr>
              <w:spacing w:after="0" w:line="240" w:lineRule="auto"/>
              <w:rPr>
                <w:rFonts w:asciiTheme="majorHAnsi" w:eastAsiaTheme="minorEastAsia" w:hAnsiTheme="majorHAnsi" w:cstheme="majorHAnsi"/>
                <w:color w:val="000000" w:themeColor="text1"/>
                <w:sz w:val="21"/>
                <w:szCs w:val="21"/>
              </w:rPr>
            </w:pPr>
            <w:r w:rsidRPr="0005244D">
              <w:rPr>
                <w:rFonts w:asciiTheme="majorHAnsi" w:eastAsia="Calibri Light" w:hAnsiTheme="majorHAnsi" w:cstheme="majorHAnsi"/>
                <w:sz w:val="21"/>
                <w:szCs w:val="21"/>
              </w:rPr>
              <w:t xml:space="preserve">Effective environmental management </w:t>
            </w:r>
          </w:p>
          <w:p w14:paraId="1AC7ADFA" w14:textId="77777777" w:rsidR="00F00E3D" w:rsidRPr="0005244D" w:rsidRDefault="00F00E3D" w:rsidP="00364C5D">
            <w:pPr>
              <w:pStyle w:val="ListParagraph"/>
              <w:numPr>
                <w:ilvl w:val="0"/>
                <w:numId w:val="13"/>
              </w:numPr>
              <w:spacing w:after="0" w:line="240" w:lineRule="auto"/>
              <w:rPr>
                <w:rFonts w:asciiTheme="majorHAnsi" w:eastAsiaTheme="minorEastAsia" w:hAnsiTheme="majorHAnsi" w:cstheme="majorHAnsi"/>
                <w:color w:val="000000" w:themeColor="text1"/>
                <w:sz w:val="21"/>
                <w:szCs w:val="21"/>
              </w:rPr>
            </w:pPr>
            <w:r w:rsidRPr="0005244D">
              <w:rPr>
                <w:rFonts w:asciiTheme="majorHAnsi" w:eastAsia="Calibri Light" w:hAnsiTheme="majorHAnsi" w:cstheme="majorHAnsi"/>
                <w:sz w:val="21"/>
                <w:szCs w:val="21"/>
              </w:rPr>
              <w:t xml:space="preserve">Vibrant arts and culture </w:t>
            </w:r>
          </w:p>
          <w:p w14:paraId="796A17F9" w14:textId="77777777" w:rsidR="00F00E3D" w:rsidRPr="0005244D" w:rsidRDefault="00F00E3D" w:rsidP="00364C5D">
            <w:pPr>
              <w:pStyle w:val="ListParagraph"/>
              <w:numPr>
                <w:ilvl w:val="0"/>
                <w:numId w:val="13"/>
              </w:numPr>
              <w:spacing w:after="0" w:line="240" w:lineRule="auto"/>
              <w:rPr>
                <w:rFonts w:asciiTheme="majorHAnsi" w:eastAsiaTheme="minorEastAsia" w:hAnsiTheme="majorHAnsi" w:cstheme="majorHAnsi"/>
                <w:color w:val="000000" w:themeColor="text1"/>
                <w:sz w:val="21"/>
                <w:szCs w:val="21"/>
              </w:rPr>
            </w:pPr>
            <w:r w:rsidRPr="0005244D">
              <w:rPr>
                <w:rFonts w:asciiTheme="majorHAnsi" w:eastAsia="Calibri Light" w:hAnsiTheme="majorHAnsi" w:cstheme="majorHAnsi"/>
                <w:sz w:val="21"/>
                <w:szCs w:val="21"/>
              </w:rPr>
              <w:t xml:space="preserve">Integrated transport connections </w:t>
            </w:r>
          </w:p>
          <w:p w14:paraId="7626A896" w14:textId="77777777" w:rsidR="00F00E3D" w:rsidRPr="0005244D" w:rsidRDefault="00F00E3D" w:rsidP="00364C5D">
            <w:pPr>
              <w:pStyle w:val="ListParagraph"/>
              <w:numPr>
                <w:ilvl w:val="0"/>
                <w:numId w:val="13"/>
              </w:numPr>
              <w:spacing w:after="0" w:line="240" w:lineRule="auto"/>
              <w:rPr>
                <w:rFonts w:asciiTheme="majorHAnsi" w:eastAsiaTheme="minorEastAsia" w:hAnsiTheme="majorHAnsi" w:cstheme="majorHAnsi"/>
                <w:color w:val="000000" w:themeColor="text1"/>
                <w:sz w:val="21"/>
                <w:szCs w:val="21"/>
              </w:rPr>
            </w:pPr>
            <w:r w:rsidRPr="0005244D">
              <w:rPr>
                <w:rFonts w:asciiTheme="majorHAnsi" w:eastAsia="Calibri Light" w:hAnsiTheme="majorHAnsi" w:cstheme="majorHAnsi"/>
                <w:sz w:val="21"/>
                <w:szCs w:val="21"/>
              </w:rPr>
              <w:t xml:space="preserve">A thriving and sustainable economy </w:t>
            </w:r>
          </w:p>
          <w:p w14:paraId="441E6985" w14:textId="77777777" w:rsidR="00F00E3D" w:rsidRPr="0005244D" w:rsidRDefault="00F00E3D" w:rsidP="00364C5D">
            <w:pPr>
              <w:pStyle w:val="ListParagraph"/>
              <w:numPr>
                <w:ilvl w:val="0"/>
                <w:numId w:val="13"/>
              </w:numPr>
              <w:spacing w:after="0" w:line="240" w:lineRule="auto"/>
              <w:rPr>
                <w:rFonts w:asciiTheme="majorHAnsi" w:eastAsiaTheme="minorEastAsia" w:hAnsiTheme="majorHAnsi" w:cstheme="majorHAnsi"/>
                <w:color w:val="000000" w:themeColor="text1"/>
                <w:sz w:val="21"/>
                <w:szCs w:val="21"/>
              </w:rPr>
            </w:pPr>
            <w:r w:rsidRPr="0005244D">
              <w:rPr>
                <w:rFonts w:asciiTheme="majorHAnsi" w:eastAsia="Calibri Light" w:hAnsiTheme="majorHAnsi" w:cstheme="majorHAnsi"/>
                <w:sz w:val="21"/>
                <w:szCs w:val="21"/>
              </w:rPr>
              <w:t xml:space="preserve">Growing our tourism and events </w:t>
            </w:r>
          </w:p>
          <w:p w14:paraId="5DC2E3DD" w14:textId="77777777" w:rsidR="00F00E3D" w:rsidRPr="0005244D" w:rsidRDefault="00F00E3D" w:rsidP="00364C5D">
            <w:pPr>
              <w:pStyle w:val="ListParagraph"/>
              <w:numPr>
                <w:ilvl w:val="0"/>
                <w:numId w:val="13"/>
              </w:numPr>
              <w:spacing w:after="0" w:line="240" w:lineRule="auto"/>
              <w:rPr>
                <w:rFonts w:asciiTheme="majorHAnsi" w:eastAsiaTheme="minorEastAsia" w:hAnsiTheme="majorHAnsi" w:cstheme="majorHAnsi"/>
                <w:color w:val="000000" w:themeColor="text1"/>
                <w:sz w:val="21"/>
                <w:szCs w:val="21"/>
              </w:rPr>
            </w:pPr>
            <w:r w:rsidRPr="0005244D">
              <w:rPr>
                <w:rFonts w:asciiTheme="majorHAnsi" w:eastAsia="Calibri Light" w:hAnsiTheme="majorHAnsi" w:cstheme="majorHAnsi"/>
                <w:sz w:val="21"/>
                <w:szCs w:val="21"/>
              </w:rPr>
              <w:t xml:space="preserve">Innovative finances and technology </w:t>
            </w:r>
          </w:p>
          <w:p w14:paraId="18AC793E" w14:textId="0DD1F398" w:rsidR="00F00E3D" w:rsidRPr="0005244D" w:rsidRDefault="00F00E3D" w:rsidP="00364C5D">
            <w:pPr>
              <w:pStyle w:val="ListParagraph"/>
              <w:numPr>
                <w:ilvl w:val="0"/>
                <w:numId w:val="13"/>
              </w:numPr>
              <w:spacing w:after="0" w:line="240" w:lineRule="auto"/>
              <w:rPr>
                <w:rFonts w:asciiTheme="majorHAnsi" w:eastAsiaTheme="minorEastAsia" w:hAnsiTheme="majorHAnsi" w:cstheme="majorHAnsi"/>
                <w:color w:val="000000" w:themeColor="text1"/>
                <w:sz w:val="21"/>
                <w:szCs w:val="21"/>
              </w:rPr>
            </w:pPr>
            <w:r w:rsidRPr="0005244D">
              <w:rPr>
                <w:rFonts w:asciiTheme="majorHAnsi" w:eastAsia="Calibri Light" w:hAnsiTheme="majorHAnsi" w:cstheme="majorHAnsi"/>
                <w:sz w:val="21"/>
                <w:szCs w:val="21"/>
              </w:rPr>
              <w:t>Organisational leadership, strategy</w:t>
            </w:r>
            <w:r w:rsidR="002767EC">
              <w:rPr>
                <w:rFonts w:asciiTheme="majorHAnsi" w:eastAsia="Calibri Light" w:hAnsiTheme="majorHAnsi" w:cstheme="majorHAnsi"/>
                <w:sz w:val="21"/>
                <w:szCs w:val="21"/>
              </w:rPr>
              <w:t>,</w:t>
            </w:r>
            <w:r w:rsidRPr="0005244D">
              <w:rPr>
                <w:rFonts w:asciiTheme="majorHAnsi" w:eastAsia="Calibri Light" w:hAnsiTheme="majorHAnsi" w:cstheme="majorHAnsi"/>
                <w:sz w:val="21"/>
                <w:szCs w:val="21"/>
              </w:rPr>
              <w:t xml:space="preserve"> and governance</w:t>
            </w:r>
          </w:p>
          <w:p w14:paraId="50A10CCC" w14:textId="331EE6F5" w:rsidR="00F00E3D" w:rsidRPr="0005244D" w:rsidRDefault="00F00E3D" w:rsidP="00050488">
            <w:pPr>
              <w:spacing w:after="0" w:line="240" w:lineRule="auto"/>
              <w:rPr>
                <w:rFonts w:asciiTheme="majorHAnsi" w:eastAsia="Calibri Light" w:hAnsiTheme="majorHAnsi" w:cstheme="majorHAnsi"/>
                <w:sz w:val="21"/>
                <w:szCs w:val="21"/>
              </w:rPr>
            </w:pPr>
          </w:p>
        </w:tc>
        <w:tc>
          <w:tcPr>
            <w:tcW w:w="7371" w:type="dxa"/>
          </w:tcPr>
          <w:p w14:paraId="3A1DC9C0" w14:textId="77777777" w:rsidR="00577676" w:rsidRPr="00577676" w:rsidRDefault="00577676" w:rsidP="00577676">
            <w:pPr>
              <w:pStyle w:val="ListParagraph"/>
              <w:spacing w:after="0" w:line="240" w:lineRule="auto"/>
              <w:ind w:left="227"/>
              <w:rPr>
                <w:rFonts w:asciiTheme="majorHAnsi" w:eastAsiaTheme="minorEastAsia" w:hAnsiTheme="majorHAnsi" w:cstheme="majorBidi"/>
                <w:color w:val="000000" w:themeColor="text1"/>
                <w:sz w:val="12"/>
                <w:szCs w:val="12"/>
              </w:rPr>
            </w:pPr>
          </w:p>
          <w:p w14:paraId="4D74DA3B" w14:textId="0BC5B0D6" w:rsidR="00F00E3D" w:rsidRPr="00E24382" w:rsidRDefault="00F00E3D" w:rsidP="00364C5D">
            <w:pPr>
              <w:pStyle w:val="ListParagraph"/>
              <w:numPr>
                <w:ilvl w:val="1"/>
                <w:numId w:val="79"/>
              </w:numPr>
              <w:spacing w:after="0" w:line="240" w:lineRule="auto"/>
              <w:rPr>
                <w:rFonts w:asciiTheme="majorHAnsi" w:eastAsiaTheme="minorEastAsia" w:hAnsiTheme="majorHAnsi" w:cstheme="majorBidi"/>
                <w:color w:val="000000" w:themeColor="text1"/>
                <w:sz w:val="21"/>
                <w:szCs w:val="21"/>
              </w:rPr>
            </w:pPr>
            <w:r w:rsidRPr="00E24382">
              <w:rPr>
                <w:rFonts w:asciiTheme="majorHAnsi" w:eastAsia="Calibri Light" w:hAnsiTheme="majorHAnsi" w:cstheme="majorBidi"/>
                <w:sz w:val="21"/>
                <w:szCs w:val="21"/>
              </w:rPr>
              <w:t>Lead</w:t>
            </w:r>
            <w:r w:rsidR="00FC2C3C">
              <w:rPr>
                <w:rFonts w:asciiTheme="majorHAnsi" w:eastAsia="Calibri Light" w:hAnsiTheme="majorHAnsi" w:cstheme="majorBidi"/>
                <w:sz w:val="21"/>
                <w:szCs w:val="21"/>
              </w:rPr>
              <w:t>ership in</w:t>
            </w:r>
            <w:r w:rsidRPr="00E24382">
              <w:rPr>
                <w:rFonts w:asciiTheme="majorHAnsi" w:eastAsia="Calibri Light" w:hAnsiTheme="majorHAnsi" w:cstheme="majorBidi"/>
                <w:sz w:val="21"/>
                <w:szCs w:val="21"/>
              </w:rPr>
              <w:t xml:space="preserve"> family violence prevention</w:t>
            </w:r>
            <w:r w:rsidR="00EF3CBE">
              <w:rPr>
                <w:rFonts w:asciiTheme="majorHAnsi" w:eastAsia="Calibri Light" w:hAnsiTheme="majorHAnsi" w:cstheme="majorBidi"/>
                <w:sz w:val="21"/>
                <w:szCs w:val="21"/>
              </w:rPr>
              <w:t>;</w:t>
            </w:r>
            <w:r w:rsidRPr="00E24382">
              <w:rPr>
                <w:rFonts w:asciiTheme="majorHAnsi" w:eastAsia="Calibri Light" w:hAnsiTheme="majorHAnsi" w:cstheme="majorBidi"/>
                <w:sz w:val="21"/>
                <w:szCs w:val="21"/>
              </w:rPr>
              <w:t xml:space="preserve"> support local organisations to address homelessness, family violence</w:t>
            </w:r>
            <w:r w:rsidR="00EF3CBE">
              <w:rPr>
                <w:rFonts w:asciiTheme="majorHAnsi" w:eastAsia="Calibri Light" w:hAnsiTheme="majorHAnsi" w:cstheme="majorBidi"/>
                <w:sz w:val="21"/>
                <w:szCs w:val="21"/>
              </w:rPr>
              <w:t>,</w:t>
            </w:r>
            <w:r w:rsidRPr="00E24382">
              <w:rPr>
                <w:rFonts w:asciiTheme="majorHAnsi" w:eastAsia="Calibri Light" w:hAnsiTheme="majorHAnsi" w:cstheme="majorBidi"/>
                <w:sz w:val="21"/>
                <w:szCs w:val="21"/>
              </w:rPr>
              <w:t xml:space="preserve"> food shortages</w:t>
            </w:r>
            <w:r w:rsidR="005A27F4">
              <w:rPr>
                <w:rFonts w:asciiTheme="majorHAnsi" w:eastAsia="Calibri Light" w:hAnsiTheme="majorHAnsi" w:cstheme="majorBidi"/>
                <w:sz w:val="21"/>
                <w:szCs w:val="21"/>
              </w:rPr>
              <w:t>;</w:t>
            </w:r>
            <w:r w:rsidRPr="00E24382">
              <w:rPr>
                <w:rFonts w:asciiTheme="majorHAnsi" w:eastAsia="Calibri Light" w:hAnsiTheme="majorHAnsi" w:cstheme="majorBidi"/>
                <w:sz w:val="21"/>
                <w:szCs w:val="21"/>
              </w:rPr>
              <w:t xml:space="preserve"> develop housing strategy </w:t>
            </w:r>
            <w:r w:rsidR="00EF3CBE">
              <w:rPr>
                <w:rFonts w:asciiTheme="majorHAnsi" w:eastAsia="Calibri Light" w:hAnsiTheme="majorHAnsi" w:cstheme="majorBidi"/>
                <w:sz w:val="21"/>
                <w:szCs w:val="21"/>
              </w:rPr>
              <w:t xml:space="preserve">for </w:t>
            </w:r>
            <w:r w:rsidRPr="00E24382">
              <w:rPr>
                <w:rFonts w:asciiTheme="majorHAnsi" w:eastAsia="Calibri Light" w:hAnsiTheme="majorHAnsi" w:cstheme="majorBidi"/>
                <w:sz w:val="21"/>
                <w:szCs w:val="21"/>
              </w:rPr>
              <w:t>array of social and affordable options</w:t>
            </w:r>
            <w:r w:rsidR="00EF3CBE">
              <w:rPr>
                <w:rFonts w:asciiTheme="majorHAnsi" w:eastAsia="Calibri Light" w:hAnsiTheme="majorHAnsi" w:cstheme="majorBidi"/>
                <w:sz w:val="21"/>
                <w:szCs w:val="21"/>
              </w:rPr>
              <w:t>;</w:t>
            </w:r>
            <w:r w:rsidRPr="00E24382">
              <w:rPr>
                <w:rFonts w:asciiTheme="majorHAnsi" w:eastAsia="Calibri Light" w:hAnsiTheme="majorHAnsi" w:cstheme="majorBidi"/>
                <w:sz w:val="21"/>
                <w:szCs w:val="21"/>
              </w:rPr>
              <w:t xml:space="preserve"> improv</w:t>
            </w:r>
            <w:r w:rsidR="0005244D" w:rsidRPr="00E24382">
              <w:rPr>
                <w:rFonts w:asciiTheme="majorHAnsi" w:eastAsia="Calibri Light" w:hAnsiTheme="majorHAnsi" w:cstheme="majorBidi"/>
                <w:sz w:val="21"/>
                <w:szCs w:val="21"/>
              </w:rPr>
              <w:t>e</w:t>
            </w:r>
            <w:r w:rsidRPr="00E24382">
              <w:rPr>
                <w:rFonts w:asciiTheme="majorHAnsi" w:eastAsia="Calibri Light" w:hAnsiTheme="majorHAnsi" w:cstheme="majorBidi"/>
                <w:sz w:val="21"/>
                <w:szCs w:val="21"/>
              </w:rPr>
              <w:t xml:space="preserve"> community safety</w:t>
            </w:r>
            <w:r w:rsidR="005A27F4">
              <w:rPr>
                <w:rFonts w:asciiTheme="majorHAnsi" w:eastAsia="Calibri Light" w:hAnsiTheme="majorHAnsi" w:cstheme="majorBidi"/>
                <w:sz w:val="21"/>
                <w:szCs w:val="21"/>
              </w:rPr>
              <w:t xml:space="preserve">; make public spaces safer; </w:t>
            </w:r>
            <w:r w:rsidRPr="00E24382">
              <w:rPr>
                <w:rFonts w:asciiTheme="majorHAnsi" w:eastAsia="Calibri Light" w:hAnsiTheme="majorHAnsi" w:cstheme="majorBidi"/>
                <w:sz w:val="21"/>
                <w:szCs w:val="21"/>
              </w:rPr>
              <w:t>work with stakeholders to prevent crime and promot</w:t>
            </w:r>
            <w:r w:rsidR="0005244D" w:rsidRPr="00E24382">
              <w:rPr>
                <w:rFonts w:asciiTheme="majorHAnsi" w:eastAsia="Calibri Light" w:hAnsiTheme="majorHAnsi" w:cstheme="majorBidi"/>
                <w:sz w:val="21"/>
                <w:szCs w:val="21"/>
              </w:rPr>
              <w:t>e</w:t>
            </w:r>
            <w:r w:rsidRPr="00E24382">
              <w:rPr>
                <w:rFonts w:asciiTheme="majorHAnsi" w:eastAsia="Calibri Light" w:hAnsiTheme="majorHAnsi" w:cstheme="majorBidi"/>
                <w:sz w:val="21"/>
                <w:szCs w:val="21"/>
              </w:rPr>
              <w:t xml:space="preserve"> healthy eating </w:t>
            </w:r>
          </w:p>
          <w:p w14:paraId="1B36F998" w14:textId="1A7BEA27" w:rsidR="00F61EA4" w:rsidRPr="00F61EA4" w:rsidRDefault="00F00E3D" w:rsidP="00364C5D">
            <w:pPr>
              <w:pStyle w:val="ListParagraph"/>
              <w:numPr>
                <w:ilvl w:val="1"/>
                <w:numId w:val="79"/>
              </w:numPr>
              <w:spacing w:after="0" w:line="240" w:lineRule="auto"/>
              <w:rPr>
                <w:rFonts w:asciiTheme="majorHAnsi" w:eastAsiaTheme="minorEastAsia" w:hAnsiTheme="majorHAnsi" w:cstheme="majorHAnsi"/>
                <w:color w:val="000000" w:themeColor="text1"/>
                <w:sz w:val="21"/>
                <w:szCs w:val="21"/>
              </w:rPr>
            </w:pPr>
            <w:r w:rsidRPr="00E24382">
              <w:rPr>
                <w:rFonts w:asciiTheme="majorHAnsi" w:eastAsia="Calibri Light" w:hAnsiTheme="majorHAnsi" w:cstheme="majorBidi"/>
                <w:sz w:val="21"/>
                <w:szCs w:val="21"/>
              </w:rPr>
              <w:t>Complete plan</w:t>
            </w:r>
            <w:r w:rsidR="00FC2C3C">
              <w:rPr>
                <w:rFonts w:asciiTheme="majorHAnsi" w:eastAsia="Calibri Light" w:hAnsiTheme="majorHAnsi" w:cstheme="majorBidi"/>
                <w:sz w:val="21"/>
                <w:szCs w:val="21"/>
              </w:rPr>
              <w:t>ning</w:t>
            </w:r>
            <w:r w:rsidRPr="00E24382">
              <w:rPr>
                <w:rFonts w:asciiTheme="majorHAnsi" w:eastAsia="Calibri Light" w:hAnsiTheme="majorHAnsi" w:cstheme="majorBidi"/>
                <w:sz w:val="21"/>
                <w:szCs w:val="21"/>
              </w:rPr>
              <w:t xml:space="preserve"> and design of</w:t>
            </w:r>
            <w:r w:rsidR="000876DB" w:rsidRPr="00E24382">
              <w:rPr>
                <w:rFonts w:asciiTheme="majorHAnsi" w:eastAsia="Calibri Light" w:hAnsiTheme="majorHAnsi" w:cstheme="majorBidi"/>
                <w:sz w:val="21"/>
                <w:szCs w:val="21"/>
              </w:rPr>
              <w:t xml:space="preserve"> </w:t>
            </w:r>
            <w:r w:rsidRPr="00E24382">
              <w:rPr>
                <w:rFonts w:asciiTheme="majorHAnsi" w:hAnsiTheme="majorHAnsi" w:cstheme="majorHAnsi"/>
                <w:sz w:val="21"/>
                <w:szCs w:val="21"/>
                <w:lang w:val="en-GB"/>
              </w:rPr>
              <w:t xml:space="preserve">NACH </w:t>
            </w:r>
            <w:r w:rsidR="00F61EA4">
              <w:rPr>
                <w:rFonts w:asciiTheme="majorHAnsi" w:hAnsiTheme="majorHAnsi" w:cstheme="majorHAnsi"/>
                <w:sz w:val="21"/>
                <w:szCs w:val="21"/>
                <w:lang w:val="en-GB"/>
              </w:rPr>
              <w:t>(</w:t>
            </w:r>
            <w:r w:rsidR="00F61EA4" w:rsidRPr="00F61EA4">
              <w:rPr>
                <w:rFonts w:asciiTheme="majorHAnsi" w:hAnsiTheme="majorHAnsi" w:cstheme="majorHAnsi"/>
                <w:sz w:val="21"/>
                <w:szCs w:val="21"/>
              </w:rPr>
              <w:t>Northern Aquatic and Community Hub</w:t>
            </w:r>
            <w:r w:rsidR="00F61EA4">
              <w:rPr>
                <w:rFonts w:asciiTheme="majorHAnsi" w:hAnsiTheme="majorHAnsi" w:cstheme="majorHAnsi"/>
                <w:sz w:val="21"/>
                <w:szCs w:val="21"/>
              </w:rPr>
              <w:t>, formerly</w:t>
            </w:r>
            <w:r w:rsidR="00F61EA4" w:rsidRPr="00E24382">
              <w:rPr>
                <w:rFonts w:asciiTheme="majorHAnsi" w:eastAsia="Calibri Light" w:hAnsiTheme="majorHAnsi" w:cstheme="majorBidi"/>
                <w:sz w:val="21"/>
                <w:szCs w:val="21"/>
              </w:rPr>
              <w:t xml:space="preserve"> Northern ARC</w:t>
            </w:r>
            <w:r w:rsidRPr="00E24382">
              <w:rPr>
                <w:rFonts w:asciiTheme="majorHAnsi" w:hAnsiTheme="majorHAnsi" w:cstheme="majorHAnsi"/>
                <w:sz w:val="21"/>
                <w:szCs w:val="21"/>
                <w:lang w:val="en-GB"/>
              </w:rPr>
              <w:t>)</w:t>
            </w:r>
          </w:p>
          <w:p w14:paraId="1DF81967" w14:textId="54836C69" w:rsidR="00F61EA4" w:rsidRPr="00F61EA4" w:rsidRDefault="00F61EA4" w:rsidP="00364C5D">
            <w:pPr>
              <w:pStyle w:val="ListParagraph"/>
              <w:numPr>
                <w:ilvl w:val="1"/>
                <w:numId w:val="79"/>
              </w:numPr>
              <w:spacing w:after="0" w:line="240" w:lineRule="auto"/>
              <w:rPr>
                <w:rFonts w:asciiTheme="majorHAnsi" w:eastAsiaTheme="minorEastAsia" w:hAnsiTheme="majorHAnsi" w:cstheme="majorHAnsi"/>
                <w:color w:val="000000" w:themeColor="text1"/>
                <w:sz w:val="21"/>
                <w:szCs w:val="21"/>
              </w:rPr>
            </w:pPr>
            <w:r>
              <w:rPr>
                <w:rFonts w:asciiTheme="majorHAnsi" w:eastAsia="Calibri Light" w:hAnsiTheme="majorHAnsi" w:cstheme="majorHAnsi"/>
                <w:sz w:val="21"/>
                <w:szCs w:val="21"/>
              </w:rPr>
              <w:t>U</w:t>
            </w:r>
            <w:r w:rsidR="00F00E3D" w:rsidRPr="00E24382">
              <w:rPr>
                <w:rFonts w:asciiTheme="majorHAnsi" w:eastAsia="Calibri Light" w:hAnsiTheme="majorHAnsi" w:cstheme="majorHAnsi"/>
                <w:sz w:val="21"/>
                <w:szCs w:val="21"/>
              </w:rPr>
              <w:t>pgrade community facilities</w:t>
            </w:r>
            <w:r>
              <w:rPr>
                <w:rFonts w:asciiTheme="majorHAnsi" w:eastAsia="Calibri Light" w:hAnsiTheme="majorHAnsi" w:cstheme="majorHAnsi"/>
                <w:sz w:val="21"/>
                <w:szCs w:val="21"/>
              </w:rPr>
              <w:t xml:space="preserve"> (especially </w:t>
            </w:r>
            <w:r w:rsidR="00F00E3D" w:rsidRPr="00E24382">
              <w:rPr>
                <w:rFonts w:asciiTheme="majorHAnsi" w:eastAsia="Calibri Light" w:hAnsiTheme="majorHAnsi" w:cstheme="majorHAnsi"/>
                <w:sz w:val="21"/>
                <w:szCs w:val="21"/>
              </w:rPr>
              <w:t>streets, roads</w:t>
            </w:r>
            <w:r w:rsidR="000876DB" w:rsidRPr="00E24382">
              <w:rPr>
                <w:rFonts w:asciiTheme="majorHAnsi" w:eastAsia="Calibri Light" w:hAnsiTheme="majorHAnsi" w:cstheme="majorHAnsi"/>
                <w:sz w:val="21"/>
                <w:szCs w:val="21"/>
              </w:rPr>
              <w:t>,</w:t>
            </w:r>
            <w:r w:rsidR="00F00E3D" w:rsidRPr="00E24382">
              <w:rPr>
                <w:rFonts w:asciiTheme="majorHAnsi" w:eastAsia="Calibri Light" w:hAnsiTheme="majorHAnsi" w:cstheme="majorHAnsi"/>
                <w:sz w:val="21"/>
                <w:szCs w:val="21"/>
              </w:rPr>
              <w:t xml:space="preserve"> footpaths</w:t>
            </w:r>
            <w:r>
              <w:rPr>
                <w:rFonts w:asciiTheme="majorHAnsi" w:eastAsia="Calibri Light" w:hAnsiTheme="majorHAnsi" w:cstheme="majorHAnsi"/>
                <w:sz w:val="21"/>
                <w:szCs w:val="21"/>
              </w:rPr>
              <w:t>)</w:t>
            </w:r>
          </w:p>
          <w:p w14:paraId="16E4E766" w14:textId="7E65D350" w:rsidR="00F00E3D" w:rsidRPr="00E24382" w:rsidRDefault="00F61EA4" w:rsidP="00364C5D">
            <w:pPr>
              <w:pStyle w:val="ListParagraph"/>
              <w:numPr>
                <w:ilvl w:val="1"/>
                <w:numId w:val="79"/>
              </w:numPr>
              <w:spacing w:after="0" w:line="240" w:lineRule="auto"/>
              <w:rPr>
                <w:rFonts w:asciiTheme="majorHAnsi" w:eastAsiaTheme="minorEastAsia" w:hAnsiTheme="majorHAnsi" w:cstheme="majorHAnsi"/>
                <w:color w:val="000000" w:themeColor="text1"/>
                <w:sz w:val="21"/>
                <w:szCs w:val="21"/>
              </w:rPr>
            </w:pPr>
            <w:r>
              <w:rPr>
                <w:rFonts w:asciiTheme="majorHAnsi" w:eastAsia="Calibri Light" w:hAnsiTheme="majorHAnsi" w:cstheme="majorHAnsi"/>
                <w:sz w:val="21"/>
                <w:szCs w:val="21"/>
              </w:rPr>
              <w:t>M</w:t>
            </w:r>
            <w:r w:rsidR="00F00E3D" w:rsidRPr="00E24382">
              <w:rPr>
                <w:rFonts w:asciiTheme="majorHAnsi" w:eastAsia="Calibri Light" w:hAnsiTheme="majorHAnsi" w:cstheme="majorHAnsi"/>
                <w:sz w:val="21"/>
                <w:szCs w:val="21"/>
              </w:rPr>
              <w:t>ore accessible public spaces</w:t>
            </w:r>
          </w:p>
          <w:p w14:paraId="668DDEFD" w14:textId="715A5A84" w:rsidR="00F00E3D" w:rsidRPr="00E24382" w:rsidRDefault="00F00E3D" w:rsidP="00364C5D">
            <w:pPr>
              <w:pStyle w:val="ListParagraph"/>
              <w:numPr>
                <w:ilvl w:val="1"/>
                <w:numId w:val="79"/>
              </w:numPr>
              <w:spacing w:after="0" w:line="240" w:lineRule="auto"/>
              <w:rPr>
                <w:rFonts w:asciiTheme="majorHAnsi" w:eastAsiaTheme="minorEastAsia" w:hAnsiTheme="majorHAnsi" w:cstheme="majorHAnsi"/>
                <w:color w:val="000000" w:themeColor="text1"/>
                <w:sz w:val="21"/>
                <w:szCs w:val="21"/>
              </w:rPr>
            </w:pPr>
            <w:r w:rsidRPr="00E24382">
              <w:rPr>
                <w:rFonts w:asciiTheme="majorHAnsi" w:eastAsia="Calibri Light" w:hAnsiTheme="majorHAnsi" w:cstheme="majorBidi"/>
                <w:sz w:val="21"/>
                <w:szCs w:val="21"/>
              </w:rPr>
              <w:t>Advance and support Aboriginal priorities,</w:t>
            </w:r>
            <w:r w:rsidRPr="00E24382">
              <w:rPr>
                <w:rFonts w:asciiTheme="majorHAnsi" w:eastAsia="Calibri Light" w:hAnsiTheme="majorHAnsi" w:cstheme="majorHAnsi"/>
                <w:sz w:val="21"/>
                <w:szCs w:val="21"/>
              </w:rPr>
              <w:t xml:space="preserve"> improve multicultural engagement, support social connection</w:t>
            </w:r>
            <w:r w:rsidR="00D46134" w:rsidRPr="00E24382">
              <w:rPr>
                <w:rFonts w:asciiTheme="majorHAnsi" w:eastAsia="Calibri Light" w:hAnsiTheme="majorHAnsi" w:cstheme="majorHAnsi"/>
                <w:sz w:val="21"/>
                <w:szCs w:val="21"/>
              </w:rPr>
              <w:t xml:space="preserve"> activities</w:t>
            </w:r>
            <w:r w:rsidRPr="00E24382">
              <w:rPr>
                <w:rFonts w:asciiTheme="majorHAnsi" w:eastAsia="Calibri Light" w:hAnsiTheme="majorHAnsi" w:cstheme="majorHAnsi"/>
                <w:sz w:val="21"/>
                <w:szCs w:val="21"/>
              </w:rPr>
              <w:t xml:space="preserve"> (young and old)</w:t>
            </w:r>
            <w:r w:rsidR="00F51DED">
              <w:rPr>
                <w:rFonts w:asciiTheme="majorHAnsi" w:eastAsia="Calibri Light" w:hAnsiTheme="majorHAnsi" w:cstheme="majorHAnsi"/>
                <w:sz w:val="21"/>
                <w:szCs w:val="21"/>
              </w:rPr>
              <w:t xml:space="preserve">, </w:t>
            </w:r>
            <w:r w:rsidR="007330ED">
              <w:rPr>
                <w:rFonts w:asciiTheme="majorHAnsi" w:eastAsia="Calibri Light" w:hAnsiTheme="majorHAnsi" w:cstheme="majorHAnsi"/>
                <w:sz w:val="21"/>
                <w:szCs w:val="21"/>
              </w:rPr>
              <w:t>assist</w:t>
            </w:r>
            <w:r w:rsidRPr="00E24382">
              <w:rPr>
                <w:rFonts w:asciiTheme="majorHAnsi" w:eastAsia="Calibri Light" w:hAnsiTheme="majorHAnsi" w:cstheme="majorHAnsi"/>
                <w:sz w:val="21"/>
                <w:szCs w:val="21"/>
              </w:rPr>
              <w:t xml:space="preserve"> employment pathways </w:t>
            </w:r>
          </w:p>
          <w:p w14:paraId="6BB06CD2" w14:textId="341E29C9" w:rsidR="00F00E3D" w:rsidRPr="00E24382" w:rsidRDefault="00F00E3D" w:rsidP="00364C5D">
            <w:pPr>
              <w:pStyle w:val="ListParagraph"/>
              <w:numPr>
                <w:ilvl w:val="1"/>
                <w:numId w:val="79"/>
              </w:numPr>
              <w:spacing w:after="0" w:line="240" w:lineRule="auto"/>
              <w:rPr>
                <w:rFonts w:asciiTheme="majorHAnsi" w:eastAsia="Calibri Light" w:hAnsiTheme="majorHAnsi" w:cstheme="majorBidi"/>
                <w:color w:val="000000" w:themeColor="text1"/>
                <w:sz w:val="21"/>
                <w:szCs w:val="21"/>
              </w:rPr>
            </w:pPr>
            <w:r w:rsidRPr="00E24382">
              <w:rPr>
                <w:rFonts w:asciiTheme="majorHAnsi" w:eastAsia="Calibri Light" w:hAnsiTheme="majorHAnsi" w:cstheme="majorBidi"/>
                <w:sz w:val="21"/>
                <w:szCs w:val="21"/>
              </w:rPr>
              <w:t>Facilitate opportunities for infill residential development</w:t>
            </w:r>
          </w:p>
          <w:p w14:paraId="6A4B971E" w14:textId="11F72082" w:rsidR="00F00E3D" w:rsidRPr="00E24382" w:rsidRDefault="00F00E3D" w:rsidP="00364C5D">
            <w:pPr>
              <w:pStyle w:val="ListParagraph"/>
              <w:numPr>
                <w:ilvl w:val="1"/>
                <w:numId w:val="79"/>
              </w:numPr>
              <w:spacing w:after="0" w:line="240" w:lineRule="auto"/>
              <w:rPr>
                <w:rFonts w:asciiTheme="majorHAnsi" w:eastAsiaTheme="minorEastAsia" w:hAnsiTheme="majorHAnsi" w:cstheme="majorHAnsi"/>
                <w:color w:val="000000" w:themeColor="text1"/>
                <w:sz w:val="21"/>
                <w:szCs w:val="21"/>
              </w:rPr>
            </w:pPr>
            <w:r w:rsidRPr="00E24382">
              <w:rPr>
                <w:rFonts w:asciiTheme="majorHAnsi" w:eastAsia="Calibri Light" w:hAnsiTheme="majorHAnsi" w:cstheme="majorBidi"/>
                <w:sz w:val="21"/>
                <w:szCs w:val="21"/>
              </w:rPr>
              <w:t>I</w:t>
            </w:r>
            <w:r w:rsidRPr="00E24382">
              <w:rPr>
                <w:rFonts w:asciiTheme="majorHAnsi" w:eastAsia="Calibri Light" w:hAnsiTheme="majorHAnsi" w:cstheme="majorHAnsi"/>
                <w:sz w:val="21"/>
                <w:szCs w:val="21"/>
              </w:rPr>
              <w:t>ncorporate art and cultural initiatives into infrastructure to enhance sense of place, recognise and share heritage via stor</w:t>
            </w:r>
            <w:r w:rsidR="009C0A2F">
              <w:rPr>
                <w:rFonts w:asciiTheme="majorHAnsi" w:eastAsia="Calibri Light" w:hAnsiTheme="majorHAnsi" w:cstheme="majorHAnsi"/>
                <w:sz w:val="21"/>
                <w:szCs w:val="21"/>
              </w:rPr>
              <w:t>ytelling</w:t>
            </w:r>
          </w:p>
          <w:p w14:paraId="70F14A37" w14:textId="4C9EEAF1" w:rsidR="00F00E3D" w:rsidRPr="00E24382" w:rsidRDefault="00F00E3D" w:rsidP="00364C5D">
            <w:pPr>
              <w:pStyle w:val="ListParagraph"/>
              <w:numPr>
                <w:ilvl w:val="1"/>
                <w:numId w:val="79"/>
              </w:numPr>
              <w:spacing w:after="0" w:line="240" w:lineRule="auto"/>
              <w:rPr>
                <w:rFonts w:asciiTheme="majorHAnsi" w:eastAsiaTheme="minorEastAsia" w:hAnsiTheme="majorHAnsi" w:cstheme="majorHAnsi"/>
                <w:color w:val="000000" w:themeColor="text1"/>
                <w:sz w:val="21"/>
                <w:szCs w:val="21"/>
              </w:rPr>
            </w:pPr>
            <w:r w:rsidRPr="00E24382">
              <w:rPr>
                <w:rFonts w:asciiTheme="majorHAnsi" w:eastAsia="Calibri Light" w:hAnsiTheme="majorHAnsi" w:cstheme="majorBidi"/>
                <w:sz w:val="21"/>
                <w:szCs w:val="21"/>
              </w:rPr>
              <w:t>Improve bus services, better</w:t>
            </w:r>
            <w:r w:rsidR="00451244" w:rsidRPr="00E24382">
              <w:rPr>
                <w:rFonts w:asciiTheme="majorHAnsi" w:eastAsia="Calibri Light" w:hAnsiTheme="majorHAnsi" w:cstheme="majorBidi"/>
                <w:sz w:val="21"/>
                <w:szCs w:val="21"/>
              </w:rPr>
              <w:t>-</w:t>
            </w:r>
            <w:r w:rsidRPr="00E24382">
              <w:rPr>
                <w:rFonts w:asciiTheme="majorHAnsi" w:eastAsia="Calibri Light" w:hAnsiTheme="majorHAnsi" w:cstheme="majorBidi"/>
                <w:sz w:val="21"/>
                <w:szCs w:val="21"/>
              </w:rPr>
              <w:t>connected walking, cycling and trail paths</w:t>
            </w:r>
          </w:p>
          <w:p w14:paraId="7A42EF71" w14:textId="00625AD1" w:rsidR="00F00E3D" w:rsidRPr="000364BE" w:rsidRDefault="00F00E3D" w:rsidP="00364C5D">
            <w:pPr>
              <w:pStyle w:val="ListParagraph"/>
              <w:numPr>
                <w:ilvl w:val="1"/>
                <w:numId w:val="79"/>
              </w:numPr>
              <w:spacing w:after="0" w:line="240" w:lineRule="auto"/>
              <w:rPr>
                <w:rFonts w:asciiTheme="majorHAnsi" w:eastAsiaTheme="minorEastAsia" w:hAnsiTheme="majorHAnsi" w:cstheme="majorHAnsi"/>
                <w:color w:val="000000" w:themeColor="text1"/>
                <w:sz w:val="21"/>
                <w:szCs w:val="21"/>
              </w:rPr>
            </w:pPr>
            <w:r w:rsidRPr="00E24382">
              <w:rPr>
                <w:rFonts w:asciiTheme="majorHAnsi" w:eastAsia="Calibri Light" w:hAnsiTheme="majorHAnsi" w:cstheme="majorBidi"/>
                <w:sz w:val="21"/>
                <w:szCs w:val="21"/>
              </w:rPr>
              <w:t>Renew</w:t>
            </w:r>
            <w:r w:rsidRPr="00E24382">
              <w:rPr>
                <w:rFonts w:asciiTheme="majorHAnsi" w:eastAsia="Calibri Light" w:hAnsiTheme="majorHAnsi" w:cstheme="majorHAnsi"/>
                <w:sz w:val="21"/>
                <w:szCs w:val="21"/>
              </w:rPr>
              <w:t xml:space="preserve"> industrial </w:t>
            </w:r>
            <w:r w:rsidR="009C0A2F">
              <w:rPr>
                <w:rFonts w:asciiTheme="majorHAnsi" w:eastAsia="Calibri Light" w:hAnsiTheme="majorHAnsi" w:cstheme="majorHAnsi"/>
                <w:sz w:val="21"/>
                <w:szCs w:val="21"/>
              </w:rPr>
              <w:t>areas</w:t>
            </w:r>
            <w:r w:rsidR="00941EA1">
              <w:rPr>
                <w:rFonts w:asciiTheme="majorHAnsi" w:eastAsia="Calibri Light" w:hAnsiTheme="majorHAnsi" w:cstheme="majorHAnsi"/>
                <w:sz w:val="21"/>
                <w:szCs w:val="21"/>
              </w:rPr>
              <w:t xml:space="preserve"> and</w:t>
            </w:r>
            <w:r w:rsidRPr="00E24382">
              <w:rPr>
                <w:rFonts w:asciiTheme="majorHAnsi" w:eastAsia="Calibri Light" w:hAnsiTheme="majorHAnsi" w:cstheme="majorHAnsi"/>
                <w:sz w:val="21"/>
                <w:szCs w:val="21"/>
              </w:rPr>
              <w:t xml:space="preserve"> </w:t>
            </w:r>
            <w:r w:rsidR="00451244" w:rsidRPr="00E24382">
              <w:rPr>
                <w:rFonts w:asciiTheme="majorHAnsi" w:eastAsia="Calibri Light" w:hAnsiTheme="majorHAnsi" w:cstheme="majorHAnsi"/>
                <w:sz w:val="21"/>
                <w:szCs w:val="21"/>
              </w:rPr>
              <w:t>e</w:t>
            </w:r>
            <w:r w:rsidRPr="00E24382">
              <w:rPr>
                <w:rFonts w:asciiTheme="majorHAnsi" w:eastAsia="Calibri Light" w:hAnsiTheme="majorHAnsi" w:cstheme="majorHAnsi"/>
                <w:sz w:val="21"/>
                <w:szCs w:val="21"/>
              </w:rPr>
              <w:t>xecut</w:t>
            </w:r>
            <w:r w:rsidR="00451244" w:rsidRPr="00E24382">
              <w:rPr>
                <w:rFonts w:asciiTheme="majorHAnsi" w:eastAsia="Calibri Light" w:hAnsiTheme="majorHAnsi" w:cstheme="majorHAnsi"/>
                <w:sz w:val="21"/>
                <w:szCs w:val="21"/>
              </w:rPr>
              <w:t>e</w:t>
            </w:r>
            <w:r w:rsidRPr="00E24382">
              <w:rPr>
                <w:rFonts w:asciiTheme="majorHAnsi" w:eastAsia="Calibri Light" w:hAnsiTheme="majorHAnsi" w:cstheme="majorHAnsi"/>
                <w:sz w:val="21"/>
                <w:szCs w:val="21"/>
              </w:rPr>
              <w:t xml:space="preserve"> economic growth </w:t>
            </w:r>
            <w:r w:rsidR="00941EA1">
              <w:rPr>
                <w:rFonts w:asciiTheme="majorHAnsi" w:eastAsia="Calibri Light" w:hAnsiTheme="majorHAnsi" w:cstheme="majorHAnsi"/>
                <w:sz w:val="21"/>
                <w:szCs w:val="21"/>
              </w:rPr>
              <w:t>strategies for</w:t>
            </w:r>
            <w:r w:rsidRPr="00E24382">
              <w:rPr>
                <w:rFonts w:asciiTheme="majorHAnsi" w:eastAsia="Calibri Light" w:hAnsiTheme="majorHAnsi" w:cstheme="majorHAnsi"/>
                <w:sz w:val="21"/>
                <w:szCs w:val="21"/>
              </w:rPr>
              <w:t xml:space="preserve"> region’s north</w:t>
            </w:r>
          </w:p>
          <w:p w14:paraId="3DFCC107" w14:textId="6DA183B8" w:rsidR="000364BE" w:rsidRPr="00793658" w:rsidRDefault="000364BE" w:rsidP="000364BE">
            <w:pPr>
              <w:spacing w:after="0" w:line="240" w:lineRule="auto"/>
              <w:rPr>
                <w:rFonts w:asciiTheme="majorHAnsi" w:eastAsiaTheme="minorEastAsia" w:hAnsiTheme="majorHAnsi" w:cstheme="majorHAnsi"/>
                <w:color w:val="000000" w:themeColor="text1"/>
                <w:sz w:val="12"/>
                <w:szCs w:val="12"/>
              </w:rPr>
            </w:pPr>
          </w:p>
        </w:tc>
      </w:tr>
      <w:tr w:rsidR="00FA704D" w:rsidRPr="0005244D" w14:paraId="63EB0BFE" w14:textId="77777777" w:rsidTr="00BD6662">
        <w:tc>
          <w:tcPr>
            <w:tcW w:w="1696" w:type="dxa"/>
          </w:tcPr>
          <w:p w14:paraId="6B0328F9" w14:textId="77777777" w:rsidR="000364BE" w:rsidRPr="000364BE" w:rsidRDefault="000364BE" w:rsidP="0005244D">
            <w:pPr>
              <w:spacing w:after="0" w:line="240" w:lineRule="auto"/>
              <w:rPr>
                <w:rFonts w:asciiTheme="majorHAnsi" w:eastAsia="Times New Roman" w:hAnsiTheme="majorHAnsi" w:cstheme="majorHAnsi"/>
                <w:sz w:val="12"/>
                <w:szCs w:val="12"/>
              </w:rPr>
            </w:pPr>
          </w:p>
          <w:p w14:paraId="7503C5C6" w14:textId="6B37C229" w:rsidR="000A6C85" w:rsidRDefault="001B7DDF" w:rsidP="0005244D">
            <w:pPr>
              <w:spacing w:after="0" w:line="240" w:lineRule="auto"/>
              <w:rPr>
                <w:rFonts w:asciiTheme="majorHAnsi" w:eastAsia="Times New Roman" w:hAnsiTheme="majorHAnsi" w:cstheme="majorHAnsi"/>
                <w:i/>
                <w:iCs/>
                <w:sz w:val="21"/>
                <w:szCs w:val="21"/>
              </w:rPr>
            </w:pPr>
            <w:r>
              <w:rPr>
                <w:rFonts w:eastAsia="Times New Roman" w:cstheme="minorHAnsi"/>
                <w:b/>
                <w:bCs/>
                <w:sz w:val="21"/>
                <w:szCs w:val="21"/>
              </w:rPr>
              <w:t>CoGG</w:t>
            </w:r>
            <w:r w:rsidR="00577676" w:rsidRPr="000A6C85">
              <w:rPr>
                <w:rFonts w:eastAsia="Times New Roman" w:cstheme="minorHAnsi"/>
                <w:b/>
                <w:bCs/>
                <w:sz w:val="21"/>
                <w:szCs w:val="21"/>
              </w:rPr>
              <w:t xml:space="preserve"> Settlement Strategy</w:t>
            </w:r>
          </w:p>
          <w:p w14:paraId="4D162AEA" w14:textId="3A2693E0" w:rsidR="00FA704D" w:rsidRPr="002767EC" w:rsidRDefault="00577676" w:rsidP="0005244D">
            <w:pPr>
              <w:spacing w:after="0" w:line="240" w:lineRule="auto"/>
              <w:rPr>
                <w:rFonts w:asciiTheme="majorHAnsi" w:eastAsia="Times New Roman" w:hAnsiTheme="majorHAnsi" w:cstheme="majorHAnsi"/>
                <w:sz w:val="21"/>
                <w:szCs w:val="21"/>
              </w:rPr>
            </w:pPr>
            <w:r w:rsidRPr="005B0272">
              <w:rPr>
                <w:rFonts w:asciiTheme="majorHAnsi" w:eastAsia="Times New Roman" w:hAnsiTheme="majorHAnsi" w:cstheme="majorHAnsi"/>
                <w:noProof/>
                <w:sz w:val="21"/>
                <w:szCs w:val="21"/>
              </w:rPr>
              <w:t>(City of Greater Geelong, 2020a)</w:t>
            </w:r>
          </w:p>
        </w:tc>
        <w:tc>
          <w:tcPr>
            <w:tcW w:w="5524" w:type="dxa"/>
          </w:tcPr>
          <w:p w14:paraId="215ED60C" w14:textId="77777777" w:rsidR="000364BE" w:rsidRPr="000364BE" w:rsidRDefault="000364BE" w:rsidP="00577676">
            <w:pPr>
              <w:spacing w:after="0" w:line="240" w:lineRule="auto"/>
              <w:rPr>
                <w:rFonts w:asciiTheme="majorHAnsi" w:eastAsia="Calibri Light" w:hAnsiTheme="majorHAnsi" w:cstheme="majorHAnsi"/>
                <w:sz w:val="12"/>
                <w:szCs w:val="12"/>
              </w:rPr>
            </w:pPr>
          </w:p>
          <w:p w14:paraId="304B9A48" w14:textId="7AE8337F" w:rsidR="00577676" w:rsidRPr="00CA2402" w:rsidRDefault="00577676" w:rsidP="00364C5D">
            <w:pPr>
              <w:pStyle w:val="ListParagraph"/>
              <w:numPr>
                <w:ilvl w:val="0"/>
                <w:numId w:val="82"/>
              </w:numPr>
              <w:spacing w:after="0" w:line="240" w:lineRule="auto"/>
              <w:rPr>
                <w:rFonts w:asciiTheme="majorHAnsi" w:eastAsia="Calibri Light" w:hAnsiTheme="majorHAnsi" w:cstheme="majorHAnsi"/>
                <w:sz w:val="21"/>
                <w:szCs w:val="21"/>
              </w:rPr>
            </w:pPr>
            <w:r w:rsidRPr="00CA2402">
              <w:rPr>
                <w:rFonts w:asciiTheme="majorHAnsi" w:eastAsia="Calibri Light" w:hAnsiTheme="majorHAnsi" w:cstheme="majorHAnsi"/>
                <w:sz w:val="21"/>
                <w:szCs w:val="21"/>
              </w:rPr>
              <w:t xml:space="preserve">70,000 </w:t>
            </w:r>
            <w:r w:rsidR="00535475">
              <w:rPr>
                <w:rFonts w:asciiTheme="majorHAnsi" w:eastAsia="Calibri Light" w:hAnsiTheme="majorHAnsi" w:cstheme="majorHAnsi"/>
                <w:sz w:val="21"/>
                <w:szCs w:val="21"/>
              </w:rPr>
              <w:t xml:space="preserve">extra </w:t>
            </w:r>
            <w:r w:rsidRPr="00CA2402">
              <w:rPr>
                <w:rFonts w:asciiTheme="majorHAnsi" w:eastAsia="Calibri Light" w:hAnsiTheme="majorHAnsi" w:cstheme="majorHAnsi"/>
                <w:sz w:val="21"/>
                <w:szCs w:val="21"/>
              </w:rPr>
              <w:t>dwellings</w:t>
            </w:r>
            <w:r w:rsidR="00916A2B">
              <w:rPr>
                <w:rFonts w:asciiTheme="majorHAnsi" w:eastAsia="Calibri Light" w:hAnsiTheme="majorHAnsi" w:cstheme="majorHAnsi"/>
                <w:sz w:val="21"/>
                <w:szCs w:val="21"/>
              </w:rPr>
              <w:t xml:space="preserve"> required</w:t>
            </w:r>
            <w:r w:rsidRPr="00CA2402">
              <w:rPr>
                <w:rFonts w:asciiTheme="majorHAnsi" w:eastAsia="Calibri Light" w:hAnsiTheme="majorHAnsi" w:cstheme="majorHAnsi"/>
                <w:sz w:val="21"/>
                <w:szCs w:val="21"/>
              </w:rPr>
              <w:t xml:space="preserve"> to meet forecast needs</w:t>
            </w:r>
          </w:p>
          <w:p w14:paraId="5F6A879C" w14:textId="5BFEF1B5" w:rsidR="00577676" w:rsidRPr="00CA2402" w:rsidRDefault="00577676" w:rsidP="00364C5D">
            <w:pPr>
              <w:pStyle w:val="ListParagraph"/>
              <w:numPr>
                <w:ilvl w:val="0"/>
                <w:numId w:val="82"/>
              </w:numPr>
              <w:spacing w:after="0" w:line="240" w:lineRule="auto"/>
              <w:rPr>
                <w:rFonts w:asciiTheme="majorHAnsi" w:eastAsia="Calibri Light" w:hAnsiTheme="majorHAnsi" w:cstheme="majorHAnsi"/>
                <w:sz w:val="21"/>
                <w:szCs w:val="21"/>
              </w:rPr>
            </w:pPr>
            <w:r w:rsidRPr="00CA2402">
              <w:rPr>
                <w:rFonts w:asciiTheme="majorHAnsi" w:eastAsia="Calibri Light" w:hAnsiTheme="majorHAnsi" w:cstheme="majorHAnsi"/>
                <w:sz w:val="21"/>
                <w:szCs w:val="21"/>
              </w:rPr>
              <w:t>Support affordable housing in areas suit</w:t>
            </w:r>
            <w:r w:rsidR="00CA2402" w:rsidRPr="00CA2402">
              <w:rPr>
                <w:rFonts w:asciiTheme="majorHAnsi" w:eastAsia="Calibri Light" w:hAnsiTheme="majorHAnsi" w:cstheme="majorHAnsi"/>
                <w:sz w:val="21"/>
                <w:szCs w:val="21"/>
              </w:rPr>
              <w:t>ed to</w:t>
            </w:r>
            <w:r w:rsidRPr="00CA2402">
              <w:rPr>
                <w:rFonts w:asciiTheme="majorHAnsi" w:eastAsia="Calibri Light" w:hAnsiTheme="majorHAnsi" w:cstheme="majorHAnsi"/>
                <w:sz w:val="21"/>
                <w:szCs w:val="21"/>
              </w:rPr>
              <w:t xml:space="preserve"> urban consolidation</w:t>
            </w:r>
          </w:p>
          <w:p w14:paraId="14E14224" w14:textId="19B77AEB" w:rsidR="00577676" w:rsidRPr="00CA2402" w:rsidRDefault="009E56E6" w:rsidP="00364C5D">
            <w:pPr>
              <w:pStyle w:val="ListParagraph"/>
              <w:numPr>
                <w:ilvl w:val="0"/>
                <w:numId w:val="82"/>
              </w:numPr>
              <w:spacing w:after="0" w:line="240" w:lineRule="auto"/>
              <w:rPr>
                <w:rFonts w:asciiTheme="majorHAnsi" w:eastAsia="Calibri Light" w:hAnsiTheme="majorHAnsi" w:cstheme="majorHAnsi"/>
                <w:sz w:val="21"/>
                <w:szCs w:val="21"/>
              </w:rPr>
            </w:pPr>
            <w:r>
              <w:rPr>
                <w:rFonts w:asciiTheme="majorHAnsi" w:eastAsia="Calibri Light" w:hAnsiTheme="majorHAnsi" w:cstheme="majorHAnsi"/>
                <w:sz w:val="21"/>
                <w:szCs w:val="21"/>
              </w:rPr>
              <w:t>Explore</w:t>
            </w:r>
            <w:r w:rsidR="00577676" w:rsidRPr="00CA2402">
              <w:rPr>
                <w:rFonts w:asciiTheme="majorHAnsi" w:eastAsia="Calibri Light" w:hAnsiTheme="majorHAnsi" w:cstheme="majorHAnsi"/>
                <w:sz w:val="21"/>
                <w:szCs w:val="21"/>
              </w:rPr>
              <w:t xml:space="preserve"> model voluntary agreements, inclusionary zoning</w:t>
            </w:r>
            <w:r w:rsidR="00255BCF">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and</w:t>
            </w:r>
            <w:r w:rsidR="00577676" w:rsidRPr="00CA2402">
              <w:rPr>
                <w:rFonts w:asciiTheme="majorHAnsi" w:eastAsia="Calibri Light" w:hAnsiTheme="majorHAnsi" w:cstheme="majorHAnsi"/>
                <w:sz w:val="21"/>
                <w:szCs w:val="21"/>
              </w:rPr>
              <w:t xml:space="preserve"> surplus government sites to deliver social housing</w:t>
            </w:r>
          </w:p>
          <w:p w14:paraId="20B32A15" w14:textId="1ED2DD25" w:rsidR="00577676" w:rsidRPr="00CA2402" w:rsidRDefault="00577676" w:rsidP="00364C5D">
            <w:pPr>
              <w:pStyle w:val="ListParagraph"/>
              <w:numPr>
                <w:ilvl w:val="0"/>
                <w:numId w:val="82"/>
              </w:numPr>
              <w:spacing w:after="0" w:line="240" w:lineRule="auto"/>
              <w:rPr>
                <w:rFonts w:asciiTheme="majorHAnsi" w:eastAsia="Calibri Light" w:hAnsiTheme="majorHAnsi" w:cstheme="majorHAnsi"/>
                <w:sz w:val="21"/>
                <w:szCs w:val="21"/>
              </w:rPr>
            </w:pPr>
            <w:r w:rsidRPr="00CA2402">
              <w:rPr>
                <w:rFonts w:asciiTheme="majorHAnsi" w:eastAsia="Calibri Light" w:hAnsiTheme="majorHAnsi" w:cstheme="majorHAnsi"/>
                <w:sz w:val="21"/>
                <w:szCs w:val="21"/>
              </w:rPr>
              <w:t xml:space="preserve">Work with </w:t>
            </w:r>
            <w:r w:rsidR="009E56E6">
              <w:rPr>
                <w:rFonts w:asciiTheme="majorHAnsi" w:eastAsia="Calibri Light" w:hAnsiTheme="majorHAnsi" w:cstheme="majorHAnsi"/>
                <w:sz w:val="21"/>
                <w:szCs w:val="21"/>
              </w:rPr>
              <w:t>State</w:t>
            </w:r>
            <w:r w:rsidRPr="00CA2402">
              <w:rPr>
                <w:rFonts w:asciiTheme="majorHAnsi" w:eastAsia="Calibri Light" w:hAnsiTheme="majorHAnsi" w:cstheme="majorHAnsi"/>
                <w:sz w:val="21"/>
                <w:szCs w:val="21"/>
              </w:rPr>
              <w:t xml:space="preserve"> Government, community housing,</w:t>
            </w:r>
            <w:r w:rsidR="009E56E6">
              <w:rPr>
                <w:rFonts w:asciiTheme="majorHAnsi" w:eastAsia="Calibri Light" w:hAnsiTheme="majorHAnsi" w:cstheme="majorHAnsi"/>
                <w:sz w:val="21"/>
                <w:szCs w:val="21"/>
              </w:rPr>
              <w:t xml:space="preserve"> and</w:t>
            </w:r>
            <w:r w:rsidRPr="00CA2402">
              <w:rPr>
                <w:rFonts w:asciiTheme="majorHAnsi" w:eastAsia="Calibri Light" w:hAnsiTheme="majorHAnsi" w:cstheme="majorHAnsi"/>
                <w:sz w:val="21"/>
                <w:szCs w:val="21"/>
              </w:rPr>
              <w:t xml:space="preserve"> private sector to deliver more affordable and social housing options</w:t>
            </w:r>
          </w:p>
          <w:p w14:paraId="14623AA7" w14:textId="4A058D87" w:rsidR="00577676" w:rsidRPr="00CA2402" w:rsidRDefault="00577676" w:rsidP="00364C5D">
            <w:pPr>
              <w:pStyle w:val="ListParagraph"/>
              <w:numPr>
                <w:ilvl w:val="0"/>
                <w:numId w:val="82"/>
              </w:numPr>
              <w:spacing w:after="0" w:line="240" w:lineRule="auto"/>
              <w:rPr>
                <w:rFonts w:asciiTheme="majorHAnsi" w:eastAsia="Calibri Light" w:hAnsiTheme="majorHAnsi" w:cstheme="majorHAnsi"/>
                <w:sz w:val="21"/>
                <w:szCs w:val="21"/>
              </w:rPr>
            </w:pPr>
            <w:r w:rsidRPr="00CA2402">
              <w:rPr>
                <w:rFonts w:asciiTheme="majorHAnsi" w:eastAsia="Calibri Light" w:hAnsiTheme="majorHAnsi" w:cstheme="majorHAnsi"/>
                <w:sz w:val="21"/>
                <w:szCs w:val="21"/>
              </w:rPr>
              <w:t xml:space="preserve">Predict and manage growth across </w:t>
            </w:r>
            <w:r w:rsidR="001F1228">
              <w:rPr>
                <w:rFonts w:asciiTheme="majorHAnsi" w:eastAsia="Calibri Light" w:hAnsiTheme="majorHAnsi" w:cstheme="majorHAnsi"/>
                <w:sz w:val="21"/>
                <w:szCs w:val="21"/>
              </w:rPr>
              <w:t>Ci</w:t>
            </w:r>
            <w:r w:rsidRPr="00CA2402">
              <w:rPr>
                <w:rFonts w:asciiTheme="majorHAnsi" w:eastAsia="Calibri Light" w:hAnsiTheme="majorHAnsi" w:cstheme="majorHAnsi"/>
                <w:sz w:val="21"/>
                <w:szCs w:val="21"/>
              </w:rPr>
              <w:t>ty region via greenfield development, densification, and infill</w:t>
            </w:r>
          </w:p>
          <w:p w14:paraId="1770D609" w14:textId="12C0A94A" w:rsidR="00577676" w:rsidRPr="00CA2402" w:rsidRDefault="00535475" w:rsidP="00364C5D">
            <w:pPr>
              <w:pStyle w:val="ListParagraph"/>
              <w:numPr>
                <w:ilvl w:val="0"/>
                <w:numId w:val="82"/>
              </w:numPr>
              <w:spacing w:after="0" w:line="240" w:lineRule="auto"/>
              <w:rPr>
                <w:rFonts w:asciiTheme="majorHAnsi" w:eastAsia="Calibri Light" w:hAnsiTheme="majorHAnsi" w:cstheme="majorHAnsi"/>
                <w:sz w:val="21"/>
                <w:szCs w:val="21"/>
              </w:rPr>
            </w:pPr>
            <w:r>
              <w:rPr>
                <w:rFonts w:asciiTheme="majorHAnsi" w:eastAsia="Calibri Light" w:hAnsiTheme="majorHAnsi" w:cstheme="majorHAnsi"/>
                <w:sz w:val="21"/>
                <w:szCs w:val="21"/>
              </w:rPr>
              <w:t>S</w:t>
            </w:r>
            <w:r w:rsidR="00577676" w:rsidRPr="00CA2402">
              <w:rPr>
                <w:rFonts w:asciiTheme="majorHAnsi" w:eastAsia="Calibri Light" w:hAnsiTheme="majorHAnsi" w:cstheme="majorHAnsi"/>
                <w:sz w:val="21"/>
                <w:szCs w:val="21"/>
              </w:rPr>
              <w:t xml:space="preserve">ections on urban consolidation, housing affordability, and </w:t>
            </w:r>
            <w:r w:rsidR="00255BCF">
              <w:rPr>
                <w:rFonts w:asciiTheme="majorHAnsi" w:eastAsia="Calibri Light" w:hAnsiTheme="majorHAnsi" w:cstheme="majorHAnsi"/>
                <w:sz w:val="21"/>
                <w:szCs w:val="21"/>
              </w:rPr>
              <w:t xml:space="preserve">increasing </w:t>
            </w:r>
            <w:r w:rsidR="00577676" w:rsidRPr="00CA2402">
              <w:rPr>
                <w:rFonts w:asciiTheme="majorHAnsi" w:eastAsia="Calibri Light" w:hAnsiTheme="majorHAnsi" w:cstheme="majorHAnsi"/>
                <w:sz w:val="21"/>
                <w:szCs w:val="21"/>
              </w:rPr>
              <w:t>diversity via range of lot sizes and densities</w:t>
            </w:r>
          </w:p>
          <w:p w14:paraId="6DB7A97A" w14:textId="77777777" w:rsidR="00FA704D" w:rsidRDefault="00CA2402" w:rsidP="00364C5D">
            <w:pPr>
              <w:pStyle w:val="ListParagraph"/>
              <w:numPr>
                <w:ilvl w:val="0"/>
                <w:numId w:val="82"/>
              </w:numPr>
              <w:spacing w:after="0" w:line="240" w:lineRule="auto"/>
              <w:rPr>
                <w:rFonts w:asciiTheme="majorHAnsi" w:eastAsia="Calibri Light" w:hAnsiTheme="majorHAnsi" w:cstheme="majorHAnsi"/>
                <w:sz w:val="21"/>
                <w:szCs w:val="21"/>
              </w:rPr>
            </w:pPr>
            <w:r>
              <w:rPr>
                <w:rFonts w:asciiTheme="majorHAnsi" w:eastAsia="Calibri Light" w:hAnsiTheme="majorHAnsi" w:cstheme="majorHAnsi"/>
                <w:sz w:val="21"/>
                <w:szCs w:val="21"/>
              </w:rPr>
              <w:t>I</w:t>
            </w:r>
            <w:r w:rsidR="00577676" w:rsidRPr="00CA2402">
              <w:rPr>
                <w:rFonts w:asciiTheme="majorHAnsi" w:eastAsia="Calibri Light" w:hAnsiTheme="majorHAnsi" w:cstheme="majorHAnsi"/>
                <w:sz w:val="21"/>
                <w:szCs w:val="21"/>
              </w:rPr>
              <w:t>nfill to contribute 50% of new builds (currently 25–35%)</w:t>
            </w:r>
          </w:p>
          <w:p w14:paraId="6679395C" w14:textId="24D3D5A4" w:rsidR="00CA2402" w:rsidRPr="00D953C9" w:rsidRDefault="00CA2402" w:rsidP="00CA2402">
            <w:pPr>
              <w:spacing w:after="0" w:line="240" w:lineRule="auto"/>
              <w:rPr>
                <w:rFonts w:asciiTheme="majorHAnsi" w:eastAsia="Calibri Light" w:hAnsiTheme="majorHAnsi" w:cstheme="majorHAnsi"/>
                <w:sz w:val="16"/>
                <w:szCs w:val="16"/>
              </w:rPr>
            </w:pPr>
          </w:p>
        </w:tc>
        <w:tc>
          <w:tcPr>
            <w:tcW w:w="7371" w:type="dxa"/>
          </w:tcPr>
          <w:p w14:paraId="185ADE37" w14:textId="77777777" w:rsidR="000364BE" w:rsidRPr="000364BE" w:rsidRDefault="000364BE" w:rsidP="000364BE">
            <w:pPr>
              <w:spacing w:after="0" w:line="240" w:lineRule="auto"/>
              <w:rPr>
                <w:rFonts w:asciiTheme="majorHAnsi" w:hAnsiTheme="majorHAnsi" w:cstheme="majorHAnsi"/>
                <w:sz w:val="12"/>
                <w:szCs w:val="12"/>
              </w:rPr>
            </w:pPr>
          </w:p>
          <w:p w14:paraId="310B90FE" w14:textId="75B88B75" w:rsidR="00577676" w:rsidRPr="001633F7" w:rsidRDefault="00577676" w:rsidP="00364C5D">
            <w:pPr>
              <w:pStyle w:val="ListParagraph"/>
              <w:numPr>
                <w:ilvl w:val="0"/>
                <w:numId w:val="81"/>
              </w:numPr>
              <w:spacing w:after="0" w:line="240" w:lineRule="auto"/>
              <w:rPr>
                <w:rFonts w:asciiTheme="majorHAnsi" w:hAnsiTheme="majorHAnsi" w:cstheme="majorHAnsi"/>
                <w:sz w:val="21"/>
                <w:szCs w:val="21"/>
              </w:rPr>
            </w:pPr>
            <w:r w:rsidRPr="001633F7">
              <w:rPr>
                <w:rFonts w:asciiTheme="majorHAnsi" w:eastAsia="Calibri Light" w:hAnsiTheme="majorHAnsi" w:cstheme="majorHAnsi"/>
                <w:sz w:val="21"/>
                <w:szCs w:val="21"/>
              </w:rPr>
              <w:t>Corio, Norlane, Whittington</w:t>
            </w:r>
            <w:r w:rsidR="00A11CEA">
              <w:rPr>
                <w:rFonts w:asciiTheme="majorHAnsi" w:eastAsia="Calibri Light" w:hAnsiTheme="majorHAnsi" w:cstheme="majorHAnsi"/>
                <w:sz w:val="21"/>
                <w:szCs w:val="21"/>
              </w:rPr>
              <w:t>:</w:t>
            </w:r>
            <w:r w:rsidRPr="001633F7">
              <w:rPr>
                <w:rFonts w:asciiTheme="majorHAnsi" w:eastAsia="Calibri Light" w:hAnsiTheme="majorHAnsi" w:cstheme="majorHAnsi"/>
                <w:sz w:val="21"/>
                <w:szCs w:val="21"/>
              </w:rPr>
              <w:t xml:space="preserve"> possible urban consolidation and densification</w:t>
            </w:r>
            <w:r w:rsidR="00541532">
              <w:rPr>
                <w:rFonts w:asciiTheme="majorHAnsi" w:eastAsia="Calibri Light" w:hAnsiTheme="majorHAnsi" w:cstheme="majorHAnsi"/>
                <w:sz w:val="21"/>
                <w:szCs w:val="21"/>
              </w:rPr>
              <w:t xml:space="preserve"> sites</w:t>
            </w:r>
          </w:p>
          <w:p w14:paraId="23C633F8" w14:textId="4343B3C3" w:rsidR="00577676" w:rsidRPr="001633F7" w:rsidRDefault="00577676" w:rsidP="00364C5D">
            <w:pPr>
              <w:pStyle w:val="ListParagraph"/>
              <w:numPr>
                <w:ilvl w:val="0"/>
                <w:numId w:val="81"/>
              </w:numPr>
              <w:spacing w:after="0" w:line="240" w:lineRule="auto"/>
              <w:rPr>
                <w:rFonts w:asciiTheme="majorHAnsi" w:hAnsiTheme="majorHAnsi" w:cstheme="majorHAnsi"/>
                <w:sz w:val="21"/>
                <w:szCs w:val="21"/>
              </w:rPr>
            </w:pPr>
            <w:r w:rsidRPr="001633F7">
              <w:rPr>
                <w:rFonts w:asciiTheme="majorHAnsi" w:eastAsia="Calibri Light" w:hAnsiTheme="majorHAnsi" w:cstheme="majorHAnsi"/>
                <w:sz w:val="21"/>
                <w:szCs w:val="21"/>
              </w:rPr>
              <w:t>Investigate “rail corridor precinct” approach to infill opportunities from North Geelong to Waurn Ponds</w:t>
            </w:r>
          </w:p>
          <w:p w14:paraId="502BC5C9" w14:textId="6B76975A" w:rsidR="001633F7" w:rsidRPr="001633F7" w:rsidRDefault="00577676" w:rsidP="00364C5D">
            <w:pPr>
              <w:pStyle w:val="ListParagraph"/>
              <w:numPr>
                <w:ilvl w:val="0"/>
                <w:numId w:val="81"/>
              </w:numPr>
              <w:spacing w:after="0" w:line="240" w:lineRule="auto"/>
              <w:rPr>
                <w:rFonts w:asciiTheme="majorHAnsi" w:eastAsia="Calibri Light" w:hAnsiTheme="majorHAnsi" w:cstheme="majorHAnsi"/>
                <w:sz w:val="21"/>
                <w:szCs w:val="21"/>
              </w:rPr>
            </w:pPr>
            <w:r w:rsidRPr="001633F7">
              <w:rPr>
                <w:rFonts w:asciiTheme="majorHAnsi" w:eastAsia="Calibri Light" w:hAnsiTheme="majorHAnsi" w:cstheme="majorHAnsi"/>
                <w:sz w:val="21"/>
                <w:szCs w:val="21"/>
              </w:rPr>
              <w:t xml:space="preserve">Corio and North Shore </w:t>
            </w:r>
            <w:r w:rsidR="0074732F" w:rsidRPr="001633F7">
              <w:rPr>
                <w:rFonts w:asciiTheme="majorHAnsi" w:eastAsia="Calibri Light" w:hAnsiTheme="majorHAnsi" w:cstheme="majorHAnsi"/>
                <w:sz w:val="21"/>
                <w:szCs w:val="21"/>
              </w:rPr>
              <w:t>S</w:t>
            </w:r>
            <w:r w:rsidRPr="001633F7">
              <w:rPr>
                <w:rFonts w:asciiTheme="majorHAnsi" w:eastAsia="Calibri Light" w:hAnsiTheme="majorHAnsi" w:cstheme="majorHAnsi"/>
                <w:sz w:val="21"/>
                <w:szCs w:val="21"/>
              </w:rPr>
              <w:t>tations</w:t>
            </w:r>
            <w:r w:rsidR="00A11CEA">
              <w:rPr>
                <w:rFonts w:asciiTheme="majorHAnsi" w:eastAsia="Calibri Light" w:hAnsiTheme="majorHAnsi" w:cstheme="majorHAnsi"/>
                <w:sz w:val="21"/>
                <w:szCs w:val="21"/>
              </w:rPr>
              <w:t xml:space="preserve">: no changes </w:t>
            </w:r>
            <w:r w:rsidRPr="001633F7">
              <w:rPr>
                <w:rFonts w:asciiTheme="majorHAnsi" w:eastAsia="Calibri Light" w:hAnsiTheme="majorHAnsi" w:cstheme="majorHAnsi"/>
                <w:sz w:val="21"/>
                <w:szCs w:val="21"/>
              </w:rPr>
              <w:t>(due to proximity to industrial and port activity areas)</w:t>
            </w:r>
          </w:p>
          <w:p w14:paraId="05C486D1" w14:textId="7A29D3BF" w:rsidR="00577676" w:rsidRPr="001633F7" w:rsidRDefault="00577676" w:rsidP="00364C5D">
            <w:pPr>
              <w:pStyle w:val="ListParagraph"/>
              <w:numPr>
                <w:ilvl w:val="0"/>
                <w:numId w:val="81"/>
              </w:numPr>
              <w:spacing w:after="0" w:line="240" w:lineRule="auto"/>
              <w:rPr>
                <w:rFonts w:asciiTheme="majorHAnsi" w:hAnsiTheme="majorHAnsi" w:cstheme="majorHAnsi"/>
                <w:sz w:val="21"/>
                <w:szCs w:val="21"/>
              </w:rPr>
            </w:pPr>
            <w:r w:rsidRPr="001633F7">
              <w:rPr>
                <w:rFonts w:asciiTheme="majorHAnsi" w:eastAsia="Calibri Light" w:hAnsiTheme="majorHAnsi" w:cstheme="majorHAnsi"/>
                <w:sz w:val="21"/>
                <w:szCs w:val="21"/>
              </w:rPr>
              <w:t xml:space="preserve">North Geelong </w:t>
            </w:r>
            <w:r w:rsidR="0074732F" w:rsidRPr="001633F7">
              <w:rPr>
                <w:rFonts w:asciiTheme="majorHAnsi" w:eastAsia="Calibri Light" w:hAnsiTheme="majorHAnsi" w:cstheme="majorHAnsi"/>
                <w:sz w:val="21"/>
                <w:szCs w:val="21"/>
              </w:rPr>
              <w:t>S</w:t>
            </w:r>
            <w:r w:rsidRPr="001633F7">
              <w:rPr>
                <w:rFonts w:asciiTheme="majorHAnsi" w:eastAsia="Calibri Light" w:hAnsiTheme="majorHAnsi" w:cstheme="majorHAnsi"/>
                <w:sz w:val="21"/>
                <w:szCs w:val="21"/>
              </w:rPr>
              <w:t>tation</w:t>
            </w:r>
            <w:r w:rsidR="00535475">
              <w:rPr>
                <w:rFonts w:asciiTheme="majorHAnsi" w:eastAsia="Calibri Light" w:hAnsiTheme="majorHAnsi" w:cstheme="majorHAnsi"/>
                <w:sz w:val="21"/>
                <w:szCs w:val="21"/>
              </w:rPr>
              <w:t>:</w:t>
            </w:r>
            <w:r w:rsidRPr="001633F7">
              <w:rPr>
                <w:rFonts w:asciiTheme="majorHAnsi" w:eastAsia="Calibri Light" w:hAnsiTheme="majorHAnsi" w:cstheme="majorHAnsi"/>
                <w:sz w:val="21"/>
                <w:szCs w:val="21"/>
              </w:rPr>
              <w:t xml:space="preserve"> recommended area </w:t>
            </w:r>
            <w:r w:rsidR="00535475">
              <w:rPr>
                <w:rFonts w:asciiTheme="majorHAnsi" w:eastAsia="Calibri Light" w:hAnsiTheme="majorHAnsi" w:cstheme="majorHAnsi"/>
                <w:sz w:val="21"/>
                <w:szCs w:val="21"/>
              </w:rPr>
              <w:t>to increase</w:t>
            </w:r>
            <w:r w:rsidRPr="001633F7">
              <w:rPr>
                <w:rFonts w:asciiTheme="majorHAnsi" w:eastAsia="Calibri Light" w:hAnsiTheme="majorHAnsi" w:cstheme="majorHAnsi"/>
                <w:sz w:val="21"/>
                <w:szCs w:val="21"/>
              </w:rPr>
              <w:t xml:space="preserve"> housing diversity</w:t>
            </w:r>
            <w:r w:rsidR="00535475">
              <w:rPr>
                <w:rFonts w:asciiTheme="majorHAnsi" w:eastAsia="Calibri Light" w:hAnsiTheme="majorHAnsi" w:cstheme="majorHAnsi"/>
                <w:sz w:val="21"/>
                <w:szCs w:val="21"/>
              </w:rPr>
              <w:t xml:space="preserve">, </w:t>
            </w:r>
            <w:r w:rsidR="001633F7" w:rsidRPr="001633F7">
              <w:rPr>
                <w:rFonts w:asciiTheme="majorHAnsi" w:eastAsia="Calibri Light" w:hAnsiTheme="majorHAnsi" w:cstheme="majorHAnsi"/>
                <w:sz w:val="21"/>
                <w:szCs w:val="21"/>
              </w:rPr>
              <w:t>could potentially become</w:t>
            </w:r>
            <w:r w:rsidRPr="001633F7">
              <w:rPr>
                <w:rFonts w:asciiTheme="majorHAnsi" w:eastAsia="Calibri Light" w:hAnsiTheme="majorHAnsi" w:cstheme="majorHAnsi"/>
                <w:sz w:val="21"/>
                <w:szCs w:val="21"/>
              </w:rPr>
              <w:t xml:space="preserve"> a Key Development Area</w:t>
            </w:r>
          </w:p>
          <w:p w14:paraId="5F74AB9B" w14:textId="04474F4F" w:rsidR="00577676" w:rsidRPr="001633F7" w:rsidRDefault="00577676" w:rsidP="00364C5D">
            <w:pPr>
              <w:pStyle w:val="ListParagraph"/>
              <w:numPr>
                <w:ilvl w:val="0"/>
                <w:numId w:val="81"/>
              </w:numPr>
              <w:spacing w:after="0" w:line="240" w:lineRule="auto"/>
              <w:rPr>
                <w:rFonts w:asciiTheme="majorHAnsi" w:hAnsiTheme="majorHAnsi" w:cstheme="majorHAnsi"/>
                <w:sz w:val="21"/>
                <w:szCs w:val="21"/>
              </w:rPr>
            </w:pPr>
            <w:r w:rsidRPr="001633F7">
              <w:rPr>
                <w:rFonts w:asciiTheme="majorHAnsi" w:eastAsia="Calibri Light" w:hAnsiTheme="majorHAnsi" w:cstheme="majorHAnsi"/>
                <w:sz w:val="21"/>
                <w:szCs w:val="21"/>
              </w:rPr>
              <w:t xml:space="preserve">Continue to invest in placemaking </w:t>
            </w:r>
            <w:r w:rsidR="00CA383A">
              <w:rPr>
                <w:rFonts w:asciiTheme="majorHAnsi" w:eastAsia="Calibri Light" w:hAnsiTheme="majorHAnsi" w:cstheme="majorHAnsi"/>
                <w:sz w:val="21"/>
                <w:szCs w:val="21"/>
              </w:rPr>
              <w:t>activities</w:t>
            </w:r>
          </w:p>
          <w:p w14:paraId="539A5CE8" w14:textId="06F89CB8" w:rsidR="00F879EE" w:rsidRPr="001633F7" w:rsidRDefault="00577676" w:rsidP="00364C5D">
            <w:pPr>
              <w:pStyle w:val="ListParagraph"/>
              <w:numPr>
                <w:ilvl w:val="0"/>
                <w:numId w:val="81"/>
              </w:numPr>
              <w:spacing w:after="0" w:line="240" w:lineRule="auto"/>
              <w:rPr>
                <w:rFonts w:asciiTheme="majorHAnsi" w:eastAsia="Calibri Light" w:hAnsiTheme="majorHAnsi" w:cstheme="majorBidi"/>
                <w:sz w:val="21"/>
                <w:szCs w:val="21"/>
              </w:rPr>
            </w:pPr>
            <w:r w:rsidRPr="001633F7">
              <w:rPr>
                <w:rFonts w:asciiTheme="majorHAnsi" w:eastAsia="Calibri Light" w:hAnsiTheme="majorHAnsi" w:cstheme="majorHAnsi"/>
                <w:sz w:val="21"/>
                <w:szCs w:val="21"/>
              </w:rPr>
              <w:t>Advocate for better public transport in established areas to key destinations</w:t>
            </w:r>
          </w:p>
        </w:tc>
      </w:tr>
      <w:tr w:rsidR="003E3426" w:rsidRPr="0005244D" w14:paraId="006E1E42" w14:textId="77777777" w:rsidTr="00791FFA">
        <w:tc>
          <w:tcPr>
            <w:tcW w:w="14591" w:type="dxa"/>
            <w:gridSpan w:val="3"/>
            <w:shd w:val="clear" w:color="auto" w:fill="F2F2F2" w:themeFill="background1" w:themeFillShade="F2"/>
          </w:tcPr>
          <w:p w14:paraId="76E1C52B" w14:textId="77777777" w:rsidR="002D2C4E" w:rsidRPr="002D2C4E" w:rsidRDefault="002D2C4E" w:rsidP="002D2C4E">
            <w:pPr>
              <w:spacing w:after="0" w:line="240" w:lineRule="auto"/>
              <w:rPr>
                <w:rFonts w:eastAsia="Times New Roman" w:cstheme="minorHAnsi"/>
                <w:b/>
                <w:bCs/>
                <w:sz w:val="8"/>
                <w:szCs w:val="8"/>
              </w:rPr>
            </w:pPr>
          </w:p>
          <w:p w14:paraId="5116B419" w14:textId="26F4D06D" w:rsidR="003E3426" w:rsidRPr="007C1A24" w:rsidRDefault="002D2C4E" w:rsidP="002D2C4E">
            <w:pPr>
              <w:spacing w:after="0" w:line="240" w:lineRule="auto"/>
              <w:rPr>
                <w:rFonts w:eastAsia="Times New Roman" w:cstheme="minorHAnsi"/>
                <w:b/>
                <w:bCs/>
                <w:sz w:val="21"/>
                <w:szCs w:val="21"/>
              </w:rPr>
            </w:pPr>
            <w:r w:rsidRPr="007C1A24">
              <w:rPr>
                <w:rFonts w:eastAsia="Times New Roman" w:cstheme="minorHAnsi"/>
                <w:b/>
                <w:bCs/>
                <w:sz w:val="21"/>
                <w:szCs w:val="21"/>
              </w:rPr>
              <w:t>CITY-WIDE: SECTORAL AND OPERATIONAL</w:t>
            </w:r>
          </w:p>
          <w:p w14:paraId="54E2A7C1" w14:textId="77777777" w:rsidR="002D2C4E" w:rsidRPr="002D2C4E" w:rsidRDefault="002D2C4E" w:rsidP="002D2C4E">
            <w:pPr>
              <w:spacing w:after="0" w:line="240" w:lineRule="auto"/>
              <w:rPr>
                <w:rFonts w:eastAsia="Times New Roman" w:cstheme="minorHAnsi"/>
                <w:b/>
                <w:bCs/>
                <w:sz w:val="8"/>
                <w:szCs w:val="8"/>
              </w:rPr>
            </w:pPr>
          </w:p>
          <w:p w14:paraId="468892A2" w14:textId="4E55EA9F" w:rsidR="002D2C4E" w:rsidRPr="002D2C4E" w:rsidRDefault="002D2C4E" w:rsidP="002D2C4E">
            <w:pPr>
              <w:spacing w:after="0" w:line="240" w:lineRule="auto"/>
              <w:rPr>
                <w:rFonts w:cstheme="minorHAnsi"/>
                <w:sz w:val="4"/>
                <w:szCs w:val="4"/>
              </w:rPr>
            </w:pPr>
          </w:p>
        </w:tc>
      </w:tr>
      <w:tr w:rsidR="00F00E3D" w:rsidRPr="0005244D" w14:paraId="57705578" w14:textId="77777777" w:rsidTr="00BD6662">
        <w:tc>
          <w:tcPr>
            <w:tcW w:w="1696" w:type="dxa"/>
          </w:tcPr>
          <w:p w14:paraId="662C9FE6" w14:textId="77777777" w:rsidR="00D953C9" w:rsidRPr="00D953C9" w:rsidRDefault="00D953C9" w:rsidP="0005244D">
            <w:pPr>
              <w:spacing w:after="0" w:line="240" w:lineRule="auto"/>
              <w:rPr>
                <w:rFonts w:asciiTheme="majorHAnsi" w:eastAsia="Times New Roman" w:hAnsiTheme="majorHAnsi" w:cstheme="majorHAnsi"/>
                <w:i/>
                <w:iCs/>
                <w:sz w:val="12"/>
                <w:szCs w:val="12"/>
              </w:rPr>
            </w:pPr>
          </w:p>
          <w:p w14:paraId="39EF7D8E" w14:textId="17855125" w:rsidR="00206850" w:rsidRPr="00206850" w:rsidRDefault="00F00E3D" w:rsidP="0005244D">
            <w:pPr>
              <w:spacing w:after="0" w:line="240" w:lineRule="auto"/>
              <w:rPr>
                <w:rFonts w:eastAsia="Times New Roman" w:cstheme="minorHAnsi"/>
                <w:b/>
                <w:bCs/>
                <w:sz w:val="21"/>
                <w:szCs w:val="21"/>
              </w:rPr>
            </w:pPr>
            <w:r w:rsidRPr="00206850">
              <w:rPr>
                <w:rFonts w:eastAsia="Times New Roman" w:cstheme="minorHAnsi"/>
                <w:b/>
                <w:bCs/>
                <w:sz w:val="21"/>
                <w:szCs w:val="21"/>
              </w:rPr>
              <w:t>Social Infrastructure Plan</w:t>
            </w:r>
            <w:r w:rsidR="006E67CE">
              <w:rPr>
                <w:rFonts w:eastAsia="Times New Roman" w:cstheme="minorHAnsi"/>
                <w:b/>
                <w:bCs/>
                <w:sz w:val="21"/>
                <w:szCs w:val="21"/>
              </w:rPr>
              <w:t xml:space="preserve"> </w:t>
            </w:r>
            <w:r w:rsidR="006E67CE" w:rsidRPr="00206850">
              <w:rPr>
                <w:rFonts w:eastAsia="Times New Roman" w:cstheme="minorHAnsi"/>
                <w:b/>
                <w:bCs/>
                <w:sz w:val="21"/>
                <w:szCs w:val="21"/>
              </w:rPr>
              <w:t>2020–2023</w:t>
            </w:r>
          </w:p>
          <w:p w14:paraId="4B8F3923" w14:textId="77777777" w:rsidR="00206850" w:rsidRDefault="00F00E3D" w:rsidP="0005244D">
            <w:pPr>
              <w:spacing w:after="0" w:line="240" w:lineRule="auto"/>
              <w:rPr>
                <w:rFonts w:asciiTheme="majorHAnsi" w:eastAsia="Times New Roman" w:hAnsiTheme="majorHAnsi" w:cstheme="majorHAnsi"/>
                <w:noProof/>
                <w:sz w:val="21"/>
                <w:szCs w:val="21"/>
              </w:rPr>
            </w:pPr>
            <w:r w:rsidRPr="00EB0D4B">
              <w:rPr>
                <w:rFonts w:asciiTheme="majorHAnsi" w:eastAsia="Times New Roman" w:hAnsiTheme="majorHAnsi" w:cstheme="majorHAnsi"/>
                <w:noProof/>
                <w:sz w:val="21"/>
                <w:szCs w:val="21"/>
              </w:rPr>
              <w:t>(City of Greater Geelong,</w:t>
            </w:r>
          </w:p>
          <w:p w14:paraId="214CAD27" w14:textId="508FD8A4" w:rsidR="00F00E3D" w:rsidRPr="00EB0D4B" w:rsidRDefault="00F00E3D" w:rsidP="0005244D">
            <w:pPr>
              <w:spacing w:after="0" w:line="240" w:lineRule="auto"/>
              <w:rPr>
                <w:rFonts w:asciiTheme="majorHAnsi" w:hAnsiTheme="majorHAnsi" w:cstheme="majorHAnsi"/>
                <w:sz w:val="21"/>
                <w:szCs w:val="21"/>
              </w:rPr>
            </w:pPr>
            <w:r w:rsidRPr="00EB0D4B">
              <w:rPr>
                <w:rFonts w:asciiTheme="majorHAnsi" w:eastAsia="Times New Roman" w:hAnsiTheme="majorHAnsi" w:cstheme="majorHAnsi"/>
                <w:noProof/>
                <w:sz w:val="21"/>
                <w:szCs w:val="21"/>
              </w:rPr>
              <w:t>2020</w:t>
            </w:r>
            <w:r w:rsidR="00EB0D4B">
              <w:rPr>
                <w:rFonts w:asciiTheme="majorHAnsi" w:eastAsia="Times New Roman" w:hAnsiTheme="majorHAnsi" w:cstheme="majorHAnsi"/>
                <w:noProof/>
                <w:sz w:val="21"/>
                <w:szCs w:val="21"/>
              </w:rPr>
              <w:t xml:space="preserve">– </w:t>
            </w:r>
            <w:r w:rsidRPr="00EB0D4B">
              <w:rPr>
                <w:rFonts w:asciiTheme="majorHAnsi" w:eastAsia="Times New Roman" w:hAnsiTheme="majorHAnsi" w:cstheme="majorHAnsi"/>
                <w:noProof/>
                <w:sz w:val="21"/>
                <w:szCs w:val="21"/>
              </w:rPr>
              <w:t>2023)</w:t>
            </w:r>
          </w:p>
          <w:p w14:paraId="7B1ABAA0" w14:textId="77EA9C1B" w:rsidR="00F00E3D" w:rsidRPr="0005244D" w:rsidRDefault="00F00E3D" w:rsidP="00206850">
            <w:pPr>
              <w:spacing w:after="0" w:line="240" w:lineRule="auto"/>
              <w:rPr>
                <w:rFonts w:asciiTheme="majorHAnsi" w:hAnsiTheme="majorHAnsi" w:cstheme="majorHAnsi"/>
                <w:sz w:val="21"/>
                <w:szCs w:val="21"/>
              </w:rPr>
            </w:pPr>
          </w:p>
        </w:tc>
        <w:tc>
          <w:tcPr>
            <w:tcW w:w="5524" w:type="dxa"/>
          </w:tcPr>
          <w:p w14:paraId="50E008C5" w14:textId="77777777" w:rsidR="00D953C9" w:rsidRPr="00D953C9" w:rsidRDefault="00D953C9" w:rsidP="0005244D">
            <w:pPr>
              <w:spacing w:after="0" w:line="240" w:lineRule="auto"/>
              <w:rPr>
                <w:rFonts w:asciiTheme="majorHAnsi" w:eastAsia="Calibri Light" w:hAnsiTheme="majorHAnsi" w:cstheme="majorHAnsi"/>
                <w:sz w:val="12"/>
                <w:szCs w:val="12"/>
              </w:rPr>
            </w:pPr>
          </w:p>
          <w:p w14:paraId="1D0F2E68" w14:textId="58FF2FF7" w:rsidR="00F00E3D" w:rsidRPr="0005244D" w:rsidRDefault="007F0316" w:rsidP="0005244D">
            <w:pPr>
              <w:spacing w:after="0" w:line="240" w:lineRule="auto"/>
              <w:rPr>
                <w:rFonts w:asciiTheme="majorHAnsi" w:hAnsiTheme="majorHAnsi" w:cstheme="majorHAnsi"/>
                <w:sz w:val="21"/>
                <w:szCs w:val="21"/>
              </w:rPr>
            </w:pPr>
            <w:r>
              <w:rPr>
                <w:rFonts w:asciiTheme="majorHAnsi" w:eastAsia="Calibri Light" w:hAnsiTheme="majorHAnsi" w:cstheme="majorHAnsi"/>
                <w:sz w:val="21"/>
                <w:szCs w:val="21"/>
              </w:rPr>
              <w:t>C</w:t>
            </w:r>
            <w:r w:rsidR="00F00E3D" w:rsidRPr="0005244D">
              <w:rPr>
                <w:rFonts w:asciiTheme="majorHAnsi" w:eastAsia="Calibri Light" w:hAnsiTheme="majorHAnsi" w:cstheme="majorHAnsi"/>
                <w:sz w:val="21"/>
                <w:szCs w:val="21"/>
              </w:rPr>
              <w:t xml:space="preserve">omprehensive blueprint </w:t>
            </w:r>
            <w:r w:rsidR="00CC72DA">
              <w:rPr>
                <w:rFonts w:asciiTheme="majorHAnsi" w:eastAsia="Calibri Light" w:hAnsiTheme="majorHAnsi" w:cstheme="majorHAnsi"/>
                <w:sz w:val="21"/>
                <w:szCs w:val="21"/>
              </w:rPr>
              <w:t>with</w:t>
            </w:r>
            <w:r w:rsidR="00F00E3D" w:rsidRPr="0005244D">
              <w:rPr>
                <w:rFonts w:asciiTheme="majorHAnsi" w:eastAsia="Calibri Light" w:hAnsiTheme="majorHAnsi" w:cstheme="majorHAnsi"/>
                <w:sz w:val="21"/>
                <w:szCs w:val="21"/>
              </w:rPr>
              <w:t xml:space="preserve"> detailed benchmarks and project lists in the areas of council responsibility: early years, youth spaces, libraries, community spaces, arts and culture, open space, play spaces aquatics and leisure, indoor/outdoor sport and recreation, cycling trails and public toilets</w:t>
            </w:r>
            <w:r w:rsidR="00CC72DA">
              <w:rPr>
                <w:rFonts w:asciiTheme="majorHAnsi" w:eastAsia="Calibri Light" w:hAnsiTheme="majorHAnsi" w:cstheme="majorHAnsi"/>
                <w:sz w:val="21"/>
                <w:szCs w:val="21"/>
              </w:rPr>
              <w:t>.</w:t>
            </w:r>
          </w:p>
          <w:p w14:paraId="4A42AC13" w14:textId="1DDC0DA1" w:rsidR="00F00E3D" w:rsidRPr="0005244D" w:rsidRDefault="00F00E3D" w:rsidP="00206850">
            <w:pPr>
              <w:spacing w:after="0" w:line="240" w:lineRule="auto"/>
              <w:rPr>
                <w:rFonts w:asciiTheme="majorHAnsi" w:hAnsiTheme="majorHAnsi" w:cstheme="majorBidi"/>
                <w:sz w:val="21"/>
                <w:szCs w:val="21"/>
              </w:rPr>
            </w:pPr>
            <w:r w:rsidRPr="0005244D">
              <w:rPr>
                <w:rFonts w:asciiTheme="majorHAnsi" w:eastAsia="Calibri Light" w:hAnsiTheme="majorHAnsi" w:cstheme="majorHAnsi"/>
                <w:sz w:val="21"/>
                <w:szCs w:val="21"/>
              </w:rPr>
              <w:t xml:space="preserve"> </w:t>
            </w:r>
          </w:p>
        </w:tc>
        <w:tc>
          <w:tcPr>
            <w:tcW w:w="7371" w:type="dxa"/>
          </w:tcPr>
          <w:p w14:paraId="2409D431" w14:textId="77777777" w:rsidR="00D953C9" w:rsidRPr="00D953C9" w:rsidRDefault="00D953C9" w:rsidP="00D953C9">
            <w:pPr>
              <w:pStyle w:val="ListParagraph"/>
              <w:spacing w:after="0" w:line="240" w:lineRule="auto"/>
              <w:ind w:left="227"/>
              <w:rPr>
                <w:rFonts w:asciiTheme="majorHAnsi" w:hAnsiTheme="majorHAnsi" w:cstheme="majorBidi"/>
                <w:sz w:val="12"/>
                <w:szCs w:val="12"/>
              </w:rPr>
            </w:pPr>
          </w:p>
          <w:p w14:paraId="7AD04451" w14:textId="3DBD58F0" w:rsidR="00F00E3D" w:rsidRPr="00902AEA" w:rsidRDefault="00F00E3D" w:rsidP="00364C5D">
            <w:pPr>
              <w:pStyle w:val="ListParagraph"/>
              <w:numPr>
                <w:ilvl w:val="0"/>
                <w:numId w:val="83"/>
              </w:numPr>
              <w:spacing w:after="0" w:line="240" w:lineRule="auto"/>
              <w:rPr>
                <w:rFonts w:asciiTheme="majorHAnsi" w:hAnsiTheme="majorHAnsi" w:cstheme="majorBidi"/>
                <w:sz w:val="21"/>
                <w:szCs w:val="21"/>
              </w:rPr>
            </w:pPr>
            <w:r w:rsidRPr="00902AEA">
              <w:rPr>
                <w:rFonts w:asciiTheme="majorHAnsi" w:eastAsia="Calibri Light" w:hAnsiTheme="majorHAnsi" w:cstheme="majorBidi"/>
                <w:sz w:val="21"/>
                <w:szCs w:val="21"/>
              </w:rPr>
              <w:t>Corio and Norlane</w:t>
            </w:r>
            <w:r w:rsidR="007C20E5" w:rsidRPr="00902AEA">
              <w:rPr>
                <w:rFonts w:asciiTheme="majorHAnsi" w:eastAsia="Calibri Light" w:hAnsiTheme="majorHAnsi" w:cstheme="majorBidi"/>
                <w:sz w:val="21"/>
                <w:szCs w:val="21"/>
              </w:rPr>
              <w:t xml:space="preserve">: </w:t>
            </w:r>
            <w:r w:rsidRPr="00902AEA">
              <w:rPr>
                <w:rFonts w:asciiTheme="majorHAnsi" w:eastAsia="Calibri Light" w:hAnsiTheme="majorHAnsi" w:cstheme="majorBidi"/>
                <w:sz w:val="21"/>
                <w:szCs w:val="21"/>
              </w:rPr>
              <w:t>new and refurbished</w:t>
            </w:r>
            <w:r w:rsidR="007C20E5" w:rsidRPr="00902AEA">
              <w:rPr>
                <w:rFonts w:asciiTheme="majorHAnsi" w:eastAsia="Calibri Light" w:hAnsiTheme="majorHAnsi" w:cstheme="majorBidi"/>
                <w:sz w:val="21"/>
                <w:szCs w:val="21"/>
              </w:rPr>
              <w:t xml:space="preserve"> park</w:t>
            </w:r>
            <w:r w:rsidRPr="00902AEA">
              <w:rPr>
                <w:rFonts w:asciiTheme="majorHAnsi" w:eastAsia="Calibri Light" w:hAnsiTheme="majorHAnsi" w:cstheme="majorBidi"/>
                <w:sz w:val="21"/>
                <w:szCs w:val="21"/>
              </w:rPr>
              <w:t xml:space="preserve"> toilets (Stead Park), floodlights, redevelop key centres (Norlane Community Centre, Corio Library, Osborne House, </w:t>
            </w:r>
            <w:bookmarkStart w:id="94" w:name="_Hlk71128196"/>
            <w:r w:rsidR="00110730" w:rsidRPr="00902AEA">
              <w:rPr>
                <w:rFonts w:asciiTheme="majorHAnsi" w:eastAsia="Calibri Light" w:hAnsiTheme="majorHAnsi" w:cstheme="majorBidi"/>
                <w:sz w:val="21"/>
                <w:szCs w:val="21"/>
              </w:rPr>
              <w:t>fOrT</w:t>
            </w:r>
            <w:r w:rsidRPr="00902AEA">
              <w:rPr>
                <w:rFonts w:asciiTheme="majorHAnsi" w:eastAsia="Calibri Light" w:hAnsiTheme="majorHAnsi" w:cstheme="majorBidi"/>
                <w:sz w:val="21"/>
                <w:szCs w:val="21"/>
              </w:rPr>
              <w:t xml:space="preserve"> Youth </w:t>
            </w:r>
            <w:r w:rsidR="00110730" w:rsidRPr="00902AEA">
              <w:rPr>
                <w:rFonts w:asciiTheme="majorHAnsi" w:eastAsia="Calibri Light" w:hAnsiTheme="majorHAnsi" w:cstheme="majorBidi"/>
                <w:sz w:val="21"/>
                <w:szCs w:val="21"/>
              </w:rPr>
              <w:t>Centre</w:t>
            </w:r>
            <w:bookmarkEnd w:id="94"/>
            <w:r w:rsidRPr="00902AEA">
              <w:rPr>
                <w:rFonts w:asciiTheme="majorHAnsi" w:eastAsia="Calibri Light" w:hAnsiTheme="majorHAnsi" w:cstheme="majorBidi"/>
                <w:sz w:val="21"/>
                <w:szCs w:val="21"/>
              </w:rPr>
              <w:t>)</w:t>
            </w:r>
            <w:r w:rsidR="001111F9" w:rsidRPr="00902AEA">
              <w:rPr>
                <w:rFonts w:asciiTheme="majorHAnsi" w:eastAsia="Calibri Light" w:hAnsiTheme="majorHAnsi" w:cstheme="majorBidi"/>
                <w:sz w:val="21"/>
                <w:szCs w:val="21"/>
              </w:rPr>
              <w:t>,</w:t>
            </w:r>
            <w:r w:rsidRPr="00902AEA">
              <w:rPr>
                <w:rFonts w:asciiTheme="majorHAnsi" w:eastAsia="Calibri Light" w:hAnsiTheme="majorHAnsi" w:cstheme="majorBidi"/>
                <w:sz w:val="21"/>
                <w:szCs w:val="21"/>
              </w:rPr>
              <w:t xml:space="preserve"> </w:t>
            </w:r>
            <w:r w:rsidR="001111F9" w:rsidRPr="00902AEA">
              <w:rPr>
                <w:rFonts w:asciiTheme="majorHAnsi" w:eastAsia="Calibri Light" w:hAnsiTheme="majorHAnsi" w:cstheme="majorBidi"/>
                <w:sz w:val="21"/>
                <w:szCs w:val="21"/>
              </w:rPr>
              <w:t>Leisure Time extension, n</w:t>
            </w:r>
            <w:r w:rsidRPr="00902AEA">
              <w:rPr>
                <w:rFonts w:asciiTheme="majorHAnsi" w:eastAsia="Calibri Light" w:hAnsiTheme="majorHAnsi" w:cstheme="majorBidi"/>
                <w:sz w:val="21"/>
                <w:szCs w:val="21"/>
              </w:rPr>
              <w:t>ew Purnell R</w:t>
            </w:r>
            <w:r w:rsidR="00A61EF4" w:rsidRPr="00902AEA">
              <w:rPr>
                <w:rFonts w:asciiTheme="majorHAnsi" w:eastAsia="Calibri Light" w:hAnsiTheme="majorHAnsi" w:cstheme="majorBidi"/>
                <w:sz w:val="21"/>
                <w:szCs w:val="21"/>
              </w:rPr>
              <w:t>oad</w:t>
            </w:r>
            <w:r w:rsidRPr="00902AEA">
              <w:rPr>
                <w:rFonts w:asciiTheme="majorHAnsi" w:eastAsia="Calibri Light" w:hAnsiTheme="majorHAnsi" w:cstheme="majorBidi"/>
                <w:sz w:val="21"/>
                <w:szCs w:val="21"/>
              </w:rPr>
              <w:t xml:space="preserve"> </w:t>
            </w:r>
            <w:r w:rsidR="00A61EF4" w:rsidRPr="00902AEA">
              <w:rPr>
                <w:rFonts w:asciiTheme="majorHAnsi" w:eastAsia="Calibri Light" w:hAnsiTheme="majorHAnsi" w:cstheme="majorBidi"/>
                <w:sz w:val="21"/>
                <w:szCs w:val="21"/>
              </w:rPr>
              <w:t>E</w:t>
            </w:r>
            <w:r w:rsidRPr="00902AEA">
              <w:rPr>
                <w:rFonts w:asciiTheme="majorHAnsi" w:eastAsia="Calibri Light" w:hAnsiTheme="majorHAnsi" w:cstheme="majorBidi"/>
                <w:sz w:val="21"/>
                <w:szCs w:val="21"/>
              </w:rPr>
              <w:t xml:space="preserve">arly </w:t>
            </w:r>
            <w:r w:rsidR="00A61EF4" w:rsidRPr="00902AEA">
              <w:rPr>
                <w:rFonts w:asciiTheme="majorHAnsi" w:eastAsia="Calibri Light" w:hAnsiTheme="majorHAnsi" w:cstheme="majorBidi"/>
                <w:sz w:val="21"/>
                <w:szCs w:val="21"/>
              </w:rPr>
              <w:t>Y</w:t>
            </w:r>
            <w:r w:rsidRPr="00902AEA">
              <w:rPr>
                <w:rFonts w:asciiTheme="majorHAnsi" w:eastAsia="Calibri Light" w:hAnsiTheme="majorHAnsi" w:cstheme="majorBidi"/>
                <w:sz w:val="21"/>
                <w:szCs w:val="21"/>
              </w:rPr>
              <w:t xml:space="preserve">ears </w:t>
            </w:r>
            <w:r w:rsidR="00A61EF4" w:rsidRPr="00902AEA">
              <w:rPr>
                <w:rFonts w:asciiTheme="majorHAnsi" w:eastAsia="Calibri Light" w:hAnsiTheme="majorHAnsi" w:cstheme="majorBidi"/>
                <w:sz w:val="21"/>
                <w:szCs w:val="21"/>
              </w:rPr>
              <w:t>C</w:t>
            </w:r>
            <w:r w:rsidRPr="00902AEA">
              <w:rPr>
                <w:rFonts w:asciiTheme="majorHAnsi" w:eastAsia="Calibri Light" w:hAnsiTheme="majorHAnsi" w:cstheme="majorBidi"/>
                <w:sz w:val="21"/>
                <w:szCs w:val="21"/>
              </w:rPr>
              <w:t xml:space="preserve">entre </w:t>
            </w:r>
          </w:p>
          <w:p w14:paraId="3CE6F16F" w14:textId="0F2FA750" w:rsidR="000F0EEA" w:rsidRPr="00C84E98" w:rsidRDefault="000F0EEA" w:rsidP="00364C5D">
            <w:pPr>
              <w:pStyle w:val="ListParagraph"/>
              <w:numPr>
                <w:ilvl w:val="0"/>
                <w:numId w:val="83"/>
              </w:numPr>
              <w:spacing w:after="0" w:line="240" w:lineRule="auto"/>
              <w:rPr>
                <w:rFonts w:asciiTheme="majorHAnsi" w:hAnsiTheme="majorHAnsi" w:cstheme="majorHAnsi"/>
                <w:sz w:val="21"/>
                <w:szCs w:val="21"/>
              </w:rPr>
            </w:pPr>
            <w:r w:rsidRPr="00902AEA">
              <w:rPr>
                <w:rFonts w:asciiTheme="majorHAnsi" w:eastAsia="Calibri Light" w:hAnsiTheme="majorHAnsi" w:cstheme="majorHAnsi"/>
                <w:sz w:val="21"/>
                <w:szCs w:val="21"/>
              </w:rPr>
              <w:t>Deliver Northern Skate Park development (Stead Park, Corio)</w:t>
            </w:r>
            <w:r w:rsidR="00C84E98">
              <w:rPr>
                <w:rFonts w:asciiTheme="majorHAnsi" w:eastAsia="Calibri Light" w:hAnsiTheme="majorHAnsi" w:cstheme="majorHAnsi"/>
                <w:sz w:val="21"/>
                <w:szCs w:val="21"/>
              </w:rPr>
              <w:t>; u</w:t>
            </w:r>
            <w:r w:rsidR="00C84E98" w:rsidRPr="00902AEA">
              <w:rPr>
                <w:rFonts w:asciiTheme="majorHAnsi" w:eastAsia="Calibri Light" w:hAnsiTheme="majorHAnsi" w:cstheme="majorHAnsi"/>
                <w:sz w:val="21"/>
                <w:szCs w:val="21"/>
              </w:rPr>
              <w:t>pgrade Stead Park Softball Pavilion to improve accessibility</w:t>
            </w:r>
          </w:p>
          <w:p w14:paraId="6C38D373" w14:textId="1ED2A4CD" w:rsidR="00DA41DE" w:rsidRPr="00902AEA" w:rsidRDefault="00DA41DE" w:rsidP="00364C5D">
            <w:pPr>
              <w:pStyle w:val="ListParagraph"/>
              <w:numPr>
                <w:ilvl w:val="0"/>
                <w:numId w:val="83"/>
              </w:numPr>
              <w:spacing w:after="0" w:line="240" w:lineRule="auto"/>
              <w:rPr>
                <w:rFonts w:asciiTheme="majorHAnsi" w:hAnsiTheme="majorHAnsi" w:cstheme="majorHAnsi"/>
                <w:sz w:val="21"/>
                <w:szCs w:val="21"/>
              </w:rPr>
            </w:pPr>
            <w:r w:rsidRPr="00902AEA">
              <w:rPr>
                <w:rFonts w:asciiTheme="majorHAnsi" w:eastAsia="Calibri Light" w:hAnsiTheme="majorHAnsi" w:cstheme="majorHAnsi"/>
                <w:sz w:val="21"/>
                <w:szCs w:val="21"/>
              </w:rPr>
              <w:t xml:space="preserve">Design Stage 1 of NACH development (Northern Aquatic </w:t>
            </w:r>
            <w:r w:rsidR="00665506" w:rsidRPr="00902AEA">
              <w:rPr>
                <w:rFonts w:asciiTheme="majorHAnsi" w:eastAsia="Calibri Light" w:hAnsiTheme="majorHAnsi" w:cstheme="majorHAnsi"/>
                <w:sz w:val="21"/>
                <w:szCs w:val="21"/>
              </w:rPr>
              <w:t xml:space="preserve">and </w:t>
            </w:r>
            <w:r w:rsidRPr="00902AEA">
              <w:rPr>
                <w:rFonts w:asciiTheme="majorHAnsi" w:eastAsia="Calibri Light" w:hAnsiTheme="majorHAnsi" w:cstheme="majorHAnsi"/>
                <w:sz w:val="21"/>
                <w:szCs w:val="21"/>
              </w:rPr>
              <w:t xml:space="preserve">Community </w:t>
            </w:r>
            <w:r w:rsidR="00665506" w:rsidRPr="00902AEA">
              <w:rPr>
                <w:rFonts w:asciiTheme="majorHAnsi" w:eastAsia="Calibri Light" w:hAnsiTheme="majorHAnsi" w:cstheme="majorHAnsi"/>
                <w:sz w:val="21"/>
                <w:szCs w:val="21"/>
              </w:rPr>
              <w:t>Hub</w:t>
            </w:r>
            <w:r w:rsidRPr="00902AEA">
              <w:rPr>
                <w:rFonts w:asciiTheme="majorHAnsi" w:eastAsia="Calibri Light" w:hAnsiTheme="majorHAnsi" w:cstheme="majorHAnsi"/>
                <w:sz w:val="21"/>
                <w:szCs w:val="21"/>
              </w:rPr>
              <w:t>, formerly Northern ARC)</w:t>
            </w:r>
          </w:p>
          <w:p w14:paraId="23232AC5" w14:textId="5583E5D1" w:rsidR="00DA41DE" w:rsidRPr="00902AEA" w:rsidRDefault="00DA41DE" w:rsidP="00364C5D">
            <w:pPr>
              <w:pStyle w:val="ListParagraph"/>
              <w:numPr>
                <w:ilvl w:val="0"/>
                <w:numId w:val="83"/>
              </w:numPr>
              <w:spacing w:after="0" w:line="240" w:lineRule="auto"/>
              <w:rPr>
                <w:rFonts w:asciiTheme="majorHAnsi" w:hAnsiTheme="majorHAnsi" w:cstheme="majorBidi"/>
                <w:sz w:val="21"/>
                <w:szCs w:val="21"/>
              </w:rPr>
            </w:pPr>
            <w:r w:rsidRPr="00902AEA">
              <w:rPr>
                <w:rFonts w:asciiTheme="majorHAnsi" w:eastAsia="Calibri Light" w:hAnsiTheme="majorHAnsi" w:cstheme="majorBidi"/>
                <w:sz w:val="21"/>
                <w:szCs w:val="21"/>
              </w:rPr>
              <w:t xml:space="preserve">Rosewall Community Centre (Corio): upgrade multipurpose spaces for Neighbourhood House </w:t>
            </w:r>
            <w:r w:rsidR="00DF1A27">
              <w:rPr>
                <w:rFonts w:asciiTheme="majorHAnsi" w:eastAsia="Calibri Light" w:hAnsiTheme="majorHAnsi" w:cstheme="majorBidi"/>
                <w:sz w:val="21"/>
                <w:szCs w:val="21"/>
              </w:rPr>
              <w:t>&amp;</w:t>
            </w:r>
            <w:r w:rsidRPr="00902AEA">
              <w:rPr>
                <w:rFonts w:asciiTheme="majorHAnsi" w:eastAsia="Calibri Light" w:hAnsiTheme="majorHAnsi" w:cstheme="majorBidi"/>
                <w:sz w:val="21"/>
                <w:szCs w:val="21"/>
              </w:rPr>
              <w:t xml:space="preserve"> place-based community development programs (done)</w:t>
            </w:r>
          </w:p>
          <w:p w14:paraId="172C9B6A" w14:textId="6A72F561" w:rsidR="00DA41DE" w:rsidRPr="00902AEA" w:rsidRDefault="00DA41DE" w:rsidP="00364C5D">
            <w:pPr>
              <w:pStyle w:val="ListParagraph"/>
              <w:numPr>
                <w:ilvl w:val="0"/>
                <w:numId w:val="83"/>
              </w:numPr>
              <w:spacing w:after="0" w:line="240" w:lineRule="auto"/>
              <w:rPr>
                <w:rFonts w:asciiTheme="majorHAnsi" w:hAnsiTheme="majorHAnsi" w:cstheme="majorHAnsi"/>
                <w:sz w:val="21"/>
                <w:szCs w:val="21"/>
              </w:rPr>
            </w:pPr>
            <w:r w:rsidRPr="00902AEA">
              <w:rPr>
                <w:rFonts w:asciiTheme="majorHAnsi" w:eastAsia="Calibri Light" w:hAnsiTheme="majorHAnsi" w:cstheme="majorHAnsi"/>
                <w:sz w:val="21"/>
                <w:szCs w:val="21"/>
              </w:rPr>
              <w:t xml:space="preserve">Cloverdale Community Centre (Corio): expand activity spaces, improve passive surveillance of adjacent open space, improve community services </w:t>
            </w:r>
            <w:r w:rsidR="00BC4DB8">
              <w:rPr>
                <w:rFonts w:asciiTheme="majorHAnsi" w:eastAsia="Calibri Light" w:hAnsiTheme="majorHAnsi" w:cstheme="majorHAnsi"/>
                <w:sz w:val="21"/>
                <w:szCs w:val="21"/>
              </w:rPr>
              <w:t xml:space="preserve">access </w:t>
            </w:r>
            <w:r w:rsidRPr="00902AEA">
              <w:rPr>
                <w:rFonts w:asciiTheme="majorHAnsi" w:eastAsia="Calibri Light" w:hAnsiTheme="majorHAnsi" w:cstheme="majorHAnsi"/>
                <w:sz w:val="21"/>
                <w:szCs w:val="21"/>
              </w:rPr>
              <w:t>(done)</w:t>
            </w:r>
          </w:p>
          <w:p w14:paraId="22D9DB74" w14:textId="73AF2456" w:rsidR="00F00E3D" w:rsidRPr="00902AEA" w:rsidRDefault="00F00E3D" w:rsidP="00364C5D">
            <w:pPr>
              <w:pStyle w:val="ListParagraph"/>
              <w:numPr>
                <w:ilvl w:val="0"/>
                <w:numId w:val="83"/>
              </w:numPr>
              <w:spacing w:after="0" w:line="240" w:lineRule="auto"/>
              <w:rPr>
                <w:rFonts w:asciiTheme="majorHAnsi" w:hAnsiTheme="majorHAnsi" w:cstheme="majorHAnsi"/>
                <w:sz w:val="21"/>
                <w:szCs w:val="21"/>
              </w:rPr>
            </w:pPr>
            <w:r w:rsidRPr="00902AEA">
              <w:rPr>
                <w:rFonts w:asciiTheme="majorHAnsi" w:eastAsia="Calibri Light" w:hAnsiTheme="majorHAnsi" w:cstheme="majorHAnsi"/>
                <w:sz w:val="21"/>
                <w:szCs w:val="21"/>
              </w:rPr>
              <w:t>Whittington</w:t>
            </w:r>
            <w:r w:rsidR="00026ECE" w:rsidRPr="00902AEA">
              <w:rPr>
                <w:rFonts w:asciiTheme="majorHAnsi" w:eastAsia="Calibri Light" w:hAnsiTheme="majorHAnsi" w:cstheme="majorHAnsi"/>
                <w:sz w:val="21"/>
                <w:szCs w:val="21"/>
              </w:rPr>
              <w:t>: less</w:t>
            </w:r>
            <w:r w:rsidR="00277BFF" w:rsidRPr="00902AEA">
              <w:rPr>
                <w:rFonts w:asciiTheme="majorHAnsi" w:eastAsia="Calibri Light" w:hAnsiTheme="majorHAnsi" w:cstheme="majorHAnsi"/>
                <w:sz w:val="21"/>
                <w:szCs w:val="21"/>
              </w:rPr>
              <w:t xml:space="preserve"> </w:t>
            </w:r>
            <w:r w:rsidR="00BB79E9" w:rsidRPr="00902AEA">
              <w:rPr>
                <w:rFonts w:asciiTheme="majorHAnsi" w:eastAsia="Calibri Light" w:hAnsiTheme="majorHAnsi" w:cstheme="majorHAnsi"/>
                <w:sz w:val="21"/>
                <w:szCs w:val="21"/>
              </w:rPr>
              <w:t xml:space="preserve">here, </w:t>
            </w:r>
            <w:r w:rsidRPr="00902AEA">
              <w:rPr>
                <w:rFonts w:asciiTheme="majorHAnsi" w:eastAsia="Calibri Light" w:hAnsiTheme="majorHAnsi" w:cstheme="majorHAnsi"/>
                <w:sz w:val="21"/>
                <w:szCs w:val="21"/>
              </w:rPr>
              <w:t xml:space="preserve">but </w:t>
            </w:r>
            <w:r w:rsidR="00026ECE" w:rsidRPr="00902AEA">
              <w:rPr>
                <w:rFonts w:asciiTheme="majorHAnsi" w:eastAsia="Calibri Light" w:hAnsiTheme="majorHAnsi" w:cstheme="majorHAnsi"/>
                <w:sz w:val="21"/>
                <w:szCs w:val="21"/>
              </w:rPr>
              <w:t xml:space="preserve">plans </w:t>
            </w:r>
            <w:r w:rsidRPr="00902AEA">
              <w:rPr>
                <w:rFonts w:asciiTheme="majorHAnsi" w:eastAsia="Calibri Light" w:hAnsiTheme="majorHAnsi" w:cstheme="majorHAnsi"/>
                <w:sz w:val="21"/>
                <w:szCs w:val="21"/>
              </w:rPr>
              <w:t xml:space="preserve">include floodlights and change facilities </w:t>
            </w:r>
            <w:r w:rsidR="00BB79E9" w:rsidRPr="00902AEA">
              <w:rPr>
                <w:rFonts w:asciiTheme="majorHAnsi" w:eastAsia="Calibri Light" w:hAnsiTheme="majorHAnsi" w:cstheme="majorHAnsi"/>
                <w:sz w:val="21"/>
                <w:szCs w:val="21"/>
              </w:rPr>
              <w:t>(</w:t>
            </w:r>
            <w:r w:rsidRPr="00902AEA">
              <w:rPr>
                <w:rFonts w:asciiTheme="majorHAnsi" w:eastAsia="Calibri Light" w:hAnsiTheme="majorHAnsi" w:cstheme="majorHAnsi"/>
                <w:sz w:val="21"/>
                <w:szCs w:val="21"/>
              </w:rPr>
              <w:t>St Albans, Thomson</w:t>
            </w:r>
            <w:r w:rsidR="009E7FF1" w:rsidRPr="00902AEA">
              <w:rPr>
                <w:rFonts w:asciiTheme="majorHAnsi" w:eastAsia="Calibri Light" w:hAnsiTheme="majorHAnsi" w:cstheme="majorHAnsi"/>
                <w:sz w:val="21"/>
                <w:szCs w:val="21"/>
              </w:rPr>
              <w:t xml:space="preserve"> Reserve,</w:t>
            </w:r>
            <w:r w:rsidRPr="00902AEA">
              <w:rPr>
                <w:rFonts w:asciiTheme="majorHAnsi" w:eastAsia="Calibri Light" w:hAnsiTheme="majorHAnsi" w:cstheme="majorHAnsi"/>
                <w:sz w:val="21"/>
                <w:szCs w:val="21"/>
              </w:rPr>
              <w:t xml:space="preserve"> Erin Reserve</w:t>
            </w:r>
            <w:r w:rsidR="009E7FF1" w:rsidRPr="00902AEA">
              <w:rPr>
                <w:rFonts w:asciiTheme="majorHAnsi" w:eastAsia="Calibri Light" w:hAnsiTheme="majorHAnsi" w:cstheme="majorHAnsi"/>
                <w:sz w:val="21"/>
                <w:szCs w:val="21"/>
              </w:rPr>
              <w:t>)</w:t>
            </w:r>
            <w:r w:rsidRPr="00902AEA">
              <w:rPr>
                <w:rFonts w:asciiTheme="majorHAnsi" w:eastAsia="Calibri Light" w:hAnsiTheme="majorHAnsi" w:cstheme="majorHAnsi"/>
                <w:sz w:val="21"/>
                <w:szCs w:val="21"/>
              </w:rPr>
              <w:t xml:space="preserve">, </w:t>
            </w:r>
            <w:r w:rsidR="00026ECE" w:rsidRPr="00902AEA">
              <w:rPr>
                <w:rFonts w:asciiTheme="majorHAnsi" w:eastAsia="Calibri Light" w:hAnsiTheme="majorHAnsi" w:cstheme="majorHAnsi"/>
                <w:sz w:val="21"/>
                <w:szCs w:val="21"/>
              </w:rPr>
              <w:t>expand</w:t>
            </w:r>
            <w:r w:rsidRPr="00902AEA">
              <w:rPr>
                <w:rFonts w:asciiTheme="majorHAnsi" w:eastAsia="Calibri Light" w:hAnsiTheme="majorHAnsi" w:cstheme="majorHAnsi"/>
                <w:sz w:val="21"/>
                <w:szCs w:val="21"/>
              </w:rPr>
              <w:t xml:space="preserve"> Splashdown Aquatic Centre</w:t>
            </w:r>
            <w:r w:rsidR="009E7FF1" w:rsidRPr="00902AEA">
              <w:rPr>
                <w:rFonts w:asciiTheme="majorHAnsi" w:eastAsia="Calibri Light" w:hAnsiTheme="majorHAnsi" w:cstheme="majorHAnsi"/>
                <w:sz w:val="21"/>
                <w:szCs w:val="21"/>
              </w:rPr>
              <w:t xml:space="preserve">, </w:t>
            </w:r>
            <w:r w:rsidRPr="00902AEA">
              <w:rPr>
                <w:rFonts w:asciiTheme="majorHAnsi" w:eastAsia="Calibri Light" w:hAnsiTheme="majorHAnsi" w:cstheme="majorHAnsi"/>
                <w:sz w:val="21"/>
                <w:szCs w:val="21"/>
              </w:rPr>
              <w:t xml:space="preserve">regional cycling links. </w:t>
            </w:r>
            <w:r w:rsidR="00026ECE" w:rsidRPr="00902AEA">
              <w:rPr>
                <w:rFonts w:asciiTheme="majorHAnsi" w:eastAsia="Calibri Light" w:hAnsiTheme="majorHAnsi" w:cstheme="majorHAnsi"/>
                <w:sz w:val="21"/>
                <w:szCs w:val="21"/>
              </w:rPr>
              <w:t>Potential</w:t>
            </w:r>
            <w:r w:rsidRPr="00902AEA">
              <w:rPr>
                <w:rFonts w:asciiTheme="majorHAnsi" w:eastAsia="Calibri Light" w:hAnsiTheme="majorHAnsi" w:cstheme="majorHAnsi"/>
                <w:sz w:val="21"/>
                <w:szCs w:val="21"/>
              </w:rPr>
              <w:t xml:space="preserve"> Whittington Community Hub (to be investigated)</w:t>
            </w:r>
          </w:p>
          <w:p w14:paraId="0571D407" w14:textId="2297C976" w:rsidR="00F00E3D" w:rsidRPr="00902AEA" w:rsidRDefault="005A17DE" w:rsidP="00364C5D">
            <w:pPr>
              <w:pStyle w:val="ListParagraph"/>
              <w:numPr>
                <w:ilvl w:val="0"/>
                <w:numId w:val="83"/>
              </w:numPr>
              <w:spacing w:after="0" w:line="240" w:lineRule="auto"/>
              <w:rPr>
                <w:rFonts w:asciiTheme="majorHAnsi" w:hAnsiTheme="majorHAnsi" w:cstheme="majorHAnsi"/>
                <w:sz w:val="21"/>
                <w:szCs w:val="21"/>
              </w:rPr>
            </w:pPr>
            <w:r w:rsidRPr="00902AEA">
              <w:rPr>
                <w:rFonts w:asciiTheme="majorHAnsi" w:eastAsia="Calibri Light" w:hAnsiTheme="majorHAnsi" w:cstheme="majorHAnsi"/>
                <w:sz w:val="21"/>
                <w:szCs w:val="21"/>
              </w:rPr>
              <w:t xml:space="preserve">Nearby: </w:t>
            </w:r>
            <w:r w:rsidR="00F00E3D" w:rsidRPr="00902AEA">
              <w:rPr>
                <w:rFonts w:asciiTheme="majorHAnsi" w:eastAsia="Calibri Light" w:hAnsiTheme="majorHAnsi" w:cstheme="majorHAnsi"/>
                <w:sz w:val="21"/>
                <w:szCs w:val="21"/>
              </w:rPr>
              <w:t>Upgrad</w:t>
            </w:r>
            <w:r w:rsidR="00576A7E" w:rsidRPr="00902AEA">
              <w:rPr>
                <w:rFonts w:asciiTheme="majorHAnsi" w:eastAsia="Calibri Light" w:hAnsiTheme="majorHAnsi" w:cstheme="majorHAnsi"/>
                <w:sz w:val="21"/>
                <w:szCs w:val="21"/>
              </w:rPr>
              <w:t>e</w:t>
            </w:r>
            <w:r w:rsidR="00F00E3D" w:rsidRPr="00902AEA">
              <w:rPr>
                <w:rFonts w:asciiTheme="majorHAnsi" w:eastAsia="Calibri Light" w:hAnsiTheme="majorHAnsi" w:cstheme="majorHAnsi"/>
                <w:sz w:val="21"/>
                <w:szCs w:val="21"/>
              </w:rPr>
              <w:t xml:space="preserve"> </w:t>
            </w:r>
            <w:r w:rsidR="00C04A14" w:rsidRPr="00902AEA">
              <w:rPr>
                <w:rFonts w:asciiTheme="majorHAnsi" w:eastAsia="Calibri Light" w:hAnsiTheme="majorHAnsi" w:cstheme="majorHAnsi"/>
                <w:sz w:val="21"/>
                <w:szCs w:val="21"/>
              </w:rPr>
              <w:t xml:space="preserve">and expand </w:t>
            </w:r>
            <w:r w:rsidR="00F00E3D" w:rsidRPr="00902AEA">
              <w:rPr>
                <w:rFonts w:asciiTheme="majorHAnsi" w:eastAsia="Calibri Light" w:hAnsiTheme="majorHAnsi" w:cstheme="majorHAnsi"/>
                <w:sz w:val="21"/>
                <w:szCs w:val="21"/>
              </w:rPr>
              <w:t>St Albans Football</w:t>
            </w:r>
            <w:r w:rsidR="00EA091D" w:rsidRPr="00902AEA">
              <w:rPr>
                <w:rFonts w:asciiTheme="majorHAnsi" w:eastAsia="Calibri Light" w:hAnsiTheme="majorHAnsi" w:cstheme="majorHAnsi"/>
                <w:sz w:val="21"/>
                <w:szCs w:val="21"/>
              </w:rPr>
              <w:t xml:space="preserve"> </w:t>
            </w:r>
            <w:r w:rsidR="009A2AD6" w:rsidRPr="00902AEA">
              <w:rPr>
                <w:rFonts w:asciiTheme="majorHAnsi" w:eastAsia="Calibri Light" w:hAnsiTheme="majorHAnsi" w:cstheme="majorHAnsi"/>
                <w:sz w:val="21"/>
                <w:szCs w:val="21"/>
              </w:rPr>
              <w:t>&amp;</w:t>
            </w:r>
            <w:r w:rsidR="00EA091D" w:rsidRPr="00902AEA">
              <w:rPr>
                <w:rFonts w:asciiTheme="majorHAnsi" w:eastAsia="Calibri Light" w:hAnsiTheme="majorHAnsi" w:cstheme="majorHAnsi"/>
                <w:sz w:val="21"/>
                <w:szCs w:val="21"/>
              </w:rPr>
              <w:t xml:space="preserve"> Netball</w:t>
            </w:r>
            <w:r w:rsidR="00F00E3D" w:rsidRPr="00902AEA">
              <w:rPr>
                <w:rFonts w:asciiTheme="majorHAnsi" w:eastAsia="Calibri Light" w:hAnsiTheme="majorHAnsi" w:cstheme="majorHAnsi"/>
                <w:sz w:val="21"/>
                <w:szCs w:val="21"/>
              </w:rPr>
              <w:t xml:space="preserve"> Club changerooms</w:t>
            </w:r>
            <w:r w:rsidRPr="00902AEA">
              <w:rPr>
                <w:rFonts w:asciiTheme="majorHAnsi" w:eastAsia="Calibri Light" w:hAnsiTheme="majorHAnsi" w:cstheme="majorHAnsi"/>
                <w:sz w:val="21"/>
                <w:szCs w:val="21"/>
              </w:rPr>
              <w:t>; u</w:t>
            </w:r>
            <w:r w:rsidR="00F00E3D" w:rsidRPr="00902AEA">
              <w:rPr>
                <w:rFonts w:asciiTheme="majorHAnsi" w:eastAsia="Calibri Light" w:hAnsiTheme="majorHAnsi" w:cstheme="majorHAnsi"/>
                <w:sz w:val="21"/>
                <w:szCs w:val="21"/>
              </w:rPr>
              <w:t>pgrad</w:t>
            </w:r>
            <w:r w:rsidR="00E87EE5" w:rsidRPr="00902AEA">
              <w:rPr>
                <w:rFonts w:asciiTheme="majorHAnsi" w:eastAsia="Calibri Light" w:hAnsiTheme="majorHAnsi" w:cstheme="majorHAnsi"/>
                <w:sz w:val="21"/>
                <w:szCs w:val="21"/>
              </w:rPr>
              <w:t>e</w:t>
            </w:r>
            <w:r w:rsidR="00F00E3D" w:rsidRPr="00902AEA">
              <w:rPr>
                <w:rFonts w:asciiTheme="majorHAnsi" w:eastAsia="Calibri Light" w:hAnsiTheme="majorHAnsi" w:cstheme="majorHAnsi"/>
                <w:sz w:val="21"/>
                <w:szCs w:val="21"/>
              </w:rPr>
              <w:t xml:space="preserve"> second netball court at St Albans Reserve.</w:t>
            </w:r>
          </w:p>
          <w:p w14:paraId="73255FDE" w14:textId="6A3810D0" w:rsidR="00F00E3D" w:rsidRPr="00902AEA" w:rsidRDefault="00F00E3D" w:rsidP="00364C5D">
            <w:pPr>
              <w:pStyle w:val="ListParagraph"/>
              <w:numPr>
                <w:ilvl w:val="0"/>
                <w:numId w:val="83"/>
              </w:numPr>
              <w:spacing w:after="0" w:line="240" w:lineRule="auto"/>
              <w:rPr>
                <w:rFonts w:asciiTheme="majorHAnsi" w:hAnsiTheme="majorHAnsi" w:cstheme="majorHAnsi"/>
                <w:sz w:val="21"/>
                <w:szCs w:val="21"/>
              </w:rPr>
            </w:pPr>
            <w:r w:rsidRPr="00902AEA">
              <w:rPr>
                <w:rFonts w:asciiTheme="majorHAnsi" w:eastAsia="Calibri Light" w:hAnsiTheme="majorHAnsi" w:cstheme="majorHAnsi"/>
                <w:sz w:val="21"/>
                <w:szCs w:val="21"/>
              </w:rPr>
              <w:t>Implement Avalon Corridor Strategy to support a Northern Employment Cluster.</w:t>
            </w:r>
          </w:p>
          <w:p w14:paraId="3B62A93B" w14:textId="2693E2EF" w:rsidR="0087490A" w:rsidRDefault="0087490A" w:rsidP="0087490A">
            <w:pPr>
              <w:spacing w:after="0" w:line="240" w:lineRule="auto"/>
              <w:rPr>
                <w:rFonts w:asciiTheme="majorHAnsi" w:hAnsiTheme="majorHAnsi" w:cstheme="majorHAnsi"/>
                <w:sz w:val="21"/>
                <w:szCs w:val="21"/>
              </w:rPr>
            </w:pPr>
          </w:p>
          <w:p w14:paraId="316F8390" w14:textId="77777777" w:rsidR="00E91361" w:rsidRDefault="00E91361" w:rsidP="0087490A">
            <w:pPr>
              <w:spacing w:after="0" w:line="240" w:lineRule="auto"/>
              <w:rPr>
                <w:rFonts w:asciiTheme="majorHAnsi" w:hAnsiTheme="majorHAnsi" w:cstheme="majorHAnsi"/>
                <w:sz w:val="12"/>
                <w:szCs w:val="12"/>
              </w:rPr>
            </w:pPr>
          </w:p>
          <w:p w14:paraId="17CE1109" w14:textId="2965620E" w:rsidR="00853F8C" w:rsidRPr="00853F8C" w:rsidRDefault="00853F8C" w:rsidP="0087490A">
            <w:pPr>
              <w:spacing w:after="0" w:line="240" w:lineRule="auto"/>
              <w:rPr>
                <w:rFonts w:asciiTheme="majorHAnsi" w:hAnsiTheme="majorHAnsi" w:cstheme="majorHAnsi"/>
                <w:sz w:val="12"/>
                <w:szCs w:val="12"/>
              </w:rPr>
            </w:pPr>
          </w:p>
        </w:tc>
      </w:tr>
      <w:tr w:rsidR="007C1A24" w:rsidRPr="0005244D" w14:paraId="7BDCEAA6" w14:textId="77777777" w:rsidTr="00414A3B">
        <w:tc>
          <w:tcPr>
            <w:tcW w:w="14591" w:type="dxa"/>
            <w:gridSpan w:val="3"/>
            <w:shd w:val="clear" w:color="auto" w:fill="F2F2F2" w:themeFill="background1" w:themeFillShade="F2"/>
          </w:tcPr>
          <w:p w14:paraId="59E6DAC9" w14:textId="77777777" w:rsidR="007C1A24" w:rsidRPr="002D2C4E" w:rsidRDefault="007C1A24" w:rsidP="00414A3B">
            <w:pPr>
              <w:spacing w:after="0" w:line="240" w:lineRule="auto"/>
              <w:rPr>
                <w:rFonts w:eastAsia="Times New Roman" w:cstheme="minorHAnsi"/>
                <w:b/>
                <w:bCs/>
                <w:sz w:val="8"/>
                <w:szCs w:val="8"/>
              </w:rPr>
            </w:pPr>
          </w:p>
          <w:p w14:paraId="1AFC639B" w14:textId="77777777" w:rsidR="007C1A24" w:rsidRPr="007C1A24" w:rsidRDefault="007C1A24" w:rsidP="00414A3B">
            <w:pPr>
              <w:spacing w:after="0" w:line="240" w:lineRule="auto"/>
              <w:rPr>
                <w:rFonts w:eastAsia="Times New Roman" w:cstheme="minorHAnsi"/>
                <w:b/>
                <w:bCs/>
                <w:sz w:val="12"/>
                <w:szCs w:val="12"/>
              </w:rPr>
            </w:pPr>
          </w:p>
          <w:p w14:paraId="086439EC" w14:textId="6F9EAB14" w:rsidR="007C1A24" w:rsidRPr="007C1A24" w:rsidRDefault="007C1A24" w:rsidP="00414A3B">
            <w:pPr>
              <w:spacing w:after="0" w:line="240" w:lineRule="auto"/>
              <w:rPr>
                <w:rFonts w:eastAsia="Times New Roman" w:cstheme="minorHAnsi"/>
                <w:b/>
                <w:bCs/>
                <w:sz w:val="21"/>
                <w:szCs w:val="21"/>
              </w:rPr>
            </w:pPr>
            <w:r w:rsidRPr="007C1A24">
              <w:rPr>
                <w:rFonts w:eastAsia="Times New Roman" w:cstheme="minorHAnsi"/>
                <w:b/>
                <w:bCs/>
                <w:sz w:val="21"/>
                <w:szCs w:val="21"/>
              </w:rPr>
              <w:t>CITY-WIDE: SECTORAL AND OPERATIONAL</w:t>
            </w:r>
            <w:r>
              <w:rPr>
                <w:rFonts w:eastAsia="Times New Roman" w:cstheme="minorHAnsi"/>
                <w:b/>
                <w:bCs/>
                <w:sz w:val="21"/>
                <w:szCs w:val="21"/>
              </w:rPr>
              <w:t xml:space="preserve"> (cont’d)</w:t>
            </w:r>
          </w:p>
          <w:p w14:paraId="080ED19A" w14:textId="77777777" w:rsidR="007C1A24" w:rsidRPr="00853F8C" w:rsidRDefault="007C1A24" w:rsidP="00414A3B">
            <w:pPr>
              <w:spacing w:after="0" w:line="240" w:lineRule="auto"/>
              <w:rPr>
                <w:rFonts w:eastAsia="Times New Roman" w:cstheme="minorHAnsi"/>
                <w:b/>
                <w:bCs/>
                <w:sz w:val="12"/>
                <w:szCs w:val="12"/>
              </w:rPr>
            </w:pPr>
          </w:p>
          <w:p w14:paraId="3B8BC3A2" w14:textId="77777777" w:rsidR="007C1A24" w:rsidRPr="002D2C4E" w:rsidRDefault="007C1A24" w:rsidP="00414A3B">
            <w:pPr>
              <w:spacing w:after="0" w:line="240" w:lineRule="auto"/>
              <w:rPr>
                <w:rFonts w:cstheme="minorHAnsi"/>
                <w:sz w:val="4"/>
                <w:szCs w:val="4"/>
              </w:rPr>
            </w:pPr>
          </w:p>
        </w:tc>
      </w:tr>
      <w:tr w:rsidR="00BC4DB8" w:rsidRPr="0005244D" w14:paraId="0F44BEFF" w14:textId="77777777" w:rsidTr="00BD6662">
        <w:tc>
          <w:tcPr>
            <w:tcW w:w="1696" w:type="dxa"/>
          </w:tcPr>
          <w:p w14:paraId="630ED243" w14:textId="77777777" w:rsidR="00D953C9" w:rsidRPr="00D953C9" w:rsidRDefault="00D953C9" w:rsidP="00BC4DB8">
            <w:pPr>
              <w:spacing w:after="0" w:line="240" w:lineRule="auto"/>
              <w:rPr>
                <w:rFonts w:asciiTheme="majorHAnsi" w:eastAsia="Times New Roman" w:hAnsiTheme="majorHAnsi" w:cstheme="majorHAnsi"/>
                <w:sz w:val="12"/>
                <w:szCs w:val="12"/>
              </w:rPr>
            </w:pPr>
          </w:p>
          <w:p w14:paraId="5F6DD85E" w14:textId="411F2658" w:rsidR="00BC4DB8" w:rsidRPr="00206850" w:rsidRDefault="00BC4DB8" w:rsidP="00BC4DB8">
            <w:pPr>
              <w:spacing w:after="0" w:line="240" w:lineRule="auto"/>
              <w:rPr>
                <w:rFonts w:eastAsia="Times New Roman" w:cstheme="minorHAnsi"/>
                <w:b/>
                <w:bCs/>
                <w:sz w:val="21"/>
                <w:szCs w:val="21"/>
              </w:rPr>
            </w:pPr>
            <w:r w:rsidRPr="00206850">
              <w:rPr>
                <w:rFonts w:eastAsia="Times New Roman" w:cstheme="minorHAnsi"/>
                <w:b/>
                <w:bCs/>
                <w:sz w:val="21"/>
                <w:szCs w:val="21"/>
              </w:rPr>
              <w:t>Municipal Public Health and Well-being Plan</w:t>
            </w:r>
          </w:p>
          <w:p w14:paraId="5AF08415" w14:textId="77777777" w:rsidR="00206850" w:rsidRDefault="00BC4DB8" w:rsidP="00BC4DB8">
            <w:pPr>
              <w:spacing w:after="0" w:line="240" w:lineRule="auto"/>
              <w:rPr>
                <w:rFonts w:asciiTheme="majorHAnsi" w:eastAsia="Times New Roman" w:hAnsiTheme="majorHAnsi" w:cstheme="majorHAnsi"/>
                <w:noProof/>
                <w:sz w:val="21"/>
                <w:szCs w:val="21"/>
              </w:rPr>
            </w:pPr>
            <w:r w:rsidRPr="00BC4DB8">
              <w:rPr>
                <w:rFonts w:asciiTheme="majorHAnsi" w:eastAsia="Times New Roman" w:hAnsiTheme="majorHAnsi" w:cstheme="majorHAnsi"/>
                <w:noProof/>
                <w:sz w:val="21"/>
                <w:szCs w:val="21"/>
              </w:rPr>
              <w:t xml:space="preserve">(City of Greater Geelong, </w:t>
            </w:r>
          </w:p>
          <w:p w14:paraId="7DB98236" w14:textId="3BDE51AF" w:rsidR="00BC4DB8" w:rsidRPr="00BC4DB8" w:rsidRDefault="00BC4DB8" w:rsidP="00BC4DB8">
            <w:pPr>
              <w:spacing w:after="0" w:line="240" w:lineRule="auto"/>
              <w:rPr>
                <w:rFonts w:asciiTheme="majorHAnsi" w:hAnsiTheme="majorHAnsi" w:cstheme="majorHAnsi"/>
                <w:sz w:val="21"/>
                <w:szCs w:val="21"/>
              </w:rPr>
            </w:pPr>
            <w:r w:rsidRPr="00BC4DB8">
              <w:rPr>
                <w:rFonts w:asciiTheme="majorHAnsi" w:eastAsia="Times New Roman" w:hAnsiTheme="majorHAnsi" w:cstheme="majorHAnsi"/>
                <w:noProof/>
                <w:sz w:val="21"/>
                <w:szCs w:val="21"/>
              </w:rPr>
              <w:t>2018</w:t>
            </w:r>
            <w:r>
              <w:rPr>
                <w:rFonts w:asciiTheme="majorHAnsi" w:eastAsia="Times New Roman" w:hAnsiTheme="majorHAnsi" w:cstheme="majorHAnsi"/>
                <w:noProof/>
                <w:sz w:val="21"/>
                <w:szCs w:val="21"/>
              </w:rPr>
              <w:t xml:space="preserve">– </w:t>
            </w:r>
            <w:r w:rsidRPr="00BC4DB8">
              <w:rPr>
                <w:rFonts w:asciiTheme="majorHAnsi" w:eastAsia="Times New Roman" w:hAnsiTheme="majorHAnsi" w:cstheme="majorHAnsi"/>
                <w:noProof/>
                <w:sz w:val="21"/>
                <w:szCs w:val="21"/>
              </w:rPr>
              <w:t>2021)</w:t>
            </w:r>
          </w:p>
          <w:p w14:paraId="6050D16F" w14:textId="0BB23B21" w:rsidR="00BC4DB8" w:rsidRPr="00BC4DB8" w:rsidRDefault="00BC4DB8"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tc>
        <w:tc>
          <w:tcPr>
            <w:tcW w:w="5524" w:type="dxa"/>
          </w:tcPr>
          <w:p w14:paraId="3FE6357E" w14:textId="77777777" w:rsidR="00D953C9" w:rsidRPr="00D953C9" w:rsidRDefault="00D953C9" w:rsidP="00BC4DB8">
            <w:pPr>
              <w:spacing w:after="0" w:line="240" w:lineRule="auto"/>
              <w:rPr>
                <w:rFonts w:asciiTheme="majorHAnsi" w:eastAsia="Calibri Light" w:hAnsiTheme="majorHAnsi" w:cstheme="majorHAnsi"/>
                <w:sz w:val="12"/>
                <w:szCs w:val="12"/>
              </w:rPr>
            </w:pPr>
          </w:p>
          <w:p w14:paraId="221DDB3E" w14:textId="4AA53B71" w:rsidR="00BC4DB8" w:rsidRPr="0005244D" w:rsidRDefault="00BC4DB8" w:rsidP="00BC4DB8">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 xml:space="preserve">Goals: </w:t>
            </w:r>
          </w:p>
          <w:p w14:paraId="6E70953D" w14:textId="2AA37A66" w:rsidR="00BC4DB8" w:rsidRPr="00C57625" w:rsidRDefault="00BC4DB8" w:rsidP="00364C5D">
            <w:pPr>
              <w:pStyle w:val="ListParagraph"/>
              <w:numPr>
                <w:ilvl w:val="0"/>
                <w:numId w:val="85"/>
              </w:numPr>
              <w:spacing w:after="0" w:line="240" w:lineRule="auto"/>
              <w:rPr>
                <w:rFonts w:asciiTheme="majorHAnsi" w:eastAsia="Calibri Light" w:hAnsiTheme="majorHAnsi" w:cstheme="majorHAnsi"/>
                <w:sz w:val="21"/>
                <w:szCs w:val="21"/>
              </w:rPr>
            </w:pPr>
            <w:r w:rsidRPr="00C57625">
              <w:rPr>
                <w:rFonts w:asciiTheme="majorHAnsi" w:eastAsia="Calibri Light" w:hAnsiTheme="majorHAnsi" w:cstheme="majorHAnsi"/>
                <w:sz w:val="21"/>
                <w:szCs w:val="21"/>
              </w:rPr>
              <w:t>Support social connection to improve mental health via health</w:t>
            </w:r>
            <w:r w:rsidR="00C57625">
              <w:rPr>
                <w:rFonts w:asciiTheme="majorHAnsi" w:eastAsia="Calibri Light" w:hAnsiTheme="majorHAnsi" w:cstheme="majorHAnsi"/>
                <w:sz w:val="21"/>
                <w:szCs w:val="21"/>
              </w:rPr>
              <w:t>y</w:t>
            </w:r>
            <w:r w:rsidRPr="00C57625">
              <w:rPr>
                <w:rFonts w:asciiTheme="majorHAnsi" w:eastAsia="Calibri Light" w:hAnsiTheme="majorHAnsi" w:cstheme="majorHAnsi"/>
                <w:sz w:val="21"/>
                <w:szCs w:val="21"/>
              </w:rPr>
              <w:t xml:space="preserve"> places</w:t>
            </w:r>
            <w:r w:rsidR="00D953C9">
              <w:rPr>
                <w:rFonts w:asciiTheme="majorHAnsi" w:eastAsia="Calibri Light" w:hAnsiTheme="majorHAnsi" w:cstheme="majorHAnsi"/>
                <w:sz w:val="21"/>
                <w:szCs w:val="21"/>
              </w:rPr>
              <w:t xml:space="preserve"> and</w:t>
            </w:r>
            <w:r w:rsidRPr="00C57625">
              <w:rPr>
                <w:rFonts w:asciiTheme="majorHAnsi" w:eastAsia="Calibri Light" w:hAnsiTheme="majorHAnsi" w:cstheme="majorHAnsi"/>
                <w:sz w:val="21"/>
                <w:szCs w:val="21"/>
              </w:rPr>
              <w:t xml:space="preserve"> putting people, families</w:t>
            </w:r>
            <w:r w:rsidR="00D953C9">
              <w:rPr>
                <w:rFonts w:asciiTheme="majorHAnsi" w:eastAsia="Calibri Light" w:hAnsiTheme="majorHAnsi" w:cstheme="majorHAnsi"/>
                <w:sz w:val="21"/>
                <w:szCs w:val="21"/>
              </w:rPr>
              <w:t xml:space="preserve"> &amp;</w:t>
            </w:r>
            <w:r w:rsidRPr="00C57625">
              <w:rPr>
                <w:rFonts w:asciiTheme="majorHAnsi" w:eastAsia="Calibri Light" w:hAnsiTheme="majorHAnsi" w:cstheme="majorHAnsi"/>
                <w:sz w:val="21"/>
                <w:szCs w:val="21"/>
              </w:rPr>
              <w:t xml:space="preserve"> communities at the centre of efforts to improve health and wellbeing </w:t>
            </w:r>
          </w:p>
          <w:p w14:paraId="701A3C72" w14:textId="5651E9DC" w:rsidR="00BC4DB8" w:rsidRPr="00C57625" w:rsidRDefault="00BC4DB8" w:rsidP="00364C5D">
            <w:pPr>
              <w:pStyle w:val="ListParagraph"/>
              <w:numPr>
                <w:ilvl w:val="0"/>
                <w:numId w:val="85"/>
              </w:numPr>
              <w:spacing w:after="0" w:line="240" w:lineRule="auto"/>
              <w:rPr>
                <w:rFonts w:asciiTheme="majorHAnsi" w:hAnsiTheme="majorHAnsi" w:cstheme="majorHAnsi"/>
                <w:sz w:val="21"/>
                <w:szCs w:val="21"/>
              </w:rPr>
            </w:pPr>
            <w:r w:rsidRPr="00C57625">
              <w:rPr>
                <w:rFonts w:asciiTheme="majorHAnsi" w:eastAsia="Calibri Light" w:hAnsiTheme="majorHAnsi" w:cstheme="majorHAnsi"/>
                <w:sz w:val="21"/>
                <w:szCs w:val="21"/>
              </w:rPr>
              <w:t>Increase participation in physical activity</w:t>
            </w:r>
          </w:p>
          <w:p w14:paraId="398DC1D9" w14:textId="1AAB8522" w:rsidR="00BC4DB8" w:rsidRPr="00C57625" w:rsidRDefault="00BC4DB8" w:rsidP="00364C5D">
            <w:pPr>
              <w:pStyle w:val="ListParagraph"/>
              <w:numPr>
                <w:ilvl w:val="0"/>
                <w:numId w:val="85"/>
              </w:numPr>
              <w:spacing w:after="0" w:line="240" w:lineRule="auto"/>
              <w:rPr>
                <w:rFonts w:asciiTheme="majorHAnsi" w:hAnsiTheme="majorHAnsi" w:cstheme="majorHAnsi"/>
                <w:sz w:val="21"/>
                <w:szCs w:val="21"/>
              </w:rPr>
            </w:pPr>
            <w:r w:rsidRPr="00C57625">
              <w:rPr>
                <w:rFonts w:asciiTheme="majorHAnsi" w:eastAsia="Calibri Light" w:hAnsiTheme="majorHAnsi" w:cstheme="majorHAnsi"/>
                <w:sz w:val="21"/>
                <w:szCs w:val="21"/>
              </w:rPr>
              <w:t>Improv</w:t>
            </w:r>
            <w:r w:rsidR="00C57625" w:rsidRPr="00C57625">
              <w:rPr>
                <w:rFonts w:asciiTheme="majorHAnsi" w:eastAsia="Calibri Light" w:hAnsiTheme="majorHAnsi" w:cstheme="majorHAnsi"/>
                <w:sz w:val="21"/>
                <w:szCs w:val="21"/>
              </w:rPr>
              <w:t>e</w:t>
            </w:r>
            <w:r w:rsidRPr="00C57625">
              <w:rPr>
                <w:rFonts w:asciiTheme="majorHAnsi" w:eastAsia="Calibri Light" w:hAnsiTheme="majorHAnsi" w:cstheme="majorHAnsi"/>
                <w:sz w:val="21"/>
                <w:szCs w:val="21"/>
              </w:rPr>
              <w:t xml:space="preserve"> access to healthy environments, services</w:t>
            </w:r>
            <w:r w:rsidR="00C57625" w:rsidRPr="00C57625">
              <w:rPr>
                <w:rFonts w:asciiTheme="majorHAnsi" w:eastAsia="Calibri Light" w:hAnsiTheme="majorHAnsi" w:cstheme="majorHAnsi"/>
                <w:sz w:val="21"/>
                <w:szCs w:val="21"/>
              </w:rPr>
              <w:t>,</w:t>
            </w:r>
            <w:r w:rsidRPr="00C57625">
              <w:rPr>
                <w:rFonts w:asciiTheme="majorHAnsi" w:eastAsia="Calibri Light" w:hAnsiTheme="majorHAnsi" w:cstheme="majorHAnsi"/>
                <w:sz w:val="21"/>
                <w:szCs w:val="21"/>
              </w:rPr>
              <w:t xml:space="preserve"> food</w:t>
            </w:r>
          </w:p>
          <w:p w14:paraId="0E5272FC" w14:textId="2FC8D30A" w:rsidR="00BC4DB8" w:rsidRPr="00C57625" w:rsidRDefault="00BC4DB8" w:rsidP="00364C5D">
            <w:pPr>
              <w:pStyle w:val="ListParagraph"/>
              <w:numPr>
                <w:ilvl w:val="0"/>
                <w:numId w:val="85"/>
              </w:numPr>
              <w:spacing w:after="0" w:line="240" w:lineRule="auto"/>
              <w:rPr>
                <w:rFonts w:asciiTheme="majorHAnsi" w:hAnsiTheme="majorHAnsi" w:cstheme="majorBidi"/>
                <w:sz w:val="21"/>
                <w:szCs w:val="21"/>
              </w:rPr>
            </w:pPr>
            <w:r w:rsidRPr="00C57625">
              <w:rPr>
                <w:rFonts w:asciiTheme="majorHAnsi" w:eastAsia="Calibri Light" w:hAnsiTheme="majorHAnsi" w:cstheme="majorBidi"/>
                <w:sz w:val="21"/>
                <w:szCs w:val="21"/>
              </w:rPr>
              <w:t>Increase community safety and prevent</w:t>
            </w:r>
            <w:r w:rsidR="00C57625" w:rsidRPr="00C57625">
              <w:rPr>
                <w:rFonts w:asciiTheme="majorHAnsi" w:eastAsia="Calibri Light" w:hAnsiTheme="majorHAnsi" w:cstheme="majorBidi"/>
                <w:sz w:val="21"/>
                <w:szCs w:val="21"/>
              </w:rPr>
              <w:t xml:space="preserve"> </w:t>
            </w:r>
            <w:r w:rsidRPr="00C57625">
              <w:rPr>
                <w:rFonts w:asciiTheme="majorHAnsi" w:eastAsia="Calibri Light" w:hAnsiTheme="majorHAnsi" w:cstheme="majorBidi"/>
                <w:sz w:val="21"/>
                <w:szCs w:val="21"/>
              </w:rPr>
              <w:t xml:space="preserve">violence and injury </w:t>
            </w:r>
          </w:p>
          <w:p w14:paraId="177F8B55" w14:textId="77777777" w:rsidR="00BC4DB8" w:rsidRPr="00D953C9" w:rsidRDefault="00BC4DB8" w:rsidP="0005244D">
            <w:pPr>
              <w:spacing w:after="0" w:line="240" w:lineRule="auto"/>
              <w:rPr>
                <w:rFonts w:asciiTheme="majorHAnsi" w:eastAsia="Calibri Light" w:hAnsiTheme="majorHAnsi" w:cstheme="majorHAnsi"/>
                <w:b/>
                <w:bCs/>
                <w:sz w:val="12"/>
                <w:szCs w:val="12"/>
              </w:rPr>
            </w:pPr>
          </w:p>
        </w:tc>
        <w:tc>
          <w:tcPr>
            <w:tcW w:w="7371" w:type="dxa"/>
          </w:tcPr>
          <w:p w14:paraId="57288663" w14:textId="77777777" w:rsidR="00D953C9" w:rsidRPr="00D953C9" w:rsidRDefault="00D953C9" w:rsidP="00BC4DB8">
            <w:pPr>
              <w:spacing w:after="0" w:line="240" w:lineRule="auto"/>
              <w:rPr>
                <w:rFonts w:asciiTheme="majorHAnsi" w:eastAsia="Calibri Light" w:hAnsiTheme="majorHAnsi" w:cstheme="majorHAnsi"/>
                <w:sz w:val="12"/>
                <w:szCs w:val="12"/>
              </w:rPr>
            </w:pPr>
          </w:p>
          <w:p w14:paraId="131106F6" w14:textId="6B085700" w:rsidR="00BC4DB8" w:rsidRPr="00D953C9" w:rsidRDefault="00BC4DB8" w:rsidP="0005244D">
            <w:pPr>
              <w:spacing w:after="0" w:line="240" w:lineRule="auto"/>
              <w:rPr>
                <w:rFonts w:asciiTheme="majorHAnsi" w:hAnsiTheme="majorHAnsi" w:cstheme="majorHAnsi"/>
                <w:sz w:val="21"/>
                <w:szCs w:val="21"/>
              </w:rPr>
            </w:pPr>
            <w:r>
              <w:rPr>
                <w:rFonts w:asciiTheme="majorHAnsi" w:eastAsia="Calibri Light" w:hAnsiTheme="majorHAnsi" w:cstheme="majorHAnsi"/>
                <w:sz w:val="21"/>
                <w:szCs w:val="21"/>
              </w:rPr>
              <w:t>R</w:t>
            </w:r>
            <w:r w:rsidRPr="0005244D">
              <w:rPr>
                <w:rFonts w:asciiTheme="majorHAnsi" w:eastAsia="Calibri Light" w:hAnsiTheme="majorHAnsi" w:cstheme="majorHAnsi"/>
                <w:sz w:val="21"/>
                <w:szCs w:val="21"/>
              </w:rPr>
              <w:t xml:space="preserve">elevant to </w:t>
            </w:r>
            <w:r>
              <w:rPr>
                <w:rFonts w:asciiTheme="majorHAnsi" w:eastAsia="Calibri Light" w:hAnsiTheme="majorHAnsi" w:cstheme="majorHAnsi"/>
                <w:sz w:val="21"/>
                <w:szCs w:val="21"/>
              </w:rPr>
              <w:t>preventing</w:t>
            </w:r>
            <w:r w:rsidRPr="0005244D">
              <w:rPr>
                <w:rFonts w:asciiTheme="majorHAnsi" w:eastAsia="Calibri Light" w:hAnsiTheme="majorHAnsi" w:cstheme="majorHAnsi"/>
                <w:sz w:val="21"/>
                <w:szCs w:val="21"/>
              </w:rPr>
              <w:t xml:space="preserve"> domestic violence</w:t>
            </w:r>
            <w:r>
              <w:rPr>
                <w:rFonts w:asciiTheme="majorHAnsi" w:eastAsia="Calibri Light" w:hAnsiTheme="majorHAnsi" w:cstheme="majorHAnsi"/>
                <w:sz w:val="21"/>
                <w:szCs w:val="21"/>
              </w:rPr>
              <w:t xml:space="preserve"> and improving</w:t>
            </w:r>
            <w:r w:rsidRPr="0005244D">
              <w:rPr>
                <w:rFonts w:asciiTheme="majorHAnsi" w:eastAsia="Calibri Light" w:hAnsiTheme="majorHAnsi" w:cstheme="majorHAnsi"/>
                <w:sz w:val="21"/>
                <w:szCs w:val="21"/>
              </w:rPr>
              <w:t xml:space="preserve"> food security</w:t>
            </w:r>
          </w:p>
        </w:tc>
      </w:tr>
      <w:tr w:rsidR="00BC4DB8" w:rsidRPr="0005244D" w14:paraId="3FBA5E09" w14:textId="77777777" w:rsidTr="00BD6662">
        <w:tc>
          <w:tcPr>
            <w:tcW w:w="1696" w:type="dxa"/>
          </w:tcPr>
          <w:p w14:paraId="75BA20E1" w14:textId="77777777" w:rsidR="00D93172" w:rsidRPr="00D93172" w:rsidRDefault="00D93172" w:rsidP="00BC4DB8">
            <w:pPr>
              <w:spacing w:after="0" w:line="240" w:lineRule="auto"/>
              <w:rPr>
                <w:rFonts w:asciiTheme="majorHAnsi" w:eastAsia="Times New Roman" w:hAnsiTheme="majorHAnsi" w:cstheme="majorBidi"/>
                <w:i/>
                <w:sz w:val="12"/>
                <w:szCs w:val="12"/>
              </w:rPr>
            </w:pPr>
          </w:p>
          <w:p w14:paraId="75C311D9" w14:textId="55EA6067" w:rsidR="00BC4DB8" w:rsidRPr="00206850" w:rsidRDefault="00BC4DB8" w:rsidP="00BC4DB8">
            <w:pPr>
              <w:spacing w:after="0" w:line="240" w:lineRule="auto"/>
              <w:rPr>
                <w:rFonts w:eastAsia="Times New Roman" w:cstheme="minorHAnsi"/>
                <w:b/>
                <w:bCs/>
                <w:iCs/>
                <w:sz w:val="21"/>
                <w:szCs w:val="21"/>
              </w:rPr>
            </w:pPr>
            <w:r w:rsidRPr="00206850">
              <w:rPr>
                <w:rFonts w:eastAsia="Times New Roman" w:cstheme="minorHAnsi"/>
                <w:b/>
                <w:bCs/>
                <w:iCs/>
                <w:sz w:val="21"/>
                <w:szCs w:val="21"/>
              </w:rPr>
              <w:t>Health and Wellbeing Pillar Plan</w:t>
            </w:r>
          </w:p>
          <w:p w14:paraId="6FE8DFDE" w14:textId="0091D5C8" w:rsidR="00BC4DB8" w:rsidRPr="0005244D" w:rsidRDefault="00BC4DB8" w:rsidP="00BC4DB8">
            <w:pPr>
              <w:spacing w:after="0" w:line="240" w:lineRule="auto"/>
              <w:rPr>
                <w:rFonts w:asciiTheme="majorHAnsi" w:hAnsiTheme="majorHAnsi" w:cstheme="majorBidi"/>
                <w:sz w:val="21"/>
                <w:szCs w:val="21"/>
              </w:rPr>
            </w:pPr>
            <w:r w:rsidRPr="00BC4DB8">
              <w:rPr>
                <w:rFonts w:asciiTheme="majorHAnsi" w:eastAsia="Times New Roman" w:hAnsiTheme="majorHAnsi" w:cstheme="majorBidi"/>
                <w:iCs/>
                <w:sz w:val="21"/>
                <w:szCs w:val="21"/>
              </w:rPr>
              <w:t>(G21 Geelong Region Alliance, 2017–2021)</w:t>
            </w:r>
          </w:p>
          <w:p w14:paraId="53E12D40" w14:textId="3D8BC750" w:rsidR="00BC4DB8" w:rsidRDefault="00BC4DB8" w:rsidP="00BC4DB8">
            <w:pPr>
              <w:spacing w:after="0" w:line="240" w:lineRule="auto"/>
              <w:rPr>
                <w:rFonts w:asciiTheme="majorHAnsi" w:eastAsia="Times New Roman" w:hAnsiTheme="majorHAnsi" w:cstheme="majorHAnsi"/>
                <w:i/>
                <w:iCs/>
                <w:sz w:val="21"/>
                <w:szCs w:val="21"/>
              </w:rPr>
            </w:pPr>
          </w:p>
          <w:p w14:paraId="1ACAFDA3" w14:textId="77777777" w:rsidR="00BC4DB8" w:rsidRPr="0005244D" w:rsidRDefault="00BC4DB8" w:rsidP="0005244D">
            <w:pPr>
              <w:spacing w:after="0" w:line="240" w:lineRule="auto"/>
              <w:rPr>
                <w:rFonts w:asciiTheme="majorHAnsi" w:eastAsia="Times New Roman" w:hAnsiTheme="majorHAnsi" w:cstheme="majorBidi"/>
                <w:i/>
                <w:sz w:val="21"/>
                <w:szCs w:val="21"/>
              </w:rPr>
            </w:pPr>
          </w:p>
        </w:tc>
        <w:tc>
          <w:tcPr>
            <w:tcW w:w="5524" w:type="dxa"/>
          </w:tcPr>
          <w:p w14:paraId="49188773" w14:textId="77777777" w:rsidR="0029472A" w:rsidRPr="0029472A" w:rsidRDefault="0029472A" w:rsidP="00BC4DB8">
            <w:pPr>
              <w:spacing w:after="0" w:line="240" w:lineRule="auto"/>
              <w:rPr>
                <w:rFonts w:asciiTheme="majorHAnsi" w:eastAsia="Calibri Light" w:hAnsiTheme="majorHAnsi" w:cstheme="majorHAnsi"/>
                <w:sz w:val="12"/>
                <w:szCs w:val="12"/>
              </w:rPr>
            </w:pPr>
          </w:p>
          <w:p w14:paraId="70BE4065" w14:textId="516C76DB" w:rsidR="00E91361" w:rsidRDefault="00BC4DB8" w:rsidP="00BC4DB8">
            <w:pPr>
              <w:spacing w:after="0" w:line="240" w:lineRule="auto"/>
              <w:rPr>
                <w:rFonts w:asciiTheme="majorHAnsi" w:eastAsia="Calibri Light" w:hAnsiTheme="majorHAnsi" w:cstheme="majorHAnsi"/>
                <w:sz w:val="21"/>
                <w:szCs w:val="21"/>
              </w:rPr>
            </w:pPr>
            <w:r w:rsidRPr="0005244D">
              <w:rPr>
                <w:rFonts w:asciiTheme="majorHAnsi" w:eastAsia="Calibri Light" w:hAnsiTheme="majorHAnsi" w:cstheme="majorHAnsi"/>
                <w:sz w:val="21"/>
                <w:szCs w:val="21"/>
              </w:rPr>
              <w:t>Current health priorities include:</w:t>
            </w:r>
          </w:p>
          <w:p w14:paraId="3BE58893" w14:textId="77777777" w:rsidR="00E91361" w:rsidRDefault="00BC4DB8" w:rsidP="00BC4DB8">
            <w:pPr>
              <w:spacing w:after="0" w:line="240" w:lineRule="auto"/>
              <w:rPr>
                <w:rFonts w:asciiTheme="majorHAnsi" w:eastAsia="Calibri Light" w:hAnsiTheme="majorHAnsi" w:cstheme="majorHAnsi"/>
                <w:sz w:val="21"/>
                <w:szCs w:val="21"/>
              </w:rPr>
            </w:pPr>
            <w:r w:rsidRPr="0005244D">
              <w:rPr>
                <w:rFonts w:asciiTheme="majorHAnsi" w:eastAsia="Calibri Light" w:hAnsiTheme="majorHAnsi" w:cstheme="majorHAnsi"/>
                <w:sz w:val="21"/>
                <w:szCs w:val="21"/>
              </w:rPr>
              <w:t>• Promoting healthy eating and active living</w:t>
            </w:r>
          </w:p>
          <w:p w14:paraId="05C3CFDB" w14:textId="558A7634" w:rsidR="00BC4DB8" w:rsidRPr="0005244D" w:rsidRDefault="00BC4DB8" w:rsidP="00BC4DB8">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 Preventing violence against women and children</w:t>
            </w:r>
          </w:p>
          <w:p w14:paraId="4409A9A6" w14:textId="6FB54784" w:rsidR="00BC4DB8" w:rsidRPr="0005244D" w:rsidRDefault="00BC4DB8" w:rsidP="00BC4DB8">
            <w:pPr>
              <w:spacing w:after="0" w:line="240" w:lineRule="auto"/>
              <w:rPr>
                <w:rFonts w:asciiTheme="majorHAnsi" w:hAnsiTheme="majorHAnsi" w:cstheme="majorHAnsi"/>
                <w:sz w:val="21"/>
                <w:szCs w:val="21"/>
              </w:rPr>
            </w:pPr>
          </w:p>
          <w:p w14:paraId="78711334" w14:textId="77777777" w:rsidR="00BC4DB8" w:rsidRPr="0005244D" w:rsidRDefault="00BC4DB8" w:rsidP="0005244D">
            <w:pPr>
              <w:spacing w:after="0" w:line="240" w:lineRule="auto"/>
              <w:rPr>
                <w:rFonts w:asciiTheme="majorHAnsi" w:eastAsia="Calibri Light" w:hAnsiTheme="majorHAnsi" w:cstheme="majorHAnsi"/>
                <w:b/>
                <w:bCs/>
                <w:sz w:val="21"/>
                <w:szCs w:val="21"/>
              </w:rPr>
            </w:pPr>
          </w:p>
        </w:tc>
        <w:tc>
          <w:tcPr>
            <w:tcW w:w="7371" w:type="dxa"/>
          </w:tcPr>
          <w:p w14:paraId="6F4F457F" w14:textId="77777777" w:rsidR="00BC4DB8" w:rsidRPr="00E91361" w:rsidRDefault="00BC4DB8" w:rsidP="0005244D">
            <w:pPr>
              <w:spacing w:after="0" w:line="240" w:lineRule="auto"/>
              <w:rPr>
                <w:rFonts w:asciiTheme="majorHAnsi" w:eastAsia="Calibri Light" w:hAnsiTheme="majorHAnsi" w:cstheme="majorHAnsi"/>
                <w:sz w:val="12"/>
                <w:szCs w:val="12"/>
              </w:rPr>
            </w:pPr>
          </w:p>
          <w:p w14:paraId="18CE01D0" w14:textId="5D5A0C32" w:rsidR="00BC4DB8" w:rsidRDefault="00E91361" w:rsidP="0005244D">
            <w:pPr>
              <w:spacing w:after="0" w:line="240" w:lineRule="auto"/>
              <w:rPr>
                <w:rFonts w:asciiTheme="majorHAnsi" w:eastAsia="Calibri Light" w:hAnsiTheme="majorHAnsi" w:cstheme="majorHAnsi"/>
                <w:sz w:val="21"/>
                <w:szCs w:val="21"/>
              </w:rPr>
            </w:pPr>
            <w:r>
              <w:rPr>
                <w:rFonts w:asciiTheme="majorHAnsi" w:eastAsia="Calibri Light" w:hAnsiTheme="majorHAnsi" w:cstheme="majorHAnsi"/>
                <w:sz w:val="21"/>
                <w:szCs w:val="21"/>
              </w:rPr>
              <w:t xml:space="preserve">Relevant </w:t>
            </w:r>
            <w:r w:rsidR="0029472A">
              <w:rPr>
                <w:rFonts w:asciiTheme="majorHAnsi" w:eastAsia="Calibri Light" w:hAnsiTheme="majorHAnsi" w:cstheme="majorHAnsi"/>
                <w:sz w:val="21"/>
                <w:szCs w:val="21"/>
              </w:rPr>
              <w:t>issues for</w:t>
            </w:r>
            <w:r>
              <w:rPr>
                <w:rFonts w:asciiTheme="majorHAnsi" w:eastAsia="Calibri Light" w:hAnsiTheme="majorHAnsi" w:cstheme="majorHAnsi"/>
                <w:sz w:val="21"/>
                <w:szCs w:val="21"/>
              </w:rPr>
              <w:t xml:space="preserve"> </w:t>
            </w:r>
            <w:r w:rsidR="00D93172">
              <w:rPr>
                <w:rFonts w:asciiTheme="majorHAnsi" w:eastAsia="Calibri Light" w:hAnsiTheme="majorHAnsi" w:cstheme="majorHAnsi"/>
                <w:sz w:val="21"/>
                <w:szCs w:val="21"/>
              </w:rPr>
              <w:t>communities of focus</w:t>
            </w:r>
          </w:p>
          <w:p w14:paraId="24FAAC8D" w14:textId="4F29FCA4" w:rsidR="00BC4DB8" w:rsidRPr="0005244D" w:rsidRDefault="00BC4DB8" w:rsidP="0005244D">
            <w:pPr>
              <w:spacing w:after="0" w:line="240" w:lineRule="auto"/>
              <w:rPr>
                <w:rFonts w:asciiTheme="majorHAnsi" w:eastAsia="Calibri Light" w:hAnsiTheme="majorHAnsi" w:cstheme="majorHAnsi"/>
                <w:sz w:val="21"/>
                <w:szCs w:val="21"/>
              </w:rPr>
            </w:pPr>
          </w:p>
        </w:tc>
      </w:tr>
      <w:tr w:rsidR="00BC4DB8" w:rsidRPr="0005244D" w14:paraId="367C2039" w14:textId="77777777" w:rsidTr="00BD6662">
        <w:tc>
          <w:tcPr>
            <w:tcW w:w="1696" w:type="dxa"/>
          </w:tcPr>
          <w:p w14:paraId="347D1497" w14:textId="77777777" w:rsidR="0029472A" w:rsidRPr="0029472A" w:rsidRDefault="0029472A" w:rsidP="00BC4DB8">
            <w:pPr>
              <w:spacing w:after="0" w:line="240" w:lineRule="auto"/>
              <w:rPr>
                <w:rFonts w:asciiTheme="majorHAnsi" w:eastAsia="Times New Roman" w:hAnsiTheme="majorHAnsi" w:cstheme="majorHAnsi"/>
                <w:sz w:val="12"/>
                <w:szCs w:val="12"/>
              </w:rPr>
            </w:pPr>
          </w:p>
          <w:p w14:paraId="3481C333" w14:textId="6292CADB" w:rsidR="00BC4DB8" w:rsidRPr="00855E6C" w:rsidRDefault="00BC4DB8" w:rsidP="00BC4DB8">
            <w:pPr>
              <w:spacing w:after="0" w:line="240" w:lineRule="auto"/>
              <w:rPr>
                <w:rFonts w:cstheme="minorHAnsi"/>
                <w:b/>
                <w:bCs/>
                <w:sz w:val="21"/>
                <w:szCs w:val="21"/>
              </w:rPr>
            </w:pPr>
            <w:r w:rsidRPr="00855E6C">
              <w:rPr>
                <w:rFonts w:eastAsia="Times New Roman" w:cstheme="minorHAnsi"/>
                <w:b/>
                <w:bCs/>
                <w:sz w:val="21"/>
                <w:szCs w:val="21"/>
              </w:rPr>
              <w:t xml:space="preserve">Social Housing Policy </w:t>
            </w:r>
          </w:p>
          <w:p w14:paraId="4807E6BE" w14:textId="77777777" w:rsidR="00206850" w:rsidRDefault="00BC4DB8" w:rsidP="00BC4DB8">
            <w:pPr>
              <w:spacing w:after="0" w:line="240" w:lineRule="auto"/>
              <w:rPr>
                <w:rFonts w:asciiTheme="majorHAnsi" w:eastAsia="Times New Roman" w:hAnsiTheme="majorHAnsi" w:cstheme="majorHAnsi"/>
                <w:noProof/>
                <w:sz w:val="21"/>
                <w:szCs w:val="21"/>
              </w:rPr>
            </w:pPr>
            <w:r w:rsidRPr="00855E6C">
              <w:rPr>
                <w:rFonts w:asciiTheme="majorHAnsi" w:eastAsia="Times New Roman" w:hAnsiTheme="majorHAnsi" w:cstheme="majorHAnsi"/>
                <w:noProof/>
                <w:sz w:val="21"/>
                <w:szCs w:val="21"/>
              </w:rPr>
              <w:t xml:space="preserve">(City of Greater Geelong, </w:t>
            </w:r>
          </w:p>
          <w:p w14:paraId="712A4362" w14:textId="58080DD7" w:rsidR="00BC4DB8" w:rsidRPr="00855E6C" w:rsidRDefault="00BC4DB8" w:rsidP="00BC4DB8">
            <w:pPr>
              <w:spacing w:after="0" w:line="240" w:lineRule="auto"/>
              <w:rPr>
                <w:rFonts w:asciiTheme="majorHAnsi" w:hAnsiTheme="majorHAnsi" w:cstheme="majorHAnsi"/>
                <w:sz w:val="21"/>
                <w:szCs w:val="21"/>
              </w:rPr>
            </w:pPr>
            <w:r w:rsidRPr="00855E6C">
              <w:rPr>
                <w:rFonts w:asciiTheme="majorHAnsi" w:eastAsia="Times New Roman" w:hAnsiTheme="majorHAnsi" w:cstheme="majorHAnsi"/>
                <w:noProof/>
                <w:sz w:val="21"/>
                <w:szCs w:val="21"/>
              </w:rPr>
              <w:t>2020-2041)</w:t>
            </w:r>
            <w:r w:rsidRPr="00855E6C">
              <w:rPr>
                <w:rFonts w:asciiTheme="majorHAnsi" w:eastAsia="Times New Roman" w:hAnsiTheme="majorHAnsi" w:cstheme="majorHAnsi"/>
                <w:sz w:val="21"/>
                <w:szCs w:val="21"/>
              </w:rPr>
              <w:t xml:space="preserve"> </w:t>
            </w:r>
          </w:p>
          <w:p w14:paraId="7D67E7DB" w14:textId="77777777" w:rsidR="00BC4DB8" w:rsidRPr="0005244D" w:rsidRDefault="00BC4DB8" w:rsidP="00BC4DB8">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1636B412" w14:textId="77777777" w:rsidR="00BC4DB8" w:rsidRPr="0005244D" w:rsidRDefault="00BC4DB8" w:rsidP="00BC4DB8">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2818B584" w14:textId="77777777" w:rsidR="00BC4DB8" w:rsidRPr="0005244D" w:rsidRDefault="00BC4DB8" w:rsidP="0005244D">
            <w:pPr>
              <w:spacing w:after="0" w:line="240" w:lineRule="auto"/>
              <w:rPr>
                <w:rFonts w:asciiTheme="majorHAnsi" w:eastAsia="Times New Roman" w:hAnsiTheme="majorHAnsi" w:cstheme="majorBidi"/>
                <w:i/>
                <w:sz w:val="21"/>
                <w:szCs w:val="21"/>
              </w:rPr>
            </w:pPr>
          </w:p>
        </w:tc>
        <w:tc>
          <w:tcPr>
            <w:tcW w:w="5524" w:type="dxa"/>
          </w:tcPr>
          <w:p w14:paraId="1EC6420F" w14:textId="77777777" w:rsidR="0029472A" w:rsidRPr="00D87445" w:rsidRDefault="0029472A" w:rsidP="00BC4DB8">
            <w:pPr>
              <w:spacing w:after="0" w:line="240" w:lineRule="auto"/>
              <w:rPr>
                <w:rFonts w:asciiTheme="majorHAnsi" w:eastAsia="Calibri Light" w:hAnsiTheme="majorHAnsi" w:cstheme="majorHAnsi"/>
                <w:sz w:val="12"/>
                <w:szCs w:val="12"/>
              </w:rPr>
            </w:pPr>
          </w:p>
          <w:p w14:paraId="2079B360" w14:textId="5FF74EA7" w:rsidR="00BC4DB8" w:rsidRPr="00855E6C" w:rsidRDefault="00D87445" w:rsidP="00855E6C">
            <w:pPr>
              <w:spacing w:after="0" w:line="240" w:lineRule="auto"/>
              <w:rPr>
                <w:rFonts w:asciiTheme="majorHAnsi" w:hAnsiTheme="majorHAnsi" w:cstheme="majorHAnsi"/>
                <w:sz w:val="21"/>
                <w:szCs w:val="21"/>
              </w:rPr>
            </w:pPr>
            <w:r w:rsidRPr="00855E6C">
              <w:rPr>
                <w:rFonts w:asciiTheme="majorHAnsi" w:eastAsia="Calibri Light" w:hAnsiTheme="majorHAnsi" w:cstheme="majorHAnsi"/>
                <w:sz w:val="21"/>
                <w:szCs w:val="21"/>
              </w:rPr>
              <w:t xml:space="preserve">Adopted by </w:t>
            </w:r>
            <w:r w:rsidR="001B7DDF">
              <w:rPr>
                <w:rFonts w:asciiTheme="majorHAnsi" w:eastAsia="Calibri Light" w:hAnsiTheme="majorHAnsi" w:cstheme="majorHAnsi"/>
                <w:sz w:val="21"/>
                <w:szCs w:val="21"/>
              </w:rPr>
              <w:t>CoGG</w:t>
            </w:r>
            <w:r w:rsidRPr="00855E6C">
              <w:rPr>
                <w:rFonts w:asciiTheme="majorHAnsi" w:eastAsia="Calibri Light" w:hAnsiTheme="majorHAnsi" w:cstheme="majorHAnsi"/>
                <w:sz w:val="21"/>
                <w:szCs w:val="21"/>
              </w:rPr>
              <w:t xml:space="preserve"> in</w:t>
            </w:r>
            <w:r w:rsidR="00BC4DB8" w:rsidRPr="00855E6C">
              <w:rPr>
                <w:rFonts w:asciiTheme="majorHAnsi" w:eastAsia="Calibri Light" w:hAnsiTheme="majorHAnsi" w:cstheme="majorHAnsi"/>
                <w:sz w:val="21"/>
                <w:szCs w:val="21"/>
              </w:rPr>
              <w:t xml:space="preserve"> February 2020</w:t>
            </w:r>
            <w:r w:rsidR="00855E6C" w:rsidRPr="00855E6C">
              <w:rPr>
                <w:rFonts w:asciiTheme="majorHAnsi" w:eastAsia="Calibri Light" w:hAnsiTheme="majorHAnsi" w:cstheme="majorHAnsi"/>
                <w:sz w:val="21"/>
                <w:szCs w:val="21"/>
              </w:rPr>
              <w:t>. T</w:t>
            </w:r>
            <w:r w:rsidRPr="00855E6C">
              <w:rPr>
                <w:rFonts w:asciiTheme="majorHAnsi" w:eastAsia="Calibri Light" w:hAnsiTheme="majorHAnsi" w:cstheme="majorHAnsi"/>
                <w:sz w:val="21"/>
                <w:szCs w:val="21"/>
              </w:rPr>
              <w:t>he policy</w:t>
            </w:r>
            <w:r w:rsidR="00BC4DB8" w:rsidRPr="00855E6C">
              <w:rPr>
                <w:rFonts w:asciiTheme="majorHAnsi" w:eastAsia="Calibri Light" w:hAnsiTheme="majorHAnsi" w:cstheme="majorHAnsi"/>
                <w:sz w:val="21"/>
                <w:szCs w:val="21"/>
              </w:rPr>
              <w:t xml:space="preserve"> identifies </w:t>
            </w:r>
            <w:r w:rsidR="00D93172" w:rsidRPr="00855E6C">
              <w:rPr>
                <w:rFonts w:asciiTheme="majorHAnsi" w:eastAsia="Calibri Light" w:hAnsiTheme="majorHAnsi" w:cstheme="majorHAnsi"/>
                <w:sz w:val="21"/>
                <w:szCs w:val="21"/>
              </w:rPr>
              <w:t>five</w:t>
            </w:r>
            <w:r w:rsidR="00BC4DB8" w:rsidRPr="00855E6C">
              <w:rPr>
                <w:rFonts w:asciiTheme="majorHAnsi" w:eastAsia="Calibri Light" w:hAnsiTheme="majorHAnsi" w:cstheme="majorHAnsi"/>
                <w:sz w:val="21"/>
                <w:szCs w:val="21"/>
              </w:rPr>
              <w:t xml:space="preserve"> key strategic roles for council:</w:t>
            </w:r>
          </w:p>
          <w:p w14:paraId="77E326B7" w14:textId="51C0CC5E" w:rsidR="00BC4DB8" w:rsidRPr="00855E6C" w:rsidRDefault="00BC4DB8" w:rsidP="00364C5D">
            <w:pPr>
              <w:pStyle w:val="ListParagraph"/>
              <w:numPr>
                <w:ilvl w:val="0"/>
                <w:numId w:val="86"/>
              </w:numPr>
              <w:spacing w:after="0" w:line="240" w:lineRule="auto"/>
              <w:rPr>
                <w:rFonts w:asciiTheme="majorHAnsi" w:eastAsiaTheme="minorEastAsia" w:hAnsiTheme="majorHAnsi" w:cstheme="majorHAnsi"/>
                <w:color w:val="000000" w:themeColor="text1"/>
                <w:sz w:val="21"/>
                <w:szCs w:val="21"/>
              </w:rPr>
            </w:pPr>
            <w:r w:rsidRPr="00855E6C">
              <w:rPr>
                <w:rFonts w:asciiTheme="majorHAnsi" w:eastAsia="Calibri Light" w:hAnsiTheme="majorHAnsi" w:cstheme="majorHAnsi"/>
                <w:sz w:val="21"/>
                <w:szCs w:val="21"/>
              </w:rPr>
              <w:t>Leadership</w:t>
            </w:r>
            <w:r w:rsidR="00D87445" w:rsidRPr="00855E6C">
              <w:rPr>
                <w:rFonts w:asciiTheme="majorHAnsi" w:eastAsia="Calibri Light" w:hAnsiTheme="majorHAnsi" w:cstheme="majorHAnsi"/>
                <w:sz w:val="21"/>
                <w:szCs w:val="21"/>
              </w:rPr>
              <w:t>:</w:t>
            </w:r>
            <w:r w:rsidRPr="00855E6C">
              <w:rPr>
                <w:rFonts w:asciiTheme="majorHAnsi" w:eastAsia="Calibri Light" w:hAnsiTheme="majorHAnsi" w:cstheme="majorHAnsi"/>
                <w:sz w:val="21"/>
                <w:szCs w:val="21"/>
              </w:rPr>
              <w:t xml:space="preserve"> assume a </w:t>
            </w:r>
            <w:r w:rsidR="00855E6C">
              <w:rPr>
                <w:rFonts w:asciiTheme="majorHAnsi" w:eastAsia="Calibri Light" w:hAnsiTheme="majorHAnsi" w:cstheme="majorHAnsi"/>
                <w:sz w:val="21"/>
                <w:szCs w:val="21"/>
              </w:rPr>
              <w:t>l</w:t>
            </w:r>
            <w:r w:rsidRPr="00855E6C">
              <w:rPr>
                <w:rFonts w:asciiTheme="majorHAnsi" w:eastAsia="Calibri Light" w:hAnsiTheme="majorHAnsi" w:cstheme="majorHAnsi"/>
                <w:sz w:val="21"/>
                <w:szCs w:val="21"/>
              </w:rPr>
              <w:t xml:space="preserve">eadership role and advocate for an increase in social housing </w:t>
            </w:r>
          </w:p>
          <w:p w14:paraId="60512733" w14:textId="2B5296B6" w:rsidR="00BC4DB8" w:rsidRPr="00855E6C" w:rsidRDefault="00BC4DB8" w:rsidP="00364C5D">
            <w:pPr>
              <w:pStyle w:val="ListParagraph"/>
              <w:numPr>
                <w:ilvl w:val="0"/>
                <w:numId w:val="86"/>
              </w:numPr>
              <w:spacing w:after="0" w:line="240" w:lineRule="auto"/>
              <w:rPr>
                <w:rFonts w:asciiTheme="majorHAnsi" w:eastAsiaTheme="minorEastAsia" w:hAnsiTheme="majorHAnsi" w:cstheme="majorHAnsi"/>
                <w:color w:val="000000" w:themeColor="text1"/>
                <w:sz w:val="21"/>
                <w:szCs w:val="21"/>
              </w:rPr>
            </w:pPr>
            <w:r w:rsidRPr="00855E6C">
              <w:rPr>
                <w:rFonts w:asciiTheme="majorHAnsi" w:eastAsia="Calibri Light" w:hAnsiTheme="majorHAnsi" w:cstheme="majorHAnsi"/>
                <w:sz w:val="21"/>
                <w:szCs w:val="21"/>
              </w:rPr>
              <w:t>Investment</w:t>
            </w:r>
            <w:r w:rsidR="00D87445" w:rsidRPr="00855E6C">
              <w:rPr>
                <w:rFonts w:asciiTheme="majorHAnsi" w:eastAsia="Calibri Light" w:hAnsiTheme="majorHAnsi" w:cstheme="majorHAnsi"/>
                <w:sz w:val="21"/>
                <w:szCs w:val="21"/>
              </w:rPr>
              <w:t>: contribute</w:t>
            </w:r>
            <w:r w:rsidRPr="00855E6C">
              <w:rPr>
                <w:rFonts w:asciiTheme="majorHAnsi" w:eastAsia="Calibri Light" w:hAnsiTheme="majorHAnsi" w:cstheme="majorHAnsi"/>
                <w:sz w:val="21"/>
                <w:szCs w:val="21"/>
              </w:rPr>
              <w:t xml:space="preserve"> Council sites and cash </w:t>
            </w:r>
            <w:r w:rsidR="00D87445" w:rsidRPr="00855E6C">
              <w:rPr>
                <w:rFonts w:asciiTheme="majorHAnsi" w:eastAsia="Calibri Light" w:hAnsiTheme="majorHAnsi" w:cstheme="majorHAnsi"/>
                <w:sz w:val="21"/>
                <w:szCs w:val="21"/>
              </w:rPr>
              <w:t>that</w:t>
            </w:r>
            <w:r w:rsidRPr="00855E6C">
              <w:rPr>
                <w:rFonts w:asciiTheme="majorHAnsi" w:eastAsia="Calibri Light" w:hAnsiTheme="majorHAnsi" w:cstheme="majorHAnsi"/>
                <w:sz w:val="21"/>
                <w:szCs w:val="21"/>
              </w:rPr>
              <w:t xml:space="preserve"> can leverage State and Commonwealth Government</w:t>
            </w:r>
            <w:r w:rsidR="001E0B66" w:rsidRPr="00855E6C">
              <w:rPr>
                <w:rFonts w:asciiTheme="majorHAnsi" w:eastAsia="Calibri Light" w:hAnsiTheme="majorHAnsi" w:cstheme="majorHAnsi"/>
                <w:sz w:val="21"/>
                <w:szCs w:val="21"/>
              </w:rPr>
              <w:t xml:space="preserve"> input</w:t>
            </w:r>
          </w:p>
          <w:p w14:paraId="2459BEF3" w14:textId="14C549BD" w:rsidR="00BC4DB8" w:rsidRPr="00855E6C" w:rsidRDefault="00BC4DB8" w:rsidP="00364C5D">
            <w:pPr>
              <w:pStyle w:val="ListParagraph"/>
              <w:numPr>
                <w:ilvl w:val="0"/>
                <w:numId w:val="86"/>
              </w:numPr>
              <w:spacing w:after="0" w:line="240" w:lineRule="auto"/>
              <w:rPr>
                <w:rFonts w:asciiTheme="majorHAnsi" w:eastAsiaTheme="minorEastAsia" w:hAnsiTheme="majorHAnsi" w:cstheme="majorHAnsi"/>
                <w:color w:val="000000" w:themeColor="text1"/>
                <w:sz w:val="21"/>
                <w:szCs w:val="21"/>
              </w:rPr>
            </w:pPr>
            <w:r w:rsidRPr="00855E6C">
              <w:rPr>
                <w:rFonts w:asciiTheme="majorHAnsi" w:eastAsia="Calibri Light" w:hAnsiTheme="majorHAnsi" w:cstheme="majorHAnsi"/>
                <w:sz w:val="21"/>
                <w:szCs w:val="21"/>
              </w:rPr>
              <w:t xml:space="preserve">Planning and </w:t>
            </w:r>
            <w:r w:rsidRPr="00052574">
              <w:rPr>
                <w:rFonts w:asciiTheme="majorHAnsi" w:eastAsia="Calibri Light" w:hAnsiTheme="majorHAnsi" w:cstheme="majorHAnsi"/>
                <w:sz w:val="21"/>
                <w:szCs w:val="21"/>
              </w:rPr>
              <w:t>negotiation</w:t>
            </w:r>
            <w:r w:rsidR="001E0B66" w:rsidRPr="00052574">
              <w:rPr>
                <w:rFonts w:asciiTheme="majorHAnsi" w:eastAsia="Calibri Light" w:hAnsiTheme="majorHAnsi" w:cstheme="majorHAnsi"/>
                <w:sz w:val="21"/>
                <w:szCs w:val="21"/>
              </w:rPr>
              <w:t xml:space="preserve">: </w:t>
            </w:r>
            <w:r w:rsidRPr="00052574">
              <w:rPr>
                <w:rFonts w:asciiTheme="majorHAnsi" w:eastAsia="Calibri Light" w:hAnsiTheme="majorHAnsi" w:cstheme="majorHAnsi"/>
                <w:sz w:val="21"/>
                <w:szCs w:val="21"/>
              </w:rPr>
              <w:t>u</w:t>
            </w:r>
            <w:r w:rsidR="001E0B66" w:rsidRPr="00052574">
              <w:rPr>
                <w:rFonts w:asciiTheme="majorHAnsi" w:eastAsia="Calibri Light" w:hAnsiTheme="majorHAnsi" w:cstheme="majorHAnsi"/>
                <w:sz w:val="21"/>
                <w:szCs w:val="21"/>
              </w:rPr>
              <w:t>s</w:t>
            </w:r>
            <w:r w:rsidRPr="00052574">
              <w:rPr>
                <w:rFonts w:asciiTheme="majorHAnsi" w:eastAsia="Calibri Light" w:hAnsiTheme="majorHAnsi" w:cstheme="majorHAnsi"/>
                <w:sz w:val="21"/>
                <w:szCs w:val="21"/>
              </w:rPr>
              <w:t>e amendments to</w:t>
            </w:r>
            <w:r w:rsidR="001E0B66" w:rsidRPr="00052574">
              <w:rPr>
                <w:rFonts w:asciiTheme="majorHAnsi" w:eastAsia="Calibri Light" w:hAnsiTheme="majorHAnsi" w:cstheme="majorHAnsi"/>
                <w:sz w:val="21"/>
                <w:szCs w:val="21"/>
              </w:rPr>
              <w:t xml:space="preserve"> </w:t>
            </w:r>
            <w:r w:rsidRPr="00052574">
              <w:rPr>
                <w:rFonts w:asciiTheme="majorHAnsi" w:eastAsia="Calibri Light" w:hAnsiTheme="majorHAnsi" w:cstheme="majorHAnsi"/>
                <w:sz w:val="21"/>
                <w:szCs w:val="21"/>
              </w:rPr>
              <w:t xml:space="preserve">Planning &amp; Environment Act to negotiate inclusion of new </w:t>
            </w:r>
            <w:r w:rsidR="001E0B66" w:rsidRPr="00052574">
              <w:rPr>
                <w:rFonts w:asciiTheme="majorHAnsi" w:eastAsia="Calibri Light" w:hAnsiTheme="majorHAnsi" w:cstheme="majorHAnsi"/>
                <w:sz w:val="21"/>
                <w:szCs w:val="21"/>
              </w:rPr>
              <w:t>s</w:t>
            </w:r>
            <w:r w:rsidRPr="00052574">
              <w:rPr>
                <w:rFonts w:asciiTheme="majorHAnsi" w:eastAsia="Calibri Light" w:hAnsiTheme="majorHAnsi" w:cstheme="majorHAnsi"/>
                <w:sz w:val="21"/>
                <w:szCs w:val="21"/>
              </w:rPr>
              <w:t xml:space="preserve">ocial </w:t>
            </w:r>
            <w:r w:rsidR="001E0B66" w:rsidRPr="00052574">
              <w:rPr>
                <w:rFonts w:asciiTheme="majorHAnsi" w:eastAsia="Calibri Light" w:hAnsiTheme="majorHAnsi" w:cstheme="majorHAnsi"/>
                <w:sz w:val="21"/>
                <w:szCs w:val="21"/>
              </w:rPr>
              <w:t>h</w:t>
            </w:r>
            <w:r w:rsidRPr="00052574">
              <w:rPr>
                <w:rFonts w:asciiTheme="majorHAnsi" w:eastAsia="Calibri Light" w:hAnsiTheme="majorHAnsi" w:cstheme="majorHAnsi"/>
                <w:sz w:val="21"/>
                <w:szCs w:val="21"/>
              </w:rPr>
              <w:t>ousing</w:t>
            </w:r>
            <w:r w:rsidRPr="00855E6C">
              <w:rPr>
                <w:rFonts w:asciiTheme="majorHAnsi" w:eastAsia="Calibri Light" w:hAnsiTheme="majorHAnsi" w:cstheme="majorHAnsi"/>
                <w:sz w:val="21"/>
                <w:szCs w:val="21"/>
              </w:rPr>
              <w:t xml:space="preserve"> </w:t>
            </w:r>
          </w:p>
          <w:p w14:paraId="21FF2794" w14:textId="15BA8162" w:rsidR="00BC4DB8" w:rsidRPr="00855E6C" w:rsidRDefault="00BC4DB8" w:rsidP="00364C5D">
            <w:pPr>
              <w:pStyle w:val="ListParagraph"/>
              <w:numPr>
                <w:ilvl w:val="0"/>
                <w:numId w:val="86"/>
              </w:numPr>
              <w:spacing w:after="0" w:line="240" w:lineRule="auto"/>
              <w:rPr>
                <w:rFonts w:asciiTheme="majorHAnsi" w:eastAsiaTheme="minorEastAsia" w:hAnsiTheme="majorHAnsi" w:cstheme="majorHAnsi"/>
                <w:color w:val="000000" w:themeColor="text1"/>
                <w:sz w:val="21"/>
                <w:szCs w:val="21"/>
              </w:rPr>
            </w:pPr>
            <w:r w:rsidRPr="00855E6C">
              <w:rPr>
                <w:rFonts w:asciiTheme="majorHAnsi" w:eastAsia="Calibri Light" w:hAnsiTheme="majorHAnsi" w:cstheme="majorHAnsi"/>
                <w:sz w:val="21"/>
                <w:szCs w:val="21"/>
              </w:rPr>
              <w:t>Urban revitalisation</w:t>
            </w:r>
            <w:r w:rsidR="00D87445" w:rsidRPr="00855E6C">
              <w:rPr>
                <w:rFonts w:asciiTheme="majorHAnsi" w:eastAsia="Calibri Light" w:hAnsiTheme="majorHAnsi" w:cstheme="majorHAnsi"/>
                <w:sz w:val="21"/>
                <w:szCs w:val="21"/>
              </w:rPr>
              <w:t>:</w:t>
            </w:r>
            <w:r w:rsidRPr="00855E6C">
              <w:rPr>
                <w:rFonts w:asciiTheme="majorHAnsi" w:eastAsia="Calibri Light" w:hAnsiTheme="majorHAnsi" w:cstheme="majorHAnsi"/>
                <w:sz w:val="21"/>
                <w:szCs w:val="21"/>
              </w:rPr>
              <w:t xml:space="preserve"> contribute to</w:t>
            </w:r>
            <w:r w:rsidR="001E0B66" w:rsidRPr="00855E6C">
              <w:rPr>
                <w:rFonts w:asciiTheme="majorHAnsi" w:eastAsia="Calibri Light" w:hAnsiTheme="majorHAnsi" w:cstheme="majorHAnsi"/>
                <w:sz w:val="21"/>
                <w:szCs w:val="21"/>
              </w:rPr>
              <w:t xml:space="preserve"> </w:t>
            </w:r>
            <w:r w:rsidRPr="00855E6C">
              <w:rPr>
                <w:rFonts w:asciiTheme="majorHAnsi" w:eastAsia="Calibri Light" w:hAnsiTheme="majorHAnsi" w:cstheme="majorHAnsi"/>
                <w:sz w:val="21"/>
                <w:szCs w:val="21"/>
              </w:rPr>
              <w:t>continued urban revitalisation in Corio, Norlane</w:t>
            </w:r>
            <w:r w:rsidR="00D87445" w:rsidRPr="00855E6C">
              <w:rPr>
                <w:rFonts w:asciiTheme="majorHAnsi" w:eastAsia="Calibri Light" w:hAnsiTheme="majorHAnsi" w:cstheme="majorHAnsi"/>
                <w:sz w:val="21"/>
                <w:szCs w:val="21"/>
              </w:rPr>
              <w:t>,</w:t>
            </w:r>
            <w:r w:rsidRPr="00855E6C">
              <w:rPr>
                <w:rFonts w:asciiTheme="majorHAnsi" w:eastAsia="Calibri Light" w:hAnsiTheme="majorHAnsi" w:cstheme="majorHAnsi"/>
                <w:sz w:val="21"/>
                <w:szCs w:val="21"/>
              </w:rPr>
              <w:t xml:space="preserve"> Whittington</w:t>
            </w:r>
            <w:r w:rsidR="001E0B66" w:rsidRPr="00855E6C">
              <w:rPr>
                <w:rFonts w:asciiTheme="majorHAnsi" w:eastAsia="Calibri Light" w:hAnsiTheme="majorHAnsi" w:cstheme="majorHAnsi"/>
                <w:sz w:val="21"/>
                <w:szCs w:val="21"/>
              </w:rPr>
              <w:t>,</w:t>
            </w:r>
            <w:r w:rsidRPr="00855E6C">
              <w:rPr>
                <w:rFonts w:asciiTheme="majorHAnsi" w:eastAsia="Calibri Light" w:hAnsiTheme="majorHAnsi" w:cstheme="majorHAnsi"/>
                <w:sz w:val="21"/>
                <w:szCs w:val="21"/>
              </w:rPr>
              <w:t xml:space="preserve"> in partnership with State Government</w:t>
            </w:r>
          </w:p>
          <w:p w14:paraId="549E0E30" w14:textId="3BE9D117" w:rsidR="00BC4DB8" w:rsidRPr="00855E6C" w:rsidRDefault="00BC4DB8" w:rsidP="00364C5D">
            <w:pPr>
              <w:pStyle w:val="ListParagraph"/>
              <w:numPr>
                <w:ilvl w:val="0"/>
                <w:numId w:val="86"/>
              </w:numPr>
              <w:spacing w:after="0" w:line="240" w:lineRule="auto"/>
              <w:rPr>
                <w:rFonts w:asciiTheme="majorHAnsi" w:eastAsiaTheme="minorEastAsia" w:hAnsiTheme="majorHAnsi" w:cstheme="majorBidi"/>
                <w:color w:val="000000" w:themeColor="text1"/>
                <w:sz w:val="21"/>
                <w:szCs w:val="21"/>
              </w:rPr>
            </w:pPr>
            <w:r w:rsidRPr="00855E6C">
              <w:rPr>
                <w:rFonts w:asciiTheme="majorHAnsi" w:eastAsia="Calibri Light" w:hAnsiTheme="majorHAnsi" w:cstheme="majorBidi"/>
                <w:sz w:val="21"/>
                <w:szCs w:val="21"/>
              </w:rPr>
              <w:t xml:space="preserve">Build capacity </w:t>
            </w:r>
            <w:r w:rsidR="00855E6C" w:rsidRPr="00855E6C">
              <w:rPr>
                <w:rFonts w:asciiTheme="majorHAnsi" w:eastAsia="Calibri Light" w:hAnsiTheme="majorHAnsi" w:cstheme="majorBidi"/>
                <w:sz w:val="21"/>
                <w:szCs w:val="21"/>
              </w:rPr>
              <w:t xml:space="preserve">within </w:t>
            </w:r>
            <w:r w:rsidR="001B7DDF">
              <w:rPr>
                <w:rFonts w:asciiTheme="majorHAnsi" w:eastAsia="Calibri Light" w:hAnsiTheme="majorHAnsi" w:cstheme="majorBidi"/>
                <w:sz w:val="21"/>
                <w:szCs w:val="21"/>
              </w:rPr>
              <w:t>CoGG</w:t>
            </w:r>
            <w:r w:rsidR="00D87445" w:rsidRPr="00855E6C">
              <w:rPr>
                <w:rFonts w:asciiTheme="majorHAnsi" w:eastAsia="Calibri Light" w:hAnsiTheme="majorHAnsi" w:cstheme="majorBidi"/>
                <w:sz w:val="21"/>
                <w:szCs w:val="21"/>
              </w:rPr>
              <w:t>:</w:t>
            </w:r>
            <w:r w:rsidRPr="00855E6C">
              <w:rPr>
                <w:rFonts w:asciiTheme="majorHAnsi" w:eastAsia="Calibri Light" w:hAnsiTheme="majorHAnsi" w:cstheme="majorBidi"/>
                <w:sz w:val="21"/>
                <w:szCs w:val="21"/>
              </w:rPr>
              <w:t xml:space="preserve"> fund dedicated positions within Planning and Community Life Divisions</w:t>
            </w:r>
          </w:p>
          <w:p w14:paraId="4B669824" w14:textId="77777777" w:rsidR="007C1A24" w:rsidRDefault="007C1A24" w:rsidP="0005244D">
            <w:pPr>
              <w:spacing w:after="0" w:line="240" w:lineRule="auto"/>
              <w:rPr>
                <w:rFonts w:asciiTheme="majorHAnsi" w:eastAsia="Calibri Light" w:hAnsiTheme="majorHAnsi" w:cstheme="majorHAnsi"/>
                <w:sz w:val="21"/>
                <w:szCs w:val="21"/>
              </w:rPr>
            </w:pPr>
          </w:p>
          <w:p w14:paraId="56F8530E" w14:textId="1C2ED323" w:rsidR="00853F8C" w:rsidRPr="0005244D" w:rsidRDefault="00853F8C" w:rsidP="0005244D">
            <w:pPr>
              <w:spacing w:after="0" w:line="240" w:lineRule="auto"/>
              <w:rPr>
                <w:rFonts w:asciiTheme="majorHAnsi" w:eastAsia="Calibri Light" w:hAnsiTheme="majorHAnsi" w:cstheme="majorHAnsi"/>
                <w:b/>
                <w:bCs/>
                <w:sz w:val="21"/>
                <w:szCs w:val="21"/>
              </w:rPr>
            </w:pPr>
          </w:p>
        </w:tc>
        <w:tc>
          <w:tcPr>
            <w:tcW w:w="7371" w:type="dxa"/>
          </w:tcPr>
          <w:p w14:paraId="4D54B4A4" w14:textId="77777777" w:rsidR="00BC4DB8" w:rsidRPr="001E0B66" w:rsidRDefault="00BC4DB8" w:rsidP="0005244D">
            <w:pPr>
              <w:spacing w:after="0" w:line="240" w:lineRule="auto"/>
              <w:rPr>
                <w:rFonts w:asciiTheme="majorHAnsi" w:eastAsia="Calibri Light" w:hAnsiTheme="majorHAnsi" w:cstheme="majorHAnsi"/>
                <w:sz w:val="12"/>
                <w:szCs w:val="12"/>
              </w:rPr>
            </w:pPr>
          </w:p>
          <w:p w14:paraId="35FE4518" w14:textId="77777777" w:rsidR="00BC4DB8" w:rsidRPr="0005244D" w:rsidRDefault="00BC4DB8" w:rsidP="00BC4DB8">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 xml:space="preserve">Council to contribute to the continued urban revitalisation in Corio, Norlane and Whittington in partnership with State Government </w:t>
            </w:r>
          </w:p>
          <w:p w14:paraId="76AD6A3B" w14:textId="77777777" w:rsidR="00BC4DB8" w:rsidRPr="0005244D" w:rsidRDefault="00BC4DB8" w:rsidP="00BC4DB8">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 xml:space="preserve"> </w:t>
            </w:r>
          </w:p>
          <w:p w14:paraId="02862B53" w14:textId="77777777" w:rsidR="00BC4DB8" w:rsidRDefault="00BC4DB8" w:rsidP="0005244D">
            <w:pPr>
              <w:spacing w:after="0" w:line="240" w:lineRule="auto"/>
              <w:rPr>
                <w:rFonts w:asciiTheme="majorHAnsi" w:eastAsia="Calibri Light" w:hAnsiTheme="majorHAnsi" w:cstheme="majorHAnsi"/>
                <w:sz w:val="21"/>
                <w:szCs w:val="21"/>
              </w:rPr>
            </w:pPr>
          </w:p>
          <w:p w14:paraId="1EA96FC8" w14:textId="77777777" w:rsidR="00427E68" w:rsidRDefault="00427E68" w:rsidP="0005244D">
            <w:pPr>
              <w:spacing w:after="0" w:line="240" w:lineRule="auto"/>
              <w:rPr>
                <w:rFonts w:asciiTheme="majorHAnsi" w:eastAsia="Calibri Light" w:hAnsiTheme="majorHAnsi" w:cstheme="majorHAnsi"/>
                <w:sz w:val="21"/>
                <w:szCs w:val="21"/>
              </w:rPr>
            </w:pPr>
          </w:p>
          <w:p w14:paraId="4BE17855" w14:textId="77777777" w:rsidR="00427E68" w:rsidRDefault="00427E68" w:rsidP="0005244D">
            <w:pPr>
              <w:spacing w:after="0" w:line="240" w:lineRule="auto"/>
              <w:rPr>
                <w:rFonts w:asciiTheme="majorHAnsi" w:eastAsia="Calibri Light" w:hAnsiTheme="majorHAnsi" w:cstheme="majorHAnsi"/>
                <w:sz w:val="21"/>
                <w:szCs w:val="21"/>
              </w:rPr>
            </w:pPr>
          </w:p>
          <w:p w14:paraId="5031E7B5" w14:textId="77777777" w:rsidR="00427E68" w:rsidRDefault="00427E68" w:rsidP="0005244D">
            <w:pPr>
              <w:spacing w:after="0" w:line="240" w:lineRule="auto"/>
              <w:rPr>
                <w:rFonts w:asciiTheme="majorHAnsi" w:eastAsia="Calibri Light" w:hAnsiTheme="majorHAnsi" w:cstheme="majorHAnsi"/>
                <w:sz w:val="21"/>
                <w:szCs w:val="21"/>
              </w:rPr>
            </w:pPr>
          </w:p>
          <w:p w14:paraId="0F07F084" w14:textId="77777777" w:rsidR="00427E68" w:rsidRDefault="00427E68" w:rsidP="0005244D">
            <w:pPr>
              <w:spacing w:after="0" w:line="240" w:lineRule="auto"/>
              <w:rPr>
                <w:rFonts w:asciiTheme="majorHAnsi" w:eastAsia="Calibri Light" w:hAnsiTheme="majorHAnsi" w:cstheme="majorHAnsi"/>
                <w:sz w:val="21"/>
                <w:szCs w:val="21"/>
              </w:rPr>
            </w:pPr>
          </w:p>
          <w:p w14:paraId="0191ACE5" w14:textId="77777777" w:rsidR="00427E68" w:rsidRDefault="00427E68" w:rsidP="0005244D">
            <w:pPr>
              <w:spacing w:after="0" w:line="240" w:lineRule="auto"/>
              <w:rPr>
                <w:rFonts w:asciiTheme="majorHAnsi" w:eastAsia="Calibri Light" w:hAnsiTheme="majorHAnsi" w:cstheme="majorHAnsi"/>
                <w:sz w:val="21"/>
                <w:szCs w:val="21"/>
              </w:rPr>
            </w:pPr>
          </w:p>
          <w:p w14:paraId="1259E459" w14:textId="77777777" w:rsidR="00427E68" w:rsidRDefault="00427E68" w:rsidP="0005244D">
            <w:pPr>
              <w:spacing w:after="0" w:line="240" w:lineRule="auto"/>
              <w:rPr>
                <w:rFonts w:asciiTheme="majorHAnsi" w:eastAsia="Calibri Light" w:hAnsiTheme="majorHAnsi" w:cstheme="majorHAnsi"/>
                <w:sz w:val="21"/>
                <w:szCs w:val="21"/>
              </w:rPr>
            </w:pPr>
          </w:p>
          <w:p w14:paraId="3388B83E" w14:textId="77777777" w:rsidR="00427E68" w:rsidRDefault="00427E68" w:rsidP="0005244D">
            <w:pPr>
              <w:spacing w:after="0" w:line="240" w:lineRule="auto"/>
              <w:rPr>
                <w:rFonts w:asciiTheme="majorHAnsi" w:eastAsia="Calibri Light" w:hAnsiTheme="majorHAnsi" w:cstheme="majorHAnsi"/>
                <w:sz w:val="21"/>
                <w:szCs w:val="21"/>
              </w:rPr>
            </w:pPr>
          </w:p>
          <w:p w14:paraId="67ABC49B" w14:textId="77777777" w:rsidR="00427E68" w:rsidRDefault="00427E68" w:rsidP="0005244D">
            <w:pPr>
              <w:spacing w:after="0" w:line="240" w:lineRule="auto"/>
              <w:rPr>
                <w:rFonts w:asciiTheme="majorHAnsi" w:eastAsia="Calibri Light" w:hAnsiTheme="majorHAnsi" w:cstheme="majorHAnsi"/>
                <w:sz w:val="21"/>
                <w:szCs w:val="21"/>
              </w:rPr>
            </w:pPr>
          </w:p>
          <w:p w14:paraId="44F5BD1F" w14:textId="77777777" w:rsidR="00427E68" w:rsidRDefault="00427E68" w:rsidP="0005244D">
            <w:pPr>
              <w:spacing w:after="0" w:line="240" w:lineRule="auto"/>
              <w:rPr>
                <w:rFonts w:asciiTheme="majorHAnsi" w:eastAsia="Calibri Light" w:hAnsiTheme="majorHAnsi" w:cstheme="majorHAnsi"/>
                <w:sz w:val="21"/>
                <w:szCs w:val="21"/>
              </w:rPr>
            </w:pPr>
          </w:p>
          <w:p w14:paraId="1E1F1ADA" w14:textId="77777777" w:rsidR="00427E68" w:rsidRDefault="00427E68" w:rsidP="0005244D">
            <w:pPr>
              <w:spacing w:after="0" w:line="240" w:lineRule="auto"/>
              <w:rPr>
                <w:rFonts w:asciiTheme="majorHAnsi" w:eastAsia="Calibri Light" w:hAnsiTheme="majorHAnsi" w:cstheme="majorHAnsi"/>
                <w:sz w:val="21"/>
                <w:szCs w:val="21"/>
              </w:rPr>
            </w:pPr>
          </w:p>
          <w:p w14:paraId="3BBFAACD" w14:textId="77777777" w:rsidR="00427E68" w:rsidRDefault="00427E68" w:rsidP="0005244D">
            <w:pPr>
              <w:spacing w:after="0" w:line="240" w:lineRule="auto"/>
              <w:rPr>
                <w:rFonts w:asciiTheme="majorHAnsi" w:eastAsia="Calibri Light" w:hAnsiTheme="majorHAnsi" w:cstheme="majorHAnsi"/>
                <w:sz w:val="21"/>
                <w:szCs w:val="21"/>
              </w:rPr>
            </w:pPr>
          </w:p>
          <w:p w14:paraId="0F973294" w14:textId="2377D7E2" w:rsidR="00427E68" w:rsidRPr="0005244D" w:rsidRDefault="00427E68" w:rsidP="0005244D">
            <w:pPr>
              <w:spacing w:after="0" w:line="240" w:lineRule="auto"/>
              <w:rPr>
                <w:rFonts w:asciiTheme="majorHAnsi" w:eastAsia="Calibri Light" w:hAnsiTheme="majorHAnsi" w:cstheme="majorHAnsi"/>
                <w:sz w:val="21"/>
                <w:szCs w:val="21"/>
              </w:rPr>
            </w:pPr>
          </w:p>
        </w:tc>
      </w:tr>
      <w:tr w:rsidR="00BC4DB8" w:rsidRPr="0005244D" w14:paraId="14B24781" w14:textId="77777777" w:rsidTr="00BD6662">
        <w:tc>
          <w:tcPr>
            <w:tcW w:w="1696" w:type="dxa"/>
          </w:tcPr>
          <w:p w14:paraId="2D4667D9" w14:textId="77777777" w:rsidR="00427E68" w:rsidRPr="00427E68" w:rsidRDefault="00427E68" w:rsidP="0005244D">
            <w:pPr>
              <w:spacing w:after="0" w:line="240" w:lineRule="auto"/>
              <w:rPr>
                <w:rFonts w:asciiTheme="majorHAnsi" w:eastAsia="Times New Roman" w:hAnsiTheme="majorHAnsi" w:cstheme="majorHAnsi"/>
                <w:b/>
                <w:bCs/>
                <w:sz w:val="12"/>
                <w:szCs w:val="12"/>
              </w:rPr>
            </w:pPr>
          </w:p>
          <w:p w14:paraId="4E9C9349" w14:textId="3F4AA270" w:rsidR="00BC4DB8" w:rsidRPr="00427E68" w:rsidRDefault="00BC4DB8" w:rsidP="0005244D">
            <w:pPr>
              <w:spacing w:after="0" w:line="240" w:lineRule="auto"/>
              <w:rPr>
                <w:rFonts w:eastAsia="Times New Roman" w:cstheme="minorHAnsi"/>
                <w:b/>
                <w:bCs/>
                <w:sz w:val="21"/>
                <w:szCs w:val="21"/>
              </w:rPr>
            </w:pPr>
            <w:r w:rsidRPr="00427E68">
              <w:rPr>
                <w:rFonts w:eastAsia="Times New Roman" w:cstheme="minorHAnsi"/>
                <w:b/>
                <w:bCs/>
                <w:sz w:val="21"/>
                <w:szCs w:val="21"/>
              </w:rPr>
              <w:t xml:space="preserve">GROW </w:t>
            </w:r>
          </w:p>
          <w:p w14:paraId="4CF210D0" w14:textId="3809B282" w:rsidR="00BC4DB8" w:rsidRPr="00BC4DB8" w:rsidRDefault="00BC4DB8" w:rsidP="0005244D">
            <w:pPr>
              <w:spacing w:after="0" w:line="240" w:lineRule="auto"/>
              <w:rPr>
                <w:rFonts w:asciiTheme="majorHAnsi" w:eastAsia="Times New Roman" w:hAnsiTheme="majorHAnsi" w:cstheme="majorBidi"/>
                <w:sz w:val="21"/>
                <w:szCs w:val="21"/>
              </w:rPr>
            </w:pPr>
            <w:r w:rsidRPr="00BC4DB8">
              <w:rPr>
                <w:rFonts w:asciiTheme="majorHAnsi" w:eastAsia="Times New Roman" w:hAnsiTheme="majorHAnsi" w:cstheme="majorHAnsi"/>
                <w:noProof/>
                <w:sz w:val="21"/>
                <w:szCs w:val="21"/>
              </w:rPr>
              <w:t>(G21 Geelong Region</w:t>
            </w:r>
            <w:r w:rsidR="0087490A">
              <w:rPr>
                <w:rFonts w:asciiTheme="majorHAnsi" w:eastAsia="Times New Roman" w:hAnsiTheme="majorHAnsi" w:cstheme="majorHAnsi"/>
                <w:noProof/>
                <w:sz w:val="21"/>
                <w:szCs w:val="21"/>
              </w:rPr>
              <w:t>al</w:t>
            </w:r>
            <w:r w:rsidRPr="00BC4DB8">
              <w:rPr>
                <w:rFonts w:asciiTheme="majorHAnsi" w:eastAsia="Times New Roman" w:hAnsiTheme="majorHAnsi" w:cstheme="majorHAnsi"/>
                <w:noProof/>
                <w:sz w:val="21"/>
                <w:szCs w:val="21"/>
              </w:rPr>
              <w:t xml:space="preserve"> Alliance, 2021)</w:t>
            </w:r>
          </w:p>
        </w:tc>
        <w:tc>
          <w:tcPr>
            <w:tcW w:w="5524" w:type="dxa"/>
          </w:tcPr>
          <w:p w14:paraId="13EAD40D" w14:textId="77777777" w:rsidR="00427E68" w:rsidRPr="00427E68" w:rsidRDefault="00427E68" w:rsidP="0005244D">
            <w:pPr>
              <w:spacing w:after="0" w:line="240" w:lineRule="auto"/>
              <w:rPr>
                <w:rFonts w:asciiTheme="majorHAnsi" w:eastAsia="Times New Roman" w:hAnsiTheme="majorHAnsi" w:cstheme="majorHAnsi"/>
                <w:sz w:val="12"/>
                <w:szCs w:val="12"/>
              </w:rPr>
            </w:pPr>
          </w:p>
          <w:p w14:paraId="71B09FE5" w14:textId="130829F2" w:rsidR="0017685F" w:rsidRDefault="00BC4DB8" w:rsidP="0005244D">
            <w:pPr>
              <w:spacing w:after="0" w:line="240" w:lineRule="auto"/>
              <w:rPr>
                <w:rFonts w:asciiTheme="majorHAnsi" w:eastAsia="Calibri Light" w:hAnsiTheme="majorHAnsi" w:cstheme="majorBidi"/>
                <w:color w:val="000000" w:themeColor="text1"/>
                <w:sz w:val="21"/>
                <w:szCs w:val="21"/>
              </w:rPr>
            </w:pPr>
            <w:r w:rsidRPr="00BC4DB8">
              <w:rPr>
                <w:rFonts w:asciiTheme="majorHAnsi" w:eastAsia="Times New Roman" w:hAnsiTheme="majorHAnsi" w:cstheme="majorHAnsi"/>
                <w:sz w:val="21"/>
                <w:szCs w:val="21"/>
              </w:rPr>
              <w:t>Geelong Region Opportunities for Work</w:t>
            </w:r>
            <w:r w:rsidR="00D237E2">
              <w:rPr>
                <w:rFonts w:asciiTheme="majorHAnsi" w:eastAsia="Times New Roman" w:hAnsiTheme="majorHAnsi" w:cstheme="majorHAnsi"/>
                <w:sz w:val="21"/>
                <w:szCs w:val="21"/>
              </w:rPr>
              <w:t xml:space="preserve"> (GROW)</w:t>
            </w:r>
            <w:r w:rsidR="00A31465">
              <w:rPr>
                <w:rFonts w:asciiTheme="majorHAnsi" w:eastAsia="Times New Roman" w:hAnsiTheme="majorHAnsi" w:cstheme="majorHAnsi"/>
                <w:sz w:val="21"/>
                <w:szCs w:val="21"/>
              </w:rPr>
              <w:t xml:space="preserve"> is </w:t>
            </w:r>
            <w:r w:rsidR="000768FB">
              <w:rPr>
                <w:rFonts w:asciiTheme="majorHAnsi" w:eastAsia="Times New Roman" w:hAnsiTheme="majorHAnsi" w:cstheme="majorHAnsi"/>
                <w:sz w:val="21"/>
                <w:szCs w:val="21"/>
              </w:rPr>
              <w:t>a</w:t>
            </w:r>
            <w:r w:rsidR="00D237E2">
              <w:rPr>
                <w:rFonts w:asciiTheme="majorHAnsi" w:eastAsia="Times New Roman" w:hAnsiTheme="majorHAnsi" w:cstheme="majorHAnsi"/>
                <w:sz w:val="21"/>
                <w:szCs w:val="21"/>
              </w:rPr>
              <w:t xml:space="preserve"> </w:t>
            </w:r>
            <w:r w:rsidR="00CD2691">
              <w:rPr>
                <w:rFonts w:asciiTheme="majorHAnsi" w:eastAsia="Calibri Light" w:hAnsiTheme="majorHAnsi" w:cstheme="majorBidi"/>
                <w:color w:val="000000" w:themeColor="text1"/>
                <w:sz w:val="21"/>
                <w:szCs w:val="21"/>
              </w:rPr>
              <w:t>c</w:t>
            </w:r>
            <w:r w:rsidR="00D237E2" w:rsidRPr="0005244D">
              <w:rPr>
                <w:rFonts w:asciiTheme="majorHAnsi" w:eastAsia="Calibri Light" w:hAnsiTheme="majorHAnsi" w:cstheme="majorBidi"/>
                <w:color w:val="000000" w:themeColor="text1"/>
                <w:sz w:val="21"/>
                <w:szCs w:val="21"/>
              </w:rPr>
              <w:t xml:space="preserve">ollective </w:t>
            </w:r>
            <w:r w:rsidR="00CD2691">
              <w:rPr>
                <w:rFonts w:asciiTheme="majorHAnsi" w:eastAsia="Calibri Light" w:hAnsiTheme="majorHAnsi" w:cstheme="majorBidi"/>
                <w:color w:val="000000" w:themeColor="text1"/>
                <w:sz w:val="21"/>
                <w:szCs w:val="21"/>
              </w:rPr>
              <w:t>i</w:t>
            </w:r>
            <w:r w:rsidR="00D237E2" w:rsidRPr="0005244D">
              <w:rPr>
                <w:rFonts w:asciiTheme="majorHAnsi" w:eastAsia="Calibri Light" w:hAnsiTheme="majorHAnsi" w:cstheme="majorBidi"/>
                <w:color w:val="000000" w:themeColor="text1"/>
                <w:sz w:val="21"/>
                <w:szCs w:val="21"/>
              </w:rPr>
              <w:t>mpact initiativ</w:t>
            </w:r>
            <w:r w:rsidR="00C7616D">
              <w:rPr>
                <w:rFonts w:asciiTheme="majorHAnsi" w:eastAsia="Calibri Light" w:hAnsiTheme="majorHAnsi" w:cstheme="majorBidi"/>
                <w:color w:val="000000" w:themeColor="text1"/>
                <w:sz w:val="21"/>
                <w:szCs w:val="21"/>
              </w:rPr>
              <w:t>e</w:t>
            </w:r>
            <w:r w:rsidR="0017685F">
              <w:rPr>
                <w:rFonts w:asciiTheme="majorHAnsi" w:eastAsia="Calibri Light" w:hAnsiTheme="majorHAnsi" w:cstheme="majorBidi"/>
                <w:color w:val="000000" w:themeColor="text1"/>
                <w:sz w:val="21"/>
                <w:szCs w:val="21"/>
              </w:rPr>
              <w:t xml:space="preserve"> </w:t>
            </w:r>
            <w:r w:rsidR="0017685F">
              <w:rPr>
                <w:rFonts w:asciiTheme="majorHAnsi" w:eastAsia="Calibri Light" w:hAnsiTheme="majorHAnsi" w:cstheme="majorBidi"/>
                <w:sz w:val="21"/>
                <w:szCs w:val="21"/>
              </w:rPr>
              <w:t xml:space="preserve">funded </w:t>
            </w:r>
            <w:r w:rsidR="0017685F" w:rsidRPr="0005244D">
              <w:rPr>
                <w:rFonts w:asciiTheme="majorHAnsi" w:eastAsia="Calibri Light" w:hAnsiTheme="majorHAnsi" w:cstheme="majorBidi"/>
                <w:sz w:val="21"/>
                <w:szCs w:val="21"/>
              </w:rPr>
              <w:t>by G21, Give Where you Live</w:t>
            </w:r>
            <w:r w:rsidR="0017685F">
              <w:rPr>
                <w:rFonts w:asciiTheme="majorHAnsi" w:eastAsia="Calibri Light" w:hAnsiTheme="majorHAnsi" w:cstheme="majorBidi"/>
                <w:sz w:val="21"/>
                <w:szCs w:val="21"/>
              </w:rPr>
              <w:t>,</w:t>
            </w:r>
            <w:r w:rsidR="0017685F" w:rsidRPr="0005244D">
              <w:rPr>
                <w:rFonts w:asciiTheme="majorHAnsi" w:eastAsia="Calibri Light" w:hAnsiTheme="majorHAnsi" w:cstheme="majorBidi"/>
                <w:sz w:val="21"/>
                <w:szCs w:val="21"/>
              </w:rPr>
              <w:t xml:space="preserve"> and </w:t>
            </w:r>
            <w:r w:rsidR="0017685F">
              <w:rPr>
                <w:rFonts w:asciiTheme="majorHAnsi" w:eastAsia="Calibri Light" w:hAnsiTheme="majorHAnsi" w:cstheme="majorBidi"/>
                <w:sz w:val="21"/>
                <w:szCs w:val="21"/>
              </w:rPr>
              <w:t>State</w:t>
            </w:r>
            <w:r w:rsidR="0017685F" w:rsidRPr="0005244D">
              <w:rPr>
                <w:rFonts w:asciiTheme="majorHAnsi" w:eastAsia="Calibri Light" w:hAnsiTheme="majorHAnsi" w:cstheme="majorBidi"/>
                <w:sz w:val="21"/>
                <w:szCs w:val="21"/>
              </w:rPr>
              <w:t xml:space="preserve"> </w:t>
            </w:r>
            <w:r w:rsidR="0017685F">
              <w:rPr>
                <w:rFonts w:asciiTheme="majorHAnsi" w:eastAsia="Calibri Light" w:hAnsiTheme="majorHAnsi" w:cstheme="majorBidi"/>
                <w:sz w:val="21"/>
                <w:szCs w:val="21"/>
              </w:rPr>
              <w:t>G</w:t>
            </w:r>
            <w:r w:rsidR="0017685F" w:rsidRPr="0005244D">
              <w:rPr>
                <w:rFonts w:asciiTheme="majorHAnsi" w:eastAsia="Calibri Light" w:hAnsiTheme="majorHAnsi" w:cstheme="majorBidi"/>
                <w:sz w:val="21"/>
                <w:szCs w:val="21"/>
              </w:rPr>
              <w:t>overnment</w:t>
            </w:r>
            <w:r w:rsidR="0017685F">
              <w:rPr>
                <w:rFonts w:asciiTheme="majorHAnsi" w:eastAsia="Calibri Light" w:hAnsiTheme="majorHAnsi" w:cstheme="majorBidi"/>
                <w:color w:val="000000" w:themeColor="text1"/>
                <w:sz w:val="21"/>
                <w:szCs w:val="21"/>
              </w:rPr>
              <w:t>.</w:t>
            </w:r>
          </w:p>
          <w:p w14:paraId="4ADDFE63" w14:textId="77777777" w:rsidR="0017685F" w:rsidRPr="009E23B9" w:rsidRDefault="0017685F" w:rsidP="0005244D">
            <w:pPr>
              <w:spacing w:after="0" w:line="240" w:lineRule="auto"/>
              <w:rPr>
                <w:rFonts w:asciiTheme="majorHAnsi" w:eastAsia="Calibri Light" w:hAnsiTheme="majorHAnsi" w:cstheme="majorBidi"/>
                <w:color w:val="000000" w:themeColor="text1"/>
                <w:sz w:val="12"/>
                <w:szCs w:val="12"/>
              </w:rPr>
            </w:pPr>
          </w:p>
          <w:p w14:paraId="5561EABA" w14:textId="678546A4" w:rsidR="000768FB" w:rsidRDefault="00FC726C" w:rsidP="0005244D">
            <w:pPr>
              <w:spacing w:after="0" w:line="240" w:lineRule="auto"/>
              <w:rPr>
                <w:rFonts w:asciiTheme="majorHAnsi" w:eastAsia="Calibri Light" w:hAnsiTheme="majorHAnsi" w:cstheme="majorBidi"/>
                <w:color w:val="000000" w:themeColor="text1"/>
                <w:sz w:val="21"/>
                <w:szCs w:val="21"/>
              </w:rPr>
            </w:pPr>
            <w:r>
              <w:rPr>
                <w:rFonts w:asciiTheme="majorHAnsi" w:eastAsia="Calibri Light" w:hAnsiTheme="majorHAnsi" w:cstheme="majorBidi"/>
                <w:color w:val="000000" w:themeColor="text1"/>
                <w:sz w:val="21"/>
                <w:szCs w:val="21"/>
              </w:rPr>
              <w:t>Business, g</w:t>
            </w:r>
            <w:r w:rsidR="00BC4DB8" w:rsidRPr="0005244D">
              <w:rPr>
                <w:rFonts w:asciiTheme="majorHAnsi" w:eastAsia="Calibri Light" w:hAnsiTheme="majorHAnsi" w:cstheme="majorBidi"/>
                <w:color w:val="000000" w:themeColor="text1"/>
                <w:sz w:val="21"/>
                <w:szCs w:val="21"/>
              </w:rPr>
              <w:t>overnment, community org</w:t>
            </w:r>
            <w:r w:rsidR="00427E68">
              <w:rPr>
                <w:rFonts w:asciiTheme="majorHAnsi" w:eastAsia="Calibri Light" w:hAnsiTheme="majorHAnsi" w:cstheme="majorBidi"/>
                <w:color w:val="000000" w:themeColor="text1"/>
                <w:sz w:val="21"/>
                <w:szCs w:val="21"/>
              </w:rPr>
              <w:t>s</w:t>
            </w:r>
            <w:r w:rsidR="00D237E2">
              <w:rPr>
                <w:rFonts w:asciiTheme="majorHAnsi" w:eastAsia="Calibri Light" w:hAnsiTheme="majorHAnsi" w:cstheme="majorBidi"/>
                <w:color w:val="000000" w:themeColor="text1"/>
                <w:sz w:val="21"/>
                <w:szCs w:val="21"/>
              </w:rPr>
              <w:t>,</w:t>
            </w:r>
            <w:r w:rsidR="00BC4DB8" w:rsidRPr="0005244D">
              <w:rPr>
                <w:rFonts w:asciiTheme="majorHAnsi" w:eastAsia="Calibri Light" w:hAnsiTheme="majorHAnsi" w:cstheme="majorBidi"/>
                <w:color w:val="000000" w:themeColor="text1"/>
                <w:sz w:val="21"/>
                <w:szCs w:val="21"/>
              </w:rPr>
              <w:t xml:space="preserve"> and </w:t>
            </w:r>
            <w:r w:rsidR="00B6744A">
              <w:rPr>
                <w:rFonts w:asciiTheme="majorHAnsi" w:eastAsia="Calibri Light" w:hAnsiTheme="majorHAnsi" w:cstheme="majorBidi"/>
                <w:color w:val="000000" w:themeColor="text1"/>
                <w:sz w:val="21"/>
                <w:szCs w:val="21"/>
              </w:rPr>
              <w:t>indiv</w:t>
            </w:r>
            <w:r w:rsidR="00654E98">
              <w:rPr>
                <w:rFonts w:asciiTheme="majorHAnsi" w:eastAsia="Calibri Light" w:hAnsiTheme="majorHAnsi" w:cstheme="majorBidi"/>
                <w:color w:val="000000" w:themeColor="text1"/>
                <w:sz w:val="21"/>
                <w:szCs w:val="21"/>
              </w:rPr>
              <w:t>iduals</w:t>
            </w:r>
            <w:r w:rsidR="00BC4DB8" w:rsidRPr="0005244D">
              <w:rPr>
                <w:rFonts w:asciiTheme="majorHAnsi" w:eastAsia="Calibri Light" w:hAnsiTheme="majorHAnsi" w:cstheme="majorBidi"/>
                <w:color w:val="000000" w:themeColor="text1"/>
                <w:sz w:val="21"/>
                <w:szCs w:val="21"/>
              </w:rPr>
              <w:t xml:space="preserve"> </w:t>
            </w:r>
            <w:r w:rsidR="00654E98">
              <w:rPr>
                <w:rFonts w:asciiTheme="majorHAnsi" w:eastAsia="Calibri Light" w:hAnsiTheme="majorHAnsi" w:cstheme="majorBidi"/>
                <w:color w:val="000000" w:themeColor="text1"/>
                <w:sz w:val="21"/>
                <w:szCs w:val="21"/>
              </w:rPr>
              <w:t>collaborat</w:t>
            </w:r>
            <w:r w:rsidR="00427E68">
              <w:rPr>
                <w:rFonts w:asciiTheme="majorHAnsi" w:eastAsia="Calibri Light" w:hAnsiTheme="majorHAnsi" w:cstheme="majorBidi"/>
                <w:color w:val="000000" w:themeColor="text1"/>
                <w:sz w:val="21"/>
                <w:szCs w:val="21"/>
              </w:rPr>
              <w:t>e</w:t>
            </w:r>
            <w:r w:rsidR="00654E98">
              <w:rPr>
                <w:rFonts w:asciiTheme="majorHAnsi" w:eastAsia="Calibri Light" w:hAnsiTheme="majorHAnsi" w:cstheme="majorBidi"/>
                <w:color w:val="000000" w:themeColor="text1"/>
                <w:sz w:val="21"/>
                <w:szCs w:val="21"/>
              </w:rPr>
              <w:t xml:space="preserve"> to</w:t>
            </w:r>
            <w:r w:rsidR="00BC4DB8" w:rsidRPr="0005244D">
              <w:rPr>
                <w:rFonts w:asciiTheme="majorHAnsi" w:eastAsia="Calibri Light" w:hAnsiTheme="majorHAnsi" w:cstheme="majorBidi"/>
                <w:color w:val="000000" w:themeColor="text1"/>
                <w:sz w:val="21"/>
                <w:szCs w:val="21"/>
              </w:rPr>
              <w:t xml:space="preserve"> </w:t>
            </w:r>
            <w:r>
              <w:rPr>
                <w:rFonts w:asciiTheme="majorHAnsi" w:eastAsia="Calibri Light" w:hAnsiTheme="majorHAnsi" w:cstheme="majorBidi"/>
                <w:color w:val="000000" w:themeColor="text1"/>
                <w:sz w:val="21"/>
                <w:szCs w:val="21"/>
              </w:rPr>
              <w:t>tackle</w:t>
            </w:r>
            <w:r w:rsidR="00BC4DB8" w:rsidRPr="0005244D">
              <w:rPr>
                <w:rFonts w:asciiTheme="majorHAnsi" w:eastAsia="Calibri Light" w:hAnsiTheme="majorHAnsi" w:cstheme="majorBidi"/>
                <w:color w:val="000000" w:themeColor="text1"/>
                <w:sz w:val="21"/>
                <w:szCs w:val="21"/>
              </w:rPr>
              <w:t xml:space="preserve"> disadvantage</w:t>
            </w:r>
            <w:r w:rsidR="00545B53">
              <w:rPr>
                <w:rFonts w:asciiTheme="majorHAnsi" w:eastAsia="Calibri Light" w:hAnsiTheme="majorHAnsi" w:cstheme="majorBidi"/>
                <w:sz w:val="21"/>
                <w:szCs w:val="21"/>
              </w:rPr>
              <w:t xml:space="preserve"> and create </w:t>
            </w:r>
            <w:r w:rsidR="00BC4DB8" w:rsidRPr="0005244D">
              <w:rPr>
                <w:rFonts w:asciiTheme="majorHAnsi" w:eastAsia="Calibri Light" w:hAnsiTheme="majorHAnsi" w:cstheme="majorBidi"/>
                <w:color w:val="000000" w:themeColor="text1"/>
                <w:sz w:val="21"/>
                <w:szCs w:val="21"/>
              </w:rPr>
              <w:t xml:space="preserve">new jobs </w:t>
            </w:r>
            <w:r w:rsidR="000768FB">
              <w:rPr>
                <w:rFonts w:asciiTheme="majorHAnsi" w:eastAsia="Calibri Light" w:hAnsiTheme="majorHAnsi" w:cstheme="majorBidi"/>
                <w:color w:val="000000" w:themeColor="text1"/>
                <w:sz w:val="21"/>
                <w:szCs w:val="21"/>
              </w:rPr>
              <w:t>via:</w:t>
            </w:r>
          </w:p>
          <w:p w14:paraId="2CA0E98A" w14:textId="401EC833" w:rsidR="000768FB" w:rsidRPr="00FC726C" w:rsidRDefault="00BC4DB8" w:rsidP="00364C5D">
            <w:pPr>
              <w:pStyle w:val="ListParagraph"/>
              <w:numPr>
                <w:ilvl w:val="0"/>
                <w:numId w:val="84"/>
              </w:numPr>
              <w:spacing w:after="0" w:line="240" w:lineRule="auto"/>
              <w:rPr>
                <w:rFonts w:asciiTheme="majorHAnsi" w:eastAsia="Calibri Light" w:hAnsiTheme="majorHAnsi" w:cstheme="majorBidi"/>
                <w:color w:val="000000" w:themeColor="text1"/>
                <w:sz w:val="21"/>
                <w:szCs w:val="21"/>
              </w:rPr>
            </w:pPr>
            <w:r w:rsidRPr="00FC726C">
              <w:rPr>
                <w:rFonts w:asciiTheme="majorHAnsi" w:eastAsia="Calibri Light" w:hAnsiTheme="majorHAnsi" w:cstheme="majorBidi"/>
                <w:color w:val="000000" w:themeColor="text1"/>
                <w:sz w:val="21"/>
                <w:szCs w:val="21"/>
              </w:rPr>
              <w:t>social procurement</w:t>
            </w:r>
            <w:r w:rsidR="000768FB" w:rsidRPr="00FC726C">
              <w:rPr>
                <w:rFonts w:asciiTheme="majorHAnsi" w:eastAsia="Calibri Light" w:hAnsiTheme="majorHAnsi" w:cstheme="majorBidi"/>
                <w:color w:val="000000" w:themeColor="text1"/>
                <w:sz w:val="21"/>
                <w:szCs w:val="21"/>
              </w:rPr>
              <w:t xml:space="preserve"> (</w:t>
            </w:r>
            <w:r w:rsidR="009E23B9">
              <w:rPr>
                <w:rFonts w:asciiTheme="majorHAnsi" w:eastAsia="Calibri Light" w:hAnsiTheme="majorHAnsi" w:cstheme="majorBidi"/>
                <w:color w:val="000000" w:themeColor="text1"/>
                <w:sz w:val="21"/>
                <w:szCs w:val="21"/>
              </w:rPr>
              <w:t>promote purchase of</w:t>
            </w:r>
            <w:r w:rsidR="000768FB" w:rsidRPr="00FC726C">
              <w:rPr>
                <w:rFonts w:asciiTheme="majorHAnsi" w:eastAsia="Calibri Light" w:hAnsiTheme="majorHAnsi" w:cstheme="majorBidi"/>
                <w:color w:val="000000" w:themeColor="text1"/>
                <w:sz w:val="21"/>
                <w:szCs w:val="21"/>
              </w:rPr>
              <w:t xml:space="preserve"> goods and services that </w:t>
            </w:r>
            <w:r w:rsidR="00654E98">
              <w:rPr>
                <w:rFonts w:asciiTheme="majorHAnsi" w:eastAsia="Calibri Light" w:hAnsiTheme="majorHAnsi" w:cstheme="majorBidi"/>
                <w:color w:val="000000" w:themeColor="text1"/>
                <w:sz w:val="21"/>
                <w:szCs w:val="21"/>
              </w:rPr>
              <w:t xml:space="preserve">contribute </w:t>
            </w:r>
            <w:r w:rsidR="000768FB" w:rsidRPr="00FC726C">
              <w:rPr>
                <w:rFonts w:asciiTheme="majorHAnsi" w:eastAsia="Calibri Light" w:hAnsiTheme="majorHAnsi" w:cstheme="majorBidi"/>
                <w:color w:val="000000" w:themeColor="text1"/>
                <w:sz w:val="21"/>
                <w:szCs w:val="21"/>
              </w:rPr>
              <w:t>to the local community</w:t>
            </w:r>
            <w:r w:rsidRPr="00FC726C">
              <w:rPr>
                <w:rFonts w:asciiTheme="majorHAnsi" w:eastAsia="Calibri Light" w:hAnsiTheme="majorHAnsi" w:cstheme="majorBidi"/>
                <w:color w:val="000000" w:themeColor="text1"/>
                <w:sz w:val="21"/>
                <w:szCs w:val="21"/>
              </w:rPr>
              <w:t>)</w:t>
            </w:r>
          </w:p>
          <w:p w14:paraId="58CAD1F5" w14:textId="5DEB05FB" w:rsidR="000768FB" w:rsidRPr="00FC726C" w:rsidRDefault="000768FB" w:rsidP="00364C5D">
            <w:pPr>
              <w:pStyle w:val="ListParagraph"/>
              <w:numPr>
                <w:ilvl w:val="0"/>
                <w:numId w:val="84"/>
              </w:numPr>
              <w:spacing w:after="0" w:line="240" w:lineRule="auto"/>
              <w:rPr>
                <w:rFonts w:asciiTheme="majorHAnsi" w:eastAsia="Calibri Light" w:hAnsiTheme="majorHAnsi" w:cstheme="majorBidi"/>
                <w:color w:val="000000" w:themeColor="text1"/>
                <w:sz w:val="21"/>
                <w:szCs w:val="21"/>
              </w:rPr>
            </w:pPr>
            <w:r w:rsidRPr="00FC726C">
              <w:rPr>
                <w:rFonts w:asciiTheme="majorHAnsi" w:eastAsia="Calibri Light" w:hAnsiTheme="majorHAnsi" w:cstheme="majorBidi"/>
                <w:color w:val="000000" w:themeColor="text1"/>
                <w:sz w:val="21"/>
                <w:szCs w:val="21"/>
              </w:rPr>
              <w:t xml:space="preserve">impact investment: </w:t>
            </w:r>
            <w:r w:rsidR="00BC4DB8" w:rsidRPr="00FC726C">
              <w:rPr>
                <w:rFonts w:asciiTheme="majorHAnsi" w:eastAsia="Calibri Light" w:hAnsiTheme="majorHAnsi" w:cstheme="majorBidi"/>
                <w:color w:val="000000" w:themeColor="text1"/>
                <w:sz w:val="21"/>
                <w:szCs w:val="21"/>
              </w:rPr>
              <w:t>inject capital into businesses and not-for-profit enterprises in target communities</w:t>
            </w:r>
          </w:p>
          <w:p w14:paraId="61B9C8AC" w14:textId="77777777" w:rsidR="00BC4DB8" w:rsidRPr="00110F3E" w:rsidRDefault="000768FB" w:rsidP="00364C5D">
            <w:pPr>
              <w:pStyle w:val="ListParagraph"/>
              <w:numPr>
                <w:ilvl w:val="0"/>
                <w:numId w:val="84"/>
              </w:numPr>
              <w:spacing w:after="0" w:line="240" w:lineRule="auto"/>
              <w:rPr>
                <w:rFonts w:asciiTheme="majorHAnsi" w:eastAsia="Calibri Light" w:hAnsiTheme="majorHAnsi" w:cstheme="majorHAnsi"/>
                <w:b/>
                <w:bCs/>
                <w:sz w:val="21"/>
                <w:szCs w:val="21"/>
              </w:rPr>
            </w:pPr>
            <w:r w:rsidRPr="00FC726C">
              <w:rPr>
                <w:rFonts w:asciiTheme="majorHAnsi" w:eastAsia="Calibri Light" w:hAnsiTheme="majorHAnsi" w:cstheme="majorBidi"/>
                <w:color w:val="000000" w:themeColor="text1"/>
                <w:sz w:val="21"/>
                <w:szCs w:val="21"/>
              </w:rPr>
              <w:t xml:space="preserve">demand-led employment: </w:t>
            </w:r>
            <w:r w:rsidR="00BC4DB8" w:rsidRPr="00FC726C">
              <w:rPr>
                <w:rFonts w:asciiTheme="majorHAnsi" w:eastAsia="Calibri Light" w:hAnsiTheme="majorHAnsi" w:cstheme="majorBidi"/>
                <w:color w:val="000000" w:themeColor="text1"/>
                <w:sz w:val="21"/>
                <w:szCs w:val="21"/>
              </w:rPr>
              <w:t xml:space="preserve">match new jobs with </w:t>
            </w:r>
            <w:r w:rsidRPr="00FC726C">
              <w:rPr>
                <w:rFonts w:asciiTheme="majorHAnsi" w:eastAsia="Calibri Light" w:hAnsiTheme="majorHAnsi" w:cstheme="majorBidi"/>
                <w:color w:val="000000" w:themeColor="text1"/>
                <w:sz w:val="21"/>
                <w:szCs w:val="21"/>
              </w:rPr>
              <w:t>workers trained</w:t>
            </w:r>
            <w:r w:rsidR="00BC4DB8" w:rsidRPr="00FC726C">
              <w:rPr>
                <w:rFonts w:asciiTheme="majorHAnsi" w:eastAsia="Calibri Light" w:hAnsiTheme="majorHAnsi" w:cstheme="majorBidi"/>
                <w:color w:val="000000" w:themeColor="text1"/>
                <w:sz w:val="21"/>
                <w:szCs w:val="21"/>
              </w:rPr>
              <w:t xml:space="preserve"> and supported to meet</w:t>
            </w:r>
            <w:r w:rsidRPr="00FC726C">
              <w:rPr>
                <w:rFonts w:asciiTheme="majorHAnsi" w:eastAsia="Calibri Light" w:hAnsiTheme="majorHAnsi" w:cstheme="majorBidi"/>
                <w:color w:val="000000" w:themeColor="text1"/>
                <w:sz w:val="21"/>
                <w:szCs w:val="21"/>
              </w:rPr>
              <w:t xml:space="preserve"> </w:t>
            </w:r>
            <w:r w:rsidR="00BC4DB8" w:rsidRPr="00FC726C">
              <w:rPr>
                <w:rFonts w:asciiTheme="majorHAnsi" w:eastAsia="Calibri Light" w:hAnsiTheme="majorHAnsi" w:cstheme="majorBidi"/>
                <w:color w:val="000000" w:themeColor="text1"/>
                <w:sz w:val="21"/>
                <w:szCs w:val="21"/>
              </w:rPr>
              <w:t>employers’ needs</w:t>
            </w:r>
            <w:r w:rsidR="00B6744A">
              <w:rPr>
                <w:rFonts w:asciiTheme="majorHAnsi" w:eastAsia="Calibri Light" w:hAnsiTheme="majorHAnsi" w:cstheme="majorBidi"/>
                <w:color w:val="000000" w:themeColor="text1"/>
                <w:sz w:val="21"/>
                <w:szCs w:val="21"/>
              </w:rPr>
              <w:t xml:space="preserve"> (</w:t>
            </w:r>
            <w:r w:rsidR="00BC4DB8" w:rsidRPr="00FC726C">
              <w:rPr>
                <w:rFonts w:asciiTheme="majorHAnsi" w:eastAsia="Calibri Light" w:hAnsiTheme="majorHAnsi" w:cstheme="majorBidi"/>
                <w:color w:val="000000" w:themeColor="text1"/>
                <w:sz w:val="21"/>
                <w:szCs w:val="21"/>
              </w:rPr>
              <w:t>including jobseekers</w:t>
            </w:r>
            <w:r w:rsidR="00B6744A">
              <w:rPr>
                <w:rFonts w:asciiTheme="majorHAnsi" w:eastAsia="Calibri Light" w:hAnsiTheme="majorHAnsi" w:cstheme="majorBidi"/>
                <w:color w:val="000000" w:themeColor="text1"/>
                <w:sz w:val="21"/>
                <w:szCs w:val="21"/>
              </w:rPr>
              <w:t xml:space="preserve"> </w:t>
            </w:r>
            <w:r w:rsidR="00BC4DB8" w:rsidRPr="00FC726C">
              <w:rPr>
                <w:rFonts w:asciiTheme="majorHAnsi" w:eastAsia="Calibri Light" w:hAnsiTheme="majorHAnsi" w:cstheme="majorBidi"/>
                <w:color w:val="000000" w:themeColor="text1"/>
                <w:sz w:val="21"/>
                <w:szCs w:val="21"/>
              </w:rPr>
              <w:t>excluded from workforce</w:t>
            </w:r>
            <w:r w:rsidR="00B6744A">
              <w:rPr>
                <w:rFonts w:asciiTheme="majorHAnsi" w:eastAsia="Calibri Light" w:hAnsiTheme="majorHAnsi" w:cstheme="majorBidi"/>
                <w:color w:val="000000" w:themeColor="text1"/>
                <w:sz w:val="21"/>
                <w:szCs w:val="21"/>
              </w:rPr>
              <w:t>)</w:t>
            </w:r>
          </w:p>
          <w:p w14:paraId="7D7BE8CE" w14:textId="73B78016" w:rsidR="00110F3E" w:rsidRPr="00110F3E" w:rsidRDefault="00110F3E" w:rsidP="00110F3E">
            <w:pPr>
              <w:spacing w:after="0" w:line="240" w:lineRule="auto"/>
              <w:ind w:left="57"/>
              <w:rPr>
                <w:rFonts w:asciiTheme="majorHAnsi" w:eastAsia="Calibri Light" w:hAnsiTheme="majorHAnsi" w:cstheme="majorHAnsi"/>
                <w:b/>
                <w:bCs/>
                <w:sz w:val="12"/>
                <w:szCs w:val="12"/>
              </w:rPr>
            </w:pPr>
          </w:p>
        </w:tc>
        <w:tc>
          <w:tcPr>
            <w:tcW w:w="7371" w:type="dxa"/>
          </w:tcPr>
          <w:p w14:paraId="3F45B50F" w14:textId="77777777" w:rsidR="00427E68" w:rsidRPr="00427E68" w:rsidRDefault="00427E68" w:rsidP="00D237E2">
            <w:pPr>
              <w:spacing w:after="0" w:line="240" w:lineRule="auto"/>
              <w:rPr>
                <w:rFonts w:asciiTheme="majorHAnsi" w:eastAsia="Calibri Light" w:hAnsiTheme="majorHAnsi" w:cstheme="majorHAnsi"/>
                <w:sz w:val="12"/>
                <w:szCs w:val="12"/>
              </w:rPr>
            </w:pPr>
          </w:p>
          <w:p w14:paraId="32B94A94" w14:textId="703FE4B3" w:rsidR="00D237E2" w:rsidRDefault="00D237E2" w:rsidP="00D237E2">
            <w:pPr>
              <w:spacing w:after="0" w:line="240" w:lineRule="auto"/>
              <w:rPr>
                <w:rFonts w:asciiTheme="majorHAnsi" w:eastAsia="Calibri Light" w:hAnsiTheme="majorHAnsi" w:cstheme="majorHAnsi"/>
                <w:color w:val="000000" w:themeColor="text1"/>
                <w:sz w:val="21"/>
                <w:szCs w:val="21"/>
              </w:rPr>
            </w:pPr>
            <w:r w:rsidRPr="0005244D">
              <w:rPr>
                <w:rFonts w:asciiTheme="majorHAnsi" w:eastAsia="Calibri Light" w:hAnsiTheme="majorHAnsi" w:cstheme="majorHAnsi"/>
                <w:sz w:val="21"/>
                <w:szCs w:val="21"/>
              </w:rPr>
              <w:t>GROW works with organisations like Northern Futures in</w:t>
            </w:r>
            <w:r w:rsidRPr="0005244D">
              <w:rPr>
                <w:rFonts w:asciiTheme="majorHAnsi" w:eastAsia="Calibri Light" w:hAnsiTheme="majorHAnsi" w:cstheme="majorHAnsi"/>
                <w:color w:val="000000" w:themeColor="text1"/>
                <w:sz w:val="21"/>
                <w:szCs w:val="21"/>
              </w:rPr>
              <w:t xml:space="preserve"> areas of high unemployment including Colac, </w:t>
            </w:r>
            <w:r>
              <w:rPr>
                <w:rFonts w:asciiTheme="majorHAnsi" w:eastAsia="Calibri Light" w:hAnsiTheme="majorHAnsi" w:cstheme="majorHAnsi"/>
                <w:color w:val="000000" w:themeColor="text1"/>
                <w:sz w:val="21"/>
                <w:szCs w:val="21"/>
              </w:rPr>
              <w:t>Corio, Norlane,</w:t>
            </w:r>
            <w:r w:rsidRPr="0005244D">
              <w:rPr>
                <w:rFonts w:asciiTheme="majorHAnsi" w:eastAsia="Calibri Light" w:hAnsiTheme="majorHAnsi" w:cstheme="majorHAnsi"/>
                <w:color w:val="000000" w:themeColor="text1"/>
                <w:sz w:val="21"/>
                <w:szCs w:val="21"/>
              </w:rPr>
              <w:t xml:space="preserve"> and Whittington</w:t>
            </w:r>
          </w:p>
          <w:p w14:paraId="10D56851" w14:textId="660FB42E" w:rsidR="0090312F" w:rsidRDefault="0090312F" w:rsidP="00D237E2">
            <w:pPr>
              <w:spacing w:after="0" w:line="240" w:lineRule="auto"/>
              <w:rPr>
                <w:rFonts w:asciiTheme="majorHAnsi" w:eastAsia="Calibri Light" w:hAnsiTheme="majorHAnsi" w:cstheme="majorHAnsi"/>
                <w:color w:val="000000" w:themeColor="text1"/>
                <w:sz w:val="21"/>
                <w:szCs w:val="21"/>
              </w:rPr>
            </w:pPr>
          </w:p>
          <w:p w14:paraId="159F2099" w14:textId="77777777" w:rsidR="00BC4DB8" w:rsidRDefault="00BC4DB8" w:rsidP="009E23B9">
            <w:pPr>
              <w:spacing w:after="0" w:line="240" w:lineRule="auto"/>
              <w:rPr>
                <w:rFonts w:asciiTheme="majorHAnsi" w:eastAsia="Calibri Light" w:hAnsiTheme="majorHAnsi" w:cstheme="majorHAnsi"/>
                <w:sz w:val="21"/>
                <w:szCs w:val="21"/>
              </w:rPr>
            </w:pPr>
          </w:p>
        </w:tc>
      </w:tr>
      <w:tr w:rsidR="00BC4DB8" w:rsidRPr="0005244D" w14:paraId="45BA18A4" w14:textId="77777777" w:rsidTr="00BC4DB8">
        <w:tc>
          <w:tcPr>
            <w:tcW w:w="14591" w:type="dxa"/>
            <w:gridSpan w:val="3"/>
            <w:shd w:val="clear" w:color="auto" w:fill="F2F2F2" w:themeFill="background1" w:themeFillShade="F2"/>
          </w:tcPr>
          <w:p w14:paraId="22382E58" w14:textId="77777777" w:rsidR="00BC4DB8" w:rsidRPr="00BC4DB8" w:rsidRDefault="00BC4DB8" w:rsidP="00414A3B">
            <w:pPr>
              <w:spacing w:after="0" w:line="240" w:lineRule="auto"/>
              <w:rPr>
                <w:rFonts w:eastAsia="Times New Roman" w:cstheme="minorHAnsi"/>
                <w:b/>
                <w:sz w:val="8"/>
                <w:szCs w:val="8"/>
              </w:rPr>
            </w:pPr>
          </w:p>
          <w:p w14:paraId="75A29813" w14:textId="64E2DBC7" w:rsidR="00BC4DB8" w:rsidRDefault="007C1A24" w:rsidP="00414A3B">
            <w:pPr>
              <w:spacing w:after="0" w:line="240" w:lineRule="auto"/>
              <w:rPr>
                <w:rFonts w:eastAsia="Times New Roman" w:cstheme="minorHAnsi"/>
                <w:b/>
                <w:sz w:val="21"/>
                <w:szCs w:val="21"/>
              </w:rPr>
            </w:pPr>
            <w:r w:rsidRPr="00BC4DB8">
              <w:rPr>
                <w:rFonts w:eastAsia="Times New Roman" w:cstheme="minorHAnsi"/>
                <w:b/>
                <w:sz w:val="21"/>
                <w:szCs w:val="21"/>
              </w:rPr>
              <w:t>CITY-WIDE: SPECIFIC GROUPS</w:t>
            </w:r>
          </w:p>
          <w:p w14:paraId="508CD451" w14:textId="60569BC4" w:rsidR="00BC4DB8" w:rsidRPr="00EC698D" w:rsidRDefault="00BC4DB8" w:rsidP="00414A3B">
            <w:pPr>
              <w:spacing w:after="0" w:line="240" w:lineRule="auto"/>
              <w:rPr>
                <w:rFonts w:cstheme="minorHAnsi"/>
                <w:sz w:val="12"/>
                <w:szCs w:val="12"/>
              </w:rPr>
            </w:pPr>
          </w:p>
        </w:tc>
      </w:tr>
      <w:tr w:rsidR="00BC4DB8" w:rsidRPr="0005244D" w14:paraId="6F955FE5" w14:textId="77777777" w:rsidTr="00BD6662">
        <w:tc>
          <w:tcPr>
            <w:tcW w:w="1696" w:type="dxa"/>
          </w:tcPr>
          <w:p w14:paraId="2B405F65" w14:textId="77777777" w:rsidR="005D0ECB" w:rsidRPr="005D0ECB" w:rsidRDefault="005D0ECB" w:rsidP="005D0ECB">
            <w:pPr>
              <w:spacing w:after="0" w:line="240" w:lineRule="auto"/>
              <w:rPr>
                <w:rFonts w:eastAsia="Times New Roman" w:cstheme="minorHAnsi"/>
                <w:b/>
                <w:bCs/>
                <w:iCs/>
                <w:sz w:val="12"/>
                <w:szCs w:val="12"/>
              </w:rPr>
            </w:pPr>
          </w:p>
          <w:p w14:paraId="6F02C1E6" w14:textId="1B79D07F" w:rsidR="005D0ECB" w:rsidRPr="005D0ECB" w:rsidRDefault="005D0ECB" w:rsidP="005D0ECB">
            <w:pPr>
              <w:spacing w:after="0" w:line="240" w:lineRule="auto"/>
              <w:rPr>
                <w:rFonts w:eastAsia="Times New Roman" w:cstheme="minorHAnsi"/>
                <w:b/>
                <w:bCs/>
                <w:iCs/>
                <w:sz w:val="21"/>
                <w:szCs w:val="21"/>
              </w:rPr>
            </w:pPr>
            <w:r w:rsidRPr="005D0ECB">
              <w:rPr>
                <w:rFonts w:eastAsia="Times New Roman" w:cstheme="minorHAnsi"/>
                <w:b/>
                <w:bCs/>
                <w:iCs/>
                <w:sz w:val="21"/>
                <w:szCs w:val="21"/>
              </w:rPr>
              <w:t>Multicultural Action Plan</w:t>
            </w:r>
          </w:p>
          <w:p w14:paraId="71D3A348" w14:textId="77777777" w:rsidR="005D0ECB" w:rsidRDefault="005D0ECB" w:rsidP="005D0ECB">
            <w:pPr>
              <w:spacing w:after="0" w:line="240" w:lineRule="auto"/>
              <w:rPr>
                <w:rFonts w:asciiTheme="majorHAnsi" w:eastAsia="Times New Roman" w:hAnsiTheme="majorHAnsi" w:cstheme="majorBidi"/>
                <w:iCs/>
                <w:sz w:val="21"/>
                <w:szCs w:val="21"/>
              </w:rPr>
            </w:pPr>
            <w:r w:rsidRPr="005D0ECB">
              <w:rPr>
                <w:rFonts w:asciiTheme="majorHAnsi" w:eastAsia="Times New Roman" w:hAnsiTheme="majorHAnsi" w:cstheme="majorBidi"/>
                <w:iCs/>
                <w:sz w:val="21"/>
                <w:szCs w:val="21"/>
              </w:rPr>
              <w:t>(City of Greater Geelong,</w:t>
            </w:r>
          </w:p>
          <w:p w14:paraId="3E3CDCA7" w14:textId="53B2BD60" w:rsidR="005D0ECB" w:rsidRPr="005D0ECB" w:rsidRDefault="005D0ECB" w:rsidP="005D0ECB">
            <w:pPr>
              <w:spacing w:after="0" w:line="240" w:lineRule="auto"/>
              <w:rPr>
                <w:rFonts w:asciiTheme="majorHAnsi" w:hAnsiTheme="majorHAnsi" w:cstheme="majorBidi"/>
                <w:iCs/>
                <w:sz w:val="21"/>
                <w:szCs w:val="21"/>
              </w:rPr>
            </w:pPr>
            <w:r w:rsidRPr="005D0ECB">
              <w:rPr>
                <w:rFonts w:asciiTheme="majorHAnsi" w:eastAsia="Times New Roman" w:hAnsiTheme="majorHAnsi" w:cstheme="majorBidi"/>
                <w:iCs/>
                <w:sz w:val="21"/>
                <w:szCs w:val="21"/>
              </w:rPr>
              <w:t>2011</w:t>
            </w:r>
            <w:r>
              <w:rPr>
                <w:rFonts w:asciiTheme="majorHAnsi" w:eastAsia="Times New Roman" w:hAnsiTheme="majorHAnsi" w:cstheme="majorBidi"/>
                <w:iCs/>
                <w:sz w:val="21"/>
                <w:szCs w:val="21"/>
              </w:rPr>
              <w:t>–</w:t>
            </w:r>
            <w:r w:rsidRPr="005D0ECB">
              <w:rPr>
                <w:rFonts w:asciiTheme="majorHAnsi" w:eastAsia="Times New Roman" w:hAnsiTheme="majorHAnsi" w:cstheme="majorBidi"/>
                <w:iCs/>
                <w:sz w:val="21"/>
                <w:szCs w:val="21"/>
              </w:rPr>
              <w:t>2014)</w:t>
            </w:r>
          </w:p>
          <w:p w14:paraId="67A62B50" w14:textId="3A87EF1E" w:rsidR="00BC4DB8" w:rsidRPr="00110F3E" w:rsidRDefault="005D0ECB"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tc>
        <w:tc>
          <w:tcPr>
            <w:tcW w:w="5524" w:type="dxa"/>
          </w:tcPr>
          <w:p w14:paraId="3116901D" w14:textId="77777777" w:rsidR="00EC698D" w:rsidRPr="00EC698D" w:rsidRDefault="00EC698D" w:rsidP="005D0ECB">
            <w:pPr>
              <w:spacing w:after="0" w:line="240" w:lineRule="auto"/>
              <w:rPr>
                <w:rFonts w:asciiTheme="majorHAnsi" w:eastAsia="Calibri Light" w:hAnsiTheme="majorHAnsi" w:cstheme="majorBidi"/>
                <w:sz w:val="12"/>
                <w:szCs w:val="12"/>
              </w:rPr>
            </w:pPr>
          </w:p>
          <w:p w14:paraId="3CB32BEE" w14:textId="14DE595A" w:rsidR="005D0ECB" w:rsidRPr="0005244D" w:rsidRDefault="005D0ECB" w:rsidP="005D0ECB">
            <w:pPr>
              <w:spacing w:after="0" w:line="240" w:lineRule="auto"/>
              <w:rPr>
                <w:rFonts w:asciiTheme="majorHAnsi" w:hAnsiTheme="majorHAnsi" w:cstheme="majorBidi"/>
                <w:sz w:val="21"/>
                <w:szCs w:val="21"/>
              </w:rPr>
            </w:pPr>
            <w:r w:rsidRPr="0005244D">
              <w:rPr>
                <w:rFonts w:asciiTheme="majorHAnsi" w:eastAsia="Calibri Light" w:hAnsiTheme="majorHAnsi" w:cstheme="majorBidi"/>
                <w:sz w:val="21"/>
                <w:szCs w:val="21"/>
              </w:rPr>
              <w:t>Ended in 2014</w:t>
            </w:r>
            <w:r w:rsidR="00EC698D">
              <w:rPr>
                <w:rFonts w:asciiTheme="majorHAnsi" w:eastAsia="Calibri Light" w:hAnsiTheme="majorHAnsi" w:cstheme="majorBidi"/>
                <w:sz w:val="21"/>
                <w:szCs w:val="21"/>
              </w:rPr>
              <w:t>. R</w:t>
            </w:r>
            <w:r w:rsidRPr="0005244D">
              <w:rPr>
                <w:rFonts w:asciiTheme="majorHAnsi" w:eastAsia="Calibri Light" w:hAnsiTheme="majorHAnsi" w:cstheme="majorBidi"/>
                <w:sz w:val="21"/>
                <w:szCs w:val="21"/>
              </w:rPr>
              <w:t>eplaced by a Diversity policy (2010), City Plan</w:t>
            </w:r>
            <w:r w:rsidR="00EC698D">
              <w:rPr>
                <w:rFonts w:asciiTheme="majorHAnsi" w:eastAsia="Calibri Light" w:hAnsiTheme="majorHAnsi" w:cstheme="majorBidi"/>
                <w:sz w:val="21"/>
                <w:szCs w:val="21"/>
              </w:rPr>
              <w:t>,</w:t>
            </w:r>
            <w:r w:rsidRPr="0005244D">
              <w:rPr>
                <w:rFonts w:asciiTheme="majorHAnsi" w:eastAsia="Calibri Light" w:hAnsiTheme="majorHAnsi" w:cstheme="majorBidi"/>
                <w:sz w:val="21"/>
                <w:szCs w:val="21"/>
              </w:rPr>
              <w:t xml:space="preserve"> and Municipal Public Health and Well</w:t>
            </w:r>
            <w:r w:rsidR="00EC698D">
              <w:rPr>
                <w:rFonts w:asciiTheme="majorHAnsi" w:eastAsia="Calibri Light" w:hAnsiTheme="majorHAnsi" w:cstheme="majorBidi"/>
                <w:sz w:val="21"/>
                <w:szCs w:val="21"/>
              </w:rPr>
              <w:t>-</w:t>
            </w:r>
            <w:r w:rsidRPr="0005244D">
              <w:rPr>
                <w:rFonts w:asciiTheme="majorHAnsi" w:eastAsia="Calibri Light" w:hAnsiTheme="majorHAnsi" w:cstheme="majorBidi"/>
                <w:sz w:val="21"/>
                <w:szCs w:val="21"/>
              </w:rPr>
              <w:t>Being Plan</w:t>
            </w:r>
          </w:p>
          <w:p w14:paraId="6CD87D18" w14:textId="77777777" w:rsidR="00BC4DB8" w:rsidRPr="0005244D" w:rsidRDefault="00BC4DB8" w:rsidP="0005244D">
            <w:pPr>
              <w:spacing w:after="0" w:line="240" w:lineRule="auto"/>
              <w:rPr>
                <w:rFonts w:asciiTheme="majorHAnsi" w:eastAsia="Calibri Light" w:hAnsiTheme="majorHAnsi" w:cstheme="majorHAnsi"/>
                <w:b/>
                <w:bCs/>
                <w:sz w:val="21"/>
                <w:szCs w:val="21"/>
              </w:rPr>
            </w:pPr>
          </w:p>
        </w:tc>
        <w:tc>
          <w:tcPr>
            <w:tcW w:w="7371" w:type="dxa"/>
          </w:tcPr>
          <w:p w14:paraId="2E9B3F76" w14:textId="77777777" w:rsidR="00EC698D" w:rsidRPr="00EC698D" w:rsidRDefault="00EC698D" w:rsidP="005D0ECB">
            <w:pPr>
              <w:spacing w:after="0" w:line="240" w:lineRule="auto"/>
              <w:rPr>
                <w:rFonts w:asciiTheme="majorHAnsi" w:eastAsia="Calibri Light" w:hAnsiTheme="majorHAnsi" w:cstheme="majorHAnsi"/>
                <w:sz w:val="12"/>
                <w:szCs w:val="12"/>
              </w:rPr>
            </w:pPr>
          </w:p>
          <w:p w14:paraId="1C0A938D" w14:textId="73FEE6C6" w:rsidR="005D0ECB" w:rsidRPr="0005244D" w:rsidRDefault="005D0ECB" w:rsidP="005D0ECB">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 xml:space="preserve">Diversitat </w:t>
            </w:r>
            <w:r w:rsidR="00EC698D">
              <w:rPr>
                <w:rFonts w:asciiTheme="majorHAnsi" w:eastAsia="Calibri Light" w:hAnsiTheme="majorHAnsi" w:cstheme="majorHAnsi"/>
                <w:sz w:val="21"/>
                <w:szCs w:val="21"/>
              </w:rPr>
              <w:t>(</w:t>
            </w:r>
            <w:r w:rsidRPr="0005244D">
              <w:rPr>
                <w:rFonts w:asciiTheme="majorHAnsi" w:eastAsia="Calibri Light" w:hAnsiTheme="majorHAnsi" w:cstheme="majorHAnsi"/>
                <w:sz w:val="21"/>
                <w:szCs w:val="21"/>
              </w:rPr>
              <w:t>Norlane</w:t>
            </w:r>
            <w:r w:rsidR="00EC698D">
              <w:rPr>
                <w:rFonts w:asciiTheme="majorHAnsi" w:eastAsia="Calibri Light" w:hAnsiTheme="majorHAnsi" w:cstheme="majorHAnsi"/>
                <w:sz w:val="21"/>
                <w:szCs w:val="21"/>
              </w:rPr>
              <w:t>)</w:t>
            </w:r>
            <w:r w:rsidRPr="0005244D">
              <w:rPr>
                <w:rFonts w:asciiTheme="majorHAnsi" w:eastAsia="Calibri Light" w:hAnsiTheme="majorHAnsi" w:cstheme="majorHAnsi"/>
                <w:sz w:val="21"/>
                <w:szCs w:val="21"/>
              </w:rPr>
              <w:t xml:space="preserve"> is supported by </w:t>
            </w:r>
            <w:r w:rsidR="001B7DDF">
              <w:rPr>
                <w:rFonts w:asciiTheme="majorHAnsi" w:eastAsia="Calibri Light" w:hAnsiTheme="majorHAnsi" w:cstheme="majorHAnsi"/>
                <w:sz w:val="21"/>
                <w:szCs w:val="21"/>
              </w:rPr>
              <w:t>COGG</w:t>
            </w:r>
            <w:r w:rsidR="00AE29EA">
              <w:rPr>
                <w:rFonts w:asciiTheme="majorHAnsi" w:eastAsia="Calibri Light" w:hAnsiTheme="majorHAnsi" w:cstheme="majorHAnsi"/>
                <w:sz w:val="21"/>
                <w:szCs w:val="21"/>
              </w:rPr>
              <w:t>.</w:t>
            </w:r>
            <w:r w:rsidRPr="0005244D">
              <w:rPr>
                <w:rFonts w:asciiTheme="majorHAnsi" w:eastAsia="Calibri Light" w:hAnsiTheme="majorHAnsi" w:cstheme="majorHAnsi"/>
                <w:sz w:val="21"/>
                <w:szCs w:val="21"/>
              </w:rPr>
              <w:t xml:space="preserve"> </w:t>
            </w:r>
            <w:r w:rsidR="00AE29EA">
              <w:rPr>
                <w:rFonts w:asciiTheme="majorHAnsi" w:eastAsia="Calibri Light" w:hAnsiTheme="majorHAnsi" w:cstheme="majorHAnsi"/>
                <w:sz w:val="21"/>
                <w:szCs w:val="21"/>
              </w:rPr>
              <w:t>D</w:t>
            </w:r>
            <w:r w:rsidRPr="0005244D">
              <w:rPr>
                <w:rFonts w:asciiTheme="majorHAnsi" w:eastAsia="Calibri Light" w:hAnsiTheme="majorHAnsi" w:cstheme="majorHAnsi"/>
                <w:sz w:val="21"/>
                <w:szCs w:val="21"/>
              </w:rPr>
              <w:t>edicated language, employment, settlement and other programs for migrants and refugees (</w:t>
            </w:r>
            <w:r w:rsidR="000A2671">
              <w:rPr>
                <w:rFonts w:asciiTheme="majorHAnsi" w:eastAsia="Calibri Light" w:hAnsiTheme="majorHAnsi" w:cstheme="majorHAnsi"/>
                <w:sz w:val="21"/>
                <w:szCs w:val="21"/>
              </w:rPr>
              <w:t>local and Geelong-wide</w:t>
            </w:r>
            <w:r w:rsidRPr="0005244D">
              <w:rPr>
                <w:rFonts w:asciiTheme="majorHAnsi" w:eastAsia="Calibri Light" w:hAnsiTheme="majorHAnsi" w:cstheme="majorHAnsi"/>
                <w:sz w:val="21"/>
                <w:szCs w:val="21"/>
              </w:rPr>
              <w:t>)</w:t>
            </w:r>
          </w:p>
          <w:p w14:paraId="4843E42D" w14:textId="77777777" w:rsidR="00BC4DB8" w:rsidRPr="0005244D" w:rsidRDefault="00BC4DB8" w:rsidP="0005244D">
            <w:pPr>
              <w:spacing w:after="0" w:line="240" w:lineRule="auto"/>
              <w:rPr>
                <w:rFonts w:asciiTheme="majorHAnsi" w:eastAsia="Calibri Light" w:hAnsiTheme="majorHAnsi" w:cstheme="majorHAnsi"/>
                <w:sz w:val="21"/>
                <w:szCs w:val="21"/>
              </w:rPr>
            </w:pPr>
          </w:p>
        </w:tc>
      </w:tr>
      <w:tr w:rsidR="00F00E3D" w:rsidRPr="0005244D" w14:paraId="3FAB99DD" w14:textId="77777777" w:rsidTr="00BD6662">
        <w:tc>
          <w:tcPr>
            <w:tcW w:w="1696" w:type="dxa"/>
          </w:tcPr>
          <w:p w14:paraId="72351420" w14:textId="77777777" w:rsidR="000A2671" w:rsidRPr="000A2671" w:rsidRDefault="000A2671" w:rsidP="0005244D">
            <w:pPr>
              <w:spacing w:after="0" w:line="240" w:lineRule="auto"/>
              <w:rPr>
                <w:rFonts w:eastAsia="Times New Roman" w:cstheme="minorHAnsi"/>
                <w:sz w:val="12"/>
                <w:szCs w:val="12"/>
              </w:rPr>
            </w:pPr>
          </w:p>
          <w:p w14:paraId="015EF447" w14:textId="0B8115FC" w:rsidR="005D0ECB" w:rsidRPr="005D0ECB" w:rsidRDefault="00F00E3D" w:rsidP="0005244D">
            <w:pPr>
              <w:spacing w:after="0" w:line="240" w:lineRule="auto"/>
              <w:rPr>
                <w:rFonts w:eastAsia="Times New Roman" w:cstheme="minorHAnsi"/>
                <w:b/>
                <w:bCs/>
                <w:sz w:val="21"/>
                <w:szCs w:val="21"/>
              </w:rPr>
            </w:pPr>
            <w:r w:rsidRPr="005D0ECB">
              <w:rPr>
                <w:rFonts w:eastAsia="Times New Roman" w:cstheme="minorHAnsi"/>
                <w:b/>
                <w:bCs/>
                <w:sz w:val="21"/>
                <w:szCs w:val="21"/>
              </w:rPr>
              <w:t>Kareenga Aboriginal Action Plan</w:t>
            </w:r>
          </w:p>
          <w:p w14:paraId="2AFB2C1B" w14:textId="77777777" w:rsidR="005D0ECB" w:rsidRDefault="00F00E3D" w:rsidP="0005244D">
            <w:pPr>
              <w:spacing w:after="0" w:line="240" w:lineRule="auto"/>
              <w:rPr>
                <w:rFonts w:asciiTheme="majorHAnsi" w:eastAsia="Times New Roman" w:hAnsiTheme="majorHAnsi" w:cstheme="majorHAnsi"/>
                <w:noProof/>
                <w:sz w:val="21"/>
                <w:szCs w:val="21"/>
              </w:rPr>
            </w:pPr>
            <w:r w:rsidRPr="005D0ECB">
              <w:rPr>
                <w:rFonts w:asciiTheme="majorHAnsi" w:eastAsia="Times New Roman" w:hAnsiTheme="majorHAnsi" w:cstheme="majorHAnsi"/>
                <w:noProof/>
                <w:sz w:val="21"/>
                <w:szCs w:val="21"/>
              </w:rPr>
              <w:t>(City of Greater Geelong,</w:t>
            </w:r>
          </w:p>
          <w:p w14:paraId="3E069329" w14:textId="5008D826" w:rsidR="00F00E3D" w:rsidRPr="005D0ECB" w:rsidRDefault="00F00E3D" w:rsidP="0005244D">
            <w:pPr>
              <w:spacing w:after="0" w:line="240" w:lineRule="auto"/>
              <w:rPr>
                <w:rFonts w:asciiTheme="majorHAnsi" w:hAnsiTheme="majorHAnsi" w:cstheme="majorHAnsi"/>
                <w:sz w:val="21"/>
                <w:szCs w:val="21"/>
              </w:rPr>
            </w:pPr>
            <w:r w:rsidRPr="005D0ECB">
              <w:rPr>
                <w:rFonts w:asciiTheme="majorHAnsi" w:eastAsia="Times New Roman" w:hAnsiTheme="majorHAnsi" w:cstheme="majorHAnsi"/>
                <w:noProof/>
                <w:sz w:val="21"/>
                <w:szCs w:val="21"/>
              </w:rPr>
              <w:t>2014</w:t>
            </w:r>
            <w:r w:rsidR="005D0ECB">
              <w:rPr>
                <w:rFonts w:asciiTheme="majorHAnsi" w:eastAsia="Times New Roman" w:hAnsiTheme="majorHAnsi" w:cstheme="majorHAnsi"/>
                <w:noProof/>
                <w:sz w:val="21"/>
                <w:szCs w:val="21"/>
              </w:rPr>
              <w:t>–</w:t>
            </w:r>
            <w:r w:rsidRPr="005D0ECB">
              <w:rPr>
                <w:rFonts w:asciiTheme="majorHAnsi" w:eastAsia="Times New Roman" w:hAnsiTheme="majorHAnsi" w:cstheme="majorHAnsi"/>
                <w:noProof/>
                <w:sz w:val="21"/>
                <w:szCs w:val="21"/>
              </w:rPr>
              <w:t>2017)</w:t>
            </w:r>
          </w:p>
          <w:p w14:paraId="1D486237"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7CEC950B"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1B1EC8A0"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07035EE5"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275C3695"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17A6BF3C"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p w14:paraId="357EE565" w14:textId="317669DF" w:rsidR="004E16F4" w:rsidRPr="0005244D" w:rsidRDefault="00F00E3D" w:rsidP="0005244D">
            <w:pPr>
              <w:spacing w:after="0" w:line="240" w:lineRule="auto"/>
              <w:rPr>
                <w:rFonts w:asciiTheme="majorHAnsi" w:hAnsiTheme="majorHAnsi" w:cstheme="majorHAnsi"/>
                <w:sz w:val="21"/>
                <w:szCs w:val="21"/>
              </w:rPr>
            </w:pPr>
            <w:r w:rsidRPr="0005244D">
              <w:rPr>
                <w:rFonts w:asciiTheme="majorHAnsi" w:eastAsia="Times New Roman" w:hAnsiTheme="majorHAnsi" w:cstheme="majorHAnsi"/>
                <w:i/>
                <w:iCs/>
                <w:sz w:val="21"/>
                <w:szCs w:val="21"/>
              </w:rPr>
              <w:t xml:space="preserve"> </w:t>
            </w:r>
          </w:p>
        </w:tc>
        <w:tc>
          <w:tcPr>
            <w:tcW w:w="5524" w:type="dxa"/>
          </w:tcPr>
          <w:p w14:paraId="586D556B" w14:textId="77777777" w:rsidR="000A2671" w:rsidRPr="000A2671" w:rsidRDefault="000A2671" w:rsidP="0005244D">
            <w:pPr>
              <w:spacing w:after="0" w:line="240" w:lineRule="auto"/>
              <w:rPr>
                <w:rFonts w:asciiTheme="majorHAnsi" w:eastAsia="Calibri Light" w:hAnsiTheme="majorHAnsi" w:cstheme="majorHAnsi"/>
                <w:sz w:val="12"/>
                <w:szCs w:val="12"/>
              </w:rPr>
            </w:pPr>
          </w:p>
          <w:p w14:paraId="78AC2353" w14:textId="7951F693" w:rsidR="005D0ECB" w:rsidRDefault="005D0ECB" w:rsidP="0005244D">
            <w:pPr>
              <w:spacing w:after="0" w:line="240" w:lineRule="auto"/>
              <w:rPr>
                <w:rFonts w:asciiTheme="majorHAnsi" w:eastAsia="Calibri Light" w:hAnsiTheme="majorHAnsi" w:cstheme="majorHAnsi"/>
                <w:sz w:val="21"/>
                <w:szCs w:val="21"/>
              </w:rPr>
            </w:pPr>
            <w:r>
              <w:rPr>
                <w:rFonts w:asciiTheme="majorHAnsi" w:eastAsia="Calibri Light" w:hAnsiTheme="majorHAnsi" w:cstheme="majorHAnsi"/>
                <w:sz w:val="21"/>
                <w:szCs w:val="21"/>
              </w:rPr>
              <w:t>Five</w:t>
            </w:r>
            <w:r w:rsidR="00F00E3D" w:rsidRPr="0005244D">
              <w:rPr>
                <w:rFonts w:asciiTheme="majorHAnsi" w:eastAsia="Calibri Light" w:hAnsiTheme="majorHAnsi" w:cstheme="majorHAnsi"/>
                <w:sz w:val="21"/>
                <w:szCs w:val="21"/>
              </w:rPr>
              <w:t xml:space="preserve"> key focus areas:</w:t>
            </w:r>
          </w:p>
          <w:p w14:paraId="30E0DFA0" w14:textId="77777777" w:rsidR="000A2671" w:rsidRPr="004848D8" w:rsidRDefault="00F00E3D" w:rsidP="00364C5D">
            <w:pPr>
              <w:pStyle w:val="ListParagraph"/>
              <w:numPr>
                <w:ilvl w:val="0"/>
                <w:numId w:val="87"/>
              </w:numPr>
              <w:spacing w:after="0" w:line="240" w:lineRule="auto"/>
              <w:rPr>
                <w:rFonts w:asciiTheme="majorHAnsi" w:eastAsia="Calibri Light" w:hAnsiTheme="majorHAnsi" w:cstheme="majorHAnsi"/>
                <w:sz w:val="21"/>
                <w:szCs w:val="21"/>
              </w:rPr>
            </w:pPr>
            <w:r w:rsidRPr="004848D8">
              <w:rPr>
                <w:rFonts w:asciiTheme="majorHAnsi" w:eastAsia="Calibri Light" w:hAnsiTheme="majorHAnsi" w:cstheme="majorHAnsi"/>
                <w:sz w:val="21"/>
                <w:szCs w:val="21"/>
              </w:rPr>
              <w:t>Cultural Recognition and Respect</w:t>
            </w:r>
          </w:p>
          <w:p w14:paraId="77882C06" w14:textId="77777777" w:rsidR="000A2671" w:rsidRPr="004848D8" w:rsidRDefault="00F00E3D" w:rsidP="00364C5D">
            <w:pPr>
              <w:pStyle w:val="ListParagraph"/>
              <w:numPr>
                <w:ilvl w:val="0"/>
                <w:numId w:val="87"/>
              </w:numPr>
              <w:spacing w:after="0" w:line="240" w:lineRule="auto"/>
              <w:rPr>
                <w:rFonts w:asciiTheme="majorHAnsi" w:eastAsia="Calibri Light" w:hAnsiTheme="majorHAnsi" w:cstheme="majorHAnsi"/>
                <w:sz w:val="21"/>
                <w:szCs w:val="21"/>
              </w:rPr>
            </w:pPr>
            <w:r w:rsidRPr="004848D8">
              <w:rPr>
                <w:rFonts w:asciiTheme="majorHAnsi" w:eastAsia="Calibri Light" w:hAnsiTheme="majorHAnsi" w:cstheme="majorHAnsi"/>
                <w:sz w:val="21"/>
                <w:szCs w:val="21"/>
              </w:rPr>
              <w:t>Employment and Economic Development</w:t>
            </w:r>
          </w:p>
          <w:p w14:paraId="64441B76" w14:textId="77777777" w:rsidR="000A2671" w:rsidRPr="004848D8" w:rsidRDefault="00F00E3D" w:rsidP="00364C5D">
            <w:pPr>
              <w:pStyle w:val="ListParagraph"/>
              <w:numPr>
                <w:ilvl w:val="0"/>
                <w:numId w:val="87"/>
              </w:numPr>
              <w:spacing w:after="0" w:line="240" w:lineRule="auto"/>
              <w:rPr>
                <w:rFonts w:asciiTheme="majorHAnsi" w:eastAsia="Calibri Light" w:hAnsiTheme="majorHAnsi" w:cstheme="majorHAnsi"/>
                <w:sz w:val="21"/>
                <w:szCs w:val="21"/>
              </w:rPr>
            </w:pPr>
            <w:r w:rsidRPr="004848D8">
              <w:rPr>
                <w:rFonts w:asciiTheme="majorHAnsi" w:eastAsia="Calibri Light" w:hAnsiTheme="majorHAnsi" w:cstheme="majorHAnsi"/>
                <w:sz w:val="21"/>
                <w:szCs w:val="21"/>
              </w:rPr>
              <w:t>Family and Community Support (including health, housing</w:t>
            </w:r>
            <w:r w:rsidR="000A2671" w:rsidRPr="004848D8">
              <w:rPr>
                <w:rFonts w:asciiTheme="majorHAnsi" w:eastAsia="Calibri Light" w:hAnsiTheme="majorHAnsi" w:cstheme="majorHAnsi"/>
                <w:sz w:val="21"/>
                <w:szCs w:val="21"/>
              </w:rPr>
              <w:t>,</w:t>
            </w:r>
            <w:r w:rsidRPr="004848D8">
              <w:rPr>
                <w:rFonts w:asciiTheme="majorHAnsi" w:eastAsia="Calibri Light" w:hAnsiTheme="majorHAnsi" w:cstheme="majorHAnsi"/>
                <w:sz w:val="21"/>
                <w:szCs w:val="21"/>
              </w:rPr>
              <w:t xml:space="preserve"> and education)</w:t>
            </w:r>
          </w:p>
          <w:p w14:paraId="433318F7" w14:textId="7754B87F" w:rsidR="000A2671" w:rsidRPr="004848D8" w:rsidRDefault="00F00E3D" w:rsidP="00364C5D">
            <w:pPr>
              <w:pStyle w:val="ListParagraph"/>
              <w:numPr>
                <w:ilvl w:val="0"/>
                <w:numId w:val="87"/>
              </w:numPr>
              <w:spacing w:after="0" w:line="240" w:lineRule="auto"/>
              <w:rPr>
                <w:rFonts w:asciiTheme="majorHAnsi" w:eastAsia="Calibri Light" w:hAnsiTheme="majorHAnsi" w:cstheme="majorHAnsi"/>
                <w:sz w:val="21"/>
                <w:szCs w:val="21"/>
              </w:rPr>
            </w:pPr>
            <w:r w:rsidRPr="004848D8">
              <w:rPr>
                <w:rFonts w:asciiTheme="majorHAnsi" w:eastAsia="Calibri Light" w:hAnsiTheme="majorHAnsi" w:cstheme="majorHAnsi"/>
                <w:sz w:val="21"/>
                <w:szCs w:val="21"/>
              </w:rPr>
              <w:t>Cultural Heritage (managing Aboriginal cultural sites and leg</w:t>
            </w:r>
            <w:r w:rsidR="004848D8" w:rsidRPr="004848D8">
              <w:rPr>
                <w:rFonts w:asciiTheme="majorHAnsi" w:eastAsia="Calibri Light" w:hAnsiTheme="majorHAnsi" w:cstheme="majorHAnsi"/>
                <w:sz w:val="21"/>
                <w:szCs w:val="21"/>
              </w:rPr>
              <w:t>al</w:t>
            </w:r>
            <w:r w:rsidRPr="004848D8">
              <w:rPr>
                <w:rFonts w:asciiTheme="majorHAnsi" w:eastAsia="Calibri Light" w:hAnsiTheme="majorHAnsi" w:cstheme="majorHAnsi"/>
                <w:sz w:val="21"/>
                <w:szCs w:val="21"/>
              </w:rPr>
              <w:t xml:space="preserve"> requirements under </w:t>
            </w:r>
            <w:r w:rsidRPr="004848D8">
              <w:rPr>
                <w:rFonts w:asciiTheme="majorHAnsi" w:eastAsia="Calibri Light" w:hAnsiTheme="majorHAnsi" w:cstheme="majorHAnsi"/>
                <w:i/>
                <w:iCs/>
                <w:sz w:val="21"/>
                <w:szCs w:val="21"/>
              </w:rPr>
              <w:t>Aboriginal Heritage Act</w:t>
            </w:r>
            <w:r w:rsidRPr="004848D8">
              <w:rPr>
                <w:rFonts w:asciiTheme="majorHAnsi" w:eastAsia="Calibri Light" w:hAnsiTheme="majorHAnsi" w:cstheme="majorHAnsi"/>
                <w:sz w:val="21"/>
                <w:szCs w:val="21"/>
              </w:rPr>
              <w:t xml:space="preserve"> 2006)</w:t>
            </w:r>
          </w:p>
          <w:p w14:paraId="74D1BAF0" w14:textId="790A86DC" w:rsidR="00F00E3D" w:rsidRPr="004848D8" w:rsidRDefault="00F00E3D" w:rsidP="00364C5D">
            <w:pPr>
              <w:pStyle w:val="ListParagraph"/>
              <w:numPr>
                <w:ilvl w:val="0"/>
                <w:numId w:val="87"/>
              </w:numPr>
              <w:spacing w:after="0" w:line="240" w:lineRule="auto"/>
              <w:rPr>
                <w:rFonts w:asciiTheme="majorHAnsi" w:hAnsiTheme="majorHAnsi" w:cstheme="majorHAnsi"/>
                <w:sz w:val="21"/>
                <w:szCs w:val="21"/>
              </w:rPr>
            </w:pPr>
            <w:r w:rsidRPr="004848D8">
              <w:rPr>
                <w:rFonts w:asciiTheme="majorHAnsi" w:eastAsia="Calibri Light" w:hAnsiTheme="majorHAnsi" w:cstheme="majorHAnsi"/>
                <w:sz w:val="21"/>
                <w:szCs w:val="21"/>
              </w:rPr>
              <w:t>Arts and Social Enterprise</w:t>
            </w:r>
          </w:p>
          <w:p w14:paraId="2CFD87D1"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Calibri Light" w:hAnsiTheme="majorHAnsi" w:cstheme="majorHAnsi"/>
                <w:b/>
                <w:bCs/>
                <w:sz w:val="21"/>
                <w:szCs w:val="21"/>
              </w:rPr>
              <w:t xml:space="preserve"> </w:t>
            </w:r>
          </w:p>
          <w:p w14:paraId="155035DE"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Calibri Light" w:hAnsiTheme="majorHAnsi" w:cstheme="majorHAnsi"/>
                <w:b/>
                <w:bCs/>
                <w:sz w:val="21"/>
                <w:szCs w:val="21"/>
              </w:rPr>
              <w:t xml:space="preserve"> </w:t>
            </w:r>
          </w:p>
          <w:p w14:paraId="412F506D"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Calibri Light" w:hAnsiTheme="majorHAnsi" w:cstheme="majorHAnsi"/>
                <w:b/>
                <w:bCs/>
                <w:sz w:val="21"/>
                <w:szCs w:val="21"/>
              </w:rPr>
              <w:t xml:space="preserve"> </w:t>
            </w:r>
          </w:p>
          <w:p w14:paraId="4F2D4A13"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Calibri Light" w:hAnsiTheme="majorHAnsi" w:cstheme="majorBidi"/>
                <w:b/>
                <w:sz w:val="21"/>
                <w:szCs w:val="21"/>
              </w:rPr>
              <w:t xml:space="preserve"> </w:t>
            </w:r>
          </w:p>
          <w:p w14:paraId="19EBDCAD" w14:textId="4610A24D" w:rsidR="00F00E3D" w:rsidRPr="0005244D" w:rsidRDefault="00F00E3D" w:rsidP="0005244D">
            <w:pPr>
              <w:spacing w:after="0" w:line="240" w:lineRule="auto"/>
              <w:rPr>
                <w:rFonts w:asciiTheme="majorHAnsi" w:hAnsiTheme="majorHAnsi" w:cstheme="majorHAnsi"/>
                <w:sz w:val="21"/>
                <w:szCs w:val="21"/>
              </w:rPr>
            </w:pPr>
          </w:p>
        </w:tc>
        <w:tc>
          <w:tcPr>
            <w:tcW w:w="7371" w:type="dxa"/>
          </w:tcPr>
          <w:p w14:paraId="35C0D74B" w14:textId="32B78B42" w:rsidR="00F00E3D" w:rsidRPr="005D0ECB" w:rsidRDefault="005D0ECB" w:rsidP="0005244D">
            <w:pPr>
              <w:spacing w:after="0" w:line="240" w:lineRule="auto"/>
              <w:rPr>
                <w:rFonts w:asciiTheme="majorHAnsi" w:hAnsiTheme="majorHAnsi" w:cstheme="majorHAnsi"/>
                <w:sz w:val="21"/>
                <w:szCs w:val="21"/>
              </w:rPr>
            </w:pPr>
            <w:r>
              <w:rPr>
                <w:rFonts w:asciiTheme="majorHAnsi" w:eastAsia="Calibri Light" w:hAnsiTheme="majorHAnsi" w:cstheme="majorBidi"/>
                <w:sz w:val="21"/>
                <w:szCs w:val="21"/>
              </w:rPr>
              <w:t>A</w:t>
            </w:r>
            <w:r w:rsidR="00F00E3D" w:rsidRPr="0005244D">
              <w:rPr>
                <w:rFonts w:asciiTheme="majorHAnsi" w:eastAsia="Calibri Light" w:hAnsiTheme="majorHAnsi" w:cstheme="majorBidi"/>
                <w:sz w:val="21"/>
                <w:szCs w:val="21"/>
              </w:rPr>
              <w:t>ction areas:</w:t>
            </w:r>
          </w:p>
          <w:p w14:paraId="421015EA"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Calibri Light" w:hAnsiTheme="majorHAnsi" w:cstheme="majorBidi"/>
                <w:sz w:val="21"/>
                <w:szCs w:val="21"/>
              </w:rPr>
              <w:t xml:space="preserve">1.Advance educational cultural materials for local schools; 2. Work with employers to maximise Aboriginal employment opportunities; 3. Encourage participation in early childhood education and maternal/child health services, youth programs, service delivery via a community bus for “door to door” service access, support to participate in Council programs such as learn to swim, sports and wellness, expansion of Wauthaurong Centre; 4. Support the interpretation of Aboriginal heritage into the areas; 5. Increase the visibility of Aboriginal culture via place, street, infrastructure naming; Commission Aboriginal public art </w:t>
            </w:r>
          </w:p>
          <w:p w14:paraId="7E257849" w14:textId="77777777" w:rsidR="00F00E3D" w:rsidRPr="004941F2" w:rsidRDefault="00F00E3D" w:rsidP="0005244D">
            <w:pPr>
              <w:spacing w:after="0" w:line="240" w:lineRule="auto"/>
              <w:rPr>
                <w:rFonts w:asciiTheme="majorHAnsi" w:eastAsia="Calibri Light" w:hAnsiTheme="majorHAnsi" w:cstheme="majorBidi"/>
                <w:sz w:val="12"/>
                <w:szCs w:val="12"/>
              </w:rPr>
            </w:pPr>
          </w:p>
          <w:p w14:paraId="21F8E6C0" w14:textId="77777777" w:rsidR="00F00E3D" w:rsidRDefault="004941F2" w:rsidP="0005244D">
            <w:pPr>
              <w:spacing w:after="0" w:line="240" w:lineRule="auto"/>
              <w:rPr>
                <w:rFonts w:asciiTheme="majorHAnsi" w:eastAsia="Calibri Light" w:hAnsiTheme="majorHAnsi" w:cstheme="majorBidi"/>
                <w:sz w:val="21"/>
                <w:szCs w:val="21"/>
              </w:rPr>
            </w:pPr>
            <w:r>
              <w:rPr>
                <w:rFonts w:asciiTheme="majorHAnsi" w:eastAsia="Calibri Light" w:hAnsiTheme="majorHAnsi" w:cstheme="majorBidi"/>
                <w:sz w:val="21"/>
                <w:szCs w:val="21"/>
              </w:rPr>
              <w:t>People</w:t>
            </w:r>
            <w:r w:rsidR="00F00E3D" w:rsidRPr="0005244D">
              <w:rPr>
                <w:rFonts w:asciiTheme="majorHAnsi" w:eastAsia="Calibri Light" w:hAnsiTheme="majorHAnsi" w:cstheme="majorBidi"/>
                <w:sz w:val="21"/>
                <w:szCs w:val="21"/>
              </w:rPr>
              <w:t xml:space="preserve"> with disability </w:t>
            </w:r>
            <w:r>
              <w:rPr>
                <w:rFonts w:asciiTheme="majorHAnsi" w:eastAsia="Calibri Light" w:hAnsiTheme="majorHAnsi" w:cstheme="majorBidi"/>
                <w:sz w:val="21"/>
                <w:szCs w:val="21"/>
              </w:rPr>
              <w:t>often face economic challenges</w:t>
            </w:r>
            <w:r w:rsidR="00F00E3D" w:rsidRPr="0005244D">
              <w:rPr>
                <w:rFonts w:asciiTheme="majorHAnsi" w:eastAsia="Calibri Light" w:hAnsiTheme="majorHAnsi" w:cstheme="majorBidi"/>
                <w:sz w:val="21"/>
                <w:szCs w:val="21"/>
              </w:rPr>
              <w:t>,</w:t>
            </w:r>
            <w:r>
              <w:rPr>
                <w:rFonts w:asciiTheme="majorHAnsi" w:eastAsia="Calibri Light" w:hAnsiTheme="majorHAnsi" w:cstheme="majorBidi"/>
                <w:sz w:val="21"/>
                <w:szCs w:val="21"/>
              </w:rPr>
              <w:t xml:space="preserve"> and</w:t>
            </w:r>
            <w:r w:rsidR="00F00E3D" w:rsidRPr="0005244D">
              <w:rPr>
                <w:rFonts w:asciiTheme="majorHAnsi" w:eastAsia="Calibri Light" w:hAnsiTheme="majorHAnsi" w:cstheme="majorBidi"/>
                <w:sz w:val="21"/>
                <w:szCs w:val="21"/>
              </w:rPr>
              <w:t xml:space="preserve"> there are disproportionate numbers </w:t>
            </w:r>
            <w:r>
              <w:rPr>
                <w:rFonts w:asciiTheme="majorHAnsi" w:eastAsia="Calibri Light" w:hAnsiTheme="majorHAnsi" w:cstheme="majorBidi"/>
                <w:sz w:val="21"/>
                <w:szCs w:val="21"/>
              </w:rPr>
              <w:t xml:space="preserve">of disabled people </w:t>
            </w:r>
            <w:r w:rsidR="00F00E3D" w:rsidRPr="0005244D">
              <w:rPr>
                <w:rFonts w:asciiTheme="majorHAnsi" w:eastAsia="Calibri Light" w:hAnsiTheme="majorHAnsi" w:cstheme="majorBidi"/>
                <w:sz w:val="21"/>
                <w:szCs w:val="21"/>
              </w:rPr>
              <w:t xml:space="preserve">living in the three localities. The Access and Inclusion </w:t>
            </w:r>
            <w:r>
              <w:rPr>
                <w:rFonts w:asciiTheme="majorHAnsi" w:eastAsia="Calibri Light" w:hAnsiTheme="majorHAnsi" w:cstheme="majorBidi"/>
                <w:sz w:val="21"/>
                <w:szCs w:val="21"/>
              </w:rPr>
              <w:t>P</w:t>
            </w:r>
            <w:r w:rsidR="00F00E3D" w:rsidRPr="0005244D">
              <w:rPr>
                <w:rFonts w:asciiTheme="majorHAnsi" w:eastAsia="Calibri Light" w:hAnsiTheme="majorHAnsi" w:cstheme="majorBidi"/>
                <w:sz w:val="21"/>
                <w:szCs w:val="21"/>
              </w:rPr>
              <w:t xml:space="preserve">lan recommendations </w:t>
            </w:r>
            <w:r>
              <w:rPr>
                <w:rFonts w:asciiTheme="majorHAnsi" w:eastAsia="Calibri Light" w:hAnsiTheme="majorHAnsi" w:cstheme="majorBidi"/>
                <w:sz w:val="21"/>
                <w:szCs w:val="21"/>
              </w:rPr>
              <w:t>thus have</w:t>
            </w:r>
            <w:r w:rsidR="00F00E3D" w:rsidRPr="0005244D">
              <w:rPr>
                <w:rFonts w:asciiTheme="majorHAnsi" w:eastAsia="Calibri Light" w:hAnsiTheme="majorHAnsi" w:cstheme="majorBidi"/>
                <w:sz w:val="21"/>
                <w:szCs w:val="21"/>
              </w:rPr>
              <w:t xml:space="preserve"> particular resonance for urban design and service delivery in Corio, Norlane</w:t>
            </w:r>
            <w:r>
              <w:rPr>
                <w:rFonts w:asciiTheme="majorHAnsi" w:eastAsia="Calibri Light" w:hAnsiTheme="majorHAnsi" w:cstheme="majorBidi"/>
                <w:sz w:val="21"/>
                <w:szCs w:val="21"/>
              </w:rPr>
              <w:t>,</w:t>
            </w:r>
            <w:r w:rsidR="00F00E3D" w:rsidRPr="0005244D">
              <w:rPr>
                <w:rFonts w:asciiTheme="majorHAnsi" w:eastAsia="Calibri Light" w:hAnsiTheme="majorHAnsi" w:cstheme="majorBidi"/>
                <w:sz w:val="21"/>
                <w:szCs w:val="21"/>
              </w:rPr>
              <w:t xml:space="preserve"> and Whittington.</w:t>
            </w:r>
          </w:p>
          <w:p w14:paraId="7E849741" w14:textId="0BED1986" w:rsidR="00110F3E" w:rsidRPr="00110F3E" w:rsidRDefault="00110F3E" w:rsidP="0005244D">
            <w:pPr>
              <w:spacing w:after="0" w:line="240" w:lineRule="auto"/>
              <w:rPr>
                <w:rFonts w:asciiTheme="majorHAnsi" w:hAnsiTheme="majorHAnsi" w:cstheme="majorBidi"/>
                <w:sz w:val="12"/>
                <w:szCs w:val="12"/>
              </w:rPr>
            </w:pPr>
          </w:p>
        </w:tc>
      </w:tr>
      <w:tr w:rsidR="004E16F4" w:rsidRPr="0005244D" w14:paraId="2A644F04" w14:textId="77777777" w:rsidTr="00BD6662">
        <w:tc>
          <w:tcPr>
            <w:tcW w:w="1696" w:type="dxa"/>
          </w:tcPr>
          <w:p w14:paraId="0E7DB730" w14:textId="77777777" w:rsidR="004E16F4" w:rsidRPr="004E16F4" w:rsidRDefault="004E16F4" w:rsidP="004E16F4">
            <w:pPr>
              <w:spacing w:after="0" w:line="240" w:lineRule="auto"/>
              <w:rPr>
                <w:rFonts w:eastAsia="Times New Roman" w:cstheme="minorHAnsi"/>
                <w:b/>
                <w:bCs/>
                <w:iCs/>
                <w:sz w:val="12"/>
                <w:szCs w:val="12"/>
              </w:rPr>
            </w:pPr>
          </w:p>
          <w:p w14:paraId="2B5EE1F3" w14:textId="29BDB6B0" w:rsidR="004E16F4" w:rsidRPr="004E16F4" w:rsidRDefault="001B7DDF" w:rsidP="004E16F4">
            <w:pPr>
              <w:spacing w:after="0" w:line="240" w:lineRule="auto"/>
              <w:rPr>
                <w:rFonts w:eastAsia="Times New Roman" w:cstheme="minorHAnsi"/>
                <w:b/>
                <w:bCs/>
                <w:iCs/>
                <w:sz w:val="21"/>
                <w:szCs w:val="21"/>
              </w:rPr>
            </w:pPr>
            <w:r>
              <w:rPr>
                <w:rFonts w:eastAsia="Times New Roman" w:cstheme="minorHAnsi"/>
                <w:b/>
                <w:bCs/>
                <w:iCs/>
                <w:sz w:val="21"/>
                <w:szCs w:val="21"/>
              </w:rPr>
              <w:t>COGG</w:t>
            </w:r>
            <w:r w:rsidR="004E16F4" w:rsidRPr="004E16F4">
              <w:rPr>
                <w:rFonts w:eastAsia="Times New Roman" w:cstheme="minorHAnsi"/>
                <w:b/>
                <w:bCs/>
                <w:iCs/>
                <w:sz w:val="21"/>
                <w:szCs w:val="21"/>
              </w:rPr>
              <w:t xml:space="preserve"> Access and Inclusion Disability Action Plan</w:t>
            </w:r>
          </w:p>
          <w:p w14:paraId="720EDEF2" w14:textId="77777777" w:rsidR="004E16F4" w:rsidRDefault="004E16F4" w:rsidP="004E16F4">
            <w:pPr>
              <w:spacing w:after="0" w:line="240" w:lineRule="auto"/>
              <w:rPr>
                <w:rFonts w:asciiTheme="majorHAnsi" w:hAnsiTheme="majorHAnsi" w:cstheme="majorHAnsi"/>
                <w:noProof/>
                <w:sz w:val="21"/>
                <w:szCs w:val="21"/>
              </w:rPr>
            </w:pPr>
            <w:r w:rsidRPr="0005244D">
              <w:rPr>
                <w:rFonts w:asciiTheme="majorHAnsi" w:hAnsiTheme="majorHAnsi" w:cstheme="majorHAnsi"/>
                <w:noProof/>
                <w:sz w:val="21"/>
                <w:szCs w:val="21"/>
              </w:rPr>
              <w:t>(City of Greater Geelong,</w:t>
            </w:r>
          </w:p>
          <w:p w14:paraId="41038A3A" w14:textId="3F8BE88B" w:rsidR="004E16F4" w:rsidRPr="000A2671" w:rsidRDefault="004E16F4" w:rsidP="004E16F4">
            <w:pPr>
              <w:spacing w:after="0" w:line="240" w:lineRule="auto"/>
              <w:rPr>
                <w:rFonts w:eastAsia="Times New Roman" w:cstheme="minorHAnsi"/>
                <w:sz w:val="12"/>
                <w:szCs w:val="12"/>
              </w:rPr>
            </w:pPr>
            <w:r w:rsidRPr="0005244D">
              <w:rPr>
                <w:rFonts w:asciiTheme="majorHAnsi" w:hAnsiTheme="majorHAnsi" w:cstheme="majorHAnsi"/>
                <w:noProof/>
                <w:sz w:val="21"/>
                <w:szCs w:val="21"/>
              </w:rPr>
              <w:t>2018</w:t>
            </w:r>
            <w:r>
              <w:rPr>
                <w:rFonts w:asciiTheme="majorHAnsi" w:hAnsiTheme="majorHAnsi" w:cstheme="majorHAnsi"/>
                <w:noProof/>
                <w:sz w:val="21"/>
                <w:szCs w:val="21"/>
              </w:rPr>
              <w:t>–</w:t>
            </w:r>
            <w:r w:rsidRPr="0005244D">
              <w:rPr>
                <w:rFonts w:asciiTheme="majorHAnsi" w:hAnsiTheme="majorHAnsi" w:cstheme="majorHAnsi"/>
                <w:noProof/>
                <w:sz w:val="21"/>
                <w:szCs w:val="21"/>
              </w:rPr>
              <w:t>2022a)</w:t>
            </w:r>
          </w:p>
        </w:tc>
        <w:tc>
          <w:tcPr>
            <w:tcW w:w="5524" w:type="dxa"/>
          </w:tcPr>
          <w:p w14:paraId="1D1D3C2F" w14:textId="77777777" w:rsidR="004E16F4" w:rsidRPr="004E16F4" w:rsidRDefault="004E16F4" w:rsidP="004E16F4">
            <w:pPr>
              <w:spacing w:after="0" w:line="240" w:lineRule="auto"/>
              <w:rPr>
                <w:rFonts w:asciiTheme="majorHAnsi" w:eastAsia="Calibri Light" w:hAnsiTheme="majorHAnsi" w:cstheme="majorHAnsi"/>
                <w:sz w:val="12"/>
                <w:szCs w:val="12"/>
              </w:rPr>
            </w:pPr>
          </w:p>
          <w:p w14:paraId="072F350D" w14:textId="2005D62F" w:rsidR="004E16F4" w:rsidRPr="004941F2" w:rsidRDefault="004E16F4" w:rsidP="00364C5D">
            <w:pPr>
              <w:pStyle w:val="ListParagraph"/>
              <w:numPr>
                <w:ilvl w:val="0"/>
                <w:numId w:val="88"/>
              </w:numPr>
              <w:spacing w:after="0" w:line="240" w:lineRule="auto"/>
              <w:rPr>
                <w:rFonts w:asciiTheme="majorHAnsi" w:hAnsiTheme="majorHAnsi" w:cstheme="majorHAnsi"/>
                <w:sz w:val="21"/>
                <w:szCs w:val="21"/>
              </w:rPr>
            </w:pPr>
            <w:r w:rsidRPr="004941F2">
              <w:rPr>
                <w:rFonts w:asciiTheme="majorHAnsi" w:eastAsia="Calibri Light" w:hAnsiTheme="majorHAnsi" w:cstheme="majorHAnsi"/>
                <w:sz w:val="21"/>
                <w:szCs w:val="21"/>
              </w:rPr>
              <w:t>Commits to examine service and infrastructure design, location, communication</w:t>
            </w:r>
            <w:r w:rsidR="004941F2" w:rsidRPr="004941F2">
              <w:rPr>
                <w:rFonts w:asciiTheme="majorHAnsi" w:eastAsia="Calibri Light" w:hAnsiTheme="majorHAnsi" w:cstheme="majorHAnsi"/>
                <w:sz w:val="21"/>
                <w:szCs w:val="21"/>
              </w:rPr>
              <w:t>,</w:t>
            </w:r>
            <w:r w:rsidRPr="004941F2">
              <w:rPr>
                <w:rFonts w:asciiTheme="majorHAnsi" w:eastAsia="Calibri Light" w:hAnsiTheme="majorHAnsi" w:cstheme="majorHAnsi"/>
                <w:sz w:val="21"/>
                <w:szCs w:val="21"/>
              </w:rPr>
              <w:t xml:space="preserve"> and support to address needs and obstacles faced by priority areas and groups</w:t>
            </w:r>
          </w:p>
          <w:p w14:paraId="3912D55E" w14:textId="78641EEA" w:rsidR="004E16F4" w:rsidRPr="004941F2" w:rsidRDefault="004E16F4" w:rsidP="00364C5D">
            <w:pPr>
              <w:pStyle w:val="ListParagraph"/>
              <w:numPr>
                <w:ilvl w:val="0"/>
                <w:numId w:val="88"/>
              </w:numPr>
              <w:spacing w:after="0" w:line="240" w:lineRule="auto"/>
              <w:rPr>
                <w:rFonts w:asciiTheme="majorHAnsi" w:hAnsiTheme="majorHAnsi" w:cstheme="majorHAnsi"/>
                <w:sz w:val="21"/>
                <w:szCs w:val="21"/>
              </w:rPr>
            </w:pPr>
            <w:r w:rsidRPr="004941F2">
              <w:rPr>
                <w:rFonts w:asciiTheme="majorHAnsi" w:eastAsia="Calibri Light" w:hAnsiTheme="majorHAnsi" w:cstheme="majorHAnsi"/>
                <w:sz w:val="21"/>
                <w:szCs w:val="21"/>
              </w:rPr>
              <w:t>Inform planning of bus routes</w:t>
            </w:r>
          </w:p>
          <w:p w14:paraId="22903FFB" w14:textId="72263CF5" w:rsidR="004E16F4" w:rsidRPr="004941F2" w:rsidRDefault="004E16F4" w:rsidP="00364C5D">
            <w:pPr>
              <w:pStyle w:val="ListParagraph"/>
              <w:numPr>
                <w:ilvl w:val="0"/>
                <w:numId w:val="88"/>
              </w:numPr>
              <w:spacing w:after="0" w:line="240" w:lineRule="auto"/>
              <w:rPr>
                <w:rFonts w:asciiTheme="majorHAnsi" w:hAnsiTheme="majorHAnsi" w:cstheme="majorHAnsi"/>
                <w:sz w:val="21"/>
                <w:szCs w:val="21"/>
              </w:rPr>
            </w:pPr>
            <w:r w:rsidRPr="004941F2">
              <w:rPr>
                <w:rFonts w:asciiTheme="majorHAnsi" w:eastAsia="Calibri Light" w:hAnsiTheme="majorHAnsi" w:cstheme="majorHAnsi"/>
                <w:sz w:val="21"/>
                <w:szCs w:val="21"/>
              </w:rPr>
              <w:t>Facilitate independent train boarding</w:t>
            </w:r>
            <w:r w:rsidR="00D53E0B">
              <w:rPr>
                <w:rFonts w:asciiTheme="majorHAnsi" w:eastAsia="Calibri Light" w:hAnsiTheme="majorHAnsi" w:cstheme="majorHAnsi"/>
                <w:sz w:val="21"/>
                <w:szCs w:val="21"/>
              </w:rPr>
              <w:t xml:space="preserve"> and </w:t>
            </w:r>
            <w:r w:rsidRPr="004941F2">
              <w:rPr>
                <w:rFonts w:asciiTheme="majorHAnsi" w:eastAsia="Calibri Light" w:hAnsiTheme="majorHAnsi" w:cstheme="majorHAnsi"/>
                <w:sz w:val="21"/>
                <w:szCs w:val="21"/>
              </w:rPr>
              <w:t>institute disability awareness training</w:t>
            </w:r>
          </w:p>
          <w:p w14:paraId="12F348F1" w14:textId="77777777" w:rsidR="004E16F4" w:rsidRPr="004941F2" w:rsidRDefault="004E16F4" w:rsidP="00364C5D">
            <w:pPr>
              <w:pStyle w:val="ListParagraph"/>
              <w:numPr>
                <w:ilvl w:val="0"/>
                <w:numId w:val="88"/>
              </w:numPr>
              <w:spacing w:after="0" w:line="240" w:lineRule="auto"/>
              <w:rPr>
                <w:rFonts w:asciiTheme="majorHAnsi" w:hAnsiTheme="majorHAnsi" w:cstheme="majorHAnsi"/>
                <w:sz w:val="21"/>
                <w:szCs w:val="21"/>
              </w:rPr>
            </w:pPr>
            <w:r w:rsidRPr="004941F2">
              <w:rPr>
                <w:rFonts w:asciiTheme="majorHAnsi" w:eastAsia="Calibri Light" w:hAnsiTheme="majorHAnsi" w:cstheme="majorHAnsi"/>
                <w:sz w:val="21"/>
                <w:szCs w:val="21"/>
              </w:rPr>
              <w:t>Accessible roads and footpaths</w:t>
            </w:r>
          </w:p>
          <w:p w14:paraId="6B78EBC3" w14:textId="5F4320BB" w:rsidR="00D53E0B" w:rsidRPr="00D53E0B" w:rsidRDefault="004E16F4" w:rsidP="00D53E0B">
            <w:pPr>
              <w:pStyle w:val="ListParagraph"/>
              <w:numPr>
                <w:ilvl w:val="0"/>
                <w:numId w:val="88"/>
              </w:numPr>
              <w:spacing w:after="0" w:line="240" w:lineRule="auto"/>
              <w:rPr>
                <w:rFonts w:asciiTheme="majorHAnsi" w:hAnsiTheme="majorHAnsi" w:cstheme="majorHAnsi"/>
                <w:sz w:val="21"/>
                <w:szCs w:val="21"/>
              </w:rPr>
            </w:pPr>
            <w:r w:rsidRPr="004941F2">
              <w:rPr>
                <w:rFonts w:asciiTheme="majorHAnsi" w:eastAsia="Calibri Light" w:hAnsiTheme="majorHAnsi" w:cstheme="majorHAnsi"/>
                <w:sz w:val="21"/>
                <w:szCs w:val="21"/>
              </w:rPr>
              <w:t>Public transport</w:t>
            </w:r>
            <w:r w:rsidR="004941F2" w:rsidRPr="004941F2">
              <w:rPr>
                <w:rFonts w:asciiTheme="majorHAnsi" w:eastAsia="Calibri Light" w:hAnsiTheme="majorHAnsi" w:cstheme="majorHAnsi"/>
                <w:sz w:val="21"/>
                <w:szCs w:val="21"/>
              </w:rPr>
              <w:t>:</w:t>
            </w:r>
            <w:r w:rsidRPr="004941F2">
              <w:rPr>
                <w:rFonts w:asciiTheme="majorHAnsi" w:eastAsia="Calibri Light" w:hAnsiTheme="majorHAnsi" w:cstheme="majorHAnsi"/>
                <w:sz w:val="21"/>
                <w:szCs w:val="21"/>
              </w:rPr>
              <w:t xml:space="preserve"> increase connectivity, availability</w:t>
            </w:r>
            <w:r w:rsidR="004941F2" w:rsidRPr="004941F2">
              <w:rPr>
                <w:rFonts w:asciiTheme="majorHAnsi" w:eastAsia="Calibri Light" w:hAnsiTheme="majorHAnsi" w:cstheme="majorHAnsi"/>
                <w:sz w:val="21"/>
                <w:szCs w:val="21"/>
              </w:rPr>
              <w:t>,</w:t>
            </w:r>
            <w:r w:rsidRPr="004941F2">
              <w:rPr>
                <w:rFonts w:asciiTheme="majorHAnsi" w:eastAsia="Calibri Light" w:hAnsiTheme="majorHAnsi" w:cstheme="majorHAnsi"/>
                <w:sz w:val="21"/>
                <w:szCs w:val="21"/>
              </w:rPr>
              <w:t xml:space="preserve"> </w:t>
            </w:r>
            <w:r w:rsidR="00D53E0B">
              <w:rPr>
                <w:rFonts w:asciiTheme="majorHAnsi" w:eastAsia="Calibri Light" w:hAnsiTheme="majorHAnsi" w:cstheme="majorHAnsi"/>
                <w:sz w:val="21"/>
                <w:szCs w:val="21"/>
              </w:rPr>
              <w:t xml:space="preserve">and </w:t>
            </w:r>
            <w:r w:rsidRPr="004941F2">
              <w:rPr>
                <w:rFonts w:asciiTheme="majorHAnsi" w:eastAsia="Calibri Light" w:hAnsiTheme="majorHAnsi" w:cstheme="majorHAnsi"/>
                <w:sz w:val="21"/>
                <w:szCs w:val="21"/>
              </w:rPr>
              <w:t>accessibility</w:t>
            </w:r>
          </w:p>
          <w:p w14:paraId="298DAB49" w14:textId="77777777" w:rsidR="004E16F4" w:rsidRPr="00110F3E" w:rsidRDefault="004E16F4" w:rsidP="00D53E0B">
            <w:pPr>
              <w:pStyle w:val="ListParagraph"/>
              <w:numPr>
                <w:ilvl w:val="0"/>
                <w:numId w:val="88"/>
              </w:numPr>
              <w:spacing w:after="0" w:line="240" w:lineRule="auto"/>
              <w:rPr>
                <w:rFonts w:asciiTheme="majorHAnsi" w:hAnsiTheme="majorHAnsi" w:cstheme="majorHAnsi"/>
                <w:sz w:val="21"/>
                <w:szCs w:val="21"/>
              </w:rPr>
            </w:pPr>
            <w:r w:rsidRPr="00D53E0B">
              <w:rPr>
                <w:rFonts w:asciiTheme="majorHAnsi" w:eastAsia="Calibri Light" w:hAnsiTheme="majorHAnsi" w:cstheme="majorHAnsi"/>
                <w:sz w:val="21"/>
                <w:szCs w:val="21"/>
              </w:rPr>
              <w:t>Accessible events</w:t>
            </w:r>
            <w:r w:rsidR="00D53E0B">
              <w:rPr>
                <w:rFonts w:asciiTheme="majorHAnsi" w:eastAsia="Calibri Light" w:hAnsiTheme="majorHAnsi" w:cstheme="majorHAnsi"/>
                <w:sz w:val="21"/>
                <w:szCs w:val="21"/>
              </w:rPr>
              <w:t>:</w:t>
            </w:r>
            <w:r w:rsidRPr="00D53E0B">
              <w:rPr>
                <w:rFonts w:asciiTheme="majorHAnsi" w:eastAsia="Calibri Light" w:hAnsiTheme="majorHAnsi" w:cstheme="majorHAnsi"/>
                <w:sz w:val="21"/>
                <w:szCs w:val="21"/>
              </w:rPr>
              <w:t xml:space="preserve"> raising awareness </w:t>
            </w:r>
            <w:r w:rsidR="00D53E0B">
              <w:rPr>
                <w:rFonts w:asciiTheme="majorHAnsi" w:eastAsia="Calibri Light" w:hAnsiTheme="majorHAnsi" w:cstheme="majorHAnsi"/>
                <w:sz w:val="21"/>
                <w:szCs w:val="21"/>
              </w:rPr>
              <w:t>during design process</w:t>
            </w:r>
          </w:p>
          <w:p w14:paraId="3FDAA74A" w14:textId="64B908A6" w:rsidR="00110F3E" w:rsidRPr="00110F3E" w:rsidRDefault="00110F3E" w:rsidP="00110F3E">
            <w:pPr>
              <w:spacing w:after="0" w:line="240" w:lineRule="auto"/>
              <w:rPr>
                <w:rFonts w:asciiTheme="majorHAnsi" w:hAnsiTheme="majorHAnsi" w:cstheme="majorHAnsi"/>
                <w:sz w:val="12"/>
                <w:szCs w:val="12"/>
              </w:rPr>
            </w:pPr>
          </w:p>
        </w:tc>
        <w:tc>
          <w:tcPr>
            <w:tcW w:w="7371" w:type="dxa"/>
          </w:tcPr>
          <w:p w14:paraId="4250A204" w14:textId="77777777" w:rsidR="004E16F4" w:rsidRDefault="004E16F4" w:rsidP="0005244D">
            <w:pPr>
              <w:spacing w:after="0" w:line="240" w:lineRule="auto"/>
              <w:rPr>
                <w:rFonts w:asciiTheme="majorHAnsi" w:eastAsia="Calibri Light" w:hAnsiTheme="majorHAnsi" w:cstheme="majorBidi"/>
                <w:sz w:val="21"/>
                <w:szCs w:val="21"/>
              </w:rPr>
            </w:pPr>
          </w:p>
        </w:tc>
      </w:tr>
      <w:tr w:rsidR="007C01CA" w:rsidRPr="0005244D" w14:paraId="734D2B9C" w14:textId="77777777" w:rsidTr="004E16F4">
        <w:tc>
          <w:tcPr>
            <w:tcW w:w="14591" w:type="dxa"/>
            <w:gridSpan w:val="3"/>
            <w:shd w:val="clear" w:color="auto" w:fill="F2F2F2" w:themeFill="background1" w:themeFillShade="F2"/>
          </w:tcPr>
          <w:p w14:paraId="754F7CC0" w14:textId="77777777" w:rsidR="007F2129" w:rsidRPr="007F2129" w:rsidRDefault="007F2129" w:rsidP="0005244D">
            <w:pPr>
              <w:spacing w:after="0" w:line="240" w:lineRule="auto"/>
              <w:rPr>
                <w:rFonts w:eastAsia="Times New Roman" w:cstheme="minorHAnsi"/>
                <w:b/>
                <w:bCs/>
                <w:sz w:val="12"/>
                <w:szCs w:val="12"/>
              </w:rPr>
            </w:pPr>
          </w:p>
          <w:p w14:paraId="779C5152" w14:textId="7C2DD536" w:rsidR="007C01CA" w:rsidRDefault="007C1A24" w:rsidP="0005244D">
            <w:pPr>
              <w:spacing w:after="0" w:line="240" w:lineRule="auto"/>
              <w:rPr>
                <w:rFonts w:eastAsia="Times New Roman" w:cstheme="minorHAnsi"/>
                <w:b/>
                <w:bCs/>
                <w:sz w:val="21"/>
                <w:szCs w:val="21"/>
              </w:rPr>
            </w:pPr>
            <w:r w:rsidRPr="007F2129">
              <w:rPr>
                <w:rFonts w:eastAsia="Times New Roman" w:cstheme="minorHAnsi"/>
                <w:b/>
                <w:bCs/>
                <w:sz w:val="21"/>
                <w:szCs w:val="21"/>
              </w:rPr>
              <w:t>ISSUE-</w:t>
            </w:r>
            <w:r>
              <w:rPr>
                <w:rFonts w:eastAsia="Times New Roman" w:cstheme="minorHAnsi"/>
                <w:b/>
                <w:bCs/>
                <w:sz w:val="21"/>
                <w:szCs w:val="21"/>
              </w:rPr>
              <w:t>S</w:t>
            </w:r>
            <w:r w:rsidRPr="007F2129">
              <w:rPr>
                <w:rFonts w:eastAsia="Times New Roman" w:cstheme="minorHAnsi"/>
                <w:b/>
                <w:bCs/>
                <w:sz w:val="21"/>
                <w:szCs w:val="21"/>
              </w:rPr>
              <w:t xml:space="preserve">PECIFIC </w:t>
            </w:r>
            <w:r>
              <w:rPr>
                <w:rFonts w:eastAsia="Times New Roman" w:cstheme="minorHAnsi"/>
                <w:b/>
                <w:bCs/>
                <w:sz w:val="21"/>
                <w:szCs w:val="21"/>
              </w:rPr>
              <w:t>P</w:t>
            </w:r>
            <w:r w:rsidRPr="007F2129">
              <w:rPr>
                <w:rFonts w:eastAsia="Times New Roman" w:cstheme="minorHAnsi"/>
                <w:b/>
                <w:bCs/>
                <w:sz w:val="21"/>
                <w:szCs w:val="21"/>
              </w:rPr>
              <w:t>LANS/</w:t>
            </w:r>
            <w:r>
              <w:rPr>
                <w:rFonts w:eastAsia="Times New Roman" w:cstheme="minorHAnsi"/>
                <w:b/>
                <w:bCs/>
                <w:sz w:val="21"/>
                <w:szCs w:val="21"/>
              </w:rPr>
              <w:t>P</w:t>
            </w:r>
            <w:r w:rsidRPr="007F2129">
              <w:rPr>
                <w:rFonts w:eastAsia="Times New Roman" w:cstheme="minorHAnsi"/>
                <w:b/>
                <w:bCs/>
                <w:sz w:val="21"/>
                <w:szCs w:val="21"/>
              </w:rPr>
              <w:t>ROGRAMS</w:t>
            </w:r>
          </w:p>
          <w:p w14:paraId="7EFAB70B" w14:textId="0571BE40" w:rsidR="007F2129" w:rsidRPr="00573F61" w:rsidRDefault="007F2129" w:rsidP="0005244D">
            <w:pPr>
              <w:spacing w:after="0" w:line="240" w:lineRule="auto"/>
              <w:rPr>
                <w:rFonts w:cstheme="minorHAnsi"/>
                <w:sz w:val="12"/>
                <w:szCs w:val="12"/>
              </w:rPr>
            </w:pPr>
          </w:p>
        </w:tc>
      </w:tr>
      <w:tr w:rsidR="004E16F4" w:rsidRPr="0005244D" w14:paraId="278EE597" w14:textId="77777777" w:rsidTr="00BD6662">
        <w:tc>
          <w:tcPr>
            <w:tcW w:w="1696" w:type="dxa"/>
          </w:tcPr>
          <w:p w14:paraId="03AC04E8" w14:textId="77777777" w:rsidR="00764343" w:rsidRPr="00764343" w:rsidRDefault="00764343" w:rsidP="004941F2">
            <w:pPr>
              <w:spacing w:after="0" w:line="240" w:lineRule="auto"/>
              <w:rPr>
                <w:rFonts w:eastAsia="Times New Roman" w:cstheme="minorHAnsi"/>
                <w:b/>
                <w:bCs/>
                <w:iCs/>
                <w:sz w:val="12"/>
                <w:szCs w:val="12"/>
              </w:rPr>
            </w:pPr>
          </w:p>
          <w:p w14:paraId="5991E14E" w14:textId="1CDDCA71" w:rsidR="004941F2" w:rsidRPr="007F2129" w:rsidRDefault="004941F2" w:rsidP="004941F2">
            <w:pPr>
              <w:spacing w:after="0" w:line="240" w:lineRule="auto"/>
              <w:rPr>
                <w:rFonts w:eastAsia="Times New Roman" w:cstheme="minorHAnsi"/>
                <w:b/>
                <w:bCs/>
                <w:iCs/>
                <w:sz w:val="21"/>
                <w:szCs w:val="21"/>
              </w:rPr>
            </w:pPr>
            <w:r w:rsidRPr="007F2129">
              <w:rPr>
                <w:rFonts w:eastAsia="Times New Roman" w:cstheme="minorHAnsi"/>
                <w:b/>
                <w:bCs/>
                <w:iCs/>
                <w:sz w:val="21"/>
                <w:szCs w:val="21"/>
              </w:rPr>
              <w:t>Preventing and Addressing Violence Against Women &amp; Children in the G21 Region 2016–2020</w:t>
            </w:r>
          </w:p>
          <w:p w14:paraId="4C7D4F91" w14:textId="77777777" w:rsidR="004941F2" w:rsidRDefault="004941F2" w:rsidP="004941F2">
            <w:pPr>
              <w:spacing w:after="0" w:line="240" w:lineRule="auto"/>
              <w:rPr>
                <w:rFonts w:asciiTheme="majorHAnsi" w:eastAsia="Times New Roman" w:hAnsiTheme="majorHAnsi" w:cstheme="majorBidi"/>
                <w:iCs/>
                <w:sz w:val="21"/>
                <w:szCs w:val="21"/>
              </w:rPr>
            </w:pPr>
            <w:r w:rsidRPr="007F2129">
              <w:rPr>
                <w:rFonts w:asciiTheme="majorHAnsi" w:eastAsia="Times New Roman" w:hAnsiTheme="majorHAnsi" w:cstheme="majorBidi"/>
                <w:iCs/>
                <w:sz w:val="21"/>
                <w:szCs w:val="21"/>
              </w:rPr>
              <w:t>(City of Greater Geelong,</w:t>
            </w:r>
          </w:p>
          <w:p w14:paraId="7E624C88" w14:textId="77777777" w:rsidR="004941F2" w:rsidRPr="007F2129" w:rsidRDefault="004941F2" w:rsidP="004941F2">
            <w:pPr>
              <w:spacing w:after="0" w:line="240" w:lineRule="auto"/>
              <w:rPr>
                <w:rFonts w:asciiTheme="majorHAnsi" w:hAnsiTheme="majorHAnsi" w:cstheme="majorBidi"/>
                <w:iCs/>
                <w:sz w:val="21"/>
                <w:szCs w:val="21"/>
              </w:rPr>
            </w:pPr>
            <w:r w:rsidRPr="007F2129">
              <w:rPr>
                <w:rFonts w:asciiTheme="majorHAnsi" w:eastAsia="Times New Roman" w:hAnsiTheme="majorHAnsi" w:cstheme="majorBidi"/>
                <w:iCs/>
                <w:sz w:val="21"/>
                <w:szCs w:val="21"/>
              </w:rPr>
              <w:t>2016</w:t>
            </w:r>
            <w:r>
              <w:rPr>
                <w:rFonts w:asciiTheme="majorHAnsi" w:eastAsia="Times New Roman" w:hAnsiTheme="majorHAnsi" w:cstheme="majorBidi"/>
                <w:iCs/>
                <w:sz w:val="21"/>
                <w:szCs w:val="21"/>
              </w:rPr>
              <w:t>–</w:t>
            </w:r>
            <w:r w:rsidRPr="007F2129">
              <w:rPr>
                <w:rFonts w:asciiTheme="majorHAnsi" w:eastAsia="Times New Roman" w:hAnsiTheme="majorHAnsi" w:cstheme="majorBidi"/>
                <w:iCs/>
                <w:sz w:val="21"/>
                <w:szCs w:val="21"/>
              </w:rPr>
              <w:t>2020)</w:t>
            </w:r>
          </w:p>
          <w:p w14:paraId="3651BE04" w14:textId="77777777" w:rsidR="004E16F4" w:rsidRPr="00573F61" w:rsidRDefault="004E16F4" w:rsidP="0005244D">
            <w:pPr>
              <w:spacing w:after="0" w:line="240" w:lineRule="auto"/>
              <w:rPr>
                <w:rFonts w:eastAsia="Times New Roman" w:cstheme="minorHAnsi"/>
                <w:b/>
                <w:bCs/>
                <w:iCs/>
                <w:sz w:val="16"/>
                <w:szCs w:val="16"/>
              </w:rPr>
            </w:pPr>
          </w:p>
        </w:tc>
        <w:tc>
          <w:tcPr>
            <w:tcW w:w="5524" w:type="dxa"/>
          </w:tcPr>
          <w:p w14:paraId="6BD55B66" w14:textId="77777777" w:rsidR="00764343" w:rsidRPr="00764343" w:rsidRDefault="00764343" w:rsidP="004941F2">
            <w:pPr>
              <w:spacing w:after="0" w:line="240" w:lineRule="auto"/>
              <w:rPr>
                <w:rFonts w:asciiTheme="majorHAnsi" w:eastAsia="Calibri Light" w:hAnsiTheme="majorHAnsi" w:cstheme="majorHAnsi"/>
                <w:color w:val="221E1F"/>
                <w:sz w:val="12"/>
                <w:szCs w:val="12"/>
              </w:rPr>
            </w:pPr>
          </w:p>
          <w:p w14:paraId="1914B7AF" w14:textId="4932CCE7" w:rsidR="004941F2" w:rsidRDefault="00764343" w:rsidP="004941F2">
            <w:pPr>
              <w:spacing w:after="0" w:line="240" w:lineRule="auto"/>
              <w:rPr>
                <w:rFonts w:asciiTheme="majorHAnsi" w:eastAsia="Calibri Light" w:hAnsiTheme="majorHAnsi" w:cstheme="majorHAnsi"/>
                <w:sz w:val="21"/>
                <w:szCs w:val="21"/>
              </w:rPr>
            </w:pPr>
            <w:r>
              <w:rPr>
                <w:rFonts w:asciiTheme="majorHAnsi" w:eastAsia="Calibri Light" w:hAnsiTheme="majorHAnsi" w:cstheme="majorHAnsi"/>
                <w:color w:val="221E1F"/>
                <w:sz w:val="21"/>
                <w:szCs w:val="21"/>
              </w:rPr>
              <w:t>A</w:t>
            </w:r>
            <w:r w:rsidR="004941F2" w:rsidRPr="0005244D">
              <w:rPr>
                <w:rFonts w:asciiTheme="majorHAnsi" w:eastAsia="Calibri Light" w:hAnsiTheme="majorHAnsi" w:cstheme="majorHAnsi"/>
                <w:color w:val="221E1F"/>
                <w:sz w:val="21"/>
                <w:szCs w:val="21"/>
              </w:rPr>
              <w:t xml:space="preserve">ims to create a long-lasting partnership to generate innovative, collective action that addresses violence against women and children and creates communities that are safe, healthy and free of violence. </w:t>
            </w:r>
            <w:r>
              <w:rPr>
                <w:rFonts w:asciiTheme="majorHAnsi" w:eastAsia="Calibri Light" w:hAnsiTheme="majorHAnsi" w:cstheme="majorHAnsi"/>
                <w:color w:val="221E1F"/>
                <w:sz w:val="21"/>
                <w:szCs w:val="21"/>
              </w:rPr>
              <w:t>R</w:t>
            </w:r>
            <w:r w:rsidR="004941F2" w:rsidRPr="0005244D">
              <w:rPr>
                <w:rFonts w:asciiTheme="majorHAnsi" w:eastAsia="Calibri Light" w:hAnsiTheme="majorHAnsi" w:cstheme="majorHAnsi"/>
                <w:sz w:val="21"/>
                <w:szCs w:val="21"/>
              </w:rPr>
              <w:t>ecommends that all organisations working on the prevention, early intervention or responses to violence work together to strengthen regional:</w:t>
            </w:r>
          </w:p>
          <w:p w14:paraId="4AD77191" w14:textId="77777777" w:rsidR="004941F2" w:rsidRDefault="004941F2" w:rsidP="004941F2">
            <w:pPr>
              <w:spacing w:after="0" w:line="240" w:lineRule="auto"/>
              <w:rPr>
                <w:rFonts w:asciiTheme="majorHAnsi" w:eastAsia="Calibri Light" w:hAnsiTheme="majorHAnsi" w:cstheme="majorHAnsi"/>
                <w:sz w:val="21"/>
                <w:szCs w:val="21"/>
              </w:rPr>
            </w:pPr>
            <w:r w:rsidRPr="0005244D">
              <w:rPr>
                <w:rFonts w:asciiTheme="majorHAnsi" w:eastAsia="Calibri Light" w:hAnsiTheme="majorHAnsi" w:cstheme="majorHAnsi"/>
                <w:sz w:val="21"/>
                <w:szCs w:val="21"/>
              </w:rPr>
              <w:t>• Leadership</w:t>
            </w:r>
          </w:p>
          <w:p w14:paraId="462C9BF8" w14:textId="77777777" w:rsidR="004941F2" w:rsidRDefault="004941F2" w:rsidP="004941F2">
            <w:pPr>
              <w:spacing w:after="0" w:line="240" w:lineRule="auto"/>
              <w:rPr>
                <w:rFonts w:asciiTheme="majorHAnsi" w:eastAsia="Calibri Light" w:hAnsiTheme="majorHAnsi" w:cstheme="majorHAnsi"/>
                <w:sz w:val="21"/>
                <w:szCs w:val="21"/>
              </w:rPr>
            </w:pPr>
            <w:r w:rsidRPr="0005244D">
              <w:rPr>
                <w:rFonts w:asciiTheme="majorHAnsi" w:eastAsia="Calibri Light" w:hAnsiTheme="majorHAnsi" w:cstheme="majorHAnsi"/>
                <w:sz w:val="21"/>
                <w:szCs w:val="21"/>
              </w:rPr>
              <w:t>• Organisational capacity</w:t>
            </w:r>
          </w:p>
          <w:p w14:paraId="38686032" w14:textId="77777777" w:rsidR="004941F2" w:rsidRDefault="004941F2" w:rsidP="004941F2">
            <w:pPr>
              <w:spacing w:after="0" w:line="240" w:lineRule="auto"/>
              <w:rPr>
                <w:rFonts w:asciiTheme="majorHAnsi" w:eastAsia="Calibri Light" w:hAnsiTheme="majorHAnsi" w:cstheme="majorHAnsi"/>
                <w:sz w:val="21"/>
                <w:szCs w:val="21"/>
              </w:rPr>
            </w:pPr>
            <w:r w:rsidRPr="0005244D">
              <w:rPr>
                <w:rFonts w:asciiTheme="majorHAnsi" w:eastAsia="Calibri Light" w:hAnsiTheme="majorHAnsi" w:cstheme="majorHAnsi"/>
                <w:sz w:val="21"/>
                <w:szCs w:val="21"/>
              </w:rPr>
              <w:t>• Key messages</w:t>
            </w:r>
          </w:p>
          <w:p w14:paraId="173F359C" w14:textId="77777777" w:rsidR="004941F2" w:rsidRPr="0005244D" w:rsidRDefault="004941F2" w:rsidP="004941F2">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 The evidence base</w:t>
            </w:r>
          </w:p>
          <w:p w14:paraId="78F360CA" w14:textId="77777777" w:rsidR="004E16F4" w:rsidRPr="00573F61" w:rsidRDefault="004E16F4" w:rsidP="0005244D">
            <w:pPr>
              <w:spacing w:after="0" w:line="240" w:lineRule="auto"/>
              <w:rPr>
                <w:rFonts w:asciiTheme="majorHAnsi" w:hAnsiTheme="majorHAnsi" w:cstheme="majorHAnsi"/>
                <w:sz w:val="12"/>
                <w:szCs w:val="12"/>
              </w:rPr>
            </w:pPr>
          </w:p>
        </w:tc>
        <w:tc>
          <w:tcPr>
            <w:tcW w:w="7371" w:type="dxa"/>
          </w:tcPr>
          <w:p w14:paraId="289E769B" w14:textId="77777777" w:rsidR="004941F2" w:rsidRPr="00573F61" w:rsidRDefault="004941F2" w:rsidP="004941F2">
            <w:pPr>
              <w:spacing w:after="0" w:line="240" w:lineRule="auto"/>
              <w:rPr>
                <w:rFonts w:asciiTheme="majorHAnsi" w:eastAsia="Calibri Light" w:hAnsiTheme="majorHAnsi" w:cstheme="majorHAnsi"/>
                <w:sz w:val="12"/>
                <w:szCs w:val="12"/>
              </w:rPr>
            </w:pPr>
          </w:p>
          <w:p w14:paraId="6238D4D9" w14:textId="77777777" w:rsidR="004941F2" w:rsidRPr="0005244D" w:rsidRDefault="004941F2" w:rsidP="004941F2">
            <w:pPr>
              <w:spacing w:after="0" w:line="240" w:lineRule="auto"/>
              <w:rPr>
                <w:rFonts w:asciiTheme="majorHAnsi" w:eastAsia="Calibri Light" w:hAnsiTheme="majorHAnsi" w:cstheme="majorHAnsi"/>
                <w:sz w:val="21"/>
                <w:szCs w:val="21"/>
              </w:rPr>
            </w:pPr>
            <w:r w:rsidRPr="0005244D">
              <w:rPr>
                <w:rFonts w:asciiTheme="majorHAnsi" w:eastAsia="Calibri Light" w:hAnsiTheme="majorHAnsi" w:cstheme="majorHAnsi"/>
                <w:sz w:val="21"/>
                <w:szCs w:val="21"/>
              </w:rPr>
              <w:t xml:space="preserve">Aboriginal women, women from </w:t>
            </w:r>
            <w:r>
              <w:rPr>
                <w:rFonts w:asciiTheme="majorHAnsi" w:eastAsia="Calibri Light" w:hAnsiTheme="majorHAnsi" w:cstheme="majorHAnsi"/>
                <w:sz w:val="21"/>
                <w:szCs w:val="21"/>
              </w:rPr>
              <w:t>CALD</w:t>
            </w:r>
            <w:r w:rsidRPr="0005244D">
              <w:rPr>
                <w:rFonts w:asciiTheme="majorHAnsi" w:eastAsia="Calibri Light" w:hAnsiTheme="majorHAnsi" w:cstheme="majorHAnsi"/>
                <w:sz w:val="21"/>
                <w:szCs w:val="21"/>
              </w:rPr>
              <w:t xml:space="preserve"> backgrounds, women with disabilities</w:t>
            </w:r>
            <w:r>
              <w:rPr>
                <w:rFonts w:asciiTheme="majorHAnsi" w:eastAsia="Calibri Light" w:hAnsiTheme="majorHAnsi" w:cstheme="majorHAnsi"/>
                <w:sz w:val="21"/>
                <w:szCs w:val="21"/>
              </w:rPr>
              <w:t>,</w:t>
            </w:r>
            <w:r w:rsidRPr="0005244D">
              <w:rPr>
                <w:rFonts w:asciiTheme="majorHAnsi" w:eastAsia="Calibri Light" w:hAnsiTheme="majorHAnsi" w:cstheme="majorHAnsi"/>
                <w:sz w:val="21"/>
                <w:szCs w:val="21"/>
              </w:rPr>
              <w:t xml:space="preserve"> and women from rural</w:t>
            </w:r>
            <w:r>
              <w:rPr>
                <w:rFonts w:asciiTheme="majorHAnsi" w:eastAsia="Calibri Light" w:hAnsiTheme="majorHAnsi" w:cstheme="majorHAnsi"/>
                <w:sz w:val="21"/>
                <w:szCs w:val="21"/>
              </w:rPr>
              <w:t>/</w:t>
            </w:r>
            <w:r w:rsidRPr="0005244D">
              <w:rPr>
                <w:rFonts w:asciiTheme="majorHAnsi" w:eastAsia="Calibri Light" w:hAnsiTheme="majorHAnsi" w:cstheme="majorHAnsi"/>
                <w:sz w:val="21"/>
                <w:szCs w:val="21"/>
              </w:rPr>
              <w:t>remote areas comprise particularly at-risk groups. However</w:t>
            </w:r>
            <w:r>
              <w:rPr>
                <w:rFonts w:asciiTheme="majorHAnsi" w:eastAsia="Calibri Light" w:hAnsiTheme="majorHAnsi" w:cstheme="majorHAnsi"/>
                <w:sz w:val="21"/>
                <w:szCs w:val="21"/>
              </w:rPr>
              <w:t>,</w:t>
            </w:r>
            <w:r w:rsidRPr="0005244D">
              <w:rPr>
                <w:rFonts w:asciiTheme="majorHAnsi" w:eastAsia="Calibri Light" w:hAnsiTheme="majorHAnsi" w:cstheme="majorHAnsi"/>
                <w:sz w:val="21"/>
                <w:szCs w:val="21"/>
              </w:rPr>
              <w:t xml:space="preserve"> the plan does not make any specific recommendations for action in the three </w:t>
            </w:r>
            <w:r>
              <w:rPr>
                <w:rFonts w:asciiTheme="majorHAnsi" w:eastAsia="Calibri Light" w:hAnsiTheme="majorHAnsi" w:cstheme="majorHAnsi"/>
                <w:sz w:val="21"/>
                <w:szCs w:val="21"/>
              </w:rPr>
              <w:t>localities</w:t>
            </w:r>
            <w:r w:rsidRPr="0005244D">
              <w:rPr>
                <w:rFonts w:asciiTheme="majorHAnsi" w:eastAsia="Calibri Light" w:hAnsiTheme="majorHAnsi" w:cstheme="majorHAnsi"/>
                <w:sz w:val="21"/>
                <w:szCs w:val="21"/>
              </w:rPr>
              <w:t>.</w:t>
            </w:r>
          </w:p>
          <w:p w14:paraId="394A800B" w14:textId="77777777" w:rsidR="004941F2" w:rsidRPr="0005244D" w:rsidRDefault="004941F2" w:rsidP="004941F2">
            <w:pPr>
              <w:spacing w:after="0" w:line="240" w:lineRule="auto"/>
              <w:rPr>
                <w:rFonts w:asciiTheme="majorHAnsi" w:eastAsia="Calibri Light" w:hAnsiTheme="majorHAnsi" w:cstheme="majorHAnsi"/>
                <w:b/>
                <w:bCs/>
                <w:sz w:val="21"/>
                <w:szCs w:val="21"/>
              </w:rPr>
            </w:pPr>
            <w:r w:rsidRPr="0005244D">
              <w:rPr>
                <w:rFonts w:asciiTheme="majorHAnsi" w:eastAsia="Calibri Light" w:hAnsiTheme="majorHAnsi" w:cstheme="majorHAnsi"/>
                <w:b/>
                <w:bCs/>
                <w:sz w:val="21"/>
                <w:szCs w:val="21"/>
              </w:rPr>
              <w:t xml:space="preserve"> </w:t>
            </w:r>
          </w:p>
          <w:p w14:paraId="2BD50E36" w14:textId="77777777" w:rsidR="004E16F4" w:rsidRPr="00573F61" w:rsidRDefault="004E16F4" w:rsidP="0005244D">
            <w:pPr>
              <w:spacing w:after="0" w:line="240" w:lineRule="auto"/>
              <w:rPr>
                <w:rFonts w:asciiTheme="majorHAnsi" w:eastAsia="Calibri Light" w:hAnsiTheme="majorHAnsi" w:cstheme="majorHAnsi"/>
                <w:sz w:val="12"/>
                <w:szCs w:val="12"/>
              </w:rPr>
            </w:pPr>
          </w:p>
        </w:tc>
      </w:tr>
      <w:tr w:rsidR="00F00E3D" w:rsidRPr="0005244D" w14:paraId="2631790B" w14:textId="77777777" w:rsidTr="00BD6662">
        <w:tc>
          <w:tcPr>
            <w:tcW w:w="1696" w:type="dxa"/>
          </w:tcPr>
          <w:p w14:paraId="0391AED5" w14:textId="77777777" w:rsidR="00573F61" w:rsidRPr="004941F2" w:rsidRDefault="00573F61" w:rsidP="0005244D">
            <w:pPr>
              <w:spacing w:after="0" w:line="240" w:lineRule="auto"/>
              <w:rPr>
                <w:rFonts w:eastAsia="Times New Roman" w:cstheme="minorHAnsi"/>
                <w:b/>
                <w:bCs/>
                <w:iCs/>
                <w:sz w:val="12"/>
                <w:szCs w:val="12"/>
              </w:rPr>
            </w:pPr>
          </w:p>
          <w:p w14:paraId="65809CE5" w14:textId="77777777" w:rsidR="00573F61" w:rsidRPr="00573F61" w:rsidRDefault="00F00E3D" w:rsidP="0005244D">
            <w:pPr>
              <w:spacing w:after="0" w:line="240" w:lineRule="auto"/>
              <w:rPr>
                <w:rFonts w:eastAsia="Calibri Light" w:cstheme="minorHAnsi"/>
                <w:b/>
                <w:bCs/>
                <w:sz w:val="21"/>
                <w:szCs w:val="21"/>
              </w:rPr>
            </w:pPr>
            <w:r w:rsidRPr="00573F61">
              <w:rPr>
                <w:rFonts w:eastAsia="Calibri Light" w:cstheme="minorHAnsi"/>
                <w:b/>
                <w:bCs/>
                <w:sz w:val="21"/>
                <w:szCs w:val="21"/>
              </w:rPr>
              <w:t>RISE (Regional Industry Sector Employment Program)</w:t>
            </w:r>
          </w:p>
          <w:p w14:paraId="20A03FB3" w14:textId="51F956B7" w:rsidR="00F00E3D" w:rsidRPr="0005244D" w:rsidRDefault="00F00E3D" w:rsidP="0005244D">
            <w:pPr>
              <w:spacing w:after="0" w:line="240" w:lineRule="auto"/>
              <w:rPr>
                <w:rFonts w:asciiTheme="majorHAnsi" w:hAnsiTheme="majorHAnsi" w:cstheme="majorHAnsi"/>
                <w:i/>
                <w:sz w:val="21"/>
                <w:szCs w:val="21"/>
              </w:rPr>
            </w:pPr>
            <w:r w:rsidRPr="007F2129">
              <w:rPr>
                <w:rFonts w:asciiTheme="majorHAnsi" w:eastAsia="Calibri Light" w:hAnsiTheme="majorHAnsi" w:cstheme="majorHAnsi"/>
                <w:noProof/>
                <w:sz w:val="21"/>
                <w:szCs w:val="21"/>
              </w:rPr>
              <w:t>(City of Greater Geelong</w:t>
            </w:r>
            <w:r w:rsidRPr="00573F61">
              <w:rPr>
                <w:rFonts w:asciiTheme="majorHAnsi" w:eastAsia="Calibri Light" w:hAnsiTheme="majorHAnsi" w:cstheme="majorHAnsi"/>
                <w:noProof/>
                <w:sz w:val="21"/>
                <w:szCs w:val="21"/>
              </w:rPr>
              <w:t>)</w:t>
            </w:r>
          </w:p>
          <w:p w14:paraId="3EB86A8E"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Calibri Light" w:hAnsiTheme="majorHAnsi" w:cstheme="majorHAnsi"/>
                <w:b/>
                <w:bCs/>
                <w:sz w:val="21"/>
                <w:szCs w:val="21"/>
              </w:rPr>
              <w:t xml:space="preserve"> </w:t>
            </w:r>
          </w:p>
          <w:p w14:paraId="43DC953A" w14:textId="77777777" w:rsidR="00F00E3D" w:rsidRPr="0005244D" w:rsidRDefault="00F00E3D" w:rsidP="0005244D">
            <w:pPr>
              <w:spacing w:after="0" w:line="240" w:lineRule="auto"/>
              <w:rPr>
                <w:rFonts w:asciiTheme="majorHAnsi" w:hAnsiTheme="majorHAnsi" w:cstheme="majorHAnsi"/>
                <w:sz w:val="21"/>
                <w:szCs w:val="21"/>
              </w:rPr>
            </w:pPr>
            <w:r w:rsidRPr="0005244D">
              <w:rPr>
                <w:rFonts w:asciiTheme="majorHAnsi" w:eastAsia="Calibri Light" w:hAnsiTheme="majorHAnsi" w:cstheme="majorHAnsi"/>
                <w:b/>
                <w:bCs/>
                <w:sz w:val="21"/>
                <w:szCs w:val="21"/>
              </w:rPr>
              <w:t xml:space="preserve"> </w:t>
            </w:r>
          </w:p>
          <w:p w14:paraId="7FA10F8B" w14:textId="3C4507CC" w:rsidR="00F00E3D" w:rsidRPr="00110F3E" w:rsidRDefault="00F00E3D" w:rsidP="0005244D">
            <w:pPr>
              <w:spacing w:after="0" w:line="240" w:lineRule="auto"/>
              <w:rPr>
                <w:rFonts w:asciiTheme="majorHAnsi" w:eastAsia="Calibri Light" w:hAnsiTheme="majorHAnsi" w:cstheme="majorHAnsi"/>
                <w:b/>
                <w:sz w:val="21"/>
                <w:szCs w:val="21"/>
              </w:rPr>
            </w:pPr>
          </w:p>
          <w:p w14:paraId="60DE41B4" w14:textId="6806E5D5" w:rsidR="00F00E3D" w:rsidRPr="0005244D" w:rsidRDefault="00F00E3D" w:rsidP="0005244D">
            <w:pPr>
              <w:spacing w:after="0" w:line="240" w:lineRule="auto"/>
              <w:rPr>
                <w:rFonts w:asciiTheme="majorHAnsi" w:hAnsiTheme="majorHAnsi" w:cstheme="majorHAnsi"/>
                <w:sz w:val="21"/>
                <w:szCs w:val="21"/>
              </w:rPr>
            </w:pPr>
          </w:p>
        </w:tc>
        <w:tc>
          <w:tcPr>
            <w:tcW w:w="5524" w:type="dxa"/>
          </w:tcPr>
          <w:p w14:paraId="3AEEEE3C" w14:textId="77777777" w:rsidR="004941F2" w:rsidRDefault="004941F2" w:rsidP="0005244D">
            <w:pPr>
              <w:spacing w:after="0" w:line="240" w:lineRule="auto"/>
              <w:rPr>
                <w:rFonts w:asciiTheme="majorHAnsi" w:hAnsiTheme="majorHAnsi" w:cstheme="majorHAnsi"/>
                <w:sz w:val="12"/>
                <w:szCs w:val="12"/>
              </w:rPr>
            </w:pPr>
          </w:p>
          <w:p w14:paraId="2E97C12C" w14:textId="1F5279A5" w:rsidR="00F00E3D" w:rsidRPr="0005244D" w:rsidRDefault="00F00E3D" w:rsidP="0005244D">
            <w:pPr>
              <w:spacing w:after="0" w:line="240" w:lineRule="auto"/>
              <w:rPr>
                <w:rFonts w:asciiTheme="majorHAnsi" w:hAnsiTheme="majorHAnsi" w:cstheme="majorBidi"/>
                <w:sz w:val="21"/>
                <w:szCs w:val="21"/>
              </w:rPr>
            </w:pPr>
            <w:r w:rsidRPr="0005244D">
              <w:rPr>
                <w:rFonts w:asciiTheme="majorHAnsi" w:eastAsia="Calibri Light" w:hAnsiTheme="majorHAnsi" w:cstheme="majorBidi"/>
                <w:color w:val="000000" w:themeColor="text1"/>
                <w:sz w:val="21"/>
                <w:szCs w:val="21"/>
              </w:rPr>
              <w:t>The Regional Industry Sector Employment program (RISE) is a collaborative program that connects jobseekers with construction industry employment opportunities through training, recruitment, mentoring</w:t>
            </w:r>
            <w:r w:rsidR="00D53E0B">
              <w:rPr>
                <w:rFonts w:asciiTheme="majorHAnsi" w:eastAsia="Calibri Light" w:hAnsiTheme="majorHAnsi" w:cstheme="majorBidi"/>
                <w:color w:val="000000" w:themeColor="text1"/>
                <w:sz w:val="21"/>
                <w:szCs w:val="21"/>
              </w:rPr>
              <w:t>,</w:t>
            </w:r>
            <w:r w:rsidRPr="0005244D">
              <w:rPr>
                <w:rFonts w:asciiTheme="majorHAnsi" w:eastAsia="Calibri Light" w:hAnsiTheme="majorHAnsi" w:cstheme="majorBidi"/>
                <w:color w:val="000000" w:themeColor="text1"/>
                <w:sz w:val="21"/>
                <w:szCs w:val="21"/>
              </w:rPr>
              <w:t xml:space="preserve"> and support. </w:t>
            </w:r>
            <w:r w:rsidRPr="0005244D">
              <w:rPr>
                <w:rFonts w:asciiTheme="majorHAnsi" w:eastAsia="Calibri Light" w:hAnsiTheme="majorHAnsi" w:cstheme="majorBidi"/>
                <w:color w:val="221E1F"/>
                <w:sz w:val="21"/>
                <w:szCs w:val="21"/>
              </w:rPr>
              <w:t>Participants graduate with a Certificate II in Construction Pathways from The Gordon and a construction industry White Card, plus work experience, skills</w:t>
            </w:r>
            <w:r w:rsidR="00D53E0B">
              <w:rPr>
                <w:rFonts w:asciiTheme="majorHAnsi" w:eastAsia="Calibri Light" w:hAnsiTheme="majorHAnsi" w:cstheme="majorBidi"/>
                <w:color w:val="221E1F"/>
                <w:sz w:val="21"/>
                <w:szCs w:val="21"/>
              </w:rPr>
              <w:t>,</w:t>
            </w:r>
            <w:r w:rsidRPr="0005244D">
              <w:rPr>
                <w:rFonts w:asciiTheme="majorHAnsi" w:eastAsia="Calibri Light" w:hAnsiTheme="majorHAnsi" w:cstheme="majorBidi"/>
                <w:color w:val="221E1F"/>
                <w:sz w:val="21"/>
                <w:szCs w:val="21"/>
              </w:rPr>
              <w:t xml:space="preserve"> and mentoring.</w:t>
            </w:r>
          </w:p>
          <w:p w14:paraId="0EDA7ECB" w14:textId="77777777" w:rsidR="00F00E3D" w:rsidRPr="0005244D" w:rsidRDefault="00F00E3D" w:rsidP="0005244D">
            <w:pPr>
              <w:spacing w:after="0" w:line="240" w:lineRule="auto"/>
              <w:rPr>
                <w:rFonts w:asciiTheme="majorHAnsi" w:eastAsia="Calibri Light" w:hAnsiTheme="majorHAnsi" w:cstheme="majorHAnsi"/>
                <w:color w:val="000000" w:themeColor="text1"/>
                <w:sz w:val="21"/>
                <w:szCs w:val="21"/>
              </w:rPr>
            </w:pPr>
          </w:p>
          <w:p w14:paraId="6F3EE1FF" w14:textId="6BF71557" w:rsidR="00D55201" w:rsidRPr="0005244D" w:rsidRDefault="00D55201" w:rsidP="0005244D">
            <w:pPr>
              <w:spacing w:after="0" w:line="240" w:lineRule="auto"/>
              <w:rPr>
                <w:rFonts w:asciiTheme="majorHAnsi" w:hAnsiTheme="majorHAnsi" w:cstheme="majorBidi"/>
                <w:sz w:val="21"/>
                <w:szCs w:val="21"/>
              </w:rPr>
            </w:pPr>
          </w:p>
        </w:tc>
        <w:tc>
          <w:tcPr>
            <w:tcW w:w="7371" w:type="dxa"/>
          </w:tcPr>
          <w:p w14:paraId="5FD0E7BB" w14:textId="3A103C67" w:rsidR="00A34E16" w:rsidRPr="004941F2" w:rsidRDefault="00A34E16" w:rsidP="0005244D">
            <w:pPr>
              <w:spacing w:after="0" w:line="240" w:lineRule="auto"/>
              <w:rPr>
                <w:rFonts w:asciiTheme="majorHAnsi" w:eastAsia="Calibri Light" w:hAnsiTheme="majorHAnsi" w:cstheme="majorHAnsi"/>
                <w:b/>
                <w:bCs/>
                <w:sz w:val="12"/>
                <w:szCs w:val="12"/>
              </w:rPr>
            </w:pPr>
          </w:p>
          <w:p w14:paraId="6F4731A4" w14:textId="1E91F0D5" w:rsidR="00F00E3D" w:rsidRPr="0005244D" w:rsidRDefault="00F00E3D" w:rsidP="0005244D">
            <w:pPr>
              <w:spacing w:after="0" w:line="240" w:lineRule="auto"/>
              <w:rPr>
                <w:rFonts w:asciiTheme="majorHAnsi" w:eastAsia="Calibri Light" w:hAnsiTheme="majorHAnsi" w:cstheme="majorBidi"/>
                <w:sz w:val="21"/>
                <w:szCs w:val="21"/>
              </w:rPr>
            </w:pPr>
            <w:r w:rsidRPr="0005244D">
              <w:rPr>
                <w:rFonts w:asciiTheme="majorHAnsi" w:eastAsia="Calibri Light" w:hAnsiTheme="majorHAnsi" w:cstheme="majorBidi"/>
                <w:sz w:val="21"/>
                <w:szCs w:val="21"/>
              </w:rPr>
              <w:t>Established in 2018, RISE works with Northern Futures and in Whittington to connect young unemployed people with training and construction jobs</w:t>
            </w:r>
          </w:p>
          <w:p w14:paraId="1948565E" w14:textId="77777777" w:rsidR="00F00E3D" w:rsidRPr="0005244D" w:rsidRDefault="00F00E3D" w:rsidP="0005244D">
            <w:pPr>
              <w:spacing w:after="0" w:line="240" w:lineRule="auto"/>
              <w:rPr>
                <w:rFonts w:asciiTheme="majorHAnsi" w:eastAsia="Calibri Light" w:hAnsiTheme="majorHAnsi" w:cstheme="majorHAnsi"/>
                <w:sz w:val="21"/>
                <w:szCs w:val="21"/>
              </w:rPr>
            </w:pPr>
            <w:r w:rsidRPr="0005244D">
              <w:rPr>
                <w:rFonts w:asciiTheme="majorHAnsi" w:eastAsia="Calibri Light" w:hAnsiTheme="majorHAnsi" w:cstheme="majorHAnsi"/>
                <w:sz w:val="21"/>
                <w:szCs w:val="21"/>
              </w:rPr>
              <w:t xml:space="preserve"> </w:t>
            </w:r>
          </w:p>
          <w:p w14:paraId="07261C4F" w14:textId="77777777" w:rsidR="00F00E3D" w:rsidRPr="0005244D" w:rsidRDefault="00F00E3D" w:rsidP="0005244D">
            <w:pPr>
              <w:spacing w:after="0" w:line="240" w:lineRule="auto"/>
              <w:rPr>
                <w:rFonts w:asciiTheme="majorHAnsi" w:eastAsia="Calibri Light" w:hAnsiTheme="majorHAnsi" w:cstheme="majorHAnsi"/>
                <w:sz w:val="21"/>
                <w:szCs w:val="21"/>
              </w:rPr>
            </w:pPr>
            <w:r w:rsidRPr="0005244D">
              <w:rPr>
                <w:rFonts w:asciiTheme="majorHAnsi" w:eastAsia="Calibri Light" w:hAnsiTheme="majorHAnsi" w:cstheme="majorHAnsi"/>
                <w:sz w:val="21"/>
                <w:szCs w:val="21"/>
              </w:rPr>
              <w:t xml:space="preserve"> </w:t>
            </w:r>
          </w:p>
          <w:p w14:paraId="5C18B31A" w14:textId="77777777" w:rsidR="00F00E3D" w:rsidRPr="0005244D" w:rsidRDefault="00F00E3D" w:rsidP="0005244D">
            <w:pPr>
              <w:spacing w:after="0" w:line="240" w:lineRule="auto"/>
              <w:rPr>
                <w:rFonts w:asciiTheme="majorHAnsi" w:eastAsia="Calibri Light" w:hAnsiTheme="majorHAnsi" w:cstheme="majorHAnsi"/>
                <w:sz w:val="21"/>
                <w:szCs w:val="21"/>
              </w:rPr>
            </w:pPr>
            <w:r w:rsidRPr="0005244D">
              <w:rPr>
                <w:rFonts w:asciiTheme="majorHAnsi" w:eastAsia="Calibri Light" w:hAnsiTheme="majorHAnsi" w:cstheme="majorHAnsi"/>
                <w:sz w:val="21"/>
                <w:szCs w:val="21"/>
              </w:rPr>
              <w:t xml:space="preserve"> </w:t>
            </w:r>
          </w:p>
          <w:p w14:paraId="3A9BD353" w14:textId="77777777" w:rsidR="00F00E3D" w:rsidRPr="00E46435" w:rsidRDefault="00F00E3D" w:rsidP="0005244D">
            <w:pPr>
              <w:spacing w:after="0" w:line="240" w:lineRule="auto"/>
              <w:rPr>
                <w:rFonts w:asciiTheme="majorHAnsi" w:eastAsia="Calibri Light" w:hAnsiTheme="majorHAnsi" w:cstheme="majorBidi"/>
                <w:sz w:val="16"/>
                <w:szCs w:val="16"/>
              </w:rPr>
            </w:pPr>
            <w:r w:rsidRPr="0005244D">
              <w:rPr>
                <w:rFonts w:asciiTheme="majorHAnsi" w:eastAsia="Calibri Light" w:hAnsiTheme="majorHAnsi" w:cstheme="majorBidi"/>
                <w:sz w:val="21"/>
                <w:szCs w:val="21"/>
              </w:rPr>
              <w:t xml:space="preserve"> </w:t>
            </w:r>
          </w:p>
          <w:p w14:paraId="49CC7C01" w14:textId="77777777" w:rsidR="00F00E3D" w:rsidRPr="00E46435" w:rsidRDefault="00F00E3D" w:rsidP="006346FE">
            <w:pPr>
              <w:spacing w:after="0" w:line="240" w:lineRule="auto"/>
              <w:rPr>
                <w:rFonts w:asciiTheme="majorHAnsi" w:eastAsia="Calibri Light" w:hAnsiTheme="majorHAnsi" w:cstheme="majorHAnsi"/>
                <w:sz w:val="16"/>
                <w:szCs w:val="16"/>
              </w:rPr>
            </w:pPr>
          </w:p>
          <w:p w14:paraId="2C5C2E02" w14:textId="20A7711D" w:rsidR="00E46435" w:rsidRDefault="00E46435" w:rsidP="006346FE">
            <w:pPr>
              <w:spacing w:after="0" w:line="240" w:lineRule="auto"/>
              <w:rPr>
                <w:rFonts w:asciiTheme="majorHAnsi" w:eastAsia="Calibri Light" w:hAnsiTheme="majorHAnsi" w:cstheme="majorHAnsi"/>
                <w:sz w:val="16"/>
                <w:szCs w:val="16"/>
              </w:rPr>
            </w:pPr>
          </w:p>
          <w:p w14:paraId="52AB2958" w14:textId="77777777" w:rsidR="00110F3E" w:rsidRPr="00E46435" w:rsidRDefault="00110F3E" w:rsidP="006346FE">
            <w:pPr>
              <w:spacing w:after="0" w:line="240" w:lineRule="auto"/>
              <w:rPr>
                <w:rFonts w:asciiTheme="majorHAnsi" w:eastAsia="Calibri Light" w:hAnsiTheme="majorHAnsi" w:cstheme="majorHAnsi"/>
                <w:sz w:val="16"/>
                <w:szCs w:val="16"/>
              </w:rPr>
            </w:pPr>
          </w:p>
          <w:p w14:paraId="105E3FD8" w14:textId="77777777" w:rsidR="00E46435" w:rsidRDefault="00E46435" w:rsidP="006346FE">
            <w:pPr>
              <w:spacing w:after="0" w:line="240" w:lineRule="auto"/>
              <w:rPr>
                <w:rFonts w:asciiTheme="majorHAnsi" w:eastAsiaTheme="minorEastAsia" w:hAnsiTheme="majorHAnsi" w:cstheme="majorBidi"/>
                <w:color w:val="000000" w:themeColor="text1"/>
                <w:sz w:val="21"/>
                <w:szCs w:val="21"/>
              </w:rPr>
            </w:pPr>
          </w:p>
          <w:p w14:paraId="1C08A909" w14:textId="77777777" w:rsidR="00E46435" w:rsidRDefault="00E46435" w:rsidP="006346FE">
            <w:pPr>
              <w:spacing w:after="0" w:line="240" w:lineRule="auto"/>
              <w:rPr>
                <w:rFonts w:asciiTheme="majorHAnsi" w:eastAsiaTheme="minorEastAsia" w:hAnsiTheme="majorHAnsi" w:cstheme="majorBidi"/>
                <w:color w:val="000000" w:themeColor="text1"/>
                <w:sz w:val="21"/>
                <w:szCs w:val="21"/>
              </w:rPr>
            </w:pPr>
          </w:p>
          <w:p w14:paraId="0ED54129" w14:textId="0AC3FE8A" w:rsidR="00E46435" w:rsidRPr="006346FE" w:rsidRDefault="00E46435" w:rsidP="006346FE">
            <w:pPr>
              <w:spacing w:after="0" w:line="240" w:lineRule="auto"/>
              <w:rPr>
                <w:rFonts w:asciiTheme="majorHAnsi" w:eastAsiaTheme="minorEastAsia" w:hAnsiTheme="majorHAnsi" w:cstheme="majorBidi"/>
                <w:color w:val="000000" w:themeColor="text1"/>
                <w:sz w:val="21"/>
                <w:szCs w:val="21"/>
              </w:rPr>
            </w:pPr>
          </w:p>
        </w:tc>
      </w:tr>
      <w:tr w:rsidR="006346FE" w:rsidRPr="0005244D" w14:paraId="13C7E688" w14:textId="77777777" w:rsidTr="00BD6662">
        <w:tc>
          <w:tcPr>
            <w:tcW w:w="1696" w:type="dxa"/>
          </w:tcPr>
          <w:p w14:paraId="645DC3CA" w14:textId="77777777" w:rsidR="006346FE" w:rsidRPr="006346FE" w:rsidRDefault="006346FE" w:rsidP="0005244D">
            <w:pPr>
              <w:spacing w:after="0" w:line="240" w:lineRule="auto"/>
              <w:rPr>
                <w:rFonts w:asciiTheme="majorHAnsi" w:eastAsia="Calibri Light" w:hAnsiTheme="majorHAnsi" w:cstheme="majorHAnsi"/>
                <w:iCs/>
                <w:sz w:val="12"/>
                <w:szCs w:val="12"/>
              </w:rPr>
            </w:pPr>
          </w:p>
          <w:p w14:paraId="3D06B59D" w14:textId="6697887A" w:rsidR="00E46435" w:rsidRPr="00E46435" w:rsidRDefault="001B7DDF" w:rsidP="0005244D">
            <w:pPr>
              <w:spacing w:after="0" w:line="240" w:lineRule="auto"/>
              <w:rPr>
                <w:rFonts w:eastAsia="Calibri Light" w:cstheme="minorHAnsi"/>
                <w:b/>
                <w:bCs/>
                <w:iCs/>
                <w:sz w:val="21"/>
                <w:szCs w:val="21"/>
              </w:rPr>
            </w:pPr>
            <w:r>
              <w:rPr>
                <w:rFonts w:eastAsia="Calibri Light" w:cstheme="minorHAnsi"/>
                <w:b/>
                <w:bCs/>
                <w:iCs/>
                <w:sz w:val="21"/>
                <w:szCs w:val="21"/>
              </w:rPr>
              <w:t>CoGG</w:t>
            </w:r>
            <w:r w:rsidR="006346FE" w:rsidRPr="00E46435">
              <w:rPr>
                <w:rFonts w:eastAsia="Calibri Light" w:cstheme="minorHAnsi"/>
                <w:b/>
                <w:bCs/>
                <w:iCs/>
                <w:sz w:val="21"/>
                <w:szCs w:val="21"/>
              </w:rPr>
              <w:t xml:space="preserve"> Smart City Strategic Framework</w:t>
            </w:r>
          </w:p>
          <w:p w14:paraId="3038F7B4" w14:textId="34F1D860" w:rsidR="006346FE" w:rsidRPr="00E46435" w:rsidRDefault="006346FE" w:rsidP="0005244D">
            <w:pPr>
              <w:spacing w:after="0" w:line="240" w:lineRule="auto"/>
              <w:rPr>
                <w:rFonts w:eastAsia="Times New Roman" w:cstheme="minorHAnsi"/>
                <w:b/>
                <w:bCs/>
                <w:iCs/>
                <w:sz w:val="12"/>
                <w:szCs w:val="12"/>
              </w:rPr>
            </w:pPr>
            <w:r w:rsidRPr="00E46435">
              <w:rPr>
                <w:rFonts w:asciiTheme="majorHAnsi" w:eastAsia="Calibri Light" w:hAnsiTheme="majorHAnsi" w:cstheme="majorHAnsi"/>
                <w:iCs/>
                <w:noProof/>
                <w:sz w:val="21"/>
                <w:szCs w:val="21"/>
              </w:rPr>
              <w:t>(City of Greater Geelong, 2020b)</w:t>
            </w:r>
          </w:p>
        </w:tc>
        <w:tc>
          <w:tcPr>
            <w:tcW w:w="5524" w:type="dxa"/>
          </w:tcPr>
          <w:p w14:paraId="657888A9" w14:textId="77777777" w:rsidR="006346FE" w:rsidRPr="00D55201" w:rsidRDefault="006346FE" w:rsidP="0005244D">
            <w:pPr>
              <w:spacing w:after="0" w:line="240" w:lineRule="auto"/>
              <w:rPr>
                <w:rFonts w:asciiTheme="majorHAnsi" w:eastAsia="Calibri Light" w:hAnsiTheme="majorHAnsi" w:cstheme="majorBidi"/>
                <w:color w:val="000000" w:themeColor="text1"/>
                <w:sz w:val="12"/>
                <w:szCs w:val="12"/>
              </w:rPr>
            </w:pPr>
          </w:p>
          <w:p w14:paraId="26F3A412" w14:textId="77777777" w:rsidR="00D55201" w:rsidRPr="00E46435" w:rsidRDefault="006346FE" w:rsidP="00364C5D">
            <w:pPr>
              <w:pStyle w:val="ListParagraph"/>
              <w:numPr>
                <w:ilvl w:val="0"/>
                <w:numId w:val="89"/>
              </w:numPr>
              <w:spacing w:after="0" w:line="240" w:lineRule="auto"/>
              <w:rPr>
                <w:rFonts w:asciiTheme="majorHAnsi" w:eastAsia="Calibri Light" w:hAnsiTheme="majorHAnsi" w:cstheme="majorBidi"/>
                <w:color w:val="000000" w:themeColor="text1"/>
                <w:sz w:val="21"/>
                <w:szCs w:val="21"/>
              </w:rPr>
            </w:pPr>
            <w:r w:rsidRPr="00E46435">
              <w:rPr>
                <w:rFonts w:asciiTheme="majorHAnsi" w:eastAsia="Calibri Light" w:hAnsiTheme="majorHAnsi" w:cstheme="majorBidi"/>
                <w:color w:val="000000" w:themeColor="text1"/>
                <w:sz w:val="21"/>
                <w:szCs w:val="21"/>
              </w:rPr>
              <w:t>Pillar 1: A city that nurtures inclusive, connected communities Pillar 2: A city that celebrates creativity, design and innovation Pillar 3: A city that creates intelligent places and spaces</w:t>
            </w:r>
          </w:p>
          <w:p w14:paraId="0C5AB802" w14:textId="77777777" w:rsidR="00E46435" w:rsidRDefault="006346FE" w:rsidP="00364C5D">
            <w:pPr>
              <w:pStyle w:val="ListParagraph"/>
              <w:numPr>
                <w:ilvl w:val="0"/>
                <w:numId w:val="89"/>
              </w:numPr>
              <w:spacing w:after="0" w:line="240" w:lineRule="auto"/>
              <w:rPr>
                <w:rFonts w:asciiTheme="majorHAnsi" w:eastAsia="Calibri Light" w:hAnsiTheme="majorHAnsi" w:cstheme="majorBidi"/>
                <w:color w:val="000000" w:themeColor="text1"/>
                <w:sz w:val="21"/>
                <w:szCs w:val="21"/>
              </w:rPr>
            </w:pPr>
            <w:r w:rsidRPr="00E46435">
              <w:rPr>
                <w:rFonts w:asciiTheme="majorHAnsi" w:eastAsia="Calibri Light" w:hAnsiTheme="majorHAnsi" w:cstheme="majorBidi"/>
                <w:color w:val="000000" w:themeColor="text1"/>
                <w:sz w:val="21"/>
                <w:szCs w:val="21"/>
              </w:rPr>
              <w:t>Pillar 4: A city that harnesses the value of dat</w:t>
            </w:r>
            <w:r w:rsidR="00E46435" w:rsidRPr="00E46435">
              <w:rPr>
                <w:rFonts w:asciiTheme="majorHAnsi" w:eastAsia="Calibri Light" w:hAnsiTheme="majorHAnsi" w:cstheme="majorBidi"/>
                <w:color w:val="000000" w:themeColor="text1"/>
                <w:sz w:val="21"/>
                <w:szCs w:val="21"/>
              </w:rPr>
              <w:t>a</w:t>
            </w:r>
          </w:p>
          <w:p w14:paraId="14754783" w14:textId="11EA4B71" w:rsidR="006346FE" w:rsidRDefault="006346FE" w:rsidP="00364C5D">
            <w:pPr>
              <w:pStyle w:val="ListParagraph"/>
              <w:numPr>
                <w:ilvl w:val="0"/>
                <w:numId w:val="89"/>
              </w:numPr>
              <w:spacing w:after="0" w:line="240" w:lineRule="auto"/>
              <w:rPr>
                <w:rFonts w:asciiTheme="majorHAnsi" w:eastAsia="Calibri Light" w:hAnsiTheme="majorHAnsi" w:cstheme="majorBidi"/>
                <w:color w:val="000000" w:themeColor="text1"/>
                <w:sz w:val="21"/>
                <w:szCs w:val="21"/>
              </w:rPr>
            </w:pPr>
            <w:r w:rsidRPr="00E46435">
              <w:rPr>
                <w:rFonts w:asciiTheme="majorHAnsi" w:eastAsia="Calibri Light" w:hAnsiTheme="majorHAnsi" w:cstheme="majorBidi"/>
                <w:color w:val="000000" w:themeColor="text1"/>
                <w:sz w:val="21"/>
                <w:szCs w:val="21"/>
              </w:rPr>
              <w:t>Pillar 5: A city that prioritises digital infrastructure and communications</w:t>
            </w:r>
          </w:p>
          <w:p w14:paraId="148376B5" w14:textId="1D71090F" w:rsidR="004736A5" w:rsidRPr="004736A5" w:rsidRDefault="004736A5" w:rsidP="00764343">
            <w:pPr>
              <w:spacing w:after="0" w:line="240" w:lineRule="auto"/>
              <w:rPr>
                <w:rFonts w:asciiTheme="majorHAnsi" w:eastAsia="Calibri Light" w:hAnsiTheme="majorHAnsi" w:cstheme="majorBidi"/>
                <w:color w:val="000000" w:themeColor="text1"/>
                <w:sz w:val="12"/>
                <w:szCs w:val="12"/>
              </w:rPr>
            </w:pPr>
          </w:p>
        </w:tc>
        <w:tc>
          <w:tcPr>
            <w:tcW w:w="7371" w:type="dxa"/>
          </w:tcPr>
          <w:p w14:paraId="34BABBCA" w14:textId="77777777" w:rsidR="00D55201" w:rsidRPr="00D55201" w:rsidRDefault="00D55201" w:rsidP="006346FE">
            <w:pPr>
              <w:spacing w:after="0" w:line="240" w:lineRule="auto"/>
              <w:rPr>
                <w:rFonts w:asciiTheme="majorHAnsi" w:eastAsia="Calibri Light" w:hAnsiTheme="majorHAnsi" w:cstheme="majorBidi"/>
                <w:sz w:val="12"/>
                <w:szCs w:val="12"/>
              </w:rPr>
            </w:pPr>
          </w:p>
          <w:p w14:paraId="7D5FC429" w14:textId="3566C0C8" w:rsidR="006346FE" w:rsidRPr="0005244D" w:rsidRDefault="00EC5BC2" w:rsidP="006346FE">
            <w:pPr>
              <w:spacing w:after="0" w:line="240" w:lineRule="auto"/>
              <w:rPr>
                <w:rFonts w:asciiTheme="majorHAnsi" w:eastAsia="Calibri Light" w:hAnsiTheme="majorHAnsi" w:cstheme="majorBidi"/>
                <w:sz w:val="21"/>
                <w:szCs w:val="21"/>
              </w:rPr>
            </w:pPr>
            <w:r>
              <w:rPr>
                <w:rFonts w:asciiTheme="majorHAnsi" w:eastAsia="Calibri Light" w:hAnsiTheme="majorHAnsi" w:cstheme="majorBidi"/>
                <w:sz w:val="21"/>
                <w:szCs w:val="21"/>
              </w:rPr>
              <w:t>Some p</w:t>
            </w:r>
            <w:r w:rsidR="006346FE" w:rsidRPr="0005244D">
              <w:rPr>
                <w:rFonts w:asciiTheme="majorHAnsi" w:eastAsia="Calibri Light" w:hAnsiTheme="majorHAnsi" w:cstheme="majorBidi"/>
                <w:sz w:val="21"/>
                <w:szCs w:val="21"/>
              </w:rPr>
              <w:t xml:space="preserve">illars </w:t>
            </w:r>
            <w:r>
              <w:rPr>
                <w:rFonts w:asciiTheme="majorHAnsi" w:eastAsia="Calibri Light" w:hAnsiTheme="majorHAnsi" w:cstheme="majorBidi"/>
                <w:sz w:val="21"/>
                <w:szCs w:val="21"/>
              </w:rPr>
              <w:t xml:space="preserve">are </w:t>
            </w:r>
            <w:r w:rsidR="006346FE" w:rsidRPr="0005244D">
              <w:rPr>
                <w:rFonts w:asciiTheme="majorHAnsi" w:eastAsia="Calibri Light" w:hAnsiTheme="majorHAnsi" w:cstheme="majorBidi"/>
                <w:sz w:val="21"/>
                <w:szCs w:val="21"/>
              </w:rPr>
              <w:t xml:space="preserve">relevant to the </w:t>
            </w:r>
            <w:r w:rsidR="00D55201">
              <w:rPr>
                <w:rFonts w:asciiTheme="majorHAnsi" w:eastAsia="Calibri Light" w:hAnsiTheme="majorHAnsi" w:cstheme="majorBidi"/>
                <w:sz w:val="21"/>
                <w:szCs w:val="21"/>
              </w:rPr>
              <w:t>localities of focus</w:t>
            </w:r>
            <w:r w:rsidR="006346FE" w:rsidRPr="0005244D">
              <w:rPr>
                <w:rFonts w:asciiTheme="majorHAnsi" w:eastAsia="Calibri Light" w:hAnsiTheme="majorHAnsi" w:cstheme="majorBidi"/>
                <w:sz w:val="21"/>
                <w:szCs w:val="21"/>
              </w:rPr>
              <w:t>:</w:t>
            </w:r>
          </w:p>
          <w:p w14:paraId="5DF55CB1" w14:textId="49F91658" w:rsidR="006346FE" w:rsidRPr="00E46435" w:rsidRDefault="006346FE" w:rsidP="00364C5D">
            <w:pPr>
              <w:pStyle w:val="ListParagraph"/>
              <w:numPr>
                <w:ilvl w:val="0"/>
                <w:numId w:val="90"/>
              </w:numPr>
              <w:spacing w:after="0" w:line="240" w:lineRule="auto"/>
              <w:rPr>
                <w:rFonts w:asciiTheme="majorHAnsi" w:eastAsiaTheme="minorEastAsia" w:hAnsiTheme="majorHAnsi" w:cstheme="majorHAnsi"/>
                <w:color w:val="000000" w:themeColor="text1"/>
                <w:sz w:val="21"/>
                <w:szCs w:val="21"/>
              </w:rPr>
            </w:pPr>
            <w:r w:rsidRPr="00E46435">
              <w:rPr>
                <w:rFonts w:asciiTheme="majorHAnsi" w:eastAsia="Calibri Light" w:hAnsiTheme="majorHAnsi" w:cstheme="majorHAnsi"/>
                <w:sz w:val="21"/>
                <w:szCs w:val="21"/>
              </w:rPr>
              <w:t>1.1</w:t>
            </w:r>
            <w:r w:rsidR="00E46435">
              <w:rPr>
                <w:rFonts w:asciiTheme="majorHAnsi" w:eastAsia="Calibri Light" w:hAnsiTheme="majorHAnsi" w:cstheme="majorHAnsi"/>
                <w:sz w:val="21"/>
                <w:szCs w:val="21"/>
              </w:rPr>
              <w:t xml:space="preserve"> </w:t>
            </w:r>
            <w:r w:rsidR="00EC5BC2">
              <w:rPr>
                <w:rFonts w:asciiTheme="majorHAnsi" w:eastAsia="Calibri Light" w:hAnsiTheme="majorHAnsi" w:cstheme="majorHAnsi"/>
                <w:sz w:val="21"/>
                <w:szCs w:val="21"/>
              </w:rPr>
              <w:t>+</w:t>
            </w:r>
            <w:r w:rsidR="00E46435">
              <w:rPr>
                <w:rFonts w:asciiTheme="majorHAnsi" w:eastAsia="Calibri Light" w:hAnsiTheme="majorHAnsi" w:cstheme="majorHAnsi"/>
                <w:sz w:val="21"/>
                <w:szCs w:val="21"/>
              </w:rPr>
              <w:t xml:space="preserve"> </w:t>
            </w:r>
            <w:r w:rsidRPr="00E46435">
              <w:rPr>
                <w:rFonts w:asciiTheme="majorHAnsi" w:eastAsia="Calibri Light" w:hAnsiTheme="majorHAnsi" w:cstheme="majorHAnsi"/>
                <w:sz w:val="21"/>
                <w:szCs w:val="21"/>
              </w:rPr>
              <w:t>1.3</w:t>
            </w:r>
            <w:r w:rsidR="00E46435">
              <w:rPr>
                <w:rFonts w:asciiTheme="majorHAnsi" w:eastAsia="Calibri Light" w:hAnsiTheme="majorHAnsi" w:cstheme="majorHAnsi"/>
                <w:sz w:val="21"/>
                <w:szCs w:val="21"/>
              </w:rPr>
              <w:t>:</w:t>
            </w:r>
            <w:r w:rsidRPr="00E46435">
              <w:rPr>
                <w:rFonts w:asciiTheme="majorHAnsi" w:eastAsia="Calibri Light" w:hAnsiTheme="majorHAnsi" w:cstheme="majorHAnsi"/>
                <w:sz w:val="21"/>
                <w:szCs w:val="21"/>
              </w:rPr>
              <w:t xml:space="preserve"> Enhance digital literacy and the accessibility of digital services</w:t>
            </w:r>
          </w:p>
          <w:p w14:paraId="78E57CBD" w14:textId="66279F4B" w:rsidR="00E46435" w:rsidRPr="00E46435" w:rsidRDefault="006346FE" w:rsidP="00364C5D">
            <w:pPr>
              <w:pStyle w:val="ListParagraph"/>
              <w:numPr>
                <w:ilvl w:val="0"/>
                <w:numId w:val="90"/>
              </w:numPr>
              <w:spacing w:after="0" w:line="240" w:lineRule="auto"/>
              <w:rPr>
                <w:rFonts w:asciiTheme="majorHAnsi" w:eastAsiaTheme="minorEastAsia" w:hAnsiTheme="majorHAnsi" w:cstheme="majorHAnsi"/>
                <w:color w:val="000000" w:themeColor="text1"/>
                <w:sz w:val="21"/>
                <w:szCs w:val="21"/>
              </w:rPr>
            </w:pPr>
            <w:r w:rsidRPr="00E46435">
              <w:rPr>
                <w:rFonts w:asciiTheme="majorHAnsi" w:eastAsia="Calibri Light" w:hAnsiTheme="majorHAnsi" w:cstheme="majorHAnsi"/>
                <w:sz w:val="21"/>
                <w:szCs w:val="21"/>
              </w:rPr>
              <w:t>1.3</w:t>
            </w:r>
            <w:r w:rsidR="00E46435">
              <w:rPr>
                <w:rFonts w:asciiTheme="majorHAnsi" w:eastAsia="Calibri Light" w:hAnsiTheme="majorHAnsi" w:cstheme="majorHAnsi"/>
                <w:sz w:val="21"/>
                <w:szCs w:val="21"/>
              </w:rPr>
              <w:t>:</w:t>
            </w:r>
            <w:r w:rsidRPr="00E46435">
              <w:rPr>
                <w:rFonts w:asciiTheme="majorHAnsi" w:eastAsia="Calibri Light" w:hAnsiTheme="majorHAnsi" w:cstheme="majorHAnsi"/>
                <w:sz w:val="21"/>
                <w:szCs w:val="21"/>
              </w:rPr>
              <w:t xml:space="preserve"> Improve appropriate technology to ensure people feel safe in public space</w:t>
            </w:r>
            <w:r w:rsidR="004736A5">
              <w:rPr>
                <w:rFonts w:asciiTheme="majorHAnsi" w:eastAsia="Calibri Light" w:hAnsiTheme="majorHAnsi" w:cstheme="majorHAnsi"/>
                <w:sz w:val="21"/>
                <w:szCs w:val="21"/>
              </w:rPr>
              <w:t>s</w:t>
            </w:r>
          </w:p>
          <w:p w14:paraId="126DA7B8" w14:textId="7C0D41D1" w:rsidR="006346FE" w:rsidRPr="00E46435" w:rsidRDefault="006346FE" w:rsidP="00364C5D">
            <w:pPr>
              <w:pStyle w:val="ListParagraph"/>
              <w:numPr>
                <w:ilvl w:val="0"/>
                <w:numId w:val="90"/>
              </w:numPr>
              <w:spacing w:after="0" w:line="240" w:lineRule="auto"/>
              <w:rPr>
                <w:rFonts w:asciiTheme="majorHAnsi" w:eastAsiaTheme="minorEastAsia" w:hAnsiTheme="majorHAnsi" w:cstheme="majorHAnsi"/>
                <w:color w:val="000000" w:themeColor="text1"/>
                <w:sz w:val="21"/>
                <w:szCs w:val="21"/>
              </w:rPr>
            </w:pPr>
            <w:r w:rsidRPr="00E46435">
              <w:rPr>
                <w:rFonts w:asciiTheme="majorHAnsi" w:eastAsia="Calibri Light" w:hAnsiTheme="majorHAnsi" w:cstheme="majorBidi"/>
                <w:sz w:val="21"/>
                <w:szCs w:val="21"/>
              </w:rPr>
              <w:t>5.1</w:t>
            </w:r>
            <w:r w:rsidR="00E46435">
              <w:rPr>
                <w:rFonts w:asciiTheme="majorHAnsi" w:eastAsia="Calibri Light" w:hAnsiTheme="majorHAnsi" w:cstheme="majorBidi"/>
                <w:sz w:val="21"/>
                <w:szCs w:val="21"/>
              </w:rPr>
              <w:t>:</w:t>
            </w:r>
            <w:r w:rsidRPr="00E46435">
              <w:rPr>
                <w:rFonts w:asciiTheme="majorHAnsi" w:eastAsia="Calibri Light" w:hAnsiTheme="majorHAnsi" w:cstheme="majorBidi"/>
                <w:sz w:val="21"/>
                <w:szCs w:val="21"/>
              </w:rPr>
              <w:t xml:space="preserve"> Increase connected public spaces to allow more people to work and study in more places, boosting access to education and employment</w:t>
            </w:r>
          </w:p>
        </w:tc>
      </w:tr>
      <w:tr w:rsidR="007C01CA" w:rsidRPr="0005244D" w14:paraId="6A439A5E" w14:textId="77777777" w:rsidTr="00E663FC">
        <w:tc>
          <w:tcPr>
            <w:tcW w:w="14591" w:type="dxa"/>
            <w:gridSpan w:val="3"/>
            <w:shd w:val="clear" w:color="auto" w:fill="F2F2F2" w:themeFill="background1" w:themeFillShade="F2"/>
          </w:tcPr>
          <w:p w14:paraId="322C52E1" w14:textId="77777777" w:rsidR="004E16F4" w:rsidRPr="004E16F4" w:rsidRDefault="004E16F4" w:rsidP="0005244D">
            <w:pPr>
              <w:spacing w:after="0" w:line="240" w:lineRule="auto"/>
              <w:rPr>
                <w:rFonts w:eastAsia="Times New Roman" w:cstheme="minorHAnsi"/>
                <w:b/>
                <w:bCs/>
                <w:sz w:val="12"/>
                <w:szCs w:val="12"/>
              </w:rPr>
            </w:pPr>
          </w:p>
          <w:p w14:paraId="019C3404" w14:textId="7C418CF7" w:rsidR="007C01CA" w:rsidRPr="004E16F4" w:rsidRDefault="005333ED" w:rsidP="0005244D">
            <w:pPr>
              <w:spacing w:after="0" w:line="240" w:lineRule="auto"/>
              <w:rPr>
                <w:rFonts w:cstheme="minorHAnsi"/>
                <w:sz w:val="21"/>
                <w:szCs w:val="21"/>
              </w:rPr>
            </w:pPr>
            <w:r w:rsidRPr="004E16F4">
              <w:rPr>
                <w:rFonts w:eastAsia="Times New Roman" w:cstheme="minorHAnsi"/>
                <w:b/>
                <w:bCs/>
                <w:sz w:val="21"/>
                <w:szCs w:val="21"/>
              </w:rPr>
              <w:t>AREA-SPECIFIC PLANS</w:t>
            </w:r>
          </w:p>
          <w:p w14:paraId="72C77E42" w14:textId="77777777" w:rsidR="007C01CA" w:rsidRPr="004E16F4" w:rsidRDefault="007C01CA" w:rsidP="0005244D">
            <w:pPr>
              <w:spacing w:after="0" w:line="240" w:lineRule="auto"/>
              <w:rPr>
                <w:rFonts w:asciiTheme="majorHAnsi" w:eastAsia="Calibri Light" w:hAnsiTheme="majorHAnsi" w:cstheme="majorBidi"/>
                <w:sz w:val="12"/>
                <w:szCs w:val="12"/>
              </w:rPr>
            </w:pPr>
          </w:p>
        </w:tc>
      </w:tr>
      <w:tr w:rsidR="00F00E3D" w:rsidRPr="0005244D" w14:paraId="16EEFDB4" w14:textId="77777777" w:rsidTr="00BD6662">
        <w:tc>
          <w:tcPr>
            <w:tcW w:w="1696" w:type="dxa"/>
          </w:tcPr>
          <w:p w14:paraId="7B3F3C5C" w14:textId="77777777" w:rsidR="007F2129" w:rsidRPr="007F2129" w:rsidRDefault="007F2129" w:rsidP="0005244D">
            <w:pPr>
              <w:spacing w:after="0" w:line="240" w:lineRule="auto"/>
              <w:rPr>
                <w:rFonts w:asciiTheme="majorHAnsi" w:eastAsia="Times New Roman" w:hAnsiTheme="majorHAnsi" w:cstheme="majorBidi"/>
                <w:iCs/>
                <w:sz w:val="12"/>
                <w:szCs w:val="12"/>
              </w:rPr>
            </w:pPr>
          </w:p>
          <w:p w14:paraId="5EAC1C1B" w14:textId="4068CFBF" w:rsidR="00F00E3D" w:rsidRPr="00E663FC" w:rsidRDefault="00F00E3D" w:rsidP="0005244D">
            <w:pPr>
              <w:spacing w:after="0" w:line="240" w:lineRule="auto"/>
              <w:rPr>
                <w:rFonts w:asciiTheme="majorHAnsi" w:eastAsia="Times New Roman" w:hAnsiTheme="majorHAnsi" w:cstheme="majorBidi"/>
                <w:iCs/>
                <w:sz w:val="21"/>
                <w:szCs w:val="21"/>
              </w:rPr>
            </w:pPr>
            <w:r w:rsidRPr="00E663FC">
              <w:rPr>
                <w:rFonts w:eastAsia="Times New Roman" w:cstheme="minorHAnsi"/>
                <w:b/>
                <w:bCs/>
                <w:iCs/>
                <w:sz w:val="21"/>
                <w:szCs w:val="21"/>
              </w:rPr>
              <w:t>Corio-Norlane Structure Plan</w:t>
            </w:r>
            <w:r w:rsidRPr="00E663FC">
              <w:rPr>
                <w:rFonts w:asciiTheme="majorHAnsi" w:eastAsia="Times New Roman" w:hAnsiTheme="majorHAnsi" w:cstheme="majorBidi"/>
                <w:iCs/>
                <w:sz w:val="21"/>
                <w:szCs w:val="21"/>
              </w:rPr>
              <w:t xml:space="preserve"> (City of</w:t>
            </w:r>
            <w:r w:rsidR="00E663FC">
              <w:rPr>
                <w:rFonts w:asciiTheme="majorHAnsi" w:eastAsia="Times New Roman" w:hAnsiTheme="majorHAnsi" w:cstheme="majorBidi"/>
                <w:iCs/>
                <w:sz w:val="21"/>
                <w:szCs w:val="21"/>
              </w:rPr>
              <w:t xml:space="preserve"> </w:t>
            </w:r>
            <w:r w:rsidRPr="00E663FC">
              <w:rPr>
                <w:rFonts w:asciiTheme="majorHAnsi" w:eastAsia="Times New Roman" w:hAnsiTheme="majorHAnsi" w:cstheme="majorBidi"/>
                <w:iCs/>
                <w:sz w:val="21"/>
                <w:szCs w:val="21"/>
              </w:rPr>
              <w:t>Greater Geelong Department of Planning and Community Development, 2012)</w:t>
            </w:r>
          </w:p>
          <w:p w14:paraId="0BBF1865" w14:textId="77777777" w:rsidR="00F00E3D" w:rsidRPr="0005244D" w:rsidRDefault="00F00E3D" w:rsidP="0005244D">
            <w:pPr>
              <w:spacing w:after="0" w:line="240" w:lineRule="auto"/>
              <w:rPr>
                <w:rFonts w:asciiTheme="majorHAnsi" w:eastAsia="Times New Roman" w:hAnsiTheme="majorHAnsi" w:cstheme="majorBidi"/>
                <w:i/>
                <w:iCs/>
                <w:noProof/>
                <w:sz w:val="21"/>
                <w:szCs w:val="21"/>
              </w:rPr>
            </w:pPr>
          </w:p>
          <w:p w14:paraId="3D179356" w14:textId="77777777" w:rsidR="00F00E3D" w:rsidRPr="0005244D" w:rsidRDefault="00F00E3D" w:rsidP="0005244D">
            <w:pPr>
              <w:spacing w:after="0" w:line="240" w:lineRule="auto"/>
              <w:rPr>
                <w:rFonts w:asciiTheme="majorHAnsi" w:eastAsia="Times New Roman" w:hAnsiTheme="majorHAnsi" w:cstheme="majorBidi"/>
                <w:i/>
                <w:iCs/>
                <w:noProof/>
                <w:sz w:val="21"/>
                <w:szCs w:val="21"/>
              </w:rPr>
            </w:pPr>
          </w:p>
          <w:p w14:paraId="4C7C305E" w14:textId="77777777" w:rsidR="00F00E3D" w:rsidRPr="0005244D" w:rsidRDefault="00F00E3D" w:rsidP="0005244D">
            <w:pPr>
              <w:spacing w:after="0" w:line="240" w:lineRule="auto"/>
              <w:rPr>
                <w:rFonts w:asciiTheme="majorHAnsi" w:eastAsia="Times New Roman" w:hAnsiTheme="majorHAnsi" w:cstheme="majorBidi"/>
                <w:i/>
                <w:iCs/>
                <w:noProof/>
                <w:sz w:val="21"/>
                <w:szCs w:val="21"/>
              </w:rPr>
            </w:pPr>
          </w:p>
          <w:p w14:paraId="53587617" w14:textId="77777777" w:rsidR="00F00E3D" w:rsidRPr="0005244D" w:rsidRDefault="00F00E3D" w:rsidP="0005244D">
            <w:pPr>
              <w:spacing w:after="0" w:line="240" w:lineRule="auto"/>
              <w:rPr>
                <w:rFonts w:asciiTheme="majorHAnsi" w:eastAsia="Times New Roman" w:hAnsiTheme="majorHAnsi" w:cstheme="majorBidi"/>
                <w:i/>
                <w:iCs/>
                <w:noProof/>
                <w:sz w:val="21"/>
                <w:szCs w:val="21"/>
              </w:rPr>
            </w:pPr>
          </w:p>
          <w:p w14:paraId="03B7386F" w14:textId="77777777" w:rsidR="00F00E3D" w:rsidRPr="0005244D" w:rsidRDefault="00F00E3D" w:rsidP="0005244D">
            <w:pPr>
              <w:spacing w:after="0" w:line="240" w:lineRule="auto"/>
              <w:rPr>
                <w:rFonts w:asciiTheme="majorHAnsi" w:eastAsia="Times New Roman" w:hAnsiTheme="majorHAnsi" w:cstheme="majorBidi"/>
                <w:i/>
                <w:iCs/>
                <w:noProof/>
                <w:sz w:val="21"/>
                <w:szCs w:val="21"/>
              </w:rPr>
            </w:pPr>
          </w:p>
          <w:p w14:paraId="26FCB944" w14:textId="77777777" w:rsidR="00F00E3D" w:rsidRPr="0005244D" w:rsidRDefault="00F00E3D" w:rsidP="0005244D">
            <w:pPr>
              <w:spacing w:after="0" w:line="240" w:lineRule="auto"/>
              <w:rPr>
                <w:rFonts w:asciiTheme="majorHAnsi" w:eastAsia="Times New Roman" w:hAnsiTheme="majorHAnsi" w:cstheme="majorBidi"/>
                <w:i/>
                <w:iCs/>
                <w:noProof/>
                <w:sz w:val="21"/>
                <w:szCs w:val="21"/>
              </w:rPr>
            </w:pPr>
          </w:p>
          <w:p w14:paraId="485C2F5C" w14:textId="77777777" w:rsidR="00F00E3D" w:rsidRPr="0005244D" w:rsidRDefault="00F00E3D" w:rsidP="0005244D">
            <w:pPr>
              <w:spacing w:after="0" w:line="240" w:lineRule="auto"/>
              <w:rPr>
                <w:rFonts w:asciiTheme="majorHAnsi" w:eastAsia="Times New Roman" w:hAnsiTheme="majorHAnsi" w:cstheme="majorBidi"/>
                <w:i/>
                <w:iCs/>
                <w:noProof/>
                <w:sz w:val="21"/>
                <w:szCs w:val="21"/>
              </w:rPr>
            </w:pPr>
          </w:p>
          <w:p w14:paraId="1391A51B" w14:textId="77777777" w:rsidR="00F00E3D" w:rsidRPr="0005244D" w:rsidRDefault="00F00E3D" w:rsidP="0005244D">
            <w:pPr>
              <w:spacing w:after="0" w:line="240" w:lineRule="auto"/>
              <w:rPr>
                <w:rFonts w:asciiTheme="majorHAnsi" w:eastAsia="Times New Roman" w:hAnsiTheme="majorHAnsi" w:cstheme="majorBidi"/>
                <w:i/>
                <w:iCs/>
                <w:noProof/>
                <w:sz w:val="21"/>
                <w:szCs w:val="21"/>
              </w:rPr>
            </w:pPr>
          </w:p>
          <w:p w14:paraId="5577B7A0" w14:textId="77777777" w:rsidR="00F00E3D" w:rsidRPr="0005244D" w:rsidRDefault="00F00E3D" w:rsidP="0005244D">
            <w:pPr>
              <w:spacing w:after="0" w:line="240" w:lineRule="auto"/>
              <w:rPr>
                <w:rFonts w:asciiTheme="majorHAnsi" w:eastAsia="Times New Roman" w:hAnsiTheme="majorHAnsi" w:cstheme="majorBidi"/>
                <w:i/>
                <w:iCs/>
                <w:noProof/>
                <w:sz w:val="21"/>
                <w:szCs w:val="21"/>
              </w:rPr>
            </w:pPr>
          </w:p>
          <w:p w14:paraId="6CCC6584" w14:textId="77777777" w:rsidR="00F00E3D" w:rsidRPr="0005244D" w:rsidRDefault="00F00E3D" w:rsidP="0005244D">
            <w:pPr>
              <w:spacing w:after="0" w:line="240" w:lineRule="auto"/>
              <w:rPr>
                <w:rFonts w:asciiTheme="majorHAnsi" w:eastAsia="Times New Roman" w:hAnsiTheme="majorHAnsi" w:cstheme="majorBidi"/>
                <w:i/>
                <w:sz w:val="21"/>
                <w:szCs w:val="21"/>
                <w:lang w:val="en-GB"/>
              </w:rPr>
            </w:pPr>
          </w:p>
        </w:tc>
        <w:tc>
          <w:tcPr>
            <w:tcW w:w="5524" w:type="dxa"/>
          </w:tcPr>
          <w:p w14:paraId="785F6479" w14:textId="3588875A" w:rsidR="00F00E3D" w:rsidRPr="007F2129" w:rsidRDefault="00F00E3D" w:rsidP="0005244D">
            <w:pPr>
              <w:spacing w:after="0" w:line="240" w:lineRule="auto"/>
              <w:rPr>
                <w:rFonts w:asciiTheme="majorHAnsi" w:hAnsiTheme="majorHAnsi" w:cstheme="majorHAnsi"/>
                <w:sz w:val="12"/>
                <w:szCs w:val="12"/>
              </w:rPr>
            </w:pPr>
          </w:p>
          <w:p w14:paraId="7E9E68F8" w14:textId="6125A10B" w:rsidR="00F00E3D" w:rsidRPr="004736A5" w:rsidRDefault="00F00E3D" w:rsidP="00364C5D">
            <w:pPr>
              <w:pStyle w:val="ListParagraph"/>
              <w:numPr>
                <w:ilvl w:val="0"/>
                <w:numId w:val="91"/>
              </w:numPr>
              <w:spacing w:after="0" w:line="240" w:lineRule="auto"/>
              <w:rPr>
                <w:rFonts w:asciiTheme="majorHAnsi" w:hAnsiTheme="majorHAnsi" w:cstheme="majorBidi"/>
                <w:sz w:val="21"/>
                <w:szCs w:val="21"/>
              </w:rPr>
            </w:pPr>
            <w:r w:rsidRPr="004736A5">
              <w:rPr>
                <w:rFonts w:asciiTheme="majorHAnsi" w:eastAsia="Calibri Light" w:hAnsiTheme="majorHAnsi" w:cstheme="majorBidi"/>
                <w:sz w:val="21"/>
                <w:szCs w:val="21"/>
              </w:rPr>
              <w:t>Increase Corio-Norlane population and diversify types of housing (more private, infill</w:t>
            </w:r>
            <w:r w:rsidR="007F2129" w:rsidRPr="004736A5">
              <w:rPr>
                <w:rFonts w:asciiTheme="majorHAnsi" w:eastAsia="Calibri Light" w:hAnsiTheme="majorHAnsi" w:cstheme="majorBidi"/>
                <w:sz w:val="21"/>
                <w:szCs w:val="21"/>
              </w:rPr>
              <w:t>,</w:t>
            </w:r>
            <w:r w:rsidRPr="004736A5">
              <w:rPr>
                <w:rFonts w:asciiTheme="majorHAnsi" w:eastAsia="Calibri Light" w:hAnsiTheme="majorHAnsi" w:cstheme="majorBidi"/>
                <w:sz w:val="21"/>
                <w:szCs w:val="21"/>
              </w:rPr>
              <w:t xml:space="preserve"> and densities)</w:t>
            </w:r>
          </w:p>
          <w:p w14:paraId="1E2DEB68" w14:textId="77777777" w:rsidR="00F00E3D" w:rsidRPr="004736A5" w:rsidRDefault="00F00E3D" w:rsidP="00364C5D">
            <w:pPr>
              <w:pStyle w:val="ListParagraph"/>
              <w:numPr>
                <w:ilvl w:val="0"/>
                <w:numId w:val="91"/>
              </w:numPr>
              <w:spacing w:after="0" w:line="240" w:lineRule="auto"/>
              <w:rPr>
                <w:rFonts w:asciiTheme="majorHAnsi" w:hAnsiTheme="majorHAnsi" w:cstheme="majorHAnsi"/>
                <w:sz w:val="21"/>
                <w:szCs w:val="21"/>
              </w:rPr>
            </w:pPr>
            <w:r w:rsidRPr="004736A5">
              <w:rPr>
                <w:rFonts w:asciiTheme="majorHAnsi" w:eastAsia="Calibri Light" w:hAnsiTheme="majorHAnsi" w:cstheme="majorHAnsi"/>
                <w:sz w:val="21"/>
                <w:szCs w:val="21"/>
              </w:rPr>
              <w:t>Support opportunities for sustainable urban renewal</w:t>
            </w:r>
          </w:p>
          <w:p w14:paraId="62ACAB41" w14:textId="0A340579" w:rsidR="00F00E3D" w:rsidRPr="004736A5" w:rsidRDefault="00F00E3D" w:rsidP="00364C5D">
            <w:pPr>
              <w:pStyle w:val="ListParagraph"/>
              <w:numPr>
                <w:ilvl w:val="0"/>
                <w:numId w:val="91"/>
              </w:numPr>
              <w:spacing w:after="0" w:line="240" w:lineRule="auto"/>
              <w:rPr>
                <w:rFonts w:asciiTheme="majorHAnsi" w:hAnsiTheme="majorHAnsi" w:cstheme="majorHAnsi"/>
                <w:sz w:val="21"/>
                <w:szCs w:val="21"/>
              </w:rPr>
            </w:pPr>
            <w:r w:rsidRPr="004736A5">
              <w:rPr>
                <w:rFonts w:asciiTheme="majorHAnsi" w:eastAsia="Calibri Light" w:hAnsiTheme="majorHAnsi" w:cstheme="majorHAnsi"/>
                <w:sz w:val="21"/>
                <w:szCs w:val="21"/>
              </w:rPr>
              <w:t>Boost activity within “Corio Heart</w:t>
            </w:r>
            <w:r w:rsidR="00E663FC" w:rsidRPr="004736A5">
              <w:rPr>
                <w:rFonts w:asciiTheme="majorHAnsi" w:eastAsia="Calibri Light" w:hAnsiTheme="majorHAnsi" w:cstheme="majorHAnsi"/>
                <w:sz w:val="21"/>
                <w:szCs w:val="21"/>
              </w:rPr>
              <w:t>”,</w:t>
            </w:r>
            <w:r w:rsidRPr="004736A5">
              <w:rPr>
                <w:rFonts w:asciiTheme="majorHAnsi" w:eastAsia="Calibri Light" w:hAnsiTheme="majorHAnsi" w:cstheme="majorHAnsi"/>
                <w:sz w:val="21"/>
                <w:szCs w:val="21"/>
              </w:rPr>
              <w:t xml:space="preserve"> link to Waterworld precinct</w:t>
            </w:r>
          </w:p>
          <w:p w14:paraId="1532B87A" w14:textId="4259F139" w:rsidR="00F00E3D" w:rsidRPr="004736A5" w:rsidRDefault="00F00E3D" w:rsidP="00364C5D">
            <w:pPr>
              <w:pStyle w:val="ListParagraph"/>
              <w:numPr>
                <w:ilvl w:val="0"/>
                <w:numId w:val="91"/>
              </w:numPr>
              <w:spacing w:after="0" w:line="240" w:lineRule="auto"/>
              <w:rPr>
                <w:rFonts w:asciiTheme="majorHAnsi" w:hAnsiTheme="majorHAnsi" w:cstheme="majorHAnsi"/>
                <w:sz w:val="21"/>
                <w:szCs w:val="21"/>
              </w:rPr>
            </w:pPr>
            <w:r w:rsidRPr="004736A5">
              <w:rPr>
                <w:rFonts w:asciiTheme="majorHAnsi" w:eastAsia="Calibri Light" w:hAnsiTheme="majorHAnsi" w:cstheme="majorHAnsi"/>
                <w:sz w:val="21"/>
                <w:szCs w:val="21"/>
              </w:rPr>
              <w:t>Improve role, function</w:t>
            </w:r>
            <w:r w:rsidR="007F2129" w:rsidRPr="004736A5">
              <w:rPr>
                <w:rFonts w:asciiTheme="majorHAnsi" w:eastAsia="Calibri Light" w:hAnsiTheme="majorHAnsi" w:cstheme="majorHAnsi"/>
                <w:sz w:val="21"/>
                <w:szCs w:val="21"/>
              </w:rPr>
              <w:t>,</w:t>
            </w:r>
            <w:r w:rsidRPr="004736A5">
              <w:rPr>
                <w:rFonts w:asciiTheme="majorHAnsi" w:eastAsia="Calibri Light" w:hAnsiTheme="majorHAnsi" w:cstheme="majorHAnsi"/>
                <w:sz w:val="21"/>
                <w:szCs w:val="21"/>
              </w:rPr>
              <w:t xml:space="preserve"> presentation of local shopping centres</w:t>
            </w:r>
          </w:p>
          <w:p w14:paraId="55DBEE52" w14:textId="406F9825" w:rsidR="00F00E3D" w:rsidRPr="004736A5" w:rsidRDefault="00F00E3D" w:rsidP="00364C5D">
            <w:pPr>
              <w:pStyle w:val="ListParagraph"/>
              <w:numPr>
                <w:ilvl w:val="0"/>
                <w:numId w:val="91"/>
              </w:numPr>
              <w:spacing w:after="0" w:line="240" w:lineRule="auto"/>
              <w:rPr>
                <w:rFonts w:asciiTheme="majorHAnsi" w:hAnsiTheme="majorHAnsi" w:cstheme="majorHAnsi"/>
                <w:sz w:val="21"/>
                <w:szCs w:val="21"/>
              </w:rPr>
            </w:pPr>
            <w:r w:rsidRPr="004736A5">
              <w:rPr>
                <w:rFonts w:asciiTheme="majorHAnsi" w:eastAsia="Calibri Light" w:hAnsiTheme="majorHAnsi" w:cstheme="majorHAnsi"/>
                <w:sz w:val="21"/>
                <w:szCs w:val="21"/>
              </w:rPr>
              <w:t>Support major employers to improve retail offer</w:t>
            </w:r>
            <w:r w:rsidR="00E663FC" w:rsidRPr="004736A5">
              <w:rPr>
                <w:rFonts w:asciiTheme="majorHAnsi" w:eastAsia="Calibri Light" w:hAnsiTheme="majorHAnsi" w:cstheme="majorHAnsi"/>
                <w:sz w:val="21"/>
                <w:szCs w:val="21"/>
              </w:rPr>
              <w:t>ings</w:t>
            </w:r>
          </w:p>
          <w:p w14:paraId="71529CFF" w14:textId="77777777" w:rsidR="00F00E3D" w:rsidRPr="004736A5" w:rsidRDefault="00F00E3D" w:rsidP="00364C5D">
            <w:pPr>
              <w:pStyle w:val="ListParagraph"/>
              <w:numPr>
                <w:ilvl w:val="0"/>
                <w:numId w:val="91"/>
              </w:numPr>
              <w:spacing w:after="0" w:line="240" w:lineRule="auto"/>
              <w:rPr>
                <w:rFonts w:asciiTheme="majorHAnsi" w:hAnsiTheme="majorHAnsi" w:cstheme="majorHAnsi"/>
                <w:sz w:val="21"/>
                <w:szCs w:val="21"/>
              </w:rPr>
            </w:pPr>
            <w:r w:rsidRPr="004736A5">
              <w:rPr>
                <w:rFonts w:asciiTheme="majorHAnsi" w:eastAsia="Calibri Light" w:hAnsiTheme="majorHAnsi" w:cstheme="majorHAnsi"/>
                <w:sz w:val="21"/>
                <w:szCs w:val="21"/>
              </w:rPr>
              <w:t>Manage heavy vehicle freight movement</w:t>
            </w:r>
          </w:p>
          <w:p w14:paraId="095DE158" w14:textId="142CA467" w:rsidR="00F00E3D" w:rsidRPr="004736A5" w:rsidRDefault="00F00E3D" w:rsidP="00364C5D">
            <w:pPr>
              <w:pStyle w:val="ListParagraph"/>
              <w:numPr>
                <w:ilvl w:val="0"/>
                <w:numId w:val="91"/>
              </w:numPr>
              <w:spacing w:after="0" w:line="240" w:lineRule="auto"/>
              <w:rPr>
                <w:rFonts w:asciiTheme="majorHAnsi" w:hAnsiTheme="majorHAnsi" w:cstheme="majorHAnsi"/>
                <w:sz w:val="21"/>
                <w:szCs w:val="21"/>
              </w:rPr>
            </w:pPr>
            <w:r w:rsidRPr="004736A5">
              <w:rPr>
                <w:rFonts w:asciiTheme="majorHAnsi" w:eastAsia="Calibri Light" w:hAnsiTheme="majorHAnsi" w:cstheme="majorHAnsi"/>
                <w:sz w:val="21"/>
                <w:szCs w:val="21"/>
              </w:rPr>
              <w:t>Provide a safe, functional</w:t>
            </w:r>
            <w:r w:rsidR="00E663FC" w:rsidRPr="004736A5">
              <w:rPr>
                <w:rFonts w:asciiTheme="majorHAnsi" w:eastAsia="Calibri Light" w:hAnsiTheme="majorHAnsi" w:cstheme="majorHAnsi"/>
                <w:sz w:val="21"/>
                <w:szCs w:val="21"/>
              </w:rPr>
              <w:t>,</w:t>
            </w:r>
            <w:r w:rsidRPr="004736A5">
              <w:rPr>
                <w:rFonts w:asciiTheme="majorHAnsi" w:eastAsia="Calibri Light" w:hAnsiTheme="majorHAnsi" w:cstheme="majorHAnsi"/>
                <w:sz w:val="21"/>
                <w:szCs w:val="21"/>
              </w:rPr>
              <w:t xml:space="preserve"> and efficient road network</w:t>
            </w:r>
          </w:p>
          <w:p w14:paraId="719AA670" w14:textId="77777777" w:rsidR="00F00E3D" w:rsidRPr="004736A5" w:rsidRDefault="00F00E3D" w:rsidP="00364C5D">
            <w:pPr>
              <w:pStyle w:val="ListParagraph"/>
              <w:numPr>
                <w:ilvl w:val="0"/>
                <w:numId w:val="91"/>
              </w:numPr>
              <w:spacing w:after="0" w:line="240" w:lineRule="auto"/>
              <w:rPr>
                <w:rFonts w:asciiTheme="majorHAnsi" w:hAnsiTheme="majorHAnsi" w:cstheme="majorHAnsi"/>
                <w:sz w:val="21"/>
                <w:szCs w:val="21"/>
              </w:rPr>
            </w:pPr>
            <w:r w:rsidRPr="004736A5">
              <w:rPr>
                <w:rFonts w:asciiTheme="majorHAnsi" w:eastAsia="Calibri Light" w:hAnsiTheme="majorHAnsi" w:cstheme="majorHAnsi"/>
                <w:sz w:val="21"/>
                <w:szCs w:val="21"/>
              </w:rPr>
              <w:t>Provide a public transport network to meet the needs of residents</w:t>
            </w:r>
          </w:p>
          <w:p w14:paraId="54EFFCBD" w14:textId="0D5A3DB8" w:rsidR="00F00E3D" w:rsidRPr="004736A5" w:rsidRDefault="00F00E3D" w:rsidP="00364C5D">
            <w:pPr>
              <w:pStyle w:val="ListParagraph"/>
              <w:numPr>
                <w:ilvl w:val="0"/>
                <w:numId w:val="91"/>
              </w:numPr>
              <w:spacing w:after="0" w:line="240" w:lineRule="auto"/>
              <w:rPr>
                <w:rFonts w:asciiTheme="majorHAnsi" w:hAnsiTheme="majorHAnsi" w:cstheme="majorHAnsi"/>
                <w:sz w:val="21"/>
                <w:szCs w:val="21"/>
              </w:rPr>
            </w:pPr>
            <w:r w:rsidRPr="004736A5">
              <w:rPr>
                <w:rFonts w:asciiTheme="majorHAnsi" w:eastAsia="Calibri Light" w:hAnsiTheme="majorHAnsi" w:cstheme="majorHAnsi"/>
                <w:sz w:val="21"/>
                <w:szCs w:val="21"/>
              </w:rPr>
              <w:t>Provide an attractive active transport network to access Corio</w:t>
            </w:r>
            <w:r w:rsidR="00E663FC" w:rsidRPr="004736A5">
              <w:rPr>
                <w:rFonts w:asciiTheme="majorHAnsi" w:eastAsia="Calibri Light" w:hAnsiTheme="majorHAnsi" w:cstheme="majorHAnsi"/>
                <w:sz w:val="21"/>
                <w:szCs w:val="21"/>
              </w:rPr>
              <w:t>–</w:t>
            </w:r>
            <w:r w:rsidRPr="004736A5">
              <w:rPr>
                <w:rFonts w:asciiTheme="majorHAnsi" w:eastAsia="Calibri Light" w:hAnsiTheme="majorHAnsi" w:cstheme="majorHAnsi"/>
                <w:sz w:val="21"/>
                <w:szCs w:val="21"/>
              </w:rPr>
              <w:t>Norlane</w:t>
            </w:r>
          </w:p>
          <w:p w14:paraId="15BFC7CA" w14:textId="22C6F184" w:rsidR="00F00E3D" w:rsidRPr="004736A5" w:rsidRDefault="00F00E3D" w:rsidP="00364C5D">
            <w:pPr>
              <w:pStyle w:val="ListParagraph"/>
              <w:numPr>
                <w:ilvl w:val="0"/>
                <w:numId w:val="91"/>
              </w:numPr>
              <w:spacing w:after="0" w:line="240" w:lineRule="auto"/>
              <w:rPr>
                <w:rFonts w:asciiTheme="majorHAnsi" w:hAnsiTheme="majorHAnsi" w:cstheme="majorBidi"/>
                <w:sz w:val="21"/>
                <w:szCs w:val="21"/>
              </w:rPr>
            </w:pPr>
            <w:r w:rsidRPr="004736A5">
              <w:rPr>
                <w:rFonts w:asciiTheme="majorHAnsi" w:eastAsia="Calibri Light" w:hAnsiTheme="majorHAnsi" w:cstheme="majorBidi"/>
                <w:sz w:val="21"/>
                <w:szCs w:val="21"/>
              </w:rPr>
              <w:t>Boost entrance points, wayfinding</w:t>
            </w:r>
            <w:r w:rsidR="004736A5" w:rsidRPr="004736A5">
              <w:rPr>
                <w:rFonts w:asciiTheme="majorHAnsi" w:eastAsia="Calibri Light" w:hAnsiTheme="majorHAnsi" w:cstheme="majorBidi"/>
                <w:sz w:val="21"/>
                <w:szCs w:val="21"/>
              </w:rPr>
              <w:t>,</w:t>
            </w:r>
            <w:r w:rsidRPr="004736A5">
              <w:rPr>
                <w:rFonts w:asciiTheme="majorHAnsi" w:eastAsia="Calibri Light" w:hAnsiTheme="majorHAnsi" w:cstheme="majorBidi"/>
                <w:sz w:val="21"/>
                <w:szCs w:val="21"/>
              </w:rPr>
              <w:t xml:space="preserve"> and image via creative arts and greening streets</w:t>
            </w:r>
          </w:p>
        </w:tc>
        <w:tc>
          <w:tcPr>
            <w:tcW w:w="7371" w:type="dxa"/>
          </w:tcPr>
          <w:p w14:paraId="79603DC9" w14:textId="43FB855D" w:rsidR="00F00E3D" w:rsidRPr="004E16F4" w:rsidRDefault="00F00E3D" w:rsidP="0005244D">
            <w:pPr>
              <w:spacing w:after="0" w:line="240" w:lineRule="auto"/>
              <w:rPr>
                <w:rFonts w:asciiTheme="majorHAnsi" w:eastAsia="Calibri Light" w:hAnsiTheme="majorHAnsi" w:cstheme="majorHAnsi"/>
                <w:sz w:val="12"/>
                <w:szCs w:val="12"/>
              </w:rPr>
            </w:pPr>
          </w:p>
          <w:p w14:paraId="7C2F4B11" w14:textId="0237B858" w:rsidR="00F00E3D" w:rsidRPr="00214EAE" w:rsidRDefault="00F00E3D" w:rsidP="00364C5D">
            <w:pPr>
              <w:pStyle w:val="ListParagraph"/>
              <w:numPr>
                <w:ilvl w:val="0"/>
                <w:numId w:val="91"/>
              </w:numPr>
              <w:spacing w:after="0" w:line="240" w:lineRule="auto"/>
              <w:rPr>
                <w:rFonts w:asciiTheme="majorHAnsi" w:eastAsia="Calibri Light" w:hAnsiTheme="majorHAnsi" w:cstheme="majorHAnsi"/>
                <w:sz w:val="21"/>
                <w:szCs w:val="21"/>
              </w:rPr>
            </w:pPr>
            <w:r w:rsidRPr="00214EAE">
              <w:rPr>
                <w:rFonts w:asciiTheme="majorHAnsi" w:eastAsia="Calibri Light" w:hAnsiTheme="majorHAnsi" w:cstheme="majorHAnsi"/>
                <w:sz w:val="21"/>
                <w:szCs w:val="21"/>
              </w:rPr>
              <w:t xml:space="preserve">Recommends </w:t>
            </w:r>
            <w:r w:rsidR="004736A5" w:rsidRPr="00214EAE">
              <w:rPr>
                <w:rFonts w:asciiTheme="majorHAnsi" w:eastAsia="Calibri Light" w:hAnsiTheme="majorHAnsi" w:cstheme="majorHAnsi"/>
                <w:sz w:val="21"/>
                <w:szCs w:val="21"/>
              </w:rPr>
              <w:t>increasing</w:t>
            </w:r>
            <w:r w:rsidRPr="00214EAE">
              <w:rPr>
                <w:rFonts w:asciiTheme="majorHAnsi" w:eastAsia="Calibri Light" w:hAnsiTheme="majorHAnsi" w:cstheme="majorHAnsi"/>
                <w:sz w:val="21"/>
                <w:szCs w:val="21"/>
              </w:rPr>
              <w:t xml:space="preserve"> housing density opposite North Shore </w:t>
            </w:r>
            <w:r w:rsidR="004736A5" w:rsidRPr="00214EAE">
              <w:rPr>
                <w:rFonts w:asciiTheme="majorHAnsi" w:eastAsia="Calibri Light" w:hAnsiTheme="majorHAnsi" w:cstheme="majorHAnsi"/>
                <w:sz w:val="21"/>
                <w:szCs w:val="21"/>
              </w:rPr>
              <w:t>S</w:t>
            </w:r>
            <w:r w:rsidRPr="00214EAE">
              <w:rPr>
                <w:rFonts w:asciiTheme="majorHAnsi" w:eastAsia="Calibri Light" w:hAnsiTheme="majorHAnsi" w:cstheme="majorHAnsi"/>
                <w:sz w:val="21"/>
                <w:szCs w:val="21"/>
              </w:rPr>
              <w:t xml:space="preserve">tation, but this was not included in </w:t>
            </w:r>
            <w:r w:rsidR="004736A5" w:rsidRPr="00214EAE">
              <w:rPr>
                <w:rFonts w:asciiTheme="majorHAnsi" w:eastAsia="Calibri Light" w:hAnsiTheme="majorHAnsi" w:cstheme="majorHAnsi"/>
                <w:sz w:val="21"/>
                <w:szCs w:val="21"/>
              </w:rPr>
              <w:t>subsequent</w:t>
            </w:r>
            <w:r w:rsidRPr="00214EAE">
              <w:rPr>
                <w:rFonts w:asciiTheme="majorHAnsi" w:eastAsia="Calibri Light" w:hAnsiTheme="majorHAnsi" w:cstheme="majorHAnsi"/>
                <w:sz w:val="21"/>
                <w:szCs w:val="21"/>
              </w:rPr>
              <w:t xml:space="preserve"> change to planning scheme</w:t>
            </w:r>
          </w:p>
          <w:p w14:paraId="485ACC4B" w14:textId="77777777" w:rsidR="00214EAE" w:rsidRPr="00214EAE" w:rsidRDefault="00F00E3D" w:rsidP="00364C5D">
            <w:pPr>
              <w:pStyle w:val="ListParagraph"/>
              <w:numPr>
                <w:ilvl w:val="0"/>
                <w:numId w:val="91"/>
              </w:numPr>
              <w:spacing w:after="0" w:line="240" w:lineRule="auto"/>
              <w:rPr>
                <w:rFonts w:asciiTheme="majorHAnsi" w:eastAsia="Calibri Light" w:hAnsiTheme="majorHAnsi" w:cstheme="majorHAnsi"/>
                <w:sz w:val="21"/>
                <w:szCs w:val="21"/>
              </w:rPr>
            </w:pPr>
            <w:r w:rsidRPr="00214EAE">
              <w:rPr>
                <w:rFonts w:asciiTheme="majorHAnsi" w:eastAsia="Calibri Light" w:hAnsiTheme="majorHAnsi" w:cstheme="majorHAnsi"/>
                <w:sz w:val="21"/>
                <w:szCs w:val="21"/>
              </w:rPr>
              <w:t>Rationalis</w:t>
            </w:r>
            <w:r w:rsidR="004736A5" w:rsidRPr="00214EAE">
              <w:rPr>
                <w:rFonts w:asciiTheme="majorHAnsi" w:eastAsia="Calibri Light" w:hAnsiTheme="majorHAnsi" w:cstheme="majorHAnsi"/>
                <w:sz w:val="21"/>
                <w:szCs w:val="21"/>
              </w:rPr>
              <w:t>e</w:t>
            </w:r>
            <w:r w:rsidRPr="00214EAE">
              <w:rPr>
                <w:rFonts w:asciiTheme="majorHAnsi" w:eastAsia="Calibri Light" w:hAnsiTheme="majorHAnsi" w:cstheme="majorHAnsi"/>
                <w:sz w:val="21"/>
                <w:szCs w:val="21"/>
              </w:rPr>
              <w:t xml:space="preserve"> parks and shopping centres</w:t>
            </w:r>
            <w:r w:rsidR="004736A5" w:rsidRPr="00214EAE">
              <w:rPr>
                <w:rFonts w:asciiTheme="majorHAnsi" w:eastAsia="Calibri Light" w:hAnsiTheme="majorHAnsi" w:cstheme="majorHAnsi"/>
                <w:sz w:val="21"/>
                <w:szCs w:val="21"/>
              </w:rPr>
              <w:t xml:space="preserve">, </w:t>
            </w:r>
            <w:r w:rsidRPr="00214EAE">
              <w:rPr>
                <w:rFonts w:asciiTheme="majorHAnsi" w:eastAsia="Calibri Light" w:hAnsiTheme="majorHAnsi" w:cstheme="majorHAnsi"/>
                <w:sz w:val="21"/>
                <w:szCs w:val="21"/>
              </w:rPr>
              <w:t>focus</w:t>
            </w:r>
            <w:r w:rsidR="004736A5" w:rsidRPr="00214EAE">
              <w:rPr>
                <w:rFonts w:asciiTheme="majorHAnsi" w:eastAsia="Calibri Light" w:hAnsiTheme="majorHAnsi" w:cstheme="majorHAnsi"/>
                <w:sz w:val="21"/>
                <w:szCs w:val="21"/>
              </w:rPr>
              <w:t>ing</w:t>
            </w:r>
            <w:r w:rsidRPr="00214EAE">
              <w:rPr>
                <w:rFonts w:asciiTheme="majorHAnsi" w:eastAsia="Calibri Light" w:hAnsiTheme="majorHAnsi" w:cstheme="majorHAnsi"/>
                <w:sz w:val="21"/>
                <w:szCs w:val="21"/>
              </w:rPr>
              <w:t xml:space="preserve"> on connectivity and viability</w:t>
            </w:r>
          </w:p>
          <w:p w14:paraId="3D5FBF8A" w14:textId="056D2CC2" w:rsidR="00F00E3D" w:rsidRPr="00214EAE" w:rsidRDefault="00F00E3D" w:rsidP="00364C5D">
            <w:pPr>
              <w:pStyle w:val="ListParagraph"/>
              <w:numPr>
                <w:ilvl w:val="0"/>
                <w:numId w:val="91"/>
              </w:numPr>
              <w:spacing w:after="0" w:line="240" w:lineRule="auto"/>
              <w:rPr>
                <w:rFonts w:asciiTheme="majorHAnsi" w:eastAsia="Calibri Light" w:hAnsiTheme="majorHAnsi" w:cstheme="majorHAnsi"/>
                <w:sz w:val="21"/>
                <w:szCs w:val="21"/>
              </w:rPr>
            </w:pPr>
            <w:r w:rsidRPr="00214EAE">
              <w:rPr>
                <w:rFonts w:asciiTheme="majorHAnsi" w:eastAsia="Calibri Light" w:hAnsiTheme="majorHAnsi" w:cstheme="majorHAnsi"/>
                <w:sz w:val="21"/>
                <w:szCs w:val="21"/>
              </w:rPr>
              <w:t>Boost Labuan Square</w:t>
            </w:r>
            <w:r w:rsidR="004736A5" w:rsidRPr="00214EAE">
              <w:rPr>
                <w:rFonts w:asciiTheme="majorHAnsi" w:eastAsia="Calibri Light" w:hAnsiTheme="majorHAnsi" w:cstheme="majorHAnsi"/>
                <w:sz w:val="21"/>
                <w:szCs w:val="21"/>
              </w:rPr>
              <w:t>, Corio Heart,</w:t>
            </w:r>
            <w:r w:rsidRPr="00214EAE">
              <w:rPr>
                <w:rFonts w:asciiTheme="majorHAnsi" w:eastAsia="Calibri Light" w:hAnsiTheme="majorHAnsi" w:cstheme="majorHAnsi"/>
                <w:sz w:val="21"/>
                <w:szCs w:val="21"/>
              </w:rPr>
              <w:t xml:space="preserve"> and Alkira P</w:t>
            </w:r>
            <w:r w:rsidR="004736A5" w:rsidRPr="00214EAE">
              <w:rPr>
                <w:rFonts w:asciiTheme="majorHAnsi" w:eastAsia="Calibri Light" w:hAnsiTheme="majorHAnsi" w:cstheme="majorHAnsi"/>
                <w:sz w:val="21"/>
                <w:szCs w:val="21"/>
              </w:rPr>
              <w:t>ara</w:t>
            </w:r>
            <w:r w:rsidRPr="00214EAE">
              <w:rPr>
                <w:rFonts w:asciiTheme="majorHAnsi" w:eastAsia="Calibri Light" w:hAnsiTheme="majorHAnsi" w:cstheme="majorHAnsi"/>
                <w:sz w:val="21"/>
                <w:szCs w:val="21"/>
              </w:rPr>
              <w:t>de neighbourhood centres</w:t>
            </w:r>
          </w:p>
          <w:p w14:paraId="1D43EE6C" w14:textId="0F496ECB" w:rsidR="00F00E3D" w:rsidRPr="00214EAE" w:rsidRDefault="00F00E3D" w:rsidP="00364C5D">
            <w:pPr>
              <w:pStyle w:val="ListParagraph"/>
              <w:numPr>
                <w:ilvl w:val="0"/>
                <w:numId w:val="91"/>
              </w:numPr>
              <w:spacing w:after="0" w:line="240" w:lineRule="auto"/>
              <w:rPr>
                <w:rFonts w:asciiTheme="majorHAnsi" w:eastAsia="Calibri Light" w:hAnsiTheme="majorHAnsi" w:cstheme="majorHAnsi"/>
                <w:sz w:val="21"/>
                <w:szCs w:val="21"/>
              </w:rPr>
            </w:pPr>
            <w:r w:rsidRPr="00214EAE">
              <w:rPr>
                <w:rFonts w:asciiTheme="majorHAnsi" w:eastAsia="Calibri Light" w:hAnsiTheme="majorHAnsi" w:cstheme="majorHAnsi"/>
                <w:sz w:val="21"/>
                <w:szCs w:val="21"/>
              </w:rPr>
              <w:t>Provide a public transport network to meet resident</w:t>
            </w:r>
            <w:r w:rsidR="00EC5BC2">
              <w:rPr>
                <w:rFonts w:asciiTheme="majorHAnsi" w:eastAsia="Calibri Light" w:hAnsiTheme="majorHAnsi" w:cstheme="majorHAnsi"/>
                <w:sz w:val="21"/>
                <w:szCs w:val="21"/>
              </w:rPr>
              <w:t xml:space="preserve"> </w:t>
            </w:r>
            <w:r w:rsidR="00214EAE" w:rsidRPr="00214EAE">
              <w:rPr>
                <w:rFonts w:asciiTheme="majorHAnsi" w:eastAsia="Calibri Light" w:hAnsiTheme="majorHAnsi" w:cstheme="majorHAnsi"/>
                <w:sz w:val="21"/>
                <w:szCs w:val="21"/>
              </w:rPr>
              <w:t>needs</w:t>
            </w:r>
            <w:r w:rsidRPr="00214EAE">
              <w:rPr>
                <w:rFonts w:asciiTheme="majorHAnsi" w:eastAsia="Calibri Light" w:hAnsiTheme="majorHAnsi" w:cstheme="majorHAnsi"/>
                <w:sz w:val="21"/>
                <w:szCs w:val="21"/>
              </w:rPr>
              <w:t>, especially buses and possibly rail</w:t>
            </w:r>
          </w:p>
          <w:p w14:paraId="521E5E2E" w14:textId="15B04343" w:rsidR="00F00E3D" w:rsidRPr="00214EAE" w:rsidRDefault="00F00E3D" w:rsidP="00364C5D">
            <w:pPr>
              <w:pStyle w:val="ListParagraph"/>
              <w:numPr>
                <w:ilvl w:val="0"/>
                <w:numId w:val="91"/>
              </w:numPr>
              <w:spacing w:after="0" w:line="240" w:lineRule="auto"/>
              <w:rPr>
                <w:rFonts w:asciiTheme="majorHAnsi" w:eastAsia="Calibri Light" w:hAnsiTheme="majorHAnsi" w:cstheme="majorHAnsi"/>
                <w:sz w:val="21"/>
                <w:szCs w:val="21"/>
              </w:rPr>
            </w:pPr>
            <w:r w:rsidRPr="00214EAE">
              <w:rPr>
                <w:rFonts w:asciiTheme="majorHAnsi" w:eastAsia="Calibri Light" w:hAnsiTheme="majorHAnsi" w:cstheme="majorHAnsi"/>
                <w:sz w:val="21"/>
                <w:szCs w:val="21"/>
              </w:rPr>
              <w:t>Boost entrance points, wayfinding</w:t>
            </w:r>
            <w:r w:rsidR="00214EAE" w:rsidRPr="00214EAE">
              <w:rPr>
                <w:rFonts w:asciiTheme="majorHAnsi" w:eastAsia="Calibri Light" w:hAnsiTheme="majorHAnsi" w:cstheme="majorHAnsi"/>
                <w:sz w:val="21"/>
                <w:szCs w:val="21"/>
              </w:rPr>
              <w:t>,</w:t>
            </w:r>
            <w:r w:rsidRPr="00214EAE">
              <w:rPr>
                <w:rFonts w:asciiTheme="majorHAnsi" w:eastAsia="Calibri Light" w:hAnsiTheme="majorHAnsi" w:cstheme="majorHAnsi"/>
                <w:sz w:val="21"/>
                <w:szCs w:val="21"/>
              </w:rPr>
              <w:t xml:space="preserve"> and image via creative arts and</w:t>
            </w:r>
            <w:r w:rsidR="00364C5D">
              <w:rPr>
                <w:rFonts w:asciiTheme="majorHAnsi" w:eastAsia="Calibri Light" w:hAnsiTheme="majorHAnsi" w:cstheme="majorHAnsi"/>
                <w:sz w:val="21"/>
                <w:szCs w:val="21"/>
              </w:rPr>
              <w:t xml:space="preserve"> street</w:t>
            </w:r>
            <w:r w:rsidRPr="00214EAE">
              <w:rPr>
                <w:rFonts w:asciiTheme="majorHAnsi" w:eastAsia="Calibri Light" w:hAnsiTheme="majorHAnsi" w:cstheme="majorHAnsi"/>
                <w:sz w:val="21"/>
                <w:szCs w:val="21"/>
              </w:rPr>
              <w:t xml:space="preserve"> greening</w:t>
            </w:r>
          </w:p>
          <w:p w14:paraId="720FE658" w14:textId="60B4438F" w:rsidR="00F00E3D" w:rsidRPr="00214EAE" w:rsidRDefault="00F00E3D" w:rsidP="00364C5D">
            <w:pPr>
              <w:pStyle w:val="ListParagraph"/>
              <w:numPr>
                <w:ilvl w:val="0"/>
                <w:numId w:val="91"/>
              </w:numPr>
              <w:spacing w:after="0" w:line="240" w:lineRule="auto"/>
              <w:rPr>
                <w:rFonts w:asciiTheme="majorHAnsi" w:eastAsia="Calibri Light" w:hAnsiTheme="majorHAnsi" w:cstheme="majorHAnsi"/>
                <w:sz w:val="21"/>
                <w:szCs w:val="21"/>
              </w:rPr>
            </w:pPr>
            <w:r w:rsidRPr="00214EAE">
              <w:rPr>
                <w:rFonts w:asciiTheme="majorHAnsi" w:eastAsia="Calibri Light" w:hAnsiTheme="majorHAnsi" w:cstheme="majorHAnsi"/>
                <w:sz w:val="21"/>
                <w:szCs w:val="21"/>
              </w:rPr>
              <w:t xml:space="preserve">Assess and improve </w:t>
            </w:r>
            <w:r w:rsidR="00364C5D">
              <w:rPr>
                <w:rFonts w:asciiTheme="majorHAnsi" w:eastAsia="Calibri Light" w:hAnsiTheme="majorHAnsi" w:cstheme="majorHAnsi"/>
                <w:sz w:val="21"/>
                <w:szCs w:val="21"/>
              </w:rPr>
              <w:t xml:space="preserve">local </w:t>
            </w:r>
            <w:r w:rsidRPr="00214EAE">
              <w:rPr>
                <w:rFonts w:asciiTheme="majorHAnsi" w:eastAsia="Calibri Light" w:hAnsiTheme="majorHAnsi" w:cstheme="majorHAnsi"/>
                <w:sz w:val="21"/>
                <w:szCs w:val="21"/>
              </w:rPr>
              <w:t>health and wellbeing infrastructure needs</w:t>
            </w:r>
          </w:p>
          <w:p w14:paraId="3003A573" w14:textId="66FAD889" w:rsidR="00F00E3D" w:rsidRPr="00214EAE" w:rsidRDefault="00F00E3D" w:rsidP="00364C5D">
            <w:pPr>
              <w:pStyle w:val="ListParagraph"/>
              <w:numPr>
                <w:ilvl w:val="0"/>
                <w:numId w:val="91"/>
              </w:numPr>
              <w:spacing w:after="0" w:line="240" w:lineRule="auto"/>
              <w:rPr>
                <w:rFonts w:asciiTheme="majorHAnsi" w:eastAsia="Calibri Light" w:hAnsiTheme="majorHAnsi" w:cstheme="majorHAnsi"/>
                <w:sz w:val="21"/>
                <w:szCs w:val="21"/>
              </w:rPr>
            </w:pPr>
            <w:r w:rsidRPr="00214EAE">
              <w:rPr>
                <w:rFonts w:asciiTheme="majorHAnsi" w:eastAsia="Calibri Light" w:hAnsiTheme="majorHAnsi" w:cstheme="majorHAnsi"/>
                <w:sz w:val="21"/>
                <w:szCs w:val="21"/>
              </w:rPr>
              <w:t>Provide active</w:t>
            </w:r>
            <w:r w:rsidR="00214EAE" w:rsidRPr="00214EAE">
              <w:rPr>
                <w:rFonts w:asciiTheme="majorHAnsi" w:eastAsia="Calibri Light" w:hAnsiTheme="majorHAnsi" w:cstheme="majorHAnsi"/>
                <w:sz w:val="21"/>
                <w:szCs w:val="21"/>
              </w:rPr>
              <w:t xml:space="preserve"> and (especially) </w:t>
            </w:r>
            <w:r w:rsidRPr="00214EAE">
              <w:rPr>
                <w:rFonts w:asciiTheme="majorHAnsi" w:eastAsia="Calibri Light" w:hAnsiTheme="majorHAnsi" w:cstheme="majorHAnsi"/>
                <w:sz w:val="21"/>
                <w:szCs w:val="21"/>
              </w:rPr>
              <w:t>passive open space to meet local and visitor needs</w:t>
            </w:r>
          </w:p>
        </w:tc>
      </w:tr>
    </w:tbl>
    <w:p w14:paraId="69879C75" w14:textId="7B87B944" w:rsidR="00F00E3D" w:rsidRDefault="00CD1F4E" w:rsidP="009B2FA7">
      <w:pPr>
        <w:spacing w:line="276" w:lineRule="auto"/>
        <w:rPr>
          <w:rFonts w:eastAsia="Times New Roman" w:cstheme="minorHAnsi"/>
          <w:b/>
          <w:bCs/>
          <w:sz w:val="21"/>
          <w:szCs w:val="21"/>
        </w:rPr>
      </w:pPr>
      <w:r w:rsidRPr="005A1AAE">
        <w:rPr>
          <w:rFonts w:eastAsia="Times New Roman" w:cstheme="minorHAnsi"/>
          <w:b/>
          <w:bCs/>
          <w:sz w:val="21"/>
          <w:szCs w:val="21"/>
        </w:rPr>
        <w:t>Table 7.1</w:t>
      </w:r>
      <w:r w:rsidR="007A7618">
        <w:rPr>
          <w:rFonts w:eastAsia="Times New Roman" w:cstheme="minorHAnsi"/>
          <w:b/>
          <w:bCs/>
          <w:sz w:val="21"/>
          <w:szCs w:val="21"/>
        </w:rPr>
        <w:t>5</w:t>
      </w:r>
      <w:r w:rsidRPr="005A1AAE">
        <w:rPr>
          <w:rFonts w:eastAsia="Times New Roman" w:cstheme="minorHAnsi"/>
          <w:b/>
          <w:bCs/>
          <w:sz w:val="21"/>
          <w:szCs w:val="21"/>
        </w:rPr>
        <w:t xml:space="preserve">: </w:t>
      </w:r>
      <w:r w:rsidR="001B7DDF">
        <w:rPr>
          <w:rFonts w:eastAsia="Times New Roman" w:cstheme="minorHAnsi"/>
          <w:b/>
          <w:bCs/>
          <w:sz w:val="21"/>
          <w:szCs w:val="21"/>
        </w:rPr>
        <w:t>CoGG</w:t>
      </w:r>
      <w:r w:rsidRPr="005A1AAE">
        <w:rPr>
          <w:rFonts w:eastAsia="Times New Roman" w:cstheme="minorHAnsi"/>
          <w:b/>
          <w:bCs/>
          <w:sz w:val="21"/>
          <w:szCs w:val="21"/>
        </w:rPr>
        <w:t xml:space="preserve"> Policies</w:t>
      </w:r>
      <w:r w:rsidR="007C1A24">
        <w:rPr>
          <w:rFonts w:eastAsia="Times New Roman" w:cstheme="minorHAnsi"/>
          <w:b/>
          <w:bCs/>
          <w:sz w:val="21"/>
          <w:szCs w:val="21"/>
        </w:rPr>
        <w:t>,</w:t>
      </w:r>
      <w:r w:rsidRPr="005A1AAE">
        <w:rPr>
          <w:rFonts w:eastAsia="Times New Roman" w:cstheme="minorHAnsi"/>
          <w:b/>
          <w:bCs/>
          <w:sz w:val="21"/>
          <w:szCs w:val="21"/>
        </w:rPr>
        <w:t xml:space="preserve"> </w:t>
      </w:r>
      <w:r w:rsidR="00764343">
        <w:rPr>
          <w:rFonts w:eastAsia="Times New Roman" w:cstheme="minorHAnsi"/>
          <w:b/>
          <w:bCs/>
          <w:sz w:val="21"/>
          <w:szCs w:val="21"/>
        </w:rPr>
        <w:t>Plans</w:t>
      </w:r>
      <w:r w:rsidR="007C1A24">
        <w:rPr>
          <w:rFonts w:eastAsia="Times New Roman" w:cstheme="minorHAnsi"/>
          <w:b/>
          <w:bCs/>
          <w:sz w:val="21"/>
          <w:szCs w:val="21"/>
        </w:rPr>
        <w:t>, and Programs</w:t>
      </w:r>
      <w:r w:rsidR="00764343">
        <w:rPr>
          <w:rFonts w:eastAsia="Times New Roman" w:cstheme="minorHAnsi"/>
          <w:b/>
          <w:bCs/>
          <w:sz w:val="21"/>
          <w:szCs w:val="21"/>
        </w:rPr>
        <w:t xml:space="preserve"> </w:t>
      </w:r>
      <w:r w:rsidR="005A1AAE" w:rsidRPr="005A1AAE">
        <w:rPr>
          <w:rFonts w:eastAsia="Times New Roman" w:cstheme="minorHAnsi"/>
          <w:b/>
          <w:bCs/>
          <w:sz w:val="21"/>
          <w:szCs w:val="21"/>
        </w:rPr>
        <w:t>R</w:t>
      </w:r>
      <w:r w:rsidRPr="005A1AAE">
        <w:rPr>
          <w:rFonts w:eastAsia="Times New Roman" w:cstheme="minorHAnsi"/>
          <w:b/>
          <w:bCs/>
          <w:sz w:val="21"/>
          <w:szCs w:val="21"/>
        </w:rPr>
        <w:t>elevan</w:t>
      </w:r>
      <w:r w:rsidR="007C1A24">
        <w:rPr>
          <w:rFonts w:eastAsia="Times New Roman" w:cstheme="minorHAnsi"/>
          <w:b/>
          <w:bCs/>
          <w:sz w:val="21"/>
          <w:szCs w:val="21"/>
        </w:rPr>
        <w:t>t</w:t>
      </w:r>
      <w:r w:rsidRPr="005A1AAE">
        <w:rPr>
          <w:rFonts w:eastAsia="Times New Roman" w:cstheme="minorHAnsi"/>
          <w:b/>
          <w:bCs/>
          <w:sz w:val="21"/>
          <w:szCs w:val="21"/>
        </w:rPr>
        <w:t xml:space="preserve"> to Corio</w:t>
      </w:r>
      <w:r w:rsidR="005A1AAE" w:rsidRPr="005A1AAE">
        <w:rPr>
          <w:rFonts w:eastAsia="Times New Roman" w:cstheme="minorHAnsi"/>
          <w:b/>
          <w:bCs/>
          <w:sz w:val="21"/>
          <w:szCs w:val="21"/>
        </w:rPr>
        <w:t xml:space="preserve">, </w:t>
      </w:r>
      <w:r w:rsidRPr="005A1AAE">
        <w:rPr>
          <w:rFonts w:eastAsia="Times New Roman" w:cstheme="minorHAnsi"/>
          <w:b/>
          <w:bCs/>
          <w:sz w:val="21"/>
          <w:szCs w:val="21"/>
        </w:rPr>
        <w:t>Norlane</w:t>
      </w:r>
      <w:r w:rsidR="005A1AAE" w:rsidRPr="005A1AAE">
        <w:rPr>
          <w:rFonts w:eastAsia="Times New Roman" w:cstheme="minorHAnsi"/>
          <w:b/>
          <w:bCs/>
          <w:sz w:val="21"/>
          <w:szCs w:val="21"/>
        </w:rPr>
        <w:t>,</w:t>
      </w:r>
      <w:r w:rsidRPr="005A1AAE">
        <w:rPr>
          <w:rFonts w:eastAsia="Times New Roman" w:cstheme="minorHAnsi"/>
          <w:b/>
          <w:bCs/>
          <w:sz w:val="21"/>
          <w:szCs w:val="21"/>
        </w:rPr>
        <w:t xml:space="preserve"> and Whittington</w:t>
      </w:r>
    </w:p>
    <w:p w14:paraId="2FE175C3" w14:textId="77777777" w:rsidR="005D3483" w:rsidRDefault="005D3483" w:rsidP="009B2FA7">
      <w:pPr>
        <w:spacing w:line="276" w:lineRule="auto"/>
        <w:rPr>
          <w:rFonts w:eastAsia="Times New Roman" w:cstheme="minorHAnsi"/>
          <w:b/>
          <w:bCs/>
          <w:sz w:val="21"/>
          <w:szCs w:val="21"/>
        </w:rPr>
      </w:pPr>
    </w:p>
    <w:p w14:paraId="4C059FFE" w14:textId="77777777" w:rsidR="005D3483" w:rsidRDefault="005D3483" w:rsidP="009B2FA7">
      <w:pPr>
        <w:spacing w:line="276" w:lineRule="auto"/>
        <w:rPr>
          <w:rFonts w:eastAsia="Times New Roman" w:cstheme="minorHAnsi"/>
          <w:b/>
          <w:bCs/>
          <w:sz w:val="21"/>
          <w:szCs w:val="21"/>
        </w:rPr>
        <w:sectPr w:rsidR="005D3483" w:rsidSect="005D3483">
          <w:pgSz w:w="16840" w:h="11900" w:orient="landscape"/>
          <w:pgMar w:top="1134" w:right="1134" w:bottom="1134" w:left="1134" w:header="709" w:footer="709" w:gutter="0"/>
          <w:cols w:space="708"/>
          <w:docGrid w:linePitch="360"/>
        </w:sectPr>
      </w:pPr>
    </w:p>
    <w:p w14:paraId="128A2BF1" w14:textId="50AC5A28" w:rsidR="00F00E3D" w:rsidRPr="002822AD" w:rsidRDefault="00F00E3D" w:rsidP="009B2FA7">
      <w:pPr>
        <w:spacing w:line="276" w:lineRule="auto"/>
        <w:rPr>
          <w:rFonts w:eastAsia="Calibri"/>
          <w:b/>
          <w:bCs/>
          <w:color w:val="2F5496" w:themeColor="accent1" w:themeShade="BF"/>
          <w:sz w:val="25"/>
          <w:szCs w:val="25"/>
        </w:rPr>
      </w:pPr>
      <w:r w:rsidRPr="002822AD">
        <w:rPr>
          <w:rFonts w:eastAsia="Calibri"/>
          <w:b/>
          <w:bCs/>
          <w:color w:val="2F5496" w:themeColor="accent1" w:themeShade="BF"/>
          <w:sz w:val="25"/>
          <w:szCs w:val="25"/>
        </w:rPr>
        <w:lastRenderedPageBreak/>
        <w:t xml:space="preserve">Policy </w:t>
      </w:r>
      <w:r w:rsidR="00AE1456" w:rsidRPr="002822AD">
        <w:rPr>
          <w:rFonts w:eastAsia="Calibri"/>
          <w:b/>
          <w:bCs/>
          <w:color w:val="2F5496" w:themeColor="accent1" w:themeShade="BF"/>
          <w:sz w:val="25"/>
          <w:szCs w:val="25"/>
        </w:rPr>
        <w:t xml:space="preserve">Gaps and Opportunities </w:t>
      </w:r>
    </w:p>
    <w:p w14:paraId="631E2AC7" w14:textId="684E276D" w:rsidR="00F00E3D" w:rsidRPr="00E91887" w:rsidRDefault="00822832" w:rsidP="009B2FA7">
      <w:pPr>
        <w:spacing w:line="276" w:lineRule="auto"/>
        <w:rPr>
          <w:rFonts w:asciiTheme="majorHAnsi" w:eastAsiaTheme="majorEastAsia" w:hAnsiTheme="majorHAnsi" w:cstheme="majorBidi"/>
          <w:sz w:val="23"/>
          <w:szCs w:val="23"/>
        </w:rPr>
      </w:pPr>
      <w:r>
        <w:rPr>
          <w:rFonts w:asciiTheme="majorHAnsi" w:eastAsiaTheme="majorEastAsia" w:hAnsiTheme="majorHAnsi" w:cstheme="majorBidi"/>
          <w:sz w:val="23"/>
          <w:szCs w:val="23"/>
        </w:rPr>
        <w:t>The</w:t>
      </w:r>
      <w:r w:rsidR="000B1207">
        <w:rPr>
          <w:rFonts w:asciiTheme="majorHAnsi" w:eastAsiaTheme="majorEastAsia" w:hAnsiTheme="majorHAnsi" w:cstheme="majorBidi"/>
          <w:sz w:val="23"/>
          <w:szCs w:val="23"/>
        </w:rPr>
        <w:t xml:space="preserve"> research</w:t>
      </w:r>
      <w:r w:rsidR="000876E6">
        <w:rPr>
          <w:rFonts w:asciiTheme="majorHAnsi" w:eastAsiaTheme="majorEastAsia" w:hAnsiTheme="majorHAnsi" w:cstheme="majorBidi"/>
          <w:sz w:val="23"/>
          <w:szCs w:val="23"/>
        </w:rPr>
        <w:t xml:space="preserve"> </w:t>
      </w:r>
      <w:r>
        <w:rPr>
          <w:rFonts w:asciiTheme="majorHAnsi" w:eastAsiaTheme="majorEastAsia" w:hAnsiTheme="majorHAnsi" w:cstheme="majorBidi"/>
          <w:sz w:val="23"/>
          <w:szCs w:val="23"/>
        </w:rPr>
        <w:t>undertaken for this section of the report</w:t>
      </w:r>
      <w:r w:rsidR="000876E6">
        <w:rPr>
          <w:rFonts w:asciiTheme="majorHAnsi" w:eastAsiaTheme="majorEastAsia" w:hAnsiTheme="majorHAnsi" w:cstheme="majorBidi"/>
          <w:sz w:val="23"/>
          <w:szCs w:val="23"/>
        </w:rPr>
        <w:t xml:space="preserve"> involved</w:t>
      </w:r>
      <w:r w:rsidR="00CD5324">
        <w:rPr>
          <w:rFonts w:asciiTheme="majorHAnsi" w:eastAsiaTheme="majorEastAsia" w:hAnsiTheme="majorHAnsi" w:cstheme="majorBidi"/>
          <w:sz w:val="23"/>
          <w:szCs w:val="23"/>
        </w:rPr>
        <w:t xml:space="preserve"> </w:t>
      </w:r>
      <w:r w:rsidR="000B1207">
        <w:rPr>
          <w:rFonts w:asciiTheme="majorHAnsi" w:eastAsiaTheme="majorEastAsia" w:hAnsiTheme="majorHAnsi" w:cstheme="majorBidi"/>
          <w:sz w:val="23"/>
          <w:szCs w:val="23"/>
        </w:rPr>
        <w:t xml:space="preserve">an extensive data scan, </w:t>
      </w:r>
      <w:r w:rsidR="00F00E3D" w:rsidRPr="00E91887">
        <w:rPr>
          <w:rFonts w:asciiTheme="majorHAnsi" w:eastAsiaTheme="majorEastAsia" w:hAnsiTheme="majorHAnsi" w:cstheme="majorBidi"/>
          <w:sz w:val="23"/>
          <w:szCs w:val="23"/>
        </w:rPr>
        <w:t>statistical</w:t>
      </w:r>
      <w:r w:rsidR="000876E6">
        <w:rPr>
          <w:rFonts w:asciiTheme="majorHAnsi" w:eastAsiaTheme="majorEastAsia" w:hAnsiTheme="majorHAnsi" w:cstheme="majorBidi"/>
          <w:sz w:val="23"/>
          <w:szCs w:val="23"/>
        </w:rPr>
        <w:t xml:space="preserve"> </w:t>
      </w:r>
      <w:r w:rsidR="00F00E3D" w:rsidRPr="00E91887">
        <w:rPr>
          <w:rFonts w:asciiTheme="majorHAnsi" w:eastAsiaTheme="majorEastAsia" w:hAnsiTheme="majorHAnsi" w:cstheme="majorBidi"/>
          <w:sz w:val="23"/>
          <w:szCs w:val="23"/>
        </w:rPr>
        <w:t xml:space="preserve">analysis </w:t>
      </w:r>
      <w:r w:rsidR="00984E02">
        <w:rPr>
          <w:rFonts w:asciiTheme="majorHAnsi" w:eastAsiaTheme="majorEastAsia" w:hAnsiTheme="majorHAnsi" w:cstheme="majorBidi"/>
          <w:sz w:val="23"/>
          <w:szCs w:val="23"/>
        </w:rPr>
        <w:t>of the three localities</w:t>
      </w:r>
      <w:r w:rsidR="000876E6">
        <w:rPr>
          <w:rFonts w:asciiTheme="majorHAnsi" w:eastAsiaTheme="majorEastAsia" w:hAnsiTheme="majorHAnsi" w:cstheme="majorBidi"/>
          <w:sz w:val="23"/>
          <w:szCs w:val="23"/>
        </w:rPr>
        <w:t>, an</w:t>
      </w:r>
      <w:r w:rsidR="00F00E3D" w:rsidRPr="00E91887">
        <w:rPr>
          <w:rFonts w:asciiTheme="majorHAnsi" w:eastAsiaTheme="majorEastAsia" w:hAnsiTheme="majorHAnsi" w:cstheme="majorBidi"/>
          <w:sz w:val="23"/>
          <w:szCs w:val="23"/>
        </w:rPr>
        <w:t xml:space="preserve"> </w:t>
      </w:r>
      <w:r w:rsidR="00613E76">
        <w:rPr>
          <w:rFonts w:asciiTheme="majorHAnsi" w:eastAsiaTheme="majorEastAsia" w:hAnsiTheme="majorHAnsi" w:cstheme="majorBidi"/>
          <w:sz w:val="23"/>
          <w:szCs w:val="23"/>
        </w:rPr>
        <w:t>assess</w:t>
      </w:r>
      <w:r w:rsidR="000876E6">
        <w:rPr>
          <w:rFonts w:asciiTheme="majorHAnsi" w:eastAsiaTheme="majorEastAsia" w:hAnsiTheme="majorHAnsi" w:cstheme="majorBidi"/>
          <w:sz w:val="23"/>
          <w:szCs w:val="23"/>
        </w:rPr>
        <w:t>ment of</w:t>
      </w:r>
      <w:r w:rsidR="00F00E3D" w:rsidRPr="00E91887">
        <w:rPr>
          <w:rFonts w:asciiTheme="majorHAnsi" w:eastAsiaTheme="majorEastAsia" w:hAnsiTheme="majorHAnsi" w:cstheme="majorBidi"/>
          <w:sz w:val="23"/>
          <w:szCs w:val="23"/>
        </w:rPr>
        <w:t xml:space="preserve"> COVD-19</w:t>
      </w:r>
      <w:r w:rsidR="00984E02">
        <w:rPr>
          <w:rFonts w:asciiTheme="majorHAnsi" w:eastAsiaTheme="majorEastAsia" w:hAnsiTheme="majorHAnsi" w:cstheme="majorBidi"/>
          <w:sz w:val="23"/>
          <w:szCs w:val="23"/>
        </w:rPr>
        <w:t>’s local</w:t>
      </w:r>
      <w:r w:rsidR="00F00E3D" w:rsidRPr="00E91887">
        <w:rPr>
          <w:rFonts w:asciiTheme="majorHAnsi" w:eastAsiaTheme="majorEastAsia" w:hAnsiTheme="majorHAnsi" w:cstheme="majorBidi"/>
          <w:sz w:val="23"/>
          <w:szCs w:val="23"/>
        </w:rPr>
        <w:t xml:space="preserve"> impacts</w:t>
      </w:r>
      <w:r w:rsidR="007F4AE8">
        <w:rPr>
          <w:rFonts w:asciiTheme="majorHAnsi" w:eastAsiaTheme="majorEastAsia" w:hAnsiTheme="majorHAnsi" w:cstheme="majorBidi"/>
          <w:sz w:val="23"/>
          <w:szCs w:val="23"/>
        </w:rPr>
        <w:t>, and an analysis of relevant local policies, plans, and programs</w:t>
      </w:r>
      <w:r w:rsidR="000A6C85">
        <w:rPr>
          <w:rFonts w:asciiTheme="majorHAnsi" w:eastAsiaTheme="majorEastAsia" w:hAnsiTheme="majorHAnsi" w:cstheme="majorBidi"/>
          <w:sz w:val="23"/>
          <w:szCs w:val="23"/>
        </w:rPr>
        <w:t xml:space="preserve"> relevant to Corio, Norlane, and Whittington</w:t>
      </w:r>
      <w:r w:rsidR="00613E76">
        <w:rPr>
          <w:rFonts w:asciiTheme="majorHAnsi" w:eastAsiaTheme="majorEastAsia" w:hAnsiTheme="majorHAnsi" w:cstheme="majorBidi"/>
          <w:sz w:val="23"/>
          <w:szCs w:val="23"/>
        </w:rPr>
        <w:t xml:space="preserve">. </w:t>
      </w:r>
      <w:r w:rsidR="00501E13">
        <w:rPr>
          <w:rFonts w:asciiTheme="majorHAnsi" w:eastAsiaTheme="majorEastAsia" w:hAnsiTheme="majorHAnsi" w:cstheme="majorBidi"/>
          <w:sz w:val="23"/>
          <w:szCs w:val="23"/>
        </w:rPr>
        <w:t>Our findings</w:t>
      </w:r>
      <w:r w:rsidR="0011636A">
        <w:rPr>
          <w:rFonts w:asciiTheme="majorHAnsi" w:eastAsiaTheme="majorEastAsia" w:hAnsiTheme="majorHAnsi" w:cstheme="majorBidi"/>
          <w:sz w:val="23"/>
          <w:szCs w:val="23"/>
        </w:rPr>
        <w:t xml:space="preserve"> </w:t>
      </w:r>
      <w:r w:rsidR="002D1F36">
        <w:rPr>
          <w:rFonts w:asciiTheme="majorHAnsi" w:eastAsiaTheme="majorEastAsia" w:hAnsiTheme="majorHAnsi" w:cstheme="majorBidi"/>
          <w:sz w:val="23"/>
          <w:szCs w:val="23"/>
        </w:rPr>
        <w:t xml:space="preserve">from this work </w:t>
      </w:r>
      <w:r w:rsidR="00613E76">
        <w:rPr>
          <w:rFonts w:asciiTheme="majorHAnsi" w:eastAsiaTheme="majorEastAsia" w:hAnsiTheme="majorHAnsi" w:cstheme="majorBidi"/>
          <w:sz w:val="23"/>
          <w:szCs w:val="23"/>
        </w:rPr>
        <w:t>highlight</w:t>
      </w:r>
      <w:r w:rsidR="00F00E3D" w:rsidRPr="00E91887">
        <w:rPr>
          <w:rFonts w:asciiTheme="majorHAnsi" w:eastAsiaTheme="majorEastAsia" w:hAnsiTheme="majorHAnsi" w:cstheme="majorBidi"/>
          <w:sz w:val="23"/>
          <w:szCs w:val="23"/>
        </w:rPr>
        <w:t xml:space="preserve"> some </w:t>
      </w:r>
      <w:r w:rsidR="009F7423">
        <w:rPr>
          <w:rFonts w:asciiTheme="majorHAnsi" w:eastAsiaTheme="majorEastAsia" w:hAnsiTheme="majorHAnsi" w:cstheme="majorBidi"/>
          <w:sz w:val="23"/>
          <w:szCs w:val="23"/>
        </w:rPr>
        <w:t>issues</w:t>
      </w:r>
      <w:r w:rsidR="00F00E3D" w:rsidRPr="00E91887">
        <w:rPr>
          <w:rFonts w:asciiTheme="majorHAnsi" w:eastAsiaTheme="majorEastAsia" w:hAnsiTheme="majorHAnsi" w:cstheme="majorBidi"/>
          <w:sz w:val="23"/>
          <w:szCs w:val="23"/>
        </w:rPr>
        <w:t xml:space="preserve"> for particular and perhaps urgent attention</w:t>
      </w:r>
      <w:r w:rsidR="006E2F86">
        <w:rPr>
          <w:rFonts w:asciiTheme="majorHAnsi" w:eastAsiaTheme="majorEastAsia" w:hAnsiTheme="majorHAnsi" w:cstheme="majorBidi"/>
          <w:sz w:val="23"/>
          <w:szCs w:val="23"/>
        </w:rPr>
        <w:t>.</w:t>
      </w:r>
      <w:r w:rsidR="00681E66">
        <w:rPr>
          <w:rFonts w:asciiTheme="majorHAnsi" w:eastAsiaTheme="majorEastAsia" w:hAnsiTheme="majorHAnsi" w:cstheme="majorBidi"/>
          <w:sz w:val="23"/>
          <w:szCs w:val="23"/>
        </w:rPr>
        <w:t xml:space="preserve"> </w:t>
      </w:r>
      <w:r w:rsidR="002D1F36">
        <w:rPr>
          <w:rFonts w:asciiTheme="majorHAnsi" w:eastAsiaTheme="majorEastAsia" w:hAnsiTheme="majorHAnsi" w:cstheme="majorBidi"/>
          <w:sz w:val="23"/>
          <w:szCs w:val="23"/>
        </w:rPr>
        <w:t>It is worth noting that the research process was cumulative, and the issues</w:t>
      </w:r>
      <w:r w:rsidR="00553903">
        <w:rPr>
          <w:rFonts w:asciiTheme="majorHAnsi" w:eastAsiaTheme="majorEastAsia" w:hAnsiTheme="majorHAnsi" w:cstheme="majorBidi"/>
          <w:sz w:val="23"/>
          <w:szCs w:val="23"/>
        </w:rPr>
        <w:t xml:space="preserve"> outlined below</w:t>
      </w:r>
      <w:r w:rsidR="005F112E">
        <w:rPr>
          <w:rFonts w:asciiTheme="majorHAnsi" w:eastAsiaTheme="majorEastAsia" w:hAnsiTheme="majorHAnsi" w:cstheme="majorBidi"/>
          <w:sz w:val="23"/>
          <w:szCs w:val="23"/>
        </w:rPr>
        <w:t xml:space="preserve"> were</w:t>
      </w:r>
      <w:r w:rsidR="00681E66">
        <w:rPr>
          <w:rFonts w:asciiTheme="majorHAnsi" w:eastAsiaTheme="majorEastAsia" w:hAnsiTheme="majorHAnsi" w:cstheme="majorBidi"/>
          <w:sz w:val="23"/>
          <w:szCs w:val="23"/>
        </w:rPr>
        <w:t xml:space="preserve"> identified prior to the next phase of research (</w:t>
      </w:r>
      <w:r w:rsidR="005F112E">
        <w:rPr>
          <w:rFonts w:asciiTheme="majorHAnsi" w:eastAsiaTheme="majorEastAsia" w:hAnsiTheme="majorHAnsi" w:cstheme="majorBidi"/>
          <w:sz w:val="23"/>
          <w:szCs w:val="23"/>
        </w:rPr>
        <w:t>consultations with community organisations).</w:t>
      </w:r>
      <w:r w:rsidR="00372BB3">
        <w:rPr>
          <w:rFonts w:asciiTheme="majorHAnsi" w:eastAsiaTheme="majorEastAsia" w:hAnsiTheme="majorHAnsi" w:cstheme="majorBidi"/>
          <w:sz w:val="23"/>
          <w:szCs w:val="23"/>
        </w:rPr>
        <w:t xml:space="preserve"> Listed by </w:t>
      </w:r>
      <w:r w:rsidR="00D95573">
        <w:rPr>
          <w:rFonts w:asciiTheme="majorHAnsi" w:eastAsiaTheme="majorEastAsia" w:hAnsiTheme="majorHAnsi" w:cstheme="majorBidi"/>
          <w:sz w:val="23"/>
          <w:szCs w:val="23"/>
        </w:rPr>
        <w:t>Practice Domain</w:t>
      </w:r>
      <w:r w:rsidR="00372BB3">
        <w:rPr>
          <w:rFonts w:asciiTheme="majorHAnsi" w:eastAsiaTheme="majorEastAsia" w:hAnsiTheme="majorHAnsi" w:cstheme="majorBidi"/>
          <w:sz w:val="23"/>
          <w:szCs w:val="23"/>
        </w:rPr>
        <w:t>, they include</w:t>
      </w:r>
      <w:r w:rsidR="00F00E3D" w:rsidRPr="00E91887">
        <w:rPr>
          <w:rFonts w:asciiTheme="majorHAnsi" w:eastAsiaTheme="majorEastAsia" w:hAnsiTheme="majorHAnsi" w:cstheme="majorBidi"/>
          <w:sz w:val="23"/>
          <w:szCs w:val="23"/>
        </w:rPr>
        <w:t>:</w:t>
      </w:r>
    </w:p>
    <w:p w14:paraId="175C036A" w14:textId="77777777" w:rsidR="00F00E3D" w:rsidRPr="00F14B59" w:rsidRDefault="00F00E3D" w:rsidP="00521F62">
      <w:pPr>
        <w:spacing w:before="240" w:after="0" w:line="276" w:lineRule="auto"/>
        <w:rPr>
          <w:rFonts w:eastAsiaTheme="majorEastAsia" w:cstheme="minorHAnsi"/>
          <w:color w:val="000000" w:themeColor="text1"/>
          <w:sz w:val="25"/>
          <w:szCs w:val="25"/>
        </w:rPr>
      </w:pPr>
      <w:r w:rsidRPr="00F14B59">
        <w:rPr>
          <w:rFonts w:eastAsiaTheme="majorEastAsia" w:cstheme="minorHAnsi"/>
          <w:b/>
          <w:sz w:val="25"/>
          <w:szCs w:val="25"/>
        </w:rPr>
        <w:t>Education</w:t>
      </w:r>
    </w:p>
    <w:p w14:paraId="3FFBBB4C" w14:textId="38CE9533" w:rsidR="00F00E3D" w:rsidRPr="00501E13" w:rsidRDefault="00085F57" w:rsidP="00521F62">
      <w:pPr>
        <w:pStyle w:val="ListParagraph"/>
        <w:numPr>
          <w:ilvl w:val="0"/>
          <w:numId w:val="5"/>
        </w:numPr>
        <w:spacing w:after="0" w:line="257" w:lineRule="auto"/>
        <w:rPr>
          <w:rFonts w:asciiTheme="majorHAnsi" w:eastAsiaTheme="majorEastAsia" w:hAnsiTheme="majorHAnsi" w:cstheme="majorBidi"/>
          <w:color w:val="000000" w:themeColor="text1"/>
          <w:sz w:val="23"/>
          <w:szCs w:val="23"/>
        </w:rPr>
      </w:pPr>
      <w:r w:rsidRPr="00F14B59">
        <w:rPr>
          <w:rFonts w:asciiTheme="majorHAnsi" w:eastAsiaTheme="majorEastAsia" w:hAnsiTheme="majorHAnsi" w:cstheme="majorBidi"/>
          <w:sz w:val="23"/>
          <w:szCs w:val="23"/>
        </w:rPr>
        <w:t>Improve</w:t>
      </w:r>
      <w:r w:rsidR="00F00E3D" w:rsidRPr="00F14B59">
        <w:rPr>
          <w:rFonts w:asciiTheme="majorHAnsi" w:eastAsiaTheme="majorEastAsia" w:hAnsiTheme="majorHAnsi" w:cstheme="majorBidi"/>
          <w:sz w:val="23"/>
          <w:szCs w:val="23"/>
        </w:rPr>
        <w:t xml:space="preserve"> digital </w:t>
      </w:r>
      <w:r w:rsidRPr="00F14B59">
        <w:rPr>
          <w:rFonts w:asciiTheme="majorHAnsi" w:eastAsiaTheme="majorEastAsia" w:hAnsiTheme="majorHAnsi" w:cstheme="majorBidi"/>
          <w:sz w:val="23"/>
          <w:szCs w:val="23"/>
        </w:rPr>
        <w:t>inclusion (</w:t>
      </w:r>
      <w:r w:rsidR="001614A4" w:rsidRPr="00F14B59">
        <w:rPr>
          <w:rFonts w:asciiTheme="majorHAnsi" w:eastAsiaTheme="majorEastAsia" w:hAnsiTheme="majorHAnsi" w:cstheme="majorBidi"/>
          <w:sz w:val="23"/>
          <w:szCs w:val="23"/>
        </w:rPr>
        <w:t xml:space="preserve">encompassing </w:t>
      </w:r>
      <w:r w:rsidRPr="00F14B59">
        <w:rPr>
          <w:rFonts w:asciiTheme="majorHAnsi" w:eastAsiaTheme="majorEastAsia" w:hAnsiTheme="majorHAnsi" w:cstheme="majorBidi"/>
          <w:sz w:val="23"/>
          <w:szCs w:val="23"/>
        </w:rPr>
        <w:t xml:space="preserve">access, affordability, </w:t>
      </w:r>
      <w:r w:rsidR="001614A4" w:rsidRPr="00F14B59">
        <w:rPr>
          <w:rFonts w:asciiTheme="majorHAnsi" w:eastAsiaTheme="majorEastAsia" w:hAnsiTheme="majorHAnsi" w:cstheme="majorBidi"/>
          <w:sz w:val="23"/>
          <w:szCs w:val="23"/>
        </w:rPr>
        <w:t xml:space="preserve">and </w:t>
      </w:r>
      <w:r w:rsidR="00F00E3D" w:rsidRPr="00F14B59">
        <w:rPr>
          <w:rFonts w:asciiTheme="majorHAnsi" w:eastAsiaTheme="majorEastAsia" w:hAnsiTheme="majorHAnsi" w:cstheme="majorBidi"/>
          <w:sz w:val="23"/>
          <w:szCs w:val="23"/>
        </w:rPr>
        <w:t>literacy</w:t>
      </w:r>
      <w:r w:rsidR="001614A4" w:rsidRPr="00F14B59">
        <w:rPr>
          <w:rFonts w:asciiTheme="majorHAnsi" w:eastAsiaTheme="majorEastAsia" w:hAnsiTheme="majorHAnsi" w:cstheme="majorBidi"/>
          <w:sz w:val="23"/>
          <w:szCs w:val="23"/>
        </w:rPr>
        <w:t>)</w:t>
      </w:r>
      <w:r w:rsidR="00F00E3D" w:rsidRPr="00F14B59">
        <w:rPr>
          <w:rFonts w:asciiTheme="majorHAnsi" w:eastAsiaTheme="majorEastAsia" w:hAnsiTheme="majorHAnsi" w:cstheme="majorBidi"/>
          <w:sz w:val="23"/>
          <w:szCs w:val="23"/>
        </w:rPr>
        <w:t xml:space="preserve"> in areas </w:t>
      </w:r>
      <w:r w:rsidR="001614A4" w:rsidRPr="00F14B59">
        <w:rPr>
          <w:rFonts w:asciiTheme="majorHAnsi" w:eastAsiaTheme="majorEastAsia" w:hAnsiTheme="majorHAnsi" w:cstheme="majorBidi"/>
          <w:sz w:val="23"/>
          <w:szCs w:val="23"/>
        </w:rPr>
        <w:t>with</w:t>
      </w:r>
      <w:r w:rsidR="00F00E3D" w:rsidRPr="00F14B59">
        <w:rPr>
          <w:rFonts w:asciiTheme="majorHAnsi" w:eastAsiaTheme="majorEastAsia" w:hAnsiTheme="majorHAnsi" w:cstheme="majorBidi"/>
          <w:sz w:val="23"/>
          <w:szCs w:val="23"/>
        </w:rPr>
        <w:t xml:space="preserve"> </w:t>
      </w:r>
      <w:r w:rsidR="00F14B59" w:rsidRPr="00F14B59">
        <w:rPr>
          <w:rFonts w:asciiTheme="majorHAnsi" w:eastAsiaTheme="majorEastAsia" w:hAnsiTheme="majorHAnsi" w:cstheme="majorBidi"/>
          <w:sz w:val="23"/>
          <w:szCs w:val="23"/>
        </w:rPr>
        <w:t>limited</w:t>
      </w:r>
      <w:r w:rsidR="00F00E3D" w:rsidRPr="00F14B59">
        <w:rPr>
          <w:rFonts w:asciiTheme="majorHAnsi" w:eastAsiaTheme="majorEastAsia" w:hAnsiTheme="majorHAnsi" w:cstheme="majorBidi"/>
          <w:sz w:val="23"/>
          <w:szCs w:val="23"/>
        </w:rPr>
        <w:t xml:space="preserve"> access to </w:t>
      </w:r>
      <w:r w:rsidR="00794ADD" w:rsidRPr="00F14B59">
        <w:rPr>
          <w:rFonts w:asciiTheme="majorHAnsi" w:eastAsiaTheme="majorEastAsia" w:hAnsiTheme="majorHAnsi" w:cstheme="majorBidi"/>
          <w:sz w:val="23"/>
          <w:szCs w:val="23"/>
        </w:rPr>
        <w:t xml:space="preserve">affordable </w:t>
      </w:r>
      <w:r w:rsidR="001614A4" w:rsidRPr="00F14B59">
        <w:rPr>
          <w:rFonts w:asciiTheme="majorHAnsi" w:eastAsiaTheme="majorEastAsia" w:hAnsiTheme="majorHAnsi" w:cstheme="majorBidi"/>
          <w:sz w:val="23"/>
          <w:szCs w:val="23"/>
        </w:rPr>
        <w:t>technology</w:t>
      </w:r>
      <w:r w:rsidR="00794ADD" w:rsidRPr="00F14B59">
        <w:rPr>
          <w:rFonts w:asciiTheme="majorHAnsi" w:eastAsiaTheme="majorEastAsia" w:hAnsiTheme="majorHAnsi" w:cstheme="majorBidi"/>
          <w:sz w:val="23"/>
          <w:szCs w:val="23"/>
        </w:rPr>
        <w:t>,</w:t>
      </w:r>
      <w:r w:rsidR="001614A4" w:rsidRPr="00F14B59">
        <w:rPr>
          <w:rFonts w:asciiTheme="majorHAnsi" w:eastAsiaTheme="majorEastAsia" w:hAnsiTheme="majorHAnsi" w:cstheme="majorBidi"/>
          <w:sz w:val="23"/>
          <w:szCs w:val="23"/>
        </w:rPr>
        <w:t xml:space="preserve"> </w:t>
      </w:r>
      <w:r w:rsidR="00F00E3D" w:rsidRPr="00F14B59">
        <w:rPr>
          <w:rFonts w:asciiTheme="majorHAnsi" w:eastAsiaTheme="majorEastAsia" w:hAnsiTheme="majorHAnsi" w:cstheme="majorBidi"/>
          <w:sz w:val="23"/>
          <w:szCs w:val="23"/>
        </w:rPr>
        <w:t>broadband</w:t>
      </w:r>
      <w:r w:rsidR="001614A4" w:rsidRPr="00F14B59">
        <w:rPr>
          <w:rFonts w:asciiTheme="majorHAnsi" w:eastAsiaTheme="majorEastAsia" w:hAnsiTheme="majorHAnsi" w:cstheme="majorBidi"/>
          <w:sz w:val="23"/>
          <w:szCs w:val="23"/>
        </w:rPr>
        <w:t>,</w:t>
      </w:r>
      <w:r w:rsidR="00F00E3D" w:rsidRPr="00F14B59">
        <w:rPr>
          <w:rFonts w:asciiTheme="majorHAnsi" w:eastAsiaTheme="majorEastAsia" w:hAnsiTheme="majorHAnsi" w:cstheme="majorBidi"/>
          <w:sz w:val="23"/>
          <w:szCs w:val="23"/>
        </w:rPr>
        <w:t xml:space="preserve"> </w:t>
      </w:r>
      <w:r w:rsidR="00794ADD" w:rsidRPr="00F14B59">
        <w:rPr>
          <w:rFonts w:asciiTheme="majorHAnsi" w:eastAsiaTheme="majorEastAsia" w:hAnsiTheme="majorHAnsi" w:cstheme="majorBidi"/>
          <w:sz w:val="23"/>
          <w:szCs w:val="23"/>
        </w:rPr>
        <w:t xml:space="preserve">and </w:t>
      </w:r>
      <w:r w:rsidR="007531A9" w:rsidRPr="00F14B59">
        <w:rPr>
          <w:rFonts w:asciiTheme="majorHAnsi" w:eastAsiaTheme="majorEastAsia" w:hAnsiTheme="majorHAnsi" w:cstheme="majorBidi"/>
          <w:sz w:val="23"/>
          <w:szCs w:val="23"/>
        </w:rPr>
        <w:t>devices</w:t>
      </w:r>
      <w:r w:rsidR="007531A9">
        <w:rPr>
          <w:rFonts w:asciiTheme="majorHAnsi" w:eastAsiaTheme="majorEastAsia" w:hAnsiTheme="majorHAnsi" w:cstheme="majorBidi"/>
          <w:sz w:val="23"/>
          <w:szCs w:val="23"/>
        </w:rPr>
        <w:t>, and</w:t>
      </w:r>
      <w:r w:rsidR="007531A9" w:rsidRPr="00E91887">
        <w:rPr>
          <w:rFonts w:asciiTheme="majorHAnsi" w:eastAsiaTheme="majorEastAsia" w:hAnsiTheme="majorHAnsi" w:cstheme="majorBidi"/>
          <w:sz w:val="23"/>
          <w:szCs w:val="23"/>
        </w:rPr>
        <w:t xml:space="preserve"> </w:t>
      </w:r>
      <w:r w:rsidR="00F00E3D" w:rsidRPr="00E91887">
        <w:rPr>
          <w:rFonts w:asciiTheme="majorHAnsi" w:eastAsiaTheme="majorEastAsia" w:hAnsiTheme="majorHAnsi" w:cstheme="majorBidi"/>
          <w:sz w:val="23"/>
          <w:szCs w:val="23"/>
        </w:rPr>
        <w:t xml:space="preserve">limited </w:t>
      </w:r>
      <w:r w:rsidR="001614A4">
        <w:rPr>
          <w:rFonts w:asciiTheme="majorHAnsi" w:eastAsiaTheme="majorEastAsia" w:hAnsiTheme="majorHAnsi" w:cstheme="majorBidi"/>
          <w:sz w:val="23"/>
          <w:szCs w:val="23"/>
        </w:rPr>
        <w:t xml:space="preserve">digital </w:t>
      </w:r>
      <w:r w:rsidR="00F00E3D" w:rsidRPr="00E91887">
        <w:rPr>
          <w:rFonts w:asciiTheme="majorHAnsi" w:eastAsiaTheme="majorEastAsia" w:hAnsiTheme="majorHAnsi" w:cstheme="majorBidi"/>
          <w:sz w:val="23"/>
          <w:szCs w:val="23"/>
        </w:rPr>
        <w:t xml:space="preserve">skills. This </w:t>
      </w:r>
      <w:r w:rsidR="001614A4">
        <w:rPr>
          <w:rFonts w:asciiTheme="majorHAnsi" w:eastAsiaTheme="majorEastAsia" w:hAnsiTheme="majorHAnsi" w:cstheme="majorBidi"/>
          <w:sz w:val="23"/>
          <w:szCs w:val="23"/>
        </w:rPr>
        <w:t>could occur via</w:t>
      </w:r>
      <w:r w:rsidR="00F00E3D" w:rsidRPr="00E91887">
        <w:rPr>
          <w:rFonts w:asciiTheme="majorHAnsi" w:eastAsiaTheme="majorEastAsia" w:hAnsiTheme="majorHAnsi" w:cstheme="majorBidi"/>
          <w:sz w:val="23"/>
          <w:szCs w:val="23"/>
        </w:rPr>
        <w:t xml:space="preserve"> schools or other educational and training settings (community centres</w:t>
      </w:r>
      <w:r w:rsidR="00794ADD">
        <w:rPr>
          <w:rFonts w:asciiTheme="majorHAnsi" w:eastAsiaTheme="majorEastAsia" w:hAnsiTheme="majorHAnsi" w:cstheme="majorBidi"/>
          <w:sz w:val="23"/>
          <w:szCs w:val="23"/>
        </w:rPr>
        <w:t>, libraries</w:t>
      </w:r>
      <w:r w:rsidR="00F00E3D" w:rsidRPr="00E91887">
        <w:rPr>
          <w:rFonts w:asciiTheme="majorHAnsi" w:eastAsiaTheme="majorEastAsia" w:hAnsiTheme="majorHAnsi" w:cstheme="majorBidi"/>
          <w:sz w:val="23"/>
          <w:szCs w:val="23"/>
        </w:rPr>
        <w:t>)</w:t>
      </w:r>
      <w:r w:rsidR="001614A4">
        <w:rPr>
          <w:rFonts w:asciiTheme="majorHAnsi" w:eastAsiaTheme="majorEastAsia" w:hAnsiTheme="majorHAnsi" w:cstheme="majorBidi"/>
          <w:sz w:val="23"/>
          <w:szCs w:val="23"/>
        </w:rPr>
        <w:t>,</w:t>
      </w:r>
      <w:r w:rsidR="00F00E3D" w:rsidRPr="00E91887">
        <w:rPr>
          <w:rFonts w:asciiTheme="majorHAnsi" w:eastAsiaTheme="majorEastAsia" w:hAnsiTheme="majorHAnsi" w:cstheme="majorBidi"/>
          <w:sz w:val="23"/>
          <w:szCs w:val="23"/>
        </w:rPr>
        <w:t xml:space="preserve"> or via </w:t>
      </w:r>
      <w:r w:rsidR="00F00E3D" w:rsidRPr="00501E13">
        <w:rPr>
          <w:rFonts w:asciiTheme="majorHAnsi" w:eastAsiaTheme="majorEastAsia" w:hAnsiTheme="majorHAnsi" w:cstheme="majorBidi"/>
          <w:sz w:val="23"/>
          <w:szCs w:val="23"/>
        </w:rPr>
        <w:t>direct gran</w:t>
      </w:r>
      <w:r w:rsidR="001614A4" w:rsidRPr="00501E13">
        <w:rPr>
          <w:rFonts w:asciiTheme="majorHAnsi" w:eastAsiaTheme="majorEastAsia" w:hAnsiTheme="majorHAnsi" w:cstheme="majorBidi"/>
          <w:sz w:val="23"/>
          <w:szCs w:val="23"/>
        </w:rPr>
        <w:t>ts</w:t>
      </w:r>
      <w:r w:rsidR="00F00E3D" w:rsidRPr="00501E13">
        <w:rPr>
          <w:rFonts w:asciiTheme="majorHAnsi" w:eastAsiaTheme="majorEastAsia" w:hAnsiTheme="majorHAnsi" w:cstheme="majorBidi"/>
          <w:sz w:val="23"/>
          <w:szCs w:val="23"/>
        </w:rPr>
        <w:t xml:space="preserve"> (</w:t>
      </w:r>
      <w:r w:rsidR="00F00E3D" w:rsidRPr="00223596">
        <w:rPr>
          <w:rFonts w:asciiTheme="majorHAnsi" w:eastAsiaTheme="majorEastAsia" w:hAnsiTheme="majorHAnsi" w:cstheme="majorBidi"/>
          <w:i/>
          <w:iCs/>
          <w:sz w:val="23"/>
          <w:szCs w:val="23"/>
        </w:rPr>
        <w:t>Smart City Strategic Framework</w:t>
      </w:r>
      <w:r w:rsidR="00F14B59" w:rsidRPr="00501E13">
        <w:rPr>
          <w:rFonts w:asciiTheme="majorHAnsi" w:eastAsiaTheme="majorEastAsia" w:hAnsiTheme="majorHAnsi" w:cstheme="majorBidi"/>
          <w:sz w:val="23"/>
          <w:szCs w:val="23"/>
        </w:rPr>
        <w:t>,</w:t>
      </w:r>
      <w:r w:rsidR="00F00E3D" w:rsidRPr="00501E13">
        <w:rPr>
          <w:rFonts w:ascii="Segoe UI" w:hAnsi="Segoe UI" w:cs="Segoe UI"/>
          <w:sz w:val="23"/>
          <w:szCs w:val="23"/>
        </w:rPr>
        <w:t xml:space="preserve"> </w:t>
      </w:r>
      <w:r w:rsidR="00F00E3D" w:rsidRPr="00501E13">
        <w:rPr>
          <w:rFonts w:asciiTheme="majorHAnsi" w:eastAsiaTheme="majorEastAsia" w:hAnsiTheme="majorHAnsi" w:cstheme="majorBidi"/>
          <w:sz w:val="23"/>
          <w:szCs w:val="23"/>
        </w:rPr>
        <w:t xml:space="preserve">City of Greater Geelong, 2020b). </w:t>
      </w:r>
    </w:p>
    <w:p w14:paraId="374D1885" w14:textId="30C0344E" w:rsidR="00F00E3D" w:rsidRPr="00E91887" w:rsidRDefault="00F00E3D" w:rsidP="006F7BCE">
      <w:pPr>
        <w:pStyle w:val="ListParagraph"/>
        <w:numPr>
          <w:ilvl w:val="0"/>
          <w:numId w:val="5"/>
        </w:numPr>
        <w:spacing w:before="240" w:line="276" w:lineRule="auto"/>
        <w:rPr>
          <w:rFonts w:asciiTheme="majorHAnsi" w:eastAsiaTheme="majorEastAsia" w:hAnsiTheme="majorHAnsi" w:cstheme="majorBidi"/>
          <w:color w:val="000000" w:themeColor="text1"/>
          <w:sz w:val="23"/>
          <w:szCs w:val="23"/>
        </w:rPr>
      </w:pPr>
      <w:r w:rsidRPr="00223596">
        <w:rPr>
          <w:rFonts w:asciiTheme="majorHAnsi" w:eastAsiaTheme="majorEastAsia" w:hAnsiTheme="majorHAnsi" w:cstheme="majorBidi"/>
          <w:i/>
          <w:iCs/>
          <w:sz w:val="23"/>
          <w:szCs w:val="23"/>
        </w:rPr>
        <w:t>Kareenga Aboriginal Action Plan</w:t>
      </w:r>
      <w:r w:rsidRPr="00501E13">
        <w:rPr>
          <w:rFonts w:asciiTheme="majorHAnsi" w:eastAsiaTheme="majorEastAsia" w:hAnsiTheme="majorHAnsi" w:cstheme="majorBidi"/>
          <w:sz w:val="23"/>
          <w:szCs w:val="23"/>
        </w:rPr>
        <w:t xml:space="preserve"> </w:t>
      </w:r>
      <w:r w:rsidRPr="00501E13">
        <w:rPr>
          <w:rFonts w:asciiTheme="majorHAnsi" w:eastAsiaTheme="majorEastAsia" w:hAnsiTheme="majorHAnsi" w:cstheme="majorBidi"/>
          <w:noProof/>
          <w:sz w:val="23"/>
          <w:szCs w:val="23"/>
        </w:rPr>
        <w:t>(City of Greater Geelong, 2014</w:t>
      </w:r>
      <w:r w:rsidR="00501E13">
        <w:rPr>
          <w:rFonts w:asciiTheme="majorHAnsi" w:eastAsiaTheme="majorEastAsia" w:hAnsiTheme="majorHAnsi" w:cstheme="majorBidi"/>
          <w:noProof/>
          <w:sz w:val="23"/>
          <w:szCs w:val="23"/>
        </w:rPr>
        <w:t>–</w:t>
      </w:r>
      <w:r w:rsidRPr="00501E13">
        <w:rPr>
          <w:rFonts w:asciiTheme="majorHAnsi" w:eastAsiaTheme="majorEastAsia" w:hAnsiTheme="majorHAnsi" w:cstheme="majorBidi"/>
          <w:noProof/>
          <w:sz w:val="23"/>
          <w:szCs w:val="23"/>
        </w:rPr>
        <w:t>2017)</w:t>
      </w:r>
      <w:r w:rsidR="00501E13">
        <w:rPr>
          <w:rFonts w:asciiTheme="majorHAnsi" w:eastAsiaTheme="majorEastAsia" w:hAnsiTheme="majorHAnsi" w:cstheme="majorBidi"/>
          <w:noProof/>
          <w:sz w:val="23"/>
          <w:szCs w:val="23"/>
        </w:rPr>
        <w:t>:</w:t>
      </w:r>
      <w:r w:rsidRPr="00E91887">
        <w:rPr>
          <w:rFonts w:asciiTheme="majorHAnsi" w:eastAsiaTheme="majorEastAsia" w:hAnsiTheme="majorHAnsi" w:cstheme="majorBidi"/>
          <w:i/>
          <w:sz w:val="23"/>
          <w:szCs w:val="23"/>
        </w:rPr>
        <w:t xml:space="preserve"> </w:t>
      </w:r>
      <w:r w:rsidR="00501E13">
        <w:rPr>
          <w:rFonts w:asciiTheme="majorHAnsi" w:eastAsiaTheme="majorEastAsia" w:hAnsiTheme="majorHAnsi" w:cstheme="majorBidi"/>
          <w:sz w:val="23"/>
          <w:szCs w:val="23"/>
        </w:rPr>
        <w:t>t</w:t>
      </w:r>
      <w:r w:rsidRPr="00E91887">
        <w:rPr>
          <w:rFonts w:asciiTheme="majorHAnsi" w:eastAsiaTheme="majorEastAsia" w:hAnsiTheme="majorHAnsi" w:cstheme="majorBidi"/>
          <w:sz w:val="23"/>
          <w:szCs w:val="23"/>
        </w:rPr>
        <w:t>his plan has a specific focus on addressing the challenges faced by Aboriginal people in Geelong, especially service access, mobility</w:t>
      </w:r>
      <w:r w:rsidR="00517550">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and the cultural sensitivity of curriculum. Specifically, there are lower attendances (in general) of Aboriginal students at local schools</w:t>
      </w:r>
      <w:r w:rsidR="00517550">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and there is a need to provide transport and culturally appropriate services for </w:t>
      </w:r>
      <w:r w:rsidR="00517550">
        <w:rPr>
          <w:rFonts w:asciiTheme="majorHAnsi" w:eastAsiaTheme="majorEastAsia" w:hAnsiTheme="majorHAnsi" w:cstheme="majorBidi"/>
          <w:sz w:val="23"/>
          <w:szCs w:val="23"/>
        </w:rPr>
        <w:t xml:space="preserve">both </w:t>
      </w:r>
      <w:r w:rsidRPr="00E91887">
        <w:rPr>
          <w:rFonts w:asciiTheme="majorHAnsi" w:eastAsiaTheme="majorEastAsia" w:hAnsiTheme="majorHAnsi" w:cstheme="majorBidi"/>
          <w:sz w:val="23"/>
          <w:szCs w:val="23"/>
        </w:rPr>
        <w:t>early year</w:t>
      </w:r>
      <w:r w:rsidR="00517550">
        <w:rPr>
          <w:rFonts w:asciiTheme="majorHAnsi" w:eastAsiaTheme="majorEastAsia" w:hAnsiTheme="majorHAnsi" w:cstheme="majorBidi"/>
          <w:sz w:val="23"/>
          <w:szCs w:val="23"/>
        </w:rPr>
        <w:t xml:space="preserve">s </w:t>
      </w:r>
      <w:r w:rsidRPr="00E91887">
        <w:rPr>
          <w:rFonts w:asciiTheme="majorHAnsi" w:eastAsiaTheme="majorEastAsia" w:hAnsiTheme="majorHAnsi" w:cstheme="majorBidi"/>
          <w:sz w:val="23"/>
          <w:szCs w:val="23"/>
        </w:rPr>
        <w:t xml:space="preserve">education and schools. </w:t>
      </w:r>
    </w:p>
    <w:p w14:paraId="23B26BDA" w14:textId="77777777" w:rsidR="00F00E3D" w:rsidRPr="00664447" w:rsidRDefault="00F00E3D" w:rsidP="006E2F86">
      <w:pPr>
        <w:spacing w:after="0" w:line="257" w:lineRule="auto"/>
        <w:rPr>
          <w:rFonts w:cstheme="minorHAnsi"/>
          <w:sz w:val="25"/>
          <w:szCs w:val="25"/>
        </w:rPr>
      </w:pPr>
      <w:r w:rsidRPr="00664447">
        <w:rPr>
          <w:rFonts w:eastAsia="Times New Roman" w:cstheme="minorHAnsi"/>
          <w:b/>
          <w:bCs/>
          <w:sz w:val="25"/>
          <w:szCs w:val="25"/>
        </w:rPr>
        <w:t>Employment</w:t>
      </w:r>
    </w:p>
    <w:p w14:paraId="0EE05341" w14:textId="1538B4C2" w:rsidR="00F00E3D" w:rsidRPr="00E91887" w:rsidRDefault="00F00E3D" w:rsidP="00521F62">
      <w:pPr>
        <w:pStyle w:val="ListParagraph"/>
        <w:numPr>
          <w:ilvl w:val="0"/>
          <w:numId w:val="92"/>
        </w:numPr>
        <w:spacing w:after="0" w:line="257" w:lineRule="auto"/>
        <w:rPr>
          <w:rFonts w:asciiTheme="majorHAnsi" w:eastAsiaTheme="majorEastAsia" w:hAnsiTheme="majorHAnsi" w:cstheme="majorBidi"/>
          <w:color w:val="000000" w:themeColor="text1"/>
          <w:sz w:val="23"/>
          <w:szCs w:val="23"/>
        </w:rPr>
      </w:pPr>
      <w:r w:rsidRPr="00E91887">
        <w:rPr>
          <w:rFonts w:asciiTheme="majorHAnsi" w:eastAsiaTheme="majorEastAsia" w:hAnsiTheme="majorHAnsi" w:cstheme="majorBidi"/>
          <w:sz w:val="23"/>
          <w:szCs w:val="23"/>
        </w:rPr>
        <w:t>Revitalis</w:t>
      </w:r>
      <w:r w:rsidR="00517550">
        <w:rPr>
          <w:rFonts w:asciiTheme="majorHAnsi" w:eastAsiaTheme="majorEastAsia" w:hAnsiTheme="majorHAnsi" w:cstheme="majorBidi"/>
          <w:sz w:val="23"/>
          <w:szCs w:val="23"/>
        </w:rPr>
        <w:t>e</w:t>
      </w:r>
      <w:r w:rsidRPr="00E91887">
        <w:rPr>
          <w:rFonts w:asciiTheme="majorHAnsi" w:eastAsiaTheme="majorEastAsia" w:hAnsiTheme="majorHAnsi" w:cstheme="majorBidi"/>
          <w:sz w:val="23"/>
          <w:szCs w:val="23"/>
        </w:rPr>
        <w:t xml:space="preserve"> industrial precincts and execut</w:t>
      </w:r>
      <w:r w:rsidR="00517550">
        <w:rPr>
          <w:rFonts w:asciiTheme="majorHAnsi" w:eastAsiaTheme="majorEastAsia" w:hAnsiTheme="majorHAnsi" w:cstheme="majorBidi"/>
          <w:sz w:val="23"/>
          <w:szCs w:val="23"/>
        </w:rPr>
        <w:t>e</w:t>
      </w:r>
      <w:r w:rsidRPr="00E91887">
        <w:rPr>
          <w:rFonts w:asciiTheme="majorHAnsi" w:eastAsiaTheme="majorEastAsia" w:hAnsiTheme="majorHAnsi" w:cstheme="majorBidi"/>
          <w:sz w:val="23"/>
          <w:szCs w:val="23"/>
        </w:rPr>
        <w:t xml:space="preserve"> strategies for economic growth in the region’s north </w:t>
      </w:r>
      <w:r w:rsidRPr="00517550">
        <w:rPr>
          <w:rFonts w:asciiTheme="majorHAnsi" w:eastAsiaTheme="majorEastAsia" w:hAnsiTheme="majorHAnsi" w:cstheme="majorBidi"/>
          <w:sz w:val="23"/>
          <w:szCs w:val="23"/>
        </w:rPr>
        <w:t>(Council Plan</w:t>
      </w:r>
      <w:r w:rsidR="00517550">
        <w:rPr>
          <w:rFonts w:asciiTheme="majorHAnsi" w:eastAsiaTheme="majorEastAsia" w:hAnsiTheme="majorHAnsi" w:cstheme="majorBidi"/>
          <w:sz w:val="23"/>
          <w:szCs w:val="23"/>
        </w:rPr>
        <w:t xml:space="preserve">, </w:t>
      </w:r>
      <w:r w:rsidRPr="00517550">
        <w:rPr>
          <w:rFonts w:asciiTheme="majorHAnsi" w:eastAsiaTheme="majorEastAsia" w:hAnsiTheme="majorHAnsi" w:cstheme="majorBidi"/>
          <w:sz w:val="23"/>
          <w:szCs w:val="23"/>
        </w:rPr>
        <w:t>City of Greater Geelong, 2018</w:t>
      </w:r>
      <w:r w:rsidR="00517550">
        <w:rPr>
          <w:rFonts w:asciiTheme="majorHAnsi" w:eastAsiaTheme="majorEastAsia" w:hAnsiTheme="majorHAnsi" w:cstheme="majorBidi"/>
          <w:sz w:val="23"/>
          <w:szCs w:val="23"/>
        </w:rPr>
        <w:t>–</w:t>
      </w:r>
      <w:r w:rsidRPr="00517550">
        <w:rPr>
          <w:rFonts w:asciiTheme="majorHAnsi" w:eastAsiaTheme="majorEastAsia" w:hAnsiTheme="majorHAnsi" w:cstheme="majorBidi"/>
          <w:sz w:val="23"/>
          <w:szCs w:val="23"/>
        </w:rPr>
        <w:t>2022b).</w:t>
      </w:r>
      <w:r w:rsidRPr="00E91887">
        <w:rPr>
          <w:rFonts w:asciiTheme="majorHAnsi" w:eastAsiaTheme="majorEastAsia" w:hAnsiTheme="majorHAnsi" w:cstheme="majorBidi"/>
          <w:sz w:val="23"/>
          <w:szCs w:val="23"/>
        </w:rPr>
        <w:t xml:space="preserve"> </w:t>
      </w:r>
    </w:p>
    <w:p w14:paraId="4EE69BE9" w14:textId="1BD5C78C" w:rsidR="00F00E3D" w:rsidRPr="00E91887" w:rsidRDefault="00517550" w:rsidP="00664447">
      <w:pPr>
        <w:pStyle w:val="ListParagraph"/>
        <w:numPr>
          <w:ilvl w:val="0"/>
          <w:numId w:val="92"/>
        </w:numPr>
        <w:spacing w:before="240" w:line="257" w:lineRule="auto"/>
        <w:rPr>
          <w:color w:val="000000" w:themeColor="text1"/>
          <w:sz w:val="23"/>
          <w:szCs w:val="23"/>
        </w:rPr>
      </w:pPr>
      <w:r>
        <w:rPr>
          <w:rFonts w:asciiTheme="majorHAnsi" w:eastAsiaTheme="majorEastAsia" w:hAnsiTheme="majorHAnsi" w:cstheme="majorBidi"/>
          <w:sz w:val="23"/>
          <w:szCs w:val="23"/>
        </w:rPr>
        <w:t xml:space="preserve">The </w:t>
      </w:r>
      <w:r w:rsidR="00F00E3D" w:rsidRPr="00E91887">
        <w:rPr>
          <w:rFonts w:asciiTheme="majorHAnsi" w:eastAsiaTheme="majorEastAsia" w:hAnsiTheme="majorHAnsi" w:cstheme="majorBidi"/>
          <w:sz w:val="23"/>
          <w:szCs w:val="23"/>
        </w:rPr>
        <w:t xml:space="preserve">RISE and GROW </w:t>
      </w:r>
      <w:r>
        <w:rPr>
          <w:rFonts w:asciiTheme="majorHAnsi" w:eastAsiaTheme="majorEastAsia" w:hAnsiTheme="majorHAnsi" w:cstheme="majorBidi"/>
          <w:sz w:val="23"/>
          <w:szCs w:val="23"/>
        </w:rPr>
        <w:t>programs</w:t>
      </w:r>
      <w:r w:rsidR="00664447">
        <w:rPr>
          <w:rFonts w:asciiTheme="majorHAnsi" w:eastAsiaTheme="majorEastAsia" w:hAnsiTheme="majorHAnsi" w:cstheme="majorBidi"/>
          <w:sz w:val="23"/>
          <w:szCs w:val="23"/>
        </w:rPr>
        <w:t>,</w:t>
      </w:r>
      <w:r w:rsidR="00F00E3D" w:rsidRPr="00E91887">
        <w:rPr>
          <w:rFonts w:asciiTheme="majorHAnsi" w:eastAsiaTheme="majorEastAsia" w:hAnsiTheme="majorHAnsi" w:cstheme="majorBidi"/>
          <w:sz w:val="23"/>
          <w:szCs w:val="23"/>
        </w:rPr>
        <w:t xml:space="preserve"> supported by </w:t>
      </w:r>
      <w:r w:rsidR="001B7DDF">
        <w:rPr>
          <w:rFonts w:asciiTheme="majorHAnsi" w:eastAsiaTheme="majorEastAsia" w:hAnsiTheme="majorHAnsi" w:cstheme="majorBidi"/>
          <w:sz w:val="23"/>
          <w:szCs w:val="23"/>
        </w:rPr>
        <w:t>CoGG</w:t>
      </w:r>
      <w:r w:rsidR="00664447">
        <w:rPr>
          <w:rFonts w:asciiTheme="majorHAnsi" w:eastAsiaTheme="majorEastAsia" w:hAnsiTheme="majorHAnsi" w:cstheme="majorBidi"/>
          <w:sz w:val="23"/>
          <w:szCs w:val="23"/>
        </w:rPr>
        <w:t>/</w:t>
      </w:r>
      <w:r w:rsidR="00F00E3D" w:rsidRPr="00E91887">
        <w:rPr>
          <w:rFonts w:asciiTheme="majorHAnsi" w:eastAsiaTheme="majorEastAsia" w:hAnsiTheme="majorHAnsi" w:cstheme="majorBidi"/>
          <w:sz w:val="23"/>
          <w:szCs w:val="23"/>
        </w:rPr>
        <w:t>G21</w:t>
      </w:r>
      <w:r w:rsidR="00664447">
        <w:rPr>
          <w:rFonts w:asciiTheme="majorHAnsi" w:eastAsiaTheme="majorEastAsia" w:hAnsiTheme="majorHAnsi" w:cstheme="majorBidi"/>
          <w:sz w:val="23"/>
          <w:szCs w:val="23"/>
        </w:rPr>
        <w:t>,</w:t>
      </w:r>
      <w:r w:rsidR="0047485C">
        <w:rPr>
          <w:rFonts w:asciiTheme="majorHAnsi" w:eastAsiaTheme="majorEastAsia" w:hAnsiTheme="majorHAnsi" w:cstheme="majorBidi"/>
          <w:sz w:val="23"/>
          <w:szCs w:val="23"/>
        </w:rPr>
        <w:t xml:space="preserve"> assist jobseekers</w:t>
      </w:r>
      <w:r w:rsidR="00F00E3D" w:rsidRPr="00E91887">
        <w:rPr>
          <w:rFonts w:asciiTheme="majorHAnsi" w:eastAsiaTheme="majorEastAsia" w:hAnsiTheme="majorHAnsi" w:cstheme="majorBidi"/>
          <w:sz w:val="23"/>
          <w:szCs w:val="23"/>
        </w:rPr>
        <w:t xml:space="preserve"> into training and employment in growth sectors</w:t>
      </w:r>
      <w:r w:rsidR="00664447">
        <w:rPr>
          <w:rFonts w:asciiTheme="majorHAnsi" w:eastAsiaTheme="majorEastAsia" w:hAnsiTheme="majorHAnsi" w:cstheme="majorBidi"/>
          <w:sz w:val="23"/>
          <w:szCs w:val="23"/>
        </w:rPr>
        <w:t>,</w:t>
      </w:r>
      <w:r w:rsidR="00F00E3D" w:rsidRPr="00E91887">
        <w:rPr>
          <w:rFonts w:asciiTheme="majorHAnsi" w:eastAsiaTheme="majorEastAsia" w:hAnsiTheme="majorHAnsi" w:cstheme="majorBidi"/>
          <w:sz w:val="23"/>
          <w:szCs w:val="23"/>
        </w:rPr>
        <w:t xml:space="preserve"> and connect them with local employers. </w:t>
      </w:r>
      <w:r w:rsidR="00664447">
        <w:rPr>
          <w:rFonts w:asciiTheme="majorHAnsi" w:eastAsiaTheme="majorEastAsia" w:hAnsiTheme="majorHAnsi" w:cstheme="majorBidi"/>
          <w:sz w:val="23"/>
          <w:szCs w:val="23"/>
        </w:rPr>
        <w:t>Both can</w:t>
      </w:r>
      <w:r w:rsidR="00F00E3D" w:rsidRPr="00E91887">
        <w:rPr>
          <w:rFonts w:asciiTheme="majorHAnsi" w:eastAsiaTheme="majorEastAsia" w:hAnsiTheme="majorHAnsi" w:cstheme="majorBidi"/>
          <w:sz w:val="23"/>
          <w:szCs w:val="23"/>
        </w:rPr>
        <w:t xml:space="preserve"> usefully be extended beyond their current scale, in the case of RISE, focus</w:t>
      </w:r>
      <w:r w:rsidR="00664447">
        <w:rPr>
          <w:rFonts w:asciiTheme="majorHAnsi" w:eastAsiaTheme="majorEastAsia" w:hAnsiTheme="majorHAnsi" w:cstheme="majorBidi"/>
          <w:sz w:val="23"/>
          <w:szCs w:val="23"/>
        </w:rPr>
        <w:t>ing</w:t>
      </w:r>
      <w:r w:rsidR="00F00E3D" w:rsidRPr="00E91887">
        <w:rPr>
          <w:rFonts w:asciiTheme="majorHAnsi" w:eastAsiaTheme="majorEastAsia" w:hAnsiTheme="majorHAnsi" w:cstheme="majorBidi"/>
          <w:sz w:val="23"/>
          <w:szCs w:val="23"/>
        </w:rPr>
        <w:t xml:space="preserve"> on the construction sector</w:t>
      </w:r>
      <w:r w:rsidR="00664447">
        <w:rPr>
          <w:rFonts w:asciiTheme="majorHAnsi" w:eastAsiaTheme="majorEastAsia" w:hAnsiTheme="majorHAnsi" w:cstheme="majorBidi"/>
          <w:sz w:val="23"/>
          <w:szCs w:val="23"/>
        </w:rPr>
        <w:t>.</w:t>
      </w:r>
    </w:p>
    <w:p w14:paraId="7FF8156E" w14:textId="0A296F1C" w:rsidR="00F00E3D" w:rsidRPr="00E91887" w:rsidRDefault="00F00E3D" w:rsidP="00664447">
      <w:pPr>
        <w:pStyle w:val="ListParagraph"/>
        <w:numPr>
          <w:ilvl w:val="0"/>
          <w:numId w:val="92"/>
        </w:numPr>
        <w:spacing w:before="240" w:line="276" w:lineRule="auto"/>
        <w:rPr>
          <w:rFonts w:asciiTheme="majorHAnsi" w:eastAsiaTheme="majorEastAsia" w:hAnsiTheme="majorHAnsi" w:cstheme="majorBidi"/>
          <w:sz w:val="23"/>
          <w:szCs w:val="23"/>
        </w:rPr>
      </w:pPr>
      <w:r w:rsidRPr="00E91887">
        <w:rPr>
          <w:rFonts w:asciiTheme="majorHAnsi" w:eastAsiaTheme="majorEastAsia" w:hAnsiTheme="majorHAnsi" w:cstheme="majorBidi"/>
          <w:sz w:val="23"/>
          <w:szCs w:val="23"/>
        </w:rPr>
        <w:t xml:space="preserve">Specific support for Aboriginal people (who are concentrated in these three </w:t>
      </w:r>
      <w:r w:rsidR="00664447">
        <w:rPr>
          <w:rFonts w:asciiTheme="majorHAnsi" w:eastAsiaTheme="majorEastAsia" w:hAnsiTheme="majorHAnsi" w:cstheme="majorBidi"/>
          <w:sz w:val="23"/>
          <w:szCs w:val="23"/>
        </w:rPr>
        <w:t>localities</w:t>
      </w:r>
      <w:r w:rsidRPr="00E91887">
        <w:rPr>
          <w:rFonts w:asciiTheme="majorHAnsi" w:eastAsiaTheme="majorEastAsia" w:hAnsiTheme="majorHAnsi" w:cstheme="majorBidi"/>
          <w:sz w:val="23"/>
          <w:szCs w:val="23"/>
        </w:rPr>
        <w:t>)</w:t>
      </w:r>
      <w:r w:rsidR="00664447">
        <w:rPr>
          <w:rFonts w:asciiTheme="majorHAnsi" w:eastAsiaTheme="majorEastAsia" w:hAnsiTheme="majorHAnsi" w:cstheme="majorBidi"/>
          <w:sz w:val="23"/>
          <w:szCs w:val="23"/>
        </w:rPr>
        <w:t>.</w:t>
      </w:r>
    </w:p>
    <w:p w14:paraId="6B5B0A5B" w14:textId="16B29878" w:rsidR="00F00E3D" w:rsidRPr="00664447" w:rsidRDefault="00F00E3D" w:rsidP="006E2F86">
      <w:pPr>
        <w:spacing w:after="0" w:line="276" w:lineRule="auto"/>
        <w:rPr>
          <w:rFonts w:eastAsiaTheme="majorEastAsia" w:cstheme="minorHAnsi"/>
          <w:i/>
          <w:color w:val="000000" w:themeColor="text1"/>
          <w:sz w:val="25"/>
          <w:szCs w:val="25"/>
        </w:rPr>
      </w:pPr>
      <w:r w:rsidRPr="00664447">
        <w:rPr>
          <w:rFonts w:eastAsiaTheme="majorEastAsia" w:cstheme="minorHAnsi"/>
          <w:b/>
          <w:sz w:val="25"/>
          <w:szCs w:val="25"/>
        </w:rPr>
        <w:t xml:space="preserve">Health </w:t>
      </w:r>
      <w:r w:rsidR="000A6C85" w:rsidRPr="00664447">
        <w:rPr>
          <w:rFonts w:eastAsiaTheme="majorEastAsia" w:cstheme="minorHAnsi"/>
          <w:b/>
          <w:sz w:val="25"/>
          <w:szCs w:val="25"/>
        </w:rPr>
        <w:t xml:space="preserve">and </w:t>
      </w:r>
      <w:r w:rsidRPr="00664447">
        <w:rPr>
          <w:rFonts w:eastAsiaTheme="majorEastAsia" w:cstheme="minorHAnsi"/>
          <w:b/>
          <w:sz w:val="25"/>
          <w:szCs w:val="25"/>
        </w:rPr>
        <w:t>Wellbeing</w:t>
      </w:r>
    </w:p>
    <w:p w14:paraId="1EA92665" w14:textId="18135F67" w:rsidR="00F00E3D" w:rsidRPr="00E91887" w:rsidRDefault="00F00E3D" w:rsidP="00521F62">
      <w:pPr>
        <w:pStyle w:val="ListParagraph"/>
        <w:numPr>
          <w:ilvl w:val="0"/>
          <w:numId w:val="40"/>
        </w:numPr>
        <w:spacing w:line="257" w:lineRule="auto"/>
        <w:rPr>
          <w:rFonts w:asciiTheme="majorHAnsi" w:eastAsiaTheme="majorEastAsia" w:hAnsiTheme="majorHAnsi" w:cstheme="majorBidi"/>
          <w:sz w:val="23"/>
          <w:szCs w:val="23"/>
        </w:rPr>
      </w:pPr>
      <w:r w:rsidRPr="00E91887">
        <w:rPr>
          <w:rFonts w:asciiTheme="majorHAnsi" w:eastAsiaTheme="majorEastAsia" w:hAnsiTheme="majorHAnsi" w:cstheme="majorBidi"/>
          <w:sz w:val="23"/>
          <w:szCs w:val="23"/>
        </w:rPr>
        <w:t xml:space="preserve">Full development of the </w:t>
      </w:r>
      <w:r w:rsidRPr="00FF6C06">
        <w:rPr>
          <w:rFonts w:asciiTheme="majorHAnsi" w:hAnsiTheme="majorHAnsi" w:cstheme="majorHAnsi"/>
          <w:sz w:val="23"/>
          <w:szCs w:val="23"/>
          <w:lang w:val="en-GB"/>
        </w:rPr>
        <w:t xml:space="preserve">NACH Northern Aquatic </w:t>
      </w:r>
      <w:r w:rsidR="00335DD4">
        <w:rPr>
          <w:rFonts w:asciiTheme="majorHAnsi" w:hAnsiTheme="majorHAnsi" w:cstheme="majorHAnsi"/>
          <w:sz w:val="23"/>
          <w:szCs w:val="23"/>
          <w:lang w:val="en-GB"/>
        </w:rPr>
        <w:t xml:space="preserve">and </w:t>
      </w:r>
      <w:r w:rsidRPr="00FF6C06">
        <w:rPr>
          <w:rFonts w:asciiTheme="majorHAnsi" w:hAnsiTheme="majorHAnsi" w:cstheme="majorHAnsi"/>
          <w:sz w:val="23"/>
          <w:szCs w:val="23"/>
          <w:lang w:val="en-GB"/>
        </w:rPr>
        <w:t xml:space="preserve">Community </w:t>
      </w:r>
      <w:r w:rsidR="00335DD4">
        <w:rPr>
          <w:rFonts w:asciiTheme="majorHAnsi" w:hAnsiTheme="majorHAnsi" w:cstheme="majorHAnsi"/>
          <w:sz w:val="23"/>
          <w:szCs w:val="23"/>
          <w:lang w:val="en-GB"/>
        </w:rPr>
        <w:t>Hub</w:t>
      </w:r>
      <w:r w:rsidR="00664447">
        <w:rPr>
          <w:rFonts w:asciiTheme="majorHAnsi" w:eastAsiaTheme="majorEastAsia" w:hAnsiTheme="majorHAnsi" w:cstheme="majorBidi"/>
          <w:sz w:val="23"/>
          <w:szCs w:val="23"/>
        </w:rPr>
        <w:t xml:space="preserve"> in</w:t>
      </w:r>
      <w:r w:rsidRPr="00E91887">
        <w:rPr>
          <w:rFonts w:asciiTheme="majorHAnsi" w:eastAsiaTheme="majorEastAsia" w:hAnsiTheme="majorHAnsi" w:cstheme="majorBidi"/>
          <w:sz w:val="23"/>
          <w:szCs w:val="23"/>
        </w:rPr>
        <w:t xml:space="preserve"> Norlane</w:t>
      </w:r>
      <w:r w:rsidRPr="00664447">
        <w:rPr>
          <w:rFonts w:asciiTheme="majorHAnsi" w:eastAsiaTheme="majorEastAsia" w:hAnsiTheme="majorHAnsi" w:cstheme="majorBidi"/>
          <w:sz w:val="23"/>
          <w:szCs w:val="23"/>
        </w:rPr>
        <w:t xml:space="preserve"> (Municipal Public Health and Well-being Plan</w:t>
      </w:r>
      <w:r w:rsidR="00664447">
        <w:rPr>
          <w:rFonts w:asciiTheme="majorHAnsi" w:eastAsiaTheme="majorEastAsia" w:hAnsiTheme="majorHAnsi" w:cstheme="majorBidi"/>
          <w:sz w:val="23"/>
          <w:szCs w:val="23"/>
        </w:rPr>
        <w:t xml:space="preserve">, </w:t>
      </w:r>
      <w:r w:rsidRPr="00664447">
        <w:rPr>
          <w:rFonts w:asciiTheme="majorHAnsi" w:eastAsiaTheme="majorEastAsia" w:hAnsiTheme="majorHAnsi" w:cstheme="majorBidi"/>
          <w:sz w:val="23"/>
          <w:szCs w:val="23"/>
        </w:rPr>
        <w:t>City of Greater Geelong, 2018</w:t>
      </w:r>
      <w:r w:rsidR="00335DD4" w:rsidRPr="00664447">
        <w:rPr>
          <w:rFonts w:asciiTheme="majorHAnsi" w:eastAsiaTheme="majorEastAsia" w:hAnsiTheme="majorHAnsi" w:cstheme="majorBidi"/>
          <w:sz w:val="23"/>
          <w:szCs w:val="23"/>
        </w:rPr>
        <w:t>–</w:t>
      </w:r>
      <w:r w:rsidRPr="00664447">
        <w:rPr>
          <w:rFonts w:asciiTheme="majorHAnsi" w:eastAsiaTheme="majorEastAsia" w:hAnsiTheme="majorHAnsi" w:cstheme="majorBidi"/>
          <w:sz w:val="23"/>
          <w:szCs w:val="23"/>
        </w:rPr>
        <w:t>2021)</w:t>
      </w:r>
    </w:p>
    <w:p w14:paraId="5A32A25E" w14:textId="799183E7" w:rsidR="00F00E3D" w:rsidRPr="00E91887" w:rsidRDefault="00F00E3D" w:rsidP="00364C5D">
      <w:pPr>
        <w:pStyle w:val="ListParagraph"/>
        <w:numPr>
          <w:ilvl w:val="0"/>
          <w:numId w:val="40"/>
        </w:numPr>
        <w:spacing w:before="240" w:line="276" w:lineRule="auto"/>
        <w:rPr>
          <w:rFonts w:asciiTheme="majorHAnsi" w:eastAsiaTheme="majorEastAsia" w:hAnsiTheme="majorHAnsi" w:cstheme="majorBidi"/>
          <w:color w:val="000000" w:themeColor="text1"/>
          <w:sz w:val="23"/>
          <w:szCs w:val="23"/>
        </w:rPr>
      </w:pPr>
      <w:r w:rsidRPr="00E91887">
        <w:rPr>
          <w:rFonts w:asciiTheme="majorHAnsi" w:eastAsiaTheme="majorEastAsia" w:hAnsiTheme="majorHAnsi" w:cstheme="majorBidi"/>
          <w:sz w:val="23"/>
          <w:szCs w:val="23"/>
        </w:rPr>
        <w:t xml:space="preserve">Further </w:t>
      </w:r>
      <w:r w:rsidR="00664447">
        <w:rPr>
          <w:rFonts w:asciiTheme="majorHAnsi" w:eastAsiaTheme="majorEastAsia" w:hAnsiTheme="majorHAnsi" w:cstheme="majorBidi"/>
          <w:sz w:val="23"/>
          <w:szCs w:val="23"/>
        </w:rPr>
        <w:t xml:space="preserve">and urgent </w:t>
      </w:r>
      <w:r w:rsidR="006E2F86" w:rsidRPr="00E91887">
        <w:rPr>
          <w:rFonts w:asciiTheme="majorHAnsi" w:eastAsiaTheme="majorEastAsia" w:hAnsiTheme="majorHAnsi" w:cstheme="majorBidi"/>
          <w:sz w:val="23"/>
          <w:szCs w:val="23"/>
        </w:rPr>
        <w:t xml:space="preserve">action </w:t>
      </w:r>
      <w:r w:rsidRPr="00E91887">
        <w:rPr>
          <w:rFonts w:asciiTheme="majorHAnsi" w:eastAsiaTheme="majorEastAsia" w:hAnsiTheme="majorHAnsi" w:cstheme="majorBidi"/>
          <w:sz w:val="23"/>
          <w:szCs w:val="23"/>
        </w:rPr>
        <w:t xml:space="preserve">needed to address </w:t>
      </w:r>
      <w:r w:rsidR="00664447">
        <w:rPr>
          <w:rFonts w:asciiTheme="majorHAnsi" w:eastAsiaTheme="majorEastAsia" w:hAnsiTheme="majorHAnsi" w:cstheme="majorBidi"/>
          <w:sz w:val="23"/>
          <w:szCs w:val="23"/>
        </w:rPr>
        <w:t>family</w:t>
      </w:r>
      <w:r w:rsidR="00664447" w:rsidRPr="00E91887">
        <w:rPr>
          <w:rFonts w:asciiTheme="majorHAnsi" w:eastAsiaTheme="majorEastAsia" w:hAnsiTheme="majorHAnsi" w:cstheme="majorBidi"/>
          <w:sz w:val="23"/>
          <w:szCs w:val="23"/>
        </w:rPr>
        <w:t xml:space="preserve"> violence</w:t>
      </w:r>
      <w:r w:rsidR="00664447" w:rsidRPr="00E91887">
        <w:rPr>
          <w:rFonts w:asciiTheme="majorHAnsi" w:eastAsiaTheme="majorEastAsia" w:hAnsiTheme="majorHAnsi" w:cstheme="majorBidi"/>
          <w:i/>
          <w:sz w:val="23"/>
          <w:szCs w:val="23"/>
        </w:rPr>
        <w:t xml:space="preserve"> </w:t>
      </w:r>
      <w:r w:rsidR="00664447" w:rsidRPr="00664447">
        <w:rPr>
          <w:rFonts w:asciiTheme="majorHAnsi" w:eastAsiaTheme="majorEastAsia" w:hAnsiTheme="majorHAnsi" w:cstheme="majorBidi"/>
          <w:iCs/>
          <w:sz w:val="23"/>
          <w:szCs w:val="23"/>
        </w:rPr>
        <w:t>(</w:t>
      </w:r>
      <w:r w:rsidR="001A7CC2" w:rsidRPr="00223596">
        <w:rPr>
          <w:rFonts w:asciiTheme="majorHAnsi" w:eastAsiaTheme="majorEastAsia" w:hAnsiTheme="majorHAnsi" w:cstheme="majorBidi"/>
          <w:i/>
          <w:sz w:val="23"/>
          <w:szCs w:val="23"/>
        </w:rPr>
        <w:t>Health and Wellbeing Pillar Plan</w:t>
      </w:r>
      <w:r w:rsidR="001A7CC2">
        <w:rPr>
          <w:rFonts w:asciiTheme="majorHAnsi" w:eastAsiaTheme="majorEastAsia" w:hAnsiTheme="majorHAnsi" w:cstheme="majorBidi"/>
          <w:iCs/>
          <w:sz w:val="23"/>
          <w:szCs w:val="23"/>
        </w:rPr>
        <w:t>,</w:t>
      </w:r>
      <w:r w:rsidR="001A7CC2" w:rsidRPr="00664447">
        <w:rPr>
          <w:rFonts w:asciiTheme="majorHAnsi" w:eastAsiaTheme="majorEastAsia" w:hAnsiTheme="majorHAnsi" w:cstheme="majorBidi"/>
          <w:iCs/>
          <w:noProof/>
          <w:sz w:val="23"/>
          <w:szCs w:val="23"/>
        </w:rPr>
        <w:t xml:space="preserve"> </w:t>
      </w:r>
      <w:r w:rsidR="00664447" w:rsidRPr="00664447">
        <w:rPr>
          <w:rFonts w:asciiTheme="majorHAnsi" w:eastAsiaTheme="majorEastAsia" w:hAnsiTheme="majorHAnsi" w:cstheme="majorBidi"/>
          <w:iCs/>
          <w:noProof/>
          <w:sz w:val="23"/>
          <w:szCs w:val="23"/>
        </w:rPr>
        <w:t>G21 Geelong Region Alliance</w:t>
      </w:r>
      <w:r w:rsidR="001A7CC2">
        <w:rPr>
          <w:rFonts w:asciiTheme="majorHAnsi" w:eastAsiaTheme="majorEastAsia" w:hAnsiTheme="majorHAnsi" w:cstheme="majorBidi"/>
          <w:iCs/>
          <w:noProof/>
          <w:sz w:val="23"/>
          <w:szCs w:val="23"/>
        </w:rPr>
        <w:t>,</w:t>
      </w:r>
      <w:r w:rsidR="00664447" w:rsidRPr="00664447">
        <w:rPr>
          <w:rFonts w:asciiTheme="majorHAnsi" w:eastAsiaTheme="majorEastAsia" w:hAnsiTheme="majorHAnsi" w:cstheme="majorBidi"/>
          <w:iCs/>
          <w:noProof/>
          <w:sz w:val="23"/>
          <w:szCs w:val="23"/>
        </w:rPr>
        <w:t xml:space="preserve"> 2017–2021</w:t>
      </w:r>
      <w:r w:rsidR="00664447" w:rsidRPr="00664447">
        <w:rPr>
          <w:rFonts w:asciiTheme="majorHAnsi" w:eastAsiaTheme="majorEastAsia" w:hAnsiTheme="majorHAnsi" w:cstheme="majorBidi"/>
          <w:iCs/>
          <w:sz w:val="23"/>
          <w:szCs w:val="23"/>
        </w:rPr>
        <w:t>)</w:t>
      </w:r>
      <w:r w:rsidR="001A7CC2">
        <w:rPr>
          <w:rFonts w:asciiTheme="majorHAnsi" w:eastAsiaTheme="majorEastAsia" w:hAnsiTheme="majorHAnsi" w:cstheme="majorBidi"/>
          <w:iCs/>
          <w:sz w:val="23"/>
          <w:szCs w:val="23"/>
        </w:rPr>
        <w:t>, along with</w:t>
      </w:r>
      <w:r w:rsidR="00664447" w:rsidRPr="00664447">
        <w:rPr>
          <w:rFonts w:asciiTheme="majorHAnsi" w:eastAsiaTheme="majorEastAsia" w:hAnsiTheme="majorHAnsi" w:cstheme="majorBidi"/>
          <w:iCs/>
          <w:sz w:val="23"/>
          <w:szCs w:val="23"/>
        </w:rPr>
        <w:t xml:space="preserve"> </w:t>
      </w:r>
      <w:r w:rsidR="006E2F86">
        <w:rPr>
          <w:rFonts w:asciiTheme="majorHAnsi" w:eastAsiaTheme="majorEastAsia" w:hAnsiTheme="majorHAnsi" w:cstheme="majorBidi"/>
          <w:iCs/>
          <w:sz w:val="23"/>
          <w:szCs w:val="23"/>
        </w:rPr>
        <w:t xml:space="preserve">action to address </w:t>
      </w:r>
      <w:r w:rsidRPr="00664447">
        <w:rPr>
          <w:rFonts w:asciiTheme="majorHAnsi" w:eastAsiaTheme="majorEastAsia" w:hAnsiTheme="majorHAnsi" w:cstheme="majorBidi"/>
          <w:iCs/>
          <w:sz w:val="23"/>
          <w:szCs w:val="23"/>
        </w:rPr>
        <w:t>food security issues (</w:t>
      </w:r>
      <w:r w:rsidR="001A7CC2">
        <w:rPr>
          <w:rFonts w:asciiTheme="majorHAnsi" w:eastAsiaTheme="majorEastAsia" w:hAnsiTheme="majorHAnsi" w:cstheme="majorBidi"/>
          <w:iCs/>
          <w:sz w:val="23"/>
          <w:szCs w:val="23"/>
        </w:rPr>
        <w:t>including</w:t>
      </w:r>
      <w:r w:rsidR="006E2F86">
        <w:rPr>
          <w:rFonts w:asciiTheme="majorHAnsi" w:eastAsiaTheme="majorEastAsia" w:hAnsiTheme="majorHAnsi" w:cstheme="majorBidi"/>
          <w:iCs/>
          <w:sz w:val="23"/>
          <w:szCs w:val="23"/>
        </w:rPr>
        <w:t xml:space="preserve"> building capacity of existing programs in the three localities).</w:t>
      </w:r>
    </w:p>
    <w:p w14:paraId="638BDA65" w14:textId="77777777" w:rsidR="00F00E3D" w:rsidRPr="006E2F86" w:rsidRDefault="00F00E3D" w:rsidP="006E2F86">
      <w:pPr>
        <w:spacing w:after="0" w:line="276" w:lineRule="auto"/>
        <w:rPr>
          <w:rFonts w:eastAsiaTheme="majorEastAsia" w:cstheme="minorHAnsi"/>
          <w:color w:val="000000" w:themeColor="text1"/>
          <w:sz w:val="25"/>
          <w:szCs w:val="25"/>
        </w:rPr>
      </w:pPr>
      <w:r w:rsidRPr="006E2F86">
        <w:rPr>
          <w:rFonts w:eastAsiaTheme="majorEastAsia" w:cstheme="minorHAnsi"/>
          <w:b/>
          <w:sz w:val="25"/>
          <w:szCs w:val="25"/>
        </w:rPr>
        <w:t>Housing</w:t>
      </w:r>
    </w:p>
    <w:p w14:paraId="07464443" w14:textId="65B4B934" w:rsidR="00F00E3D" w:rsidRPr="00E91887" w:rsidRDefault="00F00E3D" w:rsidP="00521F62">
      <w:pPr>
        <w:pStyle w:val="ListParagraph"/>
        <w:numPr>
          <w:ilvl w:val="0"/>
          <w:numId w:val="40"/>
        </w:numPr>
        <w:spacing w:line="257" w:lineRule="auto"/>
        <w:rPr>
          <w:rFonts w:asciiTheme="majorHAnsi" w:eastAsiaTheme="majorEastAsia" w:hAnsiTheme="majorHAnsi" w:cstheme="majorBidi"/>
          <w:b/>
          <w:bCs/>
          <w:color w:val="000000" w:themeColor="text1"/>
          <w:sz w:val="23"/>
          <w:szCs w:val="23"/>
        </w:rPr>
      </w:pPr>
      <w:r w:rsidRPr="00E91887">
        <w:rPr>
          <w:rFonts w:asciiTheme="majorHAnsi" w:eastAsiaTheme="majorEastAsia" w:hAnsiTheme="majorHAnsi" w:cstheme="majorBidi"/>
          <w:sz w:val="23"/>
          <w:szCs w:val="23"/>
        </w:rPr>
        <w:t xml:space="preserve">Densification and renewal possibilities adjacent to key railway stations </w:t>
      </w:r>
      <w:r w:rsidR="00372BB3">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North Shore and North Geelong</w:t>
      </w:r>
      <w:r w:rsidR="00372BB3">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to capitalise on the continued upgrade of the rail connection to Melbourne (and therefore commuting)</w:t>
      </w:r>
      <w:r w:rsidR="00372BB3">
        <w:rPr>
          <w:rFonts w:asciiTheme="majorHAnsi" w:eastAsiaTheme="majorEastAsia" w:hAnsiTheme="majorHAnsi" w:cstheme="majorBidi"/>
          <w:sz w:val="23"/>
          <w:szCs w:val="23"/>
        </w:rPr>
        <w:t>, and around the area</w:t>
      </w:r>
      <w:r w:rsidRPr="00E91887">
        <w:rPr>
          <w:rFonts w:asciiTheme="majorHAnsi" w:eastAsiaTheme="majorEastAsia" w:hAnsiTheme="majorHAnsi" w:cstheme="majorBidi"/>
          <w:sz w:val="23"/>
          <w:szCs w:val="23"/>
        </w:rPr>
        <w:t xml:space="preserve"> adjacent to the bay. Investigations more likely to lead to change for North Geelong</w:t>
      </w:r>
      <w:r w:rsidR="00372BB3">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owing to conflicts with other uses in North Shore </w:t>
      </w:r>
      <w:r w:rsidRPr="00372BB3">
        <w:rPr>
          <w:rFonts w:asciiTheme="majorHAnsi" w:eastAsiaTheme="majorEastAsia" w:hAnsiTheme="majorHAnsi" w:cstheme="majorBidi"/>
          <w:sz w:val="23"/>
          <w:szCs w:val="23"/>
        </w:rPr>
        <w:t>(</w:t>
      </w:r>
      <w:r w:rsidRPr="001565E5">
        <w:rPr>
          <w:rFonts w:asciiTheme="majorHAnsi" w:eastAsiaTheme="majorEastAsia" w:hAnsiTheme="majorHAnsi" w:cstheme="majorBidi"/>
          <w:i/>
          <w:iCs/>
          <w:sz w:val="23"/>
          <w:szCs w:val="23"/>
        </w:rPr>
        <w:t>Settlement Strategy</w:t>
      </w:r>
      <w:r w:rsidR="00372BB3">
        <w:rPr>
          <w:rFonts w:asciiTheme="majorHAnsi" w:eastAsiaTheme="majorEastAsia" w:hAnsiTheme="majorHAnsi" w:cstheme="majorBidi"/>
          <w:sz w:val="23"/>
          <w:szCs w:val="23"/>
        </w:rPr>
        <w:t xml:space="preserve">, </w:t>
      </w:r>
      <w:r w:rsidRPr="00372BB3">
        <w:rPr>
          <w:rFonts w:asciiTheme="majorHAnsi" w:eastAsiaTheme="majorEastAsia" w:hAnsiTheme="majorHAnsi" w:cstheme="majorBidi"/>
          <w:noProof/>
          <w:sz w:val="23"/>
          <w:szCs w:val="23"/>
        </w:rPr>
        <w:t>City of Greater Geelong, 2020a)</w:t>
      </w:r>
      <w:r w:rsidR="00992AF5">
        <w:rPr>
          <w:rFonts w:asciiTheme="majorHAnsi" w:eastAsiaTheme="majorEastAsia" w:hAnsiTheme="majorHAnsi" w:cstheme="majorBidi"/>
          <w:noProof/>
          <w:sz w:val="23"/>
          <w:szCs w:val="23"/>
        </w:rPr>
        <w:t>.</w:t>
      </w:r>
    </w:p>
    <w:p w14:paraId="2DB58393" w14:textId="43786F7B" w:rsidR="00F00E3D" w:rsidRPr="00E91887" w:rsidRDefault="00F00E3D" w:rsidP="00364C5D">
      <w:pPr>
        <w:pStyle w:val="ListParagraph"/>
        <w:numPr>
          <w:ilvl w:val="0"/>
          <w:numId w:val="40"/>
        </w:numPr>
        <w:spacing w:before="240" w:line="257" w:lineRule="auto"/>
        <w:rPr>
          <w:rFonts w:asciiTheme="majorHAnsi" w:eastAsiaTheme="majorEastAsia" w:hAnsiTheme="majorHAnsi" w:cstheme="majorBidi"/>
          <w:b/>
          <w:bCs/>
          <w:sz w:val="23"/>
          <w:szCs w:val="23"/>
        </w:rPr>
      </w:pPr>
      <w:r w:rsidRPr="00E91887">
        <w:rPr>
          <w:rFonts w:asciiTheme="majorHAnsi" w:eastAsiaTheme="majorEastAsia" w:hAnsiTheme="majorHAnsi" w:cstheme="majorBidi"/>
          <w:sz w:val="23"/>
          <w:szCs w:val="23"/>
        </w:rPr>
        <w:t>Council to contribute to</w:t>
      </w:r>
      <w:r w:rsidR="00372BB3">
        <w:rPr>
          <w:rFonts w:asciiTheme="majorHAnsi" w:eastAsiaTheme="majorEastAsia" w:hAnsiTheme="majorHAnsi" w:cstheme="majorBidi"/>
          <w:sz w:val="23"/>
          <w:szCs w:val="23"/>
        </w:rPr>
        <w:t xml:space="preserve"> </w:t>
      </w:r>
      <w:r w:rsidRPr="00E91887">
        <w:rPr>
          <w:rFonts w:asciiTheme="majorHAnsi" w:eastAsiaTheme="majorEastAsia" w:hAnsiTheme="majorHAnsi" w:cstheme="majorBidi"/>
          <w:sz w:val="23"/>
          <w:szCs w:val="23"/>
        </w:rPr>
        <w:t>continued urban revitalisation in Corio, Norlane</w:t>
      </w:r>
      <w:r w:rsidR="00372BB3">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and Whittington in partnership with State Government (</w:t>
      </w:r>
      <w:r w:rsidRPr="001565E5">
        <w:rPr>
          <w:rFonts w:asciiTheme="majorHAnsi" w:eastAsiaTheme="majorEastAsia" w:hAnsiTheme="majorHAnsi" w:cstheme="majorBidi"/>
          <w:i/>
          <w:iCs/>
          <w:sz w:val="23"/>
          <w:szCs w:val="23"/>
        </w:rPr>
        <w:t>Social Housing Policy</w:t>
      </w:r>
      <w:r w:rsidR="00372BB3">
        <w:rPr>
          <w:rFonts w:asciiTheme="majorHAnsi" w:eastAsiaTheme="majorEastAsia" w:hAnsiTheme="majorHAnsi" w:cstheme="majorBidi"/>
          <w:sz w:val="23"/>
          <w:szCs w:val="23"/>
        </w:rPr>
        <w:t>,</w:t>
      </w:r>
      <w:r w:rsidRPr="00372BB3">
        <w:rPr>
          <w:rFonts w:asciiTheme="majorHAnsi" w:eastAsiaTheme="majorEastAsia" w:hAnsiTheme="majorHAnsi" w:cstheme="majorBidi"/>
          <w:sz w:val="23"/>
          <w:szCs w:val="23"/>
        </w:rPr>
        <w:t xml:space="preserve"> </w:t>
      </w:r>
      <w:r w:rsidRPr="00372BB3">
        <w:rPr>
          <w:rFonts w:asciiTheme="majorHAnsi" w:eastAsiaTheme="majorEastAsia" w:hAnsiTheme="majorHAnsi" w:cstheme="majorBidi"/>
          <w:noProof/>
          <w:sz w:val="23"/>
          <w:szCs w:val="23"/>
        </w:rPr>
        <w:t>City of Greater Geelong, 2020</w:t>
      </w:r>
      <w:r w:rsidR="00992AF5">
        <w:rPr>
          <w:rFonts w:asciiTheme="majorHAnsi" w:eastAsiaTheme="majorEastAsia" w:hAnsiTheme="majorHAnsi" w:cstheme="majorBidi"/>
          <w:noProof/>
          <w:sz w:val="23"/>
          <w:szCs w:val="23"/>
        </w:rPr>
        <w:t>–</w:t>
      </w:r>
      <w:r w:rsidRPr="00372BB3">
        <w:rPr>
          <w:rFonts w:asciiTheme="majorHAnsi" w:eastAsiaTheme="majorEastAsia" w:hAnsiTheme="majorHAnsi" w:cstheme="majorBidi"/>
          <w:noProof/>
          <w:sz w:val="23"/>
          <w:szCs w:val="23"/>
        </w:rPr>
        <w:t>2041</w:t>
      </w:r>
      <w:r w:rsidRPr="00372BB3">
        <w:rPr>
          <w:rFonts w:asciiTheme="majorHAnsi" w:eastAsiaTheme="majorEastAsia" w:hAnsiTheme="majorHAnsi" w:cstheme="majorBidi"/>
          <w:sz w:val="23"/>
          <w:szCs w:val="23"/>
        </w:rPr>
        <w:t>)</w:t>
      </w:r>
      <w:r w:rsidR="00992AF5">
        <w:rPr>
          <w:rFonts w:asciiTheme="majorHAnsi" w:eastAsiaTheme="majorEastAsia" w:hAnsiTheme="majorHAnsi" w:cstheme="majorBidi"/>
          <w:sz w:val="23"/>
          <w:szCs w:val="23"/>
        </w:rPr>
        <w:t>.</w:t>
      </w:r>
    </w:p>
    <w:p w14:paraId="278571F3" w14:textId="03531FAF" w:rsidR="00F00E3D" w:rsidRPr="005F5538" w:rsidRDefault="00F00E3D" w:rsidP="00364C5D">
      <w:pPr>
        <w:pStyle w:val="ListParagraph"/>
        <w:numPr>
          <w:ilvl w:val="0"/>
          <w:numId w:val="40"/>
        </w:numPr>
        <w:spacing w:before="240" w:line="257" w:lineRule="auto"/>
        <w:rPr>
          <w:b/>
          <w:bCs/>
          <w:color w:val="000000" w:themeColor="text1"/>
          <w:sz w:val="23"/>
          <w:szCs w:val="23"/>
        </w:rPr>
      </w:pPr>
      <w:r w:rsidRPr="00E91887">
        <w:rPr>
          <w:rFonts w:asciiTheme="majorHAnsi" w:eastAsiaTheme="majorEastAsia" w:hAnsiTheme="majorHAnsi" w:cstheme="majorBidi"/>
          <w:sz w:val="23"/>
          <w:szCs w:val="23"/>
        </w:rPr>
        <w:t xml:space="preserve">Improve streetscapes </w:t>
      </w:r>
      <w:r w:rsidRPr="00992AF5">
        <w:rPr>
          <w:rFonts w:asciiTheme="majorHAnsi" w:eastAsiaTheme="majorEastAsia" w:hAnsiTheme="majorHAnsi" w:cstheme="majorBidi"/>
          <w:sz w:val="23"/>
          <w:szCs w:val="23"/>
        </w:rPr>
        <w:t>and neighbourhood character through a “greening approach” (</w:t>
      </w:r>
      <w:r w:rsidRPr="001565E5">
        <w:rPr>
          <w:rFonts w:asciiTheme="majorHAnsi" w:eastAsiaTheme="majorEastAsia" w:hAnsiTheme="majorHAnsi" w:cstheme="majorBidi"/>
          <w:i/>
          <w:iCs/>
          <w:sz w:val="23"/>
          <w:szCs w:val="23"/>
        </w:rPr>
        <w:t>Corio-Norlane Structure Plan</w:t>
      </w:r>
      <w:r w:rsidR="00992AF5" w:rsidRPr="00992AF5">
        <w:rPr>
          <w:rFonts w:asciiTheme="majorHAnsi" w:eastAsiaTheme="majorEastAsia" w:hAnsiTheme="majorHAnsi" w:cstheme="majorBidi"/>
          <w:sz w:val="23"/>
          <w:szCs w:val="23"/>
        </w:rPr>
        <w:t xml:space="preserve">, </w:t>
      </w:r>
      <w:r w:rsidRPr="00992AF5">
        <w:rPr>
          <w:rFonts w:asciiTheme="majorHAnsi" w:eastAsiaTheme="majorEastAsia" w:hAnsiTheme="majorHAnsi" w:cstheme="majorBidi"/>
          <w:noProof/>
          <w:sz w:val="23"/>
          <w:szCs w:val="23"/>
        </w:rPr>
        <w:t>City of Greater Geelong Department of Planning and Community Development, 2012</w:t>
      </w:r>
      <w:r w:rsidRPr="00992AF5">
        <w:rPr>
          <w:rFonts w:asciiTheme="majorHAnsi" w:eastAsiaTheme="majorEastAsia" w:hAnsiTheme="majorHAnsi" w:cstheme="majorBidi"/>
          <w:sz w:val="23"/>
          <w:szCs w:val="23"/>
        </w:rPr>
        <w:t>)</w:t>
      </w:r>
      <w:r w:rsidR="00992AF5" w:rsidRPr="00992AF5">
        <w:rPr>
          <w:rFonts w:asciiTheme="majorHAnsi" w:eastAsiaTheme="majorEastAsia" w:hAnsiTheme="majorHAnsi" w:cstheme="majorBidi"/>
          <w:sz w:val="23"/>
          <w:szCs w:val="23"/>
        </w:rPr>
        <w:t>.</w:t>
      </w:r>
    </w:p>
    <w:p w14:paraId="440DADCA" w14:textId="77777777" w:rsidR="00992AF5" w:rsidRDefault="00992AF5" w:rsidP="009B2FA7">
      <w:pPr>
        <w:spacing w:line="257" w:lineRule="auto"/>
        <w:rPr>
          <w:rFonts w:eastAsiaTheme="majorEastAsia" w:cstheme="minorHAnsi"/>
          <w:b/>
          <w:sz w:val="25"/>
          <w:szCs w:val="25"/>
        </w:rPr>
      </w:pPr>
    </w:p>
    <w:p w14:paraId="45713F0F" w14:textId="246D1BE8" w:rsidR="00F00E3D" w:rsidRPr="00992AF5" w:rsidRDefault="00F00E3D" w:rsidP="009B2FA7">
      <w:pPr>
        <w:spacing w:line="257" w:lineRule="auto"/>
        <w:rPr>
          <w:rFonts w:eastAsiaTheme="majorEastAsia" w:cstheme="minorHAnsi"/>
          <w:color w:val="000000" w:themeColor="text1"/>
          <w:sz w:val="25"/>
          <w:szCs w:val="25"/>
        </w:rPr>
      </w:pPr>
      <w:r w:rsidRPr="00992AF5">
        <w:rPr>
          <w:rFonts w:eastAsiaTheme="majorEastAsia" w:cstheme="minorHAnsi"/>
          <w:b/>
          <w:sz w:val="25"/>
          <w:szCs w:val="25"/>
        </w:rPr>
        <w:lastRenderedPageBreak/>
        <w:t>Liveability</w:t>
      </w:r>
    </w:p>
    <w:p w14:paraId="248CFCBD" w14:textId="2160A237" w:rsidR="00F00E3D" w:rsidRDefault="00393859" w:rsidP="00FE5E34">
      <w:pPr>
        <w:spacing w:after="0" w:line="276" w:lineRule="auto"/>
        <w:rPr>
          <w:rFonts w:asciiTheme="majorHAnsi" w:eastAsiaTheme="majorEastAsia" w:hAnsiTheme="majorHAnsi" w:cstheme="majorBidi"/>
          <w:sz w:val="23"/>
          <w:szCs w:val="23"/>
        </w:rPr>
      </w:pPr>
      <w:r>
        <w:rPr>
          <w:rFonts w:asciiTheme="majorHAnsi" w:eastAsiaTheme="majorEastAsia" w:hAnsiTheme="majorHAnsi" w:cstheme="majorBidi"/>
          <w:sz w:val="23"/>
          <w:szCs w:val="23"/>
        </w:rPr>
        <w:t>On paper at least, s</w:t>
      </w:r>
      <w:r w:rsidR="00F00E3D" w:rsidRPr="00E91887">
        <w:rPr>
          <w:rFonts w:asciiTheme="majorHAnsi" w:eastAsiaTheme="majorEastAsia" w:hAnsiTheme="majorHAnsi" w:cstheme="majorBidi"/>
          <w:sz w:val="23"/>
          <w:szCs w:val="23"/>
        </w:rPr>
        <w:t xml:space="preserve">ocial </w:t>
      </w:r>
      <w:r>
        <w:rPr>
          <w:rFonts w:asciiTheme="majorHAnsi" w:eastAsiaTheme="majorEastAsia" w:hAnsiTheme="majorHAnsi" w:cstheme="majorBidi"/>
          <w:sz w:val="23"/>
          <w:szCs w:val="23"/>
        </w:rPr>
        <w:t>i</w:t>
      </w:r>
      <w:r w:rsidR="00F00E3D" w:rsidRPr="00E91887">
        <w:rPr>
          <w:rFonts w:asciiTheme="majorHAnsi" w:eastAsiaTheme="majorEastAsia" w:hAnsiTheme="majorHAnsi" w:cstheme="majorBidi"/>
          <w:sz w:val="23"/>
          <w:szCs w:val="23"/>
        </w:rPr>
        <w:t>nfrastructure</w:t>
      </w:r>
      <w:r w:rsidR="00F00E3D" w:rsidRPr="00E91887">
        <w:rPr>
          <w:rFonts w:asciiTheme="majorHAnsi" w:eastAsiaTheme="majorEastAsia" w:hAnsiTheme="majorHAnsi" w:cstheme="majorBidi"/>
          <w:b/>
          <w:sz w:val="23"/>
          <w:szCs w:val="23"/>
        </w:rPr>
        <w:t xml:space="preserve"> </w:t>
      </w:r>
      <w:r w:rsidR="00F00E3D" w:rsidRPr="00E91887">
        <w:rPr>
          <w:rFonts w:asciiTheme="majorHAnsi" w:eastAsiaTheme="majorEastAsia" w:hAnsiTheme="majorHAnsi" w:cstheme="majorBidi"/>
          <w:sz w:val="23"/>
          <w:szCs w:val="23"/>
        </w:rPr>
        <w:t xml:space="preserve">for the </w:t>
      </w:r>
      <w:r w:rsidR="00F00E3D" w:rsidRPr="003478DC">
        <w:rPr>
          <w:rFonts w:asciiTheme="majorHAnsi" w:eastAsiaTheme="majorEastAsia" w:hAnsiTheme="majorHAnsi" w:cstheme="majorBidi"/>
          <w:sz w:val="23"/>
          <w:szCs w:val="23"/>
        </w:rPr>
        <w:t xml:space="preserve">three </w:t>
      </w:r>
      <w:r w:rsidRPr="003478DC">
        <w:rPr>
          <w:rFonts w:asciiTheme="majorHAnsi" w:eastAsiaTheme="majorEastAsia" w:hAnsiTheme="majorHAnsi" w:cstheme="majorBidi"/>
          <w:sz w:val="23"/>
          <w:szCs w:val="23"/>
        </w:rPr>
        <w:t>localitie</w:t>
      </w:r>
      <w:r w:rsidR="00F00E3D" w:rsidRPr="003478DC">
        <w:rPr>
          <w:rFonts w:asciiTheme="majorHAnsi" w:eastAsiaTheme="majorEastAsia" w:hAnsiTheme="majorHAnsi" w:cstheme="majorBidi"/>
          <w:sz w:val="23"/>
          <w:szCs w:val="23"/>
        </w:rPr>
        <w:t>s</w:t>
      </w:r>
      <w:r w:rsidR="006B1515">
        <w:rPr>
          <w:rFonts w:asciiTheme="majorHAnsi" w:eastAsiaTheme="majorEastAsia" w:hAnsiTheme="majorHAnsi" w:cstheme="majorBidi"/>
          <w:sz w:val="23"/>
          <w:szCs w:val="23"/>
        </w:rPr>
        <w:t xml:space="preserve"> initially</w:t>
      </w:r>
      <w:r w:rsidRPr="003478DC">
        <w:rPr>
          <w:rFonts w:asciiTheme="majorHAnsi" w:eastAsiaTheme="majorEastAsia" w:hAnsiTheme="majorHAnsi" w:cstheme="majorBidi"/>
          <w:sz w:val="23"/>
          <w:szCs w:val="23"/>
        </w:rPr>
        <w:t xml:space="preserve"> </w:t>
      </w:r>
      <w:r w:rsidR="00F00E3D" w:rsidRPr="003478DC">
        <w:rPr>
          <w:rFonts w:asciiTheme="majorHAnsi" w:eastAsiaTheme="majorEastAsia" w:hAnsiTheme="majorHAnsi" w:cstheme="majorBidi"/>
          <w:sz w:val="23"/>
          <w:szCs w:val="23"/>
        </w:rPr>
        <w:t>looks adequate</w:t>
      </w:r>
      <w:r w:rsidR="00247329">
        <w:rPr>
          <w:rFonts w:asciiTheme="majorHAnsi" w:eastAsiaTheme="majorEastAsia" w:hAnsiTheme="majorHAnsi" w:cstheme="majorBidi"/>
          <w:sz w:val="23"/>
          <w:szCs w:val="23"/>
        </w:rPr>
        <w:t xml:space="preserve">, or at least not obviously </w:t>
      </w:r>
      <w:r w:rsidR="00791F95">
        <w:rPr>
          <w:rFonts w:asciiTheme="majorHAnsi" w:eastAsiaTheme="majorEastAsia" w:hAnsiTheme="majorHAnsi" w:cstheme="majorBidi"/>
          <w:sz w:val="23"/>
          <w:szCs w:val="23"/>
        </w:rPr>
        <w:t>wanting</w:t>
      </w:r>
      <w:r w:rsidR="003478DC" w:rsidRPr="003478DC">
        <w:rPr>
          <w:rFonts w:asciiTheme="majorHAnsi" w:eastAsiaTheme="majorEastAsia" w:hAnsiTheme="majorHAnsi" w:cstheme="majorBidi"/>
          <w:sz w:val="23"/>
          <w:szCs w:val="23"/>
        </w:rPr>
        <w:t xml:space="preserve">. </w:t>
      </w:r>
      <w:r w:rsidR="001B7DDF">
        <w:rPr>
          <w:rFonts w:asciiTheme="majorHAnsi" w:eastAsiaTheme="majorEastAsia" w:hAnsiTheme="majorHAnsi" w:cstheme="majorBidi"/>
          <w:sz w:val="23"/>
          <w:szCs w:val="23"/>
        </w:rPr>
        <w:t>CoGG</w:t>
      </w:r>
      <w:r w:rsidR="00553903">
        <w:rPr>
          <w:rFonts w:asciiTheme="majorHAnsi" w:eastAsiaTheme="majorEastAsia" w:hAnsiTheme="majorHAnsi" w:cstheme="majorBidi"/>
          <w:sz w:val="23"/>
          <w:szCs w:val="23"/>
        </w:rPr>
        <w:t>’s</w:t>
      </w:r>
      <w:r w:rsidR="003478DC" w:rsidRPr="003478DC">
        <w:rPr>
          <w:rFonts w:asciiTheme="majorHAnsi" w:eastAsiaTheme="majorEastAsia" w:hAnsiTheme="majorHAnsi" w:cstheme="majorBidi"/>
          <w:sz w:val="23"/>
          <w:szCs w:val="23"/>
        </w:rPr>
        <w:t xml:space="preserve"> </w:t>
      </w:r>
      <w:r w:rsidR="00F00E3D" w:rsidRPr="00791F95">
        <w:rPr>
          <w:rFonts w:asciiTheme="majorHAnsi" w:eastAsiaTheme="majorEastAsia" w:hAnsiTheme="majorHAnsi" w:cstheme="majorBidi"/>
          <w:i/>
          <w:iCs/>
          <w:sz w:val="23"/>
          <w:szCs w:val="23"/>
        </w:rPr>
        <w:t>Social Infrastructure Plan</w:t>
      </w:r>
      <w:r w:rsidR="00791F95" w:rsidRPr="00791F95">
        <w:rPr>
          <w:rFonts w:asciiTheme="majorHAnsi" w:eastAsia="Times New Roman" w:hAnsiTheme="majorHAnsi" w:cstheme="majorHAnsi"/>
          <w:noProof/>
          <w:sz w:val="23"/>
          <w:szCs w:val="23"/>
        </w:rPr>
        <w:t xml:space="preserve"> 2020– 2023 also </w:t>
      </w:r>
      <w:r w:rsidR="00F00E3D" w:rsidRPr="00791F95">
        <w:rPr>
          <w:rFonts w:asciiTheme="majorHAnsi" w:eastAsiaTheme="majorEastAsia" w:hAnsiTheme="majorHAnsi" w:cstheme="majorBidi"/>
          <w:sz w:val="23"/>
          <w:szCs w:val="23"/>
        </w:rPr>
        <w:t xml:space="preserve">anticipates modest improvements in recreational facilities across </w:t>
      </w:r>
      <w:r w:rsidR="003478DC" w:rsidRPr="00791F95">
        <w:rPr>
          <w:rFonts w:asciiTheme="majorHAnsi" w:eastAsiaTheme="majorEastAsia" w:hAnsiTheme="majorHAnsi" w:cstheme="majorBidi"/>
          <w:sz w:val="23"/>
          <w:szCs w:val="23"/>
        </w:rPr>
        <w:t>these suburbs</w:t>
      </w:r>
      <w:r w:rsidR="00F00E3D" w:rsidRPr="00791F95">
        <w:rPr>
          <w:rFonts w:asciiTheme="majorHAnsi" w:eastAsiaTheme="majorEastAsia" w:hAnsiTheme="majorHAnsi" w:cstheme="majorBidi"/>
          <w:sz w:val="23"/>
          <w:szCs w:val="23"/>
        </w:rPr>
        <w:t>.</w:t>
      </w:r>
    </w:p>
    <w:p w14:paraId="01B7D6AB" w14:textId="77777777" w:rsidR="00791F95" w:rsidRPr="00791F95" w:rsidRDefault="00791F95" w:rsidP="00FE5E34">
      <w:pPr>
        <w:spacing w:after="0" w:line="276" w:lineRule="auto"/>
        <w:rPr>
          <w:rFonts w:asciiTheme="majorHAnsi" w:eastAsia="Times New Roman" w:hAnsiTheme="majorHAnsi" w:cstheme="majorHAnsi"/>
          <w:noProof/>
          <w:sz w:val="16"/>
          <w:szCs w:val="16"/>
        </w:rPr>
      </w:pPr>
    </w:p>
    <w:p w14:paraId="4F2ED6CF" w14:textId="08EAF1BD" w:rsidR="00364087" w:rsidRDefault="006B1515" w:rsidP="6A3610E4">
      <w:pPr>
        <w:spacing w:line="276" w:lineRule="auto"/>
        <w:rPr>
          <w:rFonts w:asciiTheme="majorHAnsi" w:eastAsiaTheme="majorEastAsia" w:hAnsiTheme="majorHAnsi" w:cstheme="majorBidi"/>
          <w:sz w:val="23"/>
          <w:szCs w:val="23"/>
        </w:rPr>
      </w:pPr>
      <w:r w:rsidRPr="6A3610E4">
        <w:rPr>
          <w:rFonts w:asciiTheme="majorHAnsi" w:eastAsiaTheme="majorEastAsia" w:hAnsiTheme="majorHAnsi" w:cstheme="majorBidi"/>
          <w:sz w:val="23"/>
          <w:szCs w:val="23"/>
        </w:rPr>
        <w:t>However, a</w:t>
      </w:r>
      <w:r w:rsidR="00F00E3D" w:rsidRPr="6A3610E4">
        <w:rPr>
          <w:rFonts w:asciiTheme="majorHAnsi" w:eastAsiaTheme="majorEastAsia" w:hAnsiTheme="majorHAnsi" w:cstheme="majorBidi"/>
          <w:sz w:val="23"/>
          <w:szCs w:val="23"/>
        </w:rPr>
        <w:t xml:space="preserve"> more detailed examination of the </w:t>
      </w:r>
      <w:r w:rsidR="00F11A55" w:rsidRPr="6A3610E4">
        <w:rPr>
          <w:rFonts w:asciiTheme="majorHAnsi" w:eastAsiaTheme="majorEastAsia" w:hAnsiTheme="majorHAnsi" w:cstheme="majorBidi"/>
          <w:sz w:val="23"/>
          <w:szCs w:val="23"/>
        </w:rPr>
        <w:t xml:space="preserve">current </w:t>
      </w:r>
      <w:r w:rsidR="00F00E3D" w:rsidRPr="6A3610E4">
        <w:rPr>
          <w:rFonts w:asciiTheme="majorHAnsi" w:eastAsiaTheme="majorEastAsia" w:hAnsiTheme="majorHAnsi" w:cstheme="majorBidi"/>
          <w:sz w:val="23"/>
          <w:szCs w:val="23"/>
        </w:rPr>
        <w:t xml:space="preserve">facilities, against benchmark guidelines – with raw data provided by </w:t>
      </w:r>
      <w:r w:rsidR="001B7DDF" w:rsidRPr="6A3610E4">
        <w:rPr>
          <w:rFonts w:asciiTheme="majorHAnsi" w:eastAsiaTheme="majorEastAsia" w:hAnsiTheme="majorHAnsi" w:cstheme="majorBidi"/>
          <w:sz w:val="23"/>
          <w:szCs w:val="23"/>
        </w:rPr>
        <w:t>CoGG</w:t>
      </w:r>
      <w:r w:rsidR="00F00E3D" w:rsidRPr="6A3610E4">
        <w:rPr>
          <w:rFonts w:asciiTheme="majorHAnsi" w:eastAsiaTheme="majorEastAsia" w:hAnsiTheme="majorHAnsi" w:cstheme="majorBidi"/>
          <w:sz w:val="23"/>
          <w:szCs w:val="23"/>
        </w:rPr>
        <w:t xml:space="preserve"> </w:t>
      </w:r>
      <w:r w:rsidR="00F11A55" w:rsidRPr="6A3610E4">
        <w:rPr>
          <w:rFonts w:asciiTheme="majorHAnsi" w:eastAsiaTheme="majorEastAsia" w:hAnsiTheme="majorHAnsi" w:cstheme="majorBidi"/>
          <w:sz w:val="23"/>
          <w:szCs w:val="23"/>
        </w:rPr>
        <w:t>–</w:t>
      </w:r>
      <w:r w:rsidR="00F00E3D" w:rsidRPr="6A3610E4">
        <w:rPr>
          <w:rFonts w:asciiTheme="majorHAnsi" w:eastAsiaTheme="majorEastAsia" w:hAnsiTheme="majorHAnsi" w:cstheme="majorBidi"/>
          <w:sz w:val="23"/>
          <w:szCs w:val="23"/>
        </w:rPr>
        <w:t xml:space="preserve"> indicates </w:t>
      </w:r>
      <w:r w:rsidR="00FE5E34" w:rsidRPr="6A3610E4">
        <w:rPr>
          <w:rFonts w:asciiTheme="majorHAnsi" w:eastAsiaTheme="majorEastAsia" w:hAnsiTheme="majorHAnsi" w:cstheme="majorBidi"/>
          <w:sz w:val="23"/>
          <w:szCs w:val="23"/>
        </w:rPr>
        <w:t>some key</w:t>
      </w:r>
      <w:r w:rsidR="00F00E3D" w:rsidRPr="6A3610E4">
        <w:rPr>
          <w:rFonts w:asciiTheme="majorHAnsi" w:eastAsiaTheme="majorEastAsia" w:hAnsiTheme="majorHAnsi" w:cstheme="majorBidi"/>
          <w:sz w:val="23"/>
          <w:szCs w:val="23"/>
        </w:rPr>
        <w:t xml:space="preserve"> infrastructure </w:t>
      </w:r>
      <w:r w:rsidR="0086457B" w:rsidRPr="6A3610E4">
        <w:rPr>
          <w:rFonts w:asciiTheme="majorHAnsi" w:eastAsiaTheme="majorEastAsia" w:hAnsiTheme="majorHAnsi" w:cstheme="majorBidi"/>
          <w:sz w:val="23"/>
          <w:szCs w:val="23"/>
        </w:rPr>
        <w:t>gaps</w:t>
      </w:r>
      <w:r w:rsidR="00FE5E34" w:rsidRPr="6A3610E4">
        <w:rPr>
          <w:rFonts w:asciiTheme="majorHAnsi" w:eastAsiaTheme="majorEastAsia" w:hAnsiTheme="majorHAnsi" w:cstheme="majorBidi"/>
          <w:sz w:val="23"/>
          <w:szCs w:val="23"/>
        </w:rPr>
        <w:t>.</w:t>
      </w:r>
      <w:r w:rsidR="0086457B" w:rsidRPr="6A3610E4">
        <w:rPr>
          <w:rFonts w:asciiTheme="majorHAnsi" w:eastAsiaTheme="majorEastAsia" w:hAnsiTheme="majorHAnsi" w:cstheme="majorBidi"/>
          <w:sz w:val="23"/>
          <w:szCs w:val="23"/>
        </w:rPr>
        <w:t xml:space="preserve"> </w:t>
      </w:r>
      <w:r w:rsidR="001508B6" w:rsidRPr="6A3610E4">
        <w:rPr>
          <w:rFonts w:asciiTheme="majorHAnsi" w:eastAsiaTheme="majorEastAsia" w:hAnsiTheme="majorHAnsi" w:cstheme="majorBidi"/>
          <w:sz w:val="23"/>
          <w:szCs w:val="23"/>
        </w:rPr>
        <w:t xml:space="preserve">There is a complete </w:t>
      </w:r>
      <w:r w:rsidR="00CD1A88" w:rsidRPr="6A3610E4">
        <w:rPr>
          <w:rFonts w:asciiTheme="majorHAnsi" w:eastAsiaTheme="majorEastAsia" w:hAnsiTheme="majorHAnsi" w:cstheme="majorBidi"/>
          <w:sz w:val="23"/>
          <w:szCs w:val="23"/>
        </w:rPr>
        <w:t>lack of</w:t>
      </w:r>
      <w:r w:rsidR="001508B6" w:rsidRPr="6A3610E4">
        <w:rPr>
          <w:rFonts w:asciiTheme="majorHAnsi" w:eastAsiaTheme="majorEastAsia" w:hAnsiTheme="majorHAnsi" w:cstheme="majorBidi"/>
          <w:sz w:val="23"/>
          <w:szCs w:val="23"/>
        </w:rPr>
        <w:t xml:space="preserve"> </w:t>
      </w:r>
      <w:r w:rsidR="001D2C19" w:rsidRPr="6A3610E4">
        <w:rPr>
          <w:rFonts w:asciiTheme="majorHAnsi" w:eastAsiaTheme="majorEastAsia" w:hAnsiTheme="majorHAnsi" w:cstheme="majorBidi"/>
          <w:sz w:val="23"/>
          <w:szCs w:val="23"/>
        </w:rPr>
        <w:t xml:space="preserve">onsite </w:t>
      </w:r>
      <w:r w:rsidR="001508B6" w:rsidRPr="6A3610E4">
        <w:rPr>
          <w:rFonts w:asciiTheme="majorHAnsi" w:eastAsiaTheme="majorEastAsia" w:hAnsiTheme="majorHAnsi" w:cstheme="majorBidi"/>
          <w:sz w:val="23"/>
          <w:szCs w:val="23"/>
        </w:rPr>
        <w:t xml:space="preserve">police and ambulance service </w:t>
      </w:r>
      <w:r w:rsidR="00666323" w:rsidRPr="6A3610E4">
        <w:rPr>
          <w:rFonts w:asciiTheme="majorHAnsi" w:eastAsiaTheme="majorEastAsia" w:hAnsiTheme="majorHAnsi" w:cstheme="majorBidi"/>
          <w:sz w:val="23"/>
          <w:szCs w:val="23"/>
        </w:rPr>
        <w:t xml:space="preserve">facilities </w:t>
      </w:r>
      <w:r w:rsidR="001D2C19" w:rsidRPr="6A3610E4">
        <w:rPr>
          <w:rFonts w:asciiTheme="majorHAnsi" w:eastAsiaTheme="majorEastAsia" w:hAnsiTheme="majorHAnsi" w:cstheme="majorBidi"/>
          <w:sz w:val="23"/>
          <w:szCs w:val="23"/>
        </w:rPr>
        <w:t>in</w:t>
      </w:r>
      <w:r w:rsidR="001508B6" w:rsidRPr="6A3610E4">
        <w:rPr>
          <w:rFonts w:asciiTheme="majorHAnsi" w:eastAsiaTheme="majorEastAsia" w:hAnsiTheme="majorHAnsi" w:cstheme="majorBidi"/>
          <w:sz w:val="23"/>
          <w:szCs w:val="23"/>
        </w:rPr>
        <w:t xml:space="preserve"> all three </w:t>
      </w:r>
      <w:r w:rsidR="00666323" w:rsidRPr="6A3610E4">
        <w:rPr>
          <w:rFonts w:asciiTheme="majorHAnsi" w:eastAsiaTheme="majorEastAsia" w:hAnsiTheme="majorHAnsi" w:cstheme="majorBidi"/>
          <w:sz w:val="23"/>
          <w:szCs w:val="23"/>
        </w:rPr>
        <w:t>localities;</w:t>
      </w:r>
      <w:r w:rsidR="001508B6" w:rsidRPr="6A3610E4">
        <w:rPr>
          <w:rFonts w:asciiTheme="majorHAnsi" w:eastAsiaTheme="majorEastAsia" w:hAnsiTheme="majorHAnsi" w:cstheme="majorBidi"/>
          <w:sz w:val="23"/>
          <w:szCs w:val="23"/>
        </w:rPr>
        <w:t xml:space="preserve"> while these are not for </w:t>
      </w:r>
      <w:r w:rsidR="001B7DDF" w:rsidRPr="6A3610E4">
        <w:rPr>
          <w:rFonts w:asciiTheme="majorHAnsi" w:eastAsiaTheme="majorEastAsia" w:hAnsiTheme="majorHAnsi" w:cstheme="majorBidi"/>
          <w:sz w:val="23"/>
          <w:szCs w:val="23"/>
        </w:rPr>
        <w:t>CoGG</w:t>
      </w:r>
      <w:r w:rsidR="001508B6" w:rsidRPr="6A3610E4">
        <w:rPr>
          <w:rFonts w:asciiTheme="majorHAnsi" w:eastAsiaTheme="majorEastAsia" w:hAnsiTheme="majorHAnsi" w:cstheme="majorBidi"/>
          <w:sz w:val="23"/>
          <w:szCs w:val="23"/>
        </w:rPr>
        <w:t xml:space="preserve"> to provide</w:t>
      </w:r>
      <w:r w:rsidR="00666323" w:rsidRPr="6A3610E4">
        <w:rPr>
          <w:rFonts w:asciiTheme="majorHAnsi" w:eastAsiaTheme="majorEastAsia" w:hAnsiTheme="majorHAnsi" w:cstheme="majorBidi"/>
          <w:sz w:val="23"/>
          <w:szCs w:val="23"/>
        </w:rPr>
        <w:t>,</w:t>
      </w:r>
      <w:r w:rsidR="001508B6" w:rsidRPr="6A3610E4">
        <w:rPr>
          <w:rFonts w:asciiTheme="majorHAnsi" w:eastAsiaTheme="majorEastAsia" w:hAnsiTheme="majorHAnsi" w:cstheme="majorBidi"/>
          <w:sz w:val="23"/>
          <w:szCs w:val="23"/>
        </w:rPr>
        <w:t xml:space="preserve"> this is nevertheless an identifiable gap</w:t>
      </w:r>
      <w:r w:rsidR="00666323" w:rsidRPr="6A3610E4">
        <w:rPr>
          <w:rFonts w:asciiTheme="majorHAnsi" w:eastAsiaTheme="majorEastAsia" w:hAnsiTheme="majorHAnsi" w:cstheme="majorBidi"/>
          <w:sz w:val="23"/>
          <w:szCs w:val="23"/>
        </w:rPr>
        <w:t xml:space="preserve">. </w:t>
      </w:r>
      <w:r w:rsidR="00FE5E34" w:rsidRPr="6A3610E4">
        <w:rPr>
          <w:rFonts w:asciiTheme="majorHAnsi" w:eastAsiaTheme="majorEastAsia" w:hAnsiTheme="majorHAnsi" w:cstheme="majorBidi"/>
          <w:sz w:val="23"/>
          <w:szCs w:val="23"/>
        </w:rPr>
        <w:t>F</w:t>
      </w:r>
      <w:r w:rsidR="00F00E3D" w:rsidRPr="6A3610E4">
        <w:rPr>
          <w:rFonts w:asciiTheme="majorHAnsi" w:eastAsiaTheme="majorEastAsia" w:hAnsiTheme="majorHAnsi" w:cstheme="majorBidi"/>
          <w:sz w:val="23"/>
          <w:szCs w:val="23"/>
        </w:rPr>
        <w:t>or Corio</w:t>
      </w:r>
      <w:r w:rsidR="00666323" w:rsidRPr="6A3610E4">
        <w:rPr>
          <w:rFonts w:asciiTheme="majorHAnsi" w:eastAsiaTheme="majorEastAsia" w:hAnsiTheme="majorHAnsi" w:cstheme="majorBidi"/>
          <w:sz w:val="23"/>
          <w:szCs w:val="23"/>
        </w:rPr>
        <w:t>, gaps</w:t>
      </w:r>
      <w:r w:rsidR="00FE5E34" w:rsidRPr="6A3610E4">
        <w:rPr>
          <w:rFonts w:asciiTheme="majorHAnsi" w:eastAsiaTheme="majorEastAsia" w:hAnsiTheme="majorHAnsi" w:cstheme="majorBidi"/>
          <w:sz w:val="23"/>
          <w:szCs w:val="23"/>
        </w:rPr>
        <w:t xml:space="preserve"> include the absence of</w:t>
      </w:r>
      <w:r w:rsidR="00F00E3D" w:rsidRPr="6A3610E4">
        <w:rPr>
          <w:rFonts w:asciiTheme="majorHAnsi" w:eastAsiaTheme="majorEastAsia" w:hAnsiTheme="majorHAnsi" w:cstheme="majorBidi"/>
          <w:sz w:val="23"/>
          <w:szCs w:val="23"/>
        </w:rPr>
        <w:t xml:space="preserve"> </w:t>
      </w:r>
      <w:r w:rsidR="0086457B" w:rsidRPr="6A3610E4">
        <w:rPr>
          <w:rFonts w:asciiTheme="majorHAnsi" w:eastAsiaTheme="majorEastAsia" w:hAnsiTheme="majorHAnsi" w:cstheme="majorBidi"/>
          <w:sz w:val="23"/>
          <w:szCs w:val="23"/>
        </w:rPr>
        <w:t>four</w:t>
      </w:r>
      <w:r w:rsidR="00F00E3D" w:rsidRPr="6A3610E4">
        <w:rPr>
          <w:rFonts w:asciiTheme="majorHAnsi" w:eastAsiaTheme="majorEastAsia" w:hAnsiTheme="majorHAnsi" w:cstheme="majorBidi"/>
          <w:sz w:val="23"/>
          <w:szCs w:val="23"/>
        </w:rPr>
        <w:t>-year-old kinder places</w:t>
      </w:r>
      <w:r w:rsidR="7744B58C" w:rsidRPr="6A3610E4">
        <w:rPr>
          <w:rFonts w:asciiTheme="majorHAnsi" w:eastAsiaTheme="majorEastAsia" w:hAnsiTheme="majorHAnsi" w:cstheme="majorBidi"/>
          <w:sz w:val="23"/>
          <w:szCs w:val="23"/>
        </w:rPr>
        <w:t xml:space="preserve"> </w:t>
      </w:r>
      <w:r w:rsidR="00F00E3D" w:rsidRPr="6A3610E4">
        <w:rPr>
          <w:rFonts w:asciiTheme="majorHAnsi" w:eastAsiaTheme="majorEastAsia" w:hAnsiTheme="majorHAnsi" w:cstheme="majorBidi"/>
          <w:sz w:val="23"/>
          <w:szCs w:val="23"/>
        </w:rPr>
        <w:t>a</w:t>
      </w:r>
      <w:r w:rsidR="00FE5E34" w:rsidRPr="6A3610E4">
        <w:rPr>
          <w:rFonts w:asciiTheme="majorHAnsi" w:eastAsiaTheme="majorEastAsia" w:hAnsiTheme="majorHAnsi" w:cstheme="majorBidi"/>
          <w:sz w:val="23"/>
          <w:szCs w:val="23"/>
        </w:rPr>
        <w:t>nd a</w:t>
      </w:r>
      <w:r w:rsidR="00F00E3D" w:rsidRPr="6A3610E4">
        <w:rPr>
          <w:rFonts w:asciiTheme="majorHAnsi" w:eastAsiaTheme="majorEastAsia" w:hAnsiTheme="majorHAnsi" w:cstheme="majorBidi"/>
          <w:sz w:val="23"/>
          <w:szCs w:val="23"/>
        </w:rPr>
        <w:t xml:space="preserve"> men’s shed</w:t>
      </w:r>
      <w:r w:rsidR="00FE5E34" w:rsidRPr="6A3610E4">
        <w:rPr>
          <w:rFonts w:asciiTheme="majorHAnsi" w:eastAsiaTheme="majorEastAsia" w:hAnsiTheme="majorHAnsi" w:cstheme="majorBidi"/>
          <w:sz w:val="23"/>
          <w:szCs w:val="23"/>
        </w:rPr>
        <w:t xml:space="preserve">. For </w:t>
      </w:r>
      <w:r w:rsidR="00F00E3D" w:rsidRPr="6A3610E4">
        <w:rPr>
          <w:rFonts w:asciiTheme="majorHAnsi" w:eastAsiaTheme="majorEastAsia" w:hAnsiTheme="majorHAnsi" w:cstheme="majorBidi"/>
          <w:sz w:val="23"/>
          <w:szCs w:val="23"/>
        </w:rPr>
        <w:t>Norlane</w:t>
      </w:r>
      <w:r w:rsidR="00FE5E34" w:rsidRPr="6A3610E4">
        <w:rPr>
          <w:rFonts w:asciiTheme="majorHAnsi" w:eastAsiaTheme="majorEastAsia" w:hAnsiTheme="majorHAnsi" w:cstheme="majorBidi"/>
          <w:sz w:val="23"/>
          <w:szCs w:val="23"/>
        </w:rPr>
        <w:t>,</w:t>
      </w:r>
      <w:r w:rsidR="00F00E3D" w:rsidRPr="6A3610E4">
        <w:rPr>
          <w:rFonts w:asciiTheme="majorHAnsi" w:eastAsiaTheme="majorEastAsia" w:hAnsiTheme="majorHAnsi" w:cstheme="majorBidi"/>
          <w:sz w:val="23"/>
          <w:szCs w:val="23"/>
        </w:rPr>
        <w:t xml:space="preserve"> </w:t>
      </w:r>
      <w:r w:rsidR="007E3026" w:rsidRPr="6A3610E4">
        <w:rPr>
          <w:rFonts w:asciiTheme="majorHAnsi" w:eastAsiaTheme="majorEastAsia" w:hAnsiTheme="majorHAnsi" w:cstheme="majorBidi"/>
          <w:sz w:val="23"/>
          <w:szCs w:val="23"/>
        </w:rPr>
        <w:t xml:space="preserve">there are gaps in </w:t>
      </w:r>
      <w:r w:rsidR="00F00E3D" w:rsidRPr="6A3610E4">
        <w:rPr>
          <w:rFonts w:asciiTheme="majorHAnsi" w:eastAsiaTheme="majorEastAsia" w:hAnsiTheme="majorHAnsi" w:cstheme="majorBidi"/>
          <w:sz w:val="23"/>
          <w:szCs w:val="23"/>
        </w:rPr>
        <w:t>occasional day</w:t>
      </w:r>
      <w:r w:rsidR="00FE5E34" w:rsidRPr="6A3610E4">
        <w:rPr>
          <w:rFonts w:asciiTheme="majorHAnsi" w:eastAsiaTheme="majorEastAsia" w:hAnsiTheme="majorHAnsi" w:cstheme="majorBidi"/>
          <w:sz w:val="23"/>
          <w:szCs w:val="23"/>
        </w:rPr>
        <w:t>-</w:t>
      </w:r>
      <w:r w:rsidR="00F00E3D" w:rsidRPr="6A3610E4">
        <w:rPr>
          <w:rFonts w:asciiTheme="majorHAnsi" w:eastAsiaTheme="majorEastAsia" w:hAnsiTheme="majorHAnsi" w:cstheme="majorBidi"/>
          <w:sz w:val="23"/>
          <w:szCs w:val="23"/>
        </w:rPr>
        <w:t>care places. The list is far longer for Whittington, which is</w:t>
      </w:r>
      <w:r w:rsidR="00666323" w:rsidRPr="6A3610E4">
        <w:rPr>
          <w:rFonts w:asciiTheme="majorHAnsi" w:eastAsiaTheme="majorEastAsia" w:hAnsiTheme="majorHAnsi" w:cstheme="majorBidi"/>
          <w:sz w:val="23"/>
          <w:szCs w:val="23"/>
        </w:rPr>
        <w:t xml:space="preserve"> evidently</w:t>
      </w:r>
      <w:r w:rsidR="00F00E3D" w:rsidRPr="6A3610E4">
        <w:rPr>
          <w:rFonts w:asciiTheme="majorHAnsi" w:eastAsiaTheme="majorEastAsia" w:hAnsiTheme="majorHAnsi" w:cstheme="majorBidi"/>
          <w:sz w:val="23"/>
          <w:szCs w:val="23"/>
        </w:rPr>
        <w:t xml:space="preserve"> short </w:t>
      </w:r>
      <w:r w:rsidR="00666323" w:rsidRPr="6A3610E4">
        <w:rPr>
          <w:rFonts w:asciiTheme="majorHAnsi" w:eastAsiaTheme="majorEastAsia" w:hAnsiTheme="majorHAnsi" w:cstheme="majorBidi"/>
          <w:sz w:val="23"/>
          <w:szCs w:val="23"/>
        </w:rPr>
        <w:t>of four</w:t>
      </w:r>
      <w:r w:rsidR="00F00E3D" w:rsidRPr="6A3610E4">
        <w:rPr>
          <w:rFonts w:asciiTheme="majorHAnsi" w:eastAsiaTheme="majorEastAsia" w:hAnsiTheme="majorHAnsi" w:cstheme="majorBidi"/>
          <w:sz w:val="23"/>
          <w:szCs w:val="23"/>
        </w:rPr>
        <w:t>-year-old kinder spaces, multipurpose community rooms</w:t>
      </w:r>
      <w:r w:rsidR="00666323" w:rsidRPr="6A3610E4">
        <w:rPr>
          <w:rFonts w:asciiTheme="majorHAnsi" w:eastAsiaTheme="majorEastAsia" w:hAnsiTheme="majorHAnsi" w:cstheme="majorBidi"/>
          <w:sz w:val="23"/>
          <w:szCs w:val="23"/>
        </w:rPr>
        <w:t>,</w:t>
      </w:r>
      <w:r w:rsidR="00F00E3D" w:rsidRPr="6A3610E4">
        <w:rPr>
          <w:rFonts w:asciiTheme="majorHAnsi" w:eastAsiaTheme="majorEastAsia" w:hAnsiTheme="majorHAnsi" w:cstheme="majorBidi"/>
          <w:sz w:val="23"/>
          <w:szCs w:val="23"/>
        </w:rPr>
        <w:t xml:space="preserve"> indoor sports facilities, netball courts, occasional care places, </w:t>
      </w:r>
      <w:r w:rsidR="00666323" w:rsidRPr="6A3610E4">
        <w:rPr>
          <w:rFonts w:asciiTheme="majorHAnsi" w:eastAsiaTheme="majorEastAsia" w:hAnsiTheme="majorHAnsi" w:cstheme="majorBidi"/>
          <w:sz w:val="23"/>
          <w:szCs w:val="23"/>
        </w:rPr>
        <w:t xml:space="preserve">a </w:t>
      </w:r>
      <w:r w:rsidR="00F00E3D" w:rsidRPr="6A3610E4">
        <w:rPr>
          <w:rFonts w:asciiTheme="majorHAnsi" w:eastAsiaTheme="majorEastAsia" w:hAnsiTheme="majorHAnsi" w:cstheme="majorBidi"/>
          <w:sz w:val="23"/>
          <w:szCs w:val="23"/>
        </w:rPr>
        <w:t>senior citizens</w:t>
      </w:r>
      <w:r w:rsidR="00666323" w:rsidRPr="6A3610E4">
        <w:rPr>
          <w:rFonts w:asciiTheme="majorHAnsi" w:eastAsiaTheme="majorEastAsia" w:hAnsiTheme="majorHAnsi" w:cstheme="majorBidi"/>
          <w:sz w:val="23"/>
          <w:szCs w:val="23"/>
        </w:rPr>
        <w:t>’</w:t>
      </w:r>
      <w:r w:rsidR="00F00E3D" w:rsidRPr="6A3610E4">
        <w:rPr>
          <w:rFonts w:asciiTheme="majorHAnsi" w:eastAsiaTheme="majorEastAsia" w:hAnsiTheme="majorHAnsi" w:cstheme="majorBidi"/>
          <w:sz w:val="23"/>
          <w:szCs w:val="23"/>
        </w:rPr>
        <w:t xml:space="preserve"> centre, BMX park</w:t>
      </w:r>
      <w:r w:rsidR="00666323" w:rsidRPr="6A3610E4">
        <w:rPr>
          <w:rFonts w:asciiTheme="majorHAnsi" w:eastAsiaTheme="majorEastAsia" w:hAnsiTheme="majorHAnsi" w:cstheme="majorBidi"/>
          <w:sz w:val="23"/>
          <w:szCs w:val="23"/>
        </w:rPr>
        <w:t>,</w:t>
      </w:r>
      <w:r w:rsidR="00F00E3D" w:rsidRPr="6A3610E4">
        <w:rPr>
          <w:rFonts w:asciiTheme="majorHAnsi" w:eastAsiaTheme="majorEastAsia" w:hAnsiTheme="majorHAnsi" w:cstheme="majorBidi"/>
          <w:sz w:val="23"/>
          <w:szCs w:val="23"/>
        </w:rPr>
        <w:t xml:space="preserve"> and facilities for soccer, tennis</w:t>
      </w:r>
      <w:r w:rsidR="00666323" w:rsidRPr="6A3610E4">
        <w:rPr>
          <w:rFonts w:asciiTheme="majorHAnsi" w:eastAsiaTheme="majorEastAsia" w:hAnsiTheme="majorHAnsi" w:cstheme="majorBidi"/>
          <w:sz w:val="23"/>
          <w:szCs w:val="23"/>
        </w:rPr>
        <w:t>,</w:t>
      </w:r>
      <w:r w:rsidR="00F00E3D" w:rsidRPr="6A3610E4">
        <w:rPr>
          <w:rFonts w:asciiTheme="majorHAnsi" w:eastAsiaTheme="majorEastAsia" w:hAnsiTheme="majorHAnsi" w:cstheme="majorBidi"/>
          <w:sz w:val="23"/>
          <w:szCs w:val="23"/>
        </w:rPr>
        <w:t xml:space="preserve"> and you</w:t>
      </w:r>
      <w:r w:rsidR="00666323" w:rsidRPr="6A3610E4">
        <w:rPr>
          <w:rFonts w:asciiTheme="majorHAnsi" w:eastAsiaTheme="majorEastAsia" w:hAnsiTheme="majorHAnsi" w:cstheme="majorBidi"/>
          <w:sz w:val="23"/>
          <w:szCs w:val="23"/>
        </w:rPr>
        <w:t>ng people</w:t>
      </w:r>
      <w:r w:rsidR="00F00E3D" w:rsidRPr="6A3610E4">
        <w:rPr>
          <w:rFonts w:asciiTheme="majorHAnsi" w:eastAsiaTheme="majorEastAsia" w:hAnsiTheme="majorHAnsi" w:cstheme="majorBidi"/>
          <w:sz w:val="23"/>
          <w:szCs w:val="23"/>
        </w:rPr>
        <w:t>.</w:t>
      </w:r>
    </w:p>
    <w:p w14:paraId="61A5C051" w14:textId="31EFC3BC" w:rsidR="00F00E3D" w:rsidRPr="001025CC" w:rsidRDefault="00F00E3D" w:rsidP="001025CC">
      <w:pPr>
        <w:spacing w:line="276" w:lineRule="auto"/>
        <w:rPr>
          <w:rFonts w:asciiTheme="majorHAnsi" w:eastAsiaTheme="majorEastAsia" w:hAnsiTheme="majorHAnsi" w:cstheme="majorBidi"/>
          <w:color w:val="000000" w:themeColor="text1"/>
          <w:sz w:val="23"/>
          <w:szCs w:val="23"/>
        </w:rPr>
      </w:pPr>
      <w:r w:rsidRPr="00E91887">
        <w:rPr>
          <w:rFonts w:asciiTheme="majorHAnsi" w:eastAsiaTheme="majorEastAsia" w:hAnsiTheme="majorHAnsi" w:cstheme="majorBidi"/>
          <w:sz w:val="23"/>
          <w:szCs w:val="23"/>
        </w:rPr>
        <w:t xml:space="preserve">While kinder and occasional care may be available in adjacent areas, there </w:t>
      </w:r>
      <w:r w:rsidR="001D2C19">
        <w:rPr>
          <w:rFonts w:asciiTheme="majorHAnsi" w:eastAsiaTheme="majorEastAsia" w:hAnsiTheme="majorHAnsi" w:cstheme="majorBidi"/>
          <w:sz w:val="23"/>
          <w:szCs w:val="23"/>
        </w:rPr>
        <w:t>is still an evident</w:t>
      </w:r>
      <w:r w:rsidRPr="00E91887">
        <w:rPr>
          <w:rFonts w:asciiTheme="majorHAnsi" w:eastAsiaTheme="majorEastAsia" w:hAnsiTheme="majorHAnsi" w:cstheme="majorBidi"/>
          <w:sz w:val="23"/>
          <w:szCs w:val="23"/>
        </w:rPr>
        <w:t xml:space="preserve"> </w:t>
      </w:r>
      <w:r w:rsidR="0007648F">
        <w:rPr>
          <w:rFonts w:asciiTheme="majorHAnsi" w:eastAsiaTheme="majorEastAsia" w:hAnsiTheme="majorHAnsi" w:cstheme="majorBidi"/>
          <w:sz w:val="23"/>
          <w:szCs w:val="23"/>
        </w:rPr>
        <w:t xml:space="preserve">local </w:t>
      </w:r>
      <w:r w:rsidRPr="00E91887">
        <w:rPr>
          <w:rFonts w:asciiTheme="majorHAnsi" w:eastAsiaTheme="majorEastAsia" w:hAnsiTheme="majorHAnsi" w:cstheme="majorBidi"/>
          <w:sz w:val="23"/>
          <w:szCs w:val="23"/>
        </w:rPr>
        <w:t>shortage.</w:t>
      </w:r>
      <w:r w:rsidR="001D2C19">
        <w:rPr>
          <w:rFonts w:asciiTheme="majorHAnsi" w:eastAsiaTheme="majorEastAsia" w:hAnsiTheme="majorHAnsi" w:cstheme="majorBidi"/>
          <w:sz w:val="23"/>
          <w:szCs w:val="23"/>
        </w:rPr>
        <w:t xml:space="preserve"> </w:t>
      </w:r>
      <w:r w:rsidR="00364087">
        <w:rPr>
          <w:rFonts w:asciiTheme="majorHAnsi" w:eastAsiaTheme="majorEastAsia" w:hAnsiTheme="majorHAnsi" w:cstheme="majorBidi"/>
          <w:sz w:val="23"/>
          <w:szCs w:val="23"/>
        </w:rPr>
        <w:t xml:space="preserve">Given the mobility challenges </w:t>
      </w:r>
      <w:r w:rsidR="00FE4C59">
        <w:rPr>
          <w:rFonts w:asciiTheme="majorHAnsi" w:eastAsiaTheme="majorEastAsia" w:hAnsiTheme="majorHAnsi" w:cstheme="majorBidi"/>
          <w:sz w:val="23"/>
          <w:szCs w:val="23"/>
        </w:rPr>
        <w:t>these communities face</w:t>
      </w:r>
      <w:r w:rsidR="00364087">
        <w:rPr>
          <w:rFonts w:asciiTheme="majorHAnsi" w:eastAsiaTheme="majorEastAsia" w:hAnsiTheme="majorHAnsi" w:cstheme="majorBidi"/>
          <w:sz w:val="23"/>
          <w:szCs w:val="23"/>
        </w:rPr>
        <w:t>, having these early years services located within the</w:t>
      </w:r>
      <w:r w:rsidR="009A700A">
        <w:rPr>
          <w:rFonts w:asciiTheme="majorHAnsi" w:eastAsiaTheme="majorEastAsia" w:hAnsiTheme="majorHAnsi" w:cstheme="majorBidi"/>
          <w:sz w:val="23"/>
          <w:szCs w:val="23"/>
        </w:rPr>
        <w:t>se</w:t>
      </w:r>
      <w:r w:rsidR="00364087">
        <w:rPr>
          <w:rFonts w:asciiTheme="majorHAnsi" w:eastAsiaTheme="majorEastAsia" w:hAnsiTheme="majorHAnsi" w:cstheme="majorBidi"/>
          <w:sz w:val="23"/>
          <w:szCs w:val="23"/>
        </w:rPr>
        <w:t xml:space="preserve"> actual </w:t>
      </w:r>
      <w:r w:rsidR="009A700A">
        <w:rPr>
          <w:rFonts w:asciiTheme="majorHAnsi" w:eastAsiaTheme="majorEastAsia" w:hAnsiTheme="majorHAnsi" w:cstheme="majorBidi"/>
          <w:sz w:val="23"/>
          <w:szCs w:val="23"/>
        </w:rPr>
        <w:t>suburbs</w:t>
      </w:r>
      <w:r w:rsidR="00364087">
        <w:rPr>
          <w:rFonts w:asciiTheme="majorHAnsi" w:eastAsiaTheme="majorEastAsia" w:hAnsiTheme="majorHAnsi" w:cstheme="majorBidi"/>
          <w:sz w:val="23"/>
          <w:szCs w:val="23"/>
        </w:rPr>
        <w:t xml:space="preserve"> seems important.</w:t>
      </w:r>
      <w:r w:rsidR="00364087" w:rsidRPr="00364087">
        <w:rPr>
          <w:rFonts w:asciiTheme="majorHAnsi" w:eastAsiaTheme="majorEastAsia" w:hAnsiTheme="majorHAnsi" w:cstheme="majorHAnsi"/>
          <w:sz w:val="23"/>
          <w:szCs w:val="23"/>
        </w:rPr>
        <w:t xml:space="preserve"> </w:t>
      </w:r>
      <w:r w:rsidR="00364087" w:rsidRPr="00E91887">
        <w:rPr>
          <w:rFonts w:asciiTheme="majorHAnsi" w:eastAsiaTheme="majorEastAsia" w:hAnsiTheme="majorHAnsi" w:cstheme="majorHAnsi"/>
          <w:sz w:val="23"/>
          <w:szCs w:val="23"/>
        </w:rPr>
        <w:t xml:space="preserve">Dedicated disability and Aboriginal access and inclusion programs are also needed in </w:t>
      </w:r>
      <w:r w:rsidR="00364087">
        <w:rPr>
          <w:rFonts w:asciiTheme="majorHAnsi" w:eastAsiaTheme="majorEastAsia" w:hAnsiTheme="majorHAnsi" w:cstheme="majorHAnsi"/>
          <w:sz w:val="23"/>
          <w:szCs w:val="23"/>
        </w:rPr>
        <w:t>the three localities</w:t>
      </w:r>
      <w:r w:rsidR="00364087" w:rsidRPr="00E91887">
        <w:rPr>
          <w:rFonts w:asciiTheme="majorHAnsi" w:eastAsiaTheme="majorEastAsia" w:hAnsiTheme="majorHAnsi" w:cstheme="majorHAnsi"/>
          <w:sz w:val="23"/>
          <w:szCs w:val="23"/>
        </w:rPr>
        <w:t>.</w:t>
      </w:r>
      <w:r w:rsidR="00364087">
        <w:rPr>
          <w:rFonts w:asciiTheme="majorHAnsi" w:eastAsiaTheme="majorEastAsia" w:hAnsiTheme="majorHAnsi" w:cstheme="majorHAnsi"/>
          <w:sz w:val="23"/>
          <w:szCs w:val="23"/>
        </w:rPr>
        <w:t xml:space="preserve"> </w:t>
      </w:r>
      <w:r w:rsidRPr="00E91887">
        <w:rPr>
          <w:rFonts w:asciiTheme="majorHAnsi" w:eastAsiaTheme="majorEastAsia" w:hAnsiTheme="majorHAnsi" w:cstheme="majorHAnsi"/>
          <w:sz w:val="23"/>
          <w:szCs w:val="23"/>
        </w:rPr>
        <w:t xml:space="preserve">The </w:t>
      </w:r>
      <w:r w:rsidRPr="00E91887">
        <w:rPr>
          <w:rFonts w:asciiTheme="majorHAnsi" w:eastAsiaTheme="majorEastAsia" w:hAnsiTheme="majorHAnsi" w:cstheme="majorHAnsi"/>
          <w:i/>
          <w:iCs/>
          <w:sz w:val="23"/>
          <w:szCs w:val="23"/>
        </w:rPr>
        <w:t>Corio Norlane Structure Plan</w:t>
      </w:r>
      <w:r w:rsidRPr="00E91887">
        <w:rPr>
          <w:rFonts w:asciiTheme="majorHAnsi" w:eastAsiaTheme="majorEastAsia" w:hAnsiTheme="majorHAnsi" w:cstheme="majorHAnsi"/>
          <w:sz w:val="23"/>
          <w:szCs w:val="23"/>
        </w:rPr>
        <w:t xml:space="preserve"> note</w:t>
      </w:r>
      <w:r w:rsidR="00A21D0F">
        <w:rPr>
          <w:rFonts w:asciiTheme="majorHAnsi" w:eastAsiaTheme="majorEastAsia" w:hAnsiTheme="majorHAnsi" w:cstheme="majorHAnsi"/>
          <w:sz w:val="23"/>
          <w:szCs w:val="23"/>
        </w:rPr>
        <w:t>s</w:t>
      </w:r>
      <w:r w:rsidRPr="00E91887">
        <w:rPr>
          <w:rFonts w:asciiTheme="majorHAnsi" w:eastAsiaTheme="majorEastAsia" w:hAnsiTheme="majorHAnsi" w:cstheme="majorHAnsi"/>
          <w:sz w:val="23"/>
          <w:szCs w:val="23"/>
        </w:rPr>
        <w:t>:</w:t>
      </w:r>
    </w:p>
    <w:p w14:paraId="2D09D87D" w14:textId="77777777" w:rsidR="00A21D0F" w:rsidRDefault="00F00E3D" w:rsidP="00364087">
      <w:pPr>
        <w:spacing w:line="257" w:lineRule="auto"/>
        <w:ind w:left="720"/>
        <w:rPr>
          <w:rFonts w:asciiTheme="majorHAnsi" w:eastAsiaTheme="majorEastAsia" w:hAnsiTheme="majorHAnsi" w:cstheme="majorHAnsi"/>
          <w:sz w:val="23"/>
          <w:szCs w:val="23"/>
        </w:rPr>
      </w:pPr>
      <w:r w:rsidRPr="00E91887">
        <w:rPr>
          <w:rFonts w:asciiTheme="majorHAnsi" w:eastAsiaTheme="majorEastAsia" w:hAnsiTheme="majorHAnsi" w:cstheme="majorHAnsi"/>
          <w:sz w:val="23"/>
          <w:szCs w:val="23"/>
        </w:rPr>
        <w:t>Current service provision has both gaps and duplications, and the infrastructure is often ageing or insufficient. Access to services is compromised by a lack of public transport and the absence of outreach models.</w:t>
      </w:r>
    </w:p>
    <w:p w14:paraId="2ECFDA43" w14:textId="345337A7" w:rsidR="00F00E3D" w:rsidRPr="00E91887" w:rsidRDefault="00F00E3D" w:rsidP="00A21D0F">
      <w:pPr>
        <w:spacing w:line="257" w:lineRule="auto"/>
        <w:rPr>
          <w:rFonts w:asciiTheme="majorHAnsi" w:eastAsiaTheme="majorEastAsia" w:hAnsiTheme="majorHAnsi" w:cstheme="majorHAnsi"/>
          <w:sz w:val="23"/>
          <w:szCs w:val="23"/>
        </w:rPr>
      </w:pPr>
      <w:r w:rsidRPr="00E91887">
        <w:rPr>
          <w:rFonts w:asciiTheme="majorHAnsi" w:eastAsiaTheme="majorEastAsia" w:hAnsiTheme="majorHAnsi" w:cstheme="majorHAnsi"/>
          <w:sz w:val="23"/>
          <w:szCs w:val="23"/>
        </w:rPr>
        <w:t xml:space="preserve">The </w:t>
      </w:r>
      <w:r w:rsidR="004734F0">
        <w:rPr>
          <w:rFonts w:asciiTheme="majorHAnsi" w:eastAsiaTheme="majorEastAsia" w:hAnsiTheme="majorHAnsi" w:cstheme="majorHAnsi"/>
          <w:sz w:val="23"/>
          <w:szCs w:val="23"/>
        </w:rPr>
        <w:t>plan</w:t>
      </w:r>
      <w:r w:rsidRPr="00E91887">
        <w:rPr>
          <w:rFonts w:asciiTheme="majorHAnsi" w:eastAsiaTheme="majorEastAsia" w:hAnsiTheme="majorHAnsi" w:cstheme="majorHAnsi"/>
          <w:sz w:val="23"/>
          <w:szCs w:val="23"/>
        </w:rPr>
        <w:t xml:space="preserve"> recommend</w:t>
      </w:r>
      <w:r w:rsidR="00CD1A88">
        <w:rPr>
          <w:rFonts w:asciiTheme="majorHAnsi" w:eastAsiaTheme="majorEastAsia" w:hAnsiTheme="majorHAnsi" w:cstheme="majorHAnsi"/>
          <w:sz w:val="23"/>
          <w:szCs w:val="23"/>
        </w:rPr>
        <w:t>s</w:t>
      </w:r>
      <w:r w:rsidRPr="00E91887">
        <w:rPr>
          <w:rFonts w:asciiTheme="majorHAnsi" w:eastAsiaTheme="majorEastAsia" w:hAnsiTheme="majorHAnsi" w:cstheme="majorHAnsi"/>
          <w:sz w:val="23"/>
          <w:szCs w:val="23"/>
        </w:rPr>
        <w:t xml:space="preserve"> the development of a Corio-Norlane Social Infrastructure Plan</w:t>
      </w:r>
      <w:r w:rsidR="003A5578">
        <w:rPr>
          <w:rFonts w:asciiTheme="majorHAnsi" w:eastAsiaTheme="majorEastAsia" w:hAnsiTheme="majorHAnsi" w:cstheme="majorHAnsi"/>
          <w:sz w:val="23"/>
          <w:szCs w:val="23"/>
        </w:rPr>
        <w:t>,</w:t>
      </w:r>
      <w:r w:rsidRPr="00E91887">
        <w:rPr>
          <w:rFonts w:asciiTheme="majorHAnsi" w:eastAsiaTheme="majorEastAsia" w:hAnsiTheme="majorHAnsi" w:cstheme="majorHAnsi"/>
          <w:sz w:val="23"/>
          <w:szCs w:val="23"/>
        </w:rPr>
        <w:t xml:space="preserve"> which would include an audit of existing private, public health</w:t>
      </w:r>
      <w:r w:rsidR="003A5578">
        <w:rPr>
          <w:rFonts w:asciiTheme="majorHAnsi" w:eastAsiaTheme="majorEastAsia" w:hAnsiTheme="majorHAnsi" w:cstheme="majorHAnsi"/>
          <w:sz w:val="23"/>
          <w:szCs w:val="23"/>
        </w:rPr>
        <w:t>,</w:t>
      </w:r>
      <w:r w:rsidRPr="00E91887">
        <w:rPr>
          <w:rFonts w:asciiTheme="majorHAnsi" w:eastAsiaTheme="majorEastAsia" w:hAnsiTheme="majorHAnsi" w:cstheme="majorHAnsi"/>
          <w:sz w:val="23"/>
          <w:szCs w:val="23"/>
        </w:rPr>
        <w:t xml:space="preserve"> and community services</w:t>
      </w:r>
      <w:r w:rsidR="003A5578">
        <w:rPr>
          <w:rFonts w:asciiTheme="majorHAnsi" w:eastAsiaTheme="majorEastAsia" w:hAnsiTheme="majorHAnsi" w:cstheme="majorHAnsi"/>
          <w:sz w:val="23"/>
          <w:szCs w:val="23"/>
        </w:rPr>
        <w:t>,</w:t>
      </w:r>
      <w:r w:rsidRPr="00E91887">
        <w:rPr>
          <w:rFonts w:asciiTheme="majorHAnsi" w:eastAsiaTheme="majorEastAsia" w:hAnsiTheme="majorHAnsi" w:cstheme="majorHAnsi"/>
          <w:sz w:val="23"/>
          <w:szCs w:val="23"/>
        </w:rPr>
        <w:t xml:space="preserve"> and map these against demand </w:t>
      </w:r>
      <w:r w:rsidR="000C7939">
        <w:rPr>
          <w:rFonts w:asciiTheme="majorHAnsi" w:eastAsiaTheme="majorEastAsia" w:hAnsiTheme="majorHAnsi" w:cstheme="majorHAnsi"/>
          <w:sz w:val="23"/>
          <w:szCs w:val="23"/>
        </w:rPr>
        <w:t xml:space="preserve">and need </w:t>
      </w:r>
      <w:r w:rsidRPr="00E91887">
        <w:rPr>
          <w:rFonts w:asciiTheme="majorHAnsi" w:eastAsiaTheme="majorEastAsia" w:hAnsiTheme="majorHAnsi" w:cstheme="majorHAnsi"/>
          <w:noProof/>
          <w:sz w:val="23"/>
          <w:szCs w:val="23"/>
        </w:rPr>
        <w:t>(</w:t>
      </w:r>
      <w:r w:rsidR="001B7DDF">
        <w:rPr>
          <w:rFonts w:asciiTheme="majorHAnsi" w:eastAsiaTheme="majorEastAsia" w:hAnsiTheme="majorHAnsi" w:cstheme="majorHAnsi"/>
          <w:noProof/>
          <w:sz w:val="23"/>
          <w:szCs w:val="23"/>
        </w:rPr>
        <w:t>CoGG</w:t>
      </w:r>
      <w:r w:rsidRPr="00E91887">
        <w:rPr>
          <w:rFonts w:asciiTheme="majorHAnsi" w:eastAsiaTheme="majorEastAsia" w:hAnsiTheme="majorHAnsi" w:cstheme="majorHAnsi"/>
          <w:noProof/>
          <w:sz w:val="23"/>
          <w:szCs w:val="23"/>
        </w:rPr>
        <w:t xml:space="preserve"> Department of Planning and Community Development, 2012, p. </w:t>
      </w:r>
      <w:r w:rsidR="009A700A">
        <w:rPr>
          <w:rFonts w:asciiTheme="majorHAnsi" w:eastAsiaTheme="majorEastAsia" w:hAnsiTheme="majorHAnsi" w:cstheme="majorHAnsi"/>
          <w:noProof/>
          <w:sz w:val="23"/>
          <w:szCs w:val="23"/>
        </w:rPr>
        <w:t>30</w:t>
      </w:r>
      <w:r w:rsidR="003A5578">
        <w:rPr>
          <w:rFonts w:asciiTheme="majorHAnsi" w:eastAsiaTheme="majorEastAsia" w:hAnsiTheme="majorHAnsi" w:cstheme="majorHAnsi"/>
          <w:noProof/>
          <w:sz w:val="23"/>
          <w:szCs w:val="23"/>
        </w:rPr>
        <w:t xml:space="preserve">, </w:t>
      </w:r>
      <w:r w:rsidRPr="00E91887">
        <w:rPr>
          <w:rFonts w:asciiTheme="majorHAnsi" w:eastAsiaTheme="majorEastAsia" w:hAnsiTheme="majorHAnsi" w:cstheme="majorHAnsi"/>
          <w:noProof/>
          <w:sz w:val="23"/>
          <w:szCs w:val="23"/>
        </w:rPr>
        <w:t>31</w:t>
      </w:r>
      <w:r w:rsidRPr="00E91887">
        <w:rPr>
          <w:rFonts w:asciiTheme="majorHAnsi" w:eastAsiaTheme="majorEastAsia" w:hAnsiTheme="majorHAnsi" w:cstheme="majorHAnsi"/>
          <w:sz w:val="23"/>
          <w:szCs w:val="23"/>
        </w:rPr>
        <w:t xml:space="preserve">). </w:t>
      </w:r>
    </w:p>
    <w:p w14:paraId="76F51953" w14:textId="221FDDEA" w:rsidR="00F00E3D" w:rsidRPr="00E91887" w:rsidRDefault="004734F0" w:rsidP="009B2FA7">
      <w:pPr>
        <w:spacing w:line="257" w:lineRule="auto"/>
        <w:rPr>
          <w:rFonts w:asciiTheme="majorHAnsi" w:eastAsiaTheme="majorEastAsia" w:hAnsiTheme="majorHAnsi" w:cstheme="majorBidi"/>
          <w:sz w:val="23"/>
          <w:szCs w:val="23"/>
        </w:rPr>
      </w:pPr>
      <w:r>
        <w:rPr>
          <w:rFonts w:asciiTheme="majorHAnsi" w:eastAsiaTheme="majorEastAsia" w:hAnsiTheme="majorHAnsi" w:cstheme="majorBidi"/>
          <w:sz w:val="23"/>
          <w:szCs w:val="23"/>
        </w:rPr>
        <w:t>Closer examination thus</w:t>
      </w:r>
      <w:r w:rsidR="00F00E3D" w:rsidRPr="00E91887">
        <w:rPr>
          <w:rFonts w:asciiTheme="majorHAnsi" w:eastAsiaTheme="majorEastAsia" w:hAnsiTheme="majorHAnsi" w:cstheme="majorBidi"/>
          <w:sz w:val="23"/>
          <w:szCs w:val="23"/>
        </w:rPr>
        <w:t xml:space="preserve"> </w:t>
      </w:r>
      <w:r>
        <w:rPr>
          <w:rFonts w:asciiTheme="majorHAnsi" w:eastAsiaTheme="majorEastAsia" w:hAnsiTheme="majorHAnsi" w:cstheme="majorBidi"/>
          <w:sz w:val="23"/>
          <w:szCs w:val="23"/>
        </w:rPr>
        <w:t>points to</w:t>
      </w:r>
      <w:r w:rsidR="00F00E3D" w:rsidRPr="00E91887">
        <w:rPr>
          <w:rFonts w:asciiTheme="majorHAnsi" w:eastAsiaTheme="majorEastAsia" w:hAnsiTheme="majorHAnsi" w:cstheme="majorBidi"/>
          <w:sz w:val="23"/>
          <w:szCs w:val="23"/>
        </w:rPr>
        <w:t xml:space="preserve"> significant gaps in provision of basic social infrastructure</w:t>
      </w:r>
      <w:r>
        <w:rPr>
          <w:rFonts w:asciiTheme="majorHAnsi" w:eastAsiaTheme="majorEastAsia" w:hAnsiTheme="majorHAnsi" w:cstheme="majorBidi"/>
          <w:sz w:val="23"/>
          <w:szCs w:val="23"/>
        </w:rPr>
        <w:t xml:space="preserve">, </w:t>
      </w:r>
      <w:r w:rsidR="00F00E3D" w:rsidRPr="00E91887">
        <w:rPr>
          <w:rFonts w:asciiTheme="majorHAnsi" w:eastAsiaTheme="majorEastAsia" w:hAnsiTheme="majorHAnsi" w:cstheme="majorBidi"/>
          <w:sz w:val="23"/>
          <w:szCs w:val="23"/>
        </w:rPr>
        <w:t>particularly in Whittington</w:t>
      </w:r>
      <w:r>
        <w:rPr>
          <w:rFonts w:asciiTheme="majorHAnsi" w:eastAsiaTheme="majorEastAsia" w:hAnsiTheme="majorHAnsi" w:cstheme="majorBidi"/>
          <w:sz w:val="23"/>
          <w:szCs w:val="23"/>
        </w:rPr>
        <w:t>,</w:t>
      </w:r>
      <w:r w:rsidR="00F00E3D" w:rsidRPr="00E91887">
        <w:rPr>
          <w:rFonts w:asciiTheme="majorHAnsi" w:eastAsiaTheme="majorEastAsia" w:hAnsiTheme="majorHAnsi" w:cstheme="majorBidi"/>
          <w:sz w:val="23"/>
          <w:szCs w:val="23"/>
        </w:rPr>
        <w:t xml:space="preserve"> but also Corio</w:t>
      </w:r>
      <w:r>
        <w:rPr>
          <w:rFonts w:asciiTheme="majorHAnsi" w:eastAsiaTheme="majorEastAsia" w:hAnsiTheme="majorHAnsi" w:cstheme="majorBidi"/>
          <w:sz w:val="23"/>
          <w:szCs w:val="23"/>
        </w:rPr>
        <w:t xml:space="preserve"> and </w:t>
      </w:r>
      <w:r w:rsidR="00F00E3D" w:rsidRPr="00E91887">
        <w:rPr>
          <w:rFonts w:asciiTheme="majorHAnsi" w:eastAsiaTheme="majorEastAsia" w:hAnsiTheme="majorHAnsi" w:cstheme="majorBidi"/>
          <w:sz w:val="23"/>
          <w:szCs w:val="23"/>
        </w:rPr>
        <w:t>Norlane</w:t>
      </w:r>
      <w:r>
        <w:rPr>
          <w:rFonts w:asciiTheme="majorHAnsi" w:eastAsiaTheme="majorEastAsia" w:hAnsiTheme="majorHAnsi" w:cstheme="majorBidi"/>
          <w:sz w:val="23"/>
          <w:szCs w:val="23"/>
        </w:rPr>
        <w:t>.</w:t>
      </w:r>
      <w:r w:rsidR="00F00E3D" w:rsidRPr="00E91887">
        <w:rPr>
          <w:rFonts w:asciiTheme="majorHAnsi" w:eastAsiaTheme="majorEastAsia" w:hAnsiTheme="majorHAnsi" w:cstheme="majorBidi"/>
          <w:sz w:val="23"/>
          <w:szCs w:val="23"/>
        </w:rPr>
        <w:t xml:space="preserve"> </w:t>
      </w:r>
      <w:r w:rsidR="00863092">
        <w:rPr>
          <w:rFonts w:asciiTheme="majorHAnsi" w:eastAsiaTheme="majorEastAsia" w:hAnsiTheme="majorHAnsi" w:cstheme="majorBidi"/>
          <w:sz w:val="23"/>
          <w:szCs w:val="23"/>
        </w:rPr>
        <w:t>Given</w:t>
      </w:r>
      <w:r>
        <w:rPr>
          <w:rFonts w:asciiTheme="majorHAnsi" w:eastAsiaTheme="majorEastAsia" w:hAnsiTheme="majorHAnsi" w:cstheme="majorBidi"/>
          <w:sz w:val="23"/>
          <w:szCs w:val="23"/>
        </w:rPr>
        <w:t xml:space="preserve"> the significant levels of disadvantage in these </w:t>
      </w:r>
      <w:r w:rsidR="00863092">
        <w:rPr>
          <w:rFonts w:asciiTheme="majorHAnsi" w:eastAsiaTheme="majorEastAsia" w:hAnsiTheme="majorHAnsi" w:cstheme="majorBidi"/>
          <w:sz w:val="23"/>
          <w:szCs w:val="23"/>
        </w:rPr>
        <w:t>suburbs</w:t>
      </w:r>
      <w:r>
        <w:rPr>
          <w:rFonts w:asciiTheme="majorHAnsi" w:eastAsiaTheme="majorEastAsia" w:hAnsiTheme="majorHAnsi" w:cstheme="majorBidi"/>
          <w:sz w:val="23"/>
          <w:szCs w:val="23"/>
        </w:rPr>
        <w:t xml:space="preserve">, </w:t>
      </w:r>
      <w:r w:rsidR="001B7DDF">
        <w:rPr>
          <w:rFonts w:asciiTheme="majorHAnsi" w:eastAsiaTheme="majorEastAsia" w:hAnsiTheme="majorHAnsi" w:cstheme="majorBidi"/>
          <w:sz w:val="23"/>
          <w:szCs w:val="23"/>
        </w:rPr>
        <w:t>CoGG</w:t>
      </w:r>
      <w:r w:rsidR="00F00E3D" w:rsidRPr="00E91887">
        <w:rPr>
          <w:rFonts w:asciiTheme="majorHAnsi" w:eastAsiaTheme="majorEastAsia" w:hAnsiTheme="majorHAnsi" w:cstheme="majorBidi"/>
          <w:sz w:val="23"/>
          <w:szCs w:val="23"/>
        </w:rPr>
        <w:t xml:space="preserve"> should systematically investigate and prioritise</w:t>
      </w:r>
      <w:r w:rsidR="00F9366E">
        <w:rPr>
          <w:rFonts w:asciiTheme="majorHAnsi" w:eastAsiaTheme="majorEastAsia" w:hAnsiTheme="majorHAnsi" w:cstheme="majorBidi"/>
          <w:sz w:val="23"/>
          <w:szCs w:val="23"/>
        </w:rPr>
        <w:t xml:space="preserve"> addressing unmet social infrastructure needs.</w:t>
      </w:r>
    </w:p>
    <w:p w14:paraId="33D96EF4" w14:textId="405CE933" w:rsidR="00F00E3D" w:rsidRPr="00E91887" w:rsidRDefault="009C6733" w:rsidP="009B2FA7">
      <w:pPr>
        <w:spacing w:line="257" w:lineRule="auto"/>
        <w:rPr>
          <w:rFonts w:asciiTheme="majorHAnsi" w:eastAsiaTheme="majorEastAsia" w:hAnsiTheme="majorHAnsi" w:cstheme="majorBidi"/>
          <w:sz w:val="23"/>
          <w:szCs w:val="23"/>
        </w:rPr>
      </w:pPr>
      <w:r>
        <w:rPr>
          <w:rFonts w:asciiTheme="majorHAnsi" w:eastAsiaTheme="majorEastAsia" w:hAnsiTheme="majorHAnsi" w:cstheme="majorBidi"/>
          <w:sz w:val="23"/>
          <w:szCs w:val="23"/>
        </w:rPr>
        <w:t>Several document express</w:t>
      </w:r>
      <w:r w:rsidR="00863092">
        <w:rPr>
          <w:rFonts w:asciiTheme="majorHAnsi" w:eastAsiaTheme="majorEastAsia" w:hAnsiTheme="majorHAnsi" w:cstheme="majorBidi"/>
          <w:sz w:val="23"/>
          <w:szCs w:val="23"/>
        </w:rPr>
        <w:t xml:space="preserve"> </w:t>
      </w:r>
      <w:r w:rsidR="00F00E3D" w:rsidRPr="00E91887">
        <w:rPr>
          <w:rFonts w:asciiTheme="majorHAnsi" w:eastAsiaTheme="majorEastAsia" w:hAnsiTheme="majorHAnsi" w:cstheme="majorBidi"/>
          <w:sz w:val="23"/>
          <w:szCs w:val="23"/>
        </w:rPr>
        <w:t>general and specific policy concerns around safety</w:t>
      </w:r>
      <w:r w:rsidR="00863092">
        <w:rPr>
          <w:rFonts w:asciiTheme="majorHAnsi" w:eastAsiaTheme="majorEastAsia" w:hAnsiTheme="majorHAnsi" w:cstheme="majorBidi"/>
          <w:sz w:val="23"/>
          <w:szCs w:val="23"/>
        </w:rPr>
        <w:t>,</w:t>
      </w:r>
      <w:r w:rsidR="00F00E3D" w:rsidRPr="00E91887">
        <w:rPr>
          <w:rFonts w:asciiTheme="majorHAnsi" w:eastAsiaTheme="majorEastAsia" w:hAnsiTheme="majorHAnsi" w:cstheme="majorBidi"/>
          <w:sz w:val="23"/>
          <w:szCs w:val="23"/>
        </w:rPr>
        <w:t xml:space="preserve"> </w:t>
      </w:r>
      <w:r w:rsidR="00863092">
        <w:rPr>
          <w:rFonts w:asciiTheme="majorHAnsi" w:eastAsiaTheme="majorEastAsia" w:hAnsiTheme="majorHAnsi" w:cstheme="majorBidi"/>
          <w:sz w:val="23"/>
          <w:szCs w:val="23"/>
        </w:rPr>
        <w:t>including</w:t>
      </w:r>
      <w:r w:rsidR="00F00E3D" w:rsidRPr="00E91887">
        <w:rPr>
          <w:rFonts w:asciiTheme="majorHAnsi" w:eastAsiaTheme="majorEastAsia" w:hAnsiTheme="majorHAnsi" w:cstheme="majorBidi"/>
          <w:sz w:val="23"/>
          <w:szCs w:val="23"/>
        </w:rPr>
        <w:t xml:space="preserve"> </w:t>
      </w:r>
      <w:r w:rsidR="00132F98">
        <w:rPr>
          <w:rFonts w:asciiTheme="majorHAnsi" w:eastAsiaTheme="majorEastAsia" w:hAnsiTheme="majorHAnsi" w:cstheme="majorBidi"/>
          <w:sz w:val="23"/>
          <w:szCs w:val="23"/>
        </w:rPr>
        <w:t>family</w:t>
      </w:r>
      <w:r w:rsidR="00F00E3D" w:rsidRPr="00E91887">
        <w:rPr>
          <w:rFonts w:asciiTheme="majorHAnsi" w:eastAsiaTheme="majorEastAsia" w:hAnsiTheme="majorHAnsi" w:cstheme="majorBidi"/>
          <w:sz w:val="23"/>
          <w:szCs w:val="23"/>
        </w:rPr>
        <w:t xml:space="preserve"> violence</w:t>
      </w:r>
      <w:r>
        <w:rPr>
          <w:rFonts w:asciiTheme="majorHAnsi" w:eastAsiaTheme="majorEastAsia" w:hAnsiTheme="majorHAnsi" w:cstheme="majorBidi"/>
          <w:sz w:val="23"/>
          <w:szCs w:val="23"/>
        </w:rPr>
        <w:t xml:space="preserve">. These </w:t>
      </w:r>
      <w:r w:rsidR="00132F98">
        <w:rPr>
          <w:rFonts w:asciiTheme="majorHAnsi" w:eastAsiaTheme="majorEastAsia" w:hAnsiTheme="majorHAnsi" w:cstheme="majorBidi"/>
          <w:sz w:val="23"/>
          <w:szCs w:val="23"/>
        </w:rPr>
        <w:t>includ</w:t>
      </w:r>
      <w:r>
        <w:rPr>
          <w:rFonts w:asciiTheme="majorHAnsi" w:eastAsiaTheme="majorEastAsia" w:hAnsiTheme="majorHAnsi" w:cstheme="majorBidi"/>
          <w:sz w:val="23"/>
          <w:szCs w:val="23"/>
        </w:rPr>
        <w:t>e</w:t>
      </w:r>
      <w:r w:rsidR="00132F98">
        <w:rPr>
          <w:rFonts w:asciiTheme="majorHAnsi" w:eastAsiaTheme="majorEastAsia" w:hAnsiTheme="majorHAnsi" w:cstheme="majorBidi"/>
          <w:sz w:val="23"/>
          <w:szCs w:val="23"/>
        </w:rPr>
        <w:t xml:space="preserve"> the</w:t>
      </w:r>
      <w:r w:rsidR="00863092">
        <w:rPr>
          <w:rFonts w:asciiTheme="majorHAnsi" w:eastAsiaTheme="majorEastAsia" w:hAnsiTheme="majorHAnsi" w:cstheme="majorBidi"/>
          <w:sz w:val="23"/>
          <w:szCs w:val="23"/>
        </w:rPr>
        <w:t xml:space="preserve"> </w:t>
      </w:r>
      <w:r w:rsidR="00F00E3D" w:rsidRPr="00E91887">
        <w:rPr>
          <w:rFonts w:asciiTheme="majorHAnsi" w:eastAsiaTheme="majorEastAsia" w:hAnsiTheme="majorHAnsi" w:cstheme="majorBidi"/>
          <w:i/>
          <w:sz w:val="23"/>
          <w:szCs w:val="23"/>
        </w:rPr>
        <w:t xml:space="preserve">Municipal Health and Well-being Plan </w:t>
      </w:r>
      <w:r w:rsidR="00F00E3D" w:rsidRPr="00863092">
        <w:rPr>
          <w:rFonts w:asciiTheme="majorHAnsi" w:eastAsiaTheme="majorEastAsia" w:hAnsiTheme="majorHAnsi" w:cstheme="majorBidi"/>
          <w:iCs/>
          <w:sz w:val="23"/>
          <w:szCs w:val="23"/>
        </w:rPr>
        <w:t>(</w:t>
      </w:r>
      <w:r w:rsidR="001B7DDF">
        <w:rPr>
          <w:rFonts w:asciiTheme="majorHAnsi" w:eastAsiaTheme="majorEastAsia" w:hAnsiTheme="majorHAnsi" w:cstheme="majorBidi"/>
          <w:iCs/>
          <w:sz w:val="23"/>
          <w:szCs w:val="23"/>
        </w:rPr>
        <w:t>CoGG</w:t>
      </w:r>
      <w:r w:rsidR="00F00E3D" w:rsidRPr="00863092">
        <w:rPr>
          <w:rFonts w:asciiTheme="majorHAnsi" w:eastAsiaTheme="majorEastAsia" w:hAnsiTheme="majorHAnsi" w:cstheme="majorBidi"/>
          <w:iCs/>
          <w:sz w:val="23"/>
          <w:szCs w:val="23"/>
        </w:rPr>
        <w:t>, 2018</w:t>
      </w:r>
      <w:r w:rsidR="00863092">
        <w:rPr>
          <w:rFonts w:asciiTheme="majorHAnsi" w:eastAsiaTheme="majorEastAsia" w:hAnsiTheme="majorHAnsi" w:cstheme="majorBidi"/>
          <w:iCs/>
          <w:sz w:val="23"/>
          <w:szCs w:val="23"/>
        </w:rPr>
        <w:t>–</w:t>
      </w:r>
      <w:r w:rsidR="00F00E3D" w:rsidRPr="00863092">
        <w:rPr>
          <w:rFonts w:asciiTheme="majorHAnsi" w:eastAsiaTheme="majorEastAsia" w:hAnsiTheme="majorHAnsi" w:cstheme="majorBidi"/>
          <w:iCs/>
          <w:sz w:val="23"/>
          <w:szCs w:val="23"/>
        </w:rPr>
        <w:t>2021),</w:t>
      </w:r>
      <w:r w:rsidR="00F00E3D" w:rsidRPr="00E91887">
        <w:rPr>
          <w:rFonts w:asciiTheme="majorHAnsi" w:eastAsiaTheme="majorEastAsia" w:hAnsiTheme="majorHAnsi" w:cstheme="majorBidi"/>
          <w:sz w:val="23"/>
          <w:szCs w:val="23"/>
        </w:rPr>
        <w:t xml:space="preserve"> the </w:t>
      </w:r>
      <w:r w:rsidR="00F00E3D" w:rsidRPr="00E91887">
        <w:rPr>
          <w:rFonts w:asciiTheme="majorHAnsi" w:eastAsiaTheme="majorEastAsia" w:hAnsiTheme="majorHAnsi" w:cstheme="majorBidi"/>
          <w:i/>
          <w:sz w:val="23"/>
          <w:szCs w:val="23"/>
        </w:rPr>
        <w:t>Council Plan</w:t>
      </w:r>
      <w:r w:rsidR="00F00E3D" w:rsidRPr="00863092">
        <w:rPr>
          <w:rFonts w:asciiTheme="majorHAnsi" w:eastAsiaTheme="majorEastAsia" w:hAnsiTheme="majorHAnsi" w:cstheme="majorBidi"/>
          <w:iCs/>
          <w:sz w:val="23"/>
          <w:szCs w:val="23"/>
        </w:rPr>
        <w:t xml:space="preserve"> (</w:t>
      </w:r>
      <w:r w:rsidR="001B7DDF">
        <w:rPr>
          <w:rFonts w:asciiTheme="majorHAnsi" w:eastAsiaTheme="majorEastAsia" w:hAnsiTheme="majorHAnsi" w:cstheme="majorBidi"/>
          <w:iCs/>
          <w:sz w:val="23"/>
          <w:szCs w:val="23"/>
        </w:rPr>
        <w:t>CoGG</w:t>
      </w:r>
      <w:r w:rsidR="00863092">
        <w:rPr>
          <w:rFonts w:asciiTheme="majorHAnsi" w:eastAsiaTheme="majorEastAsia" w:hAnsiTheme="majorHAnsi" w:cstheme="majorBidi"/>
          <w:iCs/>
          <w:sz w:val="23"/>
          <w:szCs w:val="23"/>
        </w:rPr>
        <w:t xml:space="preserve">, </w:t>
      </w:r>
      <w:r w:rsidR="00F00E3D" w:rsidRPr="00863092">
        <w:rPr>
          <w:rFonts w:asciiTheme="majorHAnsi" w:eastAsiaTheme="majorEastAsia" w:hAnsiTheme="majorHAnsi" w:cstheme="majorBidi"/>
          <w:iCs/>
          <w:sz w:val="23"/>
          <w:szCs w:val="23"/>
        </w:rPr>
        <w:t>2018</w:t>
      </w:r>
      <w:r w:rsidR="00863092" w:rsidRPr="00863092">
        <w:rPr>
          <w:rFonts w:asciiTheme="majorHAnsi" w:eastAsiaTheme="majorEastAsia" w:hAnsiTheme="majorHAnsi" w:cstheme="majorBidi"/>
          <w:iCs/>
          <w:sz w:val="23"/>
          <w:szCs w:val="23"/>
        </w:rPr>
        <w:t>–</w:t>
      </w:r>
      <w:r w:rsidR="00F00E3D" w:rsidRPr="00863092">
        <w:rPr>
          <w:rFonts w:asciiTheme="majorHAnsi" w:eastAsiaTheme="majorEastAsia" w:hAnsiTheme="majorHAnsi" w:cstheme="majorBidi"/>
          <w:iCs/>
          <w:sz w:val="23"/>
          <w:szCs w:val="23"/>
        </w:rPr>
        <w:t xml:space="preserve">2022b) </w:t>
      </w:r>
      <w:r w:rsidR="00F00E3D" w:rsidRPr="00E91887">
        <w:rPr>
          <w:rFonts w:asciiTheme="majorHAnsi" w:eastAsiaTheme="majorEastAsia" w:hAnsiTheme="majorHAnsi" w:cstheme="majorBidi"/>
          <w:sz w:val="23"/>
          <w:szCs w:val="23"/>
        </w:rPr>
        <w:t xml:space="preserve">and the dedicated </w:t>
      </w:r>
      <w:r w:rsidR="00F00E3D" w:rsidRPr="00E91887">
        <w:rPr>
          <w:rFonts w:asciiTheme="majorHAnsi" w:eastAsiaTheme="majorEastAsia" w:hAnsiTheme="majorHAnsi" w:cstheme="majorBidi"/>
          <w:i/>
          <w:sz w:val="23"/>
          <w:szCs w:val="23"/>
        </w:rPr>
        <w:t xml:space="preserve">Strategic Plan to Prevent and Address Violence against Women and Children </w:t>
      </w:r>
      <w:r w:rsidR="00F00E3D" w:rsidRPr="00863092">
        <w:rPr>
          <w:rFonts w:asciiTheme="majorHAnsi" w:eastAsiaTheme="majorEastAsia" w:hAnsiTheme="majorHAnsi" w:cstheme="majorBidi"/>
          <w:iCs/>
          <w:sz w:val="23"/>
          <w:szCs w:val="23"/>
        </w:rPr>
        <w:t>(</w:t>
      </w:r>
      <w:r w:rsidR="001B7DDF">
        <w:rPr>
          <w:rFonts w:asciiTheme="majorHAnsi" w:eastAsiaTheme="majorEastAsia" w:hAnsiTheme="majorHAnsi" w:cstheme="majorBidi"/>
          <w:iCs/>
          <w:sz w:val="23"/>
          <w:szCs w:val="23"/>
        </w:rPr>
        <w:t>CoGG</w:t>
      </w:r>
      <w:r w:rsidR="00863092" w:rsidRPr="00863092">
        <w:rPr>
          <w:rFonts w:asciiTheme="majorHAnsi" w:eastAsiaTheme="majorEastAsia" w:hAnsiTheme="majorHAnsi" w:cstheme="majorBidi"/>
          <w:iCs/>
          <w:sz w:val="23"/>
          <w:szCs w:val="23"/>
        </w:rPr>
        <w:t xml:space="preserve">, </w:t>
      </w:r>
      <w:r w:rsidR="00F00E3D" w:rsidRPr="00863092">
        <w:rPr>
          <w:rFonts w:asciiTheme="majorHAnsi" w:eastAsiaTheme="majorEastAsia" w:hAnsiTheme="majorHAnsi" w:cstheme="majorBidi"/>
          <w:iCs/>
          <w:sz w:val="23"/>
          <w:szCs w:val="23"/>
        </w:rPr>
        <w:t>2016</w:t>
      </w:r>
      <w:r w:rsidR="00863092" w:rsidRPr="00863092">
        <w:rPr>
          <w:rFonts w:asciiTheme="majorHAnsi" w:eastAsiaTheme="majorEastAsia" w:hAnsiTheme="majorHAnsi" w:cstheme="majorBidi"/>
          <w:iCs/>
          <w:sz w:val="23"/>
          <w:szCs w:val="23"/>
        </w:rPr>
        <w:t>–</w:t>
      </w:r>
      <w:r w:rsidR="00F00E3D" w:rsidRPr="00863092">
        <w:rPr>
          <w:rFonts w:asciiTheme="majorHAnsi" w:eastAsiaTheme="majorEastAsia" w:hAnsiTheme="majorHAnsi" w:cstheme="majorBidi"/>
          <w:iCs/>
          <w:sz w:val="23"/>
          <w:szCs w:val="23"/>
        </w:rPr>
        <w:t>2020)</w:t>
      </w:r>
      <w:r w:rsidR="00863092">
        <w:rPr>
          <w:rFonts w:asciiTheme="majorHAnsi" w:eastAsiaTheme="majorEastAsia" w:hAnsiTheme="majorHAnsi" w:cstheme="majorBidi"/>
          <w:sz w:val="23"/>
          <w:szCs w:val="23"/>
        </w:rPr>
        <w:t>.</w:t>
      </w:r>
      <w:r w:rsidR="00F00E3D" w:rsidRPr="00E91887">
        <w:rPr>
          <w:rFonts w:asciiTheme="majorHAnsi" w:eastAsiaTheme="majorEastAsia" w:hAnsiTheme="majorHAnsi" w:cstheme="majorBidi"/>
          <w:sz w:val="23"/>
          <w:szCs w:val="23"/>
        </w:rPr>
        <w:t xml:space="preserve"> </w:t>
      </w:r>
      <w:r>
        <w:rPr>
          <w:rFonts w:asciiTheme="majorHAnsi" w:eastAsiaTheme="majorEastAsia" w:hAnsiTheme="majorHAnsi" w:cstheme="majorBidi"/>
          <w:sz w:val="23"/>
          <w:szCs w:val="23"/>
        </w:rPr>
        <w:t>Other</w:t>
      </w:r>
      <w:r w:rsidR="00F00E3D" w:rsidRPr="00E91887">
        <w:rPr>
          <w:rFonts w:asciiTheme="majorHAnsi" w:eastAsiaTheme="majorEastAsia" w:hAnsiTheme="majorHAnsi" w:cstheme="majorBidi"/>
          <w:sz w:val="23"/>
          <w:szCs w:val="23"/>
        </w:rPr>
        <w:t xml:space="preserve"> community </w:t>
      </w:r>
      <w:r w:rsidR="00132F98">
        <w:rPr>
          <w:rFonts w:asciiTheme="majorHAnsi" w:eastAsiaTheme="majorEastAsia" w:hAnsiTheme="majorHAnsi" w:cstheme="majorBidi"/>
          <w:sz w:val="23"/>
          <w:szCs w:val="23"/>
        </w:rPr>
        <w:t>entities are also</w:t>
      </w:r>
      <w:r w:rsidR="00F00E3D" w:rsidRPr="00E91887">
        <w:rPr>
          <w:rFonts w:asciiTheme="majorHAnsi" w:eastAsiaTheme="majorEastAsia" w:hAnsiTheme="majorHAnsi" w:cstheme="majorBidi"/>
          <w:sz w:val="23"/>
          <w:szCs w:val="23"/>
        </w:rPr>
        <w:t xml:space="preserve"> working to prevent and ameliorate </w:t>
      </w:r>
      <w:r w:rsidR="00132F98">
        <w:rPr>
          <w:rFonts w:asciiTheme="majorHAnsi" w:eastAsiaTheme="majorEastAsia" w:hAnsiTheme="majorHAnsi" w:cstheme="majorBidi"/>
          <w:sz w:val="23"/>
          <w:szCs w:val="23"/>
        </w:rPr>
        <w:t>family violence</w:t>
      </w:r>
      <w:r w:rsidR="00F00E3D" w:rsidRPr="00E91887">
        <w:rPr>
          <w:rFonts w:asciiTheme="majorHAnsi" w:eastAsiaTheme="majorEastAsia" w:hAnsiTheme="majorHAnsi" w:cstheme="majorBidi"/>
          <w:sz w:val="23"/>
          <w:szCs w:val="23"/>
        </w:rPr>
        <w:t>, but the rates in Corio, Norlane</w:t>
      </w:r>
      <w:r w:rsidR="00132F98">
        <w:rPr>
          <w:rFonts w:asciiTheme="majorHAnsi" w:eastAsiaTheme="majorEastAsia" w:hAnsiTheme="majorHAnsi" w:cstheme="majorBidi"/>
          <w:sz w:val="23"/>
          <w:szCs w:val="23"/>
        </w:rPr>
        <w:t>,</w:t>
      </w:r>
      <w:r w:rsidR="00F00E3D" w:rsidRPr="00E91887">
        <w:rPr>
          <w:rFonts w:asciiTheme="majorHAnsi" w:eastAsiaTheme="majorEastAsia" w:hAnsiTheme="majorHAnsi" w:cstheme="majorBidi"/>
          <w:sz w:val="23"/>
          <w:szCs w:val="23"/>
        </w:rPr>
        <w:t xml:space="preserve"> and Whittington remain </w:t>
      </w:r>
      <w:r w:rsidR="00132F98">
        <w:rPr>
          <w:rFonts w:asciiTheme="majorHAnsi" w:eastAsiaTheme="majorEastAsia" w:hAnsiTheme="majorHAnsi" w:cstheme="majorBidi"/>
          <w:sz w:val="23"/>
          <w:szCs w:val="23"/>
        </w:rPr>
        <w:t>distressingly</w:t>
      </w:r>
      <w:r w:rsidR="00F00E3D" w:rsidRPr="00E91887">
        <w:rPr>
          <w:rFonts w:asciiTheme="majorHAnsi" w:eastAsiaTheme="majorEastAsia" w:hAnsiTheme="majorHAnsi" w:cstheme="majorBidi"/>
          <w:sz w:val="23"/>
          <w:szCs w:val="23"/>
        </w:rPr>
        <w:t xml:space="preserve"> high. </w:t>
      </w:r>
      <w:r w:rsidR="00741DE3">
        <w:rPr>
          <w:rFonts w:asciiTheme="majorHAnsi" w:eastAsiaTheme="majorEastAsia" w:hAnsiTheme="majorHAnsi" w:cstheme="majorBidi"/>
          <w:sz w:val="23"/>
          <w:szCs w:val="23"/>
        </w:rPr>
        <w:t>A</w:t>
      </w:r>
      <w:r w:rsidR="00F00E3D" w:rsidRPr="00E91887">
        <w:rPr>
          <w:rFonts w:asciiTheme="majorHAnsi" w:eastAsiaTheme="majorEastAsia" w:hAnsiTheme="majorHAnsi" w:cstheme="majorBidi"/>
          <w:sz w:val="23"/>
          <w:szCs w:val="23"/>
        </w:rPr>
        <w:t xml:space="preserve"> G21 group</w:t>
      </w:r>
      <w:r w:rsidR="00132F98">
        <w:rPr>
          <w:rFonts w:asciiTheme="majorHAnsi" w:eastAsiaTheme="majorEastAsia" w:hAnsiTheme="majorHAnsi" w:cstheme="majorBidi"/>
          <w:sz w:val="23"/>
          <w:szCs w:val="23"/>
        </w:rPr>
        <w:t xml:space="preserve"> is</w:t>
      </w:r>
      <w:r w:rsidR="00F00E3D" w:rsidRPr="00E91887">
        <w:rPr>
          <w:rFonts w:asciiTheme="majorHAnsi" w:eastAsiaTheme="majorEastAsia" w:hAnsiTheme="majorHAnsi" w:cstheme="majorBidi"/>
          <w:sz w:val="23"/>
          <w:szCs w:val="23"/>
        </w:rPr>
        <w:t xml:space="preserve"> working on a revised plan </w:t>
      </w:r>
      <w:r w:rsidR="00132F98">
        <w:rPr>
          <w:rFonts w:asciiTheme="majorHAnsi" w:eastAsiaTheme="majorEastAsia" w:hAnsiTheme="majorHAnsi" w:cstheme="majorBidi"/>
          <w:sz w:val="23"/>
          <w:szCs w:val="23"/>
        </w:rPr>
        <w:t xml:space="preserve">to address </w:t>
      </w:r>
      <w:r w:rsidR="008E29A4">
        <w:rPr>
          <w:rFonts w:asciiTheme="majorHAnsi" w:eastAsiaTheme="majorEastAsia" w:hAnsiTheme="majorHAnsi" w:cstheme="majorBidi"/>
          <w:sz w:val="23"/>
          <w:szCs w:val="23"/>
        </w:rPr>
        <w:t>family violence</w:t>
      </w:r>
      <w:r w:rsidR="00F00E3D" w:rsidRPr="00E91887">
        <w:rPr>
          <w:rFonts w:asciiTheme="majorHAnsi" w:eastAsiaTheme="majorEastAsia" w:hAnsiTheme="majorHAnsi" w:cstheme="majorBidi"/>
          <w:sz w:val="23"/>
          <w:szCs w:val="23"/>
        </w:rPr>
        <w:t xml:space="preserve"> </w:t>
      </w:r>
      <w:r w:rsidR="008E29A4">
        <w:rPr>
          <w:rFonts w:asciiTheme="majorHAnsi" w:eastAsiaTheme="majorEastAsia" w:hAnsiTheme="majorHAnsi" w:cstheme="majorBidi"/>
          <w:sz w:val="23"/>
          <w:szCs w:val="23"/>
        </w:rPr>
        <w:t>(</w:t>
      </w:r>
      <w:r w:rsidR="00F00E3D" w:rsidRPr="00E91887">
        <w:rPr>
          <w:rFonts w:asciiTheme="majorHAnsi" w:eastAsiaTheme="majorEastAsia" w:hAnsiTheme="majorHAnsi" w:cstheme="majorBidi"/>
          <w:i/>
          <w:sz w:val="23"/>
          <w:szCs w:val="23"/>
        </w:rPr>
        <w:t>Respect 2040</w:t>
      </w:r>
      <w:r w:rsidR="008E29A4">
        <w:rPr>
          <w:rFonts w:asciiTheme="majorHAnsi" w:eastAsiaTheme="majorEastAsia" w:hAnsiTheme="majorHAnsi" w:cstheme="majorBidi"/>
          <w:sz w:val="23"/>
          <w:szCs w:val="23"/>
        </w:rPr>
        <w:t>)</w:t>
      </w:r>
      <w:r w:rsidR="00741DE3">
        <w:rPr>
          <w:rFonts w:asciiTheme="majorHAnsi" w:eastAsiaTheme="majorEastAsia" w:hAnsiTheme="majorHAnsi" w:cstheme="majorBidi"/>
          <w:sz w:val="23"/>
          <w:szCs w:val="23"/>
        </w:rPr>
        <w:t>, but</w:t>
      </w:r>
      <w:r w:rsidR="00F00E3D" w:rsidRPr="00E91887">
        <w:rPr>
          <w:rFonts w:asciiTheme="majorHAnsi" w:eastAsiaTheme="majorEastAsia" w:hAnsiTheme="majorHAnsi" w:cstheme="majorBidi"/>
          <w:sz w:val="23"/>
          <w:szCs w:val="23"/>
        </w:rPr>
        <w:t xml:space="preserve"> existing policies</w:t>
      </w:r>
      <w:r w:rsidR="008E29A4">
        <w:rPr>
          <w:rFonts w:asciiTheme="majorHAnsi" w:eastAsiaTheme="majorEastAsia" w:hAnsiTheme="majorHAnsi" w:cstheme="majorBidi"/>
          <w:sz w:val="23"/>
          <w:szCs w:val="23"/>
        </w:rPr>
        <w:t>,</w:t>
      </w:r>
      <w:r w:rsidR="00F00E3D" w:rsidRPr="00E91887">
        <w:rPr>
          <w:rFonts w:asciiTheme="majorHAnsi" w:eastAsiaTheme="majorEastAsia" w:hAnsiTheme="majorHAnsi" w:cstheme="majorBidi"/>
          <w:sz w:val="23"/>
          <w:szCs w:val="23"/>
        </w:rPr>
        <w:t xml:space="preserve"> actions</w:t>
      </w:r>
      <w:r w:rsidR="008E29A4">
        <w:rPr>
          <w:rFonts w:asciiTheme="majorHAnsi" w:eastAsiaTheme="majorEastAsia" w:hAnsiTheme="majorHAnsi" w:cstheme="majorBidi"/>
          <w:sz w:val="23"/>
          <w:szCs w:val="23"/>
        </w:rPr>
        <w:t>, and needs</w:t>
      </w:r>
      <w:r w:rsidR="00F00E3D" w:rsidRPr="00E91887">
        <w:rPr>
          <w:rFonts w:asciiTheme="majorHAnsi" w:eastAsiaTheme="majorEastAsia" w:hAnsiTheme="majorHAnsi" w:cstheme="majorBidi"/>
          <w:sz w:val="23"/>
          <w:szCs w:val="23"/>
        </w:rPr>
        <w:t xml:space="preserve"> </w:t>
      </w:r>
      <w:r w:rsidR="008E29A4">
        <w:rPr>
          <w:rFonts w:asciiTheme="majorHAnsi" w:eastAsiaTheme="majorEastAsia" w:hAnsiTheme="majorHAnsi" w:cstheme="majorBidi"/>
          <w:sz w:val="23"/>
          <w:szCs w:val="23"/>
        </w:rPr>
        <w:t>in these three localities</w:t>
      </w:r>
      <w:r w:rsidR="00F00E3D" w:rsidRPr="00E91887">
        <w:rPr>
          <w:rFonts w:asciiTheme="majorHAnsi" w:eastAsiaTheme="majorEastAsia" w:hAnsiTheme="majorHAnsi" w:cstheme="majorBidi"/>
          <w:sz w:val="23"/>
          <w:szCs w:val="23"/>
        </w:rPr>
        <w:t xml:space="preserve"> need to be reviewed and revised in the light of this ongoing catastrophe</w:t>
      </w:r>
      <w:r w:rsidR="008E29A4">
        <w:rPr>
          <w:rFonts w:asciiTheme="majorHAnsi" w:eastAsiaTheme="majorEastAsia" w:hAnsiTheme="majorHAnsi" w:cstheme="majorBidi"/>
          <w:sz w:val="23"/>
          <w:szCs w:val="23"/>
        </w:rPr>
        <w:t>.</w:t>
      </w:r>
    </w:p>
    <w:p w14:paraId="208FD193" w14:textId="4EBD561B" w:rsidR="00124A65" w:rsidRDefault="00F00E3D" w:rsidP="00124A65">
      <w:pPr>
        <w:spacing w:line="276" w:lineRule="auto"/>
        <w:rPr>
          <w:rFonts w:asciiTheme="majorHAnsi" w:eastAsiaTheme="majorEastAsia" w:hAnsiTheme="majorHAnsi" w:cstheme="majorBidi"/>
          <w:iCs/>
          <w:sz w:val="23"/>
          <w:szCs w:val="23"/>
        </w:rPr>
      </w:pPr>
      <w:r w:rsidRPr="00E91887">
        <w:rPr>
          <w:rFonts w:asciiTheme="majorHAnsi" w:eastAsiaTheme="majorEastAsia" w:hAnsiTheme="majorHAnsi" w:cstheme="majorBidi"/>
          <w:sz w:val="23"/>
          <w:szCs w:val="23"/>
        </w:rPr>
        <w:t xml:space="preserve">For </w:t>
      </w:r>
      <w:r w:rsidR="008E29A4">
        <w:rPr>
          <w:rFonts w:asciiTheme="majorHAnsi" w:eastAsiaTheme="majorEastAsia" w:hAnsiTheme="majorHAnsi" w:cstheme="majorBidi"/>
          <w:sz w:val="23"/>
          <w:szCs w:val="23"/>
        </w:rPr>
        <w:t>communities facing place-based</w:t>
      </w:r>
      <w:r w:rsidRPr="00E91887">
        <w:rPr>
          <w:rFonts w:asciiTheme="majorHAnsi" w:eastAsiaTheme="majorEastAsia" w:hAnsiTheme="majorHAnsi" w:cstheme="majorBidi"/>
          <w:sz w:val="23"/>
          <w:szCs w:val="23"/>
        </w:rPr>
        <w:t xml:space="preserve"> stigma</w:t>
      </w:r>
      <w:r w:rsidR="008E29A4">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there is an urgent need to </w:t>
      </w:r>
      <w:r w:rsidR="000D6CEA">
        <w:rPr>
          <w:rFonts w:asciiTheme="majorHAnsi" w:eastAsiaTheme="majorEastAsia" w:hAnsiTheme="majorHAnsi" w:cstheme="majorBidi"/>
          <w:sz w:val="23"/>
          <w:szCs w:val="23"/>
        </w:rPr>
        <w:t>foster</w:t>
      </w:r>
      <w:r w:rsidRPr="00E91887">
        <w:rPr>
          <w:rFonts w:asciiTheme="majorHAnsi" w:eastAsiaTheme="majorEastAsia" w:hAnsiTheme="majorHAnsi" w:cstheme="majorBidi"/>
          <w:sz w:val="23"/>
          <w:szCs w:val="23"/>
        </w:rPr>
        <w:t xml:space="preserve"> pride </w:t>
      </w:r>
      <w:r w:rsidR="008E29A4">
        <w:rPr>
          <w:rFonts w:asciiTheme="majorHAnsi" w:eastAsiaTheme="majorEastAsia" w:hAnsiTheme="majorHAnsi" w:cstheme="majorBidi"/>
          <w:sz w:val="23"/>
          <w:szCs w:val="23"/>
        </w:rPr>
        <w:t>in</w:t>
      </w:r>
      <w:r w:rsidRPr="00E91887">
        <w:rPr>
          <w:rFonts w:asciiTheme="majorHAnsi" w:eastAsiaTheme="majorEastAsia" w:hAnsiTheme="majorHAnsi" w:cstheme="majorBidi"/>
          <w:sz w:val="23"/>
          <w:szCs w:val="23"/>
        </w:rPr>
        <w:t xml:space="preserve"> place</w:t>
      </w:r>
      <w:r w:rsidR="003F2D6A">
        <w:rPr>
          <w:rFonts w:asciiTheme="majorHAnsi" w:eastAsiaTheme="majorEastAsia" w:hAnsiTheme="majorHAnsi" w:cstheme="majorBidi"/>
          <w:sz w:val="23"/>
          <w:szCs w:val="23"/>
        </w:rPr>
        <w:t>. Options include</w:t>
      </w:r>
      <w:r w:rsidRPr="00E91887">
        <w:rPr>
          <w:rFonts w:asciiTheme="majorHAnsi" w:eastAsiaTheme="majorEastAsia" w:hAnsiTheme="majorHAnsi" w:cstheme="majorBidi"/>
          <w:sz w:val="23"/>
          <w:szCs w:val="23"/>
        </w:rPr>
        <w:t xml:space="preserve"> community arts projects and </w:t>
      </w:r>
      <w:r w:rsidRPr="2A083AB0">
        <w:rPr>
          <w:rFonts w:asciiTheme="majorHAnsi" w:eastAsiaTheme="majorEastAsia" w:hAnsiTheme="majorHAnsi" w:cstheme="majorBidi"/>
          <w:sz w:val="23"/>
          <w:szCs w:val="23"/>
        </w:rPr>
        <w:t>neighbourhood</w:t>
      </w:r>
      <w:r w:rsidR="003F2D6A">
        <w:rPr>
          <w:rFonts w:asciiTheme="majorHAnsi" w:eastAsiaTheme="majorEastAsia" w:hAnsiTheme="majorHAnsi" w:cstheme="majorBidi"/>
          <w:sz w:val="23"/>
          <w:szCs w:val="23"/>
        </w:rPr>
        <w:t xml:space="preserve"> greening</w:t>
      </w:r>
      <w:r w:rsidRPr="00E91887">
        <w:rPr>
          <w:rFonts w:asciiTheme="majorHAnsi" w:eastAsiaTheme="majorEastAsia" w:hAnsiTheme="majorHAnsi" w:cstheme="majorBidi"/>
          <w:sz w:val="23"/>
          <w:szCs w:val="23"/>
        </w:rPr>
        <w:t xml:space="preserve"> </w:t>
      </w:r>
      <w:r w:rsidR="00DF0AA9">
        <w:rPr>
          <w:rFonts w:asciiTheme="majorHAnsi" w:eastAsiaTheme="majorEastAsia" w:hAnsiTheme="majorHAnsi" w:cstheme="majorBidi"/>
          <w:iCs/>
          <w:sz w:val="23"/>
          <w:szCs w:val="23"/>
        </w:rPr>
        <w:t>(</w:t>
      </w:r>
      <w:r w:rsidRPr="00E91887">
        <w:rPr>
          <w:rFonts w:asciiTheme="majorHAnsi" w:eastAsiaTheme="majorEastAsia" w:hAnsiTheme="majorHAnsi" w:cstheme="majorBidi"/>
          <w:i/>
          <w:sz w:val="23"/>
          <w:szCs w:val="23"/>
        </w:rPr>
        <w:t>Corio Norlane Structure Plan</w:t>
      </w:r>
      <w:r w:rsidR="00DF0AA9">
        <w:rPr>
          <w:rFonts w:asciiTheme="majorHAnsi" w:eastAsiaTheme="majorEastAsia" w:hAnsiTheme="majorHAnsi" w:cstheme="majorBidi"/>
          <w:i/>
          <w:sz w:val="23"/>
          <w:szCs w:val="23"/>
        </w:rPr>
        <w:t>,</w:t>
      </w:r>
      <w:r w:rsidR="00DF0AA9">
        <w:rPr>
          <w:rFonts w:asciiTheme="majorHAnsi" w:eastAsiaTheme="majorEastAsia" w:hAnsiTheme="majorHAnsi" w:cstheme="majorBidi"/>
          <w:iCs/>
          <w:sz w:val="23"/>
          <w:szCs w:val="23"/>
        </w:rPr>
        <w:t xml:space="preserve"> </w:t>
      </w:r>
      <w:r w:rsidR="001B7DDF">
        <w:rPr>
          <w:rFonts w:asciiTheme="majorHAnsi" w:eastAsiaTheme="majorEastAsia" w:hAnsiTheme="majorHAnsi" w:cstheme="majorBidi"/>
          <w:iCs/>
          <w:sz w:val="23"/>
          <w:szCs w:val="23"/>
        </w:rPr>
        <w:t>CoGG</w:t>
      </w:r>
      <w:r w:rsidR="00DF0AA9">
        <w:rPr>
          <w:rFonts w:asciiTheme="majorHAnsi" w:eastAsiaTheme="majorEastAsia" w:hAnsiTheme="majorHAnsi" w:cstheme="majorBidi"/>
          <w:iCs/>
          <w:sz w:val="23"/>
          <w:szCs w:val="23"/>
        </w:rPr>
        <w:t>,</w:t>
      </w:r>
      <w:r w:rsidR="00DF0AA9">
        <w:rPr>
          <w:rFonts w:asciiTheme="majorHAnsi" w:eastAsiaTheme="majorEastAsia" w:hAnsiTheme="majorHAnsi" w:cstheme="majorBidi"/>
          <w:i/>
          <w:sz w:val="23"/>
          <w:szCs w:val="23"/>
        </w:rPr>
        <w:t xml:space="preserve"> </w:t>
      </w:r>
      <w:r w:rsidRPr="00DF0AA9">
        <w:rPr>
          <w:rFonts w:asciiTheme="majorHAnsi" w:eastAsiaTheme="majorEastAsia" w:hAnsiTheme="majorHAnsi" w:cstheme="majorBidi"/>
          <w:iCs/>
          <w:sz w:val="23"/>
          <w:szCs w:val="23"/>
        </w:rPr>
        <w:t>2012).</w:t>
      </w:r>
      <w:r w:rsidRPr="00E91887">
        <w:rPr>
          <w:rFonts w:asciiTheme="majorHAnsi" w:eastAsiaTheme="majorEastAsia" w:hAnsiTheme="majorHAnsi" w:cstheme="majorBidi"/>
          <w:sz w:val="23"/>
          <w:szCs w:val="23"/>
        </w:rPr>
        <w:t xml:space="preserve"> </w:t>
      </w:r>
      <w:r w:rsidRPr="2A083AB0">
        <w:rPr>
          <w:rFonts w:asciiTheme="majorHAnsi" w:eastAsiaTheme="majorEastAsia" w:hAnsiTheme="majorHAnsi" w:cstheme="majorBidi"/>
          <w:sz w:val="23"/>
          <w:szCs w:val="23"/>
        </w:rPr>
        <w:t>This could involve enhancing</w:t>
      </w:r>
      <w:r w:rsidRPr="00E91887">
        <w:rPr>
          <w:rFonts w:asciiTheme="majorHAnsi" w:eastAsiaTheme="majorEastAsia" w:hAnsiTheme="majorHAnsi" w:cstheme="majorBidi"/>
          <w:sz w:val="23"/>
          <w:szCs w:val="23"/>
        </w:rPr>
        <w:t xml:space="preserve"> local sense of place</w:t>
      </w:r>
      <w:r w:rsidR="001025CC">
        <w:rPr>
          <w:rFonts w:asciiTheme="majorHAnsi" w:eastAsiaTheme="majorEastAsia" w:hAnsiTheme="majorHAnsi" w:cstheme="majorBidi"/>
          <w:sz w:val="23"/>
          <w:szCs w:val="23"/>
        </w:rPr>
        <w:t xml:space="preserve"> by</w:t>
      </w:r>
      <w:r w:rsidR="00DF0AA9">
        <w:rPr>
          <w:rFonts w:asciiTheme="majorHAnsi" w:eastAsiaTheme="majorEastAsia" w:hAnsiTheme="majorHAnsi" w:cstheme="majorBidi"/>
          <w:sz w:val="23"/>
          <w:szCs w:val="23"/>
        </w:rPr>
        <w:t xml:space="preserve"> </w:t>
      </w:r>
      <w:r w:rsidRPr="00E91887">
        <w:rPr>
          <w:rFonts w:asciiTheme="majorHAnsi" w:eastAsiaTheme="majorEastAsia" w:hAnsiTheme="majorHAnsi" w:cstheme="majorBidi"/>
          <w:sz w:val="23"/>
          <w:szCs w:val="23"/>
        </w:rPr>
        <w:t>recognis</w:t>
      </w:r>
      <w:r w:rsidR="00DF0AA9">
        <w:rPr>
          <w:rFonts w:asciiTheme="majorHAnsi" w:eastAsiaTheme="majorEastAsia" w:hAnsiTheme="majorHAnsi" w:cstheme="majorBidi"/>
          <w:sz w:val="23"/>
          <w:szCs w:val="23"/>
        </w:rPr>
        <w:t>ing</w:t>
      </w:r>
      <w:r w:rsidRPr="00E91887">
        <w:rPr>
          <w:rFonts w:asciiTheme="majorHAnsi" w:eastAsiaTheme="majorEastAsia" w:hAnsiTheme="majorHAnsi" w:cstheme="majorBidi"/>
          <w:sz w:val="23"/>
          <w:szCs w:val="23"/>
        </w:rPr>
        <w:t xml:space="preserve"> and shar</w:t>
      </w:r>
      <w:r w:rsidR="00DF0AA9">
        <w:rPr>
          <w:rFonts w:asciiTheme="majorHAnsi" w:eastAsiaTheme="majorEastAsia" w:hAnsiTheme="majorHAnsi" w:cstheme="majorBidi"/>
          <w:sz w:val="23"/>
          <w:szCs w:val="23"/>
        </w:rPr>
        <w:t>ing</w:t>
      </w:r>
      <w:r w:rsidRPr="00E91887">
        <w:rPr>
          <w:rFonts w:asciiTheme="majorHAnsi" w:eastAsiaTheme="majorEastAsia" w:hAnsiTheme="majorHAnsi" w:cstheme="majorBidi"/>
          <w:sz w:val="23"/>
          <w:szCs w:val="23"/>
        </w:rPr>
        <w:t xml:space="preserve"> </w:t>
      </w:r>
      <w:r w:rsidRPr="2A083AB0">
        <w:rPr>
          <w:rFonts w:asciiTheme="majorHAnsi" w:eastAsiaTheme="majorEastAsia" w:hAnsiTheme="majorHAnsi" w:cstheme="majorBidi"/>
          <w:sz w:val="23"/>
          <w:szCs w:val="23"/>
        </w:rPr>
        <w:t>collective</w:t>
      </w:r>
      <w:r w:rsidRPr="00E91887">
        <w:rPr>
          <w:rFonts w:asciiTheme="majorHAnsi" w:eastAsiaTheme="majorEastAsia" w:hAnsiTheme="majorHAnsi" w:cstheme="majorBidi"/>
          <w:sz w:val="23"/>
          <w:szCs w:val="23"/>
        </w:rPr>
        <w:t xml:space="preserve"> heritage </w:t>
      </w:r>
      <w:r w:rsidR="001025CC">
        <w:rPr>
          <w:rFonts w:asciiTheme="majorHAnsi" w:eastAsiaTheme="majorEastAsia" w:hAnsiTheme="majorHAnsi" w:cstheme="majorBidi"/>
          <w:sz w:val="23"/>
          <w:szCs w:val="23"/>
        </w:rPr>
        <w:t>via</w:t>
      </w:r>
      <w:r w:rsidRPr="00E91887">
        <w:rPr>
          <w:rFonts w:asciiTheme="majorHAnsi" w:eastAsiaTheme="majorEastAsia" w:hAnsiTheme="majorHAnsi" w:cstheme="majorBidi"/>
          <w:sz w:val="23"/>
          <w:szCs w:val="23"/>
        </w:rPr>
        <w:t xml:space="preserve"> storytelling </w:t>
      </w:r>
      <w:r w:rsidR="001025CC">
        <w:rPr>
          <w:rFonts w:asciiTheme="majorHAnsi" w:eastAsiaTheme="majorEastAsia" w:hAnsiTheme="majorHAnsi" w:cstheme="majorBidi"/>
          <w:sz w:val="23"/>
          <w:szCs w:val="23"/>
        </w:rPr>
        <w:t xml:space="preserve">projects </w:t>
      </w:r>
      <w:r w:rsidRPr="00E91887">
        <w:rPr>
          <w:rFonts w:asciiTheme="majorHAnsi" w:eastAsiaTheme="majorEastAsia" w:hAnsiTheme="majorHAnsi" w:cstheme="majorBidi"/>
          <w:sz w:val="23"/>
          <w:szCs w:val="23"/>
        </w:rPr>
        <w:t>and artworks (</w:t>
      </w:r>
      <w:r w:rsidRPr="00B80A72">
        <w:rPr>
          <w:rFonts w:asciiTheme="majorHAnsi" w:eastAsiaTheme="majorEastAsia" w:hAnsiTheme="majorHAnsi" w:cstheme="majorBidi"/>
          <w:i/>
          <w:sz w:val="23"/>
          <w:szCs w:val="23"/>
        </w:rPr>
        <w:t>Council Plan</w:t>
      </w:r>
      <w:r w:rsidR="00B80A72" w:rsidRPr="00B80A72">
        <w:rPr>
          <w:rFonts w:asciiTheme="majorHAnsi" w:eastAsiaTheme="majorEastAsia" w:hAnsiTheme="majorHAnsi" w:cstheme="majorBidi"/>
          <w:i/>
          <w:sz w:val="23"/>
          <w:szCs w:val="23"/>
        </w:rPr>
        <w:t>,</w:t>
      </w:r>
      <w:r w:rsidR="00B80A72">
        <w:rPr>
          <w:rFonts w:asciiTheme="majorHAnsi" w:eastAsiaTheme="majorEastAsia" w:hAnsiTheme="majorHAnsi" w:cstheme="majorBidi"/>
          <w:iCs/>
          <w:sz w:val="23"/>
          <w:szCs w:val="23"/>
        </w:rPr>
        <w:t xml:space="preserve"> </w:t>
      </w:r>
      <w:r w:rsidR="001B7DDF">
        <w:rPr>
          <w:rFonts w:asciiTheme="majorHAnsi" w:eastAsiaTheme="majorEastAsia" w:hAnsiTheme="majorHAnsi" w:cstheme="majorBidi"/>
          <w:iCs/>
          <w:sz w:val="23"/>
          <w:szCs w:val="23"/>
        </w:rPr>
        <w:t>CoGG</w:t>
      </w:r>
      <w:r w:rsidR="00B80A72">
        <w:rPr>
          <w:rFonts w:asciiTheme="majorHAnsi" w:eastAsiaTheme="majorEastAsia" w:hAnsiTheme="majorHAnsi" w:cstheme="majorBidi"/>
          <w:iCs/>
          <w:sz w:val="23"/>
          <w:szCs w:val="23"/>
        </w:rPr>
        <w:t>,</w:t>
      </w:r>
      <w:r w:rsidRPr="003F2D6A">
        <w:rPr>
          <w:rFonts w:asciiTheme="majorHAnsi" w:eastAsiaTheme="majorEastAsia" w:hAnsiTheme="majorHAnsi" w:cstheme="majorBidi"/>
          <w:iCs/>
          <w:sz w:val="23"/>
          <w:szCs w:val="23"/>
        </w:rPr>
        <w:t xml:space="preserve"> 2018</w:t>
      </w:r>
      <w:r w:rsidR="00B80A72">
        <w:rPr>
          <w:rFonts w:asciiTheme="majorHAnsi" w:eastAsiaTheme="majorEastAsia" w:hAnsiTheme="majorHAnsi" w:cstheme="majorBidi"/>
          <w:iCs/>
          <w:sz w:val="23"/>
          <w:szCs w:val="23"/>
        </w:rPr>
        <w:t>–</w:t>
      </w:r>
      <w:r w:rsidRPr="003F2D6A">
        <w:rPr>
          <w:rFonts w:asciiTheme="majorHAnsi" w:eastAsiaTheme="majorEastAsia" w:hAnsiTheme="majorHAnsi" w:cstheme="majorBidi"/>
          <w:iCs/>
          <w:sz w:val="23"/>
          <w:szCs w:val="23"/>
        </w:rPr>
        <w:t>2022b)</w:t>
      </w:r>
      <w:r w:rsidR="00B80A72">
        <w:rPr>
          <w:rFonts w:asciiTheme="majorHAnsi" w:eastAsiaTheme="majorEastAsia" w:hAnsiTheme="majorHAnsi" w:cstheme="majorBidi"/>
          <w:iCs/>
          <w:sz w:val="23"/>
          <w:szCs w:val="23"/>
        </w:rPr>
        <w:t>.</w:t>
      </w:r>
      <w:r w:rsidRPr="00E91887">
        <w:rPr>
          <w:rFonts w:asciiTheme="majorHAnsi" w:eastAsiaTheme="majorEastAsia" w:hAnsiTheme="majorHAnsi" w:cstheme="majorBidi"/>
          <w:sz w:val="23"/>
          <w:szCs w:val="23"/>
        </w:rPr>
        <w:t xml:space="preserve"> </w:t>
      </w:r>
      <w:r w:rsidR="00B80A72">
        <w:rPr>
          <w:rFonts w:asciiTheme="majorHAnsi" w:eastAsiaTheme="majorEastAsia" w:hAnsiTheme="majorHAnsi" w:cstheme="majorBidi"/>
          <w:sz w:val="23"/>
          <w:szCs w:val="23"/>
        </w:rPr>
        <w:t>For example,</w:t>
      </w:r>
      <w:r w:rsidRPr="00E91887">
        <w:rPr>
          <w:rFonts w:asciiTheme="majorHAnsi" w:eastAsiaTheme="majorEastAsia" w:hAnsiTheme="majorHAnsi" w:cstheme="majorBidi"/>
          <w:sz w:val="23"/>
          <w:szCs w:val="23"/>
        </w:rPr>
        <w:t xml:space="preserve"> Corio </w:t>
      </w:r>
      <w:r w:rsidRPr="2A1814C1">
        <w:rPr>
          <w:rFonts w:asciiTheme="majorHAnsi" w:eastAsiaTheme="majorEastAsia" w:hAnsiTheme="majorHAnsi" w:cstheme="majorBidi"/>
          <w:sz w:val="23"/>
          <w:szCs w:val="23"/>
        </w:rPr>
        <w:t>is</w:t>
      </w:r>
      <w:r w:rsidRPr="00E91887">
        <w:rPr>
          <w:rFonts w:asciiTheme="majorHAnsi" w:eastAsiaTheme="majorEastAsia" w:hAnsiTheme="majorHAnsi" w:cstheme="majorBidi"/>
          <w:sz w:val="23"/>
          <w:szCs w:val="23"/>
        </w:rPr>
        <w:t xml:space="preserve"> one of first </w:t>
      </w:r>
      <w:r w:rsidR="001025CC">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Garden Suburbs</w:t>
      </w:r>
      <w:r w:rsidR="001025CC">
        <w:rPr>
          <w:rFonts w:asciiTheme="majorHAnsi" w:eastAsiaTheme="majorEastAsia" w:hAnsiTheme="majorHAnsi" w:cstheme="majorBidi"/>
          <w:sz w:val="23"/>
          <w:szCs w:val="23"/>
        </w:rPr>
        <w:t>”</w:t>
      </w:r>
      <w:r w:rsidRPr="00E91887">
        <w:rPr>
          <w:rFonts w:asciiTheme="majorHAnsi" w:eastAsiaTheme="majorEastAsia" w:hAnsiTheme="majorHAnsi" w:cstheme="majorBidi"/>
          <w:sz w:val="23"/>
          <w:szCs w:val="23"/>
        </w:rPr>
        <w:t xml:space="preserve"> to be built in Australia</w:t>
      </w:r>
      <w:r w:rsidRPr="2A1814C1">
        <w:rPr>
          <w:rFonts w:asciiTheme="majorHAnsi" w:eastAsiaTheme="majorEastAsia" w:hAnsiTheme="majorHAnsi" w:cstheme="majorBidi"/>
          <w:sz w:val="23"/>
          <w:szCs w:val="23"/>
        </w:rPr>
        <w:t xml:space="preserve"> and could be celebrated as such. </w:t>
      </w:r>
      <w:r w:rsidR="001025CC">
        <w:rPr>
          <w:rFonts w:asciiTheme="majorHAnsi" w:eastAsiaTheme="majorEastAsia" w:hAnsiTheme="majorHAnsi" w:cstheme="majorBidi"/>
          <w:sz w:val="23"/>
          <w:szCs w:val="23"/>
        </w:rPr>
        <w:t>T</w:t>
      </w:r>
      <w:r w:rsidR="001025CC" w:rsidRPr="00E91887">
        <w:rPr>
          <w:rFonts w:asciiTheme="majorHAnsi" w:eastAsiaTheme="majorEastAsia" w:hAnsiTheme="majorHAnsi" w:cstheme="majorBidi"/>
          <w:sz w:val="23"/>
          <w:szCs w:val="23"/>
        </w:rPr>
        <w:t xml:space="preserve">he </w:t>
      </w:r>
      <w:r w:rsidR="001025CC">
        <w:rPr>
          <w:rFonts w:asciiTheme="majorHAnsi" w:eastAsiaTheme="majorEastAsia" w:hAnsiTheme="majorHAnsi" w:cstheme="majorBidi"/>
          <w:sz w:val="23"/>
          <w:szCs w:val="23"/>
        </w:rPr>
        <w:t xml:space="preserve">area’s </w:t>
      </w:r>
      <w:r w:rsidR="001025CC" w:rsidRPr="00E91887">
        <w:rPr>
          <w:rFonts w:asciiTheme="majorHAnsi" w:eastAsiaTheme="majorEastAsia" w:hAnsiTheme="majorHAnsi" w:cstheme="majorBidi"/>
          <w:sz w:val="23"/>
          <w:szCs w:val="23"/>
        </w:rPr>
        <w:t xml:space="preserve">Indigenous </w:t>
      </w:r>
      <w:r w:rsidR="001025CC">
        <w:rPr>
          <w:rFonts w:asciiTheme="majorHAnsi" w:eastAsiaTheme="majorEastAsia" w:hAnsiTheme="majorHAnsi" w:cstheme="majorBidi"/>
          <w:sz w:val="23"/>
          <w:szCs w:val="23"/>
        </w:rPr>
        <w:t>heritage and</w:t>
      </w:r>
      <w:r w:rsidR="001025CC" w:rsidRPr="00E91887">
        <w:rPr>
          <w:rFonts w:asciiTheme="majorHAnsi" w:eastAsiaTheme="majorEastAsia" w:hAnsiTheme="majorHAnsi" w:cstheme="majorBidi"/>
          <w:sz w:val="23"/>
          <w:szCs w:val="23"/>
        </w:rPr>
        <w:t xml:space="preserve"> </w:t>
      </w:r>
      <w:r w:rsidR="001025CC">
        <w:rPr>
          <w:rFonts w:asciiTheme="majorHAnsi" w:eastAsiaTheme="majorEastAsia" w:hAnsiTheme="majorHAnsi" w:cstheme="majorBidi"/>
          <w:sz w:val="23"/>
          <w:szCs w:val="23"/>
        </w:rPr>
        <w:t>the</w:t>
      </w:r>
      <w:r w:rsidRPr="00E91887">
        <w:rPr>
          <w:rFonts w:asciiTheme="majorHAnsi" w:eastAsiaTheme="majorEastAsia" w:hAnsiTheme="majorHAnsi" w:cstheme="majorBidi"/>
          <w:sz w:val="23"/>
          <w:szCs w:val="23"/>
        </w:rPr>
        <w:t xml:space="preserve"> contribution of local workers to </w:t>
      </w:r>
      <w:r w:rsidR="001025CC">
        <w:rPr>
          <w:rFonts w:asciiTheme="majorHAnsi" w:eastAsiaTheme="majorEastAsia" w:hAnsiTheme="majorHAnsi" w:cstheme="majorBidi"/>
          <w:sz w:val="23"/>
          <w:szCs w:val="23"/>
        </w:rPr>
        <w:t>Australia’s</w:t>
      </w:r>
      <w:r w:rsidRPr="00E91887">
        <w:rPr>
          <w:rFonts w:asciiTheme="majorHAnsi" w:eastAsiaTheme="majorEastAsia" w:hAnsiTheme="majorHAnsi" w:cstheme="majorBidi"/>
          <w:sz w:val="23"/>
          <w:szCs w:val="23"/>
        </w:rPr>
        <w:t xml:space="preserve"> auto industry could be better recognised via place and street names as well as public art (</w:t>
      </w:r>
      <w:r w:rsidRPr="00E91887">
        <w:rPr>
          <w:rFonts w:asciiTheme="majorHAnsi" w:eastAsiaTheme="majorEastAsia" w:hAnsiTheme="majorHAnsi" w:cstheme="majorBidi"/>
          <w:i/>
          <w:sz w:val="23"/>
          <w:szCs w:val="23"/>
        </w:rPr>
        <w:t>Kareenga Aboriginal Action Plan</w:t>
      </w:r>
      <w:r w:rsidR="001025CC">
        <w:rPr>
          <w:rFonts w:asciiTheme="majorHAnsi" w:eastAsiaTheme="majorEastAsia" w:hAnsiTheme="majorHAnsi" w:cstheme="majorBidi"/>
          <w:i/>
          <w:sz w:val="23"/>
          <w:szCs w:val="23"/>
        </w:rPr>
        <w:t xml:space="preserve">, </w:t>
      </w:r>
      <w:r w:rsidR="001B7DDF">
        <w:rPr>
          <w:rFonts w:asciiTheme="majorHAnsi" w:eastAsiaTheme="majorEastAsia" w:hAnsiTheme="majorHAnsi" w:cstheme="majorBidi"/>
          <w:iCs/>
          <w:sz w:val="23"/>
          <w:szCs w:val="23"/>
        </w:rPr>
        <w:t>CoGG</w:t>
      </w:r>
      <w:r w:rsidR="001025CC" w:rsidRPr="001025CC">
        <w:rPr>
          <w:rFonts w:asciiTheme="majorHAnsi" w:eastAsiaTheme="majorEastAsia" w:hAnsiTheme="majorHAnsi" w:cstheme="majorBidi"/>
          <w:iCs/>
          <w:sz w:val="23"/>
          <w:szCs w:val="23"/>
        </w:rPr>
        <w:t>,</w:t>
      </w:r>
      <w:r w:rsidRPr="001025CC">
        <w:rPr>
          <w:rFonts w:asciiTheme="majorHAnsi" w:eastAsiaTheme="majorEastAsia" w:hAnsiTheme="majorHAnsi" w:cstheme="majorBidi"/>
          <w:iCs/>
          <w:sz w:val="23"/>
          <w:szCs w:val="23"/>
        </w:rPr>
        <w:t xml:space="preserve"> 2014</w:t>
      </w:r>
      <w:r w:rsidR="001025CC">
        <w:rPr>
          <w:rFonts w:asciiTheme="majorHAnsi" w:eastAsiaTheme="majorEastAsia" w:hAnsiTheme="majorHAnsi" w:cstheme="majorBidi"/>
          <w:iCs/>
          <w:sz w:val="23"/>
          <w:szCs w:val="23"/>
        </w:rPr>
        <w:t>–</w:t>
      </w:r>
      <w:r w:rsidRPr="001025CC">
        <w:rPr>
          <w:rFonts w:asciiTheme="majorHAnsi" w:eastAsiaTheme="majorEastAsia" w:hAnsiTheme="majorHAnsi" w:cstheme="majorBidi"/>
          <w:iCs/>
          <w:sz w:val="23"/>
          <w:szCs w:val="23"/>
        </w:rPr>
        <w:t>2017</w:t>
      </w:r>
      <w:r w:rsidR="001025CC">
        <w:rPr>
          <w:rFonts w:asciiTheme="majorHAnsi" w:eastAsiaTheme="majorEastAsia" w:hAnsiTheme="majorHAnsi" w:cstheme="majorBidi"/>
          <w:iCs/>
          <w:sz w:val="23"/>
          <w:szCs w:val="23"/>
        </w:rPr>
        <w:t>)</w:t>
      </w:r>
      <w:r w:rsidRPr="00E91887">
        <w:rPr>
          <w:rFonts w:asciiTheme="majorHAnsi" w:eastAsiaTheme="majorEastAsia" w:hAnsiTheme="majorHAnsi" w:cstheme="majorBidi"/>
          <w:i/>
          <w:sz w:val="23"/>
          <w:szCs w:val="23"/>
        </w:rPr>
        <w:t xml:space="preserve">. </w:t>
      </w:r>
      <w:r w:rsidR="00124A65">
        <w:rPr>
          <w:rFonts w:asciiTheme="majorHAnsi" w:eastAsiaTheme="majorEastAsia" w:hAnsiTheme="majorHAnsi" w:cstheme="majorBidi"/>
          <w:sz w:val="23"/>
          <w:szCs w:val="23"/>
        </w:rPr>
        <w:t>Any new a</w:t>
      </w:r>
      <w:r w:rsidRPr="00E91887">
        <w:rPr>
          <w:rFonts w:asciiTheme="majorHAnsi" w:eastAsiaTheme="majorEastAsia" w:hAnsiTheme="majorHAnsi" w:cstheme="majorBidi"/>
          <w:sz w:val="23"/>
          <w:szCs w:val="23"/>
        </w:rPr>
        <w:t xml:space="preserve">rtworks would have to </w:t>
      </w:r>
      <w:r w:rsidR="001025CC">
        <w:rPr>
          <w:rFonts w:asciiTheme="majorHAnsi" w:eastAsiaTheme="majorEastAsia" w:hAnsiTheme="majorHAnsi" w:cstheme="majorBidi"/>
          <w:sz w:val="23"/>
          <w:szCs w:val="23"/>
        </w:rPr>
        <w:t>align with the City’s</w:t>
      </w:r>
      <w:r w:rsidRPr="00E91887">
        <w:rPr>
          <w:rFonts w:asciiTheme="majorHAnsi" w:eastAsiaTheme="majorEastAsia" w:hAnsiTheme="majorHAnsi" w:cstheme="majorBidi"/>
          <w:sz w:val="23"/>
          <w:szCs w:val="23"/>
        </w:rPr>
        <w:t xml:space="preserve"> </w:t>
      </w:r>
      <w:r w:rsidRPr="00E91887">
        <w:rPr>
          <w:rFonts w:asciiTheme="majorHAnsi" w:eastAsiaTheme="majorEastAsia" w:hAnsiTheme="majorHAnsi" w:cstheme="majorBidi"/>
          <w:i/>
          <w:sz w:val="23"/>
          <w:szCs w:val="23"/>
        </w:rPr>
        <w:t xml:space="preserve">Public </w:t>
      </w:r>
      <w:r w:rsidRPr="2A083AB0">
        <w:rPr>
          <w:rFonts w:asciiTheme="majorHAnsi" w:eastAsiaTheme="majorEastAsia" w:hAnsiTheme="majorHAnsi" w:cstheme="majorBidi"/>
          <w:i/>
          <w:iCs/>
          <w:sz w:val="23"/>
          <w:szCs w:val="23"/>
        </w:rPr>
        <w:t xml:space="preserve">Art </w:t>
      </w:r>
      <w:r w:rsidRPr="2A1814C1">
        <w:rPr>
          <w:rFonts w:asciiTheme="majorHAnsi" w:eastAsiaTheme="majorEastAsia" w:hAnsiTheme="majorHAnsi" w:cstheme="majorBidi"/>
          <w:i/>
          <w:iCs/>
          <w:sz w:val="23"/>
          <w:szCs w:val="23"/>
        </w:rPr>
        <w:t>Strategy</w:t>
      </w:r>
      <w:r w:rsidRPr="00E91887">
        <w:rPr>
          <w:rFonts w:asciiTheme="majorHAnsi" w:eastAsiaTheme="majorEastAsia" w:hAnsiTheme="majorHAnsi" w:cstheme="majorBidi"/>
          <w:i/>
          <w:sz w:val="23"/>
          <w:szCs w:val="23"/>
        </w:rPr>
        <w:t xml:space="preserve"> </w:t>
      </w:r>
      <w:r w:rsidRPr="001025CC">
        <w:rPr>
          <w:rFonts w:asciiTheme="majorHAnsi" w:eastAsiaTheme="majorEastAsia" w:hAnsiTheme="majorHAnsi" w:cstheme="majorBidi"/>
          <w:iCs/>
          <w:sz w:val="23"/>
          <w:szCs w:val="23"/>
        </w:rPr>
        <w:t>(</w:t>
      </w:r>
      <w:r w:rsidR="001B7DDF">
        <w:rPr>
          <w:rFonts w:asciiTheme="majorHAnsi" w:eastAsiaTheme="majorEastAsia" w:hAnsiTheme="majorHAnsi" w:cstheme="majorBidi"/>
          <w:iCs/>
          <w:sz w:val="23"/>
          <w:szCs w:val="23"/>
        </w:rPr>
        <w:t>CoGG</w:t>
      </w:r>
      <w:r w:rsidR="001025CC" w:rsidRPr="001025CC">
        <w:rPr>
          <w:rFonts w:asciiTheme="majorHAnsi" w:eastAsiaTheme="majorEastAsia" w:hAnsiTheme="majorHAnsi" w:cstheme="majorBidi"/>
          <w:iCs/>
          <w:sz w:val="23"/>
          <w:szCs w:val="23"/>
        </w:rPr>
        <w:t xml:space="preserve">, </w:t>
      </w:r>
      <w:r w:rsidRPr="001025CC">
        <w:rPr>
          <w:rFonts w:asciiTheme="majorHAnsi" w:eastAsiaTheme="majorEastAsia" w:hAnsiTheme="majorHAnsi" w:cstheme="majorBidi"/>
          <w:iCs/>
          <w:sz w:val="23"/>
          <w:szCs w:val="23"/>
        </w:rPr>
        <w:t>2013).</w:t>
      </w:r>
      <w:r w:rsidR="00124A65">
        <w:rPr>
          <w:rFonts w:asciiTheme="majorHAnsi" w:eastAsiaTheme="majorEastAsia" w:hAnsiTheme="majorHAnsi" w:cstheme="majorBidi"/>
          <w:iCs/>
          <w:sz w:val="23"/>
          <w:szCs w:val="23"/>
        </w:rPr>
        <w:br w:type="page"/>
      </w:r>
    </w:p>
    <w:p w14:paraId="1D7B41C1" w14:textId="4CCE50B0" w:rsidR="00F00E3D" w:rsidRPr="00C80508" w:rsidRDefault="0098337E" w:rsidP="009B2FA7">
      <w:pPr>
        <w:spacing w:line="276" w:lineRule="auto"/>
        <w:rPr>
          <w:rFonts w:eastAsia="Calibri" w:cstheme="minorHAnsi"/>
          <w:b/>
          <w:color w:val="2F5496" w:themeColor="accent1" w:themeShade="BF"/>
          <w:sz w:val="28"/>
          <w:szCs w:val="28"/>
        </w:rPr>
      </w:pPr>
      <w:r w:rsidRPr="00C80508">
        <w:rPr>
          <w:rFonts w:eastAsia="Calibri"/>
          <w:b/>
          <w:color w:val="2F5496" w:themeColor="accent1" w:themeShade="BF"/>
          <w:sz w:val="28"/>
          <w:szCs w:val="28"/>
        </w:rPr>
        <w:lastRenderedPageBreak/>
        <w:t>7.5</w:t>
      </w:r>
      <w:r w:rsidR="00F00E3D" w:rsidRPr="00C80508">
        <w:rPr>
          <w:rFonts w:eastAsia="Calibri"/>
          <w:b/>
          <w:color w:val="2F5496" w:themeColor="accent1" w:themeShade="BF"/>
          <w:sz w:val="28"/>
          <w:szCs w:val="28"/>
        </w:rPr>
        <w:t xml:space="preserve"> </w:t>
      </w:r>
      <w:r w:rsidR="00F00E3D" w:rsidRPr="00C80508">
        <w:rPr>
          <w:rFonts w:eastAsia="Calibri"/>
          <w:b/>
          <w:bCs/>
          <w:color w:val="2F5496" w:themeColor="accent1" w:themeShade="BF"/>
          <w:sz w:val="28"/>
          <w:szCs w:val="28"/>
        </w:rPr>
        <w:t xml:space="preserve">Preliminary </w:t>
      </w:r>
      <w:r w:rsidR="00AE1456" w:rsidRPr="00C80508">
        <w:rPr>
          <w:rFonts w:eastAsia="Calibri"/>
          <w:b/>
          <w:color w:val="2F5496" w:themeColor="accent1" w:themeShade="BF"/>
          <w:sz w:val="28"/>
          <w:szCs w:val="28"/>
        </w:rPr>
        <w:t>Suggestions</w:t>
      </w:r>
    </w:p>
    <w:p w14:paraId="646479A1" w14:textId="08F9A9F4" w:rsidR="00A21EED" w:rsidRDefault="00E17487" w:rsidP="009B2FA7">
      <w:pPr>
        <w:spacing w:line="276" w:lineRule="auto"/>
        <w:rPr>
          <w:rFonts w:asciiTheme="majorHAnsi" w:eastAsiaTheme="majorEastAsia" w:hAnsiTheme="majorHAnsi" w:cstheme="majorBidi"/>
          <w:sz w:val="23"/>
          <w:szCs w:val="23"/>
        </w:rPr>
      </w:pPr>
      <w:r>
        <w:rPr>
          <w:rFonts w:asciiTheme="majorHAnsi" w:eastAsiaTheme="majorEastAsia" w:hAnsiTheme="majorHAnsi" w:cstheme="majorBidi"/>
          <w:sz w:val="23"/>
          <w:szCs w:val="23"/>
        </w:rPr>
        <w:t>Reviewing data on the</w:t>
      </w:r>
      <w:r w:rsidR="00F00E3D" w:rsidRPr="256F645F">
        <w:rPr>
          <w:rFonts w:asciiTheme="majorHAnsi" w:eastAsiaTheme="majorEastAsia" w:hAnsiTheme="majorHAnsi" w:cstheme="majorBidi"/>
          <w:sz w:val="23"/>
          <w:szCs w:val="23"/>
        </w:rPr>
        <w:t xml:space="preserve"> impacts of </w:t>
      </w:r>
      <w:r w:rsidR="00940D80">
        <w:rPr>
          <w:rFonts w:asciiTheme="majorHAnsi" w:eastAsiaTheme="majorEastAsia" w:hAnsiTheme="majorHAnsi" w:cstheme="majorBidi"/>
          <w:sz w:val="23"/>
          <w:szCs w:val="23"/>
        </w:rPr>
        <w:t>COVID</w:t>
      </w:r>
      <w:r w:rsidR="00F00E3D" w:rsidRPr="256F645F">
        <w:rPr>
          <w:rFonts w:asciiTheme="majorHAnsi" w:eastAsiaTheme="majorEastAsia" w:hAnsiTheme="majorHAnsi" w:cstheme="majorBidi"/>
          <w:sz w:val="23"/>
          <w:szCs w:val="23"/>
        </w:rPr>
        <w:t>-19 in Australia, we know that unemployment rose dramatically</w:t>
      </w:r>
      <w:r w:rsidR="00911994">
        <w:rPr>
          <w:rFonts w:asciiTheme="majorHAnsi" w:eastAsiaTheme="majorEastAsia" w:hAnsiTheme="majorHAnsi" w:cstheme="majorBidi"/>
          <w:sz w:val="23"/>
          <w:szCs w:val="23"/>
        </w:rPr>
        <w:t xml:space="preserve">, with </w:t>
      </w:r>
      <w:r>
        <w:rPr>
          <w:rFonts w:asciiTheme="majorHAnsi" w:eastAsiaTheme="majorEastAsia" w:hAnsiTheme="majorHAnsi" w:cstheme="majorBidi"/>
          <w:sz w:val="23"/>
          <w:szCs w:val="23"/>
        </w:rPr>
        <w:t xml:space="preserve">several </w:t>
      </w:r>
      <w:r w:rsidR="00F00E3D" w:rsidRPr="256F645F">
        <w:rPr>
          <w:rFonts w:asciiTheme="majorHAnsi" w:eastAsiaTheme="majorEastAsia" w:hAnsiTheme="majorHAnsi" w:cstheme="majorBidi"/>
          <w:sz w:val="23"/>
          <w:szCs w:val="23"/>
        </w:rPr>
        <w:t xml:space="preserve">particularly hard-hit sectors </w:t>
      </w:r>
      <w:r>
        <w:rPr>
          <w:rFonts w:asciiTheme="majorHAnsi" w:eastAsiaTheme="majorEastAsia" w:hAnsiTheme="majorHAnsi" w:cstheme="majorBidi"/>
          <w:sz w:val="23"/>
          <w:szCs w:val="23"/>
        </w:rPr>
        <w:t xml:space="preserve">(tourism, </w:t>
      </w:r>
      <w:r w:rsidR="00F00E3D" w:rsidRPr="256F645F">
        <w:rPr>
          <w:rFonts w:asciiTheme="majorHAnsi" w:eastAsiaTheme="majorEastAsia" w:hAnsiTheme="majorHAnsi" w:cstheme="majorBidi"/>
          <w:sz w:val="23"/>
          <w:szCs w:val="23"/>
        </w:rPr>
        <w:t>accommodation</w:t>
      </w:r>
      <w:r w:rsidR="00FB4D7A">
        <w:rPr>
          <w:rFonts w:asciiTheme="majorHAnsi" w:eastAsiaTheme="majorEastAsia" w:hAnsiTheme="majorHAnsi" w:cstheme="majorBidi"/>
          <w:sz w:val="23"/>
          <w:szCs w:val="23"/>
        </w:rPr>
        <w:t>,</w:t>
      </w:r>
      <w:r w:rsidR="00F00E3D" w:rsidRPr="256F645F">
        <w:rPr>
          <w:rFonts w:asciiTheme="majorHAnsi" w:eastAsiaTheme="majorEastAsia" w:hAnsiTheme="majorHAnsi" w:cstheme="majorBidi"/>
          <w:sz w:val="23"/>
          <w:szCs w:val="23"/>
        </w:rPr>
        <w:t xml:space="preserve"> hospitality, the arts</w:t>
      </w:r>
      <w:r w:rsidR="00FB4D7A">
        <w:rPr>
          <w:rFonts w:asciiTheme="majorHAnsi" w:eastAsiaTheme="majorEastAsia" w:hAnsiTheme="majorHAnsi" w:cstheme="majorBidi"/>
          <w:sz w:val="23"/>
          <w:szCs w:val="23"/>
        </w:rPr>
        <w:t>, and</w:t>
      </w:r>
      <w:r w:rsidR="00F00E3D" w:rsidRPr="256F645F">
        <w:rPr>
          <w:rFonts w:asciiTheme="majorHAnsi" w:eastAsiaTheme="majorEastAsia" w:hAnsiTheme="majorHAnsi" w:cstheme="majorBidi"/>
          <w:sz w:val="23"/>
          <w:szCs w:val="23"/>
        </w:rPr>
        <w:t xml:space="preserve"> personal service</w:t>
      </w:r>
      <w:r w:rsidR="00FB4D7A">
        <w:rPr>
          <w:rFonts w:asciiTheme="majorHAnsi" w:eastAsiaTheme="majorEastAsia" w:hAnsiTheme="majorHAnsi" w:cstheme="majorBidi"/>
          <w:sz w:val="23"/>
          <w:szCs w:val="23"/>
        </w:rPr>
        <w:t>)</w:t>
      </w:r>
      <w:r w:rsidR="00F00E3D" w:rsidRPr="256F645F">
        <w:rPr>
          <w:rFonts w:asciiTheme="majorHAnsi" w:eastAsiaTheme="majorEastAsia" w:hAnsiTheme="majorHAnsi" w:cstheme="majorBidi"/>
          <w:sz w:val="23"/>
          <w:szCs w:val="23"/>
        </w:rPr>
        <w:t xml:space="preserve"> </w:t>
      </w:r>
      <w:r>
        <w:rPr>
          <w:rFonts w:asciiTheme="majorHAnsi" w:eastAsiaTheme="majorEastAsia" w:hAnsiTheme="majorHAnsi" w:cstheme="majorBidi"/>
          <w:sz w:val="23"/>
          <w:szCs w:val="23"/>
        </w:rPr>
        <w:t xml:space="preserve">and </w:t>
      </w:r>
      <w:r w:rsidR="00F00E3D" w:rsidRPr="256F645F">
        <w:rPr>
          <w:rFonts w:asciiTheme="majorHAnsi" w:eastAsiaTheme="majorEastAsia" w:hAnsiTheme="majorHAnsi" w:cstheme="majorBidi"/>
          <w:sz w:val="23"/>
          <w:szCs w:val="23"/>
        </w:rPr>
        <w:t xml:space="preserve">social groups </w:t>
      </w:r>
      <w:r w:rsidR="00FB4D7A">
        <w:rPr>
          <w:rFonts w:asciiTheme="majorHAnsi" w:eastAsiaTheme="majorEastAsia" w:hAnsiTheme="majorHAnsi" w:cstheme="majorBidi"/>
          <w:sz w:val="23"/>
          <w:szCs w:val="23"/>
        </w:rPr>
        <w:t>(including t</w:t>
      </w:r>
      <w:r w:rsidR="00F00E3D" w:rsidRPr="256F645F">
        <w:rPr>
          <w:rFonts w:asciiTheme="majorHAnsi" w:eastAsiaTheme="majorEastAsia" w:hAnsiTheme="majorHAnsi" w:cstheme="majorBidi"/>
          <w:sz w:val="23"/>
          <w:szCs w:val="23"/>
        </w:rPr>
        <w:t>he young, women</w:t>
      </w:r>
      <w:r w:rsidR="00FB4D7A">
        <w:rPr>
          <w:rFonts w:asciiTheme="majorHAnsi" w:eastAsiaTheme="majorEastAsia" w:hAnsiTheme="majorHAnsi" w:cstheme="majorBidi"/>
          <w:sz w:val="23"/>
          <w:szCs w:val="23"/>
        </w:rPr>
        <w:t>,</w:t>
      </w:r>
      <w:r w:rsidR="00F00E3D" w:rsidRPr="256F645F">
        <w:rPr>
          <w:rFonts w:asciiTheme="majorHAnsi" w:eastAsiaTheme="majorEastAsia" w:hAnsiTheme="majorHAnsi" w:cstheme="majorBidi"/>
          <w:sz w:val="23"/>
          <w:szCs w:val="23"/>
        </w:rPr>
        <w:t xml:space="preserve"> and single parents</w:t>
      </w:r>
      <w:r w:rsidR="00FB4D7A">
        <w:rPr>
          <w:rFonts w:asciiTheme="majorHAnsi" w:eastAsiaTheme="majorEastAsia" w:hAnsiTheme="majorHAnsi" w:cstheme="majorBidi"/>
          <w:sz w:val="23"/>
          <w:szCs w:val="23"/>
        </w:rPr>
        <w:t>)</w:t>
      </w:r>
      <w:r w:rsidR="00F00E3D" w:rsidRPr="256F645F">
        <w:rPr>
          <w:rFonts w:asciiTheme="majorHAnsi" w:eastAsiaTheme="majorEastAsia" w:hAnsiTheme="majorHAnsi" w:cstheme="majorBidi"/>
          <w:sz w:val="23"/>
          <w:szCs w:val="23"/>
        </w:rPr>
        <w:t xml:space="preserve">. We also know that </w:t>
      </w:r>
      <w:r w:rsidR="00F00E3D">
        <w:rPr>
          <w:rFonts w:asciiTheme="majorHAnsi" w:eastAsiaTheme="majorEastAsia" w:hAnsiTheme="majorHAnsi" w:cstheme="majorBidi"/>
          <w:sz w:val="23"/>
          <w:szCs w:val="23"/>
        </w:rPr>
        <w:t>communities affected by disadvantage</w:t>
      </w:r>
      <w:r w:rsidR="00F00E3D" w:rsidRPr="256F645F">
        <w:rPr>
          <w:rFonts w:asciiTheme="majorHAnsi" w:eastAsiaTheme="majorEastAsia" w:hAnsiTheme="majorHAnsi" w:cstheme="majorBidi"/>
          <w:sz w:val="23"/>
          <w:szCs w:val="23"/>
        </w:rPr>
        <w:t xml:space="preserve"> tended to fare worse</w:t>
      </w:r>
      <w:r w:rsidR="00FB4D7A">
        <w:rPr>
          <w:rFonts w:asciiTheme="majorHAnsi" w:eastAsiaTheme="majorEastAsia" w:hAnsiTheme="majorHAnsi" w:cstheme="majorBidi"/>
          <w:sz w:val="23"/>
          <w:szCs w:val="23"/>
        </w:rPr>
        <w:t xml:space="preserve"> during crises</w:t>
      </w:r>
      <w:r w:rsidR="00F00E3D" w:rsidRPr="256F645F">
        <w:rPr>
          <w:rFonts w:asciiTheme="majorHAnsi" w:eastAsiaTheme="majorEastAsia" w:hAnsiTheme="majorHAnsi" w:cstheme="majorBidi"/>
          <w:sz w:val="23"/>
          <w:szCs w:val="23"/>
        </w:rPr>
        <w:t>, though the evidence for Corio</w:t>
      </w:r>
      <w:r w:rsidR="00A21EED">
        <w:rPr>
          <w:rFonts w:asciiTheme="majorHAnsi" w:eastAsiaTheme="majorEastAsia" w:hAnsiTheme="majorHAnsi" w:cstheme="majorBidi"/>
          <w:sz w:val="23"/>
          <w:szCs w:val="23"/>
        </w:rPr>
        <w:t xml:space="preserve">, </w:t>
      </w:r>
      <w:r w:rsidR="00F00E3D" w:rsidRPr="256F645F">
        <w:rPr>
          <w:rFonts w:asciiTheme="majorHAnsi" w:eastAsiaTheme="majorEastAsia" w:hAnsiTheme="majorHAnsi" w:cstheme="majorBidi"/>
          <w:sz w:val="23"/>
          <w:szCs w:val="23"/>
        </w:rPr>
        <w:t>Norlane</w:t>
      </w:r>
      <w:r w:rsidR="00A21EED">
        <w:rPr>
          <w:rFonts w:asciiTheme="majorHAnsi" w:eastAsiaTheme="majorEastAsia" w:hAnsiTheme="majorHAnsi" w:cstheme="majorBidi"/>
          <w:sz w:val="23"/>
          <w:szCs w:val="23"/>
        </w:rPr>
        <w:t>,</w:t>
      </w:r>
      <w:r w:rsidR="00F00E3D" w:rsidRPr="256F645F">
        <w:rPr>
          <w:rFonts w:asciiTheme="majorHAnsi" w:eastAsiaTheme="majorEastAsia" w:hAnsiTheme="majorHAnsi" w:cstheme="majorBidi"/>
          <w:sz w:val="23"/>
          <w:szCs w:val="23"/>
        </w:rPr>
        <w:t xml:space="preserve"> and Whittington showed a variable pattern, perhaps related to the </w:t>
      </w:r>
      <w:r w:rsidR="00EA5CB7">
        <w:rPr>
          <w:rFonts w:asciiTheme="majorHAnsi" w:eastAsiaTheme="majorEastAsia" w:hAnsiTheme="majorHAnsi" w:cstheme="majorBidi"/>
          <w:sz w:val="23"/>
          <w:szCs w:val="23"/>
        </w:rPr>
        <w:t xml:space="preserve">local </w:t>
      </w:r>
      <w:r w:rsidR="00F00E3D" w:rsidRPr="256F645F">
        <w:rPr>
          <w:rFonts w:asciiTheme="majorHAnsi" w:eastAsiaTheme="majorEastAsia" w:hAnsiTheme="majorHAnsi" w:cstheme="majorBidi"/>
          <w:sz w:val="23"/>
          <w:szCs w:val="23"/>
        </w:rPr>
        <w:t xml:space="preserve">dominance of </w:t>
      </w:r>
      <w:r w:rsidR="00EA5CB7">
        <w:rPr>
          <w:rFonts w:asciiTheme="majorHAnsi" w:eastAsiaTheme="majorEastAsia" w:hAnsiTheme="majorHAnsi" w:cstheme="majorBidi"/>
          <w:sz w:val="23"/>
          <w:szCs w:val="23"/>
        </w:rPr>
        <w:t>occupations</w:t>
      </w:r>
      <w:r w:rsidR="00F00E3D" w:rsidRPr="256F645F">
        <w:rPr>
          <w:rFonts w:asciiTheme="majorHAnsi" w:eastAsiaTheme="majorEastAsia" w:hAnsiTheme="majorHAnsi" w:cstheme="majorBidi"/>
          <w:sz w:val="23"/>
          <w:szCs w:val="23"/>
        </w:rPr>
        <w:t xml:space="preserve"> </w:t>
      </w:r>
      <w:r w:rsidR="00A21EED">
        <w:rPr>
          <w:rFonts w:asciiTheme="majorHAnsi" w:eastAsiaTheme="majorEastAsia" w:hAnsiTheme="majorHAnsi" w:cstheme="majorBidi"/>
          <w:sz w:val="23"/>
          <w:szCs w:val="23"/>
        </w:rPr>
        <w:t>suddenly deemed “essential”</w:t>
      </w:r>
      <w:r w:rsidR="00F00E3D" w:rsidRPr="256F645F">
        <w:rPr>
          <w:rFonts w:asciiTheme="majorHAnsi" w:eastAsiaTheme="majorEastAsia" w:hAnsiTheme="majorHAnsi" w:cstheme="majorBidi"/>
          <w:sz w:val="23"/>
          <w:szCs w:val="23"/>
        </w:rPr>
        <w:t xml:space="preserve"> during the pandemic.</w:t>
      </w:r>
      <w:r w:rsidR="00A21EED">
        <w:rPr>
          <w:rFonts w:asciiTheme="majorHAnsi" w:eastAsiaTheme="majorEastAsia" w:hAnsiTheme="majorHAnsi" w:cstheme="majorBidi"/>
          <w:sz w:val="23"/>
          <w:szCs w:val="23"/>
        </w:rPr>
        <w:t xml:space="preserve"> </w:t>
      </w:r>
      <w:r w:rsidR="00F00E3D" w:rsidRPr="256F645F">
        <w:rPr>
          <w:rFonts w:asciiTheme="majorHAnsi" w:eastAsiaTheme="majorEastAsia" w:hAnsiTheme="majorHAnsi" w:cstheme="majorBidi"/>
          <w:sz w:val="23"/>
          <w:szCs w:val="23"/>
        </w:rPr>
        <w:t>However, a</w:t>
      </w:r>
      <w:r w:rsidR="00A21EED">
        <w:rPr>
          <w:rFonts w:asciiTheme="majorHAnsi" w:eastAsiaTheme="majorEastAsia" w:hAnsiTheme="majorHAnsi" w:cstheme="majorBidi"/>
          <w:sz w:val="23"/>
          <w:szCs w:val="23"/>
        </w:rPr>
        <w:t>n initial</w:t>
      </w:r>
      <w:r w:rsidR="00F00E3D" w:rsidRPr="256F645F">
        <w:rPr>
          <w:rFonts w:asciiTheme="majorHAnsi" w:eastAsiaTheme="majorEastAsia" w:hAnsiTheme="majorHAnsi" w:cstheme="majorBidi"/>
          <w:sz w:val="23"/>
          <w:szCs w:val="23"/>
        </w:rPr>
        <w:t xml:space="preserve"> fall in levels of </w:t>
      </w:r>
      <w:r w:rsidR="00A21EED">
        <w:rPr>
          <w:rFonts w:asciiTheme="majorHAnsi" w:eastAsiaTheme="majorEastAsia" w:hAnsiTheme="majorHAnsi" w:cstheme="majorBidi"/>
          <w:sz w:val="23"/>
          <w:szCs w:val="23"/>
        </w:rPr>
        <w:t xml:space="preserve">local </w:t>
      </w:r>
      <w:r w:rsidR="00F00E3D" w:rsidRPr="256F645F">
        <w:rPr>
          <w:rFonts w:asciiTheme="majorHAnsi" w:eastAsiaTheme="majorEastAsia" w:hAnsiTheme="majorHAnsi" w:cstheme="majorBidi"/>
          <w:sz w:val="23"/>
          <w:szCs w:val="23"/>
        </w:rPr>
        <w:t>unemployment</w:t>
      </w:r>
      <w:r w:rsidR="00A21EED">
        <w:rPr>
          <w:rFonts w:asciiTheme="majorHAnsi" w:eastAsiaTheme="majorEastAsia" w:hAnsiTheme="majorHAnsi" w:cstheme="majorBidi"/>
          <w:sz w:val="23"/>
          <w:szCs w:val="23"/>
        </w:rPr>
        <w:t xml:space="preserve"> was followed by</w:t>
      </w:r>
      <w:r w:rsidR="00F00E3D" w:rsidRPr="256F645F">
        <w:rPr>
          <w:rFonts w:asciiTheme="majorHAnsi" w:eastAsiaTheme="majorEastAsia" w:hAnsiTheme="majorHAnsi" w:cstheme="majorBidi"/>
          <w:sz w:val="23"/>
          <w:szCs w:val="23"/>
        </w:rPr>
        <w:t xml:space="preserve"> a significant rise</w:t>
      </w:r>
      <w:r w:rsidR="00A21EED">
        <w:rPr>
          <w:rFonts w:asciiTheme="majorHAnsi" w:eastAsiaTheme="majorEastAsia" w:hAnsiTheme="majorHAnsi" w:cstheme="majorBidi"/>
          <w:sz w:val="23"/>
          <w:szCs w:val="23"/>
        </w:rPr>
        <w:t>. T</w:t>
      </w:r>
      <w:r w:rsidR="00F00E3D" w:rsidRPr="256F645F">
        <w:rPr>
          <w:rFonts w:asciiTheme="majorHAnsi" w:eastAsiaTheme="majorEastAsia" w:hAnsiTheme="majorHAnsi" w:cstheme="majorBidi"/>
          <w:sz w:val="23"/>
          <w:szCs w:val="23"/>
        </w:rPr>
        <w:t xml:space="preserve">he issue of training and employment remains a fundamental one for these </w:t>
      </w:r>
      <w:r w:rsidR="00A21EED">
        <w:rPr>
          <w:rFonts w:asciiTheme="majorHAnsi" w:eastAsiaTheme="majorEastAsia" w:hAnsiTheme="majorHAnsi" w:cstheme="majorBidi"/>
          <w:sz w:val="23"/>
          <w:szCs w:val="23"/>
        </w:rPr>
        <w:t>localities</w:t>
      </w:r>
      <w:r w:rsidR="00F00E3D" w:rsidRPr="256F645F">
        <w:rPr>
          <w:rFonts w:asciiTheme="majorHAnsi" w:eastAsiaTheme="majorEastAsia" w:hAnsiTheme="majorHAnsi" w:cstheme="majorBidi"/>
          <w:sz w:val="23"/>
          <w:szCs w:val="23"/>
        </w:rPr>
        <w:t xml:space="preserve">, despite successful </w:t>
      </w:r>
      <w:r w:rsidR="00B00931">
        <w:rPr>
          <w:rFonts w:asciiTheme="majorHAnsi" w:eastAsiaTheme="majorEastAsia" w:hAnsiTheme="majorHAnsi" w:cstheme="majorBidi"/>
          <w:sz w:val="23"/>
          <w:szCs w:val="23"/>
        </w:rPr>
        <w:t xml:space="preserve">existing </w:t>
      </w:r>
      <w:r w:rsidR="00F00E3D" w:rsidRPr="256F645F">
        <w:rPr>
          <w:rFonts w:asciiTheme="majorHAnsi" w:eastAsiaTheme="majorEastAsia" w:hAnsiTheme="majorHAnsi" w:cstheme="majorBidi"/>
          <w:sz w:val="23"/>
          <w:szCs w:val="23"/>
        </w:rPr>
        <w:t>programs such as GROW and RISE.</w:t>
      </w:r>
    </w:p>
    <w:p w14:paraId="55FA6334" w14:textId="0A3DEE0C" w:rsidR="00E05BDF" w:rsidRDefault="00F25308" w:rsidP="009B2FA7">
      <w:pPr>
        <w:spacing w:line="276" w:lineRule="auto"/>
        <w:rPr>
          <w:rFonts w:asciiTheme="majorHAnsi" w:eastAsiaTheme="majorEastAsia" w:hAnsiTheme="majorHAnsi" w:cstheme="majorBidi"/>
          <w:sz w:val="23"/>
          <w:szCs w:val="23"/>
        </w:rPr>
      </w:pPr>
      <w:r>
        <w:rPr>
          <w:rFonts w:asciiTheme="majorHAnsi" w:eastAsiaTheme="majorEastAsia" w:hAnsiTheme="majorHAnsi" w:cstheme="majorBidi"/>
          <w:sz w:val="23"/>
          <w:szCs w:val="23"/>
        </w:rPr>
        <w:t>T</w:t>
      </w:r>
      <w:r w:rsidR="00F00E3D" w:rsidRPr="256F645F">
        <w:rPr>
          <w:rFonts w:asciiTheme="majorHAnsi" w:eastAsiaTheme="majorEastAsia" w:hAnsiTheme="majorHAnsi" w:cstheme="majorBidi"/>
          <w:sz w:val="23"/>
          <w:szCs w:val="23"/>
        </w:rPr>
        <w:t xml:space="preserve">he shift to home schooling and increased reliance on digital delivery highlighted the problems faced by populations with </w:t>
      </w:r>
      <w:r w:rsidR="00B00931">
        <w:rPr>
          <w:rFonts w:asciiTheme="majorHAnsi" w:eastAsiaTheme="majorEastAsia" w:hAnsiTheme="majorHAnsi" w:cstheme="majorBidi"/>
          <w:sz w:val="23"/>
          <w:szCs w:val="23"/>
        </w:rPr>
        <w:t>low rates of digital inclusion, and</w:t>
      </w:r>
      <w:r w:rsidR="00F00E3D" w:rsidRPr="256F645F">
        <w:rPr>
          <w:rFonts w:asciiTheme="majorHAnsi" w:eastAsiaTheme="majorEastAsia" w:hAnsiTheme="majorHAnsi" w:cstheme="majorBidi"/>
          <w:sz w:val="23"/>
          <w:szCs w:val="23"/>
        </w:rPr>
        <w:t xml:space="preserve"> the particular challenges faced by Indigenous</w:t>
      </w:r>
      <w:r w:rsidR="00B00931">
        <w:rPr>
          <w:rFonts w:asciiTheme="majorHAnsi" w:eastAsiaTheme="majorEastAsia" w:hAnsiTheme="majorHAnsi" w:cstheme="majorBidi"/>
          <w:sz w:val="23"/>
          <w:szCs w:val="23"/>
        </w:rPr>
        <w:t xml:space="preserve">, </w:t>
      </w:r>
      <w:r w:rsidR="00F00E3D" w:rsidRPr="256F645F">
        <w:rPr>
          <w:rFonts w:asciiTheme="majorHAnsi" w:eastAsiaTheme="majorEastAsia" w:hAnsiTheme="majorHAnsi" w:cstheme="majorBidi"/>
          <w:sz w:val="23"/>
          <w:szCs w:val="23"/>
        </w:rPr>
        <w:t>disabled</w:t>
      </w:r>
      <w:r w:rsidR="00150605">
        <w:rPr>
          <w:rFonts w:asciiTheme="majorHAnsi" w:eastAsiaTheme="majorEastAsia" w:hAnsiTheme="majorHAnsi" w:cstheme="majorBidi"/>
          <w:sz w:val="23"/>
          <w:szCs w:val="23"/>
        </w:rPr>
        <w:t>, and CALD</w:t>
      </w:r>
      <w:r w:rsidR="00F00E3D" w:rsidRPr="256F645F">
        <w:rPr>
          <w:rFonts w:asciiTheme="majorHAnsi" w:eastAsiaTheme="majorEastAsia" w:hAnsiTheme="majorHAnsi" w:cstheme="majorBidi"/>
          <w:sz w:val="23"/>
          <w:szCs w:val="23"/>
        </w:rPr>
        <w:t xml:space="preserve"> students. While </w:t>
      </w:r>
      <w:r>
        <w:rPr>
          <w:rFonts w:asciiTheme="majorHAnsi" w:eastAsiaTheme="majorEastAsia" w:hAnsiTheme="majorHAnsi" w:cstheme="majorBidi"/>
          <w:sz w:val="23"/>
          <w:szCs w:val="23"/>
        </w:rPr>
        <w:t xml:space="preserve">some </w:t>
      </w:r>
      <w:r w:rsidR="00F00E3D" w:rsidRPr="256F645F">
        <w:rPr>
          <w:rFonts w:asciiTheme="majorHAnsi" w:eastAsiaTheme="majorEastAsia" w:hAnsiTheme="majorHAnsi" w:cstheme="majorBidi"/>
          <w:sz w:val="23"/>
          <w:szCs w:val="23"/>
        </w:rPr>
        <w:t xml:space="preserve">health services were successfully delivered remotely via telehealth, </w:t>
      </w:r>
      <w:r w:rsidR="00150605">
        <w:rPr>
          <w:rFonts w:asciiTheme="majorHAnsi" w:eastAsiaTheme="majorEastAsia" w:hAnsiTheme="majorHAnsi" w:cstheme="majorBidi"/>
          <w:sz w:val="23"/>
          <w:szCs w:val="23"/>
        </w:rPr>
        <w:t xml:space="preserve">not all residents could access them. </w:t>
      </w:r>
      <w:r w:rsidR="00E05BDF">
        <w:rPr>
          <w:rFonts w:asciiTheme="majorHAnsi" w:eastAsiaTheme="majorEastAsia" w:hAnsiTheme="majorHAnsi" w:cstheme="majorBidi"/>
          <w:sz w:val="23"/>
          <w:szCs w:val="23"/>
        </w:rPr>
        <w:t>During the stress of COVID-19</w:t>
      </w:r>
      <w:r>
        <w:rPr>
          <w:rFonts w:asciiTheme="majorHAnsi" w:eastAsiaTheme="majorEastAsia" w:hAnsiTheme="majorHAnsi" w:cstheme="majorBidi"/>
          <w:sz w:val="23"/>
          <w:szCs w:val="23"/>
        </w:rPr>
        <w:t>,</w:t>
      </w:r>
      <w:r w:rsidR="00150605">
        <w:rPr>
          <w:rFonts w:asciiTheme="majorHAnsi" w:eastAsiaTheme="majorEastAsia" w:hAnsiTheme="majorHAnsi" w:cstheme="majorBidi"/>
          <w:sz w:val="23"/>
          <w:szCs w:val="23"/>
        </w:rPr>
        <w:t xml:space="preserve"> </w:t>
      </w:r>
      <w:r w:rsidR="00F00E3D" w:rsidRPr="256F645F">
        <w:rPr>
          <w:rFonts w:asciiTheme="majorHAnsi" w:eastAsiaTheme="majorEastAsia" w:hAnsiTheme="majorHAnsi" w:cstheme="majorBidi"/>
          <w:sz w:val="23"/>
          <w:szCs w:val="23"/>
        </w:rPr>
        <w:t>domestic violence</w:t>
      </w:r>
      <w:r w:rsidR="00150605">
        <w:rPr>
          <w:rFonts w:asciiTheme="majorHAnsi" w:eastAsiaTheme="majorEastAsia" w:hAnsiTheme="majorHAnsi" w:cstheme="majorBidi"/>
          <w:sz w:val="23"/>
          <w:szCs w:val="23"/>
        </w:rPr>
        <w:t xml:space="preserve">, </w:t>
      </w:r>
      <w:r w:rsidR="00F00E3D" w:rsidRPr="256F645F">
        <w:rPr>
          <w:rFonts w:asciiTheme="majorHAnsi" w:eastAsiaTheme="majorEastAsia" w:hAnsiTheme="majorHAnsi" w:cstheme="majorBidi"/>
          <w:sz w:val="23"/>
          <w:szCs w:val="23"/>
        </w:rPr>
        <w:t xml:space="preserve">mental health </w:t>
      </w:r>
      <w:r w:rsidR="00150605">
        <w:rPr>
          <w:rFonts w:asciiTheme="majorHAnsi" w:eastAsiaTheme="majorEastAsia" w:hAnsiTheme="majorHAnsi" w:cstheme="majorBidi"/>
          <w:sz w:val="23"/>
          <w:szCs w:val="23"/>
        </w:rPr>
        <w:t xml:space="preserve">issues, and food insecurity </w:t>
      </w:r>
      <w:r w:rsidR="00F00E3D" w:rsidRPr="256F645F">
        <w:rPr>
          <w:rFonts w:asciiTheme="majorHAnsi" w:eastAsiaTheme="majorEastAsia" w:hAnsiTheme="majorHAnsi" w:cstheme="majorBidi"/>
          <w:sz w:val="23"/>
          <w:szCs w:val="23"/>
        </w:rPr>
        <w:t xml:space="preserve">may well have presented </w:t>
      </w:r>
      <w:r w:rsidR="00E05BDF">
        <w:rPr>
          <w:rFonts w:asciiTheme="majorHAnsi" w:eastAsiaTheme="majorEastAsia" w:hAnsiTheme="majorHAnsi" w:cstheme="majorBidi"/>
          <w:sz w:val="23"/>
          <w:szCs w:val="23"/>
        </w:rPr>
        <w:t xml:space="preserve">additional and </w:t>
      </w:r>
      <w:r w:rsidR="00F00E3D" w:rsidRPr="256F645F">
        <w:rPr>
          <w:rFonts w:asciiTheme="majorHAnsi" w:eastAsiaTheme="majorEastAsia" w:hAnsiTheme="majorHAnsi" w:cstheme="majorBidi"/>
          <w:sz w:val="23"/>
          <w:szCs w:val="23"/>
        </w:rPr>
        <w:t>serious challenges for</w:t>
      </w:r>
      <w:r w:rsidR="00150605">
        <w:rPr>
          <w:rFonts w:asciiTheme="majorHAnsi" w:eastAsiaTheme="majorEastAsia" w:hAnsiTheme="majorHAnsi" w:cstheme="majorBidi"/>
          <w:sz w:val="23"/>
          <w:szCs w:val="23"/>
        </w:rPr>
        <w:t xml:space="preserve"> both residents and</w:t>
      </w:r>
      <w:r w:rsidR="00F00E3D" w:rsidRPr="256F645F">
        <w:rPr>
          <w:rFonts w:asciiTheme="majorHAnsi" w:eastAsiaTheme="majorEastAsia" w:hAnsiTheme="majorHAnsi" w:cstheme="majorBidi"/>
          <w:sz w:val="23"/>
          <w:szCs w:val="23"/>
        </w:rPr>
        <w:t xml:space="preserve"> services in these </w:t>
      </w:r>
      <w:r w:rsidR="00E05BDF">
        <w:rPr>
          <w:rFonts w:asciiTheme="majorHAnsi" w:eastAsiaTheme="majorEastAsia" w:hAnsiTheme="majorHAnsi" w:cstheme="majorBidi"/>
          <w:sz w:val="23"/>
          <w:szCs w:val="23"/>
        </w:rPr>
        <w:t>localities</w:t>
      </w:r>
      <w:r w:rsidR="00F00E3D" w:rsidRPr="256F645F">
        <w:rPr>
          <w:rFonts w:asciiTheme="majorHAnsi" w:eastAsiaTheme="majorEastAsia" w:hAnsiTheme="majorHAnsi" w:cstheme="majorBidi"/>
          <w:sz w:val="23"/>
          <w:szCs w:val="23"/>
        </w:rPr>
        <w:t>.</w:t>
      </w:r>
    </w:p>
    <w:p w14:paraId="1C963FAA" w14:textId="54176B76" w:rsidR="00F00E3D" w:rsidRPr="00E91887" w:rsidRDefault="00E05C1B" w:rsidP="00D82B04">
      <w:pPr>
        <w:spacing w:line="276" w:lineRule="auto"/>
        <w:rPr>
          <w:rFonts w:asciiTheme="majorHAnsi" w:eastAsiaTheme="majorEastAsia" w:hAnsiTheme="majorHAnsi" w:cstheme="majorBidi"/>
          <w:sz w:val="23"/>
          <w:szCs w:val="23"/>
        </w:rPr>
      </w:pPr>
      <w:r>
        <w:rPr>
          <w:rFonts w:asciiTheme="majorHAnsi" w:eastAsiaTheme="majorEastAsia" w:hAnsiTheme="majorHAnsi" w:cstheme="majorBidi"/>
          <w:sz w:val="23"/>
          <w:szCs w:val="23"/>
        </w:rPr>
        <w:t xml:space="preserve">JobKeeper </w:t>
      </w:r>
      <w:r w:rsidR="00F25308">
        <w:rPr>
          <w:rFonts w:asciiTheme="majorHAnsi" w:eastAsiaTheme="majorEastAsia" w:hAnsiTheme="majorHAnsi" w:cstheme="majorBidi"/>
          <w:sz w:val="23"/>
          <w:szCs w:val="23"/>
        </w:rPr>
        <w:t xml:space="preserve">payments </w:t>
      </w:r>
      <w:r>
        <w:rPr>
          <w:rFonts w:asciiTheme="majorHAnsi" w:eastAsiaTheme="majorEastAsia" w:hAnsiTheme="majorHAnsi" w:cstheme="majorBidi"/>
          <w:sz w:val="23"/>
          <w:szCs w:val="23"/>
        </w:rPr>
        <w:t xml:space="preserve">and the JobSeeker supplement </w:t>
      </w:r>
      <w:r w:rsidR="0078462D">
        <w:rPr>
          <w:rFonts w:asciiTheme="majorHAnsi" w:eastAsiaTheme="majorEastAsia" w:hAnsiTheme="majorHAnsi" w:cstheme="majorBidi"/>
          <w:sz w:val="23"/>
          <w:szCs w:val="23"/>
        </w:rPr>
        <w:t>evidently proved</w:t>
      </w:r>
      <w:r>
        <w:rPr>
          <w:rFonts w:asciiTheme="majorHAnsi" w:eastAsiaTheme="majorEastAsia" w:hAnsiTheme="majorHAnsi" w:cstheme="majorBidi"/>
          <w:sz w:val="23"/>
          <w:szCs w:val="23"/>
        </w:rPr>
        <w:t xml:space="preserve"> a lifeline for these comm</w:t>
      </w:r>
      <w:r w:rsidR="002C3177">
        <w:rPr>
          <w:rFonts w:asciiTheme="majorHAnsi" w:eastAsiaTheme="majorEastAsia" w:hAnsiTheme="majorHAnsi" w:cstheme="majorBidi"/>
          <w:sz w:val="23"/>
          <w:szCs w:val="23"/>
        </w:rPr>
        <w:t>unities,</w:t>
      </w:r>
      <w:r w:rsidR="0078462D">
        <w:rPr>
          <w:rFonts w:asciiTheme="majorHAnsi" w:eastAsiaTheme="majorEastAsia" w:hAnsiTheme="majorHAnsi" w:cstheme="majorBidi"/>
          <w:sz w:val="23"/>
          <w:szCs w:val="23"/>
        </w:rPr>
        <w:t xml:space="preserve"> easing the impacts of unemployment and housing stress,</w:t>
      </w:r>
      <w:r w:rsidR="002C3177">
        <w:rPr>
          <w:rFonts w:asciiTheme="majorHAnsi" w:eastAsiaTheme="majorEastAsia" w:hAnsiTheme="majorHAnsi" w:cstheme="majorBidi"/>
          <w:sz w:val="23"/>
          <w:szCs w:val="23"/>
        </w:rPr>
        <w:t xml:space="preserve"> while </w:t>
      </w:r>
      <w:r w:rsidR="002C3177" w:rsidRPr="256F645F">
        <w:rPr>
          <w:rFonts w:asciiTheme="majorHAnsi" w:eastAsiaTheme="majorEastAsia" w:hAnsiTheme="majorHAnsi" w:cstheme="majorBidi"/>
          <w:sz w:val="23"/>
          <w:szCs w:val="23"/>
        </w:rPr>
        <w:t xml:space="preserve">rental </w:t>
      </w:r>
      <w:r w:rsidR="002C3177">
        <w:rPr>
          <w:rFonts w:asciiTheme="majorHAnsi" w:eastAsiaTheme="majorEastAsia" w:hAnsiTheme="majorHAnsi" w:cstheme="majorBidi"/>
          <w:sz w:val="23"/>
          <w:szCs w:val="23"/>
        </w:rPr>
        <w:t xml:space="preserve">variations </w:t>
      </w:r>
      <w:r w:rsidR="002C3177" w:rsidRPr="256F645F">
        <w:rPr>
          <w:rFonts w:asciiTheme="majorHAnsi" w:eastAsiaTheme="majorEastAsia" w:hAnsiTheme="majorHAnsi" w:cstheme="majorBidi"/>
          <w:sz w:val="23"/>
          <w:szCs w:val="23"/>
        </w:rPr>
        <w:t xml:space="preserve">and mortgage holidays may have </w:t>
      </w:r>
      <w:r w:rsidR="0078462D">
        <w:rPr>
          <w:rFonts w:asciiTheme="majorHAnsi" w:eastAsiaTheme="majorEastAsia" w:hAnsiTheme="majorHAnsi" w:cstheme="majorBidi"/>
          <w:sz w:val="23"/>
          <w:szCs w:val="23"/>
        </w:rPr>
        <w:t>assisted a</w:t>
      </w:r>
      <w:r w:rsidR="002C3177">
        <w:rPr>
          <w:rFonts w:asciiTheme="majorHAnsi" w:eastAsiaTheme="majorEastAsia" w:hAnsiTheme="majorHAnsi" w:cstheme="majorBidi"/>
          <w:sz w:val="23"/>
          <w:szCs w:val="23"/>
        </w:rPr>
        <w:t xml:space="preserve"> minority of residents</w:t>
      </w:r>
      <w:r w:rsidR="002C3177" w:rsidRPr="256F645F">
        <w:rPr>
          <w:rFonts w:asciiTheme="majorHAnsi" w:eastAsiaTheme="majorEastAsia" w:hAnsiTheme="majorHAnsi" w:cstheme="majorBidi"/>
          <w:sz w:val="23"/>
          <w:szCs w:val="23"/>
        </w:rPr>
        <w:t>.</w:t>
      </w:r>
      <w:r w:rsidR="0078462D">
        <w:rPr>
          <w:rFonts w:asciiTheme="majorHAnsi" w:eastAsiaTheme="majorEastAsia" w:hAnsiTheme="majorHAnsi" w:cstheme="majorBidi"/>
          <w:sz w:val="23"/>
          <w:szCs w:val="23"/>
        </w:rPr>
        <w:t xml:space="preserve"> But</w:t>
      </w:r>
      <w:r w:rsidR="002C3177" w:rsidRPr="256F645F">
        <w:rPr>
          <w:rFonts w:asciiTheme="majorHAnsi" w:eastAsiaTheme="majorEastAsia" w:hAnsiTheme="majorHAnsi" w:cstheme="majorBidi"/>
          <w:sz w:val="23"/>
          <w:szCs w:val="23"/>
        </w:rPr>
        <w:t xml:space="preserve"> </w:t>
      </w:r>
      <w:r w:rsidRPr="256F645F">
        <w:rPr>
          <w:rFonts w:asciiTheme="majorHAnsi" w:eastAsiaTheme="majorEastAsia" w:hAnsiTheme="majorHAnsi" w:cstheme="majorBidi"/>
          <w:sz w:val="23"/>
          <w:szCs w:val="23"/>
        </w:rPr>
        <w:t>the removal of these supports</w:t>
      </w:r>
      <w:r w:rsidR="006014D2">
        <w:rPr>
          <w:rFonts w:asciiTheme="majorHAnsi" w:eastAsiaTheme="majorEastAsia" w:hAnsiTheme="majorHAnsi" w:cstheme="majorBidi"/>
          <w:sz w:val="23"/>
          <w:szCs w:val="23"/>
        </w:rPr>
        <w:t xml:space="preserve"> in late March 2021</w:t>
      </w:r>
      <w:r w:rsidRPr="256F645F">
        <w:rPr>
          <w:rFonts w:asciiTheme="majorHAnsi" w:eastAsiaTheme="majorEastAsia" w:hAnsiTheme="majorHAnsi" w:cstheme="majorBidi"/>
          <w:sz w:val="23"/>
          <w:szCs w:val="23"/>
        </w:rPr>
        <w:t xml:space="preserve"> highlights </w:t>
      </w:r>
      <w:r w:rsidR="006014D2">
        <w:rPr>
          <w:rFonts w:asciiTheme="majorHAnsi" w:eastAsiaTheme="majorEastAsia" w:hAnsiTheme="majorHAnsi" w:cstheme="majorBidi"/>
          <w:sz w:val="23"/>
          <w:szCs w:val="23"/>
        </w:rPr>
        <w:t>the</w:t>
      </w:r>
      <w:r w:rsidRPr="256F645F">
        <w:rPr>
          <w:rFonts w:asciiTheme="majorHAnsi" w:eastAsiaTheme="majorEastAsia" w:hAnsiTheme="majorHAnsi" w:cstheme="majorBidi"/>
          <w:sz w:val="23"/>
          <w:szCs w:val="23"/>
        </w:rPr>
        <w:t xml:space="preserve"> vulnerability of these </w:t>
      </w:r>
      <w:r w:rsidR="006014D2">
        <w:rPr>
          <w:rFonts w:asciiTheme="majorHAnsi" w:eastAsiaTheme="majorEastAsia" w:hAnsiTheme="majorHAnsi" w:cstheme="majorBidi"/>
          <w:sz w:val="23"/>
          <w:szCs w:val="23"/>
        </w:rPr>
        <w:t>communities</w:t>
      </w:r>
      <w:r w:rsidRPr="256F645F">
        <w:rPr>
          <w:rFonts w:asciiTheme="majorHAnsi" w:eastAsiaTheme="majorEastAsia" w:hAnsiTheme="majorHAnsi" w:cstheme="majorBidi"/>
          <w:sz w:val="23"/>
          <w:szCs w:val="23"/>
        </w:rPr>
        <w:t xml:space="preserve"> </w:t>
      </w:r>
      <w:r w:rsidR="006014D2">
        <w:rPr>
          <w:rFonts w:asciiTheme="majorHAnsi" w:eastAsiaTheme="majorEastAsia" w:hAnsiTheme="majorHAnsi" w:cstheme="majorBidi"/>
          <w:sz w:val="23"/>
          <w:szCs w:val="23"/>
        </w:rPr>
        <w:t xml:space="preserve">to housing stress and precarity, and we can expect the true scale of the impacts to emerge during the second half of 2021 and beyond. </w:t>
      </w:r>
      <w:r w:rsidR="00F00E3D" w:rsidRPr="256F645F">
        <w:rPr>
          <w:rFonts w:asciiTheme="majorHAnsi" w:eastAsiaTheme="majorEastAsia" w:hAnsiTheme="majorHAnsi" w:cstheme="majorBidi"/>
          <w:sz w:val="23"/>
          <w:szCs w:val="23"/>
        </w:rPr>
        <w:t xml:space="preserve">Finally, the pandemic circumscribed </w:t>
      </w:r>
      <w:r w:rsidR="006A012A">
        <w:rPr>
          <w:rFonts w:asciiTheme="majorHAnsi" w:eastAsiaTheme="majorEastAsia" w:hAnsiTheme="majorHAnsi" w:cstheme="majorBidi"/>
          <w:sz w:val="23"/>
          <w:szCs w:val="23"/>
        </w:rPr>
        <w:t xml:space="preserve">both </w:t>
      </w:r>
      <w:r w:rsidR="00BC218A">
        <w:rPr>
          <w:rFonts w:asciiTheme="majorHAnsi" w:eastAsiaTheme="majorEastAsia" w:hAnsiTheme="majorHAnsi" w:cstheme="majorBidi"/>
          <w:sz w:val="23"/>
          <w:szCs w:val="23"/>
        </w:rPr>
        <w:t xml:space="preserve">daily </w:t>
      </w:r>
      <w:r w:rsidR="00F00E3D" w:rsidRPr="256F645F">
        <w:rPr>
          <w:rFonts w:asciiTheme="majorHAnsi" w:eastAsiaTheme="majorEastAsia" w:hAnsiTheme="majorHAnsi" w:cstheme="majorBidi"/>
          <w:sz w:val="23"/>
          <w:szCs w:val="23"/>
        </w:rPr>
        <w:t xml:space="preserve">living and </w:t>
      </w:r>
      <w:r w:rsidR="00BC218A">
        <w:rPr>
          <w:rFonts w:asciiTheme="majorHAnsi" w:eastAsiaTheme="majorEastAsia" w:hAnsiTheme="majorHAnsi" w:cstheme="majorBidi"/>
          <w:sz w:val="23"/>
          <w:szCs w:val="23"/>
        </w:rPr>
        <w:t xml:space="preserve">mobility, and </w:t>
      </w:r>
      <w:r w:rsidR="00F00E3D" w:rsidRPr="256F645F">
        <w:rPr>
          <w:rFonts w:asciiTheme="majorHAnsi" w:eastAsiaTheme="majorEastAsia" w:hAnsiTheme="majorHAnsi" w:cstheme="majorBidi"/>
          <w:sz w:val="23"/>
          <w:szCs w:val="23"/>
        </w:rPr>
        <w:t xml:space="preserve">hence </w:t>
      </w:r>
      <w:r w:rsidR="006A012A">
        <w:rPr>
          <w:rFonts w:asciiTheme="majorHAnsi" w:eastAsiaTheme="majorEastAsia" w:hAnsiTheme="majorHAnsi" w:cstheme="majorBidi"/>
          <w:sz w:val="23"/>
          <w:szCs w:val="23"/>
        </w:rPr>
        <w:t xml:space="preserve">amplified both </w:t>
      </w:r>
      <w:r w:rsidR="00F00E3D" w:rsidRPr="256F645F">
        <w:rPr>
          <w:rFonts w:asciiTheme="majorHAnsi" w:eastAsiaTheme="majorEastAsia" w:hAnsiTheme="majorHAnsi" w:cstheme="majorBidi"/>
          <w:sz w:val="23"/>
          <w:szCs w:val="23"/>
        </w:rPr>
        <w:t xml:space="preserve">the demand and need for quality </w:t>
      </w:r>
      <w:r w:rsidR="00F00E3D" w:rsidRPr="51132883">
        <w:rPr>
          <w:rFonts w:asciiTheme="majorHAnsi" w:eastAsiaTheme="majorEastAsia" w:hAnsiTheme="majorHAnsi" w:cstheme="majorBidi"/>
          <w:i/>
          <w:sz w:val="23"/>
          <w:szCs w:val="23"/>
        </w:rPr>
        <w:t xml:space="preserve">local </w:t>
      </w:r>
      <w:r w:rsidR="00F00E3D" w:rsidRPr="256F645F">
        <w:rPr>
          <w:rFonts w:asciiTheme="majorHAnsi" w:eastAsiaTheme="majorEastAsia" w:hAnsiTheme="majorHAnsi" w:cstheme="majorBidi"/>
          <w:sz w:val="23"/>
          <w:szCs w:val="23"/>
        </w:rPr>
        <w:t>services</w:t>
      </w:r>
      <w:r w:rsidR="00BC218A">
        <w:rPr>
          <w:rFonts w:asciiTheme="majorHAnsi" w:eastAsiaTheme="majorEastAsia" w:hAnsiTheme="majorHAnsi" w:cstheme="majorBidi"/>
          <w:sz w:val="23"/>
          <w:szCs w:val="23"/>
        </w:rPr>
        <w:t>,</w:t>
      </w:r>
      <w:r w:rsidR="00F00E3D" w:rsidRPr="256F645F">
        <w:rPr>
          <w:rFonts w:asciiTheme="majorHAnsi" w:eastAsiaTheme="majorEastAsia" w:hAnsiTheme="majorHAnsi" w:cstheme="majorBidi"/>
          <w:sz w:val="23"/>
          <w:szCs w:val="23"/>
        </w:rPr>
        <w:t xml:space="preserve"> spaces,</w:t>
      </w:r>
      <w:r w:rsidR="00496432">
        <w:rPr>
          <w:rFonts w:asciiTheme="majorHAnsi" w:eastAsiaTheme="majorEastAsia" w:hAnsiTheme="majorHAnsi" w:cstheme="majorBidi"/>
          <w:sz w:val="23"/>
          <w:szCs w:val="23"/>
        </w:rPr>
        <w:t xml:space="preserve"> facilities,</w:t>
      </w:r>
      <w:r w:rsidR="00F00E3D" w:rsidRPr="256F645F">
        <w:rPr>
          <w:rFonts w:asciiTheme="majorHAnsi" w:eastAsiaTheme="majorEastAsia" w:hAnsiTheme="majorHAnsi" w:cstheme="majorBidi"/>
          <w:sz w:val="23"/>
          <w:szCs w:val="23"/>
        </w:rPr>
        <w:t xml:space="preserve"> parks, shops</w:t>
      </w:r>
      <w:r w:rsidR="00BC218A">
        <w:rPr>
          <w:rFonts w:asciiTheme="majorHAnsi" w:eastAsiaTheme="majorEastAsia" w:hAnsiTheme="majorHAnsi" w:cstheme="majorBidi"/>
          <w:sz w:val="23"/>
          <w:szCs w:val="23"/>
        </w:rPr>
        <w:t>,</w:t>
      </w:r>
      <w:r w:rsidR="00F00E3D" w:rsidRPr="256F645F">
        <w:rPr>
          <w:rFonts w:asciiTheme="majorHAnsi" w:eastAsiaTheme="majorEastAsia" w:hAnsiTheme="majorHAnsi" w:cstheme="majorBidi"/>
          <w:sz w:val="23"/>
          <w:szCs w:val="23"/>
        </w:rPr>
        <w:t xml:space="preserve"> and supports. The limited provision of quality</w:t>
      </w:r>
      <w:r w:rsidR="006A012A">
        <w:rPr>
          <w:rFonts w:asciiTheme="majorHAnsi" w:eastAsiaTheme="majorEastAsia" w:hAnsiTheme="majorHAnsi" w:cstheme="majorBidi"/>
          <w:sz w:val="23"/>
          <w:szCs w:val="23"/>
        </w:rPr>
        <w:t xml:space="preserve">, accessible </w:t>
      </w:r>
      <w:r w:rsidR="00F00E3D" w:rsidRPr="256F645F">
        <w:rPr>
          <w:rFonts w:asciiTheme="majorHAnsi" w:eastAsiaTheme="majorEastAsia" w:hAnsiTheme="majorHAnsi" w:cstheme="majorBidi"/>
          <w:sz w:val="23"/>
          <w:szCs w:val="23"/>
        </w:rPr>
        <w:t xml:space="preserve">social infrastructure in these areas </w:t>
      </w:r>
      <w:r w:rsidR="00496432">
        <w:rPr>
          <w:rFonts w:asciiTheme="majorHAnsi" w:eastAsiaTheme="majorEastAsia" w:hAnsiTheme="majorHAnsi" w:cstheme="majorBidi"/>
          <w:sz w:val="23"/>
          <w:szCs w:val="23"/>
        </w:rPr>
        <w:t>has been</w:t>
      </w:r>
      <w:r w:rsidR="00F00E3D" w:rsidRPr="256F645F">
        <w:rPr>
          <w:rFonts w:asciiTheme="majorHAnsi" w:eastAsiaTheme="majorEastAsia" w:hAnsiTheme="majorHAnsi" w:cstheme="majorBidi"/>
          <w:sz w:val="23"/>
          <w:szCs w:val="23"/>
        </w:rPr>
        <w:t xml:space="preserve"> highlighted </w:t>
      </w:r>
      <w:r w:rsidR="0042589E">
        <w:rPr>
          <w:rFonts w:asciiTheme="majorHAnsi" w:eastAsiaTheme="majorEastAsia" w:hAnsiTheme="majorHAnsi" w:cstheme="majorBidi"/>
          <w:sz w:val="23"/>
          <w:szCs w:val="23"/>
        </w:rPr>
        <w:t>by the challenges of</w:t>
      </w:r>
      <w:r w:rsidR="00F00E3D" w:rsidRPr="256F645F">
        <w:rPr>
          <w:rFonts w:asciiTheme="majorHAnsi" w:eastAsiaTheme="majorEastAsia" w:hAnsiTheme="majorHAnsi" w:cstheme="majorBidi"/>
          <w:sz w:val="23"/>
          <w:szCs w:val="23"/>
        </w:rPr>
        <w:t xml:space="preserve"> 2020</w:t>
      </w:r>
      <w:r w:rsidR="0042589E">
        <w:rPr>
          <w:rFonts w:asciiTheme="majorHAnsi" w:eastAsiaTheme="majorEastAsia" w:hAnsiTheme="majorHAnsi" w:cstheme="majorBidi"/>
          <w:sz w:val="23"/>
          <w:szCs w:val="23"/>
        </w:rPr>
        <w:t>–20</w:t>
      </w:r>
      <w:r w:rsidR="00F00E3D" w:rsidRPr="256F645F">
        <w:rPr>
          <w:rFonts w:asciiTheme="majorHAnsi" w:eastAsiaTheme="majorEastAsia" w:hAnsiTheme="majorHAnsi" w:cstheme="majorBidi"/>
          <w:sz w:val="23"/>
          <w:szCs w:val="23"/>
        </w:rPr>
        <w:t>21.</w:t>
      </w:r>
    </w:p>
    <w:p w14:paraId="4B151939" w14:textId="311209F1" w:rsidR="00F00E3D" w:rsidRPr="00CF54D5" w:rsidRDefault="00F00E3D" w:rsidP="00D82B04">
      <w:pPr>
        <w:spacing w:line="276" w:lineRule="auto"/>
        <w:rPr>
          <w:rFonts w:eastAsia="Calibri"/>
          <w:b/>
          <w:color w:val="C00000"/>
          <w:sz w:val="23"/>
          <w:szCs w:val="23"/>
        </w:rPr>
      </w:pPr>
      <w:r w:rsidRPr="00E91887">
        <w:rPr>
          <w:rFonts w:asciiTheme="majorHAnsi" w:eastAsiaTheme="majorEastAsia" w:hAnsiTheme="majorHAnsi" w:cstheme="majorBidi"/>
          <w:sz w:val="23"/>
          <w:szCs w:val="23"/>
        </w:rPr>
        <w:t xml:space="preserve">The following </w:t>
      </w:r>
      <w:r>
        <w:rPr>
          <w:rFonts w:asciiTheme="majorHAnsi" w:eastAsiaTheme="majorEastAsia" w:hAnsiTheme="majorHAnsi" w:cstheme="majorBidi"/>
          <w:sz w:val="23"/>
          <w:szCs w:val="23"/>
        </w:rPr>
        <w:t>general</w:t>
      </w:r>
      <w:r w:rsidRPr="51132883">
        <w:rPr>
          <w:rFonts w:asciiTheme="majorHAnsi" w:eastAsiaTheme="majorEastAsia" w:hAnsiTheme="majorHAnsi" w:cstheme="majorBidi"/>
          <w:sz w:val="23"/>
          <w:szCs w:val="23"/>
        </w:rPr>
        <w:t xml:space="preserve"> </w:t>
      </w:r>
      <w:r w:rsidR="0098337E">
        <w:rPr>
          <w:rFonts w:asciiTheme="majorHAnsi" w:eastAsiaTheme="majorEastAsia" w:hAnsiTheme="majorHAnsi" w:cstheme="majorBidi"/>
          <w:sz w:val="23"/>
          <w:szCs w:val="23"/>
        </w:rPr>
        <w:t>suggestions are</w:t>
      </w:r>
      <w:r w:rsidRPr="00E91887">
        <w:rPr>
          <w:rFonts w:asciiTheme="majorHAnsi" w:eastAsiaTheme="majorEastAsia" w:hAnsiTheme="majorHAnsi" w:cstheme="majorBidi"/>
          <w:sz w:val="23"/>
          <w:szCs w:val="23"/>
        </w:rPr>
        <w:t xml:space="preserve"> sketched in light of</w:t>
      </w:r>
      <w:r w:rsidR="00A3473E">
        <w:rPr>
          <w:rFonts w:asciiTheme="majorHAnsi" w:eastAsiaTheme="majorEastAsia" w:hAnsiTheme="majorHAnsi" w:cstheme="majorBidi"/>
          <w:sz w:val="23"/>
          <w:szCs w:val="23"/>
        </w:rPr>
        <w:t xml:space="preserve"> the</w:t>
      </w:r>
      <w:r w:rsidRPr="00E91887">
        <w:rPr>
          <w:rFonts w:asciiTheme="majorHAnsi" w:eastAsiaTheme="majorEastAsia" w:hAnsiTheme="majorHAnsi" w:cstheme="majorBidi"/>
          <w:sz w:val="23"/>
          <w:szCs w:val="23"/>
        </w:rPr>
        <w:t xml:space="preserve"> </w:t>
      </w:r>
      <w:r w:rsidR="00496432">
        <w:rPr>
          <w:rFonts w:asciiTheme="majorHAnsi" w:eastAsiaTheme="majorEastAsia" w:hAnsiTheme="majorHAnsi" w:cstheme="majorBidi"/>
          <w:sz w:val="23"/>
          <w:szCs w:val="23"/>
        </w:rPr>
        <w:t>findings</w:t>
      </w:r>
      <w:r w:rsidRPr="00E91887">
        <w:rPr>
          <w:rFonts w:asciiTheme="majorHAnsi" w:eastAsiaTheme="majorEastAsia" w:hAnsiTheme="majorHAnsi" w:cstheme="majorBidi"/>
          <w:sz w:val="23"/>
          <w:szCs w:val="23"/>
        </w:rPr>
        <w:t xml:space="preserve"> </w:t>
      </w:r>
      <w:r w:rsidR="00D82B04">
        <w:rPr>
          <w:rFonts w:asciiTheme="majorHAnsi" w:eastAsiaTheme="majorEastAsia" w:hAnsiTheme="majorHAnsi" w:cstheme="majorBidi"/>
          <w:sz w:val="23"/>
          <w:szCs w:val="23"/>
        </w:rPr>
        <w:t>outlined in this</w:t>
      </w:r>
      <w:r w:rsidR="0098337E">
        <w:rPr>
          <w:rFonts w:asciiTheme="majorHAnsi" w:eastAsiaTheme="majorEastAsia" w:hAnsiTheme="majorHAnsi" w:cstheme="majorBidi"/>
          <w:sz w:val="23"/>
          <w:szCs w:val="23"/>
        </w:rPr>
        <w:t xml:space="preserve"> section of the report</w:t>
      </w:r>
      <w:r w:rsidR="00612AC7">
        <w:rPr>
          <w:rFonts w:asciiTheme="majorHAnsi" w:eastAsiaTheme="majorEastAsia" w:hAnsiTheme="majorHAnsi" w:cstheme="majorBidi"/>
          <w:sz w:val="23"/>
          <w:szCs w:val="23"/>
        </w:rPr>
        <w:t>. They also reflect</w:t>
      </w:r>
      <w:r w:rsidR="00E27A73">
        <w:rPr>
          <w:rFonts w:asciiTheme="majorHAnsi" w:eastAsiaTheme="majorEastAsia" w:hAnsiTheme="majorHAnsi" w:cstheme="majorBidi"/>
          <w:sz w:val="23"/>
          <w:szCs w:val="23"/>
        </w:rPr>
        <w:t xml:space="preserve"> key points that emerged in the </w:t>
      </w:r>
      <w:r w:rsidR="00612AC7">
        <w:rPr>
          <w:rFonts w:asciiTheme="majorHAnsi" w:eastAsiaTheme="majorEastAsia" w:hAnsiTheme="majorHAnsi" w:cstheme="majorBidi"/>
          <w:sz w:val="23"/>
          <w:szCs w:val="23"/>
        </w:rPr>
        <w:t xml:space="preserve">subsequent and </w:t>
      </w:r>
      <w:r w:rsidR="000A3C20">
        <w:rPr>
          <w:rFonts w:asciiTheme="majorHAnsi" w:eastAsiaTheme="majorEastAsia" w:hAnsiTheme="majorHAnsi" w:cstheme="majorBidi"/>
          <w:sz w:val="23"/>
          <w:szCs w:val="23"/>
        </w:rPr>
        <w:t>final</w:t>
      </w:r>
      <w:r w:rsidR="00612AC7">
        <w:rPr>
          <w:rFonts w:asciiTheme="majorHAnsi" w:eastAsiaTheme="majorEastAsia" w:hAnsiTheme="majorHAnsi" w:cstheme="majorBidi"/>
          <w:sz w:val="23"/>
          <w:szCs w:val="23"/>
        </w:rPr>
        <w:t xml:space="preserve"> research stage</w:t>
      </w:r>
      <w:r w:rsidR="00E27A73">
        <w:rPr>
          <w:rFonts w:asciiTheme="majorHAnsi" w:eastAsiaTheme="majorEastAsia" w:hAnsiTheme="majorHAnsi" w:cstheme="majorBidi"/>
          <w:sz w:val="23"/>
          <w:szCs w:val="23"/>
        </w:rPr>
        <w:t xml:space="preserve"> </w:t>
      </w:r>
      <w:r w:rsidR="00D919FE">
        <w:rPr>
          <w:rFonts w:asciiTheme="majorHAnsi" w:eastAsiaTheme="majorEastAsia" w:hAnsiTheme="majorHAnsi" w:cstheme="majorBidi"/>
          <w:sz w:val="23"/>
          <w:szCs w:val="23"/>
        </w:rPr>
        <w:t>(</w:t>
      </w:r>
      <w:r w:rsidR="000A3C20">
        <w:rPr>
          <w:rFonts w:asciiTheme="majorHAnsi" w:eastAsiaTheme="majorEastAsia" w:hAnsiTheme="majorHAnsi" w:cstheme="majorBidi"/>
          <w:sz w:val="23"/>
          <w:szCs w:val="23"/>
        </w:rPr>
        <w:t>see Section 8, C</w:t>
      </w:r>
      <w:r w:rsidR="00D919FE">
        <w:rPr>
          <w:rFonts w:asciiTheme="majorHAnsi" w:eastAsiaTheme="majorEastAsia" w:hAnsiTheme="majorHAnsi" w:cstheme="majorBidi"/>
          <w:sz w:val="23"/>
          <w:szCs w:val="23"/>
        </w:rPr>
        <w:t xml:space="preserve">ommunity </w:t>
      </w:r>
      <w:r w:rsidR="000A3C20">
        <w:rPr>
          <w:rFonts w:asciiTheme="majorHAnsi" w:eastAsiaTheme="majorEastAsia" w:hAnsiTheme="majorHAnsi" w:cstheme="majorBidi"/>
          <w:sz w:val="23"/>
          <w:szCs w:val="23"/>
        </w:rPr>
        <w:t>C</w:t>
      </w:r>
      <w:r w:rsidR="00D919FE">
        <w:rPr>
          <w:rFonts w:asciiTheme="majorHAnsi" w:eastAsiaTheme="majorEastAsia" w:hAnsiTheme="majorHAnsi" w:cstheme="majorBidi"/>
          <w:sz w:val="23"/>
          <w:szCs w:val="23"/>
        </w:rPr>
        <w:t>onsultations)</w:t>
      </w:r>
      <w:r w:rsidRPr="00E91887">
        <w:rPr>
          <w:rFonts w:asciiTheme="majorHAnsi" w:eastAsiaTheme="majorEastAsia" w:hAnsiTheme="majorHAnsi" w:cstheme="majorBidi"/>
          <w:sz w:val="23"/>
          <w:szCs w:val="23"/>
        </w:rPr>
        <w:t>.</w:t>
      </w:r>
    </w:p>
    <w:p w14:paraId="03758FF4" w14:textId="4693A6BC" w:rsidR="00F00E3D" w:rsidRPr="00E91887" w:rsidRDefault="00F00E3D" w:rsidP="6A3610E4">
      <w:pPr>
        <w:pStyle w:val="ListParagraph"/>
        <w:numPr>
          <w:ilvl w:val="0"/>
          <w:numId w:val="7"/>
        </w:numPr>
        <w:spacing w:after="0" w:line="276" w:lineRule="auto"/>
        <w:contextualSpacing w:val="0"/>
        <w:rPr>
          <w:rFonts w:asciiTheme="majorHAnsi" w:eastAsiaTheme="majorEastAsia" w:hAnsiTheme="majorHAnsi" w:cstheme="majorBidi"/>
          <w:color w:val="000000" w:themeColor="text1"/>
          <w:sz w:val="23"/>
          <w:szCs w:val="23"/>
          <w:lang w:val="en-GB"/>
        </w:rPr>
      </w:pPr>
      <w:r w:rsidRPr="6A3610E4">
        <w:rPr>
          <w:rFonts w:asciiTheme="majorHAnsi" w:eastAsia="Times New Roman" w:hAnsiTheme="majorHAnsi" w:cstheme="majorBidi"/>
          <w:sz w:val="23"/>
          <w:szCs w:val="23"/>
          <w:lang w:val="en-GB"/>
        </w:rPr>
        <w:t xml:space="preserve">These </w:t>
      </w:r>
      <w:r w:rsidR="007F6BD2" w:rsidRPr="6A3610E4">
        <w:rPr>
          <w:rFonts w:asciiTheme="majorHAnsi" w:eastAsia="Times New Roman" w:hAnsiTheme="majorHAnsi" w:cstheme="majorBidi"/>
          <w:sz w:val="23"/>
          <w:szCs w:val="23"/>
          <w:lang w:val="en-GB"/>
        </w:rPr>
        <w:t>three localities</w:t>
      </w:r>
      <w:r w:rsidRPr="6A3610E4">
        <w:rPr>
          <w:rFonts w:asciiTheme="majorHAnsi" w:eastAsia="Times New Roman" w:hAnsiTheme="majorHAnsi" w:cstheme="majorBidi"/>
          <w:sz w:val="23"/>
          <w:szCs w:val="23"/>
          <w:lang w:val="en-GB"/>
        </w:rPr>
        <w:t xml:space="preserve"> have </w:t>
      </w:r>
      <w:r w:rsidR="00612AC7" w:rsidRPr="6A3610E4">
        <w:rPr>
          <w:rFonts w:asciiTheme="majorHAnsi" w:eastAsia="Times New Roman" w:hAnsiTheme="majorHAnsi" w:cstheme="majorBidi"/>
          <w:sz w:val="23"/>
          <w:szCs w:val="23"/>
          <w:lang w:val="en-GB"/>
        </w:rPr>
        <w:t xml:space="preserve">already </w:t>
      </w:r>
      <w:r w:rsidRPr="6A3610E4">
        <w:rPr>
          <w:rFonts w:asciiTheme="majorHAnsi" w:eastAsia="Times New Roman" w:hAnsiTheme="majorHAnsi" w:cstheme="majorBidi"/>
          <w:sz w:val="23"/>
          <w:szCs w:val="23"/>
          <w:lang w:val="en-GB"/>
        </w:rPr>
        <w:t>been extensively surveyed</w:t>
      </w:r>
      <w:r w:rsidR="007F6BD2" w:rsidRPr="6A3610E4">
        <w:rPr>
          <w:rFonts w:asciiTheme="majorHAnsi" w:eastAsia="Times New Roman" w:hAnsiTheme="majorHAnsi" w:cstheme="majorBidi"/>
          <w:sz w:val="23"/>
          <w:szCs w:val="23"/>
          <w:lang w:val="en-GB"/>
        </w:rPr>
        <w:t xml:space="preserve"> prior to this study. </w:t>
      </w:r>
      <w:r w:rsidRPr="6A3610E4">
        <w:rPr>
          <w:rFonts w:asciiTheme="majorHAnsi" w:eastAsia="Times New Roman" w:hAnsiTheme="majorHAnsi" w:cstheme="majorBidi"/>
          <w:sz w:val="23"/>
          <w:szCs w:val="23"/>
          <w:lang w:val="en-GB"/>
        </w:rPr>
        <w:t>Corio-Norlane</w:t>
      </w:r>
      <w:r w:rsidR="007F6BD2" w:rsidRPr="6A3610E4">
        <w:rPr>
          <w:rFonts w:asciiTheme="majorHAnsi" w:eastAsia="Times New Roman" w:hAnsiTheme="majorHAnsi" w:cstheme="majorBidi"/>
          <w:sz w:val="23"/>
          <w:szCs w:val="23"/>
          <w:lang w:val="en-GB"/>
        </w:rPr>
        <w:t>,</w:t>
      </w:r>
      <w:r w:rsidRPr="6A3610E4">
        <w:rPr>
          <w:rFonts w:asciiTheme="majorHAnsi" w:eastAsia="Times New Roman" w:hAnsiTheme="majorHAnsi" w:cstheme="majorBidi"/>
          <w:sz w:val="23"/>
          <w:szCs w:val="23"/>
          <w:lang w:val="en-GB"/>
        </w:rPr>
        <w:t xml:space="preserve"> for exampl</w:t>
      </w:r>
      <w:r w:rsidR="007F6BD2" w:rsidRPr="6A3610E4">
        <w:rPr>
          <w:rFonts w:asciiTheme="majorHAnsi" w:eastAsia="Times New Roman" w:hAnsiTheme="majorHAnsi" w:cstheme="majorBidi"/>
          <w:sz w:val="23"/>
          <w:szCs w:val="23"/>
          <w:lang w:val="en-GB"/>
        </w:rPr>
        <w:t xml:space="preserve">e, </w:t>
      </w:r>
      <w:r w:rsidR="1AFA22D9" w:rsidRPr="6A3610E4">
        <w:rPr>
          <w:rFonts w:asciiTheme="majorHAnsi" w:eastAsia="Times New Roman" w:hAnsiTheme="majorHAnsi" w:cstheme="majorBidi"/>
          <w:sz w:val="23"/>
          <w:szCs w:val="23"/>
          <w:lang w:val="en-GB"/>
        </w:rPr>
        <w:t>is</w:t>
      </w:r>
      <w:r w:rsidRPr="6A3610E4">
        <w:rPr>
          <w:rFonts w:asciiTheme="majorHAnsi" w:eastAsia="Times New Roman" w:hAnsiTheme="majorHAnsi" w:cstheme="majorBidi"/>
          <w:sz w:val="23"/>
          <w:szCs w:val="23"/>
          <w:lang w:val="en-GB"/>
        </w:rPr>
        <w:t xml:space="preserve"> an over consulted community</w:t>
      </w:r>
      <w:r w:rsidR="007F6BD2" w:rsidRPr="6A3610E4">
        <w:rPr>
          <w:rFonts w:asciiTheme="majorHAnsi" w:eastAsia="Times New Roman" w:hAnsiTheme="majorHAnsi" w:cstheme="majorBidi"/>
          <w:sz w:val="23"/>
          <w:szCs w:val="23"/>
          <w:lang w:val="en-GB"/>
        </w:rPr>
        <w:t>, and has</w:t>
      </w:r>
      <w:r w:rsidRPr="6A3610E4">
        <w:rPr>
          <w:rFonts w:asciiTheme="majorHAnsi" w:eastAsia="Times New Roman" w:hAnsiTheme="majorHAnsi" w:cstheme="majorBidi"/>
          <w:sz w:val="23"/>
          <w:szCs w:val="23"/>
          <w:lang w:val="en-GB"/>
        </w:rPr>
        <w:t xml:space="preserve"> been the subject of many interventions to address a range of needs. While </w:t>
      </w:r>
      <w:r w:rsidR="006E70C1" w:rsidRPr="6A3610E4">
        <w:rPr>
          <w:rFonts w:asciiTheme="majorHAnsi" w:eastAsia="Times New Roman" w:hAnsiTheme="majorHAnsi" w:cstheme="majorBidi"/>
          <w:sz w:val="23"/>
          <w:szCs w:val="23"/>
          <w:lang w:val="en-GB"/>
        </w:rPr>
        <w:t xml:space="preserve">these initiatives have resulted in </w:t>
      </w:r>
      <w:r w:rsidRPr="6A3610E4">
        <w:rPr>
          <w:rFonts w:asciiTheme="majorHAnsi" w:eastAsia="Times New Roman" w:hAnsiTheme="majorHAnsi" w:cstheme="majorBidi"/>
          <w:sz w:val="23"/>
          <w:szCs w:val="23"/>
          <w:lang w:val="en-GB"/>
        </w:rPr>
        <w:t>many positive</w:t>
      </w:r>
      <w:r w:rsidR="006E70C1" w:rsidRPr="6A3610E4">
        <w:rPr>
          <w:rFonts w:asciiTheme="majorHAnsi" w:eastAsia="Times New Roman" w:hAnsiTheme="majorHAnsi" w:cstheme="majorBidi"/>
          <w:sz w:val="23"/>
          <w:szCs w:val="23"/>
          <w:lang w:val="en-GB"/>
        </w:rPr>
        <w:t xml:space="preserve"> outcomes</w:t>
      </w:r>
      <w:r w:rsidRPr="6A3610E4">
        <w:rPr>
          <w:rFonts w:asciiTheme="majorHAnsi" w:eastAsia="Times New Roman" w:hAnsiTheme="majorHAnsi" w:cstheme="majorBidi"/>
          <w:sz w:val="23"/>
          <w:szCs w:val="23"/>
          <w:lang w:val="en-GB"/>
        </w:rPr>
        <w:t>, th</w:t>
      </w:r>
      <w:r w:rsidR="006E70C1" w:rsidRPr="6A3610E4">
        <w:rPr>
          <w:rFonts w:asciiTheme="majorHAnsi" w:eastAsia="Times New Roman" w:hAnsiTheme="majorHAnsi" w:cstheme="majorBidi"/>
          <w:sz w:val="23"/>
          <w:szCs w:val="23"/>
          <w:lang w:val="en-GB"/>
        </w:rPr>
        <w:t>ey</w:t>
      </w:r>
      <w:r w:rsidRPr="6A3610E4">
        <w:rPr>
          <w:rFonts w:asciiTheme="majorHAnsi" w:eastAsia="Times New Roman" w:hAnsiTheme="majorHAnsi" w:cstheme="majorBidi"/>
          <w:sz w:val="23"/>
          <w:szCs w:val="23"/>
          <w:lang w:val="en-GB"/>
        </w:rPr>
        <w:t xml:space="preserve"> have been insufficient to shift overall disadvantage</w:t>
      </w:r>
      <w:r w:rsidR="006E70C1" w:rsidRPr="6A3610E4">
        <w:rPr>
          <w:rFonts w:asciiTheme="majorHAnsi" w:eastAsia="Times New Roman" w:hAnsiTheme="majorHAnsi" w:cstheme="majorBidi"/>
          <w:sz w:val="23"/>
          <w:szCs w:val="23"/>
          <w:lang w:val="en-GB"/>
        </w:rPr>
        <w:t xml:space="preserve"> levels.</w:t>
      </w:r>
      <w:r w:rsidRPr="6A3610E4">
        <w:rPr>
          <w:rFonts w:asciiTheme="majorHAnsi" w:eastAsia="Times New Roman" w:hAnsiTheme="majorHAnsi" w:cstheme="majorBidi"/>
          <w:sz w:val="23"/>
          <w:szCs w:val="23"/>
          <w:lang w:val="en-GB"/>
        </w:rPr>
        <w:t xml:space="preserve"> </w:t>
      </w:r>
      <w:r w:rsidR="006E70C1" w:rsidRPr="6A3610E4">
        <w:rPr>
          <w:rFonts w:asciiTheme="majorHAnsi" w:eastAsia="Times New Roman" w:hAnsiTheme="majorHAnsi" w:cstheme="majorBidi"/>
          <w:sz w:val="23"/>
          <w:szCs w:val="23"/>
          <w:lang w:val="en-GB"/>
        </w:rPr>
        <w:t>S</w:t>
      </w:r>
      <w:r w:rsidRPr="6A3610E4">
        <w:rPr>
          <w:rFonts w:asciiTheme="majorHAnsi" w:eastAsia="Times New Roman" w:hAnsiTheme="majorHAnsi" w:cstheme="majorBidi"/>
          <w:sz w:val="23"/>
          <w:szCs w:val="23"/>
          <w:lang w:val="en-GB"/>
        </w:rPr>
        <w:t>hort-term consultations have not led to ongoing engagement or realisation of long-term objectives. As one informant noted: “We are the community, and we are still here long after the experts have come and gone</w:t>
      </w:r>
      <w:r w:rsidR="789CFB55" w:rsidRPr="6A3610E4">
        <w:rPr>
          <w:rFonts w:asciiTheme="majorHAnsi" w:eastAsia="Times New Roman" w:hAnsiTheme="majorHAnsi" w:cstheme="majorBidi"/>
          <w:sz w:val="23"/>
          <w:szCs w:val="23"/>
          <w:lang w:val="en-GB"/>
        </w:rPr>
        <w:t xml:space="preserve">” </w:t>
      </w:r>
      <w:r w:rsidR="67CC2F85" w:rsidRPr="6A3610E4">
        <w:rPr>
          <w:rFonts w:asciiTheme="majorHAnsi" w:eastAsia="Times New Roman" w:hAnsiTheme="majorHAnsi" w:cstheme="majorBidi"/>
          <w:sz w:val="23"/>
          <w:szCs w:val="23"/>
          <w:lang w:val="en-GB"/>
        </w:rPr>
        <w:t>(</w:t>
      </w:r>
      <w:r w:rsidR="7D39268A" w:rsidRPr="6A3610E4">
        <w:rPr>
          <w:rFonts w:asciiTheme="majorHAnsi" w:hAnsiTheme="majorHAnsi" w:cstheme="majorBidi"/>
          <w:sz w:val="23"/>
          <w:szCs w:val="23"/>
        </w:rPr>
        <w:t>Resident conversation 16.2.21).</w:t>
      </w:r>
      <w:r w:rsidRPr="6A3610E4">
        <w:rPr>
          <w:rFonts w:asciiTheme="majorHAnsi" w:eastAsia="Times New Roman" w:hAnsiTheme="majorHAnsi" w:cstheme="majorBidi"/>
          <w:sz w:val="23"/>
          <w:szCs w:val="23"/>
          <w:lang w:val="en-GB"/>
        </w:rPr>
        <w:t xml:space="preserve"> There is th</w:t>
      </w:r>
      <w:r w:rsidR="006E70C1" w:rsidRPr="6A3610E4">
        <w:rPr>
          <w:rFonts w:asciiTheme="majorHAnsi" w:eastAsia="Times New Roman" w:hAnsiTheme="majorHAnsi" w:cstheme="majorBidi"/>
          <w:sz w:val="23"/>
          <w:szCs w:val="23"/>
          <w:lang w:val="en-GB"/>
        </w:rPr>
        <w:t>us</w:t>
      </w:r>
      <w:r w:rsidRPr="6A3610E4">
        <w:rPr>
          <w:rFonts w:asciiTheme="majorHAnsi" w:eastAsia="Times New Roman" w:hAnsiTheme="majorHAnsi" w:cstheme="majorBidi"/>
          <w:sz w:val="23"/>
          <w:szCs w:val="23"/>
          <w:lang w:val="en-GB"/>
        </w:rPr>
        <w:t xml:space="preserve"> a need for genuine and ongoing collaboration </w:t>
      </w:r>
      <w:r w:rsidR="006E70C1" w:rsidRPr="6A3610E4">
        <w:rPr>
          <w:rFonts w:asciiTheme="majorHAnsi" w:eastAsia="Times New Roman" w:hAnsiTheme="majorHAnsi" w:cstheme="majorBidi"/>
          <w:sz w:val="23"/>
          <w:szCs w:val="23"/>
          <w:lang w:val="en-GB"/>
        </w:rPr>
        <w:t xml:space="preserve">in developing and implementing </w:t>
      </w:r>
      <w:r w:rsidRPr="6A3610E4">
        <w:rPr>
          <w:rFonts w:asciiTheme="majorHAnsi" w:eastAsia="Times New Roman" w:hAnsiTheme="majorHAnsi" w:cstheme="majorBidi"/>
          <w:sz w:val="23"/>
          <w:szCs w:val="23"/>
          <w:lang w:val="en-GB"/>
        </w:rPr>
        <w:t xml:space="preserve">any </w:t>
      </w:r>
      <w:r w:rsidR="00F214D7" w:rsidRPr="6A3610E4">
        <w:rPr>
          <w:rFonts w:asciiTheme="majorHAnsi" w:eastAsia="Times New Roman" w:hAnsiTheme="majorHAnsi" w:cstheme="majorBidi"/>
          <w:sz w:val="23"/>
          <w:szCs w:val="23"/>
          <w:lang w:val="en-GB"/>
        </w:rPr>
        <w:t>r</w:t>
      </w:r>
      <w:r w:rsidRPr="6A3610E4">
        <w:rPr>
          <w:rFonts w:asciiTheme="majorHAnsi" w:eastAsia="Times New Roman" w:hAnsiTheme="majorHAnsi" w:cstheme="majorBidi"/>
          <w:sz w:val="23"/>
          <w:szCs w:val="23"/>
          <w:lang w:val="en-GB"/>
        </w:rPr>
        <w:t xml:space="preserve">ecommendations for change in the three localities. This is consistent with </w:t>
      </w:r>
      <w:r w:rsidR="001B7DDF" w:rsidRPr="6A3610E4">
        <w:rPr>
          <w:rFonts w:asciiTheme="majorHAnsi" w:eastAsia="Times New Roman" w:hAnsiTheme="majorHAnsi" w:cstheme="majorBidi"/>
          <w:sz w:val="23"/>
          <w:szCs w:val="23"/>
          <w:lang w:val="en-GB"/>
        </w:rPr>
        <w:t>COGG</w:t>
      </w:r>
      <w:r w:rsidRPr="6A3610E4">
        <w:rPr>
          <w:rFonts w:asciiTheme="majorHAnsi" w:eastAsia="Times New Roman" w:hAnsiTheme="majorHAnsi" w:cstheme="majorBidi"/>
          <w:sz w:val="23"/>
          <w:szCs w:val="23"/>
          <w:lang w:val="en-GB"/>
        </w:rPr>
        <w:t xml:space="preserve">’s new </w:t>
      </w:r>
      <w:r w:rsidRPr="6A3610E4">
        <w:rPr>
          <w:rFonts w:asciiTheme="majorHAnsi" w:eastAsia="Times New Roman" w:hAnsiTheme="majorHAnsi" w:cstheme="majorBidi"/>
          <w:i/>
          <w:iCs/>
          <w:sz w:val="23"/>
          <w:szCs w:val="23"/>
          <w:lang w:val="en-GB"/>
        </w:rPr>
        <w:t>Community Engagement Policy</w:t>
      </w:r>
      <w:r w:rsidR="007B0FE3" w:rsidRPr="6A3610E4">
        <w:rPr>
          <w:rFonts w:asciiTheme="majorHAnsi" w:eastAsia="Times New Roman" w:hAnsiTheme="majorHAnsi" w:cstheme="majorBidi"/>
          <w:sz w:val="23"/>
          <w:szCs w:val="23"/>
          <w:lang w:val="en-GB"/>
        </w:rPr>
        <w:t xml:space="preserve">, introduced in February 2021 </w:t>
      </w:r>
      <w:r w:rsidR="00595B73" w:rsidRPr="6A3610E4">
        <w:rPr>
          <w:rFonts w:asciiTheme="majorHAnsi" w:eastAsia="Times New Roman" w:hAnsiTheme="majorHAnsi" w:cstheme="majorBidi"/>
          <w:sz w:val="23"/>
          <w:szCs w:val="23"/>
          <w:lang w:val="en-GB"/>
        </w:rPr>
        <w:t>(</w:t>
      </w:r>
      <w:r w:rsidR="001B7DDF" w:rsidRPr="6A3610E4">
        <w:rPr>
          <w:rFonts w:asciiTheme="majorHAnsi" w:eastAsia="Times New Roman" w:hAnsiTheme="majorHAnsi" w:cstheme="majorBidi"/>
          <w:sz w:val="23"/>
          <w:szCs w:val="23"/>
          <w:lang w:val="en-GB"/>
        </w:rPr>
        <w:t>CoGG</w:t>
      </w:r>
      <w:r w:rsidR="00E24140" w:rsidRPr="6A3610E4">
        <w:rPr>
          <w:rFonts w:asciiTheme="majorHAnsi" w:eastAsia="Times New Roman" w:hAnsiTheme="majorHAnsi" w:cstheme="majorBidi"/>
          <w:sz w:val="23"/>
          <w:szCs w:val="23"/>
          <w:lang w:val="en-GB"/>
        </w:rPr>
        <w:t>, 2021</w:t>
      </w:r>
      <w:r w:rsidR="00595B73" w:rsidRPr="6A3610E4">
        <w:rPr>
          <w:rFonts w:asciiTheme="majorHAnsi" w:eastAsia="Times New Roman" w:hAnsiTheme="majorHAnsi" w:cstheme="majorBidi"/>
          <w:sz w:val="23"/>
          <w:szCs w:val="23"/>
          <w:lang w:val="en-GB"/>
        </w:rPr>
        <w:t>b</w:t>
      </w:r>
      <w:r w:rsidR="00E24140" w:rsidRPr="6A3610E4">
        <w:rPr>
          <w:rFonts w:asciiTheme="majorHAnsi" w:eastAsia="Times New Roman" w:hAnsiTheme="majorHAnsi" w:cstheme="majorBidi"/>
          <w:sz w:val="23"/>
          <w:szCs w:val="23"/>
          <w:lang w:val="en-GB"/>
        </w:rPr>
        <w:t>)</w:t>
      </w:r>
      <w:r w:rsidRPr="6A3610E4">
        <w:rPr>
          <w:rFonts w:asciiTheme="majorHAnsi" w:eastAsia="Times New Roman" w:hAnsiTheme="majorHAnsi" w:cstheme="majorBidi"/>
          <w:sz w:val="23"/>
          <w:szCs w:val="23"/>
          <w:lang w:val="en-GB"/>
        </w:rPr>
        <w:t>.</w:t>
      </w:r>
    </w:p>
    <w:p w14:paraId="50203ADD" w14:textId="2B865CC7" w:rsidR="00F00E3D" w:rsidRDefault="00F00E3D" w:rsidP="00D82B04">
      <w:pPr>
        <w:pStyle w:val="ListParagraph"/>
        <w:numPr>
          <w:ilvl w:val="0"/>
          <w:numId w:val="7"/>
        </w:numPr>
        <w:spacing w:after="0" w:line="276" w:lineRule="auto"/>
        <w:rPr>
          <w:color w:val="000000" w:themeColor="text1"/>
          <w:sz w:val="23"/>
          <w:szCs w:val="23"/>
          <w:lang w:val="en-GB"/>
        </w:rPr>
      </w:pPr>
      <w:r w:rsidRPr="72671098">
        <w:rPr>
          <w:rFonts w:asciiTheme="majorHAnsi" w:eastAsia="Times New Roman" w:hAnsiTheme="majorHAnsi" w:cstheme="majorBidi"/>
          <w:sz w:val="23"/>
          <w:szCs w:val="23"/>
          <w:lang w:val="en-GB"/>
        </w:rPr>
        <w:t xml:space="preserve">In </w:t>
      </w:r>
      <w:r w:rsidR="007B0FE3">
        <w:rPr>
          <w:rFonts w:asciiTheme="majorHAnsi" w:eastAsia="Times New Roman" w:hAnsiTheme="majorHAnsi" w:cstheme="majorBidi"/>
          <w:sz w:val="23"/>
          <w:szCs w:val="23"/>
          <w:lang w:val="en-GB"/>
        </w:rPr>
        <w:t xml:space="preserve">our </w:t>
      </w:r>
      <w:r w:rsidRPr="72671098">
        <w:rPr>
          <w:rFonts w:asciiTheme="majorHAnsi" w:eastAsia="Times New Roman" w:hAnsiTheme="majorHAnsi" w:cstheme="majorBidi"/>
          <w:sz w:val="23"/>
          <w:szCs w:val="23"/>
          <w:lang w:val="en-GB"/>
        </w:rPr>
        <w:t>interviews, key</w:t>
      </w:r>
      <w:r w:rsidR="00563CC2">
        <w:rPr>
          <w:rFonts w:asciiTheme="majorHAnsi" w:eastAsia="Times New Roman" w:hAnsiTheme="majorHAnsi" w:cstheme="majorBidi"/>
          <w:sz w:val="23"/>
          <w:szCs w:val="23"/>
          <w:lang w:val="en-GB"/>
        </w:rPr>
        <w:t xml:space="preserve"> community</w:t>
      </w:r>
      <w:r w:rsidRPr="72671098">
        <w:rPr>
          <w:rFonts w:asciiTheme="majorHAnsi" w:eastAsia="Times New Roman" w:hAnsiTheme="majorHAnsi" w:cstheme="majorBidi"/>
          <w:sz w:val="23"/>
          <w:szCs w:val="23"/>
          <w:lang w:val="en-GB"/>
        </w:rPr>
        <w:t xml:space="preserve"> sources who work with residents in the three localities emphasised the importance of taking a respectful, community-led</w:t>
      </w:r>
      <w:r w:rsidR="00563CC2">
        <w:rPr>
          <w:rFonts w:asciiTheme="majorHAnsi" w:eastAsia="Times New Roman" w:hAnsiTheme="majorHAnsi" w:cstheme="majorBidi"/>
          <w:sz w:val="23"/>
          <w:szCs w:val="23"/>
          <w:lang w:val="en-GB"/>
        </w:rPr>
        <w:t>,</w:t>
      </w:r>
      <w:r w:rsidRPr="72671098">
        <w:rPr>
          <w:rFonts w:asciiTheme="majorHAnsi" w:eastAsia="Times New Roman" w:hAnsiTheme="majorHAnsi" w:cstheme="majorBidi"/>
          <w:sz w:val="23"/>
          <w:szCs w:val="23"/>
          <w:lang w:val="en-GB"/>
        </w:rPr>
        <w:t xml:space="preserve"> and sustainable approach to change. There was a clear and emphatic message that communities need to be resourced and empowered to generate solutions from within, rather than </w:t>
      </w:r>
      <w:r w:rsidR="00563CC2">
        <w:rPr>
          <w:rFonts w:asciiTheme="majorHAnsi" w:eastAsia="Times New Roman" w:hAnsiTheme="majorHAnsi" w:cstheme="majorBidi"/>
          <w:sz w:val="23"/>
          <w:szCs w:val="23"/>
          <w:lang w:val="en-GB"/>
        </w:rPr>
        <w:t xml:space="preserve">having </w:t>
      </w:r>
      <w:r w:rsidRPr="72671098">
        <w:rPr>
          <w:rFonts w:asciiTheme="majorHAnsi" w:eastAsia="Times New Roman" w:hAnsiTheme="majorHAnsi" w:cstheme="majorBidi"/>
          <w:sz w:val="23"/>
          <w:szCs w:val="23"/>
          <w:lang w:val="en-GB"/>
        </w:rPr>
        <w:t>outsiders impos</w:t>
      </w:r>
      <w:r w:rsidR="00563CC2">
        <w:rPr>
          <w:rFonts w:asciiTheme="majorHAnsi" w:eastAsia="Times New Roman" w:hAnsiTheme="majorHAnsi" w:cstheme="majorBidi"/>
          <w:sz w:val="23"/>
          <w:szCs w:val="23"/>
          <w:lang w:val="en-GB"/>
        </w:rPr>
        <w:t>e</w:t>
      </w:r>
      <w:r w:rsidRPr="72671098">
        <w:rPr>
          <w:rFonts w:asciiTheme="majorHAnsi" w:eastAsia="Times New Roman" w:hAnsiTheme="majorHAnsi" w:cstheme="majorBidi"/>
          <w:sz w:val="23"/>
          <w:szCs w:val="23"/>
          <w:lang w:val="en-GB"/>
        </w:rPr>
        <w:t xml:space="preserve"> top-down solutions. To be effective in meeting the community’s needs, new initiatives also need to build on existing</w:t>
      </w:r>
      <w:r w:rsidR="00186C96">
        <w:rPr>
          <w:rFonts w:asciiTheme="majorHAnsi" w:eastAsia="Times New Roman" w:hAnsiTheme="majorHAnsi" w:cstheme="majorBidi"/>
          <w:sz w:val="23"/>
          <w:szCs w:val="23"/>
          <w:lang w:val="en-GB"/>
        </w:rPr>
        <w:t xml:space="preserve"> local knowledge, organisations,</w:t>
      </w:r>
      <w:r w:rsidRPr="72671098">
        <w:rPr>
          <w:rFonts w:asciiTheme="majorHAnsi" w:eastAsia="Times New Roman" w:hAnsiTheme="majorHAnsi" w:cstheme="majorBidi"/>
          <w:sz w:val="23"/>
          <w:szCs w:val="23"/>
          <w:lang w:val="en-GB"/>
        </w:rPr>
        <w:t xml:space="preserve"> strengths, networks</w:t>
      </w:r>
      <w:r w:rsidR="00186C96">
        <w:rPr>
          <w:rFonts w:asciiTheme="majorHAnsi" w:eastAsia="Times New Roman" w:hAnsiTheme="majorHAnsi" w:cstheme="majorBidi"/>
          <w:sz w:val="23"/>
          <w:szCs w:val="23"/>
          <w:lang w:val="en-GB"/>
        </w:rPr>
        <w:t>,</w:t>
      </w:r>
      <w:r w:rsidRPr="72671098">
        <w:rPr>
          <w:rFonts w:asciiTheme="majorHAnsi" w:eastAsia="Times New Roman" w:hAnsiTheme="majorHAnsi" w:cstheme="majorBidi"/>
          <w:sz w:val="23"/>
          <w:szCs w:val="23"/>
          <w:lang w:val="en-GB"/>
        </w:rPr>
        <w:t xml:space="preserve"> and programs, rather than </w:t>
      </w:r>
      <w:r w:rsidRPr="72671098">
        <w:rPr>
          <w:rFonts w:asciiTheme="majorHAnsi" w:eastAsia="Times New Roman" w:hAnsiTheme="majorHAnsi" w:cstheme="majorBidi"/>
          <w:sz w:val="23"/>
          <w:szCs w:val="23"/>
          <w:lang w:val="en-GB"/>
        </w:rPr>
        <w:lastRenderedPageBreak/>
        <w:t>attempting to start from scratch. There was also a consensus view that interventions need to be funded properly, with a view to long-term sustainability and capacity-building.</w:t>
      </w:r>
    </w:p>
    <w:p w14:paraId="46F3A7F6" w14:textId="04457E10" w:rsidR="00F00E3D" w:rsidRPr="006B57AC" w:rsidRDefault="00F00E3D" w:rsidP="6A3610E4">
      <w:pPr>
        <w:pStyle w:val="ListParagraph"/>
        <w:numPr>
          <w:ilvl w:val="0"/>
          <w:numId w:val="7"/>
        </w:numPr>
        <w:spacing w:after="0" w:line="276" w:lineRule="auto"/>
        <w:rPr>
          <w:rFonts w:asciiTheme="majorHAnsi" w:eastAsiaTheme="majorEastAsia" w:hAnsiTheme="majorHAnsi" w:cstheme="majorBidi"/>
          <w:color w:val="000000" w:themeColor="text1"/>
          <w:sz w:val="24"/>
          <w:szCs w:val="24"/>
          <w:lang w:val="en-GB"/>
        </w:rPr>
      </w:pPr>
      <w:r w:rsidRPr="6A3610E4">
        <w:rPr>
          <w:rFonts w:asciiTheme="majorHAnsi" w:eastAsiaTheme="majorEastAsia" w:hAnsiTheme="majorHAnsi" w:cstheme="majorBidi"/>
          <w:lang w:val="en-GB"/>
        </w:rPr>
        <w:t xml:space="preserve">To appropriately ground the research and its </w:t>
      </w:r>
      <w:r w:rsidR="003E2C21" w:rsidRPr="6A3610E4">
        <w:rPr>
          <w:rFonts w:asciiTheme="majorHAnsi" w:eastAsiaTheme="majorEastAsia" w:hAnsiTheme="majorHAnsi" w:cstheme="majorBidi"/>
          <w:lang w:val="en-GB"/>
        </w:rPr>
        <w:t>R</w:t>
      </w:r>
      <w:r w:rsidRPr="6A3610E4">
        <w:rPr>
          <w:rFonts w:asciiTheme="majorHAnsi" w:eastAsiaTheme="majorEastAsia" w:hAnsiTheme="majorHAnsi" w:cstheme="majorBidi"/>
          <w:lang w:val="en-GB"/>
        </w:rPr>
        <w:t xml:space="preserve">ecommendations, we suggest </w:t>
      </w:r>
      <w:r w:rsidR="51888173" w:rsidRPr="6A3610E4">
        <w:rPr>
          <w:rFonts w:asciiTheme="majorHAnsi" w:eastAsiaTheme="majorEastAsia" w:hAnsiTheme="majorHAnsi" w:cstheme="majorBidi"/>
          <w:color w:val="333333"/>
          <w:lang w:val="en-GB"/>
        </w:rPr>
        <w:t>that CoGG engage in a consultation and collaboration project to “test” and refine the findings and Recommendations of this report, working directly with communities in the three localities. This would involve co-designing the development, implementation, and evaluation of programs with community members.</w:t>
      </w:r>
    </w:p>
    <w:p w14:paraId="0C7F6967" w14:textId="77777777" w:rsidR="00F00E3D" w:rsidRPr="00BF45CB" w:rsidRDefault="00F00E3D" w:rsidP="00D82B04">
      <w:pPr>
        <w:spacing w:line="276" w:lineRule="auto"/>
        <w:rPr>
          <w:rFonts w:cstheme="minorHAnsi"/>
          <w:b/>
          <w:color w:val="2F5496" w:themeColor="accent1" w:themeShade="BF"/>
          <w:sz w:val="25"/>
          <w:szCs w:val="25"/>
        </w:rPr>
      </w:pPr>
      <w:r w:rsidRPr="00BF45CB">
        <w:rPr>
          <w:rFonts w:cstheme="minorHAnsi"/>
          <w:b/>
          <w:color w:val="2F5496" w:themeColor="accent1" w:themeShade="BF"/>
          <w:sz w:val="25"/>
          <w:szCs w:val="25"/>
        </w:rPr>
        <w:t>Implementation</w:t>
      </w:r>
    </w:p>
    <w:p w14:paraId="0EFB5084" w14:textId="276F946E" w:rsidR="00F00E3D" w:rsidRPr="00E91887" w:rsidRDefault="006D2278" w:rsidP="00D82B04">
      <w:pPr>
        <w:pStyle w:val="ListParagraph"/>
        <w:numPr>
          <w:ilvl w:val="0"/>
          <w:numId w:val="27"/>
        </w:numPr>
        <w:spacing w:line="276" w:lineRule="auto"/>
        <w:rPr>
          <w:rFonts w:asciiTheme="majorHAnsi" w:hAnsiTheme="majorHAnsi" w:cstheme="majorBidi"/>
          <w:color w:val="000000" w:themeColor="text1"/>
          <w:sz w:val="23"/>
          <w:szCs w:val="23"/>
        </w:rPr>
      </w:pPr>
      <w:r>
        <w:rPr>
          <w:rFonts w:asciiTheme="majorHAnsi" w:hAnsiTheme="majorHAnsi" w:cstheme="majorBidi"/>
          <w:sz w:val="23"/>
          <w:szCs w:val="23"/>
        </w:rPr>
        <w:t>As noted above, p</w:t>
      </w:r>
      <w:r w:rsidR="00F00E3D" w:rsidRPr="256F645F">
        <w:rPr>
          <w:rFonts w:asciiTheme="majorHAnsi" w:hAnsiTheme="majorHAnsi" w:cstheme="majorBidi"/>
          <w:sz w:val="23"/>
          <w:szCs w:val="23"/>
        </w:rPr>
        <w:t>ublic fora and ongoing consultation</w:t>
      </w:r>
      <w:r w:rsidR="002303FB">
        <w:rPr>
          <w:rFonts w:asciiTheme="majorHAnsi" w:hAnsiTheme="majorHAnsi" w:cstheme="majorBidi"/>
          <w:sz w:val="23"/>
          <w:szCs w:val="23"/>
        </w:rPr>
        <w:t>/collaboration</w:t>
      </w:r>
      <w:r w:rsidR="00F00E3D" w:rsidRPr="256F645F">
        <w:rPr>
          <w:rFonts w:asciiTheme="majorHAnsi" w:hAnsiTheme="majorHAnsi" w:cstheme="majorBidi"/>
          <w:sz w:val="23"/>
          <w:szCs w:val="23"/>
        </w:rPr>
        <w:t xml:space="preserve"> mechanisms need to be established</w:t>
      </w:r>
      <w:r w:rsidR="00A365B9">
        <w:rPr>
          <w:rFonts w:asciiTheme="majorHAnsi" w:hAnsiTheme="majorHAnsi" w:cstheme="majorBidi"/>
          <w:sz w:val="23"/>
          <w:szCs w:val="23"/>
        </w:rPr>
        <w:t xml:space="preserve"> with communities</w:t>
      </w:r>
      <w:r w:rsidR="00F00E3D" w:rsidRPr="256F645F">
        <w:rPr>
          <w:rFonts w:asciiTheme="majorHAnsi" w:hAnsiTheme="majorHAnsi" w:cstheme="majorBidi"/>
          <w:sz w:val="23"/>
          <w:szCs w:val="23"/>
        </w:rPr>
        <w:t xml:space="preserve"> in all three </w:t>
      </w:r>
      <w:r w:rsidR="004B0B86">
        <w:rPr>
          <w:rFonts w:asciiTheme="majorHAnsi" w:hAnsiTheme="majorHAnsi" w:cstheme="majorBidi"/>
          <w:sz w:val="23"/>
          <w:szCs w:val="23"/>
        </w:rPr>
        <w:t>localities</w:t>
      </w:r>
      <w:r w:rsidR="00F00E3D" w:rsidRPr="256F645F">
        <w:rPr>
          <w:rFonts w:asciiTheme="majorHAnsi" w:hAnsiTheme="majorHAnsi" w:cstheme="majorBidi"/>
          <w:sz w:val="23"/>
          <w:szCs w:val="23"/>
        </w:rPr>
        <w:t xml:space="preserve"> to test </w:t>
      </w:r>
      <w:r w:rsidR="002303FB">
        <w:rPr>
          <w:rFonts w:asciiTheme="majorHAnsi" w:hAnsiTheme="majorHAnsi" w:cstheme="majorBidi"/>
          <w:sz w:val="23"/>
          <w:szCs w:val="23"/>
        </w:rPr>
        <w:t>any proposed i</w:t>
      </w:r>
      <w:r w:rsidR="001579B9">
        <w:rPr>
          <w:rFonts w:asciiTheme="majorHAnsi" w:hAnsiTheme="majorHAnsi" w:cstheme="majorBidi"/>
          <w:sz w:val="23"/>
          <w:szCs w:val="23"/>
        </w:rPr>
        <w:t>nitiatives and Recommendations</w:t>
      </w:r>
      <w:r w:rsidR="00F00E3D" w:rsidRPr="256F645F">
        <w:rPr>
          <w:rFonts w:asciiTheme="majorHAnsi" w:hAnsiTheme="majorHAnsi" w:cstheme="majorBidi"/>
          <w:sz w:val="23"/>
          <w:szCs w:val="23"/>
        </w:rPr>
        <w:t xml:space="preserve">, </w:t>
      </w:r>
      <w:r w:rsidR="001579B9">
        <w:rPr>
          <w:rFonts w:asciiTheme="majorHAnsi" w:hAnsiTheme="majorHAnsi" w:cstheme="majorBidi"/>
          <w:sz w:val="23"/>
          <w:szCs w:val="23"/>
        </w:rPr>
        <w:t>shape program</w:t>
      </w:r>
      <w:r w:rsidR="004B0B86">
        <w:rPr>
          <w:rFonts w:asciiTheme="majorHAnsi" w:hAnsiTheme="majorHAnsi" w:cstheme="majorBidi"/>
          <w:sz w:val="23"/>
          <w:szCs w:val="23"/>
        </w:rPr>
        <w:t xml:space="preserve"> development,</w:t>
      </w:r>
      <w:r w:rsidR="00A365B9">
        <w:rPr>
          <w:rFonts w:asciiTheme="majorHAnsi" w:hAnsiTheme="majorHAnsi" w:cstheme="majorBidi"/>
          <w:sz w:val="23"/>
          <w:szCs w:val="23"/>
        </w:rPr>
        <w:t xml:space="preserve"> </w:t>
      </w:r>
      <w:r w:rsidR="00F00E3D" w:rsidRPr="256F645F">
        <w:rPr>
          <w:rFonts w:asciiTheme="majorHAnsi" w:hAnsiTheme="majorHAnsi" w:cstheme="majorBidi"/>
          <w:sz w:val="23"/>
          <w:szCs w:val="23"/>
        </w:rPr>
        <w:t>secure buy</w:t>
      </w:r>
      <w:r w:rsidR="004B0B86">
        <w:rPr>
          <w:rFonts w:asciiTheme="majorHAnsi" w:hAnsiTheme="majorHAnsi" w:cstheme="majorBidi"/>
          <w:sz w:val="23"/>
          <w:szCs w:val="23"/>
        </w:rPr>
        <w:t>-</w:t>
      </w:r>
      <w:r w:rsidR="00F00E3D" w:rsidRPr="256F645F">
        <w:rPr>
          <w:rFonts w:asciiTheme="majorHAnsi" w:hAnsiTheme="majorHAnsi" w:cstheme="majorBidi"/>
          <w:sz w:val="23"/>
          <w:szCs w:val="23"/>
        </w:rPr>
        <w:t>in</w:t>
      </w:r>
      <w:r w:rsidR="00A365B9">
        <w:rPr>
          <w:rFonts w:asciiTheme="majorHAnsi" w:hAnsiTheme="majorHAnsi" w:cstheme="majorBidi"/>
          <w:sz w:val="23"/>
          <w:szCs w:val="23"/>
        </w:rPr>
        <w:t>, and enable</w:t>
      </w:r>
      <w:r w:rsidR="001579B9">
        <w:rPr>
          <w:rFonts w:asciiTheme="majorHAnsi" w:hAnsiTheme="majorHAnsi" w:cstheme="majorBidi"/>
          <w:sz w:val="23"/>
          <w:szCs w:val="23"/>
        </w:rPr>
        <w:t xml:space="preserve"> program</w:t>
      </w:r>
      <w:r w:rsidR="00F00E3D" w:rsidRPr="256F645F">
        <w:rPr>
          <w:rFonts w:asciiTheme="majorHAnsi" w:hAnsiTheme="majorHAnsi" w:cstheme="majorBidi"/>
          <w:sz w:val="23"/>
          <w:szCs w:val="23"/>
        </w:rPr>
        <w:t xml:space="preserve"> realisation</w:t>
      </w:r>
      <w:r w:rsidR="001579B9">
        <w:rPr>
          <w:rFonts w:asciiTheme="majorHAnsi" w:hAnsiTheme="majorHAnsi" w:cstheme="majorBidi"/>
          <w:sz w:val="23"/>
          <w:szCs w:val="23"/>
        </w:rPr>
        <w:t xml:space="preserve">. These mechanisms </w:t>
      </w:r>
      <w:r w:rsidR="00E96B41">
        <w:rPr>
          <w:rFonts w:asciiTheme="majorHAnsi" w:hAnsiTheme="majorHAnsi" w:cstheme="majorBidi"/>
          <w:sz w:val="23"/>
          <w:szCs w:val="23"/>
        </w:rPr>
        <w:t xml:space="preserve">must </w:t>
      </w:r>
      <w:r>
        <w:rPr>
          <w:rFonts w:asciiTheme="majorHAnsi" w:hAnsiTheme="majorHAnsi" w:cstheme="majorBidi"/>
          <w:sz w:val="23"/>
          <w:szCs w:val="23"/>
        </w:rPr>
        <w:t xml:space="preserve">support </w:t>
      </w:r>
      <w:r w:rsidR="00C20E8E">
        <w:rPr>
          <w:rFonts w:asciiTheme="majorHAnsi" w:hAnsiTheme="majorHAnsi" w:cstheme="majorBidi"/>
          <w:sz w:val="23"/>
          <w:szCs w:val="23"/>
        </w:rPr>
        <w:t xml:space="preserve">active </w:t>
      </w:r>
      <w:r w:rsidR="00881802">
        <w:rPr>
          <w:rFonts w:asciiTheme="majorHAnsi" w:hAnsiTheme="majorHAnsi" w:cstheme="majorBidi"/>
          <w:sz w:val="23"/>
          <w:szCs w:val="23"/>
        </w:rPr>
        <w:t xml:space="preserve">participation </w:t>
      </w:r>
      <w:r>
        <w:rPr>
          <w:rFonts w:asciiTheme="majorHAnsi" w:hAnsiTheme="majorHAnsi" w:cstheme="majorBidi"/>
          <w:sz w:val="23"/>
          <w:szCs w:val="23"/>
        </w:rPr>
        <w:t xml:space="preserve">by </w:t>
      </w:r>
      <w:r w:rsidR="00881802">
        <w:rPr>
          <w:rFonts w:asciiTheme="majorHAnsi" w:hAnsiTheme="majorHAnsi" w:cstheme="majorBidi"/>
          <w:sz w:val="23"/>
          <w:szCs w:val="23"/>
        </w:rPr>
        <w:t xml:space="preserve">community </w:t>
      </w:r>
      <w:r w:rsidR="00392305">
        <w:rPr>
          <w:rFonts w:asciiTheme="majorHAnsi" w:hAnsiTheme="majorHAnsi" w:cstheme="majorBidi"/>
          <w:sz w:val="23"/>
          <w:szCs w:val="23"/>
        </w:rPr>
        <w:t>members and</w:t>
      </w:r>
      <w:r w:rsidR="00E96B41">
        <w:rPr>
          <w:rFonts w:asciiTheme="majorHAnsi" w:hAnsiTheme="majorHAnsi" w:cstheme="majorBidi"/>
          <w:sz w:val="23"/>
          <w:szCs w:val="23"/>
        </w:rPr>
        <w:t xml:space="preserve"> enable residents to play a central role in shaping programs</w:t>
      </w:r>
      <w:r w:rsidR="00C20E8E">
        <w:rPr>
          <w:rFonts w:asciiTheme="majorHAnsi" w:hAnsiTheme="majorHAnsi" w:cstheme="majorBidi"/>
          <w:sz w:val="23"/>
          <w:szCs w:val="23"/>
        </w:rPr>
        <w:t>.</w:t>
      </w:r>
    </w:p>
    <w:p w14:paraId="5A4C7EFD" w14:textId="4D80626B" w:rsidR="00F00E3D" w:rsidRPr="00E91887" w:rsidRDefault="00F00E3D" w:rsidP="00D82B04">
      <w:pPr>
        <w:pStyle w:val="ListParagraph"/>
        <w:numPr>
          <w:ilvl w:val="0"/>
          <w:numId w:val="27"/>
        </w:numPr>
        <w:spacing w:line="276" w:lineRule="auto"/>
        <w:rPr>
          <w:rFonts w:asciiTheme="majorHAnsi" w:hAnsiTheme="majorHAnsi" w:cstheme="majorHAnsi"/>
          <w:color w:val="000000" w:themeColor="text1"/>
          <w:sz w:val="23"/>
          <w:szCs w:val="23"/>
        </w:rPr>
      </w:pPr>
      <w:r w:rsidRPr="00E91887">
        <w:rPr>
          <w:rFonts w:asciiTheme="majorHAnsi" w:hAnsiTheme="majorHAnsi" w:cstheme="majorHAnsi"/>
          <w:sz w:val="23"/>
          <w:szCs w:val="23"/>
        </w:rPr>
        <w:t xml:space="preserve">The City of Greater Geelong </w:t>
      </w:r>
      <w:r w:rsidR="00881802">
        <w:rPr>
          <w:rFonts w:asciiTheme="majorHAnsi" w:hAnsiTheme="majorHAnsi" w:cstheme="majorHAnsi"/>
          <w:sz w:val="23"/>
          <w:szCs w:val="23"/>
        </w:rPr>
        <w:t>previously</w:t>
      </w:r>
      <w:r w:rsidRPr="00E91887">
        <w:rPr>
          <w:rFonts w:asciiTheme="majorHAnsi" w:hAnsiTheme="majorHAnsi" w:cstheme="majorHAnsi"/>
          <w:sz w:val="23"/>
          <w:szCs w:val="23"/>
        </w:rPr>
        <w:t xml:space="preserve"> ha</w:t>
      </w:r>
      <w:r w:rsidR="00881802">
        <w:rPr>
          <w:rFonts w:asciiTheme="majorHAnsi" w:hAnsiTheme="majorHAnsi" w:cstheme="majorHAnsi"/>
          <w:sz w:val="23"/>
          <w:szCs w:val="23"/>
        </w:rPr>
        <w:t>d</w:t>
      </w:r>
      <w:r w:rsidRPr="00E91887">
        <w:rPr>
          <w:rFonts w:asciiTheme="majorHAnsi" w:hAnsiTheme="majorHAnsi" w:cstheme="majorHAnsi"/>
          <w:sz w:val="23"/>
          <w:szCs w:val="23"/>
        </w:rPr>
        <w:t xml:space="preserve"> place-based community development workers</w:t>
      </w:r>
      <w:r w:rsidR="006E4737">
        <w:rPr>
          <w:rFonts w:asciiTheme="majorHAnsi" w:hAnsiTheme="majorHAnsi" w:cstheme="majorHAnsi"/>
          <w:sz w:val="23"/>
          <w:szCs w:val="23"/>
        </w:rPr>
        <w:t>. These</w:t>
      </w:r>
      <w:r w:rsidRPr="00E91887">
        <w:rPr>
          <w:rFonts w:asciiTheme="majorHAnsi" w:hAnsiTheme="majorHAnsi" w:cstheme="majorHAnsi"/>
          <w:sz w:val="23"/>
          <w:szCs w:val="23"/>
        </w:rPr>
        <w:t xml:space="preserve"> </w:t>
      </w:r>
      <w:r w:rsidR="006E4737">
        <w:rPr>
          <w:rFonts w:asciiTheme="majorHAnsi" w:hAnsiTheme="majorHAnsi" w:cstheme="majorHAnsi"/>
          <w:sz w:val="23"/>
          <w:szCs w:val="23"/>
        </w:rPr>
        <w:t xml:space="preserve">roles </w:t>
      </w:r>
      <w:r w:rsidRPr="00E91887">
        <w:rPr>
          <w:rFonts w:asciiTheme="majorHAnsi" w:hAnsiTheme="majorHAnsi" w:cstheme="majorHAnsi"/>
          <w:sz w:val="23"/>
          <w:szCs w:val="23"/>
        </w:rPr>
        <w:t>have now gone</w:t>
      </w:r>
      <w:r w:rsidR="006E4737">
        <w:rPr>
          <w:rFonts w:asciiTheme="majorHAnsi" w:hAnsiTheme="majorHAnsi" w:cstheme="majorHAnsi"/>
          <w:sz w:val="23"/>
          <w:szCs w:val="23"/>
        </w:rPr>
        <w:t>, and</w:t>
      </w:r>
      <w:r w:rsidRPr="00E91887">
        <w:rPr>
          <w:rFonts w:asciiTheme="majorHAnsi" w:hAnsiTheme="majorHAnsi" w:cstheme="majorHAnsi"/>
          <w:sz w:val="23"/>
          <w:szCs w:val="23"/>
        </w:rPr>
        <w:t xml:space="preserve"> </w:t>
      </w:r>
      <w:r w:rsidRPr="0495F610">
        <w:rPr>
          <w:rFonts w:asciiTheme="majorHAnsi" w:hAnsiTheme="majorHAnsi" w:cstheme="majorBidi"/>
          <w:sz w:val="23"/>
          <w:szCs w:val="23"/>
        </w:rPr>
        <w:t xml:space="preserve">perhaps </w:t>
      </w:r>
      <w:r w:rsidRPr="00E91887">
        <w:rPr>
          <w:rFonts w:asciiTheme="majorHAnsi" w:hAnsiTheme="majorHAnsi" w:cstheme="majorHAnsi"/>
          <w:sz w:val="23"/>
          <w:szCs w:val="23"/>
        </w:rPr>
        <w:t>should be revisited.</w:t>
      </w:r>
    </w:p>
    <w:p w14:paraId="35C58C52" w14:textId="76A4E3AE" w:rsidR="00966D9D" w:rsidRDefault="006E4737" w:rsidP="00966D9D">
      <w:pPr>
        <w:spacing w:after="0" w:line="276" w:lineRule="auto"/>
        <w:rPr>
          <w:rFonts w:asciiTheme="majorHAnsi" w:hAnsiTheme="majorHAnsi" w:cstheme="majorHAnsi"/>
          <w:sz w:val="23"/>
          <w:szCs w:val="23"/>
        </w:rPr>
        <w:sectPr w:rsidR="00966D9D" w:rsidSect="000A54BF">
          <w:pgSz w:w="11900" w:h="16840"/>
          <w:pgMar w:top="1134" w:right="1134" w:bottom="1134" w:left="1134" w:header="709" w:footer="709" w:gutter="0"/>
          <w:cols w:space="708"/>
          <w:docGrid w:linePitch="360"/>
        </w:sectPr>
      </w:pPr>
      <w:r>
        <w:rPr>
          <w:rFonts w:asciiTheme="majorHAnsi" w:hAnsiTheme="majorHAnsi" w:cstheme="majorHAnsi"/>
          <w:sz w:val="23"/>
          <w:szCs w:val="23"/>
        </w:rPr>
        <w:t>The</w:t>
      </w:r>
      <w:r w:rsidR="00F2738D">
        <w:rPr>
          <w:rFonts w:asciiTheme="majorHAnsi" w:hAnsiTheme="majorHAnsi" w:cstheme="majorHAnsi"/>
          <w:sz w:val="23"/>
          <w:szCs w:val="23"/>
        </w:rPr>
        <w:t>se</w:t>
      </w:r>
      <w:r>
        <w:rPr>
          <w:rFonts w:asciiTheme="majorHAnsi" w:hAnsiTheme="majorHAnsi" w:cstheme="majorHAnsi"/>
          <w:sz w:val="23"/>
          <w:szCs w:val="23"/>
        </w:rPr>
        <w:t xml:space="preserve"> suggestions </w:t>
      </w:r>
      <w:r w:rsidR="00F2738D">
        <w:rPr>
          <w:rFonts w:asciiTheme="majorHAnsi" w:hAnsiTheme="majorHAnsi" w:cstheme="majorHAnsi"/>
          <w:sz w:val="23"/>
          <w:szCs w:val="23"/>
        </w:rPr>
        <w:t xml:space="preserve">can </w:t>
      </w:r>
      <w:r w:rsidR="00F00E3D" w:rsidRPr="00E91887">
        <w:rPr>
          <w:rFonts w:asciiTheme="majorHAnsi" w:hAnsiTheme="majorHAnsi" w:cstheme="majorHAnsi"/>
          <w:sz w:val="23"/>
          <w:szCs w:val="23"/>
        </w:rPr>
        <w:t xml:space="preserve">usefully be linked to some of the </w:t>
      </w:r>
      <w:r w:rsidR="00127ADC">
        <w:rPr>
          <w:rFonts w:asciiTheme="majorHAnsi" w:hAnsiTheme="majorHAnsi" w:cstheme="majorHAnsi"/>
          <w:sz w:val="23"/>
          <w:szCs w:val="23"/>
        </w:rPr>
        <w:t>initiatives profiled</w:t>
      </w:r>
      <w:r w:rsidR="00F00E3D" w:rsidRPr="00E91887">
        <w:rPr>
          <w:rFonts w:asciiTheme="majorHAnsi" w:hAnsiTheme="majorHAnsi" w:cstheme="majorHAnsi"/>
          <w:sz w:val="23"/>
          <w:szCs w:val="23"/>
        </w:rPr>
        <w:t xml:space="preserve"> in Part </w:t>
      </w:r>
      <w:r w:rsidR="0032548D">
        <w:rPr>
          <w:rFonts w:asciiTheme="majorHAnsi" w:hAnsiTheme="majorHAnsi" w:cstheme="majorHAnsi"/>
          <w:sz w:val="23"/>
          <w:szCs w:val="23"/>
        </w:rPr>
        <w:t>A</w:t>
      </w:r>
      <w:r w:rsidR="00F00E3D" w:rsidRPr="00E91887">
        <w:rPr>
          <w:rFonts w:asciiTheme="majorHAnsi" w:hAnsiTheme="majorHAnsi" w:cstheme="majorHAnsi"/>
          <w:sz w:val="23"/>
          <w:szCs w:val="23"/>
        </w:rPr>
        <w:t xml:space="preserve"> </w:t>
      </w:r>
      <w:r w:rsidR="00127ADC">
        <w:rPr>
          <w:rFonts w:asciiTheme="majorHAnsi" w:hAnsiTheme="majorHAnsi" w:cstheme="majorHAnsi"/>
          <w:sz w:val="23"/>
          <w:szCs w:val="23"/>
        </w:rPr>
        <w:t>of this report</w:t>
      </w:r>
      <w:r w:rsidR="00A32E00">
        <w:rPr>
          <w:rFonts w:asciiTheme="majorHAnsi" w:hAnsiTheme="majorHAnsi" w:cstheme="majorHAnsi"/>
          <w:sz w:val="23"/>
          <w:szCs w:val="23"/>
        </w:rPr>
        <w:t>.</w:t>
      </w:r>
      <w:r w:rsidR="00F00E3D" w:rsidRPr="00E91887">
        <w:rPr>
          <w:rFonts w:asciiTheme="majorHAnsi" w:hAnsiTheme="majorHAnsi" w:cstheme="majorHAnsi"/>
          <w:sz w:val="23"/>
          <w:szCs w:val="23"/>
        </w:rPr>
        <w:t xml:space="preserve"> </w:t>
      </w:r>
      <w:r w:rsidR="00A32E00">
        <w:rPr>
          <w:rFonts w:asciiTheme="majorHAnsi" w:hAnsiTheme="majorHAnsi" w:cstheme="majorHAnsi"/>
          <w:sz w:val="23"/>
          <w:szCs w:val="23"/>
        </w:rPr>
        <w:t xml:space="preserve">The programs, models, </w:t>
      </w:r>
      <w:r w:rsidR="00E96B41">
        <w:rPr>
          <w:rFonts w:asciiTheme="majorHAnsi" w:hAnsiTheme="majorHAnsi" w:cstheme="majorHAnsi"/>
          <w:sz w:val="23"/>
          <w:szCs w:val="23"/>
        </w:rPr>
        <w:t xml:space="preserve">programs, </w:t>
      </w:r>
      <w:r w:rsidR="00A32E00">
        <w:rPr>
          <w:rFonts w:asciiTheme="majorHAnsi" w:hAnsiTheme="majorHAnsi" w:cstheme="majorHAnsi"/>
          <w:sz w:val="23"/>
          <w:szCs w:val="23"/>
        </w:rPr>
        <w:t>and approaches</w:t>
      </w:r>
      <w:r w:rsidR="00F00E3D" w:rsidRPr="00E91887">
        <w:rPr>
          <w:rFonts w:asciiTheme="majorHAnsi" w:hAnsiTheme="majorHAnsi" w:cstheme="majorHAnsi"/>
          <w:sz w:val="23"/>
          <w:szCs w:val="23"/>
        </w:rPr>
        <w:t xml:space="preserve"> </w:t>
      </w:r>
      <w:r w:rsidR="00606976">
        <w:rPr>
          <w:rFonts w:asciiTheme="majorHAnsi" w:hAnsiTheme="majorHAnsi" w:cstheme="majorHAnsi"/>
          <w:sz w:val="23"/>
          <w:szCs w:val="23"/>
        </w:rPr>
        <w:t xml:space="preserve">discussed in our </w:t>
      </w:r>
      <w:r w:rsidR="00AD2DA5">
        <w:rPr>
          <w:rFonts w:asciiTheme="majorHAnsi" w:hAnsiTheme="majorHAnsi" w:cstheme="majorHAnsi"/>
          <w:sz w:val="23"/>
          <w:szCs w:val="23"/>
        </w:rPr>
        <w:t>Case Studies</w:t>
      </w:r>
      <w:r w:rsidR="00F00E3D" w:rsidRPr="00E91887">
        <w:rPr>
          <w:rFonts w:asciiTheme="majorHAnsi" w:hAnsiTheme="majorHAnsi" w:cstheme="majorHAnsi"/>
          <w:sz w:val="23"/>
          <w:szCs w:val="23"/>
        </w:rPr>
        <w:t xml:space="preserve"> offer an array of options </w:t>
      </w:r>
      <w:r w:rsidR="003E272F">
        <w:rPr>
          <w:rFonts w:asciiTheme="majorHAnsi" w:hAnsiTheme="majorHAnsi" w:cstheme="majorHAnsi"/>
          <w:sz w:val="23"/>
          <w:szCs w:val="23"/>
        </w:rPr>
        <w:t xml:space="preserve">and ideas </w:t>
      </w:r>
      <w:r w:rsidR="00F00E3D" w:rsidRPr="00E91887">
        <w:rPr>
          <w:rFonts w:asciiTheme="majorHAnsi" w:hAnsiTheme="majorHAnsi" w:cstheme="majorHAnsi"/>
          <w:sz w:val="23"/>
          <w:szCs w:val="23"/>
        </w:rPr>
        <w:t xml:space="preserve">for ameliorating </w:t>
      </w:r>
      <w:r w:rsidR="00690690">
        <w:rPr>
          <w:rFonts w:asciiTheme="majorHAnsi" w:hAnsiTheme="majorHAnsi" w:cstheme="majorHAnsi"/>
          <w:sz w:val="23"/>
          <w:szCs w:val="23"/>
        </w:rPr>
        <w:t>disadvantage</w:t>
      </w:r>
      <w:r w:rsidR="00603659">
        <w:rPr>
          <w:rFonts w:asciiTheme="majorHAnsi" w:hAnsiTheme="majorHAnsi" w:cstheme="majorHAnsi"/>
          <w:sz w:val="23"/>
          <w:szCs w:val="23"/>
        </w:rPr>
        <w:t xml:space="preserve"> (Section 5)</w:t>
      </w:r>
      <w:r w:rsidR="001E65F9">
        <w:rPr>
          <w:rFonts w:asciiTheme="majorHAnsi" w:hAnsiTheme="majorHAnsi" w:cstheme="majorHAnsi"/>
          <w:sz w:val="23"/>
          <w:szCs w:val="23"/>
        </w:rPr>
        <w:t xml:space="preserve">. The </w:t>
      </w:r>
      <w:r w:rsidR="00AD2DA5">
        <w:rPr>
          <w:rFonts w:asciiTheme="majorHAnsi" w:hAnsiTheme="majorHAnsi" w:cstheme="majorHAnsi"/>
          <w:sz w:val="23"/>
          <w:szCs w:val="23"/>
        </w:rPr>
        <w:t>Case Studies</w:t>
      </w:r>
      <w:r w:rsidR="001E65F9">
        <w:rPr>
          <w:rFonts w:asciiTheme="majorHAnsi" w:hAnsiTheme="majorHAnsi" w:cstheme="majorHAnsi"/>
          <w:sz w:val="23"/>
          <w:szCs w:val="23"/>
        </w:rPr>
        <w:t xml:space="preserve"> are not intended to present</w:t>
      </w:r>
      <w:r w:rsidR="00661D7A">
        <w:rPr>
          <w:rFonts w:asciiTheme="majorHAnsi" w:hAnsiTheme="majorHAnsi" w:cstheme="majorHAnsi"/>
          <w:sz w:val="23"/>
          <w:szCs w:val="23"/>
        </w:rPr>
        <w:t xml:space="preserve"> an exhaustive list of approaches, </w:t>
      </w:r>
      <w:r w:rsidR="00603659">
        <w:rPr>
          <w:rFonts w:asciiTheme="majorHAnsi" w:hAnsiTheme="majorHAnsi" w:cstheme="majorHAnsi"/>
          <w:sz w:val="23"/>
          <w:szCs w:val="23"/>
        </w:rPr>
        <w:t>n</w:t>
      </w:r>
      <w:r w:rsidR="00661D7A">
        <w:rPr>
          <w:rFonts w:asciiTheme="majorHAnsi" w:hAnsiTheme="majorHAnsi" w:cstheme="majorHAnsi"/>
          <w:sz w:val="23"/>
          <w:szCs w:val="23"/>
        </w:rPr>
        <w:t xml:space="preserve">or a set of off-the-shelf solutions, but rather a </w:t>
      </w:r>
      <w:r w:rsidR="00603659">
        <w:rPr>
          <w:rFonts w:asciiTheme="majorHAnsi" w:hAnsiTheme="majorHAnsi" w:cstheme="majorHAnsi"/>
          <w:sz w:val="23"/>
          <w:szCs w:val="23"/>
        </w:rPr>
        <w:t>diverse</w:t>
      </w:r>
      <w:r w:rsidR="00967518">
        <w:rPr>
          <w:rFonts w:asciiTheme="majorHAnsi" w:hAnsiTheme="majorHAnsi" w:cstheme="majorHAnsi"/>
          <w:sz w:val="23"/>
          <w:szCs w:val="23"/>
        </w:rPr>
        <w:t xml:space="preserve"> spectrum</w:t>
      </w:r>
      <w:r w:rsidR="00661D7A">
        <w:rPr>
          <w:rFonts w:asciiTheme="majorHAnsi" w:hAnsiTheme="majorHAnsi" w:cstheme="majorHAnsi"/>
          <w:sz w:val="23"/>
          <w:szCs w:val="23"/>
        </w:rPr>
        <w:t xml:space="preserve"> of examples that</w:t>
      </w:r>
      <w:r w:rsidR="00690690">
        <w:rPr>
          <w:rFonts w:asciiTheme="majorHAnsi" w:hAnsiTheme="majorHAnsi" w:cstheme="majorHAnsi"/>
          <w:sz w:val="23"/>
          <w:szCs w:val="23"/>
        </w:rPr>
        <w:t xml:space="preserve"> </w:t>
      </w:r>
      <w:r w:rsidR="00127ADC">
        <w:rPr>
          <w:rFonts w:asciiTheme="majorHAnsi" w:hAnsiTheme="majorHAnsi" w:cstheme="majorHAnsi"/>
          <w:sz w:val="23"/>
          <w:szCs w:val="23"/>
        </w:rPr>
        <w:t xml:space="preserve">could inform the development of </w:t>
      </w:r>
      <w:r w:rsidR="00606976">
        <w:rPr>
          <w:rFonts w:asciiTheme="majorHAnsi" w:hAnsiTheme="majorHAnsi" w:cstheme="majorHAnsi"/>
          <w:sz w:val="23"/>
          <w:szCs w:val="23"/>
        </w:rPr>
        <w:t xml:space="preserve">locally tailored </w:t>
      </w:r>
      <w:r w:rsidR="00AB3025">
        <w:rPr>
          <w:rFonts w:asciiTheme="majorHAnsi" w:hAnsiTheme="majorHAnsi" w:cstheme="majorHAnsi"/>
          <w:sz w:val="23"/>
          <w:szCs w:val="23"/>
        </w:rPr>
        <w:t>programs</w:t>
      </w:r>
      <w:r w:rsidR="00127ADC">
        <w:rPr>
          <w:rFonts w:asciiTheme="majorHAnsi" w:hAnsiTheme="majorHAnsi" w:cstheme="majorHAnsi"/>
          <w:sz w:val="23"/>
          <w:szCs w:val="23"/>
        </w:rPr>
        <w:t xml:space="preserve"> in </w:t>
      </w:r>
      <w:r w:rsidR="00F2738D">
        <w:rPr>
          <w:rFonts w:asciiTheme="majorHAnsi" w:hAnsiTheme="majorHAnsi" w:cstheme="majorHAnsi"/>
          <w:sz w:val="23"/>
          <w:szCs w:val="23"/>
        </w:rPr>
        <w:t>the three</w:t>
      </w:r>
      <w:r w:rsidR="00127ADC">
        <w:rPr>
          <w:rFonts w:asciiTheme="majorHAnsi" w:hAnsiTheme="majorHAnsi" w:cstheme="majorHAnsi"/>
          <w:sz w:val="23"/>
          <w:szCs w:val="23"/>
        </w:rPr>
        <w:t xml:space="preserve"> localities.</w:t>
      </w:r>
      <w:r w:rsidR="00537D2A">
        <w:rPr>
          <w:rFonts w:asciiTheme="majorHAnsi" w:hAnsiTheme="majorHAnsi" w:cstheme="majorHAnsi"/>
          <w:sz w:val="23"/>
          <w:szCs w:val="23"/>
        </w:rPr>
        <w:t xml:space="preserve"> </w:t>
      </w:r>
      <w:r w:rsidR="00A32E00" w:rsidRPr="00A32E00">
        <w:rPr>
          <w:rFonts w:asciiTheme="majorHAnsi" w:hAnsiTheme="majorHAnsi" w:cstheme="majorHAnsi"/>
          <w:sz w:val="23"/>
          <w:szCs w:val="23"/>
        </w:rPr>
        <w:t xml:space="preserve">Table </w:t>
      </w:r>
      <w:r w:rsidR="00537D2A">
        <w:rPr>
          <w:rFonts w:asciiTheme="majorHAnsi" w:hAnsiTheme="majorHAnsi" w:cstheme="majorHAnsi"/>
          <w:sz w:val="23"/>
          <w:szCs w:val="23"/>
        </w:rPr>
        <w:t>7.</w:t>
      </w:r>
      <w:r w:rsidR="00A32E00" w:rsidRPr="00A32E00">
        <w:rPr>
          <w:rFonts w:asciiTheme="majorHAnsi" w:hAnsiTheme="majorHAnsi" w:cstheme="majorHAnsi"/>
          <w:sz w:val="23"/>
          <w:szCs w:val="23"/>
        </w:rPr>
        <w:t>1</w:t>
      </w:r>
      <w:r w:rsidR="005B3004">
        <w:rPr>
          <w:rFonts w:asciiTheme="majorHAnsi" w:hAnsiTheme="majorHAnsi" w:cstheme="majorHAnsi"/>
          <w:sz w:val="23"/>
          <w:szCs w:val="23"/>
        </w:rPr>
        <w:t>6</w:t>
      </w:r>
      <w:r w:rsidR="00537D2A">
        <w:rPr>
          <w:rFonts w:asciiTheme="majorHAnsi" w:hAnsiTheme="majorHAnsi" w:cstheme="majorHAnsi"/>
          <w:sz w:val="23"/>
          <w:szCs w:val="23"/>
        </w:rPr>
        <w:t xml:space="preserve"> (below) maps </w:t>
      </w:r>
      <w:r>
        <w:rPr>
          <w:rFonts w:asciiTheme="majorHAnsi" w:hAnsiTheme="majorHAnsi" w:cstheme="majorHAnsi"/>
          <w:sz w:val="23"/>
          <w:szCs w:val="23"/>
        </w:rPr>
        <w:t>our</w:t>
      </w:r>
      <w:r w:rsidR="00D71AC1">
        <w:rPr>
          <w:rFonts w:asciiTheme="majorHAnsi" w:hAnsiTheme="majorHAnsi" w:cstheme="majorHAnsi"/>
          <w:sz w:val="23"/>
          <w:szCs w:val="23"/>
        </w:rPr>
        <w:t xml:space="preserve"> </w:t>
      </w:r>
      <w:r w:rsidR="00AD2DA5">
        <w:rPr>
          <w:rFonts w:asciiTheme="majorHAnsi" w:hAnsiTheme="majorHAnsi" w:cstheme="majorHAnsi"/>
          <w:sz w:val="23"/>
          <w:szCs w:val="23"/>
        </w:rPr>
        <w:t>Case Studies</w:t>
      </w:r>
      <w:r w:rsidR="003E272F">
        <w:rPr>
          <w:rFonts w:asciiTheme="majorHAnsi" w:hAnsiTheme="majorHAnsi" w:cstheme="majorHAnsi"/>
          <w:sz w:val="23"/>
          <w:szCs w:val="23"/>
        </w:rPr>
        <w:t xml:space="preserve"> against</w:t>
      </w:r>
      <w:r w:rsidR="007B4F9B">
        <w:rPr>
          <w:rFonts w:asciiTheme="majorHAnsi" w:hAnsiTheme="majorHAnsi" w:cstheme="majorHAnsi"/>
          <w:sz w:val="23"/>
          <w:szCs w:val="23"/>
        </w:rPr>
        <w:t xml:space="preserve"> the five</w:t>
      </w:r>
      <w:r w:rsidR="00E96B41">
        <w:rPr>
          <w:rFonts w:asciiTheme="majorHAnsi" w:hAnsiTheme="majorHAnsi" w:cstheme="majorHAnsi"/>
          <w:sz w:val="23"/>
          <w:szCs w:val="23"/>
        </w:rPr>
        <w:t xml:space="preserve"> </w:t>
      </w:r>
      <w:r w:rsidR="00D95573">
        <w:rPr>
          <w:rFonts w:asciiTheme="majorHAnsi" w:hAnsiTheme="majorHAnsi" w:cstheme="majorHAnsi"/>
          <w:sz w:val="23"/>
          <w:szCs w:val="23"/>
        </w:rPr>
        <w:t>Practice Domain</w:t>
      </w:r>
      <w:r w:rsidR="00AB3025">
        <w:rPr>
          <w:rFonts w:asciiTheme="majorHAnsi" w:hAnsiTheme="majorHAnsi" w:cstheme="majorHAnsi"/>
          <w:sz w:val="23"/>
          <w:szCs w:val="23"/>
        </w:rPr>
        <w:t>s and</w:t>
      </w:r>
      <w:r w:rsidR="00E96B41">
        <w:rPr>
          <w:rFonts w:asciiTheme="majorHAnsi" w:hAnsiTheme="majorHAnsi" w:cstheme="majorHAnsi"/>
          <w:sz w:val="23"/>
          <w:szCs w:val="23"/>
        </w:rPr>
        <w:t xml:space="preserve"> </w:t>
      </w:r>
      <w:r w:rsidR="00AB3025">
        <w:rPr>
          <w:rFonts w:asciiTheme="majorHAnsi" w:hAnsiTheme="majorHAnsi" w:cstheme="majorHAnsi"/>
          <w:sz w:val="23"/>
          <w:szCs w:val="23"/>
        </w:rPr>
        <w:t>local</w:t>
      </w:r>
      <w:r w:rsidR="009778F7">
        <w:rPr>
          <w:rFonts w:asciiTheme="majorHAnsi" w:hAnsiTheme="majorHAnsi" w:cstheme="majorHAnsi"/>
          <w:sz w:val="23"/>
          <w:szCs w:val="23"/>
        </w:rPr>
        <w:t xml:space="preserve"> </w:t>
      </w:r>
      <w:r w:rsidR="00D71AC1">
        <w:rPr>
          <w:rFonts w:asciiTheme="majorHAnsi" w:hAnsiTheme="majorHAnsi" w:cstheme="majorHAnsi"/>
          <w:sz w:val="23"/>
          <w:szCs w:val="23"/>
        </w:rPr>
        <w:t xml:space="preserve">indicators </w:t>
      </w:r>
      <w:r w:rsidR="00AB3025">
        <w:rPr>
          <w:rFonts w:asciiTheme="majorHAnsi" w:hAnsiTheme="majorHAnsi" w:cstheme="majorHAnsi"/>
          <w:sz w:val="23"/>
          <w:szCs w:val="23"/>
        </w:rPr>
        <w:t xml:space="preserve">of disadvantage </w:t>
      </w:r>
      <w:r w:rsidR="006B57AC">
        <w:rPr>
          <w:rFonts w:asciiTheme="majorHAnsi" w:hAnsiTheme="majorHAnsi" w:cstheme="majorHAnsi"/>
          <w:sz w:val="23"/>
          <w:szCs w:val="23"/>
        </w:rPr>
        <w:t xml:space="preserve">that have been </w:t>
      </w:r>
      <w:r w:rsidR="009778F7">
        <w:rPr>
          <w:rFonts w:asciiTheme="majorHAnsi" w:hAnsiTheme="majorHAnsi" w:cstheme="majorHAnsi"/>
          <w:sz w:val="23"/>
          <w:szCs w:val="23"/>
        </w:rPr>
        <w:t>highlighted</w:t>
      </w:r>
      <w:r w:rsidR="003E272F">
        <w:rPr>
          <w:rFonts w:asciiTheme="majorHAnsi" w:hAnsiTheme="majorHAnsi" w:cstheme="majorHAnsi"/>
          <w:sz w:val="23"/>
          <w:szCs w:val="23"/>
        </w:rPr>
        <w:t xml:space="preserve"> </w:t>
      </w:r>
      <w:r w:rsidR="00AB3025">
        <w:rPr>
          <w:rFonts w:asciiTheme="majorHAnsi" w:hAnsiTheme="majorHAnsi" w:cstheme="majorHAnsi"/>
          <w:sz w:val="23"/>
          <w:szCs w:val="23"/>
        </w:rPr>
        <w:t>or exacerbated</w:t>
      </w:r>
      <w:r w:rsidR="006B57AC" w:rsidRPr="006B57AC">
        <w:rPr>
          <w:rFonts w:asciiTheme="majorHAnsi" w:hAnsiTheme="majorHAnsi" w:cstheme="majorHAnsi"/>
          <w:sz w:val="23"/>
          <w:szCs w:val="23"/>
        </w:rPr>
        <w:t xml:space="preserve"> </w:t>
      </w:r>
      <w:r w:rsidR="006B57AC">
        <w:rPr>
          <w:rFonts w:asciiTheme="majorHAnsi" w:hAnsiTheme="majorHAnsi" w:cstheme="majorHAnsi"/>
          <w:sz w:val="23"/>
          <w:szCs w:val="23"/>
        </w:rPr>
        <w:t>by COVID-19</w:t>
      </w:r>
      <w:r w:rsidR="00AB3025">
        <w:rPr>
          <w:rFonts w:asciiTheme="majorHAnsi" w:hAnsiTheme="majorHAnsi" w:cstheme="majorHAnsi"/>
          <w:sz w:val="23"/>
          <w:szCs w:val="23"/>
        </w:rPr>
        <w:t>.</w:t>
      </w:r>
      <w:r w:rsidR="006B57AC">
        <w:rPr>
          <w:rFonts w:asciiTheme="majorHAnsi" w:hAnsiTheme="majorHAnsi" w:cstheme="majorHAnsi"/>
          <w:sz w:val="23"/>
          <w:szCs w:val="23"/>
        </w:rPr>
        <w:t xml:space="preserve"> </w:t>
      </w:r>
      <w:r w:rsidR="00CC217E">
        <w:rPr>
          <w:rFonts w:asciiTheme="majorHAnsi" w:hAnsiTheme="majorHAnsi" w:cstheme="majorHAnsi"/>
          <w:sz w:val="23"/>
          <w:szCs w:val="23"/>
        </w:rPr>
        <w:t>(</w:t>
      </w:r>
      <w:r w:rsidR="006B57AC">
        <w:rPr>
          <w:rFonts w:asciiTheme="majorHAnsi" w:hAnsiTheme="majorHAnsi" w:cstheme="majorHAnsi"/>
          <w:sz w:val="23"/>
          <w:szCs w:val="23"/>
        </w:rPr>
        <w:t xml:space="preserve">For a list of all the </w:t>
      </w:r>
      <w:r w:rsidR="00AD2DA5">
        <w:rPr>
          <w:rFonts w:asciiTheme="majorHAnsi" w:hAnsiTheme="majorHAnsi" w:cstheme="majorHAnsi"/>
          <w:sz w:val="23"/>
          <w:szCs w:val="23"/>
        </w:rPr>
        <w:t>Case Studies</w:t>
      </w:r>
      <w:r w:rsidR="00CC217E">
        <w:rPr>
          <w:rFonts w:asciiTheme="majorHAnsi" w:hAnsiTheme="majorHAnsi" w:cstheme="majorHAnsi"/>
          <w:sz w:val="23"/>
          <w:szCs w:val="23"/>
        </w:rPr>
        <w:t xml:space="preserve">, mapped against their main and secondary </w:t>
      </w:r>
      <w:r w:rsidR="00D95573">
        <w:rPr>
          <w:rFonts w:asciiTheme="majorHAnsi" w:hAnsiTheme="majorHAnsi" w:cstheme="majorHAnsi"/>
          <w:sz w:val="23"/>
          <w:szCs w:val="23"/>
        </w:rPr>
        <w:t>Practice Domain</w:t>
      </w:r>
      <w:r w:rsidR="00CC217E">
        <w:rPr>
          <w:rFonts w:asciiTheme="majorHAnsi" w:hAnsiTheme="majorHAnsi" w:cstheme="majorHAnsi"/>
          <w:sz w:val="23"/>
          <w:szCs w:val="23"/>
        </w:rPr>
        <w:t xml:space="preserve">s, see Appendix </w:t>
      </w:r>
      <w:r w:rsidR="0092045B">
        <w:rPr>
          <w:rFonts w:asciiTheme="majorHAnsi" w:hAnsiTheme="majorHAnsi" w:cstheme="majorHAnsi"/>
          <w:sz w:val="23"/>
          <w:szCs w:val="23"/>
        </w:rPr>
        <w:t>B.</w:t>
      </w:r>
    </w:p>
    <w:p w14:paraId="6A479264" w14:textId="00B18846" w:rsidR="00F00E3D" w:rsidRPr="00AF6DDE" w:rsidRDefault="00F00E3D" w:rsidP="00966D9D">
      <w:pPr>
        <w:spacing w:after="0" w:line="276" w:lineRule="auto"/>
        <w:rPr>
          <w:rFonts w:asciiTheme="majorHAnsi" w:hAnsiTheme="majorHAnsi" w:cstheme="majorHAnsi"/>
          <w:sz w:val="23"/>
          <w:szCs w:val="23"/>
        </w:rPr>
      </w:pPr>
    </w:p>
    <w:tbl>
      <w:tblPr>
        <w:tblStyle w:val="TableGrid1"/>
        <w:tblW w:w="13462" w:type="dxa"/>
        <w:tblLayout w:type="fixed"/>
        <w:tblLook w:val="04A0" w:firstRow="1" w:lastRow="0" w:firstColumn="1" w:lastColumn="0" w:noHBand="0" w:noVBand="1"/>
      </w:tblPr>
      <w:tblGrid>
        <w:gridCol w:w="1185"/>
        <w:gridCol w:w="3092"/>
        <w:gridCol w:w="9185"/>
      </w:tblGrid>
      <w:tr w:rsidR="00521FAF" w:rsidRPr="00521FAF" w14:paraId="77476C58" w14:textId="77777777" w:rsidTr="701B9583">
        <w:trPr>
          <w:trHeight w:val="737"/>
        </w:trPr>
        <w:tc>
          <w:tcPr>
            <w:tcW w:w="1185" w:type="dxa"/>
            <w:shd w:val="clear" w:color="auto" w:fill="AEAAAA" w:themeFill="background2" w:themeFillShade="BF"/>
          </w:tcPr>
          <w:p w14:paraId="1C90704C" w14:textId="77777777" w:rsidR="00226B56" w:rsidRPr="00226B56" w:rsidRDefault="00226B56" w:rsidP="002A2EA8">
            <w:pPr>
              <w:spacing w:after="0" w:line="240" w:lineRule="auto"/>
              <w:rPr>
                <w:rFonts w:ascii="Calibri" w:eastAsia="Calibri" w:hAnsi="Calibri" w:cs="Calibri"/>
                <w:b/>
                <w:bCs/>
                <w:sz w:val="8"/>
                <w:szCs w:val="8"/>
                <w:lang w:val="en-GB"/>
              </w:rPr>
            </w:pPr>
          </w:p>
          <w:p w14:paraId="56C7E317" w14:textId="3BF93AB4" w:rsidR="00F00E3D" w:rsidRPr="00521FAF" w:rsidRDefault="00D95573" w:rsidP="002A2EA8">
            <w:pPr>
              <w:spacing w:line="240" w:lineRule="auto"/>
            </w:pPr>
            <w:r>
              <w:rPr>
                <w:rFonts w:ascii="Calibri" w:eastAsia="Calibri" w:hAnsi="Calibri" w:cs="Calibri"/>
                <w:b/>
                <w:bCs/>
                <w:lang w:val="en-GB"/>
              </w:rPr>
              <w:t>Practice Domain</w:t>
            </w:r>
          </w:p>
        </w:tc>
        <w:tc>
          <w:tcPr>
            <w:tcW w:w="3092" w:type="dxa"/>
            <w:shd w:val="clear" w:color="auto" w:fill="AEAAAA" w:themeFill="background2" w:themeFillShade="BF"/>
          </w:tcPr>
          <w:p w14:paraId="78B23D7D" w14:textId="68EDD074" w:rsidR="00226B56" w:rsidRPr="006B57AC" w:rsidRDefault="00226B56" w:rsidP="002A2EA8">
            <w:pPr>
              <w:spacing w:after="0" w:line="240" w:lineRule="auto"/>
              <w:rPr>
                <w:rFonts w:ascii="Calibri" w:eastAsia="Calibri" w:hAnsi="Calibri" w:cs="Calibri"/>
                <w:b/>
                <w:bCs/>
                <w:sz w:val="8"/>
                <w:szCs w:val="8"/>
                <w:lang w:val="en-GB"/>
              </w:rPr>
            </w:pPr>
          </w:p>
          <w:p w14:paraId="4D5FBE40" w14:textId="26DFF477" w:rsidR="00F00E3D" w:rsidRPr="00521FAF" w:rsidRDefault="00F00E3D" w:rsidP="002A2EA8">
            <w:pPr>
              <w:spacing w:line="240" w:lineRule="auto"/>
            </w:pPr>
            <w:r w:rsidRPr="00521FAF">
              <w:rPr>
                <w:rFonts w:ascii="Calibri" w:eastAsia="Calibri" w:hAnsi="Calibri" w:cs="Calibri"/>
                <w:b/>
                <w:bCs/>
                <w:lang w:val="en-GB"/>
              </w:rPr>
              <w:t xml:space="preserve">Indicator of </w:t>
            </w:r>
            <w:r w:rsidR="00521FAF">
              <w:rPr>
                <w:rFonts w:ascii="Calibri" w:eastAsia="Calibri" w:hAnsi="Calibri" w:cs="Calibri"/>
                <w:b/>
                <w:bCs/>
                <w:lang w:val="en-GB"/>
              </w:rPr>
              <w:t>D</w:t>
            </w:r>
            <w:r w:rsidRPr="00521FAF">
              <w:rPr>
                <w:rFonts w:ascii="Calibri" w:eastAsia="Calibri" w:hAnsi="Calibri" w:cs="Calibri"/>
                <w:b/>
                <w:bCs/>
                <w:lang w:val="en-GB"/>
              </w:rPr>
              <w:t>isadvantage</w:t>
            </w:r>
          </w:p>
        </w:tc>
        <w:tc>
          <w:tcPr>
            <w:tcW w:w="9185" w:type="dxa"/>
            <w:shd w:val="clear" w:color="auto" w:fill="AEAAAA" w:themeFill="background2" w:themeFillShade="BF"/>
          </w:tcPr>
          <w:p w14:paraId="345DA99A" w14:textId="77777777" w:rsidR="00226B56" w:rsidRPr="006B57AC" w:rsidRDefault="00226B56" w:rsidP="002A2EA8">
            <w:pPr>
              <w:spacing w:after="0" w:line="240" w:lineRule="auto"/>
              <w:rPr>
                <w:rFonts w:ascii="Calibri" w:eastAsia="Calibri" w:hAnsi="Calibri" w:cs="Calibri"/>
                <w:b/>
                <w:bCs/>
                <w:sz w:val="8"/>
                <w:szCs w:val="8"/>
                <w:lang w:val="en-GB"/>
              </w:rPr>
            </w:pPr>
          </w:p>
          <w:p w14:paraId="6D126F5E" w14:textId="07388991" w:rsidR="00F00E3D" w:rsidRPr="00521FAF" w:rsidRDefault="00F00E3D" w:rsidP="002A2EA8">
            <w:pPr>
              <w:spacing w:line="240" w:lineRule="auto"/>
            </w:pPr>
            <w:r w:rsidRPr="00521FAF">
              <w:rPr>
                <w:rFonts w:ascii="Calibri" w:eastAsia="Calibri" w:hAnsi="Calibri" w:cs="Calibri"/>
                <w:b/>
                <w:bCs/>
                <w:lang w:val="en-GB"/>
              </w:rPr>
              <w:t xml:space="preserve">Possible </w:t>
            </w:r>
            <w:r w:rsidR="00D71AC1">
              <w:rPr>
                <w:rFonts w:ascii="Calibri" w:eastAsia="Calibri" w:hAnsi="Calibri" w:cs="Calibri"/>
                <w:b/>
                <w:bCs/>
                <w:lang w:val="en-GB"/>
              </w:rPr>
              <w:t>M</w:t>
            </w:r>
            <w:r w:rsidRPr="00521FAF">
              <w:rPr>
                <w:rFonts w:ascii="Calibri" w:eastAsia="Calibri" w:hAnsi="Calibri" w:cs="Calibri"/>
                <w:b/>
                <w:bCs/>
                <w:lang w:val="en-GB"/>
              </w:rPr>
              <w:t>odels</w:t>
            </w:r>
            <w:r w:rsidR="00D71AC1">
              <w:rPr>
                <w:rFonts w:ascii="Calibri" w:eastAsia="Calibri" w:hAnsi="Calibri" w:cs="Calibri"/>
                <w:b/>
                <w:bCs/>
                <w:lang w:val="en-GB"/>
              </w:rPr>
              <w:t xml:space="preserve"> </w:t>
            </w:r>
            <w:r w:rsidR="00226B56">
              <w:rPr>
                <w:rFonts w:ascii="Calibri" w:eastAsia="Calibri" w:hAnsi="Calibri" w:cs="Calibri"/>
                <w:b/>
                <w:bCs/>
                <w:lang w:val="en-GB"/>
              </w:rPr>
              <w:t xml:space="preserve">and Ideas </w:t>
            </w:r>
            <w:r w:rsidR="00D71AC1">
              <w:rPr>
                <w:rFonts w:ascii="Calibri" w:eastAsia="Calibri" w:hAnsi="Calibri" w:cs="Calibri"/>
                <w:b/>
                <w:bCs/>
                <w:lang w:val="en-GB"/>
              </w:rPr>
              <w:t>(</w:t>
            </w:r>
            <w:r w:rsidR="00AD2DA5">
              <w:rPr>
                <w:rFonts w:ascii="Calibri" w:eastAsia="Calibri" w:hAnsi="Calibri" w:cs="Calibri"/>
                <w:b/>
                <w:bCs/>
                <w:lang w:val="en-GB"/>
              </w:rPr>
              <w:t>Case Studies</w:t>
            </w:r>
            <w:r w:rsidR="00D71AC1">
              <w:rPr>
                <w:rFonts w:ascii="Calibri" w:eastAsia="Calibri" w:hAnsi="Calibri" w:cs="Calibri"/>
                <w:b/>
                <w:bCs/>
                <w:lang w:val="en-GB"/>
              </w:rPr>
              <w:t xml:space="preserve">, Section </w:t>
            </w:r>
            <w:r w:rsidR="003E272F">
              <w:rPr>
                <w:rFonts w:ascii="Calibri" w:eastAsia="Calibri" w:hAnsi="Calibri" w:cs="Calibri"/>
                <w:b/>
                <w:bCs/>
                <w:lang w:val="en-GB"/>
              </w:rPr>
              <w:t>5</w:t>
            </w:r>
            <w:r w:rsidR="00D71AC1">
              <w:rPr>
                <w:rFonts w:ascii="Calibri" w:eastAsia="Calibri" w:hAnsi="Calibri" w:cs="Calibri"/>
                <w:b/>
                <w:bCs/>
                <w:lang w:val="en-GB"/>
              </w:rPr>
              <w:t>)</w:t>
            </w:r>
          </w:p>
        </w:tc>
      </w:tr>
      <w:tr w:rsidR="00F00E3D" w14:paraId="3F5D051C" w14:textId="77777777" w:rsidTr="701B9583">
        <w:trPr>
          <w:cantSplit/>
          <w:trHeight w:val="1281"/>
        </w:trPr>
        <w:tc>
          <w:tcPr>
            <w:tcW w:w="1185" w:type="dxa"/>
            <w:textDirection w:val="btLr"/>
          </w:tcPr>
          <w:p w14:paraId="71135342" w14:textId="77777777" w:rsidR="00540AB9" w:rsidRDefault="00540AB9" w:rsidP="00540AB9">
            <w:pPr>
              <w:spacing w:after="0" w:line="240" w:lineRule="auto"/>
              <w:ind w:left="113" w:right="113"/>
              <w:rPr>
                <w:rFonts w:ascii="Calibri" w:eastAsia="Calibri" w:hAnsi="Calibri" w:cs="Calibri"/>
                <w:b/>
                <w:bCs/>
                <w:lang w:val="en-GB"/>
              </w:rPr>
            </w:pPr>
          </w:p>
          <w:p w14:paraId="0A146E46" w14:textId="0D3F4207" w:rsidR="00F00E3D" w:rsidRDefault="418B996B" w:rsidP="00540AB9">
            <w:pPr>
              <w:spacing w:after="0" w:line="240" w:lineRule="auto"/>
              <w:ind w:left="113" w:right="113"/>
              <w:jc w:val="center"/>
              <w:rPr>
                <w:rFonts w:ascii="Calibri" w:eastAsia="Calibri" w:hAnsi="Calibri" w:cs="Calibri"/>
                <w:b/>
                <w:sz w:val="20"/>
                <w:szCs w:val="20"/>
                <w:lang w:val="en-GB"/>
              </w:rPr>
            </w:pPr>
            <w:r w:rsidRPr="701B9583">
              <w:rPr>
                <w:rFonts w:ascii="Calibri" w:eastAsia="Calibri" w:hAnsi="Calibri" w:cs="Calibri"/>
                <w:b/>
                <w:bCs/>
                <w:sz w:val="20"/>
                <w:szCs w:val="20"/>
                <w:lang w:val="en-GB"/>
              </w:rPr>
              <w:t>EMPL</w:t>
            </w:r>
            <w:r w:rsidR="0C797943" w:rsidRPr="701B9583">
              <w:rPr>
                <w:rFonts w:ascii="Calibri" w:eastAsia="Calibri" w:hAnsi="Calibri" w:cs="Calibri"/>
                <w:b/>
                <w:bCs/>
                <w:sz w:val="20"/>
                <w:szCs w:val="20"/>
                <w:lang w:val="en-GB"/>
              </w:rPr>
              <w:t>O</w:t>
            </w:r>
            <w:r w:rsidRPr="701B9583">
              <w:rPr>
                <w:rFonts w:ascii="Calibri" w:eastAsia="Calibri" w:hAnsi="Calibri" w:cs="Calibri"/>
                <w:b/>
                <w:bCs/>
                <w:sz w:val="20"/>
                <w:szCs w:val="20"/>
                <w:lang w:val="en-GB"/>
              </w:rPr>
              <w:t>Y</w:t>
            </w:r>
            <w:r w:rsidR="03D9AF06" w:rsidRPr="701B9583">
              <w:rPr>
                <w:rFonts w:ascii="Calibri" w:eastAsia="Calibri" w:hAnsi="Calibri" w:cs="Calibri"/>
                <w:b/>
                <w:bCs/>
                <w:sz w:val="20"/>
                <w:szCs w:val="20"/>
                <w:lang w:val="en-GB"/>
              </w:rPr>
              <w:t>-</w:t>
            </w:r>
            <w:r w:rsidRPr="701B9583">
              <w:rPr>
                <w:rFonts w:ascii="Calibri" w:eastAsia="Calibri" w:hAnsi="Calibri" w:cs="Calibri"/>
                <w:b/>
                <w:bCs/>
                <w:sz w:val="20"/>
                <w:szCs w:val="20"/>
                <w:lang w:val="en-GB"/>
              </w:rPr>
              <w:t>MENT</w:t>
            </w:r>
          </w:p>
        </w:tc>
        <w:tc>
          <w:tcPr>
            <w:tcW w:w="3092" w:type="dxa"/>
          </w:tcPr>
          <w:p w14:paraId="7406E3CB" w14:textId="77777777" w:rsidR="00540AB9" w:rsidRPr="00540AB9" w:rsidRDefault="00540AB9" w:rsidP="00326E5E">
            <w:pPr>
              <w:spacing w:after="0" w:line="240" w:lineRule="auto"/>
              <w:rPr>
                <w:rFonts w:asciiTheme="majorHAnsi" w:eastAsia="Calibri" w:hAnsiTheme="majorHAnsi" w:cstheme="majorHAnsi"/>
                <w:sz w:val="8"/>
                <w:szCs w:val="8"/>
                <w:lang w:val="en-GB"/>
              </w:rPr>
            </w:pPr>
          </w:p>
          <w:p w14:paraId="4CD7221C" w14:textId="0F6A1727" w:rsidR="00F00E3D" w:rsidRPr="00C26568" w:rsidRDefault="00F00E3D" w:rsidP="00326E5E">
            <w:pPr>
              <w:spacing w:after="0" w:line="240" w:lineRule="auto"/>
              <w:rPr>
                <w:rFonts w:asciiTheme="majorHAnsi" w:hAnsiTheme="majorHAnsi" w:cstheme="majorHAnsi"/>
                <w:sz w:val="21"/>
                <w:szCs w:val="21"/>
              </w:rPr>
            </w:pPr>
            <w:r w:rsidRPr="00C26568">
              <w:rPr>
                <w:rFonts w:asciiTheme="majorHAnsi" w:eastAsia="Calibri" w:hAnsiTheme="majorHAnsi" w:cstheme="majorHAnsi"/>
                <w:sz w:val="21"/>
                <w:szCs w:val="21"/>
                <w:lang w:val="en-GB"/>
              </w:rPr>
              <w:t xml:space="preserve">High </w:t>
            </w:r>
            <w:r w:rsidR="0029506D">
              <w:rPr>
                <w:rFonts w:asciiTheme="majorHAnsi" w:eastAsia="Calibri" w:hAnsiTheme="majorHAnsi" w:cstheme="majorHAnsi"/>
                <w:sz w:val="21"/>
                <w:szCs w:val="21"/>
                <w:lang w:val="en-GB"/>
              </w:rPr>
              <w:t xml:space="preserve">local </w:t>
            </w:r>
            <w:r w:rsidRPr="00C26568">
              <w:rPr>
                <w:rFonts w:asciiTheme="majorHAnsi" w:eastAsia="Calibri" w:hAnsiTheme="majorHAnsi" w:cstheme="majorHAnsi"/>
                <w:sz w:val="21"/>
                <w:szCs w:val="21"/>
                <w:lang w:val="en-GB"/>
              </w:rPr>
              <w:t>unemployment</w:t>
            </w:r>
          </w:p>
        </w:tc>
        <w:tc>
          <w:tcPr>
            <w:tcW w:w="9185" w:type="dxa"/>
          </w:tcPr>
          <w:p w14:paraId="772EBD94" w14:textId="77777777" w:rsidR="00540AB9" w:rsidRPr="00540AB9" w:rsidRDefault="00540AB9" w:rsidP="00326E5E">
            <w:pPr>
              <w:spacing w:after="0" w:line="240" w:lineRule="auto"/>
              <w:rPr>
                <w:rFonts w:asciiTheme="majorHAnsi" w:eastAsia="Calibri Light" w:hAnsiTheme="majorHAnsi" w:cstheme="majorHAnsi"/>
                <w:sz w:val="8"/>
                <w:szCs w:val="8"/>
              </w:rPr>
            </w:pPr>
          </w:p>
          <w:p w14:paraId="7FF8E806" w14:textId="475DDE87" w:rsidR="00F00E3D" w:rsidRPr="00C26568" w:rsidRDefault="00BE53E7"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C26568">
              <w:rPr>
                <w:rFonts w:asciiTheme="majorHAnsi" w:eastAsia="Calibri" w:hAnsiTheme="majorHAnsi" w:cstheme="majorHAnsi"/>
                <w:sz w:val="21"/>
                <w:szCs w:val="21"/>
                <w:lang w:val="en-GB"/>
              </w:rPr>
              <w:t>Whittington Works (Geelong)</w:t>
            </w:r>
          </w:p>
          <w:p w14:paraId="0AEA313C" w14:textId="2556A393" w:rsidR="00F00E3D" w:rsidRPr="00C26568" w:rsidRDefault="00BE53E7"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C26568">
              <w:rPr>
                <w:rFonts w:asciiTheme="majorHAnsi" w:eastAsia="Calibri" w:hAnsiTheme="majorHAnsi" w:cstheme="majorHAnsi"/>
                <w:sz w:val="21"/>
                <w:szCs w:val="21"/>
                <w:lang w:val="en-GB"/>
              </w:rPr>
              <w:t>GROW (Geelong and G21</w:t>
            </w:r>
            <w:r w:rsidR="0029506D">
              <w:rPr>
                <w:rFonts w:asciiTheme="majorHAnsi" w:eastAsia="Calibri" w:hAnsiTheme="majorHAnsi" w:cstheme="majorHAnsi"/>
                <w:sz w:val="21"/>
                <w:szCs w:val="21"/>
                <w:lang w:val="en-GB"/>
              </w:rPr>
              <w:t>, with</w:t>
            </w:r>
            <w:r w:rsidR="00175BAC" w:rsidRPr="00C26568">
              <w:rPr>
                <w:rFonts w:asciiTheme="majorHAnsi" w:eastAsia="Calibri" w:hAnsiTheme="majorHAnsi" w:cstheme="majorHAnsi"/>
                <w:sz w:val="21"/>
                <w:szCs w:val="21"/>
                <w:lang w:val="en-GB"/>
              </w:rPr>
              <w:t xml:space="preserve"> Northern Futures)</w:t>
            </w:r>
          </w:p>
          <w:p w14:paraId="556F726F" w14:textId="2901DDE7" w:rsidR="00F00E3D" w:rsidRPr="00C26568" w:rsidRDefault="00BE53E7"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C26568">
              <w:rPr>
                <w:rFonts w:asciiTheme="majorHAnsi" w:eastAsia="Calibri" w:hAnsiTheme="majorHAnsi" w:cstheme="majorHAnsi"/>
                <w:sz w:val="21"/>
                <w:szCs w:val="21"/>
                <w:lang w:val="en-GB"/>
              </w:rPr>
              <w:t>Sustainable South Bronx Project (</w:t>
            </w:r>
            <w:r w:rsidR="009067AA">
              <w:rPr>
                <w:rFonts w:asciiTheme="majorHAnsi" w:eastAsia="Calibri" w:hAnsiTheme="majorHAnsi" w:cstheme="majorHAnsi"/>
                <w:sz w:val="21"/>
                <w:szCs w:val="21"/>
                <w:lang w:val="en-GB"/>
              </w:rPr>
              <w:t>green jobs training</w:t>
            </w:r>
            <w:r w:rsidR="00276CD2">
              <w:rPr>
                <w:rFonts w:asciiTheme="majorHAnsi" w:eastAsia="Calibri" w:hAnsiTheme="majorHAnsi" w:cstheme="majorHAnsi"/>
                <w:sz w:val="21"/>
                <w:szCs w:val="21"/>
                <w:lang w:val="en-GB"/>
              </w:rPr>
              <w:t>,</w:t>
            </w:r>
            <w:r w:rsidR="00276CD2" w:rsidRPr="00276CD2">
              <w:rPr>
                <w:rFonts w:asciiTheme="majorHAnsi" w:eastAsia="Calibri" w:hAnsiTheme="majorHAnsi" w:cstheme="majorHAnsi"/>
                <w:sz w:val="21"/>
                <w:szCs w:val="21"/>
                <w:lang w:val="en-GB"/>
              </w:rPr>
              <w:t xml:space="preserve"> </w:t>
            </w:r>
            <w:r w:rsidR="00F00E3D" w:rsidRPr="00C26568">
              <w:rPr>
                <w:rFonts w:asciiTheme="majorHAnsi" w:eastAsia="Calibri" w:hAnsiTheme="majorHAnsi" w:cstheme="majorHAnsi"/>
                <w:sz w:val="21"/>
                <w:szCs w:val="21"/>
                <w:lang w:val="en-GB"/>
              </w:rPr>
              <w:t>US)</w:t>
            </w:r>
          </w:p>
          <w:p w14:paraId="59F68173" w14:textId="07B6F28B" w:rsidR="00F00E3D" w:rsidRDefault="00BE53E7"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C26568">
              <w:rPr>
                <w:rFonts w:asciiTheme="majorHAnsi" w:eastAsia="Calibri" w:hAnsiTheme="majorHAnsi" w:cstheme="majorHAnsi"/>
                <w:sz w:val="21"/>
                <w:szCs w:val="21"/>
                <w:lang w:val="en-GB"/>
              </w:rPr>
              <w:t>Oslo Living Lab</w:t>
            </w:r>
            <w:r w:rsidR="00E04290">
              <w:rPr>
                <w:rFonts w:asciiTheme="majorHAnsi" w:eastAsia="Calibri" w:hAnsiTheme="majorHAnsi" w:cstheme="majorHAnsi"/>
                <w:sz w:val="21"/>
                <w:szCs w:val="21"/>
                <w:lang w:val="en-GB"/>
              </w:rPr>
              <w:t xml:space="preserve"> (</w:t>
            </w:r>
            <w:r w:rsidR="00654495">
              <w:rPr>
                <w:rFonts w:asciiTheme="majorHAnsi" w:eastAsia="Calibri" w:hAnsiTheme="majorHAnsi" w:cstheme="majorHAnsi"/>
                <w:sz w:val="21"/>
                <w:szCs w:val="21"/>
                <w:lang w:val="en-GB"/>
              </w:rPr>
              <w:t>g</w:t>
            </w:r>
            <w:r w:rsidR="00F00E3D" w:rsidRPr="00C26568">
              <w:rPr>
                <w:rFonts w:asciiTheme="majorHAnsi" w:eastAsia="Calibri" w:hAnsiTheme="majorHAnsi" w:cstheme="majorHAnsi"/>
                <w:sz w:val="21"/>
                <w:szCs w:val="21"/>
                <w:lang w:val="en-GB"/>
              </w:rPr>
              <w:t>reen jobs</w:t>
            </w:r>
            <w:r w:rsidR="00654495">
              <w:rPr>
                <w:rFonts w:asciiTheme="majorHAnsi" w:eastAsia="Calibri" w:hAnsiTheme="majorHAnsi" w:cstheme="majorHAnsi"/>
                <w:sz w:val="21"/>
                <w:szCs w:val="21"/>
                <w:lang w:val="en-GB"/>
              </w:rPr>
              <w:t xml:space="preserve"> training</w:t>
            </w:r>
            <w:r w:rsidR="00F00E3D" w:rsidRPr="00C26568">
              <w:rPr>
                <w:rFonts w:asciiTheme="majorHAnsi" w:eastAsia="Calibri" w:hAnsiTheme="majorHAnsi" w:cstheme="majorHAnsi"/>
                <w:sz w:val="21"/>
                <w:szCs w:val="21"/>
                <w:lang w:val="en-GB"/>
              </w:rPr>
              <w:t xml:space="preserve"> for youth</w:t>
            </w:r>
            <w:r w:rsidR="00E04290">
              <w:rPr>
                <w:rFonts w:asciiTheme="majorHAnsi" w:eastAsia="Calibri" w:hAnsiTheme="majorHAnsi" w:cstheme="majorHAnsi"/>
                <w:sz w:val="21"/>
                <w:szCs w:val="21"/>
                <w:lang w:val="en-GB"/>
              </w:rPr>
              <w:t xml:space="preserve">, </w:t>
            </w:r>
            <w:r w:rsidR="00F00E3D" w:rsidRPr="00C26568">
              <w:rPr>
                <w:rFonts w:asciiTheme="majorHAnsi" w:eastAsia="Calibri" w:hAnsiTheme="majorHAnsi" w:cstheme="majorHAnsi"/>
                <w:sz w:val="21"/>
                <w:szCs w:val="21"/>
                <w:lang w:val="en-GB"/>
              </w:rPr>
              <w:t>Norway)</w:t>
            </w:r>
          </w:p>
          <w:p w14:paraId="66F2AC94" w14:textId="42724169" w:rsidR="0029158D" w:rsidRDefault="00BE53E7"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29158D" w:rsidRPr="0029158D">
              <w:rPr>
                <w:rFonts w:asciiTheme="majorHAnsi" w:hAnsiTheme="majorHAnsi" w:cstheme="majorHAnsi"/>
                <w:sz w:val="21"/>
                <w:szCs w:val="21"/>
              </w:rPr>
              <w:t>Neighbourhood Renewal</w:t>
            </w:r>
            <w:r w:rsidR="0029158D">
              <w:rPr>
                <w:rFonts w:asciiTheme="majorHAnsi" w:hAnsiTheme="majorHAnsi" w:cstheme="majorHAnsi"/>
                <w:sz w:val="21"/>
                <w:szCs w:val="21"/>
              </w:rPr>
              <w:t xml:space="preserve"> Geelong and VIC)</w:t>
            </w:r>
          </w:p>
          <w:p w14:paraId="36CA362E" w14:textId="77777777" w:rsidR="0029158D" w:rsidRDefault="00BE53E7"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29158D" w:rsidRPr="0029158D">
              <w:rPr>
                <w:rFonts w:asciiTheme="majorHAnsi" w:hAnsiTheme="majorHAnsi" w:cstheme="majorHAnsi"/>
                <w:sz w:val="21"/>
                <w:szCs w:val="21"/>
              </w:rPr>
              <w:t>We Design For Life</w:t>
            </w:r>
            <w:r w:rsidR="00DA3AC5">
              <w:rPr>
                <w:rFonts w:asciiTheme="majorHAnsi" w:hAnsiTheme="majorHAnsi" w:cstheme="majorHAnsi"/>
                <w:sz w:val="21"/>
                <w:szCs w:val="21"/>
              </w:rPr>
              <w:t xml:space="preserve"> (</w:t>
            </w:r>
            <w:r w:rsidR="0029158D" w:rsidRPr="0029158D">
              <w:rPr>
                <w:rFonts w:asciiTheme="majorHAnsi" w:hAnsiTheme="majorHAnsi" w:cstheme="majorHAnsi"/>
                <w:sz w:val="21"/>
                <w:szCs w:val="21"/>
              </w:rPr>
              <w:t>RE:USE project</w:t>
            </w:r>
            <w:r w:rsidR="00DA3AC5">
              <w:rPr>
                <w:rFonts w:asciiTheme="majorHAnsi" w:hAnsiTheme="majorHAnsi" w:cstheme="majorHAnsi"/>
                <w:sz w:val="21"/>
                <w:szCs w:val="21"/>
              </w:rPr>
              <w:t>, Denmark)</w:t>
            </w:r>
          </w:p>
          <w:p w14:paraId="3787553D" w14:textId="77777777" w:rsidR="00FC1B8C" w:rsidRDefault="00FC1B8C"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18778A">
              <w:rPr>
                <w:rFonts w:asciiTheme="majorHAnsi" w:hAnsiTheme="majorHAnsi" w:cstheme="majorHAnsi"/>
                <w:sz w:val="21"/>
                <w:szCs w:val="21"/>
              </w:rPr>
              <w:t>Best Babies Zone</w:t>
            </w:r>
            <w:r>
              <w:rPr>
                <w:rFonts w:asciiTheme="majorHAnsi" w:hAnsiTheme="majorHAnsi" w:cstheme="majorHAnsi"/>
                <w:sz w:val="21"/>
                <w:szCs w:val="21"/>
              </w:rPr>
              <w:t xml:space="preserve"> (“business development training”, “financial literacy classes”, US)</w:t>
            </w:r>
          </w:p>
          <w:p w14:paraId="2F85E989" w14:textId="4506F8E5" w:rsidR="00540AB9" w:rsidRPr="00540AB9" w:rsidRDefault="00540AB9" w:rsidP="00326E5E">
            <w:pPr>
              <w:spacing w:after="0" w:line="240" w:lineRule="auto"/>
              <w:rPr>
                <w:rFonts w:asciiTheme="majorHAnsi" w:hAnsiTheme="majorHAnsi" w:cstheme="majorHAnsi"/>
                <w:sz w:val="12"/>
                <w:szCs w:val="12"/>
              </w:rPr>
            </w:pPr>
          </w:p>
        </w:tc>
      </w:tr>
      <w:tr w:rsidR="0009029A" w14:paraId="05E1848D" w14:textId="77777777" w:rsidTr="701B9583">
        <w:trPr>
          <w:trHeight w:val="625"/>
        </w:trPr>
        <w:tc>
          <w:tcPr>
            <w:tcW w:w="1185" w:type="dxa"/>
            <w:vMerge w:val="restart"/>
            <w:textDirection w:val="btLr"/>
          </w:tcPr>
          <w:p w14:paraId="4E42FCFA" w14:textId="77777777" w:rsidR="00540AB9" w:rsidRDefault="00540AB9" w:rsidP="00540AB9">
            <w:pPr>
              <w:spacing w:after="0" w:line="240" w:lineRule="auto"/>
              <w:ind w:left="113" w:right="113"/>
              <w:jc w:val="center"/>
              <w:rPr>
                <w:rFonts w:ascii="Calibri" w:eastAsia="Calibri" w:hAnsi="Calibri" w:cs="Calibri"/>
                <w:b/>
                <w:bCs/>
                <w:lang w:val="en-GB"/>
              </w:rPr>
            </w:pPr>
          </w:p>
          <w:p w14:paraId="6236B5E6" w14:textId="74F2E074" w:rsidR="0009029A" w:rsidRDefault="418B996B" w:rsidP="00540AB9">
            <w:pPr>
              <w:spacing w:after="0" w:line="240" w:lineRule="auto"/>
              <w:ind w:left="113" w:right="113"/>
              <w:jc w:val="center"/>
              <w:rPr>
                <w:rFonts w:ascii="Calibri" w:eastAsia="Calibri" w:hAnsi="Calibri" w:cs="Calibri"/>
                <w:b/>
                <w:sz w:val="21"/>
                <w:szCs w:val="21"/>
                <w:lang w:val="en-GB"/>
              </w:rPr>
            </w:pPr>
            <w:r w:rsidRPr="701B9583">
              <w:rPr>
                <w:rFonts w:ascii="Calibri" w:eastAsia="Calibri" w:hAnsi="Calibri" w:cs="Calibri"/>
                <w:b/>
                <w:bCs/>
                <w:sz w:val="21"/>
                <w:szCs w:val="21"/>
                <w:lang w:val="en-GB"/>
              </w:rPr>
              <w:t>EDUC</w:t>
            </w:r>
            <w:r w:rsidR="3FB29009" w:rsidRPr="701B9583">
              <w:rPr>
                <w:rFonts w:ascii="Calibri" w:eastAsia="Calibri" w:hAnsi="Calibri" w:cs="Calibri"/>
                <w:b/>
                <w:bCs/>
                <w:sz w:val="21"/>
                <w:szCs w:val="21"/>
                <w:lang w:val="en-GB"/>
              </w:rPr>
              <w:t>-</w:t>
            </w:r>
            <w:r w:rsidRPr="701B9583">
              <w:rPr>
                <w:rFonts w:ascii="Calibri" w:eastAsia="Calibri" w:hAnsi="Calibri" w:cs="Calibri"/>
                <w:b/>
                <w:bCs/>
                <w:sz w:val="21"/>
                <w:szCs w:val="21"/>
                <w:lang w:val="en-GB"/>
              </w:rPr>
              <w:t>ATION</w:t>
            </w:r>
          </w:p>
          <w:p w14:paraId="67ED1A1C" w14:textId="77777777" w:rsidR="0009029A" w:rsidRDefault="0009029A" w:rsidP="00540AB9">
            <w:pPr>
              <w:spacing w:after="0" w:line="240" w:lineRule="auto"/>
              <w:ind w:left="113" w:right="113"/>
            </w:pPr>
            <w:r w:rsidRPr="7953D534">
              <w:rPr>
                <w:rFonts w:ascii="Calibri" w:eastAsia="Calibri" w:hAnsi="Calibri" w:cs="Calibri"/>
                <w:b/>
                <w:bCs/>
                <w:lang w:val="en-GB"/>
              </w:rPr>
              <w:t xml:space="preserve"> </w:t>
            </w:r>
          </w:p>
          <w:p w14:paraId="6E99E2ED" w14:textId="0E0F910C" w:rsidR="0009029A" w:rsidRDefault="0009029A" w:rsidP="00540AB9">
            <w:pPr>
              <w:spacing w:after="0" w:line="240" w:lineRule="auto"/>
              <w:ind w:left="113" w:right="113"/>
            </w:pPr>
            <w:r w:rsidRPr="7953D534">
              <w:rPr>
                <w:rFonts w:ascii="Calibri" w:eastAsia="Calibri" w:hAnsi="Calibri" w:cs="Calibri"/>
                <w:b/>
                <w:bCs/>
                <w:lang w:val="en-GB"/>
              </w:rPr>
              <w:t xml:space="preserve"> </w:t>
            </w:r>
          </w:p>
        </w:tc>
        <w:tc>
          <w:tcPr>
            <w:tcW w:w="3092" w:type="dxa"/>
          </w:tcPr>
          <w:p w14:paraId="44030688" w14:textId="77777777" w:rsidR="00540AB9" w:rsidRPr="0078481D" w:rsidRDefault="00540AB9" w:rsidP="00326E5E">
            <w:pPr>
              <w:spacing w:after="0" w:line="240" w:lineRule="auto"/>
              <w:rPr>
                <w:rFonts w:asciiTheme="majorHAnsi" w:eastAsia="Calibri" w:hAnsiTheme="majorHAnsi" w:cstheme="majorHAnsi"/>
                <w:sz w:val="8"/>
                <w:szCs w:val="8"/>
                <w:lang w:val="en-GB"/>
              </w:rPr>
            </w:pPr>
          </w:p>
          <w:p w14:paraId="20A3A38C" w14:textId="7942016F" w:rsidR="0009029A" w:rsidRPr="0078481D" w:rsidRDefault="0078481D" w:rsidP="00326E5E">
            <w:pPr>
              <w:spacing w:after="0" w:line="240" w:lineRule="auto"/>
              <w:rPr>
                <w:rFonts w:asciiTheme="majorHAnsi" w:eastAsia="Calibri" w:hAnsiTheme="majorHAnsi" w:cstheme="majorHAnsi"/>
                <w:sz w:val="21"/>
                <w:szCs w:val="21"/>
                <w:lang w:val="en-GB"/>
              </w:rPr>
            </w:pPr>
            <w:r>
              <w:rPr>
                <w:rFonts w:asciiTheme="majorHAnsi" w:eastAsia="Calibri" w:hAnsiTheme="majorHAnsi" w:cstheme="majorHAnsi"/>
                <w:sz w:val="21"/>
                <w:szCs w:val="21"/>
                <w:lang w:val="en-GB"/>
              </w:rPr>
              <w:t xml:space="preserve">Learning inequalities </w:t>
            </w:r>
            <w:r w:rsidR="0009029A">
              <w:rPr>
                <w:rFonts w:asciiTheme="majorHAnsi" w:eastAsia="Calibri" w:hAnsiTheme="majorHAnsi" w:cstheme="majorHAnsi"/>
                <w:sz w:val="21"/>
                <w:szCs w:val="21"/>
                <w:lang w:val="en-GB"/>
              </w:rPr>
              <w:t>(e</w:t>
            </w:r>
            <w:r w:rsidR="0009029A" w:rsidRPr="00C26568">
              <w:rPr>
                <w:rFonts w:asciiTheme="majorHAnsi" w:eastAsia="Calibri" w:hAnsiTheme="majorHAnsi" w:cstheme="majorHAnsi"/>
                <w:sz w:val="21"/>
                <w:szCs w:val="21"/>
                <w:lang w:val="en-GB"/>
              </w:rPr>
              <w:t>arly years</w:t>
            </w:r>
            <w:r w:rsidR="0009029A">
              <w:rPr>
                <w:rFonts w:asciiTheme="majorHAnsi" w:eastAsia="Calibri" w:hAnsiTheme="majorHAnsi" w:cstheme="majorHAnsi"/>
                <w:sz w:val="21"/>
                <w:szCs w:val="21"/>
                <w:lang w:val="en-GB"/>
              </w:rPr>
              <w:t>)</w:t>
            </w:r>
          </w:p>
        </w:tc>
        <w:tc>
          <w:tcPr>
            <w:tcW w:w="9185" w:type="dxa"/>
          </w:tcPr>
          <w:p w14:paraId="6437CD70" w14:textId="77777777" w:rsidR="0078481D" w:rsidRPr="0078481D" w:rsidRDefault="0078481D" w:rsidP="00326E5E">
            <w:pPr>
              <w:spacing w:after="0" w:line="240" w:lineRule="auto"/>
              <w:rPr>
                <w:rFonts w:asciiTheme="majorHAnsi" w:eastAsia="Calibri Light" w:hAnsiTheme="majorHAnsi" w:cstheme="majorHAnsi"/>
                <w:sz w:val="8"/>
                <w:szCs w:val="8"/>
              </w:rPr>
            </w:pPr>
          </w:p>
          <w:p w14:paraId="40C5F8AB" w14:textId="123707ED" w:rsidR="0009029A" w:rsidRPr="00C26568" w:rsidRDefault="0009029A"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TBA North (Geelong</w:t>
            </w:r>
            <w:r>
              <w:rPr>
                <w:rFonts w:asciiTheme="majorHAnsi" w:eastAsia="Calibri" w:hAnsiTheme="majorHAnsi" w:cstheme="majorHAnsi"/>
                <w:sz w:val="21"/>
                <w:szCs w:val="21"/>
                <w:lang w:val="en-GB"/>
              </w:rPr>
              <w:t>,</w:t>
            </w:r>
            <w:r w:rsidRPr="00C26568">
              <w:rPr>
                <w:rFonts w:asciiTheme="majorHAnsi" w:eastAsia="Calibri" w:hAnsiTheme="majorHAnsi" w:cstheme="majorHAnsi"/>
                <w:sz w:val="21"/>
                <w:szCs w:val="21"/>
                <w:lang w:val="en-GB"/>
              </w:rPr>
              <w:t xml:space="preserve"> Corio-Norlane)</w:t>
            </w:r>
          </w:p>
        </w:tc>
      </w:tr>
      <w:tr w:rsidR="0009029A" w14:paraId="567FDB7C" w14:textId="77777777" w:rsidTr="701B9583">
        <w:trPr>
          <w:trHeight w:val="625"/>
        </w:trPr>
        <w:tc>
          <w:tcPr>
            <w:tcW w:w="1185" w:type="dxa"/>
            <w:vMerge/>
          </w:tcPr>
          <w:p w14:paraId="37A6D330" w14:textId="376D654A" w:rsidR="0009029A" w:rsidRDefault="0009029A" w:rsidP="00326E5E">
            <w:pPr>
              <w:spacing w:after="0" w:line="240" w:lineRule="auto"/>
            </w:pPr>
          </w:p>
        </w:tc>
        <w:tc>
          <w:tcPr>
            <w:tcW w:w="3092" w:type="dxa"/>
          </w:tcPr>
          <w:p w14:paraId="30D1D370" w14:textId="77777777" w:rsidR="0078481D" w:rsidRPr="0078481D" w:rsidRDefault="0078481D" w:rsidP="00326E5E">
            <w:pPr>
              <w:spacing w:after="0" w:line="240" w:lineRule="auto"/>
              <w:rPr>
                <w:rFonts w:asciiTheme="majorHAnsi" w:eastAsia="Calibri" w:hAnsiTheme="majorHAnsi" w:cstheme="majorHAnsi"/>
                <w:sz w:val="8"/>
                <w:szCs w:val="8"/>
                <w:lang w:val="en-GB"/>
              </w:rPr>
            </w:pPr>
          </w:p>
          <w:p w14:paraId="1600BA99" w14:textId="4BD12052" w:rsidR="0009029A" w:rsidRPr="00C26568" w:rsidRDefault="0009029A" w:rsidP="00326E5E">
            <w:pPr>
              <w:spacing w:after="0" w:line="240" w:lineRule="auto"/>
              <w:rPr>
                <w:rFonts w:asciiTheme="majorHAnsi" w:hAnsiTheme="majorHAnsi" w:cstheme="majorHAnsi"/>
                <w:sz w:val="21"/>
                <w:szCs w:val="21"/>
              </w:rPr>
            </w:pPr>
            <w:r w:rsidRPr="00C26568">
              <w:rPr>
                <w:rFonts w:asciiTheme="majorHAnsi" w:eastAsia="Calibri" w:hAnsiTheme="majorHAnsi" w:cstheme="majorHAnsi"/>
                <w:sz w:val="21"/>
                <w:szCs w:val="21"/>
                <w:lang w:val="en-GB"/>
              </w:rPr>
              <w:t>Low Year 12 completion rates</w:t>
            </w:r>
          </w:p>
        </w:tc>
        <w:tc>
          <w:tcPr>
            <w:tcW w:w="9185" w:type="dxa"/>
          </w:tcPr>
          <w:p w14:paraId="3321DBC7" w14:textId="77777777" w:rsidR="0078481D" w:rsidRPr="0078481D" w:rsidRDefault="0078481D" w:rsidP="00326E5E">
            <w:pPr>
              <w:spacing w:after="0" w:line="240" w:lineRule="auto"/>
              <w:rPr>
                <w:rFonts w:asciiTheme="majorHAnsi" w:eastAsia="Calibri Light" w:hAnsiTheme="majorHAnsi" w:cstheme="majorHAnsi"/>
                <w:sz w:val="8"/>
                <w:szCs w:val="8"/>
              </w:rPr>
            </w:pPr>
          </w:p>
          <w:p w14:paraId="2E7F19E8" w14:textId="77777777" w:rsidR="0078481D" w:rsidRDefault="0009029A"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AIME (</w:t>
            </w:r>
            <w:r>
              <w:rPr>
                <w:rFonts w:asciiTheme="majorHAnsi" w:eastAsia="Calibri" w:hAnsiTheme="majorHAnsi" w:cstheme="majorHAnsi"/>
                <w:sz w:val="21"/>
                <w:szCs w:val="21"/>
                <w:lang w:val="en-GB"/>
              </w:rPr>
              <w:t>mentoring</w:t>
            </w:r>
            <w:r w:rsidR="0078481D">
              <w:rPr>
                <w:rFonts w:asciiTheme="majorHAnsi" w:eastAsia="Calibri" w:hAnsiTheme="majorHAnsi" w:cstheme="majorHAnsi"/>
                <w:sz w:val="21"/>
                <w:szCs w:val="21"/>
                <w:lang w:val="en-GB"/>
              </w:rPr>
              <w:t xml:space="preserve"> program</w:t>
            </w:r>
            <w:r>
              <w:rPr>
                <w:rFonts w:asciiTheme="majorHAnsi" w:eastAsia="Calibri" w:hAnsiTheme="majorHAnsi" w:cstheme="majorHAnsi"/>
                <w:sz w:val="21"/>
                <w:szCs w:val="21"/>
                <w:lang w:val="en-GB"/>
              </w:rPr>
              <w:t xml:space="preserve"> </w:t>
            </w:r>
            <w:r w:rsidRPr="00C26568">
              <w:rPr>
                <w:rFonts w:asciiTheme="majorHAnsi" w:eastAsia="Calibri" w:hAnsiTheme="majorHAnsi" w:cstheme="majorHAnsi"/>
                <w:sz w:val="21"/>
                <w:szCs w:val="21"/>
                <w:lang w:val="en-GB"/>
              </w:rPr>
              <w:t xml:space="preserve">for Indigenous and </w:t>
            </w:r>
            <w:r>
              <w:rPr>
                <w:rFonts w:asciiTheme="majorHAnsi" w:eastAsia="Calibri" w:hAnsiTheme="majorHAnsi" w:cstheme="majorHAnsi"/>
                <w:sz w:val="21"/>
                <w:szCs w:val="21"/>
                <w:lang w:val="en-GB"/>
              </w:rPr>
              <w:t>CALD</w:t>
            </w:r>
          </w:p>
          <w:p w14:paraId="029F0264" w14:textId="77777777" w:rsidR="0009029A" w:rsidRDefault="0078481D" w:rsidP="00326E5E">
            <w:pPr>
              <w:spacing w:after="0" w:line="240" w:lineRule="auto"/>
              <w:rPr>
                <w:rFonts w:asciiTheme="majorHAnsi" w:eastAsia="Calibri" w:hAnsiTheme="majorHAnsi" w:cstheme="majorHAnsi"/>
                <w:sz w:val="21"/>
                <w:szCs w:val="21"/>
                <w:lang w:val="en-GB"/>
              </w:rPr>
            </w:pPr>
            <w:r>
              <w:rPr>
                <w:rFonts w:asciiTheme="majorHAnsi" w:eastAsia="Calibri" w:hAnsiTheme="majorHAnsi" w:cstheme="majorHAnsi"/>
                <w:sz w:val="21"/>
                <w:szCs w:val="21"/>
                <w:lang w:val="en-GB"/>
              </w:rPr>
              <w:t xml:space="preserve">   </w:t>
            </w:r>
            <w:r w:rsidR="0009029A" w:rsidRPr="00C26568">
              <w:rPr>
                <w:rFonts w:asciiTheme="majorHAnsi" w:eastAsia="Calibri" w:hAnsiTheme="majorHAnsi" w:cstheme="majorHAnsi"/>
                <w:sz w:val="21"/>
                <w:szCs w:val="21"/>
                <w:lang w:val="en-GB"/>
              </w:rPr>
              <w:t xml:space="preserve">students, </w:t>
            </w:r>
            <w:r w:rsidR="0009029A">
              <w:rPr>
                <w:rFonts w:asciiTheme="majorHAnsi" w:eastAsia="Calibri" w:hAnsiTheme="majorHAnsi" w:cstheme="majorHAnsi"/>
                <w:sz w:val="21"/>
                <w:szCs w:val="21"/>
                <w:lang w:val="en-GB"/>
              </w:rPr>
              <w:t>nationwide</w:t>
            </w:r>
            <w:r w:rsidR="0009029A" w:rsidRPr="00C26568">
              <w:rPr>
                <w:rFonts w:asciiTheme="majorHAnsi" w:eastAsia="Calibri" w:hAnsiTheme="majorHAnsi" w:cstheme="majorHAnsi"/>
                <w:sz w:val="21"/>
                <w:szCs w:val="21"/>
                <w:lang w:val="en-GB"/>
              </w:rPr>
              <w:t>)</w:t>
            </w:r>
          </w:p>
          <w:p w14:paraId="3503311C" w14:textId="14EA7BE0" w:rsidR="0078481D" w:rsidRPr="0078481D" w:rsidRDefault="0078481D" w:rsidP="00326E5E">
            <w:pPr>
              <w:spacing w:after="0" w:line="240" w:lineRule="auto"/>
              <w:rPr>
                <w:rFonts w:asciiTheme="majorHAnsi" w:hAnsiTheme="majorHAnsi" w:cstheme="majorHAnsi"/>
                <w:sz w:val="8"/>
                <w:szCs w:val="8"/>
              </w:rPr>
            </w:pPr>
          </w:p>
        </w:tc>
      </w:tr>
      <w:tr w:rsidR="0009029A" w14:paraId="70C128FD" w14:textId="77777777" w:rsidTr="701B9583">
        <w:trPr>
          <w:trHeight w:val="625"/>
        </w:trPr>
        <w:tc>
          <w:tcPr>
            <w:tcW w:w="1185" w:type="dxa"/>
            <w:vMerge/>
          </w:tcPr>
          <w:p w14:paraId="0213F57F" w14:textId="0FD4F766" w:rsidR="0009029A" w:rsidRDefault="0009029A" w:rsidP="00326E5E">
            <w:pPr>
              <w:spacing w:after="0" w:line="240" w:lineRule="auto"/>
            </w:pPr>
          </w:p>
        </w:tc>
        <w:tc>
          <w:tcPr>
            <w:tcW w:w="3092" w:type="dxa"/>
          </w:tcPr>
          <w:p w14:paraId="13943F99" w14:textId="77777777" w:rsidR="0078481D" w:rsidRPr="0078481D" w:rsidRDefault="0078481D" w:rsidP="00326E5E">
            <w:pPr>
              <w:spacing w:after="0" w:line="240" w:lineRule="auto"/>
              <w:rPr>
                <w:rFonts w:asciiTheme="majorHAnsi" w:eastAsia="Calibri" w:hAnsiTheme="majorHAnsi" w:cstheme="majorHAnsi"/>
                <w:sz w:val="8"/>
                <w:szCs w:val="8"/>
                <w:lang w:val="en-GB"/>
              </w:rPr>
            </w:pPr>
          </w:p>
          <w:p w14:paraId="52BDCD9F" w14:textId="2BAD3C34" w:rsidR="0009029A" w:rsidRPr="00C26568" w:rsidRDefault="0009029A" w:rsidP="00326E5E">
            <w:pPr>
              <w:spacing w:after="0" w:line="240" w:lineRule="auto"/>
              <w:rPr>
                <w:rFonts w:asciiTheme="majorHAnsi" w:hAnsiTheme="majorHAnsi" w:cstheme="majorHAnsi"/>
                <w:sz w:val="21"/>
                <w:szCs w:val="21"/>
              </w:rPr>
            </w:pPr>
            <w:r>
              <w:rPr>
                <w:rFonts w:asciiTheme="majorHAnsi" w:eastAsia="Calibri" w:hAnsiTheme="majorHAnsi" w:cstheme="majorHAnsi"/>
                <w:sz w:val="21"/>
                <w:szCs w:val="21"/>
                <w:lang w:val="en-GB"/>
              </w:rPr>
              <w:t xml:space="preserve">Low youth engagement in </w:t>
            </w:r>
            <w:r w:rsidR="0078481D">
              <w:rPr>
                <w:rFonts w:asciiTheme="majorHAnsi" w:eastAsia="Calibri" w:hAnsiTheme="majorHAnsi" w:cstheme="majorHAnsi"/>
                <w:sz w:val="21"/>
                <w:szCs w:val="21"/>
                <w:lang w:val="en-GB"/>
              </w:rPr>
              <w:t xml:space="preserve">training and </w:t>
            </w:r>
            <w:r>
              <w:rPr>
                <w:rFonts w:asciiTheme="majorHAnsi" w:eastAsia="Calibri" w:hAnsiTheme="majorHAnsi" w:cstheme="majorHAnsi"/>
                <w:sz w:val="21"/>
                <w:szCs w:val="21"/>
                <w:lang w:val="en-GB"/>
              </w:rPr>
              <w:t>t</w:t>
            </w:r>
            <w:r w:rsidRPr="00C26568">
              <w:rPr>
                <w:rFonts w:asciiTheme="majorHAnsi" w:eastAsia="Calibri" w:hAnsiTheme="majorHAnsi" w:cstheme="majorHAnsi"/>
                <w:sz w:val="21"/>
                <w:szCs w:val="21"/>
                <w:lang w:val="en-GB"/>
              </w:rPr>
              <w:t>ertiary education</w:t>
            </w:r>
            <w:r>
              <w:rPr>
                <w:rFonts w:asciiTheme="majorHAnsi" w:eastAsia="Calibri" w:hAnsiTheme="majorHAnsi" w:cstheme="majorHAnsi"/>
                <w:sz w:val="21"/>
                <w:szCs w:val="21"/>
                <w:lang w:val="en-GB"/>
              </w:rPr>
              <w:t xml:space="preserve"> </w:t>
            </w:r>
          </w:p>
        </w:tc>
        <w:tc>
          <w:tcPr>
            <w:tcW w:w="9185" w:type="dxa"/>
          </w:tcPr>
          <w:p w14:paraId="727F3393" w14:textId="77777777" w:rsidR="0078481D" w:rsidRPr="0078481D" w:rsidRDefault="0078481D" w:rsidP="00326E5E">
            <w:pPr>
              <w:spacing w:after="0" w:line="240" w:lineRule="auto"/>
              <w:rPr>
                <w:rFonts w:asciiTheme="majorHAnsi" w:eastAsia="Calibri Light" w:hAnsiTheme="majorHAnsi" w:cstheme="majorHAnsi"/>
                <w:sz w:val="8"/>
                <w:szCs w:val="8"/>
              </w:rPr>
            </w:pPr>
          </w:p>
          <w:p w14:paraId="5686275A" w14:textId="2FEB5741" w:rsidR="0009029A" w:rsidRDefault="0009029A"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AIME (as above)</w:t>
            </w:r>
          </w:p>
          <w:p w14:paraId="514DAFFE" w14:textId="2A470836" w:rsidR="0009029A" w:rsidRPr="00FC1B8C" w:rsidRDefault="0009029A"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Oslo Living Lab</w:t>
            </w:r>
            <w:r>
              <w:rPr>
                <w:rFonts w:asciiTheme="majorHAnsi" w:eastAsia="Calibri" w:hAnsiTheme="majorHAnsi" w:cstheme="majorHAnsi"/>
                <w:sz w:val="21"/>
                <w:szCs w:val="21"/>
                <w:lang w:val="en-GB"/>
              </w:rPr>
              <w:t xml:space="preserve"> (g</w:t>
            </w:r>
            <w:r w:rsidRPr="00C26568">
              <w:rPr>
                <w:rFonts w:asciiTheme="majorHAnsi" w:eastAsia="Calibri" w:hAnsiTheme="majorHAnsi" w:cstheme="majorHAnsi"/>
                <w:sz w:val="21"/>
                <w:szCs w:val="21"/>
                <w:lang w:val="en-GB"/>
              </w:rPr>
              <w:t>reen jobs</w:t>
            </w:r>
            <w:r>
              <w:rPr>
                <w:rFonts w:asciiTheme="majorHAnsi" w:eastAsia="Calibri" w:hAnsiTheme="majorHAnsi" w:cstheme="majorHAnsi"/>
                <w:sz w:val="21"/>
                <w:szCs w:val="21"/>
                <w:lang w:val="en-GB"/>
              </w:rPr>
              <w:t xml:space="preserve"> training</w:t>
            </w:r>
            <w:r w:rsidRPr="00C26568">
              <w:rPr>
                <w:rFonts w:asciiTheme="majorHAnsi" w:eastAsia="Calibri" w:hAnsiTheme="majorHAnsi" w:cstheme="majorHAnsi"/>
                <w:sz w:val="21"/>
                <w:szCs w:val="21"/>
                <w:lang w:val="en-GB"/>
              </w:rPr>
              <w:t xml:space="preserve"> for youth</w:t>
            </w:r>
            <w:r>
              <w:rPr>
                <w:rFonts w:asciiTheme="majorHAnsi" w:eastAsia="Calibri" w:hAnsiTheme="majorHAnsi" w:cstheme="majorHAnsi"/>
                <w:sz w:val="21"/>
                <w:szCs w:val="21"/>
                <w:lang w:val="en-GB"/>
              </w:rPr>
              <w:t xml:space="preserve">, </w:t>
            </w:r>
            <w:r w:rsidRPr="00C26568">
              <w:rPr>
                <w:rFonts w:asciiTheme="majorHAnsi" w:eastAsia="Calibri" w:hAnsiTheme="majorHAnsi" w:cstheme="majorHAnsi"/>
                <w:sz w:val="21"/>
                <w:szCs w:val="21"/>
                <w:lang w:val="en-GB"/>
              </w:rPr>
              <w:t>Norway)</w:t>
            </w:r>
          </w:p>
          <w:p w14:paraId="0B7FAB85" w14:textId="77777777" w:rsidR="0009029A" w:rsidRDefault="0009029A"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 xml:space="preserve">We </w:t>
            </w:r>
            <w:r>
              <w:rPr>
                <w:rFonts w:asciiTheme="majorHAnsi" w:eastAsia="Calibri" w:hAnsiTheme="majorHAnsi" w:cstheme="majorHAnsi"/>
                <w:sz w:val="21"/>
                <w:szCs w:val="21"/>
                <w:lang w:val="en-GB"/>
              </w:rPr>
              <w:t>D</w:t>
            </w:r>
            <w:r w:rsidRPr="00C26568">
              <w:rPr>
                <w:rFonts w:asciiTheme="majorHAnsi" w:eastAsia="Calibri" w:hAnsiTheme="majorHAnsi" w:cstheme="majorHAnsi"/>
                <w:sz w:val="21"/>
                <w:szCs w:val="21"/>
                <w:lang w:val="en-GB"/>
              </w:rPr>
              <w:t xml:space="preserve">esign for </w:t>
            </w:r>
            <w:r>
              <w:rPr>
                <w:rFonts w:asciiTheme="majorHAnsi" w:eastAsia="Calibri" w:hAnsiTheme="majorHAnsi" w:cstheme="majorHAnsi"/>
                <w:sz w:val="21"/>
                <w:szCs w:val="21"/>
                <w:lang w:val="en-GB"/>
              </w:rPr>
              <w:t>L</w:t>
            </w:r>
            <w:r w:rsidRPr="00C26568">
              <w:rPr>
                <w:rFonts w:asciiTheme="majorHAnsi" w:eastAsia="Calibri" w:hAnsiTheme="majorHAnsi" w:cstheme="majorHAnsi"/>
                <w:sz w:val="21"/>
                <w:szCs w:val="21"/>
                <w:lang w:val="en-GB"/>
              </w:rPr>
              <w:t>ife (Denmark)</w:t>
            </w:r>
          </w:p>
          <w:p w14:paraId="3BE3B867" w14:textId="5760F905" w:rsidR="0009029A" w:rsidRDefault="0009029A" w:rsidP="007B6F63">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FA216A">
              <w:rPr>
                <w:rFonts w:asciiTheme="majorHAnsi" w:hAnsiTheme="majorHAnsi" w:cstheme="majorHAnsi"/>
                <w:sz w:val="21"/>
                <w:szCs w:val="21"/>
              </w:rPr>
              <w:t>Skip Garden and Kitchen + Story Garden (“</w:t>
            </w:r>
            <w:r>
              <w:rPr>
                <w:rFonts w:asciiTheme="majorHAnsi" w:hAnsiTheme="majorHAnsi" w:cstheme="majorHAnsi"/>
                <w:sz w:val="21"/>
                <w:szCs w:val="21"/>
              </w:rPr>
              <w:t>Learning Lunches</w:t>
            </w:r>
            <w:r w:rsidRPr="00FA216A">
              <w:rPr>
                <w:rFonts w:asciiTheme="majorHAnsi" w:hAnsiTheme="majorHAnsi" w:cstheme="majorHAnsi"/>
                <w:sz w:val="21"/>
                <w:szCs w:val="21"/>
              </w:rPr>
              <w:t>”, UK)</w:t>
            </w:r>
          </w:p>
          <w:p w14:paraId="36931E87" w14:textId="77777777" w:rsidR="0009029A" w:rsidRDefault="00ED75E5"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 xml:space="preserve">Sustainable South Bronx Project </w:t>
            </w:r>
            <w:r>
              <w:rPr>
                <w:rFonts w:asciiTheme="majorHAnsi" w:hAnsiTheme="majorHAnsi" w:cstheme="majorHAnsi"/>
                <w:sz w:val="21"/>
                <w:szCs w:val="21"/>
              </w:rPr>
              <w:t>(“</w:t>
            </w:r>
            <w:r w:rsidRPr="00ED75E5">
              <w:rPr>
                <w:rFonts w:asciiTheme="majorHAnsi" w:hAnsiTheme="majorHAnsi" w:cstheme="majorHAnsi"/>
                <w:sz w:val="21"/>
                <w:szCs w:val="21"/>
              </w:rPr>
              <w:t>BEST Academy</w:t>
            </w:r>
            <w:r>
              <w:rPr>
                <w:rFonts w:asciiTheme="majorHAnsi" w:hAnsiTheme="majorHAnsi" w:cstheme="majorHAnsi"/>
                <w:sz w:val="21"/>
                <w:szCs w:val="21"/>
              </w:rPr>
              <w:t xml:space="preserve">”, </w:t>
            </w:r>
            <w:r w:rsidR="00182214">
              <w:rPr>
                <w:rFonts w:asciiTheme="majorHAnsi" w:hAnsiTheme="majorHAnsi" w:cstheme="majorHAnsi"/>
                <w:sz w:val="21"/>
                <w:szCs w:val="21"/>
              </w:rPr>
              <w:t xml:space="preserve">“Intervine program”, </w:t>
            </w:r>
            <w:r>
              <w:rPr>
                <w:rFonts w:asciiTheme="majorHAnsi" w:hAnsiTheme="majorHAnsi" w:cstheme="majorHAnsi"/>
                <w:sz w:val="21"/>
                <w:szCs w:val="21"/>
              </w:rPr>
              <w:t>US)</w:t>
            </w:r>
          </w:p>
          <w:p w14:paraId="73A08953" w14:textId="201A9356" w:rsidR="00540AB9" w:rsidRPr="00540AB9" w:rsidRDefault="00540AB9" w:rsidP="00326E5E">
            <w:pPr>
              <w:spacing w:after="0" w:line="240" w:lineRule="auto"/>
              <w:rPr>
                <w:rFonts w:asciiTheme="majorHAnsi" w:hAnsiTheme="majorHAnsi" w:cstheme="majorHAnsi"/>
                <w:sz w:val="21"/>
                <w:szCs w:val="21"/>
              </w:rPr>
            </w:pPr>
          </w:p>
        </w:tc>
      </w:tr>
      <w:tr w:rsidR="0009029A" w14:paraId="410D2328" w14:textId="77777777" w:rsidTr="701B9583">
        <w:trPr>
          <w:trHeight w:val="454"/>
        </w:trPr>
        <w:tc>
          <w:tcPr>
            <w:tcW w:w="1185" w:type="dxa"/>
            <w:vMerge/>
          </w:tcPr>
          <w:p w14:paraId="5DEAA12C" w14:textId="77777777" w:rsidR="0009029A" w:rsidRDefault="0009029A" w:rsidP="00326E5E">
            <w:pPr>
              <w:spacing w:after="0" w:line="240" w:lineRule="auto"/>
            </w:pPr>
          </w:p>
        </w:tc>
        <w:tc>
          <w:tcPr>
            <w:tcW w:w="3092" w:type="dxa"/>
          </w:tcPr>
          <w:p w14:paraId="19CBC790" w14:textId="77777777" w:rsidR="0078481D" w:rsidRPr="0078481D" w:rsidRDefault="0078481D" w:rsidP="00326E5E">
            <w:pPr>
              <w:spacing w:after="0" w:line="240" w:lineRule="auto"/>
              <w:rPr>
                <w:rFonts w:asciiTheme="majorHAnsi" w:eastAsia="Calibri" w:hAnsiTheme="majorHAnsi" w:cstheme="majorHAnsi"/>
                <w:sz w:val="8"/>
                <w:szCs w:val="8"/>
                <w:lang w:val="en-GB"/>
              </w:rPr>
            </w:pPr>
          </w:p>
          <w:p w14:paraId="396C3D0C" w14:textId="77777777" w:rsidR="0009029A" w:rsidRDefault="0009029A" w:rsidP="00326E5E">
            <w:pPr>
              <w:spacing w:after="0" w:line="240" w:lineRule="auto"/>
              <w:rPr>
                <w:rFonts w:asciiTheme="majorHAnsi" w:eastAsia="Calibri" w:hAnsiTheme="majorHAnsi" w:cstheme="majorHAnsi"/>
                <w:sz w:val="21"/>
                <w:szCs w:val="21"/>
                <w:lang w:val="en-GB"/>
              </w:rPr>
            </w:pPr>
            <w:r>
              <w:rPr>
                <w:rFonts w:asciiTheme="majorHAnsi" w:eastAsia="Calibri" w:hAnsiTheme="majorHAnsi" w:cstheme="majorHAnsi"/>
                <w:sz w:val="21"/>
                <w:szCs w:val="21"/>
                <w:lang w:val="en-GB"/>
              </w:rPr>
              <w:t>Low digital inclusion</w:t>
            </w:r>
          </w:p>
          <w:p w14:paraId="0D35F5F2" w14:textId="39B3951D" w:rsidR="0078481D" w:rsidRPr="0078481D" w:rsidRDefault="0078481D" w:rsidP="00326E5E">
            <w:pPr>
              <w:spacing w:after="0" w:line="240" w:lineRule="auto"/>
              <w:rPr>
                <w:rFonts w:asciiTheme="majorHAnsi" w:eastAsia="Calibri" w:hAnsiTheme="majorHAnsi" w:cstheme="majorHAnsi"/>
                <w:sz w:val="8"/>
                <w:szCs w:val="8"/>
                <w:lang w:val="en-GB"/>
              </w:rPr>
            </w:pPr>
          </w:p>
        </w:tc>
        <w:tc>
          <w:tcPr>
            <w:tcW w:w="9185" w:type="dxa"/>
          </w:tcPr>
          <w:p w14:paraId="01AC33D5" w14:textId="77777777" w:rsidR="0078481D" w:rsidRPr="0078481D" w:rsidRDefault="0078481D" w:rsidP="00435773">
            <w:pPr>
              <w:spacing w:after="0" w:line="240" w:lineRule="auto"/>
              <w:rPr>
                <w:rFonts w:asciiTheme="majorHAnsi" w:eastAsia="Calibri Light" w:hAnsiTheme="majorHAnsi" w:cstheme="majorHAnsi"/>
                <w:sz w:val="8"/>
                <w:szCs w:val="8"/>
              </w:rPr>
            </w:pPr>
          </w:p>
          <w:p w14:paraId="6A28FA09" w14:textId="292B6AC8" w:rsidR="0009029A" w:rsidRPr="00C26568" w:rsidRDefault="0009029A" w:rsidP="00435773">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Pr>
                <w:rFonts w:asciiTheme="majorHAnsi" w:eastAsia="Calibri" w:hAnsiTheme="majorHAnsi" w:cstheme="majorHAnsi"/>
                <w:sz w:val="21"/>
                <w:szCs w:val="21"/>
                <w:lang w:val="en-GB"/>
              </w:rPr>
              <w:t>Digital Age Project (NSW)</w:t>
            </w:r>
          </w:p>
        </w:tc>
      </w:tr>
      <w:tr w:rsidR="00540AB9" w14:paraId="457F3B89" w14:textId="77777777" w:rsidTr="701B9583">
        <w:trPr>
          <w:trHeight w:val="1164"/>
        </w:trPr>
        <w:tc>
          <w:tcPr>
            <w:tcW w:w="1185" w:type="dxa"/>
            <w:vMerge w:val="restart"/>
            <w:textDirection w:val="btLr"/>
          </w:tcPr>
          <w:p w14:paraId="7EB32D0B" w14:textId="77777777" w:rsidR="00540AB9" w:rsidRDefault="00540AB9" w:rsidP="00540AB9">
            <w:pPr>
              <w:spacing w:after="0" w:line="240" w:lineRule="auto"/>
              <w:ind w:left="113" w:right="113"/>
              <w:rPr>
                <w:rFonts w:ascii="Calibri" w:eastAsia="Calibri" w:hAnsi="Calibri" w:cs="Calibri"/>
                <w:b/>
                <w:bCs/>
                <w:lang w:val="en-GB"/>
              </w:rPr>
            </w:pPr>
          </w:p>
          <w:p w14:paraId="5A620C5F" w14:textId="3F2F26F5" w:rsidR="00540AB9" w:rsidRDefault="418B996B" w:rsidP="00540AB9">
            <w:pPr>
              <w:spacing w:after="0" w:line="240" w:lineRule="auto"/>
              <w:ind w:left="113" w:right="113"/>
              <w:jc w:val="center"/>
              <w:rPr>
                <w:rFonts w:ascii="Calibri" w:eastAsia="Calibri" w:hAnsi="Calibri" w:cs="Calibri"/>
                <w:b/>
                <w:sz w:val="21"/>
                <w:szCs w:val="21"/>
                <w:lang w:val="en-GB"/>
              </w:rPr>
            </w:pPr>
            <w:r w:rsidRPr="701B9583">
              <w:rPr>
                <w:rFonts w:ascii="Calibri" w:eastAsia="Calibri" w:hAnsi="Calibri" w:cs="Calibri"/>
                <w:b/>
                <w:bCs/>
                <w:sz w:val="21"/>
                <w:szCs w:val="21"/>
                <w:lang w:val="en-GB"/>
              </w:rPr>
              <w:t xml:space="preserve">HEALTH </w:t>
            </w:r>
            <w:r w:rsidR="3F8366FD" w:rsidRPr="701B9583">
              <w:rPr>
                <w:rFonts w:ascii="Calibri" w:eastAsia="Calibri" w:hAnsi="Calibri" w:cs="Calibri"/>
                <w:b/>
                <w:bCs/>
                <w:sz w:val="21"/>
                <w:szCs w:val="21"/>
                <w:lang w:val="en-GB"/>
              </w:rPr>
              <w:t>&amp;</w:t>
            </w:r>
            <w:r w:rsidRPr="701B9583">
              <w:rPr>
                <w:rFonts w:ascii="Calibri" w:eastAsia="Calibri" w:hAnsi="Calibri" w:cs="Calibri"/>
                <w:b/>
                <w:bCs/>
                <w:sz w:val="21"/>
                <w:szCs w:val="21"/>
                <w:lang w:val="en-GB"/>
              </w:rPr>
              <w:t xml:space="preserve"> WELL</w:t>
            </w:r>
            <w:r w:rsidR="4158A8CC" w:rsidRPr="701B9583">
              <w:rPr>
                <w:rFonts w:ascii="Calibri" w:eastAsia="Calibri" w:hAnsi="Calibri" w:cs="Calibri"/>
                <w:b/>
                <w:bCs/>
                <w:sz w:val="21"/>
                <w:szCs w:val="21"/>
                <w:lang w:val="en-GB"/>
              </w:rPr>
              <w:t>-</w:t>
            </w:r>
            <w:r w:rsidRPr="701B9583">
              <w:rPr>
                <w:rFonts w:ascii="Calibri" w:eastAsia="Calibri" w:hAnsi="Calibri" w:cs="Calibri"/>
                <w:b/>
                <w:bCs/>
                <w:sz w:val="21"/>
                <w:szCs w:val="21"/>
                <w:lang w:val="en-GB"/>
              </w:rPr>
              <w:t>BEING</w:t>
            </w:r>
          </w:p>
          <w:p w14:paraId="7E818D19" w14:textId="77777777" w:rsidR="00540AB9" w:rsidRDefault="00540AB9" w:rsidP="00540AB9">
            <w:pPr>
              <w:spacing w:after="0" w:line="240" w:lineRule="auto"/>
              <w:ind w:left="113" w:right="113"/>
            </w:pPr>
            <w:r w:rsidRPr="7953D534">
              <w:rPr>
                <w:rFonts w:ascii="Calibri" w:eastAsia="Calibri" w:hAnsi="Calibri" w:cs="Calibri"/>
                <w:b/>
                <w:bCs/>
                <w:lang w:val="en-GB"/>
              </w:rPr>
              <w:t xml:space="preserve"> </w:t>
            </w:r>
          </w:p>
          <w:p w14:paraId="3D4E6B38" w14:textId="4B0EEA33" w:rsidR="00540AB9" w:rsidRDefault="00540AB9" w:rsidP="00540AB9">
            <w:pPr>
              <w:spacing w:after="0" w:line="240" w:lineRule="auto"/>
              <w:ind w:left="113" w:right="113"/>
            </w:pPr>
            <w:r w:rsidRPr="7953D534">
              <w:rPr>
                <w:rFonts w:ascii="Calibri" w:eastAsia="Calibri" w:hAnsi="Calibri" w:cs="Calibri"/>
                <w:b/>
                <w:bCs/>
                <w:lang w:val="en-GB"/>
              </w:rPr>
              <w:t xml:space="preserve"> </w:t>
            </w:r>
          </w:p>
        </w:tc>
        <w:tc>
          <w:tcPr>
            <w:tcW w:w="3092" w:type="dxa"/>
          </w:tcPr>
          <w:p w14:paraId="1C189FD5" w14:textId="77777777" w:rsidR="0078481D" w:rsidRPr="0078481D" w:rsidRDefault="0078481D" w:rsidP="00326E5E">
            <w:pPr>
              <w:spacing w:after="0" w:line="240" w:lineRule="auto"/>
              <w:rPr>
                <w:rFonts w:asciiTheme="majorHAnsi" w:eastAsia="Calibri" w:hAnsiTheme="majorHAnsi" w:cstheme="majorHAnsi"/>
                <w:sz w:val="8"/>
                <w:szCs w:val="8"/>
                <w:lang w:val="en-GB"/>
              </w:rPr>
            </w:pPr>
          </w:p>
          <w:p w14:paraId="0474202F" w14:textId="7C154C1C" w:rsidR="00540AB9" w:rsidRPr="00C26568" w:rsidRDefault="00540AB9" w:rsidP="00326E5E">
            <w:pPr>
              <w:spacing w:after="0" w:line="240" w:lineRule="auto"/>
              <w:rPr>
                <w:rFonts w:asciiTheme="majorHAnsi" w:hAnsiTheme="majorHAnsi" w:cstheme="majorHAnsi"/>
                <w:sz w:val="21"/>
                <w:szCs w:val="21"/>
              </w:rPr>
            </w:pPr>
            <w:r>
              <w:rPr>
                <w:rFonts w:asciiTheme="majorHAnsi" w:eastAsia="Calibri" w:hAnsiTheme="majorHAnsi" w:cstheme="majorHAnsi"/>
                <w:sz w:val="21"/>
                <w:szCs w:val="21"/>
                <w:lang w:val="en-GB"/>
              </w:rPr>
              <w:t>F</w:t>
            </w:r>
            <w:r w:rsidRPr="00C26568">
              <w:rPr>
                <w:rFonts w:asciiTheme="majorHAnsi" w:eastAsia="Calibri" w:hAnsiTheme="majorHAnsi" w:cstheme="majorHAnsi"/>
                <w:sz w:val="21"/>
                <w:szCs w:val="21"/>
                <w:lang w:val="en-GB"/>
              </w:rPr>
              <w:t>ood insecurity</w:t>
            </w:r>
            <w:r>
              <w:rPr>
                <w:rFonts w:asciiTheme="majorHAnsi" w:eastAsia="Calibri" w:hAnsiTheme="majorHAnsi" w:cstheme="majorHAnsi"/>
                <w:sz w:val="21"/>
                <w:szCs w:val="21"/>
                <w:lang w:val="en-GB"/>
              </w:rPr>
              <w:t>, poor nutrition, and health inequalities</w:t>
            </w:r>
          </w:p>
        </w:tc>
        <w:tc>
          <w:tcPr>
            <w:tcW w:w="9185" w:type="dxa"/>
          </w:tcPr>
          <w:p w14:paraId="32107547" w14:textId="77777777" w:rsidR="0078481D" w:rsidRPr="0078481D" w:rsidRDefault="0078481D" w:rsidP="00326E5E">
            <w:pPr>
              <w:spacing w:after="0" w:line="240" w:lineRule="auto"/>
              <w:rPr>
                <w:rFonts w:asciiTheme="majorHAnsi" w:eastAsia="Calibri Light" w:hAnsiTheme="majorHAnsi" w:cstheme="majorHAnsi"/>
                <w:sz w:val="8"/>
                <w:szCs w:val="8"/>
              </w:rPr>
            </w:pPr>
          </w:p>
          <w:p w14:paraId="76036092" w14:textId="736CDABD" w:rsidR="00540AB9" w:rsidRPr="00C26568" w:rsidRDefault="00540AB9"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Fawkner Commons</w:t>
            </w:r>
            <w:r>
              <w:rPr>
                <w:rFonts w:asciiTheme="majorHAnsi" w:eastAsia="Calibri" w:hAnsiTheme="majorHAnsi" w:cstheme="majorHAnsi"/>
                <w:sz w:val="21"/>
                <w:szCs w:val="21"/>
                <w:lang w:val="en-GB"/>
              </w:rPr>
              <w:t xml:space="preserve"> (Melbourne</w:t>
            </w:r>
            <w:r w:rsidRPr="00C26568">
              <w:rPr>
                <w:rFonts w:asciiTheme="majorHAnsi" w:eastAsia="Calibri" w:hAnsiTheme="majorHAnsi" w:cstheme="majorHAnsi"/>
                <w:sz w:val="21"/>
                <w:szCs w:val="21"/>
                <w:lang w:val="en-GB"/>
              </w:rPr>
              <w:t>)</w:t>
            </w:r>
          </w:p>
          <w:p w14:paraId="7A9CB566" w14:textId="55E05E89" w:rsidR="00540AB9" w:rsidRPr="00C26568" w:rsidRDefault="00540AB9"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Pr>
                <w:rFonts w:asciiTheme="majorHAnsi" w:eastAsia="Calibri" w:hAnsiTheme="majorHAnsi" w:cstheme="majorHAnsi"/>
                <w:sz w:val="21"/>
                <w:szCs w:val="21"/>
                <w:lang w:val="en-GB"/>
              </w:rPr>
              <w:t>Skip</w:t>
            </w:r>
            <w:r w:rsidRPr="00C26568">
              <w:rPr>
                <w:rFonts w:asciiTheme="majorHAnsi" w:eastAsia="Calibri" w:hAnsiTheme="majorHAnsi" w:cstheme="majorHAnsi"/>
                <w:sz w:val="21"/>
                <w:szCs w:val="21"/>
                <w:lang w:val="en-GB"/>
              </w:rPr>
              <w:t xml:space="preserve"> </w:t>
            </w:r>
            <w:r>
              <w:rPr>
                <w:rFonts w:asciiTheme="majorHAnsi" w:eastAsia="Calibri" w:hAnsiTheme="majorHAnsi" w:cstheme="majorHAnsi"/>
                <w:sz w:val="21"/>
                <w:szCs w:val="21"/>
                <w:lang w:val="en-GB"/>
              </w:rPr>
              <w:t>G</w:t>
            </w:r>
            <w:r w:rsidRPr="00C26568">
              <w:rPr>
                <w:rFonts w:asciiTheme="majorHAnsi" w:eastAsia="Calibri" w:hAnsiTheme="majorHAnsi" w:cstheme="majorHAnsi"/>
                <w:sz w:val="21"/>
                <w:szCs w:val="21"/>
                <w:lang w:val="en-GB"/>
              </w:rPr>
              <w:t xml:space="preserve">arden and </w:t>
            </w:r>
            <w:r>
              <w:rPr>
                <w:rFonts w:asciiTheme="majorHAnsi" w:eastAsia="Calibri" w:hAnsiTheme="majorHAnsi" w:cstheme="majorHAnsi"/>
                <w:sz w:val="21"/>
                <w:szCs w:val="21"/>
                <w:lang w:val="en-GB"/>
              </w:rPr>
              <w:t>K</w:t>
            </w:r>
            <w:r w:rsidRPr="00C26568">
              <w:rPr>
                <w:rFonts w:asciiTheme="majorHAnsi" w:eastAsia="Calibri" w:hAnsiTheme="majorHAnsi" w:cstheme="majorHAnsi"/>
                <w:sz w:val="21"/>
                <w:szCs w:val="21"/>
                <w:lang w:val="en-GB"/>
              </w:rPr>
              <w:t>itchen</w:t>
            </w:r>
            <w:r>
              <w:rPr>
                <w:rFonts w:asciiTheme="majorHAnsi" w:eastAsia="Calibri" w:hAnsiTheme="majorHAnsi" w:cstheme="majorHAnsi"/>
                <w:sz w:val="21"/>
                <w:szCs w:val="21"/>
                <w:lang w:val="en-GB"/>
              </w:rPr>
              <w:t xml:space="preserve"> + Story Garden</w:t>
            </w:r>
            <w:r w:rsidRPr="00C26568">
              <w:rPr>
                <w:rFonts w:asciiTheme="majorHAnsi" w:eastAsia="Calibri" w:hAnsiTheme="majorHAnsi" w:cstheme="majorHAnsi"/>
                <w:sz w:val="21"/>
                <w:szCs w:val="21"/>
                <w:lang w:val="en-GB"/>
              </w:rPr>
              <w:t xml:space="preserve"> (UK)</w:t>
            </w:r>
          </w:p>
          <w:p w14:paraId="68E80DB4" w14:textId="1B97A2F6" w:rsidR="00540AB9" w:rsidRPr="00C26568" w:rsidRDefault="00540AB9"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Nourishing Landscapes (France)</w:t>
            </w:r>
          </w:p>
          <w:p w14:paraId="2DD45225" w14:textId="23536E24" w:rsidR="00540AB9" w:rsidRDefault="00540AB9"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Best Babies Zone (USA)</w:t>
            </w:r>
          </w:p>
          <w:p w14:paraId="616F9F18" w14:textId="52B52C73" w:rsidR="00540AB9" w:rsidRDefault="00540AB9"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Oslo Living Lab</w:t>
            </w:r>
            <w:r>
              <w:rPr>
                <w:rFonts w:asciiTheme="majorHAnsi" w:eastAsia="Calibri" w:hAnsiTheme="majorHAnsi" w:cstheme="majorHAnsi"/>
                <w:sz w:val="21"/>
                <w:szCs w:val="21"/>
                <w:lang w:val="en-GB"/>
              </w:rPr>
              <w:t xml:space="preserve"> (rooftop garden and g</w:t>
            </w:r>
            <w:r w:rsidRPr="00C26568">
              <w:rPr>
                <w:rFonts w:asciiTheme="majorHAnsi" w:eastAsia="Calibri" w:hAnsiTheme="majorHAnsi" w:cstheme="majorHAnsi"/>
                <w:sz w:val="21"/>
                <w:szCs w:val="21"/>
                <w:lang w:val="en-GB"/>
              </w:rPr>
              <w:t>reen jobs</w:t>
            </w:r>
            <w:r>
              <w:rPr>
                <w:rFonts w:asciiTheme="majorHAnsi" w:eastAsia="Calibri" w:hAnsiTheme="majorHAnsi" w:cstheme="majorHAnsi"/>
                <w:sz w:val="21"/>
                <w:szCs w:val="21"/>
                <w:lang w:val="en-GB"/>
              </w:rPr>
              <w:t xml:space="preserve"> training for </w:t>
            </w:r>
            <w:r w:rsidRPr="00C26568">
              <w:rPr>
                <w:rFonts w:asciiTheme="majorHAnsi" w:eastAsia="Calibri" w:hAnsiTheme="majorHAnsi" w:cstheme="majorHAnsi"/>
                <w:sz w:val="21"/>
                <w:szCs w:val="21"/>
                <w:lang w:val="en-GB"/>
              </w:rPr>
              <w:t>youth</w:t>
            </w:r>
            <w:r>
              <w:rPr>
                <w:rFonts w:asciiTheme="majorHAnsi" w:eastAsia="Calibri" w:hAnsiTheme="majorHAnsi" w:cstheme="majorHAnsi"/>
                <w:sz w:val="21"/>
                <w:szCs w:val="21"/>
                <w:lang w:val="en-GB"/>
              </w:rPr>
              <w:t xml:space="preserve">, </w:t>
            </w:r>
            <w:r w:rsidRPr="00C26568">
              <w:rPr>
                <w:rFonts w:asciiTheme="majorHAnsi" w:eastAsia="Calibri" w:hAnsiTheme="majorHAnsi" w:cstheme="majorHAnsi"/>
                <w:sz w:val="21"/>
                <w:szCs w:val="21"/>
                <w:lang w:val="en-GB"/>
              </w:rPr>
              <w:t>Norway)</w:t>
            </w:r>
          </w:p>
          <w:p w14:paraId="60A0CD54" w14:textId="0B771BA9" w:rsidR="00540AB9" w:rsidRDefault="00540AB9"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Pr>
                <w:rFonts w:asciiTheme="majorHAnsi" w:eastAsia="Calibri" w:hAnsiTheme="majorHAnsi" w:cstheme="majorHAnsi"/>
                <w:sz w:val="21"/>
                <w:szCs w:val="21"/>
                <w:lang w:val="en-GB"/>
              </w:rPr>
              <w:t>My Community Matters (UK)</w:t>
            </w:r>
          </w:p>
          <w:p w14:paraId="296291C7" w14:textId="31994961" w:rsidR="00540AB9" w:rsidRPr="00C26568" w:rsidRDefault="00540AB9" w:rsidP="00326E5E">
            <w:pPr>
              <w:spacing w:after="0" w:line="240" w:lineRule="auto"/>
              <w:rPr>
                <w:rFonts w:asciiTheme="majorHAnsi" w:hAnsiTheme="majorHAnsi" w:cstheme="majorHAnsi"/>
                <w:sz w:val="21"/>
                <w:szCs w:val="21"/>
              </w:rPr>
            </w:pPr>
          </w:p>
        </w:tc>
      </w:tr>
      <w:tr w:rsidR="00540AB9" w14:paraId="3B0C154F" w14:textId="77777777" w:rsidTr="701B9583">
        <w:trPr>
          <w:trHeight w:val="775"/>
        </w:trPr>
        <w:tc>
          <w:tcPr>
            <w:tcW w:w="1185" w:type="dxa"/>
            <w:vMerge/>
          </w:tcPr>
          <w:p w14:paraId="3D1BD21C" w14:textId="341B03BD" w:rsidR="00540AB9" w:rsidRDefault="00540AB9" w:rsidP="00326E5E">
            <w:pPr>
              <w:spacing w:after="0" w:line="240" w:lineRule="auto"/>
            </w:pPr>
          </w:p>
        </w:tc>
        <w:tc>
          <w:tcPr>
            <w:tcW w:w="3092" w:type="dxa"/>
          </w:tcPr>
          <w:p w14:paraId="2F93DE02" w14:textId="77777777" w:rsidR="0078481D" w:rsidRPr="0078481D" w:rsidRDefault="0078481D" w:rsidP="00326E5E">
            <w:pPr>
              <w:spacing w:after="0" w:line="240" w:lineRule="auto"/>
              <w:rPr>
                <w:rFonts w:asciiTheme="majorHAnsi" w:eastAsia="Calibri" w:hAnsiTheme="majorHAnsi" w:cstheme="majorHAnsi"/>
                <w:sz w:val="8"/>
                <w:szCs w:val="8"/>
                <w:lang w:val="en-GB"/>
              </w:rPr>
            </w:pPr>
          </w:p>
          <w:p w14:paraId="6F583FC1" w14:textId="3C6FFEEF" w:rsidR="00540AB9" w:rsidRPr="00C26568" w:rsidRDefault="00540AB9" w:rsidP="00326E5E">
            <w:pPr>
              <w:spacing w:after="0" w:line="240" w:lineRule="auto"/>
              <w:rPr>
                <w:rFonts w:asciiTheme="majorHAnsi" w:hAnsiTheme="majorHAnsi" w:cstheme="majorHAnsi"/>
                <w:sz w:val="21"/>
                <w:szCs w:val="21"/>
              </w:rPr>
            </w:pPr>
            <w:r w:rsidRPr="00C26568">
              <w:rPr>
                <w:rFonts w:asciiTheme="majorHAnsi" w:eastAsia="Calibri" w:hAnsiTheme="majorHAnsi" w:cstheme="majorHAnsi"/>
                <w:sz w:val="21"/>
                <w:szCs w:val="21"/>
                <w:lang w:val="en-GB"/>
              </w:rPr>
              <w:t>Loneliness</w:t>
            </w:r>
            <w:r>
              <w:rPr>
                <w:rFonts w:asciiTheme="majorHAnsi" w:eastAsia="Calibri" w:hAnsiTheme="majorHAnsi" w:cstheme="majorHAnsi"/>
                <w:sz w:val="21"/>
                <w:szCs w:val="21"/>
                <w:lang w:val="en-GB"/>
              </w:rPr>
              <w:t xml:space="preserve"> and social isolation</w:t>
            </w:r>
            <w:r w:rsidRPr="00C26568">
              <w:rPr>
                <w:rFonts w:asciiTheme="majorHAnsi" w:eastAsia="Calibri" w:hAnsiTheme="majorHAnsi" w:cstheme="majorHAnsi"/>
                <w:sz w:val="21"/>
                <w:szCs w:val="21"/>
                <w:lang w:val="en-GB"/>
              </w:rPr>
              <w:t xml:space="preserve"> (especially post-COVID-19)</w:t>
            </w:r>
          </w:p>
        </w:tc>
        <w:tc>
          <w:tcPr>
            <w:tcW w:w="9185" w:type="dxa"/>
          </w:tcPr>
          <w:p w14:paraId="08030594" w14:textId="77777777" w:rsidR="0078481D" w:rsidRPr="0078481D" w:rsidRDefault="0078481D" w:rsidP="00326E5E">
            <w:pPr>
              <w:spacing w:after="0" w:line="240" w:lineRule="auto"/>
              <w:rPr>
                <w:rFonts w:asciiTheme="majorHAnsi" w:eastAsia="Calibri Light" w:hAnsiTheme="majorHAnsi" w:cstheme="majorHAnsi"/>
                <w:sz w:val="8"/>
                <w:szCs w:val="8"/>
              </w:rPr>
            </w:pPr>
          </w:p>
          <w:p w14:paraId="2792C92C" w14:textId="56B8BBA1" w:rsidR="00540AB9" w:rsidRPr="00C26568" w:rsidRDefault="00540AB9"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Angel Next Door (Geelong</w:t>
            </w:r>
            <w:r>
              <w:rPr>
                <w:rFonts w:asciiTheme="majorHAnsi" w:eastAsia="Calibri" w:hAnsiTheme="majorHAnsi" w:cstheme="majorHAnsi"/>
                <w:sz w:val="21"/>
                <w:szCs w:val="21"/>
                <w:lang w:val="en-GB"/>
              </w:rPr>
              <w:t xml:space="preserve"> + Australia-wide</w:t>
            </w:r>
            <w:r w:rsidRPr="00C26568">
              <w:rPr>
                <w:rFonts w:asciiTheme="majorHAnsi" w:eastAsia="Calibri" w:hAnsiTheme="majorHAnsi" w:cstheme="majorHAnsi"/>
                <w:sz w:val="21"/>
                <w:szCs w:val="21"/>
                <w:lang w:val="en-GB"/>
              </w:rPr>
              <w:t>)</w:t>
            </w:r>
          </w:p>
          <w:p w14:paraId="25272471" w14:textId="787F7973" w:rsidR="00540AB9" w:rsidRDefault="00540AB9"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My Community Matters (UK)</w:t>
            </w:r>
          </w:p>
          <w:p w14:paraId="57DA2484" w14:textId="76F9BC6E" w:rsidR="00540AB9" w:rsidRDefault="00540AB9" w:rsidP="005D6A7C">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Pr>
                <w:rFonts w:asciiTheme="majorHAnsi" w:eastAsia="Calibri" w:hAnsiTheme="majorHAnsi" w:cstheme="majorHAnsi"/>
                <w:sz w:val="21"/>
                <w:szCs w:val="21"/>
                <w:lang w:val="en-GB"/>
              </w:rPr>
              <w:t>Skip</w:t>
            </w:r>
            <w:r w:rsidRPr="00C26568">
              <w:rPr>
                <w:rFonts w:asciiTheme="majorHAnsi" w:eastAsia="Calibri" w:hAnsiTheme="majorHAnsi" w:cstheme="majorHAnsi"/>
                <w:sz w:val="21"/>
                <w:szCs w:val="21"/>
                <w:lang w:val="en-GB"/>
              </w:rPr>
              <w:t xml:space="preserve"> </w:t>
            </w:r>
            <w:r>
              <w:rPr>
                <w:rFonts w:asciiTheme="majorHAnsi" w:eastAsia="Calibri" w:hAnsiTheme="majorHAnsi" w:cstheme="majorHAnsi"/>
                <w:sz w:val="21"/>
                <w:szCs w:val="21"/>
                <w:lang w:val="en-GB"/>
              </w:rPr>
              <w:t>G</w:t>
            </w:r>
            <w:r w:rsidRPr="00C26568">
              <w:rPr>
                <w:rFonts w:asciiTheme="majorHAnsi" w:eastAsia="Calibri" w:hAnsiTheme="majorHAnsi" w:cstheme="majorHAnsi"/>
                <w:sz w:val="21"/>
                <w:szCs w:val="21"/>
                <w:lang w:val="en-GB"/>
              </w:rPr>
              <w:t xml:space="preserve">arden and </w:t>
            </w:r>
            <w:r>
              <w:rPr>
                <w:rFonts w:asciiTheme="majorHAnsi" w:eastAsia="Calibri" w:hAnsiTheme="majorHAnsi" w:cstheme="majorHAnsi"/>
                <w:sz w:val="21"/>
                <w:szCs w:val="21"/>
                <w:lang w:val="en-GB"/>
              </w:rPr>
              <w:t>K</w:t>
            </w:r>
            <w:r w:rsidRPr="00C26568">
              <w:rPr>
                <w:rFonts w:asciiTheme="majorHAnsi" w:eastAsia="Calibri" w:hAnsiTheme="majorHAnsi" w:cstheme="majorHAnsi"/>
                <w:sz w:val="21"/>
                <w:szCs w:val="21"/>
                <w:lang w:val="en-GB"/>
              </w:rPr>
              <w:t>itchen</w:t>
            </w:r>
            <w:r>
              <w:rPr>
                <w:rFonts w:asciiTheme="majorHAnsi" w:eastAsia="Calibri" w:hAnsiTheme="majorHAnsi" w:cstheme="majorHAnsi"/>
                <w:sz w:val="21"/>
                <w:szCs w:val="21"/>
                <w:lang w:val="en-GB"/>
              </w:rPr>
              <w:t xml:space="preserve"> + Story Garden</w:t>
            </w:r>
            <w:r w:rsidRPr="00C26568">
              <w:rPr>
                <w:rFonts w:asciiTheme="majorHAnsi" w:eastAsia="Calibri" w:hAnsiTheme="majorHAnsi" w:cstheme="majorHAnsi"/>
                <w:sz w:val="21"/>
                <w:szCs w:val="21"/>
                <w:lang w:val="en-GB"/>
              </w:rPr>
              <w:t xml:space="preserve"> (UK)</w:t>
            </w:r>
          </w:p>
          <w:p w14:paraId="65BEB49B" w14:textId="287DFEA2" w:rsidR="0078481D" w:rsidRPr="00C26568" w:rsidRDefault="0078481D" w:rsidP="005D6A7C">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lastRenderedPageBreak/>
              <w:t>•</w:t>
            </w:r>
            <w:r>
              <w:rPr>
                <w:rFonts w:asciiTheme="majorHAnsi" w:eastAsia="Calibri Light" w:hAnsiTheme="majorHAnsi" w:cstheme="majorHAnsi"/>
                <w:sz w:val="21"/>
                <w:szCs w:val="21"/>
              </w:rPr>
              <w:t xml:space="preserve"> </w:t>
            </w:r>
            <w:r>
              <w:rPr>
                <w:rFonts w:asciiTheme="majorHAnsi" w:eastAsia="Calibri" w:hAnsiTheme="majorHAnsi" w:cstheme="majorHAnsi"/>
                <w:sz w:val="21"/>
                <w:szCs w:val="21"/>
                <w:lang w:val="en-GB"/>
              </w:rPr>
              <w:t>Digital Age Project (Regional NSW)</w:t>
            </w:r>
          </w:p>
          <w:p w14:paraId="453C72C7" w14:textId="4C604AEC" w:rsidR="00540AB9" w:rsidRPr="00C26568" w:rsidRDefault="00540AB9" w:rsidP="00326E5E">
            <w:pPr>
              <w:spacing w:after="0" w:line="240" w:lineRule="auto"/>
              <w:rPr>
                <w:rFonts w:asciiTheme="majorHAnsi" w:hAnsiTheme="majorHAnsi" w:cstheme="majorHAnsi"/>
                <w:sz w:val="21"/>
                <w:szCs w:val="21"/>
              </w:rPr>
            </w:pPr>
          </w:p>
        </w:tc>
      </w:tr>
      <w:tr w:rsidR="00540AB9" w14:paraId="78848A82" w14:textId="77777777" w:rsidTr="701B9583">
        <w:trPr>
          <w:trHeight w:val="1118"/>
        </w:trPr>
        <w:tc>
          <w:tcPr>
            <w:tcW w:w="1185" w:type="dxa"/>
            <w:vMerge/>
          </w:tcPr>
          <w:p w14:paraId="599A4972" w14:textId="77BB6E89" w:rsidR="00540AB9" w:rsidRDefault="00540AB9" w:rsidP="00326E5E">
            <w:pPr>
              <w:spacing w:after="0" w:line="240" w:lineRule="auto"/>
            </w:pPr>
          </w:p>
        </w:tc>
        <w:tc>
          <w:tcPr>
            <w:tcW w:w="3092" w:type="dxa"/>
          </w:tcPr>
          <w:p w14:paraId="5773EBED" w14:textId="77777777" w:rsidR="00591E74" w:rsidRPr="00591E74" w:rsidRDefault="00591E74" w:rsidP="00326E5E">
            <w:pPr>
              <w:spacing w:after="0" w:line="240" w:lineRule="auto"/>
              <w:rPr>
                <w:rFonts w:asciiTheme="majorHAnsi" w:eastAsia="Calibri" w:hAnsiTheme="majorHAnsi" w:cstheme="majorHAnsi"/>
                <w:sz w:val="8"/>
                <w:szCs w:val="8"/>
                <w:lang w:val="en-GB"/>
              </w:rPr>
            </w:pPr>
          </w:p>
          <w:p w14:paraId="0F007AC6" w14:textId="42371D82" w:rsidR="00540AB9" w:rsidRPr="00C26568" w:rsidRDefault="00540AB9" w:rsidP="00326E5E">
            <w:pPr>
              <w:spacing w:after="0" w:line="240" w:lineRule="auto"/>
              <w:rPr>
                <w:rFonts w:asciiTheme="majorHAnsi" w:hAnsiTheme="majorHAnsi" w:cstheme="majorHAnsi"/>
                <w:sz w:val="21"/>
                <w:szCs w:val="21"/>
              </w:rPr>
            </w:pPr>
            <w:r w:rsidRPr="00C26568">
              <w:rPr>
                <w:rFonts w:asciiTheme="majorHAnsi" w:eastAsia="Calibri" w:hAnsiTheme="majorHAnsi" w:cstheme="majorHAnsi"/>
                <w:sz w:val="21"/>
                <w:szCs w:val="21"/>
                <w:lang w:val="en-GB"/>
              </w:rPr>
              <w:t>Mental health challenges</w:t>
            </w:r>
          </w:p>
        </w:tc>
        <w:tc>
          <w:tcPr>
            <w:tcW w:w="9185" w:type="dxa"/>
          </w:tcPr>
          <w:p w14:paraId="512114D7" w14:textId="77777777" w:rsidR="00591E74" w:rsidRPr="00591E74" w:rsidRDefault="00591E74" w:rsidP="00326E5E">
            <w:pPr>
              <w:spacing w:after="0" w:line="240" w:lineRule="auto"/>
              <w:rPr>
                <w:rFonts w:asciiTheme="majorHAnsi" w:eastAsia="Calibri Light" w:hAnsiTheme="majorHAnsi" w:cstheme="majorHAnsi"/>
                <w:sz w:val="8"/>
                <w:szCs w:val="8"/>
              </w:rPr>
            </w:pPr>
          </w:p>
          <w:p w14:paraId="2F79DA8E" w14:textId="4716CF72" w:rsidR="0078481D" w:rsidRDefault="00540AB9"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 xml:space="preserve">All Right? </w:t>
            </w:r>
            <w:r>
              <w:rPr>
                <w:rFonts w:asciiTheme="majorHAnsi" w:eastAsia="Calibri" w:hAnsiTheme="majorHAnsi" w:cstheme="majorHAnsi"/>
                <w:sz w:val="21"/>
                <w:szCs w:val="21"/>
                <w:lang w:val="en-GB"/>
              </w:rPr>
              <w:t>Post-disaster mental health campaign</w:t>
            </w:r>
          </w:p>
          <w:p w14:paraId="2072C809" w14:textId="474A56DB" w:rsidR="00540AB9" w:rsidRPr="00C26568" w:rsidRDefault="0078481D" w:rsidP="00326E5E">
            <w:pPr>
              <w:spacing w:after="0" w:line="240" w:lineRule="auto"/>
              <w:rPr>
                <w:rFonts w:asciiTheme="majorHAnsi" w:hAnsiTheme="majorHAnsi" w:cstheme="majorHAnsi"/>
                <w:sz w:val="21"/>
                <w:szCs w:val="21"/>
              </w:rPr>
            </w:pPr>
            <w:r>
              <w:rPr>
                <w:rFonts w:asciiTheme="majorHAnsi" w:eastAsia="Calibri" w:hAnsiTheme="majorHAnsi" w:cstheme="majorHAnsi"/>
                <w:sz w:val="21"/>
                <w:szCs w:val="21"/>
                <w:lang w:val="en-GB"/>
              </w:rPr>
              <w:t xml:space="preserve">   </w:t>
            </w:r>
            <w:r w:rsidR="00540AB9" w:rsidRPr="00C26568">
              <w:rPr>
                <w:rFonts w:asciiTheme="majorHAnsi" w:eastAsia="Calibri" w:hAnsiTheme="majorHAnsi" w:cstheme="majorHAnsi"/>
                <w:sz w:val="21"/>
                <w:szCs w:val="21"/>
                <w:lang w:val="en-GB"/>
              </w:rPr>
              <w:t>(Christchurch</w:t>
            </w:r>
            <w:r w:rsidR="00540AB9">
              <w:rPr>
                <w:rFonts w:asciiTheme="majorHAnsi" w:eastAsia="Calibri" w:hAnsiTheme="majorHAnsi" w:cstheme="majorHAnsi"/>
                <w:sz w:val="21"/>
                <w:szCs w:val="21"/>
                <w:lang w:val="en-GB"/>
              </w:rPr>
              <w:t>, NZ</w:t>
            </w:r>
            <w:r w:rsidR="00540AB9" w:rsidRPr="00C26568">
              <w:rPr>
                <w:rFonts w:asciiTheme="majorHAnsi" w:eastAsia="Calibri" w:hAnsiTheme="majorHAnsi" w:cstheme="majorHAnsi"/>
                <w:sz w:val="21"/>
                <w:szCs w:val="21"/>
                <w:lang w:val="en-GB"/>
              </w:rPr>
              <w:t>)</w:t>
            </w:r>
          </w:p>
          <w:p w14:paraId="79B6B4B3" w14:textId="3F51FAFF" w:rsidR="0078481D" w:rsidRDefault="00540AB9"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10 Ideas Three Ventures</w:t>
            </w:r>
            <w:r>
              <w:rPr>
                <w:rFonts w:asciiTheme="majorHAnsi" w:eastAsia="Calibri" w:hAnsiTheme="majorHAnsi" w:cstheme="majorHAnsi"/>
                <w:sz w:val="21"/>
                <w:szCs w:val="21"/>
                <w:lang w:val="en-GB"/>
              </w:rPr>
              <w:t xml:space="preserve"> (improving </w:t>
            </w:r>
            <w:r w:rsidRPr="00C26568">
              <w:rPr>
                <w:rFonts w:asciiTheme="majorHAnsi" w:eastAsia="Calibri" w:hAnsiTheme="majorHAnsi" w:cstheme="majorHAnsi"/>
                <w:sz w:val="21"/>
                <w:szCs w:val="21"/>
                <w:lang w:val="en-GB"/>
              </w:rPr>
              <w:t>mental health for</w:t>
            </w:r>
          </w:p>
          <w:p w14:paraId="06597990" w14:textId="42076BCD" w:rsidR="00540AB9" w:rsidRDefault="0078481D" w:rsidP="00326E5E">
            <w:pPr>
              <w:spacing w:after="0" w:line="240" w:lineRule="auto"/>
              <w:rPr>
                <w:rFonts w:asciiTheme="majorHAnsi" w:eastAsia="Calibri" w:hAnsiTheme="majorHAnsi" w:cstheme="majorHAnsi"/>
                <w:sz w:val="21"/>
                <w:szCs w:val="21"/>
                <w:lang w:val="en-GB"/>
              </w:rPr>
            </w:pPr>
            <w:r>
              <w:rPr>
                <w:rFonts w:asciiTheme="majorHAnsi" w:eastAsia="Calibri" w:hAnsiTheme="majorHAnsi" w:cstheme="majorHAnsi"/>
                <w:sz w:val="21"/>
                <w:szCs w:val="21"/>
                <w:lang w:val="en-GB"/>
              </w:rPr>
              <w:t xml:space="preserve">    </w:t>
            </w:r>
            <w:r w:rsidR="00540AB9">
              <w:rPr>
                <w:rFonts w:asciiTheme="majorHAnsi" w:eastAsia="Calibri" w:hAnsiTheme="majorHAnsi" w:cstheme="majorHAnsi"/>
                <w:sz w:val="21"/>
                <w:szCs w:val="21"/>
                <w:lang w:val="en-GB"/>
              </w:rPr>
              <w:t>migrant youth,</w:t>
            </w:r>
            <w:r w:rsidR="00540AB9" w:rsidRPr="00C26568">
              <w:rPr>
                <w:rFonts w:asciiTheme="majorHAnsi" w:eastAsia="Calibri" w:hAnsiTheme="majorHAnsi" w:cstheme="majorHAnsi"/>
                <w:sz w:val="21"/>
                <w:szCs w:val="21"/>
                <w:lang w:val="en-GB"/>
              </w:rPr>
              <w:t xml:space="preserve"> </w:t>
            </w:r>
            <w:r w:rsidR="00540AB9">
              <w:rPr>
                <w:rFonts w:asciiTheme="majorHAnsi" w:eastAsia="Calibri" w:hAnsiTheme="majorHAnsi" w:cstheme="majorHAnsi"/>
                <w:sz w:val="21"/>
                <w:szCs w:val="21"/>
                <w:lang w:val="en-GB"/>
              </w:rPr>
              <w:t xml:space="preserve">western metro </w:t>
            </w:r>
            <w:r w:rsidR="00540AB9" w:rsidRPr="00C26568">
              <w:rPr>
                <w:rFonts w:asciiTheme="majorHAnsi" w:eastAsia="Calibri" w:hAnsiTheme="majorHAnsi" w:cstheme="majorHAnsi"/>
                <w:sz w:val="21"/>
                <w:szCs w:val="21"/>
                <w:lang w:val="en-GB"/>
              </w:rPr>
              <w:t>Melbourne)</w:t>
            </w:r>
          </w:p>
          <w:p w14:paraId="6E70CD65" w14:textId="6B5065AC" w:rsidR="00540AB9" w:rsidRPr="00C26568" w:rsidRDefault="00540AB9" w:rsidP="00326E5E">
            <w:pPr>
              <w:spacing w:after="0" w:line="240" w:lineRule="auto"/>
              <w:rPr>
                <w:rFonts w:asciiTheme="majorHAnsi" w:hAnsiTheme="majorHAnsi" w:cstheme="majorHAnsi"/>
                <w:sz w:val="21"/>
                <w:szCs w:val="21"/>
              </w:rPr>
            </w:pPr>
          </w:p>
        </w:tc>
      </w:tr>
      <w:tr w:rsidR="00540AB9" w14:paraId="1EDAE5D4" w14:textId="77777777" w:rsidTr="701B9583">
        <w:trPr>
          <w:trHeight w:val="660"/>
        </w:trPr>
        <w:tc>
          <w:tcPr>
            <w:tcW w:w="1185" w:type="dxa"/>
            <w:vMerge/>
          </w:tcPr>
          <w:p w14:paraId="6F34870A" w14:textId="77777777" w:rsidR="00540AB9" w:rsidRPr="7953D534" w:rsidRDefault="00540AB9" w:rsidP="00326E5E">
            <w:pPr>
              <w:spacing w:after="0" w:line="240" w:lineRule="auto"/>
              <w:rPr>
                <w:rFonts w:ascii="Calibri" w:eastAsia="Calibri" w:hAnsi="Calibri" w:cs="Calibri"/>
                <w:b/>
                <w:bCs/>
                <w:lang w:val="en-GB"/>
              </w:rPr>
            </w:pPr>
          </w:p>
        </w:tc>
        <w:tc>
          <w:tcPr>
            <w:tcW w:w="3092" w:type="dxa"/>
          </w:tcPr>
          <w:p w14:paraId="0F589575" w14:textId="77777777" w:rsidR="00591E74" w:rsidRPr="00591E74" w:rsidRDefault="00591E74" w:rsidP="00326E5E">
            <w:pPr>
              <w:spacing w:after="0" w:line="240" w:lineRule="auto"/>
              <w:rPr>
                <w:rFonts w:asciiTheme="majorHAnsi" w:eastAsia="Calibri" w:hAnsiTheme="majorHAnsi" w:cstheme="majorHAnsi"/>
                <w:sz w:val="8"/>
                <w:szCs w:val="8"/>
                <w:lang w:val="en-GB"/>
              </w:rPr>
            </w:pPr>
          </w:p>
          <w:p w14:paraId="4D2D7F25" w14:textId="47CC9AB9" w:rsidR="00540AB9" w:rsidRPr="00C26568" w:rsidRDefault="00540AB9" w:rsidP="00326E5E">
            <w:pPr>
              <w:spacing w:after="0" w:line="240" w:lineRule="auto"/>
              <w:rPr>
                <w:rFonts w:asciiTheme="majorHAnsi" w:eastAsia="Calibri" w:hAnsiTheme="majorHAnsi" w:cstheme="majorHAnsi"/>
                <w:sz w:val="21"/>
                <w:szCs w:val="21"/>
                <w:lang w:val="en-GB"/>
              </w:rPr>
            </w:pPr>
            <w:r>
              <w:rPr>
                <w:rFonts w:asciiTheme="majorHAnsi" w:eastAsia="Calibri" w:hAnsiTheme="majorHAnsi" w:cstheme="majorHAnsi"/>
                <w:sz w:val="21"/>
                <w:szCs w:val="21"/>
                <w:lang w:val="en-GB"/>
              </w:rPr>
              <w:t>Family violence</w:t>
            </w:r>
          </w:p>
        </w:tc>
        <w:tc>
          <w:tcPr>
            <w:tcW w:w="9185" w:type="dxa"/>
          </w:tcPr>
          <w:p w14:paraId="3765647B" w14:textId="77777777" w:rsidR="00591E74" w:rsidRPr="00591E74" w:rsidRDefault="00591E74" w:rsidP="00326E5E">
            <w:pPr>
              <w:spacing w:after="0" w:line="240" w:lineRule="auto"/>
              <w:rPr>
                <w:rFonts w:asciiTheme="majorHAnsi" w:eastAsia="Calibri Light" w:hAnsiTheme="majorHAnsi" w:cstheme="majorHAnsi"/>
                <w:sz w:val="8"/>
                <w:szCs w:val="8"/>
              </w:rPr>
            </w:pPr>
          </w:p>
          <w:p w14:paraId="33B50B67" w14:textId="7D29606E" w:rsidR="00591E74" w:rsidRDefault="00540AB9"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FD7196">
              <w:rPr>
                <w:rFonts w:asciiTheme="majorHAnsi" w:eastAsia="Calibri" w:hAnsiTheme="majorHAnsi" w:cstheme="majorHAnsi"/>
                <w:sz w:val="21"/>
                <w:szCs w:val="21"/>
                <w:lang w:val="en-GB"/>
              </w:rPr>
              <w:t>Perpetrator Intervention Pilot</w:t>
            </w:r>
            <w:r>
              <w:t xml:space="preserve"> + </w:t>
            </w:r>
            <w:r w:rsidRPr="006116AE">
              <w:rPr>
                <w:rFonts w:asciiTheme="majorHAnsi" w:eastAsia="Calibri" w:hAnsiTheme="majorHAnsi" w:cstheme="majorHAnsi"/>
                <w:sz w:val="21"/>
                <w:szCs w:val="21"/>
                <w:lang w:val="en-GB"/>
              </w:rPr>
              <w:t>Don’t Become That</w:t>
            </w:r>
          </w:p>
          <w:p w14:paraId="5166AEE5" w14:textId="7DF29D2F" w:rsidR="00540AB9" w:rsidRDefault="00591E74" w:rsidP="00326E5E">
            <w:pPr>
              <w:spacing w:after="0" w:line="240" w:lineRule="auto"/>
              <w:rPr>
                <w:rFonts w:asciiTheme="majorHAnsi" w:eastAsia="Calibri" w:hAnsiTheme="majorHAnsi" w:cstheme="majorHAnsi"/>
                <w:sz w:val="21"/>
                <w:szCs w:val="21"/>
                <w:lang w:val="en-GB"/>
              </w:rPr>
            </w:pPr>
            <w:r>
              <w:rPr>
                <w:rFonts w:asciiTheme="majorHAnsi" w:eastAsia="Calibri" w:hAnsiTheme="majorHAnsi" w:cstheme="majorHAnsi"/>
                <w:sz w:val="21"/>
                <w:szCs w:val="21"/>
                <w:lang w:val="en-GB"/>
              </w:rPr>
              <w:t xml:space="preserve">   </w:t>
            </w:r>
            <w:r w:rsidR="00540AB9" w:rsidRPr="006116AE">
              <w:rPr>
                <w:rFonts w:asciiTheme="majorHAnsi" w:eastAsia="Calibri" w:hAnsiTheme="majorHAnsi" w:cstheme="majorHAnsi"/>
                <w:sz w:val="21"/>
                <w:szCs w:val="21"/>
                <w:lang w:val="en-GB"/>
              </w:rPr>
              <w:t>Man</w:t>
            </w:r>
            <w:r w:rsidR="00540AB9">
              <w:rPr>
                <w:rFonts w:asciiTheme="majorHAnsi" w:eastAsia="Calibri" w:hAnsiTheme="majorHAnsi" w:cstheme="majorHAnsi"/>
                <w:sz w:val="21"/>
                <w:szCs w:val="21"/>
                <w:lang w:val="en-GB"/>
              </w:rPr>
              <w:t xml:space="preserve"> Program (South Australia)</w:t>
            </w:r>
          </w:p>
          <w:p w14:paraId="657399A9" w14:textId="5937EC07" w:rsidR="00540AB9" w:rsidRPr="00C26568" w:rsidRDefault="00540AB9" w:rsidP="00326E5E">
            <w:pPr>
              <w:spacing w:after="0" w:line="240" w:lineRule="auto"/>
              <w:rPr>
                <w:rFonts w:asciiTheme="majorHAnsi" w:eastAsia="Calibri" w:hAnsiTheme="majorHAnsi" w:cstheme="majorHAnsi"/>
                <w:sz w:val="21"/>
                <w:szCs w:val="21"/>
                <w:lang w:val="en-GB"/>
              </w:rPr>
            </w:pPr>
          </w:p>
        </w:tc>
      </w:tr>
      <w:tr w:rsidR="00540AB9" w14:paraId="7ED591F0" w14:textId="77777777" w:rsidTr="701B9583">
        <w:trPr>
          <w:trHeight w:val="660"/>
        </w:trPr>
        <w:tc>
          <w:tcPr>
            <w:tcW w:w="1185" w:type="dxa"/>
            <w:vMerge/>
          </w:tcPr>
          <w:p w14:paraId="73D55C5A" w14:textId="77777777" w:rsidR="00540AB9" w:rsidRPr="7953D534" w:rsidRDefault="00540AB9" w:rsidP="00326E5E">
            <w:pPr>
              <w:spacing w:after="0" w:line="240" w:lineRule="auto"/>
              <w:rPr>
                <w:rFonts w:ascii="Calibri" w:eastAsia="Calibri" w:hAnsi="Calibri" w:cs="Calibri"/>
                <w:b/>
                <w:bCs/>
                <w:lang w:val="en-GB"/>
              </w:rPr>
            </w:pPr>
          </w:p>
        </w:tc>
        <w:tc>
          <w:tcPr>
            <w:tcW w:w="3092" w:type="dxa"/>
          </w:tcPr>
          <w:p w14:paraId="12BF755B" w14:textId="77777777" w:rsidR="00591E74" w:rsidRPr="00591E74" w:rsidRDefault="00591E74" w:rsidP="00326E5E">
            <w:pPr>
              <w:spacing w:after="0" w:line="240" w:lineRule="auto"/>
              <w:rPr>
                <w:rFonts w:asciiTheme="majorHAnsi" w:eastAsia="Calibri" w:hAnsiTheme="majorHAnsi" w:cstheme="majorHAnsi"/>
                <w:sz w:val="8"/>
                <w:szCs w:val="8"/>
                <w:lang w:val="en-GB"/>
              </w:rPr>
            </w:pPr>
          </w:p>
          <w:p w14:paraId="5B44F09D" w14:textId="546A72B5" w:rsidR="00540AB9" w:rsidRDefault="00540AB9" w:rsidP="00326E5E">
            <w:pPr>
              <w:spacing w:after="0" w:line="240" w:lineRule="auto"/>
              <w:rPr>
                <w:rFonts w:asciiTheme="majorHAnsi" w:eastAsia="Calibri" w:hAnsiTheme="majorHAnsi" w:cstheme="majorHAnsi"/>
                <w:sz w:val="21"/>
                <w:szCs w:val="21"/>
                <w:lang w:val="en-GB"/>
              </w:rPr>
            </w:pPr>
            <w:r>
              <w:rPr>
                <w:rFonts w:asciiTheme="majorHAnsi" w:eastAsia="Calibri" w:hAnsiTheme="majorHAnsi" w:cstheme="majorHAnsi"/>
                <w:sz w:val="21"/>
                <w:szCs w:val="21"/>
                <w:lang w:val="en-GB"/>
              </w:rPr>
              <w:t>Limited physical activity</w:t>
            </w:r>
          </w:p>
        </w:tc>
        <w:tc>
          <w:tcPr>
            <w:tcW w:w="9185" w:type="dxa"/>
          </w:tcPr>
          <w:p w14:paraId="3838FF4E" w14:textId="77777777" w:rsidR="00591E74" w:rsidRPr="00591E74" w:rsidRDefault="00591E74" w:rsidP="00326E5E">
            <w:pPr>
              <w:spacing w:after="0" w:line="240" w:lineRule="auto"/>
              <w:rPr>
                <w:rFonts w:asciiTheme="majorHAnsi" w:eastAsia="Calibri Light" w:hAnsiTheme="majorHAnsi" w:cstheme="majorHAnsi"/>
                <w:sz w:val="8"/>
                <w:szCs w:val="8"/>
              </w:rPr>
            </w:pPr>
          </w:p>
          <w:p w14:paraId="3F129816" w14:textId="5605D13D" w:rsidR="00540AB9" w:rsidRDefault="00540AB9"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150BA7">
              <w:rPr>
                <w:rFonts w:asciiTheme="majorHAnsi" w:eastAsia="Calibri" w:hAnsiTheme="majorHAnsi" w:cstheme="majorHAnsi"/>
                <w:sz w:val="21"/>
                <w:szCs w:val="21"/>
                <w:lang w:val="en-GB"/>
              </w:rPr>
              <w:t>Afghan Youth Girls Bike Skills Workshop (Bendigo, VIC)</w:t>
            </w:r>
          </w:p>
          <w:p w14:paraId="1B6AE1C5" w14:textId="77777777" w:rsidR="00591E74" w:rsidRDefault="00540AB9"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w:hAnsiTheme="majorHAnsi" w:cstheme="majorHAnsi"/>
                <w:sz w:val="21"/>
                <w:szCs w:val="21"/>
                <w:lang w:val="en-GB"/>
              </w:rPr>
              <w:t xml:space="preserve"> Skip</w:t>
            </w:r>
            <w:r w:rsidRPr="00C26568">
              <w:rPr>
                <w:rFonts w:asciiTheme="majorHAnsi" w:eastAsia="Calibri" w:hAnsiTheme="majorHAnsi" w:cstheme="majorHAnsi"/>
                <w:sz w:val="21"/>
                <w:szCs w:val="21"/>
                <w:lang w:val="en-GB"/>
              </w:rPr>
              <w:t xml:space="preserve"> </w:t>
            </w:r>
            <w:r>
              <w:rPr>
                <w:rFonts w:asciiTheme="majorHAnsi" w:eastAsia="Calibri" w:hAnsiTheme="majorHAnsi" w:cstheme="majorHAnsi"/>
                <w:sz w:val="21"/>
                <w:szCs w:val="21"/>
                <w:lang w:val="en-GB"/>
              </w:rPr>
              <w:t>G</w:t>
            </w:r>
            <w:r w:rsidRPr="00C26568">
              <w:rPr>
                <w:rFonts w:asciiTheme="majorHAnsi" w:eastAsia="Calibri" w:hAnsiTheme="majorHAnsi" w:cstheme="majorHAnsi"/>
                <w:sz w:val="21"/>
                <w:szCs w:val="21"/>
                <w:lang w:val="en-GB"/>
              </w:rPr>
              <w:t xml:space="preserve">arden and </w:t>
            </w:r>
            <w:r>
              <w:rPr>
                <w:rFonts w:asciiTheme="majorHAnsi" w:eastAsia="Calibri" w:hAnsiTheme="majorHAnsi" w:cstheme="majorHAnsi"/>
                <w:sz w:val="21"/>
                <w:szCs w:val="21"/>
                <w:lang w:val="en-GB"/>
              </w:rPr>
              <w:t>K</w:t>
            </w:r>
            <w:r w:rsidRPr="00C26568">
              <w:rPr>
                <w:rFonts w:asciiTheme="majorHAnsi" w:eastAsia="Calibri" w:hAnsiTheme="majorHAnsi" w:cstheme="majorHAnsi"/>
                <w:sz w:val="21"/>
                <w:szCs w:val="21"/>
                <w:lang w:val="en-GB"/>
              </w:rPr>
              <w:t>itchen</w:t>
            </w:r>
            <w:r>
              <w:rPr>
                <w:rFonts w:asciiTheme="majorHAnsi" w:eastAsia="Calibri" w:hAnsiTheme="majorHAnsi" w:cstheme="majorHAnsi"/>
                <w:sz w:val="21"/>
                <w:szCs w:val="21"/>
                <w:lang w:val="en-GB"/>
              </w:rPr>
              <w:t xml:space="preserve"> + Story Garden</w:t>
            </w:r>
            <w:r w:rsidRPr="00C26568">
              <w:rPr>
                <w:rFonts w:asciiTheme="majorHAnsi" w:eastAsia="Calibri" w:hAnsiTheme="majorHAnsi" w:cstheme="majorHAnsi"/>
                <w:sz w:val="21"/>
                <w:szCs w:val="21"/>
                <w:lang w:val="en-GB"/>
              </w:rPr>
              <w:t xml:space="preserve"> </w:t>
            </w:r>
            <w:r>
              <w:rPr>
                <w:rFonts w:asciiTheme="majorHAnsi" w:eastAsia="Calibri" w:hAnsiTheme="majorHAnsi" w:cstheme="majorHAnsi"/>
                <w:sz w:val="21"/>
                <w:szCs w:val="21"/>
                <w:lang w:val="en-GB"/>
              </w:rPr>
              <w:t>(“</w:t>
            </w:r>
            <w:r w:rsidRPr="00DE6140">
              <w:rPr>
                <w:rFonts w:asciiTheme="majorHAnsi" w:eastAsia="Calibri" w:hAnsiTheme="majorHAnsi" w:cstheme="majorHAnsi"/>
                <w:sz w:val="21"/>
                <w:szCs w:val="21"/>
                <w:lang w:val="en-GB"/>
              </w:rPr>
              <w:t>Friday Night</w:t>
            </w:r>
          </w:p>
          <w:p w14:paraId="4A1F5F55" w14:textId="46CA250C" w:rsidR="00540AB9" w:rsidRDefault="00591E74" w:rsidP="00326E5E">
            <w:pPr>
              <w:spacing w:after="0" w:line="240" w:lineRule="auto"/>
              <w:rPr>
                <w:rFonts w:asciiTheme="majorHAnsi" w:eastAsia="Calibri" w:hAnsiTheme="majorHAnsi" w:cstheme="majorHAnsi"/>
                <w:sz w:val="21"/>
                <w:szCs w:val="21"/>
                <w:lang w:val="en-GB"/>
              </w:rPr>
            </w:pPr>
            <w:r>
              <w:rPr>
                <w:rFonts w:asciiTheme="majorHAnsi" w:eastAsia="Calibri" w:hAnsiTheme="majorHAnsi" w:cstheme="majorHAnsi"/>
                <w:sz w:val="21"/>
                <w:szCs w:val="21"/>
                <w:lang w:val="en-GB"/>
              </w:rPr>
              <w:t xml:space="preserve">   </w:t>
            </w:r>
            <w:r w:rsidR="00540AB9" w:rsidRPr="00DE6140">
              <w:rPr>
                <w:rFonts w:asciiTheme="majorHAnsi" w:eastAsia="Calibri" w:hAnsiTheme="majorHAnsi" w:cstheme="majorHAnsi"/>
                <w:sz w:val="21"/>
                <w:szCs w:val="21"/>
                <w:lang w:val="en-GB"/>
              </w:rPr>
              <w:t>Out</w:t>
            </w:r>
            <w:r w:rsidR="00540AB9">
              <w:rPr>
                <w:rFonts w:asciiTheme="majorHAnsi" w:eastAsia="Calibri" w:hAnsiTheme="majorHAnsi" w:cstheme="majorHAnsi"/>
                <w:sz w:val="21"/>
                <w:szCs w:val="21"/>
                <w:lang w:val="en-GB"/>
              </w:rPr>
              <w:t>”, UK)</w:t>
            </w:r>
          </w:p>
          <w:p w14:paraId="4F135969" w14:textId="77777777" w:rsidR="00591E74" w:rsidRDefault="00540AB9" w:rsidP="00676DE1">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195782">
              <w:rPr>
                <w:rFonts w:asciiTheme="majorHAnsi" w:eastAsia="Calibri" w:hAnsiTheme="majorHAnsi" w:cstheme="majorHAnsi"/>
                <w:sz w:val="21"/>
                <w:szCs w:val="21"/>
                <w:lang w:val="en-GB"/>
              </w:rPr>
              <w:t>Sustainable South Bronx Project</w:t>
            </w:r>
            <w:r>
              <w:rPr>
                <w:rFonts w:asciiTheme="majorHAnsi" w:eastAsia="Calibri" w:hAnsiTheme="majorHAnsi" w:cstheme="majorHAnsi"/>
                <w:sz w:val="21"/>
                <w:szCs w:val="21"/>
                <w:lang w:val="en-GB"/>
              </w:rPr>
              <w:t xml:space="preserve"> (urban greening, new</w:t>
            </w:r>
          </w:p>
          <w:p w14:paraId="7ECFA40D" w14:textId="684369F3" w:rsidR="00540AB9" w:rsidRPr="00FD7196" w:rsidRDefault="00591E74" w:rsidP="00676DE1">
            <w:pPr>
              <w:spacing w:after="0" w:line="240" w:lineRule="auto"/>
              <w:rPr>
                <w:rFonts w:asciiTheme="majorHAnsi" w:eastAsia="Calibri" w:hAnsiTheme="majorHAnsi" w:cstheme="majorHAnsi"/>
                <w:sz w:val="21"/>
                <w:szCs w:val="21"/>
                <w:lang w:val="en-GB"/>
              </w:rPr>
            </w:pPr>
            <w:r>
              <w:rPr>
                <w:rFonts w:asciiTheme="majorHAnsi" w:eastAsia="Calibri" w:hAnsiTheme="majorHAnsi" w:cstheme="majorHAnsi"/>
                <w:sz w:val="21"/>
                <w:szCs w:val="21"/>
                <w:lang w:val="en-GB"/>
              </w:rPr>
              <w:t xml:space="preserve">   </w:t>
            </w:r>
            <w:r w:rsidR="00540AB9">
              <w:rPr>
                <w:rFonts w:asciiTheme="majorHAnsi" w:eastAsia="Calibri" w:hAnsiTheme="majorHAnsi" w:cstheme="majorHAnsi"/>
                <w:sz w:val="21"/>
                <w:szCs w:val="21"/>
                <w:lang w:val="en-GB"/>
              </w:rPr>
              <w:t>public parks, active transport infrastructure, US)</w:t>
            </w:r>
          </w:p>
        </w:tc>
      </w:tr>
      <w:tr w:rsidR="00401CE2" w14:paraId="6DA527EB" w14:textId="77777777" w:rsidTr="701B9583">
        <w:trPr>
          <w:trHeight w:val="822"/>
        </w:trPr>
        <w:tc>
          <w:tcPr>
            <w:tcW w:w="1185" w:type="dxa"/>
            <w:vMerge w:val="restart"/>
            <w:textDirection w:val="btLr"/>
          </w:tcPr>
          <w:p w14:paraId="5F9AA96F" w14:textId="77777777" w:rsidR="00540AB9" w:rsidRDefault="00540AB9" w:rsidP="00540AB9">
            <w:pPr>
              <w:spacing w:after="0" w:line="240" w:lineRule="auto"/>
              <w:ind w:left="113" w:right="113"/>
              <w:jc w:val="center"/>
              <w:rPr>
                <w:rFonts w:ascii="Calibri" w:eastAsia="Calibri" w:hAnsi="Calibri" w:cs="Calibri"/>
                <w:b/>
                <w:bCs/>
                <w:lang w:val="en-GB"/>
              </w:rPr>
            </w:pPr>
          </w:p>
          <w:p w14:paraId="1928D3DA" w14:textId="26001E5A" w:rsidR="00401CE2" w:rsidRDefault="418B996B" w:rsidP="00540AB9">
            <w:pPr>
              <w:spacing w:after="0" w:line="240" w:lineRule="auto"/>
              <w:ind w:left="113" w:right="113"/>
              <w:jc w:val="center"/>
              <w:rPr>
                <w:rFonts w:ascii="Calibri" w:eastAsia="Calibri" w:hAnsi="Calibri" w:cs="Calibri"/>
                <w:b/>
                <w:bCs/>
                <w:lang w:val="en-GB"/>
              </w:rPr>
            </w:pPr>
            <w:r w:rsidRPr="701B9583">
              <w:rPr>
                <w:rFonts w:ascii="Calibri" w:eastAsia="Calibri" w:hAnsi="Calibri" w:cs="Calibri"/>
                <w:b/>
                <w:bCs/>
                <w:lang w:val="en-GB"/>
              </w:rPr>
              <w:t>HOUS</w:t>
            </w:r>
            <w:r w:rsidR="46106484" w:rsidRPr="701B9583">
              <w:rPr>
                <w:rFonts w:ascii="Calibri" w:eastAsia="Calibri" w:hAnsi="Calibri" w:cs="Calibri"/>
                <w:b/>
                <w:bCs/>
                <w:lang w:val="en-GB"/>
              </w:rPr>
              <w:t>-</w:t>
            </w:r>
            <w:r w:rsidRPr="701B9583">
              <w:rPr>
                <w:rFonts w:ascii="Calibri" w:eastAsia="Calibri" w:hAnsi="Calibri" w:cs="Calibri"/>
                <w:b/>
                <w:bCs/>
                <w:lang w:val="en-GB"/>
              </w:rPr>
              <w:t>ING</w:t>
            </w:r>
          </w:p>
          <w:p w14:paraId="742F2E8A" w14:textId="01F0937D" w:rsidR="00401CE2" w:rsidRDefault="6AF153EB" w:rsidP="00540AB9">
            <w:pPr>
              <w:spacing w:after="0" w:line="240" w:lineRule="auto"/>
              <w:ind w:left="113" w:right="113"/>
              <w:jc w:val="center"/>
            </w:pPr>
            <w:r w:rsidRPr="701B9583">
              <w:rPr>
                <w:rFonts w:ascii="Calibri" w:eastAsia="Calibri" w:hAnsi="Calibri" w:cs="Calibri"/>
                <w:b/>
                <w:bCs/>
                <w:lang w:val="en-GB"/>
              </w:rPr>
              <w:t xml:space="preserve"> </w:t>
            </w:r>
            <w:r w:rsidR="19313C93" w:rsidRPr="701B9583">
              <w:rPr>
                <w:rFonts w:ascii="Calibri" w:eastAsia="Calibri" w:hAnsi="Calibri" w:cs="Calibri"/>
                <w:b/>
                <w:bCs/>
                <w:lang w:val="en-GB"/>
              </w:rPr>
              <w:t>(and</w:t>
            </w:r>
          </w:p>
          <w:p w14:paraId="7004A71B" w14:textId="2FB2FAF4" w:rsidR="00401CE2" w:rsidRDefault="00203685" w:rsidP="00540AB9">
            <w:pPr>
              <w:spacing w:after="0" w:line="240" w:lineRule="auto"/>
              <w:ind w:left="113" w:right="113"/>
              <w:jc w:val="center"/>
            </w:pPr>
            <w:r>
              <w:rPr>
                <w:rFonts w:ascii="Calibri" w:eastAsia="Calibri" w:hAnsi="Calibri" w:cs="Calibri"/>
                <w:b/>
                <w:bCs/>
                <w:lang w:val="en-GB"/>
              </w:rPr>
              <w:t>related</w:t>
            </w:r>
            <w:r w:rsidRPr="7953D534">
              <w:rPr>
                <w:rFonts w:ascii="Calibri" w:eastAsia="Calibri" w:hAnsi="Calibri" w:cs="Calibri"/>
                <w:b/>
                <w:bCs/>
                <w:lang w:val="en-GB"/>
              </w:rPr>
              <w:t xml:space="preserve"> built</w:t>
            </w:r>
            <w:r>
              <w:rPr>
                <w:rFonts w:ascii="Calibri" w:eastAsia="Calibri" w:hAnsi="Calibri" w:cs="Calibri"/>
                <w:b/>
                <w:bCs/>
                <w:lang w:val="en-GB"/>
              </w:rPr>
              <w:t xml:space="preserve"> </w:t>
            </w:r>
            <w:r w:rsidRPr="701B9583">
              <w:rPr>
                <w:rFonts w:ascii="Calibri" w:eastAsia="Calibri" w:hAnsi="Calibri" w:cs="Calibri"/>
                <w:b/>
                <w:bCs/>
                <w:lang w:val="en-GB"/>
              </w:rPr>
              <w:t>environment</w:t>
            </w:r>
            <w:r>
              <w:rPr>
                <w:rFonts w:ascii="Calibri" w:eastAsia="Calibri" w:hAnsi="Calibri" w:cs="Calibri"/>
                <w:b/>
                <w:bCs/>
                <w:lang w:val="en-GB"/>
              </w:rPr>
              <w:t>)</w:t>
            </w:r>
          </w:p>
          <w:p w14:paraId="7D8BA03B" w14:textId="77777777" w:rsidR="00401CE2" w:rsidRDefault="00401CE2" w:rsidP="00540AB9">
            <w:pPr>
              <w:spacing w:after="0" w:line="240" w:lineRule="auto"/>
              <w:ind w:left="113" w:right="113"/>
            </w:pPr>
            <w:r w:rsidRPr="7953D534">
              <w:rPr>
                <w:rFonts w:ascii="Calibri" w:eastAsia="Calibri" w:hAnsi="Calibri" w:cs="Calibri"/>
                <w:b/>
                <w:bCs/>
                <w:lang w:val="en-GB"/>
              </w:rPr>
              <w:t xml:space="preserve"> </w:t>
            </w:r>
          </w:p>
          <w:p w14:paraId="0FC28FF2" w14:textId="708EE726" w:rsidR="00401CE2" w:rsidRDefault="00401CE2" w:rsidP="00540AB9">
            <w:pPr>
              <w:spacing w:after="0" w:line="240" w:lineRule="auto"/>
              <w:ind w:left="113" w:right="113"/>
            </w:pPr>
            <w:r w:rsidRPr="7953D534">
              <w:rPr>
                <w:rFonts w:ascii="Calibri" w:eastAsia="Calibri" w:hAnsi="Calibri" w:cs="Calibri"/>
                <w:b/>
                <w:bCs/>
                <w:lang w:val="en-GB"/>
              </w:rPr>
              <w:t xml:space="preserve"> </w:t>
            </w:r>
          </w:p>
        </w:tc>
        <w:tc>
          <w:tcPr>
            <w:tcW w:w="3092" w:type="dxa"/>
          </w:tcPr>
          <w:p w14:paraId="7C282A2A" w14:textId="77777777" w:rsidR="007D358B" w:rsidRPr="007D358B" w:rsidRDefault="007D358B" w:rsidP="00326E5E">
            <w:pPr>
              <w:spacing w:after="0" w:line="240" w:lineRule="auto"/>
              <w:rPr>
                <w:rFonts w:asciiTheme="majorHAnsi" w:eastAsia="Calibri" w:hAnsiTheme="majorHAnsi" w:cstheme="majorHAnsi"/>
                <w:sz w:val="8"/>
                <w:szCs w:val="8"/>
                <w:lang w:val="en-GB"/>
              </w:rPr>
            </w:pPr>
          </w:p>
          <w:p w14:paraId="3618EDFD" w14:textId="5967BF71" w:rsidR="00401CE2" w:rsidRPr="00C26568" w:rsidRDefault="007D358B" w:rsidP="00326E5E">
            <w:pPr>
              <w:spacing w:after="0" w:line="240" w:lineRule="auto"/>
              <w:rPr>
                <w:rFonts w:asciiTheme="majorHAnsi" w:hAnsiTheme="majorHAnsi" w:cstheme="majorHAnsi"/>
                <w:sz w:val="21"/>
                <w:szCs w:val="21"/>
              </w:rPr>
            </w:pPr>
            <w:r>
              <w:rPr>
                <w:rFonts w:asciiTheme="majorHAnsi" w:eastAsia="Calibri" w:hAnsiTheme="majorHAnsi" w:cstheme="majorHAnsi"/>
                <w:sz w:val="21"/>
                <w:szCs w:val="21"/>
                <w:lang w:val="en-GB"/>
              </w:rPr>
              <w:t>High c</w:t>
            </w:r>
            <w:r w:rsidR="00401CE2">
              <w:rPr>
                <w:rFonts w:asciiTheme="majorHAnsi" w:eastAsia="Calibri" w:hAnsiTheme="majorHAnsi" w:cstheme="majorHAnsi"/>
                <w:sz w:val="21"/>
                <w:szCs w:val="21"/>
                <w:lang w:val="en-GB"/>
              </w:rPr>
              <w:t>oncentrations of</w:t>
            </w:r>
            <w:r w:rsidR="00401CE2" w:rsidRPr="00C26568">
              <w:rPr>
                <w:rFonts w:asciiTheme="majorHAnsi" w:eastAsia="Calibri" w:hAnsiTheme="majorHAnsi" w:cstheme="majorHAnsi"/>
                <w:sz w:val="21"/>
                <w:szCs w:val="21"/>
                <w:lang w:val="en-GB"/>
              </w:rPr>
              <w:t xml:space="preserve"> poor</w:t>
            </w:r>
            <w:r w:rsidR="00401CE2">
              <w:rPr>
                <w:rFonts w:asciiTheme="majorHAnsi" w:eastAsia="Calibri" w:hAnsiTheme="majorHAnsi" w:cstheme="majorHAnsi"/>
                <w:sz w:val="21"/>
                <w:szCs w:val="21"/>
                <w:lang w:val="en-GB"/>
              </w:rPr>
              <w:t>-</w:t>
            </w:r>
            <w:r w:rsidR="00401CE2" w:rsidRPr="00C26568">
              <w:rPr>
                <w:rFonts w:asciiTheme="majorHAnsi" w:eastAsia="Calibri" w:hAnsiTheme="majorHAnsi" w:cstheme="majorHAnsi"/>
                <w:sz w:val="21"/>
                <w:szCs w:val="21"/>
                <w:lang w:val="en-GB"/>
              </w:rPr>
              <w:t>quality public housing</w:t>
            </w:r>
          </w:p>
        </w:tc>
        <w:tc>
          <w:tcPr>
            <w:tcW w:w="9185" w:type="dxa"/>
          </w:tcPr>
          <w:p w14:paraId="474A557F" w14:textId="77777777" w:rsidR="007D358B" w:rsidRPr="007D358B" w:rsidRDefault="007D358B" w:rsidP="00326E5E">
            <w:pPr>
              <w:spacing w:after="0" w:line="240" w:lineRule="auto"/>
              <w:rPr>
                <w:rFonts w:asciiTheme="majorHAnsi" w:eastAsia="Calibri Light" w:hAnsiTheme="majorHAnsi" w:cstheme="majorHAnsi"/>
                <w:sz w:val="8"/>
                <w:szCs w:val="8"/>
              </w:rPr>
            </w:pPr>
          </w:p>
          <w:p w14:paraId="756EC9CA" w14:textId="7D447BB2" w:rsidR="00401CE2" w:rsidRPr="00C26568" w:rsidRDefault="008D3AD7"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401CE2" w:rsidRPr="00C26568">
              <w:rPr>
                <w:rFonts w:asciiTheme="majorHAnsi" w:eastAsia="Calibri" w:hAnsiTheme="majorHAnsi" w:cstheme="majorHAnsi"/>
                <w:sz w:val="21"/>
                <w:szCs w:val="21"/>
                <w:lang w:val="en-GB"/>
              </w:rPr>
              <w:t>Neighbourhood Renewal (Victoria and Geelong)</w:t>
            </w:r>
          </w:p>
          <w:p w14:paraId="5A82F95C" w14:textId="3920E3DF" w:rsidR="00A00465" w:rsidRPr="00A00465" w:rsidRDefault="008D3AD7"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401CE2">
              <w:rPr>
                <w:rFonts w:asciiTheme="majorHAnsi" w:eastAsia="Calibri" w:hAnsiTheme="majorHAnsi" w:cstheme="majorHAnsi"/>
                <w:sz w:val="21"/>
                <w:szCs w:val="21"/>
                <w:lang w:val="en-GB"/>
              </w:rPr>
              <w:t>Broomhill Project (</w:t>
            </w:r>
            <w:r w:rsidR="00C82F35">
              <w:rPr>
                <w:rFonts w:asciiTheme="majorHAnsi" w:eastAsia="Calibri" w:hAnsiTheme="majorHAnsi" w:cstheme="majorHAnsi"/>
                <w:sz w:val="21"/>
                <w:szCs w:val="21"/>
                <w:lang w:val="en-GB"/>
              </w:rPr>
              <w:t xml:space="preserve">arts-led regeneration, </w:t>
            </w:r>
            <w:r w:rsidR="00401CE2">
              <w:rPr>
                <w:rFonts w:asciiTheme="majorHAnsi" w:eastAsia="Calibri" w:hAnsiTheme="majorHAnsi" w:cstheme="majorHAnsi"/>
                <w:sz w:val="21"/>
                <w:szCs w:val="21"/>
                <w:lang w:val="en-GB"/>
              </w:rPr>
              <w:t>UK)</w:t>
            </w:r>
          </w:p>
        </w:tc>
      </w:tr>
      <w:tr w:rsidR="00401CE2" w14:paraId="0955DEA5" w14:textId="77777777" w:rsidTr="701B9583">
        <w:trPr>
          <w:trHeight w:val="1751"/>
        </w:trPr>
        <w:tc>
          <w:tcPr>
            <w:tcW w:w="1185" w:type="dxa"/>
            <w:vMerge/>
          </w:tcPr>
          <w:p w14:paraId="73F958FB" w14:textId="13EBB884" w:rsidR="00401CE2" w:rsidRDefault="00401CE2" w:rsidP="00326E5E">
            <w:pPr>
              <w:spacing w:after="0" w:line="240" w:lineRule="auto"/>
            </w:pPr>
          </w:p>
        </w:tc>
        <w:tc>
          <w:tcPr>
            <w:tcW w:w="3092" w:type="dxa"/>
          </w:tcPr>
          <w:p w14:paraId="448ED37B" w14:textId="77777777" w:rsidR="007D358B" w:rsidRPr="007D358B" w:rsidRDefault="007D358B" w:rsidP="00326E5E">
            <w:pPr>
              <w:spacing w:after="0" w:line="240" w:lineRule="auto"/>
              <w:rPr>
                <w:rFonts w:asciiTheme="majorHAnsi" w:eastAsia="Calibri" w:hAnsiTheme="majorHAnsi" w:cstheme="majorHAnsi"/>
                <w:sz w:val="8"/>
                <w:szCs w:val="8"/>
                <w:lang w:val="en-GB"/>
              </w:rPr>
            </w:pPr>
          </w:p>
          <w:p w14:paraId="3FD783B4" w14:textId="2BE67E7A" w:rsidR="00401CE2" w:rsidRPr="00C26568" w:rsidRDefault="00401CE2" w:rsidP="00326E5E">
            <w:pPr>
              <w:spacing w:after="0" w:line="240" w:lineRule="auto"/>
              <w:rPr>
                <w:rFonts w:asciiTheme="majorHAnsi" w:hAnsiTheme="majorHAnsi" w:cstheme="majorHAnsi"/>
                <w:sz w:val="21"/>
                <w:szCs w:val="21"/>
              </w:rPr>
            </w:pPr>
            <w:r>
              <w:rPr>
                <w:rFonts w:asciiTheme="majorHAnsi" w:eastAsia="Calibri" w:hAnsiTheme="majorHAnsi" w:cstheme="majorHAnsi"/>
                <w:sz w:val="21"/>
                <w:szCs w:val="21"/>
                <w:lang w:val="en-GB"/>
              </w:rPr>
              <w:t>Lack of quality shared spaces for public housing tenants</w:t>
            </w:r>
          </w:p>
        </w:tc>
        <w:tc>
          <w:tcPr>
            <w:tcW w:w="9185" w:type="dxa"/>
          </w:tcPr>
          <w:p w14:paraId="4B1BF03E" w14:textId="77777777" w:rsidR="007D358B" w:rsidRPr="007D358B" w:rsidRDefault="007D358B" w:rsidP="00326E5E">
            <w:pPr>
              <w:spacing w:after="0" w:line="240" w:lineRule="auto"/>
              <w:rPr>
                <w:rFonts w:asciiTheme="majorHAnsi" w:eastAsia="Calibri Light" w:hAnsiTheme="majorHAnsi" w:cstheme="majorHAnsi"/>
                <w:sz w:val="8"/>
                <w:szCs w:val="8"/>
              </w:rPr>
            </w:pPr>
          </w:p>
          <w:p w14:paraId="49E4673B" w14:textId="3653E243" w:rsidR="00401CE2" w:rsidRPr="00C26568" w:rsidRDefault="008D3AD7"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401CE2" w:rsidRPr="00C26568">
              <w:rPr>
                <w:rFonts w:asciiTheme="majorHAnsi" w:eastAsia="Calibri" w:hAnsiTheme="majorHAnsi" w:cstheme="majorHAnsi"/>
                <w:sz w:val="21"/>
                <w:szCs w:val="21"/>
                <w:lang w:val="en-GB"/>
              </w:rPr>
              <w:t>Oslo Living Lab (</w:t>
            </w:r>
            <w:r w:rsidR="00401CE2">
              <w:rPr>
                <w:rFonts w:asciiTheme="majorHAnsi" w:eastAsia="Calibri" w:hAnsiTheme="majorHAnsi" w:cstheme="majorHAnsi"/>
                <w:sz w:val="21"/>
                <w:szCs w:val="21"/>
                <w:lang w:val="en-GB"/>
              </w:rPr>
              <w:t xml:space="preserve">tactical urbanism, </w:t>
            </w:r>
            <w:r w:rsidR="00401CE2" w:rsidRPr="00C26568">
              <w:rPr>
                <w:rFonts w:asciiTheme="majorHAnsi" w:eastAsia="Calibri" w:hAnsiTheme="majorHAnsi" w:cstheme="majorHAnsi"/>
                <w:sz w:val="21"/>
                <w:szCs w:val="21"/>
                <w:lang w:val="en-GB"/>
              </w:rPr>
              <w:t>Norway)</w:t>
            </w:r>
          </w:p>
          <w:p w14:paraId="32302E20" w14:textId="3693E3C1" w:rsidR="00401CE2" w:rsidRDefault="008D3AD7"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401CE2" w:rsidRPr="00C26568">
              <w:rPr>
                <w:rFonts w:asciiTheme="majorHAnsi" w:eastAsia="Calibri" w:hAnsiTheme="majorHAnsi" w:cstheme="majorHAnsi"/>
                <w:sz w:val="21"/>
                <w:szCs w:val="21"/>
                <w:lang w:val="en-GB"/>
              </w:rPr>
              <w:t>Broo</w:t>
            </w:r>
            <w:r w:rsidR="00401CE2">
              <w:rPr>
                <w:rFonts w:asciiTheme="majorHAnsi" w:eastAsia="Calibri" w:hAnsiTheme="majorHAnsi" w:cstheme="majorHAnsi"/>
                <w:sz w:val="21"/>
                <w:szCs w:val="21"/>
                <w:lang w:val="en-GB"/>
              </w:rPr>
              <w:t>m</w:t>
            </w:r>
            <w:r w:rsidR="00401CE2" w:rsidRPr="00C26568">
              <w:rPr>
                <w:rFonts w:asciiTheme="majorHAnsi" w:eastAsia="Calibri" w:hAnsiTheme="majorHAnsi" w:cstheme="majorHAnsi"/>
                <w:sz w:val="21"/>
                <w:szCs w:val="21"/>
                <w:lang w:val="en-GB"/>
              </w:rPr>
              <w:t>hill Project</w:t>
            </w:r>
            <w:r w:rsidR="00401CE2">
              <w:rPr>
                <w:rFonts w:asciiTheme="majorHAnsi" w:eastAsia="Calibri" w:hAnsiTheme="majorHAnsi" w:cstheme="majorHAnsi"/>
                <w:sz w:val="21"/>
                <w:szCs w:val="21"/>
                <w:lang w:val="en-GB"/>
              </w:rPr>
              <w:t xml:space="preserve"> (a</w:t>
            </w:r>
            <w:r w:rsidR="00401CE2" w:rsidRPr="00C26568">
              <w:rPr>
                <w:rFonts w:asciiTheme="majorHAnsi" w:eastAsia="Calibri" w:hAnsiTheme="majorHAnsi" w:cstheme="majorHAnsi"/>
                <w:sz w:val="21"/>
                <w:szCs w:val="21"/>
                <w:lang w:val="en-GB"/>
              </w:rPr>
              <w:t>rts</w:t>
            </w:r>
            <w:r w:rsidR="00401CE2">
              <w:rPr>
                <w:rFonts w:asciiTheme="majorHAnsi" w:eastAsia="Calibri" w:hAnsiTheme="majorHAnsi" w:cstheme="majorHAnsi"/>
                <w:sz w:val="21"/>
                <w:szCs w:val="21"/>
                <w:lang w:val="en-GB"/>
              </w:rPr>
              <w:t>-</w:t>
            </w:r>
            <w:r w:rsidR="00401CE2" w:rsidRPr="00C26568">
              <w:rPr>
                <w:rFonts w:asciiTheme="majorHAnsi" w:eastAsia="Calibri" w:hAnsiTheme="majorHAnsi" w:cstheme="majorHAnsi"/>
                <w:sz w:val="21"/>
                <w:szCs w:val="21"/>
                <w:lang w:val="en-GB"/>
              </w:rPr>
              <w:t>led regeneration</w:t>
            </w:r>
            <w:r w:rsidR="00401CE2">
              <w:rPr>
                <w:rFonts w:asciiTheme="majorHAnsi" w:eastAsia="Calibri" w:hAnsiTheme="majorHAnsi" w:cstheme="majorHAnsi"/>
                <w:sz w:val="21"/>
                <w:szCs w:val="21"/>
                <w:lang w:val="en-GB"/>
              </w:rPr>
              <w:t xml:space="preserve">, </w:t>
            </w:r>
            <w:r w:rsidR="00401CE2" w:rsidRPr="00C26568">
              <w:rPr>
                <w:rFonts w:asciiTheme="majorHAnsi" w:eastAsia="Calibri" w:hAnsiTheme="majorHAnsi" w:cstheme="majorHAnsi"/>
                <w:sz w:val="21"/>
                <w:szCs w:val="21"/>
                <w:lang w:val="en-GB"/>
              </w:rPr>
              <w:t>UK)</w:t>
            </w:r>
          </w:p>
          <w:p w14:paraId="2A9DF893" w14:textId="3BD7FF22" w:rsidR="005D6A7C" w:rsidRPr="00C26568" w:rsidRDefault="008D3AD7"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5D6A7C">
              <w:rPr>
                <w:rFonts w:asciiTheme="majorHAnsi" w:eastAsia="Calibri" w:hAnsiTheme="majorHAnsi" w:cstheme="majorHAnsi"/>
                <w:sz w:val="21"/>
                <w:szCs w:val="21"/>
                <w:lang w:val="en-GB"/>
              </w:rPr>
              <w:t>Skip</w:t>
            </w:r>
            <w:r w:rsidR="005D6A7C" w:rsidRPr="00C26568">
              <w:rPr>
                <w:rFonts w:asciiTheme="majorHAnsi" w:eastAsia="Calibri" w:hAnsiTheme="majorHAnsi" w:cstheme="majorHAnsi"/>
                <w:sz w:val="21"/>
                <w:szCs w:val="21"/>
                <w:lang w:val="en-GB"/>
              </w:rPr>
              <w:t xml:space="preserve"> </w:t>
            </w:r>
            <w:r w:rsidR="005D6A7C">
              <w:rPr>
                <w:rFonts w:asciiTheme="majorHAnsi" w:eastAsia="Calibri" w:hAnsiTheme="majorHAnsi" w:cstheme="majorHAnsi"/>
                <w:sz w:val="21"/>
                <w:szCs w:val="21"/>
                <w:lang w:val="en-GB"/>
              </w:rPr>
              <w:t>G</w:t>
            </w:r>
            <w:r w:rsidR="005D6A7C" w:rsidRPr="00C26568">
              <w:rPr>
                <w:rFonts w:asciiTheme="majorHAnsi" w:eastAsia="Calibri" w:hAnsiTheme="majorHAnsi" w:cstheme="majorHAnsi"/>
                <w:sz w:val="21"/>
                <w:szCs w:val="21"/>
                <w:lang w:val="en-GB"/>
              </w:rPr>
              <w:t xml:space="preserve">arden and </w:t>
            </w:r>
            <w:r w:rsidR="005D6A7C">
              <w:rPr>
                <w:rFonts w:asciiTheme="majorHAnsi" w:eastAsia="Calibri" w:hAnsiTheme="majorHAnsi" w:cstheme="majorHAnsi"/>
                <w:sz w:val="21"/>
                <w:szCs w:val="21"/>
                <w:lang w:val="en-GB"/>
              </w:rPr>
              <w:t>K</w:t>
            </w:r>
            <w:r w:rsidR="005D6A7C" w:rsidRPr="00C26568">
              <w:rPr>
                <w:rFonts w:asciiTheme="majorHAnsi" w:eastAsia="Calibri" w:hAnsiTheme="majorHAnsi" w:cstheme="majorHAnsi"/>
                <w:sz w:val="21"/>
                <w:szCs w:val="21"/>
                <w:lang w:val="en-GB"/>
              </w:rPr>
              <w:t>itchen</w:t>
            </w:r>
            <w:r w:rsidR="005D6A7C">
              <w:rPr>
                <w:rFonts w:asciiTheme="majorHAnsi" w:eastAsia="Calibri" w:hAnsiTheme="majorHAnsi" w:cstheme="majorHAnsi"/>
                <w:sz w:val="21"/>
                <w:szCs w:val="21"/>
                <w:lang w:val="en-GB"/>
              </w:rPr>
              <w:t xml:space="preserve"> + Story Garden</w:t>
            </w:r>
            <w:r w:rsidR="005D6A7C" w:rsidRPr="00C26568">
              <w:rPr>
                <w:rFonts w:asciiTheme="majorHAnsi" w:eastAsia="Calibri" w:hAnsiTheme="majorHAnsi" w:cstheme="majorHAnsi"/>
                <w:sz w:val="21"/>
                <w:szCs w:val="21"/>
                <w:lang w:val="en-GB"/>
              </w:rPr>
              <w:t xml:space="preserve"> (UK)</w:t>
            </w:r>
          </w:p>
        </w:tc>
      </w:tr>
      <w:tr w:rsidR="00401CE2" w14:paraId="3C821452" w14:textId="77777777" w:rsidTr="701B9583">
        <w:trPr>
          <w:trHeight w:val="400"/>
        </w:trPr>
        <w:tc>
          <w:tcPr>
            <w:tcW w:w="1185" w:type="dxa"/>
            <w:vMerge/>
          </w:tcPr>
          <w:p w14:paraId="3E4B1F1B" w14:textId="702E7BEB" w:rsidR="00401CE2" w:rsidRDefault="00401CE2" w:rsidP="00326E5E">
            <w:pPr>
              <w:spacing w:after="0" w:line="240" w:lineRule="auto"/>
            </w:pPr>
          </w:p>
        </w:tc>
        <w:tc>
          <w:tcPr>
            <w:tcW w:w="3092" w:type="dxa"/>
          </w:tcPr>
          <w:p w14:paraId="7EB49DA9" w14:textId="77777777" w:rsidR="007D358B" w:rsidRPr="007D358B" w:rsidRDefault="007D358B" w:rsidP="00326E5E">
            <w:pPr>
              <w:spacing w:after="0" w:line="240" w:lineRule="auto"/>
              <w:rPr>
                <w:rFonts w:asciiTheme="majorHAnsi" w:eastAsia="Calibri" w:hAnsiTheme="majorHAnsi" w:cstheme="majorHAnsi"/>
                <w:sz w:val="8"/>
                <w:szCs w:val="8"/>
                <w:lang w:val="en-GB"/>
              </w:rPr>
            </w:pPr>
          </w:p>
          <w:p w14:paraId="62F52D5E" w14:textId="4C94ACC3" w:rsidR="00401CE2" w:rsidRPr="00C26568" w:rsidRDefault="00401CE2" w:rsidP="00326E5E">
            <w:pPr>
              <w:spacing w:after="0" w:line="240" w:lineRule="auto"/>
              <w:rPr>
                <w:rFonts w:asciiTheme="majorHAnsi" w:hAnsiTheme="majorHAnsi" w:cstheme="majorHAnsi"/>
                <w:sz w:val="21"/>
                <w:szCs w:val="21"/>
              </w:rPr>
            </w:pPr>
            <w:r>
              <w:rPr>
                <w:rFonts w:asciiTheme="majorHAnsi" w:eastAsia="Calibri" w:hAnsiTheme="majorHAnsi" w:cstheme="majorHAnsi"/>
                <w:sz w:val="21"/>
                <w:szCs w:val="21"/>
                <w:lang w:val="en-GB"/>
              </w:rPr>
              <w:t>H</w:t>
            </w:r>
            <w:r w:rsidRPr="00C26568">
              <w:rPr>
                <w:rFonts w:asciiTheme="majorHAnsi" w:eastAsia="Calibri" w:hAnsiTheme="majorHAnsi" w:cstheme="majorHAnsi"/>
                <w:sz w:val="21"/>
                <w:szCs w:val="21"/>
                <w:lang w:val="en-GB"/>
              </w:rPr>
              <w:t>omelessness</w:t>
            </w:r>
          </w:p>
        </w:tc>
        <w:tc>
          <w:tcPr>
            <w:tcW w:w="9185" w:type="dxa"/>
          </w:tcPr>
          <w:p w14:paraId="57CBD8F8" w14:textId="77777777" w:rsidR="007D358B" w:rsidRPr="007C77C6" w:rsidRDefault="007D358B" w:rsidP="00326E5E">
            <w:pPr>
              <w:spacing w:after="0" w:line="240" w:lineRule="auto"/>
              <w:rPr>
                <w:rFonts w:asciiTheme="majorHAnsi" w:eastAsia="Calibri Light" w:hAnsiTheme="majorHAnsi" w:cstheme="majorHAnsi"/>
                <w:sz w:val="4"/>
                <w:szCs w:val="4"/>
              </w:rPr>
            </w:pPr>
          </w:p>
          <w:p w14:paraId="23BA3782" w14:textId="3F1D0815" w:rsidR="00401CE2" w:rsidRDefault="008D3AD7"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401CE2" w:rsidRPr="00C26568">
              <w:rPr>
                <w:rFonts w:asciiTheme="majorHAnsi" w:eastAsia="Calibri" w:hAnsiTheme="majorHAnsi" w:cstheme="majorHAnsi"/>
                <w:sz w:val="21"/>
                <w:szCs w:val="21"/>
                <w:lang w:val="en-GB"/>
              </w:rPr>
              <w:t xml:space="preserve">Towards Home </w:t>
            </w:r>
            <w:r w:rsidR="00401CE2">
              <w:rPr>
                <w:rFonts w:asciiTheme="majorHAnsi" w:eastAsia="Calibri" w:hAnsiTheme="majorHAnsi" w:cstheme="majorHAnsi"/>
                <w:sz w:val="21"/>
                <w:szCs w:val="21"/>
                <w:lang w:val="en-GB"/>
              </w:rPr>
              <w:t xml:space="preserve">Plus (rough sleeper </w:t>
            </w:r>
            <w:r w:rsidR="00401CE2" w:rsidRPr="00C26568">
              <w:rPr>
                <w:rFonts w:asciiTheme="majorHAnsi" w:eastAsia="Calibri" w:hAnsiTheme="majorHAnsi" w:cstheme="majorHAnsi"/>
                <w:sz w:val="21"/>
                <w:szCs w:val="21"/>
                <w:lang w:val="en-GB"/>
              </w:rPr>
              <w:t>outreach</w:t>
            </w:r>
            <w:r w:rsidR="00401CE2">
              <w:rPr>
                <w:rFonts w:asciiTheme="majorHAnsi" w:eastAsia="Calibri" w:hAnsiTheme="majorHAnsi" w:cstheme="majorHAnsi"/>
                <w:sz w:val="21"/>
                <w:szCs w:val="21"/>
                <w:lang w:val="en-GB"/>
              </w:rPr>
              <w:t>, Geelong</w:t>
            </w:r>
            <w:r w:rsidR="00401CE2" w:rsidRPr="00C26568">
              <w:rPr>
                <w:rFonts w:asciiTheme="majorHAnsi" w:eastAsia="Calibri" w:hAnsiTheme="majorHAnsi" w:cstheme="majorHAnsi"/>
                <w:sz w:val="21"/>
                <w:szCs w:val="21"/>
                <w:lang w:val="en-GB"/>
              </w:rPr>
              <w:t>)</w:t>
            </w:r>
          </w:p>
          <w:p w14:paraId="7F1E684F" w14:textId="77777777" w:rsidR="00401CE2" w:rsidRDefault="008D3AD7"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401CE2" w:rsidRPr="00FD7196">
              <w:rPr>
                <w:rFonts w:asciiTheme="majorHAnsi" w:eastAsia="Calibri" w:hAnsiTheme="majorHAnsi" w:cstheme="majorHAnsi"/>
                <w:sz w:val="21"/>
                <w:szCs w:val="21"/>
                <w:lang w:val="en-GB"/>
              </w:rPr>
              <w:t>Perpetrator Intervention Pilot</w:t>
            </w:r>
            <w:r w:rsidR="00401CE2">
              <w:rPr>
                <w:rFonts w:asciiTheme="majorHAnsi" w:eastAsia="Calibri" w:hAnsiTheme="majorHAnsi" w:cstheme="majorHAnsi"/>
                <w:sz w:val="21"/>
                <w:szCs w:val="21"/>
                <w:lang w:val="en-GB"/>
              </w:rPr>
              <w:t xml:space="preserve"> (family violence program, South Australia)</w:t>
            </w:r>
          </w:p>
          <w:p w14:paraId="72DA51D4" w14:textId="424F8141" w:rsidR="007D358B" w:rsidRPr="007D358B" w:rsidRDefault="007D358B" w:rsidP="00326E5E">
            <w:pPr>
              <w:spacing w:after="0" w:line="240" w:lineRule="auto"/>
              <w:rPr>
                <w:rFonts w:asciiTheme="majorHAnsi" w:hAnsiTheme="majorHAnsi" w:cstheme="majorHAnsi"/>
                <w:sz w:val="8"/>
                <w:szCs w:val="8"/>
              </w:rPr>
            </w:pPr>
          </w:p>
        </w:tc>
      </w:tr>
      <w:tr w:rsidR="002B71B1" w14:paraId="01734B2F" w14:textId="77777777" w:rsidTr="701B9583">
        <w:trPr>
          <w:trHeight w:val="775"/>
        </w:trPr>
        <w:tc>
          <w:tcPr>
            <w:tcW w:w="1185" w:type="dxa"/>
            <w:vMerge w:val="restart"/>
            <w:textDirection w:val="btLr"/>
          </w:tcPr>
          <w:p w14:paraId="2F24EEBC" w14:textId="77777777" w:rsidR="00540AB9" w:rsidRDefault="00540AB9" w:rsidP="00540AB9">
            <w:pPr>
              <w:spacing w:after="0" w:line="240" w:lineRule="auto"/>
              <w:ind w:left="113" w:right="113"/>
              <w:jc w:val="center"/>
              <w:rPr>
                <w:rFonts w:ascii="Calibri" w:eastAsia="Calibri" w:hAnsi="Calibri" w:cs="Calibri"/>
                <w:b/>
                <w:bCs/>
                <w:lang w:val="en-GB"/>
              </w:rPr>
            </w:pPr>
          </w:p>
          <w:p w14:paraId="582E1FA7" w14:textId="0B33858D" w:rsidR="002B71B1" w:rsidRDefault="418B996B" w:rsidP="00540AB9">
            <w:pPr>
              <w:spacing w:after="0" w:line="240" w:lineRule="auto"/>
              <w:ind w:left="113" w:right="113"/>
              <w:jc w:val="center"/>
              <w:rPr>
                <w:rFonts w:ascii="Calibri" w:eastAsia="Calibri" w:hAnsi="Calibri" w:cs="Calibri"/>
                <w:b/>
                <w:sz w:val="21"/>
                <w:szCs w:val="21"/>
                <w:lang w:val="en-GB"/>
              </w:rPr>
            </w:pPr>
            <w:r w:rsidRPr="701B9583">
              <w:rPr>
                <w:rFonts w:ascii="Calibri" w:eastAsia="Calibri" w:hAnsi="Calibri" w:cs="Calibri"/>
                <w:b/>
                <w:bCs/>
                <w:sz w:val="21"/>
                <w:szCs w:val="21"/>
                <w:lang w:val="en-GB"/>
              </w:rPr>
              <w:t>LIVE</w:t>
            </w:r>
            <w:r w:rsidR="61D30F3B" w:rsidRPr="701B9583">
              <w:rPr>
                <w:rFonts w:ascii="Calibri" w:eastAsia="Calibri" w:hAnsi="Calibri" w:cs="Calibri"/>
                <w:b/>
                <w:bCs/>
                <w:sz w:val="21"/>
                <w:szCs w:val="21"/>
                <w:lang w:val="en-GB"/>
              </w:rPr>
              <w:t>-</w:t>
            </w:r>
            <w:r w:rsidRPr="701B9583">
              <w:rPr>
                <w:rFonts w:ascii="Calibri" w:eastAsia="Calibri" w:hAnsi="Calibri" w:cs="Calibri"/>
                <w:b/>
                <w:bCs/>
                <w:sz w:val="21"/>
                <w:szCs w:val="21"/>
                <w:lang w:val="en-GB"/>
              </w:rPr>
              <w:t>ABILITY</w:t>
            </w:r>
          </w:p>
          <w:p w14:paraId="7C812E85" w14:textId="423BDD9C" w:rsidR="002B71B1" w:rsidRDefault="002B71B1" w:rsidP="00540AB9">
            <w:pPr>
              <w:spacing w:after="0" w:line="240" w:lineRule="auto"/>
              <w:ind w:left="113" w:right="113"/>
              <w:jc w:val="center"/>
            </w:pPr>
          </w:p>
          <w:p w14:paraId="02E290E4" w14:textId="0DB18B9B" w:rsidR="002B71B1" w:rsidRDefault="002B71B1" w:rsidP="00540AB9">
            <w:pPr>
              <w:spacing w:after="0" w:line="240" w:lineRule="auto"/>
              <w:ind w:left="113" w:right="113"/>
              <w:jc w:val="center"/>
            </w:pPr>
          </w:p>
          <w:p w14:paraId="48DD35F2" w14:textId="6F457C4B" w:rsidR="002B71B1" w:rsidRDefault="002B71B1" w:rsidP="00540AB9">
            <w:pPr>
              <w:spacing w:after="0" w:line="240" w:lineRule="auto"/>
              <w:ind w:left="113" w:right="113"/>
              <w:jc w:val="center"/>
            </w:pPr>
          </w:p>
          <w:p w14:paraId="696B6AD1" w14:textId="57BE31EB" w:rsidR="002B71B1" w:rsidRDefault="002B71B1" w:rsidP="00540AB9">
            <w:pPr>
              <w:spacing w:after="0" w:line="240" w:lineRule="auto"/>
              <w:ind w:left="113" w:right="113"/>
              <w:jc w:val="center"/>
            </w:pPr>
          </w:p>
          <w:p w14:paraId="58EDC5F7" w14:textId="368DFB22" w:rsidR="002B71B1" w:rsidRDefault="002B71B1" w:rsidP="00540AB9">
            <w:pPr>
              <w:spacing w:after="0" w:line="240" w:lineRule="auto"/>
              <w:ind w:left="113" w:right="113"/>
              <w:jc w:val="center"/>
            </w:pPr>
          </w:p>
          <w:p w14:paraId="6552739D" w14:textId="7FE81D5E" w:rsidR="002B71B1" w:rsidRDefault="002B71B1" w:rsidP="00540AB9">
            <w:pPr>
              <w:spacing w:after="0" w:line="240" w:lineRule="auto"/>
              <w:ind w:left="113" w:right="113"/>
              <w:jc w:val="center"/>
            </w:pPr>
          </w:p>
        </w:tc>
        <w:tc>
          <w:tcPr>
            <w:tcW w:w="3092" w:type="dxa"/>
          </w:tcPr>
          <w:p w14:paraId="1FC3C3C7" w14:textId="77777777" w:rsidR="007D358B" w:rsidRPr="007D358B" w:rsidRDefault="007D358B" w:rsidP="00326E5E">
            <w:pPr>
              <w:spacing w:after="0" w:line="240" w:lineRule="auto"/>
              <w:rPr>
                <w:rFonts w:asciiTheme="majorHAnsi" w:eastAsia="Calibri" w:hAnsiTheme="majorHAnsi" w:cstheme="majorHAnsi"/>
                <w:sz w:val="8"/>
                <w:szCs w:val="8"/>
                <w:lang w:val="en-GB"/>
              </w:rPr>
            </w:pPr>
          </w:p>
          <w:p w14:paraId="272A4878" w14:textId="72116104" w:rsidR="002B71B1" w:rsidRPr="00C26568" w:rsidRDefault="002B71B1" w:rsidP="00326E5E">
            <w:pPr>
              <w:spacing w:after="0" w:line="240" w:lineRule="auto"/>
              <w:rPr>
                <w:rFonts w:asciiTheme="majorHAnsi" w:hAnsiTheme="majorHAnsi" w:cstheme="majorHAnsi"/>
                <w:sz w:val="21"/>
                <w:szCs w:val="21"/>
              </w:rPr>
            </w:pPr>
            <w:r w:rsidRPr="00C26568">
              <w:rPr>
                <w:rFonts w:asciiTheme="majorHAnsi" w:eastAsia="Calibri" w:hAnsiTheme="majorHAnsi" w:cstheme="majorHAnsi"/>
                <w:sz w:val="21"/>
                <w:szCs w:val="21"/>
                <w:lang w:val="en-GB"/>
              </w:rPr>
              <w:t xml:space="preserve">Citizen engagement and </w:t>
            </w:r>
            <w:r>
              <w:rPr>
                <w:rFonts w:asciiTheme="majorHAnsi" w:eastAsia="Calibri" w:hAnsiTheme="majorHAnsi" w:cstheme="majorHAnsi"/>
                <w:sz w:val="21"/>
                <w:szCs w:val="21"/>
                <w:lang w:val="en-GB"/>
              </w:rPr>
              <w:t xml:space="preserve">community </w:t>
            </w:r>
            <w:r w:rsidRPr="00C26568">
              <w:rPr>
                <w:rFonts w:asciiTheme="majorHAnsi" w:eastAsia="Calibri" w:hAnsiTheme="majorHAnsi" w:cstheme="majorHAnsi"/>
                <w:sz w:val="21"/>
                <w:szCs w:val="21"/>
                <w:lang w:val="en-GB"/>
              </w:rPr>
              <w:t>participation</w:t>
            </w:r>
          </w:p>
        </w:tc>
        <w:tc>
          <w:tcPr>
            <w:tcW w:w="9185" w:type="dxa"/>
          </w:tcPr>
          <w:p w14:paraId="3E1CC234" w14:textId="77777777" w:rsidR="007D358B" w:rsidRPr="007C77C6" w:rsidRDefault="007D358B" w:rsidP="00326E5E">
            <w:pPr>
              <w:spacing w:after="0" w:line="240" w:lineRule="auto"/>
              <w:rPr>
                <w:rFonts w:asciiTheme="majorHAnsi" w:eastAsia="Calibri Light" w:hAnsiTheme="majorHAnsi" w:cstheme="majorHAnsi"/>
                <w:sz w:val="4"/>
                <w:szCs w:val="4"/>
              </w:rPr>
            </w:pPr>
          </w:p>
          <w:p w14:paraId="1C2AF5CB" w14:textId="343A5D5F" w:rsidR="002B71B1"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We Dundee (Scotland)</w:t>
            </w:r>
          </w:p>
          <w:p w14:paraId="7BC00E38" w14:textId="3285A927" w:rsidR="002B71B1" w:rsidRPr="00654EF0"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 xml:space="preserve">We </w:t>
            </w:r>
            <w:r>
              <w:rPr>
                <w:rFonts w:asciiTheme="majorHAnsi" w:eastAsia="Calibri" w:hAnsiTheme="majorHAnsi" w:cstheme="majorHAnsi"/>
                <w:sz w:val="21"/>
                <w:szCs w:val="21"/>
                <w:lang w:val="en-GB"/>
              </w:rPr>
              <w:t>D</w:t>
            </w:r>
            <w:r w:rsidRPr="00C26568">
              <w:rPr>
                <w:rFonts w:asciiTheme="majorHAnsi" w:eastAsia="Calibri" w:hAnsiTheme="majorHAnsi" w:cstheme="majorHAnsi"/>
                <w:sz w:val="21"/>
                <w:szCs w:val="21"/>
                <w:lang w:val="en-GB"/>
              </w:rPr>
              <w:t xml:space="preserve">esign for </w:t>
            </w:r>
            <w:r>
              <w:rPr>
                <w:rFonts w:asciiTheme="majorHAnsi" w:eastAsia="Calibri" w:hAnsiTheme="majorHAnsi" w:cstheme="majorHAnsi"/>
                <w:sz w:val="21"/>
                <w:szCs w:val="21"/>
                <w:lang w:val="en-GB"/>
              </w:rPr>
              <w:t>L</w:t>
            </w:r>
            <w:r w:rsidRPr="00C26568">
              <w:rPr>
                <w:rFonts w:asciiTheme="majorHAnsi" w:eastAsia="Calibri" w:hAnsiTheme="majorHAnsi" w:cstheme="majorHAnsi"/>
                <w:sz w:val="21"/>
                <w:szCs w:val="21"/>
                <w:lang w:val="en-GB"/>
              </w:rPr>
              <w:t>ife (Denmark)</w:t>
            </w:r>
          </w:p>
          <w:p w14:paraId="70C7EB2B" w14:textId="3975F812" w:rsidR="002B71B1"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Pr>
                <w:rFonts w:asciiTheme="majorHAnsi" w:eastAsia="Calibri" w:hAnsiTheme="majorHAnsi" w:cstheme="majorHAnsi"/>
                <w:sz w:val="21"/>
                <w:szCs w:val="21"/>
                <w:lang w:val="en-GB"/>
              </w:rPr>
              <w:t>D</w:t>
            </w:r>
            <w:r w:rsidRPr="00C26568">
              <w:rPr>
                <w:rFonts w:asciiTheme="majorHAnsi" w:eastAsia="Calibri" w:hAnsiTheme="majorHAnsi" w:cstheme="majorHAnsi"/>
                <w:sz w:val="21"/>
                <w:szCs w:val="21"/>
                <w:lang w:val="en-GB"/>
              </w:rPr>
              <w:t xml:space="preserve">igital </w:t>
            </w:r>
            <w:r>
              <w:rPr>
                <w:rFonts w:asciiTheme="majorHAnsi" w:eastAsia="Calibri" w:hAnsiTheme="majorHAnsi" w:cstheme="majorHAnsi"/>
                <w:sz w:val="21"/>
                <w:szCs w:val="21"/>
                <w:lang w:val="en-GB"/>
              </w:rPr>
              <w:t>A</w:t>
            </w:r>
            <w:r w:rsidRPr="00C26568">
              <w:rPr>
                <w:rFonts w:asciiTheme="majorHAnsi" w:eastAsia="Calibri" w:hAnsiTheme="majorHAnsi" w:cstheme="majorHAnsi"/>
                <w:sz w:val="21"/>
                <w:szCs w:val="21"/>
                <w:lang w:val="en-GB"/>
              </w:rPr>
              <w:t xml:space="preserve">ge </w:t>
            </w:r>
            <w:r>
              <w:rPr>
                <w:rFonts w:asciiTheme="majorHAnsi" w:eastAsia="Calibri" w:hAnsiTheme="majorHAnsi" w:cstheme="majorHAnsi"/>
                <w:sz w:val="21"/>
                <w:szCs w:val="21"/>
                <w:lang w:val="en-GB"/>
              </w:rPr>
              <w:t>P</w:t>
            </w:r>
            <w:r w:rsidRPr="00C26568">
              <w:rPr>
                <w:rFonts w:asciiTheme="majorHAnsi" w:eastAsia="Calibri" w:hAnsiTheme="majorHAnsi" w:cstheme="majorHAnsi"/>
                <w:sz w:val="21"/>
                <w:szCs w:val="21"/>
                <w:lang w:val="en-GB"/>
              </w:rPr>
              <w:t>roject (Regional NSW)</w:t>
            </w:r>
          </w:p>
          <w:p w14:paraId="2916028E" w14:textId="228B0C7C" w:rsidR="002B71B1"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Pr>
                <w:rFonts w:asciiTheme="majorHAnsi" w:eastAsia="Calibri" w:hAnsiTheme="majorHAnsi" w:cstheme="majorHAnsi"/>
                <w:sz w:val="21"/>
                <w:szCs w:val="21"/>
                <w:lang w:val="en-GB"/>
              </w:rPr>
              <w:t>Ten Ideas Three Ventures (western metro Melbourne)</w:t>
            </w:r>
          </w:p>
          <w:p w14:paraId="52225D94" w14:textId="77777777" w:rsidR="002B71B1"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Pr>
                <w:rFonts w:asciiTheme="majorHAnsi" w:eastAsia="Calibri" w:hAnsiTheme="majorHAnsi" w:cstheme="majorHAnsi"/>
                <w:sz w:val="21"/>
                <w:szCs w:val="21"/>
                <w:lang w:val="en-GB"/>
              </w:rPr>
              <w:t>Best Babies Zone (“Summer Block Party”, US)</w:t>
            </w:r>
          </w:p>
          <w:p w14:paraId="37242A30" w14:textId="750168E7" w:rsidR="00CC47AD" w:rsidRPr="00CC47AD" w:rsidRDefault="00CC47AD" w:rsidP="00326E5E">
            <w:pPr>
              <w:spacing w:after="0" w:line="240" w:lineRule="auto"/>
              <w:rPr>
                <w:rFonts w:asciiTheme="majorHAnsi" w:hAnsiTheme="majorHAnsi" w:cstheme="majorHAnsi"/>
                <w:sz w:val="8"/>
                <w:szCs w:val="8"/>
              </w:rPr>
            </w:pPr>
          </w:p>
        </w:tc>
      </w:tr>
      <w:tr w:rsidR="002B71B1" w14:paraId="700E348B" w14:textId="77777777" w:rsidTr="701B9583">
        <w:trPr>
          <w:trHeight w:val="637"/>
        </w:trPr>
        <w:tc>
          <w:tcPr>
            <w:tcW w:w="1185" w:type="dxa"/>
            <w:vMerge/>
          </w:tcPr>
          <w:p w14:paraId="3F17F216" w14:textId="6BAD1C47" w:rsidR="002B71B1" w:rsidRDefault="002B71B1" w:rsidP="00326E5E">
            <w:pPr>
              <w:spacing w:after="0" w:line="240" w:lineRule="auto"/>
            </w:pPr>
          </w:p>
        </w:tc>
        <w:tc>
          <w:tcPr>
            <w:tcW w:w="3092" w:type="dxa"/>
          </w:tcPr>
          <w:p w14:paraId="408C7512" w14:textId="77777777" w:rsidR="007D358B" w:rsidRPr="00CC47AD" w:rsidRDefault="007D358B" w:rsidP="00326E5E">
            <w:pPr>
              <w:spacing w:after="0" w:line="240" w:lineRule="auto"/>
              <w:rPr>
                <w:rFonts w:asciiTheme="majorHAnsi" w:eastAsia="Calibri" w:hAnsiTheme="majorHAnsi" w:cstheme="majorHAnsi"/>
                <w:sz w:val="8"/>
                <w:szCs w:val="8"/>
                <w:lang w:val="en-GB"/>
              </w:rPr>
            </w:pPr>
          </w:p>
          <w:p w14:paraId="14AF0FAF" w14:textId="76A42269" w:rsidR="002B71B1" w:rsidRPr="00C26568" w:rsidRDefault="007D358B" w:rsidP="00326E5E">
            <w:pPr>
              <w:spacing w:after="0" w:line="240" w:lineRule="auto"/>
              <w:rPr>
                <w:rFonts w:asciiTheme="majorHAnsi" w:hAnsiTheme="majorHAnsi" w:cstheme="majorHAnsi"/>
                <w:sz w:val="21"/>
                <w:szCs w:val="21"/>
                <w:highlight w:val="yellow"/>
              </w:rPr>
            </w:pPr>
            <w:r>
              <w:rPr>
                <w:rFonts w:asciiTheme="majorHAnsi" w:eastAsia="Calibri" w:hAnsiTheme="majorHAnsi" w:cstheme="majorHAnsi"/>
                <w:sz w:val="21"/>
                <w:szCs w:val="21"/>
                <w:lang w:val="en-GB"/>
              </w:rPr>
              <w:t>Access to c</w:t>
            </w:r>
            <w:r w:rsidR="002B71B1" w:rsidRPr="00293F82">
              <w:rPr>
                <w:rFonts w:asciiTheme="majorHAnsi" w:eastAsia="Calibri" w:hAnsiTheme="majorHAnsi" w:cstheme="majorHAnsi"/>
                <w:sz w:val="21"/>
                <w:szCs w:val="21"/>
                <w:lang w:val="en-GB"/>
              </w:rPr>
              <w:t>reative activities</w:t>
            </w:r>
            <w:r w:rsidR="009F45B8" w:rsidRPr="00293F82">
              <w:rPr>
                <w:rFonts w:asciiTheme="majorHAnsi" w:eastAsia="Calibri" w:hAnsiTheme="majorHAnsi" w:cstheme="majorHAnsi"/>
                <w:sz w:val="21"/>
                <w:szCs w:val="21"/>
                <w:lang w:val="en-GB"/>
              </w:rPr>
              <w:t xml:space="preserve">, </w:t>
            </w:r>
            <w:r>
              <w:rPr>
                <w:rFonts w:asciiTheme="majorHAnsi" w:eastAsia="Calibri" w:hAnsiTheme="majorHAnsi" w:cstheme="majorHAnsi"/>
                <w:sz w:val="21"/>
                <w:szCs w:val="21"/>
                <w:lang w:val="en-GB"/>
              </w:rPr>
              <w:t xml:space="preserve">the </w:t>
            </w:r>
            <w:r w:rsidR="009F45B8" w:rsidRPr="00293F82">
              <w:rPr>
                <w:rFonts w:asciiTheme="majorHAnsi" w:eastAsia="Calibri" w:hAnsiTheme="majorHAnsi" w:cstheme="majorHAnsi"/>
                <w:sz w:val="21"/>
                <w:szCs w:val="21"/>
                <w:lang w:val="en-GB"/>
              </w:rPr>
              <w:t>arts, and</w:t>
            </w:r>
            <w:r w:rsidR="002B71B1" w:rsidRPr="00293F82">
              <w:rPr>
                <w:rFonts w:asciiTheme="majorHAnsi" w:eastAsia="Calibri" w:hAnsiTheme="majorHAnsi" w:cstheme="majorHAnsi"/>
                <w:sz w:val="21"/>
                <w:szCs w:val="21"/>
                <w:lang w:val="en-GB"/>
              </w:rPr>
              <w:t xml:space="preserve"> community events</w:t>
            </w:r>
          </w:p>
        </w:tc>
        <w:tc>
          <w:tcPr>
            <w:tcW w:w="9185" w:type="dxa"/>
          </w:tcPr>
          <w:p w14:paraId="6904568C" w14:textId="77777777" w:rsidR="00CC47AD" w:rsidRPr="007C77C6" w:rsidRDefault="00CC47AD" w:rsidP="00326E5E">
            <w:pPr>
              <w:spacing w:after="0" w:line="240" w:lineRule="auto"/>
              <w:rPr>
                <w:rFonts w:asciiTheme="majorHAnsi" w:eastAsia="Calibri Light" w:hAnsiTheme="majorHAnsi" w:cstheme="majorHAnsi"/>
                <w:sz w:val="4"/>
                <w:szCs w:val="4"/>
              </w:rPr>
            </w:pPr>
          </w:p>
          <w:p w14:paraId="68CE9A28" w14:textId="0B6CD3C1" w:rsidR="002B71B1" w:rsidRDefault="002B71B1"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050CE2">
              <w:rPr>
                <w:rFonts w:asciiTheme="majorHAnsi" w:hAnsiTheme="majorHAnsi" w:cstheme="majorHAnsi"/>
                <w:sz w:val="21"/>
                <w:szCs w:val="21"/>
              </w:rPr>
              <w:t>Shutterbugs + I Heart Maryborough</w:t>
            </w:r>
            <w:r>
              <w:rPr>
                <w:rFonts w:asciiTheme="majorHAnsi" w:hAnsiTheme="majorHAnsi" w:cstheme="majorHAnsi"/>
                <w:sz w:val="21"/>
                <w:szCs w:val="21"/>
              </w:rPr>
              <w:t xml:space="preserve"> (community photography, </w:t>
            </w:r>
            <w:r w:rsidRPr="00050CE2">
              <w:rPr>
                <w:rFonts w:asciiTheme="majorHAnsi" w:hAnsiTheme="majorHAnsi" w:cstheme="majorHAnsi"/>
                <w:sz w:val="21"/>
                <w:szCs w:val="21"/>
              </w:rPr>
              <w:t>VIC</w:t>
            </w:r>
            <w:r>
              <w:rPr>
                <w:rFonts w:asciiTheme="majorHAnsi" w:hAnsiTheme="majorHAnsi" w:cstheme="majorHAnsi"/>
                <w:sz w:val="21"/>
                <w:szCs w:val="21"/>
              </w:rPr>
              <w:t>)</w:t>
            </w:r>
          </w:p>
          <w:p w14:paraId="52FE9D1B" w14:textId="100A7023" w:rsidR="002B71B1" w:rsidRDefault="002B71B1" w:rsidP="00326E5E">
            <w:pPr>
              <w:spacing w:after="0" w:line="240" w:lineRule="auto"/>
              <w:rPr>
                <w:rFonts w:asciiTheme="majorHAnsi" w:eastAsia="Calibri Light"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4E30D5">
              <w:rPr>
                <w:rFonts w:asciiTheme="majorHAnsi" w:hAnsiTheme="majorHAnsi" w:cstheme="majorHAnsi"/>
                <w:sz w:val="21"/>
                <w:szCs w:val="21"/>
              </w:rPr>
              <w:t>Broomhill Project</w:t>
            </w:r>
            <w:r>
              <w:rPr>
                <w:rFonts w:asciiTheme="majorHAnsi" w:hAnsiTheme="majorHAnsi" w:cstheme="majorHAnsi"/>
                <w:sz w:val="21"/>
                <w:szCs w:val="21"/>
              </w:rPr>
              <w:t xml:space="preserve"> (“</w:t>
            </w:r>
            <w:r w:rsidRPr="004E30D5">
              <w:rPr>
                <w:rFonts w:asciiTheme="majorHAnsi" w:hAnsiTheme="majorHAnsi" w:cstheme="majorHAnsi"/>
                <w:sz w:val="21"/>
                <w:szCs w:val="21"/>
              </w:rPr>
              <w:t>Broomhill Art Flat</w:t>
            </w:r>
            <w:r>
              <w:rPr>
                <w:rFonts w:asciiTheme="majorHAnsi" w:hAnsiTheme="majorHAnsi" w:cstheme="majorHAnsi"/>
                <w:sz w:val="21"/>
                <w:szCs w:val="21"/>
              </w:rPr>
              <w:t>”</w:t>
            </w:r>
            <w:r w:rsidRPr="004E30D5">
              <w:rPr>
                <w:rFonts w:asciiTheme="majorHAnsi" w:hAnsiTheme="majorHAnsi" w:cstheme="majorHAnsi"/>
                <w:sz w:val="21"/>
                <w:szCs w:val="21"/>
              </w:rPr>
              <w:t xml:space="preserve">, </w:t>
            </w:r>
            <w:r>
              <w:rPr>
                <w:rFonts w:asciiTheme="majorHAnsi" w:hAnsiTheme="majorHAnsi" w:cstheme="majorHAnsi"/>
                <w:sz w:val="21"/>
                <w:szCs w:val="21"/>
              </w:rPr>
              <w:t>UK)</w:t>
            </w:r>
          </w:p>
          <w:p w14:paraId="58745D99" w14:textId="36985E3C" w:rsidR="002B71B1"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 xml:space="preserve">Festival of </w:t>
            </w:r>
            <w:r>
              <w:rPr>
                <w:rFonts w:asciiTheme="majorHAnsi" w:eastAsia="Calibri" w:hAnsiTheme="majorHAnsi" w:cstheme="majorHAnsi"/>
                <w:sz w:val="21"/>
                <w:szCs w:val="21"/>
                <w:lang w:val="en-GB"/>
              </w:rPr>
              <w:t>N</w:t>
            </w:r>
            <w:r w:rsidRPr="00C26568">
              <w:rPr>
                <w:rFonts w:asciiTheme="majorHAnsi" w:eastAsia="Calibri" w:hAnsiTheme="majorHAnsi" w:cstheme="majorHAnsi"/>
                <w:sz w:val="21"/>
                <w:szCs w:val="21"/>
                <w:lang w:val="en-GB"/>
              </w:rPr>
              <w:t>eighbourhoods (Canada)</w:t>
            </w:r>
          </w:p>
          <w:p w14:paraId="1A42A720" w14:textId="37DDABAB" w:rsidR="002B71B1"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874044">
              <w:rPr>
                <w:rFonts w:asciiTheme="majorHAnsi" w:eastAsia="Calibri" w:hAnsiTheme="majorHAnsi" w:cstheme="majorHAnsi"/>
                <w:sz w:val="21"/>
                <w:szCs w:val="21"/>
                <w:lang w:val="en-GB"/>
              </w:rPr>
              <w:t xml:space="preserve">TBA North </w:t>
            </w:r>
            <w:r>
              <w:rPr>
                <w:rFonts w:asciiTheme="majorHAnsi" w:eastAsia="Calibri" w:hAnsiTheme="majorHAnsi" w:cstheme="majorHAnsi"/>
                <w:sz w:val="21"/>
                <w:szCs w:val="21"/>
                <w:lang w:val="en-GB"/>
              </w:rPr>
              <w:t>(“</w:t>
            </w:r>
            <w:r w:rsidRPr="00874044">
              <w:rPr>
                <w:rFonts w:asciiTheme="majorHAnsi" w:eastAsia="Calibri" w:hAnsiTheme="majorHAnsi" w:cstheme="majorHAnsi"/>
                <w:sz w:val="21"/>
                <w:szCs w:val="21"/>
                <w:lang w:val="en-GB"/>
              </w:rPr>
              <w:t>Children’s Choir</w:t>
            </w:r>
            <w:r>
              <w:rPr>
                <w:rFonts w:asciiTheme="majorHAnsi" w:eastAsia="Calibri" w:hAnsiTheme="majorHAnsi" w:cstheme="majorHAnsi"/>
                <w:sz w:val="21"/>
                <w:szCs w:val="21"/>
                <w:lang w:val="en-GB"/>
              </w:rPr>
              <w:t>”</w:t>
            </w:r>
            <w:r w:rsidRPr="00874044">
              <w:rPr>
                <w:rFonts w:asciiTheme="majorHAnsi" w:eastAsia="Calibri" w:hAnsiTheme="majorHAnsi" w:cstheme="majorHAnsi"/>
                <w:sz w:val="21"/>
                <w:szCs w:val="21"/>
                <w:lang w:val="en-GB"/>
              </w:rPr>
              <w:t>, Geelong</w:t>
            </w:r>
            <w:r>
              <w:rPr>
                <w:rFonts w:asciiTheme="majorHAnsi" w:eastAsia="Calibri" w:hAnsiTheme="majorHAnsi" w:cstheme="majorHAnsi"/>
                <w:sz w:val="21"/>
                <w:szCs w:val="21"/>
                <w:lang w:val="en-GB"/>
              </w:rPr>
              <w:t>)</w:t>
            </w:r>
          </w:p>
          <w:p w14:paraId="47663597" w14:textId="50A34063" w:rsidR="002B71B1" w:rsidRDefault="00C82F35"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sidR="002B71B1" w:rsidRPr="00874044">
              <w:rPr>
                <w:rFonts w:asciiTheme="majorHAnsi" w:eastAsia="Calibri" w:hAnsiTheme="majorHAnsi" w:cstheme="majorHAnsi"/>
                <w:sz w:val="21"/>
                <w:szCs w:val="21"/>
                <w:lang w:val="en-GB"/>
              </w:rPr>
              <w:t xml:space="preserve"> Ten Ideas Three Ventures</w:t>
            </w:r>
            <w:r w:rsidR="002B71B1">
              <w:rPr>
                <w:rFonts w:asciiTheme="majorHAnsi" w:eastAsia="Calibri" w:hAnsiTheme="majorHAnsi" w:cstheme="majorHAnsi"/>
                <w:sz w:val="21"/>
                <w:szCs w:val="21"/>
                <w:lang w:val="en-GB"/>
              </w:rPr>
              <w:t xml:space="preserve"> (“Culture Party”, </w:t>
            </w:r>
            <w:r w:rsidR="002B71B1" w:rsidRPr="00874044">
              <w:rPr>
                <w:rFonts w:asciiTheme="majorHAnsi" w:eastAsia="Calibri" w:hAnsiTheme="majorHAnsi" w:cstheme="majorHAnsi"/>
                <w:sz w:val="21"/>
                <w:szCs w:val="21"/>
                <w:lang w:val="en-GB"/>
              </w:rPr>
              <w:t xml:space="preserve">western </w:t>
            </w:r>
            <w:r w:rsidR="002B71B1">
              <w:rPr>
                <w:rFonts w:asciiTheme="majorHAnsi" w:eastAsia="Calibri" w:hAnsiTheme="majorHAnsi" w:cstheme="majorHAnsi"/>
                <w:sz w:val="21"/>
                <w:szCs w:val="21"/>
                <w:lang w:val="en-GB"/>
              </w:rPr>
              <w:t>metro Melbourne)</w:t>
            </w:r>
          </w:p>
          <w:p w14:paraId="3A2AFF6D" w14:textId="16BF516A" w:rsidR="002B71B1" w:rsidRDefault="0009029A"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2B71B1" w:rsidRPr="00874044">
              <w:rPr>
                <w:rFonts w:asciiTheme="majorHAnsi" w:eastAsia="Calibri" w:hAnsiTheme="majorHAnsi" w:cstheme="majorHAnsi"/>
                <w:sz w:val="21"/>
                <w:szCs w:val="21"/>
                <w:lang w:val="en-GB"/>
              </w:rPr>
              <w:t>The Skip Garden and Kitchen + Story Garden</w:t>
            </w:r>
            <w:r w:rsidR="002B71B1">
              <w:rPr>
                <w:rFonts w:asciiTheme="majorHAnsi" w:eastAsia="Calibri" w:hAnsiTheme="majorHAnsi" w:cstheme="majorHAnsi"/>
                <w:sz w:val="21"/>
                <w:szCs w:val="21"/>
                <w:lang w:val="en-GB"/>
              </w:rPr>
              <w:t xml:space="preserve"> (“</w:t>
            </w:r>
            <w:r w:rsidR="002B71B1" w:rsidRPr="00874044">
              <w:rPr>
                <w:rFonts w:asciiTheme="majorHAnsi" w:eastAsia="Calibri" w:hAnsiTheme="majorHAnsi" w:cstheme="majorHAnsi"/>
                <w:sz w:val="21"/>
                <w:szCs w:val="21"/>
                <w:lang w:val="en-GB"/>
              </w:rPr>
              <w:t>MAKE Workshops</w:t>
            </w:r>
            <w:r w:rsidR="002B71B1">
              <w:rPr>
                <w:rFonts w:asciiTheme="majorHAnsi" w:eastAsia="Calibri" w:hAnsiTheme="majorHAnsi" w:cstheme="majorHAnsi"/>
                <w:sz w:val="21"/>
                <w:szCs w:val="21"/>
                <w:lang w:val="en-GB"/>
              </w:rPr>
              <w:t>”, UK)</w:t>
            </w:r>
          </w:p>
          <w:p w14:paraId="7BE0E05A" w14:textId="77777777" w:rsidR="009F45B8" w:rsidRDefault="00185F7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Pr>
                <w:rFonts w:asciiTheme="majorHAnsi" w:eastAsia="Calibri" w:hAnsiTheme="majorHAnsi" w:cstheme="majorHAnsi"/>
                <w:sz w:val="21"/>
                <w:szCs w:val="21"/>
                <w:lang w:val="en-GB"/>
              </w:rPr>
              <w:t>Best Babies Zone (“Community Market”, US)</w:t>
            </w:r>
          </w:p>
          <w:p w14:paraId="508C8F25" w14:textId="77777777" w:rsidR="00C82F35" w:rsidRDefault="00C82F35"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My Community Matters (</w:t>
            </w:r>
            <w:r>
              <w:rPr>
                <w:rFonts w:asciiTheme="majorHAnsi" w:eastAsia="Calibri" w:hAnsiTheme="majorHAnsi" w:cstheme="majorHAnsi"/>
                <w:sz w:val="21"/>
                <w:szCs w:val="21"/>
                <w:lang w:val="en-GB"/>
              </w:rPr>
              <w:t xml:space="preserve">“Workshops”, </w:t>
            </w:r>
            <w:r w:rsidRPr="00C26568">
              <w:rPr>
                <w:rFonts w:asciiTheme="majorHAnsi" w:eastAsia="Calibri" w:hAnsiTheme="majorHAnsi" w:cstheme="majorHAnsi"/>
                <w:sz w:val="21"/>
                <w:szCs w:val="21"/>
                <w:lang w:val="en-GB"/>
              </w:rPr>
              <w:t>UK)</w:t>
            </w:r>
          </w:p>
          <w:p w14:paraId="1AF97BC7" w14:textId="667924FB" w:rsidR="00CC47AD" w:rsidRPr="00CC47AD" w:rsidRDefault="00CC47AD" w:rsidP="00326E5E">
            <w:pPr>
              <w:spacing w:after="0" w:line="240" w:lineRule="auto"/>
              <w:rPr>
                <w:rFonts w:asciiTheme="majorHAnsi" w:eastAsia="Calibri" w:hAnsiTheme="majorHAnsi" w:cstheme="majorHAnsi"/>
                <w:sz w:val="8"/>
                <w:szCs w:val="8"/>
                <w:lang w:val="en-GB"/>
              </w:rPr>
            </w:pPr>
          </w:p>
        </w:tc>
      </w:tr>
      <w:tr w:rsidR="002B71B1" w14:paraId="11617DFD" w14:textId="77777777" w:rsidTr="701B9583">
        <w:trPr>
          <w:trHeight w:val="400"/>
        </w:trPr>
        <w:tc>
          <w:tcPr>
            <w:tcW w:w="1185" w:type="dxa"/>
            <w:vMerge/>
          </w:tcPr>
          <w:p w14:paraId="04896CC3" w14:textId="6C4A64B3" w:rsidR="002B71B1" w:rsidRDefault="002B71B1" w:rsidP="00326E5E">
            <w:pPr>
              <w:spacing w:after="0" w:line="240" w:lineRule="auto"/>
            </w:pPr>
          </w:p>
        </w:tc>
        <w:tc>
          <w:tcPr>
            <w:tcW w:w="3092" w:type="dxa"/>
          </w:tcPr>
          <w:p w14:paraId="5F6BE292" w14:textId="77777777" w:rsidR="00CC47AD" w:rsidRPr="00CC47AD" w:rsidRDefault="00CC47AD" w:rsidP="00326E5E">
            <w:pPr>
              <w:spacing w:after="0" w:line="240" w:lineRule="auto"/>
              <w:rPr>
                <w:rFonts w:asciiTheme="majorHAnsi" w:eastAsia="Calibri" w:hAnsiTheme="majorHAnsi" w:cstheme="majorHAnsi"/>
                <w:sz w:val="8"/>
                <w:szCs w:val="8"/>
                <w:lang w:val="en-GB"/>
              </w:rPr>
            </w:pPr>
          </w:p>
          <w:p w14:paraId="271E2698" w14:textId="3B5C4FBD" w:rsidR="002B71B1" w:rsidRPr="00C26568" w:rsidRDefault="002B71B1" w:rsidP="00326E5E">
            <w:pPr>
              <w:spacing w:after="0" w:line="240" w:lineRule="auto"/>
              <w:rPr>
                <w:rFonts w:asciiTheme="majorHAnsi" w:hAnsiTheme="majorHAnsi" w:cstheme="majorHAnsi"/>
                <w:sz w:val="21"/>
                <w:szCs w:val="21"/>
              </w:rPr>
            </w:pPr>
            <w:r>
              <w:rPr>
                <w:rFonts w:asciiTheme="majorHAnsi" w:eastAsia="Calibri" w:hAnsiTheme="majorHAnsi" w:cstheme="majorHAnsi"/>
                <w:sz w:val="21"/>
                <w:szCs w:val="21"/>
                <w:lang w:val="en-GB"/>
              </w:rPr>
              <w:t>Mobility, walkability, and neighbourhood safety</w:t>
            </w:r>
          </w:p>
        </w:tc>
        <w:tc>
          <w:tcPr>
            <w:tcW w:w="9185" w:type="dxa"/>
          </w:tcPr>
          <w:p w14:paraId="4F4F7DE4" w14:textId="77777777" w:rsidR="00CC47AD" w:rsidRPr="007C77C6" w:rsidRDefault="00CC47AD" w:rsidP="00326E5E">
            <w:pPr>
              <w:spacing w:after="0" w:line="240" w:lineRule="auto"/>
              <w:rPr>
                <w:rFonts w:asciiTheme="majorHAnsi" w:eastAsia="Calibri Light" w:hAnsiTheme="majorHAnsi" w:cstheme="majorHAnsi"/>
                <w:sz w:val="4"/>
                <w:szCs w:val="4"/>
              </w:rPr>
            </w:pPr>
          </w:p>
          <w:p w14:paraId="7F96B4DA" w14:textId="48DFDDDF" w:rsidR="002B71B1"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Streets Ahead</w:t>
            </w:r>
            <w:r>
              <w:rPr>
                <w:rFonts w:asciiTheme="majorHAnsi" w:eastAsia="Calibri" w:hAnsiTheme="majorHAnsi" w:cstheme="majorHAnsi"/>
                <w:sz w:val="21"/>
                <w:szCs w:val="21"/>
                <w:lang w:val="en-GB"/>
              </w:rPr>
              <w:t xml:space="preserve"> (Victoria)</w:t>
            </w:r>
          </w:p>
          <w:p w14:paraId="2D0CA569" w14:textId="1D5171EC" w:rsidR="002B71B1" w:rsidRDefault="002B71B1"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50638D">
              <w:rPr>
                <w:rFonts w:asciiTheme="majorHAnsi" w:hAnsiTheme="majorHAnsi" w:cstheme="majorHAnsi"/>
                <w:sz w:val="21"/>
                <w:szCs w:val="21"/>
              </w:rPr>
              <w:t>Afghan Youth Girls Bike Skills Workshops</w:t>
            </w:r>
            <w:r>
              <w:rPr>
                <w:rFonts w:asciiTheme="majorHAnsi" w:hAnsiTheme="majorHAnsi" w:cstheme="majorHAnsi"/>
                <w:sz w:val="21"/>
                <w:szCs w:val="21"/>
              </w:rPr>
              <w:t xml:space="preserve"> (Bendigo)</w:t>
            </w:r>
          </w:p>
          <w:p w14:paraId="6DBC95AB" w14:textId="77777777" w:rsidR="00CC47AD"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Detroit City of Design</w:t>
            </w:r>
            <w:r>
              <w:rPr>
                <w:rFonts w:asciiTheme="majorHAnsi" w:eastAsia="Calibri" w:hAnsiTheme="majorHAnsi" w:cstheme="majorHAnsi"/>
                <w:sz w:val="21"/>
                <w:szCs w:val="21"/>
                <w:lang w:val="en-GB"/>
              </w:rPr>
              <w:t xml:space="preserve"> Contest</w:t>
            </w:r>
            <w:r w:rsidR="00C82F35">
              <w:rPr>
                <w:rFonts w:asciiTheme="majorHAnsi" w:eastAsia="Calibri" w:hAnsiTheme="majorHAnsi" w:cstheme="majorHAnsi"/>
                <w:sz w:val="21"/>
                <w:szCs w:val="21"/>
                <w:lang w:val="en-GB"/>
              </w:rPr>
              <w:t xml:space="preserve"> (“</w:t>
            </w:r>
            <w:r w:rsidRPr="00C26568">
              <w:rPr>
                <w:rFonts w:asciiTheme="majorHAnsi" w:eastAsia="Calibri" w:hAnsiTheme="majorHAnsi" w:cstheme="majorHAnsi"/>
                <w:sz w:val="21"/>
                <w:szCs w:val="21"/>
                <w:lang w:val="en-GB"/>
              </w:rPr>
              <w:t xml:space="preserve">Safe and </w:t>
            </w:r>
            <w:r w:rsidR="00C82F35">
              <w:rPr>
                <w:rFonts w:asciiTheme="majorHAnsi" w:eastAsia="Calibri" w:hAnsiTheme="majorHAnsi" w:cstheme="majorHAnsi"/>
                <w:sz w:val="21"/>
                <w:szCs w:val="21"/>
                <w:lang w:val="en-GB"/>
              </w:rPr>
              <w:t>W</w:t>
            </w:r>
            <w:r w:rsidRPr="00C26568">
              <w:rPr>
                <w:rFonts w:asciiTheme="majorHAnsi" w:eastAsia="Calibri" w:hAnsiTheme="majorHAnsi" w:cstheme="majorHAnsi"/>
                <w:sz w:val="21"/>
                <w:szCs w:val="21"/>
                <w:lang w:val="en-GB"/>
              </w:rPr>
              <w:t>alkable</w:t>
            </w:r>
          </w:p>
          <w:p w14:paraId="76D22082" w14:textId="4F5457ED" w:rsidR="002B71B1" w:rsidRDefault="00CC47AD" w:rsidP="00326E5E">
            <w:pPr>
              <w:spacing w:after="0" w:line="240" w:lineRule="auto"/>
              <w:rPr>
                <w:rFonts w:asciiTheme="majorHAnsi" w:eastAsia="Calibri" w:hAnsiTheme="majorHAnsi" w:cstheme="majorHAnsi"/>
                <w:sz w:val="21"/>
                <w:szCs w:val="21"/>
                <w:lang w:val="en-GB"/>
              </w:rPr>
            </w:pPr>
            <w:r>
              <w:rPr>
                <w:rFonts w:asciiTheme="majorHAnsi" w:eastAsia="Calibri" w:hAnsiTheme="majorHAnsi" w:cstheme="majorHAnsi"/>
                <w:sz w:val="21"/>
                <w:szCs w:val="21"/>
                <w:lang w:val="en-GB"/>
              </w:rPr>
              <w:t xml:space="preserve">   </w:t>
            </w:r>
            <w:r w:rsidR="00C82F35">
              <w:rPr>
                <w:rFonts w:asciiTheme="majorHAnsi" w:eastAsia="Calibri" w:hAnsiTheme="majorHAnsi" w:cstheme="majorHAnsi"/>
                <w:sz w:val="21"/>
                <w:szCs w:val="21"/>
                <w:lang w:val="en-GB"/>
              </w:rPr>
              <w:t>N</w:t>
            </w:r>
            <w:r w:rsidR="002B71B1" w:rsidRPr="00C26568">
              <w:rPr>
                <w:rFonts w:asciiTheme="majorHAnsi" w:eastAsia="Calibri" w:hAnsiTheme="majorHAnsi" w:cstheme="majorHAnsi"/>
                <w:sz w:val="21"/>
                <w:szCs w:val="21"/>
                <w:lang w:val="en-GB"/>
              </w:rPr>
              <w:t>eighbourhoods</w:t>
            </w:r>
            <w:r w:rsidR="00C82F35">
              <w:rPr>
                <w:rFonts w:asciiTheme="majorHAnsi" w:eastAsia="Calibri" w:hAnsiTheme="majorHAnsi" w:cstheme="majorHAnsi"/>
                <w:sz w:val="21"/>
                <w:szCs w:val="21"/>
                <w:lang w:val="en-GB"/>
              </w:rPr>
              <w:t>”,</w:t>
            </w:r>
            <w:r w:rsidR="00673AD6">
              <w:rPr>
                <w:rFonts w:asciiTheme="majorHAnsi" w:eastAsia="Calibri" w:hAnsiTheme="majorHAnsi" w:cstheme="majorHAnsi"/>
                <w:sz w:val="21"/>
                <w:szCs w:val="21"/>
                <w:lang w:val="en-GB"/>
              </w:rPr>
              <w:t xml:space="preserve"> “</w:t>
            </w:r>
            <w:r w:rsidR="00203685">
              <w:rPr>
                <w:rFonts w:asciiTheme="majorHAnsi" w:eastAsia="Calibri" w:hAnsiTheme="majorHAnsi" w:cstheme="majorHAnsi"/>
                <w:sz w:val="21"/>
                <w:szCs w:val="21"/>
                <w:lang w:val="en-GB"/>
              </w:rPr>
              <w:t>Prototypes</w:t>
            </w:r>
            <w:r w:rsidR="00673AD6">
              <w:rPr>
                <w:rFonts w:asciiTheme="majorHAnsi" w:eastAsia="Calibri" w:hAnsiTheme="majorHAnsi" w:cstheme="majorHAnsi"/>
                <w:sz w:val="21"/>
                <w:szCs w:val="21"/>
                <w:lang w:val="en-GB"/>
              </w:rPr>
              <w:t>”,</w:t>
            </w:r>
            <w:r w:rsidR="00C82F35">
              <w:rPr>
                <w:rFonts w:asciiTheme="majorHAnsi" w:eastAsia="Calibri" w:hAnsiTheme="majorHAnsi" w:cstheme="majorHAnsi"/>
                <w:sz w:val="21"/>
                <w:szCs w:val="21"/>
                <w:lang w:val="en-GB"/>
              </w:rPr>
              <w:t xml:space="preserve"> US)</w:t>
            </w:r>
          </w:p>
          <w:p w14:paraId="40D9D3C9" w14:textId="77777777" w:rsidR="002B71B1" w:rsidRDefault="002B71B1"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796425">
              <w:rPr>
                <w:rFonts w:asciiTheme="majorHAnsi" w:hAnsiTheme="majorHAnsi" w:cstheme="majorHAnsi"/>
                <w:sz w:val="21"/>
                <w:szCs w:val="21"/>
              </w:rPr>
              <w:t>Best Babies Zone</w:t>
            </w:r>
            <w:r>
              <w:rPr>
                <w:rFonts w:asciiTheme="majorHAnsi" w:hAnsiTheme="majorHAnsi" w:cstheme="majorHAnsi"/>
                <w:sz w:val="21"/>
                <w:szCs w:val="21"/>
              </w:rPr>
              <w:t xml:space="preserve"> </w:t>
            </w:r>
            <w:r>
              <w:rPr>
                <w:rFonts w:asciiTheme="majorHAnsi" w:eastAsia="Calibri" w:hAnsiTheme="majorHAnsi" w:cstheme="majorHAnsi"/>
                <w:sz w:val="21"/>
                <w:szCs w:val="21"/>
                <w:lang w:val="en-GB"/>
              </w:rPr>
              <w:t>(“</w:t>
            </w:r>
            <w:r w:rsidRPr="005D3EF6">
              <w:rPr>
                <w:rFonts w:asciiTheme="majorHAnsi" w:eastAsia="Calibri" w:hAnsiTheme="majorHAnsi" w:cstheme="majorHAnsi"/>
                <w:sz w:val="21"/>
                <w:szCs w:val="21"/>
                <w:lang w:val="en-GB"/>
              </w:rPr>
              <w:t>East Oakland Innovators</w:t>
            </w:r>
            <w:r>
              <w:rPr>
                <w:rFonts w:asciiTheme="majorHAnsi" w:eastAsia="Calibri" w:hAnsiTheme="majorHAnsi" w:cstheme="majorHAnsi"/>
                <w:sz w:val="21"/>
                <w:szCs w:val="21"/>
                <w:lang w:val="en-GB"/>
              </w:rPr>
              <w:t xml:space="preserve">”, </w:t>
            </w:r>
            <w:r>
              <w:rPr>
                <w:rFonts w:asciiTheme="majorHAnsi" w:hAnsiTheme="majorHAnsi" w:cstheme="majorHAnsi"/>
                <w:sz w:val="21"/>
                <w:szCs w:val="21"/>
              </w:rPr>
              <w:t>US)</w:t>
            </w:r>
          </w:p>
          <w:p w14:paraId="4ABB6012" w14:textId="244687F0" w:rsidR="000E7823" w:rsidRPr="000E7823" w:rsidRDefault="000E7823" w:rsidP="00326E5E">
            <w:pPr>
              <w:spacing w:after="0" w:line="240" w:lineRule="auto"/>
              <w:rPr>
                <w:rFonts w:asciiTheme="majorHAnsi" w:hAnsiTheme="majorHAnsi" w:cstheme="majorHAnsi"/>
                <w:sz w:val="8"/>
                <w:szCs w:val="8"/>
              </w:rPr>
            </w:pPr>
          </w:p>
        </w:tc>
      </w:tr>
      <w:tr w:rsidR="002B71B1" w14:paraId="6DBE849A" w14:textId="77777777" w:rsidTr="701B9583">
        <w:trPr>
          <w:trHeight w:val="400"/>
        </w:trPr>
        <w:tc>
          <w:tcPr>
            <w:tcW w:w="1185" w:type="dxa"/>
            <w:vMerge/>
          </w:tcPr>
          <w:p w14:paraId="642B1884" w14:textId="7F0446D2" w:rsidR="002B71B1" w:rsidRDefault="002B71B1" w:rsidP="00326E5E">
            <w:pPr>
              <w:spacing w:after="0" w:line="240" w:lineRule="auto"/>
            </w:pPr>
          </w:p>
        </w:tc>
        <w:tc>
          <w:tcPr>
            <w:tcW w:w="3092" w:type="dxa"/>
          </w:tcPr>
          <w:p w14:paraId="64587657" w14:textId="256130B3" w:rsidR="002B71B1" w:rsidRPr="00C26568" w:rsidRDefault="002B71B1" w:rsidP="00326E5E">
            <w:pPr>
              <w:spacing w:after="0" w:line="240" w:lineRule="auto"/>
              <w:rPr>
                <w:rFonts w:asciiTheme="majorHAnsi" w:hAnsiTheme="majorHAnsi" w:cstheme="majorHAnsi"/>
                <w:sz w:val="21"/>
                <w:szCs w:val="21"/>
              </w:rPr>
            </w:pPr>
            <w:r>
              <w:rPr>
                <w:rFonts w:asciiTheme="majorHAnsi" w:eastAsia="Calibri" w:hAnsiTheme="majorHAnsi" w:cstheme="majorHAnsi"/>
                <w:sz w:val="21"/>
                <w:szCs w:val="21"/>
                <w:lang w:val="en-GB"/>
              </w:rPr>
              <w:t>Social connection</w:t>
            </w:r>
          </w:p>
        </w:tc>
        <w:tc>
          <w:tcPr>
            <w:tcW w:w="9185" w:type="dxa"/>
          </w:tcPr>
          <w:p w14:paraId="16B0846D" w14:textId="486200B6" w:rsidR="002B71B1" w:rsidRDefault="002B71B1"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5B3B63">
              <w:rPr>
                <w:rFonts w:asciiTheme="majorHAnsi" w:hAnsiTheme="majorHAnsi" w:cstheme="majorHAnsi"/>
                <w:sz w:val="21"/>
                <w:szCs w:val="21"/>
              </w:rPr>
              <w:t>Festival of Neighbourhoods</w:t>
            </w:r>
            <w:r>
              <w:rPr>
                <w:rFonts w:asciiTheme="majorHAnsi" w:hAnsiTheme="majorHAnsi" w:cstheme="majorHAnsi"/>
                <w:sz w:val="21"/>
                <w:szCs w:val="21"/>
              </w:rPr>
              <w:t xml:space="preserve"> (</w:t>
            </w:r>
            <w:r w:rsidRPr="005B3B63">
              <w:rPr>
                <w:rFonts w:asciiTheme="majorHAnsi" w:hAnsiTheme="majorHAnsi" w:cstheme="majorHAnsi"/>
                <w:sz w:val="21"/>
                <w:szCs w:val="21"/>
              </w:rPr>
              <w:t>Canada</w:t>
            </w:r>
            <w:r>
              <w:rPr>
                <w:rFonts w:asciiTheme="majorHAnsi" w:hAnsiTheme="majorHAnsi" w:cstheme="majorHAnsi"/>
                <w:sz w:val="21"/>
                <w:szCs w:val="21"/>
              </w:rPr>
              <w:t>)</w:t>
            </w:r>
          </w:p>
          <w:p w14:paraId="395AADD3" w14:textId="5DBF060E" w:rsidR="002B71B1"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Pr>
                <w:rFonts w:asciiTheme="majorHAnsi" w:eastAsia="Calibri" w:hAnsiTheme="majorHAnsi" w:cstheme="majorHAnsi"/>
                <w:sz w:val="21"/>
                <w:szCs w:val="21"/>
                <w:lang w:val="en-GB"/>
              </w:rPr>
              <w:t>D</w:t>
            </w:r>
            <w:r w:rsidRPr="00C26568">
              <w:rPr>
                <w:rFonts w:asciiTheme="majorHAnsi" w:eastAsia="Calibri" w:hAnsiTheme="majorHAnsi" w:cstheme="majorHAnsi"/>
                <w:sz w:val="21"/>
                <w:szCs w:val="21"/>
                <w:lang w:val="en-GB"/>
              </w:rPr>
              <w:t xml:space="preserve">igital </w:t>
            </w:r>
            <w:r>
              <w:rPr>
                <w:rFonts w:asciiTheme="majorHAnsi" w:eastAsia="Calibri" w:hAnsiTheme="majorHAnsi" w:cstheme="majorHAnsi"/>
                <w:sz w:val="21"/>
                <w:szCs w:val="21"/>
                <w:lang w:val="en-GB"/>
              </w:rPr>
              <w:t>A</w:t>
            </w:r>
            <w:r w:rsidRPr="00C26568">
              <w:rPr>
                <w:rFonts w:asciiTheme="majorHAnsi" w:eastAsia="Calibri" w:hAnsiTheme="majorHAnsi" w:cstheme="majorHAnsi"/>
                <w:sz w:val="21"/>
                <w:szCs w:val="21"/>
                <w:lang w:val="en-GB"/>
              </w:rPr>
              <w:t xml:space="preserve">ge </w:t>
            </w:r>
            <w:r>
              <w:rPr>
                <w:rFonts w:asciiTheme="majorHAnsi" w:eastAsia="Calibri" w:hAnsiTheme="majorHAnsi" w:cstheme="majorHAnsi"/>
                <w:sz w:val="21"/>
                <w:szCs w:val="21"/>
                <w:lang w:val="en-GB"/>
              </w:rPr>
              <w:t>P</w:t>
            </w:r>
            <w:r w:rsidRPr="00C26568">
              <w:rPr>
                <w:rFonts w:asciiTheme="majorHAnsi" w:eastAsia="Calibri" w:hAnsiTheme="majorHAnsi" w:cstheme="majorHAnsi"/>
                <w:sz w:val="21"/>
                <w:szCs w:val="21"/>
                <w:lang w:val="en-GB"/>
              </w:rPr>
              <w:t>roject (Regional NSW)</w:t>
            </w:r>
          </w:p>
          <w:p w14:paraId="21EAF5F9" w14:textId="1AFD9AF0" w:rsidR="002B71B1" w:rsidRDefault="002B71B1" w:rsidP="00774523">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50638D">
              <w:rPr>
                <w:rFonts w:asciiTheme="majorHAnsi" w:hAnsiTheme="majorHAnsi" w:cstheme="majorHAnsi"/>
                <w:sz w:val="21"/>
                <w:szCs w:val="21"/>
              </w:rPr>
              <w:t>Afghan Youth Girls Bike Skills Workshops</w:t>
            </w:r>
            <w:r>
              <w:rPr>
                <w:rFonts w:asciiTheme="majorHAnsi" w:hAnsiTheme="majorHAnsi" w:cstheme="majorHAnsi"/>
                <w:sz w:val="21"/>
                <w:szCs w:val="21"/>
              </w:rPr>
              <w:t xml:space="preserve"> (Bendigo)</w:t>
            </w:r>
          </w:p>
          <w:p w14:paraId="162DBD1C" w14:textId="77777777" w:rsidR="002B71B1"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Pr>
                <w:rFonts w:asciiTheme="majorHAnsi" w:eastAsia="Calibri" w:hAnsiTheme="majorHAnsi" w:cstheme="majorHAnsi"/>
                <w:sz w:val="21"/>
                <w:szCs w:val="21"/>
                <w:lang w:val="en-GB"/>
              </w:rPr>
              <w:t>Ten Ideas Three Ventures (western metro Melbourne)</w:t>
            </w:r>
          </w:p>
          <w:p w14:paraId="5A452384" w14:textId="77777777" w:rsidR="002B71B1" w:rsidRDefault="002B71B1"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4E30D5">
              <w:rPr>
                <w:rFonts w:asciiTheme="majorHAnsi" w:hAnsiTheme="majorHAnsi" w:cstheme="majorHAnsi"/>
                <w:sz w:val="21"/>
                <w:szCs w:val="21"/>
              </w:rPr>
              <w:t xml:space="preserve">Angel Next Door </w:t>
            </w:r>
            <w:r>
              <w:rPr>
                <w:rFonts w:asciiTheme="majorHAnsi" w:hAnsiTheme="majorHAnsi" w:cstheme="majorHAnsi"/>
                <w:sz w:val="21"/>
                <w:szCs w:val="21"/>
              </w:rPr>
              <w:t xml:space="preserve">(Geelong + </w:t>
            </w:r>
            <w:r w:rsidRPr="004E30D5">
              <w:rPr>
                <w:rFonts w:asciiTheme="majorHAnsi" w:hAnsiTheme="majorHAnsi" w:cstheme="majorHAnsi"/>
                <w:sz w:val="21"/>
                <w:szCs w:val="21"/>
              </w:rPr>
              <w:t>Australia-wide</w:t>
            </w:r>
            <w:r>
              <w:rPr>
                <w:rFonts w:asciiTheme="majorHAnsi" w:hAnsiTheme="majorHAnsi" w:cstheme="majorHAnsi"/>
                <w:sz w:val="21"/>
                <w:szCs w:val="21"/>
              </w:rPr>
              <w:t>)</w:t>
            </w:r>
          </w:p>
          <w:p w14:paraId="3B8AC047" w14:textId="07F57899" w:rsidR="002B71B1" w:rsidRDefault="002B71B1"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4E30D5">
              <w:rPr>
                <w:rFonts w:asciiTheme="majorHAnsi" w:hAnsiTheme="majorHAnsi" w:cstheme="majorHAnsi"/>
                <w:sz w:val="21"/>
                <w:szCs w:val="21"/>
              </w:rPr>
              <w:t>My Community Matters</w:t>
            </w:r>
            <w:r>
              <w:rPr>
                <w:rFonts w:asciiTheme="majorHAnsi" w:hAnsiTheme="majorHAnsi" w:cstheme="majorHAnsi"/>
                <w:sz w:val="21"/>
                <w:szCs w:val="21"/>
              </w:rPr>
              <w:t xml:space="preserve"> (UK)</w:t>
            </w:r>
          </w:p>
          <w:p w14:paraId="024AF967" w14:textId="77777777" w:rsidR="002B71B1" w:rsidRDefault="002B71B1"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4E30D5">
              <w:rPr>
                <w:rFonts w:asciiTheme="majorHAnsi" w:hAnsiTheme="majorHAnsi" w:cstheme="majorHAnsi"/>
                <w:sz w:val="21"/>
                <w:szCs w:val="21"/>
              </w:rPr>
              <w:t>Skip Garden and Kitchen + Story Garden</w:t>
            </w:r>
            <w:r>
              <w:rPr>
                <w:rFonts w:asciiTheme="majorHAnsi" w:hAnsiTheme="majorHAnsi" w:cstheme="majorHAnsi"/>
                <w:sz w:val="21"/>
                <w:szCs w:val="21"/>
              </w:rPr>
              <w:t xml:space="preserve"> (UK)</w:t>
            </w:r>
          </w:p>
          <w:p w14:paraId="30C0C125" w14:textId="7F9E9870" w:rsidR="000E7823" w:rsidRPr="000E7823" w:rsidRDefault="000E7823" w:rsidP="00326E5E">
            <w:pPr>
              <w:spacing w:after="0" w:line="240" w:lineRule="auto"/>
              <w:rPr>
                <w:rFonts w:asciiTheme="majorHAnsi" w:hAnsiTheme="majorHAnsi" w:cstheme="majorHAnsi"/>
                <w:sz w:val="8"/>
                <w:szCs w:val="8"/>
              </w:rPr>
            </w:pPr>
          </w:p>
        </w:tc>
      </w:tr>
      <w:tr w:rsidR="002B71B1" w14:paraId="7B05DC09" w14:textId="77777777" w:rsidTr="701B9583">
        <w:trPr>
          <w:trHeight w:val="787"/>
        </w:trPr>
        <w:tc>
          <w:tcPr>
            <w:tcW w:w="1185" w:type="dxa"/>
            <w:vMerge/>
          </w:tcPr>
          <w:p w14:paraId="40F1F1D2" w14:textId="58C024F7" w:rsidR="002B71B1" w:rsidRDefault="002B71B1" w:rsidP="00326E5E">
            <w:pPr>
              <w:spacing w:after="0" w:line="240" w:lineRule="auto"/>
            </w:pPr>
          </w:p>
        </w:tc>
        <w:tc>
          <w:tcPr>
            <w:tcW w:w="3092" w:type="dxa"/>
          </w:tcPr>
          <w:p w14:paraId="0CFE16B3" w14:textId="77777777" w:rsidR="000E7823" w:rsidRPr="000E7823" w:rsidRDefault="000E7823" w:rsidP="00326E5E">
            <w:pPr>
              <w:spacing w:after="0" w:line="240" w:lineRule="auto"/>
              <w:rPr>
                <w:rFonts w:asciiTheme="majorHAnsi" w:eastAsia="Calibri" w:hAnsiTheme="majorHAnsi" w:cstheme="majorHAnsi"/>
                <w:sz w:val="8"/>
                <w:szCs w:val="8"/>
                <w:lang w:val="en-GB"/>
              </w:rPr>
            </w:pPr>
          </w:p>
          <w:p w14:paraId="1CD6D218" w14:textId="114E8983" w:rsidR="002B71B1" w:rsidRPr="00C26568" w:rsidRDefault="002B71B1" w:rsidP="00326E5E">
            <w:pPr>
              <w:spacing w:after="0" w:line="240" w:lineRule="auto"/>
              <w:rPr>
                <w:rFonts w:asciiTheme="majorHAnsi" w:hAnsiTheme="majorHAnsi" w:cstheme="majorHAnsi"/>
                <w:sz w:val="21"/>
                <w:szCs w:val="21"/>
              </w:rPr>
            </w:pPr>
            <w:r>
              <w:rPr>
                <w:rFonts w:asciiTheme="majorHAnsi" w:eastAsia="Calibri" w:hAnsiTheme="majorHAnsi" w:cstheme="majorHAnsi"/>
                <w:sz w:val="21"/>
                <w:szCs w:val="21"/>
                <w:lang w:val="en-GB"/>
              </w:rPr>
              <w:t>Place s</w:t>
            </w:r>
            <w:r w:rsidRPr="00C26568">
              <w:rPr>
                <w:rFonts w:asciiTheme="majorHAnsi" w:eastAsia="Calibri" w:hAnsiTheme="majorHAnsi" w:cstheme="majorHAnsi"/>
                <w:sz w:val="21"/>
                <w:szCs w:val="21"/>
                <w:lang w:val="en-GB"/>
              </w:rPr>
              <w:t>tigma</w:t>
            </w:r>
            <w:r>
              <w:rPr>
                <w:rFonts w:asciiTheme="majorHAnsi" w:eastAsia="Calibri" w:hAnsiTheme="majorHAnsi" w:cstheme="majorHAnsi"/>
                <w:sz w:val="21"/>
                <w:szCs w:val="21"/>
                <w:lang w:val="en-GB"/>
              </w:rPr>
              <w:t xml:space="preserve"> (</w:t>
            </w:r>
            <w:r w:rsidRPr="00C26568">
              <w:rPr>
                <w:rFonts w:asciiTheme="majorHAnsi" w:eastAsia="Calibri" w:hAnsiTheme="majorHAnsi" w:cstheme="majorHAnsi"/>
                <w:sz w:val="21"/>
                <w:szCs w:val="21"/>
                <w:lang w:val="en-GB"/>
              </w:rPr>
              <w:t>negative stereotyping of areas</w:t>
            </w:r>
            <w:r>
              <w:rPr>
                <w:rFonts w:asciiTheme="majorHAnsi" w:eastAsia="Calibri" w:hAnsiTheme="majorHAnsi" w:cstheme="majorHAnsi"/>
                <w:sz w:val="21"/>
                <w:szCs w:val="21"/>
                <w:lang w:val="en-GB"/>
              </w:rPr>
              <w:t>)</w:t>
            </w:r>
          </w:p>
        </w:tc>
        <w:tc>
          <w:tcPr>
            <w:tcW w:w="9185" w:type="dxa"/>
          </w:tcPr>
          <w:p w14:paraId="0F186F91" w14:textId="77777777" w:rsidR="008A44EF" w:rsidRPr="007C77C6" w:rsidRDefault="008A44EF" w:rsidP="00326E5E">
            <w:pPr>
              <w:spacing w:after="0" w:line="240" w:lineRule="auto"/>
              <w:rPr>
                <w:rFonts w:asciiTheme="majorHAnsi" w:eastAsia="Calibri Light" w:hAnsiTheme="majorHAnsi" w:cstheme="majorHAnsi"/>
                <w:sz w:val="4"/>
                <w:szCs w:val="4"/>
              </w:rPr>
            </w:pPr>
          </w:p>
          <w:p w14:paraId="78469D29" w14:textId="5773C34E" w:rsidR="002B71B1"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 xml:space="preserve">Shutterbugs </w:t>
            </w:r>
            <w:r w:rsidR="000E7823">
              <w:rPr>
                <w:rFonts w:asciiTheme="majorHAnsi" w:eastAsia="Calibri" w:hAnsiTheme="majorHAnsi" w:cstheme="majorHAnsi"/>
                <w:sz w:val="21"/>
                <w:szCs w:val="21"/>
                <w:lang w:val="en-GB"/>
              </w:rPr>
              <w:t>+</w:t>
            </w:r>
            <w:r w:rsidRPr="00C26568">
              <w:rPr>
                <w:rFonts w:asciiTheme="majorHAnsi" w:eastAsia="Calibri" w:hAnsiTheme="majorHAnsi" w:cstheme="majorHAnsi"/>
                <w:sz w:val="21"/>
                <w:szCs w:val="21"/>
                <w:lang w:val="en-GB"/>
              </w:rPr>
              <w:t xml:space="preserve"> I heart Maryborough (</w:t>
            </w:r>
            <w:r>
              <w:rPr>
                <w:rFonts w:asciiTheme="majorHAnsi" w:eastAsia="Calibri" w:hAnsiTheme="majorHAnsi" w:cstheme="majorHAnsi"/>
                <w:sz w:val="21"/>
                <w:szCs w:val="21"/>
                <w:lang w:val="en-GB"/>
              </w:rPr>
              <w:t>VIC</w:t>
            </w:r>
            <w:r w:rsidRPr="00C26568">
              <w:rPr>
                <w:rFonts w:asciiTheme="majorHAnsi" w:eastAsia="Calibri" w:hAnsiTheme="majorHAnsi" w:cstheme="majorHAnsi"/>
                <w:sz w:val="21"/>
                <w:szCs w:val="21"/>
                <w:lang w:val="en-GB"/>
              </w:rPr>
              <w:t>)</w:t>
            </w:r>
          </w:p>
          <w:p w14:paraId="09E2406A" w14:textId="2508229E" w:rsidR="002B71B1" w:rsidRPr="00C26568" w:rsidRDefault="002B71B1" w:rsidP="00326E5E">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Pr>
                <w:rFonts w:asciiTheme="majorHAnsi" w:eastAsia="Calibri" w:hAnsiTheme="majorHAnsi" w:cstheme="majorHAnsi"/>
                <w:sz w:val="21"/>
                <w:szCs w:val="21"/>
                <w:lang w:val="en-GB"/>
              </w:rPr>
              <w:t>Broomhill Project (UK)</w:t>
            </w:r>
          </w:p>
          <w:p w14:paraId="761B9E9F" w14:textId="77777777" w:rsidR="002B71B1"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 xml:space="preserve">Festival of </w:t>
            </w:r>
            <w:r>
              <w:rPr>
                <w:rFonts w:asciiTheme="majorHAnsi" w:eastAsia="Calibri" w:hAnsiTheme="majorHAnsi" w:cstheme="majorHAnsi"/>
                <w:sz w:val="21"/>
                <w:szCs w:val="21"/>
                <w:lang w:val="en-GB"/>
              </w:rPr>
              <w:t>N</w:t>
            </w:r>
            <w:r w:rsidRPr="00C26568">
              <w:rPr>
                <w:rFonts w:asciiTheme="majorHAnsi" w:eastAsia="Calibri" w:hAnsiTheme="majorHAnsi" w:cstheme="majorHAnsi"/>
                <w:sz w:val="21"/>
                <w:szCs w:val="21"/>
                <w:lang w:val="en-GB"/>
              </w:rPr>
              <w:t>eighbourhoods (Canada)</w:t>
            </w:r>
          </w:p>
          <w:p w14:paraId="480821CF" w14:textId="7F40DAEC" w:rsidR="008A44EF" w:rsidRPr="008A44EF" w:rsidRDefault="008A44EF" w:rsidP="00326E5E">
            <w:pPr>
              <w:spacing w:after="0" w:line="240" w:lineRule="auto"/>
              <w:rPr>
                <w:rFonts w:asciiTheme="majorHAnsi" w:hAnsiTheme="majorHAnsi" w:cstheme="majorHAnsi"/>
                <w:sz w:val="8"/>
                <w:szCs w:val="8"/>
              </w:rPr>
            </w:pPr>
          </w:p>
        </w:tc>
      </w:tr>
      <w:tr w:rsidR="002B71B1" w14:paraId="38DE2882" w14:textId="77777777" w:rsidTr="701B9583">
        <w:trPr>
          <w:trHeight w:val="266"/>
        </w:trPr>
        <w:tc>
          <w:tcPr>
            <w:tcW w:w="1185" w:type="dxa"/>
            <w:vMerge/>
          </w:tcPr>
          <w:p w14:paraId="69B7139D" w14:textId="77777777" w:rsidR="002B71B1" w:rsidRDefault="002B71B1" w:rsidP="00326E5E">
            <w:pPr>
              <w:spacing w:after="0" w:line="240" w:lineRule="auto"/>
            </w:pPr>
          </w:p>
        </w:tc>
        <w:tc>
          <w:tcPr>
            <w:tcW w:w="3092" w:type="dxa"/>
          </w:tcPr>
          <w:p w14:paraId="6CB8B2D3" w14:textId="77777777" w:rsidR="008A44EF" w:rsidRPr="008A44EF" w:rsidRDefault="008A44EF" w:rsidP="00326E5E">
            <w:pPr>
              <w:spacing w:after="0" w:line="240" w:lineRule="auto"/>
              <w:rPr>
                <w:rFonts w:asciiTheme="majorHAnsi" w:eastAsia="Calibri" w:hAnsiTheme="majorHAnsi" w:cstheme="majorHAnsi"/>
                <w:sz w:val="8"/>
                <w:szCs w:val="8"/>
                <w:lang w:val="en-GB"/>
              </w:rPr>
            </w:pPr>
          </w:p>
          <w:p w14:paraId="2F785510" w14:textId="1CA12297" w:rsidR="002B71B1" w:rsidRDefault="002B71B1" w:rsidP="00326E5E">
            <w:pPr>
              <w:spacing w:after="0" w:line="240" w:lineRule="auto"/>
              <w:rPr>
                <w:rFonts w:asciiTheme="majorHAnsi" w:eastAsia="Calibri" w:hAnsiTheme="majorHAnsi" w:cstheme="majorHAnsi"/>
                <w:sz w:val="21"/>
                <w:szCs w:val="21"/>
                <w:lang w:val="en-GB"/>
              </w:rPr>
            </w:pPr>
            <w:r>
              <w:rPr>
                <w:rFonts w:asciiTheme="majorHAnsi" w:eastAsia="Calibri" w:hAnsiTheme="majorHAnsi" w:cstheme="majorHAnsi"/>
                <w:sz w:val="21"/>
                <w:szCs w:val="21"/>
                <w:lang w:val="en-GB"/>
              </w:rPr>
              <w:t>Low neighbourhood amenity</w:t>
            </w:r>
            <w:r w:rsidR="002A711F">
              <w:rPr>
                <w:rFonts w:asciiTheme="majorHAnsi" w:eastAsia="Calibri" w:hAnsiTheme="majorHAnsi" w:cstheme="majorHAnsi"/>
                <w:sz w:val="21"/>
                <w:szCs w:val="21"/>
                <w:lang w:val="en-GB"/>
              </w:rPr>
              <w:t>;</w:t>
            </w:r>
            <w:r>
              <w:rPr>
                <w:rFonts w:asciiTheme="majorHAnsi" w:eastAsia="Calibri" w:hAnsiTheme="majorHAnsi" w:cstheme="majorHAnsi"/>
                <w:sz w:val="21"/>
                <w:szCs w:val="21"/>
                <w:lang w:val="en-GB"/>
              </w:rPr>
              <w:t xml:space="preserve"> lack of welcoming, high-quality, inclusive shared spaces</w:t>
            </w:r>
            <w:r w:rsidR="002A711F">
              <w:rPr>
                <w:rFonts w:asciiTheme="majorHAnsi" w:eastAsia="Calibri" w:hAnsiTheme="majorHAnsi" w:cstheme="majorHAnsi"/>
                <w:sz w:val="21"/>
                <w:szCs w:val="21"/>
                <w:lang w:val="en-GB"/>
              </w:rPr>
              <w:t>;</w:t>
            </w:r>
            <w:r>
              <w:rPr>
                <w:rFonts w:asciiTheme="majorHAnsi" w:eastAsia="Calibri" w:hAnsiTheme="majorHAnsi" w:cstheme="majorHAnsi"/>
                <w:sz w:val="21"/>
                <w:szCs w:val="21"/>
                <w:lang w:val="en-GB"/>
              </w:rPr>
              <w:t xml:space="preserve"> limited social infrastructure</w:t>
            </w:r>
          </w:p>
        </w:tc>
        <w:tc>
          <w:tcPr>
            <w:tcW w:w="9185" w:type="dxa"/>
          </w:tcPr>
          <w:p w14:paraId="2317B92F" w14:textId="77777777" w:rsidR="008A44EF" w:rsidRPr="008A44EF" w:rsidRDefault="008A44EF" w:rsidP="00EA51D9">
            <w:pPr>
              <w:spacing w:after="0" w:line="240" w:lineRule="auto"/>
              <w:rPr>
                <w:rFonts w:asciiTheme="majorHAnsi" w:eastAsia="Calibri Light" w:hAnsiTheme="majorHAnsi" w:cstheme="majorHAnsi"/>
                <w:sz w:val="4"/>
                <w:szCs w:val="4"/>
              </w:rPr>
            </w:pPr>
          </w:p>
          <w:p w14:paraId="278520ED" w14:textId="2BE8F550" w:rsidR="002B71B1" w:rsidRDefault="002B71B1" w:rsidP="00EA51D9">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195782">
              <w:rPr>
                <w:rFonts w:asciiTheme="majorHAnsi" w:eastAsia="Calibri" w:hAnsiTheme="majorHAnsi" w:cstheme="majorHAnsi"/>
                <w:sz w:val="21"/>
                <w:szCs w:val="21"/>
                <w:lang w:val="en-GB"/>
              </w:rPr>
              <w:t>Sustainable South Bronx Project</w:t>
            </w:r>
            <w:r>
              <w:rPr>
                <w:rFonts w:asciiTheme="majorHAnsi" w:eastAsia="Calibri" w:hAnsiTheme="majorHAnsi" w:cstheme="majorHAnsi"/>
                <w:sz w:val="21"/>
                <w:szCs w:val="21"/>
                <w:lang w:val="en-GB"/>
              </w:rPr>
              <w:t xml:space="preserve"> (urban greening</w:t>
            </w:r>
            <w:r w:rsidR="002A711F">
              <w:rPr>
                <w:rFonts w:asciiTheme="majorHAnsi" w:eastAsia="Calibri" w:hAnsiTheme="majorHAnsi" w:cstheme="majorHAnsi"/>
                <w:sz w:val="21"/>
                <w:szCs w:val="21"/>
                <w:lang w:val="en-GB"/>
              </w:rPr>
              <w:t xml:space="preserve">, </w:t>
            </w:r>
            <w:r w:rsidR="00676DE1">
              <w:rPr>
                <w:rFonts w:asciiTheme="majorHAnsi" w:eastAsia="Calibri" w:hAnsiTheme="majorHAnsi" w:cstheme="majorHAnsi"/>
                <w:sz w:val="21"/>
                <w:szCs w:val="21"/>
                <w:lang w:val="en-GB"/>
              </w:rPr>
              <w:t>new</w:t>
            </w:r>
            <w:r>
              <w:rPr>
                <w:rFonts w:asciiTheme="majorHAnsi" w:eastAsia="Calibri" w:hAnsiTheme="majorHAnsi" w:cstheme="majorHAnsi"/>
                <w:sz w:val="21"/>
                <w:szCs w:val="21"/>
                <w:lang w:val="en-GB"/>
              </w:rPr>
              <w:t xml:space="preserve"> public park</w:t>
            </w:r>
            <w:r w:rsidR="00676DE1">
              <w:rPr>
                <w:rFonts w:asciiTheme="majorHAnsi" w:eastAsia="Calibri" w:hAnsiTheme="majorHAnsi" w:cstheme="majorHAnsi"/>
                <w:sz w:val="21"/>
                <w:szCs w:val="21"/>
                <w:lang w:val="en-GB"/>
              </w:rPr>
              <w:t>s, active transport</w:t>
            </w:r>
            <w:r>
              <w:rPr>
                <w:rFonts w:asciiTheme="majorHAnsi" w:eastAsia="Calibri" w:hAnsiTheme="majorHAnsi" w:cstheme="majorHAnsi"/>
                <w:sz w:val="21"/>
                <w:szCs w:val="21"/>
                <w:lang w:val="en-GB"/>
              </w:rPr>
              <w:t xml:space="preserve"> </w:t>
            </w:r>
            <w:r w:rsidR="002A711F">
              <w:rPr>
                <w:rFonts w:asciiTheme="majorHAnsi" w:eastAsia="Calibri" w:hAnsiTheme="majorHAnsi" w:cstheme="majorHAnsi"/>
                <w:sz w:val="21"/>
                <w:szCs w:val="21"/>
                <w:lang w:val="en-GB"/>
              </w:rPr>
              <w:t>infrastructure</w:t>
            </w:r>
            <w:r>
              <w:rPr>
                <w:rFonts w:asciiTheme="majorHAnsi" w:eastAsia="Calibri" w:hAnsiTheme="majorHAnsi" w:cstheme="majorHAnsi"/>
                <w:sz w:val="21"/>
                <w:szCs w:val="21"/>
                <w:lang w:val="en-GB"/>
              </w:rPr>
              <w:t>, US)</w:t>
            </w:r>
          </w:p>
          <w:p w14:paraId="0EC1743C" w14:textId="522986CF" w:rsidR="002B71B1" w:rsidRDefault="002B71B1" w:rsidP="00EA51D9">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713483">
              <w:rPr>
                <w:rFonts w:asciiTheme="majorHAnsi" w:eastAsia="Calibri" w:hAnsiTheme="majorHAnsi" w:cstheme="majorHAnsi"/>
                <w:sz w:val="21"/>
                <w:szCs w:val="21"/>
                <w:lang w:val="en-GB"/>
              </w:rPr>
              <w:t>Festival of Neighbourhoods</w:t>
            </w:r>
            <w:r>
              <w:rPr>
                <w:rFonts w:asciiTheme="majorHAnsi" w:eastAsia="Calibri" w:hAnsiTheme="majorHAnsi" w:cstheme="majorHAnsi"/>
                <w:sz w:val="21"/>
                <w:szCs w:val="21"/>
                <w:lang w:val="en-GB"/>
              </w:rPr>
              <w:t xml:space="preserve"> (C</w:t>
            </w:r>
            <w:r w:rsidR="008A44EF">
              <w:rPr>
                <w:rFonts w:asciiTheme="majorHAnsi" w:eastAsia="Calibri" w:hAnsiTheme="majorHAnsi" w:cstheme="majorHAnsi"/>
                <w:sz w:val="21"/>
                <w:szCs w:val="21"/>
                <w:lang w:val="en-GB"/>
              </w:rPr>
              <w:t>anada</w:t>
            </w:r>
            <w:r>
              <w:rPr>
                <w:rFonts w:asciiTheme="majorHAnsi" w:eastAsia="Calibri" w:hAnsiTheme="majorHAnsi" w:cstheme="majorHAnsi"/>
                <w:sz w:val="21"/>
                <w:szCs w:val="21"/>
                <w:lang w:val="en-GB"/>
              </w:rPr>
              <w:t>)</w:t>
            </w:r>
          </w:p>
          <w:p w14:paraId="0E7EDC70" w14:textId="7172A95C" w:rsidR="002B71B1" w:rsidRDefault="002B71B1" w:rsidP="00EA51D9">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 xml:space="preserve">We </w:t>
            </w:r>
            <w:r>
              <w:rPr>
                <w:rFonts w:asciiTheme="majorHAnsi" w:eastAsia="Calibri" w:hAnsiTheme="majorHAnsi" w:cstheme="majorHAnsi"/>
                <w:sz w:val="21"/>
                <w:szCs w:val="21"/>
                <w:lang w:val="en-GB"/>
              </w:rPr>
              <w:t>D</w:t>
            </w:r>
            <w:r w:rsidRPr="00C26568">
              <w:rPr>
                <w:rFonts w:asciiTheme="majorHAnsi" w:eastAsia="Calibri" w:hAnsiTheme="majorHAnsi" w:cstheme="majorHAnsi"/>
                <w:sz w:val="21"/>
                <w:szCs w:val="21"/>
                <w:lang w:val="en-GB"/>
              </w:rPr>
              <w:t xml:space="preserve">esign for </w:t>
            </w:r>
            <w:r>
              <w:rPr>
                <w:rFonts w:asciiTheme="majorHAnsi" w:eastAsia="Calibri" w:hAnsiTheme="majorHAnsi" w:cstheme="majorHAnsi"/>
                <w:sz w:val="21"/>
                <w:szCs w:val="21"/>
                <w:lang w:val="en-GB"/>
              </w:rPr>
              <w:t>L</w:t>
            </w:r>
            <w:r w:rsidRPr="00C26568">
              <w:rPr>
                <w:rFonts w:asciiTheme="majorHAnsi" w:eastAsia="Calibri" w:hAnsiTheme="majorHAnsi" w:cstheme="majorHAnsi"/>
                <w:sz w:val="21"/>
                <w:szCs w:val="21"/>
                <w:lang w:val="en-GB"/>
              </w:rPr>
              <w:t>ife (Denmark)</w:t>
            </w:r>
          </w:p>
          <w:p w14:paraId="0B6E4777" w14:textId="56D82735" w:rsidR="002B71B1" w:rsidRDefault="002B71B1" w:rsidP="00E04290">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C26568">
              <w:rPr>
                <w:rFonts w:asciiTheme="majorHAnsi" w:eastAsia="Calibri" w:hAnsiTheme="majorHAnsi" w:cstheme="majorHAnsi"/>
                <w:sz w:val="21"/>
                <w:szCs w:val="21"/>
                <w:lang w:val="en-GB"/>
              </w:rPr>
              <w:t>Oslo Living Lab (</w:t>
            </w:r>
            <w:r>
              <w:rPr>
                <w:rFonts w:asciiTheme="majorHAnsi" w:eastAsia="Calibri" w:hAnsiTheme="majorHAnsi" w:cstheme="majorHAnsi"/>
                <w:sz w:val="21"/>
                <w:szCs w:val="21"/>
                <w:lang w:val="en-GB"/>
              </w:rPr>
              <w:t xml:space="preserve">tactical urbanism, </w:t>
            </w:r>
            <w:r w:rsidRPr="00C26568">
              <w:rPr>
                <w:rFonts w:asciiTheme="majorHAnsi" w:eastAsia="Calibri" w:hAnsiTheme="majorHAnsi" w:cstheme="majorHAnsi"/>
                <w:sz w:val="21"/>
                <w:szCs w:val="21"/>
                <w:lang w:val="en-GB"/>
              </w:rPr>
              <w:t>Norway)</w:t>
            </w:r>
          </w:p>
          <w:p w14:paraId="727203F0" w14:textId="3D64EE9A" w:rsidR="002B71B1" w:rsidRPr="00C26568" w:rsidRDefault="002B71B1" w:rsidP="00E04290">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0F2580">
              <w:rPr>
                <w:rFonts w:asciiTheme="majorHAnsi" w:hAnsiTheme="majorHAnsi" w:cstheme="majorHAnsi"/>
                <w:sz w:val="21"/>
                <w:szCs w:val="21"/>
              </w:rPr>
              <w:t>My Community Matters</w:t>
            </w:r>
            <w:r>
              <w:rPr>
                <w:rFonts w:asciiTheme="majorHAnsi" w:hAnsiTheme="majorHAnsi" w:cstheme="majorHAnsi"/>
                <w:sz w:val="21"/>
                <w:szCs w:val="21"/>
              </w:rPr>
              <w:t xml:space="preserve"> (“</w:t>
            </w:r>
            <w:r w:rsidRPr="000F2580">
              <w:rPr>
                <w:rFonts w:asciiTheme="majorHAnsi" w:hAnsiTheme="majorHAnsi" w:cstheme="majorHAnsi"/>
                <w:sz w:val="21"/>
                <w:szCs w:val="21"/>
              </w:rPr>
              <w:t>community walkabouts</w:t>
            </w:r>
            <w:r>
              <w:rPr>
                <w:rFonts w:asciiTheme="majorHAnsi" w:hAnsiTheme="majorHAnsi" w:cstheme="majorHAnsi"/>
                <w:sz w:val="21"/>
                <w:szCs w:val="21"/>
              </w:rPr>
              <w:t>”, UK</w:t>
            </w:r>
            <w:r w:rsidRPr="000F2580">
              <w:rPr>
                <w:rFonts w:asciiTheme="majorHAnsi" w:hAnsiTheme="majorHAnsi" w:cstheme="majorHAnsi"/>
                <w:sz w:val="21"/>
                <w:szCs w:val="21"/>
              </w:rPr>
              <w:t>)</w:t>
            </w:r>
          </w:p>
          <w:p w14:paraId="13DC7481" w14:textId="47A7A14E" w:rsidR="002B71B1" w:rsidRPr="00C26568" w:rsidRDefault="002B71B1" w:rsidP="00EA51D9">
            <w:pPr>
              <w:spacing w:after="0" w:line="240" w:lineRule="auto"/>
              <w:rPr>
                <w:rFonts w:asciiTheme="majorHAnsi"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18778A">
              <w:rPr>
                <w:rFonts w:asciiTheme="majorHAnsi" w:hAnsiTheme="majorHAnsi" w:cstheme="majorHAnsi"/>
                <w:sz w:val="21"/>
                <w:szCs w:val="21"/>
              </w:rPr>
              <w:t>Best Babies Zone</w:t>
            </w:r>
            <w:r>
              <w:rPr>
                <w:rFonts w:asciiTheme="majorHAnsi" w:hAnsiTheme="majorHAnsi" w:cstheme="majorHAnsi"/>
                <w:sz w:val="21"/>
                <w:szCs w:val="21"/>
              </w:rPr>
              <w:t xml:space="preserve"> (</w:t>
            </w:r>
            <w:r w:rsidR="008A44EF">
              <w:rPr>
                <w:rFonts w:asciiTheme="majorHAnsi" w:hAnsiTheme="majorHAnsi" w:cstheme="majorHAnsi"/>
                <w:sz w:val="21"/>
                <w:szCs w:val="21"/>
              </w:rPr>
              <w:t>“</w:t>
            </w:r>
            <w:r>
              <w:rPr>
                <w:rFonts w:asciiTheme="majorHAnsi" w:hAnsiTheme="majorHAnsi" w:cstheme="majorHAnsi"/>
                <w:sz w:val="21"/>
                <w:szCs w:val="21"/>
              </w:rPr>
              <w:t>new community facilities</w:t>
            </w:r>
            <w:r w:rsidR="008A44EF">
              <w:rPr>
                <w:rFonts w:asciiTheme="majorHAnsi" w:hAnsiTheme="majorHAnsi" w:cstheme="majorHAnsi"/>
                <w:sz w:val="21"/>
                <w:szCs w:val="21"/>
              </w:rPr>
              <w:t>”</w:t>
            </w:r>
            <w:r>
              <w:rPr>
                <w:rFonts w:asciiTheme="majorHAnsi" w:hAnsiTheme="majorHAnsi" w:cstheme="majorHAnsi"/>
                <w:sz w:val="21"/>
                <w:szCs w:val="21"/>
              </w:rPr>
              <w:t>, US)</w:t>
            </w:r>
          </w:p>
          <w:p w14:paraId="36641749" w14:textId="143020A7" w:rsidR="002B71B1" w:rsidRPr="00C26568" w:rsidRDefault="002B71B1" w:rsidP="00326E5E">
            <w:pPr>
              <w:spacing w:after="0" w:line="240" w:lineRule="auto"/>
              <w:rPr>
                <w:rFonts w:asciiTheme="majorHAnsi" w:eastAsia="Calibri"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Pr="001F016A">
              <w:rPr>
                <w:rFonts w:asciiTheme="majorHAnsi" w:eastAsia="Calibri" w:hAnsiTheme="majorHAnsi" w:cstheme="majorHAnsi"/>
                <w:sz w:val="21"/>
                <w:szCs w:val="21"/>
                <w:lang w:val="en-GB"/>
              </w:rPr>
              <w:t>Skip Garden and Kitchen + Story Garden</w:t>
            </w:r>
            <w:r>
              <w:rPr>
                <w:rFonts w:asciiTheme="majorHAnsi" w:eastAsia="Calibri" w:hAnsiTheme="majorHAnsi" w:cstheme="majorHAnsi"/>
                <w:sz w:val="21"/>
                <w:szCs w:val="21"/>
                <w:lang w:val="en-GB"/>
              </w:rPr>
              <w:t xml:space="preserve"> (UK)</w:t>
            </w:r>
          </w:p>
        </w:tc>
      </w:tr>
    </w:tbl>
    <w:p w14:paraId="545017C0" w14:textId="77777777" w:rsidR="00966D9D" w:rsidRDefault="00521FAF" w:rsidP="00966D9D">
      <w:pPr>
        <w:spacing w:line="240" w:lineRule="auto"/>
        <w:rPr>
          <w:rFonts w:eastAsia="Calibri" w:cstheme="minorHAnsi"/>
          <w:b/>
          <w:bCs/>
          <w:sz w:val="21"/>
          <w:szCs w:val="21"/>
          <w:lang w:val="en-GB"/>
        </w:rPr>
      </w:pPr>
      <w:r w:rsidRPr="00521FAF">
        <w:rPr>
          <w:rFonts w:eastAsia="Times New Roman" w:cstheme="minorHAnsi"/>
          <w:b/>
          <w:bCs/>
          <w:sz w:val="21"/>
          <w:szCs w:val="21"/>
        </w:rPr>
        <w:t xml:space="preserve">Table </w:t>
      </w:r>
      <w:r>
        <w:rPr>
          <w:rFonts w:eastAsia="Times New Roman" w:cstheme="minorHAnsi"/>
          <w:b/>
          <w:bCs/>
          <w:sz w:val="21"/>
          <w:szCs w:val="21"/>
        </w:rPr>
        <w:t>7</w:t>
      </w:r>
      <w:r w:rsidRPr="00521FAF">
        <w:rPr>
          <w:rFonts w:eastAsia="Times New Roman" w:cstheme="minorHAnsi"/>
          <w:b/>
          <w:bCs/>
          <w:sz w:val="21"/>
          <w:szCs w:val="21"/>
        </w:rPr>
        <w:t>.1</w:t>
      </w:r>
      <w:r w:rsidR="005B3004">
        <w:rPr>
          <w:rFonts w:eastAsia="Times New Roman" w:cstheme="minorHAnsi"/>
          <w:b/>
          <w:bCs/>
          <w:sz w:val="21"/>
          <w:szCs w:val="21"/>
        </w:rPr>
        <w:t>6</w:t>
      </w:r>
      <w:r w:rsidRPr="00521FAF">
        <w:rPr>
          <w:rFonts w:eastAsia="Times New Roman" w:cstheme="minorHAnsi"/>
          <w:b/>
          <w:bCs/>
          <w:sz w:val="21"/>
          <w:szCs w:val="21"/>
        </w:rPr>
        <w:t xml:space="preserve">: </w:t>
      </w:r>
      <w:r w:rsidRPr="00521FAF">
        <w:rPr>
          <w:rFonts w:eastAsia="Calibri" w:cstheme="minorHAnsi"/>
          <w:b/>
          <w:bCs/>
          <w:sz w:val="21"/>
          <w:szCs w:val="21"/>
          <w:lang w:val="en-GB"/>
        </w:rPr>
        <w:t xml:space="preserve">Mapping </w:t>
      </w:r>
      <w:r w:rsidR="00AD2DA5">
        <w:rPr>
          <w:rFonts w:eastAsia="Calibri" w:cstheme="minorHAnsi"/>
          <w:b/>
          <w:bCs/>
          <w:sz w:val="21"/>
          <w:szCs w:val="21"/>
          <w:lang w:val="en-GB"/>
        </w:rPr>
        <w:t>Case Studies</w:t>
      </w:r>
      <w:r w:rsidRPr="00521FAF">
        <w:rPr>
          <w:rFonts w:eastAsia="Calibri" w:cstheme="minorHAnsi"/>
          <w:b/>
          <w:bCs/>
          <w:sz w:val="21"/>
          <w:szCs w:val="21"/>
          <w:lang w:val="en-GB"/>
        </w:rPr>
        <w:t xml:space="preserve"> against </w:t>
      </w:r>
      <w:r w:rsidR="00D95573">
        <w:rPr>
          <w:rFonts w:eastAsia="Calibri" w:cstheme="minorHAnsi"/>
          <w:b/>
          <w:bCs/>
          <w:sz w:val="21"/>
          <w:szCs w:val="21"/>
          <w:lang w:val="en-GB"/>
        </w:rPr>
        <w:t>Practice Domain</w:t>
      </w:r>
      <w:r w:rsidRPr="00521FAF">
        <w:rPr>
          <w:rFonts w:eastAsia="Calibri" w:cstheme="minorHAnsi"/>
          <w:b/>
          <w:bCs/>
          <w:sz w:val="21"/>
          <w:szCs w:val="21"/>
          <w:lang w:val="en-GB"/>
        </w:rPr>
        <w:t>s and Need in Corio</w:t>
      </w:r>
      <w:r>
        <w:rPr>
          <w:rFonts w:eastAsia="Calibri" w:cstheme="minorHAnsi"/>
          <w:b/>
          <w:bCs/>
          <w:sz w:val="21"/>
          <w:szCs w:val="21"/>
          <w:lang w:val="en-GB"/>
        </w:rPr>
        <w:t xml:space="preserve">, </w:t>
      </w:r>
      <w:r w:rsidRPr="00521FAF">
        <w:rPr>
          <w:rFonts w:eastAsia="Calibri" w:cstheme="minorHAnsi"/>
          <w:b/>
          <w:bCs/>
          <w:sz w:val="21"/>
          <w:szCs w:val="21"/>
          <w:lang w:val="en-GB"/>
        </w:rPr>
        <w:t>Norlane</w:t>
      </w:r>
      <w:r>
        <w:rPr>
          <w:rFonts w:eastAsia="Calibri" w:cstheme="minorHAnsi"/>
          <w:b/>
          <w:bCs/>
          <w:sz w:val="21"/>
          <w:szCs w:val="21"/>
          <w:lang w:val="en-GB"/>
        </w:rPr>
        <w:t>,</w:t>
      </w:r>
      <w:r w:rsidRPr="00521FAF">
        <w:rPr>
          <w:rFonts w:eastAsia="Calibri" w:cstheme="minorHAnsi"/>
          <w:b/>
          <w:bCs/>
          <w:sz w:val="21"/>
          <w:szCs w:val="21"/>
          <w:lang w:val="en-GB"/>
        </w:rPr>
        <w:t xml:space="preserve"> and Whittington</w:t>
      </w:r>
    </w:p>
    <w:p w14:paraId="6BAE9504" w14:textId="77777777" w:rsidR="00966D9D" w:rsidRDefault="00966D9D" w:rsidP="00966D9D">
      <w:pPr>
        <w:spacing w:line="240" w:lineRule="auto"/>
        <w:rPr>
          <w:rFonts w:eastAsia="Calibri" w:cstheme="minorHAnsi"/>
          <w:b/>
          <w:bCs/>
          <w:sz w:val="21"/>
          <w:szCs w:val="21"/>
          <w:lang w:val="en-GB"/>
        </w:rPr>
        <w:sectPr w:rsidR="00966D9D" w:rsidSect="00966D9D">
          <w:pgSz w:w="16840" w:h="11900" w:orient="landscape"/>
          <w:pgMar w:top="1134" w:right="1134" w:bottom="1134" w:left="1134" w:header="709" w:footer="709" w:gutter="0"/>
          <w:cols w:space="708"/>
          <w:docGrid w:linePitch="360"/>
        </w:sectPr>
      </w:pPr>
    </w:p>
    <w:p w14:paraId="180B5C8D" w14:textId="526E381F" w:rsidR="00C80508" w:rsidRPr="00966D9D" w:rsidRDefault="0098337E" w:rsidP="00966D9D">
      <w:pPr>
        <w:spacing w:line="240" w:lineRule="auto"/>
        <w:rPr>
          <w:rFonts w:eastAsia="Calibri" w:cstheme="minorHAnsi"/>
          <w:b/>
          <w:bCs/>
          <w:sz w:val="21"/>
          <w:szCs w:val="21"/>
          <w:lang w:val="en-GB"/>
        </w:rPr>
      </w:pPr>
      <w:r w:rsidRPr="00C80508">
        <w:rPr>
          <w:b/>
          <w:bCs/>
          <w:color w:val="2F5496" w:themeColor="accent1" w:themeShade="BF"/>
          <w:sz w:val="32"/>
          <w:szCs w:val="32"/>
        </w:rPr>
        <w:lastRenderedPageBreak/>
        <w:t>SECTION</w:t>
      </w:r>
      <w:r w:rsidR="0006749D" w:rsidRPr="00C80508">
        <w:rPr>
          <w:b/>
          <w:bCs/>
          <w:color w:val="2F5496" w:themeColor="accent1" w:themeShade="BF"/>
          <w:sz w:val="32"/>
          <w:szCs w:val="32"/>
        </w:rPr>
        <w:t xml:space="preserve"> 8</w:t>
      </w:r>
      <w:r w:rsidR="00F00E3D" w:rsidRPr="00C80508">
        <w:rPr>
          <w:b/>
          <w:bCs/>
          <w:color w:val="2F5496" w:themeColor="accent1" w:themeShade="BF"/>
          <w:sz w:val="32"/>
          <w:szCs w:val="32"/>
        </w:rPr>
        <w:t>:</w:t>
      </w:r>
      <w:r w:rsidR="00341E59" w:rsidRPr="00C80508">
        <w:rPr>
          <w:b/>
          <w:bCs/>
          <w:color w:val="2F5496" w:themeColor="accent1" w:themeShade="BF"/>
          <w:sz w:val="32"/>
          <w:szCs w:val="32"/>
        </w:rPr>
        <w:t xml:space="preserve"> </w:t>
      </w:r>
      <w:r w:rsidR="00E13C3C" w:rsidRPr="00C80508">
        <w:rPr>
          <w:b/>
          <w:bCs/>
          <w:color w:val="2F5496" w:themeColor="accent1" w:themeShade="BF"/>
          <w:sz w:val="32"/>
          <w:szCs w:val="32"/>
        </w:rPr>
        <w:t xml:space="preserve">Community </w:t>
      </w:r>
      <w:r w:rsidR="005D4E46" w:rsidRPr="00C80508">
        <w:rPr>
          <w:b/>
          <w:bCs/>
          <w:color w:val="2F5496" w:themeColor="accent1" w:themeShade="BF"/>
          <w:sz w:val="32"/>
          <w:szCs w:val="32"/>
        </w:rPr>
        <w:t>Consultations</w:t>
      </w:r>
    </w:p>
    <w:p w14:paraId="43E53B07" w14:textId="15ABE22B" w:rsidR="00F00E3D" w:rsidRDefault="00940D80" w:rsidP="00C80508">
      <w:pPr>
        <w:spacing w:after="0" w:line="240" w:lineRule="auto"/>
        <w:rPr>
          <w:b/>
          <w:bCs/>
          <w:color w:val="2F5496" w:themeColor="accent1" w:themeShade="BF"/>
          <w:sz w:val="32"/>
          <w:szCs w:val="32"/>
        </w:rPr>
      </w:pPr>
      <w:r w:rsidRPr="00C80508">
        <w:rPr>
          <w:b/>
          <w:bCs/>
          <w:color w:val="2F5496" w:themeColor="accent1" w:themeShade="BF"/>
          <w:sz w:val="32"/>
          <w:szCs w:val="32"/>
        </w:rPr>
        <w:t>COVID</w:t>
      </w:r>
      <w:r w:rsidR="00F00E3D" w:rsidRPr="00C80508">
        <w:rPr>
          <w:b/>
          <w:bCs/>
          <w:color w:val="2F5496" w:themeColor="accent1" w:themeShade="BF"/>
          <w:sz w:val="32"/>
          <w:szCs w:val="32"/>
        </w:rPr>
        <w:t>-19 Impacts on Corio, Norlane</w:t>
      </w:r>
      <w:r w:rsidR="00FE6CB9" w:rsidRPr="00C80508">
        <w:rPr>
          <w:b/>
          <w:bCs/>
          <w:color w:val="2F5496" w:themeColor="accent1" w:themeShade="BF"/>
          <w:sz w:val="32"/>
          <w:szCs w:val="32"/>
        </w:rPr>
        <w:t>,</w:t>
      </w:r>
      <w:r w:rsidR="00F00E3D" w:rsidRPr="00C80508">
        <w:rPr>
          <w:b/>
          <w:bCs/>
          <w:color w:val="2F5496" w:themeColor="accent1" w:themeShade="BF"/>
          <w:sz w:val="32"/>
          <w:szCs w:val="32"/>
        </w:rPr>
        <w:t xml:space="preserve"> and Whittington</w:t>
      </w:r>
    </w:p>
    <w:p w14:paraId="7E1053D9" w14:textId="77777777" w:rsidR="00C80508" w:rsidRPr="00C80508" w:rsidRDefault="00C80508" w:rsidP="00C80508">
      <w:pPr>
        <w:spacing w:after="0" w:line="240" w:lineRule="auto"/>
        <w:rPr>
          <w:b/>
          <w:bCs/>
          <w:color w:val="2F5496" w:themeColor="accent1" w:themeShade="BF"/>
          <w:sz w:val="12"/>
          <w:szCs w:val="12"/>
        </w:rPr>
      </w:pPr>
    </w:p>
    <w:p w14:paraId="0D520E88" w14:textId="6B82FDAB" w:rsidR="002770CC" w:rsidRPr="00587112" w:rsidRDefault="00F00E3D" w:rsidP="00616B8A">
      <w:pPr>
        <w:spacing w:line="276" w:lineRule="auto"/>
        <w:rPr>
          <w:rFonts w:asciiTheme="majorHAnsi" w:eastAsiaTheme="majorEastAsia" w:hAnsiTheme="majorHAnsi" w:cstheme="majorHAnsi"/>
          <w:sz w:val="23"/>
          <w:szCs w:val="23"/>
          <w:lang w:val="en-GB"/>
        </w:rPr>
      </w:pPr>
      <w:r w:rsidRPr="00B570D0">
        <w:rPr>
          <w:rFonts w:asciiTheme="majorHAnsi" w:eastAsiaTheme="majorEastAsia" w:hAnsiTheme="majorHAnsi" w:cstheme="majorHAnsi"/>
          <w:sz w:val="23"/>
          <w:szCs w:val="23"/>
          <w:lang w:val="en-GB"/>
        </w:rPr>
        <w:t xml:space="preserve">This section presents our findings from </w:t>
      </w:r>
      <w:r w:rsidR="00D66984">
        <w:rPr>
          <w:rFonts w:asciiTheme="majorHAnsi" w:eastAsiaTheme="majorEastAsia" w:hAnsiTheme="majorHAnsi" w:cstheme="majorHAnsi"/>
          <w:sz w:val="23"/>
          <w:szCs w:val="23"/>
          <w:lang w:val="en-GB"/>
        </w:rPr>
        <w:t xml:space="preserve">the final research phase of this study: </w:t>
      </w:r>
      <w:r w:rsidR="00FC00D2">
        <w:rPr>
          <w:rFonts w:asciiTheme="majorHAnsi" w:eastAsiaTheme="majorEastAsia" w:hAnsiTheme="majorHAnsi" w:cstheme="majorHAnsi"/>
          <w:sz w:val="23"/>
          <w:szCs w:val="23"/>
          <w:lang w:val="en-GB"/>
        </w:rPr>
        <w:t xml:space="preserve">consultations </w:t>
      </w:r>
      <w:r w:rsidRPr="00B570D0">
        <w:rPr>
          <w:rFonts w:asciiTheme="majorHAnsi" w:eastAsiaTheme="majorEastAsia" w:hAnsiTheme="majorHAnsi" w:cstheme="majorHAnsi"/>
          <w:sz w:val="23"/>
          <w:szCs w:val="23"/>
          <w:lang w:val="en-GB"/>
        </w:rPr>
        <w:t>wit</w:t>
      </w:r>
      <w:r w:rsidR="00E13C3C">
        <w:rPr>
          <w:rFonts w:asciiTheme="majorHAnsi" w:eastAsiaTheme="majorEastAsia" w:hAnsiTheme="majorHAnsi" w:cstheme="majorHAnsi"/>
          <w:sz w:val="23"/>
          <w:szCs w:val="23"/>
          <w:lang w:val="en-GB"/>
        </w:rPr>
        <w:t>h</w:t>
      </w:r>
      <w:r w:rsidRPr="00B570D0">
        <w:rPr>
          <w:rFonts w:asciiTheme="majorHAnsi" w:eastAsiaTheme="majorEastAsia" w:hAnsiTheme="majorHAnsi" w:cstheme="majorHAnsi"/>
          <w:sz w:val="23"/>
          <w:szCs w:val="23"/>
          <w:lang w:val="en-GB"/>
        </w:rPr>
        <w:t xml:space="preserve"> local experts working in community-based roles across Corio, Norlane</w:t>
      </w:r>
      <w:r w:rsidR="00216E5B">
        <w:rPr>
          <w:rFonts w:asciiTheme="majorHAnsi" w:eastAsiaTheme="majorEastAsia" w:hAnsiTheme="majorHAnsi" w:cstheme="majorHAnsi"/>
          <w:sz w:val="23"/>
          <w:szCs w:val="23"/>
          <w:lang w:val="en-GB"/>
        </w:rPr>
        <w:t xml:space="preserve">, </w:t>
      </w:r>
      <w:r w:rsidR="00216E5B" w:rsidRPr="00B570D0">
        <w:rPr>
          <w:rFonts w:asciiTheme="majorHAnsi" w:eastAsiaTheme="majorEastAsia" w:hAnsiTheme="majorHAnsi" w:cstheme="majorHAnsi"/>
          <w:sz w:val="23"/>
          <w:szCs w:val="23"/>
          <w:lang w:val="en-GB"/>
        </w:rPr>
        <w:t>and/or Whittington</w:t>
      </w:r>
      <w:r w:rsidRPr="00B570D0">
        <w:rPr>
          <w:rFonts w:asciiTheme="majorHAnsi" w:eastAsiaTheme="majorEastAsia" w:hAnsiTheme="majorHAnsi" w:cstheme="majorHAnsi"/>
          <w:sz w:val="23"/>
          <w:szCs w:val="23"/>
          <w:lang w:val="en-GB"/>
        </w:rPr>
        <w:t xml:space="preserve">. </w:t>
      </w:r>
      <w:r w:rsidR="00D735B2">
        <w:rPr>
          <w:rFonts w:asciiTheme="majorHAnsi" w:eastAsiaTheme="majorEastAsia" w:hAnsiTheme="majorHAnsi" w:cstheme="majorHAnsi"/>
          <w:sz w:val="23"/>
          <w:szCs w:val="23"/>
          <w:lang w:val="en-GB"/>
        </w:rPr>
        <w:t>In</w:t>
      </w:r>
      <w:r w:rsidRPr="00B570D0">
        <w:rPr>
          <w:rFonts w:asciiTheme="majorHAnsi" w:eastAsiaTheme="majorEastAsia" w:hAnsiTheme="majorHAnsi" w:cstheme="majorHAnsi"/>
          <w:sz w:val="23"/>
          <w:szCs w:val="23"/>
          <w:lang w:val="en-GB"/>
        </w:rPr>
        <w:t xml:space="preserve"> a series of in-depth interviews</w:t>
      </w:r>
      <w:r w:rsidR="001555D2">
        <w:rPr>
          <w:rFonts w:asciiTheme="majorHAnsi" w:eastAsiaTheme="majorEastAsia" w:hAnsiTheme="majorHAnsi" w:cstheme="majorHAnsi"/>
          <w:sz w:val="23"/>
          <w:szCs w:val="23"/>
          <w:lang w:val="en-GB"/>
        </w:rPr>
        <w:t xml:space="preserve"> and a follow-up focus group</w:t>
      </w:r>
      <w:r w:rsidR="0081524C">
        <w:rPr>
          <w:rFonts w:asciiTheme="majorHAnsi" w:eastAsiaTheme="majorEastAsia" w:hAnsiTheme="majorHAnsi" w:cstheme="majorHAnsi"/>
          <w:sz w:val="23"/>
          <w:szCs w:val="23"/>
          <w:lang w:val="en-GB"/>
        </w:rPr>
        <w:t xml:space="preserve"> </w:t>
      </w:r>
      <w:r w:rsidR="00D735B2">
        <w:rPr>
          <w:rFonts w:asciiTheme="majorHAnsi" w:eastAsiaTheme="majorEastAsia" w:hAnsiTheme="majorHAnsi" w:cstheme="majorHAnsi"/>
          <w:sz w:val="23"/>
          <w:szCs w:val="23"/>
          <w:lang w:val="en-GB"/>
        </w:rPr>
        <w:t xml:space="preserve">(both </w:t>
      </w:r>
      <w:r w:rsidR="0081524C">
        <w:rPr>
          <w:rFonts w:asciiTheme="majorHAnsi" w:eastAsiaTheme="majorEastAsia" w:hAnsiTheme="majorHAnsi" w:cstheme="majorHAnsi"/>
          <w:sz w:val="23"/>
          <w:szCs w:val="23"/>
          <w:lang w:val="en-GB"/>
        </w:rPr>
        <w:t>conducted in March 2021</w:t>
      </w:r>
      <w:r w:rsidR="00D735B2">
        <w:rPr>
          <w:rFonts w:asciiTheme="majorHAnsi" w:eastAsiaTheme="majorEastAsia" w:hAnsiTheme="majorHAnsi" w:cstheme="majorHAnsi"/>
          <w:sz w:val="23"/>
          <w:szCs w:val="23"/>
          <w:lang w:val="en-GB"/>
        </w:rPr>
        <w:t>)</w:t>
      </w:r>
      <w:r w:rsidRPr="00B570D0">
        <w:rPr>
          <w:rFonts w:asciiTheme="majorHAnsi" w:eastAsiaTheme="majorEastAsia" w:hAnsiTheme="majorHAnsi" w:cstheme="majorHAnsi"/>
          <w:sz w:val="23"/>
          <w:szCs w:val="23"/>
          <w:lang w:val="en-GB"/>
        </w:rPr>
        <w:t xml:space="preserve">, these key workers </w:t>
      </w:r>
      <w:r w:rsidR="00216E5B">
        <w:rPr>
          <w:rFonts w:asciiTheme="majorHAnsi" w:eastAsiaTheme="majorEastAsia" w:hAnsiTheme="majorHAnsi" w:cstheme="majorHAnsi"/>
          <w:sz w:val="23"/>
          <w:szCs w:val="23"/>
          <w:lang w:val="en-GB"/>
        </w:rPr>
        <w:t>shared</w:t>
      </w:r>
      <w:r w:rsidRPr="00B570D0">
        <w:rPr>
          <w:rFonts w:asciiTheme="majorHAnsi" w:eastAsiaTheme="majorEastAsia" w:hAnsiTheme="majorHAnsi" w:cstheme="majorHAnsi"/>
          <w:sz w:val="23"/>
          <w:szCs w:val="23"/>
          <w:lang w:val="en-GB"/>
        </w:rPr>
        <w:t xml:space="preserve"> insights about </w:t>
      </w:r>
      <w:r w:rsidR="00FC00D2">
        <w:rPr>
          <w:rFonts w:asciiTheme="majorHAnsi" w:eastAsiaTheme="majorEastAsia" w:hAnsiTheme="majorHAnsi" w:cstheme="majorHAnsi"/>
          <w:sz w:val="23"/>
          <w:szCs w:val="23"/>
          <w:lang w:val="en-GB"/>
        </w:rPr>
        <w:t>residents’ experiences of</w:t>
      </w:r>
      <w:r w:rsidRPr="00B570D0">
        <w:rPr>
          <w:rFonts w:asciiTheme="majorHAnsi" w:eastAsiaTheme="majorEastAsia" w:hAnsiTheme="majorHAnsi" w:cstheme="majorHAnsi"/>
          <w:sz w:val="23"/>
          <w:szCs w:val="23"/>
          <w:lang w:val="en-GB"/>
        </w:rPr>
        <w:t xml:space="preserve"> </w:t>
      </w:r>
      <w:r w:rsidR="00940D80">
        <w:rPr>
          <w:rFonts w:asciiTheme="majorHAnsi" w:eastAsiaTheme="majorEastAsia" w:hAnsiTheme="majorHAnsi" w:cstheme="majorHAnsi"/>
          <w:sz w:val="23"/>
          <w:szCs w:val="23"/>
          <w:lang w:val="en-GB"/>
        </w:rPr>
        <w:t>COVID</w:t>
      </w:r>
      <w:r w:rsidRPr="00B570D0">
        <w:rPr>
          <w:rFonts w:asciiTheme="majorHAnsi" w:eastAsiaTheme="majorEastAsia" w:hAnsiTheme="majorHAnsi" w:cstheme="majorHAnsi"/>
          <w:sz w:val="23"/>
          <w:szCs w:val="23"/>
          <w:lang w:val="en-GB"/>
        </w:rPr>
        <w:t>-19,</w:t>
      </w:r>
      <w:r w:rsidR="00216E5B">
        <w:rPr>
          <w:rFonts w:asciiTheme="majorHAnsi" w:eastAsiaTheme="majorEastAsia" w:hAnsiTheme="majorHAnsi" w:cstheme="majorHAnsi"/>
          <w:sz w:val="23"/>
          <w:szCs w:val="23"/>
          <w:lang w:val="en-GB"/>
        </w:rPr>
        <w:t xml:space="preserve"> described</w:t>
      </w:r>
      <w:r w:rsidR="00FC00D2">
        <w:rPr>
          <w:rFonts w:asciiTheme="majorHAnsi" w:eastAsiaTheme="majorEastAsia" w:hAnsiTheme="majorHAnsi" w:cstheme="majorHAnsi"/>
          <w:sz w:val="23"/>
          <w:szCs w:val="23"/>
          <w:lang w:val="en-GB"/>
        </w:rPr>
        <w:t xml:space="preserve"> </w:t>
      </w:r>
      <w:r w:rsidR="00216E5B">
        <w:rPr>
          <w:rFonts w:asciiTheme="majorHAnsi" w:eastAsiaTheme="majorEastAsia" w:hAnsiTheme="majorHAnsi" w:cstheme="majorHAnsi"/>
          <w:sz w:val="23"/>
          <w:szCs w:val="23"/>
          <w:lang w:val="en-GB"/>
        </w:rPr>
        <w:t>the pandemic</w:t>
      </w:r>
      <w:r w:rsidR="0081524C">
        <w:rPr>
          <w:rFonts w:asciiTheme="majorHAnsi" w:eastAsiaTheme="majorEastAsia" w:hAnsiTheme="majorHAnsi" w:cstheme="majorHAnsi"/>
          <w:sz w:val="23"/>
          <w:szCs w:val="23"/>
          <w:lang w:val="en-GB"/>
        </w:rPr>
        <w:t>’s local impacts</w:t>
      </w:r>
      <w:r w:rsidR="00216E5B">
        <w:rPr>
          <w:rFonts w:asciiTheme="majorHAnsi" w:eastAsiaTheme="majorEastAsia" w:hAnsiTheme="majorHAnsi" w:cstheme="majorHAnsi"/>
          <w:sz w:val="23"/>
          <w:szCs w:val="23"/>
          <w:lang w:val="en-GB"/>
        </w:rPr>
        <w:t>, identified</w:t>
      </w:r>
      <w:r w:rsidR="002770CC">
        <w:rPr>
          <w:rFonts w:asciiTheme="majorHAnsi" w:eastAsiaTheme="majorEastAsia" w:hAnsiTheme="majorHAnsi" w:cstheme="majorHAnsi"/>
          <w:sz w:val="23"/>
          <w:szCs w:val="23"/>
          <w:lang w:val="en-GB"/>
        </w:rPr>
        <w:t xml:space="preserve"> </w:t>
      </w:r>
      <w:r w:rsidR="00216E5B">
        <w:rPr>
          <w:rFonts w:asciiTheme="majorHAnsi" w:eastAsiaTheme="majorEastAsia" w:hAnsiTheme="majorHAnsi" w:cstheme="majorHAnsi"/>
          <w:sz w:val="23"/>
          <w:szCs w:val="23"/>
          <w:lang w:val="en-GB"/>
        </w:rPr>
        <w:t>unmet needs</w:t>
      </w:r>
      <w:r w:rsidR="002770CC">
        <w:rPr>
          <w:rFonts w:asciiTheme="majorHAnsi" w:eastAsiaTheme="majorEastAsia" w:hAnsiTheme="majorHAnsi" w:cstheme="majorHAnsi"/>
          <w:sz w:val="23"/>
          <w:szCs w:val="23"/>
          <w:lang w:val="en-GB"/>
        </w:rPr>
        <w:t xml:space="preserve"> in these communities,</w:t>
      </w:r>
      <w:r w:rsidR="00216E5B">
        <w:rPr>
          <w:rFonts w:asciiTheme="majorHAnsi" w:eastAsiaTheme="majorEastAsia" w:hAnsiTheme="majorHAnsi" w:cstheme="majorHAnsi"/>
          <w:sz w:val="23"/>
          <w:szCs w:val="23"/>
          <w:lang w:val="en-GB"/>
        </w:rPr>
        <w:t xml:space="preserve"> </w:t>
      </w:r>
      <w:r w:rsidRPr="00B570D0">
        <w:rPr>
          <w:rFonts w:asciiTheme="majorHAnsi" w:eastAsiaTheme="majorEastAsia" w:hAnsiTheme="majorHAnsi" w:cstheme="majorHAnsi"/>
          <w:sz w:val="23"/>
          <w:szCs w:val="23"/>
          <w:lang w:val="en-GB"/>
        </w:rPr>
        <w:t xml:space="preserve">and </w:t>
      </w:r>
      <w:r w:rsidR="00216E5B">
        <w:rPr>
          <w:rFonts w:asciiTheme="majorHAnsi" w:eastAsiaTheme="majorEastAsia" w:hAnsiTheme="majorHAnsi" w:cstheme="majorHAnsi"/>
          <w:sz w:val="23"/>
          <w:szCs w:val="23"/>
          <w:lang w:val="en-GB"/>
        </w:rPr>
        <w:t>suggested</w:t>
      </w:r>
      <w:r w:rsidRPr="00B570D0">
        <w:rPr>
          <w:rFonts w:asciiTheme="majorHAnsi" w:eastAsiaTheme="majorEastAsia" w:hAnsiTheme="majorHAnsi" w:cstheme="majorHAnsi"/>
          <w:sz w:val="23"/>
          <w:szCs w:val="23"/>
          <w:lang w:val="en-GB"/>
        </w:rPr>
        <w:t xml:space="preserve"> initiatives </w:t>
      </w:r>
      <w:r w:rsidR="002770CC">
        <w:rPr>
          <w:rFonts w:asciiTheme="majorHAnsi" w:eastAsiaTheme="majorEastAsia" w:hAnsiTheme="majorHAnsi" w:cstheme="majorHAnsi"/>
          <w:sz w:val="23"/>
          <w:szCs w:val="23"/>
          <w:lang w:val="en-GB"/>
        </w:rPr>
        <w:t>to</w:t>
      </w:r>
      <w:r w:rsidRPr="00B570D0">
        <w:rPr>
          <w:rFonts w:asciiTheme="majorHAnsi" w:eastAsiaTheme="majorEastAsia" w:hAnsiTheme="majorHAnsi" w:cstheme="majorHAnsi"/>
          <w:sz w:val="23"/>
          <w:szCs w:val="23"/>
          <w:lang w:val="en-GB"/>
        </w:rPr>
        <w:t xml:space="preserve"> improve</w:t>
      </w:r>
      <w:r w:rsidR="00FC00D2">
        <w:rPr>
          <w:rFonts w:asciiTheme="majorHAnsi" w:eastAsiaTheme="majorEastAsia" w:hAnsiTheme="majorHAnsi" w:cstheme="majorHAnsi"/>
          <w:sz w:val="23"/>
          <w:szCs w:val="23"/>
          <w:lang w:val="en-GB"/>
        </w:rPr>
        <w:t xml:space="preserve"> </w:t>
      </w:r>
      <w:r w:rsidRPr="00B570D0">
        <w:rPr>
          <w:rFonts w:asciiTheme="majorHAnsi" w:eastAsiaTheme="majorEastAsia" w:hAnsiTheme="majorHAnsi" w:cstheme="majorHAnsi"/>
          <w:sz w:val="23"/>
          <w:szCs w:val="23"/>
          <w:lang w:val="en-GB"/>
        </w:rPr>
        <w:t>quality of life</w:t>
      </w:r>
      <w:r w:rsidR="00216E5B">
        <w:rPr>
          <w:rFonts w:asciiTheme="majorHAnsi" w:eastAsiaTheme="majorEastAsia" w:hAnsiTheme="majorHAnsi" w:cstheme="majorHAnsi"/>
          <w:sz w:val="23"/>
          <w:szCs w:val="23"/>
          <w:lang w:val="en-GB"/>
        </w:rPr>
        <w:t xml:space="preserve"> </w:t>
      </w:r>
      <w:r w:rsidR="002770CC">
        <w:rPr>
          <w:rFonts w:asciiTheme="majorHAnsi" w:eastAsiaTheme="majorEastAsia" w:hAnsiTheme="majorHAnsi" w:cstheme="majorHAnsi"/>
          <w:sz w:val="23"/>
          <w:szCs w:val="23"/>
          <w:lang w:val="en-GB"/>
        </w:rPr>
        <w:t>in the three localities</w:t>
      </w:r>
      <w:r w:rsidRPr="00B570D0">
        <w:rPr>
          <w:rFonts w:asciiTheme="majorHAnsi" w:eastAsiaTheme="majorEastAsia" w:hAnsiTheme="majorHAnsi" w:cstheme="majorHAnsi"/>
          <w:sz w:val="23"/>
          <w:szCs w:val="23"/>
          <w:lang w:val="en-GB"/>
        </w:rPr>
        <w:t>.</w:t>
      </w:r>
      <w:r w:rsidR="00587112">
        <w:rPr>
          <w:rFonts w:asciiTheme="majorHAnsi" w:eastAsiaTheme="majorEastAsia" w:hAnsiTheme="majorHAnsi" w:cstheme="majorHAnsi"/>
          <w:sz w:val="23"/>
          <w:szCs w:val="23"/>
          <w:lang w:val="en-GB"/>
        </w:rPr>
        <w:t xml:space="preserve"> </w:t>
      </w:r>
      <w:r w:rsidR="002770CC" w:rsidRPr="005D4E46">
        <w:rPr>
          <w:rFonts w:asciiTheme="majorHAnsi" w:eastAsiaTheme="majorEastAsia" w:hAnsiTheme="majorHAnsi" w:cstheme="majorBidi"/>
          <w:sz w:val="23"/>
          <w:szCs w:val="23"/>
          <w:lang w:val="en-GB"/>
        </w:rPr>
        <w:t>Th</w:t>
      </w:r>
      <w:r w:rsidR="00D66984">
        <w:rPr>
          <w:rFonts w:asciiTheme="majorHAnsi" w:eastAsiaTheme="majorEastAsia" w:hAnsiTheme="majorHAnsi" w:cstheme="majorBidi"/>
          <w:sz w:val="23"/>
          <w:szCs w:val="23"/>
          <w:lang w:val="en-GB"/>
        </w:rPr>
        <w:t xml:space="preserve">is </w:t>
      </w:r>
      <w:r w:rsidR="002770CC" w:rsidRPr="005D4E46">
        <w:rPr>
          <w:rFonts w:asciiTheme="majorHAnsi" w:eastAsiaTheme="majorEastAsia" w:hAnsiTheme="majorHAnsi" w:cstheme="majorBidi"/>
          <w:sz w:val="23"/>
          <w:szCs w:val="23"/>
          <w:lang w:val="en-GB"/>
        </w:rPr>
        <w:t>section</w:t>
      </w:r>
      <w:r w:rsidR="00D66984">
        <w:rPr>
          <w:rFonts w:asciiTheme="majorHAnsi" w:eastAsiaTheme="majorEastAsia" w:hAnsiTheme="majorHAnsi" w:cstheme="majorBidi"/>
          <w:sz w:val="23"/>
          <w:szCs w:val="23"/>
          <w:lang w:val="en-GB"/>
        </w:rPr>
        <w:t xml:space="preserve"> of the report</w:t>
      </w:r>
      <w:r w:rsidR="002770CC" w:rsidRPr="005D4E46">
        <w:rPr>
          <w:rFonts w:asciiTheme="majorHAnsi" w:eastAsiaTheme="majorEastAsia" w:hAnsiTheme="majorHAnsi" w:cstheme="majorBidi"/>
          <w:sz w:val="23"/>
          <w:szCs w:val="23"/>
          <w:lang w:val="en-GB"/>
        </w:rPr>
        <w:t xml:space="preserve"> is structured as follows:</w:t>
      </w:r>
    </w:p>
    <w:p w14:paraId="70008A49" w14:textId="302E10E9" w:rsidR="002770CC" w:rsidRPr="005D4E46" w:rsidRDefault="002770CC" w:rsidP="00616B8A">
      <w:pPr>
        <w:pStyle w:val="ListParagraph"/>
        <w:numPr>
          <w:ilvl w:val="0"/>
          <w:numId w:val="93"/>
        </w:numPr>
        <w:spacing w:line="276" w:lineRule="auto"/>
        <w:rPr>
          <w:rFonts w:asciiTheme="majorHAnsi" w:eastAsiaTheme="majorEastAsia" w:hAnsiTheme="majorHAnsi" w:cstheme="majorBidi"/>
          <w:sz w:val="23"/>
          <w:szCs w:val="23"/>
          <w:lang w:val="en-GB"/>
        </w:rPr>
      </w:pPr>
      <w:r w:rsidRPr="005D4E46">
        <w:rPr>
          <w:rFonts w:asciiTheme="majorHAnsi" w:eastAsiaTheme="majorEastAsia" w:hAnsiTheme="majorHAnsi" w:cstheme="majorBidi"/>
          <w:sz w:val="23"/>
          <w:szCs w:val="23"/>
          <w:lang w:val="en-GB"/>
        </w:rPr>
        <w:t>Methodology</w:t>
      </w:r>
    </w:p>
    <w:p w14:paraId="20043FCA" w14:textId="766244CB" w:rsidR="002770CC" w:rsidRPr="005D4E46" w:rsidRDefault="002770CC" w:rsidP="00616B8A">
      <w:pPr>
        <w:pStyle w:val="ListParagraph"/>
        <w:numPr>
          <w:ilvl w:val="0"/>
          <w:numId w:val="93"/>
        </w:numPr>
        <w:spacing w:line="276" w:lineRule="auto"/>
        <w:rPr>
          <w:rFonts w:asciiTheme="majorHAnsi" w:eastAsiaTheme="majorEastAsia" w:hAnsiTheme="majorHAnsi" w:cstheme="majorBidi"/>
          <w:sz w:val="23"/>
          <w:szCs w:val="23"/>
          <w:lang w:val="en-GB"/>
        </w:rPr>
      </w:pPr>
      <w:r w:rsidRPr="005D4E46">
        <w:rPr>
          <w:rFonts w:asciiTheme="majorHAnsi" w:eastAsiaTheme="majorEastAsia" w:hAnsiTheme="majorHAnsi" w:cstheme="majorBidi"/>
          <w:sz w:val="23"/>
          <w:szCs w:val="23"/>
          <w:lang w:val="en-GB"/>
        </w:rPr>
        <w:t>Local Expert Interviews: COVID-19</w:t>
      </w:r>
      <w:r w:rsidR="00A23DBA" w:rsidRPr="005D4E46">
        <w:rPr>
          <w:rFonts w:asciiTheme="majorHAnsi" w:eastAsiaTheme="majorEastAsia" w:hAnsiTheme="majorHAnsi" w:cstheme="majorBidi"/>
          <w:sz w:val="23"/>
          <w:szCs w:val="23"/>
          <w:lang w:val="en-GB"/>
        </w:rPr>
        <w:t xml:space="preserve"> Impacts and Community Responses</w:t>
      </w:r>
    </w:p>
    <w:p w14:paraId="5E0FEDB1" w14:textId="77777777" w:rsidR="002770CC" w:rsidRPr="00A32333" w:rsidRDefault="002770CC" w:rsidP="00616B8A">
      <w:pPr>
        <w:pStyle w:val="ListParagraph"/>
        <w:numPr>
          <w:ilvl w:val="0"/>
          <w:numId w:val="93"/>
        </w:numPr>
        <w:spacing w:line="276" w:lineRule="auto"/>
        <w:rPr>
          <w:rFonts w:asciiTheme="majorHAnsi" w:eastAsiaTheme="majorEastAsia" w:hAnsiTheme="majorHAnsi" w:cstheme="majorBidi"/>
          <w:sz w:val="23"/>
          <w:szCs w:val="23"/>
          <w:lang w:val="en-GB"/>
        </w:rPr>
      </w:pPr>
      <w:bookmarkStart w:id="95" w:name="_Hlk70780540"/>
      <w:r w:rsidRPr="00A32333">
        <w:rPr>
          <w:rFonts w:asciiTheme="majorHAnsi" w:eastAsiaTheme="majorEastAsia" w:hAnsiTheme="majorHAnsi" w:cstheme="majorBidi"/>
          <w:sz w:val="23"/>
          <w:szCs w:val="23"/>
          <w:lang w:val="en-GB"/>
        </w:rPr>
        <w:t>Gap Analysis: Unmet Needs Revealed by the Pandemic</w:t>
      </w:r>
    </w:p>
    <w:bookmarkEnd w:id="95"/>
    <w:p w14:paraId="241E79D1" w14:textId="77777777" w:rsidR="002770CC" w:rsidRPr="00A32333" w:rsidRDefault="002770CC" w:rsidP="00616B8A">
      <w:pPr>
        <w:pStyle w:val="ListParagraph"/>
        <w:numPr>
          <w:ilvl w:val="0"/>
          <w:numId w:val="93"/>
        </w:numPr>
        <w:spacing w:line="276" w:lineRule="auto"/>
        <w:rPr>
          <w:rFonts w:asciiTheme="majorHAnsi" w:eastAsiaTheme="majorEastAsia" w:hAnsiTheme="majorHAnsi" w:cstheme="majorBidi"/>
          <w:sz w:val="23"/>
          <w:szCs w:val="23"/>
          <w:lang w:val="en-GB"/>
        </w:rPr>
      </w:pPr>
      <w:r w:rsidRPr="00A32333">
        <w:rPr>
          <w:rFonts w:asciiTheme="majorHAnsi" w:eastAsiaTheme="majorEastAsia" w:hAnsiTheme="majorHAnsi" w:cstheme="majorBidi"/>
          <w:sz w:val="23"/>
          <w:szCs w:val="23"/>
          <w:lang w:val="en-GB"/>
        </w:rPr>
        <w:t>Working with Local Communities: What is The Best Approach?</w:t>
      </w:r>
    </w:p>
    <w:p w14:paraId="40340A96" w14:textId="77777777" w:rsidR="002770CC" w:rsidRPr="00A32333" w:rsidRDefault="002770CC" w:rsidP="00616B8A">
      <w:pPr>
        <w:pStyle w:val="ListParagraph"/>
        <w:numPr>
          <w:ilvl w:val="0"/>
          <w:numId w:val="93"/>
        </w:numPr>
        <w:spacing w:line="276" w:lineRule="auto"/>
        <w:rPr>
          <w:rFonts w:asciiTheme="majorHAnsi" w:eastAsiaTheme="majorEastAsia" w:hAnsiTheme="majorHAnsi" w:cstheme="majorBidi"/>
          <w:sz w:val="23"/>
          <w:szCs w:val="23"/>
          <w:lang w:val="en-GB"/>
        </w:rPr>
      </w:pPr>
      <w:r w:rsidRPr="00A32333">
        <w:rPr>
          <w:rFonts w:asciiTheme="majorHAnsi" w:eastAsiaTheme="majorEastAsia" w:hAnsiTheme="majorHAnsi" w:cstheme="majorBidi"/>
          <w:sz w:val="23"/>
          <w:szCs w:val="23"/>
          <w:lang w:val="en-GB"/>
        </w:rPr>
        <w:t>Local Expert Focus Group</w:t>
      </w:r>
    </w:p>
    <w:p w14:paraId="44F886A4" w14:textId="54591B16" w:rsidR="002770CC" w:rsidRPr="005D4E46" w:rsidRDefault="002770CC" w:rsidP="00616B8A">
      <w:pPr>
        <w:pStyle w:val="ListParagraph"/>
        <w:numPr>
          <w:ilvl w:val="0"/>
          <w:numId w:val="93"/>
        </w:numPr>
        <w:spacing w:line="276" w:lineRule="auto"/>
        <w:rPr>
          <w:rFonts w:asciiTheme="majorHAnsi" w:eastAsiaTheme="majorEastAsia" w:hAnsiTheme="majorHAnsi" w:cstheme="majorBidi"/>
          <w:sz w:val="23"/>
          <w:szCs w:val="23"/>
          <w:lang w:val="en-GB"/>
        </w:rPr>
      </w:pPr>
      <w:r w:rsidRPr="005D4E46">
        <w:rPr>
          <w:rFonts w:asciiTheme="majorHAnsi" w:eastAsiaTheme="majorEastAsia" w:hAnsiTheme="majorHAnsi" w:cstheme="majorBidi"/>
          <w:sz w:val="23"/>
          <w:szCs w:val="23"/>
          <w:lang w:val="en-GB"/>
        </w:rPr>
        <w:t>Key Priorities and Proposed Interventions.</w:t>
      </w:r>
    </w:p>
    <w:p w14:paraId="1C913DC3" w14:textId="26D99B62" w:rsidR="00CF70DD" w:rsidRPr="00BF45CB" w:rsidRDefault="00CF70DD" w:rsidP="00616B8A">
      <w:pPr>
        <w:spacing w:line="276" w:lineRule="auto"/>
        <w:rPr>
          <w:rFonts w:eastAsiaTheme="majorEastAsia" w:cstheme="minorHAnsi"/>
          <w:color w:val="2F5496" w:themeColor="accent1" w:themeShade="BF"/>
          <w:sz w:val="28"/>
          <w:szCs w:val="28"/>
          <w:lang w:val="en-GB"/>
        </w:rPr>
      </w:pPr>
      <w:r w:rsidRPr="00BF45CB">
        <w:rPr>
          <w:rFonts w:eastAsia="Calibri Light" w:cstheme="minorHAnsi"/>
          <w:b/>
          <w:bCs/>
          <w:color w:val="2F5496" w:themeColor="accent1" w:themeShade="BF"/>
          <w:sz w:val="28"/>
          <w:szCs w:val="28"/>
        </w:rPr>
        <w:t>Methodology</w:t>
      </w:r>
    </w:p>
    <w:p w14:paraId="252DE62F" w14:textId="372D37D5" w:rsidR="00797245" w:rsidRDefault="00797245" w:rsidP="00616B8A">
      <w:pPr>
        <w:spacing w:line="276" w:lineRule="auto"/>
        <w:rPr>
          <w:rFonts w:asciiTheme="majorHAnsi" w:eastAsiaTheme="majorEastAsia" w:hAnsiTheme="majorHAnsi" w:cstheme="majorHAnsi"/>
          <w:sz w:val="23"/>
          <w:szCs w:val="23"/>
          <w:lang w:val="en-GB"/>
        </w:rPr>
      </w:pPr>
      <w:r>
        <w:rPr>
          <w:rFonts w:asciiTheme="majorHAnsi" w:eastAsiaTheme="majorEastAsia" w:hAnsiTheme="majorHAnsi" w:cstheme="majorHAnsi"/>
          <w:sz w:val="23"/>
          <w:szCs w:val="23"/>
          <w:lang w:val="en-GB"/>
        </w:rPr>
        <w:t xml:space="preserve">Our consultations </w:t>
      </w:r>
      <w:r w:rsidR="00100F00">
        <w:rPr>
          <w:rFonts w:asciiTheme="majorHAnsi" w:eastAsiaTheme="majorEastAsia" w:hAnsiTheme="majorHAnsi" w:cstheme="majorHAnsi"/>
          <w:sz w:val="23"/>
          <w:szCs w:val="23"/>
          <w:lang w:val="en-GB"/>
        </w:rPr>
        <w:t>sought</w:t>
      </w:r>
      <w:r>
        <w:rPr>
          <w:rFonts w:asciiTheme="majorHAnsi" w:eastAsiaTheme="majorEastAsia" w:hAnsiTheme="majorHAnsi" w:cstheme="majorHAnsi"/>
          <w:sz w:val="23"/>
          <w:szCs w:val="23"/>
          <w:lang w:val="en-GB"/>
        </w:rPr>
        <w:t xml:space="preserve"> to address </w:t>
      </w:r>
      <w:r w:rsidR="00100F00">
        <w:rPr>
          <w:rFonts w:asciiTheme="majorHAnsi" w:eastAsiaTheme="majorEastAsia" w:hAnsiTheme="majorHAnsi" w:cstheme="majorHAnsi"/>
          <w:sz w:val="23"/>
          <w:szCs w:val="23"/>
          <w:lang w:val="en-GB"/>
        </w:rPr>
        <w:t xml:space="preserve">three of the project’s guiding </w:t>
      </w:r>
      <w:r>
        <w:rPr>
          <w:rFonts w:asciiTheme="majorHAnsi" w:eastAsiaTheme="majorEastAsia" w:hAnsiTheme="majorHAnsi" w:cstheme="majorHAnsi"/>
          <w:sz w:val="23"/>
          <w:szCs w:val="23"/>
          <w:lang w:val="en-GB"/>
        </w:rPr>
        <w:t>research questions</w:t>
      </w:r>
      <w:r w:rsidR="00100F00">
        <w:rPr>
          <w:rFonts w:asciiTheme="majorHAnsi" w:eastAsiaTheme="majorEastAsia" w:hAnsiTheme="majorHAnsi" w:cstheme="majorHAnsi"/>
          <w:sz w:val="23"/>
          <w:szCs w:val="23"/>
          <w:lang w:val="en-GB"/>
        </w:rPr>
        <w:t xml:space="preserve"> (questions 6–8):</w:t>
      </w:r>
    </w:p>
    <w:p w14:paraId="0AB00C4D" w14:textId="77838A10" w:rsidR="00100F00" w:rsidRPr="00100F00" w:rsidRDefault="00100F00" w:rsidP="00616B8A">
      <w:pPr>
        <w:pStyle w:val="ListParagraph"/>
        <w:numPr>
          <w:ilvl w:val="0"/>
          <w:numId w:val="68"/>
        </w:numPr>
        <w:spacing w:line="276" w:lineRule="auto"/>
        <w:rPr>
          <w:rFonts w:asciiTheme="majorHAnsi" w:eastAsiaTheme="majorEastAsia" w:hAnsiTheme="majorHAnsi" w:cstheme="majorHAnsi"/>
          <w:sz w:val="23"/>
          <w:szCs w:val="23"/>
          <w:lang w:val="en-GB"/>
        </w:rPr>
      </w:pPr>
      <w:r w:rsidRPr="00100F00">
        <w:rPr>
          <w:rFonts w:asciiTheme="majorHAnsi" w:eastAsiaTheme="majorEastAsia" w:hAnsiTheme="majorHAnsi" w:cstheme="majorHAnsi"/>
          <w:sz w:val="23"/>
          <w:szCs w:val="23"/>
          <w:lang w:val="en-GB"/>
        </w:rPr>
        <w:t>How have “disadvantaged” communities in Geelong dealt with the pandemic?</w:t>
      </w:r>
    </w:p>
    <w:p w14:paraId="1ED4A7C3" w14:textId="605E4196" w:rsidR="00100F00" w:rsidRPr="00100F00" w:rsidRDefault="00100F00" w:rsidP="00616B8A">
      <w:pPr>
        <w:pStyle w:val="ListParagraph"/>
        <w:numPr>
          <w:ilvl w:val="0"/>
          <w:numId w:val="68"/>
        </w:numPr>
        <w:spacing w:line="276" w:lineRule="auto"/>
        <w:rPr>
          <w:rFonts w:asciiTheme="majorHAnsi" w:eastAsiaTheme="majorEastAsia" w:hAnsiTheme="majorHAnsi" w:cstheme="majorHAnsi"/>
          <w:sz w:val="23"/>
          <w:szCs w:val="23"/>
          <w:lang w:val="en-GB"/>
        </w:rPr>
      </w:pPr>
      <w:r w:rsidRPr="00100F00">
        <w:rPr>
          <w:rFonts w:asciiTheme="majorHAnsi" w:eastAsiaTheme="majorEastAsia" w:hAnsiTheme="majorHAnsi" w:cstheme="majorHAnsi"/>
          <w:sz w:val="23"/>
          <w:szCs w:val="23"/>
          <w:lang w:val="en-GB"/>
        </w:rPr>
        <w:t>What factors facilitated local economic resilience and affirmed social cohesion?</w:t>
      </w:r>
    </w:p>
    <w:p w14:paraId="2C64CD2B" w14:textId="32B80875" w:rsidR="00100F00" w:rsidRPr="00100F00" w:rsidRDefault="00100F00" w:rsidP="00616B8A">
      <w:pPr>
        <w:pStyle w:val="ListParagraph"/>
        <w:numPr>
          <w:ilvl w:val="0"/>
          <w:numId w:val="68"/>
        </w:numPr>
        <w:spacing w:line="276" w:lineRule="auto"/>
        <w:rPr>
          <w:rFonts w:asciiTheme="majorHAnsi" w:eastAsiaTheme="majorEastAsia" w:hAnsiTheme="majorHAnsi" w:cstheme="majorHAnsi"/>
          <w:sz w:val="23"/>
          <w:szCs w:val="23"/>
          <w:lang w:val="en-GB"/>
        </w:rPr>
      </w:pPr>
      <w:r w:rsidRPr="00100F00">
        <w:rPr>
          <w:rFonts w:asciiTheme="majorHAnsi" w:eastAsiaTheme="majorEastAsia" w:hAnsiTheme="majorHAnsi" w:cstheme="majorHAnsi"/>
          <w:sz w:val="23"/>
          <w:szCs w:val="23"/>
          <w:lang w:val="en-GB"/>
        </w:rPr>
        <w:t>What interventions worked best, and what other approaches could have enhanced residents’ experiences?</w:t>
      </w:r>
    </w:p>
    <w:p w14:paraId="110C5578" w14:textId="5BB1F7A8" w:rsidR="00F96BCD" w:rsidRPr="008A3280" w:rsidRDefault="00100F00" w:rsidP="00616B8A">
      <w:pPr>
        <w:spacing w:line="276" w:lineRule="auto"/>
        <w:rPr>
          <w:rFonts w:asciiTheme="majorHAnsi" w:eastAsiaTheme="majorEastAsia" w:hAnsiTheme="majorHAnsi" w:cstheme="majorHAnsi"/>
          <w:sz w:val="23"/>
          <w:szCs w:val="23"/>
        </w:rPr>
      </w:pPr>
      <w:r>
        <w:rPr>
          <w:rFonts w:asciiTheme="majorHAnsi" w:eastAsiaTheme="majorEastAsia" w:hAnsiTheme="majorHAnsi" w:cstheme="majorHAnsi"/>
          <w:sz w:val="23"/>
          <w:szCs w:val="23"/>
          <w:lang w:val="en-GB"/>
        </w:rPr>
        <w:t>We</w:t>
      </w:r>
      <w:r w:rsidR="005D4E46">
        <w:rPr>
          <w:rFonts w:asciiTheme="majorHAnsi" w:eastAsiaTheme="majorEastAsia" w:hAnsiTheme="majorHAnsi" w:cstheme="majorHAnsi"/>
          <w:sz w:val="23"/>
          <w:szCs w:val="23"/>
          <w:lang w:val="en-GB"/>
        </w:rPr>
        <w:t xml:space="preserve"> </w:t>
      </w:r>
      <w:r>
        <w:rPr>
          <w:rFonts w:asciiTheme="majorHAnsi" w:eastAsiaTheme="majorEastAsia" w:hAnsiTheme="majorHAnsi" w:cstheme="majorHAnsi"/>
          <w:sz w:val="23"/>
          <w:szCs w:val="23"/>
          <w:lang w:val="en-GB"/>
        </w:rPr>
        <w:t xml:space="preserve">first </w:t>
      </w:r>
      <w:r w:rsidR="00FC00D2">
        <w:rPr>
          <w:rFonts w:asciiTheme="majorHAnsi" w:eastAsiaTheme="majorEastAsia" w:hAnsiTheme="majorHAnsi" w:cstheme="majorHAnsi"/>
          <w:sz w:val="23"/>
          <w:szCs w:val="23"/>
          <w:lang w:val="en-GB"/>
        </w:rPr>
        <w:t>conducted</w:t>
      </w:r>
      <w:r w:rsidR="00F00E3D" w:rsidRPr="00B570D0">
        <w:rPr>
          <w:rFonts w:asciiTheme="majorHAnsi" w:eastAsiaTheme="majorEastAsia" w:hAnsiTheme="majorHAnsi" w:cstheme="majorHAnsi"/>
          <w:sz w:val="23"/>
          <w:szCs w:val="23"/>
          <w:lang w:val="en-GB"/>
        </w:rPr>
        <w:t xml:space="preserve"> </w:t>
      </w:r>
      <w:r w:rsidR="00890DA3">
        <w:rPr>
          <w:rFonts w:asciiTheme="majorHAnsi" w:eastAsiaTheme="majorEastAsia" w:hAnsiTheme="majorHAnsi" w:cstheme="majorHAnsi"/>
          <w:sz w:val="23"/>
          <w:szCs w:val="23"/>
          <w:lang w:val="en-GB"/>
        </w:rPr>
        <w:t xml:space="preserve">a series of </w:t>
      </w:r>
      <w:r w:rsidR="001555D2">
        <w:rPr>
          <w:rFonts w:asciiTheme="majorHAnsi" w:eastAsiaTheme="majorEastAsia" w:hAnsiTheme="majorHAnsi" w:cstheme="majorHAnsi"/>
          <w:sz w:val="23"/>
          <w:szCs w:val="23"/>
          <w:lang w:val="en-GB"/>
        </w:rPr>
        <w:t xml:space="preserve">in-depth interviews </w:t>
      </w:r>
      <w:r w:rsidR="00A32333">
        <w:rPr>
          <w:rFonts w:asciiTheme="majorHAnsi" w:eastAsiaTheme="majorEastAsia" w:hAnsiTheme="majorHAnsi" w:cstheme="majorHAnsi"/>
          <w:sz w:val="23"/>
          <w:szCs w:val="23"/>
          <w:lang w:val="en-GB"/>
        </w:rPr>
        <w:t xml:space="preserve">in March 2021 </w:t>
      </w:r>
      <w:r w:rsidR="001555D2">
        <w:rPr>
          <w:rFonts w:asciiTheme="majorHAnsi" w:eastAsiaTheme="majorEastAsia" w:hAnsiTheme="majorHAnsi" w:cstheme="majorHAnsi"/>
          <w:sz w:val="23"/>
          <w:szCs w:val="23"/>
          <w:lang w:val="en-GB"/>
        </w:rPr>
        <w:t xml:space="preserve">with 12 key community </w:t>
      </w:r>
      <w:r w:rsidR="008A3280">
        <w:rPr>
          <w:rFonts w:asciiTheme="majorHAnsi" w:eastAsiaTheme="majorEastAsia" w:hAnsiTheme="majorHAnsi" w:cstheme="majorHAnsi"/>
          <w:sz w:val="23"/>
          <w:szCs w:val="23"/>
          <w:lang w:val="en-GB"/>
        </w:rPr>
        <w:t>experts whose organisations</w:t>
      </w:r>
      <w:r>
        <w:rPr>
          <w:rFonts w:asciiTheme="majorHAnsi" w:eastAsiaTheme="majorEastAsia" w:hAnsiTheme="majorHAnsi" w:cstheme="majorHAnsi"/>
          <w:sz w:val="23"/>
          <w:szCs w:val="23"/>
          <w:lang w:val="en-GB"/>
        </w:rPr>
        <w:t xml:space="preserve"> </w:t>
      </w:r>
      <w:r w:rsidR="008A3280">
        <w:rPr>
          <w:rFonts w:asciiTheme="majorHAnsi" w:eastAsiaTheme="majorEastAsia" w:hAnsiTheme="majorHAnsi" w:cstheme="majorHAnsi"/>
          <w:sz w:val="23"/>
          <w:szCs w:val="23"/>
          <w:lang w:val="en-GB"/>
        </w:rPr>
        <w:t>service</w:t>
      </w:r>
      <w:r>
        <w:rPr>
          <w:rFonts w:asciiTheme="majorHAnsi" w:eastAsiaTheme="majorEastAsia" w:hAnsiTheme="majorHAnsi" w:cstheme="majorHAnsi"/>
          <w:sz w:val="23"/>
          <w:szCs w:val="23"/>
          <w:lang w:val="en-GB"/>
        </w:rPr>
        <w:t xml:space="preserve"> the three localities</w:t>
      </w:r>
      <w:r w:rsidR="001555D2">
        <w:rPr>
          <w:rFonts w:asciiTheme="majorHAnsi" w:eastAsiaTheme="majorEastAsia" w:hAnsiTheme="majorHAnsi" w:cstheme="majorHAnsi"/>
          <w:sz w:val="23"/>
          <w:szCs w:val="23"/>
          <w:lang w:val="en-GB"/>
        </w:rPr>
        <w:t>. R</w:t>
      </w:r>
      <w:r w:rsidR="00FC00D2" w:rsidRPr="00B570D0">
        <w:rPr>
          <w:rFonts w:asciiTheme="majorHAnsi" w:eastAsiaTheme="majorEastAsia" w:hAnsiTheme="majorHAnsi" w:cstheme="majorHAnsi"/>
          <w:sz w:val="23"/>
          <w:szCs w:val="23"/>
          <w:lang w:val="en-GB"/>
        </w:rPr>
        <w:t>anging from 60–120 minutes</w:t>
      </w:r>
      <w:r w:rsidR="001555D2">
        <w:rPr>
          <w:rFonts w:asciiTheme="majorHAnsi" w:eastAsiaTheme="majorEastAsia" w:hAnsiTheme="majorHAnsi" w:cstheme="majorHAnsi"/>
          <w:sz w:val="23"/>
          <w:szCs w:val="23"/>
          <w:lang w:val="en-GB"/>
        </w:rPr>
        <w:t xml:space="preserve">, </w:t>
      </w:r>
      <w:r w:rsidR="00F96BCD">
        <w:rPr>
          <w:rFonts w:asciiTheme="majorHAnsi" w:eastAsiaTheme="majorEastAsia" w:hAnsiTheme="majorHAnsi" w:cstheme="majorHAnsi"/>
          <w:sz w:val="23"/>
          <w:szCs w:val="23"/>
          <w:lang w:val="en-GB"/>
        </w:rPr>
        <w:t xml:space="preserve">and </w:t>
      </w:r>
      <w:r>
        <w:rPr>
          <w:rFonts w:asciiTheme="majorHAnsi" w:eastAsiaTheme="majorEastAsia" w:hAnsiTheme="majorHAnsi" w:cstheme="majorHAnsi"/>
          <w:sz w:val="23"/>
          <w:szCs w:val="23"/>
          <w:lang w:val="en-GB"/>
        </w:rPr>
        <w:t xml:space="preserve">conducted over </w:t>
      </w:r>
      <w:r w:rsidR="00F96BCD">
        <w:rPr>
          <w:rFonts w:asciiTheme="majorHAnsi" w:eastAsiaTheme="majorEastAsia" w:hAnsiTheme="majorHAnsi" w:cstheme="majorHAnsi"/>
          <w:sz w:val="23"/>
          <w:szCs w:val="23"/>
          <w:lang w:val="en-GB"/>
        </w:rPr>
        <w:t>Zoom, the interviews</w:t>
      </w:r>
      <w:r w:rsidR="00F00E3D" w:rsidRPr="00B570D0">
        <w:rPr>
          <w:rFonts w:asciiTheme="majorHAnsi" w:eastAsiaTheme="majorEastAsia" w:hAnsiTheme="majorHAnsi" w:cstheme="majorHAnsi"/>
          <w:sz w:val="23"/>
          <w:szCs w:val="23"/>
          <w:lang w:val="en-GB"/>
        </w:rPr>
        <w:t xml:space="preserve"> explored how local communities </w:t>
      </w:r>
      <w:r w:rsidR="00FC00D2">
        <w:rPr>
          <w:rFonts w:asciiTheme="majorHAnsi" w:eastAsiaTheme="majorEastAsia" w:hAnsiTheme="majorHAnsi" w:cstheme="majorHAnsi"/>
          <w:sz w:val="23"/>
          <w:szCs w:val="23"/>
          <w:lang w:val="en-GB"/>
        </w:rPr>
        <w:t>experienced</w:t>
      </w:r>
      <w:r w:rsidR="00F00E3D" w:rsidRPr="00B570D0">
        <w:rPr>
          <w:rFonts w:asciiTheme="majorHAnsi" w:eastAsiaTheme="majorEastAsia" w:hAnsiTheme="majorHAnsi" w:cstheme="majorHAnsi"/>
          <w:sz w:val="23"/>
          <w:szCs w:val="23"/>
          <w:lang w:val="en-GB"/>
        </w:rPr>
        <w:t xml:space="preserve"> </w:t>
      </w:r>
      <w:r w:rsidR="00940D80">
        <w:rPr>
          <w:rFonts w:asciiTheme="majorHAnsi" w:eastAsiaTheme="majorEastAsia" w:hAnsiTheme="majorHAnsi" w:cstheme="majorHAnsi"/>
          <w:sz w:val="23"/>
          <w:szCs w:val="23"/>
          <w:lang w:val="en-GB"/>
        </w:rPr>
        <w:t>COVID</w:t>
      </w:r>
      <w:r w:rsidR="00F00E3D" w:rsidRPr="00B570D0">
        <w:rPr>
          <w:rFonts w:asciiTheme="majorHAnsi" w:eastAsiaTheme="majorEastAsia" w:hAnsiTheme="majorHAnsi" w:cstheme="majorHAnsi"/>
          <w:sz w:val="23"/>
          <w:szCs w:val="23"/>
          <w:lang w:val="en-GB"/>
        </w:rPr>
        <w:t>-19,</w:t>
      </w:r>
      <w:r w:rsidR="00F96BCD">
        <w:rPr>
          <w:rFonts w:asciiTheme="majorHAnsi" w:eastAsiaTheme="majorEastAsia" w:hAnsiTheme="majorHAnsi" w:cstheme="majorHAnsi"/>
          <w:sz w:val="23"/>
          <w:szCs w:val="23"/>
          <w:lang w:val="en-GB"/>
        </w:rPr>
        <w:t xml:space="preserve"> how residents were impacted by the pandemic,</w:t>
      </w:r>
      <w:r w:rsidR="00F00E3D" w:rsidRPr="00B570D0">
        <w:rPr>
          <w:rFonts w:asciiTheme="majorHAnsi" w:eastAsiaTheme="majorEastAsia" w:hAnsiTheme="majorHAnsi" w:cstheme="majorHAnsi"/>
          <w:sz w:val="23"/>
          <w:szCs w:val="23"/>
          <w:lang w:val="en-GB"/>
        </w:rPr>
        <w:t xml:space="preserve"> what helped </w:t>
      </w:r>
      <w:r w:rsidR="00F96BCD">
        <w:rPr>
          <w:rFonts w:asciiTheme="majorHAnsi" w:eastAsiaTheme="majorEastAsia" w:hAnsiTheme="majorHAnsi" w:cstheme="majorHAnsi"/>
          <w:sz w:val="23"/>
          <w:szCs w:val="23"/>
          <w:lang w:val="en-GB"/>
        </w:rPr>
        <w:t>them</w:t>
      </w:r>
      <w:r w:rsidR="00F00E3D" w:rsidRPr="00B570D0">
        <w:rPr>
          <w:rFonts w:asciiTheme="majorHAnsi" w:eastAsiaTheme="majorEastAsia" w:hAnsiTheme="majorHAnsi" w:cstheme="majorHAnsi"/>
          <w:sz w:val="23"/>
          <w:szCs w:val="23"/>
          <w:lang w:val="en-GB"/>
        </w:rPr>
        <w:t xml:space="preserve"> get through the challenges</w:t>
      </w:r>
      <w:r w:rsidR="00F96BCD">
        <w:rPr>
          <w:rFonts w:asciiTheme="majorHAnsi" w:eastAsiaTheme="majorEastAsia" w:hAnsiTheme="majorHAnsi" w:cstheme="majorHAnsi"/>
          <w:sz w:val="23"/>
          <w:szCs w:val="23"/>
          <w:lang w:val="en-GB"/>
        </w:rPr>
        <w:t xml:space="preserve"> of this time</w:t>
      </w:r>
      <w:r w:rsidR="00F00E3D" w:rsidRPr="00B570D0">
        <w:rPr>
          <w:rFonts w:asciiTheme="majorHAnsi" w:eastAsiaTheme="majorEastAsia" w:hAnsiTheme="majorHAnsi" w:cstheme="majorHAnsi"/>
          <w:sz w:val="23"/>
          <w:szCs w:val="23"/>
          <w:lang w:val="en-GB"/>
        </w:rPr>
        <w:t xml:space="preserve">, gaps and </w:t>
      </w:r>
      <w:r w:rsidR="00F96BCD">
        <w:rPr>
          <w:rFonts w:asciiTheme="majorHAnsi" w:eastAsiaTheme="majorEastAsia" w:hAnsiTheme="majorHAnsi" w:cstheme="majorHAnsi"/>
          <w:sz w:val="23"/>
          <w:szCs w:val="23"/>
          <w:lang w:val="en-GB"/>
        </w:rPr>
        <w:t xml:space="preserve">unmet </w:t>
      </w:r>
      <w:r w:rsidR="00F00E3D" w:rsidRPr="00B570D0">
        <w:rPr>
          <w:rFonts w:asciiTheme="majorHAnsi" w:eastAsiaTheme="majorEastAsia" w:hAnsiTheme="majorHAnsi" w:cstheme="majorHAnsi"/>
          <w:sz w:val="23"/>
          <w:szCs w:val="23"/>
          <w:lang w:val="en-GB"/>
        </w:rPr>
        <w:t xml:space="preserve">needs </w:t>
      </w:r>
      <w:r w:rsidR="00FC00D2">
        <w:rPr>
          <w:rFonts w:asciiTheme="majorHAnsi" w:eastAsiaTheme="majorEastAsia" w:hAnsiTheme="majorHAnsi" w:cstheme="majorHAnsi"/>
          <w:sz w:val="23"/>
          <w:szCs w:val="23"/>
          <w:lang w:val="en-GB"/>
        </w:rPr>
        <w:t xml:space="preserve">revealed by </w:t>
      </w:r>
      <w:r w:rsidR="00F96BCD">
        <w:rPr>
          <w:rFonts w:asciiTheme="majorHAnsi" w:eastAsiaTheme="majorEastAsia" w:hAnsiTheme="majorHAnsi" w:cstheme="majorHAnsi"/>
          <w:sz w:val="23"/>
          <w:szCs w:val="23"/>
          <w:lang w:val="en-GB"/>
        </w:rPr>
        <w:t>the crisis</w:t>
      </w:r>
      <w:r w:rsidR="00F00E3D" w:rsidRPr="00B570D0">
        <w:rPr>
          <w:rFonts w:asciiTheme="majorHAnsi" w:eastAsiaTheme="majorEastAsia" w:hAnsiTheme="majorHAnsi" w:cstheme="majorHAnsi"/>
          <w:sz w:val="23"/>
          <w:szCs w:val="23"/>
          <w:lang w:val="en-GB"/>
        </w:rPr>
        <w:t>, and suggested priorities for action in each locality.</w:t>
      </w:r>
      <w:r w:rsidR="00F96BCD">
        <w:rPr>
          <w:rFonts w:asciiTheme="majorHAnsi" w:eastAsiaTheme="majorEastAsia" w:hAnsiTheme="majorHAnsi" w:cstheme="majorHAnsi"/>
          <w:sz w:val="23"/>
          <w:szCs w:val="23"/>
          <w:lang w:val="en-GB"/>
        </w:rPr>
        <w:t xml:space="preserve"> </w:t>
      </w:r>
      <w:r w:rsidR="00890DA3">
        <w:rPr>
          <w:rFonts w:asciiTheme="majorHAnsi" w:eastAsiaTheme="majorEastAsia" w:hAnsiTheme="majorHAnsi" w:cstheme="majorHAnsi"/>
          <w:sz w:val="23"/>
          <w:szCs w:val="23"/>
          <w:lang w:val="en-GB"/>
        </w:rPr>
        <w:t>Interview p</w:t>
      </w:r>
      <w:r w:rsidR="00F00E3D" w:rsidRPr="00B570D0">
        <w:rPr>
          <w:rFonts w:asciiTheme="majorHAnsi" w:eastAsiaTheme="majorEastAsia" w:hAnsiTheme="majorHAnsi" w:cstheme="majorHAnsi"/>
          <w:sz w:val="23"/>
          <w:szCs w:val="23"/>
          <w:lang w:val="en-GB"/>
        </w:rPr>
        <w:t>articipants were</w:t>
      </w:r>
      <w:r w:rsidR="00FC00D2">
        <w:rPr>
          <w:rFonts w:asciiTheme="majorHAnsi" w:eastAsiaTheme="majorEastAsia" w:hAnsiTheme="majorHAnsi" w:cstheme="majorHAnsi"/>
          <w:sz w:val="23"/>
          <w:szCs w:val="23"/>
          <w:lang w:val="en-GB"/>
        </w:rPr>
        <w:t xml:space="preserve"> also</w:t>
      </w:r>
      <w:r w:rsidR="00F00E3D" w:rsidRPr="00B570D0">
        <w:rPr>
          <w:rFonts w:asciiTheme="majorHAnsi" w:eastAsiaTheme="majorEastAsia" w:hAnsiTheme="majorHAnsi" w:cstheme="majorHAnsi"/>
          <w:sz w:val="23"/>
          <w:szCs w:val="23"/>
          <w:lang w:val="en-GB"/>
        </w:rPr>
        <w:t xml:space="preserve"> invited to comment on how the pandemic has impacted their </w:t>
      </w:r>
      <w:r w:rsidR="00F201EC">
        <w:rPr>
          <w:rFonts w:asciiTheme="majorHAnsi" w:eastAsiaTheme="majorEastAsia" w:hAnsiTheme="majorHAnsi" w:cstheme="majorHAnsi"/>
          <w:sz w:val="23"/>
          <w:szCs w:val="23"/>
          <w:lang w:val="en-GB"/>
        </w:rPr>
        <w:t xml:space="preserve">own </w:t>
      </w:r>
      <w:r w:rsidR="00F00E3D" w:rsidRPr="00B570D0">
        <w:rPr>
          <w:rFonts w:asciiTheme="majorHAnsi" w:eastAsiaTheme="majorEastAsia" w:hAnsiTheme="majorHAnsi" w:cstheme="majorHAnsi"/>
          <w:sz w:val="23"/>
          <w:szCs w:val="23"/>
          <w:lang w:val="en-GB"/>
        </w:rPr>
        <w:t>organisation</w:t>
      </w:r>
      <w:r w:rsidR="00FC00D2">
        <w:rPr>
          <w:rFonts w:asciiTheme="majorHAnsi" w:eastAsiaTheme="majorEastAsia" w:hAnsiTheme="majorHAnsi" w:cstheme="majorHAnsi"/>
          <w:sz w:val="23"/>
          <w:szCs w:val="23"/>
          <w:lang w:val="en-GB"/>
        </w:rPr>
        <w:t>.</w:t>
      </w:r>
      <w:r w:rsidR="008A3280" w:rsidRPr="008A3280">
        <w:rPr>
          <w:rFonts w:asciiTheme="majorHAnsi" w:eastAsia="Calibri" w:hAnsiTheme="majorHAnsi" w:cstheme="majorHAnsi"/>
          <w:sz w:val="23"/>
          <w:szCs w:val="23"/>
          <w:lang w:val="en-GB"/>
        </w:rPr>
        <w:t xml:space="preserve"> </w:t>
      </w:r>
      <w:r w:rsidR="008A3280" w:rsidRPr="008A3280">
        <w:rPr>
          <w:rFonts w:asciiTheme="majorHAnsi" w:eastAsiaTheme="majorEastAsia" w:hAnsiTheme="majorHAnsi" w:cstheme="majorHAnsi"/>
          <w:sz w:val="23"/>
          <w:szCs w:val="23"/>
          <w:lang w:val="en-GB"/>
        </w:rPr>
        <w:t>(</w:t>
      </w:r>
      <w:r w:rsidR="00A7555E">
        <w:rPr>
          <w:rFonts w:asciiTheme="majorHAnsi" w:eastAsiaTheme="majorEastAsia" w:hAnsiTheme="majorHAnsi" w:cstheme="majorHAnsi"/>
          <w:sz w:val="23"/>
          <w:szCs w:val="23"/>
          <w:lang w:val="en-GB"/>
        </w:rPr>
        <w:t xml:space="preserve">Table 8.1, below, lists the participating organisations. </w:t>
      </w:r>
      <w:r w:rsidR="008A3280">
        <w:rPr>
          <w:rFonts w:asciiTheme="majorHAnsi" w:eastAsiaTheme="majorEastAsia" w:hAnsiTheme="majorHAnsi" w:cstheme="majorHAnsi"/>
          <w:sz w:val="23"/>
          <w:szCs w:val="23"/>
          <w:lang w:val="en-GB"/>
        </w:rPr>
        <w:t>F</w:t>
      </w:r>
      <w:r w:rsidR="008A3280" w:rsidRPr="008A3280">
        <w:rPr>
          <w:rFonts w:asciiTheme="majorHAnsi" w:eastAsiaTheme="majorEastAsia" w:hAnsiTheme="majorHAnsi" w:cstheme="majorHAnsi"/>
          <w:sz w:val="23"/>
          <w:szCs w:val="23"/>
          <w:lang w:val="en-GB"/>
        </w:rPr>
        <w:t xml:space="preserve">or detailed descriptions of </w:t>
      </w:r>
      <w:r w:rsidR="00A7555E">
        <w:rPr>
          <w:rFonts w:asciiTheme="majorHAnsi" w:eastAsiaTheme="majorEastAsia" w:hAnsiTheme="majorHAnsi" w:cstheme="majorHAnsi"/>
          <w:sz w:val="23"/>
          <w:szCs w:val="23"/>
          <w:lang w:val="en-GB"/>
        </w:rPr>
        <w:t xml:space="preserve">the </w:t>
      </w:r>
      <w:r w:rsidR="008A3280" w:rsidRPr="008A3280">
        <w:rPr>
          <w:rFonts w:asciiTheme="majorHAnsi" w:eastAsiaTheme="majorEastAsia" w:hAnsiTheme="majorHAnsi" w:cstheme="majorHAnsi"/>
          <w:sz w:val="23"/>
          <w:szCs w:val="23"/>
          <w:lang w:val="en-GB"/>
        </w:rPr>
        <w:t>participating organisations</w:t>
      </w:r>
      <w:r w:rsidR="008A3280">
        <w:rPr>
          <w:rFonts w:asciiTheme="majorHAnsi" w:eastAsiaTheme="majorEastAsia" w:hAnsiTheme="majorHAnsi" w:cstheme="majorHAnsi"/>
          <w:sz w:val="23"/>
          <w:szCs w:val="23"/>
          <w:lang w:val="en-GB"/>
        </w:rPr>
        <w:t xml:space="preserve">, </w:t>
      </w:r>
      <w:r w:rsidR="008A3280" w:rsidRPr="008A3280">
        <w:rPr>
          <w:rFonts w:asciiTheme="majorHAnsi" w:eastAsiaTheme="majorEastAsia" w:hAnsiTheme="majorHAnsi" w:cstheme="majorHAnsi"/>
          <w:sz w:val="23"/>
          <w:szCs w:val="23"/>
          <w:lang w:val="en-GB"/>
        </w:rPr>
        <w:t>see Appendix E</w:t>
      </w:r>
      <w:r w:rsidR="008A3280">
        <w:rPr>
          <w:rFonts w:asciiTheme="majorHAnsi" w:eastAsiaTheme="majorEastAsia" w:hAnsiTheme="majorHAnsi" w:cstheme="majorHAnsi"/>
          <w:sz w:val="23"/>
          <w:szCs w:val="23"/>
          <w:lang w:val="en-GB"/>
        </w:rPr>
        <w:t>.</w:t>
      </w:r>
      <w:r w:rsidR="008A3280" w:rsidRPr="008A3280">
        <w:rPr>
          <w:rFonts w:asciiTheme="majorHAnsi" w:eastAsiaTheme="majorEastAsia" w:hAnsiTheme="majorHAnsi" w:cstheme="majorHAnsi"/>
          <w:sz w:val="23"/>
          <w:szCs w:val="23"/>
          <w:lang w:val="en-GB"/>
        </w:rPr>
        <w:t>)</w:t>
      </w:r>
    </w:p>
    <w:p w14:paraId="3F51894C" w14:textId="255CC331" w:rsidR="00890DA3" w:rsidRDefault="005D4E46" w:rsidP="00616B8A">
      <w:pPr>
        <w:spacing w:line="276" w:lineRule="auto"/>
        <w:rPr>
          <w:rFonts w:asciiTheme="majorHAnsi" w:eastAsiaTheme="majorEastAsia" w:hAnsiTheme="majorHAnsi" w:cstheme="majorHAnsi"/>
          <w:sz w:val="23"/>
          <w:szCs w:val="23"/>
          <w:lang w:val="en-GB"/>
        </w:rPr>
      </w:pPr>
      <w:r>
        <w:rPr>
          <w:rFonts w:asciiTheme="majorHAnsi" w:eastAsiaTheme="majorEastAsia" w:hAnsiTheme="majorHAnsi" w:cstheme="majorHAnsi"/>
          <w:sz w:val="23"/>
          <w:szCs w:val="23"/>
          <w:lang w:val="en-GB"/>
        </w:rPr>
        <w:t>Interview participants responded to a</w:t>
      </w:r>
      <w:r w:rsidR="00FC00D2">
        <w:rPr>
          <w:rFonts w:asciiTheme="majorHAnsi" w:eastAsiaTheme="majorEastAsia" w:hAnsiTheme="majorHAnsi" w:cstheme="majorHAnsi"/>
          <w:sz w:val="23"/>
          <w:szCs w:val="23"/>
          <w:lang w:val="en-GB"/>
        </w:rPr>
        <w:t xml:space="preserve"> combination of open-ended questions, </w:t>
      </w:r>
      <w:r>
        <w:rPr>
          <w:rFonts w:asciiTheme="majorHAnsi" w:eastAsiaTheme="majorEastAsia" w:hAnsiTheme="majorHAnsi" w:cstheme="majorHAnsi"/>
          <w:sz w:val="23"/>
          <w:szCs w:val="23"/>
          <w:lang w:val="en-GB"/>
        </w:rPr>
        <w:t>and</w:t>
      </w:r>
      <w:r w:rsidR="00FC00D2">
        <w:rPr>
          <w:rFonts w:asciiTheme="majorHAnsi" w:eastAsiaTheme="majorEastAsia" w:hAnsiTheme="majorHAnsi" w:cstheme="majorHAnsi"/>
          <w:sz w:val="23"/>
          <w:szCs w:val="23"/>
          <w:lang w:val="en-GB"/>
        </w:rPr>
        <w:t xml:space="preserve"> questions framed around</w:t>
      </w:r>
      <w:r w:rsidR="00F00E3D" w:rsidRPr="00B570D0">
        <w:rPr>
          <w:rFonts w:asciiTheme="majorHAnsi" w:eastAsiaTheme="majorEastAsia" w:hAnsiTheme="majorHAnsi" w:cstheme="majorHAnsi"/>
          <w:sz w:val="23"/>
          <w:szCs w:val="23"/>
          <w:lang w:val="en-GB"/>
        </w:rPr>
        <w:t xml:space="preserve"> specific issues and </w:t>
      </w:r>
      <w:r w:rsidR="00D95573">
        <w:rPr>
          <w:rFonts w:asciiTheme="majorHAnsi" w:eastAsiaTheme="majorEastAsia" w:hAnsiTheme="majorHAnsi" w:cstheme="majorHAnsi"/>
          <w:sz w:val="23"/>
          <w:szCs w:val="23"/>
          <w:lang w:val="en-GB"/>
        </w:rPr>
        <w:t>Practice Domain</w:t>
      </w:r>
      <w:r w:rsidR="00F00E3D" w:rsidRPr="00B570D0">
        <w:rPr>
          <w:rFonts w:asciiTheme="majorHAnsi" w:eastAsiaTheme="majorEastAsia" w:hAnsiTheme="majorHAnsi" w:cstheme="majorHAnsi"/>
          <w:sz w:val="23"/>
          <w:szCs w:val="23"/>
          <w:lang w:val="en-GB"/>
        </w:rPr>
        <w:t>s</w:t>
      </w:r>
      <w:r w:rsidR="00ED289E">
        <w:rPr>
          <w:rFonts w:asciiTheme="majorHAnsi" w:eastAsiaTheme="majorEastAsia" w:hAnsiTheme="majorHAnsi" w:cstheme="majorHAnsi"/>
          <w:sz w:val="23"/>
          <w:szCs w:val="23"/>
          <w:lang w:val="en-GB"/>
        </w:rPr>
        <w:t xml:space="preserve">. </w:t>
      </w:r>
      <w:r>
        <w:rPr>
          <w:rFonts w:asciiTheme="majorHAnsi" w:eastAsiaTheme="majorEastAsia" w:hAnsiTheme="majorHAnsi" w:cstheme="majorHAnsi"/>
          <w:sz w:val="23"/>
          <w:szCs w:val="23"/>
          <w:lang w:val="en-GB"/>
        </w:rPr>
        <w:t>Specific t</w:t>
      </w:r>
      <w:r w:rsidR="00ED289E">
        <w:rPr>
          <w:rFonts w:asciiTheme="majorHAnsi" w:eastAsiaTheme="majorEastAsia" w:hAnsiTheme="majorHAnsi" w:cstheme="majorHAnsi"/>
          <w:sz w:val="23"/>
          <w:szCs w:val="23"/>
          <w:lang w:val="en-GB"/>
        </w:rPr>
        <w:t>opics included</w:t>
      </w:r>
      <w:r>
        <w:rPr>
          <w:rFonts w:asciiTheme="majorHAnsi" w:eastAsiaTheme="majorEastAsia" w:hAnsiTheme="majorHAnsi" w:cstheme="majorHAnsi"/>
          <w:sz w:val="23"/>
          <w:szCs w:val="23"/>
          <w:lang w:val="en-GB"/>
        </w:rPr>
        <w:t>:</w:t>
      </w:r>
      <w:r w:rsidR="00F00E3D" w:rsidRPr="00B570D0">
        <w:rPr>
          <w:rFonts w:asciiTheme="majorHAnsi" w:eastAsiaTheme="majorEastAsia" w:hAnsiTheme="majorHAnsi" w:cstheme="majorHAnsi"/>
          <w:sz w:val="23"/>
          <w:szCs w:val="23"/>
          <w:lang w:val="en-GB"/>
        </w:rPr>
        <w:t xml:space="preserve"> access to community services; health and wellbeing; crime and neighbourhood safety; employment; housing affordability; social and familial networks; civic engagement; education; income and employment; access to shops, recreational facility and cultural activities; and the physical environment of the neighbourhood.</w:t>
      </w:r>
    </w:p>
    <w:p w14:paraId="4AF59BAB" w14:textId="57F991C8" w:rsidR="00890DA3" w:rsidRDefault="00F96BCD" w:rsidP="00616B8A">
      <w:pPr>
        <w:spacing w:line="276" w:lineRule="auto"/>
        <w:rPr>
          <w:rFonts w:asciiTheme="majorHAnsi" w:eastAsiaTheme="majorEastAsia" w:hAnsiTheme="majorHAnsi" w:cstheme="majorBidi"/>
          <w:sz w:val="23"/>
          <w:szCs w:val="23"/>
          <w:lang w:val="en-GB"/>
        </w:rPr>
      </w:pPr>
      <w:r>
        <w:rPr>
          <w:rFonts w:asciiTheme="majorHAnsi" w:eastAsiaTheme="majorEastAsia" w:hAnsiTheme="majorHAnsi" w:cstheme="majorBidi"/>
          <w:sz w:val="23"/>
          <w:szCs w:val="23"/>
          <w:lang w:val="en-GB"/>
        </w:rPr>
        <w:t>I</w:t>
      </w:r>
      <w:r w:rsidR="00890DA3" w:rsidRPr="40BF1F59">
        <w:rPr>
          <w:rFonts w:asciiTheme="majorHAnsi" w:eastAsiaTheme="majorEastAsia" w:hAnsiTheme="majorHAnsi" w:cstheme="majorBidi"/>
          <w:sz w:val="23"/>
          <w:szCs w:val="23"/>
          <w:lang w:val="en-GB"/>
        </w:rPr>
        <w:t xml:space="preserve">nterview </w:t>
      </w:r>
      <w:r w:rsidR="00890DA3">
        <w:rPr>
          <w:rFonts w:asciiTheme="majorHAnsi" w:eastAsiaTheme="majorEastAsia" w:hAnsiTheme="majorHAnsi" w:cstheme="majorBidi"/>
          <w:sz w:val="23"/>
          <w:szCs w:val="23"/>
          <w:lang w:val="en-GB"/>
        </w:rPr>
        <w:t xml:space="preserve">responses </w:t>
      </w:r>
      <w:r>
        <w:rPr>
          <w:rFonts w:asciiTheme="majorHAnsi" w:eastAsiaTheme="majorEastAsia" w:hAnsiTheme="majorHAnsi" w:cstheme="majorBidi"/>
          <w:sz w:val="23"/>
          <w:szCs w:val="23"/>
          <w:lang w:val="en-GB"/>
        </w:rPr>
        <w:t xml:space="preserve">were captured </w:t>
      </w:r>
      <w:r w:rsidR="00890DA3">
        <w:rPr>
          <w:rFonts w:asciiTheme="majorHAnsi" w:eastAsiaTheme="majorEastAsia" w:hAnsiTheme="majorHAnsi" w:cstheme="majorBidi"/>
          <w:sz w:val="23"/>
          <w:szCs w:val="23"/>
          <w:lang w:val="en-GB"/>
        </w:rPr>
        <w:t>through</w:t>
      </w:r>
      <w:r w:rsidR="00890DA3" w:rsidRPr="40BF1F59">
        <w:rPr>
          <w:rFonts w:asciiTheme="majorHAnsi" w:eastAsiaTheme="majorEastAsia" w:hAnsiTheme="majorHAnsi" w:cstheme="majorBidi"/>
          <w:sz w:val="23"/>
          <w:szCs w:val="23"/>
          <w:lang w:val="en-GB"/>
        </w:rPr>
        <w:t xml:space="preserve"> detailed field notes, which were then written up, collated, and shared amongst the research team. A combination of content analysis and thematic analysis was used to identify key themes, issues, and patterns. While not verbatim, the quotes presented in th</w:t>
      </w:r>
      <w:r w:rsidR="00890DA3">
        <w:rPr>
          <w:rFonts w:asciiTheme="majorHAnsi" w:eastAsiaTheme="majorEastAsia" w:hAnsiTheme="majorHAnsi" w:cstheme="majorBidi"/>
          <w:sz w:val="23"/>
          <w:szCs w:val="23"/>
          <w:lang w:val="en-GB"/>
        </w:rPr>
        <w:t>e remainder of this</w:t>
      </w:r>
      <w:r w:rsidR="00890DA3" w:rsidRPr="40BF1F59">
        <w:rPr>
          <w:rFonts w:asciiTheme="majorHAnsi" w:eastAsiaTheme="majorEastAsia" w:hAnsiTheme="majorHAnsi" w:cstheme="majorBidi"/>
          <w:sz w:val="23"/>
          <w:szCs w:val="23"/>
          <w:lang w:val="en-GB"/>
        </w:rPr>
        <w:t xml:space="preserve"> section are as close as possible to the respondents’ original wording. Square brackets indicate where a word(s) has been inserted by the researchers to clarify meaning. </w:t>
      </w:r>
      <w:r w:rsidR="00890DA3">
        <w:rPr>
          <w:rFonts w:asciiTheme="majorHAnsi" w:eastAsiaTheme="majorEastAsia" w:hAnsiTheme="majorHAnsi" w:cstheme="majorBidi"/>
          <w:sz w:val="23"/>
          <w:szCs w:val="23"/>
          <w:lang w:val="en-GB"/>
        </w:rPr>
        <w:t>Interview q</w:t>
      </w:r>
      <w:r w:rsidR="00890DA3" w:rsidRPr="40BF1F59">
        <w:rPr>
          <w:rFonts w:asciiTheme="majorHAnsi" w:eastAsiaTheme="majorEastAsia" w:hAnsiTheme="majorHAnsi" w:cstheme="majorBidi"/>
          <w:sz w:val="23"/>
          <w:szCs w:val="23"/>
          <w:lang w:val="en-GB"/>
        </w:rPr>
        <w:t>uotes have been de-identified and attributed by participant number (P1–P12).</w:t>
      </w:r>
    </w:p>
    <w:p w14:paraId="37B40BB6" w14:textId="32AC86E1" w:rsidR="00797245" w:rsidRDefault="00890DA3" w:rsidP="00616B8A">
      <w:pPr>
        <w:spacing w:line="276" w:lineRule="auto"/>
        <w:rPr>
          <w:rFonts w:asciiTheme="majorHAnsi" w:eastAsia="Calibri" w:hAnsiTheme="majorHAnsi" w:cstheme="majorHAnsi"/>
          <w:sz w:val="23"/>
          <w:szCs w:val="23"/>
          <w:lang w:val="en-GB"/>
        </w:rPr>
      </w:pPr>
      <w:r>
        <w:rPr>
          <w:rFonts w:asciiTheme="majorHAnsi" w:eastAsia="Calibri" w:hAnsiTheme="majorHAnsi" w:cstheme="majorHAnsi"/>
          <w:sz w:val="23"/>
          <w:szCs w:val="23"/>
          <w:lang w:val="en-GB"/>
        </w:rPr>
        <w:lastRenderedPageBreak/>
        <w:t>Following the interviews</w:t>
      </w:r>
      <w:r w:rsidRPr="002B5A72">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 xml:space="preserve">we convened </w:t>
      </w:r>
      <w:r w:rsidRPr="002B5A72">
        <w:rPr>
          <w:rFonts w:asciiTheme="majorHAnsi" w:eastAsia="Calibri" w:hAnsiTheme="majorHAnsi" w:cstheme="majorHAnsi"/>
          <w:sz w:val="23"/>
          <w:szCs w:val="23"/>
          <w:lang w:val="en-GB"/>
        </w:rPr>
        <w:t xml:space="preserve">a focus group </w:t>
      </w:r>
      <w:r>
        <w:rPr>
          <w:rFonts w:asciiTheme="majorHAnsi" w:eastAsia="Calibri" w:hAnsiTheme="majorHAnsi" w:cstheme="majorHAnsi"/>
          <w:sz w:val="23"/>
          <w:szCs w:val="23"/>
          <w:lang w:val="en-GB"/>
        </w:rPr>
        <w:t>and invited the same group of informants.</w:t>
      </w:r>
      <w:r w:rsidRPr="00005846">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 xml:space="preserve">Hosted by </w:t>
      </w:r>
      <w:r w:rsidRPr="002B5A72">
        <w:rPr>
          <w:rFonts w:asciiTheme="majorHAnsi" w:eastAsia="Calibri" w:hAnsiTheme="majorHAnsi" w:cstheme="majorHAnsi"/>
          <w:sz w:val="23"/>
          <w:szCs w:val="23"/>
          <w:lang w:val="en-GB"/>
        </w:rPr>
        <w:t>two members of the research team</w:t>
      </w:r>
      <w:r>
        <w:rPr>
          <w:rFonts w:asciiTheme="majorHAnsi" w:eastAsia="Calibri" w:hAnsiTheme="majorHAnsi" w:cstheme="majorHAnsi"/>
          <w:sz w:val="23"/>
          <w:szCs w:val="23"/>
          <w:lang w:val="en-GB"/>
        </w:rPr>
        <w:t>, the</w:t>
      </w:r>
      <w:r w:rsidRPr="002B5A72">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 xml:space="preserve">focus group </w:t>
      </w:r>
      <w:r w:rsidR="00ED289E">
        <w:rPr>
          <w:rFonts w:asciiTheme="majorHAnsi" w:eastAsia="Calibri" w:hAnsiTheme="majorHAnsi" w:cstheme="majorHAnsi"/>
          <w:sz w:val="23"/>
          <w:szCs w:val="23"/>
          <w:lang w:val="en-GB"/>
        </w:rPr>
        <w:t xml:space="preserve">took the form of </w:t>
      </w:r>
      <w:r>
        <w:rPr>
          <w:rFonts w:asciiTheme="majorHAnsi" w:eastAsia="Calibri" w:hAnsiTheme="majorHAnsi" w:cstheme="majorHAnsi"/>
          <w:sz w:val="23"/>
          <w:szCs w:val="23"/>
          <w:lang w:val="en-GB"/>
        </w:rPr>
        <w:t xml:space="preserve">a </w:t>
      </w:r>
      <w:r w:rsidRPr="002B5A72">
        <w:rPr>
          <w:rFonts w:asciiTheme="majorHAnsi" w:eastAsia="Calibri" w:hAnsiTheme="majorHAnsi" w:cstheme="majorHAnsi"/>
          <w:sz w:val="23"/>
          <w:szCs w:val="23"/>
          <w:lang w:val="en-GB"/>
        </w:rPr>
        <w:t xml:space="preserve">two-hour Zoom discussion held </w:t>
      </w:r>
      <w:r>
        <w:rPr>
          <w:rFonts w:asciiTheme="majorHAnsi" w:eastAsia="Calibri" w:hAnsiTheme="majorHAnsi" w:cstheme="majorHAnsi"/>
          <w:sz w:val="23"/>
          <w:szCs w:val="23"/>
          <w:lang w:val="en-GB"/>
        </w:rPr>
        <w:t>at the end of March 2021</w:t>
      </w:r>
      <w:r w:rsidRPr="002B5A72">
        <w:rPr>
          <w:rFonts w:asciiTheme="majorHAnsi" w:eastAsia="Calibri" w:hAnsiTheme="majorHAnsi" w:cstheme="majorHAnsi"/>
          <w:sz w:val="23"/>
          <w:szCs w:val="23"/>
          <w:lang w:val="en-GB"/>
        </w:rPr>
        <w:t>.</w:t>
      </w:r>
      <w:r>
        <w:rPr>
          <w:rFonts w:asciiTheme="majorHAnsi" w:eastAsia="Calibri" w:hAnsiTheme="majorHAnsi" w:cstheme="majorHAnsi"/>
          <w:sz w:val="23"/>
          <w:szCs w:val="23"/>
          <w:lang w:val="en-GB"/>
        </w:rPr>
        <w:t xml:space="preserve"> The aim was to present key themes and findings that</w:t>
      </w:r>
      <w:r w:rsidR="00216E5B">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 xml:space="preserve">emerged from </w:t>
      </w:r>
      <w:r w:rsidR="00216E5B">
        <w:rPr>
          <w:rFonts w:asciiTheme="majorHAnsi" w:eastAsia="Calibri" w:hAnsiTheme="majorHAnsi" w:cstheme="majorHAnsi"/>
          <w:sz w:val="23"/>
          <w:szCs w:val="23"/>
          <w:lang w:val="en-GB"/>
        </w:rPr>
        <w:t>the</w:t>
      </w:r>
      <w:r>
        <w:rPr>
          <w:rFonts w:asciiTheme="majorHAnsi" w:eastAsia="Calibri" w:hAnsiTheme="majorHAnsi" w:cstheme="majorHAnsi"/>
          <w:sz w:val="23"/>
          <w:szCs w:val="23"/>
          <w:lang w:val="en-GB"/>
        </w:rPr>
        <w:t xml:space="preserve"> interviews</w:t>
      </w:r>
      <w:r w:rsidR="00216E5B">
        <w:rPr>
          <w:rFonts w:asciiTheme="majorHAnsi" w:eastAsia="Calibri" w:hAnsiTheme="majorHAnsi" w:cstheme="majorHAnsi"/>
          <w:sz w:val="23"/>
          <w:szCs w:val="23"/>
          <w:lang w:val="en-GB"/>
        </w:rPr>
        <w:t>;</w:t>
      </w:r>
      <w:r>
        <w:rPr>
          <w:rFonts w:asciiTheme="majorHAnsi" w:eastAsia="Calibri" w:hAnsiTheme="majorHAnsi" w:cstheme="majorHAnsi"/>
          <w:sz w:val="23"/>
          <w:szCs w:val="23"/>
          <w:lang w:val="en-GB"/>
        </w:rPr>
        <w:t xml:space="preserve"> to enable participants to clarify and elaborate on important points</w:t>
      </w:r>
      <w:r w:rsidR="00216E5B">
        <w:rPr>
          <w:rFonts w:asciiTheme="majorHAnsi" w:eastAsia="Calibri" w:hAnsiTheme="majorHAnsi" w:cstheme="majorHAnsi"/>
          <w:sz w:val="23"/>
          <w:szCs w:val="23"/>
          <w:lang w:val="en-GB"/>
        </w:rPr>
        <w:t>;</w:t>
      </w:r>
      <w:r>
        <w:rPr>
          <w:rFonts w:asciiTheme="majorHAnsi" w:eastAsia="Calibri" w:hAnsiTheme="majorHAnsi" w:cstheme="majorHAnsi"/>
          <w:sz w:val="23"/>
          <w:szCs w:val="23"/>
          <w:lang w:val="en-GB"/>
        </w:rPr>
        <w:t xml:space="preserve"> and to</w:t>
      </w:r>
      <w:r w:rsidR="00ED289E">
        <w:rPr>
          <w:rFonts w:asciiTheme="majorHAnsi" w:eastAsia="Calibri" w:hAnsiTheme="majorHAnsi" w:cstheme="majorHAnsi"/>
          <w:sz w:val="23"/>
          <w:szCs w:val="23"/>
          <w:lang w:val="en-GB"/>
        </w:rPr>
        <w:t xml:space="preserve"> explore </w:t>
      </w:r>
      <w:r>
        <w:rPr>
          <w:rFonts w:asciiTheme="majorHAnsi" w:eastAsia="Calibri" w:hAnsiTheme="majorHAnsi" w:cstheme="majorHAnsi"/>
          <w:sz w:val="23"/>
          <w:szCs w:val="23"/>
          <w:lang w:val="en-GB"/>
        </w:rPr>
        <w:t>how their</w:t>
      </w:r>
      <w:r w:rsidR="00ED289E">
        <w:rPr>
          <w:rFonts w:asciiTheme="majorHAnsi" w:eastAsia="Calibri" w:hAnsiTheme="majorHAnsi" w:cstheme="majorHAnsi"/>
          <w:sz w:val="23"/>
          <w:szCs w:val="23"/>
          <w:lang w:val="en-GB"/>
        </w:rPr>
        <w:t xml:space="preserve"> ideas and</w:t>
      </w:r>
      <w:r>
        <w:rPr>
          <w:rFonts w:asciiTheme="majorHAnsi" w:eastAsia="Calibri" w:hAnsiTheme="majorHAnsi" w:cstheme="majorHAnsi"/>
          <w:sz w:val="23"/>
          <w:szCs w:val="23"/>
          <w:lang w:val="en-GB"/>
        </w:rPr>
        <w:t xml:space="preserve"> suggestions might be progressed in collaboration with the City of Geelong.</w:t>
      </w:r>
      <w:r w:rsidRPr="00890DA3">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 xml:space="preserve">Six participants were able to attend the session. </w:t>
      </w:r>
      <w:r w:rsidR="00216E5B">
        <w:rPr>
          <w:rFonts w:asciiTheme="majorHAnsi" w:eastAsia="Calibri" w:hAnsiTheme="majorHAnsi" w:cstheme="majorHAnsi"/>
          <w:sz w:val="23"/>
          <w:szCs w:val="23"/>
          <w:lang w:val="en-GB"/>
        </w:rPr>
        <w:t>F</w:t>
      </w:r>
      <w:r>
        <w:rPr>
          <w:rFonts w:asciiTheme="majorHAnsi" w:eastAsia="Calibri" w:hAnsiTheme="majorHAnsi" w:cstheme="majorHAnsi"/>
          <w:sz w:val="23"/>
          <w:szCs w:val="23"/>
          <w:lang w:val="en-GB"/>
        </w:rPr>
        <w:t>indings</w:t>
      </w:r>
      <w:r w:rsidR="00216E5B">
        <w:rPr>
          <w:rFonts w:asciiTheme="majorHAnsi" w:eastAsia="Calibri" w:hAnsiTheme="majorHAnsi" w:cstheme="majorHAnsi"/>
          <w:sz w:val="23"/>
          <w:szCs w:val="23"/>
          <w:lang w:val="en-GB"/>
        </w:rPr>
        <w:t xml:space="preserve"> from the focus group</w:t>
      </w:r>
      <w:r>
        <w:rPr>
          <w:rFonts w:asciiTheme="majorHAnsi" w:eastAsia="Calibri" w:hAnsiTheme="majorHAnsi" w:cstheme="majorHAnsi"/>
          <w:sz w:val="23"/>
          <w:szCs w:val="23"/>
          <w:lang w:val="en-GB"/>
        </w:rPr>
        <w:t xml:space="preserve">, </w:t>
      </w:r>
      <w:r w:rsidR="00B36112">
        <w:rPr>
          <w:rFonts w:asciiTheme="majorHAnsi" w:eastAsia="Calibri" w:hAnsiTheme="majorHAnsi" w:cstheme="majorHAnsi"/>
          <w:sz w:val="23"/>
          <w:szCs w:val="23"/>
          <w:lang w:val="en-GB"/>
        </w:rPr>
        <w:t xml:space="preserve">participant organisations, </w:t>
      </w:r>
      <w:r w:rsidR="00ED289E">
        <w:rPr>
          <w:rFonts w:asciiTheme="majorHAnsi" w:eastAsia="Calibri" w:hAnsiTheme="majorHAnsi" w:cstheme="majorHAnsi"/>
          <w:sz w:val="23"/>
          <w:szCs w:val="23"/>
          <w:lang w:val="en-GB"/>
        </w:rPr>
        <w:t>a</w:t>
      </w:r>
      <w:r w:rsidR="00B36112">
        <w:rPr>
          <w:rFonts w:asciiTheme="majorHAnsi" w:eastAsia="Calibri" w:hAnsiTheme="majorHAnsi" w:cstheme="majorHAnsi"/>
          <w:sz w:val="23"/>
          <w:szCs w:val="23"/>
          <w:lang w:val="en-GB"/>
        </w:rPr>
        <w:t>nd</w:t>
      </w:r>
      <w:r>
        <w:rPr>
          <w:rFonts w:asciiTheme="majorHAnsi" w:eastAsia="Calibri" w:hAnsiTheme="majorHAnsi" w:cstheme="majorHAnsi"/>
          <w:sz w:val="23"/>
          <w:szCs w:val="23"/>
          <w:lang w:val="en-GB"/>
        </w:rPr>
        <w:t xml:space="preserve"> more detail on </w:t>
      </w:r>
      <w:r w:rsidR="00216E5B">
        <w:rPr>
          <w:rFonts w:asciiTheme="majorHAnsi" w:eastAsia="Calibri" w:hAnsiTheme="majorHAnsi" w:cstheme="majorHAnsi"/>
          <w:sz w:val="23"/>
          <w:szCs w:val="23"/>
          <w:lang w:val="en-GB"/>
        </w:rPr>
        <w:t xml:space="preserve">the </w:t>
      </w:r>
      <w:r>
        <w:rPr>
          <w:rFonts w:asciiTheme="majorHAnsi" w:eastAsia="Calibri" w:hAnsiTheme="majorHAnsi" w:cstheme="majorHAnsi"/>
          <w:sz w:val="23"/>
          <w:szCs w:val="23"/>
          <w:lang w:val="en-GB"/>
        </w:rPr>
        <w:t>methodology</w:t>
      </w:r>
      <w:r w:rsidR="00216E5B">
        <w:rPr>
          <w:rFonts w:asciiTheme="majorHAnsi" w:eastAsia="Calibri" w:hAnsiTheme="majorHAnsi" w:cstheme="majorHAnsi"/>
          <w:sz w:val="23"/>
          <w:szCs w:val="23"/>
          <w:lang w:val="en-GB"/>
        </w:rPr>
        <w:t xml:space="preserve"> used for this part of the consultation</w:t>
      </w:r>
      <w:r>
        <w:rPr>
          <w:rFonts w:asciiTheme="majorHAnsi" w:eastAsia="Calibri" w:hAnsiTheme="majorHAnsi" w:cstheme="majorHAnsi"/>
          <w:sz w:val="23"/>
          <w:szCs w:val="23"/>
          <w:lang w:val="en-GB"/>
        </w:rPr>
        <w:t xml:space="preserve"> are presented in Section 8.5</w:t>
      </w:r>
      <w:r w:rsidR="00B36112">
        <w:rPr>
          <w:rFonts w:asciiTheme="majorHAnsi" w:eastAsia="Calibri" w:hAnsiTheme="majorHAnsi" w:cstheme="majorHAnsi"/>
          <w:sz w:val="23"/>
          <w:szCs w:val="23"/>
          <w:lang w:val="en-GB"/>
        </w:rPr>
        <w:t>.</w:t>
      </w:r>
    </w:p>
    <w:p w14:paraId="72684439" w14:textId="6FE98E32" w:rsidR="00F00E3D" w:rsidRPr="00BF45CB" w:rsidRDefault="00072E0A" w:rsidP="00616B8A">
      <w:pPr>
        <w:spacing w:line="276" w:lineRule="auto"/>
        <w:rPr>
          <w:rFonts w:eastAsia="Calibri"/>
          <w:b/>
          <w:color w:val="2F5496" w:themeColor="accent1" w:themeShade="BF"/>
          <w:sz w:val="28"/>
          <w:szCs w:val="28"/>
        </w:rPr>
      </w:pPr>
      <w:r w:rsidRPr="00BF45CB">
        <w:rPr>
          <w:rFonts w:eastAsia="Calibri"/>
          <w:b/>
          <w:color w:val="2F5496" w:themeColor="accent1" w:themeShade="BF"/>
          <w:sz w:val="28"/>
          <w:szCs w:val="28"/>
        </w:rPr>
        <w:t>8.2</w:t>
      </w:r>
      <w:r w:rsidR="00F00E3D" w:rsidRPr="00BF45CB">
        <w:rPr>
          <w:rFonts w:eastAsia="Calibri"/>
          <w:b/>
          <w:color w:val="2F5496" w:themeColor="accent1" w:themeShade="BF"/>
          <w:sz w:val="28"/>
          <w:szCs w:val="28"/>
        </w:rPr>
        <w:t xml:space="preserve"> </w:t>
      </w:r>
      <w:r w:rsidRPr="00BF45CB">
        <w:rPr>
          <w:rFonts w:eastAsia="Calibri"/>
          <w:b/>
          <w:color w:val="2F5496" w:themeColor="accent1" w:themeShade="BF"/>
          <w:sz w:val="28"/>
          <w:szCs w:val="28"/>
        </w:rPr>
        <w:t>Local</w:t>
      </w:r>
      <w:r w:rsidR="000D09C8" w:rsidRPr="00BF45CB">
        <w:rPr>
          <w:rFonts w:eastAsia="Calibri"/>
          <w:b/>
          <w:color w:val="2F5496" w:themeColor="accent1" w:themeShade="BF"/>
          <w:sz w:val="28"/>
          <w:szCs w:val="28"/>
        </w:rPr>
        <w:t xml:space="preserve"> Expert Interviews:</w:t>
      </w:r>
      <w:r w:rsidRPr="00BF45CB">
        <w:rPr>
          <w:rFonts w:eastAsia="Calibri"/>
          <w:b/>
          <w:color w:val="2F5496" w:themeColor="accent1" w:themeShade="BF"/>
          <w:sz w:val="28"/>
          <w:szCs w:val="28"/>
        </w:rPr>
        <w:t xml:space="preserve"> COVID-19</w:t>
      </w:r>
      <w:r w:rsidR="00797245" w:rsidRPr="00BF45CB">
        <w:rPr>
          <w:rFonts w:eastAsia="Calibri"/>
          <w:b/>
          <w:color w:val="2F5496" w:themeColor="accent1" w:themeShade="BF"/>
          <w:sz w:val="28"/>
          <w:szCs w:val="28"/>
        </w:rPr>
        <w:t xml:space="preserve"> Impacts and Community Responses</w:t>
      </w:r>
    </w:p>
    <w:p w14:paraId="35A19272" w14:textId="3D9643E2" w:rsidR="00A7555E" w:rsidRDefault="00A7555E" w:rsidP="6A3610E4">
      <w:pPr>
        <w:spacing w:after="0" w:line="276" w:lineRule="auto"/>
        <w:rPr>
          <w:rFonts w:asciiTheme="majorHAnsi" w:eastAsiaTheme="majorEastAsia" w:hAnsiTheme="majorHAnsi" w:cstheme="majorBidi"/>
          <w:sz w:val="23"/>
          <w:szCs w:val="23"/>
        </w:rPr>
      </w:pPr>
      <w:r w:rsidRPr="6A3610E4">
        <w:rPr>
          <w:rFonts w:asciiTheme="majorHAnsi" w:eastAsiaTheme="majorEastAsia" w:hAnsiTheme="majorHAnsi" w:cstheme="majorBidi"/>
          <w:sz w:val="23"/>
          <w:szCs w:val="23"/>
          <w:lang w:val="en-GB"/>
        </w:rPr>
        <w:t>In this section</w:t>
      </w:r>
      <w:r w:rsidR="00797245" w:rsidRPr="6A3610E4">
        <w:rPr>
          <w:rFonts w:asciiTheme="majorHAnsi" w:eastAsiaTheme="majorEastAsia" w:hAnsiTheme="majorHAnsi" w:cstheme="majorBidi"/>
          <w:sz w:val="23"/>
          <w:szCs w:val="23"/>
          <w:lang w:val="en-GB"/>
        </w:rPr>
        <w:t xml:space="preserve"> we outline the </w:t>
      </w:r>
      <w:r w:rsidR="00F00E3D" w:rsidRPr="6A3610E4">
        <w:rPr>
          <w:rFonts w:asciiTheme="majorHAnsi" w:eastAsiaTheme="majorEastAsia" w:hAnsiTheme="majorHAnsi" w:cstheme="majorBidi"/>
          <w:sz w:val="23"/>
          <w:szCs w:val="23"/>
          <w:lang w:val="en-GB"/>
        </w:rPr>
        <w:t>negative and positive impacts of the pandemic</w:t>
      </w:r>
      <w:r w:rsidR="00797245" w:rsidRPr="6A3610E4">
        <w:rPr>
          <w:rFonts w:asciiTheme="majorHAnsi" w:eastAsiaTheme="majorEastAsia" w:hAnsiTheme="majorHAnsi" w:cstheme="majorBidi"/>
          <w:sz w:val="23"/>
          <w:szCs w:val="23"/>
          <w:lang w:val="en-GB"/>
        </w:rPr>
        <w:t xml:space="preserve"> on communities in Corio, Norlane, and Whittington</w:t>
      </w:r>
      <w:r w:rsidR="005154C8" w:rsidRPr="6A3610E4">
        <w:rPr>
          <w:rFonts w:asciiTheme="majorHAnsi" w:eastAsiaTheme="majorEastAsia" w:hAnsiTheme="majorHAnsi" w:cstheme="majorBidi"/>
          <w:sz w:val="23"/>
          <w:szCs w:val="23"/>
          <w:lang w:val="en-GB"/>
        </w:rPr>
        <w:t xml:space="preserve">, </w:t>
      </w:r>
      <w:r w:rsidR="00797245" w:rsidRPr="6A3610E4">
        <w:rPr>
          <w:rFonts w:asciiTheme="majorHAnsi" w:eastAsiaTheme="majorEastAsia" w:hAnsiTheme="majorHAnsi" w:cstheme="majorBidi"/>
          <w:sz w:val="23"/>
          <w:szCs w:val="23"/>
          <w:lang w:val="en-GB"/>
        </w:rPr>
        <w:t>as described by key community workers in these localities.</w:t>
      </w:r>
      <w:r w:rsidR="005154C8" w:rsidRPr="6A3610E4">
        <w:rPr>
          <w:rFonts w:asciiTheme="majorHAnsi" w:eastAsiaTheme="majorEastAsia" w:hAnsiTheme="majorHAnsi" w:cstheme="majorBidi"/>
          <w:sz w:val="23"/>
          <w:szCs w:val="23"/>
          <w:lang w:val="en-GB"/>
        </w:rPr>
        <w:t xml:space="preserve"> </w:t>
      </w:r>
      <w:r w:rsidR="00797245" w:rsidRPr="6A3610E4">
        <w:rPr>
          <w:rFonts w:asciiTheme="majorHAnsi" w:eastAsiaTheme="majorEastAsia" w:hAnsiTheme="majorHAnsi" w:cstheme="majorBidi"/>
          <w:sz w:val="23"/>
          <w:szCs w:val="23"/>
          <w:lang w:val="en-GB"/>
        </w:rPr>
        <w:t>These f</w:t>
      </w:r>
      <w:r w:rsidR="005154C8" w:rsidRPr="6A3610E4">
        <w:rPr>
          <w:rFonts w:asciiTheme="majorHAnsi" w:eastAsiaTheme="majorEastAsia" w:hAnsiTheme="majorHAnsi" w:cstheme="majorBidi"/>
          <w:sz w:val="23"/>
          <w:szCs w:val="23"/>
          <w:lang w:val="en-GB"/>
        </w:rPr>
        <w:t xml:space="preserve">indings are grouped under the </w:t>
      </w:r>
      <w:r w:rsidR="00F00E3D" w:rsidRPr="6A3610E4">
        <w:rPr>
          <w:rFonts w:asciiTheme="majorHAnsi" w:eastAsiaTheme="majorEastAsia" w:hAnsiTheme="majorHAnsi" w:cstheme="majorBidi"/>
          <w:sz w:val="23"/>
          <w:szCs w:val="23"/>
          <w:lang w:val="en-GB"/>
        </w:rPr>
        <w:t xml:space="preserve">five </w:t>
      </w:r>
      <w:r w:rsidR="00D95573" w:rsidRPr="6A3610E4">
        <w:rPr>
          <w:rFonts w:asciiTheme="majorHAnsi" w:eastAsiaTheme="majorEastAsia" w:hAnsiTheme="majorHAnsi" w:cstheme="majorBidi"/>
          <w:sz w:val="23"/>
          <w:szCs w:val="23"/>
          <w:lang w:val="en-GB"/>
        </w:rPr>
        <w:t>Practice Domain</w:t>
      </w:r>
      <w:r w:rsidR="00F00E3D" w:rsidRPr="6A3610E4">
        <w:rPr>
          <w:rFonts w:asciiTheme="majorHAnsi" w:eastAsiaTheme="majorEastAsia" w:hAnsiTheme="majorHAnsi" w:cstheme="majorBidi"/>
          <w:sz w:val="23"/>
          <w:szCs w:val="23"/>
          <w:lang w:val="en-GB"/>
        </w:rPr>
        <w:t xml:space="preserve">s, with a tabulated </w:t>
      </w:r>
      <w:r w:rsidR="00ED289E" w:rsidRPr="6A3610E4">
        <w:rPr>
          <w:rFonts w:asciiTheme="majorHAnsi" w:eastAsiaTheme="majorEastAsia" w:hAnsiTheme="majorHAnsi" w:cstheme="majorBidi"/>
          <w:sz w:val="23"/>
          <w:szCs w:val="23"/>
          <w:lang w:val="en-GB"/>
        </w:rPr>
        <w:t xml:space="preserve">summary presented </w:t>
      </w:r>
      <w:r w:rsidR="00F00E3D" w:rsidRPr="6A3610E4">
        <w:rPr>
          <w:rFonts w:asciiTheme="majorHAnsi" w:eastAsiaTheme="majorEastAsia" w:hAnsiTheme="majorHAnsi" w:cstheme="majorBidi"/>
          <w:sz w:val="23"/>
          <w:szCs w:val="23"/>
          <w:lang w:val="en-GB"/>
        </w:rPr>
        <w:t xml:space="preserve">at the end of </w:t>
      </w:r>
      <w:r w:rsidR="00ED289E" w:rsidRPr="6A3610E4">
        <w:rPr>
          <w:rFonts w:asciiTheme="majorHAnsi" w:eastAsiaTheme="majorEastAsia" w:hAnsiTheme="majorHAnsi" w:cstheme="majorBidi"/>
          <w:sz w:val="23"/>
          <w:szCs w:val="23"/>
          <w:lang w:val="en-GB"/>
        </w:rPr>
        <w:t>this sub-section</w:t>
      </w:r>
      <w:r w:rsidR="00F00E3D" w:rsidRPr="6A3610E4">
        <w:rPr>
          <w:rFonts w:asciiTheme="majorHAnsi" w:eastAsiaTheme="majorEastAsia" w:hAnsiTheme="majorHAnsi" w:cstheme="majorBidi"/>
          <w:sz w:val="23"/>
          <w:szCs w:val="23"/>
          <w:lang w:val="en-GB"/>
        </w:rPr>
        <w:t xml:space="preserve"> (Table </w:t>
      </w:r>
      <w:r w:rsidR="00B36112" w:rsidRPr="6A3610E4">
        <w:rPr>
          <w:rFonts w:asciiTheme="majorHAnsi" w:eastAsiaTheme="majorEastAsia" w:hAnsiTheme="majorHAnsi" w:cstheme="majorBidi"/>
          <w:sz w:val="23"/>
          <w:szCs w:val="23"/>
          <w:lang w:val="en-GB"/>
        </w:rPr>
        <w:t>8.2</w:t>
      </w:r>
      <w:r w:rsidR="00F00E3D" w:rsidRPr="6A3610E4">
        <w:rPr>
          <w:rFonts w:asciiTheme="majorHAnsi" w:eastAsiaTheme="majorEastAsia" w:hAnsiTheme="majorHAnsi" w:cstheme="majorBidi"/>
          <w:sz w:val="23"/>
          <w:szCs w:val="23"/>
          <w:lang w:val="en-GB"/>
        </w:rPr>
        <w:t>).</w:t>
      </w:r>
      <w:r w:rsidRPr="6A3610E4">
        <w:rPr>
          <w:rFonts w:asciiTheme="majorHAnsi" w:eastAsiaTheme="majorEastAsia" w:hAnsiTheme="majorHAnsi" w:cstheme="majorBidi"/>
          <w:sz w:val="23"/>
          <w:szCs w:val="23"/>
          <w:lang w:val="en-GB"/>
        </w:rPr>
        <w:t xml:space="preserve"> </w:t>
      </w:r>
      <w:r w:rsidRPr="6A3610E4">
        <w:rPr>
          <w:rFonts w:asciiTheme="majorHAnsi" w:eastAsiaTheme="majorEastAsia" w:hAnsiTheme="majorHAnsi" w:cstheme="majorBidi"/>
          <w:sz w:val="23"/>
          <w:szCs w:val="23"/>
        </w:rPr>
        <w:t>Our 12 interviewees represented the following organisations:</w:t>
      </w:r>
    </w:p>
    <w:p w14:paraId="714D6AA9" w14:textId="77777777" w:rsidR="00A7555E" w:rsidRPr="00A7555E" w:rsidRDefault="00A7555E" w:rsidP="003E07FF">
      <w:pPr>
        <w:spacing w:after="0"/>
        <w:rPr>
          <w:rFonts w:asciiTheme="majorHAnsi" w:eastAsiaTheme="majorEastAsia" w:hAnsiTheme="majorHAnsi" w:cstheme="majorHAnsi"/>
          <w:sz w:val="16"/>
          <w:szCs w:val="16"/>
          <w:lang w:val="en-GB"/>
        </w:rPr>
      </w:pPr>
    </w:p>
    <w:tbl>
      <w:tblPr>
        <w:tblStyle w:val="TableGrid1"/>
        <w:tblW w:w="0" w:type="auto"/>
        <w:tblLayout w:type="fixed"/>
        <w:tblLook w:val="04A0" w:firstRow="1" w:lastRow="0" w:firstColumn="1" w:lastColumn="0" w:noHBand="0" w:noVBand="1"/>
      </w:tblPr>
      <w:tblGrid>
        <w:gridCol w:w="4850"/>
        <w:gridCol w:w="4697"/>
      </w:tblGrid>
      <w:tr w:rsidR="00A7555E" w:rsidRPr="00C41327" w14:paraId="7016F4B0" w14:textId="77777777" w:rsidTr="403BC132">
        <w:trPr>
          <w:trHeight w:val="459"/>
        </w:trPr>
        <w:tc>
          <w:tcPr>
            <w:tcW w:w="4850" w:type="dxa"/>
            <w:shd w:val="clear" w:color="auto" w:fill="AEAAAA" w:themeFill="background2" w:themeFillShade="BF"/>
          </w:tcPr>
          <w:p w14:paraId="127BDD4F" w14:textId="77777777" w:rsidR="00A7555E" w:rsidRPr="00B4094A" w:rsidRDefault="00A7555E" w:rsidP="0068686C">
            <w:pPr>
              <w:rPr>
                <w:rFonts w:cstheme="minorHAnsi"/>
                <w:sz w:val="21"/>
                <w:szCs w:val="21"/>
              </w:rPr>
            </w:pPr>
            <w:r w:rsidRPr="00B4094A">
              <w:rPr>
                <w:rFonts w:eastAsia="Calibri" w:cstheme="minorHAnsi"/>
                <w:b/>
                <w:bCs/>
                <w:sz w:val="21"/>
                <w:szCs w:val="21"/>
              </w:rPr>
              <w:t>Role, Organisation, Area</w:t>
            </w:r>
          </w:p>
        </w:tc>
        <w:tc>
          <w:tcPr>
            <w:tcW w:w="4697" w:type="dxa"/>
            <w:shd w:val="clear" w:color="auto" w:fill="AEAAAA" w:themeFill="background2" w:themeFillShade="BF"/>
          </w:tcPr>
          <w:p w14:paraId="34E5D486" w14:textId="308E9331" w:rsidR="00A7555E" w:rsidRPr="000956A5" w:rsidRDefault="00A7555E" w:rsidP="0068686C">
            <w:pPr>
              <w:rPr>
                <w:rFonts w:cstheme="minorHAnsi"/>
                <w:sz w:val="21"/>
                <w:szCs w:val="21"/>
              </w:rPr>
            </w:pPr>
            <w:r w:rsidRPr="00B4094A">
              <w:rPr>
                <w:rFonts w:eastAsia="Calibri" w:cstheme="minorHAnsi"/>
                <w:b/>
                <w:bCs/>
                <w:sz w:val="21"/>
                <w:szCs w:val="21"/>
              </w:rPr>
              <w:t xml:space="preserve">Main </w:t>
            </w:r>
            <w:r w:rsidR="00D95573">
              <w:rPr>
                <w:rFonts w:eastAsia="Calibri" w:cstheme="minorHAnsi"/>
                <w:b/>
                <w:bCs/>
                <w:sz w:val="21"/>
                <w:szCs w:val="21"/>
              </w:rPr>
              <w:t>Practice Domain</w:t>
            </w:r>
            <w:r w:rsidRPr="00B4094A">
              <w:rPr>
                <w:rFonts w:eastAsia="Calibri" w:cstheme="minorHAnsi"/>
                <w:b/>
                <w:bCs/>
                <w:sz w:val="21"/>
                <w:szCs w:val="21"/>
              </w:rPr>
              <w:t>(s)</w:t>
            </w:r>
          </w:p>
        </w:tc>
      </w:tr>
      <w:tr w:rsidR="00A7555E" w:rsidRPr="00B4094A" w14:paraId="735ED5F2" w14:textId="77777777" w:rsidTr="403BC132">
        <w:trPr>
          <w:trHeight w:val="459"/>
        </w:trPr>
        <w:tc>
          <w:tcPr>
            <w:tcW w:w="4850" w:type="dxa"/>
            <w:vAlign w:val="center"/>
          </w:tcPr>
          <w:p w14:paraId="3BB6063D"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lang w:val="en-GB"/>
              </w:rPr>
              <w:t>Northern Futures (Norlane)</w:t>
            </w:r>
          </w:p>
        </w:tc>
        <w:tc>
          <w:tcPr>
            <w:tcW w:w="4697" w:type="dxa"/>
            <w:vAlign w:val="center"/>
          </w:tcPr>
          <w:p w14:paraId="511A2734"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rPr>
              <w:t>Employment and training</w:t>
            </w:r>
          </w:p>
        </w:tc>
      </w:tr>
      <w:tr w:rsidR="00A7555E" w:rsidRPr="00B4094A" w14:paraId="363342F4" w14:textId="77777777" w:rsidTr="403BC132">
        <w:trPr>
          <w:trHeight w:val="471"/>
        </w:trPr>
        <w:tc>
          <w:tcPr>
            <w:tcW w:w="4850" w:type="dxa"/>
            <w:vAlign w:val="center"/>
          </w:tcPr>
          <w:p w14:paraId="18429FE0"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lang w:val="en-GB"/>
              </w:rPr>
              <w:t>Department of Families, Fairness, and Housing (formerly DHHS)</w:t>
            </w:r>
          </w:p>
        </w:tc>
        <w:tc>
          <w:tcPr>
            <w:tcW w:w="4697" w:type="dxa"/>
            <w:vAlign w:val="center"/>
          </w:tcPr>
          <w:p w14:paraId="4EFC0AB3"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rPr>
              <w:t>Housing</w:t>
            </w:r>
          </w:p>
        </w:tc>
      </w:tr>
      <w:tr w:rsidR="00A7555E" w:rsidRPr="00B4094A" w14:paraId="575F65B2" w14:textId="77777777" w:rsidTr="403BC132">
        <w:trPr>
          <w:trHeight w:val="552"/>
        </w:trPr>
        <w:tc>
          <w:tcPr>
            <w:tcW w:w="4850" w:type="dxa"/>
            <w:vAlign w:val="center"/>
          </w:tcPr>
          <w:p w14:paraId="679C60E2"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rPr>
              <w:t>Northern Bay College, (Corio-Norlane)</w:t>
            </w:r>
          </w:p>
        </w:tc>
        <w:tc>
          <w:tcPr>
            <w:tcW w:w="4697" w:type="dxa"/>
            <w:vAlign w:val="center"/>
          </w:tcPr>
          <w:p w14:paraId="753D9A8F"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rPr>
              <w:t>Education</w:t>
            </w:r>
          </w:p>
        </w:tc>
      </w:tr>
      <w:tr w:rsidR="00A7555E" w:rsidRPr="00B4094A" w14:paraId="04A32D43" w14:textId="77777777" w:rsidTr="403BC132">
        <w:trPr>
          <w:trHeight w:val="459"/>
        </w:trPr>
        <w:tc>
          <w:tcPr>
            <w:tcW w:w="4850" w:type="dxa"/>
            <w:vAlign w:val="center"/>
          </w:tcPr>
          <w:p w14:paraId="01CD4059" w14:textId="528EF60C" w:rsidR="00A7555E" w:rsidRPr="00B4094A" w:rsidRDefault="00A7555E" w:rsidP="403BC132">
            <w:pPr>
              <w:spacing w:after="0"/>
              <w:rPr>
                <w:rFonts w:asciiTheme="majorHAnsi" w:eastAsia="Calibri" w:hAnsiTheme="majorHAnsi" w:cstheme="majorBidi"/>
                <w:sz w:val="21"/>
                <w:szCs w:val="21"/>
                <w:lang w:val="en-GB"/>
              </w:rPr>
            </w:pPr>
            <w:r w:rsidRPr="403BC132">
              <w:rPr>
                <w:rFonts w:asciiTheme="majorHAnsi" w:eastAsia="Calibri" w:hAnsiTheme="majorHAnsi" w:cstheme="majorBidi"/>
                <w:sz w:val="21"/>
                <w:szCs w:val="21"/>
                <w:lang w:val="en-GB"/>
              </w:rPr>
              <w:t>G</w:t>
            </w:r>
            <w:r w:rsidR="2FAD07C2" w:rsidRPr="403BC132">
              <w:rPr>
                <w:rFonts w:asciiTheme="majorHAnsi" w:eastAsia="Calibri" w:hAnsiTheme="majorHAnsi" w:cstheme="majorBidi"/>
                <w:sz w:val="21"/>
                <w:szCs w:val="21"/>
                <w:lang w:val="en-GB"/>
              </w:rPr>
              <w:t>force</w:t>
            </w:r>
            <w:r w:rsidRPr="403BC132">
              <w:rPr>
                <w:rFonts w:asciiTheme="majorHAnsi" w:eastAsia="Calibri" w:hAnsiTheme="majorHAnsi" w:cstheme="majorBidi"/>
                <w:sz w:val="21"/>
                <w:szCs w:val="21"/>
                <w:lang w:val="en-GB"/>
              </w:rPr>
              <w:t xml:space="preserve"> Employment Services</w:t>
            </w:r>
          </w:p>
        </w:tc>
        <w:tc>
          <w:tcPr>
            <w:tcW w:w="4697" w:type="dxa"/>
            <w:vAlign w:val="center"/>
          </w:tcPr>
          <w:p w14:paraId="3A2A5246"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rPr>
              <w:t>Employment</w:t>
            </w:r>
          </w:p>
        </w:tc>
      </w:tr>
      <w:tr w:rsidR="00A7555E" w:rsidRPr="00B4094A" w14:paraId="555CE6D3" w14:textId="77777777" w:rsidTr="403BC132">
        <w:trPr>
          <w:trHeight w:val="579"/>
        </w:trPr>
        <w:tc>
          <w:tcPr>
            <w:tcW w:w="4850" w:type="dxa"/>
            <w:vAlign w:val="center"/>
          </w:tcPr>
          <w:p w14:paraId="030C280E"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lang w:val="en-GB"/>
              </w:rPr>
              <w:t>Norlane Community Centre</w:t>
            </w:r>
          </w:p>
        </w:tc>
        <w:tc>
          <w:tcPr>
            <w:tcW w:w="4697" w:type="dxa"/>
            <w:vAlign w:val="center"/>
          </w:tcPr>
          <w:p w14:paraId="046943DB"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lang w:val="en-GB"/>
              </w:rPr>
              <w:t>Liveability, Health and Wellbeing</w:t>
            </w:r>
          </w:p>
        </w:tc>
      </w:tr>
      <w:tr w:rsidR="00A7555E" w:rsidRPr="00B4094A" w14:paraId="5FE3C838" w14:textId="77777777" w:rsidTr="403BC132">
        <w:trPr>
          <w:trHeight w:val="461"/>
        </w:trPr>
        <w:tc>
          <w:tcPr>
            <w:tcW w:w="4850" w:type="dxa"/>
            <w:vAlign w:val="center"/>
          </w:tcPr>
          <w:p w14:paraId="68101B4F" w14:textId="7A86163D"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lang w:val="en-GB"/>
              </w:rPr>
              <w:t>Cloverdale Community Centre</w:t>
            </w:r>
            <w:r w:rsidR="00E83242">
              <w:rPr>
                <w:rFonts w:asciiTheme="majorHAnsi" w:eastAsia="Calibri" w:hAnsiTheme="majorHAnsi" w:cstheme="majorHAnsi"/>
                <w:sz w:val="21"/>
                <w:szCs w:val="21"/>
                <w:lang w:val="en-GB"/>
              </w:rPr>
              <w:t xml:space="preserve"> (</w:t>
            </w:r>
            <w:r w:rsidRPr="00B4094A">
              <w:rPr>
                <w:rFonts w:asciiTheme="majorHAnsi" w:eastAsia="Calibri" w:hAnsiTheme="majorHAnsi" w:cstheme="majorHAnsi"/>
                <w:sz w:val="21"/>
                <w:szCs w:val="21"/>
                <w:lang w:val="en-GB"/>
              </w:rPr>
              <w:t>Corio</w:t>
            </w:r>
            <w:r w:rsidR="00E83242">
              <w:rPr>
                <w:rFonts w:asciiTheme="majorHAnsi" w:eastAsia="Calibri" w:hAnsiTheme="majorHAnsi" w:cstheme="majorHAnsi"/>
                <w:sz w:val="21"/>
                <w:szCs w:val="21"/>
                <w:lang w:val="en-GB"/>
              </w:rPr>
              <w:t>)</w:t>
            </w:r>
          </w:p>
        </w:tc>
        <w:tc>
          <w:tcPr>
            <w:tcW w:w="4697" w:type="dxa"/>
            <w:vAlign w:val="center"/>
          </w:tcPr>
          <w:p w14:paraId="4CF4A17B"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lang w:val="en-GB"/>
              </w:rPr>
              <w:t>Liveability, Health and Wellbeing</w:t>
            </w:r>
          </w:p>
        </w:tc>
      </w:tr>
      <w:tr w:rsidR="00A7555E" w:rsidRPr="00B4094A" w14:paraId="341E0E85" w14:textId="77777777" w:rsidTr="403BC132">
        <w:trPr>
          <w:trHeight w:val="459"/>
        </w:trPr>
        <w:tc>
          <w:tcPr>
            <w:tcW w:w="4850" w:type="dxa"/>
            <w:vAlign w:val="center"/>
          </w:tcPr>
          <w:p w14:paraId="4084F2B2"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lang w:val="en-GB"/>
              </w:rPr>
              <w:t>Whittington Primary School</w:t>
            </w:r>
          </w:p>
        </w:tc>
        <w:tc>
          <w:tcPr>
            <w:tcW w:w="4697" w:type="dxa"/>
            <w:vAlign w:val="center"/>
          </w:tcPr>
          <w:p w14:paraId="475F7526"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rPr>
              <w:t>Education</w:t>
            </w:r>
          </w:p>
        </w:tc>
      </w:tr>
      <w:tr w:rsidR="00A7555E" w:rsidRPr="00B4094A" w14:paraId="4F1737E5" w14:textId="77777777" w:rsidTr="403BC132">
        <w:trPr>
          <w:trHeight w:val="459"/>
        </w:trPr>
        <w:tc>
          <w:tcPr>
            <w:tcW w:w="4850" w:type="dxa"/>
            <w:vAlign w:val="center"/>
          </w:tcPr>
          <w:p w14:paraId="001FC462"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rPr>
              <w:t>GROW (Geelong-wide)</w:t>
            </w:r>
          </w:p>
        </w:tc>
        <w:tc>
          <w:tcPr>
            <w:tcW w:w="4697" w:type="dxa"/>
            <w:vAlign w:val="center"/>
          </w:tcPr>
          <w:p w14:paraId="5DBDA2B1"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rPr>
              <w:t>Employment</w:t>
            </w:r>
          </w:p>
        </w:tc>
      </w:tr>
      <w:tr w:rsidR="00A7555E" w:rsidRPr="00B4094A" w14:paraId="7497833A" w14:textId="77777777" w:rsidTr="403BC132">
        <w:trPr>
          <w:trHeight w:val="471"/>
        </w:trPr>
        <w:tc>
          <w:tcPr>
            <w:tcW w:w="4850" w:type="dxa"/>
            <w:vAlign w:val="center"/>
          </w:tcPr>
          <w:p w14:paraId="48C81B04"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lang w:val="en-GB"/>
              </w:rPr>
              <w:t>Barwon Health North</w:t>
            </w:r>
          </w:p>
        </w:tc>
        <w:tc>
          <w:tcPr>
            <w:tcW w:w="4697" w:type="dxa"/>
            <w:vAlign w:val="center"/>
          </w:tcPr>
          <w:p w14:paraId="3FC14597"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rPr>
              <w:t>Health</w:t>
            </w:r>
          </w:p>
        </w:tc>
      </w:tr>
      <w:tr w:rsidR="00A7555E" w:rsidRPr="00B4094A" w14:paraId="094F7F1D" w14:textId="77777777" w:rsidTr="403BC132">
        <w:trPr>
          <w:trHeight w:val="493"/>
        </w:trPr>
        <w:tc>
          <w:tcPr>
            <w:tcW w:w="4850" w:type="dxa"/>
            <w:vAlign w:val="center"/>
          </w:tcPr>
          <w:p w14:paraId="73922BF2" w14:textId="22B41E2E"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lang w:val="en-GB"/>
              </w:rPr>
              <w:t>Encompass</w:t>
            </w:r>
            <w:r w:rsidR="00F56901" w:rsidRPr="00B4094A">
              <w:rPr>
                <w:rFonts w:asciiTheme="majorHAnsi" w:eastAsia="Calibri" w:hAnsiTheme="majorHAnsi" w:cstheme="majorHAnsi"/>
                <w:sz w:val="21"/>
                <w:szCs w:val="21"/>
                <w:lang w:val="en-GB"/>
              </w:rPr>
              <w:t xml:space="preserve"> Community Services</w:t>
            </w:r>
            <w:r w:rsidRPr="00B4094A">
              <w:rPr>
                <w:rFonts w:asciiTheme="majorHAnsi" w:eastAsia="Calibri" w:hAnsiTheme="majorHAnsi" w:cstheme="majorHAnsi"/>
                <w:sz w:val="21"/>
                <w:szCs w:val="21"/>
                <w:lang w:val="en-GB"/>
              </w:rPr>
              <w:t xml:space="preserve"> (</w:t>
            </w:r>
            <w:r w:rsidR="00B4094A" w:rsidRPr="00B4094A">
              <w:rPr>
                <w:rFonts w:asciiTheme="majorHAnsi" w:eastAsia="Calibri" w:hAnsiTheme="majorHAnsi" w:cstheme="majorHAnsi"/>
                <w:sz w:val="21"/>
                <w:szCs w:val="21"/>
                <w:lang w:val="en-GB"/>
              </w:rPr>
              <w:t>Whittington</w:t>
            </w:r>
            <w:r w:rsidRPr="00B4094A">
              <w:rPr>
                <w:rFonts w:asciiTheme="majorHAnsi" w:eastAsia="Calibri" w:hAnsiTheme="majorHAnsi" w:cstheme="majorHAnsi"/>
                <w:sz w:val="21"/>
                <w:szCs w:val="21"/>
                <w:lang w:val="en-GB"/>
              </w:rPr>
              <w:t>)</w:t>
            </w:r>
          </w:p>
        </w:tc>
        <w:tc>
          <w:tcPr>
            <w:tcW w:w="4697" w:type="dxa"/>
            <w:vAlign w:val="center"/>
          </w:tcPr>
          <w:p w14:paraId="49ACE810"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lang w:val="en-GB"/>
              </w:rPr>
              <w:t>Liveability, Employment, Health and Wellbeing</w:t>
            </w:r>
          </w:p>
        </w:tc>
      </w:tr>
      <w:tr w:rsidR="00A7555E" w:rsidRPr="00B4094A" w14:paraId="515EA2BF" w14:textId="77777777" w:rsidTr="403BC132">
        <w:trPr>
          <w:trHeight w:val="459"/>
        </w:trPr>
        <w:tc>
          <w:tcPr>
            <w:tcW w:w="4850" w:type="dxa"/>
            <w:vAlign w:val="center"/>
          </w:tcPr>
          <w:p w14:paraId="49CC3215"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rPr>
              <w:t>Norlane Community Initiatives</w:t>
            </w:r>
          </w:p>
        </w:tc>
        <w:tc>
          <w:tcPr>
            <w:tcW w:w="4697" w:type="dxa"/>
            <w:vAlign w:val="center"/>
          </w:tcPr>
          <w:p w14:paraId="39AA3276" w14:textId="77777777" w:rsidR="00A7555E" w:rsidRPr="00B4094A" w:rsidRDefault="00A7555E" w:rsidP="00E83242">
            <w:pPr>
              <w:spacing w:after="0"/>
              <w:rPr>
                <w:rFonts w:asciiTheme="majorHAnsi" w:hAnsiTheme="majorHAnsi" w:cstheme="majorHAnsi"/>
                <w:sz w:val="21"/>
                <w:szCs w:val="21"/>
              </w:rPr>
            </w:pPr>
            <w:r w:rsidRPr="00B4094A">
              <w:rPr>
                <w:rFonts w:asciiTheme="majorHAnsi" w:eastAsia="Calibri" w:hAnsiTheme="majorHAnsi" w:cstheme="majorHAnsi"/>
                <w:sz w:val="21"/>
                <w:szCs w:val="21"/>
              </w:rPr>
              <w:t>Health, Liveability</w:t>
            </w:r>
          </w:p>
        </w:tc>
      </w:tr>
      <w:tr w:rsidR="00A7555E" w:rsidRPr="00B4094A" w14:paraId="715465F2" w14:textId="77777777" w:rsidTr="403BC132">
        <w:trPr>
          <w:trHeight w:val="459"/>
        </w:trPr>
        <w:tc>
          <w:tcPr>
            <w:tcW w:w="4850" w:type="dxa"/>
            <w:vAlign w:val="center"/>
          </w:tcPr>
          <w:p w14:paraId="369656F9" w14:textId="77777777" w:rsidR="00A7555E" w:rsidRPr="00B4094A" w:rsidRDefault="00A7555E" w:rsidP="00E83242">
            <w:pPr>
              <w:spacing w:after="0"/>
              <w:rPr>
                <w:rFonts w:asciiTheme="majorHAnsi" w:hAnsiTheme="majorHAnsi" w:cstheme="majorBidi"/>
                <w:sz w:val="21"/>
                <w:szCs w:val="21"/>
              </w:rPr>
            </w:pPr>
            <w:r w:rsidRPr="00B4094A">
              <w:rPr>
                <w:rFonts w:asciiTheme="majorHAnsi" w:eastAsia="Calibri" w:hAnsiTheme="majorHAnsi" w:cstheme="majorBidi"/>
                <w:sz w:val="21"/>
                <w:szCs w:val="21"/>
              </w:rPr>
              <w:t>Diversitat</w:t>
            </w:r>
          </w:p>
        </w:tc>
        <w:tc>
          <w:tcPr>
            <w:tcW w:w="4697" w:type="dxa"/>
            <w:vAlign w:val="center"/>
          </w:tcPr>
          <w:p w14:paraId="40936347" w14:textId="77777777" w:rsidR="00A7555E" w:rsidRPr="00B4094A" w:rsidRDefault="00A7555E" w:rsidP="00E83242">
            <w:pPr>
              <w:spacing w:after="0"/>
              <w:rPr>
                <w:rFonts w:asciiTheme="majorHAnsi" w:eastAsia="Calibri" w:hAnsiTheme="majorHAnsi" w:cstheme="majorHAnsi"/>
                <w:sz w:val="21"/>
                <w:szCs w:val="21"/>
              </w:rPr>
            </w:pPr>
            <w:r w:rsidRPr="00B4094A">
              <w:rPr>
                <w:rFonts w:asciiTheme="majorHAnsi" w:eastAsia="Calibri" w:hAnsiTheme="majorHAnsi" w:cstheme="majorHAnsi"/>
                <w:sz w:val="21"/>
                <w:szCs w:val="21"/>
              </w:rPr>
              <w:t>Liveability</w:t>
            </w:r>
          </w:p>
        </w:tc>
      </w:tr>
    </w:tbl>
    <w:p w14:paraId="4EA20D77" w14:textId="7DDDF868" w:rsidR="00A7555E" w:rsidRDefault="00A7555E" w:rsidP="00C64D38">
      <w:pPr>
        <w:spacing w:after="0" w:line="216" w:lineRule="auto"/>
        <w:ind w:left="360" w:hanging="360"/>
        <w:rPr>
          <w:rFonts w:eastAsia="Calibri" w:cstheme="minorHAnsi"/>
          <w:b/>
          <w:bCs/>
          <w:sz w:val="21"/>
          <w:szCs w:val="21"/>
          <w:lang w:val="en-GB"/>
        </w:rPr>
      </w:pPr>
      <w:r w:rsidRPr="00B4094A">
        <w:rPr>
          <w:rFonts w:eastAsia="Times New Roman" w:cstheme="minorHAnsi"/>
          <w:b/>
          <w:bCs/>
          <w:sz w:val="21"/>
          <w:szCs w:val="21"/>
        </w:rPr>
        <w:t xml:space="preserve">Table 8.1: </w:t>
      </w:r>
      <w:r w:rsidRPr="00B4094A">
        <w:rPr>
          <w:rFonts w:eastAsia="Calibri" w:cstheme="minorHAnsi"/>
          <w:b/>
          <w:bCs/>
          <w:sz w:val="21"/>
          <w:szCs w:val="21"/>
          <w:lang w:val="en-GB"/>
        </w:rPr>
        <w:t xml:space="preserve">Organisations </w:t>
      </w:r>
      <w:r w:rsidR="00C64D38">
        <w:rPr>
          <w:rFonts w:eastAsia="Calibri" w:cstheme="minorHAnsi"/>
          <w:b/>
          <w:bCs/>
          <w:sz w:val="21"/>
          <w:szCs w:val="21"/>
          <w:lang w:val="en-GB"/>
        </w:rPr>
        <w:t>of</w:t>
      </w:r>
      <w:r w:rsidRPr="00B4094A">
        <w:rPr>
          <w:rFonts w:eastAsia="Calibri" w:cstheme="minorHAnsi"/>
          <w:b/>
          <w:bCs/>
          <w:sz w:val="21"/>
          <w:szCs w:val="21"/>
          <w:lang w:val="en-GB"/>
        </w:rPr>
        <w:t xml:space="preserve"> Interview Participants</w:t>
      </w:r>
      <w:r w:rsidR="00C64D38">
        <w:rPr>
          <w:rFonts w:eastAsia="Calibri" w:cstheme="minorHAnsi"/>
          <w:b/>
          <w:bCs/>
          <w:sz w:val="21"/>
          <w:szCs w:val="21"/>
          <w:lang w:val="en-GB"/>
        </w:rPr>
        <w:t xml:space="preserve"> and their Main </w:t>
      </w:r>
      <w:r w:rsidR="00D95573">
        <w:rPr>
          <w:rFonts w:eastAsia="Calibri" w:cstheme="minorHAnsi"/>
          <w:b/>
          <w:bCs/>
          <w:sz w:val="21"/>
          <w:szCs w:val="21"/>
          <w:lang w:val="en-GB"/>
        </w:rPr>
        <w:t>Practice Domain</w:t>
      </w:r>
      <w:r w:rsidR="00C64D38" w:rsidRPr="00B4094A">
        <w:rPr>
          <w:rFonts w:eastAsia="Calibri" w:cstheme="minorHAnsi"/>
          <w:b/>
          <w:bCs/>
          <w:sz w:val="21"/>
          <w:szCs w:val="21"/>
          <w:lang w:val="en-GB"/>
        </w:rPr>
        <w:t>s</w:t>
      </w:r>
    </w:p>
    <w:p w14:paraId="16B66681" w14:textId="77777777" w:rsidR="00C64D38" w:rsidRPr="00C64D38" w:rsidRDefault="00C64D38" w:rsidP="00C64D38">
      <w:pPr>
        <w:spacing w:after="0" w:line="216" w:lineRule="auto"/>
        <w:ind w:left="360" w:hanging="360"/>
        <w:rPr>
          <w:rFonts w:eastAsia="Calibri" w:cstheme="minorHAnsi"/>
          <w:b/>
          <w:bCs/>
          <w:sz w:val="21"/>
          <w:szCs w:val="21"/>
          <w:lang w:val="en-GB"/>
        </w:rPr>
      </w:pPr>
    </w:p>
    <w:p w14:paraId="2C097F91" w14:textId="6531F3C0" w:rsidR="00F00E3D" w:rsidRPr="00BF45CB" w:rsidRDefault="00F00E3D" w:rsidP="009B2FA7">
      <w:pPr>
        <w:rPr>
          <w:rFonts w:eastAsiaTheme="majorEastAsia" w:cstheme="minorHAnsi"/>
          <w:b/>
          <w:bCs/>
          <w:color w:val="2F5496" w:themeColor="accent1" w:themeShade="BF"/>
          <w:sz w:val="25"/>
          <w:szCs w:val="25"/>
          <w:lang w:val="en-GB"/>
        </w:rPr>
      </w:pPr>
      <w:r w:rsidRPr="00BF45CB">
        <w:rPr>
          <w:rFonts w:eastAsiaTheme="majorEastAsia" w:cstheme="minorHAnsi"/>
          <w:b/>
          <w:bCs/>
          <w:color w:val="2F5496" w:themeColor="accent1" w:themeShade="BF"/>
          <w:sz w:val="25"/>
          <w:szCs w:val="25"/>
          <w:lang w:val="en-GB"/>
        </w:rPr>
        <w:t>Negative</w:t>
      </w:r>
      <w:r w:rsidR="00587112" w:rsidRPr="00BF45CB">
        <w:rPr>
          <w:rFonts w:eastAsiaTheme="majorEastAsia" w:cstheme="minorHAnsi"/>
          <w:b/>
          <w:bCs/>
          <w:color w:val="2F5496" w:themeColor="accent1" w:themeShade="BF"/>
          <w:sz w:val="25"/>
          <w:szCs w:val="25"/>
          <w:lang w:val="en-GB"/>
        </w:rPr>
        <w:t xml:space="preserve"> Community</w:t>
      </w:r>
      <w:r w:rsidRPr="00BF45CB">
        <w:rPr>
          <w:rFonts w:eastAsiaTheme="majorEastAsia" w:cstheme="minorHAnsi"/>
          <w:b/>
          <w:bCs/>
          <w:color w:val="2F5496" w:themeColor="accent1" w:themeShade="BF"/>
          <w:sz w:val="25"/>
          <w:szCs w:val="25"/>
          <w:lang w:val="en-GB"/>
        </w:rPr>
        <w:t xml:space="preserve"> </w:t>
      </w:r>
      <w:r w:rsidR="008A3280" w:rsidRPr="00BF45CB">
        <w:rPr>
          <w:rFonts w:eastAsiaTheme="majorEastAsia" w:cstheme="minorHAnsi"/>
          <w:b/>
          <w:bCs/>
          <w:color w:val="2F5496" w:themeColor="accent1" w:themeShade="BF"/>
          <w:sz w:val="25"/>
          <w:szCs w:val="25"/>
          <w:lang w:val="en-GB"/>
        </w:rPr>
        <w:t>Impacts of COVID-19</w:t>
      </w:r>
    </w:p>
    <w:p w14:paraId="036FA529" w14:textId="1398CA31" w:rsidR="00F00E3D" w:rsidRDefault="00F00E3D" w:rsidP="0055008C">
      <w:pPr>
        <w:spacing w:after="0"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 xml:space="preserve">The interviewees reflected on the experience of the community over the past twelve months and the impact of the </w:t>
      </w:r>
      <w:r w:rsidR="00940D80" w:rsidRPr="0034443E">
        <w:rPr>
          <w:rFonts w:asciiTheme="majorHAnsi" w:eastAsiaTheme="majorEastAsia" w:hAnsiTheme="majorHAnsi" w:cstheme="majorHAnsi"/>
          <w:sz w:val="23"/>
          <w:szCs w:val="23"/>
          <w:lang w:val="en-GB"/>
        </w:rPr>
        <w:t>COVID</w:t>
      </w:r>
      <w:r w:rsidRPr="0034443E">
        <w:rPr>
          <w:rFonts w:asciiTheme="majorHAnsi" w:eastAsiaTheme="majorEastAsia" w:hAnsiTheme="majorHAnsi" w:cstheme="majorHAnsi"/>
          <w:sz w:val="23"/>
          <w:szCs w:val="23"/>
          <w:lang w:val="en-GB"/>
        </w:rPr>
        <w:t>-19 pandemic. In common with many Australian communities, existing or entrenched issues for the community were amplified or compounded by the challenges posed by the pandemic. The history of this community was also acknowledged to be an important contextual factor, in regard to both the recent past (</w:t>
      </w:r>
      <w:r w:rsidR="00E83242">
        <w:rPr>
          <w:rFonts w:asciiTheme="majorHAnsi" w:eastAsiaTheme="majorEastAsia" w:hAnsiTheme="majorHAnsi" w:cstheme="majorHAnsi"/>
          <w:sz w:val="23"/>
          <w:szCs w:val="23"/>
          <w:lang w:val="en-GB"/>
        </w:rPr>
        <w:t>for example, a</w:t>
      </w:r>
      <w:r w:rsidRPr="0034443E">
        <w:rPr>
          <w:rFonts w:asciiTheme="majorHAnsi" w:eastAsiaTheme="majorEastAsia" w:hAnsiTheme="majorHAnsi" w:cstheme="majorHAnsi"/>
          <w:sz w:val="23"/>
          <w:szCs w:val="23"/>
          <w:lang w:val="en-GB"/>
        </w:rPr>
        <w:t xml:space="preserve"> damaging cyber-attack on</w:t>
      </w:r>
      <w:r w:rsidR="00E83242">
        <w:rPr>
          <w:rFonts w:asciiTheme="majorHAnsi" w:eastAsiaTheme="majorEastAsia" w:hAnsiTheme="majorHAnsi" w:cstheme="majorHAnsi"/>
          <w:sz w:val="23"/>
          <w:szCs w:val="23"/>
          <w:lang w:val="en-GB"/>
        </w:rPr>
        <w:t xml:space="preserve"> a</w:t>
      </w:r>
      <w:r w:rsidRPr="0034443E">
        <w:rPr>
          <w:rFonts w:asciiTheme="majorHAnsi" w:eastAsiaTheme="majorEastAsia" w:hAnsiTheme="majorHAnsi" w:cstheme="majorHAnsi"/>
          <w:sz w:val="23"/>
          <w:szCs w:val="23"/>
          <w:lang w:val="en-GB"/>
        </w:rPr>
        <w:t xml:space="preserve"> local health provider) and longer-term trends (demographic changes).</w:t>
      </w:r>
    </w:p>
    <w:p w14:paraId="67916C73" w14:textId="77777777" w:rsidR="0055008C" w:rsidRPr="0055008C" w:rsidRDefault="0055008C" w:rsidP="0055008C">
      <w:pPr>
        <w:spacing w:after="0" w:line="276" w:lineRule="auto"/>
        <w:rPr>
          <w:rFonts w:asciiTheme="majorHAnsi" w:eastAsiaTheme="majorEastAsia" w:hAnsiTheme="majorHAnsi" w:cstheme="majorHAnsi"/>
          <w:sz w:val="8"/>
          <w:szCs w:val="8"/>
          <w:lang w:val="en-GB"/>
        </w:rPr>
      </w:pPr>
    </w:p>
    <w:p w14:paraId="55524988" w14:textId="1EE6C6A1" w:rsidR="00236A96" w:rsidRDefault="00F00E3D" w:rsidP="00616B8A">
      <w:pPr>
        <w:spacing w:line="276" w:lineRule="auto"/>
        <w:ind w:firstLine="720"/>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Every pre-existing issue was exacerbated – What was wrong got wronger</w:t>
      </w:r>
      <w:r w:rsidR="00291A8A">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(P8)</w:t>
      </w:r>
      <w:r w:rsidR="00236A96">
        <w:rPr>
          <w:rFonts w:asciiTheme="majorHAnsi" w:eastAsiaTheme="majorEastAsia" w:hAnsiTheme="majorHAnsi" w:cstheme="majorHAnsi"/>
          <w:sz w:val="23"/>
          <w:szCs w:val="23"/>
          <w:lang w:val="en-GB"/>
        </w:rPr>
        <w:br w:type="page"/>
      </w:r>
    </w:p>
    <w:p w14:paraId="7920C04C" w14:textId="77777777" w:rsidR="00F00E3D" w:rsidRPr="00BF45CB" w:rsidRDefault="00F00E3D" w:rsidP="00616B8A">
      <w:pPr>
        <w:spacing w:line="276" w:lineRule="auto"/>
        <w:rPr>
          <w:rFonts w:eastAsiaTheme="majorEastAsia" w:cstheme="minorHAnsi"/>
          <w:b/>
          <w:bCs/>
          <w:sz w:val="25"/>
          <w:szCs w:val="25"/>
          <w:lang w:val="en-GB"/>
        </w:rPr>
      </w:pPr>
      <w:r w:rsidRPr="00BF45CB">
        <w:rPr>
          <w:rFonts w:eastAsiaTheme="majorEastAsia" w:cstheme="minorHAnsi"/>
          <w:b/>
          <w:bCs/>
          <w:sz w:val="25"/>
          <w:szCs w:val="25"/>
          <w:lang w:val="en-GB"/>
        </w:rPr>
        <w:lastRenderedPageBreak/>
        <w:t>Employment</w:t>
      </w:r>
    </w:p>
    <w:p w14:paraId="787E2F7F" w14:textId="77777777" w:rsidR="00F00E3D" w:rsidRPr="0034443E" w:rsidRDefault="00F00E3D" w:rsidP="00616B8A">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 xml:space="preserve">Despite widespread upheaval to the Australian job market, the pandemic was not perceived to have made a significant impact on existing unemployment in the community. Many of the people these agencies worked with were already unemployed, or carers, or receiving benefits and so their situation was unaffected. There was a negative impact on the availability of traineeships and placements for those in training courses, and this effected their ability to complete them as well as their ready success in finding employment on their completion. There was also the extra challenge of completing these programs online, with the lack of face-to-face networking during remote learning removing the group solidarity and peer support that usually accompanies these programs. </w:t>
      </w:r>
    </w:p>
    <w:p w14:paraId="1BF12023" w14:textId="67056CAA" w:rsidR="00F00E3D" w:rsidRPr="0034443E" w:rsidRDefault="00F00E3D" w:rsidP="00616B8A">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 xml:space="preserve">However, volunteer employment was significantly impacted </w:t>
      </w:r>
      <w:r w:rsidR="00BF45CB">
        <w:rPr>
          <w:rFonts w:asciiTheme="majorHAnsi" w:eastAsiaTheme="majorEastAsia" w:hAnsiTheme="majorHAnsi" w:cstheme="majorHAnsi"/>
          <w:sz w:val="23"/>
          <w:szCs w:val="23"/>
          <w:lang w:val="en-GB"/>
        </w:rPr>
        <w:t xml:space="preserve">during </w:t>
      </w:r>
      <w:r w:rsidR="00692CD6">
        <w:rPr>
          <w:rFonts w:asciiTheme="majorHAnsi" w:eastAsiaTheme="majorEastAsia" w:hAnsiTheme="majorHAnsi" w:cstheme="majorHAnsi"/>
          <w:sz w:val="23"/>
          <w:szCs w:val="23"/>
          <w:lang w:val="en-GB"/>
        </w:rPr>
        <w:t>2020</w:t>
      </w:r>
      <w:r w:rsidR="00BF45CB">
        <w:rPr>
          <w:rFonts w:asciiTheme="majorHAnsi" w:eastAsiaTheme="majorEastAsia" w:hAnsiTheme="majorHAnsi" w:cstheme="majorHAnsi"/>
          <w:sz w:val="23"/>
          <w:szCs w:val="23"/>
          <w:lang w:val="en-GB"/>
        </w:rPr>
        <w:t xml:space="preserve">, </w:t>
      </w:r>
      <w:r w:rsidRPr="0034443E">
        <w:rPr>
          <w:rFonts w:asciiTheme="majorHAnsi" w:eastAsiaTheme="majorEastAsia" w:hAnsiTheme="majorHAnsi" w:cstheme="majorHAnsi"/>
          <w:sz w:val="23"/>
          <w:szCs w:val="23"/>
          <w:lang w:val="en-GB"/>
        </w:rPr>
        <w:t xml:space="preserve">as these workers were not considered </w:t>
      </w:r>
      <w:r w:rsidR="00BF45CB">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essential</w:t>
      </w:r>
      <w:r w:rsidR="00BF45CB">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and therefore became disengaged from their usual roles. Some of the agencies depend heavily on their volunteer workforce, and this consequence of the pandemic reduced their ability to offer services and support.</w:t>
      </w:r>
    </w:p>
    <w:p w14:paraId="0C6AA214" w14:textId="01081712" w:rsidR="00F00E3D" w:rsidRPr="0034443E" w:rsidRDefault="00F00E3D" w:rsidP="0055008C">
      <w:pPr>
        <w:spacing w:after="0" w:line="276" w:lineRule="auto"/>
        <w:ind w:left="720"/>
        <w:rPr>
          <w:rFonts w:asciiTheme="majorHAnsi" w:eastAsiaTheme="majorEastAsia" w:hAnsiTheme="majorHAnsi" w:cstheme="majorHAnsi"/>
          <w:sz w:val="23"/>
          <w:szCs w:val="23"/>
        </w:rPr>
      </w:pPr>
      <w:r w:rsidRPr="0034443E">
        <w:rPr>
          <w:rFonts w:asciiTheme="majorHAnsi" w:eastAsiaTheme="majorEastAsia" w:hAnsiTheme="majorHAnsi" w:cstheme="majorHAnsi"/>
          <w:sz w:val="23"/>
          <w:szCs w:val="23"/>
        </w:rPr>
        <w:t xml:space="preserve">We had to stop using our volunteers and cut down to core staff … We’re not sure what will happen with a lot of our volunteers … Some were very keen to get back into things. But we may lose some of our volunteers because of </w:t>
      </w:r>
      <w:r w:rsidR="00940D80" w:rsidRPr="0034443E">
        <w:rPr>
          <w:rFonts w:asciiTheme="majorHAnsi" w:eastAsiaTheme="majorEastAsia" w:hAnsiTheme="majorHAnsi" w:cstheme="majorHAnsi"/>
          <w:sz w:val="23"/>
          <w:szCs w:val="23"/>
        </w:rPr>
        <w:t>COVID</w:t>
      </w:r>
      <w:r w:rsidR="00291A8A">
        <w:rPr>
          <w:rFonts w:asciiTheme="majorHAnsi" w:eastAsiaTheme="majorEastAsia" w:hAnsiTheme="majorHAnsi" w:cstheme="majorHAnsi"/>
          <w:sz w:val="23"/>
          <w:szCs w:val="23"/>
        </w:rPr>
        <w:t xml:space="preserve"> </w:t>
      </w:r>
      <w:r w:rsidRPr="0034443E">
        <w:rPr>
          <w:rFonts w:asciiTheme="majorHAnsi" w:eastAsiaTheme="majorEastAsia" w:hAnsiTheme="majorHAnsi" w:cstheme="majorHAnsi"/>
          <w:sz w:val="23"/>
          <w:szCs w:val="23"/>
        </w:rPr>
        <w:t>(P11)</w:t>
      </w:r>
    </w:p>
    <w:p w14:paraId="4F65864D" w14:textId="77777777" w:rsidR="0055008C" w:rsidRPr="00E36BAF" w:rsidRDefault="0055008C" w:rsidP="00E36BAF">
      <w:pPr>
        <w:spacing w:after="0" w:line="276" w:lineRule="auto"/>
        <w:rPr>
          <w:rFonts w:eastAsiaTheme="majorEastAsia" w:cstheme="minorHAnsi"/>
          <w:b/>
          <w:bCs/>
          <w:sz w:val="16"/>
          <w:szCs w:val="16"/>
          <w:lang w:val="en-GB"/>
        </w:rPr>
      </w:pPr>
    </w:p>
    <w:p w14:paraId="71D8980E" w14:textId="026A9F14" w:rsidR="00F00E3D" w:rsidRPr="001D79F5" w:rsidRDefault="00F00E3D" w:rsidP="00616B8A">
      <w:pPr>
        <w:spacing w:line="276" w:lineRule="auto"/>
        <w:rPr>
          <w:rFonts w:eastAsiaTheme="majorEastAsia" w:cstheme="minorHAnsi"/>
          <w:b/>
          <w:bCs/>
          <w:sz w:val="25"/>
          <w:szCs w:val="25"/>
          <w:lang w:val="en-GB"/>
        </w:rPr>
      </w:pPr>
      <w:r w:rsidRPr="001D79F5">
        <w:rPr>
          <w:rFonts w:eastAsiaTheme="majorEastAsia" w:cstheme="minorHAnsi"/>
          <w:b/>
          <w:bCs/>
          <w:sz w:val="25"/>
          <w:szCs w:val="25"/>
          <w:lang w:val="en-GB"/>
        </w:rPr>
        <w:t>Education</w:t>
      </w:r>
    </w:p>
    <w:p w14:paraId="1D4E332B" w14:textId="3786E496" w:rsidR="00F00E3D" w:rsidRPr="0034443E" w:rsidRDefault="00F00E3D" w:rsidP="00616B8A">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Negative impacts on education were reported from the youngest community members to the adult population. Children born during the pandemic (so called “</w:t>
      </w:r>
      <w:r w:rsidR="00940D80" w:rsidRPr="0034443E">
        <w:rPr>
          <w:rFonts w:asciiTheme="majorHAnsi" w:eastAsiaTheme="majorEastAsia" w:hAnsiTheme="majorHAnsi" w:cstheme="majorHAnsi"/>
          <w:sz w:val="23"/>
          <w:szCs w:val="23"/>
          <w:lang w:val="en-GB"/>
        </w:rPr>
        <w:t>COVID</w:t>
      </w:r>
      <w:r w:rsidRPr="0034443E">
        <w:rPr>
          <w:rFonts w:asciiTheme="majorHAnsi" w:eastAsiaTheme="majorEastAsia" w:hAnsiTheme="majorHAnsi" w:cstheme="majorHAnsi"/>
          <w:sz w:val="23"/>
          <w:szCs w:val="23"/>
          <w:lang w:val="en-GB"/>
        </w:rPr>
        <w:t xml:space="preserve"> babies”) and pre-school children missed out on socialisation opportunities due to the social distancing restrictions. While many early childhood education centres remained open, these children did not have the opportunity to learn through play with relatives during mothers’ groups or at the local playground. </w:t>
      </w:r>
    </w:p>
    <w:p w14:paraId="5C0DC99E" w14:textId="77777777" w:rsidR="00F00E3D" w:rsidRPr="0034443E" w:rsidRDefault="00F00E3D" w:rsidP="00616B8A">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 xml:space="preserve">The education of school-age children was noted to be profoundly affected by the pandemic, due to the shift to online learning and loss of social interaction with peers. Some interviewees described incidents of disengagement from education, particularly for vulnerable young people such as those from culturally and linguistically diverse (CALD) or Indigenous communities, children with disability and those experiencing digital exclusion. In some cases, this led to young people dropping out of formal education altogether. Adult learners were also described as struggling with changes to their educational experience. This was particularly true for people returning to study after an extended break, whose routines and networks were not firmly established. </w:t>
      </w:r>
    </w:p>
    <w:p w14:paraId="17FC99CD" w14:textId="6C03C319" w:rsidR="00F00E3D" w:rsidRPr="0034443E" w:rsidRDefault="00692CD6" w:rsidP="00E36BAF">
      <w:pPr>
        <w:spacing w:after="0" w:line="276" w:lineRule="auto"/>
        <w:ind w:left="720"/>
        <w:rPr>
          <w:rFonts w:asciiTheme="majorHAnsi" w:eastAsiaTheme="majorEastAsia" w:hAnsiTheme="majorHAnsi" w:cstheme="majorHAnsi"/>
          <w:sz w:val="23"/>
          <w:szCs w:val="23"/>
        </w:rPr>
      </w:pPr>
      <w:r>
        <w:rPr>
          <w:rFonts w:asciiTheme="majorHAnsi" w:eastAsiaTheme="majorEastAsia" w:hAnsiTheme="majorHAnsi" w:cstheme="majorHAnsi"/>
          <w:sz w:val="23"/>
          <w:szCs w:val="23"/>
        </w:rPr>
        <w:t>With o</w:t>
      </w:r>
      <w:r w:rsidR="00F00E3D" w:rsidRPr="0034443E">
        <w:rPr>
          <w:rFonts w:asciiTheme="majorHAnsi" w:eastAsiaTheme="majorEastAsia" w:hAnsiTheme="majorHAnsi" w:cstheme="majorHAnsi"/>
          <w:sz w:val="23"/>
          <w:szCs w:val="23"/>
        </w:rPr>
        <w:t xml:space="preserve">ur RTO the classes went online [during </w:t>
      </w:r>
      <w:r w:rsidR="00940D80" w:rsidRPr="0034443E">
        <w:rPr>
          <w:rFonts w:asciiTheme="majorHAnsi" w:eastAsiaTheme="majorEastAsia" w:hAnsiTheme="majorHAnsi" w:cstheme="majorHAnsi"/>
          <w:sz w:val="23"/>
          <w:szCs w:val="23"/>
        </w:rPr>
        <w:t>COVID</w:t>
      </w:r>
      <w:r w:rsidR="00F00E3D" w:rsidRPr="0034443E">
        <w:rPr>
          <w:rFonts w:asciiTheme="majorHAnsi" w:eastAsiaTheme="majorEastAsia" w:hAnsiTheme="majorHAnsi" w:cstheme="majorHAnsi"/>
          <w:sz w:val="23"/>
          <w:szCs w:val="23"/>
        </w:rPr>
        <w:t>], and some students struggled to handle that transition (P10).</w:t>
      </w:r>
    </w:p>
    <w:p w14:paraId="0D78F0B6" w14:textId="77777777" w:rsidR="00E36BAF" w:rsidRPr="00E36BAF" w:rsidRDefault="00E36BAF" w:rsidP="00E36BAF">
      <w:pPr>
        <w:spacing w:after="0" w:line="276" w:lineRule="auto"/>
        <w:rPr>
          <w:rFonts w:eastAsiaTheme="majorEastAsia" w:cstheme="minorHAnsi"/>
          <w:b/>
          <w:bCs/>
          <w:sz w:val="12"/>
          <w:szCs w:val="12"/>
          <w:lang w:val="en-GB"/>
        </w:rPr>
      </w:pPr>
    </w:p>
    <w:p w14:paraId="50A51A6C" w14:textId="6E27F1ED" w:rsidR="00F00E3D" w:rsidRPr="007C3FEF" w:rsidRDefault="00F00E3D" w:rsidP="00E36BAF">
      <w:pPr>
        <w:spacing w:after="0" w:line="276" w:lineRule="auto"/>
        <w:rPr>
          <w:rFonts w:eastAsiaTheme="majorEastAsia" w:cstheme="minorHAnsi"/>
          <w:b/>
          <w:bCs/>
          <w:sz w:val="25"/>
          <w:szCs w:val="25"/>
          <w:lang w:val="en-GB"/>
        </w:rPr>
      </w:pPr>
      <w:r w:rsidRPr="007C3FEF">
        <w:rPr>
          <w:rFonts w:eastAsiaTheme="majorEastAsia" w:cstheme="minorHAnsi"/>
          <w:b/>
          <w:bCs/>
          <w:sz w:val="25"/>
          <w:szCs w:val="25"/>
          <w:lang w:val="en-GB"/>
        </w:rPr>
        <w:t>Housing</w:t>
      </w:r>
    </w:p>
    <w:p w14:paraId="53760CE4" w14:textId="77777777" w:rsidR="00E36BAF" w:rsidRPr="00E36BAF" w:rsidRDefault="00E36BAF" w:rsidP="00E36BAF">
      <w:pPr>
        <w:spacing w:after="0" w:line="276" w:lineRule="auto"/>
        <w:rPr>
          <w:rFonts w:asciiTheme="majorHAnsi" w:eastAsiaTheme="majorEastAsia" w:hAnsiTheme="majorHAnsi" w:cstheme="majorBidi"/>
          <w:sz w:val="12"/>
          <w:szCs w:val="12"/>
          <w:lang w:val="en-GB"/>
        </w:rPr>
      </w:pPr>
    </w:p>
    <w:p w14:paraId="68F38FFA" w14:textId="73B720E6" w:rsidR="00F00E3D" w:rsidRPr="0034443E" w:rsidRDefault="006B74E3" w:rsidP="00616B8A">
      <w:pPr>
        <w:spacing w:line="276" w:lineRule="auto"/>
        <w:rPr>
          <w:rFonts w:asciiTheme="majorHAnsi" w:eastAsiaTheme="majorEastAsia" w:hAnsiTheme="majorHAnsi" w:cstheme="majorBidi"/>
          <w:sz w:val="23"/>
          <w:szCs w:val="23"/>
          <w:lang w:val="en-GB"/>
        </w:rPr>
      </w:pPr>
      <w:r>
        <w:rPr>
          <w:rFonts w:asciiTheme="majorHAnsi" w:eastAsiaTheme="majorEastAsia" w:hAnsiTheme="majorHAnsi" w:cstheme="majorBidi"/>
          <w:sz w:val="23"/>
          <w:szCs w:val="23"/>
          <w:lang w:val="en-GB"/>
        </w:rPr>
        <w:t>One</w:t>
      </w:r>
      <w:r w:rsidR="00F00E3D" w:rsidRPr="0034443E">
        <w:rPr>
          <w:rFonts w:asciiTheme="majorHAnsi" w:eastAsiaTheme="majorEastAsia" w:hAnsiTheme="majorHAnsi" w:cstheme="majorBidi"/>
          <w:sz w:val="23"/>
          <w:szCs w:val="23"/>
          <w:lang w:val="en-GB"/>
        </w:rPr>
        <w:t xml:space="preserve"> key </w:t>
      </w:r>
      <w:r w:rsidR="00587112" w:rsidRPr="0034443E">
        <w:rPr>
          <w:rFonts w:asciiTheme="majorHAnsi" w:eastAsiaTheme="majorEastAsia" w:hAnsiTheme="majorHAnsi" w:cstheme="majorBidi"/>
          <w:sz w:val="23"/>
          <w:szCs w:val="23"/>
          <w:lang w:val="en-GB"/>
        </w:rPr>
        <w:t>reported</w:t>
      </w:r>
      <w:r w:rsidR="00F00E3D" w:rsidRPr="0034443E">
        <w:rPr>
          <w:rFonts w:asciiTheme="majorHAnsi" w:eastAsiaTheme="majorEastAsia" w:hAnsiTheme="majorHAnsi" w:cstheme="majorBidi"/>
          <w:sz w:val="23"/>
          <w:szCs w:val="23"/>
          <w:lang w:val="en-GB"/>
        </w:rPr>
        <w:t xml:space="preserve"> housing</w:t>
      </w:r>
      <w:r w:rsidR="00587112" w:rsidRPr="0034443E">
        <w:rPr>
          <w:rFonts w:asciiTheme="majorHAnsi" w:eastAsiaTheme="majorEastAsia" w:hAnsiTheme="majorHAnsi" w:cstheme="majorBidi"/>
          <w:sz w:val="23"/>
          <w:szCs w:val="23"/>
          <w:lang w:val="en-GB"/>
        </w:rPr>
        <w:t xml:space="preserve"> impact of COVID-19</w:t>
      </w:r>
      <w:r w:rsidR="00F00E3D" w:rsidRPr="0034443E">
        <w:rPr>
          <w:rFonts w:asciiTheme="majorHAnsi" w:eastAsiaTheme="majorEastAsia" w:hAnsiTheme="majorHAnsi" w:cstheme="majorBidi"/>
          <w:sz w:val="23"/>
          <w:szCs w:val="23"/>
          <w:lang w:val="en-GB"/>
        </w:rPr>
        <w:t xml:space="preserve"> </w:t>
      </w:r>
      <w:r w:rsidR="007C3FEF">
        <w:rPr>
          <w:rFonts w:asciiTheme="majorHAnsi" w:eastAsiaTheme="majorEastAsia" w:hAnsiTheme="majorHAnsi" w:cstheme="majorBidi"/>
          <w:sz w:val="23"/>
          <w:szCs w:val="23"/>
          <w:lang w:val="en-GB"/>
        </w:rPr>
        <w:t xml:space="preserve">on local communities </w:t>
      </w:r>
      <w:r w:rsidR="00F00E3D" w:rsidRPr="0034443E">
        <w:rPr>
          <w:rFonts w:asciiTheme="majorHAnsi" w:eastAsiaTheme="majorEastAsia" w:hAnsiTheme="majorHAnsi" w:cstheme="majorBidi"/>
          <w:sz w:val="23"/>
          <w:szCs w:val="23"/>
          <w:lang w:val="en-GB"/>
        </w:rPr>
        <w:t xml:space="preserve">was the enforced use of home environments not well equipped for habitation by multiple residents around the clock. </w:t>
      </w:r>
      <w:r>
        <w:rPr>
          <w:rFonts w:asciiTheme="majorHAnsi" w:eastAsiaTheme="majorEastAsia" w:hAnsiTheme="majorHAnsi" w:cstheme="majorBidi"/>
          <w:sz w:val="23"/>
          <w:szCs w:val="23"/>
          <w:lang w:val="en-GB"/>
        </w:rPr>
        <w:t>D</w:t>
      </w:r>
      <w:r w:rsidRPr="0034443E">
        <w:rPr>
          <w:rFonts w:asciiTheme="majorHAnsi" w:eastAsiaTheme="majorEastAsia" w:hAnsiTheme="majorHAnsi" w:cstheme="majorBidi"/>
          <w:sz w:val="23"/>
          <w:szCs w:val="23"/>
          <w:lang w:val="en-GB"/>
        </w:rPr>
        <w:t>ue to unemployment or other disruptions</w:t>
      </w:r>
      <w:r>
        <w:rPr>
          <w:rFonts w:asciiTheme="majorHAnsi" w:eastAsiaTheme="majorEastAsia" w:hAnsiTheme="majorHAnsi" w:cstheme="majorBidi"/>
          <w:sz w:val="23"/>
          <w:szCs w:val="23"/>
          <w:lang w:val="en-GB"/>
        </w:rPr>
        <w:t xml:space="preserve"> some</w:t>
      </w:r>
      <w:r w:rsidR="00F00E3D" w:rsidRPr="0034443E">
        <w:rPr>
          <w:rFonts w:asciiTheme="majorHAnsi" w:eastAsiaTheme="majorEastAsia" w:hAnsiTheme="majorHAnsi" w:cstheme="majorBidi"/>
          <w:sz w:val="23"/>
          <w:szCs w:val="23"/>
          <w:lang w:val="en-GB"/>
        </w:rPr>
        <w:t xml:space="preserve"> people returned to live in family homes </w:t>
      </w:r>
      <w:r>
        <w:rPr>
          <w:rFonts w:asciiTheme="majorHAnsi" w:eastAsiaTheme="majorEastAsia" w:hAnsiTheme="majorHAnsi" w:cstheme="majorBidi"/>
          <w:sz w:val="23"/>
          <w:szCs w:val="23"/>
          <w:lang w:val="en-GB"/>
        </w:rPr>
        <w:t>they had left before</w:t>
      </w:r>
      <w:r w:rsidR="00587112" w:rsidRPr="0034443E">
        <w:rPr>
          <w:rFonts w:asciiTheme="majorHAnsi" w:eastAsiaTheme="majorEastAsia" w:hAnsiTheme="majorHAnsi" w:cstheme="majorBidi"/>
          <w:sz w:val="23"/>
          <w:szCs w:val="23"/>
          <w:lang w:val="en-GB"/>
        </w:rPr>
        <w:t xml:space="preserve"> the pandemic,</w:t>
      </w:r>
      <w:r w:rsidR="00F00E3D" w:rsidRPr="0034443E">
        <w:rPr>
          <w:rFonts w:asciiTheme="majorHAnsi" w:eastAsiaTheme="majorEastAsia" w:hAnsiTheme="majorHAnsi" w:cstheme="majorBidi"/>
          <w:sz w:val="23"/>
          <w:szCs w:val="23"/>
          <w:lang w:val="en-GB"/>
        </w:rPr>
        <w:t xml:space="preserve"> and not all household environments were conducive to home schooling or working. </w:t>
      </w:r>
    </w:p>
    <w:p w14:paraId="62E7557E" w14:textId="071C4626" w:rsidR="00F00E3D" w:rsidRPr="0034443E" w:rsidRDefault="00F00E3D" w:rsidP="00616B8A">
      <w:pPr>
        <w:spacing w:line="276" w:lineRule="auto"/>
        <w:ind w:left="720"/>
        <w:rPr>
          <w:rFonts w:asciiTheme="majorHAnsi" w:eastAsiaTheme="majorEastAsia" w:hAnsiTheme="majorHAnsi" w:cstheme="majorHAnsi"/>
          <w:sz w:val="23"/>
          <w:szCs w:val="23"/>
        </w:rPr>
      </w:pPr>
      <w:r w:rsidRPr="0034443E">
        <w:rPr>
          <w:rFonts w:asciiTheme="majorHAnsi" w:eastAsiaTheme="majorEastAsia" w:hAnsiTheme="majorHAnsi" w:cstheme="majorHAnsi"/>
          <w:sz w:val="23"/>
          <w:szCs w:val="23"/>
        </w:rPr>
        <w:t xml:space="preserve">During </w:t>
      </w:r>
      <w:r w:rsidR="00940D80" w:rsidRPr="0034443E">
        <w:rPr>
          <w:rFonts w:asciiTheme="majorHAnsi" w:eastAsiaTheme="majorEastAsia" w:hAnsiTheme="majorHAnsi" w:cstheme="majorHAnsi"/>
          <w:sz w:val="23"/>
          <w:szCs w:val="23"/>
        </w:rPr>
        <w:t>COVID</w:t>
      </w:r>
      <w:r w:rsidRPr="0034443E">
        <w:rPr>
          <w:rFonts w:asciiTheme="majorHAnsi" w:eastAsiaTheme="majorEastAsia" w:hAnsiTheme="majorHAnsi" w:cstheme="majorHAnsi"/>
          <w:sz w:val="23"/>
          <w:szCs w:val="23"/>
        </w:rPr>
        <w:t xml:space="preserve"> everyone needed to self-isolate at home. But the homes around here have poor heating and cooling, poor insulation, thin walls</w:t>
      </w:r>
      <w:r w:rsidR="006B74E3">
        <w:rPr>
          <w:rFonts w:asciiTheme="majorHAnsi" w:eastAsiaTheme="majorEastAsia" w:hAnsiTheme="majorHAnsi" w:cstheme="majorHAnsi"/>
          <w:sz w:val="23"/>
          <w:szCs w:val="23"/>
        </w:rPr>
        <w:t xml:space="preserve"> </w:t>
      </w:r>
      <w:r w:rsidRPr="0034443E">
        <w:rPr>
          <w:rFonts w:asciiTheme="majorHAnsi" w:eastAsiaTheme="majorEastAsia" w:hAnsiTheme="majorHAnsi" w:cstheme="majorHAnsi"/>
          <w:sz w:val="23"/>
          <w:szCs w:val="23"/>
        </w:rPr>
        <w:t>(P11).</w:t>
      </w:r>
    </w:p>
    <w:p w14:paraId="5FC79D49" w14:textId="7A522C91" w:rsidR="00F00E3D" w:rsidRPr="0034443E" w:rsidRDefault="00F00E3D" w:rsidP="00616B8A">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lastRenderedPageBreak/>
        <w:t>These changes also had a knock-on effect on family dynamics</w:t>
      </w:r>
      <w:r w:rsidR="00587112" w:rsidRPr="0034443E">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for example, older children were drawn into caring for young siblings while parents worked from home. In some cases, these problems with the home environment contributed to community disharmony by increasing friction between family</w:t>
      </w:r>
      <w:r w:rsidR="00587112" w:rsidRPr="0034443E">
        <w:rPr>
          <w:rFonts w:asciiTheme="majorHAnsi" w:eastAsiaTheme="majorEastAsia" w:hAnsiTheme="majorHAnsi" w:cstheme="majorHAnsi"/>
          <w:sz w:val="23"/>
          <w:szCs w:val="23"/>
          <w:lang w:val="en-GB"/>
        </w:rPr>
        <w:t xml:space="preserve"> or household</w:t>
      </w:r>
      <w:r w:rsidRPr="0034443E">
        <w:rPr>
          <w:rFonts w:asciiTheme="majorHAnsi" w:eastAsiaTheme="majorEastAsia" w:hAnsiTheme="majorHAnsi" w:cstheme="majorHAnsi"/>
          <w:sz w:val="23"/>
          <w:szCs w:val="23"/>
          <w:lang w:val="en-GB"/>
        </w:rPr>
        <w:t xml:space="preserve"> members and neighbours. </w:t>
      </w:r>
    </w:p>
    <w:p w14:paraId="07E9E38C" w14:textId="7BC1EC42" w:rsidR="00F00E3D" w:rsidRPr="0034443E" w:rsidRDefault="00F00E3D" w:rsidP="00616B8A">
      <w:pPr>
        <w:spacing w:line="276" w:lineRule="auto"/>
        <w:ind w:left="720"/>
        <w:rPr>
          <w:rFonts w:asciiTheme="majorHAnsi" w:eastAsiaTheme="majorEastAsia" w:hAnsiTheme="majorHAnsi" w:cstheme="majorHAnsi"/>
          <w:sz w:val="23"/>
          <w:szCs w:val="23"/>
        </w:rPr>
      </w:pPr>
      <w:r w:rsidRPr="0034443E">
        <w:rPr>
          <w:rFonts w:asciiTheme="majorHAnsi" w:eastAsiaTheme="majorEastAsia" w:hAnsiTheme="majorHAnsi" w:cstheme="majorHAnsi"/>
          <w:sz w:val="23"/>
          <w:szCs w:val="23"/>
        </w:rPr>
        <w:t>Anecdotally I heard stories about tensions and problems while people were shut in together at home (P11)</w:t>
      </w:r>
      <w:r w:rsidR="00C35A6F">
        <w:rPr>
          <w:rFonts w:asciiTheme="majorHAnsi" w:eastAsiaTheme="majorEastAsia" w:hAnsiTheme="majorHAnsi" w:cstheme="majorHAnsi"/>
          <w:sz w:val="23"/>
          <w:szCs w:val="23"/>
        </w:rPr>
        <w:t>.</w:t>
      </w:r>
    </w:p>
    <w:p w14:paraId="5B13F604" w14:textId="13262376" w:rsidR="005466EE" w:rsidRDefault="00F00E3D" w:rsidP="00616B8A">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 xml:space="preserve">More broadly, interviewees reported </w:t>
      </w:r>
      <w:r w:rsidR="00AE12DD">
        <w:rPr>
          <w:rFonts w:asciiTheme="majorHAnsi" w:eastAsiaTheme="majorEastAsia" w:hAnsiTheme="majorHAnsi" w:cstheme="majorHAnsi"/>
          <w:sz w:val="23"/>
          <w:szCs w:val="23"/>
          <w:lang w:val="en-GB"/>
        </w:rPr>
        <w:t xml:space="preserve">that </w:t>
      </w:r>
      <w:r w:rsidRPr="0034443E">
        <w:rPr>
          <w:rFonts w:asciiTheme="majorHAnsi" w:eastAsiaTheme="majorEastAsia" w:hAnsiTheme="majorHAnsi" w:cstheme="majorHAnsi"/>
          <w:sz w:val="23"/>
          <w:szCs w:val="23"/>
          <w:lang w:val="en-GB"/>
        </w:rPr>
        <w:t xml:space="preserve">the pandemic </w:t>
      </w:r>
      <w:r w:rsidR="00AE12DD">
        <w:rPr>
          <w:rFonts w:asciiTheme="majorHAnsi" w:eastAsiaTheme="majorEastAsia" w:hAnsiTheme="majorHAnsi" w:cstheme="majorHAnsi"/>
          <w:sz w:val="23"/>
          <w:szCs w:val="23"/>
          <w:lang w:val="en-GB"/>
        </w:rPr>
        <w:t>has highlighted</w:t>
      </w:r>
      <w:r w:rsidRPr="0034443E">
        <w:rPr>
          <w:rFonts w:asciiTheme="majorHAnsi" w:eastAsiaTheme="majorEastAsia" w:hAnsiTheme="majorHAnsi" w:cstheme="majorHAnsi"/>
          <w:sz w:val="23"/>
          <w:szCs w:val="23"/>
          <w:lang w:val="en-GB"/>
        </w:rPr>
        <w:t xml:space="preserve"> existing problems with housing stress</w:t>
      </w:r>
      <w:r w:rsidR="00AE12DD">
        <w:rPr>
          <w:rFonts w:asciiTheme="majorHAnsi" w:eastAsiaTheme="majorEastAsia" w:hAnsiTheme="majorHAnsi" w:cstheme="majorHAnsi"/>
          <w:sz w:val="23"/>
          <w:szCs w:val="23"/>
          <w:lang w:val="en-GB"/>
        </w:rPr>
        <w:t>, precarity,</w:t>
      </w:r>
      <w:r w:rsidRPr="0034443E">
        <w:rPr>
          <w:rFonts w:asciiTheme="majorHAnsi" w:eastAsiaTheme="majorEastAsia" w:hAnsiTheme="majorHAnsi" w:cstheme="majorHAnsi"/>
          <w:sz w:val="23"/>
          <w:szCs w:val="23"/>
          <w:lang w:val="en-GB"/>
        </w:rPr>
        <w:t xml:space="preserve"> and affordability. </w:t>
      </w:r>
      <w:r w:rsidR="00587112" w:rsidRPr="0034443E">
        <w:rPr>
          <w:rFonts w:asciiTheme="majorHAnsi" w:eastAsiaTheme="majorEastAsia" w:hAnsiTheme="majorHAnsi" w:cstheme="majorHAnsi"/>
          <w:sz w:val="23"/>
          <w:szCs w:val="23"/>
          <w:lang w:val="en-GB"/>
        </w:rPr>
        <w:t>These suburbs</w:t>
      </w:r>
      <w:r w:rsidRPr="0034443E">
        <w:rPr>
          <w:rFonts w:asciiTheme="majorHAnsi" w:eastAsiaTheme="majorEastAsia" w:hAnsiTheme="majorHAnsi" w:cstheme="majorHAnsi"/>
          <w:sz w:val="23"/>
          <w:szCs w:val="23"/>
          <w:lang w:val="en-GB"/>
        </w:rPr>
        <w:t xml:space="preserve"> </w:t>
      </w:r>
      <w:r w:rsidR="00587112" w:rsidRPr="0034443E">
        <w:rPr>
          <w:rFonts w:asciiTheme="majorHAnsi" w:eastAsiaTheme="majorEastAsia" w:hAnsiTheme="majorHAnsi" w:cstheme="majorHAnsi"/>
          <w:sz w:val="23"/>
          <w:szCs w:val="23"/>
          <w:lang w:val="en-GB"/>
        </w:rPr>
        <w:t>are</w:t>
      </w:r>
      <w:r w:rsidRPr="0034443E">
        <w:rPr>
          <w:rFonts w:asciiTheme="majorHAnsi" w:eastAsiaTheme="majorEastAsia" w:hAnsiTheme="majorHAnsi" w:cstheme="majorHAnsi"/>
          <w:sz w:val="23"/>
          <w:szCs w:val="23"/>
          <w:lang w:val="en-GB"/>
        </w:rPr>
        <w:t xml:space="preserve"> currently undergoing a process of gentrification due to in-migration of people from Melbourne and other centres, and while this </w:t>
      </w:r>
      <w:r w:rsidR="00587112" w:rsidRPr="0034443E">
        <w:rPr>
          <w:rFonts w:asciiTheme="majorHAnsi" w:eastAsiaTheme="majorEastAsia" w:hAnsiTheme="majorHAnsi" w:cstheme="majorHAnsi"/>
          <w:sz w:val="23"/>
          <w:szCs w:val="23"/>
          <w:lang w:val="en-GB"/>
        </w:rPr>
        <w:t>had begun</w:t>
      </w:r>
      <w:r w:rsidRPr="0034443E">
        <w:rPr>
          <w:rFonts w:asciiTheme="majorHAnsi" w:eastAsiaTheme="majorEastAsia" w:hAnsiTheme="majorHAnsi" w:cstheme="majorHAnsi"/>
          <w:sz w:val="23"/>
          <w:szCs w:val="23"/>
          <w:lang w:val="en-GB"/>
        </w:rPr>
        <w:t xml:space="preserve"> prior to the pandemic</w:t>
      </w:r>
      <w:r w:rsidR="00587112" w:rsidRPr="0034443E">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it has accelerated as </w:t>
      </w:r>
      <w:r w:rsidR="00587112" w:rsidRPr="0034443E">
        <w:rPr>
          <w:rFonts w:asciiTheme="majorHAnsi" w:eastAsiaTheme="majorEastAsia" w:hAnsiTheme="majorHAnsi" w:cstheme="majorHAnsi"/>
          <w:sz w:val="23"/>
          <w:szCs w:val="23"/>
          <w:lang w:val="en-GB"/>
        </w:rPr>
        <w:t xml:space="preserve">both </w:t>
      </w:r>
      <w:r w:rsidRPr="0034443E">
        <w:rPr>
          <w:rFonts w:asciiTheme="majorHAnsi" w:eastAsiaTheme="majorEastAsia" w:hAnsiTheme="majorHAnsi" w:cstheme="majorHAnsi"/>
          <w:sz w:val="23"/>
          <w:szCs w:val="23"/>
          <w:lang w:val="en-GB"/>
        </w:rPr>
        <w:t>urban dwellers</w:t>
      </w:r>
      <w:r w:rsidR="00587112" w:rsidRPr="0034443E">
        <w:rPr>
          <w:rFonts w:asciiTheme="majorHAnsi" w:eastAsiaTheme="majorEastAsia" w:hAnsiTheme="majorHAnsi" w:cstheme="majorHAnsi"/>
          <w:sz w:val="23"/>
          <w:szCs w:val="23"/>
          <w:lang w:val="en-GB"/>
        </w:rPr>
        <w:t xml:space="preserve"> and property speculators are drawn to the area’s relatively low prices</w:t>
      </w:r>
      <w:r w:rsidRPr="0034443E">
        <w:rPr>
          <w:rFonts w:asciiTheme="majorHAnsi" w:eastAsiaTheme="majorEastAsia" w:hAnsiTheme="majorHAnsi" w:cstheme="majorHAnsi"/>
          <w:sz w:val="23"/>
          <w:szCs w:val="23"/>
          <w:lang w:val="en-GB"/>
        </w:rPr>
        <w:t>. The local housing market is described as having “gone berserk” in the past year, leading to</w:t>
      </w:r>
      <w:r w:rsidR="00587112" w:rsidRPr="0034443E">
        <w:rPr>
          <w:rFonts w:asciiTheme="majorHAnsi" w:eastAsiaTheme="majorEastAsia" w:hAnsiTheme="majorHAnsi" w:cstheme="majorHAnsi"/>
          <w:sz w:val="23"/>
          <w:szCs w:val="23"/>
          <w:lang w:val="en-GB"/>
        </w:rPr>
        <w:t xml:space="preserve"> decreasing affordability and</w:t>
      </w:r>
      <w:r w:rsidRPr="0034443E">
        <w:rPr>
          <w:rFonts w:asciiTheme="majorHAnsi" w:eastAsiaTheme="majorEastAsia" w:hAnsiTheme="majorHAnsi" w:cstheme="majorHAnsi"/>
          <w:sz w:val="23"/>
          <w:szCs w:val="23"/>
          <w:lang w:val="en-GB"/>
        </w:rPr>
        <w:t xml:space="preserve"> further exclusion and marginalisation of existing residents on lower incomes.</w:t>
      </w:r>
    </w:p>
    <w:p w14:paraId="218734BA" w14:textId="28D29668" w:rsidR="007C3FEF" w:rsidRDefault="00277D7A" w:rsidP="001E3559">
      <w:pPr>
        <w:spacing w:after="0" w:line="276" w:lineRule="auto"/>
        <w:rPr>
          <w:rFonts w:asciiTheme="majorHAnsi" w:eastAsiaTheme="majorEastAsia" w:hAnsiTheme="majorHAnsi" w:cstheme="majorHAnsi"/>
          <w:sz w:val="23"/>
          <w:szCs w:val="23"/>
          <w:lang w:val="en-GB"/>
        </w:rPr>
      </w:pPr>
      <w:r>
        <w:rPr>
          <w:rFonts w:asciiTheme="majorHAnsi" w:eastAsiaTheme="majorEastAsia" w:hAnsiTheme="majorHAnsi" w:cstheme="majorHAnsi"/>
          <w:sz w:val="23"/>
          <w:szCs w:val="23"/>
          <w:lang w:val="en-GB"/>
        </w:rPr>
        <w:t xml:space="preserve">The </w:t>
      </w:r>
      <w:r w:rsidR="006665F0">
        <w:rPr>
          <w:rFonts w:asciiTheme="majorHAnsi" w:eastAsiaTheme="majorEastAsia" w:hAnsiTheme="majorHAnsi" w:cstheme="majorHAnsi"/>
          <w:sz w:val="23"/>
          <w:szCs w:val="23"/>
          <w:lang w:val="en-GB"/>
        </w:rPr>
        <w:t>Federal</w:t>
      </w:r>
      <w:r>
        <w:rPr>
          <w:rFonts w:asciiTheme="majorHAnsi" w:eastAsiaTheme="majorEastAsia" w:hAnsiTheme="majorHAnsi" w:cstheme="majorHAnsi"/>
          <w:sz w:val="23"/>
          <w:szCs w:val="23"/>
          <w:lang w:val="en-GB"/>
        </w:rPr>
        <w:t xml:space="preserve"> Government’s</w:t>
      </w:r>
      <w:r w:rsidR="007C3FEF">
        <w:rPr>
          <w:rFonts w:asciiTheme="majorHAnsi" w:eastAsiaTheme="majorEastAsia" w:hAnsiTheme="majorHAnsi" w:cstheme="majorHAnsi"/>
          <w:sz w:val="23"/>
          <w:szCs w:val="23"/>
          <w:lang w:val="en-GB"/>
        </w:rPr>
        <w:t xml:space="preserve"> JobSeeker </w:t>
      </w:r>
      <w:r w:rsidR="006665F0">
        <w:rPr>
          <w:rFonts w:asciiTheme="majorHAnsi" w:eastAsiaTheme="majorEastAsia" w:hAnsiTheme="majorHAnsi" w:cstheme="majorHAnsi"/>
          <w:sz w:val="23"/>
          <w:szCs w:val="23"/>
          <w:lang w:val="en-GB"/>
        </w:rPr>
        <w:t>Coronavirus S</w:t>
      </w:r>
      <w:r w:rsidR="007C3FEF">
        <w:rPr>
          <w:rFonts w:asciiTheme="majorHAnsi" w:eastAsiaTheme="majorEastAsia" w:hAnsiTheme="majorHAnsi" w:cstheme="majorHAnsi"/>
          <w:sz w:val="23"/>
          <w:szCs w:val="23"/>
          <w:lang w:val="en-GB"/>
        </w:rPr>
        <w:t xml:space="preserve">ubsidy </w:t>
      </w:r>
      <w:r>
        <w:rPr>
          <w:rFonts w:asciiTheme="majorHAnsi" w:eastAsiaTheme="majorEastAsia" w:hAnsiTheme="majorHAnsi" w:cstheme="majorHAnsi"/>
          <w:sz w:val="23"/>
          <w:szCs w:val="23"/>
          <w:lang w:val="en-GB"/>
        </w:rPr>
        <w:t xml:space="preserve">and JobKeeper </w:t>
      </w:r>
      <w:r w:rsidR="006473E8">
        <w:rPr>
          <w:rFonts w:asciiTheme="majorHAnsi" w:eastAsiaTheme="majorEastAsia" w:hAnsiTheme="majorHAnsi" w:cstheme="majorHAnsi"/>
          <w:sz w:val="23"/>
          <w:szCs w:val="23"/>
          <w:lang w:val="en-GB"/>
        </w:rPr>
        <w:t xml:space="preserve">payments </w:t>
      </w:r>
      <w:r w:rsidR="007C3FEF">
        <w:rPr>
          <w:rFonts w:asciiTheme="majorHAnsi" w:eastAsiaTheme="majorEastAsia" w:hAnsiTheme="majorHAnsi" w:cstheme="majorHAnsi"/>
          <w:sz w:val="23"/>
          <w:szCs w:val="23"/>
          <w:lang w:val="en-GB"/>
        </w:rPr>
        <w:t xml:space="preserve">were seen as </w:t>
      </w:r>
      <w:r w:rsidR="006665F0">
        <w:rPr>
          <w:rFonts w:asciiTheme="majorHAnsi" w:eastAsiaTheme="majorEastAsia" w:hAnsiTheme="majorHAnsi" w:cstheme="majorHAnsi"/>
          <w:sz w:val="23"/>
          <w:szCs w:val="23"/>
          <w:lang w:val="en-GB"/>
        </w:rPr>
        <w:t xml:space="preserve">vital policy responses that </w:t>
      </w:r>
      <w:r>
        <w:rPr>
          <w:rFonts w:asciiTheme="majorHAnsi" w:eastAsiaTheme="majorEastAsia" w:hAnsiTheme="majorHAnsi" w:cstheme="majorHAnsi"/>
          <w:sz w:val="23"/>
          <w:szCs w:val="23"/>
          <w:lang w:val="en-GB"/>
        </w:rPr>
        <w:t>have</w:t>
      </w:r>
      <w:r w:rsidR="00AE12DD">
        <w:rPr>
          <w:rFonts w:asciiTheme="majorHAnsi" w:eastAsiaTheme="majorEastAsia" w:hAnsiTheme="majorHAnsi" w:cstheme="majorHAnsi"/>
          <w:sz w:val="23"/>
          <w:szCs w:val="23"/>
          <w:lang w:val="en-GB"/>
        </w:rPr>
        <w:t xml:space="preserve"> helped to</w:t>
      </w:r>
      <w:r>
        <w:rPr>
          <w:rFonts w:asciiTheme="majorHAnsi" w:eastAsiaTheme="majorEastAsia" w:hAnsiTheme="majorHAnsi" w:cstheme="majorHAnsi"/>
          <w:sz w:val="23"/>
          <w:szCs w:val="23"/>
          <w:lang w:val="en-GB"/>
        </w:rPr>
        <w:t xml:space="preserve"> </w:t>
      </w:r>
      <w:r w:rsidR="00824741">
        <w:rPr>
          <w:rFonts w:asciiTheme="majorHAnsi" w:eastAsiaTheme="majorEastAsia" w:hAnsiTheme="majorHAnsi" w:cstheme="majorHAnsi"/>
          <w:sz w:val="23"/>
          <w:szCs w:val="23"/>
          <w:lang w:val="en-GB"/>
        </w:rPr>
        <w:t xml:space="preserve">protect local communities from </w:t>
      </w:r>
      <w:r w:rsidR="005466EE">
        <w:rPr>
          <w:rFonts w:asciiTheme="majorHAnsi" w:eastAsiaTheme="majorEastAsia" w:hAnsiTheme="majorHAnsi" w:cstheme="majorHAnsi"/>
          <w:sz w:val="23"/>
          <w:szCs w:val="23"/>
          <w:lang w:val="en-GB"/>
        </w:rPr>
        <w:t xml:space="preserve">the economic fallout of the pandemic. </w:t>
      </w:r>
      <w:r w:rsidR="006473E8">
        <w:rPr>
          <w:rFonts w:asciiTheme="majorHAnsi" w:eastAsiaTheme="majorEastAsia" w:hAnsiTheme="majorHAnsi" w:cstheme="majorHAnsi"/>
          <w:sz w:val="23"/>
          <w:szCs w:val="23"/>
          <w:lang w:val="en-GB"/>
        </w:rPr>
        <w:t xml:space="preserve">However, </w:t>
      </w:r>
      <w:r w:rsidR="00AE12DD">
        <w:rPr>
          <w:rFonts w:asciiTheme="majorHAnsi" w:eastAsiaTheme="majorEastAsia" w:hAnsiTheme="majorHAnsi" w:cstheme="majorHAnsi"/>
          <w:sz w:val="23"/>
          <w:szCs w:val="23"/>
          <w:lang w:val="en-GB"/>
        </w:rPr>
        <w:t>our informants</w:t>
      </w:r>
      <w:r w:rsidR="001E3559">
        <w:rPr>
          <w:rFonts w:asciiTheme="majorHAnsi" w:eastAsiaTheme="majorEastAsia" w:hAnsiTheme="majorHAnsi" w:cstheme="majorHAnsi"/>
          <w:sz w:val="23"/>
          <w:szCs w:val="23"/>
          <w:lang w:val="en-GB"/>
        </w:rPr>
        <w:t xml:space="preserve"> noted</w:t>
      </w:r>
      <w:r w:rsidR="007A6501">
        <w:rPr>
          <w:rFonts w:asciiTheme="majorHAnsi" w:eastAsiaTheme="majorEastAsia" w:hAnsiTheme="majorHAnsi" w:cstheme="majorHAnsi"/>
          <w:sz w:val="23"/>
          <w:szCs w:val="23"/>
          <w:lang w:val="en-GB"/>
        </w:rPr>
        <w:t xml:space="preserve"> that this additional financial support masked the </w:t>
      </w:r>
      <w:r w:rsidR="00FE6C06">
        <w:rPr>
          <w:rFonts w:asciiTheme="majorHAnsi" w:eastAsiaTheme="majorEastAsia" w:hAnsiTheme="majorHAnsi" w:cstheme="majorHAnsi"/>
          <w:sz w:val="23"/>
          <w:szCs w:val="23"/>
          <w:lang w:val="en-GB"/>
        </w:rPr>
        <w:t xml:space="preserve">true </w:t>
      </w:r>
      <w:r w:rsidR="007A6501">
        <w:rPr>
          <w:rFonts w:asciiTheme="majorHAnsi" w:eastAsiaTheme="majorEastAsia" w:hAnsiTheme="majorHAnsi" w:cstheme="majorHAnsi"/>
          <w:sz w:val="23"/>
          <w:szCs w:val="23"/>
          <w:lang w:val="en-GB"/>
        </w:rPr>
        <w:t xml:space="preserve">economic impacts of COVID-19 on </w:t>
      </w:r>
      <w:r w:rsidR="00FE6C06">
        <w:rPr>
          <w:rFonts w:asciiTheme="majorHAnsi" w:eastAsiaTheme="majorEastAsia" w:hAnsiTheme="majorHAnsi" w:cstheme="majorHAnsi"/>
          <w:sz w:val="23"/>
          <w:szCs w:val="23"/>
          <w:lang w:val="en-GB"/>
        </w:rPr>
        <w:t xml:space="preserve">low-income </w:t>
      </w:r>
      <w:r w:rsidR="007A6501">
        <w:rPr>
          <w:rFonts w:asciiTheme="majorHAnsi" w:eastAsiaTheme="majorEastAsia" w:hAnsiTheme="majorHAnsi" w:cstheme="majorHAnsi"/>
          <w:sz w:val="23"/>
          <w:szCs w:val="23"/>
          <w:lang w:val="en-GB"/>
        </w:rPr>
        <w:t>residen</w:t>
      </w:r>
      <w:r w:rsidR="00FE6C06">
        <w:rPr>
          <w:rFonts w:asciiTheme="majorHAnsi" w:eastAsiaTheme="majorEastAsia" w:hAnsiTheme="majorHAnsi" w:cstheme="majorHAnsi"/>
          <w:sz w:val="23"/>
          <w:szCs w:val="23"/>
          <w:lang w:val="en-GB"/>
        </w:rPr>
        <w:t>ts</w:t>
      </w:r>
      <w:r w:rsidR="007A6501">
        <w:rPr>
          <w:rFonts w:asciiTheme="majorHAnsi" w:eastAsiaTheme="majorEastAsia" w:hAnsiTheme="majorHAnsi" w:cstheme="majorHAnsi"/>
          <w:sz w:val="23"/>
          <w:szCs w:val="23"/>
          <w:lang w:val="en-GB"/>
        </w:rPr>
        <w:t>. The</w:t>
      </w:r>
      <w:r w:rsidR="005466EE">
        <w:rPr>
          <w:rFonts w:asciiTheme="majorHAnsi" w:eastAsiaTheme="majorEastAsia" w:hAnsiTheme="majorHAnsi" w:cstheme="majorHAnsi"/>
          <w:sz w:val="23"/>
          <w:szCs w:val="23"/>
          <w:lang w:val="en-GB"/>
        </w:rPr>
        <w:t xml:space="preserve"> cessation of these payments in late March 2021</w:t>
      </w:r>
      <w:r w:rsidR="00824741">
        <w:rPr>
          <w:rFonts w:asciiTheme="majorHAnsi" w:eastAsiaTheme="majorEastAsia" w:hAnsiTheme="majorHAnsi" w:cstheme="majorHAnsi"/>
          <w:sz w:val="23"/>
          <w:szCs w:val="23"/>
          <w:lang w:val="en-GB"/>
        </w:rPr>
        <w:t xml:space="preserve"> </w:t>
      </w:r>
      <w:r w:rsidR="005466EE">
        <w:rPr>
          <w:rFonts w:asciiTheme="majorHAnsi" w:eastAsiaTheme="majorEastAsia" w:hAnsiTheme="majorHAnsi" w:cstheme="majorHAnsi"/>
          <w:sz w:val="23"/>
          <w:szCs w:val="23"/>
          <w:lang w:val="en-GB"/>
        </w:rPr>
        <w:t>was</w:t>
      </w:r>
      <w:r w:rsidR="007C3FEF">
        <w:rPr>
          <w:rFonts w:asciiTheme="majorHAnsi" w:eastAsiaTheme="majorEastAsia" w:hAnsiTheme="majorHAnsi" w:cstheme="majorHAnsi"/>
          <w:sz w:val="23"/>
          <w:szCs w:val="23"/>
          <w:lang w:val="en-GB"/>
        </w:rPr>
        <w:t xml:space="preserve"> expected </w:t>
      </w:r>
      <w:r w:rsidR="005466EE">
        <w:rPr>
          <w:rFonts w:asciiTheme="majorHAnsi" w:eastAsiaTheme="majorEastAsia" w:hAnsiTheme="majorHAnsi" w:cstheme="majorHAnsi"/>
          <w:sz w:val="23"/>
          <w:szCs w:val="23"/>
          <w:lang w:val="en-GB"/>
        </w:rPr>
        <w:t>to have a significant</w:t>
      </w:r>
      <w:r>
        <w:rPr>
          <w:rFonts w:asciiTheme="majorHAnsi" w:eastAsiaTheme="majorEastAsia" w:hAnsiTheme="majorHAnsi" w:cstheme="majorHAnsi"/>
          <w:sz w:val="23"/>
          <w:szCs w:val="23"/>
          <w:lang w:val="en-GB"/>
        </w:rPr>
        <w:t xml:space="preserve"> negative</w:t>
      </w:r>
      <w:r w:rsidR="005466EE">
        <w:rPr>
          <w:rFonts w:asciiTheme="majorHAnsi" w:eastAsiaTheme="majorEastAsia" w:hAnsiTheme="majorHAnsi" w:cstheme="majorHAnsi"/>
          <w:sz w:val="23"/>
          <w:szCs w:val="23"/>
          <w:lang w:val="en-GB"/>
        </w:rPr>
        <w:t xml:space="preserve"> impact on </w:t>
      </w:r>
      <w:r w:rsidR="00861C45">
        <w:rPr>
          <w:rFonts w:asciiTheme="majorHAnsi" w:eastAsiaTheme="majorEastAsia" w:hAnsiTheme="majorHAnsi" w:cstheme="majorHAnsi"/>
          <w:sz w:val="23"/>
          <w:szCs w:val="23"/>
          <w:lang w:val="en-GB"/>
        </w:rPr>
        <w:t xml:space="preserve">local </w:t>
      </w:r>
      <w:r w:rsidR="005466EE">
        <w:rPr>
          <w:rFonts w:asciiTheme="majorHAnsi" w:eastAsiaTheme="majorEastAsia" w:hAnsiTheme="majorHAnsi" w:cstheme="majorHAnsi"/>
          <w:sz w:val="23"/>
          <w:szCs w:val="23"/>
          <w:lang w:val="en-GB"/>
        </w:rPr>
        <w:t>housing stress</w:t>
      </w:r>
      <w:r w:rsidR="00861C45">
        <w:rPr>
          <w:rFonts w:asciiTheme="majorHAnsi" w:eastAsiaTheme="majorEastAsia" w:hAnsiTheme="majorHAnsi" w:cstheme="majorHAnsi"/>
          <w:sz w:val="23"/>
          <w:szCs w:val="23"/>
          <w:lang w:val="en-GB"/>
        </w:rPr>
        <w:t xml:space="preserve"> and economic precarity in the second half of 2021 and beyond</w:t>
      </w:r>
      <w:r w:rsidR="005466EE">
        <w:rPr>
          <w:rFonts w:asciiTheme="majorHAnsi" w:eastAsiaTheme="majorEastAsia" w:hAnsiTheme="majorHAnsi" w:cstheme="majorHAnsi"/>
          <w:sz w:val="23"/>
          <w:szCs w:val="23"/>
          <w:lang w:val="en-GB"/>
        </w:rPr>
        <w:t>.</w:t>
      </w:r>
    </w:p>
    <w:p w14:paraId="31E0EAA0" w14:textId="77777777" w:rsidR="001E3559" w:rsidRPr="001E3559" w:rsidRDefault="001E3559" w:rsidP="001E3559">
      <w:pPr>
        <w:spacing w:after="0" w:line="276" w:lineRule="auto"/>
        <w:rPr>
          <w:rFonts w:asciiTheme="majorHAnsi" w:eastAsiaTheme="majorEastAsia" w:hAnsiTheme="majorHAnsi" w:cstheme="majorHAnsi"/>
          <w:sz w:val="16"/>
          <w:szCs w:val="16"/>
          <w:lang w:val="en-GB"/>
        </w:rPr>
      </w:pPr>
    </w:p>
    <w:p w14:paraId="7815E831" w14:textId="77777777" w:rsidR="00F00E3D" w:rsidRPr="006473E8" w:rsidRDefault="00F00E3D" w:rsidP="001E3559">
      <w:pPr>
        <w:spacing w:line="276" w:lineRule="auto"/>
        <w:rPr>
          <w:rFonts w:eastAsiaTheme="majorEastAsia" w:cstheme="majorHAnsi"/>
          <w:b/>
          <w:bCs/>
          <w:sz w:val="25"/>
          <w:szCs w:val="25"/>
          <w:lang w:val="en-GB"/>
        </w:rPr>
      </w:pPr>
      <w:r w:rsidRPr="006473E8">
        <w:rPr>
          <w:rFonts w:eastAsiaTheme="majorEastAsia" w:cstheme="majorHAnsi"/>
          <w:b/>
          <w:bCs/>
          <w:sz w:val="25"/>
          <w:szCs w:val="25"/>
          <w:lang w:val="en-GB"/>
        </w:rPr>
        <w:t>Health and Wellbeing</w:t>
      </w:r>
    </w:p>
    <w:p w14:paraId="7B799882" w14:textId="65C7A7A7" w:rsidR="00F00E3D" w:rsidRPr="0034443E" w:rsidRDefault="001E3559" w:rsidP="001E3559">
      <w:pPr>
        <w:spacing w:line="276" w:lineRule="auto"/>
        <w:rPr>
          <w:rFonts w:asciiTheme="majorHAnsi" w:eastAsiaTheme="majorEastAsia" w:hAnsiTheme="majorHAnsi" w:cstheme="majorBidi"/>
          <w:sz w:val="23"/>
          <w:szCs w:val="23"/>
          <w:lang w:val="en-GB"/>
        </w:rPr>
      </w:pPr>
      <w:r>
        <w:rPr>
          <w:rFonts w:asciiTheme="majorHAnsi" w:eastAsiaTheme="majorEastAsia" w:hAnsiTheme="majorHAnsi" w:cstheme="majorBidi"/>
          <w:sz w:val="23"/>
          <w:szCs w:val="23"/>
          <w:lang w:val="en-GB"/>
        </w:rPr>
        <w:t>COVID-19’s</w:t>
      </w:r>
      <w:r w:rsidR="006473E8">
        <w:rPr>
          <w:rFonts w:asciiTheme="majorHAnsi" w:eastAsiaTheme="majorEastAsia" w:hAnsiTheme="majorHAnsi" w:cstheme="majorBidi"/>
          <w:sz w:val="23"/>
          <w:szCs w:val="23"/>
          <w:lang w:val="en-GB"/>
        </w:rPr>
        <w:t xml:space="preserve"> impacts on</w:t>
      </w:r>
      <w:r w:rsidR="00F00E3D" w:rsidRPr="0034443E">
        <w:rPr>
          <w:rFonts w:asciiTheme="majorHAnsi" w:eastAsiaTheme="majorEastAsia" w:hAnsiTheme="majorHAnsi" w:cstheme="majorBidi"/>
          <w:sz w:val="23"/>
          <w:szCs w:val="23"/>
          <w:lang w:val="en-GB"/>
        </w:rPr>
        <w:t xml:space="preserve"> community health and wellbeing was </w:t>
      </w:r>
      <w:r w:rsidR="000D09C8" w:rsidRPr="0034443E">
        <w:rPr>
          <w:rFonts w:asciiTheme="majorHAnsi" w:eastAsiaTheme="majorEastAsia" w:hAnsiTheme="majorHAnsi" w:cstheme="majorBidi"/>
          <w:sz w:val="23"/>
          <w:szCs w:val="23"/>
          <w:lang w:val="en-GB"/>
        </w:rPr>
        <w:t xml:space="preserve">the most common theme </w:t>
      </w:r>
      <w:r>
        <w:rPr>
          <w:rFonts w:asciiTheme="majorHAnsi" w:eastAsiaTheme="majorEastAsia" w:hAnsiTheme="majorHAnsi" w:cstheme="majorBidi"/>
          <w:sz w:val="23"/>
          <w:szCs w:val="23"/>
          <w:lang w:val="en-GB"/>
        </w:rPr>
        <w:t>that arose in our</w:t>
      </w:r>
      <w:r w:rsidR="000D09C8" w:rsidRPr="0034443E">
        <w:rPr>
          <w:rFonts w:asciiTheme="majorHAnsi" w:eastAsiaTheme="majorEastAsia" w:hAnsiTheme="majorHAnsi" w:cstheme="majorBidi"/>
          <w:sz w:val="23"/>
          <w:szCs w:val="23"/>
          <w:lang w:val="en-GB"/>
        </w:rPr>
        <w:t xml:space="preserve"> </w:t>
      </w:r>
      <w:r w:rsidR="00F00E3D" w:rsidRPr="0034443E">
        <w:rPr>
          <w:rFonts w:asciiTheme="majorHAnsi" w:eastAsiaTheme="majorEastAsia" w:hAnsiTheme="majorHAnsi" w:cstheme="majorBidi"/>
          <w:sz w:val="23"/>
          <w:szCs w:val="23"/>
          <w:lang w:val="en-GB"/>
        </w:rPr>
        <w:t xml:space="preserve">interviews. Family violence was </w:t>
      </w:r>
      <w:r w:rsidR="000D09C8" w:rsidRPr="0034443E">
        <w:rPr>
          <w:rFonts w:asciiTheme="majorHAnsi" w:eastAsiaTheme="majorEastAsia" w:hAnsiTheme="majorHAnsi" w:cstheme="majorBidi"/>
          <w:sz w:val="23"/>
          <w:szCs w:val="23"/>
          <w:lang w:val="en-GB"/>
        </w:rPr>
        <w:t>frequently mentioned</w:t>
      </w:r>
      <w:r w:rsidR="00F00E3D" w:rsidRPr="0034443E">
        <w:rPr>
          <w:rFonts w:asciiTheme="majorHAnsi" w:eastAsiaTheme="majorEastAsia" w:hAnsiTheme="majorHAnsi" w:cstheme="majorBidi"/>
          <w:sz w:val="23"/>
          <w:szCs w:val="23"/>
          <w:lang w:val="en-GB"/>
        </w:rPr>
        <w:t xml:space="preserve"> as </w:t>
      </w:r>
      <w:r w:rsidR="009B3330">
        <w:rPr>
          <w:rFonts w:asciiTheme="majorHAnsi" w:eastAsiaTheme="majorEastAsia" w:hAnsiTheme="majorHAnsi" w:cstheme="majorBidi"/>
          <w:sz w:val="23"/>
          <w:szCs w:val="23"/>
          <w:lang w:val="en-GB"/>
        </w:rPr>
        <w:t>a crucial</w:t>
      </w:r>
      <w:r w:rsidR="00F00E3D" w:rsidRPr="0034443E">
        <w:rPr>
          <w:rFonts w:asciiTheme="majorHAnsi" w:eastAsiaTheme="majorEastAsia" w:hAnsiTheme="majorHAnsi" w:cstheme="majorBidi"/>
          <w:sz w:val="23"/>
          <w:szCs w:val="23"/>
          <w:lang w:val="en-GB"/>
        </w:rPr>
        <w:t xml:space="preserve"> issue and was perceived to have increased significantly during the pandemic. The shutdown of some agencies reduced the availability of safe community spaces for </w:t>
      </w:r>
      <w:r w:rsidR="009B3330">
        <w:rPr>
          <w:rFonts w:asciiTheme="majorHAnsi" w:eastAsiaTheme="majorEastAsia" w:hAnsiTheme="majorHAnsi" w:cstheme="majorBidi"/>
          <w:sz w:val="23"/>
          <w:szCs w:val="23"/>
          <w:lang w:val="en-GB"/>
        </w:rPr>
        <w:t>women and children experiencing</w:t>
      </w:r>
      <w:r w:rsidR="00F00E3D" w:rsidRPr="0034443E">
        <w:rPr>
          <w:rFonts w:asciiTheme="majorHAnsi" w:eastAsiaTheme="majorEastAsia" w:hAnsiTheme="majorHAnsi" w:cstheme="majorBidi"/>
          <w:sz w:val="23"/>
          <w:szCs w:val="23"/>
          <w:lang w:val="en-GB"/>
        </w:rPr>
        <w:t xml:space="preserve"> family violence, while enforced time at home </w:t>
      </w:r>
      <w:r w:rsidR="009B3330">
        <w:rPr>
          <w:rFonts w:asciiTheme="majorHAnsi" w:eastAsiaTheme="majorEastAsia" w:hAnsiTheme="majorHAnsi" w:cstheme="majorBidi"/>
          <w:sz w:val="23"/>
          <w:szCs w:val="23"/>
          <w:lang w:val="en-GB"/>
        </w:rPr>
        <w:t xml:space="preserve">and </w:t>
      </w:r>
      <w:r w:rsidR="00091EA1">
        <w:rPr>
          <w:rFonts w:asciiTheme="majorHAnsi" w:eastAsiaTheme="majorEastAsia" w:hAnsiTheme="majorHAnsi" w:cstheme="majorBidi"/>
          <w:sz w:val="23"/>
          <w:szCs w:val="23"/>
          <w:lang w:val="en-GB"/>
        </w:rPr>
        <w:t>amplified stress levels</w:t>
      </w:r>
      <w:r w:rsidR="0015797F">
        <w:rPr>
          <w:rFonts w:asciiTheme="majorHAnsi" w:eastAsiaTheme="majorEastAsia" w:hAnsiTheme="majorHAnsi" w:cstheme="majorBidi"/>
          <w:sz w:val="23"/>
          <w:szCs w:val="23"/>
          <w:lang w:val="en-GB"/>
        </w:rPr>
        <w:t xml:space="preserve"> </w:t>
      </w:r>
      <w:r w:rsidR="00F00E3D" w:rsidRPr="0034443E">
        <w:rPr>
          <w:rFonts w:asciiTheme="majorHAnsi" w:eastAsiaTheme="majorEastAsia" w:hAnsiTheme="majorHAnsi" w:cstheme="majorBidi"/>
          <w:sz w:val="23"/>
          <w:szCs w:val="23"/>
          <w:lang w:val="en-GB"/>
        </w:rPr>
        <w:t>w</w:t>
      </w:r>
      <w:r w:rsidR="0015797F">
        <w:rPr>
          <w:rFonts w:asciiTheme="majorHAnsi" w:eastAsiaTheme="majorEastAsia" w:hAnsiTheme="majorHAnsi" w:cstheme="majorBidi"/>
          <w:sz w:val="23"/>
          <w:szCs w:val="23"/>
          <w:lang w:val="en-GB"/>
        </w:rPr>
        <w:t>ere</w:t>
      </w:r>
      <w:r w:rsidR="00F00E3D" w:rsidRPr="0034443E">
        <w:rPr>
          <w:rFonts w:asciiTheme="majorHAnsi" w:eastAsiaTheme="majorEastAsia" w:hAnsiTheme="majorHAnsi" w:cstheme="majorBidi"/>
          <w:sz w:val="23"/>
          <w:szCs w:val="23"/>
          <w:lang w:val="en-GB"/>
        </w:rPr>
        <w:t xml:space="preserve"> perceived to have led to an increase in</w:t>
      </w:r>
      <w:r w:rsidR="003144B1">
        <w:rPr>
          <w:rFonts w:asciiTheme="majorHAnsi" w:eastAsiaTheme="majorEastAsia" w:hAnsiTheme="majorHAnsi" w:cstheme="majorBidi"/>
          <w:sz w:val="23"/>
          <w:szCs w:val="23"/>
          <w:lang w:val="en-GB"/>
        </w:rPr>
        <w:t xml:space="preserve"> the</w:t>
      </w:r>
      <w:r w:rsidR="00F00E3D" w:rsidRPr="0034443E">
        <w:rPr>
          <w:rFonts w:asciiTheme="majorHAnsi" w:eastAsiaTheme="majorEastAsia" w:hAnsiTheme="majorHAnsi" w:cstheme="majorBidi"/>
          <w:sz w:val="23"/>
          <w:szCs w:val="23"/>
          <w:lang w:val="en-GB"/>
        </w:rPr>
        <w:t xml:space="preserve"> prevalence.</w:t>
      </w:r>
    </w:p>
    <w:p w14:paraId="02DCA50C" w14:textId="1F8218F3" w:rsidR="00F00E3D" w:rsidRPr="0034443E" w:rsidRDefault="00F00E3D" w:rsidP="001E3559">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Social isolation was also frequently discussed</w:t>
      </w:r>
      <w:r w:rsidR="00091EA1">
        <w:rPr>
          <w:rFonts w:asciiTheme="majorHAnsi" w:eastAsiaTheme="majorEastAsia" w:hAnsiTheme="majorHAnsi" w:cstheme="majorHAnsi"/>
          <w:sz w:val="23"/>
          <w:szCs w:val="23"/>
          <w:lang w:val="en-GB"/>
        </w:rPr>
        <w:t>. W</w:t>
      </w:r>
      <w:r w:rsidRPr="0034443E">
        <w:rPr>
          <w:rFonts w:asciiTheme="majorHAnsi" w:eastAsiaTheme="majorEastAsia" w:hAnsiTheme="majorHAnsi" w:cstheme="majorHAnsi"/>
          <w:sz w:val="23"/>
          <w:szCs w:val="23"/>
          <w:lang w:val="en-GB"/>
        </w:rPr>
        <w:t>hile this impacted all members of the community</w:t>
      </w:r>
      <w:r w:rsidR="00091EA1">
        <w:rPr>
          <w:rFonts w:asciiTheme="majorHAnsi" w:eastAsiaTheme="majorEastAsia" w:hAnsiTheme="majorHAnsi" w:cstheme="majorHAnsi"/>
          <w:sz w:val="23"/>
          <w:szCs w:val="23"/>
          <w:lang w:val="en-GB"/>
        </w:rPr>
        <w:t xml:space="preserve"> </w:t>
      </w:r>
      <w:r w:rsidRPr="0034443E">
        <w:rPr>
          <w:rFonts w:asciiTheme="majorHAnsi" w:eastAsiaTheme="majorEastAsia" w:hAnsiTheme="majorHAnsi" w:cstheme="majorHAnsi"/>
          <w:sz w:val="23"/>
          <w:szCs w:val="23"/>
          <w:lang w:val="en-GB"/>
        </w:rPr>
        <w:t>it was acknowledged that some groups were particularly vulnerable to its negative effects (</w:t>
      </w:r>
      <w:r w:rsidR="00091EA1">
        <w:rPr>
          <w:rFonts w:asciiTheme="majorHAnsi" w:eastAsiaTheme="majorEastAsia" w:hAnsiTheme="majorHAnsi" w:cstheme="majorHAnsi"/>
          <w:sz w:val="23"/>
          <w:szCs w:val="23"/>
          <w:lang w:val="en-GB"/>
        </w:rPr>
        <w:t>including</w:t>
      </w:r>
      <w:r w:rsidRPr="0034443E">
        <w:rPr>
          <w:rFonts w:asciiTheme="majorHAnsi" w:eastAsiaTheme="majorEastAsia" w:hAnsiTheme="majorHAnsi" w:cstheme="majorHAnsi"/>
          <w:sz w:val="23"/>
          <w:szCs w:val="23"/>
          <w:lang w:val="en-GB"/>
        </w:rPr>
        <w:t xml:space="preserve"> people with disability,</w:t>
      </w:r>
      <w:r w:rsidR="00091EA1">
        <w:rPr>
          <w:rFonts w:asciiTheme="majorHAnsi" w:eastAsiaTheme="majorEastAsia" w:hAnsiTheme="majorHAnsi" w:cstheme="majorHAnsi"/>
          <w:sz w:val="23"/>
          <w:szCs w:val="23"/>
          <w:lang w:val="en-GB"/>
        </w:rPr>
        <w:t xml:space="preserve"> those at</w:t>
      </w:r>
      <w:r w:rsidRPr="0034443E">
        <w:rPr>
          <w:rFonts w:asciiTheme="majorHAnsi" w:eastAsiaTheme="majorEastAsia" w:hAnsiTheme="majorHAnsi" w:cstheme="majorHAnsi"/>
          <w:sz w:val="23"/>
          <w:szCs w:val="23"/>
          <w:lang w:val="en-GB"/>
        </w:rPr>
        <w:t xml:space="preserve"> both ends of the lifespan, single households, CALD communities, women</w:t>
      </w:r>
      <w:r w:rsidR="00616B8A">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and digitally excluded</w:t>
      </w:r>
      <w:r w:rsidR="00616B8A">
        <w:rPr>
          <w:rFonts w:asciiTheme="majorHAnsi" w:eastAsiaTheme="majorEastAsia" w:hAnsiTheme="majorHAnsi" w:cstheme="majorHAnsi"/>
          <w:sz w:val="23"/>
          <w:szCs w:val="23"/>
          <w:lang w:val="en-GB"/>
        </w:rPr>
        <w:t xml:space="preserve"> groups</w:t>
      </w:r>
      <w:r w:rsidRPr="0034443E">
        <w:rPr>
          <w:rFonts w:asciiTheme="majorHAnsi" w:eastAsiaTheme="majorEastAsia" w:hAnsiTheme="majorHAnsi" w:cstheme="majorHAnsi"/>
          <w:sz w:val="23"/>
          <w:szCs w:val="23"/>
          <w:lang w:val="en-GB"/>
        </w:rPr>
        <w:t>)</w:t>
      </w:r>
      <w:r w:rsidR="00616B8A">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w:t>
      </w:r>
    </w:p>
    <w:p w14:paraId="65B46D89" w14:textId="231B00DA" w:rsidR="00F00E3D" w:rsidRPr="0034443E" w:rsidRDefault="00F00E3D" w:rsidP="001E3559">
      <w:pPr>
        <w:spacing w:line="276" w:lineRule="auto"/>
        <w:ind w:left="720"/>
        <w:rPr>
          <w:rFonts w:asciiTheme="majorHAnsi" w:eastAsiaTheme="majorEastAsia" w:hAnsiTheme="majorHAnsi" w:cstheme="majorHAnsi"/>
          <w:sz w:val="23"/>
          <w:szCs w:val="23"/>
        </w:rPr>
      </w:pPr>
      <w:r w:rsidRPr="0034443E">
        <w:rPr>
          <w:rFonts w:asciiTheme="majorHAnsi" w:eastAsiaTheme="majorEastAsia" w:hAnsiTheme="majorHAnsi" w:cstheme="majorHAnsi"/>
          <w:sz w:val="23"/>
          <w:szCs w:val="23"/>
        </w:rPr>
        <w:t>For people with disability, that sense of isolation increased 500-fold. For some of our clients, we are</w:t>
      </w:r>
      <w:r w:rsidR="00D54EF6">
        <w:rPr>
          <w:rFonts w:asciiTheme="majorHAnsi" w:eastAsiaTheme="majorEastAsia" w:hAnsiTheme="majorHAnsi" w:cstheme="majorHAnsi"/>
          <w:sz w:val="23"/>
          <w:szCs w:val="23"/>
        </w:rPr>
        <w:t xml:space="preserve"> </w:t>
      </w:r>
      <w:r w:rsidRPr="0034443E">
        <w:rPr>
          <w:rFonts w:asciiTheme="majorHAnsi" w:eastAsiaTheme="majorEastAsia" w:hAnsiTheme="majorHAnsi" w:cstheme="majorHAnsi"/>
          <w:sz w:val="23"/>
          <w:szCs w:val="23"/>
        </w:rPr>
        <w:t>the only regular human contact they have</w:t>
      </w:r>
      <w:r w:rsidR="001E3559">
        <w:rPr>
          <w:rFonts w:asciiTheme="majorHAnsi" w:eastAsiaTheme="majorEastAsia" w:hAnsiTheme="majorHAnsi" w:cstheme="majorHAnsi"/>
          <w:sz w:val="23"/>
          <w:szCs w:val="23"/>
        </w:rPr>
        <w:t>.</w:t>
      </w:r>
      <w:r w:rsidRPr="0034443E">
        <w:rPr>
          <w:rFonts w:asciiTheme="majorHAnsi" w:eastAsiaTheme="majorEastAsia" w:hAnsiTheme="majorHAnsi" w:cstheme="majorHAnsi"/>
          <w:sz w:val="23"/>
          <w:szCs w:val="23"/>
        </w:rPr>
        <w:t xml:space="preserve"> (P10)</w:t>
      </w:r>
    </w:p>
    <w:p w14:paraId="55DB191B" w14:textId="5DFC6AE2" w:rsidR="00F00E3D" w:rsidRPr="0034443E" w:rsidRDefault="00F00E3D" w:rsidP="001E3559">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 xml:space="preserve">Closely linked to this theme was </w:t>
      </w:r>
      <w:r w:rsidR="00616B8A">
        <w:rPr>
          <w:rFonts w:asciiTheme="majorHAnsi" w:eastAsiaTheme="majorEastAsia" w:hAnsiTheme="majorHAnsi" w:cstheme="majorHAnsi"/>
          <w:sz w:val="23"/>
          <w:szCs w:val="23"/>
          <w:lang w:val="en-GB"/>
        </w:rPr>
        <w:t>a</w:t>
      </w:r>
      <w:r w:rsidRPr="0034443E">
        <w:rPr>
          <w:rFonts w:asciiTheme="majorHAnsi" w:eastAsiaTheme="majorEastAsia" w:hAnsiTheme="majorHAnsi" w:cstheme="majorHAnsi"/>
          <w:sz w:val="23"/>
          <w:szCs w:val="23"/>
          <w:lang w:val="en-GB"/>
        </w:rPr>
        <w:t xml:space="preserve"> deeply negative </w:t>
      </w:r>
      <w:r w:rsidR="00616B8A">
        <w:rPr>
          <w:rFonts w:asciiTheme="majorHAnsi" w:eastAsiaTheme="majorEastAsia" w:hAnsiTheme="majorHAnsi" w:cstheme="majorHAnsi"/>
          <w:sz w:val="23"/>
          <w:szCs w:val="23"/>
          <w:lang w:val="en-GB"/>
        </w:rPr>
        <w:t xml:space="preserve">observed </w:t>
      </w:r>
      <w:r w:rsidRPr="0034443E">
        <w:rPr>
          <w:rFonts w:asciiTheme="majorHAnsi" w:eastAsiaTheme="majorEastAsia" w:hAnsiTheme="majorHAnsi" w:cstheme="majorHAnsi"/>
          <w:sz w:val="23"/>
          <w:szCs w:val="23"/>
          <w:lang w:val="en-GB"/>
        </w:rPr>
        <w:t>impact on the mental health and wellbeing of the community. Community members only had access to shrunken or limited social networks and were unable to access wellbeing resources outside the local area.  There was also a loss of opportunities to engage in spontaneous or unstructured community activities and connection, which are often the hallmarks of fun, playful and pleasurable wellbeing supports.</w:t>
      </w:r>
    </w:p>
    <w:p w14:paraId="45914F28" w14:textId="4CB144F4" w:rsidR="00F00E3D" w:rsidRPr="0034443E" w:rsidRDefault="00E563E1" w:rsidP="00235FCF">
      <w:pPr>
        <w:spacing w:line="276" w:lineRule="auto"/>
        <w:rPr>
          <w:rFonts w:asciiTheme="majorHAnsi" w:eastAsiaTheme="majorEastAsia" w:hAnsiTheme="majorHAnsi" w:cstheme="majorHAnsi"/>
          <w:sz w:val="23"/>
          <w:szCs w:val="23"/>
          <w:lang w:val="en-GB"/>
        </w:rPr>
      </w:pPr>
      <w:r>
        <w:rPr>
          <w:rFonts w:asciiTheme="majorHAnsi" w:eastAsiaTheme="majorEastAsia" w:hAnsiTheme="majorHAnsi" w:cstheme="majorHAnsi"/>
          <w:sz w:val="23"/>
          <w:szCs w:val="23"/>
          <w:lang w:val="en-GB"/>
        </w:rPr>
        <w:t>R</w:t>
      </w:r>
      <w:r w:rsidR="001E3559">
        <w:rPr>
          <w:rFonts w:asciiTheme="majorHAnsi" w:eastAsiaTheme="majorEastAsia" w:hAnsiTheme="majorHAnsi" w:cstheme="majorHAnsi"/>
          <w:sz w:val="23"/>
          <w:szCs w:val="23"/>
          <w:lang w:val="en-GB"/>
        </w:rPr>
        <w:t xml:space="preserve">eported </w:t>
      </w:r>
      <w:r w:rsidR="00F00E3D" w:rsidRPr="0034443E">
        <w:rPr>
          <w:rFonts w:asciiTheme="majorHAnsi" w:eastAsiaTheme="majorEastAsia" w:hAnsiTheme="majorHAnsi" w:cstheme="majorHAnsi"/>
          <w:sz w:val="23"/>
          <w:szCs w:val="23"/>
          <w:lang w:val="en-GB"/>
        </w:rPr>
        <w:t xml:space="preserve">mental health issues </w:t>
      </w:r>
      <w:r w:rsidR="003C1C21">
        <w:rPr>
          <w:rFonts w:asciiTheme="majorHAnsi" w:eastAsiaTheme="majorEastAsia" w:hAnsiTheme="majorHAnsi" w:cstheme="majorHAnsi"/>
          <w:sz w:val="23"/>
          <w:szCs w:val="23"/>
          <w:lang w:val="en-GB"/>
        </w:rPr>
        <w:t>centred on exacerbation of</w:t>
      </w:r>
      <w:r w:rsidR="001E3559">
        <w:rPr>
          <w:rFonts w:asciiTheme="majorHAnsi" w:eastAsiaTheme="majorEastAsia" w:hAnsiTheme="majorHAnsi" w:cstheme="majorHAnsi"/>
          <w:sz w:val="23"/>
          <w:szCs w:val="23"/>
          <w:lang w:val="en-GB"/>
        </w:rPr>
        <w:t xml:space="preserve"> already</w:t>
      </w:r>
      <w:r w:rsidR="00F00E3D" w:rsidRPr="0034443E">
        <w:rPr>
          <w:rFonts w:asciiTheme="majorHAnsi" w:eastAsiaTheme="majorEastAsia" w:hAnsiTheme="majorHAnsi" w:cstheme="majorHAnsi"/>
          <w:sz w:val="23"/>
          <w:szCs w:val="23"/>
          <w:lang w:val="en-GB"/>
        </w:rPr>
        <w:t xml:space="preserve"> high</w:t>
      </w:r>
      <w:r w:rsidR="001E3559">
        <w:rPr>
          <w:rFonts w:asciiTheme="majorHAnsi" w:eastAsiaTheme="majorEastAsia" w:hAnsiTheme="majorHAnsi" w:cstheme="majorHAnsi"/>
          <w:sz w:val="23"/>
          <w:szCs w:val="23"/>
          <w:lang w:val="en-GB"/>
        </w:rPr>
        <w:t>-</w:t>
      </w:r>
      <w:r w:rsidR="00F00E3D" w:rsidRPr="0034443E">
        <w:rPr>
          <w:rFonts w:asciiTheme="majorHAnsi" w:eastAsiaTheme="majorEastAsia" w:hAnsiTheme="majorHAnsi" w:cstheme="majorHAnsi"/>
          <w:sz w:val="23"/>
          <w:szCs w:val="23"/>
          <w:lang w:val="en-GB"/>
        </w:rPr>
        <w:t xml:space="preserve">prevalence </w:t>
      </w:r>
      <w:r w:rsidR="001E3559">
        <w:rPr>
          <w:rFonts w:asciiTheme="majorHAnsi" w:eastAsiaTheme="majorEastAsia" w:hAnsiTheme="majorHAnsi" w:cstheme="majorHAnsi"/>
          <w:sz w:val="23"/>
          <w:szCs w:val="23"/>
          <w:lang w:val="en-GB"/>
        </w:rPr>
        <w:t>con</w:t>
      </w:r>
      <w:r>
        <w:rPr>
          <w:rFonts w:asciiTheme="majorHAnsi" w:eastAsiaTheme="majorEastAsia" w:hAnsiTheme="majorHAnsi" w:cstheme="majorHAnsi"/>
          <w:sz w:val="23"/>
          <w:szCs w:val="23"/>
          <w:lang w:val="en-GB"/>
        </w:rPr>
        <w:t>d</w:t>
      </w:r>
      <w:r w:rsidR="001E3559">
        <w:rPr>
          <w:rFonts w:asciiTheme="majorHAnsi" w:eastAsiaTheme="majorEastAsia" w:hAnsiTheme="majorHAnsi" w:cstheme="majorHAnsi"/>
          <w:sz w:val="23"/>
          <w:szCs w:val="23"/>
          <w:lang w:val="en-GB"/>
        </w:rPr>
        <w:t>itions</w:t>
      </w:r>
      <w:r w:rsidR="00F00E3D" w:rsidRPr="0034443E">
        <w:rPr>
          <w:rFonts w:asciiTheme="majorHAnsi" w:eastAsiaTheme="majorEastAsia" w:hAnsiTheme="majorHAnsi" w:cstheme="majorHAnsi"/>
          <w:sz w:val="23"/>
          <w:szCs w:val="23"/>
          <w:lang w:val="en-GB"/>
        </w:rPr>
        <w:t xml:space="preserve"> (anxiety and depression)</w:t>
      </w:r>
      <w:r>
        <w:rPr>
          <w:rFonts w:asciiTheme="majorHAnsi" w:eastAsiaTheme="majorEastAsia" w:hAnsiTheme="majorHAnsi" w:cstheme="majorHAnsi"/>
          <w:sz w:val="23"/>
          <w:szCs w:val="23"/>
          <w:lang w:val="en-GB"/>
        </w:rPr>
        <w:t>,</w:t>
      </w:r>
      <w:r w:rsidR="00F00E3D" w:rsidRPr="0034443E">
        <w:rPr>
          <w:rFonts w:asciiTheme="majorHAnsi" w:eastAsiaTheme="majorEastAsia" w:hAnsiTheme="majorHAnsi" w:cstheme="majorHAnsi"/>
          <w:sz w:val="23"/>
          <w:szCs w:val="23"/>
          <w:lang w:val="en-GB"/>
        </w:rPr>
        <w:t xml:space="preserve"> a</w:t>
      </w:r>
      <w:r w:rsidR="003C1C21">
        <w:rPr>
          <w:rFonts w:asciiTheme="majorHAnsi" w:eastAsiaTheme="majorEastAsia" w:hAnsiTheme="majorHAnsi" w:cstheme="majorHAnsi"/>
          <w:sz w:val="23"/>
          <w:szCs w:val="23"/>
          <w:lang w:val="en-GB"/>
        </w:rPr>
        <w:t>long with elevated levels of</w:t>
      </w:r>
      <w:r w:rsidR="00F00E3D" w:rsidRPr="0034443E">
        <w:rPr>
          <w:rFonts w:asciiTheme="majorHAnsi" w:eastAsiaTheme="majorEastAsia" w:hAnsiTheme="majorHAnsi" w:cstheme="majorHAnsi"/>
          <w:sz w:val="23"/>
          <w:szCs w:val="23"/>
          <w:lang w:val="en-GB"/>
        </w:rPr>
        <w:t xml:space="preserve"> general distress. Community members were</w:t>
      </w:r>
      <w:r>
        <w:rPr>
          <w:rFonts w:asciiTheme="majorHAnsi" w:eastAsiaTheme="majorEastAsia" w:hAnsiTheme="majorHAnsi" w:cstheme="majorHAnsi"/>
          <w:sz w:val="23"/>
          <w:szCs w:val="23"/>
          <w:lang w:val="en-GB"/>
        </w:rPr>
        <w:t xml:space="preserve"> </w:t>
      </w:r>
      <w:r w:rsidR="00F00E3D" w:rsidRPr="0034443E">
        <w:rPr>
          <w:rFonts w:asciiTheme="majorHAnsi" w:eastAsiaTheme="majorEastAsia" w:hAnsiTheme="majorHAnsi" w:cstheme="majorHAnsi"/>
          <w:sz w:val="23"/>
          <w:szCs w:val="23"/>
          <w:lang w:val="en-GB"/>
        </w:rPr>
        <w:t>described as experiencing</w:t>
      </w:r>
      <w:r w:rsidR="003C1C21">
        <w:rPr>
          <w:rFonts w:asciiTheme="majorHAnsi" w:eastAsiaTheme="majorEastAsia" w:hAnsiTheme="majorHAnsi" w:cstheme="majorHAnsi"/>
          <w:sz w:val="23"/>
          <w:szCs w:val="23"/>
          <w:lang w:val="en-GB"/>
        </w:rPr>
        <w:t xml:space="preserve"> increased</w:t>
      </w:r>
      <w:r w:rsidR="00F00E3D" w:rsidRPr="0034443E">
        <w:rPr>
          <w:rFonts w:asciiTheme="majorHAnsi" w:eastAsiaTheme="majorEastAsia" w:hAnsiTheme="majorHAnsi" w:cstheme="majorHAnsi"/>
          <w:sz w:val="23"/>
          <w:szCs w:val="23"/>
          <w:lang w:val="en-GB"/>
        </w:rPr>
        <w:t xml:space="preserve"> stress, loneliness, poor motivation</w:t>
      </w:r>
      <w:r>
        <w:rPr>
          <w:rFonts w:asciiTheme="majorHAnsi" w:eastAsiaTheme="majorEastAsia" w:hAnsiTheme="majorHAnsi" w:cstheme="majorHAnsi"/>
          <w:sz w:val="23"/>
          <w:szCs w:val="23"/>
          <w:lang w:val="en-GB"/>
        </w:rPr>
        <w:t>,</w:t>
      </w:r>
      <w:r w:rsidR="00F00E3D" w:rsidRPr="0034443E">
        <w:rPr>
          <w:rFonts w:asciiTheme="majorHAnsi" w:eastAsiaTheme="majorEastAsia" w:hAnsiTheme="majorHAnsi" w:cstheme="majorHAnsi"/>
          <w:sz w:val="23"/>
          <w:szCs w:val="23"/>
          <w:lang w:val="en-GB"/>
        </w:rPr>
        <w:t xml:space="preserve"> and feelings of being overwhelmed. Mental and cognitive exhaustion was also described </w:t>
      </w:r>
      <w:r w:rsidR="003C1C21">
        <w:rPr>
          <w:rFonts w:asciiTheme="majorHAnsi" w:eastAsiaTheme="majorEastAsia" w:hAnsiTheme="majorHAnsi" w:cstheme="majorHAnsi"/>
          <w:sz w:val="23"/>
          <w:szCs w:val="23"/>
          <w:lang w:val="en-GB"/>
        </w:rPr>
        <w:t xml:space="preserve">as an issue </w:t>
      </w:r>
      <w:r w:rsidR="00F00E3D" w:rsidRPr="0034443E">
        <w:rPr>
          <w:rFonts w:asciiTheme="majorHAnsi" w:eastAsiaTheme="majorEastAsia" w:hAnsiTheme="majorHAnsi" w:cstheme="majorHAnsi"/>
          <w:sz w:val="23"/>
          <w:szCs w:val="23"/>
          <w:lang w:val="en-GB"/>
        </w:rPr>
        <w:t xml:space="preserve">for both service providers and community </w:t>
      </w:r>
      <w:r w:rsidR="00F00E3D" w:rsidRPr="0034443E">
        <w:rPr>
          <w:rFonts w:asciiTheme="majorHAnsi" w:eastAsiaTheme="majorEastAsia" w:hAnsiTheme="majorHAnsi" w:cstheme="majorHAnsi"/>
          <w:sz w:val="23"/>
          <w:szCs w:val="23"/>
          <w:lang w:val="en-GB"/>
        </w:rPr>
        <w:lastRenderedPageBreak/>
        <w:t>members, particularly as social distancing and lockdown dragged on for months. Long</w:t>
      </w:r>
      <w:r w:rsidR="003C1C21">
        <w:rPr>
          <w:rFonts w:asciiTheme="majorHAnsi" w:eastAsiaTheme="majorEastAsia" w:hAnsiTheme="majorHAnsi" w:cstheme="majorHAnsi"/>
          <w:sz w:val="23"/>
          <w:szCs w:val="23"/>
          <w:lang w:val="en-GB"/>
        </w:rPr>
        <w:t>-</w:t>
      </w:r>
      <w:r w:rsidR="00F00E3D" w:rsidRPr="0034443E">
        <w:rPr>
          <w:rFonts w:asciiTheme="majorHAnsi" w:eastAsiaTheme="majorEastAsia" w:hAnsiTheme="majorHAnsi" w:cstheme="majorHAnsi"/>
          <w:sz w:val="23"/>
          <w:szCs w:val="23"/>
          <w:lang w:val="en-GB"/>
        </w:rPr>
        <w:t>established routines and ways of working were completely disrupted</w:t>
      </w:r>
      <w:r w:rsidR="003C1C21">
        <w:rPr>
          <w:rFonts w:asciiTheme="majorHAnsi" w:eastAsiaTheme="majorEastAsia" w:hAnsiTheme="majorHAnsi" w:cstheme="majorHAnsi"/>
          <w:sz w:val="23"/>
          <w:szCs w:val="23"/>
          <w:lang w:val="en-GB"/>
        </w:rPr>
        <w:t>, virt</w:t>
      </w:r>
      <w:r w:rsidR="00AE0122">
        <w:rPr>
          <w:rFonts w:asciiTheme="majorHAnsi" w:eastAsiaTheme="majorEastAsia" w:hAnsiTheme="majorHAnsi" w:cstheme="majorHAnsi"/>
          <w:sz w:val="23"/>
          <w:szCs w:val="23"/>
          <w:lang w:val="en-GB"/>
        </w:rPr>
        <w:t>u</w:t>
      </w:r>
      <w:r w:rsidR="003C1C21">
        <w:rPr>
          <w:rFonts w:asciiTheme="majorHAnsi" w:eastAsiaTheme="majorEastAsia" w:hAnsiTheme="majorHAnsi" w:cstheme="majorHAnsi"/>
          <w:sz w:val="23"/>
          <w:szCs w:val="23"/>
          <w:lang w:val="en-GB"/>
        </w:rPr>
        <w:t>ally</w:t>
      </w:r>
      <w:r w:rsidR="00F00E3D" w:rsidRPr="0034443E">
        <w:rPr>
          <w:rFonts w:asciiTheme="majorHAnsi" w:eastAsiaTheme="majorEastAsia" w:hAnsiTheme="majorHAnsi" w:cstheme="majorHAnsi"/>
          <w:sz w:val="23"/>
          <w:szCs w:val="23"/>
          <w:lang w:val="en-GB"/>
        </w:rPr>
        <w:t xml:space="preserve"> overnight, meaning everyone was drawing on significantly more cognitive reserves to participate in daily activities. </w:t>
      </w:r>
    </w:p>
    <w:p w14:paraId="72967F9B" w14:textId="24B3BE7F" w:rsidR="00F00E3D" w:rsidRDefault="00813B85" w:rsidP="00813B85">
      <w:pPr>
        <w:spacing w:line="276" w:lineRule="auto"/>
        <w:ind w:left="720"/>
        <w:rPr>
          <w:rFonts w:asciiTheme="majorHAnsi" w:eastAsiaTheme="majorEastAsia" w:hAnsiTheme="majorHAnsi" w:cstheme="majorHAnsi"/>
          <w:sz w:val="23"/>
          <w:szCs w:val="23"/>
        </w:rPr>
      </w:pPr>
      <w:r w:rsidRPr="0034443E">
        <w:rPr>
          <w:rFonts w:asciiTheme="majorHAnsi" w:eastAsiaTheme="majorEastAsia" w:hAnsiTheme="majorHAnsi" w:cstheme="majorHAnsi"/>
          <w:sz w:val="23"/>
          <w:szCs w:val="23"/>
        </w:rPr>
        <w:t>There was so just much uncertainty. There was a lot of anxiety, isolation, depression, fear</w:t>
      </w:r>
      <w:r>
        <w:rPr>
          <w:rFonts w:asciiTheme="majorHAnsi" w:eastAsiaTheme="majorEastAsia" w:hAnsiTheme="majorHAnsi" w:cstheme="majorHAnsi"/>
          <w:sz w:val="23"/>
          <w:szCs w:val="23"/>
        </w:rPr>
        <w:t xml:space="preserve">… </w:t>
      </w:r>
      <w:r w:rsidR="00940D80" w:rsidRPr="00C65D42">
        <w:rPr>
          <w:rFonts w:asciiTheme="majorHAnsi" w:eastAsiaTheme="majorEastAsia" w:hAnsiTheme="majorHAnsi" w:cstheme="majorHAnsi"/>
          <w:sz w:val="23"/>
          <w:szCs w:val="23"/>
        </w:rPr>
        <w:t>COVID</w:t>
      </w:r>
      <w:r w:rsidR="00F00E3D" w:rsidRPr="00C65D42">
        <w:rPr>
          <w:rFonts w:asciiTheme="majorHAnsi" w:eastAsiaTheme="majorEastAsia" w:hAnsiTheme="majorHAnsi" w:cstheme="majorHAnsi"/>
          <w:sz w:val="23"/>
          <w:szCs w:val="23"/>
        </w:rPr>
        <w:t xml:space="preserve"> had a huge impact on mental health and wellbeing for our staff too. Everyone is exhausted (P10).</w:t>
      </w:r>
    </w:p>
    <w:p w14:paraId="289F2CB5" w14:textId="78D01A37" w:rsidR="00F00E3D" w:rsidRPr="00C65D42" w:rsidRDefault="00F00E3D" w:rsidP="00982B34">
      <w:pPr>
        <w:spacing w:line="276" w:lineRule="auto"/>
        <w:rPr>
          <w:rFonts w:asciiTheme="majorHAnsi" w:eastAsiaTheme="majorEastAsia" w:hAnsiTheme="majorHAnsi" w:cstheme="majorHAnsi"/>
          <w:sz w:val="23"/>
          <w:szCs w:val="23"/>
          <w:lang w:val="en-GB"/>
        </w:rPr>
      </w:pPr>
      <w:r w:rsidRPr="00C65D42">
        <w:rPr>
          <w:rFonts w:asciiTheme="majorHAnsi" w:eastAsiaTheme="majorEastAsia" w:hAnsiTheme="majorHAnsi" w:cstheme="majorHAnsi"/>
          <w:sz w:val="23"/>
          <w:szCs w:val="23"/>
          <w:lang w:val="en-GB"/>
        </w:rPr>
        <w:t xml:space="preserve">For </w:t>
      </w:r>
      <w:r w:rsidR="00235FCF" w:rsidRPr="00C65D42">
        <w:rPr>
          <w:rFonts w:asciiTheme="majorHAnsi" w:eastAsiaTheme="majorEastAsia" w:hAnsiTheme="majorHAnsi" w:cstheme="majorHAnsi"/>
          <w:sz w:val="23"/>
          <w:szCs w:val="23"/>
          <w:lang w:val="en-GB"/>
        </w:rPr>
        <w:t>residents</w:t>
      </w:r>
      <w:r w:rsidRPr="00C65D42">
        <w:rPr>
          <w:rFonts w:asciiTheme="majorHAnsi" w:eastAsiaTheme="majorEastAsia" w:hAnsiTheme="majorHAnsi" w:cstheme="majorHAnsi"/>
          <w:sz w:val="23"/>
          <w:szCs w:val="23"/>
          <w:lang w:val="en-GB"/>
        </w:rPr>
        <w:t xml:space="preserve"> with emerging or existing health problems, the pandemic</w:t>
      </w:r>
      <w:r w:rsidR="00AE0122" w:rsidRPr="00C65D42">
        <w:rPr>
          <w:rFonts w:asciiTheme="majorHAnsi" w:eastAsiaTheme="majorEastAsia" w:hAnsiTheme="majorHAnsi" w:cstheme="majorHAnsi"/>
          <w:sz w:val="23"/>
          <w:szCs w:val="23"/>
          <w:lang w:val="en-GB"/>
        </w:rPr>
        <w:t xml:space="preserve"> wa</w:t>
      </w:r>
      <w:r w:rsidRPr="00C65D42">
        <w:rPr>
          <w:rFonts w:asciiTheme="majorHAnsi" w:eastAsiaTheme="majorEastAsia" w:hAnsiTheme="majorHAnsi" w:cstheme="majorHAnsi"/>
          <w:sz w:val="23"/>
          <w:szCs w:val="23"/>
          <w:lang w:val="en-GB"/>
        </w:rPr>
        <w:t>s perceived to have resulted in missed opportunities for early intervention</w:t>
      </w:r>
      <w:r w:rsidR="00235FCF" w:rsidRPr="00C65D42">
        <w:rPr>
          <w:rFonts w:asciiTheme="majorHAnsi" w:eastAsiaTheme="majorEastAsia" w:hAnsiTheme="majorHAnsi" w:cstheme="majorHAnsi"/>
          <w:sz w:val="23"/>
          <w:szCs w:val="23"/>
          <w:lang w:val="en-GB"/>
        </w:rPr>
        <w:t>, missed medical appointments,</w:t>
      </w:r>
      <w:r w:rsidRPr="00C65D42">
        <w:rPr>
          <w:rFonts w:asciiTheme="majorHAnsi" w:eastAsiaTheme="majorEastAsia" w:hAnsiTheme="majorHAnsi" w:cstheme="majorHAnsi"/>
          <w:sz w:val="23"/>
          <w:szCs w:val="23"/>
          <w:lang w:val="en-GB"/>
        </w:rPr>
        <w:t xml:space="preserve"> and poorer patient outcomes. </w:t>
      </w:r>
      <w:r w:rsidR="00235FCF" w:rsidRPr="00C65D42">
        <w:rPr>
          <w:rFonts w:asciiTheme="majorHAnsi" w:eastAsiaTheme="majorEastAsia" w:hAnsiTheme="majorHAnsi" w:cstheme="majorHAnsi"/>
          <w:sz w:val="23"/>
          <w:szCs w:val="23"/>
          <w:lang w:val="en-GB"/>
        </w:rPr>
        <w:t>Barriers to accessing</w:t>
      </w:r>
      <w:r w:rsidRPr="00C65D42">
        <w:rPr>
          <w:rFonts w:asciiTheme="majorHAnsi" w:eastAsiaTheme="majorEastAsia" w:hAnsiTheme="majorHAnsi" w:cstheme="majorHAnsi"/>
          <w:sz w:val="23"/>
          <w:szCs w:val="23"/>
          <w:lang w:val="en-GB"/>
        </w:rPr>
        <w:t xml:space="preserve"> services led to </w:t>
      </w:r>
      <w:r w:rsidR="00235FCF" w:rsidRPr="00C65D42">
        <w:rPr>
          <w:rFonts w:asciiTheme="majorHAnsi" w:eastAsiaTheme="majorEastAsia" w:hAnsiTheme="majorHAnsi" w:cstheme="majorHAnsi"/>
          <w:sz w:val="23"/>
          <w:szCs w:val="23"/>
          <w:lang w:val="en-GB"/>
        </w:rPr>
        <w:t>health problems</w:t>
      </w:r>
      <w:r w:rsidRPr="00C65D42">
        <w:rPr>
          <w:rFonts w:asciiTheme="majorHAnsi" w:eastAsiaTheme="majorEastAsia" w:hAnsiTheme="majorHAnsi" w:cstheme="majorHAnsi"/>
          <w:sz w:val="23"/>
          <w:szCs w:val="23"/>
          <w:lang w:val="en-GB"/>
        </w:rPr>
        <w:t xml:space="preserve"> becoming more visible to the community, </w:t>
      </w:r>
      <w:r w:rsidR="00235FCF" w:rsidRPr="00C65D42">
        <w:rPr>
          <w:rFonts w:asciiTheme="majorHAnsi" w:eastAsiaTheme="majorEastAsia" w:hAnsiTheme="majorHAnsi" w:cstheme="majorHAnsi"/>
          <w:sz w:val="23"/>
          <w:szCs w:val="23"/>
          <w:lang w:val="en-GB"/>
        </w:rPr>
        <w:t>as the people</w:t>
      </w:r>
      <w:r w:rsidRPr="00C65D42">
        <w:rPr>
          <w:rFonts w:asciiTheme="majorHAnsi" w:eastAsiaTheme="majorEastAsia" w:hAnsiTheme="majorHAnsi" w:cstheme="majorHAnsi"/>
          <w:sz w:val="23"/>
          <w:szCs w:val="23"/>
          <w:lang w:val="en-GB"/>
        </w:rPr>
        <w:t xml:space="preserve"> effected spending more time </w:t>
      </w:r>
      <w:r w:rsidR="00235FCF" w:rsidRPr="00C65D42">
        <w:rPr>
          <w:rFonts w:asciiTheme="majorHAnsi" w:eastAsiaTheme="majorEastAsia" w:hAnsiTheme="majorHAnsi" w:cstheme="majorHAnsi"/>
          <w:sz w:val="23"/>
          <w:szCs w:val="23"/>
          <w:lang w:val="en-GB"/>
        </w:rPr>
        <w:t>in their immediate local area</w:t>
      </w:r>
      <w:r w:rsidRPr="00C65D42">
        <w:rPr>
          <w:rFonts w:asciiTheme="majorHAnsi" w:eastAsiaTheme="majorEastAsia" w:hAnsiTheme="majorHAnsi" w:cstheme="majorHAnsi"/>
          <w:sz w:val="23"/>
          <w:szCs w:val="23"/>
          <w:lang w:val="en-GB"/>
        </w:rPr>
        <w:t xml:space="preserve">. </w:t>
      </w:r>
      <w:r w:rsidR="00A1268F" w:rsidRPr="00C65D42">
        <w:rPr>
          <w:rFonts w:asciiTheme="majorHAnsi" w:eastAsiaTheme="majorEastAsia" w:hAnsiTheme="majorHAnsi" w:cstheme="majorHAnsi"/>
          <w:sz w:val="23"/>
          <w:szCs w:val="23"/>
          <w:lang w:val="en-GB"/>
        </w:rPr>
        <w:t>One</w:t>
      </w:r>
      <w:r w:rsidRPr="00C65D42">
        <w:rPr>
          <w:rFonts w:asciiTheme="majorHAnsi" w:eastAsiaTheme="majorEastAsia" w:hAnsiTheme="majorHAnsi" w:cstheme="majorHAnsi"/>
          <w:sz w:val="23"/>
          <w:szCs w:val="23"/>
          <w:lang w:val="en-GB"/>
        </w:rPr>
        <w:t xml:space="preserve"> exception to this </w:t>
      </w:r>
      <w:r w:rsidR="00A1268F" w:rsidRPr="00C65D42">
        <w:rPr>
          <w:rFonts w:asciiTheme="majorHAnsi" w:eastAsiaTheme="majorEastAsia" w:hAnsiTheme="majorHAnsi" w:cstheme="majorHAnsi"/>
          <w:sz w:val="23"/>
          <w:szCs w:val="23"/>
          <w:lang w:val="en-GB"/>
        </w:rPr>
        <w:t xml:space="preserve">pattern </w:t>
      </w:r>
      <w:r w:rsidRPr="00C65D42">
        <w:rPr>
          <w:rFonts w:asciiTheme="majorHAnsi" w:eastAsiaTheme="majorEastAsia" w:hAnsiTheme="majorHAnsi" w:cstheme="majorHAnsi"/>
          <w:sz w:val="23"/>
          <w:szCs w:val="23"/>
          <w:lang w:val="en-GB"/>
        </w:rPr>
        <w:t>w</w:t>
      </w:r>
      <w:r w:rsidR="00A1268F" w:rsidRPr="00C65D42">
        <w:rPr>
          <w:rFonts w:asciiTheme="majorHAnsi" w:eastAsiaTheme="majorEastAsia" w:hAnsiTheme="majorHAnsi" w:cstheme="majorHAnsi"/>
          <w:sz w:val="23"/>
          <w:szCs w:val="23"/>
          <w:lang w:val="en-GB"/>
        </w:rPr>
        <w:t>as</w:t>
      </w:r>
      <w:r w:rsidRPr="00C65D42">
        <w:rPr>
          <w:rFonts w:asciiTheme="majorHAnsi" w:eastAsiaTheme="majorEastAsia" w:hAnsiTheme="majorHAnsi" w:cstheme="majorHAnsi"/>
          <w:sz w:val="23"/>
          <w:szCs w:val="23"/>
          <w:lang w:val="en-GB"/>
        </w:rPr>
        <w:t xml:space="preserve"> people experiencing homelessness, many of whom were housed temporarily in hotels as a public health measure. Community members were unable to access their usual healthcare supports, and while telehealth enabled some people to stay connected, not everyone had the resources</w:t>
      </w:r>
      <w:r w:rsidR="009D52A6" w:rsidRPr="00C65D42">
        <w:rPr>
          <w:rFonts w:asciiTheme="majorHAnsi" w:eastAsiaTheme="majorEastAsia" w:hAnsiTheme="majorHAnsi" w:cstheme="majorHAnsi"/>
          <w:sz w:val="23"/>
          <w:szCs w:val="23"/>
          <w:lang w:val="en-GB"/>
        </w:rPr>
        <w:t>, skills, or knowledge</w:t>
      </w:r>
      <w:r w:rsidRPr="00C65D42">
        <w:rPr>
          <w:rFonts w:asciiTheme="majorHAnsi" w:eastAsiaTheme="majorEastAsia" w:hAnsiTheme="majorHAnsi" w:cstheme="majorHAnsi"/>
          <w:sz w:val="23"/>
          <w:szCs w:val="23"/>
          <w:lang w:val="en-GB"/>
        </w:rPr>
        <w:t xml:space="preserve"> to utilise this medium.</w:t>
      </w:r>
    </w:p>
    <w:p w14:paraId="7D82DC7D" w14:textId="628AAA09" w:rsidR="00F00E3D" w:rsidRPr="00C65D42" w:rsidRDefault="00F00E3D" w:rsidP="00982B34">
      <w:pPr>
        <w:spacing w:line="276" w:lineRule="auto"/>
        <w:ind w:left="720"/>
        <w:rPr>
          <w:rFonts w:asciiTheme="majorHAnsi" w:eastAsiaTheme="majorEastAsia" w:hAnsiTheme="majorHAnsi" w:cstheme="majorHAnsi"/>
          <w:sz w:val="23"/>
          <w:szCs w:val="23"/>
        </w:rPr>
      </w:pPr>
      <w:r w:rsidRPr="00C65D42">
        <w:rPr>
          <w:rFonts w:asciiTheme="majorHAnsi" w:eastAsiaTheme="majorEastAsia" w:hAnsiTheme="majorHAnsi" w:cstheme="majorHAnsi"/>
          <w:sz w:val="23"/>
          <w:szCs w:val="23"/>
        </w:rPr>
        <w:t>Telehealth wasn’t really an option for many people. Some didn’t understand what that meant. Not everyone has a smartphone or a computer</w:t>
      </w:r>
      <w:r w:rsidR="00D54EF6" w:rsidRPr="00C65D42">
        <w:rPr>
          <w:rFonts w:asciiTheme="majorHAnsi" w:eastAsiaTheme="majorEastAsia" w:hAnsiTheme="majorHAnsi" w:cstheme="majorHAnsi"/>
          <w:b/>
          <w:bCs/>
          <w:sz w:val="23"/>
          <w:szCs w:val="23"/>
        </w:rPr>
        <w:t xml:space="preserve"> </w:t>
      </w:r>
      <w:r w:rsidRPr="00C65D42">
        <w:rPr>
          <w:rFonts w:asciiTheme="majorHAnsi" w:eastAsiaTheme="majorEastAsia" w:hAnsiTheme="majorHAnsi" w:cstheme="majorHAnsi"/>
          <w:sz w:val="23"/>
          <w:szCs w:val="23"/>
        </w:rPr>
        <w:t>(P1</w:t>
      </w:r>
      <w:r w:rsidR="00D54EF6" w:rsidRPr="00C65D42">
        <w:rPr>
          <w:rFonts w:asciiTheme="majorHAnsi" w:eastAsiaTheme="majorEastAsia" w:hAnsiTheme="majorHAnsi" w:cstheme="majorHAnsi"/>
          <w:sz w:val="23"/>
          <w:szCs w:val="23"/>
        </w:rPr>
        <w:t>1</w:t>
      </w:r>
      <w:r w:rsidRPr="00C65D42">
        <w:rPr>
          <w:rFonts w:asciiTheme="majorHAnsi" w:eastAsiaTheme="majorEastAsia" w:hAnsiTheme="majorHAnsi" w:cstheme="majorHAnsi"/>
          <w:sz w:val="23"/>
          <w:szCs w:val="23"/>
        </w:rPr>
        <w:t>)</w:t>
      </w:r>
      <w:r w:rsidR="009D52A6" w:rsidRPr="00C65D42">
        <w:rPr>
          <w:rFonts w:asciiTheme="majorHAnsi" w:eastAsiaTheme="majorEastAsia" w:hAnsiTheme="majorHAnsi" w:cstheme="majorHAnsi"/>
          <w:sz w:val="23"/>
          <w:szCs w:val="23"/>
        </w:rPr>
        <w:t>.</w:t>
      </w:r>
    </w:p>
    <w:p w14:paraId="2051A538" w14:textId="0B388A0F" w:rsidR="00F00E3D" w:rsidRPr="0034443E" w:rsidRDefault="00F00E3D" w:rsidP="00F14319">
      <w:pPr>
        <w:spacing w:line="276" w:lineRule="auto"/>
        <w:rPr>
          <w:rFonts w:asciiTheme="majorHAnsi" w:eastAsiaTheme="majorEastAsia" w:hAnsiTheme="majorHAnsi" w:cstheme="majorHAnsi"/>
          <w:sz w:val="23"/>
          <w:szCs w:val="23"/>
          <w:lang w:val="en-GB"/>
        </w:rPr>
      </w:pPr>
      <w:r w:rsidRPr="00C65D42">
        <w:rPr>
          <w:rFonts w:asciiTheme="majorHAnsi" w:eastAsiaTheme="majorEastAsia" w:hAnsiTheme="majorHAnsi" w:cstheme="majorHAnsi"/>
          <w:sz w:val="23"/>
          <w:szCs w:val="23"/>
          <w:lang w:val="en-GB"/>
        </w:rPr>
        <w:t xml:space="preserve">Communication </w:t>
      </w:r>
      <w:r w:rsidR="009D52A6" w:rsidRPr="00C65D42">
        <w:rPr>
          <w:rFonts w:asciiTheme="majorHAnsi" w:eastAsiaTheme="majorEastAsia" w:hAnsiTheme="majorHAnsi" w:cstheme="majorHAnsi"/>
          <w:sz w:val="23"/>
          <w:szCs w:val="23"/>
          <w:lang w:val="en-GB"/>
        </w:rPr>
        <w:t>gaps and</w:t>
      </w:r>
      <w:r w:rsidR="00982B34" w:rsidRPr="00C65D42">
        <w:rPr>
          <w:rFonts w:asciiTheme="majorHAnsi" w:eastAsiaTheme="majorEastAsia" w:hAnsiTheme="majorHAnsi" w:cstheme="majorHAnsi"/>
          <w:sz w:val="23"/>
          <w:szCs w:val="23"/>
          <w:lang w:val="en-GB"/>
        </w:rPr>
        <w:t xml:space="preserve"> problems</w:t>
      </w:r>
      <w:r w:rsidRPr="00C65D42">
        <w:rPr>
          <w:rFonts w:asciiTheme="majorHAnsi" w:eastAsiaTheme="majorEastAsia" w:hAnsiTheme="majorHAnsi" w:cstheme="majorHAnsi"/>
          <w:sz w:val="23"/>
          <w:szCs w:val="23"/>
          <w:lang w:val="en-GB"/>
        </w:rPr>
        <w:t xml:space="preserve"> were highlighted as a significant </w:t>
      </w:r>
      <w:r w:rsidR="00982B34" w:rsidRPr="00C65D42">
        <w:rPr>
          <w:rFonts w:asciiTheme="majorHAnsi" w:eastAsiaTheme="majorEastAsia" w:hAnsiTheme="majorHAnsi" w:cstheme="majorHAnsi"/>
          <w:sz w:val="23"/>
          <w:szCs w:val="23"/>
          <w:lang w:val="en-GB"/>
        </w:rPr>
        <w:t>barrier to</w:t>
      </w:r>
      <w:r w:rsidRPr="00C65D42">
        <w:rPr>
          <w:rFonts w:asciiTheme="majorHAnsi" w:eastAsiaTheme="majorEastAsia" w:hAnsiTheme="majorHAnsi" w:cstheme="majorHAnsi"/>
          <w:sz w:val="23"/>
          <w:szCs w:val="23"/>
          <w:lang w:val="en-GB"/>
        </w:rPr>
        <w:t xml:space="preserve"> informing the community about </w:t>
      </w:r>
      <w:r w:rsidR="00940D80" w:rsidRPr="00C65D42">
        <w:rPr>
          <w:rFonts w:asciiTheme="majorHAnsi" w:eastAsiaTheme="majorEastAsia" w:hAnsiTheme="majorHAnsi" w:cstheme="majorHAnsi"/>
          <w:sz w:val="23"/>
          <w:szCs w:val="23"/>
          <w:lang w:val="en-GB"/>
        </w:rPr>
        <w:t>COVID</w:t>
      </w:r>
      <w:r w:rsidR="00232FDB">
        <w:rPr>
          <w:rFonts w:asciiTheme="majorHAnsi" w:eastAsiaTheme="majorEastAsia" w:hAnsiTheme="majorHAnsi" w:cstheme="majorHAnsi"/>
          <w:sz w:val="23"/>
          <w:szCs w:val="23"/>
          <w:lang w:val="en-GB"/>
        </w:rPr>
        <w:t>-safe</w:t>
      </w:r>
      <w:r w:rsidRPr="00C65D42">
        <w:rPr>
          <w:rFonts w:asciiTheme="majorHAnsi" w:eastAsiaTheme="majorEastAsia" w:hAnsiTheme="majorHAnsi" w:cstheme="majorHAnsi"/>
          <w:sz w:val="23"/>
          <w:szCs w:val="23"/>
          <w:lang w:val="en-GB"/>
        </w:rPr>
        <w:t xml:space="preserve"> practices. Interviewees described how the spread of misinformation and conspiracy theories prevented </w:t>
      </w:r>
      <w:r w:rsidR="00982B34" w:rsidRPr="00C65D42">
        <w:rPr>
          <w:rFonts w:asciiTheme="majorHAnsi" w:eastAsiaTheme="majorEastAsia" w:hAnsiTheme="majorHAnsi" w:cstheme="majorHAnsi"/>
          <w:sz w:val="23"/>
          <w:szCs w:val="23"/>
          <w:lang w:val="en-GB"/>
        </w:rPr>
        <w:t xml:space="preserve">some </w:t>
      </w:r>
      <w:r w:rsidRPr="00C65D42">
        <w:rPr>
          <w:rFonts w:asciiTheme="majorHAnsi" w:eastAsiaTheme="majorEastAsia" w:hAnsiTheme="majorHAnsi" w:cstheme="majorHAnsi"/>
          <w:sz w:val="23"/>
          <w:szCs w:val="23"/>
          <w:lang w:val="en-GB"/>
        </w:rPr>
        <w:t xml:space="preserve">people from complying with health directives, while a lack of </w:t>
      </w:r>
      <w:r w:rsidR="000217D2" w:rsidRPr="00C65D42">
        <w:rPr>
          <w:rFonts w:asciiTheme="majorHAnsi" w:eastAsiaTheme="majorEastAsia" w:hAnsiTheme="majorHAnsi" w:cstheme="majorHAnsi"/>
          <w:sz w:val="23"/>
          <w:szCs w:val="23"/>
          <w:lang w:val="en-GB"/>
        </w:rPr>
        <w:t xml:space="preserve">accessible </w:t>
      </w:r>
      <w:r w:rsidRPr="00C65D42">
        <w:rPr>
          <w:rFonts w:asciiTheme="majorHAnsi" w:eastAsiaTheme="majorEastAsia" w:hAnsiTheme="majorHAnsi" w:cstheme="majorHAnsi"/>
          <w:sz w:val="23"/>
          <w:szCs w:val="23"/>
          <w:lang w:val="en-GB"/>
        </w:rPr>
        <w:t>translated materials precluded CALD communities from receiving accurate and</w:t>
      </w:r>
      <w:r w:rsidRPr="0034443E">
        <w:rPr>
          <w:rFonts w:asciiTheme="majorHAnsi" w:eastAsiaTheme="majorEastAsia" w:hAnsiTheme="majorHAnsi" w:cstheme="majorHAnsi"/>
          <w:sz w:val="23"/>
          <w:szCs w:val="23"/>
          <w:lang w:val="en-GB"/>
        </w:rPr>
        <w:t xml:space="preserve"> timely information. As </w:t>
      </w:r>
      <w:r w:rsidR="00455E23">
        <w:rPr>
          <w:rFonts w:asciiTheme="majorHAnsi" w:eastAsiaTheme="majorEastAsia" w:hAnsiTheme="majorHAnsi" w:cstheme="majorHAnsi"/>
          <w:sz w:val="23"/>
          <w:szCs w:val="23"/>
          <w:lang w:val="en-GB"/>
        </w:rPr>
        <w:t xml:space="preserve">access to </w:t>
      </w:r>
      <w:r w:rsidRPr="0034443E">
        <w:rPr>
          <w:rFonts w:asciiTheme="majorHAnsi" w:eastAsiaTheme="majorEastAsia" w:hAnsiTheme="majorHAnsi" w:cstheme="majorHAnsi"/>
          <w:sz w:val="23"/>
          <w:szCs w:val="23"/>
          <w:lang w:val="en-GB"/>
        </w:rPr>
        <w:t>healthcare services became more restricted, there was an increased focus on acuity at the expense of health maintenance, promotion</w:t>
      </w:r>
      <w:r w:rsidR="000217D2">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and prevention support. In addition, </w:t>
      </w:r>
      <w:r w:rsidR="000217D2">
        <w:rPr>
          <w:rFonts w:asciiTheme="majorHAnsi" w:eastAsiaTheme="majorEastAsia" w:hAnsiTheme="majorHAnsi" w:cstheme="majorHAnsi"/>
          <w:sz w:val="23"/>
          <w:szCs w:val="23"/>
          <w:lang w:val="en-GB"/>
        </w:rPr>
        <w:t xml:space="preserve">many </w:t>
      </w:r>
      <w:r w:rsidRPr="0034443E">
        <w:rPr>
          <w:rFonts w:asciiTheme="majorHAnsi" w:eastAsiaTheme="majorEastAsia" w:hAnsiTheme="majorHAnsi" w:cstheme="majorHAnsi"/>
          <w:sz w:val="23"/>
          <w:szCs w:val="23"/>
          <w:lang w:val="en-GB"/>
        </w:rPr>
        <w:t xml:space="preserve">community members were prevented from practicing </w:t>
      </w:r>
      <w:r w:rsidR="000217D2">
        <w:rPr>
          <w:rFonts w:asciiTheme="majorHAnsi" w:eastAsiaTheme="majorEastAsia" w:hAnsiTheme="majorHAnsi" w:cstheme="majorHAnsi"/>
          <w:sz w:val="23"/>
          <w:szCs w:val="23"/>
          <w:lang w:val="en-GB"/>
        </w:rPr>
        <w:t xml:space="preserve">healthy </w:t>
      </w:r>
      <w:r w:rsidRPr="0034443E">
        <w:rPr>
          <w:rFonts w:asciiTheme="majorHAnsi" w:eastAsiaTheme="majorEastAsia" w:hAnsiTheme="majorHAnsi" w:cstheme="majorHAnsi"/>
          <w:sz w:val="23"/>
          <w:szCs w:val="23"/>
          <w:lang w:val="en-GB"/>
        </w:rPr>
        <w:t xml:space="preserve">self-management strategies (such as walking and swimming) </w:t>
      </w:r>
      <w:r w:rsidR="000217D2">
        <w:rPr>
          <w:rFonts w:asciiTheme="majorHAnsi" w:eastAsiaTheme="majorEastAsia" w:hAnsiTheme="majorHAnsi" w:cstheme="majorHAnsi"/>
          <w:sz w:val="23"/>
          <w:szCs w:val="23"/>
          <w:lang w:val="en-GB"/>
        </w:rPr>
        <w:t>due to</w:t>
      </w:r>
      <w:r w:rsidRPr="0034443E">
        <w:rPr>
          <w:rFonts w:asciiTheme="majorHAnsi" w:eastAsiaTheme="majorEastAsia" w:hAnsiTheme="majorHAnsi" w:cstheme="majorHAnsi"/>
          <w:sz w:val="23"/>
          <w:szCs w:val="23"/>
          <w:lang w:val="en-GB"/>
        </w:rPr>
        <w:t xml:space="preserve"> social distancing restrictions and facility shutdowns.</w:t>
      </w:r>
    </w:p>
    <w:p w14:paraId="49DB8D38" w14:textId="565B5040" w:rsidR="00F00E3D" w:rsidRPr="0034443E" w:rsidRDefault="000217D2" w:rsidP="00F14319">
      <w:pPr>
        <w:spacing w:line="276" w:lineRule="auto"/>
        <w:rPr>
          <w:rFonts w:asciiTheme="majorHAnsi" w:eastAsiaTheme="majorEastAsia" w:hAnsiTheme="majorHAnsi" w:cstheme="majorHAnsi"/>
          <w:sz w:val="23"/>
          <w:szCs w:val="23"/>
          <w:lang w:val="en-GB"/>
        </w:rPr>
      </w:pPr>
      <w:r>
        <w:rPr>
          <w:rFonts w:asciiTheme="majorHAnsi" w:eastAsiaTheme="majorEastAsia" w:hAnsiTheme="majorHAnsi" w:cstheme="majorHAnsi"/>
          <w:sz w:val="23"/>
          <w:szCs w:val="23"/>
          <w:lang w:val="en-GB"/>
        </w:rPr>
        <w:t>Increased f</w:t>
      </w:r>
      <w:r w:rsidR="00F00E3D" w:rsidRPr="0034443E">
        <w:rPr>
          <w:rFonts w:asciiTheme="majorHAnsi" w:eastAsiaTheme="majorEastAsia" w:hAnsiTheme="majorHAnsi" w:cstheme="majorHAnsi"/>
          <w:sz w:val="23"/>
          <w:szCs w:val="23"/>
          <w:lang w:val="en-GB"/>
        </w:rPr>
        <w:t>ood insecurity became a major issue during the pandemic, as community members were less able to easily access nutritious and fresh food.</w:t>
      </w:r>
      <w:r w:rsidR="00761204">
        <w:rPr>
          <w:rFonts w:asciiTheme="majorHAnsi" w:eastAsiaTheme="majorEastAsia" w:hAnsiTheme="majorHAnsi" w:cstheme="majorHAnsi"/>
          <w:sz w:val="23"/>
          <w:szCs w:val="23"/>
          <w:lang w:val="en-GB"/>
        </w:rPr>
        <w:t xml:space="preserve"> </w:t>
      </w:r>
      <w:r w:rsidR="00F00E3D" w:rsidRPr="0034443E">
        <w:rPr>
          <w:rFonts w:asciiTheme="majorHAnsi" w:eastAsiaTheme="majorEastAsia" w:hAnsiTheme="majorHAnsi" w:cstheme="majorHAnsi"/>
          <w:sz w:val="23"/>
          <w:szCs w:val="23"/>
          <w:lang w:val="en-GB"/>
        </w:rPr>
        <w:t xml:space="preserve">Some vulnerable community members </w:t>
      </w:r>
      <w:r w:rsidR="00F14319">
        <w:rPr>
          <w:rFonts w:asciiTheme="majorHAnsi" w:eastAsiaTheme="majorEastAsia" w:hAnsiTheme="majorHAnsi" w:cstheme="majorHAnsi"/>
          <w:sz w:val="23"/>
          <w:szCs w:val="23"/>
          <w:lang w:val="en-GB"/>
        </w:rPr>
        <w:t>became</w:t>
      </w:r>
      <w:r w:rsidR="00F00E3D" w:rsidRPr="0034443E">
        <w:rPr>
          <w:rFonts w:asciiTheme="majorHAnsi" w:eastAsiaTheme="majorEastAsia" w:hAnsiTheme="majorHAnsi" w:cstheme="majorHAnsi"/>
          <w:sz w:val="23"/>
          <w:szCs w:val="23"/>
          <w:lang w:val="en-GB"/>
        </w:rPr>
        <w:t xml:space="preserve"> dependant on others for shopping and meal preparation, </w:t>
      </w:r>
      <w:r w:rsidR="00F14319">
        <w:rPr>
          <w:rFonts w:asciiTheme="majorHAnsi" w:eastAsiaTheme="majorEastAsia" w:hAnsiTheme="majorHAnsi" w:cstheme="majorHAnsi"/>
          <w:sz w:val="23"/>
          <w:szCs w:val="23"/>
          <w:lang w:val="en-GB"/>
        </w:rPr>
        <w:t>and</w:t>
      </w:r>
      <w:r w:rsidR="00F00E3D" w:rsidRPr="0034443E">
        <w:rPr>
          <w:rFonts w:asciiTheme="majorHAnsi" w:eastAsiaTheme="majorEastAsia" w:hAnsiTheme="majorHAnsi" w:cstheme="majorHAnsi"/>
          <w:sz w:val="23"/>
          <w:szCs w:val="23"/>
          <w:lang w:val="en-GB"/>
        </w:rPr>
        <w:t xml:space="preserve"> increased stress le</w:t>
      </w:r>
      <w:r w:rsidR="00F14319">
        <w:rPr>
          <w:rFonts w:asciiTheme="majorHAnsi" w:eastAsiaTheme="majorEastAsia" w:hAnsiTheme="majorHAnsi" w:cstheme="majorHAnsi"/>
          <w:sz w:val="23"/>
          <w:szCs w:val="23"/>
          <w:lang w:val="en-GB"/>
        </w:rPr>
        <w:t xml:space="preserve">d </w:t>
      </w:r>
      <w:r w:rsidR="00F00E3D" w:rsidRPr="0034443E">
        <w:rPr>
          <w:rFonts w:asciiTheme="majorHAnsi" w:eastAsiaTheme="majorEastAsia" w:hAnsiTheme="majorHAnsi" w:cstheme="majorHAnsi"/>
          <w:sz w:val="23"/>
          <w:szCs w:val="23"/>
          <w:lang w:val="en-GB"/>
        </w:rPr>
        <w:t xml:space="preserve">to greater use of </w:t>
      </w:r>
      <w:r w:rsidR="00F14319">
        <w:rPr>
          <w:rFonts w:asciiTheme="majorHAnsi" w:eastAsiaTheme="majorEastAsia" w:hAnsiTheme="majorHAnsi" w:cstheme="majorHAnsi"/>
          <w:sz w:val="23"/>
          <w:szCs w:val="23"/>
          <w:lang w:val="en-GB"/>
        </w:rPr>
        <w:t>“</w:t>
      </w:r>
      <w:r w:rsidR="00F00E3D" w:rsidRPr="0034443E">
        <w:rPr>
          <w:rFonts w:asciiTheme="majorHAnsi" w:eastAsiaTheme="majorEastAsia" w:hAnsiTheme="majorHAnsi" w:cstheme="majorHAnsi"/>
          <w:sz w:val="23"/>
          <w:szCs w:val="23"/>
          <w:lang w:val="en-GB"/>
        </w:rPr>
        <w:t>quick and easy</w:t>
      </w:r>
      <w:r w:rsidR="00F14319">
        <w:rPr>
          <w:rFonts w:asciiTheme="majorHAnsi" w:eastAsiaTheme="majorEastAsia" w:hAnsiTheme="majorHAnsi" w:cstheme="majorHAnsi"/>
          <w:sz w:val="23"/>
          <w:szCs w:val="23"/>
          <w:lang w:val="en-GB"/>
        </w:rPr>
        <w:t>”</w:t>
      </w:r>
      <w:r w:rsidR="00F00E3D" w:rsidRPr="0034443E">
        <w:rPr>
          <w:rFonts w:asciiTheme="majorHAnsi" w:eastAsiaTheme="majorEastAsia" w:hAnsiTheme="majorHAnsi" w:cstheme="majorHAnsi"/>
          <w:sz w:val="23"/>
          <w:szCs w:val="23"/>
          <w:lang w:val="en-GB"/>
        </w:rPr>
        <w:t xml:space="preserve"> options. “Welfare saturation” also became a problem, as well-meaning </w:t>
      </w:r>
      <w:r w:rsidR="001F36CB" w:rsidRPr="0034443E">
        <w:rPr>
          <w:rFonts w:asciiTheme="majorHAnsi" w:eastAsiaTheme="majorEastAsia" w:hAnsiTheme="majorHAnsi" w:cstheme="majorHAnsi"/>
          <w:sz w:val="23"/>
          <w:szCs w:val="23"/>
          <w:lang w:val="en-GB"/>
        </w:rPr>
        <w:t xml:space="preserve">people from </w:t>
      </w:r>
      <w:r w:rsidR="00F00E3D" w:rsidRPr="0034443E">
        <w:rPr>
          <w:rFonts w:asciiTheme="majorHAnsi" w:eastAsiaTheme="majorEastAsia" w:hAnsiTheme="majorHAnsi" w:cstheme="majorHAnsi"/>
          <w:sz w:val="23"/>
          <w:szCs w:val="23"/>
          <w:lang w:val="en-GB"/>
        </w:rPr>
        <w:t>better</w:t>
      </w:r>
      <w:r w:rsidR="001F36CB">
        <w:rPr>
          <w:rFonts w:asciiTheme="majorHAnsi" w:eastAsiaTheme="majorEastAsia" w:hAnsiTheme="majorHAnsi" w:cstheme="majorHAnsi"/>
          <w:sz w:val="23"/>
          <w:szCs w:val="23"/>
          <w:lang w:val="en-GB"/>
        </w:rPr>
        <w:t>-</w:t>
      </w:r>
      <w:r w:rsidR="00F00E3D" w:rsidRPr="0034443E">
        <w:rPr>
          <w:rFonts w:asciiTheme="majorHAnsi" w:eastAsiaTheme="majorEastAsia" w:hAnsiTheme="majorHAnsi" w:cstheme="majorHAnsi"/>
          <w:sz w:val="23"/>
          <w:szCs w:val="23"/>
          <w:lang w:val="en-GB"/>
        </w:rPr>
        <w:t>resourced communities donated large amounts of unhealthy, inappropriate</w:t>
      </w:r>
      <w:r w:rsidR="00360BCC">
        <w:rPr>
          <w:rFonts w:asciiTheme="majorHAnsi" w:eastAsiaTheme="majorEastAsia" w:hAnsiTheme="majorHAnsi" w:cstheme="majorHAnsi"/>
          <w:sz w:val="23"/>
          <w:szCs w:val="23"/>
          <w:lang w:val="en-GB"/>
        </w:rPr>
        <w:t>,</w:t>
      </w:r>
      <w:r w:rsidR="00F00E3D" w:rsidRPr="0034443E">
        <w:rPr>
          <w:rFonts w:asciiTheme="majorHAnsi" w:eastAsiaTheme="majorEastAsia" w:hAnsiTheme="majorHAnsi" w:cstheme="majorHAnsi"/>
          <w:sz w:val="23"/>
          <w:szCs w:val="23"/>
          <w:lang w:val="en-GB"/>
        </w:rPr>
        <w:t xml:space="preserve"> or unsuitable items to</w:t>
      </w:r>
      <w:r w:rsidR="00360BCC">
        <w:rPr>
          <w:rFonts w:asciiTheme="majorHAnsi" w:eastAsiaTheme="majorEastAsia" w:hAnsiTheme="majorHAnsi" w:cstheme="majorHAnsi"/>
          <w:sz w:val="23"/>
          <w:szCs w:val="23"/>
          <w:lang w:val="en-GB"/>
        </w:rPr>
        <w:t xml:space="preserve"> local</w:t>
      </w:r>
      <w:r w:rsidR="00F00E3D" w:rsidRPr="0034443E">
        <w:rPr>
          <w:rFonts w:asciiTheme="majorHAnsi" w:eastAsiaTheme="majorEastAsia" w:hAnsiTheme="majorHAnsi" w:cstheme="majorHAnsi"/>
          <w:sz w:val="23"/>
          <w:szCs w:val="23"/>
          <w:lang w:val="en-GB"/>
        </w:rPr>
        <w:t xml:space="preserve"> food banks for passive distribution. </w:t>
      </w:r>
    </w:p>
    <w:p w14:paraId="06C57503" w14:textId="08227973" w:rsidR="00F00E3D" w:rsidRDefault="00F00E3D" w:rsidP="00360BCC">
      <w:pPr>
        <w:spacing w:line="276" w:lineRule="auto"/>
        <w:ind w:left="720"/>
        <w:rPr>
          <w:rFonts w:asciiTheme="majorHAnsi" w:eastAsiaTheme="majorEastAsia" w:hAnsiTheme="majorHAnsi" w:cstheme="majorHAnsi"/>
          <w:sz w:val="23"/>
          <w:szCs w:val="23"/>
        </w:rPr>
      </w:pPr>
      <w:r w:rsidRPr="0034443E">
        <w:rPr>
          <w:rFonts w:asciiTheme="majorHAnsi" w:eastAsiaTheme="majorEastAsia" w:hAnsiTheme="majorHAnsi" w:cstheme="majorHAnsi"/>
          <w:sz w:val="23"/>
          <w:szCs w:val="23"/>
        </w:rPr>
        <w:t xml:space="preserve">There was also a real welfare saturation. Around 12 or 13 </w:t>
      </w:r>
      <w:r w:rsidR="00360BCC">
        <w:rPr>
          <w:rFonts w:asciiTheme="majorHAnsi" w:eastAsiaTheme="majorEastAsia" w:hAnsiTheme="majorHAnsi" w:cstheme="majorHAnsi"/>
          <w:sz w:val="23"/>
          <w:szCs w:val="23"/>
        </w:rPr>
        <w:t>o</w:t>
      </w:r>
      <w:r w:rsidRPr="0034443E">
        <w:rPr>
          <w:rFonts w:asciiTheme="majorHAnsi" w:eastAsiaTheme="majorEastAsia" w:hAnsiTheme="majorHAnsi" w:cstheme="majorHAnsi"/>
          <w:sz w:val="23"/>
          <w:szCs w:val="23"/>
        </w:rPr>
        <w:t>rganisations started piling food into our neighbourhood via foodbanks. But it was all expired or weird [unfamiliar] food. Not healthy,</w:t>
      </w:r>
      <w:r w:rsidR="00360BCC">
        <w:rPr>
          <w:rFonts w:asciiTheme="majorHAnsi" w:eastAsiaTheme="majorEastAsia" w:hAnsiTheme="majorHAnsi" w:cstheme="majorHAnsi"/>
          <w:sz w:val="23"/>
          <w:szCs w:val="23"/>
        </w:rPr>
        <w:t xml:space="preserve"> </w:t>
      </w:r>
      <w:r w:rsidRPr="0034443E">
        <w:rPr>
          <w:rFonts w:asciiTheme="majorHAnsi" w:eastAsiaTheme="majorEastAsia" w:hAnsiTheme="majorHAnsi" w:cstheme="majorHAnsi"/>
          <w:sz w:val="23"/>
          <w:szCs w:val="23"/>
        </w:rPr>
        <w:t>not fresh. Highly processed. It wasn’t an empowering approach. It reinforced welfare dependency (P11).</w:t>
      </w:r>
    </w:p>
    <w:p w14:paraId="2D99EE38" w14:textId="77FDB2D6" w:rsidR="00761204" w:rsidRPr="0034443E" w:rsidRDefault="00761204" w:rsidP="00761204">
      <w:pPr>
        <w:spacing w:line="276" w:lineRule="auto"/>
        <w:ind w:left="720"/>
        <w:rPr>
          <w:rFonts w:asciiTheme="majorHAnsi" w:eastAsiaTheme="majorEastAsia" w:hAnsiTheme="majorHAnsi" w:cstheme="majorHAnsi"/>
          <w:sz w:val="23"/>
          <w:szCs w:val="23"/>
        </w:rPr>
      </w:pPr>
      <w:r w:rsidRPr="0034443E">
        <w:rPr>
          <w:rFonts w:asciiTheme="majorHAnsi" w:eastAsiaTheme="majorEastAsia" w:hAnsiTheme="majorHAnsi" w:cstheme="majorHAnsi"/>
          <w:sz w:val="23"/>
          <w:szCs w:val="23"/>
        </w:rPr>
        <w:t>You cannot buy fresh fruit and vegies</w:t>
      </w:r>
      <w:r>
        <w:rPr>
          <w:rFonts w:asciiTheme="majorHAnsi" w:eastAsiaTheme="majorEastAsia" w:hAnsiTheme="majorHAnsi" w:cstheme="majorHAnsi"/>
          <w:sz w:val="23"/>
          <w:szCs w:val="23"/>
        </w:rPr>
        <w:t xml:space="preserve"> [in this area]</w:t>
      </w:r>
      <w:r w:rsidRPr="0034443E">
        <w:rPr>
          <w:rFonts w:asciiTheme="majorHAnsi" w:eastAsiaTheme="majorEastAsia" w:hAnsiTheme="majorHAnsi" w:cstheme="majorHAnsi"/>
          <w:sz w:val="23"/>
          <w:szCs w:val="23"/>
        </w:rPr>
        <w:t>, and there’s a limit on how much you can carry home [from another suburb]” (P1</w:t>
      </w:r>
      <w:r>
        <w:rPr>
          <w:rFonts w:asciiTheme="majorHAnsi" w:eastAsiaTheme="majorEastAsia" w:hAnsiTheme="majorHAnsi" w:cstheme="majorHAnsi"/>
          <w:sz w:val="23"/>
          <w:szCs w:val="23"/>
        </w:rPr>
        <w:t>1</w:t>
      </w:r>
      <w:r w:rsidRPr="0034443E">
        <w:rPr>
          <w:rFonts w:asciiTheme="majorHAnsi" w:eastAsiaTheme="majorEastAsia" w:hAnsiTheme="majorHAnsi" w:cstheme="majorHAnsi"/>
          <w:sz w:val="23"/>
          <w:szCs w:val="23"/>
        </w:rPr>
        <w:t>)</w:t>
      </w:r>
      <w:r>
        <w:rPr>
          <w:rFonts w:asciiTheme="majorHAnsi" w:eastAsiaTheme="majorEastAsia" w:hAnsiTheme="majorHAnsi" w:cstheme="majorHAnsi"/>
          <w:sz w:val="23"/>
          <w:szCs w:val="23"/>
        </w:rPr>
        <w:t>.</w:t>
      </w:r>
    </w:p>
    <w:p w14:paraId="733225ED" w14:textId="4A710DC3" w:rsidR="00813B85" w:rsidRPr="00D54EF6" w:rsidRDefault="00F02A9E" w:rsidP="00205851">
      <w:pPr>
        <w:spacing w:line="276" w:lineRule="auto"/>
        <w:rPr>
          <w:rFonts w:asciiTheme="majorHAnsi" w:eastAsiaTheme="majorEastAsia" w:hAnsiTheme="majorHAnsi" w:cstheme="majorHAnsi"/>
          <w:sz w:val="23"/>
          <w:szCs w:val="23"/>
          <w:lang w:val="en-GB"/>
        </w:rPr>
      </w:pPr>
      <w:r>
        <w:rPr>
          <w:rFonts w:asciiTheme="majorHAnsi" w:eastAsiaTheme="majorEastAsia" w:hAnsiTheme="majorHAnsi" w:cstheme="majorHAnsi"/>
          <w:sz w:val="23"/>
          <w:szCs w:val="23"/>
          <w:lang w:val="en-GB"/>
        </w:rPr>
        <w:t>Echoing</w:t>
      </w:r>
      <w:r w:rsidR="003C4634">
        <w:rPr>
          <w:rFonts w:asciiTheme="majorHAnsi" w:eastAsiaTheme="majorEastAsia" w:hAnsiTheme="majorHAnsi" w:cstheme="majorHAnsi"/>
          <w:sz w:val="23"/>
          <w:szCs w:val="23"/>
          <w:lang w:val="en-GB"/>
        </w:rPr>
        <w:t xml:space="preserve"> our</w:t>
      </w:r>
      <w:r w:rsidR="00F81E95">
        <w:rPr>
          <w:rFonts w:asciiTheme="majorHAnsi" w:eastAsiaTheme="majorEastAsia" w:hAnsiTheme="majorHAnsi" w:cstheme="majorHAnsi"/>
          <w:sz w:val="23"/>
          <w:szCs w:val="23"/>
          <w:lang w:val="en-GB"/>
        </w:rPr>
        <w:t xml:space="preserve"> findings around</w:t>
      </w:r>
      <w:r w:rsidR="00F00E3D" w:rsidRPr="0034443E">
        <w:rPr>
          <w:rFonts w:asciiTheme="majorHAnsi" w:eastAsiaTheme="majorEastAsia" w:hAnsiTheme="majorHAnsi" w:cstheme="majorHAnsi"/>
          <w:sz w:val="23"/>
          <w:szCs w:val="23"/>
          <w:lang w:val="en-GB"/>
        </w:rPr>
        <w:t xml:space="preserve"> education</w:t>
      </w:r>
      <w:r w:rsidR="00F81E95">
        <w:rPr>
          <w:rFonts w:asciiTheme="majorHAnsi" w:eastAsiaTheme="majorEastAsia" w:hAnsiTheme="majorHAnsi" w:cstheme="majorHAnsi"/>
          <w:sz w:val="23"/>
          <w:szCs w:val="23"/>
          <w:lang w:val="en-GB"/>
        </w:rPr>
        <w:t>,</w:t>
      </w:r>
      <w:r w:rsidR="00F00E3D" w:rsidRPr="0034443E">
        <w:rPr>
          <w:rFonts w:asciiTheme="majorHAnsi" w:eastAsiaTheme="majorEastAsia" w:hAnsiTheme="majorHAnsi" w:cstheme="majorHAnsi"/>
          <w:sz w:val="23"/>
          <w:szCs w:val="23"/>
          <w:lang w:val="en-GB"/>
        </w:rPr>
        <w:t xml:space="preserve"> </w:t>
      </w:r>
      <w:r w:rsidR="00F81E95">
        <w:rPr>
          <w:rFonts w:asciiTheme="majorHAnsi" w:eastAsiaTheme="majorEastAsia" w:hAnsiTheme="majorHAnsi" w:cstheme="majorHAnsi"/>
          <w:sz w:val="23"/>
          <w:szCs w:val="23"/>
          <w:lang w:val="en-GB"/>
        </w:rPr>
        <w:t xml:space="preserve">newly established </w:t>
      </w:r>
      <w:r w:rsidR="003C4634">
        <w:rPr>
          <w:rFonts w:asciiTheme="majorHAnsi" w:eastAsiaTheme="majorEastAsia" w:hAnsiTheme="majorHAnsi" w:cstheme="majorHAnsi"/>
          <w:sz w:val="23"/>
          <w:szCs w:val="23"/>
          <w:lang w:val="en-GB"/>
        </w:rPr>
        <w:t xml:space="preserve">health </w:t>
      </w:r>
      <w:r w:rsidR="00F00E3D" w:rsidRPr="0034443E">
        <w:rPr>
          <w:rFonts w:asciiTheme="majorHAnsi" w:eastAsiaTheme="majorEastAsia" w:hAnsiTheme="majorHAnsi" w:cstheme="majorHAnsi"/>
          <w:sz w:val="23"/>
          <w:szCs w:val="23"/>
          <w:lang w:val="en-GB"/>
        </w:rPr>
        <w:t>services (such as Northern Health) were perceived to be less effective during the pandemic. This was attributed to their lack of established presence or relationships with the local community</w:t>
      </w:r>
      <w:r w:rsidR="00205851">
        <w:rPr>
          <w:rFonts w:asciiTheme="majorHAnsi" w:eastAsiaTheme="majorEastAsia" w:hAnsiTheme="majorHAnsi" w:cstheme="majorHAnsi"/>
          <w:sz w:val="23"/>
          <w:szCs w:val="23"/>
          <w:lang w:val="en-GB"/>
        </w:rPr>
        <w:t>. This</w:t>
      </w:r>
      <w:r w:rsidR="00F00E3D" w:rsidRPr="0034443E">
        <w:rPr>
          <w:rFonts w:asciiTheme="majorHAnsi" w:eastAsiaTheme="majorEastAsia" w:hAnsiTheme="majorHAnsi" w:cstheme="majorHAnsi"/>
          <w:sz w:val="23"/>
          <w:szCs w:val="23"/>
          <w:lang w:val="en-GB"/>
        </w:rPr>
        <w:t xml:space="preserve"> emphasised the fundamental role of local relationship</w:t>
      </w:r>
      <w:r w:rsidR="003C4634">
        <w:rPr>
          <w:rFonts w:asciiTheme="majorHAnsi" w:eastAsiaTheme="majorEastAsia" w:hAnsiTheme="majorHAnsi" w:cstheme="majorHAnsi"/>
          <w:sz w:val="23"/>
          <w:szCs w:val="23"/>
          <w:lang w:val="en-GB"/>
        </w:rPr>
        <w:t>-building</w:t>
      </w:r>
      <w:r w:rsidR="00F00E3D" w:rsidRPr="0034443E">
        <w:rPr>
          <w:rFonts w:asciiTheme="majorHAnsi" w:eastAsiaTheme="majorEastAsia" w:hAnsiTheme="majorHAnsi" w:cstheme="majorHAnsi"/>
          <w:sz w:val="23"/>
          <w:szCs w:val="23"/>
          <w:lang w:val="en-GB"/>
        </w:rPr>
        <w:t xml:space="preserve"> to mobilise support and resources</w:t>
      </w:r>
      <w:r>
        <w:rPr>
          <w:rFonts w:asciiTheme="majorHAnsi" w:eastAsiaTheme="majorEastAsia" w:hAnsiTheme="majorHAnsi" w:cstheme="majorHAnsi"/>
          <w:sz w:val="23"/>
          <w:szCs w:val="23"/>
          <w:lang w:val="en-GB"/>
        </w:rPr>
        <w:t>, particularly in times of crisis.</w:t>
      </w:r>
    </w:p>
    <w:p w14:paraId="4D3D31A3" w14:textId="77777777" w:rsidR="00F00E3D" w:rsidRPr="00205851" w:rsidRDefault="00F00E3D" w:rsidP="00205851">
      <w:pPr>
        <w:spacing w:line="276" w:lineRule="auto"/>
        <w:rPr>
          <w:rFonts w:eastAsiaTheme="majorEastAsia" w:cstheme="majorHAnsi"/>
          <w:b/>
          <w:bCs/>
          <w:sz w:val="25"/>
          <w:szCs w:val="25"/>
          <w:lang w:val="en-GB"/>
        </w:rPr>
      </w:pPr>
      <w:r w:rsidRPr="00205851">
        <w:rPr>
          <w:rFonts w:eastAsiaTheme="majorEastAsia" w:cstheme="majorHAnsi"/>
          <w:b/>
          <w:bCs/>
          <w:sz w:val="25"/>
          <w:szCs w:val="25"/>
          <w:lang w:val="en-GB"/>
        </w:rPr>
        <w:lastRenderedPageBreak/>
        <w:t>Liveability</w:t>
      </w:r>
    </w:p>
    <w:p w14:paraId="3FA61F5E" w14:textId="6E44D82B" w:rsidR="00F00E3D" w:rsidRPr="0034443E" w:rsidRDefault="008B4AEB" w:rsidP="00205851">
      <w:pPr>
        <w:spacing w:line="276" w:lineRule="auto"/>
        <w:rPr>
          <w:rFonts w:asciiTheme="majorHAnsi" w:eastAsiaTheme="majorEastAsia" w:hAnsiTheme="majorHAnsi" w:cstheme="majorHAnsi"/>
          <w:sz w:val="23"/>
          <w:szCs w:val="23"/>
          <w:lang w:val="en-GB"/>
        </w:rPr>
      </w:pPr>
      <w:r>
        <w:rPr>
          <w:rFonts w:asciiTheme="majorHAnsi" w:eastAsiaTheme="majorEastAsia" w:hAnsiTheme="majorHAnsi" w:cstheme="majorHAnsi"/>
          <w:sz w:val="23"/>
          <w:szCs w:val="23"/>
          <w:lang w:val="en-GB"/>
        </w:rPr>
        <w:t xml:space="preserve">In </w:t>
      </w:r>
      <w:r w:rsidR="00205851">
        <w:rPr>
          <w:rFonts w:asciiTheme="majorHAnsi" w:eastAsiaTheme="majorEastAsia" w:hAnsiTheme="majorHAnsi" w:cstheme="majorHAnsi"/>
          <w:sz w:val="23"/>
          <w:szCs w:val="23"/>
          <w:lang w:val="en-GB"/>
        </w:rPr>
        <w:t>Victoria the most intense phase of the</w:t>
      </w:r>
      <w:r w:rsidR="00F00E3D" w:rsidRPr="0034443E">
        <w:rPr>
          <w:rFonts w:asciiTheme="majorHAnsi" w:eastAsiaTheme="majorEastAsia" w:hAnsiTheme="majorHAnsi" w:cstheme="majorHAnsi"/>
          <w:sz w:val="23"/>
          <w:szCs w:val="23"/>
          <w:lang w:val="en-GB"/>
        </w:rPr>
        <w:t xml:space="preserve"> pandemic occurred over the winter months, when community members </w:t>
      </w:r>
      <w:r w:rsidR="00205851">
        <w:rPr>
          <w:rFonts w:asciiTheme="majorHAnsi" w:eastAsiaTheme="majorEastAsia" w:hAnsiTheme="majorHAnsi" w:cstheme="majorHAnsi"/>
          <w:sz w:val="23"/>
          <w:szCs w:val="23"/>
          <w:lang w:val="en-GB"/>
        </w:rPr>
        <w:t>were already</w:t>
      </w:r>
      <w:r w:rsidR="00F00E3D" w:rsidRPr="0034443E">
        <w:rPr>
          <w:rFonts w:asciiTheme="majorHAnsi" w:eastAsiaTheme="majorEastAsia" w:hAnsiTheme="majorHAnsi" w:cstheme="majorHAnsi"/>
          <w:sz w:val="23"/>
          <w:szCs w:val="23"/>
          <w:lang w:val="en-GB"/>
        </w:rPr>
        <w:t xml:space="preserve"> less likely to be engaging in activities outdoors. Mandated confinement in poorly ventilated environments potentially increased the risk of </w:t>
      </w:r>
      <w:r w:rsidR="00940D80" w:rsidRPr="0034443E">
        <w:rPr>
          <w:rFonts w:asciiTheme="majorHAnsi" w:eastAsiaTheme="majorEastAsia" w:hAnsiTheme="majorHAnsi" w:cstheme="majorHAnsi"/>
          <w:sz w:val="23"/>
          <w:szCs w:val="23"/>
          <w:lang w:val="en-GB"/>
        </w:rPr>
        <w:t>COVID</w:t>
      </w:r>
      <w:r w:rsidR="00F00E3D" w:rsidRPr="0034443E">
        <w:rPr>
          <w:rFonts w:asciiTheme="majorHAnsi" w:eastAsiaTheme="majorEastAsia" w:hAnsiTheme="majorHAnsi" w:cstheme="majorHAnsi"/>
          <w:sz w:val="23"/>
          <w:szCs w:val="23"/>
          <w:lang w:val="en-GB"/>
        </w:rPr>
        <w:t xml:space="preserve"> transmission, physical and mental inactivity</w:t>
      </w:r>
      <w:r w:rsidR="00205851">
        <w:rPr>
          <w:rFonts w:asciiTheme="majorHAnsi" w:eastAsiaTheme="majorEastAsia" w:hAnsiTheme="majorHAnsi" w:cstheme="majorHAnsi"/>
          <w:sz w:val="23"/>
          <w:szCs w:val="23"/>
          <w:lang w:val="en-GB"/>
        </w:rPr>
        <w:t>,</w:t>
      </w:r>
      <w:r w:rsidR="00F00E3D" w:rsidRPr="0034443E">
        <w:rPr>
          <w:rFonts w:asciiTheme="majorHAnsi" w:eastAsiaTheme="majorEastAsia" w:hAnsiTheme="majorHAnsi" w:cstheme="majorHAnsi"/>
          <w:sz w:val="23"/>
          <w:szCs w:val="23"/>
          <w:lang w:val="en-GB"/>
        </w:rPr>
        <w:t xml:space="preserve"> and social isolation. </w:t>
      </w:r>
      <w:r>
        <w:rPr>
          <w:rFonts w:asciiTheme="majorHAnsi" w:eastAsiaTheme="majorEastAsia" w:hAnsiTheme="majorHAnsi" w:cstheme="majorHAnsi"/>
          <w:sz w:val="23"/>
          <w:szCs w:val="23"/>
          <w:lang w:val="en-GB"/>
        </w:rPr>
        <w:t>The</w:t>
      </w:r>
      <w:r w:rsidRPr="0034443E">
        <w:rPr>
          <w:rFonts w:asciiTheme="majorHAnsi" w:eastAsiaTheme="majorEastAsia" w:hAnsiTheme="majorHAnsi" w:cstheme="majorHAnsi"/>
          <w:sz w:val="23"/>
          <w:szCs w:val="23"/>
          <w:lang w:val="en-GB"/>
        </w:rPr>
        <w:t xml:space="preserve"> </w:t>
      </w:r>
      <w:r>
        <w:rPr>
          <w:rFonts w:asciiTheme="majorHAnsi" w:eastAsiaTheme="majorEastAsia" w:hAnsiTheme="majorHAnsi" w:cstheme="majorHAnsi"/>
          <w:sz w:val="23"/>
          <w:szCs w:val="23"/>
          <w:lang w:val="en-GB"/>
        </w:rPr>
        <w:t xml:space="preserve">community’s </w:t>
      </w:r>
      <w:r w:rsidRPr="0034443E">
        <w:rPr>
          <w:rFonts w:asciiTheme="majorHAnsi" w:eastAsiaTheme="majorEastAsia" w:hAnsiTheme="majorHAnsi" w:cstheme="majorHAnsi"/>
          <w:sz w:val="23"/>
          <w:szCs w:val="23"/>
          <w:lang w:val="en-GB"/>
        </w:rPr>
        <w:t xml:space="preserve">pandemic experience was also embedded within deeper time contexts related to seasons and yearly events. </w:t>
      </w:r>
      <w:r w:rsidR="00331E62">
        <w:rPr>
          <w:rFonts w:asciiTheme="majorHAnsi" w:eastAsiaTheme="majorEastAsia" w:hAnsiTheme="majorHAnsi" w:cstheme="majorHAnsi"/>
          <w:sz w:val="23"/>
          <w:szCs w:val="23"/>
          <w:lang w:val="en-GB"/>
        </w:rPr>
        <w:t>Agencies identified C</w:t>
      </w:r>
      <w:r w:rsidR="00F00E3D" w:rsidRPr="0034443E">
        <w:rPr>
          <w:rFonts w:asciiTheme="majorHAnsi" w:eastAsiaTheme="majorEastAsia" w:hAnsiTheme="majorHAnsi" w:cstheme="majorHAnsi"/>
          <w:sz w:val="23"/>
          <w:szCs w:val="23"/>
          <w:lang w:val="en-GB"/>
        </w:rPr>
        <w:t xml:space="preserve">hristmas as a particularly vulnerable time and </w:t>
      </w:r>
      <w:r>
        <w:rPr>
          <w:rFonts w:asciiTheme="majorHAnsi" w:eastAsiaTheme="majorEastAsia" w:hAnsiTheme="majorHAnsi" w:cstheme="majorHAnsi"/>
          <w:sz w:val="23"/>
          <w:szCs w:val="23"/>
          <w:lang w:val="en-GB"/>
        </w:rPr>
        <w:t xml:space="preserve">put </w:t>
      </w:r>
      <w:r w:rsidR="00F00E3D" w:rsidRPr="0034443E">
        <w:rPr>
          <w:rFonts w:asciiTheme="majorHAnsi" w:eastAsiaTheme="majorEastAsia" w:hAnsiTheme="majorHAnsi" w:cstheme="majorHAnsi"/>
          <w:sz w:val="23"/>
          <w:szCs w:val="23"/>
          <w:lang w:val="en-GB"/>
        </w:rPr>
        <w:t xml:space="preserve">extra support in place to ensure community members </w:t>
      </w:r>
      <w:r>
        <w:rPr>
          <w:rFonts w:asciiTheme="majorHAnsi" w:eastAsiaTheme="majorEastAsia" w:hAnsiTheme="majorHAnsi" w:cstheme="majorHAnsi"/>
          <w:sz w:val="23"/>
          <w:szCs w:val="23"/>
          <w:lang w:val="en-GB"/>
        </w:rPr>
        <w:t>who normally</w:t>
      </w:r>
      <w:r w:rsidR="00F00E3D" w:rsidRPr="0034443E">
        <w:rPr>
          <w:rFonts w:asciiTheme="majorHAnsi" w:eastAsiaTheme="majorEastAsia" w:hAnsiTheme="majorHAnsi" w:cstheme="majorHAnsi"/>
          <w:sz w:val="23"/>
          <w:szCs w:val="23"/>
          <w:lang w:val="en-GB"/>
        </w:rPr>
        <w:t xml:space="preserve"> participate in this </w:t>
      </w:r>
      <w:r>
        <w:rPr>
          <w:rFonts w:asciiTheme="majorHAnsi" w:eastAsiaTheme="majorEastAsia" w:hAnsiTheme="majorHAnsi" w:cstheme="majorHAnsi"/>
          <w:sz w:val="23"/>
          <w:szCs w:val="23"/>
          <w:lang w:val="en-GB"/>
        </w:rPr>
        <w:t>celebration were not left out</w:t>
      </w:r>
      <w:r w:rsidR="00F00E3D" w:rsidRPr="0034443E">
        <w:rPr>
          <w:rFonts w:asciiTheme="majorHAnsi" w:eastAsiaTheme="majorEastAsia" w:hAnsiTheme="majorHAnsi" w:cstheme="majorHAnsi"/>
          <w:sz w:val="23"/>
          <w:szCs w:val="23"/>
          <w:lang w:val="en-GB"/>
        </w:rPr>
        <w:t xml:space="preserve">. </w:t>
      </w:r>
    </w:p>
    <w:p w14:paraId="630E3B3A" w14:textId="2943ACF2" w:rsidR="00F00E3D" w:rsidRPr="0034443E" w:rsidRDefault="00F00E3D" w:rsidP="003A5E21">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The biggest liveability issue identified by</w:t>
      </w:r>
      <w:r w:rsidR="001733D3">
        <w:rPr>
          <w:rFonts w:asciiTheme="majorHAnsi" w:eastAsiaTheme="majorEastAsia" w:hAnsiTheme="majorHAnsi" w:cstheme="majorHAnsi"/>
          <w:sz w:val="23"/>
          <w:szCs w:val="23"/>
          <w:lang w:val="en-GB"/>
        </w:rPr>
        <w:t xml:space="preserve"> our</w:t>
      </w:r>
      <w:r w:rsidRPr="0034443E">
        <w:rPr>
          <w:rFonts w:asciiTheme="majorHAnsi" w:eastAsiaTheme="majorEastAsia" w:hAnsiTheme="majorHAnsi" w:cstheme="majorHAnsi"/>
          <w:sz w:val="23"/>
          <w:szCs w:val="23"/>
          <w:lang w:val="en-GB"/>
        </w:rPr>
        <w:t xml:space="preserve"> interviewees was poor or completely lacking digital </w:t>
      </w:r>
      <w:r w:rsidR="008B4AEB">
        <w:rPr>
          <w:rFonts w:asciiTheme="majorHAnsi" w:eastAsiaTheme="majorEastAsia" w:hAnsiTheme="majorHAnsi" w:cstheme="majorHAnsi"/>
          <w:sz w:val="23"/>
          <w:szCs w:val="23"/>
          <w:lang w:val="en-GB"/>
        </w:rPr>
        <w:t>engagement</w:t>
      </w:r>
      <w:r w:rsidR="001733D3">
        <w:rPr>
          <w:rFonts w:asciiTheme="majorHAnsi" w:eastAsiaTheme="majorEastAsia" w:hAnsiTheme="majorHAnsi" w:cstheme="majorHAnsi"/>
          <w:sz w:val="23"/>
          <w:szCs w:val="23"/>
          <w:lang w:val="en-GB"/>
        </w:rPr>
        <w:t>/connection</w:t>
      </w:r>
      <w:r w:rsidRPr="0034443E">
        <w:rPr>
          <w:rFonts w:asciiTheme="majorHAnsi" w:eastAsiaTheme="majorEastAsia" w:hAnsiTheme="majorHAnsi" w:cstheme="majorHAnsi"/>
          <w:sz w:val="23"/>
          <w:szCs w:val="23"/>
          <w:lang w:val="en-GB"/>
        </w:rPr>
        <w:t xml:space="preserve">. Digital exclusion </w:t>
      </w:r>
      <w:r w:rsidR="001733D3">
        <w:rPr>
          <w:rFonts w:asciiTheme="majorHAnsi" w:eastAsiaTheme="majorEastAsia" w:hAnsiTheme="majorHAnsi" w:cstheme="majorHAnsi"/>
          <w:sz w:val="23"/>
          <w:szCs w:val="23"/>
          <w:lang w:val="en-GB"/>
        </w:rPr>
        <w:t>is evidently a major issue in these localities, and was</w:t>
      </w:r>
      <w:r w:rsidRPr="0034443E">
        <w:rPr>
          <w:rFonts w:asciiTheme="majorHAnsi" w:eastAsiaTheme="majorEastAsia" w:hAnsiTheme="majorHAnsi" w:cstheme="majorHAnsi"/>
          <w:sz w:val="23"/>
          <w:szCs w:val="23"/>
          <w:lang w:val="en-GB"/>
        </w:rPr>
        <w:t xml:space="preserve"> understood to comprise of multiple factors, including a lack of digital literacy, limited access to </w:t>
      </w:r>
      <w:r w:rsidR="00A25DF4">
        <w:rPr>
          <w:rFonts w:asciiTheme="majorHAnsi" w:eastAsiaTheme="majorEastAsia" w:hAnsiTheme="majorHAnsi" w:cstheme="majorHAnsi"/>
          <w:sz w:val="23"/>
          <w:szCs w:val="23"/>
          <w:lang w:val="en-GB"/>
        </w:rPr>
        <w:t>digital technologies</w:t>
      </w:r>
      <w:r w:rsidR="00D05824">
        <w:rPr>
          <w:rFonts w:asciiTheme="majorHAnsi" w:eastAsiaTheme="majorEastAsia" w:hAnsiTheme="majorHAnsi" w:cstheme="majorHAnsi"/>
          <w:sz w:val="23"/>
          <w:szCs w:val="23"/>
          <w:lang w:val="en-GB"/>
        </w:rPr>
        <w:t xml:space="preserve"> and platforms</w:t>
      </w:r>
      <w:r w:rsidRPr="0034443E">
        <w:rPr>
          <w:rFonts w:asciiTheme="majorHAnsi" w:eastAsiaTheme="majorEastAsia" w:hAnsiTheme="majorHAnsi" w:cstheme="majorHAnsi"/>
          <w:sz w:val="23"/>
          <w:szCs w:val="23"/>
          <w:lang w:val="en-GB"/>
        </w:rPr>
        <w:t xml:space="preserve">, and affordability issues around </w:t>
      </w:r>
      <w:r w:rsidR="00A25DF4">
        <w:rPr>
          <w:rFonts w:asciiTheme="majorHAnsi" w:eastAsiaTheme="majorEastAsia" w:hAnsiTheme="majorHAnsi" w:cstheme="majorHAnsi"/>
          <w:sz w:val="23"/>
          <w:szCs w:val="23"/>
          <w:lang w:val="en-GB"/>
        </w:rPr>
        <w:t xml:space="preserve">both </w:t>
      </w:r>
      <w:r w:rsidRPr="0034443E">
        <w:rPr>
          <w:rFonts w:asciiTheme="majorHAnsi" w:eastAsiaTheme="majorEastAsia" w:hAnsiTheme="majorHAnsi" w:cstheme="majorHAnsi"/>
          <w:sz w:val="23"/>
          <w:szCs w:val="23"/>
          <w:lang w:val="en-GB"/>
        </w:rPr>
        <w:t>data allowances</w:t>
      </w:r>
      <w:r w:rsidR="00A25DF4">
        <w:rPr>
          <w:rFonts w:asciiTheme="majorHAnsi" w:eastAsiaTheme="majorEastAsia" w:hAnsiTheme="majorHAnsi" w:cstheme="majorHAnsi"/>
          <w:sz w:val="23"/>
          <w:szCs w:val="23"/>
          <w:lang w:val="en-GB"/>
        </w:rPr>
        <w:t xml:space="preserve"> and equipment</w:t>
      </w:r>
      <w:r w:rsidRPr="0034443E">
        <w:rPr>
          <w:rFonts w:asciiTheme="majorHAnsi" w:eastAsiaTheme="majorEastAsia" w:hAnsiTheme="majorHAnsi" w:cstheme="majorHAnsi"/>
          <w:sz w:val="23"/>
          <w:szCs w:val="23"/>
          <w:lang w:val="en-GB"/>
        </w:rPr>
        <w:t xml:space="preserve">. </w:t>
      </w:r>
      <w:r w:rsidR="00CE1963">
        <w:rPr>
          <w:rFonts w:asciiTheme="majorHAnsi" w:eastAsiaTheme="majorEastAsia" w:hAnsiTheme="majorHAnsi" w:cstheme="majorHAnsi"/>
          <w:sz w:val="23"/>
          <w:szCs w:val="23"/>
          <w:lang w:val="en-GB"/>
        </w:rPr>
        <w:t>These barriers meant many</w:t>
      </w:r>
      <w:r w:rsidRPr="0034443E">
        <w:rPr>
          <w:rFonts w:asciiTheme="majorHAnsi" w:eastAsiaTheme="majorEastAsia" w:hAnsiTheme="majorHAnsi" w:cstheme="majorHAnsi"/>
          <w:sz w:val="23"/>
          <w:szCs w:val="23"/>
          <w:lang w:val="en-GB"/>
        </w:rPr>
        <w:t xml:space="preserve"> communit</w:t>
      </w:r>
      <w:r w:rsidR="00D05824">
        <w:rPr>
          <w:rFonts w:asciiTheme="majorHAnsi" w:eastAsiaTheme="majorEastAsia" w:hAnsiTheme="majorHAnsi" w:cstheme="majorHAnsi"/>
          <w:sz w:val="23"/>
          <w:szCs w:val="23"/>
          <w:lang w:val="en-GB"/>
        </w:rPr>
        <w:t>y members were</w:t>
      </w:r>
      <w:r w:rsidRPr="0034443E">
        <w:rPr>
          <w:rFonts w:asciiTheme="majorHAnsi" w:eastAsiaTheme="majorEastAsia" w:hAnsiTheme="majorHAnsi" w:cstheme="majorHAnsi"/>
          <w:sz w:val="23"/>
          <w:szCs w:val="23"/>
          <w:lang w:val="en-GB"/>
        </w:rPr>
        <w:t xml:space="preserve"> unable to access important public health information</w:t>
      </w:r>
      <w:r w:rsidR="00C466E1">
        <w:rPr>
          <w:rFonts w:asciiTheme="majorHAnsi" w:eastAsiaTheme="majorEastAsia" w:hAnsiTheme="majorHAnsi" w:cstheme="majorHAnsi"/>
          <w:sz w:val="23"/>
          <w:szCs w:val="23"/>
          <w:lang w:val="en-GB"/>
        </w:rPr>
        <w:t xml:space="preserve">, connect with services, </w:t>
      </w:r>
      <w:r w:rsidR="007770F5">
        <w:rPr>
          <w:rFonts w:asciiTheme="majorHAnsi" w:eastAsiaTheme="majorEastAsia" w:hAnsiTheme="majorHAnsi" w:cstheme="majorHAnsi"/>
          <w:sz w:val="23"/>
          <w:szCs w:val="23"/>
          <w:lang w:val="en-GB"/>
        </w:rPr>
        <w:t>remain connected to friends and family living outside the area</w:t>
      </w:r>
      <w:r w:rsidR="00C466E1">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or apply for some of the support initiatives (such as the energy allowance) offered by State and Federal governments. </w:t>
      </w:r>
    </w:p>
    <w:p w14:paraId="3403175B" w14:textId="6A8456A3" w:rsidR="00F00E3D" w:rsidRPr="0034443E" w:rsidRDefault="00F00E3D" w:rsidP="00F30A98">
      <w:pPr>
        <w:spacing w:line="276" w:lineRule="auto"/>
        <w:ind w:left="720"/>
        <w:rPr>
          <w:rFonts w:asciiTheme="majorHAnsi" w:eastAsiaTheme="majorEastAsia" w:hAnsiTheme="majorHAnsi" w:cstheme="majorBidi"/>
          <w:sz w:val="23"/>
          <w:szCs w:val="23"/>
        </w:rPr>
      </w:pPr>
      <w:r w:rsidRPr="701B9583">
        <w:rPr>
          <w:rFonts w:asciiTheme="majorHAnsi" w:eastAsiaTheme="majorEastAsia" w:hAnsiTheme="majorHAnsi" w:cstheme="majorBidi"/>
          <w:sz w:val="23"/>
          <w:szCs w:val="23"/>
        </w:rPr>
        <w:t>There was a loss of connection to one another. This area has low digital inclusion, and low accessibility. If people did have connectivity, they couldn’t rely on it. Affordability is an issue for a lot of people. And some have missed the boat on new technologies. It’s too hard, they don’t have the headspace for it (P11)</w:t>
      </w:r>
      <w:r w:rsidR="746BB618" w:rsidRPr="701B9583">
        <w:rPr>
          <w:rFonts w:asciiTheme="majorHAnsi" w:eastAsiaTheme="majorEastAsia" w:hAnsiTheme="majorHAnsi" w:cstheme="majorBidi"/>
          <w:sz w:val="23"/>
          <w:szCs w:val="23"/>
        </w:rPr>
        <w:t>.</w:t>
      </w:r>
    </w:p>
    <w:p w14:paraId="75A3DE7D" w14:textId="5DF71F94" w:rsidR="00F00E3D" w:rsidRPr="0034443E" w:rsidRDefault="000C0113" w:rsidP="00F30A98">
      <w:pPr>
        <w:spacing w:line="276" w:lineRule="auto"/>
        <w:rPr>
          <w:rFonts w:asciiTheme="majorHAnsi" w:eastAsiaTheme="majorEastAsia" w:hAnsiTheme="majorHAnsi" w:cstheme="majorHAnsi"/>
          <w:sz w:val="23"/>
          <w:szCs w:val="23"/>
          <w:lang w:val="en-GB"/>
        </w:rPr>
      </w:pPr>
      <w:r>
        <w:rPr>
          <w:rFonts w:asciiTheme="majorHAnsi" w:eastAsiaTheme="majorEastAsia" w:hAnsiTheme="majorHAnsi" w:cstheme="majorHAnsi"/>
          <w:sz w:val="23"/>
          <w:szCs w:val="23"/>
          <w:lang w:val="en-GB"/>
        </w:rPr>
        <w:t>Most</w:t>
      </w:r>
      <w:r w:rsidR="00F00E3D" w:rsidRPr="0034443E">
        <w:rPr>
          <w:rFonts w:asciiTheme="majorHAnsi" w:eastAsiaTheme="majorEastAsia" w:hAnsiTheme="majorHAnsi" w:cstheme="majorHAnsi"/>
          <w:sz w:val="23"/>
          <w:szCs w:val="23"/>
          <w:lang w:val="en-GB"/>
        </w:rPr>
        <w:t xml:space="preserve"> public </w:t>
      </w:r>
      <w:r w:rsidR="0018129F">
        <w:rPr>
          <w:rFonts w:asciiTheme="majorHAnsi" w:eastAsiaTheme="majorEastAsia" w:hAnsiTheme="majorHAnsi" w:cstheme="majorHAnsi"/>
          <w:sz w:val="23"/>
          <w:szCs w:val="23"/>
          <w:lang w:val="en-GB"/>
        </w:rPr>
        <w:t>facilities</w:t>
      </w:r>
      <w:r w:rsidR="00F00E3D" w:rsidRPr="0034443E">
        <w:rPr>
          <w:rFonts w:asciiTheme="majorHAnsi" w:eastAsiaTheme="majorEastAsia" w:hAnsiTheme="majorHAnsi" w:cstheme="majorHAnsi"/>
          <w:sz w:val="23"/>
          <w:szCs w:val="23"/>
          <w:lang w:val="en-GB"/>
        </w:rPr>
        <w:t xml:space="preserve"> (including </w:t>
      </w:r>
      <w:r w:rsidR="003A5E21">
        <w:rPr>
          <w:rFonts w:asciiTheme="majorHAnsi" w:eastAsiaTheme="majorEastAsia" w:hAnsiTheme="majorHAnsi" w:cstheme="majorHAnsi"/>
          <w:sz w:val="23"/>
          <w:szCs w:val="23"/>
          <w:lang w:val="en-GB"/>
        </w:rPr>
        <w:t xml:space="preserve">service </w:t>
      </w:r>
      <w:r w:rsidR="00F00E3D" w:rsidRPr="0034443E">
        <w:rPr>
          <w:rFonts w:asciiTheme="majorHAnsi" w:eastAsiaTheme="majorEastAsia" w:hAnsiTheme="majorHAnsi" w:cstheme="majorHAnsi"/>
          <w:sz w:val="23"/>
          <w:szCs w:val="23"/>
          <w:lang w:val="en-GB"/>
        </w:rPr>
        <w:t>agencies, retail</w:t>
      </w:r>
      <w:r w:rsidR="007770F5">
        <w:rPr>
          <w:rFonts w:asciiTheme="majorHAnsi" w:eastAsiaTheme="majorEastAsia" w:hAnsiTheme="majorHAnsi" w:cstheme="majorHAnsi"/>
          <w:sz w:val="23"/>
          <w:szCs w:val="23"/>
          <w:lang w:val="en-GB"/>
        </w:rPr>
        <w:t>,</w:t>
      </w:r>
      <w:r w:rsidR="00F00E3D" w:rsidRPr="0034443E">
        <w:rPr>
          <w:rFonts w:asciiTheme="majorHAnsi" w:eastAsiaTheme="majorEastAsia" w:hAnsiTheme="majorHAnsi" w:cstheme="majorHAnsi"/>
          <w:sz w:val="23"/>
          <w:szCs w:val="23"/>
          <w:lang w:val="en-GB"/>
        </w:rPr>
        <w:t xml:space="preserve"> and </w:t>
      </w:r>
      <w:r w:rsidR="00D67D12">
        <w:rPr>
          <w:rFonts w:asciiTheme="majorHAnsi" w:eastAsiaTheme="majorEastAsia" w:hAnsiTheme="majorHAnsi" w:cstheme="majorHAnsi"/>
          <w:sz w:val="23"/>
          <w:szCs w:val="23"/>
          <w:lang w:val="en-GB"/>
        </w:rPr>
        <w:t>recreational</w:t>
      </w:r>
      <w:r w:rsidR="00F00E3D" w:rsidRPr="0034443E">
        <w:rPr>
          <w:rFonts w:asciiTheme="majorHAnsi" w:eastAsiaTheme="majorEastAsia" w:hAnsiTheme="majorHAnsi" w:cstheme="majorHAnsi"/>
          <w:sz w:val="23"/>
          <w:szCs w:val="23"/>
          <w:lang w:val="en-GB"/>
        </w:rPr>
        <w:t xml:space="preserve"> facilities) were closed </w:t>
      </w:r>
      <w:r w:rsidR="003A5E21">
        <w:rPr>
          <w:rFonts w:asciiTheme="majorHAnsi" w:eastAsiaTheme="majorEastAsia" w:hAnsiTheme="majorHAnsi" w:cstheme="majorHAnsi"/>
          <w:sz w:val="23"/>
          <w:szCs w:val="23"/>
          <w:lang w:val="en-GB"/>
        </w:rPr>
        <w:t>for months during the</w:t>
      </w:r>
      <w:r w:rsidR="00F00E3D" w:rsidRPr="0034443E">
        <w:rPr>
          <w:rFonts w:asciiTheme="majorHAnsi" w:eastAsiaTheme="majorEastAsia" w:hAnsiTheme="majorHAnsi" w:cstheme="majorHAnsi"/>
          <w:sz w:val="23"/>
          <w:szCs w:val="23"/>
          <w:lang w:val="en-GB"/>
        </w:rPr>
        <w:t xml:space="preserve"> pandemic due to social distancing and public health orders.</w:t>
      </w:r>
      <w:r w:rsidR="00F30A98">
        <w:rPr>
          <w:rFonts w:asciiTheme="majorHAnsi" w:eastAsiaTheme="majorEastAsia" w:hAnsiTheme="majorHAnsi" w:cstheme="majorHAnsi"/>
          <w:sz w:val="23"/>
          <w:szCs w:val="23"/>
          <w:lang w:val="en-GB"/>
        </w:rPr>
        <w:t xml:space="preserve"> </w:t>
      </w:r>
      <w:r w:rsidR="00945FDB">
        <w:rPr>
          <w:rFonts w:asciiTheme="majorHAnsi" w:eastAsiaTheme="majorEastAsia" w:hAnsiTheme="majorHAnsi" w:cstheme="majorHAnsi"/>
          <w:sz w:val="23"/>
          <w:szCs w:val="23"/>
          <w:lang w:val="en-GB"/>
        </w:rPr>
        <w:t xml:space="preserve">As foot traffic reduced and </w:t>
      </w:r>
      <w:r w:rsidR="00F052C0">
        <w:rPr>
          <w:rFonts w:asciiTheme="majorHAnsi" w:eastAsiaTheme="majorEastAsia" w:hAnsiTheme="majorHAnsi" w:cstheme="majorHAnsi"/>
          <w:sz w:val="23"/>
          <w:szCs w:val="23"/>
          <w:lang w:val="en-GB"/>
        </w:rPr>
        <w:t>movement was restricted</w:t>
      </w:r>
      <w:r w:rsidR="00945FDB">
        <w:rPr>
          <w:rFonts w:asciiTheme="majorHAnsi" w:eastAsiaTheme="majorEastAsia" w:hAnsiTheme="majorHAnsi" w:cstheme="majorHAnsi"/>
          <w:sz w:val="23"/>
          <w:szCs w:val="23"/>
          <w:lang w:val="en-GB"/>
        </w:rPr>
        <w:t xml:space="preserve">, many </w:t>
      </w:r>
      <w:r w:rsidR="00F052C0">
        <w:rPr>
          <w:rFonts w:asciiTheme="majorHAnsi" w:eastAsiaTheme="majorEastAsia" w:hAnsiTheme="majorHAnsi" w:cstheme="majorHAnsi"/>
          <w:sz w:val="23"/>
          <w:szCs w:val="23"/>
          <w:lang w:val="en-GB"/>
        </w:rPr>
        <w:t xml:space="preserve">local </w:t>
      </w:r>
      <w:r w:rsidR="00945FDB">
        <w:rPr>
          <w:rFonts w:asciiTheme="majorHAnsi" w:eastAsiaTheme="majorEastAsia" w:hAnsiTheme="majorHAnsi" w:cstheme="majorHAnsi"/>
          <w:sz w:val="23"/>
          <w:szCs w:val="23"/>
          <w:lang w:val="en-GB"/>
        </w:rPr>
        <w:t>s</w:t>
      </w:r>
      <w:r w:rsidR="00F30A98">
        <w:rPr>
          <w:rFonts w:asciiTheme="majorHAnsi" w:eastAsiaTheme="majorEastAsia" w:hAnsiTheme="majorHAnsi" w:cstheme="majorHAnsi"/>
          <w:sz w:val="23"/>
          <w:szCs w:val="23"/>
          <w:lang w:val="en-GB"/>
        </w:rPr>
        <w:t xml:space="preserve">treets and public spaces </w:t>
      </w:r>
      <w:r w:rsidR="00945FDB">
        <w:rPr>
          <w:rFonts w:asciiTheme="majorHAnsi" w:eastAsiaTheme="majorEastAsia" w:hAnsiTheme="majorHAnsi" w:cstheme="majorHAnsi"/>
          <w:sz w:val="23"/>
          <w:szCs w:val="23"/>
          <w:lang w:val="en-GB"/>
        </w:rPr>
        <w:t xml:space="preserve">became </w:t>
      </w:r>
      <w:r w:rsidR="00F052C0">
        <w:rPr>
          <w:rFonts w:asciiTheme="majorHAnsi" w:eastAsiaTheme="majorEastAsia" w:hAnsiTheme="majorHAnsi" w:cstheme="majorHAnsi"/>
          <w:sz w:val="23"/>
          <w:szCs w:val="23"/>
          <w:lang w:val="en-GB"/>
        </w:rPr>
        <w:t>virtually</w:t>
      </w:r>
      <w:r w:rsidR="00945FDB">
        <w:rPr>
          <w:rFonts w:asciiTheme="majorHAnsi" w:eastAsiaTheme="majorEastAsia" w:hAnsiTheme="majorHAnsi" w:cstheme="majorHAnsi"/>
          <w:sz w:val="23"/>
          <w:szCs w:val="23"/>
          <w:lang w:val="en-GB"/>
        </w:rPr>
        <w:t xml:space="preserve"> deserted.</w:t>
      </w:r>
      <w:r w:rsidR="00F00E3D" w:rsidRPr="0034443E">
        <w:rPr>
          <w:rFonts w:asciiTheme="majorHAnsi" w:eastAsiaTheme="majorEastAsia" w:hAnsiTheme="majorHAnsi" w:cstheme="majorHAnsi"/>
          <w:sz w:val="23"/>
          <w:szCs w:val="23"/>
          <w:lang w:val="en-GB"/>
        </w:rPr>
        <w:t xml:space="preserve"> Interviewees commented on the psychosocial impact of usually </w:t>
      </w:r>
      <w:r w:rsidR="00D67D12">
        <w:rPr>
          <w:rFonts w:asciiTheme="majorHAnsi" w:eastAsiaTheme="majorEastAsia" w:hAnsiTheme="majorHAnsi" w:cstheme="majorHAnsi"/>
          <w:sz w:val="23"/>
          <w:szCs w:val="23"/>
          <w:lang w:val="en-GB"/>
        </w:rPr>
        <w:t>busy public spaces</w:t>
      </w:r>
      <w:r w:rsidR="0018129F">
        <w:rPr>
          <w:rFonts w:asciiTheme="majorHAnsi" w:eastAsiaTheme="majorEastAsia" w:hAnsiTheme="majorHAnsi" w:cstheme="majorHAnsi"/>
          <w:sz w:val="23"/>
          <w:szCs w:val="23"/>
          <w:lang w:val="en-GB"/>
        </w:rPr>
        <w:t xml:space="preserve"> being empty</w:t>
      </w:r>
      <w:r w:rsidR="00F00E3D" w:rsidRPr="0034443E">
        <w:rPr>
          <w:rFonts w:asciiTheme="majorHAnsi" w:eastAsiaTheme="majorEastAsia" w:hAnsiTheme="majorHAnsi" w:cstheme="majorHAnsi"/>
          <w:sz w:val="23"/>
          <w:szCs w:val="23"/>
          <w:lang w:val="en-GB"/>
        </w:rPr>
        <w:t xml:space="preserve">, which </w:t>
      </w:r>
      <w:r w:rsidR="00F052C0">
        <w:rPr>
          <w:rFonts w:asciiTheme="majorHAnsi" w:eastAsiaTheme="majorEastAsia" w:hAnsiTheme="majorHAnsi" w:cstheme="majorHAnsi"/>
          <w:sz w:val="23"/>
          <w:szCs w:val="23"/>
          <w:lang w:val="en-GB"/>
        </w:rPr>
        <w:t>increased</w:t>
      </w:r>
      <w:r w:rsidR="00F00E3D" w:rsidRPr="0034443E">
        <w:rPr>
          <w:rFonts w:asciiTheme="majorHAnsi" w:eastAsiaTheme="majorEastAsia" w:hAnsiTheme="majorHAnsi" w:cstheme="majorHAnsi"/>
          <w:sz w:val="23"/>
          <w:szCs w:val="23"/>
          <w:lang w:val="en-GB"/>
        </w:rPr>
        <w:t xml:space="preserve"> perceptions of them being uninviting and unsafe </w:t>
      </w:r>
      <w:r w:rsidR="00D67D12">
        <w:rPr>
          <w:rFonts w:asciiTheme="majorHAnsi" w:eastAsiaTheme="majorEastAsia" w:hAnsiTheme="majorHAnsi" w:cstheme="majorHAnsi"/>
          <w:sz w:val="23"/>
          <w:szCs w:val="23"/>
          <w:lang w:val="en-GB"/>
        </w:rPr>
        <w:t>(</w:t>
      </w:r>
      <w:r w:rsidR="00F00E3D" w:rsidRPr="0034443E">
        <w:rPr>
          <w:rFonts w:asciiTheme="majorHAnsi" w:eastAsiaTheme="majorEastAsia" w:hAnsiTheme="majorHAnsi" w:cstheme="majorHAnsi"/>
          <w:sz w:val="23"/>
          <w:szCs w:val="23"/>
          <w:lang w:val="en-GB"/>
        </w:rPr>
        <w:t>“People were scared to go out”</w:t>
      </w:r>
      <w:r w:rsidR="00D67D12">
        <w:rPr>
          <w:rFonts w:asciiTheme="majorHAnsi" w:eastAsiaTheme="majorEastAsia" w:hAnsiTheme="majorHAnsi" w:cstheme="majorHAnsi"/>
          <w:sz w:val="23"/>
          <w:szCs w:val="23"/>
          <w:lang w:val="en-GB"/>
        </w:rPr>
        <w:t xml:space="preserve"> – </w:t>
      </w:r>
      <w:r w:rsidR="00F00E3D" w:rsidRPr="0034443E">
        <w:rPr>
          <w:rFonts w:asciiTheme="majorHAnsi" w:eastAsiaTheme="majorEastAsia" w:hAnsiTheme="majorHAnsi" w:cstheme="majorHAnsi"/>
          <w:sz w:val="23"/>
          <w:szCs w:val="23"/>
          <w:lang w:val="en-GB"/>
        </w:rPr>
        <w:t xml:space="preserve">P1). The closure of </w:t>
      </w:r>
      <w:r w:rsidR="00D67D12">
        <w:rPr>
          <w:rFonts w:asciiTheme="majorHAnsi" w:eastAsiaTheme="majorEastAsia" w:hAnsiTheme="majorHAnsi" w:cstheme="majorHAnsi"/>
          <w:sz w:val="23"/>
          <w:szCs w:val="23"/>
          <w:lang w:val="en-GB"/>
        </w:rPr>
        <w:t>many</w:t>
      </w:r>
      <w:r w:rsidR="00F00E3D" w:rsidRPr="0034443E">
        <w:rPr>
          <w:rFonts w:asciiTheme="majorHAnsi" w:eastAsiaTheme="majorEastAsia" w:hAnsiTheme="majorHAnsi" w:cstheme="majorHAnsi"/>
          <w:sz w:val="23"/>
          <w:szCs w:val="23"/>
          <w:lang w:val="en-GB"/>
        </w:rPr>
        <w:t xml:space="preserve"> facilities also seemed to focus attention on their</w:t>
      </w:r>
      <w:r w:rsidR="0018129F">
        <w:rPr>
          <w:rFonts w:asciiTheme="majorHAnsi" w:eastAsiaTheme="majorEastAsia" w:hAnsiTheme="majorHAnsi" w:cstheme="majorHAnsi"/>
          <w:sz w:val="23"/>
          <w:szCs w:val="23"/>
          <w:lang w:val="en-GB"/>
        </w:rPr>
        <w:t xml:space="preserve"> quality</w:t>
      </w:r>
      <w:r w:rsidR="00F00E3D" w:rsidRPr="0034443E">
        <w:rPr>
          <w:rFonts w:asciiTheme="majorHAnsi" w:eastAsiaTheme="majorEastAsia" w:hAnsiTheme="majorHAnsi" w:cstheme="majorHAnsi"/>
          <w:sz w:val="23"/>
          <w:szCs w:val="23"/>
          <w:lang w:val="en-GB"/>
        </w:rPr>
        <w:t xml:space="preserve"> </w:t>
      </w:r>
      <w:r w:rsidR="00F25F2F">
        <w:rPr>
          <w:rFonts w:asciiTheme="majorHAnsi" w:eastAsiaTheme="majorEastAsia" w:hAnsiTheme="majorHAnsi" w:cstheme="majorHAnsi"/>
          <w:sz w:val="23"/>
          <w:szCs w:val="23"/>
          <w:lang w:val="en-GB"/>
        </w:rPr>
        <w:t>and role</w:t>
      </w:r>
      <w:r w:rsidR="00F00E3D" w:rsidRPr="0034443E">
        <w:rPr>
          <w:rFonts w:asciiTheme="majorHAnsi" w:eastAsiaTheme="majorEastAsia" w:hAnsiTheme="majorHAnsi" w:cstheme="majorHAnsi"/>
          <w:sz w:val="23"/>
          <w:szCs w:val="23"/>
          <w:lang w:val="en-GB"/>
        </w:rPr>
        <w:t xml:space="preserve"> in the community, with some interviewees asserting the pandemic had </w:t>
      </w:r>
      <w:r w:rsidR="00F25F2F">
        <w:rPr>
          <w:rFonts w:asciiTheme="majorHAnsi" w:eastAsiaTheme="majorEastAsia" w:hAnsiTheme="majorHAnsi" w:cstheme="majorHAnsi"/>
          <w:sz w:val="23"/>
          <w:szCs w:val="23"/>
          <w:lang w:val="en-GB"/>
        </w:rPr>
        <w:t>revealed</w:t>
      </w:r>
      <w:r w:rsidR="00F00E3D" w:rsidRPr="0034443E">
        <w:rPr>
          <w:rFonts w:asciiTheme="majorHAnsi" w:eastAsiaTheme="majorEastAsia" w:hAnsiTheme="majorHAnsi" w:cstheme="majorHAnsi"/>
          <w:sz w:val="23"/>
          <w:szCs w:val="23"/>
          <w:lang w:val="en-GB"/>
        </w:rPr>
        <w:t xml:space="preserve"> how outdated or dilapidated they were.</w:t>
      </w:r>
    </w:p>
    <w:p w14:paraId="24AC44FD" w14:textId="06171D91" w:rsidR="00F00E3D" w:rsidRPr="0034443E" w:rsidRDefault="00F00E3D" w:rsidP="00F30A98">
      <w:pPr>
        <w:spacing w:line="276" w:lineRule="auto"/>
        <w:rPr>
          <w:rFonts w:asciiTheme="majorHAnsi" w:eastAsiaTheme="majorEastAsia" w:hAnsiTheme="majorHAnsi" w:cstheme="majorBidi"/>
          <w:sz w:val="23"/>
          <w:szCs w:val="23"/>
          <w:lang w:val="en-GB"/>
        </w:rPr>
      </w:pPr>
      <w:r w:rsidRPr="0034443E">
        <w:rPr>
          <w:rFonts w:asciiTheme="majorHAnsi" w:eastAsiaTheme="majorEastAsia" w:hAnsiTheme="majorHAnsi" w:cstheme="majorBidi"/>
          <w:sz w:val="23"/>
          <w:szCs w:val="23"/>
          <w:lang w:val="en-GB"/>
        </w:rPr>
        <w:t>Many community members have no access to private transport (cars) and are therefore</w:t>
      </w:r>
      <w:r w:rsidR="00F25F2F">
        <w:rPr>
          <w:rFonts w:asciiTheme="majorHAnsi" w:eastAsiaTheme="majorEastAsia" w:hAnsiTheme="majorHAnsi" w:cstheme="majorBidi"/>
          <w:sz w:val="23"/>
          <w:szCs w:val="23"/>
          <w:lang w:val="en-GB"/>
        </w:rPr>
        <w:t xml:space="preserve"> highly</w:t>
      </w:r>
      <w:r w:rsidRPr="0034443E">
        <w:rPr>
          <w:rFonts w:asciiTheme="majorHAnsi" w:eastAsiaTheme="majorEastAsia" w:hAnsiTheme="majorHAnsi" w:cstheme="majorBidi"/>
          <w:sz w:val="23"/>
          <w:szCs w:val="23"/>
          <w:lang w:val="en-GB"/>
        </w:rPr>
        <w:t xml:space="preserve"> depend</w:t>
      </w:r>
      <w:r w:rsidR="00F25F2F">
        <w:rPr>
          <w:rFonts w:asciiTheme="majorHAnsi" w:eastAsiaTheme="majorEastAsia" w:hAnsiTheme="majorHAnsi" w:cstheme="majorBidi"/>
          <w:sz w:val="23"/>
          <w:szCs w:val="23"/>
          <w:lang w:val="en-GB"/>
        </w:rPr>
        <w:t>e</w:t>
      </w:r>
      <w:r w:rsidRPr="0034443E">
        <w:rPr>
          <w:rFonts w:asciiTheme="majorHAnsi" w:eastAsiaTheme="majorEastAsia" w:hAnsiTheme="majorHAnsi" w:cstheme="majorBidi"/>
          <w:sz w:val="23"/>
          <w:szCs w:val="23"/>
          <w:lang w:val="en-GB"/>
        </w:rPr>
        <w:t>nt on public transport. However, public transport was understood to be a high</w:t>
      </w:r>
      <w:r w:rsidR="00F25F2F">
        <w:rPr>
          <w:rFonts w:asciiTheme="majorHAnsi" w:eastAsiaTheme="majorEastAsia" w:hAnsiTheme="majorHAnsi" w:cstheme="majorBidi"/>
          <w:sz w:val="23"/>
          <w:szCs w:val="23"/>
          <w:lang w:val="en-GB"/>
        </w:rPr>
        <w:t>-</w:t>
      </w:r>
      <w:r w:rsidRPr="0034443E">
        <w:rPr>
          <w:rFonts w:asciiTheme="majorHAnsi" w:eastAsiaTheme="majorEastAsia" w:hAnsiTheme="majorHAnsi" w:cstheme="majorBidi"/>
          <w:sz w:val="23"/>
          <w:szCs w:val="23"/>
          <w:lang w:val="en-GB"/>
        </w:rPr>
        <w:t xml:space="preserve">risk setting for </w:t>
      </w:r>
      <w:r w:rsidR="00940D80" w:rsidRPr="0034443E">
        <w:rPr>
          <w:rFonts w:asciiTheme="majorHAnsi" w:eastAsiaTheme="majorEastAsia" w:hAnsiTheme="majorHAnsi" w:cstheme="majorBidi"/>
          <w:sz w:val="23"/>
          <w:szCs w:val="23"/>
          <w:lang w:val="en-GB"/>
        </w:rPr>
        <w:t>COVID</w:t>
      </w:r>
      <w:r w:rsidRPr="0034443E">
        <w:rPr>
          <w:rFonts w:asciiTheme="majorHAnsi" w:eastAsiaTheme="majorEastAsia" w:hAnsiTheme="majorHAnsi" w:cstheme="majorBidi"/>
          <w:sz w:val="23"/>
          <w:szCs w:val="23"/>
          <w:lang w:val="en-GB"/>
        </w:rPr>
        <w:t xml:space="preserve"> transmission</w:t>
      </w:r>
      <w:r w:rsidR="00F25F2F">
        <w:rPr>
          <w:rFonts w:asciiTheme="majorHAnsi" w:eastAsiaTheme="majorEastAsia" w:hAnsiTheme="majorHAnsi" w:cstheme="majorBidi"/>
          <w:sz w:val="23"/>
          <w:szCs w:val="23"/>
          <w:lang w:val="en-GB"/>
        </w:rPr>
        <w:t>,</w:t>
      </w:r>
      <w:r w:rsidRPr="0034443E">
        <w:rPr>
          <w:rFonts w:asciiTheme="majorHAnsi" w:eastAsiaTheme="majorEastAsia" w:hAnsiTheme="majorHAnsi" w:cstheme="majorBidi"/>
          <w:sz w:val="23"/>
          <w:szCs w:val="23"/>
          <w:lang w:val="en-GB"/>
        </w:rPr>
        <w:t xml:space="preserve"> so </w:t>
      </w:r>
      <w:r w:rsidR="00F25F2F">
        <w:rPr>
          <w:rFonts w:asciiTheme="majorHAnsi" w:eastAsiaTheme="majorEastAsia" w:hAnsiTheme="majorHAnsi" w:cstheme="majorBidi"/>
          <w:sz w:val="23"/>
          <w:szCs w:val="23"/>
          <w:lang w:val="en-GB"/>
        </w:rPr>
        <w:t xml:space="preserve">many </w:t>
      </w:r>
      <w:r w:rsidRPr="0034443E">
        <w:rPr>
          <w:rFonts w:asciiTheme="majorHAnsi" w:eastAsiaTheme="majorEastAsia" w:hAnsiTheme="majorHAnsi" w:cstheme="majorBidi"/>
          <w:sz w:val="23"/>
          <w:szCs w:val="23"/>
          <w:lang w:val="en-GB"/>
        </w:rPr>
        <w:t>residents (</w:t>
      </w:r>
      <w:r w:rsidR="00F25F2F">
        <w:rPr>
          <w:rFonts w:asciiTheme="majorHAnsi" w:eastAsiaTheme="majorEastAsia" w:hAnsiTheme="majorHAnsi" w:cstheme="majorBidi"/>
          <w:sz w:val="23"/>
          <w:szCs w:val="23"/>
          <w:lang w:val="en-GB"/>
        </w:rPr>
        <w:t xml:space="preserve">particularly </w:t>
      </w:r>
      <w:r w:rsidRPr="0034443E">
        <w:rPr>
          <w:rFonts w:asciiTheme="majorHAnsi" w:eastAsiaTheme="majorEastAsia" w:hAnsiTheme="majorHAnsi" w:cstheme="majorBidi"/>
          <w:sz w:val="23"/>
          <w:szCs w:val="23"/>
          <w:lang w:val="en-GB"/>
        </w:rPr>
        <w:t xml:space="preserve">those in vulnerable groups) were reluctant to use these services. This significantly reduced </w:t>
      </w:r>
      <w:r w:rsidR="009D13FA">
        <w:rPr>
          <w:rFonts w:asciiTheme="majorHAnsi" w:eastAsiaTheme="majorEastAsia" w:hAnsiTheme="majorHAnsi" w:cstheme="majorBidi"/>
          <w:sz w:val="23"/>
          <w:szCs w:val="23"/>
          <w:lang w:val="en-GB"/>
        </w:rPr>
        <w:t>people’s</w:t>
      </w:r>
      <w:r w:rsidRPr="0034443E">
        <w:rPr>
          <w:rFonts w:asciiTheme="majorHAnsi" w:eastAsiaTheme="majorEastAsia" w:hAnsiTheme="majorHAnsi" w:cstheme="majorBidi"/>
          <w:sz w:val="23"/>
          <w:szCs w:val="23"/>
          <w:lang w:val="en-GB"/>
        </w:rPr>
        <w:t xml:space="preserve"> ability to </w:t>
      </w:r>
      <w:r w:rsidR="009D13FA">
        <w:rPr>
          <w:rFonts w:asciiTheme="majorHAnsi" w:eastAsiaTheme="majorEastAsia" w:hAnsiTheme="majorHAnsi" w:cstheme="majorBidi"/>
          <w:sz w:val="23"/>
          <w:szCs w:val="23"/>
          <w:lang w:val="en-GB"/>
        </w:rPr>
        <w:t>access</w:t>
      </w:r>
      <w:r w:rsidRPr="0034443E">
        <w:rPr>
          <w:rFonts w:asciiTheme="majorHAnsi" w:eastAsiaTheme="majorEastAsia" w:hAnsiTheme="majorHAnsi" w:cstheme="majorBidi"/>
          <w:sz w:val="23"/>
          <w:szCs w:val="23"/>
          <w:lang w:val="en-GB"/>
        </w:rPr>
        <w:t xml:space="preserve"> resources outside the immediate area, further reducing </w:t>
      </w:r>
      <w:r w:rsidR="009D13FA">
        <w:rPr>
          <w:rFonts w:asciiTheme="majorHAnsi" w:eastAsiaTheme="majorEastAsia" w:hAnsiTheme="majorHAnsi" w:cstheme="majorBidi"/>
          <w:sz w:val="23"/>
          <w:szCs w:val="23"/>
          <w:lang w:val="en-GB"/>
        </w:rPr>
        <w:t>access to</w:t>
      </w:r>
      <w:r w:rsidRPr="0034443E">
        <w:rPr>
          <w:rFonts w:asciiTheme="majorHAnsi" w:eastAsiaTheme="majorEastAsia" w:hAnsiTheme="majorHAnsi" w:cstheme="majorBidi"/>
          <w:sz w:val="23"/>
          <w:szCs w:val="23"/>
          <w:lang w:val="en-GB"/>
        </w:rPr>
        <w:t xml:space="preserve"> support</w:t>
      </w:r>
      <w:r w:rsidR="009D13FA">
        <w:rPr>
          <w:rFonts w:asciiTheme="majorHAnsi" w:eastAsiaTheme="majorEastAsia" w:hAnsiTheme="majorHAnsi" w:cstheme="majorBidi"/>
          <w:sz w:val="23"/>
          <w:szCs w:val="23"/>
          <w:lang w:val="en-GB"/>
        </w:rPr>
        <w:t>s that</w:t>
      </w:r>
      <w:r w:rsidRPr="0034443E">
        <w:rPr>
          <w:rFonts w:asciiTheme="majorHAnsi" w:eastAsiaTheme="majorEastAsia" w:hAnsiTheme="majorHAnsi" w:cstheme="majorBidi"/>
          <w:sz w:val="23"/>
          <w:szCs w:val="23"/>
          <w:lang w:val="en-GB"/>
        </w:rPr>
        <w:t xml:space="preserve"> enhance their quality of life.</w:t>
      </w:r>
      <w:r w:rsidR="009D13FA">
        <w:rPr>
          <w:rFonts w:asciiTheme="majorHAnsi" w:eastAsiaTheme="majorEastAsia" w:hAnsiTheme="majorHAnsi" w:cstheme="majorBidi"/>
          <w:sz w:val="23"/>
          <w:szCs w:val="23"/>
          <w:lang w:val="en-GB"/>
        </w:rPr>
        <w:t xml:space="preserve"> One interviewee e</w:t>
      </w:r>
      <w:r w:rsidR="000C0113">
        <w:rPr>
          <w:rFonts w:asciiTheme="majorHAnsi" w:eastAsiaTheme="majorEastAsia" w:hAnsiTheme="majorHAnsi" w:cstheme="majorBidi"/>
          <w:sz w:val="23"/>
          <w:szCs w:val="23"/>
          <w:lang w:val="en-GB"/>
        </w:rPr>
        <w:t xml:space="preserve">mphasised the </w:t>
      </w:r>
      <w:r w:rsidRPr="0034443E">
        <w:rPr>
          <w:rFonts w:asciiTheme="majorHAnsi" w:eastAsiaTheme="majorEastAsia" w:hAnsiTheme="majorHAnsi" w:cstheme="majorBidi"/>
          <w:sz w:val="23"/>
          <w:szCs w:val="23"/>
          <w:lang w:val="en-GB"/>
        </w:rPr>
        <w:t xml:space="preserve">impact of </w:t>
      </w:r>
      <w:r w:rsidR="000C0113">
        <w:rPr>
          <w:rFonts w:asciiTheme="majorHAnsi" w:eastAsiaTheme="majorEastAsia" w:hAnsiTheme="majorHAnsi" w:cstheme="majorBidi"/>
          <w:sz w:val="23"/>
          <w:szCs w:val="23"/>
          <w:lang w:val="en-GB"/>
        </w:rPr>
        <w:t>restricted</w:t>
      </w:r>
      <w:r w:rsidRPr="0034443E">
        <w:rPr>
          <w:rFonts w:asciiTheme="majorHAnsi" w:eastAsiaTheme="majorEastAsia" w:hAnsiTheme="majorHAnsi" w:cstheme="majorBidi"/>
          <w:sz w:val="23"/>
          <w:szCs w:val="23"/>
          <w:lang w:val="en-GB"/>
        </w:rPr>
        <w:t xml:space="preserve"> mobility, describ</w:t>
      </w:r>
      <w:r w:rsidR="000C0113">
        <w:rPr>
          <w:rFonts w:asciiTheme="majorHAnsi" w:eastAsiaTheme="majorEastAsia" w:hAnsiTheme="majorHAnsi" w:cstheme="majorBidi"/>
          <w:sz w:val="23"/>
          <w:szCs w:val="23"/>
          <w:lang w:val="en-GB"/>
        </w:rPr>
        <w:t>ing</w:t>
      </w:r>
      <w:r w:rsidRPr="0034443E">
        <w:rPr>
          <w:rFonts w:asciiTheme="majorHAnsi" w:eastAsiaTheme="majorEastAsia" w:hAnsiTheme="majorHAnsi" w:cstheme="majorBidi"/>
          <w:sz w:val="23"/>
          <w:szCs w:val="23"/>
          <w:lang w:val="en-GB"/>
        </w:rPr>
        <w:t xml:space="preserve"> Whittington as a </w:t>
      </w:r>
      <w:r w:rsidR="000C0113">
        <w:rPr>
          <w:rFonts w:asciiTheme="majorHAnsi" w:eastAsiaTheme="majorEastAsia" w:hAnsiTheme="majorHAnsi" w:cstheme="majorBidi"/>
          <w:sz w:val="23"/>
          <w:szCs w:val="23"/>
          <w:lang w:val="en-GB"/>
        </w:rPr>
        <w:t>“</w:t>
      </w:r>
      <w:r w:rsidRPr="0034443E">
        <w:rPr>
          <w:rFonts w:asciiTheme="majorHAnsi" w:eastAsiaTheme="majorEastAsia" w:hAnsiTheme="majorHAnsi" w:cstheme="majorBidi"/>
          <w:sz w:val="23"/>
          <w:szCs w:val="23"/>
          <w:lang w:val="en-GB"/>
        </w:rPr>
        <w:t>closed ghetto</w:t>
      </w:r>
      <w:r w:rsidR="000C0113">
        <w:rPr>
          <w:rFonts w:asciiTheme="majorHAnsi" w:eastAsiaTheme="majorEastAsia" w:hAnsiTheme="majorHAnsi" w:cstheme="majorBidi"/>
          <w:sz w:val="23"/>
          <w:szCs w:val="23"/>
          <w:lang w:val="en-GB"/>
        </w:rPr>
        <w:t>”</w:t>
      </w:r>
      <w:r w:rsidRPr="0034443E">
        <w:rPr>
          <w:rFonts w:asciiTheme="majorHAnsi" w:eastAsiaTheme="majorEastAsia" w:hAnsiTheme="majorHAnsi" w:cstheme="majorBidi"/>
          <w:sz w:val="23"/>
          <w:szCs w:val="23"/>
          <w:lang w:val="en-GB"/>
        </w:rPr>
        <w:t xml:space="preserve"> with limited connections to surrounding areas, or access to public transport routes. </w:t>
      </w:r>
    </w:p>
    <w:p w14:paraId="5C817996" w14:textId="56DA3818" w:rsidR="00587112" w:rsidRPr="002C7B46" w:rsidRDefault="00587112" w:rsidP="00205851">
      <w:pPr>
        <w:spacing w:line="276" w:lineRule="auto"/>
        <w:rPr>
          <w:rFonts w:eastAsiaTheme="majorEastAsia" w:cstheme="minorHAnsi"/>
          <w:b/>
          <w:bCs/>
          <w:color w:val="2F5496" w:themeColor="accent1" w:themeShade="BF"/>
          <w:sz w:val="25"/>
          <w:szCs w:val="25"/>
          <w:lang w:val="en-GB"/>
        </w:rPr>
      </w:pPr>
      <w:r w:rsidRPr="002C7B46">
        <w:rPr>
          <w:rFonts w:eastAsiaTheme="majorEastAsia" w:cstheme="minorHAnsi"/>
          <w:b/>
          <w:bCs/>
          <w:color w:val="2F5496" w:themeColor="accent1" w:themeShade="BF"/>
          <w:sz w:val="25"/>
          <w:szCs w:val="25"/>
          <w:lang w:val="en-GB"/>
        </w:rPr>
        <w:t>Positive Community Impacts of COVID-19</w:t>
      </w:r>
    </w:p>
    <w:p w14:paraId="26AB5D2F" w14:textId="6B778C4B" w:rsidR="00F00E3D" w:rsidRPr="0034443E" w:rsidRDefault="00F00E3D" w:rsidP="005210BB">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While</w:t>
      </w:r>
      <w:r w:rsidR="002C7B46">
        <w:rPr>
          <w:rFonts w:asciiTheme="majorHAnsi" w:eastAsiaTheme="majorEastAsia" w:hAnsiTheme="majorHAnsi" w:cstheme="majorHAnsi"/>
          <w:sz w:val="23"/>
          <w:szCs w:val="23"/>
          <w:lang w:val="en-GB"/>
        </w:rPr>
        <w:t xml:space="preserve"> </w:t>
      </w:r>
      <w:r w:rsidR="00BA4B13">
        <w:rPr>
          <w:rFonts w:asciiTheme="majorHAnsi" w:eastAsiaTheme="majorEastAsia" w:hAnsiTheme="majorHAnsi" w:cstheme="majorHAnsi"/>
          <w:sz w:val="23"/>
          <w:szCs w:val="23"/>
          <w:lang w:val="en-GB"/>
        </w:rPr>
        <w:t>this</w:t>
      </w:r>
      <w:r w:rsidR="002C7B46">
        <w:rPr>
          <w:rFonts w:asciiTheme="majorHAnsi" w:eastAsiaTheme="majorEastAsia" w:hAnsiTheme="majorHAnsi" w:cstheme="majorHAnsi"/>
          <w:sz w:val="23"/>
          <w:szCs w:val="23"/>
          <w:lang w:val="en-GB"/>
        </w:rPr>
        <w:t xml:space="preserve"> was</w:t>
      </w:r>
      <w:r w:rsidRPr="0034443E">
        <w:rPr>
          <w:rFonts w:asciiTheme="majorHAnsi" w:eastAsiaTheme="majorEastAsia" w:hAnsiTheme="majorHAnsi" w:cstheme="majorHAnsi"/>
          <w:sz w:val="23"/>
          <w:szCs w:val="23"/>
          <w:lang w:val="en-GB"/>
        </w:rPr>
        <w:t xml:space="preserve"> less prevalent in the data, interviewees also identified positive or enhanced outcomes for </w:t>
      </w:r>
      <w:r w:rsidR="002C7B46">
        <w:rPr>
          <w:rFonts w:asciiTheme="majorHAnsi" w:eastAsiaTheme="majorEastAsia" w:hAnsiTheme="majorHAnsi" w:cstheme="majorHAnsi"/>
          <w:sz w:val="23"/>
          <w:szCs w:val="23"/>
          <w:lang w:val="en-GB"/>
        </w:rPr>
        <w:t>resident communities</w:t>
      </w:r>
      <w:r w:rsidRPr="0034443E">
        <w:rPr>
          <w:rFonts w:asciiTheme="majorHAnsi" w:eastAsiaTheme="majorEastAsia" w:hAnsiTheme="majorHAnsi" w:cstheme="majorHAnsi"/>
          <w:sz w:val="23"/>
          <w:szCs w:val="23"/>
          <w:lang w:val="en-GB"/>
        </w:rPr>
        <w:t xml:space="preserve"> across all five </w:t>
      </w:r>
      <w:r w:rsidR="00D95573">
        <w:rPr>
          <w:rFonts w:asciiTheme="majorHAnsi" w:eastAsiaTheme="majorEastAsia" w:hAnsiTheme="majorHAnsi" w:cstheme="majorHAnsi"/>
          <w:sz w:val="23"/>
          <w:szCs w:val="23"/>
          <w:lang w:val="en-GB"/>
        </w:rPr>
        <w:t>Practice Domain</w:t>
      </w:r>
      <w:r w:rsidRPr="0034443E">
        <w:rPr>
          <w:rFonts w:asciiTheme="majorHAnsi" w:eastAsiaTheme="majorEastAsia" w:hAnsiTheme="majorHAnsi" w:cstheme="majorHAnsi"/>
          <w:sz w:val="23"/>
          <w:szCs w:val="23"/>
          <w:lang w:val="en-GB"/>
        </w:rPr>
        <w:t>s</w:t>
      </w:r>
      <w:r w:rsidR="00BA4B13">
        <w:rPr>
          <w:rFonts w:asciiTheme="majorHAnsi" w:eastAsiaTheme="majorEastAsia" w:hAnsiTheme="majorHAnsi" w:cstheme="majorHAnsi"/>
          <w:sz w:val="23"/>
          <w:szCs w:val="23"/>
          <w:lang w:val="en-GB"/>
        </w:rPr>
        <w:t xml:space="preserve"> during the pandemic</w:t>
      </w:r>
      <w:r w:rsidRPr="0034443E">
        <w:rPr>
          <w:rFonts w:asciiTheme="majorHAnsi" w:eastAsiaTheme="majorEastAsia" w:hAnsiTheme="majorHAnsi" w:cstheme="majorHAnsi"/>
          <w:sz w:val="23"/>
          <w:szCs w:val="23"/>
          <w:lang w:val="en-GB"/>
        </w:rPr>
        <w:t xml:space="preserve">. Some of these positive consequences </w:t>
      </w:r>
      <w:r w:rsidR="002C7B46">
        <w:rPr>
          <w:rFonts w:asciiTheme="majorHAnsi" w:eastAsiaTheme="majorEastAsia" w:hAnsiTheme="majorHAnsi" w:cstheme="majorHAnsi"/>
          <w:sz w:val="23"/>
          <w:szCs w:val="23"/>
          <w:lang w:val="en-GB"/>
        </w:rPr>
        <w:t>represent</w:t>
      </w:r>
      <w:r w:rsidRPr="0034443E">
        <w:rPr>
          <w:rFonts w:asciiTheme="majorHAnsi" w:eastAsiaTheme="majorEastAsia" w:hAnsiTheme="majorHAnsi" w:cstheme="majorHAnsi"/>
          <w:sz w:val="23"/>
          <w:szCs w:val="23"/>
          <w:lang w:val="en-GB"/>
        </w:rPr>
        <w:t xml:space="preserve"> the </w:t>
      </w:r>
      <w:r w:rsidR="00864AE9">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flip side</w:t>
      </w:r>
      <w:r w:rsidR="00864AE9">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of the negative impacts described above</w:t>
      </w:r>
      <w:r w:rsidR="00864AE9">
        <w:rPr>
          <w:rFonts w:asciiTheme="majorHAnsi" w:eastAsiaTheme="majorEastAsia" w:hAnsiTheme="majorHAnsi" w:cstheme="majorHAnsi"/>
          <w:sz w:val="23"/>
          <w:szCs w:val="23"/>
          <w:lang w:val="en-GB"/>
        </w:rPr>
        <w:t xml:space="preserve">, </w:t>
      </w:r>
      <w:r w:rsidRPr="0034443E">
        <w:rPr>
          <w:rFonts w:asciiTheme="majorHAnsi" w:eastAsiaTheme="majorEastAsia" w:hAnsiTheme="majorHAnsi" w:cstheme="majorHAnsi"/>
          <w:sz w:val="23"/>
          <w:szCs w:val="23"/>
          <w:lang w:val="en-GB"/>
        </w:rPr>
        <w:t>reflect</w:t>
      </w:r>
      <w:r w:rsidR="00E129F6">
        <w:rPr>
          <w:rFonts w:asciiTheme="majorHAnsi" w:eastAsiaTheme="majorEastAsia" w:hAnsiTheme="majorHAnsi" w:cstheme="majorHAnsi"/>
          <w:sz w:val="23"/>
          <w:szCs w:val="23"/>
          <w:lang w:val="en-GB"/>
        </w:rPr>
        <w:t>ing</w:t>
      </w:r>
      <w:r w:rsidRPr="0034443E">
        <w:rPr>
          <w:rFonts w:asciiTheme="majorHAnsi" w:eastAsiaTheme="majorEastAsia" w:hAnsiTheme="majorHAnsi" w:cstheme="majorHAnsi"/>
          <w:sz w:val="23"/>
          <w:szCs w:val="23"/>
          <w:lang w:val="en-GB"/>
        </w:rPr>
        <w:t xml:space="preserve"> the community’s response to the</w:t>
      </w:r>
      <w:r w:rsidR="00E129F6">
        <w:rPr>
          <w:rFonts w:asciiTheme="majorHAnsi" w:eastAsiaTheme="majorEastAsia" w:hAnsiTheme="majorHAnsi" w:cstheme="majorHAnsi"/>
          <w:sz w:val="23"/>
          <w:szCs w:val="23"/>
          <w:lang w:val="en-GB"/>
        </w:rPr>
        <w:t>se challenges</w:t>
      </w:r>
      <w:r w:rsidRPr="0034443E">
        <w:rPr>
          <w:rFonts w:asciiTheme="majorHAnsi" w:eastAsiaTheme="majorEastAsia" w:hAnsiTheme="majorHAnsi" w:cstheme="majorHAnsi"/>
          <w:sz w:val="23"/>
          <w:szCs w:val="23"/>
          <w:lang w:val="en-GB"/>
        </w:rPr>
        <w:t xml:space="preserve">. An overarching theme was the </w:t>
      </w:r>
      <w:r w:rsidR="00864AE9">
        <w:rPr>
          <w:rFonts w:asciiTheme="majorHAnsi" w:eastAsiaTheme="majorEastAsia" w:hAnsiTheme="majorHAnsi" w:cstheme="majorHAnsi"/>
          <w:sz w:val="23"/>
          <w:szCs w:val="23"/>
          <w:lang w:val="en-GB"/>
        </w:rPr>
        <w:t>way the community leveraged</w:t>
      </w:r>
      <w:r w:rsidRPr="0034443E">
        <w:rPr>
          <w:rFonts w:asciiTheme="majorHAnsi" w:eastAsiaTheme="majorEastAsia" w:hAnsiTheme="majorHAnsi" w:cstheme="majorHAnsi"/>
          <w:sz w:val="23"/>
          <w:szCs w:val="23"/>
          <w:lang w:val="en-GB"/>
        </w:rPr>
        <w:t xml:space="preserve"> pre-existing resilience</w:t>
      </w:r>
      <w:r w:rsidR="00864AE9">
        <w:rPr>
          <w:rFonts w:asciiTheme="majorHAnsi" w:eastAsiaTheme="majorEastAsia" w:hAnsiTheme="majorHAnsi" w:cstheme="majorHAnsi"/>
          <w:sz w:val="23"/>
          <w:szCs w:val="23"/>
          <w:lang w:val="en-GB"/>
        </w:rPr>
        <w:t xml:space="preserve">, </w:t>
      </w:r>
      <w:r w:rsidRPr="0034443E">
        <w:rPr>
          <w:rFonts w:asciiTheme="majorHAnsi" w:eastAsiaTheme="majorEastAsia" w:hAnsiTheme="majorHAnsi" w:cstheme="majorHAnsi"/>
          <w:sz w:val="23"/>
          <w:szCs w:val="23"/>
          <w:lang w:val="en-GB"/>
        </w:rPr>
        <w:t xml:space="preserve">developed from years of experience with disadvantage. </w:t>
      </w:r>
      <w:r w:rsidR="00E129F6">
        <w:rPr>
          <w:rFonts w:asciiTheme="majorHAnsi" w:eastAsiaTheme="majorEastAsia" w:hAnsiTheme="majorHAnsi" w:cstheme="majorHAnsi"/>
          <w:sz w:val="23"/>
          <w:szCs w:val="23"/>
          <w:lang w:val="en-GB"/>
        </w:rPr>
        <w:t xml:space="preserve">Our interviewees </w:t>
      </w:r>
      <w:r w:rsidRPr="0034443E">
        <w:rPr>
          <w:rFonts w:asciiTheme="majorHAnsi" w:eastAsiaTheme="majorEastAsia" w:hAnsiTheme="majorHAnsi" w:cstheme="majorHAnsi"/>
          <w:sz w:val="23"/>
          <w:szCs w:val="23"/>
          <w:lang w:val="en-GB"/>
        </w:rPr>
        <w:t xml:space="preserve">observed that many </w:t>
      </w:r>
      <w:r w:rsidR="00864AE9">
        <w:rPr>
          <w:rFonts w:asciiTheme="majorHAnsi" w:eastAsiaTheme="majorEastAsia" w:hAnsiTheme="majorHAnsi" w:cstheme="majorHAnsi"/>
          <w:sz w:val="23"/>
          <w:szCs w:val="23"/>
          <w:lang w:val="en-GB"/>
        </w:rPr>
        <w:t>residents</w:t>
      </w:r>
      <w:r w:rsidRPr="0034443E">
        <w:rPr>
          <w:rFonts w:asciiTheme="majorHAnsi" w:eastAsiaTheme="majorEastAsia" w:hAnsiTheme="majorHAnsi" w:cstheme="majorHAnsi"/>
          <w:sz w:val="23"/>
          <w:szCs w:val="23"/>
          <w:lang w:val="en-GB"/>
        </w:rPr>
        <w:t xml:space="preserve"> already had the skills needed to meet the challenges of the pandemic, while </w:t>
      </w:r>
      <w:r w:rsidR="00864AE9">
        <w:rPr>
          <w:rFonts w:asciiTheme="majorHAnsi" w:eastAsiaTheme="majorEastAsia" w:hAnsiTheme="majorHAnsi" w:cstheme="majorHAnsi"/>
          <w:sz w:val="23"/>
          <w:szCs w:val="23"/>
          <w:lang w:val="en-GB"/>
        </w:rPr>
        <w:t>other Victorians</w:t>
      </w:r>
      <w:r w:rsidRPr="0034443E">
        <w:rPr>
          <w:rFonts w:asciiTheme="majorHAnsi" w:eastAsiaTheme="majorEastAsia" w:hAnsiTheme="majorHAnsi" w:cstheme="majorHAnsi"/>
          <w:sz w:val="23"/>
          <w:szCs w:val="23"/>
          <w:lang w:val="en-GB"/>
        </w:rPr>
        <w:t xml:space="preserve"> </w:t>
      </w:r>
      <w:r w:rsidR="00864AE9">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found out what it was like to live limited lives</w:t>
      </w:r>
      <w:r w:rsidR="00E129F6">
        <w:rPr>
          <w:rFonts w:asciiTheme="majorHAnsi" w:eastAsiaTheme="majorEastAsia" w:hAnsiTheme="majorHAnsi" w:cstheme="majorHAnsi"/>
          <w:sz w:val="23"/>
          <w:szCs w:val="23"/>
          <w:lang w:val="en-GB"/>
        </w:rPr>
        <w:t>.</w:t>
      </w:r>
      <w:r w:rsidR="00864AE9">
        <w:rPr>
          <w:rFonts w:asciiTheme="majorHAnsi" w:eastAsiaTheme="majorEastAsia" w:hAnsiTheme="majorHAnsi" w:cstheme="majorHAnsi"/>
          <w:sz w:val="23"/>
          <w:szCs w:val="23"/>
          <w:lang w:val="en-GB"/>
        </w:rPr>
        <w:t>”</w:t>
      </w:r>
    </w:p>
    <w:p w14:paraId="172299E9" w14:textId="77777777" w:rsidR="00F00E3D" w:rsidRPr="00E90290" w:rsidRDefault="00F00E3D" w:rsidP="005210BB">
      <w:pPr>
        <w:spacing w:line="276" w:lineRule="auto"/>
        <w:rPr>
          <w:rFonts w:eastAsiaTheme="majorEastAsia" w:cstheme="majorHAnsi"/>
          <w:b/>
          <w:bCs/>
          <w:sz w:val="25"/>
          <w:szCs w:val="25"/>
          <w:lang w:val="en-GB"/>
        </w:rPr>
      </w:pPr>
      <w:r w:rsidRPr="00E90290">
        <w:rPr>
          <w:rFonts w:eastAsiaTheme="majorEastAsia" w:cstheme="majorHAnsi"/>
          <w:b/>
          <w:bCs/>
          <w:sz w:val="25"/>
          <w:szCs w:val="25"/>
          <w:lang w:val="en-GB"/>
        </w:rPr>
        <w:lastRenderedPageBreak/>
        <w:t>Employment</w:t>
      </w:r>
    </w:p>
    <w:p w14:paraId="25773E36" w14:textId="0AAEF7D1" w:rsidR="00F00E3D" w:rsidRPr="0034443E" w:rsidRDefault="00F00E3D" w:rsidP="00E90290">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 xml:space="preserve">The JobKeeper </w:t>
      </w:r>
      <w:r w:rsidR="00864AE9">
        <w:rPr>
          <w:rFonts w:asciiTheme="majorHAnsi" w:eastAsiaTheme="majorEastAsia" w:hAnsiTheme="majorHAnsi" w:cstheme="majorHAnsi"/>
          <w:sz w:val="23"/>
          <w:szCs w:val="23"/>
          <w:lang w:val="en-GB"/>
        </w:rPr>
        <w:t xml:space="preserve">payment and JobSeeker </w:t>
      </w:r>
      <w:r w:rsidR="004536A3">
        <w:rPr>
          <w:rFonts w:asciiTheme="majorHAnsi" w:eastAsiaTheme="majorEastAsia" w:hAnsiTheme="majorHAnsi" w:cstheme="majorHAnsi"/>
          <w:sz w:val="23"/>
          <w:szCs w:val="23"/>
          <w:lang w:val="en-GB"/>
        </w:rPr>
        <w:t>Coronavirus S</w:t>
      </w:r>
      <w:r w:rsidR="00864AE9">
        <w:rPr>
          <w:rFonts w:asciiTheme="majorHAnsi" w:eastAsiaTheme="majorEastAsia" w:hAnsiTheme="majorHAnsi" w:cstheme="majorHAnsi"/>
          <w:sz w:val="23"/>
          <w:szCs w:val="23"/>
          <w:lang w:val="en-GB"/>
        </w:rPr>
        <w:t>upplement</w:t>
      </w:r>
      <w:r w:rsidRPr="0034443E">
        <w:rPr>
          <w:rFonts w:asciiTheme="majorHAnsi" w:eastAsiaTheme="majorEastAsia" w:hAnsiTheme="majorHAnsi" w:cstheme="majorHAnsi"/>
          <w:sz w:val="23"/>
          <w:szCs w:val="23"/>
          <w:lang w:val="en-GB"/>
        </w:rPr>
        <w:t xml:space="preserve"> w</w:t>
      </w:r>
      <w:r w:rsidR="00864AE9">
        <w:rPr>
          <w:rFonts w:asciiTheme="majorHAnsi" w:eastAsiaTheme="majorEastAsia" w:hAnsiTheme="majorHAnsi" w:cstheme="majorHAnsi"/>
          <w:sz w:val="23"/>
          <w:szCs w:val="23"/>
          <w:lang w:val="en-GB"/>
        </w:rPr>
        <w:t>ere</w:t>
      </w:r>
      <w:r w:rsidRPr="0034443E">
        <w:rPr>
          <w:rFonts w:asciiTheme="majorHAnsi" w:eastAsiaTheme="majorEastAsia" w:hAnsiTheme="majorHAnsi" w:cstheme="majorHAnsi"/>
          <w:sz w:val="23"/>
          <w:szCs w:val="23"/>
          <w:lang w:val="en-GB"/>
        </w:rPr>
        <w:t xml:space="preserve"> cited by many interviewees as key support</w:t>
      </w:r>
      <w:r w:rsidR="00864AE9">
        <w:rPr>
          <w:rFonts w:asciiTheme="majorHAnsi" w:eastAsiaTheme="majorEastAsia" w:hAnsiTheme="majorHAnsi" w:cstheme="majorHAnsi"/>
          <w:sz w:val="23"/>
          <w:szCs w:val="23"/>
          <w:lang w:val="en-GB"/>
        </w:rPr>
        <w:t>s</w:t>
      </w:r>
      <w:r w:rsidRPr="0034443E">
        <w:rPr>
          <w:rFonts w:asciiTheme="majorHAnsi" w:eastAsiaTheme="majorEastAsia" w:hAnsiTheme="majorHAnsi" w:cstheme="majorHAnsi"/>
          <w:sz w:val="23"/>
          <w:szCs w:val="23"/>
          <w:lang w:val="en-GB"/>
        </w:rPr>
        <w:t xml:space="preserve"> to the community during the pandemic, </w:t>
      </w:r>
      <w:r w:rsidR="00864AE9">
        <w:rPr>
          <w:rFonts w:asciiTheme="majorHAnsi" w:eastAsiaTheme="majorEastAsia" w:hAnsiTheme="majorHAnsi" w:cstheme="majorHAnsi"/>
          <w:sz w:val="23"/>
          <w:szCs w:val="23"/>
          <w:lang w:val="en-GB"/>
        </w:rPr>
        <w:t>preventing</w:t>
      </w:r>
      <w:r w:rsidRPr="0034443E">
        <w:rPr>
          <w:rFonts w:asciiTheme="majorHAnsi" w:eastAsiaTheme="majorEastAsia" w:hAnsiTheme="majorHAnsi" w:cstheme="majorHAnsi"/>
          <w:sz w:val="23"/>
          <w:szCs w:val="23"/>
          <w:lang w:val="en-GB"/>
        </w:rPr>
        <w:t xml:space="preserve"> residents from experiencing severe financial stress</w:t>
      </w:r>
      <w:r w:rsidR="00864AE9">
        <w:rPr>
          <w:rFonts w:asciiTheme="majorHAnsi" w:eastAsiaTheme="majorEastAsia" w:hAnsiTheme="majorHAnsi" w:cstheme="majorHAnsi"/>
          <w:sz w:val="23"/>
          <w:szCs w:val="23"/>
          <w:lang w:val="en-GB"/>
        </w:rPr>
        <w:t xml:space="preserve"> and enabling local organisations and businesses to stay afloat</w:t>
      </w:r>
      <w:r w:rsidRPr="0034443E">
        <w:rPr>
          <w:rFonts w:asciiTheme="majorHAnsi" w:eastAsiaTheme="majorEastAsia" w:hAnsiTheme="majorHAnsi" w:cstheme="majorHAnsi"/>
          <w:sz w:val="23"/>
          <w:szCs w:val="23"/>
          <w:lang w:val="en-GB"/>
        </w:rPr>
        <w:t xml:space="preserve">. For many, </w:t>
      </w:r>
      <w:r w:rsidR="00E129F6">
        <w:rPr>
          <w:rFonts w:asciiTheme="majorHAnsi" w:eastAsiaTheme="majorEastAsia" w:hAnsiTheme="majorHAnsi" w:cstheme="majorHAnsi"/>
          <w:sz w:val="23"/>
          <w:szCs w:val="23"/>
          <w:lang w:val="en-GB"/>
        </w:rPr>
        <w:t>the additional payments</w:t>
      </w:r>
      <w:r w:rsidRPr="0034443E">
        <w:rPr>
          <w:rFonts w:asciiTheme="majorHAnsi" w:eastAsiaTheme="majorEastAsia" w:hAnsiTheme="majorHAnsi" w:cstheme="majorHAnsi"/>
          <w:sz w:val="23"/>
          <w:szCs w:val="23"/>
          <w:lang w:val="en-GB"/>
        </w:rPr>
        <w:t xml:space="preserve"> provided a higher level of income than they previously</w:t>
      </w:r>
      <w:r w:rsidR="005210BB">
        <w:rPr>
          <w:rFonts w:asciiTheme="majorHAnsi" w:eastAsiaTheme="majorEastAsia" w:hAnsiTheme="majorHAnsi" w:cstheme="majorHAnsi"/>
          <w:sz w:val="23"/>
          <w:szCs w:val="23"/>
          <w:lang w:val="en-GB"/>
        </w:rPr>
        <w:t xml:space="preserve"> had</w:t>
      </w:r>
      <w:r w:rsidRPr="0034443E">
        <w:rPr>
          <w:rFonts w:asciiTheme="majorHAnsi" w:eastAsiaTheme="majorEastAsia" w:hAnsiTheme="majorHAnsi" w:cstheme="majorHAnsi"/>
          <w:sz w:val="23"/>
          <w:szCs w:val="23"/>
          <w:lang w:val="en-GB"/>
        </w:rPr>
        <w:t>. Some of this extra income was reported to be invested in long</w:t>
      </w:r>
      <w:r w:rsidR="005210BB">
        <w:rPr>
          <w:rFonts w:asciiTheme="majorHAnsi" w:eastAsiaTheme="majorEastAsia" w:hAnsiTheme="majorHAnsi" w:cstheme="majorHAnsi"/>
          <w:sz w:val="23"/>
          <w:szCs w:val="23"/>
          <w:lang w:val="en-GB"/>
        </w:rPr>
        <w:t>er-</w:t>
      </w:r>
      <w:r w:rsidRPr="0034443E">
        <w:rPr>
          <w:rFonts w:asciiTheme="majorHAnsi" w:eastAsiaTheme="majorEastAsia" w:hAnsiTheme="majorHAnsi" w:cstheme="majorHAnsi"/>
          <w:sz w:val="23"/>
          <w:szCs w:val="23"/>
          <w:lang w:val="en-GB"/>
        </w:rPr>
        <w:t>term needs (</w:t>
      </w:r>
      <w:r w:rsidR="00864AE9">
        <w:rPr>
          <w:rFonts w:asciiTheme="majorHAnsi" w:eastAsiaTheme="majorEastAsia" w:hAnsiTheme="majorHAnsi" w:cstheme="majorHAnsi"/>
          <w:sz w:val="23"/>
          <w:szCs w:val="23"/>
          <w:lang w:val="en-GB"/>
        </w:rPr>
        <w:t xml:space="preserve">such as </w:t>
      </w:r>
      <w:r w:rsidRPr="0034443E">
        <w:rPr>
          <w:rFonts w:asciiTheme="majorHAnsi" w:eastAsiaTheme="majorEastAsia" w:hAnsiTheme="majorHAnsi" w:cstheme="majorHAnsi"/>
          <w:sz w:val="23"/>
          <w:szCs w:val="23"/>
          <w:lang w:val="en-GB"/>
        </w:rPr>
        <w:t>computers, sporting equipment, training</w:t>
      </w:r>
      <w:r w:rsidR="00D172C0">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or education), while other residents </w:t>
      </w:r>
      <w:r w:rsidR="00864AE9">
        <w:rPr>
          <w:rFonts w:asciiTheme="majorHAnsi" w:eastAsiaTheme="majorEastAsia" w:hAnsiTheme="majorHAnsi" w:cstheme="majorHAnsi"/>
          <w:sz w:val="23"/>
          <w:szCs w:val="23"/>
          <w:lang w:val="en-GB"/>
        </w:rPr>
        <w:t xml:space="preserve">used it to meet </w:t>
      </w:r>
      <w:r w:rsidRPr="0034443E">
        <w:rPr>
          <w:rFonts w:asciiTheme="majorHAnsi" w:eastAsiaTheme="majorEastAsia" w:hAnsiTheme="majorHAnsi" w:cstheme="majorHAnsi"/>
          <w:sz w:val="23"/>
          <w:szCs w:val="23"/>
          <w:lang w:val="en-GB"/>
        </w:rPr>
        <w:t>immediate needs (</w:t>
      </w:r>
      <w:r w:rsidR="00864AE9">
        <w:rPr>
          <w:rFonts w:asciiTheme="majorHAnsi" w:eastAsiaTheme="majorEastAsia" w:hAnsiTheme="majorHAnsi" w:cstheme="majorHAnsi"/>
          <w:sz w:val="23"/>
          <w:szCs w:val="23"/>
          <w:lang w:val="en-GB"/>
        </w:rPr>
        <w:t xml:space="preserve">such as </w:t>
      </w:r>
      <w:r w:rsidRPr="0034443E">
        <w:rPr>
          <w:rFonts w:asciiTheme="majorHAnsi" w:eastAsiaTheme="majorEastAsia" w:hAnsiTheme="majorHAnsi" w:cstheme="majorHAnsi"/>
          <w:sz w:val="23"/>
          <w:szCs w:val="23"/>
          <w:lang w:val="en-GB"/>
        </w:rPr>
        <w:t>food). Despite</w:t>
      </w:r>
      <w:r w:rsidR="00D172C0">
        <w:rPr>
          <w:rFonts w:asciiTheme="majorHAnsi" w:eastAsiaTheme="majorEastAsia" w:hAnsiTheme="majorHAnsi" w:cstheme="majorHAnsi"/>
          <w:sz w:val="23"/>
          <w:szCs w:val="23"/>
          <w:lang w:val="en-GB"/>
        </w:rPr>
        <w:t xml:space="preserve"> </w:t>
      </w:r>
      <w:r w:rsidR="00DE183E">
        <w:rPr>
          <w:rFonts w:asciiTheme="majorHAnsi" w:eastAsiaTheme="majorEastAsia" w:hAnsiTheme="majorHAnsi" w:cstheme="majorHAnsi"/>
          <w:sz w:val="23"/>
          <w:szCs w:val="23"/>
          <w:lang w:val="en-GB"/>
        </w:rPr>
        <w:t xml:space="preserve">one interviewee </w:t>
      </w:r>
      <w:r w:rsidR="00224BA8">
        <w:rPr>
          <w:rFonts w:asciiTheme="majorHAnsi" w:eastAsiaTheme="majorEastAsia" w:hAnsiTheme="majorHAnsi" w:cstheme="majorHAnsi"/>
          <w:sz w:val="23"/>
          <w:szCs w:val="23"/>
          <w:lang w:val="en-GB"/>
        </w:rPr>
        <w:t>wondering</w:t>
      </w:r>
      <w:r w:rsidR="00864AE9">
        <w:rPr>
          <w:rFonts w:asciiTheme="majorHAnsi" w:eastAsiaTheme="majorEastAsia" w:hAnsiTheme="majorHAnsi" w:cstheme="majorHAnsi"/>
          <w:sz w:val="23"/>
          <w:szCs w:val="23"/>
          <w:lang w:val="en-GB"/>
        </w:rPr>
        <w:t xml:space="preserve"> whether </w:t>
      </w:r>
      <w:r w:rsidRPr="0034443E">
        <w:rPr>
          <w:rFonts w:asciiTheme="majorHAnsi" w:eastAsiaTheme="majorEastAsia" w:hAnsiTheme="majorHAnsi" w:cstheme="majorHAnsi"/>
          <w:sz w:val="23"/>
          <w:szCs w:val="23"/>
          <w:lang w:val="en-GB"/>
        </w:rPr>
        <w:t>the</w:t>
      </w:r>
      <w:r w:rsidR="00D172C0">
        <w:rPr>
          <w:rFonts w:asciiTheme="majorHAnsi" w:eastAsiaTheme="majorEastAsia" w:hAnsiTheme="majorHAnsi" w:cstheme="majorHAnsi"/>
          <w:sz w:val="23"/>
          <w:szCs w:val="23"/>
          <w:lang w:val="en-GB"/>
        </w:rPr>
        <w:t>se</w:t>
      </w:r>
      <w:r w:rsidRPr="0034443E">
        <w:rPr>
          <w:rFonts w:asciiTheme="majorHAnsi" w:eastAsiaTheme="majorEastAsia" w:hAnsiTheme="majorHAnsi" w:cstheme="majorHAnsi"/>
          <w:sz w:val="23"/>
          <w:szCs w:val="23"/>
          <w:lang w:val="en-GB"/>
        </w:rPr>
        <w:t xml:space="preserve"> payments</w:t>
      </w:r>
      <w:r w:rsidR="00864AE9">
        <w:rPr>
          <w:rFonts w:asciiTheme="majorHAnsi" w:eastAsiaTheme="majorEastAsia" w:hAnsiTheme="majorHAnsi" w:cstheme="majorHAnsi"/>
          <w:sz w:val="23"/>
          <w:szCs w:val="23"/>
          <w:lang w:val="en-GB"/>
        </w:rPr>
        <w:t xml:space="preserve"> </w:t>
      </w:r>
      <w:r w:rsidR="00DA72DE">
        <w:rPr>
          <w:rFonts w:asciiTheme="majorHAnsi" w:eastAsiaTheme="majorEastAsia" w:hAnsiTheme="majorHAnsi" w:cstheme="majorHAnsi"/>
          <w:sz w:val="23"/>
          <w:szCs w:val="23"/>
          <w:lang w:val="en-GB"/>
        </w:rPr>
        <w:t>could</w:t>
      </w:r>
      <w:r w:rsidRPr="0034443E">
        <w:rPr>
          <w:rFonts w:asciiTheme="majorHAnsi" w:eastAsiaTheme="majorEastAsia" w:hAnsiTheme="majorHAnsi" w:cstheme="majorHAnsi"/>
          <w:sz w:val="23"/>
          <w:szCs w:val="23"/>
          <w:lang w:val="en-GB"/>
        </w:rPr>
        <w:t xml:space="preserve"> </w:t>
      </w:r>
      <w:r w:rsidR="00864AE9">
        <w:rPr>
          <w:rFonts w:asciiTheme="majorHAnsi" w:eastAsiaTheme="majorEastAsia" w:hAnsiTheme="majorHAnsi" w:cstheme="majorHAnsi"/>
          <w:sz w:val="23"/>
          <w:szCs w:val="23"/>
          <w:lang w:val="en-GB"/>
        </w:rPr>
        <w:t xml:space="preserve">potentially </w:t>
      </w:r>
      <w:r w:rsidRPr="0034443E">
        <w:rPr>
          <w:rFonts w:asciiTheme="majorHAnsi" w:eastAsiaTheme="majorEastAsia" w:hAnsiTheme="majorHAnsi" w:cstheme="majorHAnsi"/>
          <w:sz w:val="23"/>
          <w:szCs w:val="23"/>
          <w:lang w:val="en-GB"/>
        </w:rPr>
        <w:t>act as a disincentive to job</w:t>
      </w:r>
      <w:r w:rsidR="00224BA8">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seeking</w:t>
      </w:r>
      <w:r w:rsidR="00864AE9">
        <w:rPr>
          <w:rFonts w:asciiTheme="majorHAnsi" w:eastAsiaTheme="majorEastAsia" w:hAnsiTheme="majorHAnsi" w:cstheme="majorHAnsi"/>
          <w:sz w:val="23"/>
          <w:szCs w:val="23"/>
          <w:lang w:val="en-GB"/>
        </w:rPr>
        <w:t xml:space="preserve"> for some people</w:t>
      </w:r>
      <w:r w:rsidRPr="0034443E">
        <w:rPr>
          <w:rFonts w:asciiTheme="majorHAnsi" w:eastAsiaTheme="majorEastAsia" w:hAnsiTheme="majorHAnsi" w:cstheme="majorHAnsi"/>
          <w:sz w:val="23"/>
          <w:szCs w:val="23"/>
          <w:lang w:val="en-GB"/>
        </w:rPr>
        <w:t xml:space="preserve">, </w:t>
      </w:r>
      <w:r w:rsidR="00224BA8">
        <w:rPr>
          <w:rFonts w:asciiTheme="majorHAnsi" w:eastAsiaTheme="majorEastAsia" w:hAnsiTheme="majorHAnsi" w:cstheme="majorHAnsi"/>
          <w:sz w:val="23"/>
          <w:szCs w:val="23"/>
          <w:lang w:val="en-GB"/>
        </w:rPr>
        <w:t>our informants</w:t>
      </w:r>
      <w:r w:rsidR="00DA72DE">
        <w:rPr>
          <w:rFonts w:asciiTheme="majorHAnsi" w:eastAsiaTheme="majorEastAsia" w:hAnsiTheme="majorHAnsi" w:cstheme="majorHAnsi"/>
          <w:sz w:val="23"/>
          <w:szCs w:val="23"/>
          <w:lang w:val="en-GB"/>
        </w:rPr>
        <w:t xml:space="preserve"> expressed</w:t>
      </w:r>
      <w:r w:rsidRPr="0034443E">
        <w:rPr>
          <w:rFonts w:asciiTheme="majorHAnsi" w:eastAsiaTheme="majorEastAsia" w:hAnsiTheme="majorHAnsi" w:cstheme="majorHAnsi"/>
          <w:sz w:val="23"/>
          <w:szCs w:val="23"/>
          <w:lang w:val="en-GB"/>
        </w:rPr>
        <w:t xml:space="preserve"> deep concern</w:t>
      </w:r>
      <w:r w:rsidR="00864AE9">
        <w:rPr>
          <w:rFonts w:asciiTheme="majorHAnsi" w:eastAsiaTheme="majorEastAsia" w:hAnsiTheme="majorHAnsi" w:cstheme="majorHAnsi"/>
          <w:sz w:val="23"/>
          <w:szCs w:val="23"/>
          <w:lang w:val="en-GB"/>
        </w:rPr>
        <w:t xml:space="preserve"> </w:t>
      </w:r>
      <w:r w:rsidRPr="0034443E">
        <w:rPr>
          <w:rFonts w:asciiTheme="majorHAnsi" w:eastAsiaTheme="majorEastAsia" w:hAnsiTheme="majorHAnsi" w:cstheme="majorHAnsi"/>
          <w:sz w:val="23"/>
          <w:szCs w:val="23"/>
          <w:lang w:val="en-GB"/>
        </w:rPr>
        <w:t>about the</w:t>
      </w:r>
      <w:r w:rsidR="00C930F9">
        <w:rPr>
          <w:rFonts w:asciiTheme="majorHAnsi" w:eastAsiaTheme="majorEastAsia" w:hAnsiTheme="majorHAnsi" w:cstheme="majorHAnsi"/>
          <w:sz w:val="23"/>
          <w:szCs w:val="23"/>
          <w:lang w:val="en-GB"/>
        </w:rPr>
        <w:t>ir</w:t>
      </w:r>
      <w:r w:rsidRPr="0034443E">
        <w:rPr>
          <w:rFonts w:asciiTheme="majorHAnsi" w:eastAsiaTheme="majorEastAsia" w:hAnsiTheme="majorHAnsi" w:cstheme="majorHAnsi"/>
          <w:sz w:val="23"/>
          <w:szCs w:val="23"/>
          <w:lang w:val="en-GB"/>
        </w:rPr>
        <w:t xml:space="preserve"> imminent ce</w:t>
      </w:r>
      <w:r w:rsidR="00DA72DE">
        <w:rPr>
          <w:rFonts w:asciiTheme="majorHAnsi" w:eastAsiaTheme="majorEastAsia" w:hAnsiTheme="majorHAnsi" w:cstheme="majorHAnsi"/>
          <w:sz w:val="23"/>
          <w:szCs w:val="23"/>
          <w:lang w:val="en-GB"/>
        </w:rPr>
        <w:t>ssation</w:t>
      </w:r>
      <w:r w:rsidR="00C930F9">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w:t>
      </w:r>
    </w:p>
    <w:p w14:paraId="40FFCB08" w14:textId="5E35B7EA" w:rsidR="00F00E3D" w:rsidRPr="0034443E" w:rsidRDefault="00F00E3D" w:rsidP="00CB04F1">
      <w:pPr>
        <w:spacing w:after="0"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 xml:space="preserve">Several interviewees also reported an increase in employment opportunities for residents in “essential” service roles, such as cleaning, take away food delivery, aged care, health and </w:t>
      </w:r>
      <w:r w:rsidR="00940D80" w:rsidRPr="0034443E">
        <w:rPr>
          <w:rFonts w:asciiTheme="majorHAnsi" w:eastAsiaTheme="majorEastAsia" w:hAnsiTheme="majorHAnsi" w:cstheme="majorHAnsi"/>
          <w:sz w:val="23"/>
          <w:szCs w:val="23"/>
          <w:lang w:val="en-GB"/>
        </w:rPr>
        <w:t>COVID</w:t>
      </w:r>
      <w:r w:rsidRPr="0034443E">
        <w:rPr>
          <w:rFonts w:asciiTheme="majorHAnsi" w:eastAsiaTheme="majorEastAsia" w:hAnsiTheme="majorHAnsi" w:cstheme="majorHAnsi"/>
          <w:sz w:val="23"/>
          <w:szCs w:val="23"/>
          <w:lang w:val="en-GB"/>
        </w:rPr>
        <w:t xml:space="preserve">-testing, transport, and logistics. While the longevity of these positions </w:t>
      </w:r>
      <w:r w:rsidR="00E90290">
        <w:rPr>
          <w:rFonts w:asciiTheme="majorHAnsi" w:eastAsiaTheme="majorEastAsia" w:hAnsiTheme="majorHAnsi" w:cstheme="majorHAnsi"/>
          <w:sz w:val="23"/>
          <w:szCs w:val="23"/>
          <w:lang w:val="en-GB"/>
        </w:rPr>
        <w:t>remains</w:t>
      </w:r>
      <w:r w:rsidRPr="0034443E">
        <w:rPr>
          <w:rFonts w:asciiTheme="majorHAnsi" w:eastAsiaTheme="majorEastAsia" w:hAnsiTheme="majorHAnsi" w:cstheme="majorHAnsi"/>
          <w:sz w:val="23"/>
          <w:szCs w:val="23"/>
          <w:lang w:val="en-GB"/>
        </w:rPr>
        <w:t xml:space="preserve"> uncertain, th</w:t>
      </w:r>
      <w:r w:rsidR="00864AE9">
        <w:rPr>
          <w:rFonts w:asciiTheme="majorHAnsi" w:eastAsiaTheme="majorEastAsia" w:hAnsiTheme="majorHAnsi" w:cstheme="majorHAnsi"/>
          <w:sz w:val="23"/>
          <w:szCs w:val="23"/>
          <w:lang w:val="en-GB"/>
        </w:rPr>
        <w:t xml:space="preserve">is </w:t>
      </w:r>
      <w:r w:rsidR="00E90290">
        <w:rPr>
          <w:rFonts w:asciiTheme="majorHAnsi" w:eastAsiaTheme="majorEastAsia" w:hAnsiTheme="majorHAnsi" w:cstheme="majorHAnsi"/>
          <w:sz w:val="23"/>
          <w:szCs w:val="23"/>
          <w:lang w:val="en-GB"/>
        </w:rPr>
        <w:t xml:space="preserve">increase in </w:t>
      </w:r>
      <w:r w:rsidR="00864AE9">
        <w:rPr>
          <w:rFonts w:asciiTheme="majorHAnsi" w:eastAsiaTheme="majorEastAsia" w:hAnsiTheme="majorHAnsi" w:cstheme="majorHAnsi"/>
          <w:sz w:val="23"/>
          <w:szCs w:val="23"/>
          <w:lang w:val="en-GB"/>
        </w:rPr>
        <w:t>work</w:t>
      </w:r>
      <w:r w:rsidR="00E90290">
        <w:rPr>
          <w:rFonts w:asciiTheme="majorHAnsi" w:eastAsiaTheme="majorEastAsia" w:hAnsiTheme="majorHAnsi" w:cstheme="majorHAnsi"/>
          <w:sz w:val="23"/>
          <w:szCs w:val="23"/>
          <w:lang w:val="en-GB"/>
        </w:rPr>
        <w:t xml:space="preserve"> opportunities reportedly</w:t>
      </w:r>
      <w:r w:rsidRPr="0034443E">
        <w:rPr>
          <w:rFonts w:asciiTheme="majorHAnsi" w:eastAsiaTheme="majorEastAsia" w:hAnsiTheme="majorHAnsi" w:cstheme="majorHAnsi"/>
          <w:sz w:val="23"/>
          <w:szCs w:val="23"/>
          <w:lang w:val="en-GB"/>
        </w:rPr>
        <w:t xml:space="preserve"> increased the financial resources available in the community, provided first jobs for young people, raised the status of jobs</w:t>
      </w:r>
      <w:r w:rsidR="00864AE9">
        <w:rPr>
          <w:rFonts w:asciiTheme="majorHAnsi" w:eastAsiaTheme="majorEastAsia" w:hAnsiTheme="majorHAnsi" w:cstheme="majorHAnsi"/>
          <w:sz w:val="23"/>
          <w:szCs w:val="23"/>
          <w:lang w:val="en-GB"/>
        </w:rPr>
        <w:t xml:space="preserve"> that had</w:t>
      </w:r>
      <w:r w:rsidRPr="0034443E">
        <w:rPr>
          <w:rFonts w:asciiTheme="majorHAnsi" w:eastAsiaTheme="majorEastAsia" w:hAnsiTheme="majorHAnsi" w:cstheme="majorHAnsi"/>
          <w:sz w:val="23"/>
          <w:szCs w:val="23"/>
          <w:lang w:val="en-GB"/>
        </w:rPr>
        <w:t xml:space="preserve"> long </w:t>
      </w:r>
      <w:r w:rsidR="00864AE9">
        <w:rPr>
          <w:rFonts w:asciiTheme="majorHAnsi" w:eastAsiaTheme="majorEastAsia" w:hAnsiTheme="majorHAnsi" w:cstheme="majorHAnsi"/>
          <w:sz w:val="23"/>
          <w:szCs w:val="23"/>
          <w:lang w:val="en-GB"/>
        </w:rPr>
        <w:t xml:space="preserve">been </w:t>
      </w:r>
      <w:r w:rsidRPr="0034443E">
        <w:rPr>
          <w:rFonts w:asciiTheme="majorHAnsi" w:eastAsiaTheme="majorEastAsia" w:hAnsiTheme="majorHAnsi" w:cstheme="majorHAnsi"/>
          <w:sz w:val="23"/>
          <w:szCs w:val="23"/>
          <w:lang w:val="en-GB"/>
        </w:rPr>
        <w:t>done</w:t>
      </w:r>
      <w:r w:rsidR="00864AE9">
        <w:rPr>
          <w:rFonts w:asciiTheme="majorHAnsi" w:eastAsiaTheme="majorEastAsia" w:hAnsiTheme="majorHAnsi" w:cstheme="majorHAnsi"/>
          <w:sz w:val="23"/>
          <w:szCs w:val="23"/>
          <w:lang w:val="en-GB"/>
        </w:rPr>
        <w:t xml:space="preserve"> by </w:t>
      </w:r>
      <w:r w:rsidR="00E90290">
        <w:rPr>
          <w:rFonts w:asciiTheme="majorHAnsi" w:eastAsiaTheme="majorEastAsia" w:hAnsiTheme="majorHAnsi" w:cstheme="majorHAnsi"/>
          <w:sz w:val="23"/>
          <w:szCs w:val="23"/>
          <w:lang w:val="en-GB"/>
        </w:rPr>
        <w:t>residents in</w:t>
      </w:r>
      <w:r w:rsidRPr="0034443E">
        <w:rPr>
          <w:rFonts w:asciiTheme="majorHAnsi" w:eastAsiaTheme="majorEastAsia" w:hAnsiTheme="majorHAnsi" w:cstheme="majorHAnsi"/>
          <w:sz w:val="23"/>
          <w:szCs w:val="23"/>
          <w:lang w:val="en-GB"/>
        </w:rPr>
        <w:t xml:space="preserve"> the</w:t>
      </w:r>
      <w:r w:rsidR="00864AE9">
        <w:rPr>
          <w:rFonts w:asciiTheme="majorHAnsi" w:eastAsiaTheme="majorEastAsia" w:hAnsiTheme="majorHAnsi" w:cstheme="majorHAnsi"/>
          <w:sz w:val="23"/>
          <w:szCs w:val="23"/>
          <w:lang w:val="en-GB"/>
        </w:rPr>
        <w:t>se</w:t>
      </w:r>
      <w:r w:rsidRPr="0034443E">
        <w:rPr>
          <w:rFonts w:asciiTheme="majorHAnsi" w:eastAsiaTheme="majorEastAsia" w:hAnsiTheme="majorHAnsi" w:cstheme="majorHAnsi"/>
          <w:sz w:val="23"/>
          <w:szCs w:val="23"/>
          <w:lang w:val="en-GB"/>
        </w:rPr>
        <w:t xml:space="preserve"> areas</w:t>
      </w:r>
      <w:r w:rsidR="00864AE9">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and supported older workers to continue their careers.</w:t>
      </w:r>
    </w:p>
    <w:p w14:paraId="301CD137" w14:textId="77777777" w:rsidR="00F00E3D" w:rsidRPr="00E90290" w:rsidRDefault="00F00E3D" w:rsidP="00CE336D">
      <w:pPr>
        <w:spacing w:after="0" w:line="276" w:lineRule="auto"/>
        <w:rPr>
          <w:rFonts w:asciiTheme="majorHAnsi" w:eastAsiaTheme="majorEastAsia" w:hAnsiTheme="majorHAnsi" w:cstheme="majorHAnsi"/>
          <w:b/>
          <w:bCs/>
          <w:sz w:val="16"/>
          <w:szCs w:val="16"/>
          <w:lang w:val="en-GB"/>
        </w:rPr>
      </w:pPr>
    </w:p>
    <w:p w14:paraId="5C93069E" w14:textId="72C12C58" w:rsidR="00F00E3D" w:rsidRPr="00CB04F1" w:rsidRDefault="00F00E3D" w:rsidP="00BA4B13">
      <w:pPr>
        <w:spacing w:after="0" w:line="276" w:lineRule="auto"/>
        <w:rPr>
          <w:rFonts w:eastAsiaTheme="majorEastAsia" w:cstheme="majorHAnsi"/>
          <w:b/>
          <w:bCs/>
          <w:sz w:val="25"/>
          <w:szCs w:val="25"/>
          <w:lang w:val="en-GB"/>
        </w:rPr>
      </w:pPr>
      <w:r w:rsidRPr="00CB04F1">
        <w:rPr>
          <w:rFonts w:eastAsiaTheme="majorEastAsia" w:cstheme="majorHAnsi"/>
          <w:b/>
          <w:bCs/>
          <w:sz w:val="25"/>
          <w:szCs w:val="25"/>
          <w:lang w:val="en-GB"/>
        </w:rPr>
        <w:t>Education</w:t>
      </w:r>
    </w:p>
    <w:p w14:paraId="77CF27D2" w14:textId="77777777" w:rsidR="00E90290" w:rsidRPr="00E90290" w:rsidRDefault="00E90290" w:rsidP="00CE336D">
      <w:pPr>
        <w:spacing w:after="0" w:line="276" w:lineRule="auto"/>
        <w:rPr>
          <w:rFonts w:asciiTheme="majorHAnsi" w:eastAsiaTheme="majorEastAsia" w:hAnsiTheme="majorHAnsi" w:cstheme="majorHAnsi"/>
          <w:b/>
          <w:bCs/>
          <w:sz w:val="12"/>
          <w:szCs w:val="12"/>
          <w:lang w:val="en-GB"/>
        </w:rPr>
      </w:pPr>
    </w:p>
    <w:p w14:paraId="0F71BADC" w14:textId="7F3D5077" w:rsidR="00F00E3D" w:rsidRPr="0034443E" w:rsidRDefault="001771E9" w:rsidP="00CE336D">
      <w:pPr>
        <w:spacing w:line="276" w:lineRule="auto"/>
        <w:rPr>
          <w:rFonts w:asciiTheme="majorHAnsi" w:eastAsiaTheme="majorEastAsia" w:hAnsiTheme="majorHAnsi" w:cstheme="majorHAnsi"/>
          <w:sz w:val="23"/>
          <w:szCs w:val="23"/>
          <w:lang w:val="en-GB"/>
        </w:rPr>
      </w:pPr>
      <w:r>
        <w:rPr>
          <w:rFonts w:asciiTheme="majorHAnsi" w:eastAsiaTheme="majorEastAsia" w:hAnsiTheme="majorHAnsi" w:cstheme="majorHAnsi"/>
          <w:sz w:val="23"/>
          <w:szCs w:val="23"/>
          <w:lang w:val="en-GB"/>
        </w:rPr>
        <w:t>The development of</w:t>
      </w:r>
      <w:r w:rsidR="00F00E3D" w:rsidRPr="0034443E">
        <w:rPr>
          <w:rFonts w:asciiTheme="majorHAnsi" w:eastAsiaTheme="majorEastAsia" w:hAnsiTheme="majorHAnsi" w:cstheme="majorHAnsi"/>
          <w:sz w:val="23"/>
          <w:szCs w:val="23"/>
          <w:lang w:val="en-GB"/>
        </w:rPr>
        <w:t xml:space="preserve"> greater digital (and other literacy</w:t>
      </w:r>
      <w:r>
        <w:rPr>
          <w:rFonts w:asciiTheme="majorHAnsi" w:eastAsiaTheme="majorEastAsia" w:hAnsiTheme="majorHAnsi" w:cstheme="majorHAnsi"/>
          <w:sz w:val="23"/>
          <w:szCs w:val="23"/>
          <w:lang w:val="en-GB"/>
        </w:rPr>
        <w:t>-related)</w:t>
      </w:r>
      <w:r w:rsidR="00F00E3D" w:rsidRPr="0034443E">
        <w:rPr>
          <w:rFonts w:asciiTheme="majorHAnsi" w:eastAsiaTheme="majorEastAsia" w:hAnsiTheme="majorHAnsi" w:cstheme="majorHAnsi"/>
          <w:sz w:val="23"/>
          <w:szCs w:val="23"/>
          <w:lang w:val="en-GB"/>
        </w:rPr>
        <w:t xml:space="preserve"> skills was identified as </w:t>
      </w:r>
      <w:r>
        <w:rPr>
          <w:rFonts w:asciiTheme="majorHAnsi" w:eastAsiaTheme="majorEastAsia" w:hAnsiTheme="majorHAnsi" w:cstheme="majorHAnsi"/>
          <w:sz w:val="23"/>
          <w:szCs w:val="23"/>
          <w:lang w:val="en-GB"/>
        </w:rPr>
        <w:t xml:space="preserve">a </w:t>
      </w:r>
      <w:r w:rsidR="00F00E3D" w:rsidRPr="0034443E">
        <w:rPr>
          <w:rFonts w:asciiTheme="majorHAnsi" w:eastAsiaTheme="majorEastAsia" w:hAnsiTheme="majorHAnsi" w:cstheme="majorHAnsi"/>
          <w:sz w:val="23"/>
          <w:szCs w:val="23"/>
          <w:lang w:val="en-GB"/>
        </w:rPr>
        <w:t xml:space="preserve">primary positive community outcome </w:t>
      </w:r>
      <w:r w:rsidR="001F7101">
        <w:rPr>
          <w:rFonts w:asciiTheme="majorHAnsi" w:eastAsiaTheme="majorEastAsia" w:hAnsiTheme="majorHAnsi" w:cstheme="majorHAnsi"/>
          <w:sz w:val="23"/>
          <w:szCs w:val="23"/>
          <w:lang w:val="en-GB"/>
        </w:rPr>
        <w:t>for some residents during</w:t>
      </w:r>
      <w:r w:rsidR="00F00E3D" w:rsidRPr="0034443E">
        <w:rPr>
          <w:rFonts w:asciiTheme="majorHAnsi" w:eastAsiaTheme="majorEastAsia" w:hAnsiTheme="majorHAnsi" w:cstheme="majorHAnsi"/>
          <w:sz w:val="23"/>
          <w:szCs w:val="23"/>
          <w:lang w:val="en-GB"/>
        </w:rPr>
        <w:t xml:space="preserve"> the pandemic. </w:t>
      </w:r>
      <w:r w:rsidR="000E230A">
        <w:rPr>
          <w:rFonts w:asciiTheme="majorHAnsi" w:eastAsiaTheme="majorEastAsia" w:hAnsiTheme="majorHAnsi" w:cstheme="majorHAnsi"/>
          <w:sz w:val="23"/>
          <w:szCs w:val="23"/>
          <w:lang w:val="en-GB"/>
        </w:rPr>
        <w:t xml:space="preserve">For </w:t>
      </w:r>
      <w:r w:rsidR="00232FDB">
        <w:rPr>
          <w:rFonts w:asciiTheme="majorHAnsi" w:eastAsiaTheme="majorEastAsia" w:hAnsiTheme="majorHAnsi" w:cstheme="majorHAnsi"/>
          <w:sz w:val="23"/>
          <w:szCs w:val="23"/>
          <w:lang w:val="en-GB"/>
        </w:rPr>
        <w:t>people</w:t>
      </w:r>
      <w:r w:rsidR="000E230A">
        <w:rPr>
          <w:rFonts w:asciiTheme="majorHAnsi" w:eastAsiaTheme="majorEastAsia" w:hAnsiTheme="majorHAnsi" w:cstheme="majorHAnsi"/>
          <w:sz w:val="23"/>
          <w:szCs w:val="23"/>
          <w:lang w:val="en-GB"/>
        </w:rPr>
        <w:t xml:space="preserve"> who</w:t>
      </w:r>
      <w:r w:rsidR="00F00E3D" w:rsidRPr="0034443E">
        <w:rPr>
          <w:rFonts w:asciiTheme="majorHAnsi" w:eastAsiaTheme="majorEastAsia" w:hAnsiTheme="majorHAnsi" w:cstheme="majorHAnsi"/>
          <w:sz w:val="23"/>
          <w:szCs w:val="23"/>
          <w:lang w:val="en-GB"/>
        </w:rPr>
        <w:t xml:space="preserve"> had access to appropriate </w:t>
      </w:r>
      <w:r>
        <w:rPr>
          <w:rFonts w:asciiTheme="majorHAnsi" w:eastAsiaTheme="majorEastAsia" w:hAnsiTheme="majorHAnsi" w:cstheme="majorHAnsi"/>
          <w:sz w:val="23"/>
          <w:szCs w:val="23"/>
          <w:lang w:val="en-GB"/>
        </w:rPr>
        <w:t xml:space="preserve">and affordable </w:t>
      </w:r>
      <w:r w:rsidR="00F00E3D" w:rsidRPr="0034443E">
        <w:rPr>
          <w:rFonts w:asciiTheme="majorHAnsi" w:eastAsiaTheme="majorEastAsia" w:hAnsiTheme="majorHAnsi" w:cstheme="majorHAnsi"/>
          <w:sz w:val="23"/>
          <w:szCs w:val="23"/>
          <w:lang w:val="en-GB"/>
        </w:rPr>
        <w:t>infrastructure and connectivity, the enforced shift online enabled them to develop new digital literacy skills and broaden their networks</w:t>
      </w:r>
      <w:r w:rsidR="00CE336D">
        <w:rPr>
          <w:rFonts w:asciiTheme="majorHAnsi" w:eastAsiaTheme="majorEastAsia" w:hAnsiTheme="majorHAnsi" w:cstheme="majorHAnsi"/>
          <w:sz w:val="23"/>
          <w:szCs w:val="23"/>
          <w:lang w:val="en-GB"/>
        </w:rPr>
        <w:t xml:space="preserve"> significantly</w:t>
      </w:r>
      <w:r w:rsidR="0005428E">
        <w:rPr>
          <w:rFonts w:asciiTheme="majorHAnsi" w:eastAsiaTheme="majorEastAsia" w:hAnsiTheme="majorHAnsi" w:cstheme="majorHAnsi"/>
          <w:sz w:val="23"/>
          <w:szCs w:val="23"/>
          <w:lang w:val="en-GB"/>
        </w:rPr>
        <w:t>, extending their engagement well beyond the</w:t>
      </w:r>
      <w:r w:rsidR="00CB04F1">
        <w:rPr>
          <w:rFonts w:asciiTheme="majorHAnsi" w:eastAsiaTheme="majorEastAsia" w:hAnsiTheme="majorHAnsi" w:cstheme="majorHAnsi"/>
          <w:sz w:val="23"/>
          <w:szCs w:val="23"/>
          <w:lang w:val="en-GB"/>
        </w:rPr>
        <w:t>ir</w:t>
      </w:r>
      <w:r w:rsidR="0005428E">
        <w:rPr>
          <w:rFonts w:asciiTheme="majorHAnsi" w:eastAsiaTheme="majorEastAsia" w:hAnsiTheme="majorHAnsi" w:cstheme="majorHAnsi"/>
          <w:sz w:val="23"/>
          <w:szCs w:val="23"/>
          <w:lang w:val="en-GB"/>
        </w:rPr>
        <w:t xml:space="preserve"> usual geographic boundaries</w:t>
      </w:r>
      <w:r w:rsidR="00F00E3D" w:rsidRPr="0034443E">
        <w:rPr>
          <w:rFonts w:asciiTheme="majorHAnsi" w:eastAsiaTheme="majorEastAsia" w:hAnsiTheme="majorHAnsi" w:cstheme="majorHAnsi"/>
          <w:sz w:val="23"/>
          <w:szCs w:val="23"/>
          <w:lang w:val="en-GB"/>
        </w:rPr>
        <w:t>. One interviewee also described how general literacy improved as young people spent more time communicating online with their teachers.</w:t>
      </w:r>
    </w:p>
    <w:p w14:paraId="191A4D23" w14:textId="480568AD" w:rsidR="00F00E3D" w:rsidRPr="0034443E" w:rsidRDefault="00F00E3D" w:rsidP="00B67A8A">
      <w:pPr>
        <w:spacing w:line="276" w:lineRule="auto"/>
        <w:ind w:left="720"/>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What I saw was an amazing improvement of what and how the students wrote, they got more sophisticated as time went on and they wrote more</w:t>
      </w:r>
      <w:r w:rsidR="005644A0">
        <w:rPr>
          <w:rFonts w:asciiTheme="majorHAnsi" w:eastAsiaTheme="majorEastAsia" w:hAnsiTheme="majorHAnsi" w:cstheme="majorHAnsi"/>
          <w:sz w:val="23"/>
          <w:szCs w:val="23"/>
          <w:lang w:val="en-GB"/>
        </w:rPr>
        <w:t xml:space="preserve"> </w:t>
      </w:r>
      <w:r w:rsidRPr="0034443E">
        <w:rPr>
          <w:rFonts w:asciiTheme="majorHAnsi" w:eastAsiaTheme="majorEastAsia" w:hAnsiTheme="majorHAnsi" w:cstheme="majorHAnsi"/>
          <w:sz w:val="23"/>
          <w:szCs w:val="23"/>
          <w:lang w:val="en-GB"/>
        </w:rPr>
        <w:t>(P3)</w:t>
      </w:r>
      <w:r w:rsidR="00CB04F1">
        <w:rPr>
          <w:rFonts w:asciiTheme="majorHAnsi" w:eastAsiaTheme="majorEastAsia" w:hAnsiTheme="majorHAnsi" w:cstheme="majorHAnsi"/>
          <w:sz w:val="23"/>
          <w:szCs w:val="23"/>
          <w:lang w:val="en-GB"/>
        </w:rPr>
        <w:t>.</w:t>
      </w:r>
    </w:p>
    <w:p w14:paraId="210DE892" w14:textId="77777777" w:rsidR="00F00E3D" w:rsidRPr="00CB04F1" w:rsidRDefault="00F00E3D" w:rsidP="00B67A8A">
      <w:pPr>
        <w:spacing w:line="276" w:lineRule="auto"/>
        <w:rPr>
          <w:rFonts w:eastAsiaTheme="majorEastAsia" w:cstheme="majorHAnsi"/>
          <w:b/>
          <w:bCs/>
          <w:sz w:val="25"/>
          <w:szCs w:val="25"/>
          <w:lang w:val="en-GB"/>
        </w:rPr>
      </w:pPr>
      <w:r w:rsidRPr="00CB04F1">
        <w:rPr>
          <w:rFonts w:eastAsiaTheme="majorEastAsia" w:cstheme="majorHAnsi"/>
          <w:b/>
          <w:bCs/>
          <w:sz w:val="25"/>
          <w:szCs w:val="25"/>
          <w:lang w:val="en-GB"/>
        </w:rPr>
        <w:t>Housing</w:t>
      </w:r>
    </w:p>
    <w:p w14:paraId="6B53E92C" w14:textId="7ADC00D6" w:rsidR="00F00E3D" w:rsidRPr="005644A0" w:rsidRDefault="00F00E3D" w:rsidP="005E71C1">
      <w:pPr>
        <w:spacing w:after="0"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 xml:space="preserve">While some built environments were neglected during the pandemic, </w:t>
      </w:r>
      <w:r w:rsidR="00B67A8A">
        <w:rPr>
          <w:rFonts w:asciiTheme="majorHAnsi" w:eastAsiaTheme="majorEastAsia" w:hAnsiTheme="majorHAnsi" w:cstheme="majorHAnsi"/>
          <w:sz w:val="23"/>
          <w:szCs w:val="23"/>
          <w:lang w:val="en-GB"/>
        </w:rPr>
        <w:t xml:space="preserve">becoming more rundown as a result, </w:t>
      </w:r>
      <w:r w:rsidRPr="0034443E">
        <w:rPr>
          <w:rFonts w:asciiTheme="majorHAnsi" w:eastAsiaTheme="majorEastAsia" w:hAnsiTheme="majorHAnsi" w:cstheme="majorHAnsi"/>
          <w:sz w:val="23"/>
          <w:szCs w:val="23"/>
          <w:lang w:val="en-GB"/>
        </w:rPr>
        <w:t xml:space="preserve">interviewees also reported that changes to daily routine allowed some people to complete maintenance and repairs jobs they previously could not find time for. Some public housing was also upgraded during the extended lockdown, as tradespeople were considered an </w:t>
      </w:r>
      <w:r w:rsidR="00B67A8A">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essential</w:t>
      </w:r>
      <w:r w:rsidR="00B67A8A">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service</w:t>
      </w:r>
      <w:r w:rsidR="00B67A8A">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and were able to continue their employment. Being largely confined to the home environment also led to creative solutions in some cases, with new perspectives emerging on the use of space for work and play.  </w:t>
      </w:r>
    </w:p>
    <w:p w14:paraId="06B16CA4" w14:textId="77777777" w:rsidR="005E71C1" w:rsidRPr="005E71C1" w:rsidRDefault="005E71C1" w:rsidP="005E71C1">
      <w:pPr>
        <w:spacing w:after="0" w:line="276" w:lineRule="auto"/>
        <w:rPr>
          <w:rFonts w:eastAsiaTheme="majorEastAsia" w:cstheme="majorHAnsi"/>
          <w:b/>
          <w:bCs/>
          <w:sz w:val="16"/>
          <w:szCs w:val="16"/>
          <w:lang w:val="en-GB"/>
        </w:rPr>
      </w:pPr>
    </w:p>
    <w:p w14:paraId="0D252477" w14:textId="40292D08" w:rsidR="00F00E3D" w:rsidRPr="00B67A8A" w:rsidRDefault="00F00E3D" w:rsidP="00245673">
      <w:pPr>
        <w:spacing w:line="276" w:lineRule="auto"/>
        <w:rPr>
          <w:rFonts w:eastAsiaTheme="majorEastAsia" w:cstheme="majorHAnsi"/>
          <w:b/>
          <w:bCs/>
          <w:sz w:val="25"/>
          <w:szCs w:val="25"/>
          <w:lang w:val="en-GB"/>
        </w:rPr>
      </w:pPr>
      <w:r w:rsidRPr="00B67A8A">
        <w:rPr>
          <w:rFonts w:eastAsiaTheme="majorEastAsia" w:cstheme="majorHAnsi"/>
          <w:b/>
          <w:bCs/>
          <w:sz w:val="25"/>
          <w:szCs w:val="25"/>
          <w:lang w:val="en-GB"/>
        </w:rPr>
        <w:t>Health and Wellbeing</w:t>
      </w:r>
    </w:p>
    <w:p w14:paraId="64F496DC" w14:textId="7071D14C" w:rsidR="00F00E3D" w:rsidRPr="0034443E" w:rsidRDefault="00F00E3D" w:rsidP="005E2AB0">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Despite the significant impact of</w:t>
      </w:r>
      <w:r w:rsidR="00B67A8A">
        <w:rPr>
          <w:rFonts w:asciiTheme="majorHAnsi" w:eastAsiaTheme="majorEastAsia" w:hAnsiTheme="majorHAnsi" w:cstheme="majorHAnsi"/>
          <w:sz w:val="23"/>
          <w:szCs w:val="23"/>
          <w:lang w:val="en-GB"/>
        </w:rPr>
        <w:t xml:space="preserve"> increased</w:t>
      </w:r>
      <w:r w:rsidRPr="0034443E">
        <w:rPr>
          <w:rFonts w:asciiTheme="majorHAnsi" w:eastAsiaTheme="majorEastAsia" w:hAnsiTheme="majorHAnsi" w:cstheme="majorHAnsi"/>
          <w:sz w:val="23"/>
          <w:szCs w:val="23"/>
          <w:lang w:val="en-GB"/>
        </w:rPr>
        <w:t xml:space="preserve"> social isolation, </w:t>
      </w:r>
      <w:r w:rsidR="00245673">
        <w:rPr>
          <w:rFonts w:asciiTheme="majorHAnsi" w:eastAsiaTheme="majorEastAsia" w:hAnsiTheme="majorHAnsi" w:cstheme="majorHAnsi"/>
          <w:sz w:val="23"/>
          <w:szCs w:val="23"/>
          <w:lang w:val="en-GB"/>
        </w:rPr>
        <w:t xml:space="preserve">our </w:t>
      </w:r>
      <w:r w:rsidR="00B67A8A">
        <w:rPr>
          <w:rFonts w:asciiTheme="majorHAnsi" w:eastAsiaTheme="majorEastAsia" w:hAnsiTheme="majorHAnsi" w:cstheme="majorHAnsi"/>
          <w:sz w:val="23"/>
          <w:szCs w:val="23"/>
          <w:lang w:val="en-GB"/>
        </w:rPr>
        <w:t xml:space="preserve">interviews </w:t>
      </w:r>
      <w:r w:rsidR="00245673">
        <w:rPr>
          <w:rFonts w:asciiTheme="majorHAnsi" w:eastAsiaTheme="majorEastAsia" w:hAnsiTheme="majorHAnsi" w:cstheme="majorHAnsi"/>
          <w:sz w:val="23"/>
          <w:szCs w:val="23"/>
          <w:lang w:val="en-GB"/>
        </w:rPr>
        <w:t>also uncovered</w:t>
      </w:r>
      <w:r w:rsidRPr="0034443E">
        <w:rPr>
          <w:rFonts w:asciiTheme="majorHAnsi" w:eastAsiaTheme="majorEastAsia" w:hAnsiTheme="majorHAnsi" w:cstheme="majorHAnsi"/>
          <w:sz w:val="23"/>
          <w:szCs w:val="23"/>
          <w:lang w:val="en-GB"/>
        </w:rPr>
        <w:t xml:space="preserve"> examples of informal neighbourhood socialisation and the development of stronger connections to place</w:t>
      </w:r>
      <w:r w:rsidR="005E71C1">
        <w:rPr>
          <w:rFonts w:asciiTheme="majorHAnsi" w:eastAsiaTheme="majorEastAsia" w:hAnsiTheme="majorHAnsi" w:cstheme="majorHAnsi"/>
          <w:sz w:val="23"/>
          <w:szCs w:val="23"/>
          <w:lang w:val="en-GB"/>
        </w:rPr>
        <w:t xml:space="preserve"> during the</w:t>
      </w:r>
      <w:r w:rsidR="001004EB">
        <w:rPr>
          <w:rFonts w:asciiTheme="majorHAnsi" w:eastAsiaTheme="majorEastAsia" w:hAnsiTheme="majorHAnsi" w:cstheme="majorHAnsi"/>
          <w:sz w:val="23"/>
          <w:szCs w:val="23"/>
          <w:lang w:val="en-GB"/>
        </w:rPr>
        <w:t xml:space="preserve"> peak stage of</w:t>
      </w:r>
      <w:r w:rsidR="005E71C1">
        <w:rPr>
          <w:rFonts w:asciiTheme="majorHAnsi" w:eastAsiaTheme="majorEastAsia" w:hAnsiTheme="majorHAnsi" w:cstheme="majorHAnsi"/>
          <w:sz w:val="23"/>
          <w:szCs w:val="23"/>
          <w:lang w:val="en-GB"/>
        </w:rPr>
        <w:t xml:space="preserve"> COVID-19</w:t>
      </w:r>
      <w:r w:rsidRPr="0034443E">
        <w:rPr>
          <w:rFonts w:asciiTheme="majorHAnsi" w:eastAsiaTheme="majorEastAsia" w:hAnsiTheme="majorHAnsi" w:cstheme="majorHAnsi"/>
          <w:sz w:val="23"/>
          <w:szCs w:val="23"/>
          <w:lang w:val="en-GB"/>
        </w:rPr>
        <w:t xml:space="preserve">. </w:t>
      </w:r>
      <w:r w:rsidR="005E2AB0">
        <w:rPr>
          <w:rFonts w:asciiTheme="majorHAnsi" w:eastAsiaTheme="majorEastAsia" w:hAnsiTheme="majorHAnsi" w:cstheme="majorHAnsi"/>
          <w:sz w:val="23"/>
          <w:szCs w:val="23"/>
          <w:lang w:val="en-GB"/>
        </w:rPr>
        <w:t>As restrictions have lifted</w:t>
      </w:r>
      <w:r w:rsidRPr="0034443E">
        <w:rPr>
          <w:rFonts w:asciiTheme="majorHAnsi" w:eastAsiaTheme="majorEastAsia" w:hAnsiTheme="majorHAnsi" w:cstheme="majorHAnsi"/>
          <w:sz w:val="23"/>
          <w:szCs w:val="23"/>
          <w:lang w:val="en-GB"/>
        </w:rPr>
        <w:t xml:space="preserve">, interviewees have noticed that some community members have become more </w:t>
      </w:r>
      <w:r w:rsidR="005E2AB0">
        <w:rPr>
          <w:rFonts w:asciiTheme="majorHAnsi" w:eastAsiaTheme="majorEastAsia" w:hAnsiTheme="majorHAnsi" w:cstheme="majorHAnsi"/>
          <w:sz w:val="23"/>
          <w:szCs w:val="23"/>
          <w:lang w:val="en-GB"/>
        </w:rPr>
        <w:t>eager</w:t>
      </w:r>
      <w:r w:rsidRPr="0034443E">
        <w:rPr>
          <w:rFonts w:asciiTheme="majorHAnsi" w:eastAsiaTheme="majorEastAsia" w:hAnsiTheme="majorHAnsi" w:cstheme="majorHAnsi"/>
          <w:sz w:val="23"/>
          <w:szCs w:val="23"/>
          <w:lang w:val="en-GB"/>
        </w:rPr>
        <w:t xml:space="preserve"> to participate in shared activities</w:t>
      </w:r>
      <w:r w:rsidR="005E2AB0">
        <w:rPr>
          <w:rFonts w:asciiTheme="majorHAnsi" w:eastAsiaTheme="majorEastAsia" w:hAnsiTheme="majorHAnsi" w:cstheme="majorHAnsi"/>
          <w:sz w:val="23"/>
          <w:szCs w:val="23"/>
          <w:lang w:val="en-GB"/>
        </w:rPr>
        <w:t>:</w:t>
      </w:r>
    </w:p>
    <w:p w14:paraId="164C6784" w14:textId="275891D5" w:rsidR="00F00E3D" w:rsidRPr="0034443E" w:rsidRDefault="00F00E3D" w:rsidP="00356462">
      <w:pPr>
        <w:spacing w:line="276" w:lineRule="auto"/>
        <w:ind w:left="720"/>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 xml:space="preserve">We </w:t>
      </w:r>
      <w:r w:rsidR="005644A0">
        <w:rPr>
          <w:rFonts w:asciiTheme="majorHAnsi" w:eastAsiaTheme="majorEastAsia" w:hAnsiTheme="majorHAnsi" w:cstheme="majorHAnsi"/>
          <w:sz w:val="23"/>
          <w:szCs w:val="23"/>
          <w:lang w:val="en-GB"/>
        </w:rPr>
        <w:t>had</w:t>
      </w:r>
      <w:r w:rsidRPr="0034443E">
        <w:rPr>
          <w:rFonts w:asciiTheme="majorHAnsi" w:eastAsiaTheme="majorEastAsia" w:hAnsiTheme="majorHAnsi" w:cstheme="majorHAnsi"/>
          <w:sz w:val="23"/>
          <w:szCs w:val="23"/>
          <w:lang w:val="en-GB"/>
        </w:rPr>
        <w:t xml:space="preserve"> </w:t>
      </w:r>
      <w:r w:rsidR="005644A0">
        <w:rPr>
          <w:rFonts w:asciiTheme="majorHAnsi" w:eastAsiaTheme="majorEastAsia" w:hAnsiTheme="majorHAnsi" w:cstheme="majorHAnsi"/>
          <w:sz w:val="23"/>
          <w:szCs w:val="23"/>
          <w:lang w:val="en-GB"/>
        </w:rPr>
        <w:t>four people</w:t>
      </w:r>
      <w:r w:rsidRPr="0034443E">
        <w:rPr>
          <w:rFonts w:asciiTheme="majorHAnsi" w:eastAsiaTheme="majorEastAsia" w:hAnsiTheme="majorHAnsi" w:cstheme="majorHAnsi"/>
          <w:sz w:val="23"/>
          <w:szCs w:val="23"/>
          <w:lang w:val="en-GB"/>
        </w:rPr>
        <w:t xml:space="preserve"> in our ukulele class before lockdown</w:t>
      </w:r>
      <w:r w:rsidR="005644A0">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and now we have 16</w:t>
      </w:r>
      <w:r w:rsidR="005644A0">
        <w:rPr>
          <w:rFonts w:asciiTheme="majorHAnsi" w:eastAsiaTheme="majorEastAsia" w:hAnsiTheme="majorHAnsi" w:cstheme="majorHAnsi"/>
          <w:sz w:val="23"/>
          <w:szCs w:val="23"/>
          <w:lang w:val="en-GB"/>
        </w:rPr>
        <w:t>. P</w:t>
      </w:r>
      <w:r w:rsidRPr="0034443E">
        <w:rPr>
          <w:rFonts w:asciiTheme="majorHAnsi" w:eastAsiaTheme="majorEastAsia" w:hAnsiTheme="majorHAnsi" w:cstheme="majorHAnsi"/>
          <w:sz w:val="23"/>
          <w:szCs w:val="23"/>
          <w:lang w:val="en-GB"/>
        </w:rPr>
        <w:t>eople are craving connection (P6)</w:t>
      </w:r>
      <w:r w:rsidR="005E2AB0">
        <w:rPr>
          <w:rFonts w:asciiTheme="majorHAnsi" w:eastAsiaTheme="majorEastAsia" w:hAnsiTheme="majorHAnsi" w:cstheme="majorHAnsi"/>
          <w:sz w:val="23"/>
          <w:szCs w:val="23"/>
          <w:lang w:val="en-GB"/>
        </w:rPr>
        <w:t>.</w:t>
      </w:r>
    </w:p>
    <w:p w14:paraId="0C2BF485" w14:textId="46B054AC" w:rsidR="00F00E3D" w:rsidRPr="0034443E" w:rsidRDefault="00F00E3D" w:rsidP="00356462">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lastRenderedPageBreak/>
        <w:t xml:space="preserve">The </w:t>
      </w:r>
      <w:r w:rsidR="005E2AB0">
        <w:rPr>
          <w:rFonts w:asciiTheme="majorHAnsi" w:eastAsiaTheme="majorEastAsia" w:hAnsiTheme="majorHAnsi" w:cstheme="majorHAnsi"/>
          <w:sz w:val="23"/>
          <w:szCs w:val="23"/>
          <w:lang w:val="en-GB"/>
        </w:rPr>
        <w:t>closure of certain</w:t>
      </w:r>
      <w:r w:rsidRPr="0034443E">
        <w:rPr>
          <w:rFonts w:asciiTheme="majorHAnsi" w:eastAsiaTheme="majorEastAsia" w:hAnsiTheme="majorHAnsi" w:cstheme="majorHAnsi"/>
          <w:sz w:val="23"/>
          <w:szCs w:val="23"/>
          <w:lang w:val="en-GB"/>
        </w:rPr>
        <w:t xml:space="preserve"> facilities was also said to have a positive impact on health and wellbeing, with gambling decreasing </w:t>
      </w:r>
      <w:r w:rsidR="005E2AB0">
        <w:rPr>
          <w:rFonts w:asciiTheme="majorHAnsi" w:eastAsiaTheme="majorEastAsia" w:hAnsiTheme="majorHAnsi" w:cstheme="majorHAnsi"/>
          <w:sz w:val="23"/>
          <w:szCs w:val="23"/>
          <w:lang w:val="en-GB"/>
        </w:rPr>
        <w:t>as</w:t>
      </w:r>
      <w:r w:rsidRPr="0034443E">
        <w:rPr>
          <w:rFonts w:asciiTheme="majorHAnsi" w:eastAsiaTheme="majorEastAsia" w:hAnsiTheme="majorHAnsi" w:cstheme="majorHAnsi"/>
          <w:sz w:val="23"/>
          <w:szCs w:val="23"/>
          <w:lang w:val="en-GB"/>
        </w:rPr>
        <w:t xml:space="preserve"> “pokie</w:t>
      </w:r>
      <w:r w:rsidR="005E2AB0">
        <w:rPr>
          <w:rFonts w:asciiTheme="majorHAnsi" w:eastAsiaTheme="majorEastAsia" w:hAnsiTheme="majorHAnsi" w:cstheme="majorHAnsi"/>
          <w:sz w:val="23"/>
          <w:szCs w:val="23"/>
          <w:lang w:val="en-GB"/>
        </w:rPr>
        <w:t>s</w:t>
      </w:r>
      <w:r w:rsidRPr="0034443E">
        <w:rPr>
          <w:rFonts w:asciiTheme="majorHAnsi" w:eastAsiaTheme="majorEastAsia" w:hAnsiTheme="majorHAnsi" w:cstheme="majorHAnsi"/>
          <w:sz w:val="23"/>
          <w:szCs w:val="23"/>
          <w:lang w:val="en-GB"/>
        </w:rPr>
        <w:t>” venues</w:t>
      </w:r>
      <w:r w:rsidR="005E2AB0">
        <w:rPr>
          <w:rFonts w:asciiTheme="majorHAnsi" w:eastAsiaTheme="majorEastAsia" w:hAnsiTheme="majorHAnsi" w:cstheme="majorHAnsi"/>
          <w:sz w:val="23"/>
          <w:szCs w:val="23"/>
          <w:lang w:val="en-GB"/>
        </w:rPr>
        <w:t xml:space="preserve"> </w:t>
      </w:r>
      <w:r w:rsidR="00356462">
        <w:rPr>
          <w:rFonts w:asciiTheme="majorHAnsi" w:eastAsiaTheme="majorEastAsia" w:hAnsiTheme="majorHAnsi" w:cstheme="majorHAnsi"/>
          <w:sz w:val="23"/>
          <w:szCs w:val="23"/>
          <w:lang w:val="en-GB"/>
        </w:rPr>
        <w:t>closed their doors</w:t>
      </w:r>
      <w:r w:rsidRPr="0034443E">
        <w:rPr>
          <w:rFonts w:asciiTheme="majorHAnsi" w:eastAsiaTheme="majorEastAsia" w:hAnsiTheme="majorHAnsi" w:cstheme="majorHAnsi"/>
          <w:sz w:val="23"/>
          <w:szCs w:val="23"/>
          <w:lang w:val="en-GB"/>
        </w:rPr>
        <w:t>. Social distancing requirements and lockdowns also provided a rare opportunity for services to make systemic and responsive changes to their service delivery</w:t>
      </w:r>
      <w:r w:rsidR="00356462">
        <w:rPr>
          <w:rFonts w:asciiTheme="majorHAnsi" w:eastAsiaTheme="majorEastAsia" w:hAnsiTheme="majorHAnsi" w:cstheme="majorHAnsi"/>
          <w:sz w:val="23"/>
          <w:szCs w:val="23"/>
          <w:lang w:val="en-GB"/>
        </w:rPr>
        <w:t xml:space="preserve"> approaches</w:t>
      </w:r>
      <w:r w:rsidRPr="0034443E">
        <w:rPr>
          <w:rFonts w:asciiTheme="majorHAnsi" w:eastAsiaTheme="majorEastAsia" w:hAnsiTheme="majorHAnsi" w:cstheme="majorHAnsi"/>
          <w:sz w:val="23"/>
          <w:szCs w:val="23"/>
          <w:lang w:val="en-GB"/>
        </w:rPr>
        <w:t xml:space="preserve">. Many agencies </w:t>
      </w:r>
      <w:r w:rsidR="00356462">
        <w:rPr>
          <w:rFonts w:asciiTheme="majorHAnsi" w:eastAsiaTheme="majorEastAsia" w:hAnsiTheme="majorHAnsi" w:cstheme="majorHAnsi"/>
          <w:sz w:val="23"/>
          <w:szCs w:val="23"/>
          <w:lang w:val="en-GB"/>
        </w:rPr>
        <w:t>adopted</w:t>
      </w:r>
      <w:r w:rsidRPr="0034443E">
        <w:rPr>
          <w:rFonts w:asciiTheme="majorHAnsi" w:eastAsiaTheme="majorEastAsia" w:hAnsiTheme="majorHAnsi" w:cstheme="majorHAnsi"/>
          <w:sz w:val="23"/>
          <w:szCs w:val="23"/>
          <w:lang w:val="en-GB"/>
        </w:rPr>
        <w:t xml:space="preserve"> more proactive models of outreach (including practical support like delivering equipment</w:t>
      </w:r>
      <w:r w:rsidR="00356462">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resources</w:t>
      </w:r>
      <w:r w:rsidR="00363488">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and masks) and built or adopted new platforms for </w:t>
      </w:r>
      <w:r w:rsidR="00363488">
        <w:rPr>
          <w:rFonts w:asciiTheme="majorHAnsi" w:eastAsiaTheme="majorEastAsia" w:hAnsiTheme="majorHAnsi" w:cstheme="majorHAnsi"/>
          <w:sz w:val="23"/>
          <w:szCs w:val="23"/>
          <w:lang w:val="en-GB"/>
        </w:rPr>
        <w:t xml:space="preserve">client </w:t>
      </w:r>
      <w:r w:rsidRPr="0034443E">
        <w:rPr>
          <w:rFonts w:asciiTheme="majorHAnsi" w:eastAsiaTheme="majorEastAsia" w:hAnsiTheme="majorHAnsi" w:cstheme="majorHAnsi"/>
          <w:sz w:val="23"/>
          <w:szCs w:val="23"/>
          <w:lang w:val="en-GB"/>
        </w:rPr>
        <w:t>communication and service delivery.</w:t>
      </w:r>
    </w:p>
    <w:p w14:paraId="0D504353" w14:textId="73595BE4" w:rsidR="00F00E3D" w:rsidRPr="0034443E" w:rsidRDefault="00F00E3D" w:rsidP="00363488">
      <w:pPr>
        <w:spacing w:line="276" w:lineRule="auto"/>
        <w:ind w:firstLine="720"/>
        <w:rPr>
          <w:rFonts w:asciiTheme="majorHAnsi" w:eastAsiaTheme="majorEastAsia" w:hAnsiTheme="majorHAnsi" w:cstheme="majorHAnsi"/>
          <w:sz w:val="23"/>
          <w:szCs w:val="23"/>
        </w:rPr>
      </w:pPr>
      <w:r w:rsidRPr="0034443E">
        <w:rPr>
          <w:rFonts w:asciiTheme="majorHAnsi" w:eastAsiaTheme="majorEastAsia" w:hAnsiTheme="majorHAnsi" w:cstheme="majorHAnsi"/>
          <w:sz w:val="23"/>
          <w:szCs w:val="23"/>
        </w:rPr>
        <w:t>Our yoga and dance activities (NDIS) went online too (P10)</w:t>
      </w:r>
      <w:r w:rsidR="001F7101">
        <w:rPr>
          <w:rFonts w:asciiTheme="majorHAnsi" w:eastAsiaTheme="majorEastAsia" w:hAnsiTheme="majorHAnsi" w:cstheme="majorHAnsi"/>
          <w:sz w:val="23"/>
          <w:szCs w:val="23"/>
        </w:rPr>
        <w:t>.</w:t>
      </w:r>
    </w:p>
    <w:p w14:paraId="5B3372AF" w14:textId="613C9DB9" w:rsidR="00F00E3D" w:rsidRPr="0034443E" w:rsidRDefault="00F00E3D" w:rsidP="00552FE6">
      <w:pPr>
        <w:spacing w:line="276" w:lineRule="auto"/>
        <w:rPr>
          <w:rFonts w:asciiTheme="majorHAnsi" w:eastAsiaTheme="majorEastAsia" w:hAnsiTheme="majorHAnsi" w:cstheme="majorBidi"/>
          <w:sz w:val="23"/>
          <w:szCs w:val="23"/>
          <w:lang w:val="en-GB"/>
        </w:rPr>
      </w:pPr>
      <w:r w:rsidRPr="0034443E">
        <w:rPr>
          <w:rFonts w:asciiTheme="majorHAnsi" w:eastAsiaTheme="majorEastAsia" w:hAnsiTheme="majorHAnsi" w:cstheme="majorBidi"/>
          <w:sz w:val="23"/>
          <w:szCs w:val="23"/>
          <w:lang w:val="en-GB"/>
        </w:rPr>
        <w:t xml:space="preserve">Along with these agency and service innovations, many interviewees reflected on the growth of peer support via ad hoc initiatives developed by residents themselves. Grassroots initiatives established </w:t>
      </w:r>
      <w:r w:rsidR="00F175BF">
        <w:rPr>
          <w:rFonts w:asciiTheme="majorHAnsi" w:eastAsiaTheme="majorEastAsia" w:hAnsiTheme="majorHAnsi" w:cstheme="majorBidi"/>
          <w:sz w:val="23"/>
          <w:szCs w:val="23"/>
          <w:lang w:val="en-GB"/>
        </w:rPr>
        <w:t xml:space="preserve">or amplified </w:t>
      </w:r>
      <w:r w:rsidRPr="0034443E">
        <w:rPr>
          <w:rFonts w:asciiTheme="majorHAnsi" w:eastAsiaTheme="majorEastAsia" w:hAnsiTheme="majorHAnsi" w:cstheme="majorBidi"/>
          <w:sz w:val="23"/>
          <w:szCs w:val="23"/>
          <w:lang w:val="en-GB"/>
        </w:rPr>
        <w:t xml:space="preserve">during the pandemic included the </w:t>
      </w:r>
      <w:r w:rsidR="00363488">
        <w:rPr>
          <w:rFonts w:asciiTheme="majorHAnsi" w:eastAsiaTheme="majorEastAsia" w:hAnsiTheme="majorHAnsi" w:cstheme="majorBidi"/>
          <w:sz w:val="23"/>
          <w:szCs w:val="23"/>
          <w:lang w:val="en-GB"/>
        </w:rPr>
        <w:t>preparation and dissemination of</w:t>
      </w:r>
      <w:r w:rsidRPr="0034443E">
        <w:rPr>
          <w:rFonts w:asciiTheme="majorHAnsi" w:eastAsiaTheme="majorEastAsia" w:hAnsiTheme="majorHAnsi" w:cstheme="majorBidi"/>
          <w:sz w:val="23"/>
          <w:szCs w:val="23"/>
          <w:lang w:val="en-GB"/>
        </w:rPr>
        <w:t xml:space="preserve"> food pa</w:t>
      </w:r>
      <w:r w:rsidR="00363488">
        <w:rPr>
          <w:rFonts w:asciiTheme="majorHAnsi" w:eastAsiaTheme="majorEastAsia" w:hAnsiTheme="majorHAnsi" w:cstheme="majorBidi"/>
          <w:sz w:val="23"/>
          <w:szCs w:val="23"/>
          <w:lang w:val="en-GB"/>
        </w:rPr>
        <w:t>rcel</w:t>
      </w:r>
      <w:r w:rsidRPr="0034443E">
        <w:rPr>
          <w:rFonts w:asciiTheme="majorHAnsi" w:eastAsiaTheme="majorEastAsia" w:hAnsiTheme="majorHAnsi" w:cstheme="majorBidi"/>
          <w:sz w:val="23"/>
          <w:szCs w:val="23"/>
          <w:lang w:val="en-GB"/>
        </w:rPr>
        <w:t xml:space="preserve">s and hot meals, establishment of safe places, </w:t>
      </w:r>
      <w:r w:rsidR="00F175BF">
        <w:rPr>
          <w:rFonts w:asciiTheme="majorHAnsi" w:eastAsiaTheme="majorEastAsia" w:hAnsiTheme="majorHAnsi" w:cstheme="majorBidi"/>
          <w:sz w:val="23"/>
          <w:szCs w:val="23"/>
          <w:lang w:val="en-GB"/>
        </w:rPr>
        <w:t>the</w:t>
      </w:r>
      <w:r w:rsidR="009C173C">
        <w:rPr>
          <w:rFonts w:asciiTheme="majorHAnsi" w:eastAsiaTheme="majorEastAsia" w:hAnsiTheme="majorHAnsi" w:cstheme="majorBidi"/>
          <w:sz w:val="23"/>
          <w:szCs w:val="23"/>
          <w:lang w:val="en-GB"/>
        </w:rPr>
        <w:t xml:space="preserve"> use of</w:t>
      </w:r>
      <w:r w:rsidR="00F175BF">
        <w:rPr>
          <w:rFonts w:asciiTheme="majorHAnsi" w:eastAsiaTheme="majorEastAsia" w:hAnsiTheme="majorHAnsi" w:cstheme="majorBidi"/>
          <w:sz w:val="23"/>
          <w:szCs w:val="23"/>
          <w:lang w:val="en-GB"/>
        </w:rPr>
        <w:t xml:space="preserve"> </w:t>
      </w:r>
      <w:r w:rsidRPr="0034443E">
        <w:rPr>
          <w:rFonts w:asciiTheme="majorHAnsi" w:eastAsiaTheme="majorEastAsia" w:hAnsiTheme="majorHAnsi" w:cstheme="majorBidi"/>
          <w:sz w:val="23"/>
          <w:szCs w:val="23"/>
          <w:lang w:val="en-GB"/>
        </w:rPr>
        <w:t>community gardens, online communities of practice, and informal mental health support</w:t>
      </w:r>
      <w:r w:rsidR="009C173C">
        <w:rPr>
          <w:rFonts w:asciiTheme="majorHAnsi" w:eastAsiaTheme="majorEastAsia" w:hAnsiTheme="majorHAnsi" w:cstheme="majorBidi"/>
          <w:sz w:val="23"/>
          <w:szCs w:val="23"/>
          <w:lang w:val="en-GB"/>
        </w:rPr>
        <w:t>s</w:t>
      </w:r>
      <w:r w:rsidRPr="0034443E">
        <w:rPr>
          <w:rFonts w:asciiTheme="majorHAnsi" w:eastAsiaTheme="majorEastAsia" w:hAnsiTheme="majorHAnsi" w:cstheme="majorBidi"/>
          <w:sz w:val="23"/>
          <w:szCs w:val="23"/>
          <w:lang w:val="en-GB"/>
        </w:rPr>
        <w:t xml:space="preserve">. A tangible sense of </w:t>
      </w:r>
      <w:r w:rsidR="009C173C">
        <w:rPr>
          <w:rFonts w:asciiTheme="majorHAnsi" w:eastAsiaTheme="majorEastAsia" w:hAnsiTheme="majorHAnsi" w:cstheme="majorBidi"/>
          <w:sz w:val="23"/>
          <w:szCs w:val="23"/>
          <w:lang w:val="en-GB"/>
        </w:rPr>
        <w:t>“</w:t>
      </w:r>
      <w:r w:rsidRPr="0034443E">
        <w:rPr>
          <w:rFonts w:asciiTheme="majorHAnsi" w:eastAsiaTheme="majorEastAsia" w:hAnsiTheme="majorHAnsi" w:cstheme="majorBidi"/>
          <w:sz w:val="23"/>
          <w:szCs w:val="23"/>
          <w:lang w:val="en-GB"/>
        </w:rPr>
        <w:t>community spirit</w:t>
      </w:r>
      <w:r w:rsidR="009C173C">
        <w:rPr>
          <w:rFonts w:asciiTheme="majorHAnsi" w:eastAsiaTheme="majorEastAsia" w:hAnsiTheme="majorHAnsi" w:cstheme="majorBidi"/>
          <w:sz w:val="23"/>
          <w:szCs w:val="23"/>
          <w:lang w:val="en-GB"/>
        </w:rPr>
        <w:t>”</w:t>
      </w:r>
      <w:r w:rsidRPr="0034443E">
        <w:rPr>
          <w:rFonts w:asciiTheme="majorHAnsi" w:eastAsiaTheme="majorEastAsia" w:hAnsiTheme="majorHAnsi" w:cstheme="majorBidi"/>
          <w:sz w:val="23"/>
          <w:szCs w:val="23"/>
          <w:lang w:val="en-GB"/>
        </w:rPr>
        <w:t xml:space="preserve"> was also </w:t>
      </w:r>
      <w:r w:rsidR="009C173C">
        <w:rPr>
          <w:rFonts w:asciiTheme="majorHAnsi" w:eastAsiaTheme="majorEastAsia" w:hAnsiTheme="majorHAnsi" w:cstheme="majorBidi"/>
          <w:sz w:val="23"/>
          <w:szCs w:val="23"/>
          <w:lang w:val="en-GB"/>
        </w:rPr>
        <w:t>observed in some instances, for</w:t>
      </w:r>
      <w:r w:rsidRPr="0034443E">
        <w:rPr>
          <w:rFonts w:asciiTheme="majorHAnsi" w:eastAsiaTheme="majorEastAsia" w:hAnsiTheme="majorHAnsi" w:cstheme="majorBidi"/>
          <w:sz w:val="23"/>
          <w:szCs w:val="23"/>
          <w:lang w:val="en-GB"/>
        </w:rPr>
        <w:t xml:space="preserve"> </w:t>
      </w:r>
      <w:r w:rsidR="009C173C">
        <w:rPr>
          <w:rFonts w:asciiTheme="majorHAnsi" w:eastAsiaTheme="majorEastAsia" w:hAnsiTheme="majorHAnsi" w:cstheme="majorBidi"/>
          <w:sz w:val="23"/>
          <w:szCs w:val="23"/>
          <w:lang w:val="en-GB"/>
        </w:rPr>
        <w:t>example in</w:t>
      </w:r>
      <w:r w:rsidRPr="0034443E">
        <w:rPr>
          <w:rFonts w:asciiTheme="majorHAnsi" w:eastAsiaTheme="majorEastAsia" w:hAnsiTheme="majorHAnsi" w:cstheme="majorBidi"/>
          <w:sz w:val="23"/>
          <w:szCs w:val="23"/>
          <w:lang w:val="en-GB"/>
        </w:rPr>
        <w:t xml:space="preserve"> community efforts to defuse tensions</w:t>
      </w:r>
      <w:r w:rsidR="009C173C">
        <w:rPr>
          <w:rFonts w:asciiTheme="majorHAnsi" w:eastAsiaTheme="majorEastAsia" w:hAnsiTheme="majorHAnsi" w:cstheme="majorBidi"/>
          <w:sz w:val="23"/>
          <w:szCs w:val="23"/>
          <w:lang w:val="en-GB"/>
        </w:rPr>
        <w:t xml:space="preserve"> and prevent reprisals</w:t>
      </w:r>
      <w:r w:rsidRPr="0034443E">
        <w:rPr>
          <w:rFonts w:asciiTheme="majorHAnsi" w:eastAsiaTheme="majorEastAsia" w:hAnsiTheme="majorHAnsi" w:cstheme="majorBidi"/>
          <w:sz w:val="23"/>
          <w:szCs w:val="23"/>
          <w:lang w:val="en-GB"/>
        </w:rPr>
        <w:t xml:space="preserve"> </w:t>
      </w:r>
      <w:r w:rsidR="009C173C">
        <w:rPr>
          <w:rFonts w:asciiTheme="majorHAnsi" w:eastAsiaTheme="majorEastAsia" w:hAnsiTheme="majorHAnsi" w:cstheme="majorBidi"/>
          <w:sz w:val="23"/>
          <w:szCs w:val="23"/>
          <w:lang w:val="en-GB"/>
        </w:rPr>
        <w:t>in the wake of a</w:t>
      </w:r>
      <w:r w:rsidR="00D85B27">
        <w:rPr>
          <w:rFonts w:asciiTheme="majorHAnsi" w:eastAsiaTheme="majorEastAsia" w:hAnsiTheme="majorHAnsi" w:cstheme="majorBidi"/>
          <w:sz w:val="23"/>
          <w:szCs w:val="23"/>
          <w:lang w:val="en-GB"/>
        </w:rPr>
        <w:t xml:space="preserve"> violent event (a stabbing that occurred in the local area).</w:t>
      </w:r>
    </w:p>
    <w:p w14:paraId="5FC391DE" w14:textId="4D7CFAEF" w:rsidR="00F00E3D" w:rsidRPr="0034443E" w:rsidRDefault="00F00E3D" w:rsidP="002574A0">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The interviews also reported a</w:t>
      </w:r>
      <w:r w:rsidR="00D85B27">
        <w:rPr>
          <w:rFonts w:asciiTheme="majorHAnsi" w:eastAsiaTheme="majorEastAsia" w:hAnsiTheme="majorHAnsi" w:cstheme="majorHAnsi"/>
          <w:sz w:val="23"/>
          <w:szCs w:val="23"/>
          <w:lang w:val="en-GB"/>
        </w:rPr>
        <w:t xml:space="preserve"> fairly</w:t>
      </w:r>
      <w:r w:rsidRPr="0034443E">
        <w:rPr>
          <w:rFonts w:asciiTheme="majorHAnsi" w:eastAsiaTheme="majorEastAsia" w:hAnsiTheme="majorHAnsi" w:cstheme="majorHAnsi"/>
          <w:sz w:val="23"/>
          <w:szCs w:val="23"/>
          <w:lang w:val="en-GB"/>
        </w:rPr>
        <w:t xml:space="preserve"> cohesive</w:t>
      </w:r>
      <w:r w:rsidR="00D85B27">
        <w:rPr>
          <w:rFonts w:asciiTheme="majorHAnsi" w:eastAsiaTheme="majorEastAsia" w:hAnsiTheme="majorHAnsi" w:cstheme="majorHAnsi"/>
          <w:sz w:val="23"/>
          <w:szCs w:val="23"/>
          <w:lang w:val="en-GB"/>
        </w:rPr>
        <w:t xml:space="preserve"> and unified</w:t>
      </w:r>
      <w:r w:rsidRPr="0034443E">
        <w:rPr>
          <w:rFonts w:asciiTheme="majorHAnsi" w:eastAsiaTheme="majorEastAsia" w:hAnsiTheme="majorHAnsi" w:cstheme="majorHAnsi"/>
          <w:sz w:val="23"/>
          <w:szCs w:val="23"/>
          <w:lang w:val="en-GB"/>
        </w:rPr>
        <w:t xml:space="preserve"> community response to public health directives and new rules introduced to prevent </w:t>
      </w:r>
      <w:r w:rsidR="00940D80" w:rsidRPr="0034443E">
        <w:rPr>
          <w:rFonts w:asciiTheme="majorHAnsi" w:eastAsiaTheme="majorEastAsia" w:hAnsiTheme="majorHAnsi" w:cstheme="majorHAnsi"/>
          <w:sz w:val="23"/>
          <w:szCs w:val="23"/>
          <w:lang w:val="en-GB"/>
        </w:rPr>
        <w:t>COVID</w:t>
      </w:r>
      <w:r w:rsidRPr="0034443E">
        <w:rPr>
          <w:rFonts w:asciiTheme="majorHAnsi" w:eastAsiaTheme="majorEastAsia" w:hAnsiTheme="majorHAnsi" w:cstheme="majorHAnsi"/>
          <w:sz w:val="23"/>
          <w:szCs w:val="23"/>
          <w:lang w:val="en-GB"/>
        </w:rPr>
        <w:t>-19 transmission. There was a general willingness to work together against this common “enemy”</w:t>
      </w:r>
      <w:r w:rsidR="00140172">
        <w:rPr>
          <w:rFonts w:asciiTheme="majorHAnsi" w:eastAsiaTheme="majorEastAsia" w:hAnsiTheme="majorHAnsi" w:cstheme="majorHAnsi"/>
          <w:sz w:val="23"/>
          <w:szCs w:val="23"/>
          <w:lang w:val="en-GB"/>
        </w:rPr>
        <w:t>,</w:t>
      </w:r>
      <w:r w:rsidRPr="0034443E">
        <w:rPr>
          <w:rFonts w:asciiTheme="majorHAnsi" w:eastAsiaTheme="majorEastAsia" w:hAnsiTheme="majorHAnsi" w:cstheme="majorHAnsi"/>
          <w:sz w:val="23"/>
          <w:szCs w:val="23"/>
          <w:lang w:val="en-GB"/>
        </w:rPr>
        <w:t xml:space="preserve"> and effort </w:t>
      </w:r>
      <w:r w:rsidR="00140172">
        <w:rPr>
          <w:rFonts w:asciiTheme="majorHAnsi" w:eastAsiaTheme="majorEastAsia" w:hAnsiTheme="majorHAnsi" w:cstheme="majorHAnsi"/>
          <w:sz w:val="23"/>
          <w:szCs w:val="23"/>
          <w:lang w:val="en-GB"/>
        </w:rPr>
        <w:t xml:space="preserve">was </w:t>
      </w:r>
      <w:r w:rsidRPr="0034443E">
        <w:rPr>
          <w:rFonts w:asciiTheme="majorHAnsi" w:eastAsiaTheme="majorEastAsia" w:hAnsiTheme="majorHAnsi" w:cstheme="majorHAnsi"/>
          <w:sz w:val="23"/>
          <w:szCs w:val="23"/>
          <w:lang w:val="en-GB"/>
        </w:rPr>
        <w:t>invested in adapting to rapid changes and increased regulation on daily life. In the lat</w:t>
      </w:r>
      <w:r w:rsidR="00140172">
        <w:rPr>
          <w:rFonts w:asciiTheme="majorHAnsi" w:eastAsiaTheme="majorEastAsia" w:hAnsiTheme="majorHAnsi" w:cstheme="majorHAnsi"/>
          <w:sz w:val="23"/>
          <w:szCs w:val="23"/>
          <w:lang w:val="en-GB"/>
        </w:rPr>
        <w:t>ter</w:t>
      </w:r>
      <w:r w:rsidRPr="0034443E">
        <w:rPr>
          <w:rFonts w:asciiTheme="majorHAnsi" w:eastAsiaTheme="majorEastAsia" w:hAnsiTheme="majorHAnsi" w:cstheme="majorHAnsi"/>
          <w:sz w:val="23"/>
          <w:szCs w:val="23"/>
          <w:lang w:val="en-GB"/>
        </w:rPr>
        <w:t xml:space="preserve"> months of 2020, </w:t>
      </w:r>
      <w:r w:rsidR="00140172" w:rsidRPr="0034443E">
        <w:rPr>
          <w:rFonts w:asciiTheme="majorHAnsi" w:eastAsiaTheme="majorEastAsia" w:hAnsiTheme="majorHAnsi" w:cstheme="majorHAnsi"/>
          <w:sz w:val="23"/>
          <w:szCs w:val="23"/>
          <w:lang w:val="en-GB"/>
        </w:rPr>
        <w:t>as restrictions li</w:t>
      </w:r>
      <w:r w:rsidR="00140172">
        <w:rPr>
          <w:rFonts w:asciiTheme="majorHAnsi" w:eastAsiaTheme="majorEastAsia" w:hAnsiTheme="majorHAnsi" w:cstheme="majorHAnsi"/>
          <w:sz w:val="23"/>
          <w:szCs w:val="23"/>
          <w:lang w:val="en-GB"/>
        </w:rPr>
        <w:t>f</w:t>
      </w:r>
      <w:r w:rsidR="00140172" w:rsidRPr="0034443E">
        <w:rPr>
          <w:rFonts w:asciiTheme="majorHAnsi" w:eastAsiaTheme="majorEastAsia" w:hAnsiTheme="majorHAnsi" w:cstheme="majorHAnsi"/>
          <w:sz w:val="23"/>
          <w:szCs w:val="23"/>
          <w:lang w:val="en-GB"/>
        </w:rPr>
        <w:t>ted</w:t>
      </w:r>
      <w:r w:rsidR="00140172">
        <w:rPr>
          <w:rFonts w:asciiTheme="majorHAnsi" w:eastAsiaTheme="majorEastAsia" w:hAnsiTheme="majorHAnsi" w:cstheme="majorHAnsi"/>
          <w:sz w:val="23"/>
          <w:szCs w:val="23"/>
          <w:lang w:val="en-GB"/>
        </w:rPr>
        <w:t xml:space="preserve">, </w:t>
      </w:r>
      <w:r w:rsidRPr="0034443E">
        <w:rPr>
          <w:rFonts w:asciiTheme="majorHAnsi" w:eastAsiaTheme="majorEastAsia" w:hAnsiTheme="majorHAnsi" w:cstheme="majorHAnsi"/>
          <w:sz w:val="23"/>
          <w:szCs w:val="23"/>
          <w:lang w:val="en-GB"/>
        </w:rPr>
        <w:t xml:space="preserve">agencies and services </w:t>
      </w:r>
      <w:r w:rsidR="00552FE6">
        <w:rPr>
          <w:rFonts w:asciiTheme="majorHAnsi" w:eastAsiaTheme="majorEastAsia" w:hAnsiTheme="majorHAnsi" w:cstheme="majorHAnsi"/>
          <w:sz w:val="23"/>
          <w:szCs w:val="23"/>
          <w:lang w:val="en-GB"/>
        </w:rPr>
        <w:t>established</w:t>
      </w:r>
      <w:r w:rsidRPr="0034443E">
        <w:rPr>
          <w:rFonts w:asciiTheme="majorHAnsi" w:eastAsiaTheme="majorEastAsia" w:hAnsiTheme="majorHAnsi" w:cstheme="majorHAnsi"/>
          <w:sz w:val="23"/>
          <w:szCs w:val="23"/>
          <w:lang w:val="en-GB"/>
        </w:rPr>
        <w:t xml:space="preserve"> </w:t>
      </w:r>
      <w:r w:rsidR="00940D80" w:rsidRPr="0034443E">
        <w:rPr>
          <w:rFonts w:asciiTheme="majorHAnsi" w:eastAsiaTheme="majorEastAsia" w:hAnsiTheme="majorHAnsi" w:cstheme="majorHAnsi"/>
          <w:sz w:val="23"/>
          <w:szCs w:val="23"/>
          <w:lang w:val="en-GB"/>
        </w:rPr>
        <w:t>COVID</w:t>
      </w:r>
      <w:r w:rsidRPr="0034443E">
        <w:rPr>
          <w:rFonts w:asciiTheme="majorHAnsi" w:eastAsiaTheme="majorEastAsia" w:hAnsiTheme="majorHAnsi" w:cstheme="majorHAnsi"/>
          <w:sz w:val="23"/>
          <w:szCs w:val="23"/>
          <w:lang w:val="en-GB"/>
        </w:rPr>
        <w:t>-safe practices to enable re-engagement and recommencement of services</w:t>
      </w:r>
      <w:r w:rsidR="00552FE6">
        <w:rPr>
          <w:rFonts w:asciiTheme="majorHAnsi" w:eastAsiaTheme="majorEastAsia" w:hAnsiTheme="majorHAnsi" w:cstheme="majorHAnsi"/>
          <w:sz w:val="23"/>
          <w:szCs w:val="23"/>
          <w:lang w:val="en-GB"/>
        </w:rPr>
        <w:t>.</w:t>
      </w:r>
    </w:p>
    <w:p w14:paraId="6CBFD9DF" w14:textId="550EA706" w:rsidR="00F00E3D" w:rsidRPr="0034443E" w:rsidRDefault="00F00E3D" w:rsidP="002574A0">
      <w:pPr>
        <w:spacing w:line="276" w:lineRule="auto"/>
        <w:ind w:firstLine="720"/>
        <w:rPr>
          <w:rFonts w:asciiTheme="majorHAnsi" w:eastAsiaTheme="majorEastAsia" w:hAnsiTheme="majorHAnsi" w:cstheme="majorHAnsi"/>
          <w:sz w:val="23"/>
          <w:szCs w:val="23"/>
        </w:rPr>
      </w:pPr>
      <w:r w:rsidRPr="0034443E">
        <w:rPr>
          <w:rFonts w:asciiTheme="majorHAnsi" w:eastAsiaTheme="majorEastAsia" w:hAnsiTheme="majorHAnsi" w:cstheme="majorHAnsi"/>
          <w:sz w:val="23"/>
          <w:szCs w:val="23"/>
        </w:rPr>
        <w:t xml:space="preserve">Norlane has a very strong community. It really met the challenge of </w:t>
      </w:r>
      <w:r w:rsidR="00940D80" w:rsidRPr="0034443E">
        <w:rPr>
          <w:rFonts w:asciiTheme="majorHAnsi" w:eastAsiaTheme="majorEastAsia" w:hAnsiTheme="majorHAnsi" w:cstheme="majorHAnsi"/>
          <w:sz w:val="23"/>
          <w:szCs w:val="23"/>
        </w:rPr>
        <w:t>COVID</w:t>
      </w:r>
      <w:r w:rsidRPr="0034443E">
        <w:rPr>
          <w:rFonts w:asciiTheme="majorHAnsi" w:eastAsiaTheme="majorEastAsia" w:hAnsiTheme="majorHAnsi" w:cstheme="majorHAnsi"/>
          <w:sz w:val="23"/>
          <w:szCs w:val="23"/>
        </w:rPr>
        <w:t xml:space="preserve"> head-on (P11)</w:t>
      </w:r>
      <w:r w:rsidR="00552FE6">
        <w:rPr>
          <w:rFonts w:asciiTheme="majorHAnsi" w:eastAsiaTheme="majorEastAsia" w:hAnsiTheme="majorHAnsi" w:cstheme="majorHAnsi"/>
          <w:sz w:val="23"/>
          <w:szCs w:val="23"/>
        </w:rPr>
        <w:t>.</w:t>
      </w:r>
    </w:p>
    <w:p w14:paraId="49B9062D" w14:textId="683539EA" w:rsidR="00F00E3D" w:rsidRPr="00445438" w:rsidRDefault="00F00E3D" w:rsidP="002574A0">
      <w:pPr>
        <w:spacing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However, there were mixed re</w:t>
      </w:r>
      <w:r w:rsidR="00552FE6">
        <w:rPr>
          <w:rFonts w:asciiTheme="majorHAnsi" w:eastAsiaTheme="majorEastAsia" w:hAnsiTheme="majorHAnsi" w:cstheme="majorHAnsi"/>
          <w:sz w:val="23"/>
          <w:szCs w:val="23"/>
          <w:lang w:val="en-GB"/>
        </w:rPr>
        <w:t xml:space="preserve">ports </w:t>
      </w:r>
      <w:r w:rsidRPr="0034443E">
        <w:rPr>
          <w:rFonts w:asciiTheme="majorHAnsi" w:eastAsiaTheme="majorEastAsia" w:hAnsiTheme="majorHAnsi" w:cstheme="majorHAnsi"/>
          <w:sz w:val="23"/>
          <w:szCs w:val="23"/>
          <w:lang w:val="en-GB"/>
        </w:rPr>
        <w:t xml:space="preserve">about </w:t>
      </w:r>
      <w:r w:rsidR="002574A0">
        <w:rPr>
          <w:rFonts w:asciiTheme="majorHAnsi" w:eastAsiaTheme="majorEastAsia" w:hAnsiTheme="majorHAnsi" w:cstheme="majorHAnsi"/>
          <w:sz w:val="23"/>
          <w:szCs w:val="23"/>
          <w:lang w:val="en-GB"/>
        </w:rPr>
        <w:t xml:space="preserve">effective </w:t>
      </w:r>
      <w:r w:rsidRPr="0034443E">
        <w:rPr>
          <w:rFonts w:asciiTheme="majorHAnsi" w:eastAsiaTheme="majorEastAsia" w:hAnsiTheme="majorHAnsi" w:cstheme="majorHAnsi"/>
          <w:sz w:val="23"/>
          <w:szCs w:val="23"/>
          <w:lang w:val="en-GB"/>
        </w:rPr>
        <w:t xml:space="preserve">integration between </w:t>
      </w:r>
      <w:r w:rsidR="002574A0">
        <w:rPr>
          <w:rFonts w:asciiTheme="majorHAnsi" w:eastAsiaTheme="majorEastAsia" w:hAnsiTheme="majorHAnsi" w:cstheme="majorHAnsi"/>
          <w:sz w:val="23"/>
          <w:szCs w:val="23"/>
          <w:lang w:val="en-GB"/>
        </w:rPr>
        <w:t xml:space="preserve">different </w:t>
      </w:r>
      <w:r w:rsidRPr="0034443E">
        <w:rPr>
          <w:rFonts w:asciiTheme="majorHAnsi" w:eastAsiaTheme="majorEastAsia" w:hAnsiTheme="majorHAnsi" w:cstheme="majorHAnsi"/>
          <w:sz w:val="23"/>
          <w:szCs w:val="23"/>
          <w:lang w:val="en-GB"/>
        </w:rPr>
        <w:t>welfare and service agencies during the pandemic. There were some impressive examples of resources being pooled, for example</w:t>
      </w:r>
      <w:r w:rsidR="00750070">
        <w:rPr>
          <w:rFonts w:asciiTheme="majorHAnsi" w:eastAsiaTheme="majorEastAsia" w:hAnsiTheme="majorHAnsi" w:cstheme="majorHAnsi"/>
          <w:sz w:val="23"/>
          <w:szCs w:val="23"/>
          <w:lang w:val="en-GB"/>
        </w:rPr>
        <w:t xml:space="preserve"> to</w:t>
      </w:r>
      <w:r w:rsidRPr="0034443E">
        <w:rPr>
          <w:rFonts w:asciiTheme="majorHAnsi" w:eastAsiaTheme="majorEastAsia" w:hAnsiTheme="majorHAnsi" w:cstheme="majorHAnsi"/>
          <w:sz w:val="23"/>
          <w:szCs w:val="23"/>
          <w:lang w:val="en-GB"/>
        </w:rPr>
        <w:t xml:space="preserve"> ensure that comprehensive information was made available to people across the northern suburbs </w:t>
      </w:r>
      <w:r w:rsidR="00750070">
        <w:rPr>
          <w:rFonts w:asciiTheme="majorHAnsi" w:eastAsiaTheme="majorEastAsia" w:hAnsiTheme="majorHAnsi" w:cstheme="majorHAnsi"/>
          <w:sz w:val="23"/>
          <w:szCs w:val="23"/>
          <w:lang w:val="en-GB"/>
        </w:rPr>
        <w:t>via</w:t>
      </w:r>
      <w:r w:rsidRPr="0034443E">
        <w:rPr>
          <w:rFonts w:asciiTheme="majorHAnsi" w:eastAsiaTheme="majorEastAsia" w:hAnsiTheme="majorHAnsi" w:cstheme="majorHAnsi"/>
          <w:sz w:val="23"/>
          <w:szCs w:val="23"/>
          <w:lang w:val="en-GB"/>
        </w:rPr>
        <w:t xml:space="preserve"> a special online edition of </w:t>
      </w:r>
      <w:r w:rsidRPr="00750070">
        <w:rPr>
          <w:rFonts w:asciiTheme="majorHAnsi" w:eastAsiaTheme="majorEastAsia" w:hAnsiTheme="majorHAnsi" w:cstheme="majorHAnsi"/>
          <w:i/>
          <w:iCs/>
          <w:sz w:val="23"/>
          <w:szCs w:val="23"/>
          <w:lang w:val="en-GB"/>
        </w:rPr>
        <w:t>Northerly Aspects</w:t>
      </w:r>
      <w:r w:rsidRPr="0034443E">
        <w:rPr>
          <w:rFonts w:asciiTheme="majorHAnsi" w:eastAsiaTheme="majorEastAsia" w:hAnsiTheme="majorHAnsi" w:cstheme="majorHAnsi"/>
          <w:sz w:val="23"/>
          <w:szCs w:val="23"/>
          <w:lang w:val="en-GB"/>
        </w:rPr>
        <w:t>. Some interviewees perceived a high degree of cooperation and collaboration between agencies to meet community</w:t>
      </w:r>
      <w:r w:rsidR="00750070">
        <w:rPr>
          <w:rFonts w:asciiTheme="majorHAnsi" w:eastAsiaTheme="majorEastAsia" w:hAnsiTheme="majorHAnsi" w:cstheme="majorHAnsi"/>
          <w:sz w:val="23"/>
          <w:szCs w:val="23"/>
          <w:lang w:val="en-GB"/>
        </w:rPr>
        <w:t xml:space="preserve"> needs</w:t>
      </w:r>
      <w:r w:rsidRPr="0034443E">
        <w:rPr>
          <w:rFonts w:asciiTheme="majorHAnsi" w:eastAsiaTheme="majorEastAsia" w:hAnsiTheme="majorHAnsi" w:cstheme="majorHAnsi"/>
          <w:sz w:val="23"/>
          <w:szCs w:val="23"/>
          <w:lang w:val="en-GB"/>
        </w:rPr>
        <w:t xml:space="preserve">. However, others </w:t>
      </w:r>
      <w:r w:rsidR="00750070">
        <w:rPr>
          <w:rFonts w:asciiTheme="majorHAnsi" w:eastAsiaTheme="majorEastAsia" w:hAnsiTheme="majorHAnsi" w:cstheme="majorHAnsi"/>
          <w:sz w:val="23"/>
          <w:szCs w:val="23"/>
          <w:lang w:val="en-GB"/>
        </w:rPr>
        <w:t>described</w:t>
      </w:r>
      <w:r w:rsidRPr="0034443E">
        <w:rPr>
          <w:rFonts w:asciiTheme="majorHAnsi" w:eastAsiaTheme="majorEastAsia" w:hAnsiTheme="majorHAnsi" w:cstheme="majorHAnsi"/>
          <w:sz w:val="23"/>
          <w:szCs w:val="23"/>
          <w:lang w:val="en-GB"/>
        </w:rPr>
        <w:t xml:space="preserve"> a more fragmentary approach, </w:t>
      </w:r>
      <w:r w:rsidR="00B93F70">
        <w:rPr>
          <w:rFonts w:asciiTheme="majorHAnsi" w:eastAsiaTheme="majorEastAsia" w:hAnsiTheme="majorHAnsi" w:cstheme="majorHAnsi"/>
          <w:sz w:val="23"/>
          <w:szCs w:val="23"/>
          <w:lang w:val="en-GB"/>
        </w:rPr>
        <w:t>including a</w:t>
      </w:r>
      <w:r w:rsidRPr="0034443E">
        <w:rPr>
          <w:rFonts w:asciiTheme="majorHAnsi" w:eastAsiaTheme="majorEastAsia" w:hAnsiTheme="majorHAnsi" w:cstheme="majorHAnsi"/>
          <w:sz w:val="23"/>
          <w:szCs w:val="23"/>
          <w:lang w:val="en-GB"/>
        </w:rPr>
        <w:t xml:space="preserve"> lack of knowledge about who was providing what </w:t>
      </w:r>
      <w:r w:rsidR="00B93F70">
        <w:rPr>
          <w:rFonts w:asciiTheme="majorHAnsi" w:eastAsiaTheme="majorEastAsia" w:hAnsiTheme="majorHAnsi" w:cstheme="majorHAnsi"/>
          <w:sz w:val="23"/>
          <w:szCs w:val="23"/>
          <w:lang w:val="en-GB"/>
        </w:rPr>
        <w:t>and where</w:t>
      </w:r>
      <w:r w:rsidRPr="0034443E">
        <w:rPr>
          <w:rFonts w:asciiTheme="majorHAnsi" w:eastAsiaTheme="majorEastAsia" w:hAnsiTheme="majorHAnsi" w:cstheme="majorHAnsi"/>
          <w:sz w:val="23"/>
          <w:szCs w:val="23"/>
          <w:lang w:val="en-GB"/>
        </w:rPr>
        <w:t xml:space="preserve">, </w:t>
      </w:r>
      <w:r w:rsidR="00B93F70">
        <w:rPr>
          <w:rFonts w:asciiTheme="majorHAnsi" w:eastAsiaTheme="majorEastAsia" w:hAnsiTheme="majorHAnsi" w:cstheme="majorHAnsi"/>
          <w:sz w:val="23"/>
          <w:szCs w:val="23"/>
          <w:lang w:val="en-GB"/>
        </w:rPr>
        <w:t>and</w:t>
      </w:r>
      <w:r w:rsidRPr="0034443E">
        <w:rPr>
          <w:rFonts w:asciiTheme="majorHAnsi" w:eastAsiaTheme="majorEastAsia" w:hAnsiTheme="majorHAnsi" w:cstheme="majorHAnsi"/>
          <w:sz w:val="23"/>
          <w:szCs w:val="23"/>
          <w:lang w:val="en-GB"/>
        </w:rPr>
        <w:t xml:space="preserve"> </w:t>
      </w:r>
      <w:r w:rsidR="002574A0">
        <w:rPr>
          <w:rFonts w:asciiTheme="majorHAnsi" w:eastAsiaTheme="majorEastAsia" w:hAnsiTheme="majorHAnsi" w:cstheme="majorHAnsi"/>
          <w:sz w:val="23"/>
          <w:szCs w:val="23"/>
          <w:lang w:val="en-GB"/>
        </w:rPr>
        <w:t>residents</w:t>
      </w:r>
      <w:r w:rsidRPr="0034443E">
        <w:rPr>
          <w:rFonts w:asciiTheme="majorHAnsi" w:eastAsiaTheme="majorEastAsia" w:hAnsiTheme="majorHAnsi" w:cstheme="majorHAnsi"/>
          <w:sz w:val="23"/>
          <w:szCs w:val="23"/>
          <w:lang w:val="en-GB"/>
        </w:rPr>
        <w:t xml:space="preserve"> feeling overwhelmed by </w:t>
      </w:r>
      <w:r w:rsidR="00B93F70">
        <w:rPr>
          <w:rFonts w:asciiTheme="majorHAnsi" w:eastAsiaTheme="majorEastAsia" w:hAnsiTheme="majorHAnsi" w:cstheme="majorHAnsi"/>
          <w:sz w:val="23"/>
          <w:szCs w:val="23"/>
          <w:lang w:val="en-GB"/>
        </w:rPr>
        <w:t>the need</w:t>
      </w:r>
      <w:r w:rsidRPr="0034443E">
        <w:rPr>
          <w:rFonts w:asciiTheme="majorHAnsi" w:eastAsiaTheme="majorEastAsia" w:hAnsiTheme="majorHAnsi" w:cstheme="majorHAnsi"/>
          <w:sz w:val="23"/>
          <w:szCs w:val="23"/>
          <w:lang w:val="en-GB"/>
        </w:rPr>
        <w:t xml:space="preserve"> to self-manage relationships with multiple agencies. </w:t>
      </w:r>
    </w:p>
    <w:p w14:paraId="5A2EC3B6" w14:textId="77777777" w:rsidR="00F00E3D" w:rsidRPr="00B93F70" w:rsidRDefault="00F00E3D" w:rsidP="002574A0">
      <w:pPr>
        <w:spacing w:line="276" w:lineRule="auto"/>
        <w:rPr>
          <w:rFonts w:eastAsiaTheme="majorEastAsia" w:cstheme="majorHAnsi"/>
          <w:b/>
          <w:bCs/>
          <w:sz w:val="25"/>
          <w:szCs w:val="25"/>
          <w:lang w:val="en-GB"/>
        </w:rPr>
      </w:pPr>
      <w:r w:rsidRPr="00B93F70">
        <w:rPr>
          <w:rFonts w:eastAsiaTheme="majorEastAsia" w:cstheme="majorHAnsi"/>
          <w:b/>
          <w:bCs/>
          <w:sz w:val="25"/>
          <w:szCs w:val="25"/>
          <w:lang w:val="en-GB"/>
        </w:rPr>
        <w:t>Liveability</w:t>
      </w:r>
    </w:p>
    <w:p w14:paraId="4F171560" w14:textId="2120A0B4" w:rsidR="00F00E3D" w:rsidRPr="0034443E" w:rsidRDefault="00445438" w:rsidP="00D60BCB">
      <w:pPr>
        <w:spacing w:line="276" w:lineRule="auto"/>
        <w:rPr>
          <w:rFonts w:asciiTheme="majorHAnsi" w:eastAsiaTheme="majorEastAsia" w:hAnsiTheme="majorHAnsi" w:cstheme="majorBidi"/>
          <w:sz w:val="23"/>
          <w:szCs w:val="23"/>
          <w:lang w:val="en-GB"/>
        </w:rPr>
      </w:pPr>
      <w:r>
        <w:rPr>
          <w:rFonts w:asciiTheme="majorHAnsi" w:eastAsiaTheme="majorEastAsia" w:hAnsiTheme="majorHAnsi" w:cstheme="majorBidi"/>
          <w:sz w:val="23"/>
          <w:szCs w:val="23"/>
          <w:lang w:val="en-GB"/>
        </w:rPr>
        <w:t>For digitally included</w:t>
      </w:r>
      <w:r w:rsidR="00C35A6F">
        <w:rPr>
          <w:rFonts w:asciiTheme="majorHAnsi" w:eastAsiaTheme="majorEastAsia" w:hAnsiTheme="majorHAnsi" w:cstheme="majorBidi"/>
          <w:sz w:val="23"/>
          <w:szCs w:val="23"/>
          <w:lang w:val="en-GB"/>
        </w:rPr>
        <w:t xml:space="preserve"> residents</w:t>
      </w:r>
      <w:r>
        <w:rPr>
          <w:rFonts w:asciiTheme="majorHAnsi" w:eastAsiaTheme="majorEastAsia" w:hAnsiTheme="majorHAnsi" w:cstheme="majorBidi"/>
          <w:sz w:val="23"/>
          <w:szCs w:val="23"/>
          <w:lang w:val="en-GB"/>
        </w:rPr>
        <w:t>, t</w:t>
      </w:r>
      <w:r w:rsidR="00F00E3D" w:rsidRPr="0034443E">
        <w:rPr>
          <w:rFonts w:asciiTheme="majorHAnsi" w:eastAsiaTheme="majorEastAsia" w:hAnsiTheme="majorHAnsi" w:cstheme="majorBidi"/>
          <w:sz w:val="23"/>
          <w:szCs w:val="23"/>
          <w:lang w:val="en-GB"/>
        </w:rPr>
        <w:t xml:space="preserve">he shift of many community activities and groups online </w:t>
      </w:r>
      <w:r>
        <w:rPr>
          <w:rFonts w:asciiTheme="majorHAnsi" w:eastAsiaTheme="majorEastAsia" w:hAnsiTheme="majorHAnsi" w:cstheme="majorBidi"/>
          <w:sz w:val="23"/>
          <w:szCs w:val="23"/>
          <w:lang w:val="en-GB"/>
        </w:rPr>
        <w:t>during COVID-19 presented</w:t>
      </w:r>
      <w:r w:rsidRPr="00445438">
        <w:rPr>
          <w:rFonts w:asciiTheme="majorHAnsi" w:eastAsiaTheme="majorEastAsia" w:hAnsiTheme="majorHAnsi" w:cstheme="majorBidi"/>
          <w:sz w:val="23"/>
          <w:szCs w:val="23"/>
          <w:lang w:val="en-GB"/>
        </w:rPr>
        <w:t xml:space="preserve"> </w:t>
      </w:r>
      <w:r>
        <w:rPr>
          <w:rFonts w:asciiTheme="majorHAnsi" w:eastAsiaTheme="majorEastAsia" w:hAnsiTheme="majorHAnsi" w:cstheme="majorBidi"/>
          <w:sz w:val="23"/>
          <w:szCs w:val="23"/>
          <w:lang w:val="en-GB"/>
        </w:rPr>
        <w:t xml:space="preserve">new </w:t>
      </w:r>
      <w:r w:rsidRPr="00445438">
        <w:rPr>
          <w:rFonts w:asciiTheme="majorHAnsi" w:eastAsiaTheme="majorEastAsia" w:hAnsiTheme="majorHAnsi" w:cstheme="majorBidi"/>
          <w:sz w:val="23"/>
          <w:szCs w:val="23"/>
          <w:lang w:val="en-GB"/>
        </w:rPr>
        <w:t xml:space="preserve">opportunities </w:t>
      </w:r>
      <w:r>
        <w:rPr>
          <w:rFonts w:asciiTheme="majorHAnsi" w:eastAsiaTheme="majorEastAsia" w:hAnsiTheme="majorHAnsi" w:cstheme="majorBidi"/>
          <w:sz w:val="23"/>
          <w:szCs w:val="23"/>
          <w:lang w:val="en-GB"/>
        </w:rPr>
        <w:t>to engage.</w:t>
      </w:r>
      <w:r w:rsidR="00F00E3D" w:rsidRPr="0034443E">
        <w:rPr>
          <w:rFonts w:asciiTheme="majorHAnsi" w:eastAsiaTheme="majorEastAsia" w:hAnsiTheme="majorHAnsi" w:cstheme="majorBidi"/>
          <w:sz w:val="23"/>
          <w:szCs w:val="23"/>
          <w:lang w:val="en-GB"/>
        </w:rPr>
        <w:t xml:space="preserve"> </w:t>
      </w:r>
      <w:r>
        <w:rPr>
          <w:rFonts w:asciiTheme="majorHAnsi" w:eastAsiaTheme="majorEastAsia" w:hAnsiTheme="majorHAnsi" w:cstheme="majorBidi"/>
          <w:sz w:val="23"/>
          <w:szCs w:val="23"/>
          <w:lang w:val="en-GB"/>
        </w:rPr>
        <w:t>Online i</w:t>
      </w:r>
      <w:r w:rsidR="00F00E3D" w:rsidRPr="0034443E">
        <w:rPr>
          <w:rFonts w:asciiTheme="majorHAnsi" w:eastAsiaTheme="majorEastAsia" w:hAnsiTheme="majorHAnsi" w:cstheme="majorBidi"/>
          <w:sz w:val="23"/>
          <w:szCs w:val="23"/>
          <w:lang w:val="en-GB"/>
        </w:rPr>
        <w:t xml:space="preserve">nitiatives that contributed to community life included arts and cultural events, education and training, </w:t>
      </w:r>
      <w:r>
        <w:rPr>
          <w:rFonts w:asciiTheme="majorHAnsi" w:eastAsiaTheme="majorEastAsia" w:hAnsiTheme="majorHAnsi" w:cstheme="majorBidi"/>
          <w:sz w:val="23"/>
          <w:szCs w:val="23"/>
          <w:lang w:val="en-GB"/>
        </w:rPr>
        <w:t xml:space="preserve">workshops, </w:t>
      </w:r>
      <w:r w:rsidR="00F00E3D" w:rsidRPr="0034443E">
        <w:rPr>
          <w:rFonts w:asciiTheme="majorHAnsi" w:eastAsiaTheme="majorEastAsia" w:hAnsiTheme="majorHAnsi" w:cstheme="majorBidi"/>
          <w:sz w:val="23"/>
          <w:szCs w:val="23"/>
          <w:lang w:val="en-GB"/>
        </w:rPr>
        <w:t xml:space="preserve">and fitness support. </w:t>
      </w:r>
      <w:r>
        <w:rPr>
          <w:rFonts w:asciiTheme="majorHAnsi" w:eastAsiaTheme="majorEastAsia" w:hAnsiTheme="majorHAnsi" w:cstheme="majorBidi"/>
          <w:sz w:val="23"/>
          <w:szCs w:val="23"/>
          <w:lang w:val="en-GB"/>
        </w:rPr>
        <w:t>Residents</w:t>
      </w:r>
      <w:r w:rsidR="00F00E3D" w:rsidRPr="0034443E">
        <w:rPr>
          <w:rFonts w:asciiTheme="majorHAnsi" w:eastAsiaTheme="majorEastAsia" w:hAnsiTheme="majorHAnsi" w:cstheme="majorBidi"/>
          <w:sz w:val="23"/>
          <w:szCs w:val="23"/>
          <w:lang w:val="en-GB"/>
        </w:rPr>
        <w:t xml:space="preserve"> no longer needed to travel out of their area to access these resources, and many online offerings were available free of charge for those with the necessary data</w:t>
      </w:r>
      <w:r>
        <w:rPr>
          <w:rFonts w:asciiTheme="majorHAnsi" w:eastAsiaTheme="majorEastAsia" w:hAnsiTheme="majorHAnsi" w:cstheme="majorBidi"/>
          <w:sz w:val="23"/>
          <w:szCs w:val="23"/>
          <w:lang w:val="en-GB"/>
        </w:rPr>
        <w:t>, know-how,</w:t>
      </w:r>
      <w:r w:rsidR="00F00E3D" w:rsidRPr="0034443E">
        <w:rPr>
          <w:rFonts w:asciiTheme="majorHAnsi" w:eastAsiaTheme="majorEastAsia" w:hAnsiTheme="majorHAnsi" w:cstheme="majorBidi"/>
          <w:sz w:val="23"/>
          <w:szCs w:val="23"/>
          <w:lang w:val="en-GB"/>
        </w:rPr>
        <w:t xml:space="preserve"> and </w:t>
      </w:r>
      <w:r w:rsidR="00D60BCB">
        <w:rPr>
          <w:rFonts w:asciiTheme="majorHAnsi" w:eastAsiaTheme="majorEastAsia" w:hAnsiTheme="majorHAnsi" w:cstheme="majorBidi"/>
          <w:sz w:val="23"/>
          <w:szCs w:val="23"/>
          <w:lang w:val="en-GB"/>
        </w:rPr>
        <w:t>equipment</w:t>
      </w:r>
      <w:r w:rsidR="00F00E3D" w:rsidRPr="0034443E">
        <w:rPr>
          <w:rFonts w:asciiTheme="majorHAnsi" w:eastAsiaTheme="majorEastAsia" w:hAnsiTheme="majorHAnsi" w:cstheme="majorBidi"/>
          <w:sz w:val="23"/>
          <w:szCs w:val="23"/>
          <w:lang w:val="en-GB"/>
        </w:rPr>
        <w:t>.</w:t>
      </w:r>
    </w:p>
    <w:p w14:paraId="439BF22B" w14:textId="0C3C2671" w:rsidR="00F00E3D" w:rsidRPr="0034443E" w:rsidRDefault="00F00E3D" w:rsidP="00D60BCB">
      <w:pPr>
        <w:spacing w:line="276" w:lineRule="auto"/>
        <w:ind w:left="720"/>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You could see world class musicians giving their skills out for free. It exposed the community to new things and opened the world up to them (P6).</w:t>
      </w:r>
    </w:p>
    <w:p w14:paraId="50A643D8" w14:textId="1DA7AC62" w:rsidR="00761204" w:rsidRDefault="00F00E3D" w:rsidP="00934159">
      <w:pPr>
        <w:spacing w:after="0" w:line="276" w:lineRule="auto"/>
        <w:rPr>
          <w:rFonts w:asciiTheme="majorHAnsi" w:eastAsiaTheme="majorEastAsia" w:hAnsiTheme="majorHAnsi" w:cstheme="majorHAnsi"/>
          <w:sz w:val="23"/>
          <w:szCs w:val="23"/>
          <w:lang w:val="en-GB"/>
        </w:rPr>
      </w:pPr>
      <w:r w:rsidRPr="0034443E">
        <w:rPr>
          <w:rFonts w:asciiTheme="majorHAnsi" w:eastAsiaTheme="majorEastAsia" w:hAnsiTheme="majorHAnsi" w:cstheme="majorHAnsi"/>
          <w:sz w:val="23"/>
          <w:szCs w:val="23"/>
          <w:lang w:val="en-GB"/>
        </w:rPr>
        <w:t>Another positive consequence of the pandemic was</w:t>
      </w:r>
      <w:r w:rsidR="00D60BCB">
        <w:rPr>
          <w:rFonts w:asciiTheme="majorHAnsi" w:eastAsiaTheme="majorEastAsia" w:hAnsiTheme="majorHAnsi" w:cstheme="majorHAnsi"/>
          <w:sz w:val="23"/>
          <w:szCs w:val="23"/>
          <w:lang w:val="en-GB"/>
        </w:rPr>
        <w:t xml:space="preserve"> </w:t>
      </w:r>
      <w:r w:rsidRPr="0034443E">
        <w:rPr>
          <w:rFonts w:asciiTheme="majorHAnsi" w:eastAsiaTheme="majorEastAsia" w:hAnsiTheme="majorHAnsi" w:cstheme="majorHAnsi"/>
          <w:sz w:val="23"/>
          <w:szCs w:val="23"/>
          <w:lang w:val="en-GB"/>
        </w:rPr>
        <w:t xml:space="preserve">increased recognition </w:t>
      </w:r>
      <w:r w:rsidR="00D60BCB">
        <w:rPr>
          <w:rFonts w:asciiTheme="majorHAnsi" w:eastAsiaTheme="majorEastAsia" w:hAnsiTheme="majorHAnsi" w:cstheme="majorHAnsi"/>
          <w:sz w:val="23"/>
          <w:szCs w:val="23"/>
          <w:lang w:val="en-GB"/>
        </w:rPr>
        <w:t>and appreciation of a</w:t>
      </w:r>
      <w:r w:rsidR="006332D7">
        <w:rPr>
          <w:rFonts w:asciiTheme="majorHAnsi" w:eastAsiaTheme="majorEastAsia" w:hAnsiTheme="majorHAnsi" w:cstheme="majorHAnsi"/>
          <w:sz w:val="23"/>
          <w:szCs w:val="23"/>
          <w:lang w:val="en-GB"/>
        </w:rPr>
        <w:t xml:space="preserve"> resident</w:t>
      </w:r>
      <w:r w:rsidRPr="0034443E">
        <w:rPr>
          <w:rFonts w:asciiTheme="majorHAnsi" w:eastAsiaTheme="majorEastAsia" w:hAnsiTheme="majorHAnsi" w:cstheme="majorHAnsi"/>
          <w:sz w:val="23"/>
          <w:szCs w:val="23"/>
          <w:lang w:val="en-GB"/>
        </w:rPr>
        <w:t xml:space="preserve"> group that is often </w:t>
      </w:r>
      <w:r w:rsidR="006332D7">
        <w:rPr>
          <w:rFonts w:asciiTheme="majorHAnsi" w:eastAsiaTheme="majorEastAsia" w:hAnsiTheme="majorHAnsi" w:cstheme="majorHAnsi"/>
          <w:sz w:val="23"/>
          <w:szCs w:val="23"/>
          <w:lang w:val="en-GB"/>
        </w:rPr>
        <w:t xml:space="preserve">stigmatised or </w:t>
      </w:r>
      <w:r w:rsidRPr="0034443E">
        <w:rPr>
          <w:rFonts w:asciiTheme="majorHAnsi" w:eastAsiaTheme="majorEastAsia" w:hAnsiTheme="majorHAnsi" w:cstheme="majorHAnsi"/>
          <w:sz w:val="23"/>
          <w:szCs w:val="23"/>
          <w:lang w:val="en-GB"/>
        </w:rPr>
        <w:t>viewed as problematic. Young people</w:t>
      </w:r>
      <w:r w:rsidR="00934159">
        <w:rPr>
          <w:rFonts w:asciiTheme="majorHAnsi" w:eastAsiaTheme="majorEastAsia" w:hAnsiTheme="majorHAnsi" w:cstheme="majorHAnsi"/>
          <w:sz w:val="23"/>
          <w:szCs w:val="23"/>
          <w:lang w:val="en-GB"/>
        </w:rPr>
        <w:t>, who</w:t>
      </w:r>
      <w:r w:rsidRPr="0034443E">
        <w:rPr>
          <w:rFonts w:asciiTheme="majorHAnsi" w:eastAsiaTheme="majorEastAsia" w:hAnsiTheme="majorHAnsi" w:cstheme="majorHAnsi"/>
          <w:sz w:val="23"/>
          <w:szCs w:val="23"/>
          <w:lang w:val="en-GB"/>
        </w:rPr>
        <w:t xml:space="preserve"> </w:t>
      </w:r>
      <w:r w:rsidR="00934159">
        <w:rPr>
          <w:rFonts w:asciiTheme="majorHAnsi" w:eastAsiaTheme="majorEastAsia" w:hAnsiTheme="majorHAnsi" w:cstheme="majorHAnsi"/>
          <w:sz w:val="23"/>
          <w:szCs w:val="23"/>
          <w:lang w:val="en-GB"/>
        </w:rPr>
        <w:t xml:space="preserve">were understood to be at lower risk from COVID-19, </w:t>
      </w:r>
      <w:r w:rsidRPr="0034443E">
        <w:rPr>
          <w:rFonts w:asciiTheme="majorHAnsi" w:eastAsiaTheme="majorEastAsia" w:hAnsiTheme="majorHAnsi" w:cstheme="majorHAnsi"/>
          <w:sz w:val="23"/>
          <w:szCs w:val="23"/>
          <w:lang w:val="en-GB"/>
        </w:rPr>
        <w:t xml:space="preserve">made an important </w:t>
      </w:r>
      <w:r w:rsidR="006332D7">
        <w:rPr>
          <w:rFonts w:asciiTheme="majorHAnsi" w:eastAsiaTheme="majorEastAsia" w:hAnsiTheme="majorHAnsi" w:cstheme="majorHAnsi"/>
          <w:sz w:val="23"/>
          <w:szCs w:val="23"/>
          <w:lang w:val="en-GB"/>
        </w:rPr>
        <w:t xml:space="preserve">social </w:t>
      </w:r>
      <w:r w:rsidRPr="0034443E">
        <w:rPr>
          <w:rFonts w:asciiTheme="majorHAnsi" w:eastAsiaTheme="majorEastAsia" w:hAnsiTheme="majorHAnsi" w:cstheme="majorHAnsi"/>
          <w:sz w:val="23"/>
          <w:szCs w:val="23"/>
          <w:lang w:val="en-GB"/>
        </w:rPr>
        <w:t xml:space="preserve">contribution to community life </w:t>
      </w:r>
      <w:r w:rsidR="006332D7">
        <w:rPr>
          <w:rFonts w:asciiTheme="majorHAnsi" w:eastAsiaTheme="majorEastAsia" w:hAnsiTheme="majorHAnsi" w:cstheme="majorHAnsi"/>
          <w:sz w:val="23"/>
          <w:szCs w:val="23"/>
          <w:lang w:val="en-GB"/>
        </w:rPr>
        <w:t>and the wellbeing of</w:t>
      </w:r>
      <w:r w:rsidRPr="0034443E">
        <w:rPr>
          <w:rFonts w:asciiTheme="majorHAnsi" w:eastAsiaTheme="majorEastAsia" w:hAnsiTheme="majorHAnsi" w:cstheme="majorHAnsi"/>
          <w:sz w:val="23"/>
          <w:szCs w:val="23"/>
          <w:lang w:val="en-GB"/>
        </w:rPr>
        <w:t xml:space="preserve"> </w:t>
      </w:r>
      <w:r w:rsidR="006332D7">
        <w:rPr>
          <w:rFonts w:asciiTheme="majorHAnsi" w:eastAsiaTheme="majorEastAsia" w:hAnsiTheme="majorHAnsi" w:cstheme="majorHAnsi"/>
          <w:sz w:val="23"/>
          <w:szCs w:val="23"/>
          <w:lang w:val="en-GB"/>
        </w:rPr>
        <w:t xml:space="preserve">more </w:t>
      </w:r>
      <w:r w:rsidRPr="0034443E">
        <w:rPr>
          <w:rFonts w:asciiTheme="majorHAnsi" w:eastAsiaTheme="majorEastAsia" w:hAnsiTheme="majorHAnsi" w:cstheme="majorHAnsi"/>
          <w:sz w:val="23"/>
          <w:szCs w:val="23"/>
          <w:lang w:val="en-GB"/>
        </w:rPr>
        <w:t xml:space="preserve">vulnerable residents, </w:t>
      </w:r>
      <w:r w:rsidR="00445438">
        <w:rPr>
          <w:rFonts w:asciiTheme="majorHAnsi" w:eastAsiaTheme="majorEastAsia" w:hAnsiTheme="majorHAnsi" w:cstheme="majorHAnsi"/>
          <w:sz w:val="23"/>
          <w:szCs w:val="23"/>
          <w:lang w:val="en-GB"/>
        </w:rPr>
        <w:t>taking on</w:t>
      </w:r>
      <w:r w:rsidRPr="0034443E">
        <w:rPr>
          <w:rFonts w:asciiTheme="majorHAnsi" w:eastAsiaTheme="majorEastAsia" w:hAnsiTheme="majorHAnsi" w:cstheme="majorHAnsi"/>
          <w:sz w:val="23"/>
          <w:szCs w:val="23"/>
          <w:lang w:val="en-GB"/>
        </w:rPr>
        <w:t xml:space="preserve"> responsibility for activities such as shopping</w:t>
      </w:r>
      <w:r w:rsidR="00445438">
        <w:rPr>
          <w:rFonts w:asciiTheme="majorHAnsi" w:eastAsiaTheme="majorEastAsia" w:hAnsiTheme="majorHAnsi" w:cstheme="majorHAnsi"/>
          <w:sz w:val="23"/>
          <w:szCs w:val="23"/>
          <w:lang w:val="en-GB"/>
        </w:rPr>
        <w:t>.</w:t>
      </w:r>
    </w:p>
    <w:p w14:paraId="448CF674" w14:textId="77777777" w:rsidR="00761204" w:rsidRDefault="00761204">
      <w:pPr>
        <w:spacing w:after="0" w:line="240" w:lineRule="auto"/>
        <w:rPr>
          <w:rFonts w:asciiTheme="majorHAnsi" w:eastAsiaTheme="majorEastAsia" w:hAnsiTheme="majorHAnsi" w:cstheme="majorHAnsi"/>
          <w:sz w:val="23"/>
          <w:szCs w:val="23"/>
          <w:lang w:val="en-GB"/>
        </w:rPr>
      </w:pPr>
      <w:r>
        <w:rPr>
          <w:rFonts w:asciiTheme="majorHAnsi" w:eastAsiaTheme="majorEastAsia" w:hAnsiTheme="majorHAnsi" w:cstheme="majorHAnsi"/>
          <w:sz w:val="23"/>
          <w:szCs w:val="23"/>
          <w:lang w:val="en-GB"/>
        </w:rPr>
        <w:br w:type="page"/>
      </w:r>
    </w:p>
    <w:p w14:paraId="7CDBF735" w14:textId="23BA3C86" w:rsidR="00F00E3D" w:rsidRPr="0034443E" w:rsidRDefault="001B31C5" w:rsidP="00934159">
      <w:pPr>
        <w:spacing w:after="0" w:line="276" w:lineRule="auto"/>
        <w:rPr>
          <w:rFonts w:asciiTheme="majorHAnsi" w:eastAsiaTheme="majorEastAsia" w:hAnsiTheme="majorHAnsi" w:cstheme="majorHAnsi"/>
          <w:sz w:val="23"/>
          <w:szCs w:val="23"/>
          <w:lang w:val="en-GB"/>
        </w:rPr>
      </w:pPr>
      <w:r>
        <w:rPr>
          <w:rFonts w:asciiTheme="majorHAnsi" w:eastAsiaTheme="majorEastAsia" w:hAnsiTheme="majorHAnsi" w:cstheme="majorHAnsi"/>
          <w:sz w:val="23"/>
          <w:szCs w:val="23"/>
          <w:lang w:val="en-GB"/>
        </w:rPr>
        <w:lastRenderedPageBreak/>
        <w:t>Table 8.2 (below)</w:t>
      </w:r>
      <w:r w:rsidR="00761204">
        <w:rPr>
          <w:rFonts w:asciiTheme="majorHAnsi" w:eastAsiaTheme="majorEastAsia" w:hAnsiTheme="majorHAnsi" w:cstheme="majorHAnsi"/>
          <w:sz w:val="23"/>
          <w:szCs w:val="23"/>
          <w:lang w:val="en-GB"/>
        </w:rPr>
        <w:t xml:space="preserve"> below presents a summary of the COVID-19 pandemic’s negative and positive </w:t>
      </w:r>
      <w:r w:rsidR="00517546">
        <w:rPr>
          <w:rFonts w:asciiTheme="majorHAnsi" w:eastAsiaTheme="majorEastAsia" w:hAnsiTheme="majorHAnsi" w:cstheme="majorHAnsi"/>
          <w:sz w:val="23"/>
          <w:szCs w:val="23"/>
          <w:lang w:val="en-GB"/>
        </w:rPr>
        <w:t>impacts for</w:t>
      </w:r>
      <w:r w:rsidR="00761204">
        <w:rPr>
          <w:rFonts w:asciiTheme="majorHAnsi" w:eastAsiaTheme="majorEastAsia" w:hAnsiTheme="majorHAnsi" w:cstheme="majorHAnsi"/>
          <w:sz w:val="23"/>
          <w:szCs w:val="23"/>
          <w:lang w:val="en-GB"/>
        </w:rPr>
        <w:t xml:space="preserve"> communities in Corio, Norlane, and Whittington.</w:t>
      </w:r>
      <w:r w:rsidR="00F03197">
        <w:rPr>
          <w:rFonts w:asciiTheme="majorHAnsi" w:eastAsiaTheme="majorEastAsia" w:hAnsiTheme="majorHAnsi" w:cstheme="majorHAnsi"/>
          <w:sz w:val="23"/>
          <w:szCs w:val="23"/>
          <w:lang w:val="en-GB"/>
        </w:rPr>
        <w:t xml:space="preserve"> </w:t>
      </w:r>
      <w:r w:rsidR="005B5D05">
        <w:rPr>
          <w:rFonts w:asciiTheme="majorHAnsi" w:eastAsiaTheme="majorEastAsia" w:hAnsiTheme="majorHAnsi" w:cstheme="majorHAnsi"/>
          <w:sz w:val="23"/>
          <w:szCs w:val="23"/>
          <w:lang w:val="en-GB"/>
        </w:rPr>
        <w:t>Impacts</w:t>
      </w:r>
      <w:r w:rsidR="00F03197">
        <w:rPr>
          <w:rFonts w:asciiTheme="majorHAnsi" w:eastAsiaTheme="majorEastAsia" w:hAnsiTheme="majorHAnsi" w:cstheme="majorHAnsi"/>
          <w:sz w:val="23"/>
          <w:szCs w:val="23"/>
          <w:lang w:val="en-GB"/>
        </w:rPr>
        <w:t xml:space="preserve"> are grouped by </w:t>
      </w:r>
      <w:r w:rsidR="00D95573">
        <w:rPr>
          <w:rFonts w:asciiTheme="majorHAnsi" w:eastAsiaTheme="majorEastAsia" w:hAnsiTheme="majorHAnsi" w:cstheme="majorHAnsi"/>
          <w:sz w:val="23"/>
          <w:szCs w:val="23"/>
          <w:lang w:val="en-GB"/>
        </w:rPr>
        <w:t>Practice Domain</w:t>
      </w:r>
      <w:r w:rsidR="00F03197">
        <w:rPr>
          <w:rFonts w:asciiTheme="majorHAnsi" w:eastAsiaTheme="majorEastAsia" w:hAnsiTheme="majorHAnsi" w:cstheme="majorHAnsi"/>
          <w:sz w:val="23"/>
          <w:szCs w:val="23"/>
          <w:lang w:val="en-GB"/>
        </w:rPr>
        <w:t>.</w:t>
      </w:r>
    </w:p>
    <w:p w14:paraId="1585A8B6" w14:textId="5B729AF1" w:rsidR="00F00E3D" w:rsidRPr="006F65E1" w:rsidRDefault="00F00E3D" w:rsidP="009B2FA7">
      <w:pPr>
        <w:spacing w:line="216" w:lineRule="auto"/>
        <w:ind w:left="360" w:hanging="360"/>
        <w:rPr>
          <w:rFonts w:eastAsiaTheme="majorEastAsia" w:cstheme="minorHAnsi"/>
          <w:sz w:val="16"/>
          <w:szCs w:val="16"/>
        </w:rPr>
      </w:pPr>
    </w:p>
    <w:tbl>
      <w:tblPr>
        <w:tblStyle w:val="TableGrid1"/>
        <w:tblW w:w="0" w:type="auto"/>
        <w:tblLayout w:type="fixed"/>
        <w:tblLook w:val="04A0" w:firstRow="1" w:lastRow="0" w:firstColumn="1" w:lastColumn="0" w:noHBand="0" w:noVBand="1"/>
      </w:tblPr>
      <w:tblGrid>
        <w:gridCol w:w="1555"/>
        <w:gridCol w:w="3985"/>
        <w:gridCol w:w="4000"/>
      </w:tblGrid>
      <w:tr w:rsidR="00F00E3D" w:rsidRPr="0034443E" w14:paraId="2F644949" w14:textId="77777777" w:rsidTr="778E395A">
        <w:trPr>
          <w:trHeight w:val="656"/>
        </w:trPr>
        <w:tc>
          <w:tcPr>
            <w:tcW w:w="1555" w:type="dxa"/>
            <w:shd w:val="clear" w:color="auto" w:fill="AEAAAA" w:themeFill="background2" w:themeFillShade="BF"/>
          </w:tcPr>
          <w:p w14:paraId="5E8F5C5C" w14:textId="77777777" w:rsidR="004D0A94" w:rsidRPr="00517546" w:rsidRDefault="004D0A94" w:rsidP="005B5D05">
            <w:pPr>
              <w:spacing w:after="0" w:line="240" w:lineRule="auto"/>
              <w:rPr>
                <w:rFonts w:eastAsiaTheme="majorEastAsia" w:cstheme="minorHAnsi"/>
                <w:b/>
                <w:bCs/>
                <w:sz w:val="8"/>
                <w:szCs w:val="8"/>
                <w:lang w:val="en-GB"/>
              </w:rPr>
            </w:pPr>
          </w:p>
          <w:p w14:paraId="07673C92" w14:textId="20AF5263" w:rsidR="005B5D05" w:rsidRDefault="005B5D05" w:rsidP="005B5D05">
            <w:pPr>
              <w:spacing w:after="0" w:line="240" w:lineRule="auto"/>
              <w:rPr>
                <w:rFonts w:eastAsiaTheme="majorEastAsia" w:cstheme="minorHAnsi"/>
                <w:b/>
                <w:bCs/>
                <w:sz w:val="21"/>
                <w:szCs w:val="21"/>
                <w:lang w:val="en-GB"/>
              </w:rPr>
            </w:pPr>
            <w:r>
              <w:rPr>
                <w:rFonts w:eastAsiaTheme="majorEastAsia" w:cstheme="minorHAnsi"/>
                <w:b/>
                <w:bCs/>
                <w:sz w:val="21"/>
                <w:szCs w:val="21"/>
                <w:lang w:val="en-GB"/>
              </w:rPr>
              <w:t>Practice</w:t>
            </w:r>
          </w:p>
          <w:p w14:paraId="37894CA4" w14:textId="77777777" w:rsidR="00F00E3D" w:rsidRDefault="00F00E3D" w:rsidP="005B5D05">
            <w:pPr>
              <w:spacing w:after="0" w:line="240" w:lineRule="auto"/>
              <w:rPr>
                <w:rFonts w:eastAsiaTheme="majorEastAsia" w:cstheme="minorHAnsi"/>
                <w:b/>
                <w:bCs/>
                <w:sz w:val="21"/>
                <w:szCs w:val="21"/>
                <w:lang w:val="en-GB"/>
              </w:rPr>
            </w:pPr>
            <w:r w:rsidRPr="0034443E">
              <w:rPr>
                <w:rFonts w:eastAsiaTheme="majorEastAsia" w:cstheme="minorHAnsi"/>
                <w:b/>
                <w:bCs/>
                <w:sz w:val="21"/>
                <w:szCs w:val="21"/>
                <w:lang w:val="en-GB"/>
              </w:rPr>
              <w:t>Domain</w:t>
            </w:r>
          </w:p>
          <w:p w14:paraId="43A60F88" w14:textId="2B7EB8EE" w:rsidR="005B5D05" w:rsidRPr="005B5D05" w:rsidRDefault="005B5D05" w:rsidP="005B5D05">
            <w:pPr>
              <w:spacing w:after="0" w:line="240" w:lineRule="auto"/>
              <w:rPr>
                <w:rFonts w:eastAsiaTheme="majorEastAsia" w:cstheme="minorHAnsi"/>
                <w:b/>
                <w:bCs/>
                <w:sz w:val="8"/>
                <w:szCs w:val="8"/>
                <w:lang w:val="en-GB"/>
              </w:rPr>
            </w:pPr>
          </w:p>
        </w:tc>
        <w:tc>
          <w:tcPr>
            <w:tcW w:w="3985" w:type="dxa"/>
            <w:shd w:val="clear" w:color="auto" w:fill="AEAAAA" w:themeFill="background2" w:themeFillShade="BF"/>
          </w:tcPr>
          <w:p w14:paraId="24820BB5" w14:textId="77777777" w:rsidR="004D0A94" w:rsidRPr="00517546" w:rsidRDefault="004D0A94" w:rsidP="005B5D05">
            <w:pPr>
              <w:spacing w:after="0" w:line="240" w:lineRule="auto"/>
              <w:rPr>
                <w:rFonts w:eastAsiaTheme="majorEastAsia" w:cstheme="minorHAnsi"/>
                <w:b/>
                <w:bCs/>
                <w:sz w:val="8"/>
                <w:szCs w:val="8"/>
                <w:lang w:val="en-GB"/>
              </w:rPr>
            </w:pPr>
          </w:p>
          <w:p w14:paraId="54AE9DD6" w14:textId="294E02AD" w:rsidR="00F00E3D" w:rsidRPr="0034443E" w:rsidRDefault="00F00E3D" w:rsidP="005B5D05">
            <w:pPr>
              <w:spacing w:after="0" w:line="240" w:lineRule="auto"/>
              <w:rPr>
                <w:rFonts w:eastAsiaTheme="majorEastAsia" w:cstheme="minorHAnsi"/>
                <w:b/>
                <w:bCs/>
                <w:sz w:val="21"/>
                <w:szCs w:val="21"/>
                <w:lang w:val="en-GB"/>
              </w:rPr>
            </w:pPr>
            <w:r w:rsidRPr="0034443E">
              <w:rPr>
                <w:rFonts w:eastAsiaTheme="majorEastAsia" w:cstheme="minorHAnsi"/>
                <w:b/>
                <w:bCs/>
                <w:sz w:val="21"/>
                <w:szCs w:val="21"/>
                <w:lang w:val="en-GB"/>
              </w:rPr>
              <w:t>Positive</w:t>
            </w:r>
            <w:r w:rsidR="005B5D05">
              <w:rPr>
                <w:rFonts w:eastAsiaTheme="majorEastAsia" w:cstheme="minorHAnsi"/>
                <w:b/>
                <w:bCs/>
                <w:sz w:val="21"/>
                <w:szCs w:val="21"/>
                <w:lang w:val="en-GB"/>
              </w:rPr>
              <w:t xml:space="preserve"> Impacts</w:t>
            </w:r>
          </w:p>
        </w:tc>
        <w:tc>
          <w:tcPr>
            <w:tcW w:w="4000" w:type="dxa"/>
            <w:shd w:val="clear" w:color="auto" w:fill="AEAAAA" w:themeFill="background2" w:themeFillShade="BF"/>
          </w:tcPr>
          <w:p w14:paraId="46E76744" w14:textId="77777777" w:rsidR="004D0A94" w:rsidRPr="00517546" w:rsidRDefault="004D0A94" w:rsidP="005B5D05">
            <w:pPr>
              <w:spacing w:after="0" w:line="240" w:lineRule="auto"/>
              <w:rPr>
                <w:rFonts w:eastAsiaTheme="majorEastAsia" w:cstheme="minorHAnsi"/>
                <w:b/>
                <w:bCs/>
                <w:sz w:val="8"/>
                <w:szCs w:val="8"/>
                <w:lang w:val="en-GB"/>
              </w:rPr>
            </w:pPr>
          </w:p>
          <w:p w14:paraId="49E9F4E1" w14:textId="30C96B2F" w:rsidR="00F00E3D" w:rsidRPr="0034443E" w:rsidRDefault="00F00E3D" w:rsidP="005B5D05">
            <w:pPr>
              <w:spacing w:after="0" w:line="240" w:lineRule="auto"/>
              <w:rPr>
                <w:rFonts w:eastAsiaTheme="majorEastAsia" w:cstheme="minorHAnsi"/>
                <w:b/>
                <w:bCs/>
                <w:sz w:val="21"/>
                <w:szCs w:val="21"/>
                <w:lang w:val="en-GB"/>
              </w:rPr>
            </w:pPr>
            <w:r w:rsidRPr="0034443E">
              <w:rPr>
                <w:rFonts w:eastAsiaTheme="majorEastAsia" w:cstheme="minorHAnsi"/>
                <w:b/>
                <w:bCs/>
                <w:sz w:val="21"/>
                <w:szCs w:val="21"/>
                <w:lang w:val="en-GB"/>
              </w:rPr>
              <w:t xml:space="preserve">Negative </w:t>
            </w:r>
            <w:r w:rsidR="005B5D05">
              <w:rPr>
                <w:rFonts w:eastAsiaTheme="majorEastAsia" w:cstheme="minorHAnsi"/>
                <w:b/>
                <w:bCs/>
                <w:sz w:val="21"/>
                <w:szCs w:val="21"/>
                <w:lang w:val="en-GB"/>
              </w:rPr>
              <w:t>Impacts</w:t>
            </w:r>
          </w:p>
        </w:tc>
      </w:tr>
      <w:tr w:rsidR="00F00E3D" w:rsidRPr="0034443E" w14:paraId="7059EC51" w14:textId="77777777" w:rsidTr="778E395A">
        <w:trPr>
          <w:trHeight w:val="1286"/>
        </w:trPr>
        <w:tc>
          <w:tcPr>
            <w:tcW w:w="1555" w:type="dxa"/>
          </w:tcPr>
          <w:p w14:paraId="3A6BD071" w14:textId="77777777" w:rsidR="005B5D05" w:rsidRPr="005B5D05" w:rsidRDefault="005B5D05" w:rsidP="004550FF">
            <w:pPr>
              <w:spacing w:line="240" w:lineRule="auto"/>
              <w:rPr>
                <w:rFonts w:eastAsiaTheme="majorEastAsia" w:cstheme="majorHAnsi"/>
                <w:b/>
                <w:bCs/>
                <w:sz w:val="8"/>
                <w:szCs w:val="8"/>
                <w:lang w:val="en-GB"/>
              </w:rPr>
            </w:pPr>
          </w:p>
          <w:p w14:paraId="355C3E6D" w14:textId="3A21B6BA" w:rsidR="00F00E3D" w:rsidRPr="005B5D05" w:rsidRDefault="00F00E3D" w:rsidP="004550FF">
            <w:pPr>
              <w:spacing w:line="240" w:lineRule="auto"/>
              <w:rPr>
                <w:rFonts w:eastAsiaTheme="majorEastAsia" w:cstheme="majorHAnsi"/>
                <w:b/>
                <w:bCs/>
                <w:sz w:val="21"/>
                <w:szCs w:val="21"/>
                <w:lang w:val="en-GB"/>
              </w:rPr>
            </w:pPr>
            <w:r w:rsidRPr="005B5D05">
              <w:rPr>
                <w:rFonts w:eastAsiaTheme="majorEastAsia" w:cstheme="majorHAnsi"/>
                <w:b/>
                <w:bCs/>
                <w:sz w:val="21"/>
                <w:szCs w:val="21"/>
                <w:lang w:val="en-GB"/>
              </w:rPr>
              <w:t>Employment</w:t>
            </w:r>
          </w:p>
        </w:tc>
        <w:tc>
          <w:tcPr>
            <w:tcW w:w="3985" w:type="dxa"/>
          </w:tcPr>
          <w:p w14:paraId="086893F2" w14:textId="77777777" w:rsidR="005B5D05" w:rsidRPr="005B5D05" w:rsidRDefault="005B5D05" w:rsidP="004550FF">
            <w:pPr>
              <w:spacing w:after="0" w:line="240" w:lineRule="auto"/>
              <w:rPr>
                <w:rFonts w:asciiTheme="majorHAnsi" w:eastAsiaTheme="majorEastAsia" w:hAnsiTheme="majorHAnsi" w:cstheme="majorHAnsi"/>
                <w:sz w:val="8"/>
                <w:szCs w:val="8"/>
                <w:lang w:val="en-GB"/>
              </w:rPr>
            </w:pPr>
          </w:p>
          <w:p w14:paraId="47A23E55" w14:textId="77777777" w:rsidR="001D79F5" w:rsidRDefault="001D79F5"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JobKeeper</w:t>
            </w:r>
            <w:r w:rsidR="000956A5" w:rsidRPr="0034443E">
              <w:rPr>
                <w:rFonts w:asciiTheme="majorHAnsi" w:eastAsiaTheme="majorEastAsia" w:hAnsiTheme="majorHAnsi" w:cstheme="majorHAnsi"/>
                <w:sz w:val="21"/>
                <w:szCs w:val="21"/>
                <w:lang w:val="en-GB"/>
              </w:rPr>
              <w:t xml:space="preserve"> </w:t>
            </w:r>
            <w:r w:rsidR="005B5D05">
              <w:rPr>
                <w:rFonts w:asciiTheme="majorHAnsi" w:eastAsiaTheme="majorEastAsia" w:hAnsiTheme="majorHAnsi" w:cstheme="majorHAnsi"/>
                <w:sz w:val="21"/>
                <w:szCs w:val="21"/>
                <w:lang w:val="en-GB"/>
              </w:rPr>
              <w:t xml:space="preserve">payments </w:t>
            </w:r>
            <w:r w:rsidR="000956A5" w:rsidRPr="0034443E">
              <w:rPr>
                <w:rFonts w:asciiTheme="majorHAnsi" w:eastAsiaTheme="majorEastAsia" w:hAnsiTheme="majorHAnsi" w:cstheme="majorHAnsi"/>
                <w:sz w:val="21"/>
                <w:szCs w:val="21"/>
                <w:lang w:val="en-GB"/>
              </w:rPr>
              <w:t>and JobSeeker</w:t>
            </w:r>
          </w:p>
          <w:p w14:paraId="188BDD52" w14:textId="77777777" w:rsidR="001D79F5" w:rsidRDefault="001D79F5" w:rsidP="004550FF">
            <w:pPr>
              <w:spacing w:after="0" w:line="240" w:lineRule="auto"/>
              <w:rPr>
                <w:rFonts w:asciiTheme="majorHAnsi" w:eastAsiaTheme="majorEastAsia" w:hAnsiTheme="majorHAnsi" w:cstheme="majorHAnsi"/>
                <w:sz w:val="21"/>
                <w:szCs w:val="21"/>
                <w:lang w:val="en-GB"/>
              </w:rPr>
            </w:pPr>
            <w:r>
              <w:rPr>
                <w:rFonts w:asciiTheme="majorHAnsi" w:eastAsiaTheme="majorEastAsia" w:hAnsiTheme="majorHAnsi" w:cstheme="majorHAnsi"/>
                <w:sz w:val="21"/>
                <w:szCs w:val="21"/>
                <w:lang w:val="en-GB"/>
              </w:rPr>
              <w:t xml:space="preserve">   </w:t>
            </w:r>
            <w:r w:rsidR="000956A5" w:rsidRPr="0034443E">
              <w:rPr>
                <w:rFonts w:asciiTheme="majorHAnsi" w:eastAsiaTheme="majorEastAsia" w:hAnsiTheme="majorHAnsi" w:cstheme="majorHAnsi"/>
                <w:sz w:val="21"/>
                <w:szCs w:val="21"/>
                <w:lang w:val="en-GB"/>
              </w:rPr>
              <w:t>supplement</w:t>
            </w:r>
            <w:r w:rsidR="00F00E3D" w:rsidRPr="0034443E">
              <w:rPr>
                <w:rFonts w:asciiTheme="majorHAnsi" w:eastAsiaTheme="majorEastAsia" w:hAnsiTheme="majorHAnsi" w:cstheme="majorHAnsi"/>
                <w:sz w:val="21"/>
                <w:szCs w:val="21"/>
                <w:lang w:val="en-GB"/>
              </w:rPr>
              <w:t xml:space="preserve"> </w:t>
            </w:r>
            <w:r w:rsidR="00252DAC" w:rsidRPr="0034443E">
              <w:rPr>
                <w:rFonts w:asciiTheme="majorHAnsi" w:eastAsiaTheme="majorEastAsia" w:hAnsiTheme="majorHAnsi" w:cstheme="majorHAnsi"/>
                <w:sz w:val="21"/>
                <w:szCs w:val="21"/>
                <w:lang w:val="en-GB"/>
              </w:rPr>
              <w:t>a</w:t>
            </w:r>
            <w:r w:rsidR="00F00E3D" w:rsidRPr="0034443E">
              <w:rPr>
                <w:rFonts w:asciiTheme="majorHAnsi" w:eastAsiaTheme="majorEastAsia" w:hAnsiTheme="majorHAnsi" w:cstheme="majorHAnsi"/>
                <w:sz w:val="21"/>
                <w:szCs w:val="21"/>
                <w:lang w:val="en-GB"/>
              </w:rPr>
              <w:t xml:space="preserve"> significant support</w:t>
            </w:r>
            <w:r w:rsidR="004550FF">
              <w:rPr>
                <w:rFonts w:asciiTheme="majorHAnsi" w:eastAsiaTheme="majorEastAsia" w:hAnsiTheme="majorHAnsi" w:cstheme="majorHAnsi"/>
                <w:sz w:val="21"/>
                <w:szCs w:val="21"/>
                <w:lang w:val="en-GB"/>
              </w:rPr>
              <w:t xml:space="preserve"> (albeit </w:t>
            </w:r>
          </w:p>
          <w:p w14:paraId="2ED3AB53" w14:textId="292CC248" w:rsidR="00F00E3D" w:rsidRPr="004550FF" w:rsidRDefault="001D79F5" w:rsidP="004550FF">
            <w:pPr>
              <w:spacing w:after="0" w:line="240" w:lineRule="auto"/>
              <w:rPr>
                <w:rFonts w:asciiTheme="majorHAnsi" w:eastAsiaTheme="majorEastAsia" w:hAnsiTheme="majorHAnsi" w:cstheme="majorHAnsi"/>
                <w:sz w:val="21"/>
                <w:szCs w:val="21"/>
                <w:lang w:val="en-GB"/>
              </w:rPr>
            </w:pPr>
            <w:r>
              <w:rPr>
                <w:rFonts w:asciiTheme="majorHAnsi" w:eastAsiaTheme="majorEastAsia" w:hAnsiTheme="majorHAnsi" w:cstheme="majorHAnsi"/>
                <w:sz w:val="21"/>
                <w:szCs w:val="21"/>
                <w:lang w:val="en-GB"/>
              </w:rPr>
              <w:t xml:space="preserve">   </w:t>
            </w:r>
            <w:r w:rsidR="004550FF">
              <w:rPr>
                <w:rFonts w:asciiTheme="majorHAnsi" w:eastAsiaTheme="majorEastAsia" w:hAnsiTheme="majorHAnsi" w:cstheme="majorHAnsi"/>
                <w:sz w:val="21"/>
                <w:szCs w:val="21"/>
                <w:lang w:val="en-GB"/>
              </w:rPr>
              <w:t>temporary)</w:t>
            </w:r>
          </w:p>
          <w:p w14:paraId="1A385537" w14:textId="77777777" w:rsidR="000956A5" w:rsidRPr="004550FF" w:rsidRDefault="000956A5" w:rsidP="004550FF">
            <w:pPr>
              <w:spacing w:after="0" w:line="240" w:lineRule="auto"/>
              <w:rPr>
                <w:rFonts w:asciiTheme="majorHAnsi" w:eastAsiaTheme="majorEastAsia" w:hAnsiTheme="majorHAnsi" w:cstheme="majorHAnsi"/>
                <w:sz w:val="16"/>
                <w:szCs w:val="16"/>
                <w:lang w:val="en-GB"/>
              </w:rPr>
            </w:pPr>
          </w:p>
          <w:p w14:paraId="128B76D5" w14:textId="77777777" w:rsidR="001D79F5" w:rsidRDefault="001D79F5"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252DAC" w:rsidRPr="0034443E">
              <w:rPr>
                <w:rFonts w:asciiTheme="majorHAnsi" w:eastAsiaTheme="majorEastAsia" w:hAnsiTheme="majorHAnsi" w:cstheme="majorHAnsi"/>
                <w:sz w:val="21"/>
                <w:szCs w:val="21"/>
                <w:lang w:val="en-GB"/>
              </w:rPr>
              <w:t>More</w:t>
            </w:r>
            <w:r w:rsidR="00F00E3D" w:rsidRPr="0034443E">
              <w:rPr>
                <w:rFonts w:asciiTheme="majorHAnsi" w:eastAsiaTheme="majorEastAsia" w:hAnsiTheme="majorHAnsi" w:cstheme="majorHAnsi"/>
                <w:sz w:val="21"/>
                <w:szCs w:val="21"/>
                <w:lang w:val="en-GB"/>
              </w:rPr>
              <w:t xml:space="preserve"> employment opportunities in </w:t>
            </w:r>
            <w:r w:rsidR="005B5D05">
              <w:rPr>
                <w:rFonts w:asciiTheme="majorHAnsi" w:eastAsiaTheme="majorEastAsia" w:hAnsiTheme="majorHAnsi" w:cstheme="majorHAnsi"/>
                <w:sz w:val="21"/>
                <w:szCs w:val="21"/>
                <w:lang w:val="en-GB"/>
              </w:rPr>
              <w:t>locally</w:t>
            </w:r>
          </w:p>
          <w:p w14:paraId="2DAC862C" w14:textId="47659E9A" w:rsidR="00F00E3D" w:rsidRDefault="001D79F5" w:rsidP="004550FF">
            <w:pPr>
              <w:spacing w:after="0" w:line="240" w:lineRule="auto"/>
              <w:rPr>
                <w:rFonts w:asciiTheme="majorHAnsi" w:eastAsiaTheme="majorEastAsia" w:hAnsiTheme="majorHAnsi" w:cstheme="majorHAnsi"/>
                <w:sz w:val="21"/>
                <w:szCs w:val="21"/>
                <w:lang w:val="en-GB"/>
              </w:rPr>
            </w:pPr>
            <w:r>
              <w:rPr>
                <w:rFonts w:asciiTheme="majorHAnsi" w:eastAsiaTheme="majorEastAsia" w:hAnsiTheme="majorHAnsi" w:cstheme="majorHAnsi"/>
                <w:sz w:val="21"/>
                <w:szCs w:val="21"/>
                <w:lang w:val="en-GB"/>
              </w:rPr>
              <w:t xml:space="preserve">   </w:t>
            </w:r>
            <w:r w:rsidR="005B5D05">
              <w:rPr>
                <w:rFonts w:asciiTheme="majorHAnsi" w:eastAsiaTheme="majorEastAsia" w:hAnsiTheme="majorHAnsi" w:cstheme="majorHAnsi"/>
                <w:sz w:val="21"/>
                <w:szCs w:val="21"/>
                <w:lang w:val="en-GB"/>
              </w:rPr>
              <w:t xml:space="preserve">prevalent </w:t>
            </w:r>
            <w:r w:rsidR="00F00E3D" w:rsidRPr="0034443E">
              <w:rPr>
                <w:rFonts w:asciiTheme="majorHAnsi" w:eastAsiaTheme="majorEastAsia" w:hAnsiTheme="majorHAnsi" w:cstheme="majorHAnsi"/>
                <w:sz w:val="21"/>
                <w:szCs w:val="21"/>
                <w:lang w:val="en-GB"/>
              </w:rPr>
              <w:t>essential service roles</w:t>
            </w:r>
          </w:p>
          <w:p w14:paraId="09604CD2" w14:textId="7543309A" w:rsidR="005B5D05" w:rsidRPr="005B5D05" w:rsidRDefault="005B5D05" w:rsidP="004550FF">
            <w:pPr>
              <w:spacing w:after="0" w:line="240" w:lineRule="auto"/>
              <w:rPr>
                <w:rFonts w:asciiTheme="majorHAnsi" w:eastAsiaTheme="majorEastAsia" w:hAnsiTheme="majorHAnsi" w:cstheme="majorHAnsi"/>
                <w:sz w:val="8"/>
                <w:szCs w:val="8"/>
              </w:rPr>
            </w:pPr>
          </w:p>
        </w:tc>
        <w:tc>
          <w:tcPr>
            <w:tcW w:w="4000" w:type="dxa"/>
          </w:tcPr>
          <w:p w14:paraId="3B743C89" w14:textId="77777777" w:rsidR="005B5D05" w:rsidRPr="005B5D05" w:rsidRDefault="005B5D05" w:rsidP="004550FF">
            <w:pPr>
              <w:spacing w:after="0" w:line="240" w:lineRule="auto"/>
              <w:rPr>
                <w:rFonts w:asciiTheme="majorHAnsi" w:eastAsiaTheme="majorEastAsia" w:hAnsiTheme="majorHAnsi" w:cstheme="majorHAnsi"/>
                <w:sz w:val="8"/>
                <w:szCs w:val="8"/>
                <w:lang w:val="en-GB"/>
              </w:rPr>
            </w:pPr>
          </w:p>
          <w:p w14:paraId="4E6FDA92" w14:textId="08D5C59D" w:rsidR="00F00E3D" w:rsidRPr="0034443E" w:rsidRDefault="30F368DF" w:rsidP="778E395A">
            <w:pPr>
              <w:spacing w:after="0" w:line="240" w:lineRule="auto"/>
              <w:rPr>
                <w:rFonts w:asciiTheme="majorHAnsi" w:eastAsiaTheme="majorEastAsia" w:hAnsiTheme="majorHAnsi" w:cstheme="majorBidi"/>
                <w:sz w:val="21"/>
                <w:szCs w:val="21"/>
              </w:rPr>
            </w:pPr>
            <w:r w:rsidRPr="778E395A">
              <w:rPr>
                <w:rFonts w:asciiTheme="majorHAnsi" w:eastAsia="Calibri Light" w:hAnsiTheme="majorHAnsi" w:cstheme="majorBidi"/>
                <w:sz w:val="21"/>
                <w:szCs w:val="21"/>
              </w:rPr>
              <w:t xml:space="preserve">• </w:t>
            </w:r>
            <w:r w:rsidR="00F00E3D" w:rsidRPr="778E395A">
              <w:rPr>
                <w:rFonts w:asciiTheme="majorHAnsi" w:eastAsiaTheme="majorEastAsia" w:hAnsiTheme="majorHAnsi" w:cstheme="majorBidi"/>
                <w:sz w:val="21"/>
                <w:szCs w:val="21"/>
                <w:lang w:val="en-GB"/>
              </w:rPr>
              <w:t>Loss of volunteer workforce</w:t>
            </w:r>
            <w:r w:rsidR="632973B5" w:rsidRPr="778E395A">
              <w:rPr>
                <w:rFonts w:asciiTheme="majorHAnsi" w:eastAsiaTheme="majorEastAsia" w:hAnsiTheme="majorHAnsi" w:cstheme="majorBidi"/>
                <w:sz w:val="21"/>
                <w:szCs w:val="21"/>
                <w:lang w:val="en-GB"/>
              </w:rPr>
              <w:t xml:space="preserve"> </w:t>
            </w:r>
            <w:r w:rsidR="15D000F9" w:rsidRPr="778E395A">
              <w:rPr>
                <w:rFonts w:asciiTheme="majorHAnsi" w:eastAsiaTheme="majorEastAsia" w:hAnsiTheme="majorHAnsi" w:cstheme="majorBidi"/>
                <w:sz w:val="21"/>
                <w:szCs w:val="21"/>
                <w:lang w:val="en-GB"/>
              </w:rPr>
              <w:t>engagement</w:t>
            </w:r>
          </w:p>
          <w:p w14:paraId="4E1EE3E1" w14:textId="77777777" w:rsidR="000956A5" w:rsidRPr="004550FF" w:rsidRDefault="000956A5" w:rsidP="004550FF">
            <w:pPr>
              <w:spacing w:after="0" w:line="240" w:lineRule="auto"/>
              <w:rPr>
                <w:rFonts w:asciiTheme="majorHAnsi" w:eastAsiaTheme="majorEastAsia" w:hAnsiTheme="majorHAnsi" w:cstheme="majorHAnsi"/>
                <w:sz w:val="16"/>
                <w:szCs w:val="16"/>
                <w:lang w:val="en-GB"/>
              </w:rPr>
            </w:pPr>
          </w:p>
          <w:p w14:paraId="3420FB6A" w14:textId="57D6BD45" w:rsidR="00F00E3D" w:rsidRPr="0034443E" w:rsidRDefault="001D79F5" w:rsidP="004550FF">
            <w:pPr>
              <w:spacing w:after="0" w:line="240" w:lineRule="auto"/>
              <w:rPr>
                <w:rFonts w:asciiTheme="majorHAnsi" w:eastAsiaTheme="majorEastAsia"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Limited traineeships and placements</w:t>
            </w:r>
          </w:p>
        </w:tc>
      </w:tr>
      <w:tr w:rsidR="00F00E3D" w:rsidRPr="0034443E" w14:paraId="2BBEED51" w14:textId="77777777" w:rsidTr="778E395A">
        <w:trPr>
          <w:trHeight w:val="1272"/>
        </w:trPr>
        <w:tc>
          <w:tcPr>
            <w:tcW w:w="1555" w:type="dxa"/>
          </w:tcPr>
          <w:p w14:paraId="074BBB7D" w14:textId="77777777" w:rsidR="005B5D05" w:rsidRPr="005B5D05" w:rsidRDefault="005B5D05" w:rsidP="004550FF">
            <w:pPr>
              <w:spacing w:line="240" w:lineRule="auto"/>
              <w:rPr>
                <w:rFonts w:eastAsiaTheme="majorEastAsia" w:cstheme="majorHAnsi"/>
                <w:b/>
                <w:bCs/>
                <w:sz w:val="8"/>
                <w:szCs w:val="8"/>
                <w:lang w:val="en-GB"/>
              </w:rPr>
            </w:pPr>
          </w:p>
          <w:p w14:paraId="44CBE553" w14:textId="552854D8" w:rsidR="00F00E3D" w:rsidRPr="005B5D05" w:rsidRDefault="00F00E3D" w:rsidP="004550FF">
            <w:pPr>
              <w:spacing w:line="240" w:lineRule="auto"/>
              <w:rPr>
                <w:rFonts w:eastAsiaTheme="majorEastAsia" w:cstheme="majorHAnsi"/>
                <w:b/>
                <w:bCs/>
                <w:sz w:val="21"/>
                <w:szCs w:val="21"/>
                <w:lang w:val="en-GB"/>
              </w:rPr>
            </w:pPr>
            <w:r w:rsidRPr="005B5D05">
              <w:rPr>
                <w:rFonts w:eastAsiaTheme="majorEastAsia" w:cstheme="majorHAnsi"/>
                <w:b/>
                <w:bCs/>
                <w:sz w:val="21"/>
                <w:szCs w:val="21"/>
                <w:lang w:val="en-GB"/>
              </w:rPr>
              <w:t>Education</w:t>
            </w:r>
          </w:p>
        </w:tc>
        <w:tc>
          <w:tcPr>
            <w:tcW w:w="3985" w:type="dxa"/>
          </w:tcPr>
          <w:p w14:paraId="5A49BEDE" w14:textId="46D506E7" w:rsidR="00951AC5" w:rsidRDefault="00951AC5" w:rsidP="004550FF">
            <w:pPr>
              <w:spacing w:after="0" w:line="240" w:lineRule="auto"/>
              <w:rPr>
                <w:rFonts w:asciiTheme="majorHAnsi" w:eastAsiaTheme="majorEastAsia" w:hAnsiTheme="majorHAnsi" w:cstheme="majorHAnsi"/>
                <w:sz w:val="8"/>
                <w:szCs w:val="8"/>
                <w:lang w:val="en-GB"/>
              </w:rPr>
            </w:pPr>
          </w:p>
          <w:p w14:paraId="75769AF7" w14:textId="77777777" w:rsidR="001209B3" w:rsidRPr="00951AC5" w:rsidRDefault="001209B3" w:rsidP="004550FF">
            <w:pPr>
              <w:spacing w:after="0" w:line="240" w:lineRule="auto"/>
              <w:rPr>
                <w:rFonts w:asciiTheme="majorHAnsi" w:eastAsiaTheme="majorEastAsia" w:hAnsiTheme="majorHAnsi" w:cstheme="majorHAnsi"/>
                <w:sz w:val="8"/>
                <w:szCs w:val="8"/>
                <w:lang w:val="en-GB"/>
              </w:rPr>
            </w:pPr>
          </w:p>
          <w:p w14:paraId="5CB4C40D" w14:textId="77777777" w:rsidR="001D79F5" w:rsidRDefault="001D79F5"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 xml:space="preserve">Opportunities </w:t>
            </w:r>
            <w:r>
              <w:rPr>
                <w:rFonts w:asciiTheme="majorHAnsi" w:eastAsiaTheme="majorEastAsia" w:hAnsiTheme="majorHAnsi" w:cstheme="majorHAnsi"/>
                <w:sz w:val="21"/>
                <w:szCs w:val="21"/>
                <w:lang w:val="en-GB"/>
              </w:rPr>
              <w:t>for</w:t>
            </w:r>
            <w:r w:rsidR="00F00E3D" w:rsidRPr="0034443E">
              <w:rPr>
                <w:rFonts w:asciiTheme="majorHAnsi" w:eastAsiaTheme="majorEastAsia" w:hAnsiTheme="majorHAnsi" w:cstheme="majorHAnsi"/>
                <w:sz w:val="21"/>
                <w:szCs w:val="21"/>
                <w:lang w:val="en-GB"/>
              </w:rPr>
              <w:t xml:space="preserve"> </w:t>
            </w:r>
            <w:r w:rsidR="00252DAC" w:rsidRPr="0034443E">
              <w:rPr>
                <w:rFonts w:asciiTheme="majorHAnsi" w:eastAsiaTheme="majorEastAsia" w:hAnsiTheme="majorHAnsi" w:cstheme="majorHAnsi"/>
                <w:sz w:val="21"/>
                <w:szCs w:val="21"/>
                <w:lang w:val="en-GB"/>
              </w:rPr>
              <w:t>improve</w:t>
            </w:r>
            <w:r>
              <w:rPr>
                <w:rFonts w:asciiTheme="majorHAnsi" w:eastAsiaTheme="majorEastAsia" w:hAnsiTheme="majorHAnsi" w:cstheme="majorHAnsi"/>
                <w:sz w:val="21"/>
                <w:szCs w:val="21"/>
                <w:lang w:val="en-GB"/>
              </w:rPr>
              <w:t>d</w:t>
            </w:r>
            <w:r w:rsidR="00F00E3D" w:rsidRPr="0034443E">
              <w:rPr>
                <w:rFonts w:asciiTheme="majorHAnsi" w:eastAsiaTheme="majorEastAsia" w:hAnsiTheme="majorHAnsi" w:cstheme="majorHAnsi"/>
                <w:sz w:val="21"/>
                <w:szCs w:val="21"/>
                <w:lang w:val="en-GB"/>
              </w:rPr>
              <w:t xml:space="preserve"> digital literacy</w:t>
            </w:r>
          </w:p>
          <w:p w14:paraId="5D296B68" w14:textId="5BCDE3FD" w:rsidR="00F00E3D" w:rsidRPr="0034443E" w:rsidRDefault="001D79F5" w:rsidP="004550FF">
            <w:pPr>
              <w:spacing w:after="0" w:line="240" w:lineRule="auto"/>
              <w:rPr>
                <w:rFonts w:asciiTheme="majorHAnsi" w:eastAsiaTheme="majorEastAsia" w:hAnsiTheme="majorHAnsi" w:cstheme="majorHAnsi"/>
                <w:sz w:val="21"/>
                <w:szCs w:val="21"/>
              </w:rPr>
            </w:pPr>
            <w:r>
              <w:rPr>
                <w:rFonts w:asciiTheme="majorHAnsi" w:eastAsiaTheme="majorEastAsia" w:hAnsiTheme="majorHAnsi" w:cstheme="majorHAnsi"/>
                <w:sz w:val="21"/>
                <w:szCs w:val="21"/>
                <w:lang w:val="en-GB"/>
              </w:rPr>
              <w:t xml:space="preserve">   </w:t>
            </w:r>
            <w:r w:rsidR="00252DAC" w:rsidRPr="0034443E">
              <w:rPr>
                <w:rFonts w:asciiTheme="majorHAnsi" w:eastAsiaTheme="majorEastAsia" w:hAnsiTheme="majorHAnsi" w:cstheme="majorHAnsi"/>
                <w:sz w:val="21"/>
                <w:szCs w:val="21"/>
                <w:lang w:val="en-GB"/>
              </w:rPr>
              <w:t>and</w:t>
            </w:r>
            <w:r w:rsidR="00F00E3D" w:rsidRPr="0034443E">
              <w:rPr>
                <w:rFonts w:asciiTheme="majorHAnsi" w:eastAsiaTheme="majorEastAsia" w:hAnsiTheme="majorHAnsi" w:cstheme="majorHAnsi"/>
                <w:sz w:val="21"/>
                <w:szCs w:val="21"/>
                <w:lang w:val="en-GB"/>
              </w:rPr>
              <w:t xml:space="preserve"> </w:t>
            </w:r>
            <w:r>
              <w:rPr>
                <w:rFonts w:asciiTheme="majorHAnsi" w:eastAsiaTheme="majorEastAsia" w:hAnsiTheme="majorHAnsi" w:cstheme="majorHAnsi"/>
                <w:sz w:val="21"/>
                <w:szCs w:val="21"/>
                <w:lang w:val="en-GB"/>
              </w:rPr>
              <w:t>access</w:t>
            </w:r>
          </w:p>
        </w:tc>
        <w:tc>
          <w:tcPr>
            <w:tcW w:w="4000" w:type="dxa"/>
          </w:tcPr>
          <w:p w14:paraId="6B49D807" w14:textId="0AEE1A78" w:rsidR="00951AC5" w:rsidRDefault="00951AC5" w:rsidP="004550FF">
            <w:pPr>
              <w:spacing w:after="0" w:line="240" w:lineRule="auto"/>
              <w:rPr>
                <w:rFonts w:asciiTheme="majorHAnsi" w:eastAsiaTheme="majorEastAsia" w:hAnsiTheme="majorHAnsi" w:cstheme="majorHAnsi"/>
                <w:sz w:val="8"/>
                <w:szCs w:val="8"/>
                <w:lang w:val="en-GB"/>
              </w:rPr>
            </w:pPr>
          </w:p>
          <w:p w14:paraId="6B7A1DC5" w14:textId="77777777" w:rsidR="001209B3" w:rsidRPr="00951AC5" w:rsidRDefault="001209B3" w:rsidP="004550FF">
            <w:pPr>
              <w:spacing w:after="0" w:line="240" w:lineRule="auto"/>
              <w:rPr>
                <w:rFonts w:asciiTheme="majorHAnsi" w:eastAsiaTheme="majorEastAsia" w:hAnsiTheme="majorHAnsi" w:cstheme="majorHAnsi"/>
                <w:sz w:val="8"/>
                <w:szCs w:val="8"/>
                <w:lang w:val="en-GB"/>
              </w:rPr>
            </w:pPr>
          </w:p>
          <w:p w14:paraId="29514E08" w14:textId="77777777" w:rsidR="001D79F5" w:rsidRDefault="001D79F5"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252DAC" w:rsidRPr="0034443E">
              <w:rPr>
                <w:rFonts w:asciiTheme="majorHAnsi" w:eastAsiaTheme="majorEastAsia" w:hAnsiTheme="majorHAnsi" w:cstheme="majorHAnsi"/>
                <w:sz w:val="21"/>
                <w:szCs w:val="21"/>
                <w:lang w:val="en-GB"/>
              </w:rPr>
              <w:t>Loss of</w:t>
            </w:r>
            <w:r w:rsidR="00F00E3D" w:rsidRPr="0034443E">
              <w:rPr>
                <w:rFonts w:asciiTheme="majorHAnsi" w:eastAsiaTheme="majorEastAsia" w:hAnsiTheme="majorHAnsi" w:cstheme="majorHAnsi"/>
                <w:sz w:val="21"/>
                <w:szCs w:val="21"/>
                <w:lang w:val="en-GB"/>
              </w:rPr>
              <w:t xml:space="preserve"> socialisation and group learning for</w:t>
            </w:r>
          </w:p>
          <w:p w14:paraId="190A4ED9" w14:textId="28F3078F" w:rsidR="00F00E3D" w:rsidRDefault="001D79F5" w:rsidP="004550FF">
            <w:pPr>
              <w:spacing w:after="0" w:line="240" w:lineRule="auto"/>
              <w:rPr>
                <w:rFonts w:asciiTheme="majorHAnsi" w:eastAsiaTheme="majorEastAsia" w:hAnsiTheme="majorHAnsi" w:cstheme="majorHAnsi"/>
                <w:sz w:val="21"/>
                <w:szCs w:val="21"/>
                <w:lang w:val="en-GB"/>
              </w:rPr>
            </w:pPr>
            <w:r>
              <w:rPr>
                <w:rFonts w:asciiTheme="majorHAnsi" w:eastAsiaTheme="majorEastAsia" w:hAnsiTheme="majorHAnsi" w:cstheme="majorHAnsi"/>
                <w:sz w:val="21"/>
                <w:szCs w:val="21"/>
                <w:lang w:val="en-GB"/>
              </w:rPr>
              <w:t xml:space="preserve">   </w:t>
            </w:r>
            <w:r w:rsidR="00F00E3D" w:rsidRPr="0034443E">
              <w:rPr>
                <w:rFonts w:asciiTheme="majorHAnsi" w:eastAsiaTheme="majorEastAsia" w:hAnsiTheme="majorHAnsi" w:cstheme="majorHAnsi"/>
                <w:sz w:val="21"/>
                <w:szCs w:val="21"/>
                <w:lang w:val="en-GB"/>
              </w:rPr>
              <w:t>children and young people</w:t>
            </w:r>
          </w:p>
          <w:p w14:paraId="6C49E491" w14:textId="77777777" w:rsidR="00517546" w:rsidRPr="004550FF" w:rsidRDefault="00517546" w:rsidP="004550FF">
            <w:pPr>
              <w:spacing w:after="0" w:line="240" w:lineRule="auto"/>
              <w:rPr>
                <w:rFonts w:asciiTheme="majorHAnsi" w:eastAsiaTheme="majorEastAsia" w:hAnsiTheme="majorHAnsi" w:cstheme="majorHAnsi"/>
                <w:sz w:val="16"/>
                <w:szCs w:val="16"/>
              </w:rPr>
            </w:pPr>
          </w:p>
          <w:p w14:paraId="3B7F9B0C" w14:textId="0E75BA71" w:rsidR="00F00E3D" w:rsidRPr="0034443E" w:rsidRDefault="001D79F5" w:rsidP="004550FF">
            <w:pPr>
              <w:spacing w:after="0" w:line="240" w:lineRule="auto"/>
              <w:rPr>
                <w:rFonts w:asciiTheme="majorHAnsi" w:eastAsiaTheme="majorEastAsia"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Disengagement from formal education</w:t>
            </w:r>
          </w:p>
          <w:p w14:paraId="44C50DEF" w14:textId="77777777" w:rsidR="00252DAC" w:rsidRPr="004550FF" w:rsidRDefault="00252DAC" w:rsidP="004550FF">
            <w:pPr>
              <w:spacing w:after="0" w:line="240" w:lineRule="auto"/>
              <w:rPr>
                <w:rFonts w:asciiTheme="majorHAnsi" w:eastAsiaTheme="majorEastAsia" w:hAnsiTheme="majorHAnsi" w:cstheme="majorHAnsi"/>
                <w:sz w:val="16"/>
                <w:szCs w:val="16"/>
                <w:lang w:val="en-GB"/>
              </w:rPr>
            </w:pPr>
          </w:p>
          <w:p w14:paraId="6B70884F" w14:textId="7EDC2B63" w:rsidR="00F00E3D" w:rsidRDefault="004A7A78"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Additional challenges for adult learners</w:t>
            </w:r>
          </w:p>
          <w:p w14:paraId="296BE863" w14:textId="0AF1705E" w:rsidR="00951AC5" w:rsidRPr="00951AC5" w:rsidRDefault="00951AC5" w:rsidP="004550FF">
            <w:pPr>
              <w:spacing w:after="0" w:line="240" w:lineRule="auto"/>
              <w:rPr>
                <w:rFonts w:asciiTheme="majorHAnsi" w:eastAsiaTheme="majorEastAsia" w:hAnsiTheme="majorHAnsi" w:cstheme="majorHAnsi"/>
                <w:sz w:val="8"/>
                <w:szCs w:val="8"/>
              </w:rPr>
            </w:pPr>
          </w:p>
        </w:tc>
      </w:tr>
      <w:tr w:rsidR="00F00E3D" w:rsidRPr="0034443E" w14:paraId="3F3A0FE4" w14:textId="77777777" w:rsidTr="778E395A">
        <w:trPr>
          <w:trHeight w:val="1286"/>
        </w:trPr>
        <w:tc>
          <w:tcPr>
            <w:tcW w:w="1555" w:type="dxa"/>
          </w:tcPr>
          <w:p w14:paraId="473C2D1B" w14:textId="77777777" w:rsidR="005B5D05" w:rsidRPr="005B5D05" w:rsidRDefault="005B5D05" w:rsidP="004550FF">
            <w:pPr>
              <w:spacing w:line="240" w:lineRule="auto"/>
              <w:rPr>
                <w:rFonts w:eastAsiaTheme="majorEastAsia" w:cstheme="majorHAnsi"/>
                <w:b/>
                <w:bCs/>
                <w:sz w:val="8"/>
                <w:szCs w:val="8"/>
                <w:lang w:val="en-GB"/>
              </w:rPr>
            </w:pPr>
          </w:p>
          <w:p w14:paraId="56A2FD9D" w14:textId="7F6455CA" w:rsidR="00F00E3D" w:rsidRPr="005B5D05" w:rsidRDefault="00F00E3D" w:rsidP="004550FF">
            <w:pPr>
              <w:spacing w:line="240" w:lineRule="auto"/>
              <w:rPr>
                <w:rFonts w:eastAsiaTheme="majorEastAsia" w:cstheme="majorHAnsi"/>
                <w:b/>
                <w:bCs/>
                <w:sz w:val="21"/>
                <w:szCs w:val="21"/>
                <w:lang w:val="en-GB"/>
              </w:rPr>
            </w:pPr>
            <w:r w:rsidRPr="005B5D05">
              <w:rPr>
                <w:rFonts w:eastAsiaTheme="majorEastAsia" w:cstheme="majorHAnsi"/>
                <w:b/>
                <w:bCs/>
                <w:sz w:val="21"/>
                <w:szCs w:val="21"/>
                <w:lang w:val="en-GB"/>
              </w:rPr>
              <w:t xml:space="preserve">Housing </w:t>
            </w:r>
          </w:p>
        </w:tc>
        <w:tc>
          <w:tcPr>
            <w:tcW w:w="3985" w:type="dxa"/>
          </w:tcPr>
          <w:p w14:paraId="167F5C17" w14:textId="77777777" w:rsidR="001209B3" w:rsidRDefault="001209B3" w:rsidP="004550FF">
            <w:pPr>
              <w:spacing w:after="0" w:line="240" w:lineRule="auto"/>
              <w:rPr>
                <w:rFonts w:asciiTheme="majorHAnsi" w:eastAsiaTheme="majorEastAsia" w:hAnsiTheme="majorHAnsi" w:cstheme="majorHAnsi"/>
                <w:sz w:val="8"/>
                <w:szCs w:val="8"/>
                <w:lang w:val="en-GB"/>
              </w:rPr>
            </w:pPr>
          </w:p>
          <w:p w14:paraId="01C08589" w14:textId="77777777" w:rsidR="001209B3" w:rsidRPr="00951AC5" w:rsidRDefault="001209B3" w:rsidP="004550FF">
            <w:pPr>
              <w:spacing w:after="0" w:line="240" w:lineRule="auto"/>
              <w:rPr>
                <w:rFonts w:asciiTheme="majorHAnsi" w:eastAsiaTheme="majorEastAsia" w:hAnsiTheme="majorHAnsi" w:cstheme="majorHAnsi"/>
                <w:sz w:val="8"/>
                <w:szCs w:val="8"/>
                <w:lang w:val="en-GB"/>
              </w:rPr>
            </w:pPr>
          </w:p>
          <w:p w14:paraId="7F221D53" w14:textId="77777777" w:rsidR="004A7A78" w:rsidRDefault="004A7A78"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 xml:space="preserve">More time </w:t>
            </w:r>
            <w:r>
              <w:rPr>
                <w:rFonts w:asciiTheme="majorHAnsi" w:eastAsiaTheme="majorEastAsia" w:hAnsiTheme="majorHAnsi" w:cstheme="majorHAnsi"/>
                <w:sz w:val="21"/>
                <w:szCs w:val="21"/>
                <w:lang w:val="en-GB"/>
              </w:rPr>
              <w:t>for</w:t>
            </w:r>
            <w:r w:rsidR="00F00E3D" w:rsidRPr="0034443E">
              <w:rPr>
                <w:rFonts w:asciiTheme="majorHAnsi" w:eastAsiaTheme="majorEastAsia" w:hAnsiTheme="majorHAnsi" w:cstheme="majorHAnsi"/>
                <w:sz w:val="21"/>
                <w:szCs w:val="21"/>
                <w:lang w:val="en-GB"/>
              </w:rPr>
              <w:t xml:space="preserve"> maintenance and repair of</w:t>
            </w:r>
          </w:p>
          <w:p w14:paraId="45E84AEC" w14:textId="5F467D13" w:rsidR="00F00E3D" w:rsidRPr="00951AC5" w:rsidRDefault="004A7A78" w:rsidP="004550FF">
            <w:pPr>
              <w:spacing w:after="0" w:line="240" w:lineRule="auto"/>
              <w:rPr>
                <w:rFonts w:asciiTheme="majorHAnsi" w:eastAsiaTheme="majorEastAsia" w:hAnsiTheme="majorHAnsi" w:cstheme="majorHAnsi"/>
                <w:sz w:val="21"/>
                <w:szCs w:val="21"/>
                <w:lang w:val="en-GB"/>
              </w:rPr>
            </w:pPr>
            <w:r>
              <w:rPr>
                <w:rFonts w:asciiTheme="majorHAnsi" w:eastAsiaTheme="majorEastAsia" w:hAnsiTheme="majorHAnsi" w:cstheme="majorHAnsi"/>
                <w:sz w:val="21"/>
                <w:szCs w:val="21"/>
                <w:lang w:val="en-GB"/>
              </w:rPr>
              <w:t xml:space="preserve">  </w:t>
            </w:r>
            <w:r w:rsidR="00F00E3D" w:rsidRPr="0034443E">
              <w:rPr>
                <w:rFonts w:asciiTheme="majorHAnsi" w:eastAsiaTheme="majorEastAsia" w:hAnsiTheme="majorHAnsi" w:cstheme="majorHAnsi"/>
                <w:sz w:val="21"/>
                <w:szCs w:val="21"/>
                <w:lang w:val="en-GB"/>
              </w:rPr>
              <w:t xml:space="preserve">built environments </w:t>
            </w:r>
            <w:r w:rsidR="000956A5" w:rsidRPr="0034443E">
              <w:rPr>
                <w:rFonts w:asciiTheme="majorHAnsi" w:eastAsiaTheme="majorEastAsia" w:hAnsiTheme="majorHAnsi" w:cstheme="majorHAnsi"/>
                <w:sz w:val="21"/>
                <w:szCs w:val="21"/>
                <w:lang w:val="en-GB"/>
              </w:rPr>
              <w:t>(</w:t>
            </w:r>
            <w:r w:rsidR="00951AC5">
              <w:rPr>
                <w:rFonts w:asciiTheme="majorHAnsi" w:eastAsiaTheme="majorEastAsia" w:hAnsiTheme="majorHAnsi" w:cstheme="majorHAnsi"/>
                <w:sz w:val="21"/>
                <w:szCs w:val="21"/>
                <w:lang w:val="en-GB"/>
              </w:rPr>
              <w:t xml:space="preserve">for </w:t>
            </w:r>
            <w:r w:rsidR="000956A5" w:rsidRPr="0034443E">
              <w:rPr>
                <w:rFonts w:asciiTheme="majorHAnsi" w:eastAsiaTheme="majorEastAsia" w:hAnsiTheme="majorHAnsi" w:cstheme="majorHAnsi"/>
                <w:sz w:val="21"/>
                <w:szCs w:val="21"/>
                <w:lang w:val="en-GB"/>
              </w:rPr>
              <w:t>some residents)</w:t>
            </w:r>
          </w:p>
        </w:tc>
        <w:tc>
          <w:tcPr>
            <w:tcW w:w="4000" w:type="dxa"/>
          </w:tcPr>
          <w:p w14:paraId="42785703" w14:textId="51CF880C" w:rsidR="000E4064" w:rsidRDefault="000E4064" w:rsidP="004550FF">
            <w:pPr>
              <w:spacing w:after="0" w:line="240" w:lineRule="auto"/>
              <w:rPr>
                <w:rFonts w:asciiTheme="majorHAnsi" w:eastAsiaTheme="majorEastAsia" w:hAnsiTheme="majorHAnsi" w:cstheme="majorHAnsi"/>
                <w:sz w:val="8"/>
                <w:szCs w:val="8"/>
                <w:lang w:val="en-GB"/>
              </w:rPr>
            </w:pPr>
          </w:p>
          <w:p w14:paraId="21A325CE" w14:textId="77777777" w:rsidR="001209B3" w:rsidRPr="000E4064" w:rsidRDefault="001209B3" w:rsidP="004550FF">
            <w:pPr>
              <w:spacing w:after="0" w:line="240" w:lineRule="auto"/>
              <w:rPr>
                <w:rFonts w:asciiTheme="majorHAnsi" w:eastAsiaTheme="majorEastAsia" w:hAnsiTheme="majorHAnsi" w:cstheme="majorHAnsi"/>
                <w:sz w:val="8"/>
                <w:szCs w:val="8"/>
                <w:lang w:val="en-GB"/>
              </w:rPr>
            </w:pPr>
          </w:p>
          <w:p w14:paraId="0EBEC698" w14:textId="77777777" w:rsidR="004A7A78" w:rsidRDefault="004A7A78"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Inadequate</w:t>
            </w:r>
            <w:r w:rsidR="00126F78">
              <w:rPr>
                <w:rFonts w:asciiTheme="majorHAnsi" w:eastAsiaTheme="majorEastAsia" w:hAnsiTheme="majorHAnsi" w:cstheme="majorHAnsi"/>
                <w:sz w:val="21"/>
                <w:szCs w:val="21"/>
                <w:lang w:val="en-GB"/>
              </w:rPr>
              <w:t xml:space="preserve"> or </w:t>
            </w:r>
            <w:r w:rsidR="00F00E3D" w:rsidRPr="0034443E">
              <w:rPr>
                <w:rFonts w:asciiTheme="majorHAnsi" w:eastAsiaTheme="majorEastAsia" w:hAnsiTheme="majorHAnsi" w:cstheme="majorHAnsi"/>
                <w:sz w:val="21"/>
                <w:szCs w:val="21"/>
                <w:lang w:val="en-GB"/>
              </w:rPr>
              <w:t>unsafe home environments</w:t>
            </w:r>
          </w:p>
          <w:p w14:paraId="7B8F263C" w14:textId="643D6262" w:rsidR="00F00E3D" w:rsidRPr="0034443E" w:rsidRDefault="004A7A78" w:rsidP="004550FF">
            <w:pPr>
              <w:spacing w:after="0" w:line="240" w:lineRule="auto"/>
              <w:rPr>
                <w:rFonts w:asciiTheme="majorHAnsi" w:eastAsiaTheme="majorEastAsia" w:hAnsiTheme="majorHAnsi" w:cstheme="majorHAnsi"/>
                <w:sz w:val="21"/>
                <w:szCs w:val="21"/>
              </w:rPr>
            </w:pPr>
            <w:r>
              <w:rPr>
                <w:rFonts w:asciiTheme="majorHAnsi" w:eastAsiaTheme="majorEastAsia" w:hAnsiTheme="majorHAnsi" w:cstheme="majorHAnsi"/>
                <w:sz w:val="21"/>
                <w:szCs w:val="21"/>
                <w:lang w:val="en-GB"/>
              </w:rPr>
              <w:t xml:space="preserve">  </w:t>
            </w:r>
            <w:r w:rsidR="00F00E3D" w:rsidRPr="0034443E">
              <w:rPr>
                <w:rFonts w:asciiTheme="majorHAnsi" w:eastAsiaTheme="majorEastAsia" w:hAnsiTheme="majorHAnsi" w:cstheme="majorHAnsi"/>
                <w:sz w:val="21"/>
                <w:szCs w:val="21"/>
                <w:lang w:val="en-GB"/>
              </w:rPr>
              <w:t xml:space="preserve">(overcrowding, </w:t>
            </w:r>
            <w:r w:rsidR="000E4064">
              <w:rPr>
                <w:rFonts w:asciiTheme="majorHAnsi" w:eastAsiaTheme="majorEastAsia" w:hAnsiTheme="majorHAnsi" w:cstheme="majorHAnsi"/>
                <w:sz w:val="21"/>
                <w:szCs w:val="21"/>
                <w:lang w:val="en-GB"/>
              </w:rPr>
              <w:t>low quality amenities</w:t>
            </w:r>
            <w:r w:rsidR="00F00E3D" w:rsidRPr="0034443E">
              <w:rPr>
                <w:rFonts w:asciiTheme="majorHAnsi" w:eastAsiaTheme="majorEastAsia" w:hAnsiTheme="majorHAnsi" w:cstheme="majorHAnsi"/>
                <w:sz w:val="21"/>
                <w:szCs w:val="21"/>
                <w:lang w:val="en-GB"/>
              </w:rPr>
              <w:t>)</w:t>
            </w:r>
          </w:p>
          <w:p w14:paraId="76F80A3D" w14:textId="77777777" w:rsidR="00252DAC" w:rsidRPr="001209B3" w:rsidRDefault="00252DAC" w:rsidP="004550FF">
            <w:pPr>
              <w:spacing w:after="0" w:line="240" w:lineRule="auto"/>
              <w:rPr>
                <w:rFonts w:asciiTheme="majorHAnsi" w:eastAsiaTheme="majorEastAsia" w:hAnsiTheme="majorHAnsi" w:cstheme="majorHAnsi"/>
                <w:sz w:val="16"/>
                <w:szCs w:val="16"/>
                <w:lang w:val="en-GB"/>
              </w:rPr>
            </w:pPr>
          </w:p>
          <w:p w14:paraId="74984699" w14:textId="77777777" w:rsidR="004A7A78" w:rsidRDefault="004A7A78"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Increased family</w:t>
            </w:r>
            <w:r w:rsidR="00126F78">
              <w:rPr>
                <w:rFonts w:asciiTheme="majorHAnsi" w:eastAsiaTheme="majorEastAsia" w:hAnsiTheme="majorHAnsi" w:cstheme="majorHAnsi"/>
                <w:sz w:val="21"/>
                <w:szCs w:val="21"/>
                <w:lang w:val="en-GB"/>
              </w:rPr>
              <w:t xml:space="preserve"> violence,</w:t>
            </w:r>
            <w:r w:rsidR="00F00E3D" w:rsidRPr="0034443E">
              <w:rPr>
                <w:rFonts w:asciiTheme="majorHAnsi" w:eastAsiaTheme="majorEastAsia" w:hAnsiTheme="majorHAnsi" w:cstheme="majorHAnsi"/>
                <w:sz w:val="21"/>
                <w:szCs w:val="21"/>
                <w:lang w:val="en-GB"/>
              </w:rPr>
              <w:t xml:space="preserve"> </w:t>
            </w:r>
            <w:r w:rsidR="00252DAC" w:rsidRPr="0034443E">
              <w:rPr>
                <w:rFonts w:asciiTheme="majorHAnsi" w:eastAsiaTheme="majorEastAsia" w:hAnsiTheme="majorHAnsi" w:cstheme="majorHAnsi"/>
                <w:sz w:val="21"/>
                <w:szCs w:val="21"/>
                <w:lang w:val="en-GB"/>
              </w:rPr>
              <w:t>resident</w:t>
            </w:r>
          </w:p>
          <w:p w14:paraId="7BA4DBA9" w14:textId="77C67AA1" w:rsidR="00F00E3D" w:rsidRDefault="004A7A78" w:rsidP="004550FF">
            <w:pPr>
              <w:spacing w:after="0" w:line="240" w:lineRule="auto"/>
              <w:rPr>
                <w:rFonts w:asciiTheme="majorHAnsi" w:eastAsiaTheme="majorEastAsia" w:hAnsiTheme="majorHAnsi" w:cstheme="majorHAnsi"/>
                <w:sz w:val="21"/>
                <w:szCs w:val="21"/>
                <w:lang w:val="en-GB"/>
              </w:rPr>
            </w:pPr>
            <w:r>
              <w:rPr>
                <w:rFonts w:asciiTheme="majorHAnsi" w:eastAsiaTheme="majorEastAsia" w:hAnsiTheme="majorHAnsi" w:cstheme="majorHAnsi"/>
                <w:sz w:val="21"/>
                <w:szCs w:val="21"/>
                <w:lang w:val="en-GB"/>
              </w:rPr>
              <w:t xml:space="preserve">   </w:t>
            </w:r>
            <w:r w:rsidR="00F00E3D" w:rsidRPr="0034443E">
              <w:rPr>
                <w:rFonts w:asciiTheme="majorHAnsi" w:eastAsiaTheme="majorEastAsia" w:hAnsiTheme="majorHAnsi" w:cstheme="majorHAnsi"/>
                <w:sz w:val="21"/>
                <w:szCs w:val="21"/>
                <w:lang w:val="en-GB"/>
              </w:rPr>
              <w:t>tension</w:t>
            </w:r>
            <w:r w:rsidR="00252DAC" w:rsidRPr="0034443E">
              <w:rPr>
                <w:rFonts w:asciiTheme="majorHAnsi" w:eastAsiaTheme="majorEastAsia" w:hAnsiTheme="majorHAnsi" w:cstheme="majorHAnsi"/>
                <w:sz w:val="21"/>
                <w:szCs w:val="21"/>
                <w:lang w:val="en-GB"/>
              </w:rPr>
              <w:t>s</w:t>
            </w:r>
            <w:r w:rsidR="00126F78">
              <w:rPr>
                <w:rFonts w:asciiTheme="majorHAnsi" w:eastAsiaTheme="majorEastAsia" w:hAnsiTheme="majorHAnsi" w:cstheme="majorHAnsi"/>
                <w:sz w:val="21"/>
                <w:szCs w:val="21"/>
                <w:lang w:val="en-GB"/>
              </w:rPr>
              <w:t>, and inter-household conflict</w:t>
            </w:r>
          </w:p>
          <w:p w14:paraId="3DBAB838" w14:textId="4361025F" w:rsidR="00126F78" w:rsidRPr="0034443E" w:rsidRDefault="00126F78" w:rsidP="004550FF">
            <w:pPr>
              <w:spacing w:after="0" w:line="240" w:lineRule="auto"/>
              <w:rPr>
                <w:rFonts w:asciiTheme="majorHAnsi" w:eastAsiaTheme="majorEastAsia" w:hAnsiTheme="majorHAnsi" w:cstheme="majorHAnsi"/>
                <w:sz w:val="21"/>
                <w:szCs w:val="21"/>
              </w:rPr>
            </w:pPr>
          </w:p>
        </w:tc>
      </w:tr>
      <w:tr w:rsidR="00F00E3D" w:rsidRPr="0034443E" w14:paraId="350D27EE" w14:textId="77777777" w:rsidTr="778E395A">
        <w:trPr>
          <w:trHeight w:val="4211"/>
        </w:trPr>
        <w:tc>
          <w:tcPr>
            <w:tcW w:w="1555" w:type="dxa"/>
          </w:tcPr>
          <w:p w14:paraId="5E6952E0" w14:textId="77777777" w:rsidR="005B5D05" w:rsidRPr="005B5D05" w:rsidRDefault="005B5D05" w:rsidP="004550FF">
            <w:pPr>
              <w:spacing w:line="240" w:lineRule="auto"/>
              <w:rPr>
                <w:rFonts w:eastAsiaTheme="majorEastAsia" w:cstheme="majorHAnsi"/>
                <w:b/>
                <w:bCs/>
                <w:sz w:val="8"/>
                <w:szCs w:val="8"/>
                <w:lang w:val="en-GB"/>
              </w:rPr>
            </w:pPr>
          </w:p>
          <w:p w14:paraId="3180659C" w14:textId="6A9B2F0F" w:rsidR="00F00E3D" w:rsidRPr="005B5D05" w:rsidRDefault="00F00E3D" w:rsidP="004550FF">
            <w:pPr>
              <w:spacing w:line="240" w:lineRule="auto"/>
              <w:rPr>
                <w:rFonts w:eastAsiaTheme="majorEastAsia" w:cstheme="majorHAnsi"/>
                <w:b/>
                <w:bCs/>
                <w:sz w:val="21"/>
                <w:szCs w:val="21"/>
                <w:lang w:val="en-GB"/>
              </w:rPr>
            </w:pPr>
            <w:r w:rsidRPr="005B5D05">
              <w:rPr>
                <w:rFonts w:eastAsiaTheme="majorEastAsia" w:cstheme="majorHAnsi"/>
                <w:b/>
                <w:bCs/>
                <w:sz w:val="21"/>
                <w:szCs w:val="21"/>
                <w:lang w:val="en-GB"/>
              </w:rPr>
              <w:t>Health and Wellbeing</w:t>
            </w:r>
          </w:p>
        </w:tc>
        <w:tc>
          <w:tcPr>
            <w:tcW w:w="3985" w:type="dxa"/>
          </w:tcPr>
          <w:p w14:paraId="59AB4B24" w14:textId="77777777" w:rsidR="000E4064" w:rsidRPr="000E4064" w:rsidRDefault="000E4064" w:rsidP="004550FF">
            <w:pPr>
              <w:spacing w:after="0" w:line="240" w:lineRule="auto"/>
              <w:rPr>
                <w:rFonts w:asciiTheme="majorHAnsi" w:eastAsiaTheme="majorEastAsia" w:hAnsiTheme="majorHAnsi" w:cstheme="majorHAnsi"/>
                <w:sz w:val="8"/>
                <w:szCs w:val="8"/>
                <w:lang w:val="en-GB"/>
              </w:rPr>
            </w:pPr>
          </w:p>
          <w:p w14:paraId="002487BD" w14:textId="77777777" w:rsidR="00693225" w:rsidRPr="00693225" w:rsidRDefault="00693225" w:rsidP="004550FF">
            <w:pPr>
              <w:spacing w:after="0" w:line="240" w:lineRule="auto"/>
              <w:rPr>
                <w:rFonts w:asciiTheme="majorHAnsi" w:eastAsia="Calibri Light" w:hAnsiTheme="majorHAnsi" w:cstheme="majorHAnsi"/>
                <w:sz w:val="8"/>
                <w:szCs w:val="8"/>
              </w:rPr>
            </w:pPr>
          </w:p>
          <w:p w14:paraId="25C6EBF6" w14:textId="570BF0DF" w:rsidR="00F00E3D" w:rsidRPr="0034443E" w:rsidRDefault="00693225" w:rsidP="004550FF">
            <w:pPr>
              <w:spacing w:after="0" w:line="240" w:lineRule="auto"/>
              <w:rPr>
                <w:rFonts w:asciiTheme="majorHAnsi" w:eastAsiaTheme="majorEastAsia"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 xml:space="preserve">Greater motivation </w:t>
            </w:r>
            <w:r w:rsidR="000956A5" w:rsidRPr="0034443E">
              <w:rPr>
                <w:rFonts w:asciiTheme="majorHAnsi" w:eastAsiaTheme="majorEastAsia" w:hAnsiTheme="majorHAnsi" w:cstheme="majorHAnsi"/>
                <w:sz w:val="21"/>
                <w:szCs w:val="21"/>
                <w:lang w:val="en-GB"/>
              </w:rPr>
              <w:t xml:space="preserve">to create and maintain </w:t>
            </w:r>
            <w:r w:rsidR="00F00E3D" w:rsidRPr="0034443E">
              <w:rPr>
                <w:rFonts w:asciiTheme="majorHAnsi" w:eastAsiaTheme="majorEastAsia" w:hAnsiTheme="majorHAnsi" w:cstheme="majorHAnsi"/>
                <w:sz w:val="21"/>
                <w:szCs w:val="21"/>
                <w:lang w:val="en-GB"/>
              </w:rPr>
              <w:t>formal and informal connections</w:t>
            </w:r>
            <w:r w:rsidR="001D79F5">
              <w:rPr>
                <w:rFonts w:asciiTheme="majorHAnsi" w:eastAsiaTheme="majorEastAsia" w:hAnsiTheme="majorHAnsi" w:cstheme="majorHAnsi"/>
                <w:sz w:val="21"/>
                <w:szCs w:val="21"/>
                <w:lang w:val="en-GB"/>
              </w:rPr>
              <w:t xml:space="preserve"> after lockdowns</w:t>
            </w:r>
          </w:p>
          <w:p w14:paraId="1057A91D" w14:textId="77777777" w:rsidR="001D79F5" w:rsidRPr="00FE7658" w:rsidRDefault="001D79F5" w:rsidP="004550FF">
            <w:pPr>
              <w:spacing w:after="0" w:line="240" w:lineRule="auto"/>
              <w:rPr>
                <w:rFonts w:asciiTheme="majorHAnsi" w:eastAsiaTheme="majorEastAsia" w:hAnsiTheme="majorHAnsi" w:cstheme="majorHAnsi"/>
                <w:sz w:val="16"/>
                <w:szCs w:val="16"/>
                <w:lang w:val="en-GB"/>
              </w:rPr>
            </w:pPr>
          </w:p>
          <w:p w14:paraId="5B57117C" w14:textId="4C40B9D7" w:rsidR="00F00E3D" w:rsidRPr="0034443E" w:rsidRDefault="00693225" w:rsidP="004550FF">
            <w:pPr>
              <w:spacing w:after="0" w:line="240" w:lineRule="auto"/>
              <w:rPr>
                <w:rFonts w:asciiTheme="majorHAnsi" w:eastAsiaTheme="majorEastAsia"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1D79F5">
              <w:rPr>
                <w:rFonts w:asciiTheme="majorHAnsi" w:eastAsiaTheme="majorEastAsia" w:hAnsiTheme="majorHAnsi" w:cstheme="majorHAnsi"/>
                <w:sz w:val="21"/>
                <w:szCs w:val="21"/>
                <w:lang w:val="en-GB"/>
              </w:rPr>
              <w:t>Reduced</w:t>
            </w:r>
            <w:r w:rsidR="00F00E3D" w:rsidRPr="0034443E">
              <w:rPr>
                <w:rFonts w:asciiTheme="majorHAnsi" w:eastAsiaTheme="majorEastAsia" w:hAnsiTheme="majorHAnsi" w:cstheme="majorHAnsi"/>
                <w:sz w:val="21"/>
                <w:szCs w:val="21"/>
                <w:lang w:val="en-GB"/>
              </w:rPr>
              <w:t xml:space="preserve"> access to gambling venues</w:t>
            </w:r>
          </w:p>
          <w:p w14:paraId="4A8DAE74" w14:textId="77777777" w:rsidR="000956A5" w:rsidRPr="00FE7658" w:rsidRDefault="000956A5" w:rsidP="004550FF">
            <w:pPr>
              <w:spacing w:after="0" w:line="240" w:lineRule="auto"/>
              <w:rPr>
                <w:rFonts w:asciiTheme="majorHAnsi" w:eastAsiaTheme="majorEastAsia" w:hAnsiTheme="majorHAnsi" w:cstheme="majorHAnsi"/>
                <w:sz w:val="16"/>
                <w:szCs w:val="16"/>
                <w:lang w:val="en-GB"/>
              </w:rPr>
            </w:pPr>
          </w:p>
          <w:p w14:paraId="3646A913" w14:textId="6A265BC6" w:rsidR="00F00E3D" w:rsidRPr="0034443E" w:rsidRDefault="00693225" w:rsidP="004550FF">
            <w:pPr>
              <w:spacing w:after="0" w:line="240" w:lineRule="auto"/>
              <w:rPr>
                <w:rFonts w:asciiTheme="majorHAnsi" w:eastAsiaTheme="majorEastAsia"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 xml:space="preserve">Opportunity to rapidly make transformative service changes </w:t>
            </w:r>
          </w:p>
          <w:p w14:paraId="7FCAFD20" w14:textId="77777777" w:rsidR="000956A5" w:rsidRPr="00FE7658" w:rsidRDefault="000956A5" w:rsidP="004550FF">
            <w:pPr>
              <w:spacing w:after="0" w:line="240" w:lineRule="auto"/>
              <w:rPr>
                <w:rFonts w:asciiTheme="majorHAnsi" w:eastAsiaTheme="majorEastAsia" w:hAnsiTheme="majorHAnsi" w:cstheme="majorHAnsi"/>
                <w:sz w:val="16"/>
                <w:szCs w:val="16"/>
                <w:lang w:val="en-GB"/>
              </w:rPr>
            </w:pPr>
          </w:p>
          <w:p w14:paraId="4FD10E60" w14:textId="5C9B9FA2" w:rsidR="00F00E3D" w:rsidRPr="0034443E" w:rsidRDefault="00693225" w:rsidP="004550FF">
            <w:pPr>
              <w:spacing w:after="0" w:line="240" w:lineRule="auto"/>
              <w:rPr>
                <w:rFonts w:asciiTheme="majorHAnsi" w:eastAsiaTheme="majorEastAsia"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 xml:space="preserve">Development of grassroots/peer supports </w:t>
            </w:r>
          </w:p>
          <w:p w14:paraId="6F39A064" w14:textId="77777777" w:rsidR="000956A5" w:rsidRPr="00FE7658" w:rsidRDefault="000956A5" w:rsidP="004550FF">
            <w:pPr>
              <w:spacing w:after="0" w:line="240" w:lineRule="auto"/>
              <w:rPr>
                <w:rFonts w:asciiTheme="majorHAnsi" w:eastAsiaTheme="majorEastAsia" w:hAnsiTheme="majorHAnsi" w:cstheme="majorHAnsi"/>
                <w:sz w:val="16"/>
                <w:szCs w:val="16"/>
                <w:lang w:val="en-GB"/>
              </w:rPr>
            </w:pPr>
          </w:p>
          <w:p w14:paraId="086E030A" w14:textId="77777777" w:rsidR="00693225" w:rsidRDefault="00693225"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0956A5" w:rsidRPr="0034443E">
              <w:rPr>
                <w:rFonts w:asciiTheme="majorHAnsi" w:eastAsiaTheme="majorEastAsia" w:hAnsiTheme="majorHAnsi" w:cstheme="majorHAnsi"/>
                <w:sz w:val="21"/>
                <w:szCs w:val="21"/>
                <w:lang w:val="en-GB"/>
              </w:rPr>
              <w:t xml:space="preserve">United </w:t>
            </w:r>
            <w:r w:rsidR="00F00E3D" w:rsidRPr="0034443E">
              <w:rPr>
                <w:rFonts w:asciiTheme="majorHAnsi" w:eastAsiaTheme="majorEastAsia" w:hAnsiTheme="majorHAnsi" w:cstheme="majorHAnsi"/>
                <w:sz w:val="21"/>
                <w:szCs w:val="21"/>
                <w:lang w:val="en-GB"/>
              </w:rPr>
              <w:t>community response to public</w:t>
            </w:r>
          </w:p>
          <w:p w14:paraId="222155DD" w14:textId="68FD1E90" w:rsidR="00F00E3D" w:rsidRPr="0034443E" w:rsidRDefault="00693225" w:rsidP="004550FF">
            <w:pPr>
              <w:spacing w:after="0" w:line="240" w:lineRule="auto"/>
              <w:rPr>
                <w:rFonts w:asciiTheme="majorHAnsi" w:eastAsiaTheme="majorEastAsia" w:hAnsiTheme="majorHAnsi" w:cstheme="majorHAnsi"/>
                <w:sz w:val="21"/>
                <w:szCs w:val="21"/>
              </w:rPr>
            </w:pPr>
            <w:r>
              <w:rPr>
                <w:rFonts w:asciiTheme="majorHAnsi" w:eastAsiaTheme="majorEastAsia" w:hAnsiTheme="majorHAnsi" w:cstheme="majorHAnsi"/>
                <w:sz w:val="21"/>
                <w:szCs w:val="21"/>
                <w:lang w:val="en-GB"/>
              </w:rPr>
              <w:t xml:space="preserve">   </w:t>
            </w:r>
            <w:r w:rsidR="00F00E3D" w:rsidRPr="0034443E">
              <w:rPr>
                <w:rFonts w:asciiTheme="majorHAnsi" w:eastAsiaTheme="majorEastAsia" w:hAnsiTheme="majorHAnsi" w:cstheme="majorHAnsi"/>
                <w:sz w:val="21"/>
                <w:szCs w:val="21"/>
                <w:lang w:val="en-GB"/>
              </w:rPr>
              <w:t>health directives</w:t>
            </w:r>
          </w:p>
          <w:p w14:paraId="21D89DE0" w14:textId="77777777" w:rsidR="000956A5" w:rsidRPr="0034443E" w:rsidRDefault="000956A5" w:rsidP="004550FF">
            <w:pPr>
              <w:spacing w:after="0" w:line="240" w:lineRule="auto"/>
              <w:rPr>
                <w:rFonts w:asciiTheme="majorHAnsi" w:eastAsiaTheme="majorEastAsia" w:hAnsiTheme="majorHAnsi" w:cstheme="majorHAnsi"/>
                <w:sz w:val="21"/>
                <w:szCs w:val="21"/>
                <w:lang w:val="en-GB"/>
              </w:rPr>
            </w:pPr>
          </w:p>
          <w:p w14:paraId="73E7C2B8" w14:textId="05FA9406" w:rsidR="00F00E3D" w:rsidRPr="0034443E" w:rsidRDefault="00693225" w:rsidP="004550FF">
            <w:pPr>
              <w:spacing w:after="0" w:line="240" w:lineRule="auto"/>
              <w:rPr>
                <w:rFonts w:asciiTheme="majorHAnsi" w:eastAsiaTheme="majorEastAsia" w:hAnsiTheme="majorHAnsi" w:cstheme="majorBidi"/>
                <w:sz w:val="21"/>
                <w:szCs w:val="21"/>
              </w:rPr>
            </w:pPr>
            <w:r w:rsidRPr="701B9583">
              <w:rPr>
                <w:rFonts w:asciiTheme="majorHAnsi" w:eastAsia="Calibri Light" w:hAnsiTheme="majorHAnsi" w:cstheme="majorBidi"/>
                <w:sz w:val="21"/>
                <w:szCs w:val="21"/>
              </w:rPr>
              <w:t xml:space="preserve">• </w:t>
            </w:r>
            <w:r w:rsidR="00252DAC" w:rsidRPr="701B9583">
              <w:rPr>
                <w:rFonts w:asciiTheme="majorHAnsi" w:eastAsiaTheme="majorEastAsia" w:hAnsiTheme="majorHAnsi" w:cstheme="majorBidi"/>
                <w:sz w:val="21"/>
                <w:szCs w:val="21"/>
                <w:lang w:val="en-GB"/>
              </w:rPr>
              <w:t xml:space="preserve">New </w:t>
            </w:r>
            <w:r w:rsidR="5844EA6E" w:rsidRPr="701B9583">
              <w:rPr>
                <w:rFonts w:asciiTheme="majorHAnsi" w:eastAsiaTheme="majorEastAsia" w:hAnsiTheme="majorHAnsi" w:cstheme="majorBidi"/>
                <w:sz w:val="21"/>
                <w:szCs w:val="21"/>
                <w:lang w:val="en-GB"/>
              </w:rPr>
              <w:t>&amp;</w:t>
            </w:r>
            <w:r w:rsidR="00252DAC" w:rsidRPr="701B9583">
              <w:rPr>
                <w:rFonts w:asciiTheme="majorHAnsi" w:eastAsiaTheme="majorEastAsia" w:hAnsiTheme="majorHAnsi" w:cstheme="majorBidi"/>
                <w:sz w:val="21"/>
                <w:szCs w:val="21"/>
                <w:lang w:val="en-GB"/>
              </w:rPr>
              <w:t xml:space="preserve"> expanded</w:t>
            </w:r>
            <w:r w:rsidR="00F00E3D" w:rsidRPr="701B9583">
              <w:rPr>
                <w:rFonts w:asciiTheme="majorHAnsi" w:eastAsiaTheme="majorEastAsia" w:hAnsiTheme="majorHAnsi" w:cstheme="majorBidi"/>
                <w:sz w:val="21"/>
                <w:szCs w:val="21"/>
                <w:lang w:val="en-GB"/>
              </w:rPr>
              <w:t xml:space="preserve"> food s</w:t>
            </w:r>
            <w:r w:rsidR="000956A5" w:rsidRPr="701B9583">
              <w:rPr>
                <w:rFonts w:asciiTheme="majorHAnsi" w:eastAsiaTheme="majorEastAsia" w:hAnsiTheme="majorHAnsi" w:cstheme="majorBidi"/>
                <w:sz w:val="21"/>
                <w:szCs w:val="21"/>
                <w:lang w:val="en-GB"/>
              </w:rPr>
              <w:t>ecurity</w:t>
            </w:r>
            <w:r w:rsidRPr="701B9583">
              <w:rPr>
                <w:rFonts w:asciiTheme="majorHAnsi" w:eastAsiaTheme="majorEastAsia" w:hAnsiTheme="majorHAnsi" w:cstheme="majorBidi"/>
                <w:sz w:val="21"/>
                <w:szCs w:val="21"/>
                <w:lang w:val="en-GB"/>
              </w:rPr>
              <w:t xml:space="preserve"> program</w:t>
            </w:r>
            <w:r w:rsidR="0051277E" w:rsidRPr="701B9583">
              <w:rPr>
                <w:rFonts w:asciiTheme="majorHAnsi" w:eastAsiaTheme="majorEastAsia" w:hAnsiTheme="majorHAnsi" w:cstheme="majorBidi"/>
                <w:sz w:val="21"/>
                <w:szCs w:val="21"/>
                <w:lang w:val="en-GB"/>
              </w:rPr>
              <w:t>s</w:t>
            </w:r>
          </w:p>
        </w:tc>
        <w:tc>
          <w:tcPr>
            <w:tcW w:w="4000" w:type="dxa"/>
          </w:tcPr>
          <w:p w14:paraId="4A39DC97" w14:textId="77777777" w:rsidR="001D79F5" w:rsidRPr="001D79F5" w:rsidRDefault="001D79F5" w:rsidP="004550FF">
            <w:pPr>
              <w:spacing w:after="0" w:line="240" w:lineRule="auto"/>
              <w:rPr>
                <w:rFonts w:asciiTheme="majorHAnsi" w:eastAsiaTheme="majorEastAsia" w:hAnsiTheme="majorHAnsi" w:cstheme="majorHAnsi"/>
                <w:sz w:val="8"/>
                <w:szCs w:val="8"/>
                <w:lang w:val="en-GB"/>
              </w:rPr>
            </w:pPr>
          </w:p>
          <w:p w14:paraId="5AAF7A7C" w14:textId="77777777" w:rsidR="00693225" w:rsidRPr="00693225" w:rsidRDefault="00693225" w:rsidP="004550FF">
            <w:pPr>
              <w:spacing w:after="0" w:line="240" w:lineRule="auto"/>
              <w:rPr>
                <w:rFonts w:asciiTheme="majorHAnsi" w:eastAsiaTheme="majorEastAsia" w:hAnsiTheme="majorHAnsi" w:cstheme="majorHAnsi"/>
                <w:sz w:val="8"/>
                <w:szCs w:val="8"/>
                <w:lang w:val="en-GB"/>
              </w:rPr>
            </w:pPr>
          </w:p>
          <w:p w14:paraId="6CC376D5" w14:textId="77777777" w:rsidR="00FE7658" w:rsidRDefault="00693225"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Increased family violence, social isolation</w:t>
            </w:r>
            <w:r>
              <w:rPr>
                <w:rFonts w:asciiTheme="majorHAnsi" w:eastAsiaTheme="majorEastAsia" w:hAnsiTheme="majorHAnsi" w:cstheme="majorHAnsi"/>
                <w:sz w:val="21"/>
                <w:szCs w:val="21"/>
                <w:lang w:val="en-GB"/>
              </w:rPr>
              <w:t>,</w:t>
            </w:r>
          </w:p>
          <w:p w14:paraId="1D25F8F8" w14:textId="3342A8DF" w:rsidR="00F00E3D" w:rsidRPr="0034443E" w:rsidRDefault="00FE7658" w:rsidP="004550FF">
            <w:pPr>
              <w:spacing w:after="0" w:line="240" w:lineRule="auto"/>
              <w:rPr>
                <w:rFonts w:asciiTheme="majorHAnsi" w:eastAsiaTheme="majorEastAsia" w:hAnsiTheme="majorHAnsi" w:cstheme="majorHAnsi"/>
                <w:sz w:val="21"/>
                <w:szCs w:val="21"/>
              </w:rPr>
            </w:pPr>
            <w:r>
              <w:rPr>
                <w:rFonts w:asciiTheme="majorHAnsi" w:eastAsiaTheme="majorEastAsia" w:hAnsiTheme="majorHAnsi" w:cstheme="majorHAnsi"/>
                <w:sz w:val="21"/>
                <w:szCs w:val="21"/>
                <w:lang w:val="en-GB"/>
              </w:rPr>
              <w:t xml:space="preserve">   </w:t>
            </w:r>
            <w:r w:rsidR="00F00E3D" w:rsidRPr="0034443E">
              <w:rPr>
                <w:rFonts w:asciiTheme="majorHAnsi" w:eastAsiaTheme="majorEastAsia" w:hAnsiTheme="majorHAnsi" w:cstheme="majorHAnsi"/>
                <w:sz w:val="21"/>
                <w:szCs w:val="21"/>
                <w:lang w:val="en-GB"/>
              </w:rPr>
              <w:t xml:space="preserve">and mental health problems. </w:t>
            </w:r>
          </w:p>
          <w:p w14:paraId="6747DF0E" w14:textId="77777777" w:rsidR="00252DAC" w:rsidRPr="00FE7658" w:rsidRDefault="00252DAC" w:rsidP="004550FF">
            <w:pPr>
              <w:spacing w:after="0" w:line="240" w:lineRule="auto"/>
              <w:rPr>
                <w:rFonts w:asciiTheme="majorHAnsi" w:eastAsiaTheme="majorEastAsia" w:hAnsiTheme="majorHAnsi" w:cstheme="majorHAnsi"/>
                <w:sz w:val="16"/>
                <w:szCs w:val="16"/>
                <w:lang w:val="en-GB"/>
              </w:rPr>
            </w:pPr>
          </w:p>
          <w:p w14:paraId="7069B55B" w14:textId="77777777" w:rsidR="001209B3" w:rsidRDefault="00693225"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 xml:space="preserve">Disrupted </w:t>
            </w:r>
            <w:r w:rsidR="001D79F5">
              <w:rPr>
                <w:rFonts w:asciiTheme="majorHAnsi" w:eastAsiaTheme="majorEastAsia" w:hAnsiTheme="majorHAnsi" w:cstheme="majorHAnsi"/>
                <w:sz w:val="21"/>
                <w:szCs w:val="21"/>
                <w:lang w:val="en-GB"/>
              </w:rPr>
              <w:t xml:space="preserve">medical </w:t>
            </w:r>
            <w:r w:rsidR="00F00E3D" w:rsidRPr="0034443E">
              <w:rPr>
                <w:rFonts w:asciiTheme="majorHAnsi" w:eastAsiaTheme="majorEastAsia" w:hAnsiTheme="majorHAnsi" w:cstheme="majorHAnsi"/>
                <w:sz w:val="21"/>
                <w:szCs w:val="21"/>
                <w:lang w:val="en-GB"/>
              </w:rPr>
              <w:t>screening/diagnostics,</w:t>
            </w:r>
          </w:p>
          <w:p w14:paraId="4BCE7E10" w14:textId="38EA6197" w:rsidR="001209B3" w:rsidRDefault="001209B3" w:rsidP="004550FF">
            <w:pPr>
              <w:spacing w:after="0" w:line="240" w:lineRule="auto"/>
              <w:rPr>
                <w:rFonts w:asciiTheme="majorHAnsi" w:eastAsiaTheme="majorEastAsia" w:hAnsiTheme="majorHAnsi" w:cstheme="majorHAnsi"/>
                <w:sz w:val="21"/>
                <w:szCs w:val="21"/>
                <w:lang w:val="en-GB"/>
              </w:rPr>
            </w:pPr>
            <w:r>
              <w:rPr>
                <w:rFonts w:asciiTheme="majorHAnsi" w:eastAsiaTheme="majorEastAsia" w:hAnsiTheme="majorHAnsi" w:cstheme="majorHAnsi"/>
                <w:sz w:val="21"/>
                <w:szCs w:val="21"/>
                <w:lang w:val="en-GB"/>
              </w:rPr>
              <w:t xml:space="preserve">   </w:t>
            </w:r>
            <w:r w:rsidR="00F00E3D" w:rsidRPr="0034443E">
              <w:rPr>
                <w:rFonts w:asciiTheme="majorHAnsi" w:eastAsiaTheme="majorEastAsia" w:hAnsiTheme="majorHAnsi" w:cstheme="majorHAnsi"/>
                <w:sz w:val="21"/>
                <w:szCs w:val="21"/>
                <w:lang w:val="en-GB"/>
              </w:rPr>
              <w:t>chronic disease management</w:t>
            </w:r>
            <w:r w:rsidR="001D79F5">
              <w:rPr>
                <w:rFonts w:asciiTheme="majorHAnsi" w:eastAsiaTheme="majorEastAsia" w:hAnsiTheme="majorHAnsi" w:cstheme="majorHAnsi"/>
                <w:sz w:val="21"/>
                <w:szCs w:val="21"/>
                <w:lang w:val="en-GB"/>
              </w:rPr>
              <w:t>,</w:t>
            </w:r>
            <w:r w:rsidR="00F00E3D" w:rsidRPr="0034443E">
              <w:rPr>
                <w:rFonts w:asciiTheme="majorHAnsi" w:eastAsiaTheme="majorEastAsia" w:hAnsiTheme="majorHAnsi" w:cstheme="majorHAnsi"/>
                <w:sz w:val="21"/>
                <w:szCs w:val="21"/>
                <w:lang w:val="en-GB"/>
              </w:rPr>
              <w:t xml:space="preserve"> and health</w:t>
            </w:r>
          </w:p>
          <w:p w14:paraId="54CCF9C4" w14:textId="12AEB453" w:rsidR="00F00E3D" w:rsidRPr="0034443E" w:rsidRDefault="001209B3" w:rsidP="004550FF">
            <w:pPr>
              <w:spacing w:after="0" w:line="240" w:lineRule="auto"/>
              <w:rPr>
                <w:rFonts w:asciiTheme="majorHAnsi" w:eastAsiaTheme="majorEastAsia" w:hAnsiTheme="majorHAnsi" w:cstheme="majorHAnsi"/>
                <w:sz w:val="21"/>
                <w:szCs w:val="21"/>
              </w:rPr>
            </w:pPr>
            <w:r>
              <w:rPr>
                <w:rFonts w:asciiTheme="majorHAnsi" w:eastAsiaTheme="majorEastAsia" w:hAnsiTheme="majorHAnsi" w:cstheme="majorHAnsi"/>
                <w:sz w:val="21"/>
                <w:szCs w:val="21"/>
                <w:lang w:val="en-GB"/>
              </w:rPr>
              <w:t xml:space="preserve">   </w:t>
            </w:r>
            <w:r w:rsidR="00F00E3D" w:rsidRPr="0034443E">
              <w:rPr>
                <w:rFonts w:asciiTheme="majorHAnsi" w:eastAsiaTheme="majorEastAsia" w:hAnsiTheme="majorHAnsi" w:cstheme="majorHAnsi"/>
                <w:sz w:val="21"/>
                <w:szCs w:val="21"/>
                <w:lang w:val="en-GB"/>
              </w:rPr>
              <w:t>promotion activities</w:t>
            </w:r>
          </w:p>
          <w:p w14:paraId="2BEB6282" w14:textId="77777777" w:rsidR="00252DAC" w:rsidRPr="00FE7658" w:rsidRDefault="00252DAC" w:rsidP="004550FF">
            <w:pPr>
              <w:spacing w:after="0" w:line="240" w:lineRule="auto"/>
              <w:rPr>
                <w:rFonts w:asciiTheme="majorHAnsi" w:eastAsiaTheme="majorEastAsia" w:hAnsiTheme="majorHAnsi" w:cstheme="majorBidi"/>
                <w:sz w:val="16"/>
                <w:szCs w:val="16"/>
                <w:lang w:val="en-GB"/>
              </w:rPr>
            </w:pPr>
          </w:p>
          <w:p w14:paraId="5696AC78" w14:textId="281358C4" w:rsidR="00F00E3D" w:rsidRPr="0034443E" w:rsidRDefault="00693225" w:rsidP="004550FF">
            <w:pPr>
              <w:spacing w:after="0" w:line="240" w:lineRule="auto"/>
              <w:rPr>
                <w:rFonts w:asciiTheme="majorHAnsi" w:eastAsiaTheme="majorEastAsia" w:hAnsiTheme="majorHAnsi" w:cstheme="majorBidi"/>
                <w:sz w:val="21"/>
                <w:szCs w:val="21"/>
                <w:lang w:val="en-GB"/>
              </w:rPr>
            </w:pPr>
            <w:r w:rsidRPr="701B9583">
              <w:rPr>
                <w:rFonts w:asciiTheme="majorHAnsi" w:eastAsia="Calibri Light" w:hAnsiTheme="majorHAnsi" w:cstheme="majorBidi"/>
                <w:sz w:val="21"/>
                <w:szCs w:val="21"/>
              </w:rPr>
              <w:t xml:space="preserve">• </w:t>
            </w:r>
            <w:r w:rsidR="00F00E3D" w:rsidRPr="0034443E">
              <w:rPr>
                <w:rFonts w:asciiTheme="majorHAnsi" w:eastAsiaTheme="majorEastAsia" w:hAnsiTheme="majorHAnsi" w:cstheme="majorBidi"/>
                <w:sz w:val="21"/>
                <w:szCs w:val="21"/>
                <w:lang w:val="en-GB"/>
              </w:rPr>
              <w:t>Telehealth not available</w:t>
            </w:r>
            <w:r w:rsidR="26961A56" w:rsidRPr="701B9583">
              <w:rPr>
                <w:rFonts w:asciiTheme="majorHAnsi" w:eastAsiaTheme="majorEastAsia" w:hAnsiTheme="majorHAnsi" w:cstheme="majorBidi"/>
                <w:sz w:val="21"/>
                <w:szCs w:val="21"/>
                <w:lang w:val="en-GB"/>
              </w:rPr>
              <w:t>/</w:t>
            </w:r>
            <w:r w:rsidR="00F00E3D" w:rsidRPr="0034443E">
              <w:rPr>
                <w:rFonts w:asciiTheme="majorHAnsi" w:eastAsiaTheme="majorEastAsia" w:hAnsiTheme="majorHAnsi" w:cstheme="majorBidi"/>
                <w:sz w:val="21"/>
                <w:szCs w:val="21"/>
                <w:lang w:val="en-GB"/>
              </w:rPr>
              <w:t>accessible to all</w:t>
            </w:r>
          </w:p>
          <w:p w14:paraId="733A9CB2" w14:textId="77777777" w:rsidR="00252DAC" w:rsidRPr="00FE7658" w:rsidRDefault="00252DAC" w:rsidP="004550FF">
            <w:pPr>
              <w:spacing w:after="0" w:line="240" w:lineRule="auto"/>
              <w:rPr>
                <w:rFonts w:asciiTheme="majorHAnsi" w:eastAsiaTheme="majorEastAsia" w:hAnsiTheme="majorHAnsi" w:cstheme="majorHAnsi"/>
                <w:sz w:val="16"/>
                <w:szCs w:val="16"/>
                <w:lang w:val="en-GB"/>
              </w:rPr>
            </w:pPr>
          </w:p>
          <w:p w14:paraId="68188B72" w14:textId="3AA46FE0" w:rsidR="00F00E3D" w:rsidRPr="001209B3" w:rsidRDefault="14E982DE" w:rsidP="701B9583">
            <w:pPr>
              <w:spacing w:after="0" w:line="240" w:lineRule="auto"/>
              <w:rPr>
                <w:rFonts w:asciiTheme="majorHAnsi" w:eastAsiaTheme="majorEastAsia" w:hAnsiTheme="majorHAnsi" w:cstheme="majorBidi"/>
                <w:sz w:val="21"/>
                <w:szCs w:val="21"/>
                <w:lang w:val="en-GB"/>
              </w:rPr>
            </w:pPr>
            <w:r w:rsidRPr="701B9583">
              <w:rPr>
                <w:rFonts w:asciiTheme="majorHAnsi" w:eastAsia="Calibri Light" w:hAnsiTheme="majorHAnsi" w:cstheme="majorBidi"/>
                <w:sz w:val="21"/>
                <w:szCs w:val="21"/>
              </w:rPr>
              <w:t xml:space="preserve">• </w:t>
            </w:r>
            <w:r w:rsidR="00F00E3D" w:rsidRPr="701B9583">
              <w:rPr>
                <w:rFonts w:asciiTheme="majorHAnsi" w:eastAsiaTheme="majorEastAsia" w:hAnsiTheme="majorHAnsi" w:cstheme="majorBidi"/>
                <w:sz w:val="21"/>
                <w:szCs w:val="21"/>
                <w:lang w:val="en-GB"/>
              </w:rPr>
              <w:t xml:space="preserve">Communication </w:t>
            </w:r>
            <w:r w:rsidR="32A1D2A0" w:rsidRPr="701B9583">
              <w:rPr>
                <w:rFonts w:asciiTheme="majorHAnsi" w:eastAsiaTheme="majorEastAsia" w:hAnsiTheme="majorHAnsi" w:cstheme="majorBidi"/>
                <w:sz w:val="21"/>
                <w:szCs w:val="21"/>
                <w:lang w:val="en-GB"/>
              </w:rPr>
              <w:t>problems</w:t>
            </w:r>
            <w:r w:rsidR="4D645D5D" w:rsidRPr="701B9583">
              <w:rPr>
                <w:rFonts w:asciiTheme="majorHAnsi" w:eastAsiaTheme="majorEastAsia" w:hAnsiTheme="majorHAnsi" w:cstheme="majorBidi"/>
                <w:sz w:val="21"/>
                <w:szCs w:val="21"/>
                <w:lang w:val="en-GB"/>
              </w:rPr>
              <w:t xml:space="preserve"> for public</w:t>
            </w:r>
          </w:p>
          <w:p w14:paraId="6D635062" w14:textId="6202783D" w:rsidR="00F00E3D" w:rsidRPr="001209B3" w:rsidRDefault="2328A100" w:rsidP="004550FF">
            <w:pPr>
              <w:spacing w:after="0" w:line="240" w:lineRule="auto"/>
              <w:rPr>
                <w:rFonts w:asciiTheme="majorHAnsi" w:eastAsiaTheme="majorEastAsia" w:hAnsiTheme="majorHAnsi" w:cstheme="majorBidi"/>
                <w:sz w:val="21"/>
                <w:szCs w:val="21"/>
                <w:lang w:val="en-GB"/>
              </w:rPr>
            </w:pPr>
            <w:r w:rsidRPr="701B9583">
              <w:rPr>
                <w:rFonts w:asciiTheme="majorHAnsi" w:eastAsiaTheme="majorEastAsia" w:hAnsiTheme="majorHAnsi" w:cstheme="majorBidi"/>
                <w:sz w:val="21"/>
                <w:szCs w:val="21"/>
                <w:lang w:val="en-GB"/>
              </w:rPr>
              <w:t xml:space="preserve">   </w:t>
            </w:r>
            <w:r w:rsidR="6815DC2A" w:rsidRPr="701B9583">
              <w:rPr>
                <w:rFonts w:asciiTheme="majorHAnsi" w:eastAsiaTheme="majorEastAsia" w:hAnsiTheme="majorHAnsi" w:cstheme="majorBidi"/>
                <w:sz w:val="21"/>
                <w:szCs w:val="21"/>
                <w:lang w:val="en-GB"/>
              </w:rPr>
              <w:t>h</w:t>
            </w:r>
            <w:r w:rsidR="00F00E3D" w:rsidRPr="701B9583">
              <w:rPr>
                <w:rFonts w:asciiTheme="majorHAnsi" w:eastAsiaTheme="majorEastAsia" w:hAnsiTheme="majorHAnsi" w:cstheme="majorBidi"/>
                <w:sz w:val="21"/>
                <w:szCs w:val="21"/>
                <w:lang w:val="en-GB"/>
              </w:rPr>
              <w:t>ealth</w:t>
            </w:r>
            <w:r w:rsidR="001209B3" w:rsidRPr="701B9583">
              <w:rPr>
                <w:rFonts w:asciiTheme="majorHAnsi" w:eastAsiaTheme="majorEastAsia" w:hAnsiTheme="majorHAnsi" w:cstheme="majorBidi"/>
                <w:sz w:val="21"/>
                <w:szCs w:val="21"/>
                <w:lang w:val="en-GB"/>
              </w:rPr>
              <w:t xml:space="preserve"> </w:t>
            </w:r>
            <w:r w:rsidR="00F00E3D" w:rsidRPr="701B9583">
              <w:rPr>
                <w:rFonts w:asciiTheme="majorHAnsi" w:eastAsiaTheme="majorEastAsia" w:hAnsiTheme="majorHAnsi" w:cstheme="majorBidi"/>
                <w:sz w:val="21"/>
                <w:szCs w:val="21"/>
                <w:lang w:val="en-GB"/>
              </w:rPr>
              <w:t>messaging</w:t>
            </w:r>
          </w:p>
          <w:p w14:paraId="4382019B" w14:textId="77777777" w:rsidR="00252DAC" w:rsidRPr="001209B3" w:rsidRDefault="00252DAC" w:rsidP="004550FF">
            <w:pPr>
              <w:spacing w:after="0" w:line="240" w:lineRule="auto"/>
              <w:rPr>
                <w:rFonts w:asciiTheme="majorHAnsi" w:eastAsiaTheme="majorEastAsia" w:hAnsiTheme="majorHAnsi" w:cstheme="majorHAnsi"/>
                <w:sz w:val="16"/>
                <w:szCs w:val="16"/>
                <w:lang w:val="en-GB"/>
              </w:rPr>
            </w:pPr>
          </w:p>
          <w:p w14:paraId="160FA2CF" w14:textId="050D39BC" w:rsidR="00F00E3D" w:rsidRPr="0034443E" w:rsidRDefault="00693225" w:rsidP="004550FF">
            <w:pPr>
              <w:spacing w:after="0" w:line="240" w:lineRule="auto"/>
              <w:rPr>
                <w:rFonts w:asciiTheme="majorHAnsi" w:eastAsiaTheme="majorEastAsia"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252DAC" w:rsidRPr="0034443E">
              <w:rPr>
                <w:rFonts w:asciiTheme="majorHAnsi" w:eastAsiaTheme="majorEastAsia" w:hAnsiTheme="majorHAnsi" w:cstheme="majorHAnsi"/>
                <w:sz w:val="21"/>
                <w:szCs w:val="21"/>
                <w:lang w:val="en-GB"/>
              </w:rPr>
              <w:t>Increased f</w:t>
            </w:r>
            <w:r w:rsidR="00F00E3D" w:rsidRPr="0034443E">
              <w:rPr>
                <w:rFonts w:asciiTheme="majorHAnsi" w:eastAsiaTheme="majorEastAsia" w:hAnsiTheme="majorHAnsi" w:cstheme="majorHAnsi"/>
                <w:sz w:val="21"/>
                <w:szCs w:val="21"/>
                <w:lang w:val="en-GB"/>
              </w:rPr>
              <w:t>ood insecurity</w:t>
            </w:r>
          </w:p>
          <w:p w14:paraId="68A438D4" w14:textId="77777777" w:rsidR="00252DAC" w:rsidRPr="001D79F5" w:rsidRDefault="00252DAC" w:rsidP="004550FF">
            <w:pPr>
              <w:spacing w:after="0" w:line="240" w:lineRule="auto"/>
              <w:rPr>
                <w:rFonts w:asciiTheme="majorHAnsi" w:eastAsiaTheme="majorEastAsia" w:hAnsiTheme="majorHAnsi" w:cstheme="majorHAnsi"/>
                <w:sz w:val="16"/>
                <w:szCs w:val="16"/>
                <w:lang w:val="en-GB"/>
              </w:rPr>
            </w:pPr>
          </w:p>
          <w:p w14:paraId="28188F59" w14:textId="77777777" w:rsidR="0051277E" w:rsidRDefault="00693225"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 xml:space="preserve">New services </w:t>
            </w:r>
            <w:r w:rsidR="001D79F5">
              <w:rPr>
                <w:rFonts w:asciiTheme="majorHAnsi" w:eastAsiaTheme="majorEastAsia" w:hAnsiTheme="majorHAnsi" w:cstheme="majorHAnsi"/>
                <w:sz w:val="21"/>
                <w:szCs w:val="21"/>
                <w:lang w:val="en-GB"/>
              </w:rPr>
              <w:t xml:space="preserve">struggled </w:t>
            </w:r>
            <w:r w:rsidR="00F00E3D" w:rsidRPr="0034443E">
              <w:rPr>
                <w:rFonts w:asciiTheme="majorHAnsi" w:eastAsiaTheme="majorEastAsia" w:hAnsiTheme="majorHAnsi" w:cstheme="majorHAnsi"/>
                <w:sz w:val="21"/>
                <w:szCs w:val="21"/>
                <w:lang w:val="en-GB"/>
              </w:rPr>
              <w:t>to gain traction</w:t>
            </w:r>
          </w:p>
          <w:p w14:paraId="70E5A58E" w14:textId="21420BEC" w:rsidR="00F00E3D" w:rsidRPr="0034443E" w:rsidRDefault="0051277E" w:rsidP="004550FF">
            <w:pPr>
              <w:spacing w:after="0" w:line="240" w:lineRule="auto"/>
              <w:rPr>
                <w:rFonts w:asciiTheme="majorHAnsi" w:eastAsiaTheme="majorEastAsia" w:hAnsiTheme="majorHAnsi" w:cstheme="majorHAnsi"/>
                <w:sz w:val="21"/>
                <w:szCs w:val="21"/>
              </w:rPr>
            </w:pPr>
            <w:r>
              <w:rPr>
                <w:rFonts w:asciiTheme="majorHAnsi" w:eastAsiaTheme="majorEastAsia" w:hAnsiTheme="majorHAnsi" w:cstheme="majorHAnsi"/>
                <w:sz w:val="21"/>
                <w:szCs w:val="21"/>
                <w:lang w:val="en-GB"/>
              </w:rPr>
              <w:t xml:space="preserve">   and </w:t>
            </w:r>
            <w:r w:rsidR="00F00E3D" w:rsidRPr="0034443E">
              <w:rPr>
                <w:rFonts w:asciiTheme="majorHAnsi" w:eastAsiaTheme="majorEastAsia" w:hAnsiTheme="majorHAnsi" w:cstheme="majorHAnsi"/>
                <w:sz w:val="21"/>
                <w:szCs w:val="21"/>
                <w:lang w:val="en-GB"/>
              </w:rPr>
              <w:t>build relationships</w:t>
            </w:r>
          </w:p>
        </w:tc>
      </w:tr>
      <w:tr w:rsidR="00F00E3D" w:rsidRPr="0034443E" w14:paraId="53FF0C9D" w14:textId="77777777" w:rsidTr="778E395A">
        <w:trPr>
          <w:trHeight w:val="2303"/>
        </w:trPr>
        <w:tc>
          <w:tcPr>
            <w:tcW w:w="1555" w:type="dxa"/>
          </w:tcPr>
          <w:p w14:paraId="70F7FAAA" w14:textId="77777777" w:rsidR="005B5D05" w:rsidRPr="005B5D05" w:rsidRDefault="005B5D05" w:rsidP="004550FF">
            <w:pPr>
              <w:spacing w:line="240" w:lineRule="auto"/>
              <w:rPr>
                <w:rFonts w:eastAsiaTheme="majorEastAsia" w:cstheme="majorHAnsi"/>
                <w:b/>
                <w:bCs/>
                <w:sz w:val="8"/>
                <w:szCs w:val="8"/>
                <w:lang w:val="en-GB"/>
              </w:rPr>
            </w:pPr>
          </w:p>
          <w:p w14:paraId="54C1AC4D" w14:textId="099D41F5" w:rsidR="00F00E3D" w:rsidRPr="005B5D05" w:rsidRDefault="00F00E3D" w:rsidP="004550FF">
            <w:pPr>
              <w:spacing w:line="240" w:lineRule="auto"/>
              <w:rPr>
                <w:rFonts w:eastAsiaTheme="majorEastAsia" w:cstheme="majorHAnsi"/>
                <w:b/>
                <w:bCs/>
                <w:sz w:val="21"/>
                <w:szCs w:val="21"/>
                <w:lang w:val="en-GB"/>
              </w:rPr>
            </w:pPr>
            <w:r w:rsidRPr="005B5D05">
              <w:rPr>
                <w:rFonts w:eastAsiaTheme="majorEastAsia" w:cstheme="majorHAnsi"/>
                <w:b/>
                <w:bCs/>
                <w:sz w:val="21"/>
                <w:szCs w:val="21"/>
                <w:lang w:val="en-GB"/>
              </w:rPr>
              <w:t>Liveability</w:t>
            </w:r>
          </w:p>
        </w:tc>
        <w:tc>
          <w:tcPr>
            <w:tcW w:w="3985" w:type="dxa"/>
          </w:tcPr>
          <w:p w14:paraId="49E1D0B9" w14:textId="5C323A75" w:rsidR="001209B3" w:rsidRPr="0051277E" w:rsidRDefault="001209B3" w:rsidP="004550FF">
            <w:pPr>
              <w:spacing w:after="0" w:line="240" w:lineRule="auto"/>
              <w:rPr>
                <w:rFonts w:asciiTheme="majorHAnsi" w:eastAsia="Calibri Light" w:hAnsiTheme="majorHAnsi" w:cstheme="majorBidi"/>
              </w:rPr>
            </w:pPr>
          </w:p>
          <w:p w14:paraId="4B6BB041" w14:textId="77777777" w:rsidR="00FE7658" w:rsidRDefault="0051277E"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 xml:space="preserve">More opportunities to access </w:t>
            </w:r>
            <w:r w:rsidR="000956A5" w:rsidRPr="0034443E">
              <w:rPr>
                <w:rFonts w:asciiTheme="majorHAnsi" w:eastAsiaTheme="majorEastAsia" w:hAnsiTheme="majorHAnsi" w:cstheme="majorHAnsi"/>
                <w:sz w:val="21"/>
                <w:szCs w:val="21"/>
                <w:lang w:val="en-GB"/>
              </w:rPr>
              <w:t>non-loca</w:t>
            </w:r>
            <w:r w:rsidR="00FE7658">
              <w:rPr>
                <w:rFonts w:asciiTheme="majorHAnsi" w:eastAsiaTheme="majorEastAsia" w:hAnsiTheme="majorHAnsi" w:cstheme="majorHAnsi"/>
                <w:sz w:val="21"/>
                <w:szCs w:val="21"/>
                <w:lang w:val="en-GB"/>
              </w:rPr>
              <w:t>l</w:t>
            </w:r>
          </w:p>
          <w:p w14:paraId="4D10FCCB" w14:textId="0F395DA0" w:rsidR="00FE7658" w:rsidRDefault="00FE7658" w:rsidP="004550FF">
            <w:pPr>
              <w:spacing w:after="0" w:line="240" w:lineRule="auto"/>
              <w:rPr>
                <w:rFonts w:asciiTheme="majorHAnsi" w:eastAsiaTheme="majorEastAsia" w:hAnsiTheme="majorHAnsi" w:cstheme="majorHAnsi"/>
                <w:sz w:val="21"/>
                <w:szCs w:val="21"/>
                <w:lang w:val="en-GB"/>
              </w:rPr>
            </w:pPr>
            <w:r>
              <w:rPr>
                <w:rFonts w:asciiTheme="majorHAnsi" w:eastAsiaTheme="majorEastAsia" w:hAnsiTheme="majorHAnsi" w:cstheme="majorHAnsi"/>
                <w:sz w:val="21"/>
                <w:szCs w:val="21"/>
                <w:lang w:val="en-GB"/>
              </w:rPr>
              <w:t xml:space="preserve">   </w:t>
            </w:r>
            <w:r w:rsidR="00F00E3D" w:rsidRPr="0034443E">
              <w:rPr>
                <w:rFonts w:asciiTheme="majorHAnsi" w:eastAsiaTheme="majorEastAsia" w:hAnsiTheme="majorHAnsi" w:cstheme="majorHAnsi"/>
                <w:sz w:val="21"/>
                <w:szCs w:val="21"/>
                <w:lang w:val="en-GB"/>
              </w:rPr>
              <w:t xml:space="preserve">resources and services </w:t>
            </w:r>
            <w:r w:rsidR="000956A5" w:rsidRPr="0034443E">
              <w:rPr>
                <w:rFonts w:asciiTheme="majorHAnsi" w:eastAsiaTheme="majorEastAsia" w:hAnsiTheme="majorHAnsi" w:cstheme="majorHAnsi"/>
                <w:sz w:val="21"/>
                <w:szCs w:val="21"/>
                <w:lang w:val="en-GB"/>
              </w:rPr>
              <w:t>(for</w:t>
            </w:r>
            <w:r w:rsidR="00F00E3D" w:rsidRPr="0034443E">
              <w:rPr>
                <w:rFonts w:asciiTheme="majorHAnsi" w:eastAsiaTheme="majorEastAsia" w:hAnsiTheme="majorHAnsi" w:cstheme="majorHAnsi"/>
                <w:sz w:val="21"/>
                <w:szCs w:val="21"/>
                <w:lang w:val="en-GB"/>
              </w:rPr>
              <w:t xml:space="preserve"> </w:t>
            </w:r>
            <w:r>
              <w:rPr>
                <w:rFonts w:asciiTheme="majorHAnsi" w:eastAsiaTheme="majorEastAsia" w:hAnsiTheme="majorHAnsi" w:cstheme="majorHAnsi"/>
                <w:sz w:val="21"/>
                <w:szCs w:val="21"/>
                <w:lang w:val="en-GB"/>
              </w:rPr>
              <w:t xml:space="preserve">more </w:t>
            </w:r>
            <w:r w:rsidR="00F00E3D" w:rsidRPr="0034443E">
              <w:rPr>
                <w:rFonts w:asciiTheme="majorHAnsi" w:eastAsiaTheme="majorEastAsia" w:hAnsiTheme="majorHAnsi" w:cstheme="majorHAnsi"/>
                <w:sz w:val="21"/>
                <w:szCs w:val="21"/>
                <w:lang w:val="en-GB"/>
              </w:rPr>
              <w:t>digitally</w:t>
            </w:r>
          </w:p>
          <w:p w14:paraId="24FBF3D2" w14:textId="26C97B2C" w:rsidR="00F00E3D" w:rsidRPr="0034443E" w:rsidRDefault="00FE7658" w:rsidP="004550FF">
            <w:pPr>
              <w:spacing w:after="0" w:line="240" w:lineRule="auto"/>
              <w:rPr>
                <w:rFonts w:asciiTheme="majorHAnsi" w:eastAsiaTheme="majorEastAsia" w:hAnsiTheme="majorHAnsi" w:cstheme="majorHAnsi"/>
                <w:sz w:val="21"/>
                <w:szCs w:val="21"/>
              </w:rPr>
            </w:pPr>
            <w:r>
              <w:rPr>
                <w:rFonts w:asciiTheme="majorHAnsi" w:eastAsiaTheme="majorEastAsia" w:hAnsiTheme="majorHAnsi" w:cstheme="majorHAnsi"/>
                <w:sz w:val="21"/>
                <w:szCs w:val="21"/>
                <w:lang w:val="en-GB"/>
              </w:rPr>
              <w:t xml:space="preserve">   </w:t>
            </w:r>
            <w:r w:rsidR="000956A5" w:rsidRPr="0034443E">
              <w:rPr>
                <w:rFonts w:asciiTheme="majorHAnsi" w:eastAsiaTheme="majorEastAsia" w:hAnsiTheme="majorHAnsi" w:cstheme="majorHAnsi"/>
                <w:sz w:val="21"/>
                <w:szCs w:val="21"/>
                <w:lang w:val="en-GB"/>
              </w:rPr>
              <w:t>included residents)</w:t>
            </w:r>
          </w:p>
          <w:p w14:paraId="23732905" w14:textId="77777777" w:rsidR="000956A5" w:rsidRPr="00FE7658" w:rsidRDefault="000956A5" w:rsidP="004550FF">
            <w:pPr>
              <w:spacing w:after="0" w:line="240" w:lineRule="auto"/>
              <w:rPr>
                <w:rFonts w:asciiTheme="majorHAnsi" w:eastAsiaTheme="majorEastAsia" w:hAnsiTheme="majorHAnsi" w:cstheme="majorHAnsi"/>
                <w:sz w:val="16"/>
                <w:szCs w:val="16"/>
                <w:lang w:val="en-GB"/>
              </w:rPr>
            </w:pPr>
          </w:p>
          <w:p w14:paraId="4884EF4D" w14:textId="77777777" w:rsidR="0051277E" w:rsidRDefault="0051277E"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0956A5" w:rsidRPr="0034443E">
              <w:rPr>
                <w:rFonts w:asciiTheme="majorHAnsi" w:eastAsiaTheme="majorEastAsia" w:hAnsiTheme="majorHAnsi" w:cstheme="majorHAnsi"/>
                <w:sz w:val="21"/>
                <w:szCs w:val="21"/>
                <w:lang w:val="en-GB"/>
              </w:rPr>
              <w:t>Y</w:t>
            </w:r>
            <w:r w:rsidR="00F00E3D" w:rsidRPr="0034443E">
              <w:rPr>
                <w:rFonts w:asciiTheme="majorHAnsi" w:eastAsiaTheme="majorEastAsia" w:hAnsiTheme="majorHAnsi" w:cstheme="majorHAnsi"/>
                <w:sz w:val="21"/>
                <w:szCs w:val="21"/>
                <w:lang w:val="en-GB"/>
              </w:rPr>
              <w:t>oung peopl</w:t>
            </w:r>
            <w:r w:rsidR="00252DAC" w:rsidRPr="0034443E">
              <w:rPr>
                <w:rFonts w:asciiTheme="majorHAnsi" w:eastAsiaTheme="majorEastAsia" w:hAnsiTheme="majorHAnsi" w:cstheme="majorHAnsi"/>
                <w:sz w:val="21"/>
                <w:szCs w:val="21"/>
                <w:lang w:val="en-GB"/>
              </w:rPr>
              <w:t>e made</w:t>
            </w:r>
            <w:r w:rsidR="000956A5" w:rsidRPr="0034443E">
              <w:rPr>
                <w:rFonts w:asciiTheme="majorHAnsi" w:eastAsiaTheme="majorEastAsia" w:hAnsiTheme="majorHAnsi" w:cstheme="majorHAnsi"/>
                <w:sz w:val="21"/>
                <w:szCs w:val="21"/>
                <w:lang w:val="en-GB"/>
              </w:rPr>
              <w:t xml:space="preserve"> important</w:t>
            </w:r>
          </w:p>
          <w:p w14:paraId="70C57DB4" w14:textId="47E54012" w:rsidR="00F00E3D" w:rsidRPr="0034443E" w:rsidRDefault="0051277E" w:rsidP="004550FF">
            <w:pPr>
              <w:spacing w:after="0" w:line="240" w:lineRule="auto"/>
              <w:rPr>
                <w:rFonts w:asciiTheme="majorHAnsi" w:eastAsiaTheme="majorEastAsia" w:hAnsiTheme="majorHAnsi" w:cstheme="majorHAnsi"/>
                <w:sz w:val="21"/>
                <w:szCs w:val="21"/>
              </w:rPr>
            </w:pPr>
            <w:r>
              <w:rPr>
                <w:rFonts w:asciiTheme="majorHAnsi" w:eastAsiaTheme="majorEastAsia" w:hAnsiTheme="majorHAnsi" w:cstheme="majorHAnsi"/>
                <w:sz w:val="21"/>
                <w:szCs w:val="21"/>
                <w:lang w:val="en-GB"/>
              </w:rPr>
              <w:t xml:space="preserve">   c</w:t>
            </w:r>
            <w:r w:rsidR="000956A5" w:rsidRPr="0034443E">
              <w:rPr>
                <w:rFonts w:asciiTheme="majorHAnsi" w:eastAsiaTheme="majorEastAsia" w:hAnsiTheme="majorHAnsi" w:cstheme="majorHAnsi"/>
                <w:sz w:val="21"/>
                <w:szCs w:val="21"/>
                <w:lang w:val="en-GB"/>
              </w:rPr>
              <w:t>ontribution helping vulnerable residents</w:t>
            </w:r>
            <w:r w:rsidR="00F00E3D" w:rsidRPr="0034443E">
              <w:rPr>
                <w:rFonts w:asciiTheme="majorHAnsi" w:eastAsiaTheme="majorEastAsia" w:hAnsiTheme="majorHAnsi" w:cstheme="majorHAnsi"/>
                <w:sz w:val="21"/>
                <w:szCs w:val="21"/>
                <w:lang w:val="en-GB"/>
              </w:rPr>
              <w:t xml:space="preserve"> </w:t>
            </w:r>
          </w:p>
        </w:tc>
        <w:tc>
          <w:tcPr>
            <w:tcW w:w="4000" w:type="dxa"/>
          </w:tcPr>
          <w:p w14:paraId="127670B1" w14:textId="1213E186" w:rsidR="001209B3" w:rsidRPr="0051277E" w:rsidRDefault="001209B3" w:rsidP="004550FF">
            <w:pPr>
              <w:spacing w:after="0" w:line="240" w:lineRule="auto"/>
              <w:rPr>
                <w:rFonts w:asciiTheme="majorHAnsi" w:eastAsia="Calibri Light" w:hAnsiTheme="majorHAnsi" w:cstheme="majorBidi"/>
              </w:rPr>
            </w:pPr>
          </w:p>
          <w:p w14:paraId="3EE1F8FA" w14:textId="77777777" w:rsidR="00FE7658" w:rsidRDefault="0051277E"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252DAC" w:rsidRPr="0034443E">
              <w:rPr>
                <w:rFonts w:asciiTheme="majorHAnsi" w:eastAsiaTheme="majorEastAsia" w:hAnsiTheme="majorHAnsi" w:cstheme="majorHAnsi"/>
                <w:sz w:val="21"/>
                <w:szCs w:val="21"/>
                <w:lang w:val="en-GB"/>
              </w:rPr>
              <w:t xml:space="preserve">Lockdowns and restrictions </w:t>
            </w:r>
            <w:r w:rsidR="00F00E3D" w:rsidRPr="0034443E">
              <w:rPr>
                <w:rFonts w:asciiTheme="majorHAnsi" w:eastAsiaTheme="majorEastAsia" w:hAnsiTheme="majorHAnsi" w:cstheme="majorHAnsi"/>
                <w:sz w:val="21"/>
                <w:szCs w:val="21"/>
                <w:lang w:val="en-GB"/>
              </w:rPr>
              <w:t>compounded</w:t>
            </w:r>
          </w:p>
          <w:p w14:paraId="637447FE" w14:textId="3001CADE" w:rsidR="00F00E3D" w:rsidRPr="0034443E" w:rsidRDefault="00FE7658" w:rsidP="004550FF">
            <w:pPr>
              <w:spacing w:after="0" w:line="240" w:lineRule="auto"/>
              <w:rPr>
                <w:rFonts w:asciiTheme="majorHAnsi" w:eastAsiaTheme="majorEastAsia" w:hAnsiTheme="majorHAnsi" w:cstheme="majorHAnsi"/>
                <w:sz w:val="21"/>
                <w:szCs w:val="21"/>
              </w:rPr>
            </w:pPr>
            <w:r>
              <w:rPr>
                <w:rFonts w:asciiTheme="majorHAnsi" w:eastAsiaTheme="majorEastAsia" w:hAnsiTheme="majorHAnsi" w:cstheme="majorHAnsi"/>
                <w:sz w:val="21"/>
                <w:szCs w:val="21"/>
                <w:lang w:val="en-GB"/>
              </w:rPr>
              <w:t xml:space="preserve">  </w:t>
            </w:r>
            <w:r w:rsidR="00F00E3D" w:rsidRPr="0034443E">
              <w:rPr>
                <w:rFonts w:asciiTheme="majorHAnsi" w:eastAsiaTheme="majorEastAsia" w:hAnsiTheme="majorHAnsi" w:cstheme="majorHAnsi"/>
                <w:sz w:val="21"/>
                <w:szCs w:val="21"/>
                <w:lang w:val="en-GB"/>
              </w:rPr>
              <w:t xml:space="preserve">by </w:t>
            </w:r>
            <w:r w:rsidR="00252DAC" w:rsidRPr="0034443E">
              <w:rPr>
                <w:rFonts w:asciiTheme="majorHAnsi" w:eastAsiaTheme="majorEastAsia" w:hAnsiTheme="majorHAnsi" w:cstheme="majorHAnsi"/>
                <w:sz w:val="21"/>
                <w:szCs w:val="21"/>
                <w:lang w:val="en-GB"/>
              </w:rPr>
              <w:t>challenges of</w:t>
            </w:r>
            <w:r w:rsidR="00F00E3D" w:rsidRPr="0034443E">
              <w:rPr>
                <w:rFonts w:asciiTheme="majorHAnsi" w:eastAsiaTheme="majorEastAsia" w:hAnsiTheme="majorHAnsi" w:cstheme="majorHAnsi"/>
                <w:sz w:val="21"/>
                <w:szCs w:val="21"/>
                <w:lang w:val="en-GB"/>
              </w:rPr>
              <w:t xml:space="preserve"> winter months</w:t>
            </w:r>
          </w:p>
          <w:p w14:paraId="07106072" w14:textId="77777777" w:rsidR="00252DAC" w:rsidRPr="001209B3" w:rsidRDefault="00252DAC" w:rsidP="004550FF">
            <w:pPr>
              <w:spacing w:after="0" w:line="240" w:lineRule="auto"/>
              <w:rPr>
                <w:rFonts w:asciiTheme="majorHAnsi" w:eastAsiaTheme="majorEastAsia" w:hAnsiTheme="majorHAnsi" w:cstheme="majorHAnsi"/>
                <w:sz w:val="16"/>
                <w:szCs w:val="16"/>
                <w:lang w:val="en-GB"/>
              </w:rPr>
            </w:pPr>
          </w:p>
          <w:p w14:paraId="7EFAC0CC" w14:textId="0C4AA8A8" w:rsidR="00F00E3D" w:rsidRPr="0034443E" w:rsidRDefault="0051277E" w:rsidP="004550FF">
            <w:pPr>
              <w:spacing w:after="0" w:line="240" w:lineRule="auto"/>
              <w:rPr>
                <w:rFonts w:asciiTheme="majorHAnsi" w:eastAsiaTheme="majorEastAsia" w:hAnsiTheme="majorHAnsi" w:cstheme="majorHAnsi"/>
                <w:sz w:val="21"/>
                <w:szCs w:val="21"/>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252DAC" w:rsidRPr="0034443E">
              <w:rPr>
                <w:rFonts w:asciiTheme="majorHAnsi" w:eastAsiaTheme="majorEastAsia" w:hAnsiTheme="majorHAnsi" w:cstheme="majorHAnsi"/>
                <w:sz w:val="21"/>
                <w:szCs w:val="21"/>
                <w:lang w:val="en-GB"/>
              </w:rPr>
              <w:t>Digital exclusion impacted many</w:t>
            </w:r>
          </w:p>
          <w:p w14:paraId="65B804B5" w14:textId="77777777" w:rsidR="00252DAC" w:rsidRPr="001209B3" w:rsidRDefault="00252DAC" w:rsidP="004550FF">
            <w:pPr>
              <w:spacing w:after="0" w:line="240" w:lineRule="auto"/>
              <w:rPr>
                <w:rFonts w:asciiTheme="majorHAnsi" w:eastAsiaTheme="majorEastAsia" w:hAnsiTheme="majorHAnsi" w:cstheme="majorHAnsi"/>
                <w:sz w:val="16"/>
                <w:szCs w:val="16"/>
                <w:lang w:val="en-GB"/>
              </w:rPr>
            </w:pPr>
          </w:p>
          <w:p w14:paraId="08FA8905" w14:textId="77777777" w:rsidR="004E1381" w:rsidRDefault="004E1381"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 xml:space="preserve">Psychosocial impact of empty or </w:t>
            </w:r>
            <w:r w:rsidR="00252DAC" w:rsidRPr="0034443E">
              <w:rPr>
                <w:rFonts w:asciiTheme="majorHAnsi" w:eastAsiaTheme="majorEastAsia" w:hAnsiTheme="majorHAnsi" w:cstheme="majorHAnsi"/>
                <w:sz w:val="21"/>
                <w:szCs w:val="21"/>
                <w:lang w:val="en-GB"/>
              </w:rPr>
              <w:t>rundown</w:t>
            </w:r>
          </w:p>
          <w:p w14:paraId="74C35707" w14:textId="1CFF2364" w:rsidR="00F00E3D" w:rsidRPr="0034443E" w:rsidRDefault="004E1381" w:rsidP="004550FF">
            <w:pPr>
              <w:spacing w:after="0" w:line="240" w:lineRule="auto"/>
              <w:rPr>
                <w:rFonts w:asciiTheme="majorHAnsi" w:eastAsiaTheme="majorEastAsia" w:hAnsiTheme="majorHAnsi" w:cstheme="majorHAnsi"/>
                <w:sz w:val="21"/>
                <w:szCs w:val="21"/>
              </w:rPr>
            </w:pPr>
            <w:r>
              <w:rPr>
                <w:rFonts w:asciiTheme="majorHAnsi" w:eastAsiaTheme="majorEastAsia" w:hAnsiTheme="majorHAnsi" w:cstheme="majorHAnsi"/>
                <w:sz w:val="21"/>
                <w:szCs w:val="21"/>
                <w:lang w:val="en-GB"/>
              </w:rPr>
              <w:t xml:space="preserve">   </w:t>
            </w:r>
            <w:r w:rsidR="00F00E3D" w:rsidRPr="0034443E">
              <w:rPr>
                <w:rFonts w:asciiTheme="majorHAnsi" w:eastAsiaTheme="majorEastAsia" w:hAnsiTheme="majorHAnsi" w:cstheme="majorHAnsi"/>
                <w:sz w:val="21"/>
                <w:szCs w:val="21"/>
                <w:lang w:val="en-GB"/>
              </w:rPr>
              <w:t>public spaces and shops</w:t>
            </w:r>
          </w:p>
          <w:p w14:paraId="1A986370" w14:textId="77777777" w:rsidR="00252DAC" w:rsidRPr="001209B3" w:rsidRDefault="00252DAC" w:rsidP="004550FF">
            <w:pPr>
              <w:spacing w:after="0" w:line="240" w:lineRule="auto"/>
              <w:rPr>
                <w:rFonts w:asciiTheme="majorHAnsi" w:eastAsiaTheme="majorEastAsia" w:hAnsiTheme="majorHAnsi" w:cstheme="majorHAnsi"/>
                <w:sz w:val="16"/>
                <w:szCs w:val="16"/>
                <w:lang w:val="en-GB"/>
              </w:rPr>
            </w:pPr>
          </w:p>
          <w:p w14:paraId="17BC8B25" w14:textId="77777777" w:rsidR="00F00E3D" w:rsidRDefault="004E1381" w:rsidP="004550FF">
            <w:pPr>
              <w:spacing w:after="0" w:line="240" w:lineRule="auto"/>
              <w:rPr>
                <w:rFonts w:asciiTheme="majorHAnsi" w:eastAsiaTheme="majorEastAsia" w:hAnsiTheme="majorHAnsi" w:cstheme="majorHAnsi"/>
                <w:sz w:val="21"/>
                <w:szCs w:val="21"/>
                <w:lang w:val="en-GB"/>
              </w:rPr>
            </w:pPr>
            <w:r w:rsidRPr="0005244D">
              <w:rPr>
                <w:rFonts w:asciiTheme="majorHAnsi" w:eastAsia="Calibri Light" w:hAnsiTheme="majorHAnsi" w:cstheme="majorHAnsi"/>
                <w:sz w:val="21"/>
                <w:szCs w:val="21"/>
              </w:rPr>
              <w:t>•</w:t>
            </w:r>
            <w:r>
              <w:rPr>
                <w:rFonts w:asciiTheme="majorHAnsi" w:eastAsia="Calibri Light" w:hAnsiTheme="majorHAnsi" w:cstheme="majorHAnsi"/>
                <w:sz w:val="21"/>
                <w:szCs w:val="21"/>
              </w:rPr>
              <w:t xml:space="preserve"> </w:t>
            </w:r>
            <w:r w:rsidR="00F00E3D" w:rsidRPr="0034443E">
              <w:rPr>
                <w:rFonts w:asciiTheme="majorHAnsi" w:eastAsiaTheme="majorEastAsia" w:hAnsiTheme="majorHAnsi" w:cstheme="majorHAnsi"/>
                <w:sz w:val="21"/>
                <w:szCs w:val="21"/>
                <w:lang w:val="en-GB"/>
              </w:rPr>
              <w:t>Limited access to integrated transport</w:t>
            </w:r>
          </w:p>
          <w:p w14:paraId="04EEB0BE" w14:textId="052FD9A0" w:rsidR="00FE7658" w:rsidRPr="00FE7658" w:rsidRDefault="00FE7658" w:rsidP="004550FF">
            <w:pPr>
              <w:spacing w:after="0" w:line="240" w:lineRule="auto"/>
              <w:rPr>
                <w:rFonts w:asciiTheme="majorHAnsi" w:eastAsiaTheme="majorEastAsia" w:hAnsiTheme="majorHAnsi" w:cstheme="majorHAnsi"/>
                <w:sz w:val="8"/>
                <w:szCs w:val="8"/>
              </w:rPr>
            </w:pPr>
          </w:p>
        </w:tc>
      </w:tr>
    </w:tbl>
    <w:p w14:paraId="7A93C796" w14:textId="6426D4A0" w:rsidR="00F00E3D" w:rsidRPr="0034443E" w:rsidRDefault="00934159" w:rsidP="009B2FA7">
      <w:pPr>
        <w:rPr>
          <w:rFonts w:asciiTheme="majorHAnsi" w:eastAsiaTheme="majorEastAsia" w:hAnsiTheme="majorHAnsi" w:cstheme="majorHAnsi"/>
          <w:b/>
          <w:bCs/>
          <w:sz w:val="21"/>
          <w:szCs w:val="21"/>
          <w:lang w:val="en-GB"/>
        </w:rPr>
      </w:pPr>
      <w:r w:rsidRPr="0034443E">
        <w:rPr>
          <w:rFonts w:eastAsia="Times New Roman" w:cstheme="minorHAnsi"/>
          <w:b/>
          <w:bCs/>
          <w:sz w:val="21"/>
          <w:szCs w:val="21"/>
        </w:rPr>
        <w:t xml:space="preserve">Table 8.2: </w:t>
      </w:r>
      <w:r w:rsidRPr="0034443E">
        <w:rPr>
          <w:rFonts w:eastAsiaTheme="majorEastAsia" w:cstheme="minorHAnsi"/>
          <w:b/>
          <w:bCs/>
          <w:sz w:val="21"/>
          <w:szCs w:val="21"/>
          <w:lang w:val="en-GB"/>
        </w:rPr>
        <w:t xml:space="preserve">Summary: Positive and Negative Community Impacts </w:t>
      </w:r>
      <w:r w:rsidR="00C2301A">
        <w:rPr>
          <w:rFonts w:eastAsiaTheme="majorEastAsia" w:cstheme="minorHAnsi"/>
          <w:b/>
          <w:bCs/>
          <w:sz w:val="21"/>
          <w:szCs w:val="21"/>
          <w:lang w:val="en-GB"/>
        </w:rPr>
        <w:t>o</w:t>
      </w:r>
      <w:r w:rsidRPr="0034443E">
        <w:rPr>
          <w:rFonts w:eastAsiaTheme="majorEastAsia" w:cstheme="minorHAnsi"/>
          <w:b/>
          <w:bCs/>
          <w:sz w:val="21"/>
          <w:szCs w:val="21"/>
          <w:lang w:val="en-GB"/>
        </w:rPr>
        <w:t>f COVID-19</w:t>
      </w:r>
      <w:r w:rsidR="00C2301A">
        <w:rPr>
          <w:rFonts w:eastAsiaTheme="majorEastAsia" w:cstheme="minorHAnsi"/>
          <w:b/>
          <w:bCs/>
          <w:sz w:val="21"/>
          <w:szCs w:val="21"/>
          <w:lang w:val="en-GB"/>
        </w:rPr>
        <w:t xml:space="preserve"> in Corio, Norlane, &amp; Whittington</w:t>
      </w:r>
    </w:p>
    <w:p w14:paraId="7170F259" w14:textId="77777777" w:rsidR="004D0A94" w:rsidRPr="00052574" w:rsidRDefault="004D0A94">
      <w:pPr>
        <w:spacing w:after="0" w:line="240" w:lineRule="auto"/>
        <w:rPr>
          <w:rFonts w:eastAsia="Calibri"/>
          <w:b/>
        </w:rPr>
      </w:pPr>
      <w:r>
        <w:rPr>
          <w:rFonts w:eastAsia="Calibri"/>
          <w:b/>
          <w:color w:val="C00000"/>
          <w:sz w:val="28"/>
          <w:szCs w:val="28"/>
        </w:rPr>
        <w:br w:type="page"/>
      </w:r>
    </w:p>
    <w:p w14:paraId="125CBC8E" w14:textId="0E586D97" w:rsidR="00F00E3D" w:rsidRPr="004D0A94" w:rsidRDefault="00072E0A" w:rsidP="00524B79">
      <w:pPr>
        <w:spacing w:line="276" w:lineRule="auto"/>
        <w:rPr>
          <w:rFonts w:eastAsia="Calibri"/>
          <w:b/>
          <w:color w:val="2F5496" w:themeColor="accent1" w:themeShade="BF"/>
          <w:sz w:val="28"/>
          <w:szCs w:val="28"/>
        </w:rPr>
      </w:pPr>
      <w:r w:rsidRPr="004D0A94">
        <w:rPr>
          <w:rFonts w:eastAsia="Calibri"/>
          <w:b/>
          <w:color w:val="2F5496" w:themeColor="accent1" w:themeShade="BF"/>
          <w:sz w:val="28"/>
          <w:szCs w:val="28"/>
        </w:rPr>
        <w:lastRenderedPageBreak/>
        <w:t>8.3 Gap</w:t>
      </w:r>
      <w:r w:rsidR="00587112" w:rsidRPr="004D0A94">
        <w:rPr>
          <w:rFonts w:eastAsia="Calibri"/>
          <w:b/>
          <w:color w:val="2F5496" w:themeColor="accent1" w:themeShade="BF"/>
          <w:sz w:val="28"/>
          <w:szCs w:val="28"/>
        </w:rPr>
        <w:t xml:space="preserve"> Analysis: </w:t>
      </w:r>
      <w:r w:rsidRPr="004D0A94">
        <w:rPr>
          <w:rFonts w:eastAsia="Calibri"/>
          <w:b/>
          <w:color w:val="2F5496" w:themeColor="accent1" w:themeShade="BF"/>
          <w:sz w:val="28"/>
          <w:szCs w:val="28"/>
        </w:rPr>
        <w:t>Unmet Needs Revealed by COVID-19</w:t>
      </w:r>
    </w:p>
    <w:p w14:paraId="0ABA5F31" w14:textId="24EE2029" w:rsidR="00F00E3D" w:rsidRPr="0034443E" w:rsidRDefault="000D09C8" w:rsidP="00524B79">
      <w:pPr>
        <w:spacing w:line="276" w:lineRule="auto"/>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 xml:space="preserve">Our </w:t>
      </w:r>
      <w:r w:rsidR="00772E66" w:rsidRPr="0034443E">
        <w:rPr>
          <w:rFonts w:asciiTheme="majorHAnsi" w:eastAsia="Calibri Light" w:hAnsiTheme="majorHAnsi" w:cstheme="majorHAnsi"/>
          <w:sz w:val="23"/>
          <w:szCs w:val="23"/>
          <w:lang w:val="en-GB"/>
        </w:rPr>
        <w:t>interviews</w:t>
      </w:r>
      <w:r w:rsidRPr="0034443E">
        <w:rPr>
          <w:rFonts w:asciiTheme="majorHAnsi" w:eastAsia="Calibri Light" w:hAnsiTheme="majorHAnsi" w:cstheme="majorHAnsi"/>
          <w:sz w:val="23"/>
          <w:szCs w:val="23"/>
          <w:lang w:val="en-GB"/>
        </w:rPr>
        <w:t xml:space="preserve"> also explored gaps and unmet needs </w:t>
      </w:r>
      <w:r w:rsidR="00445438">
        <w:rPr>
          <w:rFonts w:asciiTheme="majorHAnsi" w:eastAsia="Calibri Light" w:hAnsiTheme="majorHAnsi" w:cstheme="majorHAnsi"/>
          <w:sz w:val="23"/>
          <w:szCs w:val="23"/>
          <w:lang w:val="en-GB"/>
        </w:rPr>
        <w:t>that the pandemic</w:t>
      </w:r>
      <w:r w:rsidRPr="0034443E">
        <w:rPr>
          <w:rFonts w:asciiTheme="majorHAnsi" w:eastAsia="Calibri Light" w:hAnsiTheme="majorHAnsi" w:cstheme="majorHAnsi"/>
          <w:sz w:val="23"/>
          <w:szCs w:val="23"/>
          <w:lang w:val="en-GB"/>
        </w:rPr>
        <w:t xml:space="preserve"> </w:t>
      </w:r>
      <w:r w:rsidR="00F00E3D" w:rsidRPr="0034443E">
        <w:rPr>
          <w:rFonts w:asciiTheme="majorHAnsi" w:eastAsia="Calibri Light" w:hAnsiTheme="majorHAnsi" w:cstheme="majorHAnsi"/>
          <w:sz w:val="23"/>
          <w:szCs w:val="23"/>
          <w:lang w:val="en-GB"/>
        </w:rPr>
        <w:t>highlighted or exacerbated</w:t>
      </w:r>
      <w:r w:rsidRPr="0034443E">
        <w:rPr>
          <w:rFonts w:asciiTheme="majorHAnsi" w:eastAsia="Calibri Light" w:hAnsiTheme="majorHAnsi" w:cstheme="majorHAnsi"/>
          <w:sz w:val="23"/>
          <w:szCs w:val="23"/>
          <w:lang w:val="en-GB"/>
        </w:rPr>
        <w:t xml:space="preserve">. </w:t>
      </w:r>
      <w:r w:rsidR="00772E66" w:rsidRPr="0034443E">
        <w:rPr>
          <w:rFonts w:asciiTheme="majorHAnsi" w:eastAsia="Calibri Light" w:hAnsiTheme="majorHAnsi" w:cstheme="majorHAnsi"/>
          <w:sz w:val="23"/>
          <w:szCs w:val="23"/>
          <w:lang w:val="en-GB"/>
        </w:rPr>
        <w:t>F</w:t>
      </w:r>
      <w:r w:rsidRPr="0034443E">
        <w:rPr>
          <w:rFonts w:asciiTheme="majorHAnsi" w:eastAsia="Calibri Light" w:hAnsiTheme="majorHAnsi" w:cstheme="majorHAnsi"/>
          <w:sz w:val="23"/>
          <w:szCs w:val="23"/>
          <w:lang w:val="en-GB"/>
        </w:rPr>
        <w:t xml:space="preserve">indings are summarised below, grouped under the five </w:t>
      </w:r>
      <w:r w:rsidR="00D95573">
        <w:rPr>
          <w:rFonts w:asciiTheme="majorHAnsi" w:eastAsia="Calibri Light" w:hAnsiTheme="majorHAnsi" w:cstheme="majorHAnsi"/>
          <w:sz w:val="23"/>
          <w:szCs w:val="23"/>
          <w:lang w:val="en-GB"/>
        </w:rPr>
        <w:t>Practice Domain</w:t>
      </w:r>
      <w:r w:rsidRPr="0034443E">
        <w:rPr>
          <w:rFonts w:asciiTheme="majorHAnsi" w:eastAsia="Calibri Light" w:hAnsiTheme="majorHAnsi" w:cstheme="majorHAnsi"/>
          <w:sz w:val="23"/>
          <w:szCs w:val="23"/>
          <w:lang w:val="en-GB"/>
        </w:rPr>
        <w:t>s.</w:t>
      </w:r>
    </w:p>
    <w:p w14:paraId="2AE298D8" w14:textId="77777777" w:rsidR="00F00E3D" w:rsidRPr="0034443E" w:rsidRDefault="00F00E3D" w:rsidP="00524B79">
      <w:pPr>
        <w:spacing w:line="276" w:lineRule="auto"/>
        <w:rPr>
          <w:rFonts w:eastAsia="Calibri Light" w:cstheme="minorHAnsi"/>
          <w:b/>
          <w:bCs/>
          <w:sz w:val="25"/>
          <w:szCs w:val="25"/>
          <w:lang w:val="en-GB"/>
        </w:rPr>
      </w:pPr>
      <w:r w:rsidRPr="0034443E">
        <w:rPr>
          <w:rFonts w:eastAsia="Calibri Light" w:cstheme="minorHAnsi"/>
          <w:b/>
          <w:bCs/>
          <w:sz w:val="25"/>
          <w:szCs w:val="25"/>
          <w:lang w:val="en-GB"/>
        </w:rPr>
        <w:t>Employment</w:t>
      </w:r>
    </w:p>
    <w:p w14:paraId="520E593B" w14:textId="0E09F5D6" w:rsidR="00F00E3D" w:rsidRPr="0034443E" w:rsidRDefault="00772E66" w:rsidP="00524B79">
      <w:pPr>
        <w:spacing w:line="276" w:lineRule="auto"/>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Perhaps i</w:t>
      </w:r>
      <w:r w:rsidR="00F00E3D" w:rsidRPr="0034443E">
        <w:rPr>
          <w:rFonts w:asciiTheme="majorHAnsi" w:eastAsia="Calibri Light" w:hAnsiTheme="majorHAnsi" w:cstheme="majorHAnsi"/>
          <w:sz w:val="23"/>
          <w:szCs w:val="23"/>
          <w:lang w:val="en-GB"/>
        </w:rPr>
        <w:t xml:space="preserve">ronically </w:t>
      </w:r>
      <w:r w:rsidR="00C66432" w:rsidRPr="0034443E">
        <w:rPr>
          <w:rFonts w:asciiTheme="majorHAnsi" w:eastAsia="Calibri Light" w:hAnsiTheme="majorHAnsi" w:cstheme="majorHAnsi"/>
          <w:sz w:val="23"/>
          <w:szCs w:val="23"/>
          <w:lang w:val="en-GB"/>
        </w:rPr>
        <w:t>for</w:t>
      </w:r>
      <w:r w:rsidR="00F00E3D" w:rsidRPr="0034443E">
        <w:rPr>
          <w:rFonts w:asciiTheme="majorHAnsi" w:eastAsia="Calibri Light" w:hAnsiTheme="majorHAnsi" w:cstheme="majorHAnsi"/>
          <w:sz w:val="23"/>
          <w:szCs w:val="23"/>
          <w:lang w:val="en-GB"/>
        </w:rPr>
        <w:t xml:space="preserve"> </w:t>
      </w:r>
      <w:r w:rsidR="00C66432" w:rsidRPr="0034443E">
        <w:rPr>
          <w:rFonts w:asciiTheme="majorHAnsi" w:eastAsia="Calibri Light" w:hAnsiTheme="majorHAnsi" w:cstheme="majorHAnsi"/>
          <w:sz w:val="23"/>
          <w:szCs w:val="23"/>
          <w:lang w:val="en-GB"/>
        </w:rPr>
        <w:t>suburbs</w:t>
      </w:r>
      <w:r w:rsidR="00F00E3D" w:rsidRPr="0034443E">
        <w:rPr>
          <w:rFonts w:asciiTheme="majorHAnsi" w:eastAsia="Calibri Light" w:hAnsiTheme="majorHAnsi" w:cstheme="majorHAnsi"/>
          <w:sz w:val="23"/>
          <w:szCs w:val="23"/>
          <w:lang w:val="en-GB"/>
        </w:rPr>
        <w:t xml:space="preserve"> </w:t>
      </w:r>
      <w:r w:rsidR="00C66432" w:rsidRPr="0034443E">
        <w:rPr>
          <w:rFonts w:asciiTheme="majorHAnsi" w:eastAsia="Calibri Light" w:hAnsiTheme="majorHAnsi" w:cstheme="majorHAnsi"/>
          <w:sz w:val="23"/>
          <w:szCs w:val="23"/>
          <w:lang w:val="en-GB"/>
        </w:rPr>
        <w:t>with historically</w:t>
      </w:r>
      <w:r w:rsidR="00F00E3D" w:rsidRPr="0034443E">
        <w:rPr>
          <w:rFonts w:asciiTheme="majorHAnsi" w:eastAsia="Calibri Light" w:hAnsiTheme="majorHAnsi" w:cstheme="majorHAnsi"/>
          <w:sz w:val="23"/>
          <w:szCs w:val="23"/>
          <w:lang w:val="en-GB"/>
        </w:rPr>
        <w:t xml:space="preserve"> high unemployment, sectors where many</w:t>
      </w:r>
      <w:r w:rsidR="00213B01">
        <w:rPr>
          <w:rFonts w:asciiTheme="majorHAnsi" w:eastAsia="Calibri Light" w:hAnsiTheme="majorHAnsi" w:cstheme="majorHAnsi"/>
          <w:sz w:val="23"/>
          <w:szCs w:val="23"/>
          <w:lang w:val="en-GB"/>
        </w:rPr>
        <w:t xml:space="preserve"> </w:t>
      </w:r>
      <w:r w:rsidR="00F00E3D" w:rsidRPr="0034443E">
        <w:rPr>
          <w:rFonts w:asciiTheme="majorHAnsi" w:eastAsia="Calibri Light" w:hAnsiTheme="majorHAnsi" w:cstheme="majorHAnsi"/>
          <w:sz w:val="23"/>
          <w:szCs w:val="23"/>
          <w:lang w:val="en-GB"/>
        </w:rPr>
        <w:t xml:space="preserve">residents </w:t>
      </w:r>
      <w:r w:rsidR="00213B01">
        <w:rPr>
          <w:rFonts w:asciiTheme="majorHAnsi" w:eastAsia="Calibri Light" w:hAnsiTheme="majorHAnsi" w:cstheme="majorHAnsi"/>
          <w:sz w:val="23"/>
          <w:szCs w:val="23"/>
          <w:lang w:val="en-GB"/>
        </w:rPr>
        <w:t>a</w:t>
      </w:r>
      <w:r w:rsidR="00F00E3D" w:rsidRPr="0034443E">
        <w:rPr>
          <w:rFonts w:asciiTheme="majorHAnsi" w:eastAsia="Calibri Light" w:hAnsiTheme="majorHAnsi" w:cstheme="majorHAnsi"/>
          <w:sz w:val="23"/>
          <w:szCs w:val="23"/>
          <w:lang w:val="en-GB"/>
        </w:rPr>
        <w:t xml:space="preserve">re employed </w:t>
      </w:r>
      <w:r w:rsidR="00213B01">
        <w:rPr>
          <w:rFonts w:asciiTheme="majorHAnsi" w:eastAsia="Calibri Light" w:hAnsiTheme="majorHAnsi" w:cstheme="majorHAnsi"/>
          <w:sz w:val="23"/>
          <w:szCs w:val="23"/>
          <w:lang w:val="en-GB"/>
        </w:rPr>
        <w:t>suddenly faced</w:t>
      </w:r>
      <w:r w:rsidR="00F00E3D" w:rsidRPr="0034443E">
        <w:rPr>
          <w:rFonts w:asciiTheme="majorHAnsi" w:eastAsia="Calibri Light" w:hAnsiTheme="majorHAnsi" w:cstheme="majorHAnsi"/>
          <w:sz w:val="23"/>
          <w:szCs w:val="23"/>
          <w:lang w:val="en-GB"/>
        </w:rPr>
        <w:t xml:space="preserve"> much higher demand. </w:t>
      </w:r>
      <w:r w:rsidR="00213B01">
        <w:rPr>
          <w:rFonts w:asciiTheme="majorHAnsi" w:eastAsia="Calibri Light" w:hAnsiTheme="majorHAnsi" w:cstheme="majorHAnsi"/>
          <w:sz w:val="23"/>
          <w:szCs w:val="23"/>
          <w:lang w:val="en-GB"/>
        </w:rPr>
        <w:t>This</w:t>
      </w:r>
      <w:r w:rsidR="00F00E3D" w:rsidRPr="0034443E">
        <w:rPr>
          <w:rFonts w:asciiTheme="majorHAnsi" w:eastAsia="Calibri Light" w:hAnsiTheme="majorHAnsi" w:cstheme="majorHAnsi"/>
          <w:sz w:val="23"/>
          <w:szCs w:val="23"/>
          <w:lang w:val="en-GB"/>
        </w:rPr>
        <w:t xml:space="preserve"> usual gap </w:t>
      </w:r>
      <w:r w:rsidR="00213B01">
        <w:rPr>
          <w:rFonts w:asciiTheme="majorHAnsi" w:eastAsia="Calibri Light" w:hAnsiTheme="majorHAnsi" w:cstheme="majorHAnsi"/>
          <w:sz w:val="23"/>
          <w:szCs w:val="23"/>
          <w:lang w:val="en-GB"/>
        </w:rPr>
        <w:t>initially shrank</w:t>
      </w:r>
      <w:r w:rsidR="00F00E3D" w:rsidRPr="0034443E">
        <w:rPr>
          <w:rFonts w:asciiTheme="majorHAnsi" w:eastAsia="Calibri Light" w:hAnsiTheme="majorHAnsi" w:cstheme="majorHAnsi"/>
          <w:sz w:val="23"/>
          <w:szCs w:val="23"/>
          <w:lang w:val="en-GB"/>
        </w:rPr>
        <w:t>, only to re-open as the economy recovered and the health emergency lessened:</w:t>
      </w:r>
    </w:p>
    <w:p w14:paraId="0B820035" w14:textId="62307BFC" w:rsidR="00F00E3D" w:rsidRPr="0034443E" w:rsidRDefault="00C66432" w:rsidP="00524B79">
      <w:pPr>
        <w:spacing w:line="276" w:lineRule="auto"/>
        <w:ind w:left="720"/>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w:t>
      </w:r>
      <w:r w:rsidR="00F00E3D" w:rsidRPr="0034443E">
        <w:rPr>
          <w:rFonts w:asciiTheme="majorHAnsi" w:eastAsia="Calibri Light" w:hAnsiTheme="majorHAnsi" w:cstheme="majorHAnsi"/>
          <w:sz w:val="23"/>
          <w:szCs w:val="23"/>
          <w:lang w:val="en-GB"/>
        </w:rPr>
        <w:t>Unemployment</w:t>
      </w:r>
      <w:r w:rsidRPr="0034443E">
        <w:rPr>
          <w:rFonts w:asciiTheme="majorHAnsi" w:eastAsia="Calibri Light" w:hAnsiTheme="majorHAnsi" w:cstheme="majorHAnsi"/>
          <w:sz w:val="23"/>
          <w:szCs w:val="23"/>
          <w:lang w:val="en-GB"/>
        </w:rPr>
        <w:t>]</w:t>
      </w:r>
      <w:r w:rsidR="00F00E3D" w:rsidRPr="0034443E">
        <w:rPr>
          <w:rFonts w:asciiTheme="majorHAnsi" w:eastAsia="Calibri Light" w:hAnsiTheme="majorHAnsi" w:cstheme="majorHAnsi"/>
          <w:sz w:val="23"/>
          <w:szCs w:val="23"/>
          <w:lang w:val="en-GB"/>
        </w:rPr>
        <w:t xml:space="preserve"> was masked as families worked in essential services – cleaning, transport and logistics and aged care</w:t>
      </w:r>
      <w:r w:rsidRPr="0034443E">
        <w:rPr>
          <w:rFonts w:asciiTheme="majorHAnsi" w:eastAsia="Calibri Light" w:hAnsiTheme="majorHAnsi" w:cstheme="majorHAnsi"/>
          <w:sz w:val="23"/>
          <w:szCs w:val="23"/>
          <w:lang w:val="en-GB"/>
        </w:rPr>
        <w:t xml:space="preserve"> –</w:t>
      </w:r>
      <w:r w:rsidR="00F00E3D" w:rsidRPr="0034443E">
        <w:rPr>
          <w:rFonts w:asciiTheme="majorHAnsi" w:eastAsia="Calibri Light" w:hAnsiTheme="majorHAnsi" w:cstheme="majorHAnsi"/>
          <w:sz w:val="23"/>
          <w:szCs w:val="23"/>
          <w:lang w:val="en-GB"/>
        </w:rPr>
        <w:t xml:space="preserve"> and there was lots of this work around… We had people doing cleaning courses and got their first employment for years, some for ever! Same with aged care workers and others in high demand areas like transport and logistics (P3)</w:t>
      </w:r>
      <w:r w:rsidRPr="0034443E">
        <w:rPr>
          <w:rFonts w:asciiTheme="majorHAnsi" w:eastAsia="Calibri Light" w:hAnsiTheme="majorHAnsi" w:cstheme="majorHAnsi"/>
          <w:sz w:val="23"/>
          <w:szCs w:val="23"/>
          <w:lang w:val="en-GB"/>
        </w:rPr>
        <w:t>.</w:t>
      </w:r>
    </w:p>
    <w:p w14:paraId="154EA794" w14:textId="289905ED" w:rsidR="00F00E3D" w:rsidRPr="0034443E" w:rsidRDefault="00F00E3D" w:rsidP="00524B79">
      <w:pPr>
        <w:spacing w:line="276" w:lineRule="auto"/>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 xml:space="preserve">But another respondent noted that gaps in employment remained in these areas, especially for the young and those with a lived experience of disability: </w:t>
      </w:r>
    </w:p>
    <w:p w14:paraId="057FA6B2" w14:textId="68EBB54C" w:rsidR="00F00E3D" w:rsidRPr="0034443E" w:rsidRDefault="00F00E3D" w:rsidP="00524B79">
      <w:pPr>
        <w:spacing w:line="276" w:lineRule="auto"/>
        <w:ind w:left="720"/>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The number of people not in a job continued to be an issue, though we still don’t know who needs work, we only know who is on the unemployment benefit, and this is a misleading number. We have 4 500 on our case load list but only half of these are on Job Active, others are carers, disabled who would like work and can’t get it but don’t qualify for additional benefits. There were jobs particularly impacted – entry level hospitality, cleaning all disappeared. This effected young people especially (P4)</w:t>
      </w:r>
      <w:r w:rsidR="00213B01">
        <w:rPr>
          <w:rFonts w:asciiTheme="majorHAnsi" w:eastAsia="Calibri Light" w:hAnsiTheme="majorHAnsi" w:cstheme="majorHAnsi"/>
          <w:sz w:val="23"/>
          <w:szCs w:val="23"/>
          <w:lang w:val="en-GB"/>
        </w:rPr>
        <w:t>.</w:t>
      </w:r>
    </w:p>
    <w:p w14:paraId="0D2AAA8C" w14:textId="66860CD4" w:rsidR="00F00E3D" w:rsidRPr="0034443E" w:rsidRDefault="00D00253" w:rsidP="00524B79">
      <w:pPr>
        <w:spacing w:line="276" w:lineRule="auto"/>
        <w:rPr>
          <w:rFonts w:asciiTheme="majorHAnsi" w:eastAsia="Calibri Light" w:hAnsiTheme="majorHAnsi" w:cstheme="majorHAnsi"/>
          <w:sz w:val="23"/>
          <w:szCs w:val="23"/>
          <w:lang w:val="en-GB"/>
        </w:rPr>
      </w:pPr>
      <w:r>
        <w:rPr>
          <w:rFonts w:asciiTheme="majorHAnsi" w:eastAsia="Calibri Light" w:hAnsiTheme="majorHAnsi" w:cstheme="majorHAnsi"/>
          <w:sz w:val="23"/>
          <w:szCs w:val="23"/>
          <w:lang w:val="en-GB"/>
        </w:rPr>
        <w:t>O</w:t>
      </w:r>
      <w:r w:rsidR="00F00E3D" w:rsidRPr="0034443E">
        <w:rPr>
          <w:rFonts w:asciiTheme="majorHAnsi" w:eastAsia="Calibri Light" w:hAnsiTheme="majorHAnsi" w:cstheme="majorHAnsi"/>
          <w:sz w:val="23"/>
          <w:szCs w:val="23"/>
          <w:lang w:val="en-GB"/>
        </w:rPr>
        <w:t>ngoing issue</w:t>
      </w:r>
      <w:r>
        <w:rPr>
          <w:rFonts w:asciiTheme="majorHAnsi" w:eastAsia="Calibri Light" w:hAnsiTheme="majorHAnsi" w:cstheme="majorHAnsi"/>
          <w:sz w:val="23"/>
          <w:szCs w:val="23"/>
          <w:lang w:val="en-GB"/>
        </w:rPr>
        <w:t xml:space="preserve">s </w:t>
      </w:r>
      <w:r w:rsidR="000777A4">
        <w:rPr>
          <w:rFonts w:asciiTheme="majorHAnsi" w:eastAsia="Calibri Light" w:hAnsiTheme="majorHAnsi" w:cstheme="majorHAnsi"/>
          <w:sz w:val="23"/>
          <w:szCs w:val="23"/>
          <w:lang w:val="en-GB"/>
        </w:rPr>
        <w:t>around</w:t>
      </w:r>
      <w:r w:rsidR="00F00E3D" w:rsidRPr="0034443E">
        <w:rPr>
          <w:rFonts w:asciiTheme="majorHAnsi" w:eastAsia="Calibri Light" w:hAnsiTheme="majorHAnsi" w:cstheme="majorHAnsi"/>
          <w:sz w:val="23"/>
          <w:szCs w:val="23"/>
          <w:lang w:val="en-GB"/>
        </w:rPr>
        <w:t xml:space="preserve"> employment </w:t>
      </w:r>
      <w:r w:rsidR="000777A4">
        <w:rPr>
          <w:rFonts w:asciiTheme="majorHAnsi" w:eastAsia="Calibri Light" w:hAnsiTheme="majorHAnsi" w:cstheme="majorHAnsi"/>
          <w:sz w:val="23"/>
          <w:szCs w:val="23"/>
          <w:lang w:val="en-GB"/>
        </w:rPr>
        <w:t xml:space="preserve">were </w:t>
      </w:r>
      <w:r w:rsidR="007616AA">
        <w:rPr>
          <w:rFonts w:asciiTheme="majorHAnsi" w:eastAsia="Calibri Light" w:hAnsiTheme="majorHAnsi" w:cstheme="majorHAnsi"/>
          <w:sz w:val="23"/>
          <w:szCs w:val="23"/>
          <w:lang w:val="en-GB"/>
        </w:rPr>
        <w:t>h</w:t>
      </w:r>
      <w:r w:rsidR="009B1AF7">
        <w:rPr>
          <w:rFonts w:asciiTheme="majorHAnsi" w:eastAsia="Calibri Light" w:hAnsiTheme="majorHAnsi" w:cstheme="majorHAnsi"/>
          <w:sz w:val="23"/>
          <w:szCs w:val="23"/>
          <w:lang w:val="en-GB"/>
        </w:rPr>
        <w:t>ighlighted, and expected to get worse</w:t>
      </w:r>
      <w:r w:rsidR="00F00E3D" w:rsidRPr="0034443E">
        <w:rPr>
          <w:rFonts w:asciiTheme="majorHAnsi" w:eastAsia="Calibri Light" w:hAnsiTheme="majorHAnsi" w:cstheme="majorHAnsi"/>
          <w:sz w:val="23"/>
          <w:szCs w:val="23"/>
          <w:lang w:val="en-GB"/>
        </w:rPr>
        <w:t>:</w:t>
      </w:r>
    </w:p>
    <w:p w14:paraId="703A782E" w14:textId="4172AF62" w:rsidR="000777A4" w:rsidRDefault="007E26B1" w:rsidP="00524B79">
      <w:pPr>
        <w:spacing w:line="276" w:lineRule="auto"/>
        <w:ind w:firstLine="720"/>
        <w:rPr>
          <w:rFonts w:asciiTheme="majorHAnsi" w:eastAsia="Calibri Light" w:hAnsiTheme="majorHAnsi" w:cstheme="majorHAnsi"/>
          <w:sz w:val="23"/>
          <w:szCs w:val="23"/>
          <w:lang w:val="en-GB"/>
        </w:rPr>
      </w:pPr>
      <w:r>
        <w:rPr>
          <w:rFonts w:asciiTheme="majorHAnsi" w:eastAsia="Calibri Light" w:hAnsiTheme="majorHAnsi" w:cstheme="majorHAnsi"/>
          <w:sz w:val="23"/>
          <w:szCs w:val="23"/>
          <w:lang w:val="en-GB"/>
        </w:rPr>
        <w:t>U</w:t>
      </w:r>
      <w:r w:rsidR="00F00E3D" w:rsidRPr="0034443E">
        <w:rPr>
          <w:rFonts w:asciiTheme="majorHAnsi" w:eastAsia="Calibri Light" w:hAnsiTheme="majorHAnsi" w:cstheme="majorHAnsi"/>
          <w:sz w:val="23"/>
          <w:szCs w:val="23"/>
          <w:lang w:val="en-GB"/>
        </w:rPr>
        <w:t xml:space="preserve">nemployment is crap in this area, and it </w:t>
      </w:r>
      <w:r>
        <w:rPr>
          <w:rFonts w:asciiTheme="majorHAnsi" w:eastAsia="Calibri Light" w:hAnsiTheme="majorHAnsi" w:cstheme="majorHAnsi"/>
          <w:sz w:val="23"/>
          <w:szCs w:val="23"/>
          <w:lang w:val="en-GB"/>
        </w:rPr>
        <w:t>will only get</w:t>
      </w:r>
      <w:r w:rsidR="00F00E3D" w:rsidRPr="0034443E">
        <w:rPr>
          <w:rFonts w:asciiTheme="majorHAnsi" w:eastAsia="Calibri Light" w:hAnsiTheme="majorHAnsi" w:cstheme="majorHAnsi"/>
          <w:sz w:val="23"/>
          <w:szCs w:val="23"/>
          <w:lang w:val="en-GB"/>
        </w:rPr>
        <w:t xml:space="preserve"> worse with JobKeeper going (P6)</w:t>
      </w:r>
      <w:r w:rsidR="009B1AF7">
        <w:rPr>
          <w:rFonts w:asciiTheme="majorHAnsi" w:eastAsia="Calibri Light" w:hAnsiTheme="majorHAnsi" w:cstheme="majorHAnsi"/>
          <w:sz w:val="23"/>
          <w:szCs w:val="23"/>
          <w:lang w:val="en-GB"/>
        </w:rPr>
        <w:t>.</w:t>
      </w:r>
    </w:p>
    <w:p w14:paraId="096BB893" w14:textId="21A6EAAE" w:rsidR="00F00E3D" w:rsidRPr="0034443E" w:rsidRDefault="00F00E3D" w:rsidP="00524B79">
      <w:pPr>
        <w:spacing w:line="276" w:lineRule="auto"/>
        <w:ind w:left="720"/>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Anyone with a barrier w</w:t>
      </w:r>
      <w:r w:rsidR="000777A4">
        <w:rPr>
          <w:rFonts w:asciiTheme="majorHAnsi" w:eastAsia="Calibri Light" w:hAnsiTheme="majorHAnsi" w:cstheme="majorHAnsi"/>
          <w:sz w:val="23"/>
          <w:szCs w:val="23"/>
          <w:lang w:val="en-GB"/>
        </w:rPr>
        <w:t>as</w:t>
      </w:r>
      <w:r w:rsidRPr="0034443E">
        <w:rPr>
          <w:rFonts w:asciiTheme="majorHAnsi" w:eastAsia="Calibri Light" w:hAnsiTheme="majorHAnsi" w:cstheme="majorHAnsi"/>
          <w:sz w:val="23"/>
          <w:szCs w:val="23"/>
          <w:lang w:val="en-GB"/>
        </w:rPr>
        <w:t xml:space="preserve"> now further disadvantaged. Those who lost jobs got the ones that remained</w:t>
      </w:r>
      <w:r w:rsidR="000A401E">
        <w:rPr>
          <w:rFonts w:asciiTheme="majorHAnsi" w:eastAsia="Calibri Light" w:hAnsiTheme="majorHAnsi" w:cstheme="majorHAnsi"/>
          <w:sz w:val="23"/>
          <w:szCs w:val="23"/>
          <w:lang w:val="en-GB"/>
        </w:rPr>
        <w:t xml:space="preserve">… If you </w:t>
      </w:r>
      <w:r w:rsidRPr="0034443E">
        <w:rPr>
          <w:rFonts w:asciiTheme="majorHAnsi" w:eastAsia="Calibri Light" w:hAnsiTheme="majorHAnsi" w:cstheme="majorHAnsi"/>
          <w:sz w:val="23"/>
          <w:szCs w:val="23"/>
          <w:lang w:val="en-GB"/>
        </w:rPr>
        <w:t>weren’t ready to work there were few opportunities</w:t>
      </w:r>
      <w:r w:rsidR="006F3BFD">
        <w:rPr>
          <w:rFonts w:asciiTheme="majorHAnsi" w:eastAsia="Calibri Light" w:hAnsiTheme="majorHAnsi" w:cstheme="majorHAnsi"/>
          <w:sz w:val="23"/>
          <w:szCs w:val="23"/>
          <w:lang w:val="en-GB"/>
        </w:rPr>
        <w:t>,</w:t>
      </w:r>
      <w:r w:rsidRPr="0034443E">
        <w:rPr>
          <w:rFonts w:asciiTheme="majorHAnsi" w:eastAsia="Calibri Light" w:hAnsiTheme="majorHAnsi" w:cstheme="majorHAnsi"/>
          <w:sz w:val="23"/>
          <w:szCs w:val="23"/>
          <w:lang w:val="en-GB"/>
        </w:rPr>
        <w:t xml:space="preserve"> then they disappeared (P8)</w:t>
      </w:r>
      <w:r w:rsidR="000777A4">
        <w:rPr>
          <w:rFonts w:asciiTheme="majorHAnsi" w:eastAsia="Calibri Light" w:hAnsiTheme="majorHAnsi" w:cstheme="majorHAnsi"/>
          <w:sz w:val="23"/>
          <w:szCs w:val="23"/>
          <w:lang w:val="en-GB"/>
        </w:rPr>
        <w:t>.</w:t>
      </w:r>
    </w:p>
    <w:p w14:paraId="04949461" w14:textId="77777777" w:rsidR="00F00E3D" w:rsidRPr="007616AA" w:rsidRDefault="00F00E3D" w:rsidP="00524B79">
      <w:pPr>
        <w:spacing w:line="276" w:lineRule="auto"/>
        <w:rPr>
          <w:rFonts w:eastAsia="Calibri Light" w:cstheme="majorHAnsi"/>
          <w:b/>
          <w:bCs/>
          <w:sz w:val="25"/>
          <w:szCs w:val="25"/>
          <w:lang w:val="en-GB"/>
        </w:rPr>
      </w:pPr>
      <w:r w:rsidRPr="007616AA">
        <w:rPr>
          <w:rFonts w:eastAsia="Calibri Light" w:cstheme="majorHAnsi"/>
          <w:b/>
          <w:bCs/>
          <w:sz w:val="25"/>
          <w:szCs w:val="25"/>
          <w:lang w:val="en-GB"/>
        </w:rPr>
        <w:t>Education</w:t>
      </w:r>
    </w:p>
    <w:p w14:paraId="530D10D3" w14:textId="254B443A" w:rsidR="00F00E3D" w:rsidRPr="0034443E" w:rsidRDefault="00940D80" w:rsidP="00524B79">
      <w:pPr>
        <w:spacing w:line="276" w:lineRule="auto"/>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COVID</w:t>
      </w:r>
      <w:r w:rsidR="00F00E3D" w:rsidRPr="0034443E">
        <w:rPr>
          <w:rFonts w:asciiTheme="majorHAnsi" w:eastAsia="Calibri Light" w:hAnsiTheme="majorHAnsi" w:cstheme="majorHAnsi"/>
          <w:sz w:val="23"/>
          <w:szCs w:val="23"/>
          <w:lang w:val="en-GB"/>
        </w:rPr>
        <w:t>-19</w:t>
      </w:r>
      <w:r w:rsidR="00524B79">
        <w:rPr>
          <w:rFonts w:asciiTheme="majorHAnsi" w:eastAsia="Calibri Light" w:hAnsiTheme="majorHAnsi" w:cstheme="majorHAnsi"/>
          <w:sz w:val="23"/>
          <w:szCs w:val="23"/>
          <w:lang w:val="en-GB"/>
        </w:rPr>
        <w:t>’s major impact</w:t>
      </w:r>
      <w:r w:rsidR="00F00E3D" w:rsidRPr="0034443E">
        <w:rPr>
          <w:rFonts w:asciiTheme="majorHAnsi" w:eastAsia="Calibri Light" w:hAnsiTheme="majorHAnsi" w:cstheme="majorHAnsi"/>
          <w:sz w:val="23"/>
          <w:szCs w:val="23"/>
          <w:lang w:val="en-GB"/>
        </w:rPr>
        <w:t xml:space="preserve"> on </w:t>
      </w:r>
      <w:r w:rsidR="00524B79">
        <w:rPr>
          <w:rFonts w:asciiTheme="majorHAnsi" w:eastAsia="Calibri Light" w:hAnsiTheme="majorHAnsi" w:cstheme="majorHAnsi"/>
          <w:sz w:val="23"/>
          <w:szCs w:val="23"/>
          <w:lang w:val="en-GB"/>
        </w:rPr>
        <w:t>e</w:t>
      </w:r>
      <w:r w:rsidR="00F00E3D" w:rsidRPr="0034443E">
        <w:rPr>
          <w:rFonts w:asciiTheme="majorHAnsi" w:eastAsia="Calibri Light" w:hAnsiTheme="majorHAnsi" w:cstheme="majorHAnsi"/>
          <w:sz w:val="23"/>
          <w:szCs w:val="23"/>
          <w:lang w:val="en-GB"/>
        </w:rPr>
        <w:t xml:space="preserve">ducation </w:t>
      </w:r>
      <w:r w:rsidR="00FF552B">
        <w:rPr>
          <w:rFonts w:asciiTheme="majorHAnsi" w:eastAsia="Calibri Light" w:hAnsiTheme="majorHAnsi" w:cstheme="majorHAnsi"/>
          <w:sz w:val="23"/>
          <w:szCs w:val="23"/>
          <w:lang w:val="en-GB"/>
        </w:rPr>
        <w:t>was</w:t>
      </w:r>
      <w:r w:rsidR="00F00E3D" w:rsidRPr="0034443E">
        <w:rPr>
          <w:rFonts w:asciiTheme="majorHAnsi" w:eastAsia="Calibri Light" w:hAnsiTheme="majorHAnsi" w:cstheme="majorHAnsi"/>
          <w:sz w:val="23"/>
          <w:szCs w:val="23"/>
          <w:lang w:val="en-GB"/>
        </w:rPr>
        <w:t xml:space="preserve"> school closures </w:t>
      </w:r>
      <w:r w:rsidR="00FF552B">
        <w:rPr>
          <w:rFonts w:asciiTheme="majorHAnsi" w:eastAsia="Calibri Light" w:hAnsiTheme="majorHAnsi" w:cstheme="majorHAnsi"/>
          <w:sz w:val="23"/>
          <w:szCs w:val="23"/>
          <w:lang w:val="en-GB"/>
        </w:rPr>
        <w:t>(</w:t>
      </w:r>
      <w:r w:rsidR="00F00E3D" w:rsidRPr="0034443E">
        <w:rPr>
          <w:rFonts w:asciiTheme="majorHAnsi" w:eastAsia="Calibri Light" w:hAnsiTheme="majorHAnsi" w:cstheme="majorHAnsi"/>
          <w:sz w:val="23"/>
          <w:szCs w:val="23"/>
          <w:lang w:val="en-GB"/>
        </w:rPr>
        <w:t>except for</w:t>
      </w:r>
      <w:r w:rsidR="00FF552B">
        <w:rPr>
          <w:rFonts w:asciiTheme="majorHAnsi" w:eastAsia="Calibri Light" w:hAnsiTheme="majorHAnsi" w:cstheme="majorHAnsi"/>
          <w:sz w:val="23"/>
          <w:szCs w:val="23"/>
          <w:lang w:val="en-GB"/>
        </w:rPr>
        <w:t xml:space="preserve"> children of</w:t>
      </w:r>
      <w:r w:rsidR="00F00E3D" w:rsidRPr="0034443E">
        <w:rPr>
          <w:rFonts w:asciiTheme="majorHAnsi" w:eastAsia="Calibri Light" w:hAnsiTheme="majorHAnsi" w:cstheme="majorHAnsi"/>
          <w:sz w:val="23"/>
          <w:szCs w:val="23"/>
          <w:lang w:val="en-GB"/>
        </w:rPr>
        <w:t xml:space="preserve"> “</w:t>
      </w:r>
      <w:r w:rsidR="00FF552B">
        <w:rPr>
          <w:rFonts w:asciiTheme="majorHAnsi" w:eastAsia="Calibri Light" w:hAnsiTheme="majorHAnsi" w:cstheme="majorHAnsi"/>
          <w:sz w:val="23"/>
          <w:szCs w:val="23"/>
          <w:lang w:val="en-GB"/>
        </w:rPr>
        <w:t>essential</w:t>
      </w:r>
      <w:r w:rsidR="00F00E3D" w:rsidRPr="0034443E">
        <w:rPr>
          <w:rFonts w:asciiTheme="majorHAnsi" w:eastAsia="Calibri Light" w:hAnsiTheme="majorHAnsi" w:cstheme="majorHAnsi"/>
          <w:sz w:val="23"/>
          <w:szCs w:val="23"/>
          <w:lang w:val="en-GB"/>
        </w:rPr>
        <w:t xml:space="preserve"> workers”</w:t>
      </w:r>
      <w:r w:rsidR="00FF552B">
        <w:rPr>
          <w:rFonts w:asciiTheme="majorHAnsi" w:eastAsia="Calibri Light" w:hAnsiTheme="majorHAnsi" w:cstheme="majorHAnsi"/>
          <w:sz w:val="23"/>
          <w:szCs w:val="23"/>
          <w:lang w:val="en-GB"/>
        </w:rPr>
        <w:t>)</w:t>
      </w:r>
      <w:r w:rsidR="00F00E3D" w:rsidRPr="0034443E">
        <w:rPr>
          <w:rFonts w:asciiTheme="majorHAnsi" w:eastAsia="Calibri Light" w:hAnsiTheme="majorHAnsi" w:cstheme="majorHAnsi"/>
          <w:sz w:val="23"/>
          <w:szCs w:val="23"/>
          <w:lang w:val="en-GB"/>
        </w:rPr>
        <w:t xml:space="preserve"> and</w:t>
      </w:r>
      <w:r w:rsidR="00FF552B">
        <w:rPr>
          <w:rFonts w:asciiTheme="majorHAnsi" w:eastAsia="Calibri Light" w:hAnsiTheme="majorHAnsi" w:cstheme="majorHAnsi"/>
          <w:sz w:val="23"/>
          <w:szCs w:val="23"/>
          <w:lang w:val="en-GB"/>
        </w:rPr>
        <w:t xml:space="preserve"> subsequent</w:t>
      </w:r>
      <w:r w:rsidR="00F00E3D" w:rsidRPr="0034443E">
        <w:rPr>
          <w:rFonts w:asciiTheme="majorHAnsi" w:eastAsia="Calibri Light" w:hAnsiTheme="majorHAnsi" w:cstheme="majorHAnsi"/>
          <w:sz w:val="23"/>
          <w:szCs w:val="23"/>
          <w:lang w:val="en-GB"/>
        </w:rPr>
        <w:t xml:space="preserve"> forc</w:t>
      </w:r>
      <w:r w:rsidR="00FF552B">
        <w:rPr>
          <w:rFonts w:asciiTheme="majorHAnsi" w:eastAsia="Calibri Light" w:hAnsiTheme="majorHAnsi" w:cstheme="majorHAnsi"/>
          <w:sz w:val="23"/>
          <w:szCs w:val="23"/>
          <w:lang w:val="en-GB"/>
        </w:rPr>
        <w:t>ed shift</w:t>
      </w:r>
      <w:r w:rsidR="00F00E3D" w:rsidRPr="0034443E">
        <w:rPr>
          <w:rFonts w:asciiTheme="majorHAnsi" w:eastAsia="Calibri Light" w:hAnsiTheme="majorHAnsi" w:cstheme="majorHAnsi"/>
          <w:sz w:val="23"/>
          <w:szCs w:val="23"/>
          <w:lang w:val="en-GB"/>
        </w:rPr>
        <w:t xml:space="preserve"> of </w:t>
      </w:r>
      <w:r w:rsidR="00FF552B">
        <w:rPr>
          <w:rFonts w:asciiTheme="majorHAnsi" w:eastAsia="Calibri Light" w:hAnsiTheme="majorHAnsi" w:cstheme="majorHAnsi"/>
          <w:sz w:val="23"/>
          <w:szCs w:val="23"/>
          <w:lang w:val="en-GB"/>
        </w:rPr>
        <w:t>learning</w:t>
      </w:r>
      <w:r w:rsidR="00F00E3D" w:rsidRPr="0034443E">
        <w:rPr>
          <w:rFonts w:asciiTheme="majorHAnsi" w:eastAsia="Calibri Light" w:hAnsiTheme="majorHAnsi" w:cstheme="majorHAnsi"/>
          <w:sz w:val="23"/>
          <w:szCs w:val="23"/>
          <w:lang w:val="en-GB"/>
        </w:rPr>
        <w:t xml:space="preserve"> activit</w:t>
      </w:r>
      <w:r w:rsidR="00801652">
        <w:rPr>
          <w:rFonts w:asciiTheme="majorHAnsi" w:eastAsia="Calibri Light" w:hAnsiTheme="majorHAnsi" w:cstheme="majorHAnsi"/>
          <w:sz w:val="23"/>
          <w:szCs w:val="23"/>
          <w:lang w:val="en-GB"/>
        </w:rPr>
        <w:t>ies</w:t>
      </w:r>
      <w:r w:rsidR="00F00E3D" w:rsidRPr="0034443E">
        <w:rPr>
          <w:rFonts w:asciiTheme="majorHAnsi" w:eastAsia="Calibri Light" w:hAnsiTheme="majorHAnsi" w:cstheme="majorHAnsi"/>
          <w:sz w:val="23"/>
          <w:szCs w:val="23"/>
          <w:lang w:val="en-GB"/>
        </w:rPr>
        <w:t xml:space="preserve"> online. </w:t>
      </w:r>
      <w:r w:rsidR="00801652">
        <w:rPr>
          <w:rFonts w:asciiTheme="majorHAnsi" w:eastAsia="Calibri Light" w:hAnsiTheme="majorHAnsi" w:cstheme="majorHAnsi"/>
          <w:sz w:val="23"/>
          <w:szCs w:val="23"/>
          <w:lang w:val="en-GB"/>
        </w:rPr>
        <w:t>This was</w:t>
      </w:r>
      <w:r w:rsidR="00F00E3D" w:rsidRPr="0034443E">
        <w:rPr>
          <w:rFonts w:asciiTheme="majorHAnsi" w:eastAsia="Calibri Light" w:hAnsiTheme="majorHAnsi" w:cstheme="majorHAnsi"/>
          <w:sz w:val="23"/>
          <w:szCs w:val="23"/>
          <w:lang w:val="en-GB"/>
        </w:rPr>
        <w:t xml:space="preserve"> eventually</w:t>
      </w:r>
      <w:r w:rsidR="00801652">
        <w:rPr>
          <w:rFonts w:asciiTheme="majorHAnsi" w:eastAsia="Calibri Light" w:hAnsiTheme="majorHAnsi" w:cstheme="majorHAnsi"/>
          <w:sz w:val="23"/>
          <w:szCs w:val="23"/>
          <w:lang w:val="en-GB"/>
        </w:rPr>
        <w:t xml:space="preserve"> supported</w:t>
      </w:r>
      <w:r w:rsidR="00F00E3D" w:rsidRPr="0034443E">
        <w:rPr>
          <w:rFonts w:asciiTheme="majorHAnsi" w:eastAsia="Calibri Light" w:hAnsiTheme="majorHAnsi" w:cstheme="majorHAnsi"/>
          <w:sz w:val="23"/>
          <w:szCs w:val="23"/>
          <w:lang w:val="en-GB"/>
        </w:rPr>
        <w:t xml:space="preserve"> by the Department of Education </w:t>
      </w:r>
      <w:r w:rsidR="00801652">
        <w:rPr>
          <w:rFonts w:asciiTheme="majorHAnsi" w:eastAsia="Calibri Light" w:hAnsiTheme="majorHAnsi" w:cstheme="majorHAnsi"/>
          <w:sz w:val="23"/>
          <w:szCs w:val="23"/>
          <w:lang w:val="en-GB"/>
        </w:rPr>
        <w:t>providing</w:t>
      </w:r>
      <w:r w:rsidR="00F00E3D" w:rsidRPr="0034443E">
        <w:rPr>
          <w:rFonts w:asciiTheme="majorHAnsi" w:eastAsia="Calibri Light" w:hAnsiTheme="majorHAnsi" w:cstheme="majorHAnsi"/>
          <w:sz w:val="23"/>
          <w:szCs w:val="23"/>
          <w:lang w:val="en-GB"/>
        </w:rPr>
        <w:t xml:space="preserve"> </w:t>
      </w:r>
      <w:r w:rsidR="00801652">
        <w:rPr>
          <w:rFonts w:asciiTheme="majorHAnsi" w:eastAsia="Calibri Light" w:hAnsiTheme="majorHAnsi" w:cstheme="majorHAnsi"/>
          <w:sz w:val="23"/>
          <w:szCs w:val="23"/>
          <w:lang w:val="en-GB"/>
        </w:rPr>
        <w:t>tablets,</w:t>
      </w:r>
      <w:r w:rsidR="00F00E3D" w:rsidRPr="0034443E">
        <w:rPr>
          <w:rFonts w:asciiTheme="majorHAnsi" w:eastAsia="Calibri Light" w:hAnsiTheme="majorHAnsi" w:cstheme="majorHAnsi"/>
          <w:sz w:val="23"/>
          <w:szCs w:val="23"/>
          <w:lang w:val="en-GB"/>
        </w:rPr>
        <w:t xml:space="preserve"> and led to some heroic efforts to deliver materials and stay connected with students by the schools in the areas. But some additional gaps were exposed during this experience, particular</w:t>
      </w:r>
      <w:r w:rsidR="00801652">
        <w:rPr>
          <w:rFonts w:asciiTheme="majorHAnsi" w:eastAsia="Calibri Light" w:hAnsiTheme="majorHAnsi" w:cstheme="majorHAnsi"/>
          <w:sz w:val="23"/>
          <w:szCs w:val="23"/>
          <w:lang w:val="en-GB"/>
        </w:rPr>
        <w:t>ly</w:t>
      </w:r>
      <w:r w:rsidR="00F00E3D" w:rsidRPr="0034443E">
        <w:rPr>
          <w:rFonts w:asciiTheme="majorHAnsi" w:eastAsia="Calibri Light" w:hAnsiTheme="majorHAnsi" w:cstheme="majorHAnsi"/>
          <w:sz w:val="23"/>
          <w:szCs w:val="23"/>
          <w:lang w:val="en-GB"/>
        </w:rPr>
        <w:t xml:space="preserve"> the relatively low level</w:t>
      </w:r>
      <w:r w:rsidR="00524B79">
        <w:rPr>
          <w:rFonts w:asciiTheme="majorHAnsi" w:eastAsia="Calibri Light" w:hAnsiTheme="majorHAnsi" w:cstheme="majorHAnsi"/>
          <w:sz w:val="23"/>
          <w:szCs w:val="23"/>
          <w:lang w:val="en-GB"/>
        </w:rPr>
        <w:t>s</w:t>
      </w:r>
      <w:r w:rsidR="00F00E3D" w:rsidRPr="0034443E">
        <w:rPr>
          <w:rFonts w:asciiTheme="majorHAnsi" w:eastAsia="Calibri Light" w:hAnsiTheme="majorHAnsi" w:cstheme="majorHAnsi"/>
          <w:sz w:val="23"/>
          <w:szCs w:val="23"/>
          <w:lang w:val="en-GB"/>
        </w:rPr>
        <w:t xml:space="preserve"> of education </w:t>
      </w:r>
      <w:r w:rsidR="00801652">
        <w:rPr>
          <w:rFonts w:asciiTheme="majorHAnsi" w:eastAsia="Calibri Light" w:hAnsiTheme="majorHAnsi" w:cstheme="majorHAnsi"/>
          <w:sz w:val="23"/>
          <w:szCs w:val="23"/>
          <w:lang w:val="en-GB"/>
        </w:rPr>
        <w:t>amongst local</w:t>
      </w:r>
      <w:r w:rsidR="00F00E3D" w:rsidRPr="0034443E">
        <w:rPr>
          <w:rFonts w:asciiTheme="majorHAnsi" w:eastAsia="Calibri Light" w:hAnsiTheme="majorHAnsi" w:cstheme="majorHAnsi"/>
          <w:sz w:val="23"/>
          <w:szCs w:val="23"/>
          <w:lang w:val="en-GB"/>
        </w:rPr>
        <w:t xml:space="preserve"> parents:</w:t>
      </w:r>
    </w:p>
    <w:p w14:paraId="374B4259" w14:textId="2665FF0F" w:rsidR="00F00E3D" w:rsidRPr="0034443E" w:rsidRDefault="00F00E3D" w:rsidP="00524B79">
      <w:pPr>
        <w:spacing w:line="276" w:lineRule="auto"/>
        <w:ind w:left="720"/>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The level of adult education is a challenge</w:t>
      </w:r>
      <w:r w:rsidR="000A401E">
        <w:rPr>
          <w:rFonts w:asciiTheme="majorHAnsi" w:eastAsia="Calibri Light" w:hAnsiTheme="majorHAnsi" w:cstheme="majorHAnsi"/>
          <w:sz w:val="23"/>
          <w:szCs w:val="23"/>
          <w:lang w:val="en-GB"/>
        </w:rPr>
        <w:t xml:space="preserve">: [it] </w:t>
      </w:r>
      <w:r w:rsidRPr="0034443E">
        <w:rPr>
          <w:rFonts w:asciiTheme="majorHAnsi" w:eastAsia="Calibri Light" w:hAnsiTheme="majorHAnsi" w:cstheme="majorHAnsi"/>
          <w:sz w:val="23"/>
          <w:szCs w:val="23"/>
          <w:lang w:val="en-GB"/>
        </w:rPr>
        <w:t xml:space="preserve">limited the amount of help </w:t>
      </w:r>
      <w:r w:rsidR="005E414E" w:rsidRPr="0034443E">
        <w:rPr>
          <w:rFonts w:asciiTheme="majorHAnsi" w:eastAsia="Calibri Light" w:hAnsiTheme="majorHAnsi" w:cstheme="majorHAnsi"/>
          <w:sz w:val="23"/>
          <w:szCs w:val="23"/>
          <w:lang w:val="en-GB"/>
        </w:rPr>
        <w:t>[parents]</w:t>
      </w:r>
      <w:r w:rsidRPr="0034443E">
        <w:rPr>
          <w:rFonts w:asciiTheme="majorHAnsi" w:eastAsia="Calibri Light" w:hAnsiTheme="majorHAnsi" w:cstheme="majorHAnsi"/>
          <w:sz w:val="23"/>
          <w:szCs w:val="23"/>
          <w:lang w:val="en-GB"/>
        </w:rPr>
        <w:t xml:space="preserve"> could give. So we gave lots of detail in our </w:t>
      </w:r>
      <w:r w:rsidR="005E414E" w:rsidRPr="0034443E">
        <w:rPr>
          <w:rFonts w:asciiTheme="majorHAnsi" w:eastAsia="Calibri Light" w:hAnsiTheme="majorHAnsi" w:cstheme="majorHAnsi"/>
          <w:sz w:val="23"/>
          <w:szCs w:val="23"/>
          <w:lang w:val="en-GB"/>
        </w:rPr>
        <w:t>[home-school</w:t>
      </w:r>
      <w:r w:rsidR="00360316">
        <w:rPr>
          <w:rFonts w:asciiTheme="majorHAnsi" w:eastAsia="Calibri Light" w:hAnsiTheme="majorHAnsi" w:cstheme="majorHAnsi"/>
          <w:sz w:val="23"/>
          <w:szCs w:val="23"/>
          <w:lang w:val="en-GB"/>
        </w:rPr>
        <w:t>ing</w:t>
      </w:r>
      <w:r w:rsidR="005E414E" w:rsidRPr="0034443E">
        <w:rPr>
          <w:rFonts w:asciiTheme="majorHAnsi" w:eastAsia="Calibri Light" w:hAnsiTheme="majorHAnsi" w:cstheme="majorHAnsi"/>
          <w:sz w:val="23"/>
          <w:szCs w:val="23"/>
          <w:lang w:val="en-GB"/>
        </w:rPr>
        <w:t xml:space="preserve">] </w:t>
      </w:r>
      <w:r w:rsidRPr="0034443E">
        <w:rPr>
          <w:rFonts w:asciiTheme="majorHAnsi" w:eastAsia="Calibri Light" w:hAnsiTheme="majorHAnsi" w:cstheme="majorHAnsi"/>
          <w:sz w:val="23"/>
          <w:szCs w:val="23"/>
          <w:lang w:val="en-GB"/>
        </w:rPr>
        <w:t>packages</w:t>
      </w:r>
      <w:r w:rsidR="005E414E" w:rsidRPr="0034443E">
        <w:rPr>
          <w:rFonts w:asciiTheme="majorHAnsi" w:eastAsia="Calibri Light" w:hAnsiTheme="majorHAnsi" w:cstheme="majorHAnsi"/>
          <w:sz w:val="23"/>
          <w:szCs w:val="23"/>
          <w:lang w:val="en-GB"/>
        </w:rPr>
        <w:t>,</w:t>
      </w:r>
      <w:r w:rsidRPr="0034443E">
        <w:rPr>
          <w:rFonts w:asciiTheme="majorHAnsi" w:eastAsia="Calibri Light" w:hAnsiTheme="majorHAnsi" w:cstheme="majorHAnsi"/>
          <w:sz w:val="23"/>
          <w:szCs w:val="23"/>
          <w:lang w:val="en-GB"/>
        </w:rPr>
        <w:t xml:space="preserve"> and some settling and reassurance for parents to support their kids at home, especially in establishing a routine and with discipline. Some kids held their own and some fell back and did not engage despite our efforts (P7)</w:t>
      </w:r>
      <w:r w:rsidR="00524B79">
        <w:rPr>
          <w:rFonts w:asciiTheme="majorHAnsi" w:eastAsia="Calibri Light" w:hAnsiTheme="majorHAnsi" w:cstheme="majorHAnsi"/>
          <w:sz w:val="23"/>
          <w:szCs w:val="23"/>
          <w:lang w:val="en-GB"/>
        </w:rPr>
        <w:t>.</w:t>
      </w:r>
    </w:p>
    <w:p w14:paraId="5D3D260C" w14:textId="14BE1830" w:rsidR="00F00E3D" w:rsidRPr="0034443E" w:rsidRDefault="005E414E" w:rsidP="00524B79">
      <w:pPr>
        <w:spacing w:line="276" w:lineRule="auto"/>
        <w:rPr>
          <w:rFonts w:asciiTheme="majorHAnsi" w:eastAsia="Calibri Light" w:hAnsiTheme="majorHAnsi" w:cstheme="majorHAnsi"/>
          <w:sz w:val="23"/>
          <w:szCs w:val="23"/>
        </w:rPr>
      </w:pPr>
      <w:r w:rsidRPr="0034443E">
        <w:rPr>
          <w:rFonts w:asciiTheme="majorHAnsi" w:eastAsia="Calibri Light" w:hAnsiTheme="majorHAnsi" w:cstheme="majorHAnsi"/>
          <w:sz w:val="23"/>
          <w:szCs w:val="23"/>
        </w:rPr>
        <w:t xml:space="preserve">The pandemic also exposed and </w:t>
      </w:r>
      <w:r w:rsidR="00524B79">
        <w:rPr>
          <w:rFonts w:asciiTheme="majorHAnsi" w:eastAsia="Calibri Light" w:hAnsiTheme="majorHAnsi" w:cstheme="majorHAnsi"/>
          <w:sz w:val="23"/>
          <w:szCs w:val="23"/>
        </w:rPr>
        <w:t>amplified</w:t>
      </w:r>
      <w:r w:rsidR="00F00E3D" w:rsidRPr="0034443E">
        <w:rPr>
          <w:rFonts w:asciiTheme="majorHAnsi" w:eastAsia="Calibri Light" w:hAnsiTheme="majorHAnsi" w:cstheme="majorHAnsi"/>
          <w:sz w:val="23"/>
          <w:szCs w:val="23"/>
        </w:rPr>
        <w:t xml:space="preserve"> </w:t>
      </w:r>
      <w:r w:rsidRPr="0034443E">
        <w:rPr>
          <w:rFonts w:asciiTheme="majorHAnsi" w:eastAsia="Calibri Light" w:hAnsiTheme="majorHAnsi" w:cstheme="majorHAnsi"/>
          <w:sz w:val="23"/>
          <w:szCs w:val="23"/>
        </w:rPr>
        <w:t xml:space="preserve">gaps </w:t>
      </w:r>
      <w:r w:rsidR="00F00E3D" w:rsidRPr="0034443E">
        <w:rPr>
          <w:rFonts w:asciiTheme="majorHAnsi" w:eastAsia="Calibri Light" w:hAnsiTheme="majorHAnsi" w:cstheme="majorHAnsi"/>
          <w:sz w:val="23"/>
          <w:szCs w:val="23"/>
        </w:rPr>
        <w:t>for particular cohorts:</w:t>
      </w:r>
    </w:p>
    <w:p w14:paraId="0DE992C6" w14:textId="7A0EDEBD" w:rsidR="00F00E3D" w:rsidRPr="0034443E" w:rsidRDefault="00F00E3D" w:rsidP="008843E8">
      <w:pPr>
        <w:spacing w:line="276" w:lineRule="auto"/>
        <w:ind w:left="720"/>
        <w:rPr>
          <w:rFonts w:asciiTheme="majorHAnsi" w:eastAsia="Calibri Light" w:hAnsiTheme="majorHAnsi" w:cstheme="majorBidi"/>
          <w:sz w:val="23"/>
          <w:szCs w:val="23"/>
          <w:lang w:val="en-GB"/>
        </w:rPr>
      </w:pPr>
      <w:r w:rsidRPr="0034443E">
        <w:rPr>
          <w:rFonts w:asciiTheme="majorHAnsi" w:eastAsia="Calibri Light" w:hAnsiTheme="majorHAnsi" w:cstheme="majorBidi"/>
          <w:sz w:val="23"/>
          <w:szCs w:val="23"/>
          <w:lang w:val="en-GB"/>
        </w:rPr>
        <w:lastRenderedPageBreak/>
        <w:t>The community is rich and has vulnerability. It presents specific challenges</w:t>
      </w:r>
      <w:r w:rsidR="005E414E" w:rsidRPr="0034443E">
        <w:rPr>
          <w:rFonts w:asciiTheme="majorHAnsi" w:eastAsia="Calibri Light" w:hAnsiTheme="majorHAnsi" w:cstheme="majorBidi"/>
          <w:sz w:val="23"/>
          <w:szCs w:val="23"/>
          <w:lang w:val="en-GB"/>
        </w:rPr>
        <w:t xml:space="preserve">. For </w:t>
      </w:r>
      <w:r w:rsidR="00203685" w:rsidRPr="0034443E">
        <w:rPr>
          <w:rFonts w:asciiTheme="majorHAnsi" w:eastAsia="Calibri Light" w:hAnsiTheme="majorHAnsi" w:cstheme="majorBidi"/>
          <w:sz w:val="23"/>
          <w:szCs w:val="23"/>
          <w:lang w:val="en-GB"/>
        </w:rPr>
        <w:t>example,</w:t>
      </w:r>
      <w:r w:rsidRPr="0034443E">
        <w:rPr>
          <w:rFonts w:asciiTheme="majorHAnsi" w:eastAsia="Calibri Light" w:hAnsiTheme="majorHAnsi" w:cstheme="majorBidi"/>
          <w:sz w:val="23"/>
          <w:szCs w:val="23"/>
          <w:lang w:val="en-GB"/>
        </w:rPr>
        <w:t xml:space="preserve"> </w:t>
      </w:r>
      <w:r w:rsidR="005E414E" w:rsidRPr="0034443E">
        <w:rPr>
          <w:rFonts w:asciiTheme="majorHAnsi" w:eastAsia="Calibri Light" w:hAnsiTheme="majorHAnsi" w:cstheme="majorBidi"/>
          <w:sz w:val="23"/>
          <w:szCs w:val="23"/>
          <w:lang w:val="en-GB"/>
        </w:rPr>
        <w:t>the s</w:t>
      </w:r>
      <w:r w:rsidRPr="0034443E">
        <w:rPr>
          <w:rFonts w:asciiTheme="majorHAnsi" w:eastAsia="Calibri Light" w:hAnsiTheme="majorHAnsi" w:cstheme="majorBidi"/>
          <w:sz w:val="23"/>
          <w:szCs w:val="23"/>
          <w:lang w:val="en-GB"/>
        </w:rPr>
        <w:t>chool has 100 ATSI students</w:t>
      </w:r>
      <w:r w:rsidR="005E414E" w:rsidRPr="0034443E">
        <w:rPr>
          <w:rFonts w:asciiTheme="majorHAnsi" w:eastAsia="Calibri Light" w:hAnsiTheme="majorHAnsi" w:cstheme="majorBidi"/>
          <w:sz w:val="23"/>
          <w:szCs w:val="23"/>
          <w:lang w:val="en-GB"/>
        </w:rPr>
        <w:t>,</w:t>
      </w:r>
      <w:r w:rsidRPr="0034443E">
        <w:rPr>
          <w:rFonts w:asciiTheme="majorHAnsi" w:eastAsia="Calibri Light" w:hAnsiTheme="majorHAnsi" w:cstheme="majorBidi"/>
          <w:sz w:val="23"/>
          <w:szCs w:val="23"/>
          <w:lang w:val="en-GB"/>
        </w:rPr>
        <w:t xml:space="preserve"> 140 with a disability</w:t>
      </w:r>
      <w:r w:rsidR="005E414E" w:rsidRPr="0034443E">
        <w:rPr>
          <w:rFonts w:asciiTheme="majorHAnsi" w:eastAsia="Calibri Light" w:hAnsiTheme="majorHAnsi" w:cstheme="majorBidi"/>
          <w:sz w:val="23"/>
          <w:szCs w:val="23"/>
          <w:lang w:val="en-GB"/>
        </w:rPr>
        <w:t>,</w:t>
      </w:r>
      <w:r w:rsidRPr="0034443E">
        <w:rPr>
          <w:rFonts w:asciiTheme="majorHAnsi" w:eastAsia="Calibri Light" w:hAnsiTheme="majorHAnsi" w:cstheme="majorBidi"/>
          <w:sz w:val="23"/>
          <w:szCs w:val="23"/>
          <w:lang w:val="en-GB"/>
        </w:rPr>
        <w:t xml:space="preserve"> and one third are from CALD backgrounds. So we need dedicated programs for all of them. How do we give voice to this diversity? (P3)</w:t>
      </w:r>
    </w:p>
    <w:p w14:paraId="54B0656F" w14:textId="77777777" w:rsidR="00F00E3D" w:rsidRPr="007616AA" w:rsidRDefault="00F00E3D" w:rsidP="008843E8">
      <w:pPr>
        <w:spacing w:line="276" w:lineRule="auto"/>
        <w:rPr>
          <w:rFonts w:eastAsia="Calibri Light" w:cstheme="minorHAnsi"/>
          <w:b/>
          <w:bCs/>
          <w:sz w:val="25"/>
          <w:szCs w:val="25"/>
          <w:lang w:val="en-GB"/>
        </w:rPr>
      </w:pPr>
      <w:r w:rsidRPr="007616AA">
        <w:rPr>
          <w:rFonts w:eastAsia="Calibri Light" w:cstheme="minorHAnsi"/>
          <w:b/>
          <w:bCs/>
          <w:sz w:val="25"/>
          <w:szCs w:val="25"/>
          <w:lang w:val="en-GB"/>
        </w:rPr>
        <w:t>Housing</w:t>
      </w:r>
    </w:p>
    <w:p w14:paraId="0E303350" w14:textId="6B70ACAB" w:rsidR="00F00E3D" w:rsidRPr="0034443E" w:rsidRDefault="005E414E" w:rsidP="008843E8">
      <w:pPr>
        <w:spacing w:line="276" w:lineRule="auto"/>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 xml:space="preserve">During the first wave of the </w:t>
      </w:r>
      <w:r w:rsidR="00F00E3D" w:rsidRPr="0034443E">
        <w:rPr>
          <w:rFonts w:asciiTheme="majorHAnsi" w:eastAsia="Calibri Light" w:hAnsiTheme="majorHAnsi" w:cstheme="majorHAnsi"/>
          <w:sz w:val="23"/>
          <w:szCs w:val="23"/>
          <w:lang w:val="en-GB"/>
        </w:rPr>
        <w:t xml:space="preserve">pandemic, rough sleepers were taken off the streets and </w:t>
      </w:r>
      <w:r w:rsidRPr="0034443E">
        <w:rPr>
          <w:rFonts w:asciiTheme="majorHAnsi" w:eastAsia="Calibri Light" w:hAnsiTheme="majorHAnsi" w:cstheme="majorHAnsi"/>
          <w:sz w:val="23"/>
          <w:szCs w:val="23"/>
          <w:lang w:val="en-GB"/>
        </w:rPr>
        <w:t>placed in</w:t>
      </w:r>
      <w:r w:rsidR="00F00E3D" w:rsidRPr="0034443E">
        <w:rPr>
          <w:rFonts w:asciiTheme="majorHAnsi" w:eastAsia="Calibri Light" w:hAnsiTheme="majorHAnsi" w:cstheme="majorHAnsi"/>
          <w:sz w:val="23"/>
          <w:szCs w:val="23"/>
          <w:lang w:val="en-GB"/>
        </w:rPr>
        <w:t xml:space="preserve"> hotels and other temporary accommodation. But as </w:t>
      </w:r>
      <w:r w:rsidR="007E26B1">
        <w:rPr>
          <w:rFonts w:asciiTheme="majorHAnsi" w:eastAsia="Calibri Light" w:hAnsiTheme="majorHAnsi" w:cstheme="majorHAnsi"/>
          <w:sz w:val="23"/>
          <w:szCs w:val="23"/>
          <w:lang w:val="en-GB"/>
        </w:rPr>
        <w:t xml:space="preserve">several </w:t>
      </w:r>
      <w:r w:rsidR="008843E8">
        <w:rPr>
          <w:rFonts w:asciiTheme="majorHAnsi" w:eastAsia="Calibri Light" w:hAnsiTheme="majorHAnsi" w:cstheme="majorHAnsi"/>
          <w:sz w:val="23"/>
          <w:szCs w:val="23"/>
          <w:lang w:val="en-GB"/>
        </w:rPr>
        <w:t>informants</w:t>
      </w:r>
      <w:r w:rsidR="007E26B1">
        <w:rPr>
          <w:rFonts w:asciiTheme="majorHAnsi" w:eastAsia="Calibri Light" w:hAnsiTheme="majorHAnsi" w:cstheme="majorHAnsi"/>
          <w:sz w:val="23"/>
          <w:szCs w:val="23"/>
          <w:lang w:val="en-GB"/>
        </w:rPr>
        <w:t xml:space="preserve"> </w:t>
      </w:r>
      <w:r w:rsidR="00F00E3D" w:rsidRPr="0034443E">
        <w:rPr>
          <w:rFonts w:asciiTheme="majorHAnsi" w:eastAsia="Calibri Light" w:hAnsiTheme="majorHAnsi" w:cstheme="majorHAnsi"/>
          <w:sz w:val="23"/>
          <w:szCs w:val="23"/>
          <w:lang w:val="en-GB"/>
        </w:rPr>
        <w:t xml:space="preserve">noted, this </w:t>
      </w:r>
      <w:r w:rsidRPr="0034443E">
        <w:rPr>
          <w:rFonts w:asciiTheme="majorHAnsi" w:eastAsia="Calibri Light" w:hAnsiTheme="majorHAnsi" w:cstheme="majorHAnsi"/>
          <w:sz w:val="23"/>
          <w:szCs w:val="23"/>
          <w:lang w:val="en-GB"/>
        </w:rPr>
        <w:t>gap has already re-opened</w:t>
      </w:r>
      <w:r w:rsidR="00F00E3D" w:rsidRPr="0034443E">
        <w:rPr>
          <w:rFonts w:asciiTheme="majorHAnsi" w:eastAsia="Calibri Light" w:hAnsiTheme="majorHAnsi" w:cstheme="majorHAnsi"/>
          <w:sz w:val="23"/>
          <w:szCs w:val="23"/>
          <w:lang w:val="en-GB"/>
        </w:rPr>
        <w:t xml:space="preserve">: </w:t>
      </w:r>
    </w:p>
    <w:p w14:paraId="6A2D2B53" w14:textId="0842D178" w:rsidR="00F00E3D" w:rsidRPr="0034443E" w:rsidRDefault="00F00E3D" w:rsidP="008843E8">
      <w:pPr>
        <w:spacing w:line="276" w:lineRule="auto"/>
        <w:ind w:left="720"/>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Homelessness was “solved” via hotels and support. Now it is over</w:t>
      </w:r>
      <w:r w:rsidR="005E414E" w:rsidRPr="0034443E">
        <w:rPr>
          <w:rFonts w:asciiTheme="majorHAnsi" w:eastAsia="Calibri Light" w:hAnsiTheme="majorHAnsi" w:cstheme="majorHAnsi"/>
          <w:sz w:val="23"/>
          <w:szCs w:val="23"/>
          <w:lang w:val="en-GB"/>
        </w:rPr>
        <w:t>,</w:t>
      </w:r>
      <w:r w:rsidRPr="0034443E">
        <w:rPr>
          <w:rFonts w:asciiTheme="majorHAnsi" w:eastAsia="Calibri Light" w:hAnsiTheme="majorHAnsi" w:cstheme="majorHAnsi"/>
          <w:sz w:val="23"/>
          <w:szCs w:val="23"/>
          <w:lang w:val="en-GB"/>
        </w:rPr>
        <w:t xml:space="preserve"> what happens to them? Support meant the problem </w:t>
      </w:r>
      <w:r w:rsidR="008843E8">
        <w:rPr>
          <w:rFonts w:asciiTheme="majorHAnsi" w:eastAsia="Calibri Light" w:hAnsiTheme="majorHAnsi" w:cstheme="majorHAnsi"/>
          <w:sz w:val="23"/>
          <w:szCs w:val="23"/>
          <w:lang w:val="en-GB"/>
        </w:rPr>
        <w:t>“</w:t>
      </w:r>
      <w:r w:rsidRPr="0034443E">
        <w:rPr>
          <w:rFonts w:asciiTheme="majorHAnsi" w:eastAsia="Calibri Light" w:hAnsiTheme="majorHAnsi" w:cstheme="majorHAnsi"/>
          <w:sz w:val="23"/>
          <w:szCs w:val="23"/>
          <w:lang w:val="en-GB"/>
        </w:rPr>
        <w:t>disappeared</w:t>
      </w:r>
      <w:r w:rsidR="008843E8">
        <w:rPr>
          <w:rFonts w:asciiTheme="majorHAnsi" w:eastAsia="Calibri Light" w:hAnsiTheme="majorHAnsi" w:cstheme="majorHAnsi"/>
          <w:sz w:val="23"/>
          <w:szCs w:val="23"/>
          <w:lang w:val="en-GB"/>
        </w:rPr>
        <w:t>”</w:t>
      </w:r>
      <w:r w:rsidRPr="0034443E">
        <w:rPr>
          <w:rFonts w:asciiTheme="majorHAnsi" w:eastAsia="Calibri Light" w:hAnsiTheme="majorHAnsi" w:cstheme="majorHAnsi"/>
          <w:sz w:val="23"/>
          <w:szCs w:val="23"/>
          <w:lang w:val="en-GB"/>
        </w:rPr>
        <w:t xml:space="preserve"> (P1)</w:t>
      </w:r>
      <w:r w:rsidR="008843E8">
        <w:rPr>
          <w:rFonts w:asciiTheme="majorHAnsi" w:eastAsia="Calibri Light" w:hAnsiTheme="majorHAnsi" w:cstheme="majorHAnsi"/>
          <w:sz w:val="23"/>
          <w:szCs w:val="23"/>
          <w:lang w:val="en-GB"/>
        </w:rPr>
        <w:t>.</w:t>
      </w:r>
    </w:p>
    <w:p w14:paraId="61E3EFE2" w14:textId="0AA9D309" w:rsidR="00F00E3D" w:rsidRPr="0034443E" w:rsidRDefault="00F00E3D" w:rsidP="008843E8">
      <w:pPr>
        <w:spacing w:line="276" w:lineRule="auto"/>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 xml:space="preserve">These </w:t>
      </w:r>
      <w:r w:rsidR="005E414E" w:rsidRPr="0034443E">
        <w:rPr>
          <w:rFonts w:asciiTheme="majorHAnsi" w:eastAsia="Calibri Light" w:hAnsiTheme="majorHAnsi" w:cstheme="majorHAnsi"/>
          <w:sz w:val="23"/>
          <w:szCs w:val="23"/>
          <w:lang w:val="en-GB"/>
        </w:rPr>
        <w:t>three localities</w:t>
      </w:r>
      <w:r w:rsidRPr="0034443E">
        <w:rPr>
          <w:rFonts w:asciiTheme="majorHAnsi" w:eastAsia="Calibri Light" w:hAnsiTheme="majorHAnsi" w:cstheme="majorHAnsi"/>
          <w:sz w:val="23"/>
          <w:szCs w:val="23"/>
          <w:lang w:val="en-GB"/>
        </w:rPr>
        <w:t xml:space="preserve"> also have a predominance of older public housing units</w:t>
      </w:r>
      <w:r w:rsidR="005E414E" w:rsidRPr="0034443E">
        <w:rPr>
          <w:rFonts w:asciiTheme="majorHAnsi" w:eastAsia="Calibri Light" w:hAnsiTheme="majorHAnsi" w:cstheme="majorHAnsi"/>
          <w:sz w:val="23"/>
          <w:szCs w:val="23"/>
          <w:lang w:val="en-GB"/>
        </w:rPr>
        <w:t>,</w:t>
      </w:r>
      <w:r w:rsidRPr="0034443E">
        <w:rPr>
          <w:rFonts w:asciiTheme="majorHAnsi" w:eastAsia="Calibri Light" w:hAnsiTheme="majorHAnsi" w:cstheme="majorHAnsi"/>
          <w:sz w:val="23"/>
          <w:szCs w:val="23"/>
          <w:lang w:val="en-GB"/>
        </w:rPr>
        <w:t xml:space="preserve"> </w:t>
      </w:r>
      <w:r w:rsidR="005E414E" w:rsidRPr="0034443E">
        <w:rPr>
          <w:rFonts w:asciiTheme="majorHAnsi" w:eastAsia="Calibri Light" w:hAnsiTheme="majorHAnsi" w:cstheme="majorHAnsi"/>
          <w:sz w:val="23"/>
          <w:szCs w:val="23"/>
          <w:lang w:val="en-GB"/>
        </w:rPr>
        <w:t>and a high proportion of</w:t>
      </w:r>
      <w:r w:rsidRPr="0034443E">
        <w:rPr>
          <w:rFonts w:asciiTheme="majorHAnsi" w:eastAsia="Calibri Light" w:hAnsiTheme="majorHAnsi" w:cstheme="majorHAnsi"/>
          <w:sz w:val="23"/>
          <w:szCs w:val="23"/>
          <w:lang w:val="en-GB"/>
        </w:rPr>
        <w:t xml:space="preserve"> people under housing stress as</w:t>
      </w:r>
      <w:r w:rsidR="008843E8">
        <w:rPr>
          <w:rFonts w:asciiTheme="majorHAnsi" w:eastAsia="Calibri Light" w:hAnsiTheme="majorHAnsi" w:cstheme="majorHAnsi"/>
          <w:sz w:val="23"/>
          <w:szCs w:val="23"/>
          <w:lang w:val="en-GB"/>
        </w:rPr>
        <w:t xml:space="preserve"> local</w:t>
      </w:r>
      <w:r w:rsidRPr="0034443E">
        <w:rPr>
          <w:rFonts w:asciiTheme="majorHAnsi" w:eastAsia="Calibri Light" w:hAnsiTheme="majorHAnsi" w:cstheme="majorHAnsi"/>
          <w:sz w:val="23"/>
          <w:szCs w:val="23"/>
          <w:lang w:val="en-GB"/>
        </w:rPr>
        <w:t xml:space="preserve"> rents and prices rise. </w:t>
      </w:r>
      <w:r w:rsidR="005E414E" w:rsidRPr="0034443E">
        <w:rPr>
          <w:rFonts w:asciiTheme="majorHAnsi" w:eastAsia="Calibri Light" w:hAnsiTheme="majorHAnsi" w:cstheme="majorHAnsi"/>
          <w:sz w:val="23"/>
          <w:szCs w:val="23"/>
          <w:lang w:val="en-GB"/>
        </w:rPr>
        <w:t>E</w:t>
      </w:r>
      <w:r w:rsidRPr="0034443E">
        <w:rPr>
          <w:rFonts w:asciiTheme="majorHAnsi" w:eastAsia="Calibri Light" w:hAnsiTheme="majorHAnsi" w:cstheme="majorHAnsi"/>
          <w:sz w:val="23"/>
          <w:szCs w:val="23"/>
          <w:lang w:val="en-GB"/>
        </w:rPr>
        <w:t>xisting housing precarity was intensified during the pandemic</w:t>
      </w:r>
      <w:r w:rsidR="005E414E" w:rsidRPr="0034443E">
        <w:rPr>
          <w:rFonts w:asciiTheme="majorHAnsi" w:eastAsia="Calibri Light" w:hAnsiTheme="majorHAnsi" w:cstheme="majorHAnsi"/>
          <w:sz w:val="23"/>
          <w:szCs w:val="23"/>
          <w:lang w:val="en-GB"/>
        </w:rPr>
        <w:t>. Our interviews highlighted the prevalence of secondary homelessness in these suburbs, with people couch-surfing or living in severely overcrowded dwellings</w:t>
      </w:r>
      <w:r w:rsidRPr="0034443E">
        <w:rPr>
          <w:rFonts w:asciiTheme="majorHAnsi" w:eastAsia="Calibri Light" w:hAnsiTheme="majorHAnsi" w:cstheme="majorHAnsi"/>
          <w:sz w:val="23"/>
          <w:szCs w:val="23"/>
          <w:lang w:val="en-GB"/>
        </w:rPr>
        <w:t xml:space="preserve">. Many </w:t>
      </w:r>
      <w:r w:rsidR="008843E8">
        <w:rPr>
          <w:rFonts w:asciiTheme="majorHAnsi" w:eastAsia="Calibri Light" w:hAnsiTheme="majorHAnsi" w:cstheme="majorHAnsi"/>
          <w:sz w:val="23"/>
          <w:szCs w:val="23"/>
          <w:lang w:val="en-GB"/>
        </w:rPr>
        <w:t>homes</w:t>
      </w:r>
      <w:r w:rsidRPr="0034443E">
        <w:rPr>
          <w:rFonts w:asciiTheme="majorHAnsi" w:eastAsia="Calibri Light" w:hAnsiTheme="majorHAnsi" w:cstheme="majorHAnsi"/>
          <w:sz w:val="23"/>
          <w:szCs w:val="23"/>
          <w:lang w:val="en-GB"/>
        </w:rPr>
        <w:t xml:space="preserve"> are also small </w:t>
      </w:r>
      <w:r w:rsidR="005E414E" w:rsidRPr="0034443E">
        <w:rPr>
          <w:rFonts w:asciiTheme="majorHAnsi" w:eastAsia="Calibri Light" w:hAnsiTheme="majorHAnsi" w:cstheme="majorHAnsi"/>
          <w:sz w:val="23"/>
          <w:szCs w:val="23"/>
          <w:lang w:val="en-GB"/>
        </w:rPr>
        <w:t>and</w:t>
      </w:r>
      <w:r w:rsidRPr="0034443E">
        <w:rPr>
          <w:rFonts w:asciiTheme="majorHAnsi" w:eastAsia="Calibri Light" w:hAnsiTheme="majorHAnsi" w:cstheme="majorHAnsi"/>
          <w:sz w:val="23"/>
          <w:szCs w:val="23"/>
          <w:lang w:val="en-GB"/>
        </w:rPr>
        <w:t xml:space="preserve"> increasingly run down. These issues were present before the pandemic</w:t>
      </w:r>
      <w:r w:rsidR="008843E8">
        <w:rPr>
          <w:rFonts w:asciiTheme="majorHAnsi" w:eastAsia="Calibri Light" w:hAnsiTheme="majorHAnsi" w:cstheme="majorHAnsi"/>
          <w:sz w:val="23"/>
          <w:szCs w:val="23"/>
          <w:lang w:val="en-GB"/>
        </w:rPr>
        <w:t xml:space="preserve"> </w:t>
      </w:r>
      <w:r w:rsidRPr="0034443E">
        <w:rPr>
          <w:rFonts w:asciiTheme="majorHAnsi" w:eastAsia="Calibri Light" w:hAnsiTheme="majorHAnsi" w:cstheme="majorHAnsi"/>
          <w:sz w:val="23"/>
          <w:szCs w:val="23"/>
          <w:lang w:val="en-GB"/>
        </w:rPr>
        <w:t>but were exacerbated as people were ordered to remain at home, often with large numbers of people sharing cramped conditions.</w:t>
      </w:r>
      <w:r w:rsidR="007E26B1" w:rsidRPr="007E26B1">
        <w:rPr>
          <w:rFonts w:asciiTheme="majorHAnsi" w:eastAsia="Calibri Light" w:hAnsiTheme="majorHAnsi" w:cstheme="majorHAnsi"/>
          <w:sz w:val="23"/>
          <w:szCs w:val="23"/>
          <w:lang w:val="en-GB"/>
        </w:rPr>
        <w:t xml:space="preserve"> </w:t>
      </w:r>
      <w:r w:rsidR="007E26B1" w:rsidRPr="0034443E">
        <w:rPr>
          <w:rFonts w:asciiTheme="majorHAnsi" w:eastAsia="Calibri Light" w:hAnsiTheme="majorHAnsi" w:cstheme="majorHAnsi"/>
          <w:sz w:val="23"/>
          <w:szCs w:val="23"/>
          <w:lang w:val="en-GB"/>
        </w:rPr>
        <w:t>Tensions were not just internal to the house, but could spill out:</w:t>
      </w:r>
    </w:p>
    <w:p w14:paraId="00769E0D" w14:textId="1FBD3080" w:rsidR="00F00E3D" w:rsidRPr="0034443E" w:rsidRDefault="00F00E3D" w:rsidP="008843E8">
      <w:pPr>
        <w:spacing w:line="276" w:lineRule="auto"/>
        <w:ind w:left="720"/>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There was more stress from working from home. Many had anxiety and were increasingly feeling unsafe</w:t>
      </w:r>
      <w:r w:rsidR="00114EEC">
        <w:rPr>
          <w:rFonts w:asciiTheme="majorHAnsi" w:eastAsia="Calibri Light" w:hAnsiTheme="majorHAnsi" w:cstheme="majorHAnsi"/>
          <w:sz w:val="23"/>
          <w:szCs w:val="23"/>
          <w:lang w:val="en-GB"/>
        </w:rPr>
        <w:t>… H</w:t>
      </w:r>
      <w:r w:rsidRPr="0034443E">
        <w:rPr>
          <w:rFonts w:asciiTheme="majorHAnsi" w:eastAsia="Calibri Light" w:hAnsiTheme="majorHAnsi" w:cstheme="majorHAnsi"/>
          <w:sz w:val="23"/>
          <w:szCs w:val="23"/>
          <w:lang w:val="en-GB"/>
        </w:rPr>
        <w:t>ouses were often unsuitable for people trying to work at home and</w:t>
      </w:r>
      <w:r w:rsidR="0001140F">
        <w:rPr>
          <w:rFonts w:asciiTheme="majorHAnsi" w:eastAsia="Calibri Light" w:hAnsiTheme="majorHAnsi" w:cstheme="majorHAnsi"/>
          <w:sz w:val="23"/>
          <w:szCs w:val="23"/>
          <w:lang w:val="en-GB"/>
        </w:rPr>
        <w:t>…</w:t>
      </w:r>
      <w:r w:rsidRPr="0034443E">
        <w:rPr>
          <w:rFonts w:asciiTheme="majorHAnsi" w:eastAsia="Calibri Light" w:hAnsiTheme="majorHAnsi" w:cstheme="majorHAnsi"/>
          <w:sz w:val="23"/>
          <w:szCs w:val="23"/>
          <w:lang w:val="en-GB"/>
        </w:rPr>
        <w:t>things like shared bedrooms became more of an issue, along with sleeping on the couch. Not too bad if you could leave every day, but during this time you couldn’t (P1)</w:t>
      </w:r>
      <w:r w:rsidR="008843E8">
        <w:rPr>
          <w:rFonts w:asciiTheme="majorHAnsi" w:eastAsia="Calibri Light" w:hAnsiTheme="majorHAnsi" w:cstheme="majorHAnsi"/>
          <w:sz w:val="23"/>
          <w:szCs w:val="23"/>
          <w:lang w:val="en-GB"/>
        </w:rPr>
        <w:t>.</w:t>
      </w:r>
    </w:p>
    <w:p w14:paraId="6E6E0B37" w14:textId="323AB749" w:rsidR="00F00E3D" w:rsidRPr="0034443E" w:rsidRDefault="00F00E3D" w:rsidP="008843E8">
      <w:pPr>
        <w:spacing w:line="276" w:lineRule="auto"/>
        <w:ind w:firstLine="720"/>
        <w:rPr>
          <w:rFonts w:asciiTheme="majorHAnsi" w:eastAsia="Calibri Light" w:hAnsiTheme="majorHAnsi" w:cstheme="majorBidi"/>
          <w:sz w:val="23"/>
          <w:szCs w:val="23"/>
        </w:rPr>
      </w:pPr>
      <w:r w:rsidRPr="0034443E">
        <w:rPr>
          <w:rFonts w:asciiTheme="majorHAnsi" w:eastAsia="Calibri Light" w:hAnsiTheme="majorHAnsi" w:cstheme="majorBidi"/>
          <w:sz w:val="23"/>
          <w:szCs w:val="23"/>
        </w:rPr>
        <w:t>With everyone stuck at home, there was increased capacity for conflict with neighbours (</w:t>
      </w:r>
      <w:r w:rsidRPr="0034443E">
        <w:rPr>
          <w:rFonts w:asciiTheme="majorHAnsi" w:eastAsia="Calibri Light" w:hAnsiTheme="majorHAnsi" w:cstheme="majorBidi"/>
          <w:sz w:val="23"/>
          <w:szCs w:val="23"/>
          <w:lang w:val="en-GB"/>
        </w:rPr>
        <w:t>P11)</w:t>
      </w:r>
      <w:r w:rsidR="008843E8">
        <w:rPr>
          <w:rFonts w:asciiTheme="majorHAnsi" w:eastAsia="Calibri Light" w:hAnsiTheme="majorHAnsi" w:cstheme="majorBidi"/>
          <w:sz w:val="23"/>
          <w:szCs w:val="23"/>
          <w:lang w:val="en-GB"/>
        </w:rPr>
        <w:t>.</w:t>
      </w:r>
    </w:p>
    <w:p w14:paraId="0EB1297B" w14:textId="33043C52" w:rsidR="00F00E3D" w:rsidRPr="006948E7" w:rsidRDefault="00F00E3D" w:rsidP="008843E8">
      <w:pPr>
        <w:spacing w:line="276" w:lineRule="auto"/>
        <w:rPr>
          <w:rFonts w:eastAsia="Calibri Light" w:cstheme="majorHAnsi"/>
          <w:b/>
          <w:bCs/>
          <w:sz w:val="25"/>
          <w:szCs w:val="25"/>
          <w:lang w:val="en-GB"/>
        </w:rPr>
      </w:pPr>
      <w:r w:rsidRPr="006948E7">
        <w:rPr>
          <w:rFonts w:eastAsia="Calibri Light" w:cstheme="majorHAnsi"/>
          <w:b/>
          <w:bCs/>
          <w:sz w:val="25"/>
          <w:szCs w:val="25"/>
          <w:lang w:val="en-GB"/>
        </w:rPr>
        <w:t>Health and Wellbeing</w:t>
      </w:r>
    </w:p>
    <w:p w14:paraId="3D9107C2" w14:textId="297EE409" w:rsidR="00F00E3D" w:rsidRPr="0034443E" w:rsidRDefault="00A67EDE" w:rsidP="008843E8">
      <w:pPr>
        <w:spacing w:line="276" w:lineRule="auto"/>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As community</w:t>
      </w:r>
      <w:r w:rsidR="00F00E3D" w:rsidRPr="0034443E">
        <w:rPr>
          <w:rFonts w:asciiTheme="majorHAnsi" w:eastAsia="Calibri Light" w:hAnsiTheme="majorHAnsi" w:cstheme="majorHAnsi"/>
          <w:sz w:val="23"/>
          <w:szCs w:val="23"/>
          <w:lang w:val="en-GB"/>
        </w:rPr>
        <w:t xml:space="preserve"> service</w:t>
      </w:r>
      <w:r w:rsidRPr="0034443E">
        <w:rPr>
          <w:rFonts w:asciiTheme="majorHAnsi" w:eastAsia="Calibri Light" w:hAnsiTheme="majorHAnsi" w:cstheme="majorHAnsi"/>
          <w:sz w:val="23"/>
          <w:szCs w:val="23"/>
          <w:lang w:val="en-GB"/>
        </w:rPr>
        <w:t xml:space="preserve"> agencies </w:t>
      </w:r>
      <w:r w:rsidR="00F00E3D" w:rsidRPr="0034443E">
        <w:rPr>
          <w:rFonts w:asciiTheme="majorHAnsi" w:eastAsia="Calibri Light" w:hAnsiTheme="majorHAnsi" w:cstheme="majorHAnsi"/>
          <w:sz w:val="23"/>
          <w:szCs w:val="23"/>
          <w:lang w:val="en-GB"/>
        </w:rPr>
        <w:t xml:space="preserve">were closed down or </w:t>
      </w:r>
      <w:r w:rsidRPr="0034443E">
        <w:rPr>
          <w:rFonts w:asciiTheme="majorHAnsi" w:eastAsia="Calibri Light" w:hAnsiTheme="majorHAnsi" w:cstheme="majorHAnsi"/>
          <w:sz w:val="23"/>
          <w:szCs w:val="23"/>
          <w:lang w:val="en-GB"/>
        </w:rPr>
        <w:t>shifted</w:t>
      </w:r>
      <w:r w:rsidR="00F00E3D" w:rsidRPr="0034443E">
        <w:rPr>
          <w:rFonts w:asciiTheme="majorHAnsi" w:eastAsia="Calibri Light" w:hAnsiTheme="majorHAnsi" w:cstheme="majorHAnsi"/>
          <w:sz w:val="23"/>
          <w:szCs w:val="23"/>
          <w:lang w:val="en-GB"/>
        </w:rPr>
        <w:t xml:space="preserve"> online, there was a rise in anxiety levels across the three suburbs. The loss of face-to-face contact was felt acutely by many </w:t>
      </w:r>
      <w:r w:rsidRPr="0034443E">
        <w:rPr>
          <w:rFonts w:asciiTheme="majorHAnsi" w:eastAsia="Calibri Light" w:hAnsiTheme="majorHAnsi" w:cstheme="majorHAnsi"/>
          <w:sz w:val="23"/>
          <w:szCs w:val="23"/>
          <w:lang w:val="en-GB"/>
        </w:rPr>
        <w:t>residents. T</w:t>
      </w:r>
      <w:r w:rsidR="00F00E3D" w:rsidRPr="0034443E">
        <w:rPr>
          <w:rFonts w:asciiTheme="majorHAnsi" w:eastAsia="Calibri Light" w:hAnsiTheme="majorHAnsi" w:cstheme="majorHAnsi"/>
          <w:sz w:val="23"/>
          <w:szCs w:val="23"/>
          <w:lang w:val="en-GB"/>
        </w:rPr>
        <w:t xml:space="preserve">he </w:t>
      </w:r>
      <w:r w:rsidRPr="0034443E">
        <w:rPr>
          <w:rFonts w:asciiTheme="majorHAnsi" w:eastAsia="Calibri Light" w:hAnsiTheme="majorHAnsi" w:cstheme="majorHAnsi"/>
          <w:sz w:val="23"/>
          <w:szCs w:val="23"/>
          <w:lang w:val="en-GB"/>
        </w:rPr>
        <w:t>shutdowns</w:t>
      </w:r>
      <w:r w:rsidR="00F00E3D" w:rsidRPr="0034443E">
        <w:rPr>
          <w:rFonts w:asciiTheme="majorHAnsi" w:eastAsia="Calibri Light" w:hAnsiTheme="majorHAnsi" w:cstheme="majorHAnsi"/>
          <w:sz w:val="23"/>
          <w:szCs w:val="23"/>
          <w:lang w:val="en-GB"/>
        </w:rPr>
        <w:t xml:space="preserve"> also exacerbated and exposed the gaps in some key health services, especially around mental health</w:t>
      </w:r>
      <w:r w:rsidRPr="0034443E">
        <w:rPr>
          <w:rFonts w:asciiTheme="majorHAnsi" w:eastAsia="Calibri Light" w:hAnsiTheme="majorHAnsi" w:cstheme="majorHAnsi"/>
          <w:sz w:val="23"/>
          <w:szCs w:val="23"/>
          <w:lang w:val="en-GB"/>
        </w:rPr>
        <w:t xml:space="preserve"> and</w:t>
      </w:r>
      <w:r w:rsidR="00F00E3D" w:rsidRPr="0034443E">
        <w:rPr>
          <w:rFonts w:asciiTheme="majorHAnsi" w:eastAsia="Calibri Light" w:hAnsiTheme="majorHAnsi" w:cstheme="majorHAnsi"/>
          <w:sz w:val="23"/>
          <w:szCs w:val="23"/>
          <w:lang w:val="en-GB"/>
        </w:rPr>
        <w:t xml:space="preserve"> drug and alcohol support. As one informant noted:</w:t>
      </w:r>
    </w:p>
    <w:p w14:paraId="7FE38087" w14:textId="17D1F8F4" w:rsidR="00F00E3D" w:rsidRPr="0034443E" w:rsidRDefault="00F00E3D" w:rsidP="008843E8">
      <w:pPr>
        <w:spacing w:line="276" w:lineRule="auto"/>
        <w:ind w:left="720"/>
        <w:rPr>
          <w:rFonts w:asciiTheme="majorHAnsi" w:eastAsia="Calibri Light" w:hAnsiTheme="majorHAnsi" w:cstheme="majorBidi"/>
          <w:sz w:val="23"/>
          <w:szCs w:val="23"/>
          <w:lang w:val="en-GB"/>
        </w:rPr>
      </w:pPr>
      <w:r w:rsidRPr="0034443E">
        <w:rPr>
          <w:rFonts w:asciiTheme="majorHAnsi" w:eastAsia="Calibri Light" w:hAnsiTheme="majorHAnsi" w:cstheme="majorBidi"/>
          <w:sz w:val="23"/>
          <w:szCs w:val="23"/>
          <w:lang w:val="en-GB"/>
        </w:rPr>
        <w:t xml:space="preserve">The gap is in drug and alcohol help. You couldn’t see the workers </w:t>
      </w:r>
      <w:r w:rsidR="00DD6CE5">
        <w:rPr>
          <w:rFonts w:asciiTheme="majorHAnsi" w:eastAsia="Calibri Light" w:hAnsiTheme="majorHAnsi" w:cstheme="majorBidi"/>
          <w:sz w:val="23"/>
          <w:szCs w:val="23"/>
          <w:lang w:val="en-GB"/>
        </w:rPr>
        <w:t xml:space="preserve">[to get] </w:t>
      </w:r>
      <w:r w:rsidRPr="0034443E">
        <w:rPr>
          <w:rFonts w:asciiTheme="majorHAnsi" w:eastAsia="Calibri Light" w:hAnsiTheme="majorHAnsi" w:cstheme="majorBidi"/>
          <w:sz w:val="23"/>
          <w:szCs w:val="23"/>
          <w:lang w:val="en-GB"/>
        </w:rPr>
        <w:t xml:space="preserve">face to face </w:t>
      </w:r>
      <w:r w:rsidR="00DD6CE5">
        <w:rPr>
          <w:rFonts w:asciiTheme="majorHAnsi" w:eastAsia="Calibri Light" w:hAnsiTheme="majorHAnsi" w:cstheme="majorBidi"/>
          <w:sz w:val="23"/>
          <w:szCs w:val="23"/>
          <w:lang w:val="en-GB"/>
        </w:rPr>
        <w:t xml:space="preserve">help </w:t>
      </w:r>
      <w:r w:rsidRPr="0034443E">
        <w:rPr>
          <w:rFonts w:asciiTheme="majorHAnsi" w:eastAsia="Calibri Light" w:hAnsiTheme="majorHAnsi" w:cstheme="majorBidi"/>
          <w:sz w:val="23"/>
          <w:szCs w:val="23"/>
          <w:lang w:val="en-GB"/>
        </w:rPr>
        <w:t>(P7)</w:t>
      </w:r>
      <w:r w:rsidR="002D0C78">
        <w:rPr>
          <w:rFonts w:asciiTheme="majorHAnsi" w:eastAsia="Calibri Light" w:hAnsiTheme="majorHAnsi" w:cstheme="majorBidi"/>
          <w:sz w:val="23"/>
          <w:szCs w:val="23"/>
          <w:lang w:val="en-GB"/>
        </w:rPr>
        <w:t>.</w:t>
      </w:r>
    </w:p>
    <w:p w14:paraId="55C6C031" w14:textId="646B5964" w:rsidR="00F00E3D" w:rsidRPr="0034443E" w:rsidRDefault="00A67EDE" w:rsidP="008843E8">
      <w:pPr>
        <w:spacing w:line="276" w:lineRule="auto"/>
        <w:rPr>
          <w:rFonts w:asciiTheme="majorHAnsi" w:eastAsia="Calibri Light" w:hAnsiTheme="majorHAnsi" w:cstheme="majorBidi"/>
          <w:sz w:val="23"/>
          <w:szCs w:val="23"/>
          <w:lang w:val="en-GB"/>
        </w:rPr>
      </w:pPr>
      <w:r w:rsidRPr="0034443E">
        <w:rPr>
          <w:rFonts w:asciiTheme="majorHAnsi" w:eastAsia="Calibri Light" w:hAnsiTheme="majorHAnsi" w:cstheme="majorBidi"/>
          <w:sz w:val="23"/>
          <w:szCs w:val="23"/>
          <w:lang w:val="en-GB"/>
        </w:rPr>
        <w:t>Food insecurity was another</w:t>
      </w:r>
      <w:r w:rsidR="00F00E3D" w:rsidRPr="0034443E">
        <w:rPr>
          <w:rFonts w:asciiTheme="majorHAnsi" w:eastAsia="Calibri Light" w:hAnsiTheme="majorHAnsi" w:cstheme="majorBidi"/>
          <w:sz w:val="23"/>
          <w:szCs w:val="23"/>
          <w:lang w:val="en-GB"/>
        </w:rPr>
        <w:t xml:space="preserve"> </w:t>
      </w:r>
      <w:r w:rsidRPr="0034443E">
        <w:rPr>
          <w:rFonts w:asciiTheme="majorHAnsi" w:eastAsia="Calibri Light" w:hAnsiTheme="majorHAnsi" w:cstheme="majorBidi"/>
          <w:sz w:val="23"/>
          <w:szCs w:val="23"/>
          <w:lang w:val="en-GB"/>
        </w:rPr>
        <w:t>problem</w:t>
      </w:r>
      <w:r w:rsidR="00F00E3D" w:rsidRPr="0034443E">
        <w:rPr>
          <w:rFonts w:asciiTheme="majorHAnsi" w:eastAsia="Calibri Light" w:hAnsiTheme="majorHAnsi" w:cstheme="majorBidi"/>
          <w:sz w:val="23"/>
          <w:szCs w:val="23"/>
          <w:lang w:val="en-GB"/>
        </w:rPr>
        <w:t xml:space="preserve"> </w:t>
      </w:r>
      <w:r w:rsidR="003A769A">
        <w:rPr>
          <w:rFonts w:asciiTheme="majorHAnsi" w:eastAsia="Calibri Light" w:hAnsiTheme="majorHAnsi" w:cstheme="majorBidi"/>
          <w:sz w:val="23"/>
          <w:szCs w:val="23"/>
          <w:lang w:val="en-GB"/>
        </w:rPr>
        <w:t>that worsened during</w:t>
      </w:r>
      <w:r w:rsidRPr="0034443E">
        <w:rPr>
          <w:rFonts w:asciiTheme="majorHAnsi" w:eastAsia="Calibri Light" w:hAnsiTheme="majorHAnsi" w:cstheme="majorBidi"/>
          <w:sz w:val="23"/>
          <w:szCs w:val="23"/>
          <w:lang w:val="en-GB"/>
        </w:rPr>
        <w:t xml:space="preserve"> </w:t>
      </w:r>
      <w:r w:rsidR="003A769A">
        <w:rPr>
          <w:rFonts w:asciiTheme="majorHAnsi" w:eastAsia="Calibri Light" w:hAnsiTheme="majorHAnsi" w:cstheme="majorBidi"/>
          <w:sz w:val="23"/>
          <w:szCs w:val="23"/>
          <w:lang w:val="en-GB"/>
        </w:rPr>
        <w:t>COVID-19</w:t>
      </w:r>
      <w:r w:rsidRPr="0034443E">
        <w:rPr>
          <w:rFonts w:asciiTheme="majorHAnsi" w:eastAsia="Calibri Light" w:hAnsiTheme="majorHAnsi" w:cstheme="majorBidi"/>
          <w:sz w:val="23"/>
          <w:szCs w:val="23"/>
          <w:lang w:val="en-GB"/>
        </w:rPr>
        <w:t xml:space="preserve">. Residents faced increased </w:t>
      </w:r>
      <w:r w:rsidR="003A769A">
        <w:rPr>
          <w:rFonts w:asciiTheme="majorHAnsi" w:eastAsia="Calibri Light" w:hAnsiTheme="majorHAnsi" w:cstheme="majorBidi"/>
          <w:sz w:val="23"/>
          <w:szCs w:val="23"/>
          <w:lang w:val="en-GB"/>
        </w:rPr>
        <w:t>barriers</w:t>
      </w:r>
      <w:r w:rsidRPr="0034443E">
        <w:rPr>
          <w:rFonts w:asciiTheme="majorHAnsi" w:eastAsia="Calibri Light" w:hAnsiTheme="majorHAnsi" w:cstheme="majorBidi"/>
          <w:sz w:val="23"/>
          <w:szCs w:val="23"/>
          <w:lang w:val="en-GB"/>
        </w:rPr>
        <w:t xml:space="preserve"> in</w:t>
      </w:r>
      <w:r w:rsidR="00F00E3D" w:rsidRPr="0034443E">
        <w:rPr>
          <w:rFonts w:asciiTheme="majorHAnsi" w:eastAsia="Calibri Light" w:hAnsiTheme="majorHAnsi" w:cstheme="majorBidi"/>
          <w:sz w:val="23"/>
          <w:szCs w:val="23"/>
          <w:lang w:val="en-GB"/>
        </w:rPr>
        <w:t xml:space="preserve"> accessing</w:t>
      </w:r>
      <w:r w:rsidRPr="0034443E">
        <w:rPr>
          <w:rFonts w:asciiTheme="majorHAnsi" w:eastAsia="Calibri Light" w:hAnsiTheme="majorHAnsi" w:cstheme="majorBidi"/>
          <w:sz w:val="23"/>
          <w:szCs w:val="23"/>
          <w:lang w:val="en-GB"/>
        </w:rPr>
        <w:t xml:space="preserve"> and</w:t>
      </w:r>
      <w:r w:rsidR="00F00E3D" w:rsidRPr="0034443E">
        <w:rPr>
          <w:rFonts w:asciiTheme="majorHAnsi" w:eastAsia="Calibri Light" w:hAnsiTheme="majorHAnsi" w:cstheme="majorBidi"/>
          <w:sz w:val="23"/>
          <w:szCs w:val="23"/>
          <w:lang w:val="en-GB"/>
        </w:rPr>
        <w:t xml:space="preserve"> affording healthy food. </w:t>
      </w:r>
      <w:r w:rsidR="00176449">
        <w:rPr>
          <w:rFonts w:asciiTheme="majorHAnsi" w:eastAsia="Calibri Light" w:hAnsiTheme="majorHAnsi" w:cstheme="majorBidi"/>
          <w:sz w:val="23"/>
          <w:szCs w:val="23"/>
          <w:lang w:val="en-GB"/>
        </w:rPr>
        <w:t>This</w:t>
      </w:r>
      <w:r w:rsidR="002D0C78">
        <w:rPr>
          <w:rFonts w:asciiTheme="majorHAnsi" w:eastAsia="Calibri Light" w:hAnsiTheme="majorHAnsi" w:cstheme="majorBidi"/>
          <w:sz w:val="23"/>
          <w:szCs w:val="23"/>
          <w:lang w:val="en-GB"/>
        </w:rPr>
        <w:t xml:space="preserve"> difficulty </w:t>
      </w:r>
      <w:r w:rsidR="00F00E3D" w:rsidRPr="0034443E">
        <w:rPr>
          <w:rFonts w:asciiTheme="majorHAnsi" w:eastAsia="Calibri Light" w:hAnsiTheme="majorHAnsi" w:cstheme="majorBidi"/>
          <w:sz w:val="23"/>
          <w:szCs w:val="23"/>
          <w:lang w:val="en-GB"/>
        </w:rPr>
        <w:t xml:space="preserve">was </w:t>
      </w:r>
      <w:r w:rsidRPr="0034443E">
        <w:rPr>
          <w:rFonts w:asciiTheme="majorHAnsi" w:eastAsia="Calibri Light" w:hAnsiTheme="majorHAnsi" w:cstheme="majorBidi"/>
          <w:sz w:val="23"/>
          <w:szCs w:val="23"/>
          <w:lang w:val="en-GB"/>
        </w:rPr>
        <w:t>heightened</w:t>
      </w:r>
      <w:r w:rsidR="00F00E3D" w:rsidRPr="0034443E">
        <w:rPr>
          <w:rFonts w:asciiTheme="majorHAnsi" w:eastAsia="Calibri Light" w:hAnsiTheme="majorHAnsi" w:cstheme="majorBidi"/>
          <w:sz w:val="23"/>
          <w:szCs w:val="23"/>
          <w:lang w:val="en-GB"/>
        </w:rPr>
        <w:t xml:space="preserve"> by </w:t>
      </w:r>
      <w:r w:rsidRPr="0034443E">
        <w:rPr>
          <w:rFonts w:asciiTheme="majorHAnsi" w:eastAsia="Calibri Light" w:hAnsiTheme="majorHAnsi" w:cstheme="majorBidi"/>
          <w:sz w:val="23"/>
          <w:szCs w:val="23"/>
          <w:lang w:val="en-GB"/>
        </w:rPr>
        <w:t xml:space="preserve">digital exclusion, lack of transport options, anxieties around health risks, and </w:t>
      </w:r>
      <w:r w:rsidR="00F00E3D" w:rsidRPr="0034443E">
        <w:rPr>
          <w:rFonts w:asciiTheme="majorHAnsi" w:eastAsia="Calibri Light" w:hAnsiTheme="majorHAnsi" w:cstheme="majorBidi"/>
          <w:sz w:val="23"/>
          <w:szCs w:val="23"/>
          <w:lang w:val="en-GB"/>
        </w:rPr>
        <w:t xml:space="preserve">mobility restrictions. As </w:t>
      </w:r>
      <w:r w:rsidR="002D0C78">
        <w:rPr>
          <w:rFonts w:asciiTheme="majorHAnsi" w:eastAsia="Calibri Light" w:hAnsiTheme="majorHAnsi" w:cstheme="majorBidi"/>
          <w:sz w:val="23"/>
          <w:szCs w:val="23"/>
          <w:lang w:val="en-GB"/>
        </w:rPr>
        <w:t>one person explained:</w:t>
      </w:r>
    </w:p>
    <w:p w14:paraId="44C7E919" w14:textId="110C87AE" w:rsidR="00F00E3D" w:rsidRPr="0034443E" w:rsidRDefault="00F00E3D" w:rsidP="008843E8">
      <w:pPr>
        <w:spacing w:line="276" w:lineRule="auto"/>
        <w:ind w:left="720"/>
        <w:rPr>
          <w:rFonts w:asciiTheme="majorHAnsi" w:eastAsia="Calibri Light" w:hAnsiTheme="majorHAnsi" w:cstheme="majorBidi"/>
          <w:sz w:val="23"/>
          <w:szCs w:val="23"/>
        </w:rPr>
      </w:pPr>
      <w:r w:rsidRPr="0034443E">
        <w:rPr>
          <w:rFonts w:asciiTheme="majorHAnsi" w:eastAsia="Calibri Light" w:hAnsiTheme="majorHAnsi" w:cstheme="majorBidi"/>
          <w:sz w:val="23"/>
          <w:szCs w:val="23"/>
        </w:rPr>
        <w:t xml:space="preserve">There are no proper supermarkets in Norlane. You cannot buy fresh fruit and vegies, and there’s a limit on how much you can carry home [from another suburb]. There are some small dodgy supermarkets where you can buy a couple of potatoes, but that’s it. It got even worse during </w:t>
      </w:r>
      <w:r w:rsidR="00940D80" w:rsidRPr="0034443E">
        <w:rPr>
          <w:rFonts w:asciiTheme="majorHAnsi" w:eastAsia="Calibri Light" w:hAnsiTheme="majorHAnsi" w:cstheme="majorBidi"/>
          <w:sz w:val="23"/>
          <w:szCs w:val="23"/>
        </w:rPr>
        <w:t>COVID</w:t>
      </w:r>
      <w:r w:rsidRPr="0034443E">
        <w:rPr>
          <w:rFonts w:asciiTheme="majorHAnsi" w:eastAsia="Calibri Light" w:hAnsiTheme="majorHAnsi" w:cstheme="majorBidi"/>
          <w:sz w:val="23"/>
          <w:szCs w:val="23"/>
        </w:rPr>
        <w:t>. And most Norlane residents don’t have access to online shopping (P11)</w:t>
      </w:r>
      <w:r w:rsidR="002D0C78">
        <w:rPr>
          <w:rFonts w:asciiTheme="majorHAnsi" w:eastAsia="Calibri Light" w:hAnsiTheme="majorHAnsi" w:cstheme="majorBidi"/>
          <w:sz w:val="23"/>
          <w:szCs w:val="23"/>
        </w:rPr>
        <w:t>.</w:t>
      </w:r>
    </w:p>
    <w:p w14:paraId="444640FE" w14:textId="29DDBA6A" w:rsidR="00F00E3D" w:rsidRPr="0034443E" w:rsidRDefault="006948E7" w:rsidP="008843E8">
      <w:pPr>
        <w:spacing w:line="276" w:lineRule="auto"/>
        <w:rPr>
          <w:rFonts w:asciiTheme="majorHAnsi" w:eastAsia="Calibri Light" w:hAnsiTheme="majorHAnsi" w:cstheme="majorHAnsi"/>
          <w:sz w:val="23"/>
          <w:szCs w:val="23"/>
          <w:lang w:val="en-GB"/>
        </w:rPr>
      </w:pPr>
      <w:r>
        <w:rPr>
          <w:rFonts w:asciiTheme="majorHAnsi" w:eastAsia="Calibri Light" w:hAnsiTheme="majorHAnsi" w:cstheme="majorHAnsi"/>
          <w:sz w:val="23"/>
          <w:szCs w:val="23"/>
          <w:lang w:val="en-GB"/>
        </w:rPr>
        <w:t xml:space="preserve">These barriers in </w:t>
      </w:r>
      <w:r w:rsidR="00F00E3D" w:rsidRPr="0034443E">
        <w:rPr>
          <w:rFonts w:asciiTheme="majorHAnsi" w:eastAsia="Calibri Light" w:hAnsiTheme="majorHAnsi" w:cstheme="majorHAnsi"/>
          <w:sz w:val="23"/>
          <w:szCs w:val="23"/>
          <w:lang w:val="en-GB"/>
        </w:rPr>
        <w:t xml:space="preserve">accessing </w:t>
      </w:r>
      <w:r>
        <w:rPr>
          <w:rFonts w:asciiTheme="majorHAnsi" w:eastAsia="Calibri Light" w:hAnsiTheme="majorHAnsi" w:cstheme="majorHAnsi"/>
          <w:sz w:val="23"/>
          <w:szCs w:val="23"/>
          <w:lang w:val="en-GB"/>
        </w:rPr>
        <w:t>quality</w:t>
      </w:r>
      <w:r w:rsidR="00A67EDE" w:rsidRPr="0034443E">
        <w:rPr>
          <w:rFonts w:asciiTheme="majorHAnsi" w:eastAsia="Calibri Light" w:hAnsiTheme="majorHAnsi" w:cstheme="majorHAnsi"/>
          <w:sz w:val="23"/>
          <w:szCs w:val="23"/>
          <w:lang w:val="en-GB"/>
        </w:rPr>
        <w:t xml:space="preserve"> </w:t>
      </w:r>
      <w:r w:rsidR="00F00E3D" w:rsidRPr="0034443E">
        <w:rPr>
          <w:rFonts w:asciiTheme="majorHAnsi" w:eastAsia="Calibri Light" w:hAnsiTheme="majorHAnsi" w:cstheme="majorHAnsi"/>
          <w:sz w:val="23"/>
          <w:szCs w:val="23"/>
          <w:lang w:val="en-GB"/>
        </w:rPr>
        <w:t xml:space="preserve">food </w:t>
      </w:r>
      <w:r w:rsidR="002870E8">
        <w:rPr>
          <w:rFonts w:asciiTheme="majorHAnsi" w:eastAsia="Calibri Light" w:hAnsiTheme="majorHAnsi" w:cstheme="majorHAnsi"/>
          <w:sz w:val="23"/>
          <w:szCs w:val="23"/>
          <w:lang w:val="en-GB"/>
        </w:rPr>
        <w:t xml:space="preserve">were echoed in other areas </w:t>
      </w:r>
      <w:r>
        <w:rPr>
          <w:rFonts w:asciiTheme="majorHAnsi" w:eastAsia="Calibri Light" w:hAnsiTheme="majorHAnsi" w:cstheme="majorHAnsi"/>
          <w:sz w:val="23"/>
          <w:szCs w:val="23"/>
          <w:lang w:val="en-GB"/>
        </w:rPr>
        <w:t>of health and</w:t>
      </w:r>
      <w:r w:rsidR="00F00E3D" w:rsidRPr="0034443E">
        <w:rPr>
          <w:rFonts w:asciiTheme="majorHAnsi" w:eastAsia="Calibri Light" w:hAnsiTheme="majorHAnsi" w:cstheme="majorHAnsi"/>
          <w:sz w:val="23"/>
          <w:szCs w:val="23"/>
          <w:lang w:val="en-GB"/>
        </w:rPr>
        <w:t xml:space="preserve"> wellbeing:</w:t>
      </w:r>
    </w:p>
    <w:p w14:paraId="5638331A" w14:textId="525204C6" w:rsidR="00F00E3D" w:rsidRPr="0034443E" w:rsidRDefault="00F00E3D" w:rsidP="008843E8">
      <w:pPr>
        <w:spacing w:line="276" w:lineRule="auto"/>
        <w:ind w:left="720"/>
        <w:rPr>
          <w:rFonts w:asciiTheme="majorHAnsi" w:eastAsia="Calibri Light" w:hAnsiTheme="majorHAnsi" w:cstheme="majorBidi"/>
          <w:sz w:val="23"/>
          <w:szCs w:val="23"/>
          <w:lang w:val="en-GB"/>
        </w:rPr>
      </w:pPr>
      <w:r w:rsidRPr="0034443E">
        <w:rPr>
          <w:rFonts w:asciiTheme="majorHAnsi" w:eastAsia="Calibri Light" w:hAnsiTheme="majorHAnsi" w:cstheme="majorBidi"/>
          <w:sz w:val="23"/>
          <w:szCs w:val="23"/>
          <w:lang w:val="en-GB"/>
        </w:rPr>
        <w:t xml:space="preserve">Access to services was difficult, the doctor, food, groceries. Just getting all these things within </w:t>
      </w:r>
      <w:r w:rsidR="00A67EDE" w:rsidRPr="0034443E">
        <w:rPr>
          <w:rFonts w:asciiTheme="majorHAnsi" w:eastAsia="Calibri Light" w:hAnsiTheme="majorHAnsi" w:cstheme="majorBidi"/>
          <w:sz w:val="23"/>
          <w:szCs w:val="23"/>
          <w:lang w:val="en-GB"/>
        </w:rPr>
        <w:t>five</w:t>
      </w:r>
      <w:r w:rsidRPr="0034443E">
        <w:rPr>
          <w:rFonts w:asciiTheme="majorHAnsi" w:eastAsia="Calibri Light" w:hAnsiTheme="majorHAnsi" w:cstheme="majorBidi"/>
          <w:sz w:val="23"/>
          <w:szCs w:val="23"/>
          <w:lang w:val="en-GB"/>
        </w:rPr>
        <w:t xml:space="preserve"> k</w:t>
      </w:r>
      <w:r w:rsidR="00A67EDE" w:rsidRPr="0034443E">
        <w:rPr>
          <w:rFonts w:asciiTheme="majorHAnsi" w:eastAsia="Calibri Light" w:hAnsiTheme="majorHAnsi" w:cstheme="majorBidi"/>
          <w:sz w:val="23"/>
          <w:szCs w:val="23"/>
          <w:lang w:val="en-GB"/>
        </w:rPr>
        <w:t>ilometres</w:t>
      </w:r>
      <w:r w:rsidRPr="0034443E">
        <w:rPr>
          <w:rFonts w:asciiTheme="majorHAnsi" w:eastAsia="Calibri Light" w:hAnsiTheme="majorHAnsi" w:cstheme="majorBidi"/>
          <w:sz w:val="23"/>
          <w:szCs w:val="23"/>
          <w:lang w:val="en-GB"/>
        </w:rPr>
        <w:t xml:space="preserve"> was a mission in itself, especially with no car. You had to walk or get the bus and that was stressful. This created a food challenge; it forced a nutrition challenge as people ate poorly (P7)</w:t>
      </w:r>
      <w:r w:rsidR="00DD6CE5">
        <w:rPr>
          <w:rFonts w:asciiTheme="majorHAnsi" w:eastAsia="Calibri Light" w:hAnsiTheme="majorHAnsi" w:cstheme="majorBidi"/>
          <w:sz w:val="23"/>
          <w:szCs w:val="23"/>
          <w:lang w:val="en-GB"/>
        </w:rPr>
        <w:t>.</w:t>
      </w:r>
    </w:p>
    <w:p w14:paraId="450D5CB0" w14:textId="77777777" w:rsidR="00F00E3D" w:rsidRPr="0034443E" w:rsidRDefault="00F00E3D" w:rsidP="00DD6498">
      <w:pPr>
        <w:spacing w:line="276" w:lineRule="auto"/>
        <w:rPr>
          <w:rFonts w:eastAsia="Calibri Light" w:cstheme="minorHAnsi"/>
          <w:b/>
          <w:bCs/>
          <w:sz w:val="23"/>
          <w:szCs w:val="23"/>
          <w:lang w:val="en-GB"/>
        </w:rPr>
      </w:pPr>
      <w:r w:rsidRPr="0034443E">
        <w:rPr>
          <w:rFonts w:eastAsia="Calibri Light" w:cstheme="minorHAnsi"/>
          <w:b/>
          <w:bCs/>
          <w:sz w:val="23"/>
          <w:szCs w:val="23"/>
          <w:lang w:val="en-GB"/>
        </w:rPr>
        <w:lastRenderedPageBreak/>
        <w:t>Liveability</w:t>
      </w:r>
    </w:p>
    <w:p w14:paraId="2CA9A986" w14:textId="6F1119C7" w:rsidR="00F00E3D" w:rsidRPr="0034443E" w:rsidRDefault="0065444F" w:rsidP="00DD6498">
      <w:pPr>
        <w:spacing w:line="276" w:lineRule="auto"/>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In our interviews the</w:t>
      </w:r>
      <w:r w:rsidR="00F00E3D" w:rsidRPr="0034443E">
        <w:rPr>
          <w:rFonts w:asciiTheme="majorHAnsi" w:eastAsia="Calibri Light" w:hAnsiTheme="majorHAnsi" w:cstheme="majorHAnsi"/>
          <w:sz w:val="23"/>
          <w:szCs w:val="23"/>
          <w:lang w:val="en-GB"/>
        </w:rPr>
        <w:t xml:space="preserve"> most oft-</w:t>
      </w:r>
      <w:r w:rsidR="009D33A0" w:rsidRPr="0034443E">
        <w:rPr>
          <w:rFonts w:asciiTheme="majorHAnsi" w:eastAsia="Calibri Light" w:hAnsiTheme="majorHAnsi" w:cstheme="majorHAnsi"/>
          <w:sz w:val="23"/>
          <w:szCs w:val="23"/>
          <w:lang w:val="en-GB"/>
        </w:rPr>
        <w:t>cited</w:t>
      </w:r>
      <w:r w:rsidR="00F00E3D" w:rsidRPr="0034443E">
        <w:rPr>
          <w:rFonts w:asciiTheme="majorHAnsi" w:eastAsia="Calibri Light" w:hAnsiTheme="majorHAnsi" w:cstheme="majorHAnsi"/>
          <w:sz w:val="23"/>
          <w:szCs w:val="23"/>
          <w:lang w:val="en-GB"/>
        </w:rPr>
        <w:t xml:space="preserve"> gap </w:t>
      </w:r>
      <w:r w:rsidR="009D33A0" w:rsidRPr="0034443E">
        <w:rPr>
          <w:rFonts w:asciiTheme="majorHAnsi" w:eastAsia="Calibri Light" w:hAnsiTheme="majorHAnsi" w:cstheme="majorHAnsi"/>
          <w:sz w:val="23"/>
          <w:szCs w:val="23"/>
          <w:lang w:val="en-GB"/>
        </w:rPr>
        <w:t>was</w:t>
      </w:r>
      <w:r w:rsidR="00F00E3D" w:rsidRPr="0034443E">
        <w:rPr>
          <w:rFonts w:asciiTheme="majorHAnsi" w:eastAsia="Calibri Light" w:hAnsiTheme="majorHAnsi" w:cstheme="majorHAnsi"/>
          <w:sz w:val="23"/>
          <w:szCs w:val="23"/>
          <w:lang w:val="en-GB"/>
        </w:rPr>
        <w:t xml:space="preserve"> around digital inclusion, </w:t>
      </w:r>
      <w:r w:rsidRPr="0034443E">
        <w:rPr>
          <w:rFonts w:asciiTheme="majorHAnsi" w:eastAsia="Calibri Light" w:hAnsiTheme="majorHAnsi" w:cstheme="majorHAnsi"/>
          <w:sz w:val="23"/>
          <w:szCs w:val="23"/>
          <w:lang w:val="en-GB"/>
        </w:rPr>
        <w:t xml:space="preserve">an </w:t>
      </w:r>
      <w:r w:rsidR="00780B61" w:rsidRPr="0034443E">
        <w:rPr>
          <w:rFonts w:asciiTheme="majorHAnsi" w:eastAsia="Calibri Light" w:hAnsiTheme="majorHAnsi" w:cstheme="majorHAnsi"/>
          <w:sz w:val="23"/>
          <w:szCs w:val="23"/>
          <w:lang w:val="en-GB"/>
        </w:rPr>
        <w:t>aspect of</w:t>
      </w:r>
      <w:r w:rsidRPr="0034443E">
        <w:rPr>
          <w:rFonts w:asciiTheme="majorHAnsi" w:eastAsia="Calibri Light" w:hAnsiTheme="majorHAnsi" w:cstheme="majorHAnsi"/>
          <w:sz w:val="23"/>
          <w:szCs w:val="23"/>
          <w:lang w:val="en-GB"/>
        </w:rPr>
        <w:t xml:space="preserve"> social inclusion that</w:t>
      </w:r>
      <w:r w:rsidR="00F00E3D" w:rsidRPr="0034443E">
        <w:rPr>
          <w:rFonts w:asciiTheme="majorHAnsi" w:eastAsia="Calibri Light" w:hAnsiTheme="majorHAnsi" w:cstheme="majorHAnsi"/>
          <w:sz w:val="23"/>
          <w:szCs w:val="23"/>
          <w:lang w:val="en-GB"/>
        </w:rPr>
        <w:t xml:space="preserve"> includes</w:t>
      </w:r>
      <w:r w:rsidR="008056FD" w:rsidRPr="0034443E">
        <w:rPr>
          <w:rFonts w:asciiTheme="majorHAnsi" w:eastAsia="Calibri Light" w:hAnsiTheme="majorHAnsi" w:cstheme="majorHAnsi"/>
          <w:sz w:val="23"/>
          <w:szCs w:val="23"/>
          <w:lang w:val="en-GB"/>
        </w:rPr>
        <w:t xml:space="preserve"> </w:t>
      </w:r>
      <w:r w:rsidR="00F00E3D" w:rsidRPr="0034443E">
        <w:rPr>
          <w:rFonts w:asciiTheme="majorHAnsi" w:eastAsia="Calibri Light" w:hAnsiTheme="majorHAnsi" w:cstheme="majorHAnsi"/>
          <w:sz w:val="23"/>
          <w:szCs w:val="23"/>
          <w:lang w:val="en-GB"/>
        </w:rPr>
        <w:t>access, affordability</w:t>
      </w:r>
      <w:r w:rsidR="009D33A0" w:rsidRPr="0034443E">
        <w:rPr>
          <w:rFonts w:asciiTheme="majorHAnsi" w:eastAsia="Calibri Light" w:hAnsiTheme="majorHAnsi" w:cstheme="majorHAnsi"/>
          <w:sz w:val="23"/>
          <w:szCs w:val="23"/>
          <w:lang w:val="en-GB"/>
        </w:rPr>
        <w:t>,</w:t>
      </w:r>
      <w:r w:rsidR="00F00E3D" w:rsidRPr="0034443E">
        <w:rPr>
          <w:rFonts w:asciiTheme="majorHAnsi" w:eastAsia="Calibri Light" w:hAnsiTheme="majorHAnsi" w:cstheme="majorHAnsi"/>
          <w:sz w:val="23"/>
          <w:szCs w:val="23"/>
          <w:lang w:val="en-GB"/>
        </w:rPr>
        <w:t xml:space="preserve"> and ability</w:t>
      </w:r>
      <w:r w:rsidR="00F00E3D" w:rsidRPr="00DD6498">
        <w:rPr>
          <w:rFonts w:asciiTheme="majorHAnsi" w:eastAsia="Calibri Light" w:hAnsiTheme="majorHAnsi" w:cstheme="majorHAnsi"/>
          <w:sz w:val="23"/>
          <w:szCs w:val="23"/>
          <w:lang w:val="en-GB"/>
        </w:rPr>
        <w:t>.</w:t>
      </w:r>
      <w:r w:rsidR="00F00E3D" w:rsidRPr="0034443E">
        <w:rPr>
          <w:rFonts w:asciiTheme="majorHAnsi" w:eastAsia="Calibri Light" w:hAnsiTheme="majorHAnsi" w:cstheme="majorHAnsi"/>
          <w:sz w:val="23"/>
          <w:szCs w:val="23"/>
          <w:lang w:val="en-GB"/>
        </w:rPr>
        <w:t xml:space="preserve"> </w:t>
      </w:r>
      <w:r w:rsidR="009D33A0" w:rsidRPr="0034443E">
        <w:rPr>
          <w:rFonts w:asciiTheme="majorHAnsi" w:eastAsia="Calibri Light" w:hAnsiTheme="majorHAnsi" w:cstheme="majorHAnsi"/>
          <w:sz w:val="23"/>
          <w:szCs w:val="23"/>
          <w:lang w:val="en-GB"/>
        </w:rPr>
        <w:t xml:space="preserve">While </w:t>
      </w:r>
      <w:r w:rsidR="00780B61" w:rsidRPr="0034443E">
        <w:rPr>
          <w:rFonts w:asciiTheme="majorHAnsi" w:eastAsia="Calibri Light" w:hAnsiTheme="majorHAnsi" w:cstheme="majorHAnsi"/>
          <w:sz w:val="23"/>
          <w:szCs w:val="23"/>
          <w:lang w:val="en-GB"/>
        </w:rPr>
        <w:t>digital exclusion was</w:t>
      </w:r>
      <w:r w:rsidR="008056FD" w:rsidRPr="0034443E">
        <w:rPr>
          <w:rFonts w:asciiTheme="majorHAnsi" w:eastAsia="Calibri Light" w:hAnsiTheme="majorHAnsi" w:cstheme="majorHAnsi"/>
          <w:sz w:val="23"/>
          <w:szCs w:val="23"/>
          <w:lang w:val="en-GB"/>
        </w:rPr>
        <w:t xml:space="preserve"> an existing problem in these localities </w:t>
      </w:r>
      <w:r w:rsidR="00F00E3D" w:rsidRPr="0034443E">
        <w:rPr>
          <w:rFonts w:asciiTheme="majorHAnsi" w:eastAsia="Calibri Light" w:hAnsiTheme="majorHAnsi" w:cstheme="majorHAnsi"/>
          <w:sz w:val="23"/>
          <w:szCs w:val="23"/>
          <w:lang w:val="en-GB"/>
        </w:rPr>
        <w:t xml:space="preserve">before the pandemic, </w:t>
      </w:r>
      <w:r w:rsidR="008056FD" w:rsidRPr="0034443E">
        <w:rPr>
          <w:rFonts w:asciiTheme="majorHAnsi" w:eastAsia="Calibri Light" w:hAnsiTheme="majorHAnsi" w:cstheme="majorHAnsi"/>
          <w:sz w:val="23"/>
          <w:szCs w:val="23"/>
          <w:lang w:val="en-GB"/>
        </w:rPr>
        <w:t xml:space="preserve">the situation was heightened by </w:t>
      </w:r>
      <w:r w:rsidR="009D33A0" w:rsidRPr="0034443E">
        <w:rPr>
          <w:rFonts w:asciiTheme="majorHAnsi" w:eastAsia="Calibri Light" w:hAnsiTheme="majorHAnsi" w:cstheme="majorHAnsi"/>
          <w:sz w:val="23"/>
          <w:szCs w:val="23"/>
          <w:lang w:val="en-GB"/>
        </w:rPr>
        <w:t xml:space="preserve">home schooling, </w:t>
      </w:r>
      <w:r w:rsidR="008056FD" w:rsidRPr="0034443E">
        <w:rPr>
          <w:rFonts w:asciiTheme="majorHAnsi" w:eastAsia="Calibri Light" w:hAnsiTheme="majorHAnsi" w:cstheme="majorHAnsi"/>
          <w:sz w:val="23"/>
          <w:szCs w:val="23"/>
          <w:lang w:val="en-GB"/>
        </w:rPr>
        <w:t>work-from-home directives</w:t>
      </w:r>
      <w:r w:rsidR="009D33A0" w:rsidRPr="0034443E">
        <w:rPr>
          <w:rFonts w:asciiTheme="majorHAnsi" w:eastAsia="Calibri Light" w:hAnsiTheme="majorHAnsi" w:cstheme="majorHAnsi"/>
          <w:sz w:val="23"/>
          <w:szCs w:val="23"/>
          <w:lang w:val="en-GB"/>
        </w:rPr>
        <w:t>,</w:t>
      </w:r>
      <w:r w:rsidR="008056FD" w:rsidRPr="0034443E">
        <w:rPr>
          <w:rFonts w:asciiTheme="majorHAnsi" w:eastAsia="Calibri Light" w:hAnsiTheme="majorHAnsi" w:cstheme="majorHAnsi"/>
          <w:sz w:val="23"/>
          <w:szCs w:val="23"/>
          <w:lang w:val="en-GB"/>
        </w:rPr>
        <w:t xml:space="preserve"> restrictions on movement,</w:t>
      </w:r>
      <w:r w:rsidR="009D33A0" w:rsidRPr="0034443E">
        <w:rPr>
          <w:rFonts w:asciiTheme="majorHAnsi" w:eastAsia="Calibri Light" w:hAnsiTheme="majorHAnsi" w:cstheme="majorHAnsi"/>
          <w:sz w:val="23"/>
          <w:szCs w:val="23"/>
          <w:lang w:val="en-GB"/>
        </w:rPr>
        <w:t xml:space="preserve"> and </w:t>
      </w:r>
      <w:r w:rsidR="008056FD" w:rsidRPr="0034443E">
        <w:rPr>
          <w:rFonts w:asciiTheme="majorHAnsi" w:eastAsia="Calibri Light" w:hAnsiTheme="majorHAnsi" w:cstheme="majorHAnsi"/>
          <w:sz w:val="23"/>
          <w:szCs w:val="23"/>
          <w:lang w:val="en-GB"/>
        </w:rPr>
        <w:t>the shift of many</w:t>
      </w:r>
      <w:r w:rsidR="00F00E3D" w:rsidRPr="0034443E">
        <w:rPr>
          <w:rFonts w:asciiTheme="majorHAnsi" w:eastAsia="Calibri Light" w:hAnsiTheme="majorHAnsi" w:cstheme="majorHAnsi"/>
          <w:sz w:val="23"/>
          <w:szCs w:val="23"/>
          <w:lang w:val="en-GB"/>
        </w:rPr>
        <w:t xml:space="preserve"> services online</w:t>
      </w:r>
      <w:r w:rsidR="00780B61" w:rsidRPr="0034443E">
        <w:rPr>
          <w:rFonts w:asciiTheme="majorHAnsi" w:eastAsia="Calibri Light" w:hAnsiTheme="majorHAnsi" w:cstheme="majorHAnsi"/>
          <w:sz w:val="23"/>
          <w:szCs w:val="23"/>
          <w:lang w:val="en-GB"/>
        </w:rPr>
        <w:t xml:space="preserve"> during COVID-19</w:t>
      </w:r>
      <w:r w:rsidR="00F00E3D" w:rsidRPr="0034443E">
        <w:rPr>
          <w:rFonts w:asciiTheme="majorHAnsi" w:eastAsia="Calibri Light" w:hAnsiTheme="majorHAnsi" w:cstheme="majorHAnsi"/>
          <w:sz w:val="23"/>
          <w:szCs w:val="23"/>
          <w:lang w:val="en-GB"/>
        </w:rPr>
        <w:t>. As one service provider noted:</w:t>
      </w:r>
    </w:p>
    <w:p w14:paraId="03D94E81" w14:textId="4F03CD29" w:rsidR="00F00E3D" w:rsidRPr="0034443E" w:rsidRDefault="00F00E3D" w:rsidP="00DD6498">
      <w:pPr>
        <w:spacing w:line="276" w:lineRule="auto"/>
        <w:ind w:left="720"/>
        <w:rPr>
          <w:rFonts w:asciiTheme="majorHAnsi" w:eastAsia="Calibri Light" w:hAnsiTheme="majorHAnsi" w:cstheme="majorHAnsi"/>
          <w:sz w:val="23"/>
          <w:szCs w:val="23"/>
        </w:rPr>
      </w:pPr>
      <w:r w:rsidRPr="0034443E">
        <w:rPr>
          <w:rFonts w:asciiTheme="majorHAnsi" w:eastAsia="Calibri Light" w:hAnsiTheme="majorHAnsi" w:cstheme="majorHAnsi"/>
          <w:sz w:val="23"/>
          <w:szCs w:val="23"/>
        </w:rPr>
        <w:t>There was a loss of connection to one another. This area has low digital inclusion, and low accessibility. If people did have connectivity, they couldn’t rely on it. Affordability is an issue for a lot of people. And some have missed the boat on new technologies. It’s too hard, they don’t have the headspace for it (P11)</w:t>
      </w:r>
      <w:r w:rsidR="00DD6498">
        <w:rPr>
          <w:rFonts w:asciiTheme="majorHAnsi" w:eastAsia="Calibri Light" w:hAnsiTheme="majorHAnsi" w:cstheme="majorHAnsi"/>
          <w:sz w:val="23"/>
          <w:szCs w:val="23"/>
        </w:rPr>
        <w:t>.</w:t>
      </w:r>
    </w:p>
    <w:p w14:paraId="619ACB5B" w14:textId="723FF723" w:rsidR="00780B61" w:rsidRPr="0034443E" w:rsidRDefault="00780B61" w:rsidP="00DD6498">
      <w:pPr>
        <w:spacing w:line="276" w:lineRule="auto"/>
        <w:rPr>
          <w:rFonts w:asciiTheme="majorHAnsi" w:eastAsia="Calibri Light" w:hAnsiTheme="majorHAnsi" w:cstheme="majorHAnsi"/>
          <w:sz w:val="23"/>
          <w:szCs w:val="23"/>
        </w:rPr>
      </w:pPr>
      <w:r w:rsidRPr="0034443E">
        <w:rPr>
          <w:rFonts w:asciiTheme="majorHAnsi" w:eastAsia="Calibri Light" w:hAnsiTheme="majorHAnsi" w:cstheme="majorHAnsi"/>
          <w:sz w:val="23"/>
          <w:szCs w:val="23"/>
        </w:rPr>
        <w:t>Digital exclusion impacted not only education, work, and social connection during the pandemic, but also service access and delivery. Affordability, particularly around data costs, was one identified barrier</w:t>
      </w:r>
      <w:r w:rsidR="00DD6498">
        <w:rPr>
          <w:rFonts w:asciiTheme="majorHAnsi" w:eastAsia="Calibri Light" w:hAnsiTheme="majorHAnsi" w:cstheme="majorHAnsi"/>
          <w:sz w:val="23"/>
          <w:szCs w:val="23"/>
        </w:rPr>
        <w:t>:</w:t>
      </w:r>
    </w:p>
    <w:p w14:paraId="67CE3D9C" w14:textId="595123E1" w:rsidR="00780B61" w:rsidRPr="0034443E" w:rsidRDefault="00780B61" w:rsidP="00DD6498">
      <w:pPr>
        <w:spacing w:line="276" w:lineRule="auto"/>
        <w:ind w:left="720"/>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There were many examples of people not being able to access their GPs. There was telehealth, and most people had a phone or a screen and for them it worked, but for others they did not always have enough data (P9)</w:t>
      </w:r>
      <w:r w:rsidR="00DD6498">
        <w:rPr>
          <w:rFonts w:asciiTheme="majorHAnsi" w:eastAsia="Calibri Light" w:hAnsiTheme="majorHAnsi" w:cstheme="majorHAnsi"/>
          <w:sz w:val="23"/>
          <w:szCs w:val="23"/>
          <w:lang w:val="en-GB"/>
        </w:rPr>
        <w:t>.</w:t>
      </w:r>
    </w:p>
    <w:p w14:paraId="6141949F" w14:textId="4A0ECB18" w:rsidR="0065444F" w:rsidRPr="0034443E" w:rsidRDefault="00780B61" w:rsidP="00DD6498">
      <w:pPr>
        <w:spacing w:line="276" w:lineRule="auto"/>
        <w:rPr>
          <w:rFonts w:asciiTheme="majorHAnsi" w:eastAsia="Calibri Light" w:hAnsiTheme="majorHAnsi" w:cstheme="majorBidi"/>
          <w:sz w:val="23"/>
          <w:szCs w:val="23"/>
          <w:lang w:val="en-GB"/>
        </w:rPr>
      </w:pPr>
      <w:r w:rsidRPr="0034443E">
        <w:rPr>
          <w:rFonts w:asciiTheme="majorHAnsi" w:eastAsia="Calibri Light" w:hAnsiTheme="majorHAnsi" w:cstheme="majorBidi"/>
          <w:sz w:val="23"/>
          <w:szCs w:val="23"/>
          <w:lang w:val="en-GB"/>
        </w:rPr>
        <w:t xml:space="preserve">Interviewees noted that the </w:t>
      </w:r>
      <w:r w:rsidR="0065444F" w:rsidRPr="0034443E">
        <w:rPr>
          <w:rFonts w:asciiTheme="majorHAnsi" w:eastAsia="Calibri Light" w:hAnsiTheme="majorHAnsi" w:cstheme="majorBidi"/>
          <w:sz w:val="23"/>
          <w:szCs w:val="23"/>
          <w:lang w:val="en-GB"/>
        </w:rPr>
        <w:t xml:space="preserve">local Lions Club does recondition and distribute old computers, but </w:t>
      </w:r>
      <w:r w:rsidR="00DD6498">
        <w:rPr>
          <w:rFonts w:asciiTheme="majorHAnsi" w:eastAsia="Calibri Light" w:hAnsiTheme="majorHAnsi" w:cstheme="majorBidi"/>
          <w:sz w:val="23"/>
          <w:szCs w:val="23"/>
          <w:lang w:val="en-GB"/>
        </w:rPr>
        <w:t xml:space="preserve">said </w:t>
      </w:r>
      <w:r w:rsidR="0065444F" w:rsidRPr="0034443E">
        <w:rPr>
          <w:rFonts w:asciiTheme="majorHAnsi" w:eastAsia="Calibri Light" w:hAnsiTheme="majorHAnsi" w:cstheme="majorBidi"/>
          <w:sz w:val="23"/>
          <w:szCs w:val="23"/>
          <w:lang w:val="en-GB"/>
        </w:rPr>
        <w:t xml:space="preserve">more initiatives of this type are </w:t>
      </w:r>
      <w:r w:rsidR="0065444F" w:rsidRPr="00176449">
        <w:rPr>
          <w:rFonts w:asciiTheme="majorHAnsi" w:eastAsia="Calibri Light" w:hAnsiTheme="majorHAnsi" w:cstheme="majorBidi"/>
          <w:sz w:val="23"/>
          <w:szCs w:val="23"/>
          <w:lang w:val="en-GB"/>
        </w:rPr>
        <w:t xml:space="preserve">needed to </w:t>
      </w:r>
      <w:r w:rsidRPr="00176449">
        <w:rPr>
          <w:rFonts w:asciiTheme="majorHAnsi" w:eastAsia="Calibri Light" w:hAnsiTheme="majorHAnsi" w:cstheme="majorBidi"/>
          <w:sz w:val="23"/>
          <w:szCs w:val="23"/>
          <w:lang w:val="en-GB"/>
        </w:rPr>
        <w:t>address barriers around access and affordability</w:t>
      </w:r>
      <w:r w:rsidR="0065444F" w:rsidRPr="00176449">
        <w:rPr>
          <w:rFonts w:asciiTheme="majorHAnsi" w:eastAsia="Calibri Light" w:hAnsiTheme="majorHAnsi" w:cstheme="majorBidi"/>
          <w:sz w:val="23"/>
          <w:szCs w:val="23"/>
          <w:lang w:val="en-GB"/>
        </w:rPr>
        <w:t xml:space="preserve">. Lack of </w:t>
      </w:r>
      <w:r w:rsidRPr="00176449">
        <w:rPr>
          <w:rFonts w:asciiTheme="majorHAnsi" w:eastAsia="Calibri Light" w:hAnsiTheme="majorHAnsi" w:cstheme="majorBidi"/>
          <w:sz w:val="23"/>
          <w:szCs w:val="23"/>
          <w:lang w:val="en-GB"/>
        </w:rPr>
        <w:t xml:space="preserve">both program </w:t>
      </w:r>
      <w:r w:rsidR="0065444F" w:rsidRPr="00176449">
        <w:rPr>
          <w:rFonts w:asciiTheme="majorHAnsi" w:eastAsia="Calibri Light" w:hAnsiTheme="majorHAnsi" w:cstheme="majorBidi"/>
          <w:sz w:val="23"/>
          <w:szCs w:val="23"/>
          <w:lang w:val="en-GB"/>
        </w:rPr>
        <w:t>continuity</w:t>
      </w:r>
      <w:r w:rsidRPr="00176449">
        <w:rPr>
          <w:rFonts w:asciiTheme="majorHAnsi" w:eastAsia="Calibri Light" w:hAnsiTheme="majorHAnsi" w:cstheme="majorBidi"/>
          <w:sz w:val="23"/>
          <w:szCs w:val="23"/>
          <w:lang w:val="en-GB"/>
        </w:rPr>
        <w:t xml:space="preserve"> and integrated responses was</w:t>
      </w:r>
      <w:r w:rsidR="0065444F" w:rsidRPr="00176449">
        <w:rPr>
          <w:rFonts w:asciiTheme="majorHAnsi" w:eastAsia="Calibri Light" w:hAnsiTheme="majorHAnsi" w:cstheme="majorBidi"/>
          <w:sz w:val="23"/>
          <w:szCs w:val="23"/>
          <w:lang w:val="en-GB"/>
        </w:rPr>
        <w:t xml:space="preserve"> </w:t>
      </w:r>
      <w:r w:rsidRPr="00176449">
        <w:rPr>
          <w:rFonts w:asciiTheme="majorHAnsi" w:eastAsia="Calibri Light" w:hAnsiTheme="majorHAnsi" w:cstheme="majorBidi"/>
          <w:sz w:val="23"/>
          <w:szCs w:val="23"/>
          <w:lang w:val="en-GB"/>
        </w:rPr>
        <w:t xml:space="preserve">also </w:t>
      </w:r>
      <w:r w:rsidR="0065444F" w:rsidRPr="00176449">
        <w:rPr>
          <w:rFonts w:asciiTheme="majorHAnsi" w:eastAsia="Calibri Light" w:hAnsiTheme="majorHAnsi" w:cstheme="majorBidi"/>
          <w:sz w:val="23"/>
          <w:szCs w:val="23"/>
          <w:lang w:val="en-GB"/>
        </w:rPr>
        <w:t xml:space="preserve">perceived to be a problem. </w:t>
      </w:r>
      <w:r w:rsidR="0065444F" w:rsidRPr="00176449">
        <w:rPr>
          <w:rFonts w:asciiTheme="majorHAnsi" w:eastAsia="Calibri Light" w:hAnsiTheme="majorHAnsi" w:cstheme="majorHAnsi"/>
          <w:sz w:val="23"/>
          <w:szCs w:val="23"/>
          <w:lang w:val="en-GB"/>
        </w:rPr>
        <w:t>Prior to the pandemic, local digital inclusion programs were reportedly</w:t>
      </w:r>
      <w:r w:rsidR="0065444F" w:rsidRPr="0034443E">
        <w:rPr>
          <w:rFonts w:asciiTheme="majorHAnsi" w:eastAsia="Calibri Light" w:hAnsiTheme="majorHAnsi" w:cstheme="majorHAnsi"/>
          <w:sz w:val="23"/>
          <w:szCs w:val="23"/>
          <w:lang w:val="en-GB"/>
        </w:rPr>
        <w:t xml:space="preserve"> started, but apparently did not continue:</w:t>
      </w:r>
    </w:p>
    <w:p w14:paraId="6F9FD1D4" w14:textId="29ECAAC8" w:rsidR="0065444F" w:rsidRPr="0034443E" w:rsidRDefault="001B7DDF" w:rsidP="00DD6498">
      <w:pPr>
        <w:spacing w:line="276" w:lineRule="auto"/>
        <w:jc w:val="center"/>
        <w:rPr>
          <w:rFonts w:asciiTheme="majorHAnsi" w:eastAsia="Calibri Light" w:hAnsiTheme="majorHAnsi" w:cstheme="majorHAnsi"/>
          <w:sz w:val="23"/>
          <w:szCs w:val="23"/>
          <w:lang w:val="en-GB"/>
        </w:rPr>
      </w:pPr>
      <w:r>
        <w:rPr>
          <w:rFonts w:asciiTheme="majorHAnsi" w:eastAsia="Calibri Light" w:hAnsiTheme="majorHAnsi" w:cstheme="majorHAnsi"/>
          <w:sz w:val="23"/>
          <w:szCs w:val="23"/>
          <w:lang w:val="en-GB"/>
        </w:rPr>
        <w:t>CoGG</w:t>
      </w:r>
      <w:r w:rsidR="0065444F" w:rsidRPr="0034443E">
        <w:rPr>
          <w:rFonts w:asciiTheme="majorHAnsi" w:eastAsia="Calibri Light" w:hAnsiTheme="majorHAnsi" w:cstheme="majorHAnsi"/>
          <w:sz w:val="23"/>
          <w:szCs w:val="23"/>
          <w:lang w:val="en-GB"/>
        </w:rPr>
        <w:t xml:space="preserve"> should finish what it started – getting people connected on the net. (P1)</w:t>
      </w:r>
    </w:p>
    <w:p w14:paraId="015792CE" w14:textId="5C9FE60C" w:rsidR="005943C1" w:rsidRPr="0034443E" w:rsidRDefault="005943C1" w:rsidP="00DD6498">
      <w:pPr>
        <w:spacing w:line="276" w:lineRule="auto"/>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 xml:space="preserve">Digital ability – an aspect of digital inclusion that encompasses skills, confidence, </w:t>
      </w:r>
      <w:r w:rsidR="0034443E">
        <w:rPr>
          <w:rFonts w:asciiTheme="majorHAnsi" w:eastAsia="Calibri Light" w:hAnsiTheme="majorHAnsi" w:cstheme="majorHAnsi"/>
          <w:sz w:val="23"/>
          <w:szCs w:val="23"/>
          <w:lang w:val="en-GB"/>
        </w:rPr>
        <w:t xml:space="preserve">online activities, </w:t>
      </w:r>
      <w:r w:rsidRPr="0034443E">
        <w:rPr>
          <w:rFonts w:asciiTheme="majorHAnsi" w:eastAsia="Calibri Light" w:hAnsiTheme="majorHAnsi" w:cstheme="majorHAnsi"/>
          <w:sz w:val="23"/>
          <w:szCs w:val="23"/>
          <w:lang w:val="en-GB"/>
        </w:rPr>
        <w:t xml:space="preserve">and attitudes – was another reported gap, with some community workers and residents </w:t>
      </w:r>
      <w:r w:rsidR="0034443E">
        <w:rPr>
          <w:rFonts w:asciiTheme="majorHAnsi" w:eastAsia="Calibri Light" w:hAnsiTheme="majorHAnsi" w:cstheme="majorHAnsi"/>
          <w:sz w:val="23"/>
          <w:szCs w:val="23"/>
          <w:lang w:val="en-GB"/>
        </w:rPr>
        <w:t xml:space="preserve">alike </w:t>
      </w:r>
      <w:r w:rsidRPr="0034443E">
        <w:rPr>
          <w:rFonts w:asciiTheme="majorHAnsi" w:eastAsia="Calibri Light" w:hAnsiTheme="majorHAnsi" w:cstheme="majorHAnsi"/>
          <w:sz w:val="23"/>
          <w:szCs w:val="23"/>
          <w:lang w:val="en-GB"/>
        </w:rPr>
        <w:t>unable or reluctant to engage digitally:</w:t>
      </w:r>
    </w:p>
    <w:p w14:paraId="2463A38F" w14:textId="677EAA49" w:rsidR="00F00E3D" w:rsidRPr="0034443E" w:rsidRDefault="00F00E3D" w:rsidP="00CD6F39">
      <w:pPr>
        <w:spacing w:line="276" w:lineRule="auto"/>
        <w:ind w:left="720"/>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 xml:space="preserve">Going online made it really difficult. Some </w:t>
      </w:r>
      <w:r w:rsidR="009D33A0" w:rsidRPr="0034443E">
        <w:rPr>
          <w:rFonts w:asciiTheme="majorHAnsi" w:eastAsia="Calibri Light" w:hAnsiTheme="majorHAnsi" w:cstheme="majorHAnsi"/>
          <w:sz w:val="23"/>
          <w:szCs w:val="23"/>
          <w:lang w:val="en-GB"/>
        </w:rPr>
        <w:t xml:space="preserve">[staff] </w:t>
      </w:r>
      <w:r w:rsidRPr="0034443E">
        <w:rPr>
          <w:rFonts w:asciiTheme="majorHAnsi" w:eastAsia="Calibri Light" w:hAnsiTheme="majorHAnsi" w:cstheme="majorHAnsi"/>
          <w:sz w:val="23"/>
          <w:szCs w:val="23"/>
          <w:lang w:val="en-GB"/>
        </w:rPr>
        <w:t>were pro-active and reached out to clients</w:t>
      </w:r>
      <w:r w:rsidR="009D33A0" w:rsidRPr="0034443E">
        <w:rPr>
          <w:rFonts w:asciiTheme="majorHAnsi" w:eastAsia="Calibri Light" w:hAnsiTheme="majorHAnsi" w:cstheme="majorHAnsi"/>
          <w:sz w:val="23"/>
          <w:szCs w:val="23"/>
          <w:lang w:val="en-GB"/>
        </w:rPr>
        <w:t xml:space="preserve"> –</w:t>
      </w:r>
      <w:r w:rsidRPr="0034443E">
        <w:rPr>
          <w:rFonts w:asciiTheme="majorHAnsi" w:eastAsia="Calibri Light" w:hAnsiTheme="majorHAnsi" w:cstheme="majorHAnsi"/>
          <w:sz w:val="23"/>
          <w:szCs w:val="23"/>
          <w:lang w:val="en-GB"/>
        </w:rPr>
        <w:t xml:space="preserve"> some actually drove to a house and called from their car out</w:t>
      </w:r>
      <w:r w:rsidR="009D33A0" w:rsidRPr="0034443E">
        <w:rPr>
          <w:rFonts w:asciiTheme="majorHAnsi" w:eastAsia="Calibri Light" w:hAnsiTheme="majorHAnsi" w:cstheme="majorHAnsi"/>
          <w:sz w:val="23"/>
          <w:szCs w:val="23"/>
          <w:lang w:val="en-GB"/>
        </w:rPr>
        <w:t xml:space="preserve"> the</w:t>
      </w:r>
      <w:r w:rsidRPr="0034443E">
        <w:rPr>
          <w:rFonts w:asciiTheme="majorHAnsi" w:eastAsia="Calibri Light" w:hAnsiTheme="majorHAnsi" w:cstheme="majorHAnsi"/>
          <w:sz w:val="23"/>
          <w:szCs w:val="23"/>
          <w:lang w:val="en-GB"/>
        </w:rPr>
        <w:t xml:space="preserve"> front. But others did not. Most </w:t>
      </w:r>
      <w:r w:rsidR="009D33A0" w:rsidRPr="0034443E">
        <w:rPr>
          <w:rFonts w:asciiTheme="majorHAnsi" w:eastAsia="Calibri Light" w:hAnsiTheme="majorHAnsi" w:cstheme="majorHAnsi"/>
          <w:sz w:val="23"/>
          <w:szCs w:val="23"/>
          <w:lang w:val="en-GB"/>
        </w:rPr>
        <w:t>[residents]</w:t>
      </w:r>
      <w:r w:rsidRPr="0034443E">
        <w:rPr>
          <w:rFonts w:asciiTheme="majorHAnsi" w:eastAsia="Calibri Light" w:hAnsiTheme="majorHAnsi" w:cstheme="majorHAnsi"/>
          <w:sz w:val="23"/>
          <w:szCs w:val="23"/>
          <w:lang w:val="en-GB"/>
        </w:rPr>
        <w:t xml:space="preserve"> have a phone and could do it, but they did not necessarily. Services had to reach out to them. (P8)</w:t>
      </w:r>
    </w:p>
    <w:p w14:paraId="0EB35CE9" w14:textId="5FD2CC61" w:rsidR="00DD6498" w:rsidRPr="00AF5458" w:rsidRDefault="00F00E3D" w:rsidP="00CD6F39">
      <w:pPr>
        <w:spacing w:line="276" w:lineRule="auto"/>
        <w:rPr>
          <w:rFonts w:eastAsia="Calibri Light" w:cstheme="majorHAnsi"/>
          <w:sz w:val="25"/>
          <w:szCs w:val="25"/>
          <w:lang w:val="en-GB"/>
        </w:rPr>
      </w:pPr>
      <w:r w:rsidRPr="00AF5458">
        <w:rPr>
          <w:rFonts w:eastAsia="Calibri Light" w:cstheme="majorHAnsi"/>
          <w:b/>
          <w:bCs/>
          <w:sz w:val="25"/>
          <w:szCs w:val="25"/>
          <w:lang w:val="en-GB"/>
        </w:rPr>
        <w:t xml:space="preserve">Social </w:t>
      </w:r>
      <w:r w:rsidR="00AF5458">
        <w:rPr>
          <w:rFonts w:eastAsia="Calibri Light" w:cstheme="majorHAnsi"/>
          <w:b/>
          <w:bCs/>
          <w:sz w:val="25"/>
          <w:szCs w:val="25"/>
          <w:lang w:val="en-GB"/>
        </w:rPr>
        <w:t>C</w:t>
      </w:r>
      <w:r w:rsidRPr="00AF5458">
        <w:rPr>
          <w:rFonts w:eastAsia="Calibri Light" w:cstheme="majorHAnsi"/>
          <w:b/>
          <w:bCs/>
          <w:sz w:val="25"/>
          <w:szCs w:val="25"/>
          <w:lang w:val="en-GB"/>
        </w:rPr>
        <w:t>onnection</w:t>
      </w:r>
    </w:p>
    <w:p w14:paraId="55A9AB76" w14:textId="77777777" w:rsidR="00D87647" w:rsidRPr="0034443E" w:rsidRDefault="00D87647" w:rsidP="00D87647">
      <w:pPr>
        <w:spacing w:line="276" w:lineRule="auto"/>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While many interviewees mentioned the strength and resilience of local communities during the pandemic, they also lamented the erosion of community spirit and connection:</w:t>
      </w:r>
    </w:p>
    <w:p w14:paraId="6923B770" w14:textId="77777777" w:rsidR="00D87647" w:rsidRPr="0034443E" w:rsidRDefault="00D87647" w:rsidP="00D87647">
      <w:pPr>
        <w:spacing w:line="276" w:lineRule="auto"/>
        <w:ind w:left="720"/>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Back in the day there was more of a community in Norlane. On a hot summer’s night, people would turn their TV around in their windows and kids would go outside on blankets and the adults would sit on the fences and talk to each other. Everyone felt safe. We need this feeling back… (P1)</w:t>
      </w:r>
    </w:p>
    <w:p w14:paraId="6B7C5A40" w14:textId="0F1659CA" w:rsidR="00D87647" w:rsidRDefault="00DD6498" w:rsidP="00D87647">
      <w:pPr>
        <w:spacing w:line="276" w:lineRule="auto"/>
        <w:rPr>
          <w:rFonts w:asciiTheme="majorHAnsi" w:eastAsia="Calibri Light" w:hAnsiTheme="majorHAnsi" w:cstheme="majorHAnsi"/>
          <w:sz w:val="23"/>
          <w:szCs w:val="23"/>
          <w:lang w:val="en-GB"/>
        </w:rPr>
      </w:pPr>
      <w:r>
        <w:rPr>
          <w:rFonts w:asciiTheme="majorHAnsi" w:eastAsia="Calibri Light" w:hAnsiTheme="majorHAnsi" w:cstheme="majorHAnsi"/>
          <w:sz w:val="23"/>
          <w:szCs w:val="23"/>
          <w:lang w:val="en-GB"/>
        </w:rPr>
        <w:t>The</w:t>
      </w:r>
      <w:r w:rsidR="00F00E3D" w:rsidRPr="0034443E">
        <w:rPr>
          <w:rFonts w:asciiTheme="majorHAnsi" w:eastAsia="Calibri Light" w:hAnsiTheme="majorHAnsi" w:cstheme="majorHAnsi"/>
          <w:sz w:val="23"/>
          <w:szCs w:val="23"/>
          <w:lang w:val="en-GB"/>
        </w:rPr>
        <w:t xml:space="preserve"> pandemic</w:t>
      </w:r>
      <w:r>
        <w:rPr>
          <w:rFonts w:asciiTheme="majorHAnsi" w:eastAsia="Calibri Light" w:hAnsiTheme="majorHAnsi" w:cstheme="majorHAnsi"/>
          <w:sz w:val="23"/>
          <w:szCs w:val="23"/>
          <w:lang w:val="en-GB"/>
        </w:rPr>
        <w:t xml:space="preserve"> </w:t>
      </w:r>
      <w:r w:rsidR="00D87647">
        <w:rPr>
          <w:rFonts w:asciiTheme="majorHAnsi" w:eastAsia="Calibri Light" w:hAnsiTheme="majorHAnsi" w:cstheme="majorHAnsi"/>
          <w:sz w:val="23"/>
          <w:szCs w:val="23"/>
          <w:lang w:val="en-GB"/>
        </w:rPr>
        <w:t xml:space="preserve">also </w:t>
      </w:r>
      <w:r>
        <w:rPr>
          <w:rFonts w:asciiTheme="majorHAnsi" w:eastAsia="Calibri Light" w:hAnsiTheme="majorHAnsi" w:cstheme="majorHAnsi"/>
          <w:sz w:val="23"/>
          <w:szCs w:val="23"/>
          <w:lang w:val="en-GB"/>
        </w:rPr>
        <w:t xml:space="preserve">increased </w:t>
      </w:r>
      <w:r w:rsidR="00AF5458">
        <w:rPr>
          <w:rFonts w:asciiTheme="majorHAnsi" w:eastAsia="Calibri Light" w:hAnsiTheme="majorHAnsi" w:cstheme="majorHAnsi"/>
          <w:sz w:val="23"/>
          <w:szCs w:val="23"/>
          <w:lang w:val="en-GB"/>
        </w:rPr>
        <w:t>social isolation</w:t>
      </w:r>
      <w:r w:rsidR="00865F86">
        <w:rPr>
          <w:rFonts w:asciiTheme="majorHAnsi" w:eastAsia="Calibri Light" w:hAnsiTheme="majorHAnsi" w:cstheme="majorHAnsi"/>
          <w:sz w:val="23"/>
          <w:szCs w:val="23"/>
          <w:lang w:val="en-GB"/>
        </w:rPr>
        <w:t xml:space="preserve">. While some residents are clearly eager to reconnect with people in their communities, for others these broken connections </w:t>
      </w:r>
      <w:r w:rsidR="00B44E67">
        <w:rPr>
          <w:rFonts w:asciiTheme="majorHAnsi" w:eastAsia="Calibri Light" w:hAnsiTheme="majorHAnsi" w:cstheme="majorHAnsi"/>
          <w:sz w:val="23"/>
          <w:szCs w:val="23"/>
          <w:lang w:val="en-GB"/>
        </w:rPr>
        <w:t>seem likely to persist</w:t>
      </w:r>
      <w:r w:rsidR="00865F86">
        <w:rPr>
          <w:rFonts w:asciiTheme="majorHAnsi" w:eastAsia="Calibri Light" w:hAnsiTheme="majorHAnsi" w:cstheme="majorHAnsi"/>
          <w:sz w:val="23"/>
          <w:szCs w:val="23"/>
          <w:lang w:val="en-GB"/>
        </w:rPr>
        <w:t>:</w:t>
      </w:r>
    </w:p>
    <w:p w14:paraId="23F76E4E" w14:textId="34D8820E" w:rsidR="00D87647" w:rsidRDefault="00D87647" w:rsidP="00D87647">
      <w:pPr>
        <w:spacing w:line="276" w:lineRule="auto"/>
        <w:ind w:firstLine="720"/>
        <w:rPr>
          <w:rFonts w:asciiTheme="majorHAnsi" w:eastAsia="Calibri Light" w:hAnsiTheme="majorHAnsi" w:cstheme="majorHAnsi"/>
          <w:sz w:val="23"/>
          <w:szCs w:val="23"/>
          <w:lang w:val="en-GB"/>
        </w:rPr>
      </w:pPr>
      <w:r w:rsidRPr="00D87647">
        <w:rPr>
          <w:rFonts w:asciiTheme="majorHAnsi" w:eastAsia="Calibri Light" w:hAnsiTheme="majorHAnsi" w:cstheme="majorHAnsi"/>
          <w:sz w:val="23"/>
          <w:szCs w:val="23"/>
          <w:lang w:val="en-GB"/>
        </w:rPr>
        <w:t>Some young people won’t go back to sport (P8)</w:t>
      </w:r>
      <w:r w:rsidR="00865F86">
        <w:rPr>
          <w:rFonts w:asciiTheme="majorHAnsi" w:eastAsia="Calibri Light" w:hAnsiTheme="majorHAnsi" w:cstheme="majorHAnsi"/>
          <w:sz w:val="23"/>
          <w:szCs w:val="23"/>
          <w:lang w:val="en-GB"/>
        </w:rPr>
        <w:t>.</w:t>
      </w:r>
    </w:p>
    <w:p w14:paraId="7C1D5E9C" w14:textId="2FB4DFDC" w:rsidR="00F00E3D" w:rsidRPr="0034443E" w:rsidRDefault="00B44E67" w:rsidP="005E2E08">
      <w:pPr>
        <w:spacing w:line="276" w:lineRule="auto"/>
        <w:rPr>
          <w:rFonts w:asciiTheme="majorHAnsi" w:eastAsia="Calibri Light" w:hAnsiTheme="majorHAnsi" w:cstheme="majorHAnsi"/>
          <w:sz w:val="23"/>
          <w:szCs w:val="23"/>
          <w:lang w:val="en-GB"/>
        </w:rPr>
      </w:pPr>
      <w:r>
        <w:rPr>
          <w:rFonts w:asciiTheme="majorHAnsi" w:eastAsia="Calibri Light" w:hAnsiTheme="majorHAnsi" w:cstheme="majorHAnsi"/>
          <w:sz w:val="23"/>
          <w:szCs w:val="23"/>
          <w:lang w:val="en-GB"/>
        </w:rPr>
        <w:lastRenderedPageBreak/>
        <w:t>COVID-19</w:t>
      </w:r>
      <w:r w:rsidR="00F00E3D" w:rsidRPr="0034443E">
        <w:rPr>
          <w:rFonts w:asciiTheme="majorHAnsi" w:eastAsia="Calibri Light" w:hAnsiTheme="majorHAnsi" w:cstheme="majorHAnsi"/>
          <w:sz w:val="23"/>
          <w:szCs w:val="23"/>
          <w:lang w:val="en-GB"/>
        </w:rPr>
        <w:t xml:space="preserve"> also</w:t>
      </w:r>
      <w:r w:rsidR="00EB5443">
        <w:rPr>
          <w:rFonts w:asciiTheme="majorHAnsi" w:eastAsia="Calibri Light" w:hAnsiTheme="majorHAnsi" w:cstheme="majorHAnsi"/>
          <w:sz w:val="23"/>
          <w:szCs w:val="23"/>
          <w:lang w:val="en-GB"/>
        </w:rPr>
        <w:t xml:space="preserve"> brought</w:t>
      </w:r>
      <w:r w:rsidR="00F00E3D" w:rsidRPr="0034443E">
        <w:rPr>
          <w:rFonts w:asciiTheme="majorHAnsi" w:eastAsia="Calibri Light" w:hAnsiTheme="majorHAnsi" w:cstheme="majorHAnsi"/>
          <w:sz w:val="23"/>
          <w:szCs w:val="23"/>
          <w:lang w:val="en-GB"/>
        </w:rPr>
        <w:t xml:space="preserve"> some unexpected pluses</w:t>
      </w:r>
      <w:r w:rsidR="00CD6F39">
        <w:rPr>
          <w:rFonts w:asciiTheme="majorHAnsi" w:eastAsia="Calibri Light" w:hAnsiTheme="majorHAnsi" w:cstheme="majorHAnsi"/>
          <w:sz w:val="23"/>
          <w:szCs w:val="23"/>
          <w:lang w:val="en-GB"/>
        </w:rPr>
        <w:t xml:space="preserve"> </w:t>
      </w:r>
      <w:r w:rsidR="00EB5443">
        <w:rPr>
          <w:rFonts w:asciiTheme="majorHAnsi" w:eastAsia="Calibri Light" w:hAnsiTheme="majorHAnsi" w:cstheme="majorHAnsi"/>
          <w:sz w:val="23"/>
          <w:szCs w:val="23"/>
          <w:lang w:val="en-GB"/>
        </w:rPr>
        <w:t>and mixed blessings,</w:t>
      </w:r>
      <w:r w:rsidR="00CD6F39">
        <w:rPr>
          <w:rFonts w:asciiTheme="majorHAnsi" w:eastAsia="Calibri Light" w:hAnsiTheme="majorHAnsi" w:cstheme="majorHAnsi"/>
          <w:sz w:val="23"/>
          <w:szCs w:val="23"/>
          <w:lang w:val="en-GB"/>
        </w:rPr>
        <w:t xml:space="preserve"> for example,</w:t>
      </w:r>
      <w:r w:rsidR="00EB5443">
        <w:rPr>
          <w:rFonts w:asciiTheme="majorHAnsi" w:eastAsia="Calibri Light" w:hAnsiTheme="majorHAnsi" w:cstheme="majorHAnsi"/>
          <w:sz w:val="23"/>
          <w:szCs w:val="23"/>
          <w:lang w:val="en-GB"/>
        </w:rPr>
        <w:t xml:space="preserve"> in</w:t>
      </w:r>
      <w:r w:rsidR="00F00E3D" w:rsidRPr="0034443E">
        <w:rPr>
          <w:rFonts w:asciiTheme="majorHAnsi" w:eastAsia="Calibri Light" w:hAnsiTheme="majorHAnsi" w:cstheme="majorHAnsi"/>
          <w:sz w:val="23"/>
          <w:szCs w:val="23"/>
          <w:lang w:val="en-GB"/>
        </w:rPr>
        <w:t xml:space="preserve"> the closure of</w:t>
      </w:r>
      <w:r w:rsidR="00CD6F39">
        <w:rPr>
          <w:rFonts w:asciiTheme="majorHAnsi" w:eastAsia="Calibri Light" w:hAnsiTheme="majorHAnsi" w:cstheme="majorHAnsi"/>
          <w:sz w:val="23"/>
          <w:szCs w:val="23"/>
          <w:lang w:val="en-GB"/>
        </w:rPr>
        <w:t xml:space="preserve"> </w:t>
      </w:r>
      <w:r w:rsidR="00F00E3D" w:rsidRPr="0034443E">
        <w:rPr>
          <w:rFonts w:asciiTheme="majorHAnsi" w:eastAsia="Calibri Light" w:hAnsiTheme="majorHAnsi" w:cstheme="majorHAnsi"/>
          <w:sz w:val="23"/>
          <w:szCs w:val="23"/>
          <w:lang w:val="en-GB"/>
        </w:rPr>
        <w:t>gambling venues</w:t>
      </w:r>
      <w:r w:rsidR="00CD6F39">
        <w:rPr>
          <w:rFonts w:asciiTheme="majorHAnsi" w:eastAsia="Calibri Light" w:hAnsiTheme="majorHAnsi" w:cstheme="majorHAnsi"/>
          <w:sz w:val="23"/>
          <w:szCs w:val="23"/>
          <w:lang w:val="en-GB"/>
        </w:rPr>
        <w:t>:</w:t>
      </w:r>
    </w:p>
    <w:p w14:paraId="0DC390C5" w14:textId="5372F601" w:rsidR="00F00E3D" w:rsidRPr="0034443E" w:rsidRDefault="00F00E3D" w:rsidP="00CB3DC1">
      <w:pPr>
        <w:spacing w:line="276" w:lineRule="auto"/>
        <w:ind w:left="720"/>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The pokies closing had some positives and negatives – it meant that some people found their lives again, got their lives back. But these were also some of the few safe spaces</w:t>
      </w:r>
      <w:r w:rsidR="006B3646">
        <w:rPr>
          <w:rFonts w:asciiTheme="majorHAnsi" w:eastAsia="Calibri Light" w:hAnsiTheme="majorHAnsi" w:cstheme="majorHAnsi"/>
          <w:sz w:val="23"/>
          <w:szCs w:val="23"/>
          <w:lang w:val="en-GB"/>
        </w:rPr>
        <w:t xml:space="preserve"> [some people had]</w:t>
      </w:r>
      <w:r w:rsidRPr="0034443E">
        <w:rPr>
          <w:rFonts w:asciiTheme="majorHAnsi" w:eastAsia="Calibri Light" w:hAnsiTheme="majorHAnsi" w:cstheme="majorHAnsi"/>
          <w:sz w:val="23"/>
          <w:szCs w:val="23"/>
          <w:lang w:val="en-GB"/>
        </w:rPr>
        <w:t>. Gambling is a huge issue in these areas</w:t>
      </w:r>
      <w:r w:rsidR="006B3646">
        <w:rPr>
          <w:rFonts w:asciiTheme="majorHAnsi" w:eastAsia="Calibri Light" w:hAnsiTheme="majorHAnsi" w:cstheme="majorHAnsi"/>
          <w:sz w:val="23"/>
          <w:szCs w:val="23"/>
          <w:lang w:val="en-GB"/>
        </w:rPr>
        <w:t xml:space="preserve"> (P8).</w:t>
      </w:r>
    </w:p>
    <w:p w14:paraId="2295800E" w14:textId="3DCC152F" w:rsidR="00F00E3D" w:rsidRPr="0034443E" w:rsidRDefault="00EB5443" w:rsidP="003B16D3">
      <w:pPr>
        <w:spacing w:line="276" w:lineRule="auto"/>
        <w:rPr>
          <w:rFonts w:asciiTheme="majorHAnsi" w:eastAsia="Calibri Light" w:hAnsiTheme="majorHAnsi" w:cstheme="majorHAnsi"/>
          <w:sz w:val="23"/>
          <w:szCs w:val="23"/>
          <w:lang w:val="en-GB"/>
        </w:rPr>
      </w:pPr>
      <w:r>
        <w:rPr>
          <w:rFonts w:asciiTheme="majorHAnsi" w:eastAsia="Calibri Light" w:hAnsiTheme="majorHAnsi" w:cstheme="majorHAnsi"/>
          <w:sz w:val="23"/>
          <w:szCs w:val="23"/>
          <w:lang w:val="en-GB"/>
        </w:rPr>
        <w:t>The crisis also highlighted</w:t>
      </w:r>
      <w:r w:rsidR="00F00E3D" w:rsidRPr="0034443E">
        <w:rPr>
          <w:rFonts w:asciiTheme="majorHAnsi" w:eastAsia="Calibri Light" w:hAnsiTheme="majorHAnsi" w:cstheme="majorHAnsi"/>
          <w:sz w:val="23"/>
          <w:szCs w:val="23"/>
          <w:lang w:val="en-GB"/>
        </w:rPr>
        <w:t xml:space="preserve"> gap</w:t>
      </w:r>
      <w:r>
        <w:rPr>
          <w:rFonts w:asciiTheme="majorHAnsi" w:eastAsia="Calibri Light" w:hAnsiTheme="majorHAnsi" w:cstheme="majorHAnsi"/>
          <w:sz w:val="23"/>
          <w:szCs w:val="23"/>
          <w:lang w:val="en-GB"/>
        </w:rPr>
        <w:t>s</w:t>
      </w:r>
      <w:r w:rsidR="00F00E3D" w:rsidRPr="0034443E">
        <w:rPr>
          <w:rFonts w:asciiTheme="majorHAnsi" w:eastAsia="Calibri Light" w:hAnsiTheme="majorHAnsi" w:cstheme="majorHAnsi"/>
          <w:sz w:val="23"/>
          <w:szCs w:val="23"/>
          <w:lang w:val="en-GB"/>
        </w:rPr>
        <w:t xml:space="preserve"> in the provision of services</w:t>
      </w:r>
      <w:r w:rsidR="009A28A5">
        <w:rPr>
          <w:rFonts w:asciiTheme="majorHAnsi" w:eastAsia="Calibri Light" w:hAnsiTheme="majorHAnsi" w:cstheme="majorHAnsi"/>
          <w:sz w:val="23"/>
          <w:szCs w:val="23"/>
          <w:lang w:val="en-GB"/>
        </w:rPr>
        <w:t xml:space="preserve">. Not all these gaps were a result of service </w:t>
      </w:r>
      <w:r w:rsidR="00E47D1A">
        <w:rPr>
          <w:rFonts w:asciiTheme="majorHAnsi" w:eastAsia="Calibri Light" w:hAnsiTheme="majorHAnsi" w:cstheme="majorHAnsi"/>
          <w:sz w:val="23"/>
          <w:szCs w:val="23"/>
          <w:lang w:val="en-GB"/>
        </w:rPr>
        <w:t xml:space="preserve">closures </w:t>
      </w:r>
      <w:r w:rsidR="009A28A5">
        <w:rPr>
          <w:rFonts w:asciiTheme="majorHAnsi" w:eastAsia="Calibri Light" w:hAnsiTheme="majorHAnsi" w:cstheme="majorHAnsi"/>
          <w:sz w:val="23"/>
          <w:szCs w:val="23"/>
          <w:lang w:val="en-GB"/>
        </w:rPr>
        <w:t>or</w:t>
      </w:r>
      <w:r w:rsidR="00F00E3D" w:rsidRPr="0034443E">
        <w:rPr>
          <w:rFonts w:asciiTheme="majorHAnsi" w:eastAsia="Calibri Light" w:hAnsiTheme="majorHAnsi" w:cstheme="majorHAnsi"/>
          <w:sz w:val="23"/>
          <w:szCs w:val="23"/>
          <w:lang w:val="en-GB"/>
        </w:rPr>
        <w:t xml:space="preserve"> </w:t>
      </w:r>
      <w:r w:rsidR="006B3646">
        <w:rPr>
          <w:rFonts w:asciiTheme="majorHAnsi" w:eastAsia="Calibri Light" w:hAnsiTheme="majorHAnsi" w:cstheme="majorHAnsi"/>
          <w:sz w:val="23"/>
          <w:szCs w:val="23"/>
          <w:lang w:val="en-GB"/>
        </w:rPr>
        <w:t xml:space="preserve">digital </w:t>
      </w:r>
      <w:r w:rsidR="009A28A5">
        <w:rPr>
          <w:rFonts w:asciiTheme="majorHAnsi" w:eastAsia="Calibri Light" w:hAnsiTheme="majorHAnsi" w:cstheme="majorHAnsi"/>
          <w:sz w:val="23"/>
          <w:szCs w:val="23"/>
          <w:lang w:val="en-GB"/>
        </w:rPr>
        <w:t>exclusion</w:t>
      </w:r>
      <w:r w:rsidR="003F5DA0">
        <w:rPr>
          <w:rFonts w:asciiTheme="majorHAnsi" w:eastAsia="Calibri Light" w:hAnsiTheme="majorHAnsi" w:cstheme="majorHAnsi"/>
          <w:sz w:val="23"/>
          <w:szCs w:val="23"/>
          <w:lang w:val="en-GB"/>
        </w:rPr>
        <w:t xml:space="preserve">; some </w:t>
      </w:r>
      <w:r w:rsidR="0099474E">
        <w:rPr>
          <w:rFonts w:asciiTheme="majorHAnsi" w:eastAsia="Calibri Light" w:hAnsiTheme="majorHAnsi" w:cstheme="majorHAnsi"/>
          <w:sz w:val="23"/>
          <w:szCs w:val="23"/>
          <w:lang w:val="en-GB"/>
        </w:rPr>
        <w:t>point to</w:t>
      </w:r>
      <w:r w:rsidR="003F5DA0">
        <w:rPr>
          <w:rFonts w:asciiTheme="majorHAnsi" w:eastAsia="Calibri Light" w:hAnsiTheme="majorHAnsi" w:cstheme="majorHAnsi"/>
          <w:sz w:val="23"/>
          <w:szCs w:val="23"/>
          <w:lang w:val="en-GB"/>
        </w:rPr>
        <w:t xml:space="preserve"> </w:t>
      </w:r>
      <w:r w:rsidR="00E47D1A">
        <w:rPr>
          <w:rFonts w:asciiTheme="majorHAnsi" w:eastAsia="Calibri Light" w:hAnsiTheme="majorHAnsi" w:cstheme="majorHAnsi"/>
          <w:sz w:val="23"/>
          <w:szCs w:val="23"/>
          <w:lang w:val="en-GB"/>
        </w:rPr>
        <w:t xml:space="preserve">more ingrained </w:t>
      </w:r>
      <w:r w:rsidR="00FD56F6">
        <w:rPr>
          <w:rFonts w:asciiTheme="majorHAnsi" w:eastAsia="Calibri Light" w:hAnsiTheme="majorHAnsi" w:cstheme="majorHAnsi"/>
          <w:sz w:val="23"/>
          <w:szCs w:val="23"/>
          <w:lang w:val="en-GB"/>
        </w:rPr>
        <w:t>problems</w:t>
      </w:r>
      <w:r w:rsidR="0099474E">
        <w:rPr>
          <w:rFonts w:asciiTheme="majorHAnsi" w:eastAsia="Calibri Light" w:hAnsiTheme="majorHAnsi" w:cstheme="majorHAnsi"/>
          <w:sz w:val="23"/>
          <w:szCs w:val="23"/>
          <w:lang w:val="en-GB"/>
        </w:rPr>
        <w:t>, including perceived inaction</w:t>
      </w:r>
      <w:r w:rsidR="005E2E08">
        <w:rPr>
          <w:rFonts w:asciiTheme="majorHAnsi" w:eastAsia="Calibri Light" w:hAnsiTheme="majorHAnsi" w:cstheme="majorHAnsi"/>
          <w:sz w:val="23"/>
          <w:szCs w:val="23"/>
          <w:lang w:val="en-GB"/>
        </w:rPr>
        <w:t>, unmet needs, and</w:t>
      </w:r>
      <w:r w:rsidR="00E47D1A">
        <w:rPr>
          <w:rFonts w:asciiTheme="majorHAnsi" w:eastAsia="Calibri Light" w:hAnsiTheme="majorHAnsi" w:cstheme="majorHAnsi"/>
          <w:sz w:val="23"/>
          <w:szCs w:val="23"/>
          <w:lang w:val="en-GB"/>
        </w:rPr>
        <w:t xml:space="preserve"> </w:t>
      </w:r>
      <w:r w:rsidR="003F5DA0">
        <w:rPr>
          <w:rFonts w:asciiTheme="majorHAnsi" w:eastAsia="Calibri Light" w:hAnsiTheme="majorHAnsi" w:cstheme="majorHAnsi"/>
          <w:sz w:val="23"/>
          <w:szCs w:val="23"/>
          <w:lang w:val="en-GB"/>
        </w:rPr>
        <w:t>a lack of coordination between agencies</w:t>
      </w:r>
      <w:r w:rsidR="00E47D1A">
        <w:rPr>
          <w:rFonts w:asciiTheme="majorHAnsi" w:eastAsia="Calibri Light" w:hAnsiTheme="majorHAnsi" w:cstheme="majorHAnsi"/>
          <w:sz w:val="23"/>
          <w:szCs w:val="23"/>
          <w:lang w:val="en-GB"/>
        </w:rPr>
        <w:t>.</w:t>
      </w:r>
    </w:p>
    <w:p w14:paraId="5C5E4C30" w14:textId="0975453D" w:rsidR="00F00E3D" w:rsidRPr="0034443E" w:rsidRDefault="00C32D6A" w:rsidP="003B16D3">
      <w:pPr>
        <w:spacing w:line="276" w:lineRule="auto"/>
        <w:ind w:left="720"/>
        <w:rPr>
          <w:rFonts w:asciiTheme="majorHAnsi" w:eastAsia="Calibri Light" w:hAnsiTheme="majorHAnsi" w:cstheme="majorBidi"/>
          <w:sz w:val="23"/>
          <w:szCs w:val="23"/>
          <w:lang w:val="en-GB"/>
        </w:rPr>
      </w:pPr>
      <w:r>
        <w:rPr>
          <w:rFonts w:asciiTheme="majorHAnsi" w:eastAsia="Calibri Light" w:hAnsiTheme="majorHAnsi" w:cstheme="majorBidi"/>
          <w:sz w:val="23"/>
          <w:szCs w:val="23"/>
          <w:lang w:val="en-GB"/>
        </w:rPr>
        <w:t>[We didn’t have] any</w:t>
      </w:r>
      <w:r w:rsidR="00F00E3D" w:rsidRPr="0034443E">
        <w:rPr>
          <w:rFonts w:asciiTheme="majorHAnsi" w:eastAsia="Calibri Light" w:hAnsiTheme="majorHAnsi" w:cstheme="majorBidi"/>
          <w:sz w:val="23"/>
          <w:szCs w:val="23"/>
          <w:lang w:val="en-GB"/>
        </w:rPr>
        <w:t xml:space="preserve"> real awareness of other organisations helping out. We had to fill the gap. Agencies were offering services, but they did not contact us</w:t>
      </w:r>
      <w:r>
        <w:rPr>
          <w:rFonts w:asciiTheme="majorHAnsi" w:eastAsia="Calibri Light" w:hAnsiTheme="majorHAnsi" w:cstheme="majorBidi"/>
          <w:sz w:val="23"/>
          <w:szCs w:val="23"/>
          <w:lang w:val="en-GB"/>
        </w:rPr>
        <w:t xml:space="preserve"> </w:t>
      </w:r>
      <w:r w:rsidR="00F00E3D" w:rsidRPr="0034443E">
        <w:rPr>
          <w:rFonts w:asciiTheme="majorHAnsi" w:eastAsia="Calibri Light" w:hAnsiTheme="majorHAnsi" w:cstheme="majorBidi"/>
          <w:sz w:val="23"/>
          <w:szCs w:val="23"/>
          <w:lang w:val="en-GB"/>
        </w:rPr>
        <w:t>(P7)</w:t>
      </w:r>
      <w:r w:rsidR="003F5DA0">
        <w:rPr>
          <w:rFonts w:asciiTheme="majorHAnsi" w:eastAsia="Calibri Light" w:hAnsiTheme="majorHAnsi" w:cstheme="majorBidi"/>
          <w:sz w:val="23"/>
          <w:szCs w:val="23"/>
          <w:lang w:val="en-GB"/>
        </w:rPr>
        <w:t>.</w:t>
      </w:r>
    </w:p>
    <w:p w14:paraId="4274E87C" w14:textId="690E9D1F" w:rsidR="00F00E3D" w:rsidRPr="0034443E" w:rsidRDefault="00F00E3D" w:rsidP="003B16D3">
      <w:pPr>
        <w:spacing w:line="276" w:lineRule="auto"/>
        <w:ind w:left="720"/>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 xml:space="preserve">Salvos with their </w:t>
      </w:r>
      <w:r w:rsidR="0099474E">
        <w:rPr>
          <w:rFonts w:asciiTheme="majorHAnsi" w:eastAsia="Calibri Light" w:hAnsiTheme="majorHAnsi" w:cstheme="majorHAnsi"/>
          <w:sz w:val="23"/>
          <w:szCs w:val="23"/>
          <w:lang w:val="en-GB"/>
        </w:rPr>
        <w:t>“</w:t>
      </w:r>
      <w:r w:rsidRPr="0034443E">
        <w:rPr>
          <w:rFonts w:asciiTheme="majorHAnsi" w:eastAsia="Calibri Light" w:hAnsiTheme="majorHAnsi" w:cstheme="majorHAnsi"/>
          <w:sz w:val="23"/>
          <w:szCs w:val="23"/>
          <w:lang w:val="en-GB"/>
        </w:rPr>
        <w:t xml:space="preserve">Church in a </w:t>
      </w:r>
      <w:r w:rsidR="00BF1F32">
        <w:rPr>
          <w:rFonts w:asciiTheme="majorHAnsi" w:eastAsia="Calibri Light" w:hAnsiTheme="majorHAnsi" w:cstheme="majorHAnsi"/>
          <w:sz w:val="23"/>
          <w:szCs w:val="23"/>
          <w:lang w:val="en-GB"/>
        </w:rPr>
        <w:t>B</w:t>
      </w:r>
      <w:r w:rsidRPr="0034443E">
        <w:rPr>
          <w:rFonts w:asciiTheme="majorHAnsi" w:eastAsia="Calibri Light" w:hAnsiTheme="majorHAnsi" w:cstheme="majorHAnsi"/>
          <w:sz w:val="23"/>
          <w:szCs w:val="23"/>
          <w:lang w:val="en-GB"/>
        </w:rPr>
        <w:t>ag</w:t>
      </w:r>
      <w:r w:rsidR="00BF1F32">
        <w:rPr>
          <w:rFonts w:asciiTheme="majorHAnsi" w:eastAsia="Calibri Light" w:hAnsiTheme="majorHAnsi" w:cstheme="majorHAnsi"/>
          <w:sz w:val="23"/>
          <w:szCs w:val="23"/>
          <w:lang w:val="en-GB"/>
        </w:rPr>
        <w:t>”</w:t>
      </w:r>
      <w:r w:rsidRPr="0034443E">
        <w:rPr>
          <w:rFonts w:asciiTheme="majorHAnsi" w:eastAsia="Calibri Light" w:hAnsiTheme="majorHAnsi" w:cstheme="majorHAnsi"/>
          <w:sz w:val="23"/>
          <w:szCs w:val="23"/>
          <w:lang w:val="en-GB"/>
        </w:rPr>
        <w:t xml:space="preserve"> </w:t>
      </w:r>
      <w:r w:rsidR="00BF1F32">
        <w:rPr>
          <w:rFonts w:asciiTheme="majorHAnsi" w:eastAsia="Calibri Light" w:hAnsiTheme="majorHAnsi" w:cstheme="majorHAnsi"/>
          <w:sz w:val="23"/>
          <w:szCs w:val="23"/>
          <w:lang w:val="en-GB"/>
        </w:rPr>
        <w:t xml:space="preserve">were </w:t>
      </w:r>
      <w:r w:rsidRPr="0034443E">
        <w:rPr>
          <w:rFonts w:asciiTheme="majorHAnsi" w:eastAsia="Calibri Light" w:hAnsiTheme="majorHAnsi" w:cstheme="majorHAnsi"/>
          <w:sz w:val="23"/>
          <w:szCs w:val="23"/>
          <w:lang w:val="en-GB"/>
        </w:rPr>
        <w:t xml:space="preserve">great. Aviary </w:t>
      </w:r>
      <w:r w:rsidR="0099474E">
        <w:rPr>
          <w:rFonts w:asciiTheme="majorHAnsi" w:eastAsia="Calibri Light" w:hAnsiTheme="majorHAnsi" w:cstheme="majorHAnsi"/>
          <w:sz w:val="23"/>
          <w:szCs w:val="23"/>
          <w:lang w:val="en-GB"/>
        </w:rPr>
        <w:t xml:space="preserve">was </w:t>
      </w:r>
      <w:r w:rsidRPr="0034443E">
        <w:rPr>
          <w:rFonts w:asciiTheme="majorHAnsi" w:eastAsia="Calibri Light" w:hAnsiTheme="majorHAnsi" w:cstheme="majorHAnsi"/>
          <w:sz w:val="23"/>
          <w:szCs w:val="23"/>
          <w:lang w:val="en-GB"/>
        </w:rPr>
        <w:t xml:space="preserve">doing food deliveries. </w:t>
      </w:r>
      <w:r w:rsidR="00110730">
        <w:rPr>
          <w:rFonts w:asciiTheme="majorHAnsi" w:eastAsia="Calibri Light" w:hAnsiTheme="majorHAnsi" w:cstheme="majorHAnsi"/>
          <w:sz w:val="23"/>
          <w:szCs w:val="23"/>
          <w:lang w:val="en-GB"/>
        </w:rPr>
        <w:t>Fort [</w:t>
      </w:r>
      <w:r w:rsidR="00110730">
        <w:rPr>
          <w:rFonts w:asciiTheme="majorHAnsi" w:eastAsia="Calibri Light" w:hAnsiTheme="majorHAnsi" w:cstheme="majorBidi"/>
          <w:sz w:val="21"/>
          <w:szCs w:val="21"/>
        </w:rPr>
        <w:t>fOrT</w:t>
      </w:r>
      <w:r w:rsidR="00110730" w:rsidRPr="0005244D">
        <w:rPr>
          <w:rFonts w:asciiTheme="majorHAnsi" w:eastAsia="Calibri Light" w:hAnsiTheme="majorHAnsi" w:cstheme="majorBidi"/>
          <w:sz w:val="21"/>
          <w:szCs w:val="21"/>
        </w:rPr>
        <w:t xml:space="preserve"> Youth </w:t>
      </w:r>
      <w:r w:rsidR="00110730">
        <w:rPr>
          <w:rFonts w:asciiTheme="majorHAnsi" w:eastAsia="Calibri Light" w:hAnsiTheme="majorHAnsi" w:cstheme="majorBidi"/>
          <w:sz w:val="21"/>
          <w:szCs w:val="21"/>
        </w:rPr>
        <w:t>Centre]</w:t>
      </w:r>
      <w:r w:rsidRPr="0034443E">
        <w:rPr>
          <w:rFonts w:asciiTheme="majorHAnsi" w:eastAsia="Calibri Light" w:hAnsiTheme="majorHAnsi" w:cstheme="majorHAnsi"/>
          <w:sz w:val="23"/>
          <w:szCs w:val="23"/>
          <w:lang w:val="en-GB"/>
        </w:rPr>
        <w:t xml:space="preserve"> saved people. Schools eventually did a great job. Council didn’t do a thing (P8)</w:t>
      </w:r>
      <w:r w:rsidR="0099474E">
        <w:rPr>
          <w:rFonts w:asciiTheme="majorHAnsi" w:eastAsia="Calibri Light" w:hAnsiTheme="majorHAnsi" w:cstheme="majorHAnsi"/>
          <w:sz w:val="23"/>
          <w:szCs w:val="23"/>
          <w:lang w:val="en-GB"/>
        </w:rPr>
        <w:t>.</w:t>
      </w:r>
    </w:p>
    <w:p w14:paraId="50C347C9" w14:textId="5322B9C0" w:rsidR="00F00E3D" w:rsidRPr="0034443E" w:rsidRDefault="00CB3DC1" w:rsidP="007A547F">
      <w:pPr>
        <w:spacing w:line="276" w:lineRule="auto"/>
        <w:rPr>
          <w:rFonts w:asciiTheme="majorHAnsi" w:eastAsia="Calibri Light" w:hAnsiTheme="majorHAnsi" w:cstheme="majorBidi"/>
          <w:sz w:val="23"/>
          <w:szCs w:val="23"/>
          <w:lang w:val="en-GB"/>
        </w:rPr>
      </w:pPr>
      <w:r>
        <w:rPr>
          <w:rFonts w:asciiTheme="majorHAnsi" w:eastAsia="Calibri Light" w:hAnsiTheme="majorHAnsi" w:cstheme="majorBidi"/>
          <w:sz w:val="23"/>
          <w:szCs w:val="23"/>
          <w:lang w:val="en-GB"/>
        </w:rPr>
        <w:t>Some i</w:t>
      </w:r>
      <w:r w:rsidR="00384964">
        <w:rPr>
          <w:rFonts w:asciiTheme="majorHAnsi" w:eastAsia="Calibri Light" w:hAnsiTheme="majorHAnsi" w:cstheme="majorBidi"/>
          <w:sz w:val="23"/>
          <w:szCs w:val="23"/>
          <w:lang w:val="en-GB"/>
        </w:rPr>
        <w:t xml:space="preserve">nterviewees </w:t>
      </w:r>
      <w:r>
        <w:rPr>
          <w:rFonts w:asciiTheme="majorHAnsi" w:eastAsia="Calibri Light" w:hAnsiTheme="majorHAnsi" w:cstheme="majorBidi"/>
          <w:sz w:val="23"/>
          <w:szCs w:val="23"/>
          <w:lang w:val="en-GB"/>
        </w:rPr>
        <w:t>said</w:t>
      </w:r>
      <w:r w:rsidR="00384964">
        <w:rPr>
          <w:rFonts w:asciiTheme="majorHAnsi" w:eastAsia="Calibri Light" w:hAnsiTheme="majorHAnsi" w:cstheme="majorBidi"/>
          <w:sz w:val="23"/>
          <w:szCs w:val="23"/>
          <w:lang w:val="en-GB"/>
        </w:rPr>
        <w:t xml:space="preserve"> </w:t>
      </w:r>
      <w:r>
        <w:rPr>
          <w:rFonts w:asciiTheme="majorHAnsi" w:eastAsia="Calibri Light" w:hAnsiTheme="majorHAnsi" w:cstheme="majorBidi"/>
          <w:sz w:val="23"/>
          <w:szCs w:val="23"/>
          <w:lang w:val="en-GB"/>
        </w:rPr>
        <w:t>COVID-19</w:t>
      </w:r>
      <w:r w:rsidR="00384964">
        <w:rPr>
          <w:rFonts w:asciiTheme="majorHAnsi" w:eastAsia="Calibri Light" w:hAnsiTheme="majorHAnsi" w:cstheme="majorBidi"/>
          <w:sz w:val="23"/>
          <w:szCs w:val="23"/>
          <w:lang w:val="en-GB"/>
        </w:rPr>
        <w:t xml:space="preserve"> highlighted </w:t>
      </w:r>
      <w:r w:rsidR="00384964" w:rsidRPr="0034443E">
        <w:rPr>
          <w:rFonts w:asciiTheme="majorHAnsi" w:eastAsia="Calibri Light" w:hAnsiTheme="majorHAnsi" w:cstheme="majorBidi"/>
          <w:sz w:val="23"/>
          <w:szCs w:val="23"/>
          <w:lang w:val="en-GB"/>
        </w:rPr>
        <w:t>poor local facilities</w:t>
      </w:r>
      <w:r w:rsidR="00966C7D">
        <w:rPr>
          <w:rFonts w:asciiTheme="majorHAnsi" w:eastAsia="Calibri Light" w:hAnsiTheme="majorHAnsi" w:cstheme="majorBidi"/>
          <w:sz w:val="23"/>
          <w:szCs w:val="23"/>
          <w:lang w:val="en-GB"/>
        </w:rPr>
        <w:t xml:space="preserve">, a </w:t>
      </w:r>
      <w:r w:rsidR="00384964">
        <w:rPr>
          <w:rFonts w:asciiTheme="majorHAnsi" w:eastAsia="Calibri Light" w:hAnsiTheme="majorHAnsi" w:cstheme="majorBidi"/>
          <w:sz w:val="23"/>
          <w:szCs w:val="23"/>
          <w:lang w:val="en-GB"/>
        </w:rPr>
        <w:t>shortage of inclusive public spaces</w:t>
      </w:r>
      <w:r w:rsidR="00966C7D">
        <w:rPr>
          <w:rFonts w:asciiTheme="majorHAnsi" w:eastAsia="Calibri Light" w:hAnsiTheme="majorHAnsi" w:cstheme="majorBidi"/>
          <w:sz w:val="23"/>
          <w:szCs w:val="23"/>
          <w:lang w:val="en-GB"/>
        </w:rPr>
        <w:t>, and a lack of</w:t>
      </w:r>
      <w:r w:rsidR="00F00E3D" w:rsidRPr="0034443E">
        <w:rPr>
          <w:rFonts w:asciiTheme="majorHAnsi" w:eastAsia="Calibri Light" w:hAnsiTheme="majorHAnsi" w:cstheme="majorBidi"/>
          <w:sz w:val="23"/>
          <w:szCs w:val="23"/>
          <w:lang w:val="en-GB"/>
        </w:rPr>
        <w:t xml:space="preserve"> quality infrastructure</w:t>
      </w:r>
      <w:r w:rsidR="00966C7D">
        <w:rPr>
          <w:rFonts w:asciiTheme="majorHAnsi" w:eastAsia="Calibri Light" w:hAnsiTheme="majorHAnsi" w:cstheme="majorBidi"/>
          <w:sz w:val="23"/>
          <w:szCs w:val="23"/>
          <w:lang w:val="en-GB"/>
        </w:rPr>
        <w:t xml:space="preserve"> and entertainment options</w:t>
      </w:r>
      <w:r w:rsidR="00F00E3D" w:rsidRPr="0034443E">
        <w:rPr>
          <w:rFonts w:asciiTheme="majorHAnsi" w:eastAsia="Calibri Light" w:hAnsiTheme="majorHAnsi" w:cstheme="majorBidi"/>
          <w:sz w:val="23"/>
          <w:szCs w:val="23"/>
          <w:lang w:val="en-GB"/>
        </w:rPr>
        <w:t>, such as picture theatres</w:t>
      </w:r>
      <w:r>
        <w:rPr>
          <w:rFonts w:asciiTheme="majorHAnsi" w:eastAsia="Calibri Light" w:hAnsiTheme="majorHAnsi" w:cstheme="majorBidi"/>
          <w:sz w:val="23"/>
          <w:szCs w:val="23"/>
          <w:lang w:val="en-GB"/>
        </w:rPr>
        <w:t>:</w:t>
      </w:r>
      <w:r w:rsidR="00707E03">
        <w:rPr>
          <w:rFonts w:asciiTheme="majorHAnsi" w:eastAsia="Calibri Light" w:hAnsiTheme="majorHAnsi" w:cstheme="majorBidi"/>
          <w:sz w:val="23"/>
          <w:szCs w:val="23"/>
          <w:lang w:val="en-GB"/>
        </w:rPr>
        <w:t xml:space="preserve"> </w:t>
      </w:r>
    </w:p>
    <w:p w14:paraId="6EA5C189" w14:textId="7D453C6E" w:rsidR="00F00E3D" w:rsidRDefault="00F00E3D" w:rsidP="007A547F">
      <w:pPr>
        <w:spacing w:line="276" w:lineRule="auto"/>
        <w:ind w:left="720"/>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 xml:space="preserve">We need more local facilities, so people don’t have to leave </w:t>
      </w:r>
      <w:r w:rsidR="00BD659B" w:rsidRPr="0034443E">
        <w:rPr>
          <w:rFonts w:asciiTheme="majorHAnsi" w:eastAsia="Calibri Light" w:hAnsiTheme="majorHAnsi" w:cstheme="majorHAnsi"/>
          <w:sz w:val="23"/>
          <w:szCs w:val="23"/>
          <w:lang w:val="en-GB"/>
        </w:rPr>
        <w:t xml:space="preserve">[the area] </w:t>
      </w:r>
      <w:r w:rsidRPr="0034443E">
        <w:rPr>
          <w:rFonts w:asciiTheme="majorHAnsi" w:eastAsia="Calibri Light" w:hAnsiTheme="majorHAnsi" w:cstheme="majorHAnsi"/>
          <w:sz w:val="23"/>
          <w:szCs w:val="23"/>
          <w:lang w:val="en-GB"/>
        </w:rPr>
        <w:t>to go to the pictures</w:t>
      </w:r>
      <w:r w:rsidR="00BD659B" w:rsidRPr="0034443E">
        <w:rPr>
          <w:rFonts w:asciiTheme="majorHAnsi" w:eastAsia="Calibri Light" w:hAnsiTheme="majorHAnsi" w:cstheme="majorHAnsi"/>
          <w:sz w:val="23"/>
          <w:szCs w:val="23"/>
          <w:lang w:val="en-GB"/>
        </w:rPr>
        <w:t>, for example</w:t>
      </w:r>
      <w:r w:rsidRPr="0034443E">
        <w:rPr>
          <w:rFonts w:asciiTheme="majorHAnsi" w:eastAsia="Calibri Light" w:hAnsiTheme="majorHAnsi" w:cstheme="majorHAnsi"/>
          <w:sz w:val="23"/>
          <w:szCs w:val="23"/>
          <w:lang w:val="en-GB"/>
        </w:rPr>
        <w:t>. You have to go outside the area to get anything decent and that is not right (P1)</w:t>
      </w:r>
      <w:r w:rsidR="00CB3DC1">
        <w:rPr>
          <w:rFonts w:asciiTheme="majorHAnsi" w:eastAsia="Calibri Light" w:hAnsiTheme="majorHAnsi" w:cstheme="majorHAnsi"/>
          <w:sz w:val="23"/>
          <w:szCs w:val="23"/>
          <w:lang w:val="en-GB"/>
        </w:rPr>
        <w:t>.</w:t>
      </w:r>
    </w:p>
    <w:p w14:paraId="2ADCE695" w14:textId="3732E519" w:rsidR="00966C7D" w:rsidRPr="0034443E" w:rsidRDefault="00966C7D" w:rsidP="007A547F">
      <w:pPr>
        <w:spacing w:line="276" w:lineRule="auto"/>
        <w:rPr>
          <w:rFonts w:asciiTheme="majorHAnsi" w:eastAsia="Calibri Light" w:hAnsiTheme="majorHAnsi" w:cstheme="majorHAnsi"/>
          <w:sz w:val="23"/>
          <w:szCs w:val="23"/>
          <w:lang w:val="en-GB"/>
        </w:rPr>
      </w:pPr>
      <w:r>
        <w:rPr>
          <w:rFonts w:asciiTheme="majorHAnsi" w:eastAsia="Calibri Light" w:hAnsiTheme="majorHAnsi" w:cstheme="majorHAnsi"/>
          <w:sz w:val="23"/>
          <w:szCs w:val="23"/>
          <w:lang w:val="en-GB"/>
        </w:rPr>
        <w:t>The</w:t>
      </w:r>
      <w:r w:rsidR="00CB3DC1">
        <w:rPr>
          <w:rFonts w:asciiTheme="majorHAnsi" w:eastAsia="Calibri Light" w:hAnsiTheme="majorHAnsi" w:cstheme="majorHAnsi"/>
          <w:sz w:val="23"/>
          <w:szCs w:val="23"/>
          <w:lang w:val="en-GB"/>
        </w:rPr>
        <w:t>y</w:t>
      </w:r>
      <w:r>
        <w:rPr>
          <w:rFonts w:asciiTheme="majorHAnsi" w:eastAsia="Calibri Light" w:hAnsiTheme="majorHAnsi" w:cstheme="majorHAnsi"/>
          <w:sz w:val="23"/>
          <w:szCs w:val="23"/>
          <w:lang w:val="en-GB"/>
        </w:rPr>
        <w:t xml:space="preserve"> also identified gaps for</w:t>
      </w:r>
      <w:r w:rsidRPr="0034443E">
        <w:rPr>
          <w:rFonts w:asciiTheme="majorHAnsi" w:eastAsia="Calibri Light" w:hAnsiTheme="majorHAnsi" w:cstheme="majorHAnsi"/>
          <w:sz w:val="23"/>
          <w:szCs w:val="23"/>
          <w:lang w:val="en-GB"/>
        </w:rPr>
        <w:t xml:space="preserve"> particular for sub-groups in the area:</w:t>
      </w:r>
    </w:p>
    <w:p w14:paraId="2ABCDFA7" w14:textId="6182E57A" w:rsidR="00966C7D" w:rsidRPr="00966C7D" w:rsidRDefault="00966C7D" w:rsidP="007A547F">
      <w:pPr>
        <w:spacing w:line="276" w:lineRule="auto"/>
        <w:ind w:left="720"/>
        <w:rPr>
          <w:rFonts w:asciiTheme="majorHAnsi" w:eastAsia="Calibri Light" w:hAnsiTheme="majorHAnsi" w:cstheme="majorBidi"/>
          <w:sz w:val="23"/>
          <w:szCs w:val="23"/>
          <w:lang w:val="en-GB"/>
        </w:rPr>
      </w:pPr>
      <w:r w:rsidRPr="0034443E">
        <w:rPr>
          <w:rFonts w:asciiTheme="majorHAnsi" w:eastAsia="Calibri Light" w:hAnsiTheme="majorHAnsi" w:cstheme="majorBidi"/>
          <w:sz w:val="23"/>
          <w:szCs w:val="23"/>
          <w:lang w:val="en-GB"/>
        </w:rPr>
        <w:t xml:space="preserve">Local Muslims do not have a place, [they] have to go to Dandenong or across Geelong. </w:t>
      </w:r>
      <w:r>
        <w:rPr>
          <w:rFonts w:asciiTheme="majorHAnsi" w:eastAsia="Calibri Light" w:hAnsiTheme="majorHAnsi" w:cstheme="majorBidi"/>
          <w:sz w:val="23"/>
          <w:szCs w:val="23"/>
          <w:lang w:val="en-GB"/>
        </w:rPr>
        <w:t>We n</w:t>
      </w:r>
      <w:r w:rsidRPr="0034443E">
        <w:rPr>
          <w:rFonts w:asciiTheme="majorHAnsi" w:eastAsia="Calibri Light" w:hAnsiTheme="majorHAnsi" w:cstheme="majorBidi"/>
          <w:sz w:val="23"/>
          <w:szCs w:val="23"/>
          <w:lang w:val="en-GB"/>
        </w:rPr>
        <w:t>eed to sponsor this and other groups that don’t have a home (P3)</w:t>
      </w:r>
      <w:r w:rsidR="00173AC7">
        <w:rPr>
          <w:rFonts w:asciiTheme="majorHAnsi" w:eastAsia="Calibri Light" w:hAnsiTheme="majorHAnsi" w:cstheme="majorBidi"/>
          <w:sz w:val="23"/>
          <w:szCs w:val="23"/>
          <w:lang w:val="en-GB"/>
        </w:rPr>
        <w:t>.</w:t>
      </w:r>
    </w:p>
    <w:p w14:paraId="67FE849A" w14:textId="5260F913" w:rsidR="00F00E3D" w:rsidRPr="0034443E" w:rsidRDefault="003B16D3" w:rsidP="007A547F">
      <w:pPr>
        <w:spacing w:line="276" w:lineRule="auto"/>
        <w:rPr>
          <w:rFonts w:asciiTheme="majorHAnsi" w:eastAsia="Calibri Light" w:hAnsiTheme="majorHAnsi" w:cstheme="majorHAnsi"/>
          <w:sz w:val="23"/>
          <w:szCs w:val="23"/>
          <w:lang w:val="en-GB"/>
        </w:rPr>
      </w:pPr>
      <w:r>
        <w:rPr>
          <w:rFonts w:asciiTheme="majorHAnsi" w:eastAsia="Calibri Light" w:hAnsiTheme="majorHAnsi" w:cstheme="majorHAnsi"/>
          <w:sz w:val="23"/>
          <w:szCs w:val="23"/>
          <w:lang w:val="en-GB"/>
        </w:rPr>
        <w:t>Several respondents also mentioned the low</w:t>
      </w:r>
      <w:r w:rsidR="00F00E3D" w:rsidRPr="0034443E">
        <w:rPr>
          <w:rFonts w:asciiTheme="majorHAnsi" w:eastAsia="Calibri Light" w:hAnsiTheme="majorHAnsi" w:cstheme="majorHAnsi"/>
          <w:sz w:val="23"/>
          <w:szCs w:val="23"/>
          <w:lang w:val="en-GB"/>
        </w:rPr>
        <w:t xml:space="preserve"> quality of local shopping </w:t>
      </w:r>
      <w:r>
        <w:rPr>
          <w:rFonts w:asciiTheme="majorHAnsi" w:eastAsia="Calibri Light" w:hAnsiTheme="majorHAnsi" w:cstheme="majorHAnsi"/>
          <w:sz w:val="23"/>
          <w:szCs w:val="23"/>
          <w:lang w:val="en-GB"/>
        </w:rPr>
        <w:t xml:space="preserve">strips, and </w:t>
      </w:r>
      <w:r w:rsidR="00BD659B" w:rsidRPr="0034443E">
        <w:rPr>
          <w:rFonts w:asciiTheme="majorHAnsi" w:eastAsia="Calibri Light" w:hAnsiTheme="majorHAnsi" w:cstheme="majorHAnsi"/>
          <w:sz w:val="23"/>
          <w:szCs w:val="23"/>
          <w:lang w:val="en-GB"/>
        </w:rPr>
        <w:t>shared</w:t>
      </w:r>
      <w:r w:rsidR="00F00E3D" w:rsidRPr="0034443E">
        <w:rPr>
          <w:rFonts w:asciiTheme="majorHAnsi" w:eastAsia="Calibri Light" w:hAnsiTheme="majorHAnsi" w:cstheme="majorHAnsi"/>
          <w:sz w:val="23"/>
          <w:szCs w:val="23"/>
          <w:lang w:val="en-GB"/>
        </w:rPr>
        <w:t xml:space="preserve"> ideas on how to activate</w:t>
      </w:r>
      <w:r>
        <w:rPr>
          <w:rFonts w:asciiTheme="majorHAnsi" w:eastAsia="Calibri Light" w:hAnsiTheme="majorHAnsi" w:cstheme="majorHAnsi"/>
          <w:sz w:val="23"/>
          <w:szCs w:val="23"/>
          <w:lang w:val="en-GB"/>
        </w:rPr>
        <w:t xml:space="preserve"> and improve</w:t>
      </w:r>
      <w:r w:rsidR="00F00E3D" w:rsidRPr="0034443E">
        <w:rPr>
          <w:rFonts w:asciiTheme="majorHAnsi" w:eastAsia="Calibri Light" w:hAnsiTheme="majorHAnsi" w:cstheme="majorHAnsi"/>
          <w:sz w:val="23"/>
          <w:szCs w:val="23"/>
          <w:lang w:val="en-GB"/>
        </w:rPr>
        <w:t xml:space="preserve"> them:</w:t>
      </w:r>
    </w:p>
    <w:p w14:paraId="2A31EE13" w14:textId="5D320CB9" w:rsidR="00F00E3D" w:rsidRPr="0034443E" w:rsidRDefault="00BD659B" w:rsidP="007A547F">
      <w:pPr>
        <w:spacing w:line="276" w:lineRule="auto"/>
        <w:ind w:left="720"/>
        <w:rPr>
          <w:rFonts w:asciiTheme="majorHAnsi" w:eastAsia="Calibri Light" w:hAnsiTheme="majorHAnsi" w:cstheme="majorBidi"/>
          <w:sz w:val="23"/>
          <w:szCs w:val="23"/>
          <w:lang w:val="en-GB"/>
        </w:rPr>
      </w:pPr>
      <w:r w:rsidRPr="0034443E">
        <w:rPr>
          <w:rFonts w:asciiTheme="majorHAnsi" w:eastAsia="Calibri Light" w:hAnsiTheme="majorHAnsi" w:cstheme="majorBidi"/>
          <w:sz w:val="23"/>
          <w:szCs w:val="23"/>
          <w:lang w:val="en-GB"/>
        </w:rPr>
        <w:t xml:space="preserve">There are gaps </w:t>
      </w:r>
      <w:r w:rsidR="00F00E3D" w:rsidRPr="0034443E">
        <w:rPr>
          <w:rFonts w:asciiTheme="majorHAnsi" w:eastAsia="Calibri Light" w:hAnsiTheme="majorHAnsi" w:cstheme="majorBidi"/>
          <w:sz w:val="23"/>
          <w:szCs w:val="23"/>
          <w:lang w:val="en-GB"/>
        </w:rPr>
        <w:t>in places like Labuan Square and other shopping strips, every second shop is closed or boarded up. Give free rent for a year, landscape the areas and bring people in (P4)</w:t>
      </w:r>
      <w:r w:rsidR="003B16D3">
        <w:rPr>
          <w:rFonts w:asciiTheme="majorHAnsi" w:eastAsia="Calibri Light" w:hAnsiTheme="majorHAnsi" w:cstheme="majorBidi"/>
          <w:sz w:val="23"/>
          <w:szCs w:val="23"/>
          <w:lang w:val="en-GB"/>
        </w:rPr>
        <w:t>.</w:t>
      </w:r>
    </w:p>
    <w:p w14:paraId="5887187B" w14:textId="44161B2A" w:rsidR="00F00E3D" w:rsidRPr="0034443E" w:rsidRDefault="00645575" w:rsidP="007A547F">
      <w:pPr>
        <w:spacing w:line="276" w:lineRule="auto"/>
        <w:ind w:left="720"/>
        <w:rPr>
          <w:rFonts w:asciiTheme="majorHAnsi" w:eastAsia="Calibri Light" w:hAnsiTheme="majorHAnsi" w:cstheme="majorHAnsi"/>
          <w:sz w:val="23"/>
          <w:szCs w:val="23"/>
          <w:lang w:val="en-GB"/>
        </w:rPr>
      </w:pPr>
      <w:r w:rsidRPr="00645575">
        <w:rPr>
          <w:rFonts w:asciiTheme="majorHAnsi" w:eastAsia="Calibri Light" w:hAnsiTheme="majorHAnsi" w:cstheme="majorHAnsi"/>
          <w:sz w:val="23"/>
          <w:szCs w:val="23"/>
          <w:lang w:val="en-GB"/>
        </w:rPr>
        <w:t xml:space="preserve">Hughes Street </w:t>
      </w:r>
      <w:r>
        <w:rPr>
          <w:rFonts w:asciiTheme="majorHAnsi" w:eastAsia="Calibri Light" w:hAnsiTheme="majorHAnsi" w:cstheme="majorHAnsi"/>
          <w:sz w:val="23"/>
          <w:szCs w:val="23"/>
          <w:lang w:val="en-GB"/>
        </w:rPr>
        <w:t xml:space="preserve">[shops] </w:t>
      </w:r>
      <w:r w:rsidR="00F00E3D" w:rsidRPr="0034443E">
        <w:rPr>
          <w:rFonts w:asciiTheme="majorHAnsi" w:eastAsia="Calibri Light" w:hAnsiTheme="majorHAnsi" w:cstheme="majorHAnsi"/>
          <w:sz w:val="23"/>
          <w:szCs w:val="23"/>
          <w:lang w:val="en-GB"/>
        </w:rPr>
        <w:t>near Bell Park was very busy and shows the need for the right mix of retailers or social entrepreneurs. Give people who are disconnected from work a chance to breathe life into those areas and build skills up over the years with a longer</w:t>
      </w:r>
      <w:r>
        <w:rPr>
          <w:rFonts w:asciiTheme="majorHAnsi" w:eastAsia="Calibri Light" w:hAnsiTheme="majorHAnsi" w:cstheme="majorHAnsi"/>
          <w:sz w:val="23"/>
          <w:szCs w:val="23"/>
          <w:lang w:val="en-GB"/>
        </w:rPr>
        <w:t>-</w:t>
      </w:r>
      <w:r w:rsidR="00F00E3D" w:rsidRPr="0034443E">
        <w:rPr>
          <w:rFonts w:asciiTheme="majorHAnsi" w:eastAsia="Calibri Light" w:hAnsiTheme="majorHAnsi" w:cstheme="majorHAnsi"/>
          <w:sz w:val="23"/>
          <w:szCs w:val="23"/>
          <w:lang w:val="en-GB"/>
        </w:rPr>
        <w:t>term strategy (P4)</w:t>
      </w:r>
      <w:r w:rsidR="00173AC7">
        <w:rPr>
          <w:rFonts w:asciiTheme="majorHAnsi" w:eastAsia="Calibri Light" w:hAnsiTheme="majorHAnsi" w:cstheme="majorHAnsi"/>
          <w:sz w:val="23"/>
          <w:szCs w:val="23"/>
          <w:lang w:val="en-GB"/>
        </w:rPr>
        <w:t>.</w:t>
      </w:r>
    </w:p>
    <w:p w14:paraId="598F7B4F" w14:textId="157C9DA3" w:rsidR="00F00E3D" w:rsidRPr="0034443E" w:rsidRDefault="003B16D3" w:rsidP="007A547F">
      <w:pPr>
        <w:spacing w:line="276" w:lineRule="auto"/>
        <w:rPr>
          <w:rFonts w:asciiTheme="majorHAnsi" w:eastAsia="Calibri Light" w:hAnsiTheme="majorHAnsi" w:cstheme="majorBidi"/>
          <w:sz w:val="23"/>
          <w:szCs w:val="23"/>
          <w:lang w:val="en-GB"/>
        </w:rPr>
      </w:pPr>
      <w:r w:rsidRPr="007A547F">
        <w:rPr>
          <w:rFonts w:asciiTheme="majorHAnsi" w:eastAsia="Calibri Light" w:hAnsiTheme="majorHAnsi" w:cstheme="majorHAnsi"/>
          <w:sz w:val="23"/>
          <w:szCs w:val="23"/>
          <w:lang w:val="en-GB"/>
        </w:rPr>
        <w:t xml:space="preserve">Finally, </w:t>
      </w:r>
      <w:r w:rsidR="00173AC7" w:rsidRPr="007A547F">
        <w:rPr>
          <w:rFonts w:asciiTheme="majorHAnsi" w:eastAsia="Calibri Light" w:hAnsiTheme="majorHAnsi" w:cstheme="majorHAnsi"/>
          <w:sz w:val="23"/>
          <w:szCs w:val="23"/>
          <w:lang w:val="en-GB"/>
        </w:rPr>
        <w:t>an over-arching</w:t>
      </w:r>
      <w:r w:rsidRPr="007A547F">
        <w:rPr>
          <w:rFonts w:asciiTheme="majorHAnsi" w:eastAsia="Calibri Light" w:hAnsiTheme="majorHAnsi" w:cstheme="majorHAnsi"/>
          <w:sz w:val="23"/>
          <w:szCs w:val="23"/>
          <w:lang w:val="en-GB"/>
        </w:rPr>
        <w:t xml:space="preserve"> concern</w:t>
      </w:r>
      <w:r w:rsidR="004D5961" w:rsidRPr="007A547F">
        <w:rPr>
          <w:rFonts w:asciiTheme="majorHAnsi" w:eastAsia="Calibri Light" w:hAnsiTheme="majorHAnsi" w:cstheme="majorHAnsi"/>
          <w:sz w:val="23"/>
          <w:szCs w:val="23"/>
          <w:lang w:val="en-GB"/>
        </w:rPr>
        <w:t xml:space="preserve"> that arose repeatedly during interviews </w:t>
      </w:r>
      <w:r w:rsidR="00183FEB" w:rsidRPr="007A547F">
        <w:rPr>
          <w:rFonts w:asciiTheme="majorHAnsi" w:eastAsia="Calibri Light" w:hAnsiTheme="majorHAnsi" w:cstheme="majorHAnsi"/>
          <w:sz w:val="23"/>
          <w:szCs w:val="23"/>
          <w:lang w:val="en-GB"/>
        </w:rPr>
        <w:t>was the perception that residents lacked a voice, and that their concerns were not being</w:t>
      </w:r>
      <w:r w:rsidR="00BD659B" w:rsidRPr="007A547F">
        <w:rPr>
          <w:rFonts w:asciiTheme="majorHAnsi" w:eastAsia="Calibri Light" w:hAnsiTheme="majorHAnsi" w:cstheme="majorHAnsi"/>
          <w:sz w:val="23"/>
          <w:szCs w:val="23"/>
          <w:lang w:val="en-GB"/>
        </w:rPr>
        <w:t xml:space="preserve"> registered political</w:t>
      </w:r>
      <w:r w:rsidR="00173AC7" w:rsidRPr="007A547F">
        <w:rPr>
          <w:rFonts w:asciiTheme="majorHAnsi" w:eastAsia="Calibri Light" w:hAnsiTheme="majorHAnsi" w:cstheme="majorHAnsi"/>
          <w:sz w:val="23"/>
          <w:szCs w:val="23"/>
          <w:lang w:val="en-GB"/>
        </w:rPr>
        <w:t>ly.</w:t>
      </w:r>
      <w:r w:rsidR="00BD659B" w:rsidRPr="007A547F">
        <w:rPr>
          <w:rFonts w:asciiTheme="majorHAnsi" w:eastAsia="Calibri Light" w:hAnsiTheme="majorHAnsi" w:cstheme="majorHAnsi"/>
          <w:sz w:val="23"/>
          <w:szCs w:val="23"/>
          <w:lang w:val="en-GB"/>
        </w:rPr>
        <w:t xml:space="preserve"> </w:t>
      </w:r>
      <w:r w:rsidR="00F00E3D" w:rsidRPr="007A547F">
        <w:rPr>
          <w:rFonts w:asciiTheme="majorHAnsi" w:eastAsia="Calibri Light" w:hAnsiTheme="majorHAnsi" w:cstheme="majorBidi"/>
          <w:sz w:val="23"/>
          <w:szCs w:val="23"/>
          <w:lang w:val="en-GB"/>
        </w:rPr>
        <w:t>There was</w:t>
      </w:r>
      <w:r w:rsidR="00F00E3D" w:rsidRPr="0034443E">
        <w:rPr>
          <w:rFonts w:asciiTheme="majorHAnsi" w:eastAsia="Calibri Light" w:hAnsiTheme="majorHAnsi" w:cstheme="majorBidi"/>
          <w:sz w:val="23"/>
          <w:szCs w:val="23"/>
          <w:lang w:val="en-GB"/>
        </w:rPr>
        <w:t xml:space="preserve"> </w:t>
      </w:r>
      <w:r w:rsidR="00173AC7">
        <w:rPr>
          <w:rFonts w:asciiTheme="majorHAnsi" w:eastAsia="Calibri Light" w:hAnsiTheme="majorHAnsi" w:cstheme="majorBidi"/>
          <w:sz w:val="23"/>
          <w:szCs w:val="23"/>
          <w:lang w:val="en-GB"/>
        </w:rPr>
        <w:t xml:space="preserve">a </w:t>
      </w:r>
      <w:r w:rsidR="007A547F">
        <w:rPr>
          <w:rFonts w:asciiTheme="majorHAnsi" w:eastAsia="Calibri Light" w:hAnsiTheme="majorHAnsi" w:cstheme="majorBidi"/>
          <w:sz w:val="23"/>
          <w:szCs w:val="23"/>
          <w:lang w:val="en-GB"/>
        </w:rPr>
        <w:t>unanimous view</w:t>
      </w:r>
      <w:r w:rsidR="00173AC7">
        <w:rPr>
          <w:rFonts w:asciiTheme="majorHAnsi" w:eastAsia="Calibri Light" w:hAnsiTheme="majorHAnsi" w:cstheme="majorBidi"/>
          <w:sz w:val="23"/>
          <w:szCs w:val="23"/>
          <w:lang w:val="en-GB"/>
        </w:rPr>
        <w:t xml:space="preserve"> that</w:t>
      </w:r>
      <w:r w:rsidR="00B808BA">
        <w:rPr>
          <w:rFonts w:asciiTheme="majorHAnsi" w:eastAsia="Calibri Light" w:hAnsiTheme="majorHAnsi" w:cstheme="majorBidi"/>
          <w:sz w:val="23"/>
          <w:szCs w:val="23"/>
          <w:lang w:val="en-GB"/>
        </w:rPr>
        <w:t xml:space="preserve"> community members</w:t>
      </w:r>
      <w:r w:rsidR="00F00E3D" w:rsidRPr="0034443E">
        <w:rPr>
          <w:rFonts w:asciiTheme="majorHAnsi" w:eastAsia="Calibri Light" w:hAnsiTheme="majorHAnsi" w:cstheme="majorBidi"/>
          <w:sz w:val="23"/>
          <w:szCs w:val="23"/>
          <w:lang w:val="en-GB"/>
        </w:rPr>
        <w:t xml:space="preserve"> </w:t>
      </w:r>
      <w:r w:rsidR="00173AC7">
        <w:rPr>
          <w:rFonts w:asciiTheme="majorHAnsi" w:eastAsia="Calibri Light" w:hAnsiTheme="majorHAnsi" w:cstheme="majorBidi"/>
          <w:sz w:val="23"/>
          <w:szCs w:val="23"/>
          <w:lang w:val="en-GB"/>
        </w:rPr>
        <w:t>ar</w:t>
      </w:r>
      <w:r w:rsidR="00F00E3D" w:rsidRPr="0034443E">
        <w:rPr>
          <w:rFonts w:asciiTheme="majorHAnsi" w:eastAsia="Calibri Light" w:hAnsiTheme="majorHAnsi" w:cstheme="majorBidi"/>
          <w:sz w:val="23"/>
          <w:szCs w:val="23"/>
          <w:lang w:val="en-GB"/>
        </w:rPr>
        <w:t>e not</w:t>
      </w:r>
      <w:r w:rsidR="00054002">
        <w:rPr>
          <w:rFonts w:asciiTheme="majorHAnsi" w:eastAsia="Calibri Light" w:hAnsiTheme="majorHAnsi" w:cstheme="majorBidi"/>
          <w:sz w:val="23"/>
          <w:szCs w:val="23"/>
          <w:lang w:val="en-GB"/>
        </w:rPr>
        <w:t xml:space="preserve"> currently being</w:t>
      </w:r>
      <w:r w:rsidR="00F00E3D" w:rsidRPr="0034443E">
        <w:rPr>
          <w:rFonts w:asciiTheme="majorHAnsi" w:eastAsia="Calibri Light" w:hAnsiTheme="majorHAnsi" w:cstheme="majorBidi"/>
          <w:sz w:val="23"/>
          <w:szCs w:val="23"/>
          <w:lang w:val="en-GB"/>
        </w:rPr>
        <w:t xml:space="preserve"> taken seriously, trusted</w:t>
      </w:r>
      <w:r w:rsidR="00B808BA">
        <w:rPr>
          <w:rFonts w:asciiTheme="majorHAnsi" w:eastAsia="Calibri Light" w:hAnsiTheme="majorHAnsi" w:cstheme="majorBidi"/>
          <w:sz w:val="23"/>
          <w:szCs w:val="23"/>
          <w:lang w:val="en-GB"/>
        </w:rPr>
        <w:t>,</w:t>
      </w:r>
      <w:r w:rsidR="00F00E3D" w:rsidRPr="0034443E">
        <w:rPr>
          <w:rFonts w:asciiTheme="majorHAnsi" w:eastAsia="Calibri Light" w:hAnsiTheme="majorHAnsi" w:cstheme="majorBidi"/>
          <w:sz w:val="23"/>
          <w:szCs w:val="23"/>
          <w:lang w:val="en-GB"/>
        </w:rPr>
        <w:t xml:space="preserve"> </w:t>
      </w:r>
      <w:r w:rsidR="002F34BE">
        <w:rPr>
          <w:rFonts w:asciiTheme="majorHAnsi" w:eastAsia="Calibri Light" w:hAnsiTheme="majorHAnsi" w:cstheme="majorBidi"/>
          <w:sz w:val="23"/>
          <w:szCs w:val="23"/>
          <w:lang w:val="en-GB"/>
        </w:rPr>
        <w:t xml:space="preserve">valued, </w:t>
      </w:r>
      <w:r w:rsidR="00F00E3D" w:rsidRPr="0034443E">
        <w:rPr>
          <w:rFonts w:asciiTheme="majorHAnsi" w:eastAsia="Calibri Light" w:hAnsiTheme="majorHAnsi" w:cstheme="majorBidi"/>
          <w:sz w:val="23"/>
          <w:szCs w:val="23"/>
          <w:lang w:val="en-GB"/>
        </w:rPr>
        <w:t>or</w:t>
      </w:r>
      <w:r w:rsidR="00B808BA">
        <w:rPr>
          <w:rFonts w:asciiTheme="majorHAnsi" w:eastAsia="Calibri Light" w:hAnsiTheme="majorHAnsi" w:cstheme="majorBidi"/>
          <w:sz w:val="23"/>
          <w:szCs w:val="23"/>
          <w:lang w:val="en-GB"/>
        </w:rPr>
        <w:t xml:space="preserve"> given opportunit</w:t>
      </w:r>
      <w:r w:rsidR="00173AC7">
        <w:rPr>
          <w:rFonts w:asciiTheme="majorHAnsi" w:eastAsia="Calibri Light" w:hAnsiTheme="majorHAnsi" w:cstheme="majorBidi"/>
          <w:sz w:val="23"/>
          <w:szCs w:val="23"/>
          <w:lang w:val="en-GB"/>
        </w:rPr>
        <w:t>ies</w:t>
      </w:r>
      <w:r w:rsidR="00B808BA">
        <w:rPr>
          <w:rFonts w:asciiTheme="majorHAnsi" w:eastAsia="Calibri Light" w:hAnsiTheme="majorHAnsi" w:cstheme="majorBidi"/>
          <w:sz w:val="23"/>
          <w:szCs w:val="23"/>
          <w:lang w:val="en-GB"/>
        </w:rPr>
        <w:t xml:space="preserve"> </w:t>
      </w:r>
      <w:r w:rsidR="002F34BE">
        <w:rPr>
          <w:rFonts w:asciiTheme="majorHAnsi" w:eastAsia="Calibri Light" w:hAnsiTheme="majorHAnsi" w:cstheme="majorBidi"/>
          <w:sz w:val="23"/>
          <w:szCs w:val="23"/>
          <w:lang w:val="en-GB"/>
        </w:rPr>
        <w:t xml:space="preserve">and support </w:t>
      </w:r>
      <w:r w:rsidR="00B808BA">
        <w:rPr>
          <w:rFonts w:asciiTheme="majorHAnsi" w:eastAsia="Calibri Light" w:hAnsiTheme="majorHAnsi" w:cstheme="majorBidi"/>
          <w:sz w:val="23"/>
          <w:szCs w:val="23"/>
          <w:lang w:val="en-GB"/>
        </w:rPr>
        <w:t xml:space="preserve">to be </w:t>
      </w:r>
      <w:r w:rsidR="00F00E3D" w:rsidRPr="0034443E">
        <w:rPr>
          <w:rFonts w:asciiTheme="majorHAnsi" w:eastAsia="Calibri Light" w:hAnsiTheme="majorHAnsi" w:cstheme="majorBidi"/>
          <w:sz w:val="23"/>
          <w:szCs w:val="23"/>
          <w:lang w:val="en-GB"/>
        </w:rPr>
        <w:t xml:space="preserve">actively </w:t>
      </w:r>
      <w:r w:rsidR="00173AC7">
        <w:rPr>
          <w:rFonts w:asciiTheme="majorHAnsi" w:eastAsia="Calibri Light" w:hAnsiTheme="majorHAnsi" w:cstheme="majorBidi"/>
          <w:sz w:val="23"/>
          <w:szCs w:val="23"/>
          <w:lang w:val="en-GB"/>
        </w:rPr>
        <w:t>involved in</w:t>
      </w:r>
      <w:r w:rsidR="00F00E3D" w:rsidRPr="0034443E">
        <w:rPr>
          <w:rFonts w:asciiTheme="majorHAnsi" w:eastAsia="Calibri Light" w:hAnsiTheme="majorHAnsi" w:cstheme="majorBidi"/>
          <w:sz w:val="23"/>
          <w:szCs w:val="23"/>
          <w:lang w:val="en-GB"/>
        </w:rPr>
        <w:t xml:space="preserve"> decisions that affect them:</w:t>
      </w:r>
    </w:p>
    <w:p w14:paraId="707A74BE" w14:textId="09B01887" w:rsidR="00F00E3D" w:rsidRPr="0034443E" w:rsidRDefault="00AC1E40" w:rsidP="007A547F">
      <w:pPr>
        <w:spacing w:line="276" w:lineRule="auto"/>
        <w:ind w:left="720"/>
        <w:rPr>
          <w:rFonts w:asciiTheme="majorHAnsi" w:eastAsia="Calibri Light" w:hAnsiTheme="majorHAnsi" w:cstheme="majorHAnsi"/>
          <w:sz w:val="23"/>
          <w:szCs w:val="23"/>
          <w:lang w:val="en-GB"/>
        </w:rPr>
      </w:pPr>
      <w:r w:rsidRPr="0034443E">
        <w:rPr>
          <w:rFonts w:asciiTheme="majorHAnsi" w:eastAsia="Calibri Light" w:hAnsiTheme="majorHAnsi" w:cstheme="majorHAnsi"/>
          <w:sz w:val="23"/>
          <w:szCs w:val="23"/>
          <w:lang w:val="en-GB"/>
        </w:rPr>
        <w:t>The</w:t>
      </w:r>
      <w:r w:rsidR="00F00E3D" w:rsidRPr="0034443E">
        <w:rPr>
          <w:rFonts w:asciiTheme="majorHAnsi" w:eastAsia="Calibri Light" w:hAnsiTheme="majorHAnsi" w:cstheme="majorHAnsi"/>
          <w:sz w:val="23"/>
          <w:szCs w:val="23"/>
          <w:lang w:val="en-GB"/>
        </w:rPr>
        <w:t xml:space="preserve"> community does not have a voice. Don’t get externals to ask the community </w:t>
      </w:r>
      <w:r w:rsidRPr="0034443E">
        <w:rPr>
          <w:rFonts w:asciiTheme="majorHAnsi" w:eastAsia="Calibri Light" w:hAnsiTheme="majorHAnsi" w:cstheme="majorHAnsi"/>
          <w:sz w:val="23"/>
          <w:szCs w:val="23"/>
          <w:lang w:val="en-GB"/>
        </w:rPr>
        <w:t>“W</w:t>
      </w:r>
      <w:r w:rsidR="00F00E3D" w:rsidRPr="0034443E">
        <w:rPr>
          <w:rFonts w:asciiTheme="majorHAnsi" w:eastAsia="Calibri Light" w:hAnsiTheme="majorHAnsi" w:cstheme="majorHAnsi"/>
          <w:sz w:val="23"/>
          <w:szCs w:val="23"/>
          <w:lang w:val="en-GB"/>
        </w:rPr>
        <w:t>hat do you need or want</w:t>
      </w:r>
      <w:r w:rsidRPr="0034443E">
        <w:rPr>
          <w:rFonts w:asciiTheme="majorHAnsi" w:eastAsia="Calibri Light" w:hAnsiTheme="majorHAnsi" w:cstheme="majorHAnsi"/>
          <w:sz w:val="23"/>
          <w:szCs w:val="23"/>
          <w:lang w:val="en-GB"/>
        </w:rPr>
        <w:t>?”</w:t>
      </w:r>
      <w:r w:rsidR="00F00E3D" w:rsidRPr="0034443E">
        <w:rPr>
          <w:rFonts w:asciiTheme="majorHAnsi" w:eastAsia="Calibri Light" w:hAnsiTheme="majorHAnsi" w:cstheme="majorHAnsi"/>
          <w:sz w:val="23"/>
          <w:szCs w:val="23"/>
          <w:lang w:val="en-GB"/>
        </w:rPr>
        <w:t xml:space="preserve"> People like Di Pont sat at the kitchen table with people, but they didn’t have anything to say</w:t>
      </w:r>
      <w:r w:rsidRPr="0034443E">
        <w:rPr>
          <w:rFonts w:asciiTheme="majorHAnsi" w:eastAsia="Calibri Light" w:hAnsiTheme="majorHAnsi" w:cstheme="majorHAnsi"/>
          <w:sz w:val="23"/>
          <w:szCs w:val="23"/>
          <w:lang w:val="en-GB"/>
        </w:rPr>
        <w:t>,</w:t>
      </w:r>
      <w:r w:rsidR="00F00E3D" w:rsidRPr="0034443E">
        <w:rPr>
          <w:rFonts w:asciiTheme="majorHAnsi" w:eastAsia="Calibri Light" w:hAnsiTheme="majorHAnsi" w:cstheme="majorHAnsi"/>
          <w:sz w:val="23"/>
          <w:szCs w:val="23"/>
          <w:lang w:val="en-GB"/>
        </w:rPr>
        <w:t xml:space="preserve"> as they had no confidence or belief that their views mattered. None of the service CEOs or main people live in the area. But they have to engage with the locals who are so disempowered. We need to know how to mobilise their confidence (P8)</w:t>
      </w:r>
      <w:r w:rsidR="00173AC7">
        <w:rPr>
          <w:rFonts w:asciiTheme="majorHAnsi" w:eastAsia="Calibri Light" w:hAnsiTheme="majorHAnsi" w:cstheme="majorHAnsi"/>
          <w:sz w:val="23"/>
          <w:szCs w:val="23"/>
          <w:lang w:val="en-GB"/>
        </w:rPr>
        <w:t>.</w:t>
      </w:r>
    </w:p>
    <w:p w14:paraId="24DD7E35" w14:textId="22E9E93D" w:rsidR="00F00E3D" w:rsidRPr="00AC1E40" w:rsidRDefault="00F00E3D" w:rsidP="007A547F">
      <w:pPr>
        <w:spacing w:line="276" w:lineRule="auto"/>
        <w:ind w:left="720"/>
        <w:rPr>
          <w:rFonts w:asciiTheme="majorHAnsi" w:eastAsia="Calibri Light" w:hAnsiTheme="majorHAnsi" w:cstheme="majorBidi"/>
          <w:sz w:val="23"/>
          <w:szCs w:val="23"/>
          <w:lang w:val="en-GB"/>
        </w:rPr>
      </w:pPr>
      <w:r w:rsidRPr="0034443E">
        <w:rPr>
          <w:rFonts w:asciiTheme="majorHAnsi" w:eastAsia="Calibri Light" w:hAnsiTheme="majorHAnsi" w:cstheme="majorBidi"/>
          <w:sz w:val="23"/>
          <w:szCs w:val="23"/>
          <w:lang w:val="en-GB"/>
        </w:rPr>
        <w:t>[The] Corio-Norlane Action Plan had community members who became</w:t>
      </w:r>
      <w:r w:rsidRPr="00AC1E40">
        <w:rPr>
          <w:rFonts w:asciiTheme="majorHAnsi" w:eastAsia="Calibri Light" w:hAnsiTheme="majorHAnsi" w:cstheme="majorBidi"/>
          <w:sz w:val="23"/>
          <w:szCs w:val="23"/>
          <w:lang w:val="en-GB"/>
        </w:rPr>
        <w:t xml:space="preserve"> and were recognised and treated as valued members. Locals were being listened to (P8)</w:t>
      </w:r>
      <w:r w:rsidR="00173AC7">
        <w:rPr>
          <w:rFonts w:asciiTheme="majorHAnsi" w:eastAsia="Calibri Light" w:hAnsiTheme="majorHAnsi" w:cstheme="majorBidi"/>
          <w:sz w:val="23"/>
          <w:szCs w:val="23"/>
          <w:lang w:val="en-GB"/>
        </w:rPr>
        <w:t>.</w:t>
      </w:r>
    </w:p>
    <w:p w14:paraId="603F815B" w14:textId="3A781F85" w:rsidR="00F00E3D" w:rsidRPr="00C2301A" w:rsidRDefault="00F30FB2" w:rsidP="009B2FA7">
      <w:pPr>
        <w:spacing w:line="257" w:lineRule="auto"/>
        <w:rPr>
          <w:rFonts w:eastAsia="Calibri"/>
          <w:b/>
          <w:color w:val="2F5496" w:themeColor="accent1" w:themeShade="BF"/>
          <w:sz w:val="28"/>
          <w:szCs w:val="28"/>
        </w:rPr>
      </w:pPr>
      <w:bookmarkStart w:id="96" w:name="_Hlk71218043"/>
      <w:r w:rsidRPr="00C2301A">
        <w:rPr>
          <w:rFonts w:eastAsia="Calibri"/>
          <w:b/>
          <w:color w:val="2F5496" w:themeColor="accent1" w:themeShade="BF"/>
          <w:sz w:val="28"/>
          <w:szCs w:val="28"/>
        </w:rPr>
        <w:lastRenderedPageBreak/>
        <w:t xml:space="preserve">8.4 Working </w:t>
      </w:r>
      <w:r w:rsidR="00372A3B" w:rsidRPr="00C2301A">
        <w:rPr>
          <w:rFonts w:eastAsia="Calibri"/>
          <w:b/>
          <w:color w:val="2F5496" w:themeColor="accent1" w:themeShade="BF"/>
          <w:sz w:val="28"/>
          <w:szCs w:val="28"/>
        </w:rPr>
        <w:t>w</w:t>
      </w:r>
      <w:r w:rsidRPr="00C2301A">
        <w:rPr>
          <w:rFonts w:eastAsia="Calibri"/>
          <w:b/>
          <w:color w:val="2F5496" w:themeColor="accent1" w:themeShade="BF"/>
          <w:sz w:val="28"/>
          <w:szCs w:val="28"/>
        </w:rPr>
        <w:t>ith Local Communities: What is the Best Approach?</w:t>
      </w:r>
    </w:p>
    <w:bookmarkEnd w:id="96"/>
    <w:p w14:paraId="46AC9FAC" w14:textId="4E470E6C" w:rsidR="00F00E3D" w:rsidRPr="00601BFA" w:rsidRDefault="00950307" w:rsidP="009C12E8">
      <w:pPr>
        <w:spacing w:line="276" w:lineRule="auto"/>
        <w:rPr>
          <w:rFonts w:asciiTheme="majorHAnsi" w:eastAsiaTheme="minorEastAsia" w:hAnsiTheme="majorHAnsi" w:cstheme="majorBidi"/>
          <w:sz w:val="23"/>
          <w:szCs w:val="23"/>
        </w:rPr>
      </w:pPr>
      <w:r>
        <w:rPr>
          <w:rFonts w:asciiTheme="majorHAnsi" w:eastAsia="Calibri" w:hAnsiTheme="majorHAnsi" w:cstheme="majorHAnsi"/>
          <w:sz w:val="23"/>
          <w:szCs w:val="23"/>
          <w:lang w:val="en-GB"/>
        </w:rPr>
        <w:t>Our informants</w:t>
      </w:r>
      <w:r w:rsidR="00F00E3D" w:rsidRPr="00CB3BB5">
        <w:rPr>
          <w:rFonts w:asciiTheme="majorHAnsi" w:eastAsia="Calibri" w:hAnsiTheme="majorHAnsi" w:cstheme="majorHAnsi"/>
          <w:sz w:val="23"/>
          <w:szCs w:val="23"/>
          <w:lang w:val="en-GB"/>
        </w:rPr>
        <w:t xml:space="preserve"> were asked to suggest initiatives and </w:t>
      </w:r>
      <w:r w:rsidR="006B6908">
        <w:rPr>
          <w:rFonts w:asciiTheme="majorHAnsi" w:eastAsia="Calibri" w:hAnsiTheme="majorHAnsi" w:cstheme="majorHAnsi"/>
          <w:sz w:val="23"/>
          <w:szCs w:val="23"/>
          <w:lang w:val="en-GB"/>
        </w:rPr>
        <w:t xml:space="preserve">identify </w:t>
      </w:r>
      <w:r w:rsidR="00F00E3D" w:rsidRPr="00CB3BB5">
        <w:rPr>
          <w:rFonts w:asciiTheme="majorHAnsi" w:eastAsia="Calibri" w:hAnsiTheme="majorHAnsi" w:cstheme="majorHAnsi"/>
          <w:sz w:val="23"/>
          <w:szCs w:val="23"/>
          <w:lang w:val="en-GB"/>
        </w:rPr>
        <w:t>priorities to improve life for residents in the three localities. They also shared knowledge about the</w:t>
      </w:r>
      <w:r w:rsidR="00772E66">
        <w:rPr>
          <w:rFonts w:asciiTheme="majorHAnsi" w:eastAsia="Calibri" w:hAnsiTheme="majorHAnsi" w:cstheme="majorHAnsi"/>
          <w:sz w:val="23"/>
          <w:szCs w:val="23"/>
          <w:lang w:val="en-GB"/>
        </w:rPr>
        <w:t>ir local</w:t>
      </w:r>
      <w:r w:rsidR="00F00E3D" w:rsidRPr="00CB3BB5">
        <w:rPr>
          <w:rFonts w:asciiTheme="majorHAnsi" w:eastAsia="Calibri" w:hAnsiTheme="majorHAnsi" w:cstheme="majorHAnsi"/>
          <w:sz w:val="23"/>
          <w:szCs w:val="23"/>
          <w:lang w:val="en-GB"/>
        </w:rPr>
        <w:t xml:space="preserve"> community’s unmet needs, including those highlighted or revealed by </w:t>
      </w:r>
      <w:r w:rsidR="00940D80">
        <w:rPr>
          <w:rFonts w:asciiTheme="majorHAnsi" w:eastAsia="Calibri" w:hAnsiTheme="majorHAnsi" w:cstheme="majorHAnsi"/>
          <w:sz w:val="23"/>
          <w:szCs w:val="23"/>
          <w:lang w:val="en-GB"/>
        </w:rPr>
        <w:t>COVID</w:t>
      </w:r>
      <w:r w:rsidR="00F00E3D" w:rsidRPr="00CB3BB5">
        <w:rPr>
          <w:rFonts w:asciiTheme="majorHAnsi" w:eastAsia="Calibri" w:hAnsiTheme="majorHAnsi" w:cstheme="majorHAnsi"/>
          <w:sz w:val="23"/>
          <w:szCs w:val="23"/>
          <w:lang w:val="en-GB"/>
        </w:rPr>
        <w:t>-19</w:t>
      </w:r>
      <w:r w:rsidR="00772E66">
        <w:rPr>
          <w:rFonts w:asciiTheme="majorHAnsi" w:eastAsia="Calibri" w:hAnsiTheme="majorHAnsi" w:cstheme="majorHAnsi"/>
          <w:sz w:val="23"/>
          <w:szCs w:val="23"/>
          <w:lang w:val="en-GB"/>
        </w:rPr>
        <w:t xml:space="preserve">, and </w:t>
      </w:r>
      <w:r w:rsidR="00F00E3D" w:rsidRPr="00CB3BB5">
        <w:rPr>
          <w:rFonts w:asciiTheme="majorHAnsi" w:eastAsia="Calibri" w:hAnsiTheme="majorHAnsi" w:cstheme="majorHAnsi"/>
          <w:sz w:val="23"/>
          <w:szCs w:val="23"/>
          <w:lang w:val="en-GB"/>
        </w:rPr>
        <w:t xml:space="preserve">suggestions for future </w:t>
      </w:r>
      <w:r w:rsidR="00772E66">
        <w:rPr>
          <w:rFonts w:asciiTheme="majorHAnsi" w:eastAsia="Calibri" w:hAnsiTheme="majorHAnsi" w:cstheme="majorHAnsi"/>
          <w:sz w:val="23"/>
          <w:szCs w:val="23"/>
          <w:lang w:val="en-GB"/>
        </w:rPr>
        <w:t>initiatives.</w:t>
      </w:r>
      <w:r w:rsidR="00F00E3D" w:rsidRPr="00CB3BB5">
        <w:rPr>
          <w:rFonts w:asciiTheme="majorHAnsi" w:eastAsia="Calibri" w:hAnsiTheme="majorHAnsi" w:cstheme="majorHAnsi"/>
          <w:sz w:val="23"/>
          <w:szCs w:val="23"/>
          <w:lang w:val="en-GB"/>
        </w:rPr>
        <w:t xml:space="preserve"> </w:t>
      </w:r>
    </w:p>
    <w:p w14:paraId="45AA635B" w14:textId="629E031C" w:rsidR="00F00E3D" w:rsidRPr="00CB3BB5" w:rsidRDefault="007D4169" w:rsidP="009C12E8">
      <w:pPr>
        <w:spacing w:line="276" w:lineRule="auto"/>
        <w:rPr>
          <w:rFonts w:asciiTheme="majorHAnsi" w:eastAsia="Calibri Light" w:hAnsiTheme="majorHAnsi" w:cstheme="majorHAnsi"/>
          <w:sz w:val="23"/>
          <w:szCs w:val="23"/>
          <w:lang w:val="en-GB"/>
        </w:rPr>
      </w:pPr>
      <w:r>
        <w:rPr>
          <w:rFonts w:asciiTheme="majorHAnsi" w:eastAsia="Calibri Light" w:hAnsiTheme="majorHAnsi" w:cstheme="majorHAnsi"/>
          <w:sz w:val="23"/>
          <w:szCs w:val="23"/>
          <w:lang w:val="en-GB"/>
        </w:rPr>
        <w:t xml:space="preserve">One </w:t>
      </w:r>
      <w:r w:rsidR="006B6908">
        <w:rPr>
          <w:rFonts w:asciiTheme="majorHAnsi" w:eastAsia="Calibri Light" w:hAnsiTheme="majorHAnsi" w:cstheme="majorHAnsi"/>
          <w:sz w:val="23"/>
          <w:szCs w:val="23"/>
          <w:lang w:val="en-GB"/>
        </w:rPr>
        <w:t>theme emerged very strongly</w:t>
      </w:r>
      <w:r>
        <w:rPr>
          <w:rFonts w:asciiTheme="majorHAnsi" w:eastAsia="Calibri Light" w:hAnsiTheme="majorHAnsi" w:cstheme="majorHAnsi"/>
          <w:sz w:val="23"/>
          <w:szCs w:val="23"/>
          <w:lang w:val="en-GB"/>
        </w:rPr>
        <w:t xml:space="preserve">: </w:t>
      </w:r>
      <w:r w:rsidR="00307D7E">
        <w:rPr>
          <w:rFonts w:asciiTheme="majorHAnsi" w:eastAsia="Calibri Light" w:hAnsiTheme="majorHAnsi" w:cstheme="majorHAnsi"/>
          <w:sz w:val="23"/>
          <w:szCs w:val="23"/>
          <w:lang w:val="en-GB"/>
        </w:rPr>
        <w:t>people</w:t>
      </w:r>
      <w:r w:rsidR="006B6908">
        <w:rPr>
          <w:rFonts w:asciiTheme="majorHAnsi" w:eastAsia="Calibri Light" w:hAnsiTheme="majorHAnsi" w:cstheme="majorHAnsi"/>
          <w:sz w:val="23"/>
          <w:szCs w:val="23"/>
          <w:lang w:val="en-GB"/>
        </w:rPr>
        <w:t xml:space="preserve"> told us that the </w:t>
      </w:r>
      <w:r>
        <w:rPr>
          <w:rFonts w:asciiTheme="majorHAnsi" w:eastAsia="Calibri Light" w:hAnsiTheme="majorHAnsi" w:cstheme="majorHAnsi"/>
          <w:sz w:val="23"/>
          <w:szCs w:val="23"/>
          <w:lang w:val="en-GB"/>
        </w:rPr>
        <w:t>way</w:t>
      </w:r>
      <w:r w:rsidR="00F00E3D" w:rsidRPr="00CB3BB5">
        <w:rPr>
          <w:rFonts w:asciiTheme="majorHAnsi" w:eastAsia="Calibri Light" w:hAnsiTheme="majorHAnsi" w:cstheme="majorHAnsi"/>
          <w:sz w:val="23"/>
          <w:szCs w:val="23"/>
          <w:lang w:val="en-GB"/>
        </w:rPr>
        <w:t xml:space="preserve"> new </w:t>
      </w:r>
      <w:r w:rsidR="006B6908">
        <w:rPr>
          <w:rFonts w:asciiTheme="majorHAnsi" w:eastAsia="Calibri Light" w:hAnsiTheme="majorHAnsi" w:cstheme="majorHAnsi"/>
          <w:sz w:val="23"/>
          <w:szCs w:val="23"/>
          <w:lang w:val="en-GB"/>
        </w:rPr>
        <w:t xml:space="preserve">community </w:t>
      </w:r>
      <w:r w:rsidR="00F00E3D" w:rsidRPr="00CB3BB5">
        <w:rPr>
          <w:rFonts w:asciiTheme="majorHAnsi" w:eastAsia="Calibri Light" w:hAnsiTheme="majorHAnsi" w:cstheme="majorHAnsi"/>
          <w:sz w:val="23"/>
          <w:szCs w:val="23"/>
          <w:lang w:val="en-GB"/>
        </w:rPr>
        <w:t>initiatives</w:t>
      </w:r>
      <w:r>
        <w:rPr>
          <w:rFonts w:asciiTheme="majorHAnsi" w:eastAsia="Calibri Light" w:hAnsiTheme="majorHAnsi" w:cstheme="majorHAnsi"/>
          <w:sz w:val="23"/>
          <w:szCs w:val="23"/>
          <w:lang w:val="en-GB"/>
        </w:rPr>
        <w:t xml:space="preserve"> are</w:t>
      </w:r>
      <w:r w:rsidR="006B6908">
        <w:rPr>
          <w:rFonts w:asciiTheme="majorHAnsi" w:eastAsia="Calibri Light" w:hAnsiTheme="majorHAnsi" w:cstheme="majorHAnsi"/>
          <w:sz w:val="23"/>
          <w:szCs w:val="23"/>
          <w:lang w:val="en-GB"/>
        </w:rPr>
        <w:t xml:space="preserve"> </w:t>
      </w:r>
      <w:r w:rsidR="006B6908" w:rsidRPr="00950307">
        <w:rPr>
          <w:rFonts w:asciiTheme="majorHAnsi" w:eastAsia="Calibri Light" w:hAnsiTheme="majorHAnsi" w:cstheme="majorHAnsi"/>
          <w:sz w:val="23"/>
          <w:szCs w:val="23"/>
          <w:lang w:val="en-GB"/>
        </w:rPr>
        <w:t>approached is</w:t>
      </w:r>
      <w:r w:rsidR="00F00E3D" w:rsidRPr="00950307">
        <w:rPr>
          <w:rFonts w:asciiTheme="majorHAnsi" w:eastAsia="Calibri Light" w:hAnsiTheme="majorHAnsi" w:cstheme="majorHAnsi"/>
          <w:sz w:val="23"/>
          <w:szCs w:val="23"/>
          <w:lang w:val="en-GB"/>
        </w:rPr>
        <w:t xml:space="preserve"> of equal if not greater importance than the initiatives themselves. </w:t>
      </w:r>
      <w:r w:rsidR="006B6908" w:rsidRPr="00950307">
        <w:rPr>
          <w:rFonts w:asciiTheme="majorHAnsi" w:eastAsia="Calibri Light" w:hAnsiTheme="majorHAnsi" w:cstheme="majorHAnsi"/>
          <w:sz w:val="23"/>
          <w:szCs w:val="23"/>
          <w:lang w:val="en-GB"/>
        </w:rPr>
        <w:t>Th</w:t>
      </w:r>
      <w:r w:rsidR="00372A3B" w:rsidRPr="00950307">
        <w:rPr>
          <w:rFonts w:asciiTheme="majorHAnsi" w:eastAsia="Calibri Light" w:hAnsiTheme="majorHAnsi" w:cstheme="majorHAnsi"/>
          <w:sz w:val="23"/>
          <w:szCs w:val="23"/>
          <w:lang w:val="en-GB"/>
        </w:rPr>
        <w:t xml:space="preserve">is </w:t>
      </w:r>
      <w:r w:rsidR="00810A6F" w:rsidRPr="00950307">
        <w:rPr>
          <w:rFonts w:asciiTheme="majorHAnsi" w:eastAsia="Calibri Light" w:hAnsiTheme="majorHAnsi" w:cstheme="majorHAnsi"/>
          <w:sz w:val="23"/>
          <w:szCs w:val="23"/>
          <w:lang w:val="en-GB"/>
        </w:rPr>
        <w:t xml:space="preserve">point </w:t>
      </w:r>
      <w:r w:rsidR="00372A3B" w:rsidRPr="00950307">
        <w:rPr>
          <w:rFonts w:asciiTheme="majorHAnsi" w:eastAsia="Calibri Light" w:hAnsiTheme="majorHAnsi" w:cstheme="majorHAnsi"/>
          <w:sz w:val="23"/>
          <w:szCs w:val="23"/>
          <w:lang w:val="en-GB"/>
        </w:rPr>
        <w:t xml:space="preserve">was emphasised repeatedly, with participants </w:t>
      </w:r>
      <w:r w:rsidR="00810A6F" w:rsidRPr="00950307">
        <w:rPr>
          <w:rFonts w:asciiTheme="majorHAnsi" w:eastAsia="Calibri Light" w:hAnsiTheme="majorHAnsi" w:cstheme="majorHAnsi"/>
          <w:sz w:val="23"/>
          <w:szCs w:val="23"/>
          <w:lang w:val="en-GB"/>
        </w:rPr>
        <w:t>presenting a clear</w:t>
      </w:r>
      <w:r w:rsidR="00372A3B" w:rsidRPr="00950307">
        <w:rPr>
          <w:rFonts w:asciiTheme="majorHAnsi" w:eastAsia="Calibri Light" w:hAnsiTheme="majorHAnsi" w:cstheme="majorHAnsi"/>
          <w:sz w:val="23"/>
          <w:szCs w:val="23"/>
          <w:lang w:val="en-GB"/>
        </w:rPr>
        <w:t xml:space="preserve"> picture of the</w:t>
      </w:r>
      <w:r w:rsidR="006B6908" w:rsidRPr="00950307">
        <w:rPr>
          <w:rFonts w:asciiTheme="majorHAnsi" w:eastAsia="Calibri Light" w:hAnsiTheme="majorHAnsi" w:cstheme="majorHAnsi"/>
          <w:sz w:val="23"/>
          <w:szCs w:val="23"/>
          <w:lang w:val="en-GB"/>
        </w:rPr>
        <w:t xml:space="preserve"> </w:t>
      </w:r>
      <w:r w:rsidR="00810A6F" w:rsidRPr="00950307">
        <w:rPr>
          <w:rFonts w:asciiTheme="majorHAnsi" w:eastAsia="Calibri Light" w:hAnsiTheme="majorHAnsi" w:cstheme="majorHAnsi"/>
          <w:sz w:val="23"/>
          <w:szCs w:val="23"/>
          <w:lang w:val="en-GB"/>
        </w:rPr>
        <w:t>approaches that should form the foundation of any future initiatives in these three localities.</w:t>
      </w:r>
      <w:r w:rsidR="00F00E3D" w:rsidRPr="00950307">
        <w:rPr>
          <w:rFonts w:asciiTheme="majorHAnsi" w:eastAsia="Calibri Light" w:hAnsiTheme="majorHAnsi" w:cstheme="majorHAnsi"/>
          <w:sz w:val="23"/>
          <w:szCs w:val="23"/>
          <w:lang w:val="en-GB"/>
        </w:rPr>
        <w:t xml:space="preserve"> </w:t>
      </w:r>
      <w:r w:rsidR="00810A6F" w:rsidRPr="00950307">
        <w:rPr>
          <w:rFonts w:asciiTheme="majorHAnsi" w:eastAsia="Calibri Light" w:hAnsiTheme="majorHAnsi" w:cstheme="majorHAnsi"/>
          <w:sz w:val="23"/>
          <w:szCs w:val="23"/>
          <w:lang w:val="en-GB"/>
        </w:rPr>
        <w:t xml:space="preserve">These </w:t>
      </w:r>
      <w:r w:rsidR="00950307">
        <w:rPr>
          <w:rFonts w:asciiTheme="majorHAnsi" w:eastAsia="Calibri Light" w:hAnsiTheme="majorHAnsi" w:cstheme="majorHAnsi"/>
          <w:sz w:val="23"/>
          <w:szCs w:val="23"/>
          <w:lang w:val="en-GB"/>
        </w:rPr>
        <w:t xml:space="preserve">approaches </w:t>
      </w:r>
      <w:r w:rsidR="00F00E3D" w:rsidRPr="00950307">
        <w:rPr>
          <w:rFonts w:asciiTheme="majorHAnsi" w:eastAsia="Calibri Light" w:hAnsiTheme="majorHAnsi" w:cstheme="majorHAnsi"/>
          <w:sz w:val="23"/>
          <w:szCs w:val="23"/>
          <w:lang w:val="en-GB"/>
        </w:rPr>
        <w:t xml:space="preserve">are </w:t>
      </w:r>
      <w:r w:rsidRPr="00950307">
        <w:rPr>
          <w:rFonts w:asciiTheme="majorHAnsi" w:eastAsia="Calibri Light" w:hAnsiTheme="majorHAnsi" w:cstheme="majorHAnsi"/>
          <w:sz w:val="23"/>
          <w:szCs w:val="23"/>
          <w:lang w:val="en-GB"/>
        </w:rPr>
        <w:t>summarised</w:t>
      </w:r>
      <w:r w:rsidR="00F00E3D" w:rsidRPr="00950307">
        <w:rPr>
          <w:rFonts w:asciiTheme="majorHAnsi" w:eastAsia="Calibri Light" w:hAnsiTheme="majorHAnsi" w:cstheme="majorHAnsi"/>
          <w:sz w:val="23"/>
          <w:szCs w:val="23"/>
          <w:lang w:val="en-GB"/>
        </w:rPr>
        <w:t xml:space="preserve"> be</w:t>
      </w:r>
      <w:r w:rsidRPr="00950307">
        <w:rPr>
          <w:rFonts w:asciiTheme="majorHAnsi" w:eastAsia="Calibri Light" w:hAnsiTheme="majorHAnsi" w:cstheme="majorHAnsi"/>
          <w:sz w:val="23"/>
          <w:szCs w:val="23"/>
          <w:lang w:val="en-GB"/>
        </w:rPr>
        <w:t>low, before</w:t>
      </w:r>
      <w:r w:rsidR="00F00E3D" w:rsidRPr="00950307">
        <w:rPr>
          <w:rFonts w:asciiTheme="majorHAnsi" w:eastAsia="Calibri Light" w:hAnsiTheme="majorHAnsi" w:cstheme="majorHAnsi"/>
          <w:sz w:val="23"/>
          <w:szCs w:val="23"/>
          <w:lang w:val="en-GB"/>
        </w:rPr>
        <w:t xml:space="preserve"> being described in more detail:</w:t>
      </w:r>
    </w:p>
    <w:p w14:paraId="34B279E5" w14:textId="0C64E94E" w:rsidR="00F00E3D" w:rsidRPr="006B6908" w:rsidRDefault="00F00E3D" w:rsidP="009C12E8">
      <w:pPr>
        <w:pStyle w:val="ListParagraph"/>
        <w:numPr>
          <w:ilvl w:val="0"/>
          <w:numId w:val="69"/>
        </w:numPr>
        <w:spacing w:line="276" w:lineRule="auto"/>
        <w:rPr>
          <w:rFonts w:asciiTheme="majorHAnsi" w:eastAsia="Calibri Light" w:hAnsiTheme="majorHAnsi" w:cstheme="majorHAnsi"/>
          <w:sz w:val="23"/>
          <w:szCs w:val="23"/>
          <w:lang w:val="en-GB"/>
        </w:rPr>
      </w:pPr>
      <w:r w:rsidRPr="006B6908">
        <w:rPr>
          <w:rFonts w:asciiTheme="majorHAnsi" w:eastAsia="Calibri Light" w:hAnsiTheme="majorHAnsi" w:cstheme="majorHAnsi"/>
          <w:sz w:val="23"/>
          <w:szCs w:val="23"/>
          <w:lang w:val="en-GB"/>
        </w:rPr>
        <w:t>Listen. Build trust. Show respect.</w:t>
      </w:r>
    </w:p>
    <w:p w14:paraId="3DFB05E2" w14:textId="23C62790" w:rsidR="00F00E3D" w:rsidRPr="006B6908" w:rsidRDefault="00F00E3D" w:rsidP="009C12E8">
      <w:pPr>
        <w:pStyle w:val="ListParagraph"/>
        <w:numPr>
          <w:ilvl w:val="0"/>
          <w:numId w:val="69"/>
        </w:numPr>
        <w:spacing w:line="276" w:lineRule="auto"/>
        <w:rPr>
          <w:rFonts w:asciiTheme="majorHAnsi" w:eastAsia="Calibri Light" w:hAnsiTheme="majorHAnsi" w:cstheme="majorHAnsi"/>
          <w:sz w:val="23"/>
          <w:szCs w:val="23"/>
          <w:lang w:val="en-GB"/>
        </w:rPr>
      </w:pPr>
      <w:r w:rsidRPr="006B6908">
        <w:rPr>
          <w:rFonts w:asciiTheme="majorHAnsi" w:eastAsia="Calibri Light" w:hAnsiTheme="majorHAnsi" w:cstheme="majorHAnsi"/>
          <w:sz w:val="23"/>
          <w:szCs w:val="23"/>
          <w:lang w:val="en-GB"/>
        </w:rPr>
        <w:t>Recognise the community’s ability to solve problems and design solutions. Support community confidence and empowerment.</w:t>
      </w:r>
    </w:p>
    <w:p w14:paraId="621D71B6" w14:textId="54713E79" w:rsidR="00F00E3D" w:rsidRPr="006B6908" w:rsidRDefault="00F00E3D" w:rsidP="009C12E8">
      <w:pPr>
        <w:pStyle w:val="ListParagraph"/>
        <w:numPr>
          <w:ilvl w:val="0"/>
          <w:numId w:val="69"/>
        </w:numPr>
        <w:spacing w:line="276" w:lineRule="auto"/>
        <w:rPr>
          <w:rFonts w:asciiTheme="majorHAnsi" w:eastAsia="Calibri Light" w:hAnsiTheme="majorHAnsi" w:cstheme="majorHAnsi"/>
          <w:sz w:val="23"/>
          <w:szCs w:val="23"/>
          <w:lang w:val="en-GB"/>
        </w:rPr>
      </w:pPr>
      <w:r w:rsidRPr="006B6908">
        <w:rPr>
          <w:rFonts w:asciiTheme="majorHAnsi" w:eastAsia="Calibri Light" w:hAnsiTheme="majorHAnsi" w:cstheme="majorHAnsi"/>
          <w:sz w:val="23"/>
          <w:szCs w:val="23"/>
          <w:lang w:val="en-GB"/>
        </w:rPr>
        <w:t>Build on existing strengths, programs, networks, capacities</w:t>
      </w:r>
      <w:r w:rsidR="009C12E8">
        <w:rPr>
          <w:rFonts w:asciiTheme="majorHAnsi" w:eastAsia="Calibri Light" w:hAnsiTheme="majorHAnsi" w:cstheme="majorHAnsi"/>
          <w:sz w:val="23"/>
          <w:szCs w:val="23"/>
          <w:lang w:val="en-GB"/>
        </w:rPr>
        <w:t>,</w:t>
      </w:r>
      <w:r w:rsidRPr="006B6908">
        <w:rPr>
          <w:rFonts w:asciiTheme="majorHAnsi" w:eastAsia="Calibri Light" w:hAnsiTheme="majorHAnsi" w:cstheme="majorHAnsi"/>
          <w:sz w:val="23"/>
          <w:szCs w:val="23"/>
          <w:lang w:val="en-GB"/>
        </w:rPr>
        <w:t xml:space="preserve"> people</w:t>
      </w:r>
      <w:r w:rsidR="009C12E8">
        <w:rPr>
          <w:rFonts w:asciiTheme="majorHAnsi" w:eastAsia="Calibri Light" w:hAnsiTheme="majorHAnsi" w:cstheme="majorHAnsi"/>
          <w:sz w:val="23"/>
          <w:szCs w:val="23"/>
          <w:lang w:val="en-GB"/>
        </w:rPr>
        <w:t>. D</w:t>
      </w:r>
      <w:r w:rsidRPr="006B6908">
        <w:rPr>
          <w:rFonts w:asciiTheme="majorHAnsi" w:eastAsia="Calibri Light" w:hAnsiTheme="majorHAnsi" w:cstheme="majorHAnsi"/>
          <w:sz w:val="23"/>
          <w:szCs w:val="23"/>
          <w:lang w:val="en-GB"/>
        </w:rPr>
        <w:t>on’t re-invent the wheel.</w:t>
      </w:r>
    </w:p>
    <w:p w14:paraId="1EA03F51" w14:textId="428FBAFC" w:rsidR="00F00E3D" w:rsidRPr="006B6908" w:rsidRDefault="00F00E3D" w:rsidP="009C12E8">
      <w:pPr>
        <w:pStyle w:val="ListParagraph"/>
        <w:numPr>
          <w:ilvl w:val="0"/>
          <w:numId w:val="69"/>
        </w:numPr>
        <w:spacing w:line="276" w:lineRule="auto"/>
        <w:rPr>
          <w:rFonts w:asciiTheme="majorHAnsi" w:eastAsia="Calibri Light" w:hAnsiTheme="majorHAnsi" w:cstheme="majorHAnsi"/>
          <w:sz w:val="23"/>
          <w:szCs w:val="23"/>
          <w:lang w:val="en-GB"/>
        </w:rPr>
      </w:pPr>
      <w:r w:rsidRPr="006B6908">
        <w:rPr>
          <w:rFonts w:asciiTheme="majorHAnsi" w:eastAsia="Calibri Light" w:hAnsiTheme="majorHAnsi" w:cstheme="majorHAnsi"/>
          <w:sz w:val="23"/>
          <w:szCs w:val="23"/>
          <w:lang w:val="en-GB"/>
        </w:rPr>
        <w:t xml:space="preserve">Fund programs appropriately and sustainably. </w:t>
      </w:r>
    </w:p>
    <w:p w14:paraId="04A9C4FF" w14:textId="25483704" w:rsidR="00F00E3D" w:rsidRPr="006B6908" w:rsidRDefault="00F00E3D" w:rsidP="009C12E8">
      <w:pPr>
        <w:pStyle w:val="ListParagraph"/>
        <w:numPr>
          <w:ilvl w:val="0"/>
          <w:numId w:val="69"/>
        </w:numPr>
        <w:spacing w:line="276" w:lineRule="auto"/>
        <w:rPr>
          <w:rFonts w:asciiTheme="majorHAnsi" w:eastAsia="Calibri Light" w:hAnsiTheme="majorHAnsi" w:cstheme="majorHAnsi"/>
          <w:sz w:val="23"/>
          <w:szCs w:val="23"/>
          <w:lang w:val="en-GB"/>
        </w:rPr>
      </w:pPr>
      <w:r w:rsidRPr="006B6908">
        <w:rPr>
          <w:rFonts w:asciiTheme="majorHAnsi" w:eastAsia="Calibri Light" w:hAnsiTheme="majorHAnsi" w:cstheme="majorHAnsi"/>
          <w:sz w:val="23"/>
          <w:szCs w:val="23"/>
          <w:lang w:val="en-GB"/>
        </w:rPr>
        <w:t>Plan for the long term. Support continuity. Finish what is started.</w:t>
      </w:r>
    </w:p>
    <w:p w14:paraId="7FF71172" w14:textId="53DDB5E6" w:rsidR="00F00E3D" w:rsidRPr="006B6908" w:rsidRDefault="00F00E3D" w:rsidP="009C12E8">
      <w:pPr>
        <w:pStyle w:val="ListParagraph"/>
        <w:numPr>
          <w:ilvl w:val="0"/>
          <w:numId w:val="69"/>
        </w:numPr>
        <w:spacing w:line="276" w:lineRule="auto"/>
        <w:rPr>
          <w:rFonts w:asciiTheme="majorHAnsi" w:eastAsia="Calibri Light" w:hAnsiTheme="majorHAnsi" w:cstheme="majorHAnsi"/>
          <w:sz w:val="23"/>
          <w:szCs w:val="23"/>
          <w:lang w:val="en-GB"/>
        </w:rPr>
      </w:pPr>
      <w:r w:rsidRPr="006B6908">
        <w:rPr>
          <w:rFonts w:asciiTheme="majorHAnsi" w:eastAsia="Calibri Light" w:hAnsiTheme="majorHAnsi" w:cstheme="majorHAnsi"/>
          <w:sz w:val="23"/>
          <w:szCs w:val="23"/>
          <w:lang w:val="en-GB"/>
        </w:rPr>
        <w:t>Support collaboration (across organisations, sectors, levels of government)</w:t>
      </w:r>
    </w:p>
    <w:p w14:paraId="44654610" w14:textId="6877B814" w:rsidR="00F00E3D" w:rsidRPr="006B6908" w:rsidRDefault="00F00E3D" w:rsidP="009C12E8">
      <w:pPr>
        <w:pStyle w:val="ListParagraph"/>
        <w:numPr>
          <w:ilvl w:val="0"/>
          <w:numId w:val="69"/>
        </w:numPr>
        <w:spacing w:line="276" w:lineRule="auto"/>
        <w:rPr>
          <w:rFonts w:asciiTheme="majorHAnsi" w:eastAsia="Calibri Light" w:hAnsiTheme="majorHAnsi" w:cstheme="majorHAnsi"/>
          <w:sz w:val="23"/>
          <w:szCs w:val="23"/>
          <w:lang w:val="en-GB"/>
        </w:rPr>
      </w:pPr>
      <w:r w:rsidRPr="006B6908">
        <w:rPr>
          <w:rFonts w:asciiTheme="majorHAnsi" w:eastAsia="Calibri Light" w:hAnsiTheme="majorHAnsi" w:cstheme="majorHAnsi"/>
          <w:sz w:val="23"/>
          <w:szCs w:val="23"/>
          <w:lang w:val="en-GB"/>
        </w:rPr>
        <w:t>Provide more holistic/systemic approaches</w:t>
      </w:r>
      <w:r w:rsidR="006B6908">
        <w:rPr>
          <w:rFonts w:asciiTheme="majorHAnsi" w:eastAsia="Calibri Light" w:hAnsiTheme="majorHAnsi" w:cstheme="majorHAnsi"/>
          <w:sz w:val="23"/>
          <w:szCs w:val="23"/>
          <w:lang w:val="en-GB"/>
        </w:rPr>
        <w:t>.</w:t>
      </w:r>
    </w:p>
    <w:p w14:paraId="7C3DB331" w14:textId="176AA1BC" w:rsidR="00F00E3D" w:rsidRPr="00CB3BB5" w:rsidRDefault="00950307" w:rsidP="009C12E8">
      <w:pPr>
        <w:spacing w:line="276" w:lineRule="auto"/>
        <w:rPr>
          <w:rFonts w:asciiTheme="majorHAnsi" w:eastAsia="Calibri Light" w:hAnsiTheme="majorHAnsi" w:cstheme="majorHAnsi"/>
          <w:sz w:val="23"/>
          <w:szCs w:val="23"/>
          <w:lang w:val="en-GB"/>
        </w:rPr>
      </w:pPr>
      <w:r>
        <w:rPr>
          <w:rFonts w:asciiTheme="majorHAnsi" w:eastAsia="Calibri Light" w:hAnsiTheme="majorHAnsi" w:cstheme="majorHAnsi"/>
          <w:sz w:val="23"/>
          <w:szCs w:val="23"/>
          <w:lang w:val="en-GB"/>
        </w:rPr>
        <w:t>Our</w:t>
      </w:r>
      <w:r w:rsidR="00F00E3D" w:rsidRPr="00CB3BB5">
        <w:rPr>
          <w:rFonts w:asciiTheme="majorHAnsi" w:eastAsia="Calibri Light" w:hAnsiTheme="majorHAnsi" w:cstheme="majorHAnsi"/>
          <w:sz w:val="23"/>
          <w:szCs w:val="23"/>
          <w:lang w:val="en-GB"/>
        </w:rPr>
        <w:t xml:space="preserve"> informants highlighted the critical need to listen to the community, to show respect</w:t>
      </w:r>
      <w:r w:rsidR="006B6908">
        <w:rPr>
          <w:rFonts w:asciiTheme="majorHAnsi" w:eastAsia="Calibri Light" w:hAnsiTheme="majorHAnsi" w:cstheme="majorHAnsi"/>
          <w:sz w:val="23"/>
          <w:szCs w:val="23"/>
          <w:lang w:val="en-GB"/>
        </w:rPr>
        <w:t>,</w:t>
      </w:r>
      <w:r w:rsidR="00F00E3D" w:rsidRPr="00CB3BB5">
        <w:rPr>
          <w:rFonts w:asciiTheme="majorHAnsi" w:eastAsia="Calibri Light" w:hAnsiTheme="majorHAnsi" w:cstheme="majorHAnsi"/>
          <w:sz w:val="23"/>
          <w:szCs w:val="23"/>
          <w:lang w:val="en-GB"/>
        </w:rPr>
        <w:t xml:space="preserve"> and </w:t>
      </w:r>
      <w:r w:rsidR="006B6908">
        <w:rPr>
          <w:rFonts w:asciiTheme="majorHAnsi" w:eastAsia="Calibri Light" w:hAnsiTheme="majorHAnsi" w:cstheme="majorHAnsi"/>
          <w:sz w:val="23"/>
          <w:szCs w:val="23"/>
          <w:lang w:val="en-GB"/>
        </w:rPr>
        <w:t>in this way to</w:t>
      </w:r>
      <w:r w:rsidR="00F00E3D" w:rsidRPr="00CB3BB5">
        <w:rPr>
          <w:rFonts w:asciiTheme="majorHAnsi" w:eastAsia="Calibri Light" w:hAnsiTheme="majorHAnsi" w:cstheme="majorHAnsi"/>
          <w:sz w:val="23"/>
          <w:szCs w:val="23"/>
          <w:lang w:val="en-GB"/>
        </w:rPr>
        <w:t xml:space="preserve"> build trust. For example, one participant explained:</w:t>
      </w:r>
    </w:p>
    <w:p w14:paraId="661067C5" w14:textId="5CD7CC05" w:rsidR="00F00E3D" w:rsidRPr="006B6908" w:rsidRDefault="00F00E3D" w:rsidP="009C12E8">
      <w:pPr>
        <w:spacing w:line="276" w:lineRule="auto"/>
        <w:ind w:left="720"/>
        <w:rPr>
          <w:rFonts w:asciiTheme="majorHAnsi" w:eastAsia="Calibri Light" w:hAnsiTheme="majorHAnsi" w:cstheme="majorHAnsi"/>
          <w:iCs/>
          <w:sz w:val="23"/>
          <w:szCs w:val="23"/>
          <w:lang w:val="en-GB"/>
        </w:rPr>
      </w:pPr>
      <w:r w:rsidRPr="006B6908">
        <w:rPr>
          <w:rFonts w:asciiTheme="majorHAnsi" w:eastAsia="Calibri Light" w:hAnsiTheme="majorHAnsi" w:cstheme="majorHAnsi"/>
          <w:iCs/>
          <w:sz w:val="23"/>
          <w:szCs w:val="23"/>
          <w:lang w:val="en-GB"/>
        </w:rPr>
        <w:t>More than anything else, people [local residents] want to be listened to and respected. Listening is so important. Respecting people’s dignity is so important. To show some empathy. People are really sick of talking and not being heard (P10)</w:t>
      </w:r>
      <w:r w:rsidR="007C5867">
        <w:rPr>
          <w:rFonts w:asciiTheme="majorHAnsi" w:eastAsia="Calibri Light" w:hAnsiTheme="majorHAnsi" w:cstheme="majorHAnsi"/>
          <w:iCs/>
          <w:sz w:val="23"/>
          <w:szCs w:val="23"/>
          <w:lang w:val="en-GB"/>
        </w:rPr>
        <w:t>.</w:t>
      </w:r>
    </w:p>
    <w:p w14:paraId="1E69CBE8" w14:textId="53B881F7" w:rsidR="00F00E3D" w:rsidRPr="00CB3BB5" w:rsidRDefault="00F00E3D" w:rsidP="009C12E8">
      <w:pPr>
        <w:spacing w:line="276" w:lineRule="auto"/>
        <w:rPr>
          <w:rFonts w:asciiTheme="majorHAnsi" w:eastAsia="Calibri Light" w:hAnsiTheme="majorHAnsi" w:cstheme="majorHAnsi"/>
          <w:sz w:val="23"/>
          <w:szCs w:val="23"/>
          <w:lang w:val="en-GB"/>
        </w:rPr>
      </w:pPr>
      <w:r w:rsidRPr="00CB3BB5">
        <w:rPr>
          <w:rFonts w:asciiTheme="majorHAnsi" w:eastAsia="Calibri Light" w:hAnsiTheme="majorHAnsi" w:cstheme="majorHAnsi"/>
          <w:sz w:val="23"/>
          <w:szCs w:val="23"/>
          <w:lang w:val="en-GB"/>
        </w:rPr>
        <w:t xml:space="preserve">Past practices had not always </w:t>
      </w:r>
      <w:r w:rsidR="00950307">
        <w:rPr>
          <w:rFonts w:asciiTheme="majorHAnsi" w:eastAsia="Calibri Light" w:hAnsiTheme="majorHAnsi" w:cstheme="majorHAnsi"/>
          <w:sz w:val="23"/>
          <w:szCs w:val="23"/>
          <w:lang w:val="en-GB"/>
        </w:rPr>
        <w:t>followed</w:t>
      </w:r>
      <w:r w:rsidRPr="00CB3BB5">
        <w:rPr>
          <w:rFonts w:asciiTheme="majorHAnsi" w:eastAsia="Calibri Light" w:hAnsiTheme="majorHAnsi" w:cstheme="majorHAnsi"/>
          <w:sz w:val="23"/>
          <w:szCs w:val="23"/>
          <w:lang w:val="en-GB"/>
        </w:rPr>
        <w:t xml:space="preserve"> this approach, </w:t>
      </w:r>
      <w:r w:rsidR="00950307">
        <w:rPr>
          <w:rFonts w:asciiTheme="majorHAnsi" w:eastAsia="Calibri Light" w:hAnsiTheme="majorHAnsi" w:cstheme="majorHAnsi"/>
          <w:sz w:val="23"/>
          <w:szCs w:val="23"/>
          <w:lang w:val="en-GB"/>
        </w:rPr>
        <w:t>and</w:t>
      </w:r>
      <w:r w:rsidRPr="00CB3BB5">
        <w:rPr>
          <w:rFonts w:asciiTheme="majorHAnsi" w:eastAsia="Calibri Light" w:hAnsiTheme="majorHAnsi" w:cstheme="majorHAnsi"/>
          <w:sz w:val="23"/>
          <w:szCs w:val="23"/>
          <w:lang w:val="en-GB"/>
        </w:rPr>
        <w:t xml:space="preserve"> informants argu</w:t>
      </w:r>
      <w:r w:rsidR="00950307">
        <w:rPr>
          <w:rFonts w:asciiTheme="majorHAnsi" w:eastAsia="Calibri Light" w:hAnsiTheme="majorHAnsi" w:cstheme="majorHAnsi"/>
          <w:sz w:val="23"/>
          <w:szCs w:val="23"/>
          <w:lang w:val="en-GB"/>
        </w:rPr>
        <w:t xml:space="preserve">ed </w:t>
      </w:r>
      <w:r w:rsidRPr="00CB3BB5">
        <w:rPr>
          <w:rFonts w:asciiTheme="majorHAnsi" w:eastAsia="Calibri Light" w:hAnsiTheme="majorHAnsi" w:cstheme="majorHAnsi"/>
          <w:sz w:val="23"/>
          <w:szCs w:val="23"/>
          <w:lang w:val="en-GB"/>
        </w:rPr>
        <w:t>that this needs to be avoided wit</w:t>
      </w:r>
      <w:r w:rsidR="00950307">
        <w:rPr>
          <w:rFonts w:asciiTheme="majorHAnsi" w:eastAsia="Calibri Light" w:hAnsiTheme="majorHAnsi" w:cstheme="majorHAnsi"/>
          <w:sz w:val="23"/>
          <w:szCs w:val="23"/>
          <w:lang w:val="en-GB"/>
        </w:rPr>
        <w:t xml:space="preserve">h the </w:t>
      </w:r>
      <w:r w:rsidRPr="00CB3BB5">
        <w:rPr>
          <w:rFonts w:asciiTheme="majorHAnsi" w:eastAsia="Calibri Light" w:hAnsiTheme="majorHAnsi" w:cstheme="majorHAnsi"/>
          <w:sz w:val="23"/>
          <w:szCs w:val="23"/>
          <w:lang w:val="en-GB"/>
        </w:rPr>
        <w:t>c</w:t>
      </w:r>
      <w:r w:rsidR="00950307">
        <w:rPr>
          <w:rFonts w:asciiTheme="majorHAnsi" w:eastAsia="Calibri Light" w:hAnsiTheme="majorHAnsi" w:cstheme="majorHAnsi"/>
          <w:sz w:val="23"/>
          <w:szCs w:val="23"/>
          <w:lang w:val="en-GB"/>
        </w:rPr>
        <w:t>urrent project</w:t>
      </w:r>
      <w:r w:rsidRPr="00CB3BB5">
        <w:rPr>
          <w:rFonts w:asciiTheme="majorHAnsi" w:eastAsia="Calibri Light" w:hAnsiTheme="majorHAnsi" w:cstheme="majorHAnsi"/>
          <w:sz w:val="23"/>
          <w:szCs w:val="23"/>
          <w:lang w:val="en-GB"/>
        </w:rPr>
        <w:t>:</w:t>
      </w:r>
    </w:p>
    <w:p w14:paraId="5BC046DD" w14:textId="616A0216" w:rsidR="00F00E3D" w:rsidRPr="006B6908" w:rsidRDefault="00F00E3D" w:rsidP="009C12E8">
      <w:pPr>
        <w:spacing w:line="276" w:lineRule="auto"/>
        <w:ind w:firstLine="720"/>
        <w:rPr>
          <w:rFonts w:asciiTheme="majorHAnsi" w:eastAsia="Calibri Light" w:hAnsiTheme="majorHAnsi" w:cstheme="majorHAnsi"/>
          <w:iCs/>
          <w:sz w:val="23"/>
          <w:szCs w:val="23"/>
          <w:lang w:val="en-GB"/>
        </w:rPr>
      </w:pPr>
      <w:r w:rsidRPr="006B6908">
        <w:rPr>
          <w:rFonts w:asciiTheme="majorHAnsi" w:eastAsia="Calibri Light" w:hAnsiTheme="majorHAnsi" w:cstheme="majorHAnsi"/>
          <w:iCs/>
          <w:sz w:val="23"/>
          <w:szCs w:val="23"/>
          <w:lang w:val="en-GB"/>
        </w:rPr>
        <w:t>We need to make sure that whatever comes out of this is what the community wants (P9)</w:t>
      </w:r>
      <w:r w:rsidR="007C5867">
        <w:rPr>
          <w:rFonts w:asciiTheme="majorHAnsi" w:eastAsia="Calibri Light" w:hAnsiTheme="majorHAnsi" w:cstheme="majorHAnsi"/>
          <w:iCs/>
          <w:sz w:val="23"/>
          <w:szCs w:val="23"/>
          <w:lang w:val="en-GB"/>
        </w:rPr>
        <w:t>.</w:t>
      </w:r>
    </w:p>
    <w:p w14:paraId="7A6B8657" w14:textId="2FB1ECD2" w:rsidR="00F00E3D" w:rsidRPr="006B6908" w:rsidRDefault="00950307" w:rsidP="009C12E8">
      <w:pPr>
        <w:spacing w:line="276" w:lineRule="auto"/>
        <w:rPr>
          <w:rFonts w:asciiTheme="majorHAnsi" w:eastAsia="Calibri Light" w:hAnsiTheme="majorHAnsi" w:cstheme="majorHAnsi"/>
          <w:iCs/>
          <w:sz w:val="23"/>
          <w:szCs w:val="23"/>
          <w:lang w:val="en-GB"/>
        </w:rPr>
      </w:pPr>
      <w:r>
        <w:rPr>
          <w:rFonts w:asciiTheme="majorHAnsi" w:eastAsia="Calibri Light" w:hAnsiTheme="majorHAnsi" w:cstheme="majorHAnsi"/>
          <w:iCs/>
          <w:sz w:val="23"/>
          <w:szCs w:val="23"/>
          <w:lang w:val="en-GB"/>
        </w:rPr>
        <w:t>I</w:t>
      </w:r>
      <w:r w:rsidR="00F00E3D" w:rsidRPr="006B6908">
        <w:rPr>
          <w:rFonts w:asciiTheme="majorHAnsi" w:eastAsia="Calibri Light" w:hAnsiTheme="majorHAnsi" w:cstheme="majorHAnsi"/>
          <w:iCs/>
          <w:sz w:val="23"/>
          <w:szCs w:val="23"/>
          <w:lang w:val="en-GB"/>
        </w:rPr>
        <w:t>nformants went on to argue that the community itself has the ability to solve its own problems and design solutions</w:t>
      </w:r>
      <w:r>
        <w:rPr>
          <w:rFonts w:asciiTheme="majorHAnsi" w:eastAsia="Calibri Light" w:hAnsiTheme="majorHAnsi" w:cstheme="majorHAnsi"/>
          <w:iCs/>
          <w:sz w:val="23"/>
          <w:szCs w:val="23"/>
          <w:lang w:val="en-GB"/>
        </w:rPr>
        <w:t>,</w:t>
      </w:r>
      <w:r w:rsidR="00F00E3D" w:rsidRPr="006B6908">
        <w:rPr>
          <w:rFonts w:asciiTheme="majorHAnsi" w:eastAsia="Calibri Light" w:hAnsiTheme="majorHAnsi" w:cstheme="majorHAnsi"/>
          <w:iCs/>
          <w:sz w:val="23"/>
          <w:szCs w:val="23"/>
          <w:lang w:val="en-GB"/>
        </w:rPr>
        <w:t xml:space="preserve"> if </w:t>
      </w:r>
      <w:r w:rsidR="003C01D9">
        <w:rPr>
          <w:rFonts w:asciiTheme="majorHAnsi" w:eastAsia="Calibri Light" w:hAnsiTheme="majorHAnsi" w:cstheme="majorHAnsi"/>
          <w:iCs/>
          <w:sz w:val="23"/>
          <w:szCs w:val="23"/>
          <w:lang w:val="en-GB"/>
        </w:rPr>
        <w:t>properly supported and given the opportunity to do so:</w:t>
      </w:r>
    </w:p>
    <w:p w14:paraId="0A0DB3B1" w14:textId="74737C16" w:rsidR="00F00E3D" w:rsidRPr="006B6908" w:rsidRDefault="00F00E3D" w:rsidP="009C12E8">
      <w:pPr>
        <w:spacing w:line="276" w:lineRule="auto"/>
        <w:ind w:left="720"/>
        <w:rPr>
          <w:rFonts w:asciiTheme="majorHAnsi" w:eastAsia="Calibri Light" w:hAnsiTheme="majorHAnsi" w:cstheme="majorHAnsi"/>
          <w:iCs/>
          <w:sz w:val="23"/>
          <w:szCs w:val="23"/>
          <w:lang w:val="en-GB"/>
        </w:rPr>
      </w:pPr>
      <w:r w:rsidRPr="006B6908">
        <w:rPr>
          <w:rFonts w:asciiTheme="majorHAnsi" w:eastAsia="Calibri Light" w:hAnsiTheme="majorHAnsi" w:cstheme="majorHAnsi"/>
          <w:iCs/>
          <w:sz w:val="23"/>
          <w:szCs w:val="23"/>
          <w:lang w:val="en-GB"/>
        </w:rPr>
        <w:t>We have missionaries come in and do tokenistic surveys whereas we want them to work alongside of us, work with and for community with us…. The answers are here and scattered, they just need to be brought together (P6)</w:t>
      </w:r>
      <w:r w:rsidR="003C01D9">
        <w:rPr>
          <w:rFonts w:asciiTheme="majorHAnsi" w:eastAsia="Calibri Light" w:hAnsiTheme="majorHAnsi" w:cstheme="majorHAnsi"/>
          <w:iCs/>
          <w:sz w:val="23"/>
          <w:szCs w:val="23"/>
          <w:lang w:val="en-GB"/>
        </w:rPr>
        <w:t>.</w:t>
      </w:r>
    </w:p>
    <w:p w14:paraId="4AB338FC" w14:textId="6DAB34E8" w:rsidR="00F00E3D" w:rsidRPr="00CB3BB5" w:rsidRDefault="009C12E8" w:rsidP="009C12E8">
      <w:pPr>
        <w:spacing w:line="276" w:lineRule="auto"/>
        <w:rPr>
          <w:rFonts w:asciiTheme="majorHAnsi" w:eastAsia="Calibri Light" w:hAnsiTheme="majorHAnsi" w:cstheme="majorHAnsi"/>
          <w:sz w:val="23"/>
          <w:szCs w:val="23"/>
          <w:lang w:val="en-GB"/>
        </w:rPr>
      </w:pPr>
      <w:r>
        <w:rPr>
          <w:rFonts w:asciiTheme="majorHAnsi" w:eastAsia="Calibri Light" w:hAnsiTheme="majorHAnsi" w:cstheme="majorHAnsi"/>
          <w:sz w:val="23"/>
          <w:szCs w:val="23"/>
          <w:lang w:val="en-GB"/>
        </w:rPr>
        <w:t>Informants identified the need for a</w:t>
      </w:r>
      <w:r w:rsidR="00F00E3D" w:rsidRPr="00CB3BB5">
        <w:rPr>
          <w:rFonts w:asciiTheme="majorHAnsi" w:eastAsia="Calibri Light" w:hAnsiTheme="majorHAnsi" w:cstheme="majorHAnsi"/>
          <w:sz w:val="23"/>
          <w:szCs w:val="23"/>
          <w:lang w:val="en-GB"/>
        </w:rPr>
        <w:t xml:space="preserve"> mechanism </w:t>
      </w:r>
      <w:r w:rsidR="00950307">
        <w:rPr>
          <w:rFonts w:asciiTheme="majorHAnsi" w:eastAsia="Calibri Light" w:hAnsiTheme="majorHAnsi" w:cstheme="majorHAnsi"/>
          <w:sz w:val="23"/>
          <w:szCs w:val="23"/>
          <w:lang w:val="en-GB"/>
        </w:rPr>
        <w:t>to bring ideas and</w:t>
      </w:r>
      <w:r w:rsidR="00F00E3D" w:rsidRPr="00CB3BB5">
        <w:rPr>
          <w:rFonts w:asciiTheme="majorHAnsi" w:eastAsia="Calibri Light" w:hAnsiTheme="majorHAnsi" w:cstheme="majorHAnsi"/>
          <w:sz w:val="23"/>
          <w:szCs w:val="23"/>
          <w:lang w:val="en-GB"/>
        </w:rPr>
        <w:t xml:space="preserve"> resources together</w:t>
      </w:r>
      <w:r w:rsidR="007C5867">
        <w:rPr>
          <w:rFonts w:asciiTheme="majorHAnsi" w:eastAsia="Calibri Light" w:hAnsiTheme="majorHAnsi" w:cstheme="majorHAnsi"/>
          <w:sz w:val="23"/>
          <w:szCs w:val="23"/>
          <w:lang w:val="en-GB"/>
        </w:rPr>
        <w:t xml:space="preserve">. They also emphasised that </w:t>
      </w:r>
      <w:r w:rsidR="00F00E3D" w:rsidRPr="00CB3BB5">
        <w:rPr>
          <w:rFonts w:asciiTheme="majorHAnsi" w:eastAsia="Calibri Light" w:hAnsiTheme="majorHAnsi" w:cstheme="majorHAnsi"/>
          <w:sz w:val="23"/>
          <w:szCs w:val="23"/>
          <w:lang w:val="en-GB"/>
        </w:rPr>
        <w:t>the</w:t>
      </w:r>
      <w:r w:rsidR="007C5867">
        <w:rPr>
          <w:rFonts w:asciiTheme="majorHAnsi" w:eastAsia="Calibri Light" w:hAnsiTheme="majorHAnsi" w:cstheme="majorHAnsi"/>
          <w:sz w:val="23"/>
          <w:szCs w:val="23"/>
          <w:lang w:val="en-GB"/>
        </w:rPr>
        <w:t>se</w:t>
      </w:r>
      <w:r w:rsidR="00F00E3D" w:rsidRPr="00CB3BB5">
        <w:rPr>
          <w:rFonts w:asciiTheme="majorHAnsi" w:eastAsia="Calibri Light" w:hAnsiTheme="majorHAnsi" w:cstheme="majorHAnsi"/>
          <w:sz w:val="23"/>
          <w:szCs w:val="23"/>
          <w:lang w:val="en-GB"/>
        </w:rPr>
        <w:t xml:space="preserve"> communit</w:t>
      </w:r>
      <w:r w:rsidR="007C5867">
        <w:rPr>
          <w:rFonts w:asciiTheme="majorHAnsi" w:eastAsia="Calibri Light" w:hAnsiTheme="majorHAnsi" w:cstheme="majorHAnsi"/>
          <w:sz w:val="23"/>
          <w:szCs w:val="23"/>
          <w:lang w:val="en-GB"/>
        </w:rPr>
        <w:t>ies</w:t>
      </w:r>
      <w:r w:rsidR="00F00E3D" w:rsidRPr="00CB3BB5">
        <w:rPr>
          <w:rFonts w:asciiTheme="majorHAnsi" w:eastAsia="Calibri Light" w:hAnsiTheme="majorHAnsi" w:cstheme="majorHAnsi"/>
          <w:sz w:val="23"/>
          <w:szCs w:val="23"/>
          <w:lang w:val="en-GB"/>
        </w:rPr>
        <w:t xml:space="preserve"> needed to be empowered, community leadership supported</w:t>
      </w:r>
      <w:r w:rsidR="00950307">
        <w:rPr>
          <w:rFonts w:asciiTheme="majorHAnsi" w:eastAsia="Calibri Light" w:hAnsiTheme="majorHAnsi" w:cstheme="majorHAnsi"/>
          <w:sz w:val="23"/>
          <w:szCs w:val="23"/>
          <w:lang w:val="en-GB"/>
        </w:rPr>
        <w:t>,</w:t>
      </w:r>
      <w:r w:rsidR="00F00E3D" w:rsidRPr="00CB3BB5">
        <w:rPr>
          <w:rFonts w:asciiTheme="majorHAnsi" w:eastAsia="Calibri Light" w:hAnsiTheme="majorHAnsi" w:cstheme="majorHAnsi"/>
          <w:sz w:val="23"/>
          <w:szCs w:val="23"/>
          <w:lang w:val="en-GB"/>
        </w:rPr>
        <w:t xml:space="preserve"> and top-down approaches avoided:</w:t>
      </w:r>
    </w:p>
    <w:p w14:paraId="589DF16A" w14:textId="2CAB6DFA" w:rsidR="00F00E3D" w:rsidRPr="00950307" w:rsidRDefault="00950307" w:rsidP="009C12E8">
      <w:pPr>
        <w:spacing w:line="276" w:lineRule="auto"/>
        <w:ind w:left="720"/>
        <w:rPr>
          <w:rFonts w:asciiTheme="majorHAnsi" w:eastAsia="Calibri Light" w:hAnsiTheme="majorHAnsi" w:cstheme="majorHAnsi"/>
          <w:iCs/>
          <w:sz w:val="23"/>
          <w:szCs w:val="23"/>
          <w:lang w:val="en-GB"/>
        </w:rPr>
      </w:pPr>
      <w:r>
        <w:rPr>
          <w:rFonts w:asciiTheme="majorHAnsi" w:eastAsia="Calibri Light" w:hAnsiTheme="majorHAnsi" w:cstheme="majorHAnsi"/>
          <w:iCs/>
          <w:sz w:val="23"/>
          <w:szCs w:val="23"/>
          <w:lang w:val="en-GB"/>
        </w:rPr>
        <w:t>[We need to create] o</w:t>
      </w:r>
      <w:r w:rsidR="00F00E3D" w:rsidRPr="00950307">
        <w:rPr>
          <w:rFonts w:asciiTheme="majorHAnsi" w:eastAsia="Calibri Light" w:hAnsiTheme="majorHAnsi" w:cstheme="majorHAnsi"/>
          <w:iCs/>
          <w:sz w:val="23"/>
          <w:szCs w:val="23"/>
          <w:lang w:val="en-GB"/>
        </w:rPr>
        <w:t>pportunities for people to contribute to finding solutions themselves. Not top-down approaches – solutions that are inspired at the local level. Opportunities for people to have a local connection and feel empowered. More inclusive, citizen-led initiatives. There are lots of great people living in Norlane. We need to identify community leaders and support them. People are busy looking after their families [so you need to support them to contribute]. (P11)</w:t>
      </w:r>
    </w:p>
    <w:p w14:paraId="3E434F7E" w14:textId="0964ED82" w:rsidR="00F00E3D" w:rsidRPr="00CB3BB5" w:rsidRDefault="00F00E3D" w:rsidP="009C12E8">
      <w:pPr>
        <w:spacing w:line="276" w:lineRule="auto"/>
        <w:rPr>
          <w:rFonts w:asciiTheme="majorHAnsi" w:eastAsia="Calibri Light" w:hAnsiTheme="majorHAnsi" w:cstheme="majorHAnsi"/>
          <w:sz w:val="23"/>
          <w:szCs w:val="23"/>
          <w:lang w:val="en-GB"/>
        </w:rPr>
      </w:pPr>
      <w:r w:rsidRPr="00CB3BB5">
        <w:rPr>
          <w:rFonts w:asciiTheme="majorHAnsi" w:eastAsia="Calibri Light" w:hAnsiTheme="majorHAnsi" w:cstheme="majorHAnsi"/>
          <w:sz w:val="23"/>
          <w:szCs w:val="23"/>
          <w:lang w:val="en-GB"/>
        </w:rPr>
        <w:lastRenderedPageBreak/>
        <w:t xml:space="preserve">Several informants provided examples of where a bottom-up approach was already occurring successfully in the community, for example in a local school </w:t>
      </w:r>
      <w:r w:rsidR="00950307">
        <w:rPr>
          <w:rFonts w:asciiTheme="majorHAnsi" w:eastAsia="Calibri Light" w:hAnsiTheme="majorHAnsi" w:cstheme="majorHAnsi"/>
          <w:sz w:val="23"/>
          <w:szCs w:val="23"/>
          <w:lang w:val="en-GB"/>
        </w:rPr>
        <w:t>that</w:t>
      </w:r>
      <w:r w:rsidRPr="00CB3BB5">
        <w:rPr>
          <w:rFonts w:asciiTheme="majorHAnsi" w:eastAsia="Calibri Light" w:hAnsiTheme="majorHAnsi" w:cstheme="majorHAnsi"/>
          <w:sz w:val="23"/>
          <w:szCs w:val="23"/>
          <w:lang w:val="en-GB"/>
        </w:rPr>
        <w:t xml:space="preserve"> selected</w:t>
      </w:r>
      <w:r w:rsidR="00950307">
        <w:rPr>
          <w:rFonts w:asciiTheme="majorHAnsi" w:eastAsia="Calibri Light" w:hAnsiTheme="majorHAnsi" w:cstheme="majorHAnsi"/>
          <w:sz w:val="23"/>
          <w:szCs w:val="23"/>
          <w:lang w:val="en-GB"/>
        </w:rPr>
        <w:t xml:space="preserve"> the </w:t>
      </w:r>
      <w:r w:rsidRPr="00CB3BB5">
        <w:rPr>
          <w:rFonts w:asciiTheme="majorHAnsi" w:eastAsia="Calibri Light" w:hAnsiTheme="majorHAnsi" w:cstheme="majorHAnsi"/>
          <w:sz w:val="23"/>
          <w:szCs w:val="23"/>
          <w:lang w:val="en-GB"/>
        </w:rPr>
        <w:t xml:space="preserve">teaching and learning approaches </w:t>
      </w:r>
      <w:r w:rsidR="00950307">
        <w:rPr>
          <w:rFonts w:asciiTheme="majorHAnsi" w:eastAsia="Calibri Light" w:hAnsiTheme="majorHAnsi" w:cstheme="majorHAnsi"/>
          <w:sz w:val="23"/>
          <w:szCs w:val="23"/>
          <w:lang w:val="en-GB"/>
        </w:rPr>
        <w:t>that best suited</w:t>
      </w:r>
      <w:r w:rsidRPr="00CB3BB5">
        <w:rPr>
          <w:rFonts w:asciiTheme="majorHAnsi" w:eastAsia="Calibri Light" w:hAnsiTheme="majorHAnsi" w:cstheme="majorHAnsi"/>
          <w:sz w:val="23"/>
          <w:szCs w:val="23"/>
          <w:lang w:val="en-GB"/>
        </w:rPr>
        <w:t xml:space="preserve"> their particular community of students:</w:t>
      </w:r>
    </w:p>
    <w:p w14:paraId="374D6266" w14:textId="5F025590" w:rsidR="00F00E3D" w:rsidRPr="00950307" w:rsidRDefault="00F00E3D" w:rsidP="009C12E8">
      <w:pPr>
        <w:spacing w:line="276" w:lineRule="auto"/>
        <w:ind w:left="720"/>
        <w:rPr>
          <w:rFonts w:asciiTheme="majorHAnsi" w:eastAsia="Calibri Light" w:hAnsiTheme="majorHAnsi" w:cstheme="majorHAnsi"/>
          <w:iCs/>
          <w:sz w:val="23"/>
          <w:szCs w:val="23"/>
          <w:lang w:val="en-GB"/>
        </w:rPr>
      </w:pPr>
      <w:r w:rsidRPr="00950307">
        <w:rPr>
          <w:rFonts w:asciiTheme="majorHAnsi" w:eastAsia="Calibri Light" w:hAnsiTheme="majorHAnsi" w:cstheme="majorHAnsi"/>
          <w:iCs/>
          <w:sz w:val="23"/>
          <w:szCs w:val="23"/>
          <w:lang w:val="en-GB"/>
        </w:rPr>
        <w:t>Because of the huge level of disadvantage, we are offered lots</w:t>
      </w:r>
      <w:r w:rsidR="00950307">
        <w:rPr>
          <w:rFonts w:asciiTheme="majorHAnsi" w:eastAsia="Calibri Light" w:hAnsiTheme="majorHAnsi" w:cstheme="majorHAnsi"/>
          <w:iCs/>
          <w:sz w:val="23"/>
          <w:szCs w:val="23"/>
          <w:lang w:val="en-GB"/>
        </w:rPr>
        <w:t>,</w:t>
      </w:r>
      <w:r w:rsidRPr="00950307">
        <w:rPr>
          <w:rFonts w:asciiTheme="majorHAnsi" w:eastAsia="Calibri Light" w:hAnsiTheme="majorHAnsi" w:cstheme="majorHAnsi"/>
          <w:iCs/>
          <w:sz w:val="23"/>
          <w:szCs w:val="23"/>
          <w:lang w:val="en-GB"/>
        </w:rPr>
        <w:t xml:space="preserve"> and only choose the ones that are relevant and best for us. We have to be strategic in our choices... </w:t>
      </w:r>
      <w:r w:rsidR="00950307">
        <w:rPr>
          <w:rFonts w:asciiTheme="majorHAnsi" w:eastAsia="Calibri Light" w:hAnsiTheme="majorHAnsi" w:cstheme="majorHAnsi"/>
          <w:iCs/>
          <w:sz w:val="23"/>
          <w:szCs w:val="23"/>
          <w:lang w:val="en-GB"/>
        </w:rPr>
        <w:t>W</w:t>
      </w:r>
      <w:r w:rsidRPr="00950307">
        <w:rPr>
          <w:rFonts w:asciiTheme="majorHAnsi" w:eastAsia="Calibri Light" w:hAnsiTheme="majorHAnsi" w:cstheme="majorHAnsi"/>
          <w:iCs/>
          <w:sz w:val="23"/>
          <w:szCs w:val="23"/>
          <w:lang w:val="en-GB"/>
        </w:rPr>
        <w:t>e have moved from a welfare/deficit model to rais</w:t>
      </w:r>
      <w:r w:rsidR="00950307">
        <w:rPr>
          <w:rFonts w:asciiTheme="majorHAnsi" w:eastAsia="Calibri Light" w:hAnsiTheme="majorHAnsi" w:cstheme="majorHAnsi"/>
          <w:iCs/>
          <w:sz w:val="23"/>
          <w:szCs w:val="23"/>
          <w:lang w:val="en-GB"/>
        </w:rPr>
        <w:t>ing</w:t>
      </w:r>
      <w:r w:rsidRPr="00950307">
        <w:rPr>
          <w:rFonts w:asciiTheme="majorHAnsi" w:eastAsia="Calibri Light" w:hAnsiTheme="majorHAnsi" w:cstheme="majorHAnsi"/>
          <w:iCs/>
          <w:sz w:val="23"/>
          <w:szCs w:val="23"/>
          <w:lang w:val="en-GB"/>
        </w:rPr>
        <w:t xml:space="preserve"> expectations. Some teachers left and that was fine. We have changed one of our core values to “resilience”</w:t>
      </w:r>
      <w:r w:rsidR="003C01D9">
        <w:rPr>
          <w:rFonts w:asciiTheme="majorHAnsi" w:eastAsia="Calibri Light" w:hAnsiTheme="majorHAnsi" w:cstheme="majorHAnsi"/>
          <w:iCs/>
          <w:sz w:val="23"/>
          <w:szCs w:val="23"/>
          <w:lang w:val="en-GB"/>
        </w:rPr>
        <w:t xml:space="preserve"> </w:t>
      </w:r>
      <w:r w:rsidRPr="00950307">
        <w:rPr>
          <w:rFonts w:asciiTheme="majorHAnsi" w:eastAsia="Calibri Light" w:hAnsiTheme="majorHAnsi" w:cstheme="majorHAnsi"/>
          <w:iCs/>
          <w:sz w:val="23"/>
          <w:szCs w:val="23"/>
          <w:lang w:val="en-GB"/>
        </w:rPr>
        <w:t>(P7)</w:t>
      </w:r>
      <w:r w:rsidR="003C01D9">
        <w:rPr>
          <w:rFonts w:asciiTheme="majorHAnsi" w:eastAsia="Calibri Light" w:hAnsiTheme="majorHAnsi" w:cstheme="majorHAnsi"/>
          <w:iCs/>
          <w:sz w:val="23"/>
          <w:szCs w:val="23"/>
          <w:lang w:val="en-GB"/>
        </w:rPr>
        <w:t>.</w:t>
      </w:r>
    </w:p>
    <w:p w14:paraId="2EC4C3CA" w14:textId="173C703C" w:rsidR="00F00E3D" w:rsidRPr="00CB3BB5" w:rsidRDefault="00772E66" w:rsidP="009C12E8">
      <w:pPr>
        <w:spacing w:line="276" w:lineRule="auto"/>
        <w:rPr>
          <w:rFonts w:asciiTheme="majorHAnsi" w:eastAsia="Calibri Light" w:hAnsiTheme="majorHAnsi" w:cstheme="majorHAnsi"/>
          <w:sz w:val="23"/>
          <w:szCs w:val="23"/>
          <w:lang w:val="en-GB"/>
        </w:rPr>
      </w:pPr>
      <w:r>
        <w:rPr>
          <w:rFonts w:asciiTheme="majorHAnsi" w:eastAsia="Calibri Light" w:hAnsiTheme="majorHAnsi" w:cstheme="majorHAnsi"/>
          <w:sz w:val="23"/>
          <w:szCs w:val="23"/>
          <w:lang w:val="en-GB"/>
        </w:rPr>
        <w:t>There</w:t>
      </w:r>
      <w:r w:rsidR="00F00E3D" w:rsidRPr="00CB3BB5">
        <w:rPr>
          <w:rFonts w:asciiTheme="majorHAnsi" w:eastAsia="Calibri Light" w:hAnsiTheme="majorHAnsi" w:cstheme="majorHAnsi"/>
          <w:sz w:val="23"/>
          <w:szCs w:val="23"/>
          <w:lang w:val="en-GB"/>
        </w:rPr>
        <w:t xml:space="preserve"> was a</w:t>
      </w:r>
      <w:r>
        <w:rPr>
          <w:rFonts w:asciiTheme="majorHAnsi" w:eastAsia="Calibri Light" w:hAnsiTheme="majorHAnsi" w:cstheme="majorHAnsi"/>
          <w:sz w:val="23"/>
          <w:szCs w:val="23"/>
          <w:lang w:val="en-GB"/>
        </w:rPr>
        <w:t>n agreed</w:t>
      </w:r>
      <w:r w:rsidR="00F00E3D" w:rsidRPr="00CB3BB5">
        <w:rPr>
          <w:rFonts w:asciiTheme="majorHAnsi" w:eastAsia="Calibri Light" w:hAnsiTheme="majorHAnsi" w:cstheme="majorHAnsi"/>
          <w:sz w:val="23"/>
          <w:szCs w:val="23"/>
          <w:lang w:val="en-GB"/>
        </w:rPr>
        <w:t xml:space="preserve"> need to build on success stories, grow existing organisations </w:t>
      </w:r>
      <w:r>
        <w:rPr>
          <w:rFonts w:asciiTheme="majorHAnsi" w:eastAsia="Calibri Light" w:hAnsiTheme="majorHAnsi" w:cstheme="majorHAnsi"/>
          <w:sz w:val="23"/>
          <w:szCs w:val="23"/>
          <w:lang w:val="en-GB"/>
        </w:rPr>
        <w:t>(</w:t>
      </w:r>
      <w:r w:rsidR="00F00E3D" w:rsidRPr="00CB3BB5">
        <w:rPr>
          <w:rFonts w:asciiTheme="majorHAnsi" w:eastAsia="Calibri Light" w:hAnsiTheme="majorHAnsi" w:cstheme="majorHAnsi"/>
          <w:sz w:val="23"/>
          <w:szCs w:val="23"/>
          <w:lang w:val="en-GB"/>
        </w:rPr>
        <w:t>such as Neighbourhood Houses</w:t>
      </w:r>
      <w:r>
        <w:rPr>
          <w:rFonts w:asciiTheme="majorHAnsi" w:eastAsia="Calibri Light" w:hAnsiTheme="majorHAnsi" w:cstheme="majorHAnsi"/>
          <w:sz w:val="23"/>
          <w:szCs w:val="23"/>
          <w:lang w:val="en-GB"/>
        </w:rPr>
        <w:t>)</w:t>
      </w:r>
      <w:r w:rsidR="00F00E3D" w:rsidRPr="00CB3BB5">
        <w:rPr>
          <w:rFonts w:asciiTheme="majorHAnsi" w:eastAsia="Calibri Light" w:hAnsiTheme="majorHAnsi" w:cstheme="majorHAnsi"/>
          <w:sz w:val="23"/>
          <w:szCs w:val="23"/>
          <w:lang w:val="en-GB"/>
        </w:rPr>
        <w:t>, back good ideas</w:t>
      </w:r>
      <w:r>
        <w:rPr>
          <w:rFonts w:asciiTheme="majorHAnsi" w:eastAsia="Calibri Light" w:hAnsiTheme="majorHAnsi" w:cstheme="majorHAnsi"/>
          <w:sz w:val="23"/>
          <w:szCs w:val="23"/>
          <w:lang w:val="en-GB"/>
        </w:rPr>
        <w:t>,</w:t>
      </w:r>
      <w:r w:rsidR="00F00E3D" w:rsidRPr="00CB3BB5">
        <w:rPr>
          <w:rFonts w:asciiTheme="majorHAnsi" w:eastAsia="Calibri Light" w:hAnsiTheme="majorHAnsi" w:cstheme="majorHAnsi"/>
          <w:sz w:val="23"/>
          <w:szCs w:val="23"/>
          <w:lang w:val="en-GB"/>
        </w:rPr>
        <w:t xml:space="preserve"> and not </w:t>
      </w:r>
      <w:r>
        <w:rPr>
          <w:rFonts w:asciiTheme="majorHAnsi" w:eastAsia="Calibri Light" w:hAnsiTheme="majorHAnsi" w:cstheme="majorHAnsi"/>
          <w:sz w:val="23"/>
          <w:szCs w:val="23"/>
          <w:lang w:val="en-GB"/>
        </w:rPr>
        <w:t>“</w:t>
      </w:r>
      <w:r w:rsidR="00F00E3D" w:rsidRPr="00CB3BB5">
        <w:rPr>
          <w:rFonts w:asciiTheme="majorHAnsi" w:eastAsia="Calibri Light" w:hAnsiTheme="majorHAnsi" w:cstheme="majorHAnsi"/>
          <w:sz w:val="23"/>
          <w:szCs w:val="23"/>
          <w:lang w:val="en-GB"/>
        </w:rPr>
        <w:t>reinvent the wheel</w:t>
      </w:r>
      <w:r>
        <w:rPr>
          <w:rFonts w:asciiTheme="majorHAnsi" w:eastAsia="Calibri Light" w:hAnsiTheme="majorHAnsi" w:cstheme="majorHAnsi"/>
          <w:sz w:val="23"/>
          <w:szCs w:val="23"/>
          <w:lang w:val="en-GB"/>
        </w:rPr>
        <w:t>”</w:t>
      </w:r>
      <w:r w:rsidR="00F00E3D" w:rsidRPr="00CB3BB5">
        <w:rPr>
          <w:rFonts w:asciiTheme="majorHAnsi" w:eastAsia="Calibri Light" w:hAnsiTheme="majorHAnsi" w:cstheme="majorHAnsi"/>
          <w:sz w:val="23"/>
          <w:szCs w:val="23"/>
          <w:lang w:val="en-GB"/>
        </w:rPr>
        <w:t xml:space="preserve"> (P2). Appropriate funding of local organisations is central to grow the community’s capacity to problem</w:t>
      </w:r>
      <w:r w:rsidR="00D957F4">
        <w:rPr>
          <w:rFonts w:asciiTheme="majorHAnsi" w:eastAsia="Calibri Light" w:hAnsiTheme="majorHAnsi" w:cstheme="majorHAnsi"/>
          <w:sz w:val="23"/>
          <w:szCs w:val="23"/>
          <w:lang w:val="en-GB"/>
        </w:rPr>
        <w:t>-</w:t>
      </w:r>
      <w:r w:rsidR="00F00E3D" w:rsidRPr="00CB3BB5">
        <w:rPr>
          <w:rFonts w:asciiTheme="majorHAnsi" w:eastAsia="Calibri Light" w:hAnsiTheme="majorHAnsi" w:cstheme="majorHAnsi"/>
          <w:sz w:val="23"/>
          <w:szCs w:val="23"/>
          <w:lang w:val="en-GB"/>
        </w:rPr>
        <w:t xml:space="preserve">solve and design local solutions. </w:t>
      </w:r>
      <w:r w:rsidR="00D957F4">
        <w:rPr>
          <w:rFonts w:asciiTheme="majorHAnsi" w:eastAsia="Calibri Light" w:hAnsiTheme="majorHAnsi" w:cstheme="majorHAnsi"/>
          <w:sz w:val="23"/>
          <w:szCs w:val="23"/>
          <w:lang w:val="en-GB"/>
        </w:rPr>
        <w:t>Informants also identified</w:t>
      </w:r>
      <w:r w:rsidR="00F00E3D" w:rsidRPr="00CB3BB5">
        <w:rPr>
          <w:rFonts w:asciiTheme="majorHAnsi" w:eastAsia="Calibri Light" w:hAnsiTheme="majorHAnsi" w:cstheme="majorHAnsi"/>
          <w:sz w:val="23"/>
          <w:szCs w:val="23"/>
          <w:lang w:val="en-GB"/>
        </w:rPr>
        <w:t xml:space="preserve"> a need to evaluate initiatives</w:t>
      </w:r>
      <w:r w:rsidR="00D957F4">
        <w:rPr>
          <w:rFonts w:asciiTheme="majorHAnsi" w:eastAsia="Calibri Light" w:hAnsiTheme="majorHAnsi" w:cstheme="majorHAnsi"/>
          <w:sz w:val="23"/>
          <w:szCs w:val="23"/>
          <w:lang w:val="en-GB"/>
        </w:rPr>
        <w:t>,</w:t>
      </w:r>
      <w:r w:rsidR="00F00E3D" w:rsidRPr="00CB3BB5">
        <w:rPr>
          <w:rFonts w:asciiTheme="majorHAnsi" w:eastAsia="Calibri Light" w:hAnsiTheme="majorHAnsi" w:cstheme="majorHAnsi"/>
          <w:sz w:val="23"/>
          <w:szCs w:val="23"/>
          <w:lang w:val="en-GB"/>
        </w:rPr>
        <w:t xml:space="preserve"> and support those </w:t>
      </w:r>
      <w:r w:rsidR="00D957F4">
        <w:rPr>
          <w:rFonts w:asciiTheme="majorHAnsi" w:eastAsia="Calibri Light" w:hAnsiTheme="majorHAnsi" w:cstheme="majorHAnsi"/>
          <w:sz w:val="23"/>
          <w:szCs w:val="23"/>
          <w:lang w:val="en-GB"/>
        </w:rPr>
        <w:t>that</w:t>
      </w:r>
      <w:r w:rsidR="00F00E3D" w:rsidRPr="00CB3BB5">
        <w:rPr>
          <w:rFonts w:asciiTheme="majorHAnsi" w:eastAsia="Calibri Light" w:hAnsiTheme="majorHAnsi" w:cstheme="majorHAnsi"/>
          <w:sz w:val="23"/>
          <w:szCs w:val="23"/>
          <w:lang w:val="en-GB"/>
        </w:rPr>
        <w:t xml:space="preserve"> deliver: </w:t>
      </w:r>
    </w:p>
    <w:p w14:paraId="4D97E2F7" w14:textId="508F708E" w:rsidR="00F00E3D" w:rsidRPr="00D957F4" w:rsidRDefault="00F00E3D" w:rsidP="009C12E8">
      <w:pPr>
        <w:spacing w:line="276" w:lineRule="auto"/>
        <w:ind w:left="720"/>
        <w:rPr>
          <w:rFonts w:asciiTheme="majorHAnsi" w:eastAsia="Calibri Light" w:hAnsiTheme="majorHAnsi" w:cstheme="majorHAnsi"/>
          <w:iCs/>
          <w:sz w:val="23"/>
          <w:szCs w:val="23"/>
          <w:lang w:val="en-GB"/>
        </w:rPr>
      </w:pPr>
      <w:r w:rsidRPr="00D957F4">
        <w:rPr>
          <w:rFonts w:asciiTheme="majorHAnsi" w:eastAsia="Calibri Light" w:hAnsiTheme="majorHAnsi" w:cstheme="majorHAnsi"/>
          <w:iCs/>
          <w:sz w:val="23"/>
          <w:szCs w:val="23"/>
          <w:lang w:val="en-GB"/>
        </w:rPr>
        <w:t xml:space="preserve">There’s been a lot of money spent on do-gooders [locally] and not a lot to show for it. They keep pouring money into some of these employment programs, and I don’t think they work. Some of these programs are funded $12,000 per head [to place an individual in a job]… </w:t>
      </w:r>
      <w:r w:rsidR="00D957F4">
        <w:rPr>
          <w:rFonts w:asciiTheme="majorHAnsi" w:eastAsia="Calibri Light" w:hAnsiTheme="majorHAnsi" w:cstheme="majorHAnsi"/>
          <w:iCs/>
          <w:sz w:val="23"/>
          <w:szCs w:val="23"/>
          <w:lang w:val="en-GB"/>
        </w:rPr>
        <w:t>W</w:t>
      </w:r>
      <w:r w:rsidRPr="00D957F4">
        <w:rPr>
          <w:rFonts w:asciiTheme="majorHAnsi" w:eastAsia="Calibri Light" w:hAnsiTheme="majorHAnsi" w:cstheme="majorHAnsi"/>
          <w:iCs/>
          <w:sz w:val="23"/>
          <w:szCs w:val="23"/>
          <w:lang w:val="en-GB"/>
        </w:rPr>
        <w:t>e guaranteed something like $2500 per head to get a person trained and employed. But we got turned down for that grant…</w:t>
      </w:r>
      <w:r w:rsidR="00D957F4">
        <w:rPr>
          <w:rFonts w:asciiTheme="majorHAnsi" w:eastAsia="Calibri Light" w:hAnsiTheme="majorHAnsi" w:cstheme="majorHAnsi"/>
          <w:iCs/>
          <w:sz w:val="23"/>
          <w:szCs w:val="23"/>
          <w:lang w:val="en-GB"/>
        </w:rPr>
        <w:t xml:space="preserve"> </w:t>
      </w:r>
      <w:r w:rsidRPr="00D957F4">
        <w:rPr>
          <w:rFonts w:asciiTheme="majorHAnsi" w:eastAsia="Calibri Light" w:hAnsiTheme="majorHAnsi" w:cstheme="majorHAnsi"/>
          <w:iCs/>
          <w:sz w:val="23"/>
          <w:szCs w:val="23"/>
          <w:lang w:val="en-GB"/>
        </w:rPr>
        <w:t>[</w:t>
      </w:r>
      <w:r w:rsidR="00D957F4">
        <w:rPr>
          <w:rFonts w:asciiTheme="majorHAnsi" w:eastAsia="Calibri Light" w:hAnsiTheme="majorHAnsi" w:cstheme="majorHAnsi"/>
          <w:iCs/>
          <w:sz w:val="23"/>
          <w:szCs w:val="23"/>
          <w:lang w:val="en-GB"/>
        </w:rPr>
        <w:t>W</w:t>
      </w:r>
      <w:r w:rsidRPr="00D957F4">
        <w:rPr>
          <w:rFonts w:asciiTheme="majorHAnsi" w:eastAsia="Calibri Light" w:hAnsiTheme="majorHAnsi" w:cstheme="majorHAnsi"/>
          <w:iCs/>
          <w:sz w:val="23"/>
          <w:szCs w:val="23"/>
          <w:lang w:val="en-GB"/>
        </w:rPr>
        <w:t>ith] $500,000, we could probably employ around 70</w:t>
      </w:r>
      <w:r w:rsidR="00D957F4">
        <w:rPr>
          <w:rFonts w:asciiTheme="majorHAnsi" w:eastAsia="Calibri Light" w:hAnsiTheme="majorHAnsi" w:cstheme="majorHAnsi"/>
          <w:iCs/>
          <w:sz w:val="23"/>
          <w:szCs w:val="23"/>
          <w:lang w:val="en-GB"/>
        </w:rPr>
        <w:t>–</w:t>
      </w:r>
      <w:r w:rsidRPr="00D957F4">
        <w:rPr>
          <w:rFonts w:asciiTheme="majorHAnsi" w:eastAsia="Calibri Light" w:hAnsiTheme="majorHAnsi" w:cstheme="majorHAnsi"/>
          <w:iCs/>
          <w:sz w:val="23"/>
          <w:szCs w:val="23"/>
          <w:lang w:val="en-GB"/>
        </w:rPr>
        <w:t xml:space="preserve">80 people in real work, in a multitude of jobs. For example, we have two trucks that pick up </w:t>
      </w:r>
      <w:r w:rsidR="00D957F4">
        <w:rPr>
          <w:rFonts w:asciiTheme="majorHAnsi" w:eastAsia="Calibri Light" w:hAnsiTheme="majorHAnsi" w:cstheme="majorHAnsi"/>
          <w:iCs/>
          <w:sz w:val="23"/>
          <w:szCs w:val="23"/>
          <w:lang w:val="en-GB"/>
        </w:rPr>
        <w:t>[donated items]</w:t>
      </w:r>
      <w:r w:rsidRPr="00D957F4">
        <w:rPr>
          <w:rFonts w:asciiTheme="majorHAnsi" w:eastAsia="Calibri Light" w:hAnsiTheme="majorHAnsi" w:cstheme="majorHAnsi"/>
          <w:iCs/>
          <w:sz w:val="23"/>
          <w:szCs w:val="23"/>
          <w:lang w:val="en-GB"/>
        </w:rPr>
        <w:t>, so we need truck drivers. We need customer service people (P10)</w:t>
      </w:r>
      <w:r w:rsidR="003C01D9">
        <w:rPr>
          <w:rFonts w:asciiTheme="majorHAnsi" w:eastAsia="Calibri Light" w:hAnsiTheme="majorHAnsi" w:cstheme="majorHAnsi"/>
          <w:iCs/>
          <w:sz w:val="23"/>
          <w:szCs w:val="23"/>
          <w:lang w:val="en-GB"/>
        </w:rPr>
        <w:t>.</w:t>
      </w:r>
    </w:p>
    <w:p w14:paraId="56EAFB9D" w14:textId="3A275791" w:rsidR="00F00E3D" w:rsidRPr="00CB3BB5" w:rsidRDefault="00D957F4" w:rsidP="009C12E8">
      <w:pPr>
        <w:spacing w:line="276" w:lineRule="auto"/>
        <w:rPr>
          <w:rFonts w:asciiTheme="majorHAnsi" w:eastAsia="Calibri Light" w:hAnsiTheme="majorHAnsi" w:cstheme="majorBidi"/>
          <w:sz w:val="23"/>
          <w:szCs w:val="23"/>
          <w:lang w:val="en-GB"/>
        </w:rPr>
      </w:pPr>
      <w:r>
        <w:rPr>
          <w:rFonts w:asciiTheme="majorHAnsi" w:eastAsia="Calibri Light" w:hAnsiTheme="majorHAnsi" w:cstheme="majorBidi"/>
          <w:sz w:val="23"/>
          <w:szCs w:val="23"/>
          <w:lang w:val="en-GB"/>
        </w:rPr>
        <w:t>Some i</w:t>
      </w:r>
      <w:r w:rsidR="00F00E3D" w:rsidRPr="300F82B7">
        <w:rPr>
          <w:rFonts w:asciiTheme="majorHAnsi" w:eastAsia="Calibri Light" w:hAnsiTheme="majorHAnsi" w:cstheme="majorBidi"/>
          <w:sz w:val="23"/>
          <w:szCs w:val="23"/>
          <w:lang w:val="en-GB"/>
        </w:rPr>
        <w:t>nformants highlighted the need for long</w:t>
      </w:r>
      <w:r>
        <w:rPr>
          <w:rFonts w:asciiTheme="majorHAnsi" w:eastAsia="Calibri Light" w:hAnsiTheme="majorHAnsi" w:cstheme="majorBidi"/>
          <w:sz w:val="23"/>
          <w:szCs w:val="23"/>
          <w:lang w:val="en-GB"/>
        </w:rPr>
        <w:t>-</w:t>
      </w:r>
      <w:r w:rsidR="00F00E3D" w:rsidRPr="300F82B7">
        <w:rPr>
          <w:rFonts w:asciiTheme="majorHAnsi" w:eastAsia="Calibri Light" w:hAnsiTheme="majorHAnsi" w:cstheme="majorBidi"/>
          <w:sz w:val="23"/>
          <w:szCs w:val="23"/>
          <w:lang w:val="en-GB"/>
        </w:rPr>
        <w:t xml:space="preserve">term planning approaches to foster </w:t>
      </w:r>
      <w:r>
        <w:rPr>
          <w:rFonts w:asciiTheme="majorHAnsi" w:eastAsia="Calibri Light" w:hAnsiTheme="majorHAnsi" w:cstheme="majorBidi"/>
          <w:sz w:val="23"/>
          <w:szCs w:val="23"/>
          <w:lang w:val="en-GB"/>
        </w:rPr>
        <w:t xml:space="preserve">the </w:t>
      </w:r>
      <w:r w:rsidR="00F00E3D" w:rsidRPr="300F82B7">
        <w:rPr>
          <w:rFonts w:asciiTheme="majorHAnsi" w:eastAsia="Calibri Light" w:hAnsiTheme="majorHAnsi" w:cstheme="majorBidi"/>
          <w:sz w:val="23"/>
          <w:szCs w:val="23"/>
          <w:lang w:val="en-GB"/>
        </w:rPr>
        <w:t xml:space="preserve">continuity and sustainability of future initiatives </w:t>
      </w:r>
      <w:r>
        <w:rPr>
          <w:rFonts w:asciiTheme="majorHAnsi" w:eastAsia="Calibri Light" w:hAnsiTheme="majorHAnsi" w:cstheme="majorBidi"/>
          <w:sz w:val="23"/>
          <w:szCs w:val="23"/>
          <w:lang w:val="en-GB"/>
        </w:rPr>
        <w:t>within the three localities</w:t>
      </w:r>
      <w:r w:rsidR="00F00E3D" w:rsidRPr="300F82B7">
        <w:rPr>
          <w:rFonts w:asciiTheme="majorHAnsi" w:eastAsia="Calibri Light" w:hAnsiTheme="majorHAnsi" w:cstheme="majorBidi"/>
          <w:sz w:val="23"/>
          <w:szCs w:val="23"/>
          <w:lang w:val="en-GB"/>
        </w:rPr>
        <w:t xml:space="preserve">. </w:t>
      </w:r>
      <w:r>
        <w:rPr>
          <w:rFonts w:asciiTheme="majorHAnsi" w:eastAsia="Calibri Light" w:hAnsiTheme="majorHAnsi" w:cstheme="majorBidi"/>
          <w:sz w:val="23"/>
          <w:szCs w:val="23"/>
          <w:lang w:val="en-GB"/>
        </w:rPr>
        <w:t>A</w:t>
      </w:r>
      <w:r w:rsidR="00F00E3D" w:rsidRPr="300F82B7">
        <w:rPr>
          <w:rFonts w:asciiTheme="majorHAnsi" w:eastAsia="Calibri Light" w:hAnsiTheme="majorHAnsi" w:cstheme="majorBidi"/>
          <w:sz w:val="23"/>
          <w:szCs w:val="23"/>
          <w:lang w:val="en-GB"/>
        </w:rPr>
        <w:t xml:space="preserve"> significant issue</w:t>
      </w:r>
      <w:r>
        <w:rPr>
          <w:rFonts w:asciiTheme="majorHAnsi" w:eastAsia="Calibri Light" w:hAnsiTheme="majorHAnsi" w:cstheme="majorBidi"/>
          <w:sz w:val="23"/>
          <w:szCs w:val="23"/>
          <w:lang w:val="en-GB"/>
        </w:rPr>
        <w:t xml:space="preserve"> identified</w:t>
      </w:r>
      <w:r w:rsidR="00F00E3D" w:rsidRPr="300F82B7">
        <w:rPr>
          <w:rFonts w:asciiTheme="majorHAnsi" w:eastAsia="Calibri Light" w:hAnsiTheme="majorHAnsi" w:cstheme="majorBidi"/>
          <w:sz w:val="23"/>
          <w:szCs w:val="23"/>
          <w:lang w:val="en-GB"/>
        </w:rPr>
        <w:t xml:space="preserve"> with past initiatives was the failure to finish what was started, something informants wanted to avoid with the current consultation</w:t>
      </w:r>
      <w:r>
        <w:rPr>
          <w:rFonts w:asciiTheme="majorHAnsi" w:eastAsia="Calibri Light" w:hAnsiTheme="majorHAnsi" w:cstheme="majorBidi"/>
          <w:sz w:val="23"/>
          <w:szCs w:val="23"/>
          <w:lang w:val="en-GB"/>
        </w:rPr>
        <w:t xml:space="preserve"> process</w:t>
      </w:r>
      <w:r w:rsidR="00F00E3D" w:rsidRPr="300F82B7">
        <w:rPr>
          <w:rFonts w:asciiTheme="majorHAnsi" w:eastAsia="Calibri Light" w:hAnsiTheme="majorHAnsi" w:cstheme="majorBidi"/>
          <w:sz w:val="23"/>
          <w:szCs w:val="23"/>
          <w:lang w:val="en-GB"/>
        </w:rPr>
        <w:t>:</w:t>
      </w:r>
    </w:p>
    <w:p w14:paraId="0FC3A6BB" w14:textId="68E4C4E4" w:rsidR="00F00E3D" w:rsidRPr="00D957F4" w:rsidRDefault="00F00E3D" w:rsidP="009C12E8">
      <w:pPr>
        <w:spacing w:line="276" w:lineRule="auto"/>
        <w:ind w:left="720"/>
        <w:rPr>
          <w:rFonts w:asciiTheme="majorHAnsi" w:eastAsia="Calibri Light" w:hAnsiTheme="majorHAnsi" w:cstheme="majorHAnsi"/>
          <w:iCs/>
          <w:sz w:val="23"/>
          <w:szCs w:val="23"/>
          <w:lang w:val="en-GB"/>
        </w:rPr>
      </w:pPr>
      <w:r w:rsidRPr="00D957F4">
        <w:rPr>
          <w:rFonts w:asciiTheme="majorHAnsi" w:eastAsia="Calibri Light" w:hAnsiTheme="majorHAnsi" w:cstheme="majorHAnsi"/>
          <w:iCs/>
          <w:sz w:val="23"/>
          <w:szCs w:val="23"/>
          <w:lang w:val="en-GB"/>
        </w:rPr>
        <w:t>When I came here 10 years ago there</w:t>
      </w:r>
      <w:r w:rsidR="00D957F4">
        <w:rPr>
          <w:rFonts w:asciiTheme="majorHAnsi" w:eastAsia="Calibri Light" w:hAnsiTheme="majorHAnsi" w:cstheme="majorHAnsi"/>
          <w:iCs/>
          <w:sz w:val="23"/>
          <w:szCs w:val="23"/>
          <w:lang w:val="en-GB"/>
        </w:rPr>
        <w:t xml:space="preserve"> had</w:t>
      </w:r>
      <w:r w:rsidRPr="00D957F4">
        <w:rPr>
          <w:rFonts w:asciiTheme="majorHAnsi" w:eastAsia="Calibri Light" w:hAnsiTheme="majorHAnsi" w:cstheme="majorHAnsi"/>
          <w:iCs/>
          <w:sz w:val="23"/>
          <w:szCs w:val="23"/>
          <w:lang w:val="en-GB"/>
        </w:rPr>
        <w:t xml:space="preserve"> been 80 consultation processes that all led nowhere (P9)</w:t>
      </w:r>
      <w:r w:rsidR="00C2301A">
        <w:rPr>
          <w:rFonts w:asciiTheme="majorHAnsi" w:eastAsia="Calibri Light" w:hAnsiTheme="majorHAnsi" w:cstheme="majorHAnsi"/>
          <w:iCs/>
          <w:sz w:val="23"/>
          <w:szCs w:val="23"/>
          <w:lang w:val="en-GB"/>
        </w:rPr>
        <w:t>.</w:t>
      </w:r>
    </w:p>
    <w:p w14:paraId="72FEA319" w14:textId="57695968" w:rsidR="00F02E6D" w:rsidRDefault="00F00E3D" w:rsidP="009C12E8">
      <w:pPr>
        <w:spacing w:line="276" w:lineRule="auto"/>
        <w:rPr>
          <w:rFonts w:asciiTheme="majorHAnsi" w:eastAsia="Calibri Light" w:hAnsiTheme="majorHAnsi" w:cstheme="majorHAnsi"/>
          <w:sz w:val="23"/>
          <w:szCs w:val="23"/>
          <w:lang w:val="en-GB"/>
        </w:rPr>
      </w:pPr>
      <w:r w:rsidRPr="00CB3BB5">
        <w:rPr>
          <w:rFonts w:asciiTheme="majorHAnsi" w:eastAsia="Calibri Light" w:hAnsiTheme="majorHAnsi" w:cstheme="majorHAnsi"/>
          <w:sz w:val="23"/>
          <w:szCs w:val="23"/>
          <w:lang w:val="en-GB"/>
        </w:rPr>
        <w:t>Finally, informants spoke of the need for a more collaborative and holistic approach to future initiatives. This included fostering collaboration between services (</w:t>
      </w:r>
      <w:r w:rsidR="00D957F4">
        <w:rPr>
          <w:rFonts w:asciiTheme="majorHAnsi" w:eastAsia="Calibri Light" w:hAnsiTheme="majorHAnsi" w:cstheme="majorHAnsi"/>
          <w:sz w:val="23"/>
          <w:szCs w:val="23"/>
          <w:lang w:val="en-GB"/>
        </w:rPr>
        <w:t xml:space="preserve">for example, </w:t>
      </w:r>
      <w:r w:rsidRPr="00CB3BB5">
        <w:rPr>
          <w:rFonts w:asciiTheme="majorHAnsi" w:eastAsia="Calibri Light" w:hAnsiTheme="majorHAnsi" w:cstheme="majorHAnsi"/>
          <w:sz w:val="23"/>
          <w:szCs w:val="23"/>
          <w:lang w:val="en-GB"/>
        </w:rPr>
        <w:t>Neighbourhood Houses</w:t>
      </w:r>
      <w:r w:rsidR="00F02E6D">
        <w:rPr>
          <w:rFonts w:asciiTheme="majorHAnsi" w:eastAsia="Calibri Light" w:hAnsiTheme="majorHAnsi" w:cstheme="majorHAnsi"/>
          <w:sz w:val="23"/>
          <w:szCs w:val="23"/>
          <w:lang w:val="en-GB"/>
        </w:rPr>
        <w:t xml:space="preserve"> and community centres</w:t>
      </w:r>
      <w:r w:rsidRPr="00CB3BB5">
        <w:rPr>
          <w:rFonts w:asciiTheme="majorHAnsi" w:eastAsia="Calibri Light" w:hAnsiTheme="majorHAnsi" w:cstheme="majorHAnsi"/>
          <w:sz w:val="23"/>
          <w:szCs w:val="23"/>
          <w:lang w:val="en-GB"/>
        </w:rPr>
        <w:t xml:space="preserve">), as well as </w:t>
      </w:r>
      <w:r w:rsidR="00D957F4">
        <w:rPr>
          <w:rFonts w:asciiTheme="majorHAnsi" w:eastAsia="Calibri Light" w:hAnsiTheme="majorHAnsi" w:cstheme="majorHAnsi"/>
          <w:sz w:val="23"/>
          <w:szCs w:val="23"/>
          <w:lang w:val="en-GB"/>
        </w:rPr>
        <w:t xml:space="preserve">service-based </w:t>
      </w:r>
      <w:r w:rsidRPr="00CB3BB5">
        <w:rPr>
          <w:rFonts w:asciiTheme="majorHAnsi" w:eastAsia="Calibri Light" w:hAnsiTheme="majorHAnsi" w:cstheme="majorHAnsi"/>
          <w:sz w:val="23"/>
          <w:szCs w:val="23"/>
          <w:lang w:val="en-GB"/>
        </w:rPr>
        <w:t xml:space="preserve">initiatives that took a more holistic, </w:t>
      </w:r>
      <w:r w:rsidR="00D957F4">
        <w:rPr>
          <w:rFonts w:asciiTheme="majorHAnsi" w:eastAsia="Calibri Light" w:hAnsiTheme="majorHAnsi" w:cstheme="majorHAnsi"/>
          <w:sz w:val="23"/>
          <w:szCs w:val="23"/>
          <w:lang w:val="en-GB"/>
        </w:rPr>
        <w:t>integrated</w:t>
      </w:r>
      <w:r w:rsidRPr="00CB3BB5">
        <w:rPr>
          <w:rFonts w:asciiTheme="majorHAnsi" w:eastAsia="Calibri Light" w:hAnsiTheme="majorHAnsi" w:cstheme="majorHAnsi"/>
          <w:sz w:val="23"/>
          <w:szCs w:val="23"/>
          <w:lang w:val="en-GB"/>
        </w:rPr>
        <w:t xml:space="preserve">, </w:t>
      </w:r>
      <w:r w:rsidR="00D957F4">
        <w:rPr>
          <w:rFonts w:asciiTheme="majorHAnsi" w:eastAsia="Calibri Light" w:hAnsiTheme="majorHAnsi" w:cstheme="majorHAnsi"/>
          <w:sz w:val="23"/>
          <w:szCs w:val="23"/>
          <w:lang w:val="en-GB"/>
        </w:rPr>
        <w:t>“</w:t>
      </w:r>
      <w:r w:rsidRPr="00CB3BB5">
        <w:rPr>
          <w:rFonts w:asciiTheme="majorHAnsi" w:eastAsia="Calibri Light" w:hAnsiTheme="majorHAnsi" w:cstheme="majorHAnsi"/>
          <w:sz w:val="23"/>
          <w:szCs w:val="23"/>
          <w:lang w:val="en-GB"/>
        </w:rPr>
        <w:t>one stop shop</w:t>
      </w:r>
      <w:r w:rsidR="00D957F4">
        <w:rPr>
          <w:rFonts w:asciiTheme="majorHAnsi" w:eastAsia="Calibri Light" w:hAnsiTheme="majorHAnsi" w:cstheme="majorHAnsi"/>
          <w:sz w:val="23"/>
          <w:szCs w:val="23"/>
          <w:lang w:val="en-GB"/>
        </w:rPr>
        <w:t>”</w:t>
      </w:r>
      <w:r w:rsidRPr="00CB3BB5">
        <w:rPr>
          <w:rFonts w:asciiTheme="majorHAnsi" w:eastAsia="Calibri Light" w:hAnsiTheme="majorHAnsi" w:cstheme="majorHAnsi"/>
          <w:sz w:val="23"/>
          <w:szCs w:val="23"/>
          <w:lang w:val="en-GB"/>
        </w:rPr>
        <w:t xml:space="preserve"> approach. </w:t>
      </w:r>
      <w:r w:rsidR="00D957F4">
        <w:rPr>
          <w:rFonts w:asciiTheme="majorHAnsi" w:eastAsia="Calibri Light" w:hAnsiTheme="majorHAnsi" w:cstheme="majorHAnsi"/>
          <w:sz w:val="23"/>
          <w:szCs w:val="23"/>
          <w:lang w:val="en-GB"/>
        </w:rPr>
        <w:t>Respondents discussed s</w:t>
      </w:r>
      <w:r w:rsidRPr="00CB3BB5">
        <w:rPr>
          <w:rFonts w:asciiTheme="majorHAnsi" w:eastAsia="Calibri Light" w:hAnsiTheme="majorHAnsi" w:cstheme="majorHAnsi"/>
          <w:sz w:val="23"/>
          <w:szCs w:val="23"/>
          <w:lang w:val="en-GB"/>
        </w:rPr>
        <w:t xml:space="preserve">everal past initiatives that could have been more successful if </w:t>
      </w:r>
      <w:r w:rsidR="00D957F4">
        <w:rPr>
          <w:rFonts w:asciiTheme="majorHAnsi" w:eastAsia="Calibri Light" w:hAnsiTheme="majorHAnsi" w:cstheme="majorHAnsi"/>
          <w:sz w:val="23"/>
          <w:szCs w:val="23"/>
          <w:lang w:val="en-GB"/>
        </w:rPr>
        <w:t xml:space="preserve">they had not been </w:t>
      </w:r>
      <w:r w:rsidRPr="00CB3BB5">
        <w:rPr>
          <w:rFonts w:asciiTheme="majorHAnsi" w:eastAsia="Calibri Light" w:hAnsiTheme="majorHAnsi" w:cstheme="majorHAnsi"/>
          <w:sz w:val="23"/>
          <w:szCs w:val="23"/>
          <w:lang w:val="en-GB"/>
        </w:rPr>
        <w:t>targeted to a single issue.</w:t>
      </w:r>
    </w:p>
    <w:p w14:paraId="5FE00E9A" w14:textId="4C987B8E" w:rsidR="00F00E3D" w:rsidRPr="00CB3BB5" w:rsidRDefault="00F00E3D" w:rsidP="009C12E8">
      <w:pPr>
        <w:spacing w:line="276" w:lineRule="auto"/>
        <w:rPr>
          <w:rFonts w:asciiTheme="majorHAnsi" w:eastAsia="Calibri Light" w:hAnsiTheme="majorHAnsi" w:cstheme="majorHAnsi"/>
          <w:sz w:val="23"/>
          <w:szCs w:val="23"/>
          <w:lang w:val="en-GB"/>
        </w:rPr>
      </w:pPr>
      <w:r w:rsidRPr="00CB3BB5">
        <w:rPr>
          <w:rFonts w:asciiTheme="majorHAnsi" w:eastAsia="Calibri Light" w:hAnsiTheme="majorHAnsi" w:cstheme="majorHAnsi"/>
          <w:sz w:val="23"/>
          <w:szCs w:val="23"/>
          <w:lang w:val="en-GB"/>
        </w:rPr>
        <w:t xml:space="preserve">The City of Greater Geelong </w:t>
      </w:r>
      <w:r w:rsidR="00D957F4">
        <w:rPr>
          <w:rFonts w:asciiTheme="majorHAnsi" w:eastAsia="Calibri Light" w:hAnsiTheme="majorHAnsi" w:cstheme="majorHAnsi"/>
          <w:sz w:val="23"/>
          <w:szCs w:val="23"/>
          <w:lang w:val="en-GB"/>
        </w:rPr>
        <w:t>(</w:t>
      </w:r>
      <w:r w:rsidR="001B7DDF">
        <w:rPr>
          <w:rFonts w:asciiTheme="majorHAnsi" w:eastAsia="Calibri Light" w:hAnsiTheme="majorHAnsi" w:cstheme="majorHAnsi"/>
          <w:sz w:val="23"/>
          <w:szCs w:val="23"/>
          <w:lang w:val="en-GB"/>
        </w:rPr>
        <w:t>CoGG</w:t>
      </w:r>
      <w:r w:rsidR="00D957F4">
        <w:rPr>
          <w:rFonts w:asciiTheme="majorHAnsi" w:eastAsia="Calibri Light" w:hAnsiTheme="majorHAnsi" w:cstheme="majorHAnsi"/>
          <w:sz w:val="23"/>
          <w:szCs w:val="23"/>
          <w:lang w:val="en-GB"/>
        </w:rPr>
        <w:t xml:space="preserve">) </w:t>
      </w:r>
      <w:r w:rsidRPr="00CB3BB5">
        <w:rPr>
          <w:rFonts w:asciiTheme="majorHAnsi" w:eastAsia="Calibri Light" w:hAnsiTheme="majorHAnsi" w:cstheme="majorHAnsi"/>
          <w:sz w:val="23"/>
          <w:szCs w:val="23"/>
          <w:lang w:val="en-GB"/>
        </w:rPr>
        <w:t xml:space="preserve">was identified as a key player in supporting a collaborative and holistic approach between organisations, </w:t>
      </w:r>
      <w:r w:rsidR="00D957F4">
        <w:rPr>
          <w:rFonts w:asciiTheme="majorHAnsi" w:eastAsia="Calibri Light" w:hAnsiTheme="majorHAnsi" w:cstheme="majorHAnsi"/>
          <w:sz w:val="23"/>
          <w:szCs w:val="23"/>
          <w:lang w:val="en-GB"/>
        </w:rPr>
        <w:t>particularly around</w:t>
      </w:r>
      <w:r w:rsidRPr="00CB3BB5">
        <w:rPr>
          <w:rFonts w:asciiTheme="majorHAnsi" w:eastAsia="Calibri Light" w:hAnsiTheme="majorHAnsi" w:cstheme="majorHAnsi"/>
          <w:sz w:val="23"/>
          <w:szCs w:val="23"/>
          <w:lang w:val="en-GB"/>
        </w:rPr>
        <w:t xml:space="preserve"> sharing knowledge, creating employment opportunities</w:t>
      </w:r>
      <w:r w:rsidR="00D957F4">
        <w:rPr>
          <w:rFonts w:asciiTheme="majorHAnsi" w:eastAsia="Calibri Light" w:hAnsiTheme="majorHAnsi" w:cstheme="majorHAnsi"/>
          <w:sz w:val="23"/>
          <w:szCs w:val="23"/>
          <w:lang w:val="en-GB"/>
        </w:rPr>
        <w:t>,</w:t>
      </w:r>
      <w:r w:rsidRPr="00CB3BB5">
        <w:rPr>
          <w:rFonts w:asciiTheme="majorHAnsi" w:eastAsia="Calibri Light" w:hAnsiTheme="majorHAnsi" w:cstheme="majorHAnsi"/>
          <w:sz w:val="23"/>
          <w:szCs w:val="23"/>
          <w:lang w:val="en-GB"/>
        </w:rPr>
        <w:t xml:space="preserve"> and service delivery. For example, one informant </w:t>
      </w:r>
      <w:r w:rsidR="00D957F4">
        <w:rPr>
          <w:rFonts w:asciiTheme="majorHAnsi" w:eastAsia="Calibri Light" w:hAnsiTheme="majorHAnsi" w:cstheme="majorHAnsi"/>
          <w:sz w:val="23"/>
          <w:szCs w:val="23"/>
          <w:lang w:val="en-GB"/>
        </w:rPr>
        <w:t>suggested</w:t>
      </w:r>
      <w:r w:rsidRPr="00CB3BB5">
        <w:rPr>
          <w:rFonts w:asciiTheme="majorHAnsi" w:eastAsia="Calibri Light" w:hAnsiTheme="majorHAnsi" w:cstheme="majorHAnsi"/>
          <w:sz w:val="23"/>
          <w:szCs w:val="23"/>
          <w:lang w:val="en-GB"/>
        </w:rPr>
        <w:t>:</w:t>
      </w:r>
    </w:p>
    <w:p w14:paraId="3684A97A" w14:textId="3E7AC626" w:rsidR="00F02E6D" w:rsidRDefault="00C2301A" w:rsidP="009C12E8">
      <w:pPr>
        <w:spacing w:line="276" w:lineRule="auto"/>
        <w:ind w:left="720"/>
        <w:rPr>
          <w:rFonts w:asciiTheme="majorHAnsi" w:eastAsia="Calibri Light" w:hAnsiTheme="majorHAnsi" w:cstheme="majorBidi"/>
          <w:iCs/>
          <w:sz w:val="23"/>
          <w:szCs w:val="23"/>
          <w:lang w:val="en-GB"/>
        </w:rPr>
      </w:pPr>
      <w:r>
        <w:rPr>
          <w:rFonts w:asciiTheme="majorHAnsi" w:eastAsia="Calibri Light" w:hAnsiTheme="majorHAnsi" w:cstheme="majorBidi"/>
          <w:iCs/>
          <w:sz w:val="23"/>
          <w:szCs w:val="23"/>
          <w:lang w:val="en-GB"/>
        </w:rPr>
        <w:t>[We need</w:t>
      </w:r>
      <w:r w:rsidR="009C12E8">
        <w:rPr>
          <w:rFonts w:asciiTheme="majorHAnsi" w:eastAsia="Calibri Light" w:hAnsiTheme="majorHAnsi" w:cstheme="majorBidi"/>
          <w:iCs/>
          <w:sz w:val="23"/>
          <w:szCs w:val="23"/>
          <w:lang w:val="en-GB"/>
        </w:rPr>
        <w:t>]</w:t>
      </w:r>
      <w:r>
        <w:rPr>
          <w:rFonts w:asciiTheme="majorHAnsi" w:eastAsia="Calibri Light" w:hAnsiTheme="majorHAnsi" w:cstheme="majorBidi"/>
          <w:iCs/>
          <w:sz w:val="23"/>
          <w:szCs w:val="23"/>
          <w:lang w:val="en-GB"/>
        </w:rPr>
        <w:t xml:space="preserve"> </w:t>
      </w:r>
      <w:r w:rsidR="009C12E8">
        <w:rPr>
          <w:rFonts w:asciiTheme="majorHAnsi" w:eastAsia="Calibri Light" w:hAnsiTheme="majorHAnsi" w:cstheme="majorBidi"/>
          <w:iCs/>
          <w:sz w:val="23"/>
          <w:szCs w:val="23"/>
          <w:lang w:val="en-GB"/>
        </w:rPr>
        <w:t>k</w:t>
      </w:r>
      <w:r w:rsidR="00F00E3D" w:rsidRPr="00D957F4">
        <w:rPr>
          <w:rFonts w:asciiTheme="majorHAnsi" w:eastAsia="Calibri Light" w:hAnsiTheme="majorHAnsi" w:cstheme="majorBidi"/>
          <w:iCs/>
          <w:sz w:val="23"/>
          <w:szCs w:val="23"/>
          <w:lang w:val="en-GB"/>
        </w:rPr>
        <w:t>inder and day care within a community hub with the Coleman Foundation. We have strong government support. The missing piece is Council. It could include consulting rooms for GPs, mental health people</w:t>
      </w:r>
      <w:r w:rsidR="00D957F4">
        <w:rPr>
          <w:rFonts w:asciiTheme="majorHAnsi" w:eastAsia="Calibri Light" w:hAnsiTheme="majorHAnsi" w:cstheme="majorBidi"/>
          <w:iCs/>
          <w:sz w:val="23"/>
          <w:szCs w:val="23"/>
          <w:lang w:val="en-GB"/>
        </w:rPr>
        <w:t>,</w:t>
      </w:r>
      <w:r w:rsidR="00F00E3D" w:rsidRPr="00D957F4">
        <w:rPr>
          <w:rFonts w:asciiTheme="majorHAnsi" w:eastAsia="Calibri Light" w:hAnsiTheme="majorHAnsi" w:cstheme="majorBidi"/>
          <w:iCs/>
          <w:sz w:val="23"/>
          <w:szCs w:val="23"/>
          <w:lang w:val="en-GB"/>
        </w:rPr>
        <w:t xml:space="preserve"> and adult education.</w:t>
      </w:r>
      <w:r w:rsidR="00D957F4">
        <w:rPr>
          <w:rFonts w:asciiTheme="majorHAnsi" w:eastAsia="Calibri Light" w:hAnsiTheme="majorHAnsi" w:cstheme="majorBidi"/>
          <w:iCs/>
          <w:sz w:val="23"/>
          <w:szCs w:val="23"/>
          <w:lang w:val="en-GB"/>
        </w:rPr>
        <w:t xml:space="preserve"> The</w:t>
      </w:r>
      <w:r w:rsidR="00F00E3D" w:rsidRPr="00D957F4">
        <w:rPr>
          <w:rFonts w:asciiTheme="majorHAnsi" w:eastAsia="Calibri Light" w:hAnsiTheme="majorHAnsi" w:cstheme="majorBidi"/>
          <w:iCs/>
          <w:sz w:val="23"/>
          <w:szCs w:val="23"/>
          <w:lang w:val="en-GB"/>
        </w:rPr>
        <w:t xml:space="preserve"> Department of Education owns The Link and an oval site</w:t>
      </w:r>
      <w:r w:rsidR="00D957F4">
        <w:rPr>
          <w:rFonts w:asciiTheme="majorHAnsi" w:eastAsia="Calibri Light" w:hAnsiTheme="majorHAnsi" w:cstheme="majorBidi"/>
          <w:iCs/>
          <w:sz w:val="23"/>
          <w:szCs w:val="23"/>
          <w:lang w:val="en-GB"/>
        </w:rPr>
        <w:t>…</w:t>
      </w:r>
      <w:r w:rsidR="00F00E3D" w:rsidRPr="00D957F4">
        <w:rPr>
          <w:rFonts w:asciiTheme="majorHAnsi" w:eastAsia="Calibri Light" w:hAnsiTheme="majorHAnsi" w:cstheme="majorBidi"/>
          <w:iCs/>
          <w:sz w:val="23"/>
          <w:szCs w:val="23"/>
          <w:lang w:val="en-GB"/>
        </w:rPr>
        <w:t xml:space="preserve"> </w:t>
      </w:r>
      <w:r w:rsidR="00D957F4">
        <w:rPr>
          <w:rFonts w:asciiTheme="majorHAnsi" w:eastAsia="Calibri Light" w:hAnsiTheme="majorHAnsi" w:cstheme="majorBidi"/>
          <w:iCs/>
          <w:sz w:val="23"/>
          <w:szCs w:val="23"/>
          <w:lang w:val="en-GB"/>
        </w:rPr>
        <w:t>W</w:t>
      </w:r>
      <w:r w:rsidR="00F00E3D" w:rsidRPr="00D957F4">
        <w:rPr>
          <w:rFonts w:asciiTheme="majorHAnsi" w:eastAsia="Calibri Light" w:hAnsiTheme="majorHAnsi" w:cstheme="majorBidi"/>
          <w:iCs/>
          <w:sz w:val="23"/>
          <w:szCs w:val="23"/>
          <w:lang w:val="en-GB"/>
        </w:rPr>
        <w:t xml:space="preserve">ith the co-operation of the </w:t>
      </w:r>
      <w:r w:rsidR="00203685" w:rsidRPr="00D957F4">
        <w:rPr>
          <w:rFonts w:asciiTheme="majorHAnsi" w:eastAsia="Calibri Light" w:hAnsiTheme="majorHAnsi" w:cstheme="majorBidi"/>
          <w:iCs/>
          <w:sz w:val="23"/>
          <w:szCs w:val="23"/>
          <w:lang w:val="en-GB"/>
        </w:rPr>
        <w:t>Council,</w:t>
      </w:r>
      <w:r w:rsidR="00F00E3D" w:rsidRPr="00D957F4">
        <w:rPr>
          <w:rFonts w:asciiTheme="majorHAnsi" w:eastAsia="Calibri Light" w:hAnsiTheme="majorHAnsi" w:cstheme="majorBidi"/>
          <w:iCs/>
          <w:sz w:val="23"/>
          <w:szCs w:val="23"/>
          <w:lang w:val="en-GB"/>
        </w:rPr>
        <w:t xml:space="preserve"> they could make it all happen (P7)</w:t>
      </w:r>
      <w:r>
        <w:rPr>
          <w:rFonts w:asciiTheme="majorHAnsi" w:eastAsia="Calibri Light" w:hAnsiTheme="majorHAnsi" w:cstheme="majorBidi"/>
          <w:iCs/>
          <w:sz w:val="23"/>
          <w:szCs w:val="23"/>
          <w:lang w:val="en-GB"/>
        </w:rPr>
        <w:t>.</w:t>
      </w:r>
    </w:p>
    <w:p w14:paraId="03D2E42F" w14:textId="77777777" w:rsidR="00F02E6D" w:rsidRDefault="00F02E6D">
      <w:pPr>
        <w:spacing w:after="0" w:line="240" w:lineRule="auto"/>
        <w:rPr>
          <w:rFonts w:asciiTheme="majorHAnsi" w:eastAsia="Calibri Light" w:hAnsiTheme="majorHAnsi" w:cstheme="majorBidi"/>
          <w:iCs/>
          <w:sz w:val="23"/>
          <w:szCs w:val="23"/>
          <w:lang w:val="en-GB"/>
        </w:rPr>
      </w:pPr>
      <w:r>
        <w:rPr>
          <w:rFonts w:asciiTheme="majorHAnsi" w:eastAsia="Calibri Light" w:hAnsiTheme="majorHAnsi" w:cstheme="majorBidi"/>
          <w:iCs/>
          <w:sz w:val="23"/>
          <w:szCs w:val="23"/>
          <w:lang w:val="en-GB"/>
        </w:rPr>
        <w:br w:type="page"/>
      </w:r>
    </w:p>
    <w:p w14:paraId="53796808" w14:textId="77777777" w:rsidR="000D09C8" w:rsidRPr="00F02E6D" w:rsidRDefault="000D09C8" w:rsidP="009C12E8">
      <w:pPr>
        <w:spacing w:line="276" w:lineRule="auto"/>
        <w:rPr>
          <w:rFonts w:eastAsia="Calibri"/>
          <w:b/>
          <w:color w:val="2F5496" w:themeColor="accent1" w:themeShade="BF"/>
          <w:sz w:val="28"/>
          <w:szCs w:val="28"/>
        </w:rPr>
      </w:pPr>
      <w:r w:rsidRPr="00F02E6D">
        <w:rPr>
          <w:rFonts w:eastAsia="Calibri"/>
          <w:b/>
          <w:color w:val="2F5496" w:themeColor="accent1" w:themeShade="BF"/>
          <w:sz w:val="28"/>
          <w:szCs w:val="28"/>
        </w:rPr>
        <w:lastRenderedPageBreak/>
        <w:t>8.5 Local Expert Focus Group</w:t>
      </w:r>
    </w:p>
    <w:p w14:paraId="7398E84C" w14:textId="3B672F39" w:rsidR="000D09C8" w:rsidRPr="002B5A72" w:rsidRDefault="001555D2" w:rsidP="00414C7E">
      <w:pPr>
        <w:spacing w:after="0" w:line="276" w:lineRule="auto"/>
        <w:rPr>
          <w:rFonts w:asciiTheme="majorHAnsi" w:eastAsia="Calibri" w:hAnsiTheme="majorHAnsi" w:cstheme="majorHAnsi"/>
          <w:sz w:val="23"/>
          <w:szCs w:val="23"/>
          <w:lang w:val="en-GB"/>
        </w:rPr>
      </w:pPr>
      <w:r>
        <w:rPr>
          <w:rFonts w:asciiTheme="majorHAnsi" w:eastAsia="Calibri" w:hAnsiTheme="majorHAnsi" w:cstheme="majorHAnsi"/>
          <w:sz w:val="23"/>
          <w:szCs w:val="23"/>
          <w:lang w:val="en-GB"/>
        </w:rPr>
        <w:t>Building on</w:t>
      </w:r>
      <w:r w:rsidR="00711598">
        <w:rPr>
          <w:rFonts w:asciiTheme="majorHAnsi" w:eastAsia="Calibri" w:hAnsiTheme="majorHAnsi" w:cstheme="majorHAnsi"/>
          <w:sz w:val="23"/>
          <w:szCs w:val="23"/>
          <w:lang w:val="en-GB"/>
        </w:rPr>
        <w:t xml:space="preserve"> our interviews with </w:t>
      </w:r>
      <w:r w:rsidR="00D957F4">
        <w:rPr>
          <w:rFonts w:asciiTheme="majorHAnsi" w:eastAsia="Calibri" w:hAnsiTheme="majorHAnsi" w:cstheme="majorHAnsi"/>
          <w:sz w:val="23"/>
          <w:szCs w:val="23"/>
          <w:lang w:val="en-GB"/>
        </w:rPr>
        <w:t xml:space="preserve">the </w:t>
      </w:r>
      <w:r w:rsidR="00711598">
        <w:rPr>
          <w:rFonts w:asciiTheme="majorHAnsi" w:eastAsia="Calibri" w:hAnsiTheme="majorHAnsi" w:cstheme="majorHAnsi"/>
          <w:sz w:val="23"/>
          <w:szCs w:val="23"/>
          <w:lang w:val="en-GB"/>
        </w:rPr>
        <w:t xml:space="preserve">12 key </w:t>
      </w:r>
      <w:r>
        <w:rPr>
          <w:rFonts w:asciiTheme="majorHAnsi" w:eastAsia="Calibri" w:hAnsiTheme="majorHAnsi" w:cstheme="majorHAnsi"/>
          <w:sz w:val="23"/>
          <w:szCs w:val="23"/>
          <w:lang w:val="en-GB"/>
        </w:rPr>
        <w:t xml:space="preserve">local </w:t>
      </w:r>
      <w:r w:rsidR="00711598">
        <w:rPr>
          <w:rFonts w:asciiTheme="majorHAnsi" w:eastAsia="Calibri" w:hAnsiTheme="majorHAnsi" w:cstheme="majorHAnsi"/>
          <w:sz w:val="23"/>
          <w:szCs w:val="23"/>
          <w:lang w:val="en-GB"/>
        </w:rPr>
        <w:t>community workers</w:t>
      </w:r>
      <w:r w:rsidR="00720BDD">
        <w:rPr>
          <w:rFonts w:asciiTheme="majorHAnsi" w:eastAsia="Calibri" w:hAnsiTheme="majorHAnsi" w:cstheme="majorHAnsi"/>
          <w:sz w:val="23"/>
          <w:szCs w:val="23"/>
          <w:lang w:val="en-GB"/>
        </w:rPr>
        <w:t xml:space="preserve">, </w:t>
      </w:r>
      <w:r w:rsidR="00711598">
        <w:rPr>
          <w:rFonts w:asciiTheme="majorHAnsi" w:eastAsia="Calibri" w:hAnsiTheme="majorHAnsi" w:cstheme="majorHAnsi"/>
          <w:sz w:val="23"/>
          <w:szCs w:val="23"/>
          <w:lang w:val="en-GB"/>
        </w:rPr>
        <w:t xml:space="preserve">we invited our informants to </w:t>
      </w:r>
      <w:r>
        <w:rPr>
          <w:rFonts w:asciiTheme="majorHAnsi" w:eastAsia="Calibri" w:hAnsiTheme="majorHAnsi" w:cstheme="majorHAnsi"/>
          <w:sz w:val="23"/>
          <w:szCs w:val="23"/>
          <w:lang w:val="en-GB"/>
        </w:rPr>
        <w:t>participate in a</w:t>
      </w:r>
      <w:r w:rsidR="00711598">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 xml:space="preserve">follow-up </w:t>
      </w:r>
      <w:r w:rsidR="00711598">
        <w:rPr>
          <w:rFonts w:asciiTheme="majorHAnsi" w:eastAsia="Calibri" w:hAnsiTheme="majorHAnsi" w:cstheme="majorHAnsi"/>
          <w:sz w:val="23"/>
          <w:szCs w:val="23"/>
          <w:lang w:val="en-GB"/>
        </w:rPr>
        <w:t xml:space="preserve">focus group at the end of </w:t>
      </w:r>
      <w:r w:rsidR="00720BDD">
        <w:rPr>
          <w:rFonts w:asciiTheme="majorHAnsi" w:eastAsia="Calibri" w:hAnsiTheme="majorHAnsi" w:cstheme="majorHAnsi"/>
          <w:sz w:val="23"/>
          <w:szCs w:val="23"/>
          <w:lang w:val="en-GB"/>
        </w:rPr>
        <w:t>March</w:t>
      </w:r>
      <w:r w:rsidR="00711598">
        <w:rPr>
          <w:rFonts w:asciiTheme="majorHAnsi" w:eastAsia="Calibri" w:hAnsiTheme="majorHAnsi" w:cstheme="majorHAnsi"/>
          <w:sz w:val="23"/>
          <w:szCs w:val="23"/>
          <w:lang w:val="en-GB"/>
        </w:rPr>
        <w:t xml:space="preserve">. </w:t>
      </w:r>
      <w:r w:rsidR="00307D7E">
        <w:rPr>
          <w:rFonts w:asciiTheme="majorHAnsi" w:eastAsia="Calibri" w:hAnsiTheme="majorHAnsi" w:cstheme="majorHAnsi"/>
          <w:sz w:val="23"/>
          <w:szCs w:val="23"/>
          <w:lang w:val="en-GB"/>
        </w:rPr>
        <w:t xml:space="preserve">Key findings are outlined below. </w:t>
      </w:r>
      <w:r>
        <w:rPr>
          <w:rFonts w:asciiTheme="majorHAnsi" w:eastAsia="Calibri" w:hAnsiTheme="majorHAnsi" w:cstheme="majorHAnsi"/>
          <w:sz w:val="23"/>
          <w:szCs w:val="23"/>
          <w:lang w:val="en-GB"/>
        </w:rPr>
        <w:t xml:space="preserve">The focus </w:t>
      </w:r>
      <w:r w:rsidRPr="00414C7E">
        <w:rPr>
          <w:rFonts w:asciiTheme="majorHAnsi" w:eastAsia="Calibri" w:hAnsiTheme="majorHAnsi" w:cstheme="majorHAnsi"/>
          <w:sz w:val="23"/>
          <w:szCs w:val="23"/>
          <w:lang w:val="en-GB"/>
        </w:rPr>
        <w:t>group took the form of a two-hour Zoom discussion</w:t>
      </w:r>
      <w:r w:rsidR="00307D7E" w:rsidRPr="00414C7E">
        <w:rPr>
          <w:rFonts w:asciiTheme="majorHAnsi" w:eastAsia="Calibri" w:hAnsiTheme="majorHAnsi" w:cstheme="majorHAnsi"/>
          <w:sz w:val="23"/>
          <w:szCs w:val="23"/>
          <w:lang w:val="en-GB"/>
        </w:rPr>
        <w:t xml:space="preserve">, and six organisations were able to attend (see Table </w:t>
      </w:r>
      <w:r w:rsidR="00414C7E" w:rsidRPr="00414C7E">
        <w:rPr>
          <w:rFonts w:asciiTheme="majorHAnsi" w:eastAsia="Calibri" w:hAnsiTheme="majorHAnsi" w:cstheme="majorHAnsi"/>
          <w:sz w:val="23"/>
          <w:szCs w:val="23"/>
          <w:lang w:val="en-GB"/>
        </w:rPr>
        <w:t>8.3</w:t>
      </w:r>
      <w:r w:rsidR="00307D7E" w:rsidRPr="00414C7E">
        <w:rPr>
          <w:rFonts w:asciiTheme="majorHAnsi" w:eastAsia="Calibri" w:hAnsiTheme="majorHAnsi" w:cstheme="majorHAnsi"/>
          <w:sz w:val="23"/>
          <w:szCs w:val="23"/>
          <w:lang w:val="en-GB"/>
        </w:rPr>
        <w:t xml:space="preserve">, below). </w:t>
      </w:r>
      <w:r w:rsidR="00005846" w:rsidRPr="00414C7E">
        <w:rPr>
          <w:rFonts w:asciiTheme="majorHAnsi" w:eastAsia="Calibri" w:hAnsiTheme="majorHAnsi" w:cstheme="majorHAnsi"/>
          <w:sz w:val="23"/>
          <w:szCs w:val="23"/>
          <w:lang w:val="en-GB"/>
        </w:rPr>
        <w:t xml:space="preserve">Due to the </w:t>
      </w:r>
      <w:r w:rsidR="00711598" w:rsidRPr="00414C7E">
        <w:rPr>
          <w:rFonts w:asciiTheme="majorHAnsi" w:eastAsia="Calibri" w:hAnsiTheme="majorHAnsi" w:cstheme="majorHAnsi"/>
          <w:sz w:val="23"/>
          <w:szCs w:val="23"/>
          <w:lang w:val="en-GB"/>
        </w:rPr>
        <w:t xml:space="preserve">smaller </w:t>
      </w:r>
      <w:r w:rsidR="00005846" w:rsidRPr="00414C7E">
        <w:rPr>
          <w:rFonts w:asciiTheme="majorHAnsi" w:eastAsia="Calibri" w:hAnsiTheme="majorHAnsi" w:cstheme="majorHAnsi"/>
          <w:sz w:val="23"/>
          <w:szCs w:val="23"/>
          <w:lang w:val="en-GB"/>
        </w:rPr>
        <w:t>number of attendees</w:t>
      </w:r>
      <w:r w:rsidR="00D957F4" w:rsidRPr="00414C7E">
        <w:rPr>
          <w:rFonts w:asciiTheme="majorHAnsi" w:eastAsia="Calibri" w:hAnsiTheme="majorHAnsi" w:cstheme="majorHAnsi"/>
          <w:sz w:val="23"/>
          <w:szCs w:val="23"/>
          <w:lang w:val="en-GB"/>
        </w:rPr>
        <w:t xml:space="preserve"> for this stage of the consultation process</w:t>
      </w:r>
      <w:r w:rsidR="000D09C8" w:rsidRPr="00414C7E">
        <w:rPr>
          <w:rFonts w:asciiTheme="majorHAnsi" w:eastAsia="Calibri" w:hAnsiTheme="majorHAnsi" w:cstheme="majorHAnsi"/>
          <w:sz w:val="23"/>
          <w:szCs w:val="23"/>
          <w:lang w:val="en-GB"/>
        </w:rPr>
        <w:t>, we have not used participant numbers (</w:t>
      </w:r>
      <w:r w:rsidR="00645B40" w:rsidRPr="00414C7E">
        <w:rPr>
          <w:rFonts w:asciiTheme="majorHAnsi" w:eastAsia="Calibri" w:hAnsiTheme="majorHAnsi" w:cstheme="majorHAnsi"/>
          <w:sz w:val="23"/>
          <w:szCs w:val="23"/>
          <w:lang w:val="en-GB"/>
        </w:rPr>
        <w:t>e.g.,</w:t>
      </w:r>
      <w:r w:rsidR="000D09C8" w:rsidRPr="00414C7E">
        <w:rPr>
          <w:rFonts w:asciiTheme="majorHAnsi" w:eastAsia="Calibri" w:hAnsiTheme="majorHAnsi" w:cstheme="majorHAnsi"/>
          <w:sz w:val="23"/>
          <w:szCs w:val="23"/>
          <w:lang w:val="en-GB"/>
        </w:rPr>
        <w:t xml:space="preserve"> P1</w:t>
      </w:r>
      <w:r w:rsidR="00414C7E">
        <w:rPr>
          <w:rFonts w:asciiTheme="majorHAnsi" w:eastAsia="Calibri" w:hAnsiTheme="majorHAnsi" w:cstheme="majorHAnsi"/>
          <w:sz w:val="23"/>
          <w:szCs w:val="23"/>
          <w:lang w:val="en-GB"/>
        </w:rPr>
        <w:t>, P2</w:t>
      </w:r>
      <w:r w:rsidR="000D09C8" w:rsidRPr="00414C7E">
        <w:rPr>
          <w:rFonts w:asciiTheme="majorHAnsi" w:eastAsia="Calibri" w:hAnsiTheme="majorHAnsi" w:cstheme="majorHAnsi"/>
          <w:sz w:val="23"/>
          <w:szCs w:val="23"/>
          <w:lang w:val="en-GB"/>
        </w:rPr>
        <w:t>)</w:t>
      </w:r>
      <w:r w:rsidR="00005846" w:rsidRPr="00414C7E">
        <w:rPr>
          <w:rFonts w:asciiTheme="majorHAnsi" w:eastAsia="Calibri" w:hAnsiTheme="majorHAnsi" w:cstheme="majorHAnsi"/>
          <w:sz w:val="23"/>
          <w:szCs w:val="23"/>
          <w:lang w:val="en-GB"/>
        </w:rPr>
        <w:t xml:space="preserve"> </w:t>
      </w:r>
      <w:r w:rsidRPr="00414C7E">
        <w:rPr>
          <w:rFonts w:asciiTheme="majorHAnsi" w:eastAsia="Calibri" w:hAnsiTheme="majorHAnsi" w:cstheme="majorHAnsi"/>
          <w:sz w:val="23"/>
          <w:szCs w:val="23"/>
          <w:lang w:val="en-GB"/>
        </w:rPr>
        <w:t>to present</w:t>
      </w:r>
      <w:r w:rsidR="00005846" w:rsidRPr="00414C7E">
        <w:rPr>
          <w:rFonts w:asciiTheme="majorHAnsi" w:eastAsia="Calibri" w:hAnsiTheme="majorHAnsi" w:cstheme="majorHAnsi"/>
          <w:sz w:val="23"/>
          <w:szCs w:val="23"/>
          <w:lang w:val="en-GB"/>
        </w:rPr>
        <w:t xml:space="preserve"> the findings, as this would enable quotes to be too</w:t>
      </w:r>
      <w:r w:rsidR="000D09C8" w:rsidRPr="00414C7E">
        <w:rPr>
          <w:rFonts w:asciiTheme="majorHAnsi" w:eastAsia="Calibri" w:hAnsiTheme="majorHAnsi" w:cstheme="majorHAnsi"/>
          <w:sz w:val="23"/>
          <w:szCs w:val="23"/>
          <w:lang w:val="en-GB"/>
        </w:rPr>
        <w:t xml:space="preserve"> readily linked to an individual and the organisation they represent.</w:t>
      </w:r>
    </w:p>
    <w:p w14:paraId="4C14B34E" w14:textId="3A3E5CC6" w:rsidR="000D09C8" w:rsidRPr="00825402" w:rsidRDefault="755EB0E4" w:rsidP="000D09C8">
      <w:pPr>
        <w:spacing w:line="240" w:lineRule="auto"/>
        <w:rPr>
          <w:b/>
          <w:sz w:val="16"/>
          <w:szCs w:val="16"/>
          <w:lang w:val="en-GB"/>
        </w:rPr>
      </w:pPr>
      <w:r w:rsidRPr="701B9583">
        <w:rPr>
          <w:b/>
          <w:bCs/>
          <w:sz w:val="12"/>
          <w:szCs w:val="12"/>
          <w:lang w:val="en-GB"/>
        </w:rPr>
        <w:t xml:space="preserve">  </w:t>
      </w:r>
    </w:p>
    <w:tbl>
      <w:tblPr>
        <w:tblStyle w:val="TableGrid"/>
        <w:tblW w:w="0" w:type="auto"/>
        <w:tblLook w:val="04A0" w:firstRow="1" w:lastRow="0" w:firstColumn="1" w:lastColumn="0" w:noHBand="0" w:noVBand="1"/>
      </w:tblPr>
      <w:tblGrid>
        <w:gridCol w:w="5335"/>
      </w:tblGrid>
      <w:tr w:rsidR="000D09C8" w:rsidRPr="00246610" w14:paraId="289C4020" w14:textId="77777777" w:rsidTr="00925757">
        <w:tc>
          <w:tcPr>
            <w:tcW w:w="5335" w:type="dxa"/>
            <w:shd w:val="clear" w:color="auto" w:fill="AEAAAA" w:themeFill="background2" w:themeFillShade="BF"/>
          </w:tcPr>
          <w:p w14:paraId="512F8F60" w14:textId="77777777" w:rsidR="000D09C8" w:rsidRPr="00D957F4" w:rsidRDefault="000D09C8" w:rsidP="000956A5">
            <w:pPr>
              <w:rPr>
                <w:rFonts w:cstheme="minorHAnsi"/>
                <w:b/>
                <w:bCs/>
                <w:lang w:val="en-GB"/>
              </w:rPr>
            </w:pPr>
            <w:r w:rsidRPr="00D957F4">
              <w:rPr>
                <w:rFonts w:cstheme="minorHAnsi"/>
                <w:b/>
                <w:bCs/>
                <w:lang w:val="en-GB"/>
              </w:rPr>
              <w:t>Organisation</w:t>
            </w:r>
          </w:p>
        </w:tc>
      </w:tr>
      <w:tr w:rsidR="000D09C8" w:rsidRPr="00246610" w14:paraId="0A75B49E" w14:textId="77777777" w:rsidTr="000956A5">
        <w:tc>
          <w:tcPr>
            <w:tcW w:w="5335" w:type="dxa"/>
          </w:tcPr>
          <w:p w14:paraId="0D54D4D5" w14:textId="77777777" w:rsidR="000D09C8" w:rsidRPr="00246610" w:rsidRDefault="000D09C8" w:rsidP="000956A5">
            <w:pPr>
              <w:rPr>
                <w:rFonts w:asciiTheme="majorHAnsi" w:hAnsiTheme="majorHAnsi" w:cstheme="majorHAnsi"/>
                <w:lang w:val="en-GB"/>
              </w:rPr>
            </w:pPr>
            <w:r w:rsidRPr="00246610">
              <w:rPr>
                <w:rFonts w:asciiTheme="majorHAnsi" w:hAnsiTheme="majorHAnsi" w:cstheme="majorHAnsi"/>
                <w:lang w:val="en-GB"/>
              </w:rPr>
              <w:t>GROW</w:t>
            </w:r>
          </w:p>
        </w:tc>
      </w:tr>
      <w:tr w:rsidR="000D09C8" w:rsidRPr="00246610" w14:paraId="450221E9" w14:textId="77777777" w:rsidTr="000956A5">
        <w:tc>
          <w:tcPr>
            <w:tcW w:w="5335" w:type="dxa"/>
          </w:tcPr>
          <w:p w14:paraId="609EBE94" w14:textId="77777777" w:rsidR="000D09C8" w:rsidRPr="00246610" w:rsidRDefault="000D09C8" w:rsidP="000956A5">
            <w:pPr>
              <w:rPr>
                <w:rFonts w:asciiTheme="majorHAnsi" w:hAnsiTheme="majorHAnsi" w:cstheme="majorHAnsi"/>
                <w:lang w:val="en-GB"/>
              </w:rPr>
            </w:pPr>
            <w:r w:rsidRPr="00246610">
              <w:rPr>
                <w:rFonts w:asciiTheme="majorHAnsi" w:hAnsiTheme="majorHAnsi" w:cstheme="majorHAnsi"/>
                <w:lang w:val="en-GB"/>
              </w:rPr>
              <w:t>Diversitat</w:t>
            </w:r>
          </w:p>
        </w:tc>
      </w:tr>
      <w:tr w:rsidR="000D09C8" w:rsidRPr="00246610" w14:paraId="72ABC2F1" w14:textId="77777777" w:rsidTr="000956A5">
        <w:tc>
          <w:tcPr>
            <w:tcW w:w="5335" w:type="dxa"/>
          </w:tcPr>
          <w:p w14:paraId="7DDBC1EE" w14:textId="77777777" w:rsidR="000D09C8" w:rsidRPr="00246610" w:rsidRDefault="000D09C8" w:rsidP="000956A5">
            <w:pPr>
              <w:rPr>
                <w:rFonts w:asciiTheme="majorHAnsi" w:hAnsiTheme="majorHAnsi" w:cstheme="majorHAnsi"/>
                <w:lang w:val="en-GB"/>
              </w:rPr>
            </w:pPr>
            <w:r w:rsidRPr="00246610">
              <w:rPr>
                <w:rFonts w:asciiTheme="majorHAnsi" w:hAnsiTheme="majorHAnsi" w:cstheme="majorHAnsi"/>
                <w:lang w:val="en-GB"/>
              </w:rPr>
              <w:t>Northern Bay College</w:t>
            </w:r>
          </w:p>
        </w:tc>
      </w:tr>
      <w:tr w:rsidR="000D09C8" w:rsidRPr="00246610" w14:paraId="579EC450" w14:textId="77777777" w:rsidTr="000956A5">
        <w:tc>
          <w:tcPr>
            <w:tcW w:w="5335" w:type="dxa"/>
          </w:tcPr>
          <w:p w14:paraId="42627E94" w14:textId="77777777" w:rsidR="000D09C8" w:rsidRPr="00246610" w:rsidRDefault="000D09C8" w:rsidP="000956A5">
            <w:pPr>
              <w:rPr>
                <w:rFonts w:asciiTheme="majorHAnsi" w:hAnsiTheme="majorHAnsi" w:cstheme="majorHAnsi"/>
                <w:lang w:val="en-GB"/>
              </w:rPr>
            </w:pPr>
            <w:r w:rsidRPr="00246610">
              <w:rPr>
                <w:rFonts w:asciiTheme="majorHAnsi" w:hAnsiTheme="majorHAnsi" w:cstheme="majorHAnsi"/>
                <w:lang w:val="en-GB"/>
              </w:rPr>
              <w:t>Northern Futures</w:t>
            </w:r>
          </w:p>
        </w:tc>
      </w:tr>
      <w:tr w:rsidR="000D09C8" w:rsidRPr="00246610" w14:paraId="62D92021" w14:textId="77777777" w:rsidTr="000956A5">
        <w:tc>
          <w:tcPr>
            <w:tcW w:w="5335" w:type="dxa"/>
          </w:tcPr>
          <w:p w14:paraId="00DE1505" w14:textId="77777777" w:rsidR="000D09C8" w:rsidRPr="00246610" w:rsidRDefault="000D09C8" w:rsidP="000956A5">
            <w:pPr>
              <w:rPr>
                <w:rFonts w:asciiTheme="majorHAnsi" w:hAnsiTheme="majorHAnsi" w:cstheme="majorHAnsi"/>
                <w:lang w:val="en-GB"/>
              </w:rPr>
            </w:pPr>
            <w:r w:rsidRPr="00246610">
              <w:rPr>
                <w:rFonts w:asciiTheme="majorHAnsi" w:hAnsiTheme="majorHAnsi" w:cstheme="majorHAnsi"/>
                <w:lang w:val="en-GB"/>
              </w:rPr>
              <w:t>Norlane Community Initiatives</w:t>
            </w:r>
          </w:p>
        </w:tc>
      </w:tr>
      <w:tr w:rsidR="000D09C8" w:rsidRPr="00246610" w14:paraId="60AB40F3" w14:textId="77777777" w:rsidTr="000956A5">
        <w:tc>
          <w:tcPr>
            <w:tcW w:w="5335" w:type="dxa"/>
          </w:tcPr>
          <w:p w14:paraId="3EB27E7C" w14:textId="77777777" w:rsidR="000D09C8" w:rsidRPr="00246610" w:rsidRDefault="000D09C8" w:rsidP="000956A5">
            <w:pPr>
              <w:rPr>
                <w:rFonts w:asciiTheme="majorHAnsi" w:hAnsiTheme="majorHAnsi" w:cstheme="majorHAnsi"/>
                <w:lang w:val="en-GB"/>
              </w:rPr>
            </w:pPr>
            <w:r w:rsidRPr="00246610">
              <w:rPr>
                <w:rFonts w:asciiTheme="majorHAnsi" w:hAnsiTheme="majorHAnsi" w:cstheme="majorHAnsi"/>
                <w:lang w:val="en-GB"/>
              </w:rPr>
              <w:t>Encompass Community Services</w:t>
            </w:r>
          </w:p>
        </w:tc>
      </w:tr>
    </w:tbl>
    <w:p w14:paraId="24E78551" w14:textId="117EEE4D" w:rsidR="000D09C8" w:rsidRPr="003129B6" w:rsidRDefault="00414C7E" w:rsidP="00B36112">
      <w:pPr>
        <w:spacing w:line="276" w:lineRule="auto"/>
        <w:rPr>
          <w:rFonts w:asciiTheme="majorHAnsi" w:hAnsiTheme="majorHAnsi" w:cstheme="majorHAnsi"/>
          <w:sz w:val="23"/>
          <w:szCs w:val="23"/>
          <w:lang w:val="en-GB"/>
        </w:rPr>
      </w:pPr>
      <w:r w:rsidRPr="00414C7E">
        <w:rPr>
          <w:rFonts w:eastAsia="Times New Roman" w:cstheme="minorHAnsi"/>
          <w:b/>
          <w:bCs/>
          <w:sz w:val="21"/>
          <w:szCs w:val="21"/>
        </w:rPr>
        <w:t xml:space="preserve">Table 8.3: </w:t>
      </w:r>
      <w:r w:rsidRPr="00414C7E">
        <w:rPr>
          <w:rFonts w:cstheme="minorHAnsi"/>
          <w:b/>
          <w:bCs/>
          <w:sz w:val="21"/>
          <w:szCs w:val="21"/>
          <w:lang w:val="en-GB"/>
        </w:rPr>
        <w:t>Organisations Attending the Expert Focus Group</w:t>
      </w:r>
    </w:p>
    <w:p w14:paraId="60F24280" w14:textId="53100DC3" w:rsidR="000D09C8" w:rsidRPr="008D58FE" w:rsidRDefault="000D09C8" w:rsidP="00467053">
      <w:pPr>
        <w:spacing w:line="276" w:lineRule="auto"/>
        <w:rPr>
          <w:rFonts w:asciiTheme="majorHAnsi" w:hAnsiTheme="majorHAnsi" w:cstheme="majorHAnsi"/>
          <w:sz w:val="23"/>
          <w:szCs w:val="23"/>
          <w:lang w:val="en-GB"/>
        </w:rPr>
      </w:pPr>
      <w:r w:rsidRPr="008D58FE">
        <w:rPr>
          <w:rFonts w:asciiTheme="majorHAnsi" w:hAnsiTheme="majorHAnsi" w:cstheme="majorHAnsi"/>
          <w:sz w:val="23"/>
          <w:szCs w:val="23"/>
          <w:lang w:val="en-GB"/>
        </w:rPr>
        <w:t>The</w:t>
      </w:r>
      <w:r w:rsidR="00D957F4">
        <w:rPr>
          <w:rFonts w:asciiTheme="majorHAnsi" w:hAnsiTheme="majorHAnsi" w:cstheme="majorHAnsi"/>
          <w:sz w:val="23"/>
          <w:szCs w:val="23"/>
          <w:lang w:val="en-GB"/>
        </w:rPr>
        <w:t xml:space="preserve"> research</w:t>
      </w:r>
      <w:r w:rsidR="00F63A9F">
        <w:rPr>
          <w:rFonts w:asciiTheme="majorHAnsi" w:hAnsiTheme="majorHAnsi" w:cstheme="majorHAnsi"/>
          <w:sz w:val="23"/>
          <w:szCs w:val="23"/>
          <w:lang w:val="en-GB"/>
        </w:rPr>
        <w:t>ers</w:t>
      </w:r>
      <w:r w:rsidR="00D957F4">
        <w:rPr>
          <w:rFonts w:asciiTheme="majorHAnsi" w:hAnsiTheme="majorHAnsi" w:cstheme="majorHAnsi"/>
          <w:sz w:val="23"/>
          <w:szCs w:val="23"/>
          <w:lang w:val="en-GB"/>
        </w:rPr>
        <w:t xml:space="preserve"> began </w:t>
      </w:r>
      <w:r w:rsidR="00467053">
        <w:rPr>
          <w:rFonts w:asciiTheme="majorHAnsi" w:hAnsiTheme="majorHAnsi" w:cstheme="majorHAnsi"/>
          <w:sz w:val="23"/>
          <w:szCs w:val="23"/>
          <w:lang w:val="en-GB"/>
        </w:rPr>
        <w:t xml:space="preserve">the session </w:t>
      </w:r>
      <w:r w:rsidR="00D957F4">
        <w:rPr>
          <w:rFonts w:asciiTheme="majorHAnsi" w:hAnsiTheme="majorHAnsi" w:cstheme="majorHAnsi"/>
          <w:sz w:val="23"/>
          <w:szCs w:val="23"/>
          <w:lang w:val="en-GB"/>
        </w:rPr>
        <w:t xml:space="preserve">by giving a brief presentation of key findings from the </w:t>
      </w:r>
      <w:proofErr w:type="gramStart"/>
      <w:r w:rsidR="00D957F4">
        <w:rPr>
          <w:rFonts w:asciiTheme="majorHAnsi" w:hAnsiTheme="majorHAnsi" w:cstheme="majorHAnsi"/>
          <w:sz w:val="23"/>
          <w:szCs w:val="23"/>
          <w:lang w:val="en-GB"/>
        </w:rPr>
        <w:t>interview</w:t>
      </w:r>
      <w:r w:rsidR="00F63A9F">
        <w:rPr>
          <w:rFonts w:asciiTheme="majorHAnsi" w:hAnsiTheme="majorHAnsi" w:cstheme="majorHAnsi"/>
          <w:sz w:val="23"/>
          <w:szCs w:val="23"/>
          <w:lang w:val="en-GB"/>
        </w:rPr>
        <w:t>s,</w:t>
      </w:r>
      <w:r w:rsidR="00307D7E">
        <w:rPr>
          <w:rFonts w:asciiTheme="majorHAnsi" w:hAnsiTheme="majorHAnsi" w:cstheme="majorHAnsi"/>
          <w:sz w:val="23"/>
          <w:szCs w:val="23"/>
          <w:lang w:val="en-GB"/>
        </w:rPr>
        <w:t xml:space="preserve"> and</w:t>
      </w:r>
      <w:proofErr w:type="gramEnd"/>
      <w:r w:rsidR="00F63A9F">
        <w:rPr>
          <w:rFonts w:asciiTheme="majorHAnsi" w:hAnsiTheme="majorHAnsi" w:cstheme="majorHAnsi"/>
          <w:sz w:val="23"/>
          <w:szCs w:val="23"/>
          <w:lang w:val="en-GB"/>
        </w:rPr>
        <w:t xml:space="preserve"> inviting further input and clarification</w:t>
      </w:r>
      <w:r w:rsidR="00D957F4">
        <w:rPr>
          <w:rFonts w:asciiTheme="majorHAnsi" w:hAnsiTheme="majorHAnsi" w:cstheme="majorHAnsi"/>
          <w:sz w:val="23"/>
          <w:szCs w:val="23"/>
          <w:lang w:val="en-GB"/>
        </w:rPr>
        <w:t>.</w:t>
      </w:r>
      <w:r w:rsidR="00F63A9F">
        <w:rPr>
          <w:rFonts w:asciiTheme="majorHAnsi" w:hAnsiTheme="majorHAnsi" w:cstheme="majorHAnsi"/>
          <w:sz w:val="23"/>
          <w:szCs w:val="23"/>
          <w:lang w:val="en-GB"/>
        </w:rPr>
        <w:t xml:space="preserve"> The focus</w:t>
      </w:r>
      <w:r w:rsidRPr="008D58FE">
        <w:rPr>
          <w:rFonts w:asciiTheme="majorHAnsi" w:hAnsiTheme="majorHAnsi" w:cstheme="majorHAnsi"/>
          <w:sz w:val="23"/>
          <w:szCs w:val="23"/>
          <w:lang w:val="en-GB"/>
        </w:rPr>
        <w:t xml:space="preserve"> group was </w:t>
      </w:r>
      <w:r w:rsidR="00F63A9F">
        <w:rPr>
          <w:rFonts w:asciiTheme="majorHAnsi" w:hAnsiTheme="majorHAnsi" w:cstheme="majorHAnsi"/>
          <w:sz w:val="23"/>
          <w:szCs w:val="23"/>
          <w:lang w:val="en-GB"/>
        </w:rPr>
        <w:t xml:space="preserve">then </w:t>
      </w:r>
      <w:r w:rsidRPr="008D58FE">
        <w:rPr>
          <w:rFonts w:asciiTheme="majorHAnsi" w:hAnsiTheme="majorHAnsi" w:cstheme="majorHAnsi"/>
          <w:sz w:val="23"/>
          <w:szCs w:val="23"/>
          <w:lang w:val="en-GB"/>
        </w:rPr>
        <w:t>asked to address four questions, each of which was allocated 15 minutes</w:t>
      </w:r>
      <w:r w:rsidR="00D957F4">
        <w:rPr>
          <w:rFonts w:asciiTheme="majorHAnsi" w:hAnsiTheme="majorHAnsi" w:cstheme="majorHAnsi"/>
          <w:sz w:val="23"/>
          <w:szCs w:val="23"/>
          <w:lang w:val="en-GB"/>
        </w:rPr>
        <w:t xml:space="preserve"> of discussion time</w:t>
      </w:r>
      <w:r w:rsidRPr="008D58FE">
        <w:rPr>
          <w:rFonts w:asciiTheme="majorHAnsi" w:hAnsiTheme="majorHAnsi" w:cstheme="majorHAnsi"/>
          <w:sz w:val="23"/>
          <w:szCs w:val="23"/>
          <w:lang w:val="en-GB"/>
        </w:rPr>
        <w:t>:</w:t>
      </w:r>
    </w:p>
    <w:p w14:paraId="48EE0CAE" w14:textId="77713507" w:rsidR="000D09C8" w:rsidRPr="00B36112" w:rsidRDefault="000D09C8" w:rsidP="00467053">
      <w:pPr>
        <w:pStyle w:val="ListParagraph"/>
        <w:numPr>
          <w:ilvl w:val="0"/>
          <w:numId w:val="76"/>
        </w:numPr>
        <w:spacing w:after="0" w:line="276" w:lineRule="auto"/>
        <w:rPr>
          <w:rFonts w:asciiTheme="majorHAnsi" w:hAnsiTheme="majorHAnsi" w:cstheme="majorHAnsi"/>
          <w:sz w:val="23"/>
          <w:szCs w:val="23"/>
        </w:rPr>
      </w:pPr>
      <w:r w:rsidRPr="00B36112">
        <w:rPr>
          <w:rFonts w:asciiTheme="majorHAnsi" w:hAnsiTheme="majorHAnsi" w:cstheme="majorHAnsi"/>
          <w:sz w:val="23"/>
          <w:szCs w:val="23"/>
        </w:rPr>
        <w:t>In the light of the issues identified</w:t>
      </w:r>
      <w:r w:rsidR="00F63A9F" w:rsidRPr="00B36112">
        <w:rPr>
          <w:rFonts w:asciiTheme="majorHAnsi" w:hAnsiTheme="majorHAnsi" w:cstheme="majorHAnsi"/>
          <w:sz w:val="23"/>
          <w:szCs w:val="23"/>
        </w:rPr>
        <w:t>,</w:t>
      </w:r>
      <w:r w:rsidRPr="00B36112">
        <w:rPr>
          <w:rFonts w:asciiTheme="majorHAnsi" w:hAnsiTheme="majorHAnsi" w:cstheme="majorHAnsi"/>
          <w:sz w:val="23"/>
          <w:szCs w:val="23"/>
        </w:rPr>
        <w:t xml:space="preserve"> and your ideas for interventions</w:t>
      </w:r>
      <w:r w:rsidR="00F63A9F" w:rsidRPr="00B36112">
        <w:rPr>
          <w:rFonts w:asciiTheme="majorHAnsi" w:hAnsiTheme="majorHAnsi" w:cstheme="majorHAnsi"/>
          <w:sz w:val="23"/>
          <w:szCs w:val="23"/>
        </w:rPr>
        <w:t>, to improve outcomes for residents:</w:t>
      </w:r>
      <w:r w:rsidRPr="00B36112">
        <w:rPr>
          <w:rFonts w:asciiTheme="majorHAnsi" w:hAnsiTheme="majorHAnsi" w:cstheme="majorHAnsi"/>
          <w:sz w:val="23"/>
          <w:szCs w:val="23"/>
        </w:rPr>
        <w:t xml:space="preserve"> </w:t>
      </w:r>
      <w:r w:rsidR="00F63A9F" w:rsidRPr="00B36112">
        <w:rPr>
          <w:rFonts w:asciiTheme="majorHAnsi" w:hAnsiTheme="majorHAnsi" w:cstheme="majorHAnsi"/>
          <w:sz w:val="23"/>
          <w:szCs w:val="23"/>
        </w:rPr>
        <w:t>a</w:t>
      </w:r>
      <w:r w:rsidRPr="00B36112">
        <w:rPr>
          <w:rFonts w:asciiTheme="majorHAnsi" w:hAnsiTheme="majorHAnsi" w:cstheme="majorHAnsi"/>
          <w:sz w:val="23"/>
          <w:szCs w:val="23"/>
        </w:rPr>
        <w:t xml:space="preserve">re there </w:t>
      </w:r>
      <w:r w:rsidRPr="00B36112">
        <w:rPr>
          <w:rFonts w:asciiTheme="majorHAnsi" w:hAnsiTheme="majorHAnsi" w:cstheme="majorHAnsi"/>
          <w:b/>
          <w:bCs/>
          <w:sz w:val="23"/>
          <w:szCs w:val="23"/>
        </w:rPr>
        <w:t xml:space="preserve">any other initiatives </w:t>
      </w:r>
      <w:r w:rsidRPr="00B36112">
        <w:rPr>
          <w:rFonts w:asciiTheme="majorHAnsi" w:hAnsiTheme="majorHAnsi" w:cstheme="majorHAnsi"/>
          <w:sz w:val="23"/>
          <w:szCs w:val="23"/>
        </w:rPr>
        <w:t>you would like to add?</w:t>
      </w:r>
    </w:p>
    <w:p w14:paraId="6F69436E" w14:textId="77777777" w:rsidR="000D09C8" w:rsidRPr="00B36112" w:rsidRDefault="000D09C8" w:rsidP="00467053">
      <w:pPr>
        <w:pStyle w:val="ListParagraph"/>
        <w:numPr>
          <w:ilvl w:val="0"/>
          <w:numId w:val="76"/>
        </w:numPr>
        <w:spacing w:after="0" w:line="276" w:lineRule="auto"/>
        <w:rPr>
          <w:rFonts w:asciiTheme="majorHAnsi" w:hAnsiTheme="majorHAnsi" w:cstheme="majorHAnsi"/>
          <w:sz w:val="23"/>
          <w:szCs w:val="23"/>
        </w:rPr>
      </w:pPr>
      <w:r w:rsidRPr="00B36112">
        <w:rPr>
          <w:rFonts w:asciiTheme="majorHAnsi" w:hAnsiTheme="majorHAnsi" w:cstheme="majorHAnsi"/>
          <w:sz w:val="23"/>
          <w:szCs w:val="23"/>
          <w:lang w:val="en-GB"/>
        </w:rPr>
        <w:t xml:space="preserve">What are your ideas on </w:t>
      </w:r>
      <w:r w:rsidRPr="00B36112">
        <w:rPr>
          <w:rFonts w:asciiTheme="majorHAnsi" w:hAnsiTheme="majorHAnsi" w:cstheme="majorHAnsi"/>
          <w:b/>
          <w:bCs/>
          <w:sz w:val="23"/>
          <w:szCs w:val="23"/>
          <w:lang w:val="en-GB"/>
        </w:rPr>
        <w:t>how</w:t>
      </w:r>
      <w:r w:rsidRPr="00B36112">
        <w:rPr>
          <w:rFonts w:asciiTheme="majorHAnsi" w:hAnsiTheme="majorHAnsi" w:cstheme="majorHAnsi"/>
          <w:sz w:val="23"/>
          <w:szCs w:val="23"/>
          <w:lang w:val="en-GB"/>
        </w:rPr>
        <w:t xml:space="preserve"> to make these things happen?</w:t>
      </w:r>
    </w:p>
    <w:p w14:paraId="344CB318" w14:textId="01304B73" w:rsidR="000D09C8" w:rsidRPr="00B36112" w:rsidRDefault="000D09C8" w:rsidP="00467053">
      <w:pPr>
        <w:pStyle w:val="ListParagraph"/>
        <w:numPr>
          <w:ilvl w:val="0"/>
          <w:numId w:val="76"/>
        </w:numPr>
        <w:spacing w:after="0" w:line="276" w:lineRule="auto"/>
        <w:rPr>
          <w:rFonts w:asciiTheme="majorHAnsi" w:hAnsiTheme="majorHAnsi" w:cstheme="majorHAnsi"/>
          <w:sz w:val="23"/>
          <w:szCs w:val="23"/>
        </w:rPr>
      </w:pPr>
      <w:r w:rsidRPr="00B36112">
        <w:rPr>
          <w:rFonts w:asciiTheme="majorHAnsi" w:hAnsiTheme="majorHAnsi" w:cstheme="majorHAnsi"/>
          <w:sz w:val="23"/>
          <w:szCs w:val="23"/>
          <w:lang w:val="en-GB"/>
        </w:rPr>
        <w:t xml:space="preserve">How might you prioritise this list as </w:t>
      </w:r>
      <w:r w:rsidRPr="00B36112">
        <w:rPr>
          <w:rFonts w:asciiTheme="majorHAnsi" w:hAnsiTheme="majorHAnsi" w:cstheme="majorHAnsi"/>
          <w:b/>
          <w:bCs/>
          <w:sz w:val="23"/>
          <w:szCs w:val="23"/>
          <w:lang w:val="en-GB"/>
        </w:rPr>
        <w:t>Recommendations</w:t>
      </w:r>
      <w:r w:rsidRPr="00B36112">
        <w:rPr>
          <w:rFonts w:asciiTheme="majorHAnsi" w:hAnsiTheme="majorHAnsi" w:cstheme="majorHAnsi"/>
          <w:sz w:val="23"/>
          <w:szCs w:val="23"/>
          <w:lang w:val="en-GB"/>
        </w:rPr>
        <w:t xml:space="preserve"> for </w:t>
      </w:r>
      <w:r w:rsidR="001B7DDF">
        <w:rPr>
          <w:rFonts w:asciiTheme="majorHAnsi" w:hAnsiTheme="majorHAnsi" w:cstheme="majorHAnsi"/>
          <w:sz w:val="23"/>
          <w:szCs w:val="23"/>
          <w:lang w:val="en-GB"/>
        </w:rPr>
        <w:t>CoGG</w:t>
      </w:r>
      <w:r w:rsidRPr="00B36112">
        <w:rPr>
          <w:rFonts w:asciiTheme="majorHAnsi" w:hAnsiTheme="majorHAnsi" w:cstheme="majorHAnsi"/>
          <w:sz w:val="23"/>
          <w:szCs w:val="23"/>
          <w:lang w:val="en-GB"/>
        </w:rPr>
        <w:t>?</w:t>
      </w:r>
    </w:p>
    <w:p w14:paraId="1EAC3185" w14:textId="70449619" w:rsidR="000D09C8" w:rsidRPr="00B36112" w:rsidRDefault="000D09C8" w:rsidP="00467053">
      <w:pPr>
        <w:pStyle w:val="ListParagraph"/>
        <w:numPr>
          <w:ilvl w:val="0"/>
          <w:numId w:val="76"/>
        </w:numPr>
        <w:spacing w:after="0" w:line="276" w:lineRule="auto"/>
        <w:rPr>
          <w:rFonts w:asciiTheme="majorHAnsi" w:hAnsiTheme="majorHAnsi" w:cstheme="majorBidi"/>
          <w:sz w:val="23"/>
          <w:szCs w:val="23"/>
        </w:rPr>
      </w:pPr>
      <w:r w:rsidRPr="00B36112">
        <w:rPr>
          <w:rFonts w:asciiTheme="majorHAnsi" w:hAnsiTheme="majorHAnsi" w:cstheme="majorBidi"/>
          <w:sz w:val="23"/>
          <w:szCs w:val="23"/>
          <w:lang w:val="en-GB"/>
        </w:rPr>
        <w:t xml:space="preserve">How can </w:t>
      </w:r>
      <w:r w:rsidR="001B7DDF">
        <w:rPr>
          <w:rFonts w:asciiTheme="majorHAnsi" w:hAnsiTheme="majorHAnsi" w:cstheme="majorBidi"/>
          <w:b/>
          <w:sz w:val="23"/>
          <w:szCs w:val="23"/>
          <w:lang w:val="en-GB"/>
        </w:rPr>
        <w:t>CoGG</w:t>
      </w:r>
      <w:r w:rsidRPr="00B36112">
        <w:rPr>
          <w:rFonts w:asciiTheme="majorHAnsi" w:hAnsiTheme="majorHAnsi" w:cstheme="majorBidi"/>
          <w:b/>
          <w:sz w:val="23"/>
          <w:szCs w:val="23"/>
          <w:lang w:val="en-GB"/>
        </w:rPr>
        <w:t xml:space="preserve"> support you </w:t>
      </w:r>
      <w:r w:rsidRPr="00B36112">
        <w:rPr>
          <w:rFonts w:asciiTheme="majorHAnsi" w:hAnsiTheme="majorHAnsi" w:cstheme="majorBidi"/>
          <w:sz w:val="23"/>
          <w:szCs w:val="23"/>
          <w:lang w:val="en-GB"/>
        </w:rPr>
        <w:t>in working together to achieve these</w:t>
      </w:r>
      <w:r w:rsidR="00F63A9F" w:rsidRPr="00B36112">
        <w:rPr>
          <w:rFonts w:asciiTheme="majorHAnsi" w:hAnsiTheme="majorHAnsi" w:cstheme="majorBidi"/>
          <w:sz w:val="23"/>
          <w:szCs w:val="23"/>
          <w:lang w:val="en-GB"/>
        </w:rPr>
        <w:t xml:space="preserve"> aims</w:t>
      </w:r>
      <w:r w:rsidRPr="00B36112">
        <w:rPr>
          <w:rFonts w:asciiTheme="majorHAnsi" w:hAnsiTheme="majorHAnsi" w:cstheme="majorBidi"/>
          <w:sz w:val="23"/>
          <w:szCs w:val="23"/>
          <w:lang w:val="en-GB"/>
        </w:rPr>
        <w:t>?</w:t>
      </w:r>
    </w:p>
    <w:p w14:paraId="7DA6F61E" w14:textId="55672A63" w:rsidR="00F63A9F" w:rsidRPr="00F63A9F" w:rsidRDefault="61D68C9B" w:rsidP="00467053">
      <w:pPr>
        <w:spacing w:after="0" w:line="276" w:lineRule="auto"/>
        <w:rPr>
          <w:rFonts w:asciiTheme="majorHAnsi" w:hAnsiTheme="majorHAnsi" w:cstheme="majorBidi"/>
          <w:sz w:val="23"/>
          <w:szCs w:val="23"/>
        </w:rPr>
      </w:pPr>
      <w:r w:rsidRPr="701B9583">
        <w:rPr>
          <w:rFonts w:asciiTheme="majorHAnsi" w:hAnsiTheme="majorHAnsi" w:cstheme="majorBidi"/>
          <w:sz w:val="16"/>
          <w:szCs w:val="16"/>
        </w:rPr>
        <w:t xml:space="preserve"> </w:t>
      </w:r>
    </w:p>
    <w:p w14:paraId="4EF47EAD" w14:textId="47695948" w:rsidR="000D09C8" w:rsidRPr="002B5A72" w:rsidRDefault="00F63A9F" w:rsidP="00467053">
      <w:pPr>
        <w:spacing w:line="276" w:lineRule="auto"/>
        <w:rPr>
          <w:rFonts w:asciiTheme="majorHAnsi" w:eastAsia="Calibri" w:hAnsiTheme="majorHAnsi" w:cstheme="majorHAnsi"/>
          <w:sz w:val="23"/>
          <w:szCs w:val="23"/>
          <w:lang w:val="en-GB"/>
        </w:rPr>
      </w:pPr>
      <w:r>
        <w:rPr>
          <w:rFonts w:asciiTheme="majorHAnsi" w:eastAsia="Calibri" w:hAnsiTheme="majorHAnsi" w:cstheme="majorHAnsi"/>
          <w:sz w:val="23"/>
          <w:szCs w:val="23"/>
          <w:lang w:val="en-GB"/>
        </w:rPr>
        <w:t>P</w:t>
      </w:r>
      <w:r w:rsidR="000D09C8" w:rsidRPr="002B5A72">
        <w:rPr>
          <w:rFonts w:asciiTheme="majorHAnsi" w:eastAsia="Calibri" w:hAnsiTheme="majorHAnsi" w:cstheme="majorHAnsi"/>
          <w:sz w:val="23"/>
          <w:szCs w:val="23"/>
          <w:lang w:val="en-GB"/>
        </w:rPr>
        <w:t xml:space="preserve">articipants </w:t>
      </w:r>
      <w:r>
        <w:rPr>
          <w:rFonts w:asciiTheme="majorHAnsi" w:eastAsia="Calibri" w:hAnsiTheme="majorHAnsi" w:cstheme="majorHAnsi"/>
          <w:sz w:val="23"/>
          <w:szCs w:val="23"/>
          <w:lang w:val="en-GB"/>
        </w:rPr>
        <w:t xml:space="preserve">first </w:t>
      </w:r>
      <w:r w:rsidR="000D09C8" w:rsidRPr="002B5A72">
        <w:rPr>
          <w:rFonts w:asciiTheme="majorHAnsi" w:eastAsia="Calibri" w:hAnsiTheme="majorHAnsi" w:cstheme="majorHAnsi"/>
          <w:sz w:val="23"/>
          <w:szCs w:val="23"/>
          <w:lang w:val="en-GB"/>
        </w:rPr>
        <w:t xml:space="preserve">responded </w:t>
      </w:r>
      <w:r>
        <w:rPr>
          <w:rFonts w:asciiTheme="majorHAnsi" w:eastAsia="Calibri" w:hAnsiTheme="majorHAnsi" w:cstheme="majorHAnsi"/>
          <w:sz w:val="23"/>
          <w:szCs w:val="23"/>
          <w:lang w:val="en-GB"/>
        </w:rPr>
        <w:t xml:space="preserve">to </w:t>
      </w:r>
      <w:r w:rsidR="00711598">
        <w:rPr>
          <w:rFonts w:asciiTheme="majorHAnsi" w:eastAsia="Calibri" w:hAnsiTheme="majorHAnsi" w:cstheme="majorHAnsi"/>
          <w:sz w:val="23"/>
          <w:szCs w:val="23"/>
          <w:lang w:val="en-GB"/>
        </w:rPr>
        <w:t xml:space="preserve">key themes and findings </w:t>
      </w:r>
      <w:r>
        <w:rPr>
          <w:rFonts w:asciiTheme="majorHAnsi" w:eastAsia="Calibri" w:hAnsiTheme="majorHAnsi" w:cstheme="majorHAnsi"/>
          <w:sz w:val="23"/>
          <w:szCs w:val="23"/>
          <w:lang w:val="en-GB"/>
        </w:rPr>
        <w:t>from</w:t>
      </w:r>
      <w:r w:rsidR="00711598">
        <w:rPr>
          <w:rFonts w:asciiTheme="majorHAnsi" w:eastAsia="Calibri" w:hAnsiTheme="majorHAnsi" w:cstheme="majorHAnsi"/>
          <w:sz w:val="23"/>
          <w:szCs w:val="23"/>
          <w:lang w:val="en-GB"/>
        </w:rPr>
        <w:t xml:space="preserve"> the</w:t>
      </w:r>
      <w:r w:rsidR="000D09C8" w:rsidRPr="002B5A72">
        <w:rPr>
          <w:rFonts w:asciiTheme="majorHAnsi" w:eastAsia="Calibri" w:hAnsiTheme="majorHAnsi" w:cstheme="majorHAnsi"/>
          <w:sz w:val="23"/>
          <w:szCs w:val="23"/>
          <w:lang w:val="en-GB"/>
        </w:rPr>
        <w:t xml:space="preserve"> interview data. </w:t>
      </w:r>
      <w:r w:rsidR="00453948">
        <w:rPr>
          <w:rFonts w:asciiTheme="majorHAnsi" w:eastAsia="Calibri" w:hAnsiTheme="majorHAnsi" w:cstheme="majorHAnsi"/>
          <w:sz w:val="23"/>
          <w:szCs w:val="23"/>
          <w:lang w:val="en-GB"/>
        </w:rPr>
        <w:t>This discussion confirmed that the</w:t>
      </w:r>
      <w:r w:rsidR="000D09C8" w:rsidRPr="002B5A72">
        <w:rPr>
          <w:rFonts w:asciiTheme="majorHAnsi" w:eastAsia="Calibri" w:hAnsiTheme="majorHAnsi" w:cstheme="majorHAnsi"/>
          <w:sz w:val="23"/>
          <w:szCs w:val="23"/>
          <w:lang w:val="en-GB"/>
        </w:rPr>
        <w:t xml:space="preserve"> overriding issue was </w:t>
      </w:r>
      <w:r>
        <w:rPr>
          <w:rFonts w:asciiTheme="majorHAnsi" w:eastAsia="Calibri" w:hAnsiTheme="majorHAnsi" w:cstheme="majorHAnsi"/>
          <w:sz w:val="23"/>
          <w:szCs w:val="23"/>
          <w:lang w:val="en-GB"/>
        </w:rPr>
        <w:t>the need for the communities in question to</w:t>
      </w:r>
      <w:r w:rsidR="000D09C8" w:rsidRPr="002B5A72">
        <w:rPr>
          <w:rFonts w:asciiTheme="majorHAnsi" w:eastAsia="Calibri" w:hAnsiTheme="majorHAnsi" w:cstheme="majorHAnsi"/>
          <w:sz w:val="23"/>
          <w:szCs w:val="23"/>
          <w:lang w:val="en-GB"/>
        </w:rPr>
        <w:t xml:space="preserve"> be trusted, respected</w:t>
      </w:r>
      <w:r>
        <w:rPr>
          <w:rFonts w:asciiTheme="majorHAnsi" w:eastAsia="Calibri" w:hAnsiTheme="majorHAnsi" w:cstheme="majorHAnsi"/>
          <w:sz w:val="23"/>
          <w:szCs w:val="23"/>
          <w:lang w:val="en-GB"/>
        </w:rPr>
        <w:t>,</w:t>
      </w:r>
      <w:r w:rsidR="000D09C8" w:rsidRPr="002B5A72">
        <w:rPr>
          <w:rFonts w:asciiTheme="majorHAnsi" w:eastAsia="Calibri" w:hAnsiTheme="majorHAnsi" w:cstheme="majorHAnsi"/>
          <w:sz w:val="23"/>
          <w:szCs w:val="23"/>
          <w:lang w:val="en-GB"/>
        </w:rPr>
        <w:t xml:space="preserve"> and listened to</w:t>
      </w:r>
      <w:r w:rsidR="00453948">
        <w:rPr>
          <w:rFonts w:asciiTheme="majorHAnsi" w:eastAsia="Calibri" w:hAnsiTheme="majorHAnsi" w:cstheme="majorHAnsi"/>
          <w:sz w:val="23"/>
          <w:szCs w:val="23"/>
          <w:lang w:val="en-GB"/>
        </w:rPr>
        <w:t>, and for community members to be granted genuine agency to guide the development of any future initiatives</w:t>
      </w:r>
      <w:r>
        <w:rPr>
          <w:rFonts w:asciiTheme="majorHAnsi" w:eastAsia="Calibri" w:hAnsiTheme="majorHAnsi" w:cstheme="majorHAnsi"/>
          <w:sz w:val="23"/>
          <w:szCs w:val="23"/>
          <w:lang w:val="en-GB"/>
        </w:rPr>
        <w:t xml:space="preserve">. </w:t>
      </w:r>
      <w:r w:rsidR="00453948">
        <w:rPr>
          <w:rFonts w:asciiTheme="majorHAnsi" w:eastAsia="Calibri" w:hAnsiTheme="majorHAnsi" w:cstheme="majorHAnsi"/>
          <w:sz w:val="23"/>
          <w:szCs w:val="23"/>
          <w:lang w:val="en-GB"/>
        </w:rPr>
        <w:t xml:space="preserve">Unanimously, this approach was seen as the fundamental first step before further action is taken. </w:t>
      </w:r>
      <w:r>
        <w:rPr>
          <w:rFonts w:asciiTheme="majorHAnsi" w:eastAsia="Calibri" w:hAnsiTheme="majorHAnsi" w:cstheme="majorHAnsi"/>
          <w:sz w:val="23"/>
          <w:szCs w:val="23"/>
          <w:lang w:val="en-GB"/>
        </w:rPr>
        <w:t xml:space="preserve">As they stated, </w:t>
      </w:r>
      <w:r w:rsidR="000D09C8" w:rsidRPr="002B5A72">
        <w:rPr>
          <w:rFonts w:asciiTheme="majorHAnsi" w:eastAsia="Calibri" w:hAnsiTheme="majorHAnsi" w:cstheme="majorHAnsi"/>
          <w:sz w:val="23"/>
          <w:szCs w:val="23"/>
          <w:lang w:val="en-GB"/>
        </w:rPr>
        <w:t>“</w:t>
      </w:r>
      <w:r>
        <w:rPr>
          <w:rFonts w:asciiTheme="majorHAnsi" w:eastAsia="Calibri" w:hAnsiTheme="majorHAnsi" w:cstheme="majorHAnsi"/>
          <w:sz w:val="23"/>
          <w:szCs w:val="23"/>
          <w:lang w:val="en-GB"/>
        </w:rPr>
        <w:t>T</w:t>
      </w:r>
      <w:r w:rsidR="000D09C8" w:rsidRPr="002B5A72">
        <w:rPr>
          <w:rFonts w:asciiTheme="majorHAnsi" w:eastAsia="Calibri" w:hAnsiTheme="majorHAnsi" w:cstheme="majorHAnsi"/>
          <w:sz w:val="23"/>
          <w:szCs w:val="23"/>
          <w:lang w:val="en-GB"/>
        </w:rPr>
        <w:t xml:space="preserve">he community has the answers.” Some quotes </w:t>
      </w:r>
      <w:r>
        <w:rPr>
          <w:rFonts w:asciiTheme="majorHAnsi" w:eastAsia="Calibri" w:hAnsiTheme="majorHAnsi" w:cstheme="majorHAnsi"/>
          <w:sz w:val="23"/>
          <w:szCs w:val="23"/>
          <w:lang w:val="en-GB"/>
        </w:rPr>
        <w:t xml:space="preserve">derived </w:t>
      </w:r>
      <w:r w:rsidR="000D09C8" w:rsidRPr="002B5A72">
        <w:rPr>
          <w:rFonts w:asciiTheme="majorHAnsi" w:eastAsia="Calibri" w:hAnsiTheme="majorHAnsi" w:cstheme="majorHAnsi"/>
          <w:sz w:val="23"/>
          <w:szCs w:val="23"/>
          <w:lang w:val="en-GB"/>
        </w:rPr>
        <w:t>from the interviews confirm and enlarge</w:t>
      </w:r>
      <w:r>
        <w:rPr>
          <w:rFonts w:asciiTheme="majorHAnsi" w:eastAsia="Calibri" w:hAnsiTheme="majorHAnsi" w:cstheme="majorHAnsi"/>
          <w:sz w:val="23"/>
          <w:szCs w:val="23"/>
          <w:lang w:val="en-GB"/>
        </w:rPr>
        <w:t xml:space="preserve"> upon</w:t>
      </w:r>
      <w:r w:rsidR="000D09C8" w:rsidRPr="002B5A72">
        <w:rPr>
          <w:rFonts w:asciiTheme="majorHAnsi" w:eastAsia="Calibri" w:hAnsiTheme="majorHAnsi" w:cstheme="majorHAnsi"/>
          <w:sz w:val="23"/>
          <w:szCs w:val="23"/>
          <w:lang w:val="en-GB"/>
        </w:rPr>
        <w:t xml:space="preserve"> on this point:</w:t>
      </w:r>
    </w:p>
    <w:p w14:paraId="14AC9801" w14:textId="77777777" w:rsidR="000D09C8" w:rsidRPr="00F63A9F" w:rsidRDefault="000D09C8" w:rsidP="00467053">
      <w:pPr>
        <w:spacing w:line="276" w:lineRule="auto"/>
        <w:ind w:firstLine="720"/>
        <w:rPr>
          <w:rFonts w:asciiTheme="majorHAnsi" w:eastAsia="Calibri" w:hAnsiTheme="majorHAnsi" w:cstheme="majorHAnsi"/>
          <w:sz w:val="23"/>
          <w:szCs w:val="23"/>
          <w:lang w:val="en-GB"/>
        </w:rPr>
      </w:pPr>
      <w:r w:rsidRPr="00F63A9F">
        <w:rPr>
          <w:rFonts w:asciiTheme="majorHAnsi" w:eastAsia="Calibri" w:hAnsiTheme="majorHAnsi" w:cstheme="majorHAnsi"/>
          <w:sz w:val="23"/>
          <w:szCs w:val="23"/>
          <w:lang w:val="en-GB"/>
        </w:rPr>
        <w:t xml:space="preserve">People are really sick of talking and not being heard. Something has to happen afterwards – not </w:t>
      </w:r>
      <w:r w:rsidRPr="00F63A9F">
        <w:rPr>
          <w:rFonts w:asciiTheme="majorHAnsi" w:eastAsia="Calibri" w:hAnsiTheme="majorHAnsi" w:cstheme="majorHAnsi"/>
          <w:sz w:val="23"/>
          <w:szCs w:val="23"/>
          <w:lang w:val="en-GB"/>
        </w:rPr>
        <w:tab/>
        <w:t>just another talkfest, then nothing happens. There has to be an outcome. A real outcome.</w:t>
      </w:r>
    </w:p>
    <w:p w14:paraId="3C501A15" w14:textId="612312C9" w:rsidR="000D09C8" w:rsidRPr="00F63A9F" w:rsidRDefault="000D09C8" w:rsidP="00467053">
      <w:pPr>
        <w:spacing w:line="276" w:lineRule="auto"/>
        <w:ind w:firstLine="720"/>
        <w:rPr>
          <w:rFonts w:asciiTheme="majorHAnsi" w:eastAsia="Calibri" w:hAnsiTheme="majorHAnsi" w:cstheme="majorHAnsi"/>
          <w:sz w:val="23"/>
          <w:szCs w:val="23"/>
          <w:lang w:val="en-GB"/>
        </w:rPr>
      </w:pPr>
      <w:r w:rsidRPr="00F63A9F">
        <w:rPr>
          <w:rFonts w:asciiTheme="majorHAnsi" w:eastAsia="Calibri" w:hAnsiTheme="majorHAnsi" w:cstheme="majorHAnsi"/>
          <w:sz w:val="23"/>
          <w:szCs w:val="23"/>
          <w:lang w:val="en-GB"/>
        </w:rPr>
        <w:t>Long-term planning needs to be more of a priority</w:t>
      </w:r>
      <w:r w:rsidR="00F63A9F">
        <w:rPr>
          <w:rFonts w:asciiTheme="majorHAnsi" w:eastAsia="Calibri" w:hAnsiTheme="majorHAnsi" w:cstheme="majorHAnsi"/>
          <w:sz w:val="23"/>
          <w:szCs w:val="23"/>
          <w:lang w:val="en-GB"/>
        </w:rPr>
        <w:t>.</w:t>
      </w:r>
    </w:p>
    <w:p w14:paraId="6F407CA3" w14:textId="23590DB3" w:rsidR="00825402" w:rsidRDefault="000D09C8" w:rsidP="701B9583">
      <w:pPr>
        <w:spacing w:line="276" w:lineRule="auto"/>
        <w:ind w:firstLine="720"/>
        <w:rPr>
          <w:rFonts w:asciiTheme="majorHAnsi" w:eastAsia="Calibri" w:hAnsiTheme="majorHAnsi" w:cstheme="majorBidi"/>
          <w:sz w:val="23"/>
          <w:szCs w:val="23"/>
          <w:lang w:val="en-GB"/>
        </w:rPr>
      </w:pPr>
      <w:r w:rsidRPr="701B9583">
        <w:rPr>
          <w:rFonts w:asciiTheme="majorHAnsi" w:eastAsia="Calibri" w:hAnsiTheme="majorHAnsi" w:cstheme="majorBidi"/>
          <w:sz w:val="23"/>
          <w:szCs w:val="23"/>
          <w:lang w:val="en-GB"/>
        </w:rPr>
        <w:t xml:space="preserve">Investing in the community gives a sense of pride…Change the narrative of the place from being </w:t>
      </w:r>
      <w:r>
        <w:tab/>
      </w:r>
      <w:r w:rsidRPr="701B9583">
        <w:rPr>
          <w:rFonts w:asciiTheme="majorHAnsi" w:eastAsia="Calibri" w:hAnsiTheme="majorHAnsi" w:cstheme="majorBidi"/>
          <w:sz w:val="23"/>
          <w:szCs w:val="23"/>
          <w:lang w:val="en-GB"/>
        </w:rPr>
        <w:t>run-down and bereft…give it a better sense of self.</w:t>
      </w:r>
    </w:p>
    <w:p w14:paraId="3B21EFB2" w14:textId="11867B9A" w:rsidR="000D09C8" w:rsidRPr="008D58FE" w:rsidRDefault="000D09C8" w:rsidP="00467053">
      <w:pPr>
        <w:spacing w:line="276" w:lineRule="auto"/>
        <w:rPr>
          <w:rFonts w:asciiTheme="majorHAnsi" w:hAnsiTheme="majorHAnsi" w:cstheme="majorBidi"/>
          <w:sz w:val="23"/>
          <w:szCs w:val="23"/>
          <w:lang w:val="en-GB"/>
        </w:rPr>
      </w:pPr>
      <w:r w:rsidRPr="766E2159">
        <w:rPr>
          <w:rFonts w:asciiTheme="majorHAnsi" w:hAnsiTheme="majorHAnsi" w:cstheme="majorBidi"/>
          <w:sz w:val="23"/>
          <w:szCs w:val="23"/>
          <w:lang w:val="en-GB"/>
        </w:rPr>
        <w:t xml:space="preserve">Next, the group addressed </w:t>
      </w:r>
      <w:r w:rsidR="00453948">
        <w:rPr>
          <w:rFonts w:asciiTheme="majorHAnsi" w:hAnsiTheme="majorHAnsi" w:cstheme="majorBidi"/>
          <w:sz w:val="23"/>
          <w:szCs w:val="23"/>
          <w:lang w:val="en-GB"/>
        </w:rPr>
        <w:t xml:space="preserve">the </w:t>
      </w:r>
      <w:r w:rsidRPr="766E2159">
        <w:rPr>
          <w:rFonts w:asciiTheme="majorHAnsi" w:hAnsiTheme="majorHAnsi" w:cstheme="majorBidi"/>
          <w:sz w:val="23"/>
          <w:szCs w:val="23"/>
          <w:lang w:val="en-GB"/>
        </w:rPr>
        <w:t xml:space="preserve">four </w:t>
      </w:r>
      <w:r w:rsidR="00453948">
        <w:rPr>
          <w:rFonts w:asciiTheme="majorHAnsi" w:hAnsiTheme="majorHAnsi" w:cstheme="majorBidi"/>
          <w:sz w:val="23"/>
          <w:szCs w:val="23"/>
          <w:lang w:val="en-GB"/>
        </w:rPr>
        <w:t xml:space="preserve">central </w:t>
      </w:r>
      <w:r w:rsidRPr="766E2159">
        <w:rPr>
          <w:rFonts w:asciiTheme="majorHAnsi" w:hAnsiTheme="majorHAnsi" w:cstheme="majorBidi"/>
          <w:sz w:val="23"/>
          <w:szCs w:val="23"/>
          <w:lang w:val="en-GB"/>
        </w:rPr>
        <w:t>questions</w:t>
      </w:r>
      <w:r w:rsidR="00453948">
        <w:rPr>
          <w:rFonts w:asciiTheme="majorHAnsi" w:hAnsiTheme="majorHAnsi" w:cstheme="majorBidi"/>
          <w:sz w:val="23"/>
          <w:szCs w:val="23"/>
          <w:lang w:val="en-GB"/>
        </w:rPr>
        <w:t xml:space="preserve"> in turn</w:t>
      </w:r>
      <w:r w:rsidRPr="766E2159">
        <w:rPr>
          <w:rFonts w:asciiTheme="majorHAnsi" w:hAnsiTheme="majorHAnsi" w:cstheme="majorBidi"/>
          <w:sz w:val="23"/>
          <w:szCs w:val="23"/>
          <w:lang w:val="en-GB"/>
        </w:rPr>
        <w:t>.</w:t>
      </w:r>
      <w:r w:rsidR="00453948">
        <w:rPr>
          <w:rFonts w:asciiTheme="majorHAnsi" w:hAnsiTheme="majorHAnsi" w:cstheme="majorBidi"/>
          <w:sz w:val="23"/>
          <w:szCs w:val="23"/>
          <w:lang w:val="en-GB"/>
        </w:rPr>
        <w:t xml:space="preserve"> Key points arising from these discussions are outlined below.</w:t>
      </w:r>
    </w:p>
    <w:p w14:paraId="1FF55D54" w14:textId="1260C2D7" w:rsidR="000D09C8" w:rsidRPr="002108E0" w:rsidRDefault="000D09C8" w:rsidP="00467053">
      <w:pPr>
        <w:spacing w:line="276" w:lineRule="auto"/>
        <w:rPr>
          <w:rFonts w:cstheme="minorHAnsi"/>
          <w:b/>
          <w:bCs/>
          <w:color w:val="2F5496" w:themeColor="accent1" w:themeShade="BF"/>
          <w:sz w:val="25"/>
          <w:szCs w:val="25"/>
        </w:rPr>
      </w:pPr>
      <w:r w:rsidRPr="002108E0">
        <w:rPr>
          <w:rFonts w:cstheme="minorHAnsi"/>
          <w:b/>
          <w:bCs/>
          <w:color w:val="2F5496" w:themeColor="accent1" w:themeShade="BF"/>
          <w:sz w:val="25"/>
          <w:szCs w:val="25"/>
          <w:lang w:val="en-GB"/>
        </w:rPr>
        <w:lastRenderedPageBreak/>
        <w:t>Question 1:</w:t>
      </w:r>
      <w:r w:rsidRPr="002108E0">
        <w:rPr>
          <w:rFonts w:cstheme="minorHAnsi"/>
          <w:b/>
          <w:bCs/>
          <w:color w:val="2F5496" w:themeColor="accent1" w:themeShade="BF"/>
          <w:sz w:val="25"/>
          <w:szCs w:val="25"/>
        </w:rPr>
        <w:t xml:space="preserve"> In the light of the issues identified </w:t>
      </w:r>
      <w:r w:rsidR="00453948" w:rsidRPr="002108E0">
        <w:rPr>
          <w:rFonts w:cstheme="minorHAnsi"/>
          <w:b/>
          <w:bCs/>
          <w:color w:val="2F5496" w:themeColor="accent1" w:themeShade="BF"/>
          <w:sz w:val="25"/>
          <w:szCs w:val="25"/>
        </w:rPr>
        <w:t xml:space="preserve">in the interviews, and </w:t>
      </w:r>
      <w:r w:rsidR="008E492E" w:rsidRPr="002108E0">
        <w:rPr>
          <w:rFonts w:cstheme="minorHAnsi"/>
          <w:b/>
          <w:bCs/>
          <w:color w:val="2F5496" w:themeColor="accent1" w:themeShade="BF"/>
          <w:sz w:val="25"/>
          <w:szCs w:val="25"/>
        </w:rPr>
        <w:t>your</w:t>
      </w:r>
      <w:r w:rsidR="00453948" w:rsidRPr="002108E0">
        <w:rPr>
          <w:rFonts w:cstheme="minorHAnsi"/>
          <w:b/>
          <w:bCs/>
          <w:color w:val="2F5496" w:themeColor="accent1" w:themeShade="BF"/>
          <w:sz w:val="25"/>
          <w:szCs w:val="25"/>
        </w:rPr>
        <w:t xml:space="preserve"> suggested</w:t>
      </w:r>
      <w:r w:rsidRPr="002108E0">
        <w:rPr>
          <w:rFonts w:cstheme="minorHAnsi"/>
          <w:b/>
          <w:bCs/>
          <w:color w:val="2F5496" w:themeColor="accent1" w:themeShade="BF"/>
          <w:sz w:val="25"/>
          <w:szCs w:val="25"/>
        </w:rPr>
        <w:t xml:space="preserve"> interventions: Are there any other initiatives for improvement that you would like to add?</w:t>
      </w:r>
    </w:p>
    <w:p w14:paraId="230A14F1" w14:textId="50B0E6EC" w:rsidR="000D09C8" w:rsidRPr="00D37619" w:rsidRDefault="00453948" w:rsidP="00467053">
      <w:pPr>
        <w:spacing w:line="276" w:lineRule="auto"/>
        <w:rPr>
          <w:rFonts w:asciiTheme="majorHAnsi" w:eastAsia="Calibri" w:hAnsiTheme="majorHAnsi" w:cstheme="majorHAnsi"/>
          <w:sz w:val="23"/>
          <w:szCs w:val="23"/>
          <w:lang w:val="en-GB"/>
        </w:rPr>
      </w:pPr>
      <w:r>
        <w:rPr>
          <w:rFonts w:asciiTheme="majorHAnsi" w:eastAsia="Calibri" w:hAnsiTheme="majorHAnsi" w:cstheme="majorHAnsi"/>
          <w:sz w:val="23"/>
          <w:szCs w:val="23"/>
          <w:lang w:val="en-GB"/>
        </w:rPr>
        <w:t xml:space="preserve">In response to this question, participants said there was a </w:t>
      </w:r>
      <w:r w:rsidR="008E492E">
        <w:rPr>
          <w:rFonts w:asciiTheme="majorHAnsi" w:eastAsia="Calibri" w:hAnsiTheme="majorHAnsi" w:cstheme="majorHAnsi"/>
          <w:sz w:val="23"/>
          <w:szCs w:val="23"/>
          <w:lang w:val="en-GB"/>
        </w:rPr>
        <w:t xml:space="preserve">clear </w:t>
      </w:r>
      <w:r>
        <w:rPr>
          <w:rFonts w:asciiTheme="majorHAnsi" w:eastAsia="Calibri" w:hAnsiTheme="majorHAnsi" w:cstheme="majorHAnsi"/>
          <w:sz w:val="23"/>
          <w:szCs w:val="23"/>
          <w:lang w:val="en-GB"/>
        </w:rPr>
        <w:t>need to</w:t>
      </w:r>
      <w:r w:rsidR="000D09C8" w:rsidRPr="00D37619">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 xml:space="preserve">provide </w:t>
      </w:r>
      <w:r w:rsidR="000D09C8" w:rsidRPr="00D37619">
        <w:rPr>
          <w:rFonts w:asciiTheme="majorHAnsi" w:eastAsia="Calibri" w:hAnsiTheme="majorHAnsi" w:cstheme="majorHAnsi"/>
          <w:sz w:val="23"/>
          <w:szCs w:val="23"/>
          <w:lang w:val="en-GB"/>
        </w:rPr>
        <w:t>services and information</w:t>
      </w:r>
      <w:r>
        <w:rPr>
          <w:rFonts w:asciiTheme="majorHAnsi" w:eastAsia="Calibri" w:hAnsiTheme="majorHAnsi" w:cstheme="majorHAnsi"/>
          <w:sz w:val="23"/>
          <w:szCs w:val="23"/>
          <w:lang w:val="en-GB"/>
        </w:rPr>
        <w:t xml:space="preserve"> “in place”, and</w:t>
      </w:r>
      <w:r w:rsidR="000D09C8" w:rsidRPr="00D37619">
        <w:rPr>
          <w:rFonts w:asciiTheme="majorHAnsi" w:eastAsia="Calibri" w:hAnsiTheme="majorHAnsi" w:cstheme="majorHAnsi"/>
          <w:sz w:val="23"/>
          <w:szCs w:val="23"/>
          <w:lang w:val="en-GB"/>
        </w:rPr>
        <w:t xml:space="preserve"> in a timely and accessible way. As </w:t>
      </w:r>
      <w:r>
        <w:rPr>
          <w:rFonts w:asciiTheme="majorHAnsi" w:eastAsia="Calibri" w:hAnsiTheme="majorHAnsi" w:cstheme="majorHAnsi"/>
          <w:sz w:val="23"/>
          <w:szCs w:val="23"/>
          <w:lang w:val="en-GB"/>
        </w:rPr>
        <w:t>one person</w:t>
      </w:r>
      <w:r w:rsidR="000D09C8" w:rsidRPr="00D37619">
        <w:rPr>
          <w:rFonts w:asciiTheme="majorHAnsi" w:eastAsia="Calibri" w:hAnsiTheme="majorHAnsi" w:cstheme="majorHAnsi"/>
          <w:sz w:val="23"/>
          <w:szCs w:val="23"/>
          <w:lang w:val="en-GB"/>
        </w:rPr>
        <w:t xml:space="preserve"> noted:</w:t>
      </w:r>
    </w:p>
    <w:p w14:paraId="54D22895" w14:textId="43204AF3" w:rsidR="000D09C8" w:rsidRPr="00453948" w:rsidRDefault="008E492E" w:rsidP="00467053">
      <w:pPr>
        <w:spacing w:line="276" w:lineRule="auto"/>
        <w:ind w:left="720"/>
        <w:rPr>
          <w:rFonts w:asciiTheme="majorHAnsi" w:hAnsiTheme="majorHAnsi" w:cstheme="majorBidi"/>
          <w:iCs/>
          <w:sz w:val="23"/>
          <w:szCs w:val="23"/>
        </w:rPr>
      </w:pPr>
      <w:r>
        <w:rPr>
          <w:rFonts w:asciiTheme="majorHAnsi" w:hAnsiTheme="majorHAnsi" w:cstheme="majorBidi"/>
          <w:iCs/>
          <w:sz w:val="23"/>
          <w:szCs w:val="23"/>
        </w:rPr>
        <w:t>S</w:t>
      </w:r>
      <w:r w:rsidR="000D09C8" w:rsidRPr="00453948">
        <w:rPr>
          <w:rFonts w:asciiTheme="majorHAnsi" w:hAnsiTheme="majorHAnsi" w:cstheme="majorBidi"/>
          <w:iCs/>
          <w:sz w:val="23"/>
          <w:szCs w:val="23"/>
        </w:rPr>
        <w:t xml:space="preserve">ometimes getting into </w:t>
      </w:r>
      <w:r>
        <w:rPr>
          <w:rFonts w:asciiTheme="majorHAnsi" w:hAnsiTheme="majorHAnsi" w:cstheme="majorBidi"/>
          <w:iCs/>
          <w:sz w:val="23"/>
          <w:szCs w:val="23"/>
        </w:rPr>
        <w:t xml:space="preserve">[central] </w:t>
      </w:r>
      <w:r w:rsidR="000D09C8" w:rsidRPr="00453948">
        <w:rPr>
          <w:rFonts w:asciiTheme="majorHAnsi" w:hAnsiTheme="majorHAnsi" w:cstheme="majorBidi"/>
          <w:iCs/>
          <w:sz w:val="23"/>
          <w:szCs w:val="23"/>
        </w:rPr>
        <w:t>Geelong can be too big a struggle</w:t>
      </w:r>
      <w:r>
        <w:rPr>
          <w:rFonts w:asciiTheme="majorHAnsi" w:hAnsiTheme="majorHAnsi" w:cstheme="majorBidi"/>
          <w:iCs/>
          <w:sz w:val="23"/>
          <w:szCs w:val="23"/>
        </w:rPr>
        <w:t>,</w:t>
      </w:r>
      <w:r w:rsidR="000D09C8" w:rsidRPr="00453948">
        <w:rPr>
          <w:rFonts w:asciiTheme="majorHAnsi" w:hAnsiTheme="majorHAnsi" w:cstheme="majorBidi"/>
          <w:iCs/>
          <w:sz w:val="23"/>
          <w:szCs w:val="23"/>
        </w:rPr>
        <w:t xml:space="preserve"> for whatever reason. And I just want to highlight the importance of having the place-based support…the importance of community houses</w:t>
      </w:r>
      <w:r>
        <w:rPr>
          <w:rFonts w:asciiTheme="majorHAnsi" w:hAnsiTheme="majorHAnsi" w:cstheme="majorBidi"/>
          <w:iCs/>
          <w:sz w:val="23"/>
          <w:szCs w:val="23"/>
        </w:rPr>
        <w:t>.</w:t>
      </w:r>
      <w:r w:rsidR="000D09C8" w:rsidRPr="00453948">
        <w:rPr>
          <w:rFonts w:asciiTheme="majorHAnsi" w:hAnsiTheme="majorHAnsi" w:cstheme="majorBidi"/>
          <w:iCs/>
          <w:sz w:val="23"/>
          <w:szCs w:val="23"/>
        </w:rPr>
        <w:t xml:space="preserve"> </w:t>
      </w:r>
      <w:r>
        <w:rPr>
          <w:rFonts w:asciiTheme="majorHAnsi" w:hAnsiTheme="majorHAnsi" w:cstheme="majorBidi"/>
          <w:iCs/>
          <w:sz w:val="23"/>
          <w:szCs w:val="23"/>
        </w:rPr>
        <w:t>I</w:t>
      </w:r>
      <w:r w:rsidR="000D09C8" w:rsidRPr="00453948">
        <w:rPr>
          <w:rFonts w:asciiTheme="majorHAnsi" w:hAnsiTheme="majorHAnsi" w:cstheme="majorBidi"/>
          <w:iCs/>
          <w:sz w:val="23"/>
          <w:szCs w:val="23"/>
        </w:rPr>
        <w:t>n the northern suburbs</w:t>
      </w:r>
      <w:r>
        <w:rPr>
          <w:rFonts w:asciiTheme="majorHAnsi" w:hAnsiTheme="majorHAnsi" w:cstheme="majorBidi"/>
          <w:iCs/>
          <w:sz w:val="23"/>
          <w:szCs w:val="23"/>
        </w:rPr>
        <w:t>…</w:t>
      </w:r>
      <w:r w:rsidR="000D09C8" w:rsidRPr="00453948">
        <w:rPr>
          <w:rFonts w:asciiTheme="majorHAnsi" w:hAnsiTheme="majorHAnsi" w:cstheme="majorBidi"/>
          <w:iCs/>
          <w:sz w:val="23"/>
          <w:szCs w:val="23"/>
        </w:rPr>
        <w:t>we know that accessibility</w:t>
      </w:r>
      <w:r>
        <w:rPr>
          <w:rFonts w:asciiTheme="majorHAnsi" w:hAnsiTheme="majorHAnsi" w:cstheme="majorBidi"/>
          <w:iCs/>
          <w:sz w:val="23"/>
          <w:szCs w:val="23"/>
        </w:rPr>
        <w:t xml:space="preserve"> i</w:t>
      </w:r>
      <w:r w:rsidR="000D09C8" w:rsidRPr="00453948">
        <w:rPr>
          <w:rFonts w:asciiTheme="majorHAnsi" w:hAnsiTheme="majorHAnsi" w:cstheme="majorBidi"/>
          <w:iCs/>
          <w:sz w:val="23"/>
          <w:szCs w:val="23"/>
        </w:rPr>
        <w:t>s an issue</w:t>
      </w:r>
      <w:r>
        <w:rPr>
          <w:rFonts w:asciiTheme="majorHAnsi" w:hAnsiTheme="majorHAnsi" w:cstheme="majorBidi"/>
          <w:iCs/>
          <w:sz w:val="23"/>
          <w:szCs w:val="23"/>
        </w:rPr>
        <w:t>. S</w:t>
      </w:r>
      <w:r w:rsidR="000D09C8" w:rsidRPr="00453948">
        <w:rPr>
          <w:rFonts w:asciiTheme="majorHAnsi" w:hAnsiTheme="majorHAnsi" w:cstheme="majorBidi"/>
          <w:iCs/>
          <w:sz w:val="23"/>
          <w:szCs w:val="23"/>
        </w:rPr>
        <w:t>o where are those places in the community where people can connect and get information</w:t>
      </w:r>
      <w:r>
        <w:rPr>
          <w:rFonts w:asciiTheme="majorHAnsi" w:hAnsiTheme="majorHAnsi" w:cstheme="majorBidi"/>
          <w:iCs/>
          <w:sz w:val="23"/>
          <w:szCs w:val="23"/>
        </w:rPr>
        <w:t>,</w:t>
      </w:r>
      <w:r w:rsidR="000D09C8" w:rsidRPr="00453948">
        <w:rPr>
          <w:rFonts w:asciiTheme="majorHAnsi" w:hAnsiTheme="majorHAnsi" w:cstheme="majorBidi"/>
          <w:iCs/>
          <w:sz w:val="23"/>
          <w:szCs w:val="23"/>
        </w:rPr>
        <w:t xml:space="preserve"> as well and get access to services</w:t>
      </w:r>
      <w:r>
        <w:rPr>
          <w:rFonts w:asciiTheme="majorHAnsi" w:hAnsiTheme="majorHAnsi" w:cstheme="majorBidi"/>
          <w:iCs/>
          <w:sz w:val="23"/>
          <w:szCs w:val="23"/>
        </w:rPr>
        <w:t>?</w:t>
      </w:r>
    </w:p>
    <w:p w14:paraId="1D6BBD77" w14:textId="77E66C13" w:rsidR="000D09C8" w:rsidRDefault="000D09C8" w:rsidP="00467053">
      <w:pPr>
        <w:spacing w:line="276" w:lineRule="auto"/>
        <w:rPr>
          <w:rFonts w:asciiTheme="majorHAnsi" w:eastAsia="Calibri" w:hAnsiTheme="majorHAnsi" w:cstheme="majorHAnsi"/>
          <w:sz w:val="23"/>
          <w:szCs w:val="23"/>
          <w:lang w:val="en-GB"/>
        </w:rPr>
      </w:pPr>
      <w:r w:rsidRPr="00D37619">
        <w:rPr>
          <w:rFonts w:asciiTheme="majorHAnsi" w:eastAsia="Calibri" w:hAnsiTheme="majorHAnsi" w:cstheme="majorHAnsi"/>
          <w:sz w:val="23"/>
          <w:szCs w:val="23"/>
          <w:lang w:val="en-GB"/>
        </w:rPr>
        <w:t xml:space="preserve">Others </w:t>
      </w:r>
      <w:r w:rsidR="008E492E">
        <w:rPr>
          <w:rFonts w:asciiTheme="majorHAnsi" w:eastAsia="Calibri" w:hAnsiTheme="majorHAnsi" w:cstheme="majorHAnsi"/>
          <w:sz w:val="23"/>
          <w:szCs w:val="23"/>
          <w:lang w:val="en-GB"/>
        </w:rPr>
        <w:t>expanded on th</w:t>
      </w:r>
      <w:r w:rsidRPr="00D37619">
        <w:rPr>
          <w:rFonts w:asciiTheme="majorHAnsi" w:eastAsia="Calibri" w:hAnsiTheme="majorHAnsi" w:cstheme="majorHAnsi"/>
          <w:sz w:val="23"/>
          <w:szCs w:val="23"/>
          <w:lang w:val="en-GB"/>
        </w:rPr>
        <w:t xml:space="preserve">e point that </w:t>
      </w:r>
      <w:r w:rsidR="008E492E">
        <w:rPr>
          <w:rFonts w:asciiTheme="majorHAnsi" w:eastAsia="Calibri" w:hAnsiTheme="majorHAnsi" w:cstheme="majorHAnsi"/>
          <w:sz w:val="23"/>
          <w:szCs w:val="23"/>
          <w:lang w:val="en-GB"/>
        </w:rPr>
        <w:t>there had been multiple prior</w:t>
      </w:r>
      <w:r w:rsidRPr="00D37619">
        <w:rPr>
          <w:rFonts w:asciiTheme="majorHAnsi" w:eastAsia="Calibri" w:hAnsiTheme="majorHAnsi" w:cstheme="majorHAnsi"/>
          <w:sz w:val="23"/>
          <w:szCs w:val="23"/>
          <w:lang w:val="en-GB"/>
        </w:rPr>
        <w:t xml:space="preserve"> studies and engagements </w:t>
      </w:r>
      <w:r w:rsidR="008E492E">
        <w:rPr>
          <w:rFonts w:asciiTheme="majorHAnsi" w:eastAsia="Calibri" w:hAnsiTheme="majorHAnsi" w:cstheme="majorHAnsi"/>
          <w:sz w:val="23"/>
          <w:szCs w:val="23"/>
          <w:lang w:val="en-GB"/>
        </w:rPr>
        <w:t>carried out in these communities</w:t>
      </w:r>
      <w:r w:rsidRPr="00D37619">
        <w:rPr>
          <w:rFonts w:asciiTheme="majorHAnsi" w:eastAsia="Calibri" w:hAnsiTheme="majorHAnsi" w:cstheme="majorHAnsi"/>
          <w:sz w:val="23"/>
          <w:szCs w:val="23"/>
          <w:lang w:val="en-GB"/>
        </w:rPr>
        <w:t>, with</w:t>
      </w:r>
      <w:r w:rsidR="008E492E">
        <w:rPr>
          <w:rFonts w:asciiTheme="majorHAnsi" w:eastAsia="Calibri" w:hAnsiTheme="majorHAnsi" w:cstheme="majorHAnsi"/>
          <w:sz w:val="23"/>
          <w:szCs w:val="23"/>
          <w:lang w:val="en-GB"/>
        </w:rPr>
        <w:t xml:space="preserve"> mixed results –</w:t>
      </w:r>
      <w:r w:rsidRPr="00D37619">
        <w:rPr>
          <w:rFonts w:asciiTheme="majorHAnsi" w:eastAsia="Calibri" w:hAnsiTheme="majorHAnsi" w:cstheme="majorHAnsi"/>
          <w:sz w:val="23"/>
          <w:szCs w:val="23"/>
          <w:lang w:val="en-GB"/>
        </w:rPr>
        <w:t xml:space="preserve"> </w:t>
      </w:r>
      <w:r w:rsidR="008E492E">
        <w:rPr>
          <w:rFonts w:asciiTheme="majorHAnsi" w:eastAsia="Calibri" w:hAnsiTheme="majorHAnsi" w:cstheme="majorHAnsi"/>
          <w:sz w:val="23"/>
          <w:szCs w:val="23"/>
          <w:lang w:val="en-GB"/>
        </w:rPr>
        <w:t>some</w:t>
      </w:r>
      <w:r w:rsidRPr="00D37619">
        <w:rPr>
          <w:rFonts w:asciiTheme="majorHAnsi" w:eastAsia="Calibri" w:hAnsiTheme="majorHAnsi" w:cstheme="majorHAnsi"/>
          <w:sz w:val="23"/>
          <w:szCs w:val="23"/>
          <w:lang w:val="en-GB"/>
        </w:rPr>
        <w:t xml:space="preserve"> good </w:t>
      </w:r>
      <w:r w:rsidR="008E492E">
        <w:rPr>
          <w:rFonts w:asciiTheme="majorHAnsi" w:eastAsia="Calibri" w:hAnsiTheme="majorHAnsi" w:cstheme="majorHAnsi"/>
          <w:sz w:val="23"/>
          <w:szCs w:val="23"/>
          <w:lang w:val="en-GB"/>
        </w:rPr>
        <w:t xml:space="preserve">programs </w:t>
      </w:r>
      <w:r w:rsidRPr="00D37619">
        <w:rPr>
          <w:rFonts w:asciiTheme="majorHAnsi" w:eastAsia="Calibri" w:hAnsiTheme="majorHAnsi" w:cstheme="majorHAnsi"/>
          <w:sz w:val="23"/>
          <w:szCs w:val="23"/>
          <w:lang w:val="en-GB"/>
        </w:rPr>
        <w:t>(such as Barwon Health North)</w:t>
      </w:r>
      <w:r w:rsidR="008E492E">
        <w:rPr>
          <w:rFonts w:asciiTheme="majorHAnsi" w:eastAsia="Calibri" w:hAnsiTheme="majorHAnsi" w:cstheme="majorHAnsi"/>
          <w:sz w:val="23"/>
          <w:szCs w:val="23"/>
          <w:lang w:val="en-GB"/>
        </w:rPr>
        <w:t xml:space="preserve">, and others that were not </w:t>
      </w:r>
      <w:r w:rsidRPr="00D37619">
        <w:rPr>
          <w:rFonts w:asciiTheme="majorHAnsi" w:eastAsia="Calibri" w:hAnsiTheme="majorHAnsi" w:cstheme="majorHAnsi"/>
          <w:sz w:val="23"/>
          <w:szCs w:val="23"/>
          <w:lang w:val="en-GB"/>
        </w:rPr>
        <w:t xml:space="preserve">realised. </w:t>
      </w:r>
      <w:r w:rsidR="008E492E">
        <w:rPr>
          <w:rFonts w:asciiTheme="majorHAnsi" w:eastAsia="Calibri" w:hAnsiTheme="majorHAnsi" w:cstheme="majorHAnsi"/>
          <w:sz w:val="23"/>
          <w:szCs w:val="23"/>
          <w:lang w:val="en-GB"/>
        </w:rPr>
        <w:t>Two</w:t>
      </w:r>
      <w:r w:rsidRPr="00D37619">
        <w:rPr>
          <w:rFonts w:asciiTheme="majorHAnsi" w:eastAsia="Calibri" w:hAnsiTheme="majorHAnsi" w:cstheme="majorHAnsi"/>
          <w:sz w:val="23"/>
          <w:szCs w:val="23"/>
          <w:lang w:val="en-GB"/>
        </w:rPr>
        <w:t xml:space="preserve"> points</w:t>
      </w:r>
      <w:r w:rsidR="008E492E">
        <w:rPr>
          <w:rFonts w:asciiTheme="majorHAnsi" w:eastAsia="Calibri" w:hAnsiTheme="majorHAnsi" w:cstheme="majorHAnsi"/>
          <w:sz w:val="23"/>
          <w:szCs w:val="23"/>
          <w:lang w:val="en-GB"/>
        </w:rPr>
        <w:t xml:space="preserve"> were</w:t>
      </w:r>
      <w:r w:rsidRPr="00D37619">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stressed here:</w:t>
      </w:r>
    </w:p>
    <w:p w14:paraId="49502FD5" w14:textId="5801563B" w:rsidR="000D09C8" w:rsidRPr="008E492E" w:rsidRDefault="008E492E" w:rsidP="00467053">
      <w:pPr>
        <w:pStyle w:val="ListParagraph"/>
        <w:numPr>
          <w:ilvl w:val="0"/>
          <w:numId w:val="70"/>
        </w:numPr>
        <w:spacing w:line="276" w:lineRule="auto"/>
        <w:rPr>
          <w:rFonts w:asciiTheme="majorHAnsi" w:eastAsia="Calibri" w:hAnsiTheme="majorHAnsi" w:cstheme="majorBidi"/>
          <w:sz w:val="23"/>
          <w:szCs w:val="23"/>
          <w:lang w:val="en-GB"/>
        </w:rPr>
      </w:pPr>
      <w:r w:rsidRPr="008E492E">
        <w:rPr>
          <w:rFonts w:asciiTheme="majorHAnsi" w:eastAsia="Calibri" w:hAnsiTheme="majorHAnsi" w:cstheme="majorBidi"/>
          <w:sz w:val="23"/>
          <w:szCs w:val="23"/>
          <w:lang w:val="en-GB"/>
        </w:rPr>
        <w:t>A</w:t>
      </w:r>
      <w:r w:rsidR="000D09C8" w:rsidRPr="008E492E">
        <w:rPr>
          <w:rFonts w:asciiTheme="majorHAnsi" w:eastAsia="Calibri" w:hAnsiTheme="majorHAnsi" w:cstheme="majorBidi"/>
          <w:sz w:val="23"/>
          <w:szCs w:val="23"/>
          <w:lang w:val="en-GB"/>
        </w:rPr>
        <w:t xml:space="preserve"> </w:t>
      </w:r>
      <w:r w:rsidRPr="008E492E">
        <w:rPr>
          <w:rFonts w:asciiTheme="majorHAnsi" w:eastAsia="Calibri" w:hAnsiTheme="majorHAnsi" w:cstheme="majorBidi"/>
          <w:sz w:val="23"/>
          <w:szCs w:val="23"/>
          <w:lang w:val="en-GB"/>
        </w:rPr>
        <w:t xml:space="preserve">community </w:t>
      </w:r>
      <w:r w:rsidR="000D09C8" w:rsidRPr="008E492E">
        <w:rPr>
          <w:rFonts w:asciiTheme="majorHAnsi" w:eastAsia="Calibri" w:hAnsiTheme="majorHAnsi" w:cstheme="majorBidi"/>
          <w:sz w:val="23"/>
          <w:szCs w:val="23"/>
          <w:lang w:val="en-GB"/>
        </w:rPr>
        <w:t xml:space="preserve">consultation </w:t>
      </w:r>
      <w:r w:rsidRPr="008E492E">
        <w:rPr>
          <w:rFonts w:asciiTheme="majorHAnsi" w:eastAsia="Calibri" w:hAnsiTheme="majorHAnsi" w:cstheme="majorBidi"/>
          <w:sz w:val="23"/>
          <w:szCs w:val="23"/>
          <w:lang w:val="en-GB"/>
        </w:rPr>
        <w:t>and engagement process undertaken</w:t>
      </w:r>
      <w:r w:rsidR="000D09C8" w:rsidRPr="008E492E">
        <w:rPr>
          <w:rFonts w:asciiTheme="majorHAnsi" w:eastAsia="Calibri" w:hAnsiTheme="majorHAnsi" w:cstheme="majorBidi"/>
          <w:sz w:val="23"/>
          <w:szCs w:val="23"/>
          <w:lang w:val="en-GB"/>
        </w:rPr>
        <w:t xml:space="preserve"> some years ago (</w:t>
      </w:r>
      <w:r>
        <w:rPr>
          <w:rFonts w:asciiTheme="majorHAnsi" w:eastAsia="Calibri" w:hAnsiTheme="majorHAnsi" w:cstheme="majorBidi"/>
          <w:sz w:val="23"/>
          <w:szCs w:val="23"/>
          <w:lang w:val="en-GB"/>
        </w:rPr>
        <w:t>“</w:t>
      </w:r>
      <w:r w:rsidR="000D09C8" w:rsidRPr="008E492E">
        <w:rPr>
          <w:rFonts w:asciiTheme="majorHAnsi" w:eastAsia="Calibri" w:hAnsiTheme="majorHAnsi" w:cstheme="majorBidi"/>
          <w:sz w:val="23"/>
          <w:szCs w:val="23"/>
          <w:lang w:val="en-GB"/>
        </w:rPr>
        <w:t>Inquiry by Design</w:t>
      </w:r>
      <w:r>
        <w:rPr>
          <w:rFonts w:asciiTheme="majorHAnsi" w:eastAsia="Calibri" w:hAnsiTheme="majorHAnsi" w:cstheme="majorBidi"/>
          <w:sz w:val="23"/>
          <w:szCs w:val="23"/>
          <w:lang w:val="en-GB"/>
        </w:rPr>
        <w:t>”</w:t>
      </w:r>
      <w:r w:rsidR="000D09C8" w:rsidRPr="008E492E">
        <w:rPr>
          <w:rFonts w:asciiTheme="majorHAnsi" w:eastAsia="Calibri" w:hAnsiTheme="majorHAnsi" w:cstheme="majorBidi"/>
          <w:sz w:val="23"/>
          <w:szCs w:val="23"/>
          <w:lang w:val="en-GB"/>
        </w:rPr>
        <w:t xml:space="preserve">) was seen as inclusive and </w:t>
      </w:r>
      <w:r w:rsidRPr="008E492E">
        <w:rPr>
          <w:rFonts w:asciiTheme="majorHAnsi" w:eastAsia="Calibri" w:hAnsiTheme="majorHAnsi" w:cstheme="majorBidi"/>
          <w:sz w:val="23"/>
          <w:szCs w:val="23"/>
          <w:lang w:val="en-GB"/>
        </w:rPr>
        <w:t>positive</w:t>
      </w:r>
      <w:r w:rsidR="000D09C8" w:rsidRPr="008E492E">
        <w:rPr>
          <w:rFonts w:asciiTheme="majorHAnsi" w:eastAsia="Calibri" w:hAnsiTheme="majorHAnsi" w:cstheme="majorBidi"/>
          <w:sz w:val="23"/>
          <w:szCs w:val="23"/>
          <w:lang w:val="en-GB"/>
        </w:rPr>
        <w:t>; and</w:t>
      </w:r>
    </w:p>
    <w:p w14:paraId="53F2A361" w14:textId="16550D53" w:rsidR="008E492E" w:rsidRPr="008E492E" w:rsidRDefault="000D09C8" w:rsidP="00467053">
      <w:pPr>
        <w:pStyle w:val="ListParagraph"/>
        <w:numPr>
          <w:ilvl w:val="0"/>
          <w:numId w:val="70"/>
        </w:numPr>
        <w:spacing w:line="276" w:lineRule="auto"/>
        <w:rPr>
          <w:rFonts w:asciiTheme="majorHAnsi" w:eastAsia="Calibri" w:hAnsiTheme="majorHAnsi" w:cstheme="majorHAnsi"/>
          <w:sz w:val="23"/>
          <w:szCs w:val="23"/>
          <w:lang w:val="en-GB"/>
        </w:rPr>
      </w:pPr>
      <w:r w:rsidRPr="008E492E">
        <w:rPr>
          <w:rFonts w:asciiTheme="majorHAnsi" w:eastAsia="Calibri" w:hAnsiTheme="majorHAnsi" w:cstheme="majorHAnsi"/>
          <w:sz w:val="23"/>
          <w:szCs w:val="23"/>
          <w:lang w:val="en-GB"/>
        </w:rPr>
        <w:t>Many of the ideas that came out of that process</w:t>
      </w:r>
      <w:r w:rsidR="008E492E" w:rsidRPr="008E492E">
        <w:rPr>
          <w:rFonts w:asciiTheme="majorHAnsi" w:eastAsia="Calibri" w:hAnsiTheme="majorHAnsi" w:cstheme="majorHAnsi"/>
          <w:sz w:val="23"/>
          <w:szCs w:val="23"/>
          <w:lang w:val="en-GB"/>
        </w:rPr>
        <w:t xml:space="preserve"> – which </w:t>
      </w:r>
      <w:r w:rsidR="008E492E">
        <w:rPr>
          <w:rFonts w:asciiTheme="majorHAnsi" w:eastAsia="Calibri" w:hAnsiTheme="majorHAnsi" w:cstheme="majorHAnsi"/>
          <w:sz w:val="23"/>
          <w:szCs w:val="23"/>
          <w:lang w:val="en-GB"/>
        </w:rPr>
        <w:t>were</w:t>
      </w:r>
      <w:r w:rsidR="008E492E" w:rsidRPr="008E492E">
        <w:rPr>
          <w:rFonts w:asciiTheme="majorHAnsi" w:eastAsia="Calibri" w:hAnsiTheme="majorHAnsi" w:cstheme="majorHAnsi"/>
          <w:sz w:val="23"/>
          <w:szCs w:val="23"/>
          <w:lang w:val="en-GB"/>
        </w:rPr>
        <w:t xml:space="preserve"> distilled</w:t>
      </w:r>
      <w:r w:rsidRPr="008E492E">
        <w:rPr>
          <w:rFonts w:asciiTheme="majorHAnsi" w:eastAsia="Calibri" w:hAnsiTheme="majorHAnsi" w:cstheme="majorHAnsi"/>
          <w:sz w:val="23"/>
          <w:szCs w:val="23"/>
          <w:lang w:val="en-GB"/>
        </w:rPr>
        <w:t xml:space="preserve"> in the Corio-Norlane Structure Plan</w:t>
      </w:r>
      <w:r w:rsidR="008E492E" w:rsidRPr="008E492E">
        <w:rPr>
          <w:rFonts w:asciiTheme="majorHAnsi" w:eastAsia="Calibri" w:hAnsiTheme="majorHAnsi" w:cstheme="majorHAnsi"/>
          <w:sz w:val="23"/>
          <w:szCs w:val="23"/>
          <w:lang w:val="en-GB"/>
        </w:rPr>
        <w:t>,</w:t>
      </w:r>
      <w:r w:rsidRPr="008E492E">
        <w:rPr>
          <w:rFonts w:asciiTheme="majorHAnsi" w:eastAsia="Calibri" w:hAnsiTheme="majorHAnsi" w:cstheme="majorHAnsi"/>
          <w:sz w:val="23"/>
          <w:szCs w:val="23"/>
          <w:lang w:val="en-GB"/>
        </w:rPr>
        <w:t xml:space="preserve"> oversighted by the Corio-Norlane Community Advisory Board (CN-DAB)</w:t>
      </w:r>
      <w:r w:rsidR="008E492E" w:rsidRPr="008E492E">
        <w:rPr>
          <w:rFonts w:asciiTheme="majorHAnsi" w:eastAsia="Calibri" w:hAnsiTheme="majorHAnsi" w:cstheme="majorHAnsi"/>
          <w:sz w:val="23"/>
          <w:szCs w:val="23"/>
          <w:lang w:val="en-GB"/>
        </w:rPr>
        <w:t xml:space="preserve"> –</w:t>
      </w:r>
      <w:r w:rsidRPr="008E492E">
        <w:rPr>
          <w:rFonts w:asciiTheme="majorHAnsi" w:eastAsia="Calibri" w:hAnsiTheme="majorHAnsi" w:cstheme="majorHAnsi"/>
          <w:sz w:val="23"/>
          <w:szCs w:val="23"/>
          <w:lang w:val="en-GB"/>
        </w:rPr>
        <w:t xml:space="preserve"> could be revisited and updated.</w:t>
      </w:r>
    </w:p>
    <w:p w14:paraId="2447E1A9" w14:textId="564298F4" w:rsidR="000D09C8" w:rsidRPr="008E492E" w:rsidRDefault="000D09C8" w:rsidP="00467053">
      <w:pPr>
        <w:spacing w:line="276" w:lineRule="auto"/>
        <w:rPr>
          <w:rFonts w:asciiTheme="majorHAnsi" w:eastAsia="Calibri" w:hAnsiTheme="majorHAnsi" w:cstheme="majorHAnsi"/>
          <w:sz w:val="23"/>
          <w:szCs w:val="23"/>
          <w:lang w:val="en-GB"/>
        </w:rPr>
      </w:pPr>
      <w:r w:rsidRPr="008E492E">
        <w:rPr>
          <w:rFonts w:asciiTheme="majorHAnsi" w:eastAsia="Calibri" w:hAnsiTheme="majorHAnsi" w:cstheme="majorHAnsi"/>
          <w:sz w:val="23"/>
          <w:szCs w:val="23"/>
          <w:lang w:val="en-GB"/>
        </w:rPr>
        <w:t>As one participant observed:</w:t>
      </w:r>
    </w:p>
    <w:p w14:paraId="74A8DDB8" w14:textId="1595EF7B" w:rsidR="000D09C8" w:rsidRPr="008E492E" w:rsidRDefault="008E492E" w:rsidP="00467053">
      <w:pPr>
        <w:spacing w:after="240" w:line="276" w:lineRule="auto"/>
        <w:ind w:left="720"/>
        <w:rPr>
          <w:rFonts w:asciiTheme="majorHAnsi" w:hAnsiTheme="majorHAnsi" w:cstheme="majorHAnsi"/>
          <w:sz w:val="23"/>
          <w:szCs w:val="23"/>
        </w:rPr>
      </w:pPr>
      <w:r>
        <w:rPr>
          <w:rFonts w:asciiTheme="majorHAnsi" w:hAnsiTheme="majorHAnsi" w:cstheme="majorHAnsi"/>
          <w:sz w:val="23"/>
          <w:szCs w:val="23"/>
        </w:rPr>
        <w:t>T</w:t>
      </w:r>
      <w:r w:rsidR="000D09C8" w:rsidRPr="008E492E">
        <w:rPr>
          <w:rFonts w:asciiTheme="majorHAnsi" w:hAnsiTheme="majorHAnsi" w:cstheme="majorHAnsi"/>
          <w:sz w:val="23"/>
          <w:szCs w:val="23"/>
        </w:rPr>
        <w:t>here were some incredible cross-sectoral ideas that were spawned in that document</w:t>
      </w:r>
      <w:r>
        <w:rPr>
          <w:rFonts w:asciiTheme="majorHAnsi" w:hAnsiTheme="majorHAnsi" w:cstheme="majorHAnsi"/>
          <w:sz w:val="23"/>
          <w:szCs w:val="23"/>
        </w:rPr>
        <w:t>,</w:t>
      </w:r>
      <w:r w:rsidR="000D09C8" w:rsidRPr="008E492E">
        <w:rPr>
          <w:rFonts w:asciiTheme="majorHAnsi" w:hAnsiTheme="majorHAnsi" w:cstheme="majorHAnsi"/>
          <w:sz w:val="23"/>
          <w:szCs w:val="23"/>
        </w:rPr>
        <w:t xml:space="preserve"> potentially shovel-ready type ideas to run with at a time where the </w:t>
      </w:r>
      <w:r>
        <w:rPr>
          <w:rFonts w:asciiTheme="majorHAnsi" w:hAnsiTheme="majorHAnsi" w:cstheme="majorHAnsi"/>
          <w:sz w:val="23"/>
          <w:szCs w:val="23"/>
        </w:rPr>
        <w:t>S</w:t>
      </w:r>
      <w:r w:rsidR="000D09C8" w:rsidRPr="008E492E">
        <w:rPr>
          <w:rFonts w:asciiTheme="majorHAnsi" w:hAnsiTheme="majorHAnsi" w:cstheme="majorHAnsi"/>
          <w:sz w:val="23"/>
          <w:szCs w:val="23"/>
        </w:rPr>
        <w:t xml:space="preserve">tate </w:t>
      </w:r>
      <w:r>
        <w:rPr>
          <w:rFonts w:asciiTheme="majorHAnsi" w:hAnsiTheme="majorHAnsi" w:cstheme="majorHAnsi"/>
          <w:sz w:val="23"/>
          <w:szCs w:val="23"/>
        </w:rPr>
        <w:t>G</w:t>
      </w:r>
      <w:r w:rsidR="000D09C8" w:rsidRPr="008E492E">
        <w:rPr>
          <w:rFonts w:asciiTheme="majorHAnsi" w:hAnsiTheme="majorHAnsi" w:cstheme="majorHAnsi"/>
          <w:sz w:val="23"/>
          <w:szCs w:val="23"/>
        </w:rPr>
        <w:t>overnment</w:t>
      </w:r>
      <w:r>
        <w:rPr>
          <w:rFonts w:asciiTheme="majorHAnsi" w:hAnsiTheme="majorHAnsi" w:cstheme="majorHAnsi"/>
          <w:sz w:val="23"/>
          <w:szCs w:val="23"/>
        </w:rPr>
        <w:t xml:space="preserve"> i</w:t>
      </w:r>
      <w:r w:rsidR="000D09C8" w:rsidRPr="008E492E">
        <w:rPr>
          <w:rFonts w:asciiTheme="majorHAnsi" w:hAnsiTheme="majorHAnsi" w:cstheme="majorHAnsi"/>
          <w:sz w:val="23"/>
          <w:szCs w:val="23"/>
        </w:rPr>
        <w:t xml:space="preserve">s trying to hand out money to do job stimulus. I just think it saves having to research some of the things that are actually there. A really nice </w:t>
      </w:r>
      <w:r>
        <w:rPr>
          <w:rFonts w:asciiTheme="majorHAnsi" w:hAnsiTheme="majorHAnsi" w:cstheme="majorHAnsi"/>
          <w:sz w:val="23"/>
          <w:szCs w:val="23"/>
        </w:rPr>
        <w:t>[idea]</w:t>
      </w:r>
      <w:r w:rsidR="000D09C8" w:rsidRPr="008E492E">
        <w:rPr>
          <w:rFonts w:asciiTheme="majorHAnsi" w:hAnsiTheme="majorHAnsi" w:cstheme="majorHAnsi"/>
          <w:sz w:val="23"/>
          <w:szCs w:val="23"/>
        </w:rPr>
        <w:t xml:space="preserve"> might be to just make sure that </w:t>
      </w:r>
      <w:r>
        <w:rPr>
          <w:rFonts w:asciiTheme="majorHAnsi" w:hAnsiTheme="majorHAnsi" w:cstheme="majorHAnsi"/>
          <w:sz w:val="23"/>
          <w:szCs w:val="23"/>
        </w:rPr>
        <w:t>there is still</w:t>
      </w:r>
      <w:r w:rsidR="000D09C8" w:rsidRPr="008E492E">
        <w:rPr>
          <w:rFonts w:asciiTheme="majorHAnsi" w:hAnsiTheme="majorHAnsi" w:cstheme="majorHAnsi"/>
          <w:sz w:val="23"/>
          <w:szCs w:val="23"/>
        </w:rPr>
        <w:t xml:space="preserve"> traction to some of the </w:t>
      </w:r>
      <w:r>
        <w:rPr>
          <w:rFonts w:asciiTheme="majorHAnsi" w:hAnsiTheme="majorHAnsi" w:cstheme="majorHAnsi"/>
          <w:sz w:val="23"/>
          <w:szCs w:val="23"/>
        </w:rPr>
        <w:t>[proposed initiatives]</w:t>
      </w:r>
      <w:r w:rsidR="000D09C8" w:rsidRPr="008E492E">
        <w:rPr>
          <w:rFonts w:asciiTheme="majorHAnsi" w:hAnsiTheme="majorHAnsi" w:cstheme="majorHAnsi"/>
          <w:sz w:val="23"/>
          <w:szCs w:val="23"/>
        </w:rPr>
        <w:t xml:space="preserve"> that were raised what must be close to ten years ago now. </w:t>
      </w:r>
    </w:p>
    <w:p w14:paraId="0D4EC712" w14:textId="77777777" w:rsidR="000D09C8" w:rsidRPr="008D58FE" w:rsidRDefault="000D09C8" w:rsidP="00467053">
      <w:pPr>
        <w:spacing w:line="276" w:lineRule="auto"/>
        <w:rPr>
          <w:rFonts w:asciiTheme="majorHAnsi" w:hAnsiTheme="majorHAnsi" w:cstheme="majorHAnsi"/>
          <w:sz w:val="23"/>
          <w:szCs w:val="23"/>
          <w:lang w:val="en-GB"/>
        </w:rPr>
      </w:pPr>
      <w:r w:rsidRPr="008D58FE">
        <w:rPr>
          <w:rFonts w:asciiTheme="majorHAnsi" w:hAnsiTheme="majorHAnsi" w:cstheme="majorHAnsi"/>
          <w:sz w:val="23"/>
          <w:szCs w:val="23"/>
          <w:lang w:val="en-GB"/>
        </w:rPr>
        <w:t>And another:</w:t>
      </w:r>
    </w:p>
    <w:p w14:paraId="2237AE52" w14:textId="39354639" w:rsidR="000D09C8" w:rsidRPr="00915FF0" w:rsidRDefault="000D09C8" w:rsidP="00467053">
      <w:pPr>
        <w:spacing w:after="240" w:line="276" w:lineRule="auto"/>
        <w:ind w:left="720"/>
        <w:rPr>
          <w:rFonts w:asciiTheme="majorHAnsi" w:hAnsiTheme="majorHAnsi" w:cstheme="majorHAnsi"/>
          <w:sz w:val="23"/>
          <w:szCs w:val="23"/>
        </w:rPr>
      </w:pPr>
      <w:r w:rsidRPr="00915FF0">
        <w:rPr>
          <w:rFonts w:asciiTheme="majorHAnsi" w:hAnsiTheme="majorHAnsi" w:cstheme="majorHAnsi"/>
          <w:sz w:val="23"/>
          <w:szCs w:val="23"/>
        </w:rPr>
        <w:t>There was a lot of energy for it, and it brought together Vic Roads and the train –</w:t>
      </w:r>
      <w:r w:rsidR="00915FF0">
        <w:rPr>
          <w:rFonts w:asciiTheme="majorHAnsi" w:hAnsiTheme="majorHAnsi" w:cstheme="majorHAnsi"/>
          <w:sz w:val="23"/>
          <w:szCs w:val="23"/>
        </w:rPr>
        <w:t xml:space="preserve"> </w:t>
      </w:r>
      <w:r w:rsidRPr="00915FF0">
        <w:rPr>
          <w:rFonts w:asciiTheme="majorHAnsi" w:hAnsiTheme="majorHAnsi" w:cstheme="majorHAnsi"/>
          <w:sz w:val="23"/>
          <w:szCs w:val="23"/>
        </w:rPr>
        <w:t>all the different sort of groups that actually have a space in the north. If something needed to be moved, shaped, changed, some of the ideas were grand and they were really good… People have used that document to lever, so I just wonder what the traction is for some of th</w:t>
      </w:r>
      <w:r w:rsidR="00915FF0">
        <w:rPr>
          <w:rFonts w:asciiTheme="majorHAnsi" w:hAnsiTheme="majorHAnsi" w:cstheme="majorHAnsi"/>
          <w:sz w:val="23"/>
          <w:szCs w:val="23"/>
        </w:rPr>
        <w:t>ose</w:t>
      </w:r>
      <w:r w:rsidRPr="00915FF0">
        <w:rPr>
          <w:rFonts w:asciiTheme="majorHAnsi" w:hAnsiTheme="majorHAnsi" w:cstheme="majorHAnsi"/>
          <w:sz w:val="23"/>
          <w:szCs w:val="23"/>
        </w:rPr>
        <w:t xml:space="preserve"> initiatives now, rather than have to recreate them</w:t>
      </w:r>
      <w:r w:rsidR="00915FF0">
        <w:rPr>
          <w:rFonts w:asciiTheme="majorHAnsi" w:hAnsiTheme="majorHAnsi" w:cstheme="majorHAnsi"/>
          <w:sz w:val="23"/>
          <w:szCs w:val="23"/>
        </w:rPr>
        <w:t>…</w:t>
      </w:r>
      <w:r w:rsidRPr="00915FF0">
        <w:rPr>
          <w:rFonts w:asciiTheme="majorHAnsi" w:hAnsiTheme="majorHAnsi" w:cstheme="majorHAnsi"/>
          <w:sz w:val="23"/>
          <w:szCs w:val="23"/>
        </w:rPr>
        <w:t xml:space="preserve"> </w:t>
      </w:r>
      <w:r w:rsidR="00915FF0">
        <w:rPr>
          <w:rFonts w:asciiTheme="majorHAnsi" w:hAnsiTheme="majorHAnsi" w:cstheme="majorHAnsi"/>
          <w:sz w:val="23"/>
          <w:szCs w:val="23"/>
        </w:rPr>
        <w:t>P</w:t>
      </w:r>
      <w:r w:rsidRPr="00915FF0">
        <w:rPr>
          <w:rFonts w:asciiTheme="majorHAnsi" w:hAnsiTheme="majorHAnsi" w:cstheme="majorHAnsi"/>
          <w:sz w:val="23"/>
          <w:szCs w:val="23"/>
        </w:rPr>
        <w:t xml:space="preserve">eople have said their comment, they’ve made their ideas, but they haven’t seen it finished. It would be really lovely to modernise that and give it a 2021 </w:t>
      </w:r>
      <w:proofErr w:type="gramStart"/>
      <w:r w:rsidRPr="00915FF0">
        <w:rPr>
          <w:rFonts w:asciiTheme="majorHAnsi" w:hAnsiTheme="majorHAnsi" w:cstheme="majorHAnsi"/>
          <w:sz w:val="23"/>
          <w:szCs w:val="23"/>
        </w:rPr>
        <w:t>feel</w:t>
      </w:r>
      <w:r w:rsidR="00915FF0">
        <w:rPr>
          <w:rFonts w:asciiTheme="majorHAnsi" w:hAnsiTheme="majorHAnsi" w:cstheme="majorHAnsi"/>
          <w:sz w:val="23"/>
          <w:szCs w:val="23"/>
        </w:rPr>
        <w:t>,</w:t>
      </w:r>
      <w:r w:rsidRPr="00915FF0">
        <w:rPr>
          <w:rFonts w:asciiTheme="majorHAnsi" w:hAnsiTheme="majorHAnsi" w:cstheme="majorHAnsi"/>
          <w:sz w:val="23"/>
          <w:szCs w:val="23"/>
        </w:rPr>
        <w:t xml:space="preserve"> and</w:t>
      </w:r>
      <w:proofErr w:type="gramEnd"/>
      <w:r w:rsidRPr="00915FF0">
        <w:rPr>
          <w:rFonts w:asciiTheme="majorHAnsi" w:hAnsiTheme="majorHAnsi" w:cstheme="majorHAnsi"/>
          <w:sz w:val="23"/>
          <w:szCs w:val="23"/>
        </w:rPr>
        <w:t xml:space="preserve"> see what needs to keep going. </w:t>
      </w:r>
    </w:p>
    <w:p w14:paraId="4D273CC8" w14:textId="34F2176C" w:rsidR="000D09C8" w:rsidRPr="00D37619" w:rsidRDefault="00915FF0" w:rsidP="00467053">
      <w:pPr>
        <w:spacing w:line="276" w:lineRule="auto"/>
        <w:rPr>
          <w:rFonts w:asciiTheme="majorHAnsi" w:eastAsia="Calibri" w:hAnsiTheme="majorHAnsi" w:cstheme="majorHAnsi"/>
          <w:sz w:val="23"/>
          <w:szCs w:val="23"/>
          <w:lang w:val="en-GB"/>
        </w:rPr>
      </w:pPr>
      <w:r>
        <w:rPr>
          <w:rFonts w:asciiTheme="majorHAnsi" w:eastAsia="Calibri" w:hAnsiTheme="majorHAnsi" w:cstheme="majorHAnsi"/>
          <w:sz w:val="23"/>
          <w:szCs w:val="23"/>
          <w:lang w:val="en-GB"/>
        </w:rPr>
        <w:t>One suggest</w:t>
      </w:r>
      <w:r w:rsidR="00467053">
        <w:rPr>
          <w:rFonts w:asciiTheme="majorHAnsi" w:eastAsia="Calibri" w:hAnsiTheme="majorHAnsi" w:cstheme="majorHAnsi"/>
          <w:sz w:val="23"/>
          <w:szCs w:val="23"/>
          <w:lang w:val="en-GB"/>
        </w:rPr>
        <w:t>ion</w:t>
      </w:r>
      <w:r>
        <w:rPr>
          <w:rFonts w:asciiTheme="majorHAnsi" w:eastAsia="Calibri" w:hAnsiTheme="majorHAnsi" w:cstheme="majorHAnsi"/>
          <w:sz w:val="23"/>
          <w:szCs w:val="23"/>
          <w:lang w:val="en-GB"/>
        </w:rPr>
        <w:t xml:space="preserve"> was to think of</w:t>
      </w:r>
      <w:r w:rsidR="000D09C8" w:rsidRPr="00D37619">
        <w:rPr>
          <w:rFonts w:asciiTheme="majorHAnsi" w:eastAsia="Calibri" w:hAnsiTheme="majorHAnsi" w:cstheme="majorHAnsi"/>
          <w:sz w:val="23"/>
          <w:szCs w:val="23"/>
          <w:lang w:val="en-GB"/>
        </w:rPr>
        <w:t xml:space="preserve"> these projects as a “river of change”</w:t>
      </w:r>
      <w:r>
        <w:rPr>
          <w:rFonts w:asciiTheme="majorHAnsi" w:eastAsia="Calibri" w:hAnsiTheme="majorHAnsi" w:cstheme="majorHAnsi"/>
          <w:sz w:val="23"/>
          <w:szCs w:val="23"/>
          <w:lang w:val="en-GB"/>
        </w:rPr>
        <w:t>, which</w:t>
      </w:r>
      <w:r w:rsidR="000D09C8" w:rsidRPr="00D37619">
        <w:rPr>
          <w:rFonts w:asciiTheme="majorHAnsi" w:eastAsia="Calibri" w:hAnsiTheme="majorHAnsi" w:cstheme="majorHAnsi"/>
          <w:sz w:val="23"/>
          <w:szCs w:val="23"/>
          <w:lang w:val="en-GB"/>
        </w:rPr>
        <w:t xml:space="preserve"> people had fed into and </w:t>
      </w:r>
      <w:r>
        <w:rPr>
          <w:rFonts w:asciiTheme="majorHAnsi" w:eastAsia="Calibri" w:hAnsiTheme="majorHAnsi" w:cstheme="majorHAnsi"/>
          <w:sz w:val="23"/>
          <w:szCs w:val="23"/>
          <w:lang w:val="en-GB"/>
        </w:rPr>
        <w:t>which</w:t>
      </w:r>
      <w:r w:rsidR="000D09C8" w:rsidRPr="00D37619">
        <w:rPr>
          <w:rFonts w:asciiTheme="majorHAnsi" w:eastAsia="Calibri" w:hAnsiTheme="majorHAnsi" w:cstheme="majorHAnsi"/>
          <w:sz w:val="23"/>
          <w:szCs w:val="23"/>
          <w:lang w:val="en-GB"/>
        </w:rPr>
        <w:t xml:space="preserve"> would continue to flow, </w:t>
      </w:r>
      <w:r>
        <w:rPr>
          <w:rFonts w:asciiTheme="majorHAnsi" w:eastAsia="Calibri" w:hAnsiTheme="majorHAnsi" w:cstheme="majorHAnsi"/>
          <w:sz w:val="23"/>
          <w:szCs w:val="23"/>
          <w:lang w:val="en-GB"/>
        </w:rPr>
        <w:t>with scope to also connect</w:t>
      </w:r>
      <w:r w:rsidR="000D09C8" w:rsidRPr="00D37619">
        <w:rPr>
          <w:rFonts w:asciiTheme="majorHAnsi" w:eastAsia="Calibri" w:hAnsiTheme="majorHAnsi" w:cstheme="majorHAnsi"/>
          <w:sz w:val="23"/>
          <w:szCs w:val="23"/>
          <w:lang w:val="en-GB"/>
        </w:rPr>
        <w:t xml:space="preserve"> various </w:t>
      </w:r>
      <w:r w:rsidR="00467053">
        <w:rPr>
          <w:rFonts w:asciiTheme="majorHAnsi" w:eastAsia="Calibri" w:hAnsiTheme="majorHAnsi" w:cstheme="majorHAnsi"/>
          <w:sz w:val="23"/>
          <w:szCs w:val="23"/>
          <w:lang w:val="en-GB"/>
        </w:rPr>
        <w:t>streams</w:t>
      </w:r>
      <w:r w:rsidR="000D09C8" w:rsidRPr="00D37619">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together</w:t>
      </w:r>
      <w:r w:rsidR="000D09C8" w:rsidRPr="00D37619">
        <w:rPr>
          <w:rFonts w:asciiTheme="majorHAnsi" w:eastAsia="Calibri" w:hAnsiTheme="majorHAnsi" w:cstheme="majorHAnsi"/>
          <w:sz w:val="23"/>
          <w:szCs w:val="23"/>
          <w:lang w:val="en-GB"/>
        </w:rPr>
        <w:t>:</w:t>
      </w:r>
    </w:p>
    <w:p w14:paraId="755398F3" w14:textId="5B09DCA8" w:rsidR="000D09C8" w:rsidRPr="00915FF0" w:rsidRDefault="000D09C8" w:rsidP="00467053">
      <w:pPr>
        <w:spacing w:after="240" w:line="276" w:lineRule="auto"/>
        <w:ind w:left="720"/>
        <w:rPr>
          <w:rFonts w:asciiTheme="majorHAnsi" w:hAnsiTheme="majorHAnsi" w:cstheme="majorHAnsi"/>
          <w:sz w:val="23"/>
          <w:szCs w:val="23"/>
        </w:rPr>
      </w:pPr>
      <w:r w:rsidRPr="00915FF0">
        <w:rPr>
          <w:rFonts w:asciiTheme="majorHAnsi" w:hAnsiTheme="majorHAnsi" w:cstheme="majorHAnsi"/>
          <w:sz w:val="23"/>
          <w:szCs w:val="23"/>
        </w:rPr>
        <w:t>I think it would be great to link it all up so that people feel like that they are being heard</w:t>
      </w:r>
      <w:r w:rsidR="00915FF0">
        <w:rPr>
          <w:rFonts w:asciiTheme="majorHAnsi" w:hAnsiTheme="majorHAnsi" w:cstheme="majorHAnsi"/>
          <w:sz w:val="23"/>
          <w:szCs w:val="23"/>
        </w:rPr>
        <w:t>,</w:t>
      </w:r>
      <w:r w:rsidRPr="00915FF0">
        <w:rPr>
          <w:rFonts w:asciiTheme="majorHAnsi" w:hAnsiTheme="majorHAnsi" w:cstheme="majorHAnsi"/>
          <w:sz w:val="23"/>
          <w:szCs w:val="23"/>
        </w:rPr>
        <w:t xml:space="preserve"> and change is happening</w:t>
      </w:r>
      <w:r w:rsidR="00915FF0">
        <w:rPr>
          <w:rFonts w:asciiTheme="majorHAnsi" w:hAnsiTheme="majorHAnsi" w:cstheme="majorHAnsi"/>
          <w:sz w:val="23"/>
          <w:szCs w:val="23"/>
        </w:rPr>
        <w:t>,</w:t>
      </w:r>
      <w:r w:rsidRPr="00915FF0">
        <w:rPr>
          <w:rFonts w:asciiTheme="majorHAnsi" w:hAnsiTheme="majorHAnsi" w:cstheme="majorHAnsi"/>
          <w:sz w:val="23"/>
          <w:szCs w:val="23"/>
        </w:rPr>
        <w:t xml:space="preserve"> and that they’re involved in that change</w:t>
      </w:r>
      <w:r w:rsidR="00915FF0">
        <w:rPr>
          <w:rFonts w:asciiTheme="majorHAnsi" w:hAnsiTheme="majorHAnsi" w:cstheme="majorHAnsi"/>
          <w:sz w:val="23"/>
          <w:szCs w:val="23"/>
        </w:rPr>
        <w:t>.</w:t>
      </w:r>
    </w:p>
    <w:p w14:paraId="231F8961" w14:textId="0B3DA2D1" w:rsidR="000D09C8" w:rsidRPr="00D37619" w:rsidRDefault="00915FF0" w:rsidP="00467053">
      <w:pPr>
        <w:spacing w:line="276" w:lineRule="auto"/>
        <w:rPr>
          <w:rFonts w:asciiTheme="majorHAnsi" w:eastAsia="Calibri" w:hAnsiTheme="majorHAnsi" w:cstheme="majorHAnsi"/>
          <w:sz w:val="23"/>
          <w:szCs w:val="23"/>
          <w:lang w:val="en-GB"/>
        </w:rPr>
      </w:pPr>
      <w:r>
        <w:rPr>
          <w:rFonts w:asciiTheme="majorHAnsi" w:eastAsia="Calibri" w:hAnsiTheme="majorHAnsi" w:cstheme="majorHAnsi"/>
          <w:sz w:val="23"/>
          <w:szCs w:val="23"/>
          <w:lang w:val="en-GB"/>
        </w:rPr>
        <w:t>However</w:t>
      </w:r>
      <w:r w:rsidR="00CE51F6">
        <w:rPr>
          <w:rFonts w:asciiTheme="majorHAnsi" w:eastAsia="Calibri" w:hAnsiTheme="majorHAnsi" w:cstheme="majorHAnsi"/>
          <w:sz w:val="23"/>
          <w:szCs w:val="23"/>
          <w:lang w:val="en-GB"/>
        </w:rPr>
        <w:t xml:space="preserve"> </w:t>
      </w:r>
      <w:r w:rsidR="000D09C8" w:rsidRPr="00D37619">
        <w:rPr>
          <w:rFonts w:asciiTheme="majorHAnsi" w:eastAsia="Calibri" w:hAnsiTheme="majorHAnsi" w:cstheme="majorHAnsi"/>
          <w:sz w:val="23"/>
          <w:szCs w:val="23"/>
          <w:lang w:val="en-GB"/>
        </w:rPr>
        <w:t>also a cautionary note</w:t>
      </w:r>
      <w:r>
        <w:rPr>
          <w:rFonts w:asciiTheme="majorHAnsi" w:eastAsia="Calibri" w:hAnsiTheme="majorHAnsi" w:cstheme="majorHAnsi"/>
          <w:sz w:val="23"/>
          <w:szCs w:val="23"/>
          <w:lang w:val="en-GB"/>
        </w:rPr>
        <w:t xml:space="preserve"> was sounded around</w:t>
      </w:r>
      <w:r w:rsidR="000D09C8" w:rsidRPr="00D37619">
        <w:rPr>
          <w:rFonts w:asciiTheme="majorHAnsi" w:eastAsia="Calibri" w:hAnsiTheme="majorHAnsi" w:cstheme="majorHAnsi"/>
          <w:sz w:val="23"/>
          <w:szCs w:val="23"/>
          <w:lang w:val="en-GB"/>
        </w:rPr>
        <w:t xml:space="preserve"> CN-DAB not representing the community</w:t>
      </w:r>
      <w:r w:rsidR="000D09C8">
        <w:rPr>
          <w:rFonts w:asciiTheme="majorHAnsi" w:eastAsia="Calibri" w:hAnsiTheme="majorHAnsi" w:cstheme="majorHAnsi"/>
          <w:sz w:val="23"/>
          <w:szCs w:val="23"/>
          <w:lang w:val="en-GB"/>
        </w:rPr>
        <w:t>,</w:t>
      </w:r>
      <w:r w:rsidR="000D09C8" w:rsidRPr="00D37619">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as th</w:t>
      </w:r>
      <w:r w:rsidR="00CE51F6">
        <w:rPr>
          <w:rFonts w:asciiTheme="majorHAnsi" w:eastAsia="Calibri" w:hAnsiTheme="majorHAnsi" w:cstheme="majorHAnsi"/>
          <w:sz w:val="23"/>
          <w:szCs w:val="23"/>
          <w:lang w:val="en-GB"/>
        </w:rPr>
        <w:t>e</w:t>
      </w:r>
      <w:r>
        <w:rPr>
          <w:rFonts w:asciiTheme="majorHAnsi" w:eastAsia="Calibri" w:hAnsiTheme="majorHAnsi" w:cstheme="majorHAnsi"/>
          <w:sz w:val="23"/>
          <w:szCs w:val="23"/>
          <w:lang w:val="en-GB"/>
        </w:rPr>
        <w:t xml:space="preserve"> advisory body is </w:t>
      </w:r>
      <w:r w:rsidR="000D09C8" w:rsidRPr="00D37619">
        <w:rPr>
          <w:rFonts w:asciiTheme="majorHAnsi" w:eastAsia="Calibri" w:hAnsiTheme="majorHAnsi" w:cstheme="majorHAnsi"/>
          <w:sz w:val="23"/>
          <w:szCs w:val="23"/>
          <w:lang w:val="en-GB"/>
        </w:rPr>
        <w:t>mainly populated by outsiders</w:t>
      </w:r>
      <w:r>
        <w:rPr>
          <w:rFonts w:asciiTheme="majorHAnsi" w:eastAsia="Calibri" w:hAnsiTheme="majorHAnsi" w:cstheme="majorHAnsi"/>
          <w:sz w:val="23"/>
          <w:szCs w:val="23"/>
          <w:lang w:val="en-GB"/>
        </w:rPr>
        <w:t xml:space="preserve">. </w:t>
      </w:r>
      <w:r w:rsidR="00CE51F6">
        <w:rPr>
          <w:rFonts w:asciiTheme="majorHAnsi" w:eastAsia="Calibri" w:hAnsiTheme="majorHAnsi" w:cstheme="majorHAnsi"/>
          <w:sz w:val="23"/>
          <w:szCs w:val="23"/>
          <w:lang w:val="en-GB"/>
        </w:rPr>
        <w:t>Here, we heard</w:t>
      </w:r>
      <w:r w:rsidR="000D09C8" w:rsidRPr="00D37619">
        <w:rPr>
          <w:rFonts w:asciiTheme="majorHAnsi" w:eastAsia="Calibri" w:hAnsiTheme="majorHAnsi" w:cstheme="majorHAnsi"/>
          <w:sz w:val="23"/>
          <w:szCs w:val="23"/>
          <w:lang w:val="en-GB"/>
        </w:rPr>
        <w:t xml:space="preserve"> reaffirmation of the need to ensure </w:t>
      </w:r>
      <w:r>
        <w:rPr>
          <w:rFonts w:asciiTheme="majorHAnsi" w:eastAsia="Calibri" w:hAnsiTheme="majorHAnsi" w:cstheme="majorHAnsi"/>
          <w:sz w:val="23"/>
          <w:szCs w:val="23"/>
          <w:lang w:val="en-GB"/>
        </w:rPr>
        <w:t>residents’</w:t>
      </w:r>
      <w:r w:rsidR="000D09C8" w:rsidRPr="00D37619">
        <w:rPr>
          <w:rFonts w:asciiTheme="majorHAnsi" w:eastAsia="Calibri" w:hAnsiTheme="majorHAnsi" w:cstheme="majorHAnsi"/>
          <w:sz w:val="23"/>
          <w:szCs w:val="23"/>
          <w:lang w:val="en-GB"/>
        </w:rPr>
        <w:t xml:space="preserve"> voice</w:t>
      </w:r>
      <w:r>
        <w:rPr>
          <w:rFonts w:asciiTheme="majorHAnsi" w:eastAsia="Calibri" w:hAnsiTheme="majorHAnsi" w:cstheme="majorHAnsi"/>
          <w:sz w:val="23"/>
          <w:szCs w:val="23"/>
          <w:lang w:val="en-GB"/>
        </w:rPr>
        <w:t>s</w:t>
      </w:r>
      <w:r w:rsidR="000D09C8" w:rsidRPr="00D37619">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were</w:t>
      </w:r>
      <w:r w:rsidR="000D09C8" w:rsidRPr="00D37619">
        <w:rPr>
          <w:rFonts w:asciiTheme="majorHAnsi" w:eastAsia="Calibri" w:hAnsiTheme="majorHAnsi" w:cstheme="majorHAnsi"/>
          <w:sz w:val="23"/>
          <w:szCs w:val="23"/>
          <w:lang w:val="en-GB"/>
        </w:rPr>
        <w:t xml:space="preserve"> indeed present and</w:t>
      </w:r>
      <w:r>
        <w:rPr>
          <w:rFonts w:asciiTheme="majorHAnsi" w:eastAsia="Calibri" w:hAnsiTheme="majorHAnsi" w:cstheme="majorHAnsi"/>
          <w:sz w:val="23"/>
          <w:szCs w:val="23"/>
          <w:lang w:val="en-GB"/>
        </w:rPr>
        <w:t xml:space="preserve"> genuinely</w:t>
      </w:r>
      <w:r w:rsidR="000D09C8" w:rsidRPr="00D37619">
        <w:rPr>
          <w:rFonts w:asciiTheme="majorHAnsi" w:eastAsia="Calibri" w:hAnsiTheme="majorHAnsi" w:cstheme="majorHAnsi"/>
          <w:sz w:val="23"/>
          <w:szCs w:val="23"/>
          <w:lang w:val="en-GB"/>
        </w:rPr>
        <w:t xml:space="preserve"> heard:</w:t>
      </w:r>
    </w:p>
    <w:p w14:paraId="0BE625AF" w14:textId="7B030AA0" w:rsidR="000D09C8" w:rsidRPr="00915FF0" w:rsidRDefault="000D09C8" w:rsidP="00467053">
      <w:pPr>
        <w:spacing w:after="240" w:line="276" w:lineRule="auto"/>
        <w:ind w:left="1440" w:hanging="720"/>
        <w:rPr>
          <w:rFonts w:asciiTheme="majorHAnsi" w:hAnsiTheme="majorHAnsi" w:cstheme="majorHAnsi"/>
          <w:sz w:val="23"/>
          <w:szCs w:val="23"/>
        </w:rPr>
      </w:pPr>
      <w:proofErr w:type="gramStart"/>
      <w:r w:rsidRPr="00915FF0">
        <w:rPr>
          <w:rFonts w:asciiTheme="majorHAnsi" w:hAnsiTheme="majorHAnsi" w:cstheme="majorHAnsi"/>
          <w:sz w:val="23"/>
          <w:szCs w:val="23"/>
        </w:rPr>
        <w:lastRenderedPageBreak/>
        <w:t>So</w:t>
      </w:r>
      <w:proofErr w:type="gramEnd"/>
      <w:r w:rsidRPr="00915FF0">
        <w:rPr>
          <w:rFonts w:asciiTheme="majorHAnsi" w:hAnsiTheme="majorHAnsi" w:cstheme="majorHAnsi"/>
          <w:sz w:val="23"/>
          <w:szCs w:val="23"/>
        </w:rPr>
        <w:t xml:space="preserve"> I guess I’d love that to be reinstated</w:t>
      </w:r>
      <w:r w:rsidR="00915FF0">
        <w:rPr>
          <w:rFonts w:asciiTheme="majorHAnsi" w:hAnsiTheme="majorHAnsi" w:cstheme="majorHAnsi"/>
          <w:sz w:val="23"/>
          <w:szCs w:val="23"/>
        </w:rPr>
        <w:t xml:space="preserve">, </w:t>
      </w:r>
      <w:r w:rsidRPr="00915FF0">
        <w:rPr>
          <w:rFonts w:asciiTheme="majorHAnsi" w:hAnsiTheme="majorHAnsi" w:cstheme="majorHAnsi"/>
          <w:sz w:val="23"/>
          <w:szCs w:val="23"/>
        </w:rPr>
        <w:t xml:space="preserve">but actually not by people from outside the region. </w:t>
      </w:r>
    </w:p>
    <w:p w14:paraId="17405D14" w14:textId="3EF41FDC" w:rsidR="000D09C8" w:rsidRPr="00D37619" w:rsidRDefault="00915FF0" w:rsidP="00467053">
      <w:pPr>
        <w:spacing w:line="276" w:lineRule="auto"/>
        <w:rPr>
          <w:rFonts w:asciiTheme="majorHAnsi" w:eastAsia="Calibri" w:hAnsiTheme="majorHAnsi" w:cstheme="majorHAnsi"/>
          <w:sz w:val="23"/>
          <w:szCs w:val="23"/>
          <w:lang w:val="en-GB"/>
        </w:rPr>
      </w:pPr>
      <w:r>
        <w:rPr>
          <w:rFonts w:asciiTheme="majorHAnsi" w:eastAsia="Calibri" w:hAnsiTheme="majorHAnsi" w:cstheme="majorHAnsi"/>
          <w:sz w:val="23"/>
          <w:szCs w:val="23"/>
          <w:lang w:val="en-GB"/>
        </w:rPr>
        <w:t>The need to more</w:t>
      </w:r>
      <w:r w:rsidR="000D09C8" w:rsidRPr="00D37619">
        <w:rPr>
          <w:rFonts w:asciiTheme="majorHAnsi" w:eastAsia="Calibri" w:hAnsiTheme="majorHAnsi" w:cstheme="majorHAnsi"/>
          <w:sz w:val="23"/>
          <w:szCs w:val="23"/>
          <w:lang w:val="en-GB"/>
        </w:rPr>
        <w:t xml:space="preserve"> actively includ</w:t>
      </w:r>
      <w:r>
        <w:rPr>
          <w:rFonts w:asciiTheme="majorHAnsi" w:eastAsia="Calibri" w:hAnsiTheme="majorHAnsi" w:cstheme="majorHAnsi"/>
          <w:sz w:val="23"/>
          <w:szCs w:val="23"/>
          <w:lang w:val="en-GB"/>
        </w:rPr>
        <w:t xml:space="preserve">e, </w:t>
      </w:r>
      <w:r w:rsidR="000D09C8" w:rsidRPr="00D37619">
        <w:rPr>
          <w:rFonts w:asciiTheme="majorHAnsi" w:eastAsia="Calibri" w:hAnsiTheme="majorHAnsi" w:cstheme="majorHAnsi"/>
          <w:sz w:val="23"/>
          <w:szCs w:val="23"/>
          <w:lang w:val="en-GB"/>
        </w:rPr>
        <w:t>listen to</w:t>
      </w:r>
      <w:r>
        <w:rPr>
          <w:rFonts w:asciiTheme="majorHAnsi" w:eastAsia="Calibri" w:hAnsiTheme="majorHAnsi" w:cstheme="majorHAnsi"/>
          <w:sz w:val="23"/>
          <w:szCs w:val="23"/>
          <w:lang w:val="en-GB"/>
        </w:rPr>
        <w:t>,</w:t>
      </w:r>
      <w:r w:rsidR="000D09C8" w:rsidRPr="00D37619">
        <w:rPr>
          <w:rFonts w:asciiTheme="majorHAnsi" w:eastAsia="Calibri" w:hAnsiTheme="majorHAnsi" w:cstheme="majorHAnsi"/>
          <w:sz w:val="23"/>
          <w:szCs w:val="23"/>
          <w:lang w:val="en-GB"/>
        </w:rPr>
        <w:t xml:space="preserve"> and valu</w:t>
      </w:r>
      <w:r>
        <w:rPr>
          <w:rFonts w:asciiTheme="majorHAnsi" w:eastAsia="Calibri" w:hAnsiTheme="majorHAnsi" w:cstheme="majorHAnsi"/>
          <w:sz w:val="23"/>
          <w:szCs w:val="23"/>
          <w:lang w:val="en-GB"/>
        </w:rPr>
        <w:t>e</w:t>
      </w:r>
      <w:r w:rsidR="000D09C8" w:rsidRPr="00D37619">
        <w:rPr>
          <w:rFonts w:asciiTheme="majorHAnsi" w:eastAsia="Calibri" w:hAnsiTheme="majorHAnsi" w:cstheme="majorHAnsi"/>
          <w:sz w:val="23"/>
          <w:szCs w:val="23"/>
          <w:lang w:val="en-GB"/>
        </w:rPr>
        <w:t xml:space="preserve"> the contributions of residents was taken up by others</w:t>
      </w:r>
      <w:r>
        <w:rPr>
          <w:rFonts w:asciiTheme="majorHAnsi" w:eastAsia="Calibri" w:hAnsiTheme="majorHAnsi" w:cstheme="majorHAnsi"/>
          <w:sz w:val="23"/>
          <w:szCs w:val="23"/>
          <w:lang w:val="en-GB"/>
        </w:rPr>
        <w:t xml:space="preserve"> in a reflexive way, </w:t>
      </w:r>
      <w:r w:rsidR="00CE51F6">
        <w:rPr>
          <w:rFonts w:asciiTheme="majorHAnsi" w:eastAsia="Calibri" w:hAnsiTheme="majorHAnsi" w:cstheme="majorHAnsi"/>
          <w:sz w:val="23"/>
          <w:szCs w:val="23"/>
          <w:lang w:val="en-GB"/>
        </w:rPr>
        <w:t xml:space="preserve">with one participant </w:t>
      </w:r>
      <w:r>
        <w:rPr>
          <w:rFonts w:asciiTheme="majorHAnsi" w:eastAsia="Calibri" w:hAnsiTheme="majorHAnsi" w:cstheme="majorHAnsi"/>
          <w:sz w:val="23"/>
          <w:szCs w:val="23"/>
          <w:lang w:val="en-GB"/>
        </w:rPr>
        <w:t>turning the lens on the current process</w:t>
      </w:r>
      <w:r w:rsidR="000D09C8" w:rsidRPr="00D37619">
        <w:rPr>
          <w:rFonts w:asciiTheme="majorHAnsi" w:eastAsia="Calibri" w:hAnsiTheme="majorHAnsi" w:cstheme="majorHAnsi"/>
          <w:sz w:val="23"/>
          <w:szCs w:val="23"/>
          <w:lang w:val="en-GB"/>
        </w:rPr>
        <w:t xml:space="preserve">: </w:t>
      </w:r>
    </w:p>
    <w:p w14:paraId="1B3F8C14" w14:textId="4179F0A8" w:rsidR="000D09C8" w:rsidRPr="00915FF0" w:rsidRDefault="00915FF0" w:rsidP="00467053">
      <w:pPr>
        <w:spacing w:line="276" w:lineRule="auto"/>
        <w:ind w:left="720"/>
        <w:rPr>
          <w:rFonts w:asciiTheme="majorHAnsi" w:hAnsiTheme="majorHAnsi" w:cstheme="majorHAnsi"/>
          <w:sz w:val="23"/>
          <w:szCs w:val="23"/>
          <w:lang w:val="en-GB"/>
        </w:rPr>
      </w:pPr>
      <w:r>
        <w:rPr>
          <w:rFonts w:asciiTheme="majorHAnsi" w:hAnsiTheme="majorHAnsi" w:cstheme="majorHAnsi"/>
          <w:sz w:val="23"/>
          <w:szCs w:val="23"/>
        </w:rPr>
        <w:t>P</w:t>
      </w:r>
      <w:r w:rsidR="000D09C8" w:rsidRPr="00915FF0">
        <w:rPr>
          <w:rFonts w:asciiTheme="majorHAnsi" w:hAnsiTheme="majorHAnsi" w:cstheme="majorHAnsi"/>
          <w:sz w:val="23"/>
          <w:szCs w:val="23"/>
        </w:rPr>
        <w:t>icking [on] people around the table</w:t>
      </w:r>
      <w:r>
        <w:rPr>
          <w:rFonts w:asciiTheme="majorHAnsi" w:hAnsiTheme="majorHAnsi" w:cstheme="majorHAnsi"/>
          <w:sz w:val="23"/>
          <w:szCs w:val="23"/>
        </w:rPr>
        <w:t xml:space="preserve"> [today]</w:t>
      </w:r>
      <w:r w:rsidR="000D09C8" w:rsidRPr="00915FF0">
        <w:rPr>
          <w:rFonts w:asciiTheme="majorHAnsi" w:hAnsiTheme="majorHAnsi" w:cstheme="majorHAnsi"/>
          <w:sz w:val="23"/>
          <w:szCs w:val="23"/>
        </w:rPr>
        <w:t>, where are the residents? And you know what? Residents would really appreciate a nice lunch. We get to go to lots of things, but even 50 bucks towards their petrol. Their time is as valuable as anybody’s, and I would suggest in some ways more valuable for things like this</w:t>
      </w:r>
      <w:r>
        <w:rPr>
          <w:rFonts w:asciiTheme="majorHAnsi" w:hAnsiTheme="majorHAnsi" w:cstheme="majorHAnsi"/>
          <w:sz w:val="23"/>
          <w:szCs w:val="23"/>
        </w:rPr>
        <w:t>. B</w:t>
      </w:r>
      <w:r w:rsidR="000D09C8" w:rsidRPr="00915FF0">
        <w:rPr>
          <w:rFonts w:asciiTheme="majorHAnsi" w:hAnsiTheme="majorHAnsi" w:cstheme="majorHAnsi"/>
          <w:sz w:val="23"/>
          <w:szCs w:val="23"/>
        </w:rPr>
        <w:t>ut how do they get to a meeting? How inclusive are the meetings? What’s the point of a meeting? And I’m sure five neighbours sitting around a barbeque would come up with better ideas than I would ever think of, just because they know each other, they know the area, they know what their kids need, they know what their elder</w:t>
      </w:r>
      <w:r>
        <w:rPr>
          <w:rFonts w:asciiTheme="majorHAnsi" w:hAnsiTheme="majorHAnsi" w:cstheme="majorHAnsi"/>
          <w:sz w:val="23"/>
          <w:szCs w:val="23"/>
        </w:rPr>
        <w:t>ly</w:t>
      </w:r>
      <w:r w:rsidR="000D09C8" w:rsidRPr="00915FF0">
        <w:rPr>
          <w:rFonts w:asciiTheme="majorHAnsi" w:hAnsiTheme="majorHAnsi" w:cstheme="majorHAnsi"/>
          <w:sz w:val="23"/>
          <w:szCs w:val="23"/>
        </w:rPr>
        <w:t xml:space="preserve"> parents need, they know what they need themselves</w:t>
      </w:r>
      <w:r>
        <w:rPr>
          <w:rFonts w:asciiTheme="majorHAnsi" w:hAnsiTheme="majorHAnsi" w:cstheme="majorHAnsi"/>
          <w:sz w:val="23"/>
          <w:szCs w:val="23"/>
        </w:rPr>
        <w:t>. T</w:t>
      </w:r>
      <w:r w:rsidR="000D09C8" w:rsidRPr="00915FF0">
        <w:rPr>
          <w:rFonts w:asciiTheme="majorHAnsi" w:hAnsiTheme="majorHAnsi" w:cstheme="majorHAnsi"/>
          <w:sz w:val="23"/>
          <w:szCs w:val="23"/>
        </w:rPr>
        <w:t>hey see the issues around everything, every single day.</w:t>
      </w:r>
    </w:p>
    <w:p w14:paraId="6FED9D80" w14:textId="7F9B391A" w:rsidR="000D09C8" w:rsidRPr="00915FF0" w:rsidRDefault="00915FF0" w:rsidP="00467053">
      <w:pPr>
        <w:spacing w:line="276" w:lineRule="auto"/>
        <w:rPr>
          <w:rFonts w:asciiTheme="majorHAnsi" w:hAnsiTheme="majorHAnsi" w:cstheme="majorHAnsi"/>
          <w:sz w:val="23"/>
          <w:szCs w:val="23"/>
          <w:lang w:val="en-GB"/>
        </w:rPr>
      </w:pPr>
      <w:r>
        <w:rPr>
          <w:rFonts w:asciiTheme="majorHAnsi" w:hAnsiTheme="majorHAnsi" w:cstheme="majorHAnsi"/>
          <w:sz w:val="23"/>
          <w:szCs w:val="23"/>
          <w:lang w:val="en-GB"/>
        </w:rPr>
        <w:t xml:space="preserve">Another </w:t>
      </w:r>
      <w:r w:rsidR="00CE51F6">
        <w:rPr>
          <w:rFonts w:asciiTheme="majorHAnsi" w:hAnsiTheme="majorHAnsi" w:cstheme="majorHAnsi"/>
          <w:sz w:val="23"/>
          <w:szCs w:val="23"/>
          <w:lang w:val="en-GB"/>
        </w:rPr>
        <w:t>point</w:t>
      </w:r>
      <w:r>
        <w:rPr>
          <w:rFonts w:asciiTheme="majorHAnsi" w:hAnsiTheme="majorHAnsi" w:cstheme="majorHAnsi"/>
          <w:sz w:val="23"/>
          <w:szCs w:val="23"/>
          <w:lang w:val="en-GB"/>
        </w:rPr>
        <w:t xml:space="preserve"> </w:t>
      </w:r>
      <w:r w:rsidR="00CE51F6">
        <w:rPr>
          <w:rFonts w:asciiTheme="majorHAnsi" w:hAnsiTheme="majorHAnsi" w:cstheme="majorHAnsi"/>
          <w:sz w:val="23"/>
          <w:szCs w:val="23"/>
          <w:lang w:val="en-GB"/>
        </w:rPr>
        <w:t xml:space="preserve">that participants </w:t>
      </w:r>
      <w:r>
        <w:rPr>
          <w:rFonts w:asciiTheme="majorHAnsi" w:hAnsiTheme="majorHAnsi" w:cstheme="majorHAnsi"/>
          <w:sz w:val="23"/>
          <w:szCs w:val="23"/>
          <w:lang w:val="en-GB"/>
        </w:rPr>
        <w:t>reinforced was</w:t>
      </w:r>
      <w:r w:rsidRPr="00915FF0">
        <w:rPr>
          <w:rFonts w:asciiTheme="majorHAnsi" w:hAnsiTheme="majorHAnsi" w:cstheme="majorHAnsi"/>
          <w:sz w:val="23"/>
          <w:szCs w:val="23"/>
          <w:lang w:val="en-GB"/>
        </w:rPr>
        <w:t xml:space="preserve"> the need to</w:t>
      </w:r>
      <w:r w:rsidR="000D09C8" w:rsidRPr="00915FF0">
        <w:rPr>
          <w:rFonts w:asciiTheme="majorHAnsi" w:hAnsiTheme="majorHAnsi" w:cstheme="majorHAnsi"/>
          <w:sz w:val="23"/>
          <w:szCs w:val="23"/>
          <w:lang w:val="en-GB"/>
        </w:rPr>
        <w:t xml:space="preserve"> commit significant resources</w:t>
      </w:r>
      <w:r w:rsidR="00CE51F6">
        <w:rPr>
          <w:rFonts w:asciiTheme="majorHAnsi" w:hAnsiTheme="majorHAnsi" w:cstheme="majorHAnsi"/>
          <w:sz w:val="23"/>
          <w:szCs w:val="23"/>
          <w:lang w:val="en-GB"/>
        </w:rPr>
        <w:t xml:space="preserve"> to any new initiatives, including support for</w:t>
      </w:r>
      <w:r>
        <w:rPr>
          <w:rFonts w:asciiTheme="majorHAnsi" w:hAnsiTheme="majorHAnsi" w:cstheme="majorHAnsi"/>
          <w:sz w:val="23"/>
          <w:szCs w:val="23"/>
          <w:lang w:val="en-GB"/>
        </w:rPr>
        <w:t xml:space="preserve"> </w:t>
      </w:r>
      <w:r w:rsidR="000D09C8" w:rsidRPr="00915FF0">
        <w:rPr>
          <w:rFonts w:asciiTheme="majorHAnsi" w:hAnsiTheme="majorHAnsi" w:cstheme="majorHAnsi"/>
          <w:sz w:val="23"/>
          <w:szCs w:val="23"/>
          <w:lang w:val="en-GB"/>
        </w:rPr>
        <w:t>existing and effective programs:</w:t>
      </w:r>
    </w:p>
    <w:p w14:paraId="09C02739" w14:textId="3CBF4949" w:rsidR="000D09C8" w:rsidRPr="00915FF0" w:rsidRDefault="00915FF0" w:rsidP="00467053">
      <w:pPr>
        <w:spacing w:line="276" w:lineRule="auto"/>
        <w:ind w:left="720"/>
        <w:rPr>
          <w:rFonts w:asciiTheme="majorHAnsi" w:hAnsiTheme="majorHAnsi" w:cstheme="majorHAnsi"/>
          <w:sz w:val="23"/>
          <w:szCs w:val="23"/>
        </w:rPr>
      </w:pPr>
      <w:r>
        <w:rPr>
          <w:rFonts w:asciiTheme="majorHAnsi" w:hAnsiTheme="majorHAnsi" w:cstheme="majorHAnsi"/>
          <w:sz w:val="23"/>
          <w:szCs w:val="23"/>
        </w:rPr>
        <w:t>U</w:t>
      </w:r>
      <w:r w:rsidR="000D09C8" w:rsidRPr="00915FF0">
        <w:rPr>
          <w:rFonts w:asciiTheme="majorHAnsi" w:hAnsiTheme="majorHAnsi" w:cstheme="majorHAnsi"/>
          <w:sz w:val="23"/>
          <w:szCs w:val="23"/>
        </w:rPr>
        <w:t xml:space="preserve">nless there’s significant money to implement or to start working on these projects, it shouldn’t even begin if it’s going to go nowhere. And I’m not just talking </w:t>
      </w:r>
      <w:r w:rsidR="00CE51F6">
        <w:rPr>
          <w:rFonts w:asciiTheme="majorHAnsi" w:hAnsiTheme="majorHAnsi" w:cstheme="majorHAnsi"/>
          <w:sz w:val="23"/>
          <w:szCs w:val="23"/>
        </w:rPr>
        <w:t>$</w:t>
      </w:r>
      <w:r w:rsidR="000D09C8" w:rsidRPr="00915FF0">
        <w:rPr>
          <w:rFonts w:asciiTheme="majorHAnsi" w:hAnsiTheme="majorHAnsi" w:cstheme="majorHAnsi"/>
          <w:sz w:val="23"/>
          <w:szCs w:val="23"/>
        </w:rPr>
        <w:t xml:space="preserve">100,000, </w:t>
      </w:r>
      <w:r w:rsidR="00CE51F6">
        <w:rPr>
          <w:rFonts w:asciiTheme="majorHAnsi" w:hAnsiTheme="majorHAnsi" w:cstheme="majorHAnsi"/>
          <w:sz w:val="23"/>
          <w:szCs w:val="23"/>
        </w:rPr>
        <w:t>$</w:t>
      </w:r>
      <w:r w:rsidR="000D09C8" w:rsidRPr="00915FF0">
        <w:rPr>
          <w:rFonts w:asciiTheme="majorHAnsi" w:hAnsiTheme="majorHAnsi" w:cstheme="majorHAnsi"/>
          <w:sz w:val="23"/>
          <w:szCs w:val="23"/>
        </w:rPr>
        <w:t>200,000 kind of stuff. No, we’re talking millions of dollars that could be utilised in really effective ways using the principles from the conversations from this group</w:t>
      </w:r>
      <w:r w:rsidR="00CE51F6">
        <w:rPr>
          <w:rFonts w:asciiTheme="majorHAnsi" w:hAnsiTheme="majorHAnsi" w:cstheme="majorHAnsi"/>
          <w:sz w:val="23"/>
          <w:szCs w:val="23"/>
        </w:rPr>
        <w:t>,</w:t>
      </w:r>
      <w:r w:rsidR="000D09C8" w:rsidRPr="00915FF0">
        <w:rPr>
          <w:rFonts w:asciiTheme="majorHAnsi" w:hAnsiTheme="majorHAnsi" w:cstheme="majorHAnsi"/>
          <w:sz w:val="23"/>
          <w:szCs w:val="23"/>
        </w:rPr>
        <w:t xml:space="preserve"> and from the residents themselves, ground up</w:t>
      </w:r>
      <w:r w:rsidR="00CE51F6">
        <w:rPr>
          <w:rFonts w:asciiTheme="majorHAnsi" w:hAnsiTheme="majorHAnsi" w:cstheme="majorHAnsi"/>
          <w:sz w:val="23"/>
          <w:szCs w:val="23"/>
        </w:rPr>
        <w:t xml:space="preserve"> –</w:t>
      </w:r>
      <w:r w:rsidR="000D09C8" w:rsidRPr="00915FF0">
        <w:rPr>
          <w:rFonts w:asciiTheme="majorHAnsi" w:hAnsiTheme="majorHAnsi" w:cstheme="majorHAnsi"/>
          <w:sz w:val="23"/>
          <w:szCs w:val="23"/>
        </w:rPr>
        <w:t xml:space="preserve"> respecting what’s already happening, supporting all the great programs that are already happening, identifying the strengths and really investing in stabilising those things and working on them.</w:t>
      </w:r>
    </w:p>
    <w:p w14:paraId="2BAD6297" w14:textId="5ED7D016" w:rsidR="000D09C8" w:rsidRPr="00D37619" w:rsidRDefault="00CE51F6" w:rsidP="00467053">
      <w:pPr>
        <w:spacing w:line="276" w:lineRule="auto"/>
        <w:rPr>
          <w:rFonts w:asciiTheme="majorHAnsi" w:eastAsia="Calibri" w:hAnsiTheme="majorHAnsi" w:cstheme="majorHAnsi"/>
          <w:sz w:val="23"/>
          <w:szCs w:val="23"/>
          <w:lang w:val="en-GB"/>
        </w:rPr>
      </w:pPr>
      <w:r>
        <w:rPr>
          <w:rFonts w:asciiTheme="majorHAnsi" w:eastAsia="Calibri" w:hAnsiTheme="majorHAnsi" w:cstheme="majorHAnsi"/>
          <w:sz w:val="23"/>
          <w:szCs w:val="23"/>
          <w:lang w:val="en-GB"/>
        </w:rPr>
        <w:t>Further</w:t>
      </w:r>
      <w:r w:rsidR="000D09C8" w:rsidRPr="00D37619">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 xml:space="preserve">ideas were </w:t>
      </w:r>
      <w:r w:rsidR="0029596C">
        <w:rPr>
          <w:rFonts w:asciiTheme="majorHAnsi" w:eastAsia="Calibri" w:hAnsiTheme="majorHAnsi" w:cstheme="majorHAnsi"/>
          <w:sz w:val="23"/>
          <w:szCs w:val="23"/>
          <w:lang w:val="en-GB"/>
        </w:rPr>
        <w:t xml:space="preserve">put forward </w:t>
      </w:r>
      <w:r w:rsidR="0035444D">
        <w:rPr>
          <w:rFonts w:asciiTheme="majorHAnsi" w:eastAsia="Calibri" w:hAnsiTheme="majorHAnsi" w:cstheme="majorHAnsi"/>
          <w:sz w:val="23"/>
          <w:szCs w:val="23"/>
          <w:lang w:val="en-GB"/>
        </w:rPr>
        <w:t>to improve and extend</w:t>
      </w:r>
      <w:r w:rsidR="0029596C">
        <w:rPr>
          <w:rFonts w:asciiTheme="majorHAnsi" w:eastAsia="Calibri" w:hAnsiTheme="majorHAnsi" w:cstheme="majorHAnsi"/>
          <w:sz w:val="23"/>
          <w:szCs w:val="23"/>
          <w:lang w:val="en-GB"/>
        </w:rPr>
        <w:t xml:space="preserve"> green and</w:t>
      </w:r>
      <w:r w:rsidR="000D09C8" w:rsidRPr="00D37619">
        <w:rPr>
          <w:rFonts w:asciiTheme="majorHAnsi" w:eastAsia="Calibri" w:hAnsiTheme="majorHAnsi" w:cstheme="majorHAnsi"/>
          <w:sz w:val="23"/>
          <w:szCs w:val="23"/>
          <w:lang w:val="en-GB"/>
        </w:rPr>
        <w:t xml:space="preserve"> open spaces </w:t>
      </w:r>
      <w:r>
        <w:rPr>
          <w:rFonts w:asciiTheme="majorHAnsi" w:eastAsia="Calibri" w:hAnsiTheme="majorHAnsi" w:cstheme="majorHAnsi"/>
          <w:sz w:val="23"/>
          <w:szCs w:val="23"/>
          <w:lang w:val="en-GB"/>
        </w:rPr>
        <w:t xml:space="preserve">and </w:t>
      </w:r>
      <w:r w:rsidR="000D09C8" w:rsidRPr="00D37619">
        <w:rPr>
          <w:rFonts w:asciiTheme="majorHAnsi" w:eastAsia="Calibri" w:hAnsiTheme="majorHAnsi" w:cstheme="majorHAnsi"/>
          <w:sz w:val="23"/>
          <w:szCs w:val="23"/>
          <w:lang w:val="en-GB"/>
        </w:rPr>
        <w:t>upgrad</w:t>
      </w:r>
      <w:r w:rsidR="0035444D">
        <w:rPr>
          <w:rFonts w:asciiTheme="majorHAnsi" w:eastAsia="Calibri" w:hAnsiTheme="majorHAnsi" w:cstheme="majorHAnsi"/>
          <w:sz w:val="23"/>
          <w:szCs w:val="23"/>
          <w:lang w:val="en-GB"/>
        </w:rPr>
        <w:t>e</w:t>
      </w:r>
      <w:r w:rsidR="000D09C8" w:rsidRPr="00D37619">
        <w:rPr>
          <w:rFonts w:asciiTheme="majorHAnsi" w:eastAsia="Calibri" w:hAnsiTheme="majorHAnsi" w:cstheme="majorHAnsi"/>
          <w:sz w:val="23"/>
          <w:szCs w:val="23"/>
          <w:lang w:val="en-GB"/>
        </w:rPr>
        <w:t xml:space="preserve"> physical environment</w:t>
      </w:r>
      <w:r w:rsidR="0029596C">
        <w:rPr>
          <w:rFonts w:asciiTheme="majorHAnsi" w:eastAsia="Calibri" w:hAnsiTheme="majorHAnsi" w:cstheme="majorHAnsi"/>
          <w:sz w:val="23"/>
          <w:szCs w:val="23"/>
          <w:lang w:val="en-GB"/>
        </w:rPr>
        <w:t>s, both</w:t>
      </w:r>
      <w:r w:rsidR="000D09C8" w:rsidRPr="00D37619">
        <w:rPr>
          <w:rFonts w:asciiTheme="majorHAnsi" w:eastAsia="Calibri" w:hAnsiTheme="majorHAnsi" w:cstheme="majorHAnsi"/>
          <w:sz w:val="23"/>
          <w:szCs w:val="23"/>
          <w:lang w:val="en-GB"/>
        </w:rPr>
        <w:t xml:space="preserve"> </w:t>
      </w:r>
      <w:r w:rsidR="0029596C">
        <w:rPr>
          <w:rFonts w:asciiTheme="majorHAnsi" w:eastAsia="Calibri" w:hAnsiTheme="majorHAnsi" w:cstheme="majorHAnsi"/>
          <w:sz w:val="23"/>
          <w:szCs w:val="23"/>
          <w:lang w:val="en-GB"/>
        </w:rPr>
        <w:t>within</w:t>
      </w:r>
      <w:r w:rsidR="000D09C8" w:rsidRPr="00D37619">
        <w:rPr>
          <w:rFonts w:asciiTheme="majorHAnsi" w:eastAsia="Calibri" w:hAnsiTheme="majorHAnsi" w:cstheme="majorHAnsi"/>
          <w:sz w:val="23"/>
          <w:szCs w:val="23"/>
          <w:lang w:val="en-GB"/>
        </w:rPr>
        <w:t xml:space="preserve"> the </w:t>
      </w:r>
      <w:r>
        <w:rPr>
          <w:rFonts w:asciiTheme="majorHAnsi" w:eastAsia="Calibri" w:hAnsiTheme="majorHAnsi" w:cstheme="majorHAnsi"/>
          <w:sz w:val="23"/>
          <w:szCs w:val="23"/>
          <w:lang w:val="en-GB"/>
        </w:rPr>
        <w:t xml:space="preserve">three </w:t>
      </w:r>
      <w:r w:rsidR="000D09C8" w:rsidRPr="00D37619">
        <w:rPr>
          <w:rFonts w:asciiTheme="majorHAnsi" w:eastAsia="Calibri" w:hAnsiTheme="majorHAnsi" w:cstheme="majorHAnsi"/>
          <w:sz w:val="23"/>
          <w:szCs w:val="23"/>
          <w:lang w:val="en-GB"/>
        </w:rPr>
        <w:t>localities</w:t>
      </w:r>
      <w:r w:rsidR="0029596C">
        <w:rPr>
          <w:rFonts w:asciiTheme="majorHAnsi" w:eastAsia="Calibri" w:hAnsiTheme="majorHAnsi" w:cstheme="majorHAnsi"/>
          <w:sz w:val="23"/>
          <w:szCs w:val="23"/>
          <w:lang w:val="en-GB"/>
        </w:rPr>
        <w:t xml:space="preserve"> and in nearby areas accessible to residents</w:t>
      </w:r>
      <w:r w:rsidR="000D09C8" w:rsidRPr="00D37619">
        <w:rPr>
          <w:rFonts w:asciiTheme="majorHAnsi" w:eastAsia="Calibri" w:hAnsiTheme="majorHAnsi" w:cstheme="majorHAnsi"/>
          <w:sz w:val="23"/>
          <w:szCs w:val="23"/>
          <w:lang w:val="en-GB"/>
        </w:rPr>
        <w:t xml:space="preserve">. Specific </w:t>
      </w:r>
      <w:r>
        <w:rPr>
          <w:rFonts w:asciiTheme="majorHAnsi" w:eastAsia="Calibri" w:hAnsiTheme="majorHAnsi" w:cstheme="majorHAnsi"/>
          <w:sz w:val="23"/>
          <w:szCs w:val="23"/>
          <w:lang w:val="en-GB"/>
        </w:rPr>
        <w:t>sites</w:t>
      </w:r>
      <w:r w:rsidR="000D09C8" w:rsidRPr="00D37619">
        <w:rPr>
          <w:rFonts w:asciiTheme="majorHAnsi" w:eastAsia="Calibri" w:hAnsiTheme="majorHAnsi" w:cstheme="majorHAnsi"/>
          <w:sz w:val="23"/>
          <w:szCs w:val="23"/>
          <w:lang w:val="en-GB"/>
        </w:rPr>
        <w:t xml:space="preserve"> mentioned </w:t>
      </w:r>
      <w:r w:rsidR="0029596C">
        <w:rPr>
          <w:rFonts w:asciiTheme="majorHAnsi" w:eastAsia="Calibri" w:hAnsiTheme="majorHAnsi" w:cstheme="majorHAnsi"/>
          <w:sz w:val="23"/>
          <w:szCs w:val="23"/>
          <w:lang w:val="en-GB"/>
        </w:rPr>
        <w:t xml:space="preserve">in this discussion </w:t>
      </w:r>
      <w:r w:rsidR="000D09C8" w:rsidRPr="00D37619">
        <w:rPr>
          <w:rFonts w:asciiTheme="majorHAnsi" w:eastAsia="Calibri" w:hAnsiTheme="majorHAnsi" w:cstheme="majorHAnsi"/>
          <w:sz w:val="23"/>
          <w:szCs w:val="23"/>
          <w:lang w:val="en-GB"/>
        </w:rPr>
        <w:t>were Cowies Creek</w:t>
      </w:r>
      <w:r w:rsidR="00557C5B">
        <w:rPr>
          <w:rFonts w:asciiTheme="majorHAnsi" w:eastAsia="Calibri" w:hAnsiTheme="majorHAnsi" w:cstheme="majorHAnsi"/>
          <w:sz w:val="23"/>
          <w:szCs w:val="23"/>
          <w:lang w:val="en-GB"/>
        </w:rPr>
        <w:t xml:space="preserve"> (Corio-Norlane)</w:t>
      </w:r>
      <w:r w:rsidR="0035444D">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 xml:space="preserve">the </w:t>
      </w:r>
      <w:r w:rsidR="000D09C8" w:rsidRPr="00D37619">
        <w:rPr>
          <w:rFonts w:asciiTheme="majorHAnsi" w:eastAsia="Calibri" w:hAnsiTheme="majorHAnsi" w:cstheme="majorHAnsi"/>
          <w:sz w:val="23"/>
          <w:szCs w:val="23"/>
          <w:lang w:val="en-GB"/>
        </w:rPr>
        <w:t>St Helens</w:t>
      </w:r>
      <w:r>
        <w:rPr>
          <w:rFonts w:asciiTheme="majorHAnsi" w:eastAsia="Calibri" w:hAnsiTheme="majorHAnsi" w:cstheme="majorHAnsi"/>
          <w:sz w:val="23"/>
          <w:szCs w:val="23"/>
          <w:lang w:val="en-GB"/>
        </w:rPr>
        <w:t xml:space="preserve"> area</w:t>
      </w:r>
      <w:r w:rsidR="0034708F">
        <w:rPr>
          <w:rFonts w:asciiTheme="majorHAnsi" w:eastAsia="Calibri" w:hAnsiTheme="majorHAnsi" w:cstheme="majorHAnsi"/>
          <w:sz w:val="23"/>
          <w:szCs w:val="23"/>
          <w:lang w:val="en-GB"/>
        </w:rPr>
        <w:t>,</w:t>
      </w:r>
      <w:r>
        <w:rPr>
          <w:rFonts w:asciiTheme="majorHAnsi" w:eastAsia="Calibri" w:hAnsiTheme="majorHAnsi" w:cstheme="majorHAnsi"/>
          <w:sz w:val="23"/>
          <w:szCs w:val="23"/>
          <w:lang w:val="en-GB"/>
        </w:rPr>
        <w:t xml:space="preserve"> and</w:t>
      </w:r>
      <w:r w:rsidR="0029596C">
        <w:rPr>
          <w:rFonts w:asciiTheme="majorHAnsi" w:eastAsia="Calibri" w:hAnsiTheme="majorHAnsi" w:cstheme="majorHAnsi"/>
          <w:sz w:val="23"/>
          <w:szCs w:val="23"/>
          <w:lang w:val="en-GB"/>
        </w:rPr>
        <w:t xml:space="preserve"> historic </w:t>
      </w:r>
      <w:r w:rsidR="000D09C8" w:rsidRPr="00D37619">
        <w:rPr>
          <w:rFonts w:asciiTheme="majorHAnsi" w:eastAsia="Calibri" w:hAnsiTheme="majorHAnsi" w:cstheme="majorHAnsi"/>
          <w:sz w:val="23"/>
          <w:szCs w:val="23"/>
          <w:lang w:val="en-GB"/>
        </w:rPr>
        <w:t>Osborne House</w:t>
      </w:r>
      <w:r w:rsidR="0029596C">
        <w:rPr>
          <w:rFonts w:asciiTheme="majorHAnsi" w:eastAsia="Calibri" w:hAnsiTheme="majorHAnsi" w:cstheme="majorHAnsi"/>
          <w:sz w:val="23"/>
          <w:szCs w:val="23"/>
          <w:lang w:val="en-GB"/>
        </w:rPr>
        <w:t>/Osborne Park (the latter two being located the adjacent suburb of North Geelong)</w:t>
      </w:r>
      <w:r w:rsidR="000D09C8" w:rsidRPr="00D37619">
        <w:rPr>
          <w:rFonts w:asciiTheme="majorHAnsi" w:eastAsia="Calibri" w:hAnsiTheme="majorHAnsi" w:cstheme="majorHAnsi"/>
          <w:sz w:val="23"/>
          <w:szCs w:val="23"/>
          <w:lang w:val="en-GB"/>
        </w:rPr>
        <w:t>:</w:t>
      </w:r>
    </w:p>
    <w:p w14:paraId="35AC0D21" w14:textId="77777777" w:rsidR="000D09C8" w:rsidRPr="0029596C" w:rsidRDefault="000D09C8" w:rsidP="00467053">
      <w:pPr>
        <w:spacing w:line="276" w:lineRule="auto"/>
        <w:ind w:left="720"/>
        <w:rPr>
          <w:rFonts w:asciiTheme="majorHAnsi" w:hAnsiTheme="majorHAnsi" w:cstheme="majorHAnsi"/>
          <w:sz w:val="23"/>
          <w:szCs w:val="23"/>
        </w:rPr>
      </w:pPr>
      <w:r w:rsidRPr="0029596C">
        <w:rPr>
          <w:rFonts w:asciiTheme="majorHAnsi" w:hAnsiTheme="majorHAnsi" w:cstheme="majorHAnsi"/>
          <w:sz w:val="23"/>
          <w:szCs w:val="23"/>
        </w:rPr>
        <w:t>Improving all the environmental areas as much as possible or finding new ones would be great to add in and incorporate that into the built environment… making spaces beautiful and green.</w:t>
      </w:r>
    </w:p>
    <w:p w14:paraId="24806F66" w14:textId="6C4E0F61" w:rsidR="000D09C8" w:rsidRPr="00D37619" w:rsidRDefault="0029596C" w:rsidP="00467053">
      <w:pPr>
        <w:spacing w:line="276" w:lineRule="auto"/>
        <w:rPr>
          <w:rFonts w:asciiTheme="majorHAnsi" w:eastAsia="Calibri" w:hAnsiTheme="majorHAnsi" w:cstheme="majorHAnsi"/>
          <w:sz w:val="23"/>
          <w:szCs w:val="23"/>
          <w:lang w:val="en-GB"/>
        </w:rPr>
      </w:pPr>
      <w:r>
        <w:rPr>
          <w:rFonts w:asciiTheme="majorHAnsi" w:eastAsia="Calibri" w:hAnsiTheme="majorHAnsi" w:cstheme="majorHAnsi"/>
          <w:sz w:val="23"/>
          <w:szCs w:val="23"/>
          <w:lang w:val="en-GB"/>
        </w:rPr>
        <w:t>Finally</w:t>
      </w:r>
      <w:r w:rsidR="000D09C8" w:rsidRPr="00D37619">
        <w:rPr>
          <w:rFonts w:asciiTheme="majorHAnsi" w:eastAsia="Calibri" w:hAnsiTheme="majorHAnsi" w:cstheme="majorHAnsi"/>
          <w:sz w:val="23"/>
          <w:szCs w:val="23"/>
          <w:lang w:val="en-GB"/>
        </w:rPr>
        <w:t xml:space="preserve">, while </w:t>
      </w:r>
      <w:r>
        <w:rPr>
          <w:rFonts w:asciiTheme="majorHAnsi" w:eastAsia="Calibri" w:hAnsiTheme="majorHAnsi" w:cstheme="majorHAnsi"/>
          <w:sz w:val="23"/>
          <w:szCs w:val="23"/>
          <w:lang w:val="en-GB"/>
        </w:rPr>
        <w:t>participants underlined</w:t>
      </w:r>
      <w:r w:rsidR="000D09C8" w:rsidRPr="00D37619">
        <w:rPr>
          <w:rFonts w:asciiTheme="majorHAnsi" w:eastAsia="Calibri" w:hAnsiTheme="majorHAnsi" w:cstheme="majorHAnsi"/>
          <w:sz w:val="23"/>
          <w:szCs w:val="23"/>
          <w:lang w:val="en-GB"/>
        </w:rPr>
        <w:t xml:space="preserve"> the need to revisit past </w:t>
      </w:r>
      <w:r>
        <w:rPr>
          <w:rFonts w:asciiTheme="majorHAnsi" w:eastAsia="Calibri" w:hAnsiTheme="majorHAnsi" w:cstheme="majorHAnsi"/>
          <w:sz w:val="23"/>
          <w:szCs w:val="23"/>
          <w:lang w:val="en-GB"/>
        </w:rPr>
        <w:t xml:space="preserve">initiatives </w:t>
      </w:r>
      <w:r w:rsidR="000D09C8" w:rsidRPr="00D37619">
        <w:rPr>
          <w:rFonts w:asciiTheme="majorHAnsi" w:eastAsia="Calibri" w:hAnsiTheme="majorHAnsi" w:cstheme="majorHAnsi"/>
          <w:sz w:val="23"/>
          <w:szCs w:val="23"/>
          <w:lang w:val="en-GB"/>
        </w:rPr>
        <w:t xml:space="preserve">and </w:t>
      </w:r>
      <w:r>
        <w:rPr>
          <w:rFonts w:asciiTheme="majorHAnsi" w:eastAsia="Calibri" w:hAnsiTheme="majorHAnsi" w:cstheme="majorHAnsi"/>
          <w:sz w:val="23"/>
          <w:szCs w:val="23"/>
          <w:lang w:val="en-GB"/>
        </w:rPr>
        <w:t xml:space="preserve">build on </w:t>
      </w:r>
      <w:r w:rsidR="000D09C8" w:rsidRPr="00D37619">
        <w:rPr>
          <w:rFonts w:asciiTheme="majorHAnsi" w:eastAsia="Calibri" w:hAnsiTheme="majorHAnsi" w:cstheme="majorHAnsi"/>
          <w:sz w:val="23"/>
          <w:szCs w:val="23"/>
          <w:lang w:val="en-GB"/>
        </w:rPr>
        <w:t xml:space="preserve">existing </w:t>
      </w:r>
      <w:r>
        <w:rPr>
          <w:rFonts w:asciiTheme="majorHAnsi" w:eastAsia="Calibri" w:hAnsiTheme="majorHAnsi" w:cstheme="majorHAnsi"/>
          <w:sz w:val="23"/>
          <w:szCs w:val="23"/>
          <w:lang w:val="en-GB"/>
        </w:rPr>
        <w:t>knowledge,</w:t>
      </w:r>
      <w:r w:rsidR="000D09C8" w:rsidRPr="00D37619">
        <w:rPr>
          <w:rFonts w:asciiTheme="majorHAnsi" w:eastAsia="Calibri" w:hAnsiTheme="majorHAnsi" w:cstheme="majorHAnsi"/>
          <w:sz w:val="23"/>
          <w:szCs w:val="23"/>
          <w:lang w:val="en-GB"/>
        </w:rPr>
        <w:t xml:space="preserve"> </w:t>
      </w:r>
      <w:r>
        <w:rPr>
          <w:rFonts w:asciiTheme="majorHAnsi" w:eastAsia="Calibri" w:hAnsiTheme="majorHAnsi" w:cstheme="majorHAnsi"/>
          <w:sz w:val="23"/>
          <w:szCs w:val="23"/>
          <w:lang w:val="en-GB"/>
        </w:rPr>
        <w:t>they were also open to</w:t>
      </w:r>
      <w:r w:rsidR="000D09C8" w:rsidRPr="00D37619">
        <w:rPr>
          <w:rFonts w:asciiTheme="majorHAnsi" w:eastAsia="Calibri" w:hAnsiTheme="majorHAnsi" w:cstheme="majorHAnsi"/>
          <w:sz w:val="23"/>
          <w:szCs w:val="23"/>
          <w:lang w:val="en-GB"/>
        </w:rPr>
        <w:t xml:space="preserve"> learn</w:t>
      </w:r>
      <w:r>
        <w:rPr>
          <w:rFonts w:asciiTheme="majorHAnsi" w:eastAsia="Calibri" w:hAnsiTheme="majorHAnsi" w:cstheme="majorHAnsi"/>
          <w:sz w:val="23"/>
          <w:szCs w:val="23"/>
          <w:lang w:val="en-GB"/>
        </w:rPr>
        <w:t>ing</w:t>
      </w:r>
      <w:r w:rsidR="000D09C8" w:rsidRPr="00D37619">
        <w:rPr>
          <w:rFonts w:asciiTheme="majorHAnsi" w:eastAsia="Calibri" w:hAnsiTheme="majorHAnsi" w:cstheme="majorHAnsi"/>
          <w:sz w:val="23"/>
          <w:szCs w:val="23"/>
          <w:lang w:val="en-GB"/>
        </w:rPr>
        <w:t xml:space="preserve"> from other </w:t>
      </w:r>
      <w:r>
        <w:rPr>
          <w:rFonts w:asciiTheme="majorHAnsi" w:eastAsia="Calibri" w:hAnsiTheme="majorHAnsi" w:cstheme="majorHAnsi"/>
          <w:sz w:val="23"/>
          <w:szCs w:val="23"/>
          <w:lang w:val="en-GB"/>
        </w:rPr>
        <w:t>Australian</w:t>
      </w:r>
      <w:r w:rsidR="000D09C8">
        <w:rPr>
          <w:rFonts w:asciiTheme="majorHAnsi" w:eastAsia="Calibri" w:hAnsiTheme="majorHAnsi" w:cstheme="majorHAnsi"/>
          <w:sz w:val="23"/>
          <w:szCs w:val="23"/>
          <w:lang w:val="en-GB"/>
        </w:rPr>
        <w:t xml:space="preserve"> and global </w:t>
      </w:r>
      <w:r w:rsidRPr="00D37619">
        <w:rPr>
          <w:rFonts w:asciiTheme="majorHAnsi" w:eastAsia="Calibri" w:hAnsiTheme="majorHAnsi" w:cstheme="majorHAnsi"/>
          <w:sz w:val="23"/>
          <w:szCs w:val="23"/>
          <w:lang w:val="en-GB"/>
        </w:rPr>
        <w:t>in</w:t>
      </w:r>
      <w:r>
        <w:rPr>
          <w:rFonts w:asciiTheme="majorHAnsi" w:eastAsia="Calibri" w:hAnsiTheme="majorHAnsi" w:cstheme="majorHAnsi"/>
          <w:sz w:val="23"/>
          <w:szCs w:val="23"/>
          <w:lang w:val="en-GB"/>
        </w:rPr>
        <w:t xml:space="preserve">itiatives </w:t>
      </w:r>
      <w:r w:rsidR="000D09C8" w:rsidRPr="00D37619">
        <w:rPr>
          <w:rFonts w:asciiTheme="majorHAnsi" w:eastAsia="Calibri" w:hAnsiTheme="majorHAnsi" w:cstheme="majorHAnsi"/>
          <w:sz w:val="23"/>
          <w:szCs w:val="23"/>
          <w:lang w:val="en-GB"/>
        </w:rPr>
        <w:t>to address disadvantage:</w:t>
      </w:r>
    </w:p>
    <w:p w14:paraId="163E6880" w14:textId="0C3239BF" w:rsidR="000D09C8" w:rsidRPr="0029596C" w:rsidRDefault="000B19B5" w:rsidP="00467053">
      <w:pPr>
        <w:spacing w:after="240" w:line="276" w:lineRule="auto"/>
        <w:ind w:left="720"/>
        <w:rPr>
          <w:rFonts w:asciiTheme="majorHAnsi" w:hAnsiTheme="majorHAnsi" w:cstheme="majorHAnsi"/>
          <w:sz w:val="23"/>
          <w:szCs w:val="23"/>
        </w:rPr>
      </w:pPr>
      <w:r>
        <w:rPr>
          <w:rFonts w:asciiTheme="majorHAnsi" w:hAnsiTheme="majorHAnsi" w:cstheme="majorHAnsi"/>
          <w:sz w:val="23"/>
          <w:szCs w:val="23"/>
        </w:rPr>
        <w:t>H</w:t>
      </w:r>
      <w:r w:rsidR="000D09C8" w:rsidRPr="0029596C">
        <w:rPr>
          <w:rFonts w:asciiTheme="majorHAnsi" w:hAnsiTheme="majorHAnsi" w:cstheme="majorHAnsi"/>
          <w:sz w:val="23"/>
          <w:szCs w:val="23"/>
        </w:rPr>
        <w:t>ow do we really start to think outside the box on employment, on housing</w:t>
      </w:r>
      <w:r>
        <w:rPr>
          <w:rFonts w:asciiTheme="majorHAnsi" w:hAnsiTheme="majorHAnsi" w:cstheme="majorHAnsi"/>
          <w:sz w:val="23"/>
          <w:szCs w:val="23"/>
        </w:rPr>
        <w:t>,</w:t>
      </w:r>
      <w:r w:rsidR="000D09C8" w:rsidRPr="0029596C">
        <w:rPr>
          <w:rFonts w:asciiTheme="majorHAnsi" w:hAnsiTheme="majorHAnsi" w:cstheme="majorHAnsi"/>
          <w:sz w:val="23"/>
          <w:szCs w:val="23"/>
        </w:rPr>
        <w:t xml:space="preserve"> and all the above</w:t>
      </w:r>
      <w:r>
        <w:rPr>
          <w:rFonts w:asciiTheme="majorHAnsi" w:hAnsiTheme="majorHAnsi" w:cstheme="majorHAnsi"/>
          <w:sz w:val="23"/>
          <w:szCs w:val="23"/>
        </w:rPr>
        <w:t xml:space="preserve"> [issues]</w:t>
      </w:r>
      <w:r w:rsidR="000D09C8" w:rsidRPr="0029596C">
        <w:rPr>
          <w:rFonts w:asciiTheme="majorHAnsi" w:hAnsiTheme="majorHAnsi" w:cstheme="majorHAnsi"/>
          <w:sz w:val="23"/>
          <w:szCs w:val="23"/>
        </w:rPr>
        <w:t>, looking at what some other neighbourhoods around the world have been trying</w:t>
      </w:r>
      <w:r w:rsidR="0029596C">
        <w:rPr>
          <w:rFonts w:asciiTheme="majorHAnsi" w:hAnsiTheme="majorHAnsi" w:cstheme="majorHAnsi"/>
          <w:sz w:val="23"/>
          <w:szCs w:val="23"/>
        </w:rPr>
        <w:t>,</w:t>
      </w:r>
      <w:r w:rsidR="000D09C8" w:rsidRPr="0029596C">
        <w:rPr>
          <w:rFonts w:asciiTheme="majorHAnsi" w:hAnsiTheme="majorHAnsi" w:cstheme="majorHAnsi"/>
          <w:sz w:val="23"/>
          <w:szCs w:val="23"/>
        </w:rPr>
        <w:t xml:space="preserve"> and bring</w:t>
      </w:r>
      <w:r>
        <w:rPr>
          <w:rFonts w:asciiTheme="majorHAnsi" w:hAnsiTheme="majorHAnsi" w:cstheme="majorHAnsi"/>
          <w:sz w:val="23"/>
          <w:szCs w:val="23"/>
        </w:rPr>
        <w:t>ing</w:t>
      </w:r>
      <w:r w:rsidR="000D09C8" w:rsidRPr="0029596C">
        <w:rPr>
          <w:rFonts w:asciiTheme="majorHAnsi" w:hAnsiTheme="majorHAnsi" w:cstheme="majorHAnsi"/>
          <w:sz w:val="23"/>
          <w:szCs w:val="23"/>
        </w:rPr>
        <w:t xml:space="preserve"> some of that learning and observations in as well</w:t>
      </w:r>
      <w:r w:rsidR="0029596C">
        <w:rPr>
          <w:rFonts w:asciiTheme="majorHAnsi" w:hAnsiTheme="majorHAnsi" w:cstheme="majorHAnsi"/>
          <w:sz w:val="23"/>
          <w:szCs w:val="23"/>
        </w:rPr>
        <w:t>?</w:t>
      </w:r>
      <w:r w:rsidR="000D09C8" w:rsidRPr="0029596C">
        <w:rPr>
          <w:rFonts w:asciiTheme="majorHAnsi" w:hAnsiTheme="majorHAnsi" w:cstheme="majorHAnsi"/>
          <w:sz w:val="23"/>
          <w:szCs w:val="23"/>
        </w:rPr>
        <w:t xml:space="preserve"> And I think fresh approaches </w:t>
      </w:r>
      <w:r w:rsidR="0029596C">
        <w:rPr>
          <w:rFonts w:asciiTheme="majorHAnsi" w:hAnsiTheme="majorHAnsi" w:cstheme="majorHAnsi"/>
          <w:sz w:val="23"/>
          <w:szCs w:val="23"/>
        </w:rPr>
        <w:t>are</w:t>
      </w:r>
      <w:r w:rsidR="000D09C8" w:rsidRPr="0029596C">
        <w:rPr>
          <w:rFonts w:asciiTheme="majorHAnsi" w:hAnsiTheme="majorHAnsi" w:cstheme="majorHAnsi"/>
          <w:sz w:val="23"/>
          <w:szCs w:val="23"/>
        </w:rPr>
        <w:t xml:space="preserve"> also very critical for people.</w:t>
      </w:r>
      <w:r w:rsidR="002108E0">
        <w:rPr>
          <w:rFonts w:asciiTheme="majorHAnsi" w:hAnsiTheme="majorHAnsi" w:cstheme="majorHAnsi"/>
          <w:sz w:val="23"/>
          <w:szCs w:val="23"/>
        </w:rPr>
        <w:br w:type="page"/>
      </w:r>
    </w:p>
    <w:p w14:paraId="6C4F0E98" w14:textId="29152E6F" w:rsidR="000D09C8" w:rsidRPr="002108E0" w:rsidRDefault="000D09C8" w:rsidP="00467053">
      <w:pPr>
        <w:spacing w:line="276" w:lineRule="auto"/>
        <w:rPr>
          <w:rFonts w:cstheme="minorHAnsi"/>
          <w:b/>
          <w:bCs/>
          <w:color w:val="2F5496" w:themeColor="accent1" w:themeShade="BF"/>
          <w:sz w:val="25"/>
          <w:szCs w:val="25"/>
          <w:lang w:val="en-GB"/>
        </w:rPr>
      </w:pPr>
      <w:r w:rsidRPr="002108E0">
        <w:rPr>
          <w:rFonts w:cstheme="minorHAnsi"/>
          <w:b/>
          <w:bCs/>
          <w:color w:val="2F5496" w:themeColor="accent1" w:themeShade="BF"/>
          <w:sz w:val="25"/>
          <w:szCs w:val="25"/>
          <w:lang w:val="en-GB"/>
        </w:rPr>
        <w:lastRenderedPageBreak/>
        <w:t>Question 2</w:t>
      </w:r>
      <w:r w:rsidR="000B19B5" w:rsidRPr="002108E0">
        <w:rPr>
          <w:rFonts w:cstheme="minorHAnsi"/>
          <w:b/>
          <w:bCs/>
          <w:color w:val="2F5496" w:themeColor="accent1" w:themeShade="BF"/>
          <w:sz w:val="25"/>
          <w:szCs w:val="25"/>
          <w:lang w:val="en-GB"/>
        </w:rPr>
        <w:t>:</w:t>
      </w:r>
      <w:r w:rsidRPr="002108E0">
        <w:rPr>
          <w:rFonts w:cstheme="minorHAnsi"/>
          <w:b/>
          <w:bCs/>
          <w:color w:val="2F5496" w:themeColor="accent1" w:themeShade="BF"/>
          <w:sz w:val="25"/>
          <w:szCs w:val="25"/>
          <w:lang w:val="en-GB"/>
        </w:rPr>
        <w:t xml:space="preserve"> What are your ideas on how to make these things happen?</w:t>
      </w:r>
    </w:p>
    <w:p w14:paraId="2FEFD9D3" w14:textId="77777777" w:rsidR="000D09C8" w:rsidRPr="00D37619" w:rsidRDefault="000D09C8" w:rsidP="00467053">
      <w:pPr>
        <w:spacing w:line="276" w:lineRule="auto"/>
        <w:rPr>
          <w:rFonts w:asciiTheme="majorHAnsi" w:eastAsia="Calibri" w:hAnsiTheme="majorHAnsi" w:cstheme="majorHAnsi"/>
          <w:sz w:val="23"/>
          <w:szCs w:val="23"/>
          <w:lang w:val="en-GB"/>
        </w:rPr>
      </w:pPr>
      <w:r w:rsidRPr="00D37619">
        <w:rPr>
          <w:rFonts w:asciiTheme="majorHAnsi" w:eastAsia="Calibri" w:hAnsiTheme="majorHAnsi" w:cstheme="majorHAnsi"/>
          <w:sz w:val="23"/>
          <w:szCs w:val="23"/>
          <w:lang w:val="en-GB"/>
        </w:rPr>
        <w:t>In relation to funding existing or new programs, there was a suggestion to broaden the sources but also to urge governments to match fundraising by community groups, such as Encompass:</w:t>
      </w:r>
    </w:p>
    <w:p w14:paraId="1F845031" w14:textId="77777777" w:rsidR="000D09C8" w:rsidRPr="00772E66" w:rsidRDefault="000D09C8" w:rsidP="00467053">
      <w:pPr>
        <w:spacing w:after="240" w:line="276" w:lineRule="auto"/>
        <w:ind w:left="709"/>
        <w:rPr>
          <w:rFonts w:asciiTheme="majorHAnsi" w:hAnsiTheme="majorHAnsi" w:cstheme="majorBidi"/>
          <w:iCs/>
          <w:sz w:val="23"/>
          <w:szCs w:val="23"/>
        </w:rPr>
      </w:pPr>
      <w:r w:rsidRPr="00772E66">
        <w:rPr>
          <w:rFonts w:asciiTheme="majorHAnsi" w:hAnsiTheme="majorHAnsi" w:cstheme="majorBidi"/>
          <w:iCs/>
          <w:sz w:val="23"/>
          <w:szCs w:val="23"/>
        </w:rPr>
        <w:t>For every dollar that Encompasses invested in that, if that – going forward, I don’t expect anything retrospectively, but for every dollar we decide … invest on our own … if the government would actually go, “Okay, that’s a really good initiative. We’ll match your dollar.”</w:t>
      </w:r>
    </w:p>
    <w:p w14:paraId="320527CA" w14:textId="77777777" w:rsidR="000D09C8" w:rsidRPr="00772E66" w:rsidRDefault="000D09C8" w:rsidP="00467053">
      <w:pPr>
        <w:spacing w:line="276" w:lineRule="auto"/>
        <w:rPr>
          <w:rFonts w:asciiTheme="majorHAnsi" w:eastAsia="Calibri" w:hAnsiTheme="majorHAnsi" w:cstheme="majorHAnsi"/>
          <w:iCs/>
          <w:sz w:val="23"/>
          <w:szCs w:val="23"/>
          <w:lang w:val="en-GB"/>
        </w:rPr>
      </w:pPr>
      <w:r w:rsidRPr="00772E66">
        <w:rPr>
          <w:rFonts w:asciiTheme="majorHAnsi" w:eastAsia="Calibri" w:hAnsiTheme="majorHAnsi" w:cstheme="majorHAnsi"/>
          <w:iCs/>
          <w:sz w:val="23"/>
          <w:szCs w:val="23"/>
          <w:lang w:val="en-GB"/>
        </w:rPr>
        <w:t>The need was stressed here to build trust in the three locations, which takes time and ongoing commitment, primarily by the organisations and individuals delivering services:</w:t>
      </w:r>
    </w:p>
    <w:p w14:paraId="0AD44EDF" w14:textId="77777777" w:rsidR="000D09C8" w:rsidRPr="00772E66" w:rsidRDefault="000D09C8" w:rsidP="00467053">
      <w:pPr>
        <w:spacing w:line="276" w:lineRule="auto"/>
        <w:ind w:left="720"/>
        <w:rPr>
          <w:rFonts w:asciiTheme="majorHAnsi" w:hAnsiTheme="majorHAnsi" w:cstheme="majorHAnsi"/>
          <w:iCs/>
          <w:sz w:val="23"/>
          <w:szCs w:val="23"/>
        </w:rPr>
      </w:pPr>
      <w:r w:rsidRPr="00772E66">
        <w:rPr>
          <w:rFonts w:asciiTheme="majorHAnsi" w:hAnsiTheme="majorHAnsi" w:cstheme="majorHAnsi"/>
          <w:iCs/>
          <w:sz w:val="23"/>
          <w:szCs w:val="23"/>
        </w:rPr>
        <w:t>“seriously we’ll invest time and effort for ten years.” … the trust factor that you have to have with the area you go into is so important. We’ve been in Whittington on and off in different ways for probably nine years, ten years, and people I believe from the interaction with the residents, they now trust us. They know we’re not going to pick up and go like everybody else did years ago.</w:t>
      </w:r>
    </w:p>
    <w:p w14:paraId="0DE2765D" w14:textId="77777777" w:rsidR="000D09C8" w:rsidRPr="00772E66" w:rsidRDefault="000D09C8" w:rsidP="00467053">
      <w:pPr>
        <w:spacing w:line="276" w:lineRule="auto"/>
        <w:rPr>
          <w:rFonts w:asciiTheme="majorHAnsi" w:hAnsiTheme="majorHAnsi" w:cstheme="majorHAnsi"/>
          <w:iCs/>
          <w:sz w:val="23"/>
          <w:szCs w:val="23"/>
          <w:lang w:val="en-GB"/>
        </w:rPr>
      </w:pPr>
      <w:r w:rsidRPr="00772E66">
        <w:rPr>
          <w:rFonts w:asciiTheme="majorHAnsi" w:hAnsiTheme="majorHAnsi" w:cstheme="majorHAnsi"/>
          <w:iCs/>
          <w:sz w:val="23"/>
          <w:szCs w:val="23"/>
          <w:lang w:val="en-GB"/>
        </w:rPr>
        <w:t>This view was endorsed and expanded upon by others:</w:t>
      </w:r>
    </w:p>
    <w:p w14:paraId="43E38DD9" w14:textId="0F7A24C6" w:rsidR="000D09C8" w:rsidRDefault="000D09C8" w:rsidP="0034708F">
      <w:pPr>
        <w:spacing w:after="0" w:line="276" w:lineRule="auto"/>
        <w:ind w:left="720" w:hanging="11"/>
        <w:rPr>
          <w:rFonts w:asciiTheme="majorHAnsi" w:hAnsiTheme="majorHAnsi" w:cstheme="majorHAnsi"/>
          <w:iCs/>
          <w:sz w:val="23"/>
          <w:szCs w:val="23"/>
        </w:rPr>
      </w:pPr>
      <w:r w:rsidRPr="00772E66">
        <w:rPr>
          <w:rFonts w:asciiTheme="majorHAnsi" w:hAnsiTheme="majorHAnsi" w:cstheme="majorHAnsi"/>
          <w:iCs/>
          <w:sz w:val="23"/>
          <w:szCs w:val="23"/>
        </w:rPr>
        <w:t>It’s more serious than just being around…It’s showing a really clear investment of time, energy and money. It’s different from just being a service that’s available and I think that’s really critical.</w:t>
      </w:r>
    </w:p>
    <w:p w14:paraId="73075CA8" w14:textId="77777777" w:rsidR="0034708F" w:rsidRPr="0034708F" w:rsidRDefault="0034708F" w:rsidP="0034708F">
      <w:pPr>
        <w:spacing w:after="0" w:line="276" w:lineRule="auto"/>
        <w:ind w:left="720" w:hanging="11"/>
        <w:rPr>
          <w:rFonts w:asciiTheme="majorHAnsi" w:hAnsiTheme="majorHAnsi" w:cstheme="majorHAnsi"/>
          <w:iCs/>
          <w:sz w:val="16"/>
          <w:szCs w:val="16"/>
        </w:rPr>
      </w:pPr>
    </w:p>
    <w:p w14:paraId="0BC5A34A" w14:textId="5BC7C438" w:rsidR="000D09C8" w:rsidRPr="00772E66" w:rsidRDefault="006D7EFF" w:rsidP="00467053">
      <w:pPr>
        <w:spacing w:line="276" w:lineRule="auto"/>
        <w:rPr>
          <w:rFonts w:asciiTheme="majorHAnsi" w:eastAsia="Calibri" w:hAnsiTheme="majorHAnsi" w:cstheme="majorHAnsi"/>
          <w:iCs/>
          <w:sz w:val="23"/>
          <w:szCs w:val="23"/>
          <w:lang w:val="en-GB"/>
        </w:rPr>
      </w:pPr>
      <w:r>
        <w:rPr>
          <w:rFonts w:asciiTheme="majorHAnsi" w:eastAsia="Calibri" w:hAnsiTheme="majorHAnsi" w:cstheme="majorHAnsi"/>
          <w:iCs/>
          <w:sz w:val="23"/>
          <w:szCs w:val="23"/>
          <w:lang w:val="en-GB"/>
        </w:rPr>
        <w:t>There was also a</w:t>
      </w:r>
      <w:r w:rsidR="000D09C8" w:rsidRPr="00772E66">
        <w:rPr>
          <w:rFonts w:asciiTheme="majorHAnsi" w:eastAsia="Calibri" w:hAnsiTheme="majorHAnsi" w:cstheme="majorHAnsi"/>
          <w:iCs/>
          <w:sz w:val="23"/>
          <w:szCs w:val="23"/>
          <w:lang w:val="en-GB"/>
        </w:rPr>
        <w:t xml:space="preserve"> suggested</w:t>
      </w:r>
      <w:r>
        <w:rPr>
          <w:rFonts w:asciiTheme="majorHAnsi" w:eastAsia="Calibri" w:hAnsiTheme="majorHAnsi" w:cstheme="majorHAnsi"/>
          <w:iCs/>
          <w:sz w:val="23"/>
          <w:szCs w:val="23"/>
          <w:lang w:val="en-GB"/>
        </w:rPr>
        <w:t xml:space="preserve"> need</w:t>
      </w:r>
      <w:r w:rsidR="000D09C8" w:rsidRPr="00772E66">
        <w:rPr>
          <w:rFonts w:asciiTheme="majorHAnsi" w:eastAsia="Calibri" w:hAnsiTheme="majorHAnsi" w:cstheme="majorHAnsi"/>
          <w:iCs/>
          <w:sz w:val="23"/>
          <w:szCs w:val="23"/>
          <w:lang w:val="en-GB"/>
        </w:rPr>
        <w:t xml:space="preserve"> for </w:t>
      </w:r>
      <w:r w:rsidR="00885157">
        <w:rPr>
          <w:rFonts w:asciiTheme="majorHAnsi" w:eastAsia="Calibri" w:hAnsiTheme="majorHAnsi" w:cstheme="majorHAnsi"/>
          <w:iCs/>
          <w:sz w:val="23"/>
          <w:szCs w:val="23"/>
          <w:lang w:val="en-GB"/>
        </w:rPr>
        <w:t>more services and spaces that are</w:t>
      </w:r>
      <w:r w:rsidR="000D09C8" w:rsidRPr="00772E66">
        <w:rPr>
          <w:rFonts w:asciiTheme="majorHAnsi" w:eastAsia="Calibri" w:hAnsiTheme="majorHAnsi" w:cstheme="majorHAnsi"/>
          <w:iCs/>
          <w:sz w:val="23"/>
          <w:szCs w:val="23"/>
          <w:lang w:val="en-GB"/>
        </w:rPr>
        <w:t xml:space="preserve"> inviting</w:t>
      </w:r>
      <w:r w:rsidR="00885157">
        <w:rPr>
          <w:rFonts w:asciiTheme="majorHAnsi" w:eastAsia="Calibri" w:hAnsiTheme="majorHAnsi" w:cstheme="majorHAnsi"/>
          <w:iCs/>
          <w:sz w:val="23"/>
          <w:szCs w:val="23"/>
          <w:lang w:val="en-GB"/>
        </w:rPr>
        <w:t>, inclusive,</w:t>
      </w:r>
      <w:r w:rsidR="000D09C8" w:rsidRPr="00772E66">
        <w:rPr>
          <w:rFonts w:asciiTheme="majorHAnsi" w:eastAsia="Calibri" w:hAnsiTheme="majorHAnsi" w:cstheme="majorHAnsi"/>
          <w:iCs/>
          <w:sz w:val="23"/>
          <w:szCs w:val="23"/>
          <w:lang w:val="en-GB"/>
        </w:rPr>
        <w:t xml:space="preserve"> and respectful of all</w:t>
      </w:r>
      <w:r w:rsidR="00885157">
        <w:rPr>
          <w:rFonts w:asciiTheme="majorHAnsi" w:eastAsia="Calibri" w:hAnsiTheme="majorHAnsi" w:cstheme="majorHAnsi"/>
          <w:iCs/>
          <w:sz w:val="23"/>
          <w:szCs w:val="23"/>
          <w:lang w:val="en-GB"/>
        </w:rPr>
        <w:t>. This flows not only from the</w:t>
      </w:r>
      <w:r w:rsidR="000D09C8" w:rsidRPr="00772E66">
        <w:rPr>
          <w:rFonts w:asciiTheme="majorHAnsi" w:eastAsia="Calibri" w:hAnsiTheme="majorHAnsi" w:cstheme="majorHAnsi"/>
          <w:iCs/>
          <w:sz w:val="23"/>
          <w:szCs w:val="23"/>
          <w:lang w:val="en-GB"/>
        </w:rPr>
        <w:t xml:space="preserve"> physical layout</w:t>
      </w:r>
      <w:r w:rsidR="00885157">
        <w:rPr>
          <w:rFonts w:asciiTheme="majorHAnsi" w:eastAsia="Calibri" w:hAnsiTheme="majorHAnsi" w:cstheme="majorHAnsi"/>
          <w:iCs/>
          <w:sz w:val="23"/>
          <w:szCs w:val="23"/>
          <w:lang w:val="en-GB"/>
        </w:rPr>
        <w:t xml:space="preserve"> and amenities,</w:t>
      </w:r>
      <w:r w:rsidR="000D09C8" w:rsidRPr="00772E66">
        <w:rPr>
          <w:rFonts w:asciiTheme="majorHAnsi" w:eastAsia="Calibri" w:hAnsiTheme="majorHAnsi" w:cstheme="majorHAnsi"/>
          <w:iCs/>
          <w:sz w:val="23"/>
          <w:szCs w:val="23"/>
          <w:lang w:val="en-GB"/>
        </w:rPr>
        <w:t xml:space="preserve"> but the attitudes of staff and others:</w:t>
      </w:r>
    </w:p>
    <w:p w14:paraId="3815FF1D" w14:textId="6C2EE4EE" w:rsidR="000D09C8" w:rsidRPr="00772E66" w:rsidRDefault="000D09C8" w:rsidP="00467053">
      <w:pPr>
        <w:spacing w:after="240" w:line="276" w:lineRule="auto"/>
        <w:ind w:left="709"/>
        <w:rPr>
          <w:rFonts w:asciiTheme="majorHAnsi" w:hAnsiTheme="majorHAnsi" w:cstheme="majorHAnsi"/>
          <w:b/>
          <w:iCs/>
        </w:rPr>
      </w:pPr>
      <w:r w:rsidRPr="00772E66">
        <w:rPr>
          <w:rFonts w:asciiTheme="majorHAnsi" w:hAnsiTheme="majorHAnsi" w:cstheme="majorHAnsi"/>
          <w:iCs/>
          <w:sz w:val="23"/>
          <w:szCs w:val="23"/>
        </w:rPr>
        <w:t xml:space="preserve">People are welcome. Lots of little things happen that we didn’t ever </w:t>
      </w:r>
      <w:proofErr w:type="gramStart"/>
      <w:r w:rsidRPr="00772E66">
        <w:rPr>
          <w:rFonts w:asciiTheme="majorHAnsi" w:hAnsiTheme="majorHAnsi" w:cstheme="majorHAnsi"/>
          <w:iCs/>
          <w:sz w:val="23"/>
          <w:szCs w:val="23"/>
        </w:rPr>
        <w:t>anticipate, but</w:t>
      </w:r>
      <w:proofErr w:type="gramEnd"/>
      <w:r w:rsidRPr="00772E66">
        <w:rPr>
          <w:rFonts w:asciiTheme="majorHAnsi" w:hAnsiTheme="majorHAnsi" w:cstheme="majorHAnsi"/>
          <w:iCs/>
          <w:sz w:val="23"/>
          <w:szCs w:val="23"/>
        </w:rPr>
        <w:t xml:space="preserve"> are just (I) use the word joyful</w:t>
      </w:r>
      <w:r w:rsidR="00885157">
        <w:rPr>
          <w:rFonts w:asciiTheme="majorHAnsi" w:hAnsiTheme="majorHAnsi" w:cstheme="majorHAnsi"/>
          <w:iCs/>
          <w:sz w:val="23"/>
          <w:szCs w:val="23"/>
        </w:rPr>
        <w:t>”,</w:t>
      </w:r>
      <w:r w:rsidRPr="00772E66">
        <w:rPr>
          <w:rFonts w:asciiTheme="majorHAnsi" w:hAnsiTheme="majorHAnsi" w:cstheme="majorHAnsi"/>
          <w:iCs/>
          <w:sz w:val="23"/>
          <w:szCs w:val="23"/>
        </w:rPr>
        <w:t xml:space="preserve"> because they are. And not just for the residents, for our staff and our NDIS participants and for our volunteers and for grandmothers who come from Belmont, because it’s got some cheap furniture. It’s a whole lot of things and I also think it’s attitude of the people working there. I’m sure … everybody would say the same. The staff they have working, whether it’s Corio or Norlane or Whittington or wherever, they</w:t>
      </w:r>
      <w:r w:rsidRPr="00772E66">
        <w:rPr>
          <w:rFonts w:asciiTheme="majorHAnsi" w:hAnsiTheme="majorHAnsi" w:cstheme="majorHAnsi"/>
          <w:iCs/>
        </w:rPr>
        <w:t xml:space="preserve"> make such a difference. </w:t>
      </w:r>
    </w:p>
    <w:p w14:paraId="3EE8BBF9" w14:textId="1AD36CC6" w:rsidR="000D09C8" w:rsidRPr="002108E0" w:rsidRDefault="000D09C8" w:rsidP="00467053">
      <w:pPr>
        <w:spacing w:line="276" w:lineRule="auto"/>
        <w:rPr>
          <w:rFonts w:cstheme="majorHAnsi"/>
          <w:b/>
          <w:bCs/>
          <w:iCs/>
          <w:color w:val="2F5496" w:themeColor="accent1" w:themeShade="BF"/>
          <w:sz w:val="25"/>
          <w:szCs w:val="25"/>
        </w:rPr>
      </w:pPr>
      <w:r w:rsidRPr="002108E0">
        <w:rPr>
          <w:rFonts w:cstheme="majorHAnsi"/>
          <w:b/>
          <w:bCs/>
          <w:iCs/>
          <w:color w:val="2F5496" w:themeColor="accent1" w:themeShade="BF"/>
          <w:sz w:val="25"/>
          <w:szCs w:val="25"/>
          <w:lang w:val="en-GB"/>
        </w:rPr>
        <w:t xml:space="preserve">Question 3: How </w:t>
      </w:r>
      <w:r w:rsidR="002108E0">
        <w:rPr>
          <w:rFonts w:cstheme="majorHAnsi"/>
          <w:b/>
          <w:bCs/>
          <w:iCs/>
          <w:color w:val="2F5496" w:themeColor="accent1" w:themeShade="BF"/>
          <w:sz w:val="25"/>
          <w:szCs w:val="25"/>
          <w:lang w:val="en-GB"/>
        </w:rPr>
        <w:t>would</w:t>
      </w:r>
      <w:r w:rsidRPr="002108E0">
        <w:rPr>
          <w:rFonts w:cstheme="majorHAnsi"/>
          <w:b/>
          <w:bCs/>
          <w:iCs/>
          <w:color w:val="2F5496" w:themeColor="accent1" w:themeShade="BF"/>
          <w:sz w:val="25"/>
          <w:szCs w:val="25"/>
          <w:lang w:val="en-GB"/>
        </w:rPr>
        <w:t xml:space="preserve"> you prioritise this list as Recommendations for </w:t>
      </w:r>
      <w:r w:rsidR="001B7DDF">
        <w:rPr>
          <w:rFonts w:cstheme="majorHAnsi"/>
          <w:b/>
          <w:bCs/>
          <w:iCs/>
          <w:color w:val="2F5496" w:themeColor="accent1" w:themeShade="BF"/>
          <w:sz w:val="25"/>
          <w:szCs w:val="25"/>
          <w:lang w:val="en-GB"/>
        </w:rPr>
        <w:t>CoGG</w:t>
      </w:r>
      <w:r w:rsidRPr="002108E0">
        <w:rPr>
          <w:rFonts w:cstheme="majorHAnsi"/>
          <w:b/>
          <w:bCs/>
          <w:iCs/>
          <w:color w:val="2F5496" w:themeColor="accent1" w:themeShade="BF"/>
          <w:sz w:val="25"/>
          <w:szCs w:val="25"/>
          <w:lang w:val="en-GB"/>
        </w:rPr>
        <w:t>?</w:t>
      </w:r>
    </w:p>
    <w:p w14:paraId="01802164" w14:textId="77777777" w:rsidR="000D09C8" w:rsidRPr="00772E66" w:rsidRDefault="000D09C8" w:rsidP="00467053">
      <w:pPr>
        <w:spacing w:line="276" w:lineRule="auto"/>
        <w:rPr>
          <w:rFonts w:asciiTheme="majorHAnsi" w:eastAsia="Calibri" w:hAnsiTheme="majorHAnsi" w:cstheme="majorHAnsi"/>
          <w:iCs/>
          <w:sz w:val="23"/>
          <w:szCs w:val="23"/>
          <w:lang w:val="en-GB"/>
        </w:rPr>
      </w:pPr>
      <w:r w:rsidRPr="00772E66">
        <w:rPr>
          <w:rFonts w:asciiTheme="majorHAnsi" w:eastAsia="Calibri" w:hAnsiTheme="majorHAnsi" w:cstheme="majorHAnsi"/>
          <w:iCs/>
          <w:sz w:val="23"/>
          <w:szCs w:val="23"/>
          <w:lang w:val="en-GB"/>
        </w:rPr>
        <w:t>This question begged a prior one: namely what do these key persons see as the role of the City of Greater Geelong in these localities? The answer, initially at least, was surprising:</w:t>
      </w:r>
    </w:p>
    <w:p w14:paraId="2B8DBC51" w14:textId="00593F4F" w:rsidR="000D09C8" w:rsidRPr="00772E66" w:rsidRDefault="001B7DDF" w:rsidP="00467053">
      <w:pPr>
        <w:spacing w:after="240" w:line="276" w:lineRule="auto"/>
        <w:ind w:left="720"/>
        <w:rPr>
          <w:rFonts w:asciiTheme="majorHAnsi" w:hAnsiTheme="majorHAnsi" w:cstheme="majorHAnsi"/>
          <w:b/>
          <w:bCs/>
          <w:iCs/>
          <w:sz w:val="23"/>
          <w:szCs w:val="23"/>
        </w:rPr>
      </w:pPr>
      <w:r>
        <w:rPr>
          <w:rFonts w:asciiTheme="majorHAnsi" w:hAnsiTheme="majorHAnsi" w:cstheme="majorHAnsi"/>
          <w:iCs/>
          <w:sz w:val="23"/>
          <w:szCs w:val="23"/>
        </w:rPr>
        <w:t>CoGG</w:t>
      </w:r>
      <w:r w:rsidR="000D09C8" w:rsidRPr="00772E66">
        <w:rPr>
          <w:rFonts w:asciiTheme="majorHAnsi" w:hAnsiTheme="majorHAnsi" w:cstheme="majorHAnsi"/>
          <w:iCs/>
          <w:sz w:val="23"/>
          <w:szCs w:val="23"/>
        </w:rPr>
        <w:t xml:space="preserve"> in this</w:t>
      </w:r>
      <w:r w:rsidR="002108E0">
        <w:rPr>
          <w:rFonts w:asciiTheme="majorHAnsi" w:hAnsiTheme="majorHAnsi" w:cstheme="majorHAnsi"/>
          <w:iCs/>
          <w:sz w:val="23"/>
          <w:szCs w:val="23"/>
        </w:rPr>
        <w:t>…</w:t>
      </w:r>
      <w:r w:rsidR="000D09C8" w:rsidRPr="00772E66">
        <w:rPr>
          <w:rFonts w:asciiTheme="majorHAnsi" w:hAnsiTheme="majorHAnsi" w:cstheme="majorHAnsi"/>
          <w:iCs/>
          <w:sz w:val="23"/>
          <w:szCs w:val="23"/>
        </w:rPr>
        <w:t xml:space="preserve"> I find it really interesting because really, we don’t need them. I’m just going to be provocative </w:t>
      </w:r>
      <w:r w:rsidR="000D09C8" w:rsidRPr="002108E0">
        <w:rPr>
          <w:rFonts w:asciiTheme="majorHAnsi" w:hAnsiTheme="majorHAnsi" w:cstheme="majorHAnsi"/>
          <w:iCs/>
          <w:sz w:val="23"/>
          <w:szCs w:val="23"/>
        </w:rPr>
        <w:t>and say they’re not actually needed. Their funds are needed, but they’re not.</w:t>
      </w:r>
      <w:r w:rsidR="000D09C8" w:rsidRPr="00772E66">
        <w:rPr>
          <w:rFonts w:asciiTheme="majorHAnsi" w:hAnsiTheme="majorHAnsi" w:cstheme="majorHAnsi"/>
          <w:b/>
          <w:bCs/>
          <w:iCs/>
          <w:sz w:val="23"/>
          <w:szCs w:val="23"/>
        </w:rPr>
        <w:t xml:space="preserve"> </w:t>
      </w:r>
    </w:p>
    <w:p w14:paraId="777E31BC" w14:textId="7F30D9FD" w:rsidR="000D09C8" w:rsidRPr="00772E66" w:rsidRDefault="000D09C8" w:rsidP="00467053">
      <w:pPr>
        <w:spacing w:line="276" w:lineRule="auto"/>
        <w:rPr>
          <w:rFonts w:asciiTheme="majorHAnsi" w:eastAsia="Calibri" w:hAnsiTheme="majorHAnsi" w:cstheme="majorHAnsi"/>
          <w:iCs/>
          <w:sz w:val="23"/>
          <w:szCs w:val="23"/>
          <w:lang w:val="en-GB"/>
        </w:rPr>
      </w:pPr>
      <w:r w:rsidRPr="00772E66">
        <w:rPr>
          <w:rFonts w:asciiTheme="majorHAnsi" w:eastAsia="Calibri" w:hAnsiTheme="majorHAnsi" w:cstheme="majorHAnsi"/>
          <w:iCs/>
          <w:sz w:val="23"/>
          <w:szCs w:val="23"/>
          <w:lang w:val="en-GB"/>
        </w:rPr>
        <w:t>Another participant was quick to agree</w:t>
      </w:r>
      <w:r w:rsidR="002F6F79">
        <w:rPr>
          <w:rFonts w:asciiTheme="majorHAnsi" w:eastAsia="Calibri" w:hAnsiTheme="majorHAnsi" w:cstheme="majorHAnsi"/>
          <w:iCs/>
          <w:sz w:val="23"/>
          <w:szCs w:val="23"/>
          <w:lang w:val="en-GB"/>
        </w:rPr>
        <w:t xml:space="preserve">, and </w:t>
      </w:r>
      <w:r w:rsidRPr="00772E66">
        <w:rPr>
          <w:rFonts w:asciiTheme="majorHAnsi" w:eastAsia="Calibri" w:hAnsiTheme="majorHAnsi" w:cstheme="majorHAnsi"/>
          <w:iCs/>
          <w:sz w:val="23"/>
          <w:szCs w:val="23"/>
          <w:lang w:val="en-GB"/>
        </w:rPr>
        <w:t>reflected again on the depth and longevity of their organisation’s connection to the area:</w:t>
      </w:r>
    </w:p>
    <w:p w14:paraId="3F46FB7C" w14:textId="4A70654E" w:rsidR="000D09C8" w:rsidRPr="00772E66" w:rsidRDefault="000D09C8" w:rsidP="00467053">
      <w:pPr>
        <w:spacing w:after="240" w:line="276" w:lineRule="auto"/>
        <w:ind w:left="720"/>
        <w:rPr>
          <w:rFonts w:asciiTheme="majorHAnsi" w:hAnsiTheme="majorHAnsi" w:cstheme="majorHAnsi"/>
          <w:iCs/>
          <w:sz w:val="23"/>
          <w:szCs w:val="23"/>
        </w:rPr>
      </w:pPr>
      <w:r w:rsidRPr="00772E66">
        <w:rPr>
          <w:rFonts w:asciiTheme="majorHAnsi" w:hAnsiTheme="majorHAnsi" w:cstheme="majorHAnsi"/>
          <w:iCs/>
          <w:sz w:val="23"/>
          <w:szCs w:val="23"/>
        </w:rPr>
        <w:t xml:space="preserve">I’m not sure what </w:t>
      </w:r>
      <w:r w:rsidR="001B7DDF">
        <w:rPr>
          <w:rFonts w:asciiTheme="majorHAnsi" w:hAnsiTheme="majorHAnsi" w:cstheme="majorHAnsi"/>
          <w:iCs/>
          <w:sz w:val="23"/>
          <w:szCs w:val="23"/>
        </w:rPr>
        <w:t>CoGG</w:t>
      </w:r>
      <w:r w:rsidRPr="00772E66">
        <w:rPr>
          <w:rFonts w:asciiTheme="majorHAnsi" w:hAnsiTheme="majorHAnsi" w:cstheme="majorHAnsi"/>
          <w:iCs/>
          <w:sz w:val="23"/>
          <w:szCs w:val="23"/>
        </w:rPr>
        <w:t xml:space="preserve"> would provide, because they’d be seen quite differently and separately. I mean we know that </w:t>
      </w:r>
      <w:r w:rsidR="001B7DDF">
        <w:rPr>
          <w:rFonts w:asciiTheme="majorHAnsi" w:hAnsiTheme="majorHAnsi" w:cstheme="majorHAnsi"/>
          <w:iCs/>
          <w:sz w:val="23"/>
          <w:szCs w:val="23"/>
        </w:rPr>
        <w:t>CoGG</w:t>
      </w:r>
      <w:r w:rsidRPr="00772E66">
        <w:rPr>
          <w:rFonts w:asciiTheme="majorHAnsi" w:hAnsiTheme="majorHAnsi" w:cstheme="majorHAnsi"/>
          <w:iCs/>
          <w:sz w:val="23"/>
          <w:szCs w:val="23"/>
        </w:rPr>
        <w:t xml:space="preserve"> provides a whole lot of services now and we pay rates. It’s kind of a transactional thing and so I’m not sure how </w:t>
      </w:r>
      <w:r w:rsidR="001B7DDF">
        <w:rPr>
          <w:rFonts w:asciiTheme="majorHAnsi" w:hAnsiTheme="majorHAnsi" w:cstheme="majorHAnsi"/>
          <w:iCs/>
          <w:sz w:val="23"/>
          <w:szCs w:val="23"/>
        </w:rPr>
        <w:t>CoGG</w:t>
      </w:r>
      <w:r w:rsidRPr="00772E66">
        <w:rPr>
          <w:rFonts w:asciiTheme="majorHAnsi" w:hAnsiTheme="majorHAnsi" w:cstheme="majorHAnsi"/>
          <w:iCs/>
          <w:sz w:val="23"/>
          <w:szCs w:val="23"/>
        </w:rPr>
        <w:t xml:space="preserve"> would see themselves pulling anything together or offering something except to look at what has already happened, and </w:t>
      </w:r>
      <w:r w:rsidR="006D7EFF">
        <w:rPr>
          <w:rFonts w:asciiTheme="majorHAnsi" w:hAnsiTheme="majorHAnsi" w:cstheme="majorHAnsi"/>
          <w:iCs/>
          <w:sz w:val="23"/>
          <w:szCs w:val="23"/>
        </w:rPr>
        <w:t xml:space="preserve">look </w:t>
      </w:r>
      <w:r w:rsidRPr="00772E66">
        <w:rPr>
          <w:rFonts w:asciiTheme="majorHAnsi" w:hAnsiTheme="majorHAnsi" w:cstheme="majorHAnsi"/>
          <w:iCs/>
          <w:sz w:val="23"/>
          <w:szCs w:val="23"/>
        </w:rPr>
        <w:t>at what is happening</w:t>
      </w:r>
      <w:r w:rsidR="006D7EFF">
        <w:rPr>
          <w:rFonts w:asciiTheme="majorHAnsi" w:hAnsiTheme="majorHAnsi" w:cstheme="majorHAnsi"/>
          <w:iCs/>
          <w:sz w:val="23"/>
          <w:szCs w:val="23"/>
        </w:rPr>
        <w:t>,</w:t>
      </w:r>
      <w:r w:rsidRPr="00772E66">
        <w:rPr>
          <w:rFonts w:asciiTheme="majorHAnsi" w:hAnsiTheme="majorHAnsi" w:cstheme="majorHAnsi"/>
          <w:iCs/>
          <w:sz w:val="23"/>
          <w:szCs w:val="23"/>
        </w:rPr>
        <w:t xml:space="preserve"> and give some support to increase the reach and the depth of what’s happening now.</w:t>
      </w:r>
    </w:p>
    <w:p w14:paraId="212AA1C9" w14:textId="77777777" w:rsidR="000D09C8" w:rsidRPr="00772E66" w:rsidRDefault="000D09C8" w:rsidP="00467053">
      <w:pPr>
        <w:spacing w:after="240" w:line="276" w:lineRule="auto"/>
        <w:rPr>
          <w:rFonts w:asciiTheme="majorHAnsi" w:hAnsiTheme="majorHAnsi" w:cstheme="majorHAnsi"/>
          <w:iCs/>
          <w:sz w:val="23"/>
          <w:szCs w:val="23"/>
        </w:rPr>
      </w:pPr>
      <w:r w:rsidRPr="00772E66">
        <w:rPr>
          <w:rFonts w:asciiTheme="majorHAnsi" w:hAnsiTheme="majorHAnsi" w:cstheme="majorHAnsi"/>
          <w:iCs/>
          <w:sz w:val="23"/>
          <w:szCs w:val="23"/>
        </w:rPr>
        <w:lastRenderedPageBreak/>
        <w:t>And again:</w:t>
      </w:r>
    </w:p>
    <w:p w14:paraId="7B8D5869" w14:textId="42CB764F" w:rsidR="000D09C8" w:rsidRPr="00772E66" w:rsidRDefault="000D09C8" w:rsidP="001B27D9">
      <w:pPr>
        <w:spacing w:after="240" w:line="276" w:lineRule="auto"/>
        <w:ind w:left="720"/>
        <w:rPr>
          <w:rFonts w:asciiTheme="majorHAnsi" w:hAnsiTheme="majorHAnsi" w:cstheme="majorHAnsi"/>
          <w:iCs/>
          <w:sz w:val="23"/>
          <w:szCs w:val="23"/>
        </w:rPr>
      </w:pPr>
      <w:r w:rsidRPr="00772E66">
        <w:rPr>
          <w:rFonts w:asciiTheme="majorHAnsi" w:hAnsiTheme="majorHAnsi" w:cstheme="majorHAnsi"/>
          <w:iCs/>
          <w:sz w:val="23"/>
          <w:szCs w:val="23"/>
        </w:rPr>
        <w:t>We’ll fix it</w:t>
      </w:r>
      <w:r w:rsidR="0034708F">
        <w:rPr>
          <w:rFonts w:asciiTheme="majorHAnsi" w:hAnsiTheme="majorHAnsi" w:cstheme="majorHAnsi"/>
          <w:iCs/>
          <w:sz w:val="23"/>
          <w:szCs w:val="23"/>
        </w:rPr>
        <w:t xml:space="preserve">! </w:t>
      </w:r>
      <w:r w:rsidRPr="00772E66">
        <w:rPr>
          <w:rFonts w:asciiTheme="majorHAnsi" w:hAnsiTheme="majorHAnsi" w:cstheme="majorHAnsi"/>
          <w:iCs/>
          <w:sz w:val="23"/>
          <w:szCs w:val="23"/>
        </w:rPr>
        <w:t xml:space="preserve">Everything’s there already. The ideas are there. The people are there. The </w:t>
      </w:r>
      <w:proofErr w:type="gramStart"/>
      <w:r w:rsidRPr="00772E66">
        <w:rPr>
          <w:rFonts w:asciiTheme="majorHAnsi" w:hAnsiTheme="majorHAnsi" w:cstheme="majorHAnsi"/>
          <w:iCs/>
          <w:sz w:val="23"/>
          <w:szCs w:val="23"/>
        </w:rPr>
        <w:t>passion’s</w:t>
      </w:r>
      <w:proofErr w:type="gramEnd"/>
      <w:r w:rsidRPr="00772E66">
        <w:rPr>
          <w:rFonts w:asciiTheme="majorHAnsi" w:hAnsiTheme="majorHAnsi" w:cstheme="majorHAnsi"/>
          <w:iCs/>
          <w:sz w:val="23"/>
          <w:szCs w:val="23"/>
        </w:rPr>
        <w:t xml:space="preserve"> there. The only thing that’s missing is the money and the resources. I’m sure all of our organisations have areas </w:t>
      </w:r>
      <w:r w:rsidR="006E3EF2">
        <w:rPr>
          <w:rFonts w:asciiTheme="majorHAnsi" w:hAnsiTheme="majorHAnsi" w:cstheme="majorHAnsi"/>
          <w:iCs/>
          <w:sz w:val="23"/>
          <w:szCs w:val="23"/>
        </w:rPr>
        <w:t>[that]</w:t>
      </w:r>
      <w:r w:rsidRPr="00772E66">
        <w:rPr>
          <w:rFonts w:asciiTheme="majorHAnsi" w:hAnsiTheme="majorHAnsi" w:cstheme="majorHAnsi"/>
          <w:iCs/>
          <w:sz w:val="23"/>
          <w:szCs w:val="23"/>
        </w:rPr>
        <w:t xml:space="preserve"> could be funded more, and that will just make significant impacts. I think at the moment we’re all doing the best we can with what we’ve been given</w:t>
      </w:r>
      <w:r w:rsidR="006E3EF2">
        <w:rPr>
          <w:rFonts w:asciiTheme="majorHAnsi" w:hAnsiTheme="majorHAnsi" w:cstheme="majorHAnsi"/>
          <w:iCs/>
          <w:sz w:val="23"/>
          <w:szCs w:val="23"/>
        </w:rPr>
        <w:t>,</w:t>
      </w:r>
      <w:r w:rsidRPr="00772E66">
        <w:rPr>
          <w:rFonts w:asciiTheme="majorHAnsi" w:hAnsiTheme="majorHAnsi" w:cstheme="majorHAnsi"/>
          <w:iCs/>
          <w:sz w:val="23"/>
          <w:szCs w:val="23"/>
        </w:rPr>
        <w:t xml:space="preserve"> and probably punching above our weight… </w:t>
      </w:r>
      <w:r w:rsidR="006E3EF2">
        <w:rPr>
          <w:rFonts w:asciiTheme="majorHAnsi" w:hAnsiTheme="majorHAnsi" w:cstheme="majorHAnsi"/>
          <w:iCs/>
          <w:sz w:val="23"/>
          <w:szCs w:val="23"/>
        </w:rPr>
        <w:t>I</w:t>
      </w:r>
      <w:r w:rsidRPr="00772E66">
        <w:rPr>
          <w:rFonts w:asciiTheme="majorHAnsi" w:hAnsiTheme="majorHAnsi" w:cstheme="majorHAnsi"/>
          <w:iCs/>
          <w:sz w:val="23"/>
          <w:szCs w:val="23"/>
        </w:rPr>
        <w:t xml:space="preserve">f we had more resources and support, we could have a greater impact on what we’re doing in our part of the world. </w:t>
      </w:r>
    </w:p>
    <w:p w14:paraId="78859D6A" w14:textId="61F0607F" w:rsidR="000D09C8" w:rsidRPr="00772E66" w:rsidRDefault="001B7DDF" w:rsidP="001B27D9">
      <w:pPr>
        <w:spacing w:line="276" w:lineRule="auto"/>
        <w:rPr>
          <w:rFonts w:asciiTheme="majorHAnsi" w:eastAsia="Calibri" w:hAnsiTheme="majorHAnsi" w:cstheme="majorHAnsi"/>
          <w:iCs/>
          <w:sz w:val="23"/>
          <w:szCs w:val="23"/>
          <w:lang w:val="en-GB"/>
        </w:rPr>
      </w:pPr>
      <w:r>
        <w:rPr>
          <w:rFonts w:asciiTheme="majorHAnsi" w:eastAsia="Calibri" w:hAnsiTheme="majorHAnsi" w:cstheme="majorHAnsi"/>
          <w:iCs/>
          <w:sz w:val="23"/>
          <w:szCs w:val="23"/>
          <w:lang w:val="en-GB"/>
        </w:rPr>
        <w:t>CoGG</w:t>
      </w:r>
      <w:r w:rsidR="000D09C8" w:rsidRPr="00772E66">
        <w:rPr>
          <w:rFonts w:asciiTheme="majorHAnsi" w:eastAsia="Calibri" w:hAnsiTheme="majorHAnsi" w:cstheme="majorHAnsi"/>
          <w:iCs/>
          <w:sz w:val="23"/>
          <w:szCs w:val="23"/>
          <w:lang w:val="en-GB"/>
        </w:rPr>
        <w:t xml:space="preserve"> was seen as able to assist in particular ways, primarily through funding, but </w:t>
      </w:r>
      <w:r w:rsidR="006E3EF2">
        <w:rPr>
          <w:rFonts w:asciiTheme="majorHAnsi" w:eastAsia="Calibri" w:hAnsiTheme="majorHAnsi" w:cstheme="majorHAnsi"/>
          <w:iCs/>
          <w:sz w:val="23"/>
          <w:szCs w:val="23"/>
          <w:lang w:val="en-GB"/>
        </w:rPr>
        <w:t xml:space="preserve">also importantly by </w:t>
      </w:r>
      <w:r w:rsidR="001B27D9">
        <w:rPr>
          <w:rFonts w:asciiTheme="majorHAnsi" w:eastAsia="Calibri" w:hAnsiTheme="majorHAnsi" w:cstheme="majorHAnsi"/>
          <w:iCs/>
          <w:sz w:val="23"/>
          <w:szCs w:val="23"/>
          <w:lang w:val="en-GB"/>
        </w:rPr>
        <w:t>enabling active</w:t>
      </w:r>
      <w:r w:rsidR="000D09C8" w:rsidRPr="00772E66">
        <w:rPr>
          <w:rFonts w:asciiTheme="majorHAnsi" w:eastAsia="Calibri" w:hAnsiTheme="majorHAnsi" w:cstheme="majorHAnsi"/>
          <w:iCs/>
          <w:sz w:val="23"/>
          <w:szCs w:val="23"/>
          <w:lang w:val="en-GB"/>
        </w:rPr>
        <w:t xml:space="preserve"> collaboration with the residents:</w:t>
      </w:r>
    </w:p>
    <w:p w14:paraId="38F4F3A7" w14:textId="32D5C35A" w:rsidR="000D09C8" w:rsidRPr="00772E66" w:rsidRDefault="000D09C8" w:rsidP="001B27D9">
      <w:pPr>
        <w:spacing w:after="240" w:line="276" w:lineRule="auto"/>
        <w:ind w:left="709"/>
        <w:rPr>
          <w:rFonts w:asciiTheme="majorHAnsi" w:hAnsiTheme="majorHAnsi" w:cstheme="majorHAnsi"/>
          <w:iCs/>
          <w:sz w:val="23"/>
          <w:szCs w:val="23"/>
        </w:rPr>
      </w:pPr>
      <w:r w:rsidRPr="00772E66">
        <w:rPr>
          <w:rFonts w:asciiTheme="majorHAnsi" w:hAnsiTheme="majorHAnsi" w:cstheme="majorHAnsi"/>
          <w:iCs/>
          <w:sz w:val="23"/>
          <w:szCs w:val="23"/>
        </w:rPr>
        <w:t xml:space="preserve">Well, the council </w:t>
      </w:r>
      <w:r w:rsidR="00EE031D">
        <w:rPr>
          <w:rFonts w:asciiTheme="majorHAnsi" w:hAnsiTheme="majorHAnsi" w:cstheme="majorHAnsi"/>
          <w:iCs/>
          <w:sz w:val="23"/>
          <w:szCs w:val="23"/>
        </w:rPr>
        <w:t xml:space="preserve">could </w:t>
      </w:r>
      <w:r w:rsidRPr="00772E66">
        <w:rPr>
          <w:rFonts w:asciiTheme="majorHAnsi" w:hAnsiTheme="majorHAnsi" w:cstheme="majorHAnsi"/>
          <w:iCs/>
          <w:sz w:val="23"/>
          <w:szCs w:val="23"/>
        </w:rPr>
        <w:t>give back 50</w:t>
      </w:r>
      <w:r w:rsidR="001B27D9">
        <w:rPr>
          <w:rFonts w:asciiTheme="majorHAnsi" w:hAnsiTheme="majorHAnsi" w:cstheme="majorHAnsi"/>
          <w:iCs/>
          <w:sz w:val="23"/>
          <w:szCs w:val="23"/>
        </w:rPr>
        <w:t xml:space="preserve"> percent</w:t>
      </w:r>
      <w:r w:rsidRPr="00772E66">
        <w:rPr>
          <w:rFonts w:asciiTheme="majorHAnsi" w:hAnsiTheme="majorHAnsi" w:cstheme="majorHAnsi"/>
          <w:iCs/>
          <w:sz w:val="23"/>
          <w:szCs w:val="23"/>
        </w:rPr>
        <w:t xml:space="preserve"> of the rates they charge and so on to a group set up of residents or something like that, and they decide where money gets spent. </w:t>
      </w:r>
    </w:p>
    <w:p w14:paraId="28342928" w14:textId="360C1E88" w:rsidR="000D09C8" w:rsidRPr="00772E66" w:rsidRDefault="000D09C8" w:rsidP="001B27D9">
      <w:pPr>
        <w:spacing w:after="240" w:line="276" w:lineRule="auto"/>
        <w:rPr>
          <w:rFonts w:asciiTheme="majorHAnsi" w:hAnsiTheme="majorHAnsi" w:cstheme="majorHAnsi"/>
          <w:iCs/>
          <w:sz w:val="23"/>
          <w:szCs w:val="23"/>
        </w:rPr>
      </w:pPr>
      <w:r w:rsidRPr="00772E66">
        <w:rPr>
          <w:rFonts w:asciiTheme="majorHAnsi" w:hAnsiTheme="majorHAnsi" w:cstheme="majorHAnsi"/>
          <w:iCs/>
          <w:sz w:val="23"/>
          <w:szCs w:val="23"/>
        </w:rPr>
        <w:t xml:space="preserve">This notion of collaborating with residents was </w:t>
      </w:r>
      <w:r w:rsidR="00EE031D">
        <w:rPr>
          <w:rFonts w:asciiTheme="majorHAnsi" w:hAnsiTheme="majorHAnsi" w:cstheme="majorHAnsi"/>
          <w:iCs/>
          <w:sz w:val="23"/>
          <w:szCs w:val="23"/>
        </w:rPr>
        <w:t>re</w:t>
      </w:r>
      <w:r w:rsidRPr="00772E66">
        <w:rPr>
          <w:rFonts w:asciiTheme="majorHAnsi" w:hAnsiTheme="majorHAnsi" w:cstheme="majorHAnsi"/>
          <w:iCs/>
          <w:sz w:val="23"/>
          <w:szCs w:val="23"/>
        </w:rPr>
        <w:t>affirmed repeatedly:</w:t>
      </w:r>
    </w:p>
    <w:p w14:paraId="741BB50D" w14:textId="77777777" w:rsidR="000D09C8" w:rsidRPr="00772E66" w:rsidRDefault="000D09C8" w:rsidP="00EE031D">
      <w:pPr>
        <w:spacing w:after="240" w:line="276" w:lineRule="auto"/>
        <w:ind w:left="720"/>
        <w:rPr>
          <w:rFonts w:asciiTheme="majorHAnsi" w:hAnsiTheme="majorHAnsi" w:cstheme="majorHAnsi"/>
          <w:iCs/>
          <w:sz w:val="23"/>
          <w:szCs w:val="23"/>
        </w:rPr>
      </w:pPr>
      <w:r w:rsidRPr="00772E66">
        <w:rPr>
          <w:rFonts w:asciiTheme="majorHAnsi" w:hAnsiTheme="majorHAnsi" w:cstheme="majorHAnsi"/>
          <w:iCs/>
          <w:sz w:val="23"/>
          <w:szCs w:val="23"/>
        </w:rPr>
        <w:t>So, it’s the people – I mean we need to shift to make it people ground up, and I think all of us around this circle here are very much on that mentality and already doing that people ground up kind of responses. We don’t need any top-down stuff coming on in.</w:t>
      </w:r>
    </w:p>
    <w:p w14:paraId="65FDA589" w14:textId="31717B55" w:rsidR="000D09C8" w:rsidRPr="00772E66" w:rsidRDefault="001B27D9" w:rsidP="00EE031D">
      <w:pPr>
        <w:spacing w:line="276" w:lineRule="auto"/>
        <w:rPr>
          <w:rFonts w:asciiTheme="majorHAnsi" w:eastAsia="Calibri" w:hAnsiTheme="majorHAnsi" w:cstheme="majorHAnsi"/>
          <w:iCs/>
          <w:sz w:val="23"/>
          <w:szCs w:val="23"/>
          <w:lang w:val="en-GB"/>
        </w:rPr>
      </w:pPr>
      <w:r>
        <w:rPr>
          <w:rFonts w:asciiTheme="majorHAnsi" w:eastAsia="Calibri" w:hAnsiTheme="majorHAnsi" w:cstheme="majorHAnsi"/>
          <w:iCs/>
          <w:sz w:val="23"/>
          <w:szCs w:val="23"/>
          <w:lang w:val="en-GB"/>
        </w:rPr>
        <w:t>Also prevalent was the idea that</w:t>
      </w:r>
      <w:r w:rsidR="000D09C8" w:rsidRPr="00772E66">
        <w:rPr>
          <w:rFonts w:asciiTheme="majorHAnsi" w:eastAsia="Calibri" w:hAnsiTheme="majorHAnsi" w:cstheme="majorHAnsi"/>
          <w:iCs/>
          <w:sz w:val="23"/>
          <w:szCs w:val="23"/>
          <w:lang w:val="en-GB"/>
        </w:rPr>
        <w:t xml:space="preserve"> solutions </w:t>
      </w:r>
      <w:r>
        <w:rPr>
          <w:rFonts w:asciiTheme="majorHAnsi" w:eastAsia="Calibri" w:hAnsiTheme="majorHAnsi" w:cstheme="majorHAnsi"/>
          <w:iCs/>
          <w:sz w:val="23"/>
          <w:szCs w:val="23"/>
          <w:lang w:val="en-GB"/>
        </w:rPr>
        <w:t>already existed,</w:t>
      </w:r>
      <w:r w:rsidR="000D09C8" w:rsidRPr="00772E66">
        <w:rPr>
          <w:rFonts w:asciiTheme="majorHAnsi" w:eastAsia="Calibri" w:hAnsiTheme="majorHAnsi" w:cstheme="majorHAnsi"/>
          <w:iCs/>
          <w:sz w:val="23"/>
          <w:szCs w:val="23"/>
          <w:lang w:val="en-GB"/>
        </w:rPr>
        <w:t xml:space="preserve"> and merely needed to be understood, appreciated</w:t>
      </w:r>
      <w:r>
        <w:rPr>
          <w:rFonts w:asciiTheme="majorHAnsi" w:eastAsia="Calibri" w:hAnsiTheme="majorHAnsi" w:cstheme="majorHAnsi"/>
          <w:iCs/>
          <w:sz w:val="23"/>
          <w:szCs w:val="23"/>
          <w:lang w:val="en-GB"/>
        </w:rPr>
        <w:t>,</w:t>
      </w:r>
      <w:r w:rsidR="000D09C8" w:rsidRPr="00772E66">
        <w:rPr>
          <w:rFonts w:asciiTheme="majorHAnsi" w:eastAsia="Calibri" w:hAnsiTheme="majorHAnsi" w:cstheme="majorHAnsi"/>
          <w:iCs/>
          <w:sz w:val="23"/>
          <w:szCs w:val="23"/>
          <w:lang w:val="en-GB"/>
        </w:rPr>
        <w:t xml:space="preserve"> and supported by </w:t>
      </w:r>
      <w:r w:rsidR="001B7DDF">
        <w:rPr>
          <w:rFonts w:asciiTheme="majorHAnsi" w:eastAsia="Calibri" w:hAnsiTheme="majorHAnsi" w:cstheme="majorHAnsi"/>
          <w:iCs/>
          <w:sz w:val="23"/>
          <w:szCs w:val="23"/>
          <w:lang w:val="en-GB"/>
        </w:rPr>
        <w:t>CoGG</w:t>
      </w:r>
      <w:r>
        <w:rPr>
          <w:rFonts w:asciiTheme="majorHAnsi" w:eastAsia="Calibri" w:hAnsiTheme="majorHAnsi" w:cstheme="majorHAnsi"/>
          <w:iCs/>
          <w:sz w:val="23"/>
          <w:szCs w:val="23"/>
          <w:lang w:val="en-GB"/>
        </w:rPr>
        <w:t>.</w:t>
      </w:r>
      <w:r w:rsidR="000D09C8" w:rsidRPr="00772E66">
        <w:rPr>
          <w:rFonts w:asciiTheme="majorHAnsi" w:eastAsia="Calibri" w:hAnsiTheme="majorHAnsi" w:cstheme="majorHAnsi"/>
          <w:iCs/>
          <w:sz w:val="23"/>
          <w:szCs w:val="23"/>
          <w:lang w:val="en-GB"/>
        </w:rPr>
        <w:t xml:space="preserve"> </w:t>
      </w:r>
      <w:r>
        <w:rPr>
          <w:rFonts w:asciiTheme="majorHAnsi" w:eastAsia="Calibri" w:hAnsiTheme="majorHAnsi" w:cstheme="majorHAnsi"/>
          <w:iCs/>
          <w:sz w:val="23"/>
          <w:szCs w:val="23"/>
          <w:lang w:val="en-GB"/>
        </w:rPr>
        <w:t>However,</w:t>
      </w:r>
      <w:r w:rsidR="000D09C8" w:rsidRPr="00772E66">
        <w:rPr>
          <w:rFonts w:asciiTheme="majorHAnsi" w:eastAsia="Calibri" w:hAnsiTheme="majorHAnsi" w:cstheme="majorHAnsi"/>
          <w:iCs/>
          <w:sz w:val="23"/>
          <w:szCs w:val="23"/>
          <w:lang w:val="en-GB"/>
        </w:rPr>
        <w:t xml:space="preserve"> some particular organisations and models were seen as highly effective and worthy of expan</w:t>
      </w:r>
      <w:r>
        <w:rPr>
          <w:rFonts w:asciiTheme="majorHAnsi" w:eastAsia="Calibri" w:hAnsiTheme="majorHAnsi" w:cstheme="majorHAnsi"/>
          <w:iCs/>
          <w:sz w:val="23"/>
          <w:szCs w:val="23"/>
          <w:lang w:val="en-GB"/>
        </w:rPr>
        <w:t>sion,</w:t>
      </w:r>
      <w:r w:rsidR="000D09C8" w:rsidRPr="00772E66">
        <w:rPr>
          <w:rFonts w:asciiTheme="majorHAnsi" w:eastAsia="Calibri" w:hAnsiTheme="majorHAnsi" w:cstheme="majorHAnsi"/>
          <w:iCs/>
          <w:sz w:val="23"/>
          <w:szCs w:val="23"/>
          <w:lang w:val="en-GB"/>
        </w:rPr>
        <w:t xml:space="preserve"> with the support of the City:</w:t>
      </w:r>
    </w:p>
    <w:p w14:paraId="4EC475AD" w14:textId="5159BEE4" w:rsidR="000D09C8" w:rsidRPr="00772E66" w:rsidRDefault="000D09C8" w:rsidP="00EE031D">
      <w:pPr>
        <w:spacing w:after="240" w:line="276" w:lineRule="auto"/>
        <w:ind w:left="720"/>
        <w:rPr>
          <w:rFonts w:asciiTheme="majorHAnsi" w:hAnsiTheme="majorHAnsi" w:cstheme="majorHAnsi"/>
          <w:b/>
          <w:iCs/>
          <w:sz w:val="23"/>
          <w:szCs w:val="23"/>
        </w:rPr>
      </w:pPr>
      <w:r w:rsidRPr="00772E66">
        <w:rPr>
          <w:rFonts w:asciiTheme="majorHAnsi" w:hAnsiTheme="majorHAnsi" w:cstheme="majorHAnsi"/>
          <w:iCs/>
          <w:sz w:val="23"/>
          <w:szCs w:val="23"/>
        </w:rPr>
        <w:t>If we’re looking to do some scalability, I look at the Northern Futures model</w:t>
      </w:r>
      <w:r w:rsidR="001B27D9">
        <w:rPr>
          <w:rFonts w:asciiTheme="majorHAnsi" w:hAnsiTheme="majorHAnsi" w:cstheme="majorHAnsi"/>
          <w:iCs/>
          <w:sz w:val="23"/>
          <w:szCs w:val="23"/>
        </w:rPr>
        <w:t>…</w:t>
      </w:r>
      <w:r w:rsidRPr="00772E66">
        <w:rPr>
          <w:rFonts w:asciiTheme="majorHAnsi" w:hAnsiTheme="majorHAnsi" w:cstheme="majorHAnsi"/>
          <w:iCs/>
          <w:sz w:val="23"/>
          <w:szCs w:val="23"/>
        </w:rPr>
        <w:t xml:space="preserve"> I watched a group of diverse people graduate from a </w:t>
      </w:r>
      <w:r w:rsidR="001B27D9">
        <w:rPr>
          <w:rFonts w:asciiTheme="majorHAnsi" w:hAnsiTheme="majorHAnsi" w:cstheme="majorHAnsi"/>
          <w:iCs/>
          <w:sz w:val="23"/>
          <w:szCs w:val="23"/>
        </w:rPr>
        <w:t>C</w:t>
      </w:r>
      <w:r w:rsidRPr="00772E66">
        <w:rPr>
          <w:rFonts w:asciiTheme="majorHAnsi" w:hAnsiTheme="majorHAnsi" w:cstheme="majorHAnsi"/>
          <w:iCs/>
          <w:sz w:val="23"/>
          <w:szCs w:val="23"/>
        </w:rPr>
        <w:t>ertificate, do some personal attendant care work, and I wonder – we’ve got the model. We need the resources to increase the number of people who benefit from those. Local accreditation and local certification of quality people</w:t>
      </w:r>
      <w:r w:rsidR="001B27D9">
        <w:rPr>
          <w:rFonts w:asciiTheme="majorHAnsi" w:hAnsiTheme="majorHAnsi" w:cstheme="majorHAnsi"/>
          <w:iCs/>
          <w:sz w:val="23"/>
          <w:szCs w:val="23"/>
        </w:rPr>
        <w:t>…</w:t>
      </w:r>
    </w:p>
    <w:p w14:paraId="66142A30" w14:textId="1E727796" w:rsidR="000D09C8" w:rsidRPr="00772E66" w:rsidRDefault="000D09C8" w:rsidP="00EE031D">
      <w:pPr>
        <w:spacing w:line="276" w:lineRule="auto"/>
        <w:rPr>
          <w:rFonts w:asciiTheme="majorHAnsi" w:eastAsia="Calibri" w:hAnsiTheme="majorHAnsi" w:cstheme="majorHAnsi"/>
          <w:iCs/>
          <w:sz w:val="23"/>
          <w:szCs w:val="23"/>
          <w:lang w:val="en-GB"/>
        </w:rPr>
      </w:pPr>
      <w:r w:rsidRPr="00772E66">
        <w:rPr>
          <w:rFonts w:asciiTheme="majorHAnsi" w:eastAsia="Calibri" w:hAnsiTheme="majorHAnsi" w:cstheme="majorHAnsi"/>
          <w:iCs/>
          <w:sz w:val="23"/>
          <w:szCs w:val="23"/>
          <w:lang w:val="en-GB"/>
        </w:rPr>
        <w:t xml:space="preserve">There were also ideas for particular initiatives </w:t>
      </w:r>
      <w:r w:rsidR="001B7DDF">
        <w:rPr>
          <w:rFonts w:asciiTheme="majorHAnsi" w:eastAsia="Calibri" w:hAnsiTheme="majorHAnsi" w:cstheme="majorHAnsi"/>
          <w:iCs/>
          <w:sz w:val="23"/>
          <w:szCs w:val="23"/>
          <w:lang w:val="en-GB"/>
        </w:rPr>
        <w:t>CoGG</w:t>
      </w:r>
      <w:r w:rsidR="00F02DE4">
        <w:rPr>
          <w:rFonts w:asciiTheme="majorHAnsi" w:eastAsia="Calibri" w:hAnsiTheme="majorHAnsi" w:cstheme="majorHAnsi"/>
          <w:iCs/>
          <w:sz w:val="23"/>
          <w:szCs w:val="23"/>
          <w:lang w:val="en-GB"/>
        </w:rPr>
        <w:t xml:space="preserve"> could provide or support</w:t>
      </w:r>
      <w:r w:rsidRPr="00772E66">
        <w:rPr>
          <w:rFonts w:asciiTheme="majorHAnsi" w:eastAsia="Calibri" w:hAnsiTheme="majorHAnsi" w:cstheme="majorHAnsi"/>
          <w:iCs/>
          <w:sz w:val="23"/>
          <w:szCs w:val="23"/>
          <w:lang w:val="en-GB"/>
        </w:rPr>
        <w:t xml:space="preserve"> </w:t>
      </w:r>
      <w:r w:rsidR="00F02DE4">
        <w:rPr>
          <w:rFonts w:asciiTheme="majorHAnsi" w:eastAsia="Calibri" w:hAnsiTheme="majorHAnsi" w:cstheme="majorHAnsi"/>
          <w:iCs/>
          <w:sz w:val="23"/>
          <w:szCs w:val="23"/>
          <w:lang w:val="en-GB"/>
        </w:rPr>
        <w:t>to</w:t>
      </w:r>
      <w:r w:rsidRPr="00772E66">
        <w:rPr>
          <w:rFonts w:asciiTheme="majorHAnsi" w:eastAsia="Calibri" w:hAnsiTheme="majorHAnsi" w:cstheme="majorHAnsi"/>
          <w:iCs/>
          <w:sz w:val="23"/>
          <w:szCs w:val="23"/>
          <w:lang w:val="en-GB"/>
        </w:rPr>
        <w:t xml:space="preserve"> enhance the operation </w:t>
      </w:r>
      <w:r w:rsidR="00F02DE4">
        <w:rPr>
          <w:rFonts w:asciiTheme="majorHAnsi" w:eastAsia="Calibri" w:hAnsiTheme="majorHAnsi" w:cstheme="majorHAnsi"/>
          <w:iCs/>
          <w:sz w:val="23"/>
          <w:szCs w:val="23"/>
          <w:lang w:val="en-GB"/>
        </w:rPr>
        <w:t xml:space="preserve">and </w:t>
      </w:r>
      <w:r w:rsidR="00F02DE4" w:rsidRPr="00772E66">
        <w:rPr>
          <w:rFonts w:asciiTheme="majorHAnsi" w:eastAsia="Calibri" w:hAnsiTheme="majorHAnsi" w:cstheme="majorHAnsi"/>
          <w:iCs/>
          <w:sz w:val="23"/>
          <w:szCs w:val="23"/>
          <w:lang w:val="en-GB"/>
        </w:rPr>
        <w:t xml:space="preserve">service delivery </w:t>
      </w:r>
      <w:r w:rsidRPr="00772E66">
        <w:rPr>
          <w:rFonts w:asciiTheme="majorHAnsi" w:eastAsia="Calibri" w:hAnsiTheme="majorHAnsi" w:cstheme="majorHAnsi"/>
          <w:iCs/>
          <w:sz w:val="23"/>
          <w:szCs w:val="23"/>
          <w:lang w:val="en-GB"/>
        </w:rPr>
        <w:t>of these organisations and in the three localities:</w:t>
      </w:r>
    </w:p>
    <w:p w14:paraId="2EA3578B" w14:textId="44B81849" w:rsidR="000D09C8" w:rsidRPr="00772E66" w:rsidRDefault="000D09C8" w:rsidP="00EE031D">
      <w:pPr>
        <w:spacing w:after="240" w:line="276" w:lineRule="auto"/>
        <w:ind w:left="720"/>
        <w:rPr>
          <w:rFonts w:asciiTheme="majorHAnsi" w:hAnsiTheme="majorHAnsi" w:cstheme="majorHAnsi"/>
          <w:iCs/>
          <w:sz w:val="23"/>
          <w:szCs w:val="23"/>
        </w:rPr>
      </w:pPr>
      <w:r w:rsidRPr="00772E66">
        <w:rPr>
          <w:rFonts w:asciiTheme="majorHAnsi" w:hAnsiTheme="majorHAnsi" w:cstheme="majorHAnsi"/>
          <w:iCs/>
          <w:sz w:val="23"/>
          <w:szCs w:val="23"/>
        </w:rPr>
        <w:t>Potentially where things could be helped is around drawing together data across our fields and being able to report on that to provide all of us with up-to-date information, some kind of dashboard system where we could log on or even for the public to be available</w:t>
      </w:r>
      <w:r w:rsidR="00EE031D">
        <w:rPr>
          <w:rFonts w:asciiTheme="majorHAnsi" w:hAnsiTheme="majorHAnsi" w:cstheme="majorHAnsi"/>
          <w:iCs/>
          <w:sz w:val="23"/>
          <w:szCs w:val="23"/>
        </w:rPr>
        <w:t xml:space="preserve"> –</w:t>
      </w:r>
      <w:r w:rsidRPr="00772E66">
        <w:rPr>
          <w:rFonts w:asciiTheme="majorHAnsi" w:hAnsiTheme="majorHAnsi" w:cstheme="majorHAnsi"/>
          <w:iCs/>
          <w:sz w:val="23"/>
          <w:szCs w:val="23"/>
        </w:rPr>
        <w:t xml:space="preserve"> “</w:t>
      </w:r>
      <w:r w:rsidR="00EE031D">
        <w:rPr>
          <w:rFonts w:asciiTheme="majorHAnsi" w:hAnsiTheme="majorHAnsi" w:cstheme="majorHAnsi"/>
          <w:iCs/>
          <w:sz w:val="23"/>
          <w:szCs w:val="23"/>
        </w:rPr>
        <w:t>T</w:t>
      </w:r>
      <w:r w:rsidRPr="00772E66">
        <w:rPr>
          <w:rFonts w:asciiTheme="majorHAnsi" w:hAnsiTheme="majorHAnsi" w:cstheme="majorHAnsi"/>
          <w:iCs/>
          <w:sz w:val="23"/>
          <w:szCs w:val="23"/>
        </w:rPr>
        <w:t xml:space="preserve">hese are some key </w:t>
      </w:r>
      <w:r w:rsidR="00EE031D">
        <w:rPr>
          <w:rFonts w:asciiTheme="majorHAnsi" w:hAnsiTheme="majorHAnsi" w:cstheme="majorHAnsi"/>
          <w:iCs/>
          <w:sz w:val="23"/>
          <w:szCs w:val="23"/>
        </w:rPr>
        <w:t xml:space="preserve">[priority] </w:t>
      </w:r>
      <w:r w:rsidRPr="00772E66">
        <w:rPr>
          <w:rFonts w:asciiTheme="majorHAnsi" w:hAnsiTheme="majorHAnsi" w:cstheme="majorHAnsi"/>
          <w:iCs/>
          <w:sz w:val="23"/>
          <w:szCs w:val="23"/>
        </w:rPr>
        <w:t>areas and this is where things are moving or not moving</w:t>
      </w:r>
      <w:r w:rsidR="00EE031D">
        <w:rPr>
          <w:rFonts w:asciiTheme="majorHAnsi" w:hAnsiTheme="majorHAnsi" w:cstheme="majorHAnsi"/>
          <w:iCs/>
          <w:sz w:val="23"/>
          <w:szCs w:val="23"/>
        </w:rPr>
        <w:t>.</w:t>
      </w:r>
      <w:r w:rsidRPr="00772E66">
        <w:rPr>
          <w:rFonts w:asciiTheme="majorHAnsi" w:hAnsiTheme="majorHAnsi" w:cstheme="majorHAnsi"/>
          <w:iCs/>
          <w:sz w:val="23"/>
          <w:szCs w:val="23"/>
        </w:rPr>
        <w:t xml:space="preserve">” </w:t>
      </w:r>
      <w:r w:rsidR="00EE031D">
        <w:rPr>
          <w:rFonts w:asciiTheme="majorHAnsi" w:hAnsiTheme="majorHAnsi" w:cstheme="majorHAnsi"/>
          <w:iCs/>
          <w:sz w:val="23"/>
          <w:szCs w:val="23"/>
        </w:rPr>
        <w:t>T</w:t>
      </w:r>
      <w:r w:rsidRPr="00772E66">
        <w:rPr>
          <w:rFonts w:asciiTheme="majorHAnsi" w:hAnsiTheme="majorHAnsi" w:cstheme="majorHAnsi"/>
          <w:iCs/>
          <w:sz w:val="23"/>
          <w:szCs w:val="23"/>
        </w:rPr>
        <w:t>raffic lights kind of stuff</w:t>
      </w:r>
      <w:r w:rsidR="00EE031D">
        <w:rPr>
          <w:rFonts w:asciiTheme="majorHAnsi" w:hAnsiTheme="majorHAnsi" w:cstheme="majorHAnsi"/>
          <w:iCs/>
          <w:sz w:val="23"/>
          <w:szCs w:val="23"/>
        </w:rPr>
        <w:t>,</w:t>
      </w:r>
      <w:r w:rsidRPr="00772E66">
        <w:rPr>
          <w:rFonts w:asciiTheme="majorHAnsi" w:hAnsiTheme="majorHAnsi" w:cstheme="majorHAnsi"/>
          <w:iCs/>
          <w:sz w:val="23"/>
          <w:szCs w:val="23"/>
        </w:rPr>
        <w:t xml:space="preserve"> or some way for us to be able to view what’s happening and how well we’re doing or what areas need uplifting at particular times</w:t>
      </w:r>
      <w:r w:rsidR="00EE031D">
        <w:rPr>
          <w:rFonts w:asciiTheme="majorHAnsi" w:hAnsiTheme="majorHAnsi" w:cstheme="majorHAnsi"/>
          <w:iCs/>
          <w:sz w:val="23"/>
          <w:szCs w:val="23"/>
        </w:rPr>
        <w:t xml:space="preserve">. </w:t>
      </w:r>
      <w:proofErr w:type="gramStart"/>
      <w:r w:rsidR="00EE031D">
        <w:rPr>
          <w:rFonts w:asciiTheme="majorHAnsi" w:hAnsiTheme="majorHAnsi" w:cstheme="majorHAnsi"/>
          <w:iCs/>
          <w:sz w:val="23"/>
          <w:szCs w:val="23"/>
        </w:rPr>
        <w:t>So</w:t>
      </w:r>
      <w:proofErr w:type="gramEnd"/>
      <w:r w:rsidR="00EE031D">
        <w:rPr>
          <w:rFonts w:asciiTheme="majorHAnsi" w:hAnsiTheme="majorHAnsi" w:cstheme="majorHAnsi"/>
          <w:iCs/>
          <w:sz w:val="23"/>
          <w:szCs w:val="23"/>
        </w:rPr>
        <w:t xml:space="preserve"> it</w:t>
      </w:r>
      <w:r w:rsidRPr="00772E66">
        <w:rPr>
          <w:rFonts w:asciiTheme="majorHAnsi" w:hAnsiTheme="majorHAnsi" w:cstheme="majorHAnsi"/>
          <w:iCs/>
          <w:sz w:val="23"/>
          <w:szCs w:val="23"/>
        </w:rPr>
        <w:t xml:space="preserve"> could be some kind of roadmap or dashboard or system where we can view that.</w:t>
      </w:r>
    </w:p>
    <w:p w14:paraId="4B623CBF" w14:textId="2EC385E6" w:rsidR="000D09C8" w:rsidRPr="00772E66" w:rsidRDefault="00EE031D" w:rsidP="00467053">
      <w:pPr>
        <w:spacing w:line="276" w:lineRule="auto"/>
        <w:rPr>
          <w:rFonts w:asciiTheme="majorHAnsi" w:eastAsia="Calibri" w:hAnsiTheme="majorHAnsi" w:cstheme="majorHAnsi"/>
          <w:iCs/>
          <w:sz w:val="23"/>
          <w:szCs w:val="23"/>
          <w:lang w:val="en-GB"/>
        </w:rPr>
      </w:pPr>
      <w:r>
        <w:rPr>
          <w:rFonts w:asciiTheme="majorHAnsi" w:eastAsia="Calibri" w:hAnsiTheme="majorHAnsi" w:cstheme="majorHAnsi"/>
          <w:iCs/>
          <w:sz w:val="23"/>
          <w:szCs w:val="23"/>
          <w:lang w:val="en-GB"/>
        </w:rPr>
        <w:t>As one participant noted, s</w:t>
      </w:r>
      <w:r w:rsidR="000D09C8" w:rsidRPr="00772E66">
        <w:rPr>
          <w:rFonts w:asciiTheme="majorHAnsi" w:eastAsia="Calibri" w:hAnsiTheme="majorHAnsi" w:cstheme="majorHAnsi"/>
          <w:iCs/>
          <w:sz w:val="23"/>
          <w:szCs w:val="23"/>
          <w:lang w:val="en-GB"/>
        </w:rPr>
        <w:t xml:space="preserve">uch a dashboard would </w:t>
      </w:r>
      <w:r>
        <w:rPr>
          <w:rFonts w:asciiTheme="majorHAnsi" w:eastAsia="Calibri" w:hAnsiTheme="majorHAnsi" w:cstheme="majorHAnsi"/>
          <w:iCs/>
          <w:sz w:val="23"/>
          <w:szCs w:val="23"/>
          <w:lang w:val="en-GB"/>
        </w:rPr>
        <w:t>need</w:t>
      </w:r>
      <w:r w:rsidR="000D09C8" w:rsidRPr="00772E66">
        <w:rPr>
          <w:rFonts w:asciiTheme="majorHAnsi" w:eastAsia="Calibri" w:hAnsiTheme="majorHAnsi" w:cstheme="majorHAnsi"/>
          <w:iCs/>
          <w:sz w:val="23"/>
          <w:szCs w:val="23"/>
          <w:lang w:val="en-GB"/>
        </w:rPr>
        <w:t xml:space="preserve"> to include indicators that were relevant and important to the community, not only to local government or other outsiders:</w:t>
      </w:r>
    </w:p>
    <w:p w14:paraId="12C14FA5" w14:textId="59BA8429" w:rsidR="000D09C8" w:rsidRPr="00772E66" w:rsidRDefault="00EE031D" w:rsidP="00467053">
      <w:pPr>
        <w:spacing w:after="240" w:line="276" w:lineRule="auto"/>
        <w:ind w:left="709"/>
        <w:rPr>
          <w:rFonts w:asciiTheme="majorHAnsi" w:hAnsiTheme="majorHAnsi" w:cstheme="majorBidi"/>
          <w:iCs/>
          <w:sz w:val="23"/>
          <w:szCs w:val="23"/>
        </w:rPr>
      </w:pPr>
      <w:r>
        <w:rPr>
          <w:rFonts w:asciiTheme="majorHAnsi" w:hAnsiTheme="majorHAnsi" w:cstheme="majorBidi"/>
          <w:iCs/>
          <w:sz w:val="23"/>
          <w:szCs w:val="23"/>
        </w:rPr>
        <w:t>T</w:t>
      </w:r>
      <w:r w:rsidR="000D09C8" w:rsidRPr="00772E66">
        <w:rPr>
          <w:rFonts w:asciiTheme="majorHAnsi" w:hAnsiTheme="majorHAnsi" w:cstheme="majorBidi"/>
          <w:iCs/>
          <w:sz w:val="23"/>
          <w:szCs w:val="23"/>
        </w:rPr>
        <w:t>hat would be really important</w:t>
      </w:r>
      <w:r>
        <w:rPr>
          <w:rFonts w:asciiTheme="majorHAnsi" w:hAnsiTheme="majorHAnsi" w:cstheme="majorBidi"/>
          <w:iCs/>
          <w:sz w:val="23"/>
          <w:szCs w:val="23"/>
        </w:rPr>
        <w:t>,</w:t>
      </w:r>
      <w:r w:rsidR="000D09C8" w:rsidRPr="00772E66">
        <w:rPr>
          <w:rFonts w:asciiTheme="majorHAnsi" w:hAnsiTheme="majorHAnsi" w:cstheme="majorBidi"/>
          <w:iCs/>
          <w:sz w:val="23"/>
          <w:szCs w:val="23"/>
        </w:rPr>
        <w:t xml:space="preserve"> that the community actually establishes the indicators of what they want to change, so that we’re not establishing that for them. They actually say, “Well we want to change X, Y and Z”</w:t>
      </w:r>
      <w:r>
        <w:rPr>
          <w:rFonts w:asciiTheme="majorHAnsi" w:hAnsiTheme="majorHAnsi" w:cstheme="majorBidi"/>
          <w:iCs/>
          <w:sz w:val="23"/>
          <w:szCs w:val="23"/>
        </w:rPr>
        <w:t>,</w:t>
      </w:r>
      <w:r w:rsidR="000D09C8" w:rsidRPr="00772E66">
        <w:rPr>
          <w:rFonts w:asciiTheme="majorHAnsi" w:hAnsiTheme="majorHAnsi" w:cstheme="majorBidi"/>
          <w:iCs/>
          <w:sz w:val="23"/>
          <w:szCs w:val="23"/>
        </w:rPr>
        <w:t xml:space="preserve"> and then they measure the change against those indicators.</w:t>
      </w:r>
    </w:p>
    <w:p w14:paraId="1D1921C5" w14:textId="7D23A084" w:rsidR="000D09C8" w:rsidRPr="00772E66" w:rsidRDefault="00EE031D" w:rsidP="00467053">
      <w:pPr>
        <w:spacing w:line="276" w:lineRule="auto"/>
        <w:rPr>
          <w:rFonts w:asciiTheme="majorHAnsi" w:eastAsia="Calibri" w:hAnsiTheme="majorHAnsi" w:cstheme="majorHAnsi"/>
          <w:iCs/>
          <w:sz w:val="23"/>
          <w:szCs w:val="23"/>
          <w:lang w:val="en-GB"/>
        </w:rPr>
      </w:pPr>
      <w:r>
        <w:rPr>
          <w:rFonts w:asciiTheme="majorHAnsi" w:eastAsia="Calibri" w:hAnsiTheme="majorHAnsi" w:cstheme="majorHAnsi"/>
          <w:iCs/>
          <w:sz w:val="23"/>
          <w:szCs w:val="23"/>
          <w:lang w:val="en-GB"/>
        </w:rPr>
        <w:lastRenderedPageBreak/>
        <w:t>Informants also mentioned the</w:t>
      </w:r>
      <w:r w:rsidR="000D09C8" w:rsidRPr="00772E66">
        <w:rPr>
          <w:rFonts w:asciiTheme="majorHAnsi" w:eastAsia="Calibri" w:hAnsiTheme="majorHAnsi" w:cstheme="majorHAnsi"/>
          <w:iCs/>
          <w:sz w:val="23"/>
          <w:szCs w:val="23"/>
          <w:lang w:val="en-GB"/>
        </w:rPr>
        <w:t xml:space="preserve"> challenge of coordinating the range of existing programs and initiatives in the three </w:t>
      </w:r>
      <w:r>
        <w:rPr>
          <w:rFonts w:asciiTheme="majorHAnsi" w:eastAsia="Calibri" w:hAnsiTheme="majorHAnsi" w:cstheme="majorHAnsi"/>
          <w:iCs/>
          <w:sz w:val="23"/>
          <w:szCs w:val="23"/>
          <w:lang w:val="en-GB"/>
        </w:rPr>
        <w:t xml:space="preserve">localities – the </w:t>
      </w:r>
      <w:r w:rsidR="009E5061">
        <w:rPr>
          <w:rFonts w:asciiTheme="majorHAnsi" w:eastAsia="Calibri" w:hAnsiTheme="majorHAnsi" w:cstheme="majorHAnsi"/>
          <w:iCs/>
          <w:sz w:val="23"/>
          <w:szCs w:val="23"/>
          <w:lang w:val="en-GB"/>
        </w:rPr>
        <w:t>need to</w:t>
      </w:r>
      <w:r w:rsidR="000D09C8" w:rsidRPr="00772E66">
        <w:rPr>
          <w:rFonts w:asciiTheme="majorHAnsi" w:eastAsia="Calibri" w:hAnsiTheme="majorHAnsi" w:cstheme="majorHAnsi"/>
          <w:iCs/>
          <w:sz w:val="23"/>
          <w:szCs w:val="23"/>
          <w:lang w:val="en-GB"/>
        </w:rPr>
        <w:t xml:space="preserve"> keep</w:t>
      </w:r>
      <w:r w:rsidR="009E5061">
        <w:rPr>
          <w:rFonts w:asciiTheme="majorHAnsi" w:eastAsia="Calibri" w:hAnsiTheme="majorHAnsi" w:cstheme="majorHAnsi"/>
          <w:iCs/>
          <w:sz w:val="23"/>
          <w:szCs w:val="23"/>
          <w:lang w:val="en-GB"/>
        </w:rPr>
        <w:t xml:space="preserve"> </w:t>
      </w:r>
      <w:r w:rsidR="000D09C8" w:rsidRPr="00772E66">
        <w:rPr>
          <w:rFonts w:asciiTheme="majorHAnsi" w:eastAsia="Calibri" w:hAnsiTheme="majorHAnsi" w:cstheme="majorHAnsi"/>
          <w:iCs/>
          <w:sz w:val="23"/>
          <w:szCs w:val="23"/>
          <w:lang w:val="en-GB"/>
        </w:rPr>
        <w:t>track of and even vet what was occurring</w:t>
      </w:r>
      <w:r w:rsidR="009E5061">
        <w:rPr>
          <w:rFonts w:asciiTheme="majorHAnsi" w:eastAsia="Calibri" w:hAnsiTheme="majorHAnsi" w:cstheme="majorHAnsi"/>
          <w:iCs/>
          <w:sz w:val="23"/>
          <w:szCs w:val="23"/>
          <w:lang w:val="en-GB"/>
        </w:rPr>
        <w:t>,</w:t>
      </w:r>
      <w:r w:rsidR="000D09C8" w:rsidRPr="00772E66">
        <w:rPr>
          <w:rFonts w:asciiTheme="majorHAnsi" w:eastAsia="Calibri" w:hAnsiTheme="majorHAnsi" w:cstheme="majorHAnsi"/>
          <w:iCs/>
          <w:sz w:val="23"/>
          <w:szCs w:val="23"/>
          <w:lang w:val="en-GB"/>
        </w:rPr>
        <w:t xml:space="preserve"> and what might occur, including new ideas coming in from outside:</w:t>
      </w:r>
    </w:p>
    <w:p w14:paraId="68313837" w14:textId="439EB5F4" w:rsidR="000D09C8" w:rsidRPr="00772E66" w:rsidRDefault="000D09C8" w:rsidP="00401A28">
      <w:pPr>
        <w:spacing w:after="240" w:line="276" w:lineRule="auto"/>
        <w:ind w:left="709" w:hanging="22"/>
        <w:rPr>
          <w:rFonts w:asciiTheme="majorHAnsi" w:hAnsiTheme="majorHAnsi" w:cstheme="majorHAnsi"/>
          <w:b/>
          <w:iCs/>
          <w:sz w:val="23"/>
          <w:szCs w:val="23"/>
        </w:rPr>
      </w:pPr>
      <w:r w:rsidRPr="00772E66">
        <w:rPr>
          <w:rFonts w:asciiTheme="majorHAnsi" w:hAnsiTheme="majorHAnsi" w:cstheme="majorHAnsi"/>
          <w:iCs/>
          <w:sz w:val="23"/>
          <w:szCs w:val="23"/>
        </w:rPr>
        <w:t>If we actually could control a little bit of those well-meaning but sometimes utterly misguided external people</w:t>
      </w:r>
      <w:r w:rsidR="009E5061">
        <w:rPr>
          <w:rFonts w:asciiTheme="majorHAnsi" w:hAnsiTheme="majorHAnsi" w:cstheme="majorHAnsi"/>
          <w:iCs/>
          <w:sz w:val="23"/>
          <w:szCs w:val="23"/>
        </w:rPr>
        <w:t>…</w:t>
      </w:r>
    </w:p>
    <w:p w14:paraId="434671EB" w14:textId="6CA16D4B" w:rsidR="000D09C8" w:rsidRPr="00772E66" w:rsidRDefault="009E5061" w:rsidP="00401A28">
      <w:pPr>
        <w:spacing w:line="276" w:lineRule="auto"/>
        <w:rPr>
          <w:rFonts w:asciiTheme="majorHAnsi" w:eastAsia="Calibri" w:hAnsiTheme="majorHAnsi" w:cstheme="majorHAnsi"/>
          <w:iCs/>
          <w:sz w:val="23"/>
          <w:szCs w:val="23"/>
          <w:lang w:val="en-GB"/>
        </w:rPr>
      </w:pPr>
      <w:r>
        <w:rPr>
          <w:rFonts w:asciiTheme="majorHAnsi" w:eastAsia="Calibri" w:hAnsiTheme="majorHAnsi" w:cstheme="majorHAnsi"/>
          <w:iCs/>
          <w:sz w:val="23"/>
          <w:szCs w:val="23"/>
          <w:lang w:val="en-GB"/>
        </w:rPr>
        <w:t xml:space="preserve">There was also a need </w:t>
      </w:r>
      <w:r w:rsidR="003D1448">
        <w:rPr>
          <w:rFonts w:asciiTheme="majorHAnsi" w:eastAsia="Calibri" w:hAnsiTheme="majorHAnsi" w:cstheme="majorHAnsi"/>
          <w:iCs/>
          <w:sz w:val="23"/>
          <w:szCs w:val="23"/>
          <w:lang w:val="en-GB"/>
        </w:rPr>
        <w:t xml:space="preserve">for a mechanism </w:t>
      </w:r>
      <w:r>
        <w:rPr>
          <w:rFonts w:asciiTheme="majorHAnsi" w:eastAsia="Calibri" w:hAnsiTheme="majorHAnsi" w:cstheme="majorHAnsi"/>
          <w:iCs/>
          <w:sz w:val="23"/>
          <w:szCs w:val="23"/>
          <w:lang w:val="en-GB"/>
        </w:rPr>
        <w:t>to</w:t>
      </w:r>
      <w:r w:rsidR="000D09C8" w:rsidRPr="00772E66">
        <w:rPr>
          <w:rFonts w:asciiTheme="majorHAnsi" w:eastAsia="Calibri" w:hAnsiTheme="majorHAnsi" w:cstheme="majorHAnsi"/>
          <w:iCs/>
          <w:sz w:val="23"/>
          <w:szCs w:val="23"/>
          <w:lang w:val="en-GB"/>
        </w:rPr>
        <w:t xml:space="preserve"> coordinate</w:t>
      </w:r>
      <w:r w:rsidR="003D1448">
        <w:rPr>
          <w:rFonts w:asciiTheme="majorHAnsi" w:eastAsia="Calibri" w:hAnsiTheme="majorHAnsi" w:cstheme="majorHAnsi"/>
          <w:iCs/>
          <w:sz w:val="23"/>
          <w:szCs w:val="23"/>
          <w:lang w:val="en-GB"/>
        </w:rPr>
        <w:t xml:space="preserve"> the work being done by different organisations</w:t>
      </w:r>
      <w:r>
        <w:rPr>
          <w:rFonts w:asciiTheme="majorHAnsi" w:eastAsia="Calibri" w:hAnsiTheme="majorHAnsi" w:cstheme="majorHAnsi"/>
          <w:iCs/>
          <w:sz w:val="23"/>
          <w:szCs w:val="23"/>
          <w:lang w:val="en-GB"/>
        </w:rPr>
        <w:t>, both</w:t>
      </w:r>
      <w:r w:rsidR="000D09C8" w:rsidRPr="00772E66">
        <w:rPr>
          <w:rFonts w:asciiTheme="majorHAnsi" w:eastAsia="Calibri" w:hAnsiTheme="majorHAnsi" w:cstheme="majorHAnsi"/>
          <w:iCs/>
          <w:sz w:val="23"/>
          <w:szCs w:val="23"/>
          <w:lang w:val="en-GB"/>
        </w:rPr>
        <w:t xml:space="preserve"> within Council and </w:t>
      </w:r>
      <w:r>
        <w:rPr>
          <w:rFonts w:asciiTheme="majorHAnsi" w:eastAsia="Calibri" w:hAnsiTheme="majorHAnsi" w:cstheme="majorHAnsi"/>
          <w:iCs/>
          <w:sz w:val="23"/>
          <w:szCs w:val="23"/>
          <w:lang w:val="en-GB"/>
        </w:rPr>
        <w:t>across Greater Geelong</w:t>
      </w:r>
      <w:r w:rsidR="000D09C8" w:rsidRPr="00772E66">
        <w:rPr>
          <w:rFonts w:asciiTheme="majorHAnsi" w:eastAsia="Calibri" w:hAnsiTheme="majorHAnsi" w:cstheme="majorHAnsi"/>
          <w:iCs/>
          <w:sz w:val="23"/>
          <w:szCs w:val="23"/>
          <w:lang w:val="en-GB"/>
        </w:rPr>
        <w:t xml:space="preserve">, </w:t>
      </w:r>
      <w:r w:rsidR="00847439">
        <w:rPr>
          <w:rFonts w:asciiTheme="majorHAnsi" w:eastAsia="Calibri" w:hAnsiTheme="majorHAnsi" w:cstheme="majorHAnsi"/>
          <w:iCs/>
          <w:sz w:val="23"/>
          <w:szCs w:val="23"/>
          <w:lang w:val="en-GB"/>
        </w:rPr>
        <w:t>a</w:t>
      </w:r>
      <w:r w:rsidR="00847439" w:rsidRPr="00847439">
        <w:rPr>
          <w:rFonts w:asciiTheme="majorHAnsi" w:eastAsia="Calibri" w:hAnsiTheme="majorHAnsi" w:cstheme="majorHAnsi"/>
          <w:iCs/>
          <w:sz w:val="23"/>
          <w:szCs w:val="23"/>
          <w:lang w:val="en-GB"/>
        </w:rPr>
        <w:t>nd to assume a “helicopter view” of what is occurring across the City, not just in one location</w:t>
      </w:r>
      <w:r w:rsidR="000D09C8" w:rsidRPr="00772E66">
        <w:rPr>
          <w:rFonts w:asciiTheme="majorHAnsi" w:eastAsia="Calibri" w:hAnsiTheme="majorHAnsi" w:cstheme="majorHAnsi"/>
          <w:iCs/>
          <w:sz w:val="23"/>
          <w:szCs w:val="23"/>
          <w:lang w:val="en-GB"/>
        </w:rPr>
        <w:t>:</w:t>
      </w:r>
    </w:p>
    <w:p w14:paraId="008D1958" w14:textId="242DA872" w:rsidR="000D09C8" w:rsidRPr="00772E66" w:rsidRDefault="000D09C8" w:rsidP="00401A28">
      <w:pPr>
        <w:spacing w:after="240" w:line="276" w:lineRule="auto"/>
        <w:ind w:left="720"/>
        <w:rPr>
          <w:rFonts w:asciiTheme="majorHAnsi" w:hAnsiTheme="majorHAnsi" w:cstheme="majorHAnsi"/>
          <w:iCs/>
          <w:sz w:val="23"/>
          <w:szCs w:val="23"/>
        </w:rPr>
      </w:pPr>
      <w:r w:rsidRPr="00772E66">
        <w:rPr>
          <w:rFonts w:asciiTheme="majorHAnsi" w:hAnsiTheme="majorHAnsi" w:cstheme="majorHAnsi"/>
          <w:iCs/>
          <w:sz w:val="23"/>
          <w:szCs w:val="23"/>
        </w:rPr>
        <w:t>… internally there’s no coordination around this topic anyway. So back in the day, there used to be a taskforce that met from all the divisions across council to talk about Corio Norlane, or the east, and it just meant – and I literally was at one of those meetings when someone said, “I’m planting trees” and the guy next to me said, “No, don’t do that because I’m pulling up that road next week”</w:t>
      </w:r>
      <w:r w:rsidR="003D1448">
        <w:rPr>
          <w:rFonts w:asciiTheme="majorHAnsi" w:hAnsiTheme="majorHAnsi" w:cstheme="majorHAnsi"/>
          <w:iCs/>
          <w:sz w:val="23"/>
          <w:szCs w:val="23"/>
        </w:rPr>
        <w:t>,</w:t>
      </w:r>
      <w:r w:rsidRPr="00772E66">
        <w:rPr>
          <w:rFonts w:asciiTheme="majorHAnsi" w:hAnsiTheme="majorHAnsi" w:cstheme="majorHAnsi"/>
          <w:iCs/>
          <w:sz w:val="23"/>
          <w:szCs w:val="23"/>
        </w:rPr>
        <w:t xml:space="preserve"> and they had no way of coordinating their efforts.</w:t>
      </w:r>
    </w:p>
    <w:p w14:paraId="4011F7B2" w14:textId="506C71D8" w:rsidR="000D09C8" w:rsidRPr="00772E66" w:rsidRDefault="000D09C8" w:rsidP="00401A28">
      <w:pPr>
        <w:spacing w:line="276" w:lineRule="auto"/>
        <w:rPr>
          <w:rFonts w:asciiTheme="majorHAnsi" w:eastAsia="Calibri" w:hAnsiTheme="majorHAnsi" w:cstheme="majorHAnsi"/>
          <w:iCs/>
          <w:sz w:val="23"/>
          <w:szCs w:val="23"/>
          <w:lang w:val="en-GB"/>
        </w:rPr>
      </w:pPr>
      <w:r w:rsidRPr="00772E66">
        <w:rPr>
          <w:rFonts w:asciiTheme="majorHAnsi" w:eastAsia="Calibri" w:hAnsiTheme="majorHAnsi" w:cstheme="majorHAnsi"/>
          <w:iCs/>
          <w:sz w:val="23"/>
          <w:szCs w:val="23"/>
          <w:lang w:val="en-GB"/>
        </w:rPr>
        <w:t>The key question remained, however</w:t>
      </w:r>
      <w:r w:rsidR="00847439">
        <w:rPr>
          <w:rFonts w:asciiTheme="majorHAnsi" w:eastAsia="Calibri" w:hAnsiTheme="majorHAnsi" w:cstheme="majorHAnsi"/>
          <w:iCs/>
          <w:sz w:val="23"/>
          <w:szCs w:val="23"/>
          <w:lang w:val="en-GB"/>
        </w:rPr>
        <w:t>:</w:t>
      </w:r>
      <w:r w:rsidRPr="00772E66">
        <w:rPr>
          <w:rFonts w:asciiTheme="majorHAnsi" w:eastAsia="Calibri" w:hAnsiTheme="majorHAnsi" w:cstheme="majorHAnsi"/>
          <w:iCs/>
          <w:sz w:val="23"/>
          <w:szCs w:val="23"/>
          <w:lang w:val="en-GB"/>
        </w:rPr>
        <w:t xml:space="preserve"> what</w:t>
      </w:r>
      <w:r w:rsidR="00847439">
        <w:rPr>
          <w:rFonts w:asciiTheme="majorHAnsi" w:eastAsia="Calibri" w:hAnsiTheme="majorHAnsi" w:cstheme="majorHAnsi"/>
          <w:iCs/>
          <w:sz w:val="23"/>
          <w:szCs w:val="23"/>
          <w:lang w:val="en-GB"/>
        </w:rPr>
        <w:t xml:space="preserve"> can</w:t>
      </w:r>
      <w:r w:rsidRPr="00772E66">
        <w:rPr>
          <w:rFonts w:asciiTheme="majorHAnsi" w:eastAsia="Calibri" w:hAnsiTheme="majorHAnsi" w:cstheme="majorHAnsi"/>
          <w:iCs/>
          <w:sz w:val="23"/>
          <w:szCs w:val="23"/>
          <w:lang w:val="en-GB"/>
        </w:rPr>
        <w:t xml:space="preserve"> </w:t>
      </w:r>
      <w:r w:rsidR="001B7DDF">
        <w:rPr>
          <w:rFonts w:asciiTheme="majorHAnsi" w:eastAsia="Calibri" w:hAnsiTheme="majorHAnsi" w:cstheme="majorHAnsi"/>
          <w:iCs/>
          <w:sz w:val="23"/>
          <w:szCs w:val="23"/>
          <w:lang w:val="en-GB"/>
        </w:rPr>
        <w:t>CoGG</w:t>
      </w:r>
      <w:r w:rsidR="000806A9">
        <w:rPr>
          <w:rFonts w:asciiTheme="majorHAnsi" w:eastAsia="Calibri" w:hAnsiTheme="majorHAnsi" w:cstheme="majorHAnsi"/>
          <w:iCs/>
          <w:sz w:val="23"/>
          <w:szCs w:val="23"/>
          <w:lang w:val="en-GB"/>
        </w:rPr>
        <w:t xml:space="preserve"> do</w:t>
      </w:r>
      <w:r w:rsidRPr="00772E66">
        <w:rPr>
          <w:rFonts w:asciiTheme="majorHAnsi" w:eastAsia="Calibri" w:hAnsiTheme="majorHAnsi" w:cstheme="majorHAnsi"/>
          <w:iCs/>
          <w:sz w:val="23"/>
          <w:szCs w:val="23"/>
          <w:lang w:val="en-GB"/>
        </w:rPr>
        <w:t xml:space="preserve"> to facilitate </w:t>
      </w:r>
      <w:r w:rsidR="000806A9">
        <w:rPr>
          <w:rFonts w:asciiTheme="majorHAnsi" w:eastAsia="Calibri" w:hAnsiTheme="majorHAnsi" w:cstheme="majorHAnsi"/>
          <w:iCs/>
          <w:sz w:val="23"/>
          <w:szCs w:val="23"/>
          <w:lang w:val="en-GB"/>
        </w:rPr>
        <w:t xml:space="preserve">better outcomes for communities </w:t>
      </w:r>
      <w:r w:rsidR="00847439">
        <w:rPr>
          <w:rFonts w:asciiTheme="majorHAnsi" w:eastAsia="Calibri" w:hAnsiTheme="majorHAnsi" w:cstheme="majorHAnsi"/>
          <w:iCs/>
          <w:sz w:val="23"/>
          <w:szCs w:val="23"/>
          <w:lang w:val="en-GB"/>
        </w:rPr>
        <w:t xml:space="preserve">in </w:t>
      </w:r>
      <w:r w:rsidRPr="00772E66">
        <w:rPr>
          <w:rFonts w:asciiTheme="majorHAnsi" w:eastAsia="Calibri" w:hAnsiTheme="majorHAnsi" w:cstheme="majorHAnsi"/>
          <w:iCs/>
          <w:sz w:val="23"/>
          <w:szCs w:val="23"/>
          <w:lang w:val="en-GB"/>
        </w:rPr>
        <w:t>these three localities</w:t>
      </w:r>
      <w:r w:rsidR="00847439">
        <w:rPr>
          <w:rFonts w:asciiTheme="majorHAnsi" w:eastAsia="Calibri" w:hAnsiTheme="majorHAnsi" w:cstheme="majorHAnsi"/>
          <w:iCs/>
          <w:sz w:val="23"/>
          <w:szCs w:val="23"/>
          <w:lang w:val="en-GB"/>
        </w:rPr>
        <w:t xml:space="preserve">? </w:t>
      </w:r>
      <w:r w:rsidRPr="00772E66">
        <w:rPr>
          <w:rFonts w:asciiTheme="majorHAnsi" w:eastAsia="Calibri" w:hAnsiTheme="majorHAnsi" w:cstheme="majorHAnsi"/>
          <w:iCs/>
          <w:sz w:val="23"/>
          <w:szCs w:val="23"/>
          <w:lang w:val="en-GB"/>
        </w:rPr>
        <w:t xml:space="preserve">The fundamental suggestion was for </w:t>
      </w:r>
      <w:r w:rsidR="001B7DDF">
        <w:rPr>
          <w:rFonts w:asciiTheme="majorHAnsi" w:eastAsia="Calibri" w:hAnsiTheme="majorHAnsi" w:cstheme="majorHAnsi"/>
          <w:iCs/>
          <w:sz w:val="23"/>
          <w:szCs w:val="23"/>
          <w:lang w:val="en-GB"/>
        </w:rPr>
        <w:t>CoGG</w:t>
      </w:r>
      <w:r w:rsidR="000806A9">
        <w:rPr>
          <w:rFonts w:asciiTheme="majorHAnsi" w:eastAsia="Calibri" w:hAnsiTheme="majorHAnsi" w:cstheme="majorHAnsi"/>
          <w:iCs/>
          <w:sz w:val="23"/>
          <w:szCs w:val="23"/>
          <w:lang w:val="en-GB"/>
        </w:rPr>
        <w:t xml:space="preserve"> to</w:t>
      </w:r>
      <w:r w:rsidRPr="00772E66">
        <w:rPr>
          <w:rFonts w:asciiTheme="majorHAnsi" w:eastAsia="Calibri" w:hAnsiTheme="majorHAnsi" w:cstheme="majorHAnsi"/>
          <w:iCs/>
          <w:sz w:val="23"/>
          <w:szCs w:val="23"/>
          <w:lang w:val="en-GB"/>
        </w:rPr>
        <w:t xml:space="preserve"> engage genuinely with residents</w:t>
      </w:r>
      <w:r w:rsidR="000806A9">
        <w:rPr>
          <w:rFonts w:asciiTheme="majorHAnsi" w:eastAsia="Calibri" w:hAnsiTheme="majorHAnsi" w:cstheme="majorHAnsi"/>
          <w:iCs/>
          <w:sz w:val="23"/>
          <w:szCs w:val="23"/>
          <w:lang w:val="en-GB"/>
        </w:rPr>
        <w:t xml:space="preserve">, not </w:t>
      </w:r>
      <w:r w:rsidRPr="00772E66">
        <w:rPr>
          <w:rFonts w:asciiTheme="majorHAnsi" w:eastAsia="Calibri" w:hAnsiTheme="majorHAnsi" w:cstheme="majorHAnsi"/>
          <w:iCs/>
          <w:sz w:val="23"/>
          <w:szCs w:val="23"/>
          <w:lang w:val="en-GB"/>
        </w:rPr>
        <w:t>on</w:t>
      </w:r>
      <w:r w:rsidR="000806A9">
        <w:rPr>
          <w:rFonts w:asciiTheme="majorHAnsi" w:eastAsia="Calibri" w:hAnsiTheme="majorHAnsi" w:cstheme="majorHAnsi"/>
          <w:iCs/>
          <w:sz w:val="23"/>
          <w:szCs w:val="23"/>
          <w:lang w:val="en-GB"/>
        </w:rPr>
        <w:t>ly on identifying</w:t>
      </w:r>
      <w:r w:rsidRPr="00772E66">
        <w:rPr>
          <w:rFonts w:asciiTheme="majorHAnsi" w:eastAsia="Calibri" w:hAnsiTheme="majorHAnsi" w:cstheme="majorHAnsi"/>
          <w:iCs/>
          <w:sz w:val="23"/>
          <w:szCs w:val="23"/>
          <w:lang w:val="en-GB"/>
        </w:rPr>
        <w:t xml:space="preserve"> their needs</w:t>
      </w:r>
      <w:r w:rsidR="000806A9">
        <w:rPr>
          <w:rFonts w:asciiTheme="majorHAnsi" w:eastAsia="Calibri" w:hAnsiTheme="majorHAnsi" w:cstheme="majorHAnsi"/>
          <w:iCs/>
          <w:sz w:val="23"/>
          <w:szCs w:val="23"/>
          <w:lang w:val="en-GB"/>
        </w:rPr>
        <w:t>,</w:t>
      </w:r>
      <w:r w:rsidRPr="00772E66">
        <w:rPr>
          <w:rFonts w:asciiTheme="majorHAnsi" w:eastAsia="Calibri" w:hAnsiTheme="majorHAnsi" w:cstheme="majorHAnsi"/>
          <w:iCs/>
          <w:sz w:val="23"/>
          <w:szCs w:val="23"/>
          <w:lang w:val="en-GB"/>
        </w:rPr>
        <w:t xml:space="preserve"> but also on </w:t>
      </w:r>
      <w:r w:rsidR="00266ACE">
        <w:rPr>
          <w:rFonts w:asciiTheme="majorHAnsi" w:eastAsia="Calibri" w:hAnsiTheme="majorHAnsi" w:cstheme="majorHAnsi"/>
          <w:iCs/>
          <w:sz w:val="23"/>
          <w:szCs w:val="23"/>
          <w:lang w:val="en-GB"/>
        </w:rPr>
        <w:t xml:space="preserve">developing and assessing any </w:t>
      </w:r>
      <w:r w:rsidRPr="00772E66">
        <w:rPr>
          <w:rFonts w:asciiTheme="majorHAnsi" w:eastAsia="Calibri" w:hAnsiTheme="majorHAnsi" w:cstheme="majorHAnsi"/>
          <w:iCs/>
          <w:sz w:val="23"/>
          <w:szCs w:val="23"/>
          <w:lang w:val="en-GB"/>
        </w:rPr>
        <w:t>proposed initiatives:</w:t>
      </w:r>
    </w:p>
    <w:p w14:paraId="0C584062" w14:textId="64E79AE1" w:rsidR="000D09C8" w:rsidRPr="00772E66" w:rsidRDefault="000D09C8" w:rsidP="00401A28">
      <w:pPr>
        <w:spacing w:after="240" w:line="276" w:lineRule="auto"/>
        <w:ind w:left="709"/>
        <w:rPr>
          <w:rFonts w:asciiTheme="majorHAnsi" w:hAnsiTheme="majorHAnsi" w:cstheme="majorHAnsi"/>
          <w:iCs/>
          <w:sz w:val="23"/>
          <w:szCs w:val="23"/>
        </w:rPr>
      </w:pPr>
      <w:r w:rsidRPr="00772E66">
        <w:rPr>
          <w:rFonts w:asciiTheme="majorHAnsi" w:hAnsiTheme="majorHAnsi" w:cstheme="majorHAnsi"/>
          <w:iCs/>
          <w:sz w:val="23"/>
          <w:szCs w:val="23"/>
        </w:rPr>
        <w:t>I think for the council to actually not just do what you guys are doing, but perhaps actually go and take the time</w:t>
      </w:r>
      <w:r w:rsidR="00266ACE">
        <w:rPr>
          <w:rFonts w:asciiTheme="majorHAnsi" w:hAnsiTheme="majorHAnsi" w:cstheme="majorHAnsi"/>
          <w:iCs/>
          <w:sz w:val="23"/>
          <w:szCs w:val="23"/>
        </w:rPr>
        <w:t xml:space="preserve">, </w:t>
      </w:r>
      <w:r w:rsidRPr="00772E66">
        <w:rPr>
          <w:rFonts w:asciiTheme="majorHAnsi" w:hAnsiTheme="majorHAnsi" w:cstheme="majorHAnsi"/>
          <w:iCs/>
          <w:sz w:val="23"/>
          <w:szCs w:val="23"/>
        </w:rPr>
        <w:t xml:space="preserve">and </w:t>
      </w:r>
      <w:r w:rsidR="00266ACE">
        <w:rPr>
          <w:rFonts w:asciiTheme="majorHAnsi" w:hAnsiTheme="majorHAnsi" w:cstheme="majorHAnsi"/>
          <w:iCs/>
          <w:sz w:val="23"/>
          <w:szCs w:val="23"/>
        </w:rPr>
        <w:t xml:space="preserve">[it would] </w:t>
      </w:r>
      <w:r w:rsidRPr="00772E66">
        <w:rPr>
          <w:rFonts w:asciiTheme="majorHAnsi" w:hAnsiTheme="majorHAnsi" w:cstheme="majorHAnsi"/>
          <w:iCs/>
          <w:sz w:val="23"/>
          <w:szCs w:val="23"/>
        </w:rPr>
        <w:t>probably take them six months to actually have a look at the fantastic work that’s going on in Norlane and Corio and Whittington</w:t>
      </w:r>
      <w:r w:rsidR="00266ACE">
        <w:rPr>
          <w:rFonts w:asciiTheme="majorHAnsi" w:hAnsiTheme="majorHAnsi" w:cstheme="majorHAnsi"/>
          <w:iCs/>
          <w:sz w:val="23"/>
          <w:szCs w:val="23"/>
        </w:rPr>
        <w:t>… To</w:t>
      </w:r>
      <w:r w:rsidRPr="00772E66">
        <w:rPr>
          <w:rFonts w:asciiTheme="majorHAnsi" w:hAnsiTheme="majorHAnsi" w:cstheme="majorHAnsi"/>
          <w:iCs/>
          <w:sz w:val="23"/>
          <w:szCs w:val="23"/>
        </w:rPr>
        <w:t xml:space="preserve"> actually get a feel for it so they understand, they’re not just reading it or seeing photos. Talking to people working on the ground </w:t>
      </w:r>
      <w:r w:rsidR="00266ACE">
        <w:rPr>
          <w:rFonts w:asciiTheme="majorHAnsi" w:hAnsiTheme="majorHAnsi" w:cstheme="majorHAnsi"/>
          <w:iCs/>
          <w:sz w:val="23"/>
          <w:szCs w:val="23"/>
        </w:rPr>
        <w:t>to get</w:t>
      </w:r>
      <w:r w:rsidRPr="00772E66">
        <w:rPr>
          <w:rFonts w:asciiTheme="majorHAnsi" w:hAnsiTheme="majorHAnsi" w:cstheme="majorHAnsi"/>
          <w:iCs/>
          <w:sz w:val="23"/>
          <w:szCs w:val="23"/>
        </w:rPr>
        <w:t xml:space="preserve"> an understanding of what the communities think</w:t>
      </w:r>
      <w:r w:rsidR="00266ACE">
        <w:rPr>
          <w:rFonts w:asciiTheme="majorHAnsi" w:hAnsiTheme="majorHAnsi" w:cstheme="majorHAnsi"/>
          <w:iCs/>
          <w:sz w:val="23"/>
          <w:szCs w:val="23"/>
        </w:rPr>
        <w:t xml:space="preserve">, </w:t>
      </w:r>
      <w:r w:rsidRPr="00772E66">
        <w:rPr>
          <w:rFonts w:asciiTheme="majorHAnsi" w:hAnsiTheme="majorHAnsi" w:cstheme="majorHAnsi"/>
          <w:iCs/>
          <w:sz w:val="23"/>
          <w:szCs w:val="23"/>
        </w:rPr>
        <w:t>or if they’re not happy</w:t>
      </w:r>
      <w:r w:rsidR="00401A28">
        <w:rPr>
          <w:rFonts w:asciiTheme="majorHAnsi" w:hAnsiTheme="majorHAnsi" w:cstheme="majorHAnsi"/>
          <w:iCs/>
          <w:sz w:val="23"/>
          <w:szCs w:val="23"/>
        </w:rPr>
        <w:t xml:space="preserve"> [with what’s currently happening].</w:t>
      </w:r>
      <w:r w:rsidRPr="00772E66">
        <w:rPr>
          <w:rFonts w:asciiTheme="majorHAnsi" w:hAnsiTheme="majorHAnsi" w:cstheme="majorHAnsi"/>
          <w:iCs/>
          <w:sz w:val="23"/>
          <w:szCs w:val="23"/>
        </w:rPr>
        <w:t xml:space="preserve"> I just – I don’t know why they’re talking to us. Why aren’t they talking to the </w:t>
      </w:r>
      <w:r w:rsidR="00266ACE">
        <w:rPr>
          <w:rFonts w:asciiTheme="majorHAnsi" w:hAnsiTheme="majorHAnsi" w:cstheme="majorHAnsi"/>
          <w:iCs/>
          <w:sz w:val="23"/>
          <w:szCs w:val="23"/>
        </w:rPr>
        <w:t>[residents] out</w:t>
      </w:r>
      <w:r w:rsidRPr="00772E66">
        <w:rPr>
          <w:rFonts w:asciiTheme="majorHAnsi" w:hAnsiTheme="majorHAnsi" w:cstheme="majorHAnsi"/>
          <w:iCs/>
          <w:sz w:val="23"/>
          <w:szCs w:val="23"/>
        </w:rPr>
        <w:t xml:space="preserve"> there?</w:t>
      </w:r>
    </w:p>
    <w:p w14:paraId="30AAB0F1" w14:textId="77777777" w:rsidR="000D09C8" w:rsidRPr="00772E66" w:rsidRDefault="000D09C8" w:rsidP="00401A28">
      <w:pPr>
        <w:spacing w:line="276" w:lineRule="auto"/>
        <w:rPr>
          <w:rFonts w:asciiTheme="majorHAnsi" w:eastAsia="Calibri" w:hAnsiTheme="majorHAnsi" w:cstheme="majorHAnsi"/>
          <w:iCs/>
          <w:sz w:val="23"/>
          <w:szCs w:val="23"/>
          <w:lang w:val="en-GB"/>
        </w:rPr>
      </w:pPr>
      <w:r w:rsidRPr="00772E66">
        <w:rPr>
          <w:rFonts w:asciiTheme="majorHAnsi" w:eastAsia="Calibri" w:hAnsiTheme="majorHAnsi" w:cstheme="majorHAnsi"/>
          <w:iCs/>
          <w:sz w:val="23"/>
          <w:szCs w:val="23"/>
          <w:lang w:val="en-GB"/>
        </w:rPr>
        <w:t>And this is in relation to the City consulting as a matter of course on existing and planned strategies with the communities that will be most effected by these strategies. As one Norlane participant suggested:</w:t>
      </w:r>
    </w:p>
    <w:p w14:paraId="1F52D004" w14:textId="2BFB68A4" w:rsidR="000D09C8" w:rsidRPr="00772E66" w:rsidRDefault="000D09C8" w:rsidP="00467053">
      <w:pPr>
        <w:spacing w:after="240" w:line="276" w:lineRule="auto"/>
        <w:ind w:left="709"/>
        <w:rPr>
          <w:rFonts w:asciiTheme="majorHAnsi" w:hAnsiTheme="majorHAnsi" w:cstheme="majorHAnsi"/>
          <w:iCs/>
          <w:sz w:val="23"/>
          <w:szCs w:val="23"/>
        </w:rPr>
      </w:pPr>
      <w:r w:rsidRPr="00772E66">
        <w:rPr>
          <w:rFonts w:asciiTheme="majorHAnsi" w:hAnsiTheme="majorHAnsi" w:cstheme="majorHAnsi"/>
          <w:iCs/>
          <w:sz w:val="23"/>
          <w:szCs w:val="23"/>
        </w:rPr>
        <w:t>What we need to be able to look at is what is being earmarked for the north</w:t>
      </w:r>
      <w:r w:rsidR="00401A28">
        <w:rPr>
          <w:rFonts w:asciiTheme="majorHAnsi" w:hAnsiTheme="majorHAnsi" w:cstheme="majorHAnsi"/>
          <w:iCs/>
          <w:sz w:val="23"/>
          <w:szCs w:val="23"/>
        </w:rPr>
        <w:t>. H</w:t>
      </w:r>
      <w:r w:rsidRPr="00772E66">
        <w:rPr>
          <w:rFonts w:asciiTheme="majorHAnsi" w:hAnsiTheme="majorHAnsi" w:cstheme="majorHAnsi"/>
          <w:iCs/>
          <w:sz w:val="23"/>
          <w:szCs w:val="23"/>
        </w:rPr>
        <w:t>ow do we ensure that if it’s about working in there, can we get some of our own people to be able to lead some of that work, to be active in the groups, to have a say, to be canvassing the perspectives of others</w:t>
      </w:r>
      <w:r w:rsidR="00910ED1">
        <w:rPr>
          <w:rFonts w:asciiTheme="majorHAnsi" w:hAnsiTheme="majorHAnsi" w:cstheme="majorHAnsi"/>
          <w:iCs/>
          <w:sz w:val="23"/>
          <w:szCs w:val="23"/>
        </w:rPr>
        <w:t>?</w:t>
      </w:r>
      <w:r w:rsidRPr="00772E66">
        <w:rPr>
          <w:rFonts w:asciiTheme="majorHAnsi" w:hAnsiTheme="majorHAnsi" w:cstheme="majorHAnsi"/>
          <w:iCs/>
          <w:sz w:val="23"/>
          <w:szCs w:val="23"/>
        </w:rPr>
        <w:t xml:space="preserve"> </w:t>
      </w:r>
      <w:r w:rsidR="00910ED1">
        <w:rPr>
          <w:rFonts w:asciiTheme="majorHAnsi" w:hAnsiTheme="majorHAnsi" w:cstheme="majorHAnsi"/>
          <w:iCs/>
          <w:sz w:val="23"/>
          <w:szCs w:val="23"/>
        </w:rPr>
        <w:t>S</w:t>
      </w:r>
      <w:r w:rsidRPr="00772E66">
        <w:rPr>
          <w:rFonts w:asciiTheme="majorHAnsi" w:hAnsiTheme="majorHAnsi" w:cstheme="majorHAnsi"/>
          <w:iCs/>
          <w:sz w:val="23"/>
          <w:szCs w:val="23"/>
        </w:rPr>
        <w:t xml:space="preserve">o that </w:t>
      </w:r>
      <w:proofErr w:type="gramStart"/>
      <w:r w:rsidRPr="00772E66">
        <w:rPr>
          <w:rFonts w:asciiTheme="majorHAnsi" w:hAnsiTheme="majorHAnsi" w:cstheme="majorHAnsi"/>
          <w:iCs/>
          <w:sz w:val="23"/>
          <w:szCs w:val="23"/>
        </w:rPr>
        <w:t>actually</w:t>
      </w:r>
      <w:proofErr w:type="gramEnd"/>
      <w:r w:rsidRPr="00772E66">
        <w:rPr>
          <w:rFonts w:asciiTheme="majorHAnsi" w:hAnsiTheme="majorHAnsi" w:cstheme="majorHAnsi"/>
          <w:iCs/>
          <w:sz w:val="23"/>
          <w:szCs w:val="23"/>
        </w:rPr>
        <w:t xml:space="preserve"> things – its reactions to what’s required in the north, not someone looking from the outside from a biased or blind point of view</w:t>
      </w:r>
      <w:r w:rsidR="00910ED1">
        <w:rPr>
          <w:rFonts w:asciiTheme="majorHAnsi" w:hAnsiTheme="majorHAnsi" w:cstheme="majorHAnsi"/>
          <w:iCs/>
          <w:sz w:val="23"/>
          <w:szCs w:val="23"/>
        </w:rPr>
        <w:t>.</w:t>
      </w:r>
    </w:p>
    <w:p w14:paraId="4702E159" w14:textId="6048A8F5" w:rsidR="000D09C8" w:rsidRPr="00772E66" w:rsidRDefault="000D09C8" w:rsidP="00467053">
      <w:pPr>
        <w:spacing w:line="276" w:lineRule="auto"/>
        <w:rPr>
          <w:rFonts w:asciiTheme="majorHAnsi" w:eastAsia="Calibri" w:hAnsiTheme="majorHAnsi" w:cstheme="majorHAnsi"/>
          <w:iCs/>
          <w:sz w:val="23"/>
          <w:szCs w:val="23"/>
          <w:lang w:val="en-GB"/>
        </w:rPr>
      </w:pPr>
      <w:r w:rsidRPr="00772E66">
        <w:rPr>
          <w:rFonts w:asciiTheme="majorHAnsi" w:eastAsia="Calibri" w:hAnsiTheme="majorHAnsi" w:cstheme="majorHAnsi"/>
          <w:iCs/>
          <w:sz w:val="23"/>
          <w:szCs w:val="23"/>
          <w:lang w:val="en-GB"/>
        </w:rPr>
        <w:t xml:space="preserve">A </w:t>
      </w:r>
      <w:r w:rsidR="00910ED1">
        <w:rPr>
          <w:rFonts w:asciiTheme="majorHAnsi" w:eastAsia="Calibri" w:hAnsiTheme="majorHAnsi" w:cstheme="majorHAnsi"/>
          <w:iCs/>
          <w:sz w:val="23"/>
          <w:szCs w:val="23"/>
          <w:lang w:val="en-GB"/>
        </w:rPr>
        <w:t>“</w:t>
      </w:r>
      <w:r w:rsidRPr="00772E66">
        <w:rPr>
          <w:rFonts w:asciiTheme="majorHAnsi" w:eastAsia="Calibri" w:hAnsiTheme="majorHAnsi" w:cstheme="majorHAnsi"/>
          <w:iCs/>
          <w:sz w:val="23"/>
          <w:szCs w:val="23"/>
          <w:lang w:val="en-GB"/>
        </w:rPr>
        <w:t>collaborative consultative</w:t>
      </w:r>
      <w:r w:rsidR="00910ED1">
        <w:rPr>
          <w:rFonts w:asciiTheme="majorHAnsi" w:eastAsia="Calibri" w:hAnsiTheme="majorHAnsi" w:cstheme="majorHAnsi"/>
          <w:iCs/>
          <w:sz w:val="23"/>
          <w:szCs w:val="23"/>
          <w:lang w:val="en-GB"/>
        </w:rPr>
        <w:t>”</w:t>
      </w:r>
      <w:r w:rsidRPr="00772E66">
        <w:rPr>
          <w:rFonts w:asciiTheme="majorHAnsi" w:eastAsia="Calibri" w:hAnsiTheme="majorHAnsi" w:cstheme="majorHAnsi"/>
          <w:iCs/>
          <w:sz w:val="23"/>
          <w:szCs w:val="23"/>
          <w:lang w:val="en-GB"/>
        </w:rPr>
        <w:t xml:space="preserve"> model was presented as one way to </w:t>
      </w:r>
      <w:r w:rsidR="00910ED1">
        <w:rPr>
          <w:rFonts w:asciiTheme="majorHAnsi" w:eastAsia="Calibri" w:hAnsiTheme="majorHAnsi" w:cstheme="majorHAnsi"/>
          <w:iCs/>
          <w:sz w:val="23"/>
          <w:szCs w:val="23"/>
          <w:lang w:val="en-GB"/>
        </w:rPr>
        <w:t>approach</w:t>
      </w:r>
      <w:r w:rsidRPr="00772E66">
        <w:rPr>
          <w:rFonts w:asciiTheme="majorHAnsi" w:eastAsia="Calibri" w:hAnsiTheme="majorHAnsi" w:cstheme="majorHAnsi"/>
          <w:iCs/>
          <w:sz w:val="23"/>
          <w:szCs w:val="23"/>
          <w:lang w:val="en-GB"/>
        </w:rPr>
        <w:t xml:space="preserve"> genuine engagement:</w:t>
      </w:r>
    </w:p>
    <w:p w14:paraId="548C0080" w14:textId="36B7DEBB" w:rsidR="000D09C8" w:rsidRPr="00772E66" w:rsidRDefault="000D09C8" w:rsidP="00467053">
      <w:pPr>
        <w:spacing w:after="240" w:line="276" w:lineRule="auto"/>
        <w:ind w:left="709"/>
        <w:rPr>
          <w:rFonts w:asciiTheme="majorHAnsi" w:hAnsiTheme="majorHAnsi" w:cstheme="majorHAnsi"/>
          <w:b/>
          <w:iCs/>
          <w:sz w:val="23"/>
          <w:szCs w:val="23"/>
        </w:rPr>
      </w:pPr>
      <w:r w:rsidRPr="00772E66">
        <w:rPr>
          <w:rFonts w:asciiTheme="majorHAnsi" w:hAnsiTheme="majorHAnsi" w:cstheme="majorHAnsi"/>
          <w:iCs/>
          <w:sz w:val="23"/>
          <w:szCs w:val="23"/>
        </w:rPr>
        <w:t xml:space="preserve">Well, that’s our underlying philosophy. That’s what we base our whole approach on, working alongside people and coming together in groups to organise stuff together, seeking resident inputs into the shape of the programs and the directions and what’s most important to them. Then we utilise our skills and resources to be able to match that up with what people want and then we work together. It’s like a dance. Sometimes the community leads, and we follow. Sometimes we lead a little </w:t>
      </w:r>
      <w:proofErr w:type="gramStart"/>
      <w:r w:rsidRPr="00772E66">
        <w:rPr>
          <w:rFonts w:asciiTheme="majorHAnsi" w:hAnsiTheme="majorHAnsi" w:cstheme="majorHAnsi"/>
          <w:iCs/>
          <w:sz w:val="23"/>
          <w:szCs w:val="23"/>
        </w:rPr>
        <w:t>bit</w:t>
      </w:r>
      <w:proofErr w:type="gramEnd"/>
      <w:r w:rsidRPr="00772E66">
        <w:rPr>
          <w:rFonts w:asciiTheme="majorHAnsi" w:hAnsiTheme="majorHAnsi" w:cstheme="majorHAnsi"/>
          <w:iCs/>
          <w:sz w:val="23"/>
          <w:szCs w:val="23"/>
        </w:rPr>
        <w:t xml:space="preserve"> and they follow. But it’s working together, and even if that takes longer, we’re quite happy for it to take longer. If it takes two months longer to set up a community program because it’s done with the community, alongside the community, meeting </w:t>
      </w:r>
      <w:r w:rsidRPr="00772E66">
        <w:rPr>
          <w:rFonts w:asciiTheme="majorHAnsi" w:hAnsiTheme="majorHAnsi" w:cstheme="majorHAnsi"/>
          <w:iCs/>
          <w:sz w:val="23"/>
          <w:szCs w:val="23"/>
        </w:rPr>
        <w:lastRenderedPageBreak/>
        <w:t xml:space="preserve">weekly together, going through all the ins and outs of a group meeting, then it takes two months longer but the results of that are incredibly richer and deeper and affect long-term change with people then involved in setting something up. So yeah, a lot of our theory and approach could be utilised across the different areas if </w:t>
      </w:r>
      <w:r w:rsidR="001B7DDF">
        <w:rPr>
          <w:rFonts w:asciiTheme="majorHAnsi" w:hAnsiTheme="majorHAnsi" w:cstheme="majorHAnsi"/>
          <w:iCs/>
          <w:sz w:val="23"/>
          <w:szCs w:val="23"/>
        </w:rPr>
        <w:t>CoGG</w:t>
      </w:r>
      <w:r w:rsidRPr="00772E66">
        <w:rPr>
          <w:rFonts w:asciiTheme="majorHAnsi" w:hAnsiTheme="majorHAnsi" w:cstheme="majorHAnsi"/>
          <w:iCs/>
          <w:sz w:val="23"/>
          <w:szCs w:val="23"/>
        </w:rPr>
        <w:t xml:space="preserve"> would like to look at what we do and implement and adopt some of those approaches.</w:t>
      </w:r>
    </w:p>
    <w:p w14:paraId="6A2B7875" w14:textId="6091D7E9" w:rsidR="00B42944" w:rsidRDefault="000D09C8" w:rsidP="00467053">
      <w:pPr>
        <w:spacing w:line="276" w:lineRule="auto"/>
        <w:rPr>
          <w:rFonts w:asciiTheme="majorHAnsi" w:eastAsia="Calibri" w:hAnsiTheme="majorHAnsi" w:cstheme="majorBidi"/>
          <w:iCs/>
          <w:sz w:val="23"/>
          <w:szCs w:val="23"/>
          <w:lang w:val="en-GB"/>
        </w:rPr>
      </w:pPr>
      <w:r w:rsidRPr="00772E66">
        <w:rPr>
          <w:rFonts w:asciiTheme="majorHAnsi" w:eastAsia="Calibri" w:hAnsiTheme="majorHAnsi" w:cstheme="majorBidi"/>
          <w:iCs/>
          <w:sz w:val="23"/>
          <w:szCs w:val="23"/>
          <w:lang w:val="en-GB"/>
        </w:rPr>
        <w:t xml:space="preserve">Here the role of </w:t>
      </w:r>
      <w:r w:rsidR="001B7DDF">
        <w:rPr>
          <w:rFonts w:asciiTheme="majorHAnsi" w:eastAsia="Calibri" w:hAnsiTheme="majorHAnsi" w:cstheme="majorBidi"/>
          <w:iCs/>
          <w:sz w:val="23"/>
          <w:szCs w:val="23"/>
          <w:lang w:val="en-GB"/>
        </w:rPr>
        <w:t>CoGG</w:t>
      </w:r>
      <w:r w:rsidRPr="00772E66">
        <w:rPr>
          <w:rFonts w:asciiTheme="majorHAnsi" w:eastAsia="Calibri" w:hAnsiTheme="majorHAnsi" w:cstheme="majorBidi"/>
          <w:iCs/>
          <w:sz w:val="23"/>
          <w:szCs w:val="23"/>
          <w:lang w:val="en-GB"/>
        </w:rPr>
        <w:t xml:space="preserve"> is envisaged as a broker, </w:t>
      </w:r>
      <w:r w:rsidR="004919D1">
        <w:rPr>
          <w:rFonts w:asciiTheme="majorHAnsi" w:eastAsia="Calibri" w:hAnsiTheme="majorHAnsi" w:cstheme="majorBidi"/>
          <w:iCs/>
          <w:sz w:val="23"/>
          <w:szCs w:val="23"/>
          <w:lang w:val="en-GB"/>
        </w:rPr>
        <w:t>and a</w:t>
      </w:r>
      <w:r w:rsidRPr="00772E66">
        <w:rPr>
          <w:rFonts w:asciiTheme="majorHAnsi" w:eastAsia="Calibri" w:hAnsiTheme="majorHAnsi" w:cstheme="majorBidi"/>
          <w:iCs/>
          <w:sz w:val="23"/>
          <w:szCs w:val="23"/>
          <w:lang w:val="en-GB"/>
        </w:rPr>
        <w:t xml:space="preserve"> vehicle through which programs are coordinated and views sought and incorporated, so that programs address genuine needs in ways that meet those needs. </w:t>
      </w:r>
      <w:r w:rsidR="004919D1">
        <w:rPr>
          <w:rFonts w:asciiTheme="majorHAnsi" w:eastAsia="Calibri" w:hAnsiTheme="majorHAnsi" w:cstheme="majorBidi"/>
          <w:iCs/>
          <w:sz w:val="23"/>
          <w:szCs w:val="23"/>
          <w:lang w:val="en-GB"/>
        </w:rPr>
        <w:t xml:space="preserve">One participant cited the </w:t>
      </w:r>
      <w:r w:rsidR="00B42944">
        <w:rPr>
          <w:rFonts w:asciiTheme="majorHAnsi" w:eastAsia="Calibri" w:hAnsiTheme="majorHAnsi" w:cstheme="majorBidi"/>
          <w:iCs/>
          <w:sz w:val="23"/>
          <w:szCs w:val="23"/>
          <w:lang w:val="en-GB"/>
        </w:rPr>
        <w:t xml:space="preserve">negative </w:t>
      </w:r>
      <w:r w:rsidR="004919D1">
        <w:rPr>
          <w:rFonts w:asciiTheme="majorHAnsi" w:eastAsia="Calibri" w:hAnsiTheme="majorHAnsi" w:cstheme="majorBidi"/>
          <w:iCs/>
          <w:sz w:val="23"/>
          <w:szCs w:val="23"/>
          <w:lang w:val="en-GB"/>
        </w:rPr>
        <w:t xml:space="preserve">example of an </w:t>
      </w:r>
      <w:r w:rsidRPr="00772E66">
        <w:rPr>
          <w:rFonts w:asciiTheme="majorHAnsi" w:eastAsia="Calibri" w:hAnsiTheme="majorHAnsi" w:cstheme="majorBidi"/>
          <w:iCs/>
          <w:sz w:val="23"/>
          <w:szCs w:val="23"/>
          <w:lang w:val="en-GB"/>
        </w:rPr>
        <w:t xml:space="preserve">expensive food bank and delivery </w:t>
      </w:r>
      <w:r w:rsidR="004919D1">
        <w:rPr>
          <w:rFonts w:asciiTheme="majorHAnsi" w:eastAsia="Calibri" w:hAnsiTheme="majorHAnsi" w:cstheme="majorBidi"/>
          <w:iCs/>
          <w:sz w:val="23"/>
          <w:szCs w:val="23"/>
          <w:lang w:val="en-GB"/>
        </w:rPr>
        <w:t>program for excess</w:t>
      </w:r>
      <w:r w:rsidRPr="00772E66">
        <w:rPr>
          <w:rFonts w:asciiTheme="majorHAnsi" w:eastAsia="Calibri" w:hAnsiTheme="majorHAnsi" w:cstheme="majorBidi"/>
          <w:iCs/>
          <w:sz w:val="23"/>
          <w:szCs w:val="23"/>
          <w:lang w:val="en-GB"/>
        </w:rPr>
        <w:t xml:space="preserve"> supermarket </w:t>
      </w:r>
      <w:r w:rsidR="004919D1">
        <w:rPr>
          <w:rFonts w:asciiTheme="majorHAnsi" w:eastAsia="Calibri" w:hAnsiTheme="majorHAnsi" w:cstheme="majorBidi"/>
          <w:iCs/>
          <w:sz w:val="23"/>
          <w:szCs w:val="23"/>
          <w:lang w:val="en-GB"/>
        </w:rPr>
        <w:t>products that</w:t>
      </w:r>
      <w:r w:rsidRPr="00772E66">
        <w:rPr>
          <w:rFonts w:asciiTheme="majorHAnsi" w:eastAsia="Calibri" w:hAnsiTheme="majorHAnsi" w:cstheme="majorBidi"/>
          <w:iCs/>
          <w:sz w:val="23"/>
          <w:szCs w:val="23"/>
          <w:lang w:val="en-GB"/>
        </w:rPr>
        <w:t xml:space="preserve"> did not meet local tastes and needs.</w:t>
      </w:r>
    </w:p>
    <w:p w14:paraId="19FC214B" w14:textId="1AAE6420" w:rsidR="000D09C8" w:rsidRPr="00772E66" w:rsidRDefault="00B42944" w:rsidP="00467053">
      <w:pPr>
        <w:spacing w:line="276" w:lineRule="auto"/>
        <w:rPr>
          <w:rFonts w:asciiTheme="majorHAnsi" w:eastAsia="Calibri" w:hAnsiTheme="majorHAnsi" w:cstheme="majorBidi"/>
          <w:iCs/>
          <w:sz w:val="23"/>
          <w:szCs w:val="23"/>
          <w:lang w:val="en-GB"/>
        </w:rPr>
      </w:pPr>
      <w:r>
        <w:rPr>
          <w:rFonts w:asciiTheme="majorHAnsi" w:eastAsia="Calibri" w:hAnsiTheme="majorHAnsi" w:cstheme="majorBidi"/>
          <w:iCs/>
          <w:sz w:val="23"/>
          <w:szCs w:val="23"/>
          <w:lang w:val="en-GB"/>
        </w:rPr>
        <w:t xml:space="preserve">Others suggested </w:t>
      </w:r>
      <w:r w:rsidR="000D09C8" w:rsidRPr="00772E66">
        <w:rPr>
          <w:rFonts w:asciiTheme="majorHAnsi" w:eastAsia="Calibri" w:hAnsiTheme="majorHAnsi" w:cstheme="majorBidi"/>
          <w:iCs/>
          <w:sz w:val="23"/>
          <w:szCs w:val="23"/>
          <w:lang w:val="en-GB"/>
        </w:rPr>
        <w:t xml:space="preserve">that </w:t>
      </w:r>
      <w:r w:rsidR="001B7DDF">
        <w:rPr>
          <w:rFonts w:asciiTheme="majorHAnsi" w:eastAsia="Calibri" w:hAnsiTheme="majorHAnsi" w:cstheme="majorBidi"/>
          <w:iCs/>
          <w:sz w:val="23"/>
          <w:szCs w:val="23"/>
          <w:lang w:val="en-GB"/>
        </w:rPr>
        <w:t>CoGG</w:t>
      </w:r>
      <w:r w:rsidR="000D09C8" w:rsidRPr="00772E66">
        <w:rPr>
          <w:rFonts w:asciiTheme="majorHAnsi" w:eastAsia="Calibri" w:hAnsiTheme="majorHAnsi" w:cstheme="majorBidi"/>
          <w:iCs/>
          <w:sz w:val="23"/>
          <w:szCs w:val="23"/>
          <w:lang w:val="en-GB"/>
        </w:rPr>
        <w:t xml:space="preserve"> can provide the expertise and time to develop and extend supportive </w:t>
      </w:r>
      <w:r>
        <w:rPr>
          <w:rFonts w:asciiTheme="majorHAnsi" w:eastAsia="Calibri" w:hAnsiTheme="majorHAnsi" w:cstheme="majorBidi"/>
          <w:iCs/>
          <w:sz w:val="23"/>
          <w:szCs w:val="23"/>
          <w:lang w:val="en-GB"/>
        </w:rPr>
        <w:t xml:space="preserve">local </w:t>
      </w:r>
      <w:r w:rsidR="000D09C8" w:rsidRPr="00772E66">
        <w:rPr>
          <w:rFonts w:asciiTheme="majorHAnsi" w:eastAsia="Calibri" w:hAnsiTheme="majorHAnsi" w:cstheme="majorBidi"/>
          <w:iCs/>
          <w:sz w:val="23"/>
          <w:szCs w:val="23"/>
          <w:lang w:val="en-GB"/>
        </w:rPr>
        <w:t xml:space="preserve">partnerships to scale up successful and necessary programs. For example, </w:t>
      </w:r>
      <w:r w:rsidR="001B7DDF">
        <w:rPr>
          <w:rFonts w:asciiTheme="majorHAnsi" w:eastAsia="Calibri" w:hAnsiTheme="majorHAnsi" w:cstheme="majorBidi"/>
          <w:iCs/>
          <w:sz w:val="23"/>
          <w:szCs w:val="23"/>
          <w:lang w:val="en-GB"/>
        </w:rPr>
        <w:t>CoGG</w:t>
      </w:r>
      <w:r w:rsidR="000D09C8" w:rsidRPr="00772E66">
        <w:rPr>
          <w:rFonts w:asciiTheme="majorHAnsi" w:eastAsia="Calibri" w:hAnsiTheme="majorHAnsi" w:cstheme="majorBidi"/>
          <w:iCs/>
          <w:sz w:val="23"/>
          <w:szCs w:val="23"/>
          <w:lang w:val="en-GB"/>
        </w:rPr>
        <w:t>:</w:t>
      </w:r>
    </w:p>
    <w:p w14:paraId="7895F835" w14:textId="1F56C2EE" w:rsidR="000D09C8" w:rsidRPr="00772E66" w:rsidRDefault="000D09C8" w:rsidP="00B42944">
      <w:pPr>
        <w:spacing w:after="240" w:line="276" w:lineRule="auto"/>
        <w:ind w:left="709"/>
        <w:rPr>
          <w:rFonts w:asciiTheme="majorHAnsi" w:hAnsiTheme="majorHAnsi" w:cstheme="majorHAnsi"/>
          <w:b/>
          <w:iCs/>
          <w:sz w:val="23"/>
          <w:szCs w:val="23"/>
        </w:rPr>
      </w:pPr>
      <w:r w:rsidRPr="00772E66">
        <w:rPr>
          <w:rFonts w:asciiTheme="majorHAnsi" w:hAnsiTheme="majorHAnsi" w:cstheme="majorHAnsi"/>
          <w:iCs/>
          <w:sz w:val="23"/>
          <w:szCs w:val="23"/>
        </w:rPr>
        <w:t>… can seek supportive, matching funding from state, federal government, from [inaudible] sectors, so they could play a key role in advocating that okay, we’ve got a great program that’s working currently that we’re spending $100,000 on it but we can scale it up by ten. So, we need a million dollars so we can have that impact magnified, whatever it comes out to be. And I know a lot of approaches around the world have a similar way of viewing it. The local council will be involved. They’ll supply a certain amount of funds, certain amount of input, but then they’ll go to A, B, C, D and E, and you have six partners working together. All of a sudden, your impact is a lot huger than a small little initiative organisation who’s chipping away on $100,000 project th</w:t>
      </w:r>
      <w:r w:rsidR="004857FF">
        <w:rPr>
          <w:rFonts w:asciiTheme="majorHAnsi" w:hAnsiTheme="majorHAnsi" w:cstheme="majorHAnsi"/>
          <w:iCs/>
          <w:sz w:val="23"/>
          <w:szCs w:val="23"/>
        </w:rPr>
        <w:t>at</w:t>
      </w:r>
      <w:r w:rsidRPr="00772E66">
        <w:rPr>
          <w:rFonts w:asciiTheme="majorHAnsi" w:hAnsiTheme="majorHAnsi" w:cstheme="majorHAnsi"/>
          <w:iCs/>
          <w:sz w:val="23"/>
          <w:szCs w:val="23"/>
        </w:rPr>
        <w:t xml:space="preserve"> could be scaled up</w:t>
      </w:r>
      <w:r w:rsidR="004857FF">
        <w:rPr>
          <w:rFonts w:asciiTheme="majorHAnsi" w:hAnsiTheme="majorHAnsi" w:cstheme="majorHAnsi"/>
          <w:iCs/>
          <w:sz w:val="23"/>
          <w:szCs w:val="23"/>
        </w:rPr>
        <w:t>… and [you’re]</w:t>
      </w:r>
      <w:r w:rsidRPr="00772E66">
        <w:rPr>
          <w:rFonts w:asciiTheme="majorHAnsi" w:hAnsiTheme="majorHAnsi" w:cstheme="majorHAnsi"/>
          <w:iCs/>
          <w:sz w:val="23"/>
          <w:szCs w:val="23"/>
        </w:rPr>
        <w:t xml:space="preserve"> seeing some really great things happen. </w:t>
      </w:r>
      <w:r w:rsidR="004857FF">
        <w:rPr>
          <w:rFonts w:asciiTheme="majorHAnsi" w:hAnsiTheme="majorHAnsi" w:cstheme="majorHAnsi"/>
          <w:iCs/>
          <w:sz w:val="23"/>
          <w:szCs w:val="23"/>
        </w:rPr>
        <w:t>Then</w:t>
      </w:r>
      <w:r w:rsidRPr="00772E66">
        <w:rPr>
          <w:rFonts w:asciiTheme="majorHAnsi" w:hAnsiTheme="majorHAnsi" w:cstheme="majorHAnsi"/>
          <w:iCs/>
          <w:sz w:val="23"/>
          <w:szCs w:val="23"/>
        </w:rPr>
        <w:t xml:space="preserve"> council can track those results, provide researchers, evaluations, and communicate through dashboards and </w:t>
      </w:r>
      <w:r w:rsidR="004857FF">
        <w:rPr>
          <w:rFonts w:asciiTheme="majorHAnsi" w:hAnsiTheme="majorHAnsi" w:cstheme="majorHAnsi"/>
          <w:iCs/>
          <w:sz w:val="23"/>
          <w:szCs w:val="23"/>
        </w:rPr>
        <w:t>[create]</w:t>
      </w:r>
      <w:r w:rsidRPr="00772E66">
        <w:rPr>
          <w:rFonts w:asciiTheme="majorHAnsi" w:hAnsiTheme="majorHAnsi" w:cstheme="majorHAnsi"/>
          <w:iCs/>
          <w:sz w:val="23"/>
          <w:szCs w:val="23"/>
        </w:rPr>
        <w:t xml:space="preserve"> opportunities for people to understand what’s happening there. And then more people get involved and it snowballs beyond that. </w:t>
      </w:r>
    </w:p>
    <w:p w14:paraId="2C6011C6" w14:textId="57290813" w:rsidR="000D09C8" w:rsidRPr="00772E66" w:rsidRDefault="00B42944" w:rsidP="00B42944">
      <w:pPr>
        <w:spacing w:line="276" w:lineRule="auto"/>
        <w:rPr>
          <w:rFonts w:asciiTheme="majorHAnsi" w:hAnsiTheme="majorHAnsi" w:cstheme="majorHAnsi"/>
          <w:iCs/>
          <w:sz w:val="23"/>
          <w:szCs w:val="23"/>
          <w:lang w:val="en-GB"/>
        </w:rPr>
      </w:pPr>
      <w:r>
        <w:rPr>
          <w:rFonts w:asciiTheme="majorHAnsi" w:hAnsiTheme="majorHAnsi" w:cstheme="majorHAnsi"/>
          <w:iCs/>
          <w:sz w:val="23"/>
          <w:szCs w:val="23"/>
          <w:lang w:val="en-GB"/>
        </w:rPr>
        <w:t xml:space="preserve">This proposed role for </w:t>
      </w:r>
      <w:r w:rsidR="001B7DDF">
        <w:rPr>
          <w:rFonts w:asciiTheme="majorHAnsi" w:hAnsiTheme="majorHAnsi" w:cstheme="majorHAnsi"/>
          <w:iCs/>
          <w:sz w:val="23"/>
          <w:szCs w:val="23"/>
          <w:lang w:val="en-GB"/>
        </w:rPr>
        <w:t>CoGG</w:t>
      </w:r>
      <w:r w:rsidRPr="00B42944">
        <w:rPr>
          <w:rFonts w:asciiTheme="majorHAnsi" w:hAnsiTheme="majorHAnsi" w:cstheme="majorHAnsi"/>
          <w:iCs/>
          <w:sz w:val="23"/>
          <w:szCs w:val="23"/>
          <w:lang w:val="en-GB"/>
        </w:rPr>
        <w:t xml:space="preserve"> – as a</w:t>
      </w:r>
      <w:r w:rsidR="000D09C8" w:rsidRPr="00B42944">
        <w:rPr>
          <w:rFonts w:asciiTheme="majorHAnsi" w:hAnsiTheme="majorHAnsi" w:cstheme="majorHAnsi"/>
          <w:iCs/>
          <w:sz w:val="23"/>
          <w:szCs w:val="23"/>
          <w:lang w:val="en-GB"/>
        </w:rPr>
        <w:t xml:space="preserve"> broker in negotiating for collective impact across sectors</w:t>
      </w:r>
      <w:r w:rsidRPr="00B42944">
        <w:rPr>
          <w:rFonts w:asciiTheme="majorHAnsi" w:hAnsiTheme="majorHAnsi" w:cstheme="majorHAnsi"/>
          <w:iCs/>
          <w:sz w:val="23"/>
          <w:szCs w:val="23"/>
          <w:lang w:val="en-GB"/>
        </w:rPr>
        <w:t xml:space="preserve"> –</w:t>
      </w:r>
      <w:r w:rsidR="000D09C8" w:rsidRPr="00B42944">
        <w:rPr>
          <w:rFonts w:asciiTheme="majorHAnsi" w:hAnsiTheme="majorHAnsi" w:cstheme="majorHAnsi"/>
          <w:iCs/>
          <w:sz w:val="23"/>
          <w:szCs w:val="23"/>
          <w:lang w:val="en-GB"/>
        </w:rPr>
        <w:t xml:space="preserve"> was echoed by another</w:t>
      </w:r>
      <w:r w:rsidRPr="00B42944">
        <w:rPr>
          <w:rFonts w:asciiTheme="majorHAnsi" w:hAnsiTheme="majorHAnsi" w:cstheme="majorHAnsi"/>
          <w:iCs/>
          <w:sz w:val="23"/>
          <w:szCs w:val="23"/>
          <w:lang w:val="en-GB"/>
        </w:rPr>
        <w:t xml:space="preserve"> informant</w:t>
      </w:r>
      <w:r w:rsidR="000D09C8" w:rsidRPr="00B42944">
        <w:rPr>
          <w:rFonts w:asciiTheme="majorHAnsi" w:hAnsiTheme="majorHAnsi" w:cstheme="majorHAnsi"/>
          <w:iCs/>
          <w:sz w:val="23"/>
          <w:szCs w:val="23"/>
          <w:lang w:val="en-GB"/>
        </w:rPr>
        <w:t>:</w:t>
      </w:r>
    </w:p>
    <w:p w14:paraId="7C96B0F8" w14:textId="77E68B7E" w:rsidR="000D09C8" w:rsidRPr="00772E66" w:rsidRDefault="000D09C8" w:rsidP="00B42944">
      <w:pPr>
        <w:spacing w:after="240" w:line="276" w:lineRule="auto"/>
        <w:ind w:left="709"/>
        <w:rPr>
          <w:rFonts w:asciiTheme="majorHAnsi" w:hAnsiTheme="majorHAnsi" w:cstheme="majorBidi"/>
          <w:iCs/>
          <w:sz w:val="23"/>
          <w:szCs w:val="23"/>
        </w:rPr>
      </w:pPr>
      <w:r w:rsidRPr="00772E66">
        <w:rPr>
          <w:rFonts w:asciiTheme="majorHAnsi" w:hAnsiTheme="majorHAnsi" w:cstheme="majorBidi"/>
          <w:iCs/>
          <w:sz w:val="23"/>
          <w:szCs w:val="23"/>
        </w:rPr>
        <w:t xml:space="preserve">The </w:t>
      </w:r>
      <w:r w:rsidR="00B42944">
        <w:rPr>
          <w:rFonts w:asciiTheme="majorHAnsi" w:hAnsiTheme="majorHAnsi" w:cstheme="majorBidi"/>
          <w:iCs/>
          <w:sz w:val="23"/>
          <w:szCs w:val="23"/>
        </w:rPr>
        <w:t>C</w:t>
      </w:r>
      <w:r w:rsidRPr="00772E66">
        <w:rPr>
          <w:rFonts w:asciiTheme="majorHAnsi" w:hAnsiTheme="majorHAnsi" w:cstheme="majorBidi"/>
          <w:iCs/>
          <w:sz w:val="23"/>
          <w:szCs w:val="23"/>
        </w:rPr>
        <w:t xml:space="preserve">ollective </w:t>
      </w:r>
      <w:r w:rsidR="00B42944">
        <w:rPr>
          <w:rFonts w:asciiTheme="majorHAnsi" w:hAnsiTheme="majorHAnsi" w:cstheme="majorBidi"/>
          <w:iCs/>
          <w:sz w:val="23"/>
          <w:szCs w:val="23"/>
        </w:rPr>
        <w:t>I</w:t>
      </w:r>
      <w:r w:rsidRPr="00772E66">
        <w:rPr>
          <w:rFonts w:asciiTheme="majorHAnsi" w:hAnsiTheme="majorHAnsi" w:cstheme="majorBidi"/>
          <w:iCs/>
          <w:sz w:val="23"/>
          <w:szCs w:val="23"/>
        </w:rPr>
        <w:t xml:space="preserve">mpact </w:t>
      </w:r>
      <w:r w:rsidR="00B42944">
        <w:rPr>
          <w:rFonts w:asciiTheme="majorHAnsi" w:hAnsiTheme="majorHAnsi" w:cstheme="majorBidi"/>
          <w:iCs/>
          <w:sz w:val="23"/>
          <w:szCs w:val="23"/>
        </w:rPr>
        <w:t>M</w:t>
      </w:r>
      <w:r w:rsidRPr="00772E66">
        <w:rPr>
          <w:rFonts w:asciiTheme="majorHAnsi" w:hAnsiTheme="majorHAnsi" w:cstheme="majorBidi"/>
          <w:iCs/>
          <w:sz w:val="23"/>
          <w:szCs w:val="23"/>
        </w:rPr>
        <w:t xml:space="preserve">odel’s got some interesting things that could be brought forward into the conversation, so once again, that’s the way </w:t>
      </w:r>
      <w:r w:rsidR="001B7DDF">
        <w:rPr>
          <w:rFonts w:asciiTheme="majorHAnsi" w:hAnsiTheme="majorHAnsi" w:cstheme="majorBidi"/>
          <w:iCs/>
          <w:sz w:val="23"/>
          <w:szCs w:val="23"/>
        </w:rPr>
        <w:t>CoGG</w:t>
      </w:r>
      <w:r w:rsidRPr="00772E66">
        <w:rPr>
          <w:rFonts w:asciiTheme="majorHAnsi" w:hAnsiTheme="majorHAnsi" w:cstheme="majorBidi"/>
          <w:iCs/>
          <w:sz w:val="23"/>
          <w:szCs w:val="23"/>
        </w:rPr>
        <w:t xml:space="preserve"> can play a part. It’s not playing the major –the part that we don’t want it to play is dominating</w:t>
      </w:r>
      <w:r w:rsidR="00B42944">
        <w:rPr>
          <w:rFonts w:asciiTheme="majorHAnsi" w:hAnsiTheme="majorHAnsi" w:cstheme="majorBidi"/>
          <w:iCs/>
          <w:sz w:val="23"/>
          <w:szCs w:val="23"/>
        </w:rPr>
        <w:t>. [Instead]</w:t>
      </w:r>
      <w:r w:rsidRPr="00772E66">
        <w:rPr>
          <w:rFonts w:asciiTheme="majorHAnsi" w:hAnsiTheme="majorHAnsi" w:cstheme="majorBidi"/>
          <w:iCs/>
          <w:sz w:val="23"/>
          <w:szCs w:val="23"/>
        </w:rPr>
        <w:t xml:space="preserve"> it’s a voice that’s in working together with everybody else, schools, organisations, philanthropic providers. </w:t>
      </w:r>
    </w:p>
    <w:p w14:paraId="3C100458" w14:textId="534FE396" w:rsidR="000D09C8" w:rsidRPr="00772E66" w:rsidRDefault="000D09C8" w:rsidP="00467053">
      <w:pPr>
        <w:spacing w:line="276" w:lineRule="auto"/>
        <w:rPr>
          <w:rFonts w:asciiTheme="majorHAnsi" w:eastAsia="Calibri" w:hAnsiTheme="majorHAnsi" w:cstheme="majorBidi"/>
          <w:iCs/>
          <w:sz w:val="23"/>
          <w:szCs w:val="23"/>
          <w:lang w:val="en-GB"/>
        </w:rPr>
      </w:pPr>
      <w:r w:rsidRPr="00772E66">
        <w:rPr>
          <w:rFonts w:asciiTheme="majorHAnsi" w:eastAsia="Calibri" w:hAnsiTheme="majorHAnsi" w:cstheme="majorBidi"/>
          <w:iCs/>
          <w:sz w:val="23"/>
          <w:szCs w:val="23"/>
          <w:lang w:val="en-GB"/>
        </w:rPr>
        <w:t xml:space="preserve">Finally, </w:t>
      </w:r>
      <w:r w:rsidR="0079129C">
        <w:rPr>
          <w:rFonts w:asciiTheme="majorHAnsi" w:eastAsia="Calibri" w:hAnsiTheme="majorHAnsi" w:cstheme="majorBidi"/>
          <w:iCs/>
          <w:sz w:val="23"/>
          <w:szCs w:val="23"/>
          <w:lang w:val="en-GB"/>
        </w:rPr>
        <w:t>our informant suggested there is a</w:t>
      </w:r>
      <w:r w:rsidRPr="00772E66">
        <w:rPr>
          <w:rFonts w:asciiTheme="majorHAnsi" w:eastAsia="Calibri" w:hAnsiTheme="majorHAnsi" w:cstheme="majorBidi"/>
          <w:iCs/>
          <w:sz w:val="23"/>
          <w:szCs w:val="23"/>
          <w:lang w:val="en-GB"/>
        </w:rPr>
        <w:t xml:space="preserve"> need to </w:t>
      </w:r>
      <w:r w:rsidR="0079129C">
        <w:rPr>
          <w:rFonts w:asciiTheme="majorHAnsi" w:eastAsia="Calibri" w:hAnsiTheme="majorHAnsi" w:cstheme="majorBidi"/>
          <w:iCs/>
          <w:sz w:val="23"/>
          <w:szCs w:val="23"/>
          <w:lang w:val="en-GB"/>
        </w:rPr>
        <w:t xml:space="preserve">recognise and </w:t>
      </w:r>
      <w:r w:rsidRPr="00772E66">
        <w:rPr>
          <w:rFonts w:asciiTheme="majorHAnsi" w:eastAsia="Calibri" w:hAnsiTheme="majorHAnsi" w:cstheme="majorBidi"/>
          <w:iCs/>
          <w:sz w:val="23"/>
          <w:szCs w:val="23"/>
          <w:lang w:val="en-GB"/>
        </w:rPr>
        <w:t xml:space="preserve">celebrate </w:t>
      </w:r>
      <w:r w:rsidR="0079129C">
        <w:rPr>
          <w:rFonts w:asciiTheme="majorHAnsi" w:eastAsia="Calibri" w:hAnsiTheme="majorHAnsi" w:cstheme="majorBidi"/>
          <w:iCs/>
          <w:sz w:val="23"/>
          <w:szCs w:val="23"/>
          <w:lang w:val="en-GB"/>
        </w:rPr>
        <w:t>how</w:t>
      </w:r>
      <w:r w:rsidRPr="00772E66">
        <w:rPr>
          <w:rFonts w:asciiTheme="majorHAnsi" w:eastAsia="Calibri" w:hAnsiTheme="majorHAnsi" w:cstheme="majorBidi"/>
          <w:iCs/>
          <w:sz w:val="23"/>
          <w:szCs w:val="23"/>
          <w:lang w:val="en-GB"/>
        </w:rPr>
        <w:t xml:space="preserve"> </w:t>
      </w:r>
      <w:r w:rsidR="0079129C">
        <w:rPr>
          <w:rFonts w:asciiTheme="majorHAnsi" w:eastAsia="Calibri" w:hAnsiTheme="majorHAnsi" w:cstheme="majorBidi"/>
          <w:iCs/>
          <w:sz w:val="23"/>
          <w:szCs w:val="23"/>
          <w:lang w:val="en-GB"/>
        </w:rPr>
        <w:t xml:space="preserve">local </w:t>
      </w:r>
      <w:r w:rsidRPr="00772E66">
        <w:rPr>
          <w:rFonts w:asciiTheme="majorHAnsi" w:eastAsia="Calibri" w:hAnsiTheme="majorHAnsi" w:cstheme="majorBidi"/>
          <w:iCs/>
          <w:sz w:val="23"/>
          <w:szCs w:val="23"/>
          <w:lang w:val="en-GB"/>
        </w:rPr>
        <w:t xml:space="preserve">communities </w:t>
      </w:r>
      <w:r w:rsidR="0079129C">
        <w:rPr>
          <w:rFonts w:asciiTheme="majorHAnsi" w:eastAsia="Calibri" w:hAnsiTheme="majorHAnsi" w:cstheme="majorBidi"/>
          <w:iCs/>
          <w:sz w:val="23"/>
          <w:szCs w:val="23"/>
          <w:lang w:val="en-GB"/>
        </w:rPr>
        <w:t>managed the challenges of the pandemic</w:t>
      </w:r>
      <w:r w:rsidR="00E30A12">
        <w:rPr>
          <w:rFonts w:asciiTheme="majorHAnsi" w:eastAsia="Calibri" w:hAnsiTheme="majorHAnsi" w:cstheme="majorBidi"/>
          <w:iCs/>
          <w:sz w:val="23"/>
          <w:szCs w:val="23"/>
          <w:lang w:val="en-GB"/>
        </w:rPr>
        <w:t>:</w:t>
      </w:r>
    </w:p>
    <w:p w14:paraId="4605DC53" w14:textId="3ADAC410" w:rsidR="000D09C8" w:rsidRPr="00F45E37" w:rsidRDefault="000D09C8" w:rsidP="00467053">
      <w:pPr>
        <w:spacing w:line="276" w:lineRule="auto"/>
        <w:ind w:left="720"/>
        <w:rPr>
          <w:rFonts w:asciiTheme="majorHAnsi" w:hAnsiTheme="majorHAnsi" w:cstheme="majorHAnsi"/>
          <w:iCs/>
          <w:sz w:val="23"/>
          <w:szCs w:val="23"/>
          <w:lang w:val="en-GB"/>
        </w:rPr>
      </w:pPr>
      <w:r w:rsidRPr="00772E66">
        <w:rPr>
          <w:rFonts w:asciiTheme="majorHAnsi" w:hAnsiTheme="majorHAnsi" w:cstheme="majorHAnsi"/>
          <w:iCs/>
          <w:sz w:val="23"/>
          <w:szCs w:val="23"/>
        </w:rPr>
        <w:t>It’s nice to put it forward and celebrate</w:t>
      </w:r>
      <w:r w:rsidR="00E30A12">
        <w:rPr>
          <w:rFonts w:asciiTheme="majorHAnsi" w:hAnsiTheme="majorHAnsi" w:cstheme="majorHAnsi"/>
          <w:iCs/>
          <w:sz w:val="23"/>
          <w:szCs w:val="23"/>
        </w:rPr>
        <w:t>,</w:t>
      </w:r>
      <w:r w:rsidRPr="00772E66">
        <w:rPr>
          <w:rFonts w:asciiTheme="majorHAnsi" w:hAnsiTheme="majorHAnsi" w:cstheme="majorHAnsi"/>
          <w:iCs/>
          <w:sz w:val="23"/>
          <w:szCs w:val="23"/>
        </w:rPr>
        <w:t xml:space="preserve"> just even during a difficult time, how agile this neighbourhood was.</w:t>
      </w:r>
    </w:p>
    <w:p w14:paraId="69E22774" w14:textId="3D175C6E" w:rsidR="000D09C8" w:rsidRPr="00847439" w:rsidRDefault="000D09C8" w:rsidP="00467053">
      <w:pPr>
        <w:spacing w:line="276" w:lineRule="auto"/>
        <w:rPr>
          <w:rFonts w:cstheme="majorHAnsi"/>
          <w:b/>
          <w:bCs/>
          <w:iCs/>
          <w:color w:val="2F5496" w:themeColor="accent1" w:themeShade="BF"/>
          <w:sz w:val="25"/>
          <w:szCs w:val="25"/>
          <w:lang w:val="en-GB"/>
        </w:rPr>
      </w:pPr>
      <w:r w:rsidRPr="00847439">
        <w:rPr>
          <w:rFonts w:cstheme="majorHAnsi"/>
          <w:b/>
          <w:bCs/>
          <w:iCs/>
          <w:color w:val="2F5496" w:themeColor="accent1" w:themeShade="BF"/>
          <w:sz w:val="25"/>
          <w:szCs w:val="25"/>
          <w:lang w:val="en-GB"/>
        </w:rPr>
        <w:t xml:space="preserve">Question 4: How can </w:t>
      </w:r>
      <w:r w:rsidR="001B7DDF">
        <w:rPr>
          <w:rFonts w:cstheme="majorHAnsi"/>
          <w:b/>
          <w:bCs/>
          <w:iCs/>
          <w:color w:val="2F5496" w:themeColor="accent1" w:themeShade="BF"/>
          <w:sz w:val="25"/>
          <w:szCs w:val="25"/>
          <w:lang w:val="en-GB"/>
        </w:rPr>
        <w:t>CoGG</w:t>
      </w:r>
      <w:r w:rsidRPr="00847439">
        <w:rPr>
          <w:rFonts w:cstheme="majorHAnsi"/>
          <w:b/>
          <w:bCs/>
          <w:iCs/>
          <w:color w:val="2F5496" w:themeColor="accent1" w:themeShade="BF"/>
          <w:sz w:val="25"/>
          <w:szCs w:val="25"/>
          <w:lang w:val="en-GB"/>
        </w:rPr>
        <w:t xml:space="preserve"> support you in working together to achieve these</w:t>
      </w:r>
      <w:r w:rsidR="00847439">
        <w:rPr>
          <w:rFonts w:cstheme="majorHAnsi"/>
          <w:b/>
          <w:bCs/>
          <w:iCs/>
          <w:color w:val="2F5496" w:themeColor="accent1" w:themeShade="BF"/>
          <w:sz w:val="25"/>
          <w:szCs w:val="25"/>
          <w:lang w:val="en-GB"/>
        </w:rPr>
        <w:t xml:space="preserve"> goals</w:t>
      </w:r>
      <w:r w:rsidRPr="00847439">
        <w:rPr>
          <w:rFonts w:cstheme="majorHAnsi"/>
          <w:b/>
          <w:bCs/>
          <w:iCs/>
          <w:color w:val="2F5496" w:themeColor="accent1" w:themeShade="BF"/>
          <w:sz w:val="25"/>
          <w:szCs w:val="25"/>
          <w:lang w:val="en-GB"/>
        </w:rPr>
        <w:t>?</w:t>
      </w:r>
    </w:p>
    <w:p w14:paraId="24107C09" w14:textId="7B570680" w:rsidR="000D09C8" w:rsidRPr="00772E66" w:rsidRDefault="000D09C8" w:rsidP="00467053">
      <w:pPr>
        <w:spacing w:line="276" w:lineRule="auto"/>
        <w:rPr>
          <w:rFonts w:asciiTheme="majorHAnsi" w:eastAsia="Calibri" w:hAnsiTheme="majorHAnsi" w:cstheme="majorHAnsi"/>
          <w:iCs/>
          <w:sz w:val="23"/>
          <w:szCs w:val="23"/>
          <w:lang w:val="en-GB"/>
        </w:rPr>
      </w:pPr>
      <w:r w:rsidRPr="00772E66">
        <w:rPr>
          <w:rFonts w:asciiTheme="majorHAnsi" w:eastAsia="Calibri" w:hAnsiTheme="majorHAnsi" w:cstheme="majorHAnsi"/>
          <w:iCs/>
          <w:sz w:val="23"/>
          <w:szCs w:val="23"/>
          <w:lang w:val="en-GB"/>
        </w:rPr>
        <w:t xml:space="preserve">This question elicited </w:t>
      </w:r>
      <w:r w:rsidR="004857FF">
        <w:rPr>
          <w:rFonts w:asciiTheme="majorHAnsi" w:eastAsia="Calibri" w:hAnsiTheme="majorHAnsi" w:cstheme="majorHAnsi"/>
          <w:iCs/>
          <w:sz w:val="23"/>
          <w:szCs w:val="23"/>
          <w:lang w:val="en-GB"/>
        </w:rPr>
        <w:t>several</w:t>
      </w:r>
      <w:r w:rsidRPr="00772E66">
        <w:rPr>
          <w:rFonts w:asciiTheme="majorHAnsi" w:eastAsia="Calibri" w:hAnsiTheme="majorHAnsi" w:cstheme="majorHAnsi"/>
          <w:iCs/>
          <w:sz w:val="23"/>
          <w:szCs w:val="23"/>
          <w:lang w:val="en-GB"/>
        </w:rPr>
        <w:t xml:space="preserve"> concrete suggestions for </w:t>
      </w:r>
      <w:r w:rsidR="001B7DDF">
        <w:rPr>
          <w:rFonts w:asciiTheme="majorHAnsi" w:eastAsia="Calibri" w:hAnsiTheme="majorHAnsi" w:cstheme="majorHAnsi"/>
          <w:iCs/>
          <w:sz w:val="23"/>
          <w:szCs w:val="23"/>
          <w:lang w:val="en-GB"/>
        </w:rPr>
        <w:t>CoGG</w:t>
      </w:r>
      <w:r w:rsidRPr="00772E66">
        <w:rPr>
          <w:rFonts w:asciiTheme="majorHAnsi" w:eastAsia="Calibri" w:hAnsiTheme="majorHAnsi" w:cstheme="majorHAnsi"/>
          <w:iCs/>
          <w:sz w:val="23"/>
          <w:szCs w:val="23"/>
          <w:lang w:val="en-GB"/>
        </w:rPr>
        <w:t xml:space="preserve"> officers themselves to better connect with the knowledgeable workers and residents in these localities</w:t>
      </w:r>
      <w:r w:rsidR="00847439">
        <w:rPr>
          <w:rFonts w:asciiTheme="majorHAnsi" w:eastAsia="Calibri" w:hAnsiTheme="majorHAnsi" w:cstheme="majorHAnsi"/>
          <w:iCs/>
          <w:sz w:val="23"/>
          <w:szCs w:val="23"/>
          <w:lang w:val="en-GB"/>
        </w:rPr>
        <w:t>, along with better c</w:t>
      </w:r>
      <w:r w:rsidR="00831F61">
        <w:rPr>
          <w:rFonts w:asciiTheme="majorHAnsi" w:eastAsia="Calibri" w:hAnsiTheme="majorHAnsi" w:cstheme="majorHAnsi"/>
          <w:iCs/>
          <w:sz w:val="23"/>
          <w:szCs w:val="23"/>
          <w:lang w:val="en-GB"/>
        </w:rPr>
        <w:t>oordination</w:t>
      </w:r>
      <w:r w:rsidRPr="00772E66">
        <w:rPr>
          <w:rFonts w:asciiTheme="majorHAnsi" w:eastAsia="Calibri" w:hAnsiTheme="majorHAnsi" w:cstheme="majorHAnsi"/>
          <w:iCs/>
          <w:sz w:val="23"/>
          <w:szCs w:val="23"/>
          <w:lang w:val="en-GB"/>
        </w:rPr>
        <w:t xml:space="preserve"> across the various divisions and departments that ha</w:t>
      </w:r>
      <w:r w:rsidR="00831F61">
        <w:rPr>
          <w:rFonts w:asciiTheme="majorHAnsi" w:eastAsia="Calibri" w:hAnsiTheme="majorHAnsi" w:cstheme="majorHAnsi"/>
          <w:iCs/>
          <w:sz w:val="23"/>
          <w:szCs w:val="23"/>
          <w:lang w:val="en-GB"/>
        </w:rPr>
        <w:t>ve</w:t>
      </w:r>
      <w:r w:rsidRPr="00772E66">
        <w:rPr>
          <w:rFonts w:asciiTheme="majorHAnsi" w:eastAsia="Calibri" w:hAnsiTheme="majorHAnsi" w:cstheme="majorHAnsi"/>
          <w:iCs/>
          <w:sz w:val="23"/>
          <w:szCs w:val="23"/>
          <w:lang w:val="en-GB"/>
        </w:rPr>
        <w:t xml:space="preserve"> responsibility for programs and decisions that impacted on the</w:t>
      </w:r>
      <w:r w:rsidR="00831F61">
        <w:rPr>
          <w:rFonts w:asciiTheme="majorHAnsi" w:eastAsia="Calibri" w:hAnsiTheme="majorHAnsi" w:cstheme="majorHAnsi"/>
          <w:iCs/>
          <w:sz w:val="23"/>
          <w:szCs w:val="23"/>
          <w:lang w:val="en-GB"/>
        </w:rPr>
        <w:t>se communities</w:t>
      </w:r>
      <w:r w:rsidRPr="00772E66">
        <w:rPr>
          <w:rFonts w:asciiTheme="majorHAnsi" w:eastAsia="Calibri" w:hAnsiTheme="majorHAnsi" w:cstheme="majorHAnsi"/>
          <w:iCs/>
          <w:sz w:val="23"/>
          <w:szCs w:val="23"/>
          <w:lang w:val="en-GB"/>
        </w:rPr>
        <w:t xml:space="preserve">. </w:t>
      </w:r>
      <w:r w:rsidR="001B7DDF">
        <w:rPr>
          <w:rFonts w:asciiTheme="majorHAnsi" w:eastAsia="Calibri" w:hAnsiTheme="majorHAnsi" w:cstheme="majorHAnsi"/>
          <w:iCs/>
          <w:sz w:val="23"/>
          <w:szCs w:val="23"/>
          <w:lang w:val="en-GB"/>
        </w:rPr>
        <w:t>CoGG</w:t>
      </w:r>
      <w:r w:rsidRPr="00772E66">
        <w:rPr>
          <w:rFonts w:asciiTheme="majorHAnsi" w:eastAsia="Calibri" w:hAnsiTheme="majorHAnsi" w:cstheme="majorHAnsi"/>
          <w:iCs/>
          <w:sz w:val="23"/>
          <w:szCs w:val="23"/>
          <w:lang w:val="en-GB"/>
        </w:rPr>
        <w:t xml:space="preserve"> also was seen as having a particular role to play</w:t>
      </w:r>
      <w:r w:rsidR="00831F61">
        <w:rPr>
          <w:rFonts w:asciiTheme="majorHAnsi" w:eastAsia="Calibri" w:hAnsiTheme="majorHAnsi" w:cstheme="majorHAnsi"/>
          <w:iCs/>
          <w:sz w:val="23"/>
          <w:szCs w:val="23"/>
          <w:lang w:val="en-GB"/>
        </w:rPr>
        <w:t xml:space="preserve"> here:</w:t>
      </w:r>
    </w:p>
    <w:p w14:paraId="27733884" w14:textId="4B5A6F23" w:rsidR="000D09C8" w:rsidRPr="00772E66" w:rsidRDefault="001B7DDF" w:rsidP="00467053">
      <w:pPr>
        <w:spacing w:line="276" w:lineRule="auto"/>
        <w:ind w:left="709"/>
        <w:rPr>
          <w:rFonts w:asciiTheme="majorHAnsi" w:hAnsiTheme="majorHAnsi" w:cstheme="majorHAnsi"/>
          <w:iCs/>
          <w:sz w:val="23"/>
          <w:szCs w:val="23"/>
        </w:rPr>
      </w:pPr>
      <w:r>
        <w:rPr>
          <w:rFonts w:asciiTheme="majorHAnsi" w:hAnsiTheme="majorHAnsi" w:cstheme="majorHAnsi"/>
          <w:iCs/>
          <w:sz w:val="23"/>
          <w:szCs w:val="23"/>
        </w:rPr>
        <w:lastRenderedPageBreak/>
        <w:t>CoGG</w:t>
      </w:r>
      <w:r w:rsidR="000D09C8" w:rsidRPr="00772E66">
        <w:rPr>
          <w:rFonts w:asciiTheme="majorHAnsi" w:hAnsiTheme="majorHAnsi" w:cstheme="majorHAnsi"/>
          <w:iCs/>
          <w:sz w:val="23"/>
          <w:szCs w:val="23"/>
        </w:rPr>
        <w:t xml:space="preserve"> are really the glue bringing everybody together as far as service organisations and the community. That’s sort of how I see … their role. And yeah, having that helicopter view of what’s happening … in the Norlane Corio and Whittington communities. </w:t>
      </w:r>
      <w:proofErr w:type="gramStart"/>
      <w:r w:rsidR="000D09C8" w:rsidRPr="00772E66">
        <w:rPr>
          <w:rFonts w:asciiTheme="majorHAnsi" w:hAnsiTheme="majorHAnsi" w:cstheme="majorHAnsi"/>
          <w:iCs/>
          <w:sz w:val="23"/>
          <w:szCs w:val="23"/>
        </w:rPr>
        <w:t>So</w:t>
      </w:r>
      <w:proofErr w:type="gramEnd"/>
      <w:r w:rsidR="000D09C8" w:rsidRPr="00772E66">
        <w:rPr>
          <w:rFonts w:asciiTheme="majorHAnsi" w:hAnsiTheme="majorHAnsi" w:cstheme="majorHAnsi"/>
          <w:iCs/>
          <w:sz w:val="23"/>
          <w:szCs w:val="23"/>
        </w:rPr>
        <w:t xml:space="preserve"> they should have oversight of all the services that – and organisations that are working in these areas and the work that’s being done, and then yeah, looking to support those services and the community.</w:t>
      </w:r>
    </w:p>
    <w:p w14:paraId="0A4BF23A" w14:textId="0211AF62" w:rsidR="000D09C8" w:rsidRPr="00772E66" w:rsidRDefault="00831F61" w:rsidP="00467053">
      <w:pPr>
        <w:spacing w:line="276" w:lineRule="auto"/>
        <w:rPr>
          <w:rFonts w:asciiTheme="majorHAnsi" w:eastAsia="Calibri" w:hAnsiTheme="majorHAnsi" w:cstheme="majorHAnsi"/>
          <w:iCs/>
          <w:sz w:val="23"/>
          <w:szCs w:val="23"/>
          <w:lang w:val="en-GB"/>
        </w:rPr>
      </w:pPr>
      <w:r>
        <w:rPr>
          <w:rFonts w:asciiTheme="majorHAnsi" w:eastAsia="Calibri" w:hAnsiTheme="majorHAnsi" w:cstheme="majorHAnsi"/>
          <w:iCs/>
          <w:sz w:val="23"/>
          <w:szCs w:val="23"/>
          <w:lang w:val="en-GB"/>
        </w:rPr>
        <w:t>To make this work,</w:t>
      </w:r>
      <w:r w:rsidR="000D09C8" w:rsidRPr="00772E66">
        <w:rPr>
          <w:rFonts w:asciiTheme="majorHAnsi" w:eastAsia="Calibri" w:hAnsiTheme="majorHAnsi" w:cstheme="majorHAnsi"/>
          <w:iCs/>
          <w:sz w:val="23"/>
          <w:szCs w:val="23"/>
          <w:lang w:val="en-GB"/>
        </w:rPr>
        <w:t xml:space="preserve"> </w:t>
      </w:r>
      <w:r>
        <w:rPr>
          <w:rFonts w:asciiTheme="majorHAnsi" w:eastAsia="Calibri" w:hAnsiTheme="majorHAnsi" w:cstheme="majorHAnsi"/>
          <w:iCs/>
          <w:sz w:val="23"/>
          <w:szCs w:val="23"/>
          <w:lang w:val="en-GB"/>
        </w:rPr>
        <w:t>there</w:t>
      </w:r>
      <w:r w:rsidR="000D09C8" w:rsidRPr="00772E66">
        <w:rPr>
          <w:rFonts w:asciiTheme="majorHAnsi" w:eastAsia="Calibri" w:hAnsiTheme="majorHAnsi" w:cstheme="majorHAnsi"/>
          <w:iCs/>
          <w:sz w:val="23"/>
          <w:szCs w:val="23"/>
          <w:lang w:val="en-GB"/>
        </w:rPr>
        <w:t xml:space="preserve"> was a need to establish formal organisational connections from the Council to these communities. This could occur via the creation of an internal cross</w:t>
      </w:r>
      <w:r w:rsidR="006731F8">
        <w:rPr>
          <w:rFonts w:asciiTheme="majorHAnsi" w:eastAsia="Calibri" w:hAnsiTheme="majorHAnsi" w:cstheme="majorHAnsi"/>
          <w:iCs/>
          <w:sz w:val="23"/>
          <w:szCs w:val="23"/>
          <w:lang w:val="en-GB"/>
        </w:rPr>
        <w:t>-</w:t>
      </w:r>
      <w:r w:rsidR="000D09C8" w:rsidRPr="00772E66">
        <w:rPr>
          <w:rFonts w:asciiTheme="majorHAnsi" w:eastAsia="Calibri" w:hAnsiTheme="majorHAnsi" w:cstheme="majorHAnsi"/>
          <w:iCs/>
          <w:sz w:val="23"/>
          <w:szCs w:val="23"/>
          <w:lang w:val="en-GB"/>
        </w:rPr>
        <w:t xml:space="preserve">departmental and divisional team who had special responsibilities for these areas: </w:t>
      </w:r>
    </w:p>
    <w:p w14:paraId="1E985F7B" w14:textId="60838962" w:rsidR="000D09C8" w:rsidRPr="00772E66" w:rsidRDefault="000D09C8" w:rsidP="00467053">
      <w:pPr>
        <w:spacing w:after="240" w:line="276" w:lineRule="auto"/>
        <w:ind w:left="709"/>
        <w:rPr>
          <w:rFonts w:asciiTheme="majorHAnsi" w:hAnsiTheme="majorHAnsi" w:cstheme="majorHAnsi"/>
          <w:iCs/>
          <w:sz w:val="23"/>
          <w:szCs w:val="23"/>
        </w:rPr>
      </w:pPr>
      <w:r w:rsidRPr="00772E66">
        <w:rPr>
          <w:rFonts w:asciiTheme="majorHAnsi" w:hAnsiTheme="majorHAnsi" w:cstheme="majorHAnsi"/>
          <w:iCs/>
          <w:sz w:val="23"/>
          <w:szCs w:val="23"/>
        </w:rPr>
        <w:t xml:space="preserve">And not just once off, but in which we can continue to talk and work together on those issues. It could be a lead team … it could be five to ten key people at </w:t>
      </w:r>
      <w:r w:rsidR="001B7DDF">
        <w:rPr>
          <w:rFonts w:asciiTheme="majorHAnsi" w:hAnsiTheme="majorHAnsi" w:cstheme="majorHAnsi"/>
          <w:iCs/>
          <w:sz w:val="23"/>
          <w:szCs w:val="23"/>
        </w:rPr>
        <w:t>CoGG</w:t>
      </w:r>
      <w:r w:rsidRPr="00772E66">
        <w:rPr>
          <w:rFonts w:asciiTheme="majorHAnsi" w:hAnsiTheme="majorHAnsi" w:cstheme="majorHAnsi"/>
          <w:iCs/>
          <w:sz w:val="23"/>
          <w:szCs w:val="23"/>
        </w:rPr>
        <w:t xml:space="preserve"> who we need to be able to have relationships with and partnerships with to work together on this stuff, so that when people planting the trees in a certain park, we can say “well actually we’re using that park for this and that and actually the trees would be better over there”. I know that the council has Your Say stuff. It’s so hard to keep up with all that stuff though. </w:t>
      </w:r>
    </w:p>
    <w:p w14:paraId="5693C54D" w14:textId="77777777" w:rsidR="000D09C8" w:rsidRPr="00772E66" w:rsidRDefault="000D09C8" w:rsidP="00467053">
      <w:pPr>
        <w:spacing w:line="276" w:lineRule="auto"/>
        <w:rPr>
          <w:rFonts w:asciiTheme="majorHAnsi" w:eastAsia="Calibri" w:hAnsiTheme="majorHAnsi" w:cstheme="majorHAnsi"/>
          <w:iCs/>
          <w:sz w:val="23"/>
          <w:szCs w:val="23"/>
          <w:lang w:val="en-GB"/>
        </w:rPr>
      </w:pPr>
      <w:r w:rsidRPr="00772E66">
        <w:rPr>
          <w:rFonts w:asciiTheme="majorHAnsi" w:eastAsia="Calibri" w:hAnsiTheme="majorHAnsi" w:cstheme="majorHAnsi"/>
          <w:iCs/>
          <w:sz w:val="23"/>
          <w:szCs w:val="23"/>
          <w:lang w:val="en-GB"/>
        </w:rPr>
        <w:t>For another participant, after recounting a local situation where one council decision impacted negatively on another, such simple conflicts and poor decisions could be avoided via:</w:t>
      </w:r>
    </w:p>
    <w:p w14:paraId="7E051015" w14:textId="1EDF617F" w:rsidR="000D09C8" w:rsidRPr="00772E66" w:rsidRDefault="000D09C8" w:rsidP="00467053">
      <w:pPr>
        <w:spacing w:after="240" w:line="276" w:lineRule="auto"/>
        <w:ind w:left="709"/>
        <w:rPr>
          <w:rFonts w:asciiTheme="majorHAnsi" w:hAnsiTheme="majorHAnsi" w:cstheme="majorHAnsi"/>
          <w:iCs/>
          <w:sz w:val="23"/>
          <w:szCs w:val="23"/>
        </w:rPr>
      </w:pPr>
      <w:r w:rsidRPr="00772E66">
        <w:rPr>
          <w:rFonts w:asciiTheme="majorHAnsi" w:hAnsiTheme="majorHAnsi" w:cstheme="majorHAnsi"/>
          <w:iCs/>
          <w:sz w:val="23"/>
          <w:szCs w:val="23"/>
        </w:rPr>
        <w:t xml:space="preserve">…regular opportunities to meet with the council, that isn’t a feeling like a lobbying situation; it’s a genuine conversation about the stresses and the things that are working and not working. </w:t>
      </w:r>
    </w:p>
    <w:p w14:paraId="2346F229" w14:textId="28864CB2" w:rsidR="000D09C8" w:rsidRPr="00772E66" w:rsidRDefault="000D09C8" w:rsidP="00467053">
      <w:pPr>
        <w:spacing w:after="240" w:line="276" w:lineRule="auto"/>
        <w:rPr>
          <w:rFonts w:asciiTheme="majorHAnsi" w:hAnsiTheme="majorHAnsi" w:cstheme="majorHAnsi"/>
          <w:iCs/>
          <w:sz w:val="23"/>
          <w:szCs w:val="23"/>
        </w:rPr>
      </w:pPr>
      <w:r w:rsidRPr="00772E66">
        <w:rPr>
          <w:rFonts w:asciiTheme="majorHAnsi" w:hAnsiTheme="majorHAnsi" w:cstheme="majorHAnsi"/>
          <w:iCs/>
          <w:sz w:val="23"/>
          <w:szCs w:val="23"/>
        </w:rPr>
        <w:t xml:space="preserve">And for another, the advantage of such a mechanism was meshing local initiatives with </w:t>
      </w:r>
      <w:r w:rsidR="001B7DDF">
        <w:rPr>
          <w:rFonts w:asciiTheme="majorHAnsi" w:hAnsiTheme="majorHAnsi" w:cstheme="majorHAnsi"/>
          <w:iCs/>
          <w:sz w:val="23"/>
          <w:szCs w:val="23"/>
        </w:rPr>
        <w:t>COGG</w:t>
      </w:r>
      <w:r w:rsidRPr="00772E66">
        <w:rPr>
          <w:rFonts w:asciiTheme="majorHAnsi" w:hAnsiTheme="majorHAnsi" w:cstheme="majorHAnsi"/>
          <w:iCs/>
          <w:sz w:val="23"/>
          <w:szCs w:val="23"/>
        </w:rPr>
        <w:t xml:space="preserve"> ones:</w:t>
      </w:r>
    </w:p>
    <w:p w14:paraId="73C4E489" w14:textId="77777777" w:rsidR="000D09C8" w:rsidRPr="00772E66" w:rsidRDefault="000D09C8" w:rsidP="00467053">
      <w:pPr>
        <w:spacing w:after="240" w:line="276" w:lineRule="auto"/>
        <w:ind w:left="709"/>
        <w:rPr>
          <w:rFonts w:asciiTheme="majorHAnsi" w:hAnsiTheme="majorHAnsi" w:cstheme="majorBidi"/>
          <w:iCs/>
          <w:sz w:val="23"/>
          <w:szCs w:val="23"/>
        </w:rPr>
      </w:pPr>
      <w:r w:rsidRPr="00772E66">
        <w:rPr>
          <w:rFonts w:asciiTheme="majorHAnsi" w:hAnsiTheme="majorHAnsi" w:cstheme="majorBidi"/>
          <w:iCs/>
          <w:sz w:val="23"/>
          <w:szCs w:val="23"/>
        </w:rPr>
        <w:t xml:space="preserve">So, we can hear about their priorities and match them up and we can just – yeah, just general dialogue and conversations would be really helpful. </w:t>
      </w:r>
    </w:p>
    <w:p w14:paraId="63804D36" w14:textId="70B27B2F" w:rsidR="000D09C8" w:rsidRPr="00772E66" w:rsidRDefault="00B8331D" w:rsidP="00467053">
      <w:pPr>
        <w:spacing w:line="276" w:lineRule="auto"/>
        <w:rPr>
          <w:rFonts w:asciiTheme="majorHAnsi" w:eastAsia="Calibri" w:hAnsiTheme="majorHAnsi" w:cstheme="majorHAnsi"/>
          <w:iCs/>
          <w:sz w:val="23"/>
          <w:szCs w:val="23"/>
          <w:lang w:val="en-GB"/>
        </w:rPr>
      </w:pPr>
      <w:r>
        <w:rPr>
          <w:rFonts w:asciiTheme="majorHAnsi" w:eastAsia="Calibri" w:hAnsiTheme="majorHAnsi" w:cstheme="majorHAnsi"/>
          <w:iCs/>
          <w:sz w:val="23"/>
          <w:szCs w:val="23"/>
          <w:lang w:val="en-GB"/>
        </w:rPr>
        <w:t>This proposed model – a</w:t>
      </w:r>
      <w:r w:rsidR="000D09C8" w:rsidRPr="00772E66">
        <w:rPr>
          <w:rFonts w:asciiTheme="majorHAnsi" w:eastAsia="Calibri" w:hAnsiTheme="majorHAnsi" w:cstheme="majorHAnsi"/>
          <w:iCs/>
          <w:sz w:val="23"/>
          <w:szCs w:val="23"/>
          <w:lang w:val="en-GB"/>
        </w:rPr>
        <w:t xml:space="preserve"> lead team responsible for these </w:t>
      </w:r>
      <w:r>
        <w:rPr>
          <w:rFonts w:asciiTheme="majorHAnsi" w:eastAsia="Calibri" w:hAnsiTheme="majorHAnsi" w:cstheme="majorHAnsi"/>
          <w:iCs/>
          <w:sz w:val="23"/>
          <w:szCs w:val="23"/>
          <w:lang w:val="en-GB"/>
        </w:rPr>
        <w:t>localitie</w:t>
      </w:r>
      <w:r w:rsidR="000D09C8" w:rsidRPr="00772E66">
        <w:rPr>
          <w:rFonts w:asciiTheme="majorHAnsi" w:eastAsia="Calibri" w:hAnsiTheme="majorHAnsi" w:cstheme="majorHAnsi"/>
          <w:iCs/>
          <w:sz w:val="23"/>
          <w:szCs w:val="23"/>
          <w:lang w:val="en-GB"/>
        </w:rPr>
        <w:t>s, regular meetings with key service providers</w:t>
      </w:r>
      <w:r>
        <w:rPr>
          <w:rFonts w:asciiTheme="majorHAnsi" w:eastAsia="Calibri" w:hAnsiTheme="majorHAnsi" w:cstheme="majorHAnsi"/>
          <w:iCs/>
          <w:sz w:val="23"/>
          <w:szCs w:val="23"/>
          <w:lang w:val="en-GB"/>
        </w:rPr>
        <w:t xml:space="preserve"> and residents,</w:t>
      </w:r>
      <w:r w:rsidR="000D09C8" w:rsidRPr="00772E66">
        <w:rPr>
          <w:rFonts w:asciiTheme="majorHAnsi" w:eastAsia="Calibri" w:hAnsiTheme="majorHAnsi" w:cstheme="majorHAnsi"/>
          <w:iCs/>
          <w:sz w:val="23"/>
          <w:szCs w:val="23"/>
          <w:lang w:val="en-GB"/>
        </w:rPr>
        <w:t xml:space="preserve"> and a dashboard of Key Performance Indicators (KPIs) that registered major policy objectives </w:t>
      </w:r>
      <w:r>
        <w:rPr>
          <w:rFonts w:asciiTheme="majorHAnsi" w:eastAsia="Calibri" w:hAnsiTheme="majorHAnsi" w:cstheme="majorHAnsi"/>
          <w:iCs/>
          <w:sz w:val="23"/>
          <w:szCs w:val="23"/>
          <w:lang w:val="en-GB"/>
        </w:rPr>
        <w:t xml:space="preserve">– was seen </w:t>
      </w:r>
      <w:r w:rsidR="00F07F65">
        <w:rPr>
          <w:rFonts w:asciiTheme="majorHAnsi" w:eastAsia="Calibri" w:hAnsiTheme="majorHAnsi" w:cstheme="majorHAnsi"/>
          <w:iCs/>
          <w:sz w:val="23"/>
          <w:szCs w:val="23"/>
          <w:lang w:val="en-GB"/>
        </w:rPr>
        <w:t>as a tool to achieve not only</w:t>
      </w:r>
      <w:r w:rsidR="000D09C8" w:rsidRPr="00772E66">
        <w:rPr>
          <w:rFonts w:asciiTheme="majorHAnsi" w:eastAsia="Calibri" w:hAnsiTheme="majorHAnsi" w:cstheme="majorHAnsi"/>
          <w:iCs/>
          <w:sz w:val="23"/>
          <w:szCs w:val="23"/>
          <w:lang w:val="en-GB"/>
        </w:rPr>
        <w:t xml:space="preserve"> genuine consultation</w:t>
      </w:r>
      <w:r w:rsidR="00F07F65">
        <w:rPr>
          <w:rFonts w:asciiTheme="majorHAnsi" w:eastAsia="Calibri" w:hAnsiTheme="majorHAnsi" w:cstheme="majorHAnsi"/>
          <w:iCs/>
          <w:sz w:val="23"/>
          <w:szCs w:val="23"/>
          <w:lang w:val="en-GB"/>
        </w:rPr>
        <w:t>, collaboration,</w:t>
      </w:r>
      <w:r w:rsidR="000D09C8" w:rsidRPr="00772E66">
        <w:rPr>
          <w:rFonts w:asciiTheme="majorHAnsi" w:eastAsia="Calibri" w:hAnsiTheme="majorHAnsi" w:cstheme="majorHAnsi"/>
          <w:iCs/>
          <w:sz w:val="23"/>
          <w:szCs w:val="23"/>
          <w:lang w:val="en-GB"/>
        </w:rPr>
        <w:t xml:space="preserve"> and connection</w:t>
      </w:r>
      <w:r w:rsidR="00F07F65">
        <w:rPr>
          <w:rFonts w:asciiTheme="majorHAnsi" w:eastAsia="Calibri" w:hAnsiTheme="majorHAnsi" w:cstheme="majorHAnsi"/>
          <w:iCs/>
          <w:sz w:val="23"/>
          <w:szCs w:val="23"/>
          <w:lang w:val="en-GB"/>
        </w:rPr>
        <w:t>,</w:t>
      </w:r>
      <w:r w:rsidR="000D09C8" w:rsidRPr="00772E66">
        <w:rPr>
          <w:rFonts w:asciiTheme="majorHAnsi" w:eastAsia="Calibri" w:hAnsiTheme="majorHAnsi" w:cstheme="majorHAnsi"/>
          <w:iCs/>
          <w:sz w:val="23"/>
          <w:szCs w:val="23"/>
          <w:lang w:val="en-GB"/>
        </w:rPr>
        <w:t xml:space="preserve"> but</w:t>
      </w:r>
      <w:r w:rsidR="00F07F65">
        <w:rPr>
          <w:rFonts w:asciiTheme="majorHAnsi" w:eastAsia="Calibri" w:hAnsiTheme="majorHAnsi" w:cstheme="majorHAnsi"/>
          <w:iCs/>
          <w:sz w:val="23"/>
          <w:szCs w:val="23"/>
          <w:lang w:val="en-GB"/>
        </w:rPr>
        <w:t xml:space="preserve"> also</w:t>
      </w:r>
      <w:r w:rsidR="000D09C8" w:rsidRPr="00772E66">
        <w:rPr>
          <w:rFonts w:asciiTheme="majorHAnsi" w:eastAsia="Calibri" w:hAnsiTheme="majorHAnsi" w:cstheme="majorHAnsi"/>
          <w:iCs/>
          <w:sz w:val="23"/>
          <w:szCs w:val="23"/>
          <w:lang w:val="en-GB"/>
        </w:rPr>
        <w:t xml:space="preserve"> measurable and accountable improvement</w:t>
      </w:r>
      <w:r w:rsidR="00F07F65">
        <w:rPr>
          <w:rFonts w:asciiTheme="majorHAnsi" w:eastAsia="Calibri" w:hAnsiTheme="majorHAnsi" w:cstheme="majorHAnsi"/>
          <w:iCs/>
          <w:sz w:val="23"/>
          <w:szCs w:val="23"/>
          <w:lang w:val="en-GB"/>
        </w:rPr>
        <w:t>s in these localities</w:t>
      </w:r>
      <w:r w:rsidR="000D09C8" w:rsidRPr="00772E66">
        <w:rPr>
          <w:rFonts w:asciiTheme="majorHAnsi" w:eastAsia="Calibri" w:hAnsiTheme="majorHAnsi" w:cstheme="majorHAnsi"/>
          <w:iCs/>
          <w:sz w:val="23"/>
          <w:szCs w:val="23"/>
          <w:lang w:val="en-GB"/>
        </w:rPr>
        <w:t xml:space="preserve">. </w:t>
      </w:r>
      <w:r w:rsidR="00F07F65">
        <w:rPr>
          <w:rFonts w:asciiTheme="majorHAnsi" w:eastAsia="Calibri" w:hAnsiTheme="majorHAnsi" w:cstheme="majorHAnsi"/>
          <w:iCs/>
          <w:sz w:val="23"/>
          <w:szCs w:val="23"/>
          <w:lang w:val="en-GB"/>
        </w:rPr>
        <w:t>P</w:t>
      </w:r>
      <w:r w:rsidR="000D09C8" w:rsidRPr="00772E66">
        <w:rPr>
          <w:rFonts w:asciiTheme="majorHAnsi" w:eastAsia="Calibri" w:hAnsiTheme="majorHAnsi" w:cstheme="majorHAnsi"/>
          <w:iCs/>
          <w:sz w:val="23"/>
          <w:szCs w:val="23"/>
          <w:lang w:val="en-GB"/>
        </w:rPr>
        <w:t>rogress could then be circulated and celebrated in a regular public forum. As one participant described:</w:t>
      </w:r>
    </w:p>
    <w:p w14:paraId="4C1EEAC1" w14:textId="38CF505C" w:rsidR="000D09C8" w:rsidRPr="00772E66" w:rsidRDefault="00A9080D" w:rsidP="00467053">
      <w:pPr>
        <w:spacing w:after="240" w:line="276" w:lineRule="auto"/>
        <w:ind w:left="709"/>
        <w:rPr>
          <w:rFonts w:asciiTheme="majorHAnsi" w:hAnsiTheme="majorHAnsi" w:cstheme="majorHAnsi"/>
          <w:iCs/>
          <w:sz w:val="23"/>
          <w:szCs w:val="23"/>
        </w:rPr>
      </w:pPr>
      <w:r>
        <w:rPr>
          <w:rFonts w:asciiTheme="majorHAnsi" w:hAnsiTheme="majorHAnsi" w:cstheme="majorHAnsi"/>
          <w:iCs/>
          <w:sz w:val="23"/>
          <w:szCs w:val="23"/>
        </w:rPr>
        <w:t xml:space="preserve">[There is not] a </w:t>
      </w:r>
      <w:r w:rsidR="000D09C8" w:rsidRPr="00772E66">
        <w:rPr>
          <w:rFonts w:asciiTheme="majorHAnsi" w:hAnsiTheme="majorHAnsi" w:cstheme="majorHAnsi"/>
          <w:iCs/>
          <w:sz w:val="23"/>
          <w:szCs w:val="23"/>
        </w:rPr>
        <w:t xml:space="preserve">specific team of staff at </w:t>
      </w:r>
      <w:r w:rsidR="001B7DDF">
        <w:rPr>
          <w:rFonts w:asciiTheme="majorHAnsi" w:hAnsiTheme="majorHAnsi" w:cstheme="majorHAnsi"/>
          <w:iCs/>
          <w:sz w:val="23"/>
          <w:szCs w:val="23"/>
        </w:rPr>
        <w:t>CoGG</w:t>
      </w:r>
      <w:r w:rsidR="000D09C8" w:rsidRPr="00772E66">
        <w:rPr>
          <w:rFonts w:asciiTheme="majorHAnsi" w:hAnsiTheme="majorHAnsi" w:cstheme="majorHAnsi"/>
          <w:iCs/>
          <w:sz w:val="23"/>
          <w:szCs w:val="23"/>
        </w:rPr>
        <w:t xml:space="preserve"> that sort of look after or work on Norlane</w:t>
      </w:r>
      <w:r w:rsidR="00F07F65">
        <w:rPr>
          <w:rFonts w:asciiTheme="majorHAnsi" w:hAnsiTheme="majorHAnsi" w:cstheme="majorHAnsi"/>
          <w:iCs/>
          <w:sz w:val="23"/>
          <w:szCs w:val="23"/>
        </w:rPr>
        <w:t>,</w:t>
      </w:r>
      <w:r w:rsidR="000D09C8" w:rsidRPr="00772E66">
        <w:rPr>
          <w:rFonts w:asciiTheme="majorHAnsi" w:hAnsiTheme="majorHAnsi" w:cstheme="majorHAnsi"/>
          <w:iCs/>
          <w:sz w:val="23"/>
          <w:szCs w:val="23"/>
        </w:rPr>
        <w:t xml:space="preserve"> Corio, or Whittington. I think it’s important that there is – yeah, sort of a team of staff at </w:t>
      </w:r>
      <w:r w:rsidR="001B7DDF">
        <w:rPr>
          <w:rFonts w:asciiTheme="majorHAnsi" w:hAnsiTheme="majorHAnsi" w:cstheme="majorHAnsi"/>
          <w:iCs/>
          <w:sz w:val="23"/>
          <w:szCs w:val="23"/>
        </w:rPr>
        <w:t>CoGG</w:t>
      </w:r>
      <w:r w:rsidR="000D09C8" w:rsidRPr="00772E66">
        <w:rPr>
          <w:rFonts w:asciiTheme="majorHAnsi" w:hAnsiTheme="majorHAnsi" w:cstheme="majorHAnsi"/>
          <w:iCs/>
          <w:sz w:val="23"/>
          <w:szCs w:val="23"/>
        </w:rPr>
        <w:t xml:space="preserve"> that do have oversight of everything that’s happening in that community, and they could be the ones that are sort of providing this dashboard of sort of progress, if you like, of how communities sort of tracking. And then I think – look I like the idea of having a sort of a quarterly forum, if you like, that </w:t>
      </w:r>
      <w:r w:rsidR="001B7DDF">
        <w:rPr>
          <w:rFonts w:asciiTheme="majorHAnsi" w:hAnsiTheme="majorHAnsi" w:cstheme="majorHAnsi"/>
          <w:iCs/>
          <w:sz w:val="23"/>
          <w:szCs w:val="23"/>
        </w:rPr>
        <w:t>CoGG</w:t>
      </w:r>
      <w:r w:rsidR="000D09C8" w:rsidRPr="00772E66">
        <w:rPr>
          <w:rFonts w:asciiTheme="majorHAnsi" w:hAnsiTheme="majorHAnsi" w:cstheme="majorHAnsi"/>
          <w:iCs/>
          <w:sz w:val="23"/>
          <w:szCs w:val="23"/>
        </w:rPr>
        <w:t xml:space="preserve"> and service organisations and the community attend, and </w:t>
      </w:r>
      <w:r w:rsidR="001B7DDF">
        <w:rPr>
          <w:rFonts w:asciiTheme="majorHAnsi" w:hAnsiTheme="majorHAnsi" w:cstheme="majorHAnsi"/>
          <w:iCs/>
          <w:sz w:val="23"/>
          <w:szCs w:val="23"/>
        </w:rPr>
        <w:t>CoGG</w:t>
      </w:r>
      <w:r w:rsidR="000D09C8" w:rsidRPr="00772E66">
        <w:rPr>
          <w:rFonts w:asciiTheme="majorHAnsi" w:hAnsiTheme="majorHAnsi" w:cstheme="majorHAnsi"/>
          <w:iCs/>
          <w:sz w:val="23"/>
          <w:szCs w:val="23"/>
        </w:rPr>
        <w:t xml:space="preserve"> can talk about the dashboard and the work that’s being achieved, the work being done, the work that they’re doing, and also the services that are working in the community and yeah, the successes that are being had. I mean that regular sort of feedback loop is really important, so that everybody’s on board and know</w:t>
      </w:r>
      <w:r>
        <w:rPr>
          <w:rFonts w:asciiTheme="majorHAnsi" w:hAnsiTheme="majorHAnsi" w:cstheme="majorHAnsi"/>
          <w:iCs/>
          <w:sz w:val="23"/>
          <w:szCs w:val="23"/>
        </w:rPr>
        <w:t>s</w:t>
      </w:r>
      <w:r w:rsidR="000D09C8" w:rsidRPr="00772E66">
        <w:rPr>
          <w:rFonts w:asciiTheme="majorHAnsi" w:hAnsiTheme="majorHAnsi" w:cstheme="majorHAnsi"/>
          <w:iCs/>
          <w:sz w:val="23"/>
          <w:szCs w:val="23"/>
        </w:rPr>
        <w:t xml:space="preserve"> – has the opportunity to get involved in what’s happening </w:t>
      </w:r>
      <w:r>
        <w:rPr>
          <w:rFonts w:asciiTheme="majorHAnsi" w:hAnsiTheme="majorHAnsi" w:cstheme="majorHAnsi"/>
          <w:iCs/>
          <w:sz w:val="23"/>
          <w:szCs w:val="23"/>
        </w:rPr>
        <w:t xml:space="preserve">here </w:t>
      </w:r>
      <w:r w:rsidR="000D09C8" w:rsidRPr="00772E66">
        <w:rPr>
          <w:rFonts w:asciiTheme="majorHAnsi" w:hAnsiTheme="majorHAnsi" w:cstheme="majorHAnsi"/>
          <w:iCs/>
          <w:sz w:val="23"/>
          <w:szCs w:val="23"/>
        </w:rPr>
        <w:t xml:space="preserve">and who the different players are in the communities and the work that’s being done. </w:t>
      </w:r>
    </w:p>
    <w:p w14:paraId="3ABFD352" w14:textId="41B1D8AA" w:rsidR="004857FF" w:rsidRDefault="000D09C8" w:rsidP="004857FF">
      <w:pPr>
        <w:spacing w:line="276" w:lineRule="auto"/>
        <w:rPr>
          <w:rFonts w:asciiTheme="majorHAnsi" w:eastAsia="Calibri" w:hAnsiTheme="majorHAnsi" w:cstheme="majorHAnsi"/>
          <w:iCs/>
          <w:sz w:val="23"/>
          <w:szCs w:val="23"/>
          <w:lang w:val="en-GB"/>
        </w:rPr>
      </w:pPr>
      <w:r w:rsidRPr="00772E66">
        <w:rPr>
          <w:rFonts w:asciiTheme="majorHAnsi" w:eastAsia="Calibri" w:hAnsiTheme="majorHAnsi" w:cstheme="majorHAnsi"/>
          <w:iCs/>
          <w:sz w:val="23"/>
          <w:szCs w:val="23"/>
          <w:lang w:val="en-GB"/>
        </w:rPr>
        <w:t xml:space="preserve">Finally, </w:t>
      </w:r>
      <w:r w:rsidR="001B7DDF">
        <w:rPr>
          <w:rFonts w:asciiTheme="majorHAnsi" w:eastAsia="Calibri" w:hAnsiTheme="majorHAnsi" w:cstheme="majorHAnsi"/>
          <w:iCs/>
          <w:sz w:val="23"/>
          <w:szCs w:val="23"/>
          <w:lang w:val="en-GB"/>
        </w:rPr>
        <w:t>CoGG</w:t>
      </w:r>
      <w:r w:rsidRPr="00772E66">
        <w:rPr>
          <w:rFonts w:asciiTheme="majorHAnsi" w:eastAsia="Calibri" w:hAnsiTheme="majorHAnsi" w:cstheme="majorHAnsi"/>
          <w:iCs/>
          <w:sz w:val="23"/>
          <w:szCs w:val="23"/>
          <w:lang w:val="en-GB"/>
        </w:rPr>
        <w:t xml:space="preserve"> was commended for commissioning this research, </w:t>
      </w:r>
      <w:r w:rsidR="005C4DAC">
        <w:rPr>
          <w:rFonts w:asciiTheme="majorHAnsi" w:eastAsia="Calibri" w:hAnsiTheme="majorHAnsi" w:cstheme="majorHAnsi"/>
          <w:iCs/>
          <w:sz w:val="23"/>
          <w:szCs w:val="23"/>
          <w:lang w:val="en-GB"/>
        </w:rPr>
        <w:t>and for once again seeking to</w:t>
      </w:r>
      <w:r w:rsidR="00A9080D">
        <w:rPr>
          <w:rFonts w:asciiTheme="majorHAnsi" w:eastAsia="Calibri" w:hAnsiTheme="majorHAnsi" w:cstheme="majorHAnsi"/>
          <w:iCs/>
          <w:sz w:val="23"/>
          <w:szCs w:val="23"/>
          <w:lang w:val="en-GB"/>
        </w:rPr>
        <w:t xml:space="preserve"> </w:t>
      </w:r>
      <w:r w:rsidRPr="00772E66">
        <w:rPr>
          <w:rFonts w:asciiTheme="majorHAnsi" w:eastAsia="Calibri" w:hAnsiTheme="majorHAnsi" w:cstheme="majorHAnsi"/>
          <w:iCs/>
          <w:sz w:val="23"/>
          <w:szCs w:val="23"/>
          <w:lang w:val="en-GB"/>
        </w:rPr>
        <w:t xml:space="preserve">better address disadvantage </w:t>
      </w:r>
      <w:r w:rsidR="005C4DAC">
        <w:rPr>
          <w:rFonts w:asciiTheme="majorHAnsi" w:eastAsia="Calibri" w:hAnsiTheme="majorHAnsi" w:cstheme="majorHAnsi"/>
          <w:iCs/>
          <w:sz w:val="23"/>
          <w:szCs w:val="23"/>
          <w:lang w:val="en-GB"/>
        </w:rPr>
        <w:t>in these</w:t>
      </w:r>
      <w:r w:rsidRPr="00772E66">
        <w:rPr>
          <w:rFonts w:asciiTheme="majorHAnsi" w:eastAsia="Calibri" w:hAnsiTheme="majorHAnsi" w:cstheme="majorHAnsi"/>
          <w:iCs/>
          <w:sz w:val="23"/>
          <w:szCs w:val="23"/>
          <w:lang w:val="en-GB"/>
        </w:rPr>
        <w:t xml:space="preserve"> communities by listening to those who </w:t>
      </w:r>
      <w:r w:rsidRPr="00772E66">
        <w:rPr>
          <w:rFonts w:asciiTheme="majorHAnsi" w:eastAsia="Calibri" w:hAnsiTheme="majorHAnsi" w:cstheme="majorBidi"/>
          <w:iCs/>
          <w:sz w:val="23"/>
          <w:szCs w:val="23"/>
          <w:lang w:val="en-GB"/>
        </w:rPr>
        <w:t>live</w:t>
      </w:r>
      <w:r w:rsidRPr="00772E66">
        <w:rPr>
          <w:rFonts w:asciiTheme="majorHAnsi" w:eastAsia="Calibri" w:hAnsiTheme="majorHAnsi" w:cstheme="majorHAnsi"/>
          <w:iCs/>
          <w:sz w:val="23"/>
          <w:szCs w:val="23"/>
          <w:lang w:val="en-GB"/>
        </w:rPr>
        <w:t xml:space="preserve"> and work there.</w:t>
      </w:r>
      <w:r w:rsidR="004857FF">
        <w:rPr>
          <w:rFonts w:asciiTheme="majorHAnsi" w:eastAsia="Calibri" w:hAnsiTheme="majorHAnsi" w:cstheme="majorHAnsi"/>
          <w:iCs/>
          <w:sz w:val="23"/>
          <w:szCs w:val="23"/>
          <w:lang w:val="en-GB"/>
        </w:rPr>
        <w:br w:type="page"/>
      </w:r>
    </w:p>
    <w:p w14:paraId="5C97AB4C" w14:textId="4A65C64E" w:rsidR="000D09C8" w:rsidRPr="004E7547" w:rsidRDefault="00772E66" w:rsidP="00467053">
      <w:pPr>
        <w:spacing w:after="240" w:line="276" w:lineRule="auto"/>
        <w:rPr>
          <w:rFonts w:cstheme="minorHAnsi"/>
          <w:b/>
          <w:bCs/>
          <w:color w:val="2F5496" w:themeColor="accent1" w:themeShade="BF"/>
          <w:sz w:val="28"/>
          <w:szCs w:val="28"/>
        </w:rPr>
      </w:pPr>
      <w:r w:rsidRPr="004E7547">
        <w:rPr>
          <w:rFonts w:cstheme="minorHAnsi"/>
          <w:b/>
          <w:bCs/>
          <w:color w:val="2F5496" w:themeColor="accent1" w:themeShade="BF"/>
          <w:sz w:val="28"/>
          <w:szCs w:val="28"/>
        </w:rPr>
        <w:lastRenderedPageBreak/>
        <w:t>Summary of Focus Group Findings</w:t>
      </w:r>
    </w:p>
    <w:p w14:paraId="419378B2" w14:textId="5CE86962" w:rsidR="000D09C8" w:rsidRPr="004E7547" w:rsidRDefault="000D09C8" w:rsidP="00467053">
      <w:pPr>
        <w:spacing w:after="240" w:line="276" w:lineRule="auto"/>
        <w:rPr>
          <w:rFonts w:cstheme="majorHAnsi"/>
          <w:b/>
          <w:bCs/>
          <w:color w:val="2F5496" w:themeColor="accent1" w:themeShade="BF"/>
          <w:sz w:val="25"/>
          <w:szCs w:val="25"/>
        </w:rPr>
      </w:pPr>
      <w:r w:rsidRPr="004E7547">
        <w:rPr>
          <w:rFonts w:cstheme="majorHAnsi"/>
          <w:b/>
          <w:bCs/>
          <w:color w:val="2F5496" w:themeColor="accent1" w:themeShade="BF"/>
          <w:sz w:val="25"/>
          <w:szCs w:val="25"/>
        </w:rPr>
        <w:t xml:space="preserve">Other </w:t>
      </w:r>
      <w:r w:rsidR="00EE7509" w:rsidRPr="004E7547">
        <w:rPr>
          <w:rFonts w:cstheme="majorHAnsi"/>
          <w:b/>
          <w:bCs/>
          <w:color w:val="2F5496" w:themeColor="accent1" w:themeShade="BF"/>
          <w:sz w:val="25"/>
          <w:szCs w:val="25"/>
        </w:rPr>
        <w:t xml:space="preserve">Initiatives </w:t>
      </w:r>
      <w:r w:rsidR="00EE7509">
        <w:rPr>
          <w:rFonts w:cstheme="majorHAnsi"/>
          <w:b/>
          <w:bCs/>
          <w:color w:val="2F5496" w:themeColor="accent1" w:themeShade="BF"/>
          <w:sz w:val="25"/>
          <w:szCs w:val="25"/>
        </w:rPr>
        <w:t>t</w:t>
      </w:r>
      <w:r w:rsidR="00EE7509" w:rsidRPr="004E7547">
        <w:rPr>
          <w:rFonts w:cstheme="majorHAnsi"/>
          <w:b/>
          <w:bCs/>
          <w:color w:val="2F5496" w:themeColor="accent1" w:themeShade="BF"/>
          <w:sz w:val="25"/>
          <w:szCs w:val="25"/>
        </w:rPr>
        <w:t xml:space="preserve">hat Could Benefit Residents </w:t>
      </w:r>
      <w:r w:rsidR="00EE7509">
        <w:rPr>
          <w:rFonts w:cstheme="majorHAnsi"/>
          <w:b/>
          <w:bCs/>
          <w:color w:val="2F5496" w:themeColor="accent1" w:themeShade="BF"/>
          <w:sz w:val="25"/>
          <w:szCs w:val="25"/>
        </w:rPr>
        <w:t>i</w:t>
      </w:r>
      <w:r w:rsidR="00EE7509" w:rsidRPr="004E7547">
        <w:rPr>
          <w:rFonts w:cstheme="majorHAnsi"/>
          <w:b/>
          <w:bCs/>
          <w:color w:val="2F5496" w:themeColor="accent1" w:themeShade="BF"/>
          <w:sz w:val="25"/>
          <w:szCs w:val="25"/>
        </w:rPr>
        <w:t xml:space="preserve">n </w:t>
      </w:r>
      <w:r w:rsidR="00EE7509">
        <w:rPr>
          <w:rFonts w:cstheme="majorHAnsi"/>
          <w:b/>
          <w:bCs/>
          <w:color w:val="2F5496" w:themeColor="accent1" w:themeShade="BF"/>
          <w:sz w:val="25"/>
          <w:szCs w:val="25"/>
        </w:rPr>
        <w:t>t</w:t>
      </w:r>
      <w:r w:rsidR="00EE7509" w:rsidRPr="004E7547">
        <w:rPr>
          <w:rFonts w:cstheme="majorHAnsi"/>
          <w:b/>
          <w:bCs/>
          <w:color w:val="2F5496" w:themeColor="accent1" w:themeShade="BF"/>
          <w:sz w:val="25"/>
          <w:szCs w:val="25"/>
        </w:rPr>
        <w:t>he Three Localities:</w:t>
      </w:r>
    </w:p>
    <w:p w14:paraId="518A28B1" w14:textId="6962FFC8" w:rsidR="000D09C8" w:rsidRPr="008D58FE" w:rsidRDefault="000D09C8" w:rsidP="00467053">
      <w:pPr>
        <w:pStyle w:val="ListParagraph"/>
        <w:numPr>
          <w:ilvl w:val="0"/>
          <w:numId w:val="17"/>
        </w:numPr>
        <w:spacing w:after="240" w:line="276" w:lineRule="auto"/>
        <w:rPr>
          <w:rFonts w:asciiTheme="majorHAnsi" w:hAnsiTheme="majorHAnsi" w:cstheme="majorHAnsi"/>
          <w:sz w:val="23"/>
          <w:szCs w:val="23"/>
        </w:rPr>
      </w:pPr>
      <w:r w:rsidRPr="008D58FE">
        <w:rPr>
          <w:rFonts w:asciiTheme="majorHAnsi" w:hAnsiTheme="majorHAnsi" w:cstheme="majorHAnsi"/>
          <w:sz w:val="23"/>
          <w:szCs w:val="23"/>
        </w:rPr>
        <w:t>Mak</w:t>
      </w:r>
      <w:r w:rsidR="00772E66">
        <w:rPr>
          <w:rFonts w:asciiTheme="majorHAnsi" w:hAnsiTheme="majorHAnsi" w:cstheme="majorHAnsi"/>
          <w:sz w:val="23"/>
          <w:szCs w:val="23"/>
        </w:rPr>
        <w:t>e</w:t>
      </w:r>
      <w:r w:rsidRPr="008D58FE">
        <w:rPr>
          <w:rFonts w:asciiTheme="majorHAnsi" w:hAnsiTheme="majorHAnsi" w:cstheme="majorHAnsi"/>
          <w:sz w:val="23"/>
          <w:szCs w:val="23"/>
        </w:rPr>
        <w:t xml:space="preserve"> services and information accessible by ensuring they are delivered in place, perhaps via community </w:t>
      </w:r>
      <w:r w:rsidR="00320540">
        <w:rPr>
          <w:rFonts w:asciiTheme="majorHAnsi" w:hAnsiTheme="majorHAnsi" w:cstheme="majorHAnsi"/>
          <w:sz w:val="23"/>
          <w:szCs w:val="23"/>
        </w:rPr>
        <w:t>centres</w:t>
      </w:r>
      <w:r w:rsidRPr="008D58FE">
        <w:rPr>
          <w:rFonts w:asciiTheme="majorHAnsi" w:hAnsiTheme="majorHAnsi" w:cstheme="majorHAnsi"/>
          <w:sz w:val="23"/>
          <w:szCs w:val="23"/>
        </w:rPr>
        <w:t xml:space="preserve"> and even s</w:t>
      </w:r>
      <w:r w:rsidR="00320540">
        <w:rPr>
          <w:rFonts w:asciiTheme="majorHAnsi" w:hAnsiTheme="majorHAnsi" w:cstheme="majorHAnsi"/>
          <w:sz w:val="23"/>
          <w:szCs w:val="23"/>
        </w:rPr>
        <w:t xml:space="preserve">hopping centres </w:t>
      </w:r>
      <w:r w:rsidRPr="008D58FE">
        <w:rPr>
          <w:rFonts w:asciiTheme="majorHAnsi" w:hAnsiTheme="majorHAnsi" w:cstheme="majorHAnsi"/>
          <w:sz w:val="23"/>
          <w:szCs w:val="23"/>
        </w:rPr>
        <w:t>(</w:t>
      </w:r>
      <w:proofErr w:type="gramStart"/>
      <w:r w:rsidRPr="008D58FE">
        <w:rPr>
          <w:rFonts w:asciiTheme="majorHAnsi" w:hAnsiTheme="majorHAnsi" w:cstheme="majorHAnsi"/>
          <w:sz w:val="23"/>
          <w:szCs w:val="23"/>
        </w:rPr>
        <w:t>i.e.</w:t>
      </w:r>
      <w:proofErr w:type="gramEnd"/>
      <w:r w:rsidR="00CE13A1">
        <w:rPr>
          <w:rFonts w:asciiTheme="majorHAnsi" w:hAnsiTheme="majorHAnsi" w:cstheme="majorHAnsi"/>
          <w:sz w:val="23"/>
          <w:szCs w:val="23"/>
        </w:rPr>
        <w:t xml:space="preserve"> places</w:t>
      </w:r>
      <w:r w:rsidRPr="008D58FE">
        <w:rPr>
          <w:rFonts w:asciiTheme="majorHAnsi" w:hAnsiTheme="majorHAnsi" w:cstheme="majorHAnsi"/>
          <w:sz w:val="23"/>
          <w:szCs w:val="23"/>
        </w:rPr>
        <w:t xml:space="preserve"> where people </w:t>
      </w:r>
      <w:r w:rsidR="00EE7509">
        <w:rPr>
          <w:rFonts w:asciiTheme="majorHAnsi" w:hAnsiTheme="majorHAnsi" w:cstheme="majorHAnsi"/>
          <w:sz w:val="23"/>
          <w:szCs w:val="23"/>
        </w:rPr>
        <w:t xml:space="preserve">actually </w:t>
      </w:r>
      <w:r w:rsidRPr="008D58FE">
        <w:rPr>
          <w:rFonts w:asciiTheme="majorHAnsi" w:hAnsiTheme="majorHAnsi" w:cstheme="majorHAnsi"/>
          <w:sz w:val="23"/>
          <w:szCs w:val="23"/>
        </w:rPr>
        <w:t>go)</w:t>
      </w:r>
      <w:r w:rsidR="00EE7509">
        <w:rPr>
          <w:rFonts w:asciiTheme="majorHAnsi" w:hAnsiTheme="majorHAnsi" w:cstheme="majorHAnsi"/>
          <w:sz w:val="23"/>
          <w:szCs w:val="23"/>
        </w:rPr>
        <w:t>.</w:t>
      </w:r>
    </w:p>
    <w:p w14:paraId="3C47FAF3" w14:textId="0D89256D" w:rsidR="000D09C8" w:rsidRPr="008D58FE" w:rsidRDefault="000D09C8" w:rsidP="00467053">
      <w:pPr>
        <w:pStyle w:val="ListParagraph"/>
        <w:numPr>
          <w:ilvl w:val="0"/>
          <w:numId w:val="17"/>
        </w:numPr>
        <w:spacing w:after="240" w:line="276" w:lineRule="auto"/>
        <w:rPr>
          <w:rFonts w:asciiTheme="majorHAnsi" w:hAnsiTheme="majorHAnsi" w:cstheme="majorHAnsi"/>
          <w:sz w:val="23"/>
          <w:szCs w:val="23"/>
        </w:rPr>
      </w:pPr>
      <w:r w:rsidRPr="008D58FE">
        <w:rPr>
          <w:rFonts w:asciiTheme="majorHAnsi" w:hAnsiTheme="majorHAnsi" w:cstheme="majorHAnsi"/>
          <w:sz w:val="23"/>
          <w:szCs w:val="23"/>
        </w:rPr>
        <w:t>Listen to, value</w:t>
      </w:r>
      <w:r w:rsidR="00EE7509">
        <w:rPr>
          <w:rFonts w:asciiTheme="majorHAnsi" w:hAnsiTheme="majorHAnsi" w:cstheme="majorHAnsi"/>
          <w:sz w:val="23"/>
          <w:szCs w:val="23"/>
        </w:rPr>
        <w:t>,</w:t>
      </w:r>
      <w:r w:rsidRPr="008D58FE">
        <w:rPr>
          <w:rFonts w:asciiTheme="majorHAnsi" w:hAnsiTheme="majorHAnsi" w:cstheme="majorHAnsi"/>
          <w:sz w:val="23"/>
          <w:szCs w:val="23"/>
        </w:rPr>
        <w:t xml:space="preserve"> and involve residents in the decisions that </w:t>
      </w:r>
      <w:r w:rsidRPr="575D0A94">
        <w:rPr>
          <w:rFonts w:asciiTheme="majorHAnsi" w:hAnsiTheme="majorHAnsi" w:cstheme="majorBidi"/>
          <w:sz w:val="23"/>
          <w:szCs w:val="23"/>
        </w:rPr>
        <w:t>affect</w:t>
      </w:r>
      <w:r w:rsidRPr="008D58FE">
        <w:rPr>
          <w:rFonts w:asciiTheme="majorHAnsi" w:hAnsiTheme="majorHAnsi" w:cstheme="majorHAnsi"/>
          <w:sz w:val="23"/>
          <w:szCs w:val="23"/>
        </w:rPr>
        <w:t xml:space="preserve"> them, elicit</w:t>
      </w:r>
      <w:r w:rsidR="004C0EA8">
        <w:rPr>
          <w:rFonts w:asciiTheme="majorHAnsi" w:hAnsiTheme="majorHAnsi" w:cstheme="majorHAnsi"/>
          <w:sz w:val="23"/>
          <w:szCs w:val="23"/>
        </w:rPr>
        <w:t xml:space="preserve"> their</w:t>
      </w:r>
      <w:r w:rsidRPr="008D58FE">
        <w:rPr>
          <w:rFonts w:asciiTheme="majorHAnsi" w:hAnsiTheme="majorHAnsi" w:cstheme="majorHAnsi"/>
          <w:sz w:val="23"/>
          <w:szCs w:val="23"/>
        </w:rPr>
        <w:t xml:space="preserve"> needs</w:t>
      </w:r>
      <w:r w:rsidR="00EE7509">
        <w:rPr>
          <w:rFonts w:asciiTheme="majorHAnsi" w:hAnsiTheme="majorHAnsi" w:cstheme="majorHAnsi"/>
          <w:sz w:val="23"/>
          <w:szCs w:val="23"/>
        </w:rPr>
        <w:t>,</w:t>
      </w:r>
      <w:r w:rsidRPr="008D58FE">
        <w:rPr>
          <w:rFonts w:asciiTheme="majorHAnsi" w:hAnsiTheme="majorHAnsi" w:cstheme="majorHAnsi"/>
          <w:sz w:val="23"/>
          <w:szCs w:val="23"/>
        </w:rPr>
        <w:t xml:space="preserve"> </w:t>
      </w:r>
      <w:r w:rsidR="004C0EA8">
        <w:rPr>
          <w:rFonts w:asciiTheme="majorHAnsi" w:hAnsiTheme="majorHAnsi" w:cstheme="majorHAnsi"/>
          <w:sz w:val="23"/>
          <w:szCs w:val="23"/>
        </w:rPr>
        <w:t xml:space="preserve">and </w:t>
      </w:r>
      <w:r w:rsidRPr="008D58FE">
        <w:rPr>
          <w:rFonts w:asciiTheme="majorHAnsi" w:hAnsiTheme="majorHAnsi" w:cstheme="majorHAnsi"/>
          <w:sz w:val="23"/>
          <w:szCs w:val="23"/>
        </w:rPr>
        <w:t xml:space="preserve">check responses </w:t>
      </w:r>
      <w:r w:rsidR="00EE7509">
        <w:rPr>
          <w:rFonts w:asciiTheme="majorHAnsi" w:hAnsiTheme="majorHAnsi" w:cstheme="majorHAnsi"/>
          <w:sz w:val="23"/>
          <w:szCs w:val="23"/>
        </w:rPr>
        <w:t>and</w:t>
      </w:r>
      <w:r w:rsidRPr="008D58FE">
        <w:rPr>
          <w:rFonts w:asciiTheme="majorHAnsi" w:hAnsiTheme="majorHAnsi" w:cstheme="majorHAnsi"/>
          <w:sz w:val="23"/>
          <w:szCs w:val="23"/>
        </w:rPr>
        <w:t xml:space="preserve"> policies with them via a double feedback loop. </w:t>
      </w:r>
      <w:r w:rsidR="00EE7509">
        <w:rPr>
          <w:rFonts w:asciiTheme="majorHAnsi" w:hAnsiTheme="majorHAnsi" w:cstheme="majorHAnsi"/>
          <w:sz w:val="23"/>
          <w:szCs w:val="23"/>
        </w:rPr>
        <w:t>Offer</w:t>
      </w:r>
      <w:r w:rsidRPr="008D58FE">
        <w:rPr>
          <w:rFonts w:asciiTheme="majorHAnsi" w:hAnsiTheme="majorHAnsi" w:cstheme="majorHAnsi"/>
          <w:sz w:val="23"/>
          <w:szCs w:val="23"/>
        </w:rPr>
        <w:t xml:space="preserve"> participants at least a lunch</w:t>
      </w:r>
      <w:r w:rsidR="00EE7509">
        <w:rPr>
          <w:rFonts w:asciiTheme="majorHAnsi" w:hAnsiTheme="majorHAnsi" w:cstheme="majorHAnsi"/>
          <w:sz w:val="23"/>
          <w:szCs w:val="23"/>
        </w:rPr>
        <w:t xml:space="preserve">, </w:t>
      </w:r>
      <w:r w:rsidR="004C0EA8">
        <w:rPr>
          <w:rFonts w:asciiTheme="majorHAnsi" w:hAnsiTheme="majorHAnsi" w:cstheme="majorHAnsi"/>
          <w:sz w:val="23"/>
          <w:szCs w:val="23"/>
        </w:rPr>
        <w:t xml:space="preserve">and </w:t>
      </w:r>
      <w:r w:rsidR="00EE7509">
        <w:rPr>
          <w:rFonts w:asciiTheme="majorHAnsi" w:hAnsiTheme="majorHAnsi" w:cstheme="majorHAnsi"/>
          <w:sz w:val="23"/>
          <w:szCs w:val="23"/>
        </w:rPr>
        <w:t>ideally</w:t>
      </w:r>
      <w:r w:rsidRPr="008D58FE">
        <w:rPr>
          <w:rFonts w:asciiTheme="majorHAnsi" w:hAnsiTheme="majorHAnsi" w:cstheme="majorHAnsi"/>
          <w:sz w:val="23"/>
          <w:szCs w:val="23"/>
        </w:rPr>
        <w:t xml:space="preserve"> funds</w:t>
      </w:r>
      <w:r w:rsidR="00EE7509">
        <w:rPr>
          <w:rFonts w:asciiTheme="majorHAnsi" w:hAnsiTheme="majorHAnsi" w:cstheme="majorHAnsi"/>
          <w:sz w:val="23"/>
          <w:szCs w:val="23"/>
        </w:rPr>
        <w:t>,</w:t>
      </w:r>
      <w:r w:rsidRPr="008D58FE">
        <w:rPr>
          <w:rFonts w:asciiTheme="majorHAnsi" w:hAnsiTheme="majorHAnsi" w:cstheme="majorHAnsi"/>
          <w:sz w:val="23"/>
          <w:szCs w:val="23"/>
        </w:rPr>
        <w:t xml:space="preserve"> to participate</w:t>
      </w:r>
      <w:r w:rsidRPr="575D0A94">
        <w:rPr>
          <w:rFonts w:asciiTheme="majorHAnsi" w:hAnsiTheme="majorHAnsi" w:cstheme="majorBidi"/>
          <w:sz w:val="23"/>
          <w:szCs w:val="23"/>
        </w:rPr>
        <w:t>.</w:t>
      </w:r>
    </w:p>
    <w:p w14:paraId="3072FE4A" w14:textId="19ADB637" w:rsidR="000D09C8" w:rsidRPr="008D58FE" w:rsidRDefault="000D09C8" w:rsidP="00467053">
      <w:pPr>
        <w:pStyle w:val="ListParagraph"/>
        <w:numPr>
          <w:ilvl w:val="0"/>
          <w:numId w:val="17"/>
        </w:numPr>
        <w:spacing w:after="240" w:line="276" w:lineRule="auto"/>
        <w:rPr>
          <w:rFonts w:asciiTheme="majorHAnsi" w:hAnsiTheme="majorHAnsi" w:cstheme="majorHAnsi"/>
          <w:sz w:val="23"/>
          <w:szCs w:val="23"/>
        </w:rPr>
      </w:pPr>
      <w:r w:rsidRPr="008D58FE">
        <w:rPr>
          <w:rFonts w:asciiTheme="majorHAnsi" w:hAnsiTheme="majorHAnsi" w:cstheme="majorHAnsi"/>
          <w:sz w:val="23"/>
          <w:szCs w:val="23"/>
        </w:rPr>
        <w:t xml:space="preserve">Revisit and refresh existing and well-grounded plans, such as the </w:t>
      </w:r>
      <w:r w:rsidRPr="00EE7509">
        <w:rPr>
          <w:rFonts w:asciiTheme="majorHAnsi" w:hAnsiTheme="majorHAnsi" w:cstheme="majorHAnsi"/>
          <w:i/>
          <w:iCs/>
          <w:sz w:val="23"/>
          <w:szCs w:val="23"/>
        </w:rPr>
        <w:t>Corio-Norlane Structure Plan</w:t>
      </w:r>
      <w:r w:rsidRPr="008D58FE">
        <w:rPr>
          <w:rFonts w:asciiTheme="majorHAnsi" w:hAnsiTheme="majorHAnsi" w:cstheme="majorHAnsi"/>
          <w:sz w:val="23"/>
          <w:szCs w:val="23"/>
        </w:rPr>
        <w:t xml:space="preserve">. Complete </w:t>
      </w:r>
      <w:r w:rsidR="004C0EA8">
        <w:rPr>
          <w:rFonts w:asciiTheme="majorHAnsi" w:hAnsiTheme="majorHAnsi" w:cstheme="majorHAnsi"/>
          <w:sz w:val="23"/>
          <w:szCs w:val="23"/>
        </w:rPr>
        <w:t>unfinished</w:t>
      </w:r>
      <w:r w:rsidRPr="008D58FE">
        <w:rPr>
          <w:rFonts w:asciiTheme="majorHAnsi" w:hAnsiTheme="majorHAnsi" w:cstheme="majorHAnsi"/>
          <w:sz w:val="23"/>
          <w:szCs w:val="23"/>
        </w:rPr>
        <w:t xml:space="preserve"> projects </w:t>
      </w:r>
      <w:r w:rsidR="00EE7509">
        <w:rPr>
          <w:rFonts w:asciiTheme="majorHAnsi" w:hAnsiTheme="majorHAnsi" w:cstheme="majorHAnsi"/>
          <w:sz w:val="23"/>
          <w:szCs w:val="23"/>
        </w:rPr>
        <w:t>(</w:t>
      </w:r>
      <w:r w:rsidRPr="008D58FE">
        <w:rPr>
          <w:rFonts w:asciiTheme="majorHAnsi" w:hAnsiTheme="majorHAnsi" w:cstheme="majorHAnsi"/>
          <w:sz w:val="23"/>
          <w:szCs w:val="23"/>
        </w:rPr>
        <w:t xml:space="preserve">Osborne House, Whittington </w:t>
      </w:r>
      <w:r w:rsidR="002F1442">
        <w:rPr>
          <w:rFonts w:asciiTheme="majorHAnsi" w:hAnsiTheme="majorHAnsi" w:cstheme="majorHAnsi"/>
          <w:sz w:val="23"/>
          <w:szCs w:val="23"/>
        </w:rPr>
        <w:t>H</w:t>
      </w:r>
      <w:r w:rsidRPr="008D58FE">
        <w:rPr>
          <w:rFonts w:asciiTheme="majorHAnsi" w:hAnsiTheme="majorHAnsi" w:cstheme="majorHAnsi"/>
          <w:sz w:val="23"/>
          <w:szCs w:val="23"/>
        </w:rPr>
        <w:t>ub</w:t>
      </w:r>
      <w:r w:rsidR="00EE7509">
        <w:rPr>
          <w:rFonts w:asciiTheme="majorHAnsi" w:hAnsiTheme="majorHAnsi" w:cstheme="majorHAnsi"/>
          <w:sz w:val="23"/>
          <w:szCs w:val="23"/>
        </w:rPr>
        <w:t>)</w:t>
      </w:r>
      <w:r w:rsidR="004C0EA8">
        <w:rPr>
          <w:rFonts w:asciiTheme="majorHAnsi" w:hAnsiTheme="majorHAnsi" w:cstheme="majorHAnsi"/>
          <w:sz w:val="23"/>
          <w:szCs w:val="23"/>
        </w:rPr>
        <w:t>.</w:t>
      </w:r>
    </w:p>
    <w:p w14:paraId="469237B2" w14:textId="1547F0BF" w:rsidR="000D09C8" w:rsidRPr="008D58FE" w:rsidRDefault="000D09C8" w:rsidP="00467053">
      <w:pPr>
        <w:pStyle w:val="ListParagraph"/>
        <w:numPr>
          <w:ilvl w:val="0"/>
          <w:numId w:val="17"/>
        </w:numPr>
        <w:spacing w:after="240" w:line="276" w:lineRule="auto"/>
        <w:rPr>
          <w:rFonts w:asciiTheme="majorHAnsi" w:hAnsiTheme="majorHAnsi" w:cstheme="majorBidi"/>
          <w:sz w:val="23"/>
          <w:szCs w:val="23"/>
        </w:rPr>
      </w:pPr>
      <w:r w:rsidRPr="12F4CFCA">
        <w:rPr>
          <w:rFonts w:asciiTheme="majorHAnsi" w:hAnsiTheme="majorHAnsi" w:cstheme="majorBidi"/>
          <w:sz w:val="23"/>
          <w:szCs w:val="23"/>
        </w:rPr>
        <w:t xml:space="preserve">Support </w:t>
      </w:r>
      <w:r w:rsidR="004C0EA8">
        <w:rPr>
          <w:rFonts w:asciiTheme="majorHAnsi" w:hAnsiTheme="majorHAnsi" w:cstheme="majorBidi"/>
          <w:sz w:val="23"/>
          <w:szCs w:val="23"/>
        </w:rPr>
        <w:t>upgrades to</w:t>
      </w:r>
      <w:r w:rsidRPr="12F4CFCA">
        <w:rPr>
          <w:rFonts w:asciiTheme="majorHAnsi" w:hAnsiTheme="majorHAnsi" w:cstheme="majorBidi"/>
          <w:sz w:val="23"/>
          <w:szCs w:val="23"/>
        </w:rPr>
        <w:t xml:space="preserve"> the physical environment, especially parks and open spaces</w:t>
      </w:r>
      <w:r w:rsidR="004C0EA8">
        <w:rPr>
          <w:rFonts w:asciiTheme="majorHAnsi" w:hAnsiTheme="majorHAnsi" w:cstheme="majorBidi"/>
          <w:sz w:val="23"/>
          <w:szCs w:val="23"/>
        </w:rPr>
        <w:t>,</w:t>
      </w:r>
      <w:r w:rsidRPr="12F4CFCA">
        <w:rPr>
          <w:rFonts w:asciiTheme="majorHAnsi" w:hAnsiTheme="majorHAnsi" w:cstheme="majorBidi"/>
          <w:sz w:val="23"/>
          <w:szCs w:val="23"/>
        </w:rPr>
        <w:t xml:space="preserve"> </w:t>
      </w:r>
      <w:r w:rsidR="004C0EA8">
        <w:rPr>
          <w:rFonts w:asciiTheme="majorHAnsi" w:hAnsiTheme="majorHAnsi" w:cstheme="majorBidi"/>
          <w:sz w:val="23"/>
          <w:szCs w:val="23"/>
        </w:rPr>
        <w:t>including</w:t>
      </w:r>
      <w:r w:rsidRPr="12F4CFCA">
        <w:rPr>
          <w:rFonts w:asciiTheme="majorHAnsi" w:hAnsiTheme="majorHAnsi" w:cstheme="majorBidi"/>
          <w:sz w:val="23"/>
          <w:szCs w:val="23"/>
        </w:rPr>
        <w:t xml:space="preserve"> Cowie Creek</w:t>
      </w:r>
      <w:r w:rsidRPr="27FB78F8">
        <w:rPr>
          <w:rFonts w:asciiTheme="majorHAnsi" w:hAnsiTheme="majorHAnsi" w:cstheme="majorBidi"/>
          <w:sz w:val="23"/>
          <w:szCs w:val="23"/>
        </w:rPr>
        <w:t>, Seagull Paddock</w:t>
      </w:r>
      <w:r w:rsidR="00EE7509">
        <w:rPr>
          <w:rFonts w:asciiTheme="majorHAnsi" w:hAnsiTheme="majorHAnsi" w:cstheme="majorBidi"/>
          <w:sz w:val="23"/>
          <w:szCs w:val="23"/>
        </w:rPr>
        <w:t>,</w:t>
      </w:r>
      <w:r w:rsidRPr="12F4CFCA">
        <w:rPr>
          <w:rFonts w:asciiTheme="majorHAnsi" w:hAnsiTheme="majorHAnsi" w:cstheme="majorBidi"/>
          <w:sz w:val="23"/>
          <w:szCs w:val="23"/>
        </w:rPr>
        <w:t xml:space="preserve"> and </w:t>
      </w:r>
      <w:r w:rsidR="00EE7509">
        <w:rPr>
          <w:rFonts w:asciiTheme="majorHAnsi" w:hAnsiTheme="majorHAnsi" w:cstheme="majorBidi"/>
          <w:sz w:val="23"/>
          <w:szCs w:val="23"/>
        </w:rPr>
        <w:t xml:space="preserve">the adjacent </w:t>
      </w:r>
      <w:r w:rsidRPr="12F4CFCA">
        <w:rPr>
          <w:rFonts w:asciiTheme="majorHAnsi" w:hAnsiTheme="majorHAnsi" w:cstheme="majorBidi"/>
          <w:sz w:val="23"/>
          <w:szCs w:val="23"/>
        </w:rPr>
        <w:t>St Helens area</w:t>
      </w:r>
      <w:r w:rsidR="002F1442">
        <w:rPr>
          <w:rFonts w:asciiTheme="majorHAnsi" w:hAnsiTheme="majorHAnsi" w:cstheme="majorBidi"/>
          <w:sz w:val="23"/>
          <w:szCs w:val="23"/>
        </w:rPr>
        <w:t>.</w:t>
      </w:r>
    </w:p>
    <w:p w14:paraId="726F8732" w14:textId="69EFAA8C" w:rsidR="000D09C8" w:rsidRPr="004E7547" w:rsidRDefault="000D09C8" w:rsidP="00467053">
      <w:pPr>
        <w:spacing w:line="276" w:lineRule="auto"/>
        <w:rPr>
          <w:rFonts w:cstheme="minorHAnsi"/>
          <w:color w:val="2F5496" w:themeColor="accent1" w:themeShade="BF"/>
          <w:sz w:val="25"/>
          <w:szCs w:val="25"/>
          <w:lang w:val="en-GB"/>
        </w:rPr>
      </w:pPr>
      <w:r w:rsidRPr="004E7547">
        <w:rPr>
          <w:rFonts w:cstheme="minorHAnsi"/>
          <w:b/>
          <w:bCs/>
          <w:color w:val="2F5496" w:themeColor="accent1" w:themeShade="BF"/>
          <w:sz w:val="25"/>
          <w:szCs w:val="25"/>
          <w:lang w:val="en-GB"/>
        </w:rPr>
        <w:t>Role of the City of Greater Geelong</w:t>
      </w:r>
      <w:r w:rsidRPr="004E7547">
        <w:rPr>
          <w:rFonts w:cstheme="minorHAnsi"/>
          <w:color w:val="2F5496" w:themeColor="accent1" w:themeShade="BF"/>
          <w:sz w:val="25"/>
          <w:szCs w:val="25"/>
          <w:lang w:val="en-GB"/>
        </w:rPr>
        <w:t>:</w:t>
      </w:r>
    </w:p>
    <w:p w14:paraId="009F21B4" w14:textId="77777777" w:rsidR="00C06538" w:rsidRDefault="000D09C8" w:rsidP="00467053">
      <w:pPr>
        <w:pStyle w:val="ListParagraph"/>
        <w:numPr>
          <w:ilvl w:val="0"/>
          <w:numId w:val="52"/>
        </w:numPr>
        <w:spacing w:line="276" w:lineRule="auto"/>
        <w:rPr>
          <w:rFonts w:asciiTheme="majorHAnsi" w:hAnsiTheme="majorHAnsi" w:cstheme="majorHAnsi"/>
          <w:sz w:val="23"/>
          <w:szCs w:val="23"/>
          <w:lang w:val="en-GB"/>
        </w:rPr>
      </w:pPr>
      <w:r w:rsidRPr="008D58FE">
        <w:rPr>
          <w:rFonts w:asciiTheme="majorHAnsi" w:hAnsiTheme="majorHAnsi" w:cstheme="majorHAnsi"/>
          <w:sz w:val="23"/>
          <w:szCs w:val="23"/>
          <w:lang w:val="en-GB"/>
        </w:rPr>
        <w:t>Be present, respectful</w:t>
      </w:r>
      <w:r w:rsidR="00C06538">
        <w:rPr>
          <w:rFonts w:asciiTheme="majorHAnsi" w:hAnsiTheme="majorHAnsi" w:cstheme="majorHAnsi"/>
          <w:sz w:val="23"/>
          <w:szCs w:val="23"/>
          <w:lang w:val="en-GB"/>
        </w:rPr>
        <w:t>,</w:t>
      </w:r>
      <w:r w:rsidRPr="008D58FE">
        <w:rPr>
          <w:rFonts w:asciiTheme="majorHAnsi" w:hAnsiTheme="majorHAnsi" w:cstheme="majorHAnsi"/>
          <w:sz w:val="23"/>
          <w:szCs w:val="23"/>
          <w:lang w:val="en-GB"/>
        </w:rPr>
        <w:t xml:space="preserve"> and genuinely consultative with residents</w:t>
      </w:r>
      <w:r w:rsidR="00C06538">
        <w:rPr>
          <w:rFonts w:asciiTheme="majorHAnsi" w:hAnsiTheme="majorHAnsi" w:cstheme="majorHAnsi"/>
          <w:sz w:val="23"/>
          <w:szCs w:val="23"/>
          <w:lang w:val="en-GB"/>
        </w:rPr>
        <w:t>.</w:t>
      </w:r>
    </w:p>
    <w:p w14:paraId="3BA279B5" w14:textId="6D1BDBEB" w:rsidR="000D09C8" w:rsidRPr="008D58FE" w:rsidRDefault="00C06538" w:rsidP="00467053">
      <w:pPr>
        <w:pStyle w:val="ListParagraph"/>
        <w:numPr>
          <w:ilvl w:val="0"/>
          <w:numId w:val="52"/>
        </w:numPr>
        <w:spacing w:line="276" w:lineRule="auto"/>
        <w:rPr>
          <w:rFonts w:asciiTheme="majorHAnsi" w:hAnsiTheme="majorHAnsi" w:cstheme="majorHAnsi"/>
          <w:sz w:val="23"/>
          <w:szCs w:val="23"/>
          <w:lang w:val="en-GB"/>
        </w:rPr>
      </w:pPr>
      <w:r>
        <w:rPr>
          <w:rFonts w:asciiTheme="majorHAnsi" w:hAnsiTheme="majorHAnsi" w:cstheme="majorHAnsi"/>
          <w:sz w:val="23"/>
          <w:szCs w:val="23"/>
          <w:lang w:val="en-GB"/>
        </w:rPr>
        <w:t>O</w:t>
      </w:r>
      <w:r w:rsidR="000D09C8" w:rsidRPr="008D58FE">
        <w:rPr>
          <w:rFonts w:asciiTheme="majorHAnsi" w:hAnsiTheme="majorHAnsi" w:cstheme="majorHAnsi"/>
          <w:sz w:val="23"/>
          <w:szCs w:val="23"/>
          <w:lang w:val="en-GB"/>
        </w:rPr>
        <w:t>ffer a helicopter view of the</w:t>
      </w:r>
      <w:r>
        <w:rPr>
          <w:rFonts w:asciiTheme="majorHAnsi" w:hAnsiTheme="majorHAnsi" w:cstheme="majorHAnsi"/>
          <w:sz w:val="23"/>
          <w:szCs w:val="23"/>
          <w:lang w:val="en-GB"/>
        </w:rPr>
        <w:t xml:space="preserve"> City and </w:t>
      </w:r>
      <w:r w:rsidR="000D09C8" w:rsidRPr="008D58FE">
        <w:rPr>
          <w:rFonts w:asciiTheme="majorHAnsi" w:hAnsiTheme="majorHAnsi" w:cstheme="majorHAnsi"/>
          <w:sz w:val="23"/>
          <w:szCs w:val="23"/>
          <w:lang w:val="en-GB"/>
        </w:rPr>
        <w:t>region</w:t>
      </w:r>
      <w:r>
        <w:rPr>
          <w:rFonts w:asciiTheme="majorHAnsi" w:hAnsiTheme="majorHAnsi" w:cstheme="majorHAnsi"/>
          <w:sz w:val="23"/>
          <w:szCs w:val="23"/>
          <w:lang w:val="en-GB"/>
        </w:rPr>
        <w:t>,</w:t>
      </w:r>
      <w:r w:rsidR="000D09C8" w:rsidRPr="008D58FE">
        <w:rPr>
          <w:rFonts w:asciiTheme="majorHAnsi" w:hAnsiTheme="majorHAnsi" w:cstheme="majorHAnsi"/>
          <w:sz w:val="23"/>
          <w:szCs w:val="23"/>
          <w:lang w:val="en-GB"/>
        </w:rPr>
        <w:t xml:space="preserve"> and </w:t>
      </w:r>
      <w:r>
        <w:rPr>
          <w:rFonts w:asciiTheme="majorHAnsi" w:hAnsiTheme="majorHAnsi" w:cstheme="majorHAnsi"/>
          <w:sz w:val="23"/>
          <w:szCs w:val="23"/>
          <w:lang w:val="en-GB"/>
        </w:rPr>
        <w:t xml:space="preserve">a </w:t>
      </w:r>
      <w:r w:rsidR="000D09C8" w:rsidRPr="008D58FE">
        <w:rPr>
          <w:rFonts w:asciiTheme="majorHAnsi" w:hAnsiTheme="majorHAnsi" w:cstheme="majorHAnsi"/>
          <w:sz w:val="23"/>
          <w:szCs w:val="23"/>
          <w:lang w:val="en-GB"/>
        </w:rPr>
        <w:t>policy framework for the long haul</w:t>
      </w:r>
      <w:r w:rsidR="00EE7509">
        <w:rPr>
          <w:rFonts w:asciiTheme="majorHAnsi" w:hAnsiTheme="majorHAnsi" w:cstheme="majorHAnsi"/>
          <w:sz w:val="23"/>
          <w:szCs w:val="23"/>
          <w:lang w:val="en-GB"/>
        </w:rPr>
        <w:t>.</w:t>
      </w:r>
    </w:p>
    <w:p w14:paraId="6323E7FF" w14:textId="2C3C2B5A" w:rsidR="000D09C8" w:rsidRPr="008D58FE" w:rsidRDefault="00C06538" w:rsidP="00467053">
      <w:pPr>
        <w:pStyle w:val="ListParagraph"/>
        <w:numPr>
          <w:ilvl w:val="0"/>
          <w:numId w:val="52"/>
        </w:numPr>
        <w:spacing w:line="276" w:lineRule="auto"/>
        <w:rPr>
          <w:rFonts w:asciiTheme="majorHAnsi" w:hAnsiTheme="majorHAnsi" w:cstheme="majorBidi"/>
          <w:sz w:val="23"/>
          <w:szCs w:val="23"/>
          <w:lang w:val="en-GB"/>
        </w:rPr>
      </w:pPr>
      <w:r>
        <w:rPr>
          <w:rFonts w:asciiTheme="majorHAnsi" w:hAnsiTheme="majorHAnsi" w:cstheme="majorBidi"/>
          <w:sz w:val="23"/>
          <w:szCs w:val="23"/>
          <w:lang w:val="en-GB"/>
        </w:rPr>
        <w:t>Fund</w:t>
      </w:r>
      <w:r w:rsidR="000D09C8" w:rsidRPr="12F4CFCA">
        <w:rPr>
          <w:rFonts w:asciiTheme="majorHAnsi" w:hAnsiTheme="majorHAnsi" w:cstheme="majorBidi"/>
          <w:sz w:val="23"/>
          <w:szCs w:val="23"/>
          <w:lang w:val="en-GB"/>
        </w:rPr>
        <w:t xml:space="preserve"> successful and needed programs, but also act as a broker to leverage existing resources and grow them through connections and partnerships with other levels of government and philanthropy</w:t>
      </w:r>
      <w:r w:rsidR="00EE7509">
        <w:rPr>
          <w:rFonts w:asciiTheme="majorHAnsi" w:hAnsiTheme="majorHAnsi" w:cstheme="majorBidi"/>
          <w:sz w:val="23"/>
          <w:szCs w:val="23"/>
          <w:lang w:val="en-GB"/>
        </w:rPr>
        <w:t>.</w:t>
      </w:r>
    </w:p>
    <w:p w14:paraId="73881A45" w14:textId="02445225" w:rsidR="000D09C8" w:rsidRPr="008D58FE" w:rsidRDefault="000D09C8" w:rsidP="00467053">
      <w:pPr>
        <w:pStyle w:val="ListParagraph"/>
        <w:numPr>
          <w:ilvl w:val="0"/>
          <w:numId w:val="52"/>
        </w:numPr>
        <w:spacing w:line="276" w:lineRule="auto"/>
        <w:rPr>
          <w:rFonts w:asciiTheme="majorHAnsi" w:hAnsiTheme="majorHAnsi" w:cstheme="majorHAnsi"/>
          <w:sz w:val="23"/>
          <w:szCs w:val="23"/>
          <w:lang w:val="en-GB"/>
        </w:rPr>
      </w:pPr>
      <w:r w:rsidRPr="008D58FE">
        <w:rPr>
          <w:rFonts w:asciiTheme="majorHAnsi" w:hAnsiTheme="majorHAnsi" w:cstheme="majorHAnsi"/>
          <w:sz w:val="23"/>
          <w:szCs w:val="23"/>
          <w:lang w:val="en-GB"/>
        </w:rPr>
        <w:t>Support, extend</w:t>
      </w:r>
      <w:r w:rsidR="00EE7509">
        <w:rPr>
          <w:rFonts w:asciiTheme="majorHAnsi" w:hAnsiTheme="majorHAnsi" w:cstheme="majorHAnsi"/>
          <w:sz w:val="23"/>
          <w:szCs w:val="23"/>
          <w:lang w:val="en-GB"/>
        </w:rPr>
        <w:t>,</w:t>
      </w:r>
      <w:r w:rsidRPr="008D58FE">
        <w:rPr>
          <w:rFonts w:asciiTheme="majorHAnsi" w:hAnsiTheme="majorHAnsi" w:cstheme="majorHAnsi"/>
          <w:sz w:val="23"/>
          <w:szCs w:val="23"/>
          <w:lang w:val="en-GB"/>
        </w:rPr>
        <w:t xml:space="preserve"> and scale </w:t>
      </w:r>
      <w:r w:rsidR="00772E66">
        <w:rPr>
          <w:rFonts w:asciiTheme="majorHAnsi" w:hAnsiTheme="majorHAnsi" w:cstheme="majorHAnsi"/>
          <w:sz w:val="23"/>
          <w:szCs w:val="23"/>
          <w:lang w:val="en-GB"/>
        </w:rPr>
        <w:t xml:space="preserve">up </w:t>
      </w:r>
      <w:r w:rsidRPr="008D58FE">
        <w:rPr>
          <w:rFonts w:asciiTheme="majorHAnsi" w:hAnsiTheme="majorHAnsi" w:cstheme="majorHAnsi"/>
          <w:sz w:val="23"/>
          <w:szCs w:val="23"/>
          <w:lang w:val="en-GB"/>
        </w:rPr>
        <w:t>existing successful programs</w:t>
      </w:r>
      <w:r w:rsidR="00EE7509">
        <w:rPr>
          <w:rFonts w:asciiTheme="majorHAnsi" w:hAnsiTheme="majorHAnsi" w:cstheme="majorHAnsi"/>
          <w:sz w:val="23"/>
          <w:szCs w:val="23"/>
          <w:lang w:val="en-GB"/>
        </w:rPr>
        <w:t xml:space="preserve"> (</w:t>
      </w:r>
      <w:proofErr w:type="gramStart"/>
      <w:r w:rsidR="00EE7509">
        <w:rPr>
          <w:rFonts w:asciiTheme="majorHAnsi" w:hAnsiTheme="majorHAnsi" w:cstheme="majorHAnsi"/>
          <w:sz w:val="23"/>
          <w:szCs w:val="23"/>
          <w:lang w:val="en-GB"/>
        </w:rPr>
        <w:t>e.g.</w:t>
      </w:r>
      <w:proofErr w:type="gramEnd"/>
      <w:r w:rsidR="00EE7509">
        <w:rPr>
          <w:rFonts w:asciiTheme="majorHAnsi" w:hAnsiTheme="majorHAnsi" w:cstheme="majorHAnsi"/>
          <w:sz w:val="23"/>
          <w:szCs w:val="23"/>
          <w:lang w:val="en-GB"/>
        </w:rPr>
        <w:t xml:space="preserve"> </w:t>
      </w:r>
      <w:r w:rsidRPr="008D58FE">
        <w:rPr>
          <w:rFonts w:asciiTheme="majorHAnsi" w:hAnsiTheme="majorHAnsi" w:cstheme="majorHAnsi"/>
          <w:sz w:val="23"/>
          <w:szCs w:val="23"/>
          <w:lang w:val="en-GB"/>
        </w:rPr>
        <w:t>Northern Futures</w:t>
      </w:r>
      <w:r w:rsidR="00EE7509">
        <w:rPr>
          <w:rFonts w:asciiTheme="majorHAnsi" w:hAnsiTheme="majorHAnsi" w:cstheme="majorHAnsi"/>
          <w:sz w:val="23"/>
          <w:szCs w:val="23"/>
          <w:lang w:val="en-GB"/>
        </w:rPr>
        <w:t>,</w:t>
      </w:r>
      <w:r w:rsidRPr="008D58FE">
        <w:rPr>
          <w:rFonts w:asciiTheme="majorHAnsi" w:hAnsiTheme="majorHAnsi" w:cstheme="majorHAnsi"/>
          <w:sz w:val="23"/>
          <w:szCs w:val="23"/>
          <w:lang w:val="en-GB"/>
        </w:rPr>
        <w:t xml:space="preserve"> GROW</w:t>
      </w:r>
      <w:r w:rsidR="00EE7509">
        <w:rPr>
          <w:rFonts w:asciiTheme="majorHAnsi" w:hAnsiTheme="majorHAnsi" w:cstheme="majorHAnsi"/>
          <w:sz w:val="23"/>
          <w:szCs w:val="23"/>
          <w:lang w:val="en-GB"/>
        </w:rPr>
        <w:t>)</w:t>
      </w:r>
    </w:p>
    <w:p w14:paraId="4764B3D7" w14:textId="31361535" w:rsidR="000D09C8" w:rsidRPr="008D58FE" w:rsidRDefault="000D09C8" w:rsidP="00467053">
      <w:pPr>
        <w:pStyle w:val="ListParagraph"/>
        <w:numPr>
          <w:ilvl w:val="0"/>
          <w:numId w:val="52"/>
        </w:numPr>
        <w:spacing w:line="276" w:lineRule="auto"/>
        <w:rPr>
          <w:rFonts w:asciiTheme="majorHAnsi" w:hAnsiTheme="majorHAnsi" w:cstheme="majorHAnsi"/>
          <w:sz w:val="23"/>
          <w:szCs w:val="23"/>
          <w:lang w:val="en-GB"/>
        </w:rPr>
      </w:pPr>
      <w:r w:rsidRPr="008D58FE">
        <w:rPr>
          <w:rFonts w:asciiTheme="majorHAnsi" w:hAnsiTheme="majorHAnsi" w:cstheme="majorHAnsi"/>
          <w:sz w:val="23"/>
          <w:szCs w:val="23"/>
          <w:lang w:val="en-GB"/>
        </w:rPr>
        <w:t xml:space="preserve">Respond to </w:t>
      </w:r>
      <w:r w:rsidR="00250415">
        <w:rPr>
          <w:rFonts w:asciiTheme="majorHAnsi" w:hAnsiTheme="majorHAnsi" w:cstheme="majorHAnsi"/>
          <w:sz w:val="23"/>
          <w:szCs w:val="23"/>
          <w:lang w:val="en-GB"/>
        </w:rPr>
        <w:t>the community’s</w:t>
      </w:r>
      <w:r w:rsidRPr="008D58FE">
        <w:rPr>
          <w:rFonts w:asciiTheme="majorHAnsi" w:hAnsiTheme="majorHAnsi" w:cstheme="majorHAnsi"/>
          <w:sz w:val="23"/>
          <w:szCs w:val="23"/>
          <w:lang w:val="en-GB"/>
        </w:rPr>
        <w:t xml:space="preserve"> actual need</w:t>
      </w:r>
      <w:r w:rsidR="00EE7509">
        <w:rPr>
          <w:rFonts w:asciiTheme="majorHAnsi" w:hAnsiTheme="majorHAnsi" w:cstheme="majorHAnsi"/>
          <w:sz w:val="23"/>
          <w:szCs w:val="23"/>
          <w:lang w:val="en-GB"/>
        </w:rPr>
        <w:t>s</w:t>
      </w:r>
      <w:r w:rsidRPr="008D58FE">
        <w:rPr>
          <w:rFonts w:asciiTheme="majorHAnsi" w:hAnsiTheme="majorHAnsi" w:cstheme="majorHAnsi"/>
          <w:sz w:val="23"/>
          <w:szCs w:val="23"/>
          <w:lang w:val="en-GB"/>
        </w:rPr>
        <w:t>, not the projected or expected need</w:t>
      </w:r>
      <w:r w:rsidR="00EE7509">
        <w:rPr>
          <w:rFonts w:asciiTheme="majorHAnsi" w:hAnsiTheme="majorHAnsi" w:cstheme="majorHAnsi"/>
          <w:sz w:val="23"/>
          <w:szCs w:val="23"/>
          <w:lang w:val="en-GB"/>
        </w:rPr>
        <w:t>s.</w:t>
      </w:r>
    </w:p>
    <w:p w14:paraId="7D5412CC" w14:textId="15570C0A" w:rsidR="000D09C8" w:rsidRPr="008D58FE" w:rsidRDefault="00EE7509" w:rsidP="00467053">
      <w:pPr>
        <w:pStyle w:val="ListParagraph"/>
        <w:numPr>
          <w:ilvl w:val="0"/>
          <w:numId w:val="52"/>
        </w:numPr>
        <w:spacing w:line="276" w:lineRule="auto"/>
        <w:rPr>
          <w:rFonts w:asciiTheme="majorHAnsi" w:hAnsiTheme="majorHAnsi" w:cstheme="majorBidi"/>
          <w:sz w:val="23"/>
          <w:szCs w:val="23"/>
          <w:lang w:val="en-GB"/>
        </w:rPr>
      </w:pPr>
      <w:r>
        <w:rPr>
          <w:rFonts w:asciiTheme="majorHAnsi" w:hAnsiTheme="majorHAnsi" w:cstheme="majorBidi"/>
          <w:sz w:val="23"/>
          <w:szCs w:val="23"/>
          <w:lang w:val="en-GB"/>
        </w:rPr>
        <w:t>W</w:t>
      </w:r>
      <w:r w:rsidR="00250415">
        <w:rPr>
          <w:rFonts w:asciiTheme="majorHAnsi" w:hAnsiTheme="majorHAnsi" w:cstheme="majorBidi"/>
          <w:sz w:val="23"/>
          <w:szCs w:val="23"/>
          <w:lang w:val="en-GB"/>
        </w:rPr>
        <w:t>orking with</w:t>
      </w:r>
      <w:r w:rsidR="000D09C8" w:rsidRPr="12F4CFCA">
        <w:rPr>
          <w:rFonts w:asciiTheme="majorHAnsi" w:hAnsiTheme="majorHAnsi" w:cstheme="majorBidi"/>
          <w:sz w:val="23"/>
          <w:szCs w:val="23"/>
          <w:lang w:val="en-GB"/>
        </w:rPr>
        <w:t xml:space="preserve"> residents</w:t>
      </w:r>
      <w:r>
        <w:rPr>
          <w:rFonts w:asciiTheme="majorHAnsi" w:hAnsiTheme="majorHAnsi" w:cstheme="majorBidi"/>
          <w:sz w:val="23"/>
          <w:szCs w:val="23"/>
          <w:lang w:val="en-GB"/>
        </w:rPr>
        <w:t>, develop</w:t>
      </w:r>
      <w:r w:rsidR="000D09C8" w:rsidRPr="12F4CFCA">
        <w:rPr>
          <w:rFonts w:asciiTheme="majorHAnsi" w:hAnsiTheme="majorHAnsi" w:cstheme="majorBidi"/>
          <w:sz w:val="23"/>
          <w:szCs w:val="23"/>
          <w:lang w:val="en-GB"/>
        </w:rPr>
        <w:t xml:space="preserve"> an information and accountability dashboard to collate, inform</w:t>
      </w:r>
      <w:r>
        <w:rPr>
          <w:rFonts w:asciiTheme="majorHAnsi" w:hAnsiTheme="majorHAnsi" w:cstheme="majorBidi"/>
          <w:sz w:val="23"/>
          <w:szCs w:val="23"/>
          <w:lang w:val="en-GB"/>
        </w:rPr>
        <w:t>,</w:t>
      </w:r>
      <w:r w:rsidR="000D09C8" w:rsidRPr="12F4CFCA">
        <w:rPr>
          <w:rFonts w:asciiTheme="majorHAnsi" w:hAnsiTheme="majorHAnsi" w:cstheme="majorBidi"/>
          <w:sz w:val="23"/>
          <w:szCs w:val="23"/>
          <w:lang w:val="en-GB"/>
        </w:rPr>
        <w:t xml:space="preserve"> and monitor progress on agreed indicators that matter to the people who live </w:t>
      </w:r>
      <w:r w:rsidR="003708B2">
        <w:rPr>
          <w:rFonts w:asciiTheme="majorHAnsi" w:hAnsiTheme="majorHAnsi" w:cstheme="majorBidi"/>
          <w:sz w:val="23"/>
          <w:szCs w:val="23"/>
          <w:lang w:val="en-GB"/>
        </w:rPr>
        <w:t>in these suburbs</w:t>
      </w:r>
      <w:r>
        <w:rPr>
          <w:rFonts w:asciiTheme="majorHAnsi" w:hAnsiTheme="majorHAnsi" w:cstheme="majorBidi"/>
          <w:sz w:val="23"/>
          <w:szCs w:val="23"/>
          <w:lang w:val="en-GB"/>
        </w:rPr>
        <w:t>.</w:t>
      </w:r>
    </w:p>
    <w:p w14:paraId="1D621831" w14:textId="0EF9F6E4" w:rsidR="000D09C8" w:rsidRPr="008D58FE" w:rsidRDefault="000D09C8" w:rsidP="00467053">
      <w:pPr>
        <w:pStyle w:val="ListParagraph"/>
        <w:numPr>
          <w:ilvl w:val="0"/>
          <w:numId w:val="52"/>
        </w:numPr>
        <w:spacing w:line="276" w:lineRule="auto"/>
        <w:rPr>
          <w:rFonts w:asciiTheme="majorHAnsi" w:hAnsiTheme="majorHAnsi" w:cstheme="majorHAnsi"/>
          <w:sz w:val="23"/>
          <w:szCs w:val="23"/>
          <w:lang w:val="en-GB"/>
        </w:rPr>
      </w:pPr>
      <w:r w:rsidRPr="008D58FE">
        <w:rPr>
          <w:rFonts w:asciiTheme="majorHAnsi" w:hAnsiTheme="majorHAnsi" w:cstheme="majorHAnsi"/>
          <w:sz w:val="23"/>
          <w:szCs w:val="23"/>
          <w:lang w:val="en-GB"/>
        </w:rPr>
        <w:t>Have regular meetings between community members and a dedicated Council team so they can learn from local experts, coordinate across the organisation</w:t>
      </w:r>
      <w:r w:rsidR="000A53B2">
        <w:rPr>
          <w:rFonts w:asciiTheme="majorHAnsi" w:hAnsiTheme="majorHAnsi" w:cstheme="majorHAnsi"/>
          <w:sz w:val="23"/>
          <w:szCs w:val="23"/>
          <w:lang w:val="en-GB"/>
        </w:rPr>
        <w:t>,</w:t>
      </w:r>
      <w:r w:rsidRPr="008D58FE">
        <w:rPr>
          <w:rFonts w:asciiTheme="majorHAnsi" w:hAnsiTheme="majorHAnsi" w:cstheme="majorHAnsi"/>
          <w:sz w:val="23"/>
          <w:szCs w:val="23"/>
          <w:lang w:val="en-GB"/>
        </w:rPr>
        <w:t xml:space="preserve"> and better conne</w:t>
      </w:r>
      <w:r w:rsidR="000A53B2">
        <w:rPr>
          <w:rFonts w:asciiTheme="majorHAnsi" w:hAnsiTheme="majorHAnsi" w:cstheme="majorHAnsi"/>
          <w:sz w:val="23"/>
          <w:szCs w:val="23"/>
          <w:lang w:val="en-GB"/>
        </w:rPr>
        <w:t>ct.</w:t>
      </w:r>
    </w:p>
    <w:p w14:paraId="5746E1D9" w14:textId="056BCF57" w:rsidR="000D09C8" w:rsidRPr="00A454BC" w:rsidRDefault="000D09C8" w:rsidP="00467053">
      <w:pPr>
        <w:pStyle w:val="ListParagraph"/>
        <w:numPr>
          <w:ilvl w:val="0"/>
          <w:numId w:val="52"/>
        </w:numPr>
        <w:spacing w:line="276" w:lineRule="auto"/>
        <w:rPr>
          <w:rFonts w:asciiTheme="majorHAnsi" w:hAnsiTheme="majorHAnsi" w:cstheme="majorBidi"/>
          <w:sz w:val="23"/>
          <w:szCs w:val="23"/>
          <w:lang w:val="en-GB"/>
        </w:rPr>
      </w:pPr>
      <w:r w:rsidRPr="12F4CFCA">
        <w:rPr>
          <w:rFonts w:asciiTheme="majorHAnsi" w:hAnsiTheme="majorHAnsi" w:cstheme="majorBidi"/>
          <w:sz w:val="23"/>
          <w:szCs w:val="23"/>
          <w:lang w:val="en-GB"/>
        </w:rPr>
        <w:t>Provide a regular forum</w:t>
      </w:r>
      <w:r w:rsidR="002F1442">
        <w:rPr>
          <w:rFonts w:asciiTheme="majorHAnsi" w:hAnsiTheme="majorHAnsi" w:cstheme="majorBidi"/>
          <w:sz w:val="23"/>
          <w:szCs w:val="23"/>
          <w:lang w:val="en-GB"/>
        </w:rPr>
        <w:t xml:space="preserve"> (</w:t>
      </w:r>
      <w:r w:rsidRPr="12F4CFCA">
        <w:rPr>
          <w:rFonts w:asciiTheme="majorHAnsi" w:hAnsiTheme="majorHAnsi" w:cstheme="majorBidi"/>
          <w:sz w:val="23"/>
          <w:szCs w:val="23"/>
          <w:lang w:val="en-GB"/>
        </w:rPr>
        <w:t>quarterly</w:t>
      </w:r>
      <w:r w:rsidR="002F1442">
        <w:rPr>
          <w:rFonts w:asciiTheme="majorHAnsi" w:hAnsiTheme="majorHAnsi" w:cstheme="majorBidi"/>
          <w:sz w:val="23"/>
          <w:szCs w:val="23"/>
          <w:lang w:val="en-GB"/>
        </w:rPr>
        <w:t>)</w:t>
      </w:r>
      <w:r w:rsidRPr="12F4CFCA">
        <w:rPr>
          <w:rFonts w:asciiTheme="majorHAnsi" w:hAnsiTheme="majorHAnsi" w:cstheme="majorBidi"/>
          <w:sz w:val="23"/>
          <w:szCs w:val="23"/>
          <w:lang w:val="en-GB"/>
        </w:rPr>
        <w:t xml:space="preserve"> where progress on indicators can be shared, amended if necessary</w:t>
      </w:r>
      <w:r w:rsidR="000A53B2">
        <w:rPr>
          <w:rFonts w:asciiTheme="majorHAnsi" w:hAnsiTheme="majorHAnsi" w:cstheme="majorBidi"/>
          <w:sz w:val="23"/>
          <w:szCs w:val="23"/>
          <w:lang w:val="en-GB"/>
        </w:rPr>
        <w:t>,</w:t>
      </w:r>
      <w:r w:rsidRPr="12F4CFCA">
        <w:rPr>
          <w:rFonts w:asciiTheme="majorHAnsi" w:hAnsiTheme="majorHAnsi" w:cstheme="majorBidi"/>
          <w:sz w:val="23"/>
          <w:szCs w:val="23"/>
          <w:lang w:val="en-GB"/>
        </w:rPr>
        <w:t xml:space="preserve"> and celebrated.</w:t>
      </w:r>
    </w:p>
    <w:p w14:paraId="67CC9F0D" w14:textId="07E2279C" w:rsidR="000D09C8" w:rsidRPr="004E7547" w:rsidRDefault="000D09C8" w:rsidP="004E7547">
      <w:pPr>
        <w:spacing w:after="0" w:line="276" w:lineRule="auto"/>
        <w:rPr>
          <w:rFonts w:cstheme="minorHAnsi"/>
          <w:b/>
          <w:bCs/>
          <w:color w:val="7030A0"/>
          <w:sz w:val="36"/>
          <w:szCs w:val="36"/>
        </w:rPr>
      </w:pPr>
      <w:r>
        <w:rPr>
          <w:rFonts w:cstheme="minorHAnsi"/>
          <w:color w:val="7030A0"/>
        </w:rPr>
        <w:br w:type="page"/>
      </w:r>
    </w:p>
    <w:p w14:paraId="7F807C1D" w14:textId="1D18519B" w:rsidR="00F00E3D" w:rsidRPr="004E7547" w:rsidRDefault="00F30FB2" w:rsidP="004E7547">
      <w:pPr>
        <w:spacing w:line="276" w:lineRule="auto"/>
        <w:rPr>
          <w:rFonts w:eastAsia="Calibri Light" w:cstheme="minorHAnsi"/>
          <w:b/>
          <w:bCs/>
          <w:color w:val="2F5496" w:themeColor="accent1" w:themeShade="BF"/>
          <w:sz w:val="28"/>
          <w:szCs w:val="28"/>
          <w:lang w:val="en-GB"/>
        </w:rPr>
      </w:pPr>
      <w:r w:rsidRPr="004E7547">
        <w:rPr>
          <w:rFonts w:eastAsia="Calibri Light" w:cstheme="minorHAnsi"/>
          <w:b/>
          <w:bCs/>
          <w:color w:val="2F5496" w:themeColor="accent1" w:themeShade="BF"/>
          <w:sz w:val="28"/>
          <w:szCs w:val="28"/>
          <w:lang w:val="en-GB"/>
        </w:rPr>
        <w:lastRenderedPageBreak/>
        <w:t xml:space="preserve">8.6 </w:t>
      </w:r>
      <w:r w:rsidR="00D1158A">
        <w:rPr>
          <w:rFonts w:eastAsia="Calibri Light" w:cstheme="minorHAnsi"/>
          <w:b/>
          <w:bCs/>
          <w:color w:val="2F5496" w:themeColor="accent1" w:themeShade="BF"/>
          <w:sz w:val="28"/>
          <w:szCs w:val="28"/>
          <w:lang w:val="en-GB"/>
        </w:rPr>
        <w:t xml:space="preserve">Community Needs: </w:t>
      </w:r>
      <w:r w:rsidRPr="004E7547">
        <w:rPr>
          <w:rFonts w:eastAsia="Calibri Light" w:cstheme="minorHAnsi"/>
          <w:b/>
          <w:color w:val="2F5496" w:themeColor="accent1" w:themeShade="BF"/>
          <w:sz w:val="28"/>
          <w:szCs w:val="28"/>
          <w:lang w:val="en-GB"/>
        </w:rPr>
        <w:t>Key Priorities and Proposed In</w:t>
      </w:r>
      <w:r w:rsidR="00761ADD" w:rsidRPr="004E7547">
        <w:rPr>
          <w:rFonts w:eastAsia="Calibri Light" w:cstheme="minorHAnsi"/>
          <w:b/>
          <w:color w:val="2F5496" w:themeColor="accent1" w:themeShade="BF"/>
          <w:sz w:val="28"/>
          <w:szCs w:val="28"/>
          <w:lang w:val="en-GB"/>
        </w:rPr>
        <w:t>itiatives</w:t>
      </w:r>
      <w:r w:rsidR="000A481D">
        <w:rPr>
          <w:rFonts w:eastAsia="Calibri Light" w:cstheme="minorHAnsi"/>
          <w:b/>
          <w:color w:val="2F5496" w:themeColor="accent1" w:themeShade="BF"/>
          <w:sz w:val="28"/>
          <w:szCs w:val="28"/>
          <w:lang w:val="en-GB"/>
        </w:rPr>
        <w:t xml:space="preserve"> </w:t>
      </w:r>
    </w:p>
    <w:p w14:paraId="2A8B8411" w14:textId="2F7201B1" w:rsidR="003A7E2C" w:rsidRPr="004E7547" w:rsidRDefault="003A7E2C" w:rsidP="004E7547">
      <w:pPr>
        <w:spacing w:line="276" w:lineRule="auto"/>
        <w:rPr>
          <w:rFonts w:asciiTheme="majorHAnsi" w:eastAsia="Calibri Light" w:hAnsiTheme="majorHAnsi" w:cstheme="majorBidi"/>
          <w:sz w:val="23"/>
          <w:szCs w:val="23"/>
          <w:lang w:val="en-GB"/>
        </w:rPr>
      </w:pPr>
      <w:r w:rsidRPr="004E7547">
        <w:rPr>
          <w:rFonts w:asciiTheme="majorHAnsi" w:eastAsia="Calibri Light" w:hAnsiTheme="majorHAnsi" w:cstheme="majorBidi"/>
          <w:sz w:val="23"/>
          <w:szCs w:val="23"/>
          <w:lang w:val="en-GB"/>
        </w:rPr>
        <w:t xml:space="preserve">During </w:t>
      </w:r>
      <w:r w:rsidR="001B7DDF">
        <w:rPr>
          <w:rFonts w:asciiTheme="majorHAnsi" w:eastAsia="Calibri Light" w:hAnsiTheme="majorHAnsi" w:cstheme="majorBidi"/>
          <w:sz w:val="23"/>
          <w:szCs w:val="23"/>
          <w:lang w:val="en-GB"/>
        </w:rPr>
        <w:t xml:space="preserve">our </w:t>
      </w:r>
      <w:r w:rsidR="0043412A">
        <w:rPr>
          <w:rFonts w:asciiTheme="majorHAnsi" w:eastAsia="Calibri Light" w:hAnsiTheme="majorHAnsi" w:cstheme="majorBidi"/>
          <w:sz w:val="23"/>
          <w:szCs w:val="23"/>
          <w:lang w:val="en-GB"/>
        </w:rPr>
        <w:t>consultations</w:t>
      </w:r>
      <w:r w:rsidRPr="004E7547">
        <w:rPr>
          <w:rFonts w:asciiTheme="majorHAnsi" w:eastAsia="Calibri Light" w:hAnsiTheme="majorHAnsi" w:cstheme="majorBidi"/>
          <w:sz w:val="23"/>
          <w:szCs w:val="23"/>
          <w:lang w:val="en-GB"/>
        </w:rPr>
        <w:t xml:space="preserve">, informants were asked to </w:t>
      </w:r>
      <w:r w:rsidR="00293B9B">
        <w:rPr>
          <w:rFonts w:asciiTheme="majorHAnsi" w:eastAsia="Calibri Light" w:hAnsiTheme="majorHAnsi" w:cstheme="majorBidi"/>
          <w:sz w:val="23"/>
          <w:szCs w:val="23"/>
          <w:lang w:val="en-GB"/>
        </w:rPr>
        <w:t>consider t</w:t>
      </w:r>
      <w:r w:rsidR="008511F7">
        <w:rPr>
          <w:rFonts w:asciiTheme="majorHAnsi" w:eastAsia="Calibri Light" w:hAnsiTheme="majorHAnsi" w:cstheme="majorBidi"/>
          <w:sz w:val="23"/>
          <w:szCs w:val="23"/>
          <w:lang w:val="en-GB"/>
        </w:rPr>
        <w:t xml:space="preserve">he community’s needs, </w:t>
      </w:r>
      <w:r w:rsidRPr="004E7547">
        <w:rPr>
          <w:rFonts w:asciiTheme="majorHAnsi" w:eastAsia="Calibri Light" w:hAnsiTheme="majorHAnsi" w:cstheme="majorBidi"/>
          <w:sz w:val="23"/>
          <w:szCs w:val="23"/>
          <w:lang w:val="en-GB"/>
        </w:rPr>
        <w:t>nominate</w:t>
      </w:r>
      <w:r w:rsidR="00F00E3D" w:rsidRPr="004E7547">
        <w:rPr>
          <w:rFonts w:asciiTheme="majorHAnsi" w:eastAsia="Calibri Light" w:hAnsiTheme="majorHAnsi" w:cstheme="majorBidi"/>
          <w:sz w:val="23"/>
          <w:szCs w:val="23"/>
          <w:lang w:val="en-GB"/>
        </w:rPr>
        <w:t xml:space="preserve"> </w:t>
      </w:r>
      <w:r w:rsidR="004E7547" w:rsidRPr="004E7547">
        <w:rPr>
          <w:rFonts w:asciiTheme="majorHAnsi" w:eastAsia="Calibri Light" w:hAnsiTheme="majorHAnsi" w:cstheme="majorBidi"/>
          <w:sz w:val="23"/>
          <w:szCs w:val="23"/>
          <w:lang w:val="en-GB"/>
        </w:rPr>
        <w:t xml:space="preserve">their main </w:t>
      </w:r>
      <w:r w:rsidR="00F00E3D" w:rsidRPr="004E7547">
        <w:rPr>
          <w:rFonts w:asciiTheme="majorHAnsi" w:eastAsia="Calibri Light" w:hAnsiTheme="majorHAnsi" w:cstheme="majorBidi"/>
          <w:sz w:val="23"/>
          <w:szCs w:val="23"/>
          <w:lang w:val="en-GB"/>
        </w:rPr>
        <w:t>priorities</w:t>
      </w:r>
      <w:r w:rsidR="00761ADD" w:rsidRPr="004E7547">
        <w:rPr>
          <w:rFonts w:asciiTheme="majorHAnsi" w:eastAsia="Calibri Light" w:hAnsiTheme="majorHAnsi" w:cstheme="majorBidi"/>
          <w:sz w:val="23"/>
          <w:szCs w:val="23"/>
          <w:lang w:val="en-GB"/>
        </w:rPr>
        <w:t xml:space="preserve"> for</w:t>
      </w:r>
      <w:r w:rsidR="00F00E3D" w:rsidRPr="004E7547">
        <w:rPr>
          <w:rFonts w:asciiTheme="majorHAnsi" w:eastAsia="Calibri Light" w:hAnsiTheme="majorHAnsi" w:cstheme="majorBidi"/>
          <w:sz w:val="23"/>
          <w:szCs w:val="23"/>
          <w:lang w:val="en-GB"/>
        </w:rPr>
        <w:t xml:space="preserve"> action</w:t>
      </w:r>
      <w:r w:rsidR="00F45E37" w:rsidRPr="004E7547">
        <w:rPr>
          <w:rFonts w:asciiTheme="majorHAnsi" w:eastAsia="Calibri Light" w:hAnsiTheme="majorHAnsi" w:cstheme="majorBidi"/>
          <w:sz w:val="23"/>
          <w:szCs w:val="23"/>
          <w:lang w:val="en-GB"/>
        </w:rPr>
        <w:t>,</w:t>
      </w:r>
      <w:r w:rsidRPr="004E7547">
        <w:rPr>
          <w:rFonts w:asciiTheme="majorHAnsi" w:eastAsia="Calibri Light" w:hAnsiTheme="majorHAnsi" w:cstheme="majorBidi"/>
          <w:sz w:val="23"/>
          <w:szCs w:val="23"/>
          <w:lang w:val="en-GB"/>
        </w:rPr>
        <w:t xml:space="preserve"> and suggest specific initiatives </w:t>
      </w:r>
      <w:r w:rsidR="00761ADD" w:rsidRPr="004E7547">
        <w:rPr>
          <w:rFonts w:asciiTheme="majorHAnsi" w:eastAsia="Calibri Light" w:hAnsiTheme="majorHAnsi" w:cstheme="majorBidi"/>
          <w:sz w:val="23"/>
          <w:szCs w:val="23"/>
          <w:lang w:val="en-GB"/>
        </w:rPr>
        <w:t>t</w:t>
      </w:r>
      <w:r w:rsidR="00F45E37" w:rsidRPr="004E7547">
        <w:rPr>
          <w:rFonts w:asciiTheme="majorHAnsi" w:eastAsia="Calibri Light" w:hAnsiTheme="majorHAnsi" w:cstheme="majorBidi"/>
          <w:sz w:val="23"/>
          <w:szCs w:val="23"/>
          <w:lang w:val="en-GB"/>
        </w:rPr>
        <w:t>o</w:t>
      </w:r>
      <w:r w:rsidR="00761ADD" w:rsidRPr="004E7547">
        <w:rPr>
          <w:rFonts w:asciiTheme="majorHAnsi" w:eastAsia="Calibri Light" w:hAnsiTheme="majorHAnsi" w:cstheme="majorBidi"/>
          <w:sz w:val="23"/>
          <w:szCs w:val="23"/>
          <w:lang w:val="en-GB"/>
        </w:rPr>
        <w:t xml:space="preserve"> improve the lives of residents in</w:t>
      </w:r>
      <w:r w:rsidRPr="004E7547">
        <w:rPr>
          <w:rFonts w:asciiTheme="majorHAnsi" w:eastAsia="Calibri Light" w:hAnsiTheme="majorHAnsi" w:cstheme="majorBidi"/>
          <w:sz w:val="23"/>
          <w:szCs w:val="23"/>
          <w:lang w:val="en-GB"/>
        </w:rPr>
        <w:t xml:space="preserve"> Corio, Norlane, and Whittington</w:t>
      </w:r>
      <w:r w:rsidR="00F00E3D" w:rsidRPr="004E7547">
        <w:rPr>
          <w:rFonts w:asciiTheme="majorHAnsi" w:eastAsia="Calibri Light" w:hAnsiTheme="majorHAnsi" w:cstheme="majorBidi"/>
          <w:sz w:val="23"/>
          <w:szCs w:val="23"/>
          <w:lang w:val="en-GB"/>
        </w:rPr>
        <w:t>.</w:t>
      </w:r>
      <w:r w:rsidRPr="004E7547">
        <w:rPr>
          <w:rFonts w:asciiTheme="majorHAnsi" w:eastAsia="Calibri Light" w:hAnsiTheme="majorHAnsi" w:cstheme="majorBidi"/>
          <w:sz w:val="23"/>
          <w:szCs w:val="23"/>
          <w:lang w:val="en-GB"/>
        </w:rPr>
        <w:t xml:space="preserve"> </w:t>
      </w:r>
      <w:r w:rsidR="00761ADD" w:rsidRPr="004E7547">
        <w:rPr>
          <w:rFonts w:asciiTheme="majorHAnsi" w:eastAsia="Calibri Light" w:hAnsiTheme="majorHAnsi" w:cstheme="majorBidi"/>
          <w:sz w:val="23"/>
          <w:szCs w:val="23"/>
          <w:lang w:val="en-GB"/>
        </w:rPr>
        <w:t xml:space="preserve">Key findings are summarised below. </w:t>
      </w:r>
      <w:r w:rsidR="00753A9E">
        <w:rPr>
          <w:rFonts w:asciiTheme="majorHAnsi" w:eastAsia="Calibri Light" w:hAnsiTheme="majorHAnsi" w:cstheme="majorBidi"/>
          <w:sz w:val="23"/>
          <w:szCs w:val="23"/>
          <w:lang w:val="en-GB"/>
        </w:rPr>
        <w:t>O</w:t>
      </w:r>
      <w:r w:rsidR="00F45E37" w:rsidRPr="004E7547">
        <w:rPr>
          <w:rFonts w:asciiTheme="majorHAnsi" w:eastAsia="Calibri Light" w:hAnsiTheme="majorHAnsi" w:cstheme="majorBidi"/>
          <w:sz w:val="23"/>
          <w:szCs w:val="23"/>
          <w:lang w:val="en-GB"/>
        </w:rPr>
        <w:t xml:space="preserve">ur analysis </w:t>
      </w:r>
      <w:r w:rsidRPr="004E7547">
        <w:rPr>
          <w:rFonts w:asciiTheme="majorHAnsi" w:eastAsia="Calibri Light" w:hAnsiTheme="majorHAnsi" w:cstheme="majorBidi"/>
          <w:sz w:val="23"/>
          <w:szCs w:val="23"/>
          <w:lang w:val="en-GB"/>
        </w:rPr>
        <w:t xml:space="preserve">drew on the full spectrum of interview data, responses to two specific </w:t>
      </w:r>
      <w:r w:rsidR="00761ADD" w:rsidRPr="004E7547">
        <w:rPr>
          <w:rFonts w:asciiTheme="majorHAnsi" w:eastAsia="Calibri Light" w:hAnsiTheme="majorHAnsi" w:cstheme="majorBidi"/>
          <w:sz w:val="23"/>
          <w:szCs w:val="23"/>
          <w:lang w:val="en-GB"/>
        </w:rPr>
        <w:t xml:space="preserve">interview </w:t>
      </w:r>
      <w:r w:rsidRPr="004E7547">
        <w:rPr>
          <w:rFonts w:asciiTheme="majorHAnsi" w:eastAsia="Calibri Light" w:hAnsiTheme="majorHAnsi" w:cstheme="majorBidi"/>
          <w:sz w:val="23"/>
          <w:szCs w:val="23"/>
          <w:lang w:val="en-GB"/>
        </w:rPr>
        <w:t xml:space="preserve">questions, and </w:t>
      </w:r>
      <w:r w:rsidR="008511F7">
        <w:rPr>
          <w:rFonts w:asciiTheme="majorHAnsi" w:eastAsia="Calibri Light" w:hAnsiTheme="majorHAnsi" w:cstheme="majorBidi"/>
          <w:sz w:val="23"/>
          <w:szCs w:val="23"/>
          <w:lang w:val="en-GB"/>
        </w:rPr>
        <w:t>some additional</w:t>
      </w:r>
      <w:r w:rsidRPr="004E7547">
        <w:rPr>
          <w:rFonts w:asciiTheme="majorHAnsi" w:eastAsia="Calibri Light" w:hAnsiTheme="majorHAnsi" w:cstheme="majorBidi"/>
          <w:sz w:val="23"/>
          <w:szCs w:val="23"/>
          <w:lang w:val="en-GB"/>
        </w:rPr>
        <w:t xml:space="preserve"> input gleaned from the focus group. The two primary </w:t>
      </w:r>
      <w:r w:rsidR="004A574F">
        <w:rPr>
          <w:rFonts w:asciiTheme="majorHAnsi" w:eastAsia="Calibri Light" w:hAnsiTheme="majorHAnsi" w:cstheme="majorBidi"/>
          <w:sz w:val="23"/>
          <w:szCs w:val="23"/>
          <w:lang w:val="en-GB"/>
        </w:rPr>
        <w:t xml:space="preserve">research </w:t>
      </w:r>
      <w:r w:rsidRPr="004E7547">
        <w:rPr>
          <w:rFonts w:asciiTheme="majorHAnsi" w:eastAsia="Calibri Light" w:hAnsiTheme="majorHAnsi" w:cstheme="majorBidi"/>
          <w:sz w:val="23"/>
          <w:szCs w:val="23"/>
          <w:lang w:val="en-GB"/>
        </w:rPr>
        <w:t>questions were:</w:t>
      </w:r>
    </w:p>
    <w:p w14:paraId="45564CFA" w14:textId="5CA53557" w:rsidR="003A7E2C" w:rsidRPr="004E7547" w:rsidRDefault="003A7E2C" w:rsidP="004E7547">
      <w:pPr>
        <w:pStyle w:val="ListParagraph"/>
        <w:numPr>
          <w:ilvl w:val="0"/>
          <w:numId w:val="71"/>
        </w:numPr>
        <w:spacing w:line="276" w:lineRule="auto"/>
        <w:rPr>
          <w:rFonts w:asciiTheme="majorHAnsi" w:eastAsia="Calibri Light" w:hAnsiTheme="majorHAnsi" w:cstheme="majorBidi"/>
          <w:sz w:val="23"/>
          <w:szCs w:val="23"/>
          <w:lang w:val="en-GB"/>
        </w:rPr>
      </w:pPr>
      <w:r w:rsidRPr="004E7547">
        <w:rPr>
          <w:rFonts w:asciiTheme="majorHAnsi" w:eastAsia="Calibri Light" w:hAnsiTheme="majorHAnsi" w:cstheme="majorBidi"/>
          <w:sz w:val="23"/>
          <w:szCs w:val="23"/>
          <w:lang w:val="en-GB"/>
        </w:rPr>
        <w:t>What initiative(s) would you like to see introduced to enhance quality of life for residents in Corio/Norlane/Whittington?</w:t>
      </w:r>
    </w:p>
    <w:p w14:paraId="2A80CED5" w14:textId="25A30BA2" w:rsidR="003A7E2C" w:rsidRPr="004E7547" w:rsidRDefault="003A7E2C" w:rsidP="004E7547">
      <w:pPr>
        <w:pStyle w:val="ListParagraph"/>
        <w:numPr>
          <w:ilvl w:val="0"/>
          <w:numId w:val="71"/>
        </w:numPr>
        <w:spacing w:line="276" w:lineRule="auto"/>
        <w:rPr>
          <w:rFonts w:asciiTheme="majorHAnsi" w:eastAsia="Calibri Light" w:hAnsiTheme="majorHAnsi" w:cstheme="majorBidi"/>
          <w:sz w:val="23"/>
          <w:szCs w:val="23"/>
          <w:lang w:val="en-GB"/>
        </w:rPr>
      </w:pPr>
      <w:r w:rsidRPr="004E7547">
        <w:rPr>
          <w:rFonts w:asciiTheme="majorHAnsi" w:eastAsia="Calibri Light" w:hAnsiTheme="majorHAnsi" w:cstheme="majorBidi"/>
          <w:sz w:val="23"/>
          <w:szCs w:val="23"/>
          <w:lang w:val="en-GB"/>
        </w:rPr>
        <w:t>What would be your top three priorities for action in your local area?</w:t>
      </w:r>
    </w:p>
    <w:p w14:paraId="7F265DD7" w14:textId="6B8BEFCF" w:rsidR="00F00E3D" w:rsidRPr="004E7547" w:rsidRDefault="00296021" w:rsidP="004E7547">
      <w:pPr>
        <w:spacing w:line="276" w:lineRule="auto"/>
        <w:rPr>
          <w:rFonts w:asciiTheme="majorHAnsi" w:eastAsia="Calibri Light" w:hAnsiTheme="majorHAnsi" w:cstheme="majorBidi"/>
          <w:sz w:val="23"/>
          <w:szCs w:val="23"/>
          <w:lang w:val="en-GB"/>
        </w:rPr>
      </w:pPr>
      <w:r>
        <w:rPr>
          <w:rFonts w:asciiTheme="majorHAnsi" w:eastAsia="Calibri Light" w:hAnsiTheme="majorHAnsi" w:cstheme="majorBidi"/>
          <w:sz w:val="23"/>
          <w:szCs w:val="23"/>
          <w:lang w:val="en-GB"/>
        </w:rPr>
        <w:t>Findings are</w:t>
      </w:r>
      <w:r w:rsidR="009010B7">
        <w:rPr>
          <w:rFonts w:asciiTheme="majorHAnsi" w:eastAsia="Calibri Light" w:hAnsiTheme="majorHAnsi" w:cstheme="majorBidi"/>
          <w:sz w:val="23"/>
          <w:szCs w:val="23"/>
          <w:lang w:val="en-GB"/>
        </w:rPr>
        <w:t xml:space="preserve"> </w:t>
      </w:r>
      <w:r>
        <w:rPr>
          <w:rFonts w:asciiTheme="majorHAnsi" w:eastAsia="Calibri Light" w:hAnsiTheme="majorHAnsi" w:cstheme="majorBidi"/>
          <w:sz w:val="23"/>
          <w:szCs w:val="23"/>
          <w:lang w:val="en-GB"/>
        </w:rPr>
        <w:t>outlined</w:t>
      </w:r>
      <w:r w:rsidR="001E4F82">
        <w:rPr>
          <w:rFonts w:asciiTheme="majorHAnsi" w:eastAsia="Calibri Light" w:hAnsiTheme="majorHAnsi" w:cstheme="majorBidi"/>
          <w:sz w:val="23"/>
          <w:szCs w:val="23"/>
          <w:lang w:val="en-GB"/>
        </w:rPr>
        <w:t xml:space="preserve"> in detail</w:t>
      </w:r>
      <w:r>
        <w:rPr>
          <w:rFonts w:asciiTheme="majorHAnsi" w:eastAsia="Calibri Light" w:hAnsiTheme="majorHAnsi" w:cstheme="majorBidi"/>
          <w:sz w:val="23"/>
          <w:szCs w:val="23"/>
          <w:lang w:val="en-GB"/>
        </w:rPr>
        <w:t xml:space="preserve"> </w:t>
      </w:r>
      <w:r w:rsidR="008D6570">
        <w:rPr>
          <w:rFonts w:asciiTheme="majorHAnsi" w:eastAsia="Calibri Light" w:hAnsiTheme="majorHAnsi" w:cstheme="majorBidi"/>
          <w:sz w:val="23"/>
          <w:szCs w:val="23"/>
          <w:lang w:val="en-GB"/>
        </w:rPr>
        <w:t>below</w:t>
      </w:r>
      <w:r w:rsidR="00A911A0" w:rsidRPr="00A911A0">
        <w:rPr>
          <w:rFonts w:asciiTheme="majorHAnsi" w:eastAsia="Calibri Light" w:hAnsiTheme="majorHAnsi" w:cstheme="majorBidi"/>
          <w:sz w:val="23"/>
          <w:szCs w:val="23"/>
          <w:lang w:val="en-GB"/>
        </w:rPr>
        <w:t>,</w:t>
      </w:r>
      <w:r w:rsidR="009010B7">
        <w:rPr>
          <w:rFonts w:asciiTheme="majorHAnsi" w:eastAsia="Calibri Light" w:hAnsiTheme="majorHAnsi" w:cstheme="majorBidi"/>
          <w:sz w:val="23"/>
          <w:szCs w:val="23"/>
          <w:lang w:val="en-GB"/>
        </w:rPr>
        <w:t xml:space="preserve"> </w:t>
      </w:r>
      <w:r>
        <w:rPr>
          <w:rFonts w:asciiTheme="majorHAnsi" w:eastAsia="Calibri Light" w:hAnsiTheme="majorHAnsi" w:cstheme="majorBidi"/>
          <w:sz w:val="23"/>
          <w:szCs w:val="23"/>
          <w:lang w:val="en-GB"/>
        </w:rPr>
        <w:t xml:space="preserve">grouped into themes, and </w:t>
      </w:r>
      <w:r w:rsidR="00F00E3D" w:rsidRPr="00A911A0">
        <w:rPr>
          <w:rFonts w:asciiTheme="majorHAnsi" w:eastAsia="Calibri Light" w:hAnsiTheme="majorHAnsi" w:cstheme="majorBidi"/>
          <w:sz w:val="23"/>
          <w:szCs w:val="23"/>
          <w:lang w:val="en-GB"/>
        </w:rPr>
        <w:t xml:space="preserve">noting the </w:t>
      </w:r>
      <w:r w:rsidR="003A7E2C" w:rsidRPr="00A911A0">
        <w:rPr>
          <w:rFonts w:asciiTheme="majorHAnsi" w:eastAsia="Calibri Light" w:hAnsiTheme="majorHAnsi" w:cstheme="majorBidi"/>
          <w:sz w:val="23"/>
          <w:szCs w:val="23"/>
          <w:lang w:val="en-GB"/>
        </w:rPr>
        <w:t>m</w:t>
      </w:r>
      <w:r w:rsidR="000F3AC5">
        <w:rPr>
          <w:rFonts w:asciiTheme="majorHAnsi" w:eastAsia="Calibri Light" w:hAnsiTheme="majorHAnsi" w:cstheme="majorBidi"/>
          <w:sz w:val="23"/>
          <w:szCs w:val="23"/>
          <w:lang w:val="en-GB"/>
        </w:rPr>
        <w:t>ost relevant</w:t>
      </w:r>
      <w:r w:rsidR="00F00E3D" w:rsidRPr="00A911A0">
        <w:rPr>
          <w:rFonts w:asciiTheme="majorHAnsi" w:eastAsia="Calibri Light" w:hAnsiTheme="majorHAnsi" w:cstheme="majorBidi"/>
          <w:sz w:val="23"/>
          <w:szCs w:val="23"/>
          <w:lang w:val="en-GB"/>
        </w:rPr>
        <w:t xml:space="preserve"> </w:t>
      </w:r>
      <w:r w:rsidR="00D95573">
        <w:rPr>
          <w:rFonts w:asciiTheme="majorHAnsi" w:eastAsia="Calibri Light" w:hAnsiTheme="majorHAnsi" w:cstheme="majorBidi"/>
          <w:sz w:val="23"/>
          <w:szCs w:val="23"/>
          <w:lang w:val="en-GB"/>
        </w:rPr>
        <w:t>Practice Domain</w:t>
      </w:r>
      <w:r w:rsidR="00F00E3D" w:rsidRPr="00A911A0">
        <w:rPr>
          <w:rFonts w:asciiTheme="majorHAnsi" w:eastAsia="Calibri Light" w:hAnsiTheme="majorHAnsi" w:cstheme="majorBidi"/>
          <w:sz w:val="23"/>
          <w:szCs w:val="23"/>
          <w:lang w:val="en-GB"/>
        </w:rPr>
        <w:t xml:space="preserve">s. </w:t>
      </w:r>
      <w:r w:rsidR="00F45E37" w:rsidRPr="00A911A0">
        <w:rPr>
          <w:rFonts w:asciiTheme="majorHAnsi" w:eastAsia="Calibri Light" w:hAnsiTheme="majorHAnsi" w:cstheme="majorBidi"/>
          <w:sz w:val="23"/>
          <w:szCs w:val="23"/>
          <w:lang w:val="en-GB"/>
        </w:rPr>
        <w:t>Our informants emphasise</w:t>
      </w:r>
      <w:r w:rsidR="00925757" w:rsidRPr="00A911A0">
        <w:rPr>
          <w:rFonts w:asciiTheme="majorHAnsi" w:eastAsia="Calibri Light" w:hAnsiTheme="majorHAnsi" w:cstheme="majorBidi"/>
          <w:sz w:val="23"/>
          <w:szCs w:val="23"/>
          <w:lang w:val="en-GB"/>
        </w:rPr>
        <w:t>d</w:t>
      </w:r>
      <w:r w:rsidR="00F45E37" w:rsidRPr="00A911A0">
        <w:rPr>
          <w:rFonts w:asciiTheme="majorHAnsi" w:eastAsia="Calibri Light" w:hAnsiTheme="majorHAnsi" w:cstheme="majorBidi"/>
          <w:sz w:val="23"/>
          <w:szCs w:val="23"/>
          <w:lang w:val="en-GB"/>
        </w:rPr>
        <w:t xml:space="preserve"> that if future initiative</w:t>
      </w:r>
      <w:r w:rsidR="00A911A0" w:rsidRPr="00A911A0">
        <w:rPr>
          <w:rFonts w:asciiTheme="majorHAnsi" w:eastAsia="Calibri Light" w:hAnsiTheme="majorHAnsi" w:cstheme="majorBidi"/>
          <w:sz w:val="23"/>
          <w:szCs w:val="23"/>
          <w:lang w:val="en-GB"/>
        </w:rPr>
        <w:t>s</w:t>
      </w:r>
      <w:r w:rsidR="00F45E37" w:rsidRPr="00A911A0">
        <w:rPr>
          <w:rFonts w:asciiTheme="majorHAnsi" w:eastAsia="Calibri Light" w:hAnsiTheme="majorHAnsi" w:cstheme="majorBidi"/>
          <w:sz w:val="23"/>
          <w:szCs w:val="23"/>
          <w:lang w:val="en-GB"/>
        </w:rPr>
        <w:t xml:space="preserve"> are to be effective, they </w:t>
      </w:r>
      <w:r w:rsidR="003A7E2C" w:rsidRPr="00A911A0">
        <w:rPr>
          <w:rFonts w:asciiTheme="majorHAnsi" w:eastAsia="Calibri Light" w:hAnsiTheme="majorHAnsi" w:cstheme="majorBidi"/>
          <w:sz w:val="23"/>
          <w:szCs w:val="23"/>
          <w:lang w:val="en-GB"/>
        </w:rPr>
        <w:t>must be underpinned</w:t>
      </w:r>
      <w:r w:rsidR="00F00E3D" w:rsidRPr="00A911A0">
        <w:rPr>
          <w:rFonts w:asciiTheme="majorHAnsi" w:eastAsia="Calibri Light" w:hAnsiTheme="majorHAnsi" w:cstheme="majorBidi"/>
          <w:sz w:val="23"/>
          <w:szCs w:val="23"/>
          <w:lang w:val="en-GB"/>
        </w:rPr>
        <w:t xml:space="preserve"> by the approach outlined</w:t>
      </w:r>
      <w:r w:rsidR="00F00E3D" w:rsidRPr="00925757">
        <w:rPr>
          <w:rFonts w:asciiTheme="majorHAnsi" w:eastAsia="Calibri Light" w:hAnsiTheme="majorHAnsi" w:cstheme="majorBidi"/>
          <w:sz w:val="23"/>
          <w:szCs w:val="23"/>
          <w:lang w:val="en-GB"/>
        </w:rPr>
        <w:t xml:space="preserve"> </w:t>
      </w:r>
      <w:r w:rsidR="003A7E2C" w:rsidRPr="00925757">
        <w:rPr>
          <w:rFonts w:asciiTheme="majorHAnsi" w:eastAsia="Calibri Light" w:hAnsiTheme="majorHAnsi" w:cstheme="majorBidi"/>
          <w:sz w:val="23"/>
          <w:szCs w:val="23"/>
          <w:lang w:val="en-GB"/>
        </w:rPr>
        <w:t>above (</w:t>
      </w:r>
      <w:r w:rsidR="00925757" w:rsidRPr="00925757">
        <w:rPr>
          <w:rFonts w:asciiTheme="majorHAnsi" w:eastAsia="Calibri Light" w:hAnsiTheme="majorHAnsi" w:cstheme="majorBidi"/>
          <w:sz w:val="23"/>
          <w:szCs w:val="23"/>
          <w:lang w:val="en-GB"/>
        </w:rPr>
        <w:t>see Section 8.4</w:t>
      </w:r>
      <w:r w:rsidR="00AD2DA5">
        <w:rPr>
          <w:rFonts w:asciiTheme="majorHAnsi" w:eastAsia="Calibri Light" w:hAnsiTheme="majorHAnsi" w:cstheme="majorBidi"/>
          <w:sz w:val="23"/>
          <w:szCs w:val="23"/>
          <w:lang w:val="en-GB"/>
        </w:rPr>
        <w:t>:</w:t>
      </w:r>
      <w:r w:rsidR="00925757" w:rsidRPr="00925757">
        <w:rPr>
          <w:rFonts w:asciiTheme="majorHAnsi" w:eastAsia="Calibri Light" w:hAnsiTheme="majorHAnsi" w:cstheme="majorBidi"/>
          <w:sz w:val="23"/>
          <w:szCs w:val="23"/>
          <w:lang w:val="en-GB"/>
        </w:rPr>
        <w:t xml:space="preserve"> Working with Local Communities: What is the Best Approach?</w:t>
      </w:r>
      <w:r w:rsidR="003A7E2C" w:rsidRPr="00925757">
        <w:rPr>
          <w:rFonts w:asciiTheme="majorHAnsi" w:eastAsia="Calibri Light" w:hAnsiTheme="majorHAnsi" w:cstheme="majorBidi"/>
          <w:sz w:val="23"/>
          <w:szCs w:val="23"/>
          <w:lang w:val="en-GB"/>
        </w:rPr>
        <w:t>)</w:t>
      </w:r>
      <w:r w:rsidR="00621FD1">
        <w:rPr>
          <w:rFonts w:asciiTheme="majorHAnsi" w:eastAsia="Calibri Light" w:hAnsiTheme="majorHAnsi" w:cstheme="majorBidi"/>
          <w:sz w:val="23"/>
          <w:szCs w:val="23"/>
          <w:lang w:val="en-GB"/>
        </w:rPr>
        <w:t xml:space="preserve"> </w:t>
      </w:r>
      <w:r w:rsidR="00F156FF">
        <w:rPr>
          <w:rFonts w:asciiTheme="majorHAnsi" w:eastAsia="Calibri Light" w:hAnsiTheme="majorHAnsi" w:cstheme="majorBidi"/>
          <w:sz w:val="23"/>
          <w:szCs w:val="23"/>
          <w:lang w:val="en-GB"/>
        </w:rPr>
        <w:t>In brief, the main over-arching themes</w:t>
      </w:r>
      <w:r w:rsidR="004D4851">
        <w:rPr>
          <w:rFonts w:asciiTheme="majorHAnsi" w:eastAsia="Calibri Light" w:hAnsiTheme="majorHAnsi" w:cstheme="majorBidi"/>
          <w:sz w:val="23"/>
          <w:szCs w:val="23"/>
          <w:lang w:val="en-GB"/>
        </w:rPr>
        <w:t xml:space="preserve"> </w:t>
      </w:r>
      <w:r w:rsidR="000F3AC5">
        <w:rPr>
          <w:rFonts w:asciiTheme="majorHAnsi" w:eastAsia="Calibri Light" w:hAnsiTheme="majorHAnsi" w:cstheme="majorBidi"/>
          <w:sz w:val="23"/>
          <w:szCs w:val="23"/>
          <w:lang w:val="en-GB"/>
        </w:rPr>
        <w:t xml:space="preserve">around community needs </w:t>
      </w:r>
      <w:r w:rsidR="00F156FF">
        <w:rPr>
          <w:rFonts w:asciiTheme="majorHAnsi" w:eastAsia="Calibri Light" w:hAnsiTheme="majorHAnsi" w:cstheme="majorBidi"/>
          <w:sz w:val="23"/>
          <w:szCs w:val="23"/>
          <w:lang w:val="en-GB"/>
        </w:rPr>
        <w:t>we</w:t>
      </w:r>
      <w:r w:rsidR="00D878CA">
        <w:rPr>
          <w:rFonts w:asciiTheme="majorHAnsi" w:eastAsia="Calibri Light" w:hAnsiTheme="majorHAnsi" w:cstheme="majorBidi"/>
          <w:sz w:val="23"/>
          <w:szCs w:val="23"/>
          <w:lang w:val="en-GB"/>
        </w:rPr>
        <w:t>re</w:t>
      </w:r>
      <w:r w:rsidR="00621FD1">
        <w:rPr>
          <w:rFonts w:asciiTheme="majorHAnsi" w:eastAsia="Calibri Light" w:hAnsiTheme="majorHAnsi" w:cstheme="majorBidi"/>
          <w:sz w:val="23"/>
          <w:szCs w:val="23"/>
          <w:lang w:val="en-GB"/>
        </w:rPr>
        <w:t>:</w:t>
      </w:r>
    </w:p>
    <w:p w14:paraId="58A8D92C" w14:textId="247F4F73" w:rsidR="00E3740B" w:rsidRPr="00E3740B" w:rsidRDefault="00E3740B" w:rsidP="00E3740B">
      <w:pPr>
        <w:pStyle w:val="ListParagraph"/>
        <w:numPr>
          <w:ilvl w:val="0"/>
          <w:numId w:val="96"/>
        </w:numPr>
        <w:spacing w:after="0"/>
        <w:rPr>
          <w:rFonts w:asciiTheme="majorHAnsi" w:hAnsiTheme="majorHAnsi"/>
          <w:sz w:val="23"/>
          <w:szCs w:val="23"/>
        </w:rPr>
      </w:pPr>
      <w:r>
        <w:rPr>
          <w:rFonts w:asciiTheme="majorHAnsi" w:hAnsiTheme="majorHAnsi"/>
          <w:sz w:val="23"/>
          <w:szCs w:val="23"/>
        </w:rPr>
        <w:t>Increase s</w:t>
      </w:r>
      <w:r w:rsidRPr="00E3740B">
        <w:rPr>
          <w:rFonts w:asciiTheme="majorHAnsi" w:hAnsiTheme="majorHAnsi"/>
          <w:sz w:val="23"/>
          <w:szCs w:val="23"/>
        </w:rPr>
        <w:t>ocial connection</w:t>
      </w:r>
    </w:p>
    <w:p w14:paraId="60A0628C" w14:textId="6414CAFB" w:rsidR="00E3740B" w:rsidRPr="00E3740B" w:rsidRDefault="00E3740B" w:rsidP="00E3740B">
      <w:pPr>
        <w:pStyle w:val="ListParagraph"/>
        <w:numPr>
          <w:ilvl w:val="0"/>
          <w:numId w:val="96"/>
        </w:numPr>
        <w:spacing w:after="0"/>
        <w:rPr>
          <w:rFonts w:asciiTheme="majorHAnsi" w:hAnsiTheme="majorHAnsi"/>
          <w:sz w:val="23"/>
          <w:szCs w:val="23"/>
        </w:rPr>
      </w:pPr>
      <w:r w:rsidRPr="00E3740B">
        <w:rPr>
          <w:rFonts w:asciiTheme="majorHAnsi" w:hAnsiTheme="majorHAnsi"/>
          <w:sz w:val="23"/>
          <w:szCs w:val="23"/>
        </w:rPr>
        <w:t>Improve access to services</w:t>
      </w:r>
    </w:p>
    <w:p w14:paraId="03F16E7A" w14:textId="52D89002" w:rsidR="00E3740B" w:rsidRPr="00E3740B" w:rsidRDefault="00E3740B" w:rsidP="00E3740B">
      <w:pPr>
        <w:pStyle w:val="ListParagraph"/>
        <w:numPr>
          <w:ilvl w:val="0"/>
          <w:numId w:val="96"/>
        </w:numPr>
        <w:spacing w:after="0"/>
        <w:rPr>
          <w:rFonts w:asciiTheme="majorHAnsi" w:hAnsiTheme="majorHAnsi"/>
          <w:sz w:val="23"/>
          <w:szCs w:val="23"/>
        </w:rPr>
      </w:pPr>
      <w:r w:rsidRPr="00E3740B">
        <w:rPr>
          <w:rFonts w:asciiTheme="majorHAnsi" w:hAnsiTheme="majorHAnsi"/>
          <w:sz w:val="23"/>
          <w:szCs w:val="23"/>
        </w:rPr>
        <w:t>More safe and affordable housing</w:t>
      </w:r>
    </w:p>
    <w:p w14:paraId="6027FB16" w14:textId="3F5F7BF0" w:rsidR="00E3740B" w:rsidRPr="00E3740B" w:rsidRDefault="00E3740B" w:rsidP="00E3740B">
      <w:pPr>
        <w:pStyle w:val="ListParagraph"/>
        <w:numPr>
          <w:ilvl w:val="0"/>
          <w:numId w:val="96"/>
        </w:numPr>
        <w:spacing w:after="0"/>
        <w:rPr>
          <w:rFonts w:asciiTheme="majorHAnsi" w:hAnsiTheme="majorHAnsi"/>
          <w:sz w:val="23"/>
          <w:szCs w:val="23"/>
        </w:rPr>
      </w:pPr>
      <w:r w:rsidRPr="00E3740B">
        <w:rPr>
          <w:rFonts w:asciiTheme="majorHAnsi" w:hAnsiTheme="majorHAnsi"/>
          <w:sz w:val="23"/>
          <w:szCs w:val="23"/>
        </w:rPr>
        <w:t>Better public spaces and places</w:t>
      </w:r>
    </w:p>
    <w:p w14:paraId="78D860BE" w14:textId="418DFCD3" w:rsidR="00E3740B" w:rsidRPr="00E3740B" w:rsidRDefault="00E3740B" w:rsidP="00E3740B">
      <w:pPr>
        <w:pStyle w:val="ListParagraph"/>
        <w:numPr>
          <w:ilvl w:val="0"/>
          <w:numId w:val="96"/>
        </w:numPr>
        <w:spacing w:after="0"/>
        <w:rPr>
          <w:rFonts w:asciiTheme="majorHAnsi" w:hAnsiTheme="majorHAnsi"/>
          <w:sz w:val="23"/>
          <w:szCs w:val="23"/>
        </w:rPr>
      </w:pPr>
      <w:r w:rsidRPr="00E3740B">
        <w:rPr>
          <w:rFonts w:asciiTheme="majorHAnsi" w:hAnsiTheme="majorHAnsi"/>
          <w:sz w:val="23"/>
          <w:szCs w:val="23"/>
        </w:rPr>
        <w:t>Increase mental health, wellbeing</w:t>
      </w:r>
      <w:r w:rsidR="001A5A16">
        <w:rPr>
          <w:rFonts w:asciiTheme="majorHAnsi" w:hAnsiTheme="majorHAnsi"/>
          <w:sz w:val="23"/>
          <w:szCs w:val="23"/>
        </w:rPr>
        <w:t>, and</w:t>
      </w:r>
      <w:r w:rsidRPr="00E3740B">
        <w:rPr>
          <w:rFonts w:asciiTheme="majorHAnsi" w:hAnsiTheme="majorHAnsi"/>
          <w:sz w:val="23"/>
          <w:szCs w:val="23"/>
        </w:rPr>
        <w:t xml:space="preserve"> drug and alcohol support</w:t>
      </w:r>
    </w:p>
    <w:p w14:paraId="20044C7D" w14:textId="7E3BA9F7" w:rsidR="00E3740B" w:rsidRPr="00E3740B" w:rsidRDefault="00E3740B" w:rsidP="00E3740B">
      <w:pPr>
        <w:pStyle w:val="ListParagraph"/>
        <w:numPr>
          <w:ilvl w:val="0"/>
          <w:numId w:val="96"/>
        </w:numPr>
        <w:spacing w:after="0"/>
        <w:rPr>
          <w:rFonts w:asciiTheme="majorHAnsi" w:hAnsiTheme="majorHAnsi"/>
          <w:sz w:val="23"/>
          <w:szCs w:val="23"/>
        </w:rPr>
      </w:pPr>
      <w:r w:rsidRPr="00E3740B">
        <w:rPr>
          <w:rFonts w:asciiTheme="majorHAnsi" w:hAnsiTheme="majorHAnsi"/>
          <w:sz w:val="23"/>
          <w:szCs w:val="23"/>
        </w:rPr>
        <w:t>More arts-based programs, creative spaces, and community events</w:t>
      </w:r>
      <w:r w:rsidRPr="00E3740B">
        <w:rPr>
          <w:rFonts w:asciiTheme="majorHAnsi" w:hAnsiTheme="majorHAnsi"/>
          <w:sz w:val="23"/>
          <w:szCs w:val="23"/>
        </w:rPr>
        <w:tab/>
      </w:r>
    </w:p>
    <w:p w14:paraId="5FF72DCD" w14:textId="25C9C8D6" w:rsidR="00E3740B" w:rsidRPr="00E3740B" w:rsidRDefault="00E3740B" w:rsidP="00E3740B">
      <w:pPr>
        <w:pStyle w:val="ListParagraph"/>
        <w:numPr>
          <w:ilvl w:val="0"/>
          <w:numId w:val="96"/>
        </w:numPr>
        <w:spacing w:after="0"/>
        <w:rPr>
          <w:rFonts w:asciiTheme="majorHAnsi" w:hAnsiTheme="majorHAnsi"/>
          <w:sz w:val="23"/>
          <w:szCs w:val="23"/>
        </w:rPr>
      </w:pPr>
      <w:r w:rsidRPr="00E3740B">
        <w:rPr>
          <w:rFonts w:asciiTheme="majorHAnsi" w:hAnsiTheme="majorHAnsi"/>
          <w:sz w:val="23"/>
          <w:szCs w:val="23"/>
        </w:rPr>
        <w:t>Tackle place-based stigma</w:t>
      </w:r>
    </w:p>
    <w:p w14:paraId="28A4FBDF" w14:textId="7D701AB5" w:rsidR="00E3740B" w:rsidRPr="00E3740B" w:rsidRDefault="00E3740B" w:rsidP="00E3740B">
      <w:pPr>
        <w:pStyle w:val="ListParagraph"/>
        <w:numPr>
          <w:ilvl w:val="0"/>
          <w:numId w:val="96"/>
        </w:numPr>
        <w:spacing w:after="0"/>
        <w:rPr>
          <w:rFonts w:asciiTheme="majorHAnsi" w:hAnsiTheme="majorHAnsi"/>
          <w:sz w:val="23"/>
          <w:szCs w:val="23"/>
        </w:rPr>
      </w:pPr>
      <w:r w:rsidRPr="00E3740B">
        <w:rPr>
          <w:rFonts w:asciiTheme="majorHAnsi" w:hAnsiTheme="majorHAnsi"/>
          <w:sz w:val="23"/>
          <w:szCs w:val="23"/>
        </w:rPr>
        <w:t>Address digital exclusion</w:t>
      </w:r>
    </w:p>
    <w:p w14:paraId="5C5F7127" w14:textId="144A4DAE" w:rsidR="00E3740B" w:rsidRPr="00E3740B" w:rsidRDefault="00E3740B" w:rsidP="00E3740B">
      <w:pPr>
        <w:pStyle w:val="ListParagraph"/>
        <w:numPr>
          <w:ilvl w:val="0"/>
          <w:numId w:val="96"/>
        </w:numPr>
        <w:spacing w:after="0"/>
        <w:rPr>
          <w:rFonts w:asciiTheme="majorHAnsi" w:hAnsiTheme="majorHAnsi"/>
          <w:sz w:val="23"/>
          <w:szCs w:val="23"/>
        </w:rPr>
      </w:pPr>
      <w:r w:rsidRPr="00E3740B">
        <w:rPr>
          <w:rFonts w:asciiTheme="majorHAnsi" w:hAnsiTheme="majorHAnsi"/>
          <w:sz w:val="23"/>
          <w:szCs w:val="23"/>
        </w:rPr>
        <w:t xml:space="preserve">More local training and employment opportunities, and </w:t>
      </w:r>
    </w:p>
    <w:p w14:paraId="5484C886" w14:textId="792C0DF0" w:rsidR="00E3740B" w:rsidRPr="00E3740B" w:rsidRDefault="00E3740B" w:rsidP="00E3740B">
      <w:pPr>
        <w:pStyle w:val="ListParagraph"/>
        <w:numPr>
          <w:ilvl w:val="0"/>
          <w:numId w:val="96"/>
        </w:numPr>
        <w:spacing w:after="0"/>
        <w:rPr>
          <w:rFonts w:asciiTheme="majorHAnsi" w:hAnsiTheme="majorHAnsi"/>
          <w:sz w:val="23"/>
          <w:szCs w:val="23"/>
        </w:rPr>
      </w:pPr>
      <w:r w:rsidRPr="00E3740B">
        <w:rPr>
          <w:rFonts w:asciiTheme="majorHAnsi" w:hAnsiTheme="majorHAnsi"/>
          <w:sz w:val="23"/>
          <w:szCs w:val="23"/>
        </w:rPr>
        <w:t>Improve Food Security.</w:t>
      </w:r>
      <w:r w:rsidRPr="00E3740B">
        <w:rPr>
          <w:rFonts w:asciiTheme="majorHAnsi" w:hAnsiTheme="majorHAnsi"/>
          <w:sz w:val="23"/>
          <w:szCs w:val="23"/>
        </w:rPr>
        <w:tab/>
      </w:r>
    </w:p>
    <w:p w14:paraId="6613E717" w14:textId="77777777" w:rsidR="00675523" w:rsidRPr="00675523" w:rsidRDefault="00675523" w:rsidP="00675523">
      <w:pPr>
        <w:spacing w:after="0" w:line="276" w:lineRule="auto"/>
        <w:rPr>
          <w:rFonts w:cstheme="minorHAnsi"/>
          <w:b/>
          <w:sz w:val="16"/>
          <w:szCs w:val="16"/>
        </w:rPr>
      </w:pPr>
    </w:p>
    <w:p w14:paraId="3A3124CA" w14:textId="48BF00F2" w:rsidR="00F00E3D" w:rsidRPr="003708B2" w:rsidRDefault="00E3740B" w:rsidP="004E7547">
      <w:pPr>
        <w:spacing w:line="276" w:lineRule="auto"/>
        <w:rPr>
          <w:rFonts w:cstheme="minorHAnsi"/>
          <w:b/>
          <w:color w:val="2F5496" w:themeColor="accent1" w:themeShade="BF"/>
          <w:sz w:val="25"/>
          <w:szCs w:val="25"/>
        </w:rPr>
      </w:pPr>
      <w:r>
        <w:rPr>
          <w:rFonts w:cstheme="minorHAnsi"/>
          <w:b/>
          <w:color w:val="2F5496" w:themeColor="accent1" w:themeShade="BF"/>
          <w:sz w:val="25"/>
          <w:szCs w:val="25"/>
        </w:rPr>
        <w:t xml:space="preserve">Increase </w:t>
      </w:r>
      <w:r w:rsidR="00F00E3D" w:rsidRPr="003708B2">
        <w:rPr>
          <w:rFonts w:cstheme="minorHAnsi"/>
          <w:b/>
          <w:color w:val="2F5496" w:themeColor="accent1" w:themeShade="BF"/>
          <w:sz w:val="25"/>
          <w:szCs w:val="25"/>
        </w:rPr>
        <w:t>Social Connection</w:t>
      </w:r>
    </w:p>
    <w:p w14:paraId="0A5D2058" w14:textId="10BD00B0" w:rsidR="00F00E3D" w:rsidRPr="003708B2" w:rsidRDefault="00F00E3D" w:rsidP="004E7547">
      <w:pPr>
        <w:spacing w:after="0" w:line="276" w:lineRule="auto"/>
        <w:rPr>
          <w:rFonts w:cstheme="minorHAnsi"/>
          <w:color w:val="595959" w:themeColor="text1" w:themeTint="A6"/>
          <w:sz w:val="23"/>
          <w:szCs w:val="23"/>
        </w:rPr>
      </w:pPr>
      <w:r w:rsidRPr="003708B2">
        <w:rPr>
          <w:rFonts w:eastAsia="Calibri" w:cstheme="minorHAnsi"/>
          <w:b/>
          <w:bCs/>
          <w:color w:val="595959" w:themeColor="text1" w:themeTint="A6"/>
          <w:sz w:val="23"/>
          <w:szCs w:val="23"/>
        </w:rPr>
        <w:t xml:space="preserve">Main </w:t>
      </w:r>
      <w:r w:rsidR="00D95573">
        <w:rPr>
          <w:rFonts w:eastAsia="Calibri" w:cstheme="minorHAnsi"/>
          <w:b/>
          <w:bCs/>
          <w:color w:val="595959" w:themeColor="text1" w:themeTint="A6"/>
          <w:sz w:val="23"/>
          <w:szCs w:val="23"/>
        </w:rPr>
        <w:t>Practice Domain</w:t>
      </w:r>
      <w:r w:rsidRPr="003708B2">
        <w:rPr>
          <w:rFonts w:eastAsia="Calibri" w:cstheme="minorHAnsi"/>
          <w:b/>
          <w:bCs/>
          <w:color w:val="595959" w:themeColor="text1" w:themeTint="A6"/>
          <w:sz w:val="23"/>
          <w:szCs w:val="23"/>
        </w:rPr>
        <w:t>(s):</w:t>
      </w:r>
      <w:r w:rsidR="003708B2">
        <w:rPr>
          <w:rFonts w:eastAsia="Calibri" w:cstheme="minorHAnsi"/>
          <w:b/>
          <w:bCs/>
          <w:color w:val="595959" w:themeColor="text1" w:themeTint="A6"/>
          <w:sz w:val="23"/>
          <w:szCs w:val="23"/>
        </w:rPr>
        <w:tab/>
      </w:r>
      <w:r w:rsidR="003708B2">
        <w:rPr>
          <w:rFonts w:eastAsia="Calibri" w:cstheme="minorHAnsi"/>
          <w:b/>
          <w:bCs/>
          <w:color w:val="595959" w:themeColor="text1" w:themeTint="A6"/>
          <w:sz w:val="23"/>
          <w:szCs w:val="23"/>
        </w:rPr>
        <w:tab/>
      </w:r>
      <w:r w:rsidRPr="003708B2">
        <w:rPr>
          <w:rFonts w:eastAsia="Calibri" w:cstheme="minorHAnsi"/>
          <w:b/>
          <w:bCs/>
          <w:color w:val="595959" w:themeColor="text1" w:themeTint="A6"/>
          <w:sz w:val="23"/>
          <w:szCs w:val="23"/>
        </w:rPr>
        <w:t>Health and Wellbeing</w:t>
      </w:r>
    </w:p>
    <w:p w14:paraId="31AE83F8" w14:textId="7332136B" w:rsidR="00F00E3D" w:rsidRPr="003708B2" w:rsidRDefault="00F00E3D" w:rsidP="004E7547">
      <w:pPr>
        <w:spacing w:after="0" w:line="276" w:lineRule="auto"/>
        <w:rPr>
          <w:rFonts w:eastAsia="Calibri" w:cstheme="minorHAnsi"/>
          <w:b/>
          <w:bCs/>
          <w:color w:val="595959" w:themeColor="text1" w:themeTint="A6"/>
          <w:sz w:val="23"/>
          <w:szCs w:val="23"/>
        </w:rPr>
      </w:pPr>
      <w:r w:rsidRPr="003708B2">
        <w:rPr>
          <w:rFonts w:eastAsia="Calibri" w:cstheme="minorHAnsi"/>
          <w:b/>
          <w:bCs/>
          <w:color w:val="595959" w:themeColor="text1" w:themeTint="A6"/>
          <w:sz w:val="23"/>
          <w:szCs w:val="23"/>
        </w:rPr>
        <w:t xml:space="preserve">Secondary </w:t>
      </w:r>
      <w:r w:rsidR="00D95573">
        <w:rPr>
          <w:rFonts w:eastAsia="Calibri" w:cstheme="minorHAnsi"/>
          <w:b/>
          <w:bCs/>
          <w:color w:val="595959" w:themeColor="text1" w:themeTint="A6"/>
          <w:sz w:val="23"/>
          <w:szCs w:val="23"/>
        </w:rPr>
        <w:t>Practice Domain</w:t>
      </w:r>
      <w:r w:rsidRPr="003708B2">
        <w:rPr>
          <w:rFonts w:eastAsia="Calibri" w:cstheme="minorHAnsi"/>
          <w:b/>
          <w:bCs/>
          <w:color w:val="595959" w:themeColor="text1" w:themeTint="A6"/>
          <w:sz w:val="23"/>
          <w:szCs w:val="23"/>
        </w:rPr>
        <w:t>(s):</w:t>
      </w:r>
      <w:r w:rsidR="003708B2">
        <w:rPr>
          <w:rFonts w:eastAsia="Calibri" w:cstheme="minorHAnsi"/>
          <w:b/>
          <w:bCs/>
          <w:color w:val="595959" w:themeColor="text1" w:themeTint="A6"/>
          <w:sz w:val="23"/>
          <w:szCs w:val="23"/>
        </w:rPr>
        <w:tab/>
      </w:r>
      <w:r w:rsidRPr="003708B2">
        <w:rPr>
          <w:rFonts w:eastAsia="Calibri" w:cstheme="minorHAnsi"/>
          <w:b/>
          <w:bCs/>
          <w:color w:val="595959" w:themeColor="text1" w:themeTint="A6"/>
          <w:sz w:val="23"/>
          <w:szCs w:val="23"/>
        </w:rPr>
        <w:t>Liveability</w:t>
      </w:r>
    </w:p>
    <w:p w14:paraId="16AF7AEF" w14:textId="77777777" w:rsidR="00761ADD" w:rsidRPr="004E7547" w:rsidRDefault="00761ADD" w:rsidP="004E7547">
      <w:pPr>
        <w:spacing w:after="0" w:line="276" w:lineRule="auto"/>
        <w:rPr>
          <w:rFonts w:asciiTheme="majorHAnsi" w:hAnsiTheme="majorHAnsi" w:cstheme="majorHAnsi"/>
          <w:sz w:val="16"/>
          <w:szCs w:val="16"/>
        </w:rPr>
      </w:pPr>
    </w:p>
    <w:p w14:paraId="0F099D2F" w14:textId="694FB121" w:rsidR="00F00E3D" w:rsidRPr="004E7547" w:rsidRDefault="00BB35FC" w:rsidP="004E7547">
      <w:pPr>
        <w:spacing w:line="276" w:lineRule="auto"/>
        <w:rPr>
          <w:rFonts w:asciiTheme="majorHAnsi" w:eastAsia="Times New Roman" w:hAnsiTheme="majorHAnsi" w:cstheme="majorHAnsi"/>
          <w:color w:val="000000"/>
          <w:sz w:val="23"/>
          <w:szCs w:val="23"/>
          <w:lang w:val="en-GB"/>
        </w:rPr>
      </w:pPr>
      <w:r>
        <w:rPr>
          <w:rFonts w:asciiTheme="majorHAnsi" w:hAnsiTheme="majorHAnsi" w:cstheme="majorHAnsi"/>
          <w:color w:val="000000" w:themeColor="text1"/>
          <w:sz w:val="23"/>
          <w:szCs w:val="23"/>
        </w:rPr>
        <w:t xml:space="preserve">Our informants reports that </w:t>
      </w:r>
      <w:r w:rsidR="00F00E3D" w:rsidRPr="004E7547">
        <w:rPr>
          <w:rFonts w:asciiTheme="majorHAnsi" w:hAnsiTheme="majorHAnsi" w:cstheme="majorHAnsi"/>
          <w:color w:val="000000" w:themeColor="text1"/>
          <w:sz w:val="23"/>
          <w:szCs w:val="23"/>
        </w:rPr>
        <w:t xml:space="preserve">the </w:t>
      </w:r>
      <w:r w:rsidR="00940D80" w:rsidRPr="004E7547">
        <w:rPr>
          <w:rFonts w:asciiTheme="majorHAnsi" w:hAnsiTheme="majorHAnsi" w:cstheme="majorHAnsi"/>
          <w:color w:val="000000" w:themeColor="text1"/>
          <w:sz w:val="23"/>
          <w:szCs w:val="23"/>
          <w:lang w:val="en-GB"/>
        </w:rPr>
        <w:t>COVID</w:t>
      </w:r>
      <w:r w:rsidR="00F00E3D" w:rsidRPr="004E7547">
        <w:rPr>
          <w:rFonts w:asciiTheme="majorHAnsi" w:hAnsiTheme="majorHAnsi" w:cstheme="majorHAnsi"/>
          <w:color w:val="000000" w:themeColor="text1"/>
          <w:sz w:val="23"/>
          <w:szCs w:val="23"/>
          <w:lang w:val="en-GB"/>
        </w:rPr>
        <w:t>-19 pandemic caused increased social isolation for many residents across the three localities. This was a particular issue for some groups, including people with disability, young people, older residents, people living alone, CALD communities, women, and people who are digitally excluded. For example:</w:t>
      </w:r>
      <w:r w:rsidR="00F00E3D" w:rsidRPr="004E7547">
        <w:rPr>
          <w:rFonts w:asciiTheme="majorHAnsi" w:eastAsia="Times New Roman" w:hAnsiTheme="majorHAnsi" w:cstheme="majorHAnsi"/>
          <w:color w:val="000000" w:themeColor="text1"/>
          <w:sz w:val="23"/>
          <w:szCs w:val="23"/>
          <w:lang w:val="en-GB"/>
        </w:rPr>
        <w:t xml:space="preserve"> </w:t>
      </w:r>
    </w:p>
    <w:p w14:paraId="7EDFD09D" w14:textId="77777777" w:rsidR="00F00E3D" w:rsidRPr="004E7547" w:rsidRDefault="00F00E3D" w:rsidP="004E7547">
      <w:pPr>
        <w:spacing w:line="276" w:lineRule="auto"/>
        <w:ind w:left="709"/>
        <w:rPr>
          <w:rFonts w:asciiTheme="majorHAnsi" w:hAnsiTheme="majorHAnsi" w:cstheme="majorHAnsi"/>
          <w:sz w:val="23"/>
          <w:szCs w:val="23"/>
        </w:rPr>
      </w:pPr>
      <w:r w:rsidRPr="004E7547">
        <w:rPr>
          <w:rFonts w:asciiTheme="majorHAnsi" w:hAnsiTheme="majorHAnsi" w:cstheme="majorHAnsi"/>
          <w:sz w:val="23"/>
          <w:szCs w:val="23"/>
        </w:rPr>
        <w:t>Where strong relationships already existed, and they could be maintained, they were high quality. There were great examples of people helping each other. But so many people were worried about themselves, understandably and a lot of people became more isolated. Some relationships and connections broke down. (P11)</w:t>
      </w:r>
    </w:p>
    <w:p w14:paraId="6B530E3E" w14:textId="77777777" w:rsidR="00F00E3D" w:rsidRPr="004E7547" w:rsidRDefault="00F00E3D" w:rsidP="004E7547">
      <w:pPr>
        <w:spacing w:line="276" w:lineRule="auto"/>
        <w:rPr>
          <w:rFonts w:asciiTheme="majorHAnsi" w:eastAsia="Times New Roman" w:hAnsiTheme="majorHAnsi" w:cstheme="majorHAnsi"/>
          <w:color w:val="000000"/>
          <w:sz w:val="23"/>
          <w:szCs w:val="23"/>
        </w:rPr>
      </w:pPr>
      <w:r w:rsidRPr="004E7547">
        <w:rPr>
          <w:rFonts w:asciiTheme="majorHAnsi" w:eastAsia="Times New Roman" w:hAnsiTheme="majorHAnsi" w:cstheme="majorHAnsi"/>
          <w:color w:val="000000"/>
          <w:sz w:val="23"/>
          <w:szCs w:val="23"/>
        </w:rPr>
        <w:t>Some informants noted that there was still a hesitancy in the community about re-engaging and the need to support them to re-connect:</w:t>
      </w:r>
    </w:p>
    <w:p w14:paraId="6C56606C" w14:textId="77D809AC" w:rsidR="00F00E3D" w:rsidRPr="004E7547" w:rsidRDefault="00F00E3D" w:rsidP="004E7547">
      <w:pPr>
        <w:spacing w:line="276" w:lineRule="auto"/>
        <w:ind w:left="720"/>
        <w:rPr>
          <w:rFonts w:asciiTheme="majorHAnsi" w:eastAsia="Times New Roman" w:hAnsiTheme="majorHAnsi" w:cstheme="majorHAnsi"/>
          <w:color w:val="000000"/>
          <w:sz w:val="23"/>
          <w:szCs w:val="23"/>
        </w:rPr>
      </w:pPr>
      <w:r w:rsidRPr="004E7547">
        <w:rPr>
          <w:rFonts w:asciiTheme="majorHAnsi" w:eastAsia="Times New Roman" w:hAnsiTheme="majorHAnsi" w:cstheme="majorHAnsi"/>
          <w:color w:val="000000" w:themeColor="text1"/>
          <w:sz w:val="23"/>
          <w:szCs w:val="23"/>
        </w:rPr>
        <w:t xml:space="preserve">Social isolation increased exponentially. People are still struggling to reconnect, especially those with already high anxiety. The problem is that many have lost the will or ability to re-engage. </w:t>
      </w:r>
      <w:r w:rsidRPr="004E7547">
        <w:rPr>
          <w:rFonts w:asciiTheme="majorHAnsi" w:eastAsia="Times New Roman" w:hAnsiTheme="majorHAnsi" w:cstheme="majorHAnsi"/>
          <w:color w:val="000000" w:themeColor="text1"/>
          <w:sz w:val="23"/>
          <w:szCs w:val="23"/>
        </w:rPr>
        <w:lastRenderedPageBreak/>
        <w:t>Don’t even want to re-engage. It has to start with service outreach – people have to be found and met on their own terms P8</w:t>
      </w:r>
      <w:r w:rsidR="0012231B">
        <w:rPr>
          <w:rFonts w:asciiTheme="majorHAnsi" w:eastAsia="Times New Roman" w:hAnsiTheme="majorHAnsi" w:cstheme="majorHAnsi"/>
          <w:color w:val="000000" w:themeColor="text1"/>
          <w:sz w:val="23"/>
          <w:szCs w:val="23"/>
        </w:rPr>
        <w:t>.</w:t>
      </w:r>
    </w:p>
    <w:p w14:paraId="48BE11D6" w14:textId="725B0880" w:rsidR="00F00E3D" w:rsidRPr="004E7547" w:rsidRDefault="00F00E3D" w:rsidP="004E7547">
      <w:pPr>
        <w:spacing w:line="276" w:lineRule="auto"/>
        <w:rPr>
          <w:rFonts w:asciiTheme="majorHAnsi" w:eastAsia="Times New Roman" w:hAnsiTheme="majorHAnsi" w:cstheme="majorHAnsi"/>
          <w:color w:val="000000"/>
          <w:sz w:val="23"/>
          <w:szCs w:val="23"/>
        </w:rPr>
      </w:pPr>
      <w:r w:rsidRPr="004E7547">
        <w:rPr>
          <w:rFonts w:asciiTheme="majorHAnsi" w:eastAsia="Times New Roman" w:hAnsiTheme="majorHAnsi" w:cstheme="majorHAnsi"/>
          <w:color w:val="000000"/>
          <w:sz w:val="23"/>
          <w:szCs w:val="23"/>
        </w:rPr>
        <w:t xml:space="preserve">Conversely, others noted </w:t>
      </w:r>
      <w:r w:rsidR="001E3E2B">
        <w:rPr>
          <w:rFonts w:asciiTheme="majorHAnsi" w:eastAsia="Times New Roman" w:hAnsiTheme="majorHAnsi" w:cstheme="majorHAnsi"/>
          <w:color w:val="000000"/>
          <w:sz w:val="23"/>
          <w:szCs w:val="23"/>
        </w:rPr>
        <w:t>increased</w:t>
      </w:r>
      <w:r w:rsidRPr="004E7547">
        <w:rPr>
          <w:rFonts w:asciiTheme="majorHAnsi" w:eastAsia="Times New Roman" w:hAnsiTheme="majorHAnsi" w:cstheme="majorHAnsi"/>
          <w:color w:val="000000"/>
          <w:sz w:val="23"/>
          <w:szCs w:val="23"/>
        </w:rPr>
        <w:t xml:space="preserve"> engagement with their services compared with pre-</w:t>
      </w:r>
      <w:r w:rsidR="00940D80" w:rsidRPr="004E7547">
        <w:rPr>
          <w:rFonts w:asciiTheme="majorHAnsi" w:eastAsia="Times New Roman" w:hAnsiTheme="majorHAnsi" w:cstheme="majorHAnsi"/>
          <w:color w:val="000000"/>
          <w:sz w:val="23"/>
          <w:szCs w:val="23"/>
        </w:rPr>
        <w:t>COVID</w:t>
      </w:r>
      <w:r w:rsidRPr="004E7547">
        <w:rPr>
          <w:rFonts w:asciiTheme="majorHAnsi" w:eastAsia="Times New Roman" w:hAnsiTheme="majorHAnsi" w:cstheme="majorHAnsi"/>
          <w:color w:val="000000"/>
          <w:sz w:val="23"/>
          <w:szCs w:val="23"/>
        </w:rPr>
        <w:t xml:space="preserve"> times:</w:t>
      </w:r>
    </w:p>
    <w:p w14:paraId="3EBF094C" w14:textId="5768FAB1" w:rsidR="00F00E3D" w:rsidRPr="004E7547" w:rsidRDefault="00F00E3D" w:rsidP="0012231B">
      <w:pPr>
        <w:spacing w:line="276" w:lineRule="auto"/>
        <w:ind w:left="720"/>
        <w:rPr>
          <w:rFonts w:asciiTheme="majorHAnsi" w:eastAsia="Times New Roman" w:hAnsiTheme="majorHAnsi" w:cstheme="majorHAnsi"/>
          <w:color w:val="000000"/>
          <w:sz w:val="23"/>
          <w:szCs w:val="23"/>
        </w:rPr>
      </w:pPr>
      <w:r w:rsidRPr="004E7547">
        <w:rPr>
          <w:rFonts w:asciiTheme="majorHAnsi" w:eastAsia="Times New Roman" w:hAnsiTheme="majorHAnsi" w:cstheme="majorHAnsi"/>
          <w:color w:val="000000"/>
          <w:sz w:val="23"/>
          <w:szCs w:val="23"/>
        </w:rPr>
        <w:t xml:space="preserve">Post lockdown people are more engaged as the social interaction that decreased is now increasing again. We did have </w:t>
      </w:r>
      <w:r w:rsidR="0012231B">
        <w:rPr>
          <w:rFonts w:asciiTheme="majorHAnsi" w:eastAsia="Times New Roman" w:hAnsiTheme="majorHAnsi" w:cstheme="majorHAnsi"/>
          <w:color w:val="000000"/>
          <w:sz w:val="23"/>
          <w:szCs w:val="23"/>
        </w:rPr>
        <w:t>four</w:t>
      </w:r>
      <w:r w:rsidRPr="004E7547">
        <w:rPr>
          <w:rFonts w:asciiTheme="majorHAnsi" w:eastAsia="Times New Roman" w:hAnsiTheme="majorHAnsi" w:cstheme="majorHAnsi"/>
          <w:color w:val="000000"/>
          <w:sz w:val="23"/>
          <w:szCs w:val="23"/>
        </w:rPr>
        <w:t xml:space="preserve"> in our ukulele class before lockdown and now we have 16 as people are craving connection (P6)</w:t>
      </w:r>
      <w:r w:rsidR="0012231B">
        <w:rPr>
          <w:rFonts w:asciiTheme="majorHAnsi" w:eastAsia="Times New Roman" w:hAnsiTheme="majorHAnsi" w:cstheme="majorHAnsi"/>
          <w:color w:val="000000"/>
          <w:sz w:val="23"/>
          <w:szCs w:val="23"/>
        </w:rPr>
        <w:t>.</w:t>
      </w:r>
    </w:p>
    <w:p w14:paraId="0F13792C" w14:textId="1DA1EFC8" w:rsidR="00F00E3D" w:rsidRPr="00F64F4D" w:rsidRDefault="00F00E3D" w:rsidP="004E7547">
      <w:pPr>
        <w:spacing w:line="276" w:lineRule="auto"/>
        <w:rPr>
          <w:rFonts w:asciiTheme="majorHAnsi" w:hAnsiTheme="majorHAnsi" w:cstheme="majorBidi"/>
          <w:color w:val="000000"/>
          <w:sz w:val="23"/>
          <w:szCs w:val="23"/>
        </w:rPr>
      </w:pPr>
      <w:r w:rsidRPr="004E7547">
        <w:rPr>
          <w:rFonts w:asciiTheme="majorHAnsi" w:hAnsiTheme="majorHAnsi" w:cstheme="majorBidi"/>
          <w:color w:val="000000" w:themeColor="text1"/>
          <w:sz w:val="23"/>
          <w:szCs w:val="23"/>
          <w:lang w:val="en-GB"/>
        </w:rPr>
        <w:t>Overall, however, there was agreement for a need to “</w:t>
      </w:r>
      <w:r w:rsidRPr="004E7547">
        <w:rPr>
          <w:rFonts w:asciiTheme="majorHAnsi" w:eastAsia="Times New Roman" w:hAnsiTheme="majorHAnsi" w:cstheme="majorBidi"/>
          <w:color w:val="000000" w:themeColor="text1"/>
          <w:sz w:val="23"/>
          <w:szCs w:val="23"/>
        </w:rPr>
        <w:t xml:space="preserve">put on events to pull people together.” (P1). Informants particularly </w:t>
      </w:r>
      <w:r w:rsidRPr="004E7547">
        <w:rPr>
          <w:rFonts w:asciiTheme="majorHAnsi" w:hAnsiTheme="majorHAnsi" w:cstheme="majorBidi"/>
          <w:color w:val="000000" w:themeColor="text1"/>
          <w:sz w:val="23"/>
          <w:szCs w:val="23"/>
          <w:lang w:val="en-GB"/>
        </w:rPr>
        <w:t xml:space="preserve">identified the need for </w:t>
      </w:r>
      <w:r w:rsidRPr="004E7547">
        <w:rPr>
          <w:rFonts w:asciiTheme="majorHAnsi" w:hAnsiTheme="majorHAnsi" w:cstheme="majorBidi"/>
          <w:color w:val="000000" w:themeColor="text1"/>
          <w:sz w:val="23"/>
          <w:szCs w:val="23"/>
        </w:rPr>
        <w:t xml:space="preserve">programs to combat isolation and strengthen social connections, initiatives to help address shrunken social networks, and projects to help remedy the </w:t>
      </w:r>
      <w:r w:rsidRPr="004E7547">
        <w:rPr>
          <w:rFonts w:asciiTheme="majorHAnsi" w:hAnsiTheme="majorHAnsi" w:cstheme="majorBidi"/>
          <w:color w:val="000000" w:themeColor="text1"/>
          <w:sz w:val="23"/>
          <w:szCs w:val="23"/>
          <w:lang w:val="en-GB"/>
        </w:rPr>
        <w:t>loss of opportunities to engage in spontaneous or unstructured community activities and connection.</w:t>
      </w:r>
      <w:r w:rsidRPr="004E7547">
        <w:rPr>
          <w:rFonts w:asciiTheme="majorHAnsi" w:hAnsiTheme="majorHAnsi" w:cstheme="majorBidi"/>
          <w:color w:val="000000" w:themeColor="text1"/>
          <w:sz w:val="23"/>
          <w:szCs w:val="23"/>
        </w:rPr>
        <w:t xml:space="preserve"> Suggestions included </w:t>
      </w:r>
      <w:r w:rsidRPr="004E7547">
        <w:rPr>
          <w:rFonts w:asciiTheme="majorHAnsi" w:hAnsiTheme="majorHAnsi" w:cstheme="majorBidi"/>
          <w:color w:val="000000" w:themeColor="text1"/>
          <w:sz w:val="23"/>
          <w:szCs w:val="23"/>
          <w:lang w:val="en-GB"/>
        </w:rPr>
        <w:t xml:space="preserve">walking clubs, coffee clubs, life coaches, outreach programs, school breakfasts/lunches and </w:t>
      </w:r>
      <w:r w:rsidRPr="004E7547">
        <w:rPr>
          <w:rFonts w:asciiTheme="majorHAnsi" w:hAnsiTheme="majorHAnsi" w:cstheme="majorBidi"/>
          <w:color w:val="000000" w:themeColor="text1"/>
          <w:sz w:val="23"/>
          <w:szCs w:val="23"/>
        </w:rPr>
        <w:t xml:space="preserve">community events. </w:t>
      </w:r>
      <w:r w:rsidRPr="004E7547">
        <w:rPr>
          <w:rFonts w:asciiTheme="majorHAnsi" w:hAnsiTheme="majorHAnsi" w:cstheme="majorHAnsi"/>
          <w:color w:val="000000"/>
          <w:sz w:val="23"/>
          <w:szCs w:val="23"/>
        </w:rPr>
        <w:t xml:space="preserve">There was also the need to </w:t>
      </w:r>
      <w:r w:rsidRPr="004E7547">
        <w:rPr>
          <w:rFonts w:asciiTheme="majorHAnsi" w:hAnsiTheme="majorHAnsi" w:cstheme="majorHAnsi"/>
          <w:color w:val="000000"/>
          <w:sz w:val="23"/>
          <w:szCs w:val="23"/>
          <w:lang w:val="en-GB"/>
        </w:rPr>
        <w:t>create spaces for groups who do</w:t>
      </w:r>
      <w:r w:rsidR="0012231B">
        <w:rPr>
          <w:rFonts w:asciiTheme="majorHAnsi" w:hAnsiTheme="majorHAnsi" w:cstheme="majorHAnsi"/>
          <w:color w:val="000000"/>
          <w:sz w:val="23"/>
          <w:szCs w:val="23"/>
          <w:lang w:val="en-GB"/>
        </w:rPr>
        <w:t xml:space="preserve"> no</w:t>
      </w:r>
      <w:r w:rsidRPr="004E7547">
        <w:rPr>
          <w:rFonts w:asciiTheme="majorHAnsi" w:hAnsiTheme="majorHAnsi" w:cstheme="majorHAnsi"/>
          <w:color w:val="000000"/>
          <w:sz w:val="23"/>
          <w:szCs w:val="23"/>
          <w:lang w:val="en-GB"/>
        </w:rPr>
        <w:t>t have one. For example</w:t>
      </w:r>
      <w:r w:rsidR="0012231B">
        <w:rPr>
          <w:rFonts w:asciiTheme="majorHAnsi" w:hAnsiTheme="majorHAnsi" w:cstheme="majorHAnsi"/>
          <w:color w:val="000000"/>
          <w:sz w:val="23"/>
          <w:szCs w:val="23"/>
          <w:lang w:val="en-GB"/>
        </w:rPr>
        <w:t>:</w:t>
      </w:r>
    </w:p>
    <w:p w14:paraId="791C3525" w14:textId="668C5C25" w:rsidR="00F00E3D" w:rsidRPr="004E7547" w:rsidRDefault="00F00E3D" w:rsidP="004E7547">
      <w:pPr>
        <w:spacing w:line="276" w:lineRule="auto"/>
        <w:ind w:left="720"/>
        <w:rPr>
          <w:rFonts w:asciiTheme="majorHAnsi" w:hAnsiTheme="majorHAnsi" w:cstheme="majorHAnsi"/>
          <w:color w:val="000000"/>
          <w:sz w:val="23"/>
          <w:szCs w:val="23"/>
          <w:lang w:val="en-GB"/>
        </w:rPr>
      </w:pPr>
      <w:r w:rsidRPr="004E7547">
        <w:rPr>
          <w:rFonts w:asciiTheme="majorHAnsi" w:hAnsiTheme="majorHAnsi" w:cstheme="majorHAnsi"/>
          <w:color w:val="000000" w:themeColor="text1"/>
          <w:sz w:val="23"/>
          <w:szCs w:val="23"/>
          <w:lang w:val="en-GB"/>
        </w:rPr>
        <w:t>How to connect the previously unconnected and voiceless</w:t>
      </w:r>
      <w:r w:rsidR="00F64F4D">
        <w:rPr>
          <w:rFonts w:asciiTheme="majorHAnsi" w:hAnsiTheme="majorHAnsi" w:cstheme="majorHAnsi"/>
          <w:color w:val="000000" w:themeColor="text1"/>
          <w:sz w:val="23"/>
          <w:szCs w:val="23"/>
          <w:lang w:val="en-GB"/>
        </w:rPr>
        <w:t>?</w:t>
      </w:r>
      <w:r w:rsidRPr="004E7547">
        <w:rPr>
          <w:rFonts w:asciiTheme="majorHAnsi" w:hAnsiTheme="majorHAnsi" w:cstheme="majorHAnsi"/>
          <w:color w:val="000000" w:themeColor="text1"/>
          <w:sz w:val="23"/>
          <w:szCs w:val="23"/>
          <w:lang w:val="en-GB"/>
        </w:rPr>
        <w:t xml:space="preserve"> </w:t>
      </w:r>
      <w:r w:rsidR="00F64F4D">
        <w:rPr>
          <w:rFonts w:asciiTheme="majorHAnsi" w:hAnsiTheme="majorHAnsi" w:cstheme="majorHAnsi"/>
          <w:color w:val="000000" w:themeColor="text1"/>
          <w:sz w:val="23"/>
          <w:szCs w:val="23"/>
          <w:lang w:val="en-GB"/>
        </w:rPr>
        <w:t>For example,</w:t>
      </w:r>
      <w:r w:rsidRPr="004E7547">
        <w:rPr>
          <w:rFonts w:asciiTheme="majorHAnsi" w:hAnsiTheme="majorHAnsi" w:cstheme="majorHAnsi"/>
          <w:color w:val="000000" w:themeColor="text1"/>
          <w:sz w:val="23"/>
          <w:szCs w:val="23"/>
          <w:lang w:val="en-GB"/>
        </w:rPr>
        <w:t xml:space="preserve"> local Muslims do not have a place, </w:t>
      </w:r>
      <w:r w:rsidR="0012231B">
        <w:rPr>
          <w:rFonts w:asciiTheme="majorHAnsi" w:hAnsiTheme="majorHAnsi" w:cstheme="majorHAnsi"/>
          <w:color w:val="000000" w:themeColor="text1"/>
          <w:sz w:val="23"/>
          <w:szCs w:val="23"/>
          <w:lang w:val="en-GB"/>
        </w:rPr>
        <w:t xml:space="preserve">they </w:t>
      </w:r>
      <w:r w:rsidRPr="004E7547">
        <w:rPr>
          <w:rFonts w:asciiTheme="majorHAnsi" w:hAnsiTheme="majorHAnsi" w:cstheme="majorHAnsi"/>
          <w:color w:val="000000" w:themeColor="text1"/>
          <w:sz w:val="23"/>
          <w:szCs w:val="23"/>
          <w:lang w:val="en-GB"/>
        </w:rPr>
        <w:t xml:space="preserve">have to go to Dandenong or across Geelong. </w:t>
      </w:r>
      <w:r w:rsidR="0012231B">
        <w:rPr>
          <w:rFonts w:asciiTheme="majorHAnsi" w:hAnsiTheme="majorHAnsi" w:cstheme="majorHAnsi"/>
          <w:color w:val="000000" w:themeColor="text1"/>
          <w:sz w:val="23"/>
          <w:szCs w:val="23"/>
          <w:lang w:val="en-GB"/>
        </w:rPr>
        <w:t>[There is a] n</w:t>
      </w:r>
      <w:r w:rsidRPr="004E7547">
        <w:rPr>
          <w:rFonts w:asciiTheme="majorHAnsi" w:hAnsiTheme="majorHAnsi" w:cstheme="majorHAnsi"/>
          <w:color w:val="000000" w:themeColor="text1"/>
          <w:sz w:val="23"/>
          <w:szCs w:val="23"/>
          <w:lang w:val="en-GB"/>
        </w:rPr>
        <w:t xml:space="preserve">eed to sponsor this and other groups that don’t have a home. Sports clubs used to do </w:t>
      </w:r>
      <w:r w:rsidR="0012231B">
        <w:rPr>
          <w:rFonts w:asciiTheme="majorHAnsi" w:hAnsiTheme="majorHAnsi" w:cstheme="majorHAnsi"/>
          <w:color w:val="000000" w:themeColor="text1"/>
          <w:sz w:val="23"/>
          <w:szCs w:val="23"/>
          <w:lang w:val="en-GB"/>
        </w:rPr>
        <w:t xml:space="preserve">this </w:t>
      </w:r>
      <w:r w:rsidRPr="004E7547">
        <w:rPr>
          <w:rFonts w:asciiTheme="majorHAnsi" w:hAnsiTheme="majorHAnsi" w:cstheme="majorHAnsi"/>
          <w:color w:val="000000" w:themeColor="text1"/>
          <w:sz w:val="23"/>
          <w:szCs w:val="23"/>
          <w:lang w:val="en-GB"/>
        </w:rPr>
        <w:t>but not everyone is into sport these days</w:t>
      </w:r>
      <w:r w:rsidR="0012231B">
        <w:rPr>
          <w:rFonts w:asciiTheme="majorHAnsi" w:hAnsiTheme="majorHAnsi" w:cstheme="majorHAnsi"/>
          <w:color w:val="000000" w:themeColor="text1"/>
          <w:sz w:val="23"/>
          <w:szCs w:val="23"/>
          <w:lang w:val="en-GB"/>
        </w:rPr>
        <w:t xml:space="preserve"> (P3)</w:t>
      </w:r>
      <w:r w:rsidRPr="004E7547">
        <w:rPr>
          <w:rFonts w:asciiTheme="majorHAnsi" w:hAnsiTheme="majorHAnsi" w:cstheme="majorHAnsi"/>
          <w:color w:val="000000" w:themeColor="text1"/>
          <w:sz w:val="23"/>
          <w:szCs w:val="23"/>
          <w:lang w:val="en-GB"/>
        </w:rPr>
        <w:t>.</w:t>
      </w:r>
    </w:p>
    <w:p w14:paraId="4A2FB411" w14:textId="7537E7A7" w:rsidR="00F00E3D" w:rsidRPr="004E7547" w:rsidRDefault="00F00E3D" w:rsidP="004E7547">
      <w:pPr>
        <w:spacing w:line="276" w:lineRule="auto"/>
        <w:rPr>
          <w:rFonts w:asciiTheme="majorHAnsi" w:hAnsiTheme="majorHAnsi" w:cstheme="majorBidi"/>
          <w:color w:val="000000" w:themeColor="text1"/>
          <w:sz w:val="23"/>
          <w:szCs w:val="23"/>
          <w:lang w:val="en-GB"/>
        </w:rPr>
      </w:pPr>
      <w:r w:rsidRPr="004E7547">
        <w:rPr>
          <w:rFonts w:asciiTheme="majorHAnsi" w:hAnsiTheme="majorHAnsi" w:cstheme="majorBidi"/>
          <w:color w:val="000000" w:themeColor="text1"/>
          <w:sz w:val="23"/>
          <w:szCs w:val="23"/>
          <w:lang w:val="en-GB"/>
        </w:rPr>
        <w:t xml:space="preserve">As outlined below, respondents also suggested holding community cultural/arts events to address place stigma, increase social connection and community cohesion, and mobilise local talent (music, cooking, arts, Indigenous culture). </w:t>
      </w:r>
      <w:r w:rsidR="00BB35FC">
        <w:rPr>
          <w:rFonts w:asciiTheme="majorHAnsi" w:hAnsiTheme="majorHAnsi" w:cstheme="majorBidi"/>
          <w:color w:val="000000" w:themeColor="text1"/>
          <w:sz w:val="23"/>
          <w:szCs w:val="23"/>
          <w:lang w:val="en-GB"/>
        </w:rPr>
        <w:t>T</w:t>
      </w:r>
      <w:r w:rsidRPr="004E7547">
        <w:rPr>
          <w:rFonts w:asciiTheme="majorHAnsi" w:hAnsiTheme="majorHAnsi" w:cstheme="majorBidi"/>
          <w:color w:val="000000" w:themeColor="text1"/>
          <w:sz w:val="23"/>
          <w:szCs w:val="23"/>
          <w:lang w:val="en-GB"/>
        </w:rPr>
        <w:t>here is an overlap between the need for effective social connection initiatives and the identified need for more public gathering places that are welcoming, inclusive, and safe.</w:t>
      </w:r>
    </w:p>
    <w:p w14:paraId="231BD21C" w14:textId="0CBBDD26" w:rsidR="00F00E3D" w:rsidRPr="008F5294" w:rsidRDefault="00F00E3D" w:rsidP="004E7547">
      <w:pPr>
        <w:spacing w:line="276" w:lineRule="auto"/>
        <w:rPr>
          <w:rFonts w:eastAsiaTheme="majorEastAsia" w:cstheme="minorHAnsi"/>
          <w:b/>
          <w:bCs/>
          <w:color w:val="2F5496" w:themeColor="accent1" w:themeShade="BF"/>
          <w:sz w:val="25"/>
          <w:szCs w:val="25"/>
        </w:rPr>
      </w:pPr>
      <w:r w:rsidRPr="008F5294">
        <w:rPr>
          <w:rFonts w:eastAsiaTheme="majorEastAsia" w:cstheme="minorHAnsi"/>
          <w:b/>
          <w:bCs/>
          <w:color w:val="2F5496" w:themeColor="accent1" w:themeShade="BF"/>
          <w:sz w:val="25"/>
          <w:szCs w:val="25"/>
        </w:rPr>
        <w:t>Improv</w:t>
      </w:r>
      <w:r w:rsidR="00F45E37" w:rsidRPr="008F5294">
        <w:rPr>
          <w:rFonts w:eastAsiaTheme="majorEastAsia" w:cstheme="minorHAnsi"/>
          <w:b/>
          <w:bCs/>
          <w:color w:val="2F5496" w:themeColor="accent1" w:themeShade="BF"/>
          <w:sz w:val="25"/>
          <w:szCs w:val="25"/>
        </w:rPr>
        <w:t>e</w:t>
      </w:r>
      <w:r w:rsidRPr="008F5294">
        <w:rPr>
          <w:rFonts w:eastAsiaTheme="majorEastAsia" w:cstheme="minorHAnsi"/>
          <w:b/>
          <w:bCs/>
          <w:color w:val="2F5496" w:themeColor="accent1" w:themeShade="BF"/>
          <w:sz w:val="25"/>
          <w:szCs w:val="25"/>
        </w:rPr>
        <w:t xml:space="preserve"> </w:t>
      </w:r>
      <w:r w:rsidR="00F45E37" w:rsidRPr="008F5294">
        <w:rPr>
          <w:rFonts w:eastAsiaTheme="majorEastAsia" w:cstheme="minorHAnsi"/>
          <w:b/>
          <w:bCs/>
          <w:color w:val="2F5496" w:themeColor="accent1" w:themeShade="BF"/>
          <w:sz w:val="25"/>
          <w:szCs w:val="25"/>
        </w:rPr>
        <w:t>A</w:t>
      </w:r>
      <w:r w:rsidRPr="008F5294">
        <w:rPr>
          <w:rFonts w:eastAsiaTheme="majorEastAsia" w:cstheme="minorHAnsi"/>
          <w:b/>
          <w:bCs/>
          <w:color w:val="2F5496" w:themeColor="accent1" w:themeShade="BF"/>
          <w:sz w:val="25"/>
          <w:szCs w:val="25"/>
        </w:rPr>
        <w:t xml:space="preserve">ccess to </w:t>
      </w:r>
      <w:r w:rsidR="00F45E37" w:rsidRPr="008F5294">
        <w:rPr>
          <w:rFonts w:eastAsiaTheme="majorEastAsia" w:cstheme="minorHAnsi"/>
          <w:b/>
          <w:bCs/>
          <w:color w:val="2F5496" w:themeColor="accent1" w:themeShade="BF"/>
          <w:sz w:val="25"/>
          <w:szCs w:val="25"/>
        </w:rPr>
        <w:t>S</w:t>
      </w:r>
      <w:r w:rsidRPr="008F5294">
        <w:rPr>
          <w:rFonts w:eastAsiaTheme="majorEastAsia" w:cstheme="minorHAnsi"/>
          <w:b/>
          <w:bCs/>
          <w:color w:val="2F5496" w:themeColor="accent1" w:themeShade="BF"/>
          <w:sz w:val="25"/>
          <w:szCs w:val="25"/>
        </w:rPr>
        <w:t>ervices</w:t>
      </w:r>
    </w:p>
    <w:p w14:paraId="7D583F28" w14:textId="58A938E9" w:rsidR="00F00E3D" w:rsidRPr="008F5294" w:rsidRDefault="00F00E3D" w:rsidP="004E7547">
      <w:pPr>
        <w:spacing w:after="0" w:line="276" w:lineRule="auto"/>
        <w:rPr>
          <w:rFonts w:cstheme="minorHAnsi"/>
          <w:color w:val="595959" w:themeColor="text1" w:themeTint="A6"/>
          <w:sz w:val="23"/>
          <w:szCs w:val="23"/>
        </w:rPr>
      </w:pPr>
      <w:r w:rsidRPr="008F5294">
        <w:rPr>
          <w:rFonts w:eastAsia="Calibri" w:cstheme="minorHAnsi"/>
          <w:b/>
          <w:bCs/>
          <w:color w:val="595959" w:themeColor="text1" w:themeTint="A6"/>
          <w:sz w:val="23"/>
          <w:szCs w:val="23"/>
        </w:rPr>
        <w:t xml:space="preserve">Main </w:t>
      </w:r>
      <w:r w:rsidR="00D95573">
        <w:rPr>
          <w:rFonts w:eastAsia="Calibri" w:cstheme="minorHAnsi"/>
          <w:b/>
          <w:bCs/>
          <w:color w:val="595959" w:themeColor="text1" w:themeTint="A6"/>
          <w:sz w:val="23"/>
          <w:szCs w:val="23"/>
        </w:rPr>
        <w:t>Practice Domain</w:t>
      </w:r>
      <w:r w:rsidRPr="008F5294">
        <w:rPr>
          <w:rFonts w:eastAsia="Calibri" w:cstheme="minorHAnsi"/>
          <w:b/>
          <w:bCs/>
          <w:color w:val="595959" w:themeColor="text1" w:themeTint="A6"/>
          <w:sz w:val="23"/>
          <w:szCs w:val="23"/>
        </w:rPr>
        <w:t>(s):</w:t>
      </w:r>
      <w:r w:rsidR="008F5294">
        <w:rPr>
          <w:rFonts w:eastAsia="Calibri" w:cstheme="minorHAnsi"/>
          <w:b/>
          <w:bCs/>
          <w:color w:val="595959" w:themeColor="text1" w:themeTint="A6"/>
          <w:sz w:val="23"/>
          <w:szCs w:val="23"/>
        </w:rPr>
        <w:tab/>
      </w:r>
      <w:r w:rsidR="008F5294">
        <w:rPr>
          <w:rFonts w:eastAsia="Calibri" w:cstheme="minorHAnsi"/>
          <w:b/>
          <w:bCs/>
          <w:color w:val="595959" w:themeColor="text1" w:themeTint="A6"/>
          <w:sz w:val="23"/>
          <w:szCs w:val="23"/>
        </w:rPr>
        <w:tab/>
      </w:r>
      <w:r w:rsidRPr="008F5294">
        <w:rPr>
          <w:rFonts w:eastAsia="Calibri" w:cstheme="minorHAnsi"/>
          <w:b/>
          <w:bCs/>
          <w:color w:val="595959" w:themeColor="text1" w:themeTint="A6"/>
          <w:sz w:val="23"/>
          <w:szCs w:val="23"/>
        </w:rPr>
        <w:t>Health and Wellbeing</w:t>
      </w:r>
    </w:p>
    <w:p w14:paraId="3D7BCA35" w14:textId="6789DE6A" w:rsidR="00F00E3D" w:rsidRPr="008F5294" w:rsidRDefault="00F00E3D" w:rsidP="004E7547">
      <w:pPr>
        <w:spacing w:after="0" w:line="276" w:lineRule="auto"/>
        <w:rPr>
          <w:rFonts w:eastAsia="Calibri" w:cstheme="minorHAnsi"/>
          <w:b/>
          <w:bCs/>
          <w:color w:val="595959" w:themeColor="text1" w:themeTint="A6"/>
          <w:sz w:val="23"/>
          <w:szCs w:val="23"/>
        </w:rPr>
      </w:pPr>
      <w:r w:rsidRPr="008F5294">
        <w:rPr>
          <w:rFonts w:eastAsia="Calibri" w:cstheme="minorHAnsi"/>
          <w:b/>
          <w:bCs/>
          <w:color w:val="595959" w:themeColor="text1" w:themeTint="A6"/>
          <w:sz w:val="23"/>
          <w:szCs w:val="23"/>
        </w:rPr>
        <w:t xml:space="preserve">Secondary </w:t>
      </w:r>
      <w:r w:rsidR="00D95573">
        <w:rPr>
          <w:rFonts w:eastAsia="Calibri" w:cstheme="minorHAnsi"/>
          <w:b/>
          <w:bCs/>
          <w:color w:val="595959" w:themeColor="text1" w:themeTint="A6"/>
          <w:sz w:val="23"/>
          <w:szCs w:val="23"/>
        </w:rPr>
        <w:t>Practice Domain</w:t>
      </w:r>
      <w:r w:rsidRPr="008F5294">
        <w:rPr>
          <w:rFonts w:eastAsia="Calibri" w:cstheme="minorHAnsi"/>
          <w:b/>
          <w:bCs/>
          <w:color w:val="595959" w:themeColor="text1" w:themeTint="A6"/>
          <w:sz w:val="23"/>
          <w:szCs w:val="23"/>
        </w:rPr>
        <w:t>(s):</w:t>
      </w:r>
      <w:r w:rsidR="008F5294">
        <w:rPr>
          <w:rFonts w:eastAsia="Calibri" w:cstheme="minorHAnsi"/>
          <w:b/>
          <w:bCs/>
          <w:color w:val="595959" w:themeColor="text1" w:themeTint="A6"/>
          <w:sz w:val="23"/>
          <w:szCs w:val="23"/>
        </w:rPr>
        <w:tab/>
      </w:r>
      <w:r w:rsidRPr="008F5294">
        <w:rPr>
          <w:rFonts w:eastAsia="Calibri" w:cstheme="minorHAnsi"/>
          <w:b/>
          <w:bCs/>
          <w:color w:val="595959" w:themeColor="text1" w:themeTint="A6"/>
          <w:sz w:val="23"/>
          <w:szCs w:val="23"/>
        </w:rPr>
        <w:t>Liveability</w:t>
      </w:r>
    </w:p>
    <w:p w14:paraId="0B31ABEE" w14:textId="77777777" w:rsidR="00761ADD" w:rsidRPr="001B7DDF" w:rsidRDefault="00761ADD" w:rsidP="004E7547">
      <w:pPr>
        <w:spacing w:after="0" w:line="276" w:lineRule="auto"/>
        <w:rPr>
          <w:rFonts w:asciiTheme="majorHAnsi" w:hAnsiTheme="majorHAnsi" w:cstheme="majorHAnsi"/>
          <w:sz w:val="16"/>
          <w:szCs w:val="16"/>
        </w:rPr>
      </w:pPr>
    </w:p>
    <w:p w14:paraId="510923A7" w14:textId="01D78C9E" w:rsidR="00F00E3D" w:rsidRPr="004E7547" w:rsidRDefault="00F00E3D" w:rsidP="004E7547">
      <w:pPr>
        <w:spacing w:line="276" w:lineRule="auto"/>
        <w:rPr>
          <w:rFonts w:asciiTheme="majorHAnsi" w:hAnsiTheme="majorHAnsi" w:cstheme="majorBidi"/>
          <w:color w:val="000000"/>
          <w:sz w:val="23"/>
          <w:szCs w:val="23"/>
        </w:rPr>
      </w:pPr>
      <w:r w:rsidRPr="004E7547">
        <w:rPr>
          <w:rFonts w:asciiTheme="majorHAnsi" w:hAnsiTheme="majorHAnsi" w:cstheme="majorBidi"/>
          <w:color w:val="000000" w:themeColor="text1"/>
          <w:sz w:val="23"/>
          <w:szCs w:val="23"/>
        </w:rPr>
        <w:t xml:space="preserve">Informants identified </w:t>
      </w:r>
      <w:r w:rsidR="008F5294">
        <w:rPr>
          <w:rFonts w:asciiTheme="majorHAnsi" w:hAnsiTheme="majorHAnsi" w:cstheme="majorBidi"/>
          <w:color w:val="000000" w:themeColor="text1"/>
          <w:sz w:val="23"/>
          <w:szCs w:val="23"/>
        </w:rPr>
        <w:t>a</w:t>
      </w:r>
      <w:r w:rsidRPr="004E7547">
        <w:rPr>
          <w:rFonts w:asciiTheme="majorHAnsi" w:hAnsiTheme="majorHAnsi" w:cstheme="majorBidi"/>
          <w:color w:val="000000" w:themeColor="text1"/>
          <w:sz w:val="23"/>
          <w:szCs w:val="23"/>
        </w:rPr>
        <w:t xml:space="preserve"> need to improve </w:t>
      </w:r>
      <w:r w:rsidR="008F5294">
        <w:rPr>
          <w:rFonts w:asciiTheme="majorHAnsi" w:hAnsiTheme="majorHAnsi" w:cstheme="majorBidi"/>
          <w:color w:val="000000" w:themeColor="text1"/>
          <w:sz w:val="23"/>
          <w:szCs w:val="23"/>
        </w:rPr>
        <w:t xml:space="preserve">residents’ </w:t>
      </w:r>
      <w:r w:rsidRPr="004E7547">
        <w:rPr>
          <w:rFonts w:asciiTheme="majorHAnsi" w:hAnsiTheme="majorHAnsi" w:cstheme="majorBidi"/>
          <w:color w:val="000000" w:themeColor="text1"/>
          <w:sz w:val="23"/>
          <w:szCs w:val="23"/>
        </w:rPr>
        <w:t>access to a range of services</w:t>
      </w:r>
      <w:r w:rsidR="00F45E37" w:rsidRPr="004E7547">
        <w:rPr>
          <w:rFonts w:asciiTheme="majorHAnsi" w:hAnsiTheme="majorHAnsi" w:cstheme="majorBidi"/>
          <w:color w:val="000000" w:themeColor="text1"/>
          <w:sz w:val="23"/>
          <w:szCs w:val="23"/>
        </w:rPr>
        <w:t>,</w:t>
      </w:r>
      <w:r w:rsidRPr="004E7547">
        <w:rPr>
          <w:rFonts w:asciiTheme="majorHAnsi" w:hAnsiTheme="majorHAnsi" w:cstheme="majorBidi"/>
          <w:color w:val="000000" w:themeColor="text1"/>
          <w:sz w:val="23"/>
          <w:szCs w:val="23"/>
        </w:rPr>
        <w:t xml:space="preserve"> including mental health support, physical health promotion programs, and broader community services. In the first instance, </w:t>
      </w:r>
      <w:r w:rsidR="00F45E37" w:rsidRPr="004E7547">
        <w:rPr>
          <w:rFonts w:asciiTheme="majorHAnsi" w:hAnsiTheme="majorHAnsi" w:cstheme="majorBidi"/>
          <w:color w:val="000000" w:themeColor="text1"/>
          <w:sz w:val="23"/>
          <w:szCs w:val="23"/>
        </w:rPr>
        <w:t>there was an identified need to</w:t>
      </w:r>
      <w:r w:rsidRPr="004E7547">
        <w:rPr>
          <w:rFonts w:asciiTheme="majorHAnsi" w:hAnsiTheme="majorHAnsi" w:cstheme="majorBidi"/>
          <w:color w:val="000000" w:themeColor="text1"/>
          <w:sz w:val="23"/>
          <w:szCs w:val="23"/>
        </w:rPr>
        <w:t xml:space="preserve"> </w:t>
      </w:r>
      <w:r w:rsidRPr="004E7547">
        <w:rPr>
          <w:rFonts w:asciiTheme="majorHAnsi" w:hAnsiTheme="majorHAnsi" w:cstheme="majorBidi"/>
          <w:color w:val="000000" w:themeColor="text1"/>
          <w:sz w:val="23"/>
          <w:szCs w:val="23"/>
          <w:lang w:val="en-GB"/>
        </w:rPr>
        <w:t>improv</w:t>
      </w:r>
      <w:r w:rsidR="00F45E37" w:rsidRPr="004E7547">
        <w:rPr>
          <w:rFonts w:asciiTheme="majorHAnsi" w:hAnsiTheme="majorHAnsi" w:cstheme="majorBidi"/>
          <w:color w:val="000000" w:themeColor="text1"/>
          <w:sz w:val="23"/>
          <w:szCs w:val="23"/>
          <w:lang w:val="en-GB"/>
        </w:rPr>
        <w:t>e</w:t>
      </w:r>
      <w:r w:rsidRPr="004E7547">
        <w:rPr>
          <w:rFonts w:asciiTheme="majorHAnsi" w:hAnsiTheme="majorHAnsi" w:cstheme="majorBidi"/>
          <w:color w:val="000000" w:themeColor="text1"/>
          <w:sz w:val="23"/>
          <w:szCs w:val="23"/>
          <w:lang w:val="en-GB"/>
        </w:rPr>
        <w:t xml:space="preserve"> </w:t>
      </w:r>
      <w:r w:rsidRPr="004E7547">
        <w:rPr>
          <w:rFonts w:asciiTheme="majorHAnsi" w:hAnsiTheme="majorHAnsi" w:cstheme="majorBidi"/>
          <w:color w:val="000000" w:themeColor="text1"/>
          <w:sz w:val="23"/>
          <w:szCs w:val="23"/>
        </w:rPr>
        <w:t>communication strategies</w:t>
      </w:r>
      <w:r w:rsidR="00F45E37" w:rsidRPr="004E7547">
        <w:rPr>
          <w:rFonts w:asciiTheme="majorHAnsi" w:hAnsiTheme="majorHAnsi" w:cstheme="majorBidi"/>
          <w:color w:val="000000" w:themeColor="text1"/>
          <w:sz w:val="23"/>
          <w:szCs w:val="23"/>
        </w:rPr>
        <w:t xml:space="preserve"> by</w:t>
      </w:r>
      <w:r w:rsidRPr="004E7547">
        <w:rPr>
          <w:rFonts w:asciiTheme="majorHAnsi" w:hAnsiTheme="majorHAnsi" w:cstheme="majorBidi"/>
          <w:color w:val="000000" w:themeColor="text1"/>
          <w:sz w:val="23"/>
          <w:szCs w:val="23"/>
        </w:rPr>
        <w:t xml:space="preserve"> tackling language and cultural barriers, making use of both digital and non-digital information channels, and using different formats and approaches, including newspapers/newsletters and outreach. For example:</w:t>
      </w:r>
    </w:p>
    <w:p w14:paraId="66A993AF" w14:textId="08D1A0C3" w:rsidR="00F00E3D" w:rsidRPr="004E7547" w:rsidRDefault="00F00E3D" w:rsidP="004E7547">
      <w:pPr>
        <w:spacing w:line="276" w:lineRule="auto"/>
        <w:ind w:left="720"/>
        <w:rPr>
          <w:rFonts w:asciiTheme="majorHAnsi" w:eastAsia="Times New Roman" w:hAnsiTheme="majorHAnsi" w:cstheme="majorHAnsi"/>
          <w:color w:val="000000"/>
          <w:sz w:val="23"/>
          <w:szCs w:val="23"/>
        </w:rPr>
      </w:pPr>
      <w:r w:rsidRPr="004E7547">
        <w:rPr>
          <w:rFonts w:asciiTheme="majorHAnsi" w:eastAsia="Times New Roman" w:hAnsiTheme="majorHAnsi" w:cstheme="majorHAnsi"/>
          <w:color w:val="000000" w:themeColor="text1"/>
          <w:sz w:val="23"/>
          <w:szCs w:val="23"/>
        </w:rPr>
        <w:t>Services are available, and people need to know about them and can connect via existing organisations and places (P3)</w:t>
      </w:r>
      <w:r w:rsidR="004715B3">
        <w:rPr>
          <w:rFonts w:asciiTheme="majorHAnsi" w:eastAsia="Times New Roman" w:hAnsiTheme="majorHAnsi" w:cstheme="majorHAnsi"/>
          <w:color w:val="000000" w:themeColor="text1"/>
          <w:sz w:val="23"/>
          <w:szCs w:val="23"/>
        </w:rPr>
        <w:t>.</w:t>
      </w:r>
    </w:p>
    <w:p w14:paraId="12938E7F" w14:textId="6A7FB376" w:rsidR="00F00E3D" w:rsidRPr="004E7547" w:rsidRDefault="00F00E3D" w:rsidP="004E7547">
      <w:pPr>
        <w:spacing w:line="276" w:lineRule="auto"/>
        <w:ind w:left="720"/>
        <w:rPr>
          <w:rFonts w:asciiTheme="majorHAnsi" w:eastAsia="Times New Roman" w:hAnsiTheme="majorHAnsi" w:cstheme="majorHAnsi"/>
          <w:color w:val="000000"/>
          <w:sz w:val="23"/>
          <w:szCs w:val="23"/>
        </w:rPr>
      </w:pPr>
      <w:r w:rsidRPr="004E7547">
        <w:rPr>
          <w:rFonts w:asciiTheme="majorHAnsi" w:eastAsia="Times New Roman" w:hAnsiTheme="majorHAnsi" w:cstheme="majorHAnsi"/>
          <w:color w:val="000000" w:themeColor="text1"/>
          <w:sz w:val="23"/>
          <w:szCs w:val="23"/>
        </w:rPr>
        <w:t xml:space="preserve">Many people know how to get help but there are lots </w:t>
      </w:r>
      <w:r w:rsidR="004715B3">
        <w:rPr>
          <w:rFonts w:asciiTheme="majorHAnsi" w:eastAsia="Times New Roman" w:hAnsiTheme="majorHAnsi" w:cstheme="majorHAnsi"/>
          <w:color w:val="000000" w:themeColor="text1"/>
          <w:sz w:val="23"/>
          <w:szCs w:val="23"/>
        </w:rPr>
        <w:t>that</w:t>
      </w:r>
      <w:r w:rsidRPr="004E7547">
        <w:rPr>
          <w:rFonts w:asciiTheme="majorHAnsi" w:eastAsia="Times New Roman" w:hAnsiTheme="majorHAnsi" w:cstheme="majorHAnsi"/>
          <w:color w:val="000000" w:themeColor="text1"/>
          <w:sz w:val="23"/>
          <w:szCs w:val="23"/>
        </w:rPr>
        <w:t xml:space="preserve"> just don’t know about the huge range of services that are available. How to get information out, especially to young people? (P4)</w:t>
      </w:r>
      <w:r w:rsidR="004715B3">
        <w:rPr>
          <w:rFonts w:asciiTheme="majorHAnsi" w:eastAsia="Times New Roman" w:hAnsiTheme="majorHAnsi" w:cstheme="majorHAnsi"/>
          <w:color w:val="000000" w:themeColor="text1"/>
          <w:sz w:val="23"/>
          <w:szCs w:val="23"/>
        </w:rPr>
        <w:t>.</w:t>
      </w:r>
    </w:p>
    <w:p w14:paraId="41CE6385" w14:textId="5824D26E" w:rsidR="00F00E3D" w:rsidRPr="004E7547" w:rsidRDefault="00F00E3D" w:rsidP="004E7547">
      <w:pPr>
        <w:spacing w:line="276" w:lineRule="auto"/>
        <w:rPr>
          <w:rFonts w:asciiTheme="majorHAnsi" w:hAnsiTheme="majorHAnsi" w:cstheme="majorBidi"/>
          <w:color w:val="000000"/>
          <w:sz w:val="23"/>
          <w:szCs w:val="23"/>
        </w:rPr>
      </w:pPr>
      <w:r w:rsidRPr="004E7547">
        <w:rPr>
          <w:rFonts w:asciiTheme="majorHAnsi" w:hAnsiTheme="majorHAnsi" w:cstheme="majorBidi"/>
          <w:color w:val="000000" w:themeColor="text1"/>
          <w:sz w:val="23"/>
          <w:szCs w:val="23"/>
        </w:rPr>
        <w:t>Aligning with informants’ desires for a more holistic, collaborative approach, there was also interest in initiatives that took a one</w:t>
      </w:r>
      <w:r w:rsidR="0043049A">
        <w:rPr>
          <w:rFonts w:asciiTheme="majorHAnsi" w:hAnsiTheme="majorHAnsi" w:cstheme="majorBidi"/>
          <w:color w:val="000000" w:themeColor="text1"/>
          <w:sz w:val="23"/>
          <w:szCs w:val="23"/>
        </w:rPr>
        <w:t>-</w:t>
      </w:r>
      <w:r w:rsidRPr="004E7547">
        <w:rPr>
          <w:rFonts w:asciiTheme="majorHAnsi" w:hAnsiTheme="majorHAnsi" w:cstheme="majorBidi"/>
          <w:color w:val="000000" w:themeColor="text1"/>
          <w:sz w:val="23"/>
          <w:szCs w:val="23"/>
        </w:rPr>
        <w:t>stop</w:t>
      </w:r>
      <w:r w:rsidR="0043049A">
        <w:rPr>
          <w:rFonts w:asciiTheme="majorHAnsi" w:hAnsiTheme="majorHAnsi" w:cstheme="majorBidi"/>
          <w:color w:val="000000" w:themeColor="text1"/>
          <w:sz w:val="23"/>
          <w:szCs w:val="23"/>
        </w:rPr>
        <w:t>-</w:t>
      </w:r>
      <w:r w:rsidRPr="004E7547">
        <w:rPr>
          <w:rFonts w:asciiTheme="majorHAnsi" w:hAnsiTheme="majorHAnsi" w:cstheme="majorBidi"/>
          <w:color w:val="000000" w:themeColor="text1"/>
          <w:sz w:val="23"/>
          <w:szCs w:val="23"/>
        </w:rPr>
        <w:t>shop approach. For example:</w:t>
      </w:r>
    </w:p>
    <w:p w14:paraId="25CCC6CD" w14:textId="37D67CCC" w:rsidR="00F00E3D" w:rsidRPr="004E7547" w:rsidRDefault="00F00E3D" w:rsidP="004E7547">
      <w:pPr>
        <w:spacing w:line="276" w:lineRule="auto"/>
        <w:ind w:left="720"/>
        <w:rPr>
          <w:rFonts w:asciiTheme="majorHAnsi" w:eastAsia="Times New Roman" w:hAnsiTheme="majorHAnsi" w:cstheme="majorHAnsi"/>
          <w:color w:val="000000"/>
          <w:sz w:val="23"/>
          <w:szCs w:val="23"/>
        </w:rPr>
      </w:pPr>
      <w:r w:rsidRPr="004E7547">
        <w:rPr>
          <w:rFonts w:asciiTheme="majorHAnsi" w:eastAsia="Times New Roman" w:hAnsiTheme="majorHAnsi" w:cstheme="majorHAnsi"/>
          <w:color w:val="000000"/>
          <w:sz w:val="23"/>
          <w:szCs w:val="23"/>
          <w:lang w:val="en-GB"/>
        </w:rPr>
        <w:t>There is a need to make people aware of the services that are available. It can be confusing, for example in mental health. What would be helpful is a one stop shop, and [building] the capacity of organisations in the areas to inform the community on what they need to know</w:t>
      </w:r>
      <w:r w:rsidR="0043049A">
        <w:rPr>
          <w:rFonts w:asciiTheme="majorHAnsi" w:eastAsia="Times New Roman" w:hAnsiTheme="majorHAnsi" w:cstheme="majorHAnsi"/>
          <w:color w:val="000000"/>
          <w:sz w:val="23"/>
          <w:szCs w:val="23"/>
          <w:lang w:val="en-GB"/>
        </w:rPr>
        <w:t xml:space="preserve"> </w:t>
      </w:r>
      <w:r w:rsidRPr="004E7547">
        <w:rPr>
          <w:rFonts w:asciiTheme="majorHAnsi" w:eastAsia="Times New Roman" w:hAnsiTheme="majorHAnsi" w:cstheme="majorHAnsi"/>
          <w:color w:val="000000"/>
          <w:sz w:val="23"/>
          <w:szCs w:val="23"/>
          <w:lang w:val="en-GB"/>
        </w:rPr>
        <w:t>(P12)</w:t>
      </w:r>
      <w:r w:rsidR="0043049A">
        <w:rPr>
          <w:rFonts w:asciiTheme="majorHAnsi" w:eastAsia="Times New Roman" w:hAnsiTheme="majorHAnsi" w:cstheme="majorHAnsi"/>
          <w:color w:val="000000"/>
          <w:sz w:val="23"/>
          <w:szCs w:val="23"/>
          <w:lang w:val="en-GB"/>
        </w:rPr>
        <w:t>.</w:t>
      </w:r>
    </w:p>
    <w:p w14:paraId="3BF36603" w14:textId="380FA393" w:rsidR="00F00E3D" w:rsidRPr="004E7547" w:rsidRDefault="00F00E3D" w:rsidP="004E7547">
      <w:pPr>
        <w:spacing w:line="276" w:lineRule="auto"/>
        <w:ind w:left="720"/>
        <w:rPr>
          <w:rFonts w:asciiTheme="majorHAnsi" w:eastAsia="Times New Roman" w:hAnsiTheme="majorHAnsi" w:cstheme="majorHAnsi"/>
          <w:color w:val="000000"/>
          <w:sz w:val="23"/>
          <w:szCs w:val="23"/>
        </w:rPr>
      </w:pPr>
      <w:r w:rsidRPr="004E7547">
        <w:rPr>
          <w:rFonts w:asciiTheme="majorHAnsi" w:eastAsia="Times New Roman" w:hAnsiTheme="majorHAnsi" w:cstheme="majorHAnsi"/>
          <w:color w:val="000000" w:themeColor="text1"/>
          <w:sz w:val="23"/>
          <w:szCs w:val="23"/>
        </w:rPr>
        <w:lastRenderedPageBreak/>
        <w:t xml:space="preserve">Essential services – need to connect with people, be here in person. </w:t>
      </w:r>
      <w:r w:rsidR="0043049A">
        <w:rPr>
          <w:rFonts w:asciiTheme="majorHAnsi" w:eastAsia="Times New Roman" w:hAnsiTheme="majorHAnsi" w:cstheme="majorHAnsi"/>
          <w:color w:val="000000" w:themeColor="text1"/>
          <w:sz w:val="23"/>
          <w:szCs w:val="23"/>
        </w:rPr>
        <w:t xml:space="preserve">For </w:t>
      </w:r>
      <w:proofErr w:type="gramStart"/>
      <w:r w:rsidR="0043049A">
        <w:rPr>
          <w:rFonts w:asciiTheme="majorHAnsi" w:eastAsia="Times New Roman" w:hAnsiTheme="majorHAnsi" w:cstheme="majorHAnsi"/>
          <w:color w:val="000000" w:themeColor="text1"/>
          <w:sz w:val="23"/>
          <w:szCs w:val="23"/>
        </w:rPr>
        <w:t>example</w:t>
      </w:r>
      <w:proofErr w:type="gramEnd"/>
      <w:r w:rsidRPr="004E7547">
        <w:rPr>
          <w:rFonts w:asciiTheme="majorHAnsi" w:eastAsia="Times New Roman" w:hAnsiTheme="majorHAnsi" w:cstheme="majorHAnsi"/>
          <w:color w:val="000000" w:themeColor="text1"/>
          <w:sz w:val="23"/>
          <w:szCs w:val="23"/>
        </w:rPr>
        <w:t xml:space="preserve"> you could use the school to address the wi-fi gap</w:t>
      </w:r>
      <w:r w:rsidR="0043049A">
        <w:rPr>
          <w:rFonts w:asciiTheme="majorHAnsi" w:eastAsia="Times New Roman" w:hAnsiTheme="majorHAnsi" w:cstheme="majorHAnsi"/>
          <w:color w:val="000000" w:themeColor="text1"/>
          <w:sz w:val="23"/>
          <w:szCs w:val="23"/>
        </w:rPr>
        <w:t xml:space="preserve"> and a</w:t>
      </w:r>
      <w:r w:rsidRPr="004E7547">
        <w:rPr>
          <w:rFonts w:asciiTheme="majorHAnsi" w:eastAsia="Times New Roman" w:hAnsiTheme="majorHAnsi" w:cstheme="majorHAnsi"/>
          <w:color w:val="000000" w:themeColor="text1"/>
          <w:sz w:val="23"/>
          <w:szCs w:val="23"/>
        </w:rPr>
        <w:t>ccess Centrelink</w:t>
      </w:r>
      <w:r w:rsidR="0043049A">
        <w:rPr>
          <w:rFonts w:asciiTheme="majorHAnsi" w:eastAsia="Times New Roman" w:hAnsiTheme="majorHAnsi" w:cstheme="majorHAnsi"/>
          <w:color w:val="000000" w:themeColor="text1"/>
          <w:sz w:val="23"/>
          <w:szCs w:val="23"/>
        </w:rPr>
        <w:t xml:space="preserve">, </w:t>
      </w:r>
      <w:r w:rsidRPr="004E7547">
        <w:rPr>
          <w:rFonts w:asciiTheme="majorHAnsi" w:eastAsia="Times New Roman" w:hAnsiTheme="majorHAnsi" w:cstheme="majorHAnsi"/>
          <w:color w:val="000000" w:themeColor="text1"/>
          <w:sz w:val="23"/>
          <w:szCs w:val="23"/>
        </w:rPr>
        <w:t>not just with the equipment but with people who can advise. Could have a service hub at the school where people would come to collect books but then access other services (P3)</w:t>
      </w:r>
      <w:r w:rsidR="0043049A">
        <w:rPr>
          <w:rFonts w:asciiTheme="majorHAnsi" w:eastAsia="Times New Roman" w:hAnsiTheme="majorHAnsi" w:cstheme="majorHAnsi"/>
          <w:color w:val="000000" w:themeColor="text1"/>
          <w:sz w:val="23"/>
          <w:szCs w:val="23"/>
        </w:rPr>
        <w:t>.</w:t>
      </w:r>
    </w:p>
    <w:p w14:paraId="039D5C22" w14:textId="002C25C7" w:rsidR="00F00E3D" w:rsidRPr="004E7547" w:rsidRDefault="009B37EC" w:rsidP="004E7547">
      <w:pPr>
        <w:spacing w:line="276" w:lineRule="auto"/>
        <w:rPr>
          <w:rFonts w:asciiTheme="majorHAnsi" w:hAnsiTheme="majorHAnsi" w:cstheme="majorHAnsi"/>
          <w:color w:val="000000"/>
          <w:sz w:val="23"/>
          <w:szCs w:val="23"/>
        </w:rPr>
      </w:pPr>
      <w:r>
        <w:rPr>
          <w:rFonts w:asciiTheme="majorHAnsi" w:hAnsiTheme="majorHAnsi" w:cstheme="majorHAnsi"/>
          <w:color w:val="000000"/>
          <w:sz w:val="23"/>
          <w:szCs w:val="23"/>
          <w:lang w:val="en-GB"/>
        </w:rPr>
        <w:t>T</w:t>
      </w:r>
      <w:r w:rsidR="00F00E3D" w:rsidRPr="004E7547">
        <w:rPr>
          <w:rFonts w:asciiTheme="majorHAnsi" w:hAnsiTheme="majorHAnsi" w:cstheme="majorHAnsi"/>
          <w:color w:val="000000"/>
          <w:sz w:val="23"/>
          <w:szCs w:val="23"/>
          <w:lang w:val="en-GB"/>
        </w:rPr>
        <w:t>here was a</w:t>
      </w:r>
      <w:r>
        <w:rPr>
          <w:rFonts w:asciiTheme="majorHAnsi" w:hAnsiTheme="majorHAnsi" w:cstheme="majorHAnsi"/>
          <w:color w:val="000000"/>
          <w:sz w:val="23"/>
          <w:szCs w:val="23"/>
          <w:lang w:val="en-GB"/>
        </w:rPr>
        <w:t>lso an identified</w:t>
      </w:r>
      <w:r w:rsidR="00F00E3D" w:rsidRPr="004E7547">
        <w:rPr>
          <w:rFonts w:asciiTheme="majorHAnsi" w:hAnsiTheme="majorHAnsi" w:cstheme="majorHAnsi"/>
          <w:color w:val="000000"/>
          <w:sz w:val="23"/>
          <w:szCs w:val="23"/>
          <w:lang w:val="en-GB"/>
        </w:rPr>
        <w:t xml:space="preserve"> </w:t>
      </w:r>
      <w:r w:rsidR="0043049A">
        <w:rPr>
          <w:rFonts w:asciiTheme="majorHAnsi" w:hAnsiTheme="majorHAnsi" w:cstheme="majorHAnsi"/>
          <w:color w:val="000000"/>
          <w:sz w:val="23"/>
          <w:szCs w:val="23"/>
          <w:lang w:val="en-GB"/>
        </w:rPr>
        <w:t>need for</w:t>
      </w:r>
      <w:r w:rsidR="00F00E3D" w:rsidRPr="004E7547">
        <w:rPr>
          <w:rFonts w:asciiTheme="majorHAnsi" w:hAnsiTheme="majorHAnsi" w:cstheme="majorHAnsi"/>
          <w:color w:val="000000"/>
          <w:sz w:val="23"/>
          <w:szCs w:val="23"/>
          <w:lang w:val="en-GB"/>
        </w:rPr>
        <w:t xml:space="preserve"> more place-based support initiatives:</w:t>
      </w:r>
    </w:p>
    <w:p w14:paraId="3A7B45FE" w14:textId="16733383" w:rsidR="00F00E3D" w:rsidRPr="004E7547" w:rsidRDefault="00F00E3D" w:rsidP="004E7547">
      <w:pPr>
        <w:spacing w:line="276" w:lineRule="auto"/>
        <w:ind w:left="720"/>
        <w:rPr>
          <w:rFonts w:asciiTheme="majorHAnsi" w:eastAsia="Times New Roman" w:hAnsiTheme="majorHAnsi" w:cstheme="majorHAnsi"/>
          <w:color w:val="000000"/>
          <w:sz w:val="23"/>
          <w:szCs w:val="23"/>
        </w:rPr>
      </w:pPr>
      <w:r w:rsidRPr="004E7547">
        <w:rPr>
          <w:rFonts w:asciiTheme="majorHAnsi" w:eastAsia="Times New Roman" w:hAnsiTheme="majorHAnsi" w:cstheme="majorHAnsi"/>
          <w:color w:val="000000" w:themeColor="text1"/>
          <w:sz w:val="23"/>
          <w:szCs w:val="23"/>
          <w:lang w:val="en-GB"/>
        </w:rPr>
        <w:t>More place-based support: put services in areas where people live, in the community</w:t>
      </w:r>
      <w:r w:rsidR="00BF191E">
        <w:rPr>
          <w:rFonts w:asciiTheme="majorHAnsi" w:eastAsia="Times New Roman" w:hAnsiTheme="majorHAnsi" w:cstheme="majorHAnsi"/>
          <w:color w:val="000000" w:themeColor="text1"/>
          <w:sz w:val="23"/>
          <w:szCs w:val="23"/>
          <w:lang w:val="en-GB"/>
        </w:rPr>
        <w:t>,</w:t>
      </w:r>
      <w:r w:rsidRPr="004E7547">
        <w:rPr>
          <w:rFonts w:asciiTheme="majorHAnsi" w:eastAsia="Times New Roman" w:hAnsiTheme="majorHAnsi" w:cstheme="majorHAnsi"/>
          <w:color w:val="000000" w:themeColor="text1"/>
          <w:sz w:val="23"/>
          <w:szCs w:val="23"/>
          <w:lang w:val="en-GB"/>
        </w:rPr>
        <w:t xml:space="preserve"> rather than having to travel to Geelong, places where they don’t feel comfortable. Accessibility is an issue (P12)</w:t>
      </w:r>
      <w:r w:rsidR="009B37EC">
        <w:rPr>
          <w:rFonts w:asciiTheme="majorHAnsi" w:eastAsia="Times New Roman" w:hAnsiTheme="majorHAnsi" w:cstheme="majorHAnsi"/>
          <w:color w:val="000000" w:themeColor="text1"/>
          <w:sz w:val="23"/>
          <w:szCs w:val="23"/>
          <w:lang w:val="en-GB"/>
        </w:rPr>
        <w:t>.</w:t>
      </w:r>
    </w:p>
    <w:p w14:paraId="2638F57F" w14:textId="486D5CA0" w:rsidR="00F00E3D" w:rsidRPr="009B37EC" w:rsidRDefault="00206971" w:rsidP="004E7547">
      <w:pPr>
        <w:spacing w:line="276" w:lineRule="auto"/>
        <w:rPr>
          <w:rFonts w:eastAsia="Calibri" w:cstheme="majorHAnsi"/>
          <w:b/>
          <w:bCs/>
          <w:color w:val="2F5597"/>
          <w:sz w:val="25"/>
          <w:szCs w:val="25"/>
        </w:rPr>
      </w:pPr>
      <w:r>
        <w:rPr>
          <w:rFonts w:eastAsia="Calibri" w:cstheme="majorHAnsi"/>
          <w:b/>
          <w:bCs/>
          <w:color w:val="2F5496" w:themeColor="accent1" w:themeShade="BF"/>
          <w:sz w:val="25"/>
          <w:szCs w:val="25"/>
        </w:rPr>
        <w:t xml:space="preserve">More </w:t>
      </w:r>
      <w:r w:rsidR="00F00E3D" w:rsidRPr="009B37EC">
        <w:rPr>
          <w:rFonts w:eastAsia="Calibri" w:cstheme="majorHAnsi"/>
          <w:b/>
          <w:bCs/>
          <w:color w:val="2F5496" w:themeColor="accent1" w:themeShade="BF"/>
          <w:sz w:val="25"/>
          <w:szCs w:val="25"/>
        </w:rPr>
        <w:t>Safe and Affordable Housing</w:t>
      </w:r>
      <w:r w:rsidR="00F00E3D" w:rsidRPr="009B37EC">
        <w:rPr>
          <w:rFonts w:cstheme="majorHAnsi"/>
          <w:color w:val="2F5496" w:themeColor="accent1" w:themeShade="BF"/>
          <w:sz w:val="25"/>
          <w:szCs w:val="25"/>
        </w:rPr>
        <w:tab/>
      </w:r>
      <w:r w:rsidR="00F00E3D" w:rsidRPr="009B37EC">
        <w:rPr>
          <w:rFonts w:cstheme="majorHAnsi"/>
          <w:color w:val="000000" w:themeColor="text1"/>
          <w:sz w:val="25"/>
          <w:szCs w:val="25"/>
        </w:rPr>
        <w:tab/>
      </w:r>
      <w:r w:rsidR="00F00E3D" w:rsidRPr="009B37EC">
        <w:rPr>
          <w:rFonts w:eastAsia="Calibri" w:cstheme="majorHAnsi"/>
          <w:b/>
          <w:bCs/>
          <w:color w:val="000000" w:themeColor="text1"/>
          <w:sz w:val="25"/>
          <w:szCs w:val="25"/>
        </w:rPr>
        <w:t xml:space="preserve">               </w:t>
      </w:r>
      <w:r w:rsidR="00F00E3D" w:rsidRPr="009B37EC">
        <w:rPr>
          <w:rFonts w:cstheme="majorHAnsi"/>
          <w:sz w:val="25"/>
          <w:szCs w:val="25"/>
        </w:rPr>
        <w:tab/>
      </w:r>
      <w:r w:rsidR="00F00E3D" w:rsidRPr="009B37EC">
        <w:rPr>
          <w:rFonts w:cstheme="majorHAnsi"/>
          <w:sz w:val="25"/>
          <w:szCs w:val="25"/>
        </w:rPr>
        <w:tab/>
      </w:r>
      <w:r w:rsidR="00F00E3D" w:rsidRPr="009B37EC">
        <w:rPr>
          <w:rFonts w:cstheme="majorHAnsi"/>
          <w:sz w:val="25"/>
          <w:szCs w:val="25"/>
        </w:rPr>
        <w:tab/>
      </w:r>
      <w:r w:rsidR="00F00E3D" w:rsidRPr="009B37EC">
        <w:rPr>
          <w:rFonts w:cstheme="majorHAnsi"/>
          <w:sz w:val="25"/>
          <w:szCs w:val="25"/>
        </w:rPr>
        <w:tab/>
      </w:r>
      <w:r w:rsidR="00F00E3D" w:rsidRPr="009B37EC">
        <w:rPr>
          <w:rFonts w:cstheme="majorHAnsi"/>
          <w:sz w:val="25"/>
          <w:szCs w:val="25"/>
        </w:rPr>
        <w:tab/>
      </w:r>
      <w:r w:rsidR="00F00E3D" w:rsidRPr="009B37EC">
        <w:rPr>
          <w:rFonts w:cstheme="majorHAnsi"/>
          <w:sz w:val="25"/>
          <w:szCs w:val="25"/>
        </w:rPr>
        <w:tab/>
      </w:r>
    </w:p>
    <w:p w14:paraId="722EC2E7" w14:textId="6F4FB9B9" w:rsidR="00F00E3D" w:rsidRPr="00CC500F" w:rsidRDefault="00F00E3D" w:rsidP="004E7547">
      <w:pPr>
        <w:spacing w:after="0" w:line="276" w:lineRule="auto"/>
        <w:rPr>
          <w:rFonts w:cstheme="majorHAnsi"/>
          <w:color w:val="595959" w:themeColor="text1" w:themeTint="A6"/>
          <w:sz w:val="23"/>
          <w:szCs w:val="23"/>
        </w:rPr>
      </w:pPr>
      <w:r w:rsidRPr="00CC500F">
        <w:rPr>
          <w:rFonts w:eastAsia="Calibri" w:cstheme="majorHAnsi"/>
          <w:b/>
          <w:bCs/>
          <w:color w:val="595959" w:themeColor="text1" w:themeTint="A6"/>
          <w:sz w:val="23"/>
          <w:szCs w:val="23"/>
        </w:rPr>
        <w:t xml:space="preserve">Main </w:t>
      </w:r>
      <w:r w:rsidR="00D95573">
        <w:rPr>
          <w:rFonts w:eastAsia="Calibri" w:cstheme="majorHAnsi"/>
          <w:b/>
          <w:bCs/>
          <w:color w:val="595959" w:themeColor="text1" w:themeTint="A6"/>
          <w:sz w:val="23"/>
          <w:szCs w:val="23"/>
        </w:rPr>
        <w:t>Practice Domain</w:t>
      </w:r>
      <w:r w:rsidRPr="00CC500F">
        <w:rPr>
          <w:rFonts w:eastAsia="Calibri" w:cstheme="majorHAnsi"/>
          <w:b/>
          <w:bCs/>
          <w:color w:val="595959" w:themeColor="text1" w:themeTint="A6"/>
          <w:sz w:val="23"/>
          <w:szCs w:val="23"/>
        </w:rPr>
        <w:t>(s):</w:t>
      </w:r>
      <w:r w:rsidR="00CC500F">
        <w:rPr>
          <w:rFonts w:eastAsia="Calibri" w:cstheme="majorHAnsi"/>
          <w:b/>
          <w:bCs/>
          <w:color w:val="595959" w:themeColor="text1" w:themeTint="A6"/>
          <w:sz w:val="23"/>
          <w:szCs w:val="23"/>
        </w:rPr>
        <w:tab/>
      </w:r>
      <w:r w:rsidR="00CC500F">
        <w:rPr>
          <w:rFonts w:eastAsia="Calibri" w:cstheme="majorHAnsi"/>
          <w:b/>
          <w:bCs/>
          <w:color w:val="595959" w:themeColor="text1" w:themeTint="A6"/>
          <w:sz w:val="23"/>
          <w:szCs w:val="23"/>
        </w:rPr>
        <w:tab/>
      </w:r>
      <w:r w:rsidRPr="00CC500F">
        <w:rPr>
          <w:rFonts w:eastAsia="Calibri" w:cstheme="majorHAnsi"/>
          <w:b/>
          <w:bCs/>
          <w:color w:val="595959" w:themeColor="text1" w:themeTint="A6"/>
          <w:sz w:val="23"/>
          <w:szCs w:val="23"/>
        </w:rPr>
        <w:t>Housing</w:t>
      </w:r>
    </w:p>
    <w:p w14:paraId="06F819D9" w14:textId="4D31BC64" w:rsidR="00F00E3D" w:rsidRPr="00CC500F" w:rsidRDefault="00F00E3D" w:rsidP="004E7547">
      <w:pPr>
        <w:spacing w:after="0" w:line="276" w:lineRule="auto"/>
        <w:rPr>
          <w:rFonts w:eastAsia="Calibri" w:cstheme="majorHAnsi"/>
          <w:b/>
          <w:bCs/>
          <w:color w:val="595959" w:themeColor="text1" w:themeTint="A6"/>
          <w:sz w:val="23"/>
          <w:szCs w:val="23"/>
        </w:rPr>
      </w:pPr>
      <w:r w:rsidRPr="00CC500F">
        <w:rPr>
          <w:rFonts w:eastAsia="Calibri" w:cstheme="majorHAnsi"/>
          <w:b/>
          <w:bCs/>
          <w:color w:val="595959" w:themeColor="text1" w:themeTint="A6"/>
          <w:sz w:val="23"/>
          <w:szCs w:val="23"/>
        </w:rPr>
        <w:t xml:space="preserve">Secondary </w:t>
      </w:r>
      <w:r w:rsidR="00D95573">
        <w:rPr>
          <w:rFonts w:eastAsia="Calibri" w:cstheme="majorHAnsi"/>
          <w:b/>
          <w:bCs/>
          <w:color w:val="595959" w:themeColor="text1" w:themeTint="A6"/>
          <w:sz w:val="23"/>
          <w:szCs w:val="23"/>
        </w:rPr>
        <w:t>Practice Domain</w:t>
      </w:r>
      <w:r w:rsidRPr="00CC500F">
        <w:rPr>
          <w:rFonts w:eastAsia="Calibri" w:cstheme="majorHAnsi"/>
          <w:b/>
          <w:bCs/>
          <w:color w:val="595959" w:themeColor="text1" w:themeTint="A6"/>
          <w:sz w:val="23"/>
          <w:szCs w:val="23"/>
        </w:rPr>
        <w:t>(s):</w:t>
      </w:r>
      <w:r w:rsidR="00CC500F">
        <w:rPr>
          <w:rFonts w:eastAsia="Calibri" w:cstheme="majorHAnsi"/>
          <w:b/>
          <w:bCs/>
          <w:color w:val="595959" w:themeColor="text1" w:themeTint="A6"/>
          <w:sz w:val="23"/>
          <w:szCs w:val="23"/>
        </w:rPr>
        <w:tab/>
      </w:r>
      <w:r w:rsidRPr="00CC500F">
        <w:rPr>
          <w:rFonts w:eastAsia="Calibri" w:cstheme="majorHAnsi"/>
          <w:b/>
          <w:bCs/>
          <w:color w:val="595959" w:themeColor="text1" w:themeTint="A6"/>
          <w:sz w:val="23"/>
          <w:szCs w:val="23"/>
        </w:rPr>
        <w:t>Health and Wellbeing, Liveability</w:t>
      </w:r>
    </w:p>
    <w:p w14:paraId="18184D0E" w14:textId="77777777" w:rsidR="00761ADD" w:rsidRPr="00BF191E" w:rsidRDefault="00761ADD" w:rsidP="004E7547">
      <w:pPr>
        <w:spacing w:after="0" w:line="276" w:lineRule="auto"/>
        <w:rPr>
          <w:rFonts w:asciiTheme="majorHAnsi" w:hAnsiTheme="majorHAnsi" w:cstheme="majorHAnsi"/>
          <w:sz w:val="12"/>
          <w:szCs w:val="12"/>
        </w:rPr>
      </w:pPr>
    </w:p>
    <w:p w14:paraId="77044C1B" w14:textId="7FAB12B3" w:rsidR="00F00E3D" w:rsidRPr="004E7547" w:rsidRDefault="00F00E3D" w:rsidP="004E7547">
      <w:pPr>
        <w:spacing w:line="276" w:lineRule="auto"/>
        <w:rPr>
          <w:rFonts w:asciiTheme="majorHAnsi" w:hAnsiTheme="majorHAnsi" w:cstheme="majorHAnsi"/>
          <w:sz w:val="23"/>
          <w:szCs w:val="23"/>
        </w:rPr>
      </w:pPr>
      <w:r w:rsidRPr="004E7547">
        <w:rPr>
          <w:rFonts w:asciiTheme="majorHAnsi" w:eastAsia="Calibri" w:hAnsiTheme="majorHAnsi" w:cstheme="majorHAnsi"/>
          <w:sz w:val="23"/>
          <w:szCs w:val="23"/>
        </w:rPr>
        <w:t>Housing was a strong theme</w:t>
      </w:r>
      <w:r w:rsidR="00CC500F">
        <w:rPr>
          <w:rFonts w:asciiTheme="majorHAnsi" w:eastAsia="Calibri" w:hAnsiTheme="majorHAnsi" w:cstheme="majorHAnsi"/>
          <w:sz w:val="23"/>
          <w:szCs w:val="23"/>
        </w:rPr>
        <w:t xml:space="preserve"> in our consultations</w:t>
      </w:r>
      <w:r w:rsidRPr="004E7547">
        <w:rPr>
          <w:rFonts w:asciiTheme="majorHAnsi" w:eastAsia="Calibri" w:hAnsiTheme="majorHAnsi" w:cstheme="majorHAnsi"/>
          <w:sz w:val="23"/>
          <w:szCs w:val="23"/>
        </w:rPr>
        <w:t xml:space="preserve">. Major concerns were declining affordability, inadequate supply, housing stress, and precarity. </w:t>
      </w:r>
      <w:r w:rsidRPr="004E7547">
        <w:rPr>
          <w:rFonts w:asciiTheme="majorHAnsi" w:eastAsia="Calibri" w:hAnsiTheme="majorHAnsi" w:cstheme="majorHAnsi"/>
          <w:sz w:val="23"/>
          <w:szCs w:val="23"/>
          <w:lang w:val="en-GB"/>
        </w:rPr>
        <w:t>Providing more social and affordable housing, coupled with tailored place-based support services, was seen to be an urgent priority.</w:t>
      </w:r>
    </w:p>
    <w:p w14:paraId="7AE8A370"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The social housing need is huge (P5).</w:t>
      </w:r>
    </w:p>
    <w:p w14:paraId="49D2F4CD"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Increase affordable housing [along with] targeted support. Housing needs to be in a good </w:t>
      </w:r>
      <w:r w:rsidRPr="004E7547">
        <w:rPr>
          <w:rFonts w:asciiTheme="majorHAnsi" w:hAnsiTheme="majorHAnsi" w:cstheme="majorHAnsi"/>
          <w:sz w:val="23"/>
          <w:szCs w:val="23"/>
        </w:rPr>
        <w:tab/>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location and well serviced (P2).</w:t>
      </w:r>
    </w:p>
    <w:p w14:paraId="3D0632B7" w14:textId="48601C96" w:rsidR="00F00E3D" w:rsidRPr="004E7547" w:rsidRDefault="00F00E3D" w:rsidP="004E7547">
      <w:pPr>
        <w:spacing w:line="276" w:lineRule="auto"/>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Upgrading existing properties, addressing overcrowding, and providing safer housing options were also cited as important priorities. </w:t>
      </w:r>
      <w:r w:rsidRPr="004E7547">
        <w:rPr>
          <w:rFonts w:asciiTheme="majorHAnsi" w:eastAsia="Calibri" w:hAnsiTheme="majorHAnsi" w:cstheme="majorHAnsi"/>
          <w:sz w:val="23"/>
          <w:szCs w:val="23"/>
        </w:rPr>
        <w:t>Living in rundown or cramped housing amplified the hardship</w:t>
      </w:r>
      <w:r w:rsidR="00CD125B">
        <w:rPr>
          <w:rFonts w:asciiTheme="majorHAnsi" w:eastAsia="Calibri" w:hAnsiTheme="majorHAnsi" w:cstheme="majorHAnsi"/>
          <w:sz w:val="23"/>
          <w:szCs w:val="23"/>
        </w:rPr>
        <w:t>s</w:t>
      </w:r>
      <w:r w:rsidRPr="004E7547">
        <w:rPr>
          <w:rFonts w:asciiTheme="majorHAnsi" w:eastAsia="Calibri" w:hAnsiTheme="majorHAnsi" w:cstheme="majorHAnsi"/>
          <w:sz w:val="23"/>
          <w:szCs w:val="23"/>
        </w:rPr>
        <w:t xml:space="preserve"> of </w:t>
      </w:r>
      <w:r w:rsidR="00940D80" w:rsidRPr="004E7547">
        <w:rPr>
          <w:rFonts w:asciiTheme="majorHAnsi" w:eastAsia="Calibri" w:hAnsiTheme="majorHAnsi" w:cstheme="majorHAnsi"/>
          <w:sz w:val="23"/>
          <w:szCs w:val="23"/>
        </w:rPr>
        <w:t>COVID</w:t>
      </w:r>
      <w:r w:rsidRPr="004E7547">
        <w:rPr>
          <w:rFonts w:asciiTheme="majorHAnsi" w:eastAsia="Calibri" w:hAnsiTheme="majorHAnsi" w:cstheme="majorHAnsi"/>
          <w:sz w:val="23"/>
          <w:szCs w:val="23"/>
        </w:rPr>
        <w:t xml:space="preserve">-19 for many residents. The pandemic also highlighted the need to address </w:t>
      </w:r>
      <w:r w:rsidR="00C82E85">
        <w:rPr>
          <w:rFonts w:asciiTheme="majorHAnsi" w:eastAsia="Calibri" w:hAnsiTheme="majorHAnsi" w:cstheme="majorHAnsi"/>
          <w:sz w:val="23"/>
          <w:szCs w:val="23"/>
        </w:rPr>
        <w:t xml:space="preserve">alarmingly high </w:t>
      </w:r>
      <w:r w:rsidR="00CD125B">
        <w:rPr>
          <w:rFonts w:asciiTheme="majorHAnsi" w:eastAsia="Calibri" w:hAnsiTheme="majorHAnsi" w:cstheme="majorHAnsi"/>
          <w:sz w:val="23"/>
          <w:szCs w:val="23"/>
        </w:rPr>
        <w:t xml:space="preserve">rates of </w:t>
      </w:r>
      <w:r w:rsidRPr="004E7547">
        <w:rPr>
          <w:rFonts w:asciiTheme="majorHAnsi" w:eastAsia="Calibri" w:hAnsiTheme="majorHAnsi" w:cstheme="majorHAnsi"/>
          <w:sz w:val="23"/>
          <w:szCs w:val="23"/>
        </w:rPr>
        <w:t xml:space="preserve">family violence and </w:t>
      </w:r>
      <w:r w:rsidR="00CD125B">
        <w:rPr>
          <w:rFonts w:asciiTheme="majorHAnsi" w:eastAsia="Calibri" w:hAnsiTheme="majorHAnsi" w:cstheme="majorHAnsi"/>
          <w:sz w:val="23"/>
          <w:szCs w:val="23"/>
        </w:rPr>
        <w:t xml:space="preserve">to </w:t>
      </w:r>
      <w:r w:rsidRPr="004E7547">
        <w:rPr>
          <w:rFonts w:asciiTheme="majorHAnsi" w:eastAsia="Calibri" w:hAnsiTheme="majorHAnsi" w:cstheme="majorHAnsi"/>
          <w:sz w:val="23"/>
          <w:szCs w:val="23"/>
        </w:rPr>
        <w:t>provide more accommodation for people living in precarious or unsafe situations, including young people and those experiencing secondary homelessness.</w:t>
      </w:r>
    </w:p>
    <w:p w14:paraId="31D472F1"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Housing quality is inadequate. There are houses [with] 13–14 people living in a three-bedroom </w:t>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home, where social distancing is not possible (P3).</w:t>
      </w:r>
    </w:p>
    <w:p w14:paraId="3E4A66EF"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People were in unsafe housing, fearful of evictions and of other people in the house if they were </w:t>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[sleeping] on couches or in the spare room (P1).</w:t>
      </w:r>
    </w:p>
    <w:p w14:paraId="475BC16E"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Large numbers of kids in kinship or out-of-home care were forced back into the homes they had </w:t>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fled (P3).</w:t>
      </w:r>
    </w:p>
    <w:p w14:paraId="2618744D" w14:textId="77777777" w:rsidR="00F00E3D" w:rsidRPr="004E7547" w:rsidRDefault="00F00E3D" w:rsidP="004E7547">
      <w:pPr>
        <w:spacing w:line="276" w:lineRule="auto"/>
        <w:rPr>
          <w:rFonts w:asciiTheme="majorHAnsi" w:hAnsiTheme="majorHAnsi" w:cstheme="majorHAnsi"/>
          <w:sz w:val="23"/>
          <w:szCs w:val="23"/>
        </w:rPr>
      </w:pPr>
      <w:r w:rsidRPr="004E7547">
        <w:rPr>
          <w:rFonts w:asciiTheme="majorHAnsi" w:eastAsia="Calibri" w:hAnsiTheme="majorHAnsi" w:cstheme="majorHAnsi"/>
          <w:sz w:val="23"/>
          <w:szCs w:val="23"/>
          <w:lang w:val="en-GB"/>
        </w:rPr>
        <w:t>Mitigating the changing profile of local housing stock was another pressing issue. Our informants reported that property investment, gentrification, and in-migration are driving up local house prices and rents. There was a clear view that unless the local supply of social and affordable housing receives a significant boost, this pattern will continue to escalate housing stress, push low-income residents out of these neighbourhoods, and put vulnerable people at risk of homelessness.</w:t>
      </w:r>
    </w:p>
    <w:p w14:paraId="13327190" w14:textId="4748B8C8" w:rsidR="00F00E3D" w:rsidRPr="00E3622B" w:rsidRDefault="00F00E3D" w:rsidP="00E3622B">
      <w:pPr>
        <w:spacing w:line="276" w:lineRule="auto"/>
        <w:ind w:left="720"/>
        <w:rPr>
          <w:rFonts w:asciiTheme="majorHAnsi" w:eastAsia="Calibri" w:hAnsiTheme="majorHAnsi" w:cstheme="majorHAnsi"/>
          <w:sz w:val="23"/>
          <w:szCs w:val="23"/>
        </w:rPr>
      </w:pPr>
      <w:r w:rsidRPr="004E7547">
        <w:rPr>
          <w:rFonts w:asciiTheme="majorHAnsi" w:eastAsia="Calibri" w:hAnsiTheme="majorHAnsi" w:cstheme="majorHAnsi"/>
          <w:sz w:val="23"/>
          <w:szCs w:val="23"/>
        </w:rPr>
        <w:t>We’re seeing a housing boom in Norlane. Investors are buying houses to knock down and</w:t>
      </w:r>
      <w:r w:rsidR="00E3622B">
        <w:rPr>
          <w:rFonts w:asciiTheme="majorHAnsi" w:eastAsia="Calibri" w:hAnsiTheme="majorHAnsi" w:cstheme="majorHAnsi"/>
          <w:sz w:val="23"/>
          <w:szCs w:val="23"/>
        </w:rPr>
        <w:t xml:space="preserve"> </w:t>
      </w:r>
      <w:r w:rsidRPr="004E7547">
        <w:rPr>
          <w:rFonts w:asciiTheme="majorHAnsi" w:eastAsia="Calibri" w:hAnsiTheme="majorHAnsi" w:cstheme="majorHAnsi"/>
          <w:sz w:val="23"/>
          <w:szCs w:val="23"/>
        </w:rPr>
        <w:t>rebuild, putting up multiple units on the site. It’s really ramped up recently (P10).</w:t>
      </w:r>
    </w:p>
    <w:p w14:paraId="113B4EA6"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There has been a big surge of purchases from investors and [new residents] coming in from </w:t>
      </w:r>
      <w:r w:rsidRPr="004E7547">
        <w:rPr>
          <w:rFonts w:asciiTheme="majorHAnsi" w:hAnsiTheme="majorHAnsi" w:cstheme="majorHAnsi"/>
          <w:sz w:val="23"/>
          <w:szCs w:val="23"/>
        </w:rPr>
        <w:tab/>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Melbourne. You struggle to buy even a basic house here for less than $350,000 now (P9).</w:t>
      </w:r>
    </w:p>
    <w:p w14:paraId="2B44E5A9"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lastRenderedPageBreak/>
        <w:t>Gentrification... It is a real problem. You can see it in rising rents and the costs of houses (P1).</w:t>
      </w:r>
    </w:p>
    <w:p w14:paraId="0D2B5672"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There is a concern about where the poor will go as prices rise… Some [incoming renters] are </w:t>
      </w:r>
      <w:r w:rsidRPr="004E7547">
        <w:rPr>
          <w:rFonts w:asciiTheme="majorHAnsi" w:hAnsiTheme="majorHAnsi" w:cstheme="majorHAnsi"/>
          <w:sz w:val="23"/>
          <w:szCs w:val="23"/>
        </w:rPr>
        <w:tab/>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 xml:space="preserve">offering more than advertised to agents to secure housing. For locals this is not an option – they </w:t>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can’t compete with that (P6).</w:t>
      </w:r>
    </w:p>
    <w:p w14:paraId="52A002EB" w14:textId="77777777" w:rsidR="00F00E3D" w:rsidRPr="004E7547" w:rsidRDefault="00F00E3D" w:rsidP="004E7547">
      <w:pPr>
        <w:spacing w:line="276" w:lineRule="auto"/>
        <w:rPr>
          <w:rFonts w:asciiTheme="majorHAnsi" w:hAnsiTheme="majorHAnsi" w:cstheme="majorHAnsi"/>
          <w:sz w:val="23"/>
          <w:szCs w:val="23"/>
        </w:rPr>
      </w:pPr>
      <w:r w:rsidRPr="004E7547">
        <w:rPr>
          <w:rFonts w:asciiTheme="majorHAnsi" w:eastAsia="Calibri" w:hAnsiTheme="majorHAnsi" w:cstheme="majorHAnsi"/>
          <w:sz w:val="23"/>
          <w:szCs w:val="23"/>
          <w:lang w:val="en-GB"/>
        </w:rPr>
        <w:t>As subdivisions proliferate, one participant warned, there is a need for strong forward planning to ensure local services and infrastructure are not overwhelmed:</w:t>
      </w:r>
    </w:p>
    <w:p w14:paraId="5F9CD15A"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rPr>
        <w:t xml:space="preserve">[Property investment] is really increasing density in the area. That puts pressure on schools and </w:t>
      </w:r>
      <w:r w:rsidRPr="004E7547">
        <w:rPr>
          <w:rFonts w:asciiTheme="majorHAnsi" w:hAnsiTheme="majorHAnsi" w:cstheme="majorHAnsi"/>
          <w:sz w:val="23"/>
          <w:szCs w:val="23"/>
        </w:rPr>
        <w:tab/>
      </w:r>
      <w:r w:rsidRPr="004E7547">
        <w:rPr>
          <w:rFonts w:asciiTheme="majorHAnsi" w:eastAsia="Calibri" w:hAnsiTheme="majorHAnsi" w:cstheme="majorHAnsi"/>
          <w:sz w:val="23"/>
          <w:szCs w:val="23"/>
        </w:rPr>
        <w:t>hospitals. It’s a problem, that density, and it’s not being thought about at all (P10).</w:t>
      </w:r>
    </w:p>
    <w:p w14:paraId="27CEE34F" w14:textId="413E9BC9" w:rsidR="00F00E3D" w:rsidRPr="004E7547" w:rsidRDefault="00F00E3D" w:rsidP="004E7547">
      <w:pPr>
        <w:spacing w:line="276" w:lineRule="auto"/>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At the time of writing, participants also warned that the true extent of housing stress and poverty in the three communities has been masked by </w:t>
      </w:r>
      <w:r w:rsidR="004536A3" w:rsidRPr="004E7547">
        <w:rPr>
          <w:rFonts w:asciiTheme="majorHAnsi" w:eastAsia="Calibri" w:hAnsiTheme="majorHAnsi" w:cstheme="majorHAnsi"/>
          <w:sz w:val="23"/>
          <w:szCs w:val="23"/>
          <w:lang w:val="en-GB"/>
        </w:rPr>
        <w:t xml:space="preserve">the </w:t>
      </w:r>
      <w:r w:rsidRPr="004E7547">
        <w:rPr>
          <w:rFonts w:asciiTheme="majorHAnsi" w:eastAsia="Calibri" w:hAnsiTheme="majorHAnsi" w:cstheme="majorHAnsi"/>
          <w:sz w:val="23"/>
          <w:szCs w:val="23"/>
          <w:lang w:val="en-GB"/>
        </w:rPr>
        <w:t>Jobkeeper</w:t>
      </w:r>
      <w:r w:rsidR="004536A3" w:rsidRPr="004E7547">
        <w:rPr>
          <w:rFonts w:asciiTheme="majorHAnsi" w:eastAsia="Calibri" w:hAnsiTheme="majorHAnsi" w:cstheme="majorHAnsi"/>
          <w:sz w:val="23"/>
          <w:szCs w:val="23"/>
          <w:lang w:val="en-GB"/>
        </w:rPr>
        <w:t xml:space="preserve"> scheme</w:t>
      </w:r>
      <w:r w:rsidRPr="004E7547">
        <w:rPr>
          <w:rFonts w:asciiTheme="majorHAnsi" w:eastAsia="Calibri" w:hAnsiTheme="majorHAnsi" w:cstheme="majorHAnsi"/>
          <w:sz w:val="23"/>
          <w:szCs w:val="23"/>
          <w:lang w:val="en-GB"/>
        </w:rPr>
        <w:t xml:space="preserve">, </w:t>
      </w:r>
      <w:r w:rsidR="004536A3" w:rsidRPr="004E7547">
        <w:rPr>
          <w:rFonts w:asciiTheme="majorHAnsi" w:eastAsia="Calibri" w:hAnsiTheme="majorHAnsi" w:cstheme="majorHAnsi"/>
          <w:sz w:val="23"/>
          <w:szCs w:val="23"/>
          <w:lang w:val="en-GB"/>
        </w:rPr>
        <w:t xml:space="preserve">JobSeeker supplements, </w:t>
      </w:r>
      <w:r w:rsidRPr="004E7547">
        <w:rPr>
          <w:rFonts w:asciiTheme="majorHAnsi" w:eastAsia="Calibri" w:hAnsiTheme="majorHAnsi" w:cstheme="majorHAnsi"/>
          <w:sz w:val="23"/>
          <w:szCs w:val="23"/>
          <w:lang w:val="en-GB"/>
        </w:rPr>
        <w:t xml:space="preserve">and </w:t>
      </w:r>
      <w:r w:rsidR="00E3622B">
        <w:rPr>
          <w:rFonts w:asciiTheme="majorHAnsi" w:eastAsia="Calibri" w:hAnsiTheme="majorHAnsi" w:cstheme="majorHAnsi"/>
          <w:sz w:val="23"/>
          <w:szCs w:val="23"/>
          <w:lang w:val="en-GB"/>
        </w:rPr>
        <w:t xml:space="preserve">to a lesser extent, </w:t>
      </w:r>
      <w:r w:rsidRPr="004E7547">
        <w:rPr>
          <w:rFonts w:asciiTheme="majorHAnsi" w:eastAsia="Calibri" w:hAnsiTheme="majorHAnsi" w:cstheme="majorHAnsi"/>
          <w:sz w:val="23"/>
          <w:szCs w:val="23"/>
          <w:lang w:val="en-GB"/>
        </w:rPr>
        <w:t xml:space="preserve">eviction moratoriums. The real </w:t>
      </w:r>
      <w:r w:rsidR="00413907">
        <w:rPr>
          <w:rFonts w:asciiTheme="majorHAnsi" w:eastAsia="Calibri" w:hAnsiTheme="majorHAnsi" w:cstheme="majorHAnsi"/>
          <w:sz w:val="23"/>
          <w:szCs w:val="23"/>
          <w:lang w:val="en-GB"/>
        </w:rPr>
        <w:t xml:space="preserve">and serious </w:t>
      </w:r>
      <w:r w:rsidRPr="004E7547">
        <w:rPr>
          <w:rFonts w:asciiTheme="majorHAnsi" w:eastAsia="Calibri" w:hAnsiTheme="majorHAnsi" w:cstheme="majorHAnsi"/>
          <w:sz w:val="23"/>
          <w:szCs w:val="23"/>
          <w:lang w:val="en-GB"/>
        </w:rPr>
        <w:t xml:space="preserve">impacts will only start to emerge from </w:t>
      </w:r>
      <w:r w:rsidR="004536A3" w:rsidRPr="004E7547">
        <w:rPr>
          <w:rFonts w:asciiTheme="majorHAnsi" w:eastAsia="Calibri" w:hAnsiTheme="majorHAnsi" w:cstheme="majorHAnsi"/>
          <w:sz w:val="23"/>
          <w:szCs w:val="23"/>
          <w:lang w:val="en-GB"/>
        </w:rPr>
        <w:t>April 2021</w:t>
      </w:r>
      <w:r w:rsidRPr="004E7547">
        <w:rPr>
          <w:rFonts w:asciiTheme="majorHAnsi" w:eastAsia="Calibri" w:hAnsiTheme="majorHAnsi" w:cstheme="majorHAnsi"/>
          <w:sz w:val="23"/>
          <w:szCs w:val="23"/>
          <w:lang w:val="en-GB"/>
        </w:rPr>
        <w:t xml:space="preserve">, </w:t>
      </w:r>
      <w:r w:rsidR="00E3622B">
        <w:rPr>
          <w:rFonts w:asciiTheme="majorHAnsi" w:eastAsia="Calibri" w:hAnsiTheme="majorHAnsi" w:cstheme="majorHAnsi"/>
          <w:sz w:val="23"/>
          <w:szCs w:val="23"/>
          <w:lang w:val="en-GB"/>
        </w:rPr>
        <w:t>after</w:t>
      </w:r>
      <w:r w:rsidRPr="004E7547">
        <w:rPr>
          <w:rFonts w:asciiTheme="majorHAnsi" w:eastAsia="Calibri" w:hAnsiTheme="majorHAnsi" w:cstheme="majorHAnsi"/>
          <w:sz w:val="23"/>
          <w:szCs w:val="23"/>
          <w:lang w:val="en-GB"/>
        </w:rPr>
        <w:t xml:space="preserve"> these </w:t>
      </w:r>
      <w:r w:rsidR="00E3622B">
        <w:rPr>
          <w:rFonts w:asciiTheme="majorHAnsi" w:eastAsia="Calibri" w:hAnsiTheme="majorHAnsi" w:cstheme="majorHAnsi"/>
          <w:sz w:val="23"/>
          <w:szCs w:val="23"/>
          <w:lang w:val="en-GB"/>
        </w:rPr>
        <w:t xml:space="preserve">protective </w:t>
      </w:r>
      <w:r w:rsidRPr="004E7547">
        <w:rPr>
          <w:rFonts w:asciiTheme="majorHAnsi" w:eastAsia="Calibri" w:hAnsiTheme="majorHAnsi" w:cstheme="majorHAnsi"/>
          <w:sz w:val="23"/>
          <w:szCs w:val="23"/>
          <w:lang w:val="en-GB"/>
        </w:rPr>
        <w:t>measures</w:t>
      </w:r>
      <w:r w:rsidR="00E3622B">
        <w:rPr>
          <w:rFonts w:asciiTheme="majorHAnsi" w:eastAsia="Calibri" w:hAnsiTheme="majorHAnsi" w:cstheme="majorHAnsi"/>
          <w:sz w:val="23"/>
          <w:szCs w:val="23"/>
          <w:lang w:val="en-GB"/>
        </w:rPr>
        <w:t xml:space="preserve"> have been</w:t>
      </w:r>
      <w:r w:rsidRPr="004E7547">
        <w:rPr>
          <w:rFonts w:asciiTheme="majorHAnsi" w:eastAsia="Calibri" w:hAnsiTheme="majorHAnsi" w:cstheme="majorHAnsi"/>
          <w:sz w:val="23"/>
          <w:szCs w:val="23"/>
          <w:lang w:val="en-GB"/>
        </w:rPr>
        <w:t xml:space="preserve"> abolished.</w:t>
      </w:r>
    </w:p>
    <w:p w14:paraId="46F31448" w14:textId="7C59153A" w:rsidR="00F00E3D" w:rsidRPr="00E3622B" w:rsidRDefault="008C3DC1" w:rsidP="004E7547">
      <w:pPr>
        <w:spacing w:line="276" w:lineRule="auto"/>
        <w:rPr>
          <w:rFonts w:eastAsia="Calibri" w:cstheme="majorHAnsi"/>
          <w:b/>
          <w:bCs/>
          <w:color w:val="4472C4" w:themeColor="accent1"/>
          <w:sz w:val="25"/>
          <w:szCs w:val="25"/>
        </w:rPr>
      </w:pPr>
      <w:r>
        <w:rPr>
          <w:rFonts w:eastAsia="Calibri" w:cstheme="majorHAnsi"/>
          <w:b/>
          <w:bCs/>
          <w:color w:val="2F5496" w:themeColor="accent1" w:themeShade="BF"/>
          <w:sz w:val="25"/>
          <w:szCs w:val="25"/>
        </w:rPr>
        <w:t xml:space="preserve">Better </w:t>
      </w:r>
      <w:r w:rsidR="00F00E3D" w:rsidRPr="00E3622B">
        <w:rPr>
          <w:rFonts w:eastAsia="Calibri" w:cstheme="majorHAnsi"/>
          <w:b/>
          <w:bCs/>
          <w:color w:val="2F5496" w:themeColor="accent1" w:themeShade="BF"/>
          <w:sz w:val="25"/>
          <w:szCs w:val="25"/>
        </w:rPr>
        <w:t>Public Space</w:t>
      </w:r>
      <w:r>
        <w:rPr>
          <w:rFonts w:eastAsia="Calibri" w:cstheme="majorHAnsi"/>
          <w:b/>
          <w:bCs/>
          <w:color w:val="2F5496" w:themeColor="accent1" w:themeShade="BF"/>
          <w:sz w:val="25"/>
          <w:szCs w:val="25"/>
        </w:rPr>
        <w:t>s and Places</w:t>
      </w:r>
      <w:r w:rsidR="00F00E3D" w:rsidRPr="00E3622B">
        <w:rPr>
          <w:rFonts w:cstheme="majorHAnsi"/>
          <w:b/>
          <w:bCs/>
          <w:color w:val="2F5496" w:themeColor="accent1" w:themeShade="BF"/>
          <w:sz w:val="25"/>
          <w:szCs w:val="25"/>
        </w:rPr>
        <w:tab/>
      </w:r>
      <w:r w:rsidR="00F00E3D" w:rsidRPr="00E3622B">
        <w:rPr>
          <w:rFonts w:cstheme="majorHAnsi"/>
          <w:b/>
          <w:bCs/>
          <w:color w:val="2F5496" w:themeColor="accent1" w:themeShade="BF"/>
          <w:sz w:val="25"/>
          <w:szCs w:val="25"/>
        </w:rPr>
        <w:tab/>
      </w:r>
      <w:r w:rsidR="00F00E3D" w:rsidRPr="00E3622B">
        <w:rPr>
          <w:rFonts w:cstheme="majorHAnsi"/>
          <w:b/>
          <w:bCs/>
          <w:sz w:val="25"/>
          <w:szCs w:val="25"/>
        </w:rPr>
        <w:tab/>
      </w:r>
      <w:r w:rsidR="00F00E3D" w:rsidRPr="00E3622B">
        <w:rPr>
          <w:rFonts w:cstheme="majorHAnsi"/>
          <w:b/>
          <w:bCs/>
          <w:sz w:val="25"/>
          <w:szCs w:val="25"/>
        </w:rPr>
        <w:tab/>
      </w:r>
      <w:r w:rsidR="00F00E3D" w:rsidRPr="00E3622B">
        <w:rPr>
          <w:rFonts w:cstheme="majorHAnsi"/>
          <w:b/>
          <w:bCs/>
          <w:sz w:val="25"/>
          <w:szCs w:val="25"/>
        </w:rPr>
        <w:tab/>
      </w:r>
      <w:r w:rsidR="00F00E3D" w:rsidRPr="00E3622B">
        <w:rPr>
          <w:rFonts w:cstheme="majorHAnsi"/>
          <w:b/>
          <w:bCs/>
          <w:sz w:val="25"/>
          <w:szCs w:val="25"/>
        </w:rPr>
        <w:tab/>
      </w:r>
      <w:r w:rsidR="00F00E3D" w:rsidRPr="00E3622B">
        <w:rPr>
          <w:rFonts w:cstheme="majorHAnsi"/>
          <w:b/>
          <w:bCs/>
          <w:sz w:val="25"/>
          <w:szCs w:val="25"/>
        </w:rPr>
        <w:tab/>
      </w:r>
    </w:p>
    <w:p w14:paraId="765DEC0A" w14:textId="2D73814E" w:rsidR="00F00E3D" w:rsidRPr="00413907" w:rsidRDefault="00F00E3D" w:rsidP="004E7547">
      <w:pPr>
        <w:spacing w:after="0" w:line="276" w:lineRule="auto"/>
        <w:rPr>
          <w:rFonts w:cstheme="majorHAnsi"/>
          <w:color w:val="595959" w:themeColor="text1" w:themeTint="A6"/>
          <w:sz w:val="23"/>
          <w:szCs w:val="23"/>
        </w:rPr>
      </w:pPr>
      <w:r w:rsidRPr="00413907">
        <w:rPr>
          <w:rFonts w:eastAsia="Calibri" w:cstheme="majorHAnsi"/>
          <w:b/>
          <w:bCs/>
          <w:color w:val="595959" w:themeColor="text1" w:themeTint="A6"/>
          <w:sz w:val="23"/>
          <w:szCs w:val="23"/>
        </w:rPr>
        <w:t xml:space="preserve">Main </w:t>
      </w:r>
      <w:r w:rsidR="00D95573">
        <w:rPr>
          <w:rFonts w:eastAsia="Calibri" w:cstheme="majorHAnsi"/>
          <w:b/>
          <w:bCs/>
          <w:color w:val="595959" w:themeColor="text1" w:themeTint="A6"/>
          <w:sz w:val="23"/>
          <w:szCs w:val="23"/>
        </w:rPr>
        <w:t>Practice Domain</w:t>
      </w:r>
      <w:r w:rsidRPr="00413907">
        <w:rPr>
          <w:rFonts w:eastAsia="Calibri" w:cstheme="majorHAnsi"/>
          <w:b/>
          <w:bCs/>
          <w:color w:val="595959" w:themeColor="text1" w:themeTint="A6"/>
          <w:sz w:val="23"/>
          <w:szCs w:val="23"/>
        </w:rPr>
        <w:t>(s):</w:t>
      </w:r>
      <w:r w:rsidR="00413907" w:rsidRPr="00413907">
        <w:rPr>
          <w:rFonts w:eastAsia="Calibri" w:cstheme="majorHAnsi"/>
          <w:b/>
          <w:bCs/>
          <w:color w:val="595959" w:themeColor="text1" w:themeTint="A6"/>
          <w:sz w:val="23"/>
          <w:szCs w:val="23"/>
        </w:rPr>
        <w:tab/>
      </w:r>
      <w:r w:rsidR="00413907" w:rsidRPr="00413907">
        <w:rPr>
          <w:rFonts w:eastAsia="Calibri" w:cstheme="majorHAnsi"/>
          <w:b/>
          <w:bCs/>
          <w:color w:val="595959" w:themeColor="text1" w:themeTint="A6"/>
          <w:sz w:val="23"/>
          <w:szCs w:val="23"/>
        </w:rPr>
        <w:tab/>
      </w:r>
      <w:r w:rsidRPr="00413907">
        <w:rPr>
          <w:rFonts w:eastAsia="Calibri" w:cstheme="majorHAnsi"/>
          <w:b/>
          <w:bCs/>
          <w:color w:val="595959" w:themeColor="text1" w:themeTint="A6"/>
          <w:sz w:val="23"/>
          <w:szCs w:val="23"/>
        </w:rPr>
        <w:t>Liveability, Health and Wellbeing</w:t>
      </w:r>
    </w:p>
    <w:p w14:paraId="0C352C54" w14:textId="487BC827" w:rsidR="00F00E3D" w:rsidRPr="00413907" w:rsidRDefault="00F00E3D" w:rsidP="004E7547">
      <w:pPr>
        <w:spacing w:after="0" w:line="276" w:lineRule="auto"/>
        <w:rPr>
          <w:rFonts w:eastAsia="Calibri" w:cstheme="majorHAnsi"/>
          <w:b/>
          <w:bCs/>
          <w:color w:val="595959" w:themeColor="text1" w:themeTint="A6"/>
          <w:sz w:val="23"/>
          <w:szCs w:val="23"/>
        </w:rPr>
      </w:pPr>
      <w:r w:rsidRPr="00413907">
        <w:rPr>
          <w:rFonts w:eastAsia="Calibri" w:cstheme="majorHAnsi"/>
          <w:b/>
          <w:bCs/>
          <w:color w:val="595959" w:themeColor="text1" w:themeTint="A6"/>
          <w:sz w:val="23"/>
          <w:szCs w:val="23"/>
        </w:rPr>
        <w:t xml:space="preserve">Secondary </w:t>
      </w:r>
      <w:r w:rsidR="00D95573">
        <w:rPr>
          <w:rFonts w:eastAsia="Calibri" w:cstheme="majorHAnsi"/>
          <w:b/>
          <w:bCs/>
          <w:color w:val="595959" w:themeColor="text1" w:themeTint="A6"/>
          <w:sz w:val="23"/>
          <w:szCs w:val="23"/>
        </w:rPr>
        <w:t>Practice Domain</w:t>
      </w:r>
      <w:r w:rsidRPr="00413907">
        <w:rPr>
          <w:rFonts w:eastAsia="Calibri" w:cstheme="majorHAnsi"/>
          <w:b/>
          <w:bCs/>
          <w:color w:val="595959" w:themeColor="text1" w:themeTint="A6"/>
          <w:sz w:val="23"/>
          <w:szCs w:val="23"/>
        </w:rPr>
        <w:t>(s):</w:t>
      </w:r>
      <w:r w:rsidR="00413907" w:rsidRPr="00413907">
        <w:rPr>
          <w:rFonts w:eastAsia="Calibri" w:cstheme="majorHAnsi"/>
          <w:b/>
          <w:bCs/>
          <w:color w:val="595959" w:themeColor="text1" w:themeTint="A6"/>
          <w:sz w:val="23"/>
          <w:szCs w:val="23"/>
        </w:rPr>
        <w:tab/>
      </w:r>
      <w:r w:rsidRPr="00413907">
        <w:rPr>
          <w:rFonts w:eastAsia="Calibri" w:cstheme="majorHAnsi"/>
          <w:b/>
          <w:bCs/>
          <w:color w:val="595959" w:themeColor="text1" w:themeTint="A6"/>
          <w:sz w:val="23"/>
          <w:szCs w:val="23"/>
        </w:rPr>
        <w:t>Employment</w:t>
      </w:r>
    </w:p>
    <w:p w14:paraId="3A227533" w14:textId="77777777" w:rsidR="00F45E37" w:rsidRPr="00BF191E" w:rsidRDefault="00F45E37" w:rsidP="004E7547">
      <w:pPr>
        <w:spacing w:after="0" w:line="276" w:lineRule="auto"/>
        <w:rPr>
          <w:rFonts w:cstheme="majorHAnsi"/>
          <w:sz w:val="12"/>
          <w:szCs w:val="12"/>
        </w:rPr>
      </w:pPr>
    </w:p>
    <w:p w14:paraId="6EF24D2F" w14:textId="53B30B73" w:rsidR="00F00E3D" w:rsidRPr="004E7547" w:rsidRDefault="00413907" w:rsidP="004E7547">
      <w:pPr>
        <w:spacing w:line="276" w:lineRule="auto"/>
        <w:rPr>
          <w:rFonts w:asciiTheme="majorHAnsi" w:hAnsiTheme="majorHAnsi" w:cstheme="majorHAnsi"/>
          <w:sz w:val="23"/>
          <w:szCs w:val="23"/>
        </w:rPr>
      </w:pPr>
      <w:r>
        <w:rPr>
          <w:rFonts w:asciiTheme="majorHAnsi" w:eastAsia="Calibri" w:hAnsiTheme="majorHAnsi" w:cstheme="majorHAnsi"/>
          <w:sz w:val="23"/>
          <w:szCs w:val="23"/>
        </w:rPr>
        <w:t>Our i</w:t>
      </w:r>
      <w:r w:rsidR="00F00E3D" w:rsidRPr="004E7547">
        <w:rPr>
          <w:rFonts w:asciiTheme="majorHAnsi" w:eastAsia="Calibri" w:hAnsiTheme="majorHAnsi" w:cstheme="majorHAnsi"/>
          <w:sz w:val="23"/>
          <w:szCs w:val="23"/>
        </w:rPr>
        <w:t>nformants highlighted a need for</w:t>
      </w:r>
      <w:r w:rsidR="00F00E3D" w:rsidRPr="004E7547">
        <w:rPr>
          <w:rFonts w:asciiTheme="majorHAnsi" w:eastAsia="Calibri" w:hAnsiTheme="majorHAnsi" w:cstheme="majorHAnsi"/>
          <w:sz w:val="23"/>
          <w:szCs w:val="23"/>
          <w:lang w:val="en-GB"/>
        </w:rPr>
        <w:t xml:space="preserve"> more </w:t>
      </w:r>
      <w:r>
        <w:rPr>
          <w:rFonts w:asciiTheme="majorHAnsi" w:eastAsia="Calibri" w:hAnsiTheme="majorHAnsi" w:cstheme="majorHAnsi"/>
          <w:sz w:val="23"/>
          <w:szCs w:val="23"/>
          <w:lang w:val="en-GB"/>
        </w:rPr>
        <w:t xml:space="preserve">high-quality </w:t>
      </w:r>
      <w:r w:rsidR="00F00E3D" w:rsidRPr="004E7547">
        <w:rPr>
          <w:rFonts w:asciiTheme="majorHAnsi" w:eastAsia="Calibri" w:hAnsiTheme="majorHAnsi" w:cstheme="majorHAnsi"/>
          <w:sz w:val="23"/>
          <w:szCs w:val="23"/>
          <w:lang w:val="en-GB"/>
        </w:rPr>
        <w:t>communal spaces where people can safely gather, move around, and socialise. Social isolation was a common</w:t>
      </w:r>
      <w:r w:rsidR="000619D6">
        <w:rPr>
          <w:rFonts w:asciiTheme="majorHAnsi" w:eastAsia="Calibri" w:hAnsiTheme="majorHAnsi" w:cstheme="majorHAnsi"/>
          <w:sz w:val="23"/>
          <w:szCs w:val="23"/>
          <w:lang w:val="en-GB"/>
        </w:rPr>
        <w:t>ly cited impact of the pandemic</w:t>
      </w:r>
      <w:r w:rsidR="00F00E3D" w:rsidRPr="004E7547">
        <w:rPr>
          <w:rFonts w:asciiTheme="majorHAnsi" w:eastAsia="Calibri" w:hAnsiTheme="majorHAnsi" w:cstheme="majorHAnsi"/>
          <w:sz w:val="23"/>
          <w:szCs w:val="23"/>
          <w:lang w:val="en-GB"/>
        </w:rPr>
        <w:t xml:space="preserve">, and </w:t>
      </w:r>
      <w:r w:rsidR="00940D80" w:rsidRPr="004E7547">
        <w:rPr>
          <w:rFonts w:asciiTheme="majorHAnsi" w:eastAsia="Calibri" w:hAnsiTheme="majorHAnsi" w:cstheme="majorHAnsi"/>
          <w:sz w:val="23"/>
          <w:szCs w:val="23"/>
          <w:lang w:val="en-GB"/>
        </w:rPr>
        <w:t>COVID</w:t>
      </w:r>
      <w:r w:rsidR="00F00E3D" w:rsidRPr="004E7547">
        <w:rPr>
          <w:rFonts w:asciiTheme="majorHAnsi" w:eastAsia="Calibri" w:hAnsiTheme="majorHAnsi" w:cstheme="majorHAnsi"/>
          <w:sz w:val="23"/>
          <w:szCs w:val="23"/>
          <w:lang w:val="en-GB"/>
        </w:rPr>
        <w:t>-19 has</w:t>
      </w:r>
      <w:r w:rsidR="000619D6">
        <w:rPr>
          <w:rFonts w:asciiTheme="majorHAnsi" w:eastAsia="Calibri" w:hAnsiTheme="majorHAnsi" w:cstheme="majorHAnsi"/>
          <w:sz w:val="23"/>
          <w:szCs w:val="23"/>
          <w:lang w:val="en-GB"/>
        </w:rPr>
        <w:t xml:space="preserve"> also</w:t>
      </w:r>
      <w:r w:rsidR="00F00E3D" w:rsidRPr="004E7547">
        <w:rPr>
          <w:rFonts w:asciiTheme="majorHAnsi" w:eastAsia="Calibri" w:hAnsiTheme="majorHAnsi" w:cstheme="majorHAnsi"/>
          <w:sz w:val="23"/>
          <w:szCs w:val="23"/>
          <w:lang w:val="en-GB"/>
        </w:rPr>
        <w:t xml:space="preserve"> affirmed the vital role that </w:t>
      </w:r>
      <w:r w:rsidR="0090384F">
        <w:rPr>
          <w:rFonts w:asciiTheme="majorHAnsi" w:eastAsia="Calibri" w:hAnsiTheme="majorHAnsi" w:cstheme="majorHAnsi"/>
          <w:sz w:val="23"/>
          <w:szCs w:val="23"/>
          <w:lang w:val="en-GB"/>
        </w:rPr>
        <w:t xml:space="preserve">inclusive </w:t>
      </w:r>
      <w:r w:rsidR="00F00E3D" w:rsidRPr="004E7547">
        <w:rPr>
          <w:rFonts w:asciiTheme="majorHAnsi" w:eastAsia="Calibri" w:hAnsiTheme="majorHAnsi" w:cstheme="majorHAnsi"/>
          <w:sz w:val="23"/>
          <w:szCs w:val="23"/>
          <w:lang w:val="en-GB"/>
        </w:rPr>
        <w:t xml:space="preserve">public </w:t>
      </w:r>
      <w:r w:rsidR="0090384F">
        <w:rPr>
          <w:rFonts w:asciiTheme="majorHAnsi" w:eastAsia="Calibri" w:hAnsiTheme="majorHAnsi" w:cstheme="majorHAnsi"/>
          <w:sz w:val="23"/>
          <w:szCs w:val="23"/>
          <w:lang w:val="en-GB"/>
        </w:rPr>
        <w:t xml:space="preserve">and open </w:t>
      </w:r>
      <w:r w:rsidR="00F00E3D" w:rsidRPr="004E7547">
        <w:rPr>
          <w:rFonts w:asciiTheme="majorHAnsi" w:eastAsia="Calibri" w:hAnsiTheme="majorHAnsi" w:cstheme="majorHAnsi"/>
          <w:sz w:val="23"/>
          <w:szCs w:val="23"/>
          <w:lang w:val="en-GB"/>
        </w:rPr>
        <w:t>spaces play in residents’ health and wellbeing. Parks and green space, libraries, community centres</w:t>
      </w:r>
      <w:r w:rsidR="0090384F">
        <w:rPr>
          <w:rFonts w:asciiTheme="majorHAnsi" w:eastAsia="Calibri" w:hAnsiTheme="majorHAnsi" w:cstheme="majorHAnsi"/>
          <w:sz w:val="23"/>
          <w:szCs w:val="23"/>
          <w:lang w:val="en-GB"/>
        </w:rPr>
        <w:t>,</w:t>
      </w:r>
      <w:r w:rsidR="00F00E3D" w:rsidRPr="004E7547">
        <w:rPr>
          <w:rFonts w:asciiTheme="majorHAnsi" w:eastAsia="Calibri" w:hAnsiTheme="majorHAnsi" w:cstheme="majorHAnsi"/>
          <w:sz w:val="23"/>
          <w:szCs w:val="23"/>
          <w:lang w:val="en-GB"/>
        </w:rPr>
        <w:t xml:space="preserve"> and local shops were nominated as valued community sites. For younger residents, basketball courts, skateparks, sports facilities, playgrounds, and the </w:t>
      </w:r>
      <w:r w:rsidR="00AB3D7C" w:rsidRPr="004E7547">
        <w:rPr>
          <w:rFonts w:asciiTheme="majorHAnsi" w:eastAsia="Calibri Light" w:hAnsiTheme="majorHAnsi" w:cstheme="majorBidi"/>
          <w:sz w:val="21"/>
          <w:szCs w:val="21"/>
        </w:rPr>
        <w:t>fOrT Youth Centre</w:t>
      </w:r>
      <w:r w:rsidR="00AB3D7C" w:rsidRPr="004E7547">
        <w:rPr>
          <w:rFonts w:asciiTheme="majorHAnsi" w:eastAsia="Calibri" w:hAnsiTheme="majorHAnsi" w:cstheme="majorHAnsi"/>
          <w:sz w:val="23"/>
          <w:szCs w:val="23"/>
          <w:lang w:val="en-GB"/>
        </w:rPr>
        <w:t xml:space="preserve"> </w:t>
      </w:r>
      <w:r w:rsidR="00F00E3D" w:rsidRPr="004E7547">
        <w:rPr>
          <w:rFonts w:asciiTheme="majorHAnsi" w:eastAsia="Calibri" w:hAnsiTheme="majorHAnsi" w:cstheme="majorHAnsi"/>
          <w:sz w:val="23"/>
          <w:szCs w:val="23"/>
          <w:lang w:val="en-GB"/>
        </w:rPr>
        <w:t>were also significant.</w:t>
      </w:r>
    </w:p>
    <w:p w14:paraId="6087E687"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Local parks and green space were really important to mental health (P5).</w:t>
      </w:r>
    </w:p>
    <w:p w14:paraId="58A3BCF5"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rPr>
        <w:t>We should create more spaces where people can connect and gather (P4).</w:t>
      </w:r>
    </w:p>
    <w:p w14:paraId="1C94DCC5"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rPr>
        <w:t xml:space="preserve">We need </w:t>
      </w:r>
      <w:r w:rsidRPr="004E7547">
        <w:rPr>
          <w:rFonts w:asciiTheme="majorHAnsi" w:eastAsia="Calibri" w:hAnsiTheme="majorHAnsi" w:cstheme="majorHAnsi"/>
          <w:sz w:val="23"/>
          <w:szCs w:val="23"/>
          <w:lang w:val="en-GB"/>
        </w:rPr>
        <w:t xml:space="preserve">gathering spaces. Invite people out of their houses and reconnect them with the </w:t>
      </w:r>
      <w:r w:rsidRPr="004E7547">
        <w:rPr>
          <w:rFonts w:asciiTheme="majorHAnsi" w:hAnsiTheme="majorHAnsi" w:cstheme="majorHAnsi"/>
          <w:sz w:val="23"/>
          <w:szCs w:val="23"/>
        </w:rPr>
        <w:tab/>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community (P3).</w:t>
      </w:r>
    </w:p>
    <w:p w14:paraId="15E63C46" w14:textId="2BDC96F6" w:rsidR="00F00E3D" w:rsidRPr="004E7547" w:rsidRDefault="00F00E3D" w:rsidP="004E7547">
      <w:pPr>
        <w:spacing w:line="276" w:lineRule="auto"/>
        <w:rPr>
          <w:rFonts w:asciiTheme="majorHAnsi" w:hAnsiTheme="majorHAnsi" w:cstheme="majorHAnsi"/>
          <w:sz w:val="23"/>
          <w:szCs w:val="23"/>
        </w:rPr>
      </w:pPr>
      <w:r w:rsidRPr="004E7547">
        <w:rPr>
          <w:rFonts w:asciiTheme="majorHAnsi" w:eastAsia="Calibri" w:hAnsiTheme="majorHAnsi" w:cstheme="majorHAnsi"/>
          <w:sz w:val="23"/>
          <w:szCs w:val="23"/>
          <w:lang w:val="en-GB"/>
        </w:rPr>
        <w:t>Suggestions included creating or upgrading small parks, green spaces</w:t>
      </w:r>
      <w:r w:rsidR="0090384F">
        <w:rPr>
          <w:rFonts w:asciiTheme="majorHAnsi" w:eastAsia="Calibri" w:hAnsiTheme="majorHAnsi" w:cstheme="majorHAnsi"/>
          <w:sz w:val="23"/>
          <w:szCs w:val="23"/>
          <w:lang w:val="en-GB"/>
        </w:rPr>
        <w:t>,</w:t>
      </w:r>
      <w:r w:rsidRPr="004E7547">
        <w:rPr>
          <w:rFonts w:asciiTheme="majorHAnsi" w:eastAsia="Calibri" w:hAnsiTheme="majorHAnsi" w:cstheme="majorHAnsi"/>
          <w:sz w:val="23"/>
          <w:szCs w:val="23"/>
          <w:lang w:val="en-GB"/>
        </w:rPr>
        <w:t xml:space="preserve"> and playgrounds, fixing problematic or “unsafe” sites, providing spaces for underserved groups, and creating hybrid community spaces that serve multiple purposes. Specific sites were nominated for attention:</w:t>
      </w:r>
    </w:p>
    <w:p w14:paraId="3CA30094" w14:textId="519A69E0"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There are pockets of public space across the north where three roads converge. They could be </w:t>
      </w:r>
      <w:r w:rsidRPr="004E7547">
        <w:tab/>
      </w:r>
      <w:r w:rsidRPr="004E7547">
        <w:rPr>
          <w:rFonts w:asciiTheme="majorHAnsi" w:eastAsia="Calibri" w:hAnsiTheme="majorHAnsi" w:cstheme="majorHAnsi"/>
          <w:sz w:val="23"/>
          <w:szCs w:val="23"/>
          <w:lang w:val="en-GB"/>
        </w:rPr>
        <w:t>fenced, have play equipment put in, and be designed as parks (P9).</w:t>
      </w:r>
    </w:p>
    <w:p w14:paraId="5459FB9D" w14:textId="2F685B85" w:rsidR="00F00E3D" w:rsidRPr="004E7547" w:rsidRDefault="00F00E3D" w:rsidP="0090384F">
      <w:pPr>
        <w:spacing w:line="276" w:lineRule="auto"/>
        <w:ind w:left="720"/>
        <w:rPr>
          <w:rFonts w:asciiTheme="majorHAnsi" w:hAnsiTheme="majorHAnsi" w:cstheme="majorHAnsi"/>
          <w:sz w:val="23"/>
          <w:szCs w:val="23"/>
        </w:rPr>
      </w:pPr>
      <w:r w:rsidRPr="004E7547">
        <w:rPr>
          <w:rFonts w:asciiTheme="majorHAnsi" w:eastAsia="Calibri" w:hAnsiTheme="majorHAnsi" w:cstheme="majorHAnsi"/>
          <w:sz w:val="23"/>
          <w:szCs w:val="23"/>
        </w:rPr>
        <w:t xml:space="preserve">Two important places during </w:t>
      </w:r>
      <w:r w:rsidR="00940D80" w:rsidRPr="004E7547">
        <w:rPr>
          <w:rFonts w:asciiTheme="majorHAnsi" w:eastAsia="Calibri" w:hAnsiTheme="majorHAnsi" w:cstheme="majorHAnsi"/>
          <w:sz w:val="23"/>
          <w:szCs w:val="23"/>
        </w:rPr>
        <w:t>COVID</w:t>
      </w:r>
      <w:r w:rsidRPr="004E7547">
        <w:rPr>
          <w:rFonts w:asciiTheme="majorHAnsi" w:eastAsia="Calibri" w:hAnsiTheme="majorHAnsi" w:cstheme="majorHAnsi"/>
          <w:sz w:val="23"/>
          <w:szCs w:val="23"/>
        </w:rPr>
        <w:t xml:space="preserve"> were Cowies Creek and Seagull Paddock. You saw more people walking up and down the creek. Seagull Paddock is underappreciated, but it’s really the jewel in Norlane’s crown. It offers heaps of potential for people to connect with nature. There’s</w:t>
      </w:r>
      <w:r w:rsidR="0090384F">
        <w:rPr>
          <w:rFonts w:asciiTheme="majorHAnsi" w:eastAsia="Calibri" w:hAnsiTheme="majorHAnsi" w:cstheme="majorHAnsi"/>
          <w:sz w:val="23"/>
          <w:szCs w:val="23"/>
        </w:rPr>
        <w:t xml:space="preserve"> </w:t>
      </w:r>
      <w:r w:rsidRPr="004E7547">
        <w:rPr>
          <w:rFonts w:asciiTheme="majorHAnsi" w:eastAsia="Calibri" w:hAnsiTheme="majorHAnsi" w:cstheme="majorHAnsi"/>
          <w:sz w:val="23"/>
          <w:szCs w:val="23"/>
        </w:rPr>
        <w:t>a little beach, a local swimming hole. On New Year’s Eve the beach was packed (P11).</w:t>
      </w:r>
      <w:hyperlink r:id="rId114" w:anchor="_ftn1">
        <w:r w:rsidRPr="004E7547">
          <w:rPr>
            <w:rStyle w:val="Hyperlink"/>
            <w:rFonts w:asciiTheme="majorHAnsi" w:eastAsia="Calibri" w:hAnsiTheme="majorHAnsi" w:cstheme="majorHAnsi"/>
            <w:sz w:val="23"/>
            <w:szCs w:val="23"/>
            <w:vertAlign w:val="superscript"/>
          </w:rPr>
          <w:t>[1]</w:t>
        </w:r>
      </w:hyperlink>
    </w:p>
    <w:p w14:paraId="1B16ABAD" w14:textId="33C12422"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The Link and the Oval were well intentioned, but they create their own issues. They can’t be </w:t>
      </w:r>
      <w:r w:rsidRPr="004E7547">
        <w:rPr>
          <w:rFonts w:asciiTheme="majorHAnsi" w:hAnsiTheme="majorHAnsi" w:cstheme="majorHAnsi"/>
          <w:sz w:val="23"/>
          <w:szCs w:val="23"/>
        </w:rPr>
        <w:tab/>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 xml:space="preserve">policed… </w:t>
      </w:r>
      <w:r w:rsidR="001B7DDF">
        <w:rPr>
          <w:rFonts w:asciiTheme="majorHAnsi" w:eastAsia="Calibri" w:hAnsiTheme="majorHAnsi" w:cstheme="majorHAnsi"/>
          <w:sz w:val="23"/>
          <w:szCs w:val="23"/>
          <w:lang w:val="en-GB"/>
        </w:rPr>
        <w:t>COGG</w:t>
      </w:r>
      <w:r w:rsidRPr="004E7547">
        <w:rPr>
          <w:rFonts w:asciiTheme="majorHAnsi" w:eastAsia="Calibri" w:hAnsiTheme="majorHAnsi" w:cstheme="majorHAnsi"/>
          <w:sz w:val="23"/>
          <w:szCs w:val="23"/>
          <w:lang w:val="en-GB"/>
        </w:rPr>
        <w:t xml:space="preserve"> put in lights but that doesn’t kelp. A kinder and day care would have helped </w:t>
      </w:r>
      <w:r w:rsidRPr="004E7547">
        <w:rPr>
          <w:rFonts w:asciiTheme="majorHAnsi" w:hAnsiTheme="majorHAnsi" w:cstheme="majorHAnsi"/>
          <w:sz w:val="23"/>
          <w:szCs w:val="23"/>
        </w:rPr>
        <w:tab/>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things and given a sense of pride in the place (P7).</w:t>
      </w:r>
    </w:p>
    <w:p w14:paraId="4FC4C611" w14:textId="518BC5FF" w:rsidR="00F00E3D" w:rsidRPr="004E7547" w:rsidRDefault="00F00E3D" w:rsidP="004E7547">
      <w:pPr>
        <w:spacing w:line="276" w:lineRule="auto"/>
        <w:ind w:firstLine="720"/>
        <w:rPr>
          <w:rFonts w:asciiTheme="majorHAnsi" w:hAnsiTheme="majorHAnsi" w:cstheme="majorBidi"/>
          <w:sz w:val="23"/>
          <w:szCs w:val="23"/>
        </w:rPr>
      </w:pPr>
      <w:r w:rsidRPr="004E7547">
        <w:rPr>
          <w:rFonts w:asciiTheme="majorHAnsi" w:eastAsia="Calibri" w:hAnsiTheme="majorHAnsi" w:cstheme="majorBidi"/>
          <w:sz w:val="23"/>
          <w:szCs w:val="23"/>
        </w:rPr>
        <w:lastRenderedPageBreak/>
        <w:t xml:space="preserve">There’s a dodgy tunnel that runs under Thomson Road. It’s scary and polluted and dangerous. </w:t>
      </w:r>
      <w:r w:rsidRPr="004E7547">
        <w:tab/>
      </w:r>
      <w:r w:rsidRPr="004E7547">
        <w:rPr>
          <w:rFonts w:asciiTheme="majorHAnsi" w:eastAsia="Calibri" w:hAnsiTheme="majorHAnsi" w:cstheme="majorBidi"/>
          <w:sz w:val="23"/>
          <w:szCs w:val="23"/>
        </w:rPr>
        <w:t>Something could be done with that (P11).</w:t>
      </w:r>
    </w:p>
    <w:p w14:paraId="4AEF592F"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Local Muslims do not have a place…. We need to sponsor this and [spaces for] other groups that </w:t>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don’t have a home (P3).</w:t>
      </w:r>
    </w:p>
    <w:p w14:paraId="5B3D4633" w14:textId="7A44A7E2" w:rsidR="00F00E3D" w:rsidRPr="004E7547" w:rsidRDefault="00F00E3D" w:rsidP="004E7547">
      <w:pPr>
        <w:spacing w:line="276" w:lineRule="auto"/>
        <w:rPr>
          <w:rFonts w:asciiTheme="majorHAnsi" w:eastAsia="Calibri" w:hAnsiTheme="majorHAnsi" w:cstheme="majorHAnsi"/>
          <w:sz w:val="23"/>
          <w:szCs w:val="23"/>
          <w:lang w:val="en-GB"/>
        </w:rPr>
      </w:pPr>
      <w:r w:rsidRPr="004E7547">
        <w:rPr>
          <w:rFonts w:asciiTheme="majorHAnsi" w:eastAsia="Calibri" w:hAnsiTheme="majorHAnsi" w:cstheme="majorHAnsi"/>
          <w:sz w:val="23"/>
          <w:szCs w:val="23"/>
          <w:lang w:val="en-GB"/>
        </w:rPr>
        <w:t xml:space="preserve">Local shopping strips were also cited as important community places, but many are currently shuttered or badly run-down. </w:t>
      </w:r>
      <w:r w:rsidR="0090384F">
        <w:rPr>
          <w:rFonts w:asciiTheme="majorHAnsi" w:eastAsia="Calibri" w:hAnsiTheme="majorHAnsi" w:cstheme="majorHAnsi"/>
          <w:sz w:val="23"/>
          <w:szCs w:val="23"/>
          <w:lang w:val="en-GB"/>
        </w:rPr>
        <w:t xml:space="preserve">Our informants </w:t>
      </w:r>
      <w:r w:rsidRPr="004E7547">
        <w:rPr>
          <w:rFonts w:asciiTheme="majorHAnsi" w:eastAsia="Calibri" w:hAnsiTheme="majorHAnsi" w:cstheme="majorHAnsi"/>
          <w:sz w:val="23"/>
          <w:szCs w:val="23"/>
          <w:lang w:val="en-GB"/>
        </w:rPr>
        <w:t>suggested upgrading these amenities. Shopping strips in Robin Avenue (Norlane)</w:t>
      </w:r>
      <w:r w:rsidR="002244B3">
        <w:rPr>
          <w:rFonts w:asciiTheme="majorHAnsi" w:eastAsia="Calibri" w:hAnsiTheme="majorHAnsi" w:cstheme="majorHAnsi"/>
          <w:sz w:val="23"/>
          <w:szCs w:val="23"/>
          <w:lang w:val="en-GB"/>
        </w:rPr>
        <w:t>,</w:t>
      </w:r>
      <w:r w:rsidRPr="004E7547">
        <w:rPr>
          <w:rFonts w:asciiTheme="majorHAnsi" w:eastAsia="Calibri" w:hAnsiTheme="majorHAnsi" w:cstheme="majorHAnsi"/>
          <w:sz w:val="23"/>
          <w:szCs w:val="23"/>
          <w:lang w:val="en-GB"/>
        </w:rPr>
        <w:t xml:space="preserve"> and Hughes Street (Bell Park) were cited as a </w:t>
      </w:r>
      <w:proofErr w:type="gramStart"/>
      <w:r w:rsidRPr="004E7547">
        <w:rPr>
          <w:rFonts w:asciiTheme="majorHAnsi" w:eastAsia="Calibri" w:hAnsiTheme="majorHAnsi" w:cstheme="majorHAnsi"/>
          <w:sz w:val="23"/>
          <w:szCs w:val="23"/>
          <w:lang w:val="en-GB"/>
        </w:rPr>
        <w:t>good models</w:t>
      </w:r>
      <w:proofErr w:type="gramEnd"/>
      <w:r w:rsidRPr="004E7547">
        <w:rPr>
          <w:rFonts w:asciiTheme="majorHAnsi" w:eastAsia="Calibri" w:hAnsiTheme="majorHAnsi" w:cstheme="majorHAnsi"/>
          <w:sz w:val="23"/>
          <w:szCs w:val="23"/>
          <w:lang w:val="en-GB"/>
        </w:rPr>
        <w:t>, while Norlane’s Labuan Square and Rose Street shops were nominated as ripe for upgrade. Corio Village was mentioned as a popular destination, but Whittington lacked a shopping strip</w:t>
      </w:r>
      <w:r w:rsidR="008252E1">
        <w:rPr>
          <w:rFonts w:asciiTheme="majorHAnsi" w:eastAsia="Calibri" w:hAnsiTheme="majorHAnsi" w:cstheme="majorHAnsi"/>
          <w:sz w:val="23"/>
          <w:szCs w:val="23"/>
          <w:lang w:val="en-GB"/>
        </w:rPr>
        <w:t xml:space="preserve">, or indeed any substantial </w:t>
      </w:r>
      <w:r w:rsidR="002244B3">
        <w:rPr>
          <w:rFonts w:asciiTheme="majorHAnsi" w:eastAsia="Calibri" w:hAnsiTheme="majorHAnsi" w:cstheme="majorHAnsi"/>
          <w:sz w:val="23"/>
          <w:szCs w:val="23"/>
          <w:lang w:val="en-GB"/>
        </w:rPr>
        <w:t>retail or food outlets</w:t>
      </w:r>
      <w:r w:rsidRPr="004E7547">
        <w:rPr>
          <w:rFonts w:asciiTheme="majorHAnsi" w:eastAsia="Calibri" w:hAnsiTheme="majorHAnsi" w:cstheme="majorHAnsi"/>
          <w:sz w:val="23"/>
          <w:szCs w:val="23"/>
          <w:lang w:val="en-GB"/>
        </w:rPr>
        <w:t xml:space="preserve">. One idea was to offer incentives, such as free or reduced rent, to help attract the right mix of retailers and social entrepreneurs to shopping strips. </w:t>
      </w:r>
    </w:p>
    <w:p w14:paraId="58BB0278" w14:textId="77777777" w:rsidR="00F00E3D" w:rsidRPr="004E7547" w:rsidRDefault="00F00E3D" w:rsidP="004E7547">
      <w:pPr>
        <w:spacing w:line="276" w:lineRule="auto"/>
        <w:rPr>
          <w:rFonts w:asciiTheme="majorHAnsi" w:eastAsia="Calibri" w:hAnsiTheme="majorHAnsi" w:cstheme="majorHAnsi"/>
          <w:sz w:val="23"/>
          <w:szCs w:val="23"/>
          <w:lang w:val="en-GB"/>
        </w:rPr>
      </w:pPr>
      <w:r w:rsidRPr="004E7547">
        <w:rPr>
          <w:rFonts w:asciiTheme="majorHAnsi" w:eastAsia="Calibri" w:hAnsiTheme="majorHAnsi" w:cstheme="majorHAnsi"/>
          <w:sz w:val="23"/>
          <w:szCs w:val="23"/>
          <w:lang w:val="en-GB"/>
        </w:rPr>
        <w:t xml:space="preserve">Beautifying streetscapes was also proposed. Rather than outsourcing these upgrades to contractors, it was suggested that residents could be engaged to advise on and undertake this work via local employment and capacity-building programs. This would enable locals to gain paid jobs and new skills, while also playing an active role in shaping their local environment. </w:t>
      </w:r>
    </w:p>
    <w:p w14:paraId="195A9DAC"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Give people who are disconnected from work a chance to breathe life into those areas and build </w:t>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[their] skills up over the years with a longer-term strategy (P4).</w:t>
      </w:r>
    </w:p>
    <w:p w14:paraId="445F8E6D" w14:textId="6243DE26" w:rsidR="00F00E3D" w:rsidRPr="004E7547" w:rsidRDefault="00F00E3D" w:rsidP="004E7547">
      <w:pPr>
        <w:spacing w:line="276" w:lineRule="auto"/>
        <w:rPr>
          <w:rFonts w:asciiTheme="majorHAnsi" w:hAnsiTheme="majorHAnsi" w:cstheme="majorHAnsi"/>
          <w:sz w:val="23"/>
          <w:szCs w:val="23"/>
        </w:rPr>
      </w:pPr>
      <w:r w:rsidRPr="004E7547">
        <w:rPr>
          <w:rFonts w:asciiTheme="majorHAnsi" w:eastAsia="Calibri" w:hAnsiTheme="majorHAnsi" w:cstheme="majorHAnsi"/>
          <w:sz w:val="23"/>
          <w:szCs w:val="23"/>
        </w:rPr>
        <w:t>Respondents also proposed improving local traffic flow, connectivity, pedestrian safety</w:t>
      </w:r>
      <w:r w:rsidR="004D71F0">
        <w:rPr>
          <w:rFonts w:asciiTheme="majorHAnsi" w:eastAsia="Calibri" w:hAnsiTheme="majorHAnsi" w:cstheme="majorHAnsi"/>
          <w:sz w:val="23"/>
          <w:szCs w:val="23"/>
        </w:rPr>
        <w:t>,</w:t>
      </w:r>
      <w:r w:rsidRPr="004E7547">
        <w:rPr>
          <w:rFonts w:asciiTheme="majorHAnsi" w:eastAsia="Calibri" w:hAnsiTheme="majorHAnsi" w:cstheme="majorHAnsi"/>
          <w:sz w:val="23"/>
          <w:szCs w:val="23"/>
        </w:rPr>
        <w:t xml:space="preserve"> and walkability. The </w:t>
      </w:r>
      <w:r w:rsidR="004D71F0">
        <w:rPr>
          <w:rFonts w:asciiTheme="majorHAnsi" w:eastAsia="Calibri" w:hAnsiTheme="majorHAnsi" w:cstheme="majorHAnsi"/>
          <w:sz w:val="23"/>
          <w:szCs w:val="23"/>
        </w:rPr>
        <w:t xml:space="preserve">current </w:t>
      </w:r>
      <w:r w:rsidRPr="004E7547">
        <w:rPr>
          <w:rFonts w:asciiTheme="majorHAnsi" w:eastAsia="Calibri" w:hAnsiTheme="majorHAnsi" w:cstheme="majorHAnsi"/>
          <w:sz w:val="23"/>
          <w:szCs w:val="23"/>
        </w:rPr>
        <w:t>TAC-funded traffic-calming works Corio and Norlane were described as welcome (P11), while revisiting street design and exploring traffic-engineering solutions could help enliven Whittington.</w:t>
      </w:r>
      <w:r w:rsidRPr="004E7547">
        <w:rPr>
          <w:rFonts w:asciiTheme="majorHAnsi" w:eastAsia="Calibri" w:hAnsiTheme="majorHAnsi" w:cstheme="majorHAnsi"/>
          <w:b/>
          <w:bCs/>
          <w:sz w:val="23"/>
          <w:szCs w:val="23"/>
        </w:rPr>
        <w:t xml:space="preserve"> </w:t>
      </w:r>
    </w:p>
    <w:p w14:paraId="7421474A" w14:textId="537DCBC2" w:rsidR="00F00E3D" w:rsidRPr="004E7547" w:rsidRDefault="00F00E3D" w:rsidP="004D71F0">
      <w:pPr>
        <w:spacing w:line="276" w:lineRule="auto"/>
        <w:ind w:left="720"/>
        <w:rPr>
          <w:rFonts w:asciiTheme="majorHAnsi" w:hAnsiTheme="majorHAnsi" w:cstheme="majorHAnsi"/>
          <w:sz w:val="23"/>
          <w:szCs w:val="23"/>
        </w:rPr>
      </w:pPr>
      <w:r w:rsidRPr="004E7547">
        <w:rPr>
          <w:rFonts w:asciiTheme="majorHAnsi" w:eastAsia="Calibri" w:hAnsiTheme="majorHAnsi" w:cstheme="majorHAnsi"/>
          <w:sz w:val="23"/>
          <w:szCs w:val="23"/>
          <w:lang w:val="en-GB"/>
        </w:rPr>
        <w:t>You only come [to Whittington] if you have to. There is no through</w:t>
      </w:r>
      <w:r w:rsidR="0011796D">
        <w:rPr>
          <w:rFonts w:asciiTheme="majorHAnsi" w:eastAsia="Calibri" w:hAnsiTheme="majorHAnsi" w:cstheme="majorHAnsi"/>
          <w:sz w:val="23"/>
          <w:szCs w:val="23"/>
          <w:lang w:val="en-GB"/>
        </w:rPr>
        <w:t>-</w:t>
      </w:r>
      <w:r w:rsidRPr="004E7547">
        <w:rPr>
          <w:rFonts w:asciiTheme="majorHAnsi" w:eastAsia="Calibri" w:hAnsiTheme="majorHAnsi" w:cstheme="majorHAnsi"/>
          <w:sz w:val="23"/>
          <w:szCs w:val="23"/>
          <w:lang w:val="en-GB"/>
        </w:rPr>
        <w:t>road. It’s an engineering problem, where you have created a closed ghetto, with an old shopping centre. They closed Solar Drive, so maybe you need to close the courts and connect the area to St Albans Park (P7).</w:t>
      </w:r>
    </w:p>
    <w:p w14:paraId="3BB8E96E" w14:textId="13669989" w:rsidR="00F00E3D" w:rsidRPr="008252E1" w:rsidRDefault="00A718FD" w:rsidP="004E7547">
      <w:pPr>
        <w:spacing w:line="276" w:lineRule="auto"/>
        <w:rPr>
          <w:rFonts w:cstheme="majorHAnsi"/>
          <w:color w:val="2F5496" w:themeColor="accent1" w:themeShade="BF"/>
          <w:sz w:val="25"/>
          <w:szCs w:val="25"/>
        </w:rPr>
      </w:pPr>
      <w:r>
        <w:rPr>
          <w:rFonts w:eastAsia="Calibri" w:cstheme="majorHAnsi"/>
          <w:b/>
          <w:bCs/>
          <w:color w:val="2F5496" w:themeColor="accent1" w:themeShade="BF"/>
          <w:sz w:val="25"/>
          <w:szCs w:val="25"/>
          <w:lang w:val="en-GB"/>
        </w:rPr>
        <w:t xml:space="preserve">Increase </w:t>
      </w:r>
      <w:r w:rsidR="00F00E3D" w:rsidRPr="008252E1">
        <w:rPr>
          <w:rFonts w:eastAsia="Calibri" w:cstheme="majorHAnsi"/>
          <w:b/>
          <w:bCs/>
          <w:color w:val="2F5496" w:themeColor="accent1" w:themeShade="BF"/>
          <w:sz w:val="25"/>
          <w:szCs w:val="25"/>
          <w:lang w:val="en-GB"/>
        </w:rPr>
        <w:t xml:space="preserve">Mental Health, </w:t>
      </w:r>
      <w:r w:rsidR="008252E1" w:rsidRPr="008252E1">
        <w:rPr>
          <w:rFonts w:eastAsia="Calibri" w:cstheme="majorHAnsi"/>
          <w:b/>
          <w:bCs/>
          <w:color w:val="2F5496" w:themeColor="accent1" w:themeShade="BF"/>
          <w:sz w:val="25"/>
          <w:szCs w:val="25"/>
          <w:lang w:val="en-GB"/>
        </w:rPr>
        <w:t xml:space="preserve">Wellbeing, and </w:t>
      </w:r>
      <w:r w:rsidR="00F00E3D" w:rsidRPr="008252E1">
        <w:rPr>
          <w:rFonts w:eastAsia="Calibri" w:cstheme="majorHAnsi"/>
          <w:b/>
          <w:bCs/>
          <w:color w:val="2F5496" w:themeColor="accent1" w:themeShade="BF"/>
          <w:sz w:val="25"/>
          <w:szCs w:val="25"/>
          <w:lang w:val="en-GB"/>
        </w:rPr>
        <w:t>Drug and Alcohol</w:t>
      </w:r>
      <w:r w:rsidR="00F45E37" w:rsidRPr="008252E1">
        <w:rPr>
          <w:rFonts w:eastAsia="Calibri" w:cstheme="majorHAnsi"/>
          <w:b/>
          <w:bCs/>
          <w:color w:val="2F5496" w:themeColor="accent1" w:themeShade="BF"/>
          <w:sz w:val="25"/>
          <w:szCs w:val="25"/>
          <w:lang w:val="en-GB"/>
        </w:rPr>
        <w:t xml:space="preserve"> Support</w:t>
      </w:r>
    </w:p>
    <w:p w14:paraId="3FDFEB11" w14:textId="3DDC10B7" w:rsidR="00F00E3D" w:rsidRPr="008252E1" w:rsidRDefault="00F00E3D" w:rsidP="008252E1">
      <w:pPr>
        <w:spacing w:after="0" w:line="276" w:lineRule="auto"/>
        <w:rPr>
          <w:rFonts w:cstheme="majorHAnsi"/>
          <w:color w:val="595959" w:themeColor="text1" w:themeTint="A6"/>
          <w:sz w:val="23"/>
          <w:szCs w:val="23"/>
        </w:rPr>
      </w:pPr>
      <w:r w:rsidRPr="008252E1">
        <w:rPr>
          <w:rFonts w:eastAsia="Calibri" w:cstheme="majorHAnsi"/>
          <w:b/>
          <w:bCs/>
          <w:color w:val="595959" w:themeColor="text1" w:themeTint="A6"/>
          <w:sz w:val="23"/>
          <w:szCs w:val="23"/>
        </w:rPr>
        <w:t xml:space="preserve">Main </w:t>
      </w:r>
      <w:r w:rsidR="00D95573">
        <w:rPr>
          <w:rFonts w:eastAsia="Calibri" w:cstheme="majorHAnsi"/>
          <w:b/>
          <w:bCs/>
          <w:color w:val="595959" w:themeColor="text1" w:themeTint="A6"/>
          <w:sz w:val="23"/>
          <w:szCs w:val="23"/>
        </w:rPr>
        <w:t>Practice Domain</w:t>
      </w:r>
      <w:r w:rsidRPr="008252E1">
        <w:rPr>
          <w:rFonts w:eastAsia="Calibri" w:cstheme="majorHAnsi"/>
          <w:b/>
          <w:bCs/>
          <w:color w:val="595959" w:themeColor="text1" w:themeTint="A6"/>
          <w:sz w:val="23"/>
          <w:szCs w:val="23"/>
        </w:rPr>
        <w:t>(s):</w:t>
      </w:r>
      <w:r w:rsidR="008252E1">
        <w:rPr>
          <w:rFonts w:eastAsia="Calibri" w:cstheme="majorHAnsi"/>
          <w:b/>
          <w:bCs/>
          <w:color w:val="595959" w:themeColor="text1" w:themeTint="A6"/>
          <w:sz w:val="23"/>
          <w:szCs w:val="23"/>
        </w:rPr>
        <w:tab/>
      </w:r>
      <w:r w:rsidR="008252E1">
        <w:rPr>
          <w:rFonts w:eastAsia="Calibri" w:cstheme="majorHAnsi"/>
          <w:b/>
          <w:bCs/>
          <w:color w:val="595959" w:themeColor="text1" w:themeTint="A6"/>
          <w:sz w:val="23"/>
          <w:szCs w:val="23"/>
        </w:rPr>
        <w:tab/>
      </w:r>
      <w:r w:rsidRPr="008252E1">
        <w:rPr>
          <w:rFonts w:eastAsia="Calibri" w:cstheme="majorHAnsi"/>
          <w:b/>
          <w:bCs/>
          <w:color w:val="595959" w:themeColor="text1" w:themeTint="A6"/>
          <w:sz w:val="23"/>
          <w:szCs w:val="23"/>
        </w:rPr>
        <w:t>Health and Wellbeing</w:t>
      </w:r>
    </w:p>
    <w:p w14:paraId="0C49B74E" w14:textId="6AD14F51" w:rsidR="00F00E3D" w:rsidRPr="008252E1" w:rsidRDefault="00F00E3D" w:rsidP="008252E1">
      <w:pPr>
        <w:spacing w:after="0" w:line="276" w:lineRule="auto"/>
        <w:rPr>
          <w:rFonts w:eastAsia="Calibri" w:cstheme="majorHAnsi"/>
          <w:b/>
          <w:bCs/>
          <w:color w:val="595959" w:themeColor="text1" w:themeTint="A6"/>
          <w:sz w:val="23"/>
          <w:szCs w:val="23"/>
        </w:rPr>
      </w:pPr>
      <w:r w:rsidRPr="008252E1">
        <w:rPr>
          <w:rFonts w:eastAsia="Calibri" w:cstheme="majorHAnsi"/>
          <w:b/>
          <w:bCs/>
          <w:color w:val="595959" w:themeColor="text1" w:themeTint="A6"/>
          <w:sz w:val="23"/>
          <w:szCs w:val="23"/>
        </w:rPr>
        <w:t xml:space="preserve">Secondary </w:t>
      </w:r>
      <w:r w:rsidR="00D95573">
        <w:rPr>
          <w:rFonts w:eastAsia="Calibri" w:cstheme="majorHAnsi"/>
          <w:b/>
          <w:bCs/>
          <w:color w:val="595959" w:themeColor="text1" w:themeTint="A6"/>
          <w:sz w:val="23"/>
          <w:szCs w:val="23"/>
        </w:rPr>
        <w:t>Practice Domain</w:t>
      </w:r>
      <w:r w:rsidRPr="008252E1">
        <w:rPr>
          <w:rFonts w:eastAsia="Calibri" w:cstheme="majorHAnsi"/>
          <w:b/>
          <w:bCs/>
          <w:color w:val="595959" w:themeColor="text1" w:themeTint="A6"/>
          <w:sz w:val="23"/>
          <w:szCs w:val="23"/>
        </w:rPr>
        <w:t>:</w:t>
      </w:r>
      <w:r w:rsidR="008252E1">
        <w:rPr>
          <w:rFonts w:eastAsia="Calibri" w:cstheme="majorHAnsi"/>
          <w:b/>
          <w:bCs/>
          <w:color w:val="595959" w:themeColor="text1" w:themeTint="A6"/>
          <w:sz w:val="23"/>
          <w:szCs w:val="23"/>
        </w:rPr>
        <w:tab/>
      </w:r>
      <w:r w:rsidR="008252E1">
        <w:rPr>
          <w:rFonts w:eastAsia="Calibri" w:cstheme="majorHAnsi"/>
          <w:b/>
          <w:bCs/>
          <w:color w:val="595959" w:themeColor="text1" w:themeTint="A6"/>
          <w:sz w:val="23"/>
          <w:szCs w:val="23"/>
        </w:rPr>
        <w:tab/>
      </w:r>
      <w:r w:rsidRPr="008252E1">
        <w:rPr>
          <w:rFonts w:eastAsia="Calibri" w:cstheme="majorHAnsi"/>
          <w:b/>
          <w:bCs/>
          <w:color w:val="595959" w:themeColor="text1" w:themeTint="A6"/>
          <w:sz w:val="23"/>
          <w:szCs w:val="23"/>
        </w:rPr>
        <w:t>Employment, Education</w:t>
      </w:r>
    </w:p>
    <w:p w14:paraId="524D602F" w14:textId="77777777" w:rsidR="008252E1" w:rsidRPr="008252E1" w:rsidRDefault="008252E1" w:rsidP="008252E1">
      <w:pPr>
        <w:spacing w:after="0" w:line="276" w:lineRule="auto"/>
        <w:rPr>
          <w:rFonts w:asciiTheme="majorHAnsi" w:eastAsia="Calibri" w:hAnsiTheme="majorHAnsi" w:cstheme="majorHAnsi"/>
          <w:b/>
          <w:bCs/>
          <w:color w:val="7F7F7F" w:themeColor="text1" w:themeTint="80"/>
          <w:sz w:val="16"/>
          <w:szCs w:val="16"/>
        </w:rPr>
      </w:pPr>
    </w:p>
    <w:p w14:paraId="0309F3CC" w14:textId="466A8ECC" w:rsidR="00F00E3D" w:rsidRPr="004E7547" w:rsidRDefault="00F00E3D" w:rsidP="004E7547">
      <w:pPr>
        <w:spacing w:line="276" w:lineRule="auto"/>
        <w:rPr>
          <w:rFonts w:asciiTheme="majorHAnsi" w:hAnsiTheme="majorHAnsi" w:cstheme="majorBidi"/>
          <w:sz w:val="23"/>
          <w:szCs w:val="23"/>
        </w:rPr>
      </w:pPr>
      <w:r w:rsidRPr="004E7547">
        <w:rPr>
          <w:rFonts w:asciiTheme="majorHAnsi" w:eastAsia="Calibri" w:hAnsiTheme="majorHAnsi" w:cstheme="majorBidi"/>
          <w:sz w:val="23"/>
          <w:szCs w:val="23"/>
          <w:lang w:val="en-GB"/>
        </w:rPr>
        <w:t xml:space="preserve">Five </w:t>
      </w:r>
      <w:r w:rsidR="0011796D">
        <w:rPr>
          <w:rFonts w:asciiTheme="majorHAnsi" w:eastAsia="Calibri" w:hAnsiTheme="majorHAnsi" w:cstheme="majorBidi"/>
          <w:sz w:val="23"/>
          <w:szCs w:val="23"/>
          <w:lang w:val="en-GB"/>
        </w:rPr>
        <w:t>interviewees</w:t>
      </w:r>
      <w:r w:rsidRPr="004E7547">
        <w:rPr>
          <w:rFonts w:asciiTheme="majorHAnsi" w:eastAsia="Calibri" w:hAnsiTheme="majorHAnsi" w:cstheme="majorBidi"/>
          <w:sz w:val="23"/>
          <w:szCs w:val="23"/>
          <w:lang w:val="en-GB"/>
        </w:rPr>
        <w:t xml:space="preserve"> mentioned suicides that </w:t>
      </w:r>
      <w:r w:rsidR="0011796D">
        <w:rPr>
          <w:rFonts w:asciiTheme="majorHAnsi" w:eastAsia="Calibri" w:hAnsiTheme="majorHAnsi" w:cstheme="majorBidi"/>
          <w:sz w:val="23"/>
          <w:szCs w:val="23"/>
          <w:lang w:val="en-GB"/>
        </w:rPr>
        <w:t xml:space="preserve">had </w:t>
      </w:r>
      <w:r w:rsidRPr="004E7547">
        <w:rPr>
          <w:rFonts w:asciiTheme="majorHAnsi" w:eastAsia="Calibri" w:hAnsiTheme="majorHAnsi" w:cstheme="majorBidi"/>
          <w:sz w:val="23"/>
          <w:szCs w:val="23"/>
          <w:lang w:val="en-GB"/>
        </w:rPr>
        <w:t xml:space="preserve">occurred in their communities during the pandemic. Suicide prevention programs were nominated as a priority, particularly for young people, including those who dropped out of school during </w:t>
      </w:r>
      <w:r w:rsidR="00940D80" w:rsidRPr="004E7547">
        <w:rPr>
          <w:rFonts w:asciiTheme="majorHAnsi" w:eastAsia="Calibri" w:hAnsiTheme="majorHAnsi" w:cstheme="majorBidi"/>
          <w:sz w:val="23"/>
          <w:szCs w:val="23"/>
          <w:lang w:val="en-GB"/>
        </w:rPr>
        <w:t>COVID</w:t>
      </w:r>
      <w:r w:rsidRPr="004E7547">
        <w:rPr>
          <w:rFonts w:asciiTheme="majorHAnsi" w:eastAsia="Calibri" w:hAnsiTheme="majorHAnsi" w:cstheme="majorBidi"/>
          <w:sz w:val="23"/>
          <w:szCs w:val="23"/>
          <w:lang w:val="en-GB"/>
        </w:rPr>
        <w:t xml:space="preserve"> and may now be at higher risk. More broadly, interviews revealed a clear need to improve residents’ access to face-to-face mental health services and drug and alcohol support, and to fund more wellbeing initiatives to help ease isolation. As noted in the “Approaches” section above, several respondents recommended adopting a holistic, “one-stop-shop" approach in designing and delivering services.</w:t>
      </w:r>
    </w:p>
    <w:p w14:paraId="2FDA7F06"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Mental health was the big one. People had difficulty accessing support and there was a strain on </w:t>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services because of the demand (P13).</w:t>
      </w:r>
    </w:p>
    <w:p w14:paraId="6C47DF92" w14:textId="00543524" w:rsidR="00F00E3D" w:rsidRPr="004E7547" w:rsidRDefault="00F00E3D" w:rsidP="778E395A">
      <w:pPr>
        <w:spacing w:line="276" w:lineRule="auto"/>
        <w:ind w:firstLine="720"/>
        <w:rPr>
          <w:rFonts w:asciiTheme="majorHAnsi" w:hAnsiTheme="majorHAnsi" w:cstheme="majorBidi"/>
          <w:sz w:val="23"/>
          <w:szCs w:val="23"/>
        </w:rPr>
      </w:pPr>
      <w:r w:rsidRPr="778E395A">
        <w:rPr>
          <w:rFonts w:asciiTheme="majorHAnsi" w:eastAsia="Calibri" w:hAnsiTheme="majorHAnsi" w:cstheme="majorBidi"/>
          <w:sz w:val="23"/>
          <w:szCs w:val="23"/>
          <w:lang w:val="en-GB"/>
        </w:rPr>
        <w:t xml:space="preserve">Improve wellbeing for the most vulnerable. We need suicide prevention [programs] based on </w:t>
      </w:r>
      <w:r>
        <w:tab/>
      </w:r>
      <w:r>
        <w:tab/>
      </w:r>
      <w:r w:rsidRPr="778E395A">
        <w:rPr>
          <w:rFonts w:asciiTheme="majorHAnsi" w:eastAsia="Calibri" w:hAnsiTheme="majorHAnsi" w:cstheme="majorBidi"/>
          <w:sz w:val="23"/>
          <w:szCs w:val="23"/>
          <w:lang w:val="en-GB"/>
        </w:rPr>
        <w:t>knowing the young people (P3).</w:t>
      </w:r>
    </w:p>
    <w:p w14:paraId="1C58E571" w14:textId="76F461DD" w:rsidR="00F00E3D" w:rsidRPr="004E7547" w:rsidRDefault="00F00E3D" w:rsidP="778E395A">
      <w:pPr>
        <w:spacing w:line="276" w:lineRule="auto"/>
        <w:ind w:firstLine="720"/>
        <w:rPr>
          <w:rFonts w:asciiTheme="majorHAnsi" w:eastAsia="Calibri" w:hAnsiTheme="majorHAnsi" w:cstheme="majorBidi"/>
          <w:sz w:val="23"/>
          <w:szCs w:val="23"/>
          <w:lang w:val="en-GB"/>
        </w:rPr>
      </w:pPr>
      <w:r w:rsidRPr="778E395A">
        <w:rPr>
          <w:rFonts w:asciiTheme="majorHAnsi" w:eastAsia="Calibri" w:hAnsiTheme="majorHAnsi" w:cstheme="majorBidi"/>
          <w:sz w:val="23"/>
          <w:szCs w:val="23"/>
          <w:lang w:val="en-GB"/>
        </w:rPr>
        <w:lastRenderedPageBreak/>
        <w:t xml:space="preserve">[Young people] lost hope. Many dropped out of school… This is especially the case for CALD </w:t>
      </w:r>
      <w:r>
        <w:tab/>
      </w:r>
      <w:r>
        <w:tab/>
      </w:r>
      <w:r w:rsidR="7C6E9517" w:rsidRPr="778E395A">
        <w:rPr>
          <w:rFonts w:asciiTheme="majorHAnsi" w:eastAsia="Calibri" w:hAnsiTheme="majorHAnsi" w:cstheme="majorBidi"/>
          <w:sz w:val="23"/>
          <w:szCs w:val="23"/>
          <w:lang w:val="en-GB"/>
        </w:rPr>
        <w:t>k</w:t>
      </w:r>
      <w:r w:rsidRPr="778E395A">
        <w:rPr>
          <w:rFonts w:asciiTheme="majorHAnsi" w:eastAsia="Calibri" w:hAnsiTheme="majorHAnsi" w:cstheme="majorBidi"/>
          <w:sz w:val="23"/>
          <w:szCs w:val="23"/>
          <w:lang w:val="en-GB"/>
        </w:rPr>
        <w:t>ids, who have not gone back (P8).</w:t>
      </w:r>
    </w:p>
    <w:p w14:paraId="1966EE34" w14:textId="046BBBE5" w:rsidR="00F00E3D" w:rsidRPr="004E7547" w:rsidRDefault="00F00E3D" w:rsidP="778E395A">
      <w:pPr>
        <w:spacing w:line="276" w:lineRule="auto"/>
        <w:ind w:firstLine="720"/>
        <w:rPr>
          <w:rFonts w:asciiTheme="majorHAnsi" w:hAnsiTheme="majorHAnsi" w:cstheme="majorBidi"/>
          <w:sz w:val="23"/>
          <w:szCs w:val="23"/>
        </w:rPr>
      </w:pPr>
      <w:r w:rsidRPr="778E395A">
        <w:rPr>
          <w:rFonts w:asciiTheme="majorHAnsi" w:eastAsia="Calibri" w:hAnsiTheme="majorHAnsi" w:cstheme="majorBidi"/>
          <w:sz w:val="23"/>
          <w:szCs w:val="23"/>
          <w:lang w:val="en-GB"/>
        </w:rPr>
        <w:t xml:space="preserve">Access to mental health services, even if it is just via a student [counsellor] on placement. We </w:t>
      </w:r>
      <w:r>
        <w:tab/>
      </w:r>
      <w:r>
        <w:tab/>
      </w:r>
      <w:r w:rsidRPr="778E395A">
        <w:rPr>
          <w:rFonts w:asciiTheme="majorHAnsi" w:eastAsia="Calibri" w:hAnsiTheme="majorHAnsi" w:cstheme="majorBidi"/>
          <w:sz w:val="23"/>
          <w:szCs w:val="23"/>
          <w:lang w:val="en-GB"/>
        </w:rPr>
        <w:t>also need wellbeing people who are available just to talk to people (P5).</w:t>
      </w:r>
    </w:p>
    <w:p w14:paraId="005F8DF3" w14:textId="51400183"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We need to work on the reasons why people can’t engage – for example, mental health (P2).</w:t>
      </w:r>
    </w:p>
    <w:p w14:paraId="6CD55D6B" w14:textId="19DA4E1A" w:rsidR="00F00E3D" w:rsidRPr="008252E1" w:rsidRDefault="00E72F68" w:rsidP="004E7547">
      <w:pPr>
        <w:spacing w:line="276" w:lineRule="auto"/>
        <w:rPr>
          <w:rFonts w:eastAsia="Calibri" w:cstheme="majorHAnsi"/>
          <w:b/>
          <w:bCs/>
          <w:color w:val="2F5496" w:themeColor="accent1" w:themeShade="BF"/>
          <w:sz w:val="25"/>
          <w:szCs w:val="25"/>
          <w:lang w:val="en-GB"/>
        </w:rPr>
      </w:pPr>
      <w:r>
        <w:rPr>
          <w:rFonts w:eastAsia="Calibri" w:cstheme="majorHAnsi"/>
          <w:b/>
          <w:bCs/>
          <w:color w:val="2F5496" w:themeColor="accent1" w:themeShade="BF"/>
          <w:sz w:val="25"/>
          <w:szCs w:val="25"/>
          <w:lang w:val="en-GB"/>
        </w:rPr>
        <w:t xml:space="preserve">More </w:t>
      </w:r>
      <w:r w:rsidR="00F00E3D" w:rsidRPr="008252E1">
        <w:rPr>
          <w:rFonts w:eastAsia="Calibri" w:cstheme="majorHAnsi"/>
          <w:b/>
          <w:bCs/>
          <w:color w:val="2F5496" w:themeColor="accent1" w:themeShade="BF"/>
          <w:sz w:val="25"/>
          <w:szCs w:val="25"/>
          <w:lang w:val="en-GB"/>
        </w:rPr>
        <w:t>Arts-Based Programs, Creative Spaces, and Community Events</w:t>
      </w:r>
      <w:r w:rsidR="00F00E3D" w:rsidRPr="008252E1">
        <w:rPr>
          <w:rFonts w:cstheme="majorHAnsi"/>
          <w:color w:val="2F5496" w:themeColor="accent1" w:themeShade="BF"/>
          <w:sz w:val="25"/>
          <w:szCs w:val="25"/>
        </w:rPr>
        <w:tab/>
      </w:r>
    </w:p>
    <w:p w14:paraId="53F7A50A" w14:textId="0034C8F0" w:rsidR="008252E1" w:rsidRPr="008252E1" w:rsidRDefault="00F00E3D" w:rsidP="008252E1">
      <w:pPr>
        <w:spacing w:after="0" w:line="276" w:lineRule="auto"/>
        <w:rPr>
          <w:rFonts w:eastAsia="Calibri" w:cstheme="majorHAnsi"/>
          <w:b/>
          <w:bCs/>
          <w:color w:val="595959" w:themeColor="text1" w:themeTint="A6"/>
          <w:sz w:val="23"/>
          <w:szCs w:val="23"/>
        </w:rPr>
      </w:pPr>
      <w:r w:rsidRPr="008252E1">
        <w:rPr>
          <w:rFonts w:eastAsia="Calibri" w:cstheme="majorHAnsi"/>
          <w:b/>
          <w:bCs/>
          <w:color w:val="595959" w:themeColor="text1" w:themeTint="A6"/>
          <w:sz w:val="23"/>
          <w:szCs w:val="23"/>
        </w:rPr>
        <w:t xml:space="preserve">Main </w:t>
      </w:r>
      <w:r w:rsidR="00D95573">
        <w:rPr>
          <w:rFonts w:eastAsia="Calibri" w:cstheme="majorHAnsi"/>
          <w:b/>
          <w:bCs/>
          <w:color w:val="595959" w:themeColor="text1" w:themeTint="A6"/>
          <w:sz w:val="23"/>
          <w:szCs w:val="23"/>
        </w:rPr>
        <w:t>Practice Domain</w:t>
      </w:r>
      <w:r w:rsidRPr="008252E1">
        <w:rPr>
          <w:rFonts w:eastAsia="Calibri" w:cstheme="majorHAnsi"/>
          <w:b/>
          <w:bCs/>
          <w:color w:val="595959" w:themeColor="text1" w:themeTint="A6"/>
          <w:sz w:val="23"/>
          <w:szCs w:val="23"/>
        </w:rPr>
        <w:t xml:space="preserve">(s): </w:t>
      </w:r>
      <w:r w:rsidRPr="008252E1">
        <w:rPr>
          <w:rFonts w:cstheme="majorHAnsi"/>
          <w:color w:val="595959" w:themeColor="text1" w:themeTint="A6"/>
          <w:sz w:val="23"/>
          <w:szCs w:val="23"/>
        </w:rPr>
        <w:tab/>
      </w:r>
      <w:r w:rsidR="008252E1">
        <w:rPr>
          <w:rFonts w:cstheme="majorHAnsi"/>
          <w:color w:val="595959" w:themeColor="text1" w:themeTint="A6"/>
          <w:sz w:val="23"/>
          <w:szCs w:val="23"/>
        </w:rPr>
        <w:tab/>
      </w:r>
      <w:r w:rsidRPr="008252E1">
        <w:rPr>
          <w:rFonts w:eastAsia="Calibri" w:cstheme="majorHAnsi"/>
          <w:b/>
          <w:bCs/>
          <w:color w:val="595959" w:themeColor="text1" w:themeTint="A6"/>
          <w:sz w:val="23"/>
          <w:szCs w:val="23"/>
        </w:rPr>
        <w:t>Liveability</w:t>
      </w:r>
    </w:p>
    <w:p w14:paraId="1FDC0624" w14:textId="0F038B9B" w:rsidR="00F00E3D" w:rsidRPr="008252E1" w:rsidRDefault="00F00E3D" w:rsidP="008252E1">
      <w:pPr>
        <w:spacing w:after="0" w:line="276" w:lineRule="auto"/>
        <w:rPr>
          <w:rFonts w:cstheme="majorHAnsi"/>
          <w:color w:val="595959" w:themeColor="text1" w:themeTint="A6"/>
          <w:sz w:val="23"/>
          <w:szCs w:val="23"/>
        </w:rPr>
      </w:pPr>
      <w:r w:rsidRPr="008252E1">
        <w:rPr>
          <w:rFonts w:eastAsia="Calibri" w:cstheme="majorHAnsi"/>
          <w:b/>
          <w:bCs/>
          <w:color w:val="595959" w:themeColor="text1" w:themeTint="A6"/>
          <w:sz w:val="23"/>
          <w:szCs w:val="23"/>
        </w:rPr>
        <w:t xml:space="preserve">Secondary </w:t>
      </w:r>
      <w:r w:rsidR="00D95573">
        <w:rPr>
          <w:rFonts w:eastAsia="Calibri" w:cstheme="majorHAnsi"/>
          <w:b/>
          <w:bCs/>
          <w:color w:val="595959" w:themeColor="text1" w:themeTint="A6"/>
          <w:sz w:val="23"/>
          <w:szCs w:val="23"/>
        </w:rPr>
        <w:t>Practice Domain</w:t>
      </w:r>
      <w:r w:rsidRPr="008252E1">
        <w:rPr>
          <w:rFonts w:eastAsia="Calibri" w:cstheme="majorHAnsi"/>
          <w:b/>
          <w:bCs/>
          <w:color w:val="595959" w:themeColor="text1" w:themeTint="A6"/>
          <w:sz w:val="23"/>
          <w:szCs w:val="23"/>
        </w:rPr>
        <w:t xml:space="preserve">(s): </w:t>
      </w:r>
      <w:r w:rsidR="008252E1">
        <w:rPr>
          <w:rFonts w:eastAsia="Calibri" w:cstheme="majorHAnsi"/>
          <w:b/>
          <w:bCs/>
          <w:color w:val="595959" w:themeColor="text1" w:themeTint="A6"/>
          <w:sz w:val="23"/>
          <w:szCs w:val="23"/>
        </w:rPr>
        <w:tab/>
      </w:r>
      <w:r w:rsidRPr="008252E1">
        <w:rPr>
          <w:rFonts w:eastAsia="Calibri" w:cstheme="majorHAnsi"/>
          <w:b/>
          <w:bCs/>
          <w:color w:val="595959" w:themeColor="text1" w:themeTint="A6"/>
          <w:sz w:val="23"/>
          <w:szCs w:val="23"/>
        </w:rPr>
        <w:t>Health and Wellbeing</w:t>
      </w:r>
    </w:p>
    <w:p w14:paraId="6EE2FC1F" w14:textId="77777777" w:rsidR="008252E1" w:rsidRPr="004D71F0" w:rsidRDefault="008252E1" w:rsidP="008252E1">
      <w:pPr>
        <w:spacing w:after="0" w:line="276" w:lineRule="auto"/>
        <w:rPr>
          <w:rFonts w:asciiTheme="majorHAnsi" w:eastAsia="Calibri" w:hAnsiTheme="majorHAnsi" w:cstheme="majorHAnsi"/>
          <w:b/>
          <w:bCs/>
          <w:color w:val="808080" w:themeColor="background1" w:themeShade="80"/>
          <w:sz w:val="12"/>
          <w:szCs w:val="12"/>
        </w:rPr>
      </w:pPr>
    </w:p>
    <w:p w14:paraId="56E45E74" w14:textId="58372190" w:rsidR="00F00E3D" w:rsidRPr="004E7547" w:rsidRDefault="00F00E3D" w:rsidP="004E7547">
      <w:pPr>
        <w:spacing w:line="276" w:lineRule="auto"/>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Several informants said there was a need for more arts-based programs, inclusive neighbourhood events, and spaces where creativity can flourish. Ideas included street art, festivals, live music, comedy nights, food-based events, and </w:t>
      </w:r>
      <w:r w:rsidR="00BE039C">
        <w:rPr>
          <w:rFonts w:asciiTheme="majorHAnsi" w:eastAsia="Calibri" w:hAnsiTheme="majorHAnsi" w:cstheme="majorHAnsi"/>
          <w:sz w:val="23"/>
          <w:szCs w:val="23"/>
          <w:lang w:val="en-GB"/>
        </w:rPr>
        <w:t xml:space="preserve">local </w:t>
      </w:r>
      <w:r w:rsidRPr="004E7547">
        <w:rPr>
          <w:rFonts w:asciiTheme="majorHAnsi" w:eastAsia="Calibri" w:hAnsiTheme="majorHAnsi" w:cstheme="majorHAnsi"/>
          <w:sz w:val="23"/>
          <w:szCs w:val="23"/>
          <w:lang w:val="en-GB"/>
        </w:rPr>
        <w:t xml:space="preserve">markets. Taking a community-led approach, these initiatives could tap into local talent, bring people together, beautify and enliven streetscapes, foster social cohesion and community pride, and address </w:t>
      </w:r>
      <w:r w:rsidR="009F20AA">
        <w:rPr>
          <w:rFonts w:asciiTheme="majorHAnsi" w:eastAsia="Calibri" w:hAnsiTheme="majorHAnsi" w:cstheme="majorHAnsi"/>
          <w:sz w:val="23"/>
          <w:szCs w:val="23"/>
          <w:lang w:val="en-GB"/>
        </w:rPr>
        <w:t>an identified</w:t>
      </w:r>
      <w:r w:rsidRPr="004E7547">
        <w:rPr>
          <w:rFonts w:asciiTheme="majorHAnsi" w:eastAsia="Calibri" w:hAnsiTheme="majorHAnsi" w:cstheme="majorHAnsi"/>
          <w:sz w:val="23"/>
          <w:szCs w:val="23"/>
          <w:lang w:val="en-GB"/>
        </w:rPr>
        <w:t xml:space="preserve"> dearth of local entertainment and culture options. Schools, youth centres, indigenous groups,</w:t>
      </w:r>
      <w:r w:rsidRPr="004E7547">
        <w:rPr>
          <w:rFonts w:asciiTheme="majorHAnsi" w:eastAsia="Calibri" w:hAnsiTheme="majorHAnsi" w:cstheme="majorHAnsi"/>
          <w:sz w:val="23"/>
          <w:szCs w:val="23"/>
        </w:rPr>
        <w:t xml:space="preserve"> local musicians, dance groups</w:t>
      </w:r>
      <w:r w:rsidR="0044189A">
        <w:rPr>
          <w:rFonts w:asciiTheme="majorHAnsi" w:eastAsia="Calibri" w:hAnsiTheme="majorHAnsi" w:cstheme="majorHAnsi"/>
          <w:sz w:val="23"/>
          <w:szCs w:val="23"/>
        </w:rPr>
        <w:t>,</w:t>
      </w:r>
      <w:r w:rsidRPr="004E7547">
        <w:rPr>
          <w:rFonts w:asciiTheme="majorHAnsi" w:eastAsia="Calibri" w:hAnsiTheme="majorHAnsi" w:cstheme="majorHAnsi"/>
          <w:sz w:val="23"/>
          <w:szCs w:val="23"/>
        </w:rPr>
        <w:t xml:space="preserve"> and chefs </w:t>
      </w:r>
      <w:r w:rsidRPr="004E7547">
        <w:rPr>
          <w:rFonts w:asciiTheme="majorHAnsi" w:eastAsia="Calibri" w:hAnsiTheme="majorHAnsi" w:cstheme="majorHAnsi"/>
          <w:sz w:val="23"/>
          <w:szCs w:val="23"/>
          <w:lang w:val="en-GB"/>
        </w:rPr>
        <w:t>were named as potential participants. Venues could be created by upgrading or adapting existing spaces.</w:t>
      </w:r>
    </w:p>
    <w:p w14:paraId="12087E02" w14:textId="70409E84" w:rsidR="00F00E3D" w:rsidRPr="004E7547" w:rsidRDefault="00F00E3D" w:rsidP="004E7547">
      <w:pPr>
        <w:spacing w:line="276" w:lineRule="auto"/>
        <w:ind w:firstLine="720"/>
        <w:rPr>
          <w:rFonts w:asciiTheme="majorHAnsi" w:hAnsiTheme="majorHAnsi" w:cstheme="majorBidi"/>
          <w:sz w:val="23"/>
          <w:szCs w:val="23"/>
        </w:rPr>
      </w:pPr>
      <w:r w:rsidRPr="004E7547">
        <w:rPr>
          <w:rFonts w:asciiTheme="majorHAnsi" w:eastAsia="Calibri" w:hAnsiTheme="majorHAnsi" w:cstheme="majorBidi"/>
          <w:sz w:val="23"/>
          <w:szCs w:val="23"/>
          <w:lang w:val="en-GB"/>
        </w:rPr>
        <w:t xml:space="preserve">Creative arts </w:t>
      </w:r>
      <w:proofErr w:type="gramStart"/>
      <w:r w:rsidRPr="004E7547">
        <w:rPr>
          <w:rFonts w:asciiTheme="majorHAnsi" w:eastAsia="Calibri" w:hAnsiTheme="majorHAnsi" w:cstheme="majorBidi"/>
          <w:sz w:val="23"/>
          <w:szCs w:val="23"/>
          <w:lang w:val="en-GB"/>
        </w:rPr>
        <w:t>is</w:t>
      </w:r>
      <w:proofErr w:type="gramEnd"/>
      <w:r w:rsidRPr="004E7547">
        <w:rPr>
          <w:rFonts w:asciiTheme="majorHAnsi" w:eastAsia="Calibri" w:hAnsiTheme="majorHAnsi" w:cstheme="majorBidi"/>
          <w:sz w:val="23"/>
          <w:szCs w:val="23"/>
          <w:lang w:val="en-GB"/>
        </w:rPr>
        <w:t xml:space="preserve"> missing from the north… It could be street art, music, arts festivals, but more </w:t>
      </w:r>
      <w:r w:rsidRPr="004E7547">
        <w:tab/>
      </w:r>
      <w:r w:rsidRPr="004E7547">
        <w:tab/>
      </w:r>
      <w:r w:rsidRPr="004E7547">
        <w:rPr>
          <w:rFonts w:asciiTheme="majorHAnsi" w:eastAsia="Calibri" w:hAnsiTheme="majorHAnsi" w:cstheme="majorBidi"/>
          <w:sz w:val="23"/>
          <w:szCs w:val="23"/>
          <w:lang w:val="en-GB"/>
        </w:rPr>
        <w:t>could be done here (P4).</w:t>
      </w:r>
    </w:p>
    <w:p w14:paraId="6AD6BB7C" w14:textId="77777777" w:rsidR="00F00E3D" w:rsidRPr="004E7547" w:rsidRDefault="00F00E3D" w:rsidP="004E7547">
      <w:pPr>
        <w:spacing w:line="276" w:lineRule="auto"/>
        <w:ind w:firstLine="720"/>
        <w:rPr>
          <w:rFonts w:asciiTheme="majorHAnsi" w:hAnsiTheme="majorHAnsi" w:cstheme="majorBidi"/>
          <w:sz w:val="23"/>
          <w:szCs w:val="23"/>
        </w:rPr>
      </w:pPr>
      <w:r w:rsidRPr="004E7547">
        <w:rPr>
          <w:rFonts w:asciiTheme="majorHAnsi" w:eastAsia="Calibri" w:hAnsiTheme="majorHAnsi" w:cstheme="majorBidi"/>
          <w:sz w:val="23"/>
          <w:szCs w:val="23"/>
          <w:lang w:val="en-GB"/>
        </w:rPr>
        <w:t>Commission community artworks in the really run-down areas (P9).</w:t>
      </w:r>
    </w:p>
    <w:p w14:paraId="1441696A" w14:textId="7AFA4F21" w:rsidR="00F00E3D" w:rsidRDefault="00F00E3D" w:rsidP="0037692B">
      <w:pPr>
        <w:spacing w:after="0" w:line="276" w:lineRule="auto"/>
        <w:ind w:left="720"/>
        <w:rPr>
          <w:rFonts w:asciiTheme="majorHAnsi" w:eastAsia="Calibri" w:hAnsiTheme="majorHAnsi" w:cstheme="majorHAnsi"/>
          <w:sz w:val="23"/>
          <w:szCs w:val="23"/>
          <w:lang w:val="en-GB"/>
        </w:rPr>
      </w:pPr>
      <w:r w:rsidRPr="004E7547">
        <w:rPr>
          <w:rFonts w:asciiTheme="majorHAnsi" w:eastAsia="Calibri" w:hAnsiTheme="majorHAnsi" w:cstheme="majorHAnsi"/>
          <w:sz w:val="23"/>
          <w:szCs w:val="23"/>
          <w:lang w:val="en-GB"/>
        </w:rPr>
        <w:t xml:space="preserve">We have a beautiful circular space right in the middle of [Whittington], right outside the </w:t>
      </w:r>
      <w:r w:rsidR="0037692B">
        <w:rPr>
          <w:rFonts w:asciiTheme="majorHAnsi" w:eastAsia="Calibri" w:hAnsiTheme="majorHAnsi" w:cstheme="majorHAnsi"/>
          <w:sz w:val="23"/>
          <w:szCs w:val="23"/>
          <w:lang w:val="en-GB"/>
        </w:rPr>
        <w:t>[</w:t>
      </w:r>
      <w:r w:rsidRPr="004E7547">
        <w:rPr>
          <w:rFonts w:asciiTheme="majorHAnsi" w:eastAsia="Calibri" w:hAnsiTheme="majorHAnsi" w:cstheme="majorHAnsi"/>
          <w:sz w:val="23"/>
          <w:szCs w:val="23"/>
          <w:lang w:val="en-GB"/>
        </w:rPr>
        <w:t>Encompass] café, the daycare centre</w:t>
      </w:r>
      <w:r w:rsidR="00AC26D2">
        <w:rPr>
          <w:rFonts w:asciiTheme="majorHAnsi" w:eastAsia="Calibri" w:hAnsiTheme="majorHAnsi" w:cstheme="majorHAnsi"/>
          <w:sz w:val="23"/>
          <w:szCs w:val="23"/>
          <w:lang w:val="en-GB"/>
        </w:rPr>
        <w:t>,</w:t>
      </w:r>
      <w:r w:rsidRPr="004E7547">
        <w:rPr>
          <w:rFonts w:asciiTheme="majorHAnsi" w:eastAsia="Calibri" w:hAnsiTheme="majorHAnsi" w:cstheme="majorHAnsi"/>
          <w:sz w:val="23"/>
          <w:szCs w:val="23"/>
          <w:lang w:val="en-GB"/>
        </w:rPr>
        <w:t xml:space="preserve"> and kinder. It’s public land. But it’s underused, and there’s</w:t>
      </w:r>
      <w:r w:rsidR="0037692B">
        <w:rPr>
          <w:rFonts w:asciiTheme="majorHAnsi" w:eastAsia="Calibri" w:hAnsiTheme="majorHAnsi" w:cstheme="majorHAnsi"/>
          <w:sz w:val="23"/>
          <w:szCs w:val="23"/>
          <w:lang w:val="en-GB"/>
        </w:rPr>
        <w:t xml:space="preserve"> </w:t>
      </w:r>
      <w:r w:rsidRPr="004E7547">
        <w:rPr>
          <w:rFonts w:asciiTheme="majorHAnsi" w:eastAsia="Calibri" w:hAnsiTheme="majorHAnsi" w:cstheme="majorHAnsi"/>
          <w:sz w:val="23"/>
          <w:szCs w:val="23"/>
          <w:lang w:val="en-GB"/>
        </w:rPr>
        <w:t>a</w:t>
      </w:r>
      <w:r w:rsidR="001E4F82">
        <w:rPr>
          <w:rFonts w:asciiTheme="majorHAnsi" w:eastAsia="Calibri" w:hAnsiTheme="majorHAnsi" w:cstheme="majorHAnsi"/>
          <w:sz w:val="23"/>
          <w:szCs w:val="23"/>
          <w:lang w:val="en-GB"/>
        </w:rPr>
        <w:t xml:space="preserve"> </w:t>
      </w:r>
      <w:r w:rsidRPr="004E7547">
        <w:rPr>
          <w:rFonts w:asciiTheme="majorHAnsi" w:eastAsia="Calibri" w:hAnsiTheme="majorHAnsi" w:cstheme="majorHAnsi"/>
          <w:sz w:val="23"/>
          <w:szCs w:val="23"/>
          <w:lang w:val="en-GB"/>
        </w:rPr>
        <w:t>lot of concrete. That could be upgraded to be a really vibrant community space. We could have live music, a comedy night, food and drink, a community market… We could get a celebrity chef to be our guest chef at the café, using the produce from our farm (P10).</w:t>
      </w:r>
    </w:p>
    <w:p w14:paraId="357EF10E" w14:textId="77777777" w:rsidR="00AC26D2" w:rsidRPr="00AC26D2" w:rsidRDefault="00AC26D2" w:rsidP="00AC26D2">
      <w:pPr>
        <w:spacing w:after="0" w:line="276" w:lineRule="auto"/>
        <w:rPr>
          <w:rFonts w:asciiTheme="majorHAnsi" w:eastAsia="Calibri" w:hAnsiTheme="majorHAnsi" w:cstheme="majorHAnsi"/>
          <w:sz w:val="16"/>
          <w:szCs w:val="16"/>
          <w:lang w:val="en-GB"/>
        </w:rPr>
      </w:pPr>
    </w:p>
    <w:p w14:paraId="2C75CD7E" w14:textId="1BEC44DC" w:rsidR="00F00E3D" w:rsidRPr="001E4F82" w:rsidRDefault="00CC327C" w:rsidP="004E7547">
      <w:pPr>
        <w:spacing w:line="276" w:lineRule="auto"/>
        <w:rPr>
          <w:rFonts w:eastAsia="Calibri" w:cstheme="majorHAnsi"/>
          <w:b/>
          <w:bCs/>
          <w:color w:val="2F5496" w:themeColor="accent1" w:themeShade="BF"/>
          <w:sz w:val="25"/>
          <w:szCs w:val="25"/>
          <w:lang w:val="en-GB"/>
        </w:rPr>
      </w:pPr>
      <w:r>
        <w:rPr>
          <w:rFonts w:eastAsia="Calibri" w:cstheme="majorHAnsi"/>
          <w:b/>
          <w:bCs/>
          <w:color w:val="2F5496" w:themeColor="accent1" w:themeShade="BF"/>
          <w:sz w:val="25"/>
          <w:szCs w:val="25"/>
          <w:lang w:val="en-GB"/>
        </w:rPr>
        <w:t>Tackle</w:t>
      </w:r>
      <w:r w:rsidR="00B17B4B">
        <w:rPr>
          <w:rFonts w:eastAsia="Calibri" w:cstheme="majorHAnsi"/>
          <w:b/>
          <w:bCs/>
          <w:color w:val="2F5496" w:themeColor="accent1" w:themeShade="BF"/>
          <w:sz w:val="25"/>
          <w:szCs w:val="25"/>
          <w:lang w:val="en-GB"/>
        </w:rPr>
        <w:t xml:space="preserve"> </w:t>
      </w:r>
      <w:r w:rsidR="00F00E3D" w:rsidRPr="001E4F82">
        <w:rPr>
          <w:rFonts w:eastAsia="Calibri" w:cstheme="majorHAnsi"/>
          <w:b/>
          <w:bCs/>
          <w:color w:val="2F5496" w:themeColor="accent1" w:themeShade="BF"/>
          <w:sz w:val="25"/>
          <w:szCs w:val="25"/>
          <w:lang w:val="en-GB"/>
        </w:rPr>
        <w:t>Place-Based Stigma</w:t>
      </w:r>
      <w:r w:rsidR="00F00E3D" w:rsidRPr="001E4F82">
        <w:rPr>
          <w:rFonts w:cstheme="majorHAnsi"/>
          <w:color w:val="2F5496" w:themeColor="accent1" w:themeShade="BF"/>
          <w:sz w:val="25"/>
          <w:szCs w:val="25"/>
        </w:rPr>
        <w:tab/>
      </w:r>
      <w:r w:rsidR="00F00E3D" w:rsidRPr="001E4F82">
        <w:rPr>
          <w:rFonts w:cstheme="majorHAnsi"/>
          <w:color w:val="2F5496" w:themeColor="accent1" w:themeShade="BF"/>
          <w:sz w:val="25"/>
          <w:szCs w:val="25"/>
        </w:rPr>
        <w:tab/>
      </w:r>
      <w:r w:rsidR="00F00E3D" w:rsidRPr="001E4F82">
        <w:rPr>
          <w:rFonts w:cstheme="majorHAnsi"/>
          <w:color w:val="2F5496" w:themeColor="accent1" w:themeShade="BF"/>
          <w:sz w:val="25"/>
          <w:szCs w:val="25"/>
        </w:rPr>
        <w:tab/>
      </w:r>
      <w:r w:rsidR="00F00E3D" w:rsidRPr="001E4F82">
        <w:rPr>
          <w:rFonts w:cstheme="majorHAnsi"/>
          <w:color w:val="2F5496" w:themeColor="accent1" w:themeShade="BF"/>
          <w:sz w:val="25"/>
          <w:szCs w:val="25"/>
        </w:rPr>
        <w:tab/>
      </w:r>
    </w:p>
    <w:p w14:paraId="3E592747" w14:textId="69F1D584" w:rsidR="00F00E3D" w:rsidRPr="001E4F82" w:rsidRDefault="00F00E3D" w:rsidP="001E4F82">
      <w:pPr>
        <w:spacing w:after="0" w:line="276" w:lineRule="auto"/>
        <w:rPr>
          <w:rFonts w:cstheme="majorHAnsi"/>
          <w:color w:val="595959" w:themeColor="text1" w:themeTint="A6"/>
          <w:sz w:val="23"/>
          <w:szCs w:val="23"/>
        </w:rPr>
      </w:pPr>
      <w:r w:rsidRPr="001E4F82">
        <w:rPr>
          <w:rFonts w:eastAsia="Calibri" w:cstheme="majorHAnsi"/>
          <w:b/>
          <w:bCs/>
          <w:color w:val="595959" w:themeColor="text1" w:themeTint="A6"/>
          <w:sz w:val="23"/>
          <w:szCs w:val="23"/>
        </w:rPr>
        <w:t xml:space="preserve">Main </w:t>
      </w:r>
      <w:r w:rsidR="00D95573">
        <w:rPr>
          <w:rFonts w:eastAsia="Calibri" w:cstheme="majorHAnsi"/>
          <w:b/>
          <w:bCs/>
          <w:color w:val="595959" w:themeColor="text1" w:themeTint="A6"/>
          <w:sz w:val="23"/>
          <w:szCs w:val="23"/>
        </w:rPr>
        <w:t>Practice Domain</w:t>
      </w:r>
      <w:r w:rsidRPr="001E4F82">
        <w:rPr>
          <w:rFonts w:eastAsia="Calibri" w:cstheme="majorHAnsi"/>
          <w:b/>
          <w:bCs/>
          <w:color w:val="595959" w:themeColor="text1" w:themeTint="A6"/>
          <w:sz w:val="23"/>
          <w:szCs w:val="23"/>
        </w:rPr>
        <w:t>(s):</w:t>
      </w:r>
      <w:r w:rsidR="001E4F82">
        <w:rPr>
          <w:rFonts w:eastAsia="Calibri" w:cstheme="majorHAnsi"/>
          <w:b/>
          <w:bCs/>
          <w:color w:val="595959" w:themeColor="text1" w:themeTint="A6"/>
          <w:sz w:val="23"/>
          <w:szCs w:val="23"/>
        </w:rPr>
        <w:tab/>
      </w:r>
      <w:r w:rsidR="001E4F82">
        <w:rPr>
          <w:rFonts w:eastAsia="Calibri" w:cstheme="majorHAnsi"/>
          <w:b/>
          <w:bCs/>
          <w:color w:val="595959" w:themeColor="text1" w:themeTint="A6"/>
          <w:sz w:val="23"/>
          <w:szCs w:val="23"/>
        </w:rPr>
        <w:tab/>
      </w:r>
      <w:r w:rsidRPr="001E4F82">
        <w:rPr>
          <w:rFonts w:eastAsia="Calibri" w:cstheme="majorHAnsi"/>
          <w:b/>
          <w:bCs/>
          <w:color w:val="595959" w:themeColor="text1" w:themeTint="A6"/>
          <w:sz w:val="23"/>
          <w:szCs w:val="23"/>
        </w:rPr>
        <w:t>Liveability</w:t>
      </w:r>
      <w:r w:rsidR="001E4F82" w:rsidRPr="001E4F82">
        <w:rPr>
          <w:rFonts w:eastAsia="Calibri" w:cstheme="majorHAnsi"/>
          <w:b/>
          <w:bCs/>
          <w:color w:val="595959" w:themeColor="text1" w:themeTint="A6"/>
          <w:sz w:val="23"/>
          <w:szCs w:val="23"/>
        </w:rPr>
        <w:t>. Health and Wellbeing</w:t>
      </w:r>
    </w:p>
    <w:p w14:paraId="7D4493B9" w14:textId="7807A283" w:rsidR="00F00E3D" w:rsidRPr="001E4F82" w:rsidRDefault="00F00E3D" w:rsidP="001E4F82">
      <w:pPr>
        <w:spacing w:after="0" w:line="276" w:lineRule="auto"/>
        <w:rPr>
          <w:rFonts w:eastAsia="Calibri" w:cstheme="majorHAnsi"/>
          <w:b/>
          <w:bCs/>
          <w:color w:val="595959" w:themeColor="text1" w:themeTint="A6"/>
          <w:sz w:val="23"/>
          <w:szCs w:val="23"/>
        </w:rPr>
      </w:pPr>
      <w:r w:rsidRPr="001E4F82">
        <w:rPr>
          <w:rFonts w:eastAsia="Calibri" w:cstheme="majorHAnsi"/>
          <w:b/>
          <w:bCs/>
          <w:color w:val="595959" w:themeColor="text1" w:themeTint="A6"/>
          <w:sz w:val="23"/>
          <w:szCs w:val="23"/>
        </w:rPr>
        <w:t xml:space="preserve">Secondary </w:t>
      </w:r>
      <w:r w:rsidR="00D95573">
        <w:rPr>
          <w:rFonts w:eastAsia="Calibri" w:cstheme="majorHAnsi"/>
          <w:b/>
          <w:bCs/>
          <w:color w:val="595959" w:themeColor="text1" w:themeTint="A6"/>
          <w:sz w:val="23"/>
          <w:szCs w:val="23"/>
        </w:rPr>
        <w:t>Practice Domain</w:t>
      </w:r>
      <w:r w:rsidRPr="001E4F82">
        <w:rPr>
          <w:rFonts w:eastAsia="Calibri" w:cstheme="majorHAnsi"/>
          <w:b/>
          <w:bCs/>
          <w:color w:val="595959" w:themeColor="text1" w:themeTint="A6"/>
          <w:sz w:val="23"/>
          <w:szCs w:val="23"/>
        </w:rPr>
        <w:t>(s):</w:t>
      </w:r>
      <w:r w:rsidR="001E4F82">
        <w:rPr>
          <w:rFonts w:eastAsia="Calibri" w:cstheme="majorHAnsi"/>
          <w:b/>
          <w:bCs/>
          <w:color w:val="595959" w:themeColor="text1" w:themeTint="A6"/>
          <w:sz w:val="23"/>
          <w:szCs w:val="23"/>
        </w:rPr>
        <w:tab/>
      </w:r>
      <w:r w:rsidRPr="001E4F82">
        <w:rPr>
          <w:rFonts w:eastAsia="Calibri" w:cstheme="majorHAnsi"/>
          <w:b/>
          <w:bCs/>
          <w:color w:val="595959" w:themeColor="text1" w:themeTint="A6"/>
          <w:sz w:val="23"/>
          <w:szCs w:val="23"/>
        </w:rPr>
        <w:t>Employment</w:t>
      </w:r>
    </w:p>
    <w:p w14:paraId="16EB3314" w14:textId="77777777" w:rsidR="001E4F82" w:rsidRPr="001E4F82" w:rsidRDefault="001E4F82" w:rsidP="001E4F82">
      <w:pPr>
        <w:spacing w:after="0" w:line="276" w:lineRule="auto"/>
        <w:rPr>
          <w:rFonts w:asciiTheme="majorHAnsi" w:hAnsiTheme="majorHAnsi" w:cstheme="majorHAnsi"/>
          <w:sz w:val="12"/>
          <w:szCs w:val="12"/>
        </w:rPr>
      </w:pPr>
    </w:p>
    <w:p w14:paraId="4AE4249B" w14:textId="5BD21D1D" w:rsidR="00F00E3D" w:rsidRPr="004E7547" w:rsidRDefault="00F00E3D" w:rsidP="004E7547">
      <w:pPr>
        <w:spacing w:line="276" w:lineRule="auto"/>
        <w:rPr>
          <w:rFonts w:asciiTheme="majorHAnsi" w:hAnsiTheme="majorHAnsi" w:cstheme="majorHAnsi"/>
          <w:sz w:val="23"/>
          <w:szCs w:val="23"/>
        </w:rPr>
      </w:pPr>
      <w:r w:rsidRPr="004E7547">
        <w:rPr>
          <w:rFonts w:asciiTheme="majorHAnsi" w:eastAsia="Calibri" w:hAnsiTheme="majorHAnsi" w:cstheme="majorHAnsi"/>
          <w:sz w:val="23"/>
          <w:szCs w:val="23"/>
        </w:rPr>
        <w:t>Despite the</w:t>
      </w:r>
      <w:r w:rsidR="004D71F0">
        <w:rPr>
          <w:rFonts w:asciiTheme="majorHAnsi" w:eastAsia="Calibri" w:hAnsiTheme="majorHAnsi" w:cstheme="majorHAnsi"/>
          <w:sz w:val="23"/>
          <w:szCs w:val="23"/>
        </w:rPr>
        <w:t xml:space="preserve"> multiple</w:t>
      </w:r>
      <w:r w:rsidRPr="004E7547">
        <w:rPr>
          <w:rFonts w:asciiTheme="majorHAnsi" w:eastAsia="Calibri" w:hAnsiTheme="majorHAnsi" w:cstheme="majorHAnsi"/>
          <w:sz w:val="23"/>
          <w:szCs w:val="23"/>
        </w:rPr>
        <w:t xml:space="preserve"> strengths of these </w:t>
      </w:r>
      <w:r w:rsidR="004D71F0">
        <w:rPr>
          <w:rFonts w:asciiTheme="majorHAnsi" w:eastAsia="Calibri" w:hAnsiTheme="majorHAnsi" w:cstheme="majorHAnsi"/>
          <w:sz w:val="23"/>
          <w:szCs w:val="23"/>
        </w:rPr>
        <w:t>diverse</w:t>
      </w:r>
      <w:r w:rsidRPr="004E7547">
        <w:rPr>
          <w:rFonts w:asciiTheme="majorHAnsi" w:eastAsia="Calibri" w:hAnsiTheme="majorHAnsi" w:cstheme="majorHAnsi"/>
          <w:sz w:val="23"/>
          <w:szCs w:val="23"/>
        </w:rPr>
        <w:t xml:space="preserve"> communities, our interviewees confirmed that Whittington, Corio, and Norlane are still subject to stigma imposed by outsiders. This stigma carries negative implications for both community morale and residents’ prospects. </w:t>
      </w:r>
      <w:r w:rsidRPr="004E7547">
        <w:rPr>
          <w:rFonts w:asciiTheme="majorHAnsi" w:eastAsia="Calibri" w:hAnsiTheme="majorHAnsi" w:cstheme="majorHAnsi"/>
          <w:sz w:val="23"/>
          <w:szCs w:val="23"/>
          <w:lang w:val="en-GB"/>
        </w:rPr>
        <w:t>By showcasing local creativity and making neighbourhoods more vibrant, public space projects</w:t>
      </w:r>
      <w:r w:rsidR="0044189A">
        <w:rPr>
          <w:rFonts w:asciiTheme="majorHAnsi" w:eastAsia="Calibri" w:hAnsiTheme="majorHAnsi" w:cstheme="majorHAnsi"/>
          <w:sz w:val="23"/>
          <w:szCs w:val="23"/>
          <w:lang w:val="en-GB"/>
        </w:rPr>
        <w:t>,</w:t>
      </w:r>
      <w:r w:rsidRPr="004E7547">
        <w:rPr>
          <w:rFonts w:asciiTheme="majorHAnsi" w:eastAsia="Calibri" w:hAnsiTheme="majorHAnsi" w:cstheme="majorHAnsi"/>
          <w:sz w:val="23"/>
          <w:szCs w:val="23"/>
          <w:lang w:val="en-GB"/>
        </w:rPr>
        <w:t xml:space="preserve"> arts initiatives</w:t>
      </w:r>
      <w:r w:rsidR="0044189A">
        <w:rPr>
          <w:rFonts w:asciiTheme="majorHAnsi" w:eastAsia="Calibri" w:hAnsiTheme="majorHAnsi" w:cstheme="majorHAnsi"/>
          <w:sz w:val="23"/>
          <w:szCs w:val="23"/>
          <w:lang w:val="en-GB"/>
        </w:rPr>
        <w:t>, and community events</w:t>
      </w:r>
      <w:r w:rsidRPr="004E7547">
        <w:rPr>
          <w:rFonts w:asciiTheme="majorHAnsi" w:eastAsia="Calibri" w:hAnsiTheme="majorHAnsi" w:cstheme="majorHAnsi"/>
          <w:sz w:val="23"/>
          <w:szCs w:val="23"/>
          <w:lang w:val="en-GB"/>
        </w:rPr>
        <w:t xml:space="preserve"> were seen as offering a potential antidote to </w:t>
      </w:r>
      <w:r w:rsidRPr="004E7547">
        <w:rPr>
          <w:rFonts w:asciiTheme="majorHAnsi" w:eastAsia="Calibri" w:hAnsiTheme="majorHAnsi" w:cstheme="majorHAnsi"/>
          <w:sz w:val="23"/>
          <w:szCs w:val="23"/>
        </w:rPr>
        <w:t xml:space="preserve">place-based </w:t>
      </w:r>
      <w:r w:rsidRPr="004E7547">
        <w:rPr>
          <w:rFonts w:asciiTheme="majorHAnsi" w:eastAsia="Calibri" w:hAnsiTheme="majorHAnsi" w:cstheme="majorHAnsi"/>
          <w:sz w:val="23"/>
          <w:szCs w:val="23"/>
          <w:lang w:val="en-GB"/>
        </w:rPr>
        <w:t>stigma:</w:t>
      </w:r>
    </w:p>
    <w:p w14:paraId="69A08E10" w14:textId="4BDD20D7" w:rsidR="00C82E85" w:rsidRDefault="00F00E3D" w:rsidP="004E7547">
      <w:pPr>
        <w:spacing w:line="276" w:lineRule="auto"/>
        <w:ind w:firstLine="720"/>
        <w:rPr>
          <w:rFonts w:asciiTheme="majorHAnsi" w:eastAsia="Calibri" w:hAnsiTheme="majorHAnsi" w:cstheme="majorHAnsi"/>
          <w:sz w:val="23"/>
          <w:szCs w:val="23"/>
        </w:rPr>
      </w:pPr>
      <w:r w:rsidRPr="004E7547">
        <w:rPr>
          <w:rFonts w:asciiTheme="majorHAnsi" w:eastAsia="Calibri" w:hAnsiTheme="majorHAnsi" w:cstheme="majorHAnsi"/>
          <w:sz w:val="23"/>
          <w:szCs w:val="23"/>
        </w:rPr>
        <w:t xml:space="preserve">Investing in the community gives a sense of pride – parks, community art, and change the </w:t>
      </w:r>
      <w:r w:rsidRPr="004E7547">
        <w:rPr>
          <w:rFonts w:asciiTheme="majorHAnsi" w:hAnsiTheme="majorHAnsi" w:cstheme="majorHAnsi"/>
          <w:sz w:val="23"/>
          <w:szCs w:val="23"/>
        </w:rPr>
        <w:tab/>
      </w:r>
      <w:r w:rsidRPr="004E7547">
        <w:rPr>
          <w:rFonts w:asciiTheme="majorHAnsi" w:hAnsiTheme="majorHAnsi" w:cstheme="majorHAnsi"/>
          <w:sz w:val="23"/>
          <w:szCs w:val="23"/>
        </w:rPr>
        <w:tab/>
      </w:r>
      <w:r w:rsidRPr="004E7547">
        <w:rPr>
          <w:rFonts w:asciiTheme="majorHAnsi" w:eastAsia="Calibri" w:hAnsiTheme="majorHAnsi" w:cstheme="majorHAnsi"/>
          <w:sz w:val="23"/>
          <w:szCs w:val="23"/>
        </w:rPr>
        <w:t>narrative of the place from being rundown and bereft to give it a better sense of self (P9).</w:t>
      </w:r>
    </w:p>
    <w:p w14:paraId="7D41B8C2" w14:textId="77777777" w:rsidR="00C82E85" w:rsidRDefault="00C82E85">
      <w:pPr>
        <w:spacing w:after="0" w:line="240" w:lineRule="auto"/>
        <w:rPr>
          <w:rFonts w:asciiTheme="majorHAnsi" w:eastAsia="Calibri" w:hAnsiTheme="majorHAnsi" w:cstheme="majorHAnsi"/>
          <w:sz w:val="23"/>
          <w:szCs w:val="23"/>
        </w:rPr>
      </w:pPr>
      <w:r>
        <w:rPr>
          <w:rFonts w:asciiTheme="majorHAnsi" w:eastAsia="Calibri" w:hAnsiTheme="majorHAnsi" w:cstheme="majorHAnsi"/>
          <w:sz w:val="23"/>
          <w:szCs w:val="23"/>
        </w:rPr>
        <w:br w:type="page"/>
      </w:r>
    </w:p>
    <w:p w14:paraId="4F76DAE5" w14:textId="6EF2880D" w:rsidR="00F00E3D" w:rsidRPr="00E45523" w:rsidRDefault="00B17B4B" w:rsidP="004E7547">
      <w:pPr>
        <w:spacing w:line="276" w:lineRule="auto"/>
        <w:rPr>
          <w:rFonts w:cstheme="majorHAnsi"/>
          <w:color w:val="2F5496" w:themeColor="accent1" w:themeShade="BF"/>
          <w:sz w:val="25"/>
          <w:szCs w:val="25"/>
        </w:rPr>
      </w:pPr>
      <w:r>
        <w:rPr>
          <w:rFonts w:eastAsia="Calibri" w:cstheme="majorHAnsi"/>
          <w:b/>
          <w:bCs/>
          <w:color w:val="2F5496" w:themeColor="accent1" w:themeShade="BF"/>
          <w:sz w:val="25"/>
          <w:szCs w:val="25"/>
        </w:rPr>
        <w:lastRenderedPageBreak/>
        <w:t xml:space="preserve">Address </w:t>
      </w:r>
      <w:r w:rsidR="00F00E3D" w:rsidRPr="00E45523">
        <w:rPr>
          <w:rFonts w:eastAsia="Calibri" w:cstheme="majorHAnsi"/>
          <w:b/>
          <w:bCs/>
          <w:color w:val="2F5496" w:themeColor="accent1" w:themeShade="BF"/>
          <w:sz w:val="25"/>
          <w:szCs w:val="25"/>
        </w:rPr>
        <w:t xml:space="preserve">Digital </w:t>
      </w:r>
      <w:r w:rsidR="00F45E37" w:rsidRPr="00E45523">
        <w:rPr>
          <w:rFonts w:eastAsia="Calibri" w:cstheme="majorHAnsi"/>
          <w:b/>
          <w:bCs/>
          <w:color w:val="2F5496" w:themeColor="accent1" w:themeShade="BF"/>
          <w:sz w:val="25"/>
          <w:szCs w:val="25"/>
        </w:rPr>
        <w:t>Exclusion</w:t>
      </w:r>
    </w:p>
    <w:p w14:paraId="1DB8704A" w14:textId="05267A08" w:rsidR="00F00E3D" w:rsidRPr="001E3E2B" w:rsidRDefault="00F00E3D" w:rsidP="00E45523">
      <w:pPr>
        <w:spacing w:after="0" w:line="276" w:lineRule="auto"/>
        <w:rPr>
          <w:rFonts w:cstheme="majorHAnsi"/>
          <w:color w:val="595959" w:themeColor="text1" w:themeTint="A6"/>
          <w:sz w:val="23"/>
          <w:szCs w:val="23"/>
        </w:rPr>
      </w:pPr>
      <w:r w:rsidRPr="001E3E2B">
        <w:rPr>
          <w:rFonts w:eastAsia="Calibri" w:cstheme="majorHAnsi"/>
          <w:b/>
          <w:bCs/>
          <w:color w:val="595959" w:themeColor="text1" w:themeTint="A6"/>
          <w:sz w:val="23"/>
          <w:szCs w:val="23"/>
        </w:rPr>
        <w:t xml:space="preserve">Main </w:t>
      </w:r>
      <w:r w:rsidR="00D95573">
        <w:rPr>
          <w:rFonts w:eastAsia="Calibri" w:cstheme="majorHAnsi"/>
          <w:b/>
          <w:bCs/>
          <w:color w:val="595959" w:themeColor="text1" w:themeTint="A6"/>
          <w:sz w:val="23"/>
          <w:szCs w:val="23"/>
        </w:rPr>
        <w:t>Practice Domain</w:t>
      </w:r>
      <w:r w:rsidRPr="001E3E2B">
        <w:rPr>
          <w:rFonts w:eastAsia="Calibri" w:cstheme="majorHAnsi"/>
          <w:b/>
          <w:bCs/>
          <w:color w:val="595959" w:themeColor="text1" w:themeTint="A6"/>
          <w:sz w:val="23"/>
          <w:szCs w:val="23"/>
        </w:rPr>
        <w:t>(s):</w:t>
      </w:r>
      <w:r w:rsidR="001E3E2B">
        <w:rPr>
          <w:rFonts w:eastAsia="Calibri" w:cstheme="majorHAnsi"/>
          <w:b/>
          <w:bCs/>
          <w:color w:val="595959" w:themeColor="text1" w:themeTint="A6"/>
          <w:sz w:val="23"/>
          <w:szCs w:val="23"/>
        </w:rPr>
        <w:tab/>
      </w:r>
      <w:r w:rsidR="001E3E2B">
        <w:rPr>
          <w:rFonts w:eastAsia="Calibri" w:cstheme="majorHAnsi"/>
          <w:b/>
          <w:bCs/>
          <w:color w:val="595959" w:themeColor="text1" w:themeTint="A6"/>
          <w:sz w:val="23"/>
          <w:szCs w:val="23"/>
        </w:rPr>
        <w:tab/>
      </w:r>
      <w:r w:rsidRPr="001E3E2B">
        <w:rPr>
          <w:rFonts w:eastAsia="Calibri" w:cstheme="majorHAnsi"/>
          <w:b/>
          <w:bCs/>
          <w:color w:val="595959" w:themeColor="text1" w:themeTint="A6"/>
          <w:sz w:val="23"/>
          <w:szCs w:val="23"/>
        </w:rPr>
        <w:t xml:space="preserve">Education, Employment </w:t>
      </w:r>
    </w:p>
    <w:p w14:paraId="47B88C57" w14:textId="760FF63D" w:rsidR="00F00E3D" w:rsidRPr="001E3E2B" w:rsidRDefault="00F00E3D" w:rsidP="00E45523">
      <w:pPr>
        <w:spacing w:after="0" w:line="276" w:lineRule="auto"/>
        <w:rPr>
          <w:rFonts w:eastAsia="Calibri" w:cstheme="majorHAnsi"/>
          <w:b/>
          <w:bCs/>
          <w:color w:val="595959" w:themeColor="text1" w:themeTint="A6"/>
          <w:sz w:val="23"/>
          <w:szCs w:val="23"/>
        </w:rPr>
      </w:pPr>
      <w:r w:rsidRPr="001E3E2B">
        <w:rPr>
          <w:rFonts w:eastAsia="Calibri" w:cstheme="majorHAnsi"/>
          <w:b/>
          <w:bCs/>
          <w:color w:val="595959" w:themeColor="text1" w:themeTint="A6"/>
          <w:sz w:val="23"/>
          <w:szCs w:val="23"/>
        </w:rPr>
        <w:t xml:space="preserve">Secondary </w:t>
      </w:r>
      <w:r w:rsidR="00D95573">
        <w:rPr>
          <w:rFonts w:eastAsia="Calibri" w:cstheme="majorHAnsi"/>
          <w:b/>
          <w:bCs/>
          <w:color w:val="595959" w:themeColor="text1" w:themeTint="A6"/>
          <w:sz w:val="23"/>
          <w:szCs w:val="23"/>
        </w:rPr>
        <w:t>Practice Domain</w:t>
      </w:r>
      <w:r w:rsidRPr="001E3E2B">
        <w:rPr>
          <w:rFonts w:eastAsia="Calibri" w:cstheme="majorHAnsi"/>
          <w:b/>
          <w:bCs/>
          <w:color w:val="595959" w:themeColor="text1" w:themeTint="A6"/>
          <w:sz w:val="23"/>
          <w:szCs w:val="23"/>
        </w:rPr>
        <w:t>(s):</w:t>
      </w:r>
      <w:r w:rsidR="001E3E2B">
        <w:rPr>
          <w:rFonts w:eastAsia="Calibri" w:cstheme="majorHAnsi"/>
          <w:b/>
          <w:bCs/>
          <w:color w:val="595959" w:themeColor="text1" w:themeTint="A6"/>
          <w:sz w:val="23"/>
          <w:szCs w:val="23"/>
        </w:rPr>
        <w:tab/>
      </w:r>
      <w:r w:rsidRPr="001E3E2B">
        <w:rPr>
          <w:rFonts w:eastAsia="Calibri" w:cstheme="majorHAnsi"/>
          <w:b/>
          <w:bCs/>
          <w:color w:val="595959" w:themeColor="text1" w:themeTint="A6"/>
          <w:sz w:val="23"/>
          <w:szCs w:val="23"/>
        </w:rPr>
        <w:t>Health and Wellbeing</w:t>
      </w:r>
    </w:p>
    <w:p w14:paraId="4EFA029A" w14:textId="77777777" w:rsidR="00E45523" w:rsidRPr="00764EF9" w:rsidRDefault="00E45523" w:rsidP="00E45523">
      <w:pPr>
        <w:spacing w:after="0" w:line="276" w:lineRule="auto"/>
        <w:rPr>
          <w:rFonts w:asciiTheme="majorHAnsi" w:eastAsia="Calibri" w:hAnsiTheme="majorHAnsi" w:cstheme="majorHAnsi"/>
          <w:sz w:val="12"/>
          <w:szCs w:val="12"/>
          <w:lang w:val="en-GB"/>
        </w:rPr>
      </w:pPr>
    </w:p>
    <w:p w14:paraId="2BFE5C8D" w14:textId="77777777" w:rsidR="00DD2D67" w:rsidRDefault="00E45523" w:rsidP="004E7547">
      <w:pPr>
        <w:spacing w:line="276" w:lineRule="auto"/>
        <w:rPr>
          <w:rFonts w:asciiTheme="majorHAnsi" w:eastAsia="Calibri" w:hAnsiTheme="majorHAnsi" w:cstheme="majorHAnsi"/>
          <w:sz w:val="23"/>
          <w:szCs w:val="23"/>
          <w:lang w:val="en-GB"/>
        </w:rPr>
      </w:pPr>
      <w:r>
        <w:rPr>
          <w:rFonts w:asciiTheme="majorHAnsi" w:eastAsia="Calibri" w:hAnsiTheme="majorHAnsi" w:cstheme="majorHAnsi"/>
          <w:sz w:val="23"/>
          <w:szCs w:val="23"/>
          <w:lang w:val="en-GB"/>
        </w:rPr>
        <w:t>Our informants</w:t>
      </w:r>
      <w:r w:rsidR="00F00E3D" w:rsidRPr="004E7547">
        <w:rPr>
          <w:rFonts w:asciiTheme="majorHAnsi" w:eastAsia="Calibri" w:hAnsiTheme="majorHAnsi" w:cstheme="majorHAnsi"/>
          <w:sz w:val="23"/>
          <w:szCs w:val="23"/>
          <w:lang w:val="en-GB"/>
        </w:rPr>
        <w:t xml:space="preserve"> identified a clear need to improve digital inclusion for residents in Corio, Norlane and Whittington. The pandemic has brought this into stark relief, with all three aspects of digital inclusion warranting attention: affordability, access, and digital skills.</w:t>
      </w:r>
    </w:p>
    <w:p w14:paraId="0DECCE0F" w14:textId="6D010119" w:rsidR="00F00E3D" w:rsidRPr="004E7547" w:rsidRDefault="00F00E3D" w:rsidP="004E7547">
      <w:pPr>
        <w:spacing w:line="276" w:lineRule="auto"/>
        <w:rPr>
          <w:rFonts w:asciiTheme="majorHAnsi" w:hAnsiTheme="majorHAnsi" w:cstheme="majorHAnsi"/>
          <w:sz w:val="23"/>
          <w:szCs w:val="23"/>
        </w:rPr>
      </w:pPr>
      <w:r w:rsidRPr="004E7547">
        <w:rPr>
          <w:rFonts w:asciiTheme="majorHAnsi" w:eastAsia="Calibri" w:hAnsiTheme="majorHAnsi" w:cstheme="majorHAnsi"/>
          <w:sz w:val="23"/>
          <w:szCs w:val="23"/>
          <w:lang w:val="en-GB"/>
        </w:rPr>
        <w:t>During</w:t>
      </w:r>
      <w:r w:rsidR="00DD2D67">
        <w:rPr>
          <w:rFonts w:asciiTheme="majorHAnsi" w:eastAsia="Calibri" w:hAnsiTheme="majorHAnsi" w:cstheme="majorHAnsi"/>
          <w:sz w:val="23"/>
          <w:szCs w:val="23"/>
          <w:lang w:val="en-GB"/>
        </w:rPr>
        <w:t xml:space="preserve"> the height of Vitoria’s</w:t>
      </w:r>
      <w:r w:rsidRPr="004E7547">
        <w:rPr>
          <w:rFonts w:asciiTheme="majorHAnsi" w:eastAsia="Calibri" w:hAnsiTheme="majorHAnsi" w:cstheme="majorHAnsi"/>
          <w:sz w:val="23"/>
          <w:szCs w:val="23"/>
          <w:lang w:val="en-GB"/>
        </w:rPr>
        <w:t xml:space="preserve"> </w:t>
      </w:r>
      <w:r w:rsidR="00940D80" w:rsidRPr="004E7547">
        <w:rPr>
          <w:rFonts w:asciiTheme="majorHAnsi" w:eastAsia="Calibri" w:hAnsiTheme="majorHAnsi" w:cstheme="majorHAnsi"/>
          <w:sz w:val="23"/>
          <w:szCs w:val="23"/>
          <w:lang w:val="en-GB"/>
        </w:rPr>
        <w:t>COVID</w:t>
      </w:r>
      <w:r w:rsidR="00DD2D67">
        <w:rPr>
          <w:rFonts w:asciiTheme="majorHAnsi" w:eastAsia="Calibri" w:hAnsiTheme="majorHAnsi" w:cstheme="majorHAnsi"/>
          <w:sz w:val="23"/>
          <w:szCs w:val="23"/>
          <w:lang w:val="en-GB"/>
        </w:rPr>
        <w:t>-19</w:t>
      </w:r>
      <w:r w:rsidRPr="004E7547">
        <w:rPr>
          <w:rFonts w:asciiTheme="majorHAnsi" w:eastAsia="Calibri" w:hAnsiTheme="majorHAnsi" w:cstheme="majorHAnsi"/>
          <w:sz w:val="23"/>
          <w:szCs w:val="23"/>
          <w:lang w:val="en-GB"/>
        </w:rPr>
        <w:t xml:space="preserve"> </w:t>
      </w:r>
      <w:r w:rsidR="009E70D4">
        <w:rPr>
          <w:rFonts w:asciiTheme="majorHAnsi" w:eastAsia="Calibri" w:hAnsiTheme="majorHAnsi" w:cstheme="majorHAnsi"/>
          <w:sz w:val="23"/>
          <w:szCs w:val="23"/>
          <w:lang w:val="en-GB"/>
        </w:rPr>
        <w:t xml:space="preserve">crisis </w:t>
      </w:r>
      <w:r w:rsidRPr="004E7547">
        <w:rPr>
          <w:rFonts w:asciiTheme="majorHAnsi" w:eastAsia="Calibri" w:hAnsiTheme="majorHAnsi" w:cstheme="majorHAnsi"/>
          <w:sz w:val="23"/>
          <w:szCs w:val="23"/>
          <w:lang w:val="en-GB"/>
        </w:rPr>
        <w:t>many residents missed out on reliable information and vital public health messages that were primarily disseminated online; for others, inability to access telehealth services exacerbated existing health inequalities, chronic illness</w:t>
      </w:r>
      <w:r w:rsidR="009E70D4">
        <w:rPr>
          <w:rFonts w:asciiTheme="majorHAnsi" w:eastAsia="Calibri" w:hAnsiTheme="majorHAnsi" w:cstheme="majorHAnsi"/>
          <w:sz w:val="23"/>
          <w:szCs w:val="23"/>
          <w:lang w:val="en-GB"/>
        </w:rPr>
        <w:t>,</w:t>
      </w:r>
      <w:r w:rsidRPr="004E7547">
        <w:rPr>
          <w:rFonts w:asciiTheme="majorHAnsi" w:eastAsia="Calibri" w:hAnsiTheme="majorHAnsi" w:cstheme="majorHAnsi"/>
          <w:sz w:val="23"/>
          <w:szCs w:val="23"/>
          <w:lang w:val="en-GB"/>
        </w:rPr>
        <w:t xml:space="preserve"> and medical conditions; prohibitive costs create</w:t>
      </w:r>
      <w:r w:rsidR="009E70D4">
        <w:rPr>
          <w:rFonts w:asciiTheme="majorHAnsi" w:eastAsia="Calibri" w:hAnsiTheme="majorHAnsi" w:cstheme="majorHAnsi"/>
          <w:sz w:val="23"/>
          <w:szCs w:val="23"/>
          <w:lang w:val="en-GB"/>
        </w:rPr>
        <w:t>d</w:t>
      </w:r>
      <w:r w:rsidRPr="004E7547">
        <w:rPr>
          <w:rFonts w:asciiTheme="majorHAnsi" w:eastAsia="Calibri" w:hAnsiTheme="majorHAnsi" w:cstheme="majorHAnsi"/>
          <w:sz w:val="23"/>
          <w:szCs w:val="23"/>
          <w:lang w:val="en-GB"/>
        </w:rPr>
        <w:t xml:space="preserve"> anxiety around data use, and meant some families were unable to participate fully in home schooling; for many residents, digital exclusion added to social isolation and put nutritious food even further out of reach; some people in financial hardship were unable to apply for energy rebates because they did not have an email address</w:t>
      </w:r>
      <w:r w:rsidR="007C7373">
        <w:rPr>
          <w:rFonts w:asciiTheme="majorHAnsi" w:eastAsia="Calibri" w:hAnsiTheme="majorHAnsi" w:cstheme="majorHAnsi"/>
          <w:sz w:val="23"/>
          <w:szCs w:val="23"/>
          <w:lang w:val="en-GB"/>
        </w:rPr>
        <w:t xml:space="preserve"> or know how to use the internet</w:t>
      </w:r>
      <w:r w:rsidRPr="004E7547">
        <w:rPr>
          <w:rFonts w:asciiTheme="majorHAnsi" w:eastAsia="Calibri" w:hAnsiTheme="majorHAnsi" w:cstheme="majorHAnsi"/>
          <w:sz w:val="23"/>
          <w:szCs w:val="23"/>
          <w:lang w:val="en-GB"/>
        </w:rPr>
        <w:t xml:space="preserve">; when training courses shifted online many </w:t>
      </w:r>
      <w:r w:rsidR="007C7373">
        <w:rPr>
          <w:rFonts w:asciiTheme="majorHAnsi" w:eastAsia="Calibri" w:hAnsiTheme="majorHAnsi" w:cstheme="majorHAnsi"/>
          <w:sz w:val="23"/>
          <w:szCs w:val="23"/>
          <w:lang w:val="en-GB"/>
        </w:rPr>
        <w:t>adult learners</w:t>
      </w:r>
      <w:r w:rsidRPr="004E7547">
        <w:rPr>
          <w:rFonts w:asciiTheme="majorHAnsi" w:eastAsia="Calibri" w:hAnsiTheme="majorHAnsi" w:cstheme="majorHAnsi"/>
          <w:sz w:val="23"/>
          <w:szCs w:val="23"/>
          <w:lang w:val="en-GB"/>
        </w:rPr>
        <w:t xml:space="preserve"> were unable to participate, and had to drop out.</w:t>
      </w:r>
    </w:p>
    <w:p w14:paraId="50A9D0DE" w14:textId="47A637E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rPr>
        <w:t xml:space="preserve">What people really needed [during </w:t>
      </w:r>
      <w:r w:rsidR="00940D80" w:rsidRPr="004E7547">
        <w:rPr>
          <w:rFonts w:asciiTheme="majorHAnsi" w:eastAsia="Calibri" w:hAnsiTheme="majorHAnsi" w:cstheme="majorHAnsi"/>
          <w:sz w:val="23"/>
          <w:szCs w:val="23"/>
        </w:rPr>
        <w:t>COVID</w:t>
      </w:r>
      <w:r w:rsidRPr="004E7547">
        <w:rPr>
          <w:rFonts w:asciiTheme="majorHAnsi" w:eastAsia="Calibri" w:hAnsiTheme="majorHAnsi" w:cstheme="majorHAnsi"/>
          <w:sz w:val="23"/>
          <w:szCs w:val="23"/>
        </w:rPr>
        <w:t>] was some iPads and wi-fi plans (P11).</w:t>
      </w:r>
    </w:p>
    <w:p w14:paraId="1DBEB010" w14:textId="5A9408BA" w:rsidR="00F00E3D" w:rsidRPr="004E7547" w:rsidRDefault="00F00E3D" w:rsidP="004E7547">
      <w:pPr>
        <w:spacing w:line="276" w:lineRule="auto"/>
        <w:ind w:firstLine="720"/>
        <w:rPr>
          <w:rFonts w:asciiTheme="majorHAnsi" w:hAnsiTheme="majorHAnsi" w:cstheme="majorBidi"/>
          <w:sz w:val="23"/>
          <w:szCs w:val="23"/>
        </w:rPr>
      </w:pPr>
      <w:r w:rsidRPr="004E7547">
        <w:rPr>
          <w:rFonts w:asciiTheme="majorHAnsi" w:eastAsia="Calibri" w:hAnsiTheme="majorHAnsi" w:cstheme="majorBidi"/>
          <w:sz w:val="23"/>
          <w:szCs w:val="23"/>
          <w:lang w:val="en-GB"/>
        </w:rPr>
        <w:t xml:space="preserve">The question was who knew what about these [food relief] initiatives. If you had a device, you </w:t>
      </w:r>
      <w:r w:rsidRPr="004E7547">
        <w:tab/>
      </w:r>
      <w:r w:rsidRPr="004E7547">
        <w:rPr>
          <w:rFonts w:asciiTheme="majorHAnsi" w:eastAsia="Calibri" w:hAnsiTheme="majorHAnsi" w:cstheme="majorBidi"/>
          <w:sz w:val="23"/>
          <w:szCs w:val="23"/>
          <w:lang w:val="en-GB"/>
        </w:rPr>
        <w:t>knew. If not… (P1).</w:t>
      </w:r>
    </w:p>
    <w:p w14:paraId="3775205E" w14:textId="546F595B"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The government thinks if they put everything online</w:t>
      </w:r>
      <w:r w:rsidR="007C7373">
        <w:rPr>
          <w:rFonts w:asciiTheme="majorHAnsi" w:eastAsia="Calibri" w:hAnsiTheme="majorHAnsi" w:cstheme="majorHAnsi"/>
          <w:sz w:val="23"/>
          <w:szCs w:val="23"/>
          <w:lang w:val="en-GB"/>
        </w:rPr>
        <w:t>,</w:t>
      </w:r>
      <w:r w:rsidRPr="004E7547">
        <w:rPr>
          <w:rFonts w:asciiTheme="majorHAnsi" w:eastAsia="Calibri" w:hAnsiTheme="majorHAnsi" w:cstheme="majorHAnsi"/>
          <w:sz w:val="23"/>
          <w:szCs w:val="23"/>
          <w:lang w:val="en-GB"/>
        </w:rPr>
        <w:t xml:space="preserve"> everyone will see it. But they won’t (P5).</w:t>
      </w:r>
    </w:p>
    <w:p w14:paraId="236785B9" w14:textId="77777777" w:rsidR="00F00E3D" w:rsidRPr="004E7547" w:rsidRDefault="00F00E3D" w:rsidP="004E7547">
      <w:pPr>
        <w:spacing w:line="276" w:lineRule="auto"/>
        <w:rPr>
          <w:rFonts w:asciiTheme="majorHAnsi" w:hAnsiTheme="majorHAnsi" w:cstheme="majorHAnsi"/>
          <w:sz w:val="23"/>
          <w:szCs w:val="23"/>
        </w:rPr>
      </w:pPr>
      <w:r w:rsidRPr="004E7547">
        <w:rPr>
          <w:rFonts w:asciiTheme="majorHAnsi" w:eastAsia="Calibri" w:hAnsiTheme="majorHAnsi" w:cstheme="majorHAnsi"/>
          <w:sz w:val="23"/>
          <w:szCs w:val="23"/>
          <w:lang w:val="en-GB"/>
        </w:rPr>
        <w:t>Addressing the digital exclusion of residents is seen as unfinished business. Interviewees highlighted the important work already being done by local schools, community centres, libraries and not-for-profit groups in supporting residents’ digital skills and access. They also underlined the need for an integrated, sustained and properly resourced approach.</w:t>
      </w:r>
    </w:p>
    <w:p w14:paraId="5581E04C" w14:textId="2CA8068C" w:rsidR="00F00E3D" w:rsidRPr="004E7547" w:rsidRDefault="001B7DDF" w:rsidP="007C7373">
      <w:pPr>
        <w:spacing w:line="276" w:lineRule="auto"/>
        <w:ind w:left="720"/>
        <w:rPr>
          <w:rFonts w:asciiTheme="majorHAnsi" w:hAnsiTheme="majorHAnsi" w:cstheme="majorHAnsi"/>
          <w:sz w:val="23"/>
          <w:szCs w:val="23"/>
        </w:rPr>
      </w:pPr>
      <w:r>
        <w:rPr>
          <w:rFonts w:asciiTheme="majorHAnsi" w:eastAsia="Calibri" w:hAnsiTheme="majorHAnsi" w:cstheme="majorHAnsi"/>
          <w:sz w:val="23"/>
          <w:szCs w:val="23"/>
        </w:rPr>
        <w:t>CoGG</w:t>
      </w:r>
      <w:r w:rsidR="00F00E3D" w:rsidRPr="004E7547">
        <w:rPr>
          <w:rFonts w:asciiTheme="majorHAnsi" w:eastAsia="Calibri" w:hAnsiTheme="majorHAnsi" w:cstheme="majorHAnsi"/>
          <w:sz w:val="23"/>
          <w:szCs w:val="23"/>
        </w:rPr>
        <w:t xml:space="preserve"> had a digital inclusion strategy pre-</w:t>
      </w:r>
      <w:r w:rsidR="00940D80" w:rsidRPr="004E7547">
        <w:rPr>
          <w:rFonts w:asciiTheme="majorHAnsi" w:eastAsia="Calibri" w:hAnsiTheme="majorHAnsi" w:cstheme="majorHAnsi"/>
          <w:sz w:val="23"/>
          <w:szCs w:val="23"/>
        </w:rPr>
        <w:t>COVID</w:t>
      </w:r>
      <w:r w:rsidR="00F00E3D" w:rsidRPr="004E7547">
        <w:rPr>
          <w:rFonts w:asciiTheme="majorHAnsi" w:eastAsia="Calibri" w:hAnsiTheme="majorHAnsi" w:cstheme="majorHAnsi"/>
          <w:sz w:val="23"/>
          <w:szCs w:val="23"/>
        </w:rPr>
        <w:t>, and a plan to roll it out… But I’m not sure what’s happened with that (P11).</w:t>
      </w:r>
    </w:p>
    <w:p w14:paraId="7286B87F" w14:textId="12C898C1" w:rsidR="00F00E3D" w:rsidRPr="004E7547" w:rsidRDefault="001B7DDF" w:rsidP="004E7547">
      <w:pPr>
        <w:spacing w:line="276" w:lineRule="auto"/>
        <w:ind w:firstLine="720"/>
        <w:rPr>
          <w:rFonts w:asciiTheme="majorHAnsi" w:hAnsiTheme="majorHAnsi" w:cstheme="majorHAnsi"/>
          <w:sz w:val="23"/>
          <w:szCs w:val="23"/>
        </w:rPr>
      </w:pPr>
      <w:r>
        <w:rPr>
          <w:rFonts w:asciiTheme="majorHAnsi" w:eastAsia="Calibri" w:hAnsiTheme="majorHAnsi" w:cstheme="majorHAnsi"/>
          <w:sz w:val="23"/>
          <w:szCs w:val="23"/>
          <w:lang w:val="en-GB"/>
        </w:rPr>
        <w:t>CoGG</w:t>
      </w:r>
      <w:r w:rsidR="00F00E3D" w:rsidRPr="004E7547">
        <w:rPr>
          <w:rFonts w:asciiTheme="majorHAnsi" w:eastAsia="Calibri" w:hAnsiTheme="majorHAnsi" w:cstheme="majorHAnsi"/>
          <w:sz w:val="23"/>
          <w:szCs w:val="23"/>
          <w:lang w:val="en-GB"/>
        </w:rPr>
        <w:t xml:space="preserve"> should finish what is started, i.e., getting people connected on the net (P1).</w:t>
      </w:r>
    </w:p>
    <w:p w14:paraId="3560C7C3"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While there were lots of [digital] initiatives around, there was no coherent process (P8).</w:t>
      </w:r>
    </w:p>
    <w:p w14:paraId="5CDC65C5" w14:textId="77777777" w:rsidR="00F00E3D" w:rsidRPr="004E7547" w:rsidRDefault="00F00E3D" w:rsidP="004E7547">
      <w:pPr>
        <w:spacing w:line="276" w:lineRule="auto"/>
        <w:ind w:firstLine="720"/>
        <w:rPr>
          <w:rFonts w:asciiTheme="majorHAnsi" w:eastAsia="Calibri" w:hAnsiTheme="majorHAnsi" w:cstheme="majorHAnsi"/>
          <w:sz w:val="23"/>
          <w:szCs w:val="23"/>
          <w:lang w:val="en-GB"/>
        </w:rPr>
      </w:pPr>
      <w:r w:rsidRPr="004E7547">
        <w:rPr>
          <w:rFonts w:asciiTheme="majorHAnsi" w:eastAsia="Calibri" w:hAnsiTheme="majorHAnsi" w:cstheme="majorHAnsi"/>
          <w:sz w:val="23"/>
          <w:szCs w:val="23"/>
          <w:lang w:val="en-GB"/>
        </w:rPr>
        <w:t xml:space="preserve">Lions Club does up old computers and gives them out to people. Why not more of this? Address </w:t>
      </w:r>
      <w:r w:rsidRPr="004E7547">
        <w:rPr>
          <w:rFonts w:asciiTheme="majorHAnsi" w:eastAsia="Calibri" w:hAnsiTheme="majorHAnsi" w:cstheme="majorHAnsi"/>
          <w:sz w:val="23"/>
          <w:szCs w:val="23"/>
          <w:lang w:val="en-GB"/>
        </w:rPr>
        <w:tab/>
        <w:t>the shortage of computer gear and connectivity (P1).</w:t>
      </w:r>
    </w:p>
    <w:p w14:paraId="0E391FEB" w14:textId="77777777" w:rsidR="00F00E3D" w:rsidRPr="004E7547" w:rsidRDefault="00F00E3D" w:rsidP="004E7547">
      <w:pPr>
        <w:spacing w:line="276" w:lineRule="auto"/>
        <w:rPr>
          <w:rFonts w:asciiTheme="majorHAnsi" w:hAnsiTheme="majorHAnsi" w:cstheme="majorHAnsi"/>
          <w:sz w:val="23"/>
          <w:szCs w:val="23"/>
        </w:rPr>
      </w:pPr>
      <w:r w:rsidRPr="004E7547">
        <w:rPr>
          <w:rFonts w:asciiTheme="majorHAnsi" w:eastAsia="Calibri" w:hAnsiTheme="majorHAnsi" w:cstheme="majorHAnsi"/>
          <w:sz w:val="23"/>
          <w:szCs w:val="23"/>
          <w:lang w:val="en-GB"/>
        </w:rPr>
        <w:t>While improving digital inclusion is a clear priority, our interviewees noted that it may not be a realisable goal for all residents; they also acknowledged that some programs work better face to face. If social inclusion is the broader aim, key services and information also need to be provided effectively in non-digital formats.</w:t>
      </w:r>
    </w:p>
    <w:p w14:paraId="408A3CAF" w14:textId="77777777" w:rsidR="00F00E3D" w:rsidRPr="004E7547" w:rsidRDefault="00F00E3D" w:rsidP="004E7547">
      <w:pPr>
        <w:spacing w:line="276" w:lineRule="auto"/>
        <w:ind w:firstLine="720"/>
        <w:rPr>
          <w:rFonts w:asciiTheme="majorHAnsi" w:eastAsia="Calibri" w:hAnsiTheme="majorHAnsi" w:cstheme="majorHAnsi"/>
          <w:sz w:val="23"/>
          <w:szCs w:val="23"/>
          <w:lang w:val="en-GB"/>
        </w:rPr>
      </w:pPr>
      <w:r w:rsidRPr="004E7547">
        <w:rPr>
          <w:rFonts w:asciiTheme="majorHAnsi" w:eastAsia="Calibri" w:hAnsiTheme="majorHAnsi" w:cstheme="majorHAnsi"/>
          <w:sz w:val="23"/>
          <w:szCs w:val="23"/>
        </w:rPr>
        <w:t>Not everyone has a smartphone or a computer (P10).</w:t>
      </w:r>
    </w:p>
    <w:p w14:paraId="4288A79B" w14:textId="47EB26A7" w:rsidR="00F00E3D" w:rsidRPr="004E7547" w:rsidRDefault="00F00E3D" w:rsidP="007C7373">
      <w:pPr>
        <w:spacing w:line="276" w:lineRule="auto"/>
        <w:ind w:left="720"/>
        <w:rPr>
          <w:rFonts w:asciiTheme="majorHAnsi" w:hAnsiTheme="majorHAnsi" w:cstheme="majorHAnsi"/>
          <w:sz w:val="23"/>
          <w:szCs w:val="23"/>
        </w:rPr>
      </w:pPr>
      <w:r w:rsidRPr="004E7547">
        <w:rPr>
          <w:rFonts w:asciiTheme="majorHAnsi" w:eastAsia="Calibri" w:hAnsiTheme="majorHAnsi" w:cstheme="majorHAnsi"/>
          <w:sz w:val="23"/>
          <w:szCs w:val="23"/>
        </w:rPr>
        <w:t>Some have missed the boat on new technologies. It’s too hard, they don’t have the headspace for it (P11).</w:t>
      </w:r>
    </w:p>
    <w:p w14:paraId="0241EBBE" w14:textId="77777777" w:rsidR="00C82E85" w:rsidRDefault="00C82E85">
      <w:pPr>
        <w:spacing w:after="0" w:line="240" w:lineRule="auto"/>
        <w:rPr>
          <w:rFonts w:eastAsia="Calibri" w:cstheme="majorBidi"/>
          <w:b/>
          <w:color w:val="2F5496" w:themeColor="accent1" w:themeShade="BF"/>
          <w:sz w:val="25"/>
          <w:szCs w:val="25"/>
        </w:rPr>
      </w:pPr>
      <w:r>
        <w:rPr>
          <w:rFonts w:eastAsia="Calibri" w:cstheme="majorBidi"/>
          <w:b/>
          <w:color w:val="2F5496" w:themeColor="accent1" w:themeShade="BF"/>
          <w:sz w:val="25"/>
          <w:szCs w:val="25"/>
        </w:rPr>
        <w:br w:type="page"/>
      </w:r>
    </w:p>
    <w:p w14:paraId="0F92B0FD" w14:textId="4A1427A6" w:rsidR="00F00E3D" w:rsidRPr="007C7373" w:rsidRDefault="00B17B4B" w:rsidP="004E7547">
      <w:pPr>
        <w:spacing w:line="276" w:lineRule="auto"/>
        <w:rPr>
          <w:rFonts w:cstheme="majorBidi"/>
          <w:color w:val="2F5496" w:themeColor="accent1" w:themeShade="BF"/>
          <w:sz w:val="25"/>
          <w:szCs w:val="25"/>
        </w:rPr>
      </w:pPr>
      <w:r>
        <w:rPr>
          <w:rFonts w:eastAsia="Calibri" w:cstheme="majorBidi"/>
          <w:b/>
          <w:color w:val="2F5496" w:themeColor="accent1" w:themeShade="BF"/>
          <w:sz w:val="25"/>
          <w:szCs w:val="25"/>
        </w:rPr>
        <w:lastRenderedPageBreak/>
        <w:t xml:space="preserve">More </w:t>
      </w:r>
      <w:r w:rsidR="00F00E3D" w:rsidRPr="007C7373">
        <w:rPr>
          <w:rFonts w:eastAsia="Calibri" w:cstheme="majorBidi"/>
          <w:b/>
          <w:color w:val="2F5496" w:themeColor="accent1" w:themeShade="BF"/>
          <w:sz w:val="25"/>
          <w:szCs w:val="25"/>
        </w:rPr>
        <w:t>Local Training and Employment Opportunities</w:t>
      </w:r>
    </w:p>
    <w:p w14:paraId="099C9EEC" w14:textId="40EEB82B" w:rsidR="00F00E3D" w:rsidRPr="007C7373" w:rsidRDefault="00F00E3D" w:rsidP="004E7547">
      <w:pPr>
        <w:spacing w:after="0" w:line="276" w:lineRule="auto"/>
        <w:rPr>
          <w:rFonts w:cstheme="majorHAnsi"/>
          <w:color w:val="595959" w:themeColor="text1" w:themeTint="A6"/>
          <w:sz w:val="23"/>
          <w:szCs w:val="23"/>
        </w:rPr>
      </w:pPr>
      <w:r w:rsidRPr="007C7373">
        <w:rPr>
          <w:rFonts w:eastAsia="Calibri" w:cstheme="majorHAnsi"/>
          <w:b/>
          <w:bCs/>
          <w:color w:val="595959" w:themeColor="text1" w:themeTint="A6"/>
          <w:sz w:val="23"/>
          <w:szCs w:val="23"/>
        </w:rPr>
        <w:t xml:space="preserve">Main </w:t>
      </w:r>
      <w:r w:rsidR="00D95573">
        <w:rPr>
          <w:rFonts w:eastAsia="Calibri" w:cstheme="majorHAnsi"/>
          <w:b/>
          <w:bCs/>
          <w:color w:val="595959" w:themeColor="text1" w:themeTint="A6"/>
          <w:sz w:val="23"/>
          <w:szCs w:val="23"/>
        </w:rPr>
        <w:t>Practice Domain</w:t>
      </w:r>
      <w:r w:rsidRPr="007C7373">
        <w:rPr>
          <w:rFonts w:eastAsia="Calibri" w:cstheme="majorHAnsi"/>
          <w:b/>
          <w:bCs/>
          <w:color w:val="595959" w:themeColor="text1" w:themeTint="A6"/>
          <w:sz w:val="23"/>
          <w:szCs w:val="23"/>
        </w:rPr>
        <w:t xml:space="preserve">(s): </w:t>
      </w:r>
      <w:r w:rsidRPr="007C7373">
        <w:rPr>
          <w:rFonts w:cstheme="majorHAnsi"/>
          <w:color w:val="595959" w:themeColor="text1" w:themeTint="A6"/>
          <w:sz w:val="23"/>
          <w:szCs w:val="23"/>
        </w:rPr>
        <w:tab/>
      </w:r>
      <w:r w:rsidR="007C7373">
        <w:rPr>
          <w:rFonts w:cstheme="majorHAnsi"/>
          <w:color w:val="595959" w:themeColor="text1" w:themeTint="A6"/>
          <w:sz w:val="23"/>
          <w:szCs w:val="23"/>
        </w:rPr>
        <w:tab/>
      </w:r>
      <w:r w:rsidRPr="007C7373">
        <w:rPr>
          <w:rFonts w:eastAsia="Calibri" w:cstheme="majorHAnsi"/>
          <w:b/>
          <w:bCs/>
          <w:color w:val="595959" w:themeColor="text1" w:themeTint="A6"/>
          <w:sz w:val="23"/>
          <w:szCs w:val="23"/>
        </w:rPr>
        <w:t xml:space="preserve">Employment </w:t>
      </w:r>
    </w:p>
    <w:p w14:paraId="58898260" w14:textId="51B3FE94" w:rsidR="00F00E3D" w:rsidRPr="007C7373" w:rsidRDefault="00F00E3D" w:rsidP="004E7547">
      <w:pPr>
        <w:spacing w:after="0" w:line="276" w:lineRule="auto"/>
        <w:rPr>
          <w:rFonts w:eastAsia="Calibri" w:cstheme="majorHAnsi"/>
          <w:b/>
          <w:bCs/>
          <w:color w:val="595959" w:themeColor="text1" w:themeTint="A6"/>
          <w:sz w:val="23"/>
          <w:szCs w:val="23"/>
        </w:rPr>
      </w:pPr>
      <w:r w:rsidRPr="007C7373">
        <w:rPr>
          <w:rFonts w:eastAsia="Calibri" w:cstheme="majorHAnsi"/>
          <w:b/>
          <w:bCs/>
          <w:color w:val="595959" w:themeColor="text1" w:themeTint="A6"/>
          <w:sz w:val="23"/>
          <w:szCs w:val="23"/>
        </w:rPr>
        <w:t xml:space="preserve">Secondary </w:t>
      </w:r>
      <w:r w:rsidR="00D95573">
        <w:rPr>
          <w:rFonts w:eastAsia="Calibri" w:cstheme="majorHAnsi"/>
          <w:b/>
          <w:bCs/>
          <w:color w:val="595959" w:themeColor="text1" w:themeTint="A6"/>
          <w:sz w:val="23"/>
          <w:szCs w:val="23"/>
        </w:rPr>
        <w:t>Practice Domain</w:t>
      </w:r>
      <w:r w:rsidRPr="007C7373">
        <w:rPr>
          <w:rFonts w:eastAsia="Calibri" w:cstheme="majorHAnsi"/>
          <w:b/>
          <w:bCs/>
          <w:color w:val="595959" w:themeColor="text1" w:themeTint="A6"/>
          <w:sz w:val="23"/>
          <w:szCs w:val="23"/>
        </w:rPr>
        <w:t>(s):</w:t>
      </w:r>
      <w:r w:rsidR="007C7373">
        <w:rPr>
          <w:rFonts w:eastAsia="Calibri" w:cstheme="majorHAnsi"/>
          <w:b/>
          <w:bCs/>
          <w:color w:val="595959" w:themeColor="text1" w:themeTint="A6"/>
          <w:sz w:val="23"/>
          <w:szCs w:val="23"/>
        </w:rPr>
        <w:tab/>
      </w:r>
      <w:r w:rsidRPr="007C7373">
        <w:rPr>
          <w:rFonts w:eastAsia="Calibri" w:cstheme="majorHAnsi"/>
          <w:b/>
          <w:bCs/>
          <w:color w:val="595959" w:themeColor="text1" w:themeTint="A6"/>
          <w:sz w:val="23"/>
          <w:szCs w:val="23"/>
        </w:rPr>
        <w:t>Education, Health and Wellbeing, Liveability</w:t>
      </w:r>
    </w:p>
    <w:p w14:paraId="11472330" w14:textId="77777777" w:rsidR="00F45E37" w:rsidRPr="004E7547" w:rsidRDefault="00F45E37" w:rsidP="004E7547">
      <w:pPr>
        <w:spacing w:after="0" w:line="276" w:lineRule="auto"/>
        <w:rPr>
          <w:rFonts w:asciiTheme="majorHAnsi" w:hAnsiTheme="majorHAnsi" w:cstheme="majorHAnsi"/>
          <w:sz w:val="16"/>
          <w:szCs w:val="16"/>
        </w:rPr>
      </w:pPr>
    </w:p>
    <w:p w14:paraId="7F130041" w14:textId="77777777" w:rsidR="007C7373" w:rsidRDefault="00F00E3D" w:rsidP="004E7547">
      <w:pPr>
        <w:spacing w:line="276" w:lineRule="auto"/>
        <w:rPr>
          <w:rFonts w:asciiTheme="majorHAnsi" w:eastAsia="Calibri" w:hAnsiTheme="majorHAnsi" w:cstheme="majorHAnsi"/>
          <w:sz w:val="23"/>
          <w:szCs w:val="23"/>
        </w:rPr>
      </w:pPr>
      <w:r w:rsidRPr="004E7547">
        <w:rPr>
          <w:rFonts w:asciiTheme="majorHAnsi" w:eastAsia="Calibri" w:hAnsiTheme="majorHAnsi" w:cstheme="majorHAnsi"/>
          <w:sz w:val="23"/>
          <w:szCs w:val="23"/>
        </w:rPr>
        <w:t>Providing more training and employment opportunities for residents – particularly locally based initiatives – was a priority for several respondents. New training and job opportunities should build on successful programs already operating in the area.</w:t>
      </w:r>
    </w:p>
    <w:p w14:paraId="2E5B7105" w14:textId="58097D26" w:rsidR="00F00E3D" w:rsidRPr="004E7547" w:rsidRDefault="00F00E3D" w:rsidP="004E7547">
      <w:pPr>
        <w:spacing w:line="276" w:lineRule="auto"/>
        <w:rPr>
          <w:rFonts w:asciiTheme="majorHAnsi" w:hAnsiTheme="majorHAnsi" w:cstheme="majorHAnsi"/>
          <w:sz w:val="23"/>
          <w:szCs w:val="23"/>
        </w:rPr>
      </w:pPr>
      <w:r w:rsidRPr="004E7547">
        <w:rPr>
          <w:rFonts w:asciiTheme="majorHAnsi" w:eastAsia="Calibri" w:hAnsiTheme="majorHAnsi" w:cstheme="majorHAnsi"/>
          <w:sz w:val="23"/>
          <w:szCs w:val="23"/>
        </w:rPr>
        <w:t>Suggestions included efforts to identify and support local leaders, programs to develop people’s skills and confidence, creating paid opportunities to involve residents in delivering neighbourhood improvement works, funding existing community organisations to hire local workers and expand successful programs, and catering for the unmet needs of local jobseekers who don’t show up in unemployment figures (for example, people on the Disability Support Pension or Carer Allowance).</w:t>
      </w:r>
    </w:p>
    <w:p w14:paraId="050BA5FC" w14:textId="77777777"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Employment gives you connectivity. That’s important in keeping communities together and </w:t>
      </w:r>
      <w:r w:rsidRPr="004E7547">
        <w:rPr>
          <w:rFonts w:asciiTheme="majorHAnsi" w:hAnsiTheme="majorHAnsi" w:cstheme="majorHAnsi"/>
          <w:sz w:val="23"/>
          <w:szCs w:val="23"/>
        </w:rPr>
        <w:tab/>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healthy (P3).</w:t>
      </w:r>
    </w:p>
    <w:p w14:paraId="2AEB6DDE" w14:textId="66D88A6C" w:rsidR="00F00E3D" w:rsidRPr="004E7547" w:rsidRDefault="001B7DDF" w:rsidP="007C7373">
      <w:pPr>
        <w:spacing w:line="276" w:lineRule="auto"/>
        <w:ind w:left="720"/>
        <w:rPr>
          <w:rFonts w:asciiTheme="majorHAnsi" w:hAnsiTheme="majorHAnsi" w:cstheme="majorHAnsi"/>
          <w:sz w:val="23"/>
          <w:szCs w:val="23"/>
        </w:rPr>
      </w:pPr>
      <w:r>
        <w:rPr>
          <w:rFonts w:asciiTheme="majorHAnsi" w:eastAsia="Calibri" w:hAnsiTheme="majorHAnsi" w:cstheme="majorHAnsi"/>
          <w:sz w:val="23"/>
          <w:szCs w:val="23"/>
          <w:lang w:val="en-GB"/>
        </w:rPr>
        <w:t>CoGG</w:t>
      </w:r>
      <w:r w:rsidR="00F00E3D" w:rsidRPr="004E7547">
        <w:rPr>
          <w:rFonts w:asciiTheme="majorHAnsi" w:eastAsia="Calibri" w:hAnsiTheme="majorHAnsi" w:cstheme="majorHAnsi"/>
          <w:sz w:val="23"/>
          <w:szCs w:val="23"/>
          <w:lang w:val="en-GB"/>
        </w:rPr>
        <w:t xml:space="preserve"> and G21 and State [Government] need to get together to create a sustainable employment pipeline. Like Ford offered. It meant a lot to this community – many worked </w:t>
      </w:r>
      <w:proofErr w:type="gramStart"/>
      <w:r w:rsidR="00F00E3D" w:rsidRPr="004E7547">
        <w:rPr>
          <w:rFonts w:asciiTheme="majorHAnsi" w:eastAsia="Calibri" w:hAnsiTheme="majorHAnsi" w:cstheme="majorHAnsi"/>
          <w:sz w:val="23"/>
          <w:szCs w:val="23"/>
          <w:lang w:val="en-GB"/>
        </w:rPr>
        <w:t>there</w:t>
      </w:r>
      <w:proofErr w:type="gramEnd"/>
      <w:r w:rsidR="00F00E3D" w:rsidRPr="004E7547">
        <w:rPr>
          <w:rFonts w:asciiTheme="majorHAnsi" w:eastAsia="Calibri" w:hAnsiTheme="majorHAnsi" w:cstheme="majorHAnsi"/>
          <w:sz w:val="23"/>
          <w:szCs w:val="23"/>
          <w:lang w:val="en-GB"/>
        </w:rPr>
        <w:t xml:space="preserve"> and it offered genuine employment opportunities and pathways (P2).</w:t>
      </w:r>
    </w:p>
    <w:p w14:paraId="2863EB0F" w14:textId="711DB04B"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rPr>
        <w:t xml:space="preserve">Establish a specialist College of Education and Training locally – something desirable, where </w:t>
      </w:r>
      <w:r w:rsidRPr="004E7547">
        <w:rPr>
          <w:rFonts w:asciiTheme="majorHAnsi" w:hAnsiTheme="majorHAnsi" w:cstheme="majorHAnsi"/>
          <w:sz w:val="23"/>
          <w:szCs w:val="23"/>
        </w:rPr>
        <w:tab/>
      </w:r>
      <w:r w:rsidRPr="004E7547">
        <w:rPr>
          <w:rFonts w:asciiTheme="majorHAnsi" w:hAnsiTheme="majorHAnsi" w:cstheme="majorHAnsi"/>
          <w:sz w:val="23"/>
          <w:szCs w:val="23"/>
        </w:rPr>
        <w:tab/>
      </w:r>
      <w:r w:rsidRPr="004E7547">
        <w:rPr>
          <w:rFonts w:asciiTheme="majorHAnsi" w:eastAsia="Calibri" w:hAnsiTheme="majorHAnsi" w:cstheme="majorHAnsi"/>
          <w:sz w:val="23"/>
          <w:szCs w:val="23"/>
        </w:rPr>
        <w:t>people want to come and study (P10).</w:t>
      </w:r>
    </w:p>
    <w:p w14:paraId="1C3D6389" w14:textId="3AB624F7" w:rsidR="00F00E3D" w:rsidRPr="007C7373" w:rsidRDefault="00C2310D" w:rsidP="004E7547">
      <w:pPr>
        <w:spacing w:line="276" w:lineRule="auto"/>
        <w:rPr>
          <w:rFonts w:cstheme="majorHAnsi"/>
          <w:color w:val="2F5496" w:themeColor="accent1" w:themeShade="BF"/>
          <w:sz w:val="25"/>
          <w:szCs w:val="25"/>
        </w:rPr>
      </w:pPr>
      <w:r>
        <w:rPr>
          <w:rFonts w:eastAsia="Calibri" w:cstheme="majorHAnsi"/>
          <w:b/>
          <w:bCs/>
          <w:color w:val="2F5496" w:themeColor="accent1" w:themeShade="BF"/>
          <w:sz w:val="25"/>
          <w:szCs w:val="25"/>
          <w:lang w:val="en-GB"/>
        </w:rPr>
        <w:t>Improve Food Security</w:t>
      </w:r>
    </w:p>
    <w:p w14:paraId="7A204460" w14:textId="3638940A" w:rsidR="00F00E3D" w:rsidRPr="007C7373" w:rsidRDefault="00F00E3D" w:rsidP="004E7547">
      <w:pPr>
        <w:spacing w:after="0" w:line="276" w:lineRule="auto"/>
        <w:rPr>
          <w:rFonts w:cstheme="majorHAnsi"/>
          <w:color w:val="595959" w:themeColor="text1" w:themeTint="A6"/>
          <w:sz w:val="23"/>
          <w:szCs w:val="23"/>
        </w:rPr>
      </w:pPr>
      <w:r w:rsidRPr="007C7373">
        <w:rPr>
          <w:rFonts w:eastAsia="Calibri" w:cstheme="majorHAnsi"/>
          <w:b/>
          <w:bCs/>
          <w:color w:val="595959" w:themeColor="text1" w:themeTint="A6"/>
          <w:sz w:val="23"/>
          <w:szCs w:val="23"/>
        </w:rPr>
        <w:t xml:space="preserve">Main </w:t>
      </w:r>
      <w:r w:rsidR="00D95573">
        <w:rPr>
          <w:rFonts w:eastAsia="Calibri" w:cstheme="majorHAnsi"/>
          <w:b/>
          <w:bCs/>
          <w:color w:val="595959" w:themeColor="text1" w:themeTint="A6"/>
          <w:sz w:val="23"/>
          <w:szCs w:val="23"/>
        </w:rPr>
        <w:t>Practice Domain</w:t>
      </w:r>
      <w:r w:rsidRPr="007C7373">
        <w:rPr>
          <w:rFonts w:eastAsia="Calibri" w:cstheme="majorHAnsi"/>
          <w:b/>
          <w:bCs/>
          <w:color w:val="595959" w:themeColor="text1" w:themeTint="A6"/>
          <w:sz w:val="23"/>
          <w:szCs w:val="23"/>
        </w:rPr>
        <w:t xml:space="preserve">(s): </w:t>
      </w:r>
      <w:r w:rsidRPr="007C7373">
        <w:rPr>
          <w:rFonts w:cstheme="majorHAnsi"/>
          <w:color w:val="595959" w:themeColor="text1" w:themeTint="A6"/>
          <w:sz w:val="23"/>
          <w:szCs w:val="23"/>
        </w:rPr>
        <w:tab/>
      </w:r>
      <w:r w:rsidR="007C7373">
        <w:rPr>
          <w:rFonts w:cstheme="majorHAnsi"/>
          <w:color w:val="595959" w:themeColor="text1" w:themeTint="A6"/>
          <w:sz w:val="23"/>
          <w:szCs w:val="23"/>
        </w:rPr>
        <w:tab/>
      </w:r>
      <w:r w:rsidRPr="007C7373">
        <w:rPr>
          <w:rFonts w:eastAsia="Calibri" w:cstheme="majorHAnsi"/>
          <w:b/>
          <w:bCs/>
          <w:color w:val="595959" w:themeColor="text1" w:themeTint="A6"/>
          <w:sz w:val="23"/>
          <w:szCs w:val="23"/>
        </w:rPr>
        <w:t>Health and Wellbeing</w:t>
      </w:r>
    </w:p>
    <w:p w14:paraId="42EC0D43" w14:textId="53BFEDA7" w:rsidR="00F00E3D" w:rsidRPr="007C7373" w:rsidRDefault="00F00E3D" w:rsidP="004E7547">
      <w:pPr>
        <w:spacing w:after="0" w:line="276" w:lineRule="auto"/>
        <w:rPr>
          <w:rFonts w:eastAsia="Calibri" w:cstheme="majorHAnsi"/>
          <w:b/>
          <w:bCs/>
          <w:color w:val="595959" w:themeColor="text1" w:themeTint="A6"/>
          <w:sz w:val="23"/>
          <w:szCs w:val="23"/>
        </w:rPr>
      </w:pPr>
      <w:r w:rsidRPr="007C7373">
        <w:rPr>
          <w:rFonts w:eastAsia="Calibri" w:cstheme="majorHAnsi"/>
          <w:b/>
          <w:bCs/>
          <w:color w:val="595959" w:themeColor="text1" w:themeTint="A6"/>
          <w:sz w:val="23"/>
          <w:szCs w:val="23"/>
        </w:rPr>
        <w:t xml:space="preserve">Secondary </w:t>
      </w:r>
      <w:r w:rsidR="00D95573">
        <w:rPr>
          <w:rFonts w:eastAsia="Calibri" w:cstheme="majorHAnsi"/>
          <w:b/>
          <w:bCs/>
          <w:color w:val="595959" w:themeColor="text1" w:themeTint="A6"/>
          <w:sz w:val="23"/>
          <w:szCs w:val="23"/>
        </w:rPr>
        <w:t>Practice Domain</w:t>
      </w:r>
      <w:r w:rsidRPr="007C7373">
        <w:rPr>
          <w:rFonts w:eastAsia="Calibri" w:cstheme="majorHAnsi"/>
          <w:b/>
          <w:bCs/>
          <w:color w:val="595959" w:themeColor="text1" w:themeTint="A6"/>
          <w:sz w:val="23"/>
          <w:szCs w:val="23"/>
        </w:rPr>
        <w:t>(s):</w:t>
      </w:r>
      <w:r w:rsidR="007C7373">
        <w:rPr>
          <w:rFonts w:eastAsia="Calibri" w:cstheme="majorHAnsi"/>
          <w:b/>
          <w:bCs/>
          <w:color w:val="595959" w:themeColor="text1" w:themeTint="A6"/>
          <w:sz w:val="23"/>
          <w:szCs w:val="23"/>
        </w:rPr>
        <w:tab/>
      </w:r>
      <w:r w:rsidRPr="007C7373">
        <w:rPr>
          <w:rFonts w:eastAsia="Calibri" w:cstheme="majorHAnsi"/>
          <w:b/>
          <w:bCs/>
          <w:color w:val="595959" w:themeColor="text1" w:themeTint="A6"/>
          <w:sz w:val="23"/>
          <w:szCs w:val="23"/>
        </w:rPr>
        <w:t>Education, Liveability</w:t>
      </w:r>
    </w:p>
    <w:p w14:paraId="29B39D50" w14:textId="77777777" w:rsidR="00720BDD" w:rsidRPr="00D95573" w:rsidRDefault="00720BDD" w:rsidP="004E7547">
      <w:pPr>
        <w:spacing w:after="0" w:line="276" w:lineRule="auto"/>
        <w:rPr>
          <w:rFonts w:asciiTheme="majorHAnsi" w:hAnsiTheme="majorHAnsi" w:cstheme="majorHAnsi"/>
          <w:sz w:val="16"/>
          <w:szCs w:val="16"/>
        </w:rPr>
      </w:pPr>
    </w:p>
    <w:p w14:paraId="74C59CE0" w14:textId="36CB574C" w:rsidR="00F00E3D" w:rsidRPr="004E7547" w:rsidRDefault="00B04391" w:rsidP="004E7547">
      <w:pPr>
        <w:spacing w:line="276" w:lineRule="auto"/>
        <w:rPr>
          <w:rFonts w:asciiTheme="majorHAnsi" w:eastAsia="Calibri" w:hAnsiTheme="majorHAnsi" w:cstheme="majorBidi"/>
          <w:sz w:val="23"/>
          <w:szCs w:val="23"/>
          <w:lang w:val="en-GB"/>
        </w:rPr>
      </w:pPr>
      <w:r>
        <w:rPr>
          <w:rFonts w:asciiTheme="majorHAnsi" w:eastAsia="Calibri" w:hAnsiTheme="majorHAnsi" w:cstheme="majorBidi"/>
          <w:sz w:val="23"/>
          <w:szCs w:val="23"/>
          <w:lang w:val="en-GB"/>
        </w:rPr>
        <w:t>Consultations revealed</w:t>
      </w:r>
      <w:r w:rsidR="00F00E3D" w:rsidRPr="004E7547">
        <w:rPr>
          <w:rFonts w:asciiTheme="majorHAnsi" w:eastAsia="Calibri" w:hAnsiTheme="majorHAnsi" w:cstheme="majorBidi"/>
          <w:sz w:val="23"/>
          <w:szCs w:val="23"/>
          <w:lang w:val="en-GB"/>
        </w:rPr>
        <w:t xml:space="preserve"> a</w:t>
      </w:r>
      <w:r w:rsidR="007C7373">
        <w:rPr>
          <w:rFonts w:asciiTheme="majorHAnsi" w:eastAsia="Calibri" w:hAnsiTheme="majorHAnsi" w:cstheme="majorBidi"/>
          <w:sz w:val="23"/>
          <w:szCs w:val="23"/>
          <w:lang w:val="en-GB"/>
        </w:rPr>
        <w:t xml:space="preserve"> clear</w:t>
      </w:r>
      <w:r w:rsidR="00F00E3D" w:rsidRPr="004E7547">
        <w:rPr>
          <w:rFonts w:asciiTheme="majorHAnsi" w:eastAsia="Calibri" w:hAnsiTheme="majorHAnsi" w:cstheme="majorBidi"/>
          <w:sz w:val="23"/>
          <w:szCs w:val="23"/>
          <w:lang w:val="en-GB"/>
        </w:rPr>
        <w:t xml:space="preserve"> need to improve food security across the three localities. </w:t>
      </w:r>
      <w:r w:rsidR="00940D80" w:rsidRPr="004E7547">
        <w:rPr>
          <w:rFonts w:asciiTheme="majorHAnsi" w:eastAsia="Calibri" w:hAnsiTheme="majorHAnsi" w:cstheme="majorBidi"/>
          <w:sz w:val="23"/>
          <w:szCs w:val="23"/>
          <w:lang w:val="en-GB"/>
        </w:rPr>
        <w:t>COVID</w:t>
      </w:r>
      <w:r w:rsidR="00F00E3D" w:rsidRPr="004E7547">
        <w:rPr>
          <w:rFonts w:asciiTheme="majorHAnsi" w:eastAsia="Calibri" w:hAnsiTheme="majorHAnsi" w:cstheme="majorBidi"/>
          <w:sz w:val="23"/>
          <w:szCs w:val="23"/>
          <w:lang w:val="en-GB"/>
        </w:rPr>
        <w:t xml:space="preserve">-19 has highlighted the difficulty many residents face in </w:t>
      </w:r>
      <w:r w:rsidR="001C51F7">
        <w:rPr>
          <w:rFonts w:asciiTheme="majorHAnsi" w:eastAsia="Calibri" w:hAnsiTheme="majorHAnsi" w:cstheme="majorBidi"/>
          <w:sz w:val="23"/>
          <w:szCs w:val="23"/>
          <w:lang w:val="en-GB"/>
        </w:rPr>
        <w:t>accessing</w:t>
      </w:r>
      <w:r w:rsidR="00F00E3D" w:rsidRPr="004E7547">
        <w:rPr>
          <w:rFonts w:asciiTheme="majorHAnsi" w:eastAsia="Calibri" w:hAnsiTheme="majorHAnsi" w:cstheme="majorBidi"/>
          <w:sz w:val="23"/>
          <w:szCs w:val="23"/>
          <w:lang w:val="en-GB"/>
        </w:rPr>
        <w:t xml:space="preserve"> nutritious, fresh, affordable food: local supermarkets can be scarce, budgets are tight, public transport is limited, and many households do not own cars. </w:t>
      </w:r>
      <w:r w:rsidR="007C7373">
        <w:rPr>
          <w:rFonts w:asciiTheme="majorHAnsi" w:eastAsia="Calibri" w:hAnsiTheme="majorHAnsi" w:cstheme="majorBidi"/>
          <w:sz w:val="23"/>
          <w:szCs w:val="23"/>
          <w:lang w:val="en-GB"/>
        </w:rPr>
        <w:t>I</w:t>
      </w:r>
      <w:r w:rsidR="00F00E3D" w:rsidRPr="004E7547">
        <w:rPr>
          <w:rFonts w:asciiTheme="majorHAnsi" w:eastAsia="Calibri" w:hAnsiTheme="majorHAnsi" w:cstheme="majorBidi"/>
          <w:sz w:val="23"/>
          <w:szCs w:val="23"/>
          <w:lang w:val="en-GB"/>
        </w:rPr>
        <w:t>nformants saw opportunities to build on or scale up existing initiatives, including community gardens, urban farms, backyard plots, meal-sharing programs</w:t>
      </w:r>
      <w:r>
        <w:rPr>
          <w:rFonts w:asciiTheme="majorHAnsi" w:eastAsia="Calibri" w:hAnsiTheme="majorHAnsi" w:cstheme="majorBidi"/>
          <w:sz w:val="23"/>
          <w:szCs w:val="23"/>
          <w:lang w:val="en-GB"/>
        </w:rPr>
        <w:t>,</w:t>
      </w:r>
      <w:r w:rsidR="00F00E3D" w:rsidRPr="004E7547">
        <w:rPr>
          <w:rFonts w:asciiTheme="majorHAnsi" w:eastAsia="Calibri" w:hAnsiTheme="majorHAnsi" w:cstheme="majorBidi"/>
          <w:sz w:val="23"/>
          <w:szCs w:val="23"/>
          <w:lang w:val="en-GB"/>
        </w:rPr>
        <w:t xml:space="preserve"> and food-based social enterprises. </w:t>
      </w:r>
    </w:p>
    <w:p w14:paraId="5C203FE6" w14:textId="7CF3CC3F" w:rsidR="00F00E3D" w:rsidRPr="004E7547" w:rsidRDefault="00F00E3D" w:rsidP="004E7547">
      <w:pPr>
        <w:spacing w:line="276" w:lineRule="auto"/>
        <w:ind w:firstLine="720"/>
        <w:rPr>
          <w:rFonts w:asciiTheme="majorHAnsi" w:hAnsiTheme="majorHAnsi" w:cstheme="majorHAnsi"/>
          <w:sz w:val="23"/>
          <w:szCs w:val="23"/>
        </w:rPr>
      </w:pPr>
      <w:r w:rsidRPr="004E7547">
        <w:rPr>
          <w:rFonts w:asciiTheme="majorHAnsi" w:eastAsia="Calibri" w:hAnsiTheme="majorHAnsi" w:cstheme="majorHAnsi"/>
          <w:sz w:val="23"/>
          <w:szCs w:val="23"/>
          <w:lang w:val="en-GB"/>
        </w:rPr>
        <w:t xml:space="preserve">Putting food on the table [is a major priority]. When JobKeeper ends, we expect the demand to </w:t>
      </w:r>
      <w:r w:rsidRPr="004E7547">
        <w:rPr>
          <w:rFonts w:asciiTheme="majorHAnsi" w:hAnsiTheme="majorHAnsi" w:cstheme="majorHAnsi"/>
          <w:sz w:val="23"/>
          <w:szCs w:val="23"/>
        </w:rPr>
        <w:tab/>
      </w:r>
      <w:r w:rsidRPr="004E7547">
        <w:rPr>
          <w:rFonts w:asciiTheme="majorHAnsi" w:eastAsia="Calibri" w:hAnsiTheme="majorHAnsi" w:cstheme="majorHAnsi"/>
          <w:sz w:val="23"/>
          <w:szCs w:val="23"/>
          <w:lang w:val="en-GB"/>
        </w:rPr>
        <w:t>increase massively (P5).</w:t>
      </w:r>
    </w:p>
    <w:p w14:paraId="5C404494" w14:textId="642ED13D" w:rsidR="00F00E3D" w:rsidRPr="009F20AA" w:rsidRDefault="00F00E3D" w:rsidP="004E7547">
      <w:pPr>
        <w:spacing w:line="276" w:lineRule="auto"/>
        <w:ind w:left="720"/>
        <w:rPr>
          <w:rFonts w:asciiTheme="majorHAnsi" w:hAnsiTheme="majorHAnsi" w:cstheme="majorHAnsi"/>
          <w:sz w:val="12"/>
          <w:szCs w:val="12"/>
        </w:rPr>
      </w:pPr>
      <w:r w:rsidRPr="004E7547">
        <w:rPr>
          <w:rFonts w:asciiTheme="majorHAnsi" w:eastAsia="Calibri" w:hAnsiTheme="majorHAnsi" w:cstheme="majorHAnsi"/>
          <w:sz w:val="23"/>
          <w:szCs w:val="23"/>
          <w:lang w:val="en-GB"/>
        </w:rPr>
        <w:t>Many houses have huge backyards and front yards that are empty. Some of that space could be</w:t>
      </w:r>
      <w:r w:rsidRPr="004E7547">
        <w:rPr>
          <w:rFonts w:asciiTheme="majorHAnsi" w:eastAsia="Calibri" w:hAnsiTheme="majorHAnsi" w:cstheme="majorHAnsi"/>
          <w:sz w:val="23"/>
          <w:szCs w:val="23"/>
        </w:rPr>
        <w:t xml:space="preserve"> converted for growing food. You have to test the soil...and normally bring in soil from outside. It’s about developing local economies (P11)</w:t>
      </w:r>
      <w:r w:rsidR="00121488">
        <w:rPr>
          <w:rFonts w:asciiTheme="majorHAnsi" w:eastAsia="Calibri" w:hAnsiTheme="majorHAnsi" w:cstheme="majorHAnsi"/>
          <w:sz w:val="23"/>
          <w:szCs w:val="23"/>
        </w:rPr>
        <w:t>.</w:t>
      </w:r>
      <w:r w:rsidRPr="004E7547">
        <w:rPr>
          <w:rFonts w:asciiTheme="majorHAnsi" w:hAnsiTheme="majorHAnsi" w:cstheme="majorHAnsi"/>
          <w:sz w:val="23"/>
          <w:szCs w:val="23"/>
        </w:rPr>
        <w:br/>
      </w:r>
    </w:p>
    <w:p w14:paraId="17B691F8" w14:textId="5A33EE6A" w:rsidR="007C7373" w:rsidRDefault="007320D6" w:rsidP="004E7547">
      <w:pPr>
        <w:spacing w:line="276" w:lineRule="auto"/>
        <w:rPr>
          <w:rFonts w:asciiTheme="majorHAnsi" w:hAnsiTheme="majorHAnsi" w:cstheme="majorHAnsi"/>
          <w:sz w:val="23"/>
          <w:szCs w:val="23"/>
        </w:rPr>
      </w:pPr>
      <w:hyperlink r:id="rId115" w:anchor="_ftnref1">
        <w:r w:rsidR="00F00E3D" w:rsidRPr="007C7373">
          <w:rPr>
            <w:rStyle w:val="Hyperlink"/>
            <w:rFonts w:asciiTheme="majorHAnsi" w:eastAsia="Calibri" w:hAnsiTheme="majorHAnsi" w:cstheme="majorHAnsi"/>
            <w:sz w:val="23"/>
            <w:szCs w:val="23"/>
            <w:vertAlign w:val="superscript"/>
          </w:rPr>
          <w:t>[1]</w:t>
        </w:r>
      </w:hyperlink>
      <w:r w:rsidR="00F00E3D" w:rsidRPr="007C7373">
        <w:rPr>
          <w:rFonts w:asciiTheme="majorHAnsi" w:eastAsia="Calibri" w:hAnsiTheme="majorHAnsi" w:cstheme="majorHAnsi"/>
          <w:sz w:val="23"/>
          <w:szCs w:val="23"/>
        </w:rPr>
        <w:t xml:space="preserve"> </w:t>
      </w:r>
      <w:r w:rsidR="00F00E3D" w:rsidRPr="007C7373">
        <w:rPr>
          <w:rFonts w:asciiTheme="majorHAnsi" w:eastAsia="Calibri" w:hAnsiTheme="majorHAnsi" w:cstheme="majorHAnsi"/>
          <w:sz w:val="20"/>
          <w:szCs w:val="20"/>
        </w:rPr>
        <w:t xml:space="preserve">The research team notes that </w:t>
      </w:r>
      <w:r w:rsidR="00E47F7E">
        <w:rPr>
          <w:rFonts w:asciiTheme="majorHAnsi" w:eastAsia="Calibri" w:hAnsiTheme="majorHAnsi" w:cstheme="majorHAnsi"/>
          <w:sz w:val="20"/>
          <w:szCs w:val="20"/>
        </w:rPr>
        <w:t xml:space="preserve">one </w:t>
      </w:r>
      <w:r w:rsidR="007C7373">
        <w:rPr>
          <w:rFonts w:asciiTheme="majorHAnsi" w:eastAsia="Calibri" w:hAnsiTheme="majorHAnsi" w:cstheme="majorHAnsi"/>
          <w:sz w:val="20"/>
          <w:szCs w:val="20"/>
        </w:rPr>
        <w:t>participant</w:t>
      </w:r>
      <w:r w:rsidR="009F20AA">
        <w:rPr>
          <w:rFonts w:asciiTheme="majorHAnsi" w:eastAsia="Calibri" w:hAnsiTheme="majorHAnsi" w:cstheme="majorHAnsi"/>
          <w:sz w:val="20"/>
          <w:szCs w:val="20"/>
        </w:rPr>
        <w:t xml:space="preserve"> organisation</w:t>
      </w:r>
      <w:r w:rsidR="007C7373">
        <w:rPr>
          <w:rFonts w:asciiTheme="majorHAnsi" w:eastAsia="Calibri" w:hAnsiTheme="majorHAnsi" w:cstheme="majorHAnsi"/>
          <w:sz w:val="20"/>
          <w:szCs w:val="20"/>
        </w:rPr>
        <w:t xml:space="preserve"> has lodged a</w:t>
      </w:r>
      <w:r w:rsidR="00F00E3D" w:rsidRPr="007C7373">
        <w:rPr>
          <w:rFonts w:asciiTheme="majorHAnsi" w:eastAsia="Calibri" w:hAnsiTheme="majorHAnsi" w:cstheme="majorHAnsi"/>
          <w:sz w:val="20"/>
          <w:szCs w:val="20"/>
        </w:rPr>
        <w:t xml:space="preserve"> submission</w:t>
      </w:r>
      <w:r w:rsidR="00720BDD" w:rsidRPr="007C7373">
        <w:rPr>
          <w:rFonts w:asciiTheme="majorHAnsi" w:eastAsia="Calibri" w:hAnsiTheme="majorHAnsi" w:cstheme="majorHAnsi"/>
          <w:sz w:val="20"/>
          <w:szCs w:val="20"/>
        </w:rPr>
        <w:t xml:space="preserve"> </w:t>
      </w:r>
      <w:r w:rsidR="00F00E3D" w:rsidRPr="007C7373">
        <w:rPr>
          <w:rFonts w:asciiTheme="majorHAnsi" w:eastAsia="Calibri" w:hAnsiTheme="majorHAnsi" w:cstheme="majorHAnsi"/>
          <w:sz w:val="20"/>
          <w:szCs w:val="20"/>
        </w:rPr>
        <w:t xml:space="preserve">seeking </w:t>
      </w:r>
      <w:r w:rsidR="001B7DDF">
        <w:rPr>
          <w:rFonts w:asciiTheme="majorHAnsi" w:eastAsia="Calibri" w:hAnsiTheme="majorHAnsi" w:cstheme="majorHAnsi"/>
          <w:sz w:val="20"/>
          <w:szCs w:val="20"/>
        </w:rPr>
        <w:t>CoGG</w:t>
      </w:r>
      <w:r w:rsidR="00F00E3D" w:rsidRPr="007C7373">
        <w:rPr>
          <w:rFonts w:asciiTheme="majorHAnsi" w:eastAsia="Calibri" w:hAnsiTheme="majorHAnsi" w:cstheme="majorHAnsi"/>
          <w:sz w:val="20"/>
          <w:szCs w:val="20"/>
        </w:rPr>
        <w:t>’s approval for a master plan for this site. Plans include new signage, footpaths, barbecue and picnic facilities, and revegetation works.</w:t>
      </w:r>
    </w:p>
    <w:p w14:paraId="0C234047" w14:textId="77777777" w:rsidR="007C7373" w:rsidRDefault="007C7373">
      <w:pPr>
        <w:spacing w:after="0" w:line="240" w:lineRule="auto"/>
        <w:rPr>
          <w:rFonts w:asciiTheme="majorHAnsi" w:hAnsiTheme="majorHAnsi" w:cstheme="majorHAnsi"/>
          <w:sz w:val="23"/>
          <w:szCs w:val="23"/>
        </w:rPr>
      </w:pPr>
      <w:r>
        <w:rPr>
          <w:rFonts w:asciiTheme="majorHAnsi" w:hAnsiTheme="majorHAnsi" w:cstheme="majorHAnsi"/>
          <w:sz w:val="23"/>
          <w:szCs w:val="23"/>
        </w:rPr>
        <w:br w:type="page"/>
      </w:r>
    </w:p>
    <w:p w14:paraId="75A0556E" w14:textId="10A404A4" w:rsidR="00F00E3D" w:rsidRPr="004E7547" w:rsidRDefault="00B035B6" w:rsidP="009B2FA7">
      <w:pPr>
        <w:pStyle w:val="Title"/>
        <w:rPr>
          <w:rFonts w:cstheme="minorHAnsi"/>
          <w:color w:val="2F5496" w:themeColor="accent1" w:themeShade="BF"/>
        </w:rPr>
      </w:pPr>
      <w:r w:rsidRPr="00D95573">
        <w:rPr>
          <w:rFonts w:cstheme="minorHAnsi"/>
          <w:color w:val="2F5496" w:themeColor="accent1" w:themeShade="BF"/>
        </w:rPr>
        <w:lastRenderedPageBreak/>
        <w:t>PART</w:t>
      </w:r>
      <w:r w:rsidR="00F00E3D" w:rsidRPr="00D95573">
        <w:rPr>
          <w:rFonts w:cstheme="minorHAnsi"/>
          <w:color w:val="2F5496" w:themeColor="accent1" w:themeShade="BF"/>
        </w:rPr>
        <w:t xml:space="preserve"> </w:t>
      </w:r>
      <w:r w:rsidR="009357F5" w:rsidRPr="00D95573">
        <w:rPr>
          <w:rFonts w:cstheme="minorHAnsi"/>
          <w:color w:val="2F5496" w:themeColor="accent1" w:themeShade="BF"/>
        </w:rPr>
        <w:t>C</w:t>
      </w:r>
      <w:r w:rsidR="00F00E3D" w:rsidRPr="00D95573">
        <w:rPr>
          <w:rFonts w:cstheme="minorHAnsi"/>
          <w:color w:val="2F5496" w:themeColor="accent1" w:themeShade="BF"/>
        </w:rPr>
        <w:t>: Discussion and Conclusion</w:t>
      </w:r>
    </w:p>
    <w:p w14:paraId="22FA4710" w14:textId="47ABD3A5" w:rsidR="00F00E3D" w:rsidRPr="000D2244" w:rsidRDefault="0056113A" w:rsidP="009B2FA7">
      <w:pPr>
        <w:pStyle w:val="Heading1"/>
        <w:rPr>
          <w:rFonts w:asciiTheme="minorHAnsi" w:hAnsiTheme="minorHAnsi" w:cstheme="minorBidi"/>
          <w:b/>
          <w:sz w:val="28"/>
          <w:szCs w:val="28"/>
        </w:rPr>
      </w:pPr>
      <w:bookmarkStart w:id="97" w:name="_Toc18097562"/>
      <w:r w:rsidRPr="000D2244">
        <w:rPr>
          <w:rFonts w:asciiTheme="minorHAnsi" w:hAnsiTheme="minorHAnsi" w:cstheme="minorBidi"/>
          <w:b/>
          <w:sz w:val="28"/>
          <w:szCs w:val="28"/>
        </w:rPr>
        <w:t>9.1 Recap</w:t>
      </w:r>
      <w:r w:rsidR="00F00E3D" w:rsidRPr="000D2244">
        <w:rPr>
          <w:rFonts w:asciiTheme="minorHAnsi" w:hAnsiTheme="minorHAnsi" w:cstheme="minorBidi"/>
          <w:b/>
          <w:sz w:val="28"/>
          <w:szCs w:val="28"/>
        </w:rPr>
        <w:t xml:space="preserve"> and Discussion </w:t>
      </w:r>
      <w:bookmarkEnd w:id="97"/>
    </w:p>
    <w:p w14:paraId="76870ED3" w14:textId="069178C1" w:rsidR="00FE67FE" w:rsidRPr="006D2492" w:rsidRDefault="7F861A7D" w:rsidP="009B2FA7">
      <w:pPr>
        <w:spacing w:line="276" w:lineRule="auto"/>
        <w:rPr>
          <w:rFonts w:ascii="Calibri Light" w:eastAsia="Calibri" w:hAnsi="Calibri Light" w:cs="Calibri Light"/>
          <w:sz w:val="12"/>
          <w:szCs w:val="12"/>
        </w:rPr>
      </w:pPr>
      <w:r w:rsidRPr="701B9583">
        <w:rPr>
          <w:rFonts w:ascii="Calibri Light" w:eastAsia="Calibri" w:hAnsi="Calibri Light" w:cs="Calibri Light"/>
          <w:sz w:val="12"/>
          <w:szCs w:val="12"/>
        </w:rPr>
        <w:t xml:space="preserve">    </w:t>
      </w:r>
    </w:p>
    <w:p w14:paraId="2FA8A530" w14:textId="2B71D10F" w:rsidR="004E7547" w:rsidRDefault="0005102E" w:rsidP="009B2FA7">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 xml:space="preserve">We begin this final section with a brief recap and discussion of </w:t>
      </w:r>
      <w:r w:rsidR="00A6696A">
        <w:rPr>
          <w:rFonts w:ascii="Calibri Light" w:eastAsia="Calibri" w:hAnsi="Calibri Light" w:cs="Calibri Light"/>
          <w:sz w:val="23"/>
          <w:szCs w:val="23"/>
        </w:rPr>
        <w:t>o</w:t>
      </w:r>
      <w:r w:rsidR="00C534AE">
        <w:rPr>
          <w:rFonts w:ascii="Calibri Light" w:eastAsia="Calibri" w:hAnsi="Calibri Light" w:cs="Calibri Light"/>
          <w:sz w:val="23"/>
          <w:szCs w:val="23"/>
        </w:rPr>
        <w:t>ur</w:t>
      </w:r>
      <w:r>
        <w:rPr>
          <w:rFonts w:ascii="Calibri Light" w:eastAsia="Calibri" w:hAnsi="Calibri Light" w:cs="Calibri Light"/>
          <w:sz w:val="23"/>
          <w:szCs w:val="23"/>
        </w:rPr>
        <w:t xml:space="preserve"> </w:t>
      </w:r>
      <w:r w:rsidR="00A6696A">
        <w:rPr>
          <w:rFonts w:ascii="Calibri Light" w:eastAsia="Calibri" w:hAnsi="Calibri Light" w:cs="Calibri Light"/>
          <w:sz w:val="23"/>
          <w:szCs w:val="23"/>
        </w:rPr>
        <w:t>main findings</w:t>
      </w:r>
      <w:r w:rsidR="004E45FB">
        <w:rPr>
          <w:rFonts w:ascii="Calibri Light" w:eastAsia="Calibri" w:hAnsi="Calibri Light" w:cs="Calibri Light"/>
          <w:sz w:val="23"/>
          <w:szCs w:val="23"/>
        </w:rPr>
        <w:t xml:space="preserve"> as this </w:t>
      </w:r>
      <w:r w:rsidR="00F44AF9">
        <w:rPr>
          <w:rFonts w:ascii="Calibri Light" w:eastAsia="Calibri" w:hAnsi="Calibri Light" w:cs="Calibri Light"/>
          <w:sz w:val="23"/>
          <w:szCs w:val="23"/>
        </w:rPr>
        <w:t>study</w:t>
      </w:r>
      <w:r w:rsidR="004E45FB">
        <w:rPr>
          <w:rFonts w:ascii="Calibri Light" w:eastAsia="Calibri" w:hAnsi="Calibri Light" w:cs="Calibri Light"/>
          <w:sz w:val="23"/>
          <w:szCs w:val="23"/>
        </w:rPr>
        <w:t xml:space="preserve"> unfolded</w:t>
      </w:r>
      <w:r>
        <w:rPr>
          <w:rFonts w:ascii="Calibri Light" w:eastAsia="Calibri" w:hAnsi="Calibri Light" w:cs="Calibri Light"/>
          <w:sz w:val="23"/>
          <w:szCs w:val="23"/>
        </w:rPr>
        <w:t xml:space="preserve">. </w:t>
      </w:r>
      <w:r w:rsidR="0054100D">
        <w:rPr>
          <w:rFonts w:ascii="Calibri Light" w:eastAsia="Calibri" w:hAnsi="Calibri Light" w:cs="Calibri Light"/>
          <w:sz w:val="23"/>
          <w:szCs w:val="23"/>
        </w:rPr>
        <w:t>The first stage, the</w:t>
      </w:r>
      <w:r w:rsidR="006D2492">
        <w:rPr>
          <w:rFonts w:ascii="Calibri Light" w:eastAsia="Calibri" w:hAnsi="Calibri Light" w:cs="Calibri Light"/>
          <w:sz w:val="23"/>
          <w:szCs w:val="23"/>
        </w:rPr>
        <w:t xml:space="preserve"> Environmental Scan (</w:t>
      </w:r>
      <w:r w:rsidR="0054100D">
        <w:rPr>
          <w:rFonts w:ascii="Calibri Light" w:eastAsia="Calibri" w:hAnsi="Calibri Light" w:cs="Calibri Light"/>
          <w:sz w:val="23"/>
          <w:szCs w:val="23"/>
        </w:rPr>
        <w:t xml:space="preserve">see </w:t>
      </w:r>
      <w:r w:rsidR="006D2492" w:rsidRPr="000940CC">
        <w:rPr>
          <w:rFonts w:ascii="Calibri Light" w:eastAsia="Calibri" w:hAnsi="Calibri Light" w:cs="Calibri Light"/>
          <w:sz w:val="23"/>
          <w:szCs w:val="23"/>
        </w:rPr>
        <w:t xml:space="preserve">Part </w:t>
      </w:r>
      <w:r w:rsidR="006D2492">
        <w:rPr>
          <w:rFonts w:ascii="Calibri Light" w:eastAsia="Calibri" w:hAnsi="Calibri Light" w:cs="Calibri Light"/>
          <w:sz w:val="23"/>
          <w:szCs w:val="23"/>
        </w:rPr>
        <w:t>A)</w:t>
      </w:r>
      <w:r w:rsidR="002667A4">
        <w:rPr>
          <w:rFonts w:ascii="Calibri Light" w:eastAsia="Calibri" w:hAnsi="Calibri Light" w:cs="Calibri Light"/>
          <w:sz w:val="23"/>
          <w:szCs w:val="23"/>
        </w:rPr>
        <w:t>,</w:t>
      </w:r>
      <w:r w:rsidR="006D2492">
        <w:rPr>
          <w:rFonts w:ascii="Calibri Light" w:eastAsia="Calibri" w:hAnsi="Calibri Light" w:cs="Calibri Light"/>
          <w:sz w:val="23"/>
          <w:szCs w:val="23"/>
        </w:rPr>
        <w:t xml:space="preserve"> </w:t>
      </w:r>
      <w:r w:rsidR="00121488">
        <w:rPr>
          <w:rFonts w:ascii="Calibri Light" w:eastAsia="Calibri" w:hAnsi="Calibri Light" w:cs="Calibri Light"/>
          <w:sz w:val="23"/>
          <w:szCs w:val="23"/>
        </w:rPr>
        <w:t>focused on two</w:t>
      </w:r>
      <w:r w:rsidR="004E7547">
        <w:rPr>
          <w:rFonts w:ascii="Calibri Light" w:eastAsia="Calibri" w:hAnsi="Calibri Light" w:cs="Calibri Light"/>
          <w:sz w:val="23"/>
          <w:szCs w:val="23"/>
        </w:rPr>
        <w:t xml:space="preserve"> research questions:</w:t>
      </w:r>
    </w:p>
    <w:p w14:paraId="091FB225" w14:textId="297BB465" w:rsidR="004E7547" w:rsidRPr="004E7547" w:rsidRDefault="004E7547" w:rsidP="004E7547">
      <w:pPr>
        <w:pStyle w:val="ListParagraph"/>
        <w:numPr>
          <w:ilvl w:val="0"/>
          <w:numId w:val="94"/>
        </w:numPr>
        <w:spacing w:line="276" w:lineRule="auto"/>
        <w:rPr>
          <w:rFonts w:ascii="Calibri Light" w:eastAsia="Calibri" w:hAnsi="Calibri Light" w:cs="Calibri Light"/>
          <w:sz w:val="23"/>
          <w:szCs w:val="23"/>
        </w:rPr>
      </w:pPr>
      <w:r w:rsidRPr="004E7547">
        <w:rPr>
          <w:rFonts w:ascii="Calibri Light" w:eastAsia="Calibri" w:hAnsi="Calibri Light" w:cs="Calibri Light"/>
          <w:sz w:val="23"/>
          <w:szCs w:val="23"/>
        </w:rPr>
        <w:t>W</w:t>
      </w:r>
      <w:r w:rsidR="00F00E3D" w:rsidRPr="004E7547">
        <w:rPr>
          <w:rFonts w:ascii="Calibri Light" w:eastAsia="Calibri" w:hAnsi="Calibri Light" w:cs="Calibri Light"/>
          <w:sz w:val="23"/>
          <w:szCs w:val="23"/>
        </w:rPr>
        <w:t>hat are the social and economic factors that drive outcomes, particularly for communities affected by disadvantage?</w:t>
      </w:r>
    </w:p>
    <w:p w14:paraId="7684EC14" w14:textId="01E46CFB" w:rsidR="00F00E3D" w:rsidRPr="004E7547" w:rsidRDefault="004E7547" w:rsidP="004E7547">
      <w:pPr>
        <w:pStyle w:val="ListParagraph"/>
        <w:numPr>
          <w:ilvl w:val="0"/>
          <w:numId w:val="94"/>
        </w:numPr>
        <w:spacing w:line="276" w:lineRule="auto"/>
        <w:rPr>
          <w:rFonts w:ascii="Calibri Light" w:eastAsia="Calibri" w:hAnsi="Calibri Light" w:cs="Calibri Light"/>
          <w:sz w:val="23"/>
          <w:szCs w:val="23"/>
        </w:rPr>
      </w:pPr>
      <w:r w:rsidRPr="004E7547">
        <w:rPr>
          <w:rFonts w:ascii="Calibri Light" w:eastAsia="Calibri" w:hAnsi="Calibri Light" w:cs="Calibri Light"/>
          <w:sz w:val="23"/>
          <w:szCs w:val="23"/>
        </w:rPr>
        <w:t>W</w:t>
      </w:r>
      <w:r w:rsidR="00F00E3D" w:rsidRPr="004E7547">
        <w:rPr>
          <w:rFonts w:ascii="Calibri Light" w:eastAsia="Calibri" w:hAnsi="Calibri Light" w:cs="Calibri Light"/>
          <w:sz w:val="23"/>
          <w:szCs w:val="23"/>
        </w:rPr>
        <w:t xml:space="preserve">hat interventions have been used globally to address these social and economic factors to improve community outcomes? </w:t>
      </w:r>
    </w:p>
    <w:p w14:paraId="280A0817" w14:textId="52B3465B" w:rsidR="00CA740A" w:rsidRDefault="00443D64" w:rsidP="009B2FA7">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In our</w:t>
      </w:r>
      <w:r w:rsidR="008A23BB">
        <w:rPr>
          <w:rFonts w:ascii="Calibri Light" w:eastAsia="Calibri" w:hAnsi="Calibri Light" w:cs="Calibri Light"/>
          <w:sz w:val="23"/>
          <w:szCs w:val="23"/>
        </w:rPr>
        <w:t xml:space="preserve"> review of key academic </w:t>
      </w:r>
      <w:r w:rsidR="00CA740A">
        <w:rPr>
          <w:rFonts w:ascii="Calibri Light" w:eastAsia="Calibri" w:hAnsi="Calibri Light" w:cs="Calibri Light"/>
          <w:sz w:val="23"/>
          <w:szCs w:val="23"/>
        </w:rPr>
        <w:t>studies</w:t>
      </w:r>
      <w:r w:rsidR="008A23BB">
        <w:rPr>
          <w:rFonts w:ascii="Calibri Light" w:eastAsia="Calibri" w:hAnsi="Calibri Light" w:cs="Calibri Light"/>
          <w:sz w:val="23"/>
          <w:szCs w:val="23"/>
        </w:rPr>
        <w:t xml:space="preserve"> (</w:t>
      </w:r>
      <w:r w:rsidR="0016041D">
        <w:rPr>
          <w:rFonts w:ascii="Calibri Light" w:eastAsia="Calibri" w:hAnsi="Calibri Light" w:cs="Calibri Light"/>
          <w:sz w:val="23"/>
          <w:szCs w:val="23"/>
        </w:rPr>
        <w:t xml:space="preserve">Part A, </w:t>
      </w:r>
      <w:r w:rsidR="008A23BB">
        <w:rPr>
          <w:rFonts w:ascii="Calibri Light" w:eastAsia="Calibri" w:hAnsi="Calibri Light" w:cs="Calibri Light"/>
          <w:sz w:val="23"/>
          <w:szCs w:val="23"/>
        </w:rPr>
        <w:t xml:space="preserve">Section </w:t>
      </w:r>
      <w:r w:rsidR="00B970E8">
        <w:rPr>
          <w:rFonts w:ascii="Calibri Light" w:eastAsia="Calibri" w:hAnsi="Calibri Light" w:cs="Calibri Light"/>
          <w:sz w:val="23"/>
          <w:szCs w:val="23"/>
        </w:rPr>
        <w:t>3</w:t>
      </w:r>
      <w:r w:rsidR="008A23BB">
        <w:rPr>
          <w:rFonts w:ascii="Calibri Light" w:eastAsia="Calibri" w:hAnsi="Calibri Light" w:cs="Calibri Light"/>
          <w:sz w:val="23"/>
          <w:szCs w:val="23"/>
        </w:rPr>
        <w:t>)</w:t>
      </w:r>
      <w:r>
        <w:rPr>
          <w:rFonts w:ascii="Calibri Light" w:eastAsia="Calibri" w:hAnsi="Calibri Light" w:cs="Calibri Light"/>
          <w:sz w:val="23"/>
          <w:szCs w:val="23"/>
        </w:rPr>
        <w:t>, we find</w:t>
      </w:r>
      <w:r w:rsidR="008A23BB">
        <w:rPr>
          <w:rFonts w:ascii="Calibri Light" w:eastAsia="Calibri" w:hAnsi="Calibri Light" w:cs="Calibri Light"/>
          <w:sz w:val="23"/>
          <w:szCs w:val="23"/>
        </w:rPr>
        <w:t xml:space="preserve"> </w:t>
      </w:r>
      <w:r w:rsidR="00B970E8">
        <w:rPr>
          <w:rFonts w:ascii="Calibri Light" w:eastAsia="Calibri" w:hAnsi="Calibri Light" w:cs="Calibri Light"/>
          <w:sz w:val="23"/>
          <w:szCs w:val="23"/>
        </w:rPr>
        <w:t xml:space="preserve">that the </w:t>
      </w:r>
      <w:r w:rsidR="00CA740A">
        <w:rPr>
          <w:rFonts w:ascii="Calibri Light" w:eastAsia="Calibri" w:hAnsi="Calibri Light" w:cs="Calibri Light"/>
          <w:sz w:val="23"/>
          <w:szCs w:val="23"/>
        </w:rPr>
        <w:t xml:space="preserve">research </w:t>
      </w:r>
      <w:r w:rsidR="00B970E8">
        <w:rPr>
          <w:rFonts w:ascii="Calibri Light" w:eastAsia="Calibri" w:hAnsi="Calibri Light" w:cs="Calibri Light"/>
          <w:sz w:val="23"/>
          <w:szCs w:val="23"/>
        </w:rPr>
        <w:t>literature</w:t>
      </w:r>
      <w:r w:rsidR="00CA740A">
        <w:rPr>
          <w:rFonts w:ascii="Calibri Light" w:eastAsia="Calibri" w:hAnsi="Calibri Light" w:cs="Calibri Light"/>
          <w:sz w:val="23"/>
          <w:szCs w:val="23"/>
        </w:rPr>
        <w:t xml:space="preserve"> identifie</w:t>
      </w:r>
      <w:r>
        <w:rPr>
          <w:rFonts w:ascii="Calibri Light" w:eastAsia="Calibri" w:hAnsi="Calibri Light" w:cs="Calibri Light"/>
          <w:sz w:val="23"/>
          <w:szCs w:val="23"/>
        </w:rPr>
        <w:t>s</w:t>
      </w:r>
      <w:r w:rsidR="008A23BB">
        <w:rPr>
          <w:rFonts w:ascii="Calibri Light" w:eastAsia="Calibri" w:hAnsi="Calibri Light" w:cs="Calibri Light"/>
          <w:sz w:val="23"/>
          <w:szCs w:val="23"/>
        </w:rPr>
        <w:t xml:space="preserve"> </w:t>
      </w:r>
      <w:r w:rsidR="00F00E3D">
        <w:rPr>
          <w:rFonts w:ascii="Calibri Light" w:eastAsia="Calibri" w:hAnsi="Calibri Light" w:cs="Calibri Light"/>
          <w:sz w:val="23"/>
          <w:szCs w:val="23"/>
        </w:rPr>
        <w:t>52</w:t>
      </w:r>
      <w:r w:rsidR="00F00E3D" w:rsidRPr="000940CC">
        <w:rPr>
          <w:rFonts w:ascii="Calibri Light" w:eastAsia="Calibri" w:hAnsi="Calibri Light" w:cs="Calibri Light"/>
          <w:sz w:val="23"/>
          <w:szCs w:val="23"/>
        </w:rPr>
        <w:t xml:space="preserve"> social and economic factors </w:t>
      </w:r>
      <w:r w:rsidR="00F00E3D">
        <w:rPr>
          <w:rFonts w:ascii="Calibri Light" w:eastAsia="Calibri" w:hAnsi="Calibri Light" w:cs="Calibri Light"/>
          <w:sz w:val="23"/>
          <w:szCs w:val="23"/>
        </w:rPr>
        <w:t>that</w:t>
      </w:r>
      <w:r w:rsidR="00F00E3D" w:rsidRPr="000940CC">
        <w:rPr>
          <w:rFonts w:ascii="Calibri Light" w:eastAsia="Calibri" w:hAnsi="Calibri Light" w:cs="Calibri Light"/>
          <w:sz w:val="23"/>
          <w:szCs w:val="23"/>
        </w:rPr>
        <w:t xml:space="preserve"> driv</w:t>
      </w:r>
      <w:r w:rsidR="00F00E3D">
        <w:rPr>
          <w:rFonts w:ascii="Calibri Light" w:eastAsia="Calibri" w:hAnsi="Calibri Light" w:cs="Calibri Light"/>
          <w:sz w:val="23"/>
          <w:szCs w:val="23"/>
        </w:rPr>
        <w:t>e</w:t>
      </w:r>
      <w:r w:rsidR="00F00E3D" w:rsidRPr="000940CC">
        <w:rPr>
          <w:rFonts w:ascii="Calibri Light" w:eastAsia="Calibri" w:hAnsi="Calibri Light" w:cs="Calibri Light"/>
          <w:sz w:val="23"/>
          <w:szCs w:val="23"/>
        </w:rPr>
        <w:t xml:space="preserve"> outcomes for </w:t>
      </w:r>
      <w:r w:rsidR="00F00E3D">
        <w:rPr>
          <w:rFonts w:ascii="Calibri Light" w:eastAsia="Calibri" w:hAnsi="Calibri Light" w:cs="Calibri Light"/>
          <w:sz w:val="23"/>
          <w:szCs w:val="23"/>
        </w:rPr>
        <w:t xml:space="preserve">communities affected by disadvantage. </w:t>
      </w:r>
      <w:r w:rsidR="00CA740A">
        <w:rPr>
          <w:rFonts w:ascii="Calibri Light" w:eastAsia="Calibri" w:hAnsi="Calibri Light" w:cs="Calibri Light"/>
          <w:sz w:val="23"/>
          <w:szCs w:val="23"/>
        </w:rPr>
        <w:t>We categorise these</w:t>
      </w:r>
      <w:r w:rsidR="00F00E3D" w:rsidRPr="000940CC">
        <w:rPr>
          <w:rFonts w:ascii="Calibri Light" w:eastAsia="Calibri" w:hAnsi="Calibri Light" w:cs="Calibri Light"/>
          <w:sz w:val="23"/>
          <w:szCs w:val="23"/>
        </w:rPr>
        <w:t xml:space="preserve"> </w:t>
      </w:r>
      <w:r w:rsidR="00BF2401">
        <w:rPr>
          <w:rFonts w:ascii="Calibri Light" w:eastAsia="Calibri" w:hAnsi="Calibri Light" w:cs="Calibri Light"/>
          <w:sz w:val="23"/>
          <w:szCs w:val="23"/>
        </w:rPr>
        <w:t xml:space="preserve">factors </w:t>
      </w:r>
      <w:r w:rsidR="00F00E3D" w:rsidRPr="000940CC">
        <w:rPr>
          <w:rFonts w:ascii="Calibri Light" w:eastAsia="Calibri" w:hAnsi="Calibri Light" w:cs="Calibri Light"/>
          <w:sz w:val="23"/>
          <w:szCs w:val="23"/>
        </w:rPr>
        <w:t>according to four contexts (Economic, Health, Social, and Urban Environment) and 13 determinates</w:t>
      </w:r>
      <w:r w:rsidR="00BF2401">
        <w:rPr>
          <w:rFonts w:ascii="Calibri Light" w:eastAsia="Calibri" w:hAnsi="Calibri Light" w:cs="Calibri Light"/>
          <w:sz w:val="23"/>
          <w:szCs w:val="23"/>
        </w:rPr>
        <w:t xml:space="preserve"> (</w:t>
      </w:r>
      <w:r w:rsidR="00F00E3D" w:rsidRPr="000940CC">
        <w:rPr>
          <w:rFonts w:ascii="Calibri Light" w:eastAsia="Calibri" w:hAnsi="Calibri Light" w:cs="Calibri Light"/>
          <w:sz w:val="23"/>
          <w:szCs w:val="23"/>
        </w:rPr>
        <w:t>Economy, Governmental Policy, Access to Healthcare and Social Services, Personal Health Status, Personal Behaviours, Crime and Safety, Employment and Work, Housing, Social Networks, Support and Exclusion, Socio-demographics, Socioeconomic Position, Neighbourhood Accessibility, and Physical Environment</w:t>
      </w:r>
      <w:r w:rsidR="00CA740A">
        <w:rPr>
          <w:rFonts w:ascii="Calibri Light" w:eastAsia="Calibri" w:hAnsi="Calibri Light" w:cs="Calibri Light"/>
          <w:sz w:val="23"/>
          <w:szCs w:val="23"/>
        </w:rPr>
        <w:t>)</w:t>
      </w:r>
      <w:r w:rsidR="00F00E3D" w:rsidRPr="000940CC">
        <w:rPr>
          <w:rFonts w:ascii="Calibri Light" w:eastAsia="Calibri" w:hAnsi="Calibri Light" w:cs="Calibri Light"/>
          <w:sz w:val="23"/>
          <w:szCs w:val="23"/>
        </w:rPr>
        <w:t>.</w:t>
      </w:r>
    </w:p>
    <w:p w14:paraId="6461AF1A" w14:textId="60172784" w:rsidR="00F00E3D" w:rsidRPr="000940CC" w:rsidRDefault="00BF16E0" w:rsidP="009B2FA7">
      <w:pPr>
        <w:spacing w:line="276" w:lineRule="auto"/>
        <w:rPr>
          <w:rFonts w:ascii="Calibri Light" w:eastAsia="Calibri" w:hAnsi="Calibri Light" w:cs="Calibri Light"/>
          <w:sz w:val="23"/>
          <w:szCs w:val="23"/>
        </w:rPr>
      </w:pPr>
      <w:r w:rsidRPr="003C2FA6">
        <w:rPr>
          <w:rFonts w:ascii="Calibri Light" w:eastAsia="Calibri" w:hAnsi="Calibri Light" w:cs="Calibri Light"/>
          <w:sz w:val="23"/>
          <w:szCs w:val="23"/>
        </w:rPr>
        <w:t>Based on our review of this prior research, the</w:t>
      </w:r>
      <w:r w:rsidR="00F00E3D" w:rsidRPr="003C2FA6">
        <w:rPr>
          <w:rFonts w:ascii="Calibri Light" w:eastAsia="Calibri" w:hAnsi="Calibri Light" w:cs="Calibri Light"/>
          <w:sz w:val="23"/>
          <w:szCs w:val="23"/>
        </w:rPr>
        <w:t xml:space="preserve"> determinants </w:t>
      </w:r>
      <w:r w:rsidR="002F2F0F" w:rsidRPr="003C2FA6">
        <w:rPr>
          <w:rFonts w:ascii="Calibri Light" w:eastAsia="Calibri" w:hAnsi="Calibri Light" w:cs="Calibri Light"/>
          <w:sz w:val="23"/>
          <w:szCs w:val="23"/>
        </w:rPr>
        <w:t>seen to</w:t>
      </w:r>
      <w:r w:rsidR="00F00E3D" w:rsidRPr="003C2FA6">
        <w:rPr>
          <w:rFonts w:ascii="Calibri Light" w:eastAsia="Calibri" w:hAnsi="Calibri Light" w:cs="Calibri Light"/>
          <w:sz w:val="23"/>
          <w:szCs w:val="23"/>
        </w:rPr>
        <w:t xml:space="preserve"> have most impact across the five </w:t>
      </w:r>
      <w:r w:rsidR="00D95573">
        <w:rPr>
          <w:rFonts w:ascii="Calibri Light" w:eastAsia="Calibri" w:hAnsi="Calibri Light" w:cs="Calibri Light"/>
          <w:sz w:val="23"/>
          <w:szCs w:val="23"/>
        </w:rPr>
        <w:t>Practice Domain</w:t>
      </w:r>
      <w:r w:rsidR="00F00E3D" w:rsidRPr="003C2FA6">
        <w:rPr>
          <w:rFonts w:ascii="Calibri Light" w:eastAsia="Calibri" w:hAnsi="Calibri Light" w:cs="Calibri Light"/>
          <w:sz w:val="23"/>
          <w:szCs w:val="23"/>
        </w:rPr>
        <w:t xml:space="preserve">s </w:t>
      </w:r>
      <w:r w:rsidR="00443D64">
        <w:rPr>
          <w:rFonts w:ascii="Calibri Light" w:eastAsia="Calibri" w:hAnsi="Calibri Light" w:cs="Calibri Light"/>
          <w:sz w:val="23"/>
          <w:szCs w:val="23"/>
        </w:rPr>
        <w:t>a</w:t>
      </w:r>
      <w:r w:rsidR="00F00E3D" w:rsidRPr="003C2FA6">
        <w:rPr>
          <w:rFonts w:ascii="Calibri Light" w:eastAsia="Calibri" w:hAnsi="Calibri Light" w:cs="Calibri Light"/>
          <w:sz w:val="23"/>
          <w:szCs w:val="23"/>
        </w:rPr>
        <w:t>re</w:t>
      </w:r>
      <w:r w:rsidRPr="003C2FA6">
        <w:rPr>
          <w:rFonts w:ascii="Calibri Light" w:eastAsia="Calibri" w:hAnsi="Calibri Light" w:cs="Calibri Light"/>
          <w:sz w:val="23"/>
          <w:szCs w:val="23"/>
        </w:rPr>
        <w:t xml:space="preserve">: </w:t>
      </w:r>
      <w:r w:rsidR="005121B8" w:rsidRPr="003C2FA6">
        <w:rPr>
          <w:rFonts w:ascii="Calibri Light" w:eastAsia="Calibri" w:hAnsi="Calibri Light" w:cs="Calibri Light"/>
          <w:sz w:val="23"/>
          <w:szCs w:val="23"/>
        </w:rPr>
        <w:t>Socioeconomic Position, Social Networks, Support and Inclusion/Exclusion, Crime and Safety, Housing, and Neighbourhood Accessibility.</w:t>
      </w:r>
      <w:r w:rsidR="002F2F0F" w:rsidRPr="003C2FA6">
        <w:rPr>
          <w:rFonts w:ascii="Calibri Light" w:eastAsia="Calibri" w:hAnsi="Calibri Light" w:cs="Calibri Light"/>
          <w:sz w:val="23"/>
          <w:szCs w:val="23"/>
        </w:rPr>
        <w:t xml:space="preserve"> In turn, all</w:t>
      </w:r>
      <w:r w:rsidR="005121B8" w:rsidRPr="003C2FA6">
        <w:rPr>
          <w:rFonts w:ascii="Calibri Light" w:eastAsia="Calibri" w:hAnsi="Calibri Light" w:cs="Calibri Light"/>
          <w:sz w:val="23"/>
          <w:szCs w:val="23"/>
        </w:rPr>
        <w:t xml:space="preserve"> these</w:t>
      </w:r>
      <w:r w:rsidR="00F00E3D" w:rsidRPr="003C2FA6">
        <w:rPr>
          <w:rFonts w:ascii="Calibri Light" w:eastAsia="Calibri" w:hAnsi="Calibri Light" w:cs="Calibri Light"/>
          <w:sz w:val="23"/>
          <w:szCs w:val="23"/>
        </w:rPr>
        <w:t xml:space="preserve"> factors impact</w:t>
      </w:r>
      <w:r w:rsidR="005121B8" w:rsidRPr="003C2FA6">
        <w:rPr>
          <w:rFonts w:ascii="Calibri Light" w:eastAsia="Calibri" w:hAnsi="Calibri Light" w:cs="Calibri Light"/>
          <w:sz w:val="23"/>
          <w:szCs w:val="23"/>
        </w:rPr>
        <w:t>ed</w:t>
      </w:r>
      <w:r w:rsidR="00F00E3D" w:rsidRPr="003C2FA6">
        <w:rPr>
          <w:rFonts w:ascii="Calibri Light" w:eastAsia="Calibri" w:hAnsi="Calibri Light" w:cs="Calibri Light"/>
          <w:sz w:val="23"/>
          <w:szCs w:val="23"/>
        </w:rPr>
        <w:t xml:space="preserve"> on</w:t>
      </w:r>
      <w:r w:rsidR="005121B8" w:rsidRPr="003C2FA6">
        <w:rPr>
          <w:rFonts w:ascii="Calibri Light" w:eastAsia="Calibri" w:hAnsi="Calibri Light" w:cs="Calibri Light"/>
          <w:sz w:val="23"/>
          <w:szCs w:val="23"/>
        </w:rPr>
        <w:t>,</w:t>
      </w:r>
      <w:r w:rsidR="00F00E3D" w:rsidRPr="003C2FA6">
        <w:rPr>
          <w:rFonts w:ascii="Calibri Light" w:eastAsia="Calibri" w:hAnsi="Calibri Light" w:cs="Calibri Light"/>
          <w:sz w:val="23"/>
          <w:szCs w:val="23"/>
        </w:rPr>
        <w:t xml:space="preserve"> and</w:t>
      </w:r>
      <w:r w:rsidR="005121B8" w:rsidRPr="003C2FA6">
        <w:rPr>
          <w:rFonts w:ascii="Calibri Light" w:eastAsia="Calibri" w:hAnsi="Calibri Light" w:cs="Calibri Light"/>
          <w:sz w:val="23"/>
          <w:szCs w:val="23"/>
        </w:rPr>
        <w:t xml:space="preserve"> were impacted by,</w:t>
      </w:r>
      <w:r w:rsidR="002F2F0F" w:rsidRPr="003C2FA6">
        <w:rPr>
          <w:rFonts w:ascii="Calibri Light" w:eastAsia="Calibri" w:hAnsi="Calibri Light" w:cs="Calibri Light"/>
          <w:sz w:val="23"/>
          <w:szCs w:val="23"/>
        </w:rPr>
        <w:t xml:space="preserve"> </w:t>
      </w:r>
      <w:r w:rsidR="00F00E3D" w:rsidRPr="003C2FA6">
        <w:rPr>
          <w:rFonts w:ascii="Calibri Light" w:eastAsia="Calibri" w:hAnsi="Calibri Light" w:cs="Calibri Light"/>
          <w:sz w:val="23"/>
          <w:szCs w:val="23"/>
        </w:rPr>
        <w:t>the other factors.</w:t>
      </w:r>
      <w:r w:rsidR="00F00E3D" w:rsidRPr="000940CC">
        <w:rPr>
          <w:rFonts w:ascii="Calibri Light" w:eastAsia="Calibri" w:hAnsi="Calibri Light" w:cs="Calibri Light"/>
          <w:sz w:val="23"/>
          <w:szCs w:val="23"/>
        </w:rPr>
        <w:t xml:space="preserve"> </w:t>
      </w:r>
    </w:p>
    <w:p w14:paraId="128771C2" w14:textId="7754A51C" w:rsidR="00F00E3D" w:rsidRDefault="00F00E3D" w:rsidP="009B2FA7">
      <w:pPr>
        <w:spacing w:line="276" w:lineRule="auto"/>
        <w:rPr>
          <w:rFonts w:ascii="Calibri Light" w:eastAsia="Calibri" w:hAnsi="Calibri Light" w:cs="Calibri Light"/>
          <w:sz w:val="23"/>
          <w:szCs w:val="23"/>
        </w:rPr>
      </w:pPr>
      <w:r w:rsidRPr="000940CC">
        <w:rPr>
          <w:rFonts w:ascii="Calibri Light" w:eastAsia="Calibri" w:hAnsi="Calibri Light" w:cs="Calibri Light"/>
          <w:sz w:val="23"/>
          <w:szCs w:val="23"/>
        </w:rPr>
        <w:t>The</w:t>
      </w:r>
      <w:r w:rsidR="009E438F">
        <w:rPr>
          <w:rFonts w:ascii="Calibri Light" w:eastAsia="Calibri" w:hAnsi="Calibri Light" w:cs="Calibri Light"/>
          <w:sz w:val="23"/>
          <w:szCs w:val="23"/>
        </w:rPr>
        <w:t>ir</w:t>
      </w:r>
      <w:r w:rsidRPr="000940CC">
        <w:rPr>
          <w:rFonts w:ascii="Calibri Light" w:eastAsia="Calibri" w:hAnsi="Calibri Light" w:cs="Calibri Light"/>
          <w:sz w:val="23"/>
          <w:szCs w:val="23"/>
        </w:rPr>
        <w:t xml:space="preserve"> interconnectedness </w:t>
      </w:r>
      <w:r w:rsidR="003C2FA6">
        <w:rPr>
          <w:rFonts w:ascii="Calibri Light" w:eastAsia="Calibri" w:hAnsi="Calibri Light" w:cs="Calibri Light"/>
          <w:sz w:val="23"/>
          <w:szCs w:val="23"/>
        </w:rPr>
        <w:t>is reflected in</w:t>
      </w:r>
      <w:r w:rsidRPr="000940CC">
        <w:rPr>
          <w:rFonts w:ascii="Calibri Light" w:eastAsia="Calibri" w:hAnsi="Calibri Light" w:cs="Calibri Light"/>
          <w:sz w:val="23"/>
          <w:szCs w:val="23"/>
        </w:rPr>
        <w:t xml:space="preserve"> the </w:t>
      </w:r>
      <w:r w:rsidR="00A5235D">
        <w:rPr>
          <w:rFonts w:ascii="Calibri Light" w:eastAsia="Calibri" w:hAnsi="Calibri Light" w:cs="Calibri Light"/>
          <w:sz w:val="23"/>
          <w:szCs w:val="23"/>
        </w:rPr>
        <w:t xml:space="preserve">types of </w:t>
      </w:r>
      <w:r w:rsidRPr="000940CC">
        <w:rPr>
          <w:rFonts w:ascii="Calibri Light" w:eastAsia="Calibri" w:hAnsi="Calibri Light" w:cs="Calibri Light"/>
          <w:sz w:val="23"/>
          <w:szCs w:val="23"/>
        </w:rPr>
        <w:t xml:space="preserve">interventions </w:t>
      </w:r>
      <w:r w:rsidR="00DA4A91">
        <w:rPr>
          <w:rFonts w:ascii="Calibri Light" w:eastAsia="Calibri" w:hAnsi="Calibri Light" w:cs="Calibri Light"/>
          <w:sz w:val="23"/>
          <w:szCs w:val="23"/>
        </w:rPr>
        <w:t>surveyed in the research literature:</w:t>
      </w:r>
      <w:r w:rsidRPr="000940CC">
        <w:rPr>
          <w:rFonts w:ascii="Calibri Light" w:eastAsia="Calibri" w:hAnsi="Calibri Light" w:cs="Calibri Light"/>
          <w:sz w:val="23"/>
          <w:szCs w:val="23"/>
        </w:rPr>
        <w:t xml:space="preserve"> nearly 50</w:t>
      </w:r>
      <w:r w:rsidR="00DA4A91">
        <w:rPr>
          <w:rFonts w:ascii="Calibri Light" w:eastAsia="Calibri" w:hAnsi="Calibri Light" w:cs="Calibri Light"/>
          <w:sz w:val="23"/>
          <w:szCs w:val="23"/>
        </w:rPr>
        <w:t xml:space="preserve"> percent</w:t>
      </w:r>
      <w:r w:rsidRPr="000940CC">
        <w:rPr>
          <w:rFonts w:ascii="Calibri Light" w:eastAsia="Calibri" w:hAnsi="Calibri Light" w:cs="Calibri Light"/>
          <w:sz w:val="23"/>
          <w:szCs w:val="23"/>
        </w:rPr>
        <w:t xml:space="preserve"> of</w:t>
      </w:r>
      <w:r w:rsidR="00DA4A91">
        <w:rPr>
          <w:rFonts w:ascii="Calibri Light" w:eastAsia="Calibri" w:hAnsi="Calibri Light" w:cs="Calibri Light"/>
          <w:sz w:val="23"/>
          <w:szCs w:val="23"/>
        </w:rPr>
        <w:t xml:space="preserve"> the</w:t>
      </w:r>
      <w:r w:rsidRPr="000940CC">
        <w:rPr>
          <w:rFonts w:ascii="Calibri Light" w:eastAsia="Calibri" w:hAnsi="Calibri Light" w:cs="Calibri Light"/>
          <w:sz w:val="23"/>
          <w:szCs w:val="23"/>
        </w:rPr>
        <w:t xml:space="preserve"> studies </w:t>
      </w:r>
      <w:r w:rsidR="00DA4A91">
        <w:rPr>
          <w:rFonts w:ascii="Calibri Light" w:eastAsia="Calibri" w:hAnsi="Calibri Light" w:cs="Calibri Light"/>
          <w:sz w:val="23"/>
          <w:szCs w:val="23"/>
        </w:rPr>
        <w:t>focused on</w:t>
      </w:r>
      <w:r w:rsidRPr="000940CC">
        <w:rPr>
          <w:rFonts w:ascii="Calibri Light" w:eastAsia="Calibri" w:hAnsi="Calibri Light" w:cs="Calibri Light"/>
          <w:sz w:val="23"/>
          <w:szCs w:val="23"/>
        </w:rPr>
        <w:t xml:space="preserve"> interventions that spanned the </w:t>
      </w:r>
      <w:r>
        <w:rPr>
          <w:rFonts w:ascii="Calibri Light" w:eastAsia="Calibri" w:hAnsi="Calibri Light" w:cs="Calibri Light"/>
          <w:sz w:val="23"/>
          <w:szCs w:val="23"/>
        </w:rPr>
        <w:t xml:space="preserve">five </w:t>
      </w:r>
      <w:r w:rsidR="00D95573">
        <w:rPr>
          <w:rFonts w:ascii="Calibri Light" w:eastAsia="Calibri" w:hAnsi="Calibri Light" w:cs="Calibri Light"/>
          <w:sz w:val="23"/>
          <w:szCs w:val="23"/>
        </w:rPr>
        <w:t>Practice Domain</w:t>
      </w:r>
      <w:r w:rsidRPr="000940CC">
        <w:rPr>
          <w:rFonts w:ascii="Calibri Light" w:eastAsia="Calibri" w:hAnsi="Calibri Light" w:cs="Calibri Light"/>
          <w:sz w:val="23"/>
          <w:szCs w:val="23"/>
        </w:rPr>
        <w:t>s. Th</w:t>
      </w:r>
      <w:r>
        <w:rPr>
          <w:rFonts w:ascii="Calibri Light" w:eastAsia="Calibri" w:hAnsi="Calibri Light" w:cs="Calibri Light"/>
          <w:sz w:val="23"/>
          <w:szCs w:val="23"/>
        </w:rPr>
        <w:t>is</w:t>
      </w:r>
      <w:r w:rsidRPr="000940CC">
        <w:rPr>
          <w:rFonts w:ascii="Calibri Light" w:eastAsia="Calibri" w:hAnsi="Calibri Light" w:cs="Calibri Light"/>
          <w:sz w:val="23"/>
          <w:szCs w:val="23"/>
        </w:rPr>
        <w:t xml:space="preserve"> reflects the fact that disadvantage is a multidimensional concept</w:t>
      </w:r>
      <w:r w:rsidR="009E438F">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requiring multidimensional solutions. Multidisciplinary approaches were th</w:t>
      </w:r>
      <w:r w:rsidR="00A5235D">
        <w:rPr>
          <w:rFonts w:ascii="Calibri Light" w:eastAsia="Calibri" w:hAnsi="Calibri Light" w:cs="Calibri Light"/>
          <w:sz w:val="23"/>
          <w:szCs w:val="23"/>
        </w:rPr>
        <w:t>us</w:t>
      </w:r>
      <w:r w:rsidRPr="000940CC">
        <w:rPr>
          <w:rFonts w:ascii="Calibri Light" w:eastAsia="Calibri" w:hAnsi="Calibri Light" w:cs="Calibri Light"/>
          <w:sz w:val="23"/>
          <w:szCs w:val="23"/>
        </w:rPr>
        <w:t xml:space="preserve"> common, with their efficacy highlighted</w:t>
      </w:r>
      <w:r>
        <w:rPr>
          <w:rFonts w:ascii="Calibri Light" w:eastAsia="Calibri" w:hAnsi="Calibri Light" w:cs="Calibri Light"/>
          <w:sz w:val="23"/>
          <w:szCs w:val="23"/>
        </w:rPr>
        <w:t xml:space="preserve"> in many studies</w:t>
      </w:r>
      <w:r w:rsidRPr="000940CC">
        <w:rPr>
          <w:rFonts w:ascii="Calibri Light" w:eastAsia="Calibri" w:hAnsi="Calibri Light" w:cs="Calibri Light"/>
          <w:sz w:val="23"/>
          <w:szCs w:val="23"/>
        </w:rPr>
        <w:t xml:space="preserve">. </w:t>
      </w:r>
      <w:r w:rsidR="00DA0763">
        <w:rPr>
          <w:rFonts w:ascii="Calibri Light" w:eastAsia="Calibri" w:hAnsi="Calibri Light" w:cs="Calibri Light"/>
          <w:sz w:val="23"/>
          <w:szCs w:val="23"/>
        </w:rPr>
        <w:t>For example, r</w:t>
      </w:r>
      <w:r w:rsidRPr="000940CC">
        <w:rPr>
          <w:rFonts w:ascii="Calibri Light" w:eastAsia="Calibri" w:hAnsi="Calibri Light" w:cs="Calibri Light"/>
          <w:sz w:val="23"/>
          <w:szCs w:val="23"/>
        </w:rPr>
        <w:t xml:space="preserve">esearchers </w:t>
      </w:r>
      <w:r w:rsidR="00A5235D">
        <w:rPr>
          <w:rFonts w:ascii="Calibri Light" w:eastAsia="Calibri" w:hAnsi="Calibri Light" w:cs="Calibri Light"/>
          <w:sz w:val="23"/>
          <w:szCs w:val="23"/>
        </w:rPr>
        <w:t>looking at</w:t>
      </w:r>
      <w:r w:rsidRPr="000940CC">
        <w:rPr>
          <w:rFonts w:ascii="Calibri Light" w:eastAsia="Calibri" w:hAnsi="Calibri Light" w:cs="Calibri Light"/>
          <w:sz w:val="23"/>
          <w:szCs w:val="23"/>
        </w:rPr>
        <w:t xml:space="preserve"> cross-domain approaches </w:t>
      </w:r>
      <w:r w:rsidR="00A5235D">
        <w:rPr>
          <w:rFonts w:ascii="Calibri Light" w:eastAsia="Calibri" w:hAnsi="Calibri Light" w:cs="Calibri Light"/>
          <w:sz w:val="23"/>
          <w:szCs w:val="23"/>
        </w:rPr>
        <w:t xml:space="preserve">that </w:t>
      </w:r>
      <w:r w:rsidRPr="000940CC">
        <w:rPr>
          <w:rFonts w:ascii="Calibri Light" w:eastAsia="Calibri" w:hAnsi="Calibri Light" w:cs="Calibri Light"/>
          <w:sz w:val="23"/>
          <w:szCs w:val="23"/>
        </w:rPr>
        <w:t>integrat</w:t>
      </w:r>
      <w:r w:rsidR="00A5235D">
        <w:rPr>
          <w:rFonts w:ascii="Calibri Light" w:eastAsia="Calibri" w:hAnsi="Calibri Light" w:cs="Calibri Light"/>
          <w:sz w:val="23"/>
          <w:szCs w:val="23"/>
        </w:rPr>
        <w:t>e</w:t>
      </w:r>
      <w:r w:rsidRPr="000940CC">
        <w:rPr>
          <w:rFonts w:ascii="Calibri Light" w:eastAsia="Calibri" w:hAnsi="Calibri Light" w:cs="Calibri Light"/>
          <w:sz w:val="23"/>
          <w:szCs w:val="23"/>
        </w:rPr>
        <w:t xml:space="preserve"> public health and housing policy saw these initiatives as</w:t>
      </w:r>
      <w:r w:rsidR="00DA0763">
        <w:rPr>
          <w:rFonts w:ascii="Calibri Light" w:eastAsia="Calibri" w:hAnsi="Calibri Light" w:cs="Calibri Light"/>
          <w:sz w:val="23"/>
          <w:szCs w:val="23"/>
        </w:rPr>
        <w:t xml:space="preserve"> potentially</w:t>
      </w:r>
      <w:r w:rsidRPr="000940CC">
        <w:rPr>
          <w:rFonts w:ascii="Calibri Light" w:eastAsia="Calibri" w:hAnsi="Calibri Light" w:cs="Calibri Light"/>
          <w:sz w:val="23"/>
          <w:szCs w:val="23"/>
        </w:rPr>
        <w:t xml:space="preserve"> contribut</w:t>
      </w:r>
      <w:r w:rsidR="00DA0763">
        <w:rPr>
          <w:rFonts w:ascii="Calibri Light" w:eastAsia="Calibri" w:hAnsi="Calibri Light" w:cs="Calibri Light"/>
          <w:sz w:val="23"/>
          <w:szCs w:val="23"/>
        </w:rPr>
        <w:t>ing</w:t>
      </w:r>
      <w:r w:rsidRPr="000940CC">
        <w:rPr>
          <w:rFonts w:ascii="Calibri Light" w:eastAsia="Calibri" w:hAnsi="Calibri Light" w:cs="Calibri Light"/>
          <w:sz w:val="23"/>
          <w:szCs w:val="23"/>
        </w:rPr>
        <w:t xml:space="preserve"> to the </w:t>
      </w:r>
      <w:r w:rsidR="00DA0763">
        <w:rPr>
          <w:rFonts w:ascii="Calibri Light" w:eastAsia="Calibri" w:hAnsi="Calibri Light" w:cs="Calibri Light"/>
          <w:sz w:val="23"/>
          <w:szCs w:val="23"/>
        </w:rPr>
        <w:t>“</w:t>
      </w:r>
      <w:r w:rsidRPr="000940CC">
        <w:rPr>
          <w:rFonts w:ascii="Calibri Light" w:eastAsia="Calibri" w:hAnsi="Calibri Light" w:cs="Calibri Light"/>
          <w:sz w:val="23"/>
          <w:szCs w:val="23"/>
        </w:rPr>
        <w:t>triple win</w:t>
      </w:r>
      <w:r w:rsidR="00DA0763">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of health and well-being, equity, and environmental sustainability. </w:t>
      </w:r>
      <w:r w:rsidR="009E438F">
        <w:rPr>
          <w:rFonts w:ascii="Calibri Light" w:eastAsia="Calibri" w:hAnsi="Calibri Light" w:cs="Calibri Light"/>
          <w:sz w:val="23"/>
          <w:szCs w:val="23"/>
        </w:rPr>
        <w:t>The</w:t>
      </w:r>
      <w:r w:rsidR="00631A0B">
        <w:rPr>
          <w:rFonts w:ascii="Calibri Light" w:eastAsia="Calibri" w:hAnsi="Calibri Light" w:cs="Calibri Light"/>
          <w:sz w:val="23"/>
          <w:szCs w:val="23"/>
        </w:rPr>
        <w:t xml:space="preserve"> </w:t>
      </w:r>
      <w:r w:rsidRPr="000940CC">
        <w:rPr>
          <w:rFonts w:ascii="Calibri Light" w:eastAsia="Calibri" w:hAnsi="Calibri Light" w:cs="Calibri Light"/>
          <w:sz w:val="23"/>
          <w:szCs w:val="23"/>
        </w:rPr>
        <w:t xml:space="preserve">initiatives </w:t>
      </w:r>
      <w:r w:rsidR="004A7C7B">
        <w:rPr>
          <w:rFonts w:ascii="Calibri Light" w:eastAsia="Calibri" w:hAnsi="Calibri Light" w:cs="Calibri Light"/>
          <w:sz w:val="23"/>
          <w:szCs w:val="23"/>
        </w:rPr>
        <w:t xml:space="preserve">featured commonly </w:t>
      </w:r>
      <w:r w:rsidR="009E438F">
        <w:rPr>
          <w:rFonts w:ascii="Calibri Light" w:eastAsia="Calibri" w:hAnsi="Calibri Light" w:cs="Calibri Light"/>
          <w:sz w:val="23"/>
          <w:szCs w:val="23"/>
        </w:rPr>
        <w:t xml:space="preserve">in these prior studies </w:t>
      </w:r>
      <w:r w:rsidR="00631A0B">
        <w:rPr>
          <w:rFonts w:ascii="Calibri Light" w:eastAsia="Calibri" w:hAnsi="Calibri Light" w:cs="Calibri Light"/>
          <w:sz w:val="23"/>
          <w:szCs w:val="23"/>
        </w:rPr>
        <w:t>had a</w:t>
      </w:r>
      <w:r w:rsidRPr="000940CC">
        <w:rPr>
          <w:rFonts w:ascii="Calibri Light" w:eastAsia="Calibri" w:hAnsi="Calibri Light" w:cs="Calibri Light"/>
          <w:sz w:val="23"/>
          <w:szCs w:val="23"/>
        </w:rPr>
        <w:t xml:space="preserve"> singular or combined focus on community engagement, neighbourhood renewal, community development, affordable housing, and mixed-income development</w:t>
      </w:r>
      <w:r w:rsidR="004A7C7B">
        <w:rPr>
          <w:rFonts w:ascii="Calibri Light" w:eastAsia="Calibri" w:hAnsi="Calibri Light" w:cs="Calibri Light"/>
          <w:sz w:val="23"/>
          <w:szCs w:val="23"/>
        </w:rPr>
        <w:t>. S</w:t>
      </w:r>
      <w:r w:rsidRPr="000940CC">
        <w:rPr>
          <w:rFonts w:ascii="Calibri Light" w:eastAsia="Calibri" w:hAnsi="Calibri Light" w:cs="Calibri Light"/>
          <w:sz w:val="23"/>
          <w:szCs w:val="23"/>
        </w:rPr>
        <w:t>uccess</w:t>
      </w:r>
      <w:r w:rsidR="004A7C7B">
        <w:rPr>
          <w:rFonts w:ascii="Calibri Light" w:eastAsia="Calibri" w:hAnsi="Calibri Light" w:cs="Calibri Light"/>
          <w:sz w:val="23"/>
          <w:szCs w:val="23"/>
        </w:rPr>
        <w:t xml:space="preserve"> was largely</w:t>
      </w:r>
      <w:r w:rsidRPr="000940CC">
        <w:rPr>
          <w:rFonts w:ascii="Calibri Light" w:eastAsia="Calibri" w:hAnsi="Calibri Light" w:cs="Calibri Light"/>
          <w:sz w:val="23"/>
          <w:szCs w:val="23"/>
        </w:rPr>
        <w:t xml:space="preserve"> </w:t>
      </w:r>
      <w:r w:rsidR="006F7F88" w:rsidRPr="000940CC">
        <w:rPr>
          <w:rFonts w:ascii="Calibri Light" w:eastAsia="Calibri" w:hAnsi="Calibri Light" w:cs="Calibri Light"/>
          <w:sz w:val="23"/>
          <w:szCs w:val="23"/>
        </w:rPr>
        <w:t>dependent</w:t>
      </w:r>
      <w:r w:rsidRPr="000940CC">
        <w:rPr>
          <w:rFonts w:ascii="Calibri Light" w:eastAsia="Calibri" w:hAnsi="Calibri Light" w:cs="Calibri Light"/>
          <w:sz w:val="23"/>
          <w:szCs w:val="23"/>
        </w:rPr>
        <w:t xml:space="preserve"> </w:t>
      </w:r>
      <w:r w:rsidR="004A7C7B">
        <w:rPr>
          <w:rFonts w:ascii="Calibri Light" w:eastAsia="Calibri" w:hAnsi="Calibri Light" w:cs="Calibri Light"/>
          <w:sz w:val="23"/>
          <w:szCs w:val="23"/>
        </w:rPr>
        <w:t>on</w:t>
      </w:r>
      <w:r w:rsidRPr="000940CC">
        <w:rPr>
          <w:rFonts w:ascii="Calibri Light" w:eastAsia="Calibri" w:hAnsi="Calibri Light" w:cs="Calibri Light"/>
          <w:sz w:val="23"/>
          <w:szCs w:val="23"/>
        </w:rPr>
        <w:t xml:space="preserve"> the quality of </w:t>
      </w:r>
      <w:r w:rsidR="004A7C7B">
        <w:rPr>
          <w:rFonts w:ascii="Calibri Light" w:eastAsia="Calibri" w:hAnsi="Calibri Light" w:cs="Calibri Light"/>
          <w:sz w:val="23"/>
          <w:szCs w:val="23"/>
        </w:rPr>
        <w:t xml:space="preserve">the </w:t>
      </w:r>
      <w:r w:rsidRPr="000940CC">
        <w:rPr>
          <w:rFonts w:ascii="Calibri Light" w:eastAsia="Calibri" w:hAnsi="Calibri Light" w:cs="Calibri Light"/>
          <w:sz w:val="23"/>
          <w:szCs w:val="23"/>
        </w:rPr>
        <w:t xml:space="preserve">community engagement </w:t>
      </w:r>
      <w:r w:rsidR="004A7C7B">
        <w:rPr>
          <w:rFonts w:ascii="Calibri Light" w:eastAsia="Calibri" w:hAnsi="Calibri Light" w:cs="Calibri Light"/>
          <w:sz w:val="23"/>
          <w:szCs w:val="23"/>
        </w:rPr>
        <w:t xml:space="preserve">approach </w:t>
      </w:r>
      <w:r w:rsidRPr="000940CC">
        <w:rPr>
          <w:rFonts w:ascii="Calibri Light" w:eastAsia="Calibri" w:hAnsi="Calibri Light" w:cs="Calibri Light"/>
          <w:sz w:val="23"/>
          <w:szCs w:val="23"/>
        </w:rPr>
        <w:t>used</w:t>
      </w:r>
      <w:r w:rsidR="004A7C7B">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and the </w:t>
      </w:r>
      <w:r>
        <w:rPr>
          <w:rFonts w:ascii="Calibri Light" w:eastAsia="Calibri" w:hAnsi="Calibri Light" w:cs="Calibri Light"/>
          <w:sz w:val="23"/>
          <w:szCs w:val="23"/>
        </w:rPr>
        <w:t>quality</w:t>
      </w:r>
      <w:r w:rsidRPr="000940CC">
        <w:rPr>
          <w:rFonts w:ascii="Calibri Light" w:eastAsia="Calibri" w:hAnsi="Calibri Light" w:cs="Calibri Light"/>
          <w:sz w:val="23"/>
          <w:szCs w:val="23"/>
        </w:rPr>
        <w:t xml:space="preserve"> of partnerships </w:t>
      </w:r>
      <w:r>
        <w:rPr>
          <w:rFonts w:ascii="Calibri Light" w:eastAsia="Calibri" w:hAnsi="Calibri Light" w:cs="Calibri Light"/>
          <w:sz w:val="23"/>
          <w:szCs w:val="23"/>
        </w:rPr>
        <w:t>between</w:t>
      </w:r>
      <w:r w:rsidRPr="000940CC">
        <w:rPr>
          <w:rFonts w:ascii="Calibri Light" w:eastAsia="Calibri" w:hAnsi="Calibri Light" w:cs="Calibri Light"/>
          <w:sz w:val="23"/>
          <w:szCs w:val="23"/>
        </w:rPr>
        <w:t xml:space="preserve"> stakeholders, including the effectiveness of communication between partners.</w:t>
      </w:r>
    </w:p>
    <w:p w14:paraId="362700D5" w14:textId="5B73BB58" w:rsidR="00697D3F" w:rsidRPr="000940CC" w:rsidRDefault="00202336" w:rsidP="009B2FA7">
      <w:pPr>
        <w:spacing w:line="276" w:lineRule="auto"/>
        <w:rPr>
          <w:rFonts w:ascii="Calibri Light" w:eastAsia="Calibri" w:hAnsi="Calibri Light" w:cs="Calibri Light"/>
          <w:sz w:val="23"/>
          <w:szCs w:val="23"/>
        </w:rPr>
      </w:pPr>
      <w:r w:rsidRPr="0064457A">
        <w:rPr>
          <w:rFonts w:ascii="Calibri Light" w:eastAsia="Calibri" w:hAnsi="Calibri Light" w:cs="Calibri Light"/>
          <w:sz w:val="23"/>
          <w:szCs w:val="23"/>
        </w:rPr>
        <w:t xml:space="preserve">In </w:t>
      </w:r>
      <w:r w:rsidR="00A23E71" w:rsidRPr="0064457A">
        <w:rPr>
          <w:rFonts w:ascii="Calibri Light" w:eastAsia="Calibri" w:hAnsi="Calibri Light" w:cs="Calibri Light"/>
          <w:sz w:val="23"/>
          <w:szCs w:val="23"/>
        </w:rPr>
        <w:t>Section 5</w:t>
      </w:r>
      <w:r w:rsidR="007E0137">
        <w:rPr>
          <w:rFonts w:ascii="Calibri Light" w:eastAsia="Calibri" w:hAnsi="Calibri Light" w:cs="Calibri Light"/>
          <w:sz w:val="23"/>
          <w:szCs w:val="23"/>
        </w:rPr>
        <w:t xml:space="preserve"> (Part A</w:t>
      </w:r>
      <w:r w:rsidR="00A23E71" w:rsidRPr="0064457A">
        <w:rPr>
          <w:rFonts w:ascii="Calibri Light" w:eastAsia="Calibri" w:hAnsi="Calibri Light" w:cs="Calibri Light"/>
          <w:sz w:val="23"/>
          <w:szCs w:val="23"/>
        </w:rPr>
        <w:t xml:space="preserve">) </w:t>
      </w:r>
      <w:r w:rsidRPr="0064457A">
        <w:rPr>
          <w:rFonts w:ascii="Calibri Light" w:eastAsia="Calibri" w:hAnsi="Calibri Light" w:cs="Calibri Light"/>
          <w:sz w:val="23"/>
          <w:szCs w:val="23"/>
        </w:rPr>
        <w:t xml:space="preserve">we </w:t>
      </w:r>
      <w:r w:rsidR="00A23E71" w:rsidRPr="0064457A">
        <w:rPr>
          <w:rFonts w:ascii="Calibri Light" w:eastAsia="Calibri" w:hAnsi="Calibri Light" w:cs="Calibri Light"/>
          <w:sz w:val="23"/>
          <w:szCs w:val="23"/>
        </w:rPr>
        <w:t>present 25 Case S</w:t>
      </w:r>
      <w:r w:rsidR="0073650F" w:rsidRPr="0064457A">
        <w:rPr>
          <w:rFonts w:ascii="Calibri Light" w:eastAsia="Calibri" w:hAnsi="Calibri Light" w:cs="Calibri Light"/>
          <w:sz w:val="23"/>
          <w:szCs w:val="23"/>
        </w:rPr>
        <w:t>t</w:t>
      </w:r>
      <w:r w:rsidR="00A23E71" w:rsidRPr="0064457A">
        <w:rPr>
          <w:rFonts w:ascii="Calibri Light" w:eastAsia="Calibri" w:hAnsi="Calibri Light" w:cs="Calibri Light"/>
          <w:sz w:val="23"/>
          <w:szCs w:val="23"/>
        </w:rPr>
        <w:t xml:space="preserve">udies </w:t>
      </w:r>
      <w:r w:rsidR="002577D4" w:rsidRPr="0064457A">
        <w:rPr>
          <w:rFonts w:ascii="Calibri Light" w:eastAsia="Calibri" w:hAnsi="Calibri Light" w:cs="Calibri Light"/>
          <w:sz w:val="23"/>
          <w:szCs w:val="23"/>
        </w:rPr>
        <w:t>profiling</w:t>
      </w:r>
      <w:r w:rsidRPr="0064457A">
        <w:rPr>
          <w:rFonts w:ascii="Calibri Light" w:eastAsia="Calibri" w:hAnsi="Calibri Light" w:cs="Calibri Light"/>
          <w:sz w:val="23"/>
          <w:szCs w:val="23"/>
        </w:rPr>
        <w:t xml:space="preserve"> successful</w:t>
      </w:r>
      <w:r w:rsidR="0070385C" w:rsidRPr="0064457A">
        <w:rPr>
          <w:rFonts w:ascii="Calibri Light" w:eastAsia="Calibri" w:hAnsi="Calibri Light" w:cs="Calibri Light"/>
          <w:sz w:val="23"/>
          <w:szCs w:val="23"/>
        </w:rPr>
        <w:t xml:space="preserve"> and</w:t>
      </w:r>
      <w:r w:rsidRPr="0064457A">
        <w:rPr>
          <w:rFonts w:ascii="Calibri Light" w:eastAsia="Calibri" w:hAnsi="Calibri Light" w:cs="Calibri Light"/>
          <w:sz w:val="23"/>
          <w:szCs w:val="23"/>
        </w:rPr>
        <w:t xml:space="preserve"> </w:t>
      </w:r>
      <w:r w:rsidR="0070385C" w:rsidRPr="0064457A">
        <w:rPr>
          <w:rFonts w:ascii="Calibri Light" w:eastAsia="Calibri" w:hAnsi="Calibri Light" w:cs="Calibri Light"/>
          <w:sz w:val="23"/>
          <w:szCs w:val="23"/>
        </w:rPr>
        <w:t xml:space="preserve">innovative </w:t>
      </w:r>
      <w:r w:rsidRPr="0064457A">
        <w:rPr>
          <w:rFonts w:ascii="Calibri Light" w:eastAsia="Calibri" w:hAnsi="Calibri Light" w:cs="Calibri Light"/>
          <w:sz w:val="23"/>
          <w:szCs w:val="23"/>
        </w:rPr>
        <w:t xml:space="preserve">programs </w:t>
      </w:r>
      <w:r w:rsidR="0070385C" w:rsidRPr="0064457A">
        <w:rPr>
          <w:rFonts w:ascii="Calibri Light" w:eastAsia="Calibri" w:hAnsi="Calibri Light" w:cs="Calibri Light"/>
          <w:sz w:val="23"/>
          <w:szCs w:val="23"/>
        </w:rPr>
        <w:t xml:space="preserve">designed </w:t>
      </w:r>
      <w:r w:rsidRPr="0064457A">
        <w:rPr>
          <w:rFonts w:ascii="Calibri Light" w:eastAsia="Calibri" w:hAnsi="Calibri Light" w:cs="Calibri Light"/>
          <w:sz w:val="23"/>
          <w:szCs w:val="23"/>
        </w:rPr>
        <w:t>to address socioeconomic and locational disadvantage</w:t>
      </w:r>
      <w:r w:rsidR="0070385C" w:rsidRPr="0064457A">
        <w:rPr>
          <w:rFonts w:ascii="Calibri Light" w:eastAsia="Calibri" w:hAnsi="Calibri Light" w:cs="Calibri Light"/>
          <w:sz w:val="23"/>
          <w:szCs w:val="23"/>
        </w:rPr>
        <w:t>, both within Australia and overseas</w:t>
      </w:r>
      <w:r w:rsidRPr="0064457A">
        <w:rPr>
          <w:rFonts w:ascii="Calibri Light" w:eastAsia="Calibri" w:hAnsi="Calibri Light" w:cs="Calibri Light"/>
          <w:sz w:val="23"/>
          <w:szCs w:val="23"/>
        </w:rPr>
        <w:t>.</w:t>
      </w:r>
      <w:r w:rsidR="0070385C" w:rsidRPr="0064457A">
        <w:rPr>
          <w:rFonts w:ascii="Calibri Light" w:eastAsia="Calibri" w:hAnsi="Calibri Light" w:cs="Calibri Light"/>
          <w:sz w:val="23"/>
          <w:szCs w:val="23"/>
        </w:rPr>
        <w:t xml:space="preserve"> </w:t>
      </w:r>
      <w:r w:rsidR="00853E8D">
        <w:rPr>
          <w:rFonts w:ascii="Calibri Light" w:eastAsia="Calibri" w:hAnsi="Calibri Light" w:cs="Calibri Light"/>
          <w:sz w:val="23"/>
          <w:szCs w:val="23"/>
        </w:rPr>
        <w:t>Here again, we address</w:t>
      </w:r>
      <w:r w:rsidR="0064457A">
        <w:rPr>
          <w:rFonts w:ascii="Calibri Light" w:eastAsia="Calibri" w:hAnsi="Calibri Light" w:cs="Calibri Light"/>
          <w:sz w:val="23"/>
          <w:szCs w:val="23"/>
        </w:rPr>
        <w:t xml:space="preserve"> </w:t>
      </w:r>
      <w:r w:rsidR="0064457A" w:rsidRPr="0064457A">
        <w:rPr>
          <w:rFonts w:ascii="Calibri Light" w:eastAsia="Calibri" w:hAnsi="Calibri Light" w:cs="Calibri Light"/>
          <w:sz w:val="23"/>
          <w:szCs w:val="23"/>
        </w:rPr>
        <w:t xml:space="preserve">the second </w:t>
      </w:r>
      <w:r w:rsidR="0064457A" w:rsidRPr="00465319">
        <w:rPr>
          <w:rFonts w:ascii="Calibri Light" w:eastAsia="Calibri" w:hAnsi="Calibri Light" w:cs="Calibri Light"/>
          <w:sz w:val="23"/>
          <w:szCs w:val="23"/>
        </w:rPr>
        <w:t>research question (What interventions have been used globally to address these social and economic factors to improve community outcomes?)</w:t>
      </w:r>
      <w:r w:rsidR="00853E8D">
        <w:rPr>
          <w:rFonts w:ascii="Calibri Light" w:eastAsia="Calibri" w:hAnsi="Calibri Light" w:cs="Calibri Light"/>
          <w:sz w:val="23"/>
          <w:szCs w:val="23"/>
        </w:rPr>
        <w:t>, this time</w:t>
      </w:r>
      <w:r w:rsidR="0064457A" w:rsidRPr="00465319">
        <w:rPr>
          <w:rFonts w:ascii="Calibri Light" w:eastAsia="Calibri" w:hAnsi="Calibri Light" w:cs="Calibri Light"/>
          <w:sz w:val="23"/>
          <w:szCs w:val="23"/>
        </w:rPr>
        <w:t xml:space="preserve"> by outlining some factors that can influence program success (see p. 86–87). B</w:t>
      </w:r>
      <w:r w:rsidR="00B7459B" w:rsidRPr="00465319">
        <w:rPr>
          <w:rFonts w:ascii="Calibri Light" w:eastAsia="Calibri" w:hAnsi="Calibri Light" w:cs="Calibri Light"/>
          <w:sz w:val="23"/>
          <w:szCs w:val="23"/>
        </w:rPr>
        <w:t>ased on our</w:t>
      </w:r>
      <w:r w:rsidR="003357A7" w:rsidRPr="00465319">
        <w:rPr>
          <w:rFonts w:ascii="Calibri Light" w:eastAsia="Calibri" w:hAnsi="Calibri Light" w:cs="Calibri Light"/>
          <w:sz w:val="23"/>
          <w:szCs w:val="23"/>
        </w:rPr>
        <w:t xml:space="preserve"> background research and analysis </w:t>
      </w:r>
      <w:r w:rsidR="0037348B">
        <w:rPr>
          <w:rFonts w:ascii="Calibri Light" w:eastAsia="Calibri" w:hAnsi="Calibri Light" w:cs="Calibri Light"/>
          <w:sz w:val="23"/>
          <w:szCs w:val="23"/>
        </w:rPr>
        <w:t>for these</w:t>
      </w:r>
      <w:r w:rsidR="003357A7" w:rsidRPr="00465319">
        <w:rPr>
          <w:rFonts w:ascii="Calibri Light" w:eastAsia="Calibri" w:hAnsi="Calibri Light" w:cs="Calibri Light"/>
          <w:sz w:val="23"/>
          <w:szCs w:val="23"/>
        </w:rPr>
        <w:t xml:space="preserve"> Case Studies,</w:t>
      </w:r>
      <w:r w:rsidR="00B7459B" w:rsidRPr="00465319">
        <w:rPr>
          <w:rFonts w:ascii="Calibri Light" w:eastAsia="Calibri" w:hAnsi="Calibri Light" w:cs="Calibri Light"/>
          <w:sz w:val="23"/>
          <w:szCs w:val="23"/>
        </w:rPr>
        <w:t xml:space="preserve"> we found that effective initiatives</w:t>
      </w:r>
      <w:r w:rsidR="003357A7" w:rsidRPr="00465319">
        <w:rPr>
          <w:rFonts w:ascii="Calibri Light" w:eastAsia="Calibri" w:hAnsi="Calibri Light" w:cs="Calibri Light"/>
          <w:sz w:val="23"/>
          <w:szCs w:val="23"/>
        </w:rPr>
        <w:t>:</w:t>
      </w:r>
      <w:r w:rsidR="00B7459B" w:rsidRPr="00465319">
        <w:rPr>
          <w:rFonts w:ascii="Calibri Light" w:eastAsia="Calibri" w:hAnsi="Calibri Light" w:cs="Calibri Light"/>
          <w:sz w:val="23"/>
          <w:szCs w:val="23"/>
        </w:rPr>
        <w:t xml:space="preserve"> often ha</w:t>
      </w:r>
      <w:r w:rsidR="003357A7" w:rsidRPr="00465319">
        <w:rPr>
          <w:rFonts w:ascii="Calibri Light" w:eastAsia="Calibri" w:hAnsi="Calibri Light" w:cs="Calibri Light"/>
          <w:sz w:val="23"/>
          <w:szCs w:val="23"/>
        </w:rPr>
        <w:t>ve</w:t>
      </w:r>
      <w:r w:rsidR="00B7459B" w:rsidRPr="00465319">
        <w:rPr>
          <w:rFonts w:ascii="Calibri Light" w:eastAsia="Calibri" w:hAnsi="Calibri Light" w:cs="Calibri Light"/>
          <w:sz w:val="23"/>
          <w:szCs w:val="23"/>
        </w:rPr>
        <w:t xml:space="preserve"> a multi-pronged focus, involving cross-sector collaboration</w:t>
      </w:r>
      <w:r w:rsidR="003357A7" w:rsidRPr="00465319">
        <w:rPr>
          <w:rFonts w:ascii="Calibri Light" w:eastAsia="Calibri" w:hAnsi="Calibri Light" w:cs="Calibri Light"/>
          <w:sz w:val="23"/>
          <w:szCs w:val="23"/>
        </w:rPr>
        <w:t>,</w:t>
      </w:r>
      <w:r w:rsidR="00B7459B" w:rsidRPr="00465319">
        <w:rPr>
          <w:rFonts w:ascii="Calibri Light" w:eastAsia="Calibri" w:hAnsi="Calibri Light" w:cs="Calibri Light"/>
          <w:sz w:val="23"/>
          <w:szCs w:val="23"/>
        </w:rPr>
        <w:t xml:space="preserve"> and spanning more than one </w:t>
      </w:r>
      <w:r w:rsidR="00D95573">
        <w:rPr>
          <w:rFonts w:ascii="Calibri Light" w:eastAsia="Calibri" w:hAnsi="Calibri Light" w:cs="Calibri Light"/>
          <w:sz w:val="23"/>
          <w:szCs w:val="23"/>
        </w:rPr>
        <w:t>Practice Domain</w:t>
      </w:r>
      <w:r w:rsidR="003357A7" w:rsidRPr="00465319">
        <w:rPr>
          <w:rFonts w:ascii="Calibri Light" w:eastAsia="Calibri" w:hAnsi="Calibri Light" w:cs="Calibri Light"/>
          <w:sz w:val="23"/>
          <w:szCs w:val="23"/>
        </w:rPr>
        <w:t>;</w:t>
      </w:r>
      <w:r w:rsidR="00465319" w:rsidRPr="00465319">
        <w:rPr>
          <w:rFonts w:ascii="Calibri Light" w:eastAsia="Calibri" w:hAnsi="Calibri Light" w:cs="Calibri Light"/>
          <w:sz w:val="23"/>
          <w:szCs w:val="23"/>
        </w:rPr>
        <w:t xml:space="preserve"> support and respect community members to play an active role in identifying issues, solving problems, and shaping and evaluating programs; are based on sound community engagement strategies, including co-design methods, that </w:t>
      </w:r>
      <w:r w:rsidR="00465319" w:rsidRPr="00465319">
        <w:rPr>
          <w:rFonts w:ascii="Calibri Light" w:eastAsia="Calibri" w:hAnsi="Calibri Light" w:cs="Calibri Light"/>
          <w:sz w:val="23"/>
          <w:szCs w:val="23"/>
        </w:rPr>
        <w:lastRenderedPageBreak/>
        <w:t>are genuinely participatory, respectful, empowering, and inclusive; recognise, build on, and celebrate existing community assets, strengths, knowledge, and skills; are overseen by a highly capable lead agency with strong local connections; involve effective partnerships, sound governance, and relationships of trust; are adequately funded and resourced, with generous timeframes and workable evaluation methods; enable holistic thinking and program flexibility</w:t>
      </w:r>
      <w:r w:rsidR="00465319">
        <w:rPr>
          <w:rFonts w:ascii="Calibri Light" w:eastAsia="Calibri" w:hAnsi="Calibri Light" w:cs="Calibri Light"/>
          <w:sz w:val="23"/>
          <w:szCs w:val="23"/>
        </w:rPr>
        <w:t xml:space="preserve">; </w:t>
      </w:r>
      <w:r w:rsidR="00465319" w:rsidRPr="00465319">
        <w:rPr>
          <w:rFonts w:ascii="Calibri Light" w:eastAsia="Calibri" w:hAnsi="Calibri Light" w:cs="Calibri Light"/>
          <w:sz w:val="23"/>
          <w:szCs w:val="23"/>
        </w:rPr>
        <w:t>are connected to broader socioeconomic contexts, including local</w:t>
      </w:r>
      <w:r w:rsidR="00465319">
        <w:rPr>
          <w:rFonts w:ascii="Calibri Light" w:eastAsia="Calibri" w:hAnsi="Calibri Light" w:cs="Calibri Light"/>
          <w:sz w:val="23"/>
          <w:szCs w:val="23"/>
        </w:rPr>
        <w:t>, regional,</w:t>
      </w:r>
      <w:r w:rsidR="00465319" w:rsidRPr="00465319">
        <w:rPr>
          <w:rFonts w:ascii="Calibri Light" w:eastAsia="Calibri" w:hAnsi="Calibri Light" w:cs="Calibri Light"/>
          <w:sz w:val="23"/>
          <w:szCs w:val="23"/>
        </w:rPr>
        <w:t xml:space="preserve"> and national policy.</w:t>
      </w:r>
    </w:p>
    <w:p w14:paraId="124FF930" w14:textId="2947F87A" w:rsidR="00500D72" w:rsidRDefault="00853E8D" w:rsidP="009B2FA7">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 xml:space="preserve">On completing </w:t>
      </w:r>
      <w:proofErr w:type="gramStart"/>
      <w:r>
        <w:rPr>
          <w:rFonts w:ascii="Calibri Light" w:eastAsia="Calibri" w:hAnsi="Calibri Light" w:cs="Calibri Light"/>
          <w:sz w:val="23"/>
          <w:szCs w:val="23"/>
        </w:rPr>
        <w:t>Part</w:t>
      </w:r>
      <w:proofErr w:type="gramEnd"/>
      <w:r>
        <w:rPr>
          <w:rFonts w:ascii="Calibri Light" w:eastAsia="Calibri" w:hAnsi="Calibri Light" w:cs="Calibri Light"/>
          <w:sz w:val="23"/>
          <w:szCs w:val="23"/>
        </w:rPr>
        <w:t xml:space="preserve"> A, we commenced </w:t>
      </w:r>
      <w:r w:rsidR="00443D64">
        <w:rPr>
          <w:rFonts w:ascii="Calibri Light" w:eastAsia="Calibri" w:hAnsi="Calibri Light" w:cs="Calibri Light"/>
          <w:sz w:val="23"/>
          <w:szCs w:val="23"/>
        </w:rPr>
        <w:t xml:space="preserve">research for </w:t>
      </w:r>
      <w:r w:rsidR="00C554CA">
        <w:rPr>
          <w:rFonts w:ascii="Calibri Light" w:eastAsia="Calibri" w:hAnsi="Calibri Light" w:cs="Calibri Light"/>
          <w:sz w:val="23"/>
          <w:szCs w:val="23"/>
        </w:rPr>
        <w:t>Part B</w:t>
      </w:r>
      <w:r w:rsidR="00443D64">
        <w:rPr>
          <w:rFonts w:ascii="Calibri Light" w:eastAsia="Calibri" w:hAnsi="Calibri Light" w:cs="Calibri Light"/>
          <w:sz w:val="23"/>
          <w:szCs w:val="23"/>
        </w:rPr>
        <w:t>, which</w:t>
      </w:r>
      <w:r>
        <w:rPr>
          <w:rFonts w:ascii="Calibri Light" w:eastAsia="Calibri" w:hAnsi="Calibri Light" w:cs="Calibri Light"/>
          <w:sz w:val="23"/>
          <w:szCs w:val="23"/>
        </w:rPr>
        <w:t xml:space="preserve"> </w:t>
      </w:r>
      <w:r w:rsidR="00E2525D">
        <w:rPr>
          <w:rFonts w:ascii="Calibri Light" w:eastAsia="Calibri" w:hAnsi="Calibri Light" w:cs="Calibri Light"/>
          <w:sz w:val="23"/>
          <w:szCs w:val="23"/>
        </w:rPr>
        <w:t>comprise</w:t>
      </w:r>
      <w:r>
        <w:rPr>
          <w:rFonts w:ascii="Calibri Light" w:eastAsia="Calibri" w:hAnsi="Calibri Light" w:cs="Calibri Light"/>
          <w:sz w:val="23"/>
          <w:szCs w:val="23"/>
        </w:rPr>
        <w:t>s</w:t>
      </w:r>
      <w:r w:rsidR="00E2525D">
        <w:rPr>
          <w:rFonts w:ascii="Calibri Light" w:eastAsia="Calibri" w:hAnsi="Calibri Light" w:cs="Calibri Light"/>
          <w:sz w:val="23"/>
          <w:szCs w:val="23"/>
        </w:rPr>
        <w:t xml:space="preserve"> a</w:t>
      </w:r>
      <w:r w:rsidR="00E729AD">
        <w:rPr>
          <w:rFonts w:ascii="Calibri Light" w:eastAsia="Calibri" w:hAnsi="Calibri Light" w:cs="Calibri Light"/>
          <w:sz w:val="23"/>
          <w:szCs w:val="23"/>
        </w:rPr>
        <w:t xml:space="preserve"> </w:t>
      </w:r>
      <w:r w:rsidR="009F58A3">
        <w:rPr>
          <w:rFonts w:ascii="Calibri Light" w:eastAsia="Calibri" w:hAnsi="Calibri Light" w:cs="Calibri Light"/>
          <w:sz w:val="23"/>
          <w:szCs w:val="23"/>
        </w:rPr>
        <w:t>COVID-19 Impact Study</w:t>
      </w:r>
      <w:r w:rsidR="00C554CA">
        <w:rPr>
          <w:rFonts w:ascii="Calibri Light" w:eastAsia="Calibri" w:hAnsi="Calibri Light" w:cs="Calibri Light"/>
          <w:sz w:val="23"/>
          <w:szCs w:val="23"/>
        </w:rPr>
        <w:t xml:space="preserve">. </w:t>
      </w:r>
      <w:r w:rsidR="00CE723B">
        <w:rPr>
          <w:rFonts w:ascii="Calibri Light" w:eastAsia="Calibri" w:hAnsi="Calibri Light" w:cs="Calibri Light"/>
          <w:sz w:val="23"/>
          <w:szCs w:val="23"/>
        </w:rPr>
        <w:t>Here we</w:t>
      </w:r>
      <w:r w:rsidR="009F58A3">
        <w:rPr>
          <w:rFonts w:ascii="Calibri Light" w:eastAsia="Calibri" w:hAnsi="Calibri Light" w:cs="Calibri Light"/>
          <w:sz w:val="23"/>
          <w:szCs w:val="23"/>
        </w:rPr>
        <w:t xml:space="preserve"> address</w:t>
      </w:r>
      <w:r w:rsidR="00F00E3D" w:rsidRPr="000940CC">
        <w:rPr>
          <w:rFonts w:ascii="Calibri Light" w:eastAsia="Calibri" w:hAnsi="Calibri Light" w:cs="Calibri Light"/>
          <w:sz w:val="23"/>
          <w:szCs w:val="23"/>
        </w:rPr>
        <w:t xml:space="preserve"> three further </w:t>
      </w:r>
      <w:r w:rsidR="00500D72">
        <w:rPr>
          <w:rFonts w:ascii="Calibri Light" w:eastAsia="Calibri" w:hAnsi="Calibri Light" w:cs="Calibri Light"/>
          <w:sz w:val="23"/>
          <w:szCs w:val="23"/>
        </w:rPr>
        <w:t xml:space="preserve">research </w:t>
      </w:r>
      <w:r w:rsidR="00F00E3D" w:rsidRPr="000940CC">
        <w:rPr>
          <w:rFonts w:ascii="Calibri Light" w:eastAsia="Calibri" w:hAnsi="Calibri Light" w:cs="Calibri Light"/>
          <w:sz w:val="23"/>
          <w:szCs w:val="23"/>
        </w:rPr>
        <w:t>questions:</w:t>
      </w:r>
    </w:p>
    <w:p w14:paraId="6A4373C3" w14:textId="4DC4F215" w:rsidR="00500D72" w:rsidRDefault="00CE723B" w:rsidP="00500D72">
      <w:pPr>
        <w:pStyle w:val="ListParagraph"/>
        <w:numPr>
          <w:ilvl w:val="0"/>
          <w:numId w:val="97"/>
        </w:numPr>
        <w:spacing w:line="276" w:lineRule="auto"/>
        <w:rPr>
          <w:rFonts w:ascii="Calibri Light" w:eastAsia="Calibri" w:hAnsi="Calibri Light" w:cs="Calibri Light"/>
          <w:sz w:val="23"/>
          <w:szCs w:val="23"/>
        </w:rPr>
      </w:pPr>
      <w:r>
        <w:rPr>
          <w:rFonts w:ascii="Calibri Light" w:eastAsia="Calibri" w:hAnsi="Calibri Light" w:cs="Calibri Light"/>
          <w:sz w:val="23"/>
          <w:szCs w:val="23"/>
        </w:rPr>
        <w:t>W</w:t>
      </w:r>
      <w:r w:rsidR="00F00E3D" w:rsidRPr="00500D72">
        <w:rPr>
          <w:rFonts w:ascii="Calibri Light" w:eastAsia="Calibri" w:hAnsi="Calibri Light" w:cs="Calibri Light"/>
          <w:sz w:val="23"/>
          <w:szCs w:val="23"/>
        </w:rPr>
        <w:t>hat Federal and State (Victoria</w:t>
      </w:r>
      <w:r>
        <w:rPr>
          <w:rFonts w:ascii="Calibri Light" w:eastAsia="Calibri" w:hAnsi="Calibri Light" w:cs="Calibri Light"/>
          <w:sz w:val="23"/>
          <w:szCs w:val="23"/>
        </w:rPr>
        <w:t>n</w:t>
      </w:r>
      <w:r w:rsidR="00F00E3D" w:rsidRPr="00500D72">
        <w:rPr>
          <w:rFonts w:ascii="Calibri Light" w:eastAsia="Calibri" w:hAnsi="Calibri Light" w:cs="Calibri Light"/>
          <w:sz w:val="23"/>
          <w:szCs w:val="23"/>
        </w:rPr>
        <w:t>) policies, programs and funding target social and economic development to improve community outcomes?</w:t>
      </w:r>
    </w:p>
    <w:p w14:paraId="03F06ECF" w14:textId="57646C1D" w:rsidR="00500D72" w:rsidRDefault="00CE723B" w:rsidP="00500D72">
      <w:pPr>
        <w:pStyle w:val="ListParagraph"/>
        <w:numPr>
          <w:ilvl w:val="0"/>
          <w:numId w:val="97"/>
        </w:numPr>
        <w:spacing w:line="276" w:lineRule="auto"/>
        <w:rPr>
          <w:rFonts w:ascii="Calibri Light" w:eastAsia="Calibri" w:hAnsi="Calibri Light" w:cs="Calibri Light"/>
          <w:sz w:val="23"/>
          <w:szCs w:val="23"/>
        </w:rPr>
      </w:pPr>
      <w:r>
        <w:rPr>
          <w:rFonts w:ascii="Calibri Light" w:eastAsia="Calibri" w:hAnsi="Calibri Light" w:cs="Calibri Light"/>
          <w:sz w:val="23"/>
          <w:szCs w:val="23"/>
        </w:rPr>
        <w:t>W</w:t>
      </w:r>
      <w:r w:rsidR="00F00E3D" w:rsidRPr="00500D72">
        <w:rPr>
          <w:rFonts w:ascii="Calibri Light" w:eastAsia="Calibri" w:hAnsi="Calibri Light" w:cs="Calibri Light"/>
          <w:sz w:val="23"/>
          <w:szCs w:val="23"/>
        </w:rPr>
        <w:t>hat policy gaps may assist in improving social outcomes?</w:t>
      </w:r>
    </w:p>
    <w:p w14:paraId="7123D5DF" w14:textId="5512F6C2" w:rsidR="00F00E3D" w:rsidRPr="00500D72" w:rsidRDefault="00CE723B" w:rsidP="00500D72">
      <w:pPr>
        <w:pStyle w:val="ListParagraph"/>
        <w:numPr>
          <w:ilvl w:val="0"/>
          <w:numId w:val="97"/>
        </w:numPr>
        <w:spacing w:line="276" w:lineRule="auto"/>
        <w:rPr>
          <w:rFonts w:ascii="Calibri Light" w:eastAsia="Calibri" w:hAnsi="Calibri Light" w:cs="Calibri Light"/>
          <w:sz w:val="23"/>
          <w:szCs w:val="23"/>
        </w:rPr>
      </w:pPr>
      <w:r>
        <w:rPr>
          <w:rFonts w:ascii="Calibri Light" w:eastAsia="Calibri" w:hAnsi="Calibri Light" w:cs="Calibri Light"/>
          <w:sz w:val="23"/>
          <w:szCs w:val="23"/>
        </w:rPr>
        <w:t>W</w:t>
      </w:r>
      <w:r w:rsidR="00F00E3D" w:rsidRPr="00500D72">
        <w:rPr>
          <w:rFonts w:ascii="Calibri Light" w:eastAsia="Calibri" w:hAnsi="Calibri Light" w:cs="Calibri Light"/>
          <w:sz w:val="23"/>
          <w:szCs w:val="23"/>
        </w:rPr>
        <w:t>hat are the key issues associated with the project to be assessed in an impact assessment?</w:t>
      </w:r>
    </w:p>
    <w:p w14:paraId="06D0C746" w14:textId="534DF078" w:rsidR="00F00E3D" w:rsidRDefault="002C03CF" w:rsidP="009B2FA7">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In Sections 6 and 7</w:t>
      </w:r>
      <w:r w:rsidR="00C554CA">
        <w:rPr>
          <w:rFonts w:ascii="Calibri Light" w:eastAsia="Calibri" w:hAnsi="Calibri Light" w:cs="Calibri Light"/>
          <w:sz w:val="23"/>
          <w:szCs w:val="23"/>
        </w:rPr>
        <w:t xml:space="preserve"> </w:t>
      </w:r>
      <w:r>
        <w:rPr>
          <w:rFonts w:ascii="Calibri Light" w:eastAsia="Calibri" w:hAnsi="Calibri Light" w:cs="Calibri Light"/>
          <w:sz w:val="23"/>
          <w:szCs w:val="23"/>
        </w:rPr>
        <w:t>w</w:t>
      </w:r>
      <w:r w:rsidR="00CE723B">
        <w:rPr>
          <w:rFonts w:ascii="Calibri Light" w:eastAsia="Calibri" w:hAnsi="Calibri Light" w:cs="Calibri Light"/>
          <w:sz w:val="23"/>
          <w:szCs w:val="23"/>
        </w:rPr>
        <w:t>e analyse the</w:t>
      </w:r>
      <w:r>
        <w:rPr>
          <w:rFonts w:ascii="Calibri Light" w:eastAsia="Calibri" w:hAnsi="Calibri Light" w:cs="Calibri Light"/>
          <w:sz w:val="23"/>
          <w:szCs w:val="23"/>
        </w:rPr>
        <w:t xml:space="preserve"> impact of the pandemic on Australia, Geelong, and the three localities (Corio, Norlane, and Whittington). We also examine the</w:t>
      </w:r>
      <w:r w:rsidR="00F00E3D" w:rsidRPr="000940CC">
        <w:rPr>
          <w:rFonts w:ascii="Calibri Light" w:eastAsia="Calibri" w:hAnsi="Calibri Light" w:cs="Calibri Light"/>
          <w:sz w:val="23"/>
          <w:szCs w:val="23"/>
        </w:rPr>
        <w:t xml:space="preserve"> policy context </w:t>
      </w:r>
      <w:r w:rsidR="00F00E3D">
        <w:rPr>
          <w:rFonts w:ascii="Calibri Light" w:eastAsia="Calibri" w:hAnsi="Calibri Light" w:cs="Calibri Light"/>
          <w:sz w:val="23"/>
          <w:szCs w:val="23"/>
        </w:rPr>
        <w:t>of</w:t>
      </w:r>
      <w:r w:rsidR="00F00E3D" w:rsidRPr="000940CC">
        <w:rPr>
          <w:rFonts w:ascii="Calibri Light" w:eastAsia="Calibri" w:hAnsi="Calibri Light" w:cs="Calibri Light"/>
          <w:sz w:val="23"/>
          <w:szCs w:val="23"/>
        </w:rPr>
        <w:t xml:space="preserve"> the</w:t>
      </w:r>
      <w:r>
        <w:rPr>
          <w:rFonts w:ascii="Calibri Light" w:eastAsia="Calibri" w:hAnsi="Calibri Light" w:cs="Calibri Light"/>
          <w:sz w:val="23"/>
          <w:szCs w:val="23"/>
        </w:rPr>
        <w:t>se</w:t>
      </w:r>
      <w:r w:rsidR="00F00E3D" w:rsidRPr="000940CC">
        <w:rPr>
          <w:rFonts w:ascii="Calibri Light" w:eastAsia="Calibri" w:hAnsi="Calibri Light" w:cs="Calibri Light"/>
          <w:sz w:val="23"/>
          <w:szCs w:val="23"/>
        </w:rPr>
        <w:t xml:space="preserve"> three suburbs</w:t>
      </w:r>
      <w:r>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w:t>
      </w:r>
      <w:r w:rsidR="00CE723B">
        <w:rPr>
          <w:rFonts w:ascii="Calibri Light" w:eastAsia="Calibri" w:hAnsi="Calibri Light" w:cs="Calibri Light"/>
          <w:sz w:val="23"/>
          <w:szCs w:val="23"/>
        </w:rPr>
        <w:t>and identif</w:t>
      </w:r>
      <w:r w:rsidR="0037348B">
        <w:rPr>
          <w:rFonts w:ascii="Calibri Light" w:eastAsia="Calibri" w:hAnsi="Calibri Light" w:cs="Calibri Light"/>
          <w:sz w:val="23"/>
          <w:szCs w:val="23"/>
        </w:rPr>
        <w:t>y</w:t>
      </w:r>
      <w:r w:rsidR="00CE723B">
        <w:rPr>
          <w:rFonts w:ascii="Calibri Light" w:eastAsia="Calibri" w:hAnsi="Calibri Light" w:cs="Calibri Light"/>
          <w:sz w:val="23"/>
          <w:szCs w:val="23"/>
        </w:rPr>
        <w:t xml:space="preserve"> </w:t>
      </w:r>
      <w:r w:rsidR="00F00E3D" w:rsidRPr="000940CC">
        <w:rPr>
          <w:rFonts w:ascii="Calibri Light" w:eastAsia="Calibri" w:hAnsi="Calibri Light" w:cs="Calibri Light"/>
          <w:sz w:val="23"/>
          <w:szCs w:val="23"/>
        </w:rPr>
        <w:t xml:space="preserve">a number of possible </w:t>
      </w:r>
      <w:r w:rsidR="0037348B">
        <w:rPr>
          <w:rFonts w:ascii="Calibri Light" w:eastAsia="Calibri" w:hAnsi="Calibri Light" w:cs="Calibri Light"/>
          <w:sz w:val="23"/>
          <w:szCs w:val="23"/>
        </w:rPr>
        <w:t xml:space="preserve">policy </w:t>
      </w:r>
      <w:r w:rsidR="00F00E3D" w:rsidRPr="000940CC">
        <w:rPr>
          <w:rFonts w:ascii="Calibri Light" w:eastAsia="Calibri" w:hAnsi="Calibri Light" w:cs="Calibri Light"/>
          <w:sz w:val="23"/>
          <w:szCs w:val="23"/>
        </w:rPr>
        <w:t>gaps, including</w:t>
      </w:r>
      <w:r w:rsidR="00F00E3D">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programs to improve digital access</w:t>
      </w:r>
      <w:r w:rsidR="00F00E3D">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support for </w:t>
      </w:r>
      <w:r w:rsidR="00F00E3D">
        <w:rPr>
          <w:rFonts w:ascii="Calibri Light" w:eastAsia="Calibri" w:hAnsi="Calibri Light" w:cs="Calibri Light"/>
          <w:sz w:val="23"/>
          <w:szCs w:val="23"/>
        </w:rPr>
        <w:t>A</w:t>
      </w:r>
      <w:r w:rsidR="00F00E3D" w:rsidRPr="000940CC">
        <w:rPr>
          <w:rFonts w:ascii="Calibri Light" w:eastAsia="Calibri" w:hAnsi="Calibri Light" w:cs="Calibri Light"/>
          <w:sz w:val="23"/>
          <w:szCs w:val="23"/>
        </w:rPr>
        <w:t>boriginal people</w:t>
      </w:r>
      <w:r w:rsidR="00CE723B">
        <w:rPr>
          <w:rFonts w:ascii="Calibri Light" w:eastAsia="Calibri" w:hAnsi="Calibri Light" w:cs="Calibri Light"/>
          <w:sz w:val="23"/>
          <w:szCs w:val="23"/>
        </w:rPr>
        <w:t xml:space="preserve"> (including</w:t>
      </w:r>
      <w:r w:rsidR="00F00E3D" w:rsidRPr="000940CC">
        <w:rPr>
          <w:rFonts w:ascii="Calibri Light" w:eastAsia="Calibri" w:hAnsi="Calibri Light" w:cs="Calibri Light"/>
          <w:sz w:val="23"/>
          <w:szCs w:val="23"/>
        </w:rPr>
        <w:t xml:space="preserve"> transport to </w:t>
      </w:r>
      <w:r w:rsidR="0037348B">
        <w:rPr>
          <w:rFonts w:ascii="Calibri Light" w:eastAsia="Calibri" w:hAnsi="Calibri Light" w:cs="Calibri Light"/>
          <w:sz w:val="23"/>
          <w:szCs w:val="23"/>
        </w:rPr>
        <w:t xml:space="preserve">and from </w:t>
      </w:r>
      <w:r w:rsidR="00F00E3D" w:rsidRPr="000940CC">
        <w:rPr>
          <w:rFonts w:ascii="Calibri Light" w:eastAsia="Calibri" w:hAnsi="Calibri Light" w:cs="Calibri Light"/>
          <w:sz w:val="23"/>
          <w:szCs w:val="23"/>
        </w:rPr>
        <w:t>school for children</w:t>
      </w:r>
      <w:r w:rsidR="00CE723B">
        <w:rPr>
          <w:rFonts w:ascii="Calibri Light" w:eastAsia="Calibri" w:hAnsi="Calibri Light" w:cs="Calibri Light"/>
          <w:sz w:val="23"/>
          <w:szCs w:val="23"/>
        </w:rPr>
        <w:t>)</w:t>
      </w:r>
      <w:r w:rsidR="00F00E3D">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the revitalisation of industrial </w:t>
      </w:r>
      <w:r w:rsidR="00F00E3D" w:rsidRPr="1BDB3E72">
        <w:rPr>
          <w:rFonts w:ascii="Calibri Light" w:eastAsia="Calibri" w:hAnsi="Calibri Light" w:cs="Calibri Light"/>
          <w:sz w:val="23"/>
          <w:szCs w:val="23"/>
        </w:rPr>
        <w:t>precincts</w:t>
      </w:r>
      <w:r w:rsidR="00F00E3D">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improved health centres</w:t>
      </w:r>
      <w:r w:rsidR="00F00E3D">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food security</w:t>
      </w:r>
      <w:r w:rsidR="00F00E3D">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neighbourhood </w:t>
      </w:r>
      <w:r w:rsidR="008C1834">
        <w:rPr>
          <w:rFonts w:ascii="Calibri Light" w:eastAsia="Calibri" w:hAnsi="Calibri Light" w:cs="Calibri Light"/>
          <w:sz w:val="23"/>
          <w:szCs w:val="23"/>
        </w:rPr>
        <w:t>revitalisation</w:t>
      </w:r>
      <w:r w:rsidR="0095138A">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in partnership with State </w:t>
      </w:r>
      <w:r w:rsidR="00CE723B">
        <w:rPr>
          <w:rFonts w:ascii="Calibri Light" w:eastAsia="Calibri" w:hAnsi="Calibri Light" w:cs="Calibri Light"/>
          <w:sz w:val="23"/>
          <w:szCs w:val="23"/>
        </w:rPr>
        <w:t>G</w:t>
      </w:r>
      <w:r w:rsidR="00F00E3D" w:rsidRPr="000940CC">
        <w:rPr>
          <w:rFonts w:ascii="Calibri Light" w:eastAsia="Calibri" w:hAnsi="Calibri Light" w:cs="Calibri Light"/>
          <w:sz w:val="23"/>
          <w:szCs w:val="23"/>
        </w:rPr>
        <w:t>overnment (including improvement of basic social infrastructure)</w:t>
      </w:r>
      <w:r w:rsidR="00F00E3D">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w:t>
      </w:r>
      <w:r w:rsidR="008C1834">
        <w:rPr>
          <w:rFonts w:ascii="Calibri Light" w:eastAsia="Calibri" w:hAnsi="Calibri Light" w:cs="Calibri Light"/>
          <w:sz w:val="23"/>
          <w:szCs w:val="23"/>
        </w:rPr>
        <w:t xml:space="preserve">tackling family and </w:t>
      </w:r>
      <w:r w:rsidR="00F00E3D" w:rsidRPr="000940CC">
        <w:rPr>
          <w:rFonts w:ascii="Calibri Light" w:eastAsia="Calibri" w:hAnsi="Calibri Light" w:cs="Calibri Light"/>
          <w:sz w:val="23"/>
          <w:szCs w:val="23"/>
        </w:rPr>
        <w:t>domestic violence</w:t>
      </w:r>
      <w:r w:rsidR="00F00E3D">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and countering place</w:t>
      </w:r>
      <w:r w:rsidR="008C1834">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based stigma </w:t>
      </w:r>
      <w:r w:rsidR="008C1834">
        <w:rPr>
          <w:rFonts w:ascii="Calibri Light" w:eastAsia="Calibri" w:hAnsi="Calibri Light" w:cs="Calibri Light"/>
          <w:sz w:val="23"/>
          <w:szCs w:val="23"/>
        </w:rPr>
        <w:t>and</w:t>
      </w:r>
      <w:r w:rsidR="00F00E3D" w:rsidRPr="000940CC">
        <w:rPr>
          <w:rFonts w:ascii="Calibri Light" w:eastAsia="Calibri" w:hAnsi="Calibri Light" w:cs="Calibri Light"/>
          <w:sz w:val="23"/>
          <w:szCs w:val="23"/>
        </w:rPr>
        <w:t xml:space="preserve"> increasing </w:t>
      </w:r>
      <w:r w:rsidR="0095138A">
        <w:rPr>
          <w:rFonts w:ascii="Calibri Light" w:eastAsia="Calibri" w:hAnsi="Calibri Light" w:cs="Calibri Light"/>
          <w:sz w:val="23"/>
          <w:szCs w:val="23"/>
        </w:rPr>
        <w:t xml:space="preserve">local </w:t>
      </w:r>
      <w:r w:rsidR="00F00E3D" w:rsidRPr="000940CC">
        <w:rPr>
          <w:rFonts w:ascii="Calibri Light" w:eastAsia="Calibri" w:hAnsi="Calibri Light" w:cs="Calibri Light"/>
          <w:sz w:val="23"/>
          <w:szCs w:val="23"/>
        </w:rPr>
        <w:t xml:space="preserve">pride </w:t>
      </w:r>
      <w:r w:rsidR="0095138A">
        <w:rPr>
          <w:rFonts w:ascii="Calibri Light" w:eastAsia="Calibri" w:hAnsi="Calibri Light" w:cs="Calibri Light"/>
          <w:sz w:val="23"/>
          <w:szCs w:val="23"/>
        </w:rPr>
        <w:t>via</w:t>
      </w:r>
      <w:r w:rsidR="00F00E3D" w:rsidRPr="000940CC">
        <w:rPr>
          <w:rFonts w:ascii="Calibri Light" w:eastAsia="Calibri" w:hAnsi="Calibri Light" w:cs="Calibri Light"/>
          <w:sz w:val="23"/>
          <w:szCs w:val="23"/>
        </w:rPr>
        <w:t xml:space="preserve"> community arts projects. These gaps </w:t>
      </w:r>
      <w:r w:rsidR="0095138A">
        <w:rPr>
          <w:rFonts w:ascii="Calibri Light" w:eastAsia="Calibri" w:hAnsi="Calibri Light" w:cs="Calibri Light"/>
          <w:sz w:val="23"/>
          <w:szCs w:val="23"/>
        </w:rPr>
        <w:t>a</w:t>
      </w:r>
      <w:r w:rsidR="00F00E3D" w:rsidRPr="000940CC">
        <w:rPr>
          <w:rFonts w:ascii="Calibri Light" w:eastAsia="Calibri" w:hAnsi="Calibri Light" w:cs="Calibri Light"/>
          <w:sz w:val="23"/>
          <w:szCs w:val="23"/>
        </w:rPr>
        <w:t xml:space="preserve">re reflected in </w:t>
      </w:r>
      <w:r w:rsidR="008C4F8E">
        <w:rPr>
          <w:rFonts w:ascii="Calibri Light" w:eastAsia="Calibri" w:hAnsi="Calibri Light" w:cs="Calibri Light"/>
          <w:sz w:val="23"/>
          <w:szCs w:val="23"/>
        </w:rPr>
        <w:t>our</w:t>
      </w:r>
      <w:r w:rsidR="00F00E3D" w:rsidRPr="000940CC">
        <w:rPr>
          <w:rFonts w:ascii="Calibri Light" w:eastAsia="Calibri" w:hAnsi="Calibri Light" w:cs="Calibri Light"/>
          <w:sz w:val="23"/>
          <w:szCs w:val="23"/>
        </w:rPr>
        <w:t xml:space="preserve"> </w:t>
      </w:r>
      <w:r w:rsidR="009337AB">
        <w:rPr>
          <w:rFonts w:ascii="Calibri Light" w:eastAsia="Calibri" w:hAnsi="Calibri Light" w:cs="Calibri Light"/>
          <w:sz w:val="23"/>
          <w:szCs w:val="23"/>
        </w:rPr>
        <w:t>data analysis</w:t>
      </w:r>
      <w:r w:rsidR="00F00E3D" w:rsidRPr="000940CC">
        <w:rPr>
          <w:rFonts w:ascii="Calibri Light" w:eastAsia="Calibri" w:hAnsi="Calibri Light" w:cs="Calibri Light"/>
          <w:sz w:val="23"/>
          <w:szCs w:val="23"/>
        </w:rPr>
        <w:t xml:space="preserve">, which also </w:t>
      </w:r>
      <w:r w:rsidR="008C4F8E">
        <w:rPr>
          <w:rFonts w:ascii="Calibri Light" w:eastAsia="Calibri" w:hAnsi="Calibri Light" w:cs="Calibri Light"/>
          <w:sz w:val="23"/>
          <w:szCs w:val="23"/>
        </w:rPr>
        <w:t>considered the</w:t>
      </w:r>
      <w:r w:rsidR="00F00E3D">
        <w:rPr>
          <w:rFonts w:ascii="Calibri Light" w:eastAsia="Calibri" w:hAnsi="Calibri Light" w:cs="Calibri Light"/>
          <w:sz w:val="23"/>
          <w:szCs w:val="23"/>
        </w:rPr>
        <w:t xml:space="preserve"> </w:t>
      </w:r>
      <w:r w:rsidR="009337AB">
        <w:rPr>
          <w:rFonts w:ascii="Calibri Light" w:eastAsia="Calibri" w:hAnsi="Calibri Light" w:cs="Calibri Light"/>
          <w:sz w:val="23"/>
          <w:szCs w:val="23"/>
        </w:rPr>
        <w:t xml:space="preserve">local </w:t>
      </w:r>
      <w:r w:rsidR="00F00E3D" w:rsidRPr="000940CC">
        <w:rPr>
          <w:rFonts w:ascii="Calibri Light" w:eastAsia="Calibri" w:hAnsi="Calibri Light" w:cs="Calibri Light"/>
          <w:sz w:val="23"/>
          <w:szCs w:val="23"/>
        </w:rPr>
        <w:t>employment sectors most effected by the pandemic, health impacts of reduced access to services, and the</w:t>
      </w:r>
      <w:r w:rsidR="008C4F8E">
        <w:rPr>
          <w:rFonts w:ascii="Calibri Light" w:eastAsia="Calibri" w:hAnsi="Calibri Light" w:cs="Calibri Light"/>
          <w:sz w:val="23"/>
          <w:szCs w:val="23"/>
        </w:rPr>
        <w:t xml:space="preserve"> likelihood</w:t>
      </w:r>
      <w:r w:rsidR="00F00E3D" w:rsidRPr="000940CC">
        <w:rPr>
          <w:rFonts w:ascii="Calibri Light" w:eastAsia="Calibri" w:hAnsi="Calibri Light" w:cs="Calibri Light"/>
          <w:sz w:val="23"/>
          <w:szCs w:val="23"/>
        </w:rPr>
        <w:t xml:space="preserve"> of heightened housing stress </w:t>
      </w:r>
      <w:r w:rsidR="008C4F8E">
        <w:rPr>
          <w:rFonts w:ascii="Calibri Light" w:eastAsia="Calibri" w:hAnsi="Calibri Light" w:cs="Calibri Light"/>
          <w:sz w:val="23"/>
          <w:szCs w:val="23"/>
        </w:rPr>
        <w:t xml:space="preserve">from </w:t>
      </w:r>
      <w:r w:rsidR="00201B32">
        <w:rPr>
          <w:rFonts w:ascii="Calibri Light" w:eastAsia="Calibri" w:hAnsi="Calibri Light" w:cs="Calibri Light"/>
          <w:sz w:val="23"/>
          <w:szCs w:val="23"/>
        </w:rPr>
        <w:t>April 2021, after</w:t>
      </w:r>
      <w:r w:rsidR="00F00E3D" w:rsidRPr="000940CC">
        <w:rPr>
          <w:rFonts w:ascii="Calibri Light" w:eastAsia="Calibri" w:hAnsi="Calibri Light" w:cs="Calibri Light"/>
          <w:sz w:val="23"/>
          <w:szCs w:val="23"/>
        </w:rPr>
        <w:t xml:space="preserve"> </w:t>
      </w:r>
      <w:r w:rsidR="002D0CB5">
        <w:rPr>
          <w:rFonts w:ascii="Calibri Light" w:eastAsia="Calibri" w:hAnsi="Calibri Light" w:cs="Calibri Light"/>
          <w:sz w:val="23"/>
          <w:szCs w:val="23"/>
        </w:rPr>
        <w:t xml:space="preserve">the </w:t>
      </w:r>
      <w:r w:rsidR="00F00E3D" w:rsidRPr="000940CC">
        <w:rPr>
          <w:rFonts w:ascii="Calibri Light" w:eastAsia="Calibri" w:hAnsi="Calibri Light" w:cs="Calibri Light"/>
          <w:sz w:val="23"/>
          <w:szCs w:val="23"/>
        </w:rPr>
        <w:t>Job</w:t>
      </w:r>
      <w:r w:rsidR="008C4F8E">
        <w:rPr>
          <w:rFonts w:ascii="Calibri Light" w:eastAsia="Calibri" w:hAnsi="Calibri Light" w:cs="Calibri Light"/>
          <w:sz w:val="23"/>
          <w:szCs w:val="23"/>
        </w:rPr>
        <w:t>K</w:t>
      </w:r>
      <w:r w:rsidR="00F00E3D" w:rsidRPr="000940CC">
        <w:rPr>
          <w:rFonts w:ascii="Calibri Light" w:eastAsia="Calibri" w:hAnsi="Calibri Light" w:cs="Calibri Light"/>
          <w:sz w:val="23"/>
          <w:szCs w:val="23"/>
        </w:rPr>
        <w:t xml:space="preserve">eeper </w:t>
      </w:r>
      <w:r w:rsidR="002D0CB5">
        <w:rPr>
          <w:rFonts w:ascii="Calibri Light" w:eastAsia="Calibri" w:hAnsi="Calibri Light" w:cs="Calibri Light"/>
          <w:sz w:val="23"/>
          <w:szCs w:val="23"/>
        </w:rPr>
        <w:t xml:space="preserve">scheme </w:t>
      </w:r>
      <w:r w:rsidR="008C4F8E">
        <w:rPr>
          <w:rFonts w:ascii="Calibri Light" w:eastAsia="Calibri" w:hAnsi="Calibri Light" w:cs="Calibri Light"/>
          <w:sz w:val="23"/>
          <w:szCs w:val="23"/>
        </w:rPr>
        <w:t xml:space="preserve">and the JobSeeker </w:t>
      </w:r>
      <w:r w:rsidR="002D0CB5">
        <w:rPr>
          <w:rFonts w:ascii="Calibri Light" w:eastAsia="Calibri" w:hAnsi="Calibri Light" w:cs="Calibri Light"/>
          <w:sz w:val="23"/>
          <w:szCs w:val="23"/>
        </w:rPr>
        <w:t>Coronavirus s</w:t>
      </w:r>
      <w:r w:rsidR="008C4F8E">
        <w:rPr>
          <w:rFonts w:ascii="Calibri Light" w:eastAsia="Calibri" w:hAnsi="Calibri Light" w:cs="Calibri Light"/>
          <w:sz w:val="23"/>
          <w:szCs w:val="23"/>
        </w:rPr>
        <w:t xml:space="preserve">ubsidy </w:t>
      </w:r>
      <w:r w:rsidR="00F00E3D" w:rsidRPr="000940CC">
        <w:rPr>
          <w:rFonts w:ascii="Calibri Light" w:eastAsia="Calibri" w:hAnsi="Calibri Light" w:cs="Calibri Light"/>
          <w:sz w:val="23"/>
          <w:szCs w:val="23"/>
        </w:rPr>
        <w:t>end</w:t>
      </w:r>
      <w:r w:rsidR="009337AB">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and </w:t>
      </w:r>
      <w:r w:rsidR="00F00E3D">
        <w:rPr>
          <w:rFonts w:ascii="Calibri Light" w:eastAsia="Calibri" w:hAnsi="Calibri Light" w:cs="Calibri Light"/>
          <w:sz w:val="23"/>
          <w:szCs w:val="23"/>
        </w:rPr>
        <w:t xml:space="preserve">residents can no longer absorb </w:t>
      </w:r>
      <w:r w:rsidR="00F00E3D" w:rsidRPr="000940CC">
        <w:rPr>
          <w:rFonts w:ascii="Calibri Light" w:eastAsia="Calibri" w:hAnsi="Calibri Light" w:cs="Calibri Light"/>
          <w:sz w:val="23"/>
          <w:szCs w:val="23"/>
        </w:rPr>
        <w:t>rapidly increas</w:t>
      </w:r>
      <w:r w:rsidR="00F00E3D">
        <w:rPr>
          <w:rFonts w:ascii="Calibri Light" w:eastAsia="Calibri" w:hAnsi="Calibri Light" w:cs="Calibri Light"/>
          <w:sz w:val="23"/>
          <w:szCs w:val="23"/>
        </w:rPr>
        <w:t>ing</w:t>
      </w:r>
      <w:r w:rsidR="00F00E3D" w:rsidRPr="000940CC">
        <w:rPr>
          <w:rFonts w:ascii="Calibri Light" w:eastAsia="Calibri" w:hAnsi="Calibri Light" w:cs="Calibri Light"/>
          <w:sz w:val="23"/>
          <w:szCs w:val="23"/>
        </w:rPr>
        <w:t xml:space="preserve"> </w:t>
      </w:r>
      <w:r w:rsidR="00201B32">
        <w:rPr>
          <w:rFonts w:ascii="Calibri Light" w:eastAsia="Calibri" w:hAnsi="Calibri Light" w:cs="Calibri Light"/>
          <w:sz w:val="23"/>
          <w:szCs w:val="23"/>
        </w:rPr>
        <w:t xml:space="preserve">local </w:t>
      </w:r>
      <w:r w:rsidR="00F00E3D" w:rsidRPr="000940CC">
        <w:rPr>
          <w:rFonts w:ascii="Calibri Light" w:eastAsia="Calibri" w:hAnsi="Calibri Light" w:cs="Calibri Light"/>
          <w:sz w:val="23"/>
          <w:szCs w:val="23"/>
        </w:rPr>
        <w:t>housing costs.</w:t>
      </w:r>
    </w:p>
    <w:p w14:paraId="12797444" w14:textId="49140599" w:rsidR="00F00E3D" w:rsidRPr="000940CC" w:rsidRDefault="00201B32" w:rsidP="009B2FA7">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The</w:t>
      </w:r>
      <w:r w:rsidR="00F00E3D" w:rsidRPr="000940CC">
        <w:rPr>
          <w:rFonts w:ascii="Calibri Light" w:eastAsia="Calibri" w:hAnsi="Calibri Light" w:cs="Calibri Light"/>
          <w:sz w:val="23"/>
          <w:szCs w:val="23"/>
        </w:rPr>
        <w:t xml:space="preserve"> historical and statistical overviews in Part </w:t>
      </w:r>
      <w:r w:rsidR="00B7459B">
        <w:rPr>
          <w:rFonts w:ascii="Calibri Light" w:eastAsia="Calibri" w:hAnsi="Calibri Light" w:cs="Calibri Light"/>
          <w:sz w:val="23"/>
          <w:szCs w:val="23"/>
        </w:rPr>
        <w:t>B</w:t>
      </w:r>
      <w:r w:rsidR="00F00E3D" w:rsidRPr="000940CC">
        <w:rPr>
          <w:rFonts w:ascii="Calibri Light" w:eastAsia="Calibri" w:hAnsi="Calibri Light" w:cs="Calibri Light"/>
          <w:sz w:val="23"/>
          <w:szCs w:val="23"/>
        </w:rPr>
        <w:t xml:space="preserve"> </w:t>
      </w:r>
      <w:r w:rsidR="002C03CF">
        <w:rPr>
          <w:rFonts w:ascii="Calibri Light" w:eastAsia="Calibri" w:hAnsi="Calibri Light" w:cs="Calibri Light"/>
          <w:sz w:val="23"/>
          <w:szCs w:val="23"/>
        </w:rPr>
        <w:t xml:space="preserve">both </w:t>
      </w:r>
      <w:r w:rsidR="00F00E3D" w:rsidRPr="000940CC">
        <w:rPr>
          <w:rFonts w:ascii="Calibri Light" w:eastAsia="Calibri" w:hAnsi="Calibri Light" w:cs="Calibri Light"/>
          <w:sz w:val="23"/>
          <w:szCs w:val="23"/>
        </w:rPr>
        <w:t>confirm and detail the various dimension</w:t>
      </w:r>
      <w:r w:rsidR="00D74EF0">
        <w:rPr>
          <w:rFonts w:ascii="Calibri Light" w:eastAsia="Calibri" w:hAnsi="Calibri Light" w:cs="Calibri Light"/>
          <w:sz w:val="23"/>
          <w:szCs w:val="23"/>
        </w:rPr>
        <w:t>s</w:t>
      </w:r>
      <w:r w:rsidR="00F00E3D" w:rsidRPr="000940CC">
        <w:rPr>
          <w:rFonts w:ascii="Calibri Light" w:eastAsia="Calibri" w:hAnsi="Calibri Light" w:cs="Calibri Light"/>
          <w:sz w:val="23"/>
          <w:szCs w:val="23"/>
        </w:rPr>
        <w:t xml:space="preserve"> of disadvantage in these </w:t>
      </w:r>
      <w:r>
        <w:rPr>
          <w:rFonts w:ascii="Calibri Light" w:eastAsia="Calibri" w:hAnsi="Calibri Light" w:cs="Calibri Light"/>
          <w:sz w:val="23"/>
          <w:szCs w:val="23"/>
        </w:rPr>
        <w:t>localities</w:t>
      </w:r>
      <w:r w:rsidR="00D74EF0">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w:t>
      </w:r>
      <w:r w:rsidR="00D74EF0">
        <w:rPr>
          <w:rFonts w:ascii="Calibri Light" w:eastAsia="Calibri" w:hAnsi="Calibri Light" w:cs="Calibri Light"/>
          <w:sz w:val="23"/>
          <w:szCs w:val="23"/>
        </w:rPr>
        <w:t>including</w:t>
      </w:r>
      <w:r w:rsidR="00F00E3D" w:rsidRPr="000940CC">
        <w:rPr>
          <w:rFonts w:ascii="Calibri Light" w:eastAsia="Calibri" w:hAnsi="Calibri Light" w:cs="Calibri Light"/>
          <w:sz w:val="23"/>
          <w:szCs w:val="23"/>
        </w:rPr>
        <w:t xml:space="preserve"> high levels of unemployment, low income, </w:t>
      </w:r>
      <w:r w:rsidR="00D74EF0">
        <w:rPr>
          <w:rFonts w:ascii="Calibri Light" w:eastAsia="Calibri" w:hAnsi="Calibri Light" w:cs="Calibri Light"/>
          <w:sz w:val="23"/>
          <w:szCs w:val="23"/>
        </w:rPr>
        <w:t>low</w:t>
      </w:r>
      <w:r w:rsidR="00F00E3D" w:rsidRPr="000940CC">
        <w:rPr>
          <w:rFonts w:ascii="Calibri Light" w:eastAsia="Calibri" w:hAnsi="Calibri Light" w:cs="Calibri Light"/>
          <w:sz w:val="23"/>
          <w:szCs w:val="23"/>
        </w:rPr>
        <w:t xml:space="preserve"> education levels</w:t>
      </w:r>
      <w:r w:rsidR="00D74EF0">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and</w:t>
      </w:r>
      <w:r w:rsidR="00D74EF0">
        <w:rPr>
          <w:rFonts w:ascii="Calibri Light" w:eastAsia="Calibri" w:hAnsi="Calibri Light" w:cs="Calibri Light"/>
          <w:sz w:val="23"/>
          <w:szCs w:val="23"/>
        </w:rPr>
        <w:t xml:space="preserve"> poor</w:t>
      </w:r>
      <w:r w:rsidR="00F00E3D" w:rsidRPr="000940CC">
        <w:rPr>
          <w:rFonts w:ascii="Calibri Light" w:eastAsia="Calibri" w:hAnsi="Calibri Light" w:cs="Calibri Light"/>
          <w:sz w:val="23"/>
          <w:szCs w:val="23"/>
        </w:rPr>
        <w:t xml:space="preserve"> health</w:t>
      </w:r>
      <w:r w:rsidR="00D74EF0">
        <w:rPr>
          <w:rFonts w:ascii="Calibri Light" w:eastAsia="Calibri" w:hAnsi="Calibri Light" w:cs="Calibri Light"/>
          <w:sz w:val="23"/>
          <w:szCs w:val="23"/>
        </w:rPr>
        <w:t xml:space="preserve">. There </w:t>
      </w:r>
      <w:r w:rsidR="005778A4">
        <w:rPr>
          <w:rFonts w:ascii="Calibri Light" w:eastAsia="Calibri" w:hAnsi="Calibri Light" w:cs="Calibri Light"/>
          <w:sz w:val="23"/>
          <w:szCs w:val="23"/>
        </w:rPr>
        <w:t>a</w:t>
      </w:r>
      <w:r w:rsidR="00D74EF0">
        <w:rPr>
          <w:rFonts w:ascii="Calibri Light" w:eastAsia="Calibri" w:hAnsi="Calibri Light" w:cs="Calibri Light"/>
          <w:sz w:val="23"/>
          <w:szCs w:val="23"/>
        </w:rPr>
        <w:t>re</w:t>
      </w:r>
      <w:r w:rsidR="00F00E3D" w:rsidRPr="000940CC">
        <w:rPr>
          <w:rFonts w:ascii="Calibri Light" w:eastAsia="Calibri" w:hAnsi="Calibri Light" w:cs="Calibri Light"/>
          <w:sz w:val="23"/>
          <w:szCs w:val="23"/>
        </w:rPr>
        <w:t xml:space="preserve"> related challenges </w:t>
      </w:r>
      <w:r w:rsidR="00D74EF0">
        <w:rPr>
          <w:rFonts w:ascii="Calibri Light" w:eastAsia="Calibri" w:hAnsi="Calibri Light" w:cs="Calibri Light"/>
          <w:sz w:val="23"/>
          <w:szCs w:val="23"/>
        </w:rPr>
        <w:t>around</w:t>
      </w:r>
      <w:r w:rsidR="00F00E3D" w:rsidRPr="000940CC">
        <w:rPr>
          <w:rFonts w:ascii="Calibri Light" w:eastAsia="Calibri" w:hAnsi="Calibri Light" w:cs="Calibri Light"/>
          <w:sz w:val="23"/>
          <w:szCs w:val="23"/>
        </w:rPr>
        <w:t xml:space="preserve"> housing and mortgage stress, limited mobility, domestic </w:t>
      </w:r>
      <w:r w:rsidR="00D74EF0">
        <w:rPr>
          <w:rFonts w:ascii="Calibri Light" w:eastAsia="Calibri" w:hAnsi="Calibri Light" w:cs="Calibri Light"/>
          <w:sz w:val="23"/>
          <w:szCs w:val="23"/>
        </w:rPr>
        <w:t xml:space="preserve">and family </w:t>
      </w:r>
      <w:r w:rsidR="00F00E3D" w:rsidRPr="000940CC">
        <w:rPr>
          <w:rFonts w:ascii="Calibri Light" w:eastAsia="Calibri" w:hAnsi="Calibri Light" w:cs="Calibri Light"/>
          <w:sz w:val="23"/>
          <w:szCs w:val="23"/>
        </w:rPr>
        <w:t xml:space="preserve">violence, </w:t>
      </w:r>
      <w:r w:rsidR="00D74EF0">
        <w:rPr>
          <w:rFonts w:ascii="Calibri Light" w:eastAsia="Calibri" w:hAnsi="Calibri Light" w:cs="Calibri Light"/>
          <w:sz w:val="23"/>
          <w:szCs w:val="23"/>
        </w:rPr>
        <w:t xml:space="preserve">other </w:t>
      </w:r>
      <w:r w:rsidR="00F00E3D" w:rsidRPr="000940CC">
        <w:rPr>
          <w:rFonts w:ascii="Calibri Light" w:eastAsia="Calibri" w:hAnsi="Calibri Light" w:cs="Calibri Light"/>
          <w:sz w:val="23"/>
          <w:szCs w:val="23"/>
        </w:rPr>
        <w:t>criminal activity</w:t>
      </w:r>
      <w:r w:rsidR="00D74EF0">
        <w:rPr>
          <w:rFonts w:ascii="Calibri Light" w:eastAsia="Calibri" w:hAnsi="Calibri Light" w:cs="Calibri Light"/>
          <w:sz w:val="23"/>
          <w:szCs w:val="23"/>
        </w:rPr>
        <w:t>, safety,</w:t>
      </w:r>
      <w:r w:rsidR="00F00E3D" w:rsidRPr="000940CC">
        <w:rPr>
          <w:rFonts w:ascii="Calibri Light" w:eastAsia="Calibri" w:hAnsi="Calibri Light" w:cs="Calibri Light"/>
          <w:sz w:val="23"/>
          <w:szCs w:val="23"/>
        </w:rPr>
        <w:t xml:space="preserve"> and environmental deterioration</w:t>
      </w:r>
      <w:r w:rsidR="00D74EF0">
        <w:rPr>
          <w:rFonts w:ascii="Calibri Light" w:eastAsia="Calibri" w:hAnsi="Calibri Light" w:cs="Calibri Light"/>
          <w:sz w:val="23"/>
          <w:szCs w:val="23"/>
        </w:rPr>
        <w:t xml:space="preserve">. There </w:t>
      </w:r>
      <w:r w:rsidR="005778A4">
        <w:rPr>
          <w:rFonts w:ascii="Calibri Light" w:eastAsia="Calibri" w:hAnsi="Calibri Light" w:cs="Calibri Light"/>
          <w:sz w:val="23"/>
          <w:szCs w:val="23"/>
        </w:rPr>
        <w:t>i</w:t>
      </w:r>
      <w:r w:rsidR="00D74EF0">
        <w:rPr>
          <w:rFonts w:ascii="Calibri Light" w:eastAsia="Calibri" w:hAnsi="Calibri Light" w:cs="Calibri Light"/>
          <w:sz w:val="23"/>
          <w:szCs w:val="23"/>
        </w:rPr>
        <w:t xml:space="preserve">s also </w:t>
      </w:r>
      <w:r w:rsidR="00F00E3D" w:rsidRPr="000940CC">
        <w:rPr>
          <w:rFonts w:ascii="Calibri Light" w:eastAsia="Calibri" w:hAnsi="Calibri Light" w:cs="Calibri Light"/>
          <w:sz w:val="23"/>
          <w:szCs w:val="23"/>
        </w:rPr>
        <w:t>a strong record of constructive planning interventions, social infrastructure upgrades</w:t>
      </w:r>
      <w:r w:rsidR="00D74EF0">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and expressions of community views.</w:t>
      </w:r>
      <w:r w:rsidR="00F00E3D">
        <w:rPr>
          <w:rFonts w:ascii="Calibri Light" w:eastAsia="Calibri" w:hAnsi="Calibri Light" w:cs="Calibri Light"/>
          <w:sz w:val="23"/>
          <w:szCs w:val="23"/>
        </w:rPr>
        <w:t xml:space="preserve"> These successful interventions need to be applauded and extended.</w:t>
      </w:r>
    </w:p>
    <w:p w14:paraId="4DF7E4BB" w14:textId="53097144" w:rsidR="00A4595F" w:rsidRDefault="005778A4" w:rsidP="009B2FA7">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For</w:t>
      </w:r>
      <w:r w:rsidR="00F00E3D" w:rsidRPr="000940CC">
        <w:rPr>
          <w:rFonts w:ascii="Calibri Light" w:eastAsia="Calibri" w:hAnsi="Calibri Light" w:cs="Calibri Light"/>
          <w:sz w:val="23"/>
          <w:szCs w:val="23"/>
        </w:rPr>
        <w:t xml:space="preserve"> </w:t>
      </w:r>
      <w:r w:rsidR="00E2525D">
        <w:rPr>
          <w:rFonts w:ascii="Calibri Light" w:eastAsia="Calibri" w:hAnsi="Calibri Light" w:cs="Calibri Light"/>
          <w:sz w:val="23"/>
          <w:szCs w:val="23"/>
        </w:rPr>
        <w:t xml:space="preserve">Section </w:t>
      </w:r>
      <w:r w:rsidR="000A5836">
        <w:rPr>
          <w:rFonts w:ascii="Calibri Light" w:eastAsia="Calibri" w:hAnsi="Calibri Light" w:cs="Calibri Light"/>
          <w:sz w:val="23"/>
          <w:szCs w:val="23"/>
        </w:rPr>
        <w:t>8 (</w:t>
      </w:r>
      <w:r w:rsidR="00F00E3D" w:rsidRPr="000940CC">
        <w:rPr>
          <w:rFonts w:ascii="Calibri Light" w:eastAsia="Calibri" w:hAnsi="Calibri Light" w:cs="Calibri Light"/>
          <w:sz w:val="23"/>
          <w:szCs w:val="23"/>
        </w:rPr>
        <w:t xml:space="preserve">Part </w:t>
      </w:r>
      <w:r w:rsidR="00A4595F">
        <w:rPr>
          <w:rFonts w:ascii="Calibri Light" w:eastAsia="Calibri" w:hAnsi="Calibri Light" w:cs="Calibri Light"/>
          <w:sz w:val="23"/>
          <w:szCs w:val="23"/>
        </w:rPr>
        <w:t>B</w:t>
      </w:r>
      <w:r w:rsidR="000A5836">
        <w:rPr>
          <w:rFonts w:ascii="Calibri Light" w:eastAsia="Calibri" w:hAnsi="Calibri Light" w:cs="Calibri Light"/>
          <w:sz w:val="23"/>
          <w:szCs w:val="23"/>
        </w:rPr>
        <w:t>)</w:t>
      </w:r>
      <w:r w:rsidR="00A4595F">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we </w:t>
      </w:r>
      <w:r w:rsidR="000A5836">
        <w:rPr>
          <w:rFonts w:ascii="Calibri Light" w:eastAsia="Calibri" w:hAnsi="Calibri Light" w:cs="Calibri Light"/>
          <w:sz w:val="23"/>
          <w:szCs w:val="23"/>
        </w:rPr>
        <w:t>consulted</w:t>
      </w:r>
      <w:r w:rsidR="00F00E3D" w:rsidRPr="000940CC">
        <w:rPr>
          <w:rFonts w:ascii="Calibri Light" w:eastAsia="Calibri" w:hAnsi="Calibri Light" w:cs="Calibri Light"/>
          <w:sz w:val="23"/>
          <w:szCs w:val="23"/>
        </w:rPr>
        <w:t xml:space="preserve"> with </w:t>
      </w:r>
      <w:r w:rsidR="000A5836">
        <w:rPr>
          <w:rFonts w:ascii="Calibri Light" w:eastAsia="Calibri" w:hAnsi="Calibri Light" w:cs="Calibri Light"/>
          <w:sz w:val="23"/>
          <w:szCs w:val="23"/>
        </w:rPr>
        <w:t xml:space="preserve">key </w:t>
      </w:r>
      <w:r w:rsidR="00F00E3D">
        <w:rPr>
          <w:rFonts w:ascii="Calibri Light" w:eastAsia="Calibri" w:hAnsi="Calibri Light" w:cs="Calibri Light"/>
          <w:sz w:val="23"/>
          <w:szCs w:val="23"/>
        </w:rPr>
        <w:t>service provider experts</w:t>
      </w:r>
      <w:r w:rsidR="00F00E3D" w:rsidRPr="000940CC">
        <w:rPr>
          <w:rFonts w:ascii="Calibri Light" w:eastAsia="Calibri" w:hAnsi="Calibri Light" w:cs="Calibri Light"/>
          <w:sz w:val="23"/>
          <w:szCs w:val="23"/>
        </w:rPr>
        <w:t xml:space="preserve"> </w:t>
      </w:r>
      <w:r w:rsidR="007F6356">
        <w:rPr>
          <w:rFonts w:ascii="Calibri Light" w:eastAsia="Calibri" w:hAnsi="Calibri Light" w:cs="Calibri Light"/>
          <w:sz w:val="23"/>
          <w:szCs w:val="23"/>
        </w:rPr>
        <w:t>whose</w:t>
      </w:r>
      <w:r w:rsidR="00F00E3D" w:rsidRPr="000940CC">
        <w:rPr>
          <w:rFonts w:ascii="Calibri Light" w:eastAsia="Calibri" w:hAnsi="Calibri Light" w:cs="Calibri Light"/>
          <w:sz w:val="23"/>
          <w:szCs w:val="23"/>
        </w:rPr>
        <w:t xml:space="preserve"> organisations </w:t>
      </w:r>
      <w:r w:rsidR="000A5836">
        <w:rPr>
          <w:rFonts w:ascii="Calibri Light" w:eastAsia="Calibri" w:hAnsi="Calibri Light" w:cs="Calibri Light"/>
          <w:sz w:val="23"/>
          <w:szCs w:val="23"/>
        </w:rPr>
        <w:t xml:space="preserve">support communities in </w:t>
      </w:r>
      <w:r w:rsidR="007F6356">
        <w:rPr>
          <w:rFonts w:ascii="Calibri Light" w:eastAsia="Calibri" w:hAnsi="Calibri Light" w:cs="Calibri Light"/>
          <w:sz w:val="23"/>
          <w:szCs w:val="23"/>
        </w:rPr>
        <w:t xml:space="preserve">Corio, Norlane, and Whittington. </w:t>
      </w:r>
      <w:r w:rsidR="004223E2">
        <w:rPr>
          <w:rFonts w:ascii="Calibri Light" w:eastAsia="Calibri" w:hAnsi="Calibri Light" w:cs="Calibri Light"/>
          <w:sz w:val="23"/>
          <w:szCs w:val="23"/>
        </w:rPr>
        <w:t>Through a series of 12 individual interviews and a subsequent focus group, t</w:t>
      </w:r>
      <w:r w:rsidR="007F6356">
        <w:rPr>
          <w:rFonts w:ascii="Calibri Light" w:eastAsia="Calibri" w:hAnsi="Calibri Light" w:cs="Calibri Light"/>
          <w:sz w:val="23"/>
          <w:szCs w:val="23"/>
        </w:rPr>
        <w:t>his part of the study addressed two research questions:</w:t>
      </w:r>
    </w:p>
    <w:p w14:paraId="5666C467" w14:textId="5E7E1D0D" w:rsidR="00A4595F" w:rsidRPr="00A4595F" w:rsidRDefault="007F6356" w:rsidP="00A4595F">
      <w:pPr>
        <w:pStyle w:val="ListParagraph"/>
        <w:numPr>
          <w:ilvl w:val="0"/>
          <w:numId w:val="98"/>
        </w:numPr>
        <w:spacing w:line="276" w:lineRule="auto"/>
        <w:rPr>
          <w:rFonts w:ascii="Calibri Light" w:eastAsia="Calibri" w:hAnsi="Calibri Light" w:cs="Calibri Light"/>
          <w:sz w:val="23"/>
          <w:szCs w:val="23"/>
        </w:rPr>
      </w:pPr>
      <w:r>
        <w:rPr>
          <w:rFonts w:ascii="Calibri Light" w:eastAsia="Calibri" w:hAnsi="Calibri Light" w:cs="Calibri Light"/>
          <w:sz w:val="23"/>
          <w:szCs w:val="23"/>
        </w:rPr>
        <w:t>H</w:t>
      </w:r>
      <w:r w:rsidR="00F00E3D" w:rsidRPr="00A4595F">
        <w:rPr>
          <w:rFonts w:ascii="Calibri Light" w:eastAsia="Calibri" w:hAnsi="Calibri Light" w:cs="Calibri Light"/>
          <w:sz w:val="23"/>
          <w:szCs w:val="23"/>
        </w:rPr>
        <w:t>ow have “disadvantaged” communities in Geelong dealt with the pandemic?</w:t>
      </w:r>
    </w:p>
    <w:p w14:paraId="670EF8B1" w14:textId="77777777" w:rsidR="00A4595F" w:rsidRPr="00A4595F" w:rsidRDefault="00F00E3D" w:rsidP="00A4595F">
      <w:pPr>
        <w:pStyle w:val="ListParagraph"/>
        <w:numPr>
          <w:ilvl w:val="0"/>
          <w:numId w:val="98"/>
        </w:numPr>
        <w:spacing w:line="276" w:lineRule="auto"/>
        <w:rPr>
          <w:rFonts w:ascii="Calibri Light" w:eastAsia="Calibri" w:hAnsi="Calibri Light" w:cs="Calibri Light"/>
          <w:sz w:val="23"/>
          <w:szCs w:val="23"/>
        </w:rPr>
      </w:pPr>
      <w:r w:rsidRPr="00A4595F">
        <w:rPr>
          <w:rFonts w:ascii="Calibri Light" w:eastAsia="Calibri" w:hAnsi="Calibri Light" w:cs="Calibri Light"/>
          <w:sz w:val="23"/>
          <w:szCs w:val="23"/>
        </w:rPr>
        <w:t>What factors facilitated economic resilience and affirmed social cohesion?</w:t>
      </w:r>
    </w:p>
    <w:p w14:paraId="586E1225" w14:textId="719B1F5C" w:rsidR="00F00E3D" w:rsidRPr="00A4595F" w:rsidRDefault="00F00E3D" w:rsidP="00A4595F">
      <w:pPr>
        <w:pStyle w:val="ListParagraph"/>
        <w:numPr>
          <w:ilvl w:val="0"/>
          <w:numId w:val="98"/>
        </w:numPr>
        <w:spacing w:line="276" w:lineRule="auto"/>
        <w:rPr>
          <w:rFonts w:ascii="Calibri Light" w:eastAsia="Calibri" w:hAnsi="Calibri Light" w:cs="Calibri Light"/>
          <w:sz w:val="23"/>
          <w:szCs w:val="23"/>
        </w:rPr>
      </w:pPr>
      <w:r w:rsidRPr="00A4595F">
        <w:rPr>
          <w:rFonts w:ascii="Calibri Light" w:eastAsia="Calibri" w:hAnsi="Calibri Light" w:cs="Calibri Light"/>
          <w:sz w:val="23"/>
          <w:szCs w:val="23"/>
        </w:rPr>
        <w:t>What interventions worked best and what other approaches could have enhanced their experience?</w:t>
      </w:r>
    </w:p>
    <w:p w14:paraId="11BAED30" w14:textId="5448E331" w:rsidR="00F00E3D" w:rsidRPr="000940CC" w:rsidRDefault="00F00E3D" w:rsidP="009B2FA7">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O</w:t>
      </w:r>
      <w:r w:rsidRPr="000940CC">
        <w:rPr>
          <w:rFonts w:ascii="Calibri Light" w:eastAsia="Calibri" w:hAnsi="Calibri Light" w:cs="Calibri Light"/>
          <w:sz w:val="23"/>
          <w:szCs w:val="23"/>
        </w:rPr>
        <w:t xml:space="preserve">ur </w:t>
      </w:r>
      <w:r w:rsidR="000A0DDF">
        <w:rPr>
          <w:rFonts w:ascii="Calibri Light" w:eastAsia="Calibri" w:hAnsi="Calibri Light" w:cs="Calibri Light"/>
          <w:sz w:val="23"/>
          <w:szCs w:val="23"/>
        </w:rPr>
        <w:t>community informants</w:t>
      </w:r>
      <w:r w:rsidRPr="000940CC">
        <w:rPr>
          <w:rFonts w:ascii="Calibri Light" w:eastAsia="Calibri" w:hAnsi="Calibri Light" w:cs="Calibri Light"/>
          <w:sz w:val="23"/>
          <w:szCs w:val="23"/>
        </w:rPr>
        <w:t xml:space="preserve"> </w:t>
      </w:r>
      <w:r w:rsidR="000A0DDF">
        <w:rPr>
          <w:rFonts w:ascii="Calibri Light" w:eastAsia="Calibri" w:hAnsi="Calibri Light" w:cs="Calibri Light"/>
          <w:sz w:val="23"/>
          <w:szCs w:val="23"/>
        </w:rPr>
        <w:t>told us</w:t>
      </w:r>
      <w:r w:rsidR="007F6356">
        <w:rPr>
          <w:rFonts w:ascii="Calibri Light" w:eastAsia="Calibri" w:hAnsi="Calibri Light" w:cs="Calibri Light"/>
          <w:sz w:val="23"/>
          <w:szCs w:val="23"/>
        </w:rPr>
        <w:t xml:space="preserve"> </w:t>
      </w:r>
      <w:r w:rsidR="005778A4">
        <w:rPr>
          <w:rFonts w:ascii="Calibri Light" w:eastAsia="Calibri" w:hAnsi="Calibri Light" w:cs="Calibri Light"/>
          <w:sz w:val="23"/>
          <w:szCs w:val="23"/>
        </w:rPr>
        <w:t xml:space="preserve">that </w:t>
      </w:r>
      <w:r w:rsidR="007F6356">
        <w:rPr>
          <w:rFonts w:ascii="Calibri Light" w:eastAsia="Calibri" w:hAnsi="Calibri Light" w:cs="Calibri Light"/>
          <w:sz w:val="23"/>
          <w:szCs w:val="23"/>
        </w:rPr>
        <w:t xml:space="preserve">the pandemic </w:t>
      </w:r>
      <w:r w:rsidRPr="000940CC">
        <w:rPr>
          <w:rFonts w:ascii="Calibri Light" w:eastAsia="Calibri" w:hAnsi="Calibri Light" w:cs="Calibri Light"/>
          <w:sz w:val="23"/>
          <w:szCs w:val="23"/>
        </w:rPr>
        <w:t xml:space="preserve">amplified or compounded </w:t>
      </w:r>
      <w:r w:rsidR="007F6356" w:rsidRPr="0E3C9592">
        <w:rPr>
          <w:rFonts w:ascii="Calibri Light" w:eastAsia="Calibri" w:hAnsi="Calibri Light" w:cs="Calibri Light"/>
          <w:sz w:val="23"/>
          <w:szCs w:val="23"/>
        </w:rPr>
        <w:t>many</w:t>
      </w:r>
      <w:r w:rsidR="007F6356" w:rsidRPr="000940CC">
        <w:rPr>
          <w:rFonts w:ascii="Calibri Light" w:eastAsia="Calibri" w:hAnsi="Calibri Light" w:cs="Calibri Light"/>
          <w:sz w:val="23"/>
          <w:szCs w:val="23"/>
        </w:rPr>
        <w:t xml:space="preserve"> entrenched issues</w:t>
      </w:r>
      <w:r w:rsidR="007F6356">
        <w:rPr>
          <w:rFonts w:ascii="Calibri Light" w:eastAsia="Calibri" w:hAnsi="Calibri Light" w:cs="Calibri Light"/>
          <w:sz w:val="23"/>
          <w:szCs w:val="23"/>
        </w:rPr>
        <w:t xml:space="preserve"> </w:t>
      </w:r>
      <w:r w:rsidR="004223E2">
        <w:rPr>
          <w:rFonts w:ascii="Calibri Light" w:eastAsia="Calibri" w:hAnsi="Calibri Light" w:cs="Calibri Light"/>
          <w:sz w:val="23"/>
          <w:szCs w:val="23"/>
        </w:rPr>
        <w:t>for</w:t>
      </w:r>
      <w:r w:rsidR="00553072">
        <w:rPr>
          <w:rFonts w:ascii="Calibri Light" w:eastAsia="Calibri" w:hAnsi="Calibri Light" w:cs="Calibri Light"/>
          <w:sz w:val="23"/>
          <w:szCs w:val="23"/>
        </w:rPr>
        <w:t xml:space="preserve"> these communities</w:t>
      </w:r>
      <w:r w:rsidRPr="000940CC">
        <w:rPr>
          <w:rFonts w:ascii="Calibri Light" w:eastAsia="Calibri" w:hAnsi="Calibri Light" w:cs="Calibri Light"/>
          <w:sz w:val="23"/>
          <w:szCs w:val="23"/>
        </w:rPr>
        <w:t>. While</w:t>
      </w:r>
      <w:r w:rsidR="00553072">
        <w:rPr>
          <w:rFonts w:ascii="Calibri Light" w:eastAsia="Calibri" w:hAnsi="Calibri Light" w:cs="Calibri Light"/>
          <w:sz w:val="23"/>
          <w:szCs w:val="23"/>
        </w:rPr>
        <w:t xml:space="preserve"> they felt </w:t>
      </w:r>
      <w:r w:rsidRPr="000940CC">
        <w:rPr>
          <w:rFonts w:ascii="Calibri Light" w:eastAsia="Calibri" w:hAnsi="Calibri Light" w:cs="Calibri Light"/>
          <w:sz w:val="23"/>
          <w:szCs w:val="23"/>
        </w:rPr>
        <w:t xml:space="preserve">existing unemployment </w:t>
      </w:r>
      <w:r w:rsidR="00553072">
        <w:rPr>
          <w:rFonts w:ascii="Calibri Light" w:eastAsia="Calibri" w:hAnsi="Calibri Light" w:cs="Calibri Light"/>
          <w:sz w:val="23"/>
          <w:szCs w:val="23"/>
        </w:rPr>
        <w:t xml:space="preserve">had </w:t>
      </w:r>
      <w:r w:rsidR="000A0DDF">
        <w:rPr>
          <w:rFonts w:ascii="Calibri Light" w:eastAsia="Calibri" w:hAnsi="Calibri Light" w:cs="Calibri Light"/>
          <w:sz w:val="23"/>
          <w:szCs w:val="23"/>
        </w:rPr>
        <w:t xml:space="preserve">thus far </w:t>
      </w:r>
      <w:r w:rsidR="005778A4">
        <w:rPr>
          <w:rFonts w:ascii="Calibri Light" w:eastAsia="Calibri" w:hAnsi="Calibri Light" w:cs="Calibri Light"/>
          <w:sz w:val="23"/>
          <w:szCs w:val="23"/>
        </w:rPr>
        <w:t xml:space="preserve">only </w:t>
      </w:r>
      <w:r w:rsidR="00553072">
        <w:rPr>
          <w:rFonts w:ascii="Calibri Light" w:eastAsia="Calibri" w:hAnsi="Calibri Light" w:cs="Calibri Light"/>
          <w:sz w:val="23"/>
          <w:szCs w:val="23"/>
        </w:rPr>
        <w:t>been</w:t>
      </w:r>
      <w:r w:rsidRPr="000940CC">
        <w:rPr>
          <w:rFonts w:ascii="Calibri Light" w:eastAsia="Calibri" w:hAnsi="Calibri Light" w:cs="Calibri Light"/>
          <w:sz w:val="23"/>
          <w:szCs w:val="23"/>
        </w:rPr>
        <w:t xml:space="preserve"> impacted to a limited degree, volunteer employment was significantly reduced. Negative education </w:t>
      </w:r>
      <w:r w:rsidR="000C6C20">
        <w:rPr>
          <w:rFonts w:ascii="Calibri Light" w:eastAsia="Calibri" w:hAnsi="Calibri Light" w:cs="Calibri Light"/>
          <w:sz w:val="23"/>
          <w:szCs w:val="23"/>
        </w:rPr>
        <w:t xml:space="preserve">impacts </w:t>
      </w:r>
      <w:r w:rsidRPr="000940CC">
        <w:rPr>
          <w:rFonts w:ascii="Calibri Light" w:eastAsia="Calibri" w:hAnsi="Calibri Light" w:cs="Calibri Light"/>
          <w:sz w:val="23"/>
          <w:szCs w:val="23"/>
        </w:rPr>
        <w:t xml:space="preserve">were reported </w:t>
      </w:r>
      <w:r w:rsidR="000C6C20">
        <w:rPr>
          <w:rFonts w:ascii="Calibri Light" w:eastAsia="Calibri" w:hAnsi="Calibri Light" w:cs="Calibri Light"/>
          <w:sz w:val="23"/>
          <w:szCs w:val="23"/>
        </w:rPr>
        <w:t>across all age levels</w:t>
      </w:r>
      <w:r w:rsidRPr="000940CC">
        <w:rPr>
          <w:rFonts w:ascii="Calibri Light" w:eastAsia="Calibri" w:hAnsi="Calibri Light" w:cs="Calibri Light"/>
          <w:sz w:val="23"/>
          <w:szCs w:val="23"/>
        </w:rPr>
        <w:t>: “</w:t>
      </w:r>
      <w:r w:rsidR="00940D80">
        <w:rPr>
          <w:rFonts w:ascii="Calibri Light" w:eastAsia="Calibri" w:hAnsi="Calibri Light" w:cs="Calibri Light"/>
          <w:sz w:val="23"/>
          <w:szCs w:val="23"/>
        </w:rPr>
        <w:t>COVID</w:t>
      </w:r>
      <w:r w:rsidRPr="000940CC">
        <w:rPr>
          <w:rFonts w:ascii="Calibri Light" w:eastAsia="Calibri" w:hAnsi="Calibri Light" w:cs="Calibri Light"/>
          <w:sz w:val="23"/>
          <w:szCs w:val="23"/>
        </w:rPr>
        <w:t xml:space="preserve"> babies”, pre-school children missing out on socialisation</w:t>
      </w:r>
      <w:r w:rsidR="00553072">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school-age children profoundly affected by the shift to online learning and loss of social interaction with peers</w:t>
      </w:r>
      <w:r w:rsidR="000C6C20">
        <w:rPr>
          <w:rFonts w:ascii="Calibri Light" w:eastAsia="Calibri" w:hAnsi="Calibri Light" w:cs="Calibri Light"/>
          <w:sz w:val="23"/>
          <w:szCs w:val="23"/>
        </w:rPr>
        <w:t xml:space="preserve">, </w:t>
      </w:r>
      <w:r w:rsidR="000C6C20">
        <w:rPr>
          <w:rFonts w:ascii="Calibri Light" w:eastAsia="Calibri" w:hAnsi="Calibri Light" w:cs="Calibri Light"/>
          <w:sz w:val="23"/>
          <w:szCs w:val="23"/>
        </w:rPr>
        <w:lastRenderedPageBreak/>
        <w:t>and adult learners who</w:t>
      </w:r>
      <w:r w:rsidR="00C97435">
        <w:rPr>
          <w:rFonts w:ascii="Calibri Light" w:eastAsia="Calibri" w:hAnsi="Calibri Light" w:cs="Calibri Light"/>
          <w:sz w:val="23"/>
          <w:szCs w:val="23"/>
        </w:rPr>
        <w:t xml:space="preserve"> likewise faced barriers to remote learning</w:t>
      </w:r>
      <w:r w:rsidRPr="000940CC">
        <w:rPr>
          <w:rFonts w:ascii="Calibri Light" w:eastAsia="Calibri" w:hAnsi="Calibri Light" w:cs="Calibri Light"/>
          <w:sz w:val="23"/>
          <w:szCs w:val="23"/>
        </w:rPr>
        <w:t xml:space="preserve">. </w:t>
      </w:r>
      <w:r w:rsidR="00D916E1">
        <w:rPr>
          <w:rFonts w:ascii="Calibri Light" w:eastAsia="Calibri" w:hAnsi="Calibri Light" w:cs="Calibri Light"/>
          <w:sz w:val="23"/>
          <w:szCs w:val="23"/>
        </w:rPr>
        <w:t>D</w:t>
      </w:r>
      <w:r w:rsidRPr="000940CC">
        <w:rPr>
          <w:rFonts w:ascii="Calibri Light" w:eastAsia="Calibri" w:hAnsi="Calibri Light" w:cs="Calibri Light"/>
          <w:sz w:val="23"/>
          <w:szCs w:val="23"/>
        </w:rPr>
        <w:t>isengagement from education</w:t>
      </w:r>
      <w:r w:rsidR="00D916E1">
        <w:rPr>
          <w:rFonts w:ascii="Calibri Light" w:eastAsia="Calibri" w:hAnsi="Calibri Light" w:cs="Calibri Light"/>
          <w:sz w:val="23"/>
          <w:szCs w:val="23"/>
        </w:rPr>
        <w:t xml:space="preserve"> was reported</w:t>
      </w:r>
      <w:r w:rsidR="00553072">
        <w:rPr>
          <w:rFonts w:ascii="Calibri Light" w:eastAsia="Calibri" w:hAnsi="Calibri Light" w:cs="Calibri Light"/>
          <w:sz w:val="23"/>
          <w:szCs w:val="23"/>
        </w:rPr>
        <w:t xml:space="preserve">, </w:t>
      </w:r>
      <w:r w:rsidRPr="000940CC">
        <w:rPr>
          <w:rFonts w:ascii="Calibri Light" w:eastAsia="Calibri" w:hAnsi="Calibri Light" w:cs="Calibri Light"/>
          <w:sz w:val="23"/>
          <w:szCs w:val="23"/>
        </w:rPr>
        <w:t xml:space="preserve">particularly </w:t>
      </w:r>
      <w:r w:rsidR="00553072">
        <w:rPr>
          <w:rFonts w:ascii="Calibri Light" w:eastAsia="Calibri" w:hAnsi="Calibri Light" w:cs="Calibri Light"/>
          <w:sz w:val="23"/>
          <w:szCs w:val="23"/>
        </w:rPr>
        <w:t>for</w:t>
      </w:r>
      <w:r w:rsidRPr="000940CC">
        <w:rPr>
          <w:rFonts w:ascii="Calibri Light" w:eastAsia="Calibri" w:hAnsi="Calibri Light" w:cs="Calibri Light"/>
          <w:sz w:val="23"/>
          <w:szCs w:val="23"/>
        </w:rPr>
        <w:t xml:space="preserve"> young people from vulnerable cohorts. </w:t>
      </w:r>
    </w:p>
    <w:p w14:paraId="4B29F273" w14:textId="74AA0B82" w:rsidR="00F00E3D" w:rsidRPr="000940CC" w:rsidRDefault="00D916E1" w:rsidP="009B2FA7">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C</w:t>
      </w:r>
      <w:r w:rsidR="00F00E3D">
        <w:rPr>
          <w:rFonts w:ascii="Calibri Light" w:eastAsia="Calibri" w:hAnsi="Calibri Light" w:cs="Calibri Light"/>
          <w:sz w:val="23"/>
          <w:szCs w:val="23"/>
        </w:rPr>
        <w:t>onfirming</w:t>
      </w:r>
      <w:r w:rsidR="00F00E3D" w:rsidRPr="000940CC">
        <w:rPr>
          <w:rFonts w:ascii="Calibri Light" w:eastAsia="Calibri" w:hAnsi="Calibri Light" w:cs="Calibri Light"/>
          <w:sz w:val="23"/>
          <w:szCs w:val="23"/>
        </w:rPr>
        <w:t xml:space="preserve"> the gaps revealed </w:t>
      </w:r>
      <w:r>
        <w:rPr>
          <w:rFonts w:ascii="Calibri Light" w:eastAsia="Calibri" w:hAnsi="Calibri Light" w:cs="Calibri Light"/>
          <w:sz w:val="23"/>
          <w:szCs w:val="23"/>
        </w:rPr>
        <w:t>in</w:t>
      </w:r>
      <w:r w:rsidR="00F00E3D" w:rsidRPr="000940CC">
        <w:rPr>
          <w:rFonts w:ascii="Calibri Light" w:eastAsia="Calibri" w:hAnsi="Calibri Light" w:cs="Calibri Light"/>
          <w:sz w:val="23"/>
          <w:szCs w:val="23"/>
        </w:rPr>
        <w:t xml:space="preserve"> our analysis of policy context, </w:t>
      </w:r>
      <w:r>
        <w:rPr>
          <w:rFonts w:ascii="Calibri Light" w:eastAsia="Calibri" w:hAnsi="Calibri Light" w:cs="Calibri Light"/>
          <w:sz w:val="23"/>
          <w:szCs w:val="23"/>
        </w:rPr>
        <w:t xml:space="preserve">our informants reported that </w:t>
      </w:r>
      <w:r w:rsidR="00F00E3D" w:rsidRPr="000940CC">
        <w:rPr>
          <w:rFonts w:ascii="Calibri Light" w:eastAsia="Calibri" w:hAnsi="Calibri Light" w:cs="Calibri Light"/>
          <w:sz w:val="23"/>
          <w:szCs w:val="23"/>
        </w:rPr>
        <w:t>housing, health</w:t>
      </w:r>
      <w:r w:rsidR="00857512">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and wellbeing </w:t>
      </w:r>
      <w:r w:rsidR="00DB603A">
        <w:rPr>
          <w:rFonts w:ascii="Calibri Light" w:eastAsia="Calibri" w:hAnsi="Calibri Light" w:cs="Calibri Light"/>
          <w:sz w:val="23"/>
          <w:szCs w:val="23"/>
        </w:rPr>
        <w:t>issues</w:t>
      </w:r>
      <w:r w:rsidR="00F00E3D" w:rsidRPr="000940CC">
        <w:rPr>
          <w:rFonts w:ascii="Calibri Light" w:eastAsia="Calibri" w:hAnsi="Calibri Light" w:cs="Calibri Light"/>
          <w:sz w:val="23"/>
          <w:szCs w:val="23"/>
        </w:rPr>
        <w:t xml:space="preserve"> became more acute as the impacts of the pandemic </w:t>
      </w:r>
      <w:r w:rsidR="00857512">
        <w:rPr>
          <w:rFonts w:ascii="Calibri Light" w:eastAsia="Calibri" w:hAnsi="Calibri Light" w:cs="Calibri Light"/>
          <w:sz w:val="23"/>
          <w:szCs w:val="23"/>
        </w:rPr>
        <w:t>hit home</w:t>
      </w:r>
      <w:r w:rsidR="00F00E3D" w:rsidRPr="000940CC">
        <w:rPr>
          <w:rFonts w:ascii="Calibri Light" w:eastAsia="Calibri" w:hAnsi="Calibri Light" w:cs="Calibri Light"/>
          <w:sz w:val="23"/>
          <w:szCs w:val="23"/>
        </w:rPr>
        <w:t xml:space="preserve">. </w:t>
      </w:r>
      <w:r w:rsidR="00857512">
        <w:rPr>
          <w:rFonts w:ascii="Calibri Light" w:eastAsia="Calibri" w:hAnsi="Calibri Light" w:cs="Calibri Light"/>
          <w:sz w:val="23"/>
          <w:szCs w:val="23"/>
        </w:rPr>
        <w:t>Existing problems with</w:t>
      </w:r>
      <w:r w:rsidR="00F00E3D" w:rsidRPr="000940CC">
        <w:rPr>
          <w:rFonts w:ascii="Calibri Light" w:eastAsia="Calibri" w:hAnsi="Calibri Light" w:cs="Calibri Light"/>
          <w:sz w:val="23"/>
          <w:szCs w:val="23"/>
        </w:rPr>
        <w:t xml:space="preserve"> housing</w:t>
      </w:r>
      <w:r w:rsidR="00857512">
        <w:rPr>
          <w:rFonts w:ascii="Calibri Light" w:eastAsia="Calibri" w:hAnsi="Calibri Light" w:cs="Calibri Light"/>
          <w:sz w:val="23"/>
          <w:szCs w:val="23"/>
        </w:rPr>
        <w:t xml:space="preserve"> quality and</w:t>
      </w:r>
      <w:r w:rsidR="00F00E3D" w:rsidRPr="000940CC">
        <w:rPr>
          <w:rFonts w:ascii="Calibri Light" w:eastAsia="Calibri" w:hAnsi="Calibri Light" w:cs="Calibri Light"/>
          <w:sz w:val="23"/>
          <w:szCs w:val="23"/>
        </w:rPr>
        <w:t xml:space="preserve"> suitability were exacerbated</w:t>
      </w:r>
      <w:r w:rsidR="00857512">
        <w:rPr>
          <w:rFonts w:ascii="Calibri Light" w:eastAsia="Calibri" w:hAnsi="Calibri Light" w:cs="Calibri Light"/>
          <w:sz w:val="23"/>
          <w:szCs w:val="23"/>
        </w:rPr>
        <w:t>, with</w:t>
      </w:r>
      <w:r w:rsidR="00F00E3D" w:rsidRPr="000940CC">
        <w:rPr>
          <w:rFonts w:ascii="Calibri Light" w:eastAsia="Calibri" w:hAnsi="Calibri Light" w:cs="Calibri Light"/>
          <w:sz w:val="23"/>
          <w:szCs w:val="23"/>
        </w:rPr>
        <w:t xml:space="preserve"> domestic environments ill</w:t>
      </w:r>
      <w:r w:rsidR="00857512">
        <w:rPr>
          <w:rFonts w:ascii="Calibri Light" w:eastAsia="Calibri" w:hAnsi="Calibri Light" w:cs="Calibri Light"/>
          <w:sz w:val="23"/>
          <w:szCs w:val="23"/>
        </w:rPr>
        <w:t>-</w:t>
      </w:r>
      <w:r w:rsidR="00F00E3D" w:rsidRPr="000940CC">
        <w:rPr>
          <w:rFonts w:ascii="Calibri Light" w:eastAsia="Calibri" w:hAnsi="Calibri Light" w:cs="Calibri Light"/>
          <w:sz w:val="23"/>
          <w:szCs w:val="23"/>
        </w:rPr>
        <w:t>equipped for multiple residents living, working</w:t>
      </w:r>
      <w:r w:rsidR="00857512">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and</w:t>
      </w:r>
      <w:r w:rsidR="00F00E3D" w:rsidRPr="0E3C9592">
        <w:rPr>
          <w:rFonts w:ascii="Calibri Light" w:eastAsia="Calibri" w:hAnsi="Calibri Light" w:cs="Calibri Light"/>
          <w:sz w:val="23"/>
          <w:szCs w:val="23"/>
        </w:rPr>
        <w:t>/or</w:t>
      </w:r>
      <w:r w:rsidR="00F00E3D" w:rsidRPr="000940CC">
        <w:rPr>
          <w:rFonts w:ascii="Calibri Light" w:eastAsia="Calibri" w:hAnsi="Calibri Light" w:cs="Calibri Light"/>
          <w:sz w:val="23"/>
          <w:szCs w:val="23"/>
        </w:rPr>
        <w:t xml:space="preserve"> learning around the clock</w:t>
      </w:r>
      <w:r w:rsidR="00F22A10">
        <w:rPr>
          <w:rFonts w:ascii="Calibri Light" w:eastAsia="Calibri" w:hAnsi="Calibri Light" w:cs="Calibri Light"/>
          <w:sz w:val="23"/>
          <w:szCs w:val="23"/>
        </w:rPr>
        <w:t xml:space="preserve">, especially </w:t>
      </w:r>
      <w:r w:rsidR="00DB603A">
        <w:rPr>
          <w:rFonts w:ascii="Calibri Light" w:eastAsia="Calibri" w:hAnsi="Calibri Light" w:cs="Calibri Light"/>
          <w:sz w:val="23"/>
          <w:szCs w:val="23"/>
        </w:rPr>
        <w:t>in the face of</w:t>
      </w:r>
      <w:r w:rsidR="00884FAB">
        <w:rPr>
          <w:rFonts w:ascii="Calibri Light" w:eastAsia="Calibri" w:hAnsi="Calibri Light" w:cs="Calibri Light"/>
          <w:sz w:val="23"/>
          <w:szCs w:val="23"/>
        </w:rPr>
        <w:t xml:space="preserve"> pandemic</w:t>
      </w:r>
      <w:r w:rsidR="00DB603A">
        <w:rPr>
          <w:rFonts w:ascii="Calibri Light" w:eastAsia="Calibri" w:hAnsi="Calibri Light" w:cs="Calibri Light"/>
          <w:sz w:val="23"/>
          <w:szCs w:val="23"/>
        </w:rPr>
        <w:t>-related movement</w:t>
      </w:r>
      <w:r w:rsidR="00884FAB">
        <w:rPr>
          <w:rFonts w:ascii="Calibri Light" w:eastAsia="Calibri" w:hAnsi="Calibri Light" w:cs="Calibri Light"/>
          <w:sz w:val="23"/>
          <w:szCs w:val="23"/>
        </w:rPr>
        <w:t xml:space="preserve"> restrictions</w:t>
      </w:r>
      <w:r w:rsidR="00F00E3D" w:rsidRPr="000940CC">
        <w:rPr>
          <w:rFonts w:ascii="Calibri Light" w:eastAsia="Calibri" w:hAnsi="Calibri Light" w:cs="Calibri Light"/>
          <w:sz w:val="23"/>
          <w:szCs w:val="23"/>
        </w:rPr>
        <w:t>.</w:t>
      </w:r>
      <w:r w:rsidR="00884FAB">
        <w:rPr>
          <w:rFonts w:ascii="Calibri Light" w:eastAsia="Calibri" w:hAnsi="Calibri Light" w:cs="Calibri Light"/>
          <w:sz w:val="23"/>
          <w:szCs w:val="23"/>
        </w:rPr>
        <w:t xml:space="preserve"> Existing </w:t>
      </w:r>
      <w:r w:rsidR="00C84FA9">
        <w:rPr>
          <w:rFonts w:ascii="Calibri Light" w:eastAsia="Calibri" w:hAnsi="Calibri Light" w:cs="Calibri Light"/>
          <w:sz w:val="23"/>
          <w:szCs w:val="23"/>
        </w:rPr>
        <w:t xml:space="preserve">problems </w:t>
      </w:r>
      <w:r w:rsidR="00884FAB">
        <w:rPr>
          <w:rFonts w:ascii="Calibri Light" w:eastAsia="Calibri" w:hAnsi="Calibri Light" w:cs="Calibri Light"/>
          <w:sz w:val="23"/>
          <w:szCs w:val="23"/>
        </w:rPr>
        <w:t xml:space="preserve">of family violence, </w:t>
      </w:r>
      <w:r w:rsidR="00C84FA9">
        <w:rPr>
          <w:rFonts w:ascii="Calibri Light" w:eastAsia="Calibri" w:hAnsi="Calibri Light" w:cs="Calibri Light"/>
          <w:sz w:val="23"/>
          <w:szCs w:val="23"/>
        </w:rPr>
        <w:t xml:space="preserve">housing precarity, </w:t>
      </w:r>
      <w:r w:rsidR="00884FAB">
        <w:rPr>
          <w:rFonts w:ascii="Calibri Light" w:eastAsia="Calibri" w:hAnsi="Calibri Light" w:cs="Calibri Light"/>
          <w:sz w:val="23"/>
          <w:szCs w:val="23"/>
        </w:rPr>
        <w:t>and</w:t>
      </w:r>
      <w:r w:rsidR="00C84FA9">
        <w:rPr>
          <w:rFonts w:ascii="Calibri Light" w:eastAsia="Calibri" w:hAnsi="Calibri Light" w:cs="Calibri Light"/>
          <w:sz w:val="23"/>
          <w:szCs w:val="23"/>
        </w:rPr>
        <w:t xml:space="preserve"> secondary homelessness (couch-surfing, overcrowding) were also intensified by COVID-19.</w:t>
      </w:r>
      <w:r w:rsidR="00F00E3D" w:rsidRPr="000940CC">
        <w:rPr>
          <w:rFonts w:ascii="Calibri Light" w:eastAsia="Calibri" w:hAnsi="Calibri Light" w:cs="Calibri Light"/>
          <w:sz w:val="23"/>
          <w:szCs w:val="23"/>
        </w:rPr>
        <w:t xml:space="preserve"> </w:t>
      </w:r>
      <w:r w:rsidR="00C84FA9">
        <w:rPr>
          <w:rFonts w:ascii="Calibri Light" w:eastAsia="Calibri" w:hAnsi="Calibri Light" w:cs="Calibri Light"/>
          <w:sz w:val="23"/>
          <w:szCs w:val="23"/>
        </w:rPr>
        <w:t>H</w:t>
      </w:r>
      <w:r w:rsidR="00F00E3D" w:rsidRPr="000940CC">
        <w:rPr>
          <w:rFonts w:ascii="Calibri Light" w:eastAsia="Calibri" w:hAnsi="Calibri Light" w:cs="Calibri Light"/>
          <w:sz w:val="23"/>
          <w:szCs w:val="23"/>
        </w:rPr>
        <w:t xml:space="preserve">ealth and wellbeing issues were highly conspicuous, with family violence and social isolation frequently raised, particularly for vulnerable cohorts. </w:t>
      </w:r>
      <w:r w:rsidR="00C84FA9">
        <w:rPr>
          <w:rFonts w:ascii="Calibri Light" w:eastAsia="Calibri" w:hAnsi="Calibri Light" w:cs="Calibri Light"/>
          <w:sz w:val="23"/>
          <w:szCs w:val="23"/>
        </w:rPr>
        <w:t>Our informants reported</w:t>
      </w:r>
      <w:r w:rsidR="00F00E3D" w:rsidRPr="000940CC">
        <w:rPr>
          <w:rFonts w:ascii="Calibri Light" w:eastAsia="Calibri" w:hAnsi="Calibri Light" w:cs="Calibri Light"/>
          <w:sz w:val="23"/>
          <w:szCs w:val="23"/>
        </w:rPr>
        <w:t xml:space="preserve"> deeply negative impacts on mental health and wellbeing due to restricted social networks</w:t>
      </w:r>
      <w:r w:rsidR="001E79E9">
        <w:rPr>
          <w:rFonts w:ascii="Calibri Light" w:eastAsia="Calibri" w:hAnsi="Calibri Light" w:cs="Calibri Light"/>
          <w:sz w:val="23"/>
          <w:szCs w:val="23"/>
        </w:rPr>
        <w:t>, increased stress,</w:t>
      </w:r>
      <w:r w:rsidR="00F00E3D" w:rsidRPr="000940CC">
        <w:rPr>
          <w:rFonts w:ascii="Calibri Light" w:eastAsia="Calibri" w:hAnsi="Calibri Light" w:cs="Calibri Light"/>
          <w:sz w:val="23"/>
          <w:szCs w:val="23"/>
        </w:rPr>
        <w:t xml:space="preserve"> and </w:t>
      </w:r>
      <w:r w:rsidR="00F00E3D">
        <w:rPr>
          <w:rFonts w:ascii="Calibri Light" w:eastAsia="Calibri" w:hAnsi="Calibri Light" w:cs="Calibri Light"/>
          <w:sz w:val="23"/>
          <w:szCs w:val="23"/>
        </w:rPr>
        <w:t xml:space="preserve">limited </w:t>
      </w:r>
      <w:r w:rsidR="00F00E3D" w:rsidRPr="000940CC">
        <w:rPr>
          <w:rFonts w:ascii="Calibri Light" w:eastAsia="Calibri" w:hAnsi="Calibri Light" w:cs="Calibri Light"/>
          <w:sz w:val="23"/>
          <w:szCs w:val="23"/>
        </w:rPr>
        <w:t xml:space="preserve">access to health and wellbeing resources. Food insecurity also </w:t>
      </w:r>
      <w:r w:rsidR="001E79E9">
        <w:rPr>
          <w:rFonts w:ascii="Calibri Light" w:eastAsia="Calibri" w:hAnsi="Calibri Light" w:cs="Calibri Light"/>
          <w:sz w:val="23"/>
          <w:szCs w:val="23"/>
        </w:rPr>
        <w:t>worsened</w:t>
      </w:r>
      <w:r w:rsidR="00F00E3D" w:rsidRPr="000940CC">
        <w:rPr>
          <w:rFonts w:ascii="Calibri Light" w:eastAsia="Calibri" w:hAnsi="Calibri Light" w:cs="Calibri Light"/>
          <w:sz w:val="23"/>
          <w:szCs w:val="23"/>
        </w:rPr>
        <w:t xml:space="preserve">, with many vulnerable </w:t>
      </w:r>
      <w:r w:rsidR="001E79E9">
        <w:rPr>
          <w:rFonts w:ascii="Calibri Light" w:eastAsia="Calibri" w:hAnsi="Calibri Light" w:cs="Calibri Light"/>
          <w:sz w:val="23"/>
          <w:szCs w:val="23"/>
        </w:rPr>
        <w:t>residents</w:t>
      </w:r>
      <w:r w:rsidR="00F00E3D" w:rsidRPr="000940CC">
        <w:rPr>
          <w:rFonts w:ascii="Calibri Light" w:eastAsia="Calibri" w:hAnsi="Calibri Light" w:cs="Calibri Light"/>
          <w:sz w:val="23"/>
          <w:szCs w:val="23"/>
        </w:rPr>
        <w:t xml:space="preserve"> increasingly reliant on others for shopping and meals. </w:t>
      </w:r>
      <w:r w:rsidR="006C0512">
        <w:rPr>
          <w:rFonts w:ascii="Calibri Light" w:eastAsia="Calibri" w:hAnsi="Calibri Light" w:cs="Calibri Light"/>
          <w:sz w:val="23"/>
          <w:szCs w:val="23"/>
        </w:rPr>
        <w:t>Digital exclusion</w:t>
      </w:r>
      <w:r w:rsidR="00F00E3D" w:rsidRPr="000940CC">
        <w:rPr>
          <w:rFonts w:ascii="Calibri Light" w:eastAsia="Calibri" w:hAnsi="Calibri Light" w:cs="Calibri Light"/>
          <w:sz w:val="23"/>
          <w:szCs w:val="23"/>
        </w:rPr>
        <w:t xml:space="preserve">, limited access to </w:t>
      </w:r>
      <w:r w:rsidR="003F4479">
        <w:rPr>
          <w:rFonts w:ascii="Calibri Light" w:eastAsia="Calibri" w:hAnsi="Calibri Light" w:cs="Calibri Light"/>
          <w:sz w:val="23"/>
          <w:szCs w:val="23"/>
        </w:rPr>
        <w:t xml:space="preserve">inclusive and welcoming </w:t>
      </w:r>
      <w:r w:rsidR="00F00E3D" w:rsidRPr="000940CC">
        <w:rPr>
          <w:rFonts w:ascii="Calibri Light" w:eastAsia="Calibri" w:hAnsi="Calibri Light" w:cs="Calibri Light"/>
          <w:sz w:val="23"/>
          <w:szCs w:val="23"/>
        </w:rPr>
        <w:t>public spaces</w:t>
      </w:r>
      <w:r w:rsidR="003F4479">
        <w:rPr>
          <w:rFonts w:ascii="Calibri Light" w:eastAsia="Calibri" w:hAnsi="Calibri Light" w:cs="Calibri Light"/>
          <w:sz w:val="23"/>
          <w:szCs w:val="23"/>
        </w:rPr>
        <w:t>,</w:t>
      </w:r>
      <w:r w:rsidR="00F00E3D" w:rsidRPr="000940CC">
        <w:rPr>
          <w:rFonts w:ascii="Calibri Light" w:eastAsia="Calibri" w:hAnsi="Calibri Light" w:cs="Calibri Light"/>
          <w:sz w:val="23"/>
          <w:szCs w:val="23"/>
        </w:rPr>
        <w:t xml:space="preserve"> and </w:t>
      </w:r>
      <w:r w:rsidR="003F4479">
        <w:rPr>
          <w:rFonts w:ascii="Calibri Light" w:eastAsia="Calibri" w:hAnsi="Calibri Light" w:cs="Calibri Light"/>
          <w:sz w:val="23"/>
          <w:szCs w:val="23"/>
        </w:rPr>
        <w:t>barriers in accessing</w:t>
      </w:r>
      <w:r w:rsidR="00F00E3D">
        <w:rPr>
          <w:rFonts w:ascii="Calibri Light" w:eastAsia="Calibri" w:hAnsi="Calibri Light" w:cs="Calibri Light"/>
          <w:sz w:val="23"/>
          <w:szCs w:val="23"/>
        </w:rPr>
        <w:t xml:space="preserve"> </w:t>
      </w:r>
      <w:r w:rsidR="00F00E3D" w:rsidRPr="000940CC">
        <w:rPr>
          <w:rFonts w:ascii="Calibri Light" w:eastAsia="Calibri" w:hAnsi="Calibri Light" w:cs="Calibri Light"/>
          <w:sz w:val="23"/>
          <w:szCs w:val="23"/>
        </w:rPr>
        <w:t xml:space="preserve">public transport were also </w:t>
      </w:r>
      <w:r w:rsidR="007304C6">
        <w:rPr>
          <w:rFonts w:ascii="Calibri Light" w:eastAsia="Calibri" w:hAnsi="Calibri Light" w:cs="Calibri Light"/>
          <w:sz w:val="23"/>
          <w:szCs w:val="23"/>
        </w:rPr>
        <w:t>prominent themes</w:t>
      </w:r>
      <w:r w:rsidR="00F00E3D" w:rsidRPr="000940CC">
        <w:rPr>
          <w:rFonts w:ascii="Calibri Light" w:eastAsia="Calibri" w:hAnsi="Calibri Light" w:cs="Calibri Light"/>
          <w:sz w:val="23"/>
          <w:szCs w:val="23"/>
        </w:rPr>
        <w:t>.</w:t>
      </w:r>
    </w:p>
    <w:p w14:paraId="2346FF78" w14:textId="16C3F947" w:rsidR="00F00E3D" w:rsidRPr="000940CC" w:rsidRDefault="006C0512" w:rsidP="009B2FA7">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On the p</w:t>
      </w:r>
      <w:r w:rsidR="006C4378">
        <w:rPr>
          <w:rFonts w:ascii="Calibri Light" w:eastAsia="Calibri" w:hAnsi="Calibri Light" w:cs="Calibri Light"/>
          <w:sz w:val="23"/>
          <w:szCs w:val="23"/>
        </w:rPr>
        <w:t>ositive side</w:t>
      </w:r>
      <w:r>
        <w:rPr>
          <w:rFonts w:ascii="Calibri Light" w:eastAsia="Calibri" w:hAnsi="Calibri Light" w:cs="Calibri Light"/>
          <w:sz w:val="23"/>
          <w:szCs w:val="23"/>
        </w:rPr>
        <w:t>, factors</w:t>
      </w:r>
      <w:r w:rsidR="00F00E3D" w:rsidRPr="236DC7AB">
        <w:rPr>
          <w:rFonts w:ascii="Calibri Light" w:eastAsia="Calibri" w:hAnsi="Calibri Light" w:cs="Calibri Light"/>
          <w:sz w:val="23"/>
          <w:szCs w:val="23"/>
        </w:rPr>
        <w:t xml:space="preserve"> that facilitated economic resilience and affirmed social cohesion were </w:t>
      </w:r>
      <w:r w:rsidR="007304C6">
        <w:rPr>
          <w:rFonts w:ascii="Calibri Light" w:eastAsia="Calibri" w:hAnsi="Calibri Light" w:cs="Calibri Light"/>
          <w:sz w:val="23"/>
          <w:szCs w:val="23"/>
        </w:rPr>
        <w:t xml:space="preserve">also </w:t>
      </w:r>
      <w:r w:rsidR="00F00E3D" w:rsidRPr="236DC7AB">
        <w:rPr>
          <w:rFonts w:ascii="Calibri Light" w:eastAsia="Calibri" w:hAnsi="Calibri Light" w:cs="Calibri Light"/>
          <w:sz w:val="23"/>
          <w:szCs w:val="23"/>
        </w:rPr>
        <w:t xml:space="preserve">reported across all five </w:t>
      </w:r>
      <w:r w:rsidR="00D95573">
        <w:rPr>
          <w:rFonts w:ascii="Calibri Light" w:eastAsia="Calibri" w:hAnsi="Calibri Light" w:cs="Calibri Light"/>
          <w:sz w:val="23"/>
          <w:szCs w:val="23"/>
        </w:rPr>
        <w:t>Practice Domain</w:t>
      </w:r>
      <w:r w:rsidR="00F00E3D" w:rsidRPr="236DC7AB">
        <w:rPr>
          <w:rFonts w:ascii="Calibri Light" w:eastAsia="Calibri" w:hAnsi="Calibri Light" w:cs="Calibri Light"/>
          <w:sz w:val="23"/>
          <w:szCs w:val="23"/>
        </w:rPr>
        <w:t>s</w:t>
      </w:r>
      <w:r w:rsidR="007304C6">
        <w:rPr>
          <w:rFonts w:ascii="Calibri Light" w:eastAsia="Calibri" w:hAnsi="Calibri Light" w:cs="Calibri Light"/>
          <w:sz w:val="23"/>
          <w:szCs w:val="23"/>
        </w:rPr>
        <w:t xml:space="preserve">. Some </w:t>
      </w:r>
      <w:r w:rsidR="00F00E3D" w:rsidRPr="236DC7AB">
        <w:rPr>
          <w:rFonts w:ascii="Calibri Light" w:eastAsia="Calibri" w:hAnsi="Calibri Light" w:cs="Calibri Light"/>
          <w:sz w:val="23"/>
          <w:szCs w:val="23"/>
        </w:rPr>
        <w:t>of these</w:t>
      </w:r>
      <w:r w:rsidR="007304C6">
        <w:rPr>
          <w:rFonts w:ascii="Calibri Light" w:eastAsia="Calibri" w:hAnsi="Calibri Light" w:cs="Calibri Light"/>
          <w:sz w:val="23"/>
          <w:szCs w:val="23"/>
        </w:rPr>
        <w:t xml:space="preserve"> factors</w:t>
      </w:r>
      <w:r w:rsidR="00F00E3D" w:rsidRPr="236DC7AB">
        <w:rPr>
          <w:rFonts w:ascii="Calibri Light" w:eastAsia="Calibri" w:hAnsi="Calibri Light" w:cs="Calibri Light"/>
          <w:sz w:val="23"/>
          <w:szCs w:val="23"/>
        </w:rPr>
        <w:t xml:space="preserve"> reflecting the community’s response</w:t>
      </w:r>
      <w:r w:rsidR="007304C6">
        <w:rPr>
          <w:rFonts w:ascii="Calibri Light" w:eastAsia="Calibri" w:hAnsi="Calibri Light" w:cs="Calibri Light"/>
          <w:sz w:val="23"/>
          <w:szCs w:val="23"/>
        </w:rPr>
        <w:t>s</w:t>
      </w:r>
      <w:r w:rsidR="00F00E3D" w:rsidRPr="236DC7AB">
        <w:rPr>
          <w:rFonts w:ascii="Calibri Light" w:eastAsia="Calibri" w:hAnsi="Calibri Light" w:cs="Calibri Light"/>
          <w:sz w:val="23"/>
          <w:szCs w:val="23"/>
        </w:rPr>
        <w:t xml:space="preserve"> to the </w:t>
      </w:r>
      <w:r w:rsidR="006C4378">
        <w:rPr>
          <w:rFonts w:ascii="Calibri Light" w:eastAsia="Calibri" w:hAnsi="Calibri Light" w:cs="Calibri Light"/>
          <w:sz w:val="23"/>
          <w:szCs w:val="23"/>
        </w:rPr>
        <w:t xml:space="preserve">pandemic’s </w:t>
      </w:r>
      <w:r w:rsidR="00F00E3D" w:rsidRPr="236DC7AB">
        <w:rPr>
          <w:rFonts w:ascii="Calibri Light" w:eastAsia="Calibri" w:hAnsi="Calibri Light" w:cs="Calibri Light"/>
          <w:sz w:val="23"/>
          <w:szCs w:val="23"/>
        </w:rPr>
        <w:t>negative impacts</w:t>
      </w:r>
      <w:r w:rsidR="00521930">
        <w:rPr>
          <w:rFonts w:ascii="Calibri Light" w:eastAsia="Calibri" w:hAnsi="Calibri Light" w:cs="Calibri Light"/>
          <w:sz w:val="23"/>
          <w:szCs w:val="23"/>
        </w:rPr>
        <w:t>,</w:t>
      </w:r>
      <w:r w:rsidR="00F00E3D" w:rsidRPr="236DC7AB">
        <w:rPr>
          <w:rFonts w:ascii="Calibri Light" w:eastAsia="Calibri" w:hAnsi="Calibri Light" w:cs="Calibri Light"/>
          <w:sz w:val="23"/>
          <w:szCs w:val="23"/>
        </w:rPr>
        <w:t xml:space="preserve"> described above. </w:t>
      </w:r>
      <w:r w:rsidR="006C4378">
        <w:rPr>
          <w:rFonts w:ascii="Calibri Light" w:eastAsia="Calibri" w:hAnsi="Calibri Light" w:cs="Calibri Light"/>
          <w:sz w:val="23"/>
          <w:szCs w:val="23"/>
        </w:rPr>
        <w:t>The</w:t>
      </w:r>
      <w:r w:rsidR="00F00E3D" w:rsidRPr="236DC7AB">
        <w:rPr>
          <w:rFonts w:ascii="Calibri Light" w:eastAsia="Calibri" w:hAnsi="Calibri Light" w:cs="Calibri Light"/>
          <w:sz w:val="23"/>
          <w:szCs w:val="23"/>
        </w:rPr>
        <w:t xml:space="preserve"> overarching theme was </w:t>
      </w:r>
      <w:r w:rsidR="00521930">
        <w:rPr>
          <w:rFonts w:ascii="Calibri Light" w:eastAsia="Calibri" w:hAnsi="Calibri Light" w:cs="Calibri Light"/>
          <w:sz w:val="23"/>
          <w:szCs w:val="23"/>
        </w:rPr>
        <w:t>residents’</w:t>
      </w:r>
      <w:r w:rsidR="00F00E3D" w:rsidRPr="236DC7AB">
        <w:rPr>
          <w:rFonts w:ascii="Calibri Light" w:eastAsia="Calibri" w:hAnsi="Calibri Light" w:cs="Calibri Light"/>
          <w:sz w:val="23"/>
          <w:szCs w:val="23"/>
        </w:rPr>
        <w:t xml:space="preserve"> leveraging of pre-existing economic and social resilience developed from years of experiences with disadvantage. </w:t>
      </w:r>
      <w:r w:rsidR="00110C94">
        <w:rPr>
          <w:rFonts w:ascii="Calibri Light" w:eastAsia="Calibri" w:hAnsi="Calibri Light" w:cs="Calibri Light"/>
          <w:sz w:val="23"/>
          <w:szCs w:val="23"/>
        </w:rPr>
        <w:t>H</w:t>
      </w:r>
      <w:r w:rsidR="00F00E3D" w:rsidRPr="236DC7AB">
        <w:rPr>
          <w:rFonts w:ascii="Calibri Light" w:eastAsia="Calibri" w:hAnsi="Calibri Light" w:cs="Calibri Light"/>
          <w:sz w:val="23"/>
          <w:szCs w:val="23"/>
        </w:rPr>
        <w:t>ealth and wellbeing support</w:t>
      </w:r>
      <w:r w:rsidR="00110C94">
        <w:rPr>
          <w:rFonts w:ascii="Calibri Light" w:eastAsia="Calibri" w:hAnsi="Calibri Light" w:cs="Calibri Light"/>
          <w:sz w:val="23"/>
          <w:szCs w:val="23"/>
        </w:rPr>
        <w:t xml:space="preserve"> was conspicuous here</w:t>
      </w:r>
      <w:r w:rsidR="00F00E3D" w:rsidRPr="236DC7AB">
        <w:rPr>
          <w:rFonts w:ascii="Calibri Light" w:eastAsia="Calibri" w:hAnsi="Calibri Light" w:cs="Calibri Light"/>
          <w:sz w:val="23"/>
          <w:szCs w:val="23"/>
        </w:rPr>
        <w:t>. For example</w:t>
      </w:r>
      <w:r w:rsidR="00110C94">
        <w:rPr>
          <w:rFonts w:ascii="Calibri Light" w:eastAsia="Calibri" w:hAnsi="Calibri Light" w:cs="Calibri Light"/>
          <w:sz w:val="23"/>
          <w:szCs w:val="23"/>
        </w:rPr>
        <w:t>,</w:t>
      </w:r>
      <w:r w:rsidR="00F00E3D" w:rsidRPr="236DC7AB">
        <w:rPr>
          <w:rFonts w:ascii="Calibri Light" w:eastAsia="Calibri" w:hAnsi="Calibri Light" w:cs="Calibri Light"/>
          <w:sz w:val="23"/>
          <w:szCs w:val="23"/>
        </w:rPr>
        <w:t xml:space="preserve"> informal neighbourhood socialisation and the development of stronger connections to place; community agencies making systemic and responsive improvements to outreach and service delivery; increased peer support via ad hoc residents’ initiatives; community and </w:t>
      </w:r>
      <w:r w:rsidR="00521930">
        <w:rPr>
          <w:rFonts w:ascii="Calibri Light" w:eastAsia="Calibri" w:hAnsi="Calibri Light" w:cs="Calibri Light"/>
          <w:sz w:val="23"/>
          <w:szCs w:val="23"/>
        </w:rPr>
        <w:t>organisational willingness</w:t>
      </w:r>
      <w:r w:rsidR="00F00E3D" w:rsidRPr="236DC7AB">
        <w:rPr>
          <w:rFonts w:ascii="Calibri Light" w:eastAsia="Calibri" w:hAnsi="Calibri Light" w:cs="Calibri Light"/>
          <w:sz w:val="23"/>
          <w:szCs w:val="23"/>
        </w:rPr>
        <w:t xml:space="preserve"> to work together against the common </w:t>
      </w:r>
      <w:r w:rsidR="00110C94">
        <w:rPr>
          <w:rFonts w:ascii="Calibri Light" w:eastAsia="Calibri" w:hAnsi="Calibri Light" w:cs="Calibri Light"/>
          <w:sz w:val="23"/>
          <w:szCs w:val="23"/>
        </w:rPr>
        <w:t>COVID</w:t>
      </w:r>
      <w:r w:rsidR="006C4378">
        <w:rPr>
          <w:rFonts w:ascii="Calibri Light" w:eastAsia="Calibri" w:hAnsi="Calibri Light" w:cs="Calibri Light"/>
          <w:sz w:val="23"/>
          <w:szCs w:val="23"/>
        </w:rPr>
        <w:t xml:space="preserve"> “foe”</w:t>
      </w:r>
      <w:r w:rsidR="00110C94">
        <w:rPr>
          <w:rFonts w:ascii="Calibri Light" w:eastAsia="Calibri" w:hAnsi="Calibri Light" w:cs="Calibri Light"/>
          <w:sz w:val="23"/>
          <w:szCs w:val="23"/>
        </w:rPr>
        <w:t>;</w:t>
      </w:r>
      <w:r w:rsidR="00F00E3D" w:rsidRPr="236DC7AB">
        <w:rPr>
          <w:rFonts w:ascii="Calibri Light" w:eastAsia="Calibri" w:hAnsi="Calibri Light" w:cs="Calibri Light"/>
          <w:sz w:val="23"/>
          <w:szCs w:val="23"/>
        </w:rPr>
        <w:t xml:space="preserve"> and young people </w:t>
      </w:r>
      <w:r w:rsidR="006C4378">
        <w:rPr>
          <w:rFonts w:ascii="Calibri Light" w:eastAsia="Calibri" w:hAnsi="Calibri Light" w:cs="Calibri Light"/>
          <w:sz w:val="23"/>
          <w:szCs w:val="23"/>
        </w:rPr>
        <w:t>providing</w:t>
      </w:r>
      <w:r w:rsidR="00110C94">
        <w:rPr>
          <w:rFonts w:ascii="Calibri Light" w:eastAsia="Calibri" w:hAnsi="Calibri Light" w:cs="Calibri Light"/>
          <w:sz w:val="23"/>
          <w:szCs w:val="23"/>
        </w:rPr>
        <w:t xml:space="preserve"> practical help to</w:t>
      </w:r>
      <w:r w:rsidR="00F00E3D" w:rsidRPr="236DC7AB">
        <w:rPr>
          <w:rFonts w:ascii="Calibri Light" w:eastAsia="Calibri" w:hAnsi="Calibri Light" w:cs="Calibri Light"/>
          <w:sz w:val="23"/>
          <w:szCs w:val="23"/>
        </w:rPr>
        <w:t xml:space="preserve"> vulnerable residents.</w:t>
      </w:r>
    </w:p>
    <w:p w14:paraId="11B9D6B1" w14:textId="0A3BAC00" w:rsidR="002B027D" w:rsidRDefault="00F00E3D" w:rsidP="009B2FA7">
      <w:pPr>
        <w:pStyle w:val="Default"/>
        <w:spacing w:line="276" w:lineRule="auto"/>
        <w:rPr>
          <w:rFonts w:asciiTheme="majorHAnsi" w:hAnsiTheme="majorHAnsi" w:cstheme="majorBidi"/>
          <w:sz w:val="23"/>
          <w:szCs w:val="23"/>
        </w:rPr>
      </w:pPr>
      <w:r>
        <w:rPr>
          <w:rFonts w:asciiTheme="majorHAnsi" w:eastAsiaTheme="majorEastAsia" w:hAnsiTheme="majorHAnsi" w:cstheme="majorHAnsi"/>
          <w:sz w:val="23"/>
          <w:szCs w:val="23"/>
          <w:lang w:val="en-GB"/>
        </w:rPr>
        <w:t>When asked which initiatives worked best in the</w:t>
      </w:r>
      <w:r w:rsidR="00CE3151">
        <w:rPr>
          <w:rFonts w:asciiTheme="majorHAnsi" w:eastAsiaTheme="majorEastAsia" w:hAnsiTheme="majorHAnsi" w:cstheme="majorHAnsi"/>
          <w:sz w:val="23"/>
          <w:szCs w:val="23"/>
          <w:lang w:val="en-GB"/>
        </w:rPr>
        <w:t>ir</w:t>
      </w:r>
      <w:r>
        <w:rPr>
          <w:rFonts w:asciiTheme="majorHAnsi" w:eastAsiaTheme="majorEastAsia" w:hAnsiTheme="majorHAnsi" w:cstheme="majorHAnsi"/>
          <w:sz w:val="23"/>
          <w:szCs w:val="23"/>
          <w:lang w:val="en-GB"/>
        </w:rPr>
        <w:t xml:space="preserve"> communities, </w:t>
      </w:r>
      <w:r w:rsidR="00B65A2C">
        <w:rPr>
          <w:rFonts w:asciiTheme="majorHAnsi" w:eastAsia="Calibri Light" w:hAnsiTheme="majorHAnsi" w:cstheme="majorHAnsi"/>
          <w:sz w:val="23"/>
          <w:szCs w:val="23"/>
          <w:lang w:val="en-GB"/>
        </w:rPr>
        <w:t>our informants</w:t>
      </w:r>
      <w:r w:rsidR="00D95573">
        <w:rPr>
          <w:rFonts w:asciiTheme="majorHAnsi" w:eastAsia="Calibri Light" w:hAnsiTheme="majorHAnsi" w:cstheme="majorHAnsi"/>
          <w:sz w:val="23"/>
          <w:szCs w:val="23"/>
          <w:lang w:val="en-GB"/>
        </w:rPr>
        <w:t xml:space="preserve"> strongly</w:t>
      </w:r>
      <w:r>
        <w:rPr>
          <w:rFonts w:asciiTheme="majorHAnsi" w:eastAsia="Calibri Light" w:hAnsiTheme="majorHAnsi" w:cstheme="majorHAnsi"/>
          <w:sz w:val="23"/>
          <w:szCs w:val="23"/>
          <w:lang w:val="en-GB"/>
        </w:rPr>
        <w:t xml:space="preserve"> </w:t>
      </w:r>
      <w:r w:rsidR="00B65A2C">
        <w:rPr>
          <w:rFonts w:asciiTheme="majorHAnsi" w:eastAsia="Calibri Light" w:hAnsiTheme="majorHAnsi" w:cstheme="majorHAnsi"/>
          <w:sz w:val="23"/>
          <w:szCs w:val="23"/>
          <w:lang w:val="en-GB"/>
        </w:rPr>
        <w:t>emphasised that</w:t>
      </w:r>
      <w:r w:rsidRPr="00CB3BB5">
        <w:rPr>
          <w:rFonts w:asciiTheme="majorHAnsi" w:eastAsia="Calibri Light" w:hAnsiTheme="majorHAnsi" w:cstheme="majorHAnsi"/>
          <w:sz w:val="23"/>
          <w:szCs w:val="23"/>
          <w:lang w:val="en-GB"/>
        </w:rPr>
        <w:t xml:space="preserve"> </w:t>
      </w:r>
      <w:r>
        <w:rPr>
          <w:rFonts w:asciiTheme="majorHAnsi" w:eastAsia="Calibri Light" w:hAnsiTheme="majorHAnsi" w:cstheme="majorHAnsi"/>
          <w:sz w:val="23"/>
          <w:szCs w:val="23"/>
          <w:lang w:val="en-GB"/>
        </w:rPr>
        <w:t>successful approaches</w:t>
      </w:r>
      <w:r w:rsidR="00B65A2C">
        <w:rPr>
          <w:rFonts w:asciiTheme="majorHAnsi" w:eastAsia="Calibri Light" w:hAnsiTheme="majorHAnsi" w:cstheme="majorHAnsi"/>
          <w:sz w:val="23"/>
          <w:szCs w:val="23"/>
          <w:lang w:val="en-GB"/>
        </w:rPr>
        <w:t xml:space="preserve"> must:</w:t>
      </w:r>
      <w:r>
        <w:rPr>
          <w:rFonts w:asciiTheme="majorHAnsi" w:eastAsia="Calibri Light" w:hAnsiTheme="majorHAnsi" w:cstheme="majorHAnsi"/>
          <w:sz w:val="23"/>
          <w:szCs w:val="23"/>
          <w:lang w:val="en-GB"/>
        </w:rPr>
        <w:t xml:space="preserve"> </w:t>
      </w:r>
      <w:r w:rsidRPr="001A0073">
        <w:rPr>
          <w:rFonts w:asciiTheme="majorHAnsi" w:hAnsiTheme="majorHAnsi" w:cstheme="majorHAnsi"/>
          <w:bCs/>
          <w:color w:val="000000" w:themeColor="text1"/>
          <w:sz w:val="23"/>
          <w:szCs w:val="23"/>
        </w:rPr>
        <w:t>build trust</w:t>
      </w:r>
      <w:r>
        <w:rPr>
          <w:rFonts w:asciiTheme="majorHAnsi" w:hAnsiTheme="majorHAnsi" w:cstheme="majorHAnsi"/>
          <w:bCs/>
          <w:color w:val="000000" w:themeColor="text1"/>
          <w:sz w:val="23"/>
          <w:szCs w:val="23"/>
        </w:rPr>
        <w:t>,</w:t>
      </w:r>
      <w:r w:rsidR="00864588">
        <w:rPr>
          <w:rFonts w:asciiTheme="majorHAnsi" w:hAnsiTheme="majorHAnsi" w:cstheme="majorHAnsi"/>
          <w:bCs/>
          <w:color w:val="000000" w:themeColor="text1"/>
          <w:sz w:val="23"/>
          <w:szCs w:val="23"/>
        </w:rPr>
        <w:t xml:space="preserve"> embra</w:t>
      </w:r>
      <w:r w:rsidR="00CF2DB1">
        <w:rPr>
          <w:rFonts w:asciiTheme="majorHAnsi" w:hAnsiTheme="majorHAnsi" w:cstheme="majorHAnsi"/>
          <w:bCs/>
          <w:color w:val="000000" w:themeColor="text1"/>
          <w:sz w:val="23"/>
          <w:szCs w:val="23"/>
        </w:rPr>
        <w:t>c</w:t>
      </w:r>
      <w:r w:rsidR="00864588">
        <w:rPr>
          <w:rFonts w:asciiTheme="majorHAnsi" w:hAnsiTheme="majorHAnsi" w:cstheme="majorHAnsi"/>
          <w:bCs/>
          <w:color w:val="000000" w:themeColor="text1"/>
          <w:sz w:val="23"/>
          <w:szCs w:val="23"/>
        </w:rPr>
        <w:t xml:space="preserve">e listening, </w:t>
      </w:r>
      <w:r w:rsidR="00CF2DB1">
        <w:rPr>
          <w:rFonts w:asciiTheme="majorHAnsi" w:hAnsiTheme="majorHAnsi" w:cstheme="majorHAnsi"/>
          <w:bCs/>
          <w:color w:val="000000" w:themeColor="text1"/>
          <w:sz w:val="23"/>
          <w:szCs w:val="23"/>
        </w:rPr>
        <w:t>and actively support the community’s</w:t>
      </w:r>
      <w:r w:rsidRPr="001A0073">
        <w:rPr>
          <w:rFonts w:asciiTheme="majorHAnsi" w:hAnsiTheme="majorHAnsi" w:cstheme="majorHAnsi"/>
          <w:bCs/>
          <w:color w:val="000000" w:themeColor="text1"/>
          <w:sz w:val="23"/>
          <w:szCs w:val="23"/>
        </w:rPr>
        <w:t xml:space="preserve"> confidence and empowerment</w:t>
      </w:r>
      <w:r w:rsidR="00864588">
        <w:rPr>
          <w:rFonts w:asciiTheme="majorHAnsi" w:hAnsiTheme="majorHAnsi" w:cstheme="majorHAnsi"/>
          <w:bCs/>
          <w:color w:val="000000" w:themeColor="text1"/>
          <w:sz w:val="23"/>
          <w:szCs w:val="23"/>
        </w:rPr>
        <w:t>;</w:t>
      </w:r>
      <w:r w:rsidR="00CF2DB1">
        <w:rPr>
          <w:rFonts w:asciiTheme="majorHAnsi" w:hAnsiTheme="majorHAnsi" w:cstheme="majorHAnsi"/>
          <w:bCs/>
          <w:color w:val="000000" w:themeColor="text1"/>
          <w:sz w:val="23"/>
          <w:szCs w:val="23"/>
        </w:rPr>
        <w:t xml:space="preserve"> engage residents directly in identifying local issues, devising solutions, and designing programs;</w:t>
      </w:r>
      <w:r>
        <w:rPr>
          <w:rFonts w:asciiTheme="majorHAnsi" w:hAnsiTheme="majorHAnsi" w:cstheme="majorHAnsi"/>
          <w:bCs/>
          <w:color w:val="000000" w:themeColor="text1"/>
          <w:sz w:val="23"/>
          <w:szCs w:val="23"/>
        </w:rPr>
        <w:t xml:space="preserve"> b</w:t>
      </w:r>
      <w:r w:rsidRPr="001A0073">
        <w:rPr>
          <w:rFonts w:asciiTheme="majorHAnsi" w:hAnsiTheme="majorHAnsi" w:cstheme="majorHAnsi"/>
          <w:bCs/>
          <w:color w:val="000000" w:themeColor="text1"/>
          <w:sz w:val="23"/>
          <w:szCs w:val="23"/>
        </w:rPr>
        <w:t xml:space="preserve">uild on existing </w:t>
      </w:r>
      <w:r w:rsidR="00864588">
        <w:rPr>
          <w:rFonts w:asciiTheme="majorHAnsi" w:hAnsiTheme="majorHAnsi" w:cstheme="majorHAnsi"/>
          <w:bCs/>
          <w:color w:val="000000" w:themeColor="text1"/>
          <w:sz w:val="23"/>
          <w:szCs w:val="23"/>
        </w:rPr>
        <w:t xml:space="preserve">local </w:t>
      </w:r>
      <w:r w:rsidRPr="001A0073">
        <w:rPr>
          <w:rFonts w:asciiTheme="majorHAnsi" w:hAnsiTheme="majorHAnsi" w:cstheme="majorHAnsi"/>
          <w:bCs/>
          <w:color w:val="000000" w:themeColor="text1"/>
          <w:sz w:val="23"/>
          <w:szCs w:val="23"/>
        </w:rPr>
        <w:t>strengths</w:t>
      </w:r>
      <w:r w:rsidR="00864588">
        <w:rPr>
          <w:rFonts w:asciiTheme="majorHAnsi" w:hAnsiTheme="majorHAnsi" w:cstheme="majorHAnsi"/>
          <w:bCs/>
          <w:color w:val="000000" w:themeColor="text1"/>
          <w:sz w:val="23"/>
          <w:szCs w:val="23"/>
        </w:rPr>
        <w:t>, resources, and initiatives, rather than re-inventing the wheel;</w:t>
      </w:r>
      <w:r w:rsidRPr="001A0073">
        <w:rPr>
          <w:rFonts w:asciiTheme="majorHAnsi" w:hAnsiTheme="majorHAnsi" w:cstheme="majorHAnsi"/>
          <w:bCs/>
          <w:color w:val="000000" w:themeColor="text1"/>
          <w:sz w:val="23"/>
          <w:szCs w:val="23"/>
        </w:rPr>
        <w:t xml:space="preserve"> </w:t>
      </w:r>
      <w:r>
        <w:rPr>
          <w:rFonts w:asciiTheme="majorHAnsi" w:hAnsiTheme="majorHAnsi" w:cstheme="majorHAnsi"/>
          <w:bCs/>
          <w:color w:val="000000" w:themeColor="text1"/>
          <w:sz w:val="23"/>
          <w:szCs w:val="23"/>
        </w:rPr>
        <w:t>f</w:t>
      </w:r>
      <w:r w:rsidRPr="001A0073">
        <w:rPr>
          <w:rFonts w:asciiTheme="majorHAnsi" w:hAnsiTheme="majorHAnsi" w:cstheme="majorHAnsi"/>
          <w:bCs/>
          <w:color w:val="000000" w:themeColor="text1"/>
          <w:sz w:val="23"/>
          <w:szCs w:val="23"/>
        </w:rPr>
        <w:t>und programs appropriately and sustainably</w:t>
      </w:r>
      <w:r>
        <w:rPr>
          <w:rFonts w:asciiTheme="majorHAnsi" w:hAnsiTheme="majorHAnsi" w:cstheme="majorHAnsi"/>
          <w:bCs/>
          <w:color w:val="000000" w:themeColor="text1"/>
          <w:sz w:val="23"/>
          <w:szCs w:val="23"/>
        </w:rPr>
        <w:t>; p</w:t>
      </w:r>
      <w:r w:rsidRPr="001A0073">
        <w:rPr>
          <w:rFonts w:asciiTheme="majorHAnsi" w:hAnsiTheme="majorHAnsi" w:cstheme="majorHAnsi"/>
          <w:bCs/>
          <w:color w:val="000000" w:themeColor="text1"/>
          <w:sz w:val="23"/>
          <w:szCs w:val="23"/>
        </w:rPr>
        <w:t>lan for long</w:t>
      </w:r>
      <w:r w:rsidR="00864588">
        <w:rPr>
          <w:rFonts w:asciiTheme="majorHAnsi" w:hAnsiTheme="majorHAnsi" w:cstheme="majorHAnsi"/>
          <w:bCs/>
          <w:color w:val="000000" w:themeColor="text1"/>
          <w:sz w:val="23"/>
          <w:szCs w:val="23"/>
        </w:rPr>
        <w:t>-</w:t>
      </w:r>
      <w:r w:rsidRPr="001A0073">
        <w:rPr>
          <w:rFonts w:asciiTheme="majorHAnsi" w:hAnsiTheme="majorHAnsi" w:cstheme="majorHAnsi"/>
          <w:bCs/>
          <w:color w:val="000000" w:themeColor="text1"/>
          <w:sz w:val="23"/>
          <w:szCs w:val="23"/>
        </w:rPr>
        <w:t>term</w:t>
      </w:r>
      <w:r>
        <w:rPr>
          <w:rFonts w:asciiTheme="majorHAnsi" w:hAnsiTheme="majorHAnsi" w:cstheme="majorHAnsi"/>
          <w:bCs/>
          <w:color w:val="000000" w:themeColor="text1"/>
          <w:sz w:val="23"/>
          <w:szCs w:val="23"/>
        </w:rPr>
        <w:t xml:space="preserve"> </w:t>
      </w:r>
      <w:r w:rsidRPr="001A0073">
        <w:rPr>
          <w:rFonts w:asciiTheme="majorHAnsi" w:hAnsiTheme="majorHAnsi" w:cstheme="majorHAnsi"/>
          <w:bCs/>
          <w:color w:val="000000" w:themeColor="text1"/>
          <w:sz w:val="23"/>
          <w:szCs w:val="23"/>
        </w:rPr>
        <w:t>continuity</w:t>
      </w:r>
      <w:r>
        <w:rPr>
          <w:rFonts w:asciiTheme="majorHAnsi" w:hAnsiTheme="majorHAnsi" w:cstheme="majorHAnsi"/>
          <w:bCs/>
          <w:color w:val="000000" w:themeColor="text1"/>
          <w:sz w:val="23"/>
          <w:szCs w:val="23"/>
        </w:rPr>
        <w:t xml:space="preserve"> and delivery of outcomes</w:t>
      </w:r>
      <w:r w:rsidR="00864588">
        <w:rPr>
          <w:rFonts w:asciiTheme="majorHAnsi" w:hAnsiTheme="majorHAnsi" w:cstheme="majorHAnsi"/>
          <w:bCs/>
          <w:color w:val="000000" w:themeColor="text1"/>
          <w:sz w:val="23"/>
          <w:szCs w:val="23"/>
        </w:rPr>
        <w:t>;</w:t>
      </w:r>
      <w:r>
        <w:rPr>
          <w:rFonts w:asciiTheme="majorHAnsi" w:hAnsiTheme="majorHAnsi" w:cstheme="majorHAnsi"/>
          <w:bCs/>
          <w:color w:val="000000" w:themeColor="text1"/>
          <w:sz w:val="23"/>
          <w:szCs w:val="23"/>
        </w:rPr>
        <w:t xml:space="preserve"> s</w:t>
      </w:r>
      <w:r w:rsidRPr="001A0073">
        <w:rPr>
          <w:rFonts w:asciiTheme="majorHAnsi" w:hAnsiTheme="majorHAnsi" w:cstheme="majorHAnsi"/>
          <w:bCs/>
          <w:color w:val="000000" w:themeColor="text1"/>
          <w:sz w:val="23"/>
          <w:szCs w:val="23"/>
        </w:rPr>
        <w:t xml:space="preserve">upport </w:t>
      </w:r>
      <w:r>
        <w:rPr>
          <w:rFonts w:asciiTheme="majorHAnsi" w:hAnsiTheme="majorHAnsi" w:cstheme="majorHAnsi"/>
          <w:bCs/>
          <w:color w:val="000000" w:themeColor="text1"/>
          <w:sz w:val="23"/>
          <w:szCs w:val="23"/>
        </w:rPr>
        <w:t xml:space="preserve">multi-stakeholder </w:t>
      </w:r>
      <w:r w:rsidRPr="001A0073">
        <w:rPr>
          <w:rFonts w:asciiTheme="majorHAnsi" w:hAnsiTheme="majorHAnsi" w:cstheme="majorHAnsi"/>
          <w:bCs/>
          <w:color w:val="000000" w:themeColor="text1"/>
          <w:sz w:val="23"/>
          <w:szCs w:val="23"/>
        </w:rPr>
        <w:t>collaboration</w:t>
      </w:r>
      <w:r>
        <w:rPr>
          <w:rFonts w:asciiTheme="majorHAnsi" w:hAnsiTheme="majorHAnsi" w:cstheme="majorHAnsi"/>
          <w:bCs/>
          <w:color w:val="000000" w:themeColor="text1"/>
          <w:sz w:val="23"/>
          <w:szCs w:val="23"/>
        </w:rPr>
        <w:t>; and p</w:t>
      </w:r>
      <w:r w:rsidRPr="001A0073">
        <w:rPr>
          <w:rFonts w:asciiTheme="majorHAnsi" w:hAnsiTheme="majorHAnsi" w:cstheme="majorHAnsi"/>
          <w:bCs/>
          <w:color w:val="000000" w:themeColor="text1"/>
          <w:sz w:val="23"/>
          <w:szCs w:val="23"/>
        </w:rPr>
        <w:t>rovide holistic/system</w:t>
      </w:r>
      <w:r>
        <w:rPr>
          <w:rFonts w:asciiTheme="majorHAnsi" w:hAnsiTheme="majorHAnsi" w:cstheme="majorHAnsi"/>
          <w:bCs/>
          <w:color w:val="000000" w:themeColor="text1"/>
          <w:sz w:val="23"/>
          <w:szCs w:val="23"/>
        </w:rPr>
        <w:t>at</w:t>
      </w:r>
      <w:r w:rsidRPr="001A0073">
        <w:rPr>
          <w:rFonts w:asciiTheme="majorHAnsi" w:hAnsiTheme="majorHAnsi" w:cstheme="majorHAnsi"/>
          <w:bCs/>
          <w:color w:val="000000" w:themeColor="text1"/>
          <w:sz w:val="23"/>
          <w:szCs w:val="23"/>
        </w:rPr>
        <w:t>ic approaches</w:t>
      </w:r>
      <w:r>
        <w:rPr>
          <w:rFonts w:asciiTheme="majorHAnsi" w:hAnsiTheme="majorHAnsi" w:cstheme="majorHAnsi"/>
          <w:bCs/>
          <w:color w:val="000000" w:themeColor="text1"/>
          <w:sz w:val="23"/>
          <w:szCs w:val="23"/>
        </w:rPr>
        <w:t xml:space="preserve">. </w:t>
      </w:r>
      <w:r w:rsidRPr="300F82B7">
        <w:rPr>
          <w:rFonts w:asciiTheme="majorHAnsi" w:eastAsia="Calibri Light" w:hAnsiTheme="majorHAnsi" w:cstheme="majorBidi"/>
          <w:sz w:val="23"/>
          <w:szCs w:val="23"/>
          <w:lang w:val="en-GB"/>
        </w:rPr>
        <w:t>The</w:t>
      </w:r>
      <w:r>
        <w:rPr>
          <w:rFonts w:asciiTheme="majorHAnsi" w:eastAsia="Calibri Light" w:hAnsiTheme="majorHAnsi" w:cstheme="majorBidi"/>
          <w:sz w:val="23"/>
          <w:szCs w:val="23"/>
          <w:lang w:val="en-GB"/>
        </w:rPr>
        <w:t>y</w:t>
      </w:r>
      <w:r w:rsidRPr="300F82B7">
        <w:rPr>
          <w:rFonts w:asciiTheme="majorHAnsi" w:eastAsia="Calibri Light" w:hAnsiTheme="majorHAnsi" w:cstheme="majorBidi"/>
          <w:sz w:val="23"/>
          <w:szCs w:val="23"/>
          <w:lang w:val="en-GB"/>
        </w:rPr>
        <w:t xml:space="preserve"> </w:t>
      </w:r>
      <w:r>
        <w:rPr>
          <w:rFonts w:asciiTheme="majorHAnsi" w:eastAsia="Calibri Light" w:hAnsiTheme="majorHAnsi" w:cstheme="majorBidi"/>
          <w:sz w:val="23"/>
          <w:szCs w:val="23"/>
          <w:lang w:val="en-GB"/>
        </w:rPr>
        <w:t xml:space="preserve">suggested </w:t>
      </w:r>
      <w:r w:rsidRPr="300F82B7">
        <w:rPr>
          <w:rFonts w:asciiTheme="majorHAnsi" w:eastAsia="Calibri Light" w:hAnsiTheme="majorHAnsi" w:cstheme="majorBidi"/>
          <w:sz w:val="23"/>
          <w:szCs w:val="23"/>
          <w:lang w:val="en-GB"/>
        </w:rPr>
        <w:t>future priorities</w:t>
      </w:r>
      <w:r>
        <w:rPr>
          <w:rFonts w:asciiTheme="majorHAnsi" w:eastAsia="Calibri Light" w:hAnsiTheme="majorHAnsi" w:cstheme="majorBidi"/>
          <w:sz w:val="23"/>
          <w:szCs w:val="23"/>
          <w:lang w:val="en-GB"/>
        </w:rPr>
        <w:t xml:space="preserve"> should address </w:t>
      </w:r>
      <w:r w:rsidR="0010589C">
        <w:rPr>
          <w:rFonts w:asciiTheme="majorHAnsi" w:eastAsia="Calibri Light" w:hAnsiTheme="majorHAnsi" w:cstheme="majorBidi"/>
          <w:sz w:val="23"/>
          <w:szCs w:val="23"/>
          <w:lang w:val="en-GB"/>
        </w:rPr>
        <w:t xml:space="preserve">improving </w:t>
      </w:r>
      <w:r>
        <w:rPr>
          <w:rFonts w:asciiTheme="majorHAnsi" w:eastAsia="Calibri Light" w:hAnsiTheme="majorHAnsi" w:cstheme="majorBidi"/>
          <w:bCs/>
          <w:sz w:val="23"/>
          <w:szCs w:val="23"/>
        </w:rPr>
        <w:t>s</w:t>
      </w:r>
      <w:r w:rsidRPr="00112EE0">
        <w:rPr>
          <w:rFonts w:asciiTheme="majorHAnsi" w:eastAsia="Calibri Light" w:hAnsiTheme="majorHAnsi" w:cstheme="majorBidi"/>
          <w:bCs/>
          <w:sz w:val="23"/>
          <w:szCs w:val="23"/>
        </w:rPr>
        <w:t>ocial connection</w:t>
      </w:r>
      <w:r>
        <w:rPr>
          <w:rFonts w:asciiTheme="majorHAnsi" w:eastAsia="Calibri Light" w:hAnsiTheme="majorHAnsi" w:cstheme="majorBidi"/>
          <w:bCs/>
          <w:sz w:val="23"/>
          <w:szCs w:val="23"/>
        </w:rPr>
        <w:t xml:space="preserve">, </w:t>
      </w:r>
      <w:r w:rsidR="0010589C">
        <w:rPr>
          <w:rFonts w:asciiTheme="majorHAnsi" w:eastAsia="Calibri Light" w:hAnsiTheme="majorHAnsi" w:cstheme="majorBidi"/>
          <w:bCs/>
          <w:sz w:val="23"/>
          <w:szCs w:val="23"/>
        </w:rPr>
        <w:t>better</w:t>
      </w:r>
      <w:r w:rsidRPr="00112EE0">
        <w:rPr>
          <w:rFonts w:asciiTheme="majorHAnsi" w:eastAsia="Calibri Light" w:hAnsiTheme="majorHAnsi" w:cstheme="majorBidi"/>
          <w:bCs/>
          <w:sz w:val="23"/>
          <w:szCs w:val="23"/>
        </w:rPr>
        <w:t xml:space="preserve"> access to services</w:t>
      </w:r>
      <w:r>
        <w:rPr>
          <w:rFonts w:asciiTheme="majorHAnsi" w:eastAsia="Calibri Light" w:hAnsiTheme="majorHAnsi" w:cstheme="majorBidi"/>
          <w:bCs/>
          <w:sz w:val="23"/>
          <w:szCs w:val="23"/>
        </w:rPr>
        <w:t xml:space="preserve">, </w:t>
      </w:r>
      <w:r w:rsidR="0010589C">
        <w:rPr>
          <w:rFonts w:asciiTheme="majorHAnsi" w:eastAsia="Calibri Light" w:hAnsiTheme="majorHAnsi" w:cstheme="majorBidi"/>
          <w:bCs/>
          <w:sz w:val="23"/>
          <w:szCs w:val="23"/>
        </w:rPr>
        <w:t xml:space="preserve">more </w:t>
      </w:r>
      <w:r>
        <w:rPr>
          <w:rFonts w:asciiTheme="majorHAnsi" w:eastAsia="Calibri Light" w:hAnsiTheme="majorHAnsi" w:cstheme="majorBidi"/>
          <w:bCs/>
          <w:sz w:val="23"/>
          <w:szCs w:val="23"/>
        </w:rPr>
        <w:t>s</w:t>
      </w:r>
      <w:r w:rsidRPr="00112EE0">
        <w:rPr>
          <w:rFonts w:asciiTheme="majorHAnsi" w:eastAsia="Calibri Light" w:hAnsiTheme="majorHAnsi" w:cstheme="majorBidi"/>
          <w:bCs/>
          <w:sz w:val="23"/>
          <w:szCs w:val="23"/>
        </w:rPr>
        <w:t>afe and affordable housing</w:t>
      </w:r>
      <w:r>
        <w:rPr>
          <w:rFonts w:asciiTheme="majorHAnsi" w:eastAsia="Calibri Light" w:hAnsiTheme="majorHAnsi" w:cstheme="majorBidi"/>
          <w:bCs/>
          <w:sz w:val="23"/>
          <w:szCs w:val="23"/>
        </w:rPr>
        <w:t xml:space="preserve">, </w:t>
      </w:r>
      <w:r w:rsidR="0010589C">
        <w:rPr>
          <w:rFonts w:asciiTheme="majorHAnsi" w:eastAsia="Calibri Light" w:hAnsiTheme="majorHAnsi" w:cstheme="majorBidi"/>
          <w:bCs/>
          <w:sz w:val="23"/>
          <w:szCs w:val="23"/>
        </w:rPr>
        <w:t xml:space="preserve">improved </w:t>
      </w:r>
      <w:r>
        <w:rPr>
          <w:rFonts w:asciiTheme="majorHAnsi" w:eastAsia="Calibri Light" w:hAnsiTheme="majorHAnsi" w:cstheme="majorBidi"/>
          <w:bCs/>
          <w:sz w:val="23"/>
          <w:szCs w:val="23"/>
        </w:rPr>
        <w:t>p</w:t>
      </w:r>
      <w:r w:rsidRPr="00112EE0">
        <w:rPr>
          <w:rFonts w:asciiTheme="majorHAnsi" w:eastAsia="Calibri Light" w:hAnsiTheme="majorHAnsi" w:cstheme="majorBidi"/>
          <w:bCs/>
          <w:sz w:val="23"/>
          <w:szCs w:val="23"/>
        </w:rPr>
        <w:t>ublic space and placemaking</w:t>
      </w:r>
      <w:r>
        <w:rPr>
          <w:rFonts w:asciiTheme="majorHAnsi" w:eastAsia="Calibri Light" w:hAnsiTheme="majorHAnsi" w:cstheme="majorBidi"/>
          <w:bCs/>
          <w:sz w:val="23"/>
          <w:szCs w:val="23"/>
        </w:rPr>
        <w:t xml:space="preserve">, </w:t>
      </w:r>
      <w:r w:rsidR="0010589C">
        <w:rPr>
          <w:rFonts w:asciiTheme="majorHAnsi" w:eastAsia="Calibri Light" w:hAnsiTheme="majorHAnsi" w:cstheme="majorBidi"/>
          <w:bCs/>
          <w:sz w:val="23"/>
          <w:szCs w:val="23"/>
        </w:rPr>
        <w:t xml:space="preserve">increased </w:t>
      </w:r>
      <w:r>
        <w:rPr>
          <w:rFonts w:asciiTheme="majorHAnsi" w:eastAsia="Calibri Light" w:hAnsiTheme="majorHAnsi" w:cstheme="majorBidi"/>
          <w:bCs/>
          <w:sz w:val="23"/>
          <w:szCs w:val="23"/>
        </w:rPr>
        <w:t>mental</w:t>
      </w:r>
      <w:r w:rsidRPr="00112EE0">
        <w:rPr>
          <w:rFonts w:asciiTheme="majorHAnsi" w:eastAsia="Calibri Light" w:hAnsiTheme="majorHAnsi" w:cstheme="majorBidi"/>
          <w:bCs/>
          <w:sz w:val="23"/>
          <w:szCs w:val="23"/>
          <w:lang w:val="en-GB"/>
        </w:rPr>
        <w:t xml:space="preserve"> health</w:t>
      </w:r>
      <w:r>
        <w:rPr>
          <w:rFonts w:asciiTheme="majorHAnsi" w:eastAsia="Calibri Light" w:hAnsiTheme="majorHAnsi" w:cstheme="majorBidi"/>
          <w:bCs/>
          <w:sz w:val="23"/>
          <w:szCs w:val="23"/>
          <w:lang w:val="en-GB"/>
        </w:rPr>
        <w:t xml:space="preserve"> s</w:t>
      </w:r>
      <w:r w:rsidRPr="00112EE0">
        <w:rPr>
          <w:rFonts w:asciiTheme="majorHAnsi" w:eastAsia="Calibri Light" w:hAnsiTheme="majorHAnsi" w:cstheme="majorBidi"/>
          <w:bCs/>
          <w:sz w:val="23"/>
          <w:szCs w:val="23"/>
          <w:lang w:val="en-GB"/>
        </w:rPr>
        <w:t xml:space="preserve">upport, </w:t>
      </w:r>
      <w:r>
        <w:rPr>
          <w:rFonts w:asciiTheme="majorHAnsi" w:eastAsia="Calibri Light" w:hAnsiTheme="majorHAnsi" w:cstheme="majorBidi"/>
          <w:bCs/>
          <w:sz w:val="23"/>
          <w:szCs w:val="23"/>
          <w:lang w:val="en-GB"/>
        </w:rPr>
        <w:t>a</w:t>
      </w:r>
      <w:r w:rsidRPr="00112EE0">
        <w:rPr>
          <w:rFonts w:asciiTheme="majorHAnsi" w:eastAsia="Calibri Light" w:hAnsiTheme="majorHAnsi" w:cstheme="majorBidi"/>
          <w:bCs/>
          <w:sz w:val="23"/>
          <w:szCs w:val="23"/>
          <w:lang w:val="en-GB"/>
        </w:rPr>
        <w:t xml:space="preserve">rts-based </w:t>
      </w:r>
      <w:r w:rsidR="006C5151">
        <w:rPr>
          <w:rFonts w:asciiTheme="majorHAnsi" w:eastAsia="Calibri Light" w:hAnsiTheme="majorHAnsi" w:cstheme="majorBidi"/>
          <w:bCs/>
          <w:sz w:val="23"/>
          <w:szCs w:val="23"/>
          <w:lang w:val="en-GB"/>
        </w:rPr>
        <w:t xml:space="preserve">activities and </w:t>
      </w:r>
      <w:r w:rsidRPr="00112EE0">
        <w:rPr>
          <w:rFonts w:asciiTheme="majorHAnsi" w:eastAsia="Calibri Light" w:hAnsiTheme="majorHAnsi" w:cstheme="majorBidi"/>
          <w:bCs/>
          <w:sz w:val="23"/>
          <w:szCs w:val="23"/>
          <w:lang w:val="en-GB"/>
        </w:rPr>
        <w:t>events</w:t>
      </w:r>
      <w:r>
        <w:rPr>
          <w:rFonts w:asciiTheme="majorHAnsi" w:eastAsia="Calibri Light" w:hAnsiTheme="majorHAnsi" w:cstheme="majorBidi"/>
          <w:bCs/>
          <w:sz w:val="23"/>
          <w:szCs w:val="23"/>
          <w:lang w:val="en-GB"/>
        </w:rPr>
        <w:t xml:space="preserve"> </w:t>
      </w:r>
      <w:r w:rsidR="006C5151">
        <w:rPr>
          <w:rFonts w:asciiTheme="majorHAnsi" w:eastAsia="Calibri Light" w:hAnsiTheme="majorHAnsi" w:cstheme="majorBidi"/>
          <w:bCs/>
          <w:sz w:val="23"/>
          <w:szCs w:val="23"/>
          <w:lang w:val="en-GB"/>
        </w:rPr>
        <w:t xml:space="preserve">to </w:t>
      </w:r>
      <w:r>
        <w:rPr>
          <w:rFonts w:asciiTheme="majorHAnsi" w:eastAsia="Calibri Light" w:hAnsiTheme="majorHAnsi" w:cstheme="majorBidi"/>
          <w:bCs/>
          <w:sz w:val="23"/>
          <w:szCs w:val="23"/>
          <w:lang w:val="en-GB"/>
        </w:rPr>
        <w:t>address p</w:t>
      </w:r>
      <w:r w:rsidRPr="00112EE0">
        <w:rPr>
          <w:rFonts w:asciiTheme="majorHAnsi" w:eastAsia="Calibri Light" w:hAnsiTheme="majorHAnsi" w:cstheme="majorBidi"/>
          <w:bCs/>
          <w:sz w:val="23"/>
          <w:szCs w:val="23"/>
          <w:lang w:val="en-GB"/>
        </w:rPr>
        <w:t>lace-based stigma</w:t>
      </w:r>
      <w:r>
        <w:rPr>
          <w:rFonts w:asciiTheme="majorHAnsi" w:eastAsia="Calibri Light" w:hAnsiTheme="majorHAnsi" w:cstheme="majorBidi"/>
          <w:bCs/>
          <w:sz w:val="23"/>
          <w:szCs w:val="23"/>
          <w:lang w:val="en-GB"/>
        </w:rPr>
        <w:t xml:space="preserve">, </w:t>
      </w:r>
      <w:r w:rsidR="006C5151">
        <w:rPr>
          <w:rFonts w:asciiTheme="majorHAnsi" w:eastAsia="Calibri Light" w:hAnsiTheme="majorHAnsi" w:cstheme="majorBidi"/>
          <w:bCs/>
          <w:sz w:val="23"/>
          <w:szCs w:val="23"/>
          <w:lang w:val="en-GB"/>
        </w:rPr>
        <w:t xml:space="preserve">improve </w:t>
      </w:r>
      <w:r>
        <w:rPr>
          <w:rFonts w:asciiTheme="majorHAnsi" w:eastAsia="Calibri Light" w:hAnsiTheme="majorHAnsi" w:cstheme="majorBidi"/>
          <w:bCs/>
          <w:sz w:val="23"/>
          <w:szCs w:val="23"/>
          <w:lang w:val="en-GB"/>
        </w:rPr>
        <w:t>digital</w:t>
      </w:r>
      <w:r w:rsidRPr="00112EE0">
        <w:rPr>
          <w:rFonts w:asciiTheme="majorHAnsi" w:eastAsia="Calibri Light" w:hAnsiTheme="majorHAnsi" w:cstheme="majorBidi"/>
          <w:bCs/>
          <w:sz w:val="23"/>
          <w:szCs w:val="23"/>
        </w:rPr>
        <w:t xml:space="preserve"> inclusion</w:t>
      </w:r>
      <w:r>
        <w:rPr>
          <w:rFonts w:asciiTheme="majorHAnsi" w:eastAsia="Calibri Light" w:hAnsiTheme="majorHAnsi" w:cstheme="majorBidi"/>
          <w:bCs/>
          <w:sz w:val="23"/>
          <w:szCs w:val="23"/>
        </w:rPr>
        <w:t xml:space="preserve">, </w:t>
      </w:r>
      <w:r w:rsidR="006C5151">
        <w:rPr>
          <w:rFonts w:asciiTheme="majorHAnsi" w:eastAsia="Calibri Light" w:hAnsiTheme="majorHAnsi" w:cstheme="majorBidi"/>
          <w:bCs/>
          <w:sz w:val="23"/>
          <w:szCs w:val="23"/>
        </w:rPr>
        <w:t xml:space="preserve">provide more </w:t>
      </w:r>
      <w:r>
        <w:rPr>
          <w:rFonts w:asciiTheme="majorHAnsi" w:eastAsia="Calibri Light" w:hAnsiTheme="majorHAnsi" w:cstheme="majorBidi"/>
          <w:bCs/>
          <w:sz w:val="23"/>
          <w:szCs w:val="23"/>
        </w:rPr>
        <w:t>l</w:t>
      </w:r>
      <w:r w:rsidRPr="00112EE0">
        <w:rPr>
          <w:rFonts w:asciiTheme="majorHAnsi" w:eastAsia="Calibri Light" w:hAnsiTheme="majorHAnsi" w:cstheme="majorBidi"/>
          <w:bCs/>
          <w:sz w:val="23"/>
          <w:szCs w:val="23"/>
        </w:rPr>
        <w:t>ocal training and employment</w:t>
      </w:r>
      <w:r w:rsidR="006C5151">
        <w:rPr>
          <w:rFonts w:asciiTheme="majorHAnsi" w:eastAsia="Calibri Light" w:hAnsiTheme="majorHAnsi" w:cstheme="majorBidi"/>
          <w:bCs/>
          <w:sz w:val="23"/>
          <w:szCs w:val="23"/>
        </w:rPr>
        <w:t xml:space="preserve"> opportunities</w:t>
      </w:r>
      <w:r>
        <w:rPr>
          <w:rFonts w:asciiTheme="majorHAnsi" w:eastAsia="Calibri Light" w:hAnsiTheme="majorHAnsi" w:cstheme="majorBidi"/>
          <w:bCs/>
          <w:sz w:val="23"/>
          <w:szCs w:val="23"/>
        </w:rPr>
        <w:t>,</w:t>
      </w:r>
      <w:r w:rsidRPr="00112EE0">
        <w:rPr>
          <w:rFonts w:asciiTheme="majorHAnsi" w:eastAsia="Calibri Light" w:hAnsiTheme="majorHAnsi" w:cstheme="majorBidi"/>
          <w:bCs/>
          <w:sz w:val="23"/>
          <w:szCs w:val="23"/>
        </w:rPr>
        <w:t xml:space="preserve"> and</w:t>
      </w:r>
      <w:r w:rsidR="003A7159">
        <w:rPr>
          <w:rFonts w:asciiTheme="majorHAnsi" w:eastAsia="Calibri Light" w:hAnsiTheme="majorHAnsi" w:cstheme="majorBidi"/>
          <w:bCs/>
          <w:sz w:val="23"/>
          <w:szCs w:val="23"/>
        </w:rPr>
        <w:t xml:space="preserve"> increase</w:t>
      </w:r>
      <w:r w:rsidRPr="00112EE0">
        <w:rPr>
          <w:rFonts w:asciiTheme="majorHAnsi" w:eastAsia="Calibri Light" w:hAnsiTheme="majorHAnsi" w:cstheme="majorBidi"/>
          <w:bCs/>
          <w:sz w:val="23"/>
          <w:szCs w:val="23"/>
        </w:rPr>
        <w:t xml:space="preserve"> </w:t>
      </w:r>
      <w:r>
        <w:rPr>
          <w:rFonts w:asciiTheme="majorHAnsi" w:eastAsia="Calibri Light" w:hAnsiTheme="majorHAnsi" w:cstheme="majorBidi"/>
          <w:bCs/>
          <w:sz w:val="23"/>
          <w:szCs w:val="23"/>
        </w:rPr>
        <w:t>food</w:t>
      </w:r>
      <w:r w:rsidRPr="00112EE0">
        <w:rPr>
          <w:rFonts w:asciiTheme="majorHAnsi" w:eastAsia="Calibri Light" w:hAnsiTheme="majorHAnsi" w:cstheme="majorBidi"/>
          <w:bCs/>
          <w:sz w:val="23"/>
          <w:szCs w:val="23"/>
          <w:lang w:val="en-GB"/>
        </w:rPr>
        <w:t xml:space="preserve"> security</w:t>
      </w:r>
      <w:r w:rsidR="003A7159">
        <w:rPr>
          <w:rFonts w:asciiTheme="majorHAnsi" w:eastAsia="Calibri Light" w:hAnsiTheme="majorHAnsi" w:cstheme="majorBidi"/>
          <w:bCs/>
          <w:sz w:val="23"/>
          <w:szCs w:val="23"/>
          <w:lang w:val="en-GB"/>
        </w:rPr>
        <w:t>. They underlined the need to</w:t>
      </w:r>
      <w:r w:rsidRPr="00112EE0">
        <w:rPr>
          <w:rFonts w:asciiTheme="majorHAnsi" w:hAnsiTheme="majorHAnsi" w:cstheme="majorHAnsi"/>
          <w:sz w:val="23"/>
          <w:szCs w:val="23"/>
        </w:rPr>
        <w:t xml:space="preserve"> </w:t>
      </w:r>
      <w:r w:rsidR="003A7159">
        <w:rPr>
          <w:rFonts w:asciiTheme="majorHAnsi" w:hAnsiTheme="majorHAnsi" w:cstheme="majorHAnsi"/>
          <w:sz w:val="23"/>
          <w:szCs w:val="23"/>
        </w:rPr>
        <w:t>involve</w:t>
      </w:r>
      <w:r w:rsidRPr="008D58FE">
        <w:rPr>
          <w:rFonts w:asciiTheme="majorHAnsi" w:hAnsiTheme="majorHAnsi" w:cstheme="majorHAnsi"/>
          <w:sz w:val="23"/>
          <w:szCs w:val="23"/>
        </w:rPr>
        <w:t xml:space="preserve"> residents in decision</w:t>
      </w:r>
      <w:r w:rsidR="00CE3151">
        <w:rPr>
          <w:rFonts w:asciiTheme="majorHAnsi" w:hAnsiTheme="majorHAnsi" w:cstheme="majorHAnsi"/>
          <w:sz w:val="23"/>
          <w:szCs w:val="23"/>
        </w:rPr>
        <w:t xml:space="preserve"> </w:t>
      </w:r>
      <w:r w:rsidR="0056113A">
        <w:rPr>
          <w:rFonts w:asciiTheme="majorHAnsi" w:hAnsiTheme="majorHAnsi" w:cstheme="majorHAnsi"/>
          <w:sz w:val="23"/>
          <w:szCs w:val="23"/>
        </w:rPr>
        <w:t>making</w:t>
      </w:r>
      <w:r w:rsidR="0056113A" w:rsidRPr="008D58FE">
        <w:rPr>
          <w:rFonts w:asciiTheme="majorHAnsi" w:hAnsiTheme="majorHAnsi" w:cstheme="majorHAnsi"/>
          <w:sz w:val="23"/>
          <w:szCs w:val="23"/>
        </w:rPr>
        <w:t xml:space="preserve"> and</w:t>
      </w:r>
      <w:r>
        <w:rPr>
          <w:rFonts w:asciiTheme="majorHAnsi" w:hAnsiTheme="majorHAnsi" w:cstheme="majorHAnsi"/>
          <w:sz w:val="23"/>
          <w:szCs w:val="23"/>
        </w:rPr>
        <w:t xml:space="preserve"> </w:t>
      </w:r>
      <w:r w:rsidR="003A7159">
        <w:rPr>
          <w:rFonts w:asciiTheme="majorHAnsi" w:hAnsiTheme="majorHAnsi" w:cstheme="majorHAnsi"/>
          <w:sz w:val="23"/>
          <w:szCs w:val="23"/>
        </w:rPr>
        <w:t>engage local people in</w:t>
      </w:r>
      <w:r w:rsidRPr="12F4CFCA">
        <w:rPr>
          <w:rFonts w:asciiTheme="majorHAnsi" w:hAnsiTheme="majorHAnsi" w:cstheme="majorBidi"/>
          <w:sz w:val="23"/>
          <w:szCs w:val="23"/>
        </w:rPr>
        <w:t xml:space="preserve"> upgrading the physical environment</w:t>
      </w:r>
      <w:r>
        <w:rPr>
          <w:rFonts w:asciiTheme="majorHAnsi" w:hAnsiTheme="majorHAnsi" w:cstheme="majorBidi"/>
          <w:sz w:val="23"/>
          <w:szCs w:val="23"/>
        </w:rPr>
        <w:t>.</w:t>
      </w:r>
    </w:p>
    <w:p w14:paraId="1556C17B" w14:textId="77777777" w:rsidR="002B027D" w:rsidRPr="002B027D" w:rsidRDefault="002B027D" w:rsidP="009B2FA7">
      <w:pPr>
        <w:pStyle w:val="Default"/>
        <w:spacing w:line="276" w:lineRule="auto"/>
        <w:rPr>
          <w:rFonts w:asciiTheme="majorHAnsi" w:hAnsiTheme="majorHAnsi" w:cstheme="majorBidi"/>
          <w:sz w:val="16"/>
          <w:szCs w:val="16"/>
        </w:rPr>
      </w:pPr>
    </w:p>
    <w:p w14:paraId="23D4F482" w14:textId="5CB49443" w:rsidR="002B027D" w:rsidRDefault="00F00E3D" w:rsidP="002B027D">
      <w:pPr>
        <w:pStyle w:val="Default"/>
        <w:spacing w:line="276" w:lineRule="auto"/>
        <w:rPr>
          <w:rFonts w:asciiTheme="majorHAnsi" w:hAnsiTheme="majorHAnsi" w:cstheme="majorBidi"/>
          <w:sz w:val="23"/>
          <w:szCs w:val="23"/>
          <w:lang w:val="en-GB"/>
        </w:rPr>
      </w:pPr>
      <w:r>
        <w:rPr>
          <w:rFonts w:asciiTheme="majorHAnsi" w:hAnsiTheme="majorHAnsi" w:cstheme="majorBidi"/>
          <w:sz w:val="23"/>
          <w:szCs w:val="23"/>
        </w:rPr>
        <w:t xml:space="preserve">Finally, our service provider experts recommended that </w:t>
      </w:r>
      <w:r w:rsidRPr="001A0073">
        <w:rPr>
          <w:rFonts w:asciiTheme="majorHAnsi" w:hAnsiTheme="majorHAnsi" w:cstheme="majorHAnsi"/>
          <w:sz w:val="23"/>
          <w:szCs w:val="23"/>
          <w:lang w:val="en-GB"/>
        </w:rPr>
        <w:t>the City of Greater Geelong</w:t>
      </w:r>
      <w:r w:rsidR="0031680E">
        <w:rPr>
          <w:rFonts w:asciiTheme="majorHAnsi" w:hAnsiTheme="majorHAnsi" w:cstheme="majorHAnsi"/>
          <w:sz w:val="23"/>
          <w:szCs w:val="23"/>
          <w:lang w:val="en-GB"/>
        </w:rPr>
        <w:t>’s future role</w:t>
      </w:r>
      <w:r w:rsidRPr="008D58FE">
        <w:rPr>
          <w:rFonts w:asciiTheme="majorHAnsi" w:hAnsiTheme="majorHAnsi" w:cstheme="majorHAnsi"/>
          <w:sz w:val="23"/>
          <w:szCs w:val="23"/>
          <w:lang w:val="en-GB"/>
        </w:rPr>
        <w:t xml:space="preserve"> </w:t>
      </w:r>
      <w:r>
        <w:rPr>
          <w:rFonts w:asciiTheme="majorHAnsi" w:hAnsiTheme="majorHAnsi" w:cstheme="majorHAnsi"/>
          <w:sz w:val="23"/>
          <w:szCs w:val="23"/>
          <w:lang w:val="en-GB"/>
        </w:rPr>
        <w:t>in these initiatives should include:</w:t>
      </w:r>
      <w:r w:rsidRPr="008D58FE">
        <w:rPr>
          <w:rFonts w:asciiTheme="majorHAnsi" w:hAnsiTheme="majorHAnsi" w:cstheme="majorHAnsi"/>
          <w:sz w:val="23"/>
          <w:szCs w:val="23"/>
          <w:lang w:val="en-GB"/>
        </w:rPr>
        <w:t xml:space="preserve"> </w:t>
      </w:r>
      <w:r>
        <w:rPr>
          <w:rFonts w:asciiTheme="majorHAnsi" w:hAnsiTheme="majorHAnsi" w:cstheme="majorHAnsi"/>
          <w:sz w:val="23"/>
          <w:szCs w:val="23"/>
          <w:lang w:val="en-GB"/>
        </w:rPr>
        <w:t xml:space="preserve">being </w:t>
      </w:r>
      <w:r w:rsidRPr="008D58FE">
        <w:rPr>
          <w:rFonts w:asciiTheme="majorHAnsi" w:hAnsiTheme="majorHAnsi" w:cstheme="majorHAnsi"/>
          <w:sz w:val="23"/>
          <w:szCs w:val="23"/>
          <w:lang w:val="en-GB"/>
        </w:rPr>
        <w:t>present, respectful</w:t>
      </w:r>
      <w:r w:rsidR="0031680E">
        <w:rPr>
          <w:rFonts w:asciiTheme="majorHAnsi" w:hAnsiTheme="majorHAnsi" w:cstheme="majorHAnsi"/>
          <w:sz w:val="23"/>
          <w:szCs w:val="23"/>
          <w:lang w:val="en-GB"/>
        </w:rPr>
        <w:t>,</w:t>
      </w:r>
      <w:r w:rsidRPr="008D58FE">
        <w:rPr>
          <w:rFonts w:asciiTheme="majorHAnsi" w:hAnsiTheme="majorHAnsi" w:cstheme="majorHAnsi"/>
          <w:sz w:val="23"/>
          <w:szCs w:val="23"/>
          <w:lang w:val="en-GB"/>
        </w:rPr>
        <w:t xml:space="preserve"> and genuinely consultative with residents</w:t>
      </w:r>
      <w:r>
        <w:rPr>
          <w:rFonts w:asciiTheme="majorHAnsi" w:hAnsiTheme="majorHAnsi" w:cstheme="majorHAnsi"/>
          <w:sz w:val="23"/>
          <w:szCs w:val="23"/>
          <w:lang w:val="en-GB"/>
        </w:rPr>
        <w:t>;</w:t>
      </w:r>
      <w:r w:rsidRPr="008D58FE">
        <w:rPr>
          <w:rFonts w:asciiTheme="majorHAnsi" w:hAnsiTheme="majorHAnsi" w:cstheme="majorHAnsi"/>
          <w:sz w:val="23"/>
          <w:szCs w:val="23"/>
          <w:lang w:val="en-GB"/>
        </w:rPr>
        <w:t xml:space="preserve"> </w:t>
      </w:r>
      <w:r w:rsidRPr="12F4CFCA">
        <w:rPr>
          <w:rFonts w:asciiTheme="majorHAnsi" w:hAnsiTheme="majorHAnsi" w:cstheme="majorBidi"/>
          <w:sz w:val="23"/>
          <w:szCs w:val="23"/>
          <w:lang w:val="en-GB"/>
        </w:rPr>
        <w:t>leverag</w:t>
      </w:r>
      <w:r>
        <w:rPr>
          <w:rFonts w:asciiTheme="majorHAnsi" w:hAnsiTheme="majorHAnsi" w:cstheme="majorBidi"/>
          <w:sz w:val="23"/>
          <w:szCs w:val="23"/>
          <w:lang w:val="en-GB"/>
        </w:rPr>
        <w:t>ing</w:t>
      </w:r>
      <w:r w:rsidRPr="12F4CFCA">
        <w:rPr>
          <w:rFonts w:asciiTheme="majorHAnsi" w:hAnsiTheme="majorHAnsi" w:cstheme="majorBidi"/>
          <w:sz w:val="23"/>
          <w:szCs w:val="23"/>
          <w:lang w:val="en-GB"/>
        </w:rPr>
        <w:t xml:space="preserve"> existing resources</w:t>
      </w:r>
      <w:r>
        <w:rPr>
          <w:rFonts w:asciiTheme="majorHAnsi" w:hAnsiTheme="majorHAnsi" w:cstheme="majorBidi"/>
          <w:sz w:val="23"/>
          <w:szCs w:val="23"/>
          <w:lang w:val="en-GB"/>
        </w:rPr>
        <w:t xml:space="preserve"> with </w:t>
      </w:r>
      <w:r w:rsidR="0031680E">
        <w:rPr>
          <w:rFonts w:asciiTheme="majorHAnsi" w:hAnsiTheme="majorHAnsi" w:cstheme="majorBidi"/>
          <w:sz w:val="23"/>
          <w:szCs w:val="23"/>
          <w:lang w:val="en-GB"/>
        </w:rPr>
        <w:t>S</w:t>
      </w:r>
      <w:r>
        <w:rPr>
          <w:rFonts w:asciiTheme="majorHAnsi" w:hAnsiTheme="majorHAnsi" w:cstheme="majorBidi"/>
          <w:sz w:val="23"/>
          <w:szCs w:val="23"/>
          <w:lang w:val="en-GB"/>
        </w:rPr>
        <w:t xml:space="preserve">tate </w:t>
      </w:r>
      <w:r w:rsidR="0031680E">
        <w:rPr>
          <w:rFonts w:asciiTheme="majorHAnsi" w:hAnsiTheme="majorHAnsi" w:cstheme="majorBidi"/>
          <w:sz w:val="23"/>
          <w:szCs w:val="23"/>
          <w:lang w:val="en-GB"/>
        </w:rPr>
        <w:t>G</w:t>
      </w:r>
      <w:r>
        <w:rPr>
          <w:rFonts w:asciiTheme="majorHAnsi" w:hAnsiTheme="majorHAnsi" w:cstheme="majorBidi"/>
          <w:sz w:val="23"/>
          <w:szCs w:val="23"/>
          <w:lang w:val="en-GB"/>
        </w:rPr>
        <w:t xml:space="preserve">overnment and philanthropy; and </w:t>
      </w:r>
      <w:r w:rsidR="0031680E">
        <w:rPr>
          <w:rFonts w:asciiTheme="majorHAnsi" w:hAnsiTheme="majorHAnsi" w:cstheme="majorHAnsi"/>
          <w:sz w:val="23"/>
          <w:szCs w:val="23"/>
          <w:lang w:val="en-GB"/>
        </w:rPr>
        <w:t>collaborating with</w:t>
      </w:r>
      <w:r w:rsidRPr="12F4CFCA">
        <w:rPr>
          <w:rFonts w:asciiTheme="majorHAnsi" w:hAnsiTheme="majorHAnsi" w:cstheme="majorBidi"/>
          <w:sz w:val="23"/>
          <w:szCs w:val="23"/>
          <w:lang w:val="en-GB"/>
        </w:rPr>
        <w:t xml:space="preserve"> residents</w:t>
      </w:r>
      <w:r w:rsidR="0031680E">
        <w:rPr>
          <w:rFonts w:asciiTheme="majorHAnsi" w:hAnsiTheme="majorHAnsi" w:cstheme="majorBidi"/>
          <w:sz w:val="23"/>
          <w:szCs w:val="23"/>
          <w:lang w:val="en-GB"/>
        </w:rPr>
        <w:t xml:space="preserve"> to develop</w:t>
      </w:r>
      <w:r w:rsidRPr="12F4CFCA">
        <w:rPr>
          <w:rFonts w:asciiTheme="majorHAnsi" w:hAnsiTheme="majorHAnsi" w:cstheme="majorBidi"/>
          <w:sz w:val="23"/>
          <w:szCs w:val="23"/>
          <w:lang w:val="en-GB"/>
        </w:rPr>
        <w:t xml:space="preserve"> an information and accountability </w:t>
      </w:r>
      <w:r w:rsidR="0031680E">
        <w:rPr>
          <w:rFonts w:asciiTheme="majorHAnsi" w:hAnsiTheme="majorHAnsi" w:cstheme="majorBidi"/>
          <w:sz w:val="23"/>
          <w:szCs w:val="23"/>
          <w:lang w:val="en-GB"/>
        </w:rPr>
        <w:t>“</w:t>
      </w:r>
      <w:r w:rsidRPr="12F4CFCA">
        <w:rPr>
          <w:rFonts w:asciiTheme="majorHAnsi" w:hAnsiTheme="majorHAnsi" w:cstheme="majorBidi"/>
          <w:sz w:val="23"/>
          <w:szCs w:val="23"/>
          <w:lang w:val="en-GB"/>
        </w:rPr>
        <w:t>dashboard</w:t>
      </w:r>
      <w:r w:rsidR="0031680E">
        <w:rPr>
          <w:rFonts w:asciiTheme="majorHAnsi" w:hAnsiTheme="majorHAnsi" w:cstheme="majorBidi"/>
          <w:sz w:val="23"/>
          <w:szCs w:val="23"/>
          <w:lang w:val="en-GB"/>
        </w:rPr>
        <w:t>”</w:t>
      </w:r>
      <w:r w:rsidR="00B67696">
        <w:rPr>
          <w:rFonts w:asciiTheme="majorHAnsi" w:hAnsiTheme="majorHAnsi" w:cstheme="majorBidi"/>
          <w:sz w:val="23"/>
          <w:szCs w:val="23"/>
          <w:lang w:val="en-GB"/>
        </w:rPr>
        <w:t xml:space="preserve">, </w:t>
      </w:r>
      <w:r w:rsidR="002B027D">
        <w:rPr>
          <w:rFonts w:asciiTheme="majorHAnsi" w:hAnsiTheme="majorHAnsi" w:cstheme="majorBidi"/>
          <w:sz w:val="23"/>
          <w:szCs w:val="23"/>
          <w:lang w:val="en-GB"/>
        </w:rPr>
        <w:t xml:space="preserve">with </w:t>
      </w:r>
      <w:r>
        <w:rPr>
          <w:rFonts w:asciiTheme="majorHAnsi" w:hAnsiTheme="majorHAnsi" w:cstheme="majorBidi"/>
          <w:sz w:val="23"/>
          <w:szCs w:val="23"/>
          <w:lang w:val="en-GB"/>
        </w:rPr>
        <w:t>feedback loops</w:t>
      </w:r>
      <w:r w:rsidR="00B67696">
        <w:rPr>
          <w:rFonts w:asciiTheme="majorHAnsi" w:hAnsiTheme="majorHAnsi" w:cstheme="majorBidi"/>
          <w:sz w:val="23"/>
          <w:szCs w:val="23"/>
          <w:lang w:val="en-GB"/>
        </w:rPr>
        <w:t>,</w:t>
      </w:r>
      <w:r>
        <w:rPr>
          <w:rFonts w:asciiTheme="majorHAnsi" w:hAnsiTheme="majorHAnsi" w:cstheme="majorBidi"/>
          <w:sz w:val="23"/>
          <w:szCs w:val="23"/>
          <w:lang w:val="en-GB"/>
        </w:rPr>
        <w:t xml:space="preserve"> </w:t>
      </w:r>
      <w:r w:rsidRPr="12F4CFCA">
        <w:rPr>
          <w:rFonts w:asciiTheme="majorHAnsi" w:hAnsiTheme="majorHAnsi" w:cstheme="majorBidi"/>
          <w:sz w:val="23"/>
          <w:szCs w:val="23"/>
          <w:lang w:val="en-GB"/>
        </w:rPr>
        <w:t>to collate, inform</w:t>
      </w:r>
      <w:r w:rsidR="00B67696">
        <w:rPr>
          <w:rFonts w:asciiTheme="majorHAnsi" w:hAnsiTheme="majorHAnsi" w:cstheme="majorBidi"/>
          <w:sz w:val="23"/>
          <w:szCs w:val="23"/>
          <w:lang w:val="en-GB"/>
        </w:rPr>
        <w:t>,</w:t>
      </w:r>
      <w:r w:rsidRPr="12F4CFCA">
        <w:rPr>
          <w:rFonts w:asciiTheme="majorHAnsi" w:hAnsiTheme="majorHAnsi" w:cstheme="majorBidi"/>
          <w:sz w:val="23"/>
          <w:szCs w:val="23"/>
          <w:lang w:val="en-GB"/>
        </w:rPr>
        <w:t xml:space="preserve"> and monitor progress on agreed </w:t>
      </w:r>
      <w:r>
        <w:rPr>
          <w:rFonts w:asciiTheme="majorHAnsi" w:hAnsiTheme="majorHAnsi" w:cstheme="majorBidi"/>
          <w:sz w:val="23"/>
          <w:szCs w:val="23"/>
          <w:lang w:val="en-GB"/>
        </w:rPr>
        <w:t xml:space="preserve">and meaningful </w:t>
      </w:r>
      <w:r w:rsidRPr="12F4CFCA">
        <w:rPr>
          <w:rFonts w:asciiTheme="majorHAnsi" w:hAnsiTheme="majorHAnsi" w:cstheme="majorBidi"/>
          <w:sz w:val="23"/>
          <w:szCs w:val="23"/>
          <w:lang w:val="en-GB"/>
        </w:rPr>
        <w:t>indicators</w:t>
      </w:r>
      <w:r w:rsidR="00B67696">
        <w:rPr>
          <w:rFonts w:asciiTheme="majorHAnsi" w:hAnsiTheme="majorHAnsi" w:cstheme="majorBidi"/>
          <w:sz w:val="23"/>
          <w:szCs w:val="23"/>
          <w:lang w:val="en-GB"/>
        </w:rPr>
        <w:t xml:space="preserve"> for communities in the three localities</w:t>
      </w:r>
      <w:r>
        <w:rPr>
          <w:rFonts w:asciiTheme="majorHAnsi" w:hAnsiTheme="majorHAnsi" w:cstheme="majorBidi"/>
          <w:sz w:val="23"/>
          <w:szCs w:val="23"/>
          <w:lang w:val="en-GB"/>
        </w:rPr>
        <w:t>.</w:t>
      </w:r>
      <w:r w:rsidR="002B027D">
        <w:rPr>
          <w:rFonts w:asciiTheme="majorHAnsi" w:hAnsiTheme="majorHAnsi" w:cstheme="majorBidi"/>
          <w:sz w:val="23"/>
          <w:szCs w:val="23"/>
          <w:lang w:val="en-GB"/>
        </w:rPr>
        <w:br w:type="page"/>
      </w:r>
    </w:p>
    <w:p w14:paraId="64F3DF00" w14:textId="4ACD8757" w:rsidR="008A4C9D" w:rsidRPr="008A4C9D" w:rsidRDefault="00F00E3D" w:rsidP="6A3610E4">
      <w:pPr>
        <w:pStyle w:val="Default"/>
        <w:spacing w:line="276" w:lineRule="auto"/>
        <w:rPr>
          <w:rFonts w:asciiTheme="majorHAnsi" w:hAnsiTheme="majorHAnsi" w:cstheme="majorBidi"/>
          <w:sz w:val="23"/>
          <w:szCs w:val="23"/>
          <w:lang w:val="en-GB"/>
        </w:rPr>
      </w:pPr>
      <w:r w:rsidRPr="00E5798C">
        <w:rPr>
          <w:rFonts w:asciiTheme="majorHAnsi" w:hAnsiTheme="majorHAnsi" w:cstheme="majorBidi"/>
          <w:sz w:val="23"/>
          <w:szCs w:val="23"/>
          <w:lang w:val="en-GB"/>
        </w:rPr>
        <w:lastRenderedPageBreak/>
        <w:t xml:space="preserve">In summary, our </w:t>
      </w:r>
      <w:r w:rsidR="00BD5C04" w:rsidRPr="00E5798C">
        <w:rPr>
          <w:rFonts w:asciiTheme="majorHAnsi" w:hAnsiTheme="majorHAnsi" w:cstheme="majorBidi"/>
          <w:sz w:val="23"/>
          <w:szCs w:val="23"/>
          <w:lang w:val="en-GB"/>
        </w:rPr>
        <w:t xml:space="preserve">policy </w:t>
      </w:r>
      <w:r w:rsidR="607E3409" w:rsidRPr="00E5798C">
        <w:rPr>
          <w:rFonts w:asciiTheme="majorHAnsi" w:hAnsiTheme="majorHAnsi" w:cstheme="majorBidi"/>
          <w:sz w:val="23"/>
          <w:szCs w:val="23"/>
          <w:lang w:val="en-GB"/>
        </w:rPr>
        <w:t>review</w:t>
      </w:r>
      <w:r w:rsidRPr="00E5798C">
        <w:rPr>
          <w:rFonts w:asciiTheme="majorHAnsi" w:hAnsiTheme="majorHAnsi" w:cstheme="majorBidi"/>
          <w:sz w:val="23"/>
          <w:szCs w:val="23"/>
          <w:lang w:val="en-GB"/>
        </w:rPr>
        <w:t xml:space="preserve">, </w:t>
      </w:r>
      <w:r w:rsidR="00940D80" w:rsidRPr="00E5798C">
        <w:rPr>
          <w:rFonts w:asciiTheme="majorHAnsi" w:hAnsiTheme="majorHAnsi" w:cstheme="majorBidi"/>
          <w:sz w:val="23"/>
          <w:szCs w:val="23"/>
          <w:lang w:val="en-GB"/>
        </w:rPr>
        <w:t>COVID</w:t>
      </w:r>
      <w:r w:rsidR="0070152E" w:rsidRPr="00E5798C">
        <w:rPr>
          <w:rFonts w:asciiTheme="majorHAnsi" w:hAnsiTheme="majorHAnsi" w:cstheme="majorBidi"/>
          <w:sz w:val="23"/>
          <w:szCs w:val="23"/>
          <w:lang w:val="en-GB"/>
        </w:rPr>
        <w:t>-19</w:t>
      </w:r>
      <w:r w:rsidRPr="00E5798C">
        <w:rPr>
          <w:rFonts w:asciiTheme="majorHAnsi" w:hAnsiTheme="majorHAnsi" w:cstheme="majorBidi"/>
          <w:sz w:val="23"/>
          <w:szCs w:val="23"/>
          <w:lang w:val="en-GB"/>
        </w:rPr>
        <w:t xml:space="preserve"> impact</w:t>
      </w:r>
      <w:r w:rsidR="428E0C9D" w:rsidRPr="00E5798C">
        <w:rPr>
          <w:rFonts w:asciiTheme="majorHAnsi" w:hAnsiTheme="majorHAnsi" w:cstheme="majorBidi"/>
          <w:sz w:val="23"/>
          <w:szCs w:val="23"/>
          <w:lang w:val="en-GB"/>
        </w:rPr>
        <w:t xml:space="preserve"> assessment</w:t>
      </w:r>
      <w:r w:rsidRPr="00E5798C">
        <w:rPr>
          <w:rFonts w:asciiTheme="majorHAnsi" w:hAnsiTheme="majorHAnsi" w:cstheme="majorBidi"/>
          <w:sz w:val="23"/>
          <w:szCs w:val="23"/>
          <w:lang w:val="en-GB"/>
        </w:rPr>
        <w:t>, community expert interviews</w:t>
      </w:r>
      <w:r w:rsidR="005926B2" w:rsidRPr="00E5798C">
        <w:rPr>
          <w:rFonts w:asciiTheme="majorHAnsi" w:hAnsiTheme="majorHAnsi" w:cstheme="majorBidi"/>
          <w:sz w:val="23"/>
          <w:szCs w:val="23"/>
          <w:lang w:val="en-GB"/>
        </w:rPr>
        <w:t>,</w:t>
      </w:r>
      <w:r w:rsidRPr="00E5798C">
        <w:rPr>
          <w:rFonts w:asciiTheme="majorHAnsi" w:hAnsiTheme="majorHAnsi" w:cstheme="majorBidi"/>
          <w:sz w:val="23"/>
          <w:szCs w:val="23"/>
          <w:lang w:val="en-GB"/>
        </w:rPr>
        <w:t xml:space="preserve"> and focus group) identifies 23 issues likely to have been accentuated by the </w:t>
      </w:r>
      <w:r w:rsidR="00940D80" w:rsidRPr="00E5798C">
        <w:rPr>
          <w:rFonts w:asciiTheme="majorHAnsi" w:hAnsiTheme="majorHAnsi" w:cstheme="majorBidi"/>
          <w:sz w:val="23"/>
          <w:szCs w:val="23"/>
          <w:lang w:val="en-GB"/>
        </w:rPr>
        <w:t>COVID</w:t>
      </w:r>
      <w:r w:rsidRPr="00E5798C">
        <w:rPr>
          <w:rFonts w:asciiTheme="majorHAnsi" w:hAnsiTheme="majorHAnsi" w:cstheme="majorBidi"/>
          <w:sz w:val="23"/>
          <w:szCs w:val="23"/>
          <w:lang w:val="en-GB"/>
        </w:rPr>
        <w:t xml:space="preserve">-19 </w:t>
      </w:r>
      <w:r w:rsidR="00FE31D3" w:rsidRPr="00E5798C">
        <w:rPr>
          <w:rFonts w:asciiTheme="majorHAnsi" w:hAnsiTheme="majorHAnsi" w:cstheme="majorBidi"/>
          <w:sz w:val="23"/>
          <w:szCs w:val="23"/>
          <w:lang w:val="en-GB"/>
        </w:rPr>
        <w:t>pandemic</w:t>
      </w:r>
      <w:r w:rsidRPr="00E5798C">
        <w:rPr>
          <w:rFonts w:asciiTheme="majorHAnsi" w:hAnsiTheme="majorHAnsi" w:cstheme="majorBidi"/>
          <w:sz w:val="23"/>
          <w:szCs w:val="23"/>
          <w:lang w:val="en-GB"/>
        </w:rPr>
        <w:t>.</w:t>
      </w:r>
      <w:r w:rsidR="008A4C9D" w:rsidRPr="00E5798C">
        <w:rPr>
          <w:rFonts w:asciiTheme="majorHAnsi" w:hAnsiTheme="majorHAnsi" w:cstheme="majorBidi"/>
          <w:sz w:val="23"/>
          <w:szCs w:val="23"/>
          <w:lang w:val="en-GB"/>
        </w:rPr>
        <w:t xml:space="preserve"> </w:t>
      </w:r>
      <w:r w:rsidR="008A4C9D" w:rsidRPr="00E5798C">
        <w:rPr>
          <w:rFonts w:ascii="Calibri Light" w:eastAsia="Calibri" w:hAnsi="Calibri Light" w:cs="Calibri Light"/>
          <w:sz w:val="23"/>
          <w:szCs w:val="23"/>
        </w:rPr>
        <w:t>Of these, 12 were repeated across data sets, and stand out as key issues that should be addressed as future priorities: digital access and literacy, disengagement</w:t>
      </w:r>
      <w:r w:rsidR="008A4C9D" w:rsidRPr="6A3610E4">
        <w:rPr>
          <w:rFonts w:ascii="Calibri Light" w:eastAsia="Calibri" w:hAnsi="Calibri Light" w:cs="Calibri Light"/>
          <w:sz w:val="23"/>
          <w:szCs w:val="23"/>
        </w:rPr>
        <w:t xml:space="preserve"> from education, identifying and expanding existing successful programs, unemployment (especially by sectors impacted </w:t>
      </w:r>
      <w:r w:rsidR="0043575D" w:rsidRPr="6A3610E4">
        <w:rPr>
          <w:rFonts w:ascii="Calibri Light" w:eastAsia="Calibri" w:hAnsi="Calibri Light" w:cs="Calibri Light"/>
          <w:sz w:val="23"/>
          <w:szCs w:val="23"/>
        </w:rPr>
        <w:t>by COVID-19)</w:t>
      </w:r>
      <w:r w:rsidR="008A4C9D" w:rsidRPr="6A3610E4">
        <w:rPr>
          <w:rFonts w:ascii="Calibri Light" w:eastAsia="Calibri" w:hAnsi="Calibri Light" w:cs="Calibri Light"/>
          <w:sz w:val="23"/>
          <w:szCs w:val="23"/>
        </w:rPr>
        <w:t>, food security, access to health services, mental health and wellbeing, housing stress and homelessness, housing upgrades, domestic violence, place-based stigma, and access to public spaces and facilities. To these</w:t>
      </w:r>
      <w:r w:rsidR="7EF9BDF5" w:rsidRPr="6A3610E4">
        <w:rPr>
          <w:rFonts w:ascii="Calibri Light" w:eastAsia="Calibri" w:hAnsi="Calibri Light" w:cs="Calibri Light"/>
          <w:sz w:val="23"/>
          <w:szCs w:val="23"/>
        </w:rPr>
        <w:t>,</w:t>
      </w:r>
      <w:r w:rsidR="00FE174D" w:rsidRPr="6A3610E4">
        <w:rPr>
          <w:rFonts w:ascii="Calibri Light" w:eastAsia="Calibri" w:hAnsi="Calibri Light" w:cs="Calibri Light"/>
          <w:sz w:val="23"/>
          <w:szCs w:val="23"/>
        </w:rPr>
        <w:t xml:space="preserve"> we can add a</w:t>
      </w:r>
      <w:r w:rsidR="008A4C9D" w:rsidRPr="6A3610E4">
        <w:rPr>
          <w:rFonts w:ascii="Calibri Light" w:eastAsia="Calibri" w:hAnsi="Calibri Light" w:cs="Calibri Light"/>
          <w:sz w:val="23"/>
          <w:szCs w:val="23"/>
        </w:rPr>
        <w:t xml:space="preserve"> further two</w:t>
      </w:r>
      <w:r w:rsidR="11251CDE" w:rsidRPr="6A3610E4">
        <w:rPr>
          <w:rFonts w:ascii="Calibri Light" w:eastAsia="Calibri" w:hAnsi="Calibri Light" w:cs="Calibri Light"/>
          <w:sz w:val="23"/>
          <w:szCs w:val="23"/>
        </w:rPr>
        <w:t xml:space="preserve"> in the light of</w:t>
      </w:r>
      <w:r w:rsidR="31390D2B" w:rsidRPr="6A3610E4">
        <w:rPr>
          <w:rFonts w:ascii="Calibri Light" w:eastAsia="Calibri" w:hAnsi="Calibri Light" w:cs="Calibri Light"/>
          <w:sz w:val="23"/>
          <w:szCs w:val="23"/>
        </w:rPr>
        <w:t xml:space="preserve"> our policy analysis and interviews</w:t>
      </w:r>
      <w:r w:rsidR="00FE174D" w:rsidRPr="6A3610E4">
        <w:rPr>
          <w:rFonts w:ascii="Calibri Light" w:eastAsia="Calibri" w:hAnsi="Calibri Light" w:cs="Calibri Light"/>
          <w:sz w:val="23"/>
          <w:szCs w:val="23"/>
        </w:rPr>
        <w:t>:</w:t>
      </w:r>
      <w:r w:rsidR="008A4C9D" w:rsidRPr="6A3610E4">
        <w:rPr>
          <w:rFonts w:ascii="Calibri Light" w:eastAsia="Calibri" w:hAnsi="Calibri Light" w:cs="Calibri Light"/>
          <w:sz w:val="23"/>
          <w:szCs w:val="23"/>
        </w:rPr>
        <w:t xml:space="preserve"> namely</w:t>
      </w:r>
      <w:r w:rsidR="00FE174D" w:rsidRPr="6A3610E4">
        <w:rPr>
          <w:rFonts w:ascii="Calibri Light" w:eastAsia="Calibri" w:hAnsi="Calibri Light" w:cs="Calibri Light"/>
          <w:sz w:val="23"/>
          <w:szCs w:val="23"/>
        </w:rPr>
        <w:t>,</w:t>
      </w:r>
      <w:r w:rsidR="008A4C9D" w:rsidRPr="6A3610E4">
        <w:rPr>
          <w:rFonts w:ascii="Calibri Light" w:eastAsia="Calibri" w:hAnsi="Calibri Light" w:cs="Calibri Light"/>
          <w:sz w:val="23"/>
          <w:szCs w:val="23"/>
        </w:rPr>
        <w:t xml:space="preserve"> specific support for the Aboriginal community, and neighbourhood revitalisation. Thus, 14 key issues are identified as priority needs across the three communities</w:t>
      </w:r>
      <w:r w:rsidR="5B08DCD6" w:rsidRPr="6A3610E4">
        <w:rPr>
          <w:rFonts w:ascii="Calibri Light" w:eastAsia="Calibri" w:hAnsi="Calibri Light" w:cs="Calibri Light"/>
          <w:sz w:val="23"/>
          <w:szCs w:val="23"/>
        </w:rPr>
        <w:t xml:space="preserve"> and lead to a set of 10 initiatives which are </w:t>
      </w:r>
      <w:r w:rsidR="6B19DB0F" w:rsidRPr="6A3610E4">
        <w:rPr>
          <w:rFonts w:ascii="Calibri Light" w:eastAsia="Calibri" w:hAnsi="Calibri Light" w:cs="Calibri Light"/>
          <w:sz w:val="23"/>
          <w:szCs w:val="23"/>
        </w:rPr>
        <w:t>outlined</w:t>
      </w:r>
      <w:r w:rsidR="5B08DCD6" w:rsidRPr="6A3610E4">
        <w:rPr>
          <w:rFonts w:ascii="Calibri Light" w:eastAsia="Calibri" w:hAnsi="Calibri Light" w:cs="Calibri Light"/>
          <w:sz w:val="23"/>
          <w:szCs w:val="23"/>
        </w:rPr>
        <w:t xml:space="preserve"> below</w:t>
      </w:r>
      <w:r w:rsidR="008A4C9D" w:rsidRPr="6A3610E4">
        <w:rPr>
          <w:rFonts w:ascii="Calibri Light" w:eastAsia="Calibri" w:hAnsi="Calibri Light" w:cs="Calibri Light"/>
          <w:sz w:val="23"/>
          <w:szCs w:val="23"/>
        </w:rPr>
        <w:t>.</w:t>
      </w:r>
    </w:p>
    <w:p w14:paraId="62AC865B" w14:textId="62080A13" w:rsidR="00F00E3D" w:rsidRPr="006065E3" w:rsidRDefault="00F00E3D" w:rsidP="002B027D">
      <w:pPr>
        <w:spacing w:after="0" w:line="240" w:lineRule="auto"/>
        <w:rPr>
          <w:rFonts w:asciiTheme="majorHAnsi" w:hAnsiTheme="majorHAnsi" w:cstheme="majorHAnsi"/>
          <w:b/>
          <w:bCs/>
          <w:sz w:val="16"/>
          <w:szCs w:val="16"/>
          <w:lang w:val="en-GB"/>
        </w:rPr>
      </w:pPr>
    </w:p>
    <w:p w14:paraId="52A8053C" w14:textId="268685B1" w:rsidR="00F00E3D" w:rsidRDefault="00F00E3D" w:rsidP="003C2FA6">
      <w:pPr>
        <w:spacing w:after="0" w:line="276" w:lineRule="auto"/>
        <w:rPr>
          <w:rFonts w:ascii="Calibri Light" w:eastAsia="Calibri" w:hAnsi="Calibri Light" w:cs="Calibri Light"/>
          <w:sz w:val="23"/>
          <w:szCs w:val="23"/>
        </w:rPr>
      </w:pPr>
      <w:r w:rsidRPr="4061B100">
        <w:rPr>
          <w:rFonts w:ascii="Calibri Light" w:eastAsia="Calibri" w:hAnsi="Calibri Light" w:cs="Calibri Light"/>
          <w:sz w:val="23"/>
          <w:szCs w:val="23"/>
        </w:rPr>
        <w:t xml:space="preserve">Finally, we </w:t>
      </w:r>
      <w:r w:rsidR="00902572">
        <w:rPr>
          <w:rFonts w:ascii="Calibri Light" w:eastAsia="Calibri" w:hAnsi="Calibri Light" w:cs="Calibri Light"/>
          <w:sz w:val="23"/>
          <w:szCs w:val="23"/>
        </w:rPr>
        <w:t>wish to emphasise</w:t>
      </w:r>
      <w:r w:rsidRPr="4061B100">
        <w:rPr>
          <w:rFonts w:ascii="Calibri Light" w:eastAsia="Calibri" w:hAnsi="Calibri Light" w:cs="Calibri Light"/>
          <w:sz w:val="23"/>
          <w:szCs w:val="23"/>
        </w:rPr>
        <w:t xml:space="preserve"> a key finding of this research</w:t>
      </w:r>
      <w:r w:rsidR="00902572">
        <w:rPr>
          <w:rFonts w:ascii="Calibri Light" w:eastAsia="Calibri" w:hAnsi="Calibri Light" w:cs="Calibri Light"/>
          <w:sz w:val="23"/>
          <w:szCs w:val="23"/>
        </w:rPr>
        <w:t>:</w:t>
      </w:r>
      <w:r w:rsidRPr="4061B100">
        <w:rPr>
          <w:rFonts w:ascii="Calibri Light" w:eastAsia="Calibri" w:hAnsi="Calibri Light" w:cs="Calibri Light"/>
          <w:sz w:val="23"/>
          <w:szCs w:val="23"/>
        </w:rPr>
        <w:t xml:space="preserve"> </w:t>
      </w:r>
      <w:r w:rsidR="00902572">
        <w:rPr>
          <w:rFonts w:ascii="Calibri Light" w:eastAsia="Calibri" w:hAnsi="Calibri Light" w:cs="Calibri Light"/>
          <w:sz w:val="23"/>
          <w:szCs w:val="23"/>
        </w:rPr>
        <w:t>communities in the suburbs of focus</w:t>
      </w:r>
      <w:r w:rsidRPr="4061B100">
        <w:rPr>
          <w:rFonts w:ascii="Calibri Light" w:eastAsia="Calibri" w:hAnsi="Calibri Light" w:cs="Calibri Light"/>
          <w:sz w:val="23"/>
          <w:szCs w:val="23"/>
        </w:rPr>
        <w:t xml:space="preserve"> – Corio, Norlane</w:t>
      </w:r>
      <w:r w:rsidR="00BC023C">
        <w:rPr>
          <w:rFonts w:ascii="Calibri Light" w:eastAsia="Calibri" w:hAnsi="Calibri Light" w:cs="Calibri Light"/>
          <w:sz w:val="23"/>
          <w:szCs w:val="23"/>
        </w:rPr>
        <w:t>,</w:t>
      </w:r>
      <w:r w:rsidRPr="4061B100">
        <w:rPr>
          <w:rFonts w:ascii="Calibri Light" w:eastAsia="Calibri" w:hAnsi="Calibri Light" w:cs="Calibri Light"/>
          <w:sz w:val="23"/>
          <w:szCs w:val="23"/>
        </w:rPr>
        <w:t xml:space="preserve"> and Whittington – are typically described as “disadvantaged,” as indeed they are consistently throughout this report. While this is objectively true, it is not the whole story. In fact, the “disadvantaged” label is part of the problem so acutely felt in these areas: it can perpetuate place-based stigma, disempower people</w:t>
      </w:r>
      <w:r w:rsidR="003271A9">
        <w:rPr>
          <w:rFonts w:ascii="Calibri Light" w:eastAsia="Calibri" w:hAnsi="Calibri Light" w:cs="Calibri Light"/>
          <w:sz w:val="23"/>
          <w:szCs w:val="23"/>
        </w:rPr>
        <w:t>.</w:t>
      </w:r>
      <w:r w:rsidRPr="4061B100">
        <w:rPr>
          <w:rFonts w:ascii="Calibri Light" w:eastAsia="Calibri" w:hAnsi="Calibri Light" w:cs="Calibri Light"/>
          <w:sz w:val="23"/>
          <w:szCs w:val="23"/>
        </w:rPr>
        <w:t xml:space="preserve"> and cause them to internalise negative associations. The </w:t>
      </w:r>
      <w:r w:rsidR="003271A9">
        <w:rPr>
          <w:rFonts w:ascii="Calibri Light" w:eastAsia="Calibri" w:hAnsi="Calibri Light" w:cs="Calibri Light"/>
          <w:sz w:val="23"/>
          <w:szCs w:val="23"/>
        </w:rPr>
        <w:t xml:space="preserve">“disadvantaged” </w:t>
      </w:r>
      <w:r w:rsidRPr="4061B100">
        <w:rPr>
          <w:rFonts w:ascii="Calibri Light" w:eastAsia="Calibri" w:hAnsi="Calibri Light" w:cs="Calibri Light"/>
          <w:sz w:val="23"/>
          <w:szCs w:val="23"/>
        </w:rPr>
        <w:t>label also obscures the many strengths of these diverse communities. Historically, conceiving of these places and their residents as “disadvantaged” has also suggested a need for them to be somehow “fixed”, usually by outsiders who swoop in to detail the latest issues and suggest solutions. Indeed, this project could be seen as yet another well-meaning example of such an approach.</w:t>
      </w:r>
    </w:p>
    <w:p w14:paraId="12DDA305" w14:textId="77777777" w:rsidR="00F00E3D" w:rsidRPr="00902572" w:rsidRDefault="00F00E3D" w:rsidP="003C2FA6">
      <w:pPr>
        <w:spacing w:after="0" w:line="276" w:lineRule="auto"/>
        <w:rPr>
          <w:rFonts w:ascii="Calibri Light" w:eastAsia="Calibri" w:hAnsi="Calibri Light" w:cs="Calibri Light"/>
          <w:sz w:val="12"/>
          <w:szCs w:val="12"/>
        </w:rPr>
      </w:pPr>
    </w:p>
    <w:p w14:paraId="5BC3B096" w14:textId="6CA8AA44" w:rsidR="00F00E3D" w:rsidRDefault="00F00E3D" w:rsidP="003C2FA6">
      <w:pPr>
        <w:spacing w:after="0" w:line="276" w:lineRule="auto"/>
        <w:rPr>
          <w:rFonts w:asciiTheme="majorHAnsi" w:eastAsia="Times New Roman" w:hAnsiTheme="majorHAnsi" w:cstheme="majorBidi"/>
          <w:sz w:val="23"/>
          <w:szCs w:val="23"/>
          <w:lang w:eastAsia="en-GB"/>
        </w:rPr>
      </w:pPr>
      <w:r w:rsidRPr="00115BA5">
        <w:rPr>
          <w:rFonts w:ascii="Calibri Light" w:eastAsia="Calibri" w:hAnsi="Calibri Light" w:cs="Calibri Light"/>
          <w:color w:val="000000" w:themeColor="text1"/>
          <w:sz w:val="23"/>
          <w:szCs w:val="23"/>
        </w:rPr>
        <w:t xml:space="preserve">For these reasons, our </w:t>
      </w:r>
      <w:r w:rsidR="00E325F0">
        <w:rPr>
          <w:rFonts w:ascii="Calibri Light" w:eastAsia="Calibri" w:hAnsi="Calibri Light" w:cs="Calibri Light"/>
          <w:color w:val="000000" w:themeColor="text1"/>
          <w:sz w:val="23"/>
          <w:szCs w:val="23"/>
        </w:rPr>
        <w:t>R</w:t>
      </w:r>
      <w:r w:rsidRPr="00115BA5">
        <w:rPr>
          <w:rFonts w:ascii="Calibri Light" w:eastAsia="Calibri" w:hAnsi="Calibri Light" w:cs="Calibri Light"/>
          <w:color w:val="000000" w:themeColor="text1"/>
          <w:sz w:val="23"/>
          <w:szCs w:val="23"/>
        </w:rPr>
        <w:t xml:space="preserve">ecommendations </w:t>
      </w:r>
      <w:r w:rsidR="00A22C78" w:rsidRPr="00A22C78">
        <w:rPr>
          <w:rFonts w:ascii="Calibri Light" w:eastAsia="Calibri" w:hAnsi="Calibri Light" w:cs="Calibri Light"/>
          <w:color w:val="000000" w:themeColor="text1"/>
          <w:sz w:val="23"/>
          <w:szCs w:val="23"/>
        </w:rPr>
        <w:t>(p</w:t>
      </w:r>
      <w:r w:rsidR="00F214D7">
        <w:rPr>
          <w:rFonts w:ascii="Calibri Light" w:eastAsia="Calibri" w:hAnsi="Calibri Light" w:cs="Calibri Light"/>
          <w:color w:val="000000" w:themeColor="text1"/>
          <w:sz w:val="23"/>
          <w:szCs w:val="23"/>
        </w:rPr>
        <w:t>p</w:t>
      </w:r>
      <w:r w:rsidR="00A22C78" w:rsidRPr="00A22C78">
        <w:rPr>
          <w:rFonts w:ascii="Calibri Light" w:eastAsia="Calibri" w:hAnsi="Calibri Light" w:cs="Calibri Light"/>
          <w:color w:val="000000" w:themeColor="text1"/>
          <w:sz w:val="23"/>
          <w:szCs w:val="23"/>
        </w:rPr>
        <w:t>. xi–xviii)</w:t>
      </w:r>
      <w:r w:rsidR="00A22C78">
        <w:rPr>
          <w:rFonts w:ascii="Calibri Light" w:eastAsia="Calibri" w:hAnsi="Calibri Light" w:cs="Calibri Light"/>
          <w:color w:val="000000" w:themeColor="text1"/>
          <w:sz w:val="23"/>
          <w:szCs w:val="23"/>
        </w:rPr>
        <w:t xml:space="preserve"> </w:t>
      </w:r>
      <w:r w:rsidRPr="00115BA5">
        <w:rPr>
          <w:rFonts w:ascii="Calibri Light" w:eastAsia="Calibri" w:hAnsi="Calibri Light" w:cs="Calibri Light"/>
          <w:color w:val="000000" w:themeColor="text1"/>
          <w:sz w:val="23"/>
          <w:szCs w:val="23"/>
        </w:rPr>
        <w:t xml:space="preserve">are based on </w:t>
      </w:r>
      <w:r w:rsidR="004D54DE">
        <w:rPr>
          <w:rFonts w:ascii="Calibri Light" w:eastAsia="Calibri" w:hAnsi="Calibri Light" w:cs="Calibri Light"/>
          <w:color w:val="000000" w:themeColor="text1"/>
          <w:sz w:val="23"/>
          <w:szCs w:val="23"/>
        </w:rPr>
        <w:t>a</w:t>
      </w:r>
      <w:r w:rsidRPr="00115BA5">
        <w:rPr>
          <w:rFonts w:ascii="Calibri Light" w:eastAsia="Calibri" w:hAnsi="Calibri Light" w:cs="Calibri Light"/>
          <w:color w:val="000000" w:themeColor="text1"/>
          <w:sz w:val="23"/>
          <w:szCs w:val="23"/>
        </w:rPr>
        <w:t xml:space="preserve"> core principle</w:t>
      </w:r>
      <w:r w:rsidR="004D54DE">
        <w:rPr>
          <w:rFonts w:ascii="Calibri Light" w:eastAsia="Calibri" w:hAnsi="Calibri Light" w:cs="Calibri Light"/>
          <w:color w:val="000000" w:themeColor="text1"/>
          <w:sz w:val="23"/>
          <w:szCs w:val="23"/>
        </w:rPr>
        <w:t>:</w:t>
      </w:r>
      <w:r w:rsidRPr="00115BA5">
        <w:rPr>
          <w:rFonts w:ascii="Calibri Light" w:eastAsia="Calibri" w:hAnsi="Calibri Light" w:cs="Calibri Light"/>
          <w:color w:val="000000" w:themeColor="text1"/>
          <w:sz w:val="23"/>
          <w:szCs w:val="23"/>
        </w:rPr>
        <w:t xml:space="preserve"> local communities must be respected, valued</w:t>
      </w:r>
      <w:r w:rsidR="003271A9">
        <w:rPr>
          <w:rFonts w:ascii="Calibri Light" w:eastAsia="Calibri" w:hAnsi="Calibri Light" w:cs="Calibri Light"/>
          <w:color w:val="000000" w:themeColor="text1"/>
          <w:sz w:val="23"/>
          <w:szCs w:val="23"/>
        </w:rPr>
        <w:t xml:space="preserve">, </w:t>
      </w:r>
      <w:r w:rsidRPr="00115BA5">
        <w:rPr>
          <w:rFonts w:ascii="Calibri Light" w:eastAsia="Calibri" w:hAnsi="Calibri Light" w:cs="Calibri Light"/>
          <w:color w:val="000000" w:themeColor="text1"/>
          <w:sz w:val="23"/>
          <w:szCs w:val="23"/>
        </w:rPr>
        <w:t xml:space="preserve">and </w:t>
      </w:r>
      <w:r w:rsidR="003271A9">
        <w:rPr>
          <w:rFonts w:ascii="Calibri Light" w:eastAsia="Calibri" w:hAnsi="Calibri Light" w:cs="Calibri Light"/>
          <w:color w:val="000000" w:themeColor="text1"/>
          <w:sz w:val="23"/>
          <w:szCs w:val="23"/>
        </w:rPr>
        <w:t xml:space="preserve">properly </w:t>
      </w:r>
      <w:r w:rsidRPr="00115BA5">
        <w:rPr>
          <w:rFonts w:ascii="Calibri Light" w:eastAsia="Calibri" w:hAnsi="Calibri Light" w:cs="Calibri Light"/>
          <w:color w:val="000000" w:themeColor="text1"/>
          <w:sz w:val="23"/>
          <w:szCs w:val="23"/>
        </w:rPr>
        <w:t xml:space="preserve">supported to play an active role in identifying what they need, and shaping how those needs are met. People who live </w:t>
      </w:r>
      <w:r w:rsidR="004D54DE">
        <w:rPr>
          <w:rFonts w:ascii="Calibri Light" w:eastAsia="Calibri" w:hAnsi="Calibri Light" w:cs="Calibri Light"/>
          <w:color w:val="000000" w:themeColor="text1"/>
          <w:sz w:val="23"/>
          <w:szCs w:val="23"/>
        </w:rPr>
        <w:t>and</w:t>
      </w:r>
      <w:r w:rsidRPr="00115BA5">
        <w:rPr>
          <w:rFonts w:ascii="Calibri Light" w:eastAsia="Calibri" w:hAnsi="Calibri Light" w:cs="Calibri Light"/>
          <w:color w:val="000000" w:themeColor="text1"/>
          <w:sz w:val="23"/>
          <w:szCs w:val="23"/>
        </w:rPr>
        <w:t xml:space="preserve"> work in Corio, Norlane</w:t>
      </w:r>
      <w:r w:rsidR="003271A9">
        <w:rPr>
          <w:rFonts w:ascii="Calibri Light" w:eastAsia="Calibri" w:hAnsi="Calibri Light" w:cs="Calibri Light"/>
          <w:color w:val="000000" w:themeColor="text1"/>
          <w:sz w:val="23"/>
          <w:szCs w:val="23"/>
        </w:rPr>
        <w:t>,</w:t>
      </w:r>
      <w:r w:rsidRPr="00115BA5">
        <w:rPr>
          <w:rFonts w:ascii="Calibri Light" w:eastAsia="Calibri" w:hAnsi="Calibri Light" w:cs="Calibri Light"/>
          <w:color w:val="000000" w:themeColor="text1"/>
          <w:sz w:val="23"/>
          <w:szCs w:val="23"/>
        </w:rPr>
        <w:t xml:space="preserve"> and Wittington need to be involved in designing, implementing</w:t>
      </w:r>
      <w:r w:rsidR="003271A9">
        <w:rPr>
          <w:rFonts w:ascii="Calibri Light" w:eastAsia="Calibri" w:hAnsi="Calibri Light" w:cs="Calibri Light"/>
          <w:color w:val="000000" w:themeColor="text1"/>
          <w:sz w:val="23"/>
          <w:szCs w:val="23"/>
        </w:rPr>
        <w:t>,</w:t>
      </w:r>
      <w:r w:rsidRPr="00115BA5">
        <w:rPr>
          <w:rFonts w:ascii="Calibri Light" w:eastAsia="Calibri" w:hAnsi="Calibri Light" w:cs="Calibri Light"/>
          <w:color w:val="000000" w:themeColor="text1"/>
          <w:sz w:val="23"/>
          <w:szCs w:val="23"/>
        </w:rPr>
        <w:t xml:space="preserve"> and evaluating any future initiatives. This calls for genuinely participatory and inclusive approaches that put residents at the heart of these processes, make them meaningful, help build skills</w:t>
      </w:r>
      <w:r w:rsidR="00A67123">
        <w:rPr>
          <w:rFonts w:ascii="Calibri Light" w:eastAsia="Calibri" w:hAnsi="Calibri Light" w:cs="Calibri Light"/>
          <w:color w:val="000000" w:themeColor="text1"/>
          <w:sz w:val="23"/>
          <w:szCs w:val="23"/>
        </w:rPr>
        <w:t xml:space="preserve"> and capacity</w:t>
      </w:r>
      <w:r w:rsidRPr="00115BA5">
        <w:rPr>
          <w:rFonts w:ascii="Calibri Light" w:eastAsia="Calibri" w:hAnsi="Calibri Light" w:cs="Calibri Light"/>
          <w:color w:val="000000" w:themeColor="text1"/>
          <w:sz w:val="23"/>
          <w:szCs w:val="23"/>
        </w:rPr>
        <w:t>, and foster a sense of ownership and pride.</w:t>
      </w:r>
    </w:p>
    <w:p w14:paraId="7D5A460D" w14:textId="77777777" w:rsidR="00F00E3D" w:rsidRPr="006065E3" w:rsidRDefault="00F00E3D" w:rsidP="003C2FA6">
      <w:pPr>
        <w:spacing w:after="0" w:line="276" w:lineRule="auto"/>
        <w:rPr>
          <w:rFonts w:ascii="Calibri Light" w:eastAsia="Calibri" w:hAnsi="Calibri Light" w:cs="Calibri Light"/>
          <w:sz w:val="16"/>
          <w:szCs w:val="16"/>
        </w:rPr>
      </w:pPr>
    </w:p>
    <w:p w14:paraId="0B3E5F94" w14:textId="3658192E" w:rsidR="00F00E3D" w:rsidRDefault="00F00E3D" w:rsidP="003C2FA6">
      <w:pPr>
        <w:spacing w:after="0" w:line="276" w:lineRule="auto"/>
        <w:rPr>
          <w:rFonts w:ascii="Calibri Light" w:eastAsia="Calibri" w:hAnsi="Calibri Light" w:cs="Calibri Light"/>
          <w:color w:val="000000" w:themeColor="text1"/>
          <w:sz w:val="23"/>
          <w:szCs w:val="23"/>
        </w:rPr>
      </w:pPr>
      <w:r w:rsidRPr="00115BA5">
        <w:rPr>
          <w:rFonts w:ascii="Calibri Light" w:eastAsia="Calibri" w:hAnsi="Calibri Light" w:cs="Calibri Light"/>
          <w:color w:val="000000" w:themeColor="text1"/>
          <w:sz w:val="23"/>
          <w:szCs w:val="23"/>
        </w:rPr>
        <w:t>Co-design offers one such approach</w:t>
      </w:r>
      <w:r w:rsidRPr="428BD051">
        <w:rPr>
          <w:rFonts w:ascii="Calibri Light" w:eastAsia="Calibri" w:hAnsi="Calibri Light" w:cs="Calibri Light"/>
          <w:sz w:val="23"/>
          <w:szCs w:val="23"/>
        </w:rPr>
        <w:t>. Co-design can be a highly effective tool, provided</w:t>
      </w:r>
      <w:r w:rsidRPr="00115BA5">
        <w:rPr>
          <w:rFonts w:ascii="Calibri Light" w:eastAsia="Calibri" w:hAnsi="Calibri Light" w:cs="Calibri Light"/>
          <w:color w:val="000000" w:themeColor="text1"/>
          <w:sz w:val="23"/>
          <w:szCs w:val="23"/>
        </w:rPr>
        <w:t xml:space="preserve"> </w:t>
      </w:r>
      <w:r w:rsidRPr="00115BA5">
        <w:rPr>
          <w:rFonts w:asciiTheme="majorHAnsi" w:hAnsiTheme="majorHAnsi" w:cstheme="majorBidi"/>
          <w:color w:val="000000" w:themeColor="text1"/>
          <w:sz w:val="23"/>
          <w:szCs w:val="23"/>
        </w:rPr>
        <w:t>it is</w:t>
      </w:r>
      <w:r w:rsidRPr="428BD051">
        <w:rPr>
          <w:rFonts w:asciiTheme="majorHAnsi" w:hAnsiTheme="majorHAnsi" w:cstheme="majorBidi"/>
          <w:sz w:val="23"/>
          <w:szCs w:val="23"/>
        </w:rPr>
        <w:t xml:space="preserve"> </w:t>
      </w:r>
      <w:r w:rsidRPr="00115BA5">
        <w:rPr>
          <w:rFonts w:asciiTheme="majorHAnsi" w:hAnsiTheme="majorHAnsi" w:cstheme="majorBidi"/>
          <w:color w:val="000000" w:themeColor="text1"/>
          <w:sz w:val="23"/>
          <w:szCs w:val="23"/>
        </w:rPr>
        <w:t xml:space="preserve">applied across the whole span of a </w:t>
      </w:r>
      <w:r w:rsidRPr="428BD051">
        <w:rPr>
          <w:rFonts w:asciiTheme="majorHAnsi" w:hAnsiTheme="majorHAnsi" w:cstheme="majorBidi"/>
          <w:sz w:val="23"/>
          <w:szCs w:val="23"/>
        </w:rPr>
        <w:t xml:space="preserve">program design and implementation </w:t>
      </w:r>
      <w:r w:rsidRPr="00115BA5">
        <w:rPr>
          <w:rFonts w:asciiTheme="majorHAnsi" w:hAnsiTheme="majorHAnsi" w:cstheme="majorBidi"/>
          <w:color w:val="000000" w:themeColor="text1"/>
          <w:sz w:val="23"/>
          <w:szCs w:val="23"/>
        </w:rPr>
        <w:t>process</w:t>
      </w:r>
      <w:r w:rsidRPr="428BD051">
        <w:rPr>
          <w:rFonts w:asciiTheme="majorHAnsi" w:hAnsiTheme="majorHAnsi" w:cstheme="majorBidi"/>
          <w:sz w:val="23"/>
          <w:szCs w:val="23"/>
        </w:rPr>
        <w:t>,</w:t>
      </w:r>
      <w:r w:rsidRPr="00115BA5">
        <w:rPr>
          <w:rFonts w:asciiTheme="majorHAnsi" w:hAnsiTheme="majorHAnsi" w:cstheme="majorBidi"/>
          <w:color w:val="000000" w:themeColor="text1"/>
          <w:sz w:val="23"/>
          <w:szCs w:val="23"/>
        </w:rPr>
        <w:t xml:space="preserve"> and users are invited to play a part in knowledge development, idea generation and decision making. </w:t>
      </w:r>
      <w:r w:rsidRPr="0E3C9592">
        <w:rPr>
          <w:rFonts w:asciiTheme="majorHAnsi" w:hAnsiTheme="majorHAnsi" w:cstheme="majorBidi"/>
          <w:color w:val="000000" w:themeColor="text1"/>
          <w:sz w:val="23"/>
          <w:szCs w:val="23"/>
        </w:rPr>
        <w:t>In other words, co-design offers great potential</w:t>
      </w:r>
      <w:r w:rsidRPr="00115BA5">
        <w:rPr>
          <w:rFonts w:asciiTheme="majorHAnsi" w:hAnsiTheme="majorHAnsi" w:cstheme="majorBidi"/>
          <w:color w:val="000000" w:themeColor="text1"/>
          <w:sz w:val="23"/>
          <w:szCs w:val="23"/>
        </w:rPr>
        <w:t xml:space="preserve"> </w:t>
      </w:r>
      <w:r w:rsidRPr="428BD051">
        <w:rPr>
          <w:rFonts w:asciiTheme="majorHAnsi" w:hAnsiTheme="majorHAnsi" w:cstheme="majorBidi"/>
          <w:sz w:val="23"/>
          <w:szCs w:val="23"/>
        </w:rPr>
        <w:t xml:space="preserve">provided the </w:t>
      </w:r>
      <w:r w:rsidRPr="0E3C9592">
        <w:rPr>
          <w:rFonts w:asciiTheme="majorHAnsi" w:hAnsiTheme="majorHAnsi" w:cstheme="majorBidi"/>
          <w:sz w:val="23"/>
          <w:szCs w:val="23"/>
        </w:rPr>
        <w:t>process</w:t>
      </w:r>
      <w:r w:rsidRPr="00115BA5">
        <w:rPr>
          <w:rFonts w:asciiTheme="majorHAnsi" w:hAnsiTheme="majorHAnsi" w:cstheme="majorBidi"/>
          <w:color w:val="000000" w:themeColor="text1"/>
          <w:sz w:val="23"/>
          <w:szCs w:val="23"/>
        </w:rPr>
        <w:t xml:space="preserve"> is genuinely inclusive, respectful, participative, iterative and outcomes</w:t>
      </w:r>
      <w:r w:rsidR="003C2FA6">
        <w:rPr>
          <w:rFonts w:asciiTheme="majorHAnsi" w:hAnsiTheme="majorHAnsi" w:cstheme="majorBidi"/>
          <w:sz w:val="23"/>
          <w:szCs w:val="23"/>
        </w:rPr>
        <w:t xml:space="preserve"> </w:t>
      </w:r>
      <w:r w:rsidRPr="00115BA5">
        <w:rPr>
          <w:rFonts w:asciiTheme="majorHAnsi" w:hAnsiTheme="majorHAnsi" w:cstheme="majorBidi"/>
          <w:color w:val="000000" w:themeColor="text1"/>
          <w:sz w:val="23"/>
          <w:szCs w:val="23"/>
        </w:rPr>
        <w:t>focused.</w:t>
      </w:r>
      <w:r>
        <w:rPr>
          <w:rFonts w:asciiTheme="majorHAnsi" w:eastAsia="Times New Roman" w:hAnsiTheme="majorHAnsi" w:cstheme="majorBidi"/>
          <w:sz w:val="23"/>
          <w:szCs w:val="23"/>
          <w:lang w:eastAsia="en-GB"/>
        </w:rPr>
        <w:t xml:space="preserve"> </w:t>
      </w:r>
      <w:r w:rsidRPr="00115BA5">
        <w:rPr>
          <w:rFonts w:ascii="Calibri Light" w:eastAsia="Calibri" w:hAnsi="Calibri Light" w:cs="Calibri Light"/>
          <w:color w:val="000000" w:themeColor="text1"/>
          <w:sz w:val="23"/>
          <w:szCs w:val="23"/>
        </w:rPr>
        <w:t xml:space="preserve">Embedding best practice co-design strategies into this work would affirm Geelong’s UNESCO City of Design status, while presenting </w:t>
      </w:r>
      <w:r w:rsidR="003C2FA6">
        <w:rPr>
          <w:rFonts w:ascii="Calibri Light" w:eastAsia="Calibri" w:hAnsi="Calibri Light" w:cs="Calibri Light"/>
          <w:color w:val="000000" w:themeColor="text1"/>
          <w:sz w:val="23"/>
          <w:szCs w:val="23"/>
        </w:rPr>
        <w:t xml:space="preserve">additional </w:t>
      </w:r>
      <w:r w:rsidRPr="00115BA5">
        <w:rPr>
          <w:rFonts w:ascii="Calibri Light" w:eastAsia="Calibri" w:hAnsi="Calibri Light" w:cs="Calibri Light"/>
          <w:color w:val="000000" w:themeColor="text1"/>
          <w:sz w:val="23"/>
          <w:szCs w:val="23"/>
        </w:rPr>
        <w:t>opportunities to showcase successful projects and outcomes and celebrate community achievements.</w:t>
      </w:r>
    </w:p>
    <w:p w14:paraId="6CCAC995" w14:textId="77777777" w:rsidR="003C2FA6" w:rsidRPr="003C2FA6" w:rsidRDefault="003C2FA6" w:rsidP="003C2FA6">
      <w:pPr>
        <w:spacing w:after="0" w:line="276" w:lineRule="auto"/>
        <w:rPr>
          <w:rFonts w:asciiTheme="majorHAnsi" w:eastAsia="Times New Roman" w:hAnsiTheme="majorHAnsi" w:cstheme="majorBidi"/>
          <w:sz w:val="16"/>
          <w:szCs w:val="16"/>
          <w:lang w:eastAsia="en-GB"/>
        </w:rPr>
      </w:pPr>
    </w:p>
    <w:p w14:paraId="72E5782B" w14:textId="48A0E307" w:rsidR="00F00E3D" w:rsidRPr="000D2244" w:rsidRDefault="003D16B3" w:rsidP="003C2FA6">
      <w:pPr>
        <w:pStyle w:val="Heading1"/>
        <w:spacing w:before="0" w:line="276" w:lineRule="auto"/>
        <w:rPr>
          <w:rFonts w:asciiTheme="minorHAnsi" w:hAnsiTheme="minorHAnsi" w:cstheme="minorBidi"/>
          <w:b/>
          <w:sz w:val="28"/>
          <w:szCs w:val="28"/>
        </w:rPr>
      </w:pPr>
      <w:r w:rsidRPr="000D2244">
        <w:rPr>
          <w:rFonts w:asciiTheme="minorHAnsi" w:hAnsiTheme="minorHAnsi" w:cstheme="minorBidi"/>
          <w:b/>
          <w:sz w:val="28"/>
          <w:szCs w:val="28"/>
        </w:rPr>
        <w:t>9</w:t>
      </w:r>
      <w:r w:rsidR="00F00E3D" w:rsidRPr="000D2244">
        <w:rPr>
          <w:rFonts w:asciiTheme="minorHAnsi" w:hAnsiTheme="minorHAnsi" w:cstheme="minorBidi"/>
          <w:b/>
          <w:sz w:val="28"/>
          <w:szCs w:val="28"/>
        </w:rPr>
        <w:t>.2 Recommendations</w:t>
      </w:r>
      <w:r w:rsidR="003B1E37" w:rsidRPr="000D2244">
        <w:rPr>
          <w:rFonts w:asciiTheme="minorHAnsi" w:hAnsiTheme="minorHAnsi" w:cstheme="minorBidi"/>
          <w:b/>
          <w:sz w:val="28"/>
          <w:szCs w:val="28"/>
        </w:rPr>
        <w:t xml:space="preserve">: </w:t>
      </w:r>
      <w:r w:rsidR="00D976CF" w:rsidRPr="000D2244">
        <w:rPr>
          <w:rFonts w:asciiTheme="minorHAnsi" w:hAnsiTheme="minorHAnsi" w:cstheme="minorBidi"/>
          <w:b/>
          <w:sz w:val="28"/>
          <w:szCs w:val="28"/>
        </w:rPr>
        <w:t>Summary</w:t>
      </w:r>
      <w:r w:rsidR="00E06B56" w:rsidRPr="000D2244">
        <w:rPr>
          <w:rFonts w:asciiTheme="minorHAnsi" w:hAnsiTheme="minorHAnsi" w:cstheme="minorBidi"/>
          <w:b/>
          <w:sz w:val="28"/>
          <w:szCs w:val="28"/>
        </w:rPr>
        <w:t xml:space="preserve"> and Policy Contexts</w:t>
      </w:r>
    </w:p>
    <w:p w14:paraId="68400DCB" w14:textId="77777777" w:rsidR="00F00E3D" w:rsidRPr="006065E3" w:rsidRDefault="00F00E3D" w:rsidP="003C2FA6">
      <w:pPr>
        <w:spacing w:after="0" w:line="276" w:lineRule="auto"/>
        <w:rPr>
          <w:sz w:val="16"/>
          <w:szCs w:val="16"/>
        </w:rPr>
      </w:pPr>
    </w:p>
    <w:p w14:paraId="7C5E0E77" w14:textId="012D81D3" w:rsidR="00F00E3D" w:rsidRDefault="00BC023C" w:rsidP="003C2FA6">
      <w:pPr>
        <w:spacing w:line="276" w:lineRule="auto"/>
        <w:rPr>
          <w:rFonts w:asciiTheme="majorHAnsi" w:hAnsiTheme="majorHAnsi" w:cstheme="majorBidi"/>
          <w:sz w:val="23"/>
          <w:szCs w:val="23"/>
        </w:rPr>
      </w:pPr>
      <w:r>
        <w:rPr>
          <w:rFonts w:asciiTheme="majorHAnsi" w:hAnsiTheme="majorHAnsi" w:cstheme="majorBidi"/>
          <w:sz w:val="23"/>
          <w:szCs w:val="23"/>
        </w:rPr>
        <w:t>The t</w:t>
      </w:r>
      <w:r w:rsidR="00F00E3D">
        <w:rPr>
          <w:rFonts w:asciiTheme="majorHAnsi" w:hAnsiTheme="majorHAnsi" w:cstheme="majorBidi"/>
          <w:sz w:val="23"/>
          <w:szCs w:val="23"/>
        </w:rPr>
        <w:t xml:space="preserve">hree </w:t>
      </w:r>
      <w:hyperlink w:anchor="OLE_LINKRecommendations" w:history="1">
        <w:r>
          <w:rPr>
            <w:rStyle w:val="Hyperlink"/>
            <w:rFonts w:asciiTheme="majorHAnsi" w:hAnsiTheme="majorHAnsi" w:cstheme="majorBidi"/>
            <w:sz w:val="23"/>
            <w:szCs w:val="23"/>
          </w:rPr>
          <w:t>R</w:t>
        </w:r>
        <w:r w:rsidR="00F00E3D" w:rsidRPr="00C64131">
          <w:rPr>
            <w:rStyle w:val="Hyperlink"/>
            <w:rFonts w:asciiTheme="majorHAnsi" w:hAnsiTheme="majorHAnsi" w:cstheme="majorBidi"/>
            <w:sz w:val="23"/>
            <w:szCs w:val="23"/>
          </w:rPr>
          <w:t>ecommendations</w:t>
        </w:r>
      </w:hyperlink>
      <w:r w:rsidR="00F00E3D">
        <w:rPr>
          <w:rFonts w:asciiTheme="majorHAnsi" w:hAnsiTheme="majorHAnsi" w:cstheme="majorBidi"/>
          <w:sz w:val="23"/>
          <w:szCs w:val="23"/>
        </w:rPr>
        <w:t xml:space="preserve"> </w:t>
      </w:r>
      <w:r>
        <w:rPr>
          <w:rFonts w:asciiTheme="majorHAnsi" w:hAnsiTheme="majorHAnsi" w:cstheme="majorBidi"/>
          <w:sz w:val="23"/>
          <w:szCs w:val="23"/>
        </w:rPr>
        <w:t xml:space="preserve">arising from this study </w:t>
      </w:r>
      <w:r w:rsidR="00F00E3D">
        <w:rPr>
          <w:rFonts w:asciiTheme="majorHAnsi" w:hAnsiTheme="majorHAnsi" w:cstheme="majorBidi"/>
          <w:sz w:val="23"/>
          <w:szCs w:val="23"/>
        </w:rPr>
        <w:t xml:space="preserve">are described in detail in the Executive </w:t>
      </w:r>
      <w:r w:rsidR="00F00E3D" w:rsidRPr="10D749C7">
        <w:rPr>
          <w:rFonts w:asciiTheme="majorHAnsi" w:hAnsiTheme="majorHAnsi" w:cstheme="majorBidi"/>
          <w:sz w:val="23"/>
          <w:szCs w:val="23"/>
        </w:rPr>
        <w:t>Summary</w:t>
      </w:r>
      <w:r w:rsidR="00F214D7">
        <w:rPr>
          <w:rFonts w:asciiTheme="majorHAnsi" w:hAnsiTheme="majorHAnsi" w:cstheme="majorBidi"/>
          <w:sz w:val="23"/>
          <w:szCs w:val="23"/>
        </w:rPr>
        <w:t xml:space="preserve"> (see </w:t>
      </w:r>
      <w:r w:rsidR="00F214D7" w:rsidRPr="00A22C78">
        <w:rPr>
          <w:rFonts w:ascii="Calibri Light" w:eastAsia="Calibri" w:hAnsi="Calibri Light" w:cs="Calibri Light"/>
          <w:color w:val="000000" w:themeColor="text1"/>
          <w:sz w:val="23"/>
          <w:szCs w:val="23"/>
        </w:rPr>
        <w:t>p. xi–xviii)</w:t>
      </w:r>
      <w:r>
        <w:rPr>
          <w:rFonts w:asciiTheme="majorHAnsi" w:hAnsiTheme="majorHAnsi" w:cstheme="majorBidi"/>
          <w:sz w:val="23"/>
          <w:szCs w:val="23"/>
        </w:rPr>
        <w:t xml:space="preserve">. </w:t>
      </w:r>
      <w:r w:rsidR="00832ADD">
        <w:rPr>
          <w:rFonts w:asciiTheme="majorHAnsi" w:hAnsiTheme="majorHAnsi" w:cstheme="majorBidi"/>
          <w:sz w:val="23"/>
          <w:szCs w:val="23"/>
        </w:rPr>
        <w:t>Summarised b</w:t>
      </w:r>
      <w:r>
        <w:rPr>
          <w:rFonts w:asciiTheme="majorHAnsi" w:hAnsiTheme="majorHAnsi" w:cstheme="majorBidi"/>
          <w:sz w:val="23"/>
          <w:szCs w:val="23"/>
        </w:rPr>
        <w:t>riefly, they are:</w:t>
      </w:r>
      <w:r w:rsidR="00F00E3D">
        <w:rPr>
          <w:rFonts w:asciiTheme="majorHAnsi" w:hAnsiTheme="majorHAnsi" w:cstheme="majorBidi"/>
          <w:sz w:val="23"/>
          <w:szCs w:val="23"/>
        </w:rPr>
        <w:t xml:space="preserve"> </w:t>
      </w:r>
    </w:p>
    <w:p w14:paraId="3F5DF6BF" w14:textId="40E5FDD6" w:rsidR="00F00E3D" w:rsidRDefault="00E06B56" w:rsidP="003C2FA6">
      <w:pPr>
        <w:spacing w:line="276" w:lineRule="auto"/>
        <w:rPr>
          <w:rFonts w:asciiTheme="majorHAnsi" w:hAnsiTheme="majorHAnsi" w:cstheme="majorBidi"/>
          <w:sz w:val="23"/>
          <w:szCs w:val="23"/>
        </w:rPr>
      </w:pPr>
      <w:r w:rsidRPr="00832ADD">
        <w:rPr>
          <w:rFonts w:cstheme="majorBidi"/>
          <w:b/>
          <w:bCs/>
          <w:sz w:val="23"/>
          <w:szCs w:val="23"/>
        </w:rPr>
        <w:t>Recommendation 1</w:t>
      </w:r>
      <w:r w:rsidR="00F00E3D" w:rsidRPr="00832ADD">
        <w:rPr>
          <w:rFonts w:cstheme="majorBidi"/>
          <w:sz w:val="23"/>
          <w:szCs w:val="23"/>
        </w:rPr>
        <w:t>:</w:t>
      </w:r>
      <w:r w:rsidR="00F00E3D" w:rsidRPr="0E3C9592">
        <w:rPr>
          <w:rFonts w:asciiTheme="majorHAnsi" w:hAnsiTheme="majorHAnsi" w:cstheme="majorBidi"/>
          <w:sz w:val="23"/>
          <w:szCs w:val="23"/>
        </w:rPr>
        <w:t xml:space="preserve"> A</w:t>
      </w:r>
      <w:r w:rsidR="00612A90">
        <w:rPr>
          <w:rFonts w:asciiTheme="majorHAnsi" w:hAnsiTheme="majorHAnsi" w:cstheme="majorBidi"/>
          <w:sz w:val="23"/>
          <w:szCs w:val="23"/>
        </w:rPr>
        <w:t>dopt a</w:t>
      </w:r>
      <w:r w:rsidR="00F00E3D" w:rsidRPr="0E3C9592">
        <w:rPr>
          <w:rFonts w:asciiTheme="majorHAnsi" w:hAnsiTheme="majorHAnsi" w:cstheme="majorBidi"/>
          <w:sz w:val="23"/>
          <w:szCs w:val="23"/>
        </w:rPr>
        <w:t xml:space="preserve"> set of core principles </w:t>
      </w:r>
      <w:r w:rsidR="007D56E7">
        <w:rPr>
          <w:rFonts w:asciiTheme="majorHAnsi" w:hAnsiTheme="majorHAnsi" w:cstheme="majorBidi"/>
          <w:sz w:val="23"/>
          <w:szCs w:val="23"/>
        </w:rPr>
        <w:t xml:space="preserve">for </w:t>
      </w:r>
      <w:r w:rsidR="00F00E3D">
        <w:rPr>
          <w:rFonts w:asciiTheme="majorHAnsi" w:hAnsiTheme="majorHAnsi" w:cstheme="majorBidi"/>
          <w:sz w:val="23"/>
          <w:szCs w:val="23"/>
        </w:rPr>
        <w:t>governmental agencies to</w:t>
      </w:r>
      <w:r w:rsidR="007D56E7">
        <w:rPr>
          <w:rFonts w:asciiTheme="majorHAnsi" w:hAnsiTheme="majorHAnsi" w:cstheme="majorBidi"/>
          <w:sz w:val="23"/>
          <w:szCs w:val="23"/>
        </w:rPr>
        <w:t xml:space="preserve"> </w:t>
      </w:r>
      <w:r w:rsidR="00F00E3D">
        <w:rPr>
          <w:rFonts w:asciiTheme="majorHAnsi" w:hAnsiTheme="majorHAnsi" w:cstheme="majorBidi"/>
          <w:sz w:val="23"/>
          <w:szCs w:val="23"/>
        </w:rPr>
        <w:t xml:space="preserve">work </w:t>
      </w:r>
      <w:r w:rsidR="00F00E3D" w:rsidRPr="4061B100">
        <w:rPr>
          <w:rFonts w:asciiTheme="majorHAnsi" w:hAnsiTheme="majorHAnsi" w:cstheme="majorBidi"/>
          <w:sz w:val="23"/>
          <w:szCs w:val="23"/>
        </w:rPr>
        <w:t xml:space="preserve">effectively </w:t>
      </w:r>
      <w:r w:rsidR="00F00E3D">
        <w:rPr>
          <w:rFonts w:asciiTheme="majorHAnsi" w:hAnsiTheme="majorHAnsi" w:cstheme="majorBidi"/>
          <w:sz w:val="23"/>
          <w:szCs w:val="23"/>
        </w:rPr>
        <w:t xml:space="preserve">with the three communities of </w:t>
      </w:r>
      <w:r w:rsidR="00F00E3D" w:rsidRPr="236DC7AB">
        <w:rPr>
          <w:rFonts w:asciiTheme="majorHAnsi" w:eastAsiaTheme="minorEastAsia" w:hAnsiTheme="majorHAnsi" w:cstheme="majorBidi"/>
          <w:sz w:val="23"/>
          <w:szCs w:val="23"/>
          <w:lang w:val="en-GB"/>
        </w:rPr>
        <w:t>Corio, Norlane</w:t>
      </w:r>
      <w:r w:rsidR="00BC023C">
        <w:rPr>
          <w:rFonts w:asciiTheme="majorHAnsi" w:eastAsiaTheme="minorEastAsia" w:hAnsiTheme="majorHAnsi" w:cstheme="majorBidi"/>
          <w:sz w:val="23"/>
          <w:szCs w:val="23"/>
          <w:lang w:val="en-GB"/>
        </w:rPr>
        <w:t>,</w:t>
      </w:r>
      <w:r w:rsidR="00F00E3D" w:rsidRPr="236DC7AB">
        <w:rPr>
          <w:rFonts w:asciiTheme="majorHAnsi" w:eastAsiaTheme="minorEastAsia" w:hAnsiTheme="majorHAnsi" w:cstheme="majorBidi"/>
          <w:sz w:val="23"/>
          <w:szCs w:val="23"/>
          <w:lang w:val="en-GB"/>
        </w:rPr>
        <w:t xml:space="preserve"> and Whittington</w:t>
      </w:r>
      <w:r w:rsidR="00F00E3D">
        <w:rPr>
          <w:rFonts w:asciiTheme="majorHAnsi" w:hAnsiTheme="majorHAnsi" w:cstheme="majorBidi"/>
          <w:sz w:val="23"/>
          <w:szCs w:val="23"/>
        </w:rPr>
        <w:t xml:space="preserve"> on issues that require priority action. </w:t>
      </w:r>
      <w:r w:rsidR="00F00E3D" w:rsidRPr="0E3C9592">
        <w:rPr>
          <w:rFonts w:asciiTheme="majorHAnsi" w:hAnsiTheme="majorHAnsi" w:cstheme="majorBidi"/>
          <w:sz w:val="23"/>
          <w:szCs w:val="23"/>
        </w:rPr>
        <w:t>We</w:t>
      </w:r>
      <w:r w:rsidR="00F00E3D">
        <w:rPr>
          <w:rFonts w:asciiTheme="majorHAnsi" w:hAnsiTheme="majorHAnsi" w:cstheme="majorBidi"/>
          <w:sz w:val="23"/>
          <w:szCs w:val="23"/>
        </w:rPr>
        <w:t xml:space="preserve"> also </w:t>
      </w:r>
      <w:r w:rsidR="00F00E3D" w:rsidRPr="4061B100">
        <w:rPr>
          <w:rFonts w:asciiTheme="majorHAnsi" w:hAnsiTheme="majorHAnsi" w:cstheme="majorBidi"/>
          <w:sz w:val="23"/>
          <w:szCs w:val="23"/>
        </w:rPr>
        <w:t>describe</w:t>
      </w:r>
      <w:r w:rsidR="00F00E3D">
        <w:rPr>
          <w:rFonts w:asciiTheme="majorHAnsi" w:hAnsiTheme="majorHAnsi" w:cstheme="majorBidi"/>
          <w:sz w:val="23"/>
          <w:szCs w:val="23"/>
        </w:rPr>
        <w:t xml:space="preserve"> the </w:t>
      </w:r>
      <w:r w:rsidR="00F708CF">
        <w:rPr>
          <w:rFonts w:asciiTheme="majorHAnsi" w:hAnsiTheme="majorHAnsi" w:cstheme="majorBidi"/>
          <w:sz w:val="23"/>
          <w:szCs w:val="23"/>
        </w:rPr>
        <w:t>role</w:t>
      </w:r>
      <w:r w:rsidR="00F00E3D">
        <w:rPr>
          <w:rFonts w:asciiTheme="majorHAnsi" w:hAnsiTheme="majorHAnsi" w:cstheme="majorBidi"/>
          <w:sz w:val="23"/>
          <w:szCs w:val="23"/>
        </w:rPr>
        <w:t xml:space="preserve"> </w:t>
      </w:r>
      <w:r w:rsidR="004408EC">
        <w:rPr>
          <w:rFonts w:asciiTheme="majorHAnsi" w:hAnsiTheme="majorHAnsi" w:cstheme="majorBidi"/>
          <w:sz w:val="23"/>
          <w:szCs w:val="23"/>
        </w:rPr>
        <w:t xml:space="preserve">that local </w:t>
      </w:r>
      <w:r w:rsidR="001913FE">
        <w:rPr>
          <w:rFonts w:asciiTheme="majorHAnsi" w:hAnsiTheme="majorHAnsi" w:cstheme="majorBidi"/>
          <w:sz w:val="23"/>
          <w:szCs w:val="23"/>
        </w:rPr>
        <w:t>community-organisation</w:t>
      </w:r>
      <w:r w:rsidR="00F00E3D">
        <w:rPr>
          <w:rFonts w:asciiTheme="majorHAnsi" w:hAnsiTheme="majorHAnsi" w:cstheme="majorBidi"/>
          <w:sz w:val="23"/>
          <w:szCs w:val="23"/>
        </w:rPr>
        <w:t xml:space="preserve">s </w:t>
      </w:r>
      <w:r w:rsidR="00F708CF">
        <w:rPr>
          <w:rFonts w:asciiTheme="majorHAnsi" w:hAnsiTheme="majorHAnsi" w:cstheme="majorBidi"/>
          <w:sz w:val="23"/>
          <w:szCs w:val="23"/>
        </w:rPr>
        <w:t xml:space="preserve">suggest </w:t>
      </w:r>
      <w:r w:rsidR="001B7DDF">
        <w:rPr>
          <w:rFonts w:asciiTheme="majorHAnsi" w:hAnsiTheme="majorHAnsi" w:cstheme="majorBidi"/>
          <w:sz w:val="23"/>
          <w:szCs w:val="23"/>
        </w:rPr>
        <w:t>CoGG</w:t>
      </w:r>
      <w:r w:rsidR="00F708CF">
        <w:rPr>
          <w:rFonts w:asciiTheme="majorHAnsi" w:hAnsiTheme="majorHAnsi" w:cstheme="majorBidi"/>
          <w:sz w:val="23"/>
          <w:szCs w:val="23"/>
        </w:rPr>
        <w:t xml:space="preserve"> can play in this work</w:t>
      </w:r>
      <w:r w:rsidR="00F00E3D">
        <w:rPr>
          <w:rFonts w:asciiTheme="majorHAnsi" w:hAnsiTheme="majorHAnsi" w:cstheme="majorBidi"/>
          <w:sz w:val="23"/>
          <w:szCs w:val="23"/>
        </w:rPr>
        <w:t>.</w:t>
      </w:r>
    </w:p>
    <w:p w14:paraId="12CFDF9F" w14:textId="0BD74F0A" w:rsidR="00F00E3D" w:rsidRPr="0009785E" w:rsidRDefault="00E06B56" w:rsidP="003C2FA6">
      <w:pPr>
        <w:spacing w:line="276" w:lineRule="auto"/>
        <w:rPr>
          <w:rFonts w:asciiTheme="majorHAnsi" w:hAnsiTheme="majorHAnsi" w:cstheme="majorBidi"/>
          <w:sz w:val="23"/>
          <w:szCs w:val="23"/>
        </w:rPr>
      </w:pPr>
      <w:r w:rsidRPr="00832ADD">
        <w:rPr>
          <w:rFonts w:cstheme="majorBidi"/>
          <w:b/>
          <w:bCs/>
          <w:sz w:val="23"/>
          <w:szCs w:val="23"/>
        </w:rPr>
        <w:t>Recommendation 2</w:t>
      </w:r>
      <w:r w:rsidR="00F00E3D" w:rsidRPr="00832ADD">
        <w:rPr>
          <w:rFonts w:cstheme="majorBidi"/>
          <w:b/>
          <w:bCs/>
          <w:sz w:val="23"/>
          <w:szCs w:val="23"/>
        </w:rPr>
        <w:t>:</w:t>
      </w:r>
      <w:r w:rsidR="00F00E3D">
        <w:rPr>
          <w:rFonts w:asciiTheme="majorHAnsi" w:hAnsiTheme="majorHAnsi" w:cstheme="majorBidi"/>
          <w:sz w:val="23"/>
          <w:szCs w:val="23"/>
        </w:rPr>
        <w:t xml:space="preserve"> </w:t>
      </w:r>
      <w:r w:rsidR="00612A90">
        <w:rPr>
          <w:rFonts w:asciiTheme="majorHAnsi" w:hAnsiTheme="majorHAnsi" w:cstheme="majorBidi"/>
          <w:sz w:val="23"/>
          <w:szCs w:val="23"/>
        </w:rPr>
        <w:t>A</w:t>
      </w:r>
      <w:r>
        <w:rPr>
          <w:rFonts w:asciiTheme="majorHAnsi" w:hAnsiTheme="majorHAnsi" w:cstheme="majorBidi"/>
          <w:sz w:val="23"/>
          <w:szCs w:val="23"/>
        </w:rPr>
        <w:t>d</w:t>
      </w:r>
      <w:r w:rsidR="00DB0F3C">
        <w:rPr>
          <w:rFonts w:asciiTheme="majorHAnsi" w:hAnsiTheme="majorHAnsi" w:cstheme="majorBidi"/>
          <w:sz w:val="23"/>
          <w:szCs w:val="23"/>
        </w:rPr>
        <w:t>dress</w:t>
      </w:r>
      <w:r w:rsidR="00612A90">
        <w:rPr>
          <w:rFonts w:asciiTheme="majorHAnsi" w:hAnsiTheme="majorHAnsi" w:cstheme="majorBidi"/>
          <w:sz w:val="23"/>
          <w:szCs w:val="23"/>
        </w:rPr>
        <w:t xml:space="preserve"> 14 </w:t>
      </w:r>
      <w:r w:rsidR="00F00E3D" w:rsidRPr="2B87D1CA">
        <w:rPr>
          <w:rFonts w:asciiTheme="majorHAnsi" w:eastAsia="Calibri" w:hAnsiTheme="majorHAnsi" w:cstheme="majorBidi"/>
          <w:sz w:val="23"/>
          <w:szCs w:val="23"/>
        </w:rPr>
        <w:t xml:space="preserve">priority areas </w:t>
      </w:r>
      <w:r w:rsidR="00EE5FD4">
        <w:rPr>
          <w:rFonts w:asciiTheme="majorHAnsi" w:eastAsia="Calibri" w:hAnsiTheme="majorHAnsi" w:cstheme="majorBidi"/>
          <w:sz w:val="23"/>
          <w:szCs w:val="23"/>
        </w:rPr>
        <w:t xml:space="preserve">to </w:t>
      </w:r>
      <w:r w:rsidR="00F00E3D" w:rsidRPr="2B87D1CA">
        <w:rPr>
          <w:rFonts w:asciiTheme="majorHAnsi" w:eastAsia="Calibri" w:hAnsiTheme="majorHAnsi" w:cstheme="majorBidi"/>
          <w:sz w:val="23"/>
          <w:szCs w:val="23"/>
        </w:rPr>
        <w:t>improve quality of life for residents in Corio, Norlane</w:t>
      </w:r>
      <w:r w:rsidR="00BC023C">
        <w:rPr>
          <w:rFonts w:asciiTheme="majorHAnsi" w:eastAsia="Calibri" w:hAnsiTheme="majorHAnsi" w:cstheme="majorBidi"/>
          <w:sz w:val="23"/>
          <w:szCs w:val="23"/>
        </w:rPr>
        <w:t>,</w:t>
      </w:r>
      <w:r w:rsidR="00F00E3D" w:rsidRPr="2B87D1CA">
        <w:rPr>
          <w:rFonts w:asciiTheme="majorHAnsi" w:eastAsia="Calibri" w:hAnsiTheme="majorHAnsi" w:cstheme="majorBidi"/>
          <w:sz w:val="23"/>
          <w:szCs w:val="23"/>
        </w:rPr>
        <w:t xml:space="preserve"> </w:t>
      </w:r>
      <w:r w:rsidR="00F00E3D" w:rsidRPr="0009785E">
        <w:rPr>
          <w:rFonts w:asciiTheme="majorHAnsi" w:eastAsia="Calibri" w:hAnsiTheme="majorHAnsi" w:cstheme="majorBidi"/>
          <w:sz w:val="23"/>
          <w:szCs w:val="23"/>
        </w:rPr>
        <w:t xml:space="preserve">and Whittington. </w:t>
      </w:r>
      <w:r w:rsidR="004408EC" w:rsidRPr="0009785E">
        <w:rPr>
          <w:rFonts w:asciiTheme="majorHAnsi" w:eastAsia="Calibri" w:hAnsiTheme="majorHAnsi" w:cstheme="majorBidi"/>
          <w:sz w:val="23"/>
          <w:szCs w:val="23"/>
        </w:rPr>
        <w:t>In sum, they are:</w:t>
      </w:r>
    </w:p>
    <w:p w14:paraId="4BC28F42" w14:textId="77777777" w:rsidR="00F00E3D" w:rsidRPr="0009785E" w:rsidRDefault="00F00E3D"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lastRenderedPageBreak/>
        <w:t>Digital exclusion</w:t>
      </w:r>
    </w:p>
    <w:p w14:paraId="01FEAF2C" w14:textId="77777777" w:rsidR="00F00E3D" w:rsidRPr="0009785E" w:rsidRDefault="00F00E3D"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t>Disengagement from school and adult education</w:t>
      </w:r>
    </w:p>
    <w:p w14:paraId="2292D672" w14:textId="272B089A" w:rsidR="00F00E3D" w:rsidRPr="0009785E" w:rsidRDefault="00F00E3D"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t xml:space="preserve">Unemployment (especially in sectors impacted by </w:t>
      </w:r>
      <w:r w:rsidR="00940D80" w:rsidRPr="0009785E">
        <w:rPr>
          <w:rFonts w:asciiTheme="majorHAnsi" w:hAnsiTheme="majorHAnsi" w:cstheme="majorBidi"/>
          <w:sz w:val="23"/>
          <w:szCs w:val="23"/>
        </w:rPr>
        <w:t>COVID</w:t>
      </w:r>
      <w:r w:rsidRPr="0009785E">
        <w:rPr>
          <w:rFonts w:asciiTheme="majorHAnsi" w:hAnsiTheme="majorHAnsi" w:cstheme="majorBidi"/>
          <w:sz w:val="23"/>
          <w:szCs w:val="23"/>
        </w:rPr>
        <w:t>-19)</w:t>
      </w:r>
    </w:p>
    <w:p w14:paraId="76399460" w14:textId="166A40D3" w:rsidR="00F00E3D" w:rsidRPr="0009785E" w:rsidRDefault="00F00E3D"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t xml:space="preserve">Indigenous health </w:t>
      </w:r>
      <w:r w:rsidR="00052574">
        <w:rPr>
          <w:rFonts w:asciiTheme="majorHAnsi" w:hAnsiTheme="majorHAnsi" w:cstheme="majorBidi"/>
          <w:sz w:val="23"/>
          <w:szCs w:val="23"/>
        </w:rPr>
        <w:t>and</w:t>
      </w:r>
      <w:r w:rsidRPr="0009785E">
        <w:rPr>
          <w:rFonts w:asciiTheme="majorHAnsi" w:hAnsiTheme="majorHAnsi" w:cstheme="majorBidi"/>
          <w:sz w:val="23"/>
          <w:szCs w:val="23"/>
        </w:rPr>
        <w:t xml:space="preserve"> wellbeing</w:t>
      </w:r>
    </w:p>
    <w:p w14:paraId="19FE2A3A" w14:textId="77777777" w:rsidR="00F00E3D" w:rsidRPr="0009785E" w:rsidRDefault="00F00E3D"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t>Food security</w:t>
      </w:r>
    </w:p>
    <w:p w14:paraId="46A6B695" w14:textId="77777777" w:rsidR="00F00E3D" w:rsidRPr="0009785E" w:rsidRDefault="00F00E3D"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t xml:space="preserve">Access to health services </w:t>
      </w:r>
    </w:p>
    <w:p w14:paraId="04B73EDC" w14:textId="77777777" w:rsidR="00F00E3D" w:rsidRPr="0009785E" w:rsidRDefault="00F00E3D"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t>Mental health and wellbeing</w:t>
      </w:r>
    </w:p>
    <w:p w14:paraId="04F33167" w14:textId="77777777" w:rsidR="00F00E3D" w:rsidRPr="0009785E" w:rsidRDefault="00F00E3D"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t>Domestic violence</w:t>
      </w:r>
    </w:p>
    <w:p w14:paraId="00BAE7BB" w14:textId="4735BA9E" w:rsidR="00F00E3D" w:rsidRPr="0009785E" w:rsidRDefault="00F00E3D"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t>Housing stress</w:t>
      </w:r>
      <w:r w:rsidR="006D74D8" w:rsidRPr="0009785E">
        <w:rPr>
          <w:rFonts w:asciiTheme="majorHAnsi" w:hAnsiTheme="majorHAnsi" w:cstheme="majorBidi"/>
          <w:sz w:val="23"/>
          <w:szCs w:val="23"/>
        </w:rPr>
        <w:t>, housing precarity,</w:t>
      </w:r>
      <w:r w:rsidRPr="0009785E">
        <w:rPr>
          <w:rFonts w:asciiTheme="majorHAnsi" w:hAnsiTheme="majorHAnsi" w:cstheme="majorBidi"/>
          <w:sz w:val="23"/>
          <w:szCs w:val="23"/>
        </w:rPr>
        <w:t xml:space="preserve"> and homelessness</w:t>
      </w:r>
    </w:p>
    <w:p w14:paraId="1D58A3F6" w14:textId="77777777" w:rsidR="00F00E3D" w:rsidRPr="0009785E" w:rsidRDefault="00F00E3D"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t>Public housing upgrade</w:t>
      </w:r>
    </w:p>
    <w:p w14:paraId="6C96E297" w14:textId="77777777" w:rsidR="00F00E3D" w:rsidRPr="0009785E" w:rsidRDefault="00F00E3D"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t>Mobility and access</w:t>
      </w:r>
    </w:p>
    <w:p w14:paraId="06BAE9E1" w14:textId="77777777" w:rsidR="0009785E" w:rsidRPr="0009785E" w:rsidRDefault="0009785E"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t>Neighbourhood Revitalisation and Public Space Improvements</w:t>
      </w:r>
    </w:p>
    <w:p w14:paraId="05D4D4B3" w14:textId="7BBFC379" w:rsidR="00F00E3D" w:rsidRPr="0009785E" w:rsidRDefault="00F00E3D"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t>Social isolation</w:t>
      </w:r>
    </w:p>
    <w:p w14:paraId="50F0894E" w14:textId="77777777" w:rsidR="00F00E3D" w:rsidRPr="0009785E" w:rsidRDefault="00F00E3D" w:rsidP="003C2FA6">
      <w:pPr>
        <w:pStyle w:val="ListParagraph"/>
        <w:numPr>
          <w:ilvl w:val="0"/>
          <w:numId w:val="60"/>
        </w:numPr>
        <w:spacing w:line="276" w:lineRule="auto"/>
        <w:rPr>
          <w:rFonts w:asciiTheme="majorHAnsi" w:eastAsiaTheme="majorEastAsia" w:hAnsiTheme="majorHAnsi" w:cstheme="majorBidi"/>
          <w:sz w:val="23"/>
          <w:szCs w:val="23"/>
        </w:rPr>
      </w:pPr>
      <w:r w:rsidRPr="0009785E">
        <w:rPr>
          <w:rFonts w:asciiTheme="majorHAnsi" w:hAnsiTheme="majorHAnsi" w:cstheme="majorBidi"/>
          <w:sz w:val="23"/>
          <w:szCs w:val="23"/>
        </w:rPr>
        <w:t>Place-based stigma</w:t>
      </w:r>
    </w:p>
    <w:p w14:paraId="36D04A9B" w14:textId="63C6B231" w:rsidR="00F00E3D" w:rsidRDefault="00612A90" w:rsidP="003C2FA6">
      <w:pPr>
        <w:spacing w:line="276" w:lineRule="auto"/>
        <w:rPr>
          <w:rFonts w:asciiTheme="majorHAnsi" w:hAnsiTheme="majorHAnsi" w:cstheme="majorBidi"/>
          <w:sz w:val="23"/>
          <w:szCs w:val="23"/>
        </w:rPr>
      </w:pPr>
      <w:r w:rsidRPr="00832ADD">
        <w:rPr>
          <w:rFonts w:cstheme="majorBidi"/>
          <w:b/>
          <w:sz w:val="23"/>
          <w:szCs w:val="23"/>
        </w:rPr>
        <w:t>Recommendation 3</w:t>
      </w:r>
      <w:r w:rsidR="00F00E3D" w:rsidRPr="00832ADD">
        <w:rPr>
          <w:rFonts w:cstheme="majorBidi"/>
          <w:b/>
          <w:sz w:val="23"/>
          <w:szCs w:val="23"/>
        </w:rPr>
        <w:t>:</w:t>
      </w:r>
      <w:r>
        <w:rPr>
          <w:rFonts w:asciiTheme="majorHAnsi" w:hAnsiTheme="majorHAnsi" w:cstheme="majorBidi"/>
          <w:sz w:val="23"/>
          <w:szCs w:val="23"/>
        </w:rPr>
        <w:t xml:space="preserve"> A</w:t>
      </w:r>
      <w:r w:rsidR="00F00E3D" w:rsidRPr="2B87D1CA">
        <w:rPr>
          <w:rFonts w:asciiTheme="majorHAnsi" w:hAnsiTheme="majorHAnsi" w:cstheme="majorBidi"/>
          <w:sz w:val="23"/>
          <w:szCs w:val="23"/>
        </w:rPr>
        <w:t>ddress these 14 priority areas</w:t>
      </w:r>
      <w:r>
        <w:rPr>
          <w:rFonts w:asciiTheme="majorHAnsi" w:hAnsiTheme="majorHAnsi" w:cstheme="majorBidi"/>
          <w:sz w:val="23"/>
          <w:szCs w:val="23"/>
        </w:rPr>
        <w:t xml:space="preserve"> through</w:t>
      </w:r>
      <w:r w:rsidR="00F00E3D" w:rsidRPr="2B87D1CA">
        <w:rPr>
          <w:rFonts w:asciiTheme="majorHAnsi" w:hAnsiTheme="majorHAnsi" w:cstheme="majorBidi"/>
          <w:sz w:val="23"/>
          <w:szCs w:val="23"/>
        </w:rPr>
        <w:t xml:space="preserve"> 10 </w:t>
      </w:r>
      <w:r>
        <w:rPr>
          <w:rFonts w:asciiTheme="majorHAnsi" w:hAnsiTheme="majorHAnsi" w:cstheme="majorBidi"/>
          <w:sz w:val="23"/>
          <w:szCs w:val="23"/>
        </w:rPr>
        <w:t xml:space="preserve">proposed </w:t>
      </w:r>
      <w:r w:rsidR="00F00E3D" w:rsidRPr="2B87D1CA">
        <w:rPr>
          <w:rFonts w:asciiTheme="majorHAnsi" w:hAnsiTheme="majorHAnsi" w:cstheme="majorBidi"/>
          <w:sz w:val="23"/>
          <w:szCs w:val="23"/>
        </w:rPr>
        <w:t>initiative</w:t>
      </w:r>
      <w:r w:rsidR="00F00E3D">
        <w:rPr>
          <w:rFonts w:asciiTheme="majorHAnsi" w:hAnsiTheme="majorHAnsi" w:cstheme="majorBidi"/>
          <w:sz w:val="23"/>
          <w:szCs w:val="23"/>
        </w:rPr>
        <w:t>s</w:t>
      </w:r>
      <w:r w:rsidR="00F00E3D" w:rsidRPr="2B87D1CA">
        <w:rPr>
          <w:rFonts w:asciiTheme="majorHAnsi" w:hAnsiTheme="majorHAnsi" w:cstheme="majorBidi"/>
          <w:sz w:val="23"/>
          <w:szCs w:val="23"/>
        </w:rPr>
        <w:t xml:space="preserve"> </w:t>
      </w:r>
      <w:r>
        <w:rPr>
          <w:rFonts w:asciiTheme="majorHAnsi" w:hAnsiTheme="majorHAnsi" w:cstheme="majorBidi"/>
          <w:sz w:val="23"/>
          <w:szCs w:val="23"/>
        </w:rPr>
        <w:t xml:space="preserve">that </w:t>
      </w:r>
      <w:r w:rsidR="00F00E3D">
        <w:rPr>
          <w:rFonts w:asciiTheme="majorHAnsi" w:hAnsiTheme="majorHAnsi" w:cstheme="majorBidi"/>
          <w:sz w:val="23"/>
          <w:szCs w:val="23"/>
        </w:rPr>
        <w:t>are</w:t>
      </w:r>
      <w:r w:rsidR="00F00E3D" w:rsidRPr="2B87D1CA">
        <w:rPr>
          <w:rFonts w:asciiTheme="majorHAnsi" w:hAnsiTheme="majorHAnsi" w:cstheme="majorBidi"/>
          <w:sz w:val="23"/>
          <w:szCs w:val="23"/>
        </w:rPr>
        <w:t xml:space="preserve"> identified as a basis for future action. Each initiative</w:t>
      </w:r>
      <w:r w:rsidR="00F00E3D" w:rsidRPr="0E3C9592">
        <w:rPr>
          <w:rFonts w:asciiTheme="majorHAnsi" w:hAnsiTheme="majorHAnsi" w:cstheme="majorBidi"/>
          <w:sz w:val="23"/>
          <w:szCs w:val="23"/>
        </w:rPr>
        <w:t>,</w:t>
      </w:r>
      <w:r w:rsidR="00F00E3D" w:rsidRPr="2B87D1CA">
        <w:rPr>
          <w:rFonts w:asciiTheme="majorHAnsi" w:hAnsiTheme="majorHAnsi" w:cstheme="majorBidi"/>
          <w:sz w:val="23"/>
          <w:szCs w:val="23"/>
        </w:rPr>
        <w:t xml:space="preserve"> </w:t>
      </w:r>
      <w:r w:rsidR="00F00E3D">
        <w:rPr>
          <w:rFonts w:asciiTheme="majorHAnsi" w:hAnsiTheme="majorHAnsi" w:cstheme="majorBidi"/>
          <w:sz w:val="23"/>
          <w:szCs w:val="23"/>
        </w:rPr>
        <w:t>as</w:t>
      </w:r>
      <w:r w:rsidR="00F00E3D" w:rsidRPr="2B87D1CA">
        <w:rPr>
          <w:rFonts w:asciiTheme="majorHAnsi" w:hAnsiTheme="majorHAnsi" w:cstheme="majorBidi"/>
          <w:sz w:val="23"/>
          <w:szCs w:val="23"/>
        </w:rPr>
        <w:t xml:space="preserve"> summarised </w:t>
      </w:r>
      <w:r w:rsidR="00F00E3D">
        <w:rPr>
          <w:rFonts w:asciiTheme="majorHAnsi" w:hAnsiTheme="majorHAnsi" w:cstheme="majorBidi"/>
          <w:sz w:val="23"/>
          <w:szCs w:val="23"/>
        </w:rPr>
        <w:t xml:space="preserve">in the </w:t>
      </w:r>
      <w:r w:rsidR="00F00E3D" w:rsidRPr="5C44CF5E">
        <w:rPr>
          <w:rFonts w:asciiTheme="majorHAnsi" w:hAnsiTheme="majorHAnsi" w:cstheme="majorBidi"/>
          <w:sz w:val="23"/>
          <w:szCs w:val="23"/>
        </w:rPr>
        <w:t>Executive</w:t>
      </w:r>
      <w:r w:rsidR="00F00E3D">
        <w:rPr>
          <w:rFonts w:asciiTheme="majorHAnsi" w:hAnsiTheme="majorHAnsi" w:cstheme="majorBidi"/>
          <w:sz w:val="23"/>
          <w:szCs w:val="23"/>
        </w:rPr>
        <w:t xml:space="preserve"> Summary</w:t>
      </w:r>
      <w:r w:rsidR="00F00E3D" w:rsidRPr="0E3C9592">
        <w:rPr>
          <w:rFonts w:asciiTheme="majorHAnsi" w:hAnsiTheme="majorHAnsi" w:cstheme="majorBidi"/>
          <w:sz w:val="23"/>
          <w:szCs w:val="23"/>
        </w:rPr>
        <w:t>,</w:t>
      </w:r>
      <w:r w:rsidR="00F00E3D" w:rsidRPr="2B87D1CA">
        <w:rPr>
          <w:rFonts w:asciiTheme="majorHAnsi" w:hAnsiTheme="majorHAnsi" w:cstheme="majorBidi"/>
          <w:sz w:val="23"/>
          <w:szCs w:val="23"/>
        </w:rPr>
        <w:t xml:space="preserve"> includ</w:t>
      </w:r>
      <w:r w:rsidR="00F00E3D">
        <w:rPr>
          <w:rFonts w:asciiTheme="majorHAnsi" w:hAnsiTheme="majorHAnsi" w:cstheme="majorBidi"/>
          <w:sz w:val="23"/>
          <w:szCs w:val="23"/>
        </w:rPr>
        <w:t>es</w:t>
      </w:r>
      <w:r w:rsidR="00F00E3D" w:rsidRPr="2B87D1CA">
        <w:rPr>
          <w:rFonts w:asciiTheme="majorHAnsi" w:hAnsiTheme="majorHAnsi" w:cstheme="majorBidi"/>
          <w:sz w:val="23"/>
          <w:szCs w:val="23"/>
        </w:rPr>
        <w:t xml:space="preserve"> a rationale for why it is needed and suggestions on how it might be approached.</w:t>
      </w:r>
      <w:r w:rsidR="00F00E3D">
        <w:rPr>
          <w:rFonts w:asciiTheme="majorHAnsi" w:hAnsiTheme="majorHAnsi" w:cstheme="majorBidi"/>
          <w:sz w:val="23"/>
          <w:szCs w:val="23"/>
        </w:rPr>
        <w:t xml:space="preserve"> </w:t>
      </w:r>
      <w:r w:rsidR="00F00E3D" w:rsidRPr="4D79C869">
        <w:rPr>
          <w:rFonts w:asciiTheme="majorHAnsi" w:eastAsiaTheme="minorEastAsia" w:hAnsiTheme="majorHAnsi" w:cstheme="majorBidi"/>
          <w:sz w:val="23"/>
          <w:szCs w:val="23"/>
          <w:lang w:val="en-GB"/>
        </w:rPr>
        <w:t xml:space="preserve">The 10 initiatives offer a framework to develop more </w:t>
      </w:r>
      <w:bookmarkStart w:id="98" w:name="_Hlk71294207"/>
      <w:r w:rsidR="00F00E3D" w:rsidRPr="4D79C869">
        <w:rPr>
          <w:rFonts w:asciiTheme="majorHAnsi" w:eastAsiaTheme="minorEastAsia" w:hAnsiTheme="majorHAnsi" w:cstheme="majorBidi"/>
          <w:sz w:val="23"/>
          <w:szCs w:val="23"/>
          <w:lang w:val="en-GB"/>
        </w:rPr>
        <w:t xml:space="preserve">specific programs and targeted local responses. </w:t>
      </w:r>
      <w:r w:rsidR="00F00E3D" w:rsidRPr="4D79C869">
        <w:rPr>
          <w:rFonts w:asciiTheme="majorHAnsi" w:hAnsiTheme="majorHAnsi" w:cstheme="majorBidi"/>
          <w:sz w:val="23"/>
          <w:szCs w:val="23"/>
        </w:rPr>
        <w:t>Broadly speaking, t</w:t>
      </w:r>
      <w:r w:rsidR="00F00E3D" w:rsidRPr="4D79C869">
        <w:rPr>
          <w:rFonts w:asciiTheme="majorHAnsi" w:eastAsiaTheme="minorEastAsia" w:hAnsiTheme="majorHAnsi" w:cstheme="majorBidi"/>
          <w:sz w:val="23"/>
          <w:szCs w:val="23"/>
          <w:lang w:val="en-GB"/>
        </w:rPr>
        <w:t xml:space="preserve">he </w:t>
      </w:r>
      <w:r w:rsidR="00F00E3D" w:rsidRPr="4D79C869">
        <w:rPr>
          <w:rFonts w:asciiTheme="majorHAnsi" w:hAnsiTheme="majorHAnsi" w:cstheme="majorBidi"/>
          <w:sz w:val="23"/>
          <w:szCs w:val="23"/>
        </w:rPr>
        <w:t>initiatives should be multi-pronged in focus, drawing on cross-sector collaboration</w:t>
      </w:r>
      <w:r w:rsidR="00F04998">
        <w:rPr>
          <w:rFonts w:asciiTheme="majorHAnsi" w:hAnsiTheme="majorHAnsi" w:cstheme="majorBidi"/>
          <w:sz w:val="23"/>
          <w:szCs w:val="23"/>
        </w:rPr>
        <w:t>,</w:t>
      </w:r>
      <w:r w:rsidR="00F00E3D" w:rsidRPr="4D79C869">
        <w:rPr>
          <w:rFonts w:asciiTheme="majorHAnsi" w:hAnsiTheme="majorHAnsi" w:cstheme="majorBidi"/>
          <w:sz w:val="23"/>
          <w:szCs w:val="23"/>
        </w:rPr>
        <w:t xml:space="preserve"> and spanning </w:t>
      </w:r>
      <w:r w:rsidR="00D95573">
        <w:rPr>
          <w:rFonts w:asciiTheme="majorHAnsi" w:hAnsiTheme="majorHAnsi" w:cstheme="majorBidi"/>
          <w:sz w:val="23"/>
          <w:szCs w:val="23"/>
        </w:rPr>
        <w:t>Practice Domain</w:t>
      </w:r>
      <w:r w:rsidR="00F00E3D" w:rsidRPr="4D79C869">
        <w:rPr>
          <w:rFonts w:asciiTheme="majorHAnsi" w:hAnsiTheme="majorHAnsi" w:cstheme="majorBidi"/>
          <w:sz w:val="23"/>
          <w:szCs w:val="23"/>
        </w:rPr>
        <w:t>s and local issues.</w:t>
      </w:r>
      <w:r w:rsidR="00F00E3D" w:rsidRPr="0E3C9592">
        <w:rPr>
          <w:rFonts w:asciiTheme="majorHAnsi" w:hAnsiTheme="majorHAnsi" w:cstheme="majorBidi"/>
          <w:sz w:val="23"/>
          <w:szCs w:val="23"/>
        </w:rPr>
        <w:t xml:space="preserve"> The 10 initiatives are</w:t>
      </w:r>
      <w:bookmarkEnd w:id="98"/>
      <w:r w:rsidR="00F00E3D" w:rsidRPr="0E3C9592">
        <w:rPr>
          <w:rFonts w:asciiTheme="majorHAnsi" w:hAnsiTheme="majorHAnsi" w:cstheme="majorBidi"/>
          <w:sz w:val="23"/>
          <w:szCs w:val="23"/>
        </w:rPr>
        <w:t>:</w:t>
      </w:r>
    </w:p>
    <w:p w14:paraId="6FCAEAE8" w14:textId="77777777" w:rsidR="00F00E3D" w:rsidRPr="000568FE" w:rsidRDefault="00F00E3D" w:rsidP="003C2FA6">
      <w:pPr>
        <w:pStyle w:val="ListParagraph"/>
        <w:numPr>
          <w:ilvl w:val="0"/>
          <w:numId w:val="60"/>
        </w:numPr>
        <w:spacing w:line="276" w:lineRule="auto"/>
        <w:rPr>
          <w:rFonts w:asciiTheme="majorHAnsi" w:hAnsiTheme="majorHAnsi" w:cstheme="majorBidi"/>
          <w:sz w:val="23"/>
          <w:szCs w:val="23"/>
        </w:rPr>
      </w:pPr>
      <w:r w:rsidRPr="000568FE">
        <w:rPr>
          <w:rFonts w:asciiTheme="majorHAnsi" w:hAnsiTheme="majorHAnsi" w:cstheme="majorBidi"/>
          <w:sz w:val="23"/>
          <w:szCs w:val="23"/>
        </w:rPr>
        <w:t>Identify and Extend Successful Programs  </w:t>
      </w:r>
    </w:p>
    <w:p w14:paraId="56A2B4E0" w14:textId="77777777" w:rsidR="00F00E3D" w:rsidRPr="000568FE" w:rsidRDefault="00F00E3D" w:rsidP="003C2FA6">
      <w:pPr>
        <w:pStyle w:val="ListParagraph"/>
        <w:numPr>
          <w:ilvl w:val="0"/>
          <w:numId w:val="60"/>
        </w:numPr>
        <w:spacing w:line="276" w:lineRule="auto"/>
        <w:rPr>
          <w:rFonts w:asciiTheme="majorHAnsi" w:hAnsiTheme="majorHAnsi" w:cstheme="majorBidi"/>
          <w:sz w:val="23"/>
          <w:szCs w:val="23"/>
        </w:rPr>
      </w:pPr>
      <w:r w:rsidRPr="000568FE">
        <w:rPr>
          <w:rFonts w:asciiTheme="majorHAnsi" w:hAnsiTheme="majorHAnsi" w:cstheme="majorBidi"/>
          <w:sz w:val="23"/>
          <w:szCs w:val="23"/>
        </w:rPr>
        <w:t>Safe and Affordable Housing </w:t>
      </w:r>
    </w:p>
    <w:p w14:paraId="3B01D31C" w14:textId="77777777" w:rsidR="00F00E3D" w:rsidRPr="000568FE" w:rsidRDefault="00F00E3D" w:rsidP="003C2FA6">
      <w:pPr>
        <w:pStyle w:val="ListParagraph"/>
        <w:numPr>
          <w:ilvl w:val="0"/>
          <w:numId w:val="60"/>
        </w:numPr>
        <w:spacing w:line="276" w:lineRule="auto"/>
        <w:rPr>
          <w:rFonts w:asciiTheme="majorHAnsi" w:hAnsiTheme="majorHAnsi" w:cstheme="majorBidi"/>
          <w:sz w:val="23"/>
          <w:szCs w:val="23"/>
        </w:rPr>
      </w:pPr>
      <w:r w:rsidRPr="000568FE">
        <w:rPr>
          <w:rFonts w:asciiTheme="majorHAnsi" w:hAnsiTheme="majorHAnsi" w:cstheme="majorBidi"/>
          <w:sz w:val="23"/>
          <w:szCs w:val="23"/>
        </w:rPr>
        <w:t>Local Training for Employment</w:t>
      </w:r>
    </w:p>
    <w:p w14:paraId="500CBBED" w14:textId="77777777" w:rsidR="00F00E3D" w:rsidRPr="000568FE" w:rsidRDefault="00F00E3D" w:rsidP="003C2FA6">
      <w:pPr>
        <w:pStyle w:val="ListParagraph"/>
        <w:numPr>
          <w:ilvl w:val="0"/>
          <w:numId w:val="60"/>
        </w:numPr>
        <w:spacing w:line="276" w:lineRule="auto"/>
        <w:rPr>
          <w:rFonts w:asciiTheme="majorHAnsi" w:hAnsiTheme="majorHAnsi" w:cstheme="majorBidi"/>
          <w:sz w:val="23"/>
          <w:szCs w:val="23"/>
        </w:rPr>
      </w:pPr>
      <w:r w:rsidRPr="000568FE">
        <w:rPr>
          <w:rFonts w:asciiTheme="majorHAnsi" w:hAnsiTheme="majorHAnsi" w:cstheme="majorBidi"/>
          <w:sz w:val="23"/>
          <w:szCs w:val="23"/>
        </w:rPr>
        <w:t>Local Health Services and Infrastructure </w:t>
      </w:r>
    </w:p>
    <w:p w14:paraId="13925C60" w14:textId="77777777" w:rsidR="00F00E3D" w:rsidRPr="000568FE" w:rsidRDefault="00F00E3D" w:rsidP="003C2FA6">
      <w:pPr>
        <w:pStyle w:val="ListParagraph"/>
        <w:numPr>
          <w:ilvl w:val="0"/>
          <w:numId w:val="60"/>
        </w:numPr>
        <w:spacing w:line="276" w:lineRule="auto"/>
        <w:rPr>
          <w:rFonts w:asciiTheme="majorHAnsi" w:hAnsiTheme="majorHAnsi" w:cstheme="majorBidi"/>
          <w:sz w:val="23"/>
          <w:szCs w:val="23"/>
        </w:rPr>
      </w:pPr>
      <w:r w:rsidRPr="000568FE">
        <w:rPr>
          <w:rFonts w:asciiTheme="majorHAnsi" w:hAnsiTheme="majorHAnsi" w:cstheme="majorBidi"/>
          <w:sz w:val="23"/>
          <w:szCs w:val="23"/>
        </w:rPr>
        <w:t>Placemaking</w:t>
      </w:r>
    </w:p>
    <w:p w14:paraId="70EE8A37" w14:textId="77777777" w:rsidR="00F00E3D" w:rsidRPr="000568FE" w:rsidRDefault="00F00E3D" w:rsidP="003C2FA6">
      <w:pPr>
        <w:pStyle w:val="ListParagraph"/>
        <w:numPr>
          <w:ilvl w:val="0"/>
          <w:numId w:val="60"/>
        </w:numPr>
        <w:spacing w:line="276" w:lineRule="auto"/>
        <w:rPr>
          <w:rFonts w:asciiTheme="majorHAnsi" w:hAnsiTheme="majorHAnsi" w:cstheme="majorBidi"/>
          <w:sz w:val="23"/>
          <w:szCs w:val="23"/>
        </w:rPr>
      </w:pPr>
      <w:r w:rsidRPr="000568FE">
        <w:rPr>
          <w:rFonts w:asciiTheme="majorHAnsi" w:hAnsiTheme="majorHAnsi" w:cstheme="majorBidi"/>
          <w:sz w:val="23"/>
          <w:szCs w:val="23"/>
        </w:rPr>
        <w:t>Social Connection</w:t>
      </w:r>
    </w:p>
    <w:p w14:paraId="0A395ACB" w14:textId="77777777" w:rsidR="00F00E3D" w:rsidRPr="000568FE" w:rsidRDefault="00F00E3D" w:rsidP="003C2FA6">
      <w:pPr>
        <w:pStyle w:val="ListParagraph"/>
        <w:numPr>
          <w:ilvl w:val="0"/>
          <w:numId w:val="60"/>
        </w:numPr>
        <w:spacing w:line="276" w:lineRule="auto"/>
        <w:rPr>
          <w:rFonts w:asciiTheme="majorHAnsi" w:hAnsiTheme="majorHAnsi" w:cstheme="majorBidi"/>
          <w:sz w:val="23"/>
          <w:szCs w:val="23"/>
        </w:rPr>
      </w:pPr>
      <w:r w:rsidRPr="000568FE">
        <w:rPr>
          <w:rFonts w:asciiTheme="majorHAnsi" w:hAnsiTheme="majorHAnsi" w:cstheme="majorBidi"/>
          <w:sz w:val="23"/>
          <w:szCs w:val="23"/>
        </w:rPr>
        <w:t>Arts-based Programs and Community Events </w:t>
      </w:r>
    </w:p>
    <w:p w14:paraId="555CC622" w14:textId="77777777" w:rsidR="00F00E3D" w:rsidRPr="000568FE" w:rsidRDefault="00F00E3D" w:rsidP="003C2FA6">
      <w:pPr>
        <w:pStyle w:val="ListParagraph"/>
        <w:numPr>
          <w:ilvl w:val="0"/>
          <w:numId w:val="60"/>
        </w:numPr>
        <w:spacing w:line="276" w:lineRule="auto"/>
        <w:rPr>
          <w:rFonts w:asciiTheme="majorHAnsi" w:hAnsiTheme="majorHAnsi" w:cstheme="majorBidi"/>
          <w:sz w:val="23"/>
          <w:szCs w:val="23"/>
        </w:rPr>
      </w:pPr>
      <w:r w:rsidRPr="000568FE">
        <w:rPr>
          <w:rFonts w:asciiTheme="majorHAnsi" w:hAnsiTheme="majorHAnsi" w:cstheme="majorBidi"/>
          <w:sz w:val="23"/>
          <w:szCs w:val="23"/>
        </w:rPr>
        <w:t>Digital Inclusion </w:t>
      </w:r>
    </w:p>
    <w:p w14:paraId="6329DC84" w14:textId="00E281FD" w:rsidR="00F00E3D" w:rsidRPr="000568FE" w:rsidRDefault="00F00E3D" w:rsidP="003C2FA6">
      <w:pPr>
        <w:pStyle w:val="ListParagraph"/>
        <w:numPr>
          <w:ilvl w:val="0"/>
          <w:numId w:val="60"/>
        </w:numPr>
        <w:spacing w:line="276" w:lineRule="auto"/>
        <w:rPr>
          <w:rFonts w:asciiTheme="majorHAnsi" w:hAnsiTheme="majorHAnsi" w:cstheme="majorBidi"/>
          <w:sz w:val="23"/>
          <w:szCs w:val="23"/>
        </w:rPr>
      </w:pPr>
      <w:r w:rsidRPr="000568FE">
        <w:rPr>
          <w:rFonts w:asciiTheme="majorHAnsi" w:hAnsiTheme="majorHAnsi" w:cstheme="majorBidi"/>
          <w:sz w:val="23"/>
          <w:szCs w:val="23"/>
        </w:rPr>
        <w:t>Support for Healthy Eating</w:t>
      </w:r>
    </w:p>
    <w:p w14:paraId="05605183" w14:textId="14474821" w:rsidR="00CF0EF5" w:rsidRPr="001604FE" w:rsidRDefault="00F00E3D" w:rsidP="003C2FA6">
      <w:pPr>
        <w:pStyle w:val="ListParagraph"/>
        <w:numPr>
          <w:ilvl w:val="0"/>
          <w:numId w:val="60"/>
        </w:numPr>
        <w:spacing w:line="276" w:lineRule="auto"/>
        <w:rPr>
          <w:rFonts w:asciiTheme="majorHAnsi" w:hAnsiTheme="majorHAnsi" w:cstheme="majorBidi"/>
          <w:sz w:val="23"/>
          <w:szCs w:val="23"/>
        </w:rPr>
      </w:pPr>
      <w:r w:rsidRPr="000568FE">
        <w:rPr>
          <w:rFonts w:asciiTheme="majorHAnsi" w:hAnsiTheme="majorHAnsi" w:cstheme="majorBidi"/>
          <w:sz w:val="23"/>
          <w:szCs w:val="23"/>
        </w:rPr>
        <w:t>Accessibility, Equity</w:t>
      </w:r>
      <w:r w:rsidR="00590A07">
        <w:rPr>
          <w:rFonts w:asciiTheme="majorHAnsi" w:hAnsiTheme="majorHAnsi" w:cstheme="majorBidi"/>
          <w:sz w:val="23"/>
          <w:szCs w:val="23"/>
        </w:rPr>
        <w:t>,</w:t>
      </w:r>
      <w:r w:rsidRPr="000568FE">
        <w:rPr>
          <w:rFonts w:asciiTheme="majorHAnsi" w:hAnsiTheme="majorHAnsi" w:cstheme="majorBidi"/>
          <w:sz w:val="23"/>
          <w:szCs w:val="23"/>
        </w:rPr>
        <w:t xml:space="preserve"> and Social inclusion</w:t>
      </w:r>
    </w:p>
    <w:p w14:paraId="302031C7" w14:textId="029644D7" w:rsidR="00F05696" w:rsidRDefault="00CF0EF5" w:rsidP="003C2FA6">
      <w:pPr>
        <w:spacing w:line="276" w:lineRule="auto"/>
        <w:rPr>
          <w:rFonts w:eastAsiaTheme="majorEastAsia" w:cstheme="majorBidi"/>
          <w:b/>
          <w:bCs/>
          <w:color w:val="2F5496" w:themeColor="accent1" w:themeShade="BF"/>
          <w:sz w:val="25"/>
          <w:szCs w:val="25"/>
          <w:lang w:val="en-GB"/>
        </w:rPr>
      </w:pPr>
      <w:r>
        <w:rPr>
          <w:rFonts w:eastAsiaTheme="majorEastAsia" w:cstheme="majorBidi"/>
          <w:b/>
          <w:bCs/>
          <w:color w:val="2F5496" w:themeColor="accent1" w:themeShade="BF"/>
          <w:sz w:val="25"/>
          <w:szCs w:val="25"/>
          <w:lang w:val="en-GB"/>
        </w:rPr>
        <w:t>Mapping</w:t>
      </w:r>
      <w:r w:rsidR="007A36B9">
        <w:rPr>
          <w:rFonts w:eastAsiaTheme="majorEastAsia" w:cstheme="majorBidi"/>
          <w:b/>
          <w:bCs/>
          <w:color w:val="2F5496" w:themeColor="accent1" w:themeShade="BF"/>
          <w:sz w:val="25"/>
          <w:szCs w:val="25"/>
          <w:lang w:val="en-GB"/>
        </w:rPr>
        <w:t xml:space="preserve"> the Recommendations</w:t>
      </w:r>
      <w:r>
        <w:rPr>
          <w:rFonts w:eastAsiaTheme="majorEastAsia" w:cstheme="majorBidi"/>
          <w:b/>
          <w:bCs/>
          <w:color w:val="2F5496" w:themeColor="accent1" w:themeShade="BF"/>
          <w:sz w:val="25"/>
          <w:szCs w:val="25"/>
          <w:lang w:val="en-GB"/>
        </w:rPr>
        <w:t xml:space="preserve">: </w:t>
      </w:r>
      <w:r w:rsidR="00F05696">
        <w:rPr>
          <w:rFonts w:eastAsiaTheme="majorEastAsia" w:cstheme="majorBidi"/>
          <w:b/>
          <w:bCs/>
          <w:color w:val="2F5496" w:themeColor="accent1" w:themeShade="BF"/>
          <w:sz w:val="25"/>
          <w:szCs w:val="25"/>
          <w:lang w:val="en-GB"/>
        </w:rPr>
        <w:t>Priority Areas</w:t>
      </w:r>
      <w:r w:rsidR="00864A43">
        <w:rPr>
          <w:rFonts w:eastAsiaTheme="majorEastAsia" w:cstheme="majorBidi"/>
          <w:b/>
          <w:bCs/>
          <w:color w:val="2F5496" w:themeColor="accent1" w:themeShade="BF"/>
          <w:sz w:val="25"/>
          <w:szCs w:val="25"/>
          <w:lang w:val="en-GB"/>
        </w:rPr>
        <w:t>, Initiatives</w:t>
      </w:r>
      <w:r>
        <w:rPr>
          <w:rFonts w:eastAsiaTheme="majorEastAsia" w:cstheme="majorBidi"/>
          <w:b/>
          <w:bCs/>
          <w:color w:val="2F5496" w:themeColor="accent1" w:themeShade="BF"/>
          <w:sz w:val="25"/>
          <w:szCs w:val="25"/>
          <w:lang w:val="en-GB"/>
        </w:rPr>
        <w:t xml:space="preserve">, </w:t>
      </w:r>
      <w:r w:rsidR="001604FE">
        <w:rPr>
          <w:rFonts w:eastAsiaTheme="majorEastAsia" w:cstheme="majorBidi"/>
          <w:b/>
          <w:bCs/>
          <w:color w:val="2F5496" w:themeColor="accent1" w:themeShade="BF"/>
          <w:sz w:val="25"/>
          <w:szCs w:val="25"/>
          <w:lang w:val="en-GB"/>
        </w:rPr>
        <w:t xml:space="preserve">and </w:t>
      </w:r>
      <w:r w:rsidR="00D95573">
        <w:rPr>
          <w:rFonts w:eastAsiaTheme="majorEastAsia" w:cstheme="majorBidi"/>
          <w:b/>
          <w:bCs/>
          <w:color w:val="2F5496" w:themeColor="accent1" w:themeShade="BF"/>
          <w:sz w:val="25"/>
          <w:szCs w:val="25"/>
          <w:lang w:val="en-GB"/>
        </w:rPr>
        <w:t>Practice Domain</w:t>
      </w:r>
      <w:r>
        <w:rPr>
          <w:rFonts w:eastAsiaTheme="majorEastAsia" w:cstheme="majorBidi"/>
          <w:b/>
          <w:bCs/>
          <w:color w:val="2F5496" w:themeColor="accent1" w:themeShade="BF"/>
          <w:sz w:val="25"/>
          <w:szCs w:val="25"/>
          <w:lang w:val="en-GB"/>
        </w:rPr>
        <w:t>s</w:t>
      </w:r>
    </w:p>
    <w:p w14:paraId="1A380665" w14:textId="57C7C9A6" w:rsidR="00E325F0" w:rsidRPr="00EB511F" w:rsidRDefault="002477E7" w:rsidP="6A3610E4">
      <w:pPr>
        <w:spacing w:after="0" w:line="276" w:lineRule="auto"/>
        <w:rPr>
          <w:rFonts w:eastAsiaTheme="majorEastAsia" w:cstheme="majorBidi"/>
          <w:b/>
          <w:bCs/>
          <w:color w:val="2F5496" w:themeColor="accent1" w:themeShade="BF"/>
          <w:sz w:val="23"/>
          <w:szCs w:val="23"/>
          <w:lang w:val="en-GB"/>
        </w:rPr>
      </w:pPr>
      <w:r w:rsidRPr="6A3610E4">
        <w:rPr>
          <w:rFonts w:asciiTheme="majorHAnsi" w:eastAsiaTheme="majorEastAsia" w:hAnsiTheme="majorHAnsi" w:cstheme="majorBidi"/>
          <w:sz w:val="23"/>
          <w:szCs w:val="23"/>
          <w:lang w:val="en-GB"/>
        </w:rPr>
        <w:t xml:space="preserve">To help visualise </w:t>
      </w:r>
      <w:r w:rsidR="00B166C9" w:rsidRPr="6A3610E4">
        <w:rPr>
          <w:rFonts w:asciiTheme="majorHAnsi" w:eastAsiaTheme="majorEastAsia" w:hAnsiTheme="majorHAnsi" w:cstheme="majorBidi"/>
          <w:sz w:val="23"/>
          <w:szCs w:val="23"/>
          <w:lang w:val="en-GB"/>
        </w:rPr>
        <w:t xml:space="preserve">how </w:t>
      </w:r>
      <w:r w:rsidR="00390E1E" w:rsidRPr="6A3610E4">
        <w:rPr>
          <w:rFonts w:asciiTheme="majorHAnsi" w:eastAsiaTheme="majorEastAsia" w:hAnsiTheme="majorHAnsi" w:cstheme="majorBidi"/>
          <w:sz w:val="23"/>
          <w:szCs w:val="23"/>
          <w:lang w:val="en-GB"/>
        </w:rPr>
        <w:t xml:space="preserve">we </w:t>
      </w:r>
      <w:r w:rsidR="00A867BE" w:rsidRPr="6A3610E4">
        <w:rPr>
          <w:rFonts w:asciiTheme="majorHAnsi" w:eastAsiaTheme="majorEastAsia" w:hAnsiTheme="majorHAnsi" w:cstheme="majorBidi"/>
          <w:sz w:val="23"/>
          <w:szCs w:val="23"/>
          <w:lang w:val="en-GB"/>
        </w:rPr>
        <w:t>translated</w:t>
      </w:r>
      <w:r w:rsidR="00BF330D" w:rsidRPr="6A3610E4">
        <w:rPr>
          <w:rFonts w:asciiTheme="majorHAnsi" w:eastAsiaTheme="majorEastAsia" w:hAnsiTheme="majorHAnsi" w:cstheme="majorBidi"/>
          <w:sz w:val="23"/>
          <w:szCs w:val="23"/>
          <w:lang w:val="en-GB"/>
        </w:rPr>
        <w:t xml:space="preserve"> identified</w:t>
      </w:r>
      <w:r w:rsidR="00A867BE" w:rsidRPr="6A3610E4">
        <w:rPr>
          <w:rFonts w:asciiTheme="majorHAnsi" w:eastAsiaTheme="majorEastAsia" w:hAnsiTheme="majorHAnsi" w:cstheme="majorBidi"/>
          <w:sz w:val="23"/>
          <w:szCs w:val="23"/>
          <w:lang w:val="en-GB"/>
        </w:rPr>
        <w:t xml:space="preserve"> issues into proposed actions</w:t>
      </w:r>
      <w:r w:rsidR="00DB4C85" w:rsidRPr="6A3610E4">
        <w:rPr>
          <w:rFonts w:asciiTheme="majorHAnsi" w:eastAsiaTheme="majorEastAsia" w:hAnsiTheme="majorHAnsi" w:cstheme="majorBidi"/>
          <w:sz w:val="23"/>
          <w:szCs w:val="23"/>
          <w:lang w:val="en-GB"/>
        </w:rPr>
        <w:t>,</w:t>
      </w:r>
      <w:r w:rsidR="00390E1E" w:rsidRPr="6A3610E4">
        <w:rPr>
          <w:rFonts w:asciiTheme="majorHAnsi" w:eastAsiaTheme="majorEastAsia" w:hAnsiTheme="majorHAnsi" w:cstheme="majorBidi"/>
          <w:sz w:val="23"/>
          <w:szCs w:val="23"/>
          <w:lang w:val="en-GB"/>
        </w:rPr>
        <w:t xml:space="preserve"> </w:t>
      </w:r>
      <w:r w:rsidR="0074757D" w:rsidRPr="6A3610E4">
        <w:rPr>
          <w:rFonts w:asciiTheme="majorHAnsi" w:eastAsiaTheme="majorEastAsia" w:hAnsiTheme="majorHAnsi" w:cstheme="majorBidi"/>
          <w:sz w:val="23"/>
          <w:szCs w:val="23"/>
          <w:lang w:val="en-GB"/>
        </w:rPr>
        <w:t>Table 9.</w:t>
      </w:r>
      <w:r w:rsidR="7EF9E597" w:rsidRPr="6A3610E4">
        <w:rPr>
          <w:rFonts w:asciiTheme="majorHAnsi" w:eastAsiaTheme="majorEastAsia" w:hAnsiTheme="majorHAnsi" w:cstheme="majorBidi"/>
          <w:sz w:val="23"/>
          <w:szCs w:val="23"/>
          <w:lang w:val="en-GB"/>
        </w:rPr>
        <w:t>1</w:t>
      </w:r>
      <w:r w:rsidR="0074757D" w:rsidRPr="6A3610E4">
        <w:rPr>
          <w:rFonts w:asciiTheme="majorHAnsi" w:eastAsiaTheme="majorEastAsia" w:hAnsiTheme="majorHAnsi" w:cstheme="majorBidi"/>
          <w:sz w:val="23"/>
          <w:szCs w:val="23"/>
          <w:lang w:val="en-GB"/>
        </w:rPr>
        <w:t xml:space="preserve"> (below)</w:t>
      </w:r>
      <w:r w:rsidR="00567930" w:rsidRPr="6A3610E4">
        <w:rPr>
          <w:rFonts w:asciiTheme="majorHAnsi" w:eastAsiaTheme="majorEastAsia" w:hAnsiTheme="majorHAnsi" w:cstheme="majorBidi"/>
          <w:sz w:val="23"/>
          <w:szCs w:val="23"/>
          <w:lang w:val="en-GB"/>
        </w:rPr>
        <w:t xml:space="preserve"> map</w:t>
      </w:r>
      <w:r w:rsidR="00F049AE" w:rsidRPr="6A3610E4">
        <w:rPr>
          <w:rFonts w:asciiTheme="majorHAnsi" w:eastAsiaTheme="majorEastAsia" w:hAnsiTheme="majorHAnsi" w:cstheme="majorBidi"/>
          <w:sz w:val="23"/>
          <w:szCs w:val="23"/>
          <w:lang w:val="en-GB"/>
        </w:rPr>
        <w:t>s</w:t>
      </w:r>
      <w:r w:rsidR="00567930" w:rsidRPr="6A3610E4">
        <w:rPr>
          <w:rFonts w:asciiTheme="majorHAnsi" w:eastAsiaTheme="majorEastAsia" w:hAnsiTheme="majorHAnsi" w:cstheme="majorBidi"/>
          <w:sz w:val="23"/>
          <w:szCs w:val="23"/>
          <w:lang w:val="en-GB"/>
        </w:rPr>
        <w:t xml:space="preserve"> our</w:t>
      </w:r>
      <w:r w:rsidR="003A4BB3" w:rsidRPr="6A3610E4">
        <w:rPr>
          <w:rFonts w:asciiTheme="majorHAnsi" w:eastAsiaTheme="majorEastAsia" w:hAnsiTheme="majorHAnsi" w:cstheme="majorBidi"/>
          <w:sz w:val="23"/>
          <w:szCs w:val="23"/>
          <w:lang w:val="en-GB"/>
        </w:rPr>
        <w:t xml:space="preserve"> </w:t>
      </w:r>
      <w:r w:rsidR="00636727" w:rsidRPr="6A3610E4">
        <w:rPr>
          <w:rFonts w:asciiTheme="majorHAnsi" w:eastAsiaTheme="majorEastAsia" w:hAnsiTheme="majorHAnsi" w:cstheme="majorBidi"/>
          <w:sz w:val="23"/>
          <w:szCs w:val="23"/>
          <w:lang w:val="en-GB"/>
        </w:rPr>
        <w:t>“</w:t>
      </w:r>
      <w:r w:rsidR="003A4BB3" w:rsidRPr="6A3610E4">
        <w:rPr>
          <w:rFonts w:asciiTheme="majorHAnsi" w:eastAsiaTheme="majorEastAsia" w:hAnsiTheme="majorHAnsi" w:cstheme="majorBidi"/>
          <w:sz w:val="23"/>
          <w:szCs w:val="23"/>
          <w:lang w:val="en-GB"/>
        </w:rPr>
        <w:t>10</w:t>
      </w:r>
      <w:r w:rsidR="008242F7" w:rsidRPr="6A3610E4">
        <w:rPr>
          <w:rFonts w:asciiTheme="majorHAnsi" w:eastAsiaTheme="majorEastAsia" w:hAnsiTheme="majorHAnsi" w:cstheme="majorBidi"/>
          <w:sz w:val="23"/>
          <w:szCs w:val="23"/>
          <w:lang w:val="en-GB"/>
        </w:rPr>
        <w:t xml:space="preserve"> proposed</w:t>
      </w:r>
      <w:r w:rsidR="003A4BB3" w:rsidRPr="6A3610E4">
        <w:rPr>
          <w:rFonts w:asciiTheme="majorHAnsi" w:eastAsiaTheme="majorEastAsia" w:hAnsiTheme="majorHAnsi" w:cstheme="majorBidi"/>
          <w:sz w:val="23"/>
          <w:szCs w:val="23"/>
          <w:lang w:val="en-GB"/>
        </w:rPr>
        <w:t xml:space="preserve"> </w:t>
      </w:r>
      <w:r w:rsidR="008242F7" w:rsidRPr="6A3610E4">
        <w:rPr>
          <w:rFonts w:asciiTheme="majorHAnsi" w:eastAsiaTheme="majorEastAsia" w:hAnsiTheme="majorHAnsi" w:cstheme="majorBidi"/>
          <w:sz w:val="23"/>
          <w:szCs w:val="23"/>
          <w:lang w:val="en-GB"/>
        </w:rPr>
        <w:t>i</w:t>
      </w:r>
      <w:r w:rsidR="003A4BB3" w:rsidRPr="6A3610E4">
        <w:rPr>
          <w:rFonts w:asciiTheme="majorHAnsi" w:eastAsiaTheme="majorEastAsia" w:hAnsiTheme="majorHAnsi" w:cstheme="majorBidi"/>
          <w:sz w:val="23"/>
          <w:szCs w:val="23"/>
          <w:lang w:val="en-GB"/>
        </w:rPr>
        <w:t>nitiatives</w:t>
      </w:r>
      <w:r w:rsidR="00B34E0C" w:rsidRPr="6A3610E4">
        <w:rPr>
          <w:rFonts w:asciiTheme="majorHAnsi" w:eastAsiaTheme="majorEastAsia" w:hAnsiTheme="majorHAnsi" w:cstheme="majorBidi"/>
          <w:sz w:val="23"/>
          <w:szCs w:val="23"/>
          <w:lang w:val="en-GB"/>
        </w:rPr>
        <w:t>”</w:t>
      </w:r>
      <w:r w:rsidR="003A4BB3" w:rsidRPr="6A3610E4">
        <w:rPr>
          <w:rFonts w:asciiTheme="majorHAnsi" w:eastAsiaTheme="majorEastAsia" w:hAnsiTheme="majorHAnsi" w:cstheme="majorBidi"/>
          <w:sz w:val="23"/>
          <w:szCs w:val="23"/>
          <w:lang w:val="en-GB"/>
        </w:rPr>
        <w:t xml:space="preserve"> (Recommendation </w:t>
      </w:r>
      <w:r w:rsidR="00AA5BC5" w:rsidRPr="6A3610E4">
        <w:rPr>
          <w:rFonts w:asciiTheme="majorHAnsi" w:eastAsiaTheme="majorEastAsia" w:hAnsiTheme="majorHAnsi" w:cstheme="majorBidi"/>
          <w:sz w:val="23"/>
          <w:szCs w:val="23"/>
          <w:lang w:val="en-GB"/>
        </w:rPr>
        <w:t xml:space="preserve">3) </w:t>
      </w:r>
      <w:r w:rsidR="004E56CD" w:rsidRPr="6A3610E4">
        <w:rPr>
          <w:rFonts w:asciiTheme="majorHAnsi" w:eastAsiaTheme="majorEastAsia" w:hAnsiTheme="majorHAnsi" w:cstheme="majorBidi"/>
          <w:sz w:val="23"/>
          <w:szCs w:val="23"/>
          <w:lang w:val="en-GB"/>
        </w:rPr>
        <w:t>against the</w:t>
      </w:r>
      <w:r w:rsidR="00AA5BC5" w:rsidRPr="6A3610E4">
        <w:rPr>
          <w:rFonts w:asciiTheme="majorHAnsi" w:eastAsiaTheme="majorEastAsia" w:hAnsiTheme="majorHAnsi" w:cstheme="majorBidi"/>
          <w:sz w:val="23"/>
          <w:szCs w:val="23"/>
          <w:lang w:val="en-GB"/>
        </w:rPr>
        <w:t xml:space="preserve"> </w:t>
      </w:r>
      <w:r w:rsidR="00390E1E" w:rsidRPr="6A3610E4">
        <w:rPr>
          <w:rFonts w:asciiTheme="majorHAnsi" w:eastAsiaTheme="majorEastAsia" w:hAnsiTheme="majorHAnsi" w:cstheme="majorBidi"/>
          <w:sz w:val="23"/>
          <w:szCs w:val="23"/>
          <w:lang w:val="en-GB"/>
        </w:rPr>
        <w:t>“</w:t>
      </w:r>
      <w:r w:rsidR="00AA5BC5" w:rsidRPr="6A3610E4">
        <w:rPr>
          <w:rFonts w:asciiTheme="majorHAnsi" w:eastAsiaTheme="majorEastAsia" w:hAnsiTheme="majorHAnsi" w:cstheme="majorBidi"/>
          <w:sz w:val="23"/>
          <w:szCs w:val="23"/>
          <w:lang w:val="en-GB"/>
        </w:rPr>
        <w:t xml:space="preserve">14 </w:t>
      </w:r>
      <w:r w:rsidR="003A4BB3" w:rsidRPr="6A3610E4">
        <w:rPr>
          <w:rFonts w:asciiTheme="majorHAnsi" w:eastAsiaTheme="majorEastAsia" w:hAnsiTheme="majorHAnsi" w:cstheme="majorBidi"/>
          <w:sz w:val="23"/>
          <w:szCs w:val="23"/>
          <w:lang w:val="en-GB"/>
        </w:rPr>
        <w:t>priority areas</w:t>
      </w:r>
      <w:r w:rsidR="00636727" w:rsidRPr="6A3610E4">
        <w:rPr>
          <w:rFonts w:asciiTheme="majorHAnsi" w:eastAsiaTheme="majorEastAsia" w:hAnsiTheme="majorHAnsi" w:cstheme="majorBidi"/>
          <w:sz w:val="23"/>
          <w:szCs w:val="23"/>
          <w:lang w:val="en-GB"/>
        </w:rPr>
        <w:t xml:space="preserve">” </w:t>
      </w:r>
      <w:r w:rsidR="00783C3A" w:rsidRPr="6A3610E4">
        <w:rPr>
          <w:rFonts w:asciiTheme="majorHAnsi" w:eastAsiaTheme="majorEastAsia" w:hAnsiTheme="majorHAnsi" w:cstheme="majorBidi"/>
          <w:sz w:val="23"/>
          <w:szCs w:val="23"/>
          <w:lang w:val="en-GB"/>
        </w:rPr>
        <w:t xml:space="preserve">that were </w:t>
      </w:r>
      <w:r w:rsidR="00567930" w:rsidRPr="6A3610E4">
        <w:rPr>
          <w:rFonts w:asciiTheme="majorHAnsi" w:eastAsiaTheme="majorEastAsia" w:hAnsiTheme="majorHAnsi" w:cstheme="majorBidi"/>
          <w:sz w:val="23"/>
          <w:szCs w:val="23"/>
          <w:lang w:val="en-GB"/>
        </w:rPr>
        <w:t xml:space="preserve">identified </w:t>
      </w:r>
      <w:r w:rsidR="00636727" w:rsidRPr="6A3610E4">
        <w:rPr>
          <w:rFonts w:asciiTheme="majorHAnsi" w:eastAsiaTheme="majorEastAsia" w:hAnsiTheme="majorHAnsi" w:cstheme="majorBidi"/>
          <w:sz w:val="23"/>
          <w:szCs w:val="23"/>
          <w:lang w:val="en-GB"/>
        </w:rPr>
        <w:t>for action</w:t>
      </w:r>
      <w:r w:rsidR="00AA5BC5" w:rsidRPr="6A3610E4">
        <w:rPr>
          <w:rFonts w:asciiTheme="majorHAnsi" w:eastAsiaTheme="majorEastAsia" w:hAnsiTheme="majorHAnsi" w:cstheme="majorBidi"/>
          <w:sz w:val="23"/>
          <w:szCs w:val="23"/>
          <w:lang w:val="en-GB"/>
        </w:rPr>
        <w:t xml:space="preserve"> (Recommendation 2).</w:t>
      </w:r>
      <w:r w:rsidR="00B428A4" w:rsidRPr="6A3610E4">
        <w:rPr>
          <w:rFonts w:asciiTheme="majorHAnsi" w:eastAsiaTheme="majorEastAsia" w:hAnsiTheme="majorHAnsi" w:cstheme="majorBidi"/>
          <w:sz w:val="23"/>
          <w:szCs w:val="23"/>
          <w:lang w:val="en-GB"/>
        </w:rPr>
        <w:t xml:space="preserve"> </w:t>
      </w:r>
      <w:r w:rsidRPr="6A3610E4">
        <w:rPr>
          <w:rFonts w:asciiTheme="majorHAnsi" w:eastAsiaTheme="majorEastAsia" w:hAnsiTheme="majorHAnsi" w:cstheme="majorBidi"/>
          <w:sz w:val="23"/>
          <w:szCs w:val="23"/>
          <w:lang w:val="en-GB"/>
        </w:rPr>
        <w:t>The</w:t>
      </w:r>
      <w:r w:rsidR="00B428A4" w:rsidRPr="6A3610E4">
        <w:rPr>
          <w:rFonts w:asciiTheme="majorHAnsi" w:eastAsiaTheme="majorEastAsia" w:hAnsiTheme="majorHAnsi" w:cstheme="majorBidi"/>
          <w:sz w:val="23"/>
          <w:szCs w:val="23"/>
          <w:lang w:val="en-GB"/>
        </w:rPr>
        <w:t xml:space="preserve"> main </w:t>
      </w:r>
      <w:r w:rsidR="00D95573" w:rsidRPr="6A3610E4">
        <w:rPr>
          <w:rFonts w:asciiTheme="majorHAnsi" w:eastAsiaTheme="majorEastAsia" w:hAnsiTheme="majorHAnsi" w:cstheme="majorBidi"/>
          <w:sz w:val="23"/>
          <w:szCs w:val="23"/>
          <w:lang w:val="en-GB"/>
        </w:rPr>
        <w:t>Practice Domain</w:t>
      </w:r>
      <w:r w:rsidR="00A41A48" w:rsidRPr="6A3610E4">
        <w:rPr>
          <w:rFonts w:asciiTheme="majorHAnsi" w:eastAsiaTheme="majorEastAsia" w:hAnsiTheme="majorHAnsi" w:cstheme="majorBidi"/>
          <w:sz w:val="23"/>
          <w:szCs w:val="23"/>
          <w:lang w:val="en-GB"/>
        </w:rPr>
        <w:t xml:space="preserve"> for each </w:t>
      </w:r>
      <w:r w:rsidRPr="6A3610E4">
        <w:rPr>
          <w:rFonts w:asciiTheme="majorHAnsi" w:eastAsiaTheme="majorEastAsia" w:hAnsiTheme="majorHAnsi" w:cstheme="majorBidi"/>
          <w:sz w:val="23"/>
          <w:szCs w:val="23"/>
          <w:lang w:val="en-GB"/>
        </w:rPr>
        <w:t>is also noted</w:t>
      </w:r>
      <w:r w:rsidR="00636727" w:rsidRPr="6A3610E4">
        <w:rPr>
          <w:rFonts w:asciiTheme="majorHAnsi" w:eastAsiaTheme="majorEastAsia" w:hAnsiTheme="majorHAnsi" w:cstheme="majorBidi"/>
          <w:sz w:val="23"/>
          <w:szCs w:val="23"/>
          <w:lang w:val="en-GB"/>
        </w:rPr>
        <w:t xml:space="preserve">, bearing in mind that most </w:t>
      </w:r>
      <w:r w:rsidR="000839AD" w:rsidRPr="6A3610E4">
        <w:rPr>
          <w:rFonts w:asciiTheme="majorHAnsi" w:eastAsiaTheme="majorEastAsia" w:hAnsiTheme="majorHAnsi" w:cstheme="majorBidi"/>
          <w:sz w:val="23"/>
          <w:szCs w:val="23"/>
          <w:lang w:val="en-GB"/>
        </w:rPr>
        <w:t xml:space="preserve">priority areas and initiatives do in fact </w:t>
      </w:r>
      <w:r w:rsidR="00636727" w:rsidRPr="6A3610E4">
        <w:rPr>
          <w:rFonts w:asciiTheme="majorHAnsi" w:eastAsiaTheme="majorEastAsia" w:hAnsiTheme="majorHAnsi" w:cstheme="majorBidi"/>
          <w:sz w:val="23"/>
          <w:szCs w:val="23"/>
          <w:lang w:val="en-GB"/>
        </w:rPr>
        <w:t>span multiple domains</w:t>
      </w:r>
      <w:r w:rsidR="00F049AE" w:rsidRPr="6A3610E4">
        <w:rPr>
          <w:rFonts w:asciiTheme="majorHAnsi" w:eastAsiaTheme="majorEastAsia" w:hAnsiTheme="majorHAnsi" w:cstheme="majorBidi"/>
          <w:sz w:val="23"/>
          <w:szCs w:val="23"/>
          <w:lang w:val="en-GB"/>
        </w:rPr>
        <w:t>.</w:t>
      </w:r>
    </w:p>
    <w:p w14:paraId="4B6F9D89" w14:textId="25F21360" w:rsidR="00EB511F" w:rsidRPr="00EB511F" w:rsidRDefault="1AC00C4D" w:rsidP="003C2FA6">
      <w:pPr>
        <w:spacing w:after="0" w:line="276" w:lineRule="auto"/>
        <w:rPr>
          <w:rFonts w:asciiTheme="majorHAnsi" w:eastAsiaTheme="majorEastAsia" w:hAnsiTheme="majorHAnsi" w:cstheme="majorBidi"/>
          <w:sz w:val="12"/>
          <w:szCs w:val="12"/>
          <w:lang w:val="en-GB"/>
        </w:rPr>
      </w:pPr>
      <w:r w:rsidRPr="701B9583">
        <w:rPr>
          <w:rFonts w:asciiTheme="majorHAnsi" w:eastAsiaTheme="majorEastAsia" w:hAnsiTheme="majorHAnsi" w:cstheme="majorBidi"/>
          <w:sz w:val="12"/>
          <w:szCs w:val="12"/>
          <w:lang w:val="en-GB"/>
        </w:rPr>
        <w:t xml:space="preserve">   </w:t>
      </w:r>
    </w:p>
    <w:p w14:paraId="348BAF6A" w14:textId="0132F044" w:rsidR="003B1E37" w:rsidRPr="000D2244" w:rsidRDefault="00590A07" w:rsidP="6A3610E4">
      <w:pPr>
        <w:spacing w:line="276" w:lineRule="auto"/>
        <w:rPr>
          <w:rFonts w:eastAsiaTheme="majorEastAsia" w:cstheme="majorBidi"/>
          <w:b/>
          <w:bCs/>
          <w:color w:val="2F5496" w:themeColor="accent1" w:themeShade="BF"/>
          <w:sz w:val="25"/>
          <w:szCs w:val="25"/>
          <w:lang w:val="en-GB"/>
        </w:rPr>
      </w:pPr>
      <w:r w:rsidRPr="6A3610E4">
        <w:rPr>
          <w:rFonts w:eastAsiaTheme="majorEastAsia" w:cstheme="majorBidi"/>
          <w:b/>
          <w:bCs/>
          <w:color w:val="2F5496" w:themeColor="accent1" w:themeShade="BF"/>
          <w:sz w:val="25"/>
          <w:szCs w:val="25"/>
          <w:lang w:val="en-GB"/>
        </w:rPr>
        <w:t xml:space="preserve">Key </w:t>
      </w:r>
      <w:r w:rsidR="007056CB" w:rsidRPr="6A3610E4">
        <w:rPr>
          <w:rFonts w:eastAsiaTheme="majorEastAsia" w:cstheme="majorBidi"/>
          <w:b/>
          <w:bCs/>
          <w:color w:val="2F5496" w:themeColor="accent1" w:themeShade="BF"/>
          <w:sz w:val="25"/>
          <w:szCs w:val="25"/>
          <w:lang w:val="en-GB"/>
        </w:rPr>
        <w:t>Priorities and</w:t>
      </w:r>
      <w:r w:rsidRPr="6A3610E4">
        <w:rPr>
          <w:rFonts w:eastAsiaTheme="majorEastAsia" w:cstheme="majorBidi"/>
          <w:b/>
          <w:bCs/>
          <w:color w:val="2F5496" w:themeColor="accent1" w:themeShade="BF"/>
          <w:sz w:val="25"/>
          <w:szCs w:val="25"/>
          <w:lang w:val="en-GB"/>
        </w:rPr>
        <w:t xml:space="preserve"> Recommendations </w:t>
      </w:r>
      <w:r w:rsidR="003B1E37" w:rsidRPr="6A3610E4">
        <w:rPr>
          <w:rFonts w:eastAsiaTheme="majorEastAsia" w:cstheme="majorBidi"/>
          <w:b/>
          <w:bCs/>
          <w:color w:val="2F5496" w:themeColor="accent1" w:themeShade="BF"/>
          <w:sz w:val="25"/>
          <w:szCs w:val="25"/>
          <w:lang w:val="en-GB"/>
        </w:rPr>
        <w:t>in Relation to Existing Policies</w:t>
      </w:r>
    </w:p>
    <w:p w14:paraId="3F54C110" w14:textId="30857991" w:rsidR="00C3341B" w:rsidRDefault="00AC141B" w:rsidP="6A3610E4">
      <w:pPr>
        <w:spacing w:line="276" w:lineRule="auto"/>
        <w:rPr>
          <w:rFonts w:asciiTheme="majorHAnsi" w:eastAsiaTheme="majorEastAsia" w:hAnsiTheme="majorHAnsi" w:cstheme="majorBidi"/>
          <w:sz w:val="23"/>
          <w:szCs w:val="23"/>
          <w:lang w:val="en-GB"/>
        </w:rPr>
      </w:pPr>
      <w:r w:rsidRPr="6A3610E4">
        <w:rPr>
          <w:rFonts w:asciiTheme="majorHAnsi" w:eastAsiaTheme="majorEastAsia" w:hAnsiTheme="majorHAnsi" w:cstheme="majorBidi"/>
          <w:sz w:val="23"/>
          <w:szCs w:val="23"/>
          <w:lang w:val="en-GB"/>
        </w:rPr>
        <w:t xml:space="preserve">In </w:t>
      </w:r>
      <w:r w:rsidR="00005FD6" w:rsidRPr="6A3610E4">
        <w:rPr>
          <w:rFonts w:asciiTheme="majorHAnsi" w:eastAsiaTheme="majorEastAsia" w:hAnsiTheme="majorHAnsi" w:cstheme="majorBidi"/>
          <w:sz w:val="23"/>
          <w:szCs w:val="23"/>
          <w:lang w:val="en-GB"/>
        </w:rPr>
        <w:t xml:space="preserve">the second table below (see </w:t>
      </w:r>
      <w:r w:rsidRPr="6A3610E4">
        <w:rPr>
          <w:rFonts w:asciiTheme="majorHAnsi" w:eastAsiaTheme="majorEastAsia" w:hAnsiTheme="majorHAnsi" w:cstheme="majorBidi"/>
          <w:sz w:val="23"/>
          <w:szCs w:val="23"/>
          <w:lang w:val="en-GB"/>
        </w:rPr>
        <w:t>Table 9.</w:t>
      </w:r>
      <w:r w:rsidR="53D3635B" w:rsidRPr="6A3610E4">
        <w:rPr>
          <w:rFonts w:asciiTheme="majorHAnsi" w:eastAsiaTheme="majorEastAsia" w:hAnsiTheme="majorHAnsi" w:cstheme="majorBidi"/>
          <w:sz w:val="23"/>
          <w:szCs w:val="23"/>
          <w:lang w:val="en-GB"/>
        </w:rPr>
        <w:t>2</w:t>
      </w:r>
      <w:r w:rsidRPr="6A3610E4">
        <w:rPr>
          <w:rFonts w:asciiTheme="majorHAnsi" w:eastAsiaTheme="majorEastAsia" w:hAnsiTheme="majorHAnsi" w:cstheme="majorBidi"/>
          <w:sz w:val="23"/>
          <w:szCs w:val="23"/>
          <w:lang w:val="en-GB"/>
        </w:rPr>
        <w:t xml:space="preserve">), we map some of our priority areas and recommended actions against existing </w:t>
      </w:r>
      <w:r w:rsidR="00AE4263" w:rsidRPr="6A3610E4">
        <w:rPr>
          <w:rFonts w:asciiTheme="majorHAnsi" w:eastAsiaTheme="majorEastAsia" w:hAnsiTheme="majorHAnsi" w:cstheme="majorBidi"/>
          <w:sz w:val="23"/>
          <w:szCs w:val="23"/>
          <w:lang w:val="en-GB"/>
        </w:rPr>
        <w:t>policies and</w:t>
      </w:r>
      <w:r w:rsidRPr="6A3610E4">
        <w:rPr>
          <w:rFonts w:asciiTheme="majorHAnsi" w:eastAsiaTheme="majorEastAsia" w:hAnsiTheme="majorHAnsi" w:cstheme="majorBidi"/>
          <w:sz w:val="23"/>
          <w:szCs w:val="23"/>
          <w:lang w:val="en-GB"/>
        </w:rPr>
        <w:t xml:space="preserve"> highlight some gaps that need further exploration and development. </w:t>
      </w:r>
      <w:r w:rsidR="00A00465" w:rsidRPr="6A3610E4">
        <w:rPr>
          <w:rFonts w:asciiTheme="majorHAnsi" w:eastAsiaTheme="majorEastAsia" w:hAnsiTheme="majorHAnsi" w:cstheme="majorBidi"/>
          <w:sz w:val="23"/>
          <w:szCs w:val="23"/>
          <w:lang w:val="en-GB"/>
        </w:rPr>
        <w:t>Some of</w:t>
      </w:r>
      <w:r w:rsidR="003B1E37" w:rsidRPr="6A3610E4">
        <w:rPr>
          <w:rFonts w:asciiTheme="majorHAnsi" w:eastAsiaTheme="majorEastAsia" w:hAnsiTheme="majorHAnsi" w:cstheme="majorBidi"/>
          <w:sz w:val="23"/>
          <w:szCs w:val="23"/>
          <w:lang w:val="en-GB"/>
        </w:rPr>
        <w:t xml:space="preserve"> </w:t>
      </w:r>
      <w:r w:rsidR="0051751A" w:rsidRPr="6A3610E4">
        <w:rPr>
          <w:rFonts w:asciiTheme="majorHAnsi" w:eastAsiaTheme="majorEastAsia" w:hAnsiTheme="majorHAnsi" w:cstheme="majorBidi"/>
          <w:sz w:val="23"/>
          <w:szCs w:val="23"/>
          <w:lang w:val="en-GB"/>
        </w:rPr>
        <w:t>our</w:t>
      </w:r>
      <w:r w:rsidR="003B1E37" w:rsidRPr="6A3610E4">
        <w:rPr>
          <w:rFonts w:asciiTheme="majorHAnsi" w:eastAsiaTheme="majorEastAsia" w:hAnsiTheme="majorHAnsi" w:cstheme="majorBidi"/>
          <w:sz w:val="23"/>
          <w:szCs w:val="23"/>
          <w:lang w:val="en-GB"/>
        </w:rPr>
        <w:t xml:space="preserve"> </w:t>
      </w:r>
      <w:r w:rsidR="0051751A" w:rsidRPr="6A3610E4">
        <w:rPr>
          <w:rFonts w:asciiTheme="majorHAnsi" w:eastAsiaTheme="majorEastAsia" w:hAnsiTheme="majorHAnsi" w:cstheme="majorBidi"/>
          <w:sz w:val="23"/>
          <w:szCs w:val="23"/>
          <w:lang w:val="en-GB"/>
        </w:rPr>
        <w:t>R</w:t>
      </w:r>
      <w:r w:rsidR="003B1E37" w:rsidRPr="6A3610E4">
        <w:rPr>
          <w:rFonts w:asciiTheme="majorHAnsi" w:eastAsiaTheme="majorEastAsia" w:hAnsiTheme="majorHAnsi" w:cstheme="majorBidi"/>
          <w:sz w:val="23"/>
          <w:szCs w:val="23"/>
          <w:lang w:val="en-GB"/>
        </w:rPr>
        <w:t xml:space="preserve">ecommendations </w:t>
      </w:r>
      <w:r w:rsidR="007056CB" w:rsidRPr="6A3610E4">
        <w:rPr>
          <w:rFonts w:asciiTheme="majorHAnsi" w:eastAsiaTheme="majorEastAsia" w:hAnsiTheme="majorHAnsi" w:cstheme="majorBidi"/>
          <w:sz w:val="23"/>
          <w:szCs w:val="23"/>
          <w:lang w:val="en-GB"/>
        </w:rPr>
        <w:t xml:space="preserve">and identified </w:t>
      </w:r>
      <w:r w:rsidR="00ED795E" w:rsidRPr="6A3610E4">
        <w:rPr>
          <w:rFonts w:asciiTheme="majorHAnsi" w:eastAsiaTheme="majorEastAsia" w:hAnsiTheme="majorHAnsi" w:cstheme="majorBidi"/>
          <w:sz w:val="23"/>
          <w:szCs w:val="23"/>
          <w:lang w:val="en-GB"/>
        </w:rPr>
        <w:t xml:space="preserve">key </w:t>
      </w:r>
      <w:r w:rsidR="007056CB" w:rsidRPr="6A3610E4">
        <w:rPr>
          <w:rFonts w:asciiTheme="majorHAnsi" w:eastAsiaTheme="majorEastAsia" w:hAnsiTheme="majorHAnsi" w:cstheme="majorBidi"/>
          <w:sz w:val="23"/>
          <w:szCs w:val="23"/>
          <w:lang w:val="en-GB"/>
        </w:rPr>
        <w:t xml:space="preserve">priorities </w:t>
      </w:r>
      <w:r w:rsidR="00ED795E" w:rsidRPr="6A3610E4">
        <w:rPr>
          <w:rFonts w:asciiTheme="majorHAnsi" w:eastAsiaTheme="majorEastAsia" w:hAnsiTheme="majorHAnsi" w:cstheme="majorBidi"/>
          <w:sz w:val="23"/>
          <w:szCs w:val="23"/>
          <w:lang w:val="en-GB"/>
        </w:rPr>
        <w:t>fit</w:t>
      </w:r>
      <w:r w:rsidR="003B1E37" w:rsidRPr="6A3610E4">
        <w:rPr>
          <w:rFonts w:asciiTheme="majorHAnsi" w:eastAsiaTheme="majorEastAsia" w:hAnsiTheme="majorHAnsi" w:cstheme="majorBidi"/>
          <w:sz w:val="23"/>
          <w:szCs w:val="23"/>
          <w:lang w:val="en-GB"/>
        </w:rPr>
        <w:t xml:space="preserve"> within existing policy frameworks</w:t>
      </w:r>
      <w:r w:rsidR="0051751A" w:rsidRPr="6A3610E4">
        <w:rPr>
          <w:rFonts w:asciiTheme="majorHAnsi" w:eastAsiaTheme="majorEastAsia" w:hAnsiTheme="majorHAnsi" w:cstheme="majorBidi"/>
          <w:sz w:val="23"/>
          <w:szCs w:val="23"/>
          <w:lang w:val="en-GB"/>
        </w:rPr>
        <w:t>,</w:t>
      </w:r>
      <w:r w:rsidR="003B1E37" w:rsidRPr="6A3610E4">
        <w:rPr>
          <w:rFonts w:asciiTheme="majorHAnsi" w:eastAsiaTheme="majorEastAsia" w:hAnsiTheme="majorHAnsi" w:cstheme="majorBidi"/>
          <w:sz w:val="23"/>
          <w:szCs w:val="23"/>
          <w:lang w:val="en-GB"/>
        </w:rPr>
        <w:t xml:space="preserve"> such as the </w:t>
      </w:r>
      <w:r w:rsidR="003B1E37" w:rsidRPr="6A3610E4">
        <w:rPr>
          <w:rFonts w:asciiTheme="majorHAnsi" w:eastAsiaTheme="majorEastAsia" w:hAnsiTheme="majorHAnsi" w:cstheme="majorBidi"/>
          <w:i/>
          <w:iCs/>
          <w:sz w:val="23"/>
          <w:szCs w:val="23"/>
          <w:lang w:val="en-GB"/>
        </w:rPr>
        <w:t>Social Housing Plan, Kareenga Aboriginal Action Plan,</w:t>
      </w:r>
      <w:r w:rsidR="0051751A" w:rsidRPr="6A3610E4">
        <w:rPr>
          <w:rFonts w:asciiTheme="majorHAnsi" w:eastAsiaTheme="majorEastAsia" w:hAnsiTheme="majorHAnsi" w:cstheme="majorBidi"/>
          <w:sz w:val="23"/>
          <w:szCs w:val="23"/>
          <w:lang w:val="en-GB"/>
        </w:rPr>
        <w:t xml:space="preserve"> and</w:t>
      </w:r>
      <w:r w:rsidR="003B1E37" w:rsidRPr="6A3610E4">
        <w:rPr>
          <w:rFonts w:asciiTheme="majorHAnsi" w:eastAsiaTheme="majorEastAsia" w:hAnsiTheme="majorHAnsi" w:cstheme="majorBidi"/>
          <w:i/>
          <w:iCs/>
          <w:sz w:val="23"/>
          <w:szCs w:val="23"/>
          <w:lang w:val="en-GB"/>
        </w:rPr>
        <w:t xml:space="preserve"> Leaders for Geelong</w:t>
      </w:r>
      <w:r w:rsidR="0051751A" w:rsidRPr="6A3610E4">
        <w:rPr>
          <w:rFonts w:asciiTheme="majorHAnsi" w:eastAsiaTheme="majorEastAsia" w:hAnsiTheme="majorHAnsi" w:cstheme="majorBidi"/>
          <w:sz w:val="23"/>
          <w:szCs w:val="23"/>
          <w:lang w:val="en-GB"/>
        </w:rPr>
        <w:t xml:space="preserve"> </w:t>
      </w:r>
      <w:r w:rsidR="007056CB" w:rsidRPr="6A3610E4">
        <w:rPr>
          <w:rFonts w:asciiTheme="majorHAnsi" w:eastAsiaTheme="majorEastAsia" w:hAnsiTheme="majorHAnsi" w:cstheme="majorBidi"/>
          <w:sz w:val="23"/>
          <w:szCs w:val="23"/>
          <w:lang w:val="en-GB"/>
        </w:rPr>
        <w:t>(</w:t>
      </w:r>
      <w:r w:rsidR="0051751A" w:rsidRPr="6A3610E4">
        <w:rPr>
          <w:rFonts w:asciiTheme="majorHAnsi" w:eastAsiaTheme="majorEastAsia" w:hAnsiTheme="majorHAnsi" w:cstheme="majorBidi"/>
          <w:sz w:val="23"/>
          <w:szCs w:val="23"/>
          <w:lang w:val="en-GB"/>
        </w:rPr>
        <w:t xml:space="preserve">although they need to </w:t>
      </w:r>
      <w:r w:rsidR="0051751A" w:rsidRPr="6A3610E4">
        <w:rPr>
          <w:rFonts w:asciiTheme="majorHAnsi" w:eastAsiaTheme="majorEastAsia" w:hAnsiTheme="majorHAnsi" w:cstheme="majorBidi"/>
          <w:sz w:val="23"/>
          <w:szCs w:val="23"/>
          <w:lang w:val="en-GB"/>
        </w:rPr>
        <w:lastRenderedPageBreak/>
        <w:t>be explicitly applied to the three localities</w:t>
      </w:r>
      <w:r w:rsidR="007056CB" w:rsidRPr="6A3610E4">
        <w:rPr>
          <w:rFonts w:asciiTheme="majorHAnsi" w:eastAsiaTheme="majorEastAsia" w:hAnsiTheme="majorHAnsi" w:cstheme="majorBidi"/>
          <w:sz w:val="23"/>
          <w:szCs w:val="23"/>
          <w:lang w:val="en-GB"/>
        </w:rPr>
        <w:t>).</w:t>
      </w:r>
      <w:r w:rsidR="0051751A" w:rsidRPr="6A3610E4">
        <w:rPr>
          <w:rFonts w:asciiTheme="majorHAnsi" w:eastAsiaTheme="majorEastAsia" w:hAnsiTheme="majorHAnsi" w:cstheme="majorBidi"/>
          <w:sz w:val="23"/>
          <w:szCs w:val="23"/>
          <w:lang w:val="en-GB"/>
        </w:rPr>
        <w:t xml:space="preserve"> </w:t>
      </w:r>
      <w:r w:rsidR="003B1E37" w:rsidRPr="6A3610E4">
        <w:rPr>
          <w:rFonts w:asciiTheme="majorHAnsi" w:eastAsiaTheme="majorEastAsia" w:hAnsiTheme="majorHAnsi" w:cstheme="majorBidi"/>
          <w:sz w:val="23"/>
          <w:szCs w:val="23"/>
          <w:lang w:val="en-GB"/>
        </w:rPr>
        <w:t>However, many other</w:t>
      </w:r>
      <w:r w:rsidR="0051751A" w:rsidRPr="6A3610E4">
        <w:rPr>
          <w:rFonts w:asciiTheme="majorHAnsi" w:eastAsiaTheme="majorEastAsia" w:hAnsiTheme="majorHAnsi" w:cstheme="majorBidi"/>
          <w:sz w:val="23"/>
          <w:szCs w:val="23"/>
          <w:lang w:val="en-GB"/>
        </w:rPr>
        <w:t xml:space="preserve"> Recommendations </w:t>
      </w:r>
      <w:r w:rsidR="007056CB" w:rsidRPr="6A3610E4">
        <w:rPr>
          <w:rFonts w:asciiTheme="majorHAnsi" w:eastAsiaTheme="majorEastAsia" w:hAnsiTheme="majorHAnsi" w:cstheme="majorBidi"/>
          <w:sz w:val="23"/>
          <w:szCs w:val="23"/>
          <w:lang w:val="en-GB"/>
        </w:rPr>
        <w:t xml:space="preserve">and priorities for action </w:t>
      </w:r>
      <w:r w:rsidR="0051751A" w:rsidRPr="6A3610E4">
        <w:rPr>
          <w:rFonts w:asciiTheme="majorHAnsi" w:eastAsiaTheme="majorEastAsia" w:hAnsiTheme="majorHAnsi" w:cstheme="majorBidi"/>
          <w:sz w:val="23"/>
          <w:szCs w:val="23"/>
          <w:lang w:val="en-GB"/>
        </w:rPr>
        <w:t>do no</w:t>
      </w:r>
      <w:r w:rsidR="004A2BA4" w:rsidRPr="6A3610E4">
        <w:rPr>
          <w:rFonts w:asciiTheme="majorHAnsi" w:eastAsiaTheme="majorEastAsia" w:hAnsiTheme="majorHAnsi" w:cstheme="majorBidi"/>
          <w:sz w:val="23"/>
          <w:szCs w:val="23"/>
          <w:lang w:val="en-GB"/>
        </w:rPr>
        <w:t>t fit within existing policy framework</w:t>
      </w:r>
      <w:r w:rsidR="0051751A" w:rsidRPr="6A3610E4">
        <w:rPr>
          <w:rFonts w:asciiTheme="majorHAnsi" w:eastAsiaTheme="majorEastAsia" w:hAnsiTheme="majorHAnsi" w:cstheme="majorBidi"/>
          <w:sz w:val="23"/>
          <w:szCs w:val="23"/>
          <w:lang w:val="en-GB"/>
        </w:rPr>
        <w:t>,</w:t>
      </w:r>
      <w:r w:rsidR="003B1E37" w:rsidRPr="6A3610E4">
        <w:rPr>
          <w:rFonts w:asciiTheme="majorHAnsi" w:eastAsiaTheme="majorEastAsia" w:hAnsiTheme="majorHAnsi" w:cstheme="majorBidi"/>
          <w:sz w:val="23"/>
          <w:szCs w:val="23"/>
          <w:lang w:val="en-GB"/>
        </w:rPr>
        <w:t xml:space="preserve"> and</w:t>
      </w:r>
      <w:r w:rsidR="0051751A" w:rsidRPr="6A3610E4">
        <w:rPr>
          <w:rFonts w:asciiTheme="majorHAnsi" w:eastAsiaTheme="majorEastAsia" w:hAnsiTheme="majorHAnsi" w:cstheme="majorBidi"/>
          <w:sz w:val="23"/>
          <w:szCs w:val="23"/>
          <w:lang w:val="en-GB"/>
        </w:rPr>
        <w:t xml:space="preserve"> will thus</w:t>
      </w:r>
      <w:r w:rsidR="003B1E37" w:rsidRPr="6A3610E4">
        <w:rPr>
          <w:rFonts w:asciiTheme="majorHAnsi" w:eastAsiaTheme="majorEastAsia" w:hAnsiTheme="majorHAnsi" w:cstheme="majorBidi"/>
          <w:sz w:val="23"/>
          <w:szCs w:val="23"/>
          <w:lang w:val="en-GB"/>
        </w:rPr>
        <w:t xml:space="preserve"> require a policy refresh (in the case of the </w:t>
      </w:r>
      <w:r w:rsidR="003B1E37" w:rsidRPr="6A3610E4">
        <w:rPr>
          <w:rFonts w:asciiTheme="majorHAnsi" w:eastAsiaTheme="majorEastAsia" w:hAnsiTheme="majorHAnsi" w:cstheme="majorBidi"/>
          <w:i/>
          <w:iCs/>
          <w:sz w:val="23"/>
          <w:szCs w:val="23"/>
          <w:lang w:val="en-GB"/>
        </w:rPr>
        <w:t>Corio-Norlane Structure Plan</w:t>
      </w:r>
      <w:r w:rsidR="003B1E37" w:rsidRPr="6A3610E4">
        <w:rPr>
          <w:rFonts w:asciiTheme="majorHAnsi" w:eastAsiaTheme="majorEastAsia" w:hAnsiTheme="majorHAnsi" w:cstheme="majorBidi"/>
          <w:sz w:val="23"/>
          <w:szCs w:val="23"/>
          <w:lang w:val="en-GB"/>
        </w:rPr>
        <w:t>)</w:t>
      </w:r>
      <w:r w:rsidR="000C3064" w:rsidRPr="6A3610E4">
        <w:rPr>
          <w:rFonts w:asciiTheme="majorHAnsi" w:eastAsiaTheme="majorEastAsia" w:hAnsiTheme="majorHAnsi" w:cstheme="majorBidi"/>
          <w:sz w:val="23"/>
          <w:szCs w:val="23"/>
          <w:lang w:val="en-GB"/>
        </w:rPr>
        <w:t xml:space="preserve">, </w:t>
      </w:r>
      <w:r w:rsidR="003B1E37" w:rsidRPr="6A3610E4">
        <w:rPr>
          <w:rFonts w:asciiTheme="majorHAnsi" w:eastAsiaTheme="majorEastAsia" w:hAnsiTheme="majorHAnsi" w:cstheme="majorBidi"/>
          <w:sz w:val="23"/>
          <w:szCs w:val="23"/>
          <w:lang w:val="en-GB"/>
        </w:rPr>
        <w:t xml:space="preserve">a major extension (such as the </w:t>
      </w:r>
      <w:r w:rsidR="003B1E37" w:rsidRPr="6A3610E4">
        <w:rPr>
          <w:rFonts w:asciiTheme="majorHAnsi" w:eastAsiaTheme="majorEastAsia" w:hAnsiTheme="majorHAnsi" w:cstheme="majorBidi"/>
          <w:i/>
          <w:iCs/>
          <w:sz w:val="23"/>
          <w:szCs w:val="23"/>
          <w:lang w:val="en-GB"/>
        </w:rPr>
        <w:t>Smart City Policy</w:t>
      </w:r>
      <w:r w:rsidR="003B1E37" w:rsidRPr="6A3610E4">
        <w:rPr>
          <w:rFonts w:asciiTheme="majorHAnsi" w:eastAsiaTheme="majorEastAsia" w:hAnsiTheme="majorHAnsi" w:cstheme="majorBidi"/>
          <w:sz w:val="23"/>
          <w:szCs w:val="23"/>
          <w:lang w:val="en-GB"/>
        </w:rPr>
        <w:t xml:space="preserve">, </w:t>
      </w:r>
      <w:r w:rsidR="003B1E37" w:rsidRPr="6A3610E4">
        <w:rPr>
          <w:rFonts w:asciiTheme="majorHAnsi" w:eastAsiaTheme="majorEastAsia" w:hAnsiTheme="majorHAnsi" w:cstheme="majorBidi"/>
          <w:i/>
          <w:iCs/>
          <w:sz w:val="23"/>
          <w:szCs w:val="23"/>
          <w:lang w:val="en-GB"/>
        </w:rPr>
        <w:t xml:space="preserve">Municipal Health Plan, Public Art Policy, </w:t>
      </w:r>
      <w:r w:rsidR="00B71882" w:rsidRPr="6A3610E4">
        <w:rPr>
          <w:rFonts w:asciiTheme="majorHAnsi" w:eastAsiaTheme="majorEastAsia" w:hAnsiTheme="majorHAnsi" w:cstheme="majorBidi"/>
          <w:i/>
          <w:iCs/>
          <w:sz w:val="23"/>
          <w:szCs w:val="23"/>
          <w:lang w:val="en-GB"/>
        </w:rPr>
        <w:t>Preventing and Addressing Violence</w:t>
      </w:r>
      <w:r w:rsidR="003B1E37" w:rsidRPr="6A3610E4">
        <w:rPr>
          <w:rFonts w:asciiTheme="majorHAnsi" w:eastAsiaTheme="majorEastAsia" w:hAnsiTheme="majorHAnsi" w:cstheme="majorBidi"/>
          <w:i/>
          <w:iCs/>
          <w:sz w:val="23"/>
          <w:szCs w:val="23"/>
          <w:lang w:val="en-GB"/>
        </w:rPr>
        <w:t>, Active Transport</w:t>
      </w:r>
      <w:r w:rsidR="00B71882" w:rsidRPr="6A3610E4">
        <w:rPr>
          <w:rFonts w:asciiTheme="majorHAnsi" w:eastAsiaTheme="majorEastAsia" w:hAnsiTheme="majorHAnsi" w:cstheme="majorBidi"/>
          <w:i/>
          <w:iCs/>
          <w:sz w:val="23"/>
          <w:szCs w:val="23"/>
          <w:lang w:val="en-GB"/>
        </w:rPr>
        <w:t xml:space="preserve"> Plan</w:t>
      </w:r>
      <w:r w:rsidR="003B1E37" w:rsidRPr="6A3610E4">
        <w:rPr>
          <w:rFonts w:asciiTheme="majorHAnsi" w:eastAsiaTheme="majorEastAsia" w:hAnsiTheme="majorHAnsi" w:cstheme="majorBidi"/>
          <w:i/>
          <w:iCs/>
          <w:sz w:val="23"/>
          <w:szCs w:val="23"/>
          <w:lang w:val="en-GB"/>
        </w:rPr>
        <w:t xml:space="preserve">, </w:t>
      </w:r>
      <w:r w:rsidR="0051751A" w:rsidRPr="6A3610E4">
        <w:rPr>
          <w:rFonts w:asciiTheme="majorHAnsi" w:eastAsiaTheme="majorEastAsia" w:hAnsiTheme="majorHAnsi" w:cstheme="majorBidi"/>
          <w:sz w:val="23"/>
          <w:szCs w:val="23"/>
          <w:lang w:val="en-GB"/>
        </w:rPr>
        <w:t xml:space="preserve">and </w:t>
      </w:r>
      <w:r w:rsidR="003B1E37" w:rsidRPr="6A3610E4">
        <w:rPr>
          <w:rFonts w:asciiTheme="majorHAnsi" w:eastAsiaTheme="majorEastAsia" w:hAnsiTheme="majorHAnsi" w:cstheme="majorBidi"/>
          <w:i/>
          <w:iCs/>
          <w:sz w:val="23"/>
          <w:szCs w:val="23"/>
          <w:lang w:val="en-GB"/>
        </w:rPr>
        <w:t>Social Infrastructure</w:t>
      </w:r>
      <w:r w:rsidR="003D55AC" w:rsidRPr="6A3610E4">
        <w:rPr>
          <w:rFonts w:asciiTheme="majorHAnsi" w:eastAsiaTheme="majorEastAsia" w:hAnsiTheme="majorHAnsi" w:cstheme="majorBidi"/>
          <w:sz w:val="23"/>
          <w:szCs w:val="23"/>
          <w:lang w:val="en-GB"/>
        </w:rPr>
        <w:t xml:space="preserve"> </w:t>
      </w:r>
      <w:r w:rsidR="003D55AC" w:rsidRPr="6A3610E4">
        <w:rPr>
          <w:rFonts w:asciiTheme="majorHAnsi" w:eastAsiaTheme="majorEastAsia" w:hAnsiTheme="majorHAnsi" w:cstheme="majorBidi"/>
          <w:i/>
          <w:iCs/>
          <w:sz w:val="23"/>
          <w:szCs w:val="23"/>
          <w:lang w:val="en-GB"/>
        </w:rPr>
        <w:t>Plan</w:t>
      </w:r>
      <w:r w:rsidR="003B1E37" w:rsidRPr="6A3610E4">
        <w:rPr>
          <w:rFonts w:asciiTheme="majorHAnsi" w:eastAsiaTheme="majorEastAsia" w:hAnsiTheme="majorHAnsi" w:cstheme="majorBidi"/>
          <w:sz w:val="23"/>
          <w:szCs w:val="23"/>
          <w:lang w:val="en-GB"/>
        </w:rPr>
        <w:t>)</w:t>
      </w:r>
      <w:r w:rsidR="000C3064" w:rsidRPr="6A3610E4">
        <w:rPr>
          <w:rFonts w:asciiTheme="majorHAnsi" w:eastAsiaTheme="majorEastAsia" w:hAnsiTheme="majorHAnsi" w:cstheme="majorBidi"/>
          <w:sz w:val="23"/>
          <w:szCs w:val="23"/>
          <w:lang w:val="en-GB"/>
        </w:rPr>
        <w:t xml:space="preserve">, or in many </w:t>
      </w:r>
      <w:r w:rsidR="003B1E37" w:rsidRPr="6A3610E4">
        <w:rPr>
          <w:rFonts w:asciiTheme="majorHAnsi" w:eastAsiaTheme="majorEastAsia" w:hAnsiTheme="majorHAnsi" w:cstheme="majorBidi"/>
          <w:sz w:val="23"/>
          <w:szCs w:val="23"/>
          <w:lang w:val="en-GB"/>
        </w:rPr>
        <w:t>cases whole new policy agendas (in relation to mental health, social connection, place-making, food security</w:t>
      </w:r>
      <w:r w:rsidR="00A35FC9" w:rsidRPr="6A3610E4">
        <w:rPr>
          <w:rFonts w:asciiTheme="majorHAnsi" w:eastAsiaTheme="majorEastAsia" w:hAnsiTheme="majorHAnsi" w:cstheme="majorBidi"/>
          <w:sz w:val="23"/>
          <w:szCs w:val="23"/>
          <w:lang w:val="en-GB"/>
        </w:rPr>
        <w:t>,</w:t>
      </w:r>
      <w:r w:rsidR="003B1E37" w:rsidRPr="6A3610E4">
        <w:rPr>
          <w:rFonts w:asciiTheme="majorHAnsi" w:eastAsiaTheme="majorEastAsia" w:hAnsiTheme="majorHAnsi" w:cstheme="majorBidi"/>
          <w:sz w:val="23"/>
          <w:szCs w:val="23"/>
          <w:lang w:val="en-GB"/>
        </w:rPr>
        <w:t xml:space="preserve"> and co-design</w:t>
      </w:r>
      <w:r w:rsidR="00A35FC9" w:rsidRPr="6A3610E4">
        <w:rPr>
          <w:rFonts w:asciiTheme="majorHAnsi" w:eastAsiaTheme="majorEastAsia" w:hAnsiTheme="majorHAnsi" w:cstheme="majorBidi"/>
          <w:sz w:val="23"/>
          <w:szCs w:val="23"/>
          <w:lang w:val="en-GB"/>
        </w:rPr>
        <w:t xml:space="preserve"> approaches</w:t>
      </w:r>
      <w:r w:rsidR="003B1E37" w:rsidRPr="6A3610E4">
        <w:rPr>
          <w:rFonts w:asciiTheme="majorHAnsi" w:eastAsiaTheme="majorEastAsia" w:hAnsiTheme="majorHAnsi" w:cstheme="majorBidi"/>
          <w:sz w:val="23"/>
          <w:szCs w:val="23"/>
          <w:lang w:val="en-GB"/>
        </w:rPr>
        <w:t>). Some</w:t>
      </w:r>
      <w:r w:rsidR="0028228F" w:rsidRPr="6A3610E4">
        <w:rPr>
          <w:rFonts w:asciiTheme="majorHAnsi" w:eastAsiaTheme="majorEastAsia" w:hAnsiTheme="majorHAnsi" w:cstheme="majorBidi"/>
          <w:sz w:val="23"/>
          <w:szCs w:val="23"/>
          <w:lang w:val="en-GB"/>
        </w:rPr>
        <w:t xml:space="preserve"> past</w:t>
      </w:r>
      <w:r w:rsidR="003B1E37" w:rsidRPr="6A3610E4">
        <w:rPr>
          <w:rFonts w:asciiTheme="majorHAnsi" w:eastAsiaTheme="majorEastAsia" w:hAnsiTheme="majorHAnsi" w:cstheme="majorBidi"/>
          <w:sz w:val="23"/>
          <w:szCs w:val="23"/>
          <w:lang w:val="en-GB"/>
        </w:rPr>
        <w:t xml:space="preserve"> policies </w:t>
      </w:r>
      <w:r w:rsidR="0028228F" w:rsidRPr="6A3610E4">
        <w:rPr>
          <w:rFonts w:asciiTheme="majorHAnsi" w:eastAsiaTheme="majorEastAsia" w:hAnsiTheme="majorHAnsi" w:cstheme="majorBidi"/>
          <w:sz w:val="23"/>
          <w:szCs w:val="23"/>
          <w:lang w:val="en-GB"/>
        </w:rPr>
        <w:t xml:space="preserve">and programs </w:t>
      </w:r>
      <w:r w:rsidR="003B1E37" w:rsidRPr="6A3610E4">
        <w:rPr>
          <w:rFonts w:asciiTheme="majorHAnsi" w:eastAsiaTheme="majorEastAsia" w:hAnsiTheme="majorHAnsi" w:cstheme="majorBidi"/>
          <w:sz w:val="23"/>
          <w:szCs w:val="23"/>
          <w:lang w:val="en-GB"/>
        </w:rPr>
        <w:t>can usefully be revisited – such as</w:t>
      </w:r>
      <w:r w:rsidR="0028228F" w:rsidRPr="6A3610E4">
        <w:rPr>
          <w:rFonts w:asciiTheme="majorHAnsi" w:eastAsiaTheme="majorEastAsia" w:hAnsiTheme="majorHAnsi" w:cstheme="majorBidi"/>
          <w:sz w:val="23"/>
          <w:szCs w:val="23"/>
          <w:lang w:val="en-GB"/>
        </w:rPr>
        <w:t xml:space="preserve"> the Victorian State Government’s</w:t>
      </w:r>
      <w:r w:rsidR="003B1E37" w:rsidRPr="6A3610E4">
        <w:rPr>
          <w:rFonts w:asciiTheme="majorHAnsi" w:eastAsiaTheme="majorEastAsia" w:hAnsiTheme="majorHAnsi" w:cstheme="majorBidi"/>
          <w:sz w:val="23"/>
          <w:szCs w:val="23"/>
          <w:lang w:val="en-GB"/>
        </w:rPr>
        <w:t xml:space="preserve"> </w:t>
      </w:r>
      <w:r w:rsidR="00E71F86" w:rsidRPr="6A3610E4">
        <w:rPr>
          <w:rFonts w:asciiTheme="majorHAnsi" w:eastAsiaTheme="majorEastAsia" w:hAnsiTheme="majorHAnsi" w:cstheme="majorBidi"/>
          <w:sz w:val="23"/>
          <w:szCs w:val="23"/>
          <w:lang w:val="en-GB"/>
        </w:rPr>
        <w:t>Neighbourhood Renewal</w:t>
      </w:r>
      <w:r w:rsidR="003B1E37" w:rsidRPr="6A3610E4">
        <w:rPr>
          <w:rFonts w:asciiTheme="majorHAnsi" w:eastAsiaTheme="majorEastAsia" w:hAnsiTheme="majorHAnsi" w:cstheme="majorBidi"/>
          <w:sz w:val="23"/>
          <w:szCs w:val="23"/>
          <w:lang w:val="en-GB"/>
        </w:rPr>
        <w:t xml:space="preserve"> </w:t>
      </w:r>
      <w:r w:rsidR="0028228F" w:rsidRPr="6A3610E4">
        <w:rPr>
          <w:rFonts w:asciiTheme="majorHAnsi" w:eastAsiaTheme="majorEastAsia" w:hAnsiTheme="majorHAnsi" w:cstheme="majorBidi"/>
          <w:sz w:val="23"/>
          <w:szCs w:val="23"/>
          <w:lang w:val="en-GB"/>
        </w:rPr>
        <w:t>program</w:t>
      </w:r>
      <w:r w:rsidR="003B1E37" w:rsidRPr="6A3610E4">
        <w:rPr>
          <w:rFonts w:asciiTheme="majorHAnsi" w:eastAsiaTheme="majorEastAsia" w:hAnsiTheme="majorHAnsi" w:cstheme="majorBidi"/>
          <w:sz w:val="23"/>
          <w:szCs w:val="23"/>
          <w:lang w:val="en-GB"/>
        </w:rPr>
        <w:t xml:space="preserve">– and these </w:t>
      </w:r>
      <w:r w:rsidR="00E71F86" w:rsidRPr="6A3610E4">
        <w:rPr>
          <w:rFonts w:asciiTheme="majorHAnsi" w:eastAsiaTheme="majorEastAsia" w:hAnsiTheme="majorHAnsi" w:cstheme="majorBidi"/>
          <w:sz w:val="23"/>
          <w:szCs w:val="23"/>
          <w:lang w:val="en-GB"/>
        </w:rPr>
        <w:t>localities</w:t>
      </w:r>
      <w:r w:rsidR="003B1E37" w:rsidRPr="6A3610E4">
        <w:rPr>
          <w:rFonts w:asciiTheme="majorHAnsi" w:eastAsiaTheme="majorEastAsia" w:hAnsiTheme="majorHAnsi" w:cstheme="majorBidi"/>
          <w:sz w:val="23"/>
          <w:szCs w:val="23"/>
          <w:lang w:val="en-GB"/>
        </w:rPr>
        <w:t xml:space="preserve"> will greatly benefit from </w:t>
      </w:r>
      <w:r w:rsidR="0028228F" w:rsidRPr="6A3610E4">
        <w:rPr>
          <w:rFonts w:asciiTheme="majorHAnsi" w:eastAsiaTheme="majorEastAsia" w:hAnsiTheme="majorHAnsi" w:cstheme="majorBidi"/>
          <w:sz w:val="23"/>
          <w:szCs w:val="23"/>
          <w:lang w:val="en-GB"/>
        </w:rPr>
        <w:t>current State Government</w:t>
      </w:r>
      <w:r w:rsidR="003B1E37" w:rsidRPr="6A3610E4">
        <w:rPr>
          <w:rFonts w:asciiTheme="majorHAnsi" w:eastAsiaTheme="majorEastAsia" w:hAnsiTheme="majorHAnsi" w:cstheme="majorBidi"/>
          <w:sz w:val="23"/>
          <w:szCs w:val="23"/>
          <w:lang w:val="en-GB"/>
        </w:rPr>
        <w:t xml:space="preserve"> initiatives around social housing builds and revitalisation. </w:t>
      </w:r>
      <w:r w:rsidR="00005FD6" w:rsidRPr="6A3610E4">
        <w:rPr>
          <w:rFonts w:asciiTheme="majorHAnsi" w:eastAsiaTheme="majorEastAsia" w:hAnsiTheme="majorHAnsi" w:cstheme="majorBidi"/>
          <w:sz w:val="23"/>
          <w:szCs w:val="23"/>
          <w:lang w:val="en-GB"/>
        </w:rPr>
        <w:t>In this table, we</w:t>
      </w:r>
      <w:r w:rsidR="003E408C" w:rsidRPr="6A3610E4">
        <w:rPr>
          <w:rFonts w:asciiTheme="majorHAnsi" w:eastAsiaTheme="majorEastAsia" w:hAnsiTheme="majorHAnsi" w:cstheme="majorBidi"/>
          <w:sz w:val="23"/>
          <w:szCs w:val="23"/>
          <w:lang w:val="en-GB"/>
        </w:rPr>
        <w:t xml:space="preserve"> have added a category for “engagement”</w:t>
      </w:r>
      <w:r w:rsidR="000A68A9" w:rsidRPr="6A3610E4">
        <w:rPr>
          <w:rFonts w:asciiTheme="majorHAnsi" w:eastAsiaTheme="majorEastAsia" w:hAnsiTheme="majorHAnsi" w:cstheme="majorBidi"/>
          <w:sz w:val="23"/>
          <w:szCs w:val="23"/>
          <w:lang w:val="en-GB"/>
        </w:rPr>
        <w:t>, which emerged as an important study finding,</w:t>
      </w:r>
      <w:r w:rsidR="003E408C" w:rsidRPr="6A3610E4">
        <w:rPr>
          <w:rFonts w:asciiTheme="majorHAnsi" w:eastAsiaTheme="majorEastAsia" w:hAnsiTheme="majorHAnsi" w:cstheme="majorBidi"/>
          <w:sz w:val="23"/>
          <w:szCs w:val="23"/>
          <w:lang w:val="en-GB"/>
        </w:rPr>
        <w:t xml:space="preserve"> in order to capture</w:t>
      </w:r>
      <w:r w:rsidR="000A68A9" w:rsidRPr="6A3610E4">
        <w:rPr>
          <w:rFonts w:asciiTheme="majorHAnsi" w:eastAsiaTheme="majorEastAsia" w:hAnsiTheme="majorHAnsi" w:cstheme="majorBidi"/>
          <w:sz w:val="23"/>
          <w:szCs w:val="23"/>
          <w:lang w:val="en-GB"/>
        </w:rPr>
        <w:t xml:space="preserve"> both</w:t>
      </w:r>
      <w:r w:rsidR="003E408C" w:rsidRPr="6A3610E4">
        <w:rPr>
          <w:rFonts w:asciiTheme="majorHAnsi" w:eastAsiaTheme="majorEastAsia" w:hAnsiTheme="majorHAnsi" w:cstheme="majorBidi"/>
          <w:sz w:val="23"/>
          <w:szCs w:val="23"/>
          <w:lang w:val="en-GB"/>
        </w:rPr>
        <w:t xml:space="preserve"> </w:t>
      </w:r>
      <w:r w:rsidR="00F77AF2" w:rsidRPr="6A3610E4">
        <w:rPr>
          <w:rFonts w:asciiTheme="majorHAnsi" w:eastAsiaTheme="majorEastAsia" w:hAnsiTheme="majorHAnsi" w:cstheme="majorBidi"/>
          <w:sz w:val="23"/>
          <w:szCs w:val="23"/>
          <w:lang w:val="en-GB"/>
        </w:rPr>
        <w:t>Recommendation</w:t>
      </w:r>
      <w:r w:rsidR="00005FD6" w:rsidRPr="6A3610E4">
        <w:rPr>
          <w:rFonts w:asciiTheme="majorHAnsi" w:eastAsiaTheme="majorEastAsia" w:hAnsiTheme="majorHAnsi" w:cstheme="majorBidi"/>
          <w:sz w:val="23"/>
          <w:szCs w:val="23"/>
          <w:lang w:val="en-GB"/>
        </w:rPr>
        <w:t xml:space="preserve"> 1</w:t>
      </w:r>
      <w:r w:rsidR="00F77AF2" w:rsidRPr="6A3610E4">
        <w:rPr>
          <w:rFonts w:asciiTheme="majorHAnsi" w:eastAsiaTheme="majorEastAsia" w:hAnsiTheme="majorHAnsi" w:cstheme="majorBidi"/>
          <w:sz w:val="23"/>
          <w:szCs w:val="23"/>
          <w:lang w:val="en-GB"/>
        </w:rPr>
        <w:t xml:space="preserve"> and </w:t>
      </w:r>
      <w:r w:rsidR="003E408C" w:rsidRPr="6A3610E4">
        <w:rPr>
          <w:rFonts w:asciiTheme="majorHAnsi" w:eastAsiaTheme="majorEastAsia" w:hAnsiTheme="majorHAnsi" w:cstheme="majorBidi"/>
          <w:sz w:val="23"/>
          <w:szCs w:val="23"/>
          <w:lang w:val="en-GB"/>
        </w:rPr>
        <w:t xml:space="preserve">a new </w:t>
      </w:r>
      <w:r w:rsidR="001B7DDF" w:rsidRPr="6A3610E4">
        <w:rPr>
          <w:rFonts w:asciiTheme="majorHAnsi" w:eastAsiaTheme="majorEastAsia" w:hAnsiTheme="majorHAnsi" w:cstheme="majorBidi"/>
          <w:sz w:val="23"/>
          <w:szCs w:val="23"/>
          <w:lang w:val="en-GB"/>
        </w:rPr>
        <w:t>CoGG</w:t>
      </w:r>
      <w:r w:rsidR="003E408C" w:rsidRPr="6A3610E4">
        <w:rPr>
          <w:rFonts w:asciiTheme="majorHAnsi" w:eastAsiaTheme="majorEastAsia" w:hAnsiTheme="majorHAnsi" w:cstheme="majorBidi"/>
          <w:sz w:val="23"/>
          <w:szCs w:val="23"/>
          <w:lang w:val="en-GB"/>
        </w:rPr>
        <w:t xml:space="preserve"> policy</w:t>
      </w:r>
      <w:r w:rsidR="0074757D" w:rsidRPr="6A3610E4">
        <w:rPr>
          <w:rFonts w:asciiTheme="majorHAnsi" w:eastAsiaTheme="majorEastAsia" w:hAnsiTheme="majorHAnsi" w:cstheme="majorBidi"/>
          <w:sz w:val="23"/>
          <w:szCs w:val="23"/>
          <w:lang w:val="en-GB"/>
        </w:rPr>
        <w:t>.</w:t>
      </w:r>
    </w:p>
    <w:p w14:paraId="6DBF5416" w14:textId="3CA01157" w:rsidR="00F0242F" w:rsidRPr="007543E2" w:rsidRDefault="00F0242F" w:rsidP="003C2FA6">
      <w:pPr>
        <w:spacing w:line="276" w:lineRule="auto"/>
        <w:rPr>
          <w:rFonts w:cstheme="minorHAnsi"/>
          <w:b/>
          <w:bCs/>
          <w:sz w:val="21"/>
          <w:szCs w:val="21"/>
        </w:rPr>
        <w:sectPr w:rsidR="00F0242F" w:rsidRPr="007543E2" w:rsidSect="00966D9D">
          <w:pgSz w:w="11900" w:h="16840"/>
          <w:pgMar w:top="1134" w:right="1134" w:bottom="1134" w:left="1134" w:header="709" w:footer="709" w:gutter="0"/>
          <w:cols w:space="708"/>
          <w:docGrid w:linePitch="360"/>
        </w:sectPr>
      </w:pPr>
    </w:p>
    <w:tbl>
      <w:tblPr>
        <w:tblStyle w:val="TableGrid"/>
        <w:tblW w:w="14182" w:type="dxa"/>
        <w:tblInd w:w="-5" w:type="dxa"/>
        <w:tblLayout w:type="fixed"/>
        <w:tblLook w:val="04A0" w:firstRow="1" w:lastRow="0" w:firstColumn="1" w:lastColumn="0" w:noHBand="0" w:noVBand="1"/>
      </w:tblPr>
      <w:tblGrid>
        <w:gridCol w:w="405"/>
        <w:gridCol w:w="1912"/>
        <w:gridCol w:w="1196"/>
        <w:gridCol w:w="1197"/>
        <w:gridCol w:w="1197"/>
        <w:gridCol w:w="1197"/>
        <w:gridCol w:w="1197"/>
        <w:gridCol w:w="1197"/>
        <w:gridCol w:w="1197"/>
        <w:gridCol w:w="1197"/>
        <w:gridCol w:w="1197"/>
        <w:gridCol w:w="1093"/>
      </w:tblGrid>
      <w:tr w:rsidR="00D9705F" w:rsidRPr="00E12C13" w14:paraId="0FCD6262" w14:textId="77777777" w:rsidTr="00901C62">
        <w:trPr>
          <w:trHeight w:val="268"/>
        </w:trPr>
        <w:tc>
          <w:tcPr>
            <w:tcW w:w="405" w:type="dxa"/>
            <w:vMerge w:val="restart"/>
            <w:tcBorders>
              <w:top w:val="single" w:sz="4" w:space="0" w:color="auto"/>
            </w:tcBorders>
            <w:shd w:val="clear" w:color="auto" w:fill="AEAAAA" w:themeFill="background2" w:themeFillShade="BF"/>
            <w:textDirection w:val="btLr"/>
          </w:tcPr>
          <w:p w14:paraId="302AE8ED" w14:textId="77777777" w:rsidR="00D9705F" w:rsidRPr="00AE7E3E" w:rsidRDefault="00D9705F" w:rsidP="00901C62">
            <w:pPr>
              <w:spacing w:after="0" w:line="240" w:lineRule="auto"/>
              <w:ind w:left="113" w:right="113"/>
              <w:rPr>
                <w:rFonts w:cstheme="minorHAnsi"/>
                <w:b/>
                <w:bCs/>
                <w:sz w:val="20"/>
                <w:szCs w:val="20"/>
              </w:rPr>
            </w:pPr>
            <w:r>
              <w:rPr>
                <w:rFonts w:cstheme="minorHAnsi"/>
                <w:b/>
                <w:bCs/>
                <w:sz w:val="20"/>
                <w:szCs w:val="20"/>
              </w:rPr>
              <w:lastRenderedPageBreak/>
              <w:t xml:space="preserve">MAIN  </w:t>
            </w:r>
            <w:r w:rsidRPr="00AE7E3E">
              <w:rPr>
                <w:rFonts w:cstheme="minorHAnsi"/>
                <w:b/>
                <w:bCs/>
                <w:sz w:val="20"/>
                <w:szCs w:val="20"/>
              </w:rPr>
              <w:t>DOMAIN</w:t>
            </w:r>
          </w:p>
        </w:tc>
        <w:tc>
          <w:tcPr>
            <w:tcW w:w="1912" w:type="dxa"/>
            <w:vMerge w:val="restart"/>
            <w:tcBorders>
              <w:top w:val="single" w:sz="4" w:space="0" w:color="auto"/>
            </w:tcBorders>
            <w:shd w:val="clear" w:color="auto" w:fill="AEAAAA" w:themeFill="background2" w:themeFillShade="BF"/>
          </w:tcPr>
          <w:p w14:paraId="79368EC8" w14:textId="77777777" w:rsidR="00D9705F" w:rsidRPr="007543E2" w:rsidRDefault="00D9705F" w:rsidP="00901C62">
            <w:pPr>
              <w:spacing w:after="0" w:line="240" w:lineRule="auto"/>
              <w:rPr>
                <w:rFonts w:cstheme="minorHAnsi"/>
                <w:b/>
                <w:bCs/>
                <w:sz w:val="8"/>
                <w:szCs w:val="8"/>
              </w:rPr>
            </w:pPr>
          </w:p>
          <w:p w14:paraId="3D1081D2" w14:textId="77777777" w:rsidR="00D9705F" w:rsidRPr="00AE7E3E" w:rsidRDefault="00D9705F" w:rsidP="00901C62">
            <w:pPr>
              <w:spacing w:after="0" w:line="240" w:lineRule="auto"/>
              <w:rPr>
                <w:rFonts w:cstheme="minorHAnsi"/>
                <w:b/>
                <w:bCs/>
                <w:sz w:val="20"/>
                <w:szCs w:val="20"/>
              </w:rPr>
            </w:pPr>
            <w:r w:rsidRPr="00AE7E3E">
              <w:rPr>
                <w:rFonts w:cstheme="minorHAnsi"/>
                <w:b/>
                <w:bCs/>
                <w:sz w:val="20"/>
                <w:szCs w:val="20"/>
              </w:rPr>
              <w:t>PRIORITY AREA</w:t>
            </w:r>
            <w:r>
              <w:rPr>
                <w:rFonts w:cstheme="minorHAnsi"/>
                <w:b/>
                <w:bCs/>
                <w:sz w:val="20"/>
                <w:szCs w:val="20"/>
              </w:rPr>
              <w:t>S</w:t>
            </w:r>
          </w:p>
        </w:tc>
        <w:tc>
          <w:tcPr>
            <w:tcW w:w="11865" w:type="dxa"/>
            <w:gridSpan w:val="10"/>
            <w:shd w:val="clear" w:color="auto" w:fill="AEAAAA" w:themeFill="background2" w:themeFillShade="BF"/>
          </w:tcPr>
          <w:p w14:paraId="3D51362C" w14:textId="77777777" w:rsidR="00D9705F" w:rsidRPr="007543E2" w:rsidRDefault="00D9705F" w:rsidP="00901C62">
            <w:pPr>
              <w:spacing w:after="0" w:line="240" w:lineRule="auto"/>
              <w:jc w:val="center"/>
              <w:rPr>
                <w:rFonts w:cstheme="minorHAnsi"/>
                <w:b/>
                <w:bCs/>
                <w:sz w:val="4"/>
                <w:szCs w:val="4"/>
              </w:rPr>
            </w:pPr>
          </w:p>
          <w:p w14:paraId="6F980A80" w14:textId="77777777" w:rsidR="00D9705F" w:rsidRDefault="00D9705F" w:rsidP="00901C62">
            <w:pPr>
              <w:spacing w:after="0" w:line="240" w:lineRule="auto"/>
              <w:jc w:val="center"/>
              <w:rPr>
                <w:rFonts w:cstheme="minorHAnsi"/>
                <w:b/>
                <w:bCs/>
                <w:sz w:val="20"/>
                <w:szCs w:val="20"/>
              </w:rPr>
            </w:pPr>
            <w:r w:rsidRPr="00AE7E3E">
              <w:rPr>
                <w:rFonts w:cstheme="minorHAnsi"/>
                <w:b/>
                <w:bCs/>
                <w:sz w:val="20"/>
                <w:szCs w:val="20"/>
              </w:rPr>
              <w:t>INITIATIVES</w:t>
            </w:r>
          </w:p>
          <w:p w14:paraId="36D7CC82" w14:textId="77777777" w:rsidR="00D9705F" w:rsidRPr="007543E2" w:rsidRDefault="00D9705F" w:rsidP="00901C62">
            <w:pPr>
              <w:spacing w:after="0" w:line="240" w:lineRule="auto"/>
              <w:jc w:val="center"/>
              <w:rPr>
                <w:rFonts w:cstheme="minorHAnsi"/>
                <w:b/>
                <w:bCs/>
                <w:sz w:val="4"/>
                <w:szCs w:val="4"/>
                <w:highlight w:val="cyan"/>
              </w:rPr>
            </w:pPr>
          </w:p>
        </w:tc>
      </w:tr>
      <w:tr w:rsidR="00D9705F" w:rsidRPr="00E12C13" w14:paraId="78C298D7" w14:textId="77777777" w:rsidTr="701B9583">
        <w:trPr>
          <w:trHeight w:val="1071"/>
        </w:trPr>
        <w:tc>
          <w:tcPr>
            <w:tcW w:w="405" w:type="dxa"/>
            <w:vMerge/>
          </w:tcPr>
          <w:p w14:paraId="55440432" w14:textId="77777777" w:rsidR="00D9705F" w:rsidRPr="00AE7E3E" w:rsidRDefault="00D9705F" w:rsidP="00901C62">
            <w:pPr>
              <w:spacing w:after="0" w:line="240" w:lineRule="auto"/>
              <w:rPr>
                <w:rFonts w:cstheme="minorHAnsi"/>
                <w:b/>
                <w:bCs/>
                <w:sz w:val="20"/>
                <w:szCs w:val="20"/>
              </w:rPr>
            </w:pPr>
          </w:p>
        </w:tc>
        <w:tc>
          <w:tcPr>
            <w:tcW w:w="1912" w:type="dxa"/>
            <w:vMerge/>
          </w:tcPr>
          <w:p w14:paraId="2D61CDA7" w14:textId="77777777" w:rsidR="00D9705F" w:rsidRPr="00AE7E3E" w:rsidRDefault="00D9705F" w:rsidP="00901C62">
            <w:pPr>
              <w:spacing w:after="0" w:line="240" w:lineRule="auto"/>
              <w:rPr>
                <w:rFonts w:cstheme="minorHAnsi"/>
                <w:b/>
                <w:bCs/>
                <w:sz w:val="20"/>
                <w:szCs w:val="20"/>
              </w:rPr>
            </w:pPr>
          </w:p>
        </w:tc>
        <w:tc>
          <w:tcPr>
            <w:tcW w:w="1196" w:type="dxa"/>
            <w:shd w:val="clear" w:color="auto" w:fill="D9D9D9" w:themeFill="background1" w:themeFillShade="D9"/>
          </w:tcPr>
          <w:p w14:paraId="1C1B5131" w14:textId="77777777" w:rsidR="00D9705F" w:rsidRPr="008A1CBC" w:rsidRDefault="00D9705F" w:rsidP="00901C62">
            <w:pPr>
              <w:spacing w:after="0" w:line="240" w:lineRule="auto"/>
              <w:jc w:val="center"/>
              <w:rPr>
                <w:rFonts w:cstheme="minorHAnsi"/>
                <w:b/>
                <w:bCs/>
                <w:sz w:val="20"/>
                <w:szCs w:val="20"/>
              </w:rPr>
            </w:pPr>
            <w:r w:rsidRPr="008A1CBC">
              <w:rPr>
                <w:rFonts w:cstheme="minorHAnsi"/>
                <w:b/>
                <w:bCs/>
                <w:sz w:val="20"/>
                <w:szCs w:val="20"/>
              </w:rPr>
              <w:t>Digital inclusion</w:t>
            </w:r>
          </w:p>
          <w:p w14:paraId="5F069041" w14:textId="77777777" w:rsidR="00D9705F" w:rsidRPr="008A1CBC" w:rsidRDefault="00D9705F" w:rsidP="00901C62">
            <w:pPr>
              <w:spacing w:after="0" w:line="240" w:lineRule="auto"/>
              <w:jc w:val="center"/>
              <w:rPr>
                <w:rFonts w:cstheme="minorHAnsi"/>
                <w:b/>
                <w:bCs/>
                <w:sz w:val="20"/>
                <w:szCs w:val="20"/>
              </w:rPr>
            </w:pPr>
          </w:p>
        </w:tc>
        <w:tc>
          <w:tcPr>
            <w:tcW w:w="1197" w:type="dxa"/>
            <w:shd w:val="clear" w:color="auto" w:fill="D9D9D9" w:themeFill="background1" w:themeFillShade="D9"/>
          </w:tcPr>
          <w:p w14:paraId="19D8E415" w14:textId="77777777" w:rsidR="00D9705F" w:rsidRPr="008A1CBC" w:rsidRDefault="00D9705F" w:rsidP="00901C62">
            <w:pPr>
              <w:spacing w:after="0" w:line="240" w:lineRule="auto"/>
              <w:jc w:val="center"/>
              <w:rPr>
                <w:rFonts w:cstheme="minorHAnsi"/>
                <w:b/>
                <w:bCs/>
                <w:sz w:val="20"/>
                <w:szCs w:val="20"/>
              </w:rPr>
            </w:pPr>
            <w:r w:rsidRPr="008A1CBC">
              <w:rPr>
                <w:rFonts w:cstheme="minorHAnsi"/>
                <w:b/>
                <w:bCs/>
                <w:sz w:val="20"/>
                <w:szCs w:val="20"/>
              </w:rPr>
              <w:t xml:space="preserve">Identify </w:t>
            </w:r>
            <w:r>
              <w:rPr>
                <w:rFonts w:cstheme="minorHAnsi"/>
                <w:b/>
                <w:bCs/>
                <w:sz w:val="20"/>
                <w:szCs w:val="20"/>
              </w:rPr>
              <w:t>and</w:t>
            </w:r>
            <w:r w:rsidRPr="008A1CBC">
              <w:rPr>
                <w:rFonts w:cstheme="minorHAnsi"/>
                <w:b/>
                <w:bCs/>
                <w:sz w:val="20"/>
                <w:szCs w:val="20"/>
              </w:rPr>
              <w:t xml:space="preserve"> </w:t>
            </w:r>
            <w:r>
              <w:rPr>
                <w:rFonts w:cstheme="minorHAnsi"/>
                <w:b/>
                <w:bCs/>
                <w:sz w:val="20"/>
                <w:szCs w:val="20"/>
              </w:rPr>
              <w:t>E</w:t>
            </w:r>
            <w:r w:rsidRPr="008A1CBC">
              <w:rPr>
                <w:rFonts w:cstheme="minorHAnsi"/>
                <w:b/>
                <w:bCs/>
                <w:sz w:val="20"/>
                <w:szCs w:val="20"/>
              </w:rPr>
              <w:t xml:space="preserve">xtend </w:t>
            </w:r>
            <w:r>
              <w:rPr>
                <w:rFonts w:cstheme="minorHAnsi"/>
                <w:b/>
                <w:bCs/>
                <w:sz w:val="20"/>
                <w:szCs w:val="20"/>
              </w:rPr>
              <w:t>S</w:t>
            </w:r>
            <w:r w:rsidRPr="008A1CBC">
              <w:rPr>
                <w:rFonts w:cstheme="minorHAnsi"/>
                <w:b/>
                <w:bCs/>
                <w:sz w:val="20"/>
                <w:szCs w:val="20"/>
              </w:rPr>
              <w:t xml:space="preserve">uccessful </w:t>
            </w:r>
            <w:r>
              <w:rPr>
                <w:rFonts w:cstheme="minorHAnsi"/>
                <w:b/>
                <w:bCs/>
                <w:sz w:val="20"/>
                <w:szCs w:val="20"/>
              </w:rPr>
              <w:t>P</w:t>
            </w:r>
            <w:r w:rsidRPr="008A1CBC">
              <w:rPr>
                <w:rFonts w:cstheme="minorHAnsi"/>
                <w:b/>
                <w:bCs/>
                <w:sz w:val="20"/>
                <w:szCs w:val="20"/>
              </w:rPr>
              <w:t>rograms</w:t>
            </w:r>
          </w:p>
        </w:tc>
        <w:tc>
          <w:tcPr>
            <w:tcW w:w="1197" w:type="dxa"/>
            <w:shd w:val="clear" w:color="auto" w:fill="D9D9D9" w:themeFill="background1" w:themeFillShade="D9"/>
          </w:tcPr>
          <w:p w14:paraId="30B2C4A2" w14:textId="77777777" w:rsidR="00D9705F" w:rsidRPr="008A1CBC" w:rsidRDefault="00D9705F" w:rsidP="00901C62">
            <w:pPr>
              <w:spacing w:after="0" w:line="240" w:lineRule="auto"/>
              <w:jc w:val="center"/>
              <w:rPr>
                <w:rFonts w:cstheme="minorHAnsi"/>
                <w:b/>
                <w:bCs/>
                <w:sz w:val="20"/>
                <w:szCs w:val="20"/>
              </w:rPr>
            </w:pPr>
            <w:r w:rsidRPr="008A1CBC">
              <w:rPr>
                <w:rFonts w:cstheme="minorHAnsi"/>
                <w:b/>
                <w:bCs/>
                <w:sz w:val="20"/>
                <w:szCs w:val="20"/>
              </w:rPr>
              <w:t xml:space="preserve">Local </w:t>
            </w:r>
            <w:r>
              <w:rPr>
                <w:rFonts w:cstheme="minorHAnsi"/>
                <w:b/>
                <w:bCs/>
                <w:sz w:val="20"/>
                <w:szCs w:val="20"/>
              </w:rPr>
              <w:t>T</w:t>
            </w:r>
            <w:r w:rsidRPr="008A1CBC">
              <w:rPr>
                <w:rFonts w:cstheme="minorHAnsi"/>
                <w:b/>
                <w:bCs/>
                <w:sz w:val="20"/>
                <w:szCs w:val="20"/>
              </w:rPr>
              <w:t xml:space="preserve">raining for </w:t>
            </w:r>
            <w:r>
              <w:rPr>
                <w:rFonts w:cstheme="minorHAnsi"/>
                <w:b/>
                <w:bCs/>
                <w:sz w:val="20"/>
                <w:szCs w:val="20"/>
              </w:rPr>
              <w:t>E</w:t>
            </w:r>
            <w:r w:rsidRPr="008A1CBC">
              <w:rPr>
                <w:rFonts w:cstheme="minorHAnsi"/>
                <w:b/>
                <w:bCs/>
                <w:sz w:val="20"/>
                <w:szCs w:val="20"/>
              </w:rPr>
              <w:t>mploy</w:t>
            </w:r>
            <w:r>
              <w:rPr>
                <w:rFonts w:cstheme="minorHAnsi"/>
                <w:b/>
                <w:bCs/>
                <w:sz w:val="20"/>
                <w:szCs w:val="20"/>
              </w:rPr>
              <w:t>-</w:t>
            </w:r>
            <w:r w:rsidRPr="008A1CBC">
              <w:rPr>
                <w:rFonts w:cstheme="minorHAnsi"/>
                <w:b/>
                <w:bCs/>
                <w:sz w:val="20"/>
                <w:szCs w:val="20"/>
              </w:rPr>
              <w:t>ment</w:t>
            </w:r>
          </w:p>
        </w:tc>
        <w:tc>
          <w:tcPr>
            <w:tcW w:w="1197" w:type="dxa"/>
            <w:shd w:val="clear" w:color="auto" w:fill="D9D9D9" w:themeFill="background1" w:themeFillShade="D9"/>
          </w:tcPr>
          <w:p w14:paraId="552E4DDF" w14:textId="77777777" w:rsidR="00D9705F" w:rsidRPr="008A1CBC" w:rsidRDefault="00D9705F" w:rsidP="00901C62">
            <w:pPr>
              <w:spacing w:after="0" w:line="240" w:lineRule="auto"/>
              <w:jc w:val="center"/>
              <w:rPr>
                <w:rFonts w:cstheme="minorHAnsi"/>
                <w:b/>
                <w:bCs/>
                <w:sz w:val="20"/>
                <w:szCs w:val="20"/>
              </w:rPr>
            </w:pPr>
            <w:r w:rsidRPr="008A1CBC">
              <w:rPr>
                <w:rFonts w:cstheme="minorHAnsi"/>
                <w:b/>
                <w:bCs/>
                <w:sz w:val="20"/>
                <w:szCs w:val="20"/>
              </w:rPr>
              <w:t>Social Connection</w:t>
            </w:r>
          </w:p>
          <w:p w14:paraId="6C6E47BD" w14:textId="77777777" w:rsidR="00D9705F" w:rsidRPr="008A1CBC" w:rsidRDefault="00D9705F" w:rsidP="00901C62">
            <w:pPr>
              <w:spacing w:after="0" w:line="240" w:lineRule="auto"/>
              <w:jc w:val="center"/>
              <w:rPr>
                <w:rFonts w:cstheme="minorHAnsi"/>
                <w:b/>
                <w:bCs/>
                <w:sz w:val="20"/>
                <w:szCs w:val="20"/>
              </w:rPr>
            </w:pPr>
          </w:p>
        </w:tc>
        <w:tc>
          <w:tcPr>
            <w:tcW w:w="1197" w:type="dxa"/>
            <w:shd w:val="clear" w:color="auto" w:fill="D9D9D9" w:themeFill="background1" w:themeFillShade="D9"/>
          </w:tcPr>
          <w:p w14:paraId="5DC314CB" w14:textId="77777777" w:rsidR="00D9705F" w:rsidRPr="008A1CBC" w:rsidRDefault="00D9705F" w:rsidP="00901C62">
            <w:pPr>
              <w:spacing w:after="0" w:line="240" w:lineRule="auto"/>
              <w:jc w:val="center"/>
              <w:rPr>
                <w:rFonts w:cstheme="minorHAnsi"/>
                <w:b/>
                <w:bCs/>
                <w:sz w:val="20"/>
                <w:szCs w:val="20"/>
              </w:rPr>
            </w:pPr>
            <w:r>
              <w:rPr>
                <w:rFonts w:cstheme="minorHAnsi"/>
                <w:b/>
                <w:bCs/>
                <w:sz w:val="20"/>
                <w:szCs w:val="20"/>
              </w:rPr>
              <w:t>Local H</w:t>
            </w:r>
            <w:r w:rsidRPr="008A1CBC">
              <w:rPr>
                <w:rFonts w:cstheme="minorHAnsi"/>
                <w:b/>
                <w:bCs/>
                <w:sz w:val="20"/>
                <w:szCs w:val="20"/>
              </w:rPr>
              <w:t xml:space="preserve">ealth </w:t>
            </w:r>
            <w:r>
              <w:rPr>
                <w:rFonts w:cstheme="minorHAnsi"/>
                <w:b/>
                <w:bCs/>
                <w:sz w:val="20"/>
                <w:szCs w:val="20"/>
              </w:rPr>
              <w:t>S</w:t>
            </w:r>
            <w:r w:rsidRPr="008A1CBC">
              <w:rPr>
                <w:rFonts w:cstheme="minorHAnsi"/>
                <w:b/>
                <w:bCs/>
                <w:sz w:val="20"/>
                <w:szCs w:val="20"/>
              </w:rPr>
              <w:t xml:space="preserve">ervices </w:t>
            </w:r>
            <w:r>
              <w:rPr>
                <w:rFonts w:cstheme="minorHAnsi"/>
                <w:b/>
                <w:bCs/>
                <w:sz w:val="20"/>
                <w:szCs w:val="20"/>
              </w:rPr>
              <w:t>and</w:t>
            </w:r>
            <w:r w:rsidRPr="008A1CBC">
              <w:rPr>
                <w:rFonts w:cstheme="minorHAnsi"/>
                <w:b/>
                <w:bCs/>
                <w:sz w:val="20"/>
                <w:szCs w:val="20"/>
              </w:rPr>
              <w:t xml:space="preserve"> </w:t>
            </w:r>
            <w:r>
              <w:rPr>
                <w:rFonts w:cstheme="minorHAnsi"/>
                <w:b/>
                <w:bCs/>
                <w:sz w:val="20"/>
                <w:szCs w:val="20"/>
              </w:rPr>
              <w:t>I</w:t>
            </w:r>
            <w:r w:rsidRPr="008A1CBC">
              <w:rPr>
                <w:rFonts w:cstheme="minorHAnsi"/>
                <w:b/>
                <w:bCs/>
                <w:sz w:val="20"/>
                <w:szCs w:val="20"/>
              </w:rPr>
              <w:t>nfra</w:t>
            </w:r>
            <w:r>
              <w:rPr>
                <w:rFonts w:cstheme="minorHAnsi"/>
                <w:b/>
                <w:bCs/>
                <w:sz w:val="20"/>
                <w:szCs w:val="20"/>
              </w:rPr>
              <w:t>-</w:t>
            </w:r>
            <w:r w:rsidRPr="008A1CBC">
              <w:rPr>
                <w:rFonts w:cstheme="minorHAnsi"/>
                <w:b/>
                <w:bCs/>
                <w:sz w:val="20"/>
                <w:szCs w:val="20"/>
              </w:rPr>
              <w:t>structure</w:t>
            </w:r>
          </w:p>
        </w:tc>
        <w:tc>
          <w:tcPr>
            <w:tcW w:w="1197" w:type="dxa"/>
            <w:shd w:val="clear" w:color="auto" w:fill="D9D9D9" w:themeFill="background1" w:themeFillShade="D9"/>
          </w:tcPr>
          <w:p w14:paraId="2001A8C2" w14:textId="77777777" w:rsidR="00D9705F" w:rsidRPr="008A1CBC" w:rsidRDefault="00D9705F" w:rsidP="00901C62">
            <w:pPr>
              <w:spacing w:after="0" w:line="240" w:lineRule="auto"/>
              <w:jc w:val="center"/>
              <w:rPr>
                <w:rFonts w:cstheme="minorHAnsi"/>
                <w:b/>
                <w:bCs/>
                <w:sz w:val="20"/>
                <w:szCs w:val="20"/>
              </w:rPr>
            </w:pPr>
            <w:r w:rsidRPr="008A1CBC">
              <w:rPr>
                <w:rFonts w:cstheme="minorHAnsi"/>
                <w:b/>
                <w:bCs/>
                <w:sz w:val="20"/>
                <w:szCs w:val="20"/>
              </w:rPr>
              <w:t xml:space="preserve">Support for </w:t>
            </w:r>
            <w:r>
              <w:rPr>
                <w:rFonts w:cstheme="minorHAnsi"/>
                <w:b/>
                <w:bCs/>
                <w:sz w:val="20"/>
                <w:szCs w:val="20"/>
              </w:rPr>
              <w:t>H</w:t>
            </w:r>
            <w:r w:rsidRPr="008A1CBC">
              <w:rPr>
                <w:rFonts w:cstheme="minorHAnsi"/>
                <w:b/>
                <w:bCs/>
                <w:sz w:val="20"/>
                <w:szCs w:val="20"/>
              </w:rPr>
              <w:t xml:space="preserve">ealthy </w:t>
            </w:r>
            <w:r>
              <w:rPr>
                <w:rFonts w:cstheme="minorHAnsi"/>
                <w:b/>
                <w:bCs/>
                <w:sz w:val="20"/>
                <w:szCs w:val="20"/>
              </w:rPr>
              <w:t>E</w:t>
            </w:r>
            <w:r w:rsidRPr="008A1CBC">
              <w:rPr>
                <w:rFonts w:cstheme="minorHAnsi"/>
                <w:b/>
                <w:bCs/>
                <w:sz w:val="20"/>
                <w:szCs w:val="20"/>
              </w:rPr>
              <w:t>ating</w:t>
            </w:r>
          </w:p>
          <w:p w14:paraId="7AB3DB5C" w14:textId="77777777" w:rsidR="00D9705F" w:rsidRPr="008A1CBC" w:rsidRDefault="00D9705F" w:rsidP="00901C62">
            <w:pPr>
              <w:spacing w:after="0" w:line="240" w:lineRule="auto"/>
              <w:jc w:val="center"/>
              <w:rPr>
                <w:rFonts w:cstheme="minorHAnsi"/>
                <w:b/>
                <w:bCs/>
                <w:sz w:val="20"/>
                <w:szCs w:val="20"/>
              </w:rPr>
            </w:pPr>
          </w:p>
        </w:tc>
        <w:tc>
          <w:tcPr>
            <w:tcW w:w="1197" w:type="dxa"/>
            <w:shd w:val="clear" w:color="auto" w:fill="D9D9D9" w:themeFill="background1" w:themeFillShade="D9"/>
          </w:tcPr>
          <w:p w14:paraId="60F36429" w14:textId="77777777" w:rsidR="00D9705F" w:rsidRPr="008A1CBC" w:rsidRDefault="00D9705F" w:rsidP="00901C62">
            <w:pPr>
              <w:spacing w:after="0" w:line="240" w:lineRule="auto"/>
              <w:jc w:val="center"/>
              <w:rPr>
                <w:rFonts w:cstheme="minorHAnsi"/>
                <w:b/>
                <w:bCs/>
                <w:sz w:val="20"/>
                <w:szCs w:val="20"/>
              </w:rPr>
            </w:pPr>
            <w:r w:rsidRPr="008A1CBC">
              <w:rPr>
                <w:rFonts w:cstheme="minorHAnsi"/>
                <w:b/>
                <w:bCs/>
                <w:sz w:val="20"/>
                <w:szCs w:val="20"/>
              </w:rPr>
              <w:t>Place</w:t>
            </w:r>
            <w:r>
              <w:rPr>
                <w:rFonts w:cstheme="minorHAnsi"/>
                <w:b/>
                <w:bCs/>
                <w:sz w:val="20"/>
                <w:szCs w:val="20"/>
              </w:rPr>
              <w:t>-</w:t>
            </w:r>
            <w:r w:rsidRPr="008A1CBC">
              <w:rPr>
                <w:rFonts w:cstheme="minorHAnsi"/>
                <w:b/>
                <w:bCs/>
                <w:sz w:val="20"/>
                <w:szCs w:val="20"/>
              </w:rPr>
              <w:t>making</w:t>
            </w:r>
          </w:p>
          <w:p w14:paraId="74566FF4" w14:textId="77777777" w:rsidR="00D9705F" w:rsidRPr="008A1CBC" w:rsidRDefault="00D9705F" w:rsidP="00901C62">
            <w:pPr>
              <w:spacing w:after="0" w:line="240" w:lineRule="auto"/>
              <w:jc w:val="center"/>
              <w:rPr>
                <w:rFonts w:cstheme="minorHAnsi"/>
                <w:b/>
                <w:bCs/>
                <w:sz w:val="20"/>
                <w:szCs w:val="20"/>
              </w:rPr>
            </w:pPr>
          </w:p>
        </w:tc>
        <w:tc>
          <w:tcPr>
            <w:tcW w:w="1197" w:type="dxa"/>
            <w:shd w:val="clear" w:color="auto" w:fill="D9D9D9" w:themeFill="background1" w:themeFillShade="D9"/>
          </w:tcPr>
          <w:p w14:paraId="3311D588" w14:textId="77777777" w:rsidR="00D9705F" w:rsidRPr="008A1CBC" w:rsidRDefault="00D9705F" w:rsidP="00901C62">
            <w:pPr>
              <w:spacing w:after="0" w:line="240" w:lineRule="auto"/>
              <w:jc w:val="center"/>
              <w:rPr>
                <w:rFonts w:cstheme="minorHAnsi"/>
                <w:b/>
                <w:bCs/>
                <w:sz w:val="20"/>
                <w:szCs w:val="20"/>
              </w:rPr>
            </w:pPr>
            <w:r w:rsidRPr="008A1CBC">
              <w:rPr>
                <w:rFonts w:cstheme="minorHAnsi"/>
                <w:b/>
                <w:bCs/>
                <w:sz w:val="20"/>
                <w:szCs w:val="20"/>
              </w:rPr>
              <w:t xml:space="preserve">Safe </w:t>
            </w:r>
            <w:r>
              <w:rPr>
                <w:rFonts w:cstheme="minorHAnsi"/>
                <w:b/>
                <w:bCs/>
                <w:sz w:val="20"/>
                <w:szCs w:val="20"/>
              </w:rPr>
              <w:t>and</w:t>
            </w:r>
            <w:r w:rsidRPr="008A1CBC">
              <w:rPr>
                <w:rFonts w:cstheme="minorHAnsi"/>
                <w:b/>
                <w:bCs/>
                <w:sz w:val="20"/>
                <w:szCs w:val="20"/>
              </w:rPr>
              <w:t xml:space="preserve"> </w:t>
            </w:r>
            <w:r>
              <w:rPr>
                <w:rFonts w:cstheme="minorHAnsi"/>
                <w:b/>
                <w:bCs/>
                <w:sz w:val="20"/>
                <w:szCs w:val="20"/>
              </w:rPr>
              <w:t>A</w:t>
            </w:r>
            <w:r w:rsidRPr="008A1CBC">
              <w:rPr>
                <w:rFonts w:cstheme="minorHAnsi"/>
                <w:b/>
                <w:bCs/>
                <w:sz w:val="20"/>
                <w:szCs w:val="20"/>
              </w:rPr>
              <w:t xml:space="preserve">ffordable </w:t>
            </w:r>
            <w:r>
              <w:rPr>
                <w:rFonts w:cstheme="minorHAnsi"/>
                <w:b/>
                <w:bCs/>
                <w:sz w:val="20"/>
                <w:szCs w:val="20"/>
              </w:rPr>
              <w:t>H</w:t>
            </w:r>
            <w:r w:rsidRPr="008A1CBC">
              <w:rPr>
                <w:rFonts w:cstheme="minorHAnsi"/>
                <w:b/>
                <w:bCs/>
                <w:sz w:val="20"/>
                <w:szCs w:val="20"/>
              </w:rPr>
              <w:t>ousing</w:t>
            </w:r>
          </w:p>
          <w:p w14:paraId="4E399FD7" w14:textId="77777777" w:rsidR="00D9705F" w:rsidRPr="008A1CBC" w:rsidRDefault="00D9705F" w:rsidP="00901C62">
            <w:pPr>
              <w:spacing w:after="0" w:line="240" w:lineRule="auto"/>
              <w:jc w:val="center"/>
              <w:rPr>
                <w:rFonts w:cstheme="minorHAnsi"/>
                <w:b/>
                <w:bCs/>
                <w:sz w:val="20"/>
                <w:szCs w:val="20"/>
              </w:rPr>
            </w:pPr>
          </w:p>
        </w:tc>
        <w:tc>
          <w:tcPr>
            <w:tcW w:w="1197" w:type="dxa"/>
            <w:shd w:val="clear" w:color="auto" w:fill="D9D9D9" w:themeFill="background1" w:themeFillShade="D9"/>
          </w:tcPr>
          <w:p w14:paraId="13B5E85B" w14:textId="77777777" w:rsidR="00D9705F" w:rsidRPr="008A1CBC" w:rsidRDefault="00D9705F" w:rsidP="00901C62">
            <w:pPr>
              <w:spacing w:after="0" w:line="240" w:lineRule="auto"/>
              <w:jc w:val="center"/>
              <w:rPr>
                <w:rFonts w:cstheme="minorHAnsi"/>
                <w:b/>
                <w:bCs/>
                <w:sz w:val="20"/>
                <w:szCs w:val="20"/>
              </w:rPr>
            </w:pPr>
            <w:r w:rsidRPr="008A1CBC">
              <w:rPr>
                <w:rFonts w:cstheme="minorHAnsi"/>
                <w:b/>
                <w:bCs/>
                <w:sz w:val="20"/>
                <w:szCs w:val="20"/>
              </w:rPr>
              <w:t xml:space="preserve">Arts-based </w:t>
            </w:r>
            <w:r>
              <w:rPr>
                <w:rFonts w:cstheme="minorHAnsi"/>
                <w:b/>
                <w:bCs/>
                <w:sz w:val="20"/>
                <w:szCs w:val="20"/>
              </w:rPr>
              <w:t>P</w:t>
            </w:r>
            <w:r w:rsidRPr="008A1CBC">
              <w:rPr>
                <w:rFonts w:cstheme="minorHAnsi"/>
                <w:b/>
                <w:bCs/>
                <w:sz w:val="20"/>
                <w:szCs w:val="20"/>
              </w:rPr>
              <w:t xml:space="preserve">rograms and </w:t>
            </w:r>
            <w:r>
              <w:rPr>
                <w:rFonts w:cstheme="minorHAnsi"/>
                <w:b/>
                <w:bCs/>
                <w:sz w:val="20"/>
                <w:szCs w:val="20"/>
              </w:rPr>
              <w:t>Community E</w:t>
            </w:r>
            <w:r w:rsidRPr="008A1CBC">
              <w:rPr>
                <w:rFonts w:cstheme="minorHAnsi"/>
                <w:b/>
                <w:bCs/>
                <w:sz w:val="20"/>
                <w:szCs w:val="20"/>
              </w:rPr>
              <w:t>vents</w:t>
            </w:r>
          </w:p>
        </w:tc>
        <w:tc>
          <w:tcPr>
            <w:tcW w:w="1088" w:type="dxa"/>
            <w:shd w:val="clear" w:color="auto" w:fill="D9D9D9" w:themeFill="background1" w:themeFillShade="D9"/>
          </w:tcPr>
          <w:p w14:paraId="449F9817" w14:textId="77777777" w:rsidR="00D9705F" w:rsidRPr="008A1CBC" w:rsidRDefault="00D9705F" w:rsidP="00901C62">
            <w:pPr>
              <w:spacing w:after="0" w:line="240" w:lineRule="auto"/>
              <w:jc w:val="center"/>
              <w:rPr>
                <w:rFonts w:cstheme="minorHAnsi"/>
                <w:b/>
                <w:bCs/>
                <w:sz w:val="20"/>
                <w:szCs w:val="20"/>
              </w:rPr>
            </w:pPr>
            <w:r w:rsidRPr="008A1CBC">
              <w:rPr>
                <w:rFonts w:cstheme="minorHAnsi"/>
                <w:b/>
                <w:bCs/>
                <w:sz w:val="20"/>
                <w:szCs w:val="20"/>
              </w:rPr>
              <w:t>Access</w:t>
            </w:r>
            <w:r>
              <w:rPr>
                <w:rFonts w:cstheme="minorHAnsi"/>
                <w:b/>
                <w:bCs/>
                <w:sz w:val="20"/>
                <w:szCs w:val="20"/>
              </w:rPr>
              <w:t>-a</w:t>
            </w:r>
            <w:r w:rsidRPr="008A1CBC">
              <w:rPr>
                <w:rFonts w:cstheme="minorHAnsi"/>
                <w:b/>
                <w:bCs/>
                <w:sz w:val="20"/>
                <w:szCs w:val="20"/>
              </w:rPr>
              <w:t xml:space="preserve">bility </w:t>
            </w:r>
            <w:r>
              <w:rPr>
                <w:rFonts w:cstheme="minorHAnsi"/>
                <w:b/>
                <w:bCs/>
                <w:sz w:val="20"/>
                <w:szCs w:val="20"/>
              </w:rPr>
              <w:t>and</w:t>
            </w:r>
            <w:r w:rsidRPr="008A1CBC">
              <w:rPr>
                <w:rFonts w:cstheme="minorHAnsi"/>
                <w:b/>
                <w:bCs/>
                <w:sz w:val="20"/>
                <w:szCs w:val="20"/>
              </w:rPr>
              <w:t xml:space="preserve"> </w:t>
            </w:r>
            <w:r>
              <w:rPr>
                <w:rFonts w:cstheme="minorHAnsi"/>
                <w:b/>
                <w:bCs/>
                <w:sz w:val="20"/>
                <w:szCs w:val="20"/>
              </w:rPr>
              <w:t>I</w:t>
            </w:r>
            <w:r w:rsidRPr="008A1CBC">
              <w:rPr>
                <w:rFonts w:cstheme="minorHAnsi"/>
                <w:b/>
                <w:bCs/>
                <w:sz w:val="20"/>
                <w:szCs w:val="20"/>
              </w:rPr>
              <w:t>nclusion</w:t>
            </w:r>
          </w:p>
          <w:p w14:paraId="399A8A90" w14:textId="77777777" w:rsidR="00D9705F" w:rsidRPr="008A1CBC" w:rsidRDefault="00D9705F" w:rsidP="00901C62">
            <w:pPr>
              <w:spacing w:after="0" w:line="240" w:lineRule="auto"/>
              <w:jc w:val="center"/>
              <w:rPr>
                <w:rFonts w:cstheme="minorHAnsi"/>
                <w:b/>
                <w:bCs/>
                <w:sz w:val="20"/>
                <w:szCs w:val="20"/>
              </w:rPr>
            </w:pPr>
          </w:p>
        </w:tc>
      </w:tr>
      <w:tr w:rsidR="00D9705F" w:rsidRPr="00E12C13" w14:paraId="78DA18F1" w14:textId="77777777" w:rsidTr="00D44087">
        <w:trPr>
          <w:trHeight w:val="337"/>
        </w:trPr>
        <w:tc>
          <w:tcPr>
            <w:tcW w:w="405" w:type="dxa"/>
            <w:vMerge w:val="restart"/>
            <w:shd w:val="clear" w:color="auto" w:fill="D9D9D9" w:themeFill="background1" w:themeFillShade="D9"/>
            <w:textDirection w:val="btLr"/>
          </w:tcPr>
          <w:p w14:paraId="5C6E6AD6" w14:textId="77777777" w:rsidR="00D9705F" w:rsidRPr="008A1CBC" w:rsidRDefault="00D9705F" w:rsidP="701B9583">
            <w:pPr>
              <w:spacing w:after="0" w:line="240" w:lineRule="auto"/>
              <w:ind w:left="113" w:right="113"/>
              <w:jc w:val="center"/>
              <w:rPr>
                <w:b/>
                <w:sz w:val="21"/>
                <w:szCs w:val="21"/>
              </w:rPr>
            </w:pPr>
            <w:r w:rsidRPr="701B9583">
              <w:rPr>
                <w:b/>
                <w:sz w:val="21"/>
                <w:szCs w:val="21"/>
              </w:rPr>
              <w:t>Education</w:t>
            </w:r>
          </w:p>
        </w:tc>
        <w:tc>
          <w:tcPr>
            <w:tcW w:w="1912" w:type="dxa"/>
            <w:vAlign w:val="center"/>
          </w:tcPr>
          <w:p w14:paraId="130581F7" w14:textId="77777777" w:rsidR="00D9705F" w:rsidRPr="0079538B" w:rsidRDefault="00D9705F" w:rsidP="00901C62">
            <w:pPr>
              <w:spacing w:after="0"/>
              <w:rPr>
                <w:rFonts w:asciiTheme="majorHAnsi" w:hAnsiTheme="majorHAnsi" w:cstheme="majorHAnsi"/>
                <w:sz w:val="20"/>
                <w:szCs w:val="20"/>
              </w:rPr>
            </w:pPr>
            <w:r w:rsidRPr="0079538B">
              <w:rPr>
                <w:rFonts w:asciiTheme="majorHAnsi" w:hAnsiTheme="majorHAnsi" w:cstheme="majorHAnsi"/>
                <w:sz w:val="20"/>
                <w:szCs w:val="20"/>
              </w:rPr>
              <w:t>Digital exclusion</w:t>
            </w:r>
          </w:p>
        </w:tc>
        <w:tc>
          <w:tcPr>
            <w:tcW w:w="1196" w:type="dxa"/>
            <w:vAlign w:val="center"/>
          </w:tcPr>
          <w:p w14:paraId="55579BA0"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1CFA1A20"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41C8FEAA"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6DE8CB5"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32C8EA80"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60D8F5CF"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7E5AE0B6"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7F6B9023"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5C858FD1" w14:textId="77777777" w:rsidR="00D9705F" w:rsidRPr="0079538B" w:rsidRDefault="00D9705F" w:rsidP="00901C62">
            <w:pPr>
              <w:spacing w:after="0"/>
              <w:jc w:val="center"/>
              <w:rPr>
                <w:rFonts w:asciiTheme="majorHAnsi" w:hAnsiTheme="majorHAnsi" w:cstheme="majorHAnsi"/>
                <w:b/>
                <w:bCs/>
                <w:sz w:val="20"/>
                <w:szCs w:val="20"/>
              </w:rPr>
            </w:pPr>
          </w:p>
        </w:tc>
        <w:tc>
          <w:tcPr>
            <w:tcW w:w="1088" w:type="dxa"/>
            <w:vAlign w:val="center"/>
          </w:tcPr>
          <w:p w14:paraId="0AEB1D92"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r>
      <w:tr w:rsidR="00D9705F" w:rsidRPr="00E12C13" w14:paraId="35AEEC73" w14:textId="77777777" w:rsidTr="701B9583">
        <w:trPr>
          <w:trHeight w:val="337"/>
        </w:trPr>
        <w:tc>
          <w:tcPr>
            <w:tcW w:w="405" w:type="dxa"/>
            <w:vMerge/>
            <w:textDirection w:val="btLr"/>
          </w:tcPr>
          <w:p w14:paraId="61FBCA83" w14:textId="77777777" w:rsidR="00D9705F" w:rsidRPr="008A1CBC" w:rsidRDefault="00D9705F" w:rsidP="00901C62">
            <w:pPr>
              <w:spacing w:after="0"/>
              <w:ind w:left="113" w:right="113"/>
              <w:jc w:val="center"/>
              <w:rPr>
                <w:rFonts w:cstheme="minorHAnsi"/>
                <w:b/>
                <w:bCs/>
                <w:sz w:val="21"/>
                <w:szCs w:val="21"/>
              </w:rPr>
            </w:pPr>
          </w:p>
        </w:tc>
        <w:tc>
          <w:tcPr>
            <w:tcW w:w="1912" w:type="dxa"/>
            <w:vAlign w:val="center"/>
          </w:tcPr>
          <w:p w14:paraId="1394F243" w14:textId="77777777" w:rsidR="00D9705F" w:rsidRPr="0079538B" w:rsidRDefault="00D9705F" w:rsidP="00901C62">
            <w:pPr>
              <w:spacing w:after="0"/>
              <w:rPr>
                <w:rFonts w:asciiTheme="majorHAnsi" w:hAnsiTheme="majorHAnsi" w:cstheme="majorHAnsi"/>
                <w:sz w:val="20"/>
                <w:szCs w:val="20"/>
              </w:rPr>
            </w:pPr>
            <w:r w:rsidRPr="0079538B">
              <w:rPr>
                <w:rFonts w:asciiTheme="majorHAnsi" w:hAnsiTheme="majorHAnsi" w:cstheme="majorHAnsi"/>
                <w:sz w:val="20"/>
                <w:szCs w:val="20"/>
              </w:rPr>
              <w:t>Disengagement from school and adult education</w:t>
            </w:r>
          </w:p>
        </w:tc>
        <w:tc>
          <w:tcPr>
            <w:tcW w:w="1196" w:type="dxa"/>
            <w:vAlign w:val="center"/>
          </w:tcPr>
          <w:p w14:paraId="541EB2AE"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38B99BD9"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439C971E"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695E3815"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E9A63D4"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63F4B2ED"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3D81120D"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1B9E6267"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2631CF8E"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088" w:type="dxa"/>
            <w:vAlign w:val="center"/>
          </w:tcPr>
          <w:p w14:paraId="5FF42EA9"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r>
      <w:tr w:rsidR="00D9705F" w:rsidRPr="00E12C13" w14:paraId="75B27EC9" w14:textId="77777777" w:rsidTr="00D44087">
        <w:trPr>
          <w:cantSplit/>
          <w:trHeight w:val="1395"/>
        </w:trPr>
        <w:tc>
          <w:tcPr>
            <w:tcW w:w="405" w:type="dxa"/>
            <w:shd w:val="clear" w:color="auto" w:fill="D9D9D9" w:themeFill="background1" w:themeFillShade="D9"/>
            <w:textDirection w:val="btLr"/>
          </w:tcPr>
          <w:p w14:paraId="12B1D691" w14:textId="77777777" w:rsidR="00D9705F" w:rsidRPr="008A1CBC" w:rsidRDefault="00D9705F" w:rsidP="701B9583">
            <w:pPr>
              <w:spacing w:after="0" w:line="240" w:lineRule="auto"/>
              <w:ind w:left="113" w:right="113"/>
              <w:jc w:val="center"/>
              <w:rPr>
                <w:b/>
                <w:sz w:val="21"/>
                <w:szCs w:val="21"/>
              </w:rPr>
            </w:pPr>
            <w:r w:rsidRPr="701B9583">
              <w:rPr>
                <w:b/>
                <w:sz w:val="21"/>
                <w:szCs w:val="21"/>
              </w:rPr>
              <w:t>Employment</w:t>
            </w:r>
          </w:p>
        </w:tc>
        <w:tc>
          <w:tcPr>
            <w:tcW w:w="1912" w:type="dxa"/>
            <w:vAlign w:val="center"/>
          </w:tcPr>
          <w:p w14:paraId="4B812389" w14:textId="77777777" w:rsidR="00D9705F" w:rsidRPr="0079538B" w:rsidRDefault="00D9705F" w:rsidP="00901C62">
            <w:pPr>
              <w:spacing w:after="0"/>
              <w:rPr>
                <w:rFonts w:asciiTheme="majorHAnsi" w:hAnsiTheme="majorHAnsi" w:cstheme="majorHAnsi"/>
                <w:sz w:val="20"/>
                <w:szCs w:val="20"/>
              </w:rPr>
            </w:pPr>
            <w:r w:rsidRPr="0079538B">
              <w:rPr>
                <w:rFonts w:asciiTheme="majorHAnsi" w:hAnsiTheme="majorHAnsi" w:cstheme="majorHAnsi"/>
                <w:sz w:val="20"/>
                <w:szCs w:val="20"/>
              </w:rPr>
              <w:t>Unemployment</w:t>
            </w:r>
          </w:p>
        </w:tc>
        <w:tc>
          <w:tcPr>
            <w:tcW w:w="1196" w:type="dxa"/>
            <w:vAlign w:val="center"/>
          </w:tcPr>
          <w:p w14:paraId="343D14B7"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26507112"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770E890A"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03AC4C1B"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03F06AE0"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3940B64B"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029E2774"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085C3634"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498310C" w14:textId="77777777" w:rsidR="00D9705F" w:rsidRPr="0079538B" w:rsidRDefault="00D9705F" w:rsidP="00901C62">
            <w:pPr>
              <w:spacing w:after="0"/>
              <w:jc w:val="center"/>
              <w:rPr>
                <w:rFonts w:asciiTheme="majorHAnsi" w:hAnsiTheme="majorHAnsi" w:cstheme="majorHAnsi"/>
                <w:b/>
                <w:bCs/>
                <w:sz w:val="20"/>
                <w:szCs w:val="20"/>
              </w:rPr>
            </w:pPr>
          </w:p>
        </w:tc>
        <w:tc>
          <w:tcPr>
            <w:tcW w:w="1088" w:type="dxa"/>
            <w:vAlign w:val="center"/>
          </w:tcPr>
          <w:p w14:paraId="6D9E871E"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r>
      <w:tr w:rsidR="00D9705F" w:rsidRPr="00E12C13" w14:paraId="3BF5E186" w14:textId="77777777" w:rsidTr="00D44087">
        <w:trPr>
          <w:trHeight w:val="468"/>
        </w:trPr>
        <w:tc>
          <w:tcPr>
            <w:tcW w:w="405" w:type="dxa"/>
            <w:vMerge w:val="restart"/>
            <w:shd w:val="clear" w:color="auto" w:fill="D9D9D9" w:themeFill="background1" w:themeFillShade="D9"/>
            <w:textDirection w:val="btLr"/>
          </w:tcPr>
          <w:p w14:paraId="5BB6CCA5" w14:textId="77777777" w:rsidR="00D9705F" w:rsidRPr="008A1CBC" w:rsidRDefault="00D9705F" w:rsidP="00901C62">
            <w:pPr>
              <w:spacing w:after="0"/>
              <w:ind w:left="113" w:right="113"/>
              <w:jc w:val="center"/>
              <w:rPr>
                <w:rFonts w:cstheme="minorHAnsi"/>
                <w:b/>
                <w:bCs/>
                <w:sz w:val="21"/>
                <w:szCs w:val="21"/>
              </w:rPr>
            </w:pPr>
            <w:r w:rsidRPr="008A1CBC">
              <w:rPr>
                <w:rFonts w:cstheme="minorHAnsi"/>
                <w:b/>
                <w:bCs/>
                <w:sz w:val="21"/>
                <w:szCs w:val="21"/>
              </w:rPr>
              <w:t xml:space="preserve">Health </w:t>
            </w:r>
            <w:r>
              <w:rPr>
                <w:rFonts w:cstheme="minorHAnsi"/>
                <w:b/>
                <w:bCs/>
                <w:sz w:val="21"/>
                <w:szCs w:val="21"/>
              </w:rPr>
              <w:t>and W</w:t>
            </w:r>
            <w:r w:rsidRPr="008A1CBC">
              <w:rPr>
                <w:rFonts w:cstheme="minorHAnsi"/>
                <w:b/>
                <w:bCs/>
                <w:sz w:val="21"/>
                <w:szCs w:val="21"/>
              </w:rPr>
              <w:t>ellbeing</w:t>
            </w:r>
          </w:p>
        </w:tc>
        <w:tc>
          <w:tcPr>
            <w:tcW w:w="1912" w:type="dxa"/>
            <w:vAlign w:val="center"/>
          </w:tcPr>
          <w:p w14:paraId="0ED5B7E0" w14:textId="77777777" w:rsidR="00D9705F" w:rsidRPr="0079538B" w:rsidRDefault="00D9705F" w:rsidP="00901C62">
            <w:pPr>
              <w:spacing w:after="0"/>
              <w:rPr>
                <w:rFonts w:asciiTheme="majorHAnsi" w:hAnsiTheme="majorHAnsi" w:cstheme="majorHAnsi"/>
                <w:sz w:val="20"/>
                <w:szCs w:val="20"/>
              </w:rPr>
            </w:pPr>
            <w:r w:rsidRPr="0079538B">
              <w:rPr>
                <w:rFonts w:asciiTheme="majorHAnsi" w:hAnsiTheme="majorHAnsi" w:cstheme="majorHAnsi"/>
                <w:sz w:val="20"/>
                <w:szCs w:val="20"/>
              </w:rPr>
              <w:t>Indigenous health and wellbeing</w:t>
            </w:r>
          </w:p>
        </w:tc>
        <w:tc>
          <w:tcPr>
            <w:tcW w:w="1196" w:type="dxa"/>
            <w:vAlign w:val="center"/>
          </w:tcPr>
          <w:p w14:paraId="37FBCF5D"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24EE519"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37B7C068"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1F5D24D5"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35ACB0E"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D2CC375"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19534483"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2A78035F"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9262CAD"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088" w:type="dxa"/>
            <w:vAlign w:val="center"/>
          </w:tcPr>
          <w:p w14:paraId="288CC888"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r>
      <w:tr w:rsidR="00D9705F" w:rsidRPr="00E12C13" w14:paraId="457F35CC" w14:textId="77777777" w:rsidTr="701B9583">
        <w:trPr>
          <w:trHeight w:val="296"/>
        </w:trPr>
        <w:tc>
          <w:tcPr>
            <w:tcW w:w="405" w:type="dxa"/>
            <w:vMerge/>
            <w:textDirection w:val="btLr"/>
          </w:tcPr>
          <w:p w14:paraId="62D99C88" w14:textId="77777777" w:rsidR="00D9705F" w:rsidRPr="008A1CBC" w:rsidRDefault="00D9705F" w:rsidP="00901C62">
            <w:pPr>
              <w:spacing w:after="0"/>
              <w:ind w:left="113" w:right="113"/>
              <w:jc w:val="center"/>
              <w:rPr>
                <w:rFonts w:cstheme="minorHAnsi"/>
                <w:b/>
                <w:bCs/>
                <w:sz w:val="21"/>
                <w:szCs w:val="21"/>
              </w:rPr>
            </w:pPr>
          </w:p>
        </w:tc>
        <w:tc>
          <w:tcPr>
            <w:tcW w:w="1912" w:type="dxa"/>
            <w:vAlign w:val="center"/>
          </w:tcPr>
          <w:p w14:paraId="5156F8DA" w14:textId="77777777" w:rsidR="00D9705F" w:rsidRPr="0079538B" w:rsidRDefault="00D9705F" w:rsidP="00901C62">
            <w:pPr>
              <w:spacing w:after="0"/>
              <w:rPr>
                <w:rFonts w:asciiTheme="majorHAnsi" w:hAnsiTheme="majorHAnsi" w:cstheme="majorHAnsi"/>
                <w:sz w:val="20"/>
                <w:szCs w:val="20"/>
              </w:rPr>
            </w:pPr>
            <w:r w:rsidRPr="0079538B">
              <w:rPr>
                <w:rFonts w:asciiTheme="majorHAnsi" w:hAnsiTheme="majorHAnsi" w:cstheme="majorHAnsi"/>
                <w:sz w:val="20"/>
                <w:szCs w:val="20"/>
              </w:rPr>
              <w:t>Food security</w:t>
            </w:r>
          </w:p>
        </w:tc>
        <w:tc>
          <w:tcPr>
            <w:tcW w:w="1196" w:type="dxa"/>
            <w:vAlign w:val="center"/>
          </w:tcPr>
          <w:p w14:paraId="1095AF2C"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96DD4A5"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6583977B"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045725D9"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1E53B958"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0CFA31B3"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75515380"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4BFD4D89"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4F945A4F" w14:textId="77777777" w:rsidR="00D9705F" w:rsidRPr="0079538B" w:rsidRDefault="00D9705F" w:rsidP="00901C62">
            <w:pPr>
              <w:spacing w:after="0"/>
              <w:jc w:val="center"/>
              <w:rPr>
                <w:rFonts w:asciiTheme="majorHAnsi" w:hAnsiTheme="majorHAnsi" w:cstheme="majorHAnsi"/>
                <w:b/>
                <w:bCs/>
                <w:sz w:val="20"/>
                <w:szCs w:val="20"/>
              </w:rPr>
            </w:pPr>
          </w:p>
        </w:tc>
        <w:tc>
          <w:tcPr>
            <w:tcW w:w="1088" w:type="dxa"/>
            <w:vAlign w:val="center"/>
          </w:tcPr>
          <w:p w14:paraId="095964DD"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r>
      <w:tr w:rsidR="00D9705F" w:rsidRPr="00E12C13" w14:paraId="75DFC0AE" w14:textId="77777777" w:rsidTr="701B9583">
        <w:trPr>
          <w:trHeight w:val="468"/>
        </w:trPr>
        <w:tc>
          <w:tcPr>
            <w:tcW w:w="405" w:type="dxa"/>
            <w:vMerge/>
            <w:textDirection w:val="btLr"/>
          </w:tcPr>
          <w:p w14:paraId="3C3F9FD6" w14:textId="77777777" w:rsidR="00D9705F" w:rsidRPr="008A1CBC" w:rsidRDefault="00D9705F" w:rsidP="00901C62">
            <w:pPr>
              <w:spacing w:after="0"/>
              <w:ind w:left="113" w:right="113"/>
              <w:jc w:val="center"/>
              <w:rPr>
                <w:rFonts w:cstheme="minorHAnsi"/>
                <w:b/>
                <w:bCs/>
                <w:sz w:val="21"/>
                <w:szCs w:val="21"/>
              </w:rPr>
            </w:pPr>
          </w:p>
        </w:tc>
        <w:tc>
          <w:tcPr>
            <w:tcW w:w="1912" w:type="dxa"/>
            <w:vAlign w:val="center"/>
          </w:tcPr>
          <w:p w14:paraId="6FE3AE94" w14:textId="77777777" w:rsidR="00D9705F" w:rsidRPr="0079538B" w:rsidRDefault="00D9705F" w:rsidP="00901C62">
            <w:pPr>
              <w:spacing w:after="0"/>
              <w:rPr>
                <w:rFonts w:asciiTheme="majorHAnsi" w:hAnsiTheme="majorHAnsi" w:cstheme="majorHAnsi"/>
                <w:sz w:val="20"/>
                <w:szCs w:val="20"/>
              </w:rPr>
            </w:pPr>
            <w:r w:rsidRPr="0079538B">
              <w:rPr>
                <w:rFonts w:asciiTheme="majorHAnsi" w:hAnsiTheme="majorHAnsi" w:cstheme="majorHAnsi"/>
                <w:sz w:val="20"/>
                <w:szCs w:val="20"/>
              </w:rPr>
              <w:t>Access to health services</w:t>
            </w:r>
          </w:p>
        </w:tc>
        <w:tc>
          <w:tcPr>
            <w:tcW w:w="1196" w:type="dxa"/>
            <w:vAlign w:val="center"/>
          </w:tcPr>
          <w:p w14:paraId="0CAD5BCE"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71A7A102"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46D8CC40"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06209D47"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2C3E6118"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701FA750"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0962A0DA"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27C1772E"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4405EB17" w14:textId="77777777" w:rsidR="00D9705F" w:rsidRPr="0079538B" w:rsidRDefault="00D9705F" w:rsidP="00901C62">
            <w:pPr>
              <w:spacing w:after="0"/>
              <w:jc w:val="center"/>
              <w:rPr>
                <w:rFonts w:asciiTheme="majorHAnsi" w:hAnsiTheme="majorHAnsi" w:cstheme="majorHAnsi"/>
                <w:b/>
                <w:bCs/>
                <w:sz w:val="20"/>
                <w:szCs w:val="20"/>
              </w:rPr>
            </w:pPr>
          </w:p>
        </w:tc>
        <w:tc>
          <w:tcPr>
            <w:tcW w:w="1088" w:type="dxa"/>
            <w:vAlign w:val="center"/>
          </w:tcPr>
          <w:p w14:paraId="3218A0DB"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r>
      <w:tr w:rsidR="00D9705F" w:rsidRPr="00E12C13" w14:paraId="26516DC6" w14:textId="77777777" w:rsidTr="701B9583">
        <w:trPr>
          <w:trHeight w:val="468"/>
        </w:trPr>
        <w:tc>
          <w:tcPr>
            <w:tcW w:w="405" w:type="dxa"/>
            <w:vMerge/>
            <w:textDirection w:val="btLr"/>
          </w:tcPr>
          <w:p w14:paraId="23EFCC39" w14:textId="77777777" w:rsidR="00D9705F" w:rsidRPr="008A1CBC" w:rsidRDefault="00D9705F" w:rsidP="00901C62">
            <w:pPr>
              <w:spacing w:after="0"/>
              <w:ind w:left="113" w:right="113"/>
              <w:jc w:val="center"/>
              <w:rPr>
                <w:rFonts w:cstheme="minorHAnsi"/>
                <w:b/>
                <w:bCs/>
                <w:sz w:val="21"/>
                <w:szCs w:val="21"/>
              </w:rPr>
            </w:pPr>
          </w:p>
        </w:tc>
        <w:tc>
          <w:tcPr>
            <w:tcW w:w="1912" w:type="dxa"/>
            <w:vAlign w:val="center"/>
          </w:tcPr>
          <w:p w14:paraId="417A67AC" w14:textId="77777777" w:rsidR="00D9705F" w:rsidRPr="0079538B" w:rsidRDefault="00D9705F" w:rsidP="00901C62">
            <w:pPr>
              <w:spacing w:after="0"/>
              <w:rPr>
                <w:rFonts w:asciiTheme="majorHAnsi" w:hAnsiTheme="majorHAnsi" w:cstheme="majorHAnsi"/>
                <w:sz w:val="20"/>
                <w:szCs w:val="20"/>
              </w:rPr>
            </w:pPr>
            <w:r w:rsidRPr="0079538B">
              <w:rPr>
                <w:rFonts w:asciiTheme="majorHAnsi" w:hAnsiTheme="majorHAnsi" w:cstheme="majorHAnsi"/>
                <w:sz w:val="20"/>
                <w:szCs w:val="20"/>
              </w:rPr>
              <w:t>Mental health and wellbeing</w:t>
            </w:r>
          </w:p>
        </w:tc>
        <w:tc>
          <w:tcPr>
            <w:tcW w:w="1196" w:type="dxa"/>
            <w:vAlign w:val="center"/>
          </w:tcPr>
          <w:p w14:paraId="0FE7F778"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10D8318"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0E6B1B05"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3DF8467D"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78B501AC"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30E22A3"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6053AA7E"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04C09777"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6B7F7516"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088" w:type="dxa"/>
            <w:vAlign w:val="center"/>
          </w:tcPr>
          <w:p w14:paraId="13BBCA6D"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r>
      <w:tr w:rsidR="00D9705F" w:rsidRPr="00E12C13" w14:paraId="3FFCE7D4" w14:textId="77777777" w:rsidTr="701B9583">
        <w:trPr>
          <w:trHeight w:val="318"/>
        </w:trPr>
        <w:tc>
          <w:tcPr>
            <w:tcW w:w="405" w:type="dxa"/>
            <w:vMerge/>
            <w:textDirection w:val="btLr"/>
          </w:tcPr>
          <w:p w14:paraId="1CED04EC" w14:textId="77777777" w:rsidR="00D9705F" w:rsidRPr="008A1CBC" w:rsidRDefault="00D9705F" w:rsidP="00901C62">
            <w:pPr>
              <w:spacing w:after="0"/>
              <w:ind w:left="113" w:right="113"/>
              <w:jc w:val="center"/>
              <w:rPr>
                <w:rFonts w:cstheme="minorHAnsi"/>
                <w:b/>
                <w:bCs/>
                <w:sz w:val="21"/>
                <w:szCs w:val="21"/>
              </w:rPr>
            </w:pPr>
          </w:p>
        </w:tc>
        <w:tc>
          <w:tcPr>
            <w:tcW w:w="1912" w:type="dxa"/>
            <w:vAlign w:val="center"/>
          </w:tcPr>
          <w:p w14:paraId="4BE289DB" w14:textId="6A13AA21" w:rsidR="00D9705F" w:rsidRPr="0079538B" w:rsidRDefault="00BD74EA" w:rsidP="00901C62">
            <w:pPr>
              <w:spacing w:after="0"/>
              <w:rPr>
                <w:rFonts w:asciiTheme="majorHAnsi" w:hAnsiTheme="majorHAnsi" w:cstheme="majorHAnsi"/>
                <w:sz w:val="20"/>
                <w:szCs w:val="20"/>
              </w:rPr>
            </w:pPr>
            <w:r>
              <w:rPr>
                <w:rFonts w:asciiTheme="majorHAnsi" w:hAnsiTheme="majorHAnsi" w:cstheme="majorHAnsi"/>
                <w:sz w:val="20"/>
                <w:szCs w:val="20"/>
              </w:rPr>
              <w:t>Family</w:t>
            </w:r>
            <w:r w:rsidR="00D9705F" w:rsidRPr="0079538B">
              <w:rPr>
                <w:rFonts w:asciiTheme="majorHAnsi" w:hAnsiTheme="majorHAnsi" w:cstheme="majorHAnsi"/>
                <w:sz w:val="20"/>
                <w:szCs w:val="20"/>
              </w:rPr>
              <w:t xml:space="preserve"> violence</w:t>
            </w:r>
          </w:p>
        </w:tc>
        <w:tc>
          <w:tcPr>
            <w:tcW w:w="1196" w:type="dxa"/>
            <w:vAlign w:val="center"/>
          </w:tcPr>
          <w:p w14:paraId="4CCF7245"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4D5FA77E"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69A97239"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248FF2AA"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415D2432"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2D427419"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696CA611"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082BC2DB"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11DEF586" w14:textId="77777777" w:rsidR="00D9705F" w:rsidRPr="0079538B" w:rsidRDefault="00D9705F" w:rsidP="00901C62">
            <w:pPr>
              <w:spacing w:after="0"/>
              <w:jc w:val="center"/>
              <w:rPr>
                <w:rFonts w:asciiTheme="majorHAnsi" w:hAnsiTheme="majorHAnsi" w:cstheme="majorHAnsi"/>
                <w:b/>
                <w:bCs/>
                <w:sz w:val="20"/>
                <w:szCs w:val="20"/>
              </w:rPr>
            </w:pPr>
          </w:p>
        </w:tc>
        <w:tc>
          <w:tcPr>
            <w:tcW w:w="1088" w:type="dxa"/>
            <w:vAlign w:val="center"/>
          </w:tcPr>
          <w:p w14:paraId="317DBE5E" w14:textId="77777777" w:rsidR="00D9705F" w:rsidRPr="0079538B" w:rsidRDefault="00D9705F" w:rsidP="00901C62">
            <w:pPr>
              <w:spacing w:after="0"/>
              <w:jc w:val="center"/>
              <w:rPr>
                <w:rFonts w:asciiTheme="majorHAnsi" w:hAnsiTheme="majorHAnsi" w:cstheme="majorHAnsi"/>
                <w:b/>
                <w:bCs/>
                <w:sz w:val="20"/>
                <w:szCs w:val="20"/>
              </w:rPr>
            </w:pPr>
          </w:p>
        </w:tc>
      </w:tr>
      <w:tr w:rsidR="00D9705F" w:rsidRPr="00E12C13" w14:paraId="72C11F40" w14:textId="77777777" w:rsidTr="00D44087">
        <w:trPr>
          <w:trHeight w:val="422"/>
        </w:trPr>
        <w:tc>
          <w:tcPr>
            <w:tcW w:w="405" w:type="dxa"/>
            <w:vMerge w:val="restart"/>
            <w:shd w:val="clear" w:color="auto" w:fill="D9D9D9" w:themeFill="background1" w:themeFillShade="D9"/>
            <w:textDirection w:val="btLr"/>
          </w:tcPr>
          <w:p w14:paraId="64567506" w14:textId="77777777" w:rsidR="00D9705F" w:rsidRPr="008A1CBC" w:rsidRDefault="00D9705F" w:rsidP="701B9583">
            <w:pPr>
              <w:spacing w:after="0" w:line="240" w:lineRule="auto"/>
              <w:ind w:left="113" w:right="113"/>
              <w:jc w:val="center"/>
              <w:rPr>
                <w:b/>
                <w:sz w:val="21"/>
                <w:szCs w:val="21"/>
              </w:rPr>
            </w:pPr>
            <w:r w:rsidRPr="701B9583">
              <w:rPr>
                <w:b/>
                <w:sz w:val="21"/>
                <w:szCs w:val="21"/>
              </w:rPr>
              <w:t>Housing</w:t>
            </w:r>
          </w:p>
        </w:tc>
        <w:tc>
          <w:tcPr>
            <w:tcW w:w="1912" w:type="dxa"/>
            <w:vAlign w:val="center"/>
          </w:tcPr>
          <w:p w14:paraId="63D44C2E" w14:textId="0CB46B65" w:rsidR="00D9705F" w:rsidRPr="0079538B" w:rsidRDefault="00D9705F" w:rsidP="00901C62">
            <w:pPr>
              <w:spacing w:before="40" w:after="0"/>
              <w:rPr>
                <w:rFonts w:asciiTheme="majorHAnsi" w:hAnsiTheme="majorHAnsi" w:cstheme="majorHAnsi"/>
                <w:sz w:val="20"/>
                <w:szCs w:val="20"/>
              </w:rPr>
            </w:pPr>
            <w:r w:rsidRPr="0079538B">
              <w:rPr>
                <w:rFonts w:asciiTheme="majorHAnsi" w:hAnsiTheme="majorHAnsi" w:cstheme="majorHAnsi"/>
                <w:sz w:val="20"/>
                <w:szCs w:val="20"/>
              </w:rPr>
              <w:t>Housing stres</w:t>
            </w:r>
            <w:r w:rsidR="0011213A">
              <w:rPr>
                <w:rFonts w:asciiTheme="majorHAnsi" w:hAnsiTheme="majorHAnsi" w:cstheme="majorHAnsi"/>
                <w:sz w:val="20"/>
                <w:szCs w:val="20"/>
              </w:rPr>
              <w:t>s and</w:t>
            </w:r>
            <w:r w:rsidRPr="0079538B">
              <w:rPr>
                <w:rFonts w:asciiTheme="majorHAnsi" w:hAnsiTheme="majorHAnsi" w:cstheme="majorHAnsi"/>
                <w:sz w:val="20"/>
                <w:szCs w:val="20"/>
              </w:rPr>
              <w:t xml:space="preserve"> homelessness</w:t>
            </w:r>
          </w:p>
        </w:tc>
        <w:tc>
          <w:tcPr>
            <w:tcW w:w="1196" w:type="dxa"/>
            <w:vAlign w:val="center"/>
          </w:tcPr>
          <w:p w14:paraId="627B7B38" w14:textId="77777777" w:rsidR="00D9705F" w:rsidRPr="0079538B" w:rsidRDefault="00D9705F" w:rsidP="00901C62">
            <w:pPr>
              <w:spacing w:before="40" w:after="0"/>
              <w:jc w:val="center"/>
              <w:rPr>
                <w:rFonts w:asciiTheme="majorHAnsi" w:hAnsiTheme="majorHAnsi" w:cstheme="majorHAnsi"/>
                <w:b/>
                <w:bCs/>
                <w:sz w:val="20"/>
                <w:szCs w:val="20"/>
              </w:rPr>
            </w:pPr>
          </w:p>
        </w:tc>
        <w:tc>
          <w:tcPr>
            <w:tcW w:w="1197" w:type="dxa"/>
            <w:vAlign w:val="center"/>
          </w:tcPr>
          <w:p w14:paraId="3632EC82" w14:textId="77777777" w:rsidR="00D9705F" w:rsidRPr="0079538B" w:rsidRDefault="00D9705F" w:rsidP="00901C62">
            <w:pPr>
              <w:spacing w:before="40"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AA816E9" w14:textId="77777777" w:rsidR="00D9705F" w:rsidRPr="0079538B" w:rsidRDefault="00D9705F" w:rsidP="00901C62">
            <w:pPr>
              <w:spacing w:before="40" w:after="0"/>
              <w:jc w:val="center"/>
              <w:rPr>
                <w:rFonts w:asciiTheme="majorHAnsi" w:hAnsiTheme="majorHAnsi" w:cstheme="majorHAnsi"/>
                <w:b/>
                <w:bCs/>
                <w:sz w:val="20"/>
                <w:szCs w:val="20"/>
              </w:rPr>
            </w:pPr>
          </w:p>
        </w:tc>
        <w:tc>
          <w:tcPr>
            <w:tcW w:w="1197" w:type="dxa"/>
            <w:vAlign w:val="center"/>
          </w:tcPr>
          <w:p w14:paraId="7D83C0C2" w14:textId="77777777" w:rsidR="00D9705F" w:rsidRPr="0079538B" w:rsidRDefault="00D9705F" w:rsidP="00901C62">
            <w:pPr>
              <w:spacing w:before="40" w:after="0"/>
              <w:jc w:val="center"/>
              <w:rPr>
                <w:rFonts w:asciiTheme="majorHAnsi" w:hAnsiTheme="majorHAnsi" w:cstheme="majorHAnsi"/>
                <w:b/>
                <w:bCs/>
                <w:sz w:val="20"/>
                <w:szCs w:val="20"/>
              </w:rPr>
            </w:pPr>
          </w:p>
        </w:tc>
        <w:tc>
          <w:tcPr>
            <w:tcW w:w="1197" w:type="dxa"/>
            <w:vAlign w:val="center"/>
          </w:tcPr>
          <w:p w14:paraId="4286C3B2" w14:textId="77777777" w:rsidR="00D9705F" w:rsidRPr="0079538B" w:rsidRDefault="00D9705F" w:rsidP="00901C62">
            <w:pPr>
              <w:spacing w:before="40"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470E48D3" w14:textId="77777777" w:rsidR="00D9705F" w:rsidRPr="0079538B" w:rsidRDefault="00D9705F" w:rsidP="00901C62">
            <w:pPr>
              <w:spacing w:before="40" w:after="0"/>
              <w:jc w:val="center"/>
              <w:rPr>
                <w:rFonts w:asciiTheme="majorHAnsi" w:hAnsiTheme="majorHAnsi" w:cstheme="majorHAnsi"/>
                <w:b/>
                <w:bCs/>
                <w:sz w:val="20"/>
                <w:szCs w:val="20"/>
              </w:rPr>
            </w:pPr>
          </w:p>
        </w:tc>
        <w:tc>
          <w:tcPr>
            <w:tcW w:w="1197" w:type="dxa"/>
            <w:vAlign w:val="center"/>
          </w:tcPr>
          <w:p w14:paraId="0A0C933C" w14:textId="77777777" w:rsidR="00D9705F" w:rsidRPr="0079538B" w:rsidRDefault="00D9705F" w:rsidP="00901C62">
            <w:pPr>
              <w:spacing w:before="40" w:after="0"/>
              <w:jc w:val="center"/>
              <w:rPr>
                <w:rFonts w:asciiTheme="majorHAnsi" w:hAnsiTheme="majorHAnsi" w:cstheme="majorHAnsi"/>
                <w:b/>
                <w:bCs/>
                <w:sz w:val="20"/>
                <w:szCs w:val="20"/>
              </w:rPr>
            </w:pPr>
          </w:p>
        </w:tc>
        <w:tc>
          <w:tcPr>
            <w:tcW w:w="1197" w:type="dxa"/>
            <w:vAlign w:val="center"/>
          </w:tcPr>
          <w:p w14:paraId="1F790A57" w14:textId="77777777" w:rsidR="00D9705F" w:rsidRPr="0079538B" w:rsidRDefault="00D9705F" w:rsidP="00901C62">
            <w:pPr>
              <w:spacing w:before="40"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018E5F29" w14:textId="77777777" w:rsidR="00D9705F" w:rsidRPr="0079538B" w:rsidRDefault="00D9705F" w:rsidP="00901C62">
            <w:pPr>
              <w:spacing w:before="40" w:after="0"/>
              <w:jc w:val="center"/>
              <w:rPr>
                <w:rFonts w:asciiTheme="majorHAnsi" w:hAnsiTheme="majorHAnsi" w:cstheme="majorHAnsi"/>
                <w:b/>
                <w:bCs/>
                <w:sz w:val="20"/>
                <w:szCs w:val="20"/>
              </w:rPr>
            </w:pPr>
          </w:p>
        </w:tc>
        <w:tc>
          <w:tcPr>
            <w:tcW w:w="1088" w:type="dxa"/>
            <w:vAlign w:val="center"/>
          </w:tcPr>
          <w:p w14:paraId="4DE55A2C" w14:textId="77777777" w:rsidR="00D9705F" w:rsidRPr="0079538B" w:rsidRDefault="00D9705F" w:rsidP="00901C62">
            <w:pPr>
              <w:spacing w:before="40"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r>
      <w:tr w:rsidR="00D9705F" w:rsidRPr="00E12C13" w14:paraId="69532FC1" w14:textId="77777777" w:rsidTr="701B9583">
        <w:trPr>
          <w:trHeight w:val="422"/>
        </w:trPr>
        <w:tc>
          <w:tcPr>
            <w:tcW w:w="405" w:type="dxa"/>
            <w:vMerge/>
            <w:textDirection w:val="btLr"/>
          </w:tcPr>
          <w:p w14:paraId="75D8DAAD" w14:textId="77777777" w:rsidR="00D9705F" w:rsidRPr="00E12C13" w:rsidRDefault="00D9705F" w:rsidP="00901C62">
            <w:pPr>
              <w:spacing w:after="0"/>
              <w:ind w:left="113" w:right="113"/>
              <w:jc w:val="center"/>
              <w:rPr>
                <w:rFonts w:asciiTheme="majorHAnsi" w:hAnsiTheme="majorHAnsi" w:cstheme="majorHAnsi"/>
                <w:b/>
                <w:bCs/>
              </w:rPr>
            </w:pPr>
          </w:p>
        </w:tc>
        <w:tc>
          <w:tcPr>
            <w:tcW w:w="1912" w:type="dxa"/>
            <w:vAlign w:val="center"/>
          </w:tcPr>
          <w:p w14:paraId="1B4A0594" w14:textId="77777777" w:rsidR="00D9705F" w:rsidRPr="0079538B" w:rsidRDefault="00D9705F" w:rsidP="00901C62">
            <w:pPr>
              <w:spacing w:before="40" w:after="0"/>
              <w:rPr>
                <w:rFonts w:asciiTheme="majorHAnsi" w:hAnsiTheme="majorHAnsi" w:cstheme="majorHAnsi"/>
                <w:sz w:val="20"/>
                <w:szCs w:val="20"/>
              </w:rPr>
            </w:pPr>
            <w:r w:rsidRPr="0079538B">
              <w:rPr>
                <w:rFonts w:asciiTheme="majorHAnsi" w:hAnsiTheme="majorHAnsi" w:cstheme="majorHAnsi"/>
                <w:sz w:val="20"/>
                <w:szCs w:val="20"/>
              </w:rPr>
              <w:t>Housing upgrade</w:t>
            </w:r>
          </w:p>
        </w:tc>
        <w:tc>
          <w:tcPr>
            <w:tcW w:w="1196" w:type="dxa"/>
            <w:vAlign w:val="center"/>
          </w:tcPr>
          <w:p w14:paraId="01C4B372" w14:textId="77777777" w:rsidR="00D9705F" w:rsidRPr="0079538B" w:rsidRDefault="00D9705F" w:rsidP="00901C62">
            <w:pPr>
              <w:spacing w:before="40" w:after="0"/>
              <w:jc w:val="center"/>
              <w:rPr>
                <w:rFonts w:asciiTheme="majorHAnsi" w:hAnsiTheme="majorHAnsi" w:cstheme="majorHAnsi"/>
                <w:b/>
                <w:bCs/>
                <w:sz w:val="20"/>
                <w:szCs w:val="20"/>
              </w:rPr>
            </w:pPr>
          </w:p>
        </w:tc>
        <w:tc>
          <w:tcPr>
            <w:tcW w:w="1197" w:type="dxa"/>
            <w:vAlign w:val="center"/>
          </w:tcPr>
          <w:p w14:paraId="7224C420" w14:textId="77777777" w:rsidR="00D9705F" w:rsidRPr="0079538B" w:rsidRDefault="00D9705F" w:rsidP="00901C62">
            <w:pPr>
              <w:spacing w:before="40"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0784E3CF" w14:textId="77777777" w:rsidR="00D9705F" w:rsidRPr="0079538B" w:rsidRDefault="00D9705F" w:rsidP="00901C62">
            <w:pPr>
              <w:spacing w:before="40" w:after="0"/>
              <w:jc w:val="center"/>
              <w:rPr>
                <w:rFonts w:asciiTheme="majorHAnsi" w:hAnsiTheme="majorHAnsi" w:cstheme="majorHAnsi"/>
                <w:b/>
                <w:bCs/>
                <w:sz w:val="20"/>
                <w:szCs w:val="20"/>
              </w:rPr>
            </w:pPr>
          </w:p>
        </w:tc>
        <w:tc>
          <w:tcPr>
            <w:tcW w:w="1197" w:type="dxa"/>
            <w:vAlign w:val="center"/>
          </w:tcPr>
          <w:p w14:paraId="10244110" w14:textId="77777777" w:rsidR="00D9705F" w:rsidRPr="0079538B" w:rsidRDefault="00D9705F" w:rsidP="00901C62">
            <w:pPr>
              <w:spacing w:before="40" w:after="0"/>
              <w:jc w:val="center"/>
              <w:rPr>
                <w:rFonts w:asciiTheme="majorHAnsi" w:hAnsiTheme="majorHAnsi" w:cstheme="majorHAnsi"/>
                <w:b/>
                <w:bCs/>
                <w:sz w:val="20"/>
                <w:szCs w:val="20"/>
              </w:rPr>
            </w:pPr>
          </w:p>
        </w:tc>
        <w:tc>
          <w:tcPr>
            <w:tcW w:w="1197" w:type="dxa"/>
            <w:vAlign w:val="center"/>
          </w:tcPr>
          <w:p w14:paraId="59E0B384" w14:textId="77777777" w:rsidR="00D9705F" w:rsidRPr="0079538B" w:rsidRDefault="00D9705F" w:rsidP="00901C62">
            <w:pPr>
              <w:spacing w:before="40" w:after="0"/>
              <w:jc w:val="center"/>
              <w:rPr>
                <w:rFonts w:asciiTheme="majorHAnsi" w:hAnsiTheme="majorHAnsi" w:cstheme="majorHAnsi"/>
                <w:b/>
                <w:bCs/>
                <w:sz w:val="20"/>
                <w:szCs w:val="20"/>
              </w:rPr>
            </w:pPr>
          </w:p>
        </w:tc>
        <w:tc>
          <w:tcPr>
            <w:tcW w:w="1197" w:type="dxa"/>
            <w:vAlign w:val="center"/>
          </w:tcPr>
          <w:p w14:paraId="1C53AB58" w14:textId="77777777" w:rsidR="00D9705F" w:rsidRPr="0079538B" w:rsidRDefault="00D9705F" w:rsidP="00901C62">
            <w:pPr>
              <w:spacing w:before="40" w:after="0"/>
              <w:jc w:val="center"/>
              <w:rPr>
                <w:rFonts w:asciiTheme="majorHAnsi" w:hAnsiTheme="majorHAnsi" w:cstheme="majorHAnsi"/>
                <w:b/>
                <w:bCs/>
                <w:sz w:val="20"/>
                <w:szCs w:val="20"/>
              </w:rPr>
            </w:pPr>
          </w:p>
        </w:tc>
        <w:tc>
          <w:tcPr>
            <w:tcW w:w="1197" w:type="dxa"/>
            <w:vAlign w:val="center"/>
          </w:tcPr>
          <w:p w14:paraId="50E10105" w14:textId="77777777" w:rsidR="00D9705F" w:rsidRPr="0079538B" w:rsidRDefault="00D9705F" w:rsidP="00901C62">
            <w:pPr>
              <w:spacing w:before="40"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62F1038B" w14:textId="77777777" w:rsidR="00D9705F" w:rsidRPr="0079538B" w:rsidRDefault="00D9705F" w:rsidP="00901C62">
            <w:pPr>
              <w:spacing w:before="40"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321C675" w14:textId="77777777" w:rsidR="00D9705F" w:rsidRPr="0079538B" w:rsidRDefault="00D9705F" w:rsidP="00901C62">
            <w:pPr>
              <w:spacing w:before="40"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088" w:type="dxa"/>
            <w:vAlign w:val="center"/>
          </w:tcPr>
          <w:p w14:paraId="51C763F9" w14:textId="77777777" w:rsidR="00D9705F" w:rsidRPr="0079538B" w:rsidRDefault="00D9705F" w:rsidP="00901C62">
            <w:pPr>
              <w:spacing w:before="40"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r>
      <w:tr w:rsidR="00D9705F" w:rsidRPr="00E12C13" w14:paraId="222A8F69" w14:textId="77777777" w:rsidTr="00D44087">
        <w:trPr>
          <w:trHeight w:val="380"/>
        </w:trPr>
        <w:tc>
          <w:tcPr>
            <w:tcW w:w="405" w:type="dxa"/>
            <w:vMerge w:val="restart"/>
            <w:shd w:val="clear" w:color="auto" w:fill="D9D9D9" w:themeFill="background1" w:themeFillShade="D9"/>
            <w:textDirection w:val="btLr"/>
          </w:tcPr>
          <w:p w14:paraId="375BF952" w14:textId="25D45788" w:rsidR="00D9705F" w:rsidRPr="008A1CBC" w:rsidRDefault="00D9705F" w:rsidP="701B9583">
            <w:pPr>
              <w:spacing w:after="0" w:line="240" w:lineRule="auto"/>
              <w:ind w:left="113" w:right="113"/>
              <w:jc w:val="both"/>
              <w:rPr>
                <w:b/>
                <w:sz w:val="21"/>
                <w:szCs w:val="21"/>
              </w:rPr>
            </w:pPr>
            <w:r w:rsidRPr="701B9583">
              <w:rPr>
                <w:b/>
                <w:sz w:val="21"/>
                <w:szCs w:val="21"/>
              </w:rPr>
              <w:t>Liveability</w:t>
            </w:r>
          </w:p>
        </w:tc>
        <w:tc>
          <w:tcPr>
            <w:tcW w:w="1912" w:type="dxa"/>
            <w:vAlign w:val="center"/>
          </w:tcPr>
          <w:p w14:paraId="5E78A271" w14:textId="61BFA2D2" w:rsidR="00D9705F" w:rsidRPr="0079538B" w:rsidRDefault="00D9705F" w:rsidP="00901C62">
            <w:pPr>
              <w:spacing w:after="0"/>
              <w:rPr>
                <w:rFonts w:asciiTheme="majorHAnsi" w:hAnsiTheme="majorHAnsi" w:cstheme="majorHAnsi"/>
                <w:sz w:val="20"/>
                <w:szCs w:val="20"/>
              </w:rPr>
            </w:pPr>
            <w:r w:rsidRPr="0079538B">
              <w:rPr>
                <w:rFonts w:asciiTheme="majorHAnsi" w:hAnsiTheme="majorHAnsi" w:cstheme="majorHAnsi"/>
                <w:sz w:val="20"/>
                <w:szCs w:val="20"/>
              </w:rPr>
              <w:t>Mobility</w:t>
            </w:r>
            <w:r w:rsidR="0037743D">
              <w:rPr>
                <w:rFonts w:asciiTheme="majorHAnsi" w:hAnsiTheme="majorHAnsi" w:cstheme="majorHAnsi"/>
                <w:sz w:val="20"/>
                <w:szCs w:val="20"/>
              </w:rPr>
              <w:t>/</w:t>
            </w:r>
            <w:r w:rsidRPr="0079538B">
              <w:rPr>
                <w:rFonts w:asciiTheme="majorHAnsi" w:hAnsiTheme="majorHAnsi" w:cstheme="majorHAnsi"/>
                <w:sz w:val="20"/>
                <w:szCs w:val="20"/>
              </w:rPr>
              <w:t>accessibility</w:t>
            </w:r>
          </w:p>
        </w:tc>
        <w:tc>
          <w:tcPr>
            <w:tcW w:w="1196" w:type="dxa"/>
            <w:vAlign w:val="center"/>
          </w:tcPr>
          <w:p w14:paraId="54FCB938"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7E5A6FF5"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6E86094E"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271FE68E"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0DDC9AC0"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63295DF6"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450698A2"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291A58C4"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72CC2FD7" w14:textId="77777777" w:rsidR="00D9705F" w:rsidRPr="0079538B" w:rsidRDefault="00D9705F" w:rsidP="00901C62">
            <w:pPr>
              <w:spacing w:after="0"/>
              <w:jc w:val="center"/>
              <w:rPr>
                <w:rFonts w:asciiTheme="majorHAnsi" w:hAnsiTheme="majorHAnsi" w:cstheme="majorHAnsi"/>
                <w:b/>
                <w:bCs/>
                <w:sz w:val="20"/>
                <w:szCs w:val="20"/>
              </w:rPr>
            </w:pPr>
          </w:p>
        </w:tc>
        <w:tc>
          <w:tcPr>
            <w:tcW w:w="1088" w:type="dxa"/>
            <w:vAlign w:val="center"/>
          </w:tcPr>
          <w:p w14:paraId="1E5446BD"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r>
      <w:tr w:rsidR="00D9705F" w:rsidRPr="00E12C13" w14:paraId="14D370B2" w14:textId="77777777" w:rsidTr="701B9583">
        <w:trPr>
          <w:trHeight w:val="483"/>
        </w:trPr>
        <w:tc>
          <w:tcPr>
            <w:tcW w:w="405" w:type="dxa"/>
            <w:vMerge/>
          </w:tcPr>
          <w:p w14:paraId="55CC8550" w14:textId="77777777" w:rsidR="00D9705F" w:rsidRPr="00E12C13" w:rsidRDefault="00D9705F" w:rsidP="00901C62">
            <w:pPr>
              <w:spacing w:after="0"/>
              <w:rPr>
                <w:rFonts w:asciiTheme="majorHAnsi" w:hAnsiTheme="majorHAnsi" w:cstheme="majorHAnsi"/>
              </w:rPr>
            </w:pPr>
          </w:p>
        </w:tc>
        <w:tc>
          <w:tcPr>
            <w:tcW w:w="1912" w:type="dxa"/>
            <w:vAlign w:val="center"/>
          </w:tcPr>
          <w:p w14:paraId="7C25039E" w14:textId="77777777" w:rsidR="00C53183" w:rsidRDefault="00D9705F" w:rsidP="00901C62">
            <w:pPr>
              <w:spacing w:after="0"/>
              <w:rPr>
                <w:rFonts w:asciiTheme="majorHAnsi" w:hAnsiTheme="majorHAnsi" w:cstheme="majorHAnsi"/>
                <w:sz w:val="20"/>
                <w:szCs w:val="20"/>
              </w:rPr>
            </w:pPr>
            <w:r w:rsidRPr="0079538B">
              <w:rPr>
                <w:rFonts w:asciiTheme="majorHAnsi" w:hAnsiTheme="majorHAnsi" w:cstheme="majorHAnsi"/>
                <w:sz w:val="20"/>
                <w:szCs w:val="20"/>
              </w:rPr>
              <w:t>Neighbourhood</w:t>
            </w:r>
            <w:r w:rsidR="00C53183">
              <w:rPr>
                <w:rFonts w:asciiTheme="majorHAnsi" w:hAnsiTheme="majorHAnsi" w:cstheme="majorHAnsi"/>
                <w:sz w:val="20"/>
                <w:szCs w:val="20"/>
              </w:rPr>
              <w:t>/</w:t>
            </w:r>
          </w:p>
          <w:p w14:paraId="2223238F" w14:textId="39C95740" w:rsidR="00D9705F" w:rsidRPr="0079538B" w:rsidRDefault="00C53183" w:rsidP="00901C62">
            <w:pPr>
              <w:spacing w:after="0"/>
              <w:rPr>
                <w:rFonts w:asciiTheme="majorHAnsi" w:hAnsiTheme="majorHAnsi" w:cstheme="majorHAnsi"/>
                <w:sz w:val="20"/>
                <w:szCs w:val="20"/>
              </w:rPr>
            </w:pPr>
            <w:r>
              <w:rPr>
                <w:rFonts w:asciiTheme="majorHAnsi" w:hAnsiTheme="majorHAnsi" w:cstheme="majorHAnsi"/>
                <w:sz w:val="20"/>
                <w:szCs w:val="20"/>
              </w:rPr>
              <w:t>place</w:t>
            </w:r>
            <w:r w:rsidR="00D9705F" w:rsidRPr="0079538B">
              <w:rPr>
                <w:rFonts w:asciiTheme="majorHAnsi" w:hAnsiTheme="majorHAnsi" w:cstheme="majorHAnsi"/>
                <w:sz w:val="20"/>
                <w:szCs w:val="20"/>
              </w:rPr>
              <w:t xml:space="preserve"> revitalisation</w:t>
            </w:r>
          </w:p>
        </w:tc>
        <w:tc>
          <w:tcPr>
            <w:tcW w:w="1196" w:type="dxa"/>
            <w:vAlign w:val="center"/>
          </w:tcPr>
          <w:p w14:paraId="3917E217"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64496E96"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70244F59"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3C0507E3"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280C615D"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7DFFF4B6"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5F5BF8B4"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666104B4"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32FE5C23"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088" w:type="dxa"/>
            <w:vAlign w:val="center"/>
          </w:tcPr>
          <w:p w14:paraId="63217006"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r>
      <w:tr w:rsidR="00D9705F" w:rsidRPr="00E12C13" w14:paraId="1FF923D6" w14:textId="77777777" w:rsidTr="701B9583">
        <w:trPr>
          <w:trHeight w:val="345"/>
        </w:trPr>
        <w:tc>
          <w:tcPr>
            <w:tcW w:w="405" w:type="dxa"/>
            <w:vMerge/>
          </w:tcPr>
          <w:p w14:paraId="0E972054" w14:textId="77777777" w:rsidR="00D9705F" w:rsidRPr="00E12C13" w:rsidRDefault="00D9705F" w:rsidP="00901C62">
            <w:pPr>
              <w:spacing w:after="0"/>
              <w:rPr>
                <w:rFonts w:asciiTheme="majorHAnsi" w:hAnsiTheme="majorHAnsi" w:cstheme="majorHAnsi"/>
              </w:rPr>
            </w:pPr>
          </w:p>
        </w:tc>
        <w:tc>
          <w:tcPr>
            <w:tcW w:w="1912" w:type="dxa"/>
            <w:vAlign w:val="center"/>
          </w:tcPr>
          <w:p w14:paraId="56BFEAD1" w14:textId="77777777" w:rsidR="00D9705F" w:rsidRPr="0079538B" w:rsidRDefault="00D9705F" w:rsidP="00901C62">
            <w:pPr>
              <w:spacing w:after="0"/>
              <w:rPr>
                <w:rFonts w:asciiTheme="majorHAnsi" w:hAnsiTheme="majorHAnsi" w:cstheme="majorHAnsi"/>
                <w:sz w:val="20"/>
                <w:szCs w:val="20"/>
              </w:rPr>
            </w:pPr>
            <w:r w:rsidRPr="0079538B">
              <w:rPr>
                <w:rFonts w:asciiTheme="majorHAnsi" w:hAnsiTheme="majorHAnsi" w:cstheme="majorHAnsi"/>
                <w:sz w:val="20"/>
                <w:szCs w:val="20"/>
              </w:rPr>
              <w:t>Social isolation</w:t>
            </w:r>
          </w:p>
        </w:tc>
        <w:tc>
          <w:tcPr>
            <w:tcW w:w="1196" w:type="dxa"/>
            <w:vAlign w:val="center"/>
          </w:tcPr>
          <w:p w14:paraId="1BA02586"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69CC5819"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F5CAFCA"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01D0CA21"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41E6FD20"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558983C0"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17904667"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14E9953E"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600F2B5C"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088" w:type="dxa"/>
            <w:vAlign w:val="center"/>
          </w:tcPr>
          <w:p w14:paraId="40FF5F55"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r>
      <w:tr w:rsidR="00D9705F" w:rsidRPr="00E12C13" w14:paraId="4BF5169B" w14:textId="77777777" w:rsidTr="701B9583">
        <w:trPr>
          <w:trHeight w:val="345"/>
        </w:trPr>
        <w:tc>
          <w:tcPr>
            <w:tcW w:w="405" w:type="dxa"/>
            <w:vMerge/>
          </w:tcPr>
          <w:p w14:paraId="33E0880F" w14:textId="77777777" w:rsidR="00D9705F" w:rsidRPr="00E12C13" w:rsidRDefault="00D9705F" w:rsidP="00901C62">
            <w:pPr>
              <w:spacing w:after="0"/>
              <w:rPr>
                <w:rFonts w:asciiTheme="majorHAnsi" w:hAnsiTheme="majorHAnsi" w:cstheme="majorHAnsi"/>
              </w:rPr>
            </w:pPr>
          </w:p>
        </w:tc>
        <w:tc>
          <w:tcPr>
            <w:tcW w:w="1912" w:type="dxa"/>
            <w:vAlign w:val="center"/>
          </w:tcPr>
          <w:p w14:paraId="47D06D95" w14:textId="77777777" w:rsidR="00D9705F" w:rsidRPr="0079538B" w:rsidRDefault="00D9705F" w:rsidP="00901C62">
            <w:pPr>
              <w:spacing w:after="0"/>
              <w:rPr>
                <w:rFonts w:asciiTheme="majorHAnsi" w:hAnsiTheme="majorHAnsi" w:cstheme="majorHAnsi"/>
                <w:sz w:val="20"/>
                <w:szCs w:val="20"/>
              </w:rPr>
            </w:pPr>
            <w:r w:rsidRPr="0079538B">
              <w:rPr>
                <w:rFonts w:asciiTheme="majorHAnsi" w:hAnsiTheme="majorHAnsi" w:cstheme="majorHAnsi"/>
                <w:sz w:val="20"/>
                <w:szCs w:val="20"/>
              </w:rPr>
              <w:t>Place-based stigma</w:t>
            </w:r>
          </w:p>
        </w:tc>
        <w:tc>
          <w:tcPr>
            <w:tcW w:w="1196" w:type="dxa"/>
            <w:vAlign w:val="center"/>
          </w:tcPr>
          <w:p w14:paraId="2208C792"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45DCE8BB"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46D92CB8"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14956012"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4193421E" w14:textId="77777777" w:rsidR="00D9705F" w:rsidRPr="0079538B" w:rsidRDefault="00D9705F" w:rsidP="00901C62">
            <w:pPr>
              <w:spacing w:after="0"/>
              <w:jc w:val="center"/>
              <w:rPr>
                <w:rFonts w:asciiTheme="majorHAnsi" w:hAnsiTheme="majorHAnsi" w:cstheme="majorHAnsi"/>
                <w:b/>
                <w:bCs/>
                <w:sz w:val="20"/>
                <w:szCs w:val="20"/>
              </w:rPr>
            </w:pPr>
          </w:p>
        </w:tc>
        <w:tc>
          <w:tcPr>
            <w:tcW w:w="1197" w:type="dxa"/>
            <w:vAlign w:val="center"/>
          </w:tcPr>
          <w:p w14:paraId="495C5FDA"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77D5F7B2"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668C6F22"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197" w:type="dxa"/>
            <w:vAlign w:val="center"/>
          </w:tcPr>
          <w:p w14:paraId="349054C7" w14:textId="77777777" w:rsidR="00D9705F" w:rsidRPr="0079538B" w:rsidRDefault="00D9705F" w:rsidP="00901C62">
            <w:pPr>
              <w:spacing w:after="0"/>
              <w:jc w:val="center"/>
              <w:rPr>
                <w:rFonts w:asciiTheme="majorHAnsi" w:hAnsiTheme="majorHAnsi" w:cstheme="majorHAnsi"/>
                <w:b/>
                <w:bCs/>
                <w:sz w:val="20"/>
                <w:szCs w:val="20"/>
              </w:rPr>
            </w:pPr>
            <w:r w:rsidRPr="0079538B">
              <w:rPr>
                <w:rFonts w:asciiTheme="majorHAnsi" w:hAnsiTheme="majorHAnsi" w:cstheme="majorHAnsi"/>
                <w:b/>
                <w:bCs/>
                <w:sz w:val="20"/>
                <w:szCs w:val="20"/>
                <w:lang w:val="en-US"/>
              </w:rPr>
              <w:t>*</w:t>
            </w:r>
          </w:p>
        </w:tc>
        <w:tc>
          <w:tcPr>
            <w:tcW w:w="1088" w:type="dxa"/>
            <w:vAlign w:val="center"/>
          </w:tcPr>
          <w:p w14:paraId="20111F93" w14:textId="77777777" w:rsidR="00D9705F" w:rsidRPr="0079538B" w:rsidRDefault="00D9705F" w:rsidP="00901C62">
            <w:pPr>
              <w:spacing w:after="0"/>
              <w:jc w:val="center"/>
              <w:rPr>
                <w:rFonts w:asciiTheme="majorHAnsi" w:hAnsiTheme="majorHAnsi" w:cstheme="majorHAnsi"/>
                <w:b/>
                <w:bCs/>
                <w:sz w:val="20"/>
                <w:szCs w:val="20"/>
              </w:rPr>
            </w:pPr>
          </w:p>
        </w:tc>
      </w:tr>
    </w:tbl>
    <w:p w14:paraId="63F11B9C" w14:textId="027FAE4B" w:rsidR="0074757D" w:rsidRDefault="007543E2" w:rsidP="6A3610E4">
      <w:pPr>
        <w:rPr>
          <w:b/>
          <w:bCs/>
          <w:sz w:val="21"/>
          <w:szCs w:val="21"/>
          <w:lang w:val="en-GB"/>
        </w:rPr>
      </w:pPr>
      <w:r w:rsidRPr="6A3610E4">
        <w:rPr>
          <w:rFonts w:eastAsia="Times New Roman"/>
          <w:b/>
          <w:bCs/>
          <w:sz w:val="21"/>
          <w:szCs w:val="21"/>
        </w:rPr>
        <w:t>Table 9.</w:t>
      </w:r>
      <w:r w:rsidR="57C3142D" w:rsidRPr="6A3610E4">
        <w:rPr>
          <w:rFonts w:eastAsia="Times New Roman"/>
          <w:b/>
          <w:bCs/>
          <w:sz w:val="21"/>
          <w:szCs w:val="21"/>
        </w:rPr>
        <w:t>1</w:t>
      </w:r>
      <w:r w:rsidRPr="6A3610E4">
        <w:rPr>
          <w:rFonts w:eastAsia="Times New Roman"/>
          <w:b/>
          <w:bCs/>
          <w:sz w:val="21"/>
          <w:szCs w:val="21"/>
        </w:rPr>
        <w:t xml:space="preserve">: </w:t>
      </w:r>
      <w:r w:rsidR="00AC141B" w:rsidRPr="6A3610E4">
        <w:rPr>
          <w:rFonts w:eastAsia="Times New Roman"/>
          <w:b/>
          <w:bCs/>
          <w:sz w:val="21"/>
          <w:szCs w:val="21"/>
        </w:rPr>
        <w:t xml:space="preserve">Report </w:t>
      </w:r>
      <w:r w:rsidRPr="6A3610E4">
        <w:rPr>
          <w:rFonts w:eastAsia="Times New Roman"/>
          <w:b/>
          <w:bCs/>
          <w:sz w:val="21"/>
          <w:szCs w:val="21"/>
        </w:rPr>
        <w:t xml:space="preserve">Recommendations: Mapping </w:t>
      </w:r>
      <w:r w:rsidR="002F7023" w:rsidRPr="6A3610E4">
        <w:rPr>
          <w:rFonts w:eastAsia="Times New Roman"/>
          <w:b/>
          <w:bCs/>
          <w:sz w:val="21"/>
          <w:szCs w:val="21"/>
        </w:rPr>
        <w:t xml:space="preserve">the </w:t>
      </w:r>
      <w:r w:rsidRPr="6A3610E4">
        <w:rPr>
          <w:b/>
          <w:bCs/>
          <w:sz w:val="21"/>
          <w:szCs w:val="21"/>
          <w:lang w:val="en-GB"/>
        </w:rPr>
        <w:t xml:space="preserve">14 Priority Areas Against </w:t>
      </w:r>
      <w:r w:rsidR="002F7023" w:rsidRPr="6A3610E4">
        <w:rPr>
          <w:b/>
          <w:bCs/>
          <w:sz w:val="21"/>
          <w:szCs w:val="21"/>
          <w:lang w:val="en-GB"/>
        </w:rPr>
        <w:t xml:space="preserve">the </w:t>
      </w:r>
      <w:r w:rsidRPr="6A3610E4">
        <w:rPr>
          <w:b/>
          <w:bCs/>
          <w:sz w:val="21"/>
          <w:szCs w:val="21"/>
          <w:lang w:val="en-GB"/>
        </w:rPr>
        <w:t>10 Proposed Initiatives</w:t>
      </w:r>
    </w:p>
    <w:p w14:paraId="68CD25CE" w14:textId="6A72E60C" w:rsidR="701B9583" w:rsidRDefault="701B9583">
      <w:r>
        <w:lastRenderedPageBreak/>
        <w:br w:type="page"/>
      </w:r>
    </w:p>
    <w:tbl>
      <w:tblPr>
        <w:tblStyle w:val="TableGrid"/>
        <w:tblW w:w="14575" w:type="dxa"/>
        <w:tblLook w:val="04A0" w:firstRow="1" w:lastRow="0" w:firstColumn="1" w:lastColumn="0" w:noHBand="0" w:noVBand="1"/>
      </w:tblPr>
      <w:tblGrid>
        <w:gridCol w:w="14575"/>
      </w:tblGrid>
      <w:tr w:rsidR="006546F7" w14:paraId="1FB383F2" w14:textId="77777777" w:rsidTr="778E395A">
        <w:tc>
          <w:tcPr>
            <w:tcW w:w="14575" w:type="dxa"/>
            <w:shd w:val="clear" w:color="auto" w:fill="AEAAAA" w:themeFill="background2" w:themeFillShade="BF"/>
          </w:tcPr>
          <w:p w14:paraId="3998C58D" w14:textId="77777777" w:rsidR="006546F7" w:rsidRPr="00601904" w:rsidRDefault="006546F7" w:rsidP="00901C62">
            <w:pPr>
              <w:spacing w:after="0" w:line="257" w:lineRule="auto"/>
              <w:rPr>
                <w:rFonts w:eastAsiaTheme="majorEastAsia" w:cstheme="majorBidi"/>
                <w:b/>
                <w:bCs/>
                <w:sz w:val="4"/>
                <w:szCs w:val="4"/>
                <w:lang w:val="en-GB"/>
              </w:rPr>
            </w:pPr>
          </w:p>
          <w:p w14:paraId="34DF980D" w14:textId="77777777" w:rsidR="006546F7" w:rsidRDefault="006546F7" w:rsidP="00901C62">
            <w:pPr>
              <w:spacing w:after="0" w:line="257" w:lineRule="auto"/>
              <w:rPr>
                <w:rFonts w:eastAsiaTheme="majorEastAsia" w:cstheme="majorBidi"/>
                <w:b/>
                <w:bCs/>
                <w:lang w:val="en-GB"/>
              </w:rPr>
            </w:pPr>
            <w:r w:rsidRPr="00C3341B">
              <w:rPr>
                <w:rFonts w:eastAsiaTheme="majorEastAsia" w:cstheme="majorBidi"/>
                <w:b/>
                <w:bCs/>
                <w:lang w:val="en-GB"/>
              </w:rPr>
              <w:t>ENGAGEMENT</w:t>
            </w:r>
          </w:p>
          <w:p w14:paraId="00D8FECC" w14:textId="77777777" w:rsidR="006546F7" w:rsidRPr="00601904" w:rsidRDefault="006546F7" w:rsidP="00901C62">
            <w:pPr>
              <w:spacing w:after="0" w:line="257" w:lineRule="auto"/>
              <w:rPr>
                <w:rFonts w:eastAsiaTheme="majorEastAsia" w:cstheme="majorBidi"/>
                <w:b/>
                <w:bCs/>
                <w:sz w:val="4"/>
                <w:szCs w:val="4"/>
                <w:lang w:val="en-GB"/>
              </w:rPr>
            </w:pPr>
          </w:p>
        </w:tc>
      </w:tr>
      <w:tr w:rsidR="006546F7" w14:paraId="1FB0FA90" w14:textId="77777777" w:rsidTr="778E395A">
        <w:tc>
          <w:tcPr>
            <w:tcW w:w="14575" w:type="dxa"/>
          </w:tcPr>
          <w:p w14:paraId="44D9985B" w14:textId="77777777" w:rsidR="006546F7" w:rsidRPr="00C3341B" w:rsidRDefault="006546F7" w:rsidP="00901C62">
            <w:pPr>
              <w:spacing w:after="0" w:line="257" w:lineRule="auto"/>
              <w:rPr>
                <w:rFonts w:asciiTheme="majorHAnsi" w:eastAsia="Calibri Light" w:hAnsiTheme="majorHAnsi" w:cs="Calibri Light"/>
                <w:b/>
                <w:bCs/>
                <w:lang w:val="en-GB"/>
              </w:rPr>
            </w:pPr>
            <w:r w:rsidRPr="00C3341B">
              <w:rPr>
                <w:rFonts w:eastAsia="Calibri Light" w:cs="Calibri Light"/>
                <w:b/>
                <w:bCs/>
                <w:lang w:val="en-GB"/>
              </w:rPr>
              <w:t xml:space="preserve">Priority: </w:t>
            </w:r>
            <w:r w:rsidRPr="00C3341B">
              <w:rPr>
                <w:rFonts w:asciiTheme="majorHAnsi" w:eastAsia="Calibri Light" w:hAnsiTheme="majorHAnsi" w:cs="Calibri Light"/>
                <w:lang w:val="en-GB"/>
              </w:rPr>
              <w:t>Meaningful</w:t>
            </w:r>
            <w:r>
              <w:rPr>
                <w:rFonts w:asciiTheme="majorHAnsi" w:eastAsia="Calibri Light" w:hAnsiTheme="majorHAnsi" w:cs="Calibri Light"/>
                <w:lang w:val="en-GB"/>
              </w:rPr>
              <w:t>, c</w:t>
            </w:r>
            <w:r w:rsidRPr="00C3341B">
              <w:rPr>
                <w:rFonts w:asciiTheme="majorHAnsi" w:eastAsia="Calibri Light" w:hAnsiTheme="majorHAnsi" w:cs="Calibri Light"/>
                <w:lang w:val="en-GB"/>
              </w:rPr>
              <w:t>ollaborative</w:t>
            </w:r>
            <w:r>
              <w:rPr>
                <w:rFonts w:asciiTheme="majorHAnsi" w:eastAsia="Calibri Light" w:hAnsiTheme="majorHAnsi" w:cs="Calibri Light"/>
                <w:lang w:val="en-GB"/>
              </w:rPr>
              <w:t>,</w:t>
            </w:r>
            <w:r w:rsidRPr="00C3341B">
              <w:rPr>
                <w:rFonts w:asciiTheme="majorHAnsi" w:eastAsia="Calibri Light" w:hAnsiTheme="majorHAnsi" w:cs="Calibri Light"/>
                <w:lang w:val="en-GB"/>
              </w:rPr>
              <w:t xml:space="preserve"> </w:t>
            </w:r>
            <w:r>
              <w:rPr>
                <w:rFonts w:asciiTheme="majorHAnsi" w:eastAsia="Calibri Light" w:hAnsiTheme="majorHAnsi" w:cs="Calibri Light"/>
                <w:lang w:val="en-GB"/>
              </w:rPr>
              <w:t xml:space="preserve">and </w:t>
            </w:r>
            <w:r w:rsidRPr="00C3341B">
              <w:rPr>
                <w:rFonts w:asciiTheme="majorHAnsi" w:eastAsia="Calibri Light" w:hAnsiTheme="majorHAnsi" w:cs="Calibri Light"/>
                <w:lang w:val="en-GB"/>
              </w:rPr>
              <w:t xml:space="preserve">genuinely </w:t>
            </w:r>
            <w:r>
              <w:rPr>
                <w:rFonts w:asciiTheme="majorHAnsi" w:eastAsia="Calibri Light" w:hAnsiTheme="majorHAnsi" w:cs="Calibri Light"/>
                <w:lang w:val="en-GB"/>
              </w:rPr>
              <w:t xml:space="preserve">participatory </w:t>
            </w:r>
            <w:r w:rsidRPr="00C3341B">
              <w:rPr>
                <w:rFonts w:asciiTheme="majorHAnsi" w:eastAsia="Calibri Light" w:hAnsiTheme="majorHAnsi" w:cs="Calibri Light"/>
                <w:lang w:val="en-GB"/>
              </w:rPr>
              <w:t>community engagement</w:t>
            </w:r>
            <w:r>
              <w:rPr>
                <w:rFonts w:asciiTheme="majorHAnsi" w:eastAsia="Calibri Light" w:hAnsiTheme="majorHAnsi" w:cs="Calibri Light"/>
                <w:lang w:val="en-GB"/>
              </w:rPr>
              <w:t xml:space="preserve"> to identify, design, and implement future initiatives</w:t>
            </w:r>
          </w:p>
          <w:p w14:paraId="6AB6BE4D" w14:textId="77777777" w:rsidR="006546F7" w:rsidRPr="000B2F34" w:rsidRDefault="006546F7" w:rsidP="00901C62">
            <w:pPr>
              <w:spacing w:after="0" w:line="257" w:lineRule="auto"/>
              <w:rPr>
                <w:rFonts w:eastAsiaTheme="majorEastAsia" w:cstheme="majorBidi"/>
                <w:b/>
                <w:bCs/>
                <w:lang w:val="en-GB"/>
              </w:rPr>
            </w:pPr>
            <w:r w:rsidRPr="00C3341B">
              <w:rPr>
                <w:rFonts w:eastAsia="Calibri Light" w:cs="Calibri Light"/>
                <w:b/>
                <w:bCs/>
                <w:lang w:val="en-GB"/>
              </w:rPr>
              <w:t>Relevant Policy:</w:t>
            </w:r>
            <w:r w:rsidRPr="00C3341B">
              <w:rPr>
                <w:rFonts w:ascii="Calibri Light" w:eastAsia="Calibri Light" w:hAnsi="Calibri Light" w:cs="Calibri Light"/>
                <w:lang w:val="en-GB"/>
              </w:rPr>
              <w:t xml:space="preserve"> </w:t>
            </w:r>
            <w:r>
              <w:rPr>
                <w:rFonts w:ascii="Calibri Light" w:eastAsia="Calibri Light" w:hAnsi="Calibri Light" w:cs="Calibri Light"/>
                <w:lang w:val="en-GB"/>
              </w:rPr>
              <w:t>CoGG</w:t>
            </w:r>
            <w:r w:rsidRPr="00DE1953">
              <w:rPr>
                <w:rFonts w:ascii="Calibri Light" w:eastAsia="Calibri Light" w:hAnsi="Calibri Light" w:cs="Calibri Light"/>
                <w:lang w:val="en-GB"/>
              </w:rPr>
              <w:t xml:space="preserve"> Engagement Policy (2021)</w:t>
            </w:r>
          </w:p>
          <w:p w14:paraId="7FAF6D08" w14:textId="77777777" w:rsidR="006546F7" w:rsidRPr="00C3341B" w:rsidRDefault="006546F7" w:rsidP="00901C62">
            <w:pPr>
              <w:spacing w:after="0" w:line="257" w:lineRule="auto"/>
              <w:rPr>
                <w:rFonts w:eastAsiaTheme="majorEastAsia" w:cstheme="majorBidi"/>
                <w:b/>
                <w:bCs/>
                <w:lang w:val="en-GB"/>
              </w:rPr>
            </w:pPr>
            <w:r w:rsidRPr="00C3341B">
              <w:rPr>
                <w:rFonts w:eastAsia="Calibri Light" w:cs="Calibri Light"/>
                <w:b/>
                <w:bCs/>
                <w:lang w:val="en-GB"/>
              </w:rPr>
              <w:t>Applicable Sections:</w:t>
            </w:r>
            <w:r w:rsidRPr="00C3341B">
              <w:rPr>
                <w:rFonts w:ascii="Calibri Light" w:eastAsia="Calibri Light" w:hAnsi="Calibri Light" w:cs="Calibri Light"/>
                <w:lang w:val="en-GB"/>
              </w:rPr>
              <w:t xml:space="preserve"> </w:t>
            </w:r>
            <w:r>
              <w:rPr>
                <w:rFonts w:ascii="Calibri Light" w:eastAsia="Calibri Light" w:hAnsi="Calibri Light" w:cs="Calibri Light"/>
                <w:lang w:val="en-GB"/>
              </w:rPr>
              <w:t>Canvasses a range of</w:t>
            </w:r>
            <w:r w:rsidRPr="00C3341B">
              <w:rPr>
                <w:rFonts w:ascii="Calibri Light" w:eastAsia="Calibri Light" w:hAnsi="Calibri Light" w:cs="Calibri Light"/>
                <w:lang w:val="en-GB"/>
              </w:rPr>
              <w:t xml:space="preserve"> options</w:t>
            </w:r>
            <w:r>
              <w:rPr>
                <w:rFonts w:ascii="Calibri Light" w:eastAsia="Calibri Light" w:hAnsi="Calibri Light" w:cs="Calibri Light"/>
                <w:lang w:val="en-GB"/>
              </w:rPr>
              <w:t xml:space="preserve">, </w:t>
            </w:r>
            <w:r w:rsidRPr="00C3341B">
              <w:rPr>
                <w:rFonts w:ascii="Calibri Light" w:eastAsia="Calibri Light" w:hAnsi="Calibri Light" w:cs="Calibri Light"/>
                <w:lang w:val="en-GB"/>
              </w:rPr>
              <w:t>from information</w:t>
            </w:r>
            <w:r>
              <w:rPr>
                <w:rFonts w:ascii="Calibri Light" w:eastAsia="Calibri Light" w:hAnsi="Calibri Light" w:cs="Calibri Light"/>
                <w:lang w:val="en-GB"/>
              </w:rPr>
              <w:t>-</w:t>
            </w:r>
            <w:r w:rsidRPr="00C3341B">
              <w:rPr>
                <w:rFonts w:ascii="Calibri Light" w:eastAsia="Calibri Light" w:hAnsi="Calibri Light" w:cs="Calibri Light"/>
                <w:lang w:val="en-GB"/>
              </w:rPr>
              <w:t>sharing to</w:t>
            </w:r>
            <w:r>
              <w:rPr>
                <w:rFonts w:ascii="Calibri Light" w:eastAsia="Calibri Light" w:hAnsi="Calibri Light" w:cs="Calibri Light"/>
                <w:lang w:val="en-GB"/>
              </w:rPr>
              <w:t xml:space="preserve"> collaboration and</w:t>
            </w:r>
            <w:r w:rsidRPr="00C3341B">
              <w:rPr>
                <w:rFonts w:ascii="Calibri Light" w:eastAsia="Calibri Light" w:hAnsi="Calibri Light" w:cs="Calibri Light"/>
                <w:lang w:val="en-GB"/>
              </w:rPr>
              <w:t xml:space="preserve"> feedback on programs</w:t>
            </w:r>
          </w:p>
          <w:p w14:paraId="07F6BCAD" w14:textId="77777777" w:rsidR="006546F7" w:rsidRPr="00C3341B" w:rsidRDefault="006546F7" w:rsidP="00901C62">
            <w:pPr>
              <w:spacing w:after="0" w:line="257" w:lineRule="auto"/>
              <w:rPr>
                <w:rFonts w:eastAsiaTheme="majorEastAsia" w:cstheme="majorBidi"/>
                <w:b/>
                <w:bCs/>
                <w:lang w:val="en-GB"/>
              </w:rPr>
            </w:pPr>
            <w:r w:rsidRPr="00C3341B">
              <w:rPr>
                <w:rFonts w:eastAsia="Calibri Light" w:cs="Calibri Light"/>
                <w:b/>
                <w:bCs/>
                <w:lang w:val="en-GB"/>
              </w:rPr>
              <w:t>Gaps or Extensions</w:t>
            </w:r>
            <w:r w:rsidRPr="00C3341B">
              <w:rPr>
                <w:rFonts w:ascii="Calibri Light" w:eastAsia="Calibri Light" w:hAnsi="Calibri Light" w:cs="Calibri Light"/>
                <w:lang w:val="en-GB"/>
              </w:rPr>
              <w:t>: Ensure engagement is genuine, long term</w:t>
            </w:r>
            <w:r>
              <w:rPr>
                <w:rFonts w:ascii="Calibri Light" w:eastAsia="Calibri Light" w:hAnsi="Calibri Light" w:cs="Calibri Light"/>
                <w:lang w:val="en-GB"/>
              </w:rPr>
              <w:t>,</w:t>
            </w:r>
            <w:r w:rsidRPr="00C3341B">
              <w:rPr>
                <w:rFonts w:ascii="Calibri Light" w:eastAsia="Calibri Light" w:hAnsi="Calibri Light" w:cs="Calibri Light"/>
                <w:lang w:val="en-GB"/>
              </w:rPr>
              <w:t xml:space="preserve"> and involves co-design as well as community accountability</w:t>
            </w:r>
          </w:p>
        </w:tc>
      </w:tr>
      <w:tr w:rsidR="006546F7" w14:paraId="161A7B92" w14:textId="77777777" w:rsidTr="778E395A">
        <w:tc>
          <w:tcPr>
            <w:tcW w:w="14575" w:type="dxa"/>
            <w:shd w:val="clear" w:color="auto" w:fill="AEAAAA" w:themeFill="background2" w:themeFillShade="BF"/>
            <w:vAlign w:val="center"/>
          </w:tcPr>
          <w:p w14:paraId="63892540" w14:textId="77777777" w:rsidR="006546F7" w:rsidRPr="00601904" w:rsidRDefault="006546F7" w:rsidP="00901C62">
            <w:pPr>
              <w:spacing w:after="0" w:line="257" w:lineRule="auto"/>
              <w:rPr>
                <w:rFonts w:eastAsiaTheme="majorEastAsia" w:cstheme="majorBidi"/>
                <w:b/>
                <w:bCs/>
                <w:sz w:val="4"/>
                <w:szCs w:val="4"/>
                <w:lang w:val="en-GB"/>
              </w:rPr>
            </w:pPr>
          </w:p>
          <w:p w14:paraId="1F66F845" w14:textId="77777777" w:rsidR="006546F7" w:rsidRDefault="006546F7" w:rsidP="00901C62">
            <w:pPr>
              <w:spacing w:after="0" w:line="257" w:lineRule="auto"/>
              <w:rPr>
                <w:rFonts w:eastAsiaTheme="majorEastAsia" w:cstheme="majorBidi"/>
                <w:b/>
                <w:bCs/>
                <w:lang w:val="en-GB"/>
              </w:rPr>
            </w:pPr>
            <w:r w:rsidRPr="00C3341B">
              <w:rPr>
                <w:rFonts w:eastAsiaTheme="majorEastAsia" w:cstheme="majorBidi"/>
                <w:b/>
                <w:bCs/>
                <w:lang w:val="en-GB"/>
              </w:rPr>
              <w:t>EDUCATION</w:t>
            </w:r>
          </w:p>
          <w:p w14:paraId="4C4F37BF" w14:textId="77777777" w:rsidR="006546F7" w:rsidRPr="00601904" w:rsidRDefault="006546F7" w:rsidP="00901C62">
            <w:pPr>
              <w:spacing w:after="0" w:line="257" w:lineRule="auto"/>
              <w:rPr>
                <w:rFonts w:eastAsiaTheme="majorEastAsia" w:cstheme="majorBidi"/>
                <w:b/>
                <w:bCs/>
                <w:sz w:val="4"/>
                <w:szCs w:val="4"/>
                <w:lang w:val="en-GB"/>
              </w:rPr>
            </w:pPr>
          </w:p>
        </w:tc>
      </w:tr>
      <w:tr w:rsidR="006546F7" w14:paraId="31C5C388" w14:textId="77777777" w:rsidTr="778E395A">
        <w:tc>
          <w:tcPr>
            <w:tcW w:w="14575" w:type="dxa"/>
          </w:tcPr>
          <w:p w14:paraId="11035A12" w14:textId="77777777" w:rsidR="006546F7" w:rsidRPr="00C3341B" w:rsidRDefault="006546F7" w:rsidP="00901C62">
            <w:pPr>
              <w:spacing w:after="0"/>
            </w:pPr>
            <w:r w:rsidRPr="00C3341B">
              <w:rPr>
                <w:rFonts w:eastAsia="Calibri Light" w:cs="Calibri Light"/>
                <w:b/>
                <w:bCs/>
                <w:lang w:val="en-GB"/>
              </w:rPr>
              <w:t xml:space="preserve">Priority: </w:t>
            </w:r>
            <w:r w:rsidRPr="002A387E">
              <w:rPr>
                <w:rFonts w:asciiTheme="majorHAnsi" w:eastAsia="Calibri Light" w:hAnsiTheme="majorHAnsi" w:cstheme="majorHAnsi"/>
                <w:lang w:val="en-GB"/>
              </w:rPr>
              <w:t xml:space="preserve">Improve </w:t>
            </w:r>
            <w:r w:rsidRPr="002A387E">
              <w:rPr>
                <w:rFonts w:asciiTheme="majorHAnsi" w:eastAsia="Segoe UI" w:hAnsiTheme="majorHAnsi" w:cstheme="majorHAnsi"/>
              </w:rPr>
              <w:t>Digital Inclusion</w:t>
            </w:r>
          </w:p>
          <w:p w14:paraId="48A329B3" w14:textId="77777777" w:rsidR="006546F7" w:rsidRPr="00DE1953" w:rsidRDefault="006546F7" w:rsidP="00901C62">
            <w:pPr>
              <w:spacing w:after="0"/>
            </w:pPr>
            <w:r w:rsidRPr="00C3341B">
              <w:rPr>
                <w:rFonts w:eastAsia="Calibri Light" w:cs="Calibri Light"/>
                <w:b/>
                <w:bCs/>
                <w:lang w:val="en-GB"/>
              </w:rPr>
              <w:t>Relevant Policy:</w:t>
            </w:r>
            <w:r w:rsidRPr="00C3341B">
              <w:rPr>
                <w:rFonts w:ascii="Calibri Light" w:eastAsia="Calibri Light" w:hAnsi="Calibri Light" w:cs="Calibri Light"/>
                <w:lang w:val="en-GB"/>
              </w:rPr>
              <w:t xml:space="preserve"> </w:t>
            </w:r>
            <w:r>
              <w:rPr>
                <w:rFonts w:ascii="Calibri Light" w:eastAsia="Calibri Light" w:hAnsi="Calibri Light" w:cs="Calibri Light"/>
              </w:rPr>
              <w:t>CoGG</w:t>
            </w:r>
            <w:r w:rsidRPr="00DE1953">
              <w:rPr>
                <w:rFonts w:ascii="Calibri Light" w:eastAsia="Calibri Light" w:hAnsi="Calibri Light" w:cs="Calibri Light"/>
              </w:rPr>
              <w:t xml:space="preserve"> Smart City Strategic Framework 2020</w:t>
            </w:r>
          </w:p>
          <w:p w14:paraId="3683849B" w14:textId="77777777" w:rsidR="006546F7" w:rsidRPr="00DE1953" w:rsidRDefault="006546F7" w:rsidP="00901C62">
            <w:pPr>
              <w:spacing w:after="0" w:line="257" w:lineRule="auto"/>
              <w:rPr>
                <w:rFonts w:eastAsiaTheme="majorEastAsia" w:cstheme="majorBidi"/>
                <w:b/>
                <w:bCs/>
                <w:lang w:val="en-GB"/>
              </w:rPr>
            </w:pPr>
            <w:r w:rsidRPr="00DE1953">
              <w:rPr>
                <w:rFonts w:eastAsia="Calibri Light" w:cs="Calibri Light"/>
                <w:b/>
                <w:bCs/>
                <w:lang w:val="en-GB"/>
              </w:rPr>
              <w:t>Applicable Sections:</w:t>
            </w:r>
            <w:r w:rsidRPr="00DE1953">
              <w:rPr>
                <w:rFonts w:ascii="Calibri Light" w:eastAsia="Calibri Light" w:hAnsi="Calibri Light" w:cs="Calibri Light"/>
                <w:lang w:val="en-GB"/>
              </w:rPr>
              <w:t xml:space="preserve"> Priority1.1</w:t>
            </w:r>
            <w:r>
              <w:rPr>
                <w:rFonts w:ascii="Calibri Light" w:eastAsia="Calibri Light" w:hAnsi="Calibri Light" w:cs="Calibri Light"/>
                <w:lang w:val="en-GB"/>
              </w:rPr>
              <w:t xml:space="preserve"> and </w:t>
            </w:r>
            <w:r w:rsidRPr="00DE1953">
              <w:rPr>
                <w:rFonts w:ascii="Calibri Light" w:eastAsia="Calibri Light" w:hAnsi="Calibri Light" w:cs="Calibri Light"/>
                <w:lang w:val="en-GB"/>
              </w:rPr>
              <w:t>1.3 Enhance digital literacy and accessibility of digital services</w:t>
            </w:r>
          </w:p>
          <w:p w14:paraId="6E82FA35" w14:textId="77777777" w:rsidR="006546F7" w:rsidRPr="00BE7FF8" w:rsidRDefault="006546F7" w:rsidP="00901C62">
            <w:pPr>
              <w:spacing w:after="0"/>
              <w:rPr>
                <w:rFonts w:ascii="Calibri Light" w:eastAsia="Calibri Light" w:hAnsi="Calibri Light" w:cs="Calibri Light"/>
              </w:rPr>
            </w:pPr>
            <w:r w:rsidRPr="00DE1953">
              <w:rPr>
                <w:rFonts w:eastAsia="Calibri Light" w:cs="Calibri Light"/>
                <w:b/>
                <w:bCs/>
                <w:lang w:val="en-GB"/>
              </w:rPr>
              <w:t>Gaps or Extensions</w:t>
            </w:r>
            <w:r w:rsidRPr="00DE1953">
              <w:rPr>
                <w:rFonts w:ascii="Calibri Light" w:eastAsia="Calibri Light" w:hAnsi="Calibri Light" w:cs="Calibri Light"/>
                <w:lang w:val="en-GB"/>
              </w:rPr>
              <w:t xml:space="preserve">: No direct mention of disadvantaged suburbs. </w:t>
            </w:r>
            <w:r>
              <w:rPr>
                <w:rFonts w:ascii="Calibri Light" w:eastAsia="Calibri Light" w:hAnsi="Calibri Light" w:cs="Calibri Light"/>
                <w:lang w:val="en-GB"/>
              </w:rPr>
              <w:t xml:space="preserve">Need </w:t>
            </w:r>
            <w:r w:rsidRPr="00C3341B">
              <w:rPr>
                <w:rFonts w:ascii="Calibri Light" w:eastAsia="Calibri Light" w:hAnsi="Calibri Light" w:cs="Calibri Light"/>
                <w:lang w:val="en-GB"/>
              </w:rPr>
              <w:t xml:space="preserve">programs to </w:t>
            </w:r>
            <w:r>
              <w:rPr>
                <w:rFonts w:ascii="Calibri Light" w:eastAsia="Calibri Light" w:hAnsi="Calibri Light" w:cs="Calibri Light"/>
                <w:lang w:val="en-GB"/>
              </w:rPr>
              <w:t>improve digital</w:t>
            </w:r>
            <w:r w:rsidRPr="00C3341B">
              <w:rPr>
                <w:rFonts w:ascii="Calibri Light" w:eastAsia="Calibri Light" w:hAnsi="Calibri Light" w:cs="Calibri Light"/>
                <w:lang w:val="en-GB"/>
              </w:rPr>
              <w:t xml:space="preserve"> access, affordability</w:t>
            </w:r>
            <w:r>
              <w:rPr>
                <w:rFonts w:ascii="Calibri Light" w:eastAsia="Calibri Light" w:hAnsi="Calibri Light" w:cs="Calibri Light"/>
                <w:lang w:val="en-GB"/>
              </w:rPr>
              <w:t>,</w:t>
            </w:r>
            <w:r w:rsidRPr="00C3341B">
              <w:rPr>
                <w:rFonts w:ascii="Calibri Light" w:eastAsia="Calibri Light" w:hAnsi="Calibri Light" w:cs="Calibri Light"/>
                <w:lang w:val="en-GB"/>
              </w:rPr>
              <w:t xml:space="preserve"> and literacy</w:t>
            </w:r>
            <w:r w:rsidRPr="00C3341B">
              <w:rPr>
                <w:rFonts w:ascii="Calibri Light" w:eastAsia="Calibri Light" w:hAnsi="Calibri Light" w:cs="Calibri Light"/>
              </w:rPr>
              <w:t xml:space="preserve">. </w:t>
            </w:r>
            <w:r>
              <w:rPr>
                <w:rFonts w:ascii="Calibri Light" w:eastAsia="Calibri Light" w:hAnsi="Calibri Light" w:cs="Calibri Light"/>
              </w:rPr>
              <w:t xml:space="preserve">Need to </w:t>
            </w:r>
            <w:r w:rsidRPr="00C3341B">
              <w:rPr>
                <w:rFonts w:ascii="Calibri Light" w:eastAsia="Calibri Light" w:hAnsi="Calibri Light" w:cs="Calibri Light"/>
              </w:rPr>
              <w:t>extend existing programs</w:t>
            </w:r>
            <w:r>
              <w:rPr>
                <w:rFonts w:ascii="Calibri Light" w:eastAsia="Calibri Light" w:hAnsi="Calibri Light" w:cs="Calibri Light"/>
              </w:rPr>
              <w:t xml:space="preserve">, provide equipment and facilities, support </w:t>
            </w:r>
            <w:r w:rsidRPr="00C3341B">
              <w:rPr>
                <w:rFonts w:ascii="Calibri Light" w:eastAsia="Calibri Light" w:hAnsi="Calibri Light" w:cs="Calibri Light"/>
              </w:rPr>
              <w:t xml:space="preserve">community </w:t>
            </w:r>
            <w:r>
              <w:rPr>
                <w:rFonts w:ascii="Calibri Light" w:eastAsia="Calibri Light" w:hAnsi="Calibri Light" w:cs="Calibri Light"/>
              </w:rPr>
              <w:t>organisations to upskill and train people</w:t>
            </w:r>
            <w:r w:rsidRPr="00C3341B">
              <w:rPr>
                <w:rFonts w:ascii="Calibri Light" w:eastAsia="Calibri Light" w:hAnsi="Calibri Light" w:cs="Calibri Light"/>
              </w:rPr>
              <w:t>,</w:t>
            </w:r>
            <w:r>
              <w:rPr>
                <w:rFonts w:ascii="Calibri Light" w:eastAsia="Calibri Light" w:hAnsi="Calibri Light" w:cs="Calibri Light"/>
              </w:rPr>
              <w:t xml:space="preserve"> and address</w:t>
            </w:r>
            <w:r w:rsidRPr="00C3341B">
              <w:rPr>
                <w:rFonts w:ascii="Calibri Light" w:eastAsia="Calibri Light" w:hAnsi="Calibri Light" w:cs="Calibri Light"/>
              </w:rPr>
              <w:t xml:space="preserve"> data </w:t>
            </w:r>
            <w:r>
              <w:rPr>
                <w:rFonts w:ascii="Calibri Light" w:eastAsia="Calibri Light" w:hAnsi="Calibri Light" w:cs="Calibri Light"/>
              </w:rPr>
              <w:t>cost barriers.</w:t>
            </w:r>
          </w:p>
        </w:tc>
      </w:tr>
      <w:tr w:rsidR="006546F7" w14:paraId="03EAF71A" w14:textId="77777777" w:rsidTr="778E395A">
        <w:tc>
          <w:tcPr>
            <w:tcW w:w="14575" w:type="dxa"/>
          </w:tcPr>
          <w:p w14:paraId="0AEB110D" w14:textId="77777777" w:rsidR="006546F7" w:rsidRPr="00DE1953" w:rsidRDefault="006546F7" w:rsidP="00901C62">
            <w:pPr>
              <w:spacing w:after="0" w:line="240" w:lineRule="auto"/>
              <w:rPr>
                <w:rFonts w:eastAsiaTheme="majorEastAsia" w:cstheme="majorBidi"/>
                <w:b/>
                <w:bCs/>
                <w:lang w:val="en-GB"/>
              </w:rPr>
            </w:pPr>
            <w:r w:rsidRPr="00C3341B">
              <w:rPr>
                <w:rFonts w:eastAsia="Calibri Light" w:cs="Calibri Light"/>
                <w:b/>
                <w:bCs/>
                <w:lang w:val="en-GB"/>
              </w:rPr>
              <w:t>Priority:</w:t>
            </w:r>
            <w:r w:rsidRPr="00C3341B">
              <w:rPr>
                <w:rFonts w:eastAsiaTheme="majorEastAsia" w:cstheme="majorBidi"/>
                <w:b/>
                <w:bCs/>
                <w:lang w:val="en-GB"/>
              </w:rPr>
              <w:t xml:space="preserve"> </w:t>
            </w:r>
            <w:r w:rsidRPr="00C3341B">
              <w:rPr>
                <w:rFonts w:ascii="Calibri Light" w:eastAsia="Calibri Light" w:hAnsi="Calibri Light" w:cs="Calibri Light"/>
              </w:rPr>
              <w:t xml:space="preserve">Support local schools </w:t>
            </w:r>
            <w:r w:rsidRPr="00DE1953">
              <w:rPr>
                <w:rFonts w:ascii="Calibri Light" w:eastAsia="Calibri Light" w:hAnsi="Calibri Light" w:cs="Calibri Light"/>
              </w:rPr>
              <w:t>to link with key community organisations to develop more culturally appropriate programs to engage ATSI and CALD students</w:t>
            </w:r>
          </w:p>
          <w:p w14:paraId="76F9CEA0" w14:textId="77777777" w:rsidR="006546F7" w:rsidRPr="00DE1953" w:rsidRDefault="006546F7" w:rsidP="00901C62">
            <w:pPr>
              <w:spacing w:after="0" w:line="240" w:lineRule="auto"/>
            </w:pPr>
            <w:r w:rsidRPr="00DE1953">
              <w:rPr>
                <w:rFonts w:eastAsia="Calibri Light" w:cs="Calibri Light"/>
                <w:b/>
                <w:bCs/>
                <w:lang w:val="en-GB"/>
              </w:rPr>
              <w:t>Relevant Policy:</w:t>
            </w:r>
            <w:r w:rsidRPr="00DE1953">
              <w:rPr>
                <w:rFonts w:ascii="Calibri Light" w:eastAsia="Calibri Light" w:hAnsi="Calibri Light" w:cs="Calibri Light"/>
                <w:lang w:val="en-GB"/>
              </w:rPr>
              <w:t xml:space="preserve"> Multicultural Action Plan (2011–14),</w:t>
            </w:r>
            <w:r w:rsidRPr="00DE1953">
              <w:t xml:space="preserve"> </w:t>
            </w:r>
            <w:r w:rsidRPr="00DE1953">
              <w:rPr>
                <w:rFonts w:ascii="Calibri Light" w:eastAsia="Calibri Light" w:hAnsi="Calibri Light" w:cs="Calibri Light"/>
                <w:lang w:val="en-GB"/>
              </w:rPr>
              <w:t>Kareenga Aboriginal Action Plan (2014–17),</w:t>
            </w:r>
            <w:r w:rsidRPr="00DE1953">
              <w:t xml:space="preserve"> </w:t>
            </w:r>
            <w:r w:rsidRPr="00DE1953">
              <w:rPr>
                <w:rFonts w:ascii="Calibri Light" w:eastAsia="Calibri Light" w:hAnsi="Calibri Light" w:cs="Calibri Light"/>
                <w:lang w:val="en-GB"/>
              </w:rPr>
              <w:t>Disability Action Plan</w:t>
            </w:r>
          </w:p>
          <w:p w14:paraId="6878C516" w14:textId="77777777" w:rsidR="006546F7" w:rsidRPr="00C3341B" w:rsidRDefault="006546F7" w:rsidP="00901C62">
            <w:pPr>
              <w:spacing w:after="0" w:line="240" w:lineRule="auto"/>
            </w:pPr>
            <w:r w:rsidRPr="00DE1953">
              <w:rPr>
                <w:rFonts w:eastAsia="Calibri Light" w:cs="Calibri Light"/>
                <w:b/>
                <w:bCs/>
                <w:lang w:val="en-GB"/>
              </w:rPr>
              <w:t>Applicable Sections:</w:t>
            </w:r>
            <w:r w:rsidRPr="00DE1953">
              <w:rPr>
                <w:rFonts w:ascii="Calibri Light" w:eastAsia="Calibri Light" w:hAnsi="Calibri Light" w:cs="Calibri Light"/>
                <w:lang w:val="en-GB"/>
              </w:rPr>
              <w:t xml:space="preserve"> Kareenga Action areas:</w:t>
            </w:r>
            <w:r w:rsidRPr="00DE1953">
              <w:t xml:space="preserve"> </w:t>
            </w:r>
            <w:r w:rsidRPr="00DE1953">
              <w:rPr>
                <w:rFonts w:ascii="Calibri Light" w:eastAsia="Calibri Light" w:hAnsi="Calibri Light" w:cs="Calibri Light"/>
                <w:lang w:val="en-GB"/>
              </w:rPr>
              <w:t>1. Advance educational cultural</w:t>
            </w:r>
            <w:r w:rsidRPr="00C3341B">
              <w:rPr>
                <w:rFonts w:ascii="Calibri Light" w:eastAsia="Calibri Light" w:hAnsi="Calibri Light" w:cs="Calibri Light"/>
                <w:lang w:val="en-GB"/>
              </w:rPr>
              <w:t xml:space="preserve"> materials for local schools; 3. Encourage participation in early childhood education and maternal/child health services, youth programs</w:t>
            </w:r>
            <w:r>
              <w:rPr>
                <w:rFonts w:ascii="Calibri Light" w:eastAsia="Calibri Light" w:hAnsi="Calibri Light" w:cs="Calibri Light"/>
                <w:lang w:val="en-GB"/>
              </w:rPr>
              <w:t>;</w:t>
            </w:r>
            <w:r w:rsidRPr="00C3341B">
              <w:rPr>
                <w:rFonts w:ascii="Calibri Light" w:eastAsia="Calibri Light" w:hAnsi="Calibri Light" w:cs="Calibri Light"/>
                <w:lang w:val="en-GB"/>
              </w:rPr>
              <w:t xml:space="preserve"> service delivery via a community bus for “door to door” service access</w:t>
            </w:r>
            <w:r>
              <w:rPr>
                <w:rFonts w:ascii="Calibri Light" w:eastAsia="Calibri Light" w:hAnsi="Calibri Light" w:cs="Calibri Light"/>
                <w:lang w:val="en-GB"/>
              </w:rPr>
              <w:t>;</w:t>
            </w:r>
            <w:r w:rsidRPr="00C3341B">
              <w:rPr>
                <w:rFonts w:ascii="Calibri Light" w:eastAsia="Calibri Light" w:hAnsi="Calibri Light" w:cs="Calibri Light"/>
                <w:lang w:val="en-GB"/>
              </w:rPr>
              <w:t xml:space="preserve"> support to participate in Council programs such as learn to swim, sports and wellness</w:t>
            </w:r>
            <w:r>
              <w:rPr>
                <w:rFonts w:ascii="Calibri Light" w:eastAsia="Calibri Light" w:hAnsi="Calibri Light" w:cs="Calibri Light"/>
                <w:lang w:val="en-GB"/>
              </w:rPr>
              <w:t>;</w:t>
            </w:r>
            <w:r w:rsidRPr="00C3341B">
              <w:rPr>
                <w:rFonts w:ascii="Calibri Light" w:eastAsia="Calibri Light" w:hAnsi="Calibri Light" w:cs="Calibri Light"/>
                <w:lang w:val="en-GB"/>
              </w:rPr>
              <w:t xml:space="preserve"> </w:t>
            </w:r>
            <w:r>
              <w:rPr>
                <w:rFonts w:ascii="Calibri Light" w:eastAsia="Calibri Light" w:hAnsi="Calibri Light" w:cs="Calibri Light"/>
                <w:lang w:val="en-GB"/>
              </w:rPr>
              <w:t>expand</w:t>
            </w:r>
            <w:r w:rsidRPr="00C3341B">
              <w:rPr>
                <w:rFonts w:ascii="Calibri Light" w:eastAsia="Calibri Light" w:hAnsi="Calibri Light" w:cs="Calibri Light"/>
                <w:lang w:val="en-GB"/>
              </w:rPr>
              <w:t xml:space="preserve"> Wauthaurong Centre</w:t>
            </w:r>
          </w:p>
          <w:p w14:paraId="7C2DCBA8" w14:textId="77777777" w:rsidR="006546F7" w:rsidRPr="00C3341B" w:rsidRDefault="006546F7" w:rsidP="00901C62">
            <w:pPr>
              <w:spacing w:after="0" w:line="240" w:lineRule="auto"/>
              <w:rPr>
                <w:rFonts w:eastAsiaTheme="majorEastAsia" w:cstheme="majorBidi"/>
                <w:b/>
                <w:bCs/>
                <w:lang w:val="en-GB"/>
              </w:rPr>
            </w:pPr>
            <w:r w:rsidRPr="00C3341B">
              <w:rPr>
                <w:rFonts w:eastAsia="Calibri Light" w:cs="Calibri Light"/>
                <w:b/>
                <w:bCs/>
                <w:lang w:val="en-GB"/>
              </w:rPr>
              <w:t>Gaps or Extensions</w:t>
            </w:r>
            <w:r w:rsidRPr="00C3341B">
              <w:rPr>
                <w:rFonts w:ascii="Calibri Light" w:eastAsia="Calibri Light" w:hAnsi="Calibri Light" w:cs="Calibri Light"/>
                <w:lang w:val="en-GB"/>
              </w:rPr>
              <w:t xml:space="preserve">: Gaps in specific policies </w:t>
            </w:r>
            <w:r>
              <w:rPr>
                <w:rFonts w:ascii="Calibri Light" w:eastAsia="Calibri Light" w:hAnsi="Calibri Light" w:cs="Calibri Light"/>
                <w:lang w:val="en-GB"/>
              </w:rPr>
              <w:t>to engage both</w:t>
            </w:r>
            <w:r w:rsidRPr="00C3341B">
              <w:rPr>
                <w:rFonts w:ascii="Calibri Light" w:eastAsia="Calibri Light" w:hAnsi="Calibri Light" w:cs="Calibri Light"/>
                <w:lang w:val="en-GB"/>
              </w:rPr>
              <w:t xml:space="preserve"> CALD and disabled students</w:t>
            </w:r>
          </w:p>
        </w:tc>
      </w:tr>
      <w:tr w:rsidR="006546F7" w14:paraId="5EC54C2F" w14:textId="77777777" w:rsidTr="778E395A">
        <w:tc>
          <w:tcPr>
            <w:tcW w:w="14575" w:type="dxa"/>
            <w:shd w:val="clear" w:color="auto" w:fill="AEAAAA" w:themeFill="background2" w:themeFillShade="BF"/>
            <w:vAlign w:val="center"/>
          </w:tcPr>
          <w:p w14:paraId="681658B7" w14:textId="77777777" w:rsidR="006546F7" w:rsidRPr="00601904" w:rsidRDefault="006546F7" w:rsidP="00901C62">
            <w:pPr>
              <w:spacing w:after="0" w:line="257" w:lineRule="auto"/>
              <w:rPr>
                <w:rFonts w:eastAsiaTheme="majorEastAsia" w:cstheme="majorBidi"/>
                <w:b/>
                <w:bCs/>
                <w:sz w:val="4"/>
                <w:szCs w:val="4"/>
                <w:lang w:val="en-GB"/>
              </w:rPr>
            </w:pPr>
          </w:p>
          <w:p w14:paraId="3C564E21" w14:textId="77777777" w:rsidR="006546F7" w:rsidRDefault="006546F7" w:rsidP="00901C62">
            <w:pPr>
              <w:spacing w:after="0" w:line="257" w:lineRule="auto"/>
              <w:rPr>
                <w:rFonts w:eastAsiaTheme="majorEastAsia" w:cstheme="majorBidi"/>
                <w:b/>
                <w:bCs/>
                <w:lang w:val="en-GB"/>
              </w:rPr>
            </w:pPr>
            <w:r w:rsidRPr="00C3341B">
              <w:rPr>
                <w:rFonts w:eastAsiaTheme="majorEastAsia" w:cstheme="majorBidi"/>
                <w:b/>
                <w:bCs/>
                <w:lang w:val="en-GB"/>
              </w:rPr>
              <w:t>E</w:t>
            </w:r>
            <w:r>
              <w:rPr>
                <w:rFonts w:eastAsiaTheme="majorEastAsia" w:cstheme="majorBidi"/>
                <w:b/>
                <w:bCs/>
                <w:lang w:val="en-GB"/>
              </w:rPr>
              <w:t>MPLOYMENT</w:t>
            </w:r>
          </w:p>
          <w:p w14:paraId="5600262C" w14:textId="77777777" w:rsidR="006546F7" w:rsidRPr="00601904" w:rsidRDefault="006546F7" w:rsidP="00901C62">
            <w:pPr>
              <w:spacing w:after="0" w:line="257" w:lineRule="auto"/>
              <w:rPr>
                <w:rFonts w:eastAsiaTheme="majorEastAsia" w:cstheme="majorBidi"/>
                <w:b/>
                <w:bCs/>
                <w:sz w:val="4"/>
                <w:szCs w:val="4"/>
                <w:lang w:val="en-GB"/>
              </w:rPr>
            </w:pPr>
          </w:p>
        </w:tc>
      </w:tr>
      <w:tr w:rsidR="006546F7" w14:paraId="132A1EE9" w14:textId="77777777" w:rsidTr="778E395A">
        <w:tc>
          <w:tcPr>
            <w:tcW w:w="14575" w:type="dxa"/>
          </w:tcPr>
          <w:p w14:paraId="52089DFC" w14:textId="77777777" w:rsidR="006546F7" w:rsidRPr="00601904" w:rsidRDefault="006546F7" w:rsidP="00901C62">
            <w:pPr>
              <w:spacing w:after="0" w:line="240" w:lineRule="auto"/>
              <w:rPr>
                <w:rFonts w:asciiTheme="majorHAnsi" w:hAnsiTheme="majorHAnsi" w:cstheme="majorHAnsi"/>
              </w:rPr>
            </w:pPr>
            <w:r w:rsidRPr="00EF7A96">
              <w:rPr>
                <w:rFonts w:eastAsia="Calibri Light" w:cstheme="minorHAnsi"/>
                <w:b/>
                <w:bCs/>
                <w:lang w:val="en-GB"/>
              </w:rPr>
              <w:t>Priority</w:t>
            </w:r>
            <w:r w:rsidRPr="00601904">
              <w:rPr>
                <w:rFonts w:asciiTheme="majorHAnsi" w:eastAsia="Calibri Light" w:hAnsiTheme="majorHAnsi" w:cstheme="majorHAnsi"/>
              </w:rPr>
              <w:t xml:space="preserve"> Support and extend existing successful </w:t>
            </w:r>
            <w:r>
              <w:rPr>
                <w:rFonts w:asciiTheme="majorHAnsi" w:eastAsia="Calibri Light" w:hAnsiTheme="majorHAnsi" w:cstheme="majorHAnsi"/>
              </w:rPr>
              <w:t>programs</w:t>
            </w:r>
          </w:p>
          <w:p w14:paraId="2FA1B081" w14:textId="77777777" w:rsidR="006546F7" w:rsidRPr="00601904" w:rsidRDefault="006546F7" w:rsidP="00901C62">
            <w:pPr>
              <w:spacing w:after="0" w:line="240" w:lineRule="auto"/>
              <w:rPr>
                <w:rFonts w:asciiTheme="majorHAnsi" w:hAnsiTheme="majorHAnsi" w:cstheme="majorHAnsi"/>
              </w:rPr>
            </w:pPr>
            <w:r w:rsidRPr="00601904">
              <w:rPr>
                <w:rFonts w:eastAsia="Calibri Light" w:cs="Calibri Light"/>
                <w:b/>
                <w:bCs/>
                <w:lang w:val="en-GB"/>
              </w:rPr>
              <w:t>Relevant Policy:</w:t>
            </w:r>
            <w:r w:rsidRPr="00601904">
              <w:rPr>
                <w:rFonts w:ascii="Calibri Light" w:eastAsia="Calibri Light" w:hAnsi="Calibri Light" w:cs="Calibri Light"/>
                <w:lang w:val="en-GB"/>
              </w:rPr>
              <w:t xml:space="preserve"> </w:t>
            </w:r>
            <w:r>
              <w:rPr>
                <w:rFonts w:asciiTheme="majorHAnsi" w:eastAsia="Calibri Light" w:hAnsiTheme="majorHAnsi" w:cstheme="majorHAnsi"/>
                <w:lang w:val="en-GB"/>
              </w:rPr>
              <w:t>CoGG</w:t>
            </w:r>
            <w:r w:rsidRPr="00601904">
              <w:rPr>
                <w:rFonts w:asciiTheme="majorHAnsi" w:eastAsia="Calibri Light" w:hAnsiTheme="majorHAnsi" w:cstheme="majorHAnsi"/>
                <w:lang w:val="en-GB"/>
              </w:rPr>
              <w:t xml:space="preserve"> </w:t>
            </w:r>
            <w:r>
              <w:rPr>
                <w:rFonts w:asciiTheme="majorHAnsi" w:eastAsia="Calibri Light" w:hAnsiTheme="majorHAnsi" w:cstheme="majorHAnsi"/>
                <w:lang w:val="en-GB"/>
              </w:rPr>
              <w:t>s</w:t>
            </w:r>
            <w:r w:rsidRPr="00601904">
              <w:rPr>
                <w:rFonts w:asciiTheme="majorHAnsi" w:eastAsia="Calibri Light" w:hAnsiTheme="majorHAnsi" w:cstheme="majorHAnsi"/>
                <w:lang w:val="en-GB"/>
              </w:rPr>
              <w:t xml:space="preserve">upport for GROW and </w:t>
            </w:r>
            <w:r w:rsidRPr="00601904">
              <w:rPr>
                <w:rFonts w:asciiTheme="majorHAnsi" w:eastAsia="Calibri Light" w:hAnsiTheme="majorHAnsi" w:cstheme="majorHAnsi"/>
              </w:rPr>
              <w:t>RISE</w:t>
            </w:r>
          </w:p>
          <w:p w14:paraId="68FD042D" w14:textId="77777777" w:rsidR="006546F7" w:rsidRPr="00601904" w:rsidRDefault="006546F7" w:rsidP="00901C62">
            <w:pPr>
              <w:spacing w:after="0" w:line="240" w:lineRule="auto"/>
              <w:rPr>
                <w:rFonts w:asciiTheme="majorHAnsi" w:hAnsiTheme="majorHAnsi" w:cstheme="majorHAnsi"/>
              </w:rPr>
            </w:pPr>
            <w:r w:rsidRPr="00601904">
              <w:rPr>
                <w:rFonts w:eastAsia="Calibri Light" w:cs="Calibri Light"/>
                <w:b/>
                <w:bCs/>
                <w:lang w:val="en-GB"/>
              </w:rPr>
              <w:t>Applicable Sections</w:t>
            </w:r>
            <w:r w:rsidRPr="00601904">
              <w:rPr>
                <w:rFonts w:asciiTheme="majorHAnsi" w:eastAsia="Calibri Light" w:hAnsiTheme="majorHAnsi" w:cstheme="majorHAnsi"/>
                <w:lang w:val="en-GB"/>
              </w:rPr>
              <w:t xml:space="preserve"> Budget allocations to GROW and RISE</w:t>
            </w:r>
          </w:p>
          <w:p w14:paraId="4D961ED8" w14:textId="77777777" w:rsidR="006546F7" w:rsidRPr="00601904" w:rsidRDefault="006546F7" w:rsidP="00901C62">
            <w:pPr>
              <w:spacing w:after="0" w:line="240" w:lineRule="auto"/>
              <w:rPr>
                <w:rFonts w:asciiTheme="majorHAnsi" w:hAnsiTheme="majorHAnsi" w:cstheme="majorHAnsi"/>
              </w:rPr>
            </w:pPr>
            <w:r w:rsidRPr="00601904">
              <w:rPr>
                <w:rFonts w:eastAsia="Calibri Light" w:cs="Calibri Light"/>
                <w:b/>
                <w:bCs/>
                <w:lang w:val="en-GB"/>
              </w:rPr>
              <w:t>Gaps or Extensions</w:t>
            </w:r>
            <w:r w:rsidRPr="00601904">
              <w:rPr>
                <w:rFonts w:asciiTheme="majorHAnsi" w:eastAsia="Calibri Light" w:hAnsiTheme="majorHAnsi" w:cstheme="majorHAnsi"/>
                <w:lang w:val="en-GB"/>
              </w:rPr>
              <w:t xml:space="preserve"> </w:t>
            </w:r>
            <w:r>
              <w:rPr>
                <w:rFonts w:asciiTheme="majorHAnsi" w:eastAsia="Calibri Light" w:hAnsiTheme="majorHAnsi" w:cstheme="majorHAnsi"/>
                <w:lang w:val="en-GB"/>
              </w:rPr>
              <w:t>COGG</w:t>
            </w:r>
            <w:r w:rsidRPr="00601904">
              <w:rPr>
                <w:rFonts w:asciiTheme="majorHAnsi" w:eastAsia="Calibri Light" w:hAnsiTheme="majorHAnsi" w:cstheme="majorHAnsi"/>
                <w:lang w:val="en-GB"/>
              </w:rPr>
              <w:t xml:space="preserve"> could support Northern Futures and the re-establishment of Whittington Works</w:t>
            </w:r>
            <w:r>
              <w:rPr>
                <w:rFonts w:asciiTheme="majorHAnsi" w:eastAsia="Calibri Light" w:hAnsiTheme="majorHAnsi" w:cstheme="majorHAnsi"/>
                <w:lang w:val="en-GB"/>
              </w:rPr>
              <w:t>,</w:t>
            </w:r>
            <w:r w:rsidRPr="00601904">
              <w:rPr>
                <w:rFonts w:asciiTheme="majorHAnsi" w:eastAsia="Calibri Light" w:hAnsiTheme="majorHAnsi" w:cstheme="majorHAnsi"/>
                <w:lang w:val="en-GB"/>
              </w:rPr>
              <w:t xml:space="preserve"> in</w:t>
            </w:r>
            <w:r>
              <w:rPr>
                <w:rFonts w:asciiTheme="majorHAnsi" w:eastAsia="Calibri Light" w:hAnsiTheme="majorHAnsi" w:cstheme="majorHAnsi"/>
                <w:lang w:val="en-GB"/>
              </w:rPr>
              <w:t>-</w:t>
            </w:r>
            <w:r w:rsidRPr="00601904">
              <w:rPr>
                <w:rFonts w:asciiTheme="majorHAnsi" w:eastAsia="Calibri Light" w:hAnsiTheme="majorHAnsi" w:cstheme="majorHAnsi"/>
                <w:lang w:val="en-GB"/>
              </w:rPr>
              <w:t>kind or financially</w:t>
            </w:r>
          </w:p>
        </w:tc>
      </w:tr>
      <w:tr w:rsidR="006546F7" w14:paraId="75801F64" w14:textId="77777777" w:rsidTr="778E395A">
        <w:tc>
          <w:tcPr>
            <w:tcW w:w="14575" w:type="dxa"/>
          </w:tcPr>
          <w:p w14:paraId="51F08D56" w14:textId="77777777" w:rsidR="006546F7" w:rsidRPr="00601904" w:rsidRDefault="006546F7" w:rsidP="00901C62">
            <w:pPr>
              <w:spacing w:after="0" w:line="240" w:lineRule="auto"/>
              <w:rPr>
                <w:rFonts w:asciiTheme="majorHAnsi" w:hAnsiTheme="majorHAnsi" w:cstheme="majorHAnsi"/>
              </w:rPr>
            </w:pPr>
            <w:r w:rsidRPr="00EF7A96">
              <w:rPr>
                <w:rFonts w:eastAsia="Calibri Light" w:cstheme="minorHAnsi"/>
                <w:b/>
                <w:bCs/>
                <w:lang w:val="en-GB"/>
              </w:rPr>
              <w:t>Priority:</w:t>
            </w:r>
            <w:r w:rsidRPr="00601904">
              <w:rPr>
                <w:rFonts w:asciiTheme="majorHAnsi" w:eastAsia="Calibri Light" w:hAnsiTheme="majorHAnsi" w:cstheme="majorHAnsi"/>
                <w:b/>
                <w:bCs/>
                <w:lang w:val="en-GB"/>
              </w:rPr>
              <w:t xml:space="preserve"> </w:t>
            </w:r>
            <w:r w:rsidRPr="00601904">
              <w:rPr>
                <w:rFonts w:asciiTheme="majorHAnsi" w:eastAsia="Calibri Light" w:hAnsiTheme="majorHAnsi" w:cstheme="majorHAnsi"/>
                <w:lang w:val="en-GB"/>
              </w:rPr>
              <w:t>Local organisations need staff. If existing successful programs are extended, locals could be recruited and trained to fill these positions.</w:t>
            </w:r>
          </w:p>
          <w:p w14:paraId="146AFB08" w14:textId="5A62A291" w:rsidR="006546F7" w:rsidRPr="00601904" w:rsidRDefault="63A7BF48" w:rsidP="6A3610E4">
            <w:pPr>
              <w:spacing w:after="0" w:line="240" w:lineRule="auto"/>
              <w:rPr>
                <w:rFonts w:asciiTheme="majorHAnsi" w:hAnsiTheme="majorHAnsi" w:cstheme="majorBidi"/>
              </w:rPr>
            </w:pPr>
            <w:r w:rsidRPr="6A3610E4">
              <w:rPr>
                <w:rFonts w:eastAsia="Calibri Light" w:cs="Calibri Light"/>
                <w:b/>
                <w:bCs/>
                <w:lang w:val="en-GB"/>
              </w:rPr>
              <w:t>Relevant Policy:</w:t>
            </w:r>
            <w:r w:rsidRPr="6A3610E4">
              <w:rPr>
                <w:rFonts w:ascii="Calibri Light" w:eastAsia="Calibri Light" w:hAnsi="Calibri Light" w:cs="Calibri Light"/>
                <w:lang w:val="en-GB"/>
              </w:rPr>
              <w:t xml:space="preserve"> </w:t>
            </w:r>
            <w:r w:rsidRPr="6A3610E4">
              <w:rPr>
                <w:rFonts w:asciiTheme="majorHAnsi" w:eastAsia="Calibri Light" w:hAnsiTheme="majorHAnsi" w:cstheme="majorBidi"/>
                <w:lang w:val="en-GB"/>
              </w:rPr>
              <w:t>Victorian Government Social Procurement Framework</w:t>
            </w:r>
            <w:r w:rsidRPr="6A3610E4">
              <w:rPr>
                <w:rFonts w:asciiTheme="majorHAnsi" w:hAnsiTheme="majorHAnsi" w:cstheme="majorBidi"/>
              </w:rPr>
              <w:t xml:space="preserve">. </w:t>
            </w:r>
            <w:r w:rsidRPr="6A3610E4">
              <w:rPr>
                <w:rFonts w:asciiTheme="majorHAnsi" w:eastAsia="Calibri Light" w:hAnsiTheme="majorHAnsi" w:cstheme="majorBidi"/>
              </w:rPr>
              <w:t xml:space="preserve">requires all new government programs to employ a certain number or proportion of long-term unemployed locals. </w:t>
            </w:r>
            <w:r w:rsidRPr="6A3610E4">
              <w:rPr>
                <w:rFonts w:asciiTheme="majorHAnsi" w:eastAsia="Calibri Light" w:hAnsiTheme="majorHAnsi" w:cstheme="majorBidi"/>
                <w:lang w:val="en-GB"/>
              </w:rPr>
              <w:t xml:space="preserve">Major State Government building projects must source </w:t>
            </w:r>
            <w:r w:rsidR="0E43972C" w:rsidRPr="6A3610E4">
              <w:rPr>
                <w:rFonts w:asciiTheme="majorHAnsi" w:eastAsia="Calibri Light" w:hAnsiTheme="majorHAnsi" w:cstheme="majorBidi"/>
                <w:lang w:val="en-GB"/>
              </w:rPr>
              <w:t xml:space="preserve">some </w:t>
            </w:r>
            <w:r w:rsidRPr="6A3610E4">
              <w:rPr>
                <w:rFonts w:asciiTheme="majorHAnsi" w:eastAsia="Calibri Light" w:hAnsiTheme="majorHAnsi" w:cstheme="majorBidi"/>
                <w:lang w:val="en-GB"/>
              </w:rPr>
              <w:t>employees and supplies from the locality</w:t>
            </w:r>
          </w:p>
          <w:p w14:paraId="672D0CC3" w14:textId="77777777" w:rsidR="006546F7" w:rsidRPr="00601904" w:rsidRDefault="006546F7" w:rsidP="00901C62">
            <w:pPr>
              <w:spacing w:after="0" w:line="240" w:lineRule="auto"/>
              <w:rPr>
                <w:rFonts w:asciiTheme="majorHAnsi" w:eastAsiaTheme="majorEastAsia" w:hAnsiTheme="majorHAnsi" w:cstheme="majorHAnsi"/>
                <w:b/>
                <w:bCs/>
                <w:lang w:val="en-GB"/>
              </w:rPr>
            </w:pPr>
            <w:r w:rsidRPr="00601904">
              <w:rPr>
                <w:rFonts w:eastAsia="Calibri Light" w:cs="Calibri Light"/>
                <w:b/>
                <w:bCs/>
                <w:lang w:val="en-GB"/>
              </w:rPr>
              <w:t>Applicable Sections</w:t>
            </w:r>
            <w:r w:rsidRPr="00601904">
              <w:rPr>
                <w:rFonts w:asciiTheme="majorHAnsi" w:eastAsia="Calibri Light" w:hAnsiTheme="majorHAnsi" w:cstheme="majorHAnsi"/>
                <w:lang w:val="en-GB"/>
              </w:rPr>
              <w:t xml:space="preserve"> Financial and in-kind support for existing effective organisations to grow or add staff</w:t>
            </w:r>
          </w:p>
          <w:p w14:paraId="464F9125" w14:textId="77777777" w:rsidR="006546F7" w:rsidRPr="00601904" w:rsidRDefault="006546F7" w:rsidP="00901C62">
            <w:pPr>
              <w:spacing w:after="0" w:line="240" w:lineRule="auto"/>
              <w:rPr>
                <w:rFonts w:asciiTheme="majorHAnsi" w:eastAsia="Calibri Light" w:hAnsiTheme="majorHAnsi" w:cstheme="majorHAnsi"/>
                <w:lang w:val="en-GB"/>
              </w:rPr>
            </w:pPr>
            <w:r w:rsidRPr="00601904">
              <w:rPr>
                <w:rFonts w:eastAsia="Calibri Light" w:cs="Calibri Light"/>
                <w:b/>
                <w:bCs/>
                <w:lang w:val="en-GB"/>
              </w:rPr>
              <w:t>Gaps or Extensions</w:t>
            </w:r>
            <w:r w:rsidRPr="00601904">
              <w:rPr>
                <w:rFonts w:ascii="Calibri Light" w:eastAsia="Calibri Light" w:hAnsi="Calibri Light" w:cs="Calibri Light"/>
                <w:lang w:val="en-GB"/>
              </w:rPr>
              <w:t xml:space="preserve">: </w:t>
            </w:r>
            <w:r>
              <w:rPr>
                <w:rFonts w:asciiTheme="majorHAnsi" w:eastAsia="Calibri Light" w:hAnsiTheme="majorHAnsi" w:cstheme="majorHAnsi"/>
                <w:lang w:val="en-GB"/>
              </w:rPr>
              <w:t>CoGG</w:t>
            </w:r>
            <w:r w:rsidRPr="00601904">
              <w:rPr>
                <w:rFonts w:asciiTheme="majorHAnsi" w:eastAsia="Calibri Light" w:hAnsiTheme="majorHAnsi" w:cstheme="majorHAnsi"/>
                <w:lang w:val="en-GB"/>
              </w:rPr>
              <w:t xml:space="preserve"> to adopt</w:t>
            </w:r>
            <w:r>
              <w:rPr>
                <w:rFonts w:asciiTheme="majorHAnsi" w:eastAsia="Calibri Light" w:hAnsiTheme="majorHAnsi" w:cstheme="majorHAnsi"/>
                <w:lang w:val="en-GB"/>
              </w:rPr>
              <w:t>,</w:t>
            </w:r>
            <w:r w:rsidRPr="00601904">
              <w:rPr>
                <w:rFonts w:asciiTheme="majorHAnsi" w:eastAsia="Calibri Light" w:hAnsiTheme="majorHAnsi" w:cstheme="majorHAnsi"/>
                <w:lang w:val="en-GB"/>
              </w:rPr>
              <w:t xml:space="preserve"> promote</w:t>
            </w:r>
            <w:r>
              <w:rPr>
                <w:rFonts w:asciiTheme="majorHAnsi" w:eastAsia="Calibri Light" w:hAnsiTheme="majorHAnsi" w:cstheme="majorHAnsi"/>
                <w:lang w:val="en-GB"/>
              </w:rPr>
              <w:t xml:space="preserve">, and apply to </w:t>
            </w:r>
            <w:r w:rsidRPr="00601904">
              <w:rPr>
                <w:rFonts w:asciiTheme="majorHAnsi" w:eastAsia="Calibri Light" w:hAnsiTheme="majorHAnsi" w:cstheme="majorHAnsi"/>
                <w:lang w:val="en-GB"/>
              </w:rPr>
              <w:t>new projects in Corio, Norlane, Whittington. Extend financial and in-kind support, both geographically and to effective organisations to train and add staff. Are there targets and detailed plans to achieve employment goals for marginalised groups?</w:t>
            </w:r>
          </w:p>
        </w:tc>
      </w:tr>
      <w:tr w:rsidR="006546F7" w14:paraId="687DCE7D" w14:textId="77777777" w:rsidTr="778E395A">
        <w:tc>
          <w:tcPr>
            <w:tcW w:w="14575" w:type="dxa"/>
          </w:tcPr>
          <w:p w14:paraId="4F412F32" w14:textId="77777777" w:rsidR="006546F7" w:rsidRPr="00601904" w:rsidRDefault="006546F7" w:rsidP="00901C62">
            <w:pPr>
              <w:spacing w:after="0" w:line="240" w:lineRule="auto"/>
            </w:pPr>
            <w:r w:rsidRPr="00601904">
              <w:rPr>
                <w:rFonts w:eastAsia="Calibri Light" w:cs="Calibri Light"/>
                <w:b/>
                <w:bCs/>
                <w:lang w:val="en-GB"/>
              </w:rPr>
              <w:t xml:space="preserve">Priority: </w:t>
            </w:r>
            <w:r w:rsidRPr="00601904">
              <w:rPr>
                <w:rFonts w:ascii="Calibri Light" w:eastAsia="Calibri Light" w:hAnsi="Calibri Light" w:cs="Calibri Light"/>
                <w:lang w:val="en-US"/>
              </w:rPr>
              <w:t>Particular challenges for marginalised groups in the labour market</w:t>
            </w:r>
          </w:p>
          <w:p w14:paraId="12BC7259" w14:textId="77777777" w:rsidR="006546F7" w:rsidRPr="00601904" w:rsidRDefault="006546F7" w:rsidP="00901C62">
            <w:pPr>
              <w:spacing w:after="0" w:line="240" w:lineRule="auto"/>
              <w:rPr>
                <w:rFonts w:ascii="Calibri Light" w:eastAsia="Calibri Light" w:hAnsi="Calibri Light" w:cs="Calibri Light"/>
                <w:lang w:val="en-GB"/>
              </w:rPr>
            </w:pPr>
            <w:r w:rsidRPr="00601904">
              <w:rPr>
                <w:rFonts w:eastAsia="Calibri Light" w:cs="Calibri Light"/>
                <w:b/>
                <w:bCs/>
                <w:lang w:val="en-GB"/>
              </w:rPr>
              <w:t>Relevant Policy:</w:t>
            </w:r>
            <w:r w:rsidRPr="00601904">
              <w:rPr>
                <w:rFonts w:ascii="Calibri Light" w:eastAsia="Calibri Light" w:hAnsi="Calibri Light" w:cs="Calibri Light"/>
                <w:lang w:val="en-GB"/>
              </w:rPr>
              <w:t xml:space="preserve"> </w:t>
            </w:r>
            <w:r w:rsidRPr="00DE1953">
              <w:rPr>
                <w:rFonts w:ascii="Calibri Light" w:eastAsia="Calibri Light" w:hAnsi="Calibri Light" w:cs="Calibri Light"/>
                <w:lang w:val="en-GB"/>
              </w:rPr>
              <w:t>Kareenga Aboriginal Action Plan (2014–17), Disability Action Plan, Multicultural Action Plan (and Diversitat)</w:t>
            </w:r>
          </w:p>
          <w:p w14:paraId="627B8A5C" w14:textId="77777777" w:rsidR="006546F7" w:rsidRPr="00601904" w:rsidRDefault="006546F7" w:rsidP="00901C62">
            <w:pPr>
              <w:spacing w:after="0" w:line="240" w:lineRule="auto"/>
              <w:rPr>
                <w:rFonts w:ascii="Calibri Light" w:eastAsia="Calibri Light" w:hAnsi="Calibri Light" w:cs="Calibri Light"/>
                <w:lang w:val="en-GB"/>
              </w:rPr>
            </w:pPr>
            <w:r w:rsidRPr="00601904">
              <w:rPr>
                <w:rFonts w:eastAsia="Calibri Light" w:cs="Calibri Light"/>
                <w:b/>
                <w:bCs/>
                <w:lang w:val="en-GB"/>
              </w:rPr>
              <w:t>Applicable Sections:</w:t>
            </w:r>
            <w:r w:rsidRPr="00601904">
              <w:rPr>
                <w:rFonts w:ascii="Calibri Light" w:eastAsia="Calibri Light" w:hAnsi="Calibri Light" w:cs="Calibri Light"/>
                <w:lang w:val="en-GB"/>
              </w:rPr>
              <w:t xml:space="preserve"> Kareenga Action Area 2: Work with employers to maximise Aboriginal employment opportunities</w:t>
            </w:r>
          </w:p>
          <w:p w14:paraId="3877D6F2" w14:textId="77777777" w:rsidR="006546F7" w:rsidRPr="00601904" w:rsidRDefault="006546F7" w:rsidP="00901C62">
            <w:pPr>
              <w:spacing w:after="0" w:line="240" w:lineRule="auto"/>
              <w:rPr>
                <w:rFonts w:eastAsiaTheme="majorEastAsia" w:cstheme="majorBidi"/>
                <w:b/>
                <w:bCs/>
                <w:lang w:val="en-GB"/>
              </w:rPr>
            </w:pPr>
            <w:r w:rsidRPr="00601904">
              <w:rPr>
                <w:rFonts w:eastAsia="Calibri Light" w:cs="Calibri Light"/>
                <w:b/>
                <w:bCs/>
                <w:lang w:val="en-GB"/>
              </w:rPr>
              <w:t>Gaps or Extensions</w:t>
            </w:r>
            <w:r w:rsidRPr="00601904">
              <w:rPr>
                <w:rFonts w:ascii="Calibri Light" w:eastAsia="Calibri Light" w:hAnsi="Calibri Light" w:cs="Calibri Light"/>
                <w:lang w:val="en-GB"/>
              </w:rPr>
              <w:t>: How does each plan support employment?</w:t>
            </w:r>
            <w:r w:rsidRPr="00601904">
              <w:t xml:space="preserve"> </w:t>
            </w:r>
            <w:r>
              <w:t xml:space="preserve">The </w:t>
            </w:r>
            <w:r w:rsidRPr="00601904">
              <w:rPr>
                <w:rFonts w:ascii="Calibri Light" w:eastAsia="Calibri Light" w:hAnsi="Calibri Light" w:cs="Calibri Light"/>
                <w:lang w:val="en-GB"/>
              </w:rPr>
              <w:t>Multicultural Action Plan (2011–2014) is no longer active.</w:t>
            </w:r>
          </w:p>
        </w:tc>
      </w:tr>
      <w:tr w:rsidR="006546F7" w14:paraId="6DEA75F3" w14:textId="77777777" w:rsidTr="778E395A">
        <w:tc>
          <w:tcPr>
            <w:tcW w:w="14575" w:type="dxa"/>
          </w:tcPr>
          <w:p w14:paraId="3D6783AD" w14:textId="77777777" w:rsidR="006546F7" w:rsidRPr="00C3341B" w:rsidRDefault="006546F7" w:rsidP="00901C62">
            <w:pPr>
              <w:spacing w:after="0" w:line="240" w:lineRule="auto"/>
              <w:rPr>
                <w:rFonts w:eastAsiaTheme="majorEastAsia" w:cstheme="majorBidi"/>
                <w:b/>
                <w:bCs/>
                <w:lang w:val="en-GB"/>
              </w:rPr>
            </w:pPr>
            <w:r w:rsidRPr="00C3341B">
              <w:rPr>
                <w:rFonts w:eastAsia="Calibri Light" w:cs="Calibri Light"/>
                <w:b/>
                <w:bCs/>
                <w:lang w:val="en-GB"/>
              </w:rPr>
              <w:lastRenderedPageBreak/>
              <w:t xml:space="preserve">Priority: </w:t>
            </w:r>
            <w:r w:rsidRPr="00C3341B">
              <w:rPr>
                <w:rFonts w:ascii="Calibri Light" w:eastAsia="Calibri Light" w:hAnsi="Calibri Light" w:cs="Calibri Light"/>
                <w:lang w:val="en-US"/>
              </w:rPr>
              <w:t>Need for local leadership</w:t>
            </w:r>
          </w:p>
          <w:p w14:paraId="47335DC3" w14:textId="77777777" w:rsidR="006546F7" w:rsidRPr="00C3341B" w:rsidRDefault="006546F7" w:rsidP="00901C62">
            <w:pPr>
              <w:spacing w:after="0" w:line="240" w:lineRule="auto"/>
              <w:rPr>
                <w:rFonts w:ascii="Calibri Light" w:eastAsia="Calibri Light" w:hAnsi="Calibri Light" w:cs="Calibri Light"/>
                <w:lang w:val="en-GB"/>
              </w:rPr>
            </w:pPr>
            <w:r w:rsidRPr="00C3341B">
              <w:rPr>
                <w:rFonts w:eastAsia="Calibri Light" w:cs="Calibri Light"/>
                <w:b/>
                <w:bCs/>
                <w:lang w:val="en-GB"/>
              </w:rPr>
              <w:t>Relevant Policy:</w:t>
            </w:r>
            <w:r w:rsidRPr="00C3341B">
              <w:rPr>
                <w:rFonts w:ascii="Calibri Light" w:eastAsia="Calibri Light" w:hAnsi="Calibri Light" w:cs="Calibri Light"/>
                <w:lang w:val="en-GB"/>
              </w:rPr>
              <w:t xml:space="preserve"> G21/Committee for Geelong </w:t>
            </w:r>
            <w:r>
              <w:rPr>
                <w:rFonts w:ascii="Calibri Light" w:eastAsia="Calibri Light" w:hAnsi="Calibri Light" w:cs="Calibri Light"/>
                <w:lang w:val="en-GB"/>
              </w:rPr>
              <w:t>L</w:t>
            </w:r>
            <w:r w:rsidRPr="00C3341B">
              <w:rPr>
                <w:rFonts w:ascii="Calibri Light" w:eastAsia="Calibri Light" w:hAnsi="Calibri Light" w:cs="Calibri Light"/>
                <w:lang w:val="en-GB"/>
              </w:rPr>
              <w:t>eaders</w:t>
            </w:r>
            <w:r>
              <w:rPr>
                <w:rFonts w:ascii="Calibri Light" w:eastAsia="Calibri Light" w:hAnsi="Calibri Light" w:cs="Calibri Light"/>
                <w:lang w:val="en-GB"/>
              </w:rPr>
              <w:t>hip P</w:t>
            </w:r>
            <w:r w:rsidRPr="00C3341B">
              <w:rPr>
                <w:rFonts w:ascii="Calibri Light" w:eastAsia="Calibri Light" w:hAnsi="Calibri Light" w:cs="Calibri Light"/>
                <w:lang w:val="en-GB"/>
              </w:rPr>
              <w:t>rogram</w:t>
            </w:r>
            <w:r>
              <w:rPr>
                <w:rFonts w:ascii="Calibri Light" w:eastAsia="Calibri Light" w:hAnsi="Calibri Light" w:cs="Calibri Light"/>
                <w:lang w:val="en-GB"/>
              </w:rPr>
              <w:t>.</w:t>
            </w:r>
            <w:r w:rsidRPr="00C3341B">
              <w:rPr>
                <w:rFonts w:ascii="Calibri Light" w:eastAsia="Calibri Light" w:hAnsi="Calibri Light" w:cs="Calibri Light"/>
                <w:lang w:val="en-GB"/>
              </w:rPr>
              <w:t xml:space="preserve"> </w:t>
            </w:r>
          </w:p>
          <w:p w14:paraId="18A0DA7C" w14:textId="3DBFACBC" w:rsidR="006546F7" w:rsidRPr="00C3341B" w:rsidRDefault="17167846" w:rsidP="778E395A">
            <w:pPr>
              <w:spacing w:after="0" w:line="240" w:lineRule="auto"/>
              <w:rPr>
                <w:rFonts w:asciiTheme="majorHAnsi" w:eastAsiaTheme="majorEastAsia" w:hAnsiTheme="majorHAnsi" w:cstheme="majorBidi"/>
                <w:lang w:val="en-GB"/>
              </w:rPr>
            </w:pPr>
            <w:r w:rsidRPr="778E395A">
              <w:rPr>
                <w:rFonts w:eastAsia="Calibri Light" w:cs="Calibri Light"/>
                <w:b/>
                <w:bCs/>
                <w:lang w:val="en-GB"/>
              </w:rPr>
              <w:t>Gaps or Extensions</w:t>
            </w:r>
            <w:r w:rsidRPr="778E395A">
              <w:rPr>
                <w:rFonts w:ascii="Calibri Light" w:eastAsia="Calibri Light" w:hAnsi="Calibri Light" w:cs="Calibri Light"/>
                <w:lang w:val="en-GB"/>
              </w:rPr>
              <w:t>: New Local Leaders Program for three localities. Most existing programs target mid/high-level business leaders.</w:t>
            </w:r>
            <w:r w:rsidRPr="778E395A">
              <w:rPr>
                <w:rFonts w:eastAsiaTheme="majorEastAsia" w:cstheme="majorBidi"/>
                <w:b/>
                <w:bCs/>
                <w:lang w:val="en-GB"/>
              </w:rPr>
              <w:t xml:space="preserve"> </w:t>
            </w:r>
          </w:p>
        </w:tc>
      </w:tr>
      <w:tr w:rsidR="006546F7" w14:paraId="31C1587B" w14:textId="77777777" w:rsidTr="778E395A">
        <w:tc>
          <w:tcPr>
            <w:tcW w:w="14575" w:type="dxa"/>
          </w:tcPr>
          <w:p w14:paraId="56BBE03D" w14:textId="77777777" w:rsidR="006546F7" w:rsidRPr="00C3341B" w:rsidRDefault="006546F7" w:rsidP="00901C62">
            <w:pPr>
              <w:spacing w:after="0" w:line="240" w:lineRule="auto"/>
            </w:pPr>
            <w:r w:rsidRPr="00C3341B">
              <w:rPr>
                <w:rFonts w:eastAsia="Calibri Light" w:cs="Calibri Light"/>
                <w:b/>
                <w:bCs/>
                <w:lang w:val="en-GB"/>
              </w:rPr>
              <w:t xml:space="preserve">Priority: </w:t>
            </w:r>
            <w:r w:rsidRPr="00C3341B">
              <w:rPr>
                <w:rFonts w:ascii="Calibri Light" w:eastAsia="Calibri Light" w:hAnsi="Calibri Light" w:cs="Calibri Light"/>
                <w:lang w:val="en-GB"/>
              </w:rPr>
              <w:t xml:space="preserve">Train </w:t>
            </w:r>
            <w:r>
              <w:rPr>
                <w:rFonts w:ascii="Calibri Light" w:eastAsia="Calibri Light" w:hAnsi="Calibri Light" w:cs="Calibri Light"/>
                <w:lang w:val="en-GB"/>
              </w:rPr>
              <w:t>and hire</w:t>
            </w:r>
            <w:r w:rsidRPr="00C3341B">
              <w:rPr>
                <w:rFonts w:ascii="Calibri Light" w:eastAsia="Calibri Light" w:hAnsi="Calibri Light" w:cs="Calibri Light"/>
                <w:lang w:val="en-GB"/>
              </w:rPr>
              <w:t xml:space="preserve"> unemployed </w:t>
            </w:r>
            <w:r>
              <w:rPr>
                <w:rFonts w:ascii="Calibri Light" w:eastAsia="Calibri Light" w:hAnsi="Calibri Light" w:cs="Calibri Light"/>
                <w:lang w:val="en-GB"/>
              </w:rPr>
              <w:t>residents</w:t>
            </w:r>
            <w:r w:rsidRPr="00C3341B">
              <w:rPr>
                <w:rFonts w:ascii="Calibri Light" w:eastAsia="Calibri Light" w:hAnsi="Calibri Light" w:cs="Calibri Light"/>
                <w:lang w:val="en-GB"/>
              </w:rPr>
              <w:t xml:space="preserve"> in neighbourhood projects</w:t>
            </w:r>
          </w:p>
          <w:p w14:paraId="009672D5" w14:textId="77777777" w:rsidR="006546F7" w:rsidRPr="00C3341B" w:rsidRDefault="006546F7" w:rsidP="00901C62">
            <w:pPr>
              <w:spacing w:after="0" w:line="240" w:lineRule="auto"/>
              <w:rPr>
                <w:rFonts w:eastAsiaTheme="majorEastAsia" w:cstheme="majorBidi"/>
                <w:b/>
                <w:bCs/>
                <w:lang w:val="en-GB"/>
              </w:rPr>
            </w:pPr>
            <w:r w:rsidRPr="00C3341B">
              <w:rPr>
                <w:rFonts w:eastAsia="Calibri Light" w:cs="Calibri Light"/>
                <w:b/>
                <w:bCs/>
                <w:lang w:val="en-GB"/>
              </w:rPr>
              <w:t>Relevant Policy:</w:t>
            </w:r>
            <w:r w:rsidRPr="00C3341B">
              <w:rPr>
                <w:rFonts w:ascii="Calibri Light" w:eastAsia="Calibri Light" w:hAnsi="Calibri Light" w:cs="Calibri Light"/>
                <w:lang w:val="en-GB"/>
              </w:rPr>
              <w:t xml:space="preserve"> None</w:t>
            </w:r>
          </w:p>
          <w:p w14:paraId="26C013B9" w14:textId="77777777" w:rsidR="006546F7" w:rsidRPr="00C3341B" w:rsidRDefault="006546F7" w:rsidP="00901C62">
            <w:pPr>
              <w:spacing w:after="0" w:line="240" w:lineRule="auto"/>
              <w:rPr>
                <w:rFonts w:eastAsiaTheme="majorEastAsia" w:cstheme="majorBidi"/>
                <w:b/>
                <w:bCs/>
                <w:lang w:val="en-GB"/>
              </w:rPr>
            </w:pPr>
            <w:r w:rsidRPr="00C3341B">
              <w:rPr>
                <w:rFonts w:eastAsia="Calibri Light" w:cs="Calibri Light"/>
                <w:b/>
                <w:bCs/>
                <w:lang w:val="en-GB"/>
              </w:rPr>
              <w:t>Gaps or Extensions</w:t>
            </w:r>
            <w:r w:rsidRPr="00C3341B">
              <w:rPr>
                <w:rFonts w:ascii="Calibri Light" w:eastAsia="Calibri Light" w:hAnsi="Calibri Light" w:cs="Calibri Light"/>
                <w:lang w:val="en-GB"/>
              </w:rPr>
              <w:t xml:space="preserve">: </w:t>
            </w:r>
            <w:r w:rsidRPr="00C3341B">
              <w:rPr>
                <w:rFonts w:ascii="Calibri Light" w:eastAsia="Calibri Light" w:hAnsi="Calibri Light" w:cs="Calibri Light"/>
              </w:rPr>
              <w:t xml:space="preserve">Local placemaking and greening initiatives could </w:t>
            </w:r>
            <w:r>
              <w:rPr>
                <w:rFonts w:ascii="Calibri Light" w:eastAsia="Calibri Light" w:hAnsi="Calibri Light" w:cs="Calibri Light"/>
              </w:rPr>
              <w:t>form</w:t>
            </w:r>
            <w:r w:rsidRPr="00C3341B">
              <w:rPr>
                <w:rFonts w:ascii="Calibri Light" w:eastAsia="Calibri Light" w:hAnsi="Calibri Light" w:cs="Calibri Light"/>
              </w:rPr>
              <w:t xml:space="preserve"> basis </w:t>
            </w:r>
            <w:r>
              <w:rPr>
                <w:rFonts w:ascii="Calibri Light" w:eastAsia="Calibri Light" w:hAnsi="Calibri Light" w:cs="Calibri Light"/>
              </w:rPr>
              <w:t>for</w:t>
            </w:r>
            <w:r w:rsidRPr="00C3341B">
              <w:rPr>
                <w:rFonts w:ascii="Calibri Light" w:eastAsia="Calibri Light" w:hAnsi="Calibri Light" w:cs="Calibri Light"/>
              </w:rPr>
              <w:t xml:space="preserve"> leadership, skill</w:t>
            </w:r>
            <w:r>
              <w:rPr>
                <w:rFonts w:ascii="Calibri Light" w:eastAsia="Calibri Light" w:hAnsi="Calibri Light" w:cs="Calibri Light"/>
              </w:rPr>
              <w:t xml:space="preserve"> </w:t>
            </w:r>
            <w:r w:rsidRPr="00C3341B">
              <w:rPr>
                <w:rFonts w:ascii="Calibri Light" w:eastAsia="Calibri Light" w:hAnsi="Calibri Light" w:cs="Calibri Light"/>
              </w:rPr>
              <w:t>development</w:t>
            </w:r>
            <w:r>
              <w:rPr>
                <w:rFonts w:ascii="Calibri Light" w:eastAsia="Calibri Light" w:hAnsi="Calibri Light" w:cs="Calibri Light"/>
              </w:rPr>
              <w:t>,</w:t>
            </w:r>
            <w:r w:rsidRPr="00C3341B">
              <w:rPr>
                <w:rFonts w:ascii="Calibri Light" w:eastAsia="Calibri Light" w:hAnsi="Calibri Light" w:cs="Calibri Light"/>
              </w:rPr>
              <w:t xml:space="preserve"> and employment </w:t>
            </w:r>
            <w:r w:rsidRPr="00C3341B">
              <w:rPr>
                <w:rFonts w:asciiTheme="majorHAnsi" w:eastAsia="Calibri Light" w:hAnsiTheme="majorHAnsi" w:cs="Calibri Light"/>
              </w:rPr>
              <w:t>programs</w:t>
            </w:r>
            <w:r>
              <w:rPr>
                <w:rFonts w:asciiTheme="majorHAnsi" w:eastAsia="Calibri Light" w:hAnsiTheme="majorHAnsi" w:cs="Calibri Light"/>
              </w:rPr>
              <w:t xml:space="preserve"> (</w:t>
            </w:r>
            <w:r w:rsidRPr="00C3341B">
              <w:rPr>
                <w:rFonts w:asciiTheme="majorHAnsi" w:eastAsiaTheme="majorEastAsia" w:hAnsiTheme="majorHAnsi" w:cstheme="majorBidi"/>
                <w:lang w:val="en-GB"/>
              </w:rPr>
              <w:t>“Green Corps”</w:t>
            </w:r>
            <w:r>
              <w:rPr>
                <w:rFonts w:asciiTheme="majorHAnsi" w:eastAsiaTheme="majorEastAsia" w:hAnsiTheme="majorHAnsi" w:cstheme="majorBidi"/>
                <w:lang w:val="en-GB"/>
              </w:rPr>
              <w:t>?)</w:t>
            </w:r>
          </w:p>
        </w:tc>
      </w:tr>
      <w:tr w:rsidR="006546F7" w14:paraId="1FAE683F" w14:textId="77777777" w:rsidTr="778E395A">
        <w:tc>
          <w:tcPr>
            <w:tcW w:w="14575" w:type="dxa"/>
            <w:shd w:val="clear" w:color="auto" w:fill="AEAAAA" w:themeFill="background2" w:themeFillShade="BF"/>
            <w:vAlign w:val="center"/>
          </w:tcPr>
          <w:p w14:paraId="616C3578" w14:textId="77777777" w:rsidR="006546F7" w:rsidRPr="00601904" w:rsidRDefault="006546F7" w:rsidP="00901C62">
            <w:pPr>
              <w:spacing w:after="0" w:line="257" w:lineRule="auto"/>
              <w:rPr>
                <w:rFonts w:eastAsiaTheme="majorEastAsia" w:cstheme="majorBidi"/>
                <w:b/>
                <w:bCs/>
                <w:sz w:val="4"/>
                <w:szCs w:val="4"/>
                <w:lang w:val="en-GB"/>
              </w:rPr>
            </w:pPr>
          </w:p>
          <w:p w14:paraId="0F4C296E" w14:textId="77777777" w:rsidR="006546F7" w:rsidRDefault="006546F7" w:rsidP="00901C62">
            <w:pPr>
              <w:spacing w:after="0" w:line="257" w:lineRule="auto"/>
              <w:rPr>
                <w:rFonts w:eastAsiaTheme="majorEastAsia" w:cstheme="majorBidi"/>
                <w:b/>
                <w:bCs/>
                <w:lang w:val="en-GB"/>
              </w:rPr>
            </w:pPr>
            <w:r>
              <w:rPr>
                <w:rFonts w:eastAsiaTheme="majorEastAsia" w:cstheme="majorBidi"/>
                <w:b/>
                <w:bCs/>
                <w:lang w:val="en-GB"/>
              </w:rPr>
              <w:t>HEALTH AND WELLBEING</w:t>
            </w:r>
          </w:p>
          <w:p w14:paraId="77DE213F" w14:textId="77777777" w:rsidR="006546F7" w:rsidRPr="00601904" w:rsidRDefault="006546F7" w:rsidP="00901C62">
            <w:pPr>
              <w:spacing w:after="0" w:line="257" w:lineRule="auto"/>
              <w:rPr>
                <w:rFonts w:eastAsiaTheme="majorEastAsia" w:cstheme="majorBidi"/>
                <w:b/>
                <w:bCs/>
                <w:sz w:val="4"/>
                <w:szCs w:val="4"/>
                <w:lang w:val="en-GB"/>
              </w:rPr>
            </w:pPr>
          </w:p>
        </w:tc>
      </w:tr>
      <w:tr w:rsidR="006546F7" w14:paraId="20B22D83" w14:textId="77777777" w:rsidTr="778E395A">
        <w:tc>
          <w:tcPr>
            <w:tcW w:w="14575" w:type="dxa"/>
          </w:tcPr>
          <w:p w14:paraId="00E20432" w14:textId="77777777" w:rsidR="006546F7" w:rsidRPr="00C3341B" w:rsidRDefault="006546F7" w:rsidP="00901C62">
            <w:pPr>
              <w:spacing w:after="0" w:line="240" w:lineRule="auto"/>
            </w:pPr>
            <w:r w:rsidRPr="00C3341B">
              <w:rPr>
                <w:rFonts w:eastAsia="Calibri Light" w:cs="Calibri Light"/>
                <w:b/>
                <w:bCs/>
                <w:lang w:val="en-GB"/>
              </w:rPr>
              <w:t xml:space="preserve">Priority: </w:t>
            </w:r>
            <w:r w:rsidRPr="00C3341B">
              <w:rPr>
                <w:rFonts w:ascii="Calibri Light" w:eastAsia="Calibri Light" w:hAnsi="Calibri Light" w:cs="Calibri Light"/>
                <w:lang w:val="en-GB"/>
              </w:rPr>
              <w:t>One</w:t>
            </w:r>
            <w:r>
              <w:rPr>
                <w:rFonts w:ascii="Calibri Light" w:eastAsia="Calibri Light" w:hAnsi="Calibri Light" w:cs="Calibri Light"/>
                <w:lang w:val="en-GB"/>
              </w:rPr>
              <w:t>-s</w:t>
            </w:r>
            <w:r w:rsidRPr="00C3341B">
              <w:rPr>
                <w:rFonts w:ascii="Calibri Light" w:eastAsia="Calibri Light" w:hAnsi="Calibri Light" w:cs="Calibri Light"/>
                <w:lang w:val="en-GB"/>
              </w:rPr>
              <w:t xml:space="preserve">top health and other service hubs, </w:t>
            </w:r>
            <w:r>
              <w:rPr>
                <w:rFonts w:ascii="Calibri Light" w:eastAsia="Calibri Light" w:hAnsi="Calibri Light" w:cs="Calibri Light"/>
                <w:lang w:val="en-GB"/>
              </w:rPr>
              <w:t>including</w:t>
            </w:r>
            <w:r w:rsidRPr="00C3341B">
              <w:rPr>
                <w:rFonts w:ascii="Calibri Light" w:eastAsia="Calibri Light" w:hAnsi="Calibri Light" w:cs="Calibri Light"/>
                <w:lang w:val="en-GB"/>
              </w:rPr>
              <w:t xml:space="preserve"> mental health</w:t>
            </w:r>
          </w:p>
          <w:p w14:paraId="79C79454" w14:textId="77777777" w:rsidR="006546F7" w:rsidRPr="00C3341B" w:rsidRDefault="006546F7" w:rsidP="00901C62">
            <w:pPr>
              <w:spacing w:after="0" w:line="240" w:lineRule="auto"/>
              <w:rPr>
                <w:rFonts w:ascii="Calibri Light" w:eastAsia="Calibri Light" w:hAnsi="Calibri Light" w:cs="Calibri Light"/>
                <w:lang w:val="en-GB"/>
              </w:rPr>
            </w:pPr>
            <w:r w:rsidRPr="00C3341B">
              <w:rPr>
                <w:rFonts w:eastAsia="Calibri Light" w:cs="Calibri Light"/>
                <w:b/>
                <w:bCs/>
                <w:lang w:val="en-GB"/>
              </w:rPr>
              <w:t>Relevant Policy:</w:t>
            </w:r>
            <w:r w:rsidRPr="00C3341B">
              <w:rPr>
                <w:rFonts w:ascii="Calibri Light" w:eastAsia="Calibri Light" w:hAnsi="Calibri Light" w:cs="Calibri Light"/>
                <w:lang w:val="en-GB"/>
              </w:rPr>
              <w:t xml:space="preserve"> Social Infrastructure Plan (2020</w:t>
            </w:r>
            <w:r>
              <w:rPr>
                <w:rFonts w:ascii="Calibri Light" w:eastAsia="Calibri Light" w:hAnsi="Calibri Light" w:cs="Calibri Light"/>
                <w:lang w:val="en-GB"/>
              </w:rPr>
              <w:t>–</w:t>
            </w:r>
            <w:r w:rsidRPr="00C3341B">
              <w:rPr>
                <w:rFonts w:ascii="Calibri Light" w:eastAsia="Calibri Light" w:hAnsi="Calibri Light" w:cs="Calibri Light"/>
                <w:lang w:val="en-GB"/>
              </w:rPr>
              <w:t>2023), Municipal Public Health and Well-being Plan (2018</w:t>
            </w:r>
            <w:r>
              <w:rPr>
                <w:rFonts w:ascii="Calibri Light" w:eastAsia="Calibri Light" w:hAnsi="Calibri Light" w:cs="Calibri Light"/>
                <w:lang w:val="en-GB"/>
              </w:rPr>
              <w:t>–</w:t>
            </w:r>
            <w:r w:rsidRPr="00C3341B">
              <w:rPr>
                <w:rFonts w:ascii="Calibri Light" w:eastAsia="Calibri Light" w:hAnsi="Calibri Light" w:cs="Calibri Light"/>
                <w:lang w:val="en-GB"/>
              </w:rPr>
              <w:t>2021)</w:t>
            </w:r>
          </w:p>
          <w:p w14:paraId="7892541F" w14:textId="77777777" w:rsidR="006546F7" w:rsidRPr="00C3341B" w:rsidRDefault="006546F7" w:rsidP="00901C62">
            <w:pPr>
              <w:spacing w:after="0" w:line="240" w:lineRule="auto"/>
            </w:pPr>
            <w:r w:rsidRPr="00C3341B">
              <w:rPr>
                <w:rFonts w:eastAsia="Calibri Light" w:cs="Calibri Light"/>
                <w:b/>
                <w:bCs/>
                <w:lang w:val="en-GB"/>
              </w:rPr>
              <w:t>Gaps or Extensions</w:t>
            </w:r>
            <w:r w:rsidRPr="00C3341B">
              <w:rPr>
                <w:rFonts w:ascii="Calibri Light" w:eastAsia="Calibri Light" w:hAnsi="Calibri Light" w:cs="Calibri Light"/>
                <w:lang w:val="en-GB"/>
              </w:rPr>
              <w:t>: Plans do not include such facilities and moves to only “assess” need in Whittington. Need to accelerate this</w:t>
            </w:r>
          </w:p>
        </w:tc>
      </w:tr>
      <w:tr w:rsidR="006546F7" w14:paraId="2AD4B07E" w14:textId="77777777" w:rsidTr="778E395A">
        <w:tc>
          <w:tcPr>
            <w:tcW w:w="14575" w:type="dxa"/>
          </w:tcPr>
          <w:p w14:paraId="6E88C4FE" w14:textId="77777777" w:rsidR="006546F7" w:rsidRPr="00C3341B" w:rsidRDefault="006546F7" w:rsidP="00901C62">
            <w:pPr>
              <w:spacing w:after="0" w:line="240" w:lineRule="auto"/>
            </w:pPr>
            <w:r w:rsidRPr="00C3341B">
              <w:rPr>
                <w:rFonts w:eastAsia="Calibri Light" w:cs="Calibri Light"/>
                <w:b/>
                <w:bCs/>
                <w:lang w:val="en-GB"/>
              </w:rPr>
              <w:t xml:space="preserve">Priority: </w:t>
            </w:r>
            <w:r w:rsidRPr="00C3341B">
              <w:rPr>
                <w:rFonts w:ascii="Calibri Light" w:eastAsia="Calibri Light" w:hAnsi="Calibri Light" w:cs="Calibri Light"/>
                <w:lang w:val="en-GB"/>
              </w:rPr>
              <w:t>Address endemic domestic violence in these localities</w:t>
            </w:r>
          </w:p>
          <w:p w14:paraId="0FFA2C47" w14:textId="77777777" w:rsidR="006546F7" w:rsidRPr="001F29E2" w:rsidRDefault="006546F7" w:rsidP="00901C62">
            <w:pPr>
              <w:spacing w:after="0" w:line="240" w:lineRule="auto"/>
              <w:rPr>
                <w:rFonts w:eastAsiaTheme="majorEastAsia" w:cstheme="majorBidi"/>
                <w:b/>
                <w:bCs/>
                <w:lang w:val="en-GB"/>
              </w:rPr>
            </w:pPr>
            <w:r w:rsidRPr="00C3341B">
              <w:rPr>
                <w:rFonts w:eastAsia="Calibri Light" w:cs="Calibri Light"/>
                <w:b/>
                <w:bCs/>
                <w:lang w:val="en-GB"/>
              </w:rPr>
              <w:t>Relevant Policy:</w:t>
            </w:r>
            <w:r w:rsidRPr="00C3341B">
              <w:rPr>
                <w:rFonts w:ascii="Calibri Light" w:eastAsia="Calibri Light" w:hAnsi="Calibri Light" w:cs="Calibri Light"/>
                <w:lang w:val="en-GB"/>
              </w:rPr>
              <w:t xml:space="preserve"> </w:t>
            </w:r>
            <w:r w:rsidRPr="001F29E2">
              <w:rPr>
                <w:rFonts w:ascii="Calibri Light" w:eastAsia="Calibri Light" w:hAnsi="Calibri Light" w:cs="Calibri Light"/>
                <w:lang w:val="en-GB"/>
              </w:rPr>
              <w:t>Preventing and Addressing Violence Against Women and Children in the G21 Region 2016–2020 (2015)</w:t>
            </w:r>
          </w:p>
          <w:p w14:paraId="0B8157C5" w14:textId="77777777" w:rsidR="006546F7" w:rsidRPr="00C3341B" w:rsidRDefault="006546F7" w:rsidP="00901C62">
            <w:pPr>
              <w:spacing w:after="0" w:line="240" w:lineRule="auto"/>
              <w:rPr>
                <w:rFonts w:eastAsiaTheme="majorEastAsia" w:cstheme="majorBidi"/>
                <w:b/>
                <w:bCs/>
                <w:lang w:val="en-GB"/>
              </w:rPr>
            </w:pPr>
            <w:r w:rsidRPr="00C3341B">
              <w:rPr>
                <w:rFonts w:eastAsia="Calibri Light" w:cs="Calibri Light"/>
                <w:b/>
                <w:bCs/>
                <w:lang w:val="en-GB"/>
              </w:rPr>
              <w:t>Applicable Sections:</w:t>
            </w:r>
            <w:r w:rsidRPr="00C3341B">
              <w:rPr>
                <w:rFonts w:ascii="Calibri Light" w:eastAsia="Calibri Light" w:hAnsi="Calibri Light" w:cs="Calibri Light"/>
                <w:lang w:val="en-GB"/>
              </w:rPr>
              <w:t xml:space="preserve"> </w:t>
            </w:r>
            <w:r>
              <w:rPr>
                <w:rFonts w:ascii="Calibri Light" w:eastAsia="Calibri Light" w:hAnsi="Calibri Light" w:cs="Calibri Light"/>
                <w:lang w:val="en-GB"/>
              </w:rPr>
              <w:t>All</w:t>
            </w:r>
            <w:r w:rsidRPr="00C3341B">
              <w:rPr>
                <w:rFonts w:ascii="Calibri Light" w:eastAsia="Calibri Light" w:hAnsi="Calibri Light" w:cs="Calibri Light"/>
                <w:lang w:val="en-GB"/>
              </w:rPr>
              <w:t xml:space="preserve"> </w:t>
            </w:r>
            <w:r>
              <w:rPr>
                <w:rFonts w:ascii="Calibri Light" w:eastAsia="Calibri Light" w:hAnsi="Calibri Light" w:cs="Calibri Light"/>
                <w:lang w:val="en-GB"/>
              </w:rPr>
              <w:t xml:space="preserve">relevant </w:t>
            </w:r>
            <w:r w:rsidRPr="00C3341B">
              <w:rPr>
                <w:rFonts w:ascii="Calibri Light" w:eastAsia="Calibri Light" w:hAnsi="Calibri Light" w:cs="Calibri Light"/>
                <w:lang w:val="en-GB"/>
              </w:rPr>
              <w:t xml:space="preserve">organisations </w:t>
            </w:r>
            <w:r>
              <w:rPr>
                <w:rFonts w:ascii="Calibri Light" w:eastAsia="Calibri Light" w:hAnsi="Calibri Light" w:cs="Calibri Light"/>
                <w:lang w:val="en-GB"/>
              </w:rPr>
              <w:t>should work</w:t>
            </w:r>
            <w:r w:rsidRPr="00C3341B">
              <w:rPr>
                <w:rFonts w:ascii="Calibri Light" w:eastAsia="Calibri Light" w:hAnsi="Calibri Light" w:cs="Calibri Light"/>
                <w:lang w:val="en-GB"/>
              </w:rPr>
              <w:t xml:space="preserve"> together to strengthen regional</w:t>
            </w:r>
            <w:r>
              <w:rPr>
                <w:rFonts w:ascii="Calibri Light" w:eastAsia="Calibri Light" w:hAnsi="Calibri Light" w:cs="Calibri Light"/>
                <w:lang w:val="en-GB"/>
              </w:rPr>
              <w:t xml:space="preserve"> l</w:t>
            </w:r>
            <w:r w:rsidRPr="00C3341B">
              <w:rPr>
                <w:rFonts w:ascii="Calibri Light" w:eastAsia="Calibri Light" w:hAnsi="Calibri Light" w:cs="Calibri Light"/>
                <w:lang w:val="en-GB"/>
              </w:rPr>
              <w:t>eadership</w:t>
            </w:r>
            <w:r>
              <w:rPr>
                <w:rFonts w:ascii="Calibri Light" w:eastAsia="Calibri Light" w:hAnsi="Calibri Light" w:cs="Calibri Light"/>
                <w:lang w:val="en-GB"/>
              </w:rPr>
              <w:t>, o</w:t>
            </w:r>
            <w:r w:rsidRPr="00C3341B">
              <w:rPr>
                <w:rFonts w:ascii="Calibri Light" w:eastAsia="Calibri Light" w:hAnsi="Calibri Light" w:cs="Calibri Light"/>
                <w:lang w:val="en-GB"/>
              </w:rPr>
              <w:t>rganisational capacity</w:t>
            </w:r>
            <w:r>
              <w:rPr>
                <w:rFonts w:ascii="Calibri Light" w:eastAsia="Calibri Light" w:hAnsi="Calibri Light" w:cs="Calibri Light"/>
                <w:lang w:val="en-GB"/>
              </w:rPr>
              <w:t>, k</w:t>
            </w:r>
            <w:r w:rsidRPr="00C3341B">
              <w:rPr>
                <w:rFonts w:ascii="Calibri Light" w:eastAsia="Calibri Light" w:hAnsi="Calibri Light" w:cs="Calibri Light"/>
                <w:lang w:val="en-GB"/>
              </w:rPr>
              <w:t>ey messages</w:t>
            </w:r>
            <w:r>
              <w:rPr>
                <w:rFonts w:ascii="Calibri Light" w:eastAsia="Calibri Light" w:hAnsi="Calibri Light" w:cs="Calibri Light"/>
                <w:lang w:val="en-GB"/>
              </w:rPr>
              <w:t xml:space="preserve">, and </w:t>
            </w:r>
            <w:r w:rsidRPr="00C3341B">
              <w:rPr>
                <w:rFonts w:ascii="Calibri Light" w:eastAsia="Calibri Light" w:hAnsi="Calibri Light" w:cs="Calibri Light"/>
                <w:lang w:val="en-GB"/>
              </w:rPr>
              <w:t>evidence base</w:t>
            </w:r>
          </w:p>
          <w:p w14:paraId="7C10C7FA" w14:textId="77777777" w:rsidR="006546F7" w:rsidRPr="00C3341B" w:rsidRDefault="006546F7" w:rsidP="00901C62">
            <w:pPr>
              <w:spacing w:after="0" w:line="240" w:lineRule="auto"/>
              <w:rPr>
                <w:rFonts w:ascii="Calibri Light" w:eastAsia="Calibri Light" w:hAnsi="Calibri Light" w:cs="Calibri Light"/>
                <w:lang w:val="en-GB"/>
              </w:rPr>
            </w:pPr>
            <w:r w:rsidRPr="00C3341B">
              <w:rPr>
                <w:rFonts w:eastAsia="Calibri Light" w:cs="Calibri Light"/>
                <w:b/>
                <w:bCs/>
                <w:lang w:val="en-GB"/>
              </w:rPr>
              <w:t>Gaps or Extensions</w:t>
            </w:r>
            <w:r w:rsidRPr="00C3341B">
              <w:rPr>
                <w:rFonts w:ascii="Calibri Light" w:eastAsia="Calibri Light" w:hAnsi="Calibri Light" w:cs="Calibri Light"/>
                <w:lang w:val="en-GB"/>
              </w:rPr>
              <w:t xml:space="preserve">: No specific actions for these </w:t>
            </w:r>
            <w:r>
              <w:rPr>
                <w:rFonts w:ascii="Calibri Light" w:eastAsia="Calibri Light" w:hAnsi="Calibri Light" w:cs="Calibri Light"/>
                <w:lang w:val="en-GB"/>
              </w:rPr>
              <w:t>localities</w:t>
            </w:r>
            <w:r w:rsidRPr="00C3341B">
              <w:rPr>
                <w:rFonts w:ascii="Calibri Light" w:eastAsia="Calibri Light" w:hAnsi="Calibri Light" w:cs="Calibri Light"/>
                <w:lang w:val="en-GB"/>
              </w:rPr>
              <w:t>. Need intervention programs, emergency housing, male anti-violence programs</w:t>
            </w:r>
          </w:p>
        </w:tc>
      </w:tr>
      <w:tr w:rsidR="006546F7" w14:paraId="7A1E9373" w14:textId="77777777" w:rsidTr="778E395A">
        <w:tc>
          <w:tcPr>
            <w:tcW w:w="14575" w:type="dxa"/>
          </w:tcPr>
          <w:p w14:paraId="3C839030" w14:textId="77777777" w:rsidR="006546F7" w:rsidRPr="00C3341B" w:rsidRDefault="006546F7" w:rsidP="00901C62">
            <w:pPr>
              <w:spacing w:after="0" w:line="240" w:lineRule="auto"/>
              <w:rPr>
                <w:rFonts w:asciiTheme="majorHAnsi" w:eastAsia="Calibri Light" w:hAnsiTheme="majorHAnsi" w:cs="Calibri Light"/>
                <w:b/>
                <w:bCs/>
                <w:lang w:val="en-GB"/>
              </w:rPr>
            </w:pPr>
            <w:r w:rsidRPr="00C3341B">
              <w:rPr>
                <w:rFonts w:eastAsia="Calibri Light" w:cs="Calibri Light"/>
                <w:b/>
                <w:bCs/>
                <w:lang w:val="en-GB"/>
              </w:rPr>
              <w:t xml:space="preserve">Priority: </w:t>
            </w:r>
            <w:r w:rsidRPr="00DE1953">
              <w:rPr>
                <w:rFonts w:asciiTheme="majorHAnsi" w:eastAsia="Calibri Light" w:hAnsiTheme="majorHAnsi" w:cstheme="majorHAnsi"/>
                <w:lang w:val="en-GB"/>
              </w:rPr>
              <w:t>Health and other information needs to be clear and accessible, culturally appropriate; and delivered effectively in both digital and non-digital formats</w:t>
            </w:r>
          </w:p>
          <w:p w14:paraId="1E3F670B" w14:textId="77777777" w:rsidR="006546F7" w:rsidRPr="00DE1953" w:rsidRDefault="006546F7" w:rsidP="00901C62">
            <w:pPr>
              <w:spacing w:after="0" w:line="240" w:lineRule="auto"/>
              <w:rPr>
                <w:rFonts w:eastAsiaTheme="majorEastAsia" w:cstheme="majorBidi"/>
                <w:b/>
                <w:bCs/>
                <w:lang w:val="en-GB"/>
              </w:rPr>
            </w:pPr>
            <w:r w:rsidRPr="00C3341B">
              <w:rPr>
                <w:rFonts w:eastAsia="Calibri Light" w:cs="Calibri Light"/>
                <w:b/>
                <w:bCs/>
                <w:lang w:val="en-GB"/>
              </w:rPr>
              <w:t>Relevant Policy:</w:t>
            </w:r>
            <w:r w:rsidRPr="00C3341B">
              <w:rPr>
                <w:rFonts w:ascii="Calibri Light" w:eastAsia="Calibri Light" w:hAnsi="Calibri Light" w:cs="Calibri Light"/>
                <w:lang w:val="en-GB"/>
              </w:rPr>
              <w:t xml:space="preserve"> </w:t>
            </w:r>
            <w:r w:rsidRPr="00DE1953">
              <w:rPr>
                <w:rFonts w:ascii="Calibri Light" w:eastAsia="Calibri Light" w:hAnsi="Calibri Light" w:cs="Calibri Light"/>
                <w:lang w:val="en-GB"/>
              </w:rPr>
              <w:t>Municipal Public Health and Well-being Plan (2018–2021)</w:t>
            </w:r>
          </w:p>
          <w:p w14:paraId="0160D02A" w14:textId="77777777" w:rsidR="006546F7" w:rsidRPr="00C3341B" w:rsidRDefault="006546F7" w:rsidP="00901C62">
            <w:pPr>
              <w:spacing w:after="0" w:line="240" w:lineRule="auto"/>
            </w:pPr>
            <w:r w:rsidRPr="00C3341B">
              <w:rPr>
                <w:rFonts w:eastAsia="Calibri Light" w:cs="Calibri Light"/>
                <w:b/>
                <w:bCs/>
                <w:lang w:val="en-GB"/>
              </w:rPr>
              <w:t>Gaps or Extensions</w:t>
            </w:r>
            <w:r w:rsidRPr="00C3341B">
              <w:rPr>
                <w:rFonts w:ascii="Calibri Light" w:eastAsia="Calibri Light" w:hAnsi="Calibri Light" w:cs="Calibri Light"/>
                <w:lang w:val="en-GB"/>
              </w:rPr>
              <w:t xml:space="preserve">: </w:t>
            </w:r>
            <w:r w:rsidRPr="00C3341B">
              <w:rPr>
                <w:rFonts w:ascii="Calibri Light" w:eastAsia="Calibri Light" w:hAnsi="Calibri Light" w:cs="Calibri Light"/>
              </w:rPr>
              <w:t xml:space="preserve">Does not mention information delivery. </w:t>
            </w:r>
            <w:r w:rsidRPr="00C3341B">
              <w:rPr>
                <w:rFonts w:ascii="Calibri Light" w:eastAsia="Calibri Light" w:hAnsi="Calibri Light" w:cs="Calibri Light"/>
                <w:lang w:val="en-GB"/>
              </w:rPr>
              <w:t>Need to extend telehealth and culturally appropriate analogue</w:t>
            </w:r>
            <w:r>
              <w:rPr>
                <w:rFonts w:ascii="Calibri Light" w:eastAsia="Calibri Light" w:hAnsi="Calibri Light" w:cs="Calibri Light"/>
                <w:lang w:val="en-GB"/>
              </w:rPr>
              <w:t xml:space="preserve"> and digital</w:t>
            </w:r>
            <w:r w:rsidRPr="00C3341B">
              <w:rPr>
                <w:rFonts w:ascii="Calibri Light" w:eastAsia="Calibri Light" w:hAnsi="Calibri Light" w:cs="Calibri Light"/>
                <w:lang w:val="en-GB"/>
              </w:rPr>
              <w:t xml:space="preserve"> mechanisms</w:t>
            </w:r>
            <w:r>
              <w:rPr>
                <w:rFonts w:ascii="Calibri Light" w:eastAsia="Calibri Light" w:hAnsi="Calibri Light" w:cs="Calibri Light"/>
                <w:lang w:val="en-GB"/>
              </w:rPr>
              <w:t>.</w:t>
            </w:r>
          </w:p>
        </w:tc>
      </w:tr>
      <w:tr w:rsidR="006546F7" w14:paraId="5A6BAE7C" w14:textId="77777777" w:rsidTr="778E395A">
        <w:tc>
          <w:tcPr>
            <w:tcW w:w="14575" w:type="dxa"/>
          </w:tcPr>
          <w:p w14:paraId="020BABD4" w14:textId="77777777" w:rsidR="006546F7" w:rsidRPr="00C3341B" w:rsidRDefault="006546F7" w:rsidP="00901C62">
            <w:pPr>
              <w:spacing w:after="0" w:line="240" w:lineRule="auto"/>
            </w:pPr>
            <w:r w:rsidRPr="00C3341B">
              <w:rPr>
                <w:rFonts w:eastAsia="Calibri Light" w:cs="Calibri Light"/>
                <w:b/>
                <w:bCs/>
                <w:lang w:val="en-GB"/>
              </w:rPr>
              <w:t xml:space="preserve">Priority: </w:t>
            </w:r>
            <w:r w:rsidRPr="00C3341B">
              <w:rPr>
                <w:rFonts w:ascii="Calibri Light" w:eastAsia="Calibri Light" w:hAnsi="Calibri Light" w:cs="Calibri Light"/>
              </w:rPr>
              <w:t xml:space="preserve">More and better </w:t>
            </w:r>
            <w:r>
              <w:rPr>
                <w:rFonts w:ascii="Calibri Light" w:eastAsia="Calibri Light" w:hAnsi="Calibri Light" w:cs="Calibri Light"/>
              </w:rPr>
              <w:t xml:space="preserve">locally based services for </w:t>
            </w:r>
            <w:r w:rsidRPr="00C3341B">
              <w:rPr>
                <w:rFonts w:ascii="Calibri Light" w:eastAsia="Calibri Light" w:hAnsi="Calibri Light" w:cs="Calibri Light"/>
              </w:rPr>
              <w:t>mental health</w:t>
            </w:r>
            <w:r>
              <w:rPr>
                <w:rFonts w:ascii="Calibri Light" w:eastAsia="Calibri Light" w:hAnsi="Calibri Light" w:cs="Calibri Light"/>
              </w:rPr>
              <w:t>,</w:t>
            </w:r>
            <w:r w:rsidRPr="00C3341B">
              <w:rPr>
                <w:rFonts w:ascii="Calibri Light" w:eastAsia="Calibri Light" w:hAnsi="Calibri Light" w:cs="Calibri Light"/>
              </w:rPr>
              <w:t xml:space="preserve"> suicide prevention</w:t>
            </w:r>
            <w:r>
              <w:rPr>
                <w:rFonts w:ascii="Calibri Light" w:eastAsia="Calibri Light" w:hAnsi="Calibri Light" w:cs="Calibri Light"/>
              </w:rPr>
              <w:t>,</w:t>
            </w:r>
            <w:r w:rsidRPr="00C3341B">
              <w:rPr>
                <w:rFonts w:ascii="Calibri Light" w:eastAsia="Calibri Light" w:hAnsi="Calibri Light" w:cs="Calibri Light"/>
              </w:rPr>
              <w:t xml:space="preserve"> </w:t>
            </w:r>
            <w:r>
              <w:rPr>
                <w:rFonts w:ascii="Calibri Light" w:eastAsia="Calibri Light" w:hAnsi="Calibri Light" w:cs="Calibri Light"/>
              </w:rPr>
              <w:t>and</w:t>
            </w:r>
            <w:r w:rsidRPr="00C3341B">
              <w:rPr>
                <w:rFonts w:ascii="Calibri Light" w:eastAsia="Calibri Light" w:hAnsi="Calibri Light" w:cs="Calibri Light"/>
              </w:rPr>
              <w:t xml:space="preserve"> drug and alcohol </w:t>
            </w:r>
            <w:r>
              <w:rPr>
                <w:rFonts w:ascii="Calibri Light" w:eastAsia="Calibri Light" w:hAnsi="Calibri Light" w:cs="Calibri Light"/>
              </w:rPr>
              <w:t>support</w:t>
            </w:r>
          </w:p>
          <w:p w14:paraId="14CB8536" w14:textId="77777777" w:rsidR="006546F7" w:rsidRPr="00C3341B" w:rsidRDefault="006546F7" w:rsidP="00901C62">
            <w:pPr>
              <w:spacing w:after="0" w:line="240" w:lineRule="auto"/>
              <w:rPr>
                <w:rFonts w:eastAsiaTheme="majorEastAsia" w:cstheme="majorBidi"/>
                <w:b/>
                <w:bCs/>
                <w:lang w:val="en-GB"/>
              </w:rPr>
            </w:pPr>
            <w:r w:rsidRPr="00C3341B">
              <w:rPr>
                <w:rFonts w:eastAsia="Calibri Light" w:cs="Calibri Light"/>
                <w:b/>
                <w:bCs/>
                <w:lang w:val="en-GB"/>
              </w:rPr>
              <w:t>Relevant Policy:</w:t>
            </w:r>
            <w:r w:rsidRPr="00C3341B">
              <w:rPr>
                <w:rFonts w:ascii="Calibri Light" w:eastAsia="Calibri Light" w:hAnsi="Calibri Light" w:cs="Calibri Light"/>
                <w:lang w:val="en-GB"/>
              </w:rPr>
              <w:t xml:space="preserve"> Municipal Public Health and Well-being Plan (2018</w:t>
            </w:r>
            <w:r>
              <w:rPr>
                <w:rFonts w:ascii="Calibri Light" w:eastAsia="Calibri Light" w:hAnsi="Calibri Light" w:cs="Calibri Light"/>
                <w:lang w:val="en-GB"/>
              </w:rPr>
              <w:t>–</w:t>
            </w:r>
            <w:r w:rsidRPr="00C3341B">
              <w:rPr>
                <w:rFonts w:ascii="Calibri Light" w:eastAsia="Calibri Light" w:hAnsi="Calibri Light" w:cs="Calibri Light"/>
                <w:lang w:val="en-GB"/>
              </w:rPr>
              <w:t>2021)</w:t>
            </w:r>
          </w:p>
          <w:p w14:paraId="5EC22E00" w14:textId="77777777" w:rsidR="006546F7" w:rsidRPr="00C3341B" w:rsidRDefault="006546F7" w:rsidP="00901C62">
            <w:pPr>
              <w:spacing w:after="0" w:line="240" w:lineRule="auto"/>
            </w:pPr>
            <w:r w:rsidRPr="00C3341B">
              <w:rPr>
                <w:rFonts w:eastAsia="Calibri Light" w:cs="Calibri Light"/>
                <w:b/>
                <w:bCs/>
                <w:lang w:val="en-GB"/>
              </w:rPr>
              <w:t>Gaps or Extensions</w:t>
            </w:r>
            <w:r w:rsidRPr="00C3341B">
              <w:rPr>
                <w:rFonts w:ascii="Calibri Light" w:eastAsia="Calibri Light" w:hAnsi="Calibri Light" w:cs="Calibri Light"/>
                <w:lang w:val="en-GB"/>
              </w:rPr>
              <w:t xml:space="preserve">: </w:t>
            </w:r>
            <w:r>
              <w:rPr>
                <w:rFonts w:ascii="Calibri Light" w:eastAsia="Calibri Light" w:hAnsi="Calibri Light" w:cs="Calibri Light"/>
                <w:lang w:val="en-GB"/>
              </w:rPr>
              <w:t>S</w:t>
            </w:r>
            <w:r w:rsidRPr="00C3341B">
              <w:rPr>
                <w:rFonts w:ascii="Calibri Light" w:eastAsia="Calibri Light" w:hAnsi="Calibri Light" w:cs="Calibri Light"/>
                <w:lang w:val="en-GB"/>
              </w:rPr>
              <w:t xml:space="preserve">erious gaps </w:t>
            </w:r>
            <w:r>
              <w:rPr>
                <w:rFonts w:ascii="Calibri Light" w:eastAsia="Calibri Light" w:hAnsi="Calibri Light" w:cs="Calibri Light"/>
                <w:lang w:val="en-GB"/>
              </w:rPr>
              <w:t>exist</w:t>
            </w:r>
            <w:r w:rsidRPr="00C3341B">
              <w:rPr>
                <w:rFonts w:ascii="Calibri Light" w:eastAsia="Calibri Light" w:hAnsi="Calibri Light" w:cs="Calibri Light"/>
                <w:lang w:val="en-GB"/>
              </w:rPr>
              <w:t xml:space="preserve"> in service provision and accessibility</w:t>
            </w:r>
          </w:p>
        </w:tc>
      </w:tr>
      <w:tr w:rsidR="006546F7" w14:paraId="5E6213F6" w14:textId="77777777" w:rsidTr="778E395A">
        <w:tc>
          <w:tcPr>
            <w:tcW w:w="14575" w:type="dxa"/>
            <w:shd w:val="clear" w:color="auto" w:fill="AEAAAA" w:themeFill="background2" w:themeFillShade="BF"/>
            <w:vAlign w:val="center"/>
          </w:tcPr>
          <w:p w14:paraId="7011A7E1" w14:textId="77777777" w:rsidR="006546F7" w:rsidRPr="00601904" w:rsidRDefault="006546F7" w:rsidP="00901C62">
            <w:pPr>
              <w:spacing w:after="0" w:line="257" w:lineRule="auto"/>
              <w:rPr>
                <w:rFonts w:eastAsiaTheme="majorEastAsia" w:cstheme="majorBidi"/>
                <w:b/>
                <w:bCs/>
                <w:sz w:val="4"/>
                <w:szCs w:val="4"/>
                <w:lang w:val="en-GB"/>
              </w:rPr>
            </w:pPr>
          </w:p>
          <w:p w14:paraId="706264F6" w14:textId="77777777" w:rsidR="006546F7" w:rsidRDefault="006546F7" w:rsidP="00901C62">
            <w:pPr>
              <w:spacing w:after="0" w:line="257" w:lineRule="auto"/>
              <w:rPr>
                <w:rFonts w:eastAsiaTheme="majorEastAsia" w:cstheme="majorBidi"/>
                <w:b/>
                <w:bCs/>
                <w:lang w:val="en-GB"/>
              </w:rPr>
            </w:pPr>
            <w:r>
              <w:rPr>
                <w:rFonts w:eastAsiaTheme="majorEastAsia" w:cstheme="majorBidi"/>
                <w:b/>
                <w:bCs/>
                <w:lang w:val="en-GB"/>
              </w:rPr>
              <w:t>HOUSING</w:t>
            </w:r>
          </w:p>
          <w:p w14:paraId="09C825E2" w14:textId="77777777" w:rsidR="006546F7" w:rsidRPr="00601904" w:rsidRDefault="006546F7" w:rsidP="00901C62">
            <w:pPr>
              <w:spacing w:after="0" w:line="257" w:lineRule="auto"/>
              <w:rPr>
                <w:rFonts w:eastAsiaTheme="majorEastAsia" w:cstheme="majorBidi"/>
                <w:b/>
                <w:bCs/>
                <w:sz w:val="4"/>
                <w:szCs w:val="4"/>
                <w:lang w:val="en-GB"/>
              </w:rPr>
            </w:pPr>
          </w:p>
        </w:tc>
      </w:tr>
      <w:tr w:rsidR="006546F7" w14:paraId="17881435" w14:textId="77777777" w:rsidTr="778E395A">
        <w:tc>
          <w:tcPr>
            <w:tcW w:w="14575" w:type="dxa"/>
          </w:tcPr>
          <w:p w14:paraId="73A49B6E" w14:textId="77777777" w:rsidR="006546F7" w:rsidRPr="0080632A" w:rsidRDefault="006546F7" w:rsidP="00901C62">
            <w:pPr>
              <w:spacing w:after="0" w:line="240" w:lineRule="auto"/>
            </w:pPr>
            <w:r w:rsidRPr="000D21E7">
              <w:rPr>
                <w:rFonts w:eastAsia="Calibri Light" w:cs="Calibri Light"/>
                <w:b/>
                <w:bCs/>
                <w:lang w:val="en-GB"/>
              </w:rPr>
              <w:t xml:space="preserve">Priority: </w:t>
            </w:r>
            <w:r w:rsidRPr="4D79C869">
              <w:rPr>
                <w:rFonts w:ascii="Calibri Light" w:eastAsia="Calibri Light" w:hAnsi="Calibri Light" w:cs="Calibri Light"/>
              </w:rPr>
              <w:t xml:space="preserve">Increase </w:t>
            </w:r>
            <w:r>
              <w:rPr>
                <w:rFonts w:ascii="Calibri Light" w:eastAsia="Calibri Light" w:hAnsi="Calibri Light" w:cs="Calibri Light"/>
              </w:rPr>
              <w:t>supply</w:t>
            </w:r>
            <w:r w:rsidRPr="4D79C869">
              <w:rPr>
                <w:rFonts w:ascii="Calibri Light" w:eastAsia="Calibri Light" w:hAnsi="Calibri Light" w:cs="Calibri Light"/>
              </w:rPr>
              <w:t xml:space="preserve"> of social and affordable housing in in Corio</w:t>
            </w:r>
            <w:r>
              <w:rPr>
                <w:rFonts w:ascii="Calibri Light" w:eastAsia="Calibri Light" w:hAnsi="Calibri Light" w:cs="Calibri Light"/>
              </w:rPr>
              <w:t xml:space="preserve">, </w:t>
            </w:r>
            <w:r w:rsidRPr="4D79C869">
              <w:rPr>
                <w:rFonts w:ascii="Calibri Light" w:eastAsia="Calibri Light" w:hAnsi="Calibri Light" w:cs="Calibri Light"/>
              </w:rPr>
              <w:t>Norlane</w:t>
            </w:r>
            <w:r>
              <w:rPr>
                <w:rFonts w:ascii="Calibri Light" w:eastAsia="Calibri Light" w:hAnsi="Calibri Light" w:cs="Calibri Light"/>
              </w:rPr>
              <w:t>, Whittington.</w:t>
            </w:r>
            <w:r w:rsidRPr="4D79C869">
              <w:rPr>
                <w:rFonts w:ascii="Calibri Light" w:eastAsia="Calibri Light" w:hAnsi="Calibri Light" w:cs="Calibri Light"/>
              </w:rPr>
              <w:t xml:space="preserve"> Upgrade existing public housing stock</w:t>
            </w:r>
            <w:r>
              <w:rPr>
                <w:rFonts w:ascii="Calibri Light" w:eastAsia="Calibri Light" w:hAnsi="Calibri Light" w:cs="Calibri Light"/>
              </w:rPr>
              <w:t>.</w:t>
            </w:r>
          </w:p>
          <w:p w14:paraId="0CEBCDB7" w14:textId="77777777" w:rsidR="006546F7" w:rsidRPr="00681C02" w:rsidRDefault="006546F7" w:rsidP="00901C62">
            <w:pPr>
              <w:spacing w:after="0" w:line="240" w:lineRule="auto"/>
            </w:pPr>
            <w:r w:rsidRPr="000D21E7">
              <w:rPr>
                <w:rFonts w:eastAsia="Calibri Light" w:cs="Calibri Light"/>
                <w:b/>
                <w:bCs/>
                <w:lang w:val="en-GB"/>
              </w:rPr>
              <w:t>Relevant Policy:</w:t>
            </w:r>
            <w:r w:rsidRPr="000D21E7">
              <w:rPr>
                <w:rFonts w:ascii="Calibri Light" w:eastAsia="Calibri Light" w:hAnsi="Calibri Light" w:cs="Calibri Light"/>
                <w:lang w:val="en-GB"/>
              </w:rPr>
              <w:t xml:space="preserve"> </w:t>
            </w:r>
            <w:r>
              <w:rPr>
                <w:rFonts w:ascii="Calibri Light" w:eastAsia="Calibri Light" w:hAnsi="Calibri Light" w:cs="Calibri Light"/>
                <w:lang w:val="en-GB"/>
              </w:rPr>
              <w:t xml:space="preserve">CoGG </w:t>
            </w:r>
            <w:r w:rsidRPr="00681C02">
              <w:rPr>
                <w:rFonts w:ascii="Calibri Light" w:eastAsia="Calibri Light" w:hAnsi="Calibri Light" w:cs="Calibri Light"/>
                <w:lang w:val="en-GB"/>
              </w:rPr>
              <w:t>Social Housing Policy (2020)</w:t>
            </w:r>
            <w:r>
              <w:rPr>
                <w:rFonts w:ascii="Calibri Light" w:eastAsia="Calibri Light" w:hAnsi="Calibri Light" w:cs="Calibri Light"/>
                <w:lang w:val="en-GB"/>
              </w:rPr>
              <w:t>; Victorian State Government’s “Big Build”</w:t>
            </w:r>
          </w:p>
          <w:p w14:paraId="4D3F979B" w14:textId="77777777" w:rsidR="006546F7" w:rsidRPr="00C22BCF" w:rsidRDefault="006546F7" w:rsidP="00901C62">
            <w:pPr>
              <w:spacing w:after="0" w:line="240" w:lineRule="auto"/>
            </w:pPr>
            <w:r w:rsidRPr="000D21E7">
              <w:rPr>
                <w:rFonts w:eastAsia="Calibri Light" w:cs="Calibri Light"/>
                <w:b/>
                <w:bCs/>
                <w:lang w:val="en-GB"/>
              </w:rPr>
              <w:t>Applicable Sections:</w:t>
            </w:r>
            <w:r w:rsidRPr="000D21E7">
              <w:rPr>
                <w:rFonts w:ascii="Calibri Light" w:eastAsia="Calibri Light" w:hAnsi="Calibri Light" w:cs="Calibri Light"/>
                <w:lang w:val="en-GB"/>
              </w:rPr>
              <w:t xml:space="preserve"> </w:t>
            </w:r>
            <w:r>
              <w:rPr>
                <w:rFonts w:ascii="Calibri Light" w:eastAsia="Calibri Light" w:hAnsi="Calibri Light" w:cs="Calibri Light"/>
                <w:lang w:val="en-GB"/>
              </w:rPr>
              <w:t>CoGG policy c</w:t>
            </w:r>
            <w:r w:rsidRPr="4D79C869">
              <w:rPr>
                <w:rFonts w:ascii="Calibri Light" w:eastAsia="Calibri Light" w:hAnsi="Calibri Light" w:cs="Calibri Light"/>
                <w:lang w:val="en-GB"/>
              </w:rPr>
              <w:t>ommits 100 new units in 202</w:t>
            </w:r>
            <w:r>
              <w:rPr>
                <w:rFonts w:ascii="Calibri Light" w:eastAsia="Calibri Light" w:hAnsi="Calibri Light" w:cs="Calibri Light"/>
                <w:lang w:val="en-GB"/>
              </w:rPr>
              <w:t>1, more to come</w:t>
            </w:r>
            <w:r w:rsidRPr="4D79C869">
              <w:rPr>
                <w:rFonts w:ascii="Calibri Light" w:eastAsia="Calibri Light" w:hAnsi="Calibri Light" w:cs="Calibri Light"/>
                <w:lang w:val="en-GB"/>
              </w:rPr>
              <w:t xml:space="preserve">. </w:t>
            </w:r>
            <w:r>
              <w:rPr>
                <w:rFonts w:ascii="Calibri Light" w:eastAsia="Calibri Light" w:hAnsi="Calibri Light" w:cs="Calibri Light"/>
                <w:lang w:val="en-GB"/>
              </w:rPr>
              <w:t>R</w:t>
            </w:r>
            <w:r w:rsidRPr="4D79C869">
              <w:rPr>
                <w:rFonts w:ascii="Calibri Light" w:eastAsia="Calibri Light" w:hAnsi="Calibri Light" w:cs="Calibri Light"/>
                <w:lang w:val="en-US"/>
              </w:rPr>
              <w:t>ecommend</w:t>
            </w:r>
            <w:r>
              <w:rPr>
                <w:rFonts w:ascii="Calibri Light" w:eastAsia="Calibri Light" w:hAnsi="Calibri Light" w:cs="Calibri Light"/>
                <w:lang w:val="en-US"/>
              </w:rPr>
              <w:t>s renovating old</w:t>
            </w:r>
            <w:r w:rsidRPr="4D79C869">
              <w:rPr>
                <w:rFonts w:ascii="Calibri Light" w:eastAsia="Calibri Light" w:hAnsi="Calibri Light" w:cs="Calibri Light"/>
                <w:lang w:val="en-US"/>
              </w:rPr>
              <w:t xml:space="preserve"> public housing stock (but needs targets, deadlines</w:t>
            </w:r>
            <w:r>
              <w:rPr>
                <w:rFonts w:ascii="Calibri Light" w:eastAsia="Calibri Light" w:hAnsi="Calibri Light" w:cs="Calibri Light"/>
                <w:lang w:val="en-US"/>
              </w:rPr>
              <w:t>,</w:t>
            </w:r>
            <w:r w:rsidRPr="4D79C869">
              <w:rPr>
                <w:rFonts w:ascii="Calibri Light" w:eastAsia="Calibri Light" w:hAnsi="Calibri Light" w:cs="Calibri Light"/>
                <w:lang w:val="en-US"/>
              </w:rPr>
              <w:t xml:space="preserve"> budgets)</w:t>
            </w:r>
            <w:r>
              <w:rPr>
                <w:rFonts w:ascii="Calibri Light" w:eastAsia="Calibri Light" w:hAnsi="Calibri Light" w:cs="Calibri Light"/>
                <w:lang w:val="en-US"/>
              </w:rPr>
              <w:t xml:space="preserve">; </w:t>
            </w:r>
            <w:r w:rsidRPr="4D79C869">
              <w:rPr>
                <w:rFonts w:ascii="Calibri Light" w:eastAsia="Calibri Light" w:hAnsi="Calibri Light" w:cs="Calibri Light"/>
                <w:lang w:val="en-US"/>
              </w:rPr>
              <w:t xml:space="preserve">includes </w:t>
            </w:r>
            <w:r>
              <w:rPr>
                <w:rFonts w:ascii="Calibri Light" w:eastAsia="Calibri Light" w:hAnsi="Calibri Light" w:cs="Calibri Light"/>
                <w:lang w:val="en-US"/>
              </w:rPr>
              <w:t>u</w:t>
            </w:r>
            <w:r w:rsidRPr="4D79C869">
              <w:rPr>
                <w:rFonts w:ascii="Calibri Light" w:eastAsia="Calibri Light" w:hAnsi="Calibri Light" w:cs="Calibri Light"/>
                <w:lang w:val="en-US"/>
              </w:rPr>
              <w:t>rban revitalisation in Corio, Norlane</w:t>
            </w:r>
            <w:r>
              <w:rPr>
                <w:rFonts w:ascii="Calibri Light" w:eastAsia="Calibri Light" w:hAnsi="Calibri Light" w:cs="Calibri Light"/>
                <w:lang w:val="en-US"/>
              </w:rPr>
              <w:t>,</w:t>
            </w:r>
            <w:r w:rsidRPr="4D79C869">
              <w:rPr>
                <w:rFonts w:ascii="Calibri Light" w:eastAsia="Calibri Light" w:hAnsi="Calibri Light" w:cs="Calibri Light"/>
                <w:lang w:val="en-US"/>
              </w:rPr>
              <w:t xml:space="preserve"> and Whittington in partnership with State Government</w:t>
            </w:r>
          </w:p>
          <w:p w14:paraId="1BA80302" w14:textId="77777777" w:rsidR="006546F7" w:rsidRPr="00C22BCF" w:rsidRDefault="006546F7" w:rsidP="00901C62">
            <w:pPr>
              <w:spacing w:after="0" w:line="240" w:lineRule="auto"/>
            </w:pPr>
            <w:r w:rsidRPr="000D21E7">
              <w:rPr>
                <w:rFonts w:eastAsia="Calibri Light" w:cs="Calibri Light"/>
                <w:b/>
                <w:bCs/>
                <w:lang w:val="en-GB"/>
              </w:rPr>
              <w:t>Gaps or Extensions</w:t>
            </w:r>
            <w:r w:rsidRPr="000D21E7">
              <w:rPr>
                <w:rFonts w:ascii="Calibri Light" w:eastAsia="Calibri Light" w:hAnsi="Calibri Light" w:cs="Calibri Light"/>
                <w:lang w:val="en-GB"/>
              </w:rPr>
              <w:t xml:space="preserve">: </w:t>
            </w:r>
            <w:r>
              <w:rPr>
                <w:rFonts w:ascii="Calibri Light" w:eastAsia="Calibri Light" w:hAnsi="Calibri Light" w:cs="Calibri Light"/>
                <w:lang w:val="en-GB"/>
              </w:rPr>
              <w:t>Build</w:t>
            </w:r>
            <w:r w:rsidRPr="4D79C869">
              <w:rPr>
                <w:rFonts w:ascii="Calibri Light" w:eastAsia="Calibri Light" w:hAnsi="Calibri Light" w:cs="Calibri Light"/>
                <w:lang w:val="en-GB"/>
              </w:rPr>
              <w:t xml:space="preserve"> </w:t>
            </w:r>
            <w:r>
              <w:rPr>
                <w:rFonts w:ascii="Calibri Light" w:eastAsia="Calibri Light" w:hAnsi="Calibri Light" w:cs="Calibri Light"/>
                <w:lang w:val="en-GB"/>
              </w:rPr>
              <w:t xml:space="preserve">new units </w:t>
            </w:r>
            <w:r w:rsidRPr="4D79C869">
              <w:rPr>
                <w:rFonts w:ascii="Calibri Light" w:eastAsia="Calibri Light" w:hAnsi="Calibri Light" w:cs="Calibri Light"/>
                <w:lang w:val="en-GB"/>
              </w:rPr>
              <w:t xml:space="preserve">in three localities. </w:t>
            </w:r>
            <w:r>
              <w:rPr>
                <w:rFonts w:ascii="Calibri Light" w:eastAsia="Calibri Light" w:hAnsi="Calibri Light" w:cs="Calibri Light"/>
                <w:lang w:val="en-GB"/>
              </w:rPr>
              <w:t>Use</w:t>
            </w:r>
            <w:r w:rsidRPr="4D79C869">
              <w:rPr>
                <w:rFonts w:ascii="Calibri Light" w:eastAsia="Calibri Light" w:hAnsi="Calibri Light" w:cs="Calibri Light"/>
                <w:lang w:val="en-GB"/>
              </w:rPr>
              <w:t xml:space="preserve"> 173 Agreements to ensure inclusionary zoning</w:t>
            </w:r>
            <w:r>
              <w:rPr>
                <w:rFonts w:ascii="Calibri Light" w:eastAsia="Calibri Light" w:hAnsi="Calibri Light" w:cs="Calibri Light"/>
                <w:lang w:val="en-GB"/>
              </w:rPr>
              <w:t>.</w:t>
            </w:r>
            <w:r w:rsidRPr="4D79C869">
              <w:rPr>
                <w:rFonts w:ascii="Calibri Light" w:eastAsia="Calibri Light" w:hAnsi="Calibri Light" w:cs="Calibri Light"/>
                <w:lang w:val="en-GB"/>
              </w:rPr>
              <w:t xml:space="preserve"> Renovate public housing stock (using local labour)</w:t>
            </w:r>
          </w:p>
        </w:tc>
      </w:tr>
      <w:tr w:rsidR="006546F7" w14:paraId="40C12BE3" w14:textId="77777777" w:rsidTr="778E395A">
        <w:tc>
          <w:tcPr>
            <w:tcW w:w="14575" w:type="dxa"/>
          </w:tcPr>
          <w:p w14:paraId="5A7BFCBC" w14:textId="77777777" w:rsidR="006546F7" w:rsidRPr="00DF70E7" w:rsidRDefault="006546F7" w:rsidP="00901C62">
            <w:pPr>
              <w:spacing w:after="0" w:line="240" w:lineRule="auto"/>
            </w:pPr>
            <w:r w:rsidRPr="0080632A">
              <w:rPr>
                <w:rFonts w:eastAsia="Calibri Light" w:cs="Calibri Light"/>
                <w:b/>
                <w:bCs/>
                <w:lang w:val="en-GB"/>
              </w:rPr>
              <w:t xml:space="preserve">Priority: </w:t>
            </w:r>
            <w:r w:rsidRPr="4D79C869">
              <w:rPr>
                <w:rFonts w:ascii="Calibri Light" w:eastAsia="Calibri Light" w:hAnsi="Calibri Light" w:cs="Calibri Light"/>
                <w:lang w:val="en-GB"/>
              </w:rPr>
              <w:t xml:space="preserve">Provide </w:t>
            </w:r>
            <w:r>
              <w:rPr>
                <w:rFonts w:ascii="Calibri Light" w:eastAsia="Calibri Light" w:hAnsi="Calibri Light" w:cs="Calibri Light"/>
                <w:lang w:val="en-GB"/>
              </w:rPr>
              <w:t>more</w:t>
            </w:r>
            <w:r w:rsidRPr="4D79C869">
              <w:rPr>
                <w:rFonts w:ascii="Calibri Light" w:eastAsia="Calibri Light" w:hAnsi="Calibri Light" w:cs="Calibri Light"/>
                <w:lang w:val="en-GB"/>
              </w:rPr>
              <w:t xml:space="preserve"> emergency and </w:t>
            </w:r>
            <w:r>
              <w:rPr>
                <w:rFonts w:ascii="Calibri Light" w:eastAsia="Calibri Light" w:hAnsi="Calibri Light" w:cs="Calibri Light"/>
                <w:lang w:val="en-GB"/>
              </w:rPr>
              <w:t>permanent housing</w:t>
            </w:r>
            <w:r w:rsidRPr="4D79C869">
              <w:rPr>
                <w:rFonts w:ascii="Calibri Light" w:eastAsia="Calibri Light" w:hAnsi="Calibri Light" w:cs="Calibri Light"/>
                <w:lang w:val="en-GB"/>
              </w:rPr>
              <w:t xml:space="preserve"> options for women</w:t>
            </w:r>
            <w:r>
              <w:rPr>
                <w:rFonts w:ascii="Calibri Light" w:eastAsia="Calibri Light" w:hAnsi="Calibri Light" w:cs="Calibri Light"/>
                <w:lang w:val="en-GB"/>
              </w:rPr>
              <w:t xml:space="preserve"> and</w:t>
            </w:r>
            <w:r w:rsidRPr="4D79C869">
              <w:rPr>
                <w:rFonts w:ascii="Calibri Light" w:eastAsia="Calibri Light" w:hAnsi="Calibri Light" w:cs="Calibri Light"/>
                <w:lang w:val="en-GB"/>
              </w:rPr>
              <w:t xml:space="preserve"> children</w:t>
            </w:r>
            <w:r>
              <w:rPr>
                <w:rFonts w:ascii="Calibri Light" w:eastAsia="Calibri Light" w:hAnsi="Calibri Light" w:cs="Calibri Light"/>
                <w:lang w:val="en-GB"/>
              </w:rPr>
              <w:t xml:space="preserve"> escaping family violence,</w:t>
            </w:r>
            <w:r w:rsidRPr="4D79C869">
              <w:rPr>
                <w:rFonts w:ascii="Calibri Light" w:eastAsia="Calibri Light" w:hAnsi="Calibri Light" w:cs="Calibri Light"/>
                <w:lang w:val="en-GB"/>
              </w:rPr>
              <w:t xml:space="preserve"> and vulnerable young people</w:t>
            </w:r>
            <w:r>
              <w:rPr>
                <w:rFonts w:ascii="Calibri Light" w:eastAsia="Calibri Light" w:hAnsi="Calibri Light" w:cs="Calibri Light"/>
                <w:lang w:val="en-GB"/>
              </w:rPr>
              <w:t>, plus supports</w:t>
            </w:r>
          </w:p>
          <w:p w14:paraId="619B9D13" w14:textId="77777777" w:rsidR="006546F7" w:rsidRPr="0080632A" w:rsidRDefault="006546F7" w:rsidP="00901C62">
            <w:pPr>
              <w:spacing w:after="0" w:line="240" w:lineRule="auto"/>
              <w:rPr>
                <w:rFonts w:eastAsiaTheme="majorEastAsia" w:cstheme="majorBidi"/>
                <w:b/>
                <w:bCs/>
                <w:lang w:val="en-GB"/>
              </w:rPr>
            </w:pPr>
            <w:r w:rsidRPr="0080632A">
              <w:rPr>
                <w:rFonts w:eastAsia="Calibri Light" w:cs="Calibri Light"/>
                <w:b/>
                <w:bCs/>
                <w:lang w:val="en-GB"/>
              </w:rPr>
              <w:t>Relevant Policy:</w:t>
            </w:r>
            <w:r w:rsidRPr="0080632A">
              <w:rPr>
                <w:rFonts w:ascii="Calibri Light" w:eastAsia="Calibri Light" w:hAnsi="Calibri Light" w:cs="Calibri Light"/>
                <w:lang w:val="en-GB"/>
              </w:rPr>
              <w:t xml:space="preserve"> </w:t>
            </w:r>
            <w:r w:rsidRPr="4D79C869">
              <w:rPr>
                <w:rFonts w:ascii="Calibri Light" w:eastAsia="Calibri Light" w:hAnsi="Calibri Light" w:cs="Calibri Light"/>
              </w:rPr>
              <w:t>No</w:t>
            </w:r>
            <w:r>
              <w:rPr>
                <w:rFonts w:ascii="Calibri Light" w:eastAsia="Calibri Light" w:hAnsi="Calibri Light" w:cs="Calibri Light"/>
              </w:rPr>
              <w:t>t</w:t>
            </w:r>
            <w:r w:rsidRPr="4D79C869">
              <w:rPr>
                <w:rFonts w:ascii="Calibri Light" w:eastAsia="Calibri Light" w:hAnsi="Calibri Light" w:cs="Calibri Light"/>
              </w:rPr>
              <w:t xml:space="preserve"> specifically </w:t>
            </w:r>
            <w:r>
              <w:rPr>
                <w:rFonts w:ascii="Calibri Light" w:eastAsia="Calibri Light" w:hAnsi="Calibri Light" w:cs="Calibri Light"/>
              </w:rPr>
              <w:t>mentioned</w:t>
            </w:r>
            <w:r w:rsidRPr="4D79C869">
              <w:rPr>
                <w:rFonts w:ascii="Calibri Light" w:eastAsia="Calibri Light" w:hAnsi="Calibri Light" w:cs="Calibri Light"/>
              </w:rPr>
              <w:t xml:space="preserve"> in any plan</w:t>
            </w:r>
          </w:p>
          <w:p w14:paraId="29E5C782" w14:textId="77777777" w:rsidR="006546F7" w:rsidRDefault="006546F7" w:rsidP="00901C62">
            <w:pPr>
              <w:spacing w:after="0" w:line="240" w:lineRule="auto"/>
              <w:rPr>
                <w:rFonts w:ascii="Calibri Light" w:eastAsia="Calibri Light" w:hAnsi="Calibri Light" w:cs="Calibri Light"/>
                <w:lang w:val="en-GB"/>
              </w:rPr>
            </w:pPr>
            <w:r w:rsidRPr="0080632A">
              <w:rPr>
                <w:rFonts w:eastAsia="Calibri Light" w:cs="Calibri Light"/>
                <w:b/>
                <w:bCs/>
                <w:lang w:val="en-GB"/>
              </w:rPr>
              <w:t>Gaps or Extensions</w:t>
            </w:r>
            <w:r w:rsidRPr="0080632A">
              <w:rPr>
                <w:rFonts w:ascii="Calibri Light" w:eastAsia="Calibri Light" w:hAnsi="Calibri Light" w:cs="Calibri Light"/>
                <w:lang w:val="en-GB"/>
              </w:rPr>
              <w:t>:</w:t>
            </w:r>
            <w:r w:rsidRPr="4D79C869">
              <w:rPr>
                <w:rFonts w:ascii="Calibri Light" w:eastAsia="Calibri Light" w:hAnsi="Calibri Light" w:cs="Calibri Light"/>
                <w:lang w:val="en-GB"/>
              </w:rPr>
              <w:t xml:space="preserve"> </w:t>
            </w:r>
            <w:r>
              <w:rPr>
                <w:rFonts w:ascii="Calibri Light" w:eastAsia="Calibri Light" w:hAnsi="Calibri Light" w:cs="Calibri Light"/>
                <w:lang w:val="en-GB"/>
              </w:rPr>
              <w:t>Urgent need to more</w:t>
            </w:r>
            <w:r w:rsidRPr="4D79C869">
              <w:rPr>
                <w:rFonts w:ascii="Calibri Light" w:eastAsia="Calibri Light" w:hAnsi="Calibri Light" w:cs="Calibri Light"/>
                <w:lang w:val="en-GB"/>
              </w:rPr>
              <w:t xml:space="preserve"> emergency and</w:t>
            </w:r>
            <w:r>
              <w:rPr>
                <w:rFonts w:ascii="Calibri Light" w:eastAsia="Calibri Light" w:hAnsi="Calibri Light" w:cs="Calibri Light"/>
                <w:lang w:val="en-GB"/>
              </w:rPr>
              <w:t xml:space="preserve"> permanent </w:t>
            </w:r>
            <w:r w:rsidRPr="4D79C869">
              <w:rPr>
                <w:rFonts w:ascii="Calibri Light" w:eastAsia="Calibri Light" w:hAnsi="Calibri Light" w:cs="Calibri Light"/>
                <w:lang w:val="en-GB"/>
              </w:rPr>
              <w:t xml:space="preserve">housing options for </w:t>
            </w:r>
            <w:r>
              <w:rPr>
                <w:rFonts w:ascii="Calibri Light" w:eastAsia="Calibri Light" w:hAnsi="Calibri Light" w:cs="Calibri Light"/>
                <w:lang w:val="en-GB"/>
              </w:rPr>
              <w:t>these vulnerable groups (</w:t>
            </w:r>
            <w:r w:rsidRPr="4D79C869">
              <w:rPr>
                <w:rFonts w:ascii="Calibri Light" w:eastAsia="Calibri Light" w:hAnsi="Calibri Light" w:cs="Calibri Light"/>
                <w:lang w:val="en-GB"/>
              </w:rPr>
              <w:t>perhaps in partnership with Hope St</w:t>
            </w:r>
            <w:r>
              <w:rPr>
                <w:rFonts w:ascii="Calibri Light" w:eastAsia="Calibri Light" w:hAnsi="Calibri Light" w:cs="Calibri Light"/>
                <w:lang w:val="en-GB"/>
              </w:rPr>
              <w:t>reet?)</w:t>
            </w:r>
          </w:p>
          <w:p w14:paraId="6F238563" w14:textId="77777777" w:rsidR="006546F7" w:rsidRPr="005D76C2" w:rsidRDefault="006546F7" w:rsidP="00901C62">
            <w:pPr>
              <w:spacing w:after="0" w:line="240" w:lineRule="auto"/>
              <w:rPr>
                <w:rFonts w:ascii="Calibri Light" w:eastAsia="Calibri Light" w:hAnsi="Calibri Light" w:cs="Calibri Light"/>
                <w:sz w:val="4"/>
                <w:szCs w:val="4"/>
                <w:lang w:val="en-GB"/>
              </w:rPr>
            </w:pPr>
          </w:p>
        </w:tc>
      </w:tr>
      <w:tr w:rsidR="006546F7" w14:paraId="5FD53687" w14:textId="77777777" w:rsidTr="778E395A">
        <w:tc>
          <w:tcPr>
            <w:tcW w:w="14575" w:type="dxa"/>
            <w:shd w:val="clear" w:color="auto" w:fill="AEAAAA" w:themeFill="background2" w:themeFillShade="BF"/>
            <w:vAlign w:val="center"/>
          </w:tcPr>
          <w:p w14:paraId="4DBD864B" w14:textId="77777777" w:rsidR="006546F7" w:rsidRPr="00601904" w:rsidRDefault="006546F7" w:rsidP="00901C62">
            <w:pPr>
              <w:spacing w:after="0" w:line="257" w:lineRule="auto"/>
              <w:rPr>
                <w:rFonts w:eastAsiaTheme="majorEastAsia" w:cstheme="majorBidi"/>
                <w:b/>
                <w:bCs/>
                <w:sz w:val="4"/>
                <w:szCs w:val="4"/>
                <w:lang w:val="en-GB"/>
              </w:rPr>
            </w:pPr>
          </w:p>
          <w:p w14:paraId="7AD5DB7C" w14:textId="77777777" w:rsidR="006546F7" w:rsidRDefault="006546F7" w:rsidP="00901C62">
            <w:pPr>
              <w:spacing w:after="0" w:line="257" w:lineRule="auto"/>
              <w:rPr>
                <w:rFonts w:eastAsiaTheme="majorEastAsia" w:cstheme="majorBidi"/>
                <w:b/>
                <w:bCs/>
                <w:lang w:val="en-GB"/>
              </w:rPr>
            </w:pPr>
            <w:r>
              <w:rPr>
                <w:rFonts w:eastAsiaTheme="majorEastAsia" w:cstheme="majorBidi"/>
                <w:b/>
                <w:bCs/>
                <w:lang w:val="en-GB"/>
              </w:rPr>
              <w:t>LIVEABILITY</w:t>
            </w:r>
          </w:p>
          <w:p w14:paraId="795227FE" w14:textId="77777777" w:rsidR="006546F7" w:rsidRPr="00601904" w:rsidRDefault="006546F7" w:rsidP="00901C62">
            <w:pPr>
              <w:spacing w:after="0" w:line="257" w:lineRule="auto"/>
              <w:rPr>
                <w:rFonts w:eastAsiaTheme="majorEastAsia" w:cstheme="majorBidi"/>
                <w:b/>
                <w:bCs/>
                <w:sz w:val="4"/>
                <w:szCs w:val="4"/>
                <w:lang w:val="en-GB"/>
              </w:rPr>
            </w:pPr>
          </w:p>
        </w:tc>
      </w:tr>
      <w:tr w:rsidR="006546F7" w14:paraId="126CBD27" w14:textId="77777777" w:rsidTr="778E395A">
        <w:tc>
          <w:tcPr>
            <w:tcW w:w="14575" w:type="dxa"/>
          </w:tcPr>
          <w:p w14:paraId="1199D19B" w14:textId="77777777" w:rsidR="006546F7" w:rsidRPr="00AE14AD" w:rsidRDefault="006546F7" w:rsidP="00901C62">
            <w:pPr>
              <w:spacing w:after="0" w:line="240" w:lineRule="auto"/>
            </w:pPr>
            <w:r w:rsidRPr="00AE14AD">
              <w:rPr>
                <w:rFonts w:eastAsia="Calibri Light" w:cs="Calibri Light"/>
                <w:b/>
                <w:bCs/>
                <w:lang w:val="en-GB"/>
              </w:rPr>
              <w:t xml:space="preserve">Priority: </w:t>
            </w:r>
            <w:r w:rsidRPr="00AE14AD">
              <w:rPr>
                <w:rFonts w:ascii="Calibri Light" w:eastAsia="Calibri Light" w:hAnsi="Calibri Light" w:cs="Calibri Light"/>
              </w:rPr>
              <w:t>Green streets and upgrade open spaces</w:t>
            </w:r>
          </w:p>
          <w:p w14:paraId="550AE4C0" w14:textId="77777777" w:rsidR="006546F7" w:rsidRPr="00AE14AD" w:rsidRDefault="006546F7" w:rsidP="00901C62">
            <w:pPr>
              <w:spacing w:after="0" w:line="240" w:lineRule="auto"/>
              <w:rPr>
                <w:rFonts w:eastAsiaTheme="majorEastAsia" w:cstheme="majorBidi"/>
                <w:b/>
                <w:bCs/>
                <w:lang w:val="en-GB"/>
              </w:rPr>
            </w:pPr>
            <w:r w:rsidRPr="00AE14AD">
              <w:rPr>
                <w:rFonts w:eastAsia="Calibri Light" w:cs="Calibri Light"/>
                <w:b/>
                <w:bCs/>
                <w:lang w:val="en-GB"/>
              </w:rPr>
              <w:t>Relevant Policy:</w:t>
            </w:r>
            <w:r w:rsidRPr="00AE14AD">
              <w:rPr>
                <w:rFonts w:ascii="Calibri Light" w:eastAsia="Calibri Light" w:hAnsi="Calibri Light" w:cs="Calibri Light"/>
                <w:lang w:val="en-GB"/>
              </w:rPr>
              <w:t xml:space="preserve"> </w:t>
            </w:r>
            <w:r w:rsidRPr="00AE14AD">
              <w:rPr>
                <w:rFonts w:ascii="Calibri Light" w:eastAsia="Calibri Light" w:hAnsi="Calibri Light" w:cs="Calibri Light"/>
              </w:rPr>
              <w:t>Corio-Norlane Structure Plan (2012)</w:t>
            </w:r>
          </w:p>
          <w:p w14:paraId="1DF6717E" w14:textId="77777777" w:rsidR="006546F7" w:rsidRPr="00C3341B" w:rsidRDefault="006546F7" w:rsidP="00901C62">
            <w:pPr>
              <w:spacing w:after="0"/>
              <w:rPr>
                <w:rFonts w:eastAsia="Calibri Light" w:cs="Calibri Light"/>
                <w:b/>
                <w:bCs/>
                <w:lang w:val="en-GB"/>
              </w:rPr>
            </w:pPr>
            <w:r w:rsidRPr="00AE14AD">
              <w:rPr>
                <w:rFonts w:eastAsia="Calibri Light" w:cs="Calibri Light"/>
                <w:b/>
                <w:bCs/>
                <w:lang w:val="en-GB"/>
              </w:rPr>
              <w:t>Gaps or Extensions</w:t>
            </w:r>
            <w:r w:rsidRPr="00AE14AD">
              <w:rPr>
                <w:rFonts w:ascii="Calibri Light" w:eastAsia="Calibri Light" w:hAnsi="Calibri Light" w:cs="Calibri Light"/>
                <w:lang w:val="en-GB"/>
              </w:rPr>
              <w:t>:</w:t>
            </w:r>
            <w:r w:rsidRPr="00AE14AD">
              <w:rPr>
                <w:rFonts w:ascii="Calibri Light" w:eastAsia="Calibri Light" w:hAnsi="Calibri Light" w:cs="Calibri Light"/>
              </w:rPr>
              <w:t xml:space="preserve"> Revisit and refresh Corio-Norlane Structure Plan</w:t>
            </w:r>
            <w:r w:rsidRPr="00AE14AD">
              <w:rPr>
                <w:rFonts w:ascii="Calibri Light" w:eastAsia="Calibri Light" w:hAnsi="Calibri Light" w:cs="Calibri Light"/>
                <w:i/>
                <w:iCs/>
              </w:rPr>
              <w:t>.</w:t>
            </w:r>
            <w:r w:rsidRPr="00AE14AD">
              <w:rPr>
                <w:rFonts w:ascii="Calibri Light" w:eastAsia="Calibri Light" w:hAnsi="Calibri Light" w:cs="Calibri Light"/>
              </w:rPr>
              <w:t xml:space="preserve"> Develop comparable plan for Whittington</w:t>
            </w:r>
          </w:p>
        </w:tc>
      </w:tr>
      <w:tr w:rsidR="006546F7" w14:paraId="41FFDD9D" w14:textId="77777777" w:rsidTr="778E395A">
        <w:tc>
          <w:tcPr>
            <w:tcW w:w="14575" w:type="dxa"/>
          </w:tcPr>
          <w:p w14:paraId="70A1347E" w14:textId="77777777" w:rsidR="006546F7" w:rsidRPr="0080632A" w:rsidRDefault="006546F7" w:rsidP="00901C62">
            <w:pPr>
              <w:spacing w:after="0" w:line="240" w:lineRule="auto"/>
              <w:rPr>
                <w:rFonts w:asciiTheme="majorHAnsi" w:eastAsia="Calibri Light" w:hAnsiTheme="majorHAnsi" w:cs="Calibri Light"/>
                <w:b/>
                <w:bCs/>
                <w:lang w:val="en-GB"/>
              </w:rPr>
            </w:pPr>
            <w:r w:rsidRPr="0080632A">
              <w:rPr>
                <w:rFonts w:eastAsia="Calibri Light" w:cs="Calibri Light"/>
                <w:b/>
                <w:bCs/>
                <w:lang w:val="en-GB"/>
              </w:rPr>
              <w:lastRenderedPageBreak/>
              <w:t xml:space="preserve">Priority: </w:t>
            </w:r>
            <w:r w:rsidRPr="4D79C869">
              <w:rPr>
                <w:rFonts w:ascii="Calibri Light" w:eastAsia="Calibri Light" w:hAnsi="Calibri Light" w:cs="Calibri Light"/>
                <w:lang w:val="en-GB"/>
              </w:rPr>
              <w:t xml:space="preserve">Arts-based </w:t>
            </w:r>
            <w:r>
              <w:rPr>
                <w:rFonts w:ascii="Calibri Light" w:eastAsia="Calibri Light" w:hAnsi="Calibri Light" w:cs="Calibri Light"/>
                <w:lang w:val="en-GB"/>
              </w:rPr>
              <w:t xml:space="preserve">activities and inclusive community </w:t>
            </w:r>
            <w:r w:rsidRPr="4D79C869">
              <w:rPr>
                <w:rFonts w:ascii="Calibri Light" w:eastAsia="Calibri Light" w:hAnsi="Calibri Light" w:cs="Calibri Light"/>
                <w:lang w:val="en-GB"/>
              </w:rPr>
              <w:t>pride</w:t>
            </w:r>
            <w:r>
              <w:rPr>
                <w:rFonts w:ascii="Calibri Light" w:eastAsia="Calibri Light" w:hAnsi="Calibri Light" w:cs="Calibri Light"/>
                <w:lang w:val="en-GB"/>
              </w:rPr>
              <w:t xml:space="preserve"> events; address place-based stigma</w:t>
            </w:r>
          </w:p>
          <w:p w14:paraId="7367AFDE" w14:textId="77777777" w:rsidR="006546F7" w:rsidRPr="00ED795E" w:rsidRDefault="006546F7" w:rsidP="00901C62">
            <w:pPr>
              <w:spacing w:after="0" w:line="240" w:lineRule="auto"/>
            </w:pPr>
            <w:r w:rsidRPr="0080632A">
              <w:rPr>
                <w:rFonts w:eastAsia="Calibri Light" w:cs="Calibri Light"/>
                <w:b/>
                <w:bCs/>
                <w:lang w:val="en-GB"/>
              </w:rPr>
              <w:t>Relevant Policy:</w:t>
            </w:r>
            <w:r w:rsidRPr="0080632A">
              <w:rPr>
                <w:rFonts w:ascii="Calibri Light" w:eastAsia="Calibri Light" w:hAnsi="Calibri Light" w:cs="Calibri Light"/>
                <w:lang w:val="en-GB"/>
              </w:rPr>
              <w:t xml:space="preserve"> </w:t>
            </w:r>
            <w:r w:rsidRPr="4D79C869">
              <w:rPr>
                <w:rFonts w:ascii="Calibri Light" w:eastAsia="Calibri Light" w:hAnsi="Calibri Light" w:cs="Calibri Light"/>
                <w:lang w:val="en-GB"/>
              </w:rPr>
              <w:t xml:space="preserve">Public </w:t>
            </w:r>
            <w:r>
              <w:rPr>
                <w:rFonts w:ascii="Calibri Light" w:eastAsia="Calibri Light" w:hAnsi="Calibri Light" w:cs="Calibri Light"/>
                <w:lang w:val="en-GB"/>
              </w:rPr>
              <w:t>A</w:t>
            </w:r>
            <w:r w:rsidRPr="4D79C869">
              <w:rPr>
                <w:rFonts w:ascii="Calibri Light" w:eastAsia="Calibri Light" w:hAnsi="Calibri Light" w:cs="Calibri Light"/>
                <w:lang w:val="en-GB"/>
              </w:rPr>
              <w:t xml:space="preserve">rt </w:t>
            </w:r>
            <w:r>
              <w:rPr>
                <w:rFonts w:ascii="Calibri Light" w:eastAsia="Calibri Light" w:hAnsi="Calibri Light" w:cs="Calibri Light"/>
                <w:lang w:val="en-GB"/>
              </w:rPr>
              <w:t>S</w:t>
            </w:r>
            <w:r w:rsidRPr="4D79C869">
              <w:rPr>
                <w:rFonts w:ascii="Calibri Light" w:eastAsia="Calibri Light" w:hAnsi="Calibri Light" w:cs="Calibri Light"/>
                <w:lang w:val="en-GB"/>
              </w:rPr>
              <w:t>trategy (2013)</w:t>
            </w:r>
            <w:r>
              <w:rPr>
                <w:rFonts w:ascii="Calibri Light" w:eastAsia="Calibri Light" w:hAnsi="Calibri Light" w:cs="Calibri Light"/>
                <w:lang w:val="en-GB"/>
              </w:rPr>
              <w:t>,</w:t>
            </w:r>
            <w:r w:rsidRPr="4D79C869">
              <w:rPr>
                <w:rFonts w:ascii="Calibri Light" w:eastAsia="Calibri Light" w:hAnsi="Calibri Light" w:cs="Calibri Light"/>
                <w:i/>
                <w:iCs/>
                <w:lang w:val="en-GB"/>
              </w:rPr>
              <w:t xml:space="preserve"> </w:t>
            </w:r>
            <w:r w:rsidRPr="00ED795E">
              <w:rPr>
                <w:rFonts w:ascii="Calibri Light" w:eastAsia="Calibri Light" w:hAnsi="Calibri Light" w:cs="Calibri Light"/>
                <w:lang w:val="en-GB"/>
              </w:rPr>
              <w:t>Kareenga Aboriginal Action Plan (2014</w:t>
            </w:r>
            <w:r>
              <w:rPr>
                <w:rFonts w:ascii="Calibri Light" w:eastAsia="Calibri Light" w:hAnsi="Calibri Light" w:cs="Calibri Light"/>
                <w:lang w:val="en-GB"/>
              </w:rPr>
              <w:t>–</w:t>
            </w:r>
            <w:r w:rsidRPr="00ED795E">
              <w:rPr>
                <w:rFonts w:ascii="Calibri Light" w:eastAsia="Calibri Light" w:hAnsi="Calibri Light" w:cs="Calibri Light"/>
                <w:lang w:val="en-GB"/>
              </w:rPr>
              <w:t>17)</w:t>
            </w:r>
          </w:p>
          <w:p w14:paraId="6BD2DFA4" w14:textId="77777777" w:rsidR="006546F7" w:rsidRPr="00ED795E" w:rsidRDefault="006546F7" w:rsidP="00901C62">
            <w:pPr>
              <w:spacing w:after="0" w:line="240" w:lineRule="auto"/>
            </w:pPr>
            <w:r w:rsidRPr="0080632A">
              <w:rPr>
                <w:rFonts w:eastAsia="Calibri Light" w:cs="Calibri Light"/>
                <w:b/>
                <w:bCs/>
                <w:lang w:val="en-GB"/>
              </w:rPr>
              <w:t>Applicable Sections:</w:t>
            </w:r>
            <w:r w:rsidRPr="0080632A">
              <w:rPr>
                <w:rFonts w:ascii="Calibri Light" w:eastAsia="Calibri Light" w:hAnsi="Calibri Light" w:cs="Calibri Light"/>
                <w:lang w:val="en-GB"/>
              </w:rPr>
              <w:t xml:space="preserve"> </w:t>
            </w:r>
            <w:r w:rsidRPr="4D79C869">
              <w:rPr>
                <w:rFonts w:ascii="Calibri Light" w:eastAsia="Calibri Light" w:hAnsi="Calibri Light" w:cs="Calibri Light"/>
                <w:lang w:val="en-GB"/>
              </w:rPr>
              <w:t>Kareenga Action areas:</w:t>
            </w:r>
            <w:r>
              <w:rPr>
                <w:rFonts w:ascii="Calibri Light" w:eastAsia="Calibri Light" w:hAnsi="Calibri Light" w:cs="Calibri Light"/>
                <w:lang w:val="en-GB"/>
              </w:rPr>
              <w:t xml:space="preserve"> </w:t>
            </w:r>
            <w:r w:rsidRPr="4D79C869">
              <w:rPr>
                <w:rFonts w:ascii="Calibri Light" w:eastAsia="Calibri Light" w:hAnsi="Calibri Light" w:cs="Calibri Light"/>
                <w:lang w:val="en-GB"/>
              </w:rPr>
              <w:t>4. Support interpretation of Aboriginal heritage into the areas; 5. Increase</w:t>
            </w:r>
            <w:r>
              <w:rPr>
                <w:rFonts w:ascii="Calibri Light" w:eastAsia="Calibri Light" w:hAnsi="Calibri Light" w:cs="Calibri Light"/>
                <w:lang w:val="en-GB"/>
              </w:rPr>
              <w:t xml:space="preserve"> </w:t>
            </w:r>
            <w:r w:rsidRPr="4D79C869">
              <w:rPr>
                <w:rFonts w:ascii="Calibri Light" w:eastAsia="Calibri Light" w:hAnsi="Calibri Light" w:cs="Calibri Light"/>
                <w:lang w:val="en-GB"/>
              </w:rPr>
              <w:t xml:space="preserve">visibility of Aboriginal culture via place, street, infrastructure naming; </w:t>
            </w:r>
            <w:r>
              <w:rPr>
                <w:rFonts w:ascii="Calibri Light" w:eastAsia="Calibri Light" w:hAnsi="Calibri Light" w:cs="Calibri Light"/>
                <w:lang w:val="en-GB"/>
              </w:rPr>
              <w:t>c</w:t>
            </w:r>
            <w:r w:rsidRPr="4D79C869">
              <w:rPr>
                <w:rFonts w:ascii="Calibri Light" w:eastAsia="Calibri Light" w:hAnsi="Calibri Light" w:cs="Calibri Light"/>
                <w:lang w:val="en-GB"/>
              </w:rPr>
              <w:t>ommission Aboriginal public art</w:t>
            </w:r>
            <w:r>
              <w:rPr>
                <w:rFonts w:ascii="Calibri Light" w:eastAsia="Calibri Light" w:hAnsi="Calibri Light" w:cs="Calibri Light"/>
                <w:lang w:val="en-GB"/>
              </w:rPr>
              <w:t>.</w:t>
            </w:r>
          </w:p>
          <w:p w14:paraId="13DA8A7F" w14:textId="77777777" w:rsidR="006546F7" w:rsidRPr="00ED795E" w:rsidRDefault="006546F7" w:rsidP="00901C62">
            <w:pPr>
              <w:spacing w:after="0" w:line="240" w:lineRule="auto"/>
            </w:pPr>
            <w:r w:rsidRPr="0080632A">
              <w:rPr>
                <w:rFonts w:eastAsia="Calibri Light" w:cs="Calibri Light"/>
                <w:b/>
                <w:bCs/>
                <w:lang w:val="en-GB"/>
              </w:rPr>
              <w:t>Gaps or Extensions</w:t>
            </w:r>
            <w:r w:rsidRPr="0080632A">
              <w:rPr>
                <w:rFonts w:ascii="Calibri Light" w:eastAsia="Calibri Light" w:hAnsi="Calibri Light" w:cs="Calibri Light"/>
                <w:lang w:val="en-GB"/>
              </w:rPr>
              <w:t xml:space="preserve">: </w:t>
            </w:r>
            <w:r>
              <w:rPr>
                <w:rFonts w:ascii="Calibri Light" w:eastAsia="Calibri Light" w:hAnsi="Calibri Light" w:cs="Calibri Light"/>
                <w:lang w:val="en-GB"/>
              </w:rPr>
              <w:t xml:space="preserve">Actively co-design arts, heritage, and cultural projects/community events with residents. </w:t>
            </w:r>
            <w:r w:rsidRPr="4D79C869">
              <w:rPr>
                <w:rFonts w:ascii="Calibri Light" w:eastAsia="Calibri Light" w:hAnsi="Calibri Light" w:cs="Calibri Light"/>
                <w:lang w:val="en-GB"/>
              </w:rPr>
              <w:t xml:space="preserve">Public </w:t>
            </w:r>
            <w:r>
              <w:rPr>
                <w:rFonts w:ascii="Calibri Light" w:eastAsia="Calibri Light" w:hAnsi="Calibri Light" w:cs="Calibri Light"/>
                <w:lang w:val="en-GB"/>
              </w:rPr>
              <w:t>A</w:t>
            </w:r>
            <w:r w:rsidRPr="4D79C869">
              <w:rPr>
                <w:rFonts w:ascii="Calibri Light" w:eastAsia="Calibri Light" w:hAnsi="Calibri Light" w:cs="Calibri Light"/>
                <w:lang w:val="en-GB"/>
              </w:rPr>
              <w:t xml:space="preserve">rt </w:t>
            </w:r>
            <w:r>
              <w:rPr>
                <w:rFonts w:ascii="Calibri Light" w:eastAsia="Calibri Light" w:hAnsi="Calibri Light" w:cs="Calibri Light"/>
                <w:lang w:val="en-GB"/>
              </w:rPr>
              <w:t>S</w:t>
            </w:r>
            <w:r w:rsidRPr="4D79C869">
              <w:rPr>
                <w:rFonts w:ascii="Calibri Light" w:eastAsia="Calibri Light" w:hAnsi="Calibri Light" w:cs="Calibri Light"/>
                <w:lang w:val="en-GB"/>
              </w:rPr>
              <w:t>trategy (2013)</w:t>
            </w:r>
            <w:r>
              <w:rPr>
                <w:rFonts w:ascii="Calibri Light" w:eastAsia="Calibri Light" w:hAnsi="Calibri Light" w:cs="Calibri Light"/>
                <w:lang w:val="en-GB"/>
              </w:rPr>
              <w:t xml:space="preserve"> now limited and outdated.</w:t>
            </w:r>
            <w:r w:rsidRPr="4D79C869">
              <w:rPr>
                <w:rFonts w:ascii="Calibri Light" w:eastAsia="Calibri Light" w:hAnsi="Calibri Light" w:cs="Calibri Light"/>
                <w:i/>
                <w:iCs/>
                <w:lang w:val="en-GB"/>
              </w:rPr>
              <w:t xml:space="preserve"> </w:t>
            </w:r>
            <w:r>
              <w:rPr>
                <w:rFonts w:ascii="Calibri Light" w:eastAsia="Calibri Light" w:hAnsi="Calibri Light" w:cs="Calibri Light"/>
                <w:lang w:val="en-GB"/>
              </w:rPr>
              <w:t>Develop new policy to</w:t>
            </w:r>
            <w:r w:rsidRPr="4D79C869">
              <w:rPr>
                <w:rFonts w:ascii="Calibri Light" w:eastAsia="Calibri Light" w:hAnsi="Calibri Light" w:cs="Calibri Light"/>
                <w:lang w:val="en-GB"/>
              </w:rPr>
              <w:t xml:space="preserve"> address place</w:t>
            </w:r>
            <w:r>
              <w:rPr>
                <w:rFonts w:ascii="Calibri Light" w:eastAsia="Calibri Light" w:hAnsi="Calibri Light" w:cs="Calibri Light"/>
                <w:lang w:val="en-GB"/>
              </w:rPr>
              <w:t xml:space="preserve">-based </w:t>
            </w:r>
            <w:r w:rsidRPr="4D79C869">
              <w:rPr>
                <w:rFonts w:ascii="Calibri Light" w:eastAsia="Calibri Light" w:hAnsi="Calibri Light" w:cs="Calibri Light"/>
                <w:lang w:val="en-GB"/>
              </w:rPr>
              <w:t>stigma and</w:t>
            </w:r>
            <w:r>
              <w:rPr>
                <w:rFonts w:ascii="Calibri Light" w:eastAsia="Calibri Light" w:hAnsi="Calibri Light" w:cs="Calibri Light"/>
                <w:lang w:val="en-GB"/>
              </w:rPr>
              <w:t xml:space="preserve"> support these projects and events.</w:t>
            </w:r>
          </w:p>
        </w:tc>
      </w:tr>
      <w:tr w:rsidR="006546F7" w14:paraId="2E8266E0" w14:textId="77777777" w:rsidTr="778E395A">
        <w:tc>
          <w:tcPr>
            <w:tcW w:w="14575" w:type="dxa"/>
          </w:tcPr>
          <w:p w14:paraId="0FE5A1B6" w14:textId="77777777" w:rsidR="006546F7" w:rsidRPr="0080632A" w:rsidRDefault="006546F7" w:rsidP="00901C62">
            <w:pPr>
              <w:spacing w:after="0" w:line="240" w:lineRule="auto"/>
              <w:rPr>
                <w:rFonts w:asciiTheme="majorHAnsi" w:eastAsia="Calibri Light" w:hAnsiTheme="majorHAnsi" w:cs="Calibri Light"/>
                <w:b/>
                <w:bCs/>
                <w:lang w:val="en-GB"/>
              </w:rPr>
            </w:pPr>
            <w:r w:rsidRPr="0080632A">
              <w:rPr>
                <w:rFonts w:eastAsia="Calibri Light" w:cs="Calibri Light"/>
                <w:b/>
                <w:bCs/>
                <w:lang w:val="en-GB"/>
              </w:rPr>
              <w:t xml:space="preserve">Priority: </w:t>
            </w:r>
            <w:r>
              <w:rPr>
                <w:rFonts w:ascii="Calibri Light" w:eastAsia="Calibri Light" w:hAnsi="Calibri Light" w:cs="Calibri Light"/>
              </w:rPr>
              <w:t>Provide</w:t>
            </w:r>
            <w:r w:rsidRPr="4D79C869">
              <w:rPr>
                <w:rFonts w:ascii="Calibri Light" w:eastAsia="Calibri Light" w:hAnsi="Calibri Light" w:cs="Calibri Light"/>
              </w:rPr>
              <w:t xml:space="preserve"> accessible</w:t>
            </w:r>
            <w:r>
              <w:rPr>
                <w:rFonts w:ascii="Calibri Light" w:eastAsia="Calibri Light" w:hAnsi="Calibri Light" w:cs="Calibri Light"/>
              </w:rPr>
              <w:t xml:space="preserve">, quality, welcoming </w:t>
            </w:r>
            <w:r w:rsidRPr="4D79C869">
              <w:rPr>
                <w:rFonts w:ascii="Calibri Light" w:eastAsia="Calibri Light" w:hAnsi="Calibri Light" w:cs="Calibri Light"/>
              </w:rPr>
              <w:t xml:space="preserve">spaces </w:t>
            </w:r>
            <w:r>
              <w:rPr>
                <w:rFonts w:ascii="Calibri Light" w:eastAsia="Calibri Light" w:hAnsi="Calibri Light" w:cs="Calibri Light"/>
              </w:rPr>
              <w:t>for arts activities and</w:t>
            </w:r>
            <w:r w:rsidRPr="4D79C869">
              <w:rPr>
                <w:rFonts w:ascii="Calibri Light" w:eastAsia="Calibri Light" w:hAnsi="Calibri Light" w:cs="Calibri Light"/>
              </w:rPr>
              <w:t xml:space="preserve"> community-based events</w:t>
            </w:r>
            <w:r>
              <w:rPr>
                <w:rFonts w:ascii="Calibri Light" w:eastAsia="Calibri Light" w:hAnsi="Calibri Light" w:cs="Calibri Light"/>
              </w:rPr>
              <w:t xml:space="preserve"> (see above), including both outdoor and indoor spaces</w:t>
            </w:r>
          </w:p>
          <w:p w14:paraId="77797624" w14:textId="77777777" w:rsidR="006546F7" w:rsidRPr="0080632A" w:rsidRDefault="006546F7" w:rsidP="00901C62">
            <w:pPr>
              <w:spacing w:after="0" w:line="240" w:lineRule="auto"/>
              <w:rPr>
                <w:rFonts w:eastAsiaTheme="majorEastAsia" w:cstheme="majorBidi"/>
                <w:b/>
                <w:bCs/>
                <w:lang w:val="en-GB"/>
              </w:rPr>
            </w:pPr>
            <w:r w:rsidRPr="0080632A">
              <w:rPr>
                <w:rFonts w:eastAsia="Calibri Light" w:cs="Calibri Light"/>
                <w:b/>
                <w:bCs/>
                <w:lang w:val="en-GB"/>
              </w:rPr>
              <w:t>Relevant Policy:</w:t>
            </w:r>
            <w:r w:rsidRPr="0080632A">
              <w:rPr>
                <w:rFonts w:ascii="Calibri Light" w:eastAsia="Calibri Light" w:hAnsi="Calibri Light" w:cs="Calibri Light"/>
                <w:lang w:val="en-GB"/>
              </w:rPr>
              <w:t xml:space="preserve"> </w:t>
            </w:r>
            <w:r w:rsidRPr="00ED795E">
              <w:rPr>
                <w:rFonts w:ascii="Calibri Light" w:eastAsia="Calibri Light" w:hAnsi="Calibri Light" w:cs="Calibri Light"/>
                <w:lang w:val="en-GB"/>
              </w:rPr>
              <w:t>Social Infrastructure Plan (</w:t>
            </w:r>
            <w:r w:rsidRPr="00ED795E">
              <w:rPr>
                <w:rFonts w:ascii="Calibri Light" w:eastAsia="Calibri Light" w:hAnsi="Calibri Light" w:cs="Calibri Light"/>
                <w:sz w:val="20"/>
                <w:szCs w:val="20"/>
                <w:lang w:val="en-GB"/>
              </w:rPr>
              <w:t>2020-2023)</w:t>
            </w:r>
          </w:p>
          <w:p w14:paraId="09B637AC" w14:textId="77777777" w:rsidR="006546F7" w:rsidRPr="002E6C74" w:rsidRDefault="006546F7" w:rsidP="00901C62">
            <w:pPr>
              <w:spacing w:after="0" w:line="240" w:lineRule="auto"/>
            </w:pPr>
            <w:r w:rsidRPr="0080632A">
              <w:rPr>
                <w:rFonts w:eastAsia="Calibri Light" w:cs="Calibri Light"/>
                <w:b/>
                <w:bCs/>
                <w:lang w:val="en-GB"/>
              </w:rPr>
              <w:t>Gaps or Extensions</w:t>
            </w:r>
            <w:r w:rsidRPr="0080632A">
              <w:rPr>
                <w:rFonts w:ascii="Calibri Light" w:eastAsia="Calibri Light" w:hAnsi="Calibri Light" w:cs="Calibri Light"/>
                <w:lang w:val="en-GB"/>
              </w:rPr>
              <w:t xml:space="preserve">: </w:t>
            </w:r>
            <w:r w:rsidRPr="4D79C869">
              <w:rPr>
                <w:rFonts w:ascii="Calibri Light" w:eastAsia="Calibri Light" w:hAnsi="Calibri Light" w:cs="Calibri Light"/>
                <w:lang w:val="en-GB"/>
              </w:rPr>
              <w:t xml:space="preserve">Does not always include </w:t>
            </w:r>
            <w:r>
              <w:rPr>
                <w:rFonts w:ascii="Calibri Light" w:eastAsia="Calibri Light" w:hAnsi="Calibri Light" w:cs="Calibri Light"/>
                <w:lang w:val="en-GB"/>
              </w:rPr>
              <w:t xml:space="preserve">building new community centres or upgrading existing ones. </w:t>
            </w:r>
            <w:r w:rsidRPr="4D79C869">
              <w:rPr>
                <w:rFonts w:ascii="Calibri Light" w:eastAsia="Calibri Light" w:hAnsi="Calibri Light" w:cs="Calibri Light"/>
                <w:lang w:val="en-GB"/>
              </w:rPr>
              <w:t xml:space="preserve">Cloverdale and Rosewall </w:t>
            </w:r>
            <w:r>
              <w:rPr>
                <w:rFonts w:ascii="Calibri Light" w:eastAsia="Calibri Light" w:hAnsi="Calibri Light" w:cs="Calibri Light"/>
                <w:lang w:val="en-GB"/>
              </w:rPr>
              <w:t xml:space="preserve">(both Corio) </w:t>
            </w:r>
            <w:r w:rsidRPr="4D79C869">
              <w:rPr>
                <w:rFonts w:ascii="Calibri Light" w:eastAsia="Calibri Light" w:hAnsi="Calibri Light" w:cs="Calibri Light"/>
                <w:lang w:val="en-GB"/>
              </w:rPr>
              <w:t xml:space="preserve">were renovated, Norlane Community Centre </w:t>
            </w:r>
            <w:r>
              <w:rPr>
                <w:rFonts w:ascii="Calibri Light" w:eastAsia="Calibri Light" w:hAnsi="Calibri Light" w:cs="Calibri Light"/>
                <w:lang w:val="en-GB"/>
              </w:rPr>
              <w:t>to be renovated.</w:t>
            </w:r>
            <w:r w:rsidRPr="4D79C869">
              <w:rPr>
                <w:rFonts w:ascii="Calibri Light" w:eastAsia="Calibri Light" w:hAnsi="Calibri Light" w:cs="Calibri Light"/>
                <w:lang w:val="en-GB"/>
              </w:rPr>
              <w:t xml:space="preserve"> Needs in Whittington to be “investigated”</w:t>
            </w:r>
            <w:r>
              <w:rPr>
                <w:rFonts w:ascii="Calibri Light" w:eastAsia="Calibri Light" w:hAnsi="Calibri Light" w:cs="Calibri Light"/>
                <w:lang w:val="en-GB"/>
              </w:rPr>
              <w:t>. T</w:t>
            </w:r>
            <w:r w:rsidRPr="4D79C869">
              <w:rPr>
                <w:rFonts w:ascii="Calibri Light" w:eastAsia="Calibri Light" w:hAnsi="Calibri Light" w:cs="Calibri Light"/>
                <w:lang w:val="en-GB"/>
              </w:rPr>
              <w:t>here is an urgency here</w:t>
            </w:r>
            <w:r>
              <w:rPr>
                <w:rFonts w:ascii="Calibri Light" w:eastAsia="Calibri Light" w:hAnsi="Calibri Light" w:cs="Calibri Light"/>
                <w:lang w:val="en-GB"/>
              </w:rPr>
              <w:t>.</w:t>
            </w:r>
          </w:p>
        </w:tc>
      </w:tr>
      <w:tr w:rsidR="006546F7" w14:paraId="61869C29" w14:textId="77777777" w:rsidTr="778E395A">
        <w:tc>
          <w:tcPr>
            <w:tcW w:w="14575" w:type="dxa"/>
          </w:tcPr>
          <w:p w14:paraId="5BB16B5A" w14:textId="77777777" w:rsidR="006546F7" w:rsidRPr="0080632A" w:rsidRDefault="006546F7" w:rsidP="00901C62">
            <w:pPr>
              <w:spacing w:after="0" w:line="240" w:lineRule="auto"/>
              <w:rPr>
                <w:rFonts w:asciiTheme="majorHAnsi" w:eastAsia="Calibri Light" w:hAnsiTheme="majorHAnsi" w:cs="Calibri Light"/>
                <w:b/>
                <w:bCs/>
                <w:lang w:val="en-GB"/>
              </w:rPr>
            </w:pPr>
            <w:r w:rsidRPr="0080632A">
              <w:rPr>
                <w:rFonts w:eastAsia="Calibri Light" w:cs="Calibri Light"/>
                <w:b/>
                <w:bCs/>
                <w:lang w:val="en-GB"/>
              </w:rPr>
              <w:t xml:space="preserve">Priority: </w:t>
            </w:r>
            <w:r w:rsidRPr="4D79C869">
              <w:rPr>
                <w:rFonts w:ascii="Calibri Light" w:eastAsia="Calibri Light" w:hAnsi="Calibri Light" w:cs="Calibri Light"/>
              </w:rPr>
              <w:t>Rationalise</w:t>
            </w:r>
            <w:r>
              <w:rPr>
                <w:rFonts w:ascii="Calibri Light" w:eastAsia="Calibri Light" w:hAnsi="Calibri Light" w:cs="Calibri Light"/>
              </w:rPr>
              <w:t xml:space="preserve">, </w:t>
            </w:r>
            <w:r w:rsidRPr="4D79C869">
              <w:rPr>
                <w:rFonts w:ascii="Calibri Light" w:eastAsia="Calibri Light" w:hAnsi="Calibri Light" w:cs="Calibri Light"/>
              </w:rPr>
              <w:t>renovate</w:t>
            </w:r>
            <w:r>
              <w:rPr>
                <w:rFonts w:ascii="Calibri Light" w:eastAsia="Calibri Light" w:hAnsi="Calibri Light" w:cs="Calibri Light"/>
              </w:rPr>
              <w:t>,</w:t>
            </w:r>
            <w:r w:rsidRPr="4D79C869">
              <w:rPr>
                <w:rFonts w:ascii="Calibri Light" w:eastAsia="Calibri Light" w:hAnsi="Calibri Light" w:cs="Calibri Light"/>
              </w:rPr>
              <w:t xml:space="preserve"> and revitalise local neighbourhood retail strips </w:t>
            </w:r>
            <w:r>
              <w:rPr>
                <w:rFonts w:ascii="Calibri Light" w:eastAsia="Calibri Light" w:hAnsi="Calibri Light" w:cs="Calibri Light"/>
              </w:rPr>
              <w:t>(</w:t>
            </w:r>
            <w:r w:rsidRPr="4D79C869">
              <w:rPr>
                <w:rFonts w:ascii="Calibri Light" w:eastAsia="Calibri Light" w:hAnsi="Calibri Light" w:cs="Calibri Light"/>
              </w:rPr>
              <w:t>especially Labuan Square, Rose St</w:t>
            </w:r>
            <w:r>
              <w:rPr>
                <w:rFonts w:ascii="Calibri Light" w:eastAsia="Calibri Light" w:hAnsi="Calibri Light" w:cs="Calibri Light"/>
              </w:rPr>
              <w:t>reet,</w:t>
            </w:r>
            <w:r w:rsidRPr="4D79C869">
              <w:rPr>
                <w:rFonts w:ascii="Calibri Light" w:eastAsia="Calibri Light" w:hAnsi="Calibri Light" w:cs="Calibri Light"/>
              </w:rPr>
              <w:t xml:space="preserve"> and Whittington</w:t>
            </w:r>
            <w:r>
              <w:rPr>
                <w:rFonts w:ascii="Calibri Light" w:eastAsia="Calibri Light" w:hAnsi="Calibri Light" w:cs="Calibri Light"/>
              </w:rPr>
              <w:t>)</w:t>
            </w:r>
          </w:p>
          <w:p w14:paraId="40703C94" w14:textId="77777777" w:rsidR="006546F7" w:rsidRPr="00921F5F" w:rsidRDefault="006546F7" w:rsidP="00901C62">
            <w:pPr>
              <w:spacing w:after="0" w:line="240" w:lineRule="auto"/>
              <w:rPr>
                <w:rFonts w:ascii="Calibri Light" w:eastAsia="Calibri Light" w:hAnsi="Calibri Light" w:cs="Calibri Light"/>
              </w:rPr>
            </w:pPr>
            <w:r w:rsidRPr="0080632A">
              <w:rPr>
                <w:rFonts w:eastAsia="Calibri Light" w:cs="Calibri Light"/>
                <w:b/>
                <w:bCs/>
                <w:lang w:val="en-GB"/>
              </w:rPr>
              <w:t>Relevant Policy:</w:t>
            </w:r>
            <w:r w:rsidRPr="0080632A">
              <w:rPr>
                <w:rFonts w:ascii="Calibri Light" w:eastAsia="Calibri Light" w:hAnsi="Calibri Light" w:cs="Calibri Light"/>
                <w:lang w:val="en-GB"/>
              </w:rPr>
              <w:t xml:space="preserve"> </w:t>
            </w:r>
            <w:r w:rsidRPr="00921F5F">
              <w:rPr>
                <w:rFonts w:ascii="Calibri Light" w:eastAsia="Calibri Light" w:hAnsi="Calibri Light" w:cs="Calibri Light"/>
                <w:lang w:val="en-GB"/>
              </w:rPr>
              <w:t>Corio-Norlane Structure Plan (2012)</w:t>
            </w:r>
            <w:r>
              <w:rPr>
                <w:rFonts w:ascii="Calibri Light" w:eastAsia="Calibri Light" w:hAnsi="Calibri Light" w:cs="Calibri Light"/>
                <w:lang w:val="en-GB"/>
              </w:rPr>
              <w:t xml:space="preserve">, </w:t>
            </w:r>
            <w:r w:rsidRPr="00921F5F">
              <w:rPr>
                <w:rFonts w:ascii="Calibri Light" w:eastAsia="Calibri Light" w:hAnsi="Calibri Light" w:cs="Calibri Light"/>
                <w:lang w:val="en-GB"/>
              </w:rPr>
              <w:t>Labuan Square Revitalisation Plan</w:t>
            </w:r>
          </w:p>
          <w:p w14:paraId="2CD0CE49" w14:textId="77777777" w:rsidR="006546F7" w:rsidRPr="0080632A" w:rsidRDefault="006546F7" w:rsidP="00901C62">
            <w:pPr>
              <w:spacing w:after="0" w:line="240" w:lineRule="auto"/>
              <w:rPr>
                <w:rFonts w:eastAsia="Calibri Light" w:cs="Calibri Light"/>
                <w:b/>
                <w:bCs/>
                <w:lang w:val="en-GB"/>
              </w:rPr>
            </w:pPr>
            <w:r w:rsidRPr="0080632A">
              <w:rPr>
                <w:rFonts w:eastAsia="Calibri Light" w:cs="Calibri Light"/>
                <w:b/>
                <w:bCs/>
                <w:lang w:val="en-GB"/>
              </w:rPr>
              <w:t>Gaps or Extensions</w:t>
            </w:r>
            <w:r w:rsidRPr="0080632A">
              <w:rPr>
                <w:rFonts w:ascii="Calibri Light" w:eastAsia="Calibri Light" w:hAnsi="Calibri Light" w:cs="Calibri Light"/>
                <w:lang w:val="en-GB"/>
              </w:rPr>
              <w:t>:</w:t>
            </w:r>
            <w:r>
              <w:t xml:space="preserve"> </w:t>
            </w:r>
            <w:r>
              <w:rPr>
                <w:rFonts w:ascii="Calibri Light" w:eastAsia="Calibri Light" w:hAnsi="Calibri Light" w:cs="Calibri Light"/>
                <w:lang w:val="en-GB"/>
              </w:rPr>
              <w:t>Plans</w:t>
            </w:r>
            <w:r w:rsidRPr="00921F5F">
              <w:rPr>
                <w:rFonts w:ascii="Calibri Light" w:eastAsia="Calibri Light" w:hAnsi="Calibri Light" w:cs="Calibri Light"/>
                <w:lang w:val="en-GB"/>
              </w:rPr>
              <w:t xml:space="preserve"> needed for Whittington</w:t>
            </w:r>
            <w:r>
              <w:rPr>
                <w:rFonts w:ascii="Calibri Light" w:eastAsia="Calibri Light" w:hAnsi="Calibri Light" w:cs="Calibri Light"/>
                <w:lang w:val="en-GB"/>
              </w:rPr>
              <w:t>,</w:t>
            </w:r>
            <w:r w:rsidRPr="00921F5F">
              <w:rPr>
                <w:rFonts w:ascii="Calibri Light" w:eastAsia="Calibri Light" w:hAnsi="Calibri Light" w:cs="Calibri Light"/>
                <w:lang w:val="en-GB"/>
              </w:rPr>
              <w:t xml:space="preserve"> Rose St</w:t>
            </w:r>
            <w:r>
              <w:rPr>
                <w:rFonts w:ascii="Calibri Light" w:eastAsia="Calibri Light" w:hAnsi="Calibri Light" w:cs="Calibri Light"/>
                <w:lang w:val="en-GB"/>
              </w:rPr>
              <w:t xml:space="preserve">reet, and other retail strips to be identified. </w:t>
            </w:r>
            <w:r w:rsidRPr="4D79C869">
              <w:rPr>
                <w:rFonts w:ascii="Calibri Light" w:eastAsia="Calibri Light" w:hAnsi="Calibri Light" w:cs="Calibri Light"/>
                <w:lang w:val="en-GB"/>
              </w:rPr>
              <w:t xml:space="preserve">Different strategies for renewal </w:t>
            </w:r>
            <w:r>
              <w:rPr>
                <w:rFonts w:ascii="Calibri Light" w:eastAsia="Calibri Light" w:hAnsi="Calibri Light" w:cs="Calibri Light"/>
                <w:lang w:val="en-GB"/>
              </w:rPr>
              <w:t>(</w:t>
            </w:r>
            <w:proofErr w:type="gramStart"/>
            <w:r>
              <w:rPr>
                <w:rFonts w:ascii="Calibri Light" w:eastAsia="Calibri Light" w:hAnsi="Calibri Light" w:cs="Calibri Light"/>
                <w:lang w:val="en-GB"/>
              </w:rPr>
              <w:t>e.g.</w:t>
            </w:r>
            <w:proofErr w:type="gramEnd"/>
            <w:r>
              <w:rPr>
                <w:rFonts w:ascii="Calibri Light" w:eastAsia="Calibri Light" w:hAnsi="Calibri Light" w:cs="Calibri Light"/>
                <w:lang w:val="en-GB"/>
              </w:rPr>
              <w:t xml:space="preserve"> </w:t>
            </w:r>
            <w:r w:rsidRPr="4D79C869">
              <w:rPr>
                <w:rFonts w:ascii="Calibri Light" w:eastAsia="Calibri Light" w:hAnsi="Calibri Light" w:cs="Calibri Light"/>
                <w:lang w:val="en-GB"/>
              </w:rPr>
              <w:t>tax on empty shops</w:t>
            </w:r>
            <w:r>
              <w:rPr>
                <w:rFonts w:ascii="Calibri Light" w:eastAsia="Calibri Light" w:hAnsi="Calibri Light" w:cs="Calibri Light"/>
                <w:lang w:val="en-GB"/>
              </w:rPr>
              <w:t>.)</w:t>
            </w:r>
          </w:p>
        </w:tc>
      </w:tr>
      <w:tr w:rsidR="006546F7" w14:paraId="08EB576B" w14:textId="77777777" w:rsidTr="778E395A">
        <w:tc>
          <w:tcPr>
            <w:tcW w:w="14575" w:type="dxa"/>
          </w:tcPr>
          <w:p w14:paraId="0421C257" w14:textId="77777777" w:rsidR="006546F7" w:rsidRPr="0080632A" w:rsidRDefault="006546F7" w:rsidP="00901C62">
            <w:pPr>
              <w:spacing w:after="0" w:line="240" w:lineRule="auto"/>
              <w:rPr>
                <w:rFonts w:asciiTheme="majorHAnsi" w:eastAsia="Calibri Light" w:hAnsiTheme="majorHAnsi" w:cs="Calibri Light"/>
                <w:b/>
                <w:bCs/>
                <w:lang w:val="en-GB"/>
              </w:rPr>
            </w:pPr>
            <w:r w:rsidRPr="0080632A">
              <w:rPr>
                <w:rFonts w:eastAsia="Calibri Light" w:cs="Calibri Light"/>
                <w:b/>
                <w:bCs/>
                <w:lang w:val="en-GB"/>
              </w:rPr>
              <w:t xml:space="preserve">Priority: </w:t>
            </w:r>
            <w:r>
              <w:rPr>
                <w:rFonts w:ascii="Calibri Light" w:eastAsia="Calibri Light" w:hAnsi="Calibri Light" w:cs="Calibri Light"/>
              </w:rPr>
              <w:t>Improve</w:t>
            </w:r>
            <w:r w:rsidRPr="4D79C869">
              <w:rPr>
                <w:rFonts w:ascii="Calibri Light" w:eastAsia="Calibri Light" w:hAnsi="Calibri Light" w:cs="Calibri Light"/>
              </w:rPr>
              <w:t xml:space="preserve"> public transport and active transport options</w:t>
            </w:r>
            <w:r>
              <w:rPr>
                <w:rFonts w:ascii="Calibri Light" w:eastAsia="Calibri Light" w:hAnsi="Calibri Light" w:cs="Calibri Light"/>
              </w:rPr>
              <w:t>; support residents to</w:t>
            </w:r>
            <w:r w:rsidRPr="4D79C869">
              <w:rPr>
                <w:rFonts w:ascii="Calibri Light" w:eastAsia="Calibri Light" w:hAnsi="Calibri Light" w:cs="Calibri Light"/>
              </w:rPr>
              <w:t xml:space="preserve"> </w:t>
            </w:r>
            <w:r>
              <w:rPr>
                <w:rFonts w:ascii="Calibri Light" w:eastAsia="Calibri Light" w:hAnsi="Calibri Light" w:cs="Calibri Light"/>
              </w:rPr>
              <w:t xml:space="preserve">obtain drivers’ </w:t>
            </w:r>
            <w:r w:rsidRPr="4D79C869">
              <w:rPr>
                <w:rFonts w:ascii="Calibri Light" w:eastAsia="Calibri Light" w:hAnsi="Calibri Light" w:cs="Calibri Light"/>
              </w:rPr>
              <w:t>licenses</w:t>
            </w:r>
          </w:p>
          <w:p w14:paraId="1E29373C" w14:textId="77777777" w:rsidR="006546F7" w:rsidRPr="00D16F5C" w:rsidRDefault="006546F7" w:rsidP="00901C62">
            <w:pPr>
              <w:spacing w:after="0" w:line="240" w:lineRule="auto"/>
              <w:rPr>
                <w:rFonts w:eastAsiaTheme="majorEastAsia" w:cstheme="majorBidi"/>
                <w:b/>
                <w:bCs/>
                <w:lang w:val="en-GB"/>
              </w:rPr>
            </w:pPr>
            <w:r w:rsidRPr="0080632A">
              <w:rPr>
                <w:rFonts w:eastAsia="Calibri Light" w:cs="Calibri Light"/>
                <w:b/>
                <w:bCs/>
                <w:lang w:val="en-GB"/>
              </w:rPr>
              <w:t>Relevant Policy:</w:t>
            </w:r>
            <w:r w:rsidRPr="0080632A">
              <w:rPr>
                <w:rFonts w:ascii="Calibri Light" w:eastAsia="Calibri Light" w:hAnsi="Calibri Light" w:cs="Calibri Light"/>
                <w:lang w:val="en-GB"/>
              </w:rPr>
              <w:t xml:space="preserve"> </w:t>
            </w:r>
            <w:r w:rsidRPr="00D16F5C">
              <w:rPr>
                <w:rFonts w:ascii="Calibri Light" w:eastAsia="Calibri Light" w:hAnsi="Calibri Light" w:cs="Calibri Light"/>
                <w:lang w:val="en-GB"/>
              </w:rPr>
              <w:t>Active Transport Plan</w:t>
            </w:r>
          </w:p>
          <w:p w14:paraId="2E38B20B" w14:textId="77777777" w:rsidR="006546F7" w:rsidRPr="0080632A" w:rsidRDefault="006546F7" w:rsidP="00901C62">
            <w:pPr>
              <w:spacing w:after="0" w:line="240" w:lineRule="auto"/>
              <w:rPr>
                <w:rFonts w:eastAsiaTheme="majorEastAsia" w:cstheme="majorBidi"/>
                <w:b/>
                <w:bCs/>
                <w:lang w:val="en-GB"/>
              </w:rPr>
            </w:pPr>
            <w:r w:rsidRPr="0080632A">
              <w:rPr>
                <w:rFonts w:eastAsia="Calibri Light" w:cs="Calibri Light"/>
                <w:b/>
                <w:bCs/>
                <w:lang w:val="en-GB"/>
              </w:rPr>
              <w:t>Applicable Sections:</w:t>
            </w:r>
            <w:r w:rsidRPr="0080632A">
              <w:rPr>
                <w:rFonts w:ascii="Calibri Light" w:eastAsia="Calibri Light" w:hAnsi="Calibri Light" w:cs="Calibri Light"/>
                <w:lang w:val="en-GB"/>
              </w:rPr>
              <w:t xml:space="preserve"> </w:t>
            </w:r>
            <w:r>
              <w:rPr>
                <w:rFonts w:ascii="Calibri Light" w:eastAsia="Calibri Light" w:hAnsi="Calibri Light" w:cs="Calibri Light"/>
                <w:lang w:val="en-GB"/>
              </w:rPr>
              <w:t>There are local</w:t>
            </w:r>
            <w:r w:rsidRPr="4D79C869">
              <w:rPr>
                <w:rFonts w:ascii="Calibri Light" w:eastAsia="Calibri Light" w:hAnsi="Calibri Light" w:cs="Calibri Light"/>
                <w:lang w:val="en-GB"/>
              </w:rPr>
              <w:t xml:space="preserve"> bus and train services, but access remains a problem</w:t>
            </w:r>
          </w:p>
          <w:p w14:paraId="50132125" w14:textId="77777777" w:rsidR="006546F7" w:rsidRPr="0080632A" w:rsidRDefault="006546F7" w:rsidP="00901C62">
            <w:pPr>
              <w:spacing w:after="0" w:line="240" w:lineRule="auto"/>
              <w:rPr>
                <w:rFonts w:eastAsia="Calibri Light" w:cs="Calibri Light"/>
                <w:b/>
                <w:bCs/>
                <w:lang w:val="en-GB"/>
              </w:rPr>
            </w:pPr>
            <w:r w:rsidRPr="0080632A">
              <w:rPr>
                <w:rFonts w:eastAsia="Calibri Light" w:cs="Calibri Light"/>
                <w:b/>
                <w:bCs/>
                <w:lang w:val="en-GB"/>
              </w:rPr>
              <w:t>Gaps or Extensions</w:t>
            </w:r>
            <w:r w:rsidRPr="0080632A">
              <w:rPr>
                <w:rFonts w:ascii="Calibri Light" w:eastAsia="Calibri Light" w:hAnsi="Calibri Light" w:cs="Calibri Light"/>
                <w:lang w:val="en-GB"/>
              </w:rPr>
              <w:t>:</w:t>
            </w:r>
            <w:r w:rsidRPr="4D79C869">
              <w:rPr>
                <w:rFonts w:ascii="Calibri Light" w:eastAsia="Calibri Light" w:hAnsi="Calibri Light" w:cs="Calibri Light"/>
                <w:lang w:val="en-GB"/>
              </w:rPr>
              <w:t xml:space="preserve"> Are there dedicated plans to activate and support mobility in these localities?</w:t>
            </w:r>
          </w:p>
        </w:tc>
      </w:tr>
      <w:tr w:rsidR="006546F7" w14:paraId="0E76EC3B" w14:textId="77777777" w:rsidTr="778E395A">
        <w:tc>
          <w:tcPr>
            <w:tcW w:w="14575" w:type="dxa"/>
          </w:tcPr>
          <w:p w14:paraId="47856895" w14:textId="77777777" w:rsidR="006546F7" w:rsidRPr="00EC2280" w:rsidRDefault="006546F7" w:rsidP="00901C62">
            <w:pPr>
              <w:spacing w:after="0" w:line="240" w:lineRule="auto"/>
            </w:pPr>
            <w:r w:rsidRPr="0080632A">
              <w:rPr>
                <w:rFonts w:eastAsia="Calibri Light" w:cs="Calibri Light"/>
                <w:b/>
                <w:bCs/>
                <w:lang w:val="en-GB"/>
              </w:rPr>
              <w:t xml:space="preserve">Priority: </w:t>
            </w:r>
            <w:r>
              <w:rPr>
                <w:rFonts w:ascii="Calibri Light" w:eastAsia="Calibri Light" w:hAnsi="Calibri Light" w:cs="Calibri Light"/>
              </w:rPr>
              <w:t>Improve social connection: b</w:t>
            </w:r>
            <w:r w:rsidRPr="4D79C869">
              <w:rPr>
                <w:rFonts w:ascii="Calibri Light" w:eastAsia="Calibri Light" w:hAnsi="Calibri Light" w:cs="Calibri Light"/>
              </w:rPr>
              <w:t xml:space="preserve">uild on existing </w:t>
            </w:r>
            <w:r>
              <w:rPr>
                <w:rFonts w:ascii="Calibri Light" w:eastAsia="Calibri Light" w:hAnsi="Calibri Light" w:cs="Calibri Light"/>
              </w:rPr>
              <w:t xml:space="preserve">programs </w:t>
            </w:r>
            <w:r w:rsidRPr="4D79C869">
              <w:rPr>
                <w:rFonts w:ascii="Calibri Light" w:eastAsia="Calibri Light" w:hAnsi="Calibri Light" w:cs="Calibri Light"/>
              </w:rPr>
              <w:t>and support new initiatives</w:t>
            </w:r>
            <w:r>
              <w:rPr>
                <w:rFonts w:ascii="Calibri Light" w:eastAsia="Calibri Light" w:hAnsi="Calibri Light" w:cs="Calibri Light"/>
              </w:rPr>
              <w:t xml:space="preserve"> to reduce social isolation</w:t>
            </w:r>
          </w:p>
          <w:p w14:paraId="6409E542" w14:textId="77777777" w:rsidR="006546F7" w:rsidRPr="00D16F5C" w:rsidRDefault="006546F7" w:rsidP="00901C62">
            <w:pPr>
              <w:spacing w:after="0" w:line="240" w:lineRule="auto"/>
              <w:rPr>
                <w:rFonts w:eastAsiaTheme="majorEastAsia" w:cstheme="majorBidi"/>
                <w:b/>
                <w:bCs/>
                <w:lang w:val="en-GB"/>
              </w:rPr>
            </w:pPr>
            <w:r w:rsidRPr="0080632A">
              <w:rPr>
                <w:rFonts w:eastAsia="Calibri Light" w:cs="Calibri Light"/>
                <w:b/>
                <w:bCs/>
                <w:lang w:val="en-GB"/>
              </w:rPr>
              <w:t>Relevant Policy:</w:t>
            </w:r>
            <w:r w:rsidRPr="0080632A">
              <w:rPr>
                <w:rFonts w:ascii="Calibri Light" w:eastAsia="Calibri Light" w:hAnsi="Calibri Light" w:cs="Calibri Light"/>
                <w:lang w:val="en-GB"/>
              </w:rPr>
              <w:t xml:space="preserve"> </w:t>
            </w:r>
            <w:r w:rsidRPr="00EC2280">
              <w:rPr>
                <w:rFonts w:ascii="Calibri Light" w:eastAsia="Calibri Light" w:hAnsi="Calibri Light" w:cs="Calibri Light"/>
                <w:lang w:val="en-GB"/>
              </w:rPr>
              <w:t>Social Infrastructure Plan (2020</w:t>
            </w:r>
            <w:r>
              <w:rPr>
                <w:rFonts w:ascii="Calibri Light" w:eastAsia="Calibri Light" w:hAnsi="Calibri Light" w:cs="Calibri Light"/>
                <w:lang w:val="en-GB"/>
              </w:rPr>
              <w:t>–</w:t>
            </w:r>
            <w:r w:rsidRPr="00EC2280">
              <w:rPr>
                <w:rFonts w:ascii="Calibri Light" w:eastAsia="Calibri Light" w:hAnsi="Calibri Light" w:cs="Calibri Light"/>
                <w:lang w:val="en-GB"/>
              </w:rPr>
              <w:t>2023</w:t>
            </w:r>
            <w:r>
              <w:rPr>
                <w:rFonts w:ascii="Calibri Light" w:eastAsia="Calibri Light" w:hAnsi="Calibri Light" w:cs="Calibri Light"/>
                <w:lang w:val="en-GB"/>
              </w:rPr>
              <w:t>)</w:t>
            </w:r>
          </w:p>
          <w:p w14:paraId="6AACF99A" w14:textId="56E68033" w:rsidR="006546F7" w:rsidRPr="0080632A" w:rsidRDefault="006546F7" w:rsidP="00901C62">
            <w:pPr>
              <w:spacing w:after="0" w:line="240" w:lineRule="auto"/>
              <w:rPr>
                <w:rFonts w:eastAsiaTheme="majorEastAsia" w:cstheme="majorBidi"/>
                <w:b/>
                <w:bCs/>
                <w:lang w:val="en-GB"/>
              </w:rPr>
            </w:pPr>
            <w:r w:rsidRPr="0080632A">
              <w:rPr>
                <w:rFonts w:eastAsia="Calibri Light" w:cs="Calibri Light"/>
                <w:b/>
                <w:bCs/>
                <w:lang w:val="en-GB"/>
              </w:rPr>
              <w:t>Applicable Sections:</w:t>
            </w:r>
            <w:r w:rsidRPr="0080632A">
              <w:rPr>
                <w:rFonts w:ascii="Calibri Light" w:eastAsia="Calibri Light" w:hAnsi="Calibri Light" w:cs="Calibri Light"/>
                <w:lang w:val="en-GB"/>
              </w:rPr>
              <w:t xml:space="preserve"> </w:t>
            </w:r>
            <w:r>
              <w:rPr>
                <w:rFonts w:ascii="Calibri Light" w:eastAsia="Calibri Light" w:hAnsi="Calibri Light" w:cs="Calibri Light"/>
                <w:lang w:val="en-GB"/>
              </w:rPr>
              <w:t>Contains s</w:t>
            </w:r>
            <w:r w:rsidRPr="00EC2280">
              <w:rPr>
                <w:rFonts w:ascii="Calibri Light" w:eastAsia="Calibri Light" w:hAnsi="Calibri Light" w:cs="Calibri Light"/>
                <w:lang w:val="en-GB"/>
              </w:rPr>
              <w:t xml:space="preserve">pecific suggestions to renovate existing </w:t>
            </w:r>
            <w:r>
              <w:rPr>
                <w:rFonts w:ascii="Calibri Light" w:eastAsia="Calibri Light" w:hAnsi="Calibri Light" w:cs="Calibri Light"/>
                <w:lang w:val="en-GB"/>
              </w:rPr>
              <w:t xml:space="preserve">community </w:t>
            </w:r>
            <w:r w:rsidRPr="00EC2280">
              <w:rPr>
                <w:rFonts w:ascii="Calibri Light" w:eastAsia="Calibri Light" w:hAnsi="Calibri Light" w:cs="Calibri Light"/>
                <w:lang w:val="en-GB"/>
              </w:rPr>
              <w:t xml:space="preserve">centres </w:t>
            </w:r>
            <w:r>
              <w:rPr>
                <w:rFonts w:ascii="Calibri Light" w:eastAsia="Calibri Light" w:hAnsi="Calibri Light" w:cs="Calibri Light"/>
                <w:lang w:val="en-GB"/>
              </w:rPr>
              <w:t>(</w:t>
            </w:r>
            <w:r w:rsidR="00906F73">
              <w:rPr>
                <w:rFonts w:ascii="Calibri Light" w:eastAsia="Calibri Light" w:hAnsi="Calibri Light" w:cs="Calibri Light"/>
                <w:lang w:val="en-GB"/>
              </w:rPr>
              <w:t>e.g.,</w:t>
            </w:r>
            <w:r>
              <w:rPr>
                <w:rFonts w:ascii="Calibri Light" w:eastAsia="Calibri Light" w:hAnsi="Calibri Light" w:cs="Calibri Light"/>
                <w:lang w:val="en-GB"/>
              </w:rPr>
              <w:t xml:space="preserve"> </w:t>
            </w:r>
            <w:r w:rsidRPr="00EC2280">
              <w:rPr>
                <w:rFonts w:ascii="Calibri Light" w:eastAsia="Calibri Light" w:hAnsi="Calibri Light" w:cs="Calibri Light"/>
                <w:lang w:val="en-GB"/>
              </w:rPr>
              <w:t>Norlan</w:t>
            </w:r>
            <w:r>
              <w:rPr>
                <w:rFonts w:ascii="Calibri Light" w:eastAsia="Calibri Light" w:hAnsi="Calibri Light" w:cs="Calibri Light"/>
                <w:lang w:val="en-GB"/>
              </w:rPr>
              <w:t>e</w:t>
            </w:r>
            <w:r w:rsidRPr="00EC2280">
              <w:rPr>
                <w:rFonts w:ascii="Calibri Light" w:eastAsia="Calibri Light" w:hAnsi="Calibri Light" w:cs="Calibri Light"/>
                <w:lang w:val="en-GB"/>
              </w:rPr>
              <w:t xml:space="preserve"> Community Centre</w:t>
            </w:r>
            <w:r>
              <w:rPr>
                <w:rFonts w:ascii="Calibri Light" w:eastAsia="Calibri Light" w:hAnsi="Calibri Light" w:cs="Calibri Light"/>
                <w:lang w:val="en-GB"/>
              </w:rPr>
              <w:t>)</w:t>
            </w:r>
          </w:p>
          <w:p w14:paraId="08F086FA" w14:textId="77777777" w:rsidR="006546F7" w:rsidRPr="0080632A" w:rsidRDefault="006546F7" w:rsidP="00901C62">
            <w:pPr>
              <w:spacing w:after="0" w:line="240" w:lineRule="auto"/>
              <w:rPr>
                <w:rFonts w:eastAsia="Calibri Light" w:cs="Calibri Light"/>
                <w:b/>
                <w:bCs/>
                <w:lang w:val="en-GB"/>
              </w:rPr>
            </w:pPr>
            <w:r w:rsidRPr="0080632A">
              <w:rPr>
                <w:rFonts w:eastAsia="Calibri Light" w:cs="Calibri Light"/>
                <w:b/>
                <w:bCs/>
                <w:lang w:val="en-GB"/>
              </w:rPr>
              <w:t>Gaps or Extensions</w:t>
            </w:r>
            <w:r w:rsidRPr="0080632A">
              <w:rPr>
                <w:rFonts w:ascii="Calibri Light" w:eastAsia="Calibri Light" w:hAnsi="Calibri Light" w:cs="Calibri Light"/>
                <w:lang w:val="en-GB"/>
              </w:rPr>
              <w:t>:</w:t>
            </w:r>
            <w:r>
              <w:t xml:space="preserve"> </w:t>
            </w:r>
            <w:r w:rsidRPr="00EC2280">
              <w:rPr>
                <w:rFonts w:ascii="Calibri Light" w:eastAsia="Calibri Light" w:hAnsi="Calibri Light" w:cs="Calibri Light"/>
                <w:lang w:val="en-GB"/>
              </w:rPr>
              <w:t>No plans or provisions to support social connection programs and services</w:t>
            </w:r>
          </w:p>
        </w:tc>
      </w:tr>
      <w:tr w:rsidR="006546F7" w14:paraId="730157E6" w14:textId="77777777" w:rsidTr="778E395A">
        <w:tc>
          <w:tcPr>
            <w:tcW w:w="14575" w:type="dxa"/>
          </w:tcPr>
          <w:p w14:paraId="03514AE2" w14:textId="77777777" w:rsidR="006546F7" w:rsidRPr="0028752F" w:rsidRDefault="006546F7" w:rsidP="00901C62">
            <w:pPr>
              <w:spacing w:after="0" w:line="240" w:lineRule="auto"/>
              <w:rPr>
                <w:rFonts w:ascii="Calibri Light" w:eastAsia="Calibri Light" w:hAnsi="Calibri Light" w:cs="Calibri Light"/>
              </w:rPr>
            </w:pPr>
            <w:r w:rsidRPr="0080632A">
              <w:rPr>
                <w:rFonts w:eastAsia="Calibri Light" w:cs="Calibri Light"/>
                <w:b/>
                <w:bCs/>
                <w:lang w:val="en-GB"/>
              </w:rPr>
              <w:t xml:space="preserve">Priority: </w:t>
            </w:r>
            <w:r w:rsidRPr="0028752F">
              <w:rPr>
                <w:rFonts w:asciiTheme="majorHAnsi" w:eastAsia="Calibri Light" w:hAnsiTheme="majorHAnsi" w:cstheme="majorHAnsi"/>
                <w:lang w:val="en-GB"/>
              </w:rPr>
              <w:t xml:space="preserve">Improve food security: </w:t>
            </w:r>
            <w:r>
              <w:rPr>
                <w:rFonts w:asciiTheme="majorHAnsi" w:eastAsia="Calibri Light" w:hAnsiTheme="majorHAnsi" w:cstheme="majorHAnsi"/>
                <w:lang w:val="en-GB"/>
              </w:rPr>
              <w:t>s</w:t>
            </w:r>
            <w:r w:rsidRPr="0028752F">
              <w:rPr>
                <w:rFonts w:asciiTheme="majorHAnsi" w:eastAsia="Calibri Light" w:hAnsiTheme="majorHAnsi" w:cstheme="majorHAnsi"/>
              </w:rPr>
              <w:t xml:space="preserve">upport and </w:t>
            </w:r>
            <w:r>
              <w:rPr>
                <w:rFonts w:asciiTheme="majorHAnsi" w:eastAsia="Calibri Light" w:hAnsiTheme="majorHAnsi" w:cstheme="majorHAnsi"/>
              </w:rPr>
              <w:t>extend</w:t>
            </w:r>
            <w:r w:rsidRPr="0028752F">
              <w:rPr>
                <w:rFonts w:asciiTheme="majorHAnsi" w:eastAsia="Calibri Light" w:hAnsiTheme="majorHAnsi" w:cstheme="majorHAnsi"/>
              </w:rPr>
              <w:t xml:space="preserve"> existing local programs and organisations</w:t>
            </w:r>
          </w:p>
          <w:p w14:paraId="60B28376" w14:textId="77777777" w:rsidR="006546F7" w:rsidRPr="0028752F" w:rsidRDefault="006546F7" w:rsidP="00901C62">
            <w:pPr>
              <w:spacing w:after="0" w:line="240" w:lineRule="auto"/>
            </w:pPr>
            <w:r w:rsidRPr="0080632A">
              <w:rPr>
                <w:rFonts w:eastAsia="Calibri Light" w:cs="Calibri Light"/>
                <w:b/>
                <w:bCs/>
                <w:lang w:val="en-GB"/>
              </w:rPr>
              <w:t>Relevant Policy:</w:t>
            </w:r>
            <w:r w:rsidRPr="0080632A">
              <w:rPr>
                <w:rFonts w:ascii="Calibri Light" w:eastAsia="Calibri Light" w:hAnsi="Calibri Light" w:cs="Calibri Light"/>
                <w:lang w:val="en-GB"/>
              </w:rPr>
              <w:t xml:space="preserve"> </w:t>
            </w:r>
            <w:r w:rsidRPr="4D79C869">
              <w:rPr>
                <w:rFonts w:ascii="Calibri Light" w:eastAsia="Calibri Light" w:hAnsi="Calibri Light" w:cs="Calibri Light"/>
                <w:lang w:val="en-GB"/>
              </w:rPr>
              <w:t>No specific plans to address food insecurity</w:t>
            </w:r>
          </w:p>
          <w:p w14:paraId="3B6A2B06" w14:textId="77777777" w:rsidR="006546F7" w:rsidRPr="00F0242F" w:rsidRDefault="006546F7" w:rsidP="00901C62">
            <w:pPr>
              <w:spacing w:after="0" w:line="240" w:lineRule="auto"/>
            </w:pPr>
            <w:r w:rsidRPr="0080632A">
              <w:rPr>
                <w:rFonts w:eastAsia="Calibri Light" w:cs="Calibri Light"/>
                <w:b/>
                <w:bCs/>
                <w:lang w:val="en-GB"/>
              </w:rPr>
              <w:t>Gaps or Extensions</w:t>
            </w:r>
            <w:r w:rsidRPr="0080632A">
              <w:rPr>
                <w:rFonts w:ascii="Calibri Light" w:eastAsia="Calibri Light" w:hAnsi="Calibri Light" w:cs="Calibri Light"/>
                <w:lang w:val="en-GB"/>
              </w:rPr>
              <w:t>:</w:t>
            </w:r>
            <w:r>
              <w:t xml:space="preserve"> </w:t>
            </w:r>
            <w:r>
              <w:rPr>
                <w:rFonts w:ascii="Calibri Light" w:eastAsia="Calibri Light" w:hAnsi="Calibri Light" w:cs="Calibri Light"/>
                <w:lang w:val="en-GB"/>
              </w:rPr>
              <w:t>Create</w:t>
            </w:r>
            <w:r w:rsidRPr="4D79C869">
              <w:rPr>
                <w:rFonts w:ascii="Calibri Light" w:eastAsia="Calibri Light" w:hAnsi="Calibri Light" w:cs="Calibri Light"/>
                <w:lang w:val="en-GB"/>
              </w:rPr>
              <w:t xml:space="preserve"> plans and supports for </w:t>
            </w:r>
            <w:r>
              <w:rPr>
                <w:rFonts w:ascii="Calibri Light" w:eastAsia="Calibri Light" w:hAnsi="Calibri Light" w:cs="Calibri Light"/>
                <w:lang w:val="en-GB"/>
              </w:rPr>
              <w:t xml:space="preserve">both </w:t>
            </w:r>
            <w:r w:rsidRPr="4D79C869">
              <w:rPr>
                <w:rFonts w:ascii="Calibri Light" w:eastAsia="Calibri Light" w:hAnsi="Calibri Light" w:cs="Calibri Light"/>
                <w:lang w:val="en-GB"/>
              </w:rPr>
              <w:t>existing and new food security programs</w:t>
            </w:r>
          </w:p>
        </w:tc>
      </w:tr>
    </w:tbl>
    <w:p w14:paraId="45925CA4" w14:textId="0E296623" w:rsidR="002F7023" w:rsidRPr="007543E2" w:rsidRDefault="002F7023" w:rsidP="6A3610E4">
      <w:pPr>
        <w:rPr>
          <w:b/>
          <w:bCs/>
          <w:sz w:val="21"/>
          <w:szCs w:val="21"/>
        </w:rPr>
        <w:sectPr w:rsidR="002F7023" w:rsidRPr="007543E2" w:rsidSect="004A2BA4">
          <w:pgSz w:w="16840" w:h="11900" w:orient="landscape"/>
          <w:pgMar w:top="1134" w:right="1134" w:bottom="1134" w:left="1134" w:header="709" w:footer="709" w:gutter="0"/>
          <w:cols w:space="708"/>
          <w:docGrid w:linePitch="360"/>
        </w:sectPr>
      </w:pPr>
      <w:r w:rsidRPr="00906F73">
        <w:rPr>
          <w:b/>
          <w:bCs/>
          <w:sz w:val="21"/>
          <w:szCs w:val="21"/>
        </w:rPr>
        <w:t>Table 9.</w:t>
      </w:r>
      <w:r w:rsidR="0C599CFF" w:rsidRPr="00906F73">
        <w:rPr>
          <w:b/>
          <w:bCs/>
          <w:sz w:val="21"/>
          <w:szCs w:val="21"/>
        </w:rPr>
        <w:t>2</w:t>
      </w:r>
      <w:r w:rsidRPr="00906F73">
        <w:rPr>
          <w:b/>
          <w:bCs/>
          <w:sz w:val="21"/>
          <w:szCs w:val="21"/>
        </w:rPr>
        <w:t>: Priorities and Recommendations in Relation to Existing Policies</w:t>
      </w:r>
    </w:p>
    <w:p w14:paraId="24A8E8B1" w14:textId="6BA7AB82" w:rsidR="00F00E3D" w:rsidRDefault="00FE67FE" w:rsidP="009B2FA7">
      <w:pPr>
        <w:pStyle w:val="Heading1"/>
        <w:rPr>
          <w:rFonts w:asciiTheme="minorHAnsi" w:hAnsiTheme="minorHAnsi" w:cstheme="minorBidi"/>
          <w:b/>
          <w:sz w:val="28"/>
          <w:szCs w:val="28"/>
        </w:rPr>
      </w:pPr>
      <w:r>
        <w:rPr>
          <w:rFonts w:asciiTheme="minorHAnsi" w:hAnsiTheme="minorHAnsi" w:cstheme="minorBidi"/>
          <w:b/>
          <w:sz w:val="28"/>
          <w:szCs w:val="28"/>
        </w:rPr>
        <w:lastRenderedPageBreak/>
        <w:t>9</w:t>
      </w:r>
      <w:r w:rsidR="00F00E3D" w:rsidRPr="3EA87273">
        <w:rPr>
          <w:rFonts w:asciiTheme="minorHAnsi" w:hAnsiTheme="minorHAnsi" w:cstheme="minorBidi"/>
          <w:b/>
          <w:sz w:val="28"/>
          <w:szCs w:val="28"/>
        </w:rPr>
        <w:t>.</w:t>
      </w:r>
      <w:r>
        <w:rPr>
          <w:rFonts w:asciiTheme="minorHAnsi" w:hAnsiTheme="minorHAnsi" w:cstheme="minorBidi"/>
          <w:b/>
          <w:sz w:val="28"/>
          <w:szCs w:val="28"/>
        </w:rPr>
        <w:t>3</w:t>
      </w:r>
      <w:r w:rsidR="00F00E3D" w:rsidRPr="3EA87273">
        <w:rPr>
          <w:rFonts w:asciiTheme="minorHAnsi" w:hAnsiTheme="minorHAnsi" w:cstheme="minorBidi"/>
          <w:b/>
          <w:sz w:val="28"/>
          <w:szCs w:val="28"/>
        </w:rPr>
        <w:t xml:space="preserve"> </w:t>
      </w:r>
      <w:r w:rsidR="00FC5DB2">
        <w:rPr>
          <w:rFonts w:asciiTheme="minorHAnsi" w:hAnsiTheme="minorHAnsi" w:cstheme="minorBidi"/>
          <w:b/>
          <w:sz w:val="28"/>
          <w:szCs w:val="28"/>
        </w:rPr>
        <w:t>Study</w:t>
      </w:r>
      <w:r w:rsidR="00A75143">
        <w:rPr>
          <w:rFonts w:asciiTheme="minorHAnsi" w:hAnsiTheme="minorHAnsi" w:cstheme="minorBidi"/>
          <w:b/>
          <w:sz w:val="28"/>
          <w:szCs w:val="28"/>
        </w:rPr>
        <w:t xml:space="preserve"> </w:t>
      </w:r>
      <w:r w:rsidR="00F00E3D" w:rsidRPr="3EA87273">
        <w:rPr>
          <w:rFonts w:asciiTheme="minorHAnsi" w:hAnsiTheme="minorHAnsi" w:cstheme="minorBidi"/>
          <w:b/>
          <w:sz w:val="28"/>
          <w:szCs w:val="28"/>
        </w:rPr>
        <w:t xml:space="preserve">Challenges and </w:t>
      </w:r>
      <w:r w:rsidR="00A75143">
        <w:rPr>
          <w:rFonts w:asciiTheme="minorHAnsi" w:hAnsiTheme="minorHAnsi" w:cstheme="minorBidi"/>
          <w:b/>
          <w:sz w:val="28"/>
          <w:szCs w:val="28"/>
        </w:rPr>
        <w:t>L</w:t>
      </w:r>
      <w:r w:rsidR="00F00E3D" w:rsidRPr="3EA87273">
        <w:rPr>
          <w:rFonts w:asciiTheme="minorHAnsi" w:hAnsiTheme="minorHAnsi" w:cstheme="minorBidi"/>
          <w:b/>
          <w:sz w:val="28"/>
          <w:szCs w:val="28"/>
        </w:rPr>
        <w:t>imitations</w:t>
      </w:r>
    </w:p>
    <w:p w14:paraId="5F4BF06B" w14:textId="77777777" w:rsidR="003D16B3" w:rsidRPr="00C96BDA" w:rsidRDefault="003D16B3" w:rsidP="00C96BDA">
      <w:pPr>
        <w:spacing w:after="0"/>
        <w:rPr>
          <w:sz w:val="12"/>
          <w:szCs w:val="12"/>
          <w:lang w:eastAsia="en-GB"/>
        </w:rPr>
      </w:pPr>
    </w:p>
    <w:p w14:paraId="7EF39807" w14:textId="74A097B2" w:rsidR="00F00E3D" w:rsidRPr="000940CC" w:rsidRDefault="00F00E3D" w:rsidP="009B2FA7">
      <w:pPr>
        <w:spacing w:line="276" w:lineRule="auto"/>
        <w:rPr>
          <w:rFonts w:ascii="Calibri Light" w:eastAsia="Calibri" w:hAnsi="Calibri Light" w:cs="Calibri Light"/>
          <w:sz w:val="23"/>
          <w:szCs w:val="23"/>
        </w:rPr>
      </w:pPr>
      <w:r w:rsidRPr="6A3610E4">
        <w:rPr>
          <w:rFonts w:ascii="Calibri Light" w:eastAsia="Calibri" w:hAnsi="Calibri Light" w:cs="Calibri Light"/>
          <w:sz w:val="23"/>
          <w:szCs w:val="23"/>
        </w:rPr>
        <w:t xml:space="preserve">This research was conducted during the </w:t>
      </w:r>
      <w:r w:rsidR="00940D80" w:rsidRPr="6A3610E4">
        <w:rPr>
          <w:rFonts w:ascii="Calibri Light" w:eastAsia="Calibri" w:hAnsi="Calibri Light" w:cs="Calibri Light"/>
          <w:sz w:val="23"/>
          <w:szCs w:val="23"/>
        </w:rPr>
        <w:t>COVID</w:t>
      </w:r>
      <w:r w:rsidRPr="6A3610E4">
        <w:rPr>
          <w:rFonts w:ascii="Calibri Light" w:eastAsia="Calibri" w:hAnsi="Calibri Light" w:cs="Calibri Light"/>
          <w:sz w:val="23"/>
          <w:szCs w:val="23"/>
        </w:rPr>
        <w:t>-19 pandemic</w:t>
      </w:r>
      <w:r w:rsidR="00AC2354" w:rsidRPr="6A3610E4">
        <w:rPr>
          <w:rFonts w:ascii="Calibri Light" w:eastAsia="Calibri" w:hAnsi="Calibri Light" w:cs="Calibri Light"/>
          <w:sz w:val="23"/>
          <w:szCs w:val="23"/>
        </w:rPr>
        <w:t xml:space="preserve">, </w:t>
      </w:r>
      <w:r w:rsidR="00DB6AC6" w:rsidRPr="6A3610E4">
        <w:rPr>
          <w:rFonts w:ascii="Calibri Light" w:eastAsia="Calibri" w:hAnsi="Calibri Light" w:cs="Calibri Light"/>
          <w:sz w:val="23"/>
          <w:szCs w:val="23"/>
        </w:rPr>
        <w:t>with data collect</w:t>
      </w:r>
      <w:r w:rsidR="00712DD5" w:rsidRPr="6A3610E4">
        <w:rPr>
          <w:rFonts w:ascii="Calibri Light" w:eastAsia="Calibri" w:hAnsi="Calibri Light" w:cs="Calibri Light"/>
          <w:sz w:val="23"/>
          <w:szCs w:val="23"/>
        </w:rPr>
        <w:t xml:space="preserve">ion spanning </w:t>
      </w:r>
      <w:r w:rsidR="00AC2354" w:rsidRPr="6A3610E4">
        <w:rPr>
          <w:rFonts w:ascii="Calibri Light" w:eastAsia="Calibri" w:hAnsi="Calibri Light" w:cs="Calibri Light"/>
          <w:sz w:val="23"/>
          <w:szCs w:val="23"/>
        </w:rPr>
        <w:t xml:space="preserve">January </w:t>
      </w:r>
      <w:r w:rsidR="00DB6AC6" w:rsidRPr="6A3610E4">
        <w:rPr>
          <w:rFonts w:ascii="Calibri Light" w:eastAsia="Calibri" w:hAnsi="Calibri Light" w:cs="Calibri Light"/>
          <w:sz w:val="23"/>
          <w:szCs w:val="23"/>
        </w:rPr>
        <w:t>2021 to March 2021</w:t>
      </w:r>
      <w:r w:rsidRPr="6A3610E4">
        <w:rPr>
          <w:rFonts w:ascii="Calibri Light" w:eastAsia="Calibri" w:hAnsi="Calibri Light" w:cs="Calibri Light"/>
          <w:sz w:val="23"/>
          <w:szCs w:val="23"/>
        </w:rPr>
        <w:t xml:space="preserve">. The original research plan was to engage directly with residents in the three communities via series of focus groups to be conducted by Zoom, with recruitment to occur via </w:t>
      </w:r>
      <w:r w:rsidR="0003370A" w:rsidRPr="6A3610E4">
        <w:rPr>
          <w:rFonts w:ascii="Calibri Light" w:eastAsia="Calibri" w:hAnsi="Calibri Light" w:cs="Calibri Light"/>
          <w:sz w:val="23"/>
          <w:szCs w:val="23"/>
        </w:rPr>
        <w:t>local community centres</w:t>
      </w:r>
      <w:r w:rsidRPr="6A3610E4">
        <w:rPr>
          <w:rFonts w:ascii="Calibri Light" w:eastAsia="Calibri" w:hAnsi="Calibri Light" w:cs="Calibri Light"/>
          <w:sz w:val="23"/>
          <w:szCs w:val="23"/>
        </w:rPr>
        <w:t xml:space="preserve">. This was not possible, largely due to issues </w:t>
      </w:r>
      <w:r w:rsidR="0003370A" w:rsidRPr="6A3610E4">
        <w:rPr>
          <w:rFonts w:ascii="Calibri Light" w:eastAsia="Calibri" w:hAnsi="Calibri Light" w:cs="Calibri Light"/>
          <w:sz w:val="23"/>
          <w:szCs w:val="23"/>
        </w:rPr>
        <w:t>around digital exclusion and restricted access during the pandemic</w:t>
      </w:r>
      <w:r w:rsidRPr="6A3610E4">
        <w:rPr>
          <w:rFonts w:ascii="Calibri Light" w:eastAsia="Calibri" w:hAnsi="Calibri Light" w:cs="Calibri Light"/>
          <w:sz w:val="23"/>
          <w:szCs w:val="23"/>
        </w:rPr>
        <w:t>. When face-to-face options were considered, it became clear that speaking directly to communit</w:t>
      </w:r>
      <w:r w:rsidR="004D2EFE" w:rsidRPr="6A3610E4">
        <w:rPr>
          <w:rFonts w:ascii="Calibri Light" w:eastAsia="Calibri" w:hAnsi="Calibri Light" w:cs="Calibri Light"/>
          <w:sz w:val="23"/>
          <w:szCs w:val="23"/>
        </w:rPr>
        <w:t>y members</w:t>
      </w:r>
      <w:r w:rsidRPr="6A3610E4">
        <w:rPr>
          <w:rFonts w:ascii="Calibri Light" w:eastAsia="Calibri" w:hAnsi="Calibri Light" w:cs="Calibri Light"/>
          <w:sz w:val="23"/>
          <w:szCs w:val="23"/>
        </w:rPr>
        <w:t xml:space="preserve"> would </w:t>
      </w:r>
      <w:r w:rsidR="004D2EFE" w:rsidRPr="6A3610E4">
        <w:rPr>
          <w:rFonts w:ascii="Calibri Light" w:eastAsia="Calibri" w:hAnsi="Calibri Light" w:cs="Calibri Light"/>
          <w:sz w:val="23"/>
          <w:szCs w:val="23"/>
        </w:rPr>
        <w:t>require</w:t>
      </w:r>
      <w:r w:rsidRPr="6A3610E4">
        <w:rPr>
          <w:rFonts w:ascii="Calibri Light" w:eastAsia="Calibri" w:hAnsi="Calibri Light" w:cs="Calibri Light"/>
          <w:sz w:val="23"/>
          <w:szCs w:val="23"/>
        </w:rPr>
        <w:t xml:space="preserve"> a degree of careful preparation, planning</w:t>
      </w:r>
      <w:r w:rsidR="00C96BDA" w:rsidRPr="6A3610E4">
        <w:rPr>
          <w:rFonts w:ascii="Calibri Light" w:eastAsia="Calibri" w:hAnsi="Calibri Light" w:cs="Calibri Light"/>
          <w:sz w:val="23"/>
          <w:szCs w:val="23"/>
        </w:rPr>
        <w:t>,</w:t>
      </w:r>
      <w:r w:rsidRPr="6A3610E4">
        <w:rPr>
          <w:rFonts w:ascii="Calibri Light" w:eastAsia="Calibri" w:hAnsi="Calibri Light" w:cs="Calibri Light"/>
          <w:sz w:val="23"/>
          <w:szCs w:val="23"/>
        </w:rPr>
        <w:t xml:space="preserve"> and follow</w:t>
      </w:r>
      <w:r w:rsidR="004D2EFE" w:rsidRPr="6A3610E4">
        <w:rPr>
          <w:rFonts w:ascii="Calibri Light" w:eastAsia="Calibri" w:hAnsi="Calibri Light" w:cs="Calibri Light"/>
          <w:sz w:val="23"/>
          <w:szCs w:val="23"/>
        </w:rPr>
        <w:t>-</w:t>
      </w:r>
      <w:r w:rsidRPr="6A3610E4">
        <w:rPr>
          <w:rFonts w:ascii="Calibri Light" w:eastAsia="Calibri" w:hAnsi="Calibri Light" w:cs="Calibri Light"/>
          <w:sz w:val="23"/>
          <w:szCs w:val="23"/>
        </w:rPr>
        <w:t xml:space="preserve">up that was not possible within the project timeframe. This issue </w:t>
      </w:r>
      <w:r w:rsidR="00C96BDA" w:rsidRPr="6A3610E4">
        <w:rPr>
          <w:rFonts w:ascii="Calibri Light" w:eastAsia="Calibri" w:hAnsi="Calibri Light" w:cs="Calibri Light"/>
          <w:sz w:val="23"/>
          <w:szCs w:val="23"/>
        </w:rPr>
        <w:t xml:space="preserve">was </w:t>
      </w:r>
      <w:r w:rsidRPr="6A3610E4">
        <w:rPr>
          <w:rFonts w:ascii="Calibri Light" w:eastAsia="Calibri" w:hAnsi="Calibri Light" w:cs="Calibri Light"/>
          <w:sz w:val="23"/>
          <w:szCs w:val="23"/>
        </w:rPr>
        <w:t>exacerbated by a snap five-day lockdown</w:t>
      </w:r>
      <w:r w:rsidR="6134557E" w:rsidRPr="6A3610E4">
        <w:rPr>
          <w:rFonts w:ascii="Calibri Light" w:eastAsia="Calibri" w:hAnsi="Calibri Light" w:cs="Calibri Light"/>
          <w:sz w:val="23"/>
          <w:szCs w:val="23"/>
        </w:rPr>
        <w:t xml:space="preserve"> in February</w:t>
      </w:r>
      <w:r w:rsidR="004D2EFE" w:rsidRPr="6A3610E4">
        <w:rPr>
          <w:rFonts w:ascii="Calibri Light" w:eastAsia="Calibri" w:hAnsi="Calibri Light" w:cs="Calibri Light"/>
          <w:sz w:val="23"/>
          <w:szCs w:val="23"/>
        </w:rPr>
        <w:t>, which</w:t>
      </w:r>
      <w:r w:rsidRPr="6A3610E4">
        <w:rPr>
          <w:rFonts w:ascii="Calibri Light" w:eastAsia="Calibri" w:hAnsi="Calibri Light" w:cs="Calibri Light"/>
          <w:sz w:val="23"/>
          <w:szCs w:val="23"/>
        </w:rPr>
        <w:t xml:space="preserve"> raised the possibility of further restrictions on face-to-face data collection.</w:t>
      </w:r>
    </w:p>
    <w:p w14:paraId="02E3A986" w14:textId="77777777" w:rsidR="00F214D7" w:rsidRDefault="00F00E3D" w:rsidP="009B2FA7">
      <w:pPr>
        <w:spacing w:line="276" w:lineRule="auto"/>
        <w:rPr>
          <w:rFonts w:ascii="Calibri Light" w:eastAsia="Calibri" w:hAnsi="Calibri Light" w:cs="Calibri Light"/>
          <w:sz w:val="23"/>
          <w:szCs w:val="23"/>
        </w:rPr>
      </w:pPr>
      <w:r w:rsidRPr="000940CC">
        <w:rPr>
          <w:rFonts w:ascii="Calibri Light" w:eastAsia="Calibri" w:hAnsi="Calibri Light" w:cs="Calibri Light"/>
          <w:sz w:val="23"/>
          <w:szCs w:val="23"/>
        </w:rPr>
        <w:t xml:space="preserve">However, </w:t>
      </w:r>
      <w:r w:rsidRPr="0E3C9592">
        <w:rPr>
          <w:rFonts w:ascii="Calibri Light" w:eastAsia="Calibri" w:hAnsi="Calibri Light" w:cs="Calibri Light"/>
          <w:sz w:val="23"/>
          <w:szCs w:val="23"/>
        </w:rPr>
        <w:t>a</w:t>
      </w:r>
      <w:r w:rsidRPr="000940CC">
        <w:rPr>
          <w:rFonts w:ascii="Calibri Light" w:eastAsia="Calibri" w:hAnsi="Calibri Light" w:cs="Calibri Light"/>
          <w:sz w:val="23"/>
          <w:szCs w:val="23"/>
        </w:rPr>
        <w:t xml:space="preserve"> powerful message emerged from our </w:t>
      </w:r>
      <w:r w:rsidRPr="0E3C9592">
        <w:rPr>
          <w:rFonts w:ascii="Calibri Light" w:eastAsia="Calibri" w:hAnsi="Calibri Light" w:cs="Calibri Light"/>
          <w:sz w:val="23"/>
          <w:szCs w:val="23"/>
        </w:rPr>
        <w:t>consultations</w:t>
      </w:r>
      <w:r w:rsidRPr="000940CC">
        <w:rPr>
          <w:rFonts w:ascii="Calibri Light" w:eastAsia="Calibri" w:hAnsi="Calibri Light" w:cs="Calibri Light"/>
          <w:sz w:val="23"/>
          <w:szCs w:val="23"/>
        </w:rPr>
        <w:t xml:space="preserve"> with </w:t>
      </w:r>
      <w:r w:rsidR="00D84B5B">
        <w:rPr>
          <w:rFonts w:ascii="Calibri Light" w:eastAsia="Calibri" w:hAnsi="Calibri Light" w:cs="Calibri Light"/>
          <w:sz w:val="23"/>
          <w:szCs w:val="23"/>
        </w:rPr>
        <w:t xml:space="preserve">community </w:t>
      </w:r>
      <w:r>
        <w:rPr>
          <w:rFonts w:ascii="Calibri Light" w:eastAsia="Calibri" w:hAnsi="Calibri Light" w:cs="Calibri Light"/>
          <w:sz w:val="23"/>
          <w:szCs w:val="23"/>
        </w:rPr>
        <w:t>service provider experts</w:t>
      </w:r>
      <w:r w:rsidRPr="000940CC">
        <w:rPr>
          <w:rFonts w:ascii="Calibri Light" w:eastAsia="Calibri" w:hAnsi="Calibri Light" w:cs="Calibri Light"/>
          <w:sz w:val="23"/>
          <w:szCs w:val="23"/>
        </w:rPr>
        <w:t xml:space="preserve"> </w:t>
      </w:r>
      <w:r w:rsidR="004D2EFE">
        <w:rPr>
          <w:rFonts w:ascii="Calibri Light" w:eastAsia="Calibri" w:hAnsi="Calibri Light" w:cs="Calibri Light"/>
          <w:sz w:val="23"/>
          <w:szCs w:val="23"/>
        </w:rPr>
        <w:t xml:space="preserve">who </w:t>
      </w:r>
      <w:r w:rsidRPr="000940CC">
        <w:rPr>
          <w:rFonts w:ascii="Calibri Light" w:eastAsia="Calibri" w:hAnsi="Calibri Light" w:cs="Calibri Light"/>
          <w:sz w:val="23"/>
          <w:szCs w:val="23"/>
        </w:rPr>
        <w:t xml:space="preserve">work </w:t>
      </w:r>
      <w:r w:rsidR="00CE3151">
        <w:rPr>
          <w:rFonts w:ascii="Calibri Light" w:eastAsia="Calibri" w:hAnsi="Calibri Light" w:cs="Calibri Light"/>
          <w:sz w:val="23"/>
          <w:szCs w:val="23"/>
        </w:rPr>
        <w:t>and/or</w:t>
      </w:r>
      <w:r w:rsidRPr="000940CC">
        <w:rPr>
          <w:rFonts w:ascii="Calibri Light" w:eastAsia="Calibri" w:hAnsi="Calibri Light" w:cs="Calibri Light"/>
          <w:sz w:val="23"/>
          <w:szCs w:val="23"/>
        </w:rPr>
        <w:t xml:space="preserve"> liv</w:t>
      </w:r>
      <w:r w:rsidR="00D84B5B">
        <w:rPr>
          <w:rFonts w:ascii="Calibri Light" w:eastAsia="Calibri" w:hAnsi="Calibri Light" w:cs="Calibri Light"/>
          <w:sz w:val="23"/>
          <w:szCs w:val="23"/>
        </w:rPr>
        <w:t>e</w:t>
      </w:r>
      <w:r w:rsidRPr="000940CC">
        <w:rPr>
          <w:rFonts w:ascii="Calibri Light" w:eastAsia="Calibri" w:hAnsi="Calibri Light" w:cs="Calibri Light"/>
          <w:sz w:val="23"/>
          <w:szCs w:val="23"/>
        </w:rPr>
        <w:t xml:space="preserve"> in these localities</w:t>
      </w:r>
      <w:r w:rsidRPr="0E3C9592">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that despite the positive interventions </w:t>
      </w:r>
      <w:r w:rsidRPr="0E3C9592">
        <w:rPr>
          <w:rFonts w:ascii="Calibri Light" w:eastAsia="Calibri" w:hAnsi="Calibri Light" w:cs="Calibri Light"/>
          <w:sz w:val="23"/>
          <w:szCs w:val="23"/>
        </w:rPr>
        <w:t>to date</w:t>
      </w:r>
      <w:r w:rsidRPr="000940CC">
        <w:rPr>
          <w:rFonts w:ascii="Calibri Light" w:eastAsia="Calibri" w:hAnsi="Calibri Light" w:cs="Calibri Light"/>
          <w:sz w:val="23"/>
          <w:szCs w:val="23"/>
        </w:rPr>
        <w:t xml:space="preserve">, there </w:t>
      </w:r>
      <w:r w:rsidRPr="0E3C9592">
        <w:rPr>
          <w:rFonts w:ascii="Calibri Light" w:eastAsia="Calibri" w:hAnsi="Calibri Light" w:cs="Calibri Light"/>
          <w:sz w:val="23"/>
          <w:szCs w:val="23"/>
        </w:rPr>
        <w:t>remains a long-term</w:t>
      </w:r>
      <w:r w:rsidRPr="000940CC">
        <w:rPr>
          <w:rFonts w:ascii="Calibri Light" w:eastAsia="Calibri" w:hAnsi="Calibri Light" w:cs="Calibri Light"/>
          <w:sz w:val="23"/>
          <w:szCs w:val="23"/>
        </w:rPr>
        <w:t xml:space="preserve"> problem of not </w:t>
      </w:r>
      <w:r w:rsidRPr="0E3C9592">
        <w:rPr>
          <w:rFonts w:ascii="Calibri Light" w:eastAsia="Calibri" w:hAnsi="Calibri Light" w:cs="Calibri Light"/>
          <w:sz w:val="23"/>
          <w:szCs w:val="23"/>
        </w:rPr>
        <w:t xml:space="preserve">adequately </w:t>
      </w:r>
      <w:r w:rsidRPr="000940CC">
        <w:rPr>
          <w:rFonts w:ascii="Calibri Light" w:eastAsia="Calibri" w:hAnsi="Calibri Light" w:cs="Calibri Light"/>
          <w:sz w:val="23"/>
          <w:szCs w:val="23"/>
        </w:rPr>
        <w:t>trusting, respecting</w:t>
      </w:r>
      <w:r w:rsidR="00D84B5B">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and genuinely engaging with these communities</w:t>
      </w:r>
      <w:r w:rsidRPr="0E3C9592">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who </w:t>
      </w:r>
      <w:r w:rsidRPr="0E3C9592">
        <w:rPr>
          <w:rFonts w:ascii="Calibri Light" w:eastAsia="Calibri" w:hAnsi="Calibri Light" w:cs="Calibri Light"/>
          <w:sz w:val="23"/>
          <w:szCs w:val="23"/>
        </w:rPr>
        <w:t xml:space="preserve">have </w:t>
      </w:r>
      <w:r w:rsidRPr="000940CC">
        <w:rPr>
          <w:rFonts w:ascii="Calibri Light" w:eastAsia="Calibri" w:hAnsi="Calibri Light" w:cs="Calibri Light"/>
          <w:sz w:val="23"/>
          <w:szCs w:val="23"/>
        </w:rPr>
        <w:t xml:space="preserve">an array of </w:t>
      </w:r>
      <w:r w:rsidRPr="0E3C9592">
        <w:rPr>
          <w:rFonts w:ascii="Calibri Light" w:eastAsia="Calibri" w:hAnsi="Calibri Light" w:cs="Calibri Light"/>
          <w:sz w:val="23"/>
          <w:szCs w:val="23"/>
        </w:rPr>
        <w:t xml:space="preserve">local insights and </w:t>
      </w:r>
      <w:r w:rsidR="00F57CC7">
        <w:rPr>
          <w:rFonts w:ascii="Calibri Light" w:eastAsia="Calibri" w:hAnsi="Calibri Light" w:cs="Calibri Light"/>
          <w:sz w:val="23"/>
          <w:szCs w:val="23"/>
        </w:rPr>
        <w:t>potential</w:t>
      </w:r>
      <w:r w:rsidRPr="000940CC">
        <w:rPr>
          <w:rFonts w:ascii="Calibri Light" w:eastAsia="Calibri" w:hAnsi="Calibri Light" w:cs="Calibri Light"/>
          <w:sz w:val="23"/>
          <w:szCs w:val="23"/>
        </w:rPr>
        <w:t xml:space="preserve"> solutions to </w:t>
      </w:r>
      <w:r w:rsidRPr="0E3C9592">
        <w:rPr>
          <w:rFonts w:ascii="Calibri Light" w:eastAsia="Calibri" w:hAnsi="Calibri Light" w:cs="Calibri Light"/>
          <w:sz w:val="23"/>
          <w:szCs w:val="23"/>
        </w:rPr>
        <w:t>the issues they face.</w:t>
      </w:r>
    </w:p>
    <w:p w14:paraId="621C3A8E" w14:textId="4F18BBA6" w:rsidR="00F00E3D" w:rsidRDefault="00F00E3D" w:rsidP="009B2FA7">
      <w:pPr>
        <w:spacing w:line="276" w:lineRule="auto"/>
        <w:rPr>
          <w:rFonts w:ascii="Calibri Light" w:eastAsia="Calibri" w:hAnsi="Calibri Light" w:cs="Calibri Light"/>
          <w:sz w:val="23"/>
          <w:szCs w:val="23"/>
        </w:rPr>
      </w:pPr>
      <w:r w:rsidRPr="000940CC">
        <w:rPr>
          <w:rFonts w:ascii="Calibri Light" w:eastAsia="Calibri" w:hAnsi="Calibri Light" w:cs="Calibri Light"/>
          <w:sz w:val="23"/>
          <w:szCs w:val="23"/>
        </w:rPr>
        <w:t xml:space="preserve">The research team has </w:t>
      </w:r>
      <w:r w:rsidR="00F57CC7">
        <w:rPr>
          <w:rFonts w:ascii="Calibri Light" w:eastAsia="Calibri" w:hAnsi="Calibri Light" w:cs="Calibri Light"/>
          <w:sz w:val="23"/>
          <w:szCs w:val="23"/>
        </w:rPr>
        <w:t>made this</w:t>
      </w:r>
      <w:r w:rsidRPr="000940CC">
        <w:rPr>
          <w:rFonts w:ascii="Calibri Light" w:eastAsia="Calibri" w:hAnsi="Calibri Light" w:cs="Calibri Light"/>
          <w:sz w:val="23"/>
          <w:szCs w:val="23"/>
        </w:rPr>
        <w:t xml:space="preserve"> insight </w:t>
      </w:r>
      <w:r w:rsidRPr="0E3C9592">
        <w:rPr>
          <w:rFonts w:ascii="Calibri Light" w:eastAsia="Calibri" w:hAnsi="Calibri Light" w:cs="Calibri Light"/>
          <w:sz w:val="23"/>
          <w:szCs w:val="23"/>
        </w:rPr>
        <w:t xml:space="preserve">central </w:t>
      </w:r>
      <w:r w:rsidRPr="000940CC">
        <w:rPr>
          <w:rFonts w:ascii="Calibri Light" w:eastAsia="Calibri" w:hAnsi="Calibri Light" w:cs="Calibri Light"/>
          <w:sz w:val="23"/>
          <w:szCs w:val="23"/>
        </w:rPr>
        <w:t xml:space="preserve">in </w:t>
      </w:r>
      <w:r w:rsidRPr="0E3C9592">
        <w:rPr>
          <w:rFonts w:ascii="Calibri Light" w:eastAsia="Calibri" w:hAnsi="Calibri Light" w:cs="Calibri Light"/>
          <w:sz w:val="23"/>
          <w:szCs w:val="23"/>
        </w:rPr>
        <w:t>our</w:t>
      </w:r>
      <w:r w:rsidRPr="000940CC">
        <w:rPr>
          <w:rFonts w:ascii="Calibri Light" w:eastAsia="Calibri" w:hAnsi="Calibri Light" w:cs="Calibri Light"/>
          <w:sz w:val="23"/>
          <w:szCs w:val="23"/>
        </w:rPr>
        <w:t xml:space="preserve"> </w:t>
      </w:r>
      <w:r w:rsidR="00F57CC7">
        <w:rPr>
          <w:rFonts w:ascii="Calibri Light" w:eastAsia="Calibri" w:hAnsi="Calibri Light" w:cs="Calibri Light"/>
          <w:sz w:val="23"/>
          <w:szCs w:val="23"/>
        </w:rPr>
        <w:t>R</w:t>
      </w:r>
      <w:r w:rsidRPr="000940CC">
        <w:rPr>
          <w:rFonts w:ascii="Calibri Light" w:eastAsia="Calibri" w:hAnsi="Calibri Light" w:cs="Calibri Light"/>
          <w:sz w:val="23"/>
          <w:szCs w:val="23"/>
        </w:rPr>
        <w:t>ecommendations</w:t>
      </w:r>
      <w:r w:rsidRPr="0E3C9592">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but </w:t>
      </w:r>
      <w:r w:rsidR="0023639D">
        <w:rPr>
          <w:rFonts w:ascii="Calibri Light" w:eastAsia="Calibri" w:hAnsi="Calibri Light" w:cs="Calibri Light"/>
          <w:sz w:val="23"/>
          <w:szCs w:val="23"/>
        </w:rPr>
        <w:t xml:space="preserve">due to the limitations noted above, </w:t>
      </w:r>
      <w:r w:rsidRPr="0E3C9592">
        <w:rPr>
          <w:rFonts w:ascii="Calibri Light" w:eastAsia="Calibri" w:hAnsi="Calibri Light" w:cs="Calibri Light"/>
          <w:sz w:val="23"/>
          <w:szCs w:val="23"/>
        </w:rPr>
        <w:t xml:space="preserve">we have not been able to engage with its </w:t>
      </w:r>
      <w:r w:rsidRPr="000940CC">
        <w:rPr>
          <w:rFonts w:ascii="Calibri Light" w:eastAsia="Calibri" w:hAnsi="Calibri Light" w:cs="Calibri Light"/>
          <w:sz w:val="23"/>
          <w:szCs w:val="23"/>
        </w:rPr>
        <w:t xml:space="preserve">underpinning </w:t>
      </w:r>
      <w:r w:rsidRPr="0E3C9592">
        <w:rPr>
          <w:rFonts w:ascii="Calibri Light" w:eastAsia="Calibri" w:hAnsi="Calibri Light" w:cs="Calibri Light"/>
          <w:sz w:val="23"/>
          <w:szCs w:val="23"/>
        </w:rPr>
        <w:t>principle:</w:t>
      </w:r>
      <w:r w:rsidRPr="000940CC">
        <w:rPr>
          <w:rFonts w:ascii="Calibri Light" w:eastAsia="Calibri" w:hAnsi="Calibri Light" w:cs="Calibri Light"/>
          <w:sz w:val="23"/>
          <w:szCs w:val="23"/>
        </w:rPr>
        <w:t xml:space="preserve"> namely that </w:t>
      </w:r>
      <w:r w:rsidRPr="0E3C9592">
        <w:rPr>
          <w:rFonts w:ascii="Calibri Light" w:eastAsia="Calibri" w:hAnsi="Calibri Light" w:cs="Calibri Light"/>
          <w:sz w:val="23"/>
          <w:szCs w:val="23"/>
        </w:rPr>
        <w:t>local residents</w:t>
      </w:r>
      <w:r w:rsidRPr="000940CC">
        <w:rPr>
          <w:rFonts w:ascii="Calibri Light" w:eastAsia="Calibri" w:hAnsi="Calibri Light" w:cs="Calibri Light"/>
          <w:sz w:val="23"/>
          <w:szCs w:val="23"/>
        </w:rPr>
        <w:t xml:space="preserve"> have solutions and ideas for the improvement of their </w:t>
      </w:r>
      <w:proofErr w:type="gramStart"/>
      <w:r w:rsidRPr="000940CC">
        <w:rPr>
          <w:rFonts w:ascii="Calibri Light" w:eastAsia="Calibri" w:hAnsi="Calibri Light" w:cs="Calibri Light"/>
          <w:sz w:val="23"/>
          <w:szCs w:val="23"/>
        </w:rPr>
        <w:t>localities</w:t>
      </w:r>
      <w:r w:rsidRPr="0E3C9592">
        <w:rPr>
          <w:rFonts w:ascii="Calibri Light" w:eastAsia="Calibri" w:hAnsi="Calibri Light" w:cs="Calibri Light"/>
          <w:sz w:val="23"/>
          <w:szCs w:val="23"/>
        </w:rPr>
        <w:t>, and</w:t>
      </w:r>
      <w:proofErr w:type="gramEnd"/>
      <w:r w:rsidRPr="0E3C9592">
        <w:rPr>
          <w:rFonts w:ascii="Calibri Light" w:eastAsia="Calibri" w:hAnsi="Calibri Light" w:cs="Calibri Light"/>
          <w:sz w:val="23"/>
          <w:szCs w:val="23"/>
        </w:rPr>
        <w:t xml:space="preserve"> should be supported and empowered to have meaningful input on any future initiatives. Any</w:t>
      </w:r>
      <w:r w:rsidRPr="000940CC">
        <w:rPr>
          <w:rFonts w:ascii="Calibri Light" w:eastAsia="Calibri" w:hAnsi="Calibri Light" w:cs="Calibri Light"/>
          <w:sz w:val="23"/>
          <w:szCs w:val="23"/>
        </w:rPr>
        <w:t xml:space="preserve"> genuine consultation </w:t>
      </w:r>
      <w:r w:rsidR="0023639D">
        <w:rPr>
          <w:rFonts w:ascii="Calibri Light" w:eastAsia="Calibri" w:hAnsi="Calibri Light" w:cs="Calibri Light"/>
          <w:sz w:val="23"/>
          <w:szCs w:val="23"/>
        </w:rPr>
        <w:t>needs to be</w:t>
      </w:r>
      <w:r w:rsidRPr="000940CC">
        <w:rPr>
          <w:rFonts w:ascii="Calibri Light" w:eastAsia="Calibri" w:hAnsi="Calibri Light" w:cs="Calibri Light"/>
          <w:sz w:val="23"/>
          <w:szCs w:val="23"/>
        </w:rPr>
        <w:t xml:space="preserve"> prepared carefully, done over a long period of time</w:t>
      </w:r>
      <w:r w:rsidRPr="0E3C9592">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an</w:t>
      </w:r>
      <w:r w:rsidR="00AC2354">
        <w:rPr>
          <w:rFonts w:ascii="Calibri Light" w:eastAsia="Calibri" w:hAnsi="Calibri Light" w:cs="Calibri Light"/>
          <w:sz w:val="23"/>
          <w:szCs w:val="23"/>
        </w:rPr>
        <w:t>d</w:t>
      </w:r>
      <w:r w:rsidRPr="000940CC">
        <w:rPr>
          <w:rFonts w:ascii="Calibri Light" w:eastAsia="Calibri" w:hAnsi="Calibri Light" w:cs="Calibri Light"/>
          <w:sz w:val="23"/>
          <w:szCs w:val="23"/>
        </w:rPr>
        <w:t xml:space="preserve"> linked to those </w:t>
      </w:r>
      <w:r w:rsidRPr="0E3C9592">
        <w:rPr>
          <w:rFonts w:ascii="Calibri Light" w:eastAsia="Calibri" w:hAnsi="Calibri Light" w:cs="Calibri Light"/>
          <w:sz w:val="23"/>
          <w:szCs w:val="23"/>
        </w:rPr>
        <w:t xml:space="preserve">organisations and people </w:t>
      </w:r>
      <w:r w:rsidRPr="000940CC">
        <w:rPr>
          <w:rFonts w:ascii="Calibri Light" w:eastAsia="Calibri" w:hAnsi="Calibri Light" w:cs="Calibri Light"/>
          <w:sz w:val="23"/>
          <w:szCs w:val="23"/>
        </w:rPr>
        <w:t>who c</w:t>
      </w:r>
      <w:r w:rsidR="00AC2354">
        <w:rPr>
          <w:rFonts w:ascii="Calibri Light" w:eastAsia="Calibri" w:hAnsi="Calibri Light" w:cs="Calibri Light"/>
          <w:sz w:val="23"/>
          <w:szCs w:val="23"/>
        </w:rPr>
        <w:t>an</w:t>
      </w:r>
      <w:r w:rsidRPr="000940CC">
        <w:rPr>
          <w:rFonts w:ascii="Calibri Light" w:eastAsia="Calibri" w:hAnsi="Calibri Light" w:cs="Calibri Light"/>
          <w:sz w:val="23"/>
          <w:szCs w:val="23"/>
        </w:rPr>
        <w:t xml:space="preserve"> deliver on the suggestions it generated. </w:t>
      </w:r>
      <w:r w:rsidRPr="0E3C9592">
        <w:rPr>
          <w:rFonts w:ascii="Calibri Light" w:eastAsia="Calibri" w:hAnsi="Calibri Light" w:cs="Calibri Light"/>
          <w:sz w:val="23"/>
          <w:szCs w:val="23"/>
        </w:rPr>
        <w:t xml:space="preserve">This deeper consultation work was not possible within the project timeframe, particularly during the uncertainty of </w:t>
      </w:r>
      <w:r w:rsidR="00940D80">
        <w:rPr>
          <w:rFonts w:ascii="Calibri Light" w:eastAsia="Calibri" w:hAnsi="Calibri Light" w:cs="Calibri Light"/>
          <w:sz w:val="23"/>
          <w:szCs w:val="23"/>
        </w:rPr>
        <w:t>COVID</w:t>
      </w:r>
      <w:r w:rsidR="00AC2354">
        <w:rPr>
          <w:rFonts w:ascii="Calibri Light" w:eastAsia="Calibri" w:hAnsi="Calibri Light" w:cs="Calibri Light"/>
          <w:sz w:val="23"/>
          <w:szCs w:val="23"/>
        </w:rPr>
        <w:t>-19</w:t>
      </w:r>
      <w:r w:rsidRPr="0E3C9592">
        <w:rPr>
          <w:rFonts w:ascii="Calibri Light" w:eastAsia="Calibri" w:hAnsi="Calibri Light" w:cs="Calibri Light"/>
          <w:sz w:val="23"/>
          <w:szCs w:val="23"/>
        </w:rPr>
        <w:t>.</w:t>
      </w:r>
    </w:p>
    <w:p w14:paraId="6FFF36B8" w14:textId="2F07E3E4" w:rsidR="00F00E3D" w:rsidRDefault="00F00E3D" w:rsidP="009B2FA7">
      <w:pPr>
        <w:spacing w:line="276" w:lineRule="auto"/>
        <w:rPr>
          <w:rFonts w:ascii="Calibri Light" w:eastAsia="Calibri" w:hAnsi="Calibri Light" w:cs="Calibri Light"/>
          <w:sz w:val="23"/>
          <w:szCs w:val="23"/>
        </w:rPr>
      </w:pPr>
      <w:r w:rsidRPr="000940CC">
        <w:rPr>
          <w:rFonts w:ascii="Calibri Light" w:eastAsia="Calibri" w:hAnsi="Calibri Light" w:cs="Calibri Light"/>
          <w:sz w:val="23"/>
          <w:szCs w:val="23"/>
        </w:rPr>
        <w:t xml:space="preserve">In short, this research is limited by not </w:t>
      </w:r>
      <w:r w:rsidRPr="0E3C9592">
        <w:rPr>
          <w:rFonts w:ascii="Calibri Light" w:eastAsia="Calibri" w:hAnsi="Calibri Light" w:cs="Calibri Light"/>
          <w:sz w:val="23"/>
          <w:szCs w:val="23"/>
        </w:rPr>
        <w:t xml:space="preserve">having engaged </w:t>
      </w:r>
      <w:r w:rsidRPr="000940CC">
        <w:rPr>
          <w:rFonts w:ascii="Calibri Light" w:eastAsia="Calibri" w:hAnsi="Calibri Light" w:cs="Calibri Light"/>
          <w:sz w:val="23"/>
          <w:szCs w:val="23"/>
        </w:rPr>
        <w:t>directly with the residents of the three suburbs</w:t>
      </w:r>
      <w:r w:rsidRPr="0E3C9592">
        <w:rPr>
          <w:rFonts w:ascii="Calibri Light" w:eastAsia="Calibri" w:hAnsi="Calibri Light" w:cs="Calibri Light"/>
          <w:sz w:val="23"/>
          <w:szCs w:val="23"/>
        </w:rPr>
        <w:t xml:space="preserve">; doing so would have strengthened the study considerably. However, this </w:t>
      </w:r>
      <w:r w:rsidRPr="000940CC">
        <w:rPr>
          <w:rFonts w:ascii="Calibri Light" w:eastAsia="Calibri" w:hAnsi="Calibri Light" w:cs="Calibri Light"/>
          <w:sz w:val="23"/>
          <w:szCs w:val="23"/>
        </w:rPr>
        <w:t xml:space="preserve">limitation </w:t>
      </w:r>
      <w:r w:rsidRPr="0E3C9592">
        <w:rPr>
          <w:rFonts w:ascii="Calibri Light" w:eastAsia="Calibri" w:hAnsi="Calibri Light" w:cs="Calibri Light"/>
          <w:sz w:val="23"/>
          <w:szCs w:val="23"/>
        </w:rPr>
        <w:t>affirms</w:t>
      </w:r>
      <w:r w:rsidRPr="000940CC">
        <w:rPr>
          <w:rFonts w:ascii="Calibri Light" w:eastAsia="Calibri" w:hAnsi="Calibri Light" w:cs="Calibri Light"/>
          <w:sz w:val="23"/>
          <w:szCs w:val="23"/>
        </w:rPr>
        <w:t xml:space="preserve"> the </w:t>
      </w:r>
      <w:r w:rsidRPr="0E3C9592">
        <w:rPr>
          <w:rFonts w:ascii="Calibri Light" w:eastAsia="Calibri" w:hAnsi="Calibri Light" w:cs="Calibri Light"/>
          <w:sz w:val="23"/>
          <w:szCs w:val="23"/>
        </w:rPr>
        <w:t>importance</w:t>
      </w:r>
      <w:r w:rsidRPr="000940CC">
        <w:rPr>
          <w:rFonts w:ascii="Calibri Light" w:eastAsia="Calibri" w:hAnsi="Calibri Light" w:cs="Calibri Light"/>
          <w:sz w:val="23"/>
          <w:szCs w:val="23"/>
        </w:rPr>
        <w:t xml:space="preserve"> of </w:t>
      </w:r>
      <w:r w:rsidR="00712DD5">
        <w:rPr>
          <w:rFonts w:ascii="Calibri Light" w:eastAsia="Calibri" w:hAnsi="Calibri Light" w:cs="Calibri Light"/>
          <w:sz w:val="23"/>
          <w:szCs w:val="23"/>
        </w:rPr>
        <w:t>our</w:t>
      </w:r>
      <w:r w:rsidRPr="000940CC">
        <w:rPr>
          <w:rFonts w:ascii="Calibri Light" w:eastAsia="Calibri" w:hAnsi="Calibri Light" w:cs="Calibri Light"/>
          <w:sz w:val="23"/>
          <w:szCs w:val="23"/>
        </w:rPr>
        <w:t xml:space="preserve"> first and most important </w:t>
      </w:r>
      <w:r w:rsidR="00712DD5">
        <w:rPr>
          <w:rFonts w:ascii="Calibri Light" w:eastAsia="Calibri" w:hAnsi="Calibri Light" w:cs="Calibri Light"/>
          <w:sz w:val="23"/>
          <w:szCs w:val="23"/>
        </w:rPr>
        <w:t>R</w:t>
      </w:r>
      <w:r w:rsidRPr="000940CC">
        <w:rPr>
          <w:rFonts w:ascii="Calibri Light" w:eastAsia="Calibri" w:hAnsi="Calibri Light" w:cs="Calibri Light"/>
          <w:sz w:val="23"/>
          <w:szCs w:val="23"/>
        </w:rPr>
        <w:t>ecommendation</w:t>
      </w:r>
      <w:r w:rsidRPr="0E3C9592">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for the City of Greater Geelong to engage genuinely with these communities in the co-design of any future interventions</w:t>
      </w:r>
      <w:r w:rsidRPr="0E3C9592">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while also supporting </w:t>
      </w:r>
      <w:r w:rsidRPr="0E3C9592">
        <w:rPr>
          <w:rFonts w:ascii="Calibri Light" w:eastAsia="Calibri" w:hAnsi="Calibri Light" w:cs="Calibri Light"/>
          <w:sz w:val="23"/>
          <w:szCs w:val="23"/>
        </w:rPr>
        <w:t xml:space="preserve">and expanding </w:t>
      </w:r>
      <w:r w:rsidRPr="000940CC">
        <w:rPr>
          <w:rFonts w:ascii="Calibri Light" w:eastAsia="Calibri" w:hAnsi="Calibri Light" w:cs="Calibri Light"/>
          <w:sz w:val="23"/>
          <w:szCs w:val="23"/>
        </w:rPr>
        <w:t xml:space="preserve">existing successful </w:t>
      </w:r>
      <w:r w:rsidRPr="0E3C9592">
        <w:rPr>
          <w:rFonts w:ascii="Calibri Light" w:eastAsia="Calibri" w:hAnsi="Calibri Light" w:cs="Calibri Light"/>
          <w:sz w:val="23"/>
          <w:szCs w:val="23"/>
        </w:rPr>
        <w:t>programs</w:t>
      </w:r>
      <w:r w:rsidRPr="000940CC">
        <w:rPr>
          <w:rFonts w:ascii="Calibri Light" w:eastAsia="Calibri" w:hAnsi="Calibri Light" w:cs="Calibri Light"/>
          <w:sz w:val="23"/>
          <w:szCs w:val="23"/>
        </w:rPr>
        <w:t>.</w:t>
      </w:r>
    </w:p>
    <w:p w14:paraId="2CE32895" w14:textId="742EDB6A" w:rsidR="00F00E3D" w:rsidRDefault="00CD6FFF" w:rsidP="009B2FA7">
      <w:pPr>
        <w:pStyle w:val="Heading1"/>
        <w:rPr>
          <w:rFonts w:asciiTheme="minorHAnsi" w:hAnsiTheme="minorHAnsi" w:cstheme="minorBidi"/>
          <w:b/>
          <w:sz w:val="28"/>
          <w:szCs w:val="28"/>
        </w:rPr>
      </w:pPr>
      <w:r>
        <w:rPr>
          <w:rFonts w:asciiTheme="minorHAnsi" w:hAnsiTheme="minorHAnsi" w:cstheme="minorBidi"/>
          <w:b/>
          <w:sz w:val="28"/>
          <w:szCs w:val="28"/>
        </w:rPr>
        <w:t>9</w:t>
      </w:r>
      <w:r w:rsidR="00F00E3D" w:rsidRPr="3EA87273">
        <w:rPr>
          <w:rFonts w:asciiTheme="minorHAnsi" w:hAnsiTheme="minorHAnsi" w:cstheme="minorBidi"/>
          <w:b/>
          <w:sz w:val="28"/>
          <w:szCs w:val="28"/>
        </w:rPr>
        <w:t>.</w:t>
      </w:r>
      <w:r>
        <w:rPr>
          <w:rFonts w:asciiTheme="minorHAnsi" w:hAnsiTheme="minorHAnsi" w:cstheme="minorBidi"/>
          <w:b/>
          <w:sz w:val="28"/>
          <w:szCs w:val="28"/>
        </w:rPr>
        <w:t>4</w:t>
      </w:r>
      <w:r w:rsidR="00F00E3D" w:rsidRPr="3EA87273">
        <w:rPr>
          <w:rFonts w:asciiTheme="minorHAnsi" w:hAnsiTheme="minorHAnsi" w:cstheme="minorBidi"/>
          <w:b/>
          <w:sz w:val="28"/>
          <w:szCs w:val="28"/>
        </w:rPr>
        <w:t xml:space="preserve"> Future research</w:t>
      </w:r>
    </w:p>
    <w:p w14:paraId="44A472E9" w14:textId="77777777" w:rsidR="00CD6FFF" w:rsidRPr="00C96BDA" w:rsidRDefault="00CD6FFF" w:rsidP="00C96BDA">
      <w:pPr>
        <w:spacing w:after="0"/>
        <w:rPr>
          <w:sz w:val="12"/>
          <w:szCs w:val="12"/>
          <w:lang w:eastAsia="en-GB"/>
        </w:rPr>
      </w:pPr>
    </w:p>
    <w:p w14:paraId="219899CC" w14:textId="473AD2E0" w:rsidR="00F00E3D" w:rsidRDefault="00F00E3D" w:rsidP="009B2FA7">
      <w:pPr>
        <w:spacing w:line="276" w:lineRule="auto"/>
        <w:rPr>
          <w:rFonts w:ascii="Calibri Light" w:eastAsia="Calibri" w:hAnsi="Calibri Light" w:cs="Calibri Light"/>
          <w:sz w:val="23"/>
          <w:szCs w:val="23"/>
        </w:rPr>
      </w:pPr>
      <w:r w:rsidRPr="000940CC">
        <w:rPr>
          <w:rFonts w:ascii="Calibri Light" w:eastAsia="Calibri" w:hAnsi="Calibri Light" w:cs="Calibri Light"/>
          <w:sz w:val="23"/>
          <w:szCs w:val="23"/>
        </w:rPr>
        <w:t>Genuine engagement and co-design of programs, interventions</w:t>
      </w:r>
      <w:r w:rsidR="00712DD5">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and places to facilitate </w:t>
      </w:r>
      <w:r w:rsidR="00712DD5">
        <w:rPr>
          <w:rFonts w:ascii="Calibri Light" w:eastAsia="Calibri" w:hAnsi="Calibri Light" w:cs="Calibri Light"/>
          <w:sz w:val="23"/>
          <w:szCs w:val="23"/>
        </w:rPr>
        <w:t>local</w:t>
      </w:r>
      <w:r w:rsidRPr="000940CC">
        <w:rPr>
          <w:rFonts w:ascii="Calibri Light" w:eastAsia="Calibri" w:hAnsi="Calibri Light" w:cs="Calibri Light"/>
          <w:sz w:val="23"/>
          <w:szCs w:val="23"/>
        </w:rPr>
        <w:t xml:space="preserve"> improvement</w:t>
      </w:r>
      <w:r w:rsidR="00712DD5">
        <w:rPr>
          <w:rFonts w:ascii="Calibri Light" w:eastAsia="Calibri" w:hAnsi="Calibri Light" w:cs="Calibri Light"/>
          <w:sz w:val="23"/>
          <w:szCs w:val="23"/>
        </w:rPr>
        <w:t>s</w:t>
      </w:r>
      <w:r w:rsidRPr="000940CC">
        <w:rPr>
          <w:rFonts w:ascii="Calibri Light" w:eastAsia="Calibri" w:hAnsi="Calibri Light" w:cs="Calibri Light"/>
          <w:sz w:val="23"/>
          <w:szCs w:val="23"/>
        </w:rPr>
        <w:t xml:space="preserve"> is a fine principal </w:t>
      </w:r>
      <w:r w:rsidRPr="43B78878">
        <w:rPr>
          <w:rFonts w:ascii="Calibri Light" w:eastAsia="Calibri" w:hAnsi="Calibri Light" w:cs="Calibri Light"/>
          <w:sz w:val="23"/>
          <w:szCs w:val="23"/>
        </w:rPr>
        <w:t xml:space="preserve">– </w:t>
      </w:r>
      <w:r w:rsidRPr="000940CC">
        <w:rPr>
          <w:rFonts w:ascii="Calibri Light" w:eastAsia="Calibri" w:hAnsi="Calibri Light" w:cs="Calibri Light"/>
          <w:sz w:val="23"/>
          <w:szCs w:val="23"/>
        </w:rPr>
        <w:t xml:space="preserve">but also a potentially </w:t>
      </w:r>
      <w:r w:rsidRPr="43B78878">
        <w:rPr>
          <w:rFonts w:ascii="Calibri Light" w:eastAsia="Calibri" w:hAnsi="Calibri Light" w:cs="Calibri Light"/>
          <w:sz w:val="23"/>
          <w:szCs w:val="23"/>
        </w:rPr>
        <w:t xml:space="preserve">challenging </w:t>
      </w:r>
      <w:r w:rsidRPr="000940CC">
        <w:rPr>
          <w:rFonts w:ascii="Calibri Light" w:eastAsia="Calibri" w:hAnsi="Calibri Light" w:cs="Calibri Light"/>
          <w:sz w:val="23"/>
          <w:szCs w:val="23"/>
        </w:rPr>
        <w:t xml:space="preserve">practice. We therefore recommend that </w:t>
      </w:r>
      <w:r w:rsidRPr="0E3C9592">
        <w:rPr>
          <w:rFonts w:ascii="Calibri Light" w:eastAsia="Calibri" w:hAnsi="Calibri Light" w:cs="Calibri Light"/>
          <w:sz w:val="23"/>
          <w:szCs w:val="23"/>
        </w:rPr>
        <w:t>future</w:t>
      </w:r>
      <w:r w:rsidRPr="000940CC">
        <w:rPr>
          <w:rFonts w:ascii="Calibri Light" w:eastAsia="Calibri" w:hAnsi="Calibri Light" w:cs="Calibri Light"/>
          <w:sz w:val="23"/>
          <w:szCs w:val="23"/>
        </w:rPr>
        <w:t xml:space="preserve"> research </w:t>
      </w:r>
      <w:r w:rsidRPr="0E3C9592">
        <w:rPr>
          <w:rFonts w:ascii="Calibri Light" w:eastAsia="Calibri" w:hAnsi="Calibri Light" w:cs="Calibri Light"/>
          <w:sz w:val="23"/>
          <w:szCs w:val="23"/>
        </w:rPr>
        <w:t>be undertaken to evaluate</w:t>
      </w:r>
      <w:r w:rsidRPr="000940CC">
        <w:rPr>
          <w:rFonts w:ascii="Calibri Light" w:eastAsia="Calibri" w:hAnsi="Calibri Light" w:cs="Calibri Light"/>
          <w:sz w:val="23"/>
          <w:szCs w:val="23"/>
        </w:rPr>
        <w:t xml:space="preserve"> the success or otherwise of the </w:t>
      </w:r>
      <w:r w:rsidRPr="0E3C9592">
        <w:rPr>
          <w:rFonts w:ascii="Calibri Light" w:eastAsia="Calibri" w:hAnsi="Calibri Light" w:cs="Calibri Light"/>
          <w:sz w:val="23"/>
          <w:szCs w:val="23"/>
        </w:rPr>
        <w:t xml:space="preserve">participatory </w:t>
      </w:r>
      <w:r w:rsidRPr="000940CC">
        <w:rPr>
          <w:rFonts w:ascii="Calibri Light" w:eastAsia="Calibri" w:hAnsi="Calibri Light" w:cs="Calibri Light"/>
          <w:sz w:val="23"/>
          <w:szCs w:val="23"/>
        </w:rPr>
        <w:t>process</w:t>
      </w:r>
      <w:r w:rsidR="00712DD5">
        <w:rPr>
          <w:rFonts w:ascii="Calibri Light" w:eastAsia="Calibri" w:hAnsi="Calibri Light" w:cs="Calibri Light"/>
          <w:sz w:val="23"/>
          <w:szCs w:val="23"/>
        </w:rPr>
        <w:t>es</w:t>
      </w:r>
      <w:r w:rsidRPr="000940CC">
        <w:rPr>
          <w:rFonts w:ascii="Calibri Light" w:eastAsia="Calibri" w:hAnsi="Calibri Light" w:cs="Calibri Light"/>
          <w:sz w:val="23"/>
          <w:szCs w:val="23"/>
        </w:rPr>
        <w:t xml:space="preserve"> </w:t>
      </w:r>
      <w:r w:rsidRPr="0E3C9592">
        <w:rPr>
          <w:rFonts w:ascii="Calibri Light" w:eastAsia="Calibri" w:hAnsi="Calibri Light" w:cs="Calibri Light"/>
          <w:sz w:val="23"/>
          <w:szCs w:val="23"/>
        </w:rPr>
        <w:t>adopted,</w:t>
      </w:r>
      <w:r w:rsidRPr="000940CC">
        <w:rPr>
          <w:rFonts w:ascii="Calibri Light" w:eastAsia="Calibri" w:hAnsi="Calibri Light" w:cs="Calibri Light"/>
          <w:sz w:val="23"/>
          <w:szCs w:val="23"/>
        </w:rPr>
        <w:t xml:space="preserve"> as well as </w:t>
      </w:r>
      <w:r w:rsidRPr="0E3C9592">
        <w:rPr>
          <w:rFonts w:ascii="Calibri Light" w:eastAsia="Calibri" w:hAnsi="Calibri Light" w:cs="Calibri Light"/>
          <w:sz w:val="23"/>
          <w:szCs w:val="23"/>
        </w:rPr>
        <w:t xml:space="preserve">any </w:t>
      </w:r>
      <w:r w:rsidRPr="000940CC">
        <w:rPr>
          <w:rFonts w:ascii="Calibri Light" w:eastAsia="Calibri" w:hAnsi="Calibri Light" w:cs="Calibri Light"/>
          <w:sz w:val="23"/>
          <w:szCs w:val="23"/>
        </w:rPr>
        <w:t xml:space="preserve">pilot programs that arise from </w:t>
      </w:r>
      <w:r w:rsidR="00CD41F8">
        <w:rPr>
          <w:rFonts w:ascii="Calibri Light" w:eastAsia="Calibri" w:hAnsi="Calibri Light" w:cs="Calibri Light"/>
          <w:sz w:val="23"/>
          <w:szCs w:val="23"/>
        </w:rPr>
        <w:t>them</w:t>
      </w:r>
      <w:r w:rsidRPr="000940CC">
        <w:rPr>
          <w:rFonts w:ascii="Calibri Light" w:eastAsia="Calibri" w:hAnsi="Calibri Light" w:cs="Calibri Light"/>
          <w:sz w:val="23"/>
          <w:szCs w:val="23"/>
        </w:rPr>
        <w:t>.</w:t>
      </w:r>
    </w:p>
    <w:p w14:paraId="7650ED64" w14:textId="39EDA6C1" w:rsidR="00F00E3D" w:rsidRDefault="00CD6FFF" w:rsidP="009B2FA7">
      <w:pPr>
        <w:pStyle w:val="Heading1"/>
        <w:rPr>
          <w:rFonts w:asciiTheme="minorHAnsi" w:hAnsiTheme="minorHAnsi" w:cstheme="minorHAnsi"/>
          <w:b/>
          <w:bCs/>
          <w:sz w:val="28"/>
          <w:szCs w:val="28"/>
        </w:rPr>
      </w:pPr>
      <w:r>
        <w:rPr>
          <w:rFonts w:asciiTheme="minorHAnsi" w:hAnsiTheme="minorHAnsi" w:cstheme="minorHAnsi"/>
          <w:b/>
          <w:bCs/>
          <w:sz w:val="28"/>
          <w:szCs w:val="28"/>
        </w:rPr>
        <w:t>9</w:t>
      </w:r>
      <w:r w:rsidR="00F00E3D" w:rsidRPr="006805EE">
        <w:rPr>
          <w:rFonts w:asciiTheme="minorHAnsi" w:hAnsiTheme="minorHAnsi" w:cstheme="minorHAnsi"/>
          <w:b/>
          <w:bCs/>
          <w:sz w:val="28"/>
          <w:szCs w:val="28"/>
        </w:rPr>
        <w:t>.</w:t>
      </w:r>
      <w:r>
        <w:rPr>
          <w:rFonts w:asciiTheme="minorHAnsi" w:hAnsiTheme="minorHAnsi" w:cstheme="minorHAnsi"/>
          <w:b/>
          <w:bCs/>
          <w:sz w:val="28"/>
          <w:szCs w:val="28"/>
        </w:rPr>
        <w:t>5</w:t>
      </w:r>
      <w:r w:rsidR="00F00E3D" w:rsidRPr="006805EE">
        <w:rPr>
          <w:rFonts w:asciiTheme="minorHAnsi" w:hAnsiTheme="minorHAnsi" w:cstheme="minorHAnsi"/>
          <w:b/>
          <w:bCs/>
          <w:sz w:val="28"/>
          <w:szCs w:val="28"/>
        </w:rPr>
        <w:t xml:space="preserve"> Conclusion</w:t>
      </w:r>
    </w:p>
    <w:p w14:paraId="6D230976" w14:textId="77777777" w:rsidR="00CD6FFF" w:rsidRPr="00C96BDA" w:rsidRDefault="00CD6FFF" w:rsidP="00C96BDA">
      <w:pPr>
        <w:spacing w:after="0"/>
        <w:rPr>
          <w:sz w:val="12"/>
          <w:szCs w:val="12"/>
          <w:lang w:eastAsia="en-GB"/>
        </w:rPr>
      </w:pPr>
    </w:p>
    <w:p w14:paraId="19AFFDB5" w14:textId="5E1A13C7" w:rsidR="00F00E3D" w:rsidRPr="00266510" w:rsidRDefault="00F00E3D" w:rsidP="009B2FA7">
      <w:pPr>
        <w:spacing w:line="276" w:lineRule="auto"/>
        <w:rPr>
          <w:rFonts w:ascii="Calibri Light" w:eastAsia="Calibri" w:hAnsi="Calibri Light" w:cs="Calibri Light"/>
          <w:sz w:val="23"/>
          <w:szCs w:val="23"/>
        </w:rPr>
      </w:pPr>
      <w:r w:rsidRPr="000940CC">
        <w:rPr>
          <w:rFonts w:ascii="Calibri Light" w:eastAsia="Calibri" w:hAnsi="Calibri Light" w:cs="Calibri Light"/>
          <w:sz w:val="23"/>
          <w:szCs w:val="23"/>
        </w:rPr>
        <w:t xml:space="preserve">This research </w:t>
      </w:r>
      <w:r w:rsidR="00CD41F8">
        <w:rPr>
          <w:rFonts w:ascii="Calibri Light" w:eastAsia="Calibri" w:hAnsi="Calibri Light" w:cs="Calibri Light"/>
          <w:sz w:val="23"/>
          <w:szCs w:val="23"/>
        </w:rPr>
        <w:t>provides</w:t>
      </w:r>
      <w:r w:rsidRPr="000940CC">
        <w:rPr>
          <w:rFonts w:ascii="Calibri Light" w:eastAsia="Calibri" w:hAnsi="Calibri Light" w:cs="Calibri Light"/>
          <w:sz w:val="23"/>
          <w:szCs w:val="23"/>
        </w:rPr>
        <w:t xml:space="preserve"> </w:t>
      </w:r>
      <w:r w:rsidR="00CD41F8">
        <w:rPr>
          <w:rFonts w:ascii="Calibri Light" w:eastAsia="Calibri" w:hAnsi="Calibri Light" w:cs="Calibri Light"/>
          <w:sz w:val="23"/>
          <w:szCs w:val="23"/>
        </w:rPr>
        <w:t>R</w:t>
      </w:r>
      <w:r w:rsidRPr="000940CC">
        <w:rPr>
          <w:rFonts w:ascii="Calibri Light" w:eastAsia="Calibri" w:hAnsi="Calibri Light" w:cs="Calibri Light"/>
          <w:sz w:val="23"/>
          <w:szCs w:val="23"/>
        </w:rPr>
        <w:t>ecommendations for strategic approaches</w:t>
      </w:r>
      <w:r w:rsidR="00CD41F8">
        <w:rPr>
          <w:rFonts w:ascii="Calibri Light" w:eastAsia="Calibri" w:hAnsi="Calibri Light" w:cs="Calibri Light"/>
          <w:sz w:val="23"/>
          <w:szCs w:val="23"/>
        </w:rPr>
        <w:t>, program</w:t>
      </w:r>
      <w:r w:rsidR="00D72241">
        <w:rPr>
          <w:rFonts w:ascii="Calibri Light" w:eastAsia="Calibri" w:hAnsi="Calibri Light" w:cs="Calibri Light"/>
          <w:sz w:val="23"/>
          <w:szCs w:val="23"/>
        </w:rPr>
        <w:t xml:space="preserve"> options,</w:t>
      </w:r>
      <w:r w:rsidRPr="000940CC">
        <w:rPr>
          <w:rFonts w:ascii="Calibri Light" w:eastAsia="Calibri" w:hAnsi="Calibri Light" w:cs="Calibri Light"/>
          <w:sz w:val="23"/>
          <w:szCs w:val="23"/>
        </w:rPr>
        <w:t xml:space="preserve"> and policy needs to </w:t>
      </w:r>
      <w:r w:rsidRPr="5C44CF5E">
        <w:rPr>
          <w:rFonts w:ascii="Calibri Light" w:eastAsia="Calibri" w:hAnsi="Calibri Light" w:cs="Calibri Light"/>
          <w:sz w:val="23"/>
          <w:szCs w:val="23"/>
        </w:rPr>
        <w:t>progress</w:t>
      </w:r>
      <w:r w:rsidRPr="000940CC">
        <w:rPr>
          <w:rFonts w:ascii="Calibri Light" w:eastAsia="Calibri" w:hAnsi="Calibri Light" w:cs="Calibri Light"/>
          <w:sz w:val="23"/>
          <w:szCs w:val="23"/>
        </w:rPr>
        <w:t xml:space="preserve"> social equity in the Geelong municipality, </w:t>
      </w:r>
      <w:r w:rsidRPr="0E3C9592">
        <w:rPr>
          <w:rFonts w:ascii="Calibri Light" w:eastAsia="Calibri" w:hAnsi="Calibri Light" w:cs="Calibri Light"/>
          <w:sz w:val="23"/>
          <w:szCs w:val="23"/>
        </w:rPr>
        <w:t>particularly</w:t>
      </w:r>
      <w:r w:rsidRPr="000940CC">
        <w:rPr>
          <w:rFonts w:ascii="Calibri Light" w:eastAsia="Calibri" w:hAnsi="Calibri Light" w:cs="Calibri Light"/>
          <w:sz w:val="23"/>
          <w:szCs w:val="23"/>
        </w:rPr>
        <w:t xml:space="preserve"> for the </w:t>
      </w:r>
      <w:r w:rsidR="00903821">
        <w:rPr>
          <w:rFonts w:ascii="Calibri Light" w:eastAsia="Calibri" w:hAnsi="Calibri Light" w:cs="Calibri Light"/>
          <w:sz w:val="23"/>
          <w:szCs w:val="23"/>
        </w:rPr>
        <w:t>“</w:t>
      </w:r>
      <w:r w:rsidRPr="000940CC">
        <w:rPr>
          <w:rFonts w:ascii="Calibri Light" w:eastAsia="Calibri" w:hAnsi="Calibri Light" w:cs="Calibri Light"/>
          <w:sz w:val="23"/>
          <w:szCs w:val="23"/>
        </w:rPr>
        <w:t>disadvantaged</w:t>
      </w:r>
      <w:r w:rsidR="00903821">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areas of Corio, Norlane</w:t>
      </w:r>
      <w:r w:rsidR="00903821">
        <w:rPr>
          <w:rFonts w:ascii="Calibri Light" w:eastAsia="Calibri" w:hAnsi="Calibri Light" w:cs="Calibri Light"/>
          <w:sz w:val="23"/>
          <w:szCs w:val="23"/>
        </w:rPr>
        <w:t>,</w:t>
      </w:r>
      <w:r w:rsidRPr="000940CC">
        <w:rPr>
          <w:rFonts w:ascii="Calibri Light" w:eastAsia="Calibri" w:hAnsi="Calibri Light" w:cs="Calibri Light"/>
          <w:sz w:val="23"/>
          <w:szCs w:val="23"/>
        </w:rPr>
        <w:t xml:space="preserve"> and Whittington. </w:t>
      </w:r>
      <w:r w:rsidRPr="5B04C069">
        <w:rPr>
          <w:rFonts w:ascii="Calibri Light" w:eastAsia="Calibri" w:hAnsi="Calibri Light" w:cs="Calibri Light"/>
          <w:sz w:val="23"/>
          <w:szCs w:val="23"/>
        </w:rPr>
        <w:t xml:space="preserve">Asked to consider the drivers of “disadvantage”, especially in the light of </w:t>
      </w:r>
      <w:r w:rsidR="00940D80">
        <w:rPr>
          <w:rFonts w:ascii="Calibri Light" w:eastAsia="Calibri" w:hAnsi="Calibri Light" w:cs="Calibri Light"/>
          <w:sz w:val="23"/>
          <w:szCs w:val="23"/>
        </w:rPr>
        <w:t>COVID</w:t>
      </w:r>
      <w:r w:rsidRPr="5B04C069">
        <w:rPr>
          <w:rFonts w:ascii="Calibri Light" w:eastAsia="Calibri" w:hAnsi="Calibri Light" w:cs="Calibri Light"/>
          <w:sz w:val="23"/>
          <w:szCs w:val="23"/>
        </w:rPr>
        <w:t xml:space="preserve">-19, the research team </w:t>
      </w:r>
      <w:r w:rsidRPr="0E3C9592">
        <w:rPr>
          <w:rFonts w:ascii="Calibri Light" w:eastAsia="Calibri" w:hAnsi="Calibri Light" w:cs="Calibri Light"/>
          <w:sz w:val="23"/>
          <w:szCs w:val="23"/>
        </w:rPr>
        <w:t xml:space="preserve">outlined how </w:t>
      </w:r>
      <w:r w:rsidRPr="5B04C069">
        <w:rPr>
          <w:rFonts w:ascii="Calibri Light" w:eastAsia="Calibri" w:hAnsi="Calibri Light" w:cs="Calibri Light"/>
          <w:sz w:val="23"/>
          <w:szCs w:val="23"/>
        </w:rPr>
        <w:t xml:space="preserve">“disadvantage” </w:t>
      </w:r>
      <w:r w:rsidRPr="0E3C9592">
        <w:rPr>
          <w:rFonts w:ascii="Calibri Light" w:eastAsia="Calibri" w:hAnsi="Calibri Light" w:cs="Calibri Light"/>
          <w:sz w:val="23"/>
          <w:szCs w:val="23"/>
        </w:rPr>
        <w:t>has</w:t>
      </w:r>
      <w:r w:rsidRPr="5B04C069">
        <w:rPr>
          <w:rFonts w:ascii="Calibri Light" w:eastAsia="Calibri" w:hAnsi="Calibri Light" w:cs="Calibri Light"/>
          <w:sz w:val="23"/>
          <w:szCs w:val="23"/>
        </w:rPr>
        <w:t xml:space="preserve"> been conceptualised and interventions formulated, </w:t>
      </w:r>
      <w:r w:rsidR="00903821">
        <w:rPr>
          <w:rFonts w:ascii="Calibri Light" w:eastAsia="Calibri" w:hAnsi="Calibri Light" w:cs="Calibri Light"/>
          <w:sz w:val="23"/>
          <w:szCs w:val="23"/>
        </w:rPr>
        <w:t>revi</w:t>
      </w:r>
      <w:r w:rsidR="00854637">
        <w:rPr>
          <w:rFonts w:ascii="Calibri Light" w:eastAsia="Calibri" w:hAnsi="Calibri Light" w:cs="Calibri Light"/>
          <w:sz w:val="23"/>
          <w:szCs w:val="23"/>
        </w:rPr>
        <w:t xml:space="preserve">ewed the relevant policy landscape, and </w:t>
      </w:r>
      <w:r w:rsidRPr="0E3C9592">
        <w:rPr>
          <w:rFonts w:ascii="Calibri Light" w:eastAsia="Calibri" w:hAnsi="Calibri Light" w:cs="Calibri Light"/>
          <w:sz w:val="23"/>
          <w:szCs w:val="23"/>
        </w:rPr>
        <w:t>complet</w:t>
      </w:r>
      <w:r w:rsidR="00903821">
        <w:rPr>
          <w:rFonts w:ascii="Calibri Light" w:eastAsia="Calibri" w:hAnsi="Calibri Light" w:cs="Calibri Light"/>
          <w:sz w:val="23"/>
          <w:szCs w:val="23"/>
        </w:rPr>
        <w:t>ed</w:t>
      </w:r>
      <w:r w:rsidRPr="5B04C069">
        <w:rPr>
          <w:rFonts w:ascii="Calibri Light" w:eastAsia="Calibri" w:hAnsi="Calibri Light" w:cs="Calibri Light"/>
          <w:sz w:val="23"/>
          <w:szCs w:val="23"/>
        </w:rPr>
        <w:t xml:space="preserve"> a wide-ranging review </w:t>
      </w:r>
      <w:r w:rsidRPr="73613A14">
        <w:rPr>
          <w:rFonts w:ascii="Calibri Light" w:eastAsia="Calibri" w:hAnsi="Calibri Light" w:cs="Calibri Light"/>
          <w:sz w:val="23"/>
          <w:szCs w:val="23"/>
        </w:rPr>
        <w:t xml:space="preserve">of academic </w:t>
      </w:r>
      <w:r w:rsidRPr="0E3C9592">
        <w:rPr>
          <w:rFonts w:ascii="Calibri Light" w:eastAsia="Calibri" w:hAnsi="Calibri Light" w:cs="Calibri Light"/>
          <w:sz w:val="23"/>
          <w:szCs w:val="23"/>
        </w:rPr>
        <w:t xml:space="preserve">research and </w:t>
      </w:r>
      <w:r w:rsidRPr="73613A14">
        <w:rPr>
          <w:rFonts w:ascii="Calibri Light" w:eastAsia="Calibri" w:hAnsi="Calibri Light" w:cs="Calibri Light"/>
          <w:sz w:val="23"/>
          <w:szCs w:val="23"/>
        </w:rPr>
        <w:t xml:space="preserve">analysis </w:t>
      </w:r>
      <w:r w:rsidRPr="0E3C9592">
        <w:rPr>
          <w:rFonts w:ascii="Calibri Light" w:eastAsia="Calibri" w:hAnsi="Calibri Light" w:cs="Calibri Light"/>
          <w:sz w:val="23"/>
          <w:szCs w:val="23"/>
        </w:rPr>
        <w:t>around</w:t>
      </w:r>
      <w:r w:rsidRPr="73613A14">
        <w:rPr>
          <w:rFonts w:ascii="Calibri Light" w:eastAsia="Calibri" w:hAnsi="Calibri Light" w:cs="Calibri Light"/>
          <w:sz w:val="23"/>
          <w:szCs w:val="23"/>
        </w:rPr>
        <w:t xml:space="preserve"> social exclusion in the nominated </w:t>
      </w:r>
      <w:r w:rsidRPr="0E3C9592">
        <w:rPr>
          <w:rFonts w:ascii="Calibri Light" w:eastAsia="Calibri" w:hAnsi="Calibri Light" w:cs="Calibri Light"/>
          <w:sz w:val="23"/>
          <w:szCs w:val="23"/>
        </w:rPr>
        <w:t xml:space="preserve">five </w:t>
      </w:r>
      <w:r w:rsidR="00D95573">
        <w:rPr>
          <w:rFonts w:ascii="Calibri Light" w:eastAsia="Calibri" w:hAnsi="Calibri Light" w:cs="Calibri Light"/>
          <w:sz w:val="23"/>
          <w:szCs w:val="23"/>
        </w:rPr>
        <w:t>Practice Domain</w:t>
      </w:r>
      <w:r w:rsidRPr="73613A14">
        <w:rPr>
          <w:rFonts w:ascii="Calibri Light" w:eastAsia="Calibri" w:hAnsi="Calibri Light" w:cs="Calibri Light"/>
          <w:sz w:val="23"/>
          <w:szCs w:val="23"/>
        </w:rPr>
        <w:t xml:space="preserve">s </w:t>
      </w:r>
      <w:r w:rsidR="00854637">
        <w:rPr>
          <w:rFonts w:ascii="Calibri Light" w:eastAsia="Calibri" w:hAnsi="Calibri Light" w:cs="Calibri Light"/>
          <w:sz w:val="23"/>
          <w:szCs w:val="23"/>
        </w:rPr>
        <w:t>(E</w:t>
      </w:r>
      <w:r w:rsidRPr="73613A14">
        <w:rPr>
          <w:rFonts w:ascii="Calibri Light" w:eastAsia="Calibri" w:hAnsi="Calibri Light" w:cs="Calibri Light"/>
          <w:sz w:val="23"/>
          <w:szCs w:val="23"/>
        </w:rPr>
        <w:t xml:space="preserve">mployment, </w:t>
      </w:r>
      <w:r w:rsidR="00854637">
        <w:rPr>
          <w:rFonts w:ascii="Calibri Light" w:eastAsia="Calibri" w:hAnsi="Calibri Light" w:cs="Calibri Light"/>
          <w:sz w:val="23"/>
          <w:szCs w:val="23"/>
        </w:rPr>
        <w:t>E</w:t>
      </w:r>
      <w:r w:rsidRPr="73613A14">
        <w:rPr>
          <w:rFonts w:ascii="Calibri Light" w:eastAsia="Calibri" w:hAnsi="Calibri Light" w:cs="Calibri Light"/>
          <w:sz w:val="23"/>
          <w:szCs w:val="23"/>
        </w:rPr>
        <w:t xml:space="preserve">ducation, </w:t>
      </w:r>
      <w:r w:rsidR="00854637">
        <w:rPr>
          <w:rFonts w:ascii="Calibri Light" w:eastAsia="Calibri" w:hAnsi="Calibri Light" w:cs="Calibri Light"/>
          <w:sz w:val="23"/>
          <w:szCs w:val="23"/>
        </w:rPr>
        <w:t>H</w:t>
      </w:r>
      <w:r w:rsidRPr="73613A14">
        <w:rPr>
          <w:rFonts w:ascii="Calibri Light" w:eastAsia="Calibri" w:hAnsi="Calibri Light" w:cs="Calibri Light"/>
          <w:sz w:val="23"/>
          <w:szCs w:val="23"/>
        </w:rPr>
        <w:t xml:space="preserve">ousing, </w:t>
      </w:r>
      <w:r w:rsidR="00854637">
        <w:rPr>
          <w:rFonts w:ascii="Calibri Light" w:eastAsia="Calibri" w:hAnsi="Calibri Light" w:cs="Calibri Light"/>
          <w:sz w:val="23"/>
          <w:szCs w:val="23"/>
        </w:rPr>
        <w:t>H</w:t>
      </w:r>
      <w:r w:rsidRPr="73613A14">
        <w:rPr>
          <w:rFonts w:ascii="Calibri Light" w:eastAsia="Calibri" w:hAnsi="Calibri Light" w:cs="Calibri Light"/>
          <w:sz w:val="23"/>
          <w:szCs w:val="23"/>
        </w:rPr>
        <w:t xml:space="preserve">ealth and </w:t>
      </w:r>
      <w:r w:rsidR="00854637">
        <w:rPr>
          <w:rFonts w:ascii="Calibri Light" w:eastAsia="Calibri" w:hAnsi="Calibri Light" w:cs="Calibri Light"/>
          <w:sz w:val="23"/>
          <w:szCs w:val="23"/>
        </w:rPr>
        <w:t>W</w:t>
      </w:r>
      <w:r w:rsidRPr="73613A14">
        <w:rPr>
          <w:rFonts w:ascii="Calibri Light" w:eastAsia="Calibri" w:hAnsi="Calibri Light" w:cs="Calibri Light"/>
          <w:sz w:val="23"/>
          <w:szCs w:val="23"/>
        </w:rPr>
        <w:t>ellbeing</w:t>
      </w:r>
      <w:r w:rsidR="00854637">
        <w:rPr>
          <w:rFonts w:ascii="Calibri Light" w:eastAsia="Calibri" w:hAnsi="Calibri Light" w:cs="Calibri Light"/>
          <w:sz w:val="23"/>
          <w:szCs w:val="23"/>
        </w:rPr>
        <w:t>,</w:t>
      </w:r>
      <w:r w:rsidRPr="73613A14">
        <w:rPr>
          <w:rFonts w:ascii="Calibri Light" w:eastAsia="Calibri" w:hAnsi="Calibri Light" w:cs="Calibri Light"/>
          <w:sz w:val="23"/>
          <w:szCs w:val="23"/>
        </w:rPr>
        <w:t xml:space="preserve"> and </w:t>
      </w:r>
      <w:r w:rsidR="00854637">
        <w:rPr>
          <w:rFonts w:ascii="Calibri Light" w:eastAsia="Calibri" w:hAnsi="Calibri Light" w:cs="Calibri Light"/>
          <w:sz w:val="23"/>
          <w:szCs w:val="23"/>
        </w:rPr>
        <w:t>L</w:t>
      </w:r>
      <w:r w:rsidRPr="73613A14">
        <w:rPr>
          <w:rFonts w:ascii="Calibri Light" w:eastAsia="Calibri" w:hAnsi="Calibri Light" w:cs="Calibri Light"/>
          <w:sz w:val="23"/>
          <w:szCs w:val="23"/>
        </w:rPr>
        <w:t>iveability</w:t>
      </w:r>
      <w:r w:rsidR="00854637">
        <w:rPr>
          <w:rFonts w:ascii="Calibri Light" w:eastAsia="Calibri" w:hAnsi="Calibri Light" w:cs="Calibri Light"/>
          <w:sz w:val="23"/>
          <w:szCs w:val="23"/>
        </w:rPr>
        <w:t>)</w:t>
      </w:r>
      <w:r w:rsidRPr="0E3C9592">
        <w:rPr>
          <w:rFonts w:ascii="Calibri Light" w:eastAsia="Calibri" w:hAnsi="Calibri Light" w:cs="Calibri Light"/>
          <w:sz w:val="23"/>
          <w:szCs w:val="23"/>
        </w:rPr>
        <w:t>. We then co</w:t>
      </w:r>
      <w:r w:rsidR="00854637">
        <w:rPr>
          <w:rFonts w:ascii="Calibri Light" w:eastAsia="Calibri" w:hAnsi="Calibri Light" w:cs="Calibri Light"/>
          <w:sz w:val="23"/>
          <w:szCs w:val="23"/>
        </w:rPr>
        <w:t>mpiled</w:t>
      </w:r>
      <w:r w:rsidRPr="0E3C9592">
        <w:rPr>
          <w:rFonts w:ascii="Calibri Light" w:eastAsia="Calibri" w:hAnsi="Calibri Light" w:cs="Calibri Light"/>
          <w:sz w:val="23"/>
          <w:szCs w:val="23"/>
        </w:rPr>
        <w:t xml:space="preserve"> </w:t>
      </w:r>
      <w:r w:rsidR="00AD2DA5">
        <w:rPr>
          <w:rFonts w:ascii="Calibri Light" w:eastAsia="Calibri" w:hAnsi="Calibri Light" w:cs="Calibri Light"/>
          <w:sz w:val="23"/>
          <w:szCs w:val="23"/>
        </w:rPr>
        <w:t>Case Studies</w:t>
      </w:r>
      <w:r w:rsidRPr="73613A14">
        <w:rPr>
          <w:rFonts w:ascii="Calibri Light" w:eastAsia="Calibri" w:hAnsi="Calibri Light" w:cs="Calibri Light"/>
          <w:sz w:val="23"/>
          <w:szCs w:val="23"/>
        </w:rPr>
        <w:t xml:space="preserve"> </w:t>
      </w:r>
      <w:r w:rsidR="007E1C1F">
        <w:rPr>
          <w:rFonts w:ascii="Calibri Light" w:eastAsia="Calibri" w:hAnsi="Calibri Light" w:cs="Calibri Light"/>
          <w:sz w:val="23"/>
          <w:szCs w:val="23"/>
        </w:rPr>
        <w:t>profiling</w:t>
      </w:r>
      <w:r w:rsidRPr="73613A14">
        <w:rPr>
          <w:rFonts w:ascii="Calibri Light" w:eastAsia="Calibri" w:hAnsi="Calibri Light" w:cs="Calibri Light"/>
          <w:sz w:val="23"/>
          <w:szCs w:val="23"/>
        </w:rPr>
        <w:t xml:space="preserve"> an array of </w:t>
      </w:r>
      <w:r w:rsidRPr="0E3C9592">
        <w:rPr>
          <w:rFonts w:ascii="Calibri Light" w:eastAsia="Calibri" w:hAnsi="Calibri Light" w:cs="Calibri Light"/>
          <w:sz w:val="23"/>
          <w:szCs w:val="23"/>
        </w:rPr>
        <w:t>Australian</w:t>
      </w:r>
      <w:r w:rsidRPr="73613A14">
        <w:rPr>
          <w:rFonts w:ascii="Calibri Light" w:eastAsia="Calibri" w:hAnsi="Calibri Light" w:cs="Calibri Light"/>
          <w:sz w:val="23"/>
          <w:szCs w:val="23"/>
        </w:rPr>
        <w:t xml:space="preserve"> and international models of successful </w:t>
      </w:r>
      <w:r w:rsidR="005062B7">
        <w:rPr>
          <w:rFonts w:ascii="Calibri Light" w:eastAsia="Calibri" w:hAnsi="Calibri Light" w:cs="Calibri Light"/>
          <w:sz w:val="23"/>
          <w:szCs w:val="23"/>
        </w:rPr>
        <w:t xml:space="preserve">initiatives </w:t>
      </w:r>
      <w:r w:rsidRPr="0E3C9592">
        <w:rPr>
          <w:rFonts w:ascii="Calibri Light" w:eastAsia="Calibri" w:hAnsi="Calibri Light" w:cs="Calibri Light"/>
          <w:sz w:val="23"/>
          <w:szCs w:val="23"/>
        </w:rPr>
        <w:t xml:space="preserve">and innovative </w:t>
      </w:r>
      <w:r w:rsidR="005062B7">
        <w:rPr>
          <w:rFonts w:ascii="Calibri Light" w:eastAsia="Calibri" w:hAnsi="Calibri Light" w:cs="Calibri Light"/>
          <w:sz w:val="23"/>
          <w:szCs w:val="23"/>
        </w:rPr>
        <w:t xml:space="preserve">programs </w:t>
      </w:r>
      <w:r w:rsidR="00ED7FB8">
        <w:rPr>
          <w:rFonts w:ascii="Calibri Light" w:eastAsia="Calibri" w:hAnsi="Calibri Light" w:cs="Calibri Light"/>
          <w:sz w:val="23"/>
          <w:szCs w:val="23"/>
        </w:rPr>
        <w:t>to</w:t>
      </w:r>
      <w:r w:rsidR="005062B7">
        <w:rPr>
          <w:rFonts w:ascii="Calibri Light" w:eastAsia="Calibri" w:hAnsi="Calibri Light" w:cs="Calibri Light"/>
          <w:sz w:val="23"/>
          <w:szCs w:val="23"/>
        </w:rPr>
        <w:t xml:space="preserve"> address disadvantage</w:t>
      </w:r>
      <w:r w:rsidRPr="73613A14">
        <w:rPr>
          <w:rFonts w:ascii="Calibri Light" w:eastAsia="Calibri" w:hAnsi="Calibri Light" w:cs="Calibri Light"/>
          <w:sz w:val="23"/>
          <w:szCs w:val="23"/>
        </w:rPr>
        <w:t xml:space="preserve">. </w:t>
      </w:r>
      <w:r w:rsidRPr="3C85B6DE">
        <w:rPr>
          <w:rFonts w:ascii="Calibri Light" w:eastAsia="Calibri" w:hAnsi="Calibri Light" w:cs="Calibri Light"/>
          <w:sz w:val="23"/>
          <w:szCs w:val="23"/>
        </w:rPr>
        <w:t>The team then moved on to detail just how Australia, Geelong</w:t>
      </w:r>
      <w:r w:rsidR="005062B7">
        <w:rPr>
          <w:rFonts w:ascii="Calibri Light" w:eastAsia="Calibri" w:hAnsi="Calibri Light" w:cs="Calibri Light"/>
          <w:sz w:val="23"/>
          <w:szCs w:val="23"/>
        </w:rPr>
        <w:t>,</w:t>
      </w:r>
      <w:r w:rsidRPr="3C85B6DE">
        <w:rPr>
          <w:rFonts w:ascii="Calibri Light" w:eastAsia="Calibri" w:hAnsi="Calibri Light" w:cs="Calibri Light"/>
          <w:sz w:val="23"/>
          <w:szCs w:val="23"/>
        </w:rPr>
        <w:t xml:space="preserve"> and </w:t>
      </w:r>
      <w:r w:rsidR="005062B7">
        <w:rPr>
          <w:rFonts w:ascii="Calibri Light" w:eastAsia="Calibri" w:hAnsi="Calibri Light" w:cs="Calibri Light"/>
          <w:sz w:val="23"/>
          <w:szCs w:val="23"/>
        </w:rPr>
        <w:lastRenderedPageBreak/>
        <w:t>the communities of</w:t>
      </w:r>
      <w:r w:rsidRPr="3C85B6DE">
        <w:rPr>
          <w:rFonts w:ascii="Calibri Light" w:eastAsia="Calibri" w:hAnsi="Calibri Light" w:cs="Calibri Light"/>
          <w:sz w:val="23"/>
          <w:szCs w:val="23"/>
        </w:rPr>
        <w:t xml:space="preserve"> Corio</w:t>
      </w:r>
      <w:r w:rsidR="005062B7">
        <w:rPr>
          <w:rFonts w:ascii="Calibri Light" w:eastAsia="Calibri" w:hAnsi="Calibri Light" w:cs="Calibri Light"/>
          <w:sz w:val="23"/>
          <w:szCs w:val="23"/>
        </w:rPr>
        <w:t xml:space="preserve">, </w:t>
      </w:r>
      <w:r w:rsidRPr="3C85B6DE">
        <w:rPr>
          <w:rFonts w:ascii="Calibri Light" w:eastAsia="Calibri" w:hAnsi="Calibri Light" w:cs="Calibri Light"/>
          <w:sz w:val="23"/>
          <w:szCs w:val="23"/>
        </w:rPr>
        <w:t>Norlane</w:t>
      </w:r>
      <w:r w:rsidR="005062B7">
        <w:rPr>
          <w:rFonts w:ascii="Calibri Light" w:eastAsia="Calibri" w:hAnsi="Calibri Light" w:cs="Calibri Light"/>
          <w:sz w:val="23"/>
          <w:szCs w:val="23"/>
        </w:rPr>
        <w:t>,</w:t>
      </w:r>
      <w:r w:rsidRPr="3C85B6DE">
        <w:rPr>
          <w:rFonts w:ascii="Calibri Light" w:eastAsia="Calibri" w:hAnsi="Calibri Light" w:cs="Calibri Light"/>
          <w:sz w:val="23"/>
          <w:szCs w:val="23"/>
        </w:rPr>
        <w:t xml:space="preserve"> and Whittington ha</w:t>
      </w:r>
      <w:r w:rsidR="005062B7">
        <w:rPr>
          <w:rFonts w:ascii="Calibri Light" w:eastAsia="Calibri" w:hAnsi="Calibri Light" w:cs="Calibri Light"/>
          <w:sz w:val="23"/>
          <w:szCs w:val="23"/>
        </w:rPr>
        <w:t>ve</w:t>
      </w:r>
      <w:r w:rsidRPr="3C85B6DE">
        <w:rPr>
          <w:rFonts w:ascii="Calibri Light" w:eastAsia="Calibri" w:hAnsi="Calibri Light" w:cs="Calibri Light"/>
          <w:sz w:val="23"/>
          <w:szCs w:val="23"/>
        </w:rPr>
        <w:t xml:space="preserve"> been </w:t>
      </w:r>
      <w:r w:rsidR="007E1C1F">
        <w:rPr>
          <w:rFonts w:ascii="Calibri Light" w:eastAsia="Calibri" w:hAnsi="Calibri Light" w:cs="Calibri Light"/>
          <w:sz w:val="23"/>
          <w:szCs w:val="23"/>
        </w:rPr>
        <w:t>affected by</w:t>
      </w:r>
      <w:r w:rsidRPr="3C85B6DE">
        <w:rPr>
          <w:rFonts w:ascii="Calibri Light" w:eastAsia="Calibri" w:hAnsi="Calibri Light" w:cs="Calibri Light"/>
          <w:sz w:val="23"/>
          <w:szCs w:val="23"/>
        </w:rPr>
        <w:t xml:space="preserve"> </w:t>
      </w:r>
      <w:r w:rsidR="00940D80">
        <w:rPr>
          <w:rFonts w:ascii="Calibri Light" w:eastAsia="Calibri" w:hAnsi="Calibri Light" w:cs="Calibri Light"/>
          <w:sz w:val="23"/>
          <w:szCs w:val="23"/>
        </w:rPr>
        <w:t>COVID</w:t>
      </w:r>
      <w:r w:rsidRPr="3C85B6DE">
        <w:rPr>
          <w:rFonts w:ascii="Calibri Light" w:eastAsia="Calibri" w:hAnsi="Calibri Light" w:cs="Calibri Light"/>
          <w:sz w:val="23"/>
          <w:szCs w:val="23"/>
        </w:rPr>
        <w:t xml:space="preserve">-19 </w:t>
      </w:r>
      <w:r w:rsidR="005062B7">
        <w:rPr>
          <w:rFonts w:ascii="Calibri Light" w:eastAsia="Calibri" w:hAnsi="Calibri Light" w:cs="Calibri Light"/>
          <w:sz w:val="23"/>
          <w:szCs w:val="23"/>
        </w:rPr>
        <w:t>while providing</w:t>
      </w:r>
      <w:r w:rsidRPr="3C85B6DE">
        <w:rPr>
          <w:rFonts w:ascii="Calibri Light" w:eastAsia="Calibri" w:hAnsi="Calibri Light" w:cs="Calibri Light"/>
          <w:sz w:val="23"/>
          <w:szCs w:val="23"/>
        </w:rPr>
        <w:t xml:space="preserve"> </w:t>
      </w:r>
      <w:r w:rsidR="007E1C1F">
        <w:rPr>
          <w:rFonts w:ascii="Calibri Light" w:eastAsia="Calibri" w:hAnsi="Calibri Light" w:cs="Calibri Light"/>
          <w:sz w:val="23"/>
          <w:szCs w:val="23"/>
        </w:rPr>
        <w:t xml:space="preserve">details on </w:t>
      </w:r>
      <w:r w:rsidRPr="3C85B6DE">
        <w:rPr>
          <w:rFonts w:ascii="Calibri Light" w:eastAsia="Calibri" w:hAnsi="Calibri Light" w:cs="Calibri Light"/>
          <w:sz w:val="23"/>
          <w:szCs w:val="23"/>
        </w:rPr>
        <w:t>their histor</w:t>
      </w:r>
      <w:r w:rsidR="007E1C1F">
        <w:rPr>
          <w:rFonts w:ascii="Calibri Light" w:eastAsia="Calibri" w:hAnsi="Calibri Light" w:cs="Calibri Light"/>
          <w:sz w:val="23"/>
          <w:szCs w:val="23"/>
        </w:rPr>
        <w:t>ies</w:t>
      </w:r>
      <w:r w:rsidRPr="3C85B6DE">
        <w:rPr>
          <w:rFonts w:ascii="Calibri Light" w:eastAsia="Calibri" w:hAnsi="Calibri Light" w:cs="Calibri Light"/>
          <w:sz w:val="23"/>
          <w:szCs w:val="23"/>
        </w:rPr>
        <w:t>, socio-economic profile</w:t>
      </w:r>
      <w:r w:rsidR="007E1C1F">
        <w:rPr>
          <w:rFonts w:ascii="Calibri Light" w:eastAsia="Calibri" w:hAnsi="Calibri Light" w:cs="Calibri Light"/>
          <w:sz w:val="23"/>
          <w:szCs w:val="23"/>
        </w:rPr>
        <w:t>s,</w:t>
      </w:r>
      <w:r w:rsidRPr="3C85B6DE">
        <w:rPr>
          <w:rFonts w:ascii="Calibri Light" w:eastAsia="Calibri" w:hAnsi="Calibri Light" w:cs="Calibri Light"/>
          <w:sz w:val="23"/>
          <w:szCs w:val="23"/>
        </w:rPr>
        <w:t xml:space="preserve"> and the various policies that impact on them.</w:t>
      </w:r>
    </w:p>
    <w:p w14:paraId="0FA4BD48" w14:textId="0D94D658" w:rsidR="00F00E3D" w:rsidRPr="000940CC" w:rsidRDefault="00ED7FB8" w:rsidP="009B2FA7">
      <w:pPr>
        <w:spacing w:line="276" w:lineRule="auto"/>
        <w:rPr>
          <w:rFonts w:ascii="Calibri Light" w:eastAsia="Calibri" w:hAnsi="Calibri Light" w:cs="Calibri Light"/>
          <w:sz w:val="23"/>
          <w:szCs w:val="23"/>
        </w:rPr>
      </w:pPr>
      <w:r>
        <w:rPr>
          <w:rFonts w:ascii="Calibri Light" w:eastAsia="Calibri" w:hAnsi="Calibri Light" w:cs="Calibri Light"/>
          <w:sz w:val="23"/>
          <w:szCs w:val="23"/>
        </w:rPr>
        <w:t>Our consultations with</w:t>
      </w:r>
      <w:r w:rsidR="00F00E3D" w:rsidRPr="005AB57F">
        <w:rPr>
          <w:rFonts w:ascii="Calibri Light" w:eastAsia="Calibri" w:hAnsi="Calibri Light" w:cs="Calibri Light"/>
          <w:sz w:val="23"/>
          <w:szCs w:val="23"/>
        </w:rPr>
        <w:t xml:space="preserve"> </w:t>
      </w:r>
      <w:r w:rsidR="00F00E3D" w:rsidRPr="0E3C9592">
        <w:rPr>
          <w:rFonts w:ascii="Calibri Light" w:eastAsia="Calibri" w:hAnsi="Calibri Light" w:cs="Calibri Light"/>
          <w:sz w:val="23"/>
          <w:szCs w:val="23"/>
        </w:rPr>
        <w:t>key</w:t>
      </w:r>
      <w:r w:rsidR="00F00E3D" w:rsidRPr="005AB57F">
        <w:rPr>
          <w:rFonts w:ascii="Calibri Light" w:eastAsia="Calibri" w:hAnsi="Calibri Light" w:cs="Calibri Light"/>
          <w:sz w:val="23"/>
          <w:szCs w:val="23"/>
        </w:rPr>
        <w:t xml:space="preserve"> community and service workers in the three </w:t>
      </w:r>
      <w:r w:rsidR="00F00E3D" w:rsidRPr="0E3C9592">
        <w:rPr>
          <w:rFonts w:ascii="Calibri Light" w:eastAsia="Calibri" w:hAnsi="Calibri Light" w:cs="Calibri Light"/>
          <w:sz w:val="23"/>
          <w:szCs w:val="23"/>
        </w:rPr>
        <w:t>localities</w:t>
      </w:r>
      <w:r>
        <w:rPr>
          <w:rFonts w:ascii="Calibri Light" w:eastAsia="Calibri" w:hAnsi="Calibri Light" w:cs="Calibri Light"/>
          <w:sz w:val="23"/>
          <w:szCs w:val="23"/>
        </w:rPr>
        <w:t>,</w:t>
      </w:r>
      <w:r w:rsidR="00F00E3D" w:rsidRPr="0E3C9592">
        <w:rPr>
          <w:rFonts w:ascii="Calibri Light" w:eastAsia="Calibri" w:hAnsi="Calibri Light" w:cs="Calibri Light"/>
          <w:sz w:val="23"/>
          <w:szCs w:val="23"/>
        </w:rPr>
        <w:t xml:space="preserve"> via</w:t>
      </w:r>
      <w:r w:rsidR="00F00E3D" w:rsidRPr="005AB57F">
        <w:rPr>
          <w:rFonts w:ascii="Calibri Light" w:eastAsia="Calibri" w:hAnsi="Calibri Light" w:cs="Calibri Light"/>
          <w:sz w:val="23"/>
          <w:szCs w:val="23"/>
        </w:rPr>
        <w:t xml:space="preserve"> interviews and a focus group</w:t>
      </w:r>
      <w:r>
        <w:rPr>
          <w:rFonts w:ascii="Calibri Light" w:eastAsia="Calibri" w:hAnsi="Calibri Light" w:cs="Calibri Light"/>
          <w:sz w:val="23"/>
          <w:szCs w:val="23"/>
        </w:rPr>
        <w:t>,</w:t>
      </w:r>
      <w:r w:rsidR="00F00E3D" w:rsidRPr="005AB57F">
        <w:rPr>
          <w:rFonts w:ascii="Calibri Light" w:eastAsia="Calibri" w:hAnsi="Calibri Light" w:cs="Calibri Light"/>
          <w:sz w:val="23"/>
          <w:szCs w:val="23"/>
        </w:rPr>
        <w:t xml:space="preserve"> </w:t>
      </w:r>
      <w:r w:rsidR="00F00E3D" w:rsidRPr="0E3C9592">
        <w:rPr>
          <w:rFonts w:ascii="Calibri Light" w:eastAsia="Calibri" w:hAnsi="Calibri Light" w:cs="Calibri Light"/>
          <w:sz w:val="23"/>
          <w:szCs w:val="23"/>
        </w:rPr>
        <w:t>enabled us to elaborate on</w:t>
      </w:r>
      <w:r w:rsidR="00F00E3D" w:rsidRPr="005AB57F">
        <w:rPr>
          <w:rFonts w:ascii="Calibri Light" w:eastAsia="Calibri" w:hAnsi="Calibri Light" w:cs="Calibri Light"/>
          <w:sz w:val="23"/>
          <w:szCs w:val="23"/>
        </w:rPr>
        <w:t xml:space="preserve"> </w:t>
      </w:r>
      <w:r w:rsidR="0012660C">
        <w:rPr>
          <w:rFonts w:ascii="Calibri Light" w:eastAsia="Calibri" w:hAnsi="Calibri Light" w:cs="Calibri Light"/>
          <w:sz w:val="23"/>
          <w:szCs w:val="23"/>
        </w:rPr>
        <w:t>our data analysis findings</w:t>
      </w:r>
      <w:r w:rsidR="00F00E3D" w:rsidRPr="0E3C9592">
        <w:rPr>
          <w:rFonts w:ascii="Calibri Light" w:eastAsia="Calibri" w:hAnsi="Calibri Light" w:cs="Calibri Light"/>
          <w:sz w:val="23"/>
          <w:szCs w:val="23"/>
        </w:rPr>
        <w:t>, identify priority</w:t>
      </w:r>
      <w:r w:rsidR="00F00E3D" w:rsidRPr="005AB57F">
        <w:rPr>
          <w:rFonts w:ascii="Calibri Light" w:eastAsia="Calibri" w:hAnsi="Calibri Light" w:cs="Calibri Light"/>
          <w:sz w:val="23"/>
          <w:szCs w:val="23"/>
        </w:rPr>
        <w:t xml:space="preserve"> issues</w:t>
      </w:r>
      <w:r w:rsidR="00F00E3D" w:rsidRPr="0E3C9592">
        <w:rPr>
          <w:rFonts w:ascii="Calibri Light" w:eastAsia="Calibri" w:hAnsi="Calibri Light" w:cs="Calibri Light"/>
          <w:sz w:val="23"/>
          <w:szCs w:val="23"/>
        </w:rPr>
        <w:t>,</w:t>
      </w:r>
      <w:r w:rsidR="00F00E3D" w:rsidRPr="005AB57F">
        <w:rPr>
          <w:rFonts w:ascii="Calibri Light" w:eastAsia="Calibri" w:hAnsi="Calibri Light" w:cs="Calibri Light"/>
          <w:sz w:val="23"/>
          <w:szCs w:val="23"/>
        </w:rPr>
        <w:t xml:space="preserve"> and </w:t>
      </w:r>
      <w:r w:rsidR="00F00E3D" w:rsidRPr="0E3C9592">
        <w:rPr>
          <w:rFonts w:ascii="Calibri Light" w:eastAsia="Calibri" w:hAnsi="Calibri Light" w:cs="Calibri Light"/>
          <w:sz w:val="23"/>
          <w:szCs w:val="23"/>
        </w:rPr>
        <w:t>canvass how they might be addressed.</w:t>
      </w:r>
      <w:r w:rsidR="00F00E3D" w:rsidRPr="005AB57F">
        <w:rPr>
          <w:rFonts w:ascii="Calibri Light" w:eastAsia="Calibri" w:hAnsi="Calibri Light" w:cs="Calibri Light"/>
          <w:sz w:val="23"/>
          <w:szCs w:val="23"/>
        </w:rPr>
        <w:t xml:space="preserve"> From these consultations a series of </w:t>
      </w:r>
      <w:r w:rsidR="0012660C">
        <w:rPr>
          <w:rFonts w:ascii="Calibri Light" w:eastAsia="Calibri" w:hAnsi="Calibri Light" w:cs="Calibri Light"/>
          <w:sz w:val="23"/>
          <w:szCs w:val="23"/>
        </w:rPr>
        <w:t xml:space="preserve">14 priority areas and </w:t>
      </w:r>
      <w:r w:rsidR="00F00E3D" w:rsidRPr="0E3C9592">
        <w:rPr>
          <w:rFonts w:ascii="Calibri Light" w:eastAsia="Calibri" w:hAnsi="Calibri Light" w:cs="Calibri Light"/>
          <w:sz w:val="23"/>
          <w:szCs w:val="23"/>
        </w:rPr>
        <w:t xml:space="preserve">10 proposed </w:t>
      </w:r>
      <w:r w:rsidR="00F00E3D" w:rsidRPr="005AB57F">
        <w:rPr>
          <w:rFonts w:ascii="Calibri Light" w:eastAsia="Calibri" w:hAnsi="Calibri Light" w:cs="Calibri Light"/>
          <w:sz w:val="23"/>
          <w:szCs w:val="23"/>
        </w:rPr>
        <w:t xml:space="preserve">interventions were distilled, </w:t>
      </w:r>
      <w:r w:rsidR="00F00E3D" w:rsidRPr="0E3C9592">
        <w:rPr>
          <w:rFonts w:ascii="Calibri Light" w:eastAsia="Calibri" w:hAnsi="Calibri Light" w:cs="Calibri Light"/>
          <w:sz w:val="23"/>
          <w:szCs w:val="23"/>
        </w:rPr>
        <w:t>emphasising</w:t>
      </w:r>
      <w:r w:rsidR="00F00E3D" w:rsidRPr="005AB57F">
        <w:rPr>
          <w:rFonts w:ascii="Calibri Light" w:eastAsia="Calibri" w:hAnsi="Calibri Light" w:cs="Calibri Light"/>
          <w:sz w:val="23"/>
          <w:szCs w:val="23"/>
        </w:rPr>
        <w:t xml:space="preserve"> the importance of genuine </w:t>
      </w:r>
      <w:r w:rsidR="00F00E3D" w:rsidRPr="7B338BD7">
        <w:rPr>
          <w:rFonts w:ascii="Calibri Light" w:eastAsia="Calibri" w:hAnsi="Calibri Light" w:cs="Calibri Light"/>
          <w:sz w:val="23"/>
          <w:szCs w:val="23"/>
        </w:rPr>
        <w:t>collaboration</w:t>
      </w:r>
      <w:r w:rsidR="00F00E3D" w:rsidRPr="005AB57F">
        <w:rPr>
          <w:rFonts w:ascii="Calibri Light" w:eastAsia="Calibri" w:hAnsi="Calibri Light" w:cs="Calibri Light"/>
          <w:sz w:val="23"/>
          <w:szCs w:val="23"/>
        </w:rPr>
        <w:t xml:space="preserve"> and </w:t>
      </w:r>
      <w:r w:rsidR="00F00E3D" w:rsidRPr="0E3C9592">
        <w:rPr>
          <w:rFonts w:ascii="Calibri Light" w:eastAsia="Calibri" w:hAnsi="Calibri Light" w:cs="Calibri Light"/>
          <w:sz w:val="23"/>
          <w:szCs w:val="23"/>
        </w:rPr>
        <w:t>cross-domain approaches.</w:t>
      </w:r>
      <w:r w:rsidR="00F00E3D" w:rsidRPr="005AB57F">
        <w:rPr>
          <w:rFonts w:ascii="Calibri Light" w:eastAsia="Calibri" w:hAnsi="Calibri Light" w:cs="Calibri Light"/>
          <w:sz w:val="23"/>
          <w:szCs w:val="23"/>
        </w:rPr>
        <w:t xml:space="preserve"> The </w:t>
      </w:r>
      <w:r w:rsidR="0012660C">
        <w:rPr>
          <w:rFonts w:ascii="Calibri Light" w:eastAsia="Calibri" w:hAnsi="Calibri Light" w:cs="Calibri Light"/>
          <w:sz w:val="23"/>
          <w:szCs w:val="23"/>
        </w:rPr>
        <w:t>resultant</w:t>
      </w:r>
      <w:r w:rsidR="00F00E3D" w:rsidRPr="7B338BD7">
        <w:rPr>
          <w:rFonts w:ascii="Calibri Light" w:eastAsia="Calibri" w:hAnsi="Calibri Light" w:cs="Calibri Light"/>
          <w:sz w:val="23"/>
          <w:szCs w:val="23"/>
        </w:rPr>
        <w:t xml:space="preserve"> Recommendations</w:t>
      </w:r>
      <w:r w:rsidR="00F00E3D" w:rsidRPr="005AB57F">
        <w:rPr>
          <w:rFonts w:ascii="Calibri Light" w:eastAsia="Calibri" w:hAnsi="Calibri Light" w:cs="Calibri Light"/>
          <w:sz w:val="23"/>
          <w:szCs w:val="23"/>
        </w:rPr>
        <w:t xml:space="preserve"> are designed to help shape the long-term strategy of </w:t>
      </w:r>
      <w:r w:rsidR="001B7DDF">
        <w:rPr>
          <w:rFonts w:ascii="Calibri Light" w:eastAsia="Calibri" w:hAnsi="Calibri Light" w:cs="Calibri Light"/>
          <w:sz w:val="23"/>
          <w:szCs w:val="23"/>
        </w:rPr>
        <w:t>CoGG</w:t>
      </w:r>
      <w:r w:rsidR="00F00E3D" w:rsidRPr="0E3C9592">
        <w:rPr>
          <w:rFonts w:ascii="Calibri Light" w:eastAsia="Calibri" w:hAnsi="Calibri Light" w:cs="Calibri Light"/>
          <w:sz w:val="23"/>
          <w:szCs w:val="23"/>
        </w:rPr>
        <w:t>’s</w:t>
      </w:r>
      <w:r w:rsidR="00F00E3D" w:rsidRPr="005AB57F">
        <w:rPr>
          <w:rFonts w:ascii="Calibri Light" w:eastAsia="Calibri" w:hAnsi="Calibri Light" w:cs="Calibri Light"/>
          <w:sz w:val="23"/>
          <w:szCs w:val="23"/>
        </w:rPr>
        <w:t xml:space="preserve"> Vital Communities Project</w:t>
      </w:r>
      <w:r w:rsidR="0012660C">
        <w:rPr>
          <w:rFonts w:ascii="Calibri Light" w:eastAsia="Calibri" w:hAnsi="Calibri Light" w:cs="Calibri Light"/>
          <w:sz w:val="23"/>
          <w:szCs w:val="23"/>
        </w:rPr>
        <w:t>,</w:t>
      </w:r>
      <w:r w:rsidR="00F00E3D" w:rsidRPr="005AB57F">
        <w:rPr>
          <w:rFonts w:ascii="Calibri Light" w:eastAsia="Calibri" w:hAnsi="Calibri Light" w:cs="Calibri Light"/>
          <w:sz w:val="23"/>
          <w:szCs w:val="23"/>
        </w:rPr>
        <w:t xml:space="preserve"> and</w:t>
      </w:r>
      <w:r w:rsidR="0012660C">
        <w:rPr>
          <w:rFonts w:ascii="Calibri Light" w:eastAsia="Calibri" w:hAnsi="Calibri Light" w:cs="Calibri Light"/>
          <w:sz w:val="23"/>
          <w:szCs w:val="23"/>
        </w:rPr>
        <w:t xml:space="preserve"> to</w:t>
      </w:r>
      <w:r w:rsidR="00F00E3D" w:rsidRPr="005AB57F">
        <w:rPr>
          <w:rFonts w:ascii="Calibri Light" w:eastAsia="Calibri" w:hAnsi="Calibri Light" w:cs="Calibri Light"/>
          <w:sz w:val="23"/>
          <w:szCs w:val="23"/>
        </w:rPr>
        <w:t xml:space="preserve"> inform long- and medium-term strategy to assist with recovery from the impacts of </w:t>
      </w:r>
      <w:r w:rsidR="00940D80">
        <w:rPr>
          <w:rFonts w:ascii="Calibri Light" w:eastAsia="Calibri" w:hAnsi="Calibri Light" w:cs="Calibri Light"/>
          <w:sz w:val="23"/>
          <w:szCs w:val="23"/>
        </w:rPr>
        <w:t>COVID</w:t>
      </w:r>
      <w:r w:rsidR="00F00E3D" w:rsidRPr="005AB57F">
        <w:rPr>
          <w:rFonts w:ascii="Calibri Light" w:eastAsia="Calibri" w:hAnsi="Calibri Light" w:cs="Calibri Light"/>
          <w:sz w:val="23"/>
          <w:szCs w:val="23"/>
        </w:rPr>
        <w:t>-19.</w:t>
      </w:r>
    </w:p>
    <w:p w14:paraId="3DFE334C" w14:textId="4DE89F47" w:rsidR="00F00E3D" w:rsidRPr="00EC4B95" w:rsidRDefault="00F00E3D" w:rsidP="009B2FA7">
      <w:pPr>
        <w:spacing w:line="276" w:lineRule="auto"/>
        <w:rPr>
          <w:rFonts w:ascii="Calibri Light" w:eastAsia="Calibri" w:hAnsi="Calibri Light" w:cs="Calibri Light"/>
          <w:sz w:val="23"/>
          <w:szCs w:val="23"/>
        </w:rPr>
        <w:sectPr w:rsidR="00F00E3D" w:rsidRPr="00EC4B95" w:rsidSect="009452E8">
          <w:pgSz w:w="11900" w:h="16840"/>
          <w:pgMar w:top="1134" w:right="1134" w:bottom="1134" w:left="1134" w:header="709" w:footer="709" w:gutter="0"/>
          <w:cols w:space="708"/>
          <w:docGrid w:linePitch="360"/>
        </w:sectPr>
      </w:pPr>
      <w:r w:rsidRPr="005AB57F">
        <w:rPr>
          <w:rFonts w:ascii="Calibri Light" w:eastAsia="Calibri" w:hAnsi="Calibri Light" w:cs="Calibri Light"/>
          <w:sz w:val="23"/>
          <w:szCs w:val="23"/>
        </w:rPr>
        <w:t xml:space="preserve">The next steps are for the City of Greater Geelong to review </w:t>
      </w:r>
      <w:r w:rsidR="001D7247">
        <w:rPr>
          <w:rFonts w:ascii="Calibri Light" w:eastAsia="Calibri" w:hAnsi="Calibri Light" w:cs="Calibri Light"/>
          <w:sz w:val="23"/>
          <w:szCs w:val="23"/>
        </w:rPr>
        <w:t>our</w:t>
      </w:r>
      <w:r w:rsidRPr="005AB57F">
        <w:rPr>
          <w:rFonts w:ascii="Calibri Light" w:eastAsia="Calibri" w:hAnsi="Calibri Light" w:cs="Calibri Light"/>
          <w:sz w:val="23"/>
          <w:szCs w:val="23"/>
        </w:rPr>
        <w:t xml:space="preserve"> Recommendations</w:t>
      </w:r>
      <w:r w:rsidR="001D7247">
        <w:rPr>
          <w:rFonts w:ascii="Calibri Light" w:eastAsia="Calibri" w:hAnsi="Calibri Light" w:cs="Calibri Light"/>
          <w:sz w:val="23"/>
          <w:szCs w:val="23"/>
        </w:rPr>
        <w:t xml:space="preserve"> </w:t>
      </w:r>
      <w:r w:rsidR="00C3198E">
        <w:rPr>
          <w:rFonts w:ascii="Calibri Light" w:eastAsia="Calibri" w:hAnsi="Calibri Light" w:cs="Calibri Light"/>
          <w:sz w:val="23"/>
          <w:szCs w:val="23"/>
        </w:rPr>
        <w:t>(see p.</w:t>
      </w:r>
      <w:r w:rsidR="001D7247">
        <w:rPr>
          <w:rFonts w:ascii="Calibri Light" w:eastAsia="Calibri" w:hAnsi="Calibri Light" w:cs="Calibri Light"/>
          <w:sz w:val="23"/>
          <w:szCs w:val="23"/>
        </w:rPr>
        <w:t xml:space="preserve"> xi–</w:t>
      </w:r>
      <w:r w:rsidR="00C3198E">
        <w:rPr>
          <w:rFonts w:ascii="Calibri Light" w:eastAsia="Calibri" w:hAnsi="Calibri Light" w:cs="Calibri Light"/>
          <w:sz w:val="23"/>
          <w:szCs w:val="23"/>
        </w:rPr>
        <w:t>xviii)</w:t>
      </w:r>
      <w:r w:rsidR="007F6775">
        <w:rPr>
          <w:rFonts w:ascii="Calibri Light" w:eastAsia="Calibri" w:hAnsi="Calibri Light" w:cs="Calibri Light"/>
          <w:sz w:val="23"/>
          <w:szCs w:val="23"/>
        </w:rPr>
        <w:t>;</w:t>
      </w:r>
      <w:r w:rsidRPr="0E3C9592">
        <w:rPr>
          <w:rFonts w:ascii="Calibri Light" w:eastAsia="Calibri" w:hAnsi="Calibri Light" w:cs="Calibri Light"/>
          <w:sz w:val="23"/>
          <w:szCs w:val="23"/>
        </w:rPr>
        <w:t xml:space="preserve"> take them to key community agencies</w:t>
      </w:r>
      <w:r w:rsidR="001D7247">
        <w:rPr>
          <w:rFonts w:ascii="Calibri Light" w:eastAsia="Calibri" w:hAnsi="Calibri Light" w:cs="Calibri Light"/>
          <w:sz w:val="23"/>
          <w:szCs w:val="23"/>
        </w:rPr>
        <w:t>, residents,</w:t>
      </w:r>
      <w:r w:rsidRPr="005AB57F">
        <w:rPr>
          <w:rFonts w:ascii="Calibri Light" w:eastAsia="Calibri" w:hAnsi="Calibri Light" w:cs="Calibri Light"/>
          <w:sz w:val="23"/>
          <w:szCs w:val="23"/>
        </w:rPr>
        <w:t xml:space="preserve"> and </w:t>
      </w:r>
      <w:r w:rsidRPr="0E3C9592">
        <w:rPr>
          <w:rFonts w:ascii="Calibri Light" w:eastAsia="Calibri" w:hAnsi="Calibri Light" w:cs="Calibri Light"/>
          <w:sz w:val="23"/>
          <w:szCs w:val="23"/>
        </w:rPr>
        <w:t xml:space="preserve">representatives </w:t>
      </w:r>
      <w:r w:rsidRPr="005AB57F">
        <w:rPr>
          <w:rFonts w:ascii="Calibri Light" w:eastAsia="Calibri" w:hAnsi="Calibri Light" w:cs="Calibri Light"/>
          <w:sz w:val="23"/>
          <w:szCs w:val="23"/>
        </w:rPr>
        <w:t xml:space="preserve">for </w:t>
      </w:r>
      <w:r w:rsidRPr="0E3C9592">
        <w:rPr>
          <w:rFonts w:ascii="Calibri Light" w:eastAsia="Calibri" w:hAnsi="Calibri Light" w:cs="Calibri Light"/>
          <w:sz w:val="23"/>
          <w:szCs w:val="23"/>
        </w:rPr>
        <w:t>feedback and input</w:t>
      </w:r>
      <w:r w:rsidR="007F6775">
        <w:rPr>
          <w:rFonts w:ascii="Calibri Light" w:eastAsia="Calibri" w:hAnsi="Calibri Light" w:cs="Calibri Light"/>
          <w:sz w:val="23"/>
          <w:szCs w:val="23"/>
        </w:rPr>
        <w:t>;</w:t>
      </w:r>
      <w:r w:rsidRPr="0E3C9592">
        <w:rPr>
          <w:rFonts w:ascii="Calibri Light" w:eastAsia="Calibri" w:hAnsi="Calibri Light" w:cs="Calibri Light"/>
          <w:sz w:val="23"/>
          <w:szCs w:val="23"/>
        </w:rPr>
        <w:t xml:space="preserve"> and connect them</w:t>
      </w:r>
      <w:r w:rsidRPr="005AB57F">
        <w:rPr>
          <w:rFonts w:ascii="Calibri Light" w:eastAsia="Calibri" w:hAnsi="Calibri Light" w:cs="Calibri Light"/>
          <w:sz w:val="23"/>
          <w:szCs w:val="23"/>
        </w:rPr>
        <w:t xml:space="preserve"> to other relevant programs, policies</w:t>
      </w:r>
      <w:r w:rsidR="00797245">
        <w:rPr>
          <w:rFonts w:ascii="Calibri Light" w:eastAsia="Calibri" w:hAnsi="Calibri Light" w:cs="Calibri Light"/>
          <w:sz w:val="23"/>
          <w:szCs w:val="23"/>
        </w:rPr>
        <w:t>,</w:t>
      </w:r>
      <w:r w:rsidRPr="005AB57F">
        <w:rPr>
          <w:rFonts w:ascii="Calibri Light" w:eastAsia="Calibri" w:hAnsi="Calibri Light" w:cs="Calibri Light"/>
          <w:sz w:val="23"/>
          <w:szCs w:val="23"/>
        </w:rPr>
        <w:t xml:space="preserve"> and investigations that </w:t>
      </w:r>
      <w:r w:rsidR="001B7DDF">
        <w:rPr>
          <w:rFonts w:ascii="Calibri Light" w:eastAsia="Calibri" w:hAnsi="Calibri Light" w:cs="Calibri Light"/>
          <w:sz w:val="23"/>
          <w:szCs w:val="23"/>
        </w:rPr>
        <w:t>CoGG</w:t>
      </w:r>
      <w:r w:rsidRPr="005AB57F">
        <w:rPr>
          <w:rFonts w:ascii="Calibri Light" w:eastAsia="Calibri" w:hAnsi="Calibri Light" w:cs="Calibri Light"/>
          <w:sz w:val="23"/>
          <w:szCs w:val="23"/>
        </w:rPr>
        <w:t xml:space="preserve"> and</w:t>
      </w:r>
      <w:r w:rsidR="00797245">
        <w:rPr>
          <w:rFonts w:ascii="Calibri Light" w:eastAsia="Calibri" w:hAnsi="Calibri Light" w:cs="Calibri Light"/>
          <w:sz w:val="23"/>
          <w:szCs w:val="23"/>
        </w:rPr>
        <w:t xml:space="preserve"> the</w:t>
      </w:r>
      <w:r w:rsidRPr="005AB57F">
        <w:rPr>
          <w:rFonts w:ascii="Calibri Light" w:eastAsia="Calibri" w:hAnsi="Calibri Light" w:cs="Calibri Light"/>
          <w:sz w:val="23"/>
          <w:szCs w:val="23"/>
        </w:rPr>
        <w:t xml:space="preserve"> State </w:t>
      </w:r>
      <w:r w:rsidR="007F6775">
        <w:rPr>
          <w:rFonts w:ascii="Calibri Light" w:eastAsia="Calibri" w:hAnsi="Calibri Light" w:cs="Calibri Light"/>
          <w:sz w:val="23"/>
          <w:szCs w:val="23"/>
        </w:rPr>
        <w:t>G</w:t>
      </w:r>
      <w:r w:rsidRPr="0E3C9592">
        <w:rPr>
          <w:rFonts w:ascii="Calibri Light" w:eastAsia="Calibri" w:hAnsi="Calibri Light" w:cs="Calibri Light"/>
          <w:sz w:val="23"/>
          <w:szCs w:val="23"/>
        </w:rPr>
        <w:t>overnment are</w:t>
      </w:r>
      <w:r w:rsidRPr="005AB57F">
        <w:rPr>
          <w:rFonts w:ascii="Calibri Light" w:eastAsia="Calibri" w:hAnsi="Calibri Light" w:cs="Calibri Light"/>
          <w:sz w:val="23"/>
          <w:szCs w:val="23"/>
        </w:rPr>
        <w:t xml:space="preserve"> undertaking in these </w:t>
      </w:r>
      <w:r w:rsidRPr="0E3C9592">
        <w:rPr>
          <w:rFonts w:ascii="Calibri Light" w:eastAsia="Calibri" w:hAnsi="Calibri Light" w:cs="Calibri Light"/>
          <w:sz w:val="23"/>
          <w:szCs w:val="23"/>
        </w:rPr>
        <w:t>localities</w:t>
      </w:r>
      <w:r w:rsidR="00C3198E">
        <w:rPr>
          <w:rFonts w:ascii="Calibri Light" w:eastAsia="Calibri" w:hAnsi="Calibri Light" w:cs="Calibri Light"/>
          <w:sz w:val="23"/>
          <w:szCs w:val="23"/>
        </w:rPr>
        <w:t xml:space="preserve">. </w:t>
      </w:r>
      <w:r w:rsidRPr="005AB57F">
        <w:rPr>
          <w:rFonts w:ascii="Calibri Light" w:eastAsia="Calibri" w:hAnsi="Calibri Light" w:cs="Calibri Light"/>
          <w:sz w:val="23"/>
          <w:szCs w:val="23"/>
        </w:rPr>
        <w:t xml:space="preserve">If accepted, </w:t>
      </w:r>
      <w:r w:rsidR="00C3198E">
        <w:rPr>
          <w:rFonts w:ascii="Calibri Light" w:eastAsia="Calibri" w:hAnsi="Calibri Light" w:cs="Calibri Light"/>
          <w:sz w:val="23"/>
          <w:szCs w:val="23"/>
        </w:rPr>
        <w:t>the</w:t>
      </w:r>
      <w:r w:rsidRPr="005AB57F">
        <w:rPr>
          <w:rFonts w:ascii="Calibri Light" w:eastAsia="Calibri" w:hAnsi="Calibri Light" w:cs="Calibri Light"/>
          <w:sz w:val="23"/>
          <w:szCs w:val="23"/>
        </w:rPr>
        <w:t xml:space="preserve"> </w:t>
      </w:r>
      <w:r w:rsidRPr="0E3C9592">
        <w:rPr>
          <w:rFonts w:ascii="Calibri Light" w:eastAsia="Calibri" w:hAnsi="Calibri Light" w:cs="Calibri Light"/>
          <w:sz w:val="23"/>
          <w:szCs w:val="23"/>
        </w:rPr>
        <w:t xml:space="preserve">proposed </w:t>
      </w:r>
      <w:r w:rsidRPr="005AB57F">
        <w:rPr>
          <w:rFonts w:ascii="Calibri Light" w:eastAsia="Calibri" w:hAnsi="Calibri Light" w:cs="Calibri Light"/>
          <w:sz w:val="23"/>
          <w:szCs w:val="23"/>
        </w:rPr>
        <w:t>STICKE Workshop and</w:t>
      </w:r>
      <w:r w:rsidR="007F6775">
        <w:rPr>
          <w:rFonts w:ascii="Calibri Light" w:eastAsia="Calibri" w:hAnsi="Calibri Light" w:cs="Calibri Light"/>
          <w:sz w:val="23"/>
          <w:szCs w:val="23"/>
        </w:rPr>
        <w:t xml:space="preserve"> a</w:t>
      </w:r>
      <w:r w:rsidRPr="005AB57F">
        <w:rPr>
          <w:rFonts w:ascii="Calibri Light" w:eastAsia="Calibri" w:hAnsi="Calibri Light" w:cs="Calibri Light"/>
          <w:sz w:val="23"/>
          <w:szCs w:val="23"/>
        </w:rPr>
        <w:t xml:space="preserve"> </w:t>
      </w:r>
      <w:r w:rsidR="001B7DDF">
        <w:rPr>
          <w:rFonts w:ascii="Calibri Light" w:eastAsia="Calibri" w:hAnsi="Calibri Light" w:cs="Calibri Light"/>
          <w:sz w:val="23"/>
          <w:szCs w:val="23"/>
        </w:rPr>
        <w:t>CoGG</w:t>
      </w:r>
      <w:r w:rsidRPr="0E3C9592">
        <w:rPr>
          <w:rFonts w:ascii="Calibri Light" w:eastAsia="Calibri" w:hAnsi="Calibri Light" w:cs="Calibri Light"/>
          <w:sz w:val="23"/>
          <w:szCs w:val="23"/>
        </w:rPr>
        <w:t xml:space="preserve"> </w:t>
      </w:r>
      <w:r w:rsidRPr="005AB57F">
        <w:rPr>
          <w:rFonts w:ascii="Calibri Light" w:eastAsia="Calibri" w:hAnsi="Calibri Light" w:cs="Calibri Light"/>
          <w:sz w:val="23"/>
          <w:szCs w:val="23"/>
        </w:rPr>
        <w:t>staff workshop will sharpen the process of implementation</w:t>
      </w:r>
      <w:r w:rsidR="00CE6BD9">
        <w:rPr>
          <w:rFonts w:ascii="Calibri Light" w:eastAsia="Calibri" w:hAnsi="Calibri Light" w:cs="Calibri Light"/>
          <w:sz w:val="23"/>
          <w:szCs w:val="23"/>
        </w:rPr>
        <w:t>;</w:t>
      </w:r>
      <w:r w:rsidR="00CE6BD9" w:rsidRPr="00CE6BD9">
        <w:t xml:space="preserve"> </w:t>
      </w:r>
      <w:r w:rsidR="00CE6BD9">
        <w:rPr>
          <w:rFonts w:ascii="Calibri Light" w:eastAsia="Calibri" w:hAnsi="Calibri Light" w:cs="Calibri Light"/>
          <w:sz w:val="23"/>
          <w:szCs w:val="23"/>
        </w:rPr>
        <w:t xml:space="preserve">explore and progress </w:t>
      </w:r>
      <w:r w:rsidR="00797245">
        <w:rPr>
          <w:rFonts w:ascii="Calibri Light" w:eastAsia="Calibri" w:hAnsi="Calibri Light" w:cs="Calibri Light"/>
          <w:sz w:val="23"/>
          <w:szCs w:val="23"/>
        </w:rPr>
        <w:t xml:space="preserve">a </w:t>
      </w:r>
      <w:r w:rsidR="00CE6BD9">
        <w:rPr>
          <w:rFonts w:ascii="Calibri Light" w:eastAsia="Calibri" w:hAnsi="Calibri Light" w:cs="Calibri Light"/>
          <w:sz w:val="23"/>
          <w:szCs w:val="23"/>
        </w:rPr>
        <w:t>systemic</w:t>
      </w:r>
      <w:r w:rsidR="00CE6BD9" w:rsidRPr="00CE6BD9">
        <w:rPr>
          <w:rFonts w:ascii="Calibri Light" w:eastAsia="Calibri" w:hAnsi="Calibri Light" w:cs="Calibri Light"/>
          <w:sz w:val="23"/>
          <w:szCs w:val="23"/>
        </w:rPr>
        <w:t xml:space="preserve"> </w:t>
      </w:r>
      <w:r w:rsidR="00CE6BD9">
        <w:rPr>
          <w:rFonts w:ascii="Calibri Light" w:eastAsia="Calibri" w:hAnsi="Calibri Light" w:cs="Calibri Light"/>
          <w:sz w:val="23"/>
          <w:szCs w:val="23"/>
        </w:rPr>
        <w:t>approach;</w:t>
      </w:r>
      <w:r w:rsidRPr="005AB57F">
        <w:rPr>
          <w:rFonts w:ascii="Calibri Light" w:eastAsia="Calibri" w:hAnsi="Calibri Light" w:cs="Calibri Light"/>
          <w:sz w:val="23"/>
          <w:szCs w:val="23"/>
        </w:rPr>
        <w:t xml:space="preserve"> </w:t>
      </w:r>
      <w:r w:rsidRPr="561FE19E">
        <w:rPr>
          <w:rFonts w:ascii="Calibri Light" w:eastAsia="Calibri" w:hAnsi="Calibri Light" w:cs="Calibri Light"/>
          <w:sz w:val="23"/>
          <w:szCs w:val="23"/>
        </w:rPr>
        <w:t xml:space="preserve">and consider the need </w:t>
      </w:r>
      <w:r w:rsidR="00CE6BD9">
        <w:rPr>
          <w:rFonts w:ascii="Calibri Light" w:eastAsia="Calibri" w:hAnsi="Calibri Light" w:cs="Calibri Light"/>
          <w:sz w:val="23"/>
          <w:szCs w:val="23"/>
        </w:rPr>
        <w:t>to evaluate the</w:t>
      </w:r>
      <w:r w:rsidRPr="561FE19E">
        <w:rPr>
          <w:rFonts w:ascii="Calibri Light" w:eastAsia="Calibri" w:hAnsi="Calibri Light" w:cs="Calibri Light"/>
          <w:sz w:val="23"/>
          <w:szCs w:val="23"/>
        </w:rPr>
        <w:t xml:space="preserve"> effectiveness of this research</w:t>
      </w:r>
      <w:r w:rsidR="00CE6BD9">
        <w:rPr>
          <w:rFonts w:ascii="Calibri Light" w:eastAsia="Calibri" w:hAnsi="Calibri Light" w:cs="Calibri Light"/>
          <w:sz w:val="23"/>
          <w:szCs w:val="23"/>
        </w:rPr>
        <w:t>,</w:t>
      </w:r>
      <w:r w:rsidRPr="561FE19E">
        <w:rPr>
          <w:rFonts w:ascii="Calibri Light" w:eastAsia="Calibri" w:hAnsi="Calibri Light" w:cs="Calibri Light"/>
          <w:sz w:val="23"/>
          <w:szCs w:val="23"/>
        </w:rPr>
        <w:t xml:space="preserve"> its Recommendations</w:t>
      </w:r>
      <w:r w:rsidR="00CE6BD9">
        <w:rPr>
          <w:rFonts w:ascii="Calibri Light" w:eastAsia="Calibri" w:hAnsi="Calibri Light" w:cs="Calibri Light"/>
          <w:sz w:val="23"/>
          <w:szCs w:val="23"/>
        </w:rPr>
        <w:t>, any future initiatives</w:t>
      </w:r>
      <w:r w:rsidR="00CF4907">
        <w:rPr>
          <w:rFonts w:ascii="Calibri Light" w:eastAsia="Calibri" w:hAnsi="Calibri Light" w:cs="Calibri Light"/>
          <w:sz w:val="23"/>
          <w:szCs w:val="23"/>
        </w:rPr>
        <w:t xml:space="preserve"> developed for communities in the three localities</w:t>
      </w:r>
      <w:r w:rsidR="004E0066">
        <w:rPr>
          <w:rFonts w:ascii="Calibri Light" w:eastAsia="Calibri" w:hAnsi="Calibri Light" w:cs="Calibri Light"/>
          <w:sz w:val="23"/>
          <w:szCs w:val="23"/>
        </w:rPr>
        <w:t xml:space="preserve">, and the engagement strategies </w:t>
      </w:r>
      <w:r w:rsidR="006F01FD">
        <w:rPr>
          <w:rFonts w:ascii="Calibri Light" w:eastAsia="Calibri" w:hAnsi="Calibri Light" w:cs="Calibri Light"/>
          <w:sz w:val="23"/>
          <w:szCs w:val="23"/>
        </w:rPr>
        <w:t>used to realise them</w:t>
      </w:r>
      <w:r w:rsidRPr="561FE19E">
        <w:rPr>
          <w:rFonts w:ascii="Calibri Light" w:eastAsia="Calibri" w:hAnsi="Calibri Light" w:cs="Calibri Light"/>
          <w:sz w:val="23"/>
          <w:szCs w:val="23"/>
        </w:rPr>
        <w:t>.</w:t>
      </w:r>
    </w:p>
    <w:p w14:paraId="0FE14971" w14:textId="6A84639E" w:rsidR="00962A1C" w:rsidRDefault="00962A1C" w:rsidP="00173A3F">
      <w:pPr>
        <w:spacing w:after="0" w:line="240" w:lineRule="auto"/>
        <w:rPr>
          <w:b/>
          <w:bCs/>
          <w:color w:val="2F5496" w:themeColor="accent1" w:themeShade="BF"/>
          <w:sz w:val="36"/>
          <w:szCs w:val="36"/>
        </w:rPr>
      </w:pPr>
      <w:r>
        <w:rPr>
          <w:b/>
          <w:bCs/>
          <w:color w:val="2F5496" w:themeColor="accent1" w:themeShade="BF"/>
          <w:sz w:val="36"/>
          <w:szCs w:val="36"/>
        </w:rPr>
        <w:lastRenderedPageBreak/>
        <w:t>REFERENCES</w:t>
      </w:r>
    </w:p>
    <w:p w14:paraId="0A3E5005" w14:textId="77777777" w:rsidR="00F10872" w:rsidRPr="00F10872" w:rsidRDefault="00F10872" w:rsidP="00173A3F">
      <w:pPr>
        <w:pStyle w:val="Default"/>
        <w:rPr>
          <w:rFonts w:asciiTheme="minorHAnsi" w:hAnsiTheme="minorHAnsi" w:cstheme="minorBidi"/>
          <w:b/>
          <w:color w:val="2F5496" w:themeColor="accent1" w:themeShade="BF"/>
          <w:sz w:val="23"/>
          <w:szCs w:val="23"/>
        </w:rPr>
      </w:pPr>
    </w:p>
    <w:p w14:paraId="595706CD" w14:textId="653ABE48" w:rsidR="00F10872" w:rsidRPr="00C52332" w:rsidRDefault="00F10872" w:rsidP="00173A3F">
      <w:pPr>
        <w:pStyle w:val="Default"/>
        <w:rPr>
          <w:rFonts w:asciiTheme="minorHAnsi" w:hAnsiTheme="minorHAnsi" w:cstheme="minorBidi"/>
          <w:b/>
          <w:color w:val="2F5496" w:themeColor="accent1" w:themeShade="BF"/>
          <w:sz w:val="36"/>
          <w:szCs w:val="36"/>
        </w:rPr>
      </w:pPr>
      <w:r w:rsidRPr="00C52332">
        <w:rPr>
          <w:rFonts w:asciiTheme="minorHAnsi" w:hAnsiTheme="minorHAnsi" w:cstheme="minorBidi"/>
          <w:b/>
          <w:color w:val="2F5496" w:themeColor="accent1" w:themeShade="BF"/>
          <w:sz w:val="36"/>
          <w:szCs w:val="36"/>
        </w:rPr>
        <w:t xml:space="preserve">Executive </w:t>
      </w:r>
      <w:r w:rsidRPr="00C52332">
        <w:rPr>
          <w:rFonts w:asciiTheme="minorHAnsi" w:hAnsiTheme="minorHAnsi" w:cstheme="minorBidi"/>
          <w:b/>
          <w:bCs/>
          <w:color w:val="2F5496" w:themeColor="accent1" w:themeShade="BF"/>
          <w:sz w:val="36"/>
          <w:szCs w:val="36"/>
        </w:rPr>
        <w:t>Summary</w:t>
      </w:r>
    </w:p>
    <w:p w14:paraId="27CD9FA8" w14:textId="77777777" w:rsidR="00F10872" w:rsidRPr="00F10872" w:rsidRDefault="00F10872" w:rsidP="00173A3F">
      <w:pPr>
        <w:pStyle w:val="Default"/>
        <w:rPr>
          <w:rFonts w:asciiTheme="minorHAnsi" w:hAnsiTheme="minorHAnsi" w:cstheme="minorBidi"/>
          <w:b/>
          <w:color w:val="2F5496" w:themeColor="accent1" w:themeShade="BF"/>
          <w:sz w:val="23"/>
          <w:szCs w:val="23"/>
        </w:rPr>
      </w:pPr>
    </w:p>
    <w:p w14:paraId="7AACD5BD" w14:textId="46DD1FDD" w:rsidR="00F10872" w:rsidRPr="008410D0" w:rsidRDefault="00F10872" w:rsidP="00173A3F">
      <w:pPr>
        <w:pStyle w:val="EndNoteBibliography"/>
        <w:ind w:left="720" w:hanging="720"/>
        <w:rPr>
          <w:rFonts w:asciiTheme="majorHAnsi" w:hAnsiTheme="majorHAnsi" w:cstheme="majorHAnsi"/>
          <w:noProof/>
        </w:rPr>
      </w:pPr>
      <w:r w:rsidRPr="008410D0">
        <w:rPr>
          <w:rFonts w:asciiTheme="majorHAnsi" w:hAnsiTheme="majorHAnsi" w:cstheme="majorHAnsi"/>
          <w:noProof/>
        </w:rPr>
        <w:t>Deakin</w:t>
      </w:r>
      <w:r w:rsidR="00173A3F">
        <w:rPr>
          <w:rFonts w:asciiTheme="majorHAnsi" w:hAnsiTheme="majorHAnsi" w:cstheme="majorHAnsi"/>
          <w:noProof/>
        </w:rPr>
        <w:t xml:space="preserve"> University (n.d.)</w:t>
      </w:r>
      <w:r w:rsidRPr="008410D0">
        <w:rPr>
          <w:rFonts w:asciiTheme="majorHAnsi" w:hAnsiTheme="majorHAnsi" w:cstheme="majorHAnsi"/>
          <w:noProof/>
        </w:rPr>
        <w:t>. Systems Thinking in Community Knowledge Exchange. Retrieved from https://sticke2.deakin.edu.au/</w:t>
      </w:r>
    </w:p>
    <w:p w14:paraId="5390A9BF" w14:textId="4C6B8314" w:rsidR="00F10872" w:rsidRPr="008410D0" w:rsidRDefault="00F10872" w:rsidP="00173A3F">
      <w:pPr>
        <w:pStyle w:val="EndNoteBibliography"/>
        <w:ind w:left="720" w:hanging="720"/>
        <w:rPr>
          <w:rFonts w:asciiTheme="majorHAnsi" w:hAnsiTheme="majorHAnsi" w:cstheme="majorHAnsi"/>
          <w:noProof/>
        </w:rPr>
      </w:pPr>
      <w:r w:rsidRPr="008410D0">
        <w:rPr>
          <w:rFonts w:asciiTheme="majorHAnsi" w:hAnsiTheme="majorHAnsi" w:cstheme="majorHAnsi"/>
          <w:noProof/>
        </w:rPr>
        <w:t xml:space="preserve">Montague, M., &amp; Stubbings, K. (2021). </w:t>
      </w:r>
      <w:r w:rsidR="00173A3F" w:rsidRPr="008410D0">
        <w:rPr>
          <w:rFonts w:asciiTheme="majorHAnsi" w:hAnsiTheme="majorHAnsi" w:cstheme="majorHAnsi"/>
          <w:i/>
          <w:noProof/>
        </w:rPr>
        <w:t>Pandemic Impact On Women In Greater Geelong: A Community Research Project</w:t>
      </w:r>
      <w:r w:rsidR="00173A3F" w:rsidRPr="008410D0">
        <w:rPr>
          <w:rFonts w:asciiTheme="majorHAnsi" w:hAnsiTheme="majorHAnsi" w:cstheme="majorHAnsi"/>
          <w:noProof/>
        </w:rPr>
        <w:t>.</w:t>
      </w:r>
    </w:p>
    <w:p w14:paraId="6FCCE86A" w14:textId="77777777" w:rsidR="00F10872" w:rsidRPr="008410D0" w:rsidRDefault="00F10872" w:rsidP="00173A3F">
      <w:pPr>
        <w:pStyle w:val="EndNoteBibliography"/>
        <w:ind w:left="720" w:hanging="720"/>
        <w:rPr>
          <w:rFonts w:asciiTheme="majorHAnsi" w:hAnsiTheme="majorHAnsi" w:cstheme="majorHAnsi"/>
          <w:noProof/>
        </w:rPr>
      </w:pPr>
      <w:r w:rsidRPr="008410D0">
        <w:rPr>
          <w:rFonts w:asciiTheme="majorHAnsi" w:hAnsiTheme="majorHAnsi" w:cstheme="majorHAnsi"/>
          <w:noProof/>
        </w:rPr>
        <w:t xml:space="preserve">O'Mara-Eves, A., Brunton, G., Oliver, S., Kavanagh, J., Jamal, F., &amp; Thomas, J. (2015). The effectiveness of community engagement in public health interventions for disadvantaged groups: A meta-analysis. </w:t>
      </w:r>
      <w:r w:rsidRPr="008410D0">
        <w:rPr>
          <w:rFonts w:asciiTheme="majorHAnsi" w:hAnsiTheme="majorHAnsi" w:cstheme="majorHAnsi"/>
          <w:i/>
          <w:noProof/>
        </w:rPr>
        <w:t>BMC Public Health, 15</w:t>
      </w:r>
      <w:r w:rsidRPr="008410D0">
        <w:rPr>
          <w:rFonts w:asciiTheme="majorHAnsi" w:hAnsiTheme="majorHAnsi" w:cstheme="majorHAnsi"/>
          <w:noProof/>
        </w:rPr>
        <w:t>(1). doi:10.1186/s12889-015-1352-y</w:t>
      </w:r>
    </w:p>
    <w:p w14:paraId="6207049A" w14:textId="5CB33CBE" w:rsidR="00F10872" w:rsidRDefault="00F10872" w:rsidP="778E395A">
      <w:pPr>
        <w:pStyle w:val="EndNoteBibliography"/>
        <w:ind w:left="720" w:hanging="720"/>
        <w:rPr>
          <w:rFonts w:asciiTheme="minorHAnsi" w:eastAsiaTheme="minorEastAsia" w:hAnsiTheme="minorHAnsi" w:cstheme="minorBidi"/>
          <w:noProof/>
          <w:szCs w:val="22"/>
        </w:rPr>
      </w:pPr>
      <w:r w:rsidRPr="778E395A">
        <w:rPr>
          <w:rFonts w:asciiTheme="majorHAnsi" w:hAnsiTheme="majorHAnsi" w:cstheme="majorBidi"/>
          <w:noProof/>
        </w:rPr>
        <w:t>Sanders, E. N., &amp; Stappers, P. (2008). Co-creation and the new landscapes of design. CoDesign, 4(1), 5-18</w:t>
      </w:r>
    </w:p>
    <w:p w14:paraId="0CBC07FD" w14:textId="58444A3B" w:rsidR="60EDF65C" w:rsidRDefault="60EDF65C" w:rsidP="778E395A">
      <w:pPr>
        <w:pStyle w:val="EndNoteBibliography"/>
        <w:ind w:left="720" w:hanging="720"/>
        <w:rPr>
          <w:rFonts w:asciiTheme="majorHAnsi" w:eastAsiaTheme="majorEastAsia" w:hAnsiTheme="majorHAnsi" w:cstheme="majorBidi"/>
          <w:noProof/>
          <w:szCs w:val="22"/>
        </w:rPr>
      </w:pPr>
      <w:r w:rsidRPr="778E395A">
        <w:rPr>
          <w:rFonts w:asciiTheme="majorHAnsi" w:eastAsiaTheme="majorEastAsia" w:hAnsiTheme="majorHAnsi" w:cstheme="majorBidi"/>
          <w:noProof/>
        </w:rPr>
        <w:t>Tucker, R., Andrews, F., Frawley, P., Johnson, L</w:t>
      </w:r>
      <w:r w:rsidRPr="778E395A">
        <w:rPr>
          <w:rFonts w:asciiTheme="majorHAnsi" w:eastAsiaTheme="majorEastAsia" w:hAnsiTheme="majorHAnsi" w:cstheme="majorBidi"/>
          <w:b/>
          <w:bCs/>
          <w:noProof/>
        </w:rPr>
        <w:t>.,</w:t>
      </w:r>
      <w:r w:rsidRPr="778E395A">
        <w:rPr>
          <w:rFonts w:asciiTheme="majorHAnsi" w:eastAsiaTheme="majorEastAsia" w:hAnsiTheme="majorHAnsi" w:cstheme="majorBidi"/>
          <w:noProof/>
        </w:rPr>
        <w:t xml:space="preserve"> Murfitt, K., Aedy, K., Ang, S., Gartrell, A., Henderson-Wilson, C., Jackson, M.A., Kaushik, S., de Jong, U., Jones, D., Watchorn, V., Kelly, D. (2019) </w:t>
      </w:r>
      <w:r w:rsidRPr="778E395A">
        <w:rPr>
          <w:rFonts w:asciiTheme="majorHAnsi" w:eastAsiaTheme="majorEastAsia" w:hAnsiTheme="majorHAnsi" w:cstheme="majorBidi"/>
          <w:i/>
          <w:iCs/>
          <w:noProof/>
        </w:rPr>
        <w:t>Accessible and Inclusive Geelong Feasibility Study.</w:t>
      </w:r>
      <w:r w:rsidRPr="778E395A">
        <w:rPr>
          <w:rFonts w:asciiTheme="majorHAnsi" w:eastAsiaTheme="majorEastAsia" w:hAnsiTheme="majorHAnsi" w:cstheme="majorBidi"/>
          <w:noProof/>
        </w:rPr>
        <w:t xml:space="preserve"> Published report to the Department of Health and Human Services, Geelong, Vict. 130pp.</w:t>
      </w:r>
    </w:p>
    <w:p w14:paraId="626E1BB1" w14:textId="77777777" w:rsidR="00F10872" w:rsidRPr="008410D0" w:rsidRDefault="00F10872" w:rsidP="00173A3F">
      <w:pPr>
        <w:pStyle w:val="EndNoteBibliography"/>
        <w:ind w:left="720" w:hanging="720"/>
        <w:rPr>
          <w:rFonts w:asciiTheme="majorHAnsi" w:hAnsiTheme="majorHAnsi" w:cstheme="majorHAnsi"/>
          <w:noProof/>
        </w:rPr>
      </w:pPr>
      <w:r w:rsidRPr="008410D0">
        <w:rPr>
          <w:rFonts w:asciiTheme="majorHAnsi" w:hAnsiTheme="majorHAnsi" w:cstheme="majorHAnsi"/>
          <w:noProof/>
        </w:rPr>
        <w:t xml:space="preserve">Wood, M. (2001). </w:t>
      </w:r>
      <w:r w:rsidRPr="008410D0">
        <w:rPr>
          <w:rFonts w:asciiTheme="majorHAnsi" w:hAnsiTheme="majorHAnsi" w:cstheme="majorHAnsi"/>
          <w:i/>
          <w:noProof/>
        </w:rPr>
        <w:t>Resident Participation, social cohesion and sustainability in neighbourhood renewal: developing best practice models1.</w:t>
      </w:r>
      <w:r w:rsidRPr="008410D0">
        <w:rPr>
          <w:rFonts w:asciiTheme="majorHAnsi" w:hAnsiTheme="majorHAnsi" w:cstheme="majorHAnsi"/>
          <w:noProof/>
        </w:rPr>
        <w:t xml:space="preserve"> Paper presented at the Paper presented at National Housing Conference.</w:t>
      </w:r>
    </w:p>
    <w:p w14:paraId="73EE9862" w14:textId="2383E3EE" w:rsidR="00962A1C" w:rsidRDefault="00962A1C" w:rsidP="00173A3F">
      <w:pPr>
        <w:spacing w:after="0" w:line="240" w:lineRule="auto"/>
        <w:rPr>
          <w:b/>
          <w:bCs/>
          <w:sz w:val="23"/>
          <w:szCs w:val="23"/>
        </w:rPr>
      </w:pPr>
    </w:p>
    <w:p w14:paraId="50CC954C" w14:textId="6C2982DF" w:rsidR="0098093C" w:rsidRPr="004A3DCA" w:rsidRDefault="001D7E99" w:rsidP="00173A3F">
      <w:pPr>
        <w:spacing w:after="0" w:line="240" w:lineRule="auto"/>
        <w:rPr>
          <w:rFonts w:eastAsiaTheme="minorEastAsia"/>
          <w:b/>
          <w:bCs/>
          <w:color w:val="2F5496" w:themeColor="accent1" w:themeShade="BF"/>
          <w:sz w:val="32"/>
          <w:szCs w:val="32"/>
          <w:lang w:val="en-GB" w:eastAsia="en-AU"/>
        </w:rPr>
      </w:pPr>
      <w:r w:rsidRPr="004A3DCA">
        <w:rPr>
          <w:rFonts w:eastAsiaTheme="minorEastAsia"/>
          <w:b/>
          <w:bCs/>
          <w:color w:val="2F5496" w:themeColor="accent1" w:themeShade="BF"/>
          <w:sz w:val="32"/>
          <w:szCs w:val="32"/>
          <w:lang w:val="en-GB" w:eastAsia="en-AU"/>
        </w:rPr>
        <w:t>Part A</w:t>
      </w:r>
      <w:r w:rsidR="004A3DCA" w:rsidRPr="004A3DCA">
        <w:rPr>
          <w:rFonts w:eastAsiaTheme="minorEastAsia"/>
          <w:b/>
          <w:bCs/>
          <w:color w:val="2F5496" w:themeColor="accent1" w:themeShade="BF"/>
          <w:sz w:val="32"/>
          <w:szCs w:val="32"/>
          <w:lang w:val="en-GB" w:eastAsia="en-AU"/>
        </w:rPr>
        <w:t>: Environmental Scan</w:t>
      </w:r>
    </w:p>
    <w:p w14:paraId="33C13AC0" w14:textId="77777777" w:rsidR="0098093C" w:rsidRPr="003E50BA" w:rsidRDefault="0098093C" w:rsidP="00173A3F">
      <w:pPr>
        <w:spacing w:after="0" w:line="240" w:lineRule="auto"/>
        <w:rPr>
          <w:rFonts w:eastAsiaTheme="minorEastAsia"/>
          <w:b/>
          <w:bCs/>
          <w:sz w:val="23"/>
          <w:szCs w:val="23"/>
          <w:lang w:val="en-GB" w:eastAsia="en-AU"/>
        </w:rPr>
      </w:pPr>
    </w:p>
    <w:p w14:paraId="2E981AC0" w14:textId="4194EA7A" w:rsidR="001D7E99" w:rsidRPr="005B7060" w:rsidRDefault="001D7E99" w:rsidP="00173A3F">
      <w:pPr>
        <w:spacing w:after="0" w:line="240" w:lineRule="auto"/>
        <w:rPr>
          <w:rFonts w:eastAsiaTheme="minorEastAsia"/>
          <w:b/>
          <w:bCs/>
          <w:color w:val="2F5496" w:themeColor="accent1" w:themeShade="BF"/>
          <w:sz w:val="28"/>
          <w:szCs w:val="28"/>
          <w:lang w:val="en-GB" w:eastAsia="en-AU"/>
        </w:rPr>
      </w:pPr>
      <w:r w:rsidRPr="005B7060">
        <w:rPr>
          <w:rFonts w:eastAsiaTheme="minorEastAsia"/>
          <w:b/>
          <w:bCs/>
          <w:color w:val="2F5496" w:themeColor="accent1" w:themeShade="BF"/>
          <w:sz w:val="28"/>
          <w:szCs w:val="28"/>
          <w:lang w:val="en-GB" w:eastAsia="en-AU"/>
        </w:rPr>
        <w:t>Introduction</w:t>
      </w:r>
    </w:p>
    <w:p w14:paraId="7BBB7F28" w14:textId="77777777" w:rsidR="001D7E99" w:rsidRPr="003E50BA" w:rsidRDefault="001D7E99" w:rsidP="00173A3F">
      <w:pPr>
        <w:spacing w:after="0" w:line="240" w:lineRule="auto"/>
        <w:rPr>
          <w:rFonts w:eastAsiaTheme="minorEastAsia"/>
          <w:b/>
          <w:bCs/>
          <w:sz w:val="23"/>
          <w:szCs w:val="23"/>
          <w:lang w:val="en-GB" w:eastAsia="en-AU"/>
        </w:rPr>
      </w:pPr>
    </w:p>
    <w:p w14:paraId="1C470FA5" w14:textId="77777777" w:rsidR="001D7E99" w:rsidRPr="00626536" w:rsidRDefault="001D7E99" w:rsidP="00173A3F">
      <w:pPr>
        <w:pStyle w:val="EndNoteBibliography"/>
        <w:ind w:left="720" w:hanging="720"/>
        <w:rPr>
          <w:rFonts w:asciiTheme="majorHAnsi" w:hAnsiTheme="majorHAnsi" w:cstheme="majorHAnsi"/>
          <w:noProof/>
        </w:rPr>
      </w:pPr>
      <w:r w:rsidRPr="00626536">
        <w:rPr>
          <w:rFonts w:asciiTheme="majorHAnsi" w:hAnsiTheme="majorHAnsi" w:cstheme="majorHAnsi"/>
          <w:noProof/>
        </w:rPr>
        <w:t xml:space="preserve">Badland, H., Whitzman, C., Lowe, M., Davern, M., Aye, L., Butterworth, I., . . . Giles-Corti, B. (2014). Urban liveability: emerging lessons from Australia for exploring the potential for indicators to measure the social determinants of health. </w:t>
      </w:r>
      <w:r w:rsidRPr="00626536">
        <w:rPr>
          <w:rFonts w:asciiTheme="majorHAnsi" w:hAnsiTheme="majorHAnsi" w:cstheme="majorHAnsi"/>
          <w:i/>
          <w:noProof/>
        </w:rPr>
        <w:t>Social Science &amp; Medicine, 111</w:t>
      </w:r>
      <w:r w:rsidRPr="00626536">
        <w:rPr>
          <w:rFonts w:asciiTheme="majorHAnsi" w:hAnsiTheme="majorHAnsi" w:cstheme="majorHAnsi"/>
          <w:noProof/>
        </w:rPr>
        <w:t xml:space="preserve">, 64-73. </w:t>
      </w:r>
    </w:p>
    <w:p w14:paraId="6D2FE2E3" w14:textId="77777777" w:rsidR="001D7E99" w:rsidRPr="00626536" w:rsidRDefault="001D7E99" w:rsidP="00173A3F">
      <w:pPr>
        <w:pStyle w:val="EndNoteBibliography"/>
        <w:ind w:left="720" w:hanging="720"/>
        <w:rPr>
          <w:rFonts w:asciiTheme="majorHAnsi" w:hAnsiTheme="majorHAnsi" w:cstheme="majorHAnsi"/>
          <w:noProof/>
        </w:rPr>
      </w:pPr>
      <w:r w:rsidRPr="00626536">
        <w:rPr>
          <w:rFonts w:asciiTheme="majorHAnsi" w:hAnsiTheme="majorHAnsi" w:cstheme="majorHAnsi"/>
          <w:noProof/>
        </w:rPr>
        <w:t xml:space="preserve">Herrman, T., &amp; Lewis, R. (2017). </w:t>
      </w:r>
      <w:r w:rsidRPr="00626536">
        <w:rPr>
          <w:rFonts w:asciiTheme="majorHAnsi" w:hAnsiTheme="majorHAnsi" w:cstheme="majorHAnsi"/>
          <w:i/>
          <w:noProof/>
        </w:rPr>
        <w:t>What is Livability?</w:t>
      </w:r>
      <w:r w:rsidRPr="00626536">
        <w:rPr>
          <w:rFonts w:asciiTheme="majorHAnsi" w:hAnsiTheme="majorHAnsi" w:cstheme="majorHAnsi"/>
          <w:noProof/>
        </w:rPr>
        <w:t xml:space="preserve"> Retrieved from Oregoc: </w:t>
      </w:r>
    </w:p>
    <w:p w14:paraId="61201646" w14:textId="77777777" w:rsidR="001D7E99" w:rsidRPr="00626536" w:rsidRDefault="001D7E99" w:rsidP="00173A3F">
      <w:pPr>
        <w:pStyle w:val="EndNoteBibliography"/>
        <w:ind w:left="720" w:hanging="720"/>
        <w:rPr>
          <w:rFonts w:asciiTheme="majorHAnsi" w:hAnsiTheme="majorHAnsi" w:cstheme="majorHAnsi"/>
          <w:noProof/>
        </w:rPr>
      </w:pPr>
      <w:r w:rsidRPr="00626536">
        <w:rPr>
          <w:rFonts w:asciiTheme="majorHAnsi" w:hAnsiTheme="majorHAnsi" w:cstheme="majorHAnsi"/>
          <w:noProof/>
        </w:rPr>
        <w:t xml:space="preserve">Kaal, H. (2011). A conceptual history of livability: Dutch scientists, politicians, policy makers and citizens and the quest for a livable city. </w:t>
      </w:r>
      <w:r w:rsidRPr="00626536">
        <w:rPr>
          <w:rFonts w:asciiTheme="majorHAnsi" w:hAnsiTheme="majorHAnsi" w:cstheme="majorHAnsi"/>
          <w:i/>
          <w:noProof/>
        </w:rPr>
        <w:t>City, 15</w:t>
      </w:r>
      <w:r w:rsidRPr="00626536">
        <w:rPr>
          <w:rFonts w:asciiTheme="majorHAnsi" w:hAnsiTheme="majorHAnsi" w:cstheme="majorHAnsi"/>
          <w:noProof/>
        </w:rPr>
        <w:t xml:space="preserve">(5), 532-547. </w:t>
      </w:r>
    </w:p>
    <w:p w14:paraId="2703665B" w14:textId="77777777" w:rsidR="001D7E99" w:rsidRPr="00626536" w:rsidRDefault="001D7E99" w:rsidP="00173A3F">
      <w:pPr>
        <w:pStyle w:val="EndNoteBibliography"/>
        <w:ind w:left="720" w:hanging="720"/>
        <w:rPr>
          <w:rFonts w:asciiTheme="majorHAnsi" w:hAnsiTheme="majorHAnsi" w:cstheme="majorHAnsi"/>
          <w:noProof/>
        </w:rPr>
      </w:pPr>
      <w:r w:rsidRPr="00626536">
        <w:rPr>
          <w:rFonts w:asciiTheme="majorHAnsi" w:hAnsiTheme="majorHAnsi" w:cstheme="majorHAnsi"/>
          <w:noProof/>
        </w:rPr>
        <w:t xml:space="preserve">Lowe, M., Whitzman, C., Badland, H., Davern, M., Hes, D., Aye, L., . . . Giles-Corti, B. (2013). Liveable, healthy, sustainable: What are the key indicators for Melbourne neighbourhoods. </w:t>
      </w:r>
      <w:r w:rsidRPr="00626536">
        <w:rPr>
          <w:rFonts w:asciiTheme="majorHAnsi" w:hAnsiTheme="majorHAnsi" w:cstheme="majorHAnsi"/>
          <w:i/>
          <w:noProof/>
        </w:rPr>
        <w:t>Research paper, 1</w:t>
      </w:r>
      <w:r w:rsidRPr="00626536">
        <w:rPr>
          <w:rFonts w:asciiTheme="majorHAnsi" w:hAnsiTheme="majorHAnsi" w:cstheme="majorHAnsi"/>
          <w:noProof/>
        </w:rPr>
        <w:t xml:space="preserve">. </w:t>
      </w:r>
    </w:p>
    <w:p w14:paraId="487A6C40" w14:textId="77777777" w:rsidR="001D7E99" w:rsidRPr="00626536" w:rsidRDefault="001D7E99" w:rsidP="00173A3F">
      <w:pPr>
        <w:pStyle w:val="EndNoteBibliography"/>
        <w:ind w:left="720" w:hanging="720"/>
        <w:rPr>
          <w:rFonts w:asciiTheme="majorHAnsi" w:hAnsiTheme="majorHAnsi" w:cstheme="majorHAnsi"/>
          <w:noProof/>
        </w:rPr>
      </w:pPr>
      <w:r w:rsidRPr="00626536">
        <w:rPr>
          <w:rFonts w:asciiTheme="majorHAnsi" w:hAnsiTheme="majorHAnsi" w:cstheme="majorHAnsi"/>
          <w:noProof/>
        </w:rPr>
        <w:t xml:space="preserve">Perkins, N. D. (2008). Livability, regional equity, and capability: closing in on sustainable land use. </w:t>
      </w:r>
      <w:r w:rsidRPr="00626536">
        <w:rPr>
          <w:rFonts w:asciiTheme="majorHAnsi" w:hAnsiTheme="majorHAnsi" w:cstheme="majorHAnsi"/>
          <w:i/>
          <w:noProof/>
        </w:rPr>
        <w:t>University of Baltimore Law Review, 37</w:t>
      </w:r>
      <w:r w:rsidRPr="00626536">
        <w:rPr>
          <w:rFonts w:asciiTheme="majorHAnsi" w:hAnsiTheme="majorHAnsi" w:cstheme="majorHAnsi"/>
          <w:noProof/>
        </w:rPr>
        <w:t xml:space="preserve">(2), 2. </w:t>
      </w:r>
    </w:p>
    <w:p w14:paraId="089253B9" w14:textId="77777777" w:rsidR="0098093C" w:rsidRPr="002A7CF5" w:rsidRDefault="0098093C" w:rsidP="00173A3F">
      <w:pPr>
        <w:spacing w:after="0" w:line="240" w:lineRule="auto"/>
        <w:rPr>
          <w:rFonts w:eastAsiaTheme="minorEastAsia" w:cstheme="minorHAnsi"/>
          <w:b/>
          <w:bCs/>
          <w:color w:val="2F5496" w:themeColor="accent1" w:themeShade="BF"/>
          <w:sz w:val="16"/>
          <w:szCs w:val="16"/>
        </w:rPr>
      </w:pPr>
    </w:p>
    <w:p w14:paraId="70A2A6C9" w14:textId="08F41362" w:rsidR="0098093C" w:rsidRPr="005B7060" w:rsidRDefault="0098093C" w:rsidP="00173A3F">
      <w:pPr>
        <w:spacing w:after="0" w:line="240" w:lineRule="auto"/>
        <w:rPr>
          <w:rFonts w:eastAsiaTheme="minorEastAsia" w:cstheme="minorHAnsi"/>
          <w:b/>
          <w:bCs/>
          <w:color w:val="2F5496" w:themeColor="accent1" w:themeShade="BF"/>
          <w:sz w:val="28"/>
          <w:szCs w:val="28"/>
        </w:rPr>
      </w:pPr>
      <w:r w:rsidRPr="005B7060">
        <w:rPr>
          <w:rFonts w:eastAsiaTheme="minorEastAsia" w:cstheme="minorHAnsi"/>
          <w:b/>
          <w:bCs/>
          <w:color w:val="2F5496" w:themeColor="accent1" w:themeShade="BF"/>
          <w:sz w:val="28"/>
          <w:szCs w:val="28"/>
        </w:rPr>
        <w:t>Section 1: Conceptual Frameworks</w:t>
      </w:r>
    </w:p>
    <w:p w14:paraId="2AE57145" w14:textId="77777777" w:rsidR="0098093C" w:rsidRPr="001137A9" w:rsidRDefault="0098093C" w:rsidP="00173A3F">
      <w:pPr>
        <w:spacing w:after="0" w:line="240" w:lineRule="auto"/>
        <w:rPr>
          <w:rFonts w:eastAsiaTheme="minorEastAsia"/>
          <w:b/>
          <w:bCs/>
          <w:sz w:val="16"/>
          <w:szCs w:val="16"/>
        </w:rPr>
      </w:pPr>
    </w:p>
    <w:p w14:paraId="3F372E78"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Baum, S., R. Stimson, et al. (1999). Community Opportunity and Vulnerability in Australia's Cities and Towns. Melbourne, Australian Housing and Urban Research Institute. </w:t>
      </w:r>
    </w:p>
    <w:p w14:paraId="42FE9998"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Beer, A. (2009)</w:t>
      </w:r>
      <w:r>
        <w:rPr>
          <w:rFonts w:asciiTheme="majorHAnsi" w:eastAsia="Times New Roman" w:hAnsiTheme="majorHAnsi" w:cstheme="majorHAnsi"/>
          <w:sz w:val="23"/>
          <w:szCs w:val="23"/>
        </w:rPr>
        <w:t>.</w:t>
      </w:r>
      <w:r w:rsidRPr="001137A9">
        <w:rPr>
          <w:rFonts w:asciiTheme="majorHAnsi" w:eastAsia="Times New Roman" w:hAnsiTheme="majorHAnsi" w:cstheme="majorHAnsi"/>
          <w:sz w:val="23"/>
          <w:szCs w:val="23"/>
        </w:rPr>
        <w:t xml:space="preserve"> “The theory and practice of developing locally” in j. Rowe (ed) </w:t>
      </w:r>
      <w:r w:rsidRPr="001137A9">
        <w:rPr>
          <w:rFonts w:asciiTheme="majorHAnsi" w:eastAsia="Times New Roman" w:hAnsiTheme="majorHAnsi" w:cstheme="majorHAnsi"/>
          <w:i/>
          <w:iCs/>
          <w:sz w:val="23"/>
          <w:szCs w:val="23"/>
        </w:rPr>
        <w:t>Theories of local economic development: linking theory to practice</w:t>
      </w:r>
      <w:r w:rsidRPr="001137A9">
        <w:rPr>
          <w:rFonts w:asciiTheme="majorHAnsi" w:eastAsia="Times New Roman" w:hAnsiTheme="majorHAnsi" w:cstheme="majorHAnsi"/>
          <w:sz w:val="23"/>
          <w:szCs w:val="23"/>
        </w:rPr>
        <w:t xml:space="preserve"> Thousand Oaks: Sage.</w:t>
      </w:r>
    </w:p>
    <w:p w14:paraId="3C573A8E"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Burke, T. and D. Hayward (2000). Housing Past, Housing Futures: Melbourne Metropolitan Strategy Technical Report 4. Melbourne, Department of Infrastructure.</w:t>
      </w:r>
    </w:p>
    <w:p w14:paraId="796E275C"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Cameron, J. and Gibson, K. (2005a)</w:t>
      </w:r>
      <w:r>
        <w:rPr>
          <w:rFonts w:asciiTheme="majorHAnsi" w:eastAsia="Times New Roman" w:hAnsiTheme="majorHAnsi" w:cstheme="majorHAnsi"/>
          <w:sz w:val="23"/>
          <w:szCs w:val="23"/>
        </w:rPr>
        <w:t>.</w:t>
      </w:r>
      <w:r w:rsidRPr="001137A9">
        <w:rPr>
          <w:rFonts w:asciiTheme="majorHAnsi" w:eastAsia="Times New Roman" w:hAnsiTheme="majorHAnsi" w:cstheme="majorHAnsi"/>
          <w:sz w:val="23"/>
          <w:szCs w:val="23"/>
        </w:rPr>
        <w:t xml:space="preserve"> Representing marginalisation: Finding new avenues for economic and social intervention, State of Australian Cities published paper from http//www.communityeconomies.org Accessed 12.9.2013.</w:t>
      </w:r>
    </w:p>
    <w:p w14:paraId="11E8E318"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Cameron, J. and Gibson, K (2005b)</w:t>
      </w:r>
      <w:r>
        <w:rPr>
          <w:rFonts w:asciiTheme="majorHAnsi" w:eastAsia="Times New Roman" w:hAnsiTheme="majorHAnsi" w:cstheme="majorHAnsi"/>
          <w:sz w:val="23"/>
          <w:szCs w:val="23"/>
        </w:rPr>
        <w:t>.</w:t>
      </w:r>
      <w:r w:rsidRPr="001137A9">
        <w:rPr>
          <w:rFonts w:asciiTheme="majorHAnsi" w:eastAsia="Times New Roman" w:hAnsiTheme="majorHAnsi" w:cstheme="majorHAnsi"/>
          <w:sz w:val="23"/>
          <w:szCs w:val="23"/>
        </w:rPr>
        <w:t xml:space="preserve"> Alternative pathways to community and economic development: The Latrobe Valley Community partnering project, </w:t>
      </w:r>
      <w:r w:rsidRPr="001137A9">
        <w:rPr>
          <w:rFonts w:asciiTheme="majorHAnsi" w:eastAsia="Times New Roman" w:hAnsiTheme="majorHAnsi" w:cstheme="majorHAnsi"/>
          <w:i/>
          <w:iCs/>
          <w:sz w:val="23"/>
          <w:szCs w:val="23"/>
        </w:rPr>
        <w:t>Geographical Research</w:t>
      </w:r>
      <w:r w:rsidRPr="001137A9">
        <w:rPr>
          <w:rFonts w:asciiTheme="majorHAnsi" w:eastAsia="Times New Roman" w:hAnsiTheme="majorHAnsi" w:cstheme="majorHAnsi"/>
          <w:sz w:val="23"/>
          <w:szCs w:val="23"/>
        </w:rPr>
        <w:t xml:space="preserve"> 43 (3), 274-285.</w:t>
      </w:r>
    </w:p>
    <w:p w14:paraId="2E5CCE23"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De Vol, P., Payne, R.K and Smith, T.D. (2006/2011) </w:t>
      </w:r>
      <w:r w:rsidRPr="001137A9">
        <w:rPr>
          <w:rFonts w:asciiTheme="majorHAnsi" w:eastAsia="Times New Roman" w:hAnsiTheme="majorHAnsi" w:cstheme="majorHAnsi"/>
          <w:i/>
          <w:iCs/>
          <w:sz w:val="23"/>
          <w:szCs w:val="23"/>
        </w:rPr>
        <w:t>Bridges out of poverty: Strategies for professionals and communities</w:t>
      </w:r>
      <w:r w:rsidRPr="001137A9">
        <w:rPr>
          <w:rFonts w:asciiTheme="majorHAnsi" w:eastAsia="Times New Roman" w:hAnsiTheme="majorHAnsi" w:cstheme="majorHAnsi"/>
          <w:sz w:val="23"/>
          <w:szCs w:val="23"/>
        </w:rPr>
        <w:t>, Moorabbin: Hawker Brownlow Education.</w:t>
      </w:r>
    </w:p>
    <w:p w14:paraId="395CD3F4"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lastRenderedPageBreak/>
        <w:t xml:space="preserve">Dicken, P. (2011) </w:t>
      </w:r>
      <w:r w:rsidRPr="001137A9">
        <w:rPr>
          <w:rFonts w:asciiTheme="majorHAnsi" w:eastAsia="Times New Roman" w:hAnsiTheme="majorHAnsi" w:cstheme="majorHAnsi"/>
          <w:i/>
          <w:iCs/>
          <w:sz w:val="23"/>
          <w:szCs w:val="23"/>
        </w:rPr>
        <w:t>Global shift: Mapping the changing contours of the world economy</w:t>
      </w:r>
      <w:r w:rsidRPr="001137A9">
        <w:rPr>
          <w:rFonts w:asciiTheme="majorHAnsi" w:eastAsia="Times New Roman" w:hAnsiTheme="majorHAnsi" w:cstheme="majorHAnsi"/>
          <w:sz w:val="23"/>
          <w:szCs w:val="23"/>
        </w:rPr>
        <w:t xml:space="preserve"> Guildford Press, New York.</w:t>
      </w:r>
    </w:p>
    <w:p w14:paraId="393C1D2B"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Dodson, J., Gleeson, B. and Sipe. N. (2004) “Transport disadvantage and social status: A review of literature and methods”, Brisbane: Urban Policy Program, Research Monograph No. 5.</w:t>
      </w:r>
    </w:p>
    <w:p w14:paraId="5237D92E"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England, K. and Ward, K. (eds) (2007) </w:t>
      </w:r>
      <w:r w:rsidRPr="001137A9">
        <w:rPr>
          <w:rFonts w:asciiTheme="majorHAnsi" w:eastAsia="Times New Roman" w:hAnsiTheme="majorHAnsi" w:cstheme="majorHAnsi"/>
          <w:i/>
          <w:iCs/>
          <w:sz w:val="23"/>
          <w:szCs w:val="23"/>
        </w:rPr>
        <w:t xml:space="preserve"> Neoliberalization: States, networks, people Blackwell, Oxford.</w:t>
      </w:r>
    </w:p>
    <w:p w14:paraId="43939C64"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Freebairn, J. (2002) What is full employment today? </w:t>
      </w:r>
      <w:r w:rsidRPr="001137A9">
        <w:rPr>
          <w:rFonts w:asciiTheme="majorHAnsi" w:eastAsia="Times New Roman" w:hAnsiTheme="majorHAnsi" w:cstheme="majorHAnsi"/>
          <w:i/>
          <w:iCs/>
          <w:sz w:val="23"/>
          <w:szCs w:val="23"/>
        </w:rPr>
        <w:t>Insights</w:t>
      </w:r>
      <w:r w:rsidRPr="001137A9">
        <w:rPr>
          <w:rFonts w:asciiTheme="majorHAnsi" w:eastAsia="Times New Roman" w:hAnsiTheme="majorHAnsi" w:cstheme="majorHAnsi"/>
          <w:sz w:val="23"/>
          <w:szCs w:val="23"/>
        </w:rPr>
        <w:t xml:space="preserve"> Melbourne Business and Economics, 12 Nov, 13-17.</w:t>
      </w:r>
    </w:p>
    <w:p w14:paraId="10E38AA3"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Gans, H. (1995) </w:t>
      </w:r>
      <w:r w:rsidRPr="001137A9">
        <w:rPr>
          <w:rFonts w:asciiTheme="majorHAnsi" w:eastAsia="Times New Roman" w:hAnsiTheme="majorHAnsi" w:cstheme="majorHAnsi"/>
          <w:i/>
          <w:iCs/>
          <w:sz w:val="23"/>
          <w:szCs w:val="23"/>
        </w:rPr>
        <w:t>The war against the poor: The underclass and anti-poverty policy</w:t>
      </w:r>
      <w:r w:rsidRPr="001137A9">
        <w:rPr>
          <w:rFonts w:asciiTheme="majorHAnsi" w:eastAsia="Times New Roman" w:hAnsiTheme="majorHAnsi" w:cstheme="majorHAnsi"/>
          <w:sz w:val="23"/>
          <w:szCs w:val="23"/>
        </w:rPr>
        <w:t xml:space="preserve"> Basic Books, New York.</w:t>
      </w:r>
    </w:p>
    <w:p w14:paraId="044A4EAF"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Gibson-Graham, J.K. (1996) </w:t>
      </w:r>
      <w:r w:rsidRPr="001137A9">
        <w:rPr>
          <w:rFonts w:asciiTheme="majorHAnsi" w:eastAsia="Times New Roman" w:hAnsiTheme="majorHAnsi" w:cstheme="majorHAnsi"/>
          <w:i/>
          <w:iCs/>
          <w:sz w:val="23"/>
          <w:szCs w:val="23"/>
        </w:rPr>
        <w:t xml:space="preserve">The end of capitalism (as we knew it): A feminist critique of political economy </w:t>
      </w:r>
      <w:r w:rsidRPr="001137A9">
        <w:rPr>
          <w:rFonts w:asciiTheme="majorHAnsi" w:eastAsia="Times New Roman" w:hAnsiTheme="majorHAnsi" w:cstheme="majorHAnsi"/>
          <w:sz w:val="23"/>
          <w:szCs w:val="23"/>
        </w:rPr>
        <w:t>University of Minnesota Press</w:t>
      </w:r>
      <w:r w:rsidRPr="001137A9">
        <w:rPr>
          <w:rFonts w:asciiTheme="majorHAnsi" w:eastAsia="Times New Roman" w:hAnsiTheme="majorHAnsi" w:cstheme="majorHAnsi"/>
          <w:i/>
          <w:iCs/>
          <w:sz w:val="23"/>
          <w:szCs w:val="23"/>
        </w:rPr>
        <w:t>,</w:t>
      </w:r>
      <w:r w:rsidRPr="001137A9">
        <w:rPr>
          <w:rFonts w:asciiTheme="majorHAnsi" w:eastAsia="Times New Roman" w:hAnsiTheme="majorHAnsi" w:cstheme="majorHAnsi"/>
          <w:sz w:val="23"/>
          <w:szCs w:val="23"/>
        </w:rPr>
        <w:t xml:space="preserve"> Minneapolis.</w:t>
      </w:r>
    </w:p>
    <w:p w14:paraId="31B93D48"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Gibson-Graham, J.K. (2006) </w:t>
      </w:r>
      <w:r w:rsidRPr="001137A9">
        <w:rPr>
          <w:rFonts w:asciiTheme="majorHAnsi" w:eastAsia="Times New Roman" w:hAnsiTheme="majorHAnsi" w:cstheme="majorHAnsi"/>
          <w:i/>
          <w:iCs/>
          <w:sz w:val="23"/>
          <w:szCs w:val="23"/>
        </w:rPr>
        <w:t xml:space="preserve">A post-capitalist politics </w:t>
      </w:r>
      <w:r w:rsidRPr="001137A9">
        <w:rPr>
          <w:rFonts w:asciiTheme="majorHAnsi" w:eastAsia="Times New Roman" w:hAnsiTheme="majorHAnsi" w:cstheme="majorHAnsi"/>
          <w:sz w:val="23"/>
          <w:szCs w:val="23"/>
        </w:rPr>
        <w:t>University of Minnesota Press</w:t>
      </w:r>
      <w:r w:rsidRPr="001137A9">
        <w:rPr>
          <w:rFonts w:asciiTheme="majorHAnsi" w:eastAsia="Times New Roman" w:hAnsiTheme="majorHAnsi" w:cstheme="majorHAnsi"/>
          <w:i/>
          <w:iCs/>
          <w:sz w:val="23"/>
          <w:szCs w:val="23"/>
        </w:rPr>
        <w:t>,</w:t>
      </w:r>
      <w:r w:rsidRPr="001137A9">
        <w:rPr>
          <w:rFonts w:asciiTheme="majorHAnsi" w:eastAsia="Times New Roman" w:hAnsiTheme="majorHAnsi" w:cstheme="majorHAnsi"/>
          <w:sz w:val="23"/>
          <w:szCs w:val="23"/>
        </w:rPr>
        <w:t xml:space="preserve"> Minneapolis.</w:t>
      </w:r>
    </w:p>
    <w:p w14:paraId="2A70C55B"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Gleeson, B. (2009)</w:t>
      </w:r>
      <w:r>
        <w:rPr>
          <w:rFonts w:asciiTheme="majorHAnsi" w:eastAsia="Times New Roman" w:hAnsiTheme="majorHAnsi" w:cstheme="majorHAnsi"/>
          <w:sz w:val="23"/>
          <w:szCs w:val="23"/>
        </w:rPr>
        <w:t>.</w:t>
      </w:r>
      <w:r w:rsidRPr="001137A9">
        <w:rPr>
          <w:rFonts w:asciiTheme="majorHAnsi" w:eastAsia="Times New Roman" w:hAnsiTheme="majorHAnsi" w:cstheme="majorHAnsi"/>
          <w:sz w:val="23"/>
          <w:szCs w:val="23"/>
        </w:rPr>
        <w:t xml:space="preserve"> </w:t>
      </w:r>
      <w:r w:rsidRPr="001137A9">
        <w:rPr>
          <w:rFonts w:asciiTheme="majorHAnsi" w:eastAsia="Times New Roman" w:hAnsiTheme="majorHAnsi" w:cstheme="majorHAnsi"/>
          <w:i/>
          <w:iCs/>
          <w:sz w:val="23"/>
          <w:szCs w:val="23"/>
        </w:rPr>
        <w:t>Australian</w:t>
      </w:r>
      <w:r w:rsidRPr="001137A9">
        <w:rPr>
          <w:rFonts w:asciiTheme="majorHAnsi" w:eastAsia="Times New Roman" w:hAnsiTheme="majorHAnsi" w:cstheme="majorHAnsi"/>
          <w:sz w:val="23"/>
          <w:szCs w:val="23"/>
        </w:rPr>
        <w:t xml:space="preserve"> </w:t>
      </w:r>
      <w:r w:rsidRPr="001137A9">
        <w:rPr>
          <w:rFonts w:asciiTheme="majorHAnsi" w:eastAsia="Times New Roman" w:hAnsiTheme="majorHAnsi" w:cstheme="majorHAnsi"/>
          <w:i/>
          <w:iCs/>
          <w:sz w:val="23"/>
          <w:szCs w:val="23"/>
        </w:rPr>
        <w:t>Heartlands: Making space for hope in the suburbs</w:t>
      </w:r>
      <w:r w:rsidRPr="001137A9">
        <w:rPr>
          <w:rFonts w:asciiTheme="majorHAnsi" w:eastAsia="Times New Roman" w:hAnsiTheme="majorHAnsi" w:cstheme="majorHAnsi"/>
          <w:sz w:val="23"/>
          <w:szCs w:val="23"/>
        </w:rPr>
        <w:t xml:space="preserve"> Crows Nest, Allen and Unwin.</w:t>
      </w:r>
    </w:p>
    <w:p w14:paraId="434FF180"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Gorski, P. (2005) “Savage unrealities: Uncovering classism in Ruby Payne’s framework” Unpublished paper available at: http//www.edchnge.org/publications/Savage_Unrealities.pdf Accessed 12.9.2013.</w:t>
      </w:r>
    </w:p>
    <w:p w14:paraId="6CF0933D"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Hack, S. (2011) “building bridges to a better tomorrow” in Northern Colorado Business Report July 1-14. http:www.ncbr.com. Accessed May 13, 2013.</w:t>
      </w:r>
    </w:p>
    <w:p w14:paraId="644D7FE6"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Harvey, D. (1982) </w:t>
      </w:r>
      <w:r w:rsidRPr="001137A9">
        <w:rPr>
          <w:rFonts w:asciiTheme="majorHAnsi" w:eastAsia="Times New Roman" w:hAnsiTheme="majorHAnsi" w:cstheme="majorHAnsi"/>
          <w:i/>
          <w:iCs/>
          <w:sz w:val="23"/>
          <w:szCs w:val="23"/>
        </w:rPr>
        <w:t>The limits to capital</w:t>
      </w:r>
      <w:r w:rsidRPr="001137A9">
        <w:rPr>
          <w:rFonts w:asciiTheme="majorHAnsi" w:eastAsia="Times New Roman" w:hAnsiTheme="majorHAnsi" w:cstheme="majorHAnsi"/>
          <w:sz w:val="23"/>
          <w:szCs w:val="23"/>
        </w:rPr>
        <w:t xml:space="preserve"> Harper Collins, London.</w:t>
      </w:r>
    </w:p>
    <w:p w14:paraId="0C307466"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Harvey, D. (1990) </w:t>
      </w:r>
      <w:r w:rsidRPr="001137A9">
        <w:rPr>
          <w:rFonts w:asciiTheme="majorHAnsi" w:eastAsia="Times New Roman" w:hAnsiTheme="majorHAnsi" w:cstheme="majorHAnsi"/>
          <w:i/>
          <w:iCs/>
          <w:sz w:val="23"/>
          <w:szCs w:val="23"/>
        </w:rPr>
        <w:t>The condition of post-modernity: An enquiry into the origins of cultural change</w:t>
      </w:r>
      <w:r w:rsidRPr="001137A9">
        <w:rPr>
          <w:rFonts w:asciiTheme="majorHAnsi" w:eastAsia="Times New Roman" w:hAnsiTheme="majorHAnsi" w:cstheme="majorHAnsi"/>
          <w:sz w:val="23"/>
          <w:szCs w:val="23"/>
        </w:rPr>
        <w:t xml:space="preserve"> Blackwell, Oxford.</w:t>
      </w:r>
    </w:p>
    <w:p w14:paraId="39EE185D"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Harvey, D. (2001) </w:t>
      </w:r>
      <w:r w:rsidRPr="001137A9">
        <w:rPr>
          <w:rFonts w:asciiTheme="majorHAnsi" w:eastAsia="Times New Roman" w:hAnsiTheme="majorHAnsi" w:cstheme="majorHAnsi"/>
          <w:i/>
          <w:iCs/>
          <w:sz w:val="23"/>
          <w:szCs w:val="23"/>
        </w:rPr>
        <w:t>Spaces of capital: Towards a critical geography</w:t>
      </w:r>
      <w:r w:rsidRPr="001137A9">
        <w:rPr>
          <w:rFonts w:asciiTheme="majorHAnsi" w:eastAsia="Times New Roman" w:hAnsiTheme="majorHAnsi" w:cstheme="majorHAnsi"/>
          <w:sz w:val="23"/>
          <w:szCs w:val="23"/>
        </w:rPr>
        <w:t xml:space="preserve"> Routledge, New York.</w:t>
      </w:r>
    </w:p>
    <w:p w14:paraId="7E29812C"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Hayes, A., Gray, M. and Edwards, B. (2008) Social inclusion: Origins, concepts and key themes, </w:t>
      </w:r>
      <w:r w:rsidRPr="001137A9">
        <w:rPr>
          <w:rFonts w:asciiTheme="majorHAnsi" w:eastAsia="Times New Roman" w:hAnsiTheme="majorHAnsi" w:cstheme="majorHAnsi"/>
          <w:i/>
          <w:iCs/>
          <w:sz w:val="23"/>
          <w:szCs w:val="23"/>
        </w:rPr>
        <w:t>Australian Institute of Family Studies</w:t>
      </w:r>
      <w:r w:rsidRPr="001137A9">
        <w:rPr>
          <w:rFonts w:asciiTheme="majorHAnsi" w:eastAsia="Times New Roman" w:hAnsiTheme="majorHAnsi" w:cstheme="majorHAnsi"/>
          <w:sz w:val="23"/>
          <w:szCs w:val="23"/>
        </w:rPr>
        <w:t xml:space="preserve"> for the Social Inclusion Unit, Commonwealth Department of Prime Minister and Cabinet. </w:t>
      </w:r>
    </w:p>
    <w:p w14:paraId="194D6993"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Johnson, L.C. (1990) The patriarchal economy of the Australian textile industry, </w:t>
      </w:r>
      <w:r w:rsidRPr="001137A9">
        <w:rPr>
          <w:rFonts w:asciiTheme="majorHAnsi" w:eastAsia="Times New Roman" w:hAnsiTheme="majorHAnsi" w:cstheme="majorHAnsi"/>
          <w:i/>
          <w:iCs/>
          <w:sz w:val="23"/>
          <w:szCs w:val="23"/>
        </w:rPr>
        <w:t>Antipode</w:t>
      </w:r>
      <w:r w:rsidRPr="001137A9">
        <w:rPr>
          <w:rFonts w:asciiTheme="majorHAnsi" w:eastAsia="Times New Roman" w:hAnsiTheme="majorHAnsi" w:cstheme="majorHAnsi"/>
          <w:sz w:val="23"/>
          <w:szCs w:val="23"/>
        </w:rPr>
        <w:t xml:space="preserve"> 22 (1), 1-32.</w:t>
      </w:r>
    </w:p>
    <w:p w14:paraId="49D7F828"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Larner, W., Le Heron, R. and Lewis, N. (2007) Co-constituting ‘after neo-liberalism’: political projects and globalizing governmentalities in Aotearoa, New Zealand, in England, K. and Ward, K. (eds) (2007) </w:t>
      </w:r>
      <w:r w:rsidRPr="001137A9">
        <w:rPr>
          <w:rFonts w:asciiTheme="majorHAnsi" w:eastAsia="Times New Roman" w:hAnsiTheme="majorHAnsi" w:cstheme="majorHAnsi"/>
          <w:i/>
          <w:iCs/>
          <w:sz w:val="23"/>
          <w:szCs w:val="23"/>
        </w:rPr>
        <w:t xml:space="preserve"> Neoliberalization: States, networks, people Blackwell, Oxford, </w:t>
      </w:r>
      <w:r w:rsidRPr="001137A9">
        <w:rPr>
          <w:rFonts w:asciiTheme="majorHAnsi" w:eastAsia="Times New Roman" w:hAnsiTheme="majorHAnsi" w:cstheme="majorHAnsi"/>
          <w:sz w:val="23"/>
          <w:szCs w:val="23"/>
        </w:rPr>
        <w:t>223-247.</w:t>
      </w:r>
    </w:p>
    <w:p w14:paraId="7D57E281"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Maher, C. (1994) “Residential mobility, locational disadvantage and spatial inequality in Australian cities”, </w:t>
      </w:r>
      <w:r w:rsidRPr="001137A9">
        <w:rPr>
          <w:rFonts w:asciiTheme="majorHAnsi" w:eastAsia="Times New Roman" w:hAnsiTheme="majorHAnsi" w:cstheme="majorHAnsi"/>
          <w:i/>
          <w:iCs/>
          <w:sz w:val="23"/>
          <w:szCs w:val="23"/>
        </w:rPr>
        <w:t xml:space="preserve">Urban Policy and Research </w:t>
      </w:r>
      <w:r w:rsidRPr="001137A9">
        <w:rPr>
          <w:rFonts w:asciiTheme="majorHAnsi" w:eastAsia="Times New Roman" w:hAnsiTheme="majorHAnsi" w:cstheme="majorHAnsi"/>
          <w:sz w:val="23"/>
          <w:szCs w:val="23"/>
        </w:rPr>
        <w:t>12 (3), 185-191.</w:t>
      </w:r>
    </w:p>
    <w:p w14:paraId="2F99761C"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Marcuse, P. (1996) Is Australia different? Globalization and the new urban poverty, Australian Housing and Urban Research Institute, Melbourne.</w:t>
      </w:r>
    </w:p>
    <w:p w14:paraId="2D54E4C4"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Marx, K. (2001) </w:t>
      </w:r>
      <w:r w:rsidRPr="001137A9">
        <w:rPr>
          <w:rFonts w:asciiTheme="majorHAnsi" w:eastAsia="Times New Roman" w:hAnsiTheme="majorHAnsi" w:cstheme="majorHAnsi"/>
          <w:i/>
          <w:iCs/>
          <w:sz w:val="23"/>
          <w:szCs w:val="23"/>
        </w:rPr>
        <w:t>Capital, Vols. 1, 2 and 3</w:t>
      </w:r>
      <w:r w:rsidRPr="001137A9">
        <w:rPr>
          <w:rFonts w:asciiTheme="majorHAnsi" w:eastAsia="Times New Roman" w:hAnsiTheme="majorHAnsi" w:cstheme="majorHAnsi"/>
          <w:sz w:val="23"/>
          <w:szCs w:val="23"/>
        </w:rPr>
        <w:t xml:space="preserve"> Electric Book Company, London.</w:t>
      </w:r>
    </w:p>
    <w:p w14:paraId="2CD90FD1"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McGuirk, P. and O’Neill, P. (2012) Critical geographies of the state: The problem of social vulnerability and the politics of engaged research, </w:t>
      </w:r>
      <w:r w:rsidRPr="001137A9">
        <w:rPr>
          <w:rFonts w:asciiTheme="majorHAnsi" w:eastAsia="Times New Roman" w:hAnsiTheme="majorHAnsi" w:cstheme="majorHAnsi"/>
          <w:i/>
          <w:iCs/>
          <w:sz w:val="23"/>
          <w:szCs w:val="23"/>
        </w:rPr>
        <w:t xml:space="preserve">Antipode </w:t>
      </w:r>
      <w:r w:rsidRPr="001137A9">
        <w:rPr>
          <w:rFonts w:asciiTheme="majorHAnsi" w:eastAsia="Times New Roman" w:hAnsiTheme="majorHAnsi" w:cstheme="majorHAnsi"/>
          <w:sz w:val="23"/>
          <w:szCs w:val="23"/>
        </w:rPr>
        <w:t xml:space="preserve"> 44 (4), 1374-94.</w:t>
      </w:r>
    </w:p>
    <w:p w14:paraId="1E408BE3"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Nash, J. and Fernandez-Kelly, M.P. (eds) (1983) </w:t>
      </w:r>
      <w:r w:rsidRPr="001137A9">
        <w:rPr>
          <w:rFonts w:asciiTheme="majorHAnsi" w:eastAsia="Times New Roman" w:hAnsiTheme="majorHAnsi" w:cstheme="majorHAnsi"/>
          <w:i/>
          <w:iCs/>
          <w:sz w:val="23"/>
          <w:szCs w:val="23"/>
        </w:rPr>
        <w:t>Women, men and the international division of labor</w:t>
      </w:r>
      <w:r w:rsidRPr="001137A9">
        <w:rPr>
          <w:rFonts w:asciiTheme="majorHAnsi" w:eastAsia="Times New Roman" w:hAnsiTheme="majorHAnsi" w:cstheme="majorHAnsi"/>
          <w:sz w:val="23"/>
          <w:szCs w:val="23"/>
        </w:rPr>
        <w:t xml:space="preserve"> State University of New York, Albany.</w:t>
      </w:r>
    </w:p>
    <w:p w14:paraId="2D433777"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Nicholson, T. (2007) A new Australian model of social inclusion and employment services. Address to The Social and Economic Imperative: Tapping the potential of disadvantaged Australians Conference, Melbourne, Australia. http:www.bsl.org.au/pdfs/Nicholson-new-Australian-model-of-social-inclusion-and-employment-services. pdf. Accessed 19.09.2013. </w:t>
      </w:r>
    </w:p>
    <w:p w14:paraId="06B3AC52"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Pawson, H. and Herath, S. (2015) “Dissecting and tracking social-spatial disadvantage in urban Australia”, </w:t>
      </w:r>
      <w:r w:rsidRPr="001137A9">
        <w:rPr>
          <w:rFonts w:asciiTheme="majorHAnsi" w:eastAsia="Times New Roman" w:hAnsiTheme="majorHAnsi" w:cstheme="majorHAnsi"/>
          <w:i/>
          <w:iCs/>
          <w:sz w:val="23"/>
          <w:szCs w:val="23"/>
        </w:rPr>
        <w:t>Cities</w:t>
      </w:r>
      <w:r w:rsidRPr="001137A9">
        <w:rPr>
          <w:rFonts w:asciiTheme="majorHAnsi" w:eastAsia="Times New Roman" w:hAnsiTheme="majorHAnsi" w:cstheme="majorHAnsi"/>
          <w:sz w:val="23"/>
          <w:szCs w:val="23"/>
        </w:rPr>
        <w:t xml:space="preserve"> 44 (April), 73-85.</w:t>
      </w:r>
    </w:p>
    <w:p w14:paraId="35E68255"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Payne, R. (1996) “Understanding and working with students and adults from poverty”. Reprinted from  </w:t>
      </w:r>
      <w:r w:rsidRPr="001137A9">
        <w:rPr>
          <w:rFonts w:asciiTheme="majorHAnsi" w:eastAsia="Times New Roman" w:hAnsiTheme="majorHAnsi" w:cstheme="majorHAnsi"/>
          <w:i/>
          <w:iCs/>
          <w:sz w:val="23"/>
          <w:szCs w:val="23"/>
        </w:rPr>
        <w:t>Instructional Leader</w:t>
      </w:r>
      <w:r w:rsidRPr="001137A9">
        <w:rPr>
          <w:rFonts w:asciiTheme="majorHAnsi" w:eastAsia="Times New Roman" w:hAnsiTheme="majorHAnsi" w:cstheme="majorHAnsi"/>
          <w:sz w:val="23"/>
          <w:szCs w:val="23"/>
        </w:rPr>
        <w:t xml:space="preserve"> 9 (2), March.</w:t>
      </w:r>
    </w:p>
    <w:p w14:paraId="6722C7B9"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Payne, R., deVol, P. and Dreussi Smith, T. (2010) </w:t>
      </w:r>
      <w:r w:rsidRPr="001137A9">
        <w:rPr>
          <w:rFonts w:asciiTheme="majorHAnsi" w:eastAsia="Times New Roman" w:hAnsiTheme="majorHAnsi" w:cstheme="majorHAnsi"/>
          <w:i/>
          <w:iCs/>
          <w:sz w:val="23"/>
          <w:szCs w:val="23"/>
        </w:rPr>
        <w:t>Bridges out of poverty: Strategies for professionals and communities</w:t>
      </w:r>
      <w:r w:rsidRPr="001137A9">
        <w:rPr>
          <w:rFonts w:asciiTheme="majorHAnsi" w:eastAsia="Times New Roman" w:hAnsiTheme="majorHAnsi" w:cstheme="majorHAnsi"/>
          <w:sz w:val="23"/>
          <w:szCs w:val="23"/>
        </w:rPr>
        <w:t xml:space="preserve"> Melbourne: Hawker Brownlow Education.</w:t>
      </w:r>
    </w:p>
    <w:p w14:paraId="3C550409"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Peel, M. (2012) </w:t>
      </w:r>
      <w:r w:rsidRPr="001137A9">
        <w:rPr>
          <w:rFonts w:asciiTheme="majorHAnsi" w:eastAsia="Times New Roman" w:hAnsiTheme="majorHAnsi" w:cstheme="majorHAnsi"/>
          <w:i/>
          <w:iCs/>
          <w:sz w:val="23"/>
          <w:szCs w:val="23"/>
        </w:rPr>
        <w:t>Miss Cutler and the case of the resurrected house: Social work and the story of poverty in America, Australia and Britain</w:t>
      </w:r>
      <w:r w:rsidRPr="001137A9">
        <w:rPr>
          <w:rFonts w:asciiTheme="majorHAnsi" w:eastAsia="Times New Roman" w:hAnsiTheme="majorHAnsi" w:cstheme="majorHAnsi"/>
          <w:sz w:val="23"/>
          <w:szCs w:val="23"/>
        </w:rPr>
        <w:t xml:space="preserve"> University of Chicago Press, Chicago.</w:t>
      </w:r>
    </w:p>
    <w:p w14:paraId="2488A277"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lastRenderedPageBreak/>
        <w:t xml:space="preserve">Peel, M. (1995) </w:t>
      </w:r>
      <w:r w:rsidRPr="001137A9">
        <w:rPr>
          <w:rFonts w:asciiTheme="majorHAnsi" w:eastAsia="Times New Roman" w:hAnsiTheme="majorHAnsi" w:cstheme="majorHAnsi"/>
          <w:i/>
          <w:iCs/>
          <w:sz w:val="23"/>
          <w:szCs w:val="23"/>
        </w:rPr>
        <w:t>Good times, hard times: The past and future in Elizabeth.</w:t>
      </w:r>
      <w:r w:rsidRPr="001137A9">
        <w:rPr>
          <w:rFonts w:asciiTheme="majorHAnsi" w:eastAsia="Times New Roman" w:hAnsiTheme="majorHAnsi" w:cstheme="majorHAnsi"/>
          <w:sz w:val="23"/>
          <w:szCs w:val="23"/>
        </w:rPr>
        <w:t xml:space="preserve"> Melbourne University Press, Carlton.</w:t>
      </w:r>
    </w:p>
    <w:p w14:paraId="28CD76DD"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Randolph, B. and Tice, A. (2014) “Suburbanising disadvantage in Australian cities: Socio-spatial change in an era of neo-liberalism”, </w:t>
      </w:r>
      <w:r w:rsidRPr="001137A9">
        <w:rPr>
          <w:rFonts w:asciiTheme="majorHAnsi" w:eastAsia="Times New Roman" w:hAnsiTheme="majorHAnsi" w:cstheme="majorHAnsi"/>
          <w:i/>
          <w:iCs/>
          <w:sz w:val="23"/>
          <w:szCs w:val="23"/>
        </w:rPr>
        <w:t>Journal of Urban Affairs</w:t>
      </w:r>
      <w:r w:rsidRPr="001137A9">
        <w:rPr>
          <w:rFonts w:asciiTheme="majorHAnsi" w:eastAsia="Times New Roman" w:hAnsiTheme="majorHAnsi" w:cstheme="majorHAnsi"/>
          <w:sz w:val="23"/>
          <w:szCs w:val="23"/>
        </w:rPr>
        <w:t xml:space="preserve"> 36 (S1), 1-16.</w:t>
      </w:r>
    </w:p>
    <w:p w14:paraId="6D55C8A2"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Shields, M., Graham, M. and Taket, A. (2011) </w:t>
      </w:r>
      <w:r w:rsidRPr="001137A9">
        <w:rPr>
          <w:rFonts w:asciiTheme="majorHAnsi" w:eastAsia="Times New Roman" w:hAnsiTheme="majorHAnsi" w:cstheme="majorHAnsi"/>
          <w:i/>
          <w:iCs/>
          <w:sz w:val="23"/>
          <w:szCs w:val="23"/>
        </w:rPr>
        <w:t>Neighbourhood renewal in Victoria: An effective way to address social inclusion</w:t>
      </w:r>
      <w:r w:rsidRPr="001137A9">
        <w:rPr>
          <w:rFonts w:asciiTheme="majorHAnsi" w:eastAsia="Times New Roman" w:hAnsiTheme="majorHAnsi" w:cstheme="majorHAnsi"/>
          <w:sz w:val="23"/>
          <w:szCs w:val="23"/>
        </w:rPr>
        <w:t xml:space="preserve"> Brisbane: Griffith University.</w:t>
      </w:r>
    </w:p>
    <w:p w14:paraId="0EFEF294"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Smith, N. (2005) </w:t>
      </w:r>
      <w:r w:rsidRPr="001137A9">
        <w:rPr>
          <w:rFonts w:asciiTheme="majorHAnsi" w:eastAsia="Times New Roman" w:hAnsiTheme="majorHAnsi" w:cstheme="majorHAnsi"/>
          <w:i/>
          <w:iCs/>
          <w:sz w:val="23"/>
          <w:szCs w:val="23"/>
        </w:rPr>
        <w:t xml:space="preserve">The endgame of globalization </w:t>
      </w:r>
      <w:r w:rsidRPr="001137A9">
        <w:rPr>
          <w:rFonts w:asciiTheme="majorHAnsi" w:eastAsia="Times New Roman" w:hAnsiTheme="majorHAnsi" w:cstheme="majorHAnsi"/>
          <w:sz w:val="23"/>
          <w:szCs w:val="23"/>
        </w:rPr>
        <w:t>Routledge, New York.</w:t>
      </w:r>
    </w:p>
    <w:p w14:paraId="65ACD7D4"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Social Inclusion in Australia (2012) </w:t>
      </w:r>
      <w:r w:rsidRPr="001137A9">
        <w:rPr>
          <w:rFonts w:asciiTheme="majorHAnsi" w:eastAsia="Times New Roman" w:hAnsiTheme="majorHAnsi" w:cstheme="majorHAnsi"/>
          <w:i/>
          <w:iCs/>
          <w:sz w:val="23"/>
          <w:szCs w:val="23"/>
        </w:rPr>
        <w:t>How Australia is faring</w:t>
      </w:r>
      <w:r w:rsidRPr="001137A9">
        <w:rPr>
          <w:rFonts w:asciiTheme="majorHAnsi" w:eastAsia="Times New Roman" w:hAnsiTheme="majorHAnsi" w:cstheme="majorHAnsi"/>
          <w:sz w:val="23"/>
          <w:szCs w:val="23"/>
        </w:rPr>
        <w:t xml:space="preserve"> Australian Social Inclusion Board, Commonwealth Department of Prime Minister and Cabinet, Canberra.</w:t>
      </w:r>
    </w:p>
    <w:p w14:paraId="32E0C578"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Stilwell, F. (2006) Processes of globalisation: The generation of wealth and poverty, in K. Serr (ed) </w:t>
      </w:r>
      <w:r w:rsidRPr="001137A9">
        <w:rPr>
          <w:rFonts w:asciiTheme="majorHAnsi" w:eastAsia="Times New Roman" w:hAnsiTheme="majorHAnsi" w:cstheme="majorHAnsi"/>
          <w:i/>
          <w:iCs/>
          <w:sz w:val="23"/>
          <w:szCs w:val="23"/>
        </w:rPr>
        <w:t>Thinking about poverty</w:t>
      </w:r>
      <w:r w:rsidRPr="001137A9">
        <w:rPr>
          <w:rFonts w:asciiTheme="majorHAnsi" w:eastAsia="Times New Roman" w:hAnsiTheme="majorHAnsi" w:cstheme="majorHAnsi"/>
          <w:sz w:val="23"/>
          <w:szCs w:val="23"/>
        </w:rPr>
        <w:t xml:space="preserve"> The Federation Press, Leichhardt, NSW.</w:t>
      </w:r>
    </w:p>
    <w:p w14:paraId="7404642F"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 xml:space="preserve">Swain, S. and Howe, R. (1995) </w:t>
      </w:r>
      <w:r w:rsidRPr="001137A9">
        <w:rPr>
          <w:rFonts w:asciiTheme="majorHAnsi" w:eastAsia="Times New Roman" w:hAnsiTheme="majorHAnsi" w:cstheme="majorHAnsi"/>
          <w:i/>
          <w:iCs/>
          <w:sz w:val="23"/>
          <w:szCs w:val="23"/>
        </w:rPr>
        <w:t>Single mothers and their children: Disposal, punishment and survival in Australia</w:t>
      </w:r>
      <w:r w:rsidRPr="001137A9">
        <w:rPr>
          <w:rFonts w:asciiTheme="majorHAnsi" w:eastAsia="Times New Roman" w:hAnsiTheme="majorHAnsi" w:cstheme="majorHAnsi"/>
          <w:sz w:val="23"/>
          <w:szCs w:val="23"/>
        </w:rPr>
        <w:t xml:space="preserve"> Cambridge University Press, Melbourne.</w:t>
      </w:r>
    </w:p>
    <w:p w14:paraId="678445E0" w14:textId="77777777" w:rsidR="0098093C" w:rsidRPr="001137A9" w:rsidRDefault="0098093C" w:rsidP="00173A3F">
      <w:pPr>
        <w:spacing w:after="0" w:line="240" w:lineRule="auto"/>
        <w:ind w:left="720" w:hanging="720"/>
        <w:rPr>
          <w:rFonts w:asciiTheme="majorHAnsi" w:hAnsiTheme="majorHAnsi" w:cstheme="majorHAnsi"/>
          <w:sz w:val="23"/>
          <w:szCs w:val="23"/>
        </w:rPr>
      </w:pPr>
      <w:r w:rsidRPr="001137A9">
        <w:rPr>
          <w:rFonts w:asciiTheme="majorHAnsi" w:eastAsia="Times New Roman" w:hAnsiTheme="majorHAnsi" w:cstheme="majorHAnsi"/>
          <w:sz w:val="23"/>
          <w:szCs w:val="23"/>
        </w:rPr>
        <w:t>Wulff, M. and S. Evans (1999). The Spatial Impacts of Commonwealth Rent Assistance on Australia's Low-Income Households. Australia's Housing Choices. M. Wulff and J. Yates. Queensland.</w:t>
      </w:r>
    </w:p>
    <w:p w14:paraId="5879844E" w14:textId="34C6035E" w:rsidR="0098093C" w:rsidRPr="00C73C47" w:rsidRDefault="0098093C" w:rsidP="005B7060">
      <w:pPr>
        <w:spacing w:line="240" w:lineRule="auto"/>
        <w:rPr>
          <w:sz w:val="16"/>
          <w:szCs w:val="16"/>
        </w:rPr>
      </w:pPr>
    </w:p>
    <w:p w14:paraId="48D58DAF" w14:textId="714AA827" w:rsidR="0098093C" w:rsidRPr="005B7060" w:rsidRDefault="0098093C" w:rsidP="00173A3F">
      <w:pPr>
        <w:spacing w:after="0" w:line="240" w:lineRule="auto"/>
        <w:rPr>
          <w:rFonts w:eastAsiaTheme="minorEastAsia"/>
          <w:b/>
          <w:bCs/>
          <w:color w:val="2F5496" w:themeColor="accent1" w:themeShade="BF"/>
          <w:sz w:val="28"/>
          <w:szCs w:val="28"/>
        </w:rPr>
      </w:pPr>
      <w:r w:rsidRPr="005B7060">
        <w:rPr>
          <w:rFonts w:eastAsiaTheme="minorEastAsia"/>
          <w:b/>
          <w:bCs/>
          <w:color w:val="2F5496" w:themeColor="accent1" w:themeShade="BF"/>
          <w:sz w:val="28"/>
          <w:szCs w:val="28"/>
        </w:rPr>
        <w:t>Section 2: Policy Context</w:t>
      </w:r>
    </w:p>
    <w:p w14:paraId="43A95B40" w14:textId="77777777" w:rsidR="0098093C" w:rsidRPr="0008403E" w:rsidRDefault="0098093C" w:rsidP="00173A3F">
      <w:pPr>
        <w:spacing w:after="0" w:line="240" w:lineRule="auto"/>
        <w:rPr>
          <w:rFonts w:asciiTheme="majorHAnsi" w:eastAsia="Calibri" w:hAnsiTheme="majorHAnsi" w:cstheme="majorHAnsi"/>
          <w:sz w:val="16"/>
          <w:szCs w:val="16"/>
          <w:lang w:val="en-GB"/>
        </w:rPr>
      </w:pPr>
    </w:p>
    <w:p w14:paraId="531E7693"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Australian Housing and Urban Research Institute (AHURI). (2001). Thinking regionally, acting locally: lessons for Australia from overseas housing and regional assistance policies. </w:t>
      </w:r>
    </w:p>
    <w:p w14:paraId="52B7B473"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AHURI. (2015). Addressing concentrations of disadvantage in urban Australia.  </w:t>
      </w:r>
    </w:p>
    <w:p w14:paraId="6C9291D1"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AHURI. (2015). Spatial disadvantage: Why is Australia different?</w:t>
      </w:r>
    </w:p>
    <w:p w14:paraId="4DF0EA4C"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i/>
          <w:iCs/>
          <w:sz w:val="23"/>
          <w:szCs w:val="23"/>
          <w:lang w:val="en-GB"/>
        </w:rPr>
        <w:t>States that four policy areas are particularly important for disadvantaged areas – funding structures, planning process, public housing provision and public policy.</w:t>
      </w:r>
    </w:p>
    <w:p w14:paraId="2E594AB0"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Australian Government, Business </w:t>
      </w:r>
      <w:hyperlink r:id="rId116">
        <w:r w:rsidRPr="001137A9">
          <w:rPr>
            <w:rStyle w:val="Hyperlink"/>
            <w:rFonts w:asciiTheme="majorHAnsi" w:eastAsia="Calibri" w:hAnsiTheme="majorHAnsi" w:cstheme="majorHAnsi"/>
            <w:sz w:val="23"/>
            <w:szCs w:val="23"/>
          </w:rPr>
          <w:t>Regional Jobs and Investment Packages (RJIP) | business.gov.au</w:t>
        </w:r>
      </w:hyperlink>
      <w:r w:rsidRPr="001137A9">
        <w:rPr>
          <w:rFonts w:asciiTheme="majorHAnsi" w:eastAsia="Calibri" w:hAnsiTheme="majorHAnsi" w:cstheme="majorHAnsi"/>
          <w:sz w:val="23"/>
          <w:szCs w:val="23"/>
        </w:rPr>
        <w:t xml:space="preserve"> Accessed 27.1.21</w:t>
      </w:r>
    </w:p>
    <w:p w14:paraId="32931D0D"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Australian Government, Department of Health </w:t>
      </w:r>
      <w:hyperlink r:id="rId117">
        <w:r w:rsidRPr="001137A9">
          <w:rPr>
            <w:rStyle w:val="Hyperlink"/>
            <w:rFonts w:asciiTheme="majorHAnsi" w:eastAsia="Calibri" w:hAnsiTheme="majorHAnsi" w:cstheme="majorHAnsi"/>
            <w:sz w:val="23"/>
            <w:szCs w:val="23"/>
          </w:rPr>
          <w:t>Department of Health | National Strategic Framework for Rural and Remote Health</w:t>
        </w:r>
      </w:hyperlink>
      <w:r w:rsidRPr="001137A9">
        <w:rPr>
          <w:rFonts w:asciiTheme="majorHAnsi" w:eastAsia="Calibri" w:hAnsiTheme="majorHAnsi" w:cstheme="majorHAnsi"/>
          <w:sz w:val="23"/>
          <w:szCs w:val="23"/>
        </w:rPr>
        <w:t xml:space="preserve"> Accessed 27.1.21</w:t>
      </w:r>
    </w:p>
    <w:p w14:paraId="50CE50C4"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Australian Government, Department of Health </w:t>
      </w:r>
      <w:hyperlink r:id="rId118">
        <w:r w:rsidRPr="001137A9">
          <w:rPr>
            <w:rStyle w:val="Hyperlink"/>
            <w:rFonts w:asciiTheme="majorHAnsi" w:eastAsia="Calibri" w:hAnsiTheme="majorHAnsi" w:cstheme="majorHAnsi"/>
            <w:sz w:val="23"/>
            <w:szCs w:val="23"/>
          </w:rPr>
          <w:t>Department of Health | Stronger Rural Health Strategy - factsheets</w:t>
        </w:r>
      </w:hyperlink>
      <w:r w:rsidRPr="001137A9">
        <w:rPr>
          <w:rFonts w:asciiTheme="majorHAnsi" w:eastAsia="Calibri" w:hAnsiTheme="majorHAnsi" w:cstheme="majorHAnsi"/>
          <w:sz w:val="23"/>
          <w:szCs w:val="23"/>
        </w:rPr>
        <w:t xml:space="preserve"> Accessed 27.1.21</w:t>
      </w:r>
    </w:p>
    <w:p w14:paraId="15FD4F44"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Australian Government, Department of Health </w:t>
      </w:r>
      <w:hyperlink r:id="rId119">
        <w:r w:rsidRPr="001137A9">
          <w:rPr>
            <w:rStyle w:val="Hyperlink"/>
            <w:rFonts w:asciiTheme="majorHAnsi" w:eastAsia="Calibri" w:hAnsiTheme="majorHAnsi" w:cstheme="majorHAnsi"/>
            <w:sz w:val="23"/>
            <w:szCs w:val="23"/>
          </w:rPr>
          <w:t>Department of Health | National Preventive Health Strategy</w:t>
        </w:r>
      </w:hyperlink>
      <w:r w:rsidRPr="001137A9">
        <w:rPr>
          <w:rFonts w:asciiTheme="majorHAnsi" w:eastAsia="Calibri" w:hAnsiTheme="majorHAnsi" w:cstheme="majorHAnsi"/>
          <w:sz w:val="23"/>
          <w:szCs w:val="23"/>
        </w:rPr>
        <w:t xml:space="preserve"> Accessed 27.1.21</w:t>
      </w:r>
    </w:p>
    <w:p w14:paraId="31D691EF"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Australian Government, Department of Infrastructure, Transport, Regional Development  and Communications </w:t>
      </w:r>
      <w:hyperlink r:id="rId120">
        <w:r w:rsidRPr="001137A9">
          <w:rPr>
            <w:rStyle w:val="Hyperlink"/>
            <w:rFonts w:asciiTheme="majorHAnsi" w:eastAsia="Calibri" w:hAnsiTheme="majorHAnsi" w:cstheme="majorHAnsi"/>
            <w:sz w:val="23"/>
            <w:szCs w:val="23"/>
          </w:rPr>
          <w:t>City Deals (infrastructure.gov.au)</w:t>
        </w:r>
      </w:hyperlink>
      <w:r w:rsidRPr="001137A9">
        <w:rPr>
          <w:rFonts w:asciiTheme="majorHAnsi" w:eastAsia="Calibri" w:hAnsiTheme="majorHAnsi" w:cstheme="majorHAnsi"/>
          <w:sz w:val="23"/>
          <w:szCs w:val="23"/>
        </w:rPr>
        <w:t xml:space="preserve"> Accessed 27.1.21</w:t>
      </w:r>
    </w:p>
    <w:p w14:paraId="0FA95A70"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Australian Government Department of Infrastructure, Transport, Regional Development  and Communications </w:t>
      </w:r>
      <w:hyperlink r:id="rId121">
        <w:r w:rsidRPr="001137A9">
          <w:rPr>
            <w:rStyle w:val="Hyperlink"/>
            <w:rFonts w:asciiTheme="majorHAnsi" w:eastAsia="Calibri" w:hAnsiTheme="majorHAnsi" w:cstheme="majorHAnsi"/>
            <w:sz w:val="23"/>
            <w:szCs w:val="23"/>
          </w:rPr>
          <w:t>National Cities Performance Framework | Bureau of Infrastructure and Transport Research Economics (bitre.gov.au)</w:t>
        </w:r>
      </w:hyperlink>
      <w:r w:rsidRPr="001137A9">
        <w:rPr>
          <w:rFonts w:asciiTheme="majorHAnsi" w:eastAsia="Calibri" w:hAnsiTheme="majorHAnsi" w:cstheme="majorHAnsi"/>
          <w:sz w:val="23"/>
          <w:szCs w:val="23"/>
        </w:rPr>
        <w:t xml:space="preserve"> Accessed 27.1.21</w:t>
      </w:r>
    </w:p>
    <w:p w14:paraId="6EFF41A4"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Australian Government Department of Infrastructure, Transport, Regional Development  and Communications  </w:t>
      </w:r>
      <w:hyperlink r:id="rId122">
        <w:r w:rsidRPr="001137A9">
          <w:rPr>
            <w:rStyle w:val="Hyperlink"/>
            <w:rFonts w:asciiTheme="majorHAnsi" w:eastAsia="Calibri" w:hAnsiTheme="majorHAnsi" w:cstheme="majorHAnsi"/>
            <w:sz w:val="23"/>
            <w:szCs w:val="23"/>
          </w:rPr>
          <w:t>Roads to Recovery Program (infrastructure.gov.au)</w:t>
        </w:r>
      </w:hyperlink>
      <w:r w:rsidRPr="001137A9">
        <w:rPr>
          <w:rFonts w:asciiTheme="majorHAnsi" w:eastAsia="Calibri" w:hAnsiTheme="majorHAnsi" w:cstheme="majorHAnsi"/>
          <w:sz w:val="23"/>
          <w:szCs w:val="23"/>
        </w:rPr>
        <w:t xml:space="preserve"> Accessed 27.1.21</w:t>
      </w:r>
    </w:p>
    <w:p w14:paraId="5186314E"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Australian Government Department of Infrastructure, Transport, Regional Development  and Communications  </w:t>
      </w:r>
      <w:hyperlink r:id="rId123">
        <w:r w:rsidRPr="001137A9">
          <w:rPr>
            <w:rStyle w:val="Hyperlink"/>
            <w:rFonts w:asciiTheme="majorHAnsi" w:eastAsia="Calibri" w:hAnsiTheme="majorHAnsi" w:cstheme="majorHAnsi"/>
            <w:sz w:val="23"/>
            <w:szCs w:val="23"/>
          </w:rPr>
          <w:t>Project Details (infrastructure.gov.au)</w:t>
        </w:r>
      </w:hyperlink>
      <w:r w:rsidRPr="001137A9">
        <w:rPr>
          <w:rFonts w:asciiTheme="majorHAnsi" w:eastAsia="Calibri" w:hAnsiTheme="majorHAnsi" w:cstheme="majorHAnsi"/>
          <w:sz w:val="23"/>
          <w:szCs w:val="23"/>
        </w:rPr>
        <w:t xml:space="preserve"> Accessed 27.1.21</w:t>
      </w:r>
    </w:p>
    <w:p w14:paraId="241E5993"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Australian Government Department of Infrastructure, Transport, Regional Development  and Communications  </w:t>
      </w:r>
      <w:hyperlink r:id="rId124">
        <w:r w:rsidRPr="001137A9">
          <w:rPr>
            <w:rStyle w:val="Hyperlink"/>
            <w:rFonts w:asciiTheme="majorHAnsi" w:eastAsia="Calibri" w:hAnsiTheme="majorHAnsi" w:cstheme="majorHAnsi"/>
            <w:sz w:val="23"/>
            <w:szCs w:val="23"/>
          </w:rPr>
          <w:t>Our_Cities_National_Urban_Policy_Paper_2011.pdf (infrastructure.gov.au)</w:t>
        </w:r>
      </w:hyperlink>
      <w:r w:rsidRPr="001137A9">
        <w:rPr>
          <w:rFonts w:asciiTheme="majorHAnsi" w:eastAsia="Calibri" w:hAnsiTheme="majorHAnsi" w:cstheme="majorHAnsi"/>
          <w:sz w:val="23"/>
          <w:szCs w:val="23"/>
        </w:rPr>
        <w:t xml:space="preserve"> Accessed 27.1.21</w:t>
      </w:r>
    </w:p>
    <w:p w14:paraId="3B5F26E2"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Australian Government Department of Infrastructure, Transport, Regional Development  and Communications  </w:t>
      </w:r>
      <w:hyperlink r:id="rId125">
        <w:r w:rsidRPr="001137A9">
          <w:rPr>
            <w:rStyle w:val="Hyperlink"/>
            <w:rFonts w:asciiTheme="majorHAnsi" w:eastAsia="Calibri" w:hAnsiTheme="majorHAnsi" w:cstheme="majorHAnsi"/>
            <w:sz w:val="23"/>
            <w:szCs w:val="23"/>
          </w:rPr>
          <w:t>Regions 2030—Unlocking Opportunity (regional.gov.au)</w:t>
        </w:r>
      </w:hyperlink>
      <w:r w:rsidRPr="001137A9">
        <w:rPr>
          <w:rFonts w:asciiTheme="majorHAnsi" w:eastAsia="Calibri" w:hAnsiTheme="majorHAnsi" w:cstheme="majorHAnsi"/>
          <w:sz w:val="23"/>
          <w:szCs w:val="23"/>
        </w:rPr>
        <w:t xml:space="preserve"> Accessed 27.1.21</w:t>
      </w:r>
    </w:p>
    <w:p w14:paraId="4C6374B5"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Australian Government, Department of Social Services </w:t>
      </w:r>
      <w:hyperlink r:id="rId126">
        <w:r w:rsidRPr="001137A9">
          <w:rPr>
            <w:rStyle w:val="Hyperlink"/>
            <w:rFonts w:asciiTheme="majorHAnsi" w:eastAsia="Calibri" w:hAnsiTheme="majorHAnsi" w:cstheme="majorHAnsi"/>
            <w:sz w:val="23"/>
            <w:szCs w:val="23"/>
          </w:rPr>
          <w:t>National Rental Affordability Scheme | Department of Social Services, Australian Government (dss.gov.au)</w:t>
        </w:r>
      </w:hyperlink>
      <w:r w:rsidRPr="001137A9">
        <w:rPr>
          <w:rFonts w:asciiTheme="majorHAnsi" w:eastAsia="Calibri" w:hAnsiTheme="majorHAnsi" w:cstheme="majorHAnsi"/>
          <w:sz w:val="23"/>
          <w:szCs w:val="23"/>
        </w:rPr>
        <w:t xml:space="preserve"> Accessed 27.1.21</w:t>
      </w:r>
    </w:p>
    <w:p w14:paraId="1E811DF8"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Australian Government, Department of Social Services  </w:t>
      </w:r>
      <w:hyperlink r:id="rId127">
        <w:r w:rsidRPr="001137A9">
          <w:rPr>
            <w:rStyle w:val="Hyperlink"/>
            <w:rFonts w:asciiTheme="majorHAnsi" w:eastAsia="Calibri" w:hAnsiTheme="majorHAnsi" w:cstheme="majorHAnsi"/>
            <w:sz w:val="23"/>
            <w:szCs w:val="23"/>
          </w:rPr>
          <w:t>Commonwealth Rent Assistance | Department of Social Services, Australian Government (dss.gov.au)</w:t>
        </w:r>
      </w:hyperlink>
      <w:r w:rsidRPr="001137A9">
        <w:rPr>
          <w:rFonts w:asciiTheme="majorHAnsi" w:eastAsia="Calibri" w:hAnsiTheme="majorHAnsi" w:cstheme="majorHAnsi"/>
          <w:sz w:val="23"/>
          <w:szCs w:val="23"/>
        </w:rPr>
        <w:t xml:space="preserve"> Accessed 27.1.21</w:t>
      </w:r>
    </w:p>
    <w:p w14:paraId="5A67813E"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lastRenderedPageBreak/>
        <w:t xml:space="preserve">Australian Government, Department of Social Services </w:t>
      </w:r>
      <w:hyperlink r:id="rId128">
        <w:r w:rsidRPr="001137A9">
          <w:rPr>
            <w:rStyle w:val="Hyperlink"/>
            <w:rFonts w:asciiTheme="majorHAnsi" w:eastAsia="Calibri" w:hAnsiTheme="majorHAnsi" w:cstheme="majorHAnsi"/>
            <w:sz w:val="23"/>
            <w:szCs w:val="23"/>
          </w:rPr>
          <w:t>Building Australia's Future Workforce - Supporting Australians with disability into work | Department of Social Services, Australian Government (dss.gov.au)</w:t>
        </w:r>
      </w:hyperlink>
      <w:r w:rsidRPr="001137A9">
        <w:rPr>
          <w:rFonts w:asciiTheme="majorHAnsi" w:eastAsia="Calibri" w:hAnsiTheme="majorHAnsi" w:cstheme="majorHAnsi"/>
          <w:sz w:val="23"/>
          <w:szCs w:val="23"/>
        </w:rPr>
        <w:t xml:space="preserve"> Accessed 27.1.21</w:t>
      </w:r>
    </w:p>
    <w:p w14:paraId="4FD612AC"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Australian Government Job Services </w:t>
      </w:r>
      <w:hyperlink r:id="rId129">
        <w:r w:rsidRPr="001137A9">
          <w:rPr>
            <w:rStyle w:val="Hyperlink"/>
            <w:rFonts w:asciiTheme="majorHAnsi" w:eastAsia="Calibri" w:hAnsiTheme="majorHAnsi" w:cstheme="majorHAnsi"/>
            <w:sz w:val="23"/>
            <w:szCs w:val="23"/>
          </w:rPr>
          <w:t>JobSeeker Payment - How much you can get - Services Australia</w:t>
        </w:r>
      </w:hyperlink>
      <w:r w:rsidRPr="001137A9">
        <w:rPr>
          <w:rFonts w:asciiTheme="majorHAnsi" w:eastAsia="Calibri" w:hAnsiTheme="majorHAnsi" w:cstheme="majorHAnsi"/>
          <w:sz w:val="23"/>
          <w:szCs w:val="23"/>
        </w:rPr>
        <w:t xml:space="preserve"> Accessed 27.1.21</w:t>
      </w:r>
    </w:p>
    <w:p w14:paraId="62972095"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Australian Tax Office </w:t>
      </w:r>
      <w:hyperlink r:id="rId130">
        <w:r w:rsidRPr="001137A9">
          <w:rPr>
            <w:rStyle w:val="Hyperlink"/>
            <w:rFonts w:asciiTheme="majorHAnsi" w:eastAsia="Calibri" w:hAnsiTheme="majorHAnsi" w:cstheme="majorHAnsi"/>
            <w:sz w:val="23"/>
            <w:szCs w:val="23"/>
          </w:rPr>
          <w:t>Rental expenses to claim | Australian Taxation Office (ato.gov.au)</w:t>
        </w:r>
      </w:hyperlink>
      <w:r w:rsidRPr="001137A9">
        <w:rPr>
          <w:rFonts w:asciiTheme="majorHAnsi" w:eastAsia="Calibri" w:hAnsiTheme="majorHAnsi" w:cstheme="majorHAnsi"/>
          <w:sz w:val="23"/>
          <w:szCs w:val="23"/>
        </w:rPr>
        <w:t xml:space="preserve"> “Negative gearing” Accessed 27.1.21</w:t>
      </w:r>
    </w:p>
    <w:p w14:paraId="315E4B98" w14:textId="77777777" w:rsidR="00B25E3F" w:rsidRPr="00B25E3F" w:rsidRDefault="00B25E3F" w:rsidP="00B25E3F">
      <w:pPr>
        <w:spacing w:after="0" w:line="240" w:lineRule="auto"/>
        <w:ind w:left="567" w:hanging="567"/>
        <w:rPr>
          <w:rFonts w:asciiTheme="majorHAnsi" w:eastAsia="Calibri" w:hAnsiTheme="majorHAnsi" w:cstheme="majorHAnsi"/>
          <w:sz w:val="23"/>
          <w:szCs w:val="23"/>
        </w:rPr>
      </w:pPr>
    </w:p>
    <w:p w14:paraId="0986C17E" w14:textId="77777777" w:rsidR="00B25E3F" w:rsidRPr="00B25E3F" w:rsidRDefault="00B25E3F" w:rsidP="00B25E3F">
      <w:pPr>
        <w:spacing w:after="0" w:line="240" w:lineRule="auto"/>
        <w:ind w:left="567" w:hanging="567"/>
        <w:rPr>
          <w:rFonts w:asciiTheme="majorHAnsi" w:eastAsia="Calibri" w:hAnsiTheme="majorHAnsi" w:cstheme="majorHAnsi"/>
          <w:sz w:val="23"/>
          <w:szCs w:val="23"/>
        </w:rPr>
      </w:pPr>
      <w:r w:rsidRPr="00B25E3F">
        <w:rPr>
          <w:rFonts w:asciiTheme="majorHAnsi" w:eastAsia="Calibri" w:hAnsiTheme="majorHAnsi" w:cstheme="majorHAnsi"/>
          <w:sz w:val="23"/>
          <w:szCs w:val="23"/>
        </w:rPr>
        <w:t xml:space="preserve">BDO Australia (2020). Technical Update: JobKeeper extended until March 2021 with two-tiered rates and JobSeeker also extended, 21 July, </w:t>
      </w:r>
      <w:hyperlink r:id="rId131" w:history="1">
        <w:r w:rsidRPr="00B25E3F">
          <w:rPr>
            <w:rStyle w:val="Hyperlink"/>
            <w:rFonts w:asciiTheme="majorHAnsi" w:eastAsia="Calibri" w:hAnsiTheme="majorHAnsi" w:cstheme="majorHAnsi"/>
            <w:sz w:val="23"/>
            <w:szCs w:val="23"/>
          </w:rPr>
          <w:t>https://www.bdo.com.au/en-au/insights/tax/technical-updates/jobkeeper-extended-until-march-2021-with-two-tiered-rates-and-jobseeker-also-extended</w:t>
        </w:r>
      </w:hyperlink>
      <w:r w:rsidRPr="00B25E3F">
        <w:rPr>
          <w:rFonts w:asciiTheme="majorHAnsi" w:eastAsia="Calibri" w:hAnsiTheme="majorHAnsi" w:cstheme="majorHAnsi"/>
          <w:sz w:val="23"/>
          <w:szCs w:val="23"/>
        </w:rPr>
        <w:t xml:space="preserve"> </w:t>
      </w:r>
    </w:p>
    <w:p w14:paraId="5AC9D4A3"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Carbon Nexus </w:t>
      </w:r>
      <w:hyperlink r:id="rId132" w:anchor=":~:text=Carbon%20Nexus%20is%20a%20purpose-built%20research%20facility%20designed,carbon%20fibre-related%20projects%20that%20are%20strategic%20and%20complex.">
        <w:r w:rsidRPr="001137A9">
          <w:rPr>
            <w:rStyle w:val="Hyperlink"/>
            <w:rFonts w:asciiTheme="majorHAnsi" w:eastAsia="Calibri" w:hAnsiTheme="majorHAnsi" w:cstheme="majorHAnsi"/>
            <w:sz w:val="23"/>
            <w:szCs w:val="23"/>
          </w:rPr>
          <w:t>Carbon Fibre and Composite Research | Carbon Nexus - IFM - Deakin</w:t>
        </w:r>
      </w:hyperlink>
      <w:r w:rsidRPr="001137A9">
        <w:rPr>
          <w:rFonts w:asciiTheme="majorHAnsi" w:eastAsia="Calibri" w:hAnsiTheme="majorHAnsi" w:cstheme="majorHAnsi"/>
          <w:sz w:val="23"/>
          <w:szCs w:val="23"/>
        </w:rPr>
        <w:t xml:space="preserve"> Accessed 27.1.21.</w:t>
      </w:r>
    </w:p>
    <w:p w14:paraId="0BEF4942"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City of Greater Geelong Social Housing Plan 2021-2041 </w:t>
      </w:r>
      <w:hyperlink r:id="rId133">
        <w:r w:rsidRPr="001137A9">
          <w:rPr>
            <w:rStyle w:val="Hyperlink"/>
            <w:rFonts w:asciiTheme="majorHAnsi" w:eastAsia="Calibri" w:hAnsiTheme="majorHAnsi" w:cstheme="majorHAnsi"/>
            <w:sz w:val="23"/>
            <w:szCs w:val="23"/>
          </w:rPr>
          <w:t>Social Housing Plan 2020 - 2041 - City of Greater Geelong (geelongaustralia.com.au)</w:t>
        </w:r>
      </w:hyperlink>
      <w:r w:rsidRPr="001137A9">
        <w:rPr>
          <w:rFonts w:asciiTheme="majorHAnsi" w:eastAsia="Calibri" w:hAnsiTheme="majorHAnsi" w:cstheme="majorHAnsi"/>
          <w:sz w:val="23"/>
          <w:szCs w:val="23"/>
        </w:rPr>
        <w:t xml:space="preserve"> Accessed 27.1.21</w:t>
      </w:r>
    </w:p>
    <w:p w14:paraId="75DA2CDC"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City of Greater Geelong </w:t>
      </w:r>
      <w:hyperlink r:id="rId134">
        <w:r w:rsidRPr="001137A9">
          <w:rPr>
            <w:rStyle w:val="Hyperlink"/>
            <w:rFonts w:asciiTheme="majorHAnsi" w:eastAsia="Calibri" w:hAnsiTheme="majorHAnsi" w:cstheme="majorHAnsi"/>
            <w:sz w:val="23"/>
            <w:szCs w:val="23"/>
          </w:rPr>
          <w:t>Northern and Western Geelong Growth Areas Project - City of Greater Geelong (geelongaustralia.com.au)</w:t>
        </w:r>
      </w:hyperlink>
      <w:r w:rsidRPr="001137A9">
        <w:rPr>
          <w:rFonts w:asciiTheme="majorHAnsi" w:eastAsia="Calibri" w:hAnsiTheme="majorHAnsi" w:cstheme="majorHAnsi"/>
          <w:sz w:val="23"/>
          <w:szCs w:val="23"/>
        </w:rPr>
        <w:t xml:space="preserve"> Accessed 27.1.21</w:t>
      </w:r>
    </w:p>
    <w:p w14:paraId="4DF7E37D"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City of Greater Geelong </w:t>
      </w:r>
      <w:hyperlink r:id="rId135">
        <w:r w:rsidRPr="001137A9">
          <w:rPr>
            <w:rStyle w:val="Hyperlink"/>
            <w:rFonts w:asciiTheme="majorHAnsi" w:eastAsia="Calibri" w:hAnsiTheme="majorHAnsi" w:cstheme="majorHAnsi"/>
            <w:sz w:val="23"/>
            <w:szCs w:val="23"/>
          </w:rPr>
          <w:t>A Clever and Creative Future - City of Greater Geelong (geelongaustralia.com.au)</w:t>
        </w:r>
      </w:hyperlink>
      <w:r w:rsidRPr="001137A9">
        <w:rPr>
          <w:rFonts w:asciiTheme="majorHAnsi" w:eastAsia="Calibri" w:hAnsiTheme="majorHAnsi" w:cstheme="majorHAnsi"/>
          <w:sz w:val="23"/>
          <w:szCs w:val="23"/>
        </w:rPr>
        <w:t xml:space="preserve"> Accessed 27.1.21</w:t>
      </w:r>
    </w:p>
    <w:p w14:paraId="39DF1E15"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City of Greater Geelong </w:t>
      </w:r>
      <w:hyperlink r:id="rId136">
        <w:r w:rsidRPr="001137A9">
          <w:rPr>
            <w:rStyle w:val="Hyperlink"/>
            <w:rFonts w:asciiTheme="majorHAnsi" w:eastAsia="Calibri" w:hAnsiTheme="majorHAnsi" w:cstheme="majorHAnsi"/>
            <w:sz w:val="23"/>
            <w:szCs w:val="23"/>
          </w:rPr>
          <w:t>Social Infrastructure Plan - City of Greater Geelong (geelongaustralia.com.au)</w:t>
        </w:r>
      </w:hyperlink>
      <w:r w:rsidRPr="001137A9">
        <w:rPr>
          <w:rFonts w:asciiTheme="majorHAnsi" w:eastAsia="Calibri" w:hAnsiTheme="majorHAnsi" w:cstheme="majorHAnsi"/>
          <w:sz w:val="23"/>
          <w:szCs w:val="23"/>
        </w:rPr>
        <w:t xml:space="preserve"> Accessed 27.1.21.</w:t>
      </w:r>
    </w:p>
    <w:p w14:paraId="3F91E625"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COAG Health Council </w:t>
      </w:r>
      <w:hyperlink r:id="rId137">
        <w:r w:rsidRPr="001137A9">
          <w:rPr>
            <w:rStyle w:val="Hyperlink"/>
            <w:rFonts w:asciiTheme="majorHAnsi" w:eastAsia="Calibri" w:hAnsiTheme="majorHAnsi" w:cstheme="majorHAnsi"/>
            <w:sz w:val="23"/>
            <w:szCs w:val="23"/>
            <w:lang w:val="en-GB"/>
          </w:rPr>
          <w:t>https://www.mentalhealthcommission.gov.au/getmedia/0209d27b-1873-4245-b6e5-49e770084b81/Fifth-National-Mental-Health-and-Suicide-Prevention-Plan.pdf Accessed 27.1.21</w:t>
        </w:r>
      </w:hyperlink>
    </w:p>
    <w:p w14:paraId="5B36DD1A"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Department of Education, Skills and Employment</w:t>
      </w:r>
      <w:r w:rsidRPr="001137A9">
        <w:rPr>
          <w:rFonts w:asciiTheme="majorHAnsi" w:eastAsia="Calibri" w:hAnsiTheme="majorHAnsi" w:cstheme="majorHAnsi"/>
          <w:i/>
          <w:iCs/>
          <w:sz w:val="23"/>
          <w:szCs w:val="23"/>
          <w:lang w:val="en-GB"/>
        </w:rPr>
        <w:t xml:space="preserve"> </w:t>
      </w:r>
      <w:hyperlink r:id="rId138">
        <w:r w:rsidRPr="001137A9">
          <w:rPr>
            <w:rStyle w:val="Hyperlink"/>
            <w:rFonts w:asciiTheme="majorHAnsi" w:eastAsia="Calibri" w:hAnsiTheme="majorHAnsi" w:cstheme="majorHAnsi"/>
            <w:sz w:val="23"/>
            <w:szCs w:val="23"/>
          </w:rPr>
          <w:t>SMARTER SCHOOLS NATIONAL PARTNERSHIPS [Low Socio-Economic Status School Communities] [Literacy and Numeracy] [Teacher Quality] - Progress Report 2011 1 Jan - 30 June - Department of Education, Skills and Employment, Australian Government (dese.gov.au)</w:t>
        </w:r>
      </w:hyperlink>
      <w:r w:rsidRPr="001137A9">
        <w:rPr>
          <w:rFonts w:asciiTheme="majorHAnsi" w:eastAsia="Calibri" w:hAnsiTheme="majorHAnsi" w:cstheme="majorHAnsi"/>
          <w:sz w:val="23"/>
          <w:szCs w:val="23"/>
        </w:rPr>
        <w:t xml:space="preserve"> Accessed 26.1.2021</w:t>
      </w:r>
    </w:p>
    <w:p w14:paraId="62CD091B"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Department of Education, Skills and Employment </w:t>
      </w:r>
      <w:hyperlink r:id="rId139" w:anchor=":~:text=The%20National%20Aboriginal%20and%20Torres%20Strait%20Islander%20Education,approaches%20to%20Aboriginal%20and%20Torres%20Strait%20Islander%20education.">
        <w:r w:rsidRPr="001137A9">
          <w:rPr>
            <w:rStyle w:val="Hyperlink"/>
            <w:rFonts w:asciiTheme="majorHAnsi" w:eastAsia="Calibri" w:hAnsiTheme="majorHAnsi" w:cstheme="majorHAnsi"/>
            <w:sz w:val="23"/>
            <w:szCs w:val="23"/>
          </w:rPr>
          <w:t>National Aboriginal and Torres Strait Islander Education Strategy | Department of Education, Skills and Employment</w:t>
        </w:r>
      </w:hyperlink>
      <w:r w:rsidRPr="001137A9">
        <w:rPr>
          <w:rFonts w:asciiTheme="majorHAnsi" w:eastAsia="Calibri" w:hAnsiTheme="majorHAnsi" w:cstheme="majorHAnsi"/>
          <w:sz w:val="23"/>
          <w:szCs w:val="23"/>
        </w:rPr>
        <w:t xml:space="preserve"> Accessed 26.1.2021.</w:t>
      </w:r>
    </w:p>
    <w:p w14:paraId="6EE348C4"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Fair Work Australia </w:t>
      </w:r>
      <w:hyperlink r:id="rId140">
        <w:r w:rsidRPr="001137A9">
          <w:rPr>
            <w:rStyle w:val="Hyperlink"/>
            <w:rFonts w:asciiTheme="majorHAnsi" w:eastAsia="Calibri" w:hAnsiTheme="majorHAnsi" w:cstheme="majorHAnsi"/>
            <w:sz w:val="23"/>
            <w:szCs w:val="23"/>
          </w:rPr>
          <w:t>JobKeeper 2.0 | Advice For Employers by Employsure (fairworkhelp.com.au)</w:t>
        </w:r>
      </w:hyperlink>
      <w:r w:rsidRPr="001137A9">
        <w:rPr>
          <w:rFonts w:asciiTheme="majorHAnsi" w:eastAsia="Calibri" w:hAnsiTheme="majorHAnsi" w:cstheme="majorHAnsi"/>
          <w:sz w:val="23"/>
          <w:szCs w:val="23"/>
        </w:rPr>
        <w:t xml:space="preserve"> Accessed 27.1.21</w:t>
      </w:r>
    </w:p>
    <w:p w14:paraId="206B7FFD" w14:textId="77777777" w:rsidR="0098093C" w:rsidRPr="001137A9" w:rsidRDefault="007320D6" w:rsidP="00173A3F">
      <w:pPr>
        <w:spacing w:after="0" w:line="240" w:lineRule="auto"/>
        <w:ind w:left="567" w:hanging="567"/>
        <w:rPr>
          <w:rFonts w:asciiTheme="majorHAnsi" w:hAnsiTheme="majorHAnsi" w:cstheme="majorHAnsi"/>
          <w:sz w:val="23"/>
          <w:szCs w:val="23"/>
        </w:rPr>
      </w:pPr>
      <w:hyperlink r:id="rId141" w:anchor=":~:text=On%2012%20November%202018,%20the%20Minister%20for%20Education,,as%20part%20of%20a%20broader%20Regional%20Education%20package.">
        <w:r w:rsidR="0098093C" w:rsidRPr="001137A9">
          <w:rPr>
            <w:rStyle w:val="Hyperlink"/>
            <w:rFonts w:asciiTheme="majorHAnsi" w:eastAsia="Calibri" w:hAnsiTheme="majorHAnsi" w:cstheme="majorHAnsi"/>
            <w:sz w:val="23"/>
            <w:szCs w:val="23"/>
          </w:rPr>
          <w:t>National Regional, Rural and Remote Education Strategy - Department of Education, Skills and Employment, Australian Government (dese.gov.au)</w:t>
        </w:r>
      </w:hyperlink>
      <w:r w:rsidR="0098093C" w:rsidRPr="001137A9">
        <w:rPr>
          <w:rFonts w:asciiTheme="majorHAnsi" w:eastAsia="Calibri" w:hAnsiTheme="majorHAnsi" w:cstheme="majorHAnsi"/>
          <w:sz w:val="23"/>
          <w:szCs w:val="23"/>
        </w:rPr>
        <w:t xml:space="preserve"> Accessed 26.1.2021.</w:t>
      </w:r>
    </w:p>
    <w:p w14:paraId="5719DF41" w14:textId="77777777" w:rsidR="0098093C" w:rsidRPr="001137A9" w:rsidRDefault="007320D6" w:rsidP="00173A3F">
      <w:pPr>
        <w:spacing w:after="0" w:line="240" w:lineRule="auto"/>
        <w:ind w:left="567" w:hanging="567"/>
        <w:rPr>
          <w:rFonts w:asciiTheme="majorHAnsi" w:hAnsiTheme="majorHAnsi" w:cstheme="majorHAnsi"/>
          <w:sz w:val="23"/>
          <w:szCs w:val="23"/>
        </w:rPr>
      </w:pPr>
      <w:hyperlink r:id="rId142">
        <w:r w:rsidR="0098093C" w:rsidRPr="001137A9">
          <w:rPr>
            <w:rStyle w:val="Hyperlink"/>
            <w:rFonts w:asciiTheme="majorHAnsi" w:eastAsia="Calibri" w:hAnsiTheme="majorHAnsi" w:cstheme="majorHAnsi"/>
            <w:sz w:val="23"/>
            <w:szCs w:val="23"/>
          </w:rPr>
          <w:t>Independent Review into Regional, Rural and Remote Education - Department of Education, Skills and Employment, Australian Government (dese.gov.au)</w:t>
        </w:r>
      </w:hyperlink>
      <w:r w:rsidR="0098093C" w:rsidRPr="001137A9">
        <w:rPr>
          <w:rFonts w:asciiTheme="majorHAnsi" w:eastAsia="Calibri" w:hAnsiTheme="majorHAnsi" w:cstheme="majorHAnsi"/>
          <w:sz w:val="23"/>
          <w:szCs w:val="23"/>
        </w:rPr>
        <w:t xml:space="preserve"> Accessed 26.1.2021.</w:t>
      </w:r>
    </w:p>
    <w:p w14:paraId="1696B25B"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COAG National Agreement on Skills and Workforce Development </w:t>
      </w:r>
      <w:hyperlink r:id="rId143">
        <w:r w:rsidRPr="001137A9">
          <w:rPr>
            <w:rStyle w:val="Hyperlink"/>
            <w:rFonts w:asciiTheme="majorHAnsi" w:eastAsia="Calibri" w:hAnsiTheme="majorHAnsi" w:cstheme="majorHAnsi"/>
            <w:sz w:val="23"/>
            <w:szCs w:val="23"/>
          </w:rPr>
          <w:t>skills-reform_NA.pdf (federalfinancialrelations.gov.au)</w:t>
        </w:r>
      </w:hyperlink>
      <w:r w:rsidRPr="001137A9">
        <w:rPr>
          <w:rFonts w:asciiTheme="majorHAnsi" w:eastAsia="Calibri" w:hAnsiTheme="majorHAnsi" w:cstheme="majorHAnsi"/>
          <w:sz w:val="23"/>
          <w:szCs w:val="23"/>
        </w:rPr>
        <w:t xml:space="preserve"> Accessed 26.1.2021.</w:t>
      </w:r>
    </w:p>
    <w:p w14:paraId="2E451C8F" w14:textId="34382004"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Coasthaven Community Garden </w:t>
      </w:r>
      <w:hyperlink r:id="rId144">
        <w:r w:rsidRPr="001137A9">
          <w:rPr>
            <w:rStyle w:val="Hyperlink"/>
            <w:rFonts w:asciiTheme="majorHAnsi" w:eastAsia="Calibri" w:hAnsiTheme="majorHAnsi" w:cstheme="majorHAnsi"/>
            <w:sz w:val="23"/>
            <w:szCs w:val="23"/>
          </w:rPr>
          <w:t>COASTHAVEN COMMUNITY GARDEN – Norlane Community Initiatives (norlaneci.org.au)</w:t>
        </w:r>
      </w:hyperlink>
      <w:r w:rsidRPr="001137A9">
        <w:rPr>
          <w:rFonts w:asciiTheme="majorHAnsi" w:eastAsia="Calibri" w:hAnsiTheme="majorHAnsi" w:cstheme="majorHAnsi"/>
          <w:sz w:val="23"/>
          <w:szCs w:val="23"/>
        </w:rPr>
        <w:t xml:space="preserve"> </w:t>
      </w:r>
      <w:r w:rsidR="00203685" w:rsidRPr="001137A9">
        <w:rPr>
          <w:rFonts w:asciiTheme="majorHAnsi" w:eastAsia="Calibri" w:hAnsiTheme="majorHAnsi" w:cstheme="majorHAnsi"/>
          <w:sz w:val="23"/>
          <w:szCs w:val="23"/>
        </w:rPr>
        <w:t>Accessed</w:t>
      </w:r>
      <w:r w:rsidRPr="001137A9">
        <w:rPr>
          <w:rFonts w:asciiTheme="majorHAnsi" w:eastAsia="Calibri" w:hAnsiTheme="majorHAnsi" w:cstheme="majorHAnsi"/>
          <w:sz w:val="23"/>
          <w:szCs w:val="23"/>
        </w:rPr>
        <w:t xml:space="preserve"> 27.1.21.</w:t>
      </w:r>
    </w:p>
    <w:p w14:paraId="2C656913"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Committee for Geelong. (2016). </w:t>
      </w:r>
      <w:r w:rsidRPr="001137A9">
        <w:rPr>
          <w:rFonts w:asciiTheme="majorHAnsi" w:eastAsia="Calibri" w:hAnsiTheme="majorHAnsi" w:cstheme="majorHAnsi"/>
          <w:i/>
          <w:iCs/>
          <w:sz w:val="23"/>
          <w:szCs w:val="23"/>
          <w:lang w:val="en-GB"/>
        </w:rPr>
        <w:t xml:space="preserve">Winning from Second: What Geelong can learn from International Second Cities. </w:t>
      </w:r>
      <w:r w:rsidRPr="001137A9">
        <w:rPr>
          <w:rFonts w:asciiTheme="majorHAnsi" w:eastAsia="Calibri" w:hAnsiTheme="majorHAnsi" w:cstheme="majorHAnsi"/>
          <w:sz w:val="23"/>
          <w:szCs w:val="23"/>
          <w:lang w:val="en-GB"/>
        </w:rPr>
        <w:t>Geelong: Committee for Geelong.</w:t>
      </w:r>
    </w:p>
    <w:p w14:paraId="497CD08C"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Commonwealth of Australia. (2018). Building up &amp; moving out: Inquiry into the Australian Government’s role in the development of cities. </w:t>
      </w:r>
    </w:p>
    <w:p w14:paraId="5459721C"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Council on Federal Financial Relations (2018) </w:t>
      </w:r>
      <w:hyperlink r:id="rId145">
        <w:r w:rsidRPr="001137A9">
          <w:rPr>
            <w:rStyle w:val="Hyperlink"/>
            <w:rFonts w:asciiTheme="majorHAnsi" w:eastAsia="Calibri" w:hAnsiTheme="majorHAnsi" w:cstheme="majorHAnsi"/>
            <w:sz w:val="23"/>
            <w:szCs w:val="23"/>
          </w:rPr>
          <w:t>National Housing and Homelessness Agreement (federalfinancialrelations.gov.au)</w:t>
        </w:r>
      </w:hyperlink>
    </w:p>
    <w:p w14:paraId="067B818E"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Dandolo Partners (2014) </w:t>
      </w:r>
      <w:r w:rsidRPr="001137A9">
        <w:rPr>
          <w:rFonts w:asciiTheme="majorHAnsi" w:eastAsia="Calibri" w:hAnsiTheme="majorHAnsi" w:cstheme="majorHAnsi"/>
          <w:sz w:val="23"/>
          <w:szCs w:val="23"/>
        </w:rPr>
        <w:t>Evaluation of the National Partnership on Youth Attainment and Transitions. Report for the Department of Education</w:t>
      </w:r>
    </w:p>
    <w:p w14:paraId="4B25CED8"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Etzkowitz, Henry and Leydesdorff, Loet, The Triple Helix -- University-Industry-Government Relations: A Laboratory for Knowledge Based Economic Development (January 1, 1995). EASST Review, Vol. 14, No. 1, pp. 14-19, 1995, Available at SSRN: </w:t>
      </w:r>
      <w:hyperlink r:id="rId146">
        <w:r w:rsidRPr="001137A9">
          <w:rPr>
            <w:rStyle w:val="Hyperlink"/>
            <w:rFonts w:asciiTheme="majorHAnsi" w:eastAsia="Calibri" w:hAnsiTheme="majorHAnsi" w:cstheme="majorHAnsi"/>
            <w:sz w:val="23"/>
            <w:szCs w:val="23"/>
          </w:rPr>
          <w:t>https://ssrn.com/abstract=2480085</w:t>
        </w:r>
      </w:hyperlink>
    </w:p>
    <w:p w14:paraId="047D1F65"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u w:val="single"/>
        </w:rPr>
        <w:lastRenderedPageBreak/>
        <w:t xml:space="preserve">GROW (Geelong Region Opportunities for Work) </w:t>
      </w:r>
      <w:hyperlink r:id="rId147">
        <w:r w:rsidRPr="001137A9">
          <w:rPr>
            <w:rStyle w:val="Hyperlink"/>
            <w:rFonts w:asciiTheme="majorHAnsi" w:eastAsia="Calibri" w:hAnsiTheme="majorHAnsi" w:cstheme="majorHAnsi"/>
            <w:sz w:val="23"/>
            <w:szCs w:val="23"/>
          </w:rPr>
          <w:t>GROW G21 Region Opportunities for Work</w:t>
        </w:r>
      </w:hyperlink>
      <w:r w:rsidRPr="001137A9">
        <w:rPr>
          <w:rFonts w:asciiTheme="majorHAnsi" w:eastAsia="Calibri" w:hAnsiTheme="majorHAnsi" w:cstheme="majorHAnsi"/>
          <w:sz w:val="23"/>
          <w:szCs w:val="23"/>
        </w:rPr>
        <w:t xml:space="preserve"> Accessed 27.1.21</w:t>
      </w:r>
    </w:p>
    <w:p w14:paraId="4F2A20E2"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u w:val="single"/>
        </w:rPr>
        <w:t xml:space="preserve">Infrastructure Australia </w:t>
      </w:r>
      <w:hyperlink r:id="rId148">
        <w:r w:rsidRPr="001137A9">
          <w:rPr>
            <w:rStyle w:val="Hyperlink"/>
            <w:rFonts w:asciiTheme="majorHAnsi" w:eastAsia="Calibri" w:hAnsiTheme="majorHAnsi" w:cstheme="majorHAnsi"/>
            <w:sz w:val="23"/>
            <w:szCs w:val="23"/>
          </w:rPr>
          <w:t>Creating Places for People — an urban design protocol for Australian cities | Infrastructure Australia</w:t>
        </w:r>
      </w:hyperlink>
      <w:r w:rsidRPr="001137A9">
        <w:rPr>
          <w:rFonts w:asciiTheme="majorHAnsi" w:eastAsia="Calibri" w:hAnsiTheme="majorHAnsi" w:cstheme="majorHAnsi"/>
          <w:sz w:val="23"/>
          <w:szCs w:val="23"/>
        </w:rPr>
        <w:t xml:space="preserve"> Accessed 27.1.21</w:t>
      </w:r>
    </w:p>
    <w:p w14:paraId="1E3C6AFA"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u w:val="single"/>
        </w:rPr>
        <w:t xml:space="preserve">Institute of Health and Welfare </w:t>
      </w:r>
      <w:hyperlink r:id="rId149">
        <w:r w:rsidRPr="001137A9">
          <w:rPr>
            <w:rStyle w:val="Hyperlink"/>
            <w:rFonts w:asciiTheme="majorHAnsi" w:eastAsia="Calibri" w:hAnsiTheme="majorHAnsi" w:cstheme="majorHAnsi"/>
            <w:sz w:val="23"/>
            <w:szCs w:val="23"/>
          </w:rPr>
          <w:t>Housing Assistance in Australia 2017, Housing assistance: why do we need it and what supports exist? - Australian Institute of Health and Welfare (aihw.gov.au)</w:t>
        </w:r>
      </w:hyperlink>
      <w:r w:rsidRPr="001137A9">
        <w:rPr>
          <w:rFonts w:asciiTheme="majorHAnsi" w:eastAsia="Calibri" w:hAnsiTheme="majorHAnsi" w:cstheme="majorHAnsi"/>
          <w:sz w:val="23"/>
          <w:szCs w:val="23"/>
        </w:rPr>
        <w:t xml:space="preserve"> Accessed 27.1.21</w:t>
      </w:r>
    </w:p>
    <w:p w14:paraId="0EE0A961"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National Centre for Student Equity in Higher Education (2017) NCSEHE FOCUS Successful outcomes for regional and remote students in Australian higher education Issues, challenges, opportunities and recommendations from research funded by the National Centre for Student Equity in Higher Education </w:t>
      </w:r>
      <w:hyperlink r:id="rId150">
        <w:r w:rsidRPr="001137A9">
          <w:rPr>
            <w:rStyle w:val="Hyperlink"/>
            <w:rFonts w:asciiTheme="majorHAnsi" w:eastAsia="Calibri" w:hAnsiTheme="majorHAnsi" w:cstheme="majorHAnsi"/>
            <w:sz w:val="23"/>
            <w:szCs w:val="23"/>
          </w:rPr>
          <w:t>NCSEHE Focus: Successful outcomes for regional and remote students in Australian higher education - NCSEHE</w:t>
        </w:r>
      </w:hyperlink>
      <w:r w:rsidRPr="001137A9">
        <w:rPr>
          <w:rFonts w:asciiTheme="majorHAnsi" w:eastAsia="Calibri" w:hAnsiTheme="majorHAnsi" w:cstheme="majorHAnsi"/>
          <w:sz w:val="23"/>
          <w:szCs w:val="23"/>
        </w:rPr>
        <w:t xml:space="preserve"> Accessed 26.1.2021.</w:t>
      </w:r>
    </w:p>
    <w:p w14:paraId="5BCE9653"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National Disability Insurance Scheme </w:t>
      </w:r>
      <w:hyperlink r:id="rId151">
        <w:r w:rsidRPr="001137A9">
          <w:rPr>
            <w:rStyle w:val="Hyperlink"/>
            <w:rFonts w:asciiTheme="majorHAnsi" w:eastAsia="Calibri" w:hAnsiTheme="majorHAnsi" w:cstheme="majorHAnsi"/>
            <w:sz w:val="23"/>
            <w:szCs w:val="23"/>
          </w:rPr>
          <w:t>National Disability Insurance Scheme (NDIS)</w:t>
        </w:r>
      </w:hyperlink>
      <w:r w:rsidRPr="001137A9">
        <w:rPr>
          <w:rFonts w:asciiTheme="majorHAnsi" w:eastAsia="Calibri" w:hAnsiTheme="majorHAnsi" w:cstheme="majorHAnsi"/>
          <w:sz w:val="23"/>
          <w:szCs w:val="23"/>
        </w:rPr>
        <w:t xml:space="preserve"> Accessed 27.1.21</w:t>
      </w:r>
    </w:p>
    <w:p w14:paraId="1F69CED0"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OECD (2019), </w:t>
      </w:r>
      <w:r w:rsidRPr="001137A9">
        <w:rPr>
          <w:rFonts w:asciiTheme="majorHAnsi" w:eastAsia="Calibri" w:hAnsiTheme="majorHAnsi" w:cstheme="majorHAnsi"/>
          <w:i/>
          <w:iCs/>
          <w:sz w:val="23"/>
          <w:szCs w:val="23"/>
        </w:rPr>
        <w:t>OECD Regional Outlook 2019: Leveraging Megatrends for Cities and Rural Areas</w:t>
      </w:r>
      <w:r w:rsidRPr="001137A9">
        <w:rPr>
          <w:rFonts w:asciiTheme="majorHAnsi" w:eastAsia="Calibri" w:hAnsiTheme="majorHAnsi" w:cstheme="majorHAnsi"/>
          <w:sz w:val="23"/>
          <w:szCs w:val="23"/>
        </w:rPr>
        <w:t xml:space="preserve">, OECD Publishing, Paris, </w:t>
      </w:r>
      <w:hyperlink r:id="rId152">
        <w:r w:rsidRPr="001137A9">
          <w:rPr>
            <w:rStyle w:val="Hyperlink"/>
            <w:rFonts w:asciiTheme="majorHAnsi" w:eastAsia="Calibri" w:hAnsiTheme="majorHAnsi" w:cstheme="majorHAnsi"/>
            <w:sz w:val="23"/>
            <w:szCs w:val="23"/>
          </w:rPr>
          <w:t>https://doi.org/10.1787/9789264312838-en</w:t>
        </w:r>
      </w:hyperlink>
      <w:r w:rsidRPr="001137A9">
        <w:rPr>
          <w:rFonts w:asciiTheme="majorHAnsi" w:eastAsia="Calibri" w:hAnsiTheme="majorHAnsi" w:cstheme="majorHAnsi"/>
          <w:sz w:val="23"/>
          <w:szCs w:val="23"/>
        </w:rPr>
        <w:t>.</w:t>
      </w:r>
    </w:p>
    <w:p w14:paraId="392FC12D"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Premier of Victoria (2020) </w:t>
      </w:r>
      <w:hyperlink r:id="rId153">
        <w:r w:rsidRPr="001137A9">
          <w:rPr>
            <w:rStyle w:val="Hyperlink"/>
            <w:rFonts w:asciiTheme="majorHAnsi" w:eastAsia="Calibri" w:hAnsiTheme="majorHAnsi" w:cstheme="majorHAnsi"/>
            <w:sz w:val="23"/>
            <w:szCs w:val="23"/>
          </w:rPr>
          <w:t>Building Better TAFES And Supporting Jobs And Businesses | Premier of Victoria</w:t>
        </w:r>
      </w:hyperlink>
      <w:r w:rsidRPr="001137A9">
        <w:rPr>
          <w:rFonts w:asciiTheme="majorHAnsi" w:eastAsia="Calibri" w:hAnsiTheme="majorHAnsi" w:cstheme="majorHAnsi"/>
          <w:sz w:val="23"/>
          <w:szCs w:val="23"/>
        </w:rPr>
        <w:t xml:space="preserve"> Accessed 27.1.21</w:t>
      </w:r>
    </w:p>
    <w:p w14:paraId="7812BD5A"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Pugalis et al., (2017). The regional economic development paradox: Attempting policy order in the face of societal complexity. </w:t>
      </w:r>
      <w:r w:rsidRPr="001137A9">
        <w:rPr>
          <w:rFonts w:asciiTheme="majorHAnsi" w:eastAsia="Calibri" w:hAnsiTheme="majorHAnsi" w:cstheme="majorHAnsi"/>
          <w:i/>
          <w:iCs/>
          <w:sz w:val="23"/>
          <w:szCs w:val="23"/>
          <w:lang w:val="en-GB"/>
        </w:rPr>
        <w:t>Australasian Journal of Regional Studies</w:t>
      </w:r>
      <w:r w:rsidRPr="001137A9">
        <w:rPr>
          <w:rFonts w:asciiTheme="majorHAnsi" w:eastAsia="Calibri" w:hAnsiTheme="majorHAnsi" w:cstheme="majorHAnsi"/>
          <w:sz w:val="23"/>
          <w:szCs w:val="23"/>
          <w:lang w:val="en-GB"/>
        </w:rPr>
        <w:t>, 23(1), 68-95.</w:t>
      </w:r>
    </w:p>
    <w:p w14:paraId="01F71604"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Regional Australia Institute. (2015). The future of regional Australia: Change on our terms. </w:t>
      </w:r>
    </w:p>
    <w:p w14:paraId="7F1455B7"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Regional Australia Institute (2019) </w:t>
      </w:r>
      <w:hyperlink r:id="rId154">
        <w:r w:rsidRPr="001137A9">
          <w:rPr>
            <w:rStyle w:val="Hyperlink"/>
            <w:rFonts w:asciiTheme="majorHAnsi" w:eastAsia="Calibri" w:hAnsiTheme="majorHAnsi" w:cstheme="majorHAnsi"/>
            <w:sz w:val="23"/>
            <w:szCs w:val="23"/>
          </w:rPr>
          <w:t>RAI_Submission_Select_Committee_Regional_Australia_Final.pdf</w:t>
        </w:r>
      </w:hyperlink>
      <w:r w:rsidRPr="001137A9">
        <w:rPr>
          <w:rFonts w:asciiTheme="majorHAnsi" w:eastAsia="Calibri" w:hAnsiTheme="majorHAnsi" w:cstheme="majorHAnsi"/>
          <w:sz w:val="23"/>
          <w:szCs w:val="23"/>
        </w:rPr>
        <w:t xml:space="preserve"> Accessed 27.1.21</w:t>
      </w:r>
    </w:p>
    <w:p w14:paraId="4A294B83"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Regional Cities Victoria (2010). Inquiry into the Extent and Nature of Disadvantage and Inequity in Rural and Regional Victoria. Submission. </w:t>
      </w:r>
    </w:p>
    <w:p w14:paraId="2D42BF13"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Regional Australia Institute (2019) </w:t>
      </w:r>
      <w:hyperlink r:id="rId155">
        <w:r w:rsidRPr="001137A9">
          <w:rPr>
            <w:rStyle w:val="Hyperlink"/>
            <w:rFonts w:asciiTheme="majorHAnsi" w:eastAsia="Calibri" w:hAnsiTheme="majorHAnsi" w:cstheme="majorHAnsi"/>
            <w:sz w:val="23"/>
            <w:szCs w:val="23"/>
          </w:rPr>
          <w:t>RAI_SIP-2018-2-1-2_FutureRegionalJobs_Booklet_Print_3.pdf (regionalaustralia.org.au)</w:t>
        </w:r>
      </w:hyperlink>
      <w:r w:rsidRPr="001137A9">
        <w:rPr>
          <w:rFonts w:asciiTheme="majorHAnsi" w:eastAsia="Calibri" w:hAnsiTheme="majorHAnsi" w:cstheme="majorHAnsi"/>
          <w:sz w:val="23"/>
          <w:szCs w:val="23"/>
        </w:rPr>
        <w:t xml:space="preserve"> Accessed 27.1.21</w:t>
      </w:r>
    </w:p>
    <w:p w14:paraId="74A9179D"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Regional Australia Institute </w:t>
      </w:r>
      <w:hyperlink r:id="rId156">
        <w:r w:rsidRPr="001137A9">
          <w:rPr>
            <w:rStyle w:val="Hyperlink"/>
            <w:rFonts w:asciiTheme="majorHAnsi" w:eastAsia="Calibri" w:hAnsiTheme="majorHAnsi" w:cstheme="majorHAnsi"/>
            <w:sz w:val="23"/>
            <w:szCs w:val="23"/>
          </w:rPr>
          <w:t>190506_PolicyHack_Summary_Final.pdf (regionalaustralia.org.au)</w:t>
        </w:r>
      </w:hyperlink>
      <w:r w:rsidRPr="001137A9">
        <w:rPr>
          <w:rFonts w:asciiTheme="majorHAnsi" w:eastAsia="Calibri" w:hAnsiTheme="majorHAnsi" w:cstheme="majorHAnsi"/>
          <w:sz w:val="23"/>
          <w:szCs w:val="23"/>
        </w:rPr>
        <w:t xml:space="preserve"> Accessed 27.1.21</w:t>
      </w:r>
    </w:p>
    <w:p w14:paraId="15FBC877"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Planning Institute Australia. (2004). Liveable communities: How the Commonwealth can foster sustainable cities and regions. </w:t>
      </w:r>
    </w:p>
    <w:p w14:paraId="77463C64"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Planning Institute Australia. (2010). Rural and Regional Development Policy (12/10). </w:t>
      </w:r>
    </w:p>
    <w:p w14:paraId="5C87CD40"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Planning Institute Australia. (2006). Rural and Regional </w:t>
      </w:r>
      <w:proofErr w:type="gramStart"/>
      <w:r w:rsidRPr="001137A9">
        <w:rPr>
          <w:rFonts w:asciiTheme="majorHAnsi" w:eastAsia="Calibri" w:hAnsiTheme="majorHAnsi" w:cstheme="majorHAnsi"/>
          <w:sz w:val="23"/>
          <w:szCs w:val="23"/>
          <w:lang w:val="en-GB"/>
        </w:rPr>
        <w:t>Development  -</w:t>
      </w:r>
      <w:proofErr w:type="gramEnd"/>
      <w:r w:rsidRPr="001137A9">
        <w:rPr>
          <w:rFonts w:asciiTheme="majorHAnsi" w:eastAsia="Calibri" w:hAnsiTheme="majorHAnsi" w:cstheme="majorHAnsi"/>
          <w:sz w:val="23"/>
          <w:szCs w:val="23"/>
          <w:lang w:val="en-GB"/>
        </w:rPr>
        <w:t xml:space="preserve"> A Planning Response (12/10).  </w:t>
      </w:r>
    </w:p>
    <w:p w14:paraId="60D9F314"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Profile id. Community Profiles </w:t>
      </w:r>
      <w:hyperlink r:id="rId157">
        <w:r w:rsidRPr="001137A9">
          <w:rPr>
            <w:rStyle w:val="Hyperlink"/>
            <w:rFonts w:asciiTheme="majorHAnsi" w:eastAsia="Calibri" w:hAnsiTheme="majorHAnsi" w:cstheme="majorHAnsi"/>
            <w:sz w:val="23"/>
            <w:szCs w:val="23"/>
          </w:rPr>
          <w:t>Population and dwellings | G21 Region | Community profile (id.com.au)</w:t>
        </w:r>
      </w:hyperlink>
      <w:r w:rsidRPr="001137A9">
        <w:rPr>
          <w:rFonts w:asciiTheme="majorHAnsi" w:eastAsia="Calibri" w:hAnsiTheme="majorHAnsi" w:cstheme="majorHAnsi"/>
          <w:sz w:val="23"/>
          <w:szCs w:val="23"/>
        </w:rPr>
        <w:t xml:space="preserve"> Accessed 27.1.21</w:t>
      </w:r>
    </w:p>
    <w:p w14:paraId="244F3683"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Select Committee on Regional Development and Decentralisation </w:t>
      </w:r>
      <w:hyperlink r:id="rId158">
        <w:r w:rsidRPr="001137A9">
          <w:rPr>
            <w:rStyle w:val="Hyperlink"/>
            <w:rFonts w:asciiTheme="majorHAnsi" w:eastAsia="Calibri" w:hAnsiTheme="majorHAnsi" w:cstheme="majorHAnsi"/>
            <w:sz w:val="23"/>
            <w:szCs w:val="23"/>
          </w:rPr>
          <w:t>Regions at the Ready: Investing in Australia's Future – Parliament of Australia (aph.gov.au)</w:t>
        </w:r>
      </w:hyperlink>
      <w:r w:rsidRPr="001137A9">
        <w:rPr>
          <w:rFonts w:asciiTheme="majorHAnsi" w:eastAsia="Calibri" w:hAnsiTheme="majorHAnsi" w:cstheme="majorHAnsi"/>
          <w:sz w:val="23"/>
          <w:szCs w:val="23"/>
        </w:rPr>
        <w:t xml:space="preserve"> Accessed 27.1.21</w:t>
      </w:r>
    </w:p>
    <w:p w14:paraId="4F4C9550" w14:textId="46997BAF" w:rsidR="00B25E3F" w:rsidRPr="00B25E3F" w:rsidRDefault="00B25E3F" w:rsidP="00B25E3F">
      <w:pPr>
        <w:spacing w:after="0" w:line="240" w:lineRule="auto"/>
        <w:ind w:left="567" w:hanging="567"/>
        <w:rPr>
          <w:rFonts w:asciiTheme="majorHAnsi" w:eastAsia="Calibri" w:hAnsiTheme="majorHAnsi" w:cstheme="majorHAnsi"/>
          <w:sz w:val="23"/>
          <w:szCs w:val="23"/>
        </w:rPr>
      </w:pPr>
      <w:r w:rsidRPr="00B25E3F">
        <w:rPr>
          <w:rFonts w:asciiTheme="majorHAnsi" w:eastAsia="Calibri" w:hAnsiTheme="majorHAnsi" w:cstheme="majorHAnsi"/>
          <w:sz w:val="23"/>
          <w:szCs w:val="23"/>
        </w:rPr>
        <w:t>Services Australia (2021). JobSeeker: How Much You Can Get, Australian Government: Services Australia, 23 April,</w:t>
      </w:r>
      <w:r w:rsidR="000E6DB8">
        <w:rPr>
          <w:rFonts w:asciiTheme="majorHAnsi" w:eastAsia="Calibri" w:hAnsiTheme="majorHAnsi" w:cstheme="majorHAnsi"/>
          <w:sz w:val="23"/>
          <w:szCs w:val="23"/>
        </w:rPr>
        <w:t xml:space="preserve"> </w:t>
      </w:r>
      <w:hyperlink r:id="rId159" w:history="1">
        <w:r w:rsidR="000E6DB8" w:rsidRPr="00037ED1">
          <w:rPr>
            <w:rStyle w:val="Hyperlink"/>
            <w:rFonts w:asciiTheme="majorHAnsi" w:eastAsia="Calibri" w:hAnsiTheme="majorHAnsi" w:cstheme="majorHAnsi"/>
            <w:sz w:val="23"/>
            <w:szCs w:val="23"/>
          </w:rPr>
          <w:t>https://www.servicesaustralia.gov.au/individuals/services/centrelink/jobseeker-payment/how-much-you-can-get</w:t>
        </w:r>
      </w:hyperlink>
      <w:r w:rsidRPr="00B25E3F">
        <w:rPr>
          <w:rFonts w:asciiTheme="majorHAnsi" w:eastAsia="Calibri" w:hAnsiTheme="majorHAnsi" w:cstheme="majorHAnsi"/>
          <w:sz w:val="23"/>
          <w:szCs w:val="23"/>
        </w:rPr>
        <w:t xml:space="preserve"> </w:t>
      </w:r>
    </w:p>
    <w:p w14:paraId="0DEAF6D1"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Skilling the Bay. Gordon Institute of TAFE </w:t>
      </w:r>
      <w:hyperlink r:id="rId160">
        <w:r w:rsidRPr="001137A9">
          <w:rPr>
            <w:rStyle w:val="Hyperlink"/>
            <w:rFonts w:asciiTheme="majorHAnsi" w:eastAsia="Calibri" w:hAnsiTheme="majorHAnsi" w:cstheme="majorHAnsi"/>
            <w:sz w:val="23"/>
            <w:szCs w:val="23"/>
          </w:rPr>
          <w:t>Skilling the Bay (thegordon.edu.au)</w:t>
        </w:r>
      </w:hyperlink>
      <w:r w:rsidRPr="001137A9">
        <w:rPr>
          <w:rFonts w:asciiTheme="majorHAnsi" w:eastAsia="Calibri" w:hAnsiTheme="majorHAnsi" w:cstheme="majorHAnsi"/>
          <w:sz w:val="23"/>
          <w:szCs w:val="23"/>
        </w:rPr>
        <w:t xml:space="preserve"> Accessed 27.1.21</w:t>
      </w:r>
    </w:p>
    <w:p w14:paraId="0A0B5E63"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UNESCO </w:t>
      </w:r>
      <w:hyperlink r:id="rId161">
        <w:r w:rsidRPr="001137A9">
          <w:rPr>
            <w:rStyle w:val="Hyperlink"/>
            <w:rFonts w:asciiTheme="majorHAnsi" w:eastAsia="Calibri" w:hAnsiTheme="majorHAnsi" w:cstheme="majorHAnsi"/>
            <w:sz w:val="23"/>
            <w:szCs w:val="23"/>
          </w:rPr>
          <w:t>Creative Cities | Creative Cities Network (unesco.org)</w:t>
        </w:r>
      </w:hyperlink>
      <w:r w:rsidRPr="001137A9">
        <w:rPr>
          <w:rFonts w:asciiTheme="majorHAnsi" w:eastAsia="Calibri" w:hAnsiTheme="majorHAnsi" w:cstheme="majorHAnsi"/>
          <w:sz w:val="23"/>
          <w:szCs w:val="23"/>
        </w:rPr>
        <w:t xml:space="preserve"> Accessed 26.1.2021</w:t>
      </w:r>
    </w:p>
    <w:p w14:paraId="7130A0C1"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United Nations (2016) </w:t>
      </w:r>
      <w:hyperlink r:id="rId162">
        <w:r w:rsidRPr="001137A9">
          <w:rPr>
            <w:rStyle w:val="Hyperlink"/>
            <w:rFonts w:asciiTheme="majorHAnsi" w:eastAsia="Calibri" w:hAnsiTheme="majorHAnsi" w:cstheme="majorHAnsi"/>
            <w:sz w:val="23"/>
            <w:szCs w:val="23"/>
          </w:rPr>
          <w:t>The New Urban Agenda - Habitat III (habitat3.org)</w:t>
        </w:r>
      </w:hyperlink>
      <w:r w:rsidRPr="001137A9">
        <w:rPr>
          <w:rFonts w:asciiTheme="majorHAnsi" w:eastAsia="Calibri" w:hAnsiTheme="majorHAnsi" w:cstheme="majorHAnsi"/>
          <w:sz w:val="23"/>
          <w:szCs w:val="23"/>
        </w:rPr>
        <w:t xml:space="preserve"> Accessed 26.1.2021</w:t>
      </w:r>
    </w:p>
    <w:p w14:paraId="7193ED11"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University of Canberra. (2016). The 2015 Regional Wellbeing Survey – Wellbeing, Resilience and Liveability in Regional Australia. </w:t>
      </w:r>
    </w:p>
    <w:p w14:paraId="52FAA72D"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Victoria Government </w:t>
      </w:r>
      <w:hyperlink r:id="rId163">
        <w:r w:rsidRPr="001137A9">
          <w:rPr>
            <w:rStyle w:val="Hyperlink"/>
            <w:rFonts w:asciiTheme="majorHAnsi" w:eastAsia="Calibri" w:hAnsiTheme="majorHAnsi" w:cstheme="majorHAnsi"/>
            <w:sz w:val="23"/>
            <w:szCs w:val="23"/>
          </w:rPr>
          <w:t>Big housing build | Victorian Government (www.vic.gov.au)</w:t>
        </w:r>
      </w:hyperlink>
      <w:r w:rsidRPr="001137A9">
        <w:rPr>
          <w:rFonts w:asciiTheme="majorHAnsi" w:eastAsia="Calibri" w:hAnsiTheme="majorHAnsi" w:cstheme="majorHAnsi"/>
          <w:sz w:val="23"/>
          <w:szCs w:val="23"/>
        </w:rPr>
        <w:t xml:space="preserve"> Accessed 27.1.21</w:t>
      </w:r>
    </w:p>
    <w:p w14:paraId="74EC48E1"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Western Australia Department of Primary Industries and Regional Development </w:t>
      </w:r>
      <w:hyperlink r:id="rId164">
        <w:r w:rsidRPr="001137A9">
          <w:rPr>
            <w:rStyle w:val="Hyperlink"/>
            <w:rFonts w:asciiTheme="majorHAnsi" w:eastAsia="Calibri" w:hAnsiTheme="majorHAnsi" w:cstheme="majorHAnsi"/>
            <w:sz w:val="23"/>
            <w:szCs w:val="23"/>
          </w:rPr>
          <w:t>Regional Development Strategy (drd.wa.gov.au)</w:t>
        </w:r>
      </w:hyperlink>
      <w:r w:rsidRPr="001137A9">
        <w:rPr>
          <w:rFonts w:asciiTheme="majorHAnsi" w:eastAsia="Calibri" w:hAnsiTheme="majorHAnsi" w:cstheme="majorHAnsi"/>
          <w:sz w:val="23"/>
          <w:szCs w:val="23"/>
        </w:rPr>
        <w:t xml:space="preserve"> Accessed 27.1.21</w:t>
      </w:r>
    </w:p>
    <w:p w14:paraId="27B4D048"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Victoria State Government </w:t>
      </w:r>
      <w:hyperlink r:id="rId165">
        <w:r w:rsidRPr="001137A9">
          <w:rPr>
            <w:rStyle w:val="Hyperlink"/>
            <w:rFonts w:asciiTheme="majorHAnsi" w:eastAsia="Calibri" w:hAnsiTheme="majorHAnsi" w:cstheme="majorHAnsi"/>
            <w:sz w:val="23"/>
            <w:szCs w:val="23"/>
          </w:rPr>
          <w:t>Expert Advisory Panel for Rural and Regional Students (education.vic.gov.au)</w:t>
        </w:r>
      </w:hyperlink>
      <w:r w:rsidRPr="001137A9">
        <w:rPr>
          <w:rFonts w:asciiTheme="majorHAnsi" w:eastAsia="Calibri" w:hAnsiTheme="majorHAnsi" w:cstheme="majorHAnsi"/>
          <w:sz w:val="23"/>
          <w:szCs w:val="23"/>
        </w:rPr>
        <w:t xml:space="preserve"> Accessed 27.1.21</w:t>
      </w:r>
    </w:p>
    <w:p w14:paraId="5EA72D66"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Victoria State Government </w:t>
      </w:r>
      <w:hyperlink r:id="rId166">
        <w:r w:rsidRPr="001137A9">
          <w:rPr>
            <w:rStyle w:val="Hyperlink"/>
            <w:rFonts w:asciiTheme="majorHAnsi" w:eastAsia="Calibri" w:hAnsiTheme="majorHAnsi" w:cstheme="majorHAnsi"/>
            <w:sz w:val="23"/>
            <w:szCs w:val="23"/>
          </w:rPr>
          <w:t>Social Procurement Framework (buyingfor.vic.gov.au)</w:t>
        </w:r>
      </w:hyperlink>
      <w:r w:rsidRPr="001137A9">
        <w:rPr>
          <w:rFonts w:asciiTheme="majorHAnsi" w:eastAsia="Calibri" w:hAnsiTheme="majorHAnsi" w:cstheme="majorHAnsi"/>
          <w:sz w:val="23"/>
          <w:szCs w:val="23"/>
        </w:rPr>
        <w:t xml:space="preserve"> Accessed 27.1.21</w:t>
      </w:r>
    </w:p>
    <w:p w14:paraId="4E859AB0"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lastRenderedPageBreak/>
        <w:t xml:space="preserve">Victoria State Government, Department of Finance </w:t>
      </w:r>
      <w:hyperlink r:id="rId167">
        <w:r w:rsidRPr="001137A9">
          <w:rPr>
            <w:rStyle w:val="Hyperlink"/>
            <w:rFonts w:asciiTheme="majorHAnsi" w:eastAsia="Calibri" w:hAnsiTheme="majorHAnsi" w:cstheme="majorHAnsi"/>
            <w:sz w:val="23"/>
            <w:szCs w:val="23"/>
          </w:rPr>
          <w:t>Partnerships Addressing Disadvantage | Department of Treasury and Finance Victoria (dtf.vic.gov.au)</w:t>
        </w:r>
      </w:hyperlink>
      <w:r w:rsidRPr="001137A9">
        <w:rPr>
          <w:rFonts w:asciiTheme="majorHAnsi" w:eastAsia="Calibri" w:hAnsiTheme="majorHAnsi" w:cstheme="majorHAnsi"/>
          <w:sz w:val="23"/>
          <w:szCs w:val="23"/>
        </w:rPr>
        <w:t xml:space="preserve"> Accessed 27.1.21</w:t>
      </w:r>
    </w:p>
    <w:p w14:paraId="768C3CB5"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Victoria State Government Department of Education and Training </w:t>
      </w:r>
      <w:hyperlink r:id="rId168">
        <w:r w:rsidRPr="001137A9">
          <w:rPr>
            <w:rStyle w:val="Hyperlink"/>
            <w:rFonts w:asciiTheme="majorHAnsi" w:eastAsia="Calibri" w:hAnsiTheme="majorHAnsi" w:cstheme="majorHAnsi"/>
            <w:sz w:val="23"/>
            <w:szCs w:val="23"/>
          </w:rPr>
          <w:t>Skills First (education.vic.gov.au)</w:t>
        </w:r>
      </w:hyperlink>
      <w:r w:rsidRPr="001137A9">
        <w:rPr>
          <w:rFonts w:asciiTheme="majorHAnsi" w:eastAsia="Calibri" w:hAnsiTheme="majorHAnsi" w:cstheme="majorHAnsi"/>
          <w:sz w:val="23"/>
          <w:szCs w:val="23"/>
        </w:rPr>
        <w:t xml:space="preserve"> Accessed 27.1.21</w:t>
      </w:r>
    </w:p>
    <w:p w14:paraId="7D01E5BC"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Victoria State Government Department of Education and Training </w:t>
      </w:r>
      <w:hyperlink r:id="rId169">
        <w:r w:rsidRPr="001137A9">
          <w:rPr>
            <w:rStyle w:val="Hyperlink"/>
            <w:rFonts w:asciiTheme="majorHAnsi" w:eastAsia="Calibri" w:hAnsiTheme="majorHAnsi" w:cstheme="majorHAnsi"/>
            <w:sz w:val="23"/>
            <w:szCs w:val="23"/>
          </w:rPr>
          <w:t>Regional and Specialist Training Fund (education.vic.gov.au)</w:t>
        </w:r>
      </w:hyperlink>
      <w:r w:rsidRPr="001137A9">
        <w:rPr>
          <w:rFonts w:asciiTheme="majorHAnsi" w:eastAsia="Calibri" w:hAnsiTheme="majorHAnsi" w:cstheme="majorHAnsi"/>
          <w:sz w:val="23"/>
          <w:szCs w:val="23"/>
        </w:rPr>
        <w:t xml:space="preserve"> Accessed 27.1.21</w:t>
      </w:r>
    </w:p>
    <w:p w14:paraId="4CD75269"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Victoria State Government Department of Environment, Land, Water and Panning </w:t>
      </w:r>
      <w:hyperlink r:id="rId170" w:anchor=":~:text=The%20G21%20Regional%20Growth%20Plan%20covers%20the%20municipalities,part%20of%20the%20Central%20Highlands%20Regional%20Growth%20Plan.">
        <w:r w:rsidRPr="001137A9">
          <w:rPr>
            <w:rStyle w:val="Hyperlink"/>
            <w:rFonts w:asciiTheme="majorHAnsi" w:eastAsia="Calibri" w:hAnsiTheme="majorHAnsi" w:cstheme="majorHAnsi"/>
            <w:sz w:val="23"/>
            <w:szCs w:val="23"/>
          </w:rPr>
          <w:t>G21 Regional Growth Plan (planning.vic.gov.au)</w:t>
        </w:r>
      </w:hyperlink>
      <w:r w:rsidRPr="001137A9">
        <w:rPr>
          <w:rFonts w:asciiTheme="majorHAnsi" w:eastAsia="Calibri" w:hAnsiTheme="majorHAnsi" w:cstheme="majorHAnsi"/>
          <w:sz w:val="23"/>
          <w:szCs w:val="23"/>
        </w:rPr>
        <w:t xml:space="preserve"> Accessed 27.1.21</w:t>
      </w:r>
    </w:p>
    <w:p w14:paraId="7B815C62"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Victoria State Government Department of Environment, Land, Water and Panning </w:t>
      </w:r>
      <w:hyperlink r:id="rId171">
        <w:r w:rsidRPr="001137A9">
          <w:rPr>
            <w:rStyle w:val="Hyperlink"/>
            <w:rFonts w:asciiTheme="majorHAnsi" w:eastAsia="Calibri" w:hAnsiTheme="majorHAnsi" w:cstheme="majorHAnsi"/>
            <w:sz w:val="23"/>
            <w:szCs w:val="23"/>
          </w:rPr>
          <w:t>Victoria in Future 2019 released (planning.vic.gov.au)</w:t>
        </w:r>
      </w:hyperlink>
      <w:r w:rsidRPr="001137A9">
        <w:rPr>
          <w:rFonts w:asciiTheme="majorHAnsi" w:eastAsia="Calibri" w:hAnsiTheme="majorHAnsi" w:cstheme="majorHAnsi"/>
          <w:sz w:val="23"/>
          <w:szCs w:val="23"/>
        </w:rPr>
        <w:t xml:space="preserve"> Accessed 27.1.21</w:t>
      </w:r>
    </w:p>
    <w:p w14:paraId="2CC21E6E"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Victorian State Government, Department of Finance </w:t>
      </w:r>
      <w:hyperlink r:id="rId172">
        <w:r w:rsidRPr="001137A9">
          <w:rPr>
            <w:rStyle w:val="Hyperlink"/>
            <w:rFonts w:asciiTheme="majorHAnsi" w:eastAsia="Calibri" w:hAnsiTheme="majorHAnsi" w:cstheme="majorHAnsi"/>
            <w:sz w:val="23"/>
            <w:szCs w:val="23"/>
          </w:rPr>
          <w:t>Social Impact Bonds - Statement of Opportunities.pdf (dtf.vic.gov.au)</w:t>
        </w:r>
      </w:hyperlink>
      <w:r w:rsidRPr="001137A9">
        <w:rPr>
          <w:rFonts w:asciiTheme="majorHAnsi" w:eastAsia="Calibri" w:hAnsiTheme="majorHAnsi" w:cstheme="majorHAnsi"/>
          <w:sz w:val="23"/>
          <w:szCs w:val="23"/>
        </w:rPr>
        <w:t xml:space="preserve"> Accessed 27.1.21</w:t>
      </w:r>
    </w:p>
    <w:p w14:paraId="2E161B22"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Victoria State Government, Department of Health and Human Services </w:t>
      </w:r>
      <w:hyperlink r:id="rId173">
        <w:r w:rsidRPr="001137A9">
          <w:rPr>
            <w:rStyle w:val="Hyperlink"/>
            <w:rFonts w:asciiTheme="majorHAnsi" w:eastAsia="Calibri" w:hAnsiTheme="majorHAnsi" w:cstheme="majorHAnsi"/>
            <w:sz w:val="23"/>
            <w:szCs w:val="23"/>
          </w:rPr>
          <w:t>Department of Health and Human Services Victoria | Homes for Victorians (dhhs.vic.gov.au)</w:t>
        </w:r>
      </w:hyperlink>
      <w:r w:rsidRPr="001137A9">
        <w:rPr>
          <w:rFonts w:asciiTheme="majorHAnsi" w:eastAsia="Calibri" w:hAnsiTheme="majorHAnsi" w:cstheme="majorHAnsi"/>
          <w:sz w:val="23"/>
          <w:szCs w:val="23"/>
        </w:rPr>
        <w:t xml:space="preserve"> Accessed 27.1.21</w:t>
      </w:r>
    </w:p>
    <w:p w14:paraId="211BB188"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Victoria State Government, Regional Development Victoria </w:t>
      </w:r>
      <w:hyperlink r:id="rId174">
        <w:r w:rsidRPr="001137A9">
          <w:rPr>
            <w:rStyle w:val="Hyperlink"/>
            <w:rFonts w:asciiTheme="majorHAnsi" w:eastAsia="Calibri" w:hAnsiTheme="majorHAnsi" w:cstheme="majorHAnsi"/>
            <w:sz w:val="23"/>
            <w:szCs w:val="23"/>
          </w:rPr>
          <w:t>Regional Jobs Fund - Regional Development Victoria (rdv.vic.gov.au)</w:t>
        </w:r>
      </w:hyperlink>
      <w:r w:rsidRPr="001137A9">
        <w:rPr>
          <w:rFonts w:asciiTheme="majorHAnsi" w:eastAsia="Calibri" w:hAnsiTheme="majorHAnsi" w:cstheme="majorHAnsi"/>
          <w:sz w:val="23"/>
          <w:szCs w:val="23"/>
        </w:rPr>
        <w:t xml:space="preserve"> Accessed 27.1.21.</w:t>
      </w:r>
    </w:p>
    <w:p w14:paraId="3E768181"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Victoria State Government, Regional Development Victoria </w:t>
      </w:r>
      <w:hyperlink r:id="rId175" w:anchor=":~:text=%20The%20objectives%20of%20the%20program%20are%20to:,change%20in%20local%20communities%20and%20regions%20More">
        <w:r w:rsidRPr="001137A9">
          <w:rPr>
            <w:rStyle w:val="Hyperlink"/>
            <w:rFonts w:asciiTheme="majorHAnsi" w:eastAsia="Calibri" w:hAnsiTheme="majorHAnsi" w:cstheme="majorHAnsi"/>
            <w:sz w:val="23"/>
            <w:szCs w:val="23"/>
          </w:rPr>
          <w:t>Regional Community Leadership Program - Regional Development Victoria (rdv.vic.gov.au)</w:t>
        </w:r>
      </w:hyperlink>
      <w:r w:rsidRPr="001137A9">
        <w:rPr>
          <w:rFonts w:asciiTheme="majorHAnsi" w:eastAsia="Calibri" w:hAnsiTheme="majorHAnsi" w:cstheme="majorHAnsi"/>
          <w:sz w:val="23"/>
          <w:szCs w:val="23"/>
        </w:rPr>
        <w:t xml:space="preserve"> Accessed 27.1.21</w:t>
      </w:r>
    </w:p>
    <w:p w14:paraId="6352F632"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Victoria State Government, Regional Development Victoria </w:t>
      </w:r>
      <w:hyperlink r:id="rId176" w:anchor=":~:text=Each%20Regional%20Partnership%20is%20made%20up%20of%20community,so%20that%20all%20levels%20of%20Government%20are%20represented.">
        <w:r w:rsidRPr="001137A9">
          <w:rPr>
            <w:rStyle w:val="Hyperlink"/>
            <w:rFonts w:asciiTheme="majorHAnsi" w:eastAsia="Calibri" w:hAnsiTheme="majorHAnsi" w:cstheme="majorHAnsi"/>
            <w:sz w:val="23"/>
            <w:szCs w:val="23"/>
          </w:rPr>
          <w:t>Regional Partnerships - Regional Development Victoria (rdv.vic.gov.au)</w:t>
        </w:r>
      </w:hyperlink>
      <w:r w:rsidRPr="001137A9">
        <w:rPr>
          <w:rFonts w:asciiTheme="majorHAnsi" w:eastAsia="Calibri" w:hAnsiTheme="majorHAnsi" w:cstheme="majorHAnsi"/>
          <w:sz w:val="23"/>
          <w:szCs w:val="23"/>
        </w:rPr>
        <w:t xml:space="preserve"> Barwon Regional Partnership Accessed 27.1.21</w:t>
      </w:r>
    </w:p>
    <w:p w14:paraId="00BBCF2F"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Victoria State Government Department of Treasury and Finance </w:t>
      </w:r>
      <w:hyperlink r:id="rId177">
        <w:r w:rsidRPr="001137A9">
          <w:rPr>
            <w:rStyle w:val="Hyperlink"/>
            <w:rFonts w:asciiTheme="majorHAnsi" w:eastAsia="Calibri" w:hAnsiTheme="majorHAnsi" w:cstheme="majorHAnsi"/>
            <w:sz w:val="23"/>
            <w:szCs w:val="23"/>
          </w:rPr>
          <w:t>2020-21 State Budget | Department of Treasury and Finance Victoria (dtf.vic.gov.au)</w:t>
        </w:r>
      </w:hyperlink>
      <w:r w:rsidRPr="001137A9">
        <w:rPr>
          <w:rFonts w:asciiTheme="majorHAnsi" w:eastAsia="Calibri" w:hAnsiTheme="majorHAnsi" w:cstheme="majorHAnsi"/>
          <w:sz w:val="23"/>
          <w:szCs w:val="23"/>
        </w:rPr>
        <w:t xml:space="preserve"> Accessed 27.1.21</w:t>
      </w:r>
    </w:p>
    <w:p w14:paraId="4007EA95"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Victoria State Government Department of Environment, Water, Land and Planning </w:t>
      </w:r>
      <w:hyperlink r:id="rId178">
        <w:r w:rsidRPr="001137A9">
          <w:rPr>
            <w:rStyle w:val="Hyperlink"/>
            <w:rFonts w:asciiTheme="majorHAnsi" w:eastAsia="Calibri" w:hAnsiTheme="majorHAnsi" w:cstheme="majorHAnsi"/>
            <w:sz w:val="23"/>
            <w:szCs w:val="23"/>
          </w:rPr>
          <w:t>Urban Design Guidelines for Victoria (planning.vic.gov.au)</w:t>
        </w:r>
      </w:hyperlink>
      <w:r w:rsidRPr="001137A9">
        <w:rPr>
          <w:rFonts w:asciiTheme="majorHAnsi" w:eastAsia="Calibri" w:hAnsiTheme="majorHAnsi" w:cstheme="majorHAnsi"/>
          <w:sz w:val="23"/>
          <w:szCs w:val="23"/>
        </w:rPr>
        <w:t xml:space="preserve"> Accessed 27.1.21</w:t>
      </w:r>
    </w:p>
    <w:p w14:paraId="0ABF2BED"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Victoria State Government </w:t>
      </w:r>
      <w:hyperlink r:id="rId179">
        <w:r w:rsidRPr="001137A9">
          <w:rPr>
            <w:rStyle w:val="Hyperlink"/>
            <w:rFonts w:asciiTheme="majorHAnsi" w:eastAsia="Calibri" w:hAnsiTheme="majorHAnsi" w:cstheme="majorHAnsi"/>
            <w:sz w:val="23"/>
            <w:szCs w:val="23"/>
          </w:rPr>
          <w:t>Renting laws and support | Coronavirus Victoria</w:t>
        </w:r>
      </w:hyperlink>
      <w:r w:rsidRPr="001137A9">
        <w:rPr>
          <w:rFonts w:asciiTheme="majorHAnsi" w:eastAsia="Calibri" w:hAnsiTheme="majorHAnsi" w:cstheme="majorHAnsi"/>
          <w:sz w:val="23"/>
          <w:szCs w:val="23"/>
        </w:rPr>
        <w:t xml:space="preserve"> Accessed 27.1.21</w:t>
      </w:r>
    </w:p>
    <w:p w14:paraId="6304E136"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VicHealth </w:t>
      </w:r>
      <w:hyperlink r:id="rId180">
        <w:r w:rsidRPr="001137A9">
          <w:rPr>
            <w:rStyle w:val="Hyperlink"/>
            <w:rFonts w:asciiTheme="majorHAnsi" w:eastAsia="Calibri" w:hAnsiTheme="majorHAnsi" w:cstheme="majorHAnsi"/>
            <w:sz w:val="23"/>
            <w:szCs w:val="23"/>
          </w:rPr>
          <w:t>Refugee Resettlement in Regional and Rural Victoria (vichealth.vic.gov.au)</w:t>
        </w:r>
      </w:hyperlink>
      <w:r w:rsidRPr="001137A9">
        <w:rPr>
          <w:rFonts w:asciiTheme="majorHAnsi" w:eastAsia="Calibri" w:hAnsiTheme="majorHAnsi" w:cstheme="majorHAnsi"/>
          <w:sz w:val="23"/>
          <w:szCs w:val="23"/>
        </w:rPr>
        <w:t xml:space="preserve"> Accessed 27.1.21</w:t>
      </w:r>
    </w:p>
    <w:p w14:paraId="4D40C4B6"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VicHealth </w:t>
      </w:r>
      <w:hyperlink r:id="rId181" w:anchor=":~:text=Rural%20and%20Regional%20Health%20Partnerships%20The%20Rural%20and,Partnerships%20(RAHP)%20and%20one%20Local%20Area%20Health%20Partnership.">
        <w:r w:rsidRPr="001137A9">
          <w:rPr>
            <w:rStyle w:val="Hyperlink"/>
            <w:rFonts w:asciiTheme="majorHAnsi" w:eastAsia="Calibri" w:hAnsiTheme="majorHAnsi" w:cstheme="majorHAnsi"/>
            <w:sz w:val="23"/>
            <w:szCs w:val="23"/>
          </w:rPr>
          <w:t>Rural and Regional Health Partnerships - health.vic</w:t>
        </w:r>
      </w:hyperlink>
      <w:r w:rsidRPr="001137A9">
        <w:rPr>
          <w:rFonts w:asciiTheme="majorHAnsi" w:eastAsia="Calibri" w:hAnsiTheme="majorHAnsi" w:cstheme="majorHAnsi"/>
          <w:sz w:val="23"/>
          <w:szCs w:val="23"/>
        </w:rPr>
        <w:t xml:space="preserve"> Accessed 27.1.21</w:t>
      </w:r>
    </w:p>
    <w:p w14:paraId="48C749C4"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VicHealth </w:t>
      </w:r>
      <w:hyperlink r:id="rId182">
        <w:r w:rsidRPr="001137A9">
          <w:rPr>
            <w:rStyle w:val="Hyperlink"/>
            <w:rFonts w:asciiTheme="majorHAnsi" w:eastAsia="Calibri" w:hAnsiTheme="majorHAnsi" w:cstheme="majorHAnsi"/>
            <w:sz w:val="23"/>
            <w:szCs w:val="23"/>
          </w:rPr>
          <w:t>Victorian Health Priorities Framework 2012-2022: Rural and Regional Health Plan - health.vic</w:t>
        </w:r>
      </w:hyperlink>
      <w:r w:rsidRPr="001137A9">
        <w:rPr>
          <w:rFonts w:asciiTheme="majorHAnsi" w:eastAsia="Calibri" w:hAnsiTheme="majorHAnsi" w:cstheme="majorHAnsi"/>
          <w:sz w:val="23"/>
          <w:szCs w:val="23"/>
        </w:rPr>
        <w:t xml:space="preserve"> Accessed 27.1.21</w:t>
      </w:r>
    </w:p>
    <w:p w14:paraId="2065C144"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rPr>
        <w:t xml:space="preserve">VicHealth </w:t>
      </w:r>
      <w:hyperlink r:id="rId183">
        <w:r w:rsidRPr="001137A9">
          <w:rPr>
            <w:rStyle w:val="Hyperlink"/>
            <w:rFonts w:asciiTheme="majorHAnsi" w:eastAsia="Calibri" w:hAnsiTheme="majorHAnsi" w:cstheme="majorHAnsi"/>
            <w:sz w:val="23"/>
            <w:szCs w:val="23"/>
          </w:rPr>
          <w:t>Statewide Design, Service and Infrastructure Plan - health.vic</w:t>
        </w:r>
      </w:hyperlink>
      <w:r w:rsidRPr="001137A9">
        <w:rPr>
          <w:rFonts w:asciiTheme="majorHAnsi" w:eastAsia="Calibri" w:hAnsiTheme="majorHAnsi" w:cstheme="majorHAnsi"/>
          <w:sz w:val="23"/>
          <w:szCs w:val="23"/>
        </w:rPr>
        <w:t xml:space="preserve"> Accessed 27.1.21</w:t>
      </w:r>
    </w:p>
    <w:p w14:paraId="7AB4181B" w14:textId="77777777" w:rsidR="0098093C" w:rsidRPr="001137A9" w:rsidRDefault="0098093C" w:rsidP="00173A3F">
      <w:pPr>
        <w:spacing w:after="0" w:line="240" w:lineRule="auto"/>
        <w:ind w:left="567" w:hanging="567"/>
        <w:rPr>
          <w:rFonts w:asciiTheme="majorHAnsi" w:hAnsiTheme="majorHAnsi" w:cstheme="majorHAnsi"/>
          <w:sz w:val="23"/>
          <w:szCs w:val="23"/>
        </w:rPr>
      </w:pPr>
      <w:r w:rsidRPr="001137A9">
        <w:rPr>
          <w:rFonts w:asciiTheme="majorHAnsi" w:eastAsia="Calibri" w:hAnsiTheme="majorHAnsi" w:cstheme="majorHAnsi"/>
          <w:sz w:val="23"/>
          <w:szCs w:val="23"/>
          <w:lang w:val="en-GB"/>
        </w:rPr>
        <w:t xml:space="preserve">Young, S. (2006). What is the best modern evidence to guide building a community? </w:t>
      </w:r>
    </w:p>
    <w:p w14:paraId="6A0DABCF" w14:textId="4CF36D4F" w:rsidR="0098093C" w:rsidRPr="001137A9" w:rsidRDefault="0098093C" w:rsidP="00173A3F">
      <w:pPr>
        <w:spacing w:line="240" w:lineRule="auto"/>
        <w:rPr>
          <w:rFonts w:asciiTheme="majorHAnsi" w:hAnsiTheme="majorHAnsi" w:cstheme="majorHAnsi"/>
          <w:sz w:val="23"/>
          <w:szCs w:val="23"/>
        </w:rPr>
      </w:pPr>
    </w:p>
    <w:p w14:paraId="29850289" w14:textId="5821CADD" w:rsidR="0098093C" w:rsidRPr="005B7060" w:rsidRDefault="0098093C" w:rsidP="00173A3F">
      <w:pPr>
        <w:spacing w:after="0" w:line="240" w:lineRule="auto"/>
        <w:rPr>
          <w:rFonts w:eastAsiaTheme="minorEastAsia"/>
          <w:b/>
          <w:bCs/>
          <w:color w:val="2F5496" w:themeColor="accent1" w:themeShade="BF"/>
          <w:sz w:val="28"/>
          <w:szCs w:val="28"/>
        </w:rPr>
      </w:pPr>
      <w:r w:rsidRPr="005B7060">
        <w:rPr>
          <w:rFonts w:eastAsiaTheme="minorEastAsia"/>
          <w:b/>
          <w:bCs/>
          <w:color w:val="2F5496" w:themeColor="accent1" w:themeShade="BF"/>
          <w:sz w:val="28"/>
          <w:szCs w:val="28"/>
        </w:rPr>
        <w:t>Section 3: Review of Key Academic Research</w:t>
      </w:r>
    </w:p>
    <w:p w14:paraId="6EBF0F8B" w14:textId="77777777" w:rsidR="0098093C" w:rsidRPr="00E503EE" w:rsidRDefault="0098093C" w:rsidP="00173A3F">
      <w:pPr>
        <w:spacing w:line="240" w:lineRule="auto"/>
        <w:rPr>
          <w:rFonts w:asciiTheme="majorHAnsi" w:hAnsiTheme="majorHAnsi" w:cstheme="majorHAnsi"/>
          <w:sz w:val="16"/>
          <w:szCs w:val="16"/>
        </w:rPr>
      </w:pPr>
    </w:p>
    <w:p w14:paraId="32C4362B" w14:textId="2665DDE4"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A.C.S.C. (2020). </w:t>
      </w:r>
      <w:r w:rsidRPr="001137A9">
        <w:rPr>
          <w:rFonts w:asciiTheme="majorHAnsi" w:hAnsiTheme="majorHAnsi" w:cstheme="majorHAnsi"/>
          <w:i/>
          <w:noProof/>
          <w:sz w:val="23"/>
          <w:szCs w:val="23"/>
        </w:rPr>
        <w:t xml:space="preserve">Australia’s Community Sector &amp; </w:t>
      </w:r>
      <w:r w:rsidR="00940D80">
        <w:rPr>
          <w:rFonts w:asciiTheme="majorHAnsi" w:hAnsiTheme="majorHAnsi" w:cstheme="majorHAnsi"/>
          <w:i/>
          <w:noProof/>
          <w:sz w:val="23"/>
          <w:szCs w:val="23"/>
        </w:rPr>
        <w:t>COVID</w:t>
      </w:r>
      <w:r w:rsidRPr="001137A9">
        <w:rPr>
          <w:rFonts w:asciiTheme="majorHAnsi" w:hAnsiTheme="majorHAnsi" w:cstheme="majorHAnsi"/>
          <w:i/>
          <w:noProof/>
          <w:sz w:val="23"/>
          <w:szCs w:val="23"/>
        </w:rPr>
        <w:t>-19: Impact of increased income support on community services</w:t>
      </w:r>
      <w:r w:rsidRPr="001137A9">
        <w:rPr>
          <w:rFonts w:asciiTheme="majorHAnsi" w:hAnsiTheme="majorHAnsi" w:cstheme="majorHAnsi"/>
          <w:noProof/>
          <w:sz w:val="23"/>
          <w:szCs w:val="23"/>
        </w:rPr>
        <w:t xml:space="preserve">. Retrieved from Strawberry Hills: </w:t>
      </w:r>
    </w:p>
    <w:p w14:paraId="2C5ECE0A"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Ahn, Y. H., Wang, Y., Lee, K. H., &amp; Jeon, M. H. (2014). The greening of affordable housing through public and private partnerships: Development of a model for green affordable housing. </w:t>
      </w:r>
      <w:r w:rsidRPr="001137A9">
        <w:rPr>
          <w:rFonts w:asciiTheme="majorHAnsi" w:hAnsiTheme="majorHAnsi" w:cstheme="majorHAnsi"/>
          <w:i/>
          <w:noProof/>
          <w:sz w:val="23"/>
          <w:szCs w:val="23"/>
        </w:rPr>
        <w:t>Journal of Green Building, 9</w:t>
      </w:r>
      <w:r w:rsidRPr="001137A9">
        <w:rPr>
          <w:rFonts w:asciiTheme="majorHAnsi" w:hAnsiTheme="majorHAnsi" w:cstheme="majorHAnsi"/>
          <w:noProof/>
          <w:sz w:val="23"/>
          <w:szCs w:val="23"/>
        </w:rPr>
        <w:t>(1), 93-112. doi:10.3992/1943-4618-9.1.93</w:t>
      </w:r>
    </w:p>
    <w:p w14:paraId="4C1314DF"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Alicea-Planas, J., Sullivan, K., Tran, H., &amp; Cruz, A. (2019). Planting Seeds to Grow Healthy Children: Strategic Community Partnerships. </w:t>
      </w:r>
      <w:r w:rsidRPr="001137A9">
        <w:rPr>
          <w:rFonts w:asciiTheme="majorHAnsi" w:hAnsiTheme="majorHAnsi" w:cstheme="majorHAnsi"/>
          <w:i/>
          <w:noProof/>
          <w:sz w:val="23"/>
          <w:szCs w:val="23"/>
        </w:rPr>
        <w:t>Health Promotion Practice, 20</w:t>
      </w:r>
      <w:r w:rsidRPr="001137A9">
        <w:rPr>
          <w:rFonts w:asciiTheme="majorHAnsi" w:hAnsiTheme="majorHAnsi" w:cstheme="majorHAnsi"/>
          <w:noProof/>
          <w:sz w:val="23"/>
          <w:szCs w:val="23"/>
        </w:rPr>
        <w:t>(1), 78-84. doi:http://dx.doi.org/10.1177/1524839918757486</w:t>
      </w:r>
    </w:p>
    <w:p w14:paraId="1314948B"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Attree, P., French, B., Milton, B., Povall, S., Whitehead, M., &amp; Popay, J. (2011). The experience of community engagement for individuals: a rapid review of evidence. </w:t>
      </w:r>
      <w:r w:rsidRPr="001137A9">
        <w:rPr>
          <w:rFonts w:asciiTheme="majorHAnsi" w:hAnsiTheme="majorHAnsi" w:cstheme="majorHAnsi"/>
          <w:i/>
          <w:noProof/>
          <w:sz w:val="23"/>
          <w:szCs w:val="23"/>
        </w:rPr>
        <w:t>Health &amp; Social Care in the Community, 19</w:t>
      </w:r>
      <w:r w:rsidRPr="001137A9">
        <w:rPr>
          <w:rFonts w:asciiTheme="majorHAnsi" w:hAnsiTheme="majorHAnsi" w:cstheme="majorHAnsi"/>
          <w:noProof/>
          <w:sz w:val="23"/>
          <w:szCs w:val="23"/>
        </w:rPr>
        <w:t>(3), 250-260. doi:10.1111/j.1365-2524.2010.00976.x</w:t>
      </w:r>
    </w:p>
    <w:p w14:paraId="179350B2"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Badland, H., Whitzman, C., Lowe, M., Davern, M., Aye, L., Butterworth, I., . . . Giles-Corti, B. (2014). Urban liveability: emerging lessons from Australia for exploring the potential for indicators to measure the social determinants of health. </w:t>
      </w:r>
      <w:r w:rsidRPr="001137A9">
        <w:rPr>
          <w:rFonts w:asciiTheme="majorHAnsi" w:hAnsiTheme="majorHAnsi" w:cstheme="majorHAnsi"/>
          <w:i/>
          <w:noProof/>
          <w:sz w:val="23"/>
          <w:szCs w:val="23"/>
        </w:rPr>
        <w:t>Social science &amp; medicine, 111</w:t>
      </w:r>
      <w:r w:rsidRPr="001137A9">
        <w:rPr>
          <w:rFonts w:asciiTheme="majorHAnsi" w:hAnsiTheme="majorHAnsi" w:cstheme="majorHAnsi"/>
          <w:noProof/>
          <w:sz w:val="23"/>
          <w:szCs w:val="23"/>
        </w:rPr>
        <w:t xml:space="preserve">, 64-73. </w:t>
      </w:r>
    </w:p>
    <w:p w14:paraId="098B78FC"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lastRenderedPageBreak/>
        <w:t xml:space="preserve">Bailey, A. P., Parker, A. G., Colautti, L. A., Hart, L. M., Liu, P., &amp; Hetrick, S. E. (2014). Mapping the evidence for the prevention and treatment of eating disorders in young people. </w:t>
      </w:r>
      <w:r w:rsidRPr="001137A9">
        <w:rPr>
          <w:rFonts w:asciiTheme="majorHAnsi" w:hAnsiTheme="majorHAnsi" w:cstheme="majorHAnsi"/>
          <w:i/>
          <w:noProof/>
          <w:sz w:val="23"/>
          <w:szCs w:val="23"/>
        </w:rPr>
        <w:t>Journal of eating disorders, 2</w:t>
      </w:r>
      <w:r w:rsidRPr="001137A9">
        <w:rPr>
          <w:rFonts w:asciiTheme="majorHAnsi" w:hAnsiTheme="majorHAnsi" w:cstheme="majorHAnsi"/>
          <w:noProof/>
          <w:sz w:val="23"/>
          <w:szCs w:val="23"/>
        </w:rPr>
        <w:t xml:space="preserve">(1), 5. </w:t>
      </w:r>
    </w:p>
    <w:p w14:paraId="46AD177D"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Beebeejaun, Y., &amp; Grimshaw, L. (2011). Is the 'New Deal for Communities' a New Deal for Equality? Getting Women on Board in Neighbourhood Governance. </w:t>
      </w:r>
      <w:r w:rsidRPr="001137A9">
        <w:rPr>
          <w:rFonts w:asciiTheme="majorHAnsi" w:hAnsiTheme="majorHAnsi" w:cstheme="majorHAnsi"/>
          <w:i/>
          <w:noProof/>
          <w:sz w:val="23"/>
          <w:szCs w:val="23"/>
        </w:rPr>
        <w:t>Urban Studies, 48</w:t>
      </w:r>
      <w:r w:rsidRPr="001137A9">
        <w:rPr>
          <w:rFonts w:asciiTheme="majorHAnsi" w:hAnsiTheme="majorHAnsi" w:cstheme="majorHAnsi"/>
          <w:noProof/>
          <w:sz w:val="23"/>
          <w:szCs w:val="23"/>
        </w:rPr>
        <w:t>(10), 1997-2011. doi:http://dx.doi.org/10.1177/0042098010384518</w:t>
      </w:r>
    </w:p>
    <w:p w14:paraId="796AFC3C"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Beer, A., Bentley, R., Baker, E., Mason, K., Mallett, S., Kavanagh, A., &amp; LaMontagne, T. (2016). Neoliberalism, economic restructuring and policy change: Precarious housing and precarious employment in Australia. </w:t>
      </w:r>
      <w:r w:rsidRPr="001137A9">
        <w:rPr>
          <w:rFonts w:asciiTheme="majorHAnsi" w:hAnsiTheme="majorHAnsi" w:cstheme="majorHAnsi"/>
          <w:i/>
          <w:noProof/>
          <w:sz w:val="23"/>
          <w:szCs w:val="23"/>
        </w:rPr>
        <w:t>Urban Studies, 53</w:t>
      </w:r>
      <w:r w:rsidRPr="001137A9">
        <w:rPr>
          <w:rFonts w:asciiTheme="majorHAnsi" w:hAnsiTheme="majorHAnsi" w:cstheme="majorHAnsi"/>
          <w:noProof/>
          <w:sz w:val="23"/>
          <w:szCs w:val="23"/>
        </w:rPr>
        <w:t>(8), 1542. doi:http://dx.doi.org/10.1177/0042098015596922</w:t>
      </w:r>
    </w:p>
    <w:p w14:paraId="185B843C"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Bleasdale, T., Crouch, C., &amp; Harlan, S. L. (2010). Community gardening in disadvantaged neighborhoods in Phoenix, Arizona: Aligning programs with perceptions. </w:t>
      </w:r>
      <w:r w:rsidRPr="001137A9">
        <w:rPr>
          <w:rFonts w:asciiTheme="majorHAnsi" w:hAnsiTheme="majorHAnsi" w:cstheme="majorHAnsi"/>
          <w:i/>
          <w:noProof/>
          <w:sz w:val="23"/>
          <w:szCs w:val="23"/>
        </w:rPr>
        <w:t>Journal of Agriculture Food Systems and Community Development, 1</w:t>
      </w:r>
      <w:r w:rsidRPr="001137A9">
        <w:rPr>
          <w:rFonts w:asciiTheme="majorHAnsi" w:hAnsiTheme="majorHAnsi" w:cstheme="majorHAnsi"/>
          <w:noProof/>
          <w:sz w:val="23"/>
          <w:szCs w:val="23"/>
        </w:rPr>
        <w:t>(3), 99-114. doi:10.5304/jafscd.2011.013.007</w:t>
      </w:r>
    </w:p>
    <w:p w14:paraId="09EC9DC9"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Brail, S., &amp; Kumar, N. (2017). Community leadership and engagement after the mix: The transformation of Toronto’s Regent Park. </w:t>
      </w:r>
      <w:r w:rsidRPr="001137A9">
        <w:rPr>
          <w:rFonts w:asciiTheme="majorHAnsi" w:hAnsiTheme="majorHAnsi" w:cstheme="majorHAnsi"/>
          <w:i/>
          <w:noProof/>
          <w:sz w:val="23"/>
          <w:szCs w:val="23"/>
        </w:rPr>
        <w:t>Urban Studies, 54</w:t>
      </w:r>
      <w:r w:rsidRPr="001137A9">
        <w:rPr>
          <w:rFonts w:asciiTheme="majorHAnsi" w:hAnsiTheme="majorHAnsi" w:cstheme="majorHAnsi"/>
          <w:noProof/>
          <w:sz w:val="23"/>
          <w:szCs w:val="23"/>
        </w:rPr>
        <w:t>(16), 3772-3788. doi:http://dx.doi.org/10.1177/0042098016683122</w:t>
      </w:r>
    </w:p>
    <w:p w14:paraId="556DCD08"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Braveman, P., &amp; Gottlieb, L. (2014). The Social Determinants of Health: It's Time to Consider the Causes of the Causes. </w:t>
      </w:r>
      <w:r w:rsidRPr="001137A9">
        <w:rPr>
          <w:rFonts w:asciiTheme="majorHAnsi" w:hAnsiTheme="majorHAnsi" w:cstheme="majorHAnsi"/>
          <w:i/>
          <w:noProof/>
          <w:sz w:val="23"/>
          <w:szCs w:val="23"/>
        </w:rPr>
        <w:t>Public Health Reports (1974-), 129</w:t>
      </w:r>
      <w:r w:rsidRPr="001137A9">
        <w:rPr>
          <w:rFonts w:asciiTheme="majorHAnsi" w:hAnsiTheme="majorHAnsi" w:cstheme="majorHAnsi"/>
          <w:noProof/>
          <w:sz w:val="23"/>
          <w:szCs w:val="23"/>
        </w:rPr>
        <w:t>, 19-31. Retrieved from http://www.jstor.org/stable/23646782</w:t>
      </w:r>
    </w:p>
    <w:p w14:paraId="705FA1C4"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Breysse, J., Jacobs, D. E., Weber, W., Dixon, S., Kawecki, C., Aceti, S., &amp; Lopez, J. (2011). Health Outcomes and Green Renovation of Affordable Housing. </w:t>
      </w:r>
      <w:r w:rsidRPr="001137A9">
        <w:rPr>
          <w:rFonts w:asciiTheme="majorHAnsi" w:hAnsiTheme="majorHAnsi" w:cstheme="majorHAnsi"/>
          <w:i/>
          <w:noProof/>
          <w:sz w:val="23"/>
          <w:szCs w:val="23"/>
        </w:rPr>
        <w:t>Public Health Reports (1974-), 126</w:t>
      </w:r>
      <w:r w:rsidRPr="001137A9">
        <w:rPr>
          <w:rFonts w:asciiTheme="majorHAnsi" w:hAnsiTheme="majorHAnsi" w:cstheme="majorHAnsi"/>
          <w:noProof/>
          <w:sz w:val="23"/>
          <w:szCs w:val="23"/>
        </w:rPr>
        <w:t>, 64-75. Retrieved from http://www.jstor.org/stable/41639267</w:t>
      </w:r>
    </w:p>
    <w:p w14:paraId="1FCDD1B1"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Bylander, J. (2014). Healthy Futures Fund Links Housing, Health. </w:t>
      </w:r>
      <w:r w:rsidRPr="001137A9">
        <w:rPr>
          <w:rFonts w:asciiTheme="majorHAnsi" w:hAnsiTheme="majorHAnsi" w:cstheme="majorHAnsi"/>
          <w:i/>
          <w:noProof/>
          <w:sz w:val="23"/>
          <w:szCs w:val="23"/>
        </w:rPr>
        <w:t>Health Affairs, 33</w:t>
      </w:r>
      <w:r w:rsidRPr="001137A9">
        <w:rPr>
          <w:rFonts w:asciiTheme="majorHAnsi" w:hAnsiTheme="majorHAnsi" w:cstheme="majorHAnsi"/>
          <w:noProof/>
          <w:sz w:val="23"/>
          <w:szCs w:val="23"/>
        </w:rPr>
        <w:t>(11), 1966-1967. doi:http://dx.doi.org/10.1377/hlthaff.2014.1126</w:t>
      </w:r>
    </w:p>
    <w:p w14:paraId="35F245F3"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Campbell-Voytal, K. (2010). Phases of "pre-engagement" capacity building: discovery, exploration, and trial alliance. </w:t>
      </w:r>
      <w:r w:rsidRPr="001137A9">
        <w:rPr>
          <w:rFonts w:asciiTheme="majorHAnsi" w:hAnsiTheme="majorHAnsi" w:cstheme="majorHAnsi"/>
          <w:i/>
          <w:noProof/>
          <w:sz w:val="23"/>
          <w:szCs w:val="23"/>
        </w:rPr>
        <w:t>Progress in community health partnerships : research, education, and action, 4</w:t>
      </w:r>
      <w:r w:rsidRPr="001137A9">
        <w:rPr>
          <w:rFonts w:asciiTheme="majorHAnsi" w:hAnsiTheme="majorHAnsi" w:cstheme="majorHAnsi"/>
          <w:noProof/>
          <w:sz w:val="23"/>
          <w:szCs w:val="23"/>
        </w:rPr>
        <w:t>(2), 155-162. doi:10.1353/cpr.0.0118</w:t>
      </w:r>
    </w:p>
    <w:p w14:paraId="2A723C2B"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Carlisle, S. (2010). Tackling health inequalities and social exclusion through partnership and community engagement? A reality check for policy and practice aspirations from a Social Inclusion Partnership in Scotland. </w:t>
      </w:r>
      <w:r w:rsidRPr="001137A9">
        <w:rPr>
          <w:rFonts w:asciiTheme="majorHAnsi" w:hAnsiTheme="majorHAnsi" w:cstheme="majorHAnsi"/>
          <w:i/>
          <w:noProof/>
          <w:sz w:val="23"/>
          <w:szCs w:val="23"/>
        </w:rPr>
        <w:t>Critical Public Health, 20</w:t>
      </w:r>
      <w:r w:rsidRPr="001137A9">
        <w:rPr>
          <w:rFonts w:asciiTheme="majorHAnsi" w:hAnsiTheme="majorHAnsi" w:cstheme="majorHAnsi"/>
          <w:noProof/>
          <w:sz w:val="23"/>
          <w:szCs w:val="23"/>
        </w:rPr>
        <w:t>(1), 117-127. doi:10.1080/09581590802277341</w:t>
      </w:r>
    </w:p>
    <w:p w14:paraId="7B7AFCA2"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Cassen, R., Feinstein, L., &amp; Graham, P. (2009). Educational outcomes: Adversity and resilience. </w:t>
      </w:r>
      <w:r w:rsidRPr="001137A9">
        <w:rPr>
          <w:rFonts w:asciiTheme="majorHAnsi" w:hAnsiTheme="majorHAnsi" w:cstheme="majorHAnsi"/>
          <w:i/>
          <w:noProof/>
          <w:sz w:val="23"/>
          <w:szCs w:val="23"/>
        </w:rPr>
        <w:t>Social Policy and Society, 8</w:t>
      </w:r>
      <w:r w:rsidRPr="001137A9">
        <w:rPr>
          <w:rFonts w:asciiTheme="majorHAnsi" w:hAnsiTheme="majorHAnsi" w:cstheme="majorHAnsi"/>
          <w:noProof/>
          <w:sz w:val="23"/>
          <w:szCs w:val="23"/>
        </w:rPr>
        <w:t xml:space="preserve">(1), 73-85. </w:t>
      </w:r>
    </w:p>
    <w:p w14:paraId="383AC9D7"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Cattapan, A., Acker-Verney, J. M., Dobrowolsky, A., Findlay, T., &amp; Mandrona, A. (2020). Community Engagement in a Time of Confinement. </w:t>
      </w:r>
      <w:r w:rsidRPr="001137A9">
        <w:rPr>
          <w:rFonts w:asciiTheme="majorHAnsi" w:hAnsiTheme="majorHAnsi" w:cstheme="majorHAnsi"/>
          <w:i/>
          <w:noProof/>
          <w:sz w:val="23"/>
          <w:szCs w:val="23"/>
        </w:rPr>
        <w:t>Canadian Public Policy, 46</w:t>
      </w:r>
      <w:r w:rsidRPr="001137A9">
        <w:rPr>
          <w:rFonts w:asciiTheme="majorHAnsi" w:hAnsiTheme="majorHAnsi" w:cstheme="majorHAnsi"/>
          <w:noProof/>
          <w:sz w:val="23"/>
          <w:szCs w:val="23"/>
        </w:rPr>
        <w:t>. doi:http://dx.doi.org/10.3138/cpp.2020-064</w:t>
      </w:r>
    </w:p>
    <w:p w14:paraId="425E01AA"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Chaskin, R. J., &amp; Joseph, M. L. (2010). Building "Community" in Mixed-Income Developments Assumptions, Approaches, and Early Experiences. </w:t>
      </w:r>
      <w:r w:rsidRPr="001137A9">
        <w:rPr>
          <w:rFonts w:asciiTheme="majorHAnsi" w:hAnsiTheme="majorHAnsi" w:cstheme="majorHAnsi"/>
          <w:i/>
          <w:noProof/>
          <w:sz w:val="23"/>
          <w:szCs w:val="23"/>
        </w:rPr>
        <w:t>Urban Affairs Review, 45</w:t>
      </w:r>
      <w:r w:rsidRPr="001137A9">
        <w:rPr>
          <w:rFonts w:asciiTheme="majorHAnsi" w:hAnsiTheme="majorHAnsi" w:cstheme="majorHAnsi"/>
          <w:noProof/>
          <w:sz w:val="23"/>
          <w:szCs w:val="23"/>
        </w:rPr>
        <w:t>(3), 299-335. doi:10.1177/1078087409341544</w:t>
      </w:r>
    </w:p>
    <w:p w14:paraId="2B72B851"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Chrisinger, B. W., Ramos, A., Shaykis, F., Martinez, T., Banchoff, A. W., Winter, S. J., &amp; King, A. C. (2018). Leveraging citizen science for healthier food environments: A pilot study to evaluate corner stores in camden, New Jersey. </w:t>
      </w:r>
      <w:r w:rsidRPr="001137A9">
        <w:rPr>
          <w:rFonts w:asciiTheme="majorHAnsi" w:hAnsiTheme="majorHAnsi" w:cstheme="majorHAnsi"/>
          <w:i/>
          <w:noProof/>
          <w:sz w:val="23"/>
          <w:szCs w:val="23"/>
        </w:rPr>
        <w:t>Frontiers in Public Health, 6</w:t>
      </w:r>
      <w:r w:rsidRPr="001137A9">
        <w:rPr>
          <w:rFonts w:asciiTheme="majorHAnsi" w:hAnsiTheme="majorHAnsi" w:cstheme="majorHAnsi"/>
          <w:noProof/>
          <w:sz w:val="23"/>
          <w:szCs w:val="23"/>
        </w:rPr>
        <w:t>(MAR). doi:10.3389/fpubh.2018.00089</w:t>
      </w:r>
    </w:p>
    <w:p w14:paraId="6B15C1EE"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Clark, J., &amp; Negrey, C. (2017). Hope for Cities or Hope for People: Neighborhood Development and Demographic Change. </w:t>
      </w:r>
      <w:r w:rsidRPr="001137A9">
        <w:rPr>
          <w:rFonts w:asciiTheme="majorHAnsi" w:hAnsiTheme="majorHAnsi" w:cstheme="majorHAnsi"/>
          <w:i/>
          <w:noProof/>
          <w:sz w:val="23"/>
          <w:szCs w:val="23"/>
        </w:rPr>
        <w:t>City &amp; Community, 16</w:t>
      </w:r>
      <w:r w:rsidRPr="001137A9">
        <w:rPr>
          <w:rFonts w:asciiTheme="majorHAnsi" w:hAnsiTheme="majorHAnsi" w:cstheme="majorHAnsi"/>
          <w:noProof/>
          <w:sz w:val="23"/>
          <w:szCs w:val="23"/>
        </w:rPr>
        <w:t>(2), 169-188. doi:10.1111/cico.12236</w:t>
      </w:r>
    </w:p>
    <w:p w14:paraId="3CBDC4BE"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Coley, R. L., Kull, M., Leventhal, T., &amp; Lynch, A. D. (2014). Links With Children's Well-Being</w:t>
      </w:r>
    </w:p>
    <w:p w14:paraId="57317B79"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Profiles of Housing and Neighborhood Contexts Among Low-Income Families. </w:t>
      </w:r>
      <w:r w:rsidRPr="001137A9">
        <w:rPr>
          <w:rFonts w:asciiTheme="majorHAnsi" w:hAnsiTheme="majorHAnsi" w:cstheme="majorHAnsi"/>
          <w:i/>
          <w:noProof/>
          <w:sz w:val="23"/>
          <w:szCs w:val="23"/>
        </w:rPr>
        <w:t>Cityscape, 16</w:t>
      </w:r>
      <w:r w:rsidRPr="001137A9">
        <w:rPr>
          <w:rFonts w:asciiTheme="majorHAnsi" w:hAnsiTheme="majorHAnsi" w:cstheme="majorHAnsi"/>
          <w:noProof/>
          <w:sz w:val="23"/>
          <w:szCs w:val="23"/>
        </w:rPr>
        <w:t>(1), 37-60. Retrieved from http://www.jstor.org/stable/26326857</w:t>
      </w:r>
    </w:p>
    <w:p w14:paraId="205AB19E"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Commission, A. G.-P. (2018). </w:t>
      </w:r>
      <w:r w:rsidRPr="001137A9">
        <w:rPr>
          <w:rFonts w:asciiTheme="majorHAnsi" w:hAnsiTheme="majorHAnsi" w:cstheme="majorHAnsi"/>
          <w:i/>
          <w:noProof/>
          <w:sz w:val="23"/>
          <w:szCs w:val="23"/>
        </w:rPr>
        <w:t>Rising inequality? A stocktake of the evidence</w:t>
      </w:r>
      <w:r w:rsidRPr="001137A9">
        <w:rPr>
          <w:rFonts w:asciiTheme="majorHAnsi" w:hAnsiTheme="majorHAnsi" w:cstheme="majorHAnsi"/>
          <w:noProof/>
          <w:sz w:val="23"/>
          <w:szCs w:val="23"/>
        </w:rPr>
        <w:t>: Productivity Commission Research Paper.</w:t>
      </w:r>
    </w:p>
    <w:p w14:paraId="525CBA03"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lastRenderedPageBreak/>
        <w:t xml:space="preserve">Corburn, J., Curl, S., &amp; Arredondo, G. (2014). A Health-In-All-Policies Approach Addresses Many Of Richmond, California's Place-Based Hazards, Stressors. </w:t>
      </w:r>
      <w:r w:rsidRPr="001137A9">
        <w:rPr>
          <w:rFonts w:asciiTheme="majorHAnsi" w:hAnsiTheme="majorHAnsi" w:cstheme="majorHAnsi"/>
          <w:i/>
          <w:noProof/>
          <w:sz w:val="23"/>
          <w:szCs w:val="23"/>
        </w:rPr>
        <w:t>Health Affairs, 33</w:t>
      </w:r>
      <w:r w:rsidRPr="001137A9">
        <w:rPr>
          <w:rFonts w:asciiTheme="majorHAnsi" w:hAnsiTheme="majorHAnsi" w:cstheme="majorHAnsi"/>
          <w:noProof/>
          <w:sz w:val="23"/>
          <w:szCs w:val="23"/>
        </w:rPr>
        <w:t>(11), 1905-1913. doi:10.1377/hlthaff.2014.0652</w:t>
      </w:r>
    </w:p>
    <w:p w14:paraId="4A58E719" w14:textId="32BCED61"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Cortis, N., &amp; Blaxland, M. (2020). </w:t>
      </w:r>
      <w:r w:rsidRPr="001137A9">
        <w:rPr>
          <w:rFonts w:asciiTheme="majorHAnsi" w:hAnsiTheme="majorHAnsi" w:cstheme="majorHAnsi"/>
          <w:i/>
          <w:noProof/>
          <w:sz w:val="23"/>
          <w:szCs w:val="23"/>
        </w:rPr>
        <w:t xml:space="preserve">Australia's Community Sector and </w:t>
      </w:r>
      <w:r w:rsidR="00940D80">
        <w:rPr>
          <w:rFonts w:asciiTheme="majorHAnsi" w:hAnsiTheme="majorHAnsi" w:cstheme="majorHAnsi"/>
          <w:i/>
          <w:noProof/>
          <w:sz w:val="23"/>
          <w:szCs w:val="23"/>
        </w:rPr>
        <w:t>COVID</w:t>
      </w:r>
      <w:r w:rsidRPr="001137A9">
        <w:rPr>
          <w:rFonts w:asciiTheme="majorHAnsi" w:hAnsiTheme="majorHAnsi" w:cstheme="majorHAnsi"/>
          <w:i/>
          <w:noProof/>
          <w:sz w:val="23"/>
          <w:szCs w:val="23"/>
        </w:rPr>
        <w:t>-19: Supporting Communities Through the Crisis</w:t>
      </w:r>
      <w:r w:rsidRPr="001137A9">
        <w:rPr>
          <w:rFonts w:asciiTheme="majorHAnsi" w:hAnsiTheme="majorHAnsi" w:cstheme="majorHAnsi"/>
          <w:noProof/>
          <w:sz w:val="23"/>
          <w:szCs w:val="23"/>
        </w:rPr>
        <w:t>.</w:t>
      </w:r>
    </w:p>
    <w:p w14:paraId="4FA67409"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Cyril, S., Smith, B. J., Possamai-Inesedy, A., &amp; Renzaho, A. M. N. (2015). Exploring the role of community engagement in improving the health of disadvantaged populations: A systematic review. </w:t>
      </w:r>
      <w:r w:rsidRPr="001137A9">
        <w:rPr>
          <w:rFonts w:asciiTheme="majorHAnsi" w:hAnsiTheme="majorHAnsi" w:cstheme="majorHAnsi"/>
          <w:i/>
          <w:noProof/>
          <w:sz w:val="23"/>
          <w:szCs w:val="23"/>
        </w:rPr>
        <w:t>Global Health Action, 8</w:t>
      </w:r>
      <w:r w:rsidRPr="001137A9">
        <w:rPr>
          <w:rFonts w:asciiTheme="majorHAnsi" w:hAnsiTheme="majorHAnsi" w:cstheme="majorHAnsi"/>
          <w:noProof/>
          <w:sz w:val="23"/>
          <w:szCs w:val="23"/>
        </w:rPr>
        <w:t>. doi:10.3402/gha.v8.29842</w:t>
      </w:r>
    </w:p>
    <w:p w14:paraId="3FBE61D3"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Daly, A. (1993). The determinants of employment for Aboriginal people. </w:t>
      </w:r>
      <w:r w:rsidRPr="001137A9">
        <w:rPr>
          <w:rFonts w:asciiTheme="majorHAnsi" w:hAnsiTheme="majorHAnsi" w:cstheme="majorHAnsi"/>
          <w:i/>
          <w:noProof/>
          <w:sz w:val="23"/>
          <w:szCs w:val="23"/>
        </w:rPr>
        <w:t>Australian Economic Papers, 32</w:t>
      </w:r>
      <w:r w:rsidRPr="001137A9">
        <w:rPr>
          <w:rFonts w:asciiTheme="majorHAnsi" w:hAnsiTheme="majorHAnsi" w:cstheme="majorHAnsi"/>
          <w:noProof/>
          <w:sz w:val="23"/>
          <w:szCs w:val="23"/>
        </w:rPr>
        <w:t xml:space="preserve">(60), 134-151. </w:t>
      </w:r>
    </w:p>
    <w:p w14:paraId="05BBAC5B"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Daly, A. (2018). </w:t>
      </w:r>
      <w:r w:rsidRPr="001137A9">
        <w:rPr>
          <w:rFonts w:asciiTheme="majorHAnsi" w:hAnsiTheme="majorHAnsi" w:cstheme="majorHAnsi"/>
          <w:i/>
          <w:noProof/>
          <w:sz w:val="23"/>
          <w:szCs w:val="23"/>
        </w:rPr>
        <w:t>The determinants of employment income for Indigenous Australians</w:t>
      </w:r>
      <w:r w:rsidRPr="001137A9">
        <w:rPr>
          <w:rFonts w:asciiTheme="majorHAnsi" w:hAnsiTheme="majorHAnsi" w:cstheme="majorHAnsi"/>
          <w:noProof/>
          <w:sz w:val="23"/>
          <w:szCs w:val="23"/>
        </w:rPr>
        <w:t>: Canberra, ACT: Centre for Aboriginal Economic Policy Research (CAEPR), The ….</w:t>
      </w:r>
    </w:p>
    <w:p w14:paraId="0BCFC43A"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Davidson, P. (2020a). Inequality in Australia 2020-part 1: overview. </w:t>
      </w:r>
    </w:p>
    <w:p w14:paraId="3CA79C25" w14:textId="29CD13E3"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Davidson, P. (2020b). Inequality in Australia 2020-part 1: overview-supplement: the impact of </w:t>
      </w:r>
      <w:r w:rsidR="00940D80">
        <w:rPr>
          <w:rFonts w:asciiTheme="majorHAnsi" w:hAnsiTheme="majorHAnsi" w:cstheme="majorHAnsi"/>
          <w:noProof/>
          <w:sz w:val="23"/>
          <w:szCs w:val="23"/>
        </w:rPr>
        <w:t>COVID</w:t>
      </w:r>
      <w:r w:rsidRPr="001137A9">
        <w:rPr>
          <w:rFonts w:asciiTheme="majorHAnsi" w:hAnsiTheme="majorHAnsi" w:cstheme="majorHAnsi"/>
          <w:noProof/>
          <w:sz w:val="23"/>
          <w:szCs w:val="23"/>
        </w:rPr>
        <w:t xml:space="preserve">-19 on income inequality. </w:t>
      </w:r>
    </w:p>
    <w:p w14:paraId="051DFE54"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Davidson, P., Bradbury, B., Wong, M., &amp; et al. (2020). </w:t>
      </w:r>
      <w:r w:rsidRPr="001137A9">
        <w:rPr>
          <w:rFonts w:asciiTheme="majorHAnsi" w:hAnsiTheme="majorHAnsi" w:cstheme="majorHAnsi"/>
          <w:i/>
          <w:noProof/>
          <w:sz w:val="23"/>
          <w:szCs w:val="23"/>
        </w:rPr>
        <w:t>Inequality in Australia 2020: Factsheet</w:t>
      </w:r>
      <w:r w:rsidRPr="001137A9">
        <w:rPr>
          <w:rFonts w:asciiTheme="majorHAnsi" w:hAnsiTheme="majorHAnsi" w:cstheme="majorHAnsi"/>
          <w:noProof/>
          <w:sz w:val="23"/>
          <w:szCs w:val="23"/>
        </w:rPr>
        <w:t>: Australian Council of Social Service.</w:t>
      </w:r>
    </w:p>
    <w:p w14:paraId="6AB2898C"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Davidson, P., Bradbury, B., Wong, M., &amp; Hill, T. (2020a). Inequality in Australia 2020-part 2: who is affected and why. </w:t>
      </w:r>
    </w:p>
    <w:p w14:paraId="5E53A011" w14:textId="70C66559"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Davidson, P., Bradbury, B., Wong, M., &amp; Hill, T. (2020b). </w:t>
      </w:r>
      <w:r w:rsidR="00932ABC">
        <w:rPr>
          <w:rFonts w:asciiTheme="majorHAnsi" w:hAnsiTheme="majorHAnsi" w:cstheme="majorHAnsi"/>
          <w:noProof/>
          <w:sz w:val="23"/>
          <w:szCs w:val="23"/>
        </w:rPr>
        <w:t>Inequality</w:t>
      </w:r>
      <w:r w:rsidRPr="001137A9">
        <w:rPr>
          <w:rFonts w:asciiTheme="majorHAnsi" w:hAnsiTheme="majorHAnsi" w:cstheme="majorHAnsi"/>
          <w:noProof/>
          <w:sz w:val="23"/>
          <w:szCs w:val="23"/>
        </w:rPr>
        <w:t xml:space="preserve"> in Australia 2020-part 1: overview. </w:t>
      </w:r>
    </w:p>
    <w:p w14:paraId="49308EB5"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Delmelle, E. C., Morrell, E., Bengle, T., Howarth, J., &amp; Sorensen, J. (2017). The effectiveness of Habitat for Humanity as a neighborhood stabilization program: The case of Charlotte, North Carolina. </w:t>
      </w:r>
      <w:r w:rsidRPr="001137A9">
        <w:rPr>
          <w:rFonts w:asciiTheme="majorHAnsi" w:hAnsiTheme="majorHAnsi" w:cstheme="majorHAnsi"/>
          <w:i/>
          <w:noProof/>
          <w:sz w:val="23"/>
          <w:szCs w:val="23"/>
        </w:rPr>
        <w:t>Community Development, 48</w:t>
      </w:r>
      <w:r w:rsidRPr="001137A9">
        <w:rPr>
          <w:rFonts w:asciiTheme="majorHAnsi" w:hAnsiTheme="majorHAnsi" w:cstheme="majorHAnsi"/>
          <w:noProof/>
          <w:sz w:val="23"/>
          <w:szCs w:val="23"/>
        </w:rPr>
        <w:t>(4), 527-545. doi:10.1080/15575330.2017.1344717</w:t>
      </w:r>
    </w:p>
    <w:p w14:paraId="66DF8A1F"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Egan, M., Kearns, A., Katikireddi, S. V., Curl, A., Lawson, K., &amp; Tannahill, C. (2016). Proportionate universalism in practice? A quasi-experimental study (GoWell) of a UK neighbourhood renewal programme's impact on health inequalities. </w:t>
      </w:r>
      <w:r w:rsidRPr="001137A9">
        <w:rPr>
          <w:rFonts w:asciiTheme="majorHAnsi" w:hAnsiTheme="majorHAnsi" w:cstheme="majorHAnsi"/>
          <w:i/>
          <w:noProof/>
          <w:sz w:val="23"/>
          <w:szCs w:val="23"/>
        </w:rPr>
        <w:t>Social Science and Medicine, 152</w:t>
      </w:r>
      <w:r w:rsidRPr="001137A9">
        <w:rPr>
          <w:rFonts w:asciiTheme="majorHAnsi" w:hAnsiTheme="majorHAnsi" w:cstheme="majorHAnsi"/>
          <w:noProof/>
          <w:sz w:val="23"/>
          <w:szCs w:val="23"/>
        </w:rPr>
        <w:t>, 41-49. doi:10.1016/j.socscimed.2016.01.026</w:t>
      </w:r>
    </w:p>
    <w:p w14:paraId="28C2B555"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Erickson, D., &amp; Andrews, N. (2011). Partnerships among community development, public health, and health care could improve the well-being of low-income people. </w:t>
      </w:r>
      <w:r w:rsidRPr="001137A9">
        <w:rPr>
          <w:rFonts w:asciiTheme="majorHAnsi" w:hAnsiTheme="majorHAnsi" w:cstheme="majorHAnsi"/>
          <w:i/>
          <w:noProof/>
          <w:sz w:val="23"/>
          <w:szCs w:val="23"/>
        </w:rPr>
        <w:t>Health Affairs, 30</w:t>
      </w:r>
      <w:r w:rsidRPr="001137A9">
        <w:rPr>
          <w:rFonts w:asciiTheme="majorHAnsi" w:hAnsiTheme="majorHAnsi" w:cstheme="majorHAnsi"/>
          <w:noProof/>
          <w:sz w:val="23"/>
          <w:szCs w:val="23"/>
        </w:rPr>
        <w:t>(11), 2056-2063. doi:10.1377/hlthaff.2011.0896</w:t>
      </w:r>
    </w:p>
    <w:p w14:paraId="50B35133"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Farquhar, S. A., Chen, R., Matheson, A., Forsyth, J., &amp; Ursua, M. (2019). Seattle’s Yesler Terrace Redevelopment: Assessing the Impact of Multisector Strategies on Redevelopment Plans and Community Health. </w:t>
      </w:r>
      <w:r w:rsidRPr="001137A9">
        <w:rPr>
          <w:rFonts w:asciiTheme="majorHAnsi" w:hAnsiTheme="majorHAnsi" w:cstheme="majorHAnsi"/>
          <w:i/>
          <w:noProof/>
          <w:sz w:val="23"/>
          <w:szCs w:val="23"/>
        </w:rPr>
        <w:t>Housing Policy Debate, 29</w:t>
      </w:r>
      <w:r w:rsidRPr="001137A9">
        <w:rPr>
          <w:rFonts w:asciiTheme="majorHAnsi" w:hAnsiTheme="majorHAnsi" w:cstheme="majorHAnsi"/>
          <w:noProof/>
          <w:sz w:val="23"/>
          <w:szCs w:val="23"/>
        </w:rPr>
        <w:t>(3), 489-500. doi:10.1080/10511482.2018.1490795</w:t>
      </w:r>
    </w:p>
    <w:p w14:paraId="0A3EEAC5"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Fraser, J. C., Chaskin, R. J., &amp; Bazuin, J. T. (2013). Making Mixed-Income Neighborhoods Work for Low-Income Households. </w:t>
      </w:r>
      <w:r w:rsidRPr="001137A9">
        <w:rPr>
          <w:rFonts w:asciiTheme="majorHAnsi" w:hAnsiTheme="majorHAnsi" w:cstheme="majorHAnsi"/>
          <w:i/>
          <w:noProof/>
          <w:sz w:val="23"/>
          <w:szCs w:val="23"/>
        </w:rPr>
        <w:t>Cityscape, 15</w:t>
      </w:r>
      <w:r w:rsidRPr="001137A9">
        <w:rPr>
          <w:rFonts w:asciiTheme="majorHAnsi" w:hAnsiTheme="majorHAnsi" w:cstheme="majorHAnsi"/>
          <w:noProof/>
          <w:sz w:val="23"/>
          <w:szCs w:val="23"/>
        </w:rPr>
        <w:t>(2), 83-100. Retrieved from http://www.jstor.org/stable/41959112</w:t>
      </w:r>
    </w:p>
    <w:p w14:paraId="2AC147DB"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Galster, G. C. (2013). Neighborhood Social Mix Theory, Evidence, and Implications for Policy and Planning. In N. Carmon &amp; S. S. Fainstein (Eds.), </w:t>
      </w:r>
      <w:r w:rsidRPr="001137A9">
        <w:rPr>
          <w:rFonts w:asciiTheme="majorHAnsi" w:hAnsiTheme="majorHAnsi" w:cstheme="majorHAnsi"/>
          <w:i/>
          <w:noProof/>
          <w:sz w:val="23"/>
          <w:szCs w:val="23"/>
        </w:rPr>
        <w:t>Policy, Planning, and People</w:t>
      </w:r>
      <w:r w:rsidRPr="001137A9">
        <w:rPr>
          <w:rFonts w:asciiTheme="majorHAnsi" w:hAnsiTheme="majorHAnsi" w:cstheme="majorHAnsi"/>
          <w:noProof/>
          <w:sz w:val="23"/>
          <w:szCs w:val="23"/>
        </w:rPr>
        <w:t xml:space="preserve"> (pp. 307-336): University of Pennsylvania Press.</w:t>
      </w:r>
    </w:p>
    <w:p w14:paraId="53EE708D"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Giusti, C., &amp; Estevez, L. (2011). Microlending for housing in the United States. A case study in colonias in Texas. </w:t>
      </w:r>
      <w:r w:rsidRPr="001137A9">
        <w:rPr>
          <w:rFonts w:asciiTheme="majorHAnsi" w:hAnsiTheme="majorHAnsi" w:cstheme="majorHAnsi"/>
          <w:i/>
          <w:noProof/>
          <w:sz w:val="23"/>
          <w:szCs w:val="23"/>
        </w:rPr>
        <w:t>Habitat International, 35</w:t>
      </w:r>
      <w:r w:rsidRPr="001137A9">
        <w:rPr>
          <w:rFonts w:asciiTheme="majorHAnsi" w:hAnsiTheme="majorHAnsi" w:cstheme="majorHAnsi"/>
          <w:noProof/>
          <w:sz w:val="23"/>
          <w:szCs w:val="23"/>
        </w:rPr>
        <w:t>(2), 307-315. doi:10.1016/j.habitatint.2010.10.003</w:t>
      </w:r>
    </w:p>
    <w:p w14:paraId="7D60C2CF"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Gomez, M. B. (2017). Neoliberalization's Propagation of Health Inequity in Urban Rebuilding Processes: The Dependence on Context and Path. </w:t>
      </w:r>
      <w:r w:rsidRPr="001137A9">
        <w:rPr>
          <w:rFonts w:asciiTheme="majorHAnsi" w:hAnsiTheme="majorHAnsi" w:cstheme="majorHAnsi"/>
          <w:i/>
          <w:noProof/>
          <w:sz w:val="23"/>
          <w:szCs w:val="23"/>
        </w:rPr>
        <w:t>International Journal of Health Services, 47</w:t>
      </w:r>
      <w:r w:rsidRPr="001137A9">
        <w:rPr>
          <w:rFonts w:asciiTheme="majorHAnsi" w:hAnsiTheme="majorHAnsi" w:cstheme="majorHAnsi"/>
          <w:noProof/>
          <w:sz w:val="23"/>
          <w:szCs w:val="23"/>
        </w:rPr>
        <w:t>(4), 655-689. doi:10.1177/0020731417712393</w:t>
      </w:r>
    </w:p>
    <w:p w14:paraId="041E8D7E"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Goodwin, S., &amp; Young, A. (2013). Ensuring Children and Young People Have a Voice in Neighbourhood Community Development. </w:t>
      </w:r>
      <w:r w:rsidRPr="001137A9">
        <w:rPr>
          <w:rFonts w:asciiTheme="majorHAnsi" w:hAnsiTheme="majorHAnsi" w:cstheme="majorHAnsi"/>
          <w:i/>
          <w:noProof/>
          <w:sz w:val="23"/>
          <w:szCs w:val="23"/>
        </w:rPr>
        <w:t>Australian Social Work, 66</w:t>
      </w:r>
      <w:r w:rsidRPr="001137A9">
        <w:rPr>
          <w:rFonts w:asciiTheme="majorHAnsi" w:hAnsiTheme="majorHAnsi" w:cstheme="majorHAnsi"/>
          <w:noProof/>
          <w:sz w:val="23"/>
          <w:szCs w:val="23"/>
        </w:rPr>
        <w:t>(3), 344-357. doi:10.1080/0312407X.2013.807857</w:t>
      </w:r>
    </w:p>
    <w:p w14:paraId="2326CBDB"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Greco, L. S. (2013). Communicating, collaborating, and coordinating to revitalize new jersey neighborhoods. </w:t>
      </w:r>
      <w:r w:rsidRPr="001137A9">
        <w:rPr>
          <w:rFonts w:asciiTheme="majorHAnsi" w:hAnsiTheme="majorHAnsi" w:cstheme="majorHAnsi"/>
          <w:i/>
          <w:noProof/>
          <w:sz w:val="23"/>
          <w:szCs w:val="23"/>
        </w:rPr>
        <w:t>Foundation Review, 5</w:t>
      </w:r>
      <w:r w:rsidRPr="001137A9">
        <w:rPr>
          <w:rFonts w:asciiTheme="majorHAnsi" w:hAnsiTheme="majorHAnsi" w:cstheme="majorHAnsi"/>
          <w:noProof/>
          <w:sz w:val="23"/>
          <w:szCs w:val="23"/>
        </w:rPr>
        <w:t>(1). doi:10.4087/FOUNDATIONREVIEW-D-12-00025.1</w:t>
      </w:r>
    </w:p>
    <w:p w14:paraId="22674310"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lastRenderedPageBreak/>
        <w:t xml:space="preserve">Guaralda, M., Hearn, G., Foth, M., Yigitcanlar, T., Mayere, S., &amp; Law, L. (2020). Towards Australian Regional Turnaround: Insights into Sustainably Accommodating Post-Pandemic Urban Growth in Regional Towns and Cities. </w:t>
      </w:r>
      <w:r w:rsidRPr="001137A9">
        <w:rPr>
          <w:rFonts w:asciiTheme="majorHAnsi" w:hAnsiTheme="majorHAnsi" w:cstheme="majorHAnsi"/>
          <w:i/>
          <w:noProof/>
          <w:sz w:val="23"/>
          <w:szCs w:val="23"/>
        </w:rPr>
        <w:t>Sustainability, 12</w:t>
      </w:r>
      <w:r w:rsidRPr="001137A9">
        <w:rPr>
          <w:rFonts w:asciiTheme="majorHAnsi" w:hAnsiTheme="majorHAnsi" w:cstheme="majorHAnsi"/>
          <w:noProof/>
          <w:sz w:val="23"/>
          <w:szCs w:val="23"/>
        </w:rPr>
        <w:t>(24), 10492. doi:http://dx.doi.org/10.3390/su122410492</w:t>
      </w:r>
    </w:p>
    <w:p w14:paraId="6E84809F"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Hatchett, L., Brown, L., Hopkins, J., Larsen, K., &amp; Fournier, E. (2015). "Something good can grow here": Chicago urban agriculture food projects. </w:t>
      </w:r>
      <w:r w:rsidRPr="001137A9">
        <w:rPr>
          <w:rFonts w:asciiTheme="majorHAnsi" w:hAnsiTheme="majorHAnsi" w:cstheme="majorHAnsi"/>
          <w:i/>
          <w:noProof/>
          <w:sz w:val="23"/>
          <w:szCs w:val="23"/>
        </w:rPr>
        <w:t>Journal of Prevention and Intervention in the Community, 43</w:t>
      </w:r>
      <w:r w:rsidRPr="001137A9">
        <w:rPr>
          <w:rFonts w:asciiTheme="majorHAnsi" w:hAnsiTheme="majorHAnsi" w:cstheme="majorHAnsi"/>
          <w:noProof/>
          <w:sz w:val="23"/>
          <w:szCs w:val="23"/>
        </w:rPr>
        <w:t>(2), 135-147. doi:10.1080/10852352.2014.973253</w:t>
      </w:r>
    </w:p>
    <w:p w14:paraId="6C473C5C"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Health, A. I. o., &amp; Welfare. (2019). </w:t>
      </w:r>
      <w:r w:rsidRPr="001137A9">
        <w:rPr>
          <w:rFonts w:asciiTheme="majorHAnsi" w:hAnsiTheme="majorHAnsi" w:cstheme="majorHAnsi"/>
          <w:i/>
          <w:noProof/>
          <w:sz w:val="23"/>
          <w:szCs w:val="23"/>
        </w:rPr>
        <w:t>Australia's welfare 2019: snapshots</w:t>
      </w:r>
      <w:r w:rsidRPr="001137A9">
        <w:rPr>
          <w:rFonts w:asciiTheme="majorHAnsi" w:hAnsiTheme="majorHAnsi" w:cstheme="majorHAnsi"/>
          <w:noProof/>
          <w:sz w:val="23"/>
          <w:szCs w:val="23"/>
        </w:rPr>
        <w:t>. Retrieved from Canberra: https://www.aihw.gov.au/reports/australias-welfare/australias-welfare-2019-in-brief</w:t>
      </w:r>
    </w:p>
    <w:p w14:paraId="03E38525"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Holland, J., Bruinhout, S., &amp; Malavisi, A. (2004). </w:t>
      </w:r>
      <w:r w:rsidRPr="001137A9">
        <w:rPr>
          <w:rFonts w:asciiTheme="majorHAnsi" w:hAnsiTheme="majorHAnsi" w:cstheme="majorHAnsi"/>
          <w:i/>
          <w:noProof/>
          <w:sz w:val="23"/>
          <w:szCs w:val="23"/>
        </w:rPr>
        <w:t>Place-based strategies, Collingwood and Fitzroy public housing estates</w:t>
      </w:r>
      <w:r w:rsidRPr="001137A9">
        <w:rPr>
          <w:rFonts w:asciiTheme="majorHAnsi" w:hAnsiTheme="majorHAnsi" w:cstheme="majorHAnsi"/>
          <w:noProof/>
          <w:sz w:val="23"/>
          <w:szCs w:val="23"/>
        </w:rPr>
        <w:t>: Victorian Council of Social Service.</w:t>
      </w:r>
    </w:p>
    <w:p w14:paraId="4A778953"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Housing, L. G., &amp; Ministers, P. (2005). Framework for National Action on Affordable Housing. In.</w:t>
      </w:r>
    </w:p>
    <w:p w14:paraId="66DC076C"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Howell, K. L. (2020). Winning in a “lose-lose” environment of economic development: housing, community empowerment, and neighborhood redevelopment in the Columbia Heights neighborhood of Washington, DC. </w:t>
      </w:r>
      <w:r w:rsidRPr="001137A9">
        <w:rPr>
          <w:rFonts w:asciiTheme="majorHAnsi" w:hAnsiTheme="majorHAnsi" w:cstheme="majorHAnsi"/>
          <w:i/>
          <w:noProof/>
          <w:sz w:val="23"/>
          <w:szCs w:val="23"/>
        </w:rPr>
        <w:t>Housing and Society, 47</w:t>
      </w:r>
      <w:r w:rsidRPr="001137A9">
        <w:rPr>
          <w:rFonts w:asciiTheme="majorHAnsi" w:hAnsiTheme="majorHAnsi" w:cstheme="majorHAnsi"/>
          <w:noProof/>
          <w:sz w:val="23"/>
          <w:szCs w:val="23"/>
        </w:rPr>
        <w:t>(1), 22-41. doi:10.1080/08882746.2019.1697090</w:t>
      </w:r>
    </w:p>
    <w:p w14:paraId="2215A502"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Hu, L. (2017). Job accessibility and employment outcomes: which income groups benefit the most? </w:t>
      </w:r>
      <w:r w:rsidRPr="001137A9">
        <w:rPr>
          <w:rFonts w:asciiTheme="majorHAnsi" w:hAnsiTheme="majorHAnsi" w:cstheme="majorHAnsi"/>
          <w:i/>
          <w:noProof/>
          <w:sz w:val="23"/>
          <w:szCs w:val="23"/>
        </w:rPr>
        <w:t>Transportation, 44</w:t>
      </w:r>
      <w:r w:rsidRPr="001137A9">
        <w:rPr>
          <w:rFonts w:asciiTheme="majorHAnsi" w:hAnsiTheme="majorHAnsi" w:cstheme="majorHAnsi"/>
          <w:noProof/>
          <w:sz w:val="23"/>
          <w:szCs w:val="23"/>
        </w:rPr>
        <w:t xml:space="preserve">(6), 1421-1443. </w:t>
      </w:r>
    </w:p>
    <w:p w14:paraId="33681159"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Hulse, K., Burke, T., Ralston, L., &amp; Stone, W. (2010). The benefits and risks of home ownership for low-moderate income households. </w:t>
      </w:r>
      <w:r w:rsidRPr="001137A9">
        <w:rPr>
          <w:rFonts w:asciiTheme="majorHAnsi" w:hAnsiTheme="majorHAnsi" w:cstheme="majorHAnsi"/>
          <w:i/>
          <w:noProof/>
          <w:sz w:val="23"/>
          <w:szCs w:val="23"/>
        </w:rPr>
        <w:t>AHURI Final Report, 154</w:t>
      </w:r>
      <w:r w:rsidRPr="001137A9">
        <w:rPr>
          <w:rFonts w:asciiTheme="majorHAnsi" w:hAnsiTheme="majorHAnsi" w:cstheme="majorHAnsi"/>
          <w:noProof/>
          <w:sz w:val="23"/>
          <w:szCs w:val="23"/>
        </w:rPr>
        <w:t xml:space="preserve">. </w:t>
      </w:r>
    </w:p>
    <w:p w14:paraId="3A6E5215"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Hyra, D. (2013). Commentary: Mixed-Income Housing: Where Have We Been and Where Do We Go From Here? </w:t>
      </w:r>
      <w:r w:rsidRPr="001137A9">
        <w:rPr>
          <w:rFonts w:asciiTheme="majorHAnsi" w:hAnsiTheme="majorHAnsi" w:cstheme="majorHAnsi"/>
          <w:i/>
          <w:noProof/>
          <w:sz w:val="23"/>
          <w:szCs w:val="23"/>
        </w:rPr>
        <w:t>Cityscape, 15</w:t>
      </w:r>
      <w:r w:rsidRPr="001137A9">
        <w:rPr>
          <w:rFonts w:asciiTheme="majorHAnsi" w:hAnsiTheme="majorHAnsi" w:cstheme="majorHAnsi"/>
          <w:noProof/>
          <w:sz w:val="23"/>
          <w:szCs w:val="23"/>
        </w:rPr>
        <w:t>(2), 123-133. Retrieved from http://www.jstor.org/stable/41959115</w:t>
      </w:r>
    </w:p>
    <w:p w14:paraId="354FC5CC"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Inglis, P. A., &amp; Stromback, T. (1986). Migrants' unemployment: The determinants of employment success. </w:t>
      </w:r>
      <w:r w:rsidRPr="001137A9">
        <w:rPr>
          <w:rFonts w:asciiTheme="majorHAnsi" w:hAnsiTheme="majorHAnsi" w:cstheme="majorHAnsi"/>
          <w:i/>
          <w:noProof/>
          <w:sz w:val="23"/>
          <w:szCs w:val="23"/>
        </w:rPr>
        <w:t>Economic Record, 62</w:t>
      </w:r>
      <w:r w:rsidRPr="001137A9">
        <w:rPr>
          <w:rFonts w:asciiTheme="majorHAnsi" w:hAnsiTheme="majorHAnsi" w:cstheme="majorHAnsi"/>
          <w:noProof/>
          <w:sz w:val="23"/>
          <w:szCs w:val="23"/>
        </w:rPr>
        <w:t xml:space="preserve">(3), 310-324. </w:t>
      </w:r>
    </w:p>
    <w:p w14:paraId="5063F89A"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Jalaludin, B., Maxwell, M., Saddik, B., Lobb, E., Byun, R., Gutierrez, R., &amp; Paszek, J. (2012). A pre-and-post study of an urban renewal program in a socially disadvantaged neighbourhood in Sydney, Australia. </w:t>
      </w:r>
      <w:r w:rsidRPr="001137A9">
        <w:rPr>
          <w:rFonts w:asciiTheme="majorHAnsi" w:hAnsiTheme="majorHAnsi" w:cstheme="majorHAnsi"/>
          <w:i/>
          <w:noProof/>
          <w:sz w:val="23"/>
          <w:szCs w:val="23"/>
        </w:rPr>
        <w:t>BMC Public Health, 12</w:t>
      </w:r>
      <w:r w:rsidRPr="001137A9">
        <w:rPr>
          <w:rFonts w:asciiTheme="majorHAnsi" w:hAnsiTheme="majorHAnsi" w:cstheme="majorHAnsi"/>
          <w:noProof/>
          <w:sz w:val="23"/>
          <w:szCs w:val="23"/>
        </w:rPr>
        <w:t>(1). doi:10.1186/1471-2458-12-521</w:t>
      </w:r>
    </w:p>
    <w:p w14:paraId="26450F74"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Jarvis, D., Berkeley, N., &amp; Broughton, K. (2012). Evidencing the impact of community engagement in neighbourhood regeneration</w:t>
      </w:r>
    </w:p>
    <w:p w14:paraId="426E9102"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the case of Canley, Coventry. </w:t>
      </w:r>
      <w:r w:rsidRPr="001137A9">
        <w:rPr>
          <w:rFonts w:asciiTheme="majorHAnsi" w:hAnsiTheme="majorHAnsi" w:cstheme="majorHAnsi"/>
          <w:i/>
          <w:noProof/>
          <w:sz w:val="23"/>
          <w:szCs w:val="23"/>
        </w:rPr>
        <w:t>Community Development Journal, 47</w:t>
      </w:r>
      <w:r w:rsidRPr="001137A9">
        <w:rPr>
          <w:rFonts w:asciiTheme="majorHAnsi" w:hAnsiTheme="majorHAnsi" w:cstheme="majorHAnsi"/>
          <w:noProof/>
          <w:sz w:val="23"/>
          <w:szCs w:val="23"/>
        </w:rPr>
        <w:t>(2), 232-247. Retrieved from http://www.jstor.org/stable/26166025</w:t>
      </w:r>
    </w:p>
    <w:p w14:paraId="26BDD896"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Jaskiewicz, L., Dombrowski, R. D., Barnett, G. M., Mason, M., &amp; Welter, C. (2016). Training local organizations to support healthy food access: Results from a year-long project. </w:t>
      </w:r>
      <w:r w:rsidRPr="001137A9">
        <w:rPr>
          <w:rFonts w:asciiTheme="majorHAnsi" w:hAnsiTheme="majorHAnsi" w:cstheme="majorHAnsi"/>
          <w:i/>
          <w:noProof/>
          <w:sz w:val="23"/>
          <w:szCs w:val="23"/>
        </w:rPr>
        <w:t>Community Development Journal, 51</w:t>
      </w:r>
      <w:r w:rsidRPr="001137A9">
        <w:rPr>
          <w:rFonts w:asciiTheme="majorHAnsi" w:hAnsiTheme="majorHAnsi" w:cstheme="majorHAnsi"/>
          <w:noProof/>
          <w:sz w:val="23"/>
          <w:szCs w:val="23"/>
        </w:rPr>
        <w:t>(2), 285-301. doi:10.1093/cdj/bsv022</w:t>
      </w:r>
    </w:p>
    <w:p w14:paraId="5C2ACAAE"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Johnson, M. S. (2012) The neighborhood divide: Poverty, place, and low-income housing in metropolitan Richmond, Virginia (USA). In</w:t>
      </w:r>
      <w:r w:rsidRPr="001137A9">
        <w:rPr>
          <w:rFonts w:asciiTheme="majorHAnsi" w:hAnsiTheme="majorHAnsi" w:cstheme="majorHAnsi"/>
          <w:i/>
          <w:noProof/>
          <w:sz w:val="23"/>
          <w:szCs w:val="23"/>
        </w:rPr>
        <w:t xml:space="preserve">: Vol. 8. Advances in Education in Diverse Communities: Research, Policy and Praxis </w:t>
      </w:r>
      <w:r w:rsidRPr="001137A9">
        <w:rPr>
          <w:rFonts w:asciiTheme="majorHAnsi" w:hAnsiTheme="majorHAnsi" w:cstheme="majorHAnsi"/>
          <w:noProof/>
          <w:sz w:val="23"/>
          <w:szCs w:val="23"/>
        </w:rPr>
        <w:t>(pp. 353-387).</w:t>
      </w:r>
    </w:p>
    <w:p w14:paraId="70AE6D65"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Joseph, M., &amp; Chaskin, R. (2010). Living in a Mixed-Income Development: Resident Perceptions of the Benefits and Disadvantages of Two Developments in Chicago. </w:t>
      </w:r>
      <w:r w:rsidRPr="001137A9">
        <w:rPr>
          <w:rFonts w:asciiTheme="majorHAnsi" w:hAnsiTheme="majorHAnsi" w:cstheme="majorHAnsi"/>
          <w:i/>
          <w:noProof/>
          <w:sz w:val="23"/>
          <w:szCs w:val="23"/>
        </w:rPr>
        <w:t>Urban Studies, 47</w:t>
      </w:r>
      <w:r w:rsidRPr="001137A9">
        <w:rPr>
          <w:rFonts w:asciiTheme="majorHAnsi" w:hAnsiTheme="majorHAnsi" w:cstheme="majorHAnsi"/>
          <w:noProof/>
          <w:sz w:val="23"/>
          <w:szCs w:val="23"/>
        </w:rPr>
        <w:t>(11), 2347-2366. Retrieved from http://www.jstor.org/stable/43080234</w:t>
      </w:r>
    </w:p>
    <w:p w14:paraId="6EA7A304"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Jutte, D. P., Miller, J. L., &amp; Erickson, D. J. (2015). Neighborhood adversity, child health, and the role for community development. </w:t>
      </w:r>
      <w:r w:rsidRPr="001137A9">
        <w:rPr>
          <w:rFonts w:asciiTheme="majorHAnsi" w:hAnsiTheme="majorHAnsi" w:cstheme="majorHAnsi"/>
          <w:i/>
          <w:noProof/>
          <w:sz w:val="23"/>
          <w:szCs w:val="23"/>
        </w:rPr>
        <w:t>Pediatrics, 135</w:t>
      </w:r>
      <w:r w:rsidRPr="001137A9">
        <w:rPr>
          <w:rFonts w:asciiTheme="majorHAnsi" w:hAnsiTheme="majorHAnsi" w:cstheme="majorHAnsi"/>
          <w:noProof/>
          <w:sz w:val="23"/>
          <w:szCs w:val="23"/>
        </w:rPr>
        <w:t>, S48-S57. doi:10.1542/peds.2014-3549F</w:t>
      </w:r>
    </w:p>
    <w:p w14:paraId="3025BCE0"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Kelaher, M., Warr, D. J., &amp; Tacticos, T. (2010). Evaluating health impacts: Results from the neighbourhood renewal stratgey in Victoria, Australia. </w:t>
      </w:r>
      <w:r w:rsidRPr="001137A9">
        <w:rPr>
          <w:rFonts w:asciiTheme="majorHAnsi" w:hAnsiTheme="majorHAnsi" w:cstheme="majorHAnsi"/>
          <w:i/>
          <w:noProof/>
          <w:sz w:val="23"/>
          <w:szCs w:val="23"/>
        </w:rPr>
        <w:t>Health &amp; Place, 16</w:t>
      </w:r>
      <w:r w:rsidRPr="001137A9">
        <w:rPr>
          <w:rFonts w:asciiTheme="majorHAnsi" w:hAnsiTheme="majorHAnsi" w:cstheme="majorHAnsi"/>
          <w:noProof/>
          <w:sz w:val="23"/>
          <w:szCs w:val="23"/>
        </w:rPr>
        <w:t>(5), 861-867. doi:10.1016/j.healthplace.2010.04.011</w:t>
      </w:r>
    </w:p>
    <w:p w14:paraId="32CBB0EC" w14:textId="5310362F"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Lab, S. P. (2020). </w:t>
      </w:r>
      <w:r w:rsidRPr="001137A9">
        <w:rPr>
          <w:rFonts w:asciiTheme="majorHAnsi" w:hAnsiTheme="majorHAnsi" w:cstheme="majorHAnsi"/>
          <w:i/>
          <w:noProof/>
          <w:sz w:val="23"/>
          <w:szCs w:val="23"/>
        </w:rPr>
        <w:t xml:space="preserve">Principles for a policy response to </w:t>
      </w:r>
      <w:r w:rsidR="00940D80">
        <w:rPr>
          <w:rFonts w:asciiTheme="majorHAnsi" w:hAnsiTheme="majorHAnsi" w:cstheme="majorHAnsi"/>
          <w:i/>
          <w:noProof/>
          <w:sz w:val="23"/>
          <w:szCs w:val="23"/>
        </w:rPr>
        <w:t>COVID</w:t>
      </w:r>
      <w:r w:rsidRPr="001137A9">
        <w:rPr>
          <w:rFonts w:asciiTheme="majorHAnsi" w:hAnsiTheme="majorHAnsi" w:cstheme="majorHAnsi"/>
          <w:i/>
          <w:noProof/>
          <w:sz w:val="23"/>
          <w:szCs w:val="23"/>
        </w:rPr>
        <w:t>-19</w:t>
      </w:r>
      <w:r w:rsidRPr="001137A9">
        <w:rPr>
          <w:rFonts w:asciiTheme="majorHAnsi" w:hAnsiTheme="majorHAnsi" w:cstheme="majorHAnsi"/>
          <w:noProof/>
          <w:sz w:val="23"/>
          <w:szCs w:val="23"/>
        </w:rPr>
        <w:t>: Sydney Policy Lab.</w:t>
      </w:r>
    </w:p>
    <w:p w14:paraId="4B4F1584"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Le, A. T. (2000). The determinants of immigrant self-employment in Australia. </w:t>
      </w:r>
      <w:r w:rsidRPr="001137A9">
        <w:rPr>
          <w:rFonts w:asciiTheme="majorHAnsi" w:hAnsiTheme="majorHAnsi" w:cstheme="majorHAnsi"/>
          <w:i/>
          <w:noProof/>
          <w:sz w:val="23"/>
          <w:szCs w:val="23"/>
        </w:rPr>
        <w:t>International Migration Review, 34</w:t>
      </w:r>
      <w:r w:rsidRPr="001137A9">
        <w:rPr>
          <w:rFonts w:asciiTheme="majorHAnsi" w:hAnsiTheme="majorHAnsi" w:cstheme="majorHAnsi"/>
          <w:noProof/>
          <w:sz w:val="23"/>
          <w:szCs w:val="23"/>
        </w:rPr>
        <w:t xml:space="preserve">(1), 183-214. </w:t>
      </w:r>
    </w:p>
    <w:p w14:paraId="33F9433E"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Leishman, C., Ong, R., Lester, L., &amp; Liang, W. (2020). </w:t>
      </w:r>
      <w:r w:rsidRPr="001137A9">
        <w:rPr>
          <w:rFonts w:asciiTheme="majorHAnsi" w:hAnsiTheme="majorHAnsi" w:cstheme="majorHAnsi"/>
          <w:i/>
          <w:noProof/>
          <w:sz w:val="23"/>
          <w:szCs w:val="23"/>
        </w:rPr>
        <w:t>Supporting Australia’s Housing System: Modelling Pandemic Policy Responses</w:t>
      </w:r>
      <w:r w:rsidRPr="001137A9">
        <w:rPr>
          <w:rFonts w:asciiTheme="majorHAnsi" w:hAnsiTheme="majorHAnsi" w:cstheme="majorHAnsi"/>
          <w:noProof/>
          <w:sz w:val="23"/>
          <w:szCs w:val="23"/>
        </w:rPr>
        <w:t xml:space="preserve">. Retrieved from </w:t>
      </w:r>
    </w:p>
    <w:p w14:paraId="7C9576A3"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lastRenderedPageBreak/>
        <w:t xml:space="preserve">Loibl, C., Durham, J., &amp; Moulton, S. (2018). Rich opportunities from collaboration with a state housing finance agency. </w:t>
      </w:r>
      <w:r w:rsidRPr="001137A9">
        <w:rPr>
          <w:rFonts w:asciiTheme="majorHAnsi" w:hAnsiTheme="majorHAnsi" w:cstheme="majorHAnsi"/>
          <w:i/>
          <w:noProof/>
          <w:sz w:val="23"/>
          <w:szCs w:val="23"/>
        </w:rPr>
        <w:t>Journal of Extension, 56</w:t>
      </w:r>
      <w:r w:rsidRPr="001137A9">
        <w:rPr>
          <w:rFonts w:asciiTheme="majorHAnsi" w:hAnsiTheme="majorHAnsi" w:cstheme="majorHAnsi"/>
          <w:noProof/>
          <w:sz w:val="23"/>
          <w:szCs w:val="23"/>
        </w:rPr>
        <w:t>(7). Retrieved from https://www.scopus.com/inward/record.uri?eid=2-s2.0-85059366536&amp;partnerID=40&amp;md5=842547491ae96d2aba88307eb811093c</w:t>
      </w:r>
    </w:p>
    <w:p w14:paraId="0CF5589C"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Lowe, M., Whitzman, C., Badland, H., Davern, M., Aye, L., Hes, D., . . . Giles-Corti, B. (2015). Planning healthy, liveable and sustainable cities: How can indicators inform policy? </w:t>
      </w:r>
      <w:r w:rsidRPr="001137A9">
        <w:rPr>
          <w:rFonts w:asciiTheme="majorHAnsi" w:hAnsiTheme="majorHAnsi" w:cstheme="majorHAnsi"/>
          <w:i/>
          <w:noProof/>
          <w:sz w:val="23"/>
          <w:szCs w:val="23"/>
        </w:rPr>
        <w:t>Urban Policy and Research, 33</w:t>
      </w:r>
      <w:r w:rsidRPr="001137A9">
        <w:rPr>
          <w:rFonts w:asciiTheme="majorHAnsi" w:hAnsiTheme="majorHAnsi" w:cstheme="majorHAnsi"/>
          <w:noProof/>
          <w:sz w:val="23"/>
          <w:szCs w:val="23"/>
        </w:rPr>
        <w:t xml:space="preserve">(2), 131-144. </w:t>
      </w:r>
    </w:p>
    <w:p w14:paraId="3B5502DB"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Marmot, M., Friel, S., Bell, R., Houweling, T. A., Taylor, S., &amp; Health, C. o. S. D. o. (2008). Closing the gap in a generation: health equity through action on the social determinants of health. </w:t>
      </w:r>
      <w:r w:rsidRPr="001137A9">
        <w:rPr>
          <w:rFonts w:asciiTheme="majorHAnsi" w:hAnsiTheme="majorHAnsi" w:cstheme="majorHAnsi"/>
          <w:i/>
          <w:noProof/>
          <w:sz w:val="23"/>
          <w:szCs w:val="23"/>
        </w:rPr>
        <w:t>The lancet, 372</w:t>
      </w:r>
      <w:r w:rsidRPr="001137A9">
        <w:rPr>
          <w:rFonts w:asciiTheme="majorHAnsi" w:hAnsiTheme="majorHAnsi" w:cstheme="majorHAnsi"/>
          <w:noProof/>
          <w:sz w:val="23"/>
          <w:szCs w:val="23"/>
        </w:rPr>
        <w:t xml:space="preserve">(9650), 1661-1669. </w:t>
      </w:r>
    </w:p>
    <w:p w14:paraId="475B6F83"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McCabe, A., &amp; Davis, A. (2012). Community development as mental health promotion: Principles, practice and outcomes. </w:t>
      </w:r>
      <w:r w:rsidRPr="001137A9">
        <w:rPr>
          <w:rFonts w:asciiTheme="majorHAnsi" w:hAnsiTheme="majorHAnsi" w:cstheme="majorHAnsi"/>
          <w:i/>
          <w:noProof/>
          <w:sz w:val="23"/>
          <w:szCs w:val="23"/>
        </w:rPr>
        <w:t>Community Development Journal, 47</w:t>
      </w:r>
      <w:r w:rsidRPr="001137A9">
        <w:rPr>
          <w:rFonts w:asciiTheme="majorHAnsi" w:hAnsiTheme="majorHAnsi" w:cstheme="majorHAnsi"/>
          <w:noProof/>
          <w:sz w:val="23"/>
          <w:szCs w:val="23"/>
        </w:rPr>
        <w:t>(4), 506-521. doi:10.1093/cdj/bss026</w:t>
      </w:r>
    </w:p>
    <w:p w14:paraId="19D1DA45"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Meares, W. L., &amp; Riggs, W. (2016). Walkability and the benefits of place-based housing: an examination of Louisville’s HOPE VI neighborhoods. </w:t>
      </w:r>
      <w:r w:rsidRPr="001137A9">
        <w:rPr>
          <w:rFonts w:asciiTheme="majorHAnsi" w:hAnsiTheme="majorHAnsi" w:cstheme="majorHAnsi"/>
          <w:i/>
          <w:noProof/>
          <w:sz w:val="23"/>
          <w:szCs w:val="23"/>
        </w:rPr>
        <w:t>Housing and Society, 43</w:t>
      </w:r>
      <w:r w:rsidRPr="001137A9">
        <w:rPr>
          <w:rFonts w:asciiTheme="majorHAnsi" w:hAnsiTheme="majorHAnsi" w:cstheme="majorHAnsi"/>
          <w:noProof/>
          <w:sz w:val="23"/>
          <w:szCs w:val="23"/>
        </w:rPr>
        <w:t>(2), 103-125. doi:10.1080/08882746.2017.1293428</w:t>
      </w:r>
    </w:p>
    <w:p w14:paraId="22AF4F34"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Miake-Lye, I. M., Hempel, S., Shanman, R., &amp; Shekelle, P. G. (2016). What is an evidence map? A systematic review of published evidence maps and their definitions, methods, and products. </w:t>
      </w:r>
      <w:r w:rsidRPr="001137A9">
        <w:rPr>
          <w:rFonts w:asciiTheme="majorHAnsi" w:hAnsiTheme="majorHAnsi" w:cstheme="majorHAnsi"/>
          <w:i/>
          <w:noProof/>
          <w:sz w:val="23"/>
          <w:szCs w:val="23"/>
        </w:rPr>
        <w:t>Systematic reviews, 5</w:t>
      </w:r>
      <w:r w:rsidRPr="001137A9">
        <w:rPr>
          <w:rFonts w:asciiTheme="majorHAnsi" w:hAnsiTheme="majorHAnsi" w:cstheme="majorHAnsi"/>
          <w:noProof/>
          <w:sz w:val="23"/>
          <w:szCs w:val="23"/>
        </w:rPr>
        <w:t xml:space="preserve">(1), 28. </w:t>
      </w:r>
    </w:p>
    <w:p w14:paraId="3A7E31F7"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Miller, P., Mulvey, C., &amp; Martin, N. (2001). Genetic and environmental contributions to educational attainment in Australia. </w:t>
      </w:r>
      <w:r w:rsidRPr="001137A9">
        <w:rPr>
          <w:rFonts w:asciiTheme="majorHAnsi" w:hAnsiTheme="majorHAnsi" w:cstheme="majorHAnsi"/>
          <w:i/>
          <w:noProof/>
          <w:sz w:val="23"/>
          <w:szCs w:val="23"/>
        </w:rPr>
        <w:t>Economics of Education review, 20</w:t>
      </w:r>
      <w:r w:rsidRPr="001137A9">
        <w:rPr>
          <w:rFonts w:asciiTheme="majorHAnsi" w:hAnsiTheme="majorHAnsi" w:cstheme="majorHAnsi"/>
          <w:noProof/>
          <w:sz w:val="23"/>
          <w:szCs w:val="23"/>
        </w:rPr>
        <w:t xml:space="preserve">(3), 211-224. </w:t>
      </w:r>
    </w:p>
    <w:p w14:paraId="164FB3CA"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Milligan, V., Pawson, H., Phillips, R., &amp; Martin, C. (2017). Developing the scale and capacity of Australia's affordable housing industry. </w:t>
      </w:r>
      <w:r w:rsidRPr="001137A9">
        <w:rPr>
          <w:rFonts w:asciiTheme="majorHAnsi" w:hAnsiTheme="majorHAnsi" w:cstheme="majorHAnsi"/>
          <w:i/>
          <w:noProof/>
          <w:sz w:val="23"/>
          <w:szCs w:val="23"/>
        </w:rPr>
        <w:t>AHURI Final Report</w:t>
      </w:r>
      <w:r w:rsidRPr="001137A9">
        <w:rPr>
          <w:rFonts w:asciiTheme="majorHAnsi" w:hAnsiTheme="majorHAnsi" w:cstheme="majorHAnsi"/>
          <w:noProof/>
          <w:sz w:val="23"/>
          <w:szCs w:val="23"/>
        </w:rPr>
        <w:t>(278), 1-110. doi:10.18408/ahuri-7108402</w:t>
      </w:r>
    </w:p>
    <w:p w14:paraId="0AB104CF"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Mmako, N. J., Capetola, T., &amp; Henderson-Wilson, C. (2019). Sowing social inclusion for marginalised residents of a social housing development through a community garden. </w:t>
      </w:r>
      <w:r w:rsidRPr="001137A9">
        <w:rPr>
          <w:rFonts w:asciiTheme="majorHAnsi" w:hAnsiTheme="majorHAnsi" w:cstheme="majorHAnsi"/>
          <w:i/>
          <w:noProof/>
          <w:sz w:val="23"/>
          <w:szCs w:val="23"/>
        </w:rPr>
        <w:t>Health Promotion Journal of Australia, 30</w:t>
      </w:r>
      <w:r w:rsidRPr="001137A9">
        <w:rPr>
          <w:rFonts w:asciiTheme="majorHAnsi" w:hAnsiTheme="majorHAnsi" w:cstheme="majorHAnsi"/>
          <w:noProof/>
          <w:sz w:val="23"/>
          <w:szCs w:val="23"/>
        </w:rPr>
        <w:t>(3), 350-358. doi:10.1002/hpja.225</w:t>
      </w:r>
    </w:p>
    <w:p w14:paraId="4412240F"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O'Mara-Eves, A., Brunton, G., Oliver, S., Kavanagh, J., Jamal, F., &amp; Thomas, J. (2015). The effectiveness of community engagement in public health interventions for disadvantaged groups: A meta-analysis. </w:t>
      </w:r>
      <w:r w:rsidRPr="001137A9">
        <w:rPr>
          <w:rFonts w:asciiTheme="majorHAnsi" w:hAnsiTheme="majorHAnsi" w:cstheme="majorHAnsi"/>
          <w:i/>
          <w:noProof/>
          <w:sz w:val="23"/>
          <w:szCs w:val="23"/>
        </w:rPr>
        <w:t>BMC Public Health, 15</w:t>
      </w:r>
      <w:r w:rsidRPr="001137A9">
        <w:rPr>
          <w:rFonts w:asciiTheme="majorHAnsi" w:hAnsiTheme="majorHAnsi" w:cstheme="majorHAnsi"/>
          <w:noProof/>
          <w:sz w:val="23"/>
          <w:szCs w:val="23"/>
        </w:rPr>
        <w:t>(1). doi:10.1186/s12889-015-1352-y</w:t>
      </w:r>
    </w:p>
    <w:p w14:paraId="5F86C847" w14:textId="26742825" w:rsidR="0098093C"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Patulny, R. V., &amp; Morris, A. (2012). Questioning the Need for Social Mix</w:t>
      </w:r>
      <w:r w:rsidR="00203685">
        <w:rPr>
          <w:rFonts w:asciiTheme="majorHAnsi" w:hAnsiTheme="majorHAnsi" w:cstheme="majorHAnsi"/>
          <w:noProof/>
          <w:sz w:val="23"/>
          <w:szCs w:val="23"/>
        </w:rPr>
        <w:t xml:space="preserve">: </w:t>
      </w:r>
      <w:r w:rsidRPr="001137A9">
        <w:rPr>
          <w:rFonts w:asciiTheme="majorHAnsi" w:hAnsiTheme="majorHAnsi" w:cstheme="majorHAnsi"/>
          <w:noProof/>
          <w:sz w:val="23"/>
          <w:szCs w:val="23"/>
        </w:rPr>
        <w:t xml:space="preserve">The Implications of Friendship Diversity amongst Australian Social Housing Tenants. </w:t>
      </w:r>
      <w:r w:rsidRPr="001137A9">
        <w:rPr>
          <w:rFonts w:asciiTheme="majorHAnsi" w:hAnsiTheme="majorHAnsi" w:cstheme="majorHAnsi"/>
          <w:i/>
          <w:noProof/>
          <w:sz w:val="23"/>
          <w:szCs w:val="23"/>
        </w:rPr>
        <w:t>Urban Studies, 49</w:t>
      </w:r>
      <w:r w:rsidRPr="001137A9">
        <w:rPr>
          <w:rFonts w:asciiTheme="majorHAnsi" w:hAnsiTheme="majorHAnsi" w:cstheme="majorHAnsi"/>
          <w:noProof/>
          <w:sz w:val="23"/>
          <w:szCs w:val="23"/>
        </w:rPr>
        <w:t xml:space="preserve">(15), 3365-3384. Retrieved from </w:t>
      </w:r>
      <w:hyperlink r:id="rId184" w:history="1">
        <w:r w:rsidR="00203685" w:rsidRPr="0093186A">
          <w:rPr>
            <w:rStyle w:val="Hyperlink"/>
            <w:rFonts w:asciiTheme="majorHAnsi" w:hAnsiTheme="majorHAnsi" w:cstheme="majorHAnsi"/>
            <w:noProof/>
            <w:sz w:val="23"/>
            <w:szCs w:val="23"/>
          </w:rPr>
          <w:t>http://www.jstor.org/stable/26144151</w:t>
        </w:r>
      </w:hyperlink>
    </w:p>
    <w:p w14:paraId="0AE907EC" w14:textId="45CA2FC7" w:rsidR="00203685" w:rsidRPr="001137A9" w:rsidRDefault="00203685" w:rsidP="00173A3F">
      <w:pPr>
        <w:pStyle w:val="EndNoteBibliography"/>
        <w:ind w:left="720" w:hanging="720"/>
        <w:rPr>
          <w:rFonts w:asciiTheme="majorHAnsi" w:hAnsiTheme="majorHAnsi" w:cstheme="majorHAnsi"/>
          <w:noProof/>
          <w:sz w:val="23"/>
          <w:szCs w:val="23"/>
        </w:rPr>
      </w:pPr>
      <w:r w:rsidRPr="00203685">
        <w:rPr>
          <w:rFonts w:asciiTheme="majorHAnsi" w:hAnsiTheme="majorHAnsi" w:cstheme="majorHAnsi"/>
          <w:noProof/>
          <w:sz w:val="23"/>
          <w:szCs w:val="23"/>
        </w:rPr>
        <w:t>Pawson, H., Hulse, K., &amp; Cheshire, L. (2015). Addressing concentrations of disadvantage in urban Australia. Final Report.</w:t>
      </w:r>
    </w:p>
    <w:p w14:paraId="50BE3BA9"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Peters, R. V., Petrunka, K., Khan, S., Howell-Moneta, A., Nelson, G., Pancer, S. M., &amp; Loomis, C. (2016). Cost-savings analysis of the better beginnings, better futures community-based project for young children and their families: A 10-year follow-up. </w:t>
      </w:r>
      <w:r w:rsidRPr="001137A9">
        <w:rPr>
          <w:rFonts w:asciiTheme="majorHAnsi" w:hAnsiTheme="majorHAnsi" w:cstheme="majorHAnsi"/>
          <w:i/>
          <w:noProof/>
          <w:sz w:val="23"/>
          <w:szCs w:val="23"/>
        </w:rPr>
        <w:t>Prevention Science, 17</w:t>
      </w:r>
      <w:r w:rsidRPr="001137A9">
        <w:rPr>
          <w:rFonts w:asciiTheme="majorHAnsi" w:hAnsiTheme="majorHAnsi" w:cstheme="majorHAnsi"/>
          <w:noProof/>
          <w:sz w:val="23"/>
          <w:szCs w:val="23"/>
        </w:rPr>
        <w:t>(2), 237-247. doi:10.1007/s11121-015-0595-2</w:t>
      </w:r>
    </w:p>
    <w:p w14:paraId="2D03A381"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Phillips, G., Renton, A., Moore, D. G., Bottomley, C., Schmidt, E., Lais, S., . . . Hayes, R. (2012). The Well London program - a cluster randomized trial of community engagement for improving health behaviors and mental wellbeing: baseline survey results. </w:t>
      </w:r>
      <w:r w:rsidRPr="001137A9">
        <w:rPr>
          <w:rFonts w:asciiTheme="majorHAnsi" w:hAnsiTheme="majorHAnsi" w:cstheme="majorHAnsi"/>
          <w:i/>
          <w:noProof/>
          <w:sz w:val="23"/>
          <w:szCs w:val="23"/>
        </w:rPr>
        <w:t>Trials, 13</w:t>
      </w:r>
      <w:r w:rsidRPr="001137A9">
        <w:rPr>
          <w:rFonts w:asciiTheme="majorHAnsi" w:hAnsiTheme="majorHAnsi" w:cstheme="majorHAnsi"/>
          <w:noProof/>
          <w:sz w:val="23"/>
          <w:szCs w:val="23"/>
        </w:rPr>
        <w:t>. doi:10.1186/1745-6215-13-105</w:t>
      </w:r>
    </w:p>
    <w:p w14:paraId="7FA44EEC"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Pineda, V. S., &amp; Corburn, J. (2020). Disability, Urban Health Equity, and the Coronavirus Pandemic: Promoting Cities for All. </w:t>
      </w:r>
      <w:r w:rsidRPr="001137A9">
        <w:rPr>
          <w:rFonts w:asciiTheme="majorHAnsi" w:hAnsiTheme="majorHAnsi" w:cstheme="majorHAnsi"/>
          <w:i/>
          <w:noProof/>
          <w:sz w:val="23"/>
          <w:szCs w:val="23"/>
        </w:rPr>
        <w:t>Journal of urban health</w:t>
      </w:r>
      <w:r w:rsidRPr="001137A9">
        <w:rPr>
          <w:rFonts w:asciiTheme="majorHAnsi" w:hAnsiTheme="majorHAnsi" w:cstheme="majorHAnsi"/>
          <w:noProof/>
          <w:sz w:val="23"/>
          <w:szCs w:val="23"/>
        </w:rPr>
        <w:t xml:space="preserve">, 1-6. </w:t>
      </w:r>
    </w:p>
    <w:p w14:paraId="5D74A360"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Pineo, H., Glonti, K., Rutter, H., Zimmermann, N., Wilkinson, P., &amp; Davies, M. (2018). Urban health indicator tools of the physical environment: a systematic review. </w:t>
      </w:r>
      <w:r w:rsidRPr="001137A9">
        <w:rPr>
          <w:rFonts w:asciiTheme="majorHAnsi" w:hAnsiTheme="majorHAnsi" w:cstheme="majorHAnsi"/>
          <w:i/>
          <w:noProof/>
          <w:sz w:val="23"/>
          <w:szCs w:val="23"/>
        </w:rPr>
        <w:t>Journal of urban health, 95</w:t>
      </w:r>
      <w:r w:rsidRPr="001137A9">
        <w:rPr>
          <w:rFonts w:asciiTheme="majorHAnsi" w:hAnsiTheme="majorHAnsi" w:cstheme="majorHAnsi"/>
          <w:noProof/>
          <w:sz w:val="23"/>
          <w:szCs w:val="23"/>
        </w:rPr>
        <w:t xml:space="preserve">(5), 613-646. </w:t>
      </w:r>
    </w:p>
    <w:p w14:paraId="5EAC8C97"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Randolph, B., &amp; Freestone, R. (2012). Housing Differentiation and Renewal in Middle-ring Suburbs</w:t>
      </w:r>
    </w:p>
    <w:p w14:paraId="1C9A5A38"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The Experience of Sydney, Australia. </w:t>
      </w:r>
      <w:r w:rsidRPr="001137A9">
        <w:rPr>
          <w:rFonts w:asciiTheme="majorHAnsi" w:hAnsiTheme="majorHAnsi" w:cstheme="majorHAnsi"/>
          <w:i/>
          <w:noProof/>
          <w:sz w:val="23"/>
          <w:szCs w:val="23"/>
        </w:rPr>
        <w:t>Urban Studies, 49</w:t>
      </w:r>
      <w:r w:rsidRPr="001137A9">
        <w:rPr>
          <w:rFonts w:asciiTheme="majorHAnsi" w:hAnsiTheme="majorHAnsi" w:cstheme="majorHAnsi"/>
          <w:noProof/>
          <w:sz w:val="23"/>
          <w:szCs w:val="23"/>
        </w:rPr>
        <w:t>(12), 2557-2575. Retrieved from http://www.jstor.org/stable/26151019</w:t>
      </w:r>
    </w:p>
    <w:p w14:paraId="6883D641"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lastRenderedPageBreak/>
        <w:t xml:space="preserve">Rasanathan, K., Montesinos, E. V., Matheson, D., Etienne, C., &amp; Evans, T. (2011). Primary health care and the social determinants of health: essential and complementary approaches for reducing inequities in health. </w:t>
      </w:r>
      <w:r w:rsidRPr="001137A9">
        <w:rPr>
          <w:rFonts w:asciiTheme="majorHAnsi" w:hAnsiTheme="majorHAnsi" w:cstheme="majorHAnsi"/>
          <w:i/>
          <w:noProof/>
          <w:sz w:val="23"/>
          <w:szCs w:val="23"/>
        </w:rPr>
        <w:t>Journal of Epidemiology &amp; Community Health, 65</w:t>
      </w:r>
      <w:r w:rsidRPr="001137A9">
        <w:rPr>
          <w:rFonts w:asciiTheme="majorHAnsi" w:hAnsiTheme="majorHAnsi" w:cstheme="majorHAnsi"/>
          <w:noProof/>
          <w:sz w:val="23"/>
          <w:szCs w:val="23"/>
        </w:rPr>
        <w:t xml:space="preserve">(8), 656-660. </w:t>
      </w:r>
    </w:p>
    <w:p w14:paraId="24BF797F"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Rogerson, B., Lindberg, R., Givens, M., &amp; Wernham, A. (2014). A simplified framework for incorporating health into community development initiatives. </w:t>
      </w:r>
      <w:r w:rsidRPr="001137A9">
        <w:rPr>
          <w:rFonts w:asciiTheme="majorHAnsi" w:hAnsiTheme="majorHAnsi" w:cstheme="majorHAnsi"/>
          <w:i/>
          <w:noProof/>
          <w:sz w:val="23"/>
          <w:szCs w:val="23"/>
        </w:rPr>
        <w:t>Health Affairs, 33</w:t>
      </w:r>
      <w:r w:rsidRPr="001137A9">
        <w:rPr>
          <w:rFonts w:asciiTheme="majorHAnsi" w:hAnsiTheme="majorHAnsi" w:cstheme="majorHAnsi"/>
          <w:noProof/>
          <w:sz w:val="23"/>
          <w:szCs w:val="23"/>
        </w:rPr>
        <w:t>(11), 1939-1947. doi:10.1377/hlthaff.2014.0632</w:t>
      </w:r>
    </w:p>
    <w:p w14:paraId="60A4B69B"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Romeo-Velilla, M., Ellis, N., Hurst, G., Grogan, S., &amp; Gidlow, C. (2018). A qualitative study of disengagement in disadvantaged areas of the UK: 'You come through your door and you lock that door'. </w:t>
      </w:r>
      <w:r w:rsidRPr="001137A9">
        <w:rPr>
          <w:rFonts w:asciiTheme="majorHAnsi" w:hAnsiTheme="majorHAnsi" w:cstheme="majorHAnsi"/>
          <w:i/>
          <w:noProof/>
          <w:sz w:val="23"/>
          <w:szCs w:val="23"/>
        </w:rPr>
        <w:t>Health &amp; Place, 52</w:t>
      </w:r>
      <w:r w:rsidRPr="001137A9">
        <w:rPr>
          <w:rFonts w:asciiTheme="majorHAnsi" w:hAnsiTheme="majorHAnsi" w:cstheme="majorHAnsi"/>
          <w:noProof/>
          <w:sz w:val="23"/>
          <w:szCs w:val="23"/>
        </w:rPr>
        <w:t>, 62-69. doi:10.1016/j.healthplace.2018.04.002</w:t>
      </w:r>
    </w:p>
    <w:p w14:paraId="29FE3E5D"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Rosenblatt, P., &amp; DeLuca, S. (2017). What Happened in Sandtown-Winchester? Understanding the Impacts of a Comprehensive Community Initiative. </w:t>
      </w:r>
      <w:r w:rsidRPr="001137A9">
        <w:rPr>
          <w:rFonts w:asciiTheme="majorHAnsi" w:hAnsiTheme="majorHAnsi" w:cstheme="majorHAnsi"/>
          <w:i/>
          <w:noProof/>
          <w:sz w:val="23"/>
          <w:szCs w:val="23"/>
        </w:rPr>
        <w:t>Urban Affairs Review, 53</w:t>
      </w:r>
      <w:r w:rsidRPr="001137A9">
        <w:rPr>
          <w:rFonts w:asciiTheme="majorHAnsi" w:hAnsiTheme="majorHAnsi" w:cstheme="majorHAnsi"/>
          <w:noProof/>
          <w:sz w:val="23"/>
          <w:szCs w:val="23"/>
        </w:rPr>
        <w:t>(3), 463-494. doi:10.1177/1078087415617852</w:t>
      </w:r>
    </w:p>
    <w:p w14:paraId="19AB3866"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Rowley, S. (2012). Housing affordability, housing stress and household wellbeing in Australia. </w:t>
      </w:r>
    </w:p>
    <w:p w14:paraId="589F66E3"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Schnake-Mahl, A. S., Jahn, J. L., Subramanian, S. V., Waters, M. C., &amp; Arcaya, M. (2020). Gentrification, Neighborhood Change, and Population Health: a Systematic Review. </w:t>
      </w:r>
      <w:r w:rsidRPr="001137A9">
        <w:rPr>
          <w:rFonts w:asciiTheme="majorHAnsi" w:hAnsiTheme="majorHAnsi" w:cstheme="majorHAnsi"/>
          <w:i/>
          <w:noProof/>
          <w:sz w:val="23"/>
          <w:szCs w:val="23"/>
        </w:rPr>
        <w:t>Journal of Urban Health-Bulletin of the New York Academy of Medicine, 97</w:t>
      </w:r>
      <w:r w:rsidRPr="001137A9">
        <w:rPr>
          <w:rFonts w:asciiTheme="majorHAnsi" w:hAnsiTheme="majorHAnsi" w:cstheme="majorHAnsi"/>
          <w:noProof/>
          <w:sz w:val="23"/>
          <w:szCs w:val="23"/>
        </w:rPr>
        <w:t>(1), 1-25. doi:10.1007/s11524-019-00400-1</w:t>
      </w:r>
    </w:p>
    <w:p w14:paraId="763AF764"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Shamasunder, B., Mason, R., Ippoliti, L., &amp; Robledo, L. (2015). Growing together: Poverty alleviation, community building, and environmental justice through home gardens in Pacoima, Los Angeles. </w:t>
      </w:r>
      <w:r w:rsidRPr="001137A9">
        <w:rPr>
          <w:rFonts w:asciiTheme="majorHAnsi" w:hAnsiTheme="majorHAnsi" w:cstheme="majorHAnsi"/>
          <w:i/>
          <w:noProof/>
          <w:sz w:val="23"/>
          <w:szCs w:val="23"/>
        </w:rPr>
        <w:t>Environmental Justice, 8</w:t>
      </w:r>
      <w:r w:rsidRPr="001137A9">
        <w:rPr>
          <w:rFonts w:asciiTheme="majorHAnsi" w:hAnsiTheme="majorHAnsi" w:cstheme="majorHAnsi"/>
          <w:noProof/>
          <w:sz w:val="23"/>
          <w:szCs w:val="23"/>
        </w:rPr>
        <w:t>(3), 72-77. doi:10.1089/env.2015.0005</w:t>
      </w:r>
    </w:p>
    <w:p w14:paraId="4F31AADE"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Sharpe, R. A., Taylor, T., Fleming, L. E., Morrissey, K., Morris, G., &amp; Wigglesworth, R. (2018). Making the Case for "Whole System" Approaches: Integrating Public Health and Housing. </w:t>
      </w:r>
      <w:r w:rsidRPr="001137A9">
        <w:rPr>
          <w:rFonts w:asciiTheme="majorHAnsi" w:hAnsiTheme="majorHAnsi" w:cstheme="majorHAnsi"/>
          <w:i/>
          <w:noProof/>
          <w:sz w:val="23"/>
          <w:szCs w:val="23"/>
        </w:rPr>
        <w:t>International Journal of Environmental Research and Public Health, 15</w:t>
      </w:r>
      <w:r w:rsidRPr="001137A9">
        <w:rPr>
          <w:rFonts w:asciiTheme="majorHAnsi" w:hAnsiTheme="majorHAnsi" w:cstheme="majorHAnsi"/>
          <w:noProof/>
          <w:sz w:val="23"/>
          <w:szCs w:val="23"/>
        </w:rPr>
        <w:t>(11). doi:10.3390/ijerph15112345</w:t>
      </w:r>
    </w:p>
    <w:p w14:paraId="3F74E416"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Shaw, M. (2004). Housing and public health. </w:t>
      </w:r>
      <w:r w:rsidRPr="001137A9">
        <w:rPr>
          <w:rFonts w:asciiTheme="majorHAnsi" w:hAnsiTheme="majorHAnsi" w:cstheme="majorHAnsi"/>
          <w:i/>
          <w:noProof/>
          <w:sz w:val="23"/>
          <w:szCs w:val="23"/>
        </w:rPr>
        <w:t>Annu. Rev. Public Health, 25</w:t>
      </w:r>
      <w:r w:rsidRPr="001137A9">
        <w:rPr>
          <w:rFonts w:asciiTheme="majorHAnsi" w:hAnsiTheme="majorHAnsi" w:cstheme="majorHAnsi"/>
          <w:noProof/>
          <w:sz w:val="23"/>
          <w:szCs w:val="23"/>
        </w:rPr>
        <w:t xml:space="preserve">, 397-418. </w:t>
      </w:r>
    </w:p>
    <w:p w14:paraId="025EE6E1"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Shield, M., Graham, M., &amp; Taket, A. (2011). Neighbourhood renewal in Victoria, Australia: An effective way to address social inclusion. </w:t>
      </w:r>
      <w:r w:rsidRPr="001137A9">
        <w:rPr>
          <w:rFonts w:asciiTheme="majorHAnsi" w:hAnsiTheme="majorHAnsi" w:cstheme="majorHAnsi"/>
          <w:i/>
          <w:noProof/>
          <w:sz w:val="23"/>
          <w:szCs w:val="23"/>
        </w:rPr>
        <w:t>Journal of Social Inclusion, 2</w:t>
      </w:r>
      <w:r w:rsidRPr="001137A9">
        <w:rPr>
          <w:rFonts w:asciiTheme="majorHAnsi" w:hAnsiTheme="majorHAnsi" w:cstheme="majorHAnsi"/>
          <w:noProof/>
          <w:sz w:val="23"/>
          <w:szCs w:val="23"/>
        </w:rPr>
        <w:t xml:space="preserve">(2). </w:t>
      </w:r>
    </w:p>
    <w:p w14:paraId="0DCBF2C6"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Smallwood, S. W., Freedman, D. A., Pitner, R. O., Sharpe, P. A., Cole, J. A., Hastie, S., &amp; Hunter, B. (2015). Implementing a Community Empowerment Center to Build Capacity for Developing, Implementing, and Sustaining Interventions to Promote Community Health. </w:t>
      </w:r>
      <w:r w:rsidRPr="001137A9">
        <w:rPr>
          <w:rFonts w:asciiTheme="majorHAnsi" w:hAnsiTheme="majorHAnsi" w:cstheme="majorHAnsi"/>
          <w:i/>
          <w:noProof/>
          <w:sz w:val="23"/>
          <w:szCs w:val="23"/>
        </w:rPr>
        <w:t>Journal of Community Health, 40</w:t>
      </w:r>
      <w:r w:rsidRPr="001137A9">
        <w:rPr>
          <w:rFonts w:asciiTheme="majorHAnsi" w:hAnsiTheme="majorHAnsi" w:cstheme="majorHAnsi"/>
          <w:noProof/>
          <w:sz w:val="23"/>
          <w:szCs w:val="23"/>
        </w:rPr>
        <w:t>(6), 1122-1129. doi:http://dx.doi.org/10.1007/s10900-015-0038-9</w:t>
      </w:r>
    </w:p>
    <w:p w14:paraId="642D4FC6"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Snilstveit, B., Vojtkova, M., Bhavsar, A., &amp; Gaarder, M. (2013). </w:t>
      </w:r>
      <w:r w:rsidRPr="001137A9">
        <w:rPr>
          <w:rFonts w:asciiTheme="majorHAnsi" w:hAnsiTheme="majorHAnsi" w:cstheme="majorHAnsi"/>
          <w:i/>
          <w:noProof/>
          <w:sz w:val="23"/>
          <w:szCs w:val="23"/>
        </w:rPr>
        <w:t>Evidence gap maps—a tool for promoting evidence-informed policy and prioritizing future research</w:t>
      </w:r>
      <w:r w:rsidRPr="001137A9">
        <w:rPr>
          <w:rFonts w:asciiTheme="majorHAnsi" w:hAnsiTheme="majorHAnsi" w:cstheme="majorHAnsi"/>
          <w:noProof/>
          <w:sz w:val="23"/>
          <w:szCs w:val="23"/>
        </w:rPr>
        <w:t>: The world bank.</w:t>
      </w:r>
    </w:p>
    <w:p w14:paraId="395A5877"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South, J., Stansfield, J., &amp; Fenton, K. (2015). Putting communities at the heart of public health. </w:t>
      </w:r>
      <w:r w:rsidRPr="001137A9">
        <w:rPr>
          <w:rFonts w:asciiTheme="majorHAnsi" w:hAnsiTheme="majorHAnsi" w:cstheme="majorHAnsi"/>
          <w:i/>
          <w:noProof/>
          <w:sz w:val="23"/>
          <w:szCs w:val="23"/>
        </w:rPr>
        <w:t>Perspectives in Public Health, 135</w:t>
      </w:r>
      <w:r w:rsidRPr="001137A9">
        <w:rPr>
          <w:rFonts w:asciiTheme="majorHAnsi" w:hAnsiTheme="majorHAnsi" w:cstheme="majorHAnsi"/>
          <w:noProof/>
          <w:sz w:val="23"/>
          <w:szCs w:val="23"/>
        </w:rPr>
        <w:t>(6), 291-293. Retrieved from http://ezproxy.deakin.edu.au/login?url=https://www.proquest.com/scholarly-journals/putting-communities-at-heart-public-health/docview/1737493151/se-2?accountid=10445</w:t>
      </w:r>
    </w:p>
    <w:p w14:paraId="5A009888"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http://library.deakin.edu.au/resserv?genre=article&amp;issn=17579139&amp;title=Perspectives+in+Public+Health&amp;volume=135&amp;issue=6&amp;date=2015-11-01&amp;atitle=Putting+communities+at+the+heart+of+public+health&amp;spage=291&amp;aulast=South&amp;sid=ProQ:ProQ%3Ahealthcompleteshell&amp;isbn=&amp;jtitle=Perspectives+in+Public+Health&amp;btitle=&amp;id=doi:</w:t>
      </w:r>
    </w:p>
    <w:p w14:paraId="63E8884C"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Thurber, A., Bohmann Claire, R., &amp; Heflinger, C. A. (2018). Spatially integrated and socially segregated: The effects of mixed-income neighbourhoods on social well-being. </w:t>
      </w:r>
      <w:r w:rsidRPr="001137A9">
        <w:rPr>
          <w:rFonts w:asciiTheme="majorHAnsi" w:hAnsiTheme="majorHAnsi" w:cstheme="majorHAnsi"/>
          <w:i/>
          <w:noProof/>
          <w:sz w:val="23"/>
          <w:szCs w:val="23"/>
        </w:rPr>
        <w:t>Urban Studies, 55</w:t>
      </w:r>
      <w:r w:rsidRPr="001137A9">
        <w:rPr>
          <w:rFonts w:asciiTheme="majorHAnsi" w:hAnsiTheme="majorHAnsi" w:cstheme="majorHAnsi"/>
          <w:noProof/>
          <w:sz w:val="23"/>
          <w:szCs w:val="23"/>
        </w:rPr>
        <w:t>(9), 1859-1874. doi:http://dx.doi.org/10.1177/0042098017702840</w:t>
      </w:r>
    </w:p>
    <w:p w14:paraId="6AC1C537" w14:textId="600ACEF8"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Tinson, A. (2020). Living in poverty was bad for your health before </w:t>
      </w:r>
      <w:r w:rsidR="00940D80">
        <w:rPr>
          <w:rFonts w:asciiTheme="majorHAnsi" w:hAnsiTheme="majorHAnsi" w:cstheme="majorHAnsi"/>
          <w:noProof/>
          <w:sz w:val="23"/>
          <w:szCs w:val="23"/>
        </w:rPr>
        <w:t>COVID</w:t>
      </w:r>
      <w:r w:rsidRPr="001137A9">
        <w:rPr>
          <w:rFonts w:asciiTheme="majorHAnsi" w:hAnsiTheme="majorHAnsi" w:cstheme="majorHAnsi"/>
          <w:noProof/>
          <w:sz w:val="23"/>
          <w:szCs w:val="23"/>
        </w:rPr>
        <w:t xml:space="preserve">-19. </w:t>
      </w:r>
    </w:p>
    <w:p w14:paraId="26B7C79E"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Tually, S., Beer, A., &amp; McLoughlin, P. (2011). Housing assistance, social inclusion and people living with a disability. </w:t>
      </w:r>
      <w:r w:rsidRPr="001137A9">
        <w:rPr>
          <w:rFonts w:asciiTheme="majorHAnsi" w:hAnsiTheme="majorHAnsi" w:cstheme="majorHAnsi"/>
          <w:i/>
          <w:noProof/>
          <w:sz w:val="23"/>
          <w:szCs w:val="23"/>
        </w:rPr>
        <w:t>AHURI Final Report</w:t>
      </w:r>
      <w:r w:rsidRPr="001137A9">
        <w:rPr>
          <w:rFonts w:asciiTheme="majorHAnsi" w:hAnsiTheme="majorHAnsi" w:cstheme="majorHAnsi"/>
          <w:noProof/>
          <w:sz w:val="23"/>
          <w:szCs w:val="23"/>
        </w:rPr>
        <w:t>(178), 1-82. Retrieved from https://www.scopus.com/inward/record.uri?eid=2-s2.0-84907549285&amp;partnerID=40&amp;md5=ee3853a990f8e98b27165fcd5034fb2e</w:t>
      </w:r>
    </w:p>
    <w:p w14:paraId="7371BCCE"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Uitermark, J., &amp; Loopmans, M. (2013). Urban renewal without displacement? Belgium's 'housing contract experiment' and the risks of gentrification. </w:t>
      </w:r>
      <w:r w:rsidRPr="001137A9">
        <w:rPr>
          <w:rFonts w:asciiTheme="majorHAnsi" w:hAnsiTheme="majorHAnsi" w:cstheme="majorHAnsi"/>
          <w:i/>
          <w:noProof/>
          <w:sz w:val="23"/>
          <w:szCs w:val="23"/>
        </w:rPr>
        <w:t>Journal of Housing and the Built Environment, 28</w:t>
      </w:r>
      <w:r w:rsidRPr="001137A9">
        <w:rPr>
          <w:rFonts w:asciiTheme="majorHAnsi" w:hAnsiTheme="majorHAnsi" w:cstheme="majorHAnsi"/>
          <w:noProof/>
          <w:sz w:val="23"/>
          <w:szCs w:val="23"/>
        </w:rPr>
        <w:t>(1), 157-166. Retrieved from http://www.jstor.org/stable/42636231</w:t>
      </w:r>
    </w:p>
    <w:p w14:paraId="6D6524D1" w14:textId="00D4CFAB"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lastRenderedPageBreak/>
        <w:t xml:space="preserve">van Barneveld, K., Quinlan, M., Kriesler, P., Junor, A., Baum, F., Chowdhury, A., . . . Rainnie, A. (2020). The </w:t>
      </w:r>
      <w:r w:rsidR="00940D80">
        <w:rPr>
          <w:rFonts w:asciiTheme="majorHAnsi" w:hAnsiTheme="majorHAnsi" w:cstheme="majorHAnsi"/>
          <w:noProof/>
          <w:sz w:val="23"/>
          <w:szCs w:val="23"/>
        </w:rPr>
        <w:t>COVID</w:t>
      </w:r>
      <w:r w:rsidRPr="001137A9">
        <w:rPr>
          <w:rFonts w:asciiTheme="majorHAnsi" w:hAnsiTheme="majorHAnsi" w:cstheme="majorHAnsi"/>
          <w:noProof/>
          <w:sz w:val="23"/>
          <w:szCs w:val="23"/>
        </w:rPr>
        <w:t xml:space="preserve">-19 pandemic: Lessons on building more equal and sustainable societies. </w:t>
      </w:r>
      <w:r w:rsidRPr="001137A9">
        <w:rPr>
          <w:rFonts w:asciiTheme="majorHAnsi" w:hAnsiTheme="majorHAnsi" w:cstheme="majorHAnsi"/>
          <w:i/>
          <w:noProof/>
          <w:sz w:val="23"/>
          <w:szCs w:val="23"/>
        </w:rPr>
        <w:t>Economic and Labour Relations Review, 31</w:t>
      </w:r>
      <w:r w:rsidRPr="001137A9">
        <w:rPr>
          <w:rFonts w:asciiTheme="majorHAnsi" w:hAnsiTheme="majorHAnsi" w:cstheme="majorHAnsi"/>
          <w:noProof/>
          <w:sz w:val="23"/>
          <w:szCs w:val="23"/>
        </w:rPr>
        <w:t>(2), 133-157. doi:10.1177/1035304620927107</w:t>
      </w:r>
    </w:p>
    <w:p w14:paraId="5C425B0A" w14:textId="1CFC2F19" w:rsidR="0098093C"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Welfare, A. I. o. H. (2020). </w:t>
      </w:r>
      <w:r w:rsidRPr="001137A9">
        <w:rPr>
          <w:rFonts w:asciiTheme="majorHAnsi" w:hAnsiTheme="majorHAnsi" w:cstheme="majorHAnsi"/>
          <w:i/>
          <w:noProof/>
          <w:sz w:val="23"/>
          <w:szCs w:val="23"/>
        </w:rPr>
        <w:t>Social determinants of health</w:t>
      </w:r>
      <w:r w:rsidRPr="001137A9">
        <w:rPr>
          <w:rFonts w:asciiTheme="majorHAnsi" w:hAnsiTheme="majorHAnsi" w:cstheme="majorHAnsi"/>
          <w:noProof/>
          <w:sz w:val="23"/>
          <w:szCs w:val="23"/>
        </w:rPr>
        <w:t xml:space="preserve">. Retrieved from Canberra: </w:t>
      </w:r>
      <w:hyperlink r:id="rId185" w:history="1">
        <w:r w:rsidR="00203685" w:rsidRPr="0093186A">
          <w:rPr>
            <w:rStyle w:val="Hyperlink"/>
            <w:rFonts w:asciiTheme="majorHAnsi" w:hAnsiTheme="majorHAnsi" w:cstheme="majorHAnsi"/>
            <w:noProof/>
            <w:sz w:val="23"/>
            <w:szCs w:val="23"/>
          </w:rPr>
          <w:t>https://www.aihw.gov.au/reports/australias-health/social-determinants-of-health</w:t>
        </w:r>
      </w:hyperlink>
    </w:p>
    <w:p w14:paraId="1EC6B31A" w14:textId="5D494FE8" w:rsidR="00203685" w:rsidRPr="001137A9" w:rsidRDefault="00203685" w:rsidP="00173A3F">
      <w:pPr>
        <w:pStyle w:val="EndNoteBibliography"/>
        <w:ind w:left="720" w:hanging="720"/>
        <w:rPr>
          <w:rFonts w:asciiTheme="majorHAnsi" w:hAnsiTheme="majorHAnsi" w:cstheme="majorHAnsi"/>
          <w:noProof/>
          <w:sz w:val="23"/>
          <w:szCs w:val="23"/>
        </w:rPr>
      </w:pPr>
      <w:r w:rsidRPr="00203685">
        <w:rPr>
          <w:rFonts w:asciiTheme="majorHAnsi" w:hAnsiTheme="majorHAnsi" w:cstheme="majorHAnsi"/>
          <w:noProof/>
          <w:sz w:val="23"/>
          <w:szCs w:val="23"/>
        </w:rPr>
        <w:t>Wiesel, I., &amp; Pawson, H. (2012). Addressing concentrations of disadvantage: policy, practice and literature review.</w:t>
      </w:r>
    </w:p>
    <w:p w14:paraId="78AB64DF" w14:textId="5CBBB3B8"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Wilson, C. K. (2020). </w:t>
      </w:r>
      <w:r w:rsidR="00940D80">
        <w:rPr>
          <w:rFonts w:asciiTheme="majorHAnsi" w:hAnsiTheme="majorHAnsi" w:cstheme="majorHAnsi"/>
          <w:noProof/>
          <w:sz w:val="23"/>
          <w:szCs w:val="23"/>
        </w:rPr>
        <w:t>COVID</w:t>
      </w:r>
      <w:r w:rsidRPr="001137A9">
        <w:rPr>
          <w:rFonts w:asciiTheme="majorHAnsi" w:hAnsiTheme="majorHAnsi" w:cstheme="majorHAnsi"/>
          <w:noProof/>
          <w:sz w:val="23"/>
          <w:szCs w:val="23"/>
        </w:rPr>
        <w:t xml:space="preserve">-19, digital inclusion and online education: APO Digital Inclusion Collection Brief April 2020. </w:t>
      </w:r>
    </w:p>
    <w:p w14:paraId="6249C1D6"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Wood, G., &amp; Cigdem, M. (2012). </w:t>
      </w:r>
      <w:r w:rsidRPr="001137A9">
        <w:rPr>
          <w:rFonts w:asciiTheme="majorHAnsi" w:hAnsiTheme="majorHAnsi" w:cstheme="majorHAnsi"/>
          <w:i/>
          <w:noProof/>
          <w:sz w:val="23"/>
          <w:szCs w:val="23"/>
        </w:rPr>
        <w:t>Cost-effective methods for evaluation of neighbourhood renewal programs</w:t>
      </w:r>
      <w:r w:rsidRPr="001137A9">
        <w:rPr>
          <w:rFonts w:asciiTheme="majorHAnsi" w:hAnsiTheme="majorHAnsi" w:cstheme="majorHAnsi"/>
          <w:noProof/>
          <w:sz w:val="23"/>
          <w:szCs w:val="23"/>
        </w:rPr>
        <w:t xml:space="preserve"> (Vol. 198).</w:t>
      </w:r>
    </w:p>
    <w:p w14:paraId="429E0E47" w14:textId="77777777" w:rsidR="0098093C" w:rsidRPr="001137A9" w:rsidRDefault="0098093C" w:rsidP="00173A3F">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Wood, M. (2001). </w:t>
      </w:r>
      <w:r w:rsidRPr="001137A9">
        <w:rPr>
          <w:rFonts w:asciiTheme="majorHAnsi" w:hAnsiTheme="majorHAnsi" w:cstheme="majorHAnsi"/>
          <w:i/>
          <w:noProof/>
          <w:sz w:val="23"/>
          <w:szCs w:val="23"/>
        </w:rPr>
        <w:t>Resident Participation, social cohesion and sustainability in neighbourhood renewal: developing best practice models1.</w:t>
      </w:r>
      <w:r w:rsidRPr="001137A9">
        <w:rPr>
          <w:rFonts w:asciiTheme="majorHAnsi" w:hAnsiTheme="majorHAnsi" w:cstheme="majorHAnsi"/>
          <w:noProof/>
          <w:sz w:val="23"/>
          <w:szCs w:val="23"/>
        </w:rPr>
        <w:t xml:space="preserve"> Paper presented at the Paper presented at National Housing Conference.</w:t>
      </w:r>
    </w:p>
    <w:p w14:paraId="5D51BA8D" w14:textId="752362CB" w:rsidR="0098093C" w:rsidRDefault="0098093C" w:rsidP="005B7060">
      <w:pPr>
        <w:pStyle w:val="EndNoteBibliography"/>
        <w:ind w:left="720" w:hanging="720"/>
        <w:rPr>
          <w:rFonts w:asciiTheme="majorHAnsi" w:hAnsiTheme="majorHAnsi" w:cstheme="majorHAnsi"/>
          <w:noProof/>
          <w:sz w:val="23"/>
          <w:szCs w:val="23"/>
        </w:rPr>
      </w:pPr>
      <w:r w:rsidRPr="001137A9">
        <w:rPr>
          <w:rFonts w:asciiTheme="majorHAnsi" w:hAnsiTheme="majorHAnsi" w:cstheme="majorHAnsi"/>
          <w:noProof/>
          <w:sz w:val="23"/>
          <w:szCs w:val="23"/>
        </w:rPr>
        <w:t xml:space="preserve">Yerena, A. (2015). The Impact of Advocacy Organizations on Low-Income Housing Policy in U.S. Cities. </w:t>
      </w:r>
      <w:r w:rsidRPr="001137A9">
        <w:rPr>
          <w:rFonts w:asciiTheme="majorHAnsi" w:hAnsiTheme="majorHAnsi" w:cstheme="majorHAnsi"/>
          <w:i/>
          <w:noProof/>
          <w:sz w:val="23"/>
          <w:szCs w:val="23"/>
        </w:rPr>
        <w:t>Urban Affairs Review, 51</w:t>
      </w:r>
      <w:r w:rsidRPr="001137A9">
        <w:rPr>
          <w:rFonts w:asciiTheme="majorHAnsi" w:hAnsiTheme="majorHAnsi" w:cstheme="majorHAnsi"/>
          <w:noProof/>
          <w:sz w:val="23"/>
          <w:szCs w:val="23"/>
        </w:rPr>
        <w:t>(6), 843-870. doi:10.1177/1078087415571451</w:t>
      </w:r>
    </w:p>
    <w:p w14:paraId="69920413" w14:textId="77777777" w:rsidR="005B7060" w:rsidRPr="005B7060" w:rsidRDefault="005B7060" w:rsidP="005B7060">
      <w:pPr>
        <w:pStyle w:val="EndNoteBibliography"/>
        <w:ind w:left="720" w:hanging="720"/>
        <w:rPr>
          <w:rFonts w:asciiTheme="majorHAnsi" w:hAnsiTheme="majorHAnsi" w:cstheme="majorHAnsi"/>
          <w:noProof/>
          <w:sz w:val="23"/>
          <w:szCs w:val="23"/>
        </w:rPr>
      </w:pPr>
    </w:p>
    <w:p w14:paraId="236E9DEC" w14:textId="79C8B983" w:rsidR="0098093C" w:rsidRPr="005B7060" w:rsidRDefault="0098093C" w:rsidP="00173A3F">
      <w:pPr>
        <w:spacing w:after="0" w:line="240" w:lineRule="auto"/>
        <w:rPr>
          <w:rFonts w:eastAsiaTheme="minorEastAsia"/>
          <w:b/>
          <w:bCs/>
          <w:color w:val="2F5496" w:themeColor="accent1" w:themeShade="BF"/>
          <w:sz w:val="28"/>
          <w:szCs w:val="28"/>
        </w:rPr>
      </w:pPr>
      <w:r w:rsidRPr="005B7060">
        <w:rPr>
          <w:rFonts w:eastAsiaTheme="minorEastAsia"/>
          <w:b/>
          <w:bCs/>
          <w:color w:val="2F5496" w:themeColor="accent1" w:themeShade="BF"/>
          <w:sz w:val="28"/>
          <w:szCs w:val="28"/>
        </w:rPr>
        <w:t xml:space="preserve">Section 5: </w:t>
      </w:r>
      <w:r w:rsidR="00AD2DA5">
        <w:rPr>
          <w:rFonts w:eastAsiaTheme="minorEastAsia"/>
          <w:b/>
          <w:bCs/>
          <w:color w:val="2F5496" w:themeColor="accent1" w:themeShade="BF"/>
          <w:sz w:val="28"/>
          <w:szCs w:val="28"/>
        </w:rPr>
        <w:t>Case Studies</w:t>
      </w:r>
    </w:p>
    <w:p w14:paraId="65AD3362" w14:textId="77777777" w:rsidR="0098093C" w:rsidRPr="004D19BB" w:rsidRDefault="0098093C" w:rsidP="00173A3F">
      <w:pPr>
        <w:spacing w:after="0" w:line="240" w:lineRule="auto"/>
        <w:rPr>
          <w:rFonts w:asciiTheme="majorHAnsi" w:hAnsiTheme="majorHAnsi" w:cstheme="majorHAnsi"/>
          <w:b/>
          <w:bCs/>
          <w:sz w:val="16"/>
          <w:szCs w:val="16"/>
        </w:rPr>
      </w:pPr>
    </w:p>
    <w:p w14:paraId="40992FD6" w14:textId="77777777" w:rsidR="0098093C" w:rsidRPr="001137A9" w:rsidRDefault="0098093C" w:rsidP="00173A3F">
      <w:pPr>
        <w:spacing w:after="0" w:line="240" w:lineRule="auto"/>
        <w:ind w:left="709" w:hanging="720"/>
        <w:rPr>
          <w:rFonts w:asciiTheme="majorHAnsi" w:eastAsia="Calibri Light" w:hAnsiTheme="majorHAnsi" w:cstheme="majorHAnsi"/>
          <w:sz w:val="23"/>
          <w:szCs w:val="23"/>
        </w:rPr>
      </w:pPr>
      <w:r w:rsidRPr="001137A9">
        <w:rPr>
          <w:rFonts w:asciiTheme="majorHAnsi" w:eastAsia="Calibri Light" w:hAnsiTheme="majorHAnsi" w:cstheme="majorHAnsi"/>
          <w:sz w:val="23"/>
          <w:szCs w:val="23"/>
        </w:rPr>
        <w:t>ACEVO, 2015. Coming in from the cold. Why We Need to Talk About Loneliness Among Our Young People.</w:t>
      </w:r>
    </w:p>
    <w:p w14:paraId="4FCCFA89" w14:textId="77777777" w:rsidR="0098093C" w:rsidRPr="001137A9" w:rsidRDefault="0098093C" w:rsidP="00173A3F">
      <w:pPr>
        <w:spacing w:after="0" w:line="240" w:lineRule="auto"/>
        <w:ind w:left="709" w:hanging="720"/>
        <w:rPr>
          <w:rFonts w:asciiTheme="majorHAnsi" w:eastAsia="Calibri Light" w:hAnsiTheme="majorHAnsi" w:cstheme="majorHAnsi"/>
          <w:sz w:val="23"/>
          <w:szCs w:val="23"/>
        </w:rPr>
      </w:pPr>
      <w:r w:rsidRPr="001137A9">
        <w:rPr>
          <w:rFonts w:asciiTheme="majorHAnsi" w:eastAsia="Calibri Light" w:hAnsiTheme="majorHAnsi" w:cstheme="majorHAnsi"/>
          <w:sz w:val="23"/>
          <w:szCs w:val="23"/>
        </w:rPr>
        <w:t xml:space="preserve">AIME Mentoring (n.d.). Retrieved 18 January 2021, from https://aimementoring.com/ </w:t>
      </w:r>
    </w:p>
    <w:p w14:paraId="05B432CA"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1137A9">
        <w:rPr>
          <w:rFonts w:asciiTheme="majorHAnsi" w:eastAsia="Calibri Light" w:hAnsiTheme="majorHAnsi" w:cstheme="majorHAnsi"/>
          <w:sz w:val="23"/>
          <w:szCs w:val="23"/>
        </w:rPr>
        <w:t xml:space="preserve">All </w:t>
      </w:r>
      <w:r w:rsidRPr="008F0FAA">
        <w:rPr>
          <w:rFonts w:asciiTheme="majorHAnsi" w:eastAsia="Calibri Light" w:hAnsiTheme="majorHAnsi" w:cstheme="majorHAnsi"/>
          <w:sz w:val="23"/>
          <w:szCs w:val="23"/>
        </w:rPr>
        <w:t xml:space="preserve">Right? (n.d.). About All Right? https://www.allright.org.nz/about </w:t>
      </w:r>
    </w:p>
    <w:p w14:paraId="6D0D1AC4"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All Right? (2013). Becoming All Right? A summary of the research behind the wellbeing campaign for Canterbury, April, https://www.healthychristchurch.org.nz/media/100697/allrightresearchsummary.pdf </w:t>
      </w:r>
    </w:p>
    <w:p w14:paraId="2AC8B190"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Anderson, A. (2020). Coronavirus: ‘Good times will come again to Dundee.’ BBC Scotland, 26 May, </w:t>
      </w:r>
      <w:hyperlink r:id="rId186">
        <w:r w:rsidRPr="008F0FAA">
          <w:rPr>
            <w:rStyle w:val="Hyperlink"/>
            <w:rFonts w:asciiTheme="majorHAnsi" w:eastAsia="Calibri Light" w:hAnsiTheme="majorHAnsi" w:cstheme="majorHAnsi"/>
            <w:sz w:val="23"/>
            <w:szCs w:val="23"/>
          </w:rPr>
          <w:t>https://www.bbc.com/news/uk-scotland-tayside-central-52807044</w:t>
        </w:r>
      </w:hyperlink>
      <w:r w:rsidRPr="008F0FAA">
        <w:rPr>
          <w:rFonts w:asciiTheme="majorHAnsi" w:eastAsia="Calibri Light" w:hAnsiTheme="majorHAnsi" w:cstheme="majorHAnsi"/>
          <w:sz w:val="23"/>
          <w:szCs w:val="23"/>
        </w:rPr>
        <w:t xml:space="preserve"> </w:t>
      </w:r>
    </w:p>
    <w:p w14:paraId="7050AB90"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Anderson, I., Trudi Tokarczyk, T., and O’Shea, C. (2019). Transforming Broomhill: Community Regeneration Evaluation. University of Stirling, </w:t>
      </w:r>
      <w:hyperlink r:id="rId187">
        <w:r w:rsidRPr="008F0FAA">
          <w:rPr>
            <w:rStyle w:val="Hyperlink"/>
            <w:rFonts w:asciiTheme="majorHAnsi" w:eastAsia="Calibri Light" w:hAnsiTheme="majorHAnsi" w:cstheme="majorHAnsi"/>
            <w:sz w:val="23"/>
            <w:szCs w:val="23"/>
          </w:rPr>
          <w:t>https://www.riverclydehomes.org.uk/uploaded/river-clyde-web/passthrough/broomhill_report_stirling_university.pdf</w:t>
        </w:r>
      </w:hyperlink>
      <w:r w:rsidRPr="008F0FAA">
        <w:rPr>
          <w:rFonts w:asciiTheme="majorHAnsi" w:eastAsia="Calibri Light" w:hAnsiTheme="majorHAnsi" w:cstheme="majorHAnsi"/>
          <w:sz w:val="23"/>
          <w:szCs w:val="23"/>
        </w:rPr>
        <w:t xml:space="preserve"> </w:t>
      </w:r>
    </w:p>
    <w:p w14:paraId="61D2B3BD"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Arts Victoria (2014). The Arts Ripple Effect. Melbourne. Retrieved 11 January 2021, from https://creative.vic.gov.au/__data/assets/pdf_file/0010/56359/The_Arts_Ripple_Effect_Valuing_the_Arts_in_Communities-2.pdf </w:t>
      </w:r>
    </w:p>
    <w:p w14:paraId="6B464062"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Badland H, Roberts R, Butterworth I, Giles-Corti B. How liveable is Melbourne? Conceptualising and testing urban liveability indicators: Progress to date. Melbourne; 2015.</w:t>
      </w:r>
    </w:p>
    <w:p w14:paraId="0120F0EF"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Baudinette, S. (2011) A formative evaluation of the Dabble 'n' Dance program. (Unpublished thesis). Deakin University, Geelong. Retrieved 8 January 2021, from https://static1.squarespace.com/static/5760a8092fe131e4665fdf19/t/593a549fe4fcb52e4850e953/1496995037154/Formative+evaluation+of+Dabble+%27n%27+Dance.pdf  </w:t>
      </w:r>
    </w:p>
    <w:p w14:paraId="67C7A1B7"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Beaglehole, B., Bell, C., Frampton, C. and Moor, S. (2017). The impact of the Canterbury earthquakes on successful school leaving for adolescents. Australian and New Zealand Journal of Public Health, 41: 70-73. https://doi.org/10.1111/1753-6405.12625</w:t>
      </w:r>
    </w:p>
    <w:p w14:paraId="7093DFB7"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Bluebird Foundation. (2019). Annual Report 2019. Geelong: Bluebird Foundation Inc. Retrieved 8 January 2021, from https://static1.squarespace.com/static/5760a8092fe131e4665fdf19/t/5ef1291f42dce443e15cde4d/1592863067324/Bluebird+Foundation+Annual+Report+2019.pdf </w:t>
      </w:r>
    </w:p>
    <w:p w14:paraId="73FA6CE8"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Baum, S., R. Stimson, et al. (1999). Community Opportunity and Vulnerability in Australia's Cities and Towns. Melbourne, Australian Housing and Urban Research Institute. </w:t>
      </w:r>
    </w:p>
    <w:p w14:paraId="6931032E"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lastRenderedPageBreak/>
        <w:t>Bartlett, C.A. (2019). AIME High: A Social Entrepreneur's Moon Shot. Harvard Business School Case 919-411, January.</w:t>
      </w:r>
    </w:p>
    <w:p w14:paraId="1853E224"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BBZ National (2017). Best Babies Zone Basics: A Step-by-Step Guide. Best Babies Zone Technical Assistance Center, School of Public Health, University of California, Berkeley.</w:t>
      </w:r>
    </w:p>
    <w:p w14:paraId="65173E2A"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Bedson, L. (2007). The Community Enterprise Development Initiative: Learnings from work with twelve disadvantaged neighbourhoods in 2005–06. Melbourne: Brotherhood of St Laurence. http://library.bsl.org.au/showitem.php?handle=1/6139</w:t>
      </w:r>
    </w:p>
    <w:p w14:paraId="47B8CF36"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Beer, A. (2009) “The theory and practice of developing locally” in J. Rowe (ed) </w:t>
      </w:r>
      <w:r w:rsidRPr="008F0FAA">
        <w:rPr>
          <w:rFonts w:asciiTheme="majorHAnsi" w:eastAsia="Calibri Light" w:hAnsiTheme="majorHAnsi" w:cstheme="majorHAnsi"/>
          <w:i/>
          <w:iCs/>
          <w:sz w:val="23"/>
          <w:szCs w:val="23"/>
        </w:rPr>
        <w:t>Theories of local economic development: linking theory to practice</w:t>
      </w:r>
      <w:r w:rsidRPr="008F0FAA">
        <w:rPr>
          <w:rFonts w:asciiTheme="majorHAnsi" w:eastAsia="Calibri Light" w:hAnsiTheme="majorHAnsi" w:cstheme="majorHAnsi"/>
          <w:sz w:val="23"/>
          <w:szCs w:val="23"/>
        </w:rPr>
        <w:t xml:space="preserve"> Thousand Oaks: Sage.</w:t>
      </w:r>
    </w:p>
    <w:p w14:paraId="17F2316C"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Bendigo Community Health Services (2018). Afghan teenagers learn bicycle education through Bendigo multicultural project. Retrieved 20 January 2021, from https://www.bchs.com.au/blog/336-bike-safety-and-riding-a-great-new-experiene-for-afghan-teenagers-living-in-bendigo</w:t>
      </w:r>
    </w:p>
    <w:p w14:paraId="415EB7CD"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Bluebird Foundation Inc (n.d.). About Us. Retrieved 8 January 2021, from http://www.bluebirdfoundationinc.org.au/ </w:t>
      </w:r>
    </w:p>
    <w:p w14:paraId="69BE1CD2"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Broomhill Project, The (n.d.). ‘About The Broomhill Project: Community Arts and Heritage in Broomhill, Greenock.’ RIG Arts, https://thebroomhillproject.com/about-2/</w:t>
      </w:r>
    </w:p>
    <w:p w14:paraId="3D648CF7"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Burke, K. (2019). Abusive men to be re-housed in ‘brave' new domestic violence program. Retrieved 20 January 2021, from https://www.domain.com.au/news/domestic-violence-victims-to-remain-home-perpetrators-given-crisis-housing-in-sa-trial-841792/ </w:t>
      </w:r>
    </w:p>
    <w:p w14:paraId="5580B00D"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Burke, T. and D. Hayward (2000). Housing Past, Housing Futures: Melbourne Metropolitan Strategy Technical Report 4. Melbourne, Department of Infrastructure.</w:t>
      </w:r>
    </w:p>
    <w:p w14:paraId="44EED823"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Byron, I. (2010). Placed-based approaches to addressing disadvantage: Linking science and policy. Family Matters, Australian Institute of Family Studies, 84, 20-17, </w:t>
      </w:r>
      <w:hyperlink r:id="rId188">
        <w:r w:rsidRPr="008F0FAA">
          <w:rPr>
            <w:rStyle w:val="Hyperlink"/>
            <w:rFonts w:asciiTheme="majorHAnsi" w:eastAsia="Calibri Light" w:hAnsiTheme="majorHAnsi" w:cstheme="majorHAnsi"/>
            <w:sz w:val="23"/>
            <w:szCs w:val="23"/>
          </w:rPr>
          <w:t>https://aifs.gov.au/publications/family-matters/issue-84/placed-based-approaches-addressing-disadvantage</w:t>
        </w:r>
      </w:hyperlink>
    </w:p>
    <w:p w14:paraId="19E68265"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Cameron, J. and Gibson, K. (2005a). Representing marginalisation: Finding new avenues for economic and social intervention, State of Australian Cities published paper from http//www.communityeconomies.org Accessed 12.9.2013.</w:t>
      </w:r>
    </w:p>
    <w:p w14:paraId="3B2521B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Cameron, J. and Gibson, K (2005b). Alternative pathways to community and economic development: The Latrobe Valley Community partnering project, </w:t>
      </w:r>
      <w:r w:rsidRPr="008F0FAA">
        <w:rPr>
          <w:rFonts w:asciiTheme="majorHAnsi" w:eastAsia="Calibri Light" w:hAnsiTheme="majorHAnsi" w:cstheme="majorHAnsi"/>
          <w:i/>
          <w:iCs/>
          <w:sz w:val="23"/>
          <w:szCs w:val="23"/>
        </w:rPr>
        <w:t>Geographical Research</w:t>
      </w:r>
      <w:r w:rsidRPr="008F0FAA">
        <w:rPr>
          <w:rFonts w:asciiTheme="majorHAnsi" w:eastAsia="Calibri Light" w:hAnsiTheme="majorHAnsi" w:cstheme="majorHAnsi"/>
          <w:sz w:val="23"/>
          <w:szCs w:val="23"/>
        </w:rPr>
        <w:t xml:space="preserve"> 43 (3), 274-285.</w:t>
      </w:r>
    </w:p>
    <w:p w14:paraId="1A8AB509"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Cantin, Bernard. 2010. “Integrated Place-Based Approaches for Sustainable Development.” Horizons: Sustainable Places, (4) 10. Policy Horizons: Ottawa.</w:t>
      </w:r>
    </w:p>
    <w:p w14:paraId="564FC80D"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Castanet (2014). The Arts Ripple Effect: Valuing the Arts in Communities, </w:t>
      </w:r>
      <w:hyperlink r:id="rId189">
        <w:r w:rsidRPr="008F0FAA">
          <w:rPr>
            <w:rStyle w:val="Hyperlink"/>
            <w:rFonts w:asciiTheme="majorHAnsi" w:eastAsia="Calibri Light" w:hAnsiTheme="majorHAnsi" w:cstheme="majorHAnsi"/>
            <w:sz w:val="23"/>
            <w:szCs w:val="23"/>
          </w:rPr>
          <w:t>https://creative.vic.gov.au/__data/assets/pdf_file/0010/56359/The_Arts_Ripple_Effect_Valuing_the_Arts_in_Communities-2.pdf</w:t>
        </w:r>
      </w:hyperlink>
    </w:p>
    <w:p w14:paraId="4DBA73E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CBC News (2020). Kitchener's Festival of Neighbourhoods helps people stay connected during pandemic. 12 Nov, https://www.cbc.ca/news/canada/kitchener-waterloo/kitchener-festival-of-neighbourhoods-1.5798381</w:t>
      </w:r>
    </w:p>
    <w:p w14:paraId="04FCAB27"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Channel Ten (2021). Angel Next Door. The Project [TV programme]. Retrieved 18 January 2021, from https://www.facebook.com/watch/?v=721686345301141 </w:t>
      </w:r>
    </w:p>
    <w:p w14:paraId="6C3EA8EB"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Cheshire, L., Pawson, H., Easthope, H. and Stone, W. (2014). Living with place disadvantage: community, practice and policy, AHURI Final Report No.228. Melbourne: Australian Housing and Urban Research Institute. Available from: </w:t>
      </w:r>
      <w:hyperlink r:id="rId190">
        <w:r w:rsidRPr="008F0FAA">
          <w:rPr>
            <w:rStyle w:val="Hyperlink"/>
            <w:rFonts w:asciiTheme="majorHAnsi" w:eastAsia="Calibri Light" w:hAnsiTheme="majorHAnsi" w:cstheme="majorHAnsi"/>
            <w:sz w:val="23"/>
            <w:szCs w:val="23"/>
          </w:rPr>
          <w:t>http://www.ahuri.edu.au/publications/projects/myrp704</w:t>
        </w:r>
      </w:hyperlink>
    </w:p>
    <w:p w14:paraId="3AE33097"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Chow JL, Jutte D, Eyre S, Pies C, Syme SL, Shrimali BP, Cheung K, (2018). “How We See Oakland: </w:t>
      </w:r>
      <w:proofErr w:type="gramStart"/>
      <w:r w:rsidRPr="008F0FAA">
        <w:rPr>
          <w:rFonts w:asciiTheme="majorHAnsi" w:eastAsia="Calibri Light" w:hAnsiTheme="majorHAnsi" w:cstheme="majorHAnsi"/>
          <w:sz w:val="23"/>
          <w:szCs w:val="23"/>
        </w:rPr>
        <w:t>Low income</w:t>
      </w:r>
      <w:proofErr w:type="gramEnd"/>
      <w:r w:rsidRPr="008F0FAA">
        <w:rPr>
          <w:rFonts w:asciiTheme="majorHAnsi" w:eastAsia="Calibri Light" w:hAnsiTheme="majorHAnsi" w:cstheme="majorHAnsi"/>
          <w:sz w:val="23"/>
          <w:szCs w:val="23"/>
        </w:rPr>
        <w:t xml:space="preserve"> Women and Mothers Explore Economic Hardship in Oakland, California Through Photovoice,” Special Publications, Federal Reserve Bank of San Francisco,  https://www.frbsf.org/communitydevelopment/publications/special/community-close-up-east-oakland/</w:t>
      </w:r>
    </w:p>
    <w:p w14:paraId="38CBD604"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Churchill, B., Doherty, T., Hansen, E., &amp; Eccleston, R. (2012). People and Place: A Research Program for Understanding and Addressing Place-based Health Inequities in Tasmania, University of Tasmania, report prepared for DHHS, </w:t>
      </w:r>
      <w:hyperlink r:id="rId191">
        <w:r w:rsidRPr="008F0FAA">
          <w:rPr>
            <w:rStyle w:val="Hyperlink"/>
            <w:rFonts w:asciiTheme="majorHAnsi" w:eastAsia="Calibri Light" w:hAnsiTheme="majorHAnsi" w:cstheme="majorHAnsi"/>
            <w:sz w:val="23"/>
            <w:szCs w:val="23"/>
          </w:rPr>
          <w:t>https://www.parliament.tas.gov.au/ctee/Joint/Submissions/No.%2040%20-%20Eccleston,%20Hansen,%20Doherty%20and%20Churchill%20-%20People%20and%20Place%20Review%20Report%20for%20DHHS.pdf</w:t>
        </w:r>
      </w:hyperlink>
    </w:p>
    <w:p w14:paraId="7EDE2407"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CityMag (2020). Don't Become That Man is an SA-first domestic violence program reforming male behaviour. Retrieved 20 January 2021, from </w:t>
      </w:r>
      <w:hyperlink r:id="rId192">
        <w:r w:rsidRPr="008F0FAA">
          <w:rPr>
            <w:rStyle w:val="Hyperlink"/>
            <w:rFonts w:asciiTheme="majorHAnsi" w:eastAsia="Calibri Light" w:hAnsiTheme="majorHAnsi" w:cstheme="majorHAnsi"/>
            <w:sz w:val="23"/>
            <w:szCs w:val="23"/>
          </w:rPr>
          <w:t>https://citymag.indaily.com.au/commerce/dont-become-that-man-is-an-sa-first-domestic-violence-program-reforming-male-behaviour/</w:t>
        </w:r>
      </w:hyperlink>
    </w:p>
    <w:p w14:paraId="2B1912CF"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City of Greater Bendigo (2020). Building Culturally Inclusive Sporting Clubs and Programs in Greater Bendigo. Melbourne. Retrieved 20 January 2021, from https://www.bendigo.vic.gov.au/sites/default/files/2020-02/Building-Inclusive-Sporting-Clubs-and-Programs.pdf </w:t>
      </w:r>
    </w:p>
    <w:p w14:paraId="7BF3692F"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City of Greater Geelong (2014). Council Minutes, Section B: Reports, 9 December 2014, https://www.geelongaustralia.com.au/ct/documents/html/141209minutes/SectionB_Reports141209.html#rep10</w:t>
      </w:r>
    </w:p>
    <w:p w14:paraId="4417360C"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City of Greater Geelong (2019). Submission: Inquiry into Sustainable Employment for Disadvantaged Jobseekers. Geelong: The City of Greater Geelong. Retrieved 8 January 2021, from https://www.parliament.vic.gov.au/images/stories/committees/eic-LA/Submissions/085_City_of_Greater_Geelong_2019.08.09_Redacted.pdf  </w:t>
      </w:r>
    </w:p>
    <w:p w14:paraId="49813B82"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lang w:val="en-GB"/>
        </w:rPr>
      </w:pPr>
      <w:r w:rsidRPr="008F0FAA">
        <w:rPr>
          <w:rFonts w:asciiTheme="majorHAnsi" w:eastAsia="Calibri Light" w:hAnsiTheme="majorHAnsi" w:cstheme="majorHAnsi"/>
          <w:sz w:val="23"/>
          <w:szCs w:val="23"/>
          <w:lang w:val="en-GB"/>
        </w:rPr>
        <w:t>City of Kolding (2017). The Warm-Hearted Job Centre. Designing for People &amp; Policies: Cases, http://dash.ico-d.org/files/misc/Cases_Design_City_Kolding_A4.pdf</w:t>
      </w:r>
    </w:p>
    <w:p w14:paraId="7DD4B93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lang w:val="en-GB"/>
        </w:rPr>
      </w:pPr>
      <w:r w:rsidRPr="008F0FAA">
        <w:rPr>
          <w:rFonts w:asciiTheme="majorHAnsi" w:eastAsia="Calibri Light" w:hAnsiTheme="majorHAnsi" w:cstheme="majorHAnsi"/>
          <w:sz w:val="23"/>
          <w:szCs w:val="23"/>
          <w:lang w:val="en-GB"/>
        </w:rPr>
        <w:t xml:space="preserve">Clear Horizon (2019). Review of GROW, prepared for Give Where You Live Foundation. Cremorne: Clear Horizon Consulting. Retrieved 8 January 2021, from https://grow.g21.com.au/wp-content/uploads/pdf/GROW-Review-Report-FINAL-JUNE-2019.pdf </w:t>
      </w:r>
    </w:p>
    <w:p w14:paraId="64D1C499"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Cosenza, E. (2020). SA trial to intervene to stop men’s controlling behaviour and break domestic violence cycle. Retrieved 20 January 2021, from https://www.theaustralian.com.au/breaking-news/sa-trial-to-intervene-to-stop-mens-controlling-behaviour-and-break-domestic-violence-cycle/news-story/426fe7a84679cf8e084c4812a0c97358</w:t>
      </w:r>
    </w:p>
    <w:p w14:paraId="5E701126"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lang w:val="en-GB"/>
        </w:rPr>
      </w:pPr>
      <w:r w:rsidRPr="008F0FAA">
        <w:rPr>
          <w:rFonts w:asciiTheme="majorHAnsi" w:eastAsia="Calibri Light" w:hAnsiTheme="majorHAnsi" w:cstheme="majorHAnsi"/>
          <w:sz w:val="23"/>
          <w:szCs w:val="23"/>
          <w:lang w:val="en-GB"/>
        </w:rPr>
        <w:t>Creative Dundee (2019). Pass the Mic: Stories from Creative Dundee, 2008 to Now. Creative Dundee Publications, 19 June,</w:t>
      </w:r>
      <w:r w:rsidRPr="008F0FAA">
        <w:rPr>
          <w:rFonts w:asciiTheme="majorHAnsi" w:eastAsia="Calibri Light" w:hAnsiTheme="majorHAnsi" w:cstheme="majorHAnsi"/>
          <w:sz w:val="23"/>
          <w:szCs w:val="23"/>
        </w:rPr>
        <w:t xml:space="preserve"> </w:t>
      </w:r>
      <w:hyperlink r:id="rId193">
        <w:r w:rsidRPr="008F0FAA">
          <w:rPr>
            <w:rStyle w:val="Hyperlink"/>
            <w:rFonts w:asciiTheme="majorHAnsi" w:eastAsia="Calibri Light" w:hAnsiTheme="majorHAnsi" w:cstheme="majorHAnsi"/>
            <w:sz w:val="23"/>
            <w:szCs w:val="23"/>
            <w:lang w:val="en-GB"/>
          </w:rPr>
          <w:t>https://issuu.com/creativedundeewrites/docs/pass_the_mic_online_publication</w:t>
        </w:r>
      </w:hyperlink>
      <w:r w:rsidRPr="008F0FAA">
        <w:rPr>
          <w:rFonts w:asciiTheme="majorHAnsi" w:eastAsia="Calibri Light" w:hAnsiTheme="majorHAnsi" w:cstheme="majorHAnsi"/>
          <w:sz w:val="23"/>
          <w:szCs w:val="23"/>
          <w:lang w:val="en-GB"/>
        </w:rPr>
        <w:t xml:space="preserve"> </w:t>
      </w:r>
    </w:p>
    <w:p w14:paraId="0C4ECA68"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lang w:val="en-GB"/>
        </w:rPr>
      </w:pPr>
      <w:r w:rsidRPr="008F0FAA">
        <w:rPr>
          <w:rFonts w:asciiTheme="majorHAnsi" w:eastAsia="Calibri Light" w:hAnsiTheme="majorHAnsi" w:cstheme="majorHAnsi"/>
          <w:sz w:val="23"/>
          <w:szCs w:val="23"/>
          <w:lang w:val="en-GB"/>
        </w:rPr>
        <w:t xml:space="preserve">Crew, M. (2020). The effectiveness of place-based programmes and campaigns in improving outcomes for children: A literature review. National Literacy Trust, United Kingdom,  </w:t>
      </w:r>
      <w:hyperlink r:id="rId194">
        <w:r w:rsidRPr="008F0FAA">
          <w:rPr>
            <w:rStyle w:val="Hyperlink"/>
            <w:rFonts w:asciiTheme="majorHAnsi" w:eastAsia="Calibri Light" w:hAnsiTheme="majorHAnsi" w:cstheme="majorHAnsi"/>
            <w:sz w:val="23"/>
            <w:szCs w:val="23"/>
            <w:lang w:val="en-GB"/>
          </w:rPr>
          <w:t>https://files.eric.ed.gov/fulltext/ED607978.pdf</w:t>
        </w:r>
      </w:hyperlink>
    </w:p>
    <w:p w14:paraId="45B7A4F7"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lang w:eastAsia="en-AU"/>
        </w:rPr>
      </w:pPr>
      <w:r w:rsidRPr="008F0FAA">
        <w:rPr>
          <w:rFonts w:asciiTheme="majorHAnsi" w:eastAsia="Calibri Light" w:hAnsiTheme="majorHAnsi" w:cstheme="majorHAnsi"/>
          <w:sz w:val="23"/>
          <w:szCs w:val="23"/>
          <w:lang w:eastAsia="en-AU"/>
        </w:rPr>
        <w:t xml:space="preserve">Deme, J. (2017). Life Course Theory. The Public Health Advocate, University of California, Berkeley, </w:t>
      </w:r>
      <w:hyperlink r:id="rId195">
        <w:r w:rsidRPr="008F0FAA">
          <w:rPr>
            <w:rStyle w:val="Hyperlink"/>
            <w:rFonts w:asciiTheme="majorHAnsi" w:eastAsia="Calibri Light" w:hAnsiTheme="majorHAnsi" w:cstheme="majorHAnsi"/>
            <w:sz w:val="23"/>
            <w:szCs w:val="23"/>
            <w:lang w:eastAsia="en-AU"/>
          </w:rPr>
          <w:t>https://pha.berkeley.edu/2017/02/08/life-course-theory/</w:t>
        </w:r>
      </w:hyperlink>
    </w:p>
    <w:p w14:paraId="31405F8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Department of Human Services (2006). </w:t>
      </w:r>
      <w:r w:rsidRPr="008F0FAA">
        <w:rPr>
          <w:rFonts w:asciiTheme="majorHAnsi" w:eastAsia="Calibri Light" w:hAnsiTheme="majorHAnsi" w:cstheme="majorHAnsi"/>
          <w:i/>
          <w:iCs/>
          <w:sz w:val="23"/>
          <w:szCs w:val="23"/>
        </w:rPr>
        <w:t>Neighbourhood Renewal: Interim Evaluation Report 2005.</w:t>
      </w:r>
      <w:r w:rsidRPr="008F0FAA">
        <w:rPr>
          <w:rFonts w:asciiTheme="majorHAnsi" w:eastAsia="Calibri Light" w:hAnsiTheme="majorHAnsi" w:cstheme="majorHAnsi"/>
          <w:sz w:val="23"/>
          <w:szCs w:val="23"/>
        </w:rPr>
        <w:t xml:space="preserve"> Neighbourhood Renewal Branch, DHS. https://www.parliament.vic.gov.au/images/stories/committees/paec/2010-11_Budget_Estimates/Extra_bits/Neighbourhood_Renewal_-_evaluations.pdf</w:t>
      </w:r>
    </w:p>
    <w:p w14:paraId="0D9CFEE2"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De Vol, P., Payne, R.K and Smith, T.D. (2006/2011). </w:t>
      </w:r>
      <w:r w:rsidRPr="008F0FAA">
        <w:rPr>
          <w:rFonts w:asciiTheme="majorHAnsi" w:eastAsia="Calibri Light" w:hAnsiTheme="majorHAnsi" w:cstheme="majorHAnsi"/>
          <w:i/>
          <w:iCs/>
          <w:sz w:val="23"/>
          <w:szCs w:val="23"/>
        </w:rPr>
        <w:t>Bridges out of poverty: Strategies for professionals and communities</w:t>
      </w:r>
      <w:r w:rsidRPr="008F0FAA">
        <w:rPr>
          <w:rFonts w:asciiTheme="majorHAnsi" w:eastAsia="Calibri Light" w:hAnsiTheme="majorHAnsi" w:cstheme="majorHAnsi"/>
          <w:sz w:val="23"/>
          <w:szCs w:val="23"/>
        </w:rPr>
        <w:t>, Moorabbin: Hawker Brownlow Education.</w:t>
      </w:r>
    </w:p>
    <w:p w14:paraId="5AEAD2DB"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DHHS South Australia (Department of Human Services South Australia) (2020). Retrieved 20 January 2021, from https://dhs.sa.gov.au/latest-news/media-releases-2020/boost-to-tackle-domestic-violence-in-south-australia </w:t>
      </w:r>
    </w:p>
    <w:p w14:paraId="7DA80295"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Dick, S. (2021). Angel Next Door links up neighbours during coronavirus pandemic. Retrieved 18 January 2021, from https://thenewdaily.com.au/news/national/2020/04/05/coronavirus-angel-next-door/  </w:t>
      </w:r>
    </w:p>
    <w:p w14:paraId="317804F7"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Dicken, P. (2011) </w:t>
      </w:r>
      <w:r w:rsidRPr="008F0FAA">
        <w:rPr>
          <w:rFonts w:asciiTheme="majorHAnsi" w:eastAsia="Calibri Light" w:hAnsiTheme="majorHAnsi" w:cstheme="majorHAnsi"/>
          <w:i/>
          <w:iCs/>
          <w:sz w:val="23"/>
          <w:szCs w:val="23"/>
        </w:rPr>
        <w:t>Global shift: Mapping the changing contours of the world economy</w:t>
      </w:r>
      <w:r w:rsidRPr="008F0FAA">
        <w:rPr>
          <w:rFonts w:asciiTheme="majorHAnsi" w:eastAsia="Calibri Light" w:hAnsiTheme="majorHAnsi" w:cstheme="majorHAnsi"/>
          <w:sz w:val="23"/>
          <w:szCs w:val="23"/>
        </w:rPr>
        <w:t xml:space="preserve"> Guildford Press, New York.</w:t>
      </w:r>
    </w:p>
    <w:p w14:paraId="646354DD"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Dimond-Gibson, C. (2005-2006). Celebrating Community: Kitchener’s Festival of Neighbourhoods. Building Community Identity and Pride. Creative City Network of Canada, </w:t>
      </w:r>
      <w:hyperlink r:id="rId196">
        <w:r w:rsidRPr="008F0FAA">
          <w:rPr>
            <w:rStyle w:val="Hyperlink"/>
            <w:rFonts w:asciiTheme="majorHAnsi" w:eastAsia="Calibri Light" w:hAnsiTheme="majorHAnsi" w:cstheme="majorHAnsi"/>
            <w:sz w:val="23"/>
            <w:szCs w:val="23"/>
          </w:rPr>
          <w:t>https://www.creativecity.ca/publications/making-the-case/building-community-identity-and-pride.php</w:t>
        </w:r>
      </w:hyperlink>
    </w:p>
    <w:p w14:paraId="51BB9A05"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Dodson, J., Gleeson, B. and Sipe. N. (2004). “Transport disadvantage and social status: A review of literature and methods”, Brisbane: Urban Policy Program, Research Monograph No. 5.</w:t>
      </w:r>
    </w:p>
    <w:p w14:paraId="251095B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Dow, A. (2016). This is no ordinary drill: Imagined disaster to transform North Melbourne Town Hall. The Sydney Morning Herald. Retrieved 11 January 2021, from https://www.smh.com.au/entertainment/art-and-design/this-is-no-ordinary-drill-imagined-disaster-to-transform-north-melbourne-town-hall-20160708-gq1hyf.html</w:t>
      </w:r>
    </w:p>
    <w:p w14:paraId="084BAC61"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Dundee City Council (2015). Report on Dundee Cultural Strategy, City of Design, and Place Partnership Proposal. Dundee City Council Policy and Resources Committee, 12 January, </w:t>
      </w:r>
      <w:hyperlink r:id="rId197">
        <w:r w:rsidRPr="008F0FAA">
          <w:rPr>
            <w:rStyle w:val="Hyperlink"/>
            <w:rFonts w:asciiTheme="majorHAnsi" w:eastAsia="Calibri Light" w:hAnsiTheme="majorHAnsi" w:cstheme="majorHAnsi"/>
            <w:sz w:val="23"/>
            <w:szCs w:val="23"/>
          </w:rPr>
          <w:t>https://www.dundeecity.gov.uk/reports/reports/7-2015.pdf</w:t>
        </w:r>
      </w:hyperlink>
      <w:r w:rsidRPr="008F0FAA">
        <w:rPr>
          <w:rFonts w:asciiTheme="majorHAnsi" w:eastAsia="Calibri Light" w:hAnsiTheme="majorHAnsi" w:cstheme="majorHAnsi"/>
          <w:sz w:val="23"/>
          <w:szCs w:val="23"/>
        </w:rPr>
        <w:t xml:space="preserve"> </w:t>
      </w:r>
    </w:p>
    <w:p w14:paraId="5A20A921"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Dundee City Council (2019). Dundee Economic Profile: Business News &amp; </w:t>
      </w:r>
      <w:proofErr w:type="gramStart"/>
      <w:r w:rsidRPr="008F0FAA">
        <w:rPr>
          <w:rFonts w:asciiTheme="majorHAnsi" w:eastAsia="Calibri Light" w:hAnsiTheme="majorHAnsi" w:cstheme="majorHAnsi"/>
          <w:sz w:val="23"/>
          <w:szCs w:val="23"/>
        </w:rPr>
        <w:t>High Level</w:t>
      </w:r>
      <w:proofErr w:type="gramEnd"/>
      <w:r w:rsidRPr="008F0FAA">
        <w:rPr>
          <w:rFonts w:asciiTheme="majorHAnsi" w:eastAsia="Calibri Light" w:hAnsiTheme="majorHAnsi" w:cstheme="majorHAnsi"/>
          <w:sz w:val="23"/>
          <w:szCs w:val="23"/>
        </w:rPr>
        <w:t xml:space="preserve"> Statistics, </w:t>
      </w:r>
      <w:hyperlink r:id="rId198">
        <w:r w:rsidRPr="008F0FAA">
          <w:rPr>
            <w:rStyle w:val="Hyperlink"/>
            <w:rFonts w:asciiTheme="majorHAnsi" w:eastAsia="Calibri Light" w:hAnsiTheme="majorHAnsi" w:cstheme="majorHAnsi"/>
            <w:sz w:val="23"/>
            <w:szCs w:val="23"/>
          </w:rPr>
          <w:t>https://www.dundeecity.gov.uk/sites/default/files/publications/dundee_economic_profile_2019.pdf</w:t>
        </w:r>
      </w:hyperlink>
    </w:p>
    <w:p w14:paraId="3205310E" w14:textId="77777777" w:rsidR="0098093C" w:rsidRPr="008F0FAA" w:rsidRDefault="0098093C" w:rsidP="00173A3F">
      <w:pPr>
        <w:spacing w:after="0" w:line="240" w:lineRule="auto"/>
        <w:ind w:left="709" w:hanging="720"/>
        <w:rPr>
          <w:rFonts w:asciiTheme="majorHAnsi" w:eastAsia="Calibri Light" w:hAnsiTheme="majorHAnsi" w:cstheme="majorHAnsi"/>
          <w:i/>
          <w:iCs/>
          <w:sz w:val="23"/>
          <w:szCs w:val="23"/>
        </w:rPr>
      </w:pPr>
      <w:r w:rsidRPr="008F0FAA">
        <w:rPr>
          <w:rFonts w:asciiTheme="majorHAnsi" w:eastAsia="Calibri Light" w:hAnsiTheme="majorHAnsi" w:cstheme="majorHAnsi"/>
          <w:sz w:val="23"/>
          <w:szCs w:val="23"/>
        </w:rPr>
        <w:t xml:space="preserve">England, K. and Ward, K. (eds) (2007). </w:t>
      </w:r>
      <w:r w:rsidRPr="008F0FAA">
        <w:rPr>
          <w:rFonts w:asciiTheme="majorHAnsi" w:eastAsia="Calibri Light" w:hAnsiTheme="majorHAnsi" w:cstheme="majorHAnsi"/>
          <w:i/>
          <w:iCs/>
          <w:sz w:val="23"/>
          <w:szCs w:val="23"/>
        </w:rPr>
        <w:t>Neoliberalization: States, networks, people Blackwell, Oxford.</w:t>
      </w:r>
    </w:p>
    <w:p w14:paraId="0C37A64E" w14:textId="139A5249"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Eurocities (2020). ‘Exit and recovery.’ Live updates </w:t>
      </w:r>
      <w:r w:rsidR="00940D80">
        <w:rPr>
          <w:rFonts w:asciiTheme="majorHAnsi" w:eastAsia="Calibri Light" w:hAnsiTheme="majorHAnsi" w:cstheme="majorHAnsi"/>
          <w:sz w:val="23"/>
          <w:szCs w:val="23"/>
        </w:rPr>
        <w:t>COVID</w:t>
      </w:r>
      <w:r w:rsidRPr="008F0FAA">
        <w:rPr>
          <w:rFonts w:asciiTheme="majorHAnsi" w:eastAsia="Calibri Light" w:hAnsiTheme="majorHAnsi" w:cstheme="majorHAnsi"/>
          <w:sz w:val="23"/>
          <w:szCs w:val="23"/>
        </w:rPr>
        <w:t>-19, https://</w:t>
      </w:r>
      <w:r w:rsidR="00940D80">
        <w:rPr>
          <w:rFonts w:asciiTheme="majorHAnsi" w:eastAsia="Calibri Light" w:hAnsiTheme="majorHAnsi" w:cstheme="majorHAnsi"/>
          <w:sz w:val="23"/>
          <w:szCs w:val="23"/>
        </w:rPr>
        <w:t>COVID</w:t>
      </w:r>
      <w:r w:rsidRPr="008F0FAA">
        <w:rPr>
          <w:rFonts w:asciiTheme="majorHAnsi" w:eastAsia="Calibri Light" w:hAnsiTheme="majorHAnsi" w:cstheme="majorHAnsi"/>
          <w:sz w:val="23"/>
          <w:szCs w:val="23"/>
        </w:rPr>
        <w:t>news.eurocities.eu/category/</w:t>
      </w:r>
      <w:r w:rsidR="00940D80">
        <w:rPr>
          <w:rFonts w:asciiTheme="majorHAnsi" w:eastAsia="Calibri Light" w:hAnsiTheme="majorHAnsi" w:cstheme="majorHAnsi"/>
          <w:sz w:val="23"/>
          <w:szCs w:val="23"/>
        </w:rPr>
        <w:t>COVID</w:t>
      </w:r>
      <w:r w:rsidRPr="008F0FAA">
        <w:rPr>
          <w:rFonts w:asciiTheme="majorHAnsi" w:eastAsia="Calibri Light" w:hAnsiTheme="majorHAnsi" w:cstheme="majorHAnsi"/>
          <w:sz w:val="23"/>
          <w:szCs w:val="23"/>
        </w:rPr>
        <w:t>news/exit-recovery/ (Accessed 15 July 2020)</w:t>
      </w:r>
    </w:p>
    <w:p w14:paraId="4DF3A500"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FaHCSIA (Department of Families, Housing, Community Services and Indigenous Affairs) (2008). The Road Home: A national approach to Reducing homelessness Canberra: FaHCSIA.</w:t>
      </w:r>
    </w:p>
    <w:p w14:paraId="170DC05A"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Fair Share Fare (2020a). About. Retrieved 11 January 2021, from https://www.fairsharefare.com </w:t>
      </w:r>
    </w:p>
    <w:p w14:paraId="0598FDE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Fair Share Fare (2020b). About Fawkner Commons. Retrieved 11 January 2021, from https://www.fairsharefare.com/fawknercommons </w:t>
      </w:r>
    </w:p>
    <w:p w14:paraId="5950A1FD"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Farmer, E. (2015) Strange bedfellows: community development, democracy, and magic, Community Development, 46:3, 294-306, DOI: 10.1080/15575330.2015.1023818</w:t>
      </w:r>
    </w:p>
    <w:p w14:paraId="05634D6A" w14:textId="77777777" w:rsidR="0098093C" w:rsidRPr="008F0FAA" w:rsidRDefault="0098093C" w:rsidP="00173A3F">
      <w:pPr>
        <w:spacing w:after="0" w:line="240" w:lineRule="auto"/>
        <w:ind w:left="709" w:hanging="720"/>
        <w:rPr>
          <w:rFonts w:asciiTheme="majorHAnsi" w:eastAsia="Calibri" w:hAnsiTheme="majorHAnsi" w:cstheme="majorHAnsi"/>
          <w:sz w:val="23"/>
          <w:szCs w:val="23"/>
        </w:rPr>
      </w:pPr>
      <w:r w:rsidRPr="008F0FAA">
        <w:rPr>
          <w:rFonts w:asciiTheme="majorHAnsi" w:eastAsia="Calibri Light" w:hAnsiTheme="majorHAnsi" w:cstheme="majorHAnsi"/>
          <w:sz w:val="23"/>
          <w:szCs w:val="23"/>
        </w:rPr>
        <w:t xml:space="preserve">FAME (Feierabend Association for Music Education) (2019). John Feierabend, </w:t>
      </w:r>
      <w:hyperlink r:id="rId199">
        <w:r w:rsidRPr="008F0FAA">
          <w:rPr>
            <w:rStyle w:val="Hyperlink"/>
            <w:rFonts w:asciiTheme="majorHAnsi" w:eastAsia="Calibri Light" w:hAnsiTheme="majorHAnsi" w:cstheme="majorHAnsi"/>
            <w:sz w:val="23"/>
            <w:szCs w:val="23"/>
          </w:rPr>
          <w:t>https://www.feierabendmusic.org/john-feierabend/</w:t>
        </w:r>
      </w:hyperlink>
    </w:p>
    <w:p w14:paraId="4D9DA191" w14:textId="79B1DEA3"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FAO (2020a). Cities and local governments at the forefront in building inclusive and resilient food systems: Key results from the FAO Survey “Urban Food Systems and </w:t>
      </w:r>
      <w:r w:rsidR="00940D80">
        <w:rPr>
          <w:rFonts w:asciiTheme="majorHAnsi" w:eastAsia="Calibri Light" w:hAnsiTheme="majorHAnsi" w:cstheme="majorHAnsi"/>
          <w:sz w:val="23"/>
          <w:szCs w:val="23"/>
        </w:rPr>
        <w:t>COVID</w:t>
      </w:r>
      <w:r w:rsidRPr="008F0FAA">
        <w:rPr>
          <w:rFonts w:asciiTheme="majorHAnsi" w:eastAsia="Calibri Light" w:hAnsiTheme="majorHAnsi" w:cstheme="majorHAnsi"/>
          <w:sz w:val="23"/>
          <w:szCs w:val="23"/>
        </w:rPr>
        <w:t xml:space="preserve">-19". Food and Agriculture Organization of the United Nations, Rome, </w:t>
      </w:r>
      <w:hyperlink r:id="rId200">
        <w:r w:rsidRPr="008F0FAA">
          <w:rPr>
            <w:rStyle w:val="Hyperlink"/>
            <w:rFonts w:asciiTheme="majorHAnsi" w:eastAsia="Calibri Light" w:hAnsiTheme="majorHAnsi" w:cstheme="majorHAnsi"/>
            <w:sz w:val="23"/>
            <w:szCs w:val="23"/>
          </w:rPr>
          <w:t>http://www.fao.org/documents/card/en/c/cb0407en</w:t>
        </w:r>
      </w:hyperlink>
    </w:p>
    <w:p w14:paraId="334C0B26" w14:textId="058EF03A"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FAO (2020b). </w:t>
      </w:r>
      <w:r w:rsidR="00940D80">
        <w:rPr>
          <w:rFonts w:asciiTheme="majorHAnsi" w:eastAsia="Calibri Light" w:hAnsiTheme="majorHAnsi" w:cstheme="majorHAnsi"/>
          <w:sz w:val="23"/>
          <w:szCs w:val="23"/>
        </w:rPr>
        <w:t>COVID</w:t>
      </w:r>
      <w:r w:rsidRPr="008F0FAA">
        <w:rPr>
          <w:rFonts w:asciiTheme="majorHAnsi" w:eastAsia="Calibri Light" w:hAnsiTheme="majorHAnsi" w:cstheme="majorHAnsi"/>
          <w:sz w:val="23"/>
          <w:szCs w:val="23"/>
        </w:rPr>
        <w:t>-19 and the role of local food production in building more resilient local food systems. Food and Agriculture Organisation of the United Nations, 18 September, http://www.fao.org/3/cb1020en/CB1020EN.pdf</w:t>
      </w:r>
    </w:p>
    <w:p w14:paraId="0754719F"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Fawkner Commons (2020). Retrieved 11 January 2021, from </w:t>
      </w:r>
      <w:hyperlink r:id="rId201">
        <w:r w:rsidRPr="008F0FAA">
          <w:rPr>
            <w:rStyle w:val="Hyperlink"/>
            <w:rFonts w:asciiTheme="majorHAnsi" w:eastAsia="Calibri Light" w:hAnsiTheme="majorHAnsi" w:cstheme="majorHAnsi"/>
            <w:sz w:val="23"/>
            <w:szCs w:val="23"/>
          </w:rPr>
          <w:t>https://openfoodnetwork.org.au/fawknercommons/</w:t>
        </w:r>
      </w:hyperlink>
    </w:p>
    <w:p w14:paraId="4D9798CF"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Festival of Neighbourhoods (n.d.). </w:t>
      </w:r>
      <w:hyperlink r:id="rId202">
        <w:r w:rsidRPr="008F0FAA">
          <w:rPr>
            <w:rStyle w:val="Hyperlink"/>
            <w:rFonts w:asciiTheme="majorHAnsi" w:eastAsia="Calibri Light" w:hAnsiTheme="majorHAnsi" w:cstheme="majorHAnsi"/>
            <w:sz w:val="23"/>
            <w:szCs w:val="23"/>
          </w:rPr>
          <w:t>https://festivalofneighbourhoods.ca/tools-resources-and-advice/</w:t>
        </w:r>
      </w:hyperlink>
      <w:r w:rsidRPr="008F0FAA">
        <w:rPr>
          <w:rFonts w:asciiTheme="majorHAnsi" w:eastAsia="Calibri Light" w:hAnsiTheme="majorHAnsi" w:cstheme="majorHAnsi"/>
          <w:sz w:val="23"/>
          <w:szCs w:val="23"/>
        </w:rPr>
        <w:t xml:space="preserve"> </w:t>
      </w:r>
    </w:p>
    <w:p w14:paraId="4BCE11F1"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Freebairn, J. (2002) What is full employment today? </w:t>
      </w:r>
      <w:r w:rsidRPr="008F0FAA">
        <w:rPr>
          <w:rFonts w:asciiTheme="majorHAnsi" w:eastAsia="Calibri Light" w:hAnsiTheme="majorHAnsi" w:cstheme="majorHAnsi"/>
          <w:i/>
          <w:iCs/>
          <w:sz w:val="23"/>
          <w:szCs w:val="23"/>
        </w:rPr>
        <w:t>Insights</w:t>
      </w:r>
      <w:r w:rsidRPr="008F0FAA">
        <w:rPr>
          <w:rFonts w:asciiTheme="majorHAnsi" w:eastAsia="Calibri Light" w:hAnsiTheme="majorHAnsi" w:cstheme="majorHAnsi"/>
          <w:sz w:val="23"/>
          <w:szCs w:val="23"/>
        </w:rPr>
        <w:t xml:space="preserve"> Melbourne Business and Economics, 12 Nov, 13-17.</w:t>
      </w:r>
    </w:p>
    <w:p w14:paraId="3B933519"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Fry, R. (2019). Simple rules for place-based approaches to addressing disadvantage. Masters Thesis, Master of Evaluation (Research), Centre for Program Evaluation, the University of Melbourne, </w:t>
      </w:r>
      <w:hyperlink r:id="rId203">
        <w:r w:rsidRPr="008F0FAA">
          <w:rPr>
            <w:rStyle w:val="Hyperlink"/>
            <w:rFonts w:asciiTheme="majorHAnsi" w:eastAsia="Calibri Light" w:hAnsiTheme="majorHAnsi" w:cstheme="majorHAnsi"/>
            <w:sz w:val="23"/>
            <w:szCs w:val="23"/>
          </w:rPr>
          <w:t>https://minerva-access.unimelb.edu.au/bitstream/handle/11343/237459/fbd777ae-aaa4-e911-94a6-0050568d7800_200314_Final_v2.0.pdf</w:t>
        </w:r>
      </w:hyperlink>
    </w:p>
    <w:p w14:paraId="1968E52A"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Fulloon, S. (2019). An Australian mentoring program for teenagers is being rolled out worldwide. https://www.sbs.com.au/news/an-australian-mentoring-program-for-teenagers-is-being-rolled-out-worldwide</w:t>
      </w:r>
    </w:p>
    <w:p w14:paraId="682C3101"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G21 (2016). $755,000 funding for Whittington Works Alliance. Retrieved 8 January 2021, from https://g21.com.au/news/755000-funding-for-whittington-works-alliance/  </w:t>
      </w:r>
    </w:p>
    <w:p w14:paraId="0260EEC6"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Gans, H. (1995) </w:t>
      </w:r>
      <w:r w:rsidRPr="008F0FAA">
        <w:rPr>
          <w:rFonts w:asciiTheme="majorHAnsi" w:eastAsia="Calibri Light" w:hAnsiTheme="majorHAnsi" w:cstheme="majorHAnsi"/>
          <w:i/>
          <w:iCs/>
          <w:sz w:val="23"/>
          <w:szCs w:val="23"/>
        </w:rPr>
        <w:t>The war against the poor: The underclass and anti-poverty policy</w:t>
      </w:r>
      <w:r w:rsidRPr="008F0FAA">
        <w:rPr>
          <w:rFonts w:asciiTheme="majorHAnsi" w:eastAsia="Calibri Light" w:hAnsiTheme="majorHAnsi" w:cstheme="majorHAnsi"/>
          <w:sz w:val="23"/>
          <w:szCs w:val="23"/>
        </w:rPr>
        <w:t xml:space="preserve"> Basic Books, New York.</w:t>
      </w:r>
    </w:p>
    <w:p w14:paraId="5BB4DBA0"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Geelong Region ArtsAtlas (2015). Bluebird Foundation. Retrieved 8 January 2021, from https://artsatlasgeelong.com.au/artists/bluebird-foundation/  </w:t>
      </w:r>
    </w:p>
    <w:p w14:paraId="445A5DB9"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lastRenderedPageBreak/>
        <w:t xml:space="preserve">Geelong Community Foundation (2021). Bluebirds innovative arts program is having a huge impact supporting children and increasing educational outcomes. Retrieved 8 January 2021, from https://www.geelongfoundation.org/2018/10/bluebirds-innovative-arts-program-is-having-a-huge-impact-supporting-children-and-increasing-educational-outcomes  </w:t>
      </w:r>
    </w:p>
    <w:p w14:paraId="59CA4F75"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Geelong Times (2020). Angel Next Door proves a pet help platform. Retrieved 18 January 2021, from https://timesnewsgroup.com.au/geelongtimes/news/angel-next-door-pets/ </w:t>
      </w:r>
    </w:p>
    <w:p w14:paraId="41571FC2"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Gibson-Graham, J.K. (1996) </w:t>
      </w:r>
      <w:r w:rsidRPr="008F0FAA">
        <w:rPr>
          <w:rFonts w:asciiTheme="majorHAnsi" w:eastAsia="Calibri Light" w:hAnsiTheme="majorHAnsi" w:cstheme="majorHAnsi"/>
          <w:i/>
          <w:iCs/>
          <w:sz w:val="23"/>
          <w:szCs w:val="23"/>
        </w:rPr>
        <w:t xml:space="preserve">The end of capitalism (as we knew it): A feminist critique of political economy </w:t>
      </w:r>
      <w:r w:rsidRPr="008F0FAA">
        <w:rPr>
          <w:rFonts w:asciiTheme="majorHAnsi" w:eastAsia="Calibri Light" w:hAnsiTheme="majorHAnsi" w:cstheme="majorHAnsi"/>
          <w:sz w:val="23"/>
          <w:szCs w:val="23"/>
        </w:rPr>
        <w:t>University of Minnesota Press</w:t>
      </w:r>
      <w:r w:rsidRPr="008F0FAA">
        <w:rPr>
          <w:rFonts w:asciiTheme="majorHAnsi" w:eastAsia="Calibri Light" w:hAnsiTheme="majorHAnsi" w:cstheme="majorHAnsi"/>
          <w:i/>
          <w:iCs/>
          <w:sz w:val="23"/>
          <w:szCs w:val="23"/>
        </w:rPr>
        <w:t>,</w:t>
      </w:r>
      <w:r w:rsidRPr="008F0FAA">
        <w:rPr>
          <w:rFonts w:asciiTheme="majorHAnsi" w:eastAsia="Calibri Light" w:hAnsiTheme="majorHAnsi" w:cstheme="majorHAnsi"/>
          <w:sz w:val="23"/>
          <w:szCs w:val="23"/>
        </w:rPr>
        <w:t xml:space="preserve"> Minneapolis.</w:t>
      </w:r>
    </w:p>
    <w:p w14:paraId="466A30AA"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Gibson-Graham, J.K. (2006) </w:t>
      </w:r>
      <w:r w:rsidRPr="008F0FAA">
        <w:rPr>
          <w:rFonts w:asciiTheme="majorHAnsi" w:eastAsia="Calibri Light" w:hAnsiTheme="majorHAnsi" w:cstheme="majorHAnsi"/>
          <w:i/>
          <w:iCs/>
          <w:sz w:val="23"/>
          <w:szCs w:val="23"/>
        </w:rPr>
        <w:t xml:space="preserve">A post-capitalist politics </w:t>
      </w:r>
      <w:r w:rsidRPr="008F0FAA">
        <w:rPr>
          <w:rFonts w:asciiTheme="majorHAnsi" w:eastAsia="Calibri Light" w:hAnsiTheme="majorHAnsi" w:cstheme="majorHAnsi"/>
          <w:sz w:val="23"/>
          <w:szCs w:val="23"/>
        </w:rPr>
        <w:t>University of Minnesota Press</w:t>
      </w:r>
      <w:r w:rsidRPr="008F0FAA">
        <w:rPr>
          <w:rFonts w:asciiTheme="majorHAnsi" w:eastAsia="Calibri Light" w:hAnsiTheme="majorHAnsi" w:cstheme="majorHAnsi"/>
          <w:i/>
          <w:iCs/>
          <w:sz w:val="23"/>
          <w:szCs w:val="23"/>
        </w:rPr>
        <w:t>,</w:t>
      </w:r>
      <w:r w:rsidRPr="008F0FAA">
        <w:rPr>
          <w:rFonts w:asciiTheme="majorHAnsi" w:eastAsia="Calibri Light" w:hAnsiTheme="majorHAnsi" w:cstheme="majorHAnsi"/>
          <w:sz w:val="23"/>
          <w:szCs w:val="23"/>
        </w:rPr>
        <w:t xml:space="preserve"> Minneapolis.</w:t>
      </w:r>
    </w:p>
    <w:p w14:paraId="72D9C5C4"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Giles-Corti B, Broomhall M, Knuiman M, Collins C, Douglas K, Ng K, Lange A, Donovan R (2005). Increasing walking: How important is distance to, attractiveness, and size of public open space? </w:t>
      </w:r>
      <w:r w:rsidRPr="008F0FAA">
        <w:rPr>
          <w:rFonts w:asciiTheme="majorHAnsi" w:eastAsia="Calibri Light" w:hAnsiTheme="majorHAnsi" w:cstheme="majorHAnsi"/>
          <w:i/>
          <w:iCs/>
          <w:sz w:val="23"/>
          <w:szCs w:val="23"/>
        </w:rPr>
        <w:t>American Journal of Preventive Medicine</w:t>
      </w:r>
      <w:r w:rsidRPr="008F0FAA">
        <w:rPr>
          <w:rFonts w:asciiTheme="majorHAnsi" w:eastAsia="Calibri Light" w:hAnsiTheme="majorHAnsi" w:cstheme="majorHAnsi"/>
          <w:sz w:val="23"/>
          <w:szCs w:val="23"/>
        </w:rPr>
        <w:t>, Vol. 28(2): 169–176.</w:t>
      </w:r>
    </w:p>
    <w:p w14:paraId="2784F281"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Give Where You Live (2020). Community Grants 2020. Retrieved 8 January 2021, from https://www.givewhereyoulive.com.au/wp-content/uploads/2020/06/Community-Grants-2020.pdf  </w:t>
      </w:r>
    </w:p>
    <w:p w14:paraId="325813E8"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Give Where You Live (2021). Employment is a key trigger for leaving disadvantage. Retrieved 8 January 2021, from https://www.givewhereyoulive.com.au/2018/08/employment-is-a-key-trigger-for-leaving-disadvantage/</w:t>
      </w:r>
    </w:p>
    <w:p w14:paraId="78008B56"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Gleeson, B. (2009) </w:t>
      </w:r>
      <w:r w:rsidRPr="008F0FAA">
        <w:rPr>
          <w:rFonts w:asciiTheme="majorHAnsi" w:eastAsia="Calibri Light" w:hAnsiTheme="majorHAnsi" w:cstheme="majorHAnsi"/>
          <w:i/>
          <w:iCs/>
          <w:sz w:val="23"/>
          <w:szCs w:val="23"/>
        </w:rPr>
        <w:t>Australian</w:t>
      </w:r>
      <w:r w:rsidRPr="008F0FAA">
        <w:rPr>
          <w:rFonts w:asciiTheme="majorHAnsi" w:eastAsia="Calibri Light" w:hAnsiTheme="majorHAnsi" w:cstheme="majorHAnsi"/>
          <w:sz w:val="23"/>
          <w:szCs w:val="23"/>
        </w:rPr>
        <w:t xml:space="preserve"> </w:t>
      </w:r>
      <w:r w:rsidRPr="008F0FAA">
        <w:rPr>
          <w:rFonts w:asciiTheme="majorHAnsi" w:eastAsia="Calibri Light" w:hAnsiTheme="majorHAnsi" w:cstheme="majorHAnsi"/>
          <w:i/>
          <w:iCs/>
          <w:sz w:val="23"/>
          <w:szCs w:val="23"/>
        </w:rPr>
        <w:t>Heartlands: Making space for hope in the suburbs</w:t>
      </w:r>
      <w:r w:rsidRPr="008F0FAA">
        <w:rPr>
          <w:rFonts w:asciiTheme="majorHAnsi" w:eastAsia="Calibri Light" w:hAnsiTheme="majorHAnsi" w:cstheme="majorHAnsi"/>
          <w:sz w:val="23"/>
          <w:szCs w:val="23"/>
        </w:rPr>
        <w:t xml:space="preserve"> Crows Nest, Allen and Unwin.</w:t>
      </w:r>
    </w:p>
    <w:p w14:paraId="47EE5D3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Global Generation (2020). Community Build Report: Building the Story Garden Together, https://www.globalgeneration.org.uk/s/Community-Build-Report-2020.pdf  </w:t>
      </w:r>
    </w:p>
    <w:p w14:paraId="1E7A4A37"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Global Generation (2016). Strategic Outline 2016–2019. Unpublished internal document. </w:t>
      </w:r>
    </w:p>
    <w:p w14:paraId="547DEDE8"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Global Generation (n.d.). The Skip Garden and Kitchen. https://www.globalgeneration.org.uk/skip-garden-and-kitchen-1  </w:t>
      </w:r>
    </w:p>
    <w:p w14:paraId="7E1CB385"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Gluckman, P. (2011). The psychosocial consequences of the Canterbury earthquakes: A briefing paper. Office of The Prime Minister’s Science Advisory Committee, 10 May, https://www.pmcsa.org.nz/wp-content/uploads/Christchurch-Earthquake-Briefing-Psychosocial-Effects-10May11.pdf </w:t>
      </w:r>
    </w:p>
    <w:p w14:paraId="2E1FF825"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Goode, M. (2018). Afghan girls get pedalling. Bendigo Bike Life. Retrieved 20 January 2021, from https://bendigobikelife.wordpress.com/2018/04/13/afghan-girls-get-pedalling/</w:t>
      </w:r>
    </w:p>
    <w:p w14:paraId="1B7F5C9D"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Gorski, P. (2005) “Savage unrealities: Uncovering classism in Ruby Payne’s framework.” Unpublished paper available at: http//www.edchnge.org/publications/Savage_Unrealities.pdf Accessed 12.9.2013.</w:t>
      </w:r>
    </w:p>
    <w:p w14:paraId="1D37BA14"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lang w:val="en-GB"/>
        </w:rPr>
      </w:pPr>
      <w:r w:rsidRPr="008F0FAA">
        <w:rPr>
          <w:rFonts w:asciiTheme="majorHAnsi" w:eastAsia="Calibri Light" w:hAnsiTheme="majorHAnsi" w:cstheme="majorHAnsi"/>
          <w:sz w:val="23"/>
          <w:szCs w:val="23"/>
          <w:lang w:val="en-GB"/>
        </w:rPr>
        <w:t xml:space="preserve">GROW G21 Region (2019). Report Card 2019. Retrieved 8 January 2021, from https://grow.g21.com.au/wp-content/uploads/pdf/GROW-REPORT-CARD-2019.pdf </w:t>
      </w:r>
    </w:p>
    <w:p w14:paraId="7DEA5599"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lang w:val="en-GB"/>
        </w:rPr>
        <w:t xml:space="preserve">GROW (n.d.). What is the GROW Initiative? Retrieved 8 January 2021, from </w:t>
      </w:r>
      <w:hyperlink r:id="rId204">
        <w:r w:rsidRPr="008F0FAA">
          <w:rPr>
            <w:rStyle w:val="Hyperlink"/>
            <w:rFonts w:asciiTheme="majorHAnsi" w:eastAsia="Calibri Light" w:hAnsiTheme="majorHAnsi" w:cstheme="majorHAnsi"/>
            <w:sz w:val="23"/>
            <w:szCs w:val="23"/>
            <w:lang w:val="en-GB"/>
          </w:rPr>
          <w:t>https://grow.g21.com.au/what-is-grow</w:t>
        </w:r>
      </w:hyperlink>
    </w:p>
    <w:p w14:paraId="21E2CF3C"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Hack, S. (2011) “building bridges to a better tomorrow” in Northern Colorado Business Report July 1-14. http:www.ncbr.com. Accessed May 13, 2013.</w:t>
      </w:r>
    </w:p>
    <w:p w14:paraId="153505FE"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Hanife, S. (2019). Trial to include Government-funded beds for domestic violence perpetrators. ABC Online. Retrieved 20 January 2021, from https://www.abc.net.au/news/2019-05-04/sa-domestic-violence-beds-to-include-some-for-perpetrators/11080128 </w:t>
      </w:r>
    </w:p>
    <w:p w14:paraId="2E33A8E8"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Harder+Company (2018). Best Babies Zone: Year 6 Evaluation Report. Harder+Company Community Research, </w:t>
      </w:r>
      <w:hyperlink r:id="rId205">
        <w:r w:rsidRPr="008F0FAA">
          <w:rPr>
            <w:rStyle w:val="Hyperlink"/>
            <w:rFonts w:asciiTheme="majorHAnsi" w:eastAsia="Calibri Light" w:hAnsiTheme="majorHAnsi" w:cstheme="majorHAnsi"/>
            <w:sz w:val="23"/>
            <w:szCs w:val="23"/>
          </w:rPr>
          <w:t>https://cfon.issuelab.org/resources/35138/35138.pdf</w:t>
        </w:r>
      </w:hyperlink>
      <w:r w:rsidRPr="008F0FAA">
        <w:rPr>
          <w:rFonts w:asciiTheme="majorHAnsi" w:eastAsia="Calibri Light" w:hAnsiTheme="majorHAnsi" w:cstheme="majorHAnsi"/>
          <w:sz w:val="23"/>
          <w:szCs w:val="23"/>
        </w:rPr>
        <w:t xml:space="preserve"> </w:t>
      </w:r>
    </w:p>
    <w:p w14:paraId="0EE398A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Harvey, D. (1982) </w:t>
      </w:r>
      <w:r w:rsidRPr="008F0FAA">
        <w:rPr>
          <w:rFonts w:asciiTheme="majorHAnsi" w:eastAsia="Calibri Light" w:hAnsiTheme="majorHAnsi" w:cstheme="majorHAnsi"/>
          <w:i/>
          <w:iCs/>
          <w:sz w:val="23"/>
          <w:szCs w:val="23"/>
        </w:rPr>
        <w:t>The lLmits to Capital.</w:t>
      </w:r>
      <w:r w:rsidRPr="008F0FAA">
        <w:rPr>
          <w:rFonts w:asciiTheme="majorHAnsi" w:eastAsia="Calibri Light" w:hAnsiTheme="majorHAnsi" w:cstheme="majorHAnsi"/>
          <w:sz w:val="23"/>
          <w:szCs w:val="23"/>
        </w:rPr>
        <w:t xml:space="preserve"> Harper Collins, London.</w:t>
      </w:r>
    </w:p>
    <w:p w14:paraId="4C635C36"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Harvey, D. (1990) </w:t>
      </w:r>
      <w:r w:rsidRPr="008F0FAA">
        <w:rPr>
          <w:rFonts w:asciiTheme="majorHAnsi" w:eastAsia="Calibri Light" w:hAnsiTheme="majorHAnsi" w:cstheme="majorHAnsi"/>
          <w:i/>
          <w:iCs/>
          <w:sz w:val="23"/>
          <w:szCs w:val="23"/>
        </w:rPr>
        <w:t>The condition of post-modernity: An enquiry into the origins of cultural change</w:t>
      </w:r>
      <w:r w:rsidRPr="008F0FAA">
        <w:rPr>
          <w:rFonts w:asciiTheme="majorHAnsi" w:eastAsia="Calibri Light" w:hAnsiTheme="majorHAnsi" w:cstheme="majorHAnsi"/>
          <w:sz w:val="23"/>
          <w:szCs w:val="23"/>
        </w:rPr>
        <w:t xml:space="preserve"> Blackwell, Oxford.</w:t>
      </w:r>
    </w:p>
    <w:p w14:paraId="1AD569E6"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Harvey, D. (2001) </w:t>
      </w:r>
      <w:r w:rsidRPr="008F0FAA">
        <w:rPr>
          <w:rFonts w:asciiTheme="majorHAnsi" w:eastAsia="Calibri Light" w:hAnsiTheme="majorHAnsi" w:cstheme="majorHAnsi"/>
          <w:i/>
          <w:iCs/>
          <w:sz w:val="23"/>
          <w:szCs w:val="23"/>
        </w:rPr>
        <w:t>Spaces of capital: Towards a critical geography</w:t>
      </w:r>
      <w:r w:rsidRPr="008F0FAA">
        <w:rPr>
          <w:rFonts w:asciiTheme="majorHAnsi" w:eastAsia="Calibri Light" w:hAnsiTheme="majorHAnsi" w:cstheme="majorHAnsi"/>
          <w:sz w:val="23"/>
          <w:szCs w:val="23"/>
        </w:rPr>
        <w:t xml:space="preserve"> Routledge, New York.</w:t>
      </w:r>
    </w:p>
    <w:p w14:paraId="084C4DB6"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Harwood, V., O’Shea, S., Clapham, K., Wright, J., Kervin, L., Humphry, N., McMahon, S., Hogan, M., &amp; Bodkin Andrews, G. (2013). Final Report: Evaluation of the AIME Outreach Program. Faculty of </w:t>
      </w:r>
      <w:r w:rsidRPr="008F0FAA">
        <w:rPr>
          <w:rFonts w:asciiTheme="majorHAnsi" w:eastAsia="Calibri Light" w:hAnsiTheme="majorHAnsi" w:cstheme="majorHAnsi"/>
          <w:sz w:val="23"/>
          <w:szCs w:val="23"/>
        </w:rPr>
        <w:lastRenderedPageBreak/>
        <w:t xml:space="preserve">Social Sciences, University of Wollongong, Wollongong, Australia. https://ro.uow.edu.au/cgi/viewcontent.cgi?article=1223&amp;context=ahsri </w:t>
      </w:r>
    </w:p>
    <w:p w14:paraId="724DF896"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Hayes, A., Gray, M. and Edwards, B. (2008). Social inclusion: Origins, concepts and key themes, </w:t>
      </w:r>
      <w:r w:rsidRPr="008F0FAA">
        <w:rPr>
          <w:rFonts w:asciiTheme="majorHAnsi" w:eastAsia="Calibri Light" w:hAnsiTheme="majorHAnsi" w:cstheme="majorHAnsi"/>
          <w:i/>
          <w:iCs/>
          <w:sz w:val="23"/>
          <w:szCs w:val="23"/>
        </w:rPr>
        <w:t>Australian Institute of Family Studies</w:t>
      </w:r>
      <w:r w:rsidRPr="008F0FAA">
        <w:rPr>
          <w:rFonts w:asciiTheme="majorHAnsi" w:eastAsia="Calibri Light" w:hAnsiTheme="majorHAnsi" w:cstheme="majorHAnsi"/>
          <w:sz w:val="23"/>
          <w:szCs w:val="23"/>
        </w:rPr>
        <w:t xml:space="preserve"> for the Social Inclusion Unit, Commonwealth Department of Prime Minister and Cabinet.</w:t>
      </w:r>
    </w:p>
    <w:p w14:paraId="3446788C"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Heagney, M. (2019). New modular houses to help Geelong’s growing number of rough sleepers. Domain. Retrieved from https://www.domain.com.au/news/new-modular-houses-to-help-geelongs-growing-number-of-rough-sleepers-842615/  </w:t>
      </w:r>
    </w:p>
    <w:p w14:paraId="0E8B55A0"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Henriques-Gomes, L. (2018). 'It’s not safe for us': South-Sudanese Australians weather 'African gangs' storm. The Guardian, 25 July, </w:t>
      </w:r>
      <w:hyperlink r:id="rId206">
        <w:r w:rsidRPr="008F0FAA">
          <w:rPr>
            <w:rStyle w:val="Hyperlink"/>
            <w:rFonts w:asciiTheme="majorHAnsi" w:eastAsia="Calibri Light" w:hAnsiTheme="majorHAnsi" w:cstheme="majorHAnsi"/>
            <w:sz w:val="23"/>
            <w:szCs w:val="23"/>
          </w:rPr>
          <w:t>https://www.theguardian.com/australia-news/2018/jul/25/its-not-safe-for-us-south-sudanese-australians-weather-african-gangs-storm</w:t>
        </w:r>
      </w:hyperlink>
      <w:r w:rsidRPr="008F0FAA">
        <w:rPr>
          <w:rFonts w:asciiTheme="majorHAnsi" w:eastAsia="Calibri Light" w:hAnsiTheme="majorHAnsi" w:cstheme="majorHAnsi"/>
          <w:sz w:val="23"/>
          <w:szCs w:val="23"/>
        </w:rPr>
        <w:t xml:space="preserve"> </w:t>
      </w:r>
    </w:p>
    <w:p w14:paraId="12608889"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Hermann, T. &amp; Lewis, R. (2017). What is Livability? </w:t>
      </w:r>
      <w:r w:rsidRPr="008F0FAA">
        <w:rPr>
          <w:rFonts w:asciiTheme="majorHAnsi" w:eastAsia="Calibri Light" w:hAnsiTheme="majorHAnsi" w:cstheme="majorHAnsi"/>
          <w:i/>
          <w:iCs/>
          <w:sz w:val="23"/>
          <w:szCs w:val="23"/>
        </w:rPr>
        <w:t>Research Initiative 2015–2017: Framing Livability</w:t>
      </w:r>
      <w:r w:rsidRPr="008F0FAA">
        <w:rPr>
          <w:rFonts w:asciiTheme="majorHAnsi" w:eastAsia="Calibri Light" w:hAnsiTheme="majorHAnsi" w:cstheme="majorHAnsi"/>
          <w:sz w:val="23"/>
          <w:szCs w:val="23"/>
        </w:rPr>
        <w:t xml:space="preserve">. Sustainable Cities Institute, University of Oregon. </w:t>
      </w:r>
      <w:hyperlink r:id="rId207">
        <w:r w:rsidRPr="008F0FAA">
          <w:rPr>
            <w:rStyle w:val="Hyperlink"/>
            <w:rFonts w:asciiTheme="majorHAnsi" w:eastAsia="Calibri Light" w:hAnsiTheme="majorHAnsi" w:cstheme="majorHAnsi"/>
            <w:sz w:val="23"/>
            <w:szCs w:val="23"/>
          </w:rPr>
          <w:t>https://sci.uoregon.edu/sites/sci1.uoregon.edu/files/sub_1_-_what_is_livability_lit_review.pdf</w:t>
        </w:r>
      </w:hyperlink>
    </w:p>
    <w:p w14:paraId="1C62A618"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Higgs, C., Badland, H., Simons, K. et al. (2019). The Urban Liveability Index: developing a policy-relevant urban liveability composite measure and evaluating associations with transport mode choice. International Journal of Health Geography 18, 14, </w:t>
      </w:r>
      <w:hyperlink r:id="rId208">
        <w:r w:rsidRPr="008F0FAA">
          <w:rPr>
            <w:rStyle w:val="Hyperlink"/>
            <w:rFonts w:asciiTheme="majorHAnsi" w:eastAsia="Calibri Light" w:hAnsiTheme="majorHAnsi" w:cstheme="majorHAnsi"/>
            <w:sz w:val="23"/>
            <w:szCs w:val="23"/>
          </w:rPr>
          <w:t>https://doi.org/10.1186/s12942-019-0178-8</w:t>
        </w:r>
      </w:hyperlink>
    </w:p>
    <w:p w14:paraId="0F8AB4A6"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Homelessness Australia (2016). Homelessness in Australia, January, </w:t>
      </w:r>
    </w:p>
    <w:p w14:paraId="5740F42F" w14:textId="77777777" w:rsidR="0098093C" w:rsidRPr="008F0FAA" w:rsidRDefault="007320D6" w:rsidP="00173A3F">
      <w:pPr>
        <w:spacing w:after="0" w:line="240" w:lineRule="auto"/>
        <w:ind w:left="709" w:hanging="720"/>
        <w:rPr>
          <w:rFonts w:asciiTheme="majorHAnsi" w:eastAsia="Calibri Light" w:hAnsiTheme="majorHAnsi" w:cstheme="majorHAnsi"/>
          <w:sz w:val="23"/>
          <w:szCs w:val="23"/>
        </w:rPr>
      </w:pPr>
      <w:hyperlink r:id="rId209">
        <w:r w:rsidR="0098093C" w:rsidRPr="008F0FAA">
          <w:rPr>
            <w:rStyle w:val="Hyperlink"/>
            <w:rFonts w:asciiTheme="majorHAnsi" w:eastAsia="Calibri Light" w:hAnsiTheme="majorHAnsi" w:cstheme="majorHAnsi"/>
            <w:sz w:val="23"/>
            <w:szCs w:val="23"/>
          </w:rPr>
          <w:t>https://www.homelessnessaustralia.org.au/sites/homelessnessaus/files/2017-07/Homelessness%20in%20Australiav2.pdf</w:t>
        </w:r>
      </w:hyperlink>
    </w:p>
    <w:p w14:paraId="71E48B88"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Interim Spaces (n.d.). Skip Garden. Interim Spaces and Creative Use:  how temporary uses of vacant land contribute to communities, https://interimspacescreativeuse.wordpress.com/skip-garden/  </w:t>
      </w:r>
    </w:p>
    <w:p w14:paraId="67C9E627"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Iton, A., &amp; Shrimali, B. (2016). Power, Politics, and Health: A New Public Health Practice Targeting the Root Causes of Health Equity. </w:t>
      </w:r>
      <w:r w:rsidRPr="008F0FAA">
        <w:rPr>
          <w:rFonts w:asciiTheme="majorHAnsi" w:eastAsia="Calibri Light" w:hAnsiTheme="majorHAnsi" w:cstheme="majorHAnsi"/>
          <w:i/>
          <w:iCs/>
          <w:sz w:val="23"/>
          <w:szCs w:val="23"/>
        </w:rPr>
        <w:t>Maternal &amp; Child Health Journal, 20</w:t>
      </w:r>
      <w:r w:rsidRPr="008F0FAA">
        <w:rPr>
          <w:rFonts w:asciiTheme="majorHAnsi" w:eastAsia="Calibri Light" w:hAnsiTheme="majorHAnsi" w:cstheme="majorHAnsi"/>
          <w:sz w:val="23"/>
          <w:szCs w:val="23"/>
        </w:rPr>
        <w:t>(8), 1753-1758. doi: 10.1007/s10995-016-1980-6</w:t>
      </w:r>
    </w:p>
    <w:p w14:paraId="5EEA8F2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Jennings, V.; Baptiste, A.K.; Osborne Jelks, N., &amp; Skeete, R. (2017). Urban Green Space and the Pursuit of Health Equity in Parts of the United States. </w:t>
      </w:r>
      <w:r w:rsidRPr="008F0FAA">
        <w:rPr>
          <w:rFonts w:asciiTheme="majorHAnsi" w:eastAsia="Calibri Light" w:hAnsiTheme="majorHAnsi" w:cstheme="majorHAnsi"/>
          <w:i/>
          <w:iCs/>
          <w:sz w:val="23"/>
          <w:szCs w:val="23"/>
        </w:rPr>
        <w:t>International Journal of Environmental Research and Public Health</w:t>
      </w:r>
      <w:r w:rsidRPr="008F0FAA">
        <w:rPr>
          <w:rFonts w:asciiTheme="majorHAnsi" w:eastAsia="Calibri Light" w:hAnsiTheme="majorHAnsi" w:cstheme="majorHAnsi"/>
          <w:sz w:val="23"/>
          <w:szCs w:val="23"/>
        </w:rPr>
        <w:t xml:space="preserve"> 14, 1432.</w:t>
      </w:r>
    </w:p>
    <w:p w14:paraId="6782178A"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Johnson, A. J., Glover, T. D., &amp; Yuen, F. (2009). Supporting effective community representation: Lessons from the Festival of Neighbourhoods. Managing Leisure, 14(1), 1-16</w:t>
      </w:r>
    </w:p>
    <w:p w14:paraId="04CE0392"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Johnson, L.C. (1990). The patriarchal economy of the Australian textile industry, </w:t>
      </w:r>
      <w:r w:rsidRPr="008F0FAA">
        <w:rPr>
          <w:rFonts w:asciiTheme="majorHAnsi" w:eastAsia="Calibri Light" w:hAnsiTheme="majorHAnsi" w:cstheme="majorHAnsi"/>
          <w:i/>
          <w:iCs/>
          <w:sz w:val="23"/>
          <w:szCs w:val="23"/>
        </w:rPr>
        <w:t>Antipode</w:t>
      </w:r>
      <w:r w:rsidRPr="008F0FAA">
        <w:rPr>
          <w:rFonts w:asciiTheme="majorHAnsi" w:eastAsia="Calibri Light" w:hAnsiTheme="majorHAnsi" w:cstheme="majorHAnsi"/>
          <w:sz w:val="23"/>
          <w:szCs w:val="23"/>
        </w:rPr>
        <w:t xml:space="preserve"> 22 (1), 1-32.</w:t>
      </w:r>
    </w:p>
    <w:p w14:paraId="6E6BA3DF"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Kaal, H. (2011). A Conceptual History of Livability. City: Analysis of Urban Trends, Culture, Theory, Policy, Action, 15(5), 532-547.</w:t>
      </w:r>
    </w:p>
    <w:p w14:paraId="327A85D1"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Kelaher, M., Warr, D. J., &amp; Tacticos, T. (2010). Evaluating health impacts: Results from the neighbourhood renewal strategy in Victoria, Australia. Health &amp; Place, 16(5), 861-867. doi: 10.1016/j.healthplace.2010.04.011</w:t>
      </w:r>
    </w:p>
    <w:p w14:paraId="216C7AAB"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Kent, J., Thompson S.M. &amp; Jalaludin, B. (2011). Healthy Built Environments: A review of the literature, Healthy Built Environments Program, City Futures Research Centre, UNSW, Sydney</w:t>
      </w:r>
    </w:p>
    <w:p w14:paraId="59AAC07F"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Kings Cross (2015). Neighbourhood Profile, </w:t>
      </w:r>
      <w:hyperlink r:id="rId210" w:history="1">
        <w:r w:rsidRPr="008F0FAA">
          <w:rPr>
            <w:rStyle w:val="Hyperlink"/>
            <w:rFonts w:asciiTheme="majorHAnsi" w:eastAsia="Calibri Light" w:hAnsiTheme="majorHAnsi" w:cstheme="majorHAnsi"/>
            <w:sz w:val="23"/>
            <w:szCs w:val="23"/>
          </w:rPr>
          <w:t>file:///C:/Users/megmu/Downloads/Camden_Neighbourhood_Profile_-_Kings_Cross.pdf</w:t>
        </w:r>
      </w:hyperlink>
    </w:p>
    <w:p w14:paraId="06A7A1D4"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KPMG Australia (2013). Economic Evaluation of the Australian Indigenous Mentoring Experience Program, </w:t>
      </w:r>
      <w:hyperlink r:id="rId211" w:history="1">
        <w:r w:rsidRPr="008F0FAA">
          <w:rPr>
            <w:rStyle w:val="Hyperlink"/>
            <w:rFonts w:asciiTheme="majorHAnsi" w:eastAsia="Calibri Light" w:hAnsiTheme="majorHAnsi" w:cstheme="majorHAnsi"/>
            <w:sz w:val="23"/>
            <w:szCs w:val="23"/>
          </w:rPr>
          <w:t>https://assets.ctfassets.net/iz0aikshgysc/1KPmLI6KZtnIjzfCLJ0hIg/ed918202bca8802e86055d85af1802af/kpmg_report_2013.pdf</w:t>
        </w:r>
      </w:hyperlink>
      <w:r w:rsidRPr="008F0FAA">
        <w:rPr>
          <w:rFonts w:asciiTheme="majorHAnsi" w:eastAsia="Calibri Light" w:hAnsiTheme="majorHAnsi" w:cstheme="majorHAnsi"/>
          <w:sz w:val="23"/>
          <w:szCs w:val="23"/>
        </w:rPr>
        <w:t xml:space="preserve"> </w:t>
      </w:r>
    </w:p>
    <w:p w14:paraId="67F805C0"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KPMG Australia (2018). Economic Evaluation of AIME Mentoring. Retrieved 18 January 2021, from https://s24.q4cdn.com/382246808/files/doc_downloads/sustainability/Economic-Evaluation-of-AIME-Mentoring-by-KPMG.pdf </w:t>
      </w:r>
    </w:p>
    <w:p w14:paraId="31017862"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Larner, W., Le Heron, R. &amp; Lewis, N. (2007). Co-constituting ‘after neo-liberalism’: political projects and globalizing governmentalities in Aotearoa, New Zealand, in England, K. and Ward, K. (eds) (2007) </w:t>
      </w:r>
      <w:r w:rsidRPr="008F0FAA">
        <w:rPr>
          <w:rFonts w:asciiTheme="majorHAnsi" w:eastAsia="Calibri Light" w:hAnsiTheme="majorHAnsi" w:cstheme="majorHAnsi"/>
          <w:i/>
          <w:iCs/>
          <w:sz w:val="23"/>
          <w:szCs w:val="23"/>
        </w:rPr>
        <w:t xml:space="preserve"> Neoliberalization: States, networks, people Blackwell, Oxford, </w:t>
      </w:r>
      <w:r w:rsidRPr="008F0FAA">
        <w:rPr>
          <w:rFonts w:asciiTheme="majorHAnsi" w:eastAsia="Calibri Light" w:hAnsiTheme="majorHAnsi" w:cstheme="majorHAnsi"/>
          <w:sz w:val="23"/>
          <w:szCs w:val="23"/>
        </w:rPr>
        <w:t>223-247.</w:t>
      </w:r>
    </w:p>
    <w:p w14:paraId="20741514"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lastRenderedPageBreak/>
        <w:t xml:space="preserve">Lensink, M., &amp; Power, C. (2020). State-first perpetrator beds now open. Retrieved 20 January 2021, from https://www.premier.sa.gov.au/news/media-releases/news/state-first-perpetrator-beds-now-open </w:t>
      </w:r>
    </w:p>
    <w:p w14:paraId="20597310"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Love My Hood (n.d.). Get Money. Love My Hood: Kitchener's Guide to Great Neighbourhoods. City of Kitchener. </w:t>
      </w:r>
      <w:hyperlink r:id="rId212">
        <w:r w:rsidRPr="008F0FAA">
          <w:rPr>
            <w:rStyle w:val="Hyperlink"/>
            <w:rFonts w:asciiTheme="majorHAnsi" w:eastAsia="Calibri Light" w:hAnsiTheme="majorHAnsi" w:cstheme="majorHAnsi"/>
            <w:sz w:val="23"/>
            <w:szCs w:val="23"/>
          </w:rPr>
          <w:t>https://www.lovemyhood.ca/en/tools-money/get-money.aspx</w:t>
        </w:r>
      </w:hyperlink>
    </w:p>
    <w:p w14:paraId="229FFBA4"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Love My Hood (2017). State of Kitchener: Neighbourhoods Report. </w:t>
      </w:r>
      <w:hyperlink r:id="rId213">
        <w:r w:rsidRPr="008F0FAA">
          <w:rPr>
            <w:rStyle w:val="Hyperlink"/>
            <w:rFonts w:asciiTheme="majorHAnsi" w:eastAsia="Calibri Light" w:hAnsiTheme="majorHAnsi" w:cstheme="majorHAnsi"/>
            <w:sz w:val="23"/>
            <w:szCs w:val="23"/>
          </w:rPr>
          <w:t>https://www.lovemyhood.ca/en/resourcesGeneral/Documents/CSD_NDO_State_Of_Kitchener_Neighbourhoods_Report_2017_Accessible.pdf</w:t>
        </w:r>
      </w:hyperlink>
      <w:r w:rsidRPr="008F0FAA">
        <w:rPr>
          <w:rFonts w:asciiTheme="majorHAnsi" w:eastAsia="Calibri Light" w:hAnsiTheme="majorHAnsi" w:cstheme="majorHAnsi"/>
          <w:sz w:val="23"/>
          <w:szCs w:val="23"/>
        </w:rPr>
        <w:t xml:space="preserve"> </w:t>
      </w:r>
    </w:p>
    <w:p w14:paraId="6E857959"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Maher, C. (1994). “Residential mobility, locational disadvantage and spatial inequality in Australian cities”, </w:t>
      </w:r>
      <w:r w:rsidRPr="008F0FAA">
        <w:rPr>
          <w:rFonts w:asciiTheme="majorHAnsi" w:eastAsia="Calibri Light" w:hAnsiTheme="majorHAnsi" w:cstheme="majorHAnsi"/>
          <w:i/>
          <w:iCs/>
          <w:sz w:val="23"/>
          <w:szCs w:val="23"/>
        </w:rPr>
        <w:t xml:space="preserve">Urban Policy and Research </w:t>
      </w:r>
      <w:r w:rsidRPr="008F0FAA">
        <w:rPr>
          <w:rFonts w:asciiTheme="majorHAnsi" w:eastAsia="Calibri Light" w:hAnsiTheme="majorHAnsi" w:cstheme="majorHAnsi"/>
          <w:sz w:val="23"/>
          <w:szCs w:val="23"/>
        </w:rPr>
        <w:t>12 (3), 185-191.</w:t>
      </w:r>
    </w:p>
    <w:p w14:paraId="118D4312" w14:textId="77777777" w:rsidR="0098093C" w:rsidRPr="008F0FAA" w:rsidRDefault="0098093C" w:rsidP="00173A3F">
      <w:pPr>
        <w:spacing w:after="0" w:line="240" w:lineRule="auto"/>
        <w:ind w:left="709" w:hanging="720"/>
        <w:rPr>
          <w:rFonts w:asciiTheme="majorHAnsi" w:eastAsia="Calibri Light" w:hAnsiTheme="majorHAnsi" w:cstheme="majorHAnsi"/>
          <w:i/>
          <w:iCs/>
          <w:sz w:val="23"/>
          <w:szCs w:val="23"/>
        </w:rPr>
      </w:pPr>
      <w:r w:rsidRPr="008F0FAA">
        <w:rPr>
          <w:rFonts w:asciiTheme="majorHAnsi" w:eastAsia="Calibri Light" w:hAnsiTheme="majorHAnsi" w:cstheme="majorHAnsi"/>
          <w:sz w:val="23"/>
          <w:szCs w:val="23"/>
        </w:rPr>
        <w:t>Marcuse, P. (1996). Is Australia different? Globalization and the new urban poverty, Australian Housing and Urban Research Institute, Melbourne.</w:t>
      </w:r>
    </w:p>
    <w:p w14:paraId="7352C734"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Marovelli, B. (2019). Cooking and eating together in London: Food sharing initiatives as collective spaces of encounter. Geoforum, 99, 190–201. https://doi.org/10.1016/j.geoforum.2018.09.006 </w:t>
      </w:r>
    </w:p>
    <w:p w14:paraId="49B10289"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Marx, K. (2001). </w:t>
      </w:r>
      <w:r w:rsidRPr="008F0FAA">
        <w:rPr>
          <w:rFonts w:asciiTheme="majorHAnsi" w:eastAsia="Calibri Light" w:hAnsiTheme="majorHAnsi" w:cstheme="majorHAnsi"/>
          <w:i/>
          <w:iCs/>
          <w:sz w:val="23"/>
          <w:szCs w:val="23"/>
        </w:rPr>
        <w:t>Capital, Vols. 1, 2 and 3</w:t>
      </w:r>
      <w:r w:rsidRPr="008F0FAA">
        <w:rPr>
          <w:rFonts w:asciiTheme="majorHAnsi" w:eastAsia="Calibri Light" w:hAnsiTheme="majorHAnsi" w:cstheme="majorHAnsi"/>
          <w:sz w:val="23"/>
          <w:szCs w:val="23"/>
        </w:rPr>
        <w:t xml:space="preserve"> Electric Book Company, London.</w:t>
      </w:r>
    </w:p>
    <w:p w14:paraId="26BB2A4C"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Maryborough CAG (2015). Maryborough Community Plan 2015. Maryborough Community Action Group, </w:t>
      </w:r>
      <w:hyperlink r:id="rId214">
        <w:r w:rsidRPr="008F0FAA">
          <w:rPr>
            <w:rStyle w:val="Hyperlink"/>
            <w:rFonts w:asciiTheme="majorHAnsi" w:eastAsia="Calibri Light" w:hAnsiTheme="majorHAnsi" w:cstheme="majorHAnsi"/>
            <w:sz w:val="23"/>
            <w:szCs w:val="23"/>
          </w:rPr>
          <w:t>http://103.29.173.124/CA2573450006E09E/Lookup/2015maryboroughcommplanFINALweb/$file/2015maryboroughcommplanFINAL.pdf</w:t>
        </w:r>
      </w:hyperlink>
      <w:r w:rsidRPr="008F0FAA">
        <w:rPr>
          <w:rFonts w:asciiTheme="majorHAnsi" w:eastAsia="Calibri Light" w:hAnsiTheme="majorHAnsi" w:cstheme="majorHAnsi"/>
          <w:sz w:val="23"/>
          <w:szCs w:val="23"/>
        </w:rPr>
        <w:t xml:space="preserve"> </w:t>
      </w:r>
    </w:p>
    <w:p w14:paraId="755267FE"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McGuirk, P. and O’Neill, P. (2012) Critical geographies of the state: The problem of social vulnerability and the politics of engaged research, </w:t>
      </w:r>
      <w:r w:rsidRPr="008F0FAA">
        <w:rPr>
          <w:rFonts w:asciiTheme="majorHAnsi" w:eastAsia="Calibri Light" w:hAnsiTheme="majorHAnsi" w:cstheme="majorHAnsi"/>
          <w:i/>
          <w:iCs/>
          <w:sz w:val="23"/>
          <w:szCs w:val="23"/>
        </w:rPr>
        <w:t xml:space="preserve">Antipode </w:t>
      </w:r>
      <w:r w:rsidRPr="008F0FAA">
        <w:rPr>
          <w:rFonts w:asciiTheme="majorHAnsi" w:eastAsia="Calibri Light" w:hAnsiTheme="majorHAnsi" w:cstheme="majorHAnsi"/>
          <w:sz w:val="23"/>
          <w:szCs w:val="23"/>
        </w:rPr>
        <w:t xml:space="preserve"> 44 (4), 1374-94.</w:t>
      </w:r>
    </w:p>
    <w:p w14:paraId="756C78ED"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MHCLG (Ministry for Housing, Communities &amp; Local Government) (2019). The English Indices of Deprivation 2019 (IoD2019). Statistical Release, 26 September </w:t>
      </w:r>
      <w:hyperlink r:id="rId215">
        <w:r w:rsidRPr="008F0FAA">
          <w:rPr>
            <w:rStyle w:val="Hyperlink"/>
            <w:rFonts w:asciiTheme="majorHAnsi" w:eastAsia="Calibri Light" w:hAnsiTheme="majorHAnsi" w:cstheme="majorHAnsi"/>
            <w:sz w:val="23"/>
            <w:szCs w:val="23"/>
          </w:rPr>
          <w:t>https://assets.publishing.service.gov.uk/government/uploads/system/uploads/attachment_data/file/835115/IoD2019_Statistical_Release.pdf</w:t>
        </w:r>
      </w:hyperlink>
    </w:p>
    <w:p w14:paraId="5D680D76"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Migrant Information Centre (2012). South Sudanese Cultural Profile. Multicultural Equity and Access Program, Migrant Information Centre (Eastern Melbourne), </w:t>
      </w:r>
      <w:hyperlink r:id="rId216">
        <w:r w:rsidRPr="008F0FAA">
          <w:rPr>
            <w:rStyle w:val="Hyperlink"/>
            <w:rFonts w:asciiTheme="majorHAnsi" w:eastAsia="Calibri Light" w:hAnsiTheme="majorHAnsi" w:cstheme="majorHAnsi"/>
            <w:sz w:val="23"/>
            <w:szCs w:val="23"/>
          </w:rPr>
          <w:t>https://miceastmelb.com.au/wp-content/uploads/2016/03/SudaneseCulturalProfile2012.pdf</w:t>
        </w:r>
      </w:hyperlink>
      <w:r w:rsidRPr="008F0FAA">
        <w:rPr>
          <w:rFonts w:asciiTheme="majorHAnsi" w:eastAsia="Calibri Light" w:hAnsiTheme="majorHAnsi" w:cstheme="majorHAnsi"/>
          <w:sz w:val="23"/>
          <w:szCs w:val="23"/>
        </w:rPr>
        <w:t xml:space="preserve"> </w:t>
      </w:r>
    </w:p>
    <w:p w14:paraId="7BD9615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Morefood for Moreland (n.d.). Retrieved 11 January 2021, from https://food-boxes-for-moreland.raisely.com/ </w:t>
      </w:r>
    </w:p>
    <w:p w14:paraId="5D7797D9"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Open Food Network (n.d.). Retrieved 11 January 2021, from https://about.openfoodnetwork.org.au/</w:t>
      </w:r>
    </w:p>
    <w:p w14:paraId="10BC21B5"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Nash, J. and Fernandez-Kelly, M.P. (eds) (1983) </w:t>
      </w:r>
      <w:r w:rsidRPr="008F0FAA">
        <w:rPr>
          <w:rFonts w:asciiTheme="majorHAnsi" w:eastAsia="Calibri Light" w:hAnsiTheme="majorHAnsi" w:cstheme="majorHAnsi"/>
          <w:i/>
          <w:iCs/>
          <w:sz w:val="23"/>
          <w:szCs w:val="23"/>
        </w:rPr>
        <w:t>Women, men and the international division of labor</w:t>
      </w:r>
      <w:r w:rsidRPr="008F0FAA">
        <w:rPr>
          <w:rFonts w:asciiTheme="majorHAnsi" w:eastAsia="Calibri Light" w:hAnsiTheme="majorHAnsi" w:cstheme="majorHAnsi"/>
          <w:sz w:val="23"/>
          <w:szCs w:val="23"/>
        </w:rPr>
        <w:t xml:space="preserve"> State University of New York, Albany.</w:t>
      </w:r>
    </w:p>
    <w:p w14:paraId="1C65CC30"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Neami (n.d.). About us. Retrieved 11 January 2021, from </w:t>
      </w:r>
      <w:hyperlink r:id="rId217">
        <w:r w:rsidRPr="008F0FAA">
          <w:rPr>
            <w:rStyle w:val="Hyperlink"/>
            <w:rFonts w:asciiTheme="majorHAnsi" w:eastAsia="Calibri Light" w:hAnsiTheme="majorHAnsi" w:cstheme="majorHAnsi"/>
            <w:sz w:val="23"/>
            <w:szCs w:val="23"/>
          </w:rPr>
          <w:t>https://www.neaminational.org.au/about-us/</w:t>
        </w:r>
      </w:hyperlink>
      <w:r w:rsidRPr="008F0FAA">
        <w:rPr>
          <w:rFonts w:asciiTheme="majorHAnsi" w:eastAsia="Calibri Light" w:hAnsiTheme="majorHAnsi" w:cstheme="majorHAnsi"/>
          <w:sz w:val="23"/>
          <w:szCs w:val="23"/>
        </w:rPr>
        <w:t xml:space="preserve"> </w:t>
      </w:r>
    </w:p>
    <w:p w14:paraId="08570018"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Neighbourhood Watch Victoria (2020). Neighbourhood Watch partners with Angel Next Door. Retrieved 18 January 2021, from https://nhw.com.au/2020/04/23/neighbourhood-watch-partners-with-angel-next-door/  </w:t>
      </w:r>
    </w:p>
    <w:p w14:paraId="216079CE"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Nicholson, T. (2007). A new Australian model of social inclusion and employment services. Address to The Social and Economic Imperative: Tapping the potential of disadvantaged Australians Conference, Melbourne, Australia. http:www.bsl.org.au/pdfs/Nicholson-new-Australian-model-of-social-inclusion-and-employment-services. pdf. Accessed 19.09.2013. </w:t>
      </w:r>
    </w:p>
    <w:p w14:paraId="0D2D9DF2"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Neighbourhood Renewal Unit (2008). Neighbourhood renewal: Evaluation Report 2008: Summary. Melbourne: Department of Human Services, Neighbourhood Renewal Unit.</w:t>
      </w:r>
    </w:p>
    <w:p w14:paraId="2A10F2AE"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NRS Scotland (2019). Dundee City Council Area Profile. National Records of Scotland, April, </w:t>
      </w:r>
      <w:hyperlink r:id="rId218">
        <w:r w:rsidRPr="008F0FAA">
          <w:rPr>
            <w:rStyle w:val="Hyperlink"/>
            <w:rFonts w:asciiTheme="majorHAnsi" w:eastAsia="Calibri Light" w:hAnsiTheme="majorHAnsi" w:cstheme="majorHAnsi"/>
            <w:sz w:val="23"/>
            <w:szCs w:val="23"/>
          </w:rPr>
          <w:t>https://www.nrscotland.gov.uk/files/statistics/council-area-data-sheets/dundee-city-council-profile.html</w:t>
        </w:r>
      </w:hyperlink>
      <w:r w:rsidRPr="008F0FAA">
        <w:rPr>
          <w:rFonts w:asciiTheme="majorHAnsi" w:eastAsia="Calibri Light" w:hAnsiTheme="majorHAnsi" w:cstheme="majorHAnsi"/>
          <w:sz w:val="23"/>
          <w:szCs w:val="23"/>
        </w:rPr>
        <w:t xml:space="preserve"> </w:t>
      </w:r>
    </w:p>
    <w:p w14:paraId="673AC5AA"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Ontario Federation of Labour (2017). Power of Many. Get to Know Your Community: Kitchener-Waterloo, </w:t>
      </w:r>
      <w:hyperlink r:id="rId219">
        <w:r w:rsidRPr="008F0FAA">
          <w:rPr>
            <w:rStyle w:val="Hyperlink"/>
            <w:rFonts w:asciiTheme="majorHAnsi" w:eastAsia="Calibri Light" w:hAnsiTheme="majorHAnsi" w:cstheme="majorHAnsi"/>
            <w:sz w:val="23"/>
            <w:szCs w:val="23"/>
          </w:rPr>
          <w:t>https://ofl.ca/wp-content/uploads/HUB-SHEET-KW-POM.pdf</w:t>
        </w:r>
      </w:hyperlink>
      <w:r w:rsidRPr="008F0FAA">
        <w:rPr>
          <w:rFonts w:asciiTheme="majorHAnsi" w:eastAsia="Calibri Light" w:hAnsiTheme="majorHAnsi" w:cstheme="majorHAnsi"/>
          <w:sz w:val="23"/>
          <w:szCs w:val="23"/>
        </w:rPr>
        <w:t xml:space="preserve"> </w:t>
      </w:r>
    </w:p>
    <w:p w14:paraId="54BDFD66"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Open Food Network (n.d.). Retrieved 11 January 2021, from </w:t>
      </w:r>
      <w:hyperlink r:id="rId220">
        <w:r w:rsidRPr="008F0FAA">
          <w:rPr>
            <w:rStyle w:val="Hyperlink"/>
            <w:rFonts w:asciiTheme="majorHAnsi" w:eastAsia="Calibri Light" w:hAnsiTheme="majorHAnsi" w:cstheme="majorHAnsi"/>
            <w:sz w:val="23"/>
            <w:szCs w:val="23"/>
          </w:rPr>
          <w:t>https://about.openfoodnetwork.org.au/</w:t>
        </w:r>
      </w:hyperlink>
    </w:p>
    <w:p w14:paraId="17AF087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Orr, K. (2019). ‘Case Study: The Broomhill Project.’ Inclusive Growth Community of Practice. EDAS (Economic Development Association of Scotland), </w:t>
      </w:r>
      <w:hyperlink r:id="rId221">
        <w:r w:rsidRPr="008F0FAA">
          <w:rPr>
            <w:rStyle w:val="Hyperlink"/>
            <w:rFonts w:asciiTheme="majorHAnsi" w:eastAsia="Calibri Light" w:hAnsiTheme="majorHAnsi" w:cstheme="majorHAnsi"/>
            <w:sz w:val="23"/>
            <w:szCs w:val="23"/>
          </w:rPr>
          <w:t>https://inclusivegrowthcommunityofpractice.blog/2019/02/08/case-study-the-broomhill-project/</w:t>
        </w:r>
      </w:hyperlink>
      <w:r w:rsidRPr="008F0FAA">
        <w:rPr>
          <w:rFonts w:asciiTheme="majorHAnsi" w:eastAsia="Calibri Light" w:hAnsiTheme="majorHAnsi" w:cstheme="majorHAnsi"/>
          <w:sz w:val="23"/>
          <w:szCs w:val="23"/>
        </w:rPr>
        <w:t xml:space="preserve"> </w:t>
      </w:r>
    </w:p>
    <w:p w14:paraId="30E3E7D0"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Pacific Institute (2017). Sustainable Water Jobs Case Study: Sustainable South Bronx. Sustainable Water Jobs: A National Assessment of Water-Related Green Job Opportunities; Pacific Institute: Oakland, CA, USA.</w:t>
      </w:r>
    </w:p>
    <w:p w14:paraId="3240EDB5"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Pawson, H., Hulse, K. &amp; Cheshire, L. (2015) Addressing concentrations of disadvantage in urban Australia, AHURI Final Report No.247. Melbourne: Australian Housing and Urban Research Institute.</w:t>
      </w:r>
    </w:p>
    <w:p w14:paraId="7FEBF5BE"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Pawson, H. &amp; Herath, S. (2015). “Dissecting and tracking social-spatial disadvantage in urban Australia”, </w:t>
      </w:r>
      <w:r w:rsidRPr="008F0FAA">
        <w:rPr>
          <w:rFonts w:asciiTheme="majorHAnsi" w:eastAsia="Calibri Light" w:hAnsiTheme="majorHAnsi" w:cstheme="majorHAnsi"/>
          <w:i/>
          <w:iCs/>
          <w:sz w:val="23"/>
          <w:szCs w:val="23"/>
        </w:rPr>
        <w:t>Cities</w:t>
      </w:r>
      <w:r w:rsidRPr="008F0FAA">
        <w:rPr>
          <w:rFonts w:asciiTheme="majorHAnsi" w:eastAsia="Calibri Light" w:hAnsiTheme="majorHAnsi" w:cstheme="majorHAnsi"/>
          <w:sz w:val="23"/>
          <w:szCs w:val="23"/>
        </w:rPr>
        <w:t xml:space="preserve"> 44 (April), 73-85.</w:t>
      </w:r>
    </w:p>
    <w:p w14:paraId="1A3F74AF"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Payne, R. (1996) “Understanding and working with students and adults from poverty”  Reprinted from  </w:t>
      </w:r>
      <w:r w:rsidRPr="008F0FAA">
        <w:rPr>
          <w:rFonts w:asciiTheme="majorHAnsi" w:eastAsia="Calibri Light" w:hAnsiTheme="majorHAnsi" w:cstheme="majorHAnsi"/>
          <w:i/>
          <w:iCs/>
          <w:sz w:val="23"/>
          <w:szCs w:val="23"/>
        </w:rPr>
        <w:t>Instructional Leader</w:t>
      </w:r>
      <w:r w:rsidRPr="008F0FAA">
        <w:rPr>
          <w:rFonts w:asciiTheme="majorHAnsi" w:eastAsia="Calibri Light" w:hAnsiTheme="majorHAnsi" w:cstheme="majorHAnsi"/>
          <w:sz w:val="23"/>
          <w:szCs w:val="23"/>
        </w:rPr>
        <w:t xml:space="preserve"> 9 (2), March.</w:t>
      </w:r>
    </w:p>
    <w:p w14:paraId="0F6C1E64"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Payne, R., deVol, P. and Dreussi Smith, T. (2010) </w:t>
      </w:r>
      <w:r w:rsidRPr="008F0FAA">
        <w:rPr>
          <w:rFonts w:asciiTheme="majorHAnsi" w:eastAsia="Calibri Light" w:hAnsiTheme="majorHAnsi" w:cstheme="majorHAnsi"/>
          <w:i/>
          <w:iCs/>
          <w:sz w:val="23"/>
          <w:szCs w:val="23"/>
        </w:rPr>
        <w:t>Bridges out of poverty: Strategies for professionals and communities</w:t>
      </w:r>
      <w:r w:rsidRPr="008F0FAA">
        <w:rPr>
          <w:rFonts w:asciiTheme="majorHAnsi" w:eastAsia="Calibri Light" w:hAnsiTheme="majorHAnsi" w:cstheme="majorHAnsi"/>
          <w:sz w:val="23"/>
          <w:szCs w:val="23"/>
        </w:rPr>
        <w:t xml:space="preserve"> Melbourne: Hawker Brownlow Education.</w:t>
      </w:r>
    </w:p>
    <w:p w14:paraId="41D69A60"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Peel, M. (2012). </w:t>
      </w:r>
      <w:r w:rsidRPr="008F0FAA">
        <w:rPr>
          <w:rFonts w:asciiTheme="majorHAnsi" w:eastAsia="Calibri Light" w:hAnsiTheme="majorHAnsi" w:cstheme="majorHAnsi"/>
          <w:i/>
          <w:iCs/>
          <w:sz w:val="23"/>
          <w:szCs w:val="23"/>
        </w:rPr>
        <w:t>Miss Cutler and the case of the resurrected house: Social work and the story of poverty in America, Australia and Britain</w:t>
      </w:r>
      <w:r w:rsidRPr="008F0FAA">
        <w:rPr>
          <w:rFonts w:asciiTheme="majorHAnsi" w:eastAsia="Calibri Light" w:hAnsiTheme="majorHAnsi" w:cstheme="majorHAnsi"/>
          <w:sz w:val="23"/>
          <w:szCs w:val="23"/>
        </w:rPr>
        <w:t xml:space="preserve"> University of Chicago Press, Chicago.</w:t>
      </w:r>
    </w:p>
    <w:p w14:paraId="60ED299E" w14:textId="229AF4F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Peel, M. (1995).</w:t>
      </w:r>
      <w:r w:rsidR="00C73C47">
        <w:rPr>
          <w:rFonts w:asciiTheme="majorHAnsi" w:eastAsia="Calibri Light" w:hAnsiTheme="majorHAnsi" w:cstheme="majorHAnsi"/>
          <w:sz w:val="23"/>
          <w:szCs w:val="23"/>
        </w:rPr>
        <w:t xml:space="preserve"> </w:t>
      </w:r>
      <w:r w:rsidRPr="008F0FAA">
        <w:rPr>
          <w:rFonts w:asciiTheme="majorHAnsi" w:eastAsia="Calibri Light" w:hAnsiTheme="majorHAnsi" w:cstheme="majorHAnsi"/>
          <w:i/>
          <w:iCs/>
          <w:sz w:val="23"/>
          <w:szCs w:val="23"/>
        </w:rPr>
        <w:t>Good times, hard times: The past and future in Elizabeth.</w:t>
      </w:r>
      <w:r w:rsidRPr="008F0FAA">
        <w:rPr>
          <w:rFonts w:asciiTheme="majorHAnsi" w:eastAsia="Calibri Light" w:hAnsiTheme="majorHAnsi" w:cstheme="majorHAnsi"/>
          <w:sz w:val="23"/>
          <w:szCs w:val="23"/>
        </w:rPr>
        <w:t xml:space="preserve"> Melbourne University Press, Carlton.</w:t>
      </w:r>
    </w:p>
    <w:p w14:paraId="05627CF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Perkins, N. D. (2008). Livability, Regional Equity, and Capability: Closing in on Sustainable Land Use. </w:t>
      </w:r>
      <w:r w:rsidRPr="008F0FAA">
        <w:rPr>
          <w:rFonts w:asciiTheme="majorHAnsi" w:eastAsia="Calibri Light" w:hAnsiTheme="majorHAnsi" w:cstheme="majorHAnsi"/>
          <w:i/>
          <w:iCs/>
          <w:sz w:val="23"/>
          <w:szCs w:val="23"/>
        </w:rPr>
        <w:t>University of Baltimore Law Review</w:t>
      </w:r>
      <w:r w:rsidRPr="008F0FAA">
        <w:rPr>
          <w:rFonts w:asciiTheme="majorHAnsi" w:eastAsia="Calibri Light" w:hAnsiTheme="majorHAnsi" w:cstheme="majorHAnsi"/>
          <w:sz w:val="23"/>
          <w:szCs w:val="23"/>
        </w:rPr>
        <w:t>, 37, 157-202.</w:t>
      </w:r>
    </w:p>
    <w:p w14:paraId="2E6034FE"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PHN North Coast (2019). Coffs Harbour Local Government Area Fact Sheet, https://hnc.org.au/wp-content/uploads/2019/06/2018CoffsHarbourLGAFINAL-1.pdf</w:t>
      </w:r>
    </w:p>
    <w:p w14:paraId="3BDDCF6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Pies, C., Barr, M., Strouse, C. </w:t>
      </w:r>
      <w:r w:rsidRPr="008F0FAA">
        <w:rPr>
          <w:rFonts w:asciiTheme="majorHAnsi" w:eastAsia="Calibri Light" w:hAnsiTheme="majorHAnsi" w:cstheme="majorHAnsi"/>
          <w:i/>
          <w:iCs/>
          <w:sz w:val="23"/>
          <w:szCs w:val="23"/>
        </w:rPr>
        <w:t>et al.</w:t>
      </w:r>
      <w:r w:rsidRPr="008F0FAA">
        <w:rPr>
          <w:rFonts w:asciiTheme="majorHAnsi" w:eastAsia="Calibri Light" w:hAnsiTheme="majorHAnsi" w:cstheme="majorHAnsi"/>
          <w:sz w:val="23"/>
          <w:szCs w:val="23"/>
        </w:rPr>
        <w:t> (2016). Growing a Best Babies Zone: Lessons Learned from the Pilot Phase of a Multi-Sector, Place-Based Initiative to Reduce Infant Mortality. </w:t>
      </w:r>
      <w:r w:rsidRPr="008F0FAA">
        <w:rPr>
          <w:rFonts w:asciiTheme="majorHAnsi" w:eastAsia="Calibri Light" w:hAnsiTheme="majorHAnsi" w:cstheme="majorHAnsi"/>
          <w:i/>
          <w:iCs/>
          <w:sz w:val="23"/>
          <w:szCs w:val="23"/>
        </w:rPr>
        <w:t>Matern Child Health J</w:t>
      </w:r>
      <w:r w:rsidRPr="008F0FAA">
        <w:rPr>
          <w:rFonts w:asciiTheme="majorHAnsi" w:eastAsia="Calibri Light" w:hAnsiTheme="majorHAnsi" w:cstheme="majorHAnsi"/>
          <w:b/>
          <w:bCs/>
          <w:sz w:val="23"/>
          <w:szCs w:val="23"/>
        </w:rPr>
        <w:t>, </w:t>
      </w:r>
      <w:r w:rsidRPr="008F0FAA">
        <w:rPr>
          <w:rFonts w:asciiTheme="majorHAnsi" w:eastAsia="Calibri Light" w:hAnsiTheme="majorHAnsi" w:cstheme="majorHAnsi"/>
          <w:sz w:val="23"/>
          <w:szCs w:val="23"/>
        </w:rPr>
        <w:t xml:space="preserve">968–973 (2016). </w:t>
      </w:r>
      <w:hyperlink r:id="rId222">
        <w:r w:rsidRPr="008F0FAA">
          <w:rPr>
            <w:rStyle w:val="Hyperlink"/>
            <w:rFonts w:asciiTheme="majorHAnsi" w:eastAsia="Calibri Light" w:hAnsiTheme="majorHAnsi" w:cstheme="majorHAnsi"/>
            <w:sz w:val="23"/>
            <w:szCs w:val="23"/>
          </w:rPr>
          <w:t>https://doi.org/10.1007/s10995-016-1969-1</w:t>
        </w:r>
      </w:hyperlink>
    </w:p>
    <w:p w14:paraId="4769DE02"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Priestly, A., Lynch, M., Wallace, C., &amp; Harwood, V. (2015). Pathways to success: AIME's educational mentoring model. Retrieved 18 January 2021, from https://www.cdu.edu.au/sites/default/files/the-northern-institute/10.18793-lcj215.17.04.pdf  </w:t>
      </w:r>
    </w:p>
    <w:p w14:paraId="4376D2C9"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Prior, J. (2008). The role of local government in redressing neighbourhood disadvantage: A case study from Penrith City Council. </w:t>
      </w:r>
      <w:r w:rsidRPr="008F0FAA">
        <w:rPr>
          <w:rFonts w:asciiTheme="majorHAnsi" w:eastAsia="Calibri Light" w:hAnsiTheme="majorHAnsi" w:cstheme="majorHAnsi"/>
          <w:i/>
          <w:iCs/>
          <w:sz w:val="23"/>
          <w:szCs w:val="23"/>
        </w:rPr>
        <w:t>Commonwealth Journal of Local Governance</w:t>
      </w:r>
      <w:r w:rsidRPr="008F0FAA">
        <w:rPr>
          <w:rFonts w:asciiTheme="majorHAnsi" w:eastAsia="Calibri Light" w:hAnsiTheme="majorHAnsi" w:cstheme="majorHAnsi"/>
          <w:sz w:val="23"/>
          <w:szCs w:val="23"/>
        </w:rPr>
        <w:t xml:space="preserve">, Issue 1. </w:t>
      </w:r>
      <w:hyperlink r:id="rId223">
        <w:r w:rsidRPr="008F0FAA">
          <w:rPr>
            <w:rStyle w:val="Hyperlink"/>
            <w:rFonts w:asciiTheme="majorHAnsi" w:eastAsia="Calibri Light" w:hAnsiTheme="majorHAnsi" w:cstheme="majorHAnsi"/>
            <w:sz w:val="23"/>
            <w:szCs w:val="23"/>
          </w:rPr>
          <w:t>http://epress.lib.uts.edu.au/ojs/index.php/cjlg</w:t>
        </w:r>
      </w:hyperlink>
    </w:p>
    <w:p w14:paraId="40813D9D"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Quennell, K. (2011). Ensuring Sustainable Neighbourhood Growth: Lessons from New York City’s South Bronx. Presentation, 2011 Annual Research to Policy Conference – Environmental Health and Equity, 30 April 2011, McGill University, https://www.mcgill.ca/ihsp/files/ihsp/2011posterpresentation_kara.pptx</w:t>
      </w:r>
    </w:p>
    <w:p w14:paraId="39258CA6"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Randolph, B. and Tice, A. (2014) “Suburbanising disadvantage in Australian cities: Socio-spatial change in an era of neo-liberalism”, </w:t>
      </w:r>
      <w:r w:rsidRPr="008F0FAA">
        <w:rPr>
          <w:rFonts w:asciiTheme="majorHAnsi" w:eastAsia="Calibri Light" w:hAnsiTheme="majorHAnsi" w:cstheme="majorHAnsi"/>
          <w:i/>
          <w:iCs/>
          <w:sz w:val="23"/>
          <w:szCs w:val="23"/>
        </w:rPr>
        <w:t>Journal of Urban Affairs</w:t>
      </w:r>
      <w:r w:rsidRPr="008F0FAA">
        <w:rPr>
          <w:rFonts w:asciiTheme="majorHAnsi" w:eastAsia="Calibri Light" w:hAnsiTheme="majorHAnsi" w:cstheme="majorHAnsi"/>
          <w:sz w:val="23"/>
          <w:szCs w:val="23"/>
        </w:rPr>
        <w:t xml:space="preserve"> 36 (S1), 1-16.</w:t>
      </w:r>
    </w:p>
    <w:p w14:paraId="70918342"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Refugee Council of Australia (2019). Refugee Welcome Zones: City of Greater Bendigo, https://www.refugeecouncil.org.au/city-greater-bendigo/</w:t>
      </w:r>
    </w:p>
    <w:p w14:paraId="19657BB5"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Romeo-Velilla, M., Christopher Gidlow, C. &amp; Hurst, G. (2016). Final report: Evaluation of My Community Matters (2013 –2015) April 2016. Staffordshire University, for Stoke-on-Trent City Council Public Health. https://www.communityventures.org.uk/wp-content/uploads/2017/04/My-Community-Matters-Final-Report.pdf </w:t>
      </w:r>
    </w:p>
    <w:p w14:paraId="654784A0"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SA.gov.au (2018). Residential tenancy protection for domestic violence victims. Retrieved 20 January 2021, from https://www.sa.gov.au/topics/housing/renting-and-letting/domestic-violence-protections-for-renters</w:t>
      </w:r>
    </w:p>
    <w:p w14:paraId="03B7DEF9"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Seton C., Tucker J., van der Zwan R. (2015) The Digital Age Project: Strategies that enable older social housing residents to use the internet, Retrieved 13 January 2021, from https://accan.org.au/files/Grants/Digital_Age_final-web-accessible.pdf </w:t>
      </w:r>
    </w:p>
    <w:p w14:paraId="3FF198B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Shield, M., Graham, M. and Taket, A. (2011). Neighbourhood renewal in Victoria, Australia: an effective way to address social inclusion</w:t>
      </w:r>
      <w:r w:rsidRPr="008F0FAA">
        <w:rPr>
          <w:rFonts w:asciiTheme="majorHAnsi" w:eastAsia="Calibri Light" w:hAnsiTheme="majorHAnsi" w:cstheme="majorHAnsi"/>
          <w:i/>
          <w:iCs/>
          <w:sz w:val="23"/>
          <w:szCs w:val="23"/>
        </w:rPr>
        <w:t>, Journal of social inclusion</w:t>
      </w:r>
      <w:r w:rsidRPr="008F0FAA">
        <w:rPr>
          <w:rFonts w:asciiTheme="majorHAnsi" w:eastAsia="Calibri Light" w:hAnsiTheme="majorHAnsi" w:cstheme="majorHAnsi"/>
          <w:sz w:val="23"/>
          <w:szCs w:val="23"/>
        </w:rPr>
        <w:t>, vol. 2, no. 2, pp. 4-18.</w:t>
      </w:r>
    </w:p>
    <w:p w14:paraId="327BE53E"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lastRenderedPageBreak/>
        <w:t xml:space="preserve">Skilling the Bay (2016). Skilling the Bay Strategic Plan 2016–17. Retrieved 8 January 2021, from https://www.thegordon.edu.au/sitedocs/skilling-the-bay/strategic-plan-2016-17-web.aspx  </w:t>
      </w:r>
    </w:p>
    <w:p w14:paraId="561649AC"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Skilling the Bay (2017). Supported ‘education to employment’ initiative for the long-term unemployed of eastern Geelong. Retrieved 8 January 2021, from https://www.thegordon.edu.au/sitedocs/skilling-the-bay/stb-forum-fact-sheet-whittington-works.aspx  </w:t>
      </w:r>
    </w:p>
    <w:p w14:paraId="301536A2"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Smart, J (2017). Collective impact: evidence and implications for practice. CFCA Paper 45, Australian Institute of Family Studies, </w:t>
      </w:r>
      <w:hyperlink r:id="rId224">
        <w:r w:rsidRPr="008F0FAA">
          <w:rPr>
            <w:rStyle w:val="Hyperlink"/>
            <w:rFonts w:asciiTheme="majorHAnsi" w:eastAsia="Calibri Light" w:hAnsiTheme="majorHAnsi" w:cstheme="majorHAnsi"/>
            <w:sz w:val="23"/>
            <w:szCs w:val="23"/>
          </w:rPr>
          <w:t>https://aifs.gov.au/cfca/sites/default/files/publication-documents/45_collective_impact_in_australia_0.pdf</w:t>
        </w:r>
      </w:hyperlink>
      <w:r w:rsidRPr="008F0FAA">
        <w:rPr>
          <w:rFonts w:asciiTheme="majorHAnsi" w:eastAsia="Calibri Light" w:hAnsiTheme="majorHAnsi" w:cstheme="majorHAnsi"/>
          <w:sz w:val="23"/>
          <w:szCs w:val="23"/>
        </w:rPr>
        <w:t xml:space="preserve"> </w:t>
      </w:r>
    </w:p>
    <w:p w14:paraId="38DDB4F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Smith, N. (2005) </w:t>
      </w:r>
      <w:r w:rsidRPr="008F0FAA">
        <w:rPr>
          <w:rFonts w:asciiTheme="majorHAnsi" w:eastAsia="Calibri Light" w:hAnsiTheme="majorHAnsi" w:cstheme="majorHAnsi"/>
          <w:i/>
          <w:iCs/>
          <w:sz w:val="23"/>
          <w:szCs w:val="23"/>
        </w:rPr>
        <w:t xml:space="preserve">The endgame of globalization </w:t>
      </w:r>
      <w:r w:rsidRPr="008F0FAA">
        <w:rPr>
          <w:rFonts w:asciiTheme="majorHAnsi" w:eastAsia="Calibri Light" w:hAnsiTheme="majorHAnsi" w:cstheme="majorHAnsi"/>
          <w:sz w:val="23"/>
          <w:szCs w:val="23"/>
        </w:rPr>
        <w:t>Routledge, New York.</w:t>
      </w:r>
    </w:p>
    <w:p w14:paraId="2C73AEC9"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Social Inclusion in Australia (2012) </w:t>
      </w:r>
      <w:r w:rsidRPr="008F0FAA">
        <w:rPr>
          <w:rFonts w:asciiTheme="majorHAnsi" w:eastAsia="Calibri Light" w:hAnsiTheme="majorHAnsi" w:cstheme="majorHAnsi"/>
          <w:i/>
          <w:iCs/>
          <w:sz w:val="23"/>
          <w:szCs w:val="23"/>
        </w:rPr>
        <w:t>How Australia is faring</w:t>
      </w:r>
      <w:r w:rsidRPr="008F0FAA">
        <w:rPr>
          <w:rFonts w:asciiTheme="majorHAnsi" w:eastAsia="Calibri Light" w:hAnsiTheme="majorHAnsi" w:cstheme="majorHAnsi"/>
          <w:sz w:val="23"/>
          <w:szCs w:val="23"/>
        </w:rPr>
        <w:t xml:space="preserve"> Australian Social Inclusion Board, Commonwealth Department of Prime Minister and Cabinet, Canberra.</w:t>
      </w:r>
    </w:p>
    <w:p w14:paraId="6D052D0F"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Social Ventures Australia (n.d.). Australian Indigenous Mentoring Experience (AIME). Retrieved 18 January 2021, from https://www.socialventures.com.au/work/australian-indigenous-mentoring-experience-aime/</w:t>
      </w:r>
    </w:p>
    <w:p w14:paraId="7A9E82B2" w14:textId="22FA886D"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SRRG (Social Recovery Reference Group) (2019). </w:t>
      </w:r>
      <w:r w:rsidR="00AD2DA5">
        <w:rPr>
          <w:rFonts w:asciiTheme="majorHAnsi" w:eastAsia="Calibri Light" w:hAnsiTheme="majorHAnsi" w:cstheme="majorHAnsi"/>
          <w:sz w:val="23"/>
          <w:szCs w:val="23"/>
        </w:rPr>
        <w:t>Case Studies</w:t>
      </w:r>
      <w:r w:rsidRPr="008F0FAA">
        <w:rPr>
          <w:rFonts w:asciiTheme="majorHAnsi" w:eastAsia="Calibri Light" w:hAnsiTheme="majorHAnsi" w:cstheme="majorHAnsi"/>
          <w:sz w:val="23"/>
          <w:szCs w:val="23"/>
        </w:rPr>
        <w:t xml:space="preserve"> exploring community-led recovery and coordination, Department of Health and Human Services, Victoria, </w:t>
      </w:r>
      <w:hyperlink r:id="rId225" w:history="1">
        <w:r w:rsidRPr="008F0FAA">
          <w:rPr>
            <w:rStyle w:val="Hyperlink"/>
            <w:rFonts w:asciiTheme="majorHAnsi" w:eastAsia="Calibri Light" w:hAnsiTheme="majorHAnsi" w:cstheme="majorHAnsi"/>
            <w:sz w:val="23"/>
            <w:szCs w:val="23"/>
          </w:rPr>
          <w:t>https://knowledge.aidr.org.au/media/7351/case-studies-exploring-community-led-recovery-and-coordination-final.pdf</w:t>
        </w:r>
      </w:hyperlink>
    </w:p>
    <w:p w14:paraId="2E08D662"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Spath, R. (2016). Place-based approaches for children and young people. Evidence Digest No. 2, Project Oracle: Children and Youth Evidence Hub, January, </w:t>
      </w:r>
      <w:hyperlink r:id="rId226">
        <w:r w:rsidRPr="008F0FAA">
          <w:rPr>
            <w:rStyle w:val="Hyperlink"/>
            <w:rFonts w:asciiTheme="majorHAnsi" w:eastAsia="Calibri Light" w:hAnsiTheme="majorHAnsi" w:cstheme="majorHAnsi"/>
            <w:sz w:val="23"/>
            <w:szCs w:val="23"/>
          </w:rPr>
          <w:t>https://project-oracle.com/uploads/files/Evidence_Digest_02_Place-based_approaches.pdf</w:t>
        </w:r>
      </w:hyperlink>
    </w:p>
    <w:p w14:paraId="241540D9"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STEPMI Geelong (2021). Neami. Retrieved 20 January 2021, from https://www.centralgeelong.com.au/profile/neami-national-stepmi-geelong  </w:t>
      </w:r>
    </w:p>
    <w:p w14:paraId="5E65971A"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Stilwell, F. (2006) Processes of globalisation: The generation of wealth and poverty, in K. Serr (ed) </w:t>
      </w:r>
      <w:r w:rsidRPr="008F0FAA">
        <w:rPr>
          <w:rFonts w:asciiTheme="majorHAnsi" w:eastAsia="Calibri Light" w:hAnsiTheme="majorHAnsi" w:cstheme="majorHAnsi"/>
          <w:i/>
          <w:iCs/>
          <w:sz w:val="23"/>
          <w:szCs w:val="23"/>
        </w:rPr>
        <w:t>Thinking about poverty</w:t>
      </w:r>
      <w:r w:rsidRPr="008F0FAA">
        <w:rPr>
          <w:rFonts w:asciiTheme="majorHAnsi" w:eastAsia="Calibri Light" w:hAnsiTheme="majorHAnsi" w:cstheme="majorHAnsi"/>
          <w:sz w:val="23"/>
          <w:szCs w:val="23"/>
        </w:rPr>
        <w:t xml:space="preserve"> The Federation Press, Leichhardt, NSW.</w:t>
      </w:r>
    </w:p>
    <w:p w14:paraId="7A62AB37"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Sullivan, S. &amp; Wong, S. (2011). An enhanced primary health care role following psychological trauma: The Christchurch earthquakes. Journal of Primary Health Care, 3(3): 248-51, DOI: 10.1071/HC11248</w:t>
      </w:r>
    </w:p>
    <w:p w14:paraId="364F56F7"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SURF (2017). The SURF Awards for Best Practice in Community Regeneration 2017. Scottish Urban Regeneration Forum, https://www.surf.scot/wp-content/uploads/2017/12/SURF-Awards-Publication-2017.pdf</w:t>
      </w:r>
    </w:p>
    <w:p w14:paraId="1CC8107C"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Sustain (2016). Beyond the Food Bank. London Food Poverty Profile. Sustain, London.</w:t>
      </w:r>
    </w:p>
    <w:p w14:paraId="422D14DA"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Sustainable South Bronx (SSBX) (n.d.). Sustainable South Bronx: A division of the HOPE program, </w:t>
      </w:r>
      <w:hyperlink r:id="rId227">
        <w:r w:rsidRPr="008F0FAA">
          <w:rPr>
            <w:rStyle w:val="Hyperlink"/>
            <w:rFonts w:asciiTheme="majorHAnsi" w:eastAsia="Calibri Light" w:hAnsiTheme="majorHAnsi" w:cstheme="majorHAnsi"/>
            <w:sz w:val="23"/>
            <w:szCs w:val="23"/>
          </w:rPr>
          <w:t>https://www.ssbx.org/home</w:t>
        </w:r>
      </w:hyperlink>
    </w:p>
    <w:p w14:paraId="5685C4B0"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Swain, S. and Howe, R. (1995). </w:t>
      </w:r>
      <w:r w:rsidRPr="008F0FAA">
        <w:rPr>
          <w:rFonts w:asciiTheme="majorHAnsi" w:eastAsia="Calibri Light" w:hAnsiTheme="majorHAnsi" w:cstheme="majorHAnsi"/>
          <w:i/>
          <w:iCs/>
          <w:sz w:val="23"/>
          <w:szCs w:val="23"/>
        </w:rPr>
        <w:t>Single mothers and their children: Disposal, punishment and survival in Australia</w:t>
      </w:r>
      <w:r w:rsidRPr="008F0FAA">
        <w:rPr>
          <w:rFonts w:asciiTheme="majorHAnsi" w:eastAsia="Calibri Light" w:hAnsiTheme="majorHAnsi" w:cstheme="majorHAnsi"/>
          <w:sz w:val="23"/>
          <w:szCs w:val="23"/>
        </w:rPr>
        <w:t xml:space="preserve"> Cambridge University Press, Melbourne.</w:t>
      </w:r>
    </w:p>
    <w:p w14:paraId="64D77771"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TACSI (2018). Improving Outcomes with South Sudanese Australians: A co-design project to build on</w:t>
      </w:r>
    </w:p>
    <w:p w14:paraId="390E0C48"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community strengths and initiate new solutions. Summary Report Prepared by The Australian Centre for Social Innovation (TACSI), with DHHS and Co-Health, </w:t>
      </w:r>
      <w:hyperlink r:id="rId228">
        <w:r w:rsidRPr="008F0FAA">
          <w:rPr>
            <w:rStyle w:val="Hyperlink"/>
            <w:rFonts w:asciiTheme="majorHAnsi" w:eastAsia="Calibri Light" w:hAnsiTheme="majorHAnsi" w:cstheme="majorHAnsi"/>
            <w:sz w:val="23"/>
            <w:szCs w:val="23"/>
          </w:rPr>
          <w:t>https://www.cohealth.org.au/wp-content/uploads/2018/11/Improving-Outcomes-with-South-Sudanese-Australians.pdf</w:t>
        </w:r>
      </w:hyperlink>
    </w:p>
    <w:p w14:paraId="6AFA050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Taylor, M., Buckley, E. &amp; Hennessy, C. (2017). Historical review of place-based approaches. Lankelly Chase. </w:t>
      </w:r>
      <w:hyperlink r:id="rId229">
        <w:r w:rsidRPr="008F0FAA">
          <w:rPr>
            <w:rStyle w:val="Hyperlink"/>
            <w:rFonts w:asciiTheme="majorHAnsi" w:eastAsia="Calibri Light" w:hAnsiTheme="majorHAnsi" w:cstheme="majorHAnsi"/>
            <w:sz w:val="23"/>
            <w:szCs w:val="23"/>
          </w:rPr>
          <w:t>https://lankellychase.org.uk/wp-content/uploads/2017/10/Historical-reviewof-place-based-approaches.pdf</w:t>
        </w:r>
      </w:hyperlink>
    </w:p>
    <w:p w14:paraId="149F42A6"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TheMayor.eu (2020). ‘Municipal vegetable gardens help struggling families in Nantes.’ European Portal for Cities and Citizens, 19 June, https://www.themayor.eu/en/municipal-vegetable-gardens-help-struggling-families-in-nantes (Accessed 12 Jan 2020)</w:t>
      </w:r>
    </w:p>
    <w:p w14:paraId="3CCC85D7"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Thomas, J., Barraket, J., Ewing, S., MacDonald, T., Mundell, M. &amp; Tucker, J. (2016). Measuring Australia’s Digital Divide: The Australian Digital Inclusion Index 2016, Swinburne University of Technology, Melbourne, for Telstra. DOI: www.dx.doi.org/10.4225/50/57A7D17127384 </w:t>
      </w:r>
    </w:p>
    <w:p w14:paraId="0D37510A"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lastRenderedPageBreak/>
        <w:t xml:space="preserve">Vechakul, J. (2014). Design Sprint Evaluation. Best Babies Zone, Alameda County Public Health Department and the Gobee Group, </w:t>
      </w:r>
      <w:hyperlink r:id="rId230">
        <w:r w:rsidRPr="008F0FAA">
          <w:rPr>
            <w:rStyle w:val="Hyperlink"/>
            <w:rFonts w:asciiTheme="majorHAnsi" w:eastAsia="Calibri Light" w:hAnsiTheme="majorHAnsi" w:cstheme="majorHAnsi"/>
            <w:sz w:val="23"/>
            <w:szCs w:val="23"/>
          </w:rPr>
          <w:t>https://jessvech.files.wordpress.com/2014/05/bbz-design-sprint-evaluation-report.pdf</w:t>
        </w:r>
      </w:hyperlink>
      <w:r w:rsidRPr="008F0FAA">
        <w:rPr>
          <w:rFonts w:asciiTheme="majorHAnsi" w:eastAsia="Calibri Light" w:hAnsiTheme="majorHAnsi" w:cstheme="majorHAnsi"/>
          <w:sz w:val="23"/>
          <w:szCs w:val="23"/>
        </w:rPr>
        <w:t xml:space="preserve"> </w:t>
      </w:r>
    </w:p>
    <w:p w14:paraId="1E2CAE7F"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Vechakul, J., Shrimali, B., &amp; Sandhu, J. (2015). Human-Centered Design as an Approach for Place-Based Innovation in Public Health: A Case Study from Oakland, California. </w:t>
      </w:r>
      <w:r w:rsidRPr="008F0FAA">
        <w:rPr>
          <w:rFonts w:asciiTheme="majorHAnsi" w:eastAsia="Calibri Light" w:hAnsiTheme="majorHAnsi" w:cstheme="majorHAnsi"/>
          <w:i/>
          <w:iCs/>
          <w:sz w:val="23"/>
          <w:szCs w:val="23"/>
        </w:rPr>
        <w:t>Maternal &amp; Child Health Journal, 19</w:t>
      </w:r>
      <w:r w:rsidRPr="008F0FAA">
        <w:rPr>
          <w:rFonts w:asciiTheme="majorHAnsi" w:eastAsia="Calibri Light" w:hAnsiTheme="majorHAnsi" w:cstheme="majorHAnsi"/>
          <w:sz w:val="23"/>
          <w:szCs w:val="23"/>
        </w:rPr>
        <w:t>(12), 2552-2559. doi: 10.1007/s10995-015-1787-x</w:t>
      </w:r>
    </w:p>
    <w:p w14:paraId="332F0B04"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VicHealth (2011). Streets Ahead 2008–2011: Program evaluation report. Victorian Health Promotion Foundation, Melbourne. Retrieved 18 January 2021, from https://www.vichealth.vic.gov.au/search/streets-ahead-evaluation-report-2008-2011</w:t>
      </w:r>
    </w:p>
    <w:p w14:paraId="2EC659DE"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Ward, T., Goldingay, S., &amp; Parson, J. (2017): Evaluating a supported nature play programme, parents’ perspectives, Early Child Development and Care, DOI: https://doi.org/10.1080/03004430.2017.1317764 </w:t>
      </w:r>
    </w:p>
    <w:p w14:paraId="0A726315"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We Dundee (n.d.). We Dundee Q1 Data Report. </w:t>
      </w:r>
      <w:hyperlink r:id="rId231">
        <w:r w:rsidRPr="008F0FAA">
          <w:rPr>
            <w:rStyle w:val="Hyperlink"/>
            <w:rFonts w:asciiTheme="majorHAnsi" w:eastAsia="Calibri Light" w:hAnsiTheme="majorHAnsi" w:cstheme="majorHAnsi"/>
            <w:sz w:val="23"/>
            <w:szCs w:val="23"/>
          </w:rPr>
          <w:t>https://wedundee.com/wp-content/uploads/We-Dundee-Q1-Data-Report.pdf</w:t>
        </w:r>
      </w:hyperlink>
    </w:p>
    <w:p w14:paraId="614FD067"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Wendt, S., Seymour, K., &amp; Natalier, K. (2019). An innovative way to counter domestic violence: provide housing for abusers. Retrieved 20 January 2021, from https://theconversation.com/an-innovative-way-to-counter-domestic-violence-provide-housing-for-abusers-116597</w:t>
      </w:r>
    </w:p>
    <w:p w14:paraId="4DFAECF6"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What is Whittington Works? (2013). Presentation: Place Based Community Strengthening Forum Camperdown. Retrieved 8 January 2021, from https://www.deakin.edu.au/__data/assets/pdf_file/0008/276137/Whittington-Works.pdf  </w:t>
      </w:r>
    </w:p>
    <w:p w14:paraId="2E6188A3"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Whittington Works. (2019). Retrieved 8 January 2021, from https://www.geelongaustralia.com.au/news/item/8d6d234756614a0.aspx</w:t>
      </w:r>
    </w:p>
    <w:p w14:paraId="6EC3A4F0" w14:textId="77777777" w:rsidR="0098093C" w:rsidRPr="008F0FAA" w:rsidRDefault="0098093C" w:rsidP="00173A3F">
      <w:pPr>
        <w:spacing w:after="0" w:line="240" w:lineRule="auto"/>
        <w:ind w:left="709" w:hanging="720"/>
        <w:rPr>
          <w:rFonts w:asciiTheme="majorHAnsi" w:hAnsiTheme="majorHAnsi" w:cstheme="majorHAnsi"/>
          <w:sz w:val="23"/>
          <w:szCs w:val="23"/>
        </w:rPr>
      </w:pPr>
      <w:r w:rsidRPr="008F0FAA">
        <w:rPr>
          <w:rFonts w:asciiTheme="majorHAnsi" w:eastAsia="Calibri Light" w:hAnsiTheme="majorHAnsi" w:cstheme="majorHAnsi"/>
          <w:sz w:val="23"/>
          <w:szCs w:val="23"/>
        </w:rPr>
        <w:t xml:space="preserve">Wood, E. (2020). Angel Next Door is a high-tech way to do a basic good deed. Retrieved 18 January 2021, from </w:t>
      </w:r>
      <w:hyperlink r:id="rId232">
        <w:r w:rsidRPr="008F0FAA">
          <w:rPr>
            <w:rStyle w:val="Hyperlink"/>
            <w:rFonts w:asciiTheme="majorHAnsi" w:eastAsia="Calibri Light" w:hAnsiTheme="majorHAnsi" w:cstheme="majorHAnsi"/>
            <w:sz w:val="23"/>
            <w:szCs w:val="23"/>
          </w:rPr>
          <w:t>https://www.thesenior.com.au/story/6741089/app-brings-help-to-neighbours-in-need/</w:t>
        </w:r>
      </w:hyperlink>
    </w:p>
    <w:p w14:paraId="629B6F37"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Wood, G. and Cigdem, M. (2012) Cost-effective methods for evaluation of Neighbourhood Renewal programs, AHURI Final Report No.198. Melbourne: Australian Housing and Urban Research Institute.</w:t>
      </w:r>
    </w:p>
    <w:p w14:paraId="00067DB5"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Wood, G. (2014). Neighbourhood renewal programs produce substantial non-housing benefits. AHURI Research and Policy Bulletin, Issue 168, </w:t>
      </w:r>
      <w:hyperlink r:id="rId233">
        <w:r w:rsidRPr="008F0FAA">
          <w:rPr>
            <w:rStyle w:val="Hyperlink"/>
            <w:rFonts w:asciiTheme="majorHAnsi" w:eastAsia="Calibri Light" w:hAnsiTheme="majorHAnsi" w:cstheme="majorHAnsi"/>
            <w:sz w:val="23"/>
            <w:szCs w:val="23"/>
          </w:rPr>
          <w:t>https://www.ahuri.edu.au/__data/assets/pdf_file/0018/3087/AHURI_RAP_Issue_168_Neighbourhood-renewal-programs-produce-substantial-non-housing-benefits.pdf</w:t>
        </w:r>
      </w:hyperlink>
    </w:p>
    <w:p w14:paraId="14112B60" w14:textId="77777777" w:rsidR="0098093C" w:rsidRPr="008F0FAA" w:rsidRDefault="0098093C" w:rsidP="00173A3F">
      <w:pPr>
        <w:spacing w:after="0" w:line="240" w:lineRule="auto"/>
        <w:ind w:left="709" w:hanging="720"/>
        <w:rPr>
          <w:rFonts w:asciiTheme="majorHAnsi" w:eastAsia="Calibri Light" w:hAnsiTheme="majorHAnsi" w:cstheme="majorHAnsi"/>
          <w:sz w:val="23"/>
          <w:szCs w:val="23"/>
        </w:rPr>
      </w:pPr>
      <w:r w:rsidRPr="008F0FAA">
        <w:rPr>
          <w:rFonts w:asciiTheme="majorHAnsi" w:eastAsia="Calibri Light" w:hAnsiTheme="majorHAnsi" w:cstheme="majorHAnsi"/>
          <w:sz w:val="23"/>
          <w:szCs w:val="23"/>
        </w:rPr>
        <w:t xml:space="preserve">Wulff, M. and S. Evans (1999). The Spatial Impacts of Commonwealth Rent Assistance on Australia's Low-Income Households. Australia's Housing Choices. M. Wulff and J. Yates. Queensland, University of Queensland Press and the Australian Housing and Urban Research Institute. </w:t>
      </w:r>
    </w:p>
    <w:p w14:paraId="37B4B1B0" w14:textId="77777777" w:rsidR="00203685" w:rsidRDefault="0098093C" w:rsidP="00203685">
      <w:pPr>
        <w:spacing w:after="0" w:line="240" w:lineRule="auto"/>
        <w:ind w:left="709" w:hanging="720"/>
        <w:rPr>
          <w:b/>
          <w:bCs/>
          <w:sz w:val="23"/>
          <w:szCs w:val="23"/>
        </w:rPr>
      </w:pPr>
      <w:r w:rsidRPr="008F0FAA">
        <w:rPr>
          <w:rFonts w:asciiTheme="majorHAnsi" w:eastAsia="Calibri Light" w:hAnsiTheme="majorHAnsi" w:cstheme="majorHAnsi"/>
          <w:sz w:val="23"/>
          <w:szCs w:val="23"/>
        </w:rPr>
        <w:t>Young, E. &amp; Hermanson, V. (2013). Liveability Literature Review: Synthesis of Current Practice. TRB 92nd Annual Meeting: Compendium of Papers.</w:t>
      </w:r>
    </w:p>
    <w:p w14:paraId="79CEBB9B" w14:textId="77777777" w:rsidR="00203685" w:rsidRDefault="00203685" w:rsidP="00203685">
      <w:pPr>
        <w:spacing w:after="0" w:line="240" w:lineRule="auto"/>
        <w:ind w:left="709" w:hanging="720"/>
        <w:rPr>
          <w:b/>
          <w:bCs/>
          <w:sz w:val="23"/>
          <w:szCs w:val="23"/>
        </w:rPr>
      </w:pPr>
    </w:p>
    <w:p w14:paraId="204CD70A" w14:textId="2A116EA7" w:rsidR="003E50BA" w:rsidRPr="00203685" w:rsidRDefault="003E50BA" w:rsidP="00203685">
      <w:pPr>
        <w:spacing w:after="0" w:line="240" w:lineRule="auto"/>
        <w:ind w:left="709" w:hanging="720"/>
        <w:rPr>
          <w:rFonts w:asciiTheme="majorHAnsi" w:eastAsia="Calibri Light" w:hAnsiTheme="majorHAnsi" w:cstheme="majorHAnsi"/>
          <w:sz w:val="23"/>
          <w:szCs w:val="23"/>
        </w:rPr>
      </w:pPr>
      <w:r w:rsidRPr="00173A3F">
        <w:rPr>
          <w:rFonts w:eastAsiaTheme="minorEastAsia" w:cstheme="minorHAnsi"/>
          <w:b/>
          <w:bCs/>
          <w:color w:val="2F5496" w:themeColor="accent1" w:themeShade="BF"/>
          <w:sz w:val="36"/>
          <w:szCs w:val="36"/>
        </w:rPr>
        <w:t>Part B</w:t>
      </w:r>
      <w:r w:rsidR="00E203BC">
        <w:rPr>
          <w:rFonts w:eastAsiaTheme="minorEastAsia" w:cstheme="minorHAnsi"/>
          <w:b/>
          <w:bCs/>
          <w:color w:val="2F5496" w:themeColor="accent1" w:themeShade="BF"/>
          <w:sz w:val="36"/>
          <w:szCs w:val="36"/>
        </w:rPr>
        <w:t xml:space="preserve">: </w:t>
      </w:r>
      <w:r w:rsidR="00940D80">
        <w:rPr>
          <w:rFonts w:eastAsiaTheme="minorEastAsia" w:cstheme="minorHAnsi"/>
          <w:b/>
          <w:bCs/>
          <w:color w:val="2F5496" w:themeColor="accent1" w:themeShade="BF"/>
          <w:sz w:val="36"/>
          <w:szCs w:val="36"/>
        </w:rPr>
        <w:t>COVID</w:t>
      </w:r>
      <w:r w:rsidR="00E203BC">
        <w:rPr>
          <w:rFonts w:eastAsiaTheme="minorEastAsia" w:cstheme="minorHAnsi"/>
          <w:b/>
          <w:bCs/>
          <w:color w:val="2F5496" w:themeColor="accent1" w:themeShade="BF"/>
          <w:sz w:val="36"/>
          <w:szCs w:val="36"/>
        </w:rPr>
        <w:t>-19 Impact Study</w:t>
      </w:r>
    </w:p>
    <w:p w14:paraId="77219C86" w14:textId="77777777" w:rsidR="003E50BA" w:rsidRPr="00D7750B" w:rsidRDefault="003E50BA" w:rsidP="00173A3F">
      <w:pPr>
        <w:spacing w:after="0" w:line="240" w:lineRule="auto"/>
        <w:rPr>
          <w:rFonts w:asciiTheme="majorHAnsi" w:eastAsiaTheme="minorEastAsia" w:hAnsiTheme="majorHAnsi" w:cstheme="majorHAnsi"/>
          <w:b/>
          <w:bCs/>
          <w:sz w:val="23"/>
          <w:szCs w:val="23"/>
        </w:rPr>
      </w:pPr>
    </w:p>
    <w:p w14:paraId="3EE26723"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.id consulting pty ltd. (2021). Affordability &amp; Availability City of Greater Geelong. Retrieved from https://housing.id.com.au/geelong/affordability-and-availability#how.affordable.renting</w:t>
      </w:r>
    </w:p>
    <w:p w14:paraId="0E9B6EA7"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ABS. (2020). Labour Force, Australia: November 2020. Retrieved from https://www.abs.gov.au/statistics/labour/employment-and-unemployment/labour-force-australia/nov-2020#data-download</w:t>
      </w:r>
    </w:p>
    <w:p w14:paraId="7BF0B456"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Advanced Manufacturing Growth Centre. (2018). </w:t>
      </w:r>
      <w:r w:rsidRPr="00D7750B">
        <w:rPr>
          <w:rFonts w:asciiTheme="majorHAnsi" w:hAnsiTheme="majorHAnsi" w:cstheme="majorHAnsi"/>
          <w:i/>
          <w:noProof/>
          <w:sz w:val="23"/>
          <w:szCs w:val="23"/>
        </w:rPr>
        <w:t>Industry 4.0: an opportunity for every Australian manufacturer</w:t>
      </w:r>
      <w:r w:rsidRPr="00D7750B">
        <w:rPr>
          <w:rFonts w:asciiTheme="majorHAnsi" w:hAnsiTheme="majorHAnsi" w:cstheme="majorHAnsi"/>
          <w:noProof/>
          <w:sz w:val="23"/>
          <w:szCs w:val="23"/>
        </w:rPr>
        <w:t>. Retrieved from https://www.amgc.org.au/wp-content/uploads/2018/11/AMGC_Industry-4.0-An-opportunity-for-every-Australian-Manufacturer-.pdf</w:t>
      </w:r>
    </w:p>
    <w:p w14:paraId="5C4345DF"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lastRenderedPageBreak/>
        <w:t xml:space="preserve">Agarwal, S., Ambrose, B., Lopez, L., &amp; Xiao, X. (2020). Did the Payment Protection Program Help Small Businesses? Evidence from Commercial Mortgage-backed Securities. </w:t>
      </w:r>
    </w:p>
    <w:p w14:paraId="1BDC54F4" w14:textId="3D57AD44"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Agrawal, S., De Smet, A., Lacroix, S., &amp; Reich, A. (2020). To emerge stronger from the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crisis, companies should start reskilling their workforces now. </w:t>
      </w:r>
      <w:r w:rsidRPr="00D7750B">
        <w:rPr>
          <w:rFonts w:asciiTheme="majorHAnsi" w:hAnsiTheme="majorHAnsi" w:cstheme="majorHAnsi"/>
          <w:i/>
          <w:noProof/>
          <w:sz w:val="23"/>
          <w:szCs w:val="23"/>
        </w:rPr>
        <w:t>McKinsey Insights (Issue May)</w:t>
      </w:r>
      <w:r w:rsidRPr="00D7750B">
        <w:rPr>
          <w:rFonts w:asciiTheme="majorHAnsi" w:hAnsiTheme="majorHAnsi" w:cstheme="majorHAnsi"/>
          <w:noProof/>
          <w:sz w:val="23"/>
          <w:szCs w:val="23"/>
        </w:rPr>
        <w:t xml:space="preserve">. </w:t>
      </w:r>
    </w:p>
    <w:p w14:paraId="6EB3DF6B"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Ambrus, A., Field, E., &amp; Gonzalez, R. (2020). Loss in the time of cholera: Long-run impact of a disease epidemic on the urban landscape. </w:t>
      </w:r>
      <w:r w:rsidRPr="00D7750B">
        <w:rPr>
          <w:rFonts w:asciiTheme="majorHAnsi" w:hAnsiTheme="majorHAnsi" w:cstheme="majorHAnsi"/>
          <w:i/>
          <w:noProof/>
          <w:sz w:val="23"/>
          <w:szCs w:val="23"/>
        </w:rPr>
        <w:t>American Economic Review, 110</w:t>
      </w:r>
      <w:r w:rsidRPr="00D7750B">
        <w:rPr>
          <w:rFonts w:asciiTheme="majorHAnsi" w:hAnsiTheme="majorHAnsi" w:cstheme="majorHAnsi"/>
          <w:noProof/>
          <w:sz w:val="23"/>
          <w:szCs w:val="23"/>
        </w:rPr>
        <w:t xml:space="preserve">(2), 475-525. </w:t>
      </w:r>
    </w:p>
    <w:p w14:paraId="058EF05B" w14:textId="5524A1D3"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Anderson, H., Caggiano, G., Vahid, F., &amp; Wong, B. (2020). Sectoral Employment Dynamics in Australia and the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Pandemic. </w:t>
      </w:r>
      <w:r w:rsidRPr="00D7750B">
        <w:rPr>
          <w:rFonts w:asciiTheme="majorHAnsi" w:hAnsiTheme="majorHAnsi" w:cstheme="majorHAnsi"/>
          <w:i/>
          <w:noProof/>
          <w:sz w:val="23"/>
          <w:szCs w:val="23"/>
        </w:rPr>
        <w:t>Australian Economic Review, 53</w:t>
      </w:r>
      <w:r w:rsidRPr="00D7750B">
        <w:rPr>
          <w:rFonts w:asciiTheme="majorHAnsi" w:hAnsiTheme="majorHAnsi" w:cstheme="majorHAnsi"/>
          <w:noProof/>
          <w:sz w:val="23"/>
          <w:szCs w:val="23"/>
        </w:rPr>
        <w:t xml:space="preserve">(3), 402-414. </w:t>
      </w:r>
    </w:p>
    <w:p w14:paraId="57A77680"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Andrews, D., Deutscher, N., Hambur, J., &amp; Hansell, D. (2020). The career effects of labour market conditions at entry. </w:t>
      </w:r>
    </w:p>
    <w:p w14:paraId="4E79E31E"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Australian Bureau of Statistics. (2006). </w:t>
      </w:r>
      <w:r w:rsidRPr="00D7750B">
        <w:rPr>
          <w:rFonts w:asciiTheme="majorHAnsi" w:hAnsiTheme="majorHAnsi" w:cstheme="majorHAnsi"/>
          <w:i/>
          <w:noProof/>
          <w:sz w:val="23"/>
          <w:szCs w:val="23"/>
        </w:rPr>
        <w:t>Census of population and housing</w:t>
      </w:r>
      <w:r w:rsidRPr="00D7750B">
        <w:rPr>
          <w:rFonts w:asciiTheme="majorHAnsi" w:hAnsiTheme="majorHAnsi" w:cstheme="majorHAnsi"/>
          <w:noProof/>
          <w:sz w:val="23"/>
          <w:szCs w:val="23"/>
        </w:rPr>
        <w:t xml:space="preserve">. Retrieved from Canberra: </w:t>
      </w:r>
    </w:p>
    <w:p w14:paraId="350ACED7"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Australian Bureau of Statistics. (2011). </w:t>
      </w:r>
      <w:r w:rsidRPr="00D7750B">
        <w:rPr>
          <w:rFonts w:asciiTheme="majorHAnsi" w:hAnsiTheme="majorHAnsi" w:cstheme="majorHAnsi"/>
          <w:i/>
          <w:noProof/>
          <w:sz w:val="23"/>
          <w:szCs w:val="23"/>
        </w:rPr>
        <w:t>Census of population and housing</w:t>
      </w:r>
      <w:r w:rsidRPr="00D7750B">
        <w:rPr>
          <w:rFonts w:asciiTheme="majorHAnsi" w:hAnsiTheme="majorHAnsi" w:cstheme="majorHAnsi"/>
          <w:noProof/>
          <w:sz w:val="23"/>
          <w:szCs w:val="23"/>
        </w:rPr>
        <w:t xml:space="preserve">. Retrieved from </w:t>
      </w:r>
    </w:p>
    <w:p w14:paraId="7AADD8E1"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Australian Bureau of Statistics. (2016). Census of population and housing. Retrieved from https://www.abs.gov.au/websitedbs/D3310114.nsf/Home/Census?OpenDocument&amp;ref=topBar</w:t>
      </w:r>
    </w:p>
    <w:p w14:paraId="7A663A94"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Australian Government. (2013). </w:t>
      </w:r>
      <w:r w:rsidRPr="00D7750B">
        <w:rPr>
          <w:rFonts w:asciiTheme="majorHAnsi" w:hAnsiTheme="majorHAnsi" w:cstheme="majorHAnsi"/>
          <w:i/>
          <w:noProof/>
          <w:sz w:val="23"/>
          <w:szCs w:val="23"/>
        </w:rPr>
        <w:t>Overview of the Geelong Priority Employment Area</w:t>
      </w:r>
      <w:r w:rsidRPr="00D7750B">
        <w:rPr>
          <w:rFonts w:asciiTheme="majorHAnsi" w:hAnsiTheme="majorHAnsi" w:cstheme="majorHAnsi"/>
          <w:noProof/>
          <w:sz w:val="23"/>
          <w:szCs w:val="23"/>
        </w:rPr>
        <w:t xml:space="preserve">. Retrieved from Canberra: </w:t>
      </w:r>
    </w:p>
    <w:p w14:paraId="3EE22FEF" w14:textId="3FA7480F"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Australian Government Department of Health. (2020). Government launches new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 mental health clinics in Victoria [Press release]. Retrieved from https://www.health.gov.au/ministers/the-hon-greg-hunt-mp/media/government-launches-new-</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-19-mental-health-clinics-in-victoria</w:t>
      </w:r>
    </w:p>
    <w:p w14:paraId="0655BA85"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Australian government National Skills Commission. (2021). Unemployment rate. Retrieved from https://www.employment.gov.au/NSC</w:t>
      </w:r>
    </w:p>
    <w:p w14:paraId="21E139DD" w14:textId="5C822B51"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Baker, S. R., Farrokhnia, R. A., Meyer, S., Pagel, M., &amp; Yannelis, C. (2020). How does household spending respond to an epidemic? Consumption during the 2020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pandemic. </w:t>
      </w:r>
      <w:r w:rsidRPr="00D7750B">
        <w:rPr>
          <w:rFonts w:asciiTheme="majorHAnsi" w:hAnsiTheme="majorHAnsi" w:cstheme="majorHAnsi"/>
          <w:i/>
          <w:noProof/>
          <w:sz w:val="23"/>
          <w:szCs w:val="23"/>
        </w:rPr>
        <w:t>The Review of Asset Pricing Studies, 10</w:t>
      </w:r>
      <w:r w:rsidRPr="00D7750B">
        <w:rPr>
          <w:rFonts w:asciiTheme="majorHAnsi" w:hAnsiTheme="majorHAnsi" w:cstheme="majorHAnsi"/>
          <w:noProof/>
          <w:sz w:val="23"/>
          <w:szCs w:val="23"/>
        </w:rPr>
        <w:t xml:space="preserve">(4), 834-862. </w:t>
      </w:r>
    </w:p>
    <w:p w14:paraId="587599F1"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Bellarine LLC. (2019). </w:t>
      </w:r>
      <w:r w:rsidRPr="00D7750B">
        <w:rPr>
          <w:rFonts w:asciiTheme="majorHAnsi" w:hAnsiTheme="majorHAnsi" w:cstheme="majorHAnsi"/>
          <w:i/>
          <w:noProof/>
          <w:sz w:val="23"/>
          <w:szCs w:val="23"/>
        </w:rPr>
        <w:t>Community Engagement Project</w:t>
      </w:r>
      <w:r w:rsidRPr="00D7750B">
        <w:rPr>
          <w:rFonts w:asciiTheme="majorHAnsi" w:hAnsiTheme="majorHAnsi" w:cstheme="majorHAnsi"/>
          <w:noProof/>
          <w:sz w:val="23"/>
          <w:szCs w:val="23"/>
        </w:rPr>
        <w:t>. Retrieved from https://bllc.org.au/</w:t>
      </w:r>
    </w:p>
    <w:p w14:paraId="329F9768" w14:textId="7BB6D6D6"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Belton, K. (2020).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 makes the case for resilient manufacturing. In: IndustryWeek.</w:t>
      </w:r>
    </w:p>
    <w:p w14:paraId="2F8036FE" w14:textId="70666DE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Bentley, S. (2020). Social Isolation. In J. Jetten, S. Reicher, S. Haslam, &amp; T. Cruwys (Eds.), </w:t>
      </w:r>
      <w:r w:rsidRPr="00D7750B">
        <w:rPr>
          <w:rFonts w:asciiTheme="majorHAnsi" w:hAnsiTheme="majorHAnsi" w:cstheme="majorHAnsi"/>
          <w:i/>
          <w:noProof/>
          <w:sz w:val="23"/>
          <w:szCs w:val="23"/>
        </w:rPr>
        <w:t xml:space="preserve">Together apart: The psychology of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w:t>
      </w:r>
      <w:r w:rsidRPr="00D7750B">
        <w:rPr>
          <w:rFonts w:asciiTheme="majorHAnsi" w:hAnsiTheme="majorHAnsi" w:cstheme="majorHAnsi"/>
          <w:noProof/>
          <w:sz w:val="23"/>
          <w:szCs w:val="23"/>
        </w:rPr>
        <w:t>. London: Sage.</w:t>
      </w:r>
    </w:p>
    <w:p w14:paraId="64CA6951"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Boland, M. (2020). Coronavirus has shut down Australia's arts industry but artists say the Government has ignored them. Retrieved from https://www.abc.net.au/news/2020-04-08/arts-sector-say-need-emergency-funding-to-survive-shutdown/12130398</w:t>
      </w:r>
    </w:p>
    <w:p w14:paraId="30717D52" w14:textId="07E5236D" w:rsidR="006F1D95" w:rsidRPr="00D7750B" w:rsidRDefault="006F1D95"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Borrello, E. (2020). Can HomeBuilder be used as a deposit? Questions leave prospective house buyers confused: There’s been a frenzy of interest in the federal government's HomeBuilder scheme, but confusion remains among frustrated prospective buyers. ABC Premium News, 11 June. Retrieved from http://ezproxy.deakin.edu.au/login?url=https://www-proquest-com.ezproxy-f.deakin.edu.au/wire-feeds/can-homebuilder-be-used-as-deposit-questions/docview/2411670462/se-2?accountid=10445</w:t>
      </w:r>
    </w:p>
    <w:p w14:paraId="4437275C" w14:textId="098E3AC6"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C40 Knowledge Hub. (2020). Mitigating the economic impact of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 Retrieved from https://www.c40knowledgehub.org/s/article/Mitigating-the-economic-impact-of-</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-19?language=en_US</w:t>
      </w:r>
    </w:p>
    <w:p w14:paraId="12EDD395" w14:textId="476CCF4C"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Capponi, A., &amp; Rios, D. A. (2020).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Mortgage Forbearance: Implications on the Housing Market. </w:t>
      </w:r>
      <w:r w:rsidRPr="00D7750B">
        <w:rPr>
          <w:rFonts w:asciiTheme="majorHAnsi" w:hAnsiTheme="majorHAnsi" w:cstheme="majorHAnsi"/>
          <w:i/>
          <w:noProof/>
          <w:sz w:val="23"/>
          <w:szCs w:val="23"/>
        </w:rPr>
        <w:t>Available at SSRN 3618776</w:t>
      </w:r>
      <w:r w:rsidRPr="00D7750B">
        <w:rPr>
          <w:rFonts w:asciiTheme="majorHAnsi" w:hAnsiTheme="majorHAnsi" w:cstheme="majorHAnsi"/>
          <w:noProof/>
          <w:sz w:val="23"/>
          <w:szCs w:val="23"/>
        </w:rPr>
        <w:t xml:space="preserve">. </w:t>
      </w:r>
    </w:p>
    <w:p w14:paraId="48DAC8D4" w14:textId="650DEB0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Caputo, E. L., &amp; Reichert, F. F. (2020). Studies of physical activity and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during the pandemic: a scoping review. </w:t>
      </w:r>
      <w:r w:rsidRPr="00D7750B">
        <w:rPr>
          <w:rFonts w:asciiTheme="majorHAnsi" w:hAnsiTheme="majorHAnsi" w:cstheme="majorHAnsi"/>
          <w:i/>
          <w:noProof/>
          <w:sz w:val="23"/>
          <w:szCs w:val="23"/>
        </w:rPr>
        <w:t>Journal of Physical Activity and Health, 1</w:t>
      </w:r>
      <w:r w:rsidRPr="00D7750B">
        <w:rPr>
          <w:rFonts w:asciiTheme="majorHAnsi" w:hAnsiTheme="majorHAnsi" w:cstheme="majorHAnsi"/>
          <w:noProof/>
          <w:sz w:val="23"/>
          <w:szCs w:val="23"/>
        </w:rPr>
        <w:t xml:space="preserve">(aop), 1-10. </w:t>
      </w:r>
    </w:p>
    <w:p w14:paraId="0C5754B8" w14:textId="7442608E"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Casey, S., &amp; Lewis, A. (2020). </w:t>
      </w:r>
      <w:r w:rsidRPr="00D7750B">
        <w:rPr>
          <w:rFonts w:asciiTheme="majorHAnsi" w:hAnsiTheme="majorHAnsi" w:cstheme="majorHAnsi"/>
          <w:i/>
          <w:noProof/>
          <w:sz w:val="23"/>
          <w:szCs w:val="23"/>
        </w:rPr>
        <w:t xml:space="preserve">Redesigning employment services after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w:t>
      </w:r>
      <w:r w:rsidRPr="00D7750B">
        <w:rPr>
          <w:rFonts w:asciiTheme="majorHAnsi" w:hAnsiTheme="majorHAnsi" w:cstheme="majorHAnsi"/>
          <w:noProof/>
          <w:sz w:val="23"/>
          <w:szCs w:val="23"/>
        </w:rPr>
        <w:t>: Per Capita.</w:t>
      </w:r>
    </w:p>
    <w:p w14:paraId="0D59D94F"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Cattapan, A., Acker-Verney, J. M., Dobrowolsky, A., Findlay, T., &amp; Mandrona, A. (2020). Community Engagement in a Time of Confinement. </w:t>
      </w:r>
      <w:r w:rsidRPr="00D7750B">
        <w:rPr>
          <w:rFonts w:asciiTheme="majorHAnsi" w:hAnsiTheme="majorHAnsi" w:cstheme="majorHAnsi"/>
          <w:i/>
          <w:noProof/>
          <w:sz w:val="23"/>
          <w:szCs w:val="23"/>
        </w:rPr>
        <w:t>Canadian Public Policy, 46</w:t>
      </w:r>
      <w:r w:rsidRPr="00D7750B">
        <w:rPr>
          <w:rFonts w:asciiTheme="majorHAnsi" w:hAnsiTheme="majorHAnsi" w:cstheme="majorHAnsi"/>
          <w:noProof/>
          <w:sz w:val="23"/>
          <w:szCs w:val="23"/>
        </w:rPr>
        <w:t>. doi:http://dx.doi.org/10.3138/cpp.2020-064</w:t>
      </w:r>
    </w:p>
    <w:p w14:paraId="622683D6" w14:textId="65F715DB" w:rsidR="0097328E" w:rsidRPr="00D7750B" w:rsidRDefault="0097328E" w:rsidP="0097328E">
      <w:pPr>
        <w:pStyle w:val="EndNoteBibliography"/>
        <w:ind w:left="720" w:hanging="720"/>
        <w:rPr>
          <w:rFonts w:asciiTheme="majorHAnsi" w:hAnsiTheme="majorHAnsi" w:cstheme="majorHAnsi"/>
          <w:noProof/>
          <w:sz w:val="23"/>
          <w:szCs w:val="23"/>
          <w:lang w:val="en-AU"/>
        </w:rPr>
      </w:pPr>
      <w:r w:rsidRPr="00D7750B">
        <w:rPr>
          <w:rFonts w:asciiTheme="majorHAnsi" w:hAnsiTheme="majorHAnsi" w:cstheme="majorHAnsi"/>
          <w:noProof/>
          <w:sz w:val="23"/>
          <w:szCs w:val="23"/>
          <w:lang w:val="en-AU"/>
        </w:rPr>
        <w:lastRenderedPageBreak/>
        <w:t>Caust, J. (2020). The arts needed a champion – it got a package to prop up the major players 100 days later, The Conversation, 25 June 25, https://theconversation.com/the-arts-needed-a-champion-it-got-a-package-to-prop-up-the-major-players-100-days-later-141444</w:t>
      </w:r>
    </w:p>
    <w:p w14:paraId="5E37E30E" w14:textId="0A7A781E" w:rsidR="004D0C88" w:rsidRPr="00D7750B" w:rsidRDefault="004D0C88" w:rsidP="004D0C88">
      <w:pPr>
        <w:pStyle w:val="EndNoteBibliography"/>
        <w:ind w:left="720" w:hanging="720"/>
        <w:rPr>
          <w:rFonts w:asciiTheme="majorHAnsi" w:hAnsiTheme="majorHAnsi" w:cstheme="majorHAnsi"/>
          <w:noProof/>
          <w:sz w:val="23"/>
          <w:szCs w:val="23"/>
          <w:lang w:val="en-AU"/>
        </w:rPr>
      </w:pPr>
      <w:r w:rsidRPr="00D7750B">
        <w:rPr>
          <w:rFonts w:asciiTheme="majorHAnsi" w:hAnsiTheme="majorHAnsi" w:cstheme="majorHAnsi"/>
          <w:noProof/>
          <w:sz w:val="23"/>
          <w:szCs w:val="23"/>
          <w:lang w:val="en-AU"/>
        </w:rPr>
        <w:t>Chalmers, S. (2020). ‘Predictions house prices could fall by 30 per cent in worst-case scenario as coronavirus restrictions bite,’ The Guardian, 24 April, https://www.abc.net.au/news/2020-04-24/worst-case-scenario-house-prices-fall-30pc-coronavirus-shutdown/12177084</w:t>
      </w:r>
    </w:p>
    <w:p w14:paraId="4AF26398" w14:textId="3487F111"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Churchill, B. (2020).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and the immediate impact on young people and employment in Australia: A gendered analysis. </w:t>
      </w:r>
      <w:r w:rsidRPr="00D7750B">
        <w:rPr>
          <w:rFonts w:asciiTheme="majorHAnsi" w:hAnsiTheme="majorHAnsi" w:cstheme="majorHAnsi"/>
          <w:i/>
          <w:noProof/>
          <w:sz w:val="23"/>
          <w:szCs w:val="23"/>
        </w:rPr>
        <w:t>Gender, Work &amp; Organization</w:t>
      </w:r>
      <w:r w:rsidRPr="00D7750B">
        <w:rPr>
          <w:rFonts w:asciiTheme="majorHAnsi" w:hAnsiTheme="majorHAnsi" w:cstheme="majorHAnsi"/>
          <w:noProof/>
          <w:sz w:val="23"/>
          <w:szCs w:val="23"/>
        </w:rPr>
        <w:t xml:space="preserve">. </w:t>
      </w:r>
    </w:p>
    <w:p w14:paraId="4FE3AB63"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City of Greater Geelong. Regional Industry Sector Employment program (RISE). Retrieved from https://www.geelongaustralia.com.au/business/sectors/article/item/8d5c7c532182c14.aspx</w:t>
      </w:r>
    </w:p>
    <w:p w14:paraId="6C32E7C1"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Greater Geelong. (2011-2014). </w:t>
      </w:r>
      <w:r w:rsidRPr="00D7750B">
        <w:rPr>
          <w:rFonts w:asciiTheme="majorHAnsi" w:hAnsiTheme="majorHAnsi" w:cstheme="majorHAnsi"/>
          <w:i/>
          <w:noProof/>
          <w:sz w:val="23"/>
          <w:szCs w:val="23"/>
        </w:rPr>
        <w:t>Multicultural Action Plan</w:t>
      </w:r>
      <w:r w:rsidRPr="00D7750B">
        <w:rPr>
          <w:rFonts w:asciiTheme="majorHAnsi" w:hAnsiTheme="majorHAnsi" w:cstheme="majorHAnsi"/>
          <w:noProof/>
          <w:sz w:val="23"/>
          <w:szCs w:val="23"/>
        </w:rPr>
        <w:t xml:space="preserve">. Retrieved from </w:t>
      </w:r>
    </w:p>
    <w:p w14:paraId="77F1BB70"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Greater Geelong. (2013). </w:t>
      </w:r>
      <w:r w:rsidRPr="00D7750B">
        <w:rPr>
          <w:rFonts w:asciiTheme="majorHAnsi" w:hAnsiTheme="majorHAnsi" w:cstheme="majorHAnsi"/>
          <w:i/>
          <w:noProof/>
          <w:sz w:val="23"/>
          <w:szCs w:val="23"/>
        </w:rPr>
        <w:t>Connecting People, Place and Environment – A public art strategy for the City of Greater Geelong</w:t>
      </w:r>
      <w:r w:rsidRPr="00D7750B">
        <w:rPr>
          <w:rFonts w:asciiTheme="majorHAnsi" w:hAnsiTheme="majorHAnsi" w:cstheme="majorHAnsi"/>
          <w:noProof/>
          <w:sz w:val="23"/>
          <w:szCs w:val="23"/>
        </w:rPr>
        <w:t>. Retrieved from https://www.geelongaustralia.com.au/artstrategy/documents/item/8cf646ba0e0b1a6.aspx</w:t>
      </w:r>
    </w:p>
    <w:p w14:paraId="0FB0C049"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Greater Geelong. (2014-2017). </w:t>
      </w:r>
      <w:r w:rsidRPr="00D7750B">
        <w:rPr>
          <w:rFonts w:asciiTheme="majorHAnsi" w:hAnsiTheme="majorHAnsi" w:cstheme="majorHAnsi"/>
          <w:i/>
          <w:noProof/>
          <w:sz w:val="23"/>
          <w:szCs w:val="23"/>
        </w:rPr>
        <w:t>Karreenga Aboriginal Action Plan</w:t>
      </w:r>
      <w:r w:rsidRPr="00D7750B">
        <w:rPr>
          <w:rFonts w:asciiTheme="majorHAnsi" w:hAnsiTheme="majorHAnsi" w:cstheme="majorHAnsi"/>
          <w:noProof/>
          <w:sz w:val="23"/>
          <w:szCs w:val="23"/>
        </w:rPr>
        <w:t xml:space="preserve">. Retrieved from </w:t>
      </w:r>
    </w:p>
    <w:p w14:paraId="0ACD6918"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Greater Geelong. (2016-2020). </w:t>
      </w:r>
      <w:r w:rsidRPr="00D7750B">
        <w:rPr>
          <w:rFonts w:asciiTheme="majorHAnsi" w:hAnsiTheme="majorHAnsi" w:cstheme="majorHAnsi"/>
          <w:i/>
          <w:noProof/>
          <w:sz w:val="23"/>
          <w:szCs w:val="23"/>
        </w:rPr>
        <w:t>Strategic Plan Preventing and Addressing Violence Against Women and Children</w:t>
      </w:r>
      <w:r w:rsidRPr="00D7750B">
        <w:rPr>
          <w:rFonts w:asciiTheme="majorHAnsi" w:hAnsiTheme="majorHAnsi" w:cstheme="majorHAnsi"/>
          <w:noProof/>
          <w:sz w:val="23"/>
          <w:szCs w:val="23"/>
        </w:rPr>
        <w:t>. Retrieved from https://www.geelongaustralia.com.au/womenincommunitylife/documents/item/8d422a6acc732f6.aspx</w:t>
      </w:r>
    </w:p>
    <w:p w14:paraId="05457685"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Greater Geelong. (2017). </w:t>
      </w:r>
      <w:r w:rsidRPr="00D7750B">
        <w:rPr>
          <w:rFonts w:asciiTheme="majorHAnsi" w:hAnsiTheme="majorHAnsi" w:cstheme="majorHAnsi"/>
          <w:i/>
          <w:noProof/>
          <w:sz w:val="23"/>
          <w:szCs w:val="23"/>
        </w:rPr>
        <w:t>Greater Geelong: A clever and creative future</w:t>
      </w:r>
      <w:r w:rsidRPr="00D7750B">
        <w:rPr>
          <w:rFonts w:asciiTheme="majorHAnsi" w:hAnsiTheme="majorHAnsi" w:cstheme="majorHAnsi"/>
          <w:noProof/>
          <w:sz w:val="23"/>
          <w:szCs w:val="23"/>
        </w:rPr>
        <w:t xml:space="preserve">. Retrieved from </w:t>
      </w:r>
    </w:p>
    <w:p w14:paraId="54E073A7"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Greater Geelong. (2018-2021). </w:t>
      </w:r>
      <w:r w:rsidRPr="00D7750B">
        <w:rPr>
          <w:rFonts w:asciiTheme="majorHAnsi" w:hAnsiTheme="majorHAnsi" w:cstheme="majorHAnsi"/>
          <w:i/>
          <w:noProof/>
          <w:sz w:val="23"/>
          <w:szCs w:val="23"/>
        </w:rPr>
        <w:t>Municipal Health and Well-being Plan</w:t>
      </w:r>
      <w:r w:rsidRPr="00D7750B">
        <w:rPr>
          <w:rFonts w:asciiTheme="majorHAnsi" w:hAnsiTheme="majorHAnsi" w:cstheme="majorHAnsi"/>
          <w:noProof/>
          <w:sz w:val="23"/>
          <w:szCs w:val="23"/>
        </w:rPr>
        <w:t xml:space="preserve">. Retrieved from </w:t>
      </w:r>
    </w:p>
    <w:p w14:paraId="41C1B55E"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Greater Geelong. (2018-2022a). </w:t>
      </w:r>
      <w:r w:rsidRPr="00D7750B">
        <w:rPr>
          <w:rFonts w:asciiTheme="majorHAnsi" w:hAnsiTheme="majorHAnsi" w:cstheme="majorHAnsi"/>
          <w:i/>
          <w:noProof/>
          <w:sz w:val="23"/>
          <w:szCs w:val="23"/>
        </w:rPr>
        <w:t>Access and inclusion plan</w:t>
      </w:r>
      <w:r w:rsidRPr="00D7750B">
        <w:rPr>
          <w:rFonts w:asciiTheme="majorHAnsi" w:hAnsiTheme="majorHAnsi" w:cstheme="majorHAnsi"/>
          <w:noProof/>
          <w:sz w:val="23"/>
          <w:szCs w:val="23"/>
        </w:rPr>
        <w:t xml:space="preserve">. Retrieved from </w:t>
      </w:r>
    </w:p>
    <w:p w14:paraId="3F57BFF9"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Greater Geelong. (2018-2022b). </w:t>
      </w:r>
      <w:r w:rsidRPr="00D7750B">
        <w:rPr>
          <w:rFonts w:asciiTheme="majorHAnsi" w:hAnsiTheme="majorHAnsi" w:cstheme="majorHAnsi"/>
          <w:i/>
          <w:noProof/>
          <w:sz w:val="23"/>
          <w:szCs w:val="23"/>
        </w:rPr>
        <w:t>Council Plan-Putting Our Communities First</w:t>
      </w:r>
      <w:r w:rsidRPr="00D7750B">
        <w:rPr>
          <w:rFonts w:asciiTheme="majorHAnsi" w:hAnsiTheme="majorHAnsi" w:cstheme="majorHAnsi"/>
          <w:noProof/>
          <w:sz w:val="23"/>
          <w:szCs w:val="23"/>
        </w:rPr>
        <w:t>. Retrieved from https://www.geelongaustralia.com.au/councilplan/article/item/8ce261df318f5e8.aspx</w:t>
      </w:r>
    </w:p>
    <w:p w14:paraId="246C91B8"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Greater Geelong. (2020a). </w:t>
      </w:r>
      <w:r w:rsidRPr="00D7750B">
        <w:rPr>
          <w:rFonts w:asciiTheme="majorHAnsi" w:hAnsiTheme="majorHAnsi" w:cstheme="majorHAnsi"/>
          <w:i/>
          <w:noProof/>
          <w:sz w:val="23"/>
          <w:szCs w:val="23"/>
        </w:rPr>
        <w:t>Settlement Strategy</w:t>
      </w:r>
      <w:r w:rsidRPr="00D7750B">
        <w:rPr>
          <w:rFonts w:asciiTheme="majorHAnsi" w:hAnsiTheme="majorHAnsi" w:cstheme="majorHAnsi"/>
          <w:noProof/>
          <w:sz w:val="23"/>
          <w:szCs w:val="23"/>
        </w:rPr>
        <w:t>. Retrieved from https://www.geelongaustralia.com.au/planning/documents/item/8d848164a97b196.aspx</w:t>
      </w:r>
    </w:p>
    <w:p w14:paraId="741F06A6"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Greater Geelong. (2020b). </w:t>
      </w:r>
      <w:r w:rsidRPr="00D7750B">
        <w:rPr>
          <w:rFonts w:asciiTheme="majorHAnsi" w:hAnsiTheme="majorHAnsi" w:cstheme="majorHAnsi"/>
          <w:i/>
          <w:noProof/>
          <w:sz w:val="23"/>
          <w:szCs w:val="23"/>
        </w:rPr>
        <w:t>Smart City Strategic Framework</w:t>
      </w:r>
      <w:r w:rsidRPr="00D7750B">
        <w:rPr>
          <w:rFonts w:asciiTheme="majorHAnsi" w:hAnsiTheme="majorHAnsi" w:cstheme="majorHAnsi"/>
          <w:noProof/>
          <w:sz w:val="23"/>
          <w:szCs w:val="23"/>
        </w:rPr>
        <w:t>. Retrieved from https://www.geelongaustralia.com.au/news/item/8d82f15dc2383b7.aspx</w:t>
      </w:r>
    </w:p>
    <w:p w14:paraId="654F0118"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Greater Geelong. (2020-2023). Social infrastructure plan Geelong: City of Greater Geelong. </w:t>
      </w:r>
    </w:p>
    <w:p w14:paraId="22E9DA0D"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Greater Geelong. (2020-2041). </w:t>
      </w:r>
      <w:r w:rsidRPr="00D7750B">
        <w:rPr>
          <w:rFonts w:asciiTheme="majorHAnsi" w:hAnsiTheme="majorHAnsi" w:cstheme="majorHAnsi"/>
          <w:i/>
          <w:noProof/>
          <w:sz w:val="23"/>
          <w:szCs w:val="23"/>
        </w:rPr>
        <w:t>Social Housing Policy/Plan</w:t>
      </w:r>
      <w:r w:rsidRPr="00D7750B">
        <w:rPr>
          <w:rFonts w:asciiTheme="majorHAnsi" w:hAnsiTheme="majorHAnsi" w:cstheme="majorHAnsi"/>
          <w:noProof/>
          <w:sz w:val="23"/>
          <w:szCs w:val="23"/>
        </w:rPr>
        <w:t xml:space="preserve">. Retrieved from </w:t>
      </w:r>
    </w:p>
    <w:p w14:paraId="005EE085" w14:textId="7A323A26"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City of Greater Geelong (2021</w:t>
      </w:r>
      <w:r w:rsidR="00FF2494">
        <w:rPr>
          <w:rFonts w:asciiTheme="majorHAnsi" w:hAnsiTheme="majorHAnsi" w:cstheme="majorHAnsi"/>
          <w:noProof/>
          <w:sz w:val="23"/>
          <w:szCs w:val="23"/>
        </w:rPr>
        <w:t>a</w:t>
      </w:r>
      <w:r w:rsidRPr="00D7750B">
        <w:rPr>
          <w:rFonts w:asciiTheme="majorHAnsi" w:hAnsiTheme="majorHAnsi" w:cstheme="majorHAnsi"/>
          <w:noProof/>
          <w:sz w:val="23"/>
          <w:szCs w:val="23"/>
        </w:rPr>
        <w:t>). Unemployment rates. Retrieved from https:www.geelongaustralia.co,m.au/business/statistics/article/item/8do1eo2f399573d.aspx</w:t>
      </w:r>
    </w:p>
    <w:p w14:paraId="4CD393B7" w14:textId="7090FDB2" w:rsidR="00FF2494" w:rsidRDefault="00FF2494" w:rsidP="00173A3F">
      <w:pPr>
        <w:pStyle w:val="EndNoteBibliography"/>
        <w:ind w:left="720" w:hanging="720"/>
        <w:rPr>
          <w:rFonts w:asciiTheme="majorHAnsi" w:hAnsiTheme="majorHAnsi" w:cstheme="majorHAnsi"/>
          <w:noProof/>
          <w:sz w:val="23"/>
          <w:szCs w:val="23"/>
        </w:rPr>
      </w:pPr>
      <w:r>
        <w:rPr>
          <w:rFonts w:asciiTheme="majorHAnsi" w:hAnsiTheme="majorHAnsi" w:cstheme="majorHAnsi"/>
          <w:noProof/>
          <w:sz w:val="23"/>
          <w:szCs w:val="23"/>
        </w:rPr>
        <w:t xml:space="preserve">City of Greater Geelong (2021b). </w:t>
      </w:r>
      <w:r w:rsidR="00880481">
        <w:rPr>
          <w:rFonts w:asciiTheme="majorHAnsi" w:hAnsiTheme="majorHAnsi" w:cstheme="majorHAnsi"/>
          <w:noProof/>
          <w:sz w:val="23"/>
          <w:szCs w:val="23"/>
        </w:rPr>
        <w:t xml:space="preserve">Community Engagement Policy, </w:t>
      </w:r>
      <w:r w:rsidR="009E6FC6">
        <w:rPr>
          <w:rFonts w:asciiTheme="majorHAnsi" w:hAnsiTheme="majorHAnsi" w:cstheme="majorHAnsi"/>
          <w:noProof/>
          <w:sz w:val="23"/>
          <w:szCs w:val="23"/>
        </w:rPr>
        <w:t xml:space="preserve">23 February, </w:t>
      </w:r>
      <w:r w:rsidR="009E6FC6" w:rsidRPr="009E6FC6">
        <w:rPr>
          <w:rFonts w:asciiTheme="majorHAnsi" w:hAnsiTheme="majorHAnsi" w:cstheme="majorHAnsi"/>
          <w:noProof/>
          <w:sz w:val="23"/>
          <w:szCs w:val="23"/>
        </w:rPr>
        <w:t>https://geelongaustralia.com.au/governance/documents/item/654812cd.aspx</w:t>
      </w:r>
    </w:p>
    <w:p w14:paraId="52D7FFD8" w14:textId="22F5DAB2"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Greater Geelong Department of Planning and Community Development. (2012). Corio-Norlane Structure Plan of 2012. </w:t>
      </w:r>
    </w:p>
    <w:p w14:paraId="437EDDC8" w14:textId="53672994"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City of Melbourne. (2020).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 Reactivation and Recovery Plan</w:t>
      </w:r>
      <w:r w:rsidRPr="00D7750B">
        <w:rPr>
          <w:rFonts w:asciiTheme="majorHAnsi" w:hAnsiTheme="majorHAnsi" w:cstheme="majorHAnsi"/>
          <w:noProof/>
          <w:sz w:val="23"/>
          <w:szCs w:val="23"/>
        </w:rPr>
        <w:t>. Retrieved from https://www.melbourne.vic.gov.au/sitecollectiondocuments/</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-19-reactivation-recovery-plan.pdf</w:t>
      </w:r>
    </w:p>
    <w:p w14:paraId="750F217D"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Clinton, J. (2020). </w:t>
      </w:r>
      <w:r w:rsidRPr="00D7750B">
        <w:rPr>
          <w:rFonts w:asciiTheme="majorHAnsi" w:hAnsiTheme="majorHAnsi" w:cstheme="majorHAnsi"/>
          <w:i/>
          <w:noProof/>
          <w:sz w:val="23"/>
          <w:szCs w:val="23"/>
        </w:rPr>
        <w:t>Supporting vulnerable children in the face of a pandemic</w:t>
      </w:r>
      <w:r w:rsidRPr="00D7750B">
        <w:rPr>
          <w:rFonts w:asciiTheme="majorHAnsi" w:hAnsiTheme="majorHAnsi" w:cstheme="majorHAnsi"/>
          <w:noProof/>
          <w:sz w:val="23"/>
          <w:szCs w:val="23"/>
        </w:rPr>
        <w:t>: University of Melbourne.</w:t>
      </w:r>
    </w:p>
    <w:p w14:paraId="60849E76" w14:textId="67C6D57C"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Coates, B., Cowgill, M., Chen, T., &amp; Mackey, W. (2020). Shutdown: estimating the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employment shock. </w:t>
      </w:r>
      <w:r w:rsidRPr="00D7750B">
        <w:rPr>
          <w:rFonts w:asciiTheme="majorHAnsi" w:hAnsiTheme="majorHAnsi" w:cstheme="majorHAnsi"/>
          <w:i/>
          <w:noProof/>
          <w:sz w:val="23"/>
          <w:szCs w:val="23"/>
        </w:rPr>
        <w:t>Grattan Institute</w:t>
      </w:r>
      <w:r w:rsidRPr="00D7750B">
        <w:rPr>
          <w:rFonts w:asciiTheme="majorHAnsi" w:hAnsiTheme="majorHAnsi" w:cstheme="majorHAnsi"/>
          <w:noProof/>
          <w:sz w:val="23"/>
          <w:szCs w:val="23"/>
        </w:rPr>
        <w:t xml:space="preserve">. </w:t>
      </w:r>
    </w:p>
    <w:p w14:paraId="5ABFFDFE" w14:textId="713C341E"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Coates, B., Cowgill, M., Chen, T., &amp; Mackey, W. (2020). </w:t>
      </w:r>
      <w:r w:rsidRPr="00D7750B">
        <w:rPr>
          <w:rFonts w:asciiTheme="majorHAnsi" w:hAnsiTheme="majorHAnsi" w:cstheme="majorHAnsi"/>
          <w:i/>
          <w:noProof/>
          <w:sz w:val="23"/>
          <w:szCs w:val="23"/>
        </w:rPr>
        <w:t xml:space="preserve">Shutdown: estimating the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 employment shock</w:t>
      </w:r>
      <w:r w:rsidRPr="00D7750B">
        <w:rPr>
          <w:rFonts w:asciiTheme="majorHAnsi" w:hAnsiTheme="majorHAnsi" w:cstheme="majorHAnsi"/>
          <w:noProof/>
          <w:sz w:val="23"/>
          <w:szCs w:val="23"/>
        </w:rPr>
        <w:t>. Retrieved from https://grattan.edu.au/wp-content/uploads/2020/04/Shutdown-estimating-the-</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-19-employment-shock-Grattan-Institute.pdf </w:t>
      </w:r>
    </w:p>
    <w:p w14:paraId="127FCD0C"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Community Housing Industry Association. (2020). </w:t>
      </w:r>
      <w:r w:rsidRPr="00D7750B">
        <w:rPr>
          <w:rFonts w:asciiTheme="majorHAnsi" w:hAnsiTheme="majorHAnsi" w:cstheme="majorHAnsi"/>
          <w:i/>
          <w:noProof/>
          <w:sz w:val="23"/>
          <w:szCs w:val="23"/>
        </w:rPr>
        <w:t>Social Housing Acceleration and Renovation Program (SHARP)</w:t>
      </w:r>
      <w:r w:rsidRPr="00D7750B">
        <w:rPr>
          <w:rFonts w:asciiTheme="majorHAnsi" w:hAnsiTheme="majorHAnsi" w:cstheme="majorHAnsi"/>
          <w:noProof/>
          <w:sz w:val="23"/>
          <w:szCs w:val="23"/>
        </w:rPr>
        <w:t>. Retrieved from https://www.communityhousing.com.au/wp-content/uploads/2020/05/SHARP-Program.pdf</w:t>
      </w:r>
    </w:p>
    <w:p w14:paraId="4BE9FBAF"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Conisbee, N. (2020). The state of the regional property market. </w:t>
      </w:r>
    </w:p>
    <w:p w14:paraId="6A69367F"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CPSU (2020, 27 May). Govt to cut Geelong tax jobs [[Media release], Community and Public Sector Union]. Retrieved</w:t>
      </w:r>
    </w:p>
    <w:p w14:paraId="615CA2BE" w14:textId="30E30320"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lastRenderedPageBreak/>
        <w:t xml:space="preserve">Crimston, C., &amp; Selvanathan, H. (2020). Polarisation. In J. Jetten, S. Reicher, S. Haslam, &amp; T. Cruwys (Eds.), </w:t>
      </w:r>
      <w:r w:rsidRPr="00D7750B">
        <w:rPr>
          <w:rFonts w:asciiTheme="majorHAnsi" w:hAnsiTheme="majorHAnsi" w:cstheme="majorHAnsi"/>
          <w:i/>
          <w:noProof/>
          <w:sz w:val="23"/>
          <w:szCs w:val="23"/>
        </w:rPr>
        <w:t xml:space="preserve">Together apart: The psychology of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w:t>
      </w:r>
      <w:r w:rsidRPr="00D7750B">
        <w:rPr>
          <w:rFonts w:asciiTheme="majorHAnsi" w:hAnsiTheme="majorHAnsi" w:cstheme="majorHAnsi"/>
          <w:noProof/>
          <w:sz w:val="23"/>
          <w:szCs w:val="23"/>
        </w:rPr>
        <w:t>. London: Sage.</w:t>
      </w:r>
    </w:p>
    <w:p w14:paraId="39DC2F7C" w14:textId="46A81C58"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D'Lima, W., Lopez, L. A., &amp; Pradhan, A. (2020).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and housing market effects: Evidence from us shutdown orders. </w:t>
      </w:r>
      <w:r w:rsidRPr="00D7750B">
        <w:rPr>
          <w:rFonts w:asciiTheme="majorHAnsi" w:hAnsiTheme="majorHAnsi" w:cstheme="majorHAnsi"/>
          <w:i/>
          <w:noProof/>
          <w:sz w:val="23"/>
          <w:szCs w:val="23"/>
        </w:rPr>
        <w:t>Available at SSRN 3647252</w:t>
      </w:r>
      <w:r w:rsidRPr="00D7750B">
        <w:rPr>
          <w:rFonts w:asciiTheme="majorHAnsi" w:hAnsiTheme="majorHAnsi" w:cstheme="majorHAnsi"/>
          <w:noProof/>
          <w:sz w:val="23"/>
          <w:szCs w:val="23"/>
        </w:rPr>
        <w:t xml:space="preserve">. </w:t>
      </w:r>
    </w:p>
    <w:p w14:paraId="4F16876E" w14:textId="4AA7031F"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Davidson, P. (2020b). Inequality in Australia 2020-part 1: overview-supplement: the impact of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on income inequality. </w:t>
      </w:r>
    </w:p>
    <w:p w14:paraId="2E566991"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De Poloni, G. (2020). How coronavirus could forever change the look and feel of Australia's cities and suburbs. Retrieved from https://www.abc.net.au/news/2020-04-11/how-coronavirus-could-forever-change-our-cities-and-suburbs/12137122</w:t>
      </w:r>
    </w:p>
    <w:p w14:paraId="441CBB03"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Delbosc, A., &amp; Currie, G. (2011). The spatial context of transport disadvantage, social exclusion and well-being. </w:t>
      </w:r>
      <w:r w:rsidRPr="00D7750B">
        <w:rPr>
          <w:rFonts w:asciiTheme="majorHAnsi" w:hAnsiTheme="majorHAnsi" w:cstheme="majorHAnsi"/>
          <w:i/>
          <w:noProof/>
          <w:sz w:val="23"/>
          <w:szCs w:val="23"/>
        </w:rPr>
        <w:t>Journal of Transport Geography, 19</w:t>
      </w:r>
      <w:r w:rsidRPr="00D7750B">
        <w:rPr>
          <w:rFonts w:asciiTheme="majorHAnsi" w:hAnsiTheme="majorHAnsi" w:cstheme="majorHAnsi"/>
          <w:noProof/>
          <w:sz w:val="23"/>
          <w:szCs w:val="23"/>
        </w:rPr>
        <w:t xml:space="preserve">(6), 1130-1137. </w:t>
      </w:r>
    </w:p>
    <w:p w14:paraId="1D3F4C0A"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Deloitte Access Economics. (2020). Estimating the economic impacts of lowering current levels of income support payments. </w:t>
      </w:r>
    </w:p>
    <w:p w14:paraId="2054EF54"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Department of Health and Human Services. (2018). </w:t>
      </w:r>
      <w:r w:rsidRPr="00D7750B">
        <w:rPr>
          <w:rFonts w:asciiTheme="majorHAnsi" w:hAnsiTheme="majorHAnsi" w:cstheme="majorHAnsi"/>
          <w:i/>
          <w:noProof/>
          <w:sz w:val="23"/>
          <w:szCs w:val="23"/>
        </w:rPr>
        <w:t>New Norlane Progress Report</w:t>
      </w:r>
      <w:r w:rsidRPr="00D7750B">
        <w:rPr>
          <w:rFonts w:asciiTheme="majorHAnsi" w:hAnsiTheme="majorHAnsi" w:cstheme="majorHAnsi"/>
          <w:noProof/>
          <w:sz w:val="23"/>
          <w:szCs w:val="23"/>
        </w:rPr>
        <w:t xml:space="preserve">. Retrieved from Melbourne: </w:t>
      </w:r>
    </w:p>
    <w:p w14:paraId="756E3F3B" w14:textId="3289BF01"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Dickinson, H., Smith, C., Yates, S., &amp; et al. (2020). </w:t>
      </w:r>
      <w:r w:rsidRPr="00D7750B">
        <w:rPr>
          <w:rFonts w:asciiTheme="majorHAnsi" w:hAnsiTheme="majorHAnsi" w:cstheme="majorHAnsi"/>
          <w:i/>
          <w:noProof/>
          <w:sz w:val="23"/>
          <w:szCs w:val="23"/>
        </w:rPr>
        <w:t xml:space="preserve">Not even remotely fair: experiences of students with disability during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w:t>
      </w:r>
      <w:r w:rsidRPr="00D7750B">
        <w:rPr>
          <w:rFonts w:asciiTheme="majorHAnsi" w:hAnsiTheme="majorHAnsi" w:cstheme="majorHAnsi"/>
          <w:noProof/>
          <w:sz w:val="23"/>
          <w:szCs w:val="23"/>
        </w:rPr>
        <w:t>: Children and Young People with Disability Australia.</w:t>
      </w:r>
    </w:p>
    <w:p w14:paraId="217CB2D8"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DPCD. (2010). </w:t>
      </w:r>
      <w:r w:rsidRPr="00D7750B">
        <w:rPr>
          <w:rFonts w:asciiTheme="majorHAnsi" w:hAnsiTheme="majorHAnsi" w:cstheme="majorHAnsi"/>
          <w:i/>
          <w:noProof/>
          <w:sz w:val="23"/>
          <w:szCs w:val="23"/>
        </w:rPr>
        <w:t>Victoria’s regional centres: A generation of change</w:t>
      </w:r>
      <w:r w:rsidRPr="00D7750B">
        <w:rPr>
          <w:rFonts w:asciiTheme="majorHAnsi" w:hAnsiTheme="majorHAnsi" w:cstheme="majorHAnsi"/>
          <w:noProof/>
          <w:sz w:val="23"/>
          <w:szCs w:val="23"/>
        </w:rPr>
        <w:t xml:space="preserve">. Retrieved from Melbourne: </w:t>
      </w:r>
    </w:p>
    <w:p w14:paraId="47E5DE69" w14:textId="3BC70CC8"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Drane, C., Vernon, L., &amp; O’Shea, S. (2020). </w:t>
      </w:r>
      <w:r w:rsidRPr="00D7750B">
        <w:rPr>
          <w:rFonts w:asciiTheme="majorHAnsi" w:hAnsiTheme="majorHAnsi" w:cstheme="majorHAnsi"/>
          <w:i/>
          <w:noProof/>
          <w:sz w:val="23"/>
          <w:szCs w:val="23"/>
        </w:rPr>
        <w:t xml:space="preserve">The impact of ‘learning at home’ on the educational outcomes of vulnerable children in Australia during the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 pandemic</w:t>
      </w:r>
      <w:r w:rsidRPr="00D7750B">
        <w:rPr>
          <w:rFonts w:asciiTheme="majorHAnsi" w:hAnsiTheme="majorHAnsi" w:cstheme="majorHAnsi"/>
          <w:noProof/>
          <w:sz w:val="23"/>
          <w:szCs w:val="23"/>
        </w:rPr>
        <w:t>: National Centre for Student Equity in Higher Education.</w:t>
      </w:r>
    </w:p>
    <w:p w14:paraId="58924918"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Duckworth, K., &amp; Schoon, I. (2012). Beating the odds: exploring the impact of social risk on young people's school-to-work transitions during recession in the UK. </w:t>
      </w:r>
      <w:r w:rsidRPr="00D7750B">
        <w:rPr>
          <w:rFonts w:asciiTheme="majorHAnsi" w:hAnsiTheme="majorHAnsi" w:cstheme="majorHAnsi"/>
          <w:i/>
          <w:noProof/>
          <w:sz w:val="23"/>
          <w:szCs w:val="23"/>
        </w:rPr>
        <w:t>National Institute Economic Review, 222</w:t>
      </w:r>
      <w:r w:rsidRPr="00D7750B">
        <w:rPr>
          <w:rFonts w:asciiTheme="majorHAnsi" w:hAnsiTheme="majorHAnsi" w:cstheme="majorHAnsi"/>
          <w:noProof/>
          <w:sz w:val="23"/>
          <w:szCs w:val="23"/>
        </w:rPr>
        <w:t xml:space="preserve">, R38-R51. </w:t>
      </w:r>
    </w:p>
    <w:p w14:paraId="7F0B0D95"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Duke, J., &amp; Foley, M. (2020). Coronavirus triggers Australian self-sufficiency push.</w:t>
      </w:r>
      <w:r w:rsidRPr="00D7750B">
        <w:rPr>
          <w:rFonts w:asciiTheme="majorHAnsi" w:hAnsiTheme="majorHAnsi" w:cstheme="majorHAnsi"/>
          <w:i/>
          <w:noProof/>
          <w:sz w:val="23"/>
          <w:szCs w:val="23"/>
        </w:rPr>
        <w:t xml:space="preserve"> Sydney Morning Herald, 12 April</w:t>
      </w:r>
      <w:r w:rsidRPr="00D7750B">
        <w:rPr>
          <w:rFonts w:asciiTheme="majorHAnsi" w:hAnsiTheme="majorHAnsi" w:cstheme="majorHAnsi"/>
          <w:noProof/>
          <w:sz w:val="23"/>
          <w:szCs w:val="23"/>
        </w:rPr>
        <w:t>. Retrieved from https://www.smh.com.au/politics/federal/coronavirus-triggers-australian-self-sufficiency-push-20200412-p54j5q.html</w:t>
      </w:r>
    </w:p>
    <w:p w14:paraId="66151499" w14:textId="292CDA1D"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Equity Economics. (2020</w:t>
      </w:r>
      <w:r w:rsidR="00472B15" w:rsidRPr="00D7750B">
        <w:rPr>
          <w:rFonts w:asciiTheme="majorHAnsi" w:hAnsiTheme="majorHAnsi" w:cstheme="majorHAnsi"/>
          <w:noProof/>
          <w:sz w:val="23"/>
          <w:szCs w:val="23"/>
        </w:rPr>
        <w:t>a</w:t>
      </w:r>
      <w:r w:rsidRPr="00D7750B">
        <w:rPr>
          <w:rFonts w:asciiTheme="majorHAnsi" w:hAnsiTheme="majorHAnsi" w:cstheme="majorHAnsi"/>
          <w:noProof/>
          <w:sz w:val="23"/>
          <w:szCs w:val="23"/>
        </w:rPr>
        <w:t xml:space="preserve">). </w:t>
      </w:r>
      <w:r w:rsidRPr="00D7750B">
        <w:rPr>
          <w:rFonts w:asciiTheme="majorHAnsi" w:hAnsiTheme="majorHAnsi" w:cstheme="majorHAnsi"/>
          <w:i/>
          <w:noProof/>
          <w:sz w:val="23"/>
          <w:szCs w:val="23"/>
        </w:rPr>
        <w:t xml:space="preserve">A wave of disadvantage across NSW: impact of the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 recession</w:t>
      </w:r>
      <w:r w:rsidRPr="00D7750B">
        <w:rPr>
          <w:rFonts w:asciiTheme="majorHAnsi" w:hAnsiTheme="majorHAnsi" w:cstheme="majorHAnsi"/>
          <w:noProof/>
          <w:sz w:val="23"/>
          <w:szCs w:val="23"/>
        </w:rPr>
        <w:t>: New South Wales Council of Social Service.</w:t>
      </w:r>
    </w:p>
    <w:p w14:paraId="0FA2C598" w14:textId="59402B33" w:rsidR="00472B15" w:rsidRPr="00D7750B" w:rsidRDefault="00472B15"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Equity Economics (2020b). </w:t>
      </w:r>
      <w:r w:rsidR="002744B8" w:rsidRPr="00D7750B">
        <w:rPr>
          <w:rFonts w:asciiTheme="majorHAnsi" w:hAnsiTheme="majorHAnsi" w:cstheme="majorHAnsi"/>
          <w:i/>
          <w:iCs/>
          <w:noProof/>
          <w:sz w:val="23"/>
          <w:szCs w:val="23"/>
        </w:rPr>
        <w:t>Double Return: H</w:t>
      </w:r>
      <w:r w:rsidRPr="00D7750B">
        <w:rPr>
          <w:rFonts w:asciiTheme="majorHAnsi" w:hAnsiTheme="majorHAnsi" w:cstheme="majorHAnsi"/>
          <w:i/>
          <w:iCs/>
          <w:noProof/>
          <w:sz w:val="23"/>
          <w:szCs w:val="23"/>
        </w:rPr>
        <w:t>ow investing in social housing can address the growing homelessness crisis and boost Australia's economic recovery.</w:t>
      </w:r>
      <w:r w:rsidRPr="00D7750B">
        <w:rPr>
          <w:rFonts w:asciiTheme="majorHAnsi" w:hAnsiTheme="majorHAnsi" w:cstheme="majorHAnsi"/>
          <w:noProof/>
          <w:sz w:val="23"/>
          <w:szCs w:val="23"/>
        </w:rPr>
        <w:t xml:space="preserve"> </w:t>
      </w:r>
      <w:r w:rsidR="00500271" w:rsidRPr="00D7750B">
        <w:rPr>
          <w:rFonts w:asciiTheme="majorHAnsi" w:hAnsiTheme="majorHAnsi" w:cstheme="majorHAnsi"/>
          <w:noProof/>
          <w:sz w:val="23"/>
          <w:szCs w:val="23"/>
        </w:rPr>
        <w:t xml:space="preserve">Report for Everybody’s Home, </w:t>
      </w:r>
      <w:r w:rsidR="00250320" w:rsidRPr="00D7750B">
        <w:rPr>
          <w:rFonts w:asciiTheme="majorHAnsi" w:hAnsiTheme="majorHAnsi" w:cstheme="majorHAnsi"/>
          <w:noProof/>
          <w:sz w:val="23"/>
          <w:szCs w:val="23"/>
        </w:rPr>
        <w:t>15 December, https://everybodyshome.com.au/wp-content/uploads/2020/12/201215-Double-Return-Homelessness-Report-UpdatedProofed2.pdf</w:t>
      </w:r>
    </w:p>
    <w:p w14:paraId="51C41B01" w14:textId="38B84102"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Fahey, G., &amp; Joseph, B. (2020). </w:t>
      </w:r>
      <w:r w:rsidRPr="00D7750B">
        <w:rPr>
          <w:rFonts w:asciiTheme="majorHAnsi" w:hAnsiTheme="majorHAnsi" w:cstheme="majorHAnsi"/>
          <w:i/>
          <w:noProof/>
          <w:sz w:val="23"/>
          <w:szCs w:val="23"/>
        </w:rPr>
        <w:t xml:space="preserve">Parents’ perspectives on home-based learning in the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 pandemic</w:t>
      </w:r>
      <w:r w:rsidRPr="00D7750B">
        <w:rPr>
          <w:rFonts w:asciiTheme="majorHAnsi" w:hAnsiTheme="majorHAnsi" w:cstheme="majorHAnsi"/>
          <w:noProof/>
          <w:sz w:val="23"/>
          <w:szCs w:val="23"/>
        </w:rPr>
        <w:t>: Centre for Independent Studies.</w:t>
      </w:r>
    </w:p>
    <w:p w14:paraId="6B4CE501" w14:textId="3EE9A4AB"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Ferguson, H., &amp; Love, S. (2020). </w:t>
      </w:r>
      <w:r w:rsidRPr="00D7750B">
        <w:rPr>
          <w:rFonts w:asciiTheme="majorHAnsi" w:hAnsiTheme="majorHAnsi" w:cstheme="majorHAnsi"/>
          <w:i/>
          <w:noProof/>
          <w:sz w:val="23"/>
          <w:szCs w:val="23"/>
        </w:rPr>
        <w:t xml:space="preserve">The impact of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 on Australian higher education and overseas students—what do the numbers say?</w:t>
      </w:r>
      <w:r w:rsidRPr="00D7750B">
        <w:rPr>
          <w:rFonts w:asciiTheme="majorHAnsi" w:hAnsiTheme="majorHAnsi" w:cstheme="majorHAnsi"/>
          <w:noProof/>
          <w:sz w:val="23"/>
          <w:szCs w:val="23"/>
        </w:rPr>
        <w:t xml:space="preserve"> : FlagPost.</w:t>
      </w:r>
    </w:p>
    <w:p w14:paraId="7FFA49ED" w14:textId="6B31E45C"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Fisher, J. R., Tran, T. D., Hammarberg, K., Sastry, J., Nguyen, H., Rowe, H., . . . Kirkman, M. (2020). Mental health of people in Australia in the first month of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restrictions: a national survey. </w:t>
      </w:r>
      <w:r w:rsidRPr="00D7750B">
        <w:rPr>
          <w:rFonts w:asciiTheme="majorHAnsi" w:hAnsiTheme="majorHAnsi" w:cstheme="majorHAnsi"/>
          <w:i/>
          <w:noProof/>
          <w:sz w:val="23"/>
          <w:szCs w:val="23"/>
        </w:rPr>
        <w:t>Medical Journal of Australia, 213</w:t>
      </w:r>
      <w:r w:rsidRPr="00D7750B">
        <w:rPr>
          <w:rFonts w:asciiTheme="majorHAnsi" w:hAnsiTheme="majorHAnsi" w:cstheme="majorHAnsi"/>
          <w:noProof/>
          <w:sz w:val="23"/>
          <w:szCs w:val="23"/>
        </w:rPr>
        <w:t xml:space="preserve">(10), 458-464. </w:t>
      </w:r>
    </w:p>
    <w:p w14:paraId="3FF2FEF6"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Fraillon, J. (2020). </w:t>
      </w:r>
      <w:r w:rsidRPr="00D7750B">
        <w:rPr>
          <w:rFonts w:asciiTheme="majorHAnsi" w:hAnsiTheme="majorHAnsi" w:cstheme="majorHAnsi"/>
          <w:i/>
          <w:noProof/>
          <w:sz w:val="23"/>
          <w:szCs w:val="23"/>
        </w:rPr>
        <w:t>Working from home and digital literacy – what can we assume?</w:t>
      </w:r>
      <w:r w:rsidRPr="00D7750B">
        <w:rPr>
          <w:rFonts w:asciiTheme="majorHAnsi" w:hAnsiTheme="majorHAnsi" w:cstheme="majorHAnsi"/>
          <w:noProof/>
          <w:sz w:val="23"/>
          <w:szCs w:val="23"/>
        </w:rPr>
        <w:t xml:space="preserve"> : Australian Council for Educational Research.</w:t>
      </w:r>
    </w:p>
    <w:p w14:paraId="682BF290"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Francke, M., &amp; Korevaar, M. (2020). Housing markets in a pandemic: Evidence from historical outbreaks. </w:t>
      </w:r>
      <w:r w:rsidRPr="00D7750B">
        <w:rPr>
          <w:rFonts w:asciiTheme="majorHAnsi" w:hAnsiTheme="majorHAnsi" w:cstheme="majorHAnsi"/>
          <w:i/>
          <w:noProof/>
          <w:sz w:val="23"/>
          <w:szCs w:val="23"/>
        </w:rPr>
        <w:t>Available at SSRN 3566909</w:t>
      </w:r>
      <w:r w:rsidRPr="00D7750B">
        <w:rPr>
          <w:rFonts w:asciiTheme="majorHAnsi" w:hAnsiTheme="majorHAnsi" w:cstheme="majorHAnsi"/>
          <w:noProof/>
          <w:sz w:val="23"/>
          <w:szCs w:val="23"/>
        </w:rPr>
        <w:t xml:space="preserve">. </w:t>
      </w:r>
    </w:p>
    <w:p w14:paraId="79057E49" w14:textId="1E82D934" w:rsidR="003E50BA" w:rsidRPr="00D7750B" w:rsidRDefault="003E50BA" w:rsidP="778E395A">
      <w:pPr>
        <w:pStyle w:val="EndNoteBibliography"/>
        <w:ind w:left="720" w:hanging="720"/>
        <w:rPr>
          <w:noProof/>
          <w:color w:val="333333"/>
          <w:szCs w:val="22"/>
        </w:rPr>
      </w:pPr>
      <w:r w:rsidRPr="778E395A">
        <w:rPr>
          <w:rFonts w:asciiTheme="majorHAnsi" w:hAnsiTheme="majorHAnsi" w:cstheme="majorBidi"/>
          <w:noProof/>
          <w:sz w:val="23"/>
          <w:szCs w:val="23"/>
        </w:rPr>
        <w:t>Friederikson, S. (2018). How safe is our city? Retrieved from https://www.theage.com.au/national/victoria/the-age-crime-dashboard-how-safe-is-your-city-20181129-p50jOg</w:t>
      </w:r>
      <w:r w:rsidR="4BC5C262" w:rsidRPr="778E395A">
        <w:rPr>
          <w:rFonts w:ascii="Segoe UI" w:eastAsia="Segoe UI" w:hAnsi="Segoe UI" w:cs="Segoe UI"/>
          <w:noProof/>
          <w:sz w:val="18"/>
          <w:szCs w:val="18"/>
        </w:rPr>
        <w:t xml:space="preserve"> </w:t>
      </w:r>
      <w:r w:rsidR="4BC5C262" w:rsidRPr="778E395A">
        <w:rPr>
          <w:rFonts w:ascii="Segoe UI" w:eastAsia="Segoe UI" w:hAnsi="Segoe UI" w:cs="Segoe UI"/>
          <w:noProof/>
          <w:color w:val="333333"/>
          <w:sz w:val="18"/>
          <w:szCs w:val="18"/>
        </w:rPr>
        <w:t>Accessed 3.2.21.</w:t>
      </w:r>
    </w:p>
    <w:p w14:paraId="62CAC003"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G21 Geelong Region Alliance. (2017–2021). </w:t>
      </w:r>
      <w:r w:rsidRPr="00D7750B">
        <w:rPr>
          <w:rFonts w:asciiTheme="majorHAnsi" w:hAnsiTheme="majorHAnsi" w:cstheme="majorHAnsi"/>
          <w:i/>
          <w:noProof/>
          <w:sz w:val="23"/>
          <w:szCs w:val="23"/>
        </w:rPr>
        <w:t>Health and Wellbeing Pillar Plan</w:t>
      </w:r>
      <w:r w:rsidRPr="00D7750B">
        <w:rPr>
          <w:rFonts w:asciiTheme="majorHAnsi" w:hAnsiTheme="majorHAnsi" w:cstheme="majorHAnsi"/>
          <w:noProof/>
          <w:sz w:val="23"/>
          <w:szCs w:val="23"/>
        </w:rPr>
        <w:t>. Retrieved from https://g21.com.au/news/health-wellbeing-pillar-update-8/</w:t>
      </w:r>
    </w:p>
    <w:p w14:paraId="173518EC"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G21 Geelong Region Alliance. (2021). Geelong Region Opportunities for Work (GROW). Retrieved from https://grow.g21.com.au/</w:t>
      </w:r>
    </w:p>
    <w:p w14:paraId="6B09C370" w14:textId="066A152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lastRenderedPageBreak/>
        <w:t xml:space="preserve">Gardner, G., &amp; Willan, F. (2020). Homebuilder:: The federal government's home builder Grant has been a popular stimulus measure for the economy during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 but it will be reduced from $25,000 to 15,000 at the end of the year before finishing in March. </w:t>
      </w:r>
    </w:p>
    <w:p w14:paraId="709B983F"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Geelong Advertiser. (2020a). 10,000 have lost their jobs. </w:t>
      </w:r>
    </w:p>
    <w:p w14:paraId="1C2C8CC5"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Geelong Advertiser. (2020b). </w:t>
      </w:r>
      <w:r w:rsidRPr="00D7750B">
        <w:rPr>
          <w:rFonts w:asciiTheme="majorHAnsi" w:hAnsiTheme="majorHAnsi" w:cstheme="majorHAnsi"/>
          <w:i/>
          <w:noProof/>
          <w:sz w:val="23"/>
          <w:szCs w:val="23"/>
        </w:rPr>
        <w:t>As some doors close, others open for council workforce</w:t>
      </w:r>
      <w:r w:rsidRPr="00D7750B">
        <w:rPr>
          <w:rFonts w:asciiTheme="majorHAnsi" w:hAnsiTheme="majorHAnsi" w:cstheme="majorHAnsi"/>
          <w:noProof/>
          <w:sz w:val="23"/>
          <w:szCs w:val="23"/>
        </w:rPr>
        <w:t xml:space="preserve">. Retrieved from </w:t>
      </w:r>
    </w:p>
    <w:p w14:paraId="742119FC"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Geelong Advertiser. (2020c). </w:t>
      </w:r>
      <w:r w:rsidRPr="00D7750B">
        <w:rPr>
          <w:rFonts w:asciiTheme="majorHAnsi" w:hAnsiTheme="majorHAnsi" w:cstheme="majorHAnsi"/>
          <w:i/>
          <w:noProof/>
          <w:sz w:val="23"/>
          <w:szCs w:val="23"/>
        </w:rPr>
        <w:t>Pandemic business blow sees 30 go bust</w:t>
      </w:r>
      <w:r w:rsidRPr="00D7750B">
        <w:rPr>
          <w:rFonts w:asciiTheme="majorHAnsi" w:hAnsiTheme="majorHAnsi" w:cstheme="majorHAnsi"/>
          <w:noProof/>
          <w:sz w:val="23"/>
          <w:szCs w:val="23"/>
        </w:rPr>
        <w:t>. Retrieved from https://search-proquest-com.ezproxy.lib.rmit.edu.au/docview/2402162096/5C4D5B26C55F4484PQ/20?accountid=13552</w:t>
      </w:r>
    </w:p>
    <w:p w14:paraId="34EED022"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Geelong advertiser. (2020d). Premier opens Vestas Renewable Energy Hub at former Ford Geelong factory. Retrieved from https://www.geelongadvertiser.com.au/news/geelong/hanwha-defence-says-howitzer-production-in-geelong-could-start-in-202425/news-story/aecf5f45f00a4b0a7ef7cf296b8c5c3c</w:t>
      </w:r>
    </w:p>
    <w:p w14:paraId="48B37E4B"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Geelong advertiser. (2020e). Viva review key to future. </w:t>
      </w:r>
    </w:p>
    <w:p w14:paraId="2900EA33"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George, L. (2020, 08.05.2020). A new deal plan for manufacturing – how Geelong can show the way.  Retrieved from https://www.aumanufacturing.com.au/a-new-deal-plan-for-manufacturing-how-geelong-can-show-the-way-by-lyn-george</w:t>
      </w:r>
    </w:p>
    <w:p w14:paraId="23257009" w14:textId="66304D5D"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Government of Western Australia. (2020). Procurement changes to help boost local businesses during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 Retrieved from https://www.mediastatements.wa.gov.au/Pages/McGowan/2020/05/Procurement-changes-to-help-boost-local-businesses-during-</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-19.aspx</w:t>
      </w:r>
    </w:p>
    <w:p w14:paraId="6E47C403"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Green, R. (2020). A new deal for manufacturing – five building blocks for a new plan.  Retrieved from https://www.aumanufacturing.com.au/a-new-deal-for-manufacturing-five-building-blocks-for-a-new-plan-by-roy-green</w:t>
      </w:r>
    </w:p>
    <w:p w14:paraId="52379083"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Green, R. (2020). Roy Green on a new manufacturing regime. Retrieved from https://www.innovationaus.com/roy-green-on-a-new-manufacturing-regime/</w:t>
      </w:r>
    </w:p>
    <w:p w14:paraId="38AFE14F"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Guaralda, M., Hearn, G., Foth, M., Yigitcanlar, T., Mayere, S., &amp; Law, L. (2020). Towards Australian Regional Turnaround: Insights into Sustainably Accommodating Post-Pandemic Urban Growth in Regional Towns and Cities. </w:t>
      </w:r>
      <w:r w:rsidRPr="00D7750B">
        <w:rPr>
          <w:rFonts w:asciiTheme="majorHAnsi" w:hAnsiTheme="majorHAnsi" w:cstheme="majorHAnsi"/>
          <w:i/>
          <w:noProof/>
          <w:sz w:val="23"/>
          <w:szCs w:val="23"/>
        </w:rPr>
        <w:t>Sustainability, 12</w:t>
      </w:r>
      <w:r w:rsidRPr="00D7750B">
        <w:rPr>
          <w:rFonts w:asciiTheme="majorHAnsi" w:hAnsiTheme="majorHAnsi" w:cstheme="majorHAnsi"/>
          <w:noProof/>
          <w:sz w:val="23"/>
          <w:szCs w:val="23"/>
        </w:rPr>
        <w:t>(24), 10492. doi:http://dx.doi.org/10.3390/su122410492</w:t>
      </w:r>
    </w:p>
    <w:p w14:paraId="4E6366DE"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Gunn, L. D. (2020). Can a liveable city be a healthy city, now and into the future? </w:t>
      </w:r>
      <w:r w:rsidRPr="00D7750B">
        <w:rPr>
          <w:rFonts w:asciiTheme="majorHAnsi" w:hAnsiTheme="majorHAnsi" w:cstheme="majorHAnsi"/>
          <w:i/>
          <w:noProof/>
          <w:sz w:val="23"/>
          <w:szCs w:val="23"/>
        </w:rPr>
        <w:t>Internal medicine journal, 50</w:t>
      </w:r>
      <w:r w:rsidRPr="00D7750B">
        <w:rPr>
          <w:rFonts w:asciiTheme="majorHAnsi" w:hAnsiTheme="majorHAnsi" w:cstheme="majorHAnsi"/>
          <w:noProof/>
          <w:sz w:val="23"/>
          <w:szCs w:val="23"/>
        </w:rPr>
        <w:t xml:space="preserve">(11), 1405-1408. </w:t>
      </w:r>
    </w:p>
    <w:p w14:paraId="566E4450"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Gurran, N., Phibbs, P., &amp; Lea, T. (2020). Homelessness and overcrowding expose us all to coronavirus. Here’s what we can do to stop the spread. </w:t>
      </w:r>
      <w:r w:rsidRPr="00D7750B">
        <w:rPr>
          <w:rFonts w:asciiTheme="majorHAnsi" w:hAnsiTheme="majorHAnsi" w:cstheme="majorHAnsi"/>
          <w:i/>
          <w:noProof/>
          <w:sz w:val="23"/>
          <w:szCs w:val="23"/>
        </w:rPr>
        <w:t>The Conversation</w:t>
      </w:r>
      <w:r w:rsidRPr="00D7750B">
        <w:rPr>
          <w:rFonts w:asciiTheme="majorHAnsi" w:hAnsiTheme="majorHAnsi" w:cstheme="majorHAnsi"/>
          <w:noProof/>
          <w:sz w:val="23"/>
          <w:szCs w:val="23"/>
        </w:rPr>
        <w:t>. Retrieved from https://theconversation.com/homelessness-and-overcrowding-expose-us-all-to-coronavirus-heres-what-we-can-do-to-stop-the-spread-134378</w:t>
      </w:r>
    </w:p>
    <w:p w14:paraId="5F3F9FF4"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Gussak, D. (2001). Art therapists as bridge builders for peace. </w:t>
      </w:r>
      <w:r w:rsidRPr="00D7750B">
        <w:rPr>
          <w:rFonts w:asciiTheme="majorHAnsi" w:hAnsiTheme="majorHAnsi" w:cstheme="majorHAnsi"/>
          <w:i/>
          <w:noProof/>
          <w:sz w:val="23"/>
          <w:szCs w:val="23"/>
        </w:rPr>
        <w:t>Journal of Cultural Research in Art Education, 19</w:t>
      </w:r>
      <w:r w:rsidRPr="00D7750B">
        <w:rPr>
          <w:rFonts w:asciiTheme="majorHAnsi" w:hAnsiTheme="majorHAnsi" w:cstheme="majorHAnsi"/>
          <w:noProof/>
          <w:sz w:val="23"/>
          <w:szCs w:val="23"/>
        </w:rPr>
        <w:t xml:space="preserve">, 94. </w:t>
      </w:r>
    </w:p>
    <w:p w14:paraId="26E84D40" w14:textId="4A6C0CE5"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Guttmann, R., Lawson, D., &amp; Rickards, P. (2020). The Economic Effects of Low Interest Rates and Unconventional Monetary Policy. </w:t>
      </w:r>
      <w:r w:rsidRPr="00D7750B">
        <w:rPr>
          <w:rFonts w:asciiTheme="majorHAnsi" w:hAnsiTheme="majorHAnsi" w:cstheme="majorHAnsi"/>
          <w:i/>
          <w:noProof/>
          <w:sz w:val="23"/>
          <w:szCs w:val="23"/>
        </w:rPr>
        <w:t xml:space="preserve">1. 1 Managing the Risks of Holding Self-securitisations as Collateral 2. 11 Government Bond Market Functioning and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 3. The Economic Effects of Low Interest Rates and Unconventional 21 Monetary Policy 4. Retail Central Bank Digital Currency: Design Considerations, Rationales</w:t>
      </w:r>
      <w:r w:rsidRPr="00D7750B">
        <w:rPr>
          <w:rFonts w:asciiTheme="majorHAnsi" w:hAnsiTheme="majorHAnsi" w:cstheme="majorHAnsi"/>
          <w:noProof/>
          <w:sz w:val="23"/>
          <w:szCs w:val="23"/>
        </w:rPr>
        <w:t xml:space="preserve">, 21. </w:t>
      </w:r>
    </w:p>
    <w:p w14:paraId="38E86286"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Hamilton-Smith, L., Seccafien, K., Allwood, B., Wright, A., &amp; Ambrose, M. (2021). Green makeover:: Aussie families have jumped at the chance to renovate their properties during the coronavirus pandemic, with the extension of the HomeBuilder grant scheme. </w:t>
      </w:r>
    </w:p>
    <w:p w14:paraId="46187317" w14:textId="21ABE1F2"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Haslam, C. (2020). Ageing and connectedness. In J. Jetten, S. Reicher, S. Haslam, &amp; T. Cruwys (Eds.), </w:t>
      </w:r>
      <w:r w:rsidRPr="00D7750B">
        <w:rPr>
          <w:rFonts w:asciiTheme="majorHAnsi" w:hAnsiTheme="majorHAnsi" w:cstheme="majorHAnsi"/>
          <w:i/>
          <w:noProof/>
          <w:sz w:val="23"/>
          <w:szCs w:val="23"/>
        </w:rPr>
        <w:t xml:space="preserve">Together apart: The psychology of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w:t>
      </w:r>
      <w:r w:rsidRPr="00D7750B">
        <w:rPr>
          <w:rFonts w:asciiTheme="majorHAnsi" w:hAnsiTheme="majorHAnsi" w:cstheme="majorHAnsi"/>
          <w:noProof/>
          <w:sz w:val="23"/>
          <w:szCs w:val="23"/>
        </w:rPr>
        <w:t>. London: Sage.</w:t>
      </w:r>
    </w:p>
    <w:p w14:paraId="33040CFA" w14:textId="7604A1F6"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Hern, A. (2020).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could cause permanent shift towards home working. </w:t>
      </w:r>
      <w:r w:rsidRPr="00D7750B">
        <w:rPr>
          <w:rFonts w:asciiTheme="majorHAnsi" w:hAnsiTheme="majorHAnsi" w:cstheme="majorHAnsi"/>
          <w:i/>
          <w:noProof/>
          <w:sz w:val="23"/>
          <w:szCs w:val="23"/>
        </w:rPr>
        <w:t>The Guardian, 13</w:t>
      </w:r>
      <w:r w:rsidRPr="00D7750B">
        <w:rPr>
          <w:rFonts w:asciiTheme="majorHAnsi" w:hAnsiTheme="majorHAnsi" w:cstheme="majorHAnsi"/>
          <w:noProof/>
          <w:sz w:val="23"/>
          <w:szCs w:val="23"/>
        </w:rPr>
        <w:t xml:space="preserve">. </w:t>
      </w:r>
    </w:p>
    <w:p w14:paraId="3D72A192"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Hopkins, J. L. (2020). If more of us work from home after coronavirus we’ll need to rethink city planning. </w:t>
      </w:r>
      <w:r w:rsidRPr="00D7750B">
        <w:rPr>
          <w:rFonts w:asciiTheme="majorHAnsi" w:hAnsiTheme="majorHAnsi" w:cstheme="majorHAnsi"/>
          <w:i/>
          <w:noProof/>
          <w:sz w:val="23"/>
          <w:szCs w:val="23"/>
        </w:rPr>
        <w:t>The Conversation April, 28</w:t>
      </w:r>
      <w:r w:rsidRPr="00D7750B">
        <w:rPr>
          <w:rFonts w:asciiTheme="majorHAnsi" w:hAnsiTheme="majorHAnsi" w:cstheme="majorHAnsi"/>
          <w:noProof/>
          <w:sz w:val="23"/>
          <w:szCs w:val="23"/>
        </w:rPr>
        <w:t xml:space="preserve">. </w:t>
      </w:r>
    </w:p>
    <w:p w14:paraId="71AD3434" w14:textId="14A4BAC6"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lastRenderedPageBreak/>
        <w:t xml:space="preserve">Hornsey, M. (2020). Conspiracy Theories. In J. Jetten, S. Reicher, S. Haslam, &amp; T. Cruwys (Eds.), </w:t>
      </w:r>
      <w:r w:rsidRPr="00D7750B">
        <w:rPr>
          <w:rFonts w:asciiTheme="majorHAnsi" w:hAnsiTheme="majorHAnsi" w:cstheme="majorHAnsi"/>
          <w:i/>
          <w:noProof/>
          <w:sz w:val="23"/>
          <w:szCs w:val="23"/>
        </w:rPr>
        <w:t xml:space="preserve">Together Apart: The Psychology of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w:t>
      </w:r>
      <w:r w:rsidRPr="00D7750B">
        <w:rPr>
          <w:rFonts w:asciiTheme="majorHAnsi" w:hAnsiTheme="majorHAnsi" w:cstheme="majorHAnsi"/>
          <w:noProof/>
          <w:sz w:val="23"/>
          <w:szCs w:val="23"/>
        </w:rPr>
        <w:t>: Sage.</w:t>
      </w:r>
    </w:p>
    <w:p w14:paraId="1CB8AAC0"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Horton, K. (2020). </w:t>
      </w:r>
      <w:r w:rsidRPr="00D7750B">
        <w:rPr>
          <w:rFonts w:asciiTheme="majorHAnsi" w:hAnsiTheme="majorHAnsi" w:cstheme="majorHAnsi"/>
          <w:i/>
          <w:noProof/>
          <w:sz w:val="23"/>
          <w:szCs w:val="23"/>
        </w:rPr>
        <w:t>The Big Movers</w:t>
      </w:r>
      <w:r w:rsidRPr="00D7750B">
        <w:rPr>
          <w:rFonts w:asciiTheme="majorHAnsi" w:hAnsiTheme="majorHAnsi" w:cstheme="majorHAnsi"/>
          <w:noProof/>
          <w:sz w:val="23"/>
          <w:szCs w:val="23"/>
        </w:rPr>
        <w:t xml:space="preserve">. Retrieved from Canberra: </w:t>
      </w:r>
    </w:p>
    <w:p w14:paraId="737B44F7" w14:textId="5EBE37DF"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Hu, M. R., Lee, A. D., &amp; Zou, D. (2021). N</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and Housing Prices: Australian Evidence with Daily Hedonic Returns. </w:t>
      </w:r>
      <w:r w:rsidRPr="00D7750B">
        <w:rPr>
          <w:rFonts w:asciiTheme="majorHAnsi" w:hAnsiTheme="majorHAnsi" w:cstheme="majorHAnsi"/>
          <w:i/>
          <w:noProof/>
          <w:sz w:val="23"/>
          <w:szCs w:val="23"/>
        </w:rPr>
        <w:t>Finance research letters</w:t>
      </w:r>
      <w:r w:rsidRPr="00D7750B">
        <w:rPr>
          <w:rFonts w:asciiTheme="majorHAnsi" w:hAnsiTheme="majorHAnsi" w:cstheme="majorHAnsi"/>
          <w:noProof/>
          <w:sz w:val="23"/>
          <w:szCs w:val="23"/>
        </w:rPr>
        <w:t xml:space="preserve">, 101960. </w:t>
      </w:r>
    </w:p>
    <w:p w14:paraId="5B11A0EE"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Huss, E., Kaufman, R., Avgar, A., &amp; Shuker, E. (2016). Arts as a vehicle for community building and post‐disaster development. </w:t>
      </w:r>
      <w:r w:rsidRPr="00D7750B">
        <w:rPr>
          <w:rFonts w:asciiTheme="majorHAnsi" w:hAnsiTheme="majorHAnsi" w:cstheme="majorHAnsi"/>
          <w:i/>
          <w:noProof/>
          <w:sz w:val="23"/>
          <w:szCs w:val="23"/>
        </w:rPr>
        <w:t>Disasters, 40</w:t>
      </w:r>
      <w:r w:rsidRPr="00D7750B">
        <w:rPr>
          <w:rFonts w:asciiTheme="majorHAnsi" w:hAnsiTheme="majorHAnsi" w:cstheme="majorHAnsi"/>
          <w:noProof/>
          <w:sz w:val="23"/>
          <w:szCs w:val="23"/>
        </w:rPr>
        <w:t xml:space="preserve">(2), 284-303. </w:t>
      </w:r>
    </w:p>
    <w:p w14:paraId="7F415010" w14:textId="1AD7A39A" w:rsidR="000834F9" w:rsidRPr="00D7750B" w:rsidRDefault="000834F9" w:rsidP="000834F9">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Hutchens, G. &amp; Morgan, M. (2020). The $688m HomeBuilder scheme seems like a boost for homeowners — but it comes with serious caveats. </w:t>
      </w:r>
      <w:r w:rsidR="00330227" w:rsidRPr="00D7750B">
        <w:rPr>
          <w:rFonts w:asciiTheme="majorHAnsi" w:hAnsiTheme="majorHAnsi" w:cstheme="majorHAnsi"/>
          <w:noProof/>
          <w:sz w:val="23"/>
          <w:szCs w:val="23"/>
        </w:rPr>
        <w:t>ABC News Online, 5 June, https://www.abc.net.au/news/2020-06-05/funding-coronavirus-homebuilder-renovation-grants/12321724</w:t>
      </w:r>
    </w:p>
    <w:p w14:paraId="4E57A533" w14:textId="06ADE782" w:rsidR="003E50BA" w:rsidRPr="00D7750B" w:rsidRDefault="00486CBF" w:rsidP="00173A3F">
      <w:pPr>
        <w:pStyle w:val="EndNoteBibliography"/>
        <w:ind w:left="720" w:hanging="720"/>
        <w:rPr>
          <w:rFonts w:asciiTheme="majorHAnsi" w:hAnsiTheme="majorHAnsi" w:cstheme="majorHAnsi"/>
          <w:noProof/>
          <w:sz w:val="23"/>
          <w:szCs w:val="23"/>
        </w:rPr>
      </w:pPr>
      <w:r>
        <w:rPr>
          <w:rFonts w:asciiTheme="majorHAnsi" w:hAnsiTheme="majorHAnsi" w:cstheme="majorHAnsi"/>
          <w:noProof/>
          <w:sz w:val="23"/>
          <w:szCs w:val="23"/>
        </w:rPr>
        <w:t>.id</w:t>
      </w:r>
      <w:r w:rsidR="003E50BA" w:rsidRPr="00D7750B">
        <w:rPr>
          <w:rFonts w:asciiTheme="majorHAnsi" w:hAnsiTheme="majorHAnsi" w:cstheme="majorHAnsi"/>
          <w:noProof/>
          <w:sz w:val="23"/>
          <w:szCs w:val="23"/>
        </w:rPr>
        <w:t xml:space="preserve"> (2020). City of Greater Geelong Impact of </w:t>
      </w:r>
      <w:r w:rsidR="00940D80" w:rsidRPr="00D7750B">
        <w:rPr>
          <w:rFonts w:asciiTheme="majorHAnsi" w:hAnsiTheme="majorHAnsi" w:cstheme="majorHAnsi"/>
          <w:noProof/>
          <w:sz w:val="23"/>
          <w:szCs w:val="23"/>
        </w:rPr>
        <w:t>COVID</w:t>
      </w:r>
      <w:r w:rsidR="003E50BA" w:rsidRPr="00D7750B">
        <w:rPr>
          <w:rFonts w:asciiTheme="majorHAnsi" w:hAnsiTheme="majorHAnsi" w:cstheme="majorHAnsi"/>
          <w:noProof/>
          <w:sz w:val="23"/>
          <w:szCs w:val="23"/>
        </w:rPr>
        <w:t>-19 on population growth. Retrieved from https://forecast.id.com.au/geelong/forecast-</w:t>
      </w:r>
      <w:r w:rsidR="00940D80" w:rsidRPr="00D7750B">
        <w:rPr>
          <w:rFonts w:asciiTheme="majorHAnsi" w:hAnsiTheme="majorHAnsi" w:cstheme="majorHAnsi"/>
          <w:noProof/>
          <w:sz w:val="23"/>
          <w:szCs w:val="23"/>
        </w:rPr>
        <w:t>COVID</w:t>
      </w:r>
      <w:r w:rsidR="003E50BA" w:rsidRPr="00D7750B">
        <w:rPr>
          <w:rFonts w:asciiTheme="majorHAnsi" w:hAnsiTheme="majorHAnsi" w:cstheme="majorHAnsi"/>
          <w:noProof/>
          <w:sz w:val="23"/>
          <w:szCs w:val="23"/>
        </w:rPr>
        <w:t>19-impact</w:t>
      </w:r>
    </w:p>
    <w:p w14:paraId="13696E18"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Johnson, L. C. (2012). </w:t>
      </w:r>
      <w:r w:rsidRPr="00D7750B">
        <w:rPr>
          <w:rFonts w:asciiTheme="majorHAnsi" w:hAnsiTheme="majorHAnsi" w:cstheme="majorHAnsi"/>
          <w:i/>
          <w:noProof/>
          <w:sz w:val="23"/>
          <w:szCs w:val="23"/>
        </w:rPr>
        <w:t>Building pathways to a brighter future</w:t>
      </w:r>
      <w:r w:rsidRPr="00D7750B">
        <w:rPr>
          <w:rFonts w:asciiTheme="majorHAnsi" w:hAnsiTheme="majorHAnsi" w:cstheme="majorHAnsi"/>
          <w:noProof/>
          <w:sz w:val="23"/>
          <w:szCs w:val="23"/>
        </w:rPr>
        <w:t xml:space="preserve">. Retrieved from </w:t>
      </w:r>
    </w:p>
    <w:p w14:paraId="4EB15D05" w14:textId="72EF3AD0"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Johnson, L. C., Mundell, M., &amp; Bartel, R. (2020). </w:t>
      </w:r>
      <w:r w:rsidRPr="00D7750B">
        <w:rPr>
          <w:rFonts w:asciiTheme="majorHAnsi" w:hAnsiTheme="majorHAnsi" w:cstheme="majorHAnsi"/>
          <w:i/>
          <w:noProof/>
          <w:sz w:val="23"/>
          <w:szCs w:val="23"/>
        </w:rPr>
        <w:t>Resilient Geelong: Reasons for success and challenges for a post-</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 future</w:t>
      </w:r>
      <w:r w:rsidRPr="00D7750B">
        <w:rPr>
          <w:rFonts w:asciiTheme="majorHAnsi" w:hAnsiTheme="majorHAnsi" w:cstheme="majorHAnsi"/>
          <w:noProof/>
          <w:sz w:val="23"/>
          <w:szCs w:val="23"/>
        </w:rPr>
        <w:t xml:space="preserve">. Retrieved from Geelong: </w:t>
      </w:r>
    </w:p>
    <w:p w14:paraId="054A5B8B" w14:textId="261C898B"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Kabir, M., Afzal, M. S., Khan, A., &amp; Ahmed, H. (2020).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pandemic and economic cost; impact on forcibly displaced people. </w:t>
      </w:r>
      <w:r w:rsidRPr="00D7750B">
        <w:rPr>
          <w:rFonts w:asciiTheme="majorHAnsi" w:hAnsiTheme="majorHAnsi" w:cstheme="majorHAnsi"/>
          <w:i/>
          <w:noProof/>
          <w:sz w:val="23"/>
          <w:szCs w:val="23"/>
        </w:rPr>
        <w:t>Travel medicine and infectious disease</w:t>
      </w:r>
      <w:r w:rsidRPr="00D7750B">
        <w:rPr>
          <w:rFonts w:asciiTheme="majorHAnsi" w:hAnsiTheme="majorHAnsi" w:cstheme="majorHAnsi"/>
          <w:noProof/>
          <w:sz w:val="23"/>
          <w:szCs w:val="23"/>
        </w:rPr>
        <w:t xml:space="preserve">. </w:t>
      </w:r>
    </w:p>
    <w:p w14:paraId="10A684FE" w14:textId="28FEAFB4"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Kent, K., Murray, S., Penrose, B., Auckland, S., Visentin, D., Godrich, S., &amp; Lester, E. (2020). Prevalence and socio-demographic predictors of food insecurity in Australia during the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pandemic. </w:t>
      </w:r>
      <w:r w:rsidRPr="00D7750B">
        <w:rPr>
          <w:rFonts w:asciiTheme="majorHAnsi" w:hAnsiTheme="majorHAnsi" w:cstheme="majorHAnsi"/>
          <w:i/>
          <w:noProof/>
          <w:sz w:val="23"/>
          <w:szCs w:val="23"/>
        </w:rPr>
        <w:t>Nutrients, 12</w:t>
      </w:r>
      <w:r w:rsidRPr="00D7750B">
        <w:rPr>
          <w:rFonts w:asciiTheme="majorHAnsi" w:hAnsiTheme="majorHAnsi" w:cstheme="majorHAnsi"/>
          <w:noProof/>
          <w:sz w:val="23"/>
          <w:szCs w:val="23"/>
        </w:rPr>
        <w:t xml:space="preserve">(9), 2682. </w:t>
      </w:r>
    </w:p>
    <w:p w14:paraId="5F48BF2A"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Koo, K. M., &amp; Liang, J. (2020). The Effect of bilingual education on housing price-A case study of bilingual school conversion. </w:t>
      </w:r>
      <w:r w:rsidRPr="00D7750B">
        <w:rPr>
          <w:rFonts w:asciiTheme="majorHAnsi" w:hAnsiTheme="majorHAnsi" w:cstheme="majorHAnsi"/>
          <w:i/>
          <w:noProof/>
          <w:sz w:val="23"/>
          <w:szCs w:val="23"/>
        </w:rPr>
        <w:t>The Journal of Real Estate Finance and Economics</w:t>
      </w:r>
      <w:r w:rsidRPr="00D7750B">
        <w:rPr>
          <w:rFonts w:asciiTheme="majorHAnsi" w:hAnsiTheme="majorHAnsi" w:cstheme="majorHAnsi"/>
          <w:noProof/>
          <w:sz w:val="23"/>
          <w:szCs w:val="23"/>
        </w:rPr>
        <w:t xml:space="preserve">, 1-36. </w:t>
      </w:r>
    </w:p>
    <w:p w14:paraId="04DAA59F"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Koziol, M. (2020, 08-06-2020). NSW launches $36 million program to get rough sleepers into homes.</w:t>
      </w:r>
      <w:r w:rsidRPr="00D7750B">
        <w:rPr>
          <w:rFonts w:asciiTheme="majorHAnsi" w:hAnsiTheme="majorHAnsi" w:cstheme="majorHAnsi"/>
          <w:i/>
          <w:noProof/>
          <w:sz w:val="23"/>
          <w:szCs w:val="23"/>
        </w:rPr>
        <w:t xml:space="preserve"> The Sydney Morning Herald</w:t>
      </w:r>
      <w:r w:rsidRPr="00D7750B">
        <w:rPr>
          <w:rFonts w:asciiTheme="majorHAnsi" w:hAnsiTheme="majorHAnsi" w:cstheme="majorHAnsi"/>
          <w:noProof/>
          <w:sz w:val="23"/>
          <w:szCs w:val="23"/>
        </w:rPr>
        <w:t>. Retrieved from https://www.smh.com.au/politics/nsw/nsw-launches-36-million-program-to-get-rough-sleepers-into-homes-20200607-p5507y.html</w:t>
      </w:r>
    </w:p>
    <w:p w14:paraId="531085CC" w14:textId="5C00E6EF"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Li, X., &amp; Yao, W. (2020). Do market-wide circuit breakers calm markets or panic them? Evidence from the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pandemic. </w:t>
      </w:r>
      <w:r w:rsidRPr="00D7750B">
        <w:rPr>
          <w:rFonts w:asciiTheme="majorHAnsi" w:hAnsiTheme="majorHAnsi" w:cstheme="majorHAnsi"/>
          <w:i/>
          <w:noProof/>
          <w:sz w:val="23"/>
          <w:szCs w:val="23"/>
        </w:rPr>
        <w:t xml:space="preserve">Evidence from the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 pandemic (May 18, 2020)</w:t>
      </w:r>
      <w:r w:rsidRPr="00D7750B">
        <w:rPr>
          <w:rFonts w:asciiTheme="majorHAnsi" w:hAnsiTheme="majorHAnsi" w:cstheme="majorHAnsi"/>
          <w:noProof/>
          <w:sz w:val="23"/>
          <w:szCs w:val="23"/>
        </w:rPr>
        <w:t xml:space="preserve">. </w:t>
      </w:r>
    </w:p>
    <w:p w14:paraId="3BE9D66D"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Liang, J., Koo, K. M., &amp; Lee, C. L. (2021). Transportation infrastructure improvement and real estate value: impact of level crossing removal project on housing prices. </w:t>
      </w:r>
      <w:r w:rsidRPr="00D7750B">
        <w:rPr>
          <w:rFonts w:asciiTheme="majorHAnsi" w:hAnsiTheme="majorHAnsi" w:cstheme="majorHAnsi"/>
          <w:i/>
          <w:noProof/>
          <w:sz w:val="23"/>
          <w:szCs w:val="23"/>
        </w:rPr>
        <w:t>Transportation</w:t>
      </w:r>
      <w:r w:rsidRPr="00D7750B">
        <w:rPr>
          <w:rFonts w:asciiTheme="majorHAnsi" w:hAnsiTheme="majorHAnsi" w:cstheme="majorHAnsi"/>
          <w:noProof/>
          <w:sz w:val="23"/>
          <w:szCs w:val="23"/>
        </w:rPr>
        <w:t xml:space="preserve">, 1-43. </w:t>
      </w:r>
    </w:p>
    <w:p w14:paraId="14D3DBFB" w14:textId="39ABD43A"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Lin, Z., &amp; Meissner, C. M. (2020). </w:t>
      </w:r>
      <w:r w:rsidRPr="00D7750B">
        <w:rPr>
          <w:rFonts w:asciiTheme="majorHAnsi" w:hAnsiTheme="majorHAnsi" w:cstheme="majorHAnsi"/>
          <w:i/>
          <w:noProof/>
          <w:sz w:val="23"/>
          <w:szCs w:val="23"/>
        </w:rPr>
        <w:t xml:space="preserve">Health vs. wealth? public health policies and the economy during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w:t>
      </w:r>
      <w:r w:rsidRPr="00D7750B">
        <w:rPr>
          <w:rFonts w:asciiTheme="majorHAnsi" w:hAnsiTheme="majorHAnsi" w:cstheme="majorHAnsi"/>
          <w:noProof/>
          <w:sz w:val="23"/>
          <w:szCs w:val="23"/>
        </w:rPr>
        <w:t xml:space="preserve"> (0898-2937). Retrieved from </w:t>
      </w:r>
    </w:p>
    <w:p w14:paraId="1EAAF17F" w14:textId="72A780ED"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Ling, D. C., Wang, C., &amp; Zhou, T. (2020). A first look at the impact of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on commercial real estate prices: Asset-level evidence. </w:t>
      </w:r>
      <w:r w:rsidRPr="00D7750B">
        <w:rPr>
          <w:rFonts w:asciiTheme="majorHAnsi" w:hAnsiTheme="majorHAnsi" w:cstheme="majorHAnsi"/>
          <w:i/>
          <w:noProof/>
          <w:sz w:val="23"/>
          <w:szCs w:val="23"/>
        </w:rPr>
        <w:t>The Review of Asset Pricing Studies, 10</w:t>
      </w:r>
      <w:r w:rsidRPr="00D7750B">
        <w:rPr>
          <w:rFonts w:asciiTheme="majorHAnsi" w:hAnsiTheme="majorHAnsi" w:cstheme="majorHAnsi"/>
          <w:noProof/>
          <w:sz w:val="23"/>
          <w:szCs w:val="23"/>
        </w:rPr>
        <w:t xml:space="preserve">(4), 669-704. </w:t>
      </w:r>
    </w:p>
    <w:p w14:paraId="1EFF494A"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Lorenz, F., &amp; Grigsby, J. (2020). </w:t>
      </w:r>
      <w:r w:rsidRPr="00D7750B">
        <w:rPr>
          <w:rFonts w:asciiTheme="majorHAnsi" w:hAnsiTheme="majorHAnsi" w:cstheme="majorHAnsi"/>
          <w:i/>
          <w:noProof/>
          <w:sz w:val="23"/>
          <w:szCs w:val="23"/>
        </w:rPr>
        <w:t>RETHINKING URBAN PUBLIC SPACES: HOW TO UNLOCK THE POTENTIALS OF STREET SPACES TO IMPROVE SUSTAINABILITY AND LIVEABILITY</w:t>
      </w:r>
      <w:r w:rsidRPr="00D7750B">
        <w:rPr>
          <w:rFonts w:asciiTheme="majorHAnsi" w:hAnsiTheme="majorHAnsi" w:cstheme="majorHAnsi"/>
          <w:noProof/>
          <w:sz w:val="23"/>
          <w:szCs w:val="23"/>
        </w:rPr>
        <w:t xml:space="preserve">. Retrieved from </w:t>
      </w:r>
    </w:p>
    <w:p w14:paraId="42AB5F8B"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Ma, L., Reed, R., &amp; Liang, J. (2019). Separating owner-occupier and investor demands for housing in the Australian states. </w:t>
      </w:r>
      <w:r w:rsidRPr="00D7750B">
        <w:rPr>
          <w:rFonts w:asciiTheme="majorHAnsi" w:hAnsiTheme="majorHAnsi" w:cstheme="majorHAnsi"/>
          <w:i/>
          <w:noProof/>
          <w:sz w:val="23"/>
          <w:szCs w:val="23"/>
        </w:rPr>
        <w:t>Journal of Property Investment &amp; Finance</w:t>
      </w:r>
      <w:r w:rsidRPr="00D7750B">
        <w:rPr>
          <w:rFonts w:asciiTheme="majorHAnsi" w:hAnsiTheme="majorHAnsi" w:cstheme="majorHAnsi"/>
          <w:noProof/>
          <w:sz w:val="23"/>
          <w:szCs w:val="23"/>
        </w:rPr>
        <w:t xml:space="preserve">. </w:t>
      </w:r>
    </w:p>
    <w:p w14:paraId="437D3229"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Maidment, J., Tudor, R., Campbell, A., &amp; Whittaker, K. (2015). Use of domestic craft for meaning-making post-disaster. </w:t>
      </w:r>
      <w:r w:rsidRPr="00D7750B">
        <w:rPr>
          <w:rFonts w:asciiTheme="majorHAnsi" w:hAnsiTheme="majorHAnsi" w:cstheme="majorHAnsi"/>
          <w:i/>
          <w:noProof/>
          <w:sz w:val="23"/>
          <w:szCs w:val="23"/>
        </w:rPr>
        <w:t>Kōtuitui: New Zealand Journal of Social Sciences Online, 10</w:t>
      </w:r>
      <w:r w:rsidRPr="00D7750B">
        <w:rPr>
          <w:rFonts w:asciiTheme="majorHAnsi" w:hAnsiTheme="majorHAnsi" w:cstheme="majorHAnsi"/>
          <w:noProof/>
          <w:sz w:val="23"/>
          <w:szCs w:val="23"/>
        </w:rPr>
        <w:t xml:space="preserve">(2), 144-152. </w:t>
      </w:r>
    </w:p>
    <w:p w14:paraId="34FA207E"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Mares, P. (2018). </w:t>
      </w:r>
      <w:r w:rsidRPr="00D7750B">
        <w:rPr>
          <w:rFonts w:asciiTheme="majorHAnsi" w:hAnsiTheme="majorHAnsi" w:cstheme="majorHAnsi"/>
          <w:i/>
          <w:noProof/>
          <w:sz w:val="23"/>
          <w:szCs w:val="23"/>
        </w:rPr>
        <w:t>No Place Like Home: Repairing Australia’s Housing Crisis</w:t>
      </w:r>
      <w:r w:rsidRPr="00D7750B">
        <w:rPr>
          <w:rFonts w:asciiTheme="majorHAnsi" w:hAnsiTheme="majorHAnsi" w:cstheme="majorHAnsi"/>
          <w:noProof/>
          <w:sz w:val="23"/>
          <w:szCs w:val="23"/>
        </w:rPr>
        <w:t>: Text Publishing.</w:t>
      </w:r>
    </w:p>
    <w:p w14:paraId="7ABD5431" w14:textId="5F0EA73D"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Masters, G. (2020). </w:t>
      </w:r>
      <w:r w:rsidRPr="00D7750B">
        <w:rPr>
          <w:rFonts w:asciiTheme="majorHAnsi" w:hAnsiTheme="majorHAnsi" w:cstheme="majorHAnsi"/>
          <w:i/>
          <w:noProof/>
          <w:sz w:val="23"/>
          <w:szCs w:val="23"/>
        </w:rPr>
        <w:t xml:space="preserve">Ministerial briefing paper on evidence of the likely impact on educational outcomes of vulnerable children learning at home during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w:t>
      </w:r>
      <w:r w:rsidRPr="00D7750B">
        <w:rPr>
          <w:rFonts w:asciiTheme="majorHAnsi" w:hAnsiTheme="majorHAnsi" w:cstheme="majorHAnsi"/>
          <w:noProof/>
          <w:sz w:val="23"/>
          <w:szCs w:val="23"/>
        </w:rPr>
        <w:t>: Department of Education, Skills and Employment (Australia).</w:t>
      </w:r>
    </w:p>
    <w:p w14:paraId="4C53D483"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Matthews, T. (2020). Coronavirus has changed our sense of place, so together we must re-imagine our cities. </w:t>
      </w:r>
      <w:r w:rsidRPr="00D7750B">
        <w:rPr>
          <w:rFonts w:asciiTheme="majorHAnsi" w:hAnsiTheme="majorHAnsi" w:cstheme="majorHAnsi"/>
          <w:i/>
          <w:noProof/>
          <w:sz w:val="23"/>
          <w:szCs w:val="23"/>
        </w:rPr>
        <w:t>The Conversation</w:t>
      </w:r>
      <w:r w:rsidRPr="00D7750B">
        <w:rPr>
          <w:rFonts w:asciiTheme="majorHAnsi" w:hAnsiTheme="majorHAnsi" w:cstheme="majorHAnsi"/>
          <w:noProof/>
          <w:sz w:val="23"/>
          <w:szCs w:val="23"/>
        </w:rPr>
        <w:t>. Retrieved from https://theconversation.com/coronavirus-has-changed-our-sense-of-place-so-together-we-must-re-imagine-our-cities-137789</w:t>
      </w:r>
    </w:p>
    <w:p w14:paraId="470C710B"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McKinsey &amp; Company. (2020). Survey: Australian consumer sentiment during the coronavirus crisis. Retrieved from https://www.mckinsey.com/business-functions/marketing-and-sales/our-insights/survey-australian-consumer-sentiment-during-the-coronavirus-crisis</w:t>
      </w:r>
    </w:p>
    <w:p w14:paraId="43598977"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Melbourne Subdivisions Co. (1924). </w:t>
      </w:r>
      <w:r w:rsidRPr="00D7750B">
        <w:rPr>
          <w:rFonts w:asciiTheme="majorHAnsi" w:hAnsiTheme="majorHAnsi" w:cstheme="majorHAnsi"/>
          <w:i/>
          <w:noProof/>
          <w:sz w:val="23"/>
          <w:szCs w:val="23"/>
        </w:rPr>
        <w:t>Corio (The Garden Suburb of Geelong)</w:t>
      </w:r>
      <w:r w:rsidRPr="00D7750B">
        <w:rPr>
          <w:rFonts w:asciiTheme="majorHAnsi" w:hAnsiTheme="majorHAnsi" w:cstheme="majorHAnsi"/>
          <w:noProof/>
          <w:sz w:val="23"/>
          <w:szCs w:val="23"/>
        </w:rPr>
        <w:t xml:space="preserve">. Retrieved from Melbourne: </w:t>
      </w:r>
    </w:p>
    <w:p w14:paraId="5CFB653B" w14:textId="4292D649"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lastRenderedPageBreak/>
        <w:t xml:space="preserve">Muldoon, O. (2020). Collective Trauma. In J. Jetten, S. Reicher, S. Haslam, &amp; T. Cruwys (Eds.), </w:t>
      </w:r>
      <w:r w:rsidRPr="00D7750B">
        <w:rPr>
          <w:rFonts w:asciiTheme="majorHAnsi" w:hAnsiTheme="majorHAnsi" w:cstheme="majorHAnsi"/>
          <w:i/>
          <w:noProof/>
          <w:sz w:val="23"/>
          <w:szCs w:val="23"/>
        </w:rPr>
        <w:t xml:space="preserve">Together apart: The psychology of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w:t>
      </w:r>
      <w:r w:rsidRPr="00D7750B">
        <w:rPr>
          <w:rFonts w:asciiTheme="majorHAnsi" w:hAnsiTheme="majorHAnsi" w:cstheme="majorHAnsi"/>
          <w:noProof/>
          <w:sz w:val="23"/>
          <w:szCs w:val="23"/>
        </w:rPr>
        <w:t>. London: Sage.</w:t>
      </w:r>
    </w:p>
    <w:p w14:paraId="336781D2"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My School. (2021). Retrieved from https://www.myschool.edu/school/50291</w:t>
      </w:r>
    </w:p>
    <w:p w14:paraId="24EC12A8" w14:textId="50177935"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Nahum, D. (2020). </w:t>
      </w:r>
      <w:r w:rsidRPr="00D7750B">
        <w:rPr>
          <w:rFonts w:asciiTheme="majorHAnsi" w:hAnsiTheme="majorHAnsi" w:cstheme="majorHAnsi"/>
          <w:i/>
          <w:noProof/>
          <w:sz w:val="23"/>
          <w:szCs w:val="23"/>
        </w:rPr>
        <w:t xml:space="preserve">Work and Life in a Pandemic: An Update on Hours of Work and Unpaid Overtime Under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w:t>
      </w:r>
      <w:r w:rsidRPr="00D7750B">
        <w:rPr>
          <w:rFonts w:asciiTheme="majorHAnsi" w:hAnsiTheme="majorHAnsi" w:cstheme="majorHAnsi"/>
          <w:noProof/>
          <w:sz w:val="23"/>
          <w:szCs w:val="23"/>
        </w:rPr>
        <w:t>. Retrieved from Canberra: https://d3n8a8pro7vhmx.cloudfront.net/theausinstitute/pages/3395/attachments/original/1605571432/GHOTD_2020_formatted_FINAL_FOR_RELEASE.pdf?1605571432</w:t>
      </w:r>
    </w:p>
    <w:p w14:paraId="0F9487CF" w14:textId="079132BA"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Naomi, A. S. (2020). Access to Nature Has Always Been Important; With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 It Is Essential. In: SAGE Publications Sage CA: Los Angeles, CA.</w:t>
      </w:r>
    </w:p>
    <w:p w14:paraId="502ABC55" w14:textId="716E112C"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Nazroo, J., Taylor, H., Bécares, L., &amp; Kapadia, D. (2020). Rapid Evidence Review: Inequalities in relation to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and their effects on London. </w:t>
      </w:r>
    </w:p>
    <w:p w14:paraId="1287E232"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Neville, I. (2013). </w:t>
      </w:r>
      <w:r w:rsidRPr="00D7750B">
        <w:rPr>
          <w:rFonts w:asciiTheme="majorHAnsi" w:hAnsiTheme="majorHAnsi" w:cstheme="majorHAnsi"/>
          <w:i/>
          <w:noProof/>
          <w:sz w:val="23"/>
          <w:szCs w:val="23"/>
        </w:rPr>
        <w:t>Overview of Geelong priority employment areas</w:t>
      </w:r>
      <w:r w:rsidRPr="00D7750B">
        <w:rPr>
          <w:rFonts w:asciiTheme="majorHAnsi" w:hAnsiTheme="majorHAnsi" w:cstheme="majorHAnsi"/>
          <w:noProof/>
          <w:sz w:val="23"/>
          <w:szCs w:val="23"/>
        </w:rPr>
        <w:t xml:space="preserve">. Retrieved from Canberra: </w:t>
      </w:r>
    </w:p>
    <w:p w14:paraId="01FD5F6D" w14:textId="59C63F40"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Newby, J. M., O’Moore, K., Tang, S., Christensen, H., &amp; Faasse, K. (2020). Acute mental health responses during the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pandemic in Australia. </w:t>
      </w:r>
      <w:r w:rsidRPr="00D7750B">
        <w:rPr>
          <w:rFonts w:asciiTheme="majorHAnsi" w:hAnsiTheme="majorHAnsi" w:cstheme="majorHAnsi"/>
          <w:i/>
          <w:noProof/>
          <w:sz w:val="23"/>
          <w:szCs w:val="23"/>
        </w:rPr>
        <w:t>PloS one, 15</w:t>
      </w:r>
      <w:r w:rsidRPr="00D7750B">
        <w:rPr>
          <w:rFonts w:asciiTheme="majorHAnsi" w:hAnsiTheme="majorHAnsi" w:cstheme="majorHAnsi"/>
          <w:noProof/>
          <w:sz w:val="23"/>
          <w:szCs w:val="23"/>
        </w:rPr>
        <w:t xml:space="preserve">(7), e0236562. </w:t>
      </w:r>
    </w:p>
    <w:p w14:paraId="7042821B"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Noble, K. (2020). </w:t>
      </w:r>
      <w:r w:rsidRPr="00D7750B">
        <w:rPr>
          <w:rFonts w:asciiTheme="majorHAnsi" w:hAnsiTheme="majorHAnsi" w:cstheme="majorHAnsi"/>
          <w:i/>
          <w:noProof/>
          <w:sz w:val="23"/>
          <w:szCs w:val="23"/>
        </w:rPr>
        <w:t>School closures will increase inequality unless urgent action closes the digital divide</w:t>
      </w:r>
      <w:r w:rsidRPr="00D7750B">
        <w:rPr>
          <w:rFonts w:asciiTheme="majorHAnsi" w:hAnsiTheme="majorHAnsi" w:cstheme="majorHAnsi"/>
          <w:noProof/>
          <w:sz w:val="23"/>
          <w:szCs w:val="23"/>
        </w:rPr>
        <w:t>: Mitchell Institute.</w:t>
      </w:r>
    </w:p>
    <w:p w14:paraId="428637C7"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NSW Government. (2020). $15 million to transform our streets and public spaces for social distancing. Retrieved from https://www.nsw.gov.au/news/15-million-to-transform-our-streets-and-public-spaces-for-social-distancing</w:t>
      </w:r>
    </w:p>
    <w:p w14:paraId="3216A256" w14:textId="23EDC816"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O'Kane, G. (2020).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puts the spotlight on food insecurity in rural and remote Australia. </w:t>
      </w:r>
      <w:r w:rsidRPr="00D7750B">
        <w:rPr>
          <w:rFonts w:asciiTheme="majorHAnsi" w:hAnsiTheme="majorHAnsi" w:cstheme="majorHAnsi"/>
          <w:i/>
          <w:noProof/>
          <w:sz w:val="23"/>
          <w:szCs w:val="23"/>
        </w:rPr>
        <w:t>The Australian Journal of Rural Health, 28</w:t>
      </w:r>
      <w:r w:rsidRPr="00D7750B">
        <w:rPr>
          <w:rFonts w:asciiTheme="majorHAnsi" w:hAnsiTheme="majorHAnsi" w:cstheme="majorHAnsi"/>
          <w:noProof/>
          <w:sz w:val="23"/>
          <w:szCs w:val="23"/>
        </w:rPr>
        <w:t xml:space="preserve">(3), 319. </w:t>
      </w:r>
    </w:p>
    <w:p w14:paraId="295E9D4D" w14:textId="4CC03A22"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OECD. (2020). </w:t>
      </w:r>
      <w:r w:rsidRPr="00D7750B">
        <w:rPr>
          <w:rFonts w:asciiTheme="majorHAnsi" w:hAnsiTheme="majorHAnsi" w:cstheme="majorHAnsi"/>
          <w:i/>
          <w:noProof/>
          <w:sz w:val="23"/>
          <w:szCs w:val="23"/>
        </w:rPr>
        <w:t>Cities policy responses: Tackling Coronavirus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w:t>
      </w:r>
      <w:r w:rsidRPr="00D7750B">
        <w:rPr>
          <w:rFonts w:asciiTheme="majorHAnsi" w:hAnsiTheme="majorHAnsi" w:cstheme="majorHAnsi"/>
          <w:noProof/>
          <w:sz w:val="23"/>
          <w:szCs w:val="23"/>
        </w:rPr>
        <w:t>. Retrieved from Paris: http://www.oecd.org/coronavirus/policy-responses/cities-policy-responses-fd1053ff/</w:t>
      </w:r>
    </w:p>
    <w:p w14:paraId="2DC56791" w14:textId="4B6F5480"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Office of the Arts - Department of Infrastructure Transport Regional Development. (2020).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 update. Retrieved from https://www.arts.gov.au/</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-19-update</w:t>
      </w:r>
    </w:p>
    <w:p w14:paraId="0923024A" w14:textId="510B983D"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Ortmann, R., Pelster, M., &amp; Wengerek, S. T. (2020).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and investor behavior. </w:t>
      </w:r>
      <w:r w:rsidRPr="00D7750B">
        <w:rPr>
          <w:rFonts w:asciiTheme="majorHAnsi" w:hAnsiTheme="majorHAnsi" w:cstheme="majorHAnsi"/>
          <w:i/>
          <w:noProof/>
          <w:sz w:val="23"/>
          <w:szCs w:val="23"/>
        </w:rPr>
        <w:t>Finance Research Letters, 37</w:t>
      </w:r>
      <w:r w:rsidRPr="00D7750B">
        <w:rPr>
          <w:rFonts w:asciiTheme="majorHAnsi" w:hAnsiTheme="majorHAnsi" w:cstheme="majorHAnsi"/>
          <w:noProof/>
          <w:sz w:val="23"/>
          <w:szCs w:val="23"/>
        </w:rPr>
        <w:t>, 101717. Retrieved from https://www.ncbi.nlm.nih.gov/pmc/articles/PMC7414361/pdf/main.pdf</w:t>
      </w:r>
    </w:p>
    <w:p w14:paraId="1F1B97D8" w14:textId="504121F6"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Parsell, C., Clarke, A., &amp; Kuskoff, E. (2020). Understanding responses to homelessness during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an examination of Australia. </w:t>
      </w:r>
      <w:r w:rsidRPr="00D7750B">
        <w:rPr>
          <w:rFonts w:asciiTheme="majorHAnsi" w:hAnsiTheme="majorHAnsi" w:cstheme="majorHAnsi"/>
          <w:i/>
          <w:noProof/>
          <w:sz w:val="23"/>
          <w:szCs w:val="23"/>
        </w:rPr>
        <w:t>Housing Studies</w:t>
      </w:r>
      <w:r w:rsidRPr="00D7750B">
        <w:rPr>
          <w:rFonts w:asciiTheme="majorHAnsi" w:hAnsiTheme="majorHAnsi" w:cstheme="majorHAnsi"/>
          <w:noProof/>
          <w:sz w:val="23"/>
          <w:szCs w:val="23"/>
        </w:rPr>
        <w:t xml:space="preserve">, 1-14. </w:t>
      </w:r>
    </w:p>
    <w:p w14:paraId="009CED79"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Paul, A., &amp; Sen, J. (2020). A critical review of liveability approaches and their dimensions. </w:t>
      </w:r>
      <w:r w:rsidRPr="00D7750B">
        <w:rPr>
          <w:rFonts w:asciiTheme="majorHAnsi" w:hAnsiTheme="majorHAnsi" w:cstheme="majorHAnsi"/>
          <w:i/>
          <w:noProof/>
          <w:sz w:val="23"/>
          <w:szCs w:val="23"/>
        </w:rPr>
        <w:t>Geoforum</w:t>
      </w:r>
      <w:r w:rsidRPr="00D7750B">
        <w:rPr>
          <w:rFonts w:asciiTheme="majorHAnsi" w:hAnsiTheme="majorHAnsi" w:cstheme="majorHAnsi"/>
          <w:noProof/>
          <w:sz w:val="23"/>
          <w:szCs w:val="23"/>
        </w:rPr>
        <w:t xml:space="preserve">. </w:t>
      </w:r>
    </w:p>
    <w:p w14:paraId="1F4EF0AF"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Pawson, H., &amp; Mares, P. (2020). Coronavirus lays bare 5 big housing system flaws to be fixed. </w:t>
      </w:r>
      <w:r w:rsidRPr="00D7750B">
        <w:rPr>
          <w:rFonts w:asciiTheme="majorHAnsi" w:hAnsiTheme="majorHAnsi" w:cstheme="majorHAnsi"/>
          <w:i/>
          <w:noProof/>
          <w:sz w:val="23"/>
          <w:szCs w:val="23"/>
        </w:rPr>
        <w:t>The Conversation, 11</w:t>
      </w:r>
      <w:r w:rsidRPr="00D7750B">
        <w:rPr>
          <w:rFonts w:asciiTheme="majorHAnsi" w:hAnsiTheme="majorHAnsi" w:cstheme="majorHAnsi"/>
          <w:noProof/>
          <w:sz w:val="23"/>
          <w:szCs w:val="23"/>
        </w:rPr>
        <w:t>. Retrieved from https://theconversation.com/coronavirus-lays-bare-5-big-housing-system-flaws-to-be-fixed-137162</w:t>
      </w:r>
    </w:p>
    <w:p w14:paraId="4CCF925E" w14:textId="41029F17" w:rsidR="00096C6F" w:rsidRDefault="00096C6F" w:rsidP="00173A3F">
      <w:pPr>
        <w:pStyle w:val="EndNoteBibliography"/>
        <w:ind w:left="720" w:hanging="720"/>
        <w:rPr>
          <w:rFonts w:asciiTheme="majorHAnsi" w:hAnsiTheme="majorHAnsi" w:cstheme="majorHAnsi"/>
          <w:noProof/>
          <w:sz w:val="23"/>
          <w:szCs w:val="23"/>
        </w:rPr>
      </w:pPr>
      <w:r w:rsidRPr="00096C6F">
        <w:rPr>
          <w:rFonts w:asciiTheme="majorHAnsi" w:hAnsiTheme="majorHAnsi" w:cstheme="majorHAnsi"/>
          <w:noProof/>
          <w:sz w:val="23"/>
          <w:szCs w:val="23"/>
        </w:rPr>
        <w:t>Pawson, H., Martin, C., Sisson, A., Thompson, S., Fitzpatrick, S. and Marsh, A. (2021). COVID-19: Rental Housing and Homelessness Impacts – An Initial Analysis. ACOSS/UNSW Poverty and Inequality Partnership Report No. 7, Sydney.</w:t>
      </w:r>
    </w:p>
    <w:p w14:paraId="3274261E" w14:textId="112ED5DF"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Pineda, V. S., &amp; Corburn, J. (2020). Disability, Urban Health Equity, and the Coronavirus Pandemic: Promoting Cities for All. </w:t>
      </w:r>
      <w:r w:rsidRPr="00D7750B">
        <w:rPr>
          <w:rFonts w:asciiTheme="majorHAnsi" w:hAnsiTheme="majorHAnsi" w:cstheme="majorHAnsi"/>
          <w:i/>
          <w:noProof/>
          <w:sz w:val="23"/>
          <w:szCs w:val="23"/>
        </w:rPr>
        <w:t>Journal of Urban Health</w:t>
      </w:r>
      <w:r w:rsidRPr="00D7750B">
        <w:rPr>
          <w:rFonts w:asciiTheme="majorHAnsi" w:hAnsiTheme="majorHAnsi" w:cstheme="majorHAnsi"/>
          <w:noProof/>
          <w:sz w:val="23"/>
          <w:szCs w:val="23"/>
        </w:rPr>
        <w:t xml:space="preserve">, 1-6. </w:t>
      </w:r>
    </w:p>
    <w:p w14:paraId="2CE72940" w14:textId="18437F19"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Pombo, A., Luz, C., Rodrigues, L. P., Ferreira, C., &amp; Cordovil, R. (2020). Correlates of children's physical activity during the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confinement in Portugal. </w:t>
      </w:r>
      <w:r w:rsidRPr="00D7750B">
        <w:rPr>
          <w:rFonts w:asciiTheme="majorHAnsi" w:hAnsiTheme="majorHAnsi" w:cstheme="majorHAnsi"/>
          <w:i/>
          <w:noProof/>
          <w:sz w:val="23"/>
          <w:szCs w:val="23"/>
        </w:rPr>
        <w:t>Public health, 189</w:t>
      </w:r>
      <w:r w:rsidRPr="00D7750B">
        <w:rPr>
          <w:rFonts w:asciiTheme="majorHAnsi" w:hAnsiTheme="majorHAnsi" w:cstheme="majorHAnsi"/>
          <w:noProof/>
          <w:sz w:val="23"/>
          <w:szCs w:val="23"/>
        </w:rPr>
        <w:t xml:space="preserve">, 14-19. </w:t>
      </w:r>
    </w:p>
    <w:p w14:paraId="3B263E00" w14:textId="033F66D5"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Power, E. R., Rogers, D., &amp; Kadi, J. (2020). Public housing and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 contestation, challenge and change. In: Taylor &amp; Francis.</w:t>
      </w:r>
    </w:p>
    <w:p w14:paraId="45255B9B"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Price Waterhouse Coopers Australia. (2019). </w:t>
      </w:r>
      <w:r w:rsidRPr="00D7750B">
        <w:rPr>
          <w:rFonts w:asciiTheme="majorHAnsi" w:hAnsiTheme="majorHAnsi" w:cstheme="majorHAnsi"/>
          <w:i/>
          <w:noProof/>
          <w:sz w:val="23"/>
          <w:szCs w:val="23"/>
        </w:rPr>
        <w:t>Transforming Australian manufacturing: preparing businesses and workplaces for Industry 4.0</w:t>
      </w:r>
      <w:r w:rsidRPr="00D7750B">
        <w:rPr>
          <w:rFonts w:asciiTheme="majorHAnsi" w:hAnsiTheme="majorHAnsi" w:cstheme="majorHAnsi"/>
          <w:noProof/>
          <w:sz w:val="23"/>
          <w:szCs w:val="23"/>
        </w:rPr>
        <w:t>. Retrieved from https://www.pwc.com.au/education/industry-proposal-13may2019.pdf</w:t>
      </w:r>
    </w:p>
    <w:p w14:paraId="4538241F"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Profile.id. (2016). Retrieved from http://profile.id.com.au/geelong </w:t>
      </w:r>
    </w:p>
    <w:p w14:paraId="15CE98CC"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Profile.id. (2021). JobSeeker | City of Greater Geelong | Community profile (id.com.au). </w:t>
      </w:r>
    </w:p>
    <w:p w14:paraId="31C8944A" w14:textId="0FC69568"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Quilter-Pinner, H., &amp; Ambrose, A. (2020). </w:t>
      </w:r>
      <w:r w:rsidRPr="00D7750B">
        <w:rPr>
          <w:rFonts w:asciiTheme="majorHAnsi" w:hAnsiTheme="majorHAnsi" w:cstheme="majorHAnsi"/>
          <w:i/>
          <w:noProof/>
          <w:sz w:val="23"/>
          <w:szCs w:val="23"/>
        </w:rPr>
        <w:t xml:space="preserve">The 'new normal': the future of education after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w:t>
      </w:r>
      <w:r w:rsidRPr="00D7750B">
        <w:rPr>
          <w:rFonts w:asciiTheme="majorHAnsi" w:hAnsiTheme="majorHAnsi" w:cstheme="majorHAnsi"/>
          <w:noProof/>
          <w:sz w:val="23"/>
          <w:szCs w:val="23"/>
        </w:rPr>
        <w:t>: Institute for Public Policy Research.</w:t>
      </w:r>
    </w:p>
    <w:p w14:paraId="76EDADFA" w14:textId="538EFB95"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lastRenderedPageBreak/>
        <w:t xml:space="preserve">Rapid Research Information Forum. (2020). </w:t>
      </w:r>
      <w:r w:rsidRPr="00D7750B">
        <w:rPr>
          <w:rFonts w:asciiTheme="majorHAnsi" w:hAnsiTheme="majorHAnsi" w:cstheme="majorHAnsi"/>
          <w:i/>
          <w:noProof/>
          <w:sz w:val="23"/>
          <w:szCs w:val="23"/>
        </w:rPr>
        <w:t xml:space="preserve">The impact of the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 pandemic on women in the STEM workforce</w:t>
      </w:r>
      <w:r w:rsidRPr="00D7750B">
        <w:rPr>
          <w:rFonts w:asciiTheme="majorHAnsi" w:hAnsiTheme="majorHAnsi" w:cstheme="majorHAnsi"/>
          <w:noProof/>
          <w:sz w:val="23"/>
          <w:szCs w:val="23"/>
        </w:rPr>
        <w:t>: Office of the Chief Scientist (Australia).</w:t>
      </w:r>
    </w:p>
    <w:p w14:paraId="17383A85"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Rebellato, E., Smith, L. H., Seccafien, K., Allwood, B., &amp; Wright, A. (2021). Australian families have jumped at the chance to renovate their properties during the pandemic with the extension of the home builder Grant Scheme. </w:t>
      </w:r>
    </w:p>
    <w:p w14:paraId="6329CCF7"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Reid, L. (2020, 08.10.2020). The arts sector is already suffering. This year's budget just pours salt on the wound.</w:t>
      </w:r>
      <w:r w:rsidRPr="00D7750B">
        <w:rPr>
          <w:rFonts w:asciiTheme="majorHAnsi" w:hAnsiTheme="majorHAnsi" w:cstheme="majorHAnsi"/>
          <w:i/>
          <w:noProof/>
          <w:sz w:val="23"/>
          <w:szCs w:val="23"/>
        </w:rPr>
        <w:t xml:space="preserve"> The Guardian</w:t>
      </w:r>
      <w:r w:rsidRPr="00D7750B">
        <w:rPr>
          <w:rFonts w:asciiTheme="majorHAnsi" w:hAnsiTheme="majorHAnsi" w:cstheme="majorHAnsi"/>
          <w:noProof/>
          <w:sz w:val="23"/>
          <w:szCs w:val="23"/>
        </w:rPr>
        <w:t>. Retrieved from https://www.theguardian.com/culture/2020/oct/08/the-arts-sector-is-already-suffering-this-years-budget-just-pours-salt-on-the-wound</w:t>
      </w:r>
    </w:p>
    <w:p w14:paraId="55A918F7"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Reserve Bank of Australia. (2020). Statement on Monetary Policy August 2020. Retrieved from https://www.rba.gov.au/publications/smp/2021/feb/</w:t>
      </w:r>
    </w:p>
    <w:p w14:paraId="532F9186"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Reserve Bank of Australia. (2021). Statement on Monetary Policy February 2021. Retrieved from https://www.rba.gov.au/publications/smp/2021/feb/</w:t>
      </w:r>
    </w:p>
    <w:p w14:paraId="62EE9AB1" w14:textId="231EDAE4"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Ross, H. (2020). Post-</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 wave of regional migration predicted as people seek simpler life, get back to basics. Retrieved</w:t>
      </w:r>
    </w:p>
    <w:p w14:paraId="76B17068"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Ryerson CBI &amp; ULI Toronto (Producer). (2020a, 15.07.2020). Future of Density. </w:t>
      </w:r>
      <w:r w:rsidRPr="00D7750B">
        <w:rPr>
          <w:rFonts w:asciiTheme="majorHAnsi" w:hAnsiTheme="majorHAnsi" w:cstheme="majorHAnsi"/>
          <w:i/>
          <w:noProof/>
          <w:sz w:val="23"/>
          <w:szCs w:val="23"/>
        </w:rPr>
        <w:t>Future of Cities: Online Discussion Series</w:t>
      </w:r>
      <w:r w:rsidRPr="00D7750B">
        <w:rPr>
          <w:rFonts w:asciiTheme="majorHAnsi" w:hAnsiTheme="majorHAnsi" w:cstheme="majorHAnsi"/>
          <w:noProof/>
          <w:sz w:val="23"/>
          <w:szCs w:val="23"/>
        </w:rPr>
        <w:t>. Retrieved from https://www.youtube.com/watch?v=rSfyZtwZ2SI&amp;feature=youtu.be</w:t>
      </w:r>
    </w:p>
    <w:p w14:paraId="10324C81"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Ryerson CBI &amp; ULI Toronto (Producer). (2020b). Future of main streets. </w:t>
      </w:r>
      <w:r w:rsidRPr="00D7750B">
        <w:rPr>
          <w:rFonts w:asciiTheme="majorHAnsi" w:hAnsiTheme="majorHAnsi" w:cstheme="majorHAnsi"/>
          <w:i/>
          <w:noProof/>
          <w:sz w:val="23"/>
          <w:szCs w:val="23"/>
        </w:rPr>
        <w:t>Future of Cities: Online Discussion Series</w:t>
      </w:r>
      <w:r w:rsidRPr="00D7750B">
        <w:rPr>
          <w:rFonts w:asciiTheme="majorHAnsi" w:hAnsiTheme="majorHAnsi" w:cstheme="majorHAnsi"/>
          <w:noProof/>
          <w:sz w:val="23"/>
          <w:szCs w:val="23"/>
        </w:rPr>
        <w:t>. Retrieved from https://archive.citybuildinginstitute.ca/future-cities/</w:t>
      </w:r>
    </w:p>
    <w:p w14:paraId="74ADBB1D"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Ryerson CBI &amp; ULI Toronto (Producer). (2020c, 15.07.2020). Future of public space. </w:t>
      </w:r>
      <w:r w:rsidRPr="00D7750B">
        <w:rPr>
          <w:rFonts w:asciiTheme="majorHAnsi" w:hAnsiTheme="majorHAnsi" w:cstheme="majorHAnsi"/>
          <w:i/>
          <w:noProof/>
          <w:sz w:val="23"/>
          <w:szCs w:val="23"/>
        </w:rPr>
        <w:t>Future of Cities: Online Discussion Series</w:t>
      </w:r>
      <w:r w:rsidRPr="00D7750B">
        <w:rPr>
          <w:rFonts w:asciiTheme="majorHAnsi" w:hAnsiTheme="majorHAnsi" w:cstheme="majorHAnsi"/>
          <w:noProof/>
          <w:sz w:val="23"/>
          <w:szCs w:val="23"/>
        </w:rPr>
        <w:t>. Retrieved from https://www.youtube.com/watch?v=oouIV2cuhn0&amp;feature=youtu.be</w:t>
      </w:r>
    </w:p>
    <w:p w14:paraId="20824B5D" w14:textId="0B241A6B" w:rsidR="008025CF" w:rsidRPr="00D7750B" w:rsidRDefault="008025CF" w:rsidP="008025C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Sander, L. (2020). ‘Coronavirus could spark a revolution in working from home. Are we ready?’ The Conversation, 11 March, </w:t>
      </w:r>
      <w:r w:rsidR="000A6204" w:rsidRPr="00D7750B">
        <w:rPr>
          <w:rFonts w:asciiTheme="majorHAnsi" w:hAnsiTheme="majorHAnsi" w:cstheme="majorHAnsi"/>
          <w:noProof/>
          <w:sz w:val="23"/>
          <w:szCs w:val="23"/>
        </w:rPr>
        <w:t>https://theconversation.com/coronavirus-could-spark-a-revolution-in-working-from-home-are-we-ready-133070</w:t>
      </w:r>
    </w:p>
    <w:p w14:paraId="47F047F6" w14:textId="34E717A1"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Savage, S., &amp; Bailey, S. (2005). </w:t>
      </w:r>
      <w:r w:rsidRPr="00D7750B">
        <w:rPr>
          <w:rFonts w:asciiTheme="majorHAnsi" w:hAnsiTheme="majorHAnsi" w:cstheme="majorHAnsi"/>
          <w:i/>
          <w:noProof/>
          <w:sz w:val="23"/>
          <w:szCs w:val="23"/>
        </w:rPr>
        <w:t>Streets ahead. Communities in action. Evaluation report</w:t>
      </w:r>
      <w:r w:rsidRPr="00D7750B">
        <w:rPr>
          <w:rFonts w:asciiTheme="majorHAnsi" w:hAnsiTheme="majorHAnsi" w:cstheme="majorHAnsi"/>
          <w:noProof/>
          <w:sz w:val="23"/>
          <w:szCs w:val="23"/>
        </w:rPr>
        <w:t xml:space="preserve">. Retrieved from </w:t>
      </w:r>
    </w:p>
    <w:p w14:paraId="68058F17" w14:textId="745782CD"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Secretariat of National Aboriginal and Islander Child Care. (2021). </w:t>
      </w:r>
      <w:r w:rsidRPr="00D7750B">
        <w:rPr>
          <w:rFonts w:asciiTheme="majorHAnsi" w:hAnsiTheme="majorHAnsi" w:cstheme="majorHAnsi"/>
          <w:i/>
          <w:noProof/>
          <w:sz w:val="23"/>
          <w:szCs w:val="23"/>
        </w:rPr>
        <w:t xml:space="preserve">SNAICC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-19 ongoing impacts survey report</w:t>
      </w:r>
      <w:r w:rsidRPr="00D7750B">
        <w:rPr>
          <w:rFonts w:asciiTheme="majorHAnsi" w:hAnsiTheme="majorHAnsi" w:cstheme="majorHAnsi"/>
          <w:noProof/>
          <w:sz w:val="23"/>
          <w:szCs w:val="23"/>
        </w:rPr>
        <w:t>: SNAICC - National Voice for our Children.</w:t>
      </w:r>
    </w:p>
    <w:p w14:paraId="384F66AF" w14:textId="67C5B714"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Seric, A., &amp; Winkler, D. (2020).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could spur automation and reverse globalisation–to some extent. </w:t>
      </w:r>
      <w:r w:rsidRPr="00D7750B">
        <w:rPr>
          <w:rFonts w:asciiTheme="majorHAnsi" w:hAnsiTheme="majorHAnsi" w:cstheme="majorHAnsi"/>
          <w:i/>
          <w:noProof/>
          <w:sz w:val="23"/>
          <w:szCs w:val="23"/>
        </w:rPr>
        <w:t>VoxEU. org, 28</w:t>
      </w:r>
      <w:r w:rsidRPr="00D7750B">
        <w:rPr>
          <w:rFonts w:asciiTheme="majorHAnsi" w:hAnsiTheme="majorHAnsi" w:cstheme="majorHAnsi"/>
          <w:noProof/>
          <w:sz w:val="23"/>
          <w:szCs w:val="23"/>
        </w:rPr>
        <w:t xml:space="preserve">. </w:t>
      </w:r>
    </w:p>
    <w:p w14:paraId="59230EAE"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Shamim, S., Cang, S., Yu, H., &amp; Li, Y. (2016). </w:t>
      </w:r>
      <w:r w:rsidRPr="00D7750B">
        <w:rPr>
          <w:rFonts w:asciiTheme="majorHAnsi" w:hAnsiTheme="majorHAnsi" w:cstheme="majorHAnsi"/>
          <w:i/>
          <w:noProof/>
          <w:sz w:val="23"/>
          <w:szCs w:val="23"/>
        </w:rPr>
        <w:t>Management approaches for Industry 4.0: A human resource management perspective.</w:t>
      </w:r>
      <w:r w:rsidRPr="00D7750B">
        <w:rPr>
          <w:rFonts w:asciiTheme="majorHAnsi" w:hAnsiTheme="majorHAnsi" w:cstheme="majorHAnsi"/>
          <w:noProof/>
          <w:sz w:val="23"/>
          <w:szCs w:val="23"/>
        </w:rPr>
        <w:t xml:space="preserve"> Paper presented at the 2016 IEEE Congress on Evolutionary Computation (CEC).</w:t>
      </w:r>
    </w:p>
    <w:p w14:paraId="30F71183"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Shield, M., Graham, M., &amp; Taket, A. (2011). Neighbourhood renewal in Victoria, Australia: An effective way to address social inclusion. </w:t>
      </w:r>
      <w:r w:rsidRPr="00D7750B">
        <w:rPr>
          <w:rFonts w:asciiTheme="majorHAnsi" w:hAnsiTheme="majorHAnsi" w:cstheme="majorHAnsi"/>
          <w:i/>
          <w:noProof/>
          <w:sz w:val="23"/>
          <w:szCs w:val="23"/>
        </w:rPr>
        <w:t>Journal of Social Inclusion, 2</w:t>
      </w:r>
      <w:r w:rsidRPr="00D7750B">
        <w:rPr>
          <w:rFonts w:asciiTheme="majorHAnsi" w:hAnsiTheme="majorHAnsi" w:cstheme="majorHAnsi"/>
          <w:noProof/>
          <w:sz w:val="23"/>
          <w:szCs w:val="23"/>
        </w:rPr>
        <w:t xml:space="preserve">(2). </w:t>
      </w:r>
    </w:p>
    <w:p w14:paraId="1167A270"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Skilling the Bay Advisory Group. (2020). Geelong Education and Workforce Profile 2011–2021. Retrieved from https://www.thegordon.edu.au/stb/about/geelong-education-and-workforce</w:t>
      </w:r>
    </w:p>
    <w:p w14:paraId="4FCF5FFA"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Sukkar, H. M. (2020). </w:t>
      </w:r>
      <w:r w:rsidRPr="00D7750B">
        <w:rPr>
          <w:rFonts w:asciiTheme="majorHAnsi" w:hAnsiTheme="majorHAnsi" w:cstheme="majorHAnsi"/>
          <w:i/>
          <w:noProof/>
          <w:sz w:val="23"/>
          <w:szCs w:val="23"/>
        </w:rPr>
        <w:t>Geelong Business Round Table</w:t>
      </w:r>
      <w:r w:rsidRPr="00D7750B">
        <w:rPr>
          <w:rFonts w:asciiTheme="majorHAnsi" w:hAnsiTheme="majorHAnsi" w:cstheme="majorHAnsi"/>
          <w:noProof/>
          <w:sz w:val="23"/>
          <w:szCs w:val="23"/>
        </w:rPr>
        <w:t xml:space="preserve">. Retrieved from </w:t>
      </w:r>
    </w:p>
    <w:p w14:paraId="61A1E9FC"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Tavares, S. G., &amp; Stevens, N. J. (2020). Cities will endure, but urban design must adapt to coronavirus risks and fears. </w:t>
      </w:r>
      <w:r w:rsidRPr="00D7750B">
        <w:rPr>
          <w:rFonts w:asciiTheme="majorHAnsi" w:hAnsiTheme="majorHAnsi" w:cstheme="majorHAnsi"/>
          <w:i/>
          <w:noProof/>
          <w:sz w:val="23"/>
          <w:szCs w:val="23"/>
        </w:rPr>
        <w:t>The Conversation</w:t>
      </w:r>
      <w:r w:rsidRPr="00D7750B">
        <w:rPr>
          <w:rFonts w:asciiTheme="majorHAnsi" w:hAnsiTheme="majorHAnsi" w:cstheme="majorHAnsi"/>
          <w:noProof/>
          <w:sz w:val="23"/>
          <w:szCs w:val="23"/>
        </w:rPr>
        <w:t>. Retrieved from https://theconversation.com/cities-will-endure-but-urban-design-must-adapt-to-coronavirus-risks-and-fears-135949</w:t>
      </w:r>
    </w:p>
    <w:p w14:paraId="1B9A6588"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Thomas, J., Barraket, J., Ewing, S., MacDonald, T., Mundell, M., &amp; Tucker, J. (2016). Measuring Australia’s digital divide: the Australian digital inclusion index. </w:t>
      </w:r>
      <w:r w:rsidRPr="00D7750B">
        <w:rPr>
          <w:rFonts w:asciiTheme="majorHAnsi" w:hAnsiTheme="majorHAnsi" w:cstheme="majorHAnsi"/>
          <w:i/>
          <w:noProof/>
          <w:sz w:val="23"/>
          <w:szCs w:val="23"/>
        </w:rPr>
        <w:t>Swinburne University of Technology, Melbourne, Melbourne, AU</w:t>
      </w:r>
      <w:r w:rsidRPr="00D7750B">
        <w:rPr>
          <w:rFonts w:asciiTheme="majorHAnsi" w:hAnsiTheme="majorHAnsi" w:cstheme="majorHAnsi"/>
          <w:noProof/>
          <w:sz w:val="23"/>
          <w:szCs w:val="23"/>
        </w:rPr>
        <w:t xml:space="preserve">. </w:t>
      </w:r>
    </w:p>
    <w:p w14:paraId="0D35C4FC" w14:textId="46887429"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Tran, T. D., Hammarberg, K., Kirkman, M., Nguyen, H. T. M., &amp; Fisher, J. (2020). Alcohol use and mental health status during the first months of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pandemic in Australia. </w:t>
      </w:r>
      <w:r w:rsidRPr="00D7750B">
        <w:rPr>
          <w:rFonts w:asciiTheme="majorHAnsi" w:hAnsiTheme="majorHAnsi" w:cstheme="majorHAnsi"/>
          <w:i/>
          <w:noProof/>
          <w:sz w:val="23"/>
          <w:szCs w:val="23"/>
        </w:rPr>
        <w:t>Journal of affective disorders, 277</w:t>
      </w:r>
      <w:r w:rsidRPr="00D7750B">
        <w:rPr>
          <w:rFonts w:asciiTheme="majorHAnsi" w:hAnsiTheme="majorHAnsi" w:cstheme="majorHAnsi"/>
          <w:noProof/>
          <w:sz w:val="23"/>
          <w:szCs w:val="23"/>
        </w:rPr>
        <w:t xml:space="preserve">, 810-813. </w:t>
      </w:r>
    </w:p>
    <w:p w14:paraId="62D2C253"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Tsirtsakis, A. (2020). Pandemic results in nearly 100,000 fewer GP visits, MBS data reveals. Retrieved from https://www1.racgp.org.au/newsgp/clinical/pandemic-results-in-nearly-100-000-fewer-gp-visits</w:t>
      </w:r>
    </w:p>
    <w:p w14:paraId="4A75CEA2" w14:textId="74F8714F"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lastRenderedPageBreak/>
        <w:t xml:space="preserve">United Nations. (2020). Everyone included: social impact of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 Retrieved from https://www.un.org/development/desa/dspd/everyone-included-</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-19.html</w:t>
      </w:r>
    </w:p>
    <w:p w14:paraId="2484E695" w14:textId="305DB5F2"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Usher, K., Bhullar, N., Durkin, J., Gyamfi, N., &amp; Jackson, D. (2020). Family violence and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‐19: Increased vulnerability and reduced options for support. In: Wiley Online Library.</w:t>
      </w:r>
    </w:p>
    <w:p w14:paraId="198EB1C8" w14:textId="52AD76C7" w:rsidR="003E50BA" w:rsidRPr="00D7750B" w:rsidRDefault="003E50BA" w:rsidP="00173A3F">
      <w:pPr>
        <w:pStyle w:val="EndNoteBibliography"/>
        <w:ind w:left="720" w:hanging="720"/>
        <w:rPr>
          <w:rFonts w:asciiTheme="majorHAnsi" w:hAnsiTheme="majorHAnsi" w:cstheme="majorHAnsi"/>
          <w:iCs/>
          <w:noProof/>
          <w:sz w:val="23"/>
          <w:szCs w:val="23"/>
        </w:rPr>
      </w:pPr>
      <w:r w:rsidRPr="00D7750B">
        <w:rPr>
          <w:rFonts w:asciiTheme="majorHAnsi" w:hAnsiTheme="majorHAnsi" w:cstheme="majorHAnsi"/>
          <w:noProof/>
          <w:sz w:val="23"/>
          <w:szCs w:val="23"/>
        </w:rPr>
        <w:t xml:space="preserve">Van Estrop, C. (2020). </w:t>
      </w:r>
      <w:r w:rsidRPr="00D7750B">
        <w:rPr>
          <w:rFonts w:asciiTheme="majorHAnsi" w:hAnsiTheme="majorHAnsi" w:cstheme="majorHAnsi"/>
          <w:iCs/>
          <w:noProof/>
          <w:sz w:val="23"/>
          <w:szCs w:val="23"/>
        </w:rPr>
        <w:t xml:space="preserve">Plug </w:t>
      </w:r>
      <w:r w:rsidR="00D7750B">
        <w:rPr>
          <w:rFonts w:asciiTheme="majorHAnsi" w:hAnsiTheme="majorHAnsi" w:cstheme="majorHAnsi"/>
          <w:iCs/>
          <w:noProof/>
          <w:sz w:val="23"/>
          <w:szCs w:val="23"/>
        </w:rPr>
        <w:t>P</w:t>
      </w:r>
      <w:r w:rsidRPr="00D7750B">
        <w:rPr>
          <w:rFonts w:asciiTheme="majorHAnsi" w:hAnsiTheme="majorHAnsi" w:cstheme="majorHAnsi"/>
          <w:iCs/>
          <w:noProof/>
          <w:sz w:val="23"/>
          <w:szCs w:val="23"/>
        </w:rPr>
        <w:t xml:space="preserve">ulled on Renew. </w:t>
      </w:r>
      <w:r w:rsidR="00D7750B" w:rsidRPr="00D7750B">
        <w:rPr>
          <w:rFonts w:asciiTheme="majorHAnsi" w:hAnsiTheme="majorHAnsi" w:cstheme="majorHAnsi"/>
          <w:i/>
          <w:noProof/>
          <w:sz w:val="23"/>
          <w:szCs w:val="23"/>
        </w:rPr>
        <w:t>Geelong Advertiser.</w:t>
      </w:r>
      <w:r w:rsidRPr="00D7750B">
        <w:rPr>
          <w:rFonts w:asciiTheme="majorHAnsi" w:hAnsiTheme="majorHAnsi" w:cstheme="majorHAnsi"/>
          <w:iCs/>
          <w:noProof/>
          <w:sz w:val="23"/>
          <w:szCs w:val="23"/>
        </w:rPr>
        <w:t xml:space="preserve"> </w:t>
      </w:r>
    </w:p>
    <w:p w14:paraId="1246FC5B" w14:textId="542B2F2A" w:rsidR="003E50BA" w:rsidRPr="00D7750B" w:rsidRDefault="003E50BA" w:rsidP="00173A3F">
      <w:pPr>
        <w:pStyle w:val="EndNoteBibliography"/>
        <w:ind w:left="720" w:hanging="720"/>
        <w:rPr>
          <w:rFonts w:asciiTheme="majorHAnsi" w:hAnsiTheme="majorHAnsi" w:cstheme="majorHAnsi"/>
          <w:iCs/>
          <w:noProof/>
          <w:sz w:val="23"/>
          <w:szCs w:val="23"/>
        </w:rPr>
      </w:pPr>
      <w:r w:rsidRPr="00D7750B">
        <w:rPr>
          <w:rFonts w:asciiTheme="majorHAnsi" w:hAnsiTheme="majorHAnsi" w:cstheme="majorHAnsi"/>
          <w:iCs/>
          <w:noProof/>
          <w:sz w:val="23"/>
          <w:szCs w:val="23"/>
        </w:rPr>
        <w:t xml:space="preserve">Van Estrop, C., &amp; Tippet, H. (2020). 10,000 have lost their jobs. </w:t>
      </w:r>
      <w:r w:rsidR="00D7750B" w:rsidRPr="00D7750B">
        <w:rPr>
          <w:rFonts w:asciiTheme="majorHAnsi" w:hAnsiTheme="majorHAnsi" w:cstheme="majorHAnsi"/>
          <w:i/>
          <w:noProof/>
          <w:sz w:val="23"/>
          <w:szCs w:val="23"/>
        </w:rPr>
        <w:t>Geelong Advertiser</w:t>
      </w:r>
      <w:r w:rsidR="00D7750B">
        <w:rPr>
          <w:rFonts w:asciiTheme="majorHAnsi" w:hAnsiTheme="majorHAnsi" w:cstheme="majorHAnsi"/>
          <w:iCs/>
          <w:noProof/>
          <w:sz w:val="23"/>
          <w:szCs w:val="23"/>
        </w:rPr>
        <w:t>.</w:t>
      </w:r>
      <w:r w:rsidRPr="00D7750B">
        <w:rPr>
          <w:rFonts w:asciiTheme="majorHAnsi" w:hAnsiTheme="majorHAnsi" w:cstheme="majorHAnsi"/>
          <w:iCs/>
          <w:noProof/>
          <w:sz w:val="23"/>
          <w:szCs w:val="23"/>
        </w:rPr>
        <w:t xml:space="preserve"> </w:t>
      </w:r>
    </w:p>
    <w:p w14:paraId="7EF8C19A" w14:textId="4D6A6135" w:rsidR="00D7750B" w:rsidRDefault="00D7750B" w:rsidP="00D7750B">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Viva Energy </w:t>
      </w:r>
      <w:r>
        <w:rPr>
          <w:rFonts w:asciiTheme="majorHAnsi" w:hAnsiTheme="majorHAnsi" w:cstheme="majorHAnsi"/>
          <w:noProof/>
          <w:sz w:val="23"/>
          <w:szCs w:val="23"/>
        </w:rPr>
        <w:t>(2020). ASX Release: Viva Energy M</w:t>
      </w:r>
      <w:r w:rsidRPr="00D7750B">
        <w:rPr>
          <w:rFonts w:asciiTheme="majorHAnsi" w:hAnsiTheme="majorHAnsi" w:cstheme="majorHAnsi"/>
          <w:noProof/>
          <w:sz w:val="23"/>
          <w:szCs w:val="23"/>
        </w:rPr>
        <w:t xml:space="preserve">arket </w:t>
      </w:r>
      <w:r>
        <w:rPr>
          <w:rFonts w:asciiTheme="majorHAnsi" w:hAnsiTheme="majorHAnsi" w:cstheme="majorHAnsi"/>
          <w:noProof/>
          <w:sz w:val="23"/>
          <w:szCs w:val="23"/>
        </w:rPr>
        <w:t>U</w:t>
      </w:r>
      <w:r w:rsidRPr="00D7750B">
        <w:rPr>
          <w:rFonts w:asciiTheme="majorHAnsi" w:hAnsiTheme="majorHAnsi" w:cstheme="majorHAnsi"/>
          <w:noProof/>
          <w:sz w:val="23"/>
          <w:szCs w:val="23"/>
        </w:rPr>
        <w:t>pdate</w:t>
      </w:r>
      <w:r>
        <w:rPr>
          <w:rFonts w:asciiTheme="majorHAnsi" w:hAnsiTheme="majorHAnsi" w:cstheme="majorHAnsi"/>
          <w:noProof/>
          <w:sz w:val="23"/>
          <w:szCs w:val="23"/>
        </w:rPr>
        <w:t xml:space="preserve">, </w:t>
      </w:r>
      <w:r w:rsidRPr="00D7750B">
        <w:rPr>
          <w:rFonts w:asciiTheme="majorHAnsi" w:hAnsiTheme="majorHAnsi" w:cstheme="majorHAnsi"/>
          <w:noProof/>
          <w:sz w:val="23"/>
          <w:szCs w:val="23"/>
        </w:rPr>
        <w:t>14 October</w:t>
      </w:r>
      <w:r>
        <w:rPr>
          <w:rFonts w:asciiTheme="majorHAnsi" w:hAnsiTheme="majorHAnsi" w:cstheme="majorHAnsi"/>
          <w:noProof/>
          <w:sz w:val="23"/>
          <w:szCs w:val="23"/>
        </w:rPr>
        <w:t xml:space="preserve">, </w:t>
      </w:r>
    </w:p>
    <w:p w14:paraId="484BF976" w14:textId="4C2D3FE3"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Warr, D. J. (2005). Social networks in a ‘discredited’neighbourhood. </w:t>
      </w:r>
      <w:r w:rsidRPr="00D7750B">
        <w:rPr>
          <w:rFonts w:asciiTheme="majorHAnsi" w:hAnsiTheme="majorHAnsi" w:cstheme="majorHAnsi"/>
          <w:i/>
          <w:noProof/>
          <w:sz w:val="23"/>
          <w:szCs w:val="23"/>
        </w:rPr>
        <w:t>Journal of sociology, 41</w:t>
      </w:r>
      <w:r w:rsidRPr="00D7750B">
        <w:rPr>
          <w:rFonts w:asciiTheme="majorHAnsi" w:hAnsiTheme="majorHAnsi" w:cstheme="majorHAnsi"/>
          <w:noProof/>
          <w:sz w:val="23"/>
          <w:szCs w:val="23"/>
        </w:rPr>
        <w:t xml:space="preserve">(3), 285-308. </w:t>
      </w:r>
    </w:p>
    <w:p w14:paraId="25AE0BDF"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Whittington Community Renewal Sustainability Report. (2013). </w:t>
      </w:r>
      <w:r w:rsidRPr="00D7750B">
        <w:rPr>
          <w:rFonts w:asciiTheme="majorHAnsi" w:hAnsiTheme="majorHAnsi" w:cstheme="majorHAnsi"/>
          <w:i/>
          <w:noProof/>
          <w:sz w:val="23"/>
          <w:szCs w:val="23"/>
        </w:rPr>
        <w:t>End of Project Report for the Department of Health and Human Services</w:t>
      </w:r>
      <w:r w:rsidRPr="00D7750B">
        <w:rPr>
          <w:rFonts w:asciiTheme="majorHAnsi" w:hAnsiTheme="majorHAnsi" w:cstheme="majorHAnsi"/>
          <w:noProof/>
          <w:sz w:val="23"/>
          <w:szCs w:val="23"/>
        </w:rPr>
        <w:t xml:space="preserve">. Retrieved from Melbourne: </w:t>
      </w:r>
    </w:p>
    <w:p w14:paraId="210A21FC"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Williams, S. (2021). Australia’s house prices soar to record highs over 2020.  Retrieved from https://www.domain.com.au/news/australias-house-prices-soar-to-record-highs-over-2020-1020487/</w:t>
      </w:r>
    </w:p>
    <w:p w14:paraId="1CC68E53" w14:textId="76FF80C0"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Wilson, C. K. (2020).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digital inclusion and online education: APO Digital Inclusion Collection Brief April 2020. </w:t>
      </w:r>
    </w:p>
    <w:p w14:paraId="084ECE76"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Wong, G. (2008). Has SARS infected the property market? Evidence from Hong Kong. </w:t>
      </w:r>
      <w:r w:rsidRPr="00D7750B">
        <w:rPr>
          <w:rFonts w:asciiTheme="majorHAnsi" w:hAnsiTheme="majorHAnsi" w:cstheme="majorHAnsi"/>
          <w:i/>
          <w:noProof/>
          <w:sz w:val="23"/>
          <w:szCs w:val="23"/>
        </w:rPr>
        <w:t>Journal of urban economics, 63</w:t>
      </w:r>
      <w:r w:rsidRPr="00D7750B">
        <w:rPr>
          <w:rFonts w:asciiTheme="majorHAnsi" w:hAnsiTheme="majorHAnsi" w:cstheme="majorHAnsi"/>
          <w:noProof/>
          <w:sz w:val="23"/>
          <w:szCs w:val="23"/>
        </w:rPr>
        <w:t>(1), 74-95. Retrieved from https://www.ncbi.nlm.nih.gov/pmc/articles/PMC7133336/pdf/main.pdf</w:t>
      </w:r>
    </w:p>
    <w:p w14:paraId="52534335" w14:textId="3D02300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Wood, D., Griffiths, K., &amp; Crowley, T. (2021). </w:t>
      </w:r>
      <w:r w:rsidRPr="00D7750B">
        <w:rPr>
          <w:rFonts w:asciiTheme="majorHAnsi" w:hAnsiTheme="majorHAnsi" w:cstheme="majorHAnsi"/>
          <w:i/>
          <w:noProof/>
          <w:sz w:val="23"/>
          <w:szCs w:val="23"/>
        </w:rPr>
        <w:t xml:space="preserve">Women’s work: the impact of the </w:t>
      </w:r>
      <w:r w:rsidR="00940D80" w:rsidRPr="00D7750B">
        <w:rPr>
          <w:rFonts w:asciiTheme="majorHAnsi" w:hAnsiTheme="majorHAnsi" w:cstheme="majorHAnsi"/>
          <w:i/>
          <w:noProof/>
          <w:sz w:val="23"/>
          <w:szCs w:val="23"/>
        </w:rPr>
        <w:t>COVID</w:t>
      </w:r>
      <w:r w:rsidRPr="00D7750B">
        <w:rPr>
          <w:rFonts w:asciiTheme="majorHAnsi" w:hAnsiTheme="majorHAnsi" w:cstheme="majorHAnsi"/>
          <w:i/>
          <w:noProof/>
          <w:sz w:val="23"/>
          <w:szCs w:val="23"/>
        </w:rPr>
        <w:t xml:space="preserve"> crisis on Australian women</w:t>
      </w:r>
      <w:r w:rsidRPr="00D7750B">
        <w:rPr>
          <w:rFonts w:asciiTheme="majorHAnsi" w:hAnsiTheme="majorHAnsi" w:cstheme="majorHAnsi"/>
          <w:noProof/>
          <w:sz w:val="23"/>
          <w:szCs w:val="23"/>
        </w:rPr>
        <w:t>: Grattan Institute.</w:t>
      </w:r>
    </w:p>
    <w:p w14:paraId="5F4626E3" w14:textId="4FDEC88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Wright, A., Salazar, A., Mirica, M., Volk, L. A., &amp; Schiff, G. D. (2020). The invisible epidemic: neglected chronic disease management during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w:t>
      </w:r>
      <w:r w:rsidRPr="00D7750B">
        <w:rPr>
          <w:rFonts w:asciiTheme="majorHAnsi" w:hAnsiTheme="majorHAnsi" w:cstheme="majorHAnsi"/>
          <w:i/>
          <w:noProof/>
          <w:sz w:val="23"/>
          <w:szCs w:val="23"/>
        </w:rPr>
        <w:t>Journal of general internal medicine, 35</w:t>
      </w:r>
      <w:r w:rsidRPr="00D7750B">
        <w:rPr>
          <w:rFonts w:asciiTheme="majorHAnsi" w:hAnsiTheme="majorHAnsi" w:cstheme="majorHAnsi"/>
          <w:noProof/>
          <w:sz w:val="23"/>
          <w:szCs w:val="23"/>
        </w:rPr>
        <w:t xml:space="preserve">(9), 2816-2817. </w:t>
      </w:r>
    </w:p>
    <w:p w14:paraId="214EBC1E" w14:textId="77777777" w:rsidR="003E50BA" w:rsidRPr="00D7750B" w:rsidRDefault="003E50BA" w:rsidP="00173A3F">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Wynd, I. (1979). </w:t>
      </w:r>
      <w:r w:rsidRPr="00D7750B">
        <w:rPr>
          <w:rFonts w:asciiTheme="majorHAnsi" w:hAnsiTheme="majorHAnsi" w:cstheme="majorHAnsi"/>
          <w:i/>
          <w:noProof/>
          <w:sz w:val="23"/>
          <w:szCs w:val="23"/>
        </w:rPr>
        <w:t>Case Study of Geelong: Chapter 15 Economic Geography and Australian Regionalism, Part Two, Study Guide C</w:t>
      </w:r>
      <w:r w:rsidRPr="00D7750B">
        <w:rPr>
          <w:rFonts w:asciiTheme="majorHAnsi" w:hAnsiTheme="majorHAnsi" w:cstheme="majorHAnsi"/>
          <w:noProof/>
          <w:sz w:val="23"/>
          <w:szCs w:val="23"/>
        </w:rPr>
        <w:t>: Open Campus Program, School of Humanities, Deakin University.</w:t>
      </w:r>
    </w:p>
    <w:p w14:paraId="1B71C12A" w14:textId="2EC255E8" w:rsidR="00DF5505" w:rsidRPr="00D7750B" w:rsidRDefault="003E50BA" w:rsidP="00DF5505">
      <w:pPr>
        <w:pStyle w:val="EndNoteBibliography"/>
        <w:ind w:left="720" w:hanging="720"/>
        <w:rPr>
          <w:rFonts w:asciiTheme="majorHAnsi" w:hAnsiTheme="majorHAnsi" w:cstheme="majorHAnsi"/>
          <w:noProof/>
          <w:sz w:val="23"/>
          <w:szCs w:val="23"/>
        </w:rPr>
      </w:pPr>
      <w:r w:rsidRPr="00D7750B">
        <w:rPr>
          <w:rFonts w:asciiTheme="majorHAnsi" w:hAnsiTheme="majorHAnsi" w:cstheme="majorHAnsi"/>
          <w:noProof/>
          <w:sz w:val="23"/>
          <w:szCs w:val="23"/>
        </w:rPr>
        <w:t xml:space="preserve">Yang, Y., &amp; Xiang, X. (2021). Examine the associations between perceived neighborhood conditions, physical activity, and mental health during the </w:t>
      </w:r>
      <w:r w:rsidR="00940D80" w:rsidRPr="00D7750B">
        <w:rPr>
          <w:rFonts w:asciiTheme="majorHAnsi" w:hAnsiTheme="majorHAnsi" w:cstheme="majorHAnsi"/>
          <w:noProof/>
          <w:sz w:val="23"/>
          <w:szCs w:val="23"/>
        </w:rPr>
        <w:t>COVID</w:t>
      </w:r>
      <w:r w:rsidRPr="00D7750B">
        <w:rPr>
          <w:rFonts w:asciiTheme="majorHAnsi" w:hAnsiTheme="majorHAnsi" w:cstheme="majorHAnsi"/>
          <w:noProof/>
          <w:sz w:val="23"/>
          <w:szCs w:val="23"/>
        </w:rPr>
        <w:t xml:space="preserve">-19 pandemic. </w:t>
      </w:r>
      <w:r w:rsidRPr="00D7750B">
        <w:rPr>
          <w:rFonts w:asciiTheme="majorHAnsi" w:hAnsiTheme="majorHAnsi" w:cstheme="majorHAnsi"/>
          <w:i/>
          <w:noProof/>
          <w:sz w:val="23"/>
          <w:szCs w:val="23"/>
        </w:rPr>
        <w:t>Health &amp; place, 67</w:t>
      </w:r>
      <w:r w:rsidRPr="00D7750B">
        <w:rPr>
          <w:rFonts w:asciiTheme="majorHAnsi" w:hAnsiTheme="majorHAnsi" w:cstheme="majorHAnsi"/>
          <w:noProof/>
          <w:sz w:val="23"/>
          <w:szCs w:val="23"/>
        </w:rPr>
        <w:t>, 102505.</w:t>
      </w:r>
    </w:p>
    <w:p w14:paraId="49ECC8D4" w14:textId="4C01ADFB" w:rsidR="00DF5505" w:rsidRPr="00D7750B" w:rsidRDefault="00C10AA7" w:rsidP="00C10AA7">
      <w:pPr>
        <w:pStyle w:val="EndNoteBibliography"/>
        <w:ind w:left="720" w:hanging="720"/>
        <w:rPr>
          <w:rFonts w:asciiTheme="majorHAnsi" w:hAnsiTheme="majorHAnsi" w:cstheme="majorHAnsi"/>
          <w:noProof/>
          <w:sz w:val="23"/>
          <w:szCs w:val="23"/>
          <w:lang w:val="en-AU"/>
        </w:rPr>
      </w:pPr>
      <w:r w:rsidRPr="00D7750B">
        <w:rPr>
          <w:rFonts w:asciiTheme="majorHAnsi" w:hAnsiTheme="majorHAnsi" w:cstheme="majorHAnsi"/>
          <w:noProof/>
          <w:sz w:val="23"/>
          <w:szCs w:val="23"/>
          <w:lang w:val="en-AU"/>
        </w:rPr>
        <w:t>Zhou, N. (2021). ‘More than 17,000 jobs lost at Australian universities during Covid pandemic’, The Guardian, 3 Feburary, https://www.theguardian.com/australia-news/2021/feb/03/more-than-17000-jobs-lost-at-australian-universities-during-covid-pandemic</w:t>
      </w:r>
    </w:p>
    <w:p w14:paraId="106E23D5" w14:textId="760C1E21" w:rsidR="00DF5505" w:rsidRDefault="00DF5505" w:rsidP="00DF5505">
      <w:pPr>
        <w:pStyle w:val="EndNoteBibliography"/>
        <w:rPr>
          <w:noProof/>
        </w:rPr>
        <w:sectPr w:rsidR="00DF5505" w:rsidSect="009452E8">
          <w:pgSz w:w="11900" w:h="16840"/>
          <w:pgMar w:top="1134" w:right="1134" w:bottom="1134" w:left="1134" w:header="709" w:footer="709" w:gutter="0"/>
          <w:cols w:space="708"/>
          <w:docGrid w:linePitch="360"/>
        </w:sectPr>
      </w:pPr>
    </w:p>
    <w:p w14:paraId="122BB210" w14:textId="4F0F0FE3" w:rsidR="00F00E3D" w:rsidRPr="00661C93" w:rsidRDefault="00F00E3D" w:rsidP="009B2FA7">
      <w:pPr>
        <w:spacing w:after="0" w:line="276" w:lineRule="auto"/>
        <w:rPr>
          <w:b/>
          <w:bCs/>
          <w:color w:val="2F5496" w:themeColor="accent1" w:themeShade="BF"/>
          <w:sz w:val="36"/>
          <w:szCs w:val="36"/>
        </w:rPr>
      </w:pPr>
      <w:r w:rsidRPr="00EB1E62">
        <w:rPr>
          <w:b/>
          <w:bCs/>
          <w:color w:val="2F5496" w:themeColor="accent1" w:themeShade="BF"/>
          <w:sz w:val="36"/>
          <w:szCs w:val="36"/>
        </w:rPr>
        <w:lastRenderedPageBreak/>
        <w:t xml:space="preserve">APPENDIX A: Keywords </w:t>
      </w:r>
      <w:r>
        <w:rPr>
          <w:b/>
          <w:bCs/>
          <w:color w:val="2F5496" w:themeColor="accent1" w:themeShade="BF"/>
          <w:sz w:val="36"/>
          <w:szCs w:val="36"/>
        </w:rPr>
        <w:t>for</w:t>
      </w:r>
      <w:r w:rsidRPr="00EB1E62">
        <w:rPr>
          <w:b/>
          <w:bCs/>
          <w:color w:val="2F5496" w:themeColor="accent1" w:themeShade="BF"/>
          <w:sz w:val="36"/>
          <w:szCs w:val="36"/>
        </w:rPr>
        <w:t xml:space="preserve"> Literature Searches</w:t>
      </w:r>
    </w:p>
    <w:p w14:paraId="315ACEE7" w14:textId="77777777" w:rsidR="00F00E3D" w:rsidRPr="00681856" w:rsidRDefault="00F00E3D" w:rsidP="009B2FA7">
      <w:pPr>
        <w:spacing w:after="0" w:line="240" w:lineRule="auto"/>
        <w:rPr>
          <w:rFonts w:asciiTheme="majorHAnsi" w:hAnsiTheme="majorHAnsi" w:cstheme="majorBidi"/>
        </w:rPr>
      </w:pPr>
      <w:r w:rsidRPr="00231567">
        <w:rPr>
          <w:rFonts w:asciiTheme="majorHAnsi" w:hAnsiTheme="majorHAnsi" w:cstheme="majorBidi"/>
          <w:b/>
          <w:bCs/>
        </w:rPr>
        <w:t>Source material:</w:t>
      </w:r>
      <w:r w:rsidRPr="00231567">
        <w:rPr>
          <w:rFonts w:asciiTheme="majorHAnsi" w:hAnsiTheme="majorHAnsi" w:cstheme="majorBidi"/>
        </w:rPr>
        <w:t xml:space="preserve"> academic and grey literature, published 2005–2020</w:t>
      </w:r>
      <w:r>
        <w:rPr>
          <w:rFonts w:asciiTheme="majorHAnsi" w:hAnsiTheme="majorHAnsi" w:cstheme="majorBidi"/>
        </w:rPr>
        <w:t xml:space="preserve">. </w:t>
      </w:r>
      <w:r w:rsidRPr="00231567">
        <w:rPr>
          <w:rFonts w:asciiTheme="majorHAnsi" w:hAnsiTheme="majorHAnsi" w:cstheme="majorHAnsi"/>
          <w:b/>
          <w:bCs/>
        </w:rPr>
        <w:t>Keyword selection</w:t>
      </w:r>
      <w:r w:rsidRPr="00231567">
        <w:rPr>
          <w:rFonts w:asciiTheme="majorHAnsi" w:hAnsiTheme="majorHAnsi" w:cstheme="majorHAnsi"/>
        </w:rPr>
        <w:t xml:space="preserve"> was informed by:</w:t>
      </w:r>
    </w:p>
    <w:p w14:paraId="03C04B83" w14:textId="225A65D5" w:rsidR="00F00E3D" w:rsidRPr="00231567" w:rsidRDefault="00F00E3D" w:rsidP="00364C5D">
      <w:pPr>
        <w:pStyle w:val="ListParagraph"/>
        <w:numPr>
          <w:ilvl w:val="0"/>
          <w:numId w:val="16"/>
        </w:numPr>
        <w:spacing w:after="0" w:line="240" w:lineRule="auto"/>
        <w:rPr>
          <w:rFonts w:asciiTheme="majorHAnsi" w:hAnsiTheme="majorHAnsi" w:cstheme="majorHAnsi"/>
        </w:rPr>
      </w:pPr>
      <w:r w:rsidRPr="00231567">
        <w:rPr>
          <w:rFonts w:asciiTheme="majorHAnsi" w:hAnsiTheme="majorHAnsi" w:cstheme="majorHAnsi"/>
          <w:i/>
          <w:iCs/>
        </w:rPr>
        <w:t>Vital Communities: Statement of Work</w:t>
      </w:r>
      <w:r w:rsidRPr="00231567">
        <w:rPr>
          <w:rFonts w:asciiTheme="majorHAnsi" w:hAnsiTheme="majorHAnsi" w:cstheme="majorHAnsi"/>
        </w:rPr>
        <w:t xml:space="preserve">, five research questions (p.12) and five </w:t>
      </w:r>
      <w:r w:rsidR="00D95573">
        <w:rPr>
          <w:rFonts w:asciiTheme="majorHAnsi" w:hAnsiTheme="majorHAnsi" w:cstheme="majorHAnsi"/>
        </w:rPr>
        <w:t>Practice Domain</w:t>
      </w:r>
      <w:r w:rsidRPr="00231567">
        <w:rPr>
          <w:rFonts w:asciiTheme="majorHAnsi" w:hAnsiTheme="majorHAnsi" w:cstheme="majorHAnsi"/>
        </w:rPr>
        <w:t>s (p.14)</w:t>
      </w:r>
    </w:p>
    <w:p w14:paraId="031DA108" w14:textId="07B2BBBD" w:rsidR="00F00E3D" w:rsidRPr="00231567" w:rsidRDefault="00F00E3D" w:rsidP="00364C5D">
      <w:pPr>
        <w:pStyle w:val="ListParagraph"/>
        <w:numPr>
          <w:ilvl w:val="0"/>
          <w:numId w:val="16"/>
        </w:numPr>
        <w:spacing w:after="0" w:line="240" w:lineRule="auto"/>
        <w:rPr>
          <w:rFonts w:asciiTheme="majorHAnsi" w:hAnsiTheme="majorHAnsi" w:cstheme="majorHAnsi"/>
        </w:rPr>
      </w:pPr>
      <w:r w:rsidRPr="00231567">
        <w:rPr>
          <w:rFonts w:asciiTheme="majorHAnsi" w:hAnsiTheme="majorHAnsi" w:cstheme="majorHAnsi"/>
        </w:rPr>
        <w:t xml:space="preserve">Feedback from </w:t>
      </w:r>
      <w:r w:rsidR="001B7DDF">
        <w:rPr>
          <w:rFonts w:asciiTheme="majorHAnsi" w:hAnsiTheme="majorHAnsi" w:cstheme="majorHAnsi"/>
        </w:rPr>
        <w:t>CoGG</w:t>
      </w:r>
      <w:r w:rsidRPr="00231567">
        <w:rPr>
          <w:rFonts w:asciiTheme="majorHAnsi" w:hAnsiTheme="majorHAnsi" w:cstheme="majorHAnsi"/>
        </w:rPr>
        <w:t xml:space="preserve"> team (meeting to refine scope of research, 17 December 2020)</w:t>
      </w:r>
    </w:p>
    <w:p w14:paraId="22B76B7A" w14:textId="77777777" w:rsidR="00F00E3D" w:rsidRPr="00231567" w:rsidRDefault="00F00E3D" w:rsidP="00364C5D">
      <w:pPr>
        <w:pStyle w:val="ListParagraph"/>
        <w:numPr>
          <w:ilvl w:val="0"/>
          <w:numId w:val="16"/>
        </w:numPr>
        <w:spacing w:after="0" w:line="240" w:lineRule="auto"/>
        <w:rPr>
          <w:rFonts w:asciiTheme="majorHAnsi" w:hAnsiTheme="majorHAnsi" w:cstheme="majorHAnsi"/>
        </w:rPr>
      </w:pPr>
      <w:r w:rsidRPr="00231567">
        <w:rPr>
          <w:rFonts w:asciiTheme="majorHAnsi" w:hAnsiTheme="majorHAnsi" w:cstheme="majorHAnsi"/>
        </w:rPr>
        <w:t>Ongoing refinement in response to emergent search results/identified gaps/local concerns</w:t>
      </w:r>
      <w:r>
        <w:rPr>
          <w:rFonts w:asciiTheme="majorHAnsi" w:hAnsiTheme="majorHAnsi" w:cstheme="majorHAnsi"/>
        </w:rPr>
        <w:t>, and methodology/parameters of particular report section</w:t>
      </w:r>
    </w:p>
    <w:p w14:paraId="71A2EA4E" w14:textId="77777777" w:rsidR="00F00E3D" w:rsidRDefault="00F00E3D" w:rsidP="009B2FA7">
      <w:pPr>
        <w:spacing w:after="0" w:line="240" w:lineRule="auto"/>
        <w:rPr>
          <w:rFonts w:asciiTheme="majorHAnsi" w:hAnsiTheme="majorHAnsi" w:cstheme="majorBidi"/>
        </w:rPr>
      </w:pPr>
      <w:r w:rsidRPr="00231567">
        <w:rPr>
          <w:rFonts w:asciiTheme="majorHAnsi" w:hAnsiTheme="majorHAnsi" w:cstheme="majorBidi"/>
          <w:b/>
          <w:bCs/>
        </w:rPr>
        <w:t>Search engines and databases used:</w:t>
      </w:r>
      <w:r w:rsidRPr="00231567">
        <w:rPr>
          <w:rFonts w:asciiTheme="majorHAnsi" w:hAnsiTheme="majorHAnsi" w:cstheme="majorBidi"/>
        </w:rPr>
        <w:t xml:space="preserve"> Google, Google Scholar, SCOPUS, ProQuest, JSTOR, Informit, Analysis &amp; Policy Observatory (APO), Research Papers in Economics (RePEc), OpenGrey, Australian Institute of Health &amp; Welfare (AIHW), handsearching (manual)</w:t>
      </w:r>
    </w:p>
    <w:p w14:paraId="1203B204" w14:textId="77777777" w:rsidR="00F00E3D" w:rsidRPr="00C23E87" w:rsidRDefault="00F00E3D" w:rsidP="009B2FA7">
      <w:pPr>
        <w:spacing w:after="0" w:line="240" w:lineRule="auto"/>
        <w:rPr>
          <w:rFonts w:asciiTheme="majorHAnsi" w:hAnsiTheme="majorHAnsi" w:cstheme="majorBidi"/>
          <w:sz w:val="4"/>
          <w:szCs w:val="4"/>
        </w:rPr>
      </w:pPr>
    </w:p>
    <w:tbl>
      <w:tblPr>
        <w:tblStyle w:val="TableGrid"/>
        <w:tblW w:w="14390" w:type="dxa"/>
        <w:tblInd w:w="137" w:type="dxa"/>
        <w:tblLook w:val="04A0" w:firstRow="1" w:lastRow="0" w:firstColumn="1" w:lastColumn="0" w:noHBand="0" w:noVBand="1"/>
      </w:tblPr>
      <w:tblGrid>
        <w:gridCol w:w="491"/>
        <w:gridCol w:w="3296"/>
        <w:gridCol w:w="841"/>
        <w:gridCol w:w="3109"/>
        <w:gridCol w:w="792"/>
        <w:gridCol w:w="2837"/>
        <w:gridCol w:w="578"/>
        <w:gridCol w:w="2446"/>
      </w:tblGrid>
      <w:tr w:rsidR="00F00E3D" w:rsidRPr="00231567" w14:paraId="49E8AE44" w14:textId="77777777" w:rsidTr="009B2FA7">
        <w:trPr>
          <w:trHeight w:val="246"/>
        </w:trPr>
        <w:tc>
          <w:tcPr>
            <w:tcW w:w="491" w:type="dxa"/>
          </w:tcPr>
          <w:p w14:paraId="32D10AB6" w14:textId="77777777" w:rsidR="00F00E3D" w:rsidRPr="00231567" w:rsidRDefault="00F00E3D" w:rsidP="009B2FA7">
            <w:pPr>
              <w:spacing w:line="276" w:lineRule="auto"/>
              <w:rPr>
                <w:rFonts w:cstheme="minorHAnsi"/>
                <w:b/>
                <w:bCs/>
                <w:sz w:val="20"/>
                <w:szCs w:val="20"/>
              </w:rPr>
            </w:pPr>
            <w:bookmarkStart w:id="99" w:name="_Hlk60839597"/>
          </w:p>
        </w:tc>
        <w:tc>
          <w:tcPr>
            <w:tcW w:w="3296" w:type="dxa"/>
          </w:tcPr>
          <w:p w14:paraId="1894B7FE" w14:textId="77777777" w:rsidR="00F00E3D" w:rsidRPr="00231567" w:rsidRDefault="00F00E3D" w:rsidP="009B2FA7">
            <w:pPr>
              <w:spacing w:line="276" w:lineRule="auto"/>
              <w:rPr>
                <w:rFonts w:cstheme="minorHAnsi"/>
                <w:b/>
                <w:bCs/>
                <w:sz w:val="20"/>
                <w:szCs w:val="20"/>
              </w:rPr>
            </w:pPr>
            <w:r w:rsidRPr="00231567">
              <w:rPr>
                <w:rFonts w:cstheme="minorHAnsi"/>
                <w:b/>
                <w:bCs/>
                <w:sz w:val="20"/>
                <w:szCs w:val="20"/>
              </w:rPr>
              <w:t xml:space="preserve">Broad themes                </w:t>
            </w:r>
          </w:p>
        </w:tc>
        <w:tc>
          <w:tcPr>
            <w:tcW w:w="841" w:type="dxa"/>
          </w:tcPr>
          <w:p w14:paraId="1C6356E1" w14:textId="77777777" w:rsidR="00F00E3D" w:rsidRPr="00231567" w:rsidRDefault="00F00E3D" w:rsidP="009B2FA7">
            <w:pPr>
              <w:spacing w:line="276" w:lineRule="auto"/>
              <w:rPr>
                <w:rFonts w:cstheme="minorHAnsi"/>
                <w:b/>
                <w:bCs/>
                <w:sz w:val="20"/>
                <w:szCs w:val="20"/>
              </w:rPr>
            </w:pPr>
            <w:r w:rsidRPr="00231567">
              <w:rPr>
                <w:rFonts w:cstheme="minorHAnsi"/>
                <w:noProof/>
                <w:color w:val="2B579A"/>
                <w:sz w:val="20"/>
                <w:szCs w:val="20"/>
                <w:shd w:val="clear" w:color="auto" w:fill="E6E6E6"/>
                <w:lang w:eastAsia="zh-CN"/>
              </w:rPr>
              <mc:AlternateContent>
                <mc:Choice Requires="wps">
                  <w:drawing>
                    <wp:anchor distT="0" distB="0" distL="114300" distR="114300" simplePos="0" relativeHeight="251658244" behindDoc="0" locked="0" layoutInCell="1" allowOverlap="1" wp14:anchorId="7645DD6F" wp14:editId="1A0C3D11">
                      <wp:simplePos x="0" y="0"/>
                      <wp:positionH relativeFrom="column">
                        <wp:posOffset>280035</wp:posOffset>
                      </wp:positionH>
                      <wp:positionV relativeFrom="paragraph">
                        <wp:posOffset>33655</wp:posOffset>
                      </wp:positionV>
                      <wp:extent cx="76200" cy="91440"/>
                      <wp:effectExtent l="0" t="7620" r="0" b="0"/>
                      <wp:wrapNone/>
                      <wp:docPr id="7" name="Arrow: Down 7"/>
                      <wp:cNvGraphicFramePr/>
                      <a:graphic xmlns:a="http://schemas.openxmlformats.org/drawingml/2006/main">
                        <a:graphicData uri="http://schemas.microsoft.com/office/word/2010/wordprocessingShape">
                          <wps:wsp>
                            <wps:cNvSpPr/>
                            <wps:spPr>
                              <a:xfrm rot="16200000">
                                <a:off x="0" y="0"/>
                                <a:ext cx="76200" cy="9144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0184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22.05pt;margin-top:2.65pt;width:6pt;height:7.2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" adj="12600" fillcolor="#7f7f7f [1612]" stroked="f" strokeweight="1pt"/>
                  </w:pict>
                </mc:Fallback>
              </mc:AlternateContent>
            </w:r>
            <w:r w:rsidRPr="00231567">
              <w:rPr>
                <w:rFonts w:cstheme="minorHAnsi"/>
                <w:b/>
                <w:bCs/>
                <w:sz w:val="20"/>
                <w:szCs w:val="20"/>
              </w:rPr>
              <w:t xml:space="preserve">AND        </w:t>
            </w:r>
          </w:p>
        </w:tc>
        <w:tc>
          <w:tcPr>
            <w:tcW w:w="3109" w:type="dxa"/>
          </w:tcPr>
          <w:p w14:paraId="2A08B3C8" w14:textId="77777777" w:rsidR="00F00E3D" w:rsidRPr="00231567" w:rsidRDefault="00F00E3D" w:rsidP="009B2FA7">
            <w:pPr>
              <w:spacing w:line="276" w:lineRule="auto"/>
              <w:rPr>
                <w:rFonts w:cstheme="minorHAnsi"/>
                <w:b/>
                <w:bCs/>
                <w:sz w:val="20"/>
                <w:szCs w:val="20"/>
              </w:rPr>
            </w:pPr>
            <w:r w:rsidRPr="00231567">
              <w:rPr>
                <w:rFonts w:cstheme="minorHAnsi"/>
                <w:b/>
                <w:bCs/>
                <w:sz w:val="20"/>
                <w:szCs w:val="20"/>
              </w:rPr>
              <w:t xml:space="preserve">Policy flags               </w:t>
            </w:r>
          </w:p>
        </w:tc>
        <w:tc>
          <w:tcPr>
            <w:tcW w:w="792" w:type="dxa"/>
          </w:tcPr>
          <w:p w14:paraId="2AE5C26B" w14:textId="77777777" w:rsidR="00F00E3D" w:rsidRPr="00231567" w:rsidRDefault="00F00E3D" w:rsidP="009B2FA7">
            <w:pPr>
              <w:spacing w:line="276" w:lineRule="auto"/>
              <w:rPr>
                <w:rFonts w:cstheme="minorHAnsi"/>
                <w:b/>
                <w:bCs/>
                <w:sz w:val="20"/>
                <w:szCs w:val="20"/>
              </w:rPr>
            </w:pPr>
            <w:r w:rsidRPr="00231567">
              <w:rPr>
                <w:rFonts w:cstheme="minorHAnsi"/>
                <w:noProof/>
                <w:color w:val="2B579A"/>
                <w:sz w:val="20"/>
                <w:szCs w:val="20"/>
                <w:shd w:val="clear" w:color="auto" w:fill="E6E6E6"/>
                <w:lang w:eastAsia="zh-CN"/>
              </w:rPr>
              <mc:AlternateContent>
                <mc:Choice Requires="wps">
                  <w:drawing>
                    <wp:anchor distT="0" distB="0" distL="114300" distR="114300" simplePos="0" relativeHeight="251658245" behindDoc="0" locked="0" layoutInCell="1" allowOverlap="1" wp14:anchorId="2E2B34D8" wp14:editId="628F8054">
                      <wp:simplePos x="0" y="0"/>
                      <wp:positionH relativeFrom="column">
                        <wp:posOffset>269240</wp:posOffset>
                      </wp:positionH>
                      <wp:positionV relativeFrom="paragraph">
                        <wp:posOffset>41910</wp:posOffset>
                      </wp:positionV>
                      <wp:extent cx="76200" cy="91440"/>
                      <wp:effectExtent l="0" t="7620" r="0" b="0"/>
                      <wp:wrapNone/>
                      <wp:docPr id="9" name="Arrow: Down 9"/>
                      <wp:cNvGraphicFramePr/>
                      <a:graphic xmlns:a="http://schemas.openxmlformats.org/drawingml/2006/main">
                        <a:graphicData uri="http://schemas.microsoft.com/office/word/2010/wordprocessingShape">
                          <wps:wsp>
                            <wps:cNvSpPr/>
                            <wps:spPr>
                              <a:xfrm rot="16200000">
                                <a:off x="0" y="0"/>
                                <a:ext cx="76200" cy="9144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AA4DE" id="Arrow: Down 9" o:spid="_x0000_s1026" type="#_x0000_t67" style="position:absolute;margin-left:21.2pt;margin-top:3.3pt;width:6pt;height:7.2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" adj="12600" fillcolor="#7f7f7f [1612]" stroked="f" strokeweight="1pt"/>
                  </w:pict>
                </mc:Fallback>
              </mc:AlternateContent>
            </w:r>
            <w:r w:rsidRPr="00231567">
              <w:rPr>
                <w:rFonts w:cstheme="minorHAnsi"/>
                <w:b/>
                <w:bCs/>
                <w:sz w:val="20"/>
                <w:szCs w:val="20"/>
              </w:rPr>
              <w:t xml:space="preserve">AND </w:t>
            </w:r>
          </w:p>
        </w:tc>
        <w:tc>
          <w:tcPr>
            <w:tcW w:w="5861" w:type="dxa"/>
            <w:gridSpan w:val="3"/>
          </w:tcPr>
          <w:p w14:paraId="4B6056A4" w14:textId="77777777" w:rsidR="00F00E3D" w:rsidRPr="00231567" w:rsidRDefault="00F00E3D" w:rsidP="009B2FA7">
            <w:pPr>
              <w:spacing w:line="276" w:lineRule="auto"/>
              <w:rPr>
                <w:rFonts w:cstheme="minorHAnsi"/>
                <w:b/>
                <w:bCs/>
                <w:sz w:val="20"/>
                <w:szCs w:val="20"/>
              </w:rPr>
            </w:pPr>
            <w:r w:rsidRPr="00231567">
              <w:rPr>
                <w:rFonts w:cstheme="minorHAnsi"/>
                <w:b/>
                <w:bCs/>
                <w:sz w:val="20"/>
                <w:szCs w:val="20"/>
              </w:rPr>
              <w:t>Specific topics</w:t>
            </w:r>
          </w:p>
        </w:tc>
      </w:tr>
      <w:tr w:rsidR="00F00E3D" w:rsidRPr="00231567" w14:paraId="44EB4537" w14:textId="77777777" w:rsidTr="00052574">
        <w:trPr>
          <w:trHeight w:val="246"/>
        </w:trPr>
        <w:tc>
          <w:tcPr>
            <w:tcW w:w="491" w:type="dxa"/>
          </w:tcPr>
          <w:p w14:paraId="7E7234A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noProof/>
                <w:color w:val="2B579A"/>
                <w:sz w:val="20"/>
                <w:szCs w:val="20"/>
                <w:shd w:val="clear" w:color="auto" w:fill="E6E6E6"/>
                <w:lang w:eastAsia="zh-CN"/>
              </w:rPr>
              <mc:AlternateContent>
                <mc:Choice Requires="wps">
                  <w:drawing>
                    <wp:anchor distT="0" distB="0" distL="114300" distR="114300" simplePos="0" relativeHeight="251658240" behindDoc="0" locked="0" layoutInCell="1" allowOverlap="1" wp14:anchorId="205FA8CF" wp14:editId="363AF779">
                      <wp:simplePos x="0" y="0"/>
                      <wp:positionH relativeFrom="column">
                        <wp:posOffset>28575</wp:posOffset>
                      </wp:positionH>
                      <wp:positionV relativeFrom="paragraph">
                        <wp:posOffset>56515</wp:posOffset>
                      </wp:positionV>
                      <wp:extent cx="76200" cy="91440"/>
                      <wp:effectExtent l="0" t="0" r="0" b="3810"/>
                      <wp:wrapNone/>
                      <wp:docPr id="2" name="Arrow: Down 2"/>
                      <wp:cNvGraphicFramePr/>
                      <a:graphic xmlns:a="http://schemas.openxmlformats.org/drawingml/2006/main">
                        <a:graphicData uri="http://schemas.microsoft.com/office/word/2010/wordprocessingShape">
                          <wps:wsp>
                            <wps:cNvSpPr/>
                            <wps:spPr>
                              <a:xfrm>
                                <a:off x="0" y="0"/>
                                <a:ext cx="76200" cy="91440"/>
                              </a:xfrm>
                              <a:prstGeom prst="downArrow">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5EC9" id="Arrow: Down 2" o:spid="_x0000_s1026" type="#_x0000_t67" style="position:absolute;margin-left:2.25pt;margin-top:4.45pt;width:6pt;height: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" adj="12600" fillcolor="#7f7f7f" stroked="f" strokeweight="1pt"/>
                  </w:pict>
                </mc:Fallback>
              </mc:AlternateContent>
            </w:r>
          </w:p>
        </w:tc>
        <w:tc>
          <w:tcPr>
            <w:tcW w:w="3296" w:type="dxa"/>
          </w:tcPr>
          <w:p w14:paraId="7E59DAB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Social inclusion</w:t>
            </w:r>
          </w:p>
        </w:tc>
        <w:tc>
          <w:tcPr>
            <w:tcW w:w="841" w:type="dxa"/>
          </w:tcPr>
          <w:p w14:paraId="5829147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noProof/>
                <w:color w:val="2B579A"/>
                <w:sz w:val="20"/>
                <w:szCs w:val="20"/>
                <w:shd w:val="clear" w:color="auto" w:fill="E6E6E6"/>
                <w:lang w:eastAsia="zh-CN"/>
              </w:rPr>
              <mc:AlternateContent>
                <mc:Choice Requires="wps">
                  <w:drawing>
                    <wp:anchor distT="0" distB="0" distL="114300" distR="114300" simplePos="0" relativeHeight="251658241" behindDoc="0" locked="0" layoutInCell="1" allowOverlap="1" wp14:anchorId="5942011B" wp14:editId="0F34B873">
                      <wp:simplePos x="0" y="0"/>
                      <wp:positionH relativeFrom="column">
                        <wp:posOffset>36830</wp:posOffset>
                      </wp:positionH>
                      <wp:positionV relativeFrom="paragraph">
                        <wp:posOffset>41275</wp:posOffset>
                      </wp:positionV>
                      <wp:extent cx="76200" cy="91440"/>
                      <wp:effectExtent l="0" t="0" r="0" b="3810"/>
                      <wp:wrapNone/>
                      <wp:docPr id="3" name="Arrow: Down 3"/>
                      <wp:cNvGraphicFramePr/>
                      <a:graphic xmlns:a="http://schemas.openxmlformats.org/drawingml/2006/main">
                        <a:graphicData uri="http://schemas.microsoft.com/office/word/2010/wordprocessingShape">
                          <wps:wsp>
                            <wps:cNvSpPr/>
                            <wps:spPr>
                              <a:xfrm>
                                <a:off x="0" y="0"/>
                                <a:ext cx="76200" cy="91440"/>
                              </a:xfrm>
                              <a:prstGeom prst="downArrow">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53017" id="Arrow: Down 3" o:spid="_x0000_s1026" type="#_x0000_t67" style="position:absolute;margin-left:2.9pt;margin-top:3.25pt;width:6pt;height:7.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" adj="12600" fillcolor="#7f7f7f" stroked="f" strokeweight="1pt"/>
                  </w:pict>
                </mc:Fallback>
              </mc:AlternateContent>
            </w:r>
          </w:p>
        </w:tc>
        <w:tc>
          <w:tcPr>
            <w:tcW w:w="3109" w:type="dxa"/>
          </w:tcPr>
          <w:p w14:paraId="3B03260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Policy (policies)</w:t>
            </w:r>
          </w:p>
        </w:tc>
        <w:tc>
          <w:tcPr>
            <w:tcW w:w="792" w:type="dxa"/>
          </w:tcPr>
          <w:p w14:paraId="02D6734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noProof/>
                <w:color w:val="2B579A"/>
                <w:sz w:val="20"/>
                <w:szCs w:val="20"/>
                <w:shd w:val="clear" w:color="auto" w:fill="E6E6E6"/>
                <w:lang w:eastAsia="zh-CN"/>
              </w:rPr>
              <mc:AlternateContent>
                <mc:Choice Requires="wps">
                  <w:drawing>
                    <wp:anchor distT="0" distB="0" distL="114300" distR="114300" simplePos="0" relativeHeight="251658242" behindDoc="0" locked="0" layoutInCell="1" allowOverlap="1" wp14:anchorId="019FE2EE" wp14:editId="7494BEEF">
                      <wp:simplePos x="0" y="0"/>
                      <wp:positionH relativeFrom="column">
                        <wp:posOffset>40640</wp:posOffset>
                      </wp:positionH>
                      <wp:positionV relativeFrom="paragraph">
                        <wp:posOffset>33655</wp:posOffset>
                      </wp:positionV>
                      <wp:extent cx="76200" cy="91440"/>
                      <wp:effectExtent l="0" t="0" r="0" b="3810"/>
                      <wp:wrapNone/>
                      <wp:docPr id="4" name="Arrow: Down 4"/>
                      <wp:cNvGraphicFramePr/>
                      <a:graphic xmlns:a="http://schemas.openxmlformats.org/drawingml/2006/main">
                        <a:graphicData uri="http://schemas.microsoft.com/office/word/2010/wordprocessingShape">
                          <wps:wsp>
                            <wps:cNvSpPr/>
                            <wps:spPr>
                              <a:xfrm>
                                <a:off x="0" y="0"/>
                                <a:ext cx="76200" cy="91440"/>
                              </a:xfrm>
                              <a:prstGeom prst="downArrow">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92802" id="Arrow: Down 4" o:spid="_x0000_s1026" type="#_x0000_t67" style="position:absolute;margin-left:3.2pt;margin-top:2.65pt;width:6pt;height:7.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" adj="12600" fillcolor="#7f7f7f" stroked="f" strokeweight="1pt"/>
                  </w:pict>
                </mc:Fallback>
              </mc:AlternateContent>
            </w:r>
          </w:p>
        </w:tc>
        <w:tc>
          <w:tcPr>
            <w:tcW w:w="2837" w:type="dxa"/>
            <w:shd w:val="clear" w:color="auto" w:fill="D9D9D9" w:themeFill="background1" w:themeFillShade="D9"/>
          </w:tcPr>
          <w:p w14:paraId="7810F5A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Education</w:t>
            </w:r>
          </w:p>
        </w:tc>
        <w:tc>
          <w:tcPr>
            <w:tcW w:w="578" w:type="dxa"/>
          </w:tcPr>
          <w:p w14:paraId="3DAD14D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noProof/>
                <w:color w:val="2B579A"/>
                <w:sz w:val="20"/>
                <w:szCs w:val="20"/>
                <w:shd w:val="clear" w:color="auto" w:fill="E6E6E6"/>
                <w:lang w:eastAsia="zh-CN"/>
              </w:rPr>
              <mc:AlternateContent>
                <mc:Choice Requires="wps">
                  <w:drawing>
                    <wp:anchor distT="0" distB="0" distL="114300" distR="114300" simplePos="0" relativeHeight="251658243" behindDoc="0" locked="0" layoutInCell="1" allowOverlap="1" wp14:anchorId="14E5270A" wp14:editId="096DC8A5">
                      <wp:simplePos x="0" y="0"/>
                      <wp:positionH relativeFrom="column">
                        <wp:posOffset>43815</wp:posOffset>
                      </wp:positionH>
                      <wp:positionV relativeFrom="paragraph">
                        <wp:posOffset>41275</wp:posOffset>
                      </wp:positionV>
                      <wp:extent cx="76200" cy="91440"/>
                      <wp:effectExtent l="0" t="0" r="0" b="3810"/>
                      <wp:wrapNone/>
                      <wp:docPr id="5" name="Arrow: Down 5"/>
                      <wp:cNvGraphicFramePr/>
                      <a:graphic xmlns:a="http://schemas.openxmlformats.org/drawingml/2006/main">
                        <a:graphicData uri="http://schemas.microsoft.com/office/word/2010/wordprocessingShape">
                          <wps:wsp>
                            <wps:cNvSpPr/>
                            <wps:spPr>
                              <a:xfrm>
                                <a:off x="0" y="0"/>
                                <a:ext cx="76200" cy="91440"/>
                              </a:xfrm>
                              <a:prstGeom prst="downArrow">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387F" id="Arrow: Down 5" o:spid="_x0000_s1026" type="#_x0000_t67" style="position:absolute;margin-left:3.45pt;margin-top:3.25pt;width:6pt;height:7.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" adj="12600" fillcolor="#7f7f7f" stroked="f" strokeweight="1pt"/>
                  </w:pict>
                </mc:Fallback>
              </mc:AlternateContent>
            </w:r>
          </w:p>
        </w:tc>
        <w:tc>
          <w:tcPr>
            <w:tcW w:w="2446" w:type="dxa"/>
          </w:tcPr>
          <w:p w14:paraId="3405286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Youth</w:t>
            </w:r>
          </w:p>
        </w:tc>
      </w:tr>
      <w:tr w:rsidR="00F00E3D" w:rsidRPr="00231567" w14:paraId="2F24DD83" w14:textId="77777777" w:rsidTr="00052574">
        <w:trPr>
          <w:trHeight w:val="246"/>
        </w:trPr>
        <w:tc>
          <w:tcPr>
            <w:tcW w:w="491" w:type="dxa"/>
          </w:tcPr>
          <w:p w14:paraId="10CB345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5EA47E0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Social equity</w:t>
            </w:r>
          </w:p>
        </w:tc>
        <w:tc>
          <w:tcPr>
            <w:tcW w:w="841" w:type="dxa"/>
          </w:tcPr>
          <w:p w14:paraId="678456E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5B0756E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Program (programme)</w:t>
            </w:r>
          </w:p>
        </w:tc>
        <w:tc>
          <w:tcPr>
            <w:tcW w:w="792" w:type="dxa"/>
          </w:tcPr>
          <w:p w14:paraId="439EAEF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shd w:val="clear" w:color="auto" w:fill="D9D9D9" w:themeFill="background1" w:themeFillShade="D9"/>
          </w:tcPr>
          <w:p w14:paraId="39AB370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Employment</w:t>
            </w:r>
          </w:p>
        </w:tc>
        <w:tc>
          <w:tcPr>
            <w:tcW w:w="578" w:type="dxa"/>
          </w:tcPr>
          <w:p w14:paraId="786A3C8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1EA15AC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Young</w:t>
            </w:r>
          </w:p>
        </w:tc>
      </w:tr>
      <w:tr w:rsidR="00F00E3D" w:rsidRPr="00231567" w14:paraId="2154537A" w14:textId="77777777" w:rsidTr="00052574">
        <w:trPr>
          <w:trHeight w:val="246"/>
        </w:trPr>
        <w:tc>
          <w:tcPr>
            <w:tcW w:w="491" w:type="dxa"/>
          </w:tcPr>
          <w:p w14:paraId="3452B42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63D6BDB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Social cohesion</w:t>
            </w:r>
          </w:p>
        </w:tc>
        <w:tc>
          <w:tcPr>
            <w:tcW w:w="841" w:type="dxa"/>
          </w:tcPr>
          <w:p w14:paraId="40383AF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483B05C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Strategy</w:t>
            </w:r>
          </w:p>
        </w:tc>
        <w:tc>
          <w:tcPr>
            <w:tcW w:w="792" w:type="dxa"/>
          </w:tcPr>
          <w:p w14:paraId="1B585F6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shd w:val="clear" w:color="auto" w:fill="D9D9D9" w:themeFill="background1" w:themeFillShade="D9"/>
          </w:tcPr>
          <w:p w14:paraId="2851E02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Housing</w:t>
            </w:r>
          </w:p>
        </w:tc>
        <w:tc>
          <w:tcPr>
            <w:tcW w:w="578" w:type="dxa"/>
          </w:tcPr>
          <w:p w14:paraId="6810B57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640EA81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School retention</w:t>
            </w:r>
          </w:p>
        </w:tc>
      </w:tr>
      <w:tr w:rsidR="00F00E3D" w:rsidRPr="00231567" w14:paraId="560EABB8" w14:textId="77777777" w:rsidTr="00052574">
        <w:trPr>
          <w:trHeight w:val="246"/>
        </w:trPr>
        <w:tc>
          <w:tcPr>
            <w:tcW w:w="491" w:type="dxa"/>
          </w:tcPr>
          <w:p w14:paraId="3B133B3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6BD3D39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Social exclusion</w:t>
            </w:r>
          </w:p>
        </w:tc>
        <w:tc>
          <w:tcPr>
            <w:tcW w:w="841" w:type="dxa"/>
          </w:tcPr>
          <w:p w14:paraId="386A536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620E6BC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Initiative</w:t>
            </w:r>
          </w:p>
        </w:tc>
        <w:tc>
          <w:tcPr>
            <w:tcW w:w="792" w:type="dxa"/>
          </w:tcPr>
          <w:p w14:paraId="5E48ED6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shd w:val="clear" w:color="auto" w:fill="D9D9D9" w:themeFill="background1" w:themeFillShade="D9"/>
          </w:tcPr>
          <w:p w14:paraId="2EC8994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Liveability</w:t>
            </w:r>
          </w:p>
        </w:tc>
        <w:tc>
          <w:tcPr>
            <w:tcW w:w="578" w:type="dxa"/>
          </w:tcPr>
          <w:p w14:paraId="60AC30B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48D6087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Literacy</w:t>
            </w:r>
          </w:p>
        </w:tc>
      </w:tr>
      <w:tr w:rsidR="00F00E3D" w:rsidRPr="00231567" w14:paraId="08254468" w14:textId="77777777" w:rsidTr="00052574">
        <w:trPr>
          <w:trHeight w:val="246"/>
        </w:trPr>
        <w:tc>
          <w:tcPr>
            <w:tcW w:w="491" w:type="dxa"/>
          </w:tcPr>
          <w:p w14:paraId="0BDE956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7517396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Social integration</w:t>
            </w:r>
          </w:p>
        </w:tc>
        <w:tc>
          <w:tcPr>
            <w:tcW w:w="841" w:type="dxa"/>
          </w:tcPr>
          <w:p w14:paraId="1703321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70A4687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Outcomes</w:t>
            </w:r>
          </w:p>
        </w:tc>
        <w:tc>
          <w:tcPr>
            <w:tcW w:w="792" w:type="dxa"/>
          </w:tcPr>
          <w:p w14:paraId="6E47FF6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shd w:val="clear" w:color="auto" w:fill="D9D9D9" w:themeFill="background1" w:themeFillShade="D9"/>
          </w:tcPr>
          <w:p w14:paraId="5B1E2DE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Health</w:t>
            </w:r>
          </w:p>
        </w:tc>
        <w:tc>
          <w:tcPr>
            <w:tcW w:w="578" w:type="dxa"/>
          </w:tcPr>
          <w:p w14:paraId="2FD3806F" w14:textId="77777777" w:rsidR="00F00E3D" w:rsidRPr="00231567" w:rsidRDefault="00F00E3D" w:rsidP="009B2FA7">
            <w:pPr>
              <w:spacing w:line="276" w:lineRule="auto"/>
              <w:rPr>
                <w:rFonts w:asciiTheme="majorHAnsi" w:hAnsiTheme="majorHAnsi" w:cstheme="majorHAnsi"/>
                <w:sz w:val="20"/>
                <w:szCs w:val="20"/>
              </w:rPr>
            </w:pPr>
          </w:p>
        </w:tc>
        <w:tc>
          <w:tcPr>
            <w:tcW w:w="2446" w:type="dxa"/>
          </w:tcPr>
          <w:p w14:paraId="5FF2FEC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Financial literacy</w:t>
            </w:r>
          </w:p>
        </w:tc>
      </w:tr>
      <w:tr w:rsidR="00F00E3D" w:rsidRPr="00231567" w14:paraId="779DC146" w14:textId="77777777" w:rsidTr="00052574">
        <w:trPr>
          <w:trHeight w:val="259"/>
        </w:trPr>
        <w:tc>
          <w:tcPr>
            <w:tcW w:w="491" w:type="dxa"/>
          </w:tcPr>
          <w:p w14:paraId="18BE060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4CF9EF8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Social disadvantage</w:t>
            </w:r>
          </w:p>
        </w:tc>
        <w:tc>
          <w:tcPr>
            <w:tcW w:w="841" w:type="dxa"/>
          </w:tcPr>
          <w:p w14:paraId="2B6684E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1705659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Solution</w:t>
            </w:r>
          </w:p>
        </w:tc>
        <w:tc>
          <w:tcPr>
            <w:tcW w:w="792" w:type="dxa"/>
          </w:tcPr>
          <w:p w14:paraId="45180DC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shd w:val="clear" w:color="auto" w:fill="D9D9D9" w:themeFill="background1" w:themeFillShade="D9"/>
          </w:tcPr>
          <w:p w14:paraId="46D4772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Wellbeing (-being)</w:t>
            </w:r>
          </w:p>
        </w:tc>
        <w:tc>
          <w:tcPr>
            <w:tcW w:w="578" w:type="dxa"/>
          </w:tcPr>
          <w:p w14:paraId="5FEC35C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03D759D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Financial stress</w:t>
            </w:r>
          </w:p>
        </w:tc>
      </w:tr>
      <w:tr w:rsidR="00F00E3D" w:rsidRPr="00231567" w14:paraId="3A49B6C9" w14:textId="77777777" w:rsidTr="00052574">
        <w:trPr>
          <w:trHeight w:val="259"/>
        </w:trPr>
        <w:tc>
          <w:tcPr>
            <w:tcW w:w="491" w:type="dxa"/>
          </w:tcPr>
          <w:p w14:paraId="7A0CA18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519D7EB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Spatial disadvantage</w:t>
            </w:r>
          </w:p>
        </w:tc>
        <w:tc>
          <w:tcPr>
            <w:tcW w:w="841" w:type="dxa"/>
          </w:tcPr>
          <w:p w14:paraId="22127DF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3A76ED2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Research</w:t>
            </w:r>
          </w:p>
        </w:tc>
        <w:tc>
          <w:tcPr>
            <w:tcW w:w="792" w:type="dxa"/>
          </w:tcPr>
          <w:p w14:paraId="7F75DAFE" w14:textId="77777777" w:rsidR="00F00E3D" w:rsidRPr="00231567" w:rsidRDefault="00F00E3D" w:rsidP="009B2FA7">
            <w:pPr>
              <w:spacing w:line="276" w:lineRule="auto"/>
              <w:rPr>
                <w:rFonts w:asciiTheme="majorHAnsi" w:hAnsiTheme="majorHAnsi" w:cstheme="majorHAnsi"/>
                <w:sz w:val="20"/>
                <w:szCs w:val="20"/>
              </w:rPr>
            </w:pPr>
          </w:p>
        </w:tc>
        <w:tc>
          <w:tcPr>
            <w:tcW w:w="2837" w:type="dxa"/>
          </w:tcPr>
          <w:p w14:paraId="675F47F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Transport</w:t>
            </w:r>
          </w:p>
        </w:tc>
        <w:tc>
          <w:tcPr>
            <w:tcW w:w="578" w:type="dxa"/>
          </w:tcPr>
          <w:p w14:paraId="4D57EA8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40CE02A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Wealth</w:t>
            </w:r>
          </w:p>
        </w:tc>
      </w:tr>
      <w:tr w:rsidR="00F00E3D" w:rsidRPr="00231567" w14:paraId="25E159DD" w14:textId="77777777" w:rsidTr="00052574">
        <w:trPr>
          <w:trHeight w:val="259"/>
        </w:trPr>
        <w:tc>
          <w:tcPr>
            <w:tcW w:w="491" w:type="dxa"/>
          </w:tcPr>
          <w:p w14:paraId="38F6143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53732C1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Spatial justice</w:t>
            </w:r>
          </w:p>
        </w:tc>
        <w:tc>
          <w:tcPr>
            <w:tcW w:w="841" w:type="dxa"/>
          </w:tcPr>
          <w:p w14:paraId="0470717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68BC96C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Model</w:t>
            </w:r>
          </w:p>
        </w:tc>
        <w:tc>
          <w:tcPr>
            <w:tcW w:w="792" w:type="dxa"/>
          </w:tcPr>
          <w:p w14:paraId="25F20A65" w14:textId="77777777" w:rsidR="00F00E3D" w:rsidRPr="00231567" w:rsidRDefault="00F00E3D" w:rsidP="009B2FA7">
            <w:pPr>
              <w:spacing w:line="276" w:lineRule="auto"/>
              <w:rPr>
                <w:rFonts w:asciiTheme="majorHAnsi" w:hAnsiTheme="majorHAnsi" w:cstheme="majorHAnsi"/>
                <w:sz w:val="20"/>
                <w:szCs w:val="20"/>
              </w:rPr>
            </w:pPr>
          </w:p>
        </w:tc>
        <w:tc>
          <w:tcPr>
            <w:tcW w:w="2837" w:type="dxa"/>
          </w:tcPr>
          <w:p w14:paraId="518588F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Healthcare</w:t>
            </w:r>
          </w:p>
        </w:tc>
        <w:tc>
          <w:tcPr>
            <w:tcW w:w="578" w:type="dxa"/>
          </w:tcPr>
          <w:p w14:paraId="0AE3BE54" w14:textId="77777777" w:rsidR="00F00E3D" w:rsidRPr="00231567" w:rsidRDefault="00F00E3D" w:rsidP="009B2FA7">
            <w:pPr>
              <w:spacing w:line="276" w:lineRule="auto"/>
              <w:rPr>
                <w:rFonts w:asciiTheme="majorHAnsi" w:hAnsiTheme="majorHAnsi" w:cstheme="majorHAnsi"/>
                <w:sz w:val="20"/>
                <w:szCs w:val="20"/>
              </w:rPr>
            </w:pPr>
          </w:p>
        </w:tc>
        <w:tc>
          <w:tcPr>
            <w:tcW w:w="2446" w:type="dxa"/>
          </w:tcPr>
          <w:p w14:paraId="5E094D2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Training</w:t>
            </w:r>
          </w:p>
        </w:tc>
      </w:tr>
      <w:tr w:rsidR="00F00E3D" w:rsidRPr="00231567" w14:paraId="0496DDA8" w14:textId="77777777" w:rsidTr="00052574">
        <w:trPr>
          <w:trHeight w:val="259"/>
        </w:trPr>
        <w:tc>
          <w:tcPr>
            <w:tcW w:w="491" w:type="dxa"/>
          </w:tcPr>
          <w:p w14:paraId="5141297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4BE053D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Spatial equity</w:t>
            </w:r>
          </w:p>
        </w:tc>
        <w:tc>
          <w:tcPr>
            <w:tcW w:w="841" w:type="dxa"/>
          </w:tcPr>
          <w:p w14:paraId="77FDD70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602F9CB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Practice</w:t>
            </w:r>
          </w:p>
        </w:tc>
        <w:tc>
          <w:tcPr>
            <w:tcW w:w="792" w:type="dxa"/>
          </w:tcPr>
          <w:p w14:paraId="1D9BB22F" w14:textId="77777777" w:rsidR="00F00E3D" w:rsidRPr="00231567" w:rsidRDefault="00F00E3D" w:rsidP="009B2FA7">
            <w:pPr>
              <w:spacing w:line="276" w:lineRule="auto"/>
              <w:rPr>
                <w:rFonts w:asciiTheme="majorHAnsi" w:hAnsiTheme="majorHAnsi" w:cstheme="majorHAnsi"/>
                <w:sz w:val="20"/>
                <w:szCs w:val="20"/>
              </w:rPr>
            </w:pPr>
          </w:p>
        </w:tc>
        <w:tc>
          <w:tcPr>
            <w:tcW w:w="2837" w:type="dxa"/>
          </w:tcPr>
          <w:p w14:paraId="790F742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Disability</w:t>
            </w:r>
          </w:p>
        </w:tc>
        <w:tc>
          <w:tcPr>
            <w:tcW w:w="578" w:type="dxa"/>
          </w:tcPr>
          <w:p w14:paraId="60E846D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49F2D9B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Learning</w:t>
            </w:r>
          </w:p>
        </w:tc>
      </w:tr>
      <w:tr w:rsidR="00F00E3D" w:rsidRPr="00231567" w14:paraId="10ED435D" w14:textId="77777777" w:rsidTr="00052574">
        <w:trPr>
          <w:trHeight w:val="259"/>
        </w:trPr>
        <w:tc>
          <w:tcPr>
            <w:tcW w:w="491" w:type="dxa"/>
          </w:tcPr>
          <w:p w14:paraId="2AC234E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77741E3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Socio-spatial polarisation</w:t>
            </w:r>
          </w:p>
        </w:tc>
        <w:tc>
          <w:tcPr>
            <w:tcW w:w="841" w:type="dxa"/>
          </w:tcPr>
          <w:p w14:paraId="3CB8FD5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1FDB3A0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Intervention</w:t>
            </w:r>
          </w:p>
        </w:tc>
        <w:tc>
          <w:tcPr>
            <w:tcW w:w="792" w:type="dxa"/>
          </w:tcPr>
          <w:p w14:paraId="384E3FC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2CF1FE0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Illness</w:t>
            </w:r>
          </w:p>
        </w:tc>
        <w:tc>
          <w:tcPr>
            <w:tcW w:w="578" w:type="dxa"/>
          </w:tcPr>
          <w:p w14:paraId="5AAB1D9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719C36B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Skills</w:t>
            </w:r>
          </w:p>
        </w:tc>
      </w:tr>
      <w:tr w:rsidR="00F00E3D" w:rsidRPr="00231567" w14:paraId="038CF032" w14:textId="77777777" w:rsidTr="00052574">
        <w:trPr>
          <w:trHeight w:val="259"/>
        </w:trPr>
        <w:tc>
          <w:tcPr>
            <w:tcW w:w="491" w:type="dxa"/>
          </w:tcPr>
          <w:p w14:paraId="793DF191" w14:textId="77777777" w:rsidR="00F00E3D" w:rsidRPr="00231567" w:rsidRDefault="00F00E3D" w:rsidP="009B2FA7">
            <w:pPr>
              <w:spacing w:line="276" w:lineRule="auto"/>
              <w:rPr>
                <w:rFonts w:asciiTheme="majorHAnsi" w:hAnsiTheme="majorHAnsi" w:cstheme="majorHAnsi"/>
                <w:sz w:val="20"/>
                <w:szCs w:val="20"/>
              </w:rPr>
            </w:pPr>
          </w:p>
        </w:tc>
        <w:tc>
          <w:tcPr>
            <w:tcW w:w="3296" w:type="dxa"/>
          </w:tcPr>
          <w:p w14:paraId="58693D0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 xml:space="preserve">Economic disadvantage </w:t>
            </w:r>
          </w:p>
        </w:tc>
        <w:tc>
          <w:tcPr>
            <w:tcW w:w="841" w:type="dxa"/>
          </w:tcPr>
          <w:p w14:paraId="5856875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0A91DF2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Measures</w:t>
            </w:r>
          </w:p>
        </w:tc>
        <w:tc>
          <w:tcPr>
            <w:tcW w:w="792" w:type="dxa"/>
          </w:tcPr>
          <w:p w14:paraId="1929D16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7452284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Access</w:t>
            </w:r>
          </w:p>
        </w:tc>
        <w:tc>
          <w:tcPr>
            <w:tcW w:w="578" w:type="dxa"/>
          </w:tcPr>
          <w:p w14:paraId="0EE0859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56728CB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Jobs</w:t>
            </w:r>
          </w:p>
        </w:tc>
      </w:tr>
      <w:tr w:rsidR="00F00E3D" w:rsidRPr="00231567" w14:paraId="7A096CA9" w14:textId="77777777" w:rsidTr="00052574">
        <w:trPr>
          <w:trHeight w:val="259"/>
        </w:trPr>
        <w:tc>
          <w:tcPr>
            <w:tcW w:w="491" w:type="dxa"/>
          </w:tcPr>
          <w:p w14:paraId="50E76BF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5926506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Low income (low-income)</w:t>
            </w:r>
          </w:p>
        </w:tc>
        <w:tc>
          <w:tcPr>
            <w:tcW w:w="841" w:type="dxa"/>
          </w:tcPr>
          <w:p w14:paraId="2DE75F8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20497FC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Services</w:t>
            </w:r>
          </w:p>
        </w:tc>
        <w:tc>
          <w:tcPr>
            <w:tcW w:w="792" w:type="dxa"/>
          </w:tcPr>
          <w:p w14:paraId="3EB81A8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37DDDAE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Accessibility</w:t>
            </w:r>
          </w:p>
        </w:tc>
        <w:tc>
          <w:tcPr>
            <w:tcW w:w="578" w:type="dxa"/>
          </w:tcPr>
          <w:p w14:paraId="5524669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7080033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Work</w:t>
            </w:r>
          </w:p>
        </w:tc>
      </w:tr>
      <w:tr w:rsidR="00F00E3D" w:rsidRPr="00231567" w14:paraId="15FEACB4" w14:textId="77777777" w:rsidTr="00052574">
        <w:trPr>
          <w:trHeight w:val="259"/>
        </w:trPr>
        <w:tc>
          <w:tcPr>
            <w:tcW w:w="491" w:type="dxa"/>
          </w:tcPr>
          <w:p w14:paraId="569A9B6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0449DDE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SEIFA</w:t>
            </w:r>
          </w:p>
        </w:tc>
        <w:tc>
          <w:tcPr>
            <w:tcW w:w="841" w:type="dxa"/>
          </w:tcPr>
          <w:p w14:paraId="20D27B9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45DC7B8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Support</w:t>
            </w:r>
          </w:p>
        </w:tc>
        <w:tc>
          <w:tcPr>
            <w:tcW w:w="792" w:type="dxa"/>
          </w:tcPr>
          <w:p w14:paraId="367B561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34A3643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Mobility</w:t>
            </w:r>
          </w:p>
        </w:tc>
        <w:tc>
          <w:tcPr>
            <w:tcW w:w="578" w:type="dxa"/>
          </w:tcPr>
          <w:p w14:paraId="7B49397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432FA5F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Local employment</w:t>
            </w:r>
          </w:p>
        </w:tc>
      </w:tr>
      <w:tr w:rsidR="00F00E3D" w:rsidRPr="00231567" w14:paraId="242744F9" w14:textId="77777777" w:rsidTr="00052574">
        <w:trPr>
          <w:trHeight w:val="46"/>
        </w:trPr>
        <w:tc>
          <w:tcPr>
            <w:tcW w:w="491" w:type="dxa"/>
          </w:tcPr>
          <w:p w14:paraId="6634432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7E0190E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Poverty</w:t>
            </w:r>
          </w:p>
        </w:tc>
        <w:tc>
          <w:tcPr>
            <w:tcW w:w="841" w:type="dxa"/>
          </w:tcPr>
          <w:p w14:paraId="1D21B8C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31BB6F1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Approach</w:t>
            </w:r>
          </w:p>
        </w:tc>
        <w:tc>
          <w:tcPr>
            <w:tcW w:w="792" w:type="dxa"/>
          </w:tcPr>
          <w:p w14:paraId="7EA24874" w14:textId="77777777" w:rsidR="00F00E3D" w:rsidRPr="00231567" w:rsidRDefault="00F00E3D" w:rsidP="009B2FA7">
            <w:pPr>
              <w:spacing w:line="276" w:lineRule="auto"/>
              <w:rPr>
                <w:rFonts w:asciiTheme="majorHAnsi" w:hAnsiTheme="majorHAnsi" w:cstheme="majorHAnsi"/>
                <w:sz w:val="20"/>
                <w:szCs w:val="20"/>
              </w:rPr>
            </w:pPr>
          </w:p>
        </w:tc>
        <w:tc>
          <w:tcPr>
            <w:tcW w:w="2837" w:type="dxa"/>
          </w:tcPr>
          <w:p w14:paraId="32C28EB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Older</w:t>
            </w:r>
          </w:p>
        </w:tc>
        <w:tc>
          <w:tcPr>
            <w:tcW w:w="578" w:type="dxa"/>
          </w:tcPr>
          <w:p w14:paraId="6CE8DC3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3C55017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Labour market</w:t>
            </w:r>
          </w:p>
        </w:tc>
      </w:tr>
      <w:tr w:rsidR="00F00E3D" w:rsidRPr="00231567" w14:paraId="719A6AC7" w14:textId="77777777" w:rsidTr="00052574">
        <w:trPr>
          <w:trHeight w:val="246"/>
        </w:trPr>
        <w:tc>
          <w:tcPr>
            <w:tcW w:w="491" w:type="dxa"/>
          </w:tcPr>
          <w:p w14:paraId="118DC42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06AAA86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Vulnerable</w:t>
            </w:r>
          </w:p>
        </w:tc>
        <w:tc>
          <w:tcPr>
            <w:tcW w:w="841" w:type="dxa"/>
          </w:tcPr>
          <w:p w14:paraId="5C0BD6B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4D389C5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Strategy</w:t>
            </w:r>
          </w:p>
        </w:tc>
        <w:tc>
          <w:tcPr>
            <w:tcW w:w="792" w:type="dxa"/>
          </w:tcPr>
          <w:p w14:paraId="0FD1C2F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7D315B0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Elderly</w:t>
            </w:r>
          </w:p>
        </w:tc>
        <w:tc>
          <w:tcPr>
            <w:tcW w:w="578" w:type="dxa"/>
          </w:tcPr>
          <w:p w14:paraId="697D87C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0FCE1F7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Income</w:t>
            </w:r>
          </w:p>
        </w:tc>
      </w:tr>
      <w:tr w:rsidR="00F00E3D" w:rsidRPr="00231567" w14:paraId="0176CDDA" w14:textId="77777777" w:rsidTr="00052574">
        <w:trPr>
          <w:trHeight w:val="246"/>
        </w:trPr>
        <w:tc>
          <w:tcPr>
            <w:tcW w:w="491" w:type="dxa"/>
          </w:tcPr>
          <w:p w14:paraId="4BFF3DD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lastRenderedPageBreak/>
              <w:t>OR</w:t>
            </w:r>
          </w:p>
        </w:tc>
        <w:tc>
          <w:tcPr>
            <w:tcW w:w="3296" w:type="dxa"/>
          </w:tcPr>
          <w:p w14:paraId="19F544F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 xml:space="preserve">Disengaged </w:t>
            </w:r>
          </w:p>
        </w:tc>
        <w:tc>
          <w:tcPr>
            <w:tcW w:w="841" w:type="dxa"/>
          </w:tcPr>
          <w:p w14:paraId="71629C7A" w14:textId="77777777" w:rsidR="00F00E3D" w:rsidRPr="00231567" w:rsidRDefault="00F00E3D" w:rsidP="009B2FA7">
            <w:pPr>
              <w:spacing w:line="276" w:lineRule="auto"/>
              <w:rPr>
                <w:rFonts w:asciiTheme="majorHAnsi" w:hAnsiTheme="majorHAnsi" w:cstheme="majorHAnsi"/>
                <w:sz w:val="20"/>
                <w:szCs w:val="20"/>
              </w:rPr>
            </w:pPr>
          </w:p>
        </w:tc>
        <w:tc>
          <w:tcPr>
            <w:tcW w:w="3109" w:type="dxa"/>
          </w:tcPr>
          <w:p w14:paraId="6F19E6B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Funding</w:t>
            </w:r>
          </w:p>
        </w:tc>
        <w:tc>
          <w:tcPr>
            <w:tcW w:w="792" w:type="dxa"/>
          </w:tcPr>
          <w:p w14:paraId="4FB5A23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061D3C2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Ageing (Aging)</w:t>
            </w:r>
          </w:p>
        </w:tc>
        <w:tc>
          <w:tcPr>
            <w:tcW w:w="578" w:type="dxa"/>
          </w:tcPr>
          <w:p w14:paraId="2A9956A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579EC84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Income support</w:t>
            </w:r>
          </w:p>
        </w:tc>
      </w:tr>
      <w:tr w:rsidR="00F00E3D" w:rsidRPr="00231567" w14:paraId="70E0A248" w14:textId="77777777" w:rsidTr="00052574">
        <w:trPr>
          <w:trHeight w:val="246"/>
        </w:trPr>
        <w:tc>
          <w:tcPr>
            <w:tcW w:w="491" w:type="dxa"/>
          </w:tcPr>
          <w:p w14:paraId="45C3C73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02BD4F9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Marginalised (marginalized)</w:t>
            </w:r>
          </w:p>
        </w:tc>
        <w:tc>
          <w:tcPr>
            <w:tcW w:w="841" w:type="dxa"/>
          </w:tcPr>
          <w:p w14:paraId="33A3EA7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3265B19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Grant</w:t>
            </w:r>
          </w:p>
        </w:tc>
        <w:tc>
          <w:tcPr>
            <w:tcW w:w="792" w:type="dxa"/>
          </w:tcPr>
          <w:p w14:paraId="0259E138" w14:textId="77777777" w:rsidR="00F00E3D" w:rsidRPr="00231567" w:rsidRDefault="00F00E3D" w:rsidP="009B2FA7">
            <w:pPr>
              <w:spacing w:line="276" w:lineRule="auto"/>
              <w:rPr>
                <w:rFonts w:asciiTheme="majorHAnsi" w:hAnsiTheme="majorHAnsi" w:cstheme="majorHAnsi"/>
                <w:sz w:val="20"/>
                <w:szCs w:val="20"/>
              </w:rPr>
            </w:pPr>
          </w:p>
        </w:tc>
        <w:tc>
          <w:tcPr>
            <w:tcW w:w="2837" w:type="dxa"/>
          </w:tcPr>
          <w:p w14:paraId="4D21D72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Affordable housing</w:t>
            </w:r>
          </w:p>
        </w:tc>
        <w:tc>
          <w:tcPr>
            <w:tcW w:w="578" w:type="dxa"/>
          </w:tcPr>
          <w:p w14:paraId="264769F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1CB8995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Welfare</w:t>
            </w:r>
          </w:p>
        </w:tc>
      </w:tr>
      <w:tr w:rsidR="00F00E3D" w:rsidRPr="00231567" w14:paraId="57438072" w14:textId="77777777" w:rsidTr="00052574">
        <w:trPr>
          <w:trHeight w:val="46"/>
        </w:trPr>
        <w:tc>
          <w:tcPr>
            <w:tcW w:w="491" w:type="dxa"/>
          </w:tcPr>
          <w:p w14:paraId="74BE9D0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4F9A7BD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Generational</w:t>
            </w:r>
          </w:p>
        </w:tc>
        <w:tc>
          <w:tcPr>
            <w:tcW w:w="841" w:type="dxa"/>
          </w:tcPr>
          <w:p w14:paraId="748DDBC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0134E74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Stimulus</w:t>
            </w:r>
          </w:p>
        </w:tc>
        <w:tc>
          <w:tcPr>
            <w:tcW w:w="792" w:type="dxa"/>
          </w:tcPr>
          <w:p w14:paraId="6599C9B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57DD38E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 xml:space="preserve">Social housing </w:t>
            </w:r>
          </w:p>
        </w:tc>
        <w:tc>
          <w:tcPr>
            <w:tcW w:w="578" w:type="dxa"/>
          </w:tcPr>
          <w:p w14:paraId="5CDD6BD5" w14:textId="77777777" w:rsidR="00F00E3D" w:rsidRPr="00231567" w:rsidRDefault="00F00E3D" w:rsidP="009B2FA7">
            <w:pPr>
              <w:spacing w:line="276" w:lineRule="auto"/>
              <w:rPr>
                <w:rFonts w:asciiTheme="majorHAnsi" w:hAnsiTheme="majorHAnsi" w:cstheme="majorHAnsi"/>
                <w:sz w:val="20"/>
                <w:szCs w:val="20"/>
              </w:rPr>
            </w:pPr>
          </w:p>
        </w:tc>
        <w:tc>
          <w:tcPr>
            <w:tcW w:w="2446" w:type="dxa"/>
          </w:tcPr>
          <w:p w14:paraId="357EA9C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Digital inclusion</w:t>
            </w:r>
          </w:p>
        </w:tc>
      </w:tr>
      <w:tr w:rsidR="00F00E3D" w:rsidRPr="00231567" w14:paraId="618D8842" w14:textId="77777777" w:rsidTr="00052574">
        <w:trPr>
          <w:trHeight w:val="246"/>
        </w:trPr>
        <w:tc>
          <w:tcPr>
            <w:tcW w:w="491" w:type="dxa"/>
          </w:tcPr>
          <w:p w14:paraId="53A370C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40295FB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Deprivation</w:t>
            </w:r>
          </w:p>
        </w:tc>
        <w:tc>
          <w:tcPr>
            <w:tcW w:w="841" w:type="dxa"/>
          </w:tcPr>
          <w:p w14:paraId="0E4929BA" w14:textId="77777777" w:rsidR="00F00E3D" w:rsidRPr="00231567" w:rsidRDefault="00F00E3D" w:rsidP="009B2FA7">
            <w:pPr>
              <w:spacing w:line="276" w:lineRule="auto"/>
              <w:rPr>
                <w:rFonts w:asciiTheme="majorHAnsi" w:hAnsiTheme="majorHAnsi" w:cstheme="majorHAnsi"/>
                <w:sz w:val="20"/>
                <w:szCs w:val="20"/>
              </w:rPr>
            </w:pPr>
          </w:p>
        </w:tc>
        <w:tc>
          <w:tcPr>
            <w:tcW w:w="3109" w:type="dxa"/>
          </w:tcPr>
          <w:p w14:paraId="27D273E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Evaluation (evaluate)</w:t>
            </w:r>
          </w:p>
        </w:tc>
        <w:tc>
          <w:tcPr>
            <w:tcW w:w="792" w:type="dxa"/>
          </w:tcPr>
          <w:p w14:paraId="4FB61D2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1888EA5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Rental</w:t>
            </w:r>
          </w:p>
        </w:tc>
        <w:tc>
          <w:tcPr>
            <w:tcW w:w="578" w:type="dxa"/>
          </w:tcPr>
          <w:p w14:paraId="5791B8A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0C66DF3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Internet</w:t>
            </w:r>
          </w:p>
        </w:tc>
      </w:tr>
      <w:tr w:rsidR="00F00E3D" w:rsidRPr="00231567" w14:paraId="3011F990" w14:textId="77777777" w:rsidTr="00052574">
        <w:trPr>
          <w:trHeight w:val="246"/>
        </w:trPr>
        <w:tc>
          <w:tcPr>
            <w:tcW w:w="491" w:type="dxa"/>
          </w:tcPr>
          <w:p w14:paraId="0DB138E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62E1939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Disempowered</w:t>
            </w:r>
          </w:p>
        </w:tc>
        <w:tc>
          <w:tcPr>
            <w:tcW w:w="841" w:type="dxa"/>
          </w:tcPr>
          <w:p w14:paraId="02E9051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4075246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Appraisal</w:t>
            </w:r>
          </w:p>
        </w:tc>
        <w:tc>
          <w:tcPr>
            <w:tcW w:w="792" w:type="dxa"/>
          </w:tcPr>
          <w:p w14:paraId="6901CC6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050C2FA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Housing stress</w:t>
            </w:r>
          </w:p>
        </w:tc>
        <w:tc>
          <w:tcPr>
            <w:tcW w:w="578" w:type="dxa"/>
          </w:tcPr>
          <w:p w14:paraId="3F8C6957" w14:textId="77777777" w:rsidR="00F00E3D" w:rsidRPr="00231567" w:rsidRDefault="00F00E3D" w:rsidP="009B2FA7">
            <w:pPr>
              <w:spacing w:line="276" w:lineRule="auto"/>
              <w:rPr>
                <w:rFonts w:asciiTheme="majorHAnsi" w:hAnsiTheme="majorHAnsi" w:cstheme="majorHAnsi"/>
                <w:sz w:val="20"/>
                <w:szCs w:val="20"/>
              </w:rPr>
            </w:pPr>
          </w:p>
        </w:tc>
        <w:tc>
          <w:tcPr>
            <w:tcW w:w="2446" w:type="dxa"/>
          </w:tcPr>
          <w:p w14:paraId="08B2026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Local business</w:t>
            </w:r>
          </w:p>
        </w:tc>
      </w:tr>
      <w:tr w:rsidR="00F00E3D" w:rsidRPr="00231567" w14:paraId="746437FC" w14:textId="77777777" w:rsidTr="00052574">
        <w:trPr>
          <w:trHeight w:val="246"/>
        </w:trPr>
        <w:tc>
          <w:tcPr>
            <w:tcW w:w="491" w:type="dxa"/>
          </w:tcPr>
          <w:p w14:paraId="3C9FD73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5B111567" w14:textId="77777777" w:rsidR="00F00E3D" w:rsidRPr="00231567" w:rsidRDefault="00F00E3D" w:rsidP="009B2FA7">
            <w:pPr>
              <w:tabs>
                <w:tab w:val="center" w:pos="1556"/>
              </w:tabs>
              <w:spacing w:line="276" w:lineRule="auto"/>
              <w:rPr>
                <w:rFonts w:asciiTheme="majorHAnsi" w:hAnsiTheme="majorHAnsi" w:cstheme="majorHAnsi"/>
                <w:sz w:val="20"/>
                <w:szCs w:val="20"/>
              </w:rPr>
            </w:pPr>
            <w:r w:rsidRPr="00231567">
              <w:rPr>
                <w:rFonts w:asciiTheme="majorHAnsi" w:hAnsiTheme="majorHAnsi" w:cstheme="majorHAnsi"/>
                <w:sz w:val="20"/>
                <w:szCs w:val="20"/>
              </w:rPr>
              <w:t>Inequality</w:t>
            </w:r>
          </w:p>
        </w:tc>
        <w:tc>
          <w:tcPr>
            <w:tcW w:w="841" w:type="dxa"/>
          </w:tcPr>
          <w:p w14:paraId="396EECE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6F82531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Assess</w:t>
            </w:r>
          </w:p>
        </w:tc>
        <w:tc>
          <w:tcPr>
            <w:tcW w:w="792" w:type="dxa"/>
          </w:tcPr>
          <w:p w14:paraId="75BBAED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3C3055F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Homelessness</w:t>
            </w:r>
          </w:p>
        </w:tc>
        <w:tc>
          <w:tcPr>
            <w:tcW w:w="578" w:type="dxa"/>
          </w:tcPr>
          <w:p w14:paraId="255F8E9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5DED51B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High street</w:t>
            </w:r>
          </w:p>
        </w:tc>
      </w:tr>
      <w:tr w:rsidR="00F00E3D" w:rsidRPr="00231567" w14:paraId="43586301" w14:textId="77777777" w:rsidTr="00052574">
        <w:trPr>
          <w:trHeight w:val="246"/>
        </w:trPr>
        <w:tc>
          <w:tcPr>
            <w:tcW w:w="491" w:type="dxa"/>
          </w:tcPr>
          <w:p w14:paraId="43C4B75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6CBA0A3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Hardship</w:t>
            </w:r>
          </w:p>
        </w:tc>
        <w:tc>
          <w:tcPr>
            <w:tcW w:w="841" w:type="dxa"/>
          </w:tcPr>
          <w:p w14:paraId="38271E7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4FC7F16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Best practice</w:t>
            </w:r>
          </w:p>
        </w:tc>
        <w:tc>
          <w:tcPr>
            <w:tcW w:w="792" w:type="dxa"/>
          </w:tcPr>
          <w:p w14:paraId="4485BFA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5A1680C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Family (families)</w:t>
            </w:r>
          </w:p>
        </w:tc>
        <w:tc>
          <w:tcPr>
            <w:tcW w:w="578" w:type="dxa"/>
          </w:tcPr>
          <w:p w14:paraId="2C57FA1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4622E28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Main street</w:t>
            </w:r>
          </w:p>
        </w:tc>
      </w:tr>
      <w:tr w:rsidR="00F00E3D" w:rsidRPr="00231567" w14:paraId="498795B6" w14:textId="77777777" w:rsidTr="00052574">
        <w:trPr>
          <w:trHeight w:val="246"/>
        </w:trPr>
        <w:tc>
          <w:tcPr>
            <w:tcW w:w="491" w:type="dxa"/>
          </w:tcPr>
          <w:p w14:paraId="30DAE5A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noProof/>
                <w:color w:val="2B579A"/>
                <w:sz w:val="20"/>
                <w:szCs w:val="20"/>
                <w:shd w:val="clear" w:color="auto" w:fill="E6E6E6"/>
                <w:lang w:eastAsia="zh-CN"/>
              </w:rPr>
              <mc:AlternateContent>
                <mc:Choice Requires="wps">
                  <w:drawing>
                    <wp:anchor distT="0" distB="0" distL="114300" distR="114300" simplePos="0" relativeHeight="251658246" behindDoc="0" locked="0" layoutInCell="1" allowOverlap="1" wp14:anchorId="3C6D8838" wp14:editId="53B7121F">
                      <wp:simplePos x="0" y="0"/>
                      <wp:positionH relativeFrom="column">
                        <wp:posOffset>46355</wp:posOffset>
                      </wp:positionH>
                      <wp:positionV relativeFrom="paragraph">
                        <wp:posOffset>26035</wp:posOffset>
                      </wp:positionV>
                      <wp:extent cx="76200" cy="91440"/>
                      <wp:effectExtent l="0" t="0" r="0" b="3810"/>
                      <wp:wrapNone/>
                      <wp:docPr id="1" name="Arrow: Down 1"/>
                      <wp:cNvGraphicFramePr/>
                      <a:graphic xmlns:a="http://schemas.openxmlformats.org/drawingml/2006/main">
                        <a:graphicData uri="http://schemas.microsoft.com/office/word/2010/wordprocessingShape">
                          <wps:wsp>
                            <wps:cNvSpPr/>
                            <wps:spPr>
                              <a:xfrm>
                                <a:off x="0" y="0"/>
                                <a:ext cx="76200" cy="9144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7E06" id="Arrow: Down 1" o:spid="_x0000_s1026" type="#_x0000_t67" style="position:absolute;margin-left:3.65pt;margin-top:2.05pt;width:6pt;height:7.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" adj="12600" fillcolor="#7f7f7f [1612]" stroked="f" strokeweight="1pt"/>
                  </w:pict>
                </mc:Fallback>
              </mc:AlternateContent>
            </w:r>
          </w:p>
        </w:tc>
        <w:tc>
          <w:tcPr>
            <w:tcW w:w="3296" w:type="dxa"/>
          </w:tcPr>
          <w:p w14:paraId="58A9B5D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Inclusive</w:t>
            </w:r>
          </w:p>
        </w:tc>
        <w:tc>
          <w:tcPr>
            <w:tcW w:w="841" w:type="dxa"/>
          </w:tcPr>
          <w:p w14:paraId="01B13E4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noProof/>
                <w:color w:val="2B579A"/>
                <w:sz w:val="20"/>
                <w:szCs w:val="20"/>
                <w:shd w:val="clear" w:color="auto" w:fill="E6E6E6"/>
                <w:lang w:eastAsia="zh-CN"/>
              </w:rPr>
              <mc:AlternateContent>
                <mc:Choice Requires="wps">
                  <w:drawing>
                    <wp:anchor distT="0" distB="0" distL="114300" distR="114300" simplePos="0" relativeHeight="251658248" behindDoc="0" locked="0" layoutInCell="1" allowOverlap="1" wp14:anchorId="60BD66DD" wp14:editId="313F013C">
                      <wp:simplePos x="0" y="0"/>
                      <wp:positionH relativeFrom="column">
                        <wp:posOffset>13970</wp:posOffset>
                      </wp:positionH>
                      <wp:positionV relativeFrom="paragraph">
                        <wp:posOffset>17780</wp:posOffset>
                      </wp:positionV>
                      <wp:extent cx="76200" cy="91440"/>
                      <wp:effectExtent l="0" t="0" r="0" b="3810"/>
                      <wp:wrapNone/>
                      <wp:docPr id="14" name="Arrow: Down 14"/>
                      <wp:cNvGraphicFramePr/>
                      <a:graphic xmlns:a="http://schemas.openxmlformats.org/drawingml/2006/main">
                        <a:graphicData uri="http://schemas.microsoft.com/office/word/2010/wordprocessingShape">
                          <wps:wsp>
                            <wps:cNvSpPr/>
                            <wps:spPr>
                              <a:xfrm>
                                <a:off x="0" y="0"/>
                                <a:ext cx="76200" cy="9144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1432" id="Arrow: Down 14" o:spid="_x0000_s1026" type="#_x0000_t67" style="position:absolute;margin-left:1.1pt;margin-top:1.4pt;width:6pt;height:7.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" adj="12600" fillcolor="#7f7f7f [1612]" stroked="f" strokeweight="1pt"/>
                  </w:pict>
                </mc:Fallback>
              </mc:AlternateContent>
            </w:r>
          </w:p>
        </w:tc>
        <w:tc>
          <w:tcPr>
            <w:tcW w:w="3109" w:type="dxa"/>
          </w:tcPr>
          <w:p w14:paraId="07AF602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Address</w:t>
            </w:r>
          </w:p>
        </w:tc>
        <w:tc>
          <w:tcPr>
            <w:tcW w:w="792" w:type="dxa"/>
          </w:tcPr>
          <w:p w14:paraId="6E092FC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noProof/>
                <w:color w:val="2B579A"/>
                <w:sz w:val="20"/>
                <w:szCs w:val="20"/>
                <w:shd w:val="clear" w:color="auto" w:fill="E6E6E6"/>
                <w:lang w:eastAsia="zh-CN"/>
              </w:rPr>
              <mc:AlternateContent>
                <mc:Choice Requires="wps">
                  <w:drawing>
                    <wp:anchor distT="0" distB="0" distL="114300" distR="114300" simplePos="0" relativeHeight="251658247" behindDoc="0" locked="0" layoutInCell="1" allowOverlap="1" wp14:anchorId="34FE989A" wp14:editId="591F29B2">
                      <wp:simplePos x="0" y="0"/>
                      <wp:positionH relativeFrom="column">
                        <wp:posOffset>33020</wp:posOffset>
                      </wp:positionH>
                      <wp:positionV relativeFrom="paragraph">
                        <wp:posOffset>17780</wp:posOffset>
                      </wp:positionV>
                      <wp:extent cx="76200" cy="91440"/>
                      <wp:effectExtent l="0" t="0" r="0" b="3810"/>
                      <wp:wrapNone/>
                      <wp:docPr id="12" name="Arrow: Down 12"/>
                      <wp:cNvGraphicFramePr/>
                      <a:graphic xmlns:a="http://schemas.openxmlformats.org/drawingml/2006/main">
                        <a:graphicData uri="http://schemas.microsoft.com/office/word/2010/wordprocessingShape">
                          <wps:wsp>
                            <wps:cNvSpPr/>
                            <wps:spPr>
                              <a:xfrm>
                                <a:off x="0" y="0"/>
                                <a:ext cx="76200" cy="9144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E87B7" id="Arrow: Down 12" o:spid="_x0000_s1026" type="#_x0000_t67" style="position:absolute;margin-left:2.6pt;margin-top:1.4pt;width:6pt;height:7.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" adj="12600" fillcolor="#7f7f7f [1612]" stroked="f" strokeweight="1pt"/>
                  </w:pict>
                </mc:Fallback>
              </mc:AlternateContent>
            </w:r>
          </w:p>
        </w:tc>
        <w:tc>
          <w:tcPr>
            <w:tcW w:w="2837" w:type="dxa"/>
          </w:tcPr>
          <w:p w14:paraId="717BEF0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Belonging</w:t>
            </w:r>
          </w:p>
        </w:tc>
        <w:tc>
          <w:tcPr>
            <w:tcW w:w="578" w:type="dxa"/>
          </w:tcPr>
          <w:p w14:paraId="3A8DE48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noProof/>
                <w:color w:val="2B579A"/>
                <w:sz w:val="20"/>
                <w:szCs w:val="20"/>
                <w:shd w:val="clear" w:color="auto" w:fill="E6E6E6"/>
                <w:lang w:eastAsia="zh-CN"/>
              </w:rPr>
              <mc:AlternateContent>
                <mc:Choice Requires="wps">
                  <w:drawing>
                    <wp:anchor distT="0" distB="0" distL="114300" distR="114300" simplePos="0" relativeHeight="251658249" behindDoc="0" locked="0" layoutInCell="1" allowOverlap="1" wp14:anchorId="45D129B6" wp14:editId="1B8F75C5">
                      <wp:simplePos x="0" y="0"/>
                      <wp:positionH relativeFrom="column">
                        <wp:posOffset>-635</wp:posOffset>
                      </wp:positionH>
                      <wp:positionV relativeFrom="paragraph">
                        <wp:posOffset>18415</wp:posOffset>
                      </wp:positionV>
                      <wp:extent cx="76200" cy="91440"/>
                      <wp:effectExtent l="0" t="0" r="0" b="3810"/>
                      <wp:wrapNone/>
                      <wp:docPr id="15" name="Arrow: Down 15"/>
                      <wp:cNvGraphicFramePr/>
                      <a:graphic xmlns:a="http://schemas.openxmlformats.org/drawingml/2006/main">
                        <a:graphicData uri="http://schemas.microsoft.com/office/word/2010/wordprocessingShape">
                          <wps:wsp>
                            <wps:cNvSpPr/>
                            <wps:spPr>
                              <a:xfrm>
                                <a:off x="0" y="0"/>
                                <a:ext cx="76200" cy="9144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83699" id="Arrow: Down 15" o:spid="_x0000_s1026" type="#_x0000_t67" style="position:absolute;margin-left:-.05pt;margin-top:1.45pt;width:6pt;height:7.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" adj="12600" fillcolor="#7f7f7f [1612]" stroked="f" strokeweight="1pt"/>
                  </w:pict>
                </mc:Fallback>
              </mc:AlternateContent>
            </w:r>
          </w:p>
        </w:tc>
        <w:tc>
          <w:tcPr>
            <w:tcW w:w="2446" w:type="dxa"/>
          </w:tcPr>
          <w:p w14:paraId="70856BD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Sharing economy</w:t>
            </w:r>
          </w:p>
        </w:tc>
      </w:tr>
      <w:tr w:rsidR="00F00E3D" w:rsidRPr="00231567" w14:paraId="1A4AA315" w14:textId="77777777" w:rsidTr="00052574">
        <w:trPr>
          <w:trHeight w:val="246"/>
        </w:trPr>
        <w:tc>
          <w:tcPr>
            <w:tcW w:w="491" w:type="dxa"/>
          </w:tcPr>
          <w:p w14:paraId="7187495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6E15BA3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Engagement (engage)</w:t>
            </w:r>
          </w:p>
        </w:tc>
        <w:tc>
          <w:tcPr>
            <w:tcW w:w="841" w:type="dxa"/>
          </w:tcPr>
          <w:p w14:paraId="5294C22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2FE8BEE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Prevent</w:t>
            </w:r>
          </w:p>
        </w:tc>
        <w:tc>
          <w:tcPr>
            <w:tcW w:w="792" w:type="dxa"/>
          </w:tcPr>
          <w:p w14:paraId="0EF0D6B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486953A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Community</w:t>
            </w:r>
          </w:p>
        </w:tc>
        <w:tc>
          <w:tcPr>
            <w:tcW w:w="578" w:type="dxa"/>
          </w:tcPr>
          <w:p w14:paraId="0BBA806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0CDD211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Informal economy</w:t>
            </w:r>
          </w:p>
        </w:tc>
      </w:tr>
      <w:tr w:rsidR="00F00E3D" w:rsidRPr="00231567" w14:paraId="63871197" w14:textId="77777777" w:rsidTr="00052574">
        <w:trPr>
          <w:trHeight w:val="259"/>
        </w:trPr>
        <w:tc>
          <w:tcPr>
            <w:tcW w:w="491" w:type="dxa"/>
          </w:tcPr>
          <w:p w14:paraId="0105E71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5A7EF81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Opportunity</w:t>
            </w:r>
          </w:p>
        </w:tc>
        <w:tc>
          <w:tcPr>
            <w:tcW w:w="841" w:type="dxa"/>
          </w:tcPr>
          <w:p w14:paraId="5400F7B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442C90A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Impact</w:t>
            </w:r>
          </w:p>
        </w:tc>
        <w:tc>
          <w:tcPr>
            <w:tcW w:w="792" w:type="dxa"/>
          </w:tcPr>
          <w:p w14:paraId="7CB6610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7BB6691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Social networks</w:t>
            </w:r>
          </w:p>
        </w:tc>
        <w:tc>
          <w:tcPr>
            <w:tcW w:w="578" w:type="dxa"/>
          </w:tcPr>
          <w:p w14:paraId="1FEAA63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07F8815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Community economies</w:t>
            </w:r>
          </w:p>
        </w:tc>
      </w:tr>
      <w:tr w:rsidR="00F00E3D" w:rsidRPr="00231567" w14:paraId="623C85E0" w14:textId="77777777" w:rsidTr="00052574">
        <w:trPr>
          <w:trHeight w:val="259"/>
        </w:trPr>
        <w:tc>
          <w:tcPr>
            <w:tcW w:w="491" w:type="dxa"/>
          </w:tcPr>
          <w:p w14:paraId="4FBABB0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49A5C7F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Participation</w:t>
            </w:r>
          </w:p>
        </w:tc>
        <w:tc>
          <w:tcPr>
            <w:tcW w:w="841" w:type="dxa"/>
          </w:tcPr>
          <w:p w14:paraId="77F5596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1A74666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Measure</w:t>
            </w:r>
          </w:p>
        </w:tc>
        <w:tc>
          <w:tcPr>
            <w:tcW w:w="792" w:type="dxa"/>
          </w:tcPr>
          <w:p w14:paraId="7E88E25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64611A6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Social resources</w:t>
            </w:r>
          </w:p>
        </w:tc>
        <w:tc>
          <w:tcPr>
            <w:tcW w:w="578" w:type="dxa"/>
          </w:tcPr>
          <w:p w14:paraId="7C3E846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056A835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The commons</w:t>
            </w:r>
          </w:p>
        </w:tc>
      </w:tr>
      <w:tr w:rsidR="00F00E3D" w:rsidRPr="00231567" w14:paraId="50F3B41C" w14:textId="77777777" w:rsidTr="00052574">
        <w:trPr>
          <w:trHeight w:val="259"/>
        </w:trPr>
        <w:tc>
          <w:tcPr>
            <w:tcW w:w="491" w:type="dxa"/>
          </w:tcPr>
          <w:p w14:paraId="46E8DF3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6EC7BF4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Civic participation</w:t>
            </w:r>
          </w:p>
        </w:tc>
        <w:tc>
          <w:tcPr>
            <w:tcW w:w="841" w:type="dxa"/>
          </w:tcPr>
          <w:p w14:paraId="00011A0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454F2F5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Survey</w:t>
            </w:r>
          </w:p>
        </w:tc>
        <w:tc>
          <w:tcPr>
            <w:tcW w:w="792" w:type="dxa"/>
          </w:tcPr>
          <w:p w14:paraId="09D8F9E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63F8B31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 xml:space="preserve">Social infrastructure </w:t>
            </w:r>
          </w:p>
        </w:tc>
        <w:tc>
          <w:tcPr>
            <w:tcW w:w="578" w:type="dxa"/>
          </w:tcPr>
          <w:p w14:paraId="56FB69D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06178FC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Co-ops</w:t>
            </w:r>
          </w:p>
        </w:tc>
      </w:tr>
      <w:tr w:rsidR="00F00E3D" w:rsidRPr="00231567" w14:paraId="55ECDD64" w14:textId="77777777" w:rsidTr="00052574">
        <w:trPr>
          <w:trHeight w:val="259"/>
        </w:trPr>
        <w:tc>
          <w:tcPr>
            <w:tcW w:w="491" w:type="dxa"/>
          </w:tcPr>
          <w:p w14:paraId="305188D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42FA69F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Social capital</w:t>
            </w:r>
          </w:p>
        </w:tc>
        <w:tc>
          <w:tcPr>
            <w:tcW w:w="841" w:type="dxa"/>
          </w:tcPr>
          <w:p w14:paraId="1BBFA00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216B76C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Mapping</w:t>
            </w:r>
          </w:p>
        </w:tc>
        <w:tc>
          <w:tcPr>
            <w:tcW w:w="792" w:type="dxa"/>
          </w:tcPr>
          <w:p w14:paraId="32B86D4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68455DD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Neighbourhood</w:t>
            </w:r>
          </w:p>
        </w:tc>
        <w:tc>
          <w:tcPr>
            <w:tcW w:w="578" w:type="dxa"/>
          </w:tcPr>
          <w:p w14:paraId="482CDBA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7BF3E03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Mutual aid</w:t>
            </w:r>
          </w:p>
        </w:tc>
      </w:tr>
      <w:tr w:rsidR="00F00E3D" w:rsidRPr="00231567" w14:paraId="6B545109" w14:textId="77777777" w:rsidTr="00052574">
        <w:trPr>
          <w:trHeight w:val="246"/>
        </w:trPr>
        <w:tc>
          <w:tcPr>
            <w:tcW w:w="491" w:type="dxa"/>
          </w:tcPr>
          <w:p w14:paraId="7AF62FA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518EE9D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Social change</w:t>
            </w:r>
          </w:p>
        </w:tc>
        <w:tc>
          <w:tcPr>
            <w:tcW w:w="841" w:type="dxa"/>
          </w:tcPr>
          <w:p w14:paraId="72ADC4B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0F611BC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Community indicators</w:t>
            </w:r>
          </w:p>
        </w:tc>
        <w:tc>
          <w:tcPr>
            <w:tcW w:w="792" w:type="dxa"/>
          </w:tcPr>
          <w:p w14:paraId="1B73F6E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4AD4436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Community groups</w:t>
            </w:r>
          </w:p>
        </w:tc>
        <w:tc>
          <w:tcPr>
            <w:tcW w:w="578" w:type="dxa"/>
          </w:tcPr>
          <w:p w14:paraId="4C29A7F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751CC23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Food security</w:t>
            </w:r>
          </w:p>
        </w:tc>
      </w:tr>
      <w:tr w:rsidR="00F00E3D" w:rsidRPr="00231567" w14:paraId="2A600318" w14:textId="77777777" w:rsidTr="00052574">
        <w:trPr>
          <w:trHeight w:val="246"/>
        </w:trPr>
        <w:tc>
          <w:tcPr>
            <w:tcW w:w="491" w:type="dxa"/>
          </w:tcPr>
          <w:p w14:paraId="1CB5AD0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00BA8DA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Capacity</w:t>
            </w:r>
          </w:p>
        </w:tc>
        <w:tc>
          <w:tcPr>
            <w:tcW w:w="841" w:type="dxa"/>
          </w:tcPr>
          <w:p w14:paraId="0FD9F3E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376F88E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GIS</w:t>
            </w:r>
          </w:p>
        </w:tc>
        <w:tc>
          <w:tcPr>
            <w:tcW w:w="792" w:type="dxa"/>
          </w:tcPr>
          <w:p w14:paraId="4CE458B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6F2CC65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Community events</w:t>
            </w:r>
          </w:p>
        </w:tc>
        <w:tc>
          <w:tcPr>
            <w:tcW w:w="578" w:type="dxa"/>
          </w:tcPr>
          <w:p w14:paraId="23C0D6BD" w14:textId="77777777" w:rsidR="00F00E3D" w:rsidRPr="00231567" w:rsidRDefault="00F00E3D" w:rsidP="009B2FA7">
            <w:pPr>
              <w:spacing w:line="276" w:lineRule="auto"/>
              <w:rPr>
                <w:rFonts w:asciiTheme="majorHAnsi" w:hAnsiTheme="majorHAnsi" w:cstheme="majorHAnsi"/>
                <w:sz w:val="20"/>
                <w:szCs w:val="20"/>
              </w:rPr>
            </w:pPr>
          </w:p>
        </w:tc>
        <w:tc>
          <w:tcPr>
            <w:tcW w:w="2446" w:type="dxa"/>
          </w:tcPr>
          <w:p w14:paraId="37FAC4E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Gender</w:t>
            </w:r>
          </w:p>
        </w:tc>
      </w:tr>
      <w:tr w:rsidR="00F00E3D" w:rsidRPr="00231567" w14:paraId="390423E8" w14:textId="77777777" w:rsidTr="00052574">
        <w:trPr>
          <w:trHeight w:val="246"/>
        </w:trPr>
        <w:tc>
          <w:tcPr>
            <w:tcW w:w="491" w:type="dxa"/>
          </w:tcPr>
          <w:p w14:paraId="4063864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45228A5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Resources</w:t>
            </w:r>
          </w:p>
        </w:tc>
        <w:tc>
          <w:tcPr>
            <w:tcW w:w="841" w:type="dxa"/>
          </w:tcPr>
          <w:p w14:paraId="5920EDF6" w14:textId="77777777" w:rsidR="00F00E3D" w:rsidRPr="00231567" w:rsidRDefault="00F00E3D" w:rsidP="009B2FA7">
            <w:pPr>
              <w:spacing w:line="276" w:lineRule="auto"/>
              <w:rPr>
                <w:rFonts w:asciiTheme="majorHAnsi" w:hAnsiTheme="majorHAnsi" w:cstheme="majorHAnsi"/>
                <w:sz w:val="20"/>
                <w:szCs w:val="20"/>
              </w:rPr>
            </w:pPr>
          </w:p>
        </w:tc>
        <w:tc>
          <w:tcPr>
            <w:tcW w:w="3109" w:type="dxa"/>
          </w:tcPr>
          <w:p w14:paraId="5F55DA7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Successful</w:t>
            </w:r>
          </w:p>
        </w:tc>
        <w:tc>
          <w:tcPr>
            <w:tcW w:w="792" w:type="dxa"/>
          </w:tcPr>
          <w:p w14:paraId="7BAB213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6F25D28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Community arts</w:t>
            </w:r>
          </w:p>
        </w:tc>
        <w:tc>
          <w:tcPr>
            <w:tcW w:w="578" w:type="dxa"/>
          </w:tcPr>
          <w:p w14:paraId="1909A09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21619E5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Indigenous</w:t>
            </w:r>
          </w:p>
        </w:tc>
      </w:tr>
      <w:tr w:rsidR="00F00E3D" w:rsidRPr="00231567" w14:paraId="39BD63F5" w14:textId="77777777" w:rsidTr="00052574">
        <w:trPr>
          <w:trHeight w:val="246"/>
        </w:trPr>
        <w:tc>
          <w:tcPr>
            <w:tcW w:w="491" w:type="dxa"/>
          </w:tcPr>
          <w:p w14:paraId="6EE24CE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7AAC262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Empower</w:t>
            </w:r>
          </w:p>
        </w:tc>
        <w:tc>
          <w:tcPr>
            <w:tcW w:w="841" w:type="dxa"/>
          </w:tcPr>
          <w:p w14:paraId="3940C53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04DBA6F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Effective</w:t>
            </w:r>
          </w:p>
        </w:tc>
        <w:tc>
          <w:tcPr>
            <w:tcW w:w="792" w:type="dxa"/>
          </w:tcPr>
          <w:p w14:paraId="79A19B49" w14:textId="77777777" w:rsidR="00F00E3D" w:rsidRPr="00231567" w:rsidRDefault="00F00E3D" w:rsidP="009B2FA7">
            <w:pPr>
              <w:spacing w:line="276" w:lineRule="auto"/>
              <w:rPr>
                <w:rFonts w:asciiTheme="majorHAnsi" w:hAnsiTheme="majorHAnsi" w:cstheme="majorHAnsi"/>
                <w:sz w:val="20"/>
                <w:szCs w:val="20"/>
              </w:rPr>
            </w:pPr>
          </w:p>
        </w:tc>
        <w:tc>
          <w:tcPr>
            <w:tcW w:w="2837" w:type="dxa"/>
          </w:tcPr>
          <w:p w14:paraId="47CF30E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Amenities</w:t>
            </w:r>
          </w:p>
        </w:tc>
        <w:tc>
          <w:tcPr>
            <w:tcW w:w="578" w:type="dxa"/>
          </w:tcPr>
          <w:p w14:paraId="7293478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172D23A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Aboriginal</w:t>
            </w:r>
          </w:p>
        </w:tc>
      </w:tr>
      <w:tr w:rsidR="00F00E3D" w:rsidRPr="00231567" w14:paraId="174D61F7" w14:textId="77777777" w:rsidTr="00052574">
        <w:trPr>
          <w:trHeight w:val="246"/>
        </w:trPr>
        <w:tc>
          <w:tcPr>
            <w:tcW w:w="491" w:type="dxa"/>
          </w:tcPr>
          <w:p w14:paraId="31B080E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5B4CE72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Resilience</w:t>
            </w:r>
          </w:p>
        </w:tc>
        <w:tc>
          <w:tcPr>
            <w:tcW w:w="841" w:type="dxa"/>
          </w:tcPr>
          <w:p w14:paraId="304D35A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1D0F7FF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Improve</w:t>
            </w:r>
          </w:p>
        </w:tc>
        <w:tc>
          <w:tcPr>
            <w:tcW w:w="792" w:type="dxa"/>
          </w:tcPr>
          <w:p w14:paraId="76ACE0B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613609A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Sport</w:t>
            </w:r>
          </w:p>
        </w:tc>
        <w:tc>
          <w:tcPr>
            <w:tcW w:w="578" w:type="dxa"/>
          </w:tcPr>
          <w:p w14:paraId="711DFE0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26A8082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CALD</w:t>
            </w:r>
          </w:p>
        </w:tc>
      </w:tr>
      <w:tr w:rsidR="00F00E3D" w:rsidRPr="00231567" w14:paraId="746EA430" w14:textId="77777777" w:rsidTr="00052574">
        <w:trPr>
          <w:trHeight w:val="246"/>
        </w:trPr>
        <w:tc>
          <w:tcPr>
            <w:tcW w:w="491" w:type="dxa"/>
          </w:tcPr>
          <w:p w14:paraId="0EB3F12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28368C3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Prosperity</w:t>
            </w:r>
          </w:p>
        </w:tc>
        <w:tc>
          <w:tcPr>
            <w:tcW w:w="841" w:type="dxa"/>
          </w:tcPr>
          <w:p w14:paraId="4FAE75F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72F0905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Innovative</w:t>
            </w:r>
          </w:p>
        </w:tc>
        <w:tc>
          <w:tcPr>
            <w:tcW w:w="792" w:type="dxa"/>
          </w:tcPr>
          <w:p w14:paraId="11DD82D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79F13F0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Recreation</w:t>
            </w:r>
          </w:p>
        </w:tc>
        <w:tc>
          <w:tcPr>
            <w:tcW w:w="578" w:type="dxa"/>
          </w:tcPr>
          <w:p w14:paraId="370CEAD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0599B2D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Migrant</w:t>
            </w:r>
          </w:p>
        </w:tc>
      </w:tr>
      <w:tr w:rsidR="00F00E3D" w:rsidRPr="00231567" w14:paraId="16914410" w14:textId="77777777" w:rsidTr="00052574">
        <w:trPr>
          <w:trHeight w:val="246"/>
        </w:trPr>
        <w:tc>
          <w:tcPr>
            <w:tcW w:w="491" w:type="dxa"/>
          </w:tcPr>
          <w:p w14:paraId="539DCD9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67E4A89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Quality of life</w:t>
            </w:r>
          </w:p>
        </w:tc>
        <w:tc>
          <w:tcPr>
            <w:tcW w:w="841" w:type="dxa"/>
          </w:tcPr>
          <w:p w14:paraId="4A2586EC" w14:textId="77777777" w:rsidR="00F00E3D" w:rsidRPr="00231567" w:rsidRDefault="00F00E3D" w:rsidP="009B2FA7">
            <w:pPr>
              <w:spacing w:line="276" w:lineRule="auto"/>
              <w:rPr>
                <w:rFonts w:asciiTheme="majorHAnsi" w:hAnsiTheme="majorHAnsi" w:cstheme="majorHAnsi"/>
                <w:sz w:val="20"/>
                <w:szCs w:val="20"/>
              </w:rPr>
            </w:pPr>
          </w:p>
        </w:tc>
        <w:tc>
          <w:tcPr>
            <w:tcW w:w="3109" w:type="dxa"/>
          </w:tcPr>
          <w:p w14:paraId="1CB5D73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Location</w:t>
            </w:r>
          </w:p>
        </w:tc>
        <w:tc>
          <w:tcPr>
            <w:tcW w:w="792" w:type="dxa"/>
          </w:tcPr>
          <w:p w14:paraId="070D22E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1E00E94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Culture (cultural)</w:t>
            </w:r>
          </w:p>
        </w:tc>
        <w:tc>
          <w:tcPr>
            <w:tcW w:w="578" w:type="dxa"/>
          </w:tcPr>
          <w:p w14:paraId="2402688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0B7159D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Multicultural</w:t>
            </w:r>
          </w:p>
        </w:tc>
      </w:tr>
      <w:tr w:rsidR="00F00E3D" w:rsidRPr="00231567" w14:paraId="4E5857C7" w14:textId="77777777" w:rsidTr="00052574">
        <w:trPr>
          <w:trHeight w:val="246"/>
        </w:trPr>
        <w:tc>
          <w:tcPr>
            <w:tcW w:w="491" w:type="dxa"/>
          </w:tcPr>
          <w:p w14:paraId="5DECC5F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5F72AE3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Community-building</w:t>
            </w:r>
          </w:p>
        </w:tc>
        <w:tc>
          <w:tcPr>
            <w:tcW w:w="841" w:type="dxa"/>
          </w:tcPr>
          <w:p w14:paraId="4D92D4B1" w14:textId="77777777" w:rsidR="00F00E3D" w:rsidRPr="00231567" w:rsidRDefault="00F00E3D" w:rsidP="009B2FA7">
            <w:pPr>
              <w:spacing w:line="276" w:lineRule="auto"/>
              <w:rPr>
                <w:rFonts w:asciiTheme="majorHAnsi" w:hAnsiTheme="majorHAnsi" w:cstheme="majorHAnsi"/>
                <w:sz w:val="20"/>
                <w:szCs w:val="20"/>
              </w:rPr>
            </w:pPr>
          </w:p>
        </w:tc>
        <w:tc>
          <w:tcPr>
            <w:tcW w:w="3109" w:type="dxa"/>
          </w:tcPr>
          <w:p w14:paraId="14F65A2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Council</w:t>
            </w:r>
          </w:p>
        </w:tc>
        <w:tc>
          <w:tcPr>
            <w:tcW w:w="792" w:type="dxa"/>
          </w:tcPr>
          <w:p w14:paraId="49EE3BF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537EBDA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Green space</w:t>
            </w:r>
          </w:p>
        </w:tc>
        <w:tc>
          <w:tcPr>
            <w:tcW w:w="578" w:type="dxa"/>
          </w:tcPr>
          <w:p w14:paraId="403FA55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64B6A80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Diversity</w:t>
            </w:r>
          </w:p>
        </w:tc>
      </w:tr>
      <w:tr w:rsidR="00F00E3D" w:rsidRPr="00231567" w14:paraId="3B0C867C" w14:textId="77777777" w:rsidTr="00052574">
        <w:trPr>
          <w:trHeight w:val="246"/>
        </w:trPr>
        <w:tc>
          <w:tcPr>
            <w:tcW w:w="491" w:type="dxa"/>
          </w:tcPr>
          <w:p w14:paraId="2E2C3B38" w14:textId="77777777" w:rsidR="00F00E3D" w:rsidRPr="00231567" w:rsidRDefault="00F00E3D" w:rsidP="009B2FA7">
            <w:pPr>
              <w:spacing w:line="276" w:lineRule="auto"/>
              <w:rPr>
                <w:rFonts w:asciiTheme="majorHAnsi" w:hAnsiTheme="majorHAnsi" w:cstheme="majorHAnsi"/>
                <w:sz w:val="20"/>
                <w:szCs w:val="20"/>
              </w:rPr>
            </w:pPr>
          </w:p>
        </w:tc>
        <w:tc>
          <w:tcPr>
            <w:tcW w:w="3296" w:type="dxa"/>
          </w:tcPr>
          <w:p w14:paraId="71E8A99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Community building</w:t>
            </w:r>
          </w:p>
        </w:tc>
        <w:tc>
          <w:tcPr>
            <w:tcW w:w="841" w:type="dxa"/>
          </w:tcPr>
          <w:p w14:paraId="05BEBBF5" w14:textId="77777777" w:rsidR="00F00E3D" w:rsidRPr="00231567" w:rsidRDefault="00F00E3D" w:rsidP="009B2FA7">
            <w:pPr>
              <w:spacing w:line="276" w:lineRule="auto"/>
              <w:rPr>
                <w:rFonts w:asciiTheme="majorHAnsi" w:hAnsiTheme="majorHAnsi" w:cstheme="majorHAnsi"/>
                <w:sz w:val="20"/>
                <w:szCs w:val="20"/>
              </w:rPr>
            </w:pPr>
          </w:p>
        </w:tc>
        <w:tc>
          <w:tcPr>
            <w:tcW w:w="3109" w:type="dxa"/>
          </w:tcPr>
          <w:p w14:paraId="013D5F2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Corio Norlane (-Norlane)</w:t>
            </w:r>
          </w:p>
        </w:tc>
        <w:tc>
          <w:tcPr>
            <w:tcW w:w="792" w:type="dxa"/>
          </w:tcPr>
          <w:p w14:paraId="2A790B8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00BC0D2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Blue space</w:t>
            </w:r>
          </w:p>
        </w:tc>
        <w:tc>
          <w:tcPr>
            <w:tcW w:w="578" w:type="dxa"/>
          </w:tcPr>
          <w:p w14:paraId="4950EDEA" w14:textId="77777777" w:rsidR="00F00E3D" w:rsidRPr="00231567" w:rsidRDefault="00F00E3D" w:rsidP="009B2FA7">
            <w:pPr>
              <w:spacing w:line="276" w:lineRule="auto"/>
              <w:rPr>
                <w:rFonts w:asciiTheme="majorHAnsi" w:hAnsiTheme="majorHAnsi" w:cstheme="majorHAnsi"/>
                <w:sz w:val="20"/>
                <w:szCs w:val="20"/>
              </w:rPr>
            </w:pPr>
          </w:p>
        </w:tc>
        <w:tc>
          <w:tcPr>
            <w:tcW w:w="2446" w:type="dxa"/>
          </w:tcPr>
          <w:p w14:paraId="40C4054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Stigma</w:t>
            </w:r>
          </w:p>
        </w:tc>
      </w:tr>
      <w:tr w:rsidR="00F00E3D" w:rsidRPr="00231567" w14:paraId="0F82A654" w14:textId="77777777" w:rsidTr="00052574">
        <w:trPr>
          <w:trHeight w:val="246"/>
        </w:trPr>
        <w:tc>
          <w:tcPr>
            <w:tcW w:w="491" w:type="dxa"/>
          </w:tcPr>
          <w:p w14:paraId="6A90144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3466710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Community development</w:t>
            </w:r>
          </w:p>
        </w:tc>
        <w:tc>
          <w:tcPr>
            <w:tcW w:w="841" w:type="dxa"/>
          </w:tcPr>
          <w:p w14:paraId="590A40A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79601CB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Whittington</w:t>
            </w:r>
          </w:p>
        </w:tc>
        <w:tc>
          <w:tcPr>
            <w:tcW w:w="792" w:type="dxa"/>
          </w:tcPr>
          <w:p w14:paraId="773A799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195758E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Open space</w:t>
            </w:r>
          </w:p>
        </w:tc>
        <w:tc>
          <w:tcPr>
            <w:tcW w:w="578" w:type="dxa"/>
          </w:tcPr>
          <w:p w14:paraId="46FAF8B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2524CAB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Discrimination</w:t>
            </w:r>
          </w:p>
        </w:tc>
      </w:tr>
      <w:tr w:rsidR="00F00E3D" w:rsidRPr="00231567" w14:paraId="5001E85B" w14:textId="77777777" w:rsidTr="00052574">
        <w:trPr>
          <w:trHeight w:val="246"/>
        </w:trPr>
        <w:tc>
          <w:tcPr>
            <w:tcW w:w="491" w:type="dxa"/>
          </w:tcPr>
          <w:p w14:paraId="2233AD0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3382789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Community outcomes</w:t>
            </w:r>
          </w:p>
        </w:tc>
        <w:tc>
          <w:tcPr>
            <w:tcW w:w="841" w:type="dxa"/>
          </w:tcPr>
          <w:p w14:paraId="2F59A49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1D0BAC8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Geelong</w:t>
            </w:r>
          </w:p>
        </w:tc>
        <w:tc>
          <w:tcPr>
            <w:tcW w:w="792" w:type="dxa"/>
          </w:tcPr>
          <w:p w14:paraId="63E6FDC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2FA1A3D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Public space</w:t>
            </w:r>
          </w:p>
        </w:tc>
        <w:tc>
          <w:tcPr>
            <w:tcW w:w="578" w:type="dxa"/>
          </w:tcPr>
          <w:p w14:paraId="67182B73" w14:textId="77777777" w:rsidR="00F00E3D" w:rsidRPr="00231567" w:rsidRDefault="00F00E3D" w:rsidP="009B2FA7">
            <w:pPr>
              <w:spacing w:line="276" w:lineRule="auto"/>
              <w:rPr>
                <w:rFonts w:asciiTheme="majorHAnsi" w:hAnsiTheme="majorHAnsi" w:cstheme="majorHAnsi"/>
                <w:sz w:val="20"/>
                <w:szCs w:val="20"/>
              </w:rPr>
            </w:pPr>
          </w:p>
        </w:tc>
        <w:tc>
          <w:tcPr>
            <w:tcW w:w="2446" w:type="dxa"/>
          </w:tcPr>
          <w:p w14:paraId="2547D6A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Safety</w:t>
            </w:r>
          </w:p>
        </w:tc>
      </w:tr>
      <w:tr w:rsidR="00F00E3D" w:rsidRPr="00231567" w14:paraId="6287B2BD" w14:textId="77777777" w:rsidTr="00052574">
        <w:trPr>
          <w:trHeight w:val="246"/>
        </w:trPr>
        <w:tc>
          <w:tcPr>
            <w:tcW w:w="491" w:type="dxa"/>
          </w:tcPr>
          <w:p w14:paraId="743BCD4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353F6EB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Community integration</w:t>
            </w:r>
          </w:p>
        </w:tc>
        <w:tc>
          <w:tcPr>
            <w:tcW w:w="841" w:type="dxa"/>
          </w:tcPr>
          <w:p w14:paraId="5D88475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50269A8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Melbourne</w:t>
            </w:r>
          </w:p>
        </w:tc>
        <w:tc>
          <w:tcPr>
            <w:tcW w:w="792" w:type="dxa"/>
          </w:tcPr>
          <w:p w14:paraId="7403A59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4AF40BD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Parks</w:t>
            </w:r>
          </w:p>
        </w:tc>
        <w:tc>
          <w:tcPr>
            <w:tcW w:w="578" w:type="dxa"/>
          </w:tcPr>
          <w:p w14:paraId="0F77E2B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05427B7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Crime</w:t>
            </w:r>
          </w:p>
        </w:tc>
      </w:tr>
      <w:tr w:rsidR="00F00E3D" w:rsidRPr="00231567" w14:paraId="23F9E1DD" w14:textId="77777777" w:rsidTr="00052574">
        <w:trPr>
          <w:trHeight w:val="246"/>
        </w:trPr>
        <w:tc>
          <w:tcPr>
            <w:tcW w:w="491" w:type="dxa"/>
          </w:tcPr>
          <w:p w14:paraId="0AE0D81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6ECE1B7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Community engagement</w:t>
            </w:r>
          </w:p>
        </w:tc>
        <w:tc>
          <w:tcPr>
            <w:tcW w:w="841" w:type="dxa"/>
          </w:tcPr>
          <w:p w14:paraId="7400271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44E8008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Victoria</w:t>
            </w:r>
          </w:p>
        </w:tc>
        <w:tc>
          <w:tcPr>
            <w:tcW w:w="792" w:type="dxa"/>
          </w:tcPr>
          <w:p w14:paraId="136857C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24FBBA3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Nature</w:t>
            </w:r>
          </w:p>
        </w:tc>
        <w:tc>
          <w:tcPr>
            <w:tcW w:w="578" w:type="dxa"/>
          </w:tcPr>
          <w:p w14:paraId="6822C84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196A743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Justice</w:t>
            </w:r>
          </w:p>
        </w:tc>
      </w:tr>
      <w:tr w:rsidR="00F00E3D" w:rsidRPr="00231567" w14:paraId="591E0F18" w14:textId="77777777" w:rsidTr="00052574">
        <w:trPr>
          <w:trHeight w:val="246"/>
        </w:trPr>
        <w:tc>
          <w:tcPr>
            <w:tcW w:w="491" w:type="dxa"/>
          </w:tcPr>
          <w:p w14:paraId="445A9A6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62E12C7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Social development</w:t>
            </w:r>
          </w:p>
        </w:tc>
        <w:tc>
          <w:tcPr>
            <w:tcW w:w="841" w:type="dxa"/>
          </w:tcPr>
          <w:p w14:paraId="7373B80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3967ECD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Australia</w:t>
            </w:r>
          </w:p>
        </w:tc>
        <w:tc>
          <w:tcPr>
            <w:tcW w:w="792" w:type="dxa"/>
          </w:tcPr>
          <w:p w14:paraId="62F5B72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0780B5E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Environment</w:t>
            </w:r>
          </w:p>
        </w:tc>
        <w:tc>
          <w:tcPr>
            <w:tcW w:w="578" w:type="dxa"/>
          </w:tcPr>
          <w:p w14:paraId="6FCF2B1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79B613A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Violence</w:t>
            </w:r>
          </w:p>
        </w:tc>
      </w:tr>
      <w:tr w:rsidR="00F00E3D" w:rsidRPr="00231567" w14:paraId="61FD63C0" w14:textId="77777777" w:rsidTr="00052574">
        <w:trPr>
          <w:trHeight w:val="246"/>
        </w:trPr>
        <w:tc>
          <w:tcPr>
            <w:tcW w:w="491" w:type="dxa"/>
          </w:tcPr>
          <w:p w14:paraId="7135E28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3B4175C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Economic development</w:t>
            </w:r>
          </w:p>
        </w:tc>
        <w:tc>
          <w:tcPr>
            <w:tcW w:w="841" w:type="dxa"/>
          </w:tcPr>
          <w:p w14:paraId="5950D1A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0C88A70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Local</w:t>
            </w:r>
          </w:p>
        </w:tc>
        <w:tc>
          <w:tcPr>
            <w:tcW w:w="792" w:type="dxa"/>
          </w:tcPr>
          <w:p w14:paraId="717C6E7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4DA6AA8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Infrastructure</w:t>
            </w:r>
          </w:p>
        </w:tc>
        <w:tc>
          <w:tcPr>
            <w:tcW w:w="578" w:type="dxa"/>
          </w:tcPr>
          <w:p w14:paraId="0DE94BC6" w14:textId="77777777" w:rsidR="00F00E3D" w:rsidRPr="00231567" w:rsidRDefault="00F00E3D" w:rsidP="009B2FA7">
            <w:pPr>
              <w:spacing w:line="276" w:lineRule="auto"/>
              <w:rPr>
                <w:rFonts w:asciiTheme="majorHAnsi" w:hAnsiTheme="majorHAnsi" w:cstheme="majorHAnsi"/>
                <w:sz w:val="20"/>
                <w:szCs w:val="20"/>
              </w:rPr>
            </w:pPr>
          </w:p>
        </w:tc>
        <w:tc>
          <w:tcPr>
            <w:tcW w:w="2446" w:type="dxa"/>
          </w:tcPr>
          <w:p w14:paraId="4A0CA406" w14:textId="77777777" w:rsidR="00F00E3D" w:rsidRPr="00231567" w:rsidRDefault="00F00E3D" w:rsidP="009B2FA7">
            <w:pPr>
              <w:spacing w:line="276" w:lineRule="auto"/>
              <w:rPr>
                <w:rFonts w:asciiTheme="majorHAnsi" w:hAnsiTheme="majorHAnsi" w:cstheme="majorHAnsi"/>
                <w:b/>
                <w:bCs/>
                <w:sz w:val="20"/>
                <w:szCs w:val="20"/>
              </w:rPr>
            </w:pPr>
            <w:r w:rsidRPr="00231567">
              <w:rPr>
                <w:rFonts w:asciiTheme="majorHAnsi" w:hAnsiTheme="majorHAnsi" w:cstheme="majorHAnsi"/>
                <w:sz w:val="20"/>
                <w:szCs w:val="20"/>
              </w:rPr>
              <w:t>Care</w:t>
            </w:r>
          </w:p>
        </w:tc>
      </w:tr>
      <w:tr w:rsidR="00F00E3D" w:rsidRPr="00231567" w14:paraId="17F80F08" w14:textId="77777777" w:rsidTr="00052574">
        <w:trPr>
          <w:trHeight w:val="246"/>
        </w:trPr>
        <w:tc>
          <w:tcPr>
            <w:tcW w:w="491" w:type="dxa"/>
          </w:tcPr>
          <w:p w14:paraId="50E8BA54" w14:textId="77777777" w:rsidR="00F00E3D" w:rsidRPr="00231567" w:rsidRDefault="00F00E3D" w:rsidP="009B2FA7">
            <w:pPr>
              <w:spacing w:line="276" w:lineRule="auto"/>
              <w:rPr>
                <w:rFonts w:asciiTheme="majorHAnsi" w:hAnsiTheme="majorHAnsi" w:cstheme="majorHAnsi"/>
                <w:b/>
                <w:bCs/>
                <w:sz w:val="20"/>
                <w:szCs w:val="20"/>
              </w:rPr>
            </w:pPr>
            <w:r w:rsidRPr="00231567">
              <w:rPr>
                <w:rFonts w:asciiTheme="majorHAnsi" w:hAnsiTheme="majorHAnsi" w:cstheme="majorHAnsi"/>
                <w:sz w:val="20"/>
                <w:szCs w:val="20"/>
              </w:rPr>
              <w:t>OR</w:t>
            </w:r>
          </w:p>
        </w:tc>
        <w:tc>
          <w:tcPr>
            <w:tcW w:w="3296" w:type="dxa"/>
          </w:tcPr>
          <w:p w14:paraId="0B4112D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Sustainable development</w:t>
            </w:r>
          </w:p>
        </w:tc>
        <w:tc>
          <w:tcPr>
            <w:tcW w:w="841" w:type="dxa"/>
          </w:tcPr>
          <w:p w14:paraId="5A7C9247" w14:textId="77777777" w:rsidR="00F00E3D" w:rsidRPr="00231567" w:rsidRDefault="00F00E3D" w:rsidP="009B2FA7">
            <w:pPr>
              <w:spacing w:line="276" w:lineRule="auto"/>
              <w:rPr>
                <w:rFonts w:asciiTheme="majorHAnsi" w:hAnsiTheme="majorHAnsi" w:cstheme="majorHAnsi"/>
                <w:b/>
                <w:bCs/>
                <w:sz w:val="20"/>
                <w:szCs w:val="20"/>
              </w:rPr>
            </w:pPr>
            <w:r w:rsidRPr="00231567">
              <w:rPr>
                <w:rFonts w:asciiTheme="majorHAnsi" w:hAnsiTheme="majorHAnsi" w:cstheme="majorHAnsi"/>
                <w:sz w:val="20"/>
                <w:szCs w:val="20"/>
              </w:rPr>
              <w:t>OR</w:t>
            </w:r>
          </w:p>
        </w:tc>
        <w:tc>
          <w:tcPr>
            <w:tcW w:w="3109" w:type="dxa"/>
          </w:tcPr>
          <w:p w14:paraId="78049544" w14:textId="77777777" w:rsidR="00F00E3D" w:rsidRPr="00231567" w:rsidRDefault="00F00E3D" w:rsidP="009B2FA7">
            <w:pPr>
              <w:spacing w:line="276" w:lineRule="auto"/>
              <w:rPr>
                <w:rFonts w:asciiTheme="majorHAnsi" w:hAnsiTheme="majorHAnsi" w:cstheme="majorHAnsi"/>
                <w:b/>
                <w:bCs/>
                <w:sz w:val="20"/>
                <w:szCs w:val="20"/>
              </w:rPr>
            </w:pPr>
            <w:r w:rsidRPr="00231567">
              <w:rPr>
                <w:rFonts w:asciiTheme="majorHAnsi" w:hAnsiTheme="majorHAnsi" w:cstheme="majorHAnsi"/>
                <w:sz w:val="20"/>
                <w:szCs w:val="20"/>
              </w:rPr>
              <w:t>State</w:t>
            </w:r>
          </w:p>
        </w:tc>
        <w:tc>
          <w:tcPr>
            <w:tcW w:w="792" w:type="dxa"/>
          </w:tcPr>
          <w:p w14:paraId="62DF4BF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2B72ED2C" w14:textId="77777777" w:rsidR="00F00E3D" w:rsidRPr="00231567" w:rsidRDefault="00F00E3D" w:rsidP="009B2FA7">
            <w:pPr>
              <w:spacing w:line="276" w:lineRule="auto"/>
              <w:rPr>
                <w:rFonts w:asciiTheme="majorHAnsi" w:hAnsiTheme="majorHAnsi" w:cstheme="majorHAnsi"/>
                <w:b/>
                <w:bCs/>
                <w:sz w:val="20"/>
                <w:szCs w:val="20"/>
              </w:rPr>
            </w:pPr>
            <w:r w:rsidRPr="00231567">
              <w:rPr>
                <w:rFonts w:asciiTheme="majorHAnsi" w:hAnsiTheme="majorHAnsi" w:cstheme="majorHAnsi"/>
                <w:sz w:val="20"/>
                <w:szCs w:val="20"/>
              </w:rPr>
              <w:t>Suburban (suburb)</w:t>
            </w:r>
          </w:p>
        </w:tc>
        <w:tc>
          <w:tcPr>
            <w:tcW w:w="578" w:type="dxa"/>
          </w:tcPr>
          <w:p w14:paraId="730176A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1A32551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Communities of care</w:t>
            </w:r>
          </w:p>
        </w:tc>
      </w:tr>
      <w:tr w:rsidR="00F00E3D" w:rsidRPr="00231567" w14:paraId="4B14770D" w14:textId="77777777" w:rsidTr="00052574">
        <w:trPr>
          <w:trHeight w:val="246"/>
        </w:trPr>
        <w:tc>
          <w:tcPr>
            <w:tcW w:w="491" w:type="dxa"/>
          </w:tcPr>
          <w:p w14:paraId="2265630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2695A59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Local economies</w:t>
            </w:r>
          </w:p>
        </w:tc>
        <w:tc>
          <w:tcPr>
            <w:tcW w:w="841" w:type="dxa"/>
          </w:tcPr>
          <w:p w14:paraId="55FE70B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1D36F4A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Federal</w:t>
            </w:r>
          </w:p>
        </w:tc>
        <w:tc>
          <w:tcPr>
            <w:tcW w:w="792" w:type="dxa"/>
          </w:tcPr>
          <w:p w14:paraId="60553C4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40F763A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Urban design</w:t>
            </w:r>
          </w:p>
        </w:tc>
        <w:tc>
          <w:tcPr>
            <w:tcW w:w="578" w:type="dxa"/>
          </w:tcPr>
          <w:p w14:paraId="6DB736BD" w14:textId="77777777" w:rsidR="00F00E3D" w:rsidRPr="00231567" w:rsidRDefault="00F00E3D" w:rsidP="009B2FA7">
            <w:pPr>
              <w:spacing w:line="276" w:lineRule="auto"/>
              <w:rPr>
                <w:rFonts w:asciiTheme="majorHAnsi" w:hAnsiTheme="majorHAnsi" w:cstheme="majorHAnsi"/>
                <w:sz w:val="20"/>
                <w:szCs w:val="20"/>
              </w:rPr>
            </w:pPr>
          </w:p>
        </w:tc>
        <w:tc>
          <w:tcPr>
            <w:tcW w:w="2446" w:type="dxa"/>
          </w:tcPr>
          <w:p w14:paraId="28BBE38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Ethics of care</w:t>
            </w:r>
          </w:p>
        </w:tc>
      </w:tr>
      <w:tr w:rsidR="00F00E3D" w:rsidRPr="00231567" w14:paraId="1B35C8ED" w14:textId="77777777" w:rsidTr="00052574">
        <w:trPr>
          <w:trHeight w:val="246"/>
        </w:trPr>
        <w:tc>
          <w:tcPr>
            <w:tcW w:w="491" w:type="dxa"/>
          </w:tcPr>
          <w:p w14:paraId="6B2812B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7B633DB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Cause</w:t>
            </w:r>
          </w:p>
        </w:tc>
        <w:tc>
          <w:tcPr>
            <w:tcW w:w="841" w:type="dxa"/>
          </w:tcPr>
          <w:p w14:paraId="29436EB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1AFB6F9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National</w:t>
            </w:r>
          </w:p>
        </w:tc>
        <w:tc>
          <w:tcPr>
            <w:tcW w:w="792" w:type="dxa"/>
          </w:tcPr>
          <w:p w14:paraId="3AF40F0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3FF0607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Urban environment</w:t>
            </w:r>
          </w:p>
        </w:tc>
        <w:tc>
          <w:tcPr>
            <w:tcW w:w="578" w:type="dxa"/>
          </w:tcPr>
          <w:p w14:paraId="03B1C3E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55B4FC0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Kindness</w:t>
            </w:r>
          </w:p>
        </w:tc>
      </w:tr>
      <w:tr w:rsidR="00F00E3D" w:rsidRPr="00231567" w14:paraId="5081E1F1" w14:textId="77777777" w:rsidTr="00052574">
        <w:trPr>
          <w:trHeight w:val="246"/>
        </w:trPr>
        <w:tc>
          <w:tcPr>
            <w:tcW w:w="491" w:type="dxa"/>
          </w:tcPr>
          <w:p w14:paraId="7969F5E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710B758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Drivers</w:t>
            </w:r>
          </w:p>
        </w:tc>
        <w:tc>
          <w:tcPr>
            <w:tcW w:w="841" w:type="dxa"/>
          </w:tcPr>
          <w:p w14:paraId="5FA8E1B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6CE7CDF8"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International</w:t>
            </w:r>
          </w:p>
        </w:tc>
        <w:tc>
          <w:tcPr>
            <w:tcW w:w="792" w:type="dxa"/>
          </w:tcPr>
          <w:p w14:paraId="13D58E8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02CA304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Urban renewal</w:t>
            </w:r>
          </w:p>
        </w:tc>
        <w:tc>
          <w:tcPr>
            <w:tcW w:w="578" w:type="dxa"/>
          </w:tcPr>
          <w:p w14:paraId="21AA0B9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138AD7B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Respect</w:t>
            </w:r>
          </w:p>
        </w:tc>
      </w:tr>
      <w:tr w:rsidR="00F00E3D" w:rsidRPr="00231567" w14:paraId="3C9D88E3" w14:textId="77777777" w:rsidTr="00052574">
        <w:trPr>
          <w:trHeight w:val="246"/>
        </w:trPr>
        <w:tc>
          <w:tcPr>
            <w:tcW w:w="491" w:type="dxa"/>
          </w:tcPr>
          <w:p w14:paraId="21C5B45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38A3522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Factors</w:t>
            </w:r>
          </w:p>
        </w:tc>
        <w:tc>
          <w:tcPr>
            <w:tcW w:w="841" w:type="dxa"/>
          </w:tcPr>
          <w:p w14:paraId="6C92997F" w14:textId="77777777" w:rsidR="00F00E3D" w:rsidRPr="00231567" w:rsidRDefault="00F00E3D" w:rsidP="009B2FA7">
            <w:pPr>
              <w:spacing w:line="276" w:lineRule="auto"/>
              <w:rPr>
                <w:rFonts w:asciiTheme="majorHAnsi" w:hAnsiTheme="majorHAnsi" w:cstheme="majorHAnsi"/>
                <w:sz w:val="20"/>
                <w:szCs w:val="20"/>
              </w:rPr>
            </w:pPr>
          </w:p>
        </w:tc>
        <w:tc>
          <w:tcPr>
            <w:tcW w:w="3109" w:type="dxa"/>
          </w:tcPr>
          <w:p w14:paraId="4F17915A"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UNESCO</w:t>
            </w:r>
          </w:p>
        </w:tc>
        <w:tc>
          <w:tcPr>
            <w:tcW w:w="792" w:type="dxa"/>
          </w:tcPr>
          <w:p w14:paraId="562FF90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0972028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Planning</w:t>
            </w:r>
          </w:p>
        </w:tc>
        <w:tc>
          <w:tcPr>
            <w:tcW w:w="578" w:type="dxa"/>
          </w:tcPr>
          <w:p w14:paraId="75D88FBF" w14:textId="77777777" w:rsidR="00F00E3D" w:rsidRPr="00231567" w:rsidRDefault="00F00E3D" w:rsidP="009B2FA7">
            <w:pPr>
              <w:spacing w:line="276" w:lineRule="auto"/>
              <w:rPr>
                <w:rFonts w:asciiTheme="majorHAnsi" w:hAnsiTheme="majorHAnsi" w:cstheme="majorHAnsi"/>
                <w:sz w:val="20"/>
                <w:szCs w:val="20"/>
              </w:rPr>
            </w:pPr>
          </w:p>
        </w:tc>
        <w:tc>
          <w:tcPr>
            <w:tcW w:w="2446" w:type="dxa"/>
          </w:tcPr>
          <w:p w14:paraId="100F78E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Agency</w:t>
            </w:r>
          </w:p>
        </w:tc>
      </w:tr>
      <w:tr w:rsidR="00F00E3D" w:rsidRPr="00231567" w14:paraId="02A9BAF2" w14:textId="77777777" w:rsidTr="00052574">
        <w:trPr>
          <w:trHeight w:val="46"/>
        </w:trPr>
        <w:tc>
          <w:tcPr>
            <w:tcW w:w="491" w:type="dxa"/>
          </w:tcPr>
          <w:p w14:paraId="02993FF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4C369B0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Barriers</w:t>
            </w:r>
          </w:p>
        </w:tc>
        <w:tc>
          <w:tcPr>
            <w:tcW w:w="841" w:type="dxa"/>
          </w:tcPr>
          <w:p w14:paraId="65E52D6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240C00E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Creative Cities</w:t>
            </w:r>
          </w:p>
        </w:tc>
        <w:tc>
          <w:tcPr>
            <w:tcW w:w="792" w:type="dxa"/>
          </w:tcPr>
          <w:p w14:paraId="7B8B0C4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2064189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Tactical urbanism</w:t>
            </w:r>
          </w:p>
        </w:tc>
        <w:tc>
          <w:tcPr>
            <w:tcW w:w="578" w:type="dxa"/>
          </w:tcPr>
          <w:p w14:paraId="3B10A6F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08E2DFA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Rights</w:t>
            </w:r>
          </w:p>
        </w:tc>
      </w:tr>
      <w:tr w:rsidR="00F00E3D" w:rsidRPr="00231567" w14:paraId="46B802CE" w14:textId="77777777" w:rsidTr="00052574">
        <w:trPr>
          <w:trHeight w:val="246"/>
        </w:trPr>
        <w:tc>
          <w:tcPr>
            <w:tcW w:w="491" w:type="dxa"/>
          </w:tcPr>
          <w:p w14:paraId="447583C5"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6B4CFCB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Systemic</w:t>
            </w:r>
          </w:p>
        </w:tc>
        <w:tc>
          <w:tcPr>
            <w:tcW w:w="841" w:type="dxa"/>
          </w:tcPr>
          <w:p w14:paraId="0387519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795203B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Neighbourhood Renewal</w:t>
            </w:r>
          </w:p>
        </w:tc>
        <w:tc>
          <w:tcPr>
            <w:tcW w:w="792" w:type="dxa"/>
          </w:tcPr>
          <w:p w14:paraId="5A6578F7"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01DE94B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Walkability</w:t>
            </w:r>
          </w:p>
        </w:tc>
        <w:tc>
          <w:tcPr>
            <w:tcW w:w="578" w:type="dxa"/>
          </w:tcPr>
          <w:p w14:paraId="52FCFDE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4EA5B90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Participation</w:t>
            </w:r>
          </w:p>
        </w:tc>
      </w:tr>
      <w:tr w:rsidR="00F00E3D" w:rsidRPr="00231567" w14:paraId="23FEBEF7" w14:textId="77777777" w:rsidTr="00052574">
        <w:trPr>
          <w:trHeight w:val="246"/>
        </w:trPr>
        <w:tc>
          <w:tcPr>
            <w:tcW w:w="491" w:type="dxa"/>
          </w:tcPr>
          <w:p w14:paraId="1C507AB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567FBAA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Structural</w:t>
            </w:r>
          </w:p>
        </w:tc>
        <w:tc>
          <w:tcPr>
            <w:tcW w:w="841" w:type="dxa"/>
          </w:tcPr>
          <w:p w14:paraId="7D29920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3ED326A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[specific program name]</w:t>
            </w:r>
          </w:p>
        </w:tc>
        <w:tc>
          <w:tcPr>
            <w:tcW w:w="792" w:type="dxa"/>
          </w:tcPr>
          <w:p w14:paraId="457F8D7E" w14:textId="77777777" w:rsidR="00F00E3D" w:rsidRPr="00231567" w:rsidRDefault="00F00E3D" w:rsidP="009B2FA7">
            <w:pPr>
              <w:spacing w:line="276" w:lineRule="auto"/>
              <w:rPr>
                <w:rFonts w:asciiTheme="majorHAnsi" w:hAnsiTheme="majorHAnsi" w:cstheme="majorHAnsi"/>
                <w:sz w:val="20"/>
                <w:szCs w:val="20"/>
              </w:rPr>
            </w:pPr>
          </w:p>
        </w:tc>
        <w:tc>
          <w:tcPr>
            <w:tcW w:w="2837" w:type="dxa"/>
          </w:tcPr>
          <w:p w14:paraId="4964020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Play</w:t>
            </w:r>
          </w:p>
        </w:tc>
        <w:tc>
          <w:tcPr>
            <w:tcW w:w="578" w:type="dxa"/>
          </w:tcPr>
          <w:p w14:paraId="1CAE858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6E468F9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Pride</w:t>
            </w:r>
          </w:p>
        </w:tc>
      </w:tr>
      <w:tr w:rsidR="00F00E3D" w:rsidRPr="00231567" w14:paraId="39D098F2" w14:textId="77777777" w:rsidTr="00052574">
        <w:trPr>
          <w:trHeight w:val="246"/>
        </w:trPr>
        <w:tc>
          <w:tcPr>
            <w:tcW w:w="491" w:type="dxa"/>
          </w:tcPr>
          <w:p w14:paraId="7EF0C4FF" w14:textId="77777777" w:rsidR="00F00E3D" w:rsidRPr="00231567" w:rsidRDefault="00F00E3D" w:rsidP="009B2FA7">
            <w:pPr>
              <w:spacing w:line="276" w:lineRule="auto"/>
              <w:rPr>
                <w:rFonts w:asciiTheme="majorHAnsi" w:hAnsiTheme="majorHAnsi" w:cstheme="majorHAnsi"/>
                <w:sz w:val="20"/>
                <w:szCs w:val="20"/>
              </w:rPr>
            </w:pPr>
          </w:p>
        </w:tc>
        <w:tc>
          <w:tcPr>
            <w:tcW w:w="3296" w:type="dxa"/>
          </w:tcPr>
          <w:p w14:paraId="75C25E79"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Renew (renewal)</w:t>
            </w:r>
          </w:p>
        </w:tc>
        <w:tc>
          <w:tcPr>
            <w:tcW w:w="841" w:type="dxa"/>
          </w:tcPr>
          <w:p w14:paraId="3CAF4144" w14:textId="77777777" w:rsidR="00F00E3D" w:rsidRPr="00231567" w:rsidRDefault="00F00E3D" w:rsidP="009B2FA7">
            <w:pPr>
              <w:spacing w:line="276" w:lineRule="auto"/>
              <w:rPr>
                <w:rFonts w:asciiTheme="majorHAnsi" w:hAnsiTheme="majorHAnsi" w:cstheme="majorHAnsi"/>
                <w:sz w:val="20"/>
                <w:szCs w:val="20"/>
              </w:rPr>
            </w:pPr>
          </w:p>
        </w:tc>
        <w:tc>
          <w:tcPr>
            <w:tcW w:w="3109" w:type="dxa"/>
          </w:tcPr>
          <w:p w14:paraId="2A67AA8A" w14:textId="1D86E6D9" w:rsidR="00F00E3D" w:rsidRPr="00231567" w:rsidRDefault="00940D80" w:rsidP="009B2FA7">
            <w:pPr>
              <w:spacing w:line="276" w:lineRule="auto"/>
              <w:rPr>
                <w:rFonts w:asciiTheme="majorHAnsi" w:hAnsiTheme="majorHAnsi" w:cstheme="majorHAnsi"/>
                <w:sz w:val="20"/>
                <w:szCs w:val="20"/>
              </w:rPr>
            </w:pPr>
            <w:r>
              <w:rPr>
                <w:rFonts w:asciiTheme="majorHAnsi" w:hAnsiTheme="majorHAnsi" w:cstheme="majorHAnsi"/>
                <w:sz w:val="20"/>
                <w:szCs w:val="20"/>
              </w:rPr>
              <w:t>COVID</w:t>
            </w:r>
            <w:r w:rsidR="00F00E3D" w:rsidRPr="00231567">
              <w:rPr>
                <w:rFonts w:asciiTheme="majorHAnsi" w:hAnsiTheme="majorHAnsi" w:cstheme="majorHAnsi"/>
                <w:sz w:val="20"/>
                <w:szCs w:val="20"/>
              </w:rPr>
              <w:t xml:space="preserve"> (</w:t>
            </w:r>
            <w:r>
              <w:rPr>
                <w:rFonts w:asciiTheme="majorHAnsi" w:hAnsiTheme="majorHAnsi" w:cstheme="majorHAnsi"/>
                <w:sz w:val="20"/>
                <w:szCs w:val="20"/>
              </w:rPr>
              <w:t>COVID</w:t>
            </w:r>
            <w:r w:rsidR="00F00E3D" w:rsidRPr="00231567">
              <w:rPr>
                <w:rFonts w:asciiTheme="majorHAnsi" w:hAnsiTheme="majorHAnsi" w:cstheme="majorHAnsi"/>
                <w:sz w:val="20"/>
                <w:szCs w:val="20"/>
              </w:rPr>
              <w:t>-19)</w:t>
            </w:r>
          </w:p>
        </w:tc>
        <w:tc>
          <w:tcPr>
            <w:tcW w:w="792" w:type="dxa"/>
          </w:tcPr>
          <w:p w14:paraId="66064BFE" w14:textId="77777777" w:rsidR="00F00E3D" w:rsidRPr="00231567" w:rsidRDefault="00F00E3D" w:rsidP="009B2FA7">
            <w:pPr>
              <w:spacing w:line="276" w:lineRule="auto"/>
              <w:rPr>
                <w:rFonts w:asciiTheme="majorHAnsi" w:hAnsiTheme="majorHAnsi" w:cstheme="majorHAnsi"/>
                <w:sz w:val="20"/>
                <w:szCs w:val="20"/>
              </w:rPr>
            </w:pPr>
          </w:p>
        </w:tc>
        <w:tc>
          <w:tcPr>
            <w:tcW w:w="2837" w:type="dxa"/>
          </w:tcPr>
          <w:p w14:paraId="1A9E43A4"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Place</w:t>
            </w:r>
          </w:p>
        </w:tc>
        <w:tc>
          <w:tcPr>
            <w:tcW w:w="578" w:type="dxa"/>
          </w:tcPr>
          <w:p w14:paraId="4495A16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3B5EAAF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Dignity</w:t>
            </w:r>
          </w:p>
        </w:tc>
      </w:tr>
      <w:tr w:rsidR="00F00E3D" w:rsidRPr="00231567" w14:paraId="03E50F65" w14:textId="77777777" w:rsidTr="00052574">
        <w:trPr>
          <w:trHeight w:val="246"/>
        </w:trPr>
        <w:tc>
          <w:tcPr>
            <w:tcW w:w="491" w:type="dxa"/>
          </w:tcPr>
          <w:p w14:paraId="12885B0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1417D5B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Revitalise</w:t>
            </w:r>
          </w:p>
        </w:tc>
        <w:tc>
          <w:tcPr>
            <w:tcW w:w="841" w:type="dxa"/>
          </w:tcPr>
          <w:p w14:paraId="716F52C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56C69E9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Pandemic</w:t>
            </w:r>
          </w:p>
        </w:tc>
        <w:tc>
          <w:tcPr>
            <w:tcW w:w="792" w:type="dxa"/>
          </w:tcPr>
          <w:p w14:paraId="1CBDDC3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3AB71FE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Place-making (place making)</w:t>
            </w:r>
          </w:p>
        </w:tc>
        <w:tc>
          <w:tcPr>
            <w:tcW w:w="578" w:type="dxa"/>
          </w:tcPr>
          <w:p w14:paraId="1E4E96B0"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47F7AE4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Voice</w:t>
            </w:r>
          </w:p>
        </w:tc>
      </w:tr>
      <w:tr w:rsidR="00F00E3D" w:rsidRPr="00231567" w14:paraId="663D72F9" w14:textId="77777777" w:rsidTr="00052574">
        <w:trPr>
          <w:trHeight w:val="246"/>
        </w:trPr>
        <w:tc>
          <w:tcPr>
            <w:tcW w:w="491" w:type="dxa"/>
          </w:tcPr>
          <w:p w14:paraId="058C3B0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6FC080B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Recover</w:t>
            </w:r>
          </w:p>
        </w:tc>
        <w:tc>
          <w:tcPr>
            <w:tcW w:w="841" w:type="dxa"/>
          </w:tcPr>
          <w:p w14:paraId="4717914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6E2E0B1D"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Climate</w:t>
            </w:r>
          </w:p>
        </w:tc>
        <w:tc>
          <w:tcPr>
            <w:tcW w:w="792" w:type="dxa"/>
          </w:tcPr>
          <w:p w14:paraId="776D570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38B1E0A6"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Place attachment</w:t>
            </w:r>
          </w:p>
        </w:tc>
        <w:tc>
          <w:tcPr>
            <w:tcW w:w="578" w:type="dxa"/>
          </w:tcPr>
          <w:p w14:paraId="1B04001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03837C1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Self-determination</w:t>
            </w:r>
          </w:p>
        </w:tc>
      </w:tr>
      <w:tr w:rsidR="00F00E3D" w:rsidRPr="00231567" w14:paraId="21E97F4B" w14:textId="77777777" w:rsidTr="00052574">
        <w:trPr>
          <w:trHeight w:val="56"/>
        </w:trPr>
        <w:tc>
          <w:tcPr>
            <w:tcW w:w="491" w:type="dxa"/>
          </w:tcPr>
          <w:p w14:paraId="5E709FC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296" w:type="dxa"/>
          </w:tcPr>
          <w:p w14:paraId="21ADC57F"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Overcome</w:t>
            </w:r>
          </w:p>
        </w:tc>
        <w:tc>
          <w:tcPr>
            <w:tcW w:w="841" w:type="dxa"/>
          </w:tcPr>
          <w:p w14:paraId="227E61D2"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3109" w:type="dxa"/>
          </w:tcPr>
          <w:p w14:paraId="657B701B"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Sustainability</w:t>
            </w:r>
          </w:p>
        </w:tc>
        <w:tc>
          <w:tcPr>
            <w:tcW w:w="792" w:type="dxa"/>
          </w:tcPr>
          <w:p w14:paraId="4B88AC33"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837" w:type="dxa"/>
          </w:tcPr>
          <w:p w14:paraId="55430C0C"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Place identity (place-identity)</w:t>
            </w:r>
          </w:p>
        </w:tc>
        <w:tc>
          <w:tcPr>
            <w:tcW w:w="578" w:type="dxa"/>
          </w:tcPr>
          <w:p w14:paraId="08321B4E"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OR</w:t>
            </w:r>
          </w:p>
        </w:tc>
        <w:tc>
          <w:tcPr>
            <w:tcW w:w="2446" w:type="dxa"/>
          </w:tcPr>
          <w:p w14:paraId="054E24E1" w14:textId="77777777" w:rsidR="00F00E3D" w:rsidRPr="00231567" w:rsidRDefault="00F00E3D" w:rsidP="009B2FA7">
            <w:pPr>
              <w:spacing w:line="276" w:lineRule="auto"/>
              <w:rPr>
                <w:rFonts w:asciiTheme="majorHAnsi" w:hAnsiTheme="majorHAnsi" w:cstheme="majorHAnsi"/>
                <w:sz w:val="20"/>
                <w:szCs w:val="20"/>
              </w:rPr>
            </w:pPr>
            <w:r w:rsidRPr="00231567">
              <w:rPr>
                <w:rFonts w:asciiTheme="majorHAnsi" w:hAnsiTheme="majorHAnsi" w:cstheme="majorHAnsi"/>
                <w:sz w:val="20"/>
                <w:szCs w:val="20"/>
              </w:rPr>
              <w:t>Aspi</w:t>
            </w:r>
            <w:bookmarkEnd w:id="99"/>
            <w:r w:rsidRPr="00231567">
              <w:rPr>
                <w:rFonts w:asciiTheme="majorHAnsi" w:hAnsiTheme="majorHAnsi" w:cstheme="majorHAnsi"/>
                <w:sz w:val="20"/>
                <w:szCs w:val="20"/>
              </w:rPr>
              <w:t>rations</w:t>
            </w:r>
          </w:p>
        </w:tc>
      </w:tr>
    </w:tbl>
    <w:p w14:paraId="6EE0F07D" w14:textId="77777777" w:rsidR="003B6CE9" w:rsidRDefault="003B6CE9">
      <w:pPr>
        <w:spacing w:after="0" w:line="240" w:lineRule="auto"/>
        <w:rPr>
          <w:b/>
          <w:bCs/>
          <w:color w:val="2F5496" w:themeColor="accent1" w:themeShade="BF"/>
          <w:sz w:val="36"/>
          <w:szCs w:val="36"/>
        </w:rPr>
      </w:pPr>
      <w:r>
        <w:rPr>
          <w:b/>
          <w:bCs/>
          <w:color w:val="2F5496" w:themeColor="accent1" w:themeShade="BF"/>
          <w:sz w:val="36"/>
          <w:szCs w:val="36"/>
        </w:rPr>
        <w:br w:type="page"/>
      </w:r>
    </w:p>
    <w:p w14:paraId="15C51287" w14:textId="53DDB311" w:rsidR="00F00E3D" w:rsidRDefault="00864076" w:rsidP="0099207D">
      <w:pPr>
        <w:spacing w:after="0" w:line="240" w:lineRule="auto"/>
        <w:rPr>
          <w:b/>
          <w:bCs/>
        </w:rPr>
      </w:pPr>
      <w:r>
        <w:rPr>
          <w:noProof/>
          <w:lang w:eastAsia="zh-CN"/>
        </w:rPr>
        <w:lastRenderedPageBreak/>
        <w:drawing>
          <wp:anchor distT="0" distB="0" distL="114300" distR="114300" simplePos="0" relativeHeight="251658275" behindDoc="1" locked="0" layoutInCell="1" allowOverlap="1" wp14:anchorId="16CA6095" wp14:editId="69A5D3D1">
            <wp:simplePos x="0" y="0"/>
            <wp:positionH relativeFrom="column">
              <wp:posOffset>5299710</wp:posOffset>
            </wp:positionH>
            <wp:positionV relativeFrom="page">
              <wp:posOffset>716280</wp:posOffset>
            </wp:positionV>
            <wp:extent cx="3783600" cy="244800"/>
            <wp:effectExtent l="0" t="0" r="0" b="3175"/>
            <wp:wrapTight wrapText="bothSides">
              <wp:wrapPolygon edited="0">
                <wp:start x="0" y="0"/>
                <wp:lineTo x="0" y="20197"/>
                <wp:lineTo x="21426" y="20197"/>
                <wp:lineTo x="214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4" cstate="print">
                      <a:extLst>
                        <a:ext uri="{28A0092B-C50C-407E-A947-70E740481C1C}">
                          <a14:useLocalDpi xmlns:a14="http://schemas.microsoft.com/office/drawing/2010/main"/>
                        </a:ext>
                      </a:extLst>
                    </a:blip>
                    <a:srcRect/>
                    <a:stretch/>
                  </pic:blipFill>
                  <pic:spPr bwMode="auto">
                    <a:xfrm>
                      <a:off x="0" y="0"/>
                      <a:ext cx="3783600" cy="24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E3D" w:rsidRPr="00EB1E62">
        <w:rPr>
          <w:b/>
          <w:bCs/>
          <w:color w:val="2F5496" w:themeColor="accent1" w:themeShade="BF"/>
          <w:sz w:val="36"/>
          <w:szCs w:val="36"/>
        </w:rPr>
        <w:t xml:space="preserve">APPENDIX B: </w:t>
      </w:r>
      <w:r w:rsidR="00AD2DA5">
        <w:rPr>
          <w:b/>
          <w:bCs/>
          <w:color w:val="2F5496" w:themeColor="accent1" w:themeShade="BF"/>
          <w:sz w:val="36"/>
          <w:szCs w:val="36"/>
        </w:rPr>
        <w:t>Case Studies</w:t>
      </w:r>
      <w:r w:rsidR="0092045B">
        <w:rPr>
          <w:b/>
          <w:bCs/>
          <w:color w:val="2F5496" w:themeColor="accent1" w:themeShade="BF"/>
          <w:sz w:val="36"/>
          <w:szCs w:val="36"/>
        </w:rPr>
        <w:t xml:space="preserve">: </w:t>
      </w:r>
      <w:r w:rsidR="00D95573">
        <w:rPr>
          <w:b/>
          <w:bCs/>
          <w:color w:val="2F5496" w:themeColor="accent1" w:themeShade="BF"/>
          <w:sz w:val="36"/>
          <w:szCs w:val="36"/>
        </w:rPr>
        <w:t>Practice Domain</w:t>
      </w:r>
      <w:r w:rsidR="00F00E3D" w:rsidRPr="00EB1E62">
        <w:rPr>
          <w:b/>
          <w:bCs/>
          <w:color w:val="2F5496" w:themeColor="accent1" w:themeShade="BF"/>
          <w:sz w:val="36"/>
          <w:szCs w:val="36"/>
        </w:rPr>
        <w:t xml:space="preserve">s Matrix </w:t>
      </w:r>
      <w:r w:rsidR="0092045B">
        <w:rPr>
          <w:b/>
          <w:bCs/>
          <w:color w:val="2F5496" w:themeColor="accent1" w:themeShade="BF"/>
          <w:sz w:val="36"/>
          <w:szCs w:val="36"/>
        </w:rPr>
        <w:t xml:space="preserve">    </w:t>
      </w:r>
    </w:p>
    <w:p w14:paraId="63F6625B" w14:textId="0B366276" w:rsidR="00FD7FF3" w:rsidRDefault="00FD7FF3" w:rsidP="0099207D">
      <w:pPr>
        <w:spacing w:after="0" w:line="240" w:lineRule="auto"/>
        <w:rPr>
          <w:rFonts w:cstheme="minorHAnsi"/>
          <w:b/>
          <w:bCs/>
        </w:rPr>
      </w:pPr>
      <w:r>
        <w:rPr>
          <w:noProof/>
        </w:rPr>
        <w:drawing>
          <wp:inline distT="0" distB="0" distL="0" distR="0" wp14:anchorId="654ACCF9" wp14:editId="28280F7A">
            <wp:extent cx="9261057" cy="5398472"/>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pic:nvPicPr>
                  <pic:blipFill>
                    <a:blip r:embed="rId235">
                      <a:extLst>
                        <a:ext uri="{28A0092B-C50C-407E-A947-70E740481C1C}">
                          <a14:useLocalDpi xmlns:a14="http://schemas.microsoft.com/office/drawing/2010/main"/>
                        </a:ext>
                      </a:extLst>
                    </a:blip>
                    <a:stretch>
                      <a:fillRect/>
                    </a:stretch>
                  </pic:blipFill>
                  <pic:spPr>
                    <a:xfrm>
                      <a:off x="0" y="0"/>
                      <a:ext cx="9261057" cy="5398472"/>
                    </a:xfrm>
                    <a:prstGeom prst="rect">
                      <a:avLst/>
                    </a:prstGeom>
                  </pic:spPr>
                </pic:pic>
              </a:graphicData>
            </a:graphic>
          </wp:inline>
        </w:drawing>
      </w:r>
    </w:p>
    <w:p w14:paraId="406C0B67" w14:textId="28E0E214" w:rsidR="00C03347" w:rsidRDefault="00C03347" w:rsidP="0099207D">
      <w:pPr>
        <w:spacing w:after="0" w:line="240" w:lineRule="auto"/>
        <w:rPr>
          <w:rFonts w:cstheme="minorHAnsi"/>
          <w:b/>
          <w:bCs/>
        </w:rPr>
      </w:pPr>
    </w:p>
    <w:p w14:paraId="564DD3B5" w14:textId="02BFBAAC" w:rsidR="00C03347" w:rsidRDefault="00C03347" w:rsidP="0099207D">
      <w:pPr>
        <w:spacing w:after="0" w:line="240" w:lineRule="auto"/>
        <w:rPr>
          <w:rFonts w:cstheme="minorHAnsi"/>
          <w:b/>
          <w:bCs/>
        </w:rPr>
      </w:pPr>
    </w:p>
    <w:p w14:paraId="10690BE3" w14:textId="7BA08EB4" w:rsidR="00C03347" w:rsidRDefault="00C03347" w:rsidP="0099207D">
      <w:pPr>
        <w:spacing w:after="0" w:line="240" w:lineRule="auto"/>
        <w:rPr>
          <w:rFonts w:cstheme="minorHAnsi"/>
          <w:b/>
          <w:bCs/>
        </w:rPr>
      </w:pPr>
      <w:r>
        <w:rPr>
          <w:noProof/>
          <w:lang w:eastAsia="zh-CN"/>
        </w:rPr>
        <w:lastRenderedPageBreak/>
        <w:drawing>
          <wp:inline distT="0" distB="0" distL="0" distR="0" wp14:anchorId="598F7C56" wp14:editId="44805986">
            <wp:extent cx="9261059" cy="49947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6">
                      <a:extLst>
                        <a:ext uri="{28A0092B-C50C-407E-A947-70E740481C1C}">
                          <a14:useLocalDpi xmlns:a14="http://schemas.microsoft.com/office/drawing/2010/main"/>
                        </a:ext>
                      </a:extLst>
                    </a:blip>
                    <a:srcRect/>
                    <a:stretch/>
                  </pic:blipFill>
                  <pic:spPr bwMode="auto">
                    <a:xfrm>
                      <a:off x="0" y="0"/>
                      <a:ext cx="9313322" cy="5022959"/>
                    </a:xfrm>
                    <a:prstGeom prst="rect">
                      <a:avLst/>
                    </a:prstGeom>
                    <a:ln>
                      <a:noFill/>
                    </a:ln>
                    <a:extLst>
                      <a:ext uri="{53640926-AAD7-44D8-BBD7-CCE9431645EC}">
                        <a14:shadowObscured xmlns:a14="http://schemas.microsoft.com/office/drawing/2010/main"/>
                      </a:ext>
                    </a:extLst>
                  </pic:spPr>
                </pic:pic>
              </a:graphicData>
            </a:graphic>
          </wp:inline>
        </w:drawing>
      </w:r>
    </w:p>
    <w:p w14:paraId="12673C23" w14:textId="1D7ACF80" w:rsidR="00C03347" w:rsidRDefault="00C03347" w:rsidP="0099207D">
      <w:pPr>
        <w:spacing w:after="0" w:line="240" w:lineRule="auto"/>
        <w:rPr>
          <w:rFonts w:cstheme="minorHAnsi"/>
          <w:b/>
          <w:bCs/>
        </w:rPr>
      </w:pPr>
    </w:p>
    <w:p w14:paraId="0B77319A" w14:textId="77777777" w:rsidR="00C03347" w:rsidRDefault="00C03347" w:rsidP="0099207D">
      <w:pPr>
        <w:spacing w:after="0" w:line="240" w:lineRule="auto"/>
        <w:rPr>
          <w:rFonts w:cstheme="minorHAnsi"/>
          <w:b/>
          <w:bCs/>
        </w:rPr>
      </w:pPr>
    </w:p>
    <w:p w14:paraId="30AA5E0B" w14:textId="77777777" w:rsidR="00C03347" w:rsidRPr="00C713F6" w:rsidRDefault="00C03347" w:rsidP="0099207D">
      <w:pPr>
        <w:spacing w:after="0" w:line="240" w:lineRule="auto"/>
        <w:rPr>
          <w:rFonts w:cstheme="minorHAnsi"/>
          <w:b/>
          <w:bCs/>
        </w:rPr>
      </w:pPr>
    </w:p>
    <w:p w14:paraId="446473F3" w14:textId="12E688FE" w:rsidR="00F00E3D" w:rsidRDefault="00F00E3D" w:rsidP="0099207D">
      <w:pPr>
        <w:spacing w:after="0" w:line="240" w:lineRule="auto"/>
        <w:rPr>
          <w:b/>
          <w:bCs/>
          <w:color w:val="808080" w:themeColor="background1" w:themeShade="80"/>
          <w:sz w:val="2"/>
          <w:szCs w:val="2"/>
        </w:rPr>
      </w:pPr>
    </w:p>
    <w:p w14:paraId="31222635" w14:textId="06207FFF" w:rsidR="00C03347" w:rsidRDefault="00C03347" w:rsidP="0099207D">
      <w:pPr>
        <w:spacing w:after="0" w:line="240" w:lineRule="auto"/>
        <w:rPr>
          <w:b/>
          <w:bCs/>
          <w:color w:val="808080" w:themeColor="background1" w:themeShade="80"/>
          <w:sz w:val="2"/>
          <w:szCs w:val="2"/>
        </w:rPr>
      </w:pPr>
    </w:p>
    <w:p w14:paraId="27DB0AB7" w14:textId="01101EAF" w:rsidR="00C03347" w:rsidRDefault="00C03347" w:rsidP="0099207D">
      <w:pPr>
        <w:spacing w:after="0" w:line="240" w:lineRule="auto"/>
        <w:rPr>
          <w:b/>
          <w:bCs/>
          <w:color w:val="808080" w:themeColor="background1" w:themeShade="80"/>
          <w:sz w:val="2"/>
          <w:szCs w:val="2"/>
        </w:rPr>
      </w:pPr>
    </w:p>
    <w:p w14:paraId="6275C290" w14:textId="77777777" w:rsidR="00C03347" w:rsidRPr="00037170" w:rsidRDefault="00C03347" w:rsidP="0099207D">
      <w:pPr>
        <w:spacing w:after="0" w:line="240" w:lineRule="auto"/>
        <w:rPr>
          <w:b/>
          <w:bCs/>
          <w:color w:val="808080" w:themeColor="background1" w:themeShade="80"/>
          <w:sz w:val="2"/>
          <w:szCs w:val="2"/>
        </w:rPr>
      </w:pPr>
    </w:p>
    <w:p w14:paraId="6C14CE6C" w14:textId="77777777" w:rsidR="00F00E3D" w:rsidRDefault="00F00E3D">
      <w:pPr>
        <w:rPr>
          <w:b/>
          <w:bCs/>
          <w:color w:val="2F5496" w:themeColor="accent1" w:themeShade="BF"/>
          <w:sz w:val="36"/>
          <w:szCs w:val="36"/>
        </w:rPr>
      </w:pPr>
      <w:r>
        <w:rPr>
          <w:b/>
          <w:bCs/>
          <w:color w:val="2F5496" w:themeColor="accent1" w:themeShade="BF"/>
          <w:sz w:val="36"/>
          <w:szCs w:val="36"/>
        </w:rPr>
        <w:br w:type="page"/>
      </w:r>
    </w:p>
    <w:p w14:paraId="753FE3B7" w14:textId="75CDC5ED" w:rsidR="00F00E3D" w:rsidRPr="00EB1E62" w:rsidRDefault="00F00E3D" w:rsidP="009B2FA7">
      <w:pPr>
        <w:spacing w:after="0" w:line="276" w:lineRule="auto"/>
        <w:rPr>
          <w:b/>
          <w:bCs/>
          <w:color w:val="2F5496" w:themeColor="accent1" w:themeShade="BF"/>
          <w:sz w:val="36"/>
          <w:szCs w:val="36"/>
        </w:rPr>
      </w:pPr>
      <w:r w:rsidRPr="00EB1E62">
        <w:rPr>
          <w:b/>
          <w:bCs/>
          <w:color w:val="2F5496" w:themeColor="accent1" w:themeShade="BF"/>
          <w:sz w:val="36"/>
          <w:szCs w:val="36"/>
        </w:rPr>
        <w:lastRenderedPageBreak/>
        <w:t xml:space="preserve">APPENDIX </w:t>
      </w:r>
      <w:r>
        <w:rPr>
          <w:b/>
          <w:bCs/>
          <w:color w:val="2F5496" w:themeColor="accent1" w:themeShade="BF"/>
          <w:sz w:val="36"/>
          <w:szCs w:val="36"/>
        </w:rPr>
        <w:t>C</w:t>
      </w:r>
      <w:r w:rsidRPr="00EB1E62">
        <w:rPr>
          <w:b/>
          <w:bCs/>
          <w:color w:val="2F5496" w:themeColor="accent1" w:themeShade="BF"/>
          <w:sz w:val="36"/>
          <w:szCs w:val="36"/>
        </w:rPr>
        <w:t xml:space="preserve">: </w:t>
      </w:r>
      <w:r w:rsidR="00612FD3" w:rsidRPr="00612FD3">
        <w:rPr>
          <w:b/>
          <w:bCs/>
          <w:color w:val="2F5496" w:themeColor="accent1" w:themeShade="BF"/>
          <w:sz w:val="36"/>
          <w:szCs w:val="36"/>
          <w:lang w:val="en-US"/>
        </w:rPr>
        <w:t>Data Tables</w:t>
      </w:r>
      <w:r w:rsidR="003752D6">
        <w:rPr>
          <w:b/>
          <w:bCs/>
          <w:color w:val="2F5496" w:themeColor="accent1" w:themeShade="BF"/>
          <w:sz w:val="36"/>
          <w:szCs w:val="36"/>
          <w:lang w:val="en-US"/>
        </w:rPr>
        <w:t>:</w:t>
      </w:r>
      <w:r w:rsidR="00612FD3" w:rsidRPr="00612FD3">
        <w:rPr>
          <w:b/>
          <w:bCs/>
          <w:color w:val="2F5496" w:themeColor="accent1" w:themeShade="BF"/>
          <w:sz w:val="36"/>
          <w:szCs w:val="36"/>
        </w:rPr>
        <w:t xml:space="preserve"> </w:t>
      </w:r>
      <w:r w:rsidR="00612FD3" w:rsidRPr="00612FD3">
        <w:rPr>
          <w:b/>
          <w:bCs/>
          <w:color w:val="2F5496" w:themeColor="accent1" w:themeShade="BF"/>
          <w:sz w:val="36"/>
          <w:szCs w:val="36"/>
          <w:lang w:val="en-US"/>
        </w:rPr>
        <w:t>Review of Key Academic Research</w:t>
      </w:r>
    </w:p>
    <w:p w14:paraId="2F0FE5A2" w14:textId="0FF9A2E5" w:rsidR="00F00E3D" w:rsidRDefault="00F00E3D" w:rsidP="009B2FA7">
      <w:pPr>
        <w:spacing w:line="240" w:lineRule="auto"/>
        <w:rPr>
          <w:rFonts w:eastAsia="Times New Roman" w:cstheme="minorHAnsi"/>
          <w:b/>
          <w:bCs/>
          <w:color w:val="2F5496" w:themeColor="accent1" w:themeShade="BF"/>
          <w:sz w:val="28"/>
          <w:szCs w:val="28"/>
          <w:lang w:eastAsia="en-GB"/>
        </w:rPr>
      </w:pPr>
      <w:r w:rsidRPr="007D565A">
        <w:rPr>
          <w:rFonts w:eastAsia="Times New Roman" w:cstheme="minorHAnsi"/>
          <w:b/>
          <w:bCs/>
          <w:color w:val="2F5496" w:themeColor="accent1" w:themeShade="BF"/>
          <w:sz w:val="28"/>
          <w:szCs w:val="28"/>
          <w:lang w:eastAsia="en-GB"/>
        </w:rPr>
        <w:t xml:space="preserve">Table 19: </w:t>
      </w:r>
      <w:r w:rsidR="00940D80">
        <w:rPr>
          <w:rFonts w:eastAsia="Times New Roman" w:cstheme="minorHAnsi"/>
          <w:b/>
          <w:bCs/>
          <w:color w:val="2F5496" w:themeColor="accent1" w:themeShade="BF"/>
          <w:sz w:val="28"/>
          <w:szCs w:val="28"/>
          <w:lang w:eastAsia="en-GB"/>
        </w:rPr>
        <w:t>COVID</w:t>
      </w:r>
      <w:r w:rsidRPr="009F17C1">
        <w:rPr>
          <w:rFonts w:eastAsia="Times New Roman" w:cstheme="minorHAnsi"/>
          <w:b/>
          <w:bCs/>
          <w:color w:val="2F5496" w:themeColor="accent1" w:themeShade="BF"/>
          <w:sz w:val="28"/>
          <w:szCs w:val="28"/>
          <w:lang w:eastAsia="en-GB"/>
        </w:rPr>
        <w:t>-19 Impact Articles</w:t>
      </w:r>
    </w:p>
    <w:p w14:paraId="0FE93EF6" w14:textId="77777777" w:rsidR="00F00E3D" w:rsidRPr="009B6110" w:rsidRDefault="00F00E3D" w:rsidP="001D0AC0">
      <w:pPr>
        <w:spacing w:after="0" w:line="240" w:lineRule="auto"/>
        <w:rPr>
          <w:rFonts w:eastAsia="Times New Roman" w:cstheme="minorHAnsi"/>
          <w:b/>
          <w:bCs/>
          <w:color w:val="2F5496" w:themeColor="accent1" w:themeShade="BF"/>
          <w:sz w:val="16"/>
          <w:szCs w:val="1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3574"/>
        <w:gridCol w:w="757"/>
        <w:gridCol w:w="4919"/>
        <w:gridCol w:w="1436"/>
        <w:gridCol w:w="1083"/>
        <w:gridCol w:w="1075"/>
      </w:tblGrid>
      <w:tr w:rsidR="00F00E3D" w:rsidRPr="00052440" w14:paraId="4A675991" w14:textId="77777777" w:rsidTr="009B2FA7">
        <w:trPr>
          <w:trHeight w:val="15"/>
        </w:trPr>
        <w:tc>
          <w:tcPr>
            <w:tcW w:w="590" w:type="pct"/>
            <w:shd w:val="clear" w:color="auto" w:fill="auto"/>
            <w:noWrap/>
            <w:vAlign w:val="bottom"/>
            <w:hideMark/>
          </w:tcPr>
          <w:p w14:paraId="0221254F" w14:textId="77777777" w:rsidR="00F00E3D" w:rsidRPr="0029348F" w:rsidRDefault="00F00E3D" w:rsidP="001D0AC0">
            <w:pPr>
              <w:widowControl w:val="0"/>
              <w:spacing w:after="0" w:line="240" w:lineRule="auto"/>
              <w:rPr>
                <w:rFonts w:eastAsia="Times New Roman" w:cstheme="minorHAnsi"/>
                <w:b/>
                <w:bCs/>
                <w:color w:val="000000"/>
                <w:lang w:eastAsia="en-GB"/>
              </w:rPr>
            </w:pPr>
            <w:r w:rsidRPr="0029348F">
              <w:rPr>
                <w:rFonts w:eastAsia="Times New Roman" w:cstheme="minorHAnsi"/>
                <w:b/>
                <w:bCs/>
                <w:color w:val="000000" w:themeColor="text1"/>
                <w:lang w:eastAsia="en-GB"/>
              </w:rPr>
              <w:t>Reference Type</w:t>
            </w:r>
          </w:p>
        </w:tc>
        <w:tc>
          <w:tcPr>
            <w:tcW w:w="1227" w:type="pct"/>
            <w:shd w:val="clear" w:color="auto" w:fill="auto"/>
            <w:vAlign w:val="bottom"/>
            <w:hideMark/>
          </w:tcPr>
          <w:p w14:paraId="4CA0F52E" w14:textId="77777777" w:rsidR="00F00E3D" w:rsidRPr="0029348F" w:rsidRDefault="00F00E3D" w:rsidP="001D0AC0">
            <w:pPr>
              <w:widowControl w:val="0"/>
              <w:spacing w:after="0" w:line="240" w:lineRule="auto"/>
              <w:rPr>
                <w:rFonts w:eastAsia="Times New Roman" w:cstheme="minorHAnsi"/>
                <w:b/>
                <w:bCs/>
                <w:color w:val="000000"/>
                <w:lang w:eastAsia="en-GB"/>
              </w:rPr>
            </w:pPr>
            <w:r w:rsidRPr="0029348F">
              <w:rPr>
                <w:rFonts w:eastAsia="Times New Roman" w:cstheme="minorHAnsi"/>
                <w:b/>
                <w:bCs/>
                <w:color w:val="000000" w:themeColor="text1"/>
                <w:lang w:eastAsia="en-GB"/>
              </w:rPr>
              <w:t>Author</w:t>
            </w:r>
          </w:p>
        </w:tc>
        <w:tc>
          <w:tcPr>
            <w:tcW w:w="260" w:type="pct"/>
            <w:shd w:val="clear" w:color="auto" w:fill="auto"/>
            <w:noWrap/>
            <w:vAlign w:val="bottom"/>
            <w:hideMark/>
          </w:tcPr>
          <w:p w14:paraId="55EAC95E" w14:textId="77777777" w:rsidR="00F00E3D" w:rsidRPr="0029348F" w:rsidRDefault="00F00E3D" w:rsidP="001D0AC0">
            <w:pPr>
              <w:widowControl w:val="0"/>
              <w:spacing w:after="0" w:line="240" w:lineRule="auto"/>
              <w:rPr>
                <w:rFonts w:eastAsia="Times New Roman" w:cstheme="minorHAnsi"/>
                <w:b/>
                <w:bCs/>
                <w:color w:val="000000"/>
                <w:lang w:eastAsia="en-GB"/>
              </w:rPr>
            </w:pPr>
            <w:r w:rsidRPr="0029348F">
              <w:rPr>
                <w:rFonts w:eastAsia="Times New Roman" w:cstheme="minorHAnsi"/>
                <w:b/>
                <w:bCs/>
                <w:color w:val="000000" w:themeColor="text1"/>
                <w:lang w:eastAsia="en-GB"/>
              </w:rPr>
              <w:t>Year</w:t>
            </w:r>
          </w:p>
        </w:tc>
        <w:tc>
          <w:tcPr>
            <w:tcW w:w="1689" w:type="pct"/>
            <w:shd w:val="clear" w:color="auto" w:fill="auto"/>
            <w:vAlign w:val="bottom"/>
            <w:hideMark/>
          </w:tcPr>
          <w:p w14:paraId="2B3BFBF5" w14:textId="77777777" w:rsidR="00F00E3D" w:rsidRPr="0029348F" w:rsidRDefault="00F00E3D" w:rsidP="001D0AC0">
            <w:pPr>
              <w:widowControl w:val="0"/>
              <w:spacing w:after="0" w:line="240" w:lineRule="auto"/>
              <w:rPr>
                <w:rFonts w:eastAsia="Times New Roman" w:cstheme="minorHAnsi"/>
                <w:b/>
                <w:bCs/>
                <w:color w:val="000000"/>
                <w:lang w:eastAsia="en-GB"/>
              </w:rPr>
            </w:pPr>
            <w:r w:rsidRPr="0029348F">
              <w:rPr>
                <w:rFonts w:eastAsia="Times New Roman" w:cstheme="minorHAnsi"/>
                <w:b/>
                <w:bCs/>
                <w:color w:val="000000" w:themeColor="text1"/>
                <w:lang w:eastAsia="en-GB"/>
              </w:rPr>
              <w:t>Title</w:t>
            </w:r>
          </w:p>
        </w:tc>
        <w:tc>
          <w:tcPr>
            <w:tcW w:w="493" w:type="pct"/>
            <w:shd w:val="clear" w:color="auto" w:fill="auto"/>
            <w:vAlign w:val="bottom"/>
            <w:hideMark/>
          </w:tcPr>
          <w:p w14:paraId="373DB38E" w14:textId="3C2B714E" w:rsidR="00F00E3D" w:rsidRPr="0029348F" w:rsidRDefault="00D95573" w:rsidP="001D0AC0">
            <w:pPr>
              <w:widowControl w:val="0"/>
              <w:spacing w:after="0" w:line="240" w:lineRule="auto"/>
              <w:rPr>
                <w:rFonts w:eastAsia="Times New Roman" w:cstheme="minorHAnsi"/>
                <w:b/>
                <w:bCs/>
                <w:color w:val="000000"/>
                <w:lang w:eastAsia="en-GB"/>
              </w:rPr>
            </w:pPr>
            <w:r>
              <w:rPr>
                <w:rFonts w:eastAsia="Times New Roman" w:cstheme="minorHAnsi"/>
                <w:b/>
                <w:bCs/>
                <w:color w:val="000000" w:themeColor="text1"/>
                <w:lang w:eastAsia="en-GB"/>
              </w:rPr>
              <w:t>Practice Domain</w:t>
            </w:r>
          </w:p>
        </w:tc>
        <w:tc>
          <w:tcPr>
            <w:tcW w:w="372" w:type="pct"/>
            <w:shd w:val="clear" w:color="auto" w:fill="auto"/>
            <w:noWrap/>
            <w:vAlign w:val="bottom"/>
            <w:hideMark/>
          </w:tcPr>
          <w:p w14:paraId="551E2859" w14:textId="77777777" w:rsidR="00F00E3D" w:rsidRPr="0029348F" w:rsidRDefault="00F00E3D" w:rsidP="001D0AC0">
            <w:pPr>
              <w:widowControl w:val="0"/>
              <w:spacing w:after="0" w:line="240" w:lineRule="auto"/>
              <w:rPr>
                <w:rFonts w:eastAsia="Times New Roman" w:cstheme="minorHAnsi"/>
                <w:b/>
                <w:bCs/>
                <w:color w:val="000000"/>
                <w:lang w:eastAsia="en-GB"/>
              </w:rPr>
            </w:pPr>
            <w:r w:rsidRPr="0029348F">
              <w:rPr>
                <w:rFonts w:eastAsia="Times New Roman" w:cstheme="minorHAnsi"/>
                <w:b/>
                <w:bCs/>
                <w:color w:val="000000" w:themeColor="text1"/>
                <w:lang w:eastAsia="en-GB"/>
              </w:rPr>
              <w:t>Country</w:t>
            </w:r>
          </w:p>
        </w:tc>
        <w:tc>
          <w:tcPr>
            <w:tcW w:w="370" w:type="pct"/>
            <w:shd w:val="clear" w:color="auto" w:fill="auto"/>
            <w:noWrap/>
            <w:vAlign w:val="bottom"/>
            <w:hideMark/>
          </w:tcPr>
          <w:p w14:paraId="00FECF67" w14:textId="77777777" w:rsidR="00F00E3D" w:rsidRPr="0029348F" w:rsidRDefault="00F00E3D" w:rsidP="001D0AC0">
            <w:pPr>
              <w:widowControl w:val="0"/>
              <w:spacing w:after="0" w:line="240" w:lineRule="auto"/>
              <w:rPr>
                <w:rFonts w:eastAsia="Times New Roman" w:cstheme="minorHAnsi"/>
                <w:b/>
                <w:bCs/>
                <w:color w:val="000000"/>
                <w:lang w:eastAsia="en-GB"/>
              </w:rPr>
            </w:pPr>
            <w:r w:rsidRPr="0029348F">
              <w:rPr>
                <w:rFonts w:eastAsia="Times New Roman" w:cstheme="minorHAnsi"/>
                <w:b/>
                <w:bCs/>
                <w:color w:val="000000" w:themeColor="text1"/>
                <w:lang w:eastAsia="en-GB"/>
              </w:rPr>
              <w:t>Citations</w:t>
            </w:r>
          </w:p>
        </w:tc>
      </w:tr>
      <w:tr w:rsidR="00F00E3D" w:rsidRPr="00052440" w14:paraId="02B31814" w14:textId="77777777" w:rsidTr="009B2FA7">
        <w:trPr>
          <w:trHeight w:val="15"/>
        </w:trPr>
        <w:tc>
          <w:tcPr>
            <w:tcW w:w="590" w:type="pct"/>
            <w:shd w:val="clear" w:color="auto" w:fill="auto"/>
            <w:noWrap/>
            <w:vAlign w:val="center"/>
            <w:hideMark/>
          </w:tcPr>
          <w:p w14:paraId="79E3DD86"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Book</w:t>
            </w:r>
          </w:p>
        </w:tc>
        <w:tc>
          <w:tcPr>
            <w:tcW w:w="1227" w:type="pct"/>
            <w:shd w:val="clear" w:color="auto" w:fill="auto"/>
            <w:vAlign w:val="center"/>
            <w:hideMark/>
          </w:tcPr>
          <w:p w14:paraId="35B65EC8"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Cortis, Natasha; Blaxland, Megan</w:t>
            </w:r>
          </w:p>
        </w:tc>
        <w:tc>
          <w:tcPr>
            <w:tcW w:w="260" w:type="pct"/>
            <w:shd w:val="clear" w:color="auto" w:fill="auto"/>
            <w:noWrap/>
            <w:vAlign w:val="center"/>
            <w:hideMark/>
          </w:tcPr>
          <w:p w14:paraId="305EF74C"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2020</w:t>
            </w:r>
          </w:p>
        </w:tc>
        <w:tc>
          <w:tcPr>
            <w:tcW w:w="1689" w:type="pct"/>
            <w:shd w:val="clear" w:color="auto" w:fill="auto"/>
            <w:vAlign w:val="center"/>
            <w:hideMark/>
          </w:tcPr>
          <w:p w14:paraId="4641F3E1" w14:textId="2A1CC6ED"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 xml:space="preserve">Australia’s Community Sector and </w:t>
            </w:r>
            <w:r w:rsidR="00940D80">
              <w:rPr>
                <w:rFonts w:asciiTheme="majorHAnsi" w:eastAsia="Times New Roman" w:hAnsiTheme="majorHAnsi" w:cstheme="majorHAnsi"/>
                <w:color w:val="000000" w:themeColor="text1"/>
                <w:lang w:eastAsia="en-GB"/>
              </w:rPr>
              <w:t>COVID</w:t>
            </w:r>
            <w:r w:rsidRPr="0029348F">
              <w:rPr>
                <w:rFonts w:asciiTheme="majorHAnsi" w:eastAsia="Times New Roman" w:hAnsiTheme="majorHAnsi" w:cstheme="majorHAnsi"/>
                <w:color w:val="000000" w:themeColor="text1"/>
                <w:lang w:eastAsia="en-GB"/>
              </w:rPr>
              <w:t>-19: Supporting Communities Through the Crisis</w:t>
            </w:r>
          </w:p>
        </w:tc>
        <w:tc>
          <w:tcPr>
            <w:tcW w:w="493" w:type="pct"/>
            <w:shd w:val="clear" w:color="auto" w:fill="auto"/>
            <w:vAlign w:val="center"/>
            <w:hideMark/>
          </w:tcPr>
          <w:p w14:paraId="6B35CD56"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All</w:t>
            </w:r>
          </w:p>
        </w:tc>
        <w:tc>
          <w:tcPr>
            <w:tcW w:w="372" w:type="pct"/>
            <w:shd w:val="clear" w:color="auto" w:fill="auto"/>
            <w:noWrap/>
            <w:vAlign w:val="bottom"/>
            <w:hideMark/>
          </w:tcPr>
          <w:p w14:paraId="0A134AD7"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Australia</w:t>
            </w:r>
          </w:p>
        </w:tc>
        <w:tc>
          <w:tcPr>
            <w:tcW w:w="370" w:type="pct"/>
            <w:shd w:val="clear" w:color="auto" w:fill="auto"/>
            <w:noWrap/>
            <w:vAlign w:val="bottom"/>
            <w:hideMark/>
          </w:tcPr>
          <w:p w14:paraId="212AD17B"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0</w:t>
            </w:r>
          </w:p>
        </w:tc>
      </w:tr>
      <w:tr w:rsidR="00F00E3D" w:rsidRPr="00052440" w14:paraId="1786D34D" w14:textId="77777777" w:rsidTr="009B2FA7">
        <w:trPr>
          <w:trHeight w:val="15"/>
        </w:trPr>
        <w:tc>
          <w:tcPr>
            <w:tcW w:w="590" w:type="pct"/>
            <w:shd w:val="clear" w:color="auto" w:fill="auto"/>
            <w:noWrap/>
            <w:vAlign w:val="center"/>
            <w:hideMark/>
          </w:tcPr>
          <w:p w14:paraId="2BAF7A2E"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Journal Article</w:t>
            </w:r>
          </w:p>
        </w:tc>
        <w:tc>
          <w:tcPr>
            <w:tcW w:w="1227" w:type="pct"/>
            <w:shd w:val="clear" w:color="auto" w:fill="auto"/>
            <w:vAlign w:val="center"/>
            <w:hideMark/>
          </w:tcPr>
          <w:p w14:paraId="05EEF20F"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Guaralda, Mirko; Hearn, Greg; Foth, Marcus; Yigitcanlar, Tan; Mayere, Severine; Law, Lisa</w:t>
            </w:r>
          </w:p>
        </w:tc>
        <w:tc>
          <w:tcPr>
            <w:tcW w:w="260" w:type="pct"/>
            <w:shd w:val="clear" w:color="auto" w:fill="auto"/>
            <w:noWrap/>
            <w:vAlign w:val="center"/>
            <w:hideMark/>
          </w:tcPr>
          <w:p w14:paraId="3AC8EE89"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2020</w:t>
            </w:r>
          </w:p>
        </w:tc>
        <w:tc>
          <w:tcPr>
            <w:tcW w:w="1689" w:type="pct"/>
            <w:shd w:val="clear" w:color="auto" w:fill="auto"/>
            <w:vAlign w:val="center"/>
            <w:hideMark/>
          </w:tcPr>
          <w:p w14:paraId="4973C361"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Towards Australian Regional Turnaround: Insights into Sustainably Accommodating Post-Pandemic Urban Growth in Regional Towns and Cities</w:t>
            </w:r>
          </w:p>
        </w:tc>
        <w:tc>
          <w:tcPr>
            <w:tcW w:w="493" w:type="pct"/>
            <w:shd w:val="clear" w:color="auto" w:fill="auto"/>
            <w:vAlign w:val="center"/>
            <w:hideMark/>
          </w:tcPr>
          <w:p w14:paraId="791B3042"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Housing</w:t>
            </w:r>
          </w:p>
        </w:tc>
        <w:tc>
          <w:tcPr>
            <w:tcW w:w="372" w:type="pct"/>
            <w:shd w:val="clear" w:color="auto" w:fill="auto"/>
            <w:noWrap/>
            <w:vAlign w:val="bottom"/>
            <w:hideMark/>
          </w:tcPr>
          <w:p w14:paraId="231753E2"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Australia</w:t>
            </w:r>
          </w:p>
        </w:tc>
        <w:tc>
          <w:tcPr>
            <w:tcW w:w="370" w:type="pct"/>
            <w:shd w:val="clear" w:color="auto" w:fill="auto"/>
            <w:noWrap/>
            <w:vAlign w:val="center"/>
            <w:hideMark/>
          </w:tcPr>
          <w:p w14:paraId="50F9BAF9"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0</w:t>
            </w:r>
          </w:p>
        </w:tc>
      </w:tr>
      <w:tr w:rsidR="00F00E3D" w:rsidRPr="00052440" w14:paraId="511BBB86" w14:textId="77777777" w:rsidTr="009B2FA7">
        <w:trPr>
          <w:trHeight w:val="15"/>
        </w:trPr>
        <w:tc>
          <w:tcPr>
            <w:tcW w:w="590" w:type="pct"/>
            <w:shd w:val="clear" w:color="auto" w:fill="auto"/>
            <w:noWrap/>
            <w:vAlign w:val="center"/>
            <w:hideMark/>
          </w:tcPr>
          <w:p w14:paraId="2A64F994"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Book</w:t>
            </w:r>
          </w:p>
        </w:tc>
        <w:tc>
          <w:tcPr>
            <w:tcW w:w="1227" w:type="pct"/>
            <w:shd w:val="clear" w:color="auto" w:fill="auto"/>
            <w:vAlign w:val="center"/>
            <w:hideMark/>
          </w:tcPr>
          <w:p w14:paraId="7EC77CFA"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Lab, Sydney Policy</w:t>
            </w:r>
          </w:p>
        </w:tc>
        <w:tc>
          <w:tcPr>
            <w:tcW w:w="260" w:type="pct"/>
            <w:shd w:val="clear" w:color="auto" w:fill="auto"/>
            <w:noWrap/>
            <w:vAlign w:val="center"/>
            <w:hideMark/>
          </w:tcPr>
          <w:p w14:paraId="46127755"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2020</w:t>
            </w:r>
          </w:p>
        </w:tc>
        <w:tc>
          <w:tcPr>
            <w:tcW w:w="1689" w:type="pct"/>
            <w:shd w:val="clear" w:color="auto" w:fill="auto"/>
            <w:vAlign w:val="center"/>
            <w:hideMark/>
          </w:tcPr>
          <w:p w14:paraId="4D78E31A" w14:textId="2FCC651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 xml:space="preserve">Principles for a policy response to </w:t>
            </w:r>
            <w:r w:rsidR="00940D80">
              <w:rPr>
                <w:rFonts w:asciiTheme="majorHAnsi" w:eastAsia="Times New Roman" w:hAnsiTheme="majorHAnsi" w:cstheme="majorHAnsi"/>
                <w:color w:val="000000" w:themeColor="text1"/>
                <w:lang w:eastAsia="en-GB"/>
              </w:rPr>
              <w:t>COVID</w:t>
            </w:r>
            <w:r w:rsidRPr="0029348F">
              <w:rPr>
                <w:rFonts w:asciiTheme="majorHAnsi" w:eastAsia="Times New Roman" w:hAnsiTheme="majorHAnsi" w:cstheme="majorHAnsi"/>
                <w:color w:val="000000" w:themeColor="text1"/>
                <w:lang w:eastAsia="en-GB"/>
              </w:rPr>
              <w:t>-19</w:t>
            </w:r>
          </w:p>
        </w:tc>
        <w:tc>
          <w:tcPr>
            <w:tcW w:w="493" w:type="pct"/>
            <w:shd w:val="clear" w:color="auto" w:fill="auto"/>
            <w:vAlign w:val="center"/>
            <w:hideMark/>
          </w:tcPr>
          <w:p w14:paraId="31AD3383"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All</w:t>
            </w:r>
          </w:p>
        </w:tc>
        <w:tc>
          <w:tcPr>
            <w:tcW w:w="372" w:type="pct"/>
            <w:shd w:val="clear" w:color="auto" w:fill="auto"/>
            <w:noWrap/>
            <w:vAlign w:val="bottom"/>
            <w:hideMark/>
          </w:tcPr>
          <w:p w14:paraId="5C9E04FA"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Australia</w:t>
            </w:r>
          </w:p>
        </w:tc>
        <w:tc>
          <w:tcPr>
            <w:tcW w:w="370" w:type="pct"/>
            <w:shd w:val="clear" w:color="auto" w:fill="auto"/>
            <w:noWrap/>
            <w:vAlign w:val="bottom"/>
            <w:hideMark/>
          </w:tcPr>
          <w:p w14:paraId="3531C33D"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0</w:t>
            </w:r>
          </w:p>
        </w:tc>
      </w:tr>
      <w:tr w:rsidR="00F00E3D" w:rsidRPr="00052440" w14:paraId="1DE29D2B" w14:textId="77777777" w:rsidTr="009B2FA7">
        <w:trPr>
          <w:trHeight w:val="15"/>
        </w:trPr>
        <w:tc>
          <w:tcPr>
            <w:tcW w:w="590" w:type="pct"/>
            <w:shd w:val="clear" w:color="auto" w:fill="auto"/>
            <w:noWrap/>
            <w:vAlign w:val="center"/>
            <w:hideMark/>
          </w:tcPr>
          <w:p w14:paraId="2FF5DEA5"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Journal Article</w:t>
            </w:r>
          </w:p>
        </w:tc>
        <w:tc>
          <w:tcPr>
            <w:tcW w:w="1227" w:type="pct"/>
            <w:shd w:val="clear" w:color="auto" w:fill="auto"/>
            <w:vAlign w:val="center"/>
            <w:hideMark/>
          </w:tcPr>
          <w:p w14:paraId="066B270D"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Tinson, Adam</w:t>
            </w:r>
          </w:p>
        </w:tc>
        <w:tc>
          <w:tcPr>
            <w:tcW w:w="260" w:type="pct"/>
            <w:shd w:val="clear" w:color="auto" w:fill="auto"/>
            <w:noWrap/>
            <w:vAlign w:val="center"/>
            <w:hideMark/>
          </w:tcPr>
          <w:p w14:paraId="57C5DFA9"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2020</w:t>
            </w:r>
          </w:p>
        </w:tc>
        <w:tc>
          <w:tcPr>
            <w:tcW w:w="1689" w:type="pct"/>
            <w:shd w:val="clear" w:color="auto" w:fill="auto"/>
            <w:vAlign w:val="center"/>
            <w:hideMark/>
          </w:tcPr>
          <w:p w14:paraId="5D222A3D" w14:textId="201B69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 xml:space="preserve">Living in poverty was bad for your health before </w:t>
            </w:r>
            <w:r w:rsidR="00940D80">
              <w:rPr>
                <w:rFonts w:asciiTheme="majorHAnsi" w:eastAsia="Times New Roman" w:hAnsiTheme="majorHAnsi" w:cstheme="majorHAnsi"/>
                <w:color w:val="000000" w:themeColor="text1"/>
                <w:lang w:eastAsia="en-GB"/>
              </w:rPr>
              <w:t>COVID</w:t>
            </w:r>
            <w:r w:rsidRPr="0029348F">
              <w:rPr>
                <w:rFonts w:asciiTheme="majorHAnsi" w:eastAsia="Times New Roman" w:hAnsiTheme="majorHAnsi" w:cstheme="majorHAnsi"/>
                <w:color w:val="000000" w:themeColor="text1"/>
                <w:lang w:eastAsia="en-GB"/>
              </w:rPr>
              <w:t>-19</w:t>
            </w:r>
          </w:p>
        </w:tc>
        <w:tc>
          <w:tcPr>
            <w:tcW w:w="493" w:type="pct"/>
            <w:shd w:val="clear" w:color="auto" w:fill="auto"/>
            <w:vAlign w:val="center"/>
            <w:hideMark/>
          </w:tcPr>
          <w:p w14:paraId="02BB49D2"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Health &amp; Wellbeing</w:t>
            </w:r>
          </w:p>
        </w:tc>
        <w:tc>
          <w:tcPr>
            <w:tcW w:w="372" w:type="pct"/>
            <w:shd w:val="clear" w:color="auto" w:fill="auto"/>
            <w:noWrap/>
            <w:vAlign w:val="bottom"/>
            <w:hideMark/>
          </w:tcPr>
          <w:p w14:paraId="660BA0BA"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UK</w:t>
            </w:r>
          </w:p>
        </w:tc>
        <w:tc>
          <w:tcPr>
            <w:tcW w:w="370" w:type="pct"/>
            <w:shd w:val="clear" w:color="auto" w:fill="auto"/>
            <w:noWrap/>
            <w:vAlign w:val="bottom"/>
            <w:hideMark/>
          </w:tcPr>
          <w:p w14:paraId="6721FC8D"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0</w:t>
            </w:r>
          </w:p>
        </w:tc>
      </w:tr>
      <w:tr w:rsidR="00F00E3D" w:rsidRPr="00052440" w14:paraId="531403D8" w14:textId="77777777" w:rsidTr="009B2FA7">
        <w:trPr>
          <w:trHeight w:val="15"/>
        </w:trPr>
        <w:tc>
          <w:tcPr>
            <w:tcW w:w="590" w:type="pct"/>
            <w:shd w:val="clear" w:color="auto" w:fill="auto"/>
            <w:noWrap/>
            <w:vAlign w:val="center"/>
            <w:hideMark/>
          </w:tcPr>
          <w:p w14:paraId="19B43C56"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Journal Article</w:t>
            </w:r>
          </w:p>
        </w:tc>
        <w:tc>
          <w:tcPr>
            <w:tcW w:w="1227" w:type="pct"/>
            <w:shd w:val="clear" w:color="auto" w:fill="auto"/>
            <w:vAlign w:val="center"/>
            <w:hideMark/>
          </w:tcPr>
          <w:p w14:paraId="327B6E2F"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Wilson, Chris K</w:t>
            </w:r>
          </w:p>
        </w:tc>
        <w:tc>
          <w:tcPr>
            <w:tcW w:w="260" w:type="pct"/>
            <w:shd w:val="clear" w:color="auto" w:fill="auto"/>
            <w:noWrap/>
            <w:vAlign w:val="center"/>
            <w:hideMark/>
          </w:tcPr>
          <w:p w14:paraId="443ECABB"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2020</w:t>
            </w:r>
          </w:p>
        </w:tc>
        <w:tc>
          <w:tcPr>
            <w:tcW w:w="1689" w:type="pct"/>
            <w:shd w:val="clear" w:color="auto" w:fill="auto"/>
            <w:vAlign w:val="center"/>
            <w:hideMark/>
          </w:tcPr>
          <w:p w14:paraId="37F4309D" w14:textId="48A77156" w:rsidR="00F00E3D" w:rsidRPr="0029348F" w:rsidRDefault="00940D80" w:rsidP="001D0AC0">
            <w:pPr>
              <w:widowControl w:val="0"/>
              <w:spacing w:after="0" w:line="240" w:lineRule="auto"/>
              <w:rPr>
                <w:rFonts w:asciiTheme="majorHAnsi" w:eastAsia="Times New Roman" w:hAnsiTheme="majorHAnsi" w:cstheme="majorHAnsi"/>
                <w:color w:val="000000"/>
                <w:lang w:eastAsia="en-GB"/>
              </w:rPr>
            </w:pPr>
            <w:r>
              <w:rPr>
                <w:rFonts w:asciiTheme="majorHAnsi" w:eastAsia="Times New Roman" w:hAnsiTheme="majorHAnsi" w:cstheme="majorHAnsi"/>
                <w:color w:val="000000" w:themeColor="text1"/>
                <w:lang w:eastAsia="en-GB"/>
              </w:rPr>
              <w:t>COVID</w:t>
            </w:r>
            <w:r w:rsidR="00F00E3D" w:rsidRPr="0029348F">
              <w:rPr>
                <w:rFonts w:asciiTheme="majorHAnsi" w:eastAsia="Times New Roman" w:hAnsiTheme="majorHAnsi" w:cstheme="majorHAnsi"/>
                <w:color w:val="000000" w:themeColor="text1"/>
                <w:lang w:eastAsia="en-GB"/>
              </w:rPr>
              <w:t>-19, digital inclusion and online education: APO Digital Inclusion Collection Brief April 2020</w:t>
            </w:r>
          </w:p>
        </w:tc>
        <w:tc>
          <w:tcPr>
            <w:tcW w:w="493" w:type="pct"/>
            <w:shd w:val="clear" w:color="auto" w:fill="auto"/>
            <w:vAlign w:val="center"/>
            <w:hideMark/>
          </w:tcPr>
          <w:p w14:paraId="2DF9D838"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Education</w:t>
            </w:r>
          </w:p>
        </w:tc>
        <w:tc>
          <w:tcPr>
            <w:tcW w:w="372" w:type="pct"/>
            <w:shd w:val="clear" w:color="auto" w:fill="auto"/>
            <w:noWrap/>
            <w:vAlign w:val="bottom"/>
            <w:hideMark/>
          </w:tcPr>
          <w:p w14:paraId="64E8A65F"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Australia</w:t>
            </w:r>
          </w:p>
        </w:tc>
        <w:tc>
          <w:tcPr>
            <w:tcW w:w="370" w:type="pct"/>
            <w:shd w:val="clear" w:color="auto" w:fill="auto"/>
            <w:noWrap/>
            <w:vAlign w:val="bottom"/>
            <w:hideMark/>
          </w:tcPr>
          <w:p w14:paraId="4C437609"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0</w:t>
            </w:r>
          </w:p>
        </w:tc>
      </w:tr>
      <w:tr w:rsidR="00F00E3D" w:rsidRPr="00052440" w14:paraId="213B1C30" w14:textId="77777777" w:rsidTr="009B2FA7">
        <w:trPr>
          <w:trHeight w:val="15"/>
        </w:trPr>
        <w:tc>
          <w:tcPr>
            <w:tcW w:w="590" w:type="pct"/>
            <w:shd w:val="clear" w:color="auto" w:fill="auto"/>
            <w:noWrap/>
            <w:vAlign w:val="center"/>
            <w:hideMark/>
          </w:tcPr>
          <w:p w14:paraId="41E467BC"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Journal Article</w:t>
            </w:r>
          </w:p>
        </w:tc>
        <w:tc>
          <w:tcPr>
            <w:tcW w:w="1227" w:type="pct"/>
            <w:shd w:val="clear" w:color="auto" w:fill="auto"/>
            <w:vAlign w:val="center"/>
            <w:hideMark/>
          </w:tcPr>
          <w:p w14:paraId="726C7135"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Cattapan, Alana; Acker-Verney, Julianne M.; Dobrowolsky, Alexandra; Findlay, Tammy; Mandrona, April</w:t>
            </w:r>
          </w:p>
        </w:tc>
        <w:tc>
          <w:tcPr>
            <w:tcW w:w="260" w:type="pct"/>
            <w:shd w:val="clear" w:color="auto" w:fill="auto"/>
            <w:noWrap/>
            <w:vAlign w:val="center"/>
            <w:hideMark/>
          </w:tcPr>
          <w:p w14:paraId="453FFD42"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2020</w:t>
            </w:r>
          </w:p>
        </w:tc>
        <w:tc>
          <w:tcPr>
            <w:tcW w:w="1689" w:type="pct"/>
            <w:shd w:val="clear" w:color="auto" w:fill="auto"/>
            <w:vAlign w:val="center"/>
            <w:hideMark/>
          </w:tcPr>
          <w:p w14:paraId="42E3A252"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Community Engagement in a Time of Confinement</w:t>
            </w:r>
          </w:p>
        </w:tc>
        <w:tc>
          <w:tcPr>
            <w:tcW w:w="493" w:type="pct"/>
            <w:shd w:val="clear" w:color="auto" w:fill="auto"/>
            <w:vAlign w:val="center"/>
            <w:hideMark/>
          </w:tcPr>
          <w:p w14:paraId="31D6F95C"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All</w:t>
            </w:r>
          </w:p>
        </w:tc>
        <w:tc>
          <w:tcPr>
            <w:tcW w:w="372" w:type="pct"/>
            <w:shd w:val="clear" w:color="auto" w:fill="auto"/>
            <w:noWrap/>
            <w:vAlign w:val="bottom"/>
            <w:hideMark/>
          </w:tcPr>
          <w:p w14:paraId="1F290289"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Global</w:t>
            </w:r>
          </w:p>
        </w:tc>
        <w:tc>
          <w:tcPr>
            <w:tcW w:w="370" w:type="pct"/>
            <w:shd w:val="clear" w:color="auto" w:fill="auto"/>
            <w:noWrap/>
            <w:vAlign w:val="center"/>
            <w:hideMark/>
          </w:tcPr>
          <w:p w14:paraId="0352F985"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1</w:t>
            </w:r>
          </w:p>
        </w:tc>
      </w:tr>
      <w:tr w:rsidR="00F00E3D" w:rsidRPr="00052440" w14:paraId="250572F5" w14:textId="77777777" w:rsidTr="009B2FA7">
        <w:trPr>
          <w:trHeight w:val="15"/>
        </w:trPr>
        <w:tc>
          <w:tcPr>
            <w:tcW w:w="590" w:type="pct"/>
            <w:shd w:val="clear" w:color="auto" w:fill="auto"/>
            <w:noWrap/>
            <w:vAlign w:val="center"/>
            <w:hideMark/>
          </w:tcPr>
          <w:p w14:paraId="73B5321B"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Journal Article</w:t>
            </w:r>
          </w:p>
        </w:tc>
        <w:tc>
          <w:tcPr>
            <w:tcW w:w="1227" w:type="pct"/>
            <w:shd w:val="clear" w:color="auto" w:fill="auto"/>
            <w:vAlign w:val="center"/>
            <w:hideMark/>
          </w:tcPr>
          <w:p w14:paraId="09503065"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van Barneveld, K.; Quinlan, M.; Kriesler, P.; Junor, A.; Baum, F.; Chowdhury, A.; Junankar, P. N.; Clibborn, S.; Flanagan, F.; Wright, C. F.; Friel, S.; Halevi, J.; Rainnie, A.</w:t>
            </w:r>
          </w:p>
        </w:tc>
        <w:tc>
          <w:tcPr>
            <w:tcW w:w="260" w:type="pct"/>
            <w:shd w:val="clear" w:color="auto" w:fill="auto"/>
            <w:noWrap/>
            <w:vAlign w:val="center"/>
            <w:hideMark/>
          </w:tcPr>
          <w:p w14:paraId="645D4C76"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2020</w:t>
            </w:r>
          </w:p>
        </w:tc>
        <w:tc>
          <w:tcPr>
            <w:tcW w:w="1689" w:type="pct"/>
            <w:shd w:val="clear" w:color="auto" w:fill="auto"/>
            <w:vAlign w:val="center"/>
            <w:hideMark/>
          </w:tcPr>
          <w:p w14:paraId="6A4B266D" w14:textId="3F36CF79"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 xml:space="preserve">The </w:t>
            </w:r>
            <w:r w:rsidR="00940D80">
              <w:rPr>
                <w:rFonts w:asciiTheme="majorHAnsi" w:eastAsia="Times New Roman" w:hAnsiTheme="majorHAnsi" w:cstheme="majorHAnsi"/>
                <w:color w:val="000000" w:themeColor="text1"/>
                <w:lang w:eastAsia="en-GB"/>
              </w:rPr>
              <w:t>COVID</w:t>
            </w:r>
            <w:r w:rsidRPr="0029348F">
              <w:rPr>
                <w:rFonts w:asciiTheme="majorHAnsi" w:eastAsia="Times New Roman" w:hAnsiTheme="majorHAnsi" w:cstheme="majorHAnsi"/>
                <w:color w:val="000000" w:themeColor="text1"/>
                <w:lang w:eastAsia="en-GB"/>
              </w:rPr>
              <w:t>-19 pandemic: Lessons on building more equal and sustainable societies</w:t>
            </w:r>
          </w:p>
        </w:tc>
        <w:tc>
          <w:tcPr>
            <w:tcW w:w="493" w:type="pct"/>
            <w:shd w:val="clear" w:color="auto" w:fill="auto"/>
            <w:vAlign w:val="center"/>
            <w:hideMark/>
          </w:tcPr>
          <w:p w14:paraId="600E2273"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All</w:t>
            </w:r>
          </w:p>
        </w:tc>
        <w:tc>
          <w:tcPr>
            <w:tcW w:w="372" w:type="pct"/>
            <w:shd w:val="clear" w:color="auto" w:fill="auto"/>
            <w:noWrap/>
            <w:vAlign w:val="bottom"/>
            <w:hideMark/>
          </w:tcPr>
          <w:p w14:paraId="194C837A"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Global</w:t>
            </w:r>
          </w:p>
        </w:tc>
        <w:tc>
          <w:tcPr>
            <w:tcW w:w="370" w:type="pct"/>
            <w:shd w:val="clear" w:color="auto" w:fill="auto"/>
            <w:noWrap/>
            <w:vAlign w:val="center"/>
            <w:hideMark/>
          </w:tcPr>
          <w:p w14:paraId="275C8FCD"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10</w:t>
            </w:r>
          </w:p>
        </w:tc>
      </w:tr>
      <w:tr w:rsidR="00F00E3D" w:rsidRPr="00052440" w14:paraId="1D8806A4" w14:textId="77777777" w:rsidTr="009B2FA7">
        <w:trPr>
          <w:trHeight w:val="15"/>
        </w:trPr>
        <w:tc>
          <w:tcPr>
            <w:tcW w:w="590" w:type="pct"/>
            <w:shd w:val="clear" w:color="auto" w:fill="auto"/>
            <w:noWrap/>
            <w:vAlign w:val="center"/>
            <w:hideMark/>
          </w:tcPr>
          <w:p w14:paraId="5D17DF6B"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Journal Article</w:t>
            </w:r>
          </w:p>
        </w:tc>
        <w:tc>
          <w:tcPr>
            <w:tcW w:w="1227" w:type="pct"/>
            <w:shd w:val="clear" w:color="auto" w:fill="auto"/>
            <w:vAlign w:val="center"/>
            <w:hideMark/>
          </w:tcPr>
          <w:p w14:paraId="77E2F179"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Pineda, V</w:t>
            </w:r>
            <w:r>
              <w:rPr>
                <w:rFonts w:asciiTheme="majorHAnsi" w:eastAsia="Times New Roman" w:hAnsiTheme="majorHAnsi" w:cstheme="majorHAnsi"/>
                <w:color w:val="000000" w:themeColor="text1"/>
                <w:lang w:eastAsia="en-GB"/>
              </w:rPr>
              <w:t>.S.</w:t>
            </w:r>
            <w:r w:rsidRPr="0029348F">
              <w:rPr>
                <w:rFonts w:asciiTheme="majorHAnsi" w:eastAsia="Times New Roman" w:hAnsiTheme="majorHAnsi" w:cstheme="majorHAnsi"/>
                <w:color w:val="000000" w:themeColor="text1"/>
                <w:lang w:eastAsia="en-GB"/>
              </w:rPr>
              <w:t>; Corburn, J</w:t>
            </w:r>
            <w:r>
              <w:rPr>
                <w:rFonts w:asciiTheme="majorHAnsi" w:eastAsia="Times New Roman" w:hAnsiTheme="majorHAnsi" w:cstheme="majorHAnsi"/>
                <w:color w:val="000000" w:themeColor="text1"/>
                <w:lang w:eastAsia="en-GB"/>
              </w:rPr>
              <w:t>.</w:t>
            </w:r>
          </w:p>
        </w:tc>
        <w:tc>
          <w:tcPr>
            <w:tcW w:w="260" w:type="pct"/>
            <w:shd w:val="clear" w:color="auto" w:fill="auto"/>
            <w:noWrap/>
            <w:vAlign w:val="center"/>
            <w:hideMark/>
          </w:tcPr>
          <w:p w14:paraId="5856947C"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2020</w:t>
            </w:r>
          </w:p>
        </w:tc>
        <w:tc>
          <w:tcPr>
            <w:tcW w:w="1689" w:type="pct"/>
            <w:shd w:val="clear" w:color="auto" w:fill="auto"/>
            <w:vAlign w:val="center"/>
            <w:hideMark/>
          </w:tcPr>
          <w:p w14:paraId="0C8B37AF"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Disability, Urban Health Equity, and the Coronavirus Pandemic: Promoting Cities for All</w:t>
            </w:r>
          </w:p>
        </w:tc>
        <w:tc>
          <w:tcPr>
            <w:tcW w:w="493" w:type="pct"/>
            <w:shd w:val="clear" w:color="auto" w:fill="auto"/>
            <w:vAlign w:val="center"/>
            <w:hideMark/>
          </w:tcPr>
          <w:p w14:paraId="53E3F7DC"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Health &amp; Wellbeing</w:t>
            </w:r>
          </w:p>
        </w:tc>
        <w:tc>
          <w:tcPr>
            <w:tcW w:w="372" w:type="pct"/>
            <w:shd w:val="clear" w:color="auto" w:fill="auto"/>
            <w:noWrap/>
            <w:vAlign w:val="bottom"/>
            <w:hideMark/>
          </w:tcPr>
          <w:p w14:paraId="6BA8911B"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Global</w:t>
            </w:r>
          </w:p>
        </w:tc>
        <w:tc>
          <w:tcPr>
            <w:tcW w:w="370" w:type="pct"/>
            <w:shd w:val="clear" w:color="auto" w:fill="auto"/>
            <w:noWrap/>
            <w:vAlign w:val="bottom"/>
            <w:hideMark/>
          </w:tcPr>
          <w:p w14:paraId="3CD39F03"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21</w:t>
            </w:r>
          </w:p>
        </w:tc>
      </w:tr>
      <w:tr w:rsidR="00F00E3D" w:rsidRPr="00052440" w14:paraId="5CCC4A2C" w14:textId="77777777" w:rsidTr="009B2FA7">
        <w:trPr>
          <w:trHeight w:val="15"/>
        </w:trPr>
        <w:tc>
          <w:tcPr>
            <w:tcW w:w="590" w:type="pct"/>
            <w:shd w:val="clear" w:color="auto" w:fill="auto"/>
            <w:noWrap/>
            <w:vAlign w:val="center"/>
            <w:hideMark/>
          </w:tcPr>
          <w:p w14:paraId="06737F2C"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Report</w:t>
            </w:r>
          </w:p>
        </w:tc>
        <w:tc>
          <w:tcPr>
            <w:tcW w:w="1227" w:type="pct"/>
            <w:shd w:val="clear" w:color="auto" w:fill="auto"/>
            <w:vAlign w:val="center"/>
            <w:hideMark/>
          </w:tcPr>
          <w:p w14:paraId="17E27A4D"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A.C.S.C</w:t>
            </w:r>
          </w:p>
        </w:tc>
        <w:tc>
          <w:tcPr>
            <w:tcW w:w="260" w:type="pct"/>
            <w:shd w:val="clear" w:color="auto" w:fill="auto"/>
            <w:noWrap/>
            <w:vAlign w:val="center"/>
            <w:hideMark/>
          </w:tcPr>
          <w:p w14:paraId="667AA21B"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2020</w:t>
            </w:r>
          </w:p>
        </w:tc>
        <w:tc>
          <w:tcPr>
            <w:tcW w:w="1689" w:type="pct"/>
            <w:shd w:val="clear" w:color="auto" w:fill="auto"/>
            <w:vAlign w:val="center"/>
            <w:hideMark/>
          </w:tcPr>
          <w:p w14:paraId="09A9C040" w14:textId="1787656C"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 xml:space="preserve">Australia’s Community Sector &amp; </w:t>
            </w:r>
            <w:r w:rsidR="00940D80">
              <w:rPr>
                <w:rFonts w:asciiTheme="majorHAnsi" w:eastAsia="Times New Roman" w:hAnsiTheme="majorHAnsi" w:cstheme="majorHAnsi"/>
                <w:color w:val="000000" w:themeColor="text1"/>
                <w:lang w:eastAsia="en-GB"/>
              </w:rPr>
              <w:t>COVID</w:t>
            </w:r>
            <w:r w:rsidRPr="0029348F">
              <w:rPr>
                <w:rFonts w:asciiTheme="majorHAnsi" w:eastAsia="Times New Roman" w:hAnsiTheme="majorHAnsi" w:cstheme="majorHAnsi"/>
                <w:color w:val="000000" w:themeColor="text1"/>
                <w:lang w:eastAsia="en-GB"/>
              </w:rPr>
              <w:t>-19: Impact of increased income support on community services</w:t>
            </w:r>
          </w:p>
        </w:tc>
        <w:tc>
          <w:tcPr>
            <w:tcW w:w="493" w:type="pct"/>
            <w:shd w:val="clear" w:color="auto" w:fill="auto"/>
            <w:vAlign w:val="center"/>
            <w:hideMark/>
          </w:tcPr>
          <w:p w14:paraId="504113F1"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All</w:t>
            </w:r>
          </w:p>
        </w:tc>
        <w:tc>
          <w:tcPr>
            <w:tcW w:w="372" w:type="pct"/>
            <w:shd w:val="clear" w:color="auto" w:fill="auto"/>
            <w:noWrap/>
            <w:vAlign w:val="bottom"/>
            <w:hideMark/>
          </w:tcPr>
          <w:p w14:paraId="6BA6E355"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Australia</w:t>
            </w:r>
          </w:p>
        </w:tc>
        <w:tc>
          <w:tcPr>
            <w:tcW w:w="370" w:type="pct"/>
            <w:shd w:val="clear" w:color="auto" w:fill="auto"/>
            <w:noWrap/>
            <w:vAlign w:val="bottom"/>
            <w:hideMark/>
          </w:tcPr>
          <w:p w14:paraId="7C6C2B76"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0</w:t>
            </w:r>
          </w:p>
        </w:tc>
      </w:tr>
      <w:tr w:rsidR="00F00E3D" w:rsidRPr="00052440" w14:paraId="56DA0D2E" w14:textId="77777777" w:rsidTr="009B2FA7">
        <w:trPr>
          <w:trHeight w:val="15"/>
        </w:trPr>
        <w:tc>
          <w:tcPr>
            <w:tcW w:w="590" w:type="pct"/>
            <w:shd w:val="clear" w:color="auto" w:fill="auto"/>
            <w:noWrap/>
            <w:vAlign w:val="center"/>
            <w:hideMark/>
          </w:tcPr>
          <w:p w14:paraId="24466103"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Journal Article</w:t>
            </w:r>
          </w:p>
        </w:tc>
        <w:tc>
          <w:tcPr>
            <w:tcW w:w="1227" w:type="pct"/>
            <w:shd w:val="clear" w:color="auto" w:fill="auto"/>
            <w:vAlign w:val="center"/>
            <w:hideMark/>
          </w:tcPr>
          <w:p w14:paraId="3B048090"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Davidson, Peter</w:t>
            </w:r>
          </w:p>
        </w:tc>
        <w:tc>
          <w:tcPr>
            <w:tcW w:w="260" w:type="pct"/>
            <w:shd w:val="clear" w:color="auto" w:fill="auto"/>
            <w:noWrap/>
            <w:vAlign w:val="center"/>
            <w:hideMark/>
          </w:tcPr>
          <w:p w14:paraId="36C4F14D"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2020</w:t>
            </w:r>
          </w:p>
        </w:tc>
        <w:tc>
          <w:tcPr>
            <w:tcW w:w="1689" w:type="pct"/>
            <w:shd w:val="clear" w:color="auto" w:fill="auto"/>
            <w:vAlign w:val="center"/>
            <w:hideMark/>
          </w:tcPr>
          <w:p w14:paraId="3C69DA69" w14:textId="0BD7535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Inequality in Australia 2020</w:t>
            </w:r>
            <w:r>
              <w:rPr>
                <w:rFonts w:asciiTheme="majorHAnsi" w:eastAsia="Times New Roman" w:hAnsiTheme="majorHAnsi" w:cstheme="majorHAnsi"/>
                <w:color w:val="000000" w:themeColor="text1"/>
                <w:lang w:eastAsia="en-GB"/>
              </w:rPr>
              <w:t>, P</w:t>
            </w:r>
            <w:r w:rsidRPr="0029348F">
              <w:rPr>
                <w:rFonts w:asciiTheme="majorHAnsi" w:eastAsia="Times New Roman" w:hAnsiTheme="majorHAnsi" w:cstheme="majorHAnsi"/>
                <w:color w:val="000000" w:themeColor="text1"/>
                <w:lang w:eastAsia="en-GB"/>
              </w:rPr>
              <w:t xml:space="preserve">art 1: overview-s impact of </w:t>
            </w:r>
            <w:r w:rsidR="00940D80">
              <w:rPr>
                <w:rFonts w:asciiTheme="majorHAnsi" w:eastAsia="Times New Roman" w:hAnsiTheme="majorHAnsi" w:cstheme="majorHAnsi"/>
                <w:color w:val="000000" w:themeColor="text1"/>
                <w:lang w:eastAsia="en-GB"/>
              </w:rPr>
              <w:t>COVID</w:t>
            </w:r>
            <w:r w:rsidRPr="0029348F">
              <w:rPr>
                <w:rFonts w:asciiTheme="majorHAnsi" w:eastAsia="Times New Roman" w:hAnsiTheme="majorHAnsi" w:cstheme="majorHAnsi"/>
                <w:color w:val="000000" w:themeColor="text1"/>
                <w:lang w:eastAsia="en-GB"/>
              </w:rPr>
              <w:t>-19 on income inequality</w:t>
            </w:r>
          </w:p>
        </w:tc>
        <w:tc>
          <w:tcPr>
            <w:tcW w:w="493" w:type="pct"/>
            <w:shd w:val="clear" w:color="auto" w:fill="auto"/>
            <w:vAlign w:val="center"/>
            <w:hideMark/>
          </w:tcPr>
          <w:p w14:paraId="43ECB3E7"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All</w:t>
            </w:r>
          </w:p>
        </w:tc>
        <w:tc>
          <w:tcPr>
            <w:tcW w:w="372" w:type="pct"/>
            <w:shd w:val="clear" w:color="auto" w:fill="auto"/>
            <w:noWrap/>
            <w:vAlign w:val="bottom"/>
            <w:hideMark/>
          </w:tcPr>
          <w:p w14:paraId="6ABE82E0" w14:textId="77777777" w:rsidR="00F00E3D" w:rsidRPr="0029348F" w:rsidRDefault="00F00E3D" w:rsidP="001D0AC0">
            <w:pPr>
              <w:widowControl w:val="0"/>
              <w:spacing w:after="0" w:line="240" w:lineRule="auto"/>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Australia</w:t>
            </w:r>
          </w:p>
        </w:tc>
        <w:tc>
          <w:tcPr>
            <w:tcW w:w="370" w:type="pct"/>
            <w:shd w:val="clear" w:color="auto" w:fill="auto"/>
            <w:noWrap/>
            <w:vAlign w:val="bottom"/>
            <w:hideMark/>
          </w:tcPr>
          <w:p w14:paraId="29AFC30A" w14:textId="77777777" w:rsidR="00F00E3D" w:rsidRPr="0029348F" w:rsidRDefault="00F00E3D" w:rsidP="001D0AC0">
            <w:pPr>
              <w:widowControl w:val="0"/>
              <w:spacing w:after="0" w:line="240" w:lineRule="auto"/>
              <w:jc w:val="right"/>
              <w:rPr>
                <w:rFonts w:asciiTheme="majorHAnsi" w:eastAsia="Times New Roman" w:hAnsiTheme="majorHAnsi" w:cstheme="majorHAnsi"/>
                <w:color w:val="000000"/>
                <w:lang w:eastAsia="en-GB"/>
              </w:rPr>
            </w:pPr>
            <w:r w:rsidRPr="0029348F">
              <w:rPr>
                <w:rFonts w:asciiTheme="majorHAnsi" w:eastAsia="Times New Roman" w:hAnsiTheme="majorHAnsi" w:cstheme="majorHAnsi"/>
                <w:color w:val="000000" w:themeColor="text1"/>
                <w:lang w:eastAsia="en-GB"/>
              </w:rPr>
              <w:t>0</w:t>
            </w:r>
          </w:p>
        </w:tc>
      </w:tr>
    </w:tbl>
    <w:p w14:paraId="0638808C" w14:textId="77777777" w:rsidR="00F00E3D" w:rsidRDefault="00F00E3D" w:rsidP="001D0AC0">
      <w:pPr>
        <w:spacing w:after="0" w:line="240" w:lineRule="auto"/>
        <w:rPr>
          <w:rFonts w:asciiTheme="majorHAnsi" w:hAnsiTheme="majorHAnsi" w:cstheme="majorHAnsi"/>
          <w:b/>
          <w:bCs/>
          <w:sz w:val="23"/>
          <w:szCs w:val="23"/>
        </w:rPr>
      </w:pPr>
    </w:p>
    <w:p w14:paraId="40A81E60" w14:textId="77777777" w:rsidR="00F00E3D" w:rsidRDefault="00F00E3D" w:rsidP="001D0AC0">
      <w:pPr>
        <w:spacing w:after="0" w:line="240" w:lineRule="auto"/>
        <w:rPr>
          <w:rFonts w:asciiTheme="majorHAnsi" w:hAnsiTheme="majorHAnsi" w:cstheme="majorHAnsi"/>
          <w:b/>
          <w:bCs/>
          <w:sz w:val="23"/>
          <w:szCs w:val="23"/>
        </w:rPr>
      </w:pPr>
      <w:r>
        <w:rPr>
          <w:rFonts w:asciiTheme="majorHAnsi" w:hAnsiTheme="majorHAnsi" w:cstheme="majorHAnsi"/>
          <w:b/>
          <w:bCs/>
          <w:sz w:val="23"/>
          <w:szCs w:val="23"/>
        </w:rPr>
        <w:br w:type="page"/>
      </w:r>
    </w:p>
    <w:p w14:paraId="0CA22677" w14:textId="77777777" w:rsidR="00F00E3D" w:rsidRPr="00A92324" w:rsidRDefault="00F00E3D" w:rsidP="001D0AC0">
      <w:pPr>
        <w:spacing w:after="0" w:line="240" w:lineRule="auto"/>
        <w:rPr>
          <w:rFonts w:eastAsia="Times New Roman" w:cstheme="minorHAnsi"/>
          <w:b/>
          <w:bCs/>
          <w:color w:val="2F5496" w:themeColor="accent1" w:themeShade="BF"/>
          <w:sz w:val="28"/>
          <w:szCs w:val="28"/>
          <w:lang w:eastAsia="en-GB"/>
        </w:rPr>
      </w:pPr>
      <w:r w:rsidRPr="007D565A">
        <w:rPr>
          <w:rFonts w:eastAsia="Times New Roman" w:cstheme="minorHAnsi"/>
          <w:b/>
          <w:bCs/>
          <w:color w:val="2F5496" w:themeColor="accent1" w:themeShade="BF"/>
          <w:sz w:val="28"/>
          <w:szCs w:val="28"/>
          <w:lang w:eastAsia="en-GB"/>
        </w:rPr>
        <w:lastRenderedPageBreak/>
        <w:t>Table 20: Inequality Data Articles</w:t>
      </w:r>
    </w:p>
    <w:p w14:paraId="43AA51B0" w14:textId="77777777" w:rsidR="00F00E3D" w:rsidRPr="00BC19B6" w:rsidRDefault="00F00E3D" w:rsidP="001D0AC0">
      <w:pPr>
        <w:spacing w:after="0" w:line="240" w:lineRule="auto"/>
        <w:rPr>
          <w:rFonts w:asciiTheme="majorHAnsi" w:eastAsia="Times New Roman" w:hAnsiTheme="majorHAnsi" w:cstheme="majorHAnsi"/>
          <w:b/>
          <w:bCs/>
          <w:color w:val="000000"/>
          <w:sz w:val="23"/>
          <w:szCs w:val="23"/>
          <w:lang w:eastAsia="en-GB"/>
        </w:rPr>
      </w:pPr>
    </w:p>
    <w:tbl>
      <w:tblPr>
        <w:tblW w:w="14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3419"/>
        <w:gridCol w:w="893"/>
        <w:gridCol w:w="5027"/>
        <w:gridCol w:w="1431"/>
        <w:gridCol w:w="1163"/>
        <w:gridCol w:w="1026"/>
      </w:tblGrid>
      <w:tr w:rsidR="00F00E3D" w:rsidRPr="00091B6A" w14:paraId="75BD659D" w14:textId="77777777" w:rsidTr="009B2FA7">
        <w:trPr>
          <w:trHeight w:val="16"/>
        </w:trPr>
        <w:tc>
          <w:tcPr>
            <w:tcW w:w="1801" w:type="dxa"/>
            <w:shd w:val="clear" w:color="auto" w:fill="auto"/>
            <w:noWrap/>
            <w:vAlign w:val="bottom"/>
          </w:tcPr>
          <w:p w14:paraId="780C9816" w14:textId="77777777" w:rsidR="00F00E3D" w:rsidRPr="00091B6A" w:rsidRDefault="00F00E3D" w:rsidP="001D0AC0">
            <w:pPr>
              <w:spacing w:after="0" w:line="240" w:lineRule="auto"/>
              <w:rPr>
                <w:rFonts w:eastAsia="Times New Roman" w:cstheme="minorHAnsi"/>
                <w:color w:val="000000"/>
                <w:lang w:eastAsia="en-GB"/>
              </w:rPr>
            </w:pPr>
            <w:r w:rsidRPr="00091B6A">
              <w:rPr>
                <w:rFonts w:eastAsia="Times New Roman" w:cstheme="minorHAnsi"/>
                <w:b/>
                <w:bCs/>
                <w:color w:val="000000"/>
                <w:lang w:eastAsia="en-GB"/>
              </w:rPr>
              <w:t>Reference Type</w:t>
            </w:r>
          </w:p>
        </w:tc>
        <w:tc>
          <w:tcPr>
            <w:tcW w:w="3419" w:type="dxa"/>
            <w:shd w:val="clear" w:color="auto" w:fill="auto"/>
            <w:vAlign w:val="bottom"/>
          </w:tcPr>
          <w:p w14:paraId="16338B51" w14:textId="77777777" w:rsidR="00F00E3D" w:rsidRPr="00091B6A" w:rsidRDefault="00F00E3D" w:rsidP="001D0AC0">
            <w:pPr>
              <w:spacing w:after="0" w:line="240" w:lineRule="auto"/>
              <w:rPr>
                <w:rFonts w:eastAsia="Times New Roman" w:cstheme="minorHAnsi"/>
                <w:color w:val="000000"/>
                <w:lang w:eastAsia="en-GB"/>
              </w:rPr>
            </w:pPr>
            <w:r w:rsidRPr="00091B6A">
              <w:rPr>
                <w:rFonts w:eastAsia="Times New Roman" w:cstheme="minorHAnsi"/>
                <w:b/>
                <w:bCs/>
                <w:color w:val="000000"/>
                <w:lang w:eastAsia="en-GB"/>
              </w:rPr>
              <w:t>Author</w:t>
            </w:r>
          </w:p>
        </w:tc>
        <w:tc>
          <w:tcPr>
            <w:tcW w:w="893" w:type="dxa"/>
            <w:shd w:val="clear" w:color="auto" w:fill="auto"/>
            <w:noWrap/>
            <w:vAlign w:val="bottom"/>
          </w:tcPr>
          <w:p w14:paraId="527457B3" w14:textId="77777777" w:rsidR="00F00E3D" w:rsidRPr="00091B6A" w:rsidRDefault="00F00E3D" w:rsidP="001D0AC0">
            <w:pPr>
              <w:spacing w:after="0" w:line="240" w:lineRule="auto"/>
              <w:rPr>
                <w:rFonts w:eastAsia="Times New Roman" w:cstheme="minorHAnsi"/>
                <w:color w:val="000000"/>
                <w:lang w:eastAsia="en-GB"/>
              </w:rPr>
            </w:pPr>
            <w:r w:rsidRPr="00091B6A">
              <w:rPr>
                <w:rFonts w:eastAsia="Times New Roman" w:cstheme="minorHAnsi"/>
                <w:b/>
                <w:bCs/>
                <w:color w:val="000000"/>
                <w:lang w:eastAsia="en-GB"/>
              </w:rPr>
              <w:t>Year</w:t>
            </w:r>
          </w:p>
        </w:tc>
        <w:tc>
          <w:tcPr>
            <w:tcW w:w="5027" w:type="dxa"/>
            <w:shd w:val="clear" w:color="auto" w:fill="auto"/>
            <w:vAlign w:val="bottom"/>
          </w:tcPr>
          <w:p w14:paraId="54554D7C" w14:textId="77777777" w:rsidR="00F00E3D" w:rsidRPr="00091B6A" w:rsidRDefault="00F00E3D" w:rsidP="001D0AC0">
            <w:pPr>
              <w:spacing w:after="0" w:line="240" w:lineRule="auto"/>
              <w:rPr>
                <w:rFonts w:eastAsia="Times New Roman" w:cstheme="minorHAnsi"/>
                <w:color w:val="000000"/>
                <w:lang w:eastAsia="en-GB"/>
              </w:rPr>
            </w:pPr>
            <w:r w:rsidRPr="00091B6A">
              <w:rPr>
                <w:rFonts w:eastAsia="Times New Roman" w:cstheme="minorHAnsi"/>
                <w:b/>
                <w:bCs/>
                <w:color w:val="000000"/>
                <w:lang w:eastAsia="en-GB"/>
              </w:rPr>
              <w:t>Title</w:t>
            </w:r>
          </w:p>
        </w:tc>
        <w:tc>
          <w:tcPr>
            <w:tcW w:w="1431" w:type="dxa"/>
            <w:shd w:val="clear" w:color="auto" w:fill="auto"/>
            <w:vAlign w:val="bottom"/>
          </w:tcPr>
          <w:p w14:paraId="678A779E" w14:textId="33E62ED8" w:rsidR="00F00E3D" w:rsidRPr="00091B6A" w:rsidRDefault="00D95573" w:rsidP="001D0AC0">
            <w:pPr>
              <w:spacing w:after="0" w:line="240" w:lineRule="auto"/>
              <w:rPr>
                <w:rFonts w:eastAsia="Times New Roman" w:cstheme="minorHAnsi"/>
                <w:color w:val="000000"/>
                <w:lang w:eastAsia="en-GB"/>
              </w:rPr>
            </w:pPr>
            <w:r>
              <w:rPr>
                <w:rFonts w:eastAsia="Times New Roman" w:cstheme="minorHAnsi"/>
                <w:b/>
                <w:bCs/>
                <w:color w:val="000000"/>
                <w:lang w:eastAsia="en-GB"/>
              </w:rPr>
              <w:t>Practice Domain</w:t>
            </w:r>
          </w:p>
        </w:tc>
        <w:tc>
          <w:tcPr>
            <w:tcW w:w="1163" w:type="dxa"/>
            <w:shd w:val="clear" w:color="auto" w:fill="auto"/>
            <w:noWrap/>
            <w:vAlign w:val="bottom"/>
          </w:tcPr>
          <w:p w14:paraId="461BE5FA" w14:textId="77777777" w:rsidR="00F00E3D" w:rsidRPr="00091B6A" w:rsidRDefault="00F00E3D" w:rsidP="001D0AC0">
            <w:pPr>
              <w:spacing w:after="0" w:line="240" w:lineRule="auto"/>
              <w:rPr>
                <w:rFonts w:eastAsia="Times New Roman" w:cstheme="minorHAnsi"/>
                <w:color w:val="000000"/>
                <w:lang w:eastAsia="en-GB"/>
              </w:rPr>
            </w:pPr>
            <w:r w:rsidRPr="00091B6A">
              <w:rPr>
                <w:rFonts w:eastAsia="Times New Roman" w:cstheme="minorHAnsi"/>
                <w:b/>
                <w:bCs/>
                <w:color w:val="000000"/>
                <w:lang w:eastAsia="en-GB"/>
              </w:rPr>
              <w:t>Country</w:t>
            </w:r>
          </w:p>
        </w:tc>
        <w:tc>
          <w:tcPr>
            <w:tcW w:w="1026" w:type="dxa"/>
            <w:shd w:val="clear" w:color="auto" w:fill="auto"/>
            <w:noWrap/>
            <w:vAlign w:val="bottom"/>
          </w:tcPr>
          <w:p w14:paraId="37529225" w14:textId="77777777" w:rsidR="00F00E3D" w:rsidRPr="00091B6A" w:rsidRDefault="00F00E3D" w:rsidP="001D0AC0">
            <w:pPr>
              <w:spacing w:after="0" w:line="240" w:lineRule="auto"/>
              <w:rPr>
                <w:rFonts w:eastAsia="Times New Roman" w:cstheme="minorHAnsi"/>
                <w:color w:val="000000"/>
                <w:lang w:eastAsia="en-GB"/>
              </w:rPr>
            </w:pPr>
            <w:r w:rsidRPr="00091B6A">
              <w:rPr>
                <w:rFonts w:eastAsia="Times New Roman" w:cstheme="minorHAnsi"/>
                <w:b/>
                <w:bCs/>
                <w:color w:val="000000"/>
                <w:lang w:eastAsia="en-GB"/>
              </w:rPr>
              <w:t>Citations</w:t>
            </w:r>
          </w:p>
        </w:tc>
      </w:tr>
      <w:tr w:rsidR="00F00E3D" w:rsidRPr="00D0634F" w14:paraId="3B668F37" w14:textId="77777777" w:rsidTr="009B2FA7">
        <w:trPr>
          <w:trHeight w:val="16"/>
        </w:trPr>
        <w:tc>
          <w:tcPr>
            <w:tcW w:w="1801" w:type="dxa"/>
            <w:shd w:val="clear" w:color="auto" w:fill="auto"/>
            <w:noWrap/>
            <w:vAlign w:val="center"/>
            <w:hideMark/>
          </w:tcPr>
          <w:p w14:paraId="7DF01F82"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Book</w:t>
            </w:r>
          </w:p>
        </w:tc>
        <w:tc>
          <w:tcPr>
            <w:tcW w:w="3419" w:type="dxa"/>
            <w:shd w:val="clear" w:color="auto" w:fill="auto"/>
            <w:vAlign w:val="center"/>
            <w:hideMark/>
          </w:tcPr>
          <w:p w14:paraId="7FF5B895"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Davidson, Peter; Bradbury, Bruce; Wong, Melissa;</w:t>
            </w:r>
            <w:r>
              <w:rPr>
                <w:rFonts w:asciiTheme="majorHAnsi" w:eastAsia="Times New Roman" w:hAnsiTheme="majorHAnsi" w:cstheme="majorHAnsi"/>
                <w:color w:val="000000"/>
                <w:lang w:eastAsia="en-GB"/>
              </w:rPr>
              <w:t xml:space="preserve"> </w:t>
            </w:r>
            <w:r w:rsidRPr="00D0634F">
              <w:rPr>
                <w:rFonts w:asciiTheme="majorHAnsi" w:eastAsia="Times New Roman" w:hAnsiTheme="majorHAnsi" w:cstheme="majorHAnsi"/>
                <w:color w:val="000000"/>
                <w:lang w:eastAsia="en-GB"/>
              </w:rPr>
              <w:t>et al.</w:t>
            </w:r>
          </w:p>
        </w:tc>
        <w:tc>
          <w:tcPr>
            <w:tcW w:w="893" w:type="dxa"/>
            <w:shd w:val="clear" w:color="auto" w:fill="auto"/>
            <w:noWrap/>
            <w:vAlign w:val="center"/>
            <w:hideMark/>
          </w:tcPr>
          <w:p w14:paraId="10B71DCC"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2020</w:t>
            </w:r>
          </w:p>
        </w:tc>
        <w:tc>
          <w:tcPr>
            <w:tcW w:w="5027" w:type="dxa"/>
            <w:shd w:val="clear" w:color="auto" w:fill="auto"/>
            <w:vAlign w:val="center"/>
            <w:hideMark/>
          </w:tcPr>
          <w:p w14:paraId="5BFEE3B7"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Inequality in Australia 2020: Factsheet</w:t>
            </w:r>
          </w:p>
        </w:tc>
        <w:tc>
          <w:tcPr>
            <w:tcW w:w="1431" w:type="dxa"/>
            <w:shd w:val="clear" w:color="auto" w:fill="auto"/>
            <w:vAlign w:val="center"/>
            <w:hideMark/>
          </w:tcPr>
          <w:p w14:paraId="5C72BDB1"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All</w:t>
            </w:r>
          </w:p>
        </w:tc>
        <w:tc>
          <w:tcPr>
            <w:tcW w:w="1163" w:type="dxa"/>
            <w:shd w:val="clear" w:color="auto" w:fill="auto"/>
            <w:noWrap/>
            <w:vAlign w:val="bottom"/>
            <w:hideMark/>
          </w:tcPr>
          <w:p w14:paraId="38E423D1"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Australia</w:t>
            </w:r>
          </w:p>
        </w:tc>
        <w:tc>
          <w:tcPr>
            <w:tcW w:w="1026" w:type="dxa"/>
            <w:shd w:val="clear" w:color="auto" w:fill="auto"/>
            <w:noWrap/>
            <w:vAlign w:val="bottom"/>
            <w:hideMark/>
          </w:tcPr>
          <w:p w14:paraId="233ECDB6"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0</w:t>
            </w:r>
          </w:p>
        </w:tc>
      </w:tr>
      <w:tr w:rsidR="00F00E3D" w:rsidRPr="00D0634F" w14:paraId="539FFCCA" w14:textId="77777777" w:rsidTr="009B2FA7">
        <w:trPr>
          <w:trHeight w:val="16"/>
        </w:trPr>
        <w:tc>
          <w:tcPr>
            <w:tcW w:w="1801" w:type="dxa"/>
            <w:shd w:val="clear" w:color="auto" w:fill="auto"/>
            <w:noWrap/>
            <w:vAlign w:val="center"/>
            <w:hideMark/>
          </w:tcPr>
          <w:p w14:paraId="6891117C"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Journal Article</w:t>
            </w:r>
          </w:p>
        </w:tc>
        <w:tc>
          <w:tcPr>
            <w:tcW w:w="3419" w:type="dxa"/>
            <w:shd w:val="clear" w:color="auto" w:fill="auto"/>
            <w:vAlign w:val="center"/>
            <w:hideMark/>
          </w:tcPr>
          <w:p w14:paraId="2058C074"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Davidson, Peter; Bradbury, Bruce; Wong, Melissa; Hill, Trish</w:t>
            </w:r>
          </w:p>
        </w:tc>
        <w:tc>
          <w:tcPr>
            <w:tcW w:w="893" w:type="dxa"/>
            <w:shd w:val="clear" w:color="auto" w:fill="auto"/>
            <w:noWrap/>
            <w:vAlign w:val="bottom"/>
            <w:hideMark/>
          </w:tcPr>
          <w:p w14:paraId="07DBE608"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2020</w:t>
            </w:r>
          </w:p>
        </w:tc>
        <w:tc>
          <w:tcPr>
            <w:tcW w:w="5027" w:type="dxa"/>
            <w:shd w:val="clear" w:color="auto" w:fill="auto"/>
            <w:vAlign w:val="center"/>
            <w:hideMark/>
          </w:tcPr>
          <w:p w14:paraId="1A1463C0"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Inequality in Australia 2020-part 2: who is affected and why</w:t>
            </w:r>
          </w:p>
        </w:tc>
        <w:tc>
          <w:tcPr>
            <w:tcW w:w="1431" w:type="dxa"/>
            <w:shd w:val="clear" w:color="auto" w:fill="auto"/>
            <w:vAlign w:val="center"/>
            <w:hideMark/>
          </w:tcPr>
          <w:p w14:paraId="1B4381FC"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All</w:t>
            </w:r>
          </w:p>
        </w:tc>
        <w:tc>
          <w:tcPr>
            <w:tcW w:w="1163" w:type="dxa"/>
            <w:shd w:val="clear" w:color="auto" w:fill="auto"/>
            <w:noWrap/>
            <w:vAlign w:val="bottom"/>
            <w:hideMark/>
          </w:tcPr>
          <w:p w14:paraId="07DE7418"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Australia</w:t>
            </w:r>
          </w:p>
        </w:tc>
        <w:tc>
          <w:tcPr>
            <w:tcW w:w="1026" w:type="dxa"/>
            <w:shd w:val="clear" w:color="auto" w:fill="auto"/>
            <w:noWrap/>
            <w:vAlign w:val="bottom"/>
            <w:hideMark/>
          </w:tcPr>
          <w:p w14:paraId="7C18847F"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0</w:t>
            </w:r>
          </w:p>
        </w:tc>
      </w:tr>
      <w:tr w:rsidR="00F00E3D" w:rsidRPr="00D0634F" w14:paraId="230DEEED" w14:textId="77777777" w:rsidTr="009B2FA7">
        <w:trPr>
          <w:trHeight w:val="16"/>
        </w:trPr>
        <w:tc>
          <w:tcPr>
            <w:tcW w:w="1801" w:type="dxa"/>
            <w:shd w:val="clear" w:color="auto" w:fill="auto"/>
            <w:noWrap/>
            <w:vAlign w:val="center"/>
          </w:tcPr>
          <w:p w14:paraId="3BB1A694"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Journal Article</w:t>
            </w:r>
          </w:p>
        </w:tc>
        <w:tc>
          <w:tcPr>
            <w:tcW w:w="3419" w:type="dxa"/>
            <w:shd w:val="clear" w:color="auto" w:fill="auto"/>
            <w:vAlign w:val="center"/>
          </w:tcPr>
          <w:p w14:paraId="29504366"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Davidson, Peter</w:t>
            </w:r>
          </w:p>
        </w:tc>
        <w:tc>
          <w:tcPr>
            <w:tcW w:w="893" w:type="dxa"/>
            <w:shd w:val="clear" w:color="auto" w:fill="auto"/>
            <w:noWrap/>
            <w:vAlign w:val="center"/>
          </w:tcPr>
          <w:p w14:paraId="07366C69"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2020</w:t>
            </w:r>
          </w:p>
        </w:tc>
        <w:tc>
          <w:tcPr>
            <w:tcW w:w="5027" w:type="dxa"/>
            <w:shd w:val="clear" w:color="auto" w:fill="auto"/>
            <w:vAlign w:val="center"/>
          </w:tcPr>
          <w:p w14:paraId="4DE9AF24"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Inequality in Australia 2020-part 1: overview</w:t>
            </w:r>
          </w:p>
        </w:tc>
        <w:tc>
          <w:tcPr>
            <w:tcW w:w="1431" w:type="dxa"/>
            <w:shd w:val="clear" w:color="auto" w:fill="auto"/>
            <w:vAlign w:val="center"/>
          </w:tcPr>
          <w:p w14:paraId="18F0DE5C"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All</w:t>
            </w:r>
          </w:p>
        </w:tc>
        <w:tc>
          <w:tcPr>
            <w:tcW w:w="1163" w:type="dxa"/>
            <w:shd w:val="clear" w:color="auto" w:fill="auto"/>
            <w:noWrap/>
            <w:vAlign w:val="bottom"/>
          </w:tcPr>
          <w:p w14:paraId="6B8F2093"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Australia</w:t>
            </w:r>
          </w:p>
        </w:tc>
        <w:tc>
          <w:tcPr>
            <w:tcW w:w="1026" w:type="dxa"/>
            <w:shd w:val="clear" w:color="auto" w:fill="auto"/>
            <w:noWrap/>
            <w:vAlign w:val="bottom"/>
          </w:tcPr>
          <w:p w14:paraId="6CE1873C"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0</w:t>
            </w:r>
          </w:p>
        </w:tc>
      </w:tr>
      <w:tr w:rsidR="00F00E3D" w:rsidRPr="00D0634F" w14:paraId="1F3DB8B5" w14:textId="77777777" w:rsidTr="009B2FA7">
        <w:trPr>
          <w:trHeight w:val="16"/>
        </w:trPr>
        <w:tc>
          <w:tcPr>
            <w:tcW w:w="1801" w:type="dxa"/>
            <w:shd w:val="clear" w:color="auto" w:fill="auto"/>
            <w:noWrap/>
            <w:vAlign w:val="center"/>
            <w:hideMark/>
          </w:tcPr>
          <w:p w14:paraId="6893C3C0"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Report</w:t>
            </w:r>
          </w:p>
        </w:tc>
        <w:tc>
          <w:tcPr>
            <w:tcW w:w="3419" w:type="dxa"/>
            <w:shd w:val="clear" w:color="auto" w:fill="auto"/>
            <w:vAlign w:val="center"/>
            <w:hideMark/>
          </w:tcPr>
          <w:p w14:paraId="07C98BCC" w14:textId="3EDA4E19"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McManus</w:t>
            </w:r>
            <w:r w:rsidR="001D0AC0">
              <w:rPr>
                <w:rFonts w:asciiTheme="majorHAnsi" w:eastAsia="Times New Roman" w:hAnsiTheme="majorHAnsi" w:cstheme="majorHAnsi"/>
                <w:color w:val="000000"/>
                <w:lang w:eastAsia="en-GB"/>
              </w:rPr>
              <w:t>, S.</w:t>
            </w:r>
          </w:p>
        </w:tc>
        <w:tc>
          <w:tcPr>
            <w:tcW w:w="893" w:type="dxa"/>
            <w:shd w:val="clear" w:color="auto" w:fill="auto"/>
            <w:noWrap/>
            <w:vAlign w:val="center"/>
            <w:hideMark/>
          </w:tcPr>
          <w:p w14:paraId="5A04CBED"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2019</w:t>
            </w:r>
          </w:p>
        </w:tc>
        <w:tc>
          <w:tcPr>
            <w:tcW w:w="5027" w:type="dxa"/>
            <w:shd w:val="clear" w:color="auto" w:fill="auto"/>
            <w:vAlign w:val="center"/>
            <w:hideMark/>
          </w:tcPr>
          <w:p w14:paraId="0510337E"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Inequality in Australia An Economic, Social and Political Disaster - Summary</w:t>
            </w:r>
          </w:p>
        </w:tc>
        <w:tc>
          <w:tcPr>
            <w:tcW w:w="1431" w:type="dxa"/>
            <w:shd w:val="clear" w:color="auto" w:fill="auto"/>
            <w:vAlign w:val="center"/>
            <w:hideMark/>
          </w:tcPr>
          <w:p w14:paraId="59942DEE"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All</w:t>
            </w:r>
          </w:p>
        </w:tc>
        <w:tc>
          <w:tcPr>
            <w:tcW w:w="1163" w:type="dxa"/>
            <w:shd w:val="clear" w:color="auto" w:fill="auto"/>
            <w:noWrap/>
            <w:vAlign w:val="bottom"/>
            <w:hideMark/>
          </w:tcPr>
          <w:p w14:paraId="24B2F667"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Australia</w:t>
            </w:r>
          </w:p>
        </w:tc>
        <w:tc>
          <w:tcPr>
            <w:tcW w:w="1026" w:type="dxa"/>
            <w:shd w:val="clear" w:color="auto" w:fill="auto"/>
            <w:noWrap/>
            <w:vAlign w:val="bottom"/>
            <w:hideMark/>
          </w:tcPr>
          <w:p w14:paraId="00A39953" w14:textId="77777777" w:rsidR="00F00E3D" w:rsidRPr="00D0634F" w:rsidRDefault="00F00E3D" w:rsidP="001D0AC0">
            <w:pPr>
              <w:spacing w:after="0" w:line="240" w:lineRule="auto"/>
              <w:rPr>
                <w:rFonts w:asciiTheme="majorHAnsi" w:eastAsia="Times New Roman" w:hAnsiTheme="majorHAnsi" w:cstheme="majorHAnsi"/>
                <w:color w:val="000000"/>
                <w:lang w:eastAsia="en-GB"/>
              </w:rPr>
            </w:pPr>
            <w:r w:rsidRPr="00D0634F">
              <w:rPr>
                <w:rFonts w:asciiTheme="majorHAnsi" w:eastAsia="Times New Roman" w:hAnsiTheme="majorHAnsi" w:cstheme="majorHAnsi"/>
                <w:color w:val="000000"/>
                <w:lang w:eastAsia="en-GB"/>
              </w:rPr>
              <w:t>0</w:t>
            </w:r>
          </w:p>
        </w:tc>
      </w:tr>
    </w:tbl>
    <w:p w14:paraId="1DE3AA09" w14:textId="77777777" w:rsidR="00F00E3D" w:rsidRPr="00BC19B6" w:rsidRDefault="00F00E3D" w:rsidP="001D0AC0">
      <w:pPr>
        <w:spacing w:after="0" w:line="240" w:lineRule="auto"/>
        <w:rPr>
          <w:rFonts w:asciiTheme="majorHAnsi" w:eastAsia="Times New Roman" w:hAnsiTheme="majorHAnsi" w:cstheme="majorHAnsi"/>
          <w:b/>
          <w:bCs/>
          <w:color w:val="000000"/>
          <w:sz w:val="23"/>
          <w:szCs w:val="23"/>
          <w:lang w:eastAsia="en-GB"/>
        </w:rPr>
      </w:pPr>
    </w:p>
    <w:p w14:paraId="41FED5AD" w14:textId="77777777" w:rsidR="00F00E3D" w:rsidRPr="00BC19B6" w:rsidRDefault="00F00E3D" w:rsidP="001D0AC0">
      <w:pPr>
        <w:spacing w:after="0" w:line="240" w:lineRule="auto"/>
        <w:rPr>
          <w:rFonts w:asciiTheme="majorHAnsi" w:eastAsia="Times New Roman" w:hAnsiTheme="majorHAnsi" w:cstheme="majorHAnsi"/>
          <w:b/>
          <w:bCs/>
          <w:color w:val="000000"/>
          <w:sz w:val="23"/>
          <w:szCs w:val="23"/>
          <w:lang w:eastAsia="en-GB"/>
        </w:rPr>
      </w:pPr>
      <w:r w:rsidRPr="00BC19B6">
        <w:rPr>
          <w:rFonts w:asciiTheme="majorHAnsi" w:eastAsia="Times New Roman" w:hAnsiTheme="majorHAnsi" w:cstheme="majorHAnsi"/>
          <w:b/>
          <w:bCs/>
          <w:color w:val="000000"/>
          <w:sz w:val="23"/>
          <w:szCs w:val="23"/>
          <w:lang w:eastAsia="en-GB"/>
        </w:rPr>
        <w:br w:type="page"/>
      </w:r>
    </w:p>
    <w:p w14:paraId="68582B18" w14:textId="77777777" w:rsidR="00F00E3D" w:rsidRPr="00A92324" w:rsidRDefault="00F00E3D" w:rsidP="009B2FA7">
      <w:pPr>
        <w:spacing w:after="0" w:line="240" w:lineRule="auto"/>
        <w:rPr>
          <w:rFonts w:eastAsia="Times New Roman" w:cstheme="minorHAnsi"/>
          <w:b/>
          <w:bCs/>
          <w:color w:val="2F5496" w:themeColor="accent1" w:themeShade="BF"/>
          <w:sz w:val="28"/>
          <w:szCs w:val="28"/>
          <w:lang w:eastAsia="en-GB"/>
        </w:rPr>
      </w:pPr>
      <w:r w:rsidRPr="007D565A">
        <w:rPr>
          <w:rFonts w:eastAsia="Times New Roman" w:cstheme="minorHAnsi"/>
          <w:b/>
          <w:bCs/>
          <w:color w:val="2F5496" w:themeColor="accent1" w:themeShade="BF"/>
          <w:sz w:val="28"/>
          <w:szCs w:val="28"/>
          <w:lang w:eastAsia="en-GB"/>
        </w:rPr>
        <w:lastRenderedPageBreak/>
        <w:t>Table 21: Socioeconomic Factor Articles</w:t>
      </w:r>
    </w:p>
    <w:p w14:paraId="197A26C4" w14:textId="77777777" w:rsidR="00F00E3D" w:rsidRPr="00BC19B6" w:rsidRDefault="00F00E3D" w:rsidP="009B2FA7">
      <w:pPr>
        <w:spacing w:after="0" w:line="240" w:lineRule="auto"/>
        <w:rPr>
          <w:rFonts w:asciiTheme="majorHAnsi" w:eastAsia="Times New Roman" w:hAnsiTheme="majorHAnsi" w:cstheme="majorHAnsi"/>
          <w:b/>
          <w:bCs/>
          <w:color w:val="000000"/>
          <w:sz w:val="23"/>
          <w:szCs w:val="23"/>
          <w:lang w:eastAsia="en-GB"/>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2168"/>
        <w:gridCol w:w="993"/>
        <w:gridCol w:w="2835"/>
        <w:gridCol w:w="1417"/>
        <w:gridCol w:w="3199"/>
        <w:gridCol w:w="1303"/>
        <w:gridCol w:w="1026"/>
      </w:tblGrid>
      <w:tr w:rsidR="00F00E3D" w:rsidRPr="009B6110" w14:paraId="0088B9EB" w14:textId="77777777" w:rsidTr="009B2FA7">
        <w:trPr>
          <w:trHeight w:val="20"/>
        </w:trPr>
        <w:tc>
          <w:tcPr>
            <w:tcW w:w="1801" w:type="dxa"/>
            <w:shd w:val="clear" w:color="auto" w:fill="auto"/>
            <w:noWrap/>
            <w:vAlign w:val="bottom"/>
          </w:tcPr>
          <w:p w14:paraId="7E2DE805" w14:textId="77777777" w:rsidR="00F00E3D" w:rsidRPr="009B6110" w:rsidRDefault="00F00E3D" w:rsidP="009B2FA7">
            <w:pPr>
              <w:spacing w:after="0" w:line="240" w:lineRule="auto"/>
              <w:rPr>
                <w:rFonts w:eastAsia="Times New Roman" w:cstheme="minorHAnsi"/>
                <w:color w:val="000000"/>
                <w:lang w:eastAsia="en-GB"/>
              </w:rPr>
            </w:pPr>
            <w:r w:rsidRPr="009B6110">
              <w:rPr>
                <w:rFonts w:eastAsia="Times New Roman" w:cstheme="minorHAnsi"/>
                <w:b/>
                <w:bCs/>
                <w:color w:val="000000"/>
                <w:lang w:eastAsia="en-GB"/>
              </w:rPr>
              <w:t>Reference Type</w:t>
            </w:r>
          </w:p>
        </w:tc>
        <w:tc>
          <w:tcPr>
            <w:tcW w:w="2168" w:type="dxa"/>
            <w:shd w:val="clear" w:color="auto" w:fill="auto"/>
            <w:vAlign w:val="bottom"/>
          </w:tcPr>
          <w:p w14:paraId="422AF836" w14:textId="77777777" w:rsidR="00F00E3D" w:rsidRPr="009B6110" w:rsidRDefault="00F00E3D" w:rsidP="009B2FA7">
            <w:pPr>
              <w:spacing w:after="0" w:line="240" w:lineRule="auto"/>
              <w:rPr>
                <w:rFonts w:eastAsia="Times New Roman" w:cstheme="minorHAnsi"/>
                <w:color w:val="000000"/>
                <w:lang w:eastAsia="en-GB"/>
              </w:rPr>
            </w:pPr>
            <w:r w:rsidRPr="009B6110">
              <w:rPr>
                <w:rFonts w:eastAsia="Times New Roman" w:cstheme="minorHAnsi"/>
                <w:b/>
                <w:bCs/>
                <w:color w:val="000000"/>
                <w:lang w:eastAsia="en-GB"/>
              </w:rPr>
              <w:t>Author</w:t>
            </w:r>
          </w:p>
        </w:tc>
        <w:tc>
          <w:tcPr>
            <w:tcW w:w="993" w:type="dxa"/>
            <w:shd w:val="clear" w:color="auto" w:fill="auto"/>
            <w:noWrap/>
            <w:vAlign w:val="bottom"/>
          </w:tcPr>
          <w:p w14:paraId="0580F4C8" w14:textId="77777777" w:rsidR="00F00E3D" w:rsidRPr="009B6110" w:rsidRDefault="00F00E3D" w:rsidP="009B2FA7">
            <w:pPr>
              <w:spacing w:after="0" w:line="240" w:lineRule="auto"/>
              <w:jc w:val="right"/>
              <w:rPr>
                <w:rFonts w:eastAsia="Times New Roman" w:cstheme="minorHAnsi"/>
                <w:color w:val="000000"/>
                <w:lang w:eastAsia="en-GB"/>
              </w:rPr>
            </w:pPr>
            <w:r w:rsidRPr="009B6110">
              <w:rPr>
                <w:rFonts w:eastAsia="Times New Roman" w:cstheme="minorHAnsi"/>
                <w:b/>
                <w:bCs/>
                <w:color w:val="000000"/>
                <w:lang w:eastAsia="en-GB"/>
              </w:rPr>
              <w:t>Year</w:t>
            </w:r>
          </w:p>
        </w:tc>
        <w:tc>
          <w:tcPr>
            <w:tcW w:w="2835" w:type="dxa"/>
            <w:shd w:val="clear" w:color="auto" w:fill="auto"/>
            <w:vAlign w:val="bottom"/>
          </w:tcPr>
          <w:p w14:paraId="3F3B42DF" w14:textId="77777777" w:rsidR="00F00E3D" w:rsidRPr="009B6110" w:rsidRDefault="00F00E3D" w:rsidP="009B2FA7">
            <w:pPr>
              <w:spacing w:after="0" w:line="240" w:lineRule="auto"/>
              <w:rPr>
                <w:rFonts w:eastAsia="Times New Roman" w:cstheme="minorHAnsi"/>
                <w:color w:val="000000"/>
                <w:lang w:eastAsia="en-GB"/>
              </w:rPr>
            </w:pPr>
            <w:r w:rsidRPr="009B6110">
              <w:rPr>
                <w:rFonts w:eastAsia="Times New Roman" w:cstheme="minorHAnsi"/>
                <w:b/>
                <w:bCs/>
                <w:color w:val="000000"/>
                <w:lang w:eastAsia="en-GB"/>
              </w:rPr>
              <w:t>Title</w:t>
            </w:r>
          </w:p>
        </w:tc>
        <w:tc>
          <w:tcPr>
            <w:tcW w:w="1417" w:type="dxa"/>
            <w:shd w:val="clear" w:color="auto" w:fill="auto"/>
            <w:vAlign w:val="bottom"/>
          </w:tcPr>
          <w:p w14:paraId="5F8130EA" w14:textId="310D8F50" w:rsidR="00F00E3D" w:rsidRPr="009B6110" w:rsidRDefault="00D95573" w:rsidP="009B2FA7">
            <w:pPr>
              <w:spacing w:after="0" w:line="240" w:lineRule="auto"/>
              <w:rPr>
                <w:rFonts w:eastAsia="Times New Roman" w:cstheme="minorHAnsi"/>
                <w:color w:val="000000"/>
                <w:lang w:eastAsia="en-GB"/>
              </w:rPr>
            </w:pPr>
            <w:r>
              <w:rPr>
                <w:rFonts w:eastAsia="Times New Roman" w:cstheme="minorHAnsi"/>
                <w:b/>
                <w:bCs/>
                <w:color w:val="000000"/>
                <w:lang w:eastAsia="en-GB"/>
              </w:rPr>
              <w:t>Practice Domain</w:t>
            </w:r>
          </w:p>
        </w:tc>
        <w:tc>
          <w:tcPr>
            <w:tcW w:w="3199" w:type="dxa"/>
            <w:shd w:val="clear" w:color="auto" w:fill="auto"/>
            <w:vAlign w:val="bottom"/>
          </w:tcPr>
          <w:p w14:paraId="7A3E5AEB" w14:textId="77777777" w:rsidR="00F00E3D" w:rsidRPr="009B6110" w:rsidRDefault="00F00E3D" w:rsidP="009B2FA7">
            <w:pPr>
              <w:spacing w:after="0" w:line="240" w:lineRule="auto"/>
              <w:rPr>
                <w:rFonts w:eastAsia="Times New Roman" w:cstheme="minorHAnsi"/>
                <w:color w:val="000000"/>
                <w:lang w:eastAsia="en-GB"/>
              </w:rPr>
            </w:pPr>
            <w:r w:rsidRPr="009B6110">
              <w:rPr>
                <w:rFonts w:eastAsia="Times New Roman" w:cstheme="minorHAnsi"/>
                <w:b/>
                <w:bCs/>
                <w:color w:val="000000"/>
                <w:lang w:eastAsia="en-GB"/>
              </w:rPr>
              <w:t>Socioeconomic Factor</w:t>
            </w:r>
          </w:p>
        </w:tc>
        <w:tc>
          <w:tcPr>
            <w:tcW w:w="1303" w:type="dxa"/>
            <w:shd w:val="clear" w:color="auto" w:fill="auto"/>
            <w:noWrap/>
            <w:vAlign w:val="bottom"/>
          </w:tcPr>
          <w:p w14:paraId="4532E860" w14:textId="77777777" w:rsidR="00F00E3D" w:rsidRPr="009B6110" w:rsidRDefault="00F00E3D" w:rsidP="009B2FA7">
            <w:pPr>
              <w:spacing w:after="0" w:line="240" w:lineRule="auto"/>
              <w:rPr>
                <w:rFonts w:eastAsia="Times New Roman" w:cstheme="minorHAnsi"/>
                <w:color w:val="000000"/>
                <w:lang w:eastAsia="en-GB"/>
              </w:rPr>
            </w:pPr>
            <w:r w:rsidRPr="009B6110">
              <w:rPr>
                <w:rFonts w:eastAsia="Times New Roman" w:cstheme="minorHAnsi"/>
                <w:b/>
                <w:bCs/>
                <w:color w:val="000000"/>
                <w:lang w:eastAsia="en-GB"/>
              </w:rPr>
              <w:t>Country</w:t>
            </w:r>
          </w:p>
        </w:tc>
        <w:tc>
          <w:tcPr>
            <w:tcW w:w="1026" w:type="dxa"/>
            <w:shd w:val="clear" w:color="auto" w:fill="auto"/>
            <w:noWrap/>
            <w:vAlign w:val="bottom"/>
          </w:tcPr>
          <w:p w14:paraId="4D098038" w14:textId="77777777" w:rsidR="00F00E3D" w:rsidRPr="009B6110" w:rsidRDefault="00F00E3D" w:rsidP="009B2FA7">
            <w:pPr>
              <w:spacing w:after="0" w:line="240" w:lineRule="auto"/>
              <w:jc w:val="right"/>
              <w:rPr>
                <w:rFonts w:eastAsia="Times New Roman" w:cstheme="minorHAnsi"/>
                <w:color w:val="000000"/>
                <w:lang w:eastAsia="en-GB"/>
              </w:rPr>
            </w:pPr>
            <w:r w:rsidRPr="009B6110">
              <w:rPr>
                <w:rFonts w:eastAsia="Times New Roman" w:cstheme="minorHAnsi"/>
                <w:b/>
                <w:bCs/>
                <w:color w:val="000000"/>
                <w:lang w:eastAsia="en-GB"/>
              </w:rPr>
              <w:t>Citations</w:t>
            </w:r>
          </w:p>
        </w:tc>
      </w:tr>
      <w:tr w:rsidR="00F00E3D" w:rsidRPr="009B6110" w14:paraId="13F4987D" w14:textId="77777777" w:rsidTr="009B2FA7">
        <w:trPr>
          <w:trHeight w:val="20"/>
        </w:trPr>
        <w:tc>
          <w:tcPr>
            <w:tcW w:w="1801" w:type="dxa"/>
            <w:shd w:val="clear" w:color="auto" w:fill="auto"/>
            <w:noWrap/>
            <w:vAlign w:val="center"/>
          </w:tcPr>
          <w:p w14:paraId="18510A1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Book</w:t>
            </w:r>
          </w:p>
        </w:tc>
        <w:tc>
          <w:tcPr>
            <w:tcW w:w="2168" w:type="dxa"/>
            <w:shd w:val="clear" w:color="auto" w:fill="auto"/>
            <w:vAlign w:val="center"/>
          </w:tcPr>
          <w:p w14:paraId="77FDFF0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Action, Youth</w:t>
            </w:r>
          </w:p>
        </w:tc>
        <w:tc>
          <w:tcPr>
            <w:tcW w:w="993" w:type="dxa"/>
            <w:shd w:val="clear" w:color="auto" w:fill="auto"/>
            <w:noWrap/>
            <w:vAlign w:val="center"/>
          </w:tcPr>
          <w:p w14:paraId="662CDA76"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2018</w:t>
            </w:r>
          </w:p>
        </w:tc>
        <w:tc>
          <w:tcPr>
            <w:tcW w:w="2835" w:type="dxa"/>
            <w:shd w:val="clear" w:color="auto" w:fill="auto"/>
            <w:vAlign w:val="center"/>
          </w:tcPr>
          <w:p w14:paraId="61C5C44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Inequality in Australia: a young person’s perspective</w:t>
            </w:r>
          </w:p>
        </w:tc>
        <w:tc>
          <w:tcPr>
            <w:tcW w:w="1417" w:type="dxa"/>
            <w:shd w:val="clear" w:color="auto" w:fill="auto"/>
            <w:vAlign w:val="center"/>
          </w:tcPr>
          <w:p w14:paraId="7B0872D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bottom"/>
          </w:tcPr>
          <w:p w14:paraId="0E2BB7F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Affordable Housing, Education Funding, Government Policy, Access to Employment</w:t>
            </w:r>
          </w:p>
        </w:tc>
        <w:tc>
          <w:tcPr>
            <w:tcW w:w="1303" w:type="dxa"/>
            <w:shd w:val="clear" w:color="auto" w:fill="auto"/>
            <w:noWrap/>
            <w:vAlign w:val="bottom"/>
          </w:tcPr>
          <w:p w14:paraId="3E3E632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7A6F1E91"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w:t>
            </w:r>
          </w:p>
        </w:tc>
      </w:tr>
      <w:tr w:rsidR="00F00E3D" w:rsidRPr="009B6110" w14:paraId="3FB4EB17" w14:textId="77777777" w:rsidTr="009B2FA7">
        <w:trPr>
          <w:trHeight w:val="20"/>
        </w:trPr>
        <w:tc>
          <w:tcPr>
            <w:tcW w:w="1801" w:type="dxa"/>
            <w:shd w:val="clear" w:color="auto" w:fill="auto"/>
            <w:noWrap/>
            <w:vAlign w:val="center"/>
          </w:tcPr>
          <w:p w14:paraId="298AB7F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49C086A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August, M.</w:t>
            </w:r>
          </w:p>
        </w:tc>
        <w:tc>
          <w:tcPr>
            <w:tcW w:w="993" w:type="dxa"/>
            <w:shd w:val="clear" w:color="auto" w:fill="auto"/>
            <w:noWrap/>
            <w:vAlign w:val="center"/>
          </w:tcPr>
          <w:p w14:paraId="79FA7B2C"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2014</w:t>
            </w:r>
          </w:p>
        </w:tc>
        <w:tc>
          <w:tcPr>
            <w:tcW w:w="2835" w:type="dxa"/>
            <w:shd w:val="clear" w:color="auto" w:fill="auto"/>
            <w:vAlign w:val="center"/>
          </w:tcPr>
          <w:p w14:paraId="1954444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Challenging the rhetoric of stigmatization: The benefits of concentrated poverty in Toronto’s Regent Park</w:t>
            </w:r>
          </w:p>
        </w:tc>
        <w:tc>
          <w:tcPr>
            <w:tcW w:w="1417" w:type="dxa"/>
            <w:shd w:val="clear" w:color="auto" w:fill="auto"/>
            <w:vAlign w:val="center"/>
          </w:tcPr>
          <w:p w14:paraId="50CBB32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bottom"/>
          </w:tcPr>
          <w:p w14:paraId="31A4BFD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Access to Facilities, Access to Services, Quality of Social Networks, Physical Environment</w:t>
            </w:r>
          </w:p>
        </w:tc>
        <w:tc>
          <w:tcPr>
            <w:tcW w:w="1303" w:type="dxa"/>
            <w:shd w:val="clear" w:color="auto" w:fill="auto"/>
            <w:noWrap/>
            <w:vAlign w:val="bottom"/>
          </w:tcPr>
          <w:p w14:paraId="185FE7A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Canada</w:t>
            </w:r>
          </w:p>
        </w:tc>
        <w:tc>
          <w:tcPr>
            <w:tcW w:w="1026" w:type="dxa"/>
            <w:shd w:val="clear" w:color="auto" w:fill="auto"/>
            <w:noWrap/>
            <w:vAlign w:val="center"/>
          </w:tcPr>
          <w:p w14:paraId="3245ED7F"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66</w:t>
            </w:r>
          </w:p>
        </w:tc>
      </w:tr>
      <w:tr w:rsidR="00F00E3D" w:rsidRPr="009B6110" w14:paraId="3AB9FBF6" w14:textId="77777777" w:rsidTr="009B2FA7">
        <w:trPr>
          <w:trHeight w:val="20"/>
        </w:trPr>
        <w:tc>
          <w:tcPr>
            <w:tcW w:w="1801" w:type="dxa"/>
            <w:shd w:val="clear" w:color="auto" w:fill="auto"/>
            <w:noWrap/>
            <w:vAlign w:val="center"/>
          </w:tcPr>
          <w:p w14:paraId="1AABB5E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Book</w:t>
            </w:r>
          </w:p>
        </w:tc>
        <w:tc>
          <w:tcPr>
            <w:tcW w:w="2168" w:type="dxa"/>
            <w:shd w:val="clear" w:color="auto" w:fill="auto"/>
            <w:vAlign w:val="center"/>
          </w:tcPr>
          <w:p w14:paraId="486E7C5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Bramley, G.; Bailey, N.</w:t>
            </w:r>
          </w:p>
        </w:tc>
        <w:tc>
          <w:tcPr>
            <w:tcW w:w="993" w:type="dxa"/>
            <w:shd w:val="clear" w:color="auto" w:fill="auto"/>
            <w:noWrap/>
            <w:vAlign w:val="center"/>
          </w:tcPr>
          <w:p w14:paraId="51A5077F"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2017</w:t>
            </w:r>
          </w:p>
        </w:tc>
        <w:tc>
          <w:tcPr>
            <w:tcW w:w="2835" w:type="dxa"/>
            <w:shd w:val="clear" w:color="auto" w:fill="auto"/>
            <w:vAlign w:val="center"/>
          </w:tcPr>
          <w:p w14:paraId="431D709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Poverty and social exclusion in the UK: Volume 2 - The dimensions of disadvantage</w:t>
            </w:r>
          </w:p>
        </w:tc>
        <w:tc>
          <w:tcPr>
            <w:tcW w:w="1417" w:type="dxa"/>
            <w:shd w:val="clear" w:color="auto" w:fill="auto"/>
            <w:vAlign w:val="center"/>
          </w:tcPr>
          <w:p w14:paraId="5B747E4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center"/>
          </w:tcPr>
          <w:p w14:paraId="1F1D89E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Income, Access to Services, Access to Employment, Quality of Social Networks, Social Capital, Individual Health </w:t>
            </w:r>
          </w:p>
        </w:tc>
        <w:tc>
          <w:tcPr>
            <w:tcW w:w="1303" w:type="dxa"/>
            <w:shd w:val="clear" w:color="auto" w:fill="auto"/>
            <w:noWrap/>
            <w:vAlign w:val="bottom"/>
          </w:tcPr>
          <w:p w14:paraId="4B40B63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UK</w:t>
            </w:r>
          </w:p>
        </w:tc>
        <w:tc>
          <w:tcPr>
            <w:tcW w:w="1026" w:type="dxa"/>
            <w:shd w:val="clear" w:color="auto" w:fill="auto"/>
            <w:noWrap/>
            <w:vAlign w:val="center"/>
          </w:tcPr>
          <w:p w14:paraId="0C9B3E84"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12</w:t>
            </w:r>
          </w:p>
        </w:tc>
      </w:tr>
      <w:tr w:rsidR="00F00E3D" w:rsidRPr="009B6110" w14:paraId="325708D5" w14:textId="77777777" w:rsidTr="009B2FA7">
        <w:trPr>
          <w:trHeight w:val="20"/>
        </w:trPr>
        <w:tc>
          <w:tcPr>
            <w:tcW w:w="1801" w:type="dxa"/>
            <w:shd w:val="clear" w:color="auto" w:fill="auto"/>
            <w:noWrap/>
            <w:vAlign w:val="center"/>
          </w:tcPr>
          <w:p w14:paraId="0C03D41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09EBB03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Bretherton, Joanne; Pleace, Nicholas</w:t>
            </w:r>
          </w:p>
        </w:tc>
        <w:tc>
          <w:tcPr>
            <w:tcW w:w="993" w:type="dxa"/>
            <w:shd w:val="clear" w:color="auto" w:fill="auto"/>
            <w:noWrap/>
            <w:vAlign w:val="center"/>
          </w:tcPr>
          <w:p w14:paraId="31D453F3"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2011</w:t>
            </w:r>
          </w:p>
        </w:tc>
        <w:tc>
          <w:tcPr>
            <w:tcW w:w="2835" w:type="dxa"/>
            <w:shd w:val="clear" w:color="auto" w:fill="auto"/>
            <w:vAlign w:val="center"/>
          </w:tcPr>
          <w:p w14:paraId="39A5519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 Difficult Mix: Issues in Achieving Socioeconomic Diversity in Deprived UK Neighbourhoods</w:t>
            </w:r>
          </w:p>
        </w:tc>
        <w:tc>
          <w:tcPr>
            <w:tcW w:w="1417" w:type="dxa"/>
            <w:shd w:val="clear" w:color="auto" w:fill="auto"/>
            <w:vAlign w:val="center"/>
          </w:tcPr>
          <w:p w14:paraId="1636FBA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center"/>
          </w:tcPr>
          <w:p w14:paraId="5661C0B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Social Diversity</w:t>
            </w:r>
          </w:p>
        </w:tc>
        <w:tc>
          <w:tcPr>
            <w:tcW w:w="1303" w:type="dxa"/>
            <w:shd w:val="clear" w:color="auto" w:fill="auto"/>
            <w:noWrap/>
            <w:vAlign w:val="bottom"/>
          </w:tcPr>
          <w:p w14:paraId="7F2AEE0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UK</w:t>
            </w:r>
          </w:p>
        </w:tc>
        <w:tc>
          <w:tcPr>
            <w:tcW w:w="1026" w:type="dxa"/>
            <w:shd w:val="clear" w:color="auto" w:fill="auto"/>
            <w:noWrap/>
            <w:vAlign w:val="bottom"/>
          </w:tcPr>
          <w:p w14:paraId="2CFAF35D"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56</w:t>
            </w:r>
          </w:p>
        </w:tc>
      </w:tr>
      <w:tr w:rsidR="00F00E3D" w:rsidRPr="009B6110" w14:paraId="26F74B87" w14:textId="77777777" w:rsidTr="009B2FA7">
        <w:trPr>
          <w:trHeight w:val="20"/>
        </w:trPr>
        <w:tc>
          <w:tcPr>
            <w:tcW w:w="1801" w:type="dxa"/>
            <w:shd w:val="clear" w:color="auto" w:fill="auto"/>
            <w:noWrap/>
            <w:vAlign w:val="center"/>
          </w:tcPr>
          <w:p w14:paraId="4FFAA93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5E3BB5D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Clark, William A. V.; van Ham, Maarten; Coulter, Rory</w:t>
            </w:r>
          </w:p>
        </w:tc>
        <w:tc>
          <w:tcPr>
            <w:tcW w:w="993" w:type="dxa"/>
            <w:shd w:val="clear" w:color="auto" w:fill="auto"/>
            <w:noWrap/>
            <w:vAlign w:val="center"/>
          </w:tcPr>
          <w:p w14:paraId="33BCF9A3"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2014</w:t>
            </w:r>
          </w:p>
        </w:tc>
        <w:tc>
          <w:tcPr>
            <w:tcW w:w="2835" w:type="dxa"/>
            <w:shd w:val="clear" w:color="auto" w:fill="auto"/>
            <w:vAlign w:val="center"/>
          </w:tcPr>
          <w:p w14:paraId="73C1C2F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Spatial mobility and social outcomes</w:t>
            </w:r>
          </w:p>
        </w:tc>
        <w:tc>
          <w:tcPr>
            <w:tcW w:w="1417" w:type="dxa"/>
            <w:shd w:val="clear" w:color="auto" w:fill="auto"/>
            <w:vAlign w:val="center"/>
          </w:tcPr>
          <w:p w14:paraId="6B60AAD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center"/>
          </w:tcPr>
          <w:p w14:paraId="768797F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Residential Mobility</w:t>
            </w:r>
          </w:p>
        </w:tc>
        <w:tc>
          <w:tcPr>
            <w:tcW w:w="1303" w:type="dxa"/>
            <w:shd w:val="clear" w:color="auto" w:fill="auto"/>
            <w:noWrap/>
            <w:vAlign w:val="bottom"/>
          </w:tcPr>
          <w:p w14:paraId="4ADD6A5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UK</w:t>
            </w:r>
          </w:p>
        </w:tc>
        <w:tc>
          <w:tcPr>
            <w:tcW w:w="1026" w:type="dxa"/>
            <w:shd w:val="clear" w:color="auto" w:fill="auto"/>
            <w:noWrap/>
            <w:vAlign w:val="bottom"/>
          </w:tcPr>
          <w:p w14:paraId="2B4591CE"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71</w:t>
            </w:r>
          </w:p>
        </w:tc>
      </w:tr>
      <w:tr w:rsidR="00F00E3D" w:rsidRPr="009B6110" w14:paraId="127F9D08" w14:textId="77777777" w:rsidTr="009B2FA7">
        <w:trPr>
          <w:trHeight w:val="20"/>
        </w:trPr>
        <w:tc>
          <w:tcPr>
            <w:tcW w:w="1801" w:type="dxa"/>
            <w:shd w:val="clear" w:color="auto" w:fill="auto"/>
            <w:noWrap/>
            <w:vAlign w:val="center"/>
          </w:tcPr>
          <w:p w14:paraId="78193CA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7B38BED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Cobb-Clark, Deborah A</w:t>
            </w:r>
          </w:p>
        </w:tc>
        <w:tc>
          <w:tcPr>
            <w:tcW w:w="993" w:type="dxa"/>
            <w:shd w:val="clear" w:color="auto" w:fill="auto"/>
            <w:noWrap/>
            <w:vAlign w:val="center"/>
          </w:tcPr>
          <w:p w14:paraId="4AFF0937"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2019</w:t>
            </w:r>
          </w:p>
        </w:tc>
        <w:tc>
          <w:tcPr>
            <w:tcW w:w="2835" w:type="dxa"/>
            <w:shd w:val="clear" w:color="auto" w:fill="auto"/>
            <w:vAlign w:val="center"/>
          </w:tcPr>
          <w:p w14:paraId="3511503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Intergenerational transmission of disadvantage in Australia</w:t>
            </w:r>
          </w:p>
        </w:tc>
        <w:tc>
          <w:tcPr>
            <w:tcW w:w="1417" w:type="dxa"/>
            <w:shd w:val="clear" w:color="auto" w:fill="auto"/>
            <w:vAlign w:val="center"/>
          </w:tcPr>
          <w:p w14:paraId="743FCBA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bottom"/>
          </w:tcPr>
          <w:p w14:paraId="4E75FA2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Intergenerational Transmission of Disadvantage</w:t>
            </w:r>
          </w:p>
        </w:tc>
        <w:tc>
          <w:tcPr>
            <w:tcW w:w="1303" w:type="dxa"/>
            <w:shd w:val="clear" w:color="auto" w:fill="auto"/>
            <w:noWrap/>
            <w:vAlign w:val="bottom"/>
          </w:tcPr>
          <w:p w14:paraId="1F0979B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498F1E06"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w:t>
            </w:r>
          </w:p>
        </w:tc>
      </w:tr>
      <w:tr w:rsidR="00F00E3D" w:rsidRPr="009B6110" w14:paraId="7B955B6F" w14:textId="77777777" w:rsidTr="009B2FA7">
        <w:trPr>
          <w:trHeight w:val="20"/>
        </w:trPr>
        <w:tc>
          <w:tcPr>
            <w:tcW w:w="1801" w:type="dxa"/>
            <w:shd w:val="clear" w:color="auto" w:fill="auto"/>
            <w:noWrap/>
            <w:vAlign w:val="center"/>
          </w:tcPr>
          <w:p w14:paraId="44B7EF0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Book</w:t>
            </w:r>
          </w:p>
        </w:tc>
        <w:tc>
          <w:tcPr>
            <w:tcW w:w="2168" w:type="dxa"/>
            <w:shd w:val="clear" w:color="auto" w:fill="auto"/>
            <w:vAlign w:val="center"/>
          </w:tcPr>
          <w:p w14:paraId="5F58F4E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Commission, Australian Government-Productivity</w:t>
            </w:r>
          </w:p>
        </w:tc>
        <w:tc>
          <w:tcPr>
            <w:tcW w:w="993" w:type="dxa"/>
            <w:shd w:val="clear" w:color="auto" w:fill="auto"/>
            <w:noWrap/>
            <w:vAlign w:val="center"/>
          </w:tcPr>
          <w:p w14:paraId="72B8C95D"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2018</w:t>
            </w:r>
          </w:p>
        </w:tc>
        <w:tc>
          <w:tcPr>
            <w:tcW w:w="2835" w:type="dxa"/>
            <w:shd w:val="clear" w:color="auto" w:fill="auto"/>
            <w:vAlign w:val="center"/>
          </w:tcPr>
          <w:p w14:paraId="3611E78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Rising inequality? A stocktake of the evidence</w:t>
            </w:r>
          </w:p>
        </w:tc>
        <w:tc>
          <w:tcPr>
            <w:tcW w:w="1417" w:type="dxa"/>
            <w:shd w:val="clear" w:color="auto" w:fill="auto"/>
            <w:vAlign w:val="center"/>
          </w:tcPr>
          <w:p w14:paraId="67EAF6E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bottom"/>
          </w:tcPr>
          <w:p w14:paraId="3C101C1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Education Level, Educational Opportunity, Personal Motivation</w:t>
            </w:r>
          </w:p>
        </w:tc>
        <w:tc>
          <w:tcPr>
            <w:tcW w:w="1303" w:type="dxa"/>
            <w:shd w:val="clear" w:color="auto" w:fill="auto"/>
            <w:noWrap/>
            <w:vAlign w:val="bottom"/>
          </w:tcPr>
          <w:p w14:paraId="5111B1E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2EE3FE09"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21</w:t>
            </w:r>
          </w:p>
        </w:tc>
      </w:tr>
      <w:tr w:rsidR="00F00E3D" w:rsidRPr="009B6110" w14:paraId="2B0F6115" w14:textId="77777777" w:rsidTr="009B2FA7">
        <w:trPr>
          <w:trHeight w:val="20"/>
        </w:trPr>
        <w:tc>
          <w:tcPr>
            <w:tcW w:w="1801" w:type="dxa"/>
            <w:shd w:val="clear" w:color="auto" w:fill="auto"/>
            <w:noWrap/>
            <w:vAlign w:val="center"/>
          </w:tcPr>
          <w:p w14:paraId="2BE1AC0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Book</w:t>
            </w:r>
          </w:p>
        </w:tc>
        <w:tc>
          <w:tcPr>
            <w:tcW w:w="2168" w:type="dxa"/>
            <w:shd w:val="clear" w:color="auto" w:fill="auto"/>
            <w:vAlign w:val="center"/>
          </w:tcPr>
          <w:p w14:paraId="0B92834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Commission, Australian Government-Productivity</w:t>
            </w:r>
          </w:p>
        </w:tc>
        <w:tc>
          <w:tcPr>
            <w:tcW w:w="993" w:type="dxa"/>
            <w:shd w:val="clear" w:color="auto" w:fill="auto"/>
            <w:noWrap/>
            <w:vAlign w:val="center"/>
          </w:tcPr>
          <w:p w14:paraId="0EC42899"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2018</w:t>
            </w:r>
          </w:p>
        </w:tc>
        <w:tc>
          <w:tcPr>
            <w:tcW w:w="2835" w:type="dxa"/>
            <w:shd w:val="clear" w:color="auto" w:fill="auto"/>
            <w:vAlign w:val="center"/>
          </w:tcPr>
          <w:p w14:paraId="1656203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Rising inequality? A stocktake of the evidence: Highlights</w:t>
            </w:r>
          </w:p>
        </w:tc>
        <w:tc>
          <w:tcPr>
            <w:tcW w:w="1417" w:type="dxa"/>
            <w:shd w:val="clear" w:color="auto" w:fill="auto"/>
            <w:vAlign w:val="center"/>
          </w:tcPr>
          <w:p w14:paraId="011EC56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bottom"/>
          </w:tcPr>
          <w:p w14:paraId="14870D8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Income</w:t>
            </w:r>
          </w:p>
        </w:tc>
        <w:tc>
          <w:tcPr>
            <w:tcW w:w="1303" w:type="dxa"/>
            <w:shd w:val="clear" w:color="auto" w:fill="auto"/>
            <w:noWrap/>
            <w:vAlign w:val="bottom"/>
          </w:tcPr>
          <w:p w14:paraId="1C1FC8F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0A6DA2E8"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21</w:t>
            </w:r>
          </w:p>
        </w:tc>
      </w:tr>
      <w:tr w:rsidR="00F00E3D" w:rsidRPr="009B6110" w14:paraId="0F2A2A59" w14:textId="77777777" w:rsidTr="009B2FA7">
        <w:trPr>
          <w:trHeight w:val="20"/>
        </w:trPr>
        <w:tc>
          <w:tcPr>
            <w:tcW w:w="1801" w:type="dxa"/>
            <w:shd w:val="clear" w:color="auto" w:fill="auto"/>
            <w:noWrap/>
            <w:vAlign w:val="center"/>
          </w:tcPr>
          <w:p w14:paraId="080C26B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lastRenderedPageBreak/>
              <w:t>Journal Article</w:t>
            </w:r>
          </w:p>
        </w:tc>
        <w:tc>
          <w:tcPr>
            <w:tcW w:w="2168" w:type="dxa"/>
            <w:shd w:val="clear" w:color="auto" w:fill="auto"/>
            <w:vAlign w:val="center"/>
          </w:tcPr>
          <w:p w14:paraId="55358ED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Crisp, R.; Pearson, S.; Gore, T.</w:t>
            </w:r>
          </w:p>
        </w:tc>
        <w:tc>
          <w:tcPr>
            <w:tcW w:w="993" w:type="dxa"/>
            <w:shd w:val="clear" w:color="auto" w:fill="auto"/>
            <w:noWrap/>
            <w:vAlign w:val="center"/>
          </w:tcPr>
          <w:p w14:paraId="02B575DC"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2015</w:t>
            </w:r>
          </w:p>
        </w:tc>
        <w:tc>
          <w:tcPr>
            <w:tcW w:w="2835" w:type="dxa"/>
            <w:shd w:val="clear" w:color="auto" w:fill="auto"/>
            <w:vAlign w:val="center"/>
          </w:tcPr>
          <w:p w14:paraId="0677271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Rethinking the impact of regeneration on poverty: A (partial) defence of a 'failed' policy</w:t>
            </w:r>
          </w:p>
        </w:tc>
        <w:tc>
          <w:tcPr>
            <w:tcW w:w="1417" w:type="dxa"/>
            <w:shd w:val="clear" w:color="auto" w:fill="auto"/>
            <w:vAlign w:val="center"/>
          </w:tcPr>
          <w:p w14:paraId="2422FFE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center"/>
          </w:tcPr>
          <w:p w14:paraId="6DC06FB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Neighbourhood Safety, Physical Environment</w:t>
            </w:r>
          </w:p>
        </w:tc>
        <w:tc>
          <w:tcPr>
            <w:tcW w:w="1303" w:type="dxa"/>
            <w:shd w:val="clear" w:color="auto" w:fill="auto"/>
            <w:noWrap/>
            <w:vAlign w:val="bottom"/>
          </w:tcPr>
          <w:p w14:paraId="0A8AA78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England</w:t>
            </w:r>
          </w:p>
        </w:tc>
        <w:tc>
          <w:tcPr>
            <w:tcW w:w="1026" w:type="dxa"/>
            <w:shd w:val="clear" w:color="auto" w:fill="auto"/>
            <w:noWrap/>
            <w:vAlign w:val="center"/>
          </w:tcPr>
          <w:p w14:paraId="04496812"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5</w:t>
            </w:r>
          </w:p>
        </w:tc>
      </w:tr>
      <w:tr w:rsidR="00F00E3D" w:rsidRPr="009B6110" w14:paraId="2525E935" w14:textId="77777777" w:rsidTr="009B2FA7">
        <w:trPr>
          <w:trHeight w:val="20"/>
        </w:trPr>
        <w:tc>
          <w:tcPr>
            <w:tcW w:w="1801" w:type="dxa"/>
            <w:shd w:val="clear" w:color="auto" w:fill="auto"/>
            <w:noWrap/>
            <w:vAlign w:val="center"/>
          </w:tcPr>
          <w:p w14:paraId="5FA7477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Book</w:t>
            </w:r>
          </w:p>
        </w:tc>
        <w:tc>
          <w:tcPr>
            <w:tcW w:w="2168" w:type="dxa"/>
            <w:shd w:val="clear" w:color="auto" w:fill="auto"/>
            <w:vAlign w:val="center"/>
          </w:tcPr>
          <w:p w14:paraId="2F6D5D6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Davidson, Peter; Bradbury, Bruce; Wong, Melissa; et al.</w:t>
            </w:r>
          </w:p>
        </w:tc>
        <w:tc>
          <w:tcPr>
            <w:tcW w:w="993" w:type="dxa"/>
            <w:shd w:val="clear" w:color="auto" w:fill="auto"/>
            <w:noWrap/>
            <w:vAlign w:val="center"/>
          </w:tcPr>
          <w:p w14:paraId="11A3E7BF"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2020</w:t>
            </w:r>
          </w:p>
        </w:tc>
        <w:tc>
          <w:tcPr>
            <w:tcW w:w="2835" w:type="dxa"/>
            <w:shd w:val="clear" w:color="auto" w:fill="auto"/>
            <w:vAlign w:val="center"/>
          </w:tcPr>
          <w:p w14:paraId="57FE42E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Inequality in Australia 2020: Factsheet</w:t>
            </w:r>
          </w:p>
        </w:tc>
        <w:tc>
          <w:tcPr>
            <w:tcW w:w="1417" w:type="dxa"/>
            <w:shd w:val="clear" w:color="auto" w:fill="auto"/>
            <w:vAlign w:val="center"/>
          </w:tcPr>
          <w:p w14:paraId="5058B04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bottom"/>
          </w:tcPr>
          <w:p w14:paraId="756FFF1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N/A</w:t>
            </w:r>
          </w:p>
        </w:tc>
        <w:tc>
          <w:tcPr>
            <w:tcW w:w="1303" w:type="dxa"/>
            <w:shd w:val="clear" w:color="auto" w:fill="auto"/>
            <w:noWrap/>
            <w:vAlign w:val="bottom"/>
          </w:tcPr>
          <w:p w14:paraId="6499168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600118EB"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0</w:t>
            </w:r>
          </w:p>
        </w:tc>
      </w:tr>
      <w:tr w:rsidR="00F00E3D" w:rsidRPr="009B6110" w14:paraId="1DFCD0B2" w14:textId="77777777" w:rsidTr="009B2FA7">
        <w:trPr>
          <w:trHeight w:val="20"/>
        </w:trPr>
        <w:tc>
          <w:tcPr>
            <w:tcW w:w="1801" w:type="dxa"/>
            <w:shd w:val="clear" w:color="auto" w:fill="auto"/>
            <w:noWrap/>
            <w:vAlign w:val="center"/>
          </w:tcPr>
          <w:p w14:paraId="3A70571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02C9059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Davidson, Peter; Bradbury, Bruce; Wong, Melissa; Hill, Trish</w:t>
            </w:r>
          </w:p>
        </w:tc>
        <w:tc>
          <w:tcPr>
            <w:tcW w:w="993" w:type="dxa"/>
            <w:shd w:val="clear" w:color="auto" w:fill="auto"/>
            <w:noWrap/>
            <w:vAlign w:val="center"/>
          </w:tcPr>
          <w:p w14:paraId="74E8203C"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2020</w:t>
            </w:r>
          </w:p>
        </w:tc>
        <w:tc>
          <w:tcPr>
            <w:tcW w:w="2835" w:type="dxa"/>
            <w:shd w:val="clear" w:color="auto" w:fill="auto"/>
            <w:vAlign w:val="center"/>
          </w:tcPr>
          <w:p w14:paraId="0829885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Poverty in Australia 2020-part 1: overview</w:t>
            </w:r>
          </w:p>
        </w:tc>
        <w:tc>
          <w:tcPr>
            <w:tcW w:w="1417" w:type="dxa"/>
            <w:shd w:val="clear" w:color="auto" w:fill="auto"/>
            <w:vAlign w:val="center"/>
          </w:tcPr>
          <w:p w14:paraId="3C60942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bottom"/>
          </w:tcPr>
          <w:p w14:paraId="601F68A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Affordable Housing, Intergenerational transmission of disadvantage</w:t>
            </w:r>
          </w:p>
        </w:tc>
        <w:tc>
          <w:tcPr>
            <w:tcW w:w="1303" w:type="dxa"/>
            <w:shd w:val="clear" w:color="auto" w:fill="auto"/>
            <w:noWrap/>
            <w:vAlign w:val="bottom"/>
          </w:tcPr>
          <w:p w14:paraId="2FFE2D5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451DA983"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19</w:t>
            </w:r>
          </w:p>
        </w:tc>
      </w:tr>
      <w:tr w:rsidR="00F00E3D" w:rsidRPr="009B6110" w14:paraId="02C57E8E" w14:textId="77777777" w:rsidTr="009B2FA7">
        <w:trPr>
          <w:trHeight w:val="20"/>
        </w:trPr>
        <w:tc>
          <w:tcPr>
            <w:tcW w:w="1801" w:type="dxa"/>
            <w:shd w:val="clear" w:color="auto" w:fill="auto"/>
            <w:noWrap/>
            <w:vAlign w:val="center"/>
          </w:tcPr>
          <w:p w14:paraId="06DF08C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35611C3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Exeter, D. J.; Zhao, J.; Crengle, S.; Lee, A.; Browne, M.</w:t>
            </w:r>
          </w:p>
        </w:tc>
        <w:tc>
          <w:tcPr>
            <w:tcW w:w="993" w:type="dxa"/>
            <w:shd w:val="clear" w:color="auto" w:fill="auto"/>
            <w:noWrap/>
            <w:vAlign w:val="center"/>
          </w:tcPr>
          <w:p w14:paraId="6983C32A"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2017</w:t>
            </w:r>
          </w:p>
        </w:tc>
        <w:tc>
          <w:tcPr>
            <w:tcW w:w="2835" w:type="dxa"/>
            <w:shd w:val="clear" w:color="auto" w:fill="auto"/>
            <w:vAlign w:val="center"/>
          </w:tcPr>
          <w:p w14:paraId="7EE31F0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The New Zealand Indices of Multiple Deprivation (IMD): A new suite of indicators for social and health research in Aotearoa, New Zealand</w:t>
            </w:r>
          </w:p>
        </w:tc>
        <w:tc>
          <w:tcPr>
            <w:tcW w:w="1417" w:type="dxa"/>
            <w:shd w:val="clear" w:color="auto" w:fill="auto"/>
            <w:vAlign w:val="center"/>
          </w:tcPr>
          <w:p w14:paraId="6A29A07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bottom"/>
          </w:tcPr>
          <w:p w14:paraId="59FEB28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Employment; Income; Crime; Housing; Individual Health; Education Level; Access to Services</w:t>
            </w:r>
          </w:p>
        </w:tc>
        <w:tc>
          <w:tcPr>
            <w:tcW w:w="1303" w:type="dxa"/>
            <w:shd w:val="clear" w:color="auto" w:fill="auto"/>
            <w:noWrap/>
            <w:vAlign w:val="bottom"/>
          </w:tcPr>
          <w:p w14:paraId="1B14AE9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New Zealand</w:t>
            </w:r>
          </w:p>
        </w:tc>
        <w:tc>
          <w:tcPr>
            <w:tcW w:w="1026" w:type="dxa"/>
            <w:shd w:val="clear" w:color="auto" w:fill="auto"/>
            <w:noWrap/>
            <w:vAlign w:val="center"/>
          </w:tcPr>
          <w:p w14:paraId="037A3810"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37</w:t>
            </w:r>
          </w:p>
        </w:tc>
      </w:tr>
      <w:tr w:rsidR="00F00E3D" w:rsidRPr="009B6110" w14:paraId="7BD5A6F2" w14:textId="77777777" w:rsidTr="009B2FA7">
        <w:trPr>
          <w:trHeight w:val="20"/>
        </w:trPr>
        <w:tc>
          <w:tcPr>
            <w:tcW w:w="1801" w:type="dxa"/>
            <w:shd w:val="clear" w:color="auto" w:fill="auto"/>
            <w:noWrap/>
            <w:vAlign w:val="center"/>
          </w:tcPr>
          <w:p w14:paraId="6D94BEA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Report</w:t>
            </w:r>
          </w:p>
        </w:tc>
        <w:tc>
          <w:tcPr>
            <w:tcW w:w="2168" w:type="dxa"/>
            <w:shd w:val="clear" w:color="auto" w:fill="auto"/>
            <w:vAlign w:val="center"/>
          </w:tcPr>
          <w:p w14:paraId="7E63589F" w14:textId="77777777" w:rsidR="00F00E3D" w:rsidRPr="009B6110" w:rsidRDefault="00F00E3D" w:rsidP="009B2FA7">
            <w:pPr>
              <w:spacing w:after="0" w:line="240" w:lineRule="auto"/>
              <w:rPr>
                <w:rFonts w:asciiTheme="majorHAnsi" w:hAnsiTheme="majorHAnsi" w:cstheme="majorHAnsi"/>
                <w:color w:val="000000"/>
              </w:rPr>
            </w:pPr>
            <w:r w:rsidRPr="009B6110">
              <w:rPr>
                <w:rFonts w:asciiTheme="majorHAnsi" w:hAnsiTheme="majorHAnsi" w:cstheme="majorHAnsi"/>
                <w:color w:val="000000"/>
              </w:rPr>
              <w:t>Australian Institute of Health</w:t>
            </w:r>
          </w:p>
          <w:p w14:paraId="444BCD0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Welfare</w:t>
            </w:r>
          </w:p>
        </w:tc>
        <w:tc>
          <w:tcPr>
            <w:tcW w:w="993" w:type="dxa"/>
            <w:shd w:val="clear" w:color="auto" w:fill="auto"/>
            <w:noWrap/>
            <w:vAlign w:val="center"/>
          </w:tcPr>
          <w:p w14:paraId="2B04D2AB"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2019</w:t>
            </w:r>
          </w:p>
        </w:tc>
        <w:tc>
          <w:tcPr>
            <w:tcW w:w="2835" w:type="dxa"/>
            <w:shd w:val="clear" w:color="auto" w:fill="auto"/>
            <w:vAlign w:val="center"/>
          </w:tcPr>
          <w:p w14:paraId="7312B72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Australia's welfare 2019: snapshots</w:t>
            </w:r>
          </w:p>
        </w:tc>
        <w:tc>
          <w:tcPr>
            <w:tcW w:w="1417" w:type="dxa"/>
            <w:shd w:val="clear" w:color="auto" w:fill="auto"/>
            <w:vAlign w:val="center"/>
          </w:tcPr>
          <w:p w14:paraId="3008FC2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bottom"/>
          </w:tcPr>
          <w:p w14:paraId="63BE4BC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Employment, Skills, Individual Health, Neighbourhood Safety, Social Engagement, Education Level</w:t>
            </w:r>
          </w:p>
        </w:tc>
        <w:tc>
          <w:tcPr>
            <w:tcW w:w="1303" w:type="dxa"/>
            <w:shd w:val="clear" w:color="auto" w:fill="auto"/>
            <w:noWrap/>
            <w:vAlign w:val="bottom"/>
          </w:tcPr>
          <w:p w14:paraId="166E8C9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2A14D254"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w:t>
            </w:r>
          </w:p>
        </w:tc>
      </w:tr>
      <w:tr w:rsidR="00F00E3D" w:rsidRPr="009B6110" w14:paraId="073F92CC" w14:textId="77777777" w:rsidTr="009B2FA7">
        <w:trPr>
          <w:trHeight w:val="20"/>
        </w:trPr>
        <w:tc>
          <w:tcPr>
            <w:tcW w:w="1801" w:type="dxa"/>
            <w:shd w:val="clear" w:color="auto" w:fill="auto"/>
            <w:noWrap/>
            <w:vAlign w:val="center"/>
          </w:tcPr>
          <w:p w14:paraId="4E72883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1AE0EBB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Lens, M. C.</w:t>
            </w:r>
          </w:p>
        </w:tc>
        <w:tc>
          <w:tcPr>
            <w:tcW w:w="993" w:type="dxa"/>
            <w:shd w:val="clear" w:color="auto" w:fill="auto"/>
            <w:noWrap/>
            <w:vAlign w:val="center"/>
          </w:tcPr>
          <w:p w14:paraId="41BFB2BB"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2013</w:t>
            </w:r>
          </w:p>
        </w:tc>
        <w:tc>
          <w:tcPr>
            <w:tcW w:w="2835" w:type="dxa"/>
            <w:shd w:val="clear" w:color="auto" w:fill="auto"/>
            <w:vAlign w:val="center"/>
          </w:tcPr>
          <w:p w14:paraId="7238954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Subsidized Housing and Crime: Theory, Mechanisms, and Evidence</w:t>
            </w:r>
          </w:p>
        </w:tc>
        <w:tc>
          <w:tcPr>
            <w:tcW w:w="1417" w:type="dxa"/>
            <w:shd w:val="clear" w:color="auto" w:fill="auto"/>
            <w:vAlign w:val="center"/>
          </w:tcPr>
          <w:p w14:paraId="7FC4EEA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bottom"/>
          </w:tcPr>
          <w:p w14:paraId="41059A7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Crime, Violence</w:t>
            </w:r>
          </w:p>
        </w:tc>
        <w:tc>
          <w:tcPr>
            <w:tcW w:w="1303" w:type="dxa"/>
            <w:shd w:val="clear" w:color="auto" w:fill="auto"/>
            <w:noWrap/>
            <w:vAlign w:val="bottom"/>
          </w:tcPr>
          <w:p w14:paraId="0F04DBC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Non-context-specific</w:t>
            </w:r>
          </w:p>
        </w:tc>
        <w:tc>
          <w:tcPr>
            <w:tcW w:w="1026" w:type="dxa"/>
            <w:shd w:val="clear" w:color="auto" w:fill="auto"/>
            <w:noWrap/>
            <w:vAlign w:val="center"/>
          </w:tcPr>
          <w:p w14:paraId="486FE20B"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11</w:t>
            </w:r>
          </w:p>
        </w:tc>
      </w:tr>
      <w:tr w:rsidR="00F00E3D" w:rsidRPr="009B6110" w14:paraId="044CF34C" w14:textId="77777777" w:rsidTr="009B2FA7">
        <w:trPr>
          <w:trHeight w:val="20"/>
        </w:trPr>
        <w:tc>
          <w:tcPr>
            <w:tcW w:w="1801" w:type="dxa"/>
            <w:shd w:val="clear" w:color="auto" w:fill="auto"/>
            <w:noWrap/>
            <w:vAlign w:val="center"/>
          </w:tcPr>
          <w:p w14:paraId="2CEF449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7226722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Vale, Lawrence J.; Shamsuddin, Shomon; Gray, Annemarie; Bertumen, Kassie</w:t>
            </w:r>
          </w:p>
        </w:tc>
        <w:tc>
          <w:tcPr>
            <w:tcW w:w="993" w:type="dxa"/>
            <w:shd w:val="clear" w:color="auto" w:fill="auto"/>
            <w:noWrap/>
            <w:vAlign w:val="center"/>
          </w:tcPr>
          <w:p w14:paraId="47F6F9B8"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2014</w:t>
            </w:r>
          </w:p>
        </w:tc>
        <w:tc>
          <w:tcPr>
            <w:tcW w:w="2835" w:type="dxa"/>
            <w:shd w:val="clear" w:color="auto" w:fill="auto"/>
            <w:vAlign w:val="center"/>
          </w:tcPr>
          <w:p w14:paraId="68D6EBD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for Resilient Cities: What Affordable Housing Should Afford</w:t>
            </w:r>
          </w:p>
        </w:tc>
        <w:tc>
          <w:tcPr>
            <w:tcW w:w="1417" w:type="dxa"/>
            <w:shd w:val="clear" w:color="auto" w:fill="auto"/>
            <w:vAlign w:val="center"/>
          </w:tcPr>
          <w:p w14:paraId="1823B6A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All</w:t>
            </w:r>
          </w:p>
        </w:tc>
        <w:tc>
          <w:tcPr>
            <w:tcW w:w="3199" w:type="dxa"/>
            <w:shd w:val="clear" w:color="auto" w:fill="auto"/>
            <w:vAlign w:val="center"/>
          </w:tcPr>
          <w:p w14:paraId="2D23336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Affordable Housing</w:t>
            </w:r>
          </w:p>
        </w:tc>
        <w:tc>
          <w:tcPr>
            <w:tcW w:w="1303" w:type="dxa"/>
            <w:shd w:val="clear" w:color="auto" w:fill="auto"/>
            <w:noWrap/>
            <w:vAlign w:val="bottom"/>
          </w:tcPr>
          <w:p w14:paraId="3A77F79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Global</w:t>
            </w:r>
          </w:p>
        </w:tc>
        <w:tc>
          <w:tcPr>
            <w:tcW w:w="1026" w:type="dxa"/>
            <w:shd w:val="clear" w:color="auto" w:fill="auto"/>
            <w:noWrap/>
            <w:vAlign w:val="center"/>
          </w:tcPr>
          <w:p w14:paraId="276261C1"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26</w:t>
            </w:r>
          </w:p>
        </w:tc>
      </w:tr>
      <w:tr w:rsidR="00F00E3D" w:rsidRPr="009B6110" w14:paraId="5965FCD0" w14:textId="77777777" w:rsidTr="009B2FA7">
        <w:trPr>
          <w:trHeight w:val="20"/>
        </w:trPr>
        <w:tc>
          <w:tcPr>
            <w:tcW w:w="1801" w:type="dxa"/>
            <w:shd w:val="clear" w:color="auto" w:fill="auto"/>
            <w:noWrap/>
            <w:vAlign w:val="center"/>
          </w:tcPr>
          <w:p w14:paraId="171E575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02098F4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Cassen, Robert; Feinstein, Leon; Graham, Philip</w:t>
            </w:r>
          </w:p>
        </w:tc>
        <w:tc>
          <w:tcPr>
            <w:tcW w:w="993" w:type="dxa"/>
            <w:shd w:val="clear" w:color="auto" w:fill="auto"/>
            <w:noWrap/>
            <w:vAlign w:val="center"/>
          </w:tcPr>
          <w:p w14:paraId="43CB6FFD"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2009</w:t>
            </w:r>
          </w:p>
        </w:tc>
        <w:tc>
          <w:tcPr>
            <w:tcW w:w="2835" w:type="dxa"/>
            <w:shd w:val="clear" w:color="auto" w:fill="auto"/>
            <w:vAlign w:val="center"/>
          </w:tcPr>
          <w:p w14:paraId="6E940FC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Educational outcomes: Adversity and resilience</w:t>
            </w:r>
          </w:p>
        </w:tc>
        <w:tc>
          <w:tcPr>
            <w:tcW w:w="1417" w:type="dxa"/>
            <w:shd w:val="clear" w:color="auto" w:fill="auto"/>
            <w:vAlign w:val="center"/>
          </w:tcPr>
          <w:p w14:paraId="412E587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Education</w:t>
            </w:r>
          </w:p>
        </w:tc>
        <w:tc>
          <w:tcPr>
            <w:tcW w:w="3199" w:type="dxa"/>
            <w:shd w:val="clear" w:color="auto" w:fill="auto"/>
            <w:vAlign w:val="bottom"/>
          </w:tcPr>
          <w:p w14:paraId="2A042A1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identify socio economic status, home learning environment, school system </w:t>
            </w:r>
          </w:p>
        </w:tc>
        <w:tc>
          <w:tcPr>
            <w:tcW w:w="1303" w:type="dxa"/>
            <w:shd w:val="clear" w:color="auto" w:fill="auto"/>
            <w:noWrap/>
            <w:vAlign w:val="bottom"/>
          </w:tcPr>
          <w:p w14:paraId="7CCF86E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Global</w:t>
            </w:r>
          </w:p>
        </w:tc>
        <w:tc>
          <w:tcPr>
            <w:tcW w:w="1026" w:type="dxa"/>
            <w:shd w:val="clear" w:color="auto" w:fill="auto"/>
            <w:noWrap/>
            <w:vAlign w:val="center"/>
          </w:tcPr>
          <w:p w14:paraId="40781261"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53</w:t>
            </w:r>
          </w:p>
        </w:tc>
      </w:tr>
      <w:tr w:rsidR="00F00E3D" w:rsidRPr="009B6110" w14:paraId="29B2F990" w14:textId="77777777" w:rsidTr="009B2FA7">
        <w:trPr>
          <w:trHeight w:val="20"/>
        </w:trPr>
        <w:tc>
          <w:tcPr>
            <w:tcW w:w="1801" w:type="dxa"/>
            <w:shd w:val="clear" w:color="auto" w:fill="auto"/>
            <w:noWrap/>
            <w:vAlign w:val="center"/>
          </w:tcPr>
          <w:p w14:paraId="38A08EC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0292529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Green, T. L.</w:t>
            </w:r>
          </w:p>
        </w:tc>
        <w:tc>
          <w:tcPr>
            <w:tcW w:w="993" w:type="dxa"/>
            <w:shd w:val="clear" w:color="auto" w:fill="auto"/>
            <w:noWrap/>
            <w:vAlign w:val="center"/>
          </w:tcPr>
          <w:p w14:paraId="42784792"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2015</w:t>
            </w:r>
          </w:p>
        </w:tc>
        <w:tc>
          <w:tcPr>
            <w:tcW w:w="2835" w:type="dxa"/>
            <w:shd w:val="clear" w:color="auto" w:fill="auto"/>
            <w:vAlign w:val="center"/>
          </w:tcPr>
          <w:p w14:paraId="1B5E938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Places of Inequality, Places of Possibility: Mapping “Opportunity in Geography” </w:t>
            </w:r>
            <w:r w:rsidRPr="009B6110">
              <w:rPr>
                <w:rFonts w:asciiTheme="majorHAnsi" w:hAnsiTheme="majorHAnsi" w:cstheme="majorHAnsi"/>
                <w:color w:val="000000"/>
              </w:rPr>
              <w:lastRenderedPageBreak/>
              <w:t>Across Urban School-Communities</w:t>
            </w:r>
          </w:p>
        </w:tc>
        <w:tc>
          <w:tcPr>
            <w:tcW w:w="1417" w:type="dxa"/>
            <w:shd w:val="clear" w:color="auto" w:fill="auto"/>
            <w:vAlign w:val="center"/>
          </w:tcPr>
          <w:p w14:paraId="164E19E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lastRenderedPageBreak/>
              <w:t>Education</w:t>
            </w:r>
          </w:p>
        </w:tc>
        <w:tc>
          <w:tcPr>
            <w:tcW w:w="3199" w:type="dxa"/>
            <w:shd w:val="clear" w:color="auto" w:fill="auto"/>
            <w:vAlign w:val="bottom"/>
          </w:tcPr>
          <w:p w14:paraId="4D4387E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Access to Facilities, Access to Services</w:t>
            </w:r>
          </w:p>
        </w:tc>
        <w:tc>
          <w:tcPr>
            <w:tcW w:w="1303" w:type="dxa"/>
            <w:shd w:val="clear" w:color="auto" w:fill="auto"/>
            <w:noWrap/>
            <w:vAlign w:val="bottom"/>
          </w:tcPr>
          <w:p w14:paraId="32C2A25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6FDA6DCB"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37</w:t>
            </w:r>
          </w:p>
        </w:tc>
      </w:tr>
      <w:tr w:rsidR="00F00E3D" w:rsidRPr="009B6110" w14:paraId="2B0484DD" w14:textId="77777777" w:rsidTr="009B2FA7">
        <w:trPr>
          <w:trHeight w:val="20"/>
        </w:trPr>
        <w:tc>
          <w:tcPr>
            <w:tcW w:w="1801" w:type="dxa"/>
            <w:shd w:val="clear" w:color="auto" w:fill="auto"/>
            <w:noWrap/>
            <w:vAlign w:val="center"/>
          </w:tcPr>
          <w:p w14:paraId="521CC3A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348BD72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Hansen, T.; Slagsvold, B.; Veenstra, M.</w:t>
            </w:r>
          </w:p>
        </w:tc>
        <w:tc>
          <w:tcPr>
            <w:tcW w:w="993" w:type="dxa"/>
            <w:shd w:val="clear" w:color="auto" w:fill="auto"/>
            <w:noWrap/>
            <w:vAlign w:val="center"/>
          </w:tcPr>
          <w:p w14:paraId="73C9F76A"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2017</w:t>
            </w:r>
          </w:p>
        </w:tc>
        <w:tc>
          <w:tcPr>
            <w:tcW w:w="2835" w:type="dxa"/>
            <w:shd w:val="clear" w:color="auto" w:fill="auto"/>
            <w:vAlign w:val="center"/>
          </w:tcPr>
          <w:p w14:paraId="26258E3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Educational inequalities in late-life depression across Europe: results from the generations and gender survey</w:t>
            </w:r>
          </w:p>
        </w:tc>
        <w:tc>
          <w:tcPr>
            <w:tcW w:w="1417" w:type="dxa"/>
            <w:shd w:val="clear" w:color="auto" w:fill="auto"/>
            <w:vAlign w:val="center"/>
          </w:tcPr>
          <w:p w14:paraId="09CD1B9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Education</w:t>
            </w:r>
          </w:p>
        </w:tc>
        <w:tc>
          <w:tcPr>
            <w:tcW w:w="3199" w:type="dxa"/>
            <w:shd w:val="clear" w:color="auto" w:fill="auto"/>
            <w:vAlign w:val="center"/>
          </w:tcPr>
          <w:p w14:paraId="1CA71F6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Education Level</w:t>
            </w:r>
          </w:p>
        </w:tc>
        <w:tc>
          <w:tcPr>
            <w:tcW w:w="1303" w:type="dxa"/>
            <w:shd w:val="clear" w:color="auto" w:fill="auto"/>
            <w:noWrap/>
            <w:vAlign w:val="bottom"/>
          </w:tcPr>
          <w:p w14:paraId="526CA62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Europe</w:t>
            </w:r>
          </w:p>
        </w:tc>
        <w:tc>
          <w:tcPr>
            <w:tcW w:w="1026" w:type="dxa"/>
            <w:shd w:val="clear" w:color="auto" w:fill="auto"/>
            <w:noWrap/>
            <w:vAlign w:val="center"/>
          </w:tcPr>
          <w:p w14:paraId="2D3024E7"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6</w:t>
            </w:r>
          </w:p>
        </w:tc>
      </w:tr>
      <w:tr w:rsidR="00F00E3D" w:rsidRPr="009B6110" w14:paraId="042A46AB" w14:textId="77777777" w:rsidTr="009B2FA7">
        <w:trPr>
          <w:trHeight w:val="20"/>
        </w:trPr>
        <w:tc>
          <w:tcPr>
            <w:tcW w:w="1801" w:type="dxa"/>
            <w:shd w:val="clear" w:color="auto" w:fill="auto"/>
            <w:noWrap/>
            <w:vAlign w:val="center"/>
          </w:tcPr>
          <w:p w14:paraId="6769EF0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6604744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Le, Anh T; Miller, Paul W; Slutske, Wendy S; Martin, Nicholas G</w:t>
            </w:r>
          </w:p>
        </w:tc>
        <w:tc>
          <w:tcPr>
            <w:tcW w:w="993" w:type="dxa"/>
            <w:shd w:val="clear" w:color="auto" w:fill="auto"/>
            <w:noWrap/>
            <w:vAlign w:val="center"/>
          </w:tcPr>
          <w:p w14:paraId="53ECB3BC"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2011</w:t>
            </w:r>
          </w:p>
        </w:tc>
        <w:tc>
          <w:tcPr>
            <w:tcW w:w="2835" w:type="dxa"/>
            <w:shd w:val="clear" w:color="auto" w:fill="auto"/>
            <w:vAlign w:val="center"/>
          </w:tcPr>
          <w:p w14:paraId="3AB8102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Opportunity and educational outcomes in Australia</w:t>
            </w:r>
          </w:p>
        </w:tc>
        <w:tc>
          <w:tcPr>
            <w:tcW w:w="1417" w:type="dxa"/>
            <w:shd w:val="clear" w:color="auto" w:fill="auto"/>
            <w:vAlign w:val="center"/>
          </w:tcPr>
          <w:p w14:paraId="424FC43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Education</w:t>
            </w:r>
          </w:p>
        </w:tc>
        <w:tc>
          <w:tcPr>
            <w:tcW w:w="3199" w:type="dxa"/>
            <w:shd w:val="clear" w:color="auto" w:fill="auto"/>
            <w:vAlign w:val="center"/>
          </w:tcPr>
          <w:p w14:paraId="09273FF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Socioeconomics, demographics</w:t>
            </w:r>
          </w:p>
        </w:tc>
        <w:tc>
          <w:tcPr>
            <w:tcW w:w="1303" w:type="dxa"/>
            <w:shd w:val="clear" w:color="auto" w:fill="auto"/>
            <w:noWrap/>
            <w:vAlign w:val="bottom"/>
          </w:tcPr>
          <w:p w14:paraId="41CE5D6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24E1C409"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15</w:t>
            </w:r>
          </w:p>
        </w:tc>
      </w:tr>
      <w:tr w:rsidR="00F00E3D" w:rsidRPr="009B6110" w14:paraId="3FC6C3B3" w14:textId="77777777" w:rsidTr="009B2FA7">
        <w:trPr>
          <w:trHeight w:val="20"/>
        </w:trPr>
        <w:tc>
          <w:tcPr>
            <w:tcW w:w="1801" w:type="dxa"/>
            <w:shd w:val="clear" w:color="auto" w:fill="auto"/>
            <w:noWrap/>
            <w:vAlign w:val="center"/>
          </w:tcPr>
          <w:p w14:paraId="64E5C6D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5E0A133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Miller, Paul; Mulvey, Charles; Martin, Nick</w:t>
            </w:r>
          </w:p>
        </w:tc>
        <w:tc>
          <w:tcPr>
            <w:tcW w:w="993" w:type="dxa"/>
            <w:shd w:val="clear" w:color="auto" w:fill="auto"/>
            <w:noWrap/>
            <w:vAlign w:val="center"/>
          </w:tcPr>
          <w:p w14:paraId="438F7759"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2001</w:t>
            </w:r>
          </w:p>
        </w:tc>
        <w:tc>
          <w:tcPr>
            <w:tcW w:w="2835" w:type="dxa"/>
            <w:shd w:val="clear" w:color="auto" w:fill="auto"/>
            <w:vAlign w:val="center"/>
          </w:tcPr>
          <w:p w14:paraId="71E279C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Genetic and environmental contributions to educational attainment in Australia</w:t>
            </w:r>
          </w:p>
        </w:tc>
        <w:tc>
          <w:tcPr>
            <w:tcW w:w="1417" w:type="dxa"/>
            <w:shd w:val="clear" w:color="auto" w:fill="auto"/>
            <w:vAlign w:val="center"/>
          </w:tcPr>
          <w:p w14:paraId="1866CF7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Education</w:t>
            </w:r>
          </w:p>
        </w:tc>
        <w:tc>
          <w:tcPr>
            <w:tcW w:w="3199" w:type="dxa"/>
            <w:shd w:val="clear" w:color="auto" w:fill="auto"/>
            <w:vAlign w:val="center"/>
          </w:tcPr>
          <w:p w14:paraId="3B30D72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family background or common environmental factors</w:t>
            </w:r>
          </w:p>
        </w:tc>
        <w:tc>
          <w:tcPr>
            <w:tcW w:w="1303" w:type="dxa"/>
            <w:shd w:val="clear" w:color="auto" w:fill="auto"/>
            <w:noWrap/>
            <w:vAlign w:val="bottom"/>
          </w:tcPr>
          <w:p w14:paraId="5BBBAAD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center"/>
          </w:tcPr>
          <w:p w14:paraId="4996F877"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85</w:t>
            </w:r>
          </w:p>
        </w:tc>
      </w:tr>
      <w:tr w:rsidR="00F00E3D" w:rsidRPr="009B6110" w14:paraId="68034712" w14:textId="77777777" w:rsidTr="009B2FA7">
        <w:trPr>
          <w:trHeight w:val="20"/>
        </w:trPr>
        <w:tc>
          <w:tcPr>
            <w:tcW w:w="1801" w:type="dxa"/>
            <w:shd w:val="clear" w:color="auto" w:fill="auto"/>
            <w:noWrap/>
            <w:vAlign w:val="center"/>
          </w:tcPr>
          <w:p w14:paraId="474E750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27EC86E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Cohen, Alison Klebanoff; Schuchter, Joseph W.</w:t>
            </w:r>
          </w:p>
        </w:tc>
        <w:tc>
          <w:tcPr>
            <w:tcW w:w="993" w:type="dxa"/>
            <w:shd w:val="clear" w:color="auto" w:fill="auto"/>
            <w:noWrap/>
            <w:vAlign w:val="center"/>
          </w:tcPr>
          <w:p w14:paraId="380115D4"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2013</w:t>
            </w:r>
          </w:p>
        </w:tc>
        <w:tc>
          <w:tcPr>
            <w:tcW w:w="2835" w:type="dxa"/>
            <w:shd w:val="clear" w:color="auto" w:fill="auto"/>
            <w:vAlign w:val="center"/>
          </w:tcPr>
          <w:p w14:paraId="1CAF36C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Revitalizing Communities Together: The Shared Values, Goals, and Work of Education, Urban Planning, and Public Health</w:t>
            </w:r>
          </w:p>
        </w:tc>
        <w:tc>
          <w:tcPr>
            <w:tcW w:w="1417" w:type="dxa"/>
            <w:shd w:val="clear" w:color="auto" w:fill="auto"/>
            <w:vAlign w:val="center"/>
          </w:tcPr>
          <w:p w14:paraId="08D5B5E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Education, Housing, Health &amp; Wellbeing</w:t>
            </w:r>
          </w:p>
        </w:tc>
        <w:tc>
          <w:tcPr>
            <w:tcW w:w="3199" w:type="dxa"/>
            <w:shd w:val="clear" w:color="auto" w:fill="auto"/>
            <w:vAlign w:val="center"/>
          </w:tcPr>
          <w:p w14:paraId="09AF520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Education Level, Physical Environment, Individual Health</w:t>
            </w:r>
          </w:p>
        </w:tc>
        <w:tc>
          <w:tcPr>
            <w:tcW w:w="1303" w:type="dxa"/>
            <w:shd w:val="clear" w:color="auto" w:fill="auto"/>
            <w:noWrap/>
            <w:vAlign w:val="bottom"/>
          </w:tcPr>
          <w:p w14:paraId="25EBAA5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Global</w:t>
            </w:r>
          </w:p>
        </w:tc>
        <w:tc>
          <w:tcPr>
            <w:tcW w:w="1026" w:type="dxa"/>
            <w:shd w:val="clear" w:color="auto" w:fill="auto"/>
            <w:noWrap/>
            <w:vAlign w:val="center"/>
          </w:tcPr>
          <w:p w14:paraId="5CF2C1D7"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5</w:t>
            </w:r>
          </w:p>
        </w:tc>
      </w:tr>
      <w:tr w:rsidR="00F00E3D" w:rsidRPr="009B6110" w14:paraId="11EEE1AB" w14:textId="77777777" w:rsidTr="009B2FA7">
        <w:trPr>
          <w:trHeight w:val="20"/>
        </w:trPr>
        <w:tc>
          <w:tcPr>
            <w:tcW w:w="1801" w:type="dxa"/>
            <w:shd w:val="clear" w:color="auto" w:fill="auto"/>
            <w:noWrap/>
            <w:vAlign w:val="center"/>
          </w:tcPr>
          <w:p w14:paraId="60CA61F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Book</w:t>
            </w:r>
          </w:p>
        </w:tc>
        <w:tc>
          <w:tcPr>
            <w:tcW w:w="2168" w:type="dxa"/>
            <w:shd w:val="clear" w:color="auto" w:fill="auto"/>
            <w:vAlign w:val="center"/>
          </w:tcPr>
          <w:p w14:paraId="4F1C43A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Bill, Anthea</w:t>
            </w:r>
          </w:p>
        </w:tc>
        <w:tc>
          <w:tcPr>
            <w:tcW w:w="993" w:type="dxa"/>
            <w:shd w:val="clear" w:color="auto" w:fill="auto"/>
            <w:noWrap/>
            <w:vAlign w:val="center"/>
          </w:tcPr>
          <w:p w14:paraId="0A5D179F"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2005</w:t>
            </w:r>
          </w:p>
        </w:tc>
        <w:tc>
          <w:tcPr>
            <w:tcW w:w="2835" w:type="dxa"/>
            <w:shd w:val="clear" w:color="auto" w:fill="auto"/>
            <w:vAlign w:val="center"/>
          </w:tcPr>
          <w:p w14:paraId="305FE51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Neighbourhood inequality: do small area interactions influence economic outcomes</w:t>
            </w:r>
          </w:p>
        </w:tc>
        <w:tc>
          <w:tcPr>
            <w:tcW w:w="1417" w:type="dxa"/>
            <w:shd w:val="clear" w:color="auto" w:fill="auto"/>
            <w:vAlign w:val="center"/>
          </w:tcPr>
          <w:p w14:paraId="69E44AE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Employment</w:t>
            </w:r>
          </w:p>
        </w:tc>
        <w:tc>
          <w:tcPr>
            <w:tcW w:w="3199" w:type="dxa"/>
            <w:shd w:val="clear" w:color="auto" w:fill="auto"/>
            <w:vAlign w:val="center"/>
          </w:tcPr>
          <w:p w14:paraId="761AEF9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Demographics, Housing</w:t>
            </w:r>
          </w:p>
        </w:tc>
        <w:tc>
          <w:tcPr>
            <w:tcW w:w="1303" w:type="dxa"/>
            <w:shd w:val="clear" w:color="auto" w:fill="auto"/>
            <w:noWrap/>
            <w:vAlign w:val="bottom"/>
          </w:tcPr>
          <w:p w14:paraId="0267368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4CA285AB"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10</w:t>
            </w:r>
          </w:p>
        </w:tc>
      </w:tr>
      <w:tr w:rsidR="00F00E3D" w:rsidRPr="009B6110" w14:paraId="28A69C97" w14:textId="77777777" w:rsidTr="009B2FA7">
        <w:trPr>
          <w:trHeight w:val="20"/>
        </w:trPr>
        <w:tc>
          <w:tcPr>
            <w:tcW w:w="1801" w:type="dxa"/>
            <w:shd w:val="clear" w:color="auto" w:fill="auto"/>
            <w:noWrap/>
            <w:vAlign w:val="center"/>
          </w:tcPr>
          <w:p w14:paraId="145420D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7A7D533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Saltkjel, T.; Malmberg-Heimonen, I.</w:t>
            </w:r>
          </w:p>
        </w:tc>
        <w:tc>
          <w:tcPr>
            <w:tcW w:w="993" w:type="dxa"/>
            <w:shd w:val="clear" w:color="auto" w:fill="auto"/>
            <w:noWrap/>
            <w:vAlign w:val="center"/>
          </w:tcPr>
          <w:p w14:paraId="34ED4C47"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2014</w:t>
            </w:r>
          </w:p>
        </w:tc>
        <w:tc>
          <w:tcPr>
            <w:tcW w:w="2835" w:type="dxa"/>
            <w:shd w:val="clear" w:color="auto" w:fill="auto"/>
            <w:vAlign w:val="center"/>
          </w:tcPr>
          <w:p w14:paraId="0E9412B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Social inequalities, social trust and civic participation-the case of Norway</w:t>
            </w:r>
          </w:p>
        </w:tc>
        <w:tc>
          <w:tcPr>
            <w:tcW w:w="1417" w:type="dxa"/>
            <w:shd w:val="clear" w:color="auto" w:fill="auto"/>
            <w:vAlign w:val="center"/>
          </w:tcPr>
          <w:p w14:paraId="619FB96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Employment</w:t>
            </w:r>
          </w:p>
        </w:tc>
        <w:tc>
          <w:tcPr>
            <w:tcW w:w="3199" w:type="dxa"/>
            <w:shd w:val="clear" w:color="auto" w:fill="auto"/>
            <w:vAlign w:val="center"/>
          </w:tcPr>
          <w:p w14:paraId="4799392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Social Capital (Social Capital is defined as social trust and civic participation) </w:t>
            </w:r>
          </w:p>
        </w:tc>
        <w:tc>
          <w:tcPr>
            <w:tcW w:w="1303" w:type="dxa"/>
            <w:shd w:val="clear" w:color="auto" w:fill="auto"/>
            <w:noWrap/>
            <w:vAlign w:val="bottom"/>
          </w:tcPr>
          <w:p w14:paraId="5C31791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Norway</w:t>
            </w:r>
          </w:p>
        </w:tc>
        <w:tc>
          <w:tcPr>
            <w:tcW w:w="1026" w:type="dxa"/>
            <w:shd w:val="clear" w:color="auto" w:fill="auto"/>
            <w:noWrap/>
            <w:vAlign w:val="center"/>
          </w:tcPr>
          <w:p w14:paraId="71000401"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3</w:t>
            </w:r>
          </w:p>
        </w:tc>
      </w:tr>
      <w:tr w:rsidR="00F00E3D" w:rsidRPr="009B6110" w14:paraId="462141E9" w14:textId="77777777" w:rsidTr="009B2FA7">
        <w:trPr>
          <w:trHeight w:val="20"/>
        </w:trPr>
        <w:tc>
          <w:tcPr>
            <w:tcW w:w="1801" w:type="dxa"/>
            <w:shd w:val="clear" w:color="auto" w:fill="auto"/>
            <w:noWrap/>
            <w:vAlign w:val="center"/>
          </w:tcPr>
          <w:p w14:paraId="1AD21B0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0962E08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Flanagan, Kathleen; Martin, Chris; Jacobs, Keith; Lawson, Julie</w:t>
            </w:r>
          </w:p>
        </w:tc>
        <w:tc>
          <w:tcPr>
            <w:tcW w:w="993" w:type="dxa"/>
            <w:shd w:val="clear" w:color="auto" w:fill="auto"/>
            <w:noWrap/>
            <w:vAlign w:val="center"/>
          </w:tcPr>
          <w:p w14:paraId="314BD1B0"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2019</w:t>
            </w:r>
          </w:p>
        </w:tc>
        <w:tc>
          <w:tcPr>
            <w:tcW w:w="2835" w:type="dxa"/>
            <w:shd w:val="clear" w:color="auto" w:fill="auto"/>
            <w:vAlign w:val="center"/>
          </w:tcPr>
          <w:p w14:paraId="44B82D7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 conceptual analysis of social housing as infrastructure</w:t>
            </w:r>
          </w:p>
        </w:tc>
        <w:tc>
          <w:tcPr>
            <w:tcW w:w="1417" w:type="dxa"/>
            <w:shd w:val="clear" w:color="auto" w:fill="auto"/>
            <w:vAlign w:val="center"/>
          </w:tcPr>
          <w:p w14:paraId="68B4467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Employment, Health &amp; Wellbeing</w:t>
            </w:r>
          </w:p>
        </w:tc>
        <w:tc>
          <w:tcPr>
            <w:tcW w:w="3199" w:type="dxa"/>
            <w:shd w:val="clear" w:color="auto" w:fill="auto"/>
            <w:vAlign w:val="bottom"/>
          </w:tcPr>
          <w:p w14:paraId="66FFBA6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Intergenerational transmission of disadvantage, Quality Housing, Affordable Housing</w:t>
            </w:r>
          </w:p>
        </w:tc>
        <w:tc>
          <w:tcPr>
            <w:tcW w:w="1303" w:type="dxa"/>
            <w:shd w:val="clear" w:color="auto" w:fill="auto"/>
            <w:noWrap/>
            <w:vAlign w:val="bottom"/>
          </w:tcPr>
          <w:p w14:paraId="7B9E578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0490E802"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16</w:t>
            </w:r>
          </w:p>
        </w:tc>
      </w:tr>
      <w:tr w:rsidR="00F00E3D" w:rsidRPr="009B6110" w14:paraId="405A5E22" w14:textId="77777777" w:rsidTr="009B2FA7">
        <w:trPr>
          <w:trHeight w:val="20"/>
        </w:trPr>
        <w:tc>
          <w:tcPr>
            <w:tcW w:w="1801" w:type="dxa"/>
            <w:shd w:val="clear" w:color="auto" w:fill="auto"/>
            <w:noWrap/>
            <w:vAlign w:val="center"/>
          </w:tcPr>
          <w:p w14:paraId="04EA4F6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2BF5E2E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Permentier, Matthieu; Bolt, Gideon; van Ham, Maarten</w:t>
            </w:r>
          </w:p>
        </w:tc>
        <w:tc>
          <w:tcPr>
            <w:tcW w:w="993" w:type="dxa"/>
            <w:shd w:val="clear" w:color="auto" w:fill="auto"/>
            <w:noWrap/>
            <w:vAlign w:val="center"/>
          </w:tcPr>
          <w:p w14:paraId="130DF396"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2010</w:t>
            </w:r>
          </w:p>
        </w:tc>
        <w:tc>
          <w:tcPr>
            <w:tcW w:w="2835" w:type="dxa"/>
            <w:shd w:val="clear" w:color="auto" w:fill="auto"/>
            <w:vAlign w:val="center"/>
          </w:tcPr>
          <w:p w14:paraId="1946822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Determinants of Neighbourhood Satisfaction and Perception of Neighbourhood Reputation</w:t>
            </w:r>
          </w:p>
        </w:tc>
        <w:tc>
          <w:tcPr>
            <w:tcW w:w="1417" w:type="dxa"/>
            <w:shd w:val="clear" w:color="auto" w:fill="auto"/>
            <w:vAlign w:val="center"/>
          </w:tcPr>
          <w:p w14:paraId="40FC090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Employment, Health &amp; Wellbeing</w:t>
            </w:r>
          </w:p>
        </w:tc>
        <w:tc>
          <w:tcPr>
            <w:tcW w:w="3199" w:type="dxa"/>
            <w:shd w:val="clear" w:color="auto" w:fill="auto"/>
            <w:vAlign w:val="center"/>
          </w:tcPr>
          <w:p w14:paraId="1FF2485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Neighbourhood Reputation</w:t>
            </w:r>
          </w:p>
        </w:tc>
        <w:tc>
          <w:tcPr>
            <w:tcW w:w="1303" w:type="dxa"/>
            <w:shd w:val="clear" w:color="auto" w:fill="auto"/>
            <w:noWrap/>
            <w:vAlign w:val="bottom"/>
          </w:tcPr>
          <w:p w14:paraId="2CCE682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p>
        </w:tc>
        <w:tc>
          <w:tcPr>
            <w:tcW w:w="1026" w:type="dxa"/>
            <w:shd w:val="clear" w:color="auto" w:fill="auto"/>
            <w:noWrap/>
            <w:vAlign w:val="bottom"/>
          </w:tcPr>
          <w:p w14:paraId="057DA61D"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170</w:t>
            </w:r>
          </w:p>
        </w:tc>
      </w:tr>
      <w:tr w:rsidR="00F00E3D" w:rsidRPr="009B6110" w14:paraId="4E46E19A" w14:textId="77777777" w:rsidTr="009B2FA7">
        <w:trPr>
          <w:trHeight w:val="20"/>
        </w:trPr>
        <w:tc>
          <w:tcPr>
            <w:tcW w:w="1801" w:type="dxa"/>
            <w:shd w:val="clear" w:color="auto" w:fill="auto"/>
            <w:noWrap/>
            <w:vAlign w:val="center"/>
          </w:tcPr>
          <w:p w14:paraId="65DA0FA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7997303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Badland, Hannah; Whitzman, Carolyn; Lowe, Melanie; </w:t>
            </w:r>
            <w:r w:rsidRPr="009B6110">
              <w:rPr>
                <w:rFonts w:asciiTheme="majorHAnsi" w:hAnsiTheme="majorHAnsi" w:cstheme="majorHAnsi"/>
                <w:color w:val="000000"/>
              </w:rPr>
              <w:lastRenderedPageBreak/>
              <w:t>Davern, Melanie; Aye, Lu; Butterworth, Iain; Hes, Dominique; Giles-Corti, Billie</w:t>
            </w:r>
          </w:p>
        </w:tc>
        <w:tc>
          <w:tcPr>
            <w:tcW w:w="993" w:type="dxa"/>
            <w:shd w:val="clear" w:color="auto" w:fill="auto"/>
            <w:noWrap/>
            <w:vAlign w:val="center"/>
          </w:tcPr>
          <w:p w14:paraId="382190D0"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lastRenderedPageBreak/>
              <w:t>2014</w:t>
            </w:r>
          </w:p>
        </w:tc>
        <w:tc>
          <w:tcPr>
            <w:tcW w:w="2835" w:type="dxa"/>
            <w:shd w:val="clear" w:color="auto" w:fill="auto"/>
            <w:vAlign w:val="center"/>
          </w:tcPr>
          <w:p w14:paraId="7ABD458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Urban liveability: emerging lessons from Australia for exploring the potential for </w:t>
            </w:r>
            <w:r w:rsidRPr="009B6110">
              <w:rPr>
                <w:rFonts w:asciiTheme="majorHAnsi" w:hAnsiTheme="majorHAnsi" w:cstheme="majorHAnsi"/>
                <w:color w:val="000000"/>
              </w:rPr>
              <w:lastRenderedPageBreak/>
              <w:t>indicators to measure the social determinants of health</w:t>
            </w:r>
          </w:p>
        </w:tc>
        <w:tc>
          <w:tcPr>
            <w:tcW w:w="1417" w:type="dxa"/>
            <w:shd w:val="clear" w:color="auto" w:fill="auto"/>
            <w:vAlign w:val="center"/>
          </w:tcPr>
          <w:p w14:paraId="4A20BD8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lastRenderedPageBreak/>
              <w:t>Health &amp; Wellbeing</w:t>
            </w:r>
          </w:p>
        </w:tc>
        <w:tc>
          <w:tcPr>
            <w:tcW w:w="3199" w:type="dxa"/>
            <w:shd w:val="clear" w:color="auto" w:fill="auto"/>
            <w:vAlign w:val="bottom"/>
          </w:tcPr>
          <w:p w14:paraId="6512F51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employment, food environment, housing, public open space, </w:t>
            </w:r>
            <w:r w:rsidRPr="009B6110">
              <w:rPr>
                <w:rFonts w:asciiTheme="majorHAnsi" w:hAnsiTheme="majorHAnsi" w:cstheme="majorHAnsi"/>
                <w:color w:val="000000"/>
              </w:rPr>
              <w:lastRenderedPageBreak/>
              <w:t>social infrastructure, transport and walkability</w:t>
            </w:r>
          </w:p>
        </w:tc>
        <w:tc>
          <w:tcPr>
            <w:tcW w:w="1303" w:type="dxa"/>
            <w:shd w:val="clear" w:color="auto" w:fill="auto"/>
            <w:noWrap/>
            <w:vAlign w:val="bottom"/>
          </w:tcPr>
          <w:p w14:paraId="2350B35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lastRenderedPageBreak/>
              <w:t>Global</w:t>
            </w:r>
          </w:p>
        </w:tc>
        <w:tc>
          <w:tcPr>
            <w:tcW w:w="1026" w:type="dxa"/>
            <w:shd w:val="clear" w:color="auto" w:fill="auto"/>
            <w:noWrap/>
            <w:vAlign w:val="bottom"/>
          </w:tcPr>
          <w:p w14:paraId="69FDF257"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180</w:t>
            </w:r>
          </w:p>
        </w:tc>
      </w:tr>
      <w:tr w:rsidR="00F00E3D" w:rsidRPr="009B6110" w14:paraId="20B4DE2D" w14:textId="77777777" w:rsidTr="009B2FA7">
        <w:trPr>
          <w:trHeight w:val="20"/>
        </w:trPr>
        <w:tc>
          <w:tcPr>
            <w:tcW w:w="1801" w:type="dxa"/>
            <w:shd w:val="clear" w:color="auto" w:fill="auto"/>
            <w:noWrap/>
            <w:vAlign w:val="center"/>
          </w:tcPr>
          <w:p w14:paraId="10499D4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732449F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Baum, Scott; Arthurson, Kathy; Han, Jung Hoon</w:t>
            </w:r>
          </w:p>
        </w:tc>
        <w:tc>
          <w:tcPr>
            <w:tcW w:w="993" w:type="dxa"/>
            <w:shd w:val="clear" w:color="auto" w:fill="auto"/>
            <w:noWrap/>
            <w:vAlign w:val="center"/>
          </w:tcPr>
          <w:p w14:paraId="5236955F"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2015</w:t>
            </w:r>
          </w:p>
        </w:tc>
        <w:tc>
          <w:tcPr>
            <w:tcW w:w="2835" w:type="dxa"/>
            <w:shd w:val="clear" w:color="auto" w:fill="auto"/>
            <w:vAlign w:val="center"/>
          </w:tcPr>
          <w:p w14:paraId="130D351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Tenure social mix and perceptions of antisocial behaviour: An Australian example</w:t>
            </w:r>
          </w:p>
        </w:tc>
        <w:tc>
          <w:tcPr>
            <w:tcW w:w="1417" w:type="dxa"/>
            <w:shd w:val="clear" w:color="auto" w:fill="auto"/>
            <w:vAlign w:val="center"/>
          </w:tcPr>
          <w:p w14:paraId="7CBB0D3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2EF80BD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Antisocial Behaviour</w:t>
            </w:r>
          </w:p>
        </w:tc>
        <w:tc>
          <w:tcPr>
            <w:tcW w:w="1303" w:type="dxa"/>
            <w:shd w:val="clear" w:color="auto" w:fill="auto"/>
            <w:noWrap/>
            <w:vAlign w:val="bottom"/>
          </w:tcPr>
          <w:p w14:paraId="7CEA3A5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40CD57FA"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9</w:t>
            </w:r>
          </w:p>
        </w:tc>
      </w:tr>
      <w:tr w:rsidR="00F00E3D" w:rsidRPr="009B6110" w14:paraId="5BD8F8B2" w14:textId="77777777" w:rsidTr="009B2FA7">
        <w:trPr>
          <w:trHeight w:val="20"/>
        </w:trPr>
        <w:tc>
          <w:tcPr>
            <w:tcW w:w="1801" w:type="dxa"/>
            <w:shd w:val="clear" w:color="auto" w:fill="auto"/>
            <w:noWrap/>
            <w:vAlign w:val="center"/>
          </w:tcPr>
          <w:p w14:paraId="55BC1B5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2C71E53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Blair, A.; Siddiqi, A.; Frank, J.</w:t>
            </w:r>
          </w:p>
        </w:tc>
        <w:tc>
          <w:tcPr>
            <w:tcW w:w="993" w:type="dxa"/>
            <w:shd w:val="clear" w:color="auto" w:fill="auto"/>
            <w:noWrap/>
            <w:vAlign w:val="center"/>
          </w:tcPr>
          <w:p w14:paraId="28747968"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2018</w:t>
            </w:r>
          </w:p>
        </w:tc>
        <w:tc>
          <w:tcPr>
            <w:tcW w:w="2835" w:type="dxa"/>
            <w:shd w:val="clear" w:color="auto" w:fill="auto"/>
            <w:vAlign w:val="center"/>
          </w:tcPr>
          <w:p w14:paraId="1762444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Canadian report card on health equity across the life-course: Analysis of time trends and cross-national comparisons with the United Kingdom</w:t>
            </w:r>
          </w:p>
        </w:tc>
        <w:tc>
          <w:tcPr>
            <w:tcW w:w="1417" w:type="dxa"/>
            <w:shd w:val="clear" w:color="auto" w:fill="auto"/>
            <w:vAlign w:val="center"/>
          </w:tcPr>
          <w:p w14:paraId="2FE1314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6D2D3FF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Education Level, Access to Healthcare, Income</w:t>
            </w:r>
          </w:p>
        </w:tc>
        <w:tc>
          <w:tcPr>
            <w:tcW w:w="1303" w:type="dxa"/>
            <w:shd w:val="clear" w:color="auto" w:fill="auto"/>
            <w:noWrap/>
            <w:vAlign w:val="bottom"/>
          </w:tcPr>
          <w:p w14:paraId="7BFB131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Canada</w:t>
            </w:r>
          </w:p>
        </w:tc>
        <w:tc>
          <w:tcPr>
            <w:tcW w:w="1026" w:type="dxa"/>
            <w:shd w:val="clear" w:color="auto" w:fill="auto"/>
            <w:noWrap/>
            <w:vAlign w:val="center"/>
          </w:tcPr>
          <w:p w14:paraId="6A18FE19"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w:t>
            </w:r>
          </w:p>
        </w:tc>
      </w:tr>
      <w:tr w:rsidR="00F00E3D" w:rsidRPr="009B6110" w14:paraId="4BDE1187" w14:textId="77777777" w:rsidTr="009B2FA7">
        <w:trPr>
          <w:trHeight w:val="20"/>
        </w:trPr>
        <w:tc>
          <w:tcPr>
            <w:tcW w:w="1801" w:type="dxa"/>
            <w:shd w:val="clear" w:color="auto" w:fill="auto"/>
            <w:noWrap/>
            <w:vAlign w:val="center"/>
          </w:tcPr>
          <w:p w14:paraId="2DC9A8E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2C621A8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Braveman, Paula; Gottlieb, Laura</w:t>
            </w:r>
          </w:p>
        </w:tc>
        <w:tc>
          <w:tcPr>
            <w:tcW w:w="993" w:type="dxa"/>
            <w:shd w:val="clear" w:color="auto" w:fill="auto"/>
            <w:noWrap/>
            <w:vAlign w:val="center"/>
          </w:tcPr>
          <w:p w14:paraId="4AA1BBF6"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2014</w:t>
            </w:r>
          </w:p>
        </w:tc>
        <w:tc>
          <w:tcPr>
            <w:tcW w:w="2835" w:type="dxa"/>
            <w:shd w:val="clear" w:color="auto" w:fill="auto"/>
            <w:vAlign w:val="center"/>
          </w:tcPr>
          <w:p w14:paraId="39B4A84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The Social Determinants of Health: It's Time to Consider the Causes of the Causes</w:t>
            </w:r>
          </w:p>
        </w:tc>
        <w:tc>
          <w:tcPr>
            <w:tcW w:w="1417" w:type="dxa"/>
            <w:shd w:val="clear" w:color="auto" w:fill="auto"/>
            <w:vAlign w:val="center"/>
          </w:tcPr>
          <w:p w14:paraId="62A98D4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1D9EC26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Income, Education Level</w:t>
            </w:r>
          </w:p>
        </w:tc>
        <w:tc>
          <w:tcPr>
            <w:tcW w:w="1303" w:type="dxa"/>
            <w:shd w:val="clear" w:color="auto" w:fill="auto"/>
            <w:noWrap/>
            <w:vAlign w:val="bottom"/>
          </w:tcPr>
          <w:p w14:paraId="6E95A84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Non-context-specific</w:t>
            </w:r>
          </w:p>
        </w:tc>
        <w:tc>
          <w:tcPr>
            <w:tcW w:w="1026" w:type="dxa"/>
            <w:shd w:val="clear" w:color="auto" w:fill="auto"/>
            <w:noWrap/>
            <w:vAlign w:val="bottom"/>
          </w:tcPr>
          <w:p w14:paraId="7E66E14C"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1203</w:t>
            </w:r>
          </w:p>
        </w:tc>
      </w:tr>
      <w:tr w:rsidR="00F00E3D" w:rsidRPr="009B6110" w14:paraId="7735CF0D" w14:textId="77777777" w:rsidTr="009B2FA7">
        <w:trPr>
          <w:trHeight w:val="20"/>
        </w:trPr>
        <w:tc>
          <w:tcPr>
            <w:tcW w:w="1801" w:type="dxa"/>
            <w:shd w:val="clear" w:color="auto" w:fill="auto"/>
            <w:noWrap/>
            <w:vAlign w:val="center"/>
          </w:tcPr>
          <w:p w14:paraId="215337B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108C5E5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Browne-Yung, K.; Ziersch, A.; Baum, F.</w:t>
            </w:r>
          </w:p>
        </w:tc>
        <w:tc>
          <w:tcPr>
            <w:tcW w:w="993" w:type="dxa"/>
            <w:shd w:val="clear" w:color="auto" w:fill="auto"/>
            <w:noWrap/>
            <w:vAlign w:val="center"/>
          </w:tcPr>
          <w:p w14:paraId="740CE030"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2016</w:t>
            </w:r>
          </w:p>
        </w:tc>
        <w:tc>
          <w:tcPr>
            <w:tcW w:w="2835" w:type="dxa"/>
            <w:shd w:val="clear" w:color="auto" w:fill="auto"/>
            <w:vAlign w:val="center"/>
          </w:tcPr>
          <w:p w14:paraId="2D01797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Neighbourhood, Disorder, Safety and Reputation and the Built Environment: Perceptions of </w:t>
            </w:r>
            <w:proofErr w:type="gramStart"/>
            <w:r w:rsidRPr="009B6110">
              <w:rPr>
                <w:rFonts w:asciiTheme="majorHAnsi" w:hAnsiTheme="majorHAnsi" w:cstheme="majorHAnsi"/>
                <w:color w:val="000000"/>
              </w:rPr>
              <w:t>Low Income</w:t>
            </w:r>
            <w:proofErr w:type="gramEnd"/>
            <w:r w:rsidRPr="009B6110">
              <w:rPr>
                <w:rFonts w:asciiTheme="majorHAnsi" w:hAnsiTheme="majorHAnsi" w:cstheme="majorHAnsi"/>
                <w:color w:val="000000"/>
              </w:rPr>
              <w:t xml:space="preserve"> Individuals and Relevance for Health</w:t>
            </w:r>
          </w:p>
        </w:tc>
        <w:tc>
          <w:tcPr>
            <w:tcW w:w="1417" w:type="dxa"/>
            <w:shd w:val="clear" w:color="auto" w:fill="auto"/>
            <w:vAlign w:val="center"/>
          </w:tcPr>
          <w:p w14:paraId="2C9C9C0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0F1A5FF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Neighbourhood Reputation, Neighbourhood Safety</w:t>
            </w:r>
          </w:p>
        </w:tc>
        <w:tc>
          <w:tcPr>
            <w:tcW w:w="1303" w:type="dxa"/>
            <w:shd w:val="clear" w:color="auto" w:fill="auto"/>
            <w:noWrap/>
            <w:vAlign w:val="bottom"/>
          </w:tcPr>
          <w:p w14:paraId="01E0025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center"/>
          </w:tcPr>
          <w:p w14:paraId="09C57568"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w:t>
            </w:r>
          </w:p>
        </w:tc>
      </w:tr>
      <w:tr w:rsidR="00F00E3D" w:rsidRPr="009B6110" w14:paraId="4B444F8C" w14:textId="77777777" w:rsidTr="009B2FA7">
        <w:trPr>
          <w:trHeight w:val="20"/>
        </w:trPr>
        <w:tc>
          <w:tcPr>
            <w:tcW w:w="1801" w:type="dxa"/>
            <w:shd w:val="clear" w:color="auto" w:fill="auto"/>
            <w:noWrap/>
            <w:vAlign w:val="center"/>
          </w:tcPr>
          <w:p w14:paraId="6655265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6BADAA0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Burns, J. K.</w:t>
            </w:r>
          </w:p>
        </w:tc>
        <w:tc>
          <w:tcPr>
            <w:tcW w:w="993" w:type="dxa"/>
            <w:shd w:val="clear" w:color="auto" w:fill="auto"/>
            <w:noWrap/>
            <w:vAlign w:val="center"/>
          </w:tcPr>
          <w:p w14:paraId="0061C6FD"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2015</w:t>
            </w:r>
          </w:p>
        </w:tc>
        <w:tc>
          <w:tcPr>
            <w:tcW w:w="2835" w:type="dxa"/>
            <w:shd w:val="clear" w:color="auto" w:fill="auto"/>
            <w:vAlign w:val="center"/>
          </w:tcPr>
          <w:p w14:paraId="421B7A9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Poverty, inequality and a political economy of mental health</w:t>
            </w:r>
          </w:p>
        </w:tc>
        <w:tc>
          <w:tcPr>
            <w:tcW w:w="1417" w:type="dxa"/>
            <w:shd w:val="clear" w:color="auto" w:fill="auto"/>
            <w:vAlign w:val="center"/>
          </w:tcPr>
          <w:p w14:paraId="333B439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039D7B7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Income, Education Level, Employment</w:t>
            </w:r>
          </w:p>
        </w:tc>
        <w:tc>
          <w:tcPr>
            <w:tcW w:w="1303" w:type="dxa"/>
            <w:shd w:val="clear" w:color="auto" w:fill="auto"/>
            <w:noWrap/>
            <w:vAlign w:val="bottom"/>
          </w:tcPr>
          <w:p w14:paraId="4B97064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non-context-specific</w:t>
            </w:r>
          </w:p>
        </w:tc>
        <w:tc>
          <w:tcPr>
            <w:tcW w:w="1026" w:type="dxa"/>
            <w:shd w:val="clear" w:color="auto" w:fill="auto"/>
            <w:noWrap/>
            <w:vAlign w:val="center"/>
          </w:tcPr>
          <w:p w14:paraId="7BD8E7DF"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36</w:t>
            </w:r>
          </w:p>
        </w:tc>
      </w:tr>
      <w:tr w:rsidR="00F00E3D" w:rsidRPr="009B6110" w14:paraId="20000DB9" w14:textId="77777777" w:rsidTr="009B2FA7">
        <w:trPr>
          <w:trHeight w:val="20"/>
        </w:trPr>
        <w:tc>
          <w:tcPr>
            <w:tcW w:w="1801" w:type="dxa"/>
            <w:shd w:val="clear" w:color="auto" w:fill="auto"/>
            <w:noWrap/>
            <w:vAlign w:val="center"/>
          </w:tcPr>
          <w:p w14:paraId="16AC795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71B6C88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Chahalis, E.; Daines, C.; Jensen, M.; Miller, J.</w:t>
            </w:r>
          </w:p>
        </w:tc>
        <w:tc>
          <w:tcPr>
            <w:tcW w:w="993" w:type="dxa"/>
            <w:shd w:val="clear" w:color="auto" w:fill="auto"/>
            <w:noWrap/>
            <w:vAlign w:val="center"/>
          </w:tcPr>
          <w:p w14:paraId="0C37D46A"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2020</w:t>
            </w:r>
          </w:p>
        </w:tc>
        <w:tc>
          <w:tcPr>
            <w:tcW w:w="2835" w:type="dxa"/>
            <w:shd w:val="clear" w:color="auto" w:fill="auto"/>
            <w:vAlign w:val="center"/>
          </w:tcPr>
          <w:p w14:paraId="54DC933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HIA on affordable housing policies and its effect on health and services of vulnerable populations</w:t>
            </w:r>
          </w:p>
        </w:tc>
        <w:tc>
          <w:tcPr>
            <w:tcW w:w="1417" w:type="dxa"/>
            <w:shd w:val="clear" w:color="auto" w:fill="auto"/>
            <w:vAlign w:val="center"/>
          </w:tcPr>
          <w:p w14:paraId="2D0975D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5EFB459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Affordable Housing</w:t>
            </w:r>
          </w:p>
        </w:tc>
        <w:tc>
          <w:tcPr>
            <w:tcW w:w="1303" w:type="dxa"/>
            <w:shd w:val="clear" w:color="auto" w:fill="auto"/>
            <w:noWrap/>
            <w:vAlign w:val="bottom"/>
          </w:tcPr>
          <w:p w14:paraId="68A8EB4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3356B239"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0</w:t>
            </w:r>
          </w:p>
        </w:tc>
      </w:tr>
      <w:tr w:rsidR="00F00E3D" w:rsidRPr="009B6110" w14:paraId="015AC5CF" w14:textId="77777777" w:rsidTr="009B2FA7">
        <w:trPr>
          <w:trHeight w:val="20"/>
        </w:trPr>
        <w:tc>
          <w:tcPr>
            <w:tcW w:w="1801" w:type="dxa"/>
            <w:shd w:val="clear" w:color="auto" w:fill="auto"/>
            <w:noWrap/>
            <w:vAlign w:val="center"/>
          </w:tcPr>
          <w:p w14:paraId="3D1B43F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5A0AC7F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Chapman, A.; Fujii, H.; Managi, S.</w:t>
            </w:r>
          </w:p>
        </w:tc>
        <w:tc>
          <w:tcPr>
            <w:tcW w:w="993" w:type="dxa"/>
            <w:shd w:val="clear" w:color="auto" w:fill="auto"/>
            <w:noWrap/>
            <w:vAlign w:val="center"/>
          </w:tcPr>
          <w:p w14:paraId="6AA7721A"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2019</w:t>
            </w:r>
          </w:p>
        </w:tc>
        <w:tc>
          <w:tcPr>
            <w:tcW w:w="2835" w:type="dxa"/>
            <w:shd w:val="clear" w:color="auto" w:fill="auto"/>
            <w:vAlign w:val="center"/>
          </w:tcPr>
          <w:p w14:paraId="34D141F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Multinational life satisfaction, perceived inequality and energy affordability</w:t>
            </w:r>
          </w:p>
        </w:tc>
        <w:tc>
          <w:tcPr>
            <w:tcW w:w="1417" w:type="dxa"/>
            <w:shd w:val="clear" w:color="auto" w:fill="auto"/>
            <w:vAlign w:val="center"/>
          </w:tcPr>
          <w:p w14:paraId="5ADB5CA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2C7DF23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Energy Affordability</w:t>
            </w:r>
          </w:p>
        </w:tc>
        <w:tc>
          <w:tcPr>
            <w:tcW w:w="1303" w:type="dxa"/>
            <w:shd w:val="clear" w:color="auto" w:fill="auto"/>
            <w:noWrap/>
            <w:vAlign w:val="bottom"/>
          </w:tcPr>
          <w:p w14:paraId="76C224B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Global</w:t>
            </w:r>
          </w:p>
        </w:tc>
        <w:tc>
          <w:tcPr>
            <w:tcW w:w="1026" w:type="dxa"/>
            <w:shd w:val="clear" w:color="auto" w:fill="auto"/>
            <w:noWrap/>
            <w:vAlign w:val="center"/>
          </w:tcPr>
          <w:p w14:paraId="11082AB3"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6</w:t>
            </w:r>
          </w:p>
        </w:tc>
      </w:tr>
      <w:tr w:rsidR="00F00E3D" w:rsidRPr="009B6110" w14:paraId="762F0206" w14:textId="77777777" w:rsidTr="009B2FA7">
        <w:trPr>
          <w:trHeight w:val="20"/>
        </w:trPr>
        <w:tc>
          <w:tcPr>
            <w:tcW w:w="1801" w:type="dxa"/>
            <w:shd w:val="clear" w:color="auto" w:fill="auto"/>
            <w:noWrap/>
            <w:vAlign w:val="center"/>
          </w:tcPr>
          <w:p w14:paraId="1263533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lastRenderedPageBreak/>
              <w:t>Journal Article</w:t>
            </w:r>
          </w:p>
        </w:tc>
        <w:tc>
          <w:tcPr>
            <w:tcW w:w="2168" w:type="dxa"/>
            <w:shd w:val="clear" w:color="auto" w:fill="auto"/>
            <w:vAlign w:val="center"/>
          </w:tcPr>
          <w:p w14:paraId="077B531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Coley, Rebekah Levine; Kull, Melissa; Leventhal, Tama; Lynch, Alicia Doyle</w:t>
            </w:r>
          </w:p>
        </w:tc>
        <w:tc>
          <w:tcPr>
            <w:tcW w:w="993" w:type="dxa"/>
            <w:shd w:val="clear" w:color="auto" w:fill="auto"/>
            <w:noWrap/>
            <w:vAlign w:val="center"/>
          </w:tcPr>
          <w:p w14:paraId="212FB253"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2014</w:t>
            </w:r>
          </w:p>
        </w:tc>
        <w:tc>
          <w:tcPr>
            <w:tcW w:w="2835" w:type="dxa"/>
            <w:shd w:val="clear" w:color="auto" w:fill="auto"/>
            <w:vAlign w:val="center"/>
          </w:tcPr>
          <w:p w14:paraId="3DD8D9E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Links with Children's Well-Being: Profiles of Housing and Neighborhood Contexts Among Low-Income Families</w:t>
            </w:r>
          </w:p>
        </w:tc>
        <w:tc>
          <w:tcPr>
            <w:tcW w:w="1417" w:type="dxa"/>
            <w:shd w:val="clear" w:color="auto" w:fill="auto"/>
            <w:vAlign w:val="center"/>
          </w:tcPr>
          <w:p w14:paraId="432B660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72F57E5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Affordable Housing, Quality Housing, Neighbourhood Safety</w:t>
            </w:r>
          </w:p>
        </w:tc>
        <w:tc>
          <w:tcPr>
            <w:tcW w:w="1303" w:type="dxa"/>
            <w:shd w:val="clear" w:color="auto" w:fill="auto"/>
            <w:noWrap/>
            <w:vAlign w:val="bottom"/>
          </w:tcPr>
          <w:p w14:paraId="4EFDD0F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7A464E19"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30</w:t>
            </w:r>
          </w:p>
        </w:tc>
      </w:tr>
      <w:tr w:rsidR="00F00E3D" w:rsidRPr="009B6110" w14:paraId="7545EA1C" w14:textId="77777777" w:rsidTr="009B2FA7">
        <w:trPr>
          <w:trHeight w:val="20"/>
        </w:trPr>
        <w:tc>
          <w:tcPr>
            <w:tcW w:w="1801" w:type="dxa"/>
            <w:shd w:val="clear" w:color="auto" w:fill="auto"/>
            <w:noWrap/>
            <w:vAlign w:val="center"/>
          </w:tcPr>
          <w:p w14:paraId="046DA49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7D4F9A1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Cooper, Lisa A.; Purnell, Tanjala S.; Showell, Nakiya N.; Ibe, Chidinma A.; Crews, Deidra C.; Gaskin, Darrell J.; Foti, Kathryn; Thornton Rachel, L. J.</w:t>
            </w:r>
          </w:p>
        </w:tc>
        <w:tc>
          <w:tcPr>
            <w:tcW w:w="993" w:type="dxa"/>
            <w:shd w:val="clear" w:color="auto" w:fill="auto"/>
            <w:noWrap/>
            <w:vAlign w:val="center"/>
          </w:tcPr>
          <w:p w14:paraId="71D7DD90"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2018</w:t>
            </w:r>
          </w:p>
        </w:tc>
        <w:tc>
          <w:tcPr>
            <w:tcW w:w="2835" w:type="dxa"/>
            <w:shd w:val="clear" w:color="auto" w:fill="auto"/>
            <w:vAlign w:val="center"/>
          </w:tcPr>
          <w:p w14:paraId="015BE2E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Progress on Major Public Health Challenges: The Importance of Equity</w:t>
            </w:r>
          </w:p>
        </w:tc>
        <w:tc>
          <w:tcPr>
            <w:tcW w:w="1417" w:type="dxa"/>
            <w:shd w:val="clear" w:color="auto" w:fill="auto"/>
            <w:vAlign w:val="center"/>
          </w:tcPr>
          <w:p w14:paraId="3D1CD96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16CC958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Discrimination, Income, Social Diversity, Quality Housing, Education Funding, Access to Employment opportunities, Neighbourhood Safety, Access to Health Care, Access to Services</w:t>
            </w:r>
          </w:p>
        </w:tc>
        <w:tc>
          <w:tcPr>
            <w:tcW w:w="1303" w:type="dxa"/>
            <w:shd w:val="clear" w:color="auto" w:fill="auto"/>
            <w:noWrap/>
            <w:vAlign w:val="bottom"/>
          </w:tcPr>
          <w:p w14:paraId="4190B32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6734F272"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7</w:t>
            </w:r>
          </w:p>
        </w:tc>
      </w:tr>
      <w:tr w:rsidR="00F00E3D" w:rsidRPr="009B6110" w14:paraId="7901654D" w14:textId="77777777" w:rsidTr="009B2FA7">
        <w:trPr>
          <w:trHeight w:val="20"/>
        </w:trPr>
        <w:tc>
          <w:tcPr>
            <w:tcW w:w="1801" w:type="dxa"/>
            <w:shd w:val="clear" w:color="auto" w:fill="auto"/>
            <w:noWrap/>
            <w:vAlign w:val="center"/>
          </w:tcPr>
          <w:p w14:paraId="1633273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Book Section</w:t>
            </w:r>
          </w:p>
        </w:tc>
        <w:tc>
          <w:tcPr>
            <w:tcW w:w="2168" w:type="dxa"/>
            <w:shd w:val="clear" w:color="auto" w:fill="auto"/>
            <w:vAlign w:val="center"/>
          </w:tcPr>
          <w:p w14:paraId="43732F6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Corburn, Jason</w:t>
            </w:r>
          </w:p>
        </w:tc>
        <w:tc>
          <w:tcPr>
            <w:tcW w:w="993" w:type="dxa"/>
            <w:shd w:val="clear" w:color="auto" w:fill="auto"/>
            <w:noWrap/>
            <w:vAlign w:val="center"/>
          </w:tcPr>
          <w:p w14:paraId="34ED9F5D"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2018</w:t>
            </w:r>
          </w:p>
        </w:tc>
        <w:tc>
          <w:tcPr>
            <w:tcW w:w="2835" w:type="dxa"/>
            <w:shd w:val="clear" w:color="auto" w:fill="auto"/>
            <w:vAlign w:val="center"/>
          </w:tcPr>
          <w:p w14:paraId="1B0787A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PROMOTING HEALTH EQUITY THROUGH COMMUNITY PLANNING</w:t>
            </w:r>
          </w:p>
        </w:tc>
        <w:tc>
          <w:tcPr>
            <w:tcW w:w="1417" w:type="dxa"/>
            <w:shd w:val="clear" w:color="auto" w:fill="auto"/>
            <w:vAlign w:val="center"/>
          </w:tcPr>
          <w:p w14:paraId="0AECF05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3ECCC9B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Discrimination, Social Exclusion</w:t>
            </w:r>
          </w:p>
        </w:tc>
        <w:tc>
          <w:tcPr>
            <w:tcW w:w="1303" w:type="dxa"/>
            <w:shd w:val="clear" w:color="auto" w:fill="auto"/>
            <w:noWrap/>
            <w:vAlign w:val="bottom"/>
          </w:tcPr>
          <w:p w14:paraId="51634D5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bottom"/>
          </w:tcPr>
          <w:p w14:paraId="699AF6F8"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w:t>
            </w:r>
          </w:p>
        </w:tc>
      </w:tr>
      <w:tr w:rsidR="00F00E3D" w:rsidRPr="009B6110" w14:paraId="1EF53295" w14:textId="77777777" w:rsidTr="009B2FA7">
        <w:trPr>
          <w:trHeight w:val="20"/>
        </w:trPr>
        <w:tc>
          <w:tcPr>
            <w:tcW w:w="1801" w:type="dxa"/>
            <w:shd w:val="clear" w:color="auto" w:fill="auto"/>
            <w:noWrap/>
            <w:vAlign w:val="center"/>
          </w:tcPr>
          <w:p w14:paraId="459839A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7BE981A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Danso, K.</w:t>
            </w:r>
          </w:p>
        </w:tc>
        <w:tc>
          <w:tcPr>
            <w:tcW w:w="993" w:type="dxa"/>
            <w:shd w:val="clear" w:color="auto" w:fill="auto"/>
            <w:noWrap/>
            <w:vAlign w:val="center"/>
          </w:tcPr>
          <w:p w14:paraId="4820D643"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2017</w:t>
            </w:r>
          </w:p>
        </w:tc>
        <w:tc>
          <w:tcPr>
            <w:tcW w:w="2835" w:type="dxa"/>
            <w:shd w:val="clear" w:color="auto" w:fill="auto"/>
            <w:vAlign w:val="center"/>
          </w:tcPr>
          <w:p w14:paraId="2EC8B17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Immigrant health disparities: Does neighborliness improve health?</w:t>
            </w:r>
          </w:p>
        </w:tc>
        <w:tc>
          <w:tcPr>
            <w:tcW w:w="1417" w:type="dxa"/>
            <w:shd w:val="clear" w:color="auto" w:fill="auto"/>
            <w:vAlign w:val="center"/>
          </w:tcPr>
          <w:p w14:paraId="644CF60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77863AA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Demographics, Income</w:t>
            </w:r>
          </w:p>
        </w:tc>
        <w:tc>
          <w:tcPr>
            <w:tcW w:w="1303" w:type="dxa"/>
            <w:shd w:val="clear" w:color="auto" w:fill="auto"/>
            <w:noWrap/>
            <w:vAlign w:val="bottom"/>
          </w:tcPr>
          <w:p w14:paraId="73863FD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004CD788"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w:t>
            </w:r>
          </w:p>
        </w:tc>
      </w:tr>
      <w:tr w:rsidR="00F00E3D" w:rsidRPr="009B6110" w14:paraId="01255862" w14:textId="77777777" w:rsidTr="009B2FA7">
        <w:trPr>
          <w:trHeight w:val="20"/>
        </w:trPr>
        <w:tc>
          <w:tcPr>
            <w:tcW w:w="1801" w:type="dxa"/>
            <w:shd w:val="clear" w:color="auto" w:fill="auto"/>
            <w:noWrap/>
            <w:vAlign w:val="center"/>
          </w:tcPr>
          <w:p w14:paraId="3FA23E1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4E35F1C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Daoud, N.; Haque, N.; Gao, M.; Nisenbaum, R.; Muntaner, C.; O’Campo, P.</w:t>
            </w:r>
          </w:p>
        </w:tc>
        <w:tc>
          <w:tcPr>
            <w:tcW w:w="993" w:type="dxa"/>
            <w:shd w:val="clear" w:color="auto" w:fill="auto"/>
            <w:noWrap/>
            <w:vAlign w:val="center"/>
          </w:tcPr>
          <w:p w14:paraId="0688E97D"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2016</w:t>
            </w:r>
          </w:p>
        </w:tc>
        <w:tc>
          <w:tcPr>
            <w:tcW w:w="2835" w:type="dxa"/>
            <w:shd w:val="clear" w:color="auto" w:fill="auto"/>
            <w:vAlign w:val="center"/>
          </w:tcPr>
          <w:p w14:paraId="4D72087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Neighborhood settings, types of social capital and depression among immigrants in Toronto</w:t>
            </w:r>
          </w:p>
        </w:tc>
        <w:tc>
          <w:tcPr>
            <w:tcW w:w="1417" w:type="dxa"/>
            <w:shd w:val="clear" w:color="auto" w:fill="auto"/>
            <w:vAlign w:val="center"/>
          </w:tcPr>
          <w:p w14:paraId="2ABCD0C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28A2E1B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Social Cohesion</w:t>
            </w:r>
          </w:p>
        </w:tc>
        <w:tc>
          <w:tcPr>
            <w:tcW w:w="1303" w:type="dxa"/>
            <w:shd w:val="clear" w:color="auto" w:fill="auto"/>
            <w:noWrap/>
            <w:vAlign w:val="bottom"/>
          </w:tcPr>
          <w:p w14:paraId="0BBA583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Canada</w:t>
            </w:r>
          </w:p>
        </w:tc>
        <w:tc>
          <w:tcPr>
            <w:tcW w:w="1026" w:type="dxa"/>
            <w:shd w:val="clear" w:color="auto" w:fill="auto"/>
            <w:noWrap/>
            <w:vAlign w:val="center"/>
          </w:tcPr>
          <w:p w14:paraId="06D6FFF0"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11</w:t>
            </w:r>
          </w:p>
        </w:tc>
      </w:tr>
      <w:tr w:rsidR="00F00E3D" w:rsidRPr="009B6110" w14:paraId="24A834B2" w14:textId="77777777" w:rsidTr="009B2FA7">
        <w:trPr>
          <w:trHeight w:val="20"/>
        </w:trPr>
        <w:tc>
          <w:tcPr>
            <w:tcW w:w="1801" w:type="dxa"/>
            <w:shd w:val="clear" w:color="auto" w:fill="auto"/>
            <w:noWrap/>
            <w:vAlign w:val="center"/>
          </w:tcPr>
          <w:p w14:paraId="10BC51F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23A02FB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Edwards, N.; Cohen, E. R. M.</w:t>
            </w:r>
          </w:p>
        </w:tc>
        <w:tc>
          <w:tcPr>
            <w:tcW w:w="993" w:type="dxa"/>
            <w:shd w:val="clear" w:color="auto" w:fill="auto"/>
            <w:noWrap/>
            <w:vAlign w:val="center"/>
          </w:tcPr>
          <w:p w14:paraId="5353686B"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2012</w:t>
            </w:r>
          </w:p>
        </w:tc>
        <w:tc>
          <w:tcPr>
            <w:tcW w:w="2835" w:type="dxa"/>
            <w:shd w:val="clear" w:color="auto" w:fill="auto"/>
            <w:vAlign w:val="center"/>
          </w:tcPr>
          <w:p w14:paraId="41D9A66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Joining up action to address social determinants of health and health inequities in Canada</w:t>
            </w:r>
          </w:p>
        </w:tc>
        <w:tc>
          <w:tcPr>
            <w:tcW w:w="1417" w:type="dxa"/>
            <w:shd w:val="clear" w:color="auto" w:fill="auto"/>
            <w:vAlign w:val="center"/>
          </w:tcPr>
          <w:p w14:paraId="55D1913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63BBBB1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Income, Education Level, Environment</w:t>
            </w:r>
          </w:p>
        </w:tc>
        <w:tc>
          <w:tcPr>
            <w:tcW w:w="1303" w:type="dxa"/>
            <w:shd w:val="clear" w:color="auto" w:fill="auto"/>
            <w:noWrap/>
            <w:vAlign w:val="bottom"/>
          </w:tcPr>
          <w:p w14:paraId="3406888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Canada</w:t>
            </w:r>
          </w:p>
        </w:tc>
        <w:tc>
          <w:tcPr>
            <w:tcW w:w="1026" w:type="dxa"/>
            <w:shd w:val="clear" w:color="auto" w:fill="auto"/>
            <w:noWrap/>
            <w:vAlign w:val="center"/>
          </w:tcPr>
          <w:p w14:paraId="79B15F76"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w:t>
            </w:r>
          </w:p>
        </w:tc>
      </w:tr>
      <w:tr w:rsidR="00F00E3D" w:rsidRPr="009B6110" w14:paraId="400637B3" w14:textId="77777777" w:rsidTr="009B2FA7">
        <w:trPr>
          <w:trHeight w:val="20"/>
        </w:trPr>
        <w:tc>
          <w:tcPr>
            <w:tcW w:w="1801" w:type="dxa"/>
            <w:shd w:val="clear" w:color="auto" w:fill="auto"/>
            <w:noWrap/>
            <w:vAlign w:val="center"/>
          </w:tcPr>
          <w:p w14:paraId="63FA49D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13EF60E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Finkelstein, D. M.; Petersen, D. M.; Schottenfeld, L. S.</w:t>
            </w:r>
          </w:p>
        </w:tc>
        <w:tc>
          <w:tcPr>
            <w:tcW w:w="993" w:type="dxa"/>
            <w:shd w:val="clear" w:color="auto" w:fill="auto"/>
            <w:noWrap/>
            <w:vAlign w:val="center"/>
          </w:tcPr>
          <w:p w14:paraId="616610D4"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2017</w:t>
            </w:r>
          </w:p>
        </w:tc>
        <w:tc>
          <w:tcPr>
            <w:tcW w:w="2835" w:type="dxa"/>
            <w:shd w:val="clear" w:color="auto" w:fill="auto"/>
            <w:vAlign w:val="center"/>
          </w:tcPr>
          <w:p w14:paraId="23A07FB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Promoting children's physical activity in low-income communities in Colorado: What are the barriers and opportunities?</w:t>
            </w:r>
          </w:p>
        </w:tc>
        <w:tc>
          <w:tcPr>
            <w:tcW w:w="1417" w:type="dxa"/>
            <w:shd w:val="clear" w:color="auto" w:fill="auto"/>
            <w:vAlign w:val="center"/>
          </w:tcPr>
          <w:p w14:paraId="5F505C2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28EB573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Affordability, Neighbourhood Safety, Crimes, Access to Facilities, Access to Transport, Physical Environment, Access to Health Information, Social Capital</w:t>
            </w:r>
          </w:p>
        </w:tc>
        <w:tc>
          <w:tcPr>
            <w:tcW w:w="1303" w:type="dxa"/>
            <w:shd w:val="clear" w:color="auto" w:fill="auto"/>
            <w:noWrap/>
            <w:vAlign w:val="bottom"/>
          </w:tcPr>
          <w:p w14:paraId="677DFB7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67263683"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12</w:t>
            </w:r>
          </w:p>
        </w:tc>
      </w:tr>
      <w:tr w:rsidR="00F00E3D" w:rsidRPr="009B6110" w14:paraId="019F9997" w14:textId="77777777" w:rsidTr="009B2FA7">
        <w:trPr>
          <w:trHeight w:val="20"/>
        </w:trPr>
        <w:tc>
          <w:tcPr>
            <w:tcW w:w="1801" w:type="dxa"/>
            <w:shd w:val="clear" w:color="auto" w:fill="auto"/>
            <w:noWrap/>
            <w:vAlign w:val="center"/>
          </w:tcPr>
          <w:p w14:paraId="4993AE6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Report</w:t>
            </w:r>
          </w:p>
        </w:tc>
        <w:tc>
          <w:tcPr>
            <w:tcW w:w="2168" w:type="dxa"/>
            <w:shd w:val="clear" w:color="auto" w:fill="auto"/>
            <w:vAlign w:val="center"/>
          </w:tcPr>
          <w:p w14:paraId="4195D612" w14:textId="77777777" w:rsidR="00F00E3D" w:rsidRPr="009B6110" w:rsidRDefault="00F00E3D" w:rsidP="009B2FA7">
            <w:pPr>
              <w:spacing w:after="0" w:line="240" w:lineRule="auto"/>
              <w:rPr>
                <w:rFonts w:asciiTheme="majorHAnsi" w:hAnsiTheme="majorHAnsi" w:cstheme="majorHAnsi"/>
                <w:color w:val="000000"/>
              </w:rPr>
            </w:pPr>
            <w:r w:rsidRPr="009B6110">
              <w:rPr>
                <w:rFonts w:asciiTheme="majorHAnsi" w:hAnsiTheme="majorHAnsi" w:cstheme="majorHAnsi"/>
                <w:color w:val="000000" w:themeColor="text1"/>
              </w:rPr>
              <w:t>Australian Institute of Health</w:t>
            </w:r>
          </w:p>
          <w:p w14:paraId="2C423CA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themeColor="text1"/>
              </w:rPr>
              <w:t>Welfare</w:t>
            </w:r>
          </w:p>
        </w:tc>
        <w:tc>
          <w:tcPr>
            <w:tcW w:w="993" w:type="dxa"/>
            <w:shd w:val="clear" w:color="auto" w:fill="auto"/>
            <w:noWrap/>
            <w:vAlign w:val="center"/>
          </w:tcPr>
          <w:p w14:paraId="041E3495"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2019</w:t>
            </w:r>
          </w:p>
        </w:tc>
        <w:tc>
          <w:tcPr>
            <w:tcW w:w="2835" w:type="dxa"/>
            <w:shd w:val="clear" w:color="auto" w:fill="auto"/>
            <w:vAlign w:val="center"/>
          </w:tcPr>
          <w:p w14:paraId="15D3DE0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Australia's welfare 2019: in brief</w:t>
            </w:r>
          </w:p>
        </w:tc>
        <w:tc>
          <w:tcPr>
            <w:tcW w:w="1417" w:type="dxa"/>
            <w:shd w:val="clear" w:color="auto" w:fill="auto"/>
            <w:vAlign w:val="center"/>
          </w:tcPr>
          <w:p w14:paraId="7BFA226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46061A5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Social Engagement, Quality of Social Networks, Wealth, Individual Health, Employment, </w:t>
            </w:r>
            <w:r w:rsidRPr="009B6110">
              <w:rPr>
                <w:rFonts w:asciiTheme="majorHAnsi" w:hAnsiTheme="majorHAnsi" w:cstheme="majorHAnsi"/>
                <w:color w:val="000000"/>
              </w:rPr>
              <w:lastRenderedPageBreak/>
              <w:t>Skills, Housing, Personal Behaviours, Demographics, Physical Environment, Governmental Policy, Economic Conditions</w:t>
            </w:r>
          </w:p>
        </w:tc>
        <w:tc>
          <w:tcPr>
            <w:tcW w:w="1303" w:type="dxa"/>
            <w:shd w:val="clear" w:color="auto" w:fill="auto"/>
            <w:noWrap/>
            <w:vAlign w:val="bottom"/>
          </w:tcPr>
          <w:p w14:paraId="732E38E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lastRenderedPageBreak/>
              <w:t>Australia</w:t>
            </w:r>
          </w:p>
        </w:tc>
        <w:tc>
          <w:tcPr>
            <w:tcW w:w="1026" w:type="dxa"/>
            <w:shd w:val="clear" w:color="auto" w:fill="auto"/>
            <w:noWrap/>
            <w:vAlign w:val="bottom"/>
          </w:tcPr>
          <w:p w14:paraId="4F4ABF74"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w:t>
            </w:r>
          </w:p>
        </w:tc>
      </w:tr>
      <w:tr w:rsidR="00F00E3D" w:rsidRPr="009B6110" w14:paraId="64BA7E87" w14:textId="77777777" w:rsidTr="009B2FA7">
        <w:trPr>
          <w:trHeight w:val="20"/>
        </w:trPr>
        <w:tc>
          <w:tcPr>
            <w:tcW w:w="1801" w:type="dxa"/>
            <w:shd w:val="clear" w:color="auto" w:fill="auto"/>
            <w:noWrap/>
            <w:vAlign w:val="center"/>
          </w:tcPr>
          <w:p w14:paraId="62D3DE2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Report</w:t>
            </w:r>
          </w:p>
        </w:tc>
        <w:tc>
          <w:tcPr>
            <w:tcW w:w="2168" w:type="dxa"/>
            <w:shd w:val="clear" w:color="auto" w:fill="auto"/>
            <w:vAlign w:val="center"/>
          </w:tcPr>
          <w:p w14:paraId="74FEE6D2" w14:textId="77777777" w:rsidR="00F00E3D" w:rsidRPr="009B6110" w:rsidRDefault="00F00E3D" w:rsidP="009B2FA7">
            <w:pPr>
              <w:spacing w:after="0" w:line="240" w:lineRule="auto"/>
              <w:rPr>
                <w:rFonts w:asciiTheme="majorHAnsi" w:hAnsiTheme="majorHAnsi" w:cstheme="majorHAnsi"/>
                <w:color w:val="000000"/>
              </w:rPr>
            </w:pPr>
            <w:r w:rsidRPr="009B6110">
              <w:rPr>
                <w:rFonts w:asciiTheme="majorHAnsi" w:hAnsiTheme="majorHAnsi" w:cstheme="majorHAnsi"/>
                <w:color w:val="000000" w:themeColor="text1"/>
              </w:rPr>
              <w:t>Australian Institute of Health</w:t>
            </w:r>
          </w:p>
          <w:p w14:paraId="71E9EB5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themeColor="text1"/>
              </w:rPr>
              <w:t>Welfare</w:t>
            </w:r>
          </w:p>
        </w:tc>
        <w:tc>
          <w:tcPr>
            <w:tcW w:w="993" w:type="dxa"/>
            <w:shd w:val="clear" w:color="auto" w:fill="auto"/>
            <w:noWrap/>
            <w:vAlign w:val="center"/>
          </w:tcPr>
          <w:p w14:paraId="35F75056"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2020</w:t>
            </w:r>
          </w:p>
        </w:tc>
        <w:tc>
          <w:tcPr>
            <w:tcW w:w="2835" w:type="dxa"/>
            <w:shd w:val="clear" w:color="auto" w:fill="auto"/>
            <w:vAlign w:val="center"/>
          </w:tcPr>
          <w:p w14:paraId="6BD1CF5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Built environment and health</w:t>
            </w:r>
          </w:p>
        </w:tc>
        <w:tc>
          <w:tcPr>
            <w:tcW w:w="1417" w:type="dxa"/>
            <w:shd w:val="clear" w:color="auto" w:fill="auto"/>
            <w:vAlign w:val="center"/>
          </w:tcPr>
          <w:p w14:paraId="6B0BAC6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39E27C15" w14:textId="10A265A2"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Physical Environment, Access to Transport, </w:t>
            </w:r>
            <w:r w:rsidR="00203685" w:rsidRPr="009B6110">
              <w:rPr>
                <w:rFonts w:asciiTheme="majorHAnsi" w:hAnsiTheme="majorHAnsi" w:cstheme="majorHAnsi"/>
                <w:color w:val="000000"/>
              </w:rPr>
              <w:t>Access</w:t>
            </w:r>
            <w:r w:rsidRPr="009B6110">
              <w:rPr>
                <w:rFonts w:asciiTheme="majorHAnsi" w:hAnsiTheme="majorHAnsi" w:cstheme="majorHAnsi"/>
                <w:color w:val="000000"/>
              </w:rPr>
              <w:t xml:space="preserve"> to Affordable &amp; Good Quality Food, Housing</w:t>
            </w:r>
          </w:p>
        </w:tc>
        <w:tc>
          <w:tcPr>
            <w:tcW w:w="1303" w:type="dxa"/>
            <w:shd w:val="clear" w:color="auto" w:fill="auto"/>
            <w:noWrap/>
            <w:vAlign w:val="bottom"/>
          </w:tcPr>
          <w:p w14:paraId="40BF0B2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7C1C4CC8"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0</w:t>
            </w:r>
          </w:p>
        </w:tc>
      </w:tr>
      <w:tr w:rsidR="00F00E3D" w:rsidRPr="009B6110" w14:paraId="71331D74" w14:textId="77777777" w:rsidTr="009B2FA7">
        <w:trPr>
          <w:trHeight w:val="20"/>
        </w:trPr>
        <w:tc>
          <w:tcPr>
            <w:tcW w:w="1801" w:type="dxa"/>
            <w:shd w:val="clear" w:color="auto" w:fill="auto"/>
            <w:noWrap/>
            <w:vAlign w:val="center"/>
          </w:tcPr>
          <w:p w14:paraId="6194F43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Report</w:t>
            </w:r>
          </w:p>
        </w:tc>
        <w:tc>
          <w:tcPr>
            <w:tcW w:w="2168" w:type="dxa"/>
            <w:shd w:val="clear" w:color="auto" w:fill="auto"/>
            <w:vAlign w:val="center"/>
          </w:tcPr>
          <w:p w14:paraId="2A697610" w14:textId="77777777" w:rsidR="00F00E3D" w:rsidRPr="009B6110" w:rsidRDefault="00F00E3D" w:rsidP="009B2FA7">
            <w:pPr>
              <w:spacing w:after="0" w:line="240" w:lineRule="auto"/>
              <w:rPr>
                <w:rFonts w:asciiTheme="majorHAnsi" w:hAnsiTheme="majorHAnsi" w:cstheme="majorHAnsi"/>
                <w:color w:val="000000"/>
              </w:rPr>
            </w:pPr>
            <w:r w:rsidRPr="009B6110">
              <w:rPr>
                <w:rFonts w:asciiTheme="majorHAnsi" w:hAnsiTheme="majorHAnsi" w:cstheme="majorHAnsi"/>
                <w:color w:val="000000" w:themeColor="text1"/>
              </w:rPr>
              <w:t>Australian Institute of Health</w:t>
            </w:r>
          </w:p>
          <w:p w14:paraId="2AE3115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themeColor="text1"/>
              </w:rPr>
              <w:t>Welfare</w:t>
            </w:r>
          </w:p>
        </w:tc>
        <w:tc>
          <w:tcPr>
            <w:tcW w:w="993" w:type="dxa"/>
            <w:shd w:val="clear" w:color="auto" w:fill="auto"/>
            <w:noWrap/>
            <w:vAlign w:val="center"/>
          </w:tcPr>
          <w:p w14:paraId="641DF68C"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2020</w:t>
            </w:r>
          </w:p>
        </w:tc>
        <w:tc>
          <w:tcPr>
            <w:tcW w:w="2835" w:type="dxa"/>
            <w:shd w:val="clear" w:color="auto" w:fill="auto"/>
            <w:vAlign w:val="center"/>
          </w:tcPr>
          <w:p w14:paraId="6C8849E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Social determinants of health</w:t>
            </w:r>
          </w:p>
        </w:tc>
        <w:tc>
          <w:tcPr>
            <w:tcW w:w="1417" w:type="dxa"/>
            <w:shd w:val="clear" w:color="auto" w:fill="auto"/>
            <w:vAlign w:val="center"/>
          </w:tcPr>
          <w:p w14:paraId="4388E69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7603BC8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Socioeconomic Status, Early Childhood Experiences, Social Exclusion, Employment, Housing, Quality of Social Networks</w:t>
            </w:r>
          </w:p>
        </w:tc>
        <w:tc>
          <w:tcPr>
            <w:tcW w:w="1303" w:type="dxa"/>
            <w:shd w:val="clear" w:color="auto" w:fill="auto"/>
            <w:noWrap/>
            <w:vAlign w:val="bottom"/>
          </w:tcPr>
          <w:p w14:paraId="08642FF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06908460"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0</w:t>
            </w:r>
          </w:p>
        </w:tc>
      </w:tr>
      <w:tr w:rsidR="00F00E3D" w:rsidRPr="009B6110" w14:paraId="0B31E418" w14:textId="77777777" w:rsidTr="009B2FA7">
        <w:trPr>
          <w:trHeight w:val="20"/>
        </w:trPr>
        <w:tc>
          <w:tcPr>
            <w:tcW w:w="1801" w:type="dxa"/>
            <w:shd w:val="clear" w:color="auto" w:fill="auto"/>
            <w:noWrap/>
            <w:vAlign w:val="center"/>
          </w:tcPr>
          <w:p w14:paraId="50FDEF6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38D599B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Hernández, D.</w:t>
            </w:r>
          </w:p>
        </w:tc>
        <w:tc>
          <w:tcPr>
            <w:tcW w:w="993" w:type="dxa"/>
            <w:shd w:val="clear" w:color="auto" w:fill="auto"/>
            <w:noWrap/>
            <w:vAlign w:val="center"/>
          </w:tcPr>
          <w:p w14:paraId="757782EE"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2014</w:t>
            </w:r>
          </w:p>
        </w:tc>
        <w:tc>
          <w:tcPr>
            <w:tcW w:w="2835" w:type="dxa"/>
            <w:shd w:val="clear" w:color="auto" w:fill="auto"/>
            <w:vAlign w:val="center"/>
          </w:tcPr>
          <w:p w14:paraId="04E6E92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Affording Housing at the Expense of Health: Exploring the Housing and Neighborhood Strategies of Poor Families</w:t>
            </w:r>
          </w:p>
        </w:tc>
        <w:tc>
          <w:tcPr>
            <w:tcW w:w="1417" w:type="dxa"/>
            <w:shd w:val="clear" w:color="auto" w:fill="auto"/>
            <w:vAlign w:val="center"/>
          </w:tcPr>
          <w:p w14:paraId="298B97B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6B4949A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Affordability, Housing Quality, Neighbourhood Safety</w:t>
            </w:r>
          </w:p>
        </w:tc>
        <w:tc>
          <w:tcPr>
            <w:tcW w:w="1303" w:type="dxa"/>
            <w:shd w:val="clear" w:color="auto" w:fill="auto"/>
            <w:noWrap/>
            <w:vAlign w:val="bottom"/>
          </w:tcPr>
          <w:p w14:paraId="759BB8F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72142DE7"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16</w:t>
            </w:r>
          </w:p>
        </w:tc>
      </w:tr>
      <w:tr w:rsidR="00F00E3D" w:rsidRPr="009B6110" w14:paraId="311B6BDB" w14:textId="77777777" w:rsidTr="009B2FA7">
        <w:trPr>
          <w:trHeight w:val="20"/>
        </w:trPr>
        <w:tc>
          <w:tcPr>
            <w:tcW w:w="1801" w:type="dxa"/>
            <w:shd w:val="clear" w:color="auto" w:fill="auto"/>
            <w:noWrap/>
            <w:vAlign w:val="center"/>
          </w:tcPr>
          <w:p w14:paraId="140812D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Book</w:t>
            </w:r>
          </w:p>
        </w:tc>
        <w:tc>
          <w:tcPr>
            <w:tcW w:w="2168" w:type="dxa"/>
            <w:shd w:val="clear" w:color="auto" w:fill="auto"/>
            <w:vAlign w:val="center"/>
          </w:tcPr>
          <w:p w14:paraId="14C846D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Hulse, Kath; Jacobs, Keith; Arthurson, Kathy; Spinney, Angela</w:t>
            </w:r>
          </w:p>
        </w:tc>
        <w:tc>
          <w:tcPr>
            <w:tcW w:w="993" w:type="dxa"/>
            <w:shd w:val="clear" w:color="auto" w:fill="auto"/>
            <w:noWrap/>
            <w:vAlign w:val="center"/>
          </w:tcPr>
          <w:p w14:paraId="62531D98"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2011</w:t>
            </w:r>
          </w:p>
        </w:tc>
        <w:tc>
          <w:tcPr>
            <w:tcW w:w="2835" w:type="dxa"/>
            <w:shd w:val="clear" w:color="auto" w:fill="auto"/>
            <w:vAlign w:val="center"/>
          </w:tcPr>
          <w:p w14:paraId="29A3287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At home and in place? The role of housing in social inclusion</w:t>
            </w:r>
          </w:p>
        </w:tc>
        <w:tc>
          <w:tcPr>
            <w:tcW w:w="1417" w:type="dxa"/>
            <w:shd w:val="clear" w:color="auto" w:fill="auto"/>
            <w:vAlign w:val="center"/>
          </w:tcPr>
          <w:p w14:paraId="7354F5D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1D67F5F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Affordable Housing</w:t>
            </w:r>
          </w:p>
        </w:tc>
        <w:tc>
          <w:tcPr>
            <w:tcW w:w="1303" w:type="dxa"/>
            <w:shd w:val="clear" w:color="auto" w:fill="auto"/>
            <w:noWrap/>
            <w:vAlign w:val="bottom"/>
          </w:tcPr>
          <w:p w14:paraId="385331A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6AA40331"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26</w:t>
            </w:r>
          </w:p>
        </w:tc>
      </w:tr>
      <w:tr w:rsidR="00F00E3D" w:rsidRPr="009B6110" w14:paraId="4F279432" w14:textId="77777777" w:rsidTr="009B2FA7">
        <w:trPr>
          <w:trHeight w:val="20"/>
        </w:trPr>
        <w:tc>
          <w:tcPr>
            <w:tcW w:w="1801" w:type="dxa"/>
            <w:shd w:val="clear" w:color="auto" w:fill="auto"/>
            <w:noWrap/>
            <w:vAlign w:val="center"/>
          </w:tcPr>
          <w:p w14:paraId="0405907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6484124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Kenyon, Kristi Heather; Forman, Lisa; Brolan, Claire E.</w:t>
            </w:r>
          </w:p>
        </w:tc>
        <w:tc>
          <w:tcPr>
            <w:tcW w:w="993" w:type="dxa"/>
            <w:shd w:val="clear" w:color="auto" w:fill="auto"/>
            <w:noWrap/>
            <w:vAlign w:val="center"/>
          </w:tcPr>
          <w:p w14:paraId="39BD061B"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2018</w:t>
            </w:r>
          </w:p>
        </w:tc>
        <w:tc>
          <w:tcPr>
            <w:tcW w:w="2835" w:type="dxa"/>
            <w:shd w:val="clear" w:color="auto" w:fill="auto"/>
            <w:vAlign w:val="center"/>
          </w:tcPr>
          <w:p w14:paraId="23A0000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Deepening the Relationship between Human Rights and the Social Determinants of Health: A Focus on Indivisibility and Power</w:t>
            </w:r>
          </w:p>
        </w:tc>
        <w:tc>
          <w:tcPr>
            <w:tcW w:w="1417" w:type="dxa"/>
            <w:shd w:val="clear" w:color="auto" w:fill="auto"/>
            <w:vAlign w:val="center"/>
          </w:tcPr>
          <w:p w14:paraId="4C2D7AD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07CF28D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Human Rights Policy</w:t>
            </w:r>
          </w:p>
        </w:tc>
        <w:tc>
          <w:tcPr>
            <w:tcW w:w="1303" w:type="dxa"/>
            <w:shd w:val="clear" w:color="auto" w:fill="auto"/>
            <w:noWrap/>
            <w:vAlign w:val="bottom"/>
          </w:tcPr>
          <w:p w14:paraId="315F38B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Global</w:t>
            </w:r>
          </w:p>
        </w:tc>
        <w:tc>
          <w:tcPr>
            <w:tcW w:w="1026" w:type="dxa"/>
            <w:shd w:val="clear" w:color="auto" w:fill="auto"/>
            <w:noWrap/>
            <w:vAlign w:val="bottom"/>
          </w:tcPr>
          <w:p w14:paraId="2D0FB88C"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9</w:t>
            </w:r>
          </w:p>
        </w:tc>
      </w:tr>
      <w:tr w:rsidR="00F00E3D" w:rsidRPr="009B6110" w14:paraId="658310D2" w14:textId="77777777" w:rsidTr="009B2FA7">
        <w:trPr>
          <w:trHeight w:val="20"/>
        </w:trPr>
        <w:tc>
          <w:tcPr>
            <w:tcW w:w="1801" w:type="dxa"/>
            <w:shd w:val="clear" w:color="auto" w:fill="auto"/>
            <w:noWrap/>
            <w:vAlign w:val="center"/>
          </w:tcPr>
          <w:p w14:paraId="3C6D2AF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43170A2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Kim, D.; Saada, A.</w:t>
            </w:r>
          </w:p>
        </w:tc>
        <w:tc>
          <w:tcPr>
            <w:tcW w:w="993" w:type="dxa"/>
            <w:shd w:val="clear" w:color="auto" w:fill="auto"/>
            <w:noWrap/>
            <w:vAlign w:val="center"/>
          </w:tcPr>
          <w:p w14:paraId="65EE00CA"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2013</w:t>
            </w:r>
          </w:p>
        </w:tc>
        <w:tc>
          <w:tcPr>
            <w:tcW w:w="2835" w:type="dxa"/>
            <w:shd w:val="clear" w:color="auto" w:fill="auto"/>
            <w:vAlign w:val="center"/>
          </w:tcPr>
          <w:p w14:paraId="76A1382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The social determinants of infant mortality and birth outcomes in western developed nations: A cross-country systematic review</w:t>
            </w:r>
          </w:p>
        </w:tc>
        <w:tc>
          <w:tcPr>
            <w:tcW w:w="1417" w:type="dxa"/>
            <w:shd w:val="clear" w:color="auto" w:fill="auto"/>
            <w:vAlign w:val="center"/>
          </w:tcPr>
          <w:p w14:paraId="21F4D45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4881E34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Income, Area Effects, Social Capital, Social Policy</w:t>
            </w:r>
          </w:p>
        </w:tc>
        <w:tc>
          <w:tcPr>
            <w:tcW w:w="1303" w:type="dxa"/>
            <w:shd w:val="clear" w:color="auto" w:fill="auto"/>
            <w:noWrap/>
            <w:vAlign w:val="bottom"/>
          </w:tcPr>
          <w:p w14:paraId="39F9931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United States; Western Europe</w:t>
            </w:r>
          </w:p>
        </w:tc>
        <w:tc>
          <w:tcPr>
            <w:tcW w:w="1026" w:type="dxa"/>
            <w:shd w:val="clear" w:color="auto" w:fill="auto"/>
            <w:noWrap/>
            <w:vAlign w:val="center"/>
          </w:tcPr>
          <w:p w14:paraId="368D4B0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129</w:t>
            </w:r>
          </w:p>
        </w:tc>
      </w:tr>
      <w:tr w:rsidR="00F00E3D" w:rsidRPr="009B6110" w14:paraId="690F6A00" w14:textId="77777777" w:rsidTr="009B2FA7">
        <w:trPr>
          <w:trHeight w:val="20"/>
        </w:trPr>
        <w:tc>
          <w:tcPr>
            <w:tcW w:w="1801" w:type="dxa"/>
            <w:shd w:val="clear" w:color="auto" w:fill="auto"/>
            <w:noWrap/>
            <w:vAlign w:val="center"/>
          </w:tcPr>
          <w:p w14:paraId="70292F9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Serial</w:t>
            </w:r>
          </w:p>
        </w:tc>
        <w:tc>
          <w:tcPr>
            <w:tcW w:w="2168" w:type="dxa"/>
            <w:shd w:val="clear" w:color="auto" w:fill="auto"/>
            <w:vAlign w:val="center"/>
          </w:tcPr>
          <w:p w14:paraId="7714866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Kondo, M. C.; Andreyeva, E.; South, E. C.; MacDonald, J. M.; Branas, C. C.</w:t>
            </w:r>
          </w:p>
        </w:tc>
        <w:tc>
          <w:tcPr>
            <w:tcW w:w="993" w:type="dxa"/>
            <w:shd w:val="clear" w:color="auto" w:fill="auto"/>
            <w:noWrap/>
            <w:vAlign w:val="center"/>
          </w:tcPr>
          <w:p w14:paraId="69742A40"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2018</w:t>
            </w:r>
          </w:p>
        </w:tc>
        <w:tc>
          <w:tcPr>
            <w:tcW w:w="2835" w:type="dxa"/>
            <w:shd w:val="clear" w:color="auto" w:fill="auto"/>
            <w:vAlign w:val="center"/>
          </w:tcPr>
          <w:p w14:paraId="2885D29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Neighborhood Interventions to Reduce Violence</w:t>
            </w:r>
          </w:p>
        </w:tc>
        <w:tc>
          <w:tcPr>
            <w:tcW w:w="1417" w:type="dxa"/>
            <w:shd w:val="clear" w:color="auto" w:fill="auto"/>
            <w:vAlign w:val="center"/>
          </w:tcPr>
          <w:p w14:paraId="30EB94B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58B4DF0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Violence</w:t>
            </w:r>
          </w:p>
        </w:tc>
        <w:tc>
          <w:tcPr>
            <w:tcW w:w="1303" w:type="dxa"/>
            <w:shd w:val="clear" w:color="auto" w:fill="auto"/>
            <w:noWrap/>
            <w:vAlign w:val="bottom"/>
          </w:tcPr>
          <w:p w14:paraId="2DDC483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76CB1C73"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32</w:t>
            </w:r>
          </w:p>
        </w:tc>
      </w:tr>
      <w:tr w:rsidR="00F00E3D" w:rsidRPr="009B6110" w14:paraId="70527EAA" w14:textId="77777777" w:rsidTr="009B2FA7">
        <w:trPr>
          <w:trHeight w:val="20"/>
        </w:trPr>
        <w:tc>
          <w:tcPr>
            <w:tcW w:w="1801" w:type="dxa"/>
            <w:shd w:val="clear" w:color="auto" w:fill="auto"/>
            <w:noWrap/>
            <w:vAlign w:val="center"/>
          </w:tcPr>
          <w:p w14:paraId="0F62768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lastRenderedPageBreak/>
              <w:t>Journal Article</w:t>
            </w:r>
          </w:p>
        </w:tc>
        <w:tc>
          <w:tcPr>
            <w:tcW w:w="2168" w:type="dxa"/>
            <w:shd w:val="clear" w:color="auto" w:fill="auto"/>
            <w:vAlign w:val="center"/>
          </w:tcPr>
          <w:p w14:paraId="4F696AB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Lambie-Mumford, H.</w:t>
            </w:r>
          </w:p>
        </w:tc>
        <w:tc>
          <w:tcPr>
            <w:tcW w:w="993" w:type="dxa"/>
            <w:shd w:val="clear" w:color="auto" w:fill="auto"/>
            <w:noWrap/>
            <w:vAlign w:val="center"/>
          </w:tcPr>
          <w:p w14:paraId="1A30A4C3"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2013</w:t>
            </w:r>
          </w:p>
        </w:tc>
        <w:tc>
          <w:tcPr>
            <w:tcW w:w="2835" w:type="dxa"/>
            <w:shd w:val="clear" w:color="auto" w:fill="auto"/>
            <w:vAlign w:val="center"/>
          </w:tcPr>
          <w:p w14:paraId="572D86F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Regeneration and food poverty in the United Kingdom: Learning from the new deal for </w:t>
            </w:r>
            <w:proofErr w:type="gramStart"/>
            <w:r w:rsidRPr="009B6110">
              <w:rPr>
                <w:rFonts w:asciiTheme="majorHAnsi" w:hAnsiTheme="majorHAnsi" w:cstheme="majorHAnsi"/>
                <w:color w:val="000000"/>
              </w:rPr>
              <w:t>communities</w:t>
            </w:r>
            <w:proofErr w:type="gramEnd"/>
            <w:r w:rsidRPr="009B6110">
              <w:rPr>
                <w:rFonts w:asciiTheme="majorHAnsi" w:hAnsiTheme="majorHAnsi" w:cstheme="majorHAnsi"/>
                <w:color w:val="000000"/>
              </w:rPr>
              <w:t xml:space="preserve"> programme</w:t>
            </w:r>
          </w:p>
        </w:tc>
        <w:tc>
          <w:tcPr>
            <w:tcW w:w="1417" w:type="dxa"/>
            <w:shd w:val="clear" w:color="auto" w:fill="auto"/>
            <w:vAlign w:val="center"/>
          </w:tcPr>
          <w:p w14:paraId="08A0499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0833E9B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Access to Affordable &amp; Good Quality Food, Income Poverty</w:t>
            </w:r>
          </w:p>
        </w:tc>
        <w:tc>
          <w:tcPr>
            <w:tcW w:w="1303" w:type="dxa"/>
            <w:shd w:val="clear" w:color="auto" w:fill="auto"/>
            <w:noWrap/>
            <w:vAlign w:val="bottom"/>
          </w:tcPr>
          <w:p w14:paraId="4A9AE73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UK</w:t>
            </w:r>
          </w:p>
        </w:tc>
        <w:tc>
          <w:tcPr>
            <w:tcW w:w="1026" w:type="dxa"/>
            <w:shd w:val="clear" w:color="auto" w:fill="auto"/>
            <w:noWrap/>
            <w:vAlign w:val="center"/>
          </w:tcPr>
          <w:p w14:paraId="33A587AB"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4</w:t>
            </w:r>
          </w:p>
        </w:tc>
      </w:tr>
      <w:tr w:rsidR="00F00E3D" w:rsidRPr="009B6110" w14:paraId="0C735273" w14:textId="77777777" w:rsidTr="009B2FA7">
        <w:trPr>
          <w:trHeight w:val="20"/>
        </w:trPr>
        <w:tc>
          <w:tcPr>
            <w:tcW w:w="1801" w:type="dxa"/>
            <w:shd w:val="clear" w:color="auto" w:fill="auto"/>
            <w:noWrap/>
            <w:vAlign w:val="center"/>
          </w:tcPr>
          <w:p w14:paraId="27D22DE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Book</w:t>
            </w:r>
          </w:p>
        </w:tc>
        <w:tc>
          <w:tcPr>
            <w:tcW w:w="2168" w:type="dxa"/>
            <w:shd w:val="clear" w:color="auto" w:fill="auto"/>
            <w:vAlign w:val="center"/>
          </w:tcPr>
          <w:p w14:paraId="4537D15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Madantpour, A.; Cars, G.; Allen, J.</w:t>
            </w:r>
          </w:p>
        </w:tc>
        <w:tc>
          <w:tcPr>
            <w:tcW w:w="993" w:type="dxa"/>
            <w:shd w:val="clear" w:color="auto" w:fill="auto"/>
            <w:noWrap/>
            <w:vAlign w:val="center"/>
          </w:tcPr>
          <w:p w14:paraId="0967731E"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2012</w:t>
            </w:r>
          </w:p>
        </w:tc>
        <w:tc>
          <w:tcPr>
            <w:tcW w:w="2835" w:type="dxa"/>
            <w:shd w:val="clear" w:color="auto" w:fill="auto"/>
            <w:vAlign w:val="center"/>
          </w:tcPr>
          <w:p w14:paraId="60B7FE5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Social exclusion in European cities: Processes, experiences and responses</w:t>
            </w:r>
          </w:p>
        </w:tc>
        <w:tc>
          <w:tcPr>
            <w:tcW w:w="1417" w:type="dxa"/>
            <w:shd w:val="clear" w:color="auto" w:fill="auto"/>
            <w:vAlign w:val="center"/>
          </w:tcPr>
          <w:p w14:paraId="0DA4610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762A860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Social Exclusion</w:t>
            </w:r>
          </w:p>
        </w:tc>
        <w:tc>
          <w:tcPr>
            <w:tcW w:w="1303" w:type="dxa"/>
            <w:shd w:val="clear" w:color="auto" w:fill="auto"/>
            <w:noWrap/>
            <w:vAlign w:val="bottom"/>
          </w:tcPr>
          <w:p w14:paraId="5864C7D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Europe</w:t>
            </w:r>
          </w:p>
        </w:tc>
        <w:tc>
          <w:tcPr>
            <w:tcW w:w="1026" w:type="dxa"/>
            <w:shd w:val="clear" w:color="auto" w:fill="auto"/>
            <w:noWrap/>
            <w:vAlign w:val="center"/>
          </w:tcPr>
          <w:p w14:paraId="2D540C94"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w:t>
            </w:r>
          </w:p>
        </w:tc>
      </w:tr>
      <w:tr w:rsidR="00F00E3D" w:rsidRPr="009B6110" w14:paraId="6791C349" w14:textId="77777777" w:rsidTr="009B2FA7">
        <w:trPr>
          <w:trHeight w:val="20"/>
        </w:trPr>
        <w:tc>
          <w:tcPr>
            <w:tcW w:w="1801" w:type="dxa"/>
            <w:shd w:val="clear" w:color="auto" w:fill="auto"/>
            <w:noWrap/>
            <w:vAlign w:val="center"/>
          </w:tcPr>
          <w:p w14:paraId="3F2EC09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Generic</w:t>
            </w:r>
          </w:p>
        </w:tc>
        <w:tc>
          <w:tcPr>
            <w:tcW w:w="2168" w:type="dxa"/>
            <w:shd w:val="clear" w:color="auto" w:fill="auto"/>
            <w:vAlign w:val="center"/>
          </w:tcPr>
          <w:p w14:paraId="7F9F779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Marmot, Michael; Allen, Jessica J</w:t>
            </w:r>
          </w:p>
        </w:tc>
        <w:tc>
          <w:tcPr>
            <w:tcW w:w="993" w:type="dxa"/>
            <w:shd w:val="clear" w:color="auto" w:fill="auto"/>
            <w:noWrap/>
            <w:vAlign w:val="center"/>
          </w:tcPr>
          <w:p w14:paraId="23BC8732"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2014</w:t>
            </w:r>
          </w:p>
        </w:tc>
        <w:tc>
          <w:tcPr>
            <w:tcW w:w="2835" w:type="dxa"/>
            <w:shd w:val="clear" w:color="auto" w:fill="auto"/>
            <w:vAlign w:val="center"/>
          </w:tcPr>
          <w:p w14:paraId="129B55D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Social determinants of health equity</w:t>
            </w:r>
          </w:p>
        </w:tc>
        <w:tc>
          <w:tcPr>
            <w:tcW w:w="1417" w:type="dxa"/>
            <w:shd w:val="clear" w:color="auto" w:fill="auto"/>
            <w:vAlign w:val="center"/>
          </w:tcPr>
          <w:p w14:paraId="6C3805C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3C4338E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Social Qualities</w:t>
            </w:r>
          </w:p>
        </w:tc>
        <w:tc>
          <w:tcPr>
            <w:tcW w:w="1303" w:type="dxa"/>
            <w:shd w:val="clear" w:color="auto" w:fill="auto"/>
            <w:noWrap/>
            <w:vAlign w:val="bottom"/>
          </w:tcPr>
          <w:p w14:paraId="79EACF0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bottom"/>
          </w:tcPr>
          <w:p w14:paraId="40145871"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366</w:t>
            </w:r>
          </w:p>
        </w:tc>
      </w:tr>
      <w:tr w:rsidR="00F00E3D" w:rsidRPr="009B6110" w14:paraId="7F167337" w14:textId="77777777" w:rsidTr="009B2FA7">
        <w:trPr>
          <w:trHeight w:val="20"/>
        </w:trPr>
        <w:tc>
          <w:tcPr>
            <w:tcW w:w="1801" w:type="dxa"/>
            <w:shd w:val="clear" w:color="auto" w:fill="auto"/>
            <w:noWrap/>
            <w:vAlign w:val="center"/>
          </w:tcPr>
          <w:p w14:paraId="5DFDB85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6996906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McGill, E.; Egan, M.; Petticrew, M.; Mountford, L.; Milton, S.; Whitehead, M.; Lock, K.</w:t>
            </w:r>
          </w:p>
        </w:tc>
        <w:tc>
          <w:tcPr>
            <w:tcW w:w="993" w:type="dxa"/>
            <w:shd w:val="clear" w:color="auto" w:fill="auto"/>
            <w:noWrap/>
            <w:vAlign w:val="center"/>
          </w:tcPr>
          <w:p w14:paraId="502E268B"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2015</w:t>
            </w:r>
          </w:p>
        </w:tc>
        <w:tc>
          <w:tcPr>
            <w:tcW w:w="2835" w:type="dxa"/>
            <w:shd w:val="clear" w:color="auto" w:fill="auto"/>
            <w:vAlign w:val="center"/>
          </w:tcPr>
          <w:p w14:paraId="158970A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Trading quality for relevance: Non-health decision-makers' use of evidence on the social determinants of health</w:t>
            </w:r>
          </w:p>
        </w:tc>
        <w:tc>
          <w:tcPr>
            <w:tcW w:w="1417" w:type="dxa"/>
            <w:shd w:val="clear" w:color="auto" w:fill="auto"/>
            <w:vAlign w:val="center"/>
          </w:tcPr>
          <w:p w14:paraId="54B3551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7ED4237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Access to Services, Local Government Policy</w:t>
            </w:r>
          </w:p>
        </w:tc>
        <w:tc>
          <w:tcPr>
            <w:tcW w:w="1303" w:type="dxa"/>
            <w:shd w:val="clear" w:color="auto" w:fill="auto"/>
            <w:noWrap/>
            <w:vAlign w:val="bottom"/>
          </w:tcPr>
          <w:p w14:paraId="2B60F9A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Global</w:t>
            </w:r>
          </w:p>
        </w:tc>
        <w:tc>
          <w:tcPr>
            <w:tcW w:w="1026" w:type="dxa"/>
            <w:shd w:val="clear" w:color="auto" w:fill="auto"/>
            <w:noWrap/>
            <w:vAlign w:val="center"/>
          </w:tcPr>
          <w:p w14:paraId="42562D5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29</w:t>
            </w:r>
          </w:p>
        </w:tc>
      </w:tr>
      <w:tr w:rsidR="00F00E3D" w:rsidRPr="009B6110" w14:paraId="6FF414C9" w14:textId="77777777" w:rsidTr="009B2FA7">
        <w:trPr>
          <w:trHeight w:val="20"/>
        </w:trPr>
        <w:tc>
          <w:tcPr>
            <w:tcW w:w="1801" w:type="dxa"/>
            <w:shd w:val="clear" w:color="auto" w:fill="auto"/>
            <w:noWrap/>
            <w:vAlign w:val="center"/>
          </w:tcPr>
          <w:p w14:paraId="1B4EF48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3F088A8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Newman, Lareen; Javanparast, Sara; Baum, Fran; Hutchinson, Claire</w:t>
            </w:r>
          </w:p>
        </w:tc>
        <w:tc>
          <w:tcPr>
            <w:tcW w:w="993" w:type="dxa"/>
            <w:shd w:val="clear" w:color="auto" w:fill="auto"/>
            <w:noWrap/>
            <w:vAlign w:val="center"/>
          </w:tcPr>
          <w:p w14:paraId="45B75DEB"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2014</w:t>
            </w:r>
          </w:p>
        </w:tc>
        <w:tc>
          <w:tcPr>
            <w:tcW w:w="2835" w:type="dxa"/>
            <w:shd w:val="clear" w:color="auto" w:fill="auto"/>
            <w:vAlign w:val="center"/>
          </w:tcPr>
          <w:p w14:paraId="269AEA6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Evidence Review; Settings for Addressing the Social Determinants of Health Inequities</w:t>
            </w:r>
          </w:p>
        </w:tc>
        <w:tc>
          <w:tcPr>
            <w:tcW w:w="1417" w:type="dxa"/>
            <w:shd w:val="clear" w:color="auto" w:fill="auto"/>
            <w:vAlign w:val="center"/>
          </w:tcPr>
          <w:p w14:paraId="201EFF5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603717A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Individual Health, Housing</w:t>
            </w:r>
          </w:p>
        </w:tc>
        <w:tc>
          <w:tcPr>
            <w:tcW w:w="1303" w:type="dxa"/>
            <w:shd w:val="clear" w:color="auto" w:fill="auto"/>
            <w:noWrap/>
            <w:vAlign w:val="bottom"/>
          </w:tcPr>
          <w:p w14:paraId="3C935A7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Global</w:t>
            </w:r>
          </w:p>
        </w:tc>
        <w:tc>
          <w:tcPr>
            <w:tcW w:w="1026" w:type="dxa"/>
            <w:shd w:val="clear" w:color="auto" w:fill="auto"/>
            <w:noWrap/>
            <w:vAlign w:val="bottom"/>
          </w:tcPr>
          <w:p w14:paraId="7C01E67C"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5</w:t>
            </w:r>
          </w:p>
        </w:tc>
      </w:tr>
      <w:tr w:rsidR="00F00E3D" w:rsidRPr="009B6110" w14:paraId="486FE42E" w14:textId="77777777" w:rsidTr="009B2FA7">
        <w:trPr>
          <w:trHeight w:val="20"/>
        </w:trPr>
        <w:tc>
          <w:tcPr>
            <w:tcW w:w="1801" w:type="dxa"/>
            <w:shd w:val="clear" w:color="auto" w:fill="auto"/>
            <w:noWrap/>
            <w:vAlign w:val="center"/>
          </w:tcPr>
          <w:p w14:paraId="01CE590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643A650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Ottersen, O. P.; Dasgupta, J.; Blouin, C.; Buss, P.; Chongsuvivatwong, V.; Frenk, J.; Fukuda-Parr, S.; Gawanas, B. P.; Giacaman, R.; Gyapong, J.; Leaning, J.; Marmot, M.; McNeill, D.; Mongella, G. I.; Moyo, N.; Møgedal, S.; Ntsaluba, A.; Ooms, G.; Bjertness, E.; Lie, A. L.; Moon, S.; </w:t>
            </w:r>
            <w:r w:rsidRPr="009B6110">
              <w:rPr>
                <w:rFonts w:asciiTheme="majorHAnsi" w:hAnsiTheme="majorHAnsi" w:cstheme="majorHAnsi"/>
                <w:color w:val="000000"/>
              </w:rPr>
              <w:lastRenderedPageBreak/>
              <w:t>Roalkvam, S.; Sandberg, K. I.; Scheel, I. B.</w:t>
            </w:r>
          </w:p>
        </w:tc>
        <w:tc>
          <w:tcPr>
            <w:tcW w:w="993" w:type="dxa"/>
            <w:shd w:val="clear" w:color="auto" w:fill="auto"/>
            <w:noWrap/>
            <w:vAlign w:val="center"/>
          </w:tcPr>
          <w:p w14:paraId="2F43285F"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lastRenderedPageBreak/>
              <w:t>2014</w:t>
            </w:r>
          </w:p>
        </w:tc>
        <w:tc>
          <w:tcPr>
            <w:tcW w:w="2835" w:type="dxa"/>
            <w:shd w:val="clear" w:color="auto" w:fill="auto"/>
            <w:vAlign w:val="center"/>
          </w:tcPr>
          <w:p w14:paraId="3E70990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The political origins of health inequity: Prospects for change</w:t>
            </w:r>
          </w:p>
        </w:tc>
        <w:tc>
          <w:tcPr>
            <w:tcW w:w="1417" w:type="dxa"/>
            <w:shd w:val="clear" w:color="auto" w:fill="auto"/>
            <w:vAlign w:val="center"/>
          </w:tcPr>
          <w:p w14:paraId="00AB9D8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52C7F54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Global Political Policy</w:t>
            </w:r>
          </w:p>
        </w:tc>
        <w:tc>
          <w:tcPr>
            <w:tcW w:w="1303" w:type="dxa"/>
            <w:shd w:val="clear" w:color="auto" w:fill="auto"/>
            <w:noWrap/>
            <w:vAlign w:val="bottom"/>
          </w:tcPr>
          <w:p w14:paraId="5C1A64F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Global</w:t>
            </w:r>
          </w:p>
        </w:tc>
        <w:tc>
          <w:tcPr>
            <w:tcW w:w="1026" w:type="dxa"/>
            <w:shd w:val="clear" w:color="auto" w:fill="auto"/>
            <w:noWrap/>
            <w:vAlign w:val="center"/>
          </w:tcPr>
          <w:p w14:paraId="7BA01C70"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270</w:t>
            </w:r>
          </w:p>
        </w:tc>
      </w:tr>
      <w:tr w:rsidR="00F00E3D" w:rsidRPr="009B6110" w14:paraId="06EB6CF9" w14:textId="77777777" w:rsidTr="009B2FA7">
        <w:trPr>
          <w:trHeight w:val="20"/>
        </w:trPr>
        <w:tc>
          <w:tcPr>
            <w:tcW w:w="1801" w:type="dxa"/>
            <w:shd w:val="clear" w:color="auto" w:fill="auto"/>
            <w:noWrap/>
            <w:vAlign w:val="center"/>
          </w:tcPr>
          <w:p w14:paraId="07919D5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784DEA4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Poortinga, Wouter</w:t>
            </w:r>
          </w:p>
        </w:tc>
        <w:tc>
          <w:tcPr>
            <w:tcW w:w="993" w:type="dxa"/>
            <w:shd w:val="clear" w:color="auto" w:fill="auto"/>
            <w:noWrap/>
            <w:vAlign w:val="center"/>
          </w:tcPr>
          <w:p w14:paraId="602146D6"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2012</w:t>
            </w:r>
          </w:p>
        </w:tc>
        <w:tc>
          <w:tcPr>
            <w:tcW w:w="2835" w:type="dxa"/>
            <w:shd w:val="clear" w:color="auto" w:fill="auto"/>
            <w:vAlign w:val="center"/>
          </w:tcPr>
          <w:p w14:paraId="77A75DA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Community resilience and health: The role of bonding, bridging, and linking aspects of social capital</w:t>
            </w:r>
          </w:p>
        </w:tc>
        <w:tc>
          <w:tcPr>
            <w:tcW w:w="1417" w:type="dxa"/>
            <w:shd w:val="clear" w:color="auto" w:fill="auto"/>
            <w:vAlign w:val="center"/>
          </w:tcPr>
          <w:p w14:paraId="6ABFB3D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576239F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Social Capital </w:t>
            </w:r>
          </w:p>
        </w:tc>
        <w:tc>
          <w:tcPr>
            <w:tcW w:w="1303" w:type="dxa"/>
            <w:shd w:val="clear" w:color="auto" w:fill="auto"/>
            <w:noWrap/>
            <w:vAlign w:val="bottom"/>
          </w:tcPr>
          <w:p w14:paraId="6E564E7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UK</w:t>
            </w:r>
          </w:p>
        </w:tc>
        <w:tc>
          <w:tcPr>
            <w:tcW w:w="1026" w:type="dxa"/>
            <w:shd w:val="clear" w:color="auto" w:fill="auto"/>
            <w:noWrap/>
            <w:vAlign w:val="center"/>
          </w:tcPr>
          <w:p w14:paraId="000CD246"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187</w:t>
            </w:r>
          </w:p>
        </w:tc>
      </w:tr>
      <w:tr w:rsidR="00F00E3D" w:rsidRPr="009B6110" w14:paraId="6E27D20A" w14:textId="77777777" w:rsidTr="009B2FA7">
        <w:trPr>
          <w:trHeight w:val="20"/>
        </w:trPr>
        <w:tc>
          <w:tcPr>
            <w:tcW w:w="1801" w:type="dxa"/>
            <w:shd w:val="clear" w:color="auto" w:fill="auto"/>
            <w:noWrap/>
            <w:vAlign w:val="center"/>
          </w:tcPr>
          <w:p w14:paraId="10C0400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3A64730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Prattley, J.; Buffel, T.; Marshall, A.; Nazroo, J.</w:t>
            </w:r>
          </w:p>
        </w:tc>
        <w:tc>
          <w:tcPr>
            <w:tcW w:w="993" w:type="dxa"/>
            <w:shd w:val="clear" w:color="auto" w:fill="auto"/>
            <w:noWrap/>
            <w:vAlign w:val="center"/>
          </w:tcPr>
          <w:p w14:paraId="3A9D7CD9"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2020</w:t>
            </w:r>
          </w:p>
        </w:tc>
        <w:tc>
          <w:tcPr>
            <w:tcW w:w="2835" w:type="dxa"/>
            <w:shd w:val="clear" w:color="auto" w:fill="auto"/>
            <w:vAlign w:val="center"/>
          </w:tcPr>
          <w:p w14:paraId="46CB660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Area effects on the level and development of social exclusion in later life</w:t>
            </w:r>
          </w:p>
        </w:tc>
        <w:tc>
          <w:tcPr>
            <w:tcW w:w="1417" w:type="dxa"/>
            <w:shd w:val="clear" w:color="auto" w:fill="auto"/>
            <w:vAlign w:val="center"/>
          </w:tcPr>
          <w:p w14:paraId="0415E22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5692A4B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Access to Facilities, Access to Services, Social Capital, Physical Activity Level, Quality of Social Networks</w:t>
            </w:r>
          </w:p>
        </w:tc>
        <w:tc>
          <w:tcPr>
            <w:tcW w:w="1303" w:type="dxa"/>
            <w:shd w:val="clear" w:color="auto" w:fill="auto"/>
            <w:noWrap/>
            <w:vAlign w:val="bottom"/>
          </w:tcPr>
          <w:p w14:paraId="52C5446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UK</w:t>
            </w:r>
          </w:p>
        </w:tc>
        <w:tc>
          <w:tcPr>
            <w:tcW w:w="1026" w:type="dxa"/>
            <w:shd w:val="clear" w:color="auto" w:fill="auto"/>
            <w:noWrap/>
            <w:vAlign w:val="center"/>
          </w:tcPr>
          <w:p w14:paraId="74DD703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6</w:t>
            </w:r>
          </w:p>
        </w:tc>
      </w:tr>
      <w:tr w:rsidR="00F00E3D" w:rsidRPr="009B6110" w14:paraId="2BD92859" w14:textId="77777777" w:rsidTr="009B2FA7">
        <w:trPr>
          <w:trHeight w:val="20"/>
        </w:trPr>
        <w:tc>
          <w:tcPr>
            <w:tcW w:w="1801" w:type="dxa"/>
            <w:shd w:val="clear" w:color="auto" w:fill="auto"/>
            <w:noWrap/>
            <w:vAlign w:val="center"/>
          </w:tcPr>
          <w:p w14:paraId="08B1A97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22BF205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Shield, Margaret; Graham, Melissa; Taket, Ann</w:t>
            </w:r>
          </w:p>
        </w:tc>
        <w:tc>
          <w:tcPr>
            <w:tcW w:w="993" w:type="dxa"/>
            <w:shd w:val="clear" w:color="auto" w:fill="auto"/>
            <w:noWrap/>
            <w:vAlign w:val="center"/>
          </w:tcPr>
          <w:p w14:paraId="19493301"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2011</w:t>
            </w:r>
          </w:p>
        </w:tc>
        <w:tc>
          <w:tcPr>
            <w:tcW w:w="2835" w:type="dxa"/>
            <w:shd w:val="clear" w:color="auto" w:fill="auto"/>
            <w:vAlign w:val="center"/>
          </w:tcPr>
          <w:p w14:paraId="28366F1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Neighbourhood renewal in Victoria, Australia: An effective way to address social inclusion</w:t>
            </w:r>
          </w:p>
        </w:tc>
        <w:tc>
          <w:tcPr>
            <w:tcW w:w="1417" w:type="dxa"/>
            <w:shd w:val="clear" w:color="auto" w:fill="auto"/>
            <w:vAlign w:val="center"/>
          </w:tcPr>
          <w:p w14:paraId="4B50113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bottom"/>
          </w:tcPr>
          <w:p w14:paraId="59B0E7E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Access to Services, Social Capital</w:t>
            </w:r>
          </w:p>
        </w:tc>
        <w:tc>
          <w:tcPr>
            <w:tcW w:w="1303" w:type="dxa"/>
            <w:shd w:val="clear" w:color="auto" w:fill="auto"/>
            <w:noWrap/>
            <w:vAlign w:val="bottom"/>
          </w:tcPr>
          <w:p w14:paraId="72BD9E5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6F6FB755"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13</w:t>
            </w:r>
          </w:p>
        </w:tc>
      </w:tr>
      <w:tr w:rsidR="00F00E3D" w:rsidRPr="009B6110" w14:paraId="2C979BCD" w14:textId="77777777" w:rsidTr="009B2FA7">
        <w:trPr>
          <w:trHeight w:val="20"/>
        </w:trPr>
        <w:tc>
          <w:tcPr>
            <w:tcW w:w="1801" w:type="dxa"/>
            <w:shd w:val="clear" w:color="auto" w:fill="auto"/>
            <w:noWrap/>
            <w:vAlign w:val="center"/>
          </w:tcPr>
          <w:p w14:paraId="44EDAA8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6CB4193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Smets, Peer; Sneep, Karin</w:t>
            </w:r>
          </w:p>
        </w:tc>
        <w:tc>
          <w:tcPr>
            <w:tcW w:w="993" w:type="dxa"/>
            <w:shd w:val="clear" w:color="auto" w:fill="auto"/>
            <w:noWrap/>
            <w:vAlign w:val="center"/>
          </w:tcPr>
          <w:p w14:paraId="54375B52"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2017</w:t>
            </w:r>
          </w:p>
        </w:tc>
        <w:tc>
          <w:tcPr>
            <w:tcW w:w="2835" w:type="dxa"/>
            <w:shd w:val="clear" w:color="auto" w:fill="auto"/>
            <w:vAlign w:val="center"/>
          </w:tcPr>
          <w:p w14:paraId="6AB72FA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Tenure mix: apart or together? Home-making practices and belonging in a Dutch street</w:t>
            </w:r>
          </w:p>
        </w:tc>
        <w:tc>
          <w:tcPr>
            <w:tcW w:w="1417" w:type="dxa"/>
            <w:shd w:val="clear" w:color="auto" w:fill="auto"/>
            <w:vAlign w:val="center"/>
          </w:tcPr>
          <w:p w14:paraId="10AB215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w:t>
            </w:r>
          </w:p>
        </w:tc>
        <w:tc>
          <w:tcPr>
            <w:tcW w:w="3199" w:type="dxa"/>
            <w:shd w:val="clear" w:color="auto" w:fill="auto"/>
            <w:vAlign w:val="center"/>
          </w:tcPr>
          <w:p w14:paraId="102A9EA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Length of Stay, Sense of Belonging, Home-making Practices, Social Diversity</w:t>
            </w:r>
          </w:p>
        </w:tc>
        <w:tc>
          <w:tcPr>
            <w:tcW w:w="1303" w:type="dxa"/>
            <w:shd w:val="clear" w:color="auto" w:fill="auto"/>
            <w:noWrap/>
            <w:vAlign w:val="bottom"/>
          </w:tcPr>
          <w:p w14:paraId="4E1578A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Netherlands</w:t>
            </w:r>
          </w:p>
        </w:tc>
        <w:tc>
          <w:tcPr>
            <w:tcW w:w="1026" w:type="dxa"/>
            <w:shd w:val="clear" w:color="auto" w:fill="auto"/>
            <w:noWrap/>
            <w:vAlign w:val="center"/>
          </w:tcPr>
          <w:p w14:paraId="28C1C462"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15</w:t>
            </w:r>
          </w:p>
        </w:tc>
      </w:tr>
      <w:tr w:rsidR="00F00E3D" w:rsidRPr="009B6110" w14:paraId="7CB25169" w14:textId="77777777" w:rsidTr="009B2FA7">
        <w:trPr>
          <w:trHeight w:val="20"/>
        </w:trPr>
        <w:tc>
          <w:tcPr>
            <w:tcW w:w="1801" w:type="dxa"/>
            <w:shd w:val="clear" w:color="auto" w:fill="auto"/>
            <w:noWrap/>
            <w:vAlign w:val="center"/>
          </w:tcPr>
          <w:p w14:paraId="4F40C3C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02A3FEB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Pineo, Helen; Glonti, Ketevan; Rutter, Harry; Zimmermann, Nici; Wilkinson, Paul; Davies, Michael</w:t>
            </w:r>
          </w:p>
        </w:tc>
        <w:tc>
          <w:tcPr>
            <w:tcW w:w="993" w:type="dxa"/>
            <w:shd w:val="clear" w:color="auto" w:fill="auto"/>
            <w:noWrap/>
            <w:vAlign w:val="center"/>
          </w:tcPr>
          <w:p w14:paraId="686E8BC3"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2018</w:t>
            </w:r>
          </w:p>
        </w:tc>
        <w:tc>
          <w:tcPr>
            <w:tcW w:w="2835" w:type="dxa"/>
            <w:shd w:val="clear" w:color="auto" w:fill="auto"/>
            <w:vAlign w:val="center"/>
          </w:tcPr>
          <w:p w14:paraId="73F4B24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Urban health indicator tools of the physical environment: a systematic review</w:t>
            </w:r>
          </w:p>
        </w:tc>
        <w:tc>
          <w:tcPr>
            <w:tcW w:w="1417" w:type="dxa"/>
            <w:shd w:val="clear" w:color="auto" w:fill="auto"/>
            <w:vAlign w:val="center"/>
          </w:tcPr>
          <w:p w14:paraId="0D6810A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Health &amp; Wellbeing, Liveability</w:t>
            </w:r>
          </w:p>
        </w:tc>
        <w:tc>
          <w:tcPr>
            <w:tcW w:w="3199" w:type="dxa"/>
            <w:shd w:val="clear" w:color="auto" w:fill="auto"/>
            <w:vAlign w:val="bottom"/>
          </w:tcPr>
          <w:p w14:paraId="6C52CB3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H&amp;W (Individual Health, Access to Transport, Income, Employment, Personal Behaviours, Housing, Education Level, Access to Health Care, Access to Services, Crime, Neighbourhood Safety) Liveability ((Access to Transport, Income, Employment, Personal Behaviours, Housing, Education Level, Access to Health Care, Access to Services, Crime, Neighbourhood Safety) Liveability, Physical Activity, Cultural Activity, Physical Environment, Social Capital)</w:t>
            </w:r>
          </w:p>
        </w:tc>
        <w:tc>
          <w:tcPr>
            <w:tcW w:w="1303" w:type="dxa"/>
            <w:shd w:val="clear" w:color="auto" w:fill="auto"/>
            <w:noWrap/>
            <w:vAlign w:val="bottom"/>
          </w:tcPr>
          <w:p w14:paraId="3F4B48A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non-context-specific</w:t>
            </w:r>
          </w:p>
        </w:tc>
        <w:tc>
          <w:tcPr>
            <w:tcW w:w="1026" w:type="dxa"/>
            <w:shd w:val="clear" w:color="auto" w:fill="auto"/>
            <w:noWrap/>
            <w:vAlign w:val="bottom"/>
          </w:tcPr>
          <w:p w14:paraId="462E63AA"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w:t>
            </w:r>
          </w:p>
        </w:tc>
      </w:tr>
      <w:tr w:rsidR="00F00E3D" w:rsidRPr="009B6110" w14:paraId="369495FA" w14:textId="77777777" w:rsidTr="009B2FA7">
        <w:trPr>
          <w:trHeight w:val="20"/>
        </w:trPr>
        <w:tc>
          <w:tcPr>
            <w:tcW w:w="1801" w:type="dxa"/>
            <w:shd w:val="clear" w:color="auto" w:fill="auto"/>
            <w:noWrap/>
            <w:vAlign w:val="center"/>
          </w:tcPr>
          <w:p w14:paraId="5FEA357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lastRenderedPageBreak/>
              <w:t>Journal Article</w:t>
            </w:r>
          </w:p>
        </w:tc>
        <w:tc>
          <w:tcPr>
            <w:tcW w:w="2168" w:type="dxa"/>
            <w:shd w:val="clear" w:color="auto" w:fill="auto"/>
            <w:vAlign w:val="center"/>
          </w:tcPr>
          <w:p w14:paraId="3712B82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Hulse, Kath; Jacobs, Keith; Arthurson, Kathy; Spinney, Angela</w:t>
            </w:r>
          </w:p>
        </w:tc>
        <w:tc>
          <w:tcPr>
            <w:tcW w:w="993" w:type="dxa"/>
            <w:shd w:val="clear" w:color="auto" w:fill="auto"/>
            <w:noWrap/>
            <w:vAlign w:val="center"/>
          </w:tcPr>
          <w:p w14:paraId="642E9AE9"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2012</w:t>
            </w:r>
          </w:p>
        </w:tc>
        <w:tc>
          <w:tcPr>
            <w:tcW w:w="2835" w:type="dxa"/>
            <w:shd w:val="clear" w:color="auto" w:fill="auto"/>
            <w:vAlign w:val="center"/>
          </w:tcPr>
          <w:p w14:paraId="6AF9BD1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How does the concept of social inclusion play a role in housing policy?</w:t>
            </w:r>
          </w:p>
        </w:tc>
        <w:tc>
          <w:tcPr>
            <w:tcW w:w="1417" w:type="dxa"/>
            <w:shd w:val="clear" w:color="auto" w:fill="auto"/>
            <w:vAlign w:val="center"/>
          </w:tcPr>
          <w:p w14:paraId="09D7795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w:t>
            </w:r>
          </w:p>
        </w:tc>
        <w:tc>
          <w:tcPr>
            <w:tcW w:w="3199" w:type="dxa"/>
            <w:shd w:val="clear" w:color="auto" w:fill="auto"/>
            <w:vAlign w:val="center"/>
          </w:tcPr>
          <w:p w14:paraId="2A56C6C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Access to Facilities</w:t>
            </w:r>
          </w:p>
        </w:tc>
        <w:tc>
          <w:tcPr>
            <w:tcW w:w="1303" w:type="dxa"/>
            <w:shd w:val="clear" w:color="auto" w:fill="auto"/>
            <w:noWrap/>
            <w:vAlign w:val="bottom"/>
          </w:tcPr>
          <w:p w14:paraId="5E13FD9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center"/>
          </w:tcPr>
          <w:p w14:paraId="3FF50A2F"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w:t>
            </w:r>
          </w:p>
        </w:tc>
      </w:tr>
      <w:tr w:rsidR="00F00E3D" w:rsidRPr="009B6110" w14:paraId="380A30CD" w14:textId="77777777" w:rsidTr="009B2FA7">
        <w:trPr>
          <w:trHeight w:val="20"/>
        </w:trPr>
        <w:tc>
          <w:tcPr>
            <w:tcW w:w="1801" w:type="dxa"/>
            <w:shd w:val="clear" w:color="auto" w:fill="auto"/>
            <w:noWrap/>
            <w:vAlign w:val="center"/>
          </w:tcPr>
          <w:p w14:paraId="7D4A56A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Report</w:t>
            </w:r>
          </w:p>
        </w:tc>
        <w:tc>
          <w:tcPr>
            <w:tcW w:w="2168" w:type="dxa"/>
            <w:shd w:val="clear" w:color="auto" w:fill="auto"/>
            <w:vAlign w:val="center"/>
          </w:tcPr>
          <w:p w14:paraId="27EC60A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Leishman, C.; Ong, R.; Lester, L.; Liang, W.</w:t>
            </w:r>
          </w:p>
        </w:tc>
        <w:tc>
          <w:tcPr>
            <w:tcW w:w="993" w:type="dxa"/>
            <w:shd w:val="clear" w:color="auto" w:fill="auto"/>
            <w:noWrap/>
            <w:vAlign w:val="center"/>
          </w:tcPr>
          <w:p w14:paraId="3243A714"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2020</w:t>
            </w:r>
          </w:p>
        </w:tc>
        <w:tc>
          <w:tcPr>
            <w:tcW w:w="2835" w:type="dxa"/>
            <w:shd w:val="clear" w:color="auto" w:fill="auto"/>
            <w:vAlign w:val="center"/>
          </w:tcPr>
          <w:p w14:paraId="686D72A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Supporting Australia’s Housing System: Modelling Pandemic Policy Responses</w:t>
            </w:r>
          </w:p>
        </w:tc>
        <w:tc>
          <w:tcPr>
            <w:tcW w:w="1417" w:type="dxa"/>
            <w:shd w:val="clear" w:color="auto" w:fill="auto"/>
            <w:vAlign w:val="center"/>
          </w:tcPr>
          <w:p w14:paraId="49D40F9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w:t>
            </w:r>
          </w:p>
        </w:tc>
        <w:tc>
          <w:tcPr>
            <w:tcW w:w="3199" w:type="dxa"/>
            <w:shd w:val="clear" w:color="auto" w:fill="auto"/>
            <w:vAlign w:val="center"/>
          </w:tcPr>
          <w:p w14:paraId="6767D48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HAS</w:t>
            </w:r>
          </w:p>
        </w:tc>
        <w:tc>
          <w:tcPr>
            <w:tcW w:w="1303" w:type="dxa"/>
            <w:shd w:val="clear" w:color="auto" w:fill="auto"/>
            <w:noWrap/>
            <w:vAlign w:val="bottom"/>
          </w:tcPr>
          <w:p w14:paraId="1551E8E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026000C5"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0</w:t>
            </w:r>
          </w:p>
        </w:tc>
      </w:tr>
      <w:tr w:rsidR="00F00E3D" w:rsidRPr="009B6110" w14:paraId="5D3A9A53" w14:textId="77777777" w:rsidTr="009B2FA7">
        <w:trPr>
          <w:trHeight w:val="20"/>
        </w:trPr>
        <w:tc>
          <w:tcPr>
            <w:tcW w:w="1801" w:type="dxa"/>
            <w:shd w:val="clear" w:color="auto" w:fill="auto"/>
            <w:noWrap/>
            <w:vAlign w:val="center"/>
          </w:tcPr>
          <w:p w14:paraId="79FEFAE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45EC0C8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Orfield, M.; Stancil, W.; Luce, T.; Myott, E.</w:t>
            </w:r>
          </w:p>
        </w:tc>
        <w:tc>
          <w:tcPr>
            <w:tcW w:w="993" w:type="dxa"/>
            <w:shd w:val="clear" w:color="auto" w:fill="auto"/>
            <w:noWrap/>
            <w:vAlign w:val="center"/>
          </w:tcPr>
          <w:p w14:paraId="0BA9F2F6"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2015</w:t>
            </w:r>
          </w:p>
        </w:tc>
        <w:tc>
          <w:tcPr>
            <w:tcW w:w="2835" w:type="dxa"/>
            <w:shd w:val="clear" w:color="auto" w:fill="auto"/>
            <w:vAlign w:val="center"/>
          </w:tcPr>
          <w:p w14:paraId="11DA7F4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High Costs and Segregation in Subsidized Housing Policy</w:t>
            </w:r>
          </w:p>
        </w:tc>
        <w:tc>
          <w:tcPr>
            <w:tcW w:w="1417" w:type="dxa"/>
            <w:shd w:val="clear" w:color="auto" w:fill="auto"/>
            <w:vAlign w:val="center"/>
          </w:tcPr>
          <w:p w14:paraId="06511A8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w:t>
            </w:r>
          </w:p>
        </w:tc>
        <w:tc>
          <w:tcPr>
            <w:tcW w:w="3199" w:type="dxa"/>
            <w:shd w:val="clear" w:color="auto" w:fill="auto"/>
            <w:vAlign w:val="bottom"/>
          </w:tcPr>
          <w:p w14:paraId="7072E00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Affordable Housing</w:t>
            </w:r>
          </w:p>
        </w:tc>
        <w:tc>
          <w:tcPr>
            <w:tcW w:w="1303" w:type="dxa"/>
            <w:shd w:val="clear" w:color="auto" w:fill="auto"/>
            <w:noWrap/>
            <w:vAlign w:val="bottom"/>
          </w:tcPr>
          <w:p w14:paraId="0208DDC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293123E4"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12</w:t>
            </w:r>
          </w:p>
        </w:tc>
      </w:tr>
      <w:tr w:rsidR="00F00E3D" w:rsidRPr="009B6110" w14:paraId="5927A39F" w14:textId="77777777" w:rsidTr="009B2FA7">
        <w:trPr>
          <w:trHeight w:val="20"/>
        </w:trPr>
        <w:tc>
          <w:tcPr>
            <w:tcW w:w="1801" w:type="dxa"/>
            <w:shd w:val="clear" w:color="auto" w:fill="auto"/>
            <w:noWrap/>
            <w:vAlign w:val="center"/>
          </w:tcPr>
          <w:p w14:paraId="2C3F515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Report</w:t>
            </w:r>
          </w:p>
        </w:tc>
        <w:tc>
          <w:tcPr>
            <w:tcW w:w="2168" w:type="dxa"/>
            <w:shd w:val="clear" w:color="auto" w:fill="auto"/>
            <w:vAlign w:val="center"/>
          </w:tcPr>
          <w:p w14:paraId="14208C1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Polikoff, Alexander</w:t>
            </w:r>
          </w:p>
        </w:tc>
        <w:tc>
          <w:tcPr>
            <w:tcW w:w="993" w:type="dxa"/>
            <w:shd w:val="clear" w:color="auto" w:fill="auto"/>
            <w:noWrap/>
            <w:vAlign w:val="center"/>
          </w:tcPr>
          <w:p w14:paraId="3FAB1025"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2015</w:t>
            </w:r>
          </w:p>
        </w:tc>
        <w:tc>
          <w:tcPr>
            <w:tcW w:w="2835" w:type="dxa"/>
            <w:shd w:val="clear" w:color="auto" w:fill="auto"/>
            <w:vAlign w:val="center"/>
          </w:tcPr>
          <w:p w14:paraId="2097215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Mobility: Why Is It So Controversial?</w:t>
            </w:r>
          </w:p>
        </w:tc>
        <w:tc>
          <w:tcPr>
            <w:tcW w:w="1417" w:type="dxa"/>
            <w:shd w:val="clear" w:color="auto" w:fill="auto"/>
            <w:vAlign w:val="center"/>
          </w:tcPr>
          <w:p w14:paraId="60E73F3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w:t>
            </w:r>
          </w:p>
        </w:tc>
        <w:tc>
          <w:tcPr>
            <w:tcW w:w="3199" w:type="dxa"/>
            <w:shd w:val="clear" w:color="auto" w:fill="auto"/>
            <w:vAlign w:val="bottom"/>
          </w:tcPr>
          <w:p w14:paraId="2271837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Residential Mobility</w:t>
            </w:r>
          </w:p>
        </w:tc>
        <w:tc>
          <w:tcPr>
            <w:tcW w:w="1303" w:type="dxa"/>
            <w:shd w:val="clear" w:color="auto" w:fill="auto"/>
            <w:noWrap/>
            <w:vAlign w:val="bottom"/>
          </w:tcPr>
          <w:p w14:paraId="77CE301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3C16FE5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w:t>
            </w:r>
          </w:p>
        </w:tc>
      </w:tr>
      <w:tr w:rsidR="00F00E3D" w:rsidRPr="009B6110" w14:paraId="2D38DFD4" w14:textId="77777777" w:rsidTr="009B2FA7">
        <w:trPr>
          <w:trHeight w:val="20"/>
        </w:trPr>
        <w:tc>
          <w:tcPr>
            <w:tcW w:w="1801" w:type="dxa"/>
            <w:shd w:val="clear" w:color="auto" w:fill="auto"/>
            <w:noWrap/>
            <w:vAlign w:val="center"/>
          </w:tcPr>
          <w:p w14:paraId="60BCF30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4BC580A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Rowley, Steven</w:t>
            </w:r>
          </w:p>
        </w:tc>
        <w:tc>
          <w:tcPr>
            <w:tcW w:w="993" w:type="dxa"/>
            <w:shd w:val="clear" w:color="auto" w:fill="auto"/>
            <w:noWrap/>
            <w:vAlign w:val="center"/>
          </w:tcPr>
          <w:p w14:paraId="72E590AF"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2012</w:t>
            </w:r>
          </w:p>
        </w:tc>
        <w:tc>
          <w:tcPr>
            <w:tcW w:w="2835" w:type="dxa"/>
            <w:shd w:val="clear" w:color="auto" w:fill="auto"/>
            <w:vAlign w:val="center"/>
          </w:tcPr>
          <w:p w14:paraId="6BEC79B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affordability, housing stress and household wellbeing in Australia</w:t>
            </w:r>
          </w:p>
        </w:tc>
        <w:tc>
          <w:tcPr>
            <w:tcW w:w="1417" w:type="dxa"/>
            <w:shd w:val="clear" w:color="auto" w:fill="auto"/>
            <w:vAlign w:val="center"/>
          </w:tcPr>
          <w:p w14:paraId="6A0744B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w:t>
            </w:r>
          </w:p>
        </w:tc>
        <w:tc>
          <w:tcPr>
            <w:tcW w:w="3199" w:type="dxa"/>
            <w:shd w:val="clear" w:color="auto" w:fill="auto"/>
            <w:vAlign w:val="center"/>
          </w:tcPr>
          <w:p w14:paraId="33E4007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HAS, Household Wellbeing</w:t>
            </w:r>
          </w:p>
        </w:tc>
        <w:tc>
          <w:tcPr>
            <w:tcW w:w="1303" w:type="dxa"/>
            <w:shd w:val="clear" w:color="auto" w:fill="auto"/>
            <w:noWrap/>
            <w:vAlign w:val="bottom"/>
          </w:tcPr>
          <w:p w14:paraId="4CF2A2D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135E8C4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103</w:t>
            </w:r>
          </w:p>
        </w:tc>
      </w:tr>
      <w:tr w:rsidR="00F00E3D" w:rsidRPr="009B6110" w14:paraId="04721326" w14:textId="77777777" w:rsidTr="009B2FA7">
        <w:trPr>
          <w:trHeight w:val="20"/>
        </w:trPr>
        <w:tc>
          <w:tcPr>
            <w:tcW w:w="1801" w:type="dxa"/>
            <w:shd w:val="clear" w:color="auto" w:fill="auto"/>
            <w:noWrap/>
            <w:vAlign w:val="center"/>
          </w:tcPr>
          <w:p w14:paraId="79EFA5E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Book Section</w:t>
            </w:r>
          </w:p>
        </w:tc>
        <w:tc>
          <w:tcPr>
            <w:tcW w:w="2168" w:type="dxa"/>
            <w:shd w:val="clear" w:color="auto" w:fill="auto"/>
            <w:vAlign w:val="center"/>
          </w:tcPr>
          <w:p w14:paraId="79BC593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Sard, B.</w:t>
            </w:r>
          </w:p>
        </w:tc>
        <w:tc>
          <w:tcPr>
            <w:tcW w:w="993" w:type="dxa"/>
            <w:shd w:val="clear" w:color="auto" w:fill="auto"/>
            <w:noWrap/>
            <w:vAlign w:val="center"/>
          </w:tcPr>
          <w:p w14:paraId="49B8A6EB"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2018</w:t>
            </w:r>
          </w:p>
        </w:tc>
        <w:tc>
          <w:tcPr>
            <w:tcW w:w="2835" w:type="dxa"/>
            <w:shd w:val="clear" w:color="auto" w:fill="auto"/>
            <w:vAlign w:val="center"/>
          </w:tcPr>
          <w:p w14:paraId="4BE867E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Enabling more families with housing vouchers to access higher-opportunity neighbourhoods</w:t>
            </w:r>
          </w:p>
        </w:tc>
        <w:tc>
          <w:tcPr>
            <w:tcW w:w="1417" w:type="dxa"/>
            <w:shd w:val="clear" w:color="auto" w:fill="auto"/>
            <w:vAlign w:val="center"/>
          </w:tcPr>
          <w:p w14:paraId="2DE6DD4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w:t>
            </w:r>
          </w:p>
        </w:tc>
        <w:tc>
          <w:tcPr>
            <w:tcW w:w="3199" w:type="dxa"/>
            <w:shd w:val="clear" w:color="auto" w:fill="auto"/>
            <w:vAlign w:val="bottom"/>
          </w:tcPr>
          <w:p w14:paraId="0CC4279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Access to Affordable &amp; Good Quality Food, Neighbourhood Safety, Access to Employment, Access to Transport, Childcare</w:t>
            </w:r>
          </w:p>
        </w:tc>
        <w:tc>
          <w:tcPr>
            <w:tcW w:w="1303" w:type="dxa"/>
            <w:shd w:val="clear" w:color="auto" w:fill="auto"/>
            <w:noWrap/>
            <w:vAlign w:val="bottom"/>
          </w:tcPr>
          <w:p w14:paraId="5C2F9F2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29FA5A97"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0</w:t>
            </w:r>
          </w:p>
        </w:tc>
      </w:tr>
      <w:tr w:rsidR="00F00E3D" w:rsidRPr="009B6110" w14:paraId="655C1370" w14:textId="77777777" w:rsidTr="009B2FA7">
        <w:trPr>
          <w:trHeight w:val="20"/>
        </w:trPr>
        <w:tc>
          <w:tcPr>
            <w:tcW w:w="1801" w:type="dxa"/>
            <w:shd w:val="clear" w:color="auto" w:fill="auto"/>
            <w:noWrap/>
            <w:vAlign w:val="center"/>
          </w:tcPr>
          <w:p w14:paraId="2755467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0D7C01E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Sarkar, Somwrita; Searle, Glen</w:t>
            </w:r>
          </w:p>
        </w:tc>
        <w:tc>
          <w:tcPr>
            <w:tcW w:w="993" w:type="dxa"/>
            <w:shd w:val="clear" w:color="auto" w:fill="auto"/>
            <w:noWrap/>
            <w:vAlign w:val="center"/>
          </w:tcPr>
          <w:p w14:paraId="696255EE"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2017</w:t>
            </w:r>
          </w:p>
        </w:tc>
        <w:tc>
          <w:tcPr>
            <w:tcW w:w="2835" w:type="dxa"/>
            <w:shd w:val="clear" w:color="auto" w:fill="auto"/>
            <w:vAlign w:val="center"/>
          </w:tcPr>
          <w:p w14:paraId="7C87893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City sizes and economic inequality: role for urban planning?</w:t>
            </w:r>
          </w:p>
        </w:tc>
        <w:tc>
          <w:tcPr>
            <w:tcW w:w="1417" w:type="dxa"/>
            <w:shd w:val="clear" w:color="auto" w:fill="auto"/>
            <w:vAlign w:val="center"/>
          </w:tcPr>
          <w:p w14:paraId="76A6EEB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w:t>
            </w:r>
          </w:p>
        </w:tc>
        <w:tc>
          <w:tcPr>
            <w:tcW w:w="3199" w:type="dxa"/>
            <w:shd w:val="clear" w:color="auto" w:fill="auto"/>
            <w:vAlign w:val="bottom"/>
          </w:tcPr>
          <w:p w14:paraId="7D20110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City Size &amp; Expansion Rate</w:t>
            </w:r>
          </w:p>
        </w:tc>
        <w:tc>
          <w:tcPr>
            <w:tcW w:w="1303" w:type="dxa"/>
            <w:shd w:val="clear" w:color="auto" w:fill="auto"/>
            <w:noWrap/>
            <w:vAlign w:val="bottom"/>
          </w:tcPr>
          <w:p w14:paraId="523A4F2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21FC4126"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0</w:t>
            </w:r>
          </w:p>
        </w:tc>
      </w:tr>
      <w:tr w:rsidR="00F00E3D" w:rsidRPr="009B6110" w14:paraId="6CEE6594" w14:textId="77777777" w:rsidTr="009B2FA7">
        <w:trPr>
          <w:trHeight w:val="20"/>
        </w:trPr>
        <w:tc>
          <w:tcPr>
            <w:tcW w:w="1801" w:type="dxa"/>
            <w:shd w:val="clear" w:color="auto" w:fill="auto"/>
            <w:noWrap/>
            <w:vAlign w:val="center"/>
          </w:tcPr>
          <w:p w14:paraId="1862983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1976385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Skobba, Kimberly; Goetz, Edward G.</w:t>
            </w:r>
          </w:p>
        </w:tc>
        <w:tc>
          <w:tcPr>
            <w:tcW w:w="993" w:type="dxa"/>
            <w:shd w:val="clear" w:color="auto" w:fill="auto"/>
            <w:noWrap/>
            <w:vAlign w:val="center"/>
          </w:tcPr>
          <w:p w14:paraId="675D4570"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2013</w:t>
            </w:r>
          </w:p>
        </w:tc>
        <w:tc>
          <w:tcPr>
            <w:tcW w:w="2835" w:type="dxa"/>
            <w:shd w:val="clear" w:color="auto" w:fill="auto"/>
            <w:vAlign w:val="center"/>
          </w:tcPr>
          <w:p w14:paraId="003DCAF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Mobility Decisions of Very Low-Income Households</w:t>
            </w:r>
          </w:p>
        </w:tc>
        <w:tc>
          <w:tcPr>
            <w:tcW w:w="1417" w:type="dxa"/>
            <w:shd w:val="clear" w:color="auto" w:fill="auto"/>
            <w:vAlign w:val="center"/>
          </w:tcPr>
          <w:p w14:paraId="5DA0CB3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w:t>
            </w:r>
          </w:p>
        </w:tc>
        <w:tc>
          <w:tcPr>
            <w:tcW w:w="3199" w:type="dxa"/>
            <w:shd w:val="clear" w:color="auto" w:fill="auto"/>
            <w:vAlign w:val="center"/>
          </w:tcPr>
          <w:p w14:paraId="7CA1A4A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Residential Mobility, Neighbourhood Income Mix</w:t>
            </w:r>
          </w:p>
        </w:tc>
        <w:tc>
          <w:tcPr>
            <w:tcW w:w="1303" w:type="dxa"/>
            <w:shd w:val="clear" w:color="auto" w:fill="auto"/>
            <w:noWrap/>
            <w:vAlign w:val="bottom"/>
          </w:tcPr>
          <w:p w14:paraId="6036531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1F1E6AA8"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51</w:t>
            </w:r>
          </w:p>
        </w:tc>
      </w:tr>
      <w:tr w:rsidR="00F00E3D" w:rsidRPr="009B6110" w14:paraId="015B1609" w14:textId="77777777" w:rsidTr="009B2FA7">
        <w:trPr>
          <w:trHeight w:val="20"/>
        </w:trPr>
        <w:tc>
          <w:tcPr>
            <w:tcW w:w="1801" w:type="dxa"/>
            <w:shd w:val="clear" w:color="auto" w:fill="auto"/>
            <w:noWrap/>
            <w:vAlign w:val="center"/>
          </w:tcPr>
          <w:p w14:paraId="10BBC19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0DFED48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Wiesel, Ilan</w:t>
            </w:r>
          </w:p>
        </w:tc>
        <w:tc>
          <w:tcPr>
            <w:tcW w:w="993" w:type="dxa"/>
            <w:shd w:val="clear" w:color="auto" w:fill="auto"/>
            <w:noWrap/>
            <w:vAlign w:val="center"/>
          </w:tcPr>
          <w:p w14:paraId="042C7054"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2014</w:t>
            </w:r>
          </w:p>
        </w:tc>
        <w:tc>
          <w:tcPr>
            <w:tcW w:w="2835" w:type="dxa"/>
            <w:shd w:val="clear" w:color="auto" w:fill="auto"/>
            <w:vAlign w:val="center"/>
          </w:tcPr>
          <w:p w14:paraId="37DDF0D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Mobilities of Disadvantage: The Housing Pathways of Low-income Australians</w:t>
            </w:r>
          </w:p>
        </w:tc>
        <w:tc>
          <w:tcPr>
            <w:tcW w:w="1417" w:type="dxa"/>
            <w:shd w:val="clear" w:color="auto" w:fill="auto"/>
            <w:vAlign w:val="center"/>
          </w:tcPr>
          <w:p w14:paraId="586DA6B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w:t>
            </w:r>
          </w:p>
        </w:tc>
        <w:tc>
          <w:tcPr>
            <w:tcW w:w="3199" w:type="dxa"/>
            <w:shd w:val="clear" w:color="auto" w:fill="auto"/>
            <w:vAlign w:val="center"/>
          </w:tcPr>
          <w:p w14:paraId="01A1E4A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Residential Mobility </w:t>
            </w:r>
          </w:p>
        </w:tc>
        <w:tc>
          <w:tcPr>
            <w:tcW w:w="1303" w:type="dxa"/>
            <w:shd w:val="clear" w:color="auto" w:fill="auto"/>
            <w:noWrap/>
            <w:vAlign w:val="bottom"/>
          </w:tcPr>
          <w:p w14:paraId="3ACD54D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723BF60C"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47</w:t>
            </w:r>
          </w:p>
        </w:tc>
      </w:tr>
      <w:tr w:rsidR="00F00E3D" w:rsidRPr="009B6110" w14:paraId="74A451E3" w14:textId="77777777" w:rsidTr="009B2FA7">
        <w:trPr>
          <w:trHeight w:val="20"/>
        </w:trPr>
        <w:tc>
          <w:tcPr>
            <w:tcW w:w="1801" w:type="dxa"/>
            <w:shd w:val="clear" w:color="auto" w:fill="auto"/>
            <w:noWrap/>
            <w:vAlign w:val="center"/>
          </w:tcPr>
          <w:p w14:paraId="1E690B7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3EEAD1C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Beer, Andrew; Bentley, Rebecca; Baker, Emma; Mason, Kate; Mallett, Shelley; Kavanagh, Anne ; LaMontagne, Tony</w:t>
            </w:r>
          </w:p>
        </w:tc>
        <w:tc>
          <w:tcPr>
            <w:tcW w:w="993" w:type="dxa"/>
            <w:shd w:val="clear" w:color="auto" w:fill="auto"/>
            <w:noWrap/>
            <w:vAlign w:val="center"/>
          </w:tcPr>
          <w:p w14:paraId="517E2E3F"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2016</w:t>
            </w:r>
          </w:p>
        </w:tc>
        <w:tc>
          <w:tcPr>
            <w:tcW w:w="2835" w:type="dxa"/>
            <w:shd w:val="clear" w:color="auto" w:fill="auto"/>
            <w:vAlign w:val="center"/>
          </w:tcPr>
          <w:p w14:paraId="70C1078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Neoliberalism, economic restructuring and policy change: Precarious housing and precarious employment in Australia</w:t>
            </w:r>
          </w:p>
        </w:tc>
        <w:tc>
          <w:tcPr>
            <w:tcW w:w="1417" w:type="dxa"/>
            <w:shd w:val="clear" w:color="auto" w:fill="auto"/>
            <w:vAlign w:val="center"/>
          </w:tcPr>
          <w:p w14:paraId="384B457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Employment</w:t>
            </w:r>
          </w:p>
        </w:tc>
        <w:tc>
          <w:tcPr>
            <w:tcW w:w="3199" w:type="dxa"/>
            <w:shd w:val="clear" w:color="auto" w:fill="auto"/>
            <w:vAlign w:val="bottom"/>
          </w:tcPr>
          <w:p w14:paraId="3AB5150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Governmental Policy</w:t>
            </w:r>
          </w:p>
        </w:tc>
        <w:tc>
          <w:tcPr>
            <w:tcW w:w="1303" w:type="dxa"/>
            <w:shd w:val="clear" w:color="auto" w:fill="auto"/>
            <w:noWrap/>
            <w:vAlign w:val="bottom"/>
          </w:tcPr>
          <w:p w14:paraId="4FF4F18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center"/>
          </w:tcPr>
          <w:p w14:paraId="02E3B506"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51</w:t>
            </w:r>
          </w:p>
        </w:tc>
      </w:tr>
      <w:tr w:rsidR="00F00E3D" w:rsidRPr="009B6110" w14:paraId="23C2447B" w14:textId="77777777" w:rsidTr="009B2FA7">
        <w:trPr>
          <w:trHeight w:val="20"/>
        </w:trPr>
        <w:tc>
          <w:tcPr>
            <w:tcW w:w="1801" w:type="dxa"/>
            <w:shd w:val="clear" w:color="auto" w:fill="auto"/>
            <w:noWrap/>
            <w:vAlign w:val="center"/>
          </w:tcPr>
          <w:p w14:paraId="5EE65FD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46F7749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Riley, Sarah F.; Nguyen, Giang; Manturuk, Kim</w:t>
            </w:r>
          </w:p>
        </w:tc>
        <w:tc>
          <w:tcPr>
            <w:tcW w:w="993" w:type="dxa"/>
            <w:shd w:val="clear" w:color="auto" w:fill="auto"/>
            <w:noWrap/>
            <w:vAlign w:val="center"/>
          </w:tcPr>
          <w:p w14:paraId="1E401175"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2015</w:t>
            </w:r>
          </w:p>
        </w:tc>
        <w:tc>
          <w:tcPr>
            <w:tcW w:w="2835" w:type="dxa"/>
            <w:shd w:val="clear" w:color="auto" w:fill="auto"/>
            <w:vAlign w:val="center"/>
          </w:tcPr>
          <w:p w14:paraId="1AEA781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House price dynamics, unemployment, and the </w:t>
            </w:r>
            <w:r w:rsidRPr="009B6110">
              <w:rPr>
                <w:rFonts w:asciiTheme="majorHAnsi" w:hAnsiTheme="majorHAnsi" w:cstheme="majorHAnsi"/>
                <w:color w:val="000000"/>
              </w:rPr>
              <w:lastRenderedPageBreak/>
              <w:t>mobility decisions of low-income homeowners</w:t>
            </w:r>
          </w:p>
        </w:tc>
        <w:tc>
          <w:tcPr>
            <w:tcW w:w="1417" w:type="dxa"/>
            <w:shd w:val="clear" w:color="auto" w:fill="auto"/>
            <w:vAlign w:val="center"/>
          </w:tcPr>
          <w:p w14:paraId="300EDCB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lastRenderedPageBreak/>
              <w:t>Housing, Employment</w:t>
            </w:r>
          </w:p>
        </w:tc>
        <w:tc>
          <w:tcPr>
            <w:tcW w:w="3199" w:type="dxa"/>
            <w:shd w:val="clear" w:color="auto" w:fill="auto"/>
            <w:vAlign w:val="center"/>
          </w:tcPr>
          <w:p w14:paraId="4536D6D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Affordable Housing, Residential Mobility</w:t>
            </w:r>
          </w:p>
        </w:tc>
        <w:tc>
          <w:tcPr>
            <w:tcW w:w="1303" w:type="dxa"/>
            <w:shd w:val="clear" w:color="auto" w:fill="auto"/>
            <w:noWrap/>
            <w:vAlign w:val="bottom"/>
          </w:tcPr>
          <w:p w14:paraId="63DDA97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49BAF127"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10</w:t>
            </w:r>
          </w:p>
        </w:tc>
      </w:tr>
      <w:tr w:rsidR="00F00E3D" w:rsidRPr="009B6110" w14:paraId="0362B1A3" w14:textId="77777777" w:rsidTr="009B2FA7">
        <w:trPr>
          <w:trHeight w:val="20"/>
        </w:trPr>
        <w:tc>
          <w:tcPr>
            <w:tcW w:w="1801" w:type="dxa"/>
            <w:shd w:val="clear" w:color="auto" w:fill="auto"/>
            <w:noWrap/>
            <w:vAlign w:val="center"/>
          </w:tcPr>
          <w:p w14:paraId="6EC9D7F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506EB17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Lowe, Melanie; Whitzman, Carolyn; Badland, Hannah; Davern, Melanie; Aye, Lu; Hes, Dominique; Butterworth, Iain; Giles-Corti, Billie</w:t>
            </w:r>
          </w:p>
        </w:tc>
        <w:tc>
          <w:tcPr>
            <w:tcW w:w="993" w:type="dxa"/>
            <w:shd w:val="clear" w:color="auto" w:fill="auto"/>
            <w:noWrap/>
            <w:vAlign w:val="center"/>
          </w:tcPr>
          <w:p w14:paraId="419AE597"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2015</w:t>
            </w:r>
          </w:p>
        </w:tc>
        <w:tc>
          <w:tcPr>
            <w:tcW w:w="2835" w:type="dxa"/>
            <w:shd w:val="clear" w:color="auto" w:fill="auto"/>
            <w:vAlign w:val="center"/>
          </w:tcPr>
          <w:p w14:paraId="6E66B70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Planning healthy, liveable and sustainable cities: How can indicators inform policy?</w:t>
            </w:r>
          </w:p>
        </w:tc>
        <w:tc>
          <w:tcPr>
            <w:tcW w:w="1417" w:type="dxa"/>
            <w:shd w:val="clear" w:color="auto" w:fill="auto"/>
            <w:vAlign w:val="center"/>
          </w:tcPr>
          <w:p w14:paraId="7587A9C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Health &amp; Wellbeing</w:t>
            </w:r>
          </w:p>
        </w:tc>
        <w:tc>
          <w:tcPr>
            <w:tcW w:w="3199" w:type="dxa"/>
            <w:shd w:val="clear" w:color="auto" w:fill="auto"/>
            <w:vAlign w:val="center"/>
          </w:tcPr>
          <w:p w14:paraId="708A3B3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See Table p.11</w:t>
            </w:r>
          </w:p>
        </w:tc>
        <w:tc>
          <w:tcPr>
            <w:tcW w:w="1303" w:type="dxa"/>
            <w:shd w:val="clear" w:color="auto" w:fill="auto"/>
            <w:noWrap/>
            <w:vAlign w:val="bottom"/>
          </w:tcPr>
          <w:p w14:paraId="020DD4A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 &amp; Global</w:t>
            </w:r>
          </w:p>
        </w:tc>
        <w:tc>
          <w:tcPr>
            <w:tcW w:w="1026" w:type="dxa"/>
            <w:shd w:val="clear" w:color="auto" w:fill="auto"/>
            <w:noWrap/>
            <w:vAlign w:val="center"/>
          </w:tcPr>
          <w:p w14:paraId="67A36B92"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100</w:t>
            </w:r>
          </w:p>
        </w:tc>
      </w:tr>
      <w:tr w:rsidR="00F00E3D" w:rsidRPr="009B6110" w14:paraId="1C00E68A" w14:textId="77777777" w:rsidTr="009B2FA7">
        <w:trPr>
          <w:trHeight w:val="20"/>
        </w:trPr>
        <w:tc>
          <w:tcPr>
            <w:tcW w:w="1801" w:type="dxa"/>
            <w:shd w:val="clear" w:color="auto" w:fill="auto"/>
            <w:noWrap/>
            <w:vAlign w:val="center"/>
          </w:tcPr>
          <w:p w14:paraId="7C456C6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0E5D132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Owens, Ann; Clampet-Lundquist, Susan</w:t>
            </w:r>
          </w:p>
        </w:tc>
        <w:tc>
          <w:tcPr>
            <w:tcW w:w="993" w:type="dxa"/>
            <w:shd w:val="clear" w:color="auto" w:fill="auto"/>
            <w:noWrap/>
            <w:vAlign w:val="center"/>
          </w:tcPr>
          <w:p w14:paraId="23B551C8"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2017</w:t>
            </w:r>
          </w:p>
        </w:tc>
        <w:tc>
          <w:tcPr>
            <w:tcW w:w="2835" w:type="dxa"/>
            <w:shd w:val="clear" w:color="auto" w:fill="auto"/>
            <w:vAlign w:val="center"/>
          </w:tcPr>
          <w:p w14:paraId="7E0F347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mobility and the intergenerational durability of neighborhood poverty</w:t>
            </w:r>
          </w:p>
        </w:tc>
        <w:tc>
          <w:tcPr>
            <w:tcW w:w="1417" w:type="dxa"/>
            <w:shd w:val="clear" w:color="auto" w:fill="auto"/>
            <w:vAlign w:val="center"/>
          </w:tcPr>
          <w:p w14:paraId="285D2FD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Health &amp; Wellbeing</w:t>
            </w:r>
          </w:p>
        </w:tc>
        <w:tc>
          <w:tcPr>
            <w:tcW w:w="3199" w:type="dxa"/>
            <w:shd w:val="clear" w:color="auto" w:fill="auto"/>
            <w:vAlign w:val="bottom"/>
          </w:tcPr>
          <w:p w14:paraId="1A005CB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Residential Mobility</w:t>
            </w:r>
          </w:p>
        </w:tc>
        <w:tc>
          <w:tcPr>
            <w:tcW w:w="1303" w:type="dxa"/>
            <w:shd w:val="clear" w:color="auto" w:fill="auto"/>
            <w:noWrap/>
            <w:vAlign w:val="bottom"/>
          </w:tcPr>
          <w:p w14:paraId="1AF2832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bottom"/>
          </w:tcPr>
          <w:p w14:paraId="649DFD07"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7</w:t>
            </w:r>
          </w:p>
        </w:tc>
      </w:tr>
      <w:tr w:rsidR="00F00E3D" w:rsidRPr="009B6110" w14:paraId="62AC764C" w14:textId="77777777" w:rsidTr="009B2FA7">
        <w:trPr>
          <w:trHeight w:val="20"/>
        </w:trPr>
        <w:tc>
          <w:tcPr>
            <w:tcW w:w="1801" w:type="dxa"/>
            <w:shd w:val="clear" w:color="auto" w:fill="auto"/>
            <w:noWrap/>
            <w:vAlign w:val="center"/>
          </w:tcPr>
          <w:p w14:paraId="6998EC4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2AAE8B0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Read, Dustin C.; Tsvetkova, Alexandra</w:t>
            </w:r>
          </w:p>
        </w:tc>
        <w:tc>
          <w:tcPr>
            <w:tcW w:w="993" w:type="dxa"/>
            <w:shd w:val="clear" w:color="auto" w:fill="auto"/>
            <w:noWrap/>
            <w:vAlign w:val="center"/>
          </w:tcPr>
          <w:p w14:paraId="0518A72C"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2012</w:t>
            </w:r>
          </w:p>
        </w:tc>
        <w:tc>
          <w:tcPr>
            <w:tcW w:w="2835" w:type="dxa"/>
            <w:shd w:val="clear" w:color="auto" w:fill="auto"/>
            <w:vAlign w:val="center"/>
          </w:tcPr>
          <w:p w14:paraId="1DD200B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and Social Issues - A Cross Disciplinary Review of the Existing Literature</w:t>
            </w:r>
          </w:p>
        </w:tc>
        <w:tc>
          <w:tcPr>
            <w:tcW w:w="1417" w:type="dxa"/>
            <w:shd w:val="clear" w:color="auto" w:fill="auto"/>
            <w:vAlign w:val="center"/>
          </w:tcPr>
          <w:p w14:paraId="1C72ACD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Health &amp; Wellbeing</w:t>
            </w:r>
          </w:p>
        </w:tc>
        <w:tc>
          <w:tcPr>
            <w:tcW w:w="3199" w:type="dxa"/>
            <w:shd w:val="clear" w:color="auto" w:fill="auto"/>
            <w:vAlign w:val="center"/>
          </w:tcPr>
          <w:p w14:paraId="765CD88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Affordable Housing</w:t>
            </w:r>
          </w:p>
        </w:tc>
        <w:tc>
          <w:tcPr>
            <w:tcW w:w="1303" w:type="dxa"/>
            <w:shd w:val="clear" w:color="auto" w:fill="auto"/>
            <w:noWrap/>
            <w:vAlign w:val="bottom"/>
          </w:tcPr>
          <w:p w14:paraId="62EC27A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bottom"/>
          </w:tcPr>
          <w:p w14:paraId="18BB40AA"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18</w:t>
            </w:r>
          </w:p>
        </w:tc>
      </w:tr>
      <w:tr w:rsidR="00F00E3D" w:rsidRPr="009B6110" w14:paraId="2AA2F080" w14:textId="77777777" w:rsidTr="009B2FA7">
        <w:trPr>
          <w:trHeight w:val="20"/>
        </w:trPr>
        <w:tc>
          <w:tcPr>
            <w:tcW w:w="1801" w:type="dxa"/>
            <w:shd w:val="clear" w:color="auto" w:fill="auto"/>
            <w:noWrap/>
            <w:vAlign w:val="center"/>
          </w:tcPr>
          <w:p w14:paraId="0D4338D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66E7A9C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Shaw, Mary</w:t>
            </w:r>
          </w:p>
        </w:tc>
        <w:tc>
          <w:tcPr>
            <w:tcW w:w="993" w:type="dxa"/>
            <w:shd w:val="clear" w:color="auto" w:fill="auto"/>
            <w:noWrap/>
            <w:vAlign w:val="center"/>
          </w:tcPr>
          <w:p w14:paraId="6068264E"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2004</w:t>
            </w:r>
          </w:p>
        </w:tc>
        <w:tc>
          <w:tcPr>
            <w:tcW w:w="2835" w:type="dxa"/>
            <w:shd w:val="clear" w:color="auto" w:fill="auto"/>
            <w:vAlign w:val="center"/>
          </w:tcPr>
          <w:p w14:paraId="16926C5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and public health</w:t>
            </w:r>
          </w:p>
        </w:tc>
        <w:tc>
          <w:tcPr>
            <w:tcW w:w="1417" w:type="dxa"/>
            <w:shd w:val="clear" w:color="auto" w:fill="auto"/>
            <w:vAlign w:val="center"/>
          </w:tcPr>
          <w:p w14:paraId="0A52C53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Health &amp; Wellbeing</w:t>
            </w:r>
          </w:p>
        </w:tc>
        <w:tc>
          <w:tcPr>
            <w:tcW w:w="3199" w:type="dxa"/>
            <w:shd w:val="clear" w:color="auto" w:fill="auto"/>
            <w:vAlign w:val="center"/>
          </w:tcPr>
          <w:p w14:paraId="246545C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Affordable Housing</w:t>
            </w:r>
          </w:p>
        </w:tc>
        <w:tc>
          <w:tcPr>
            <w:tcW w:w="1303" w:type="dxa"/>
            <w:shd w:val="clear" w:color="auto" w:fill="auto"/>
            <w:noWrap/>
            <w:vAlign w:val="bottom"/>
          </w:tcPr>
          <w:p w14:paraId="5C33630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UK</w:t>
            </w:r>
          </w:p>
        </w:tc>
        <w:tc>
          <w:tcPr>
            <w:tcW w:w="1026" w:type="dxa"/>
            <w:shd w:val="clear" w:color="auto" w:fill="auto"/>
            <w:noWrap/>
            <w:vAlign w:val="bottom"/>
          </w:tcPr>
          <w:p w14:paraId="3A6AB4B2"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699</w:t>
            </w:r>
          </w:p>
        </w:tc>
      </w:tr>
      <w:tr w:rsidR="00F00E3D" w:rsidRPr="009B6110" w14:paraId="1CE253C6" w14:textId="77777777" w:rsidTr="009B2FA7">
        <w:trPr>
          <w:trHeight w:val="20"/>
        </w:trPr>
        <w:tc>
          <w:tcPr>
            <w:tcW w:w="1801" w:type="dxa"/>
            <w:shd w:val="clear" w:color="auto" w:fill="auto"/>
            <w:noWrap/>
            <w:vAlign w:val="center"/>
          </w:tcPr>
          <w:p w14:paraId="47F11E3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0820006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Thomson, H.; Thomas, S.; Sellstrom, E.; Petticrew, M.</w:t>
            </w:r>
          </w:p>
        </w:tc>
        <w:tc>
          <w:tcPr>
            <w:tcW w:w="993" w:type="dxa"/>
            <w:shd w:val="clear" w:color="auto" w:fill="auto"/>
            <w:noWrap/>
            <w:vAlign w:val="center"/>
          </w:tcPr>
          <w:p w14:paraId="4EBCA857"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2013</w:t>
            </w:r>
          </w:p>
        </w:tc>
        <w:tc>
          <w:tcPr>
            <w:tcW w:w="2835" w:type="dxa"/>
            <w:shd w:val="clear" w:color="auto" w:fill="auto"/>
            <w:vAlign w:val="center"/>
          </w:tcPr>
          <w:p w14:paraId="3692F68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improvements for health and associated socioeconomic outcomes</w:t>
            </w:r>
          </w:p>
        </w:tc>
        <w:tc>
          <w:tcPr>
            <w:tcW w:w="1417" w:type="dxa"/>
            <w:shd w:val="clear" w:color="auto" w:fill="auto"/>
            <w:vAlign w:val="center"/>
          </w:tcPr>
          <w:p w14:paraId="3F08B2F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Health &amp; Wellbeing</w:t>
            </w:r>
          </w:p>
        </w:tc>
        <w:tc>
          <w:tcPr>
            <w:tcW w:w="3199" w:type="dxa"/>
            <w:shd w:val="clear" w:color="auto" w:fill="auto"/>
            <w:vAlign w:val="bottom"/>
          </w:tcPr>
          <w:p w14:paraId="4BC5CB3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Energy Affordability</w:t>
            </w:r>
          </w:p>
        </w:tc>
        <w:tc>
          <w:tcPr>
            <w:tcW w:w="1303" w:type="dxa"/>
            <w:shd w:val="clear" w:color="auto" w:fill="auto"/>
            <w:noWrap/>
            <w:vAlign w:val="bottom"/>
          </w:tcPr>
          <w:p w14:paraId="7E1142D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Non-context-specific</w:t>
            </w:r>
          </w:p>
        </w:tc>
        <w:tc>
          <w:tcPr>
            <w:tcW w:w="1026" w:type="dxa"/>
            <w:shd w:val="clear" w:color="auto" w:fill="auto"/>
            <w:noWrap/>
            <w:vAlign w:val="center"/>
          </w:tcPr>
          <w:p w14:paraId="773DE760"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165</w:t>
            </w:r>
          </w:p>
        </w:tc>
      </w:tr>
      <w:tr w:rsidR="00F00E3D" w:rsidRPr="009B6110" w14:paraId="79209B2A" w14:textId="77777777" w:rsidTr="009B2FA7">
        <w:trPr>
          <w:trHeight w:val="20"/>
        </w:trPr>
        <w:tc>
          <w:tcPr>
            <w:tcW w:w="1801" w:type="dxa"/>
            <w:shd w:val="clear" w:color="auto" w:fill="auto"/>
            <w:noWrap/>
            <w:vAlign w:val="center"/>
          </w:tcPr>
          <w:p w14:paraId="31B49D2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78FEEE2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Colomb, C.</w:t>
            </w:r>
          </w:p>
        </w:tc>
        <w:tc>
          <w:tcPr>
            <w:tcW w:w="993" w:type="dxa"/>
            <w:shd w:val="clear" w:color="auto" w:fill="auto"/>
            <w:noWrap/>
            <w:vAlign w:val="center"/>
          </w:tcPr>
          <w:p w14:paraId="67029B4A"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2011</w:t>
            </w:r>
          </w:p>
        </w:tc>
        <w:tc>
          <w:tcPr>
            <w:tcW w:w="2835" w:type="dxa"/>
            <w:shd w:val="clear" w:color="auto" w:fill="auto"/>
            <w:vAlign w:val="center"/>
          </w:tcPr>
          <w:p w14:paraId="6A0C595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Urban regeneration and policies of 'social mixing' in British cities: A critical assessment</w:t>
            </w:r>
          </w:p>
        </w:tc>
        <w:tc>
          <w:tcPr>
            <w:tcW w:w="1417" w:type="dxa"/>
            <w:shd w:val="clear" w:color="auto" w:fill="auto"/>
            <w:vAlign w:val="center"/>
          </w:tcPr>
          <w:p w14:paraId="76CC81A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Housing, Liveability, Health &amp; Wellbeing</w:t>
            </w:r>
          </w:p>
        </w:tc>
        <w:tc>
          <w:tcPr>
            <w:tcW w:w="3199" w:type="dxa"/>
            <w:shd w:val="clear" w:color="auto" w:fill="auto"/>
            <w:vAlign w:val="center"/>
          </w:tcPr>
          <w:p w14:paraId="1E96A0B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Area effect (Neighbourhood) (Area effect "hypothesizes that a high concentration of poor, or ethnic minority, people in specific areas reinforces and perpetuates poverty and exclusion)</w:t>
            </w:r>
          </w:p>
        </w:tc>
        <w:tc>
          <w:tcPr>
            <w:tcW w:w="1303" w:type="dxa"/>
            <w:shd w:val="clear" w:color="auto" w:fill="auto"/>
            <w:noWrap/>
            <w:vAlign w:val="bottom"/>
          </w:tcPr>
          <w:p w14:paraId="13A127A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UK</w:t>
            </w:r>
          </w:p>
        </w:tc>
        <w:tc>
          <w:tcPr>
            <w:tcW w:w="1026" w:type="dxa"/>
            <w:shd w:val="clear" w:color="auto" w:fill="auto"/>
            <w:noWrap/>
            <w:vAlign w:val="center"/>
          </w:tcPr>
          <w:p w14:paraId="287A5BCD"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3</w:t>
            </w:r>
          </w:p>
        </w:tc>
      </w:tr>
      <w:tr w:rsidR="00F00E3D" w:rsidRPr="009B6110" w14:paraId="6BF1D9E8" w14:textId="77777777" w:rsidTr="009B2FA7">
        <w:trPr>
          <w:trHeight w:val="20"/>
        </w:trPr>
        <w:tc>
          <w:tcPr>
            <w:tcW w:w="1801" w:type="dxa"/>
            <w:shd w:val="clear" w:color="auto" w:fill="auto"/>
            <w:noWrap/>
            <w:vAlign w:val="center"/>
          </w:tcPr>
          <w:p w14:paraId="72ED965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1FAD59A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Ciorici, P.; Dantzler, P.</w:t>
            </w:r>
          </w:p>
        </w:tc>
        <w:tc>
          <w:tcPr>
            <w:tcW w:w="993" w:type="dxa"/>
            <w:shd w:val="clear" w:color="auto" w:fill="auto"/>
            <w:noWrap/>
            <w:vAlign w:val="center"/>
          </w:tcPr>
          <w:p w14:paraId="5855319C"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2019</w:t>
            </w:r>
          </w:p>
        </w:tc>
        <w:tc>
          <w:tcPr>
            <w:tcW w:w="2835" w:type="dxa"/>
            <w:shd w:val="clear" w:color="auto" w:fill="auto"/>
            <w:vAlign w:val="center"/>
          </w:tcPr>
          <w:p w14:paraId="575D149F"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Neighborhood Satisfaction: A Study of a Low-Income Urban Community</w:t>
            </w:r>
          </w:p>
        </w:tc>
        <w:tc>
          <w:tcPr>
            <w:tcW w:w="1417" w:type="dxa"/>
            <w:shd w:val="clear" w:color="auto" w:fill="auto"/>
            <w:vAlign w:val="center"/>
          </w:tcPr>
          <w:p w14:paraId="28ED07A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Liveability</w:t>
            </w:r>
          </w:p>
        </w:tc>
        <w:tc>
          <w:tcPr>
            <w:tcW w:w="3199" w:type="dxa"/>
            <w:shd w:val="clear" w:color="auto" w:fill="auto"/>
            <w:vAlign w:val="center"/>
          </w:tcPr>
          <w:p w14:paraId="284A8C99"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Quality of Social Networks, Physical Environment, Neighbourhood Safety, and Access to Facilities</w:t>
            </w:r>
          </w:p>
        </w:tc>
        <w:tc>
          <w:tcPr>
            <w:tcW w:w="1303" w:type="dxa"/>
            <w:shd w:val="clear" w:color="auto" w:fill="auto"/>
            <w:noWrap/>
            <w:vAlign w:val="bottom"/>
          </w:tcPr>
          <w:p w14:paraId="4F008CA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UK</w:t>
            </w:r>
          </w:p>
        </w:tc>
        <w:tc>
          <w:tcPr>
            <w:tcW w:w="1026" w:type="dxa"/>
            <w:shd w:val="clear" w:color="auto" w:fill="auto"/>
            <w:noWrap/>
            <w:vAlign w:val="center"/>
          </w:tcPr>
          <w:p w14:paraId="63205F38"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9</w:t>
            </w:r>
          </w:p>
        </w:tc>
      </w:tr>
      <w:tr w:rsidR="00F00E3D" w:rsidRPr="009B6110" w14:paraId="5518FCE1" w14:textId="77777777" w:rsidTr="009B2FA7">
        <w:trPr>
          <w:trHeight w:val="20"/>
        </w:trPr>
        <w:tc>
          <w:tcPr>
            <w:tcW w:w="1801" w:type="dxa"/>
            <w:shd w:val="clear" w:color="auto" w:fill="auto"/>
            <w:noWrap/>
            <w:vAlign w:val="center"/>
          </w:tcPr>
          <w:p w14:paraId="38418F1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461A6DB2"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Eby, Jeanette; Kitchen, Peter; Williams, Allison</w:t>
            </w:r>
          </w:p>
        </w:tc>
        <w:tc>
          <w:tcPr>
            <w:tcW w:w="993" w:type="dxa"/>
            <w:shd w:val="clear" w:color="auto" w:fill="auto"/>
            <w:noWrap/>
            <w:vAlign w:val="center"/>
          </w:tcPr>
          <w:p w14:paraId="7EEF1C6D"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2012</w:t>
            </w:r>
          </w:p>
        </w:tc>
        <w:tc>
          <w:tcPr>
            <w:tcW w:w="2835" w:type="dxa"/>
            <w:shd w:val="clear" w:color="auto" w:fill="auto"/>
            <w:vAlign w:val="center"/>
          </w:tcPr>
          <w:p w14:paraId="36228ED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Perceptions of Quality Life in Hamilton's Neighbourhood Hubs: A Qualitative Analysis</w:t>
            </w:r>
          </w:p>
        </w:tc>
        <w:tc>
          <w:tcPr>
            <w:tcW w:w="1417" w:type="dxa"/>
            <w:shd w:val="clear" w:color="auto" w:fill="auto"/>
            <w:vAlign w:val="center"/>
          </w:tcPr>
          <w:p w14:paraId="66CE90B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Liveability</w:t>
            </w:r>
          </w:p>
        </w:tc>
        <w:tc>
          <w:tcPr>
            <w:tcW w:w="3199" w:type="dxa"/>
            <w:shd w:val="clear" w:color="auto" w:fill="auto"/>
            <w:vAlign w:val="bottom"/>
          </w:tcPr>
          <w:p w14:paraId="1D92A8A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 xml:space="preserve">Housing Affordability, Housing Quality, Social Cohesion, Neighbourhood Safety, Crime </w:t>
            </w:r>
            <w:r w:rsidRPr="009B6110">
              <w:rPr>
                <w:rFonts w:asciiTheme="majorHAnsi" w:hAnsiTheme="majorHAnsi" w:cstheme="majorHAnsi"/>
                <w:color w:val="000000"/>
              </w:rPr>
              <w:lastRenderedPageBreak/>
              <w:t>Levels, Physical Environment, Access to Transport</w:t>
            </w:r>
          </w:p>
        </w:tc>
        <w:tc>
          <w:tcPr>
            <w:tcW w:w="1303" w:type="dxa"/>
            <w:shd w:val="clear" w:color="auto" w:fill="auto"/>
            <w:noWrap/>
            <w:vAlign w:val="bottom"/>
          </w:tcPr>
          <w:p w14:paraId="1E5DD9C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lastRenderedPageBreak/>
              <w:t>Canada</w:t>
            </w:r>
          </w:p>
        </w:tc>
        <w:tc>
          <w:tcPr>
            <w:tcW w:w="1026" w:type="dxa"/>
            <w:shd w:val="clear" w:color="auto" w:fill="auto"/>
            <w:noWrap/>
            <w:vAlign w:val="center"/>
          </w:tcPr>
          <w:p w14:paraId="11787479"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13</w:t>
            </w:r>
          </w:p>
        </w:tc>
      </w:tr>
      <w:tr w:rsidR="00F00E3D" w:rsidRPr="009B6110" w14:paraId="02F3857D" w14:textId="77777777" w:rsidTr="009B2FA7">
        <w:trPr>
          <w:trHeight w:val="20"/>
        </w:trPr>
        <w:tc>
          <w:tcPr>
            <w:tcW w:w="1801" w:type="dxa"/>
            <w:shd w:val="clear" w:color="auto" w:fill="auto"/>
            <w:noWrap/>
            <w:vAlign w:val="center"/>
          </w:tcPr>
          <w:p w14:paraId="3AAA230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2C0F5F0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Kaiser, M. L.; Hand, M. D.; Pence, E. K.</w:t>
            </w:r>
          </w:p>
        </w:tc>
        <w:tc>
          <w:tcPr>
            <w:tcW w:w="993" w:type="dxa"/>
            <w:shd w:val="clear" w:color="auto" w:fill="auto"/>
            <w:noWrap/>
            <w:vAlign w:val="center"/>
          </w:tcPr>
          <w:p w14:paraId="64BC3C18"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2020</w:t>
            </w:r>
          </w:p>
        </w:tc>
        <w:tc>
          <w:tcPr>
            <w:tcW w:w="2835" w:type="dxa"/>
            <w:shd w:val="clear" w:color="auto" w:fill="auto"/>
            <w:vAlign w:val="center"/>
          </w:tcPr>
          <w:p w14:paraId="245A4E4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Individual and community engagement in response to environmental challenges experienced in four low-income urban neighborhoods</w:t>
            </w:r>
          </w:p>
        </w:tc>
        <w:tc>
          <w:tcPr>
            <w:tcW w:w="1417" w:type="dxa"/>
            <w:shd w:val="clear" w:color="auto" w:fill="auto"/>
            <w:vAlign w:val="center"/>
          </w:tcPr>
          <w:p w14:paraId="377A6A7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Liveability</w:t>
            </w:r>
          </w:p>
        </w:tc>
        <w:tc>
          <w:tcPr>
            <w:tcW w:w="3199" w:type="dxa"/>
            <w:shd w:val="clear" w:color="auto" w:fill="auto"/>
            <w:vAlign w:val="bottom"/>
          </w:tcPr>
          <w:p w14:paraId="6E531B3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Crime, Access to Affordable &amp; Good Quality Food, Individual Health, Physical Environment</w:t>
            </w:r>
          </w:p>
        </w:tc>
        <w:tc>
          <w:tcPr>
            <w:tcW w:w="1303" w:type="dxa"/>
            <w:shd w:val="clear" w:color="auto" w:fill="auto"/>
            <w:noWrap/>
            <w:vAlign w:val="bottom"/>
          </w:tcPr>
          <w:p w14:paraId="0546F6F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0E7D9616"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0</w:t>
            </w:r>
          </w:p>
        </w:tc>
      </w:tr>
      <w:tr w:rsidR="00F00E3D" w:rsidRPr="009B6110" w14:paraId="15CFE4C7" w14:textId="77777777" w:rsidTr="009B2FA7">
        <w:trPr>
          <w:trHeight w:val="20"/>
        </w:trPr>
        <w:tc>
          <w:tcPr>
            <w:tcW w:w="1801" w:type="dxa"/>
            <w:shd w:val="clear" w:color="auto" w:fill="auto"/>
            <w:noWrap/>
            <w:vAlign w:val="center"/>
          </w:tcPr>
          <w:p w14:paraId="5354C86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7699EA65"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Ma, Liang; Kent, Jennifer L.; Mulley, Corinne</w:t>
            </w:r>
          </w:p>
        </w:tc>
        <w:tc>
          <w:tcPr>
            <w:tcW w:w="993" w:type="dxa"/>
            <w:shd w:val="clear" w:color="auto" w:fill="auto"/>
            <w:noWrap/>
            <w:vAlign w:val="center"/>
          </w:tcPr>
          <w:p w14:paraId="09C20BA6"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2018</w:t>
            </w:r>
          </w:p>
        </w:tc>
        <w:tc>
          <w:tcPr>
            <w:tcW w:w="2835" w:type="dxa"/>
            <w:shd w:val="clear" w:color="auto" w:fill="auto"/>
            <w:vAlign w:val="center"/>
          </w:tcPr>
          <w:p w14:paraId="74458298"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Transport disadvantage, social exclusion, and subjective well-being: The role of the neighborhood environment—evidence from Sydney, Australia</w:t>
            </w:r>
          </w:p>
        </w:tc>
        <w:tc>
          <w:tcPr>
            <w:tcW w:w="1417" w:type="dxa"/>
            <w:shd w:val="clear" w:color="auto" w:fill="auto"/>
            <w:vAlign w:val="center"/>
          </w:tcPr>
          <w:p w14:paraId="29AFF04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Liveability</w:t>
            </w:r>
          </w:p>
        </w:tc>
        <w:tc>
          <w:tcPr>
            <w:tcW w:w="3199" w:type="dxa"/>
            <w:shd w:val="clear" w:color="auto" w:fill="auto"/>
            <w:vAlign w:val="center"/>
          </w:tcPr>
          <w:p w14:paraId="5DA11BAC"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Access to Transport</w:t>
            </w:r>
          </w:p>
        </w:tc>
        <w:tc>
          <w:tcPr>
            <w:tcW w:w="1303" w:type="dxa"/>
            <w:shd w:val="clear" w:color="auto" w:fill="auto"/>
            <w:noWrap/>
            <w:vAlign w:val="bottom"/>
          </w:tcPr>
          <w:p w14:paraId="08AF6D74"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4D06B80F"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w:t>
            </w:r>
          </w:p>
        </w:tc>
      </w:tr>
      <w:tr w:rsidR="00F00E3D" w:rsidRPr="009B6110" w14:paraId="3736B26A" w14:textId="77777777" w:rsidTr="009B2FA7">
        <w:trPr>
          <w:trHeight w:val="20"/>
        </w:trPr>
        <w:tc>
          <w:tcPr>
            <w:tcW w:w="1801" w:type="dxa"/>
            <w:shd w:val="clear" w:color="auto" w:fill="auto"/>
            <w:noWrap/>
            <w:vAlign w:val="center"/>
          </w:tcPr>
          <w:p w14:paraId="63886B2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03838E3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Osborne, Katy; Ziersch, Anna M.; Baum, Fran Elaine; Gallaher, Gilbert</w:t>
            </w:r>
          </w:p>
        </w:tc>
        <w:tc>
          <w:tcPr>
            <w:tcW w:w="993" w:type="dxa"/>
            <w:shd w:val="clear" w:color="auto" w:fill="auto"/>
            <w:noWrap/>
            <w:vAlign w:val="center"/>
          </w:tcPr>
          <w:p w14:paraId="68F4702E"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2012</w:t>
            </w:r>
          </w:p>
        </w:tc>
        <w:tc>
          <w:tcPr>
            <w:tcW w:w="2835" w:type="dxa"/>
            <w:shd w:val="clear" w:color="auto" w:fill="auto"/>
            <w:vAlign w:val="center"/>
          </w:tcPr>
          <w:p w14:paraId="0480937E"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Australian Aboriginal Urban Residents' Satisfaction with Living in Their Neighbourhood; Perceptions of the Neighbourhood Socio-cultural Environment and Individual Socio-demographic Factors</w:t>
            </w:r>
          </w:p>
        </w:tc>
        <w:tc>
          <w:tcPr>
            <w:tcW w:w="1417" w:type="dxa"/>
            <w:shd w:val="clear" w:color="auto" w:fill="auto"/>
            <w:vAlign w:val="center"/>
          </w:tcPr>
          <w:p w14:paraId="53A7092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Liveability, Health &amp; Wellbeing</w:t>
            </w:r>
          </w:p>
        </w:tc>
        <w:tc>
          <w:tcPr>
            <w:tcW w:w="3199" w:type="dxa"/>
            <w:shd w:val="clear" w:color="auto" w:fill="auto"/>
            <w:vAlign w:val="center"/>
          </w:tcPr>
          <w:p w14:paraId="4A165EAD"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Quality of Social Networks, Neighbourhood Safety</w:t>
            </w:r>
          </w:p>
        </w:tc>
        <w:tc>
          <w:tcPr>
            <w:tcW w:w="1303" w:type="dxa"/>
            <w:shd w:val="clear" w:color="auto" w:fill="auto"/>
            <w:noWrap/>
            <w:vAlign w:val="bottom"/>
          </w:tcPr>
          <w:p w14:paraId="573B0051"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Australia</w:t>
            </w:r>
          </w:p>
        </w:tc>
        <w:tc>
          <w:tcPr>
            <w:tcW w:w="1026" w:type="dxa"/>
            <w:shd w:val="clear" w:color="auto" w:fill="auto"/>
            <w:noWrap/>
            <w:vAlign w:val="bottom"/>
          </w:tcPr>
          <w:p w14:paraId="0D880BBB"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18</w:t>
            </w:r>
          </w:p>
        </w:tc>
      </w:tr>
      <w:tr w:rsidR="00F00E3D" w:rsidRPr="009B6110" w14:paraId="08E7D1EB" w14:textId="77777777" w:rsidTr="009B2FA7">
        <w:trPr>
          <w:trHeight w:val="20"/>
        </w:trPr>
        <w:tc>
          <w:tcPr>
            <w:tcW w:w="1801" w:type="dxa"/>
            <w:shd w:val="clear" w:color="auto" w:fill="auto"/>
            <w:noWrap/>
            <w:vAlign w:val="center"/>
          </w:tcPr>
          <w:p w14:paraId="4867702A"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Journal Article</w:t>
            </w:r>
          </w:p>
        </w:tc>
        <w:tc>
          <w:tcPr>
            <w:tcW w:w="2168" w:type="dxa"/>
            <w:shd w:val="clear" w:color="auto" w:fill="auto"/>
            <w:vAlign w:val="center"/>
          </w:tcPr>
          <w:p w14:paraId="4346C510"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Pastor, M.; Morello-Frosch, R.</w:t>
            </w:r>
          </w:p>
        </w:tc>
        <w:tc>
          <w:tcPr>
            <w:tcW w:w="993" w:type="dxa"/>
            <w:shd w:val="clear" w:color="auto" w:fill="auto"/>
            <w:noWrap/>
            <w:vAlign w:val="center"/>
          </w:tcPr>
          <w:p w14:paraId="0D02CD6F"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2014</w:t>
            </w:r>
          </w:p>
        </w:tc>
        <w:tc>
          <w:tcPr>
            <w:tcW w:w="2835" w:type="dxa"/>
            <w:shd w:val="clear" w:color="auto" w:fill="auto"/>
            <w:vAlign w:val="center"/>
          </w:tcPr>
          <w:p w14:paraId="3F8FCDE7"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Integrating public health and community development to tackle neighborhood distress and promote well-being</w:t>
            </w:r>
          </w:p>
        </w:tc>
        <w:tc>
          <w:tcPr>
            <w:tcW w:w="1417" w:type="dxa"/>
            <w:shd w:val="clear" w:color="auto" w:fill="auto"/>
            <w:vAlign w:val="center"/>
          </w:tcPr>
          <w:p w14:paraId="0ADAE1B3"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Liveability, Health &amp; Wellbeing</w:t>
            </w:r>
          </w:p>
        </w:tc>
        <w:tc>
          <w:tcPr>
            <w:tcW w:w="3199" w:type="dxa"/>
            <w:shd w:val="clear" w:color="auto" w:fill="auto"/>
            <w:vAlign w:val="bottom"/>
          </w:tcPr>
          <w:p w14:paraId="0A114E26"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Income, Discrimination</w:t>
            </w:r>
          </w:p>
        </w:tc>
        <w:tc>
          <w:tcPr>
            <w:tcW w:w="1303" w:type="dxa"/>
            <w:shd w:val="clear" w:color="auto" w:fill="auto"/>
            <w:noWrap/>
            <w:vAlign w:val="bottom"/>
          </w:tcPr>
          <w:p w14:paraId="54EFAB2B" w14:textId="77777777" w:rsidR="00F00E3D" w:rsidRPr="009B6110" w:rsidRDefault="00F00E3D" w:rsidP="009B2FA7">
            <w:pPr>
              <w:spacing w:after="0" w:line="240" w:lineRule="auto"/>
              <w:rPr>
                <w:rFonts w:asciiTheme="majorHAnsi" w:eastAsia="Times New Roman" w:hAnsiTheme="majorHAnsi" w:cstheme="majorHAnsi"/>
                <w:color w:val="000000"/>
                <w:lang w:eastAsia="en-GB"/>
              </w:rPr>
            </w:pPr>
            <w:r w:rsidRPr="009B6110">
              <w:rPr>
                <w:rFonts w:asciiTheme="majorHAnsi" w:hAnsiTheme="majorHAnsi" w:cstheme="majorHAnsi"/>
                <w:color w:val="000000"/>
              </w:rPr>
              <w:t>US</w:t>
            </w:r>
          </w:p>
        </w:tc>
        <w:tc>
          <w:tcPr>
            <w:tcW w:w="1026" w:type="dxa"/>
            <w:shd w:val="clear" w:color="auto" w:fill="auto"/>
            <w:noWrap/>
            <w:vAlign w:val="center"/>
          </w:tcPr>
          <w:p w14:paraId="098686A3" w14:textId="77777777" w:rsidR="00F00E3D" w:rsidRPr="009B6110" w:rsidRDefault="00F00E3D" w:rsidP="009B2FA7">
            <w:pPr>
              <w:spacing w:after="0" w:line="240" w:lineRule="auto"/>
              <w:jc w:val="right"/>
              <w:rPr>
                <w:rFonts w:asciiTheme="majorHAnsi" w:eastAsia="Times New Roman" w:hAnsiTheme="majorHAnsi" w:cstheme="majorHAnsi"/>
                <w:color w:val="000000"/>
                <w:lang w:eastAsia="en-GB"/>
              </w:rPr>
            </w:pPr>
            <w:r w:rsidRPr="009B6110">
              <w:rPr>
                <w:rFonts w:asciiTheme="majorHAnsi" w:hAnsiTheme="majorHAnsi" w:cstheme="majorHAnsi"/>
                <w:color w:val="000000"/>
              </w:rPr>
              <w:t>24</w:t>
            </w:r>
          </w:p>
        </w:tc>
      </w:tr>
    </w:tbl>
    <w:p w14:paraId="406CC869" w14:textId="77777777" w:rsidR="00F00E3D" w:rsidRDefault="00F00E3D" w:rsidP="009B2FA7">
      <w:pPr>
        <w:spacing w:after="0" w:line="240" w:lineRule="auto"/>
        <w:rPr>
          <w:rFonts w:asciiTheme="majorHAnsi" w:eastAsia="Times New Roman" w:hAnsiTheme="majorHAnsi" w:cstheme="majorHAnsi"/>
          <w:b/>
          <w:bCs/>
          <w:color w:val="000000"/>
          <w:sz w:val="23"/>
          <w:szCs w:val="23"/>
          <w:lang w:eastAsia="en-GB"/>
        </w:rPr>
      </w:pPr>
    </w:p>
    <w:p w14:paraId="28514C26" w14:textId="77777777" w:rsidR="00F00E3D" w:rsidRDefault="00F00E3D" w:rsidP="009B2FA7">
      <w:pPr>
        <w:spacing w:after="0" w:line="240" w:lineRule="auto"/>
        <w:rPr>
          <w:rFonts w:asciiTheme="majorHAnsi" w:eastAsia="Times New Roman" w:hAnsiTheme="majorHAnsi" w:cstheme="majorHAnsi"/>
          <w:b/>
          <w:bCs/>
          <w:color w:val="000000"/>
          <w:sz w:val="23"/>
          <w:szCs w:val="23"/>
          <w:lang w:eastAsia="en-GB"/>
        </w:rPr>
      </w:pPr>
    </w:p>
    <w:p w14:paraId="51E305C6" w14:textId="77777777" w:rsidR="00F00E3D" w:rsidRPr="00A92324" w:rsidRDefault="00F00E3D" w:rsidP="009B2FA7">
      <w:pPr>
        <w:spacing w:after="0" w:line="240" w:lineRule="auto"/>
        <w:rPr>
          <w:rFonts w:eastAsia="Times New Roman" w:cstheme="minorHAnsi"/>
          <w:b/>
          <w:bCs/>
          <w:color w:val="2F5496" w:themeColor="accent1" w:themeShade="BF"/>
          <w:sz w:val="28"/>
          <w:szCs w:val="28"/>
          <w:lang w:eastAsia="en-GB"/>
        </w:rPr>
      </w:pPr>
      <w:r w:rsidRPr="00C54B2B">
        <w:rPr>
          <w:rFonts w:eastAsia="Times New Roman" w:cstheme="minorHAnsi"/>
          <w:b/>
          <w:bCs/>
          <w:color w:val="2F5496" w:themeColor="accent1" w:themeShade="BF"/>
          <w:sz w:val="28"/>
          <w:szCs w:val="28"/>
          <w:lang w:eastAsia="en-GB"/>
        </w:rPr>
        <w:t>Table 22: Intervention Articles</w:t>
      </w:r>
    </w:p>
    <w:p w14:paraId="0D617112" w14:textId="77777777" w:rsidR="00F00E3D" w:rsidRDefault="00F00E3D" w:rsidP="009B2FA7">
      <w:pPr>
        <w:spacing w:after="0" w:line="240" w:lineRule="auto"/>
        <w:rPr>
          <w:rFonts w:asciiTheme="majorHAnsi" w:eastAsia="Times New Roman" w:hAnsiTheme="majorHAnsi" w:cstheme="majorHAnsi"/>
          <w:b/>
          <w:bCs/>
          <w:color w:val="000000"/>
          <w:sz w:val="23"/>
          <w:szCs w:val="23"/>
          <w:lang w:eastAsia="en-GB"/>
        </w:rPr>
      </w:pPr>
    </w:p>
    <w:p w14:paraId="6E3B87D8" w14:textId="77777777" w:rsidR="00F00E3D" w:rsidRPr="00BC19B6" w:rsidRDefault="00F00E3D" w:rsidP="009B2FA7">
      <w:pPr>
        <w:spacing w:after="0" w:line="240" w:lineRule="auto"/>
        <w:rPr>
          <w:rFonts w:asciiTheme="majorHAnsi" w:eastAsia="Times New Roman" w:hAnsiTheme="majorHAnsi" w:cstheme="majorHAnsi"/>
          <w:b/>
          <w:bCs/>
          <w:color w:val="000000"/>
          <w:sz w:val="23"/>
          <w:szCs w:val="23"/>
          <w:lang w:eastAsia="en-GB"/>
        </w:rPr>
      </w:pPr>
    </w:p>
    <w:tbl>
      <w:tblPr>
        <w:tblW w:w="14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533"/>
        <w:gridCol w:w="663"/>
        <w:gridCol w:w="3572"/>
        <w:gridCol w:w="1396"/>
        <w:gridCol w:w="1609"/>
        <w:gridCol w:w="1833"/>
        <w:gridCol w:w="1303"/>
        <w:gridCol w:w="1026"/>
      </w:tblGrid>
      <w:tr w:rsidR="00F00E3D" w:rsidRPr="007F3CD4" w14:paraId="781DBEFA" w14:textId="77777777" w:rsidTr="009B2FA7">
        <w:trPr>
          <w:trHeight w:val="20"/>
        </w:trPr>
        <w:tc>
          <w:tcPr>
            <w:tcW w:w="1800" w:type="dxa"/>
            <w:shd w:val="clear" w:color="auto" w:fill="auto"/>
            <w:noWrap/>
            <w:vAlign w:val="bottom"/>
          </w:tcPr>
          <w:p w14:paraId="7CD74E2B" w14:textId="77777777" w:rsidR="00F00E3D" w:rsidRPr="007F3CD4" w:rsidRDefault="00F00E3D" w:rsidP="009B2FA7">
            <w:pPr>
              <w:spacing w:after="0" w:line="240" w:lineRule="auto"/>
              <w:rPr>
                <w:rFonts w:eastAsia="Times New Roman" w:cstheme="minorHAnsi"/>
                <w:color w:val="000000"/>
                <w:lang w:eastAsia="en-GB"/>
              </w:rPr>
            </w:pPr>
            <w:r w:rsidRPr="007F3CD4">
              <w:rPr>
                <w:rFonts w:eastAsia="Times New Roman" w:cstheme="minorHAnsi"/>
                <w:b/>
                <w:bCs/>
                <w:color w:val="000000"/>
                <w:lang w:eastAsia="en-GB"/>
              </w:rPr>
              <w:t>Reference Type</w:t>
            </w:r>
          </w:p>
        </w:tc>
        <w:tc>
          <w:tcPr>
            <w:tcW w:w="1537" w:type="dxa"/>
            <w:shd w:val="clear" w:color="auto" w:fill="auto"/>
            <w:vAlign w:val="bottom"/>
          </w:tcPr>
          <w:p w14:paraId="6ADECC9E" w14:textId="77777777" w:rsidR="00F00E3D" w:rsidRPr="007F3CD4" w:rsidRDefault="00F00E3D" w:rsidP="009B2FA7">
            <w:pPr>
              <w:spacing w:after="0" w:line="240" w:lineRule="auto"/>
              <w:rPr>
                <w:rFonts w:eastAsia="Times New Roman" w:cstheme="minorHAnsi"/>
                <w:color w:val="000000"/>
                <w:lang w:eastAsia="en-GB"/>
              </w:rPr>
            </w:pPr>
            <w:r w:rsidRPr="007F3CD4">
              <w:rPr>
                <w:rFonts w:eastAsia="Times New Roman" w:cstheme="minorHAnsi"/>
                <w:b/>
                <w:bCs/>
                <w:color w:val="000000"/>
                <w:lang w:eastAsia="en-GB"/>
              </w:rPr>
              <w:t>Author</w:t>
            </w:r>
          </w:p>
        </w:tc>
        <w:tc>
          <w:tcPr>
            <w:tcW w:w="663" w:type="dxa"/>
            <w:shd w:val="clear" w:color="auto" w:fill="auto"/>
            <w:noWrap/>
            <w:vAlign w:val="bottom"/>
          </w:tcPr>
          <w:p w14:paraId="005CB320" w14:textId="77777777" w:rsidR="00F00E3D" w:rsidRPr="007F3CD4" w:rsidRDefault="00F00E3D" w:rsidP="009B2FA7">
            <w:pPr>
              <w:spacing w:after="0" w:line="240" w:lineRule="auto"/>
              <w:jc w:val="right"/>
              <w:rPr>
                <w:rFonts w:eastAsia="Times New Roman" w:cstheme="minorHAnsi"/>
                <w:color w:val="000000"/>
                <w:lang w:eastAsia="en-GB"/>
              </w:rPr>
            </w:pPr>
            <w:r w:rsidRPr="007F3CD4">
              <w:rPr>
                <w:rFonts w:eastAsia="Times New Roman" w:cstheme="minorHAnsi"/>
                <w:b/>
                <w:bCs/>
                <w:color w:val="000000"/>
                <w:lang w:eastAsia="en-GB"/>
              </w:rPr>
              <w:t>Year</w:t>
            </w:r>
          </w:p>
        </w:tc>
        <w:tc>
          <w:tcPr>
            <w:tcW w:w="3740" w:type="dxa"/>
            <w:shd w:val="clear" w:color="auto" w:fill="auto"/>
            <w:vAlign w:val="bottom"/>
          </w:tcPr>
          <w:p w14:paraId="7F50917C" w14:textId="77777777" w:rsidR="00F00E3D" w:rsidRPr="007F3CD4" w:rsidRDefault="00F00E3D" w:rsidP="009B2FA7">
            <w:pPr>
              <w:spacing w:after="0" w:line="240" w:lineRule="auto"/>
              <w:rPr>
                <w:rFonts w:eastAsia="Times New Roman" w:cstheme="minorHAnsi"/>
                <w:color w:val="000000"/>
                <w:lang w:eastAsia="en-GB"/>
              </w:rPr>
            </w:pPr>
            <w:r w:rsidRPr="007F3CD4">
              <w:rPr>
                <w:rFonts w:eastAsia="Times New Roman" w:cstheme="minorHAnsi"/>
                <w:b/>
                <w:bCs/>
                <w:color w:val="000000"/>
                <w:lang w:eastAsia="en-GB"/>
              </w:rPr>
              <w:t>Title</w:t>
            </w:r>
          </w:p>
        </w:tc>
        <w:tc>
          <w:tcPr>
            <w:tcW w:w="1224" w:type="dxa"/>
            <w:shd w:val="clear" w:color="auto" w:fill="auto"/>
            <w:vAlign w:val="bottom"/>
          </w:tcPr>
          <w:p w14:paraId="50EA5176" w14:textId="5A8A9094" w:rsidR="00F00E3D" w:rsidRPr="007F3CD4" w:rsidRDefault="00D95573" w:rsidP="009B2FA7">
            <w:pPr>
              <w:spacing w:after="0" w:line="240" w:lineRule="auto"/>
              <w:rPr>
                <w:rFonts w:eastAsia="Times New Roman" w:cstheme="minorHAnsi"/>
                <w:color w:val="000000"/>
                <w:lang w:eastAsia="en-GB"/>
              </w:rPr>
            </w:pPr>
            <w:r>
              <w:rPr>
                <w:rFonts w:eastAsia="Times New Roman" w:cstheme="minorHAnsi"/>
                <w:b/>
                <w:bCs/>
                <w:color w:val="000000"/>
                <w:lang w:eastAsia="en-GB"/>
              </w:rPr>
              <w:t>Practice Domain</w:t>
            </w:r>
          </w:p>
        </w:tc>
        <w:tc>
          <w:tcPr>
            <w:tcW w:w="1609" w:type="dxa"/>
            <w:shd w:val="clear" w:color="auto" w:fill="auto"/>
            <w:vAlign w:val="bottom"/>
          </w:tcPr>
          <w:p w14:paraId="4843F70E" w14:textId="77777777" w:rsidR="00F00E3D" w:rsidRPr="007F3CD4" w:rsidRDefault="00F00E3D" w:rsidP="009B2FA7">
            <w:pPr>
              <w:spacing w:after="0" w:line="240" w:lineRule="auto"/>
              <w:rPr>
                <w:rFonts w:eastAsia="Times New Roman" w:cstheme="minorHAnsi"/>
                <w:color w:val="000000"/>
                <w:lang w:eastAsia="en-GB"/>
              </w:rPr>
            </w:pPr>
            <w:r w:rsidRPr="007F3CD4">
              <w:rPr>
                <w:rFonts w:eastAsia="Times New Roman" w:cstheme="minorHAnsi"/>
                <w:b/>
                <w:bCs/>
                <w:color w:val="000000"/>
                <w:lang w:eastAsia="en-GB"/>
              </w:rPr>
              <w:t>Intervention</w:t>
            </w:r>
          </w:p>
        </w:tc>
        <w:tc>
          <w:tcPr>
            <w:tcW w:w="1833" w:type="dxa"/>
            <w:shd w:val="clear" w:color="auto" w:fill="auto"/>
            <w:noWrap/>
            <w:vAlign w:val="bottom"/>
          </w:tcPr>
          <w:p w14:paraId="7269B018" w14:textId="77777777" w:rsidR="00F00E3D" w:rsidRPr="007F3CD4" w:rsidRDefault="00F00E3D" w:rsidP="009B2FA7">
            <w:pPr>
              <w:spacing w:after="0" w:line="240" w:lineRule="auto"/>
              <w:rPr>
                <w:rFonts w:eastAsia="Times New Roman" w:cstheme="minorHAnsi"/>
                <w:color w:val="000000"/>
                <w:lang w:eastAsia="en-GB"/>
              </w:rPr>
            </w:pPr>
            <w:r w:rsidRPr="007F3CD4">
              <w:rPr>
                <w:rFonts w:eastAsia="Times New Roman" w:cstheme="minorHAnsi"/>
                <w:b/>
                <w:bCs/>
                <w:color w:val="000000"/>
                <w:lang w:eastAsia="en-GB"/>
              </w:rPr>
              <w:t>Evaluated</w:t>
            </w:r>
            <w:r>
              <w:rPr>
                <w:rFonts w:eastAsia="Times New Roman" w:cstheme="minorHAnsi"/>
                <w:b/>
                <w:bCs/>
                <w:color w:val="000000"/>
                <w:lang w:eastAsia="en-GB"/>
              </w:rPr>
              <w:t>?</w:t>
            </w:r>
          </w:p>
        </w:tc>
        <w:tc>
          <w:tcPr>
            <w:tcW w:w="1303" w:type="dxa"/>
            <w:shd w:val="clear" w:color="auto" w:fill="auto"/>
            <w:noWrap/>
            <w:vAlign w:val="bottom"/>
          </w:tcPr>
          <w:p w14:paraId="5B958B05" w14:textId="77777777" w:rsidR="00F00E3D" w:rsidRPr="007F3CD4" w:rsidRDefault="00F00E3D" w:rsidP="009B2FA7">
            <w:pPr>
              <w:spacing w:after="0" w:line="240" w:lineRule="auto"/>
              <w:rPr>
                <w:rFonts w:eastAsia="Times New Roman" w:cstheme="minorHAnsi"/>
                <w:color w:val="000000"/>
                <w:lang w:eastAsia="en-GB"/>
              </w:rPr>
            </w:pPr>
            <w:r w:rsidRPr="007F3CD4">
              <w:rPr>
                <w:rFonts w:eastAsia="Times New Roman" w:cstheme="minorHAnsi"/>
                <w:b/>
                <w:bCs/>
                <w:color w:val="000000"/>
                <w:lang w:eastAsia="en-GB"/>
              </w:rPr>
              <w:t>Country</w:t>
            </w:r>
          </w:p>
        </w:tc>
        <w:tc>
          <w:tcPr>
            <w:tcW w:w="1026" w:type="dxa"/>
            <w:shd w:val="clear" w:color="auto" w:fill="auto"/>
            <w:noWrap/>
            <w:vAlign w:val="bottom"/>
          </w:tcPr>
          <w:p w14:paraId="130313DD" w14:textId="77777777" w:rsidR="00F00E3D" w:rsidRPr="007F3CD4" w:rsidRDefault="00F00E3D" w:rsidP="009B2FA7">
            <w:pPr>
              <w:spacing w:after="0" w:line="240" w:lineRule="auto"/>
              <w:jc w:val="right"/>
              <w:rPr>
                <w:rFonts w:eastAsia="Times New Roman" w:cstheme="minorHAnsi"/>
                <w:color w:val="000000"/>
                <w:lang w:eastAsia="en-GB"/>
              </w:rPr>
            </w:pPr>
            <w:r w:rsidRPr="007F3CD4">
              <w:rPr>
                <w:rFonts w:eastAsia="Times New Roman" w:cstheme="minorHAnsi"/>
                <w:b/>
                <w:bCs/>
                <w:color w:val="000000"/>
                <w:lang w:eastAsia="en-GB"/>
              </w:rPr>
              <w:t>Citations</w:t>
            </w:r>
          </w:p>
        </w:tc>
      </w:tr>
      <w:tr w:rsidR="00F00E3D" w:rsidRPr="009176BC" w14:paraId="4E8DEC11" w14:textId="77777777" w:rsidTr="009B2FA7">
        <w:trPr>
          <w:trHeight w:val="20"/>
        </w:trPr>
        <w:tc>
          <w:tcPr>
            <w:tcW w:w="1800" w:type="dxa"/>
            <w:shd w:val="clear" w:color="auto" w:fill="auto"/>
            <w:noWrap/>
          </w:tcPr>
          <w:p w14:paraId="283477C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7FE3E9F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Beebeejaun, Yasminah;</w:t>
            </w:r>
            <w:r>
              <w:rPr>
                <w:rFonts w:asciiTheme="majorHAnsi" w:hAnsiTheme="majorHAnsi" w:cstheme="majorHAnsi"/>
              </w:rPr>
              <w:t xml:space="preserve"> </w:t>
            </w:r>
            <w:r w:rsidRPr="009176BC">
              <w:rPr>
                <w:rFonts w:asciiTheme="majorHAnsi" w:hAnsiTheme="majorHAnsi" w:cstheme="majorHAnsi"/>
              </w:rPr>
              <w:lastRenderedPageBreak/>
              <w:t>Grimshaw, Lucy</w:t>
            </w:r>
          </w:p>
        </w:tc>
        <w:tc>
          <w:tcPr>
            <w:tcW w:w="663" w:type="dxa"/>
            <w:shd w:val="clear" w:color="auto" w:fill="auto"/>
            <w:noWrap/>
          </w:tcPr>
          <w:p w14:paraId="6594101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lastRenderedPageBreak/>
              <w:t>2011</w:t>
            </w:r>
          </w:p>
        </w:tc>
        <w:tc>
          <w:tcPr>
            <w:tcW w:w="3740" w:type="dxa"/>
            <w:shd w:val="clear" w:color="auto" w:fill="auto"/>
          </w:tcPr>
          <w:p w14:paraId="7C3AD86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Is the 'New Deal for Communities' a New Deal for Equality? Getting </w:t>
            </w:r>
            <w:r w:rsidRPr="009176BC">
              <w:rPr>
                <w:rFonts w:asciiTheme="majorHAnsi" w:hAnsiTheme="majorHAnsi" w:cstheme="majorHAnsi"/>
              </w:rPr>
              <w:lastRenderedPageBreak/>
              <w:t>Women on Board in Neighbourhood Governance</w:t>
            </w:r>
          </w:p>
        </w:tc>
        <w:tc>
          <w:tcPr>
            <w:tcW w:w="1224" w:type="dxa"/>
            <w:shd w:val="clear" w:color="auto" w:fill="auto"/>
          </w:tcPr>
          <w:p w14:paraId="788D36F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lastRenderedPageBreak/>
              <w:t>All</w:t>
            </w:r>
          </w:p>
        </w:tc>
        <w:tc>
          <w:tcPr>
            <w:tcW w:w="1609" w:type="dxa"/>
            <w:shd w:val="clear" w:color="auto" w:fill="auto"/>
          </w:tcPr>
          <w:p w14:paraId="5C82A7A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Engagement</w:t>
            </w:r>
          </w:p>
        </w:tc>
        <w:tc>
          <w:tcPr>
            <w:tcW w:w="1833" w:type="dxa"/>
            <w:shd w:val="clear" w:color="auto" w:fill="auto"/>
            <w:noWrap/>
          </w:tcPr>
          <w:p w14:paraId="1B6595B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Case Study only</w:t>
            </w:r>
          </w:p>
        </w:tc>
        <w:tc>
          <w:tcPr>
            <w:tcW w:w="1303" w:type="dxa"/>
            <w:shd w:val="clear" w:color="auto" w:fill="auto"/>
            <w:noWrap/>
          </w:tcPr>
          <w:p w14:paraId="232E741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w:t>
            </w:r>
          </w:p>
        </w:tc>
        <w:tc>
          <w:tcPr>
            <w:tcW w:w="1026" w:type="dxa"/>
            <w:shd w:val="clear" w:color="auto" w:fill="auto"/>
            <w:noWrap/>
          </w:tcPr>
          <w:p w14:paraId="48285692"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27</w:t>
            </w:r>
          </w:p>
        </w:tc>
      </w:tr>
      <w:tr w:rsidR="00F00E3D" w:rsidRPr="009176BC" w14:paraId="45677E12" w14:textId="77777777" w:rsidTr="009B2FA7">
        <w:trPr>
          <w:trHeight w:val="20"/>
        </w:trPr>
        <w:tc>
          <w:tcPr>
            <w:tcW w:w="1800" w:type="dxa"/>
            <w:shd w:val="clear" w:color="auto" w:fill="auto"/>
            <w:noWrap/>
          </w:tcPr>
          <w:p w14:paraId="35A6178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3FE1573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Brail, Shauna;</w:t>
            </w:r>
            <w:r>
              <w:rPr>
                <w:rFonts w:asciiTheme="majorHAnsi" w:hAnsiTheme="majorHAnsi" w:cstheme="majorHAnsi"/>
              </w:rPr>
              <w:t xml:space="preserve"> </w:t>
            </w:r>
            <w:r w:rsidRPr="009176BC">
              <w:rPr>
                <w:rFonts w:asciiTheme="majorHAnsi" w:hAnsiTheme="majorHAnsi" w:cstheme="majorHAnsi"/>
              </w:rPr>
              <w:t>Kumar, Nishi</w:t>
            </w:r>
          </w:p>
        </w:tc>
        <w:tc>
          <w:tcPr>
            <w:tcW w:w="663" w:type="dxa"/>
            <w:shd w:val="clear" w:color="auto" w:fill="auto"/>
            <w:noWrap/>
          </w:tcPr>
          <w:p w14:paraId="42DC4D52"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2017</w:t>
            </w:r>
          </w:p>
        </w:tc>
        <w:tc>
          <w:tcPr>
            <w:tcW w:w="3740" w:type="dxa"/>
            <w:shd w:val="clear" w:color="auto" w:fill="auto"/>
          </w:tcPr>
          <w:p w14:paraId="188F294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leadership and engagement after the mix: The transformation of Toronto’s Regent Park</w:t>
            </w:r>
          </w:p>
        </w:tc>
        <w:tc>
          <w:tcPr>
            <w:tcW w:w="1224" w:type="dxa"/>
            <w:shd w:val="clear" w:color="auto" w:fill="auto"/>
          </w:tcPr>
          <w:p w14:paraId="472FE84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13EFCBC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Mixed-Income Development, Community Engagement</w:t>
            </w:r>
          </w:p>
        </w:tc>
        <w:tc>
          <w:tcPr>
            <w:tcW w:w="1833" w:type="dxa"/>
            <w:shd w:val="clear" w:color="auto" w:fill="auto"/>
          </w:tcPr>
          <w:p w14:paraId="716A850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1E7DA28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Canada</w:t>
            </w:r>
          </w:p>
        </w:tc>
        <w:tc>
          <w:tcPr>
            <w:tcW w:w="1026" w:type="dxa"/>
            <w:shd w:val="clear" w:color="auto" w:fill="auto"/>
            <w:noWrap/>
          </w:tcPr>
          <w:p w14:paraId="54CFDD3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10</w:t>
            </w:r>
          </w:p>
        </w:tc>
      </w:tr>
      <w:tr w:rsidR="00F00E3D" w:rsidRPr="009176BC" w14:paraId="10D6B518" w14:textId="77777777" w:rsidTr="009B2FA7">
        <w:trPr>
          <w:trHeight w:val="20"/>
        </w:trPr>
        <w:tc>
          <w:tcPr>
            <w:tcW w:w="1800" w:type="dxa"/>
            <w:shd w:val="clear" w:color="auto" w:fill="auto"/>
            <w:noWrap/>
          </w:tcPr>
          <w:p w14:paraId="2E5C5D9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2880518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Carlisle, Sandra</w:t>
            </w:r>
          </w:p>
        </w:tc>
        <w:tc>
          <w:tcPr>
            <w:tcW w:w="663" w:type="dxa"/>
            <w:shd w:val="clear" w:color="auto" w:fill="auto"/>
            <w:noWrap/>
          </w:tcPr>
          <w:p w14:paraId="5DC3E3A2"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2010</w:t>
            </w:r>
          </w:p>
        </w:tc>
        <w:tc>
          <w:tcPr>
            <w:tcW w:w="3740" w:type="dxa"/>
            <w:shd w:val="clear" w:color="auto" w:fill="auto"/>
          </w:tcPr>
          <w:p w14:paraId="3F009DE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Tackling health inequalities and social exclusion through partnership and community engagement? A reality check for policy and practice aspirations from a Social Inclusion Partnership in Scotland</w:t>
            </w:r>
          </w:p>
        </w:tc>
        <w:tc>
          <w:tcPr>
            <w:tcW w:w="1224" w:type="dxa"/>
            <w:shd w:val="clear" w:color="auto" w:fill="auto"/>
          </w:tcPr>
          <w:p w14:paraId="15B6C83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202CA8C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(Social Inclusion Partnership (SIP)</w:t>
            </w:r>
          </w:p>
        </w:tc>
        <w:tc>
          <w:tcPr>
            <w:tcW w:w="1833" w:type="dxa"/>
            <w:shd w:val="clear" w:color="auto" w:fill="auto"/>
          </w:tcPr>
          <w:p w14:paraId="6C537AE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599E30D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Scotland</w:t>
            </w:r>
          </w:p>
        </w:tc>
        <w:tc>
          <w:tcPr>
            <w:tcW w:w="1026" w:type="dxa"/>
            <w:shd w:val="clear" w:color="auto" w:fill="auto"/>
            <w:noWrap/>
          </w:tcPr>
          <w:p w14:paraId="24C41141"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19</w:t>
            </w:r>
          </w:p>
        </w:tc>
      </w:tr>
      <w:tr w:rsidR="00F00E3D" w:rsidRPr="009176BC" w14:paraId="4DF5B428" w14:textId="77777777" w:rsidTr="009B2FA7">
        <w:trPr>
          <w:trHeight w:val="20"/>
        </w:trPr>
        <w:tc>
          <w:tcPr>
            <w:tcW w:w="1800" w:type="dxa"/>
            <w:shd w:val="clear" w:color="auto" w:fill="auto"/>
            <w:noWrap/>
          </w:tcPr>
          <w:p w14:paraId="17EE225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bookmarkStart w:id="100" w:name="OLE_LINKearlywarning" w:colFirst="0" w:colLast="8"/>
            <w:r w:rsidRPr="009176BC">
              <w:rPr>
                <w:rFonts w:asciiTheme="majorHAnsi" w:hAnsiTheme="majorHAnsi" w:cstheme="majorHAnsi"/>
              </w:rPr>
              <w:t>Journal Article</w:t>
            </w:r>
          </w:p>
        </w:tc>
        <w:tc>
          <w:tcPr>
            <w:tcW w:w="1537" w:type="dxa"/>
            <w:shd w:val="clear" w:color="auto" w:fill="auto"/>
          </w:tcPr>
          <w:p w14:paraId="25A7A45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Chapple, Karen;</w:t>
            </w:r>
            <w:r>
              <w:rPr>
                <w:rFonts w:asciiTheme="majorHAnsi" w:hAnsiTheme="majorHAnsi" w:cstheme="majorHAnsi"/>
              </w:rPr>
              <w:t xml:space="preserve"> </w:t>
            </w:r>
            <w:r w:rsidRPr="009176BC">
              <w:rPr>
                <w:rFonts w:asciiTheme="majorHAnsi" w:hAnsiTheme="majorHAnsi" w:cstheme="majorHAnsi"/>
              </w:rPr>
              <w:t>Zuk, Miriam</w:t>
            </w:r>
          </w:p>
        </w:tc>
        <w:tc>
          <w:tcPr>
            <w:tcW w:w="663" w:type="dxa"/>
            <w:shd w:val="clear" w:color="auto" w:fill="auto"/>
            <w:noWrap/>
          </w:tcPr>
          <w:p w14:paraId="2B59784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2016</w:t>
            </w:r>
          </w:p>
        </w:tc>
        <w:tc>
          <w:tcPr>
            <w:tcW w:w="3740" w:type="dxa"/>
            <w:shd w:val="clear" w:color="auto" w:fill="auto"/>
          </w:tcPr>
          <w:p w14:paraId="2268E6C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The Use of Neighborhood Early Warning Systems for Gentrification and Displacement;</w:t>
            </w:r>
            <w:r>
              <w:rPr>
                <w:rFonts w:asciiTheme="majorHAnsi" w:hAnsiTheme="majorHAnsi" w:cstheme="majorHAnsi"/>
              </w:rPr>
              <w:t xml:space="preserve"> </w:t>
            </w:r>
            <w:r w:rsidRPr="009176BC">
              <w:rPr>
                <w:rFonts w:asciiTheme="majorHAnsi" w:hAnsiTheme="majorHAnsi" w:cstheme="majorHAnsi"/>
              </w:rPr>
              <w:t>Forewarned</w:t>
            </w:r>
          </w:p>
        </w:tc>
        <w:tc>
          <w:tcPr>
            <w:tcW w:w="1224" w:type="dxa"/>
            <w:shd w:val="clear" w:color="auto" w:fill="auto"/>
          </w:tcPr>
          <w:p w14:paraId="2D69709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411097E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Neighbourhood Early Warning Systems for Gentrification and Displacement</w:t>
            </w:r>
          </w:p>
        </w:tc>
        <w:tc>
          <w:tcPr>
            <w:tcW w:w="1833" w:type="dxa"/>
            <w:shd w:val="clear" w:color="auto" w:fill="auto"/>
          </w:tcPr>
          <w:p w14:paraId="34A09DB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 Theoretical</w:t>
            </w:r>
          </w:p>
        </w:tc>
        <w:tc>
          <w:tcPr>
            <w:tcW w:w="1303" w:type="dxa"/>
            <w:shd w:val="clear" w:color="auto" w:fill="auto"/>
            <w:noWrap/>
          </w:tcPr>
          <w:p w14:paraId="10CE2CD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509A63D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46</w:t>
            </w:r>
          </w:p>
        </w:tc>
      </w:tr>
      <w:bookmarkEnd w:id="100"/>
      <w:tr w:rsidR="00F00E3D" w:rsidRPr="009176BC" w14:paraId="0EE98906" w14:textId="77777777" w:rsidTr="009B2FA7">
        <w:trPr>
          <w:trHeight w:val="20"/>
        </w:trPr>
        <w:tc>
          <w:tcPr>
            <w:tcW w:w="1800" w:type="dxa"/>
            <w:shd w:val="clear" w:color="auto" w:fill="auto"/>
            <w:noWrap/>
          </w:tcPr>
          <w:p w14:paraId="660D361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23E0650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Chaskin, Robert J.;</w:t>
            </w:r>
            <w:r>
              <w:rPr>
                <w:rFonts w:asciiTheme="majorHAnsi" w:hAnsiTheme="majorHAnsi" w:cstheme="majorHAnsi"/>
              </w:rPr>
              <w:t xml:space="preserve"> </w:t>
            </w:r>
            <w:r w:rsidRPr="009176BC">
              <w:rPr>
                <w:rFonts w:asciiTheme="majorHAnsi" w:hAnsiTheme="majorHAnsi" w:cstheme="majorHAnsi"/>
              </w:rPr>
              <w:t>Joseph, Mark L.</w:t>
            </w:r>
          </w:p>
        </w:tc>
        <w:tc>
          <w:tcPr>
            <w:tcW w:w="663" w:type="dxa"/>
            <w:shd w:val="clear" w:color="auto" w:fill="auto"/>
            <w:noWrap/>
          </w:tcPr>
          <w:p w14:paraId="729157A5"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2010</w:t>
            </w:r>
          </w:p>
        </w:tc>
        <w:tc>
          <w:tcPr>
            <w:tcW w:w="3740" w:type="dxa"/>
            <w:shd w:val="clear" w:color="auto" w:fill="auto"/>
          </w:tcPr>
          <w:p w14:paraId="4CDC506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Building "Community" in Mixed-Income Developments Assumptions, Approaches, and Early Experiences</w:t>
            </w:r>
          </w:p>
        </w:tc>
        <w:tc>
          <w:tcPr>
            <w:tcW w:w="1224" w:type="dxa"/>
            <w:shd w:val="clear" w:color="auto" w:fill="auto"/>
          </w:tcPr>
          <w:p w14:paraId="3B06264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75F6A8C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Mixed-Income Development</w:t>
            </w:r>
          </w:p>
        </w:tc>
        <w:tc>
          <w:tcPr>
            <w:tcW w:w="1833" w:type="dxa"/>
            <w:shd w:val="clear" w:color="auto" w:fill="auto"/>
          </w:tcPr>
          <w:p w14:paraId="12B7108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1402B4B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46DC5D0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66</w:t>
            </w:r>
          </w:p>
        </w:tc>
      </w:tr>
      <w:tr w:rsidR="00F00E3D" w:rsidRPr="009176BC" w14:paraId="15771CC3" w14:textId="77777777" w:rsidTr="009B2FA7">
        <w:trPr>
          <w:trHeight w:val="20"/>
        </w:trPr>
        <w:tc>
          <w:tcPr>
            <w:tcW w:w="1800" w:type="dxa"/>
            <w:shd w:val="clear" w:color="auto" w:fill="auto"/>
            <w:noWrap/>
          </w:tcPr>
          <w:p w14:paraId="303A567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4914D2C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Clark, Jelisa;</w:t>
            </w:r>
            <w:r>
              <w:rPr>
                <w:rFonts w:asciiTheme="majorHAnsi" w:hAnsiTheme="majorHAnsi" w:cstheme="majorHAnsi"/>
              </w:rPr>
              <w:t xml:space="preserve"> </w:t>
            </w:r>
            <w:r w:rsidRPr="009176BC">
              <w:rPr>
                <w:rFonts w:asciiTheme="majorHAnsi" w:hAnsiTheme="majorHAnsi" w:cstheme="majorHAnsi"/>
              </w:rPr>
              <w:t>Negrey, Cynthia</w:t>
            </w:r>
          </w:p>
        </w:tc>
        <w:tc>
          <w:tcPr>
            <w:tcW w:w="663" w:type="dxa"/>
            <w:shd w:val="clear" w:color="auto" w:fill="auto"/>
            <w:noWrap/>
          </w:tcPr>
          <w:p w14:paraId="3EE7D0B3"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2017</w:t>
            </w:r>
          </w:p>
        </w:tc>
        <w:tc>
          <w:tcPr>
            <w:tcW w:w="3740" w:type="dxa"/>
            <w:shd w:val="clear" w:color="auto" w:fill="auto"/>
          </w:tcPr>
          <w:p w14:paraId="5E3E2EC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Hope for Cities or Hope for People: Neighborhood Development and Demographic Change</w:t>
            </w:r>
          </w:p>
        </w:tc>
        <w:tc>
          <w:tcPr>
            <w:tcW w:w="1224" w:type="dxa"/>
            <w:shd w:val="clear" w:color="auto" w:fill="auto"/>
          </w:tcPr>
          <w:p w14:paraId="12957AA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0B8E79B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Mixed-Income Development</w:t>
            </w:r>
          </w:p>
        </w:tc>
        <w:tc>
          <w:tcPr>
            <w:tcW w:w="1833" w:type="dxa"/>
            <w:shd w:val="clear" w:color="auto" w:fill="auto"/>
          </w:tcPr>
          <w:p w14:paraId="73E0F5D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1843289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63783431"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w:t>
            </w:r>
          </w:p>
        </w:tc>
      </w:tr>
      <w:tr w:rsidR="00F00E3D" w:rsidRPr="009176BC" w14:paraId="5C14B60E" w14:textId="77777777" w:rsidTr="009B2FA7">
        <w:trPr>
          <w:trHeight w:val="20"/>
        </w:trPr>
        <w:tc>
          <w:tcPr>
            <w:tcW w:w="1800" w:type="dxa"/>
            <w:shd w:val="clear" w:color="auto" w:fill="auto"/>
            <w:noWrap/>
          </w:tcPr>
          <w:p w14:paraId="159719F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60CBEA4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Crimeen, A., Bernstein, M., Zapart, S., Haigh, F. </w:t>
            </w:r>
          </w:p>
        </w:tc>
        <w:tc>
          <w:tcPr>
            <w:tcW w:w="663" w:type="dxa"/>
            <w:shd w:val="clear" w:color="auto" w:fill="auto"/>
            <w:noWrap/>
          </w:tcPr>
          <w:p w14:paraId="09E68B12"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2018</w:t>
            </w:r>
          </w:p>
        </w:tc>
        <w:tc>
          <w:tcPr>
            <w:tcW w:w="3740" w:type="dxa"/>
            <w:shd w:val="clear" w:color="auto" w:fill="auto"/>
          </w:tcPr>
          <w:p w14:paraId="6C71E1A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Place-based Interventions: A Realist Informed Literature Review</w:t>
            </w:r>
          </w:p>
        </w:tc>
        <w:tc>
          <w:tcPr>
            <w:tcW w:w="1224" w:type="dxa"/>
            <w:shd w:val="clear" w:color="auto" w:fill="auto"/>
          </w:tcPr>
          <w:p w14:paraId="67EA41F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20F0B40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Place-based Initiative</w:t>
            </w:r>
          </w:p>
        </w:tc>
        <w:tc>
          <w:tcPr>
            <w:tcW w:w="1833" w:type="dxa"/>
            <w:shd w:val="clear" w:color="auto" w:fill="auto"/>
          </w:tcPr>
          <w:p w14:paraId="4D369B6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 - Literature Review</w:t>
            </w:r>
          </w:p>
        </w:tc>
        <w:tc>
          <w:tcPr>
            <w:tcW w:w="1303" w:type="dxa"/>
            <w:shd w:val="clear" w:color="auto" w:fill="auto"/>
            <w:noWrap/>
          </w:tcPr>
          <w:p w14:paraId="42F5714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5D06771F"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0</w:t>
            </w:r>
          </w:p>
        </w:tc>
      </w:tr>
      <w:tr w:rsidR="00F00E3D" w:rsidRPr="009176BC" w14:paraId="7AF25AF2" w14:textId="77777777" w:rsidTr="009B2FA7">
        <w:trPr>
          <w:trHeight w:val="20"/>
        </w:trPr>
        <w:tc>
          <w:tcPr>
            <w:tcW w:w="1800" w:type="dxa"/>
            <w:shd w:val="clear" w:color="auto" w:fill="auto"/>
            <w:noWrap/>
          </w:tcPr>
          <w:p w14:paraId="2199101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080B873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Foster, Nicole;</w:t>
            </w:r>
            <w:r>
              <w:rPr>
                <w:rFonts w:asciiTheme="majorHAnsi" w:hAnsiTheme="majorHAnsi" w:cstheme="majorHAnsi"/>
              </w:rPr>
              <w:t xml:space="preserve"> </w:t>
            </w:r>
            <w:r w:rsidRPr="009176BC">
              <w:rPr>
                <w:rFonts w:asciiTheme="majorHAnsi" w:hAnsiTheme="majorHAnsi" w:cstheme="majorHAnsi"/>
              </w:rPr>
              <w:t>Grodach, Carl;</w:t>
            </w:r>
            <w:r>
              <w:rPr>
                <w:rFonts w:asciiTheme="majorHAnsi" w:hAnsiTheme="majorHAnsi" w:cstheme="majorHAnsi"/>
              </w:rPr>
              <w:t xml:space="preserve"> </w:t>
            </w:r>
            <w:r w:rsidRPr="009176BC">
              <w:rPr>
                <w:rFonts w:asciiTheme="majorHAnsi" w:hAnsiTheme="majorHAnsi" w:cstheme="majorHAnsi"/>
              </w:rPr>
              <w:t>Murdoch, James, III</w:t>
            </w:r>
          </w:p>
        </w:tc>
        <w:tc>
          <w:tcPr>
            <w:tcW w:w="663" w:type="dxa"/>
            <w:shd w:val="clear" w:color="auto" w:fill="auto"/>
            <w:noWrap/>
          </w:tcPr>
          <w:p w14:paraId="3D4E432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2016</w:t>
            </w:r>
          </w:p>
        </w:tc>
        <w:tc>
          <w:tcPr>
            <w:tcW w:w="3740" w:type="dxa"/>
            <w:shd w:val="clear" w:color="auto" w:fill="auto"/>
          </w:tcPr>
          <w:p w14:paraId="7E7345F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NEIGHBORHOOD DIVERSITY, ECONOMIC HEALTH, AND THE ROLE OF THE ARTS</w:t>
            </w:r>
          </w:p>
        </w:tc>
        <w:tc>
          <w:tcPr>
            <w:tcW w:w="1224" w:type="dxa"/>
            <w:shd w:val="clear" w:color="auto" w:fill="auto"/>
          </w:tcPr>
          <w:p w14:paraId="27513A2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722FCC7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Neighbourhood Arts Initiative</w:t>
            </w:r>
          </w:p>
        </w:tc>
        <w:tc>
          <w:tcPr>
            <w:tcW w:w="1833" w:type="dxa"/>
            <w:shd w:val="clear" w:color="auto" w:fill="auto"/>
          </w:tcPr>
          <w:p w14:paraId="2EC2FDB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098B45D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3F034171"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7</w:t>
            </w:r>
          </w:p>
        </w:tc>
      </w:tr>
      <w:tr w:rsidR="00F00E3D" w:rsidRPr="009176BC" w14:paraId="00DDBE76" w14:textId="77777777" w:rsidTr="009B2FA7">
        <w:trPr>
          <w:trHeight w:val="20"/>
        </w:trPr>
        <w:tc>
          <w:tcPr>
            <w:tcW w:w="1800" w:type="dxa"/>
            <w:shd w:val="clear" w:color="auto" w:fill="auto"/>
            <w:noWrap/>
          </w:tcPr>
          <w:p w14:paraId="3E98006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lastRenderedPageBreak/>
              <w:t>Journal Article</w:t>
            </w:r>
          </w:p>
        </w:tc>
        <w:tc>
          <w:tcPr>
            <w:tcW w:w="1537" w:type="dxa"/>
            <w:shd w:val="clear" w:color="auto" w:fill="auto"/>
          </w:tcPr>
          <w:p w14:paraId="68537CD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Fraser, James C.;</w:t>
            </w:r>
            <w:r>
              <w:rPr>
                <w:rFonts w:asciiTheme="majorHAnsi" w:hAnsiTheme="majorHAnsi" w:cstheme="majorHAnsi"/>
              </w:rPr>
              <w:t xml:space="preserve"> </w:t>
            </w:r>
            <w:r w:rsidRPr="009176BC">
              <w:rPr>
                <w:rFonts w:asciiTheme="majorHAnsi" w:hAnsiTheme="majorHAnsi" w:cstheme="majorHAnsi"/>
              </w:rPr>
              <w:t>Chaskin, Robert J.;</w:t>
            </w:r>
            <w:r>
              <w:rPr>
                <w:rFonts w:asciiTheme="majorHAnsi" w:hAnsiTheme="majorHAnsi" w:cstheme="majorHAnsi"/>
              </w:rPr>
              <w:t xml:space="preserve"> </w:t>
            </w:r>
            <w:r w:rsidRPr="009176BC">
              <w:rPr>
                <w:rFonts w:asciiTheme="majorHAnsi" w:hAnsiTheme="majorHAnsi" w:cstheme="majorHAnsi"/>
              </w:rPr>
              <w:t>Bazuin, Joshua Theodore</w:t>
            </w:r>
          </w:p>
        </w:tc>
        <w:tc>
          <w:tcPr>
            <w:tcW w:w="663" w:type="dxa"/>
            <w:shd w:val="clear" w:color="auto" w:fill="auto"/>
            <w:noWrap/>
          </w:tcPr>
          <w:p w14:paraId="65E99B73"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2013</w:t>
            </w:r>
          </w:p>
        </w:tc>
        <w:tc>
          <w:tcPr>
            <w:tcW w:w="3740" w:type="dxa"/>
            <w:shd w:val="clear" w:color="auto" w:fill="auto"/>
          </w:tcPr>
          <w:p w14:paraId="4DFD65F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Making Mixed-Income Neighborhoods Work for Low-Income Households</w:t>
            </w:r>
          </w:p>
        </w:tc>
        <w:tc>
          <w:tcPr>
            <w:tcW w:w="1224" w:type="dxa"/>
            <w:shd w:val="clear" w:color="auto" w:fill="auto"/>
          </w:tcPr>
          <w:p w14:paraId="0D3D90B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0DE6A4F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Mixed-Income Development</w:t>
            </w:r>
          </w:p>
        </w:tc>
        <w:tc>
          <w:tcPr>
            <w:tcW w:w="1833" w:type="dxa"/>
            <w:shd w:val="clear" w:color="auto" w:fill="auto"/>
          </w:tcPr>
          <w:p w14:paraId="6453465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69BE2A5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3F6AD79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37</w:t>
            </w:r>
          </w:p>
        </w:tc>
      </w:tr>
      <w:tr w:rsidR="00F00E3D" w:rsidRPr="009176BC" w14:paraId="440F8D50" w14:textId="77777777" w:rsidTr="009B2FA7">
        <w:trPr>
          <w:trHeight w:val="20"/>
        </w:trPr>
        <w:tc>
          <w:tcPr>
            <w:tcW w:w="1800" w:type="dxa"/>
            <w:shd w:val="clear" w:color="auto" w:fill="auto"/>
            <w:noWrap/>
          </w:tcPr>
          <w:p w14:paraId="55E058F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Book Section</w:t>
            </w:r>
          </w:p>
        </w:tc>
        <w:tc>
          <w:tcPr>
            <w:tcW w:w="1537" w:type="dxa"/>
            <w:shd w:val="clear" w:color="auto" w:fill="auto"/>
          </w:tcPr>
          <w:p w14:paraId="1AC2842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Galster, George C.</w:t>
            </w:r>
          </w:p>
        </w:tc>
        <w:tc>
          <w:tcPr>
            <w:tcW w:w="663" w:type="dxa"/>
            <w:shd w:val="clear" w:color="auto" w:fill="auto"/>
            <w:noWrap/>
          </w:tcPr>
          <w:p w14:paraId="3354B1D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2013</w:t>
            </w:r>
          </w:p>
        </w:tc>
        <w:tc>
          <w:tcPr>
            <w:tcW w:w="3740" w:type="dxa"/>
            <w:shd w:val="clear" w:color="auto" w:fill="auto"/>
          </w:tcPr>
          <w:p w14:paraId="533797F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Neighborhood Social Mix</w:t>
            </w:r>
            <w:r>
              <w:rPr>
                <w:rFonts w:asciiTheme="majorHAnsi" w:hAnsiTheme="majorHAnsi" w:cstheme="majorHAnsi"/>
              </w:rPr>
              <w:t xml:space="preserve">: </w:t>
            </w:r>
            <w:r w:rsidRPr="009176BC">
              <w:rPr>
                <w:rFonts w:asciiTheme="majorHAnsi" w:hAnsiTheme="majorHAnsi" w:cstheme="majorHAnsi"/>
              </w:rPr>
              <w:t>Theory, Evidence, and Implications for Policy and Planning</w:t>
            </w:r>
          </w:p>
        </w:tc>
        <w:tc>
          <w:tcPr>
            <w:tcW w:w="1224" w:type="dxa"/>
            <w:shd w:val="clear" w:color="auto" w:fill="auto"/>
          </w:tcPr>
          <w:p w14:paraId="16CDB92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6D4589A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Mixed-Income Development</w:t>
            </w:r>
          </w:p>
        </w:tc>
        <w:tc>
          <w:tcPr>
            <w:tcW w:w="1833" w:type="dxa"/>
            <w:shd w:val="clear" w:color="auto" w:fill="auto"/>
          </w:tcPr>
          <w:p w14:paraId="1FBF90A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 Theoretical</w:t>
            </w:r>
          </w:p>
        </w:tc>
        <w:tc>
          <w:tcPr>
            <w:tcW w:w="1303" w:type="dxa"/>
            <w:shd w:val="clear" w:color="auto" w:fill="auto"/>
            <w:noWrap/>
          </w:tcPr>
          <w:p w14:paraId="131C682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 and US</w:t>
            </w:r>
          </w:p>
        </w:tc>
        <w:tc>
          <w:tcPr>
            <w:tcW w:w="1026" w:type="dxa"/>
            <w:shd w:val="clear" w:color="auto" w:fill="auto"/>
            <w:noWrap/>
          </w:tcPr>
          <w:p w14:paraId="43D456B7"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78</w:t>
            </w:r>
          </w:p>
        </w:tc>
      </w:tr>
      <w:tr w:rsidR="00F00E3D" w:rsidRPr="009176BC" w14:paraId="20EA1E26" w14:textId="77777777" w:rsidTr="009B2FA7">
        <w:trPr>
          <w:trHeight w:val="20"/>
        </w:trPr>
        <w:tc>
          <w:tcPr>
            <w:tcW w:w="1800" w:type="dxa"/>
            <w:shd w:val="clear" w:color="auto" w:fill="auto"/>
            <w:noWrap/>
          </w:tcPr>
          <w:p w14:paraId="23ACFFF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3EE39E2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Greco, L. S.</w:t>
            </w:r>
          </w:p>
        </w:tc>
        <w:tc>
          <w:tcPr>
            <w:tcW w:w="663" w:type="dxa"/>
            <w:shd w:val="clear" w:color="auto" w:fill="auto"/>
            <w:noWrap/>
          </w:tcPr>
          <w:p w14:paraId="3D36798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2013</w:t>
            </w:r>
          </w:p>
        </w:tc>
        <w:tc>
          <w:tcPr>
            <w:tcW w:w="3740" w:type="dxa"/>
            <w:shd w:val="clear" w:color="auto" w:fill="auto"/>
          </w:tcPr>
          <w:p w14:paraId="6DE147E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Communicating, collaborating, and coordinating to revitalize </w:t>
            </w:r>
            <w:r>
              <w:rPr>
                <w:rFonts w:asciiTheme="majorHAnsi" w:hAnsiTheme="majorHAnsi" w:cstheme="majorHAnsi"/>
              </w:rPr>
              <w:t>N</w:t>
            </w:r>
            <w:r w:rsidRPr="009176BC">
              <w:rPr>
                <w:rFonts w:asciiTheme="majorHAnsi" w:hAnsiTheme="majorHAnsi" w:cstheme="majorHAnsi"/>
              </w:rPr>
              <w:t xml:space="preserve">ew </w:t>
            </w:r>
            <w:r>
              <w:rPr>
                <w:rFonts w:asciiTheme="majorHAnsi" w:hAnsiTheme="majorHAnsi" w:cstheme="majorHAnsi"/>
              </w:rPr>
              <w:t>J</w:t>
            </w:r>
            <w:r w:rsidRPr="009176BC">
              <w:rPr>
                <w:rFonts w:asciiTheme="majorHAnsi" w:hAnsiTheme="majorHAnsi" w:cstheme="majorHAnsi"/>
              </w:rPr>
              <w:t>ersey neighborhoods</w:t>
            </w:r>
          </w:p>
        </w:tc>
        <w:tc>
          <w:tcPr>
            <w:tcW w:w="1224" w:type="dxa"/>
            <w:shd w:val="clear" w:color="auto" w:fill="auto"/>
          </w:tcPr>
          <w:p w14:paraId="769109B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352DA6F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Community Development </w:t>
            </w:r>
          </w:p>
        </w:tc>
        <w:tc>
          <w:tcPr>
            <w:tcW w:w="1833" w:type="dxa"/>
            <w:shd w:val="clear" w:color="auto" w:fill="auto"/>
          </w:tcPr>
          <w:p w14:paraId="336A24B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0A0F976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132F8410"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0</w:t>
            </w:r>
          </w:p>
        </w:tc>
      </w:tr>
      <w:tr w:rsidR="00F00E3D" w:rsidRPr="009176BC" w14:paraId="45513692" w14:textId="77777777" w:rsidTr="009B2FA7">
        <w:trPr>
          <w:trHeight w:val="20"/>
        </w:trPr>
        <w:tc>
          <w:tcPr>
            <w:tcW w:w="1800" w:type="dxa"/>
            <w:shd w:val="clear" w:color="auto" w:fill="auto"/>
            <w:noWrap/>
          </w:tcPr>
          <w:p w14:paraId="5093647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4181AF6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Hyra, Derek</w:t>
            </w:r>
          </w:p>
        </w:tc>
        <w:tc>
          <w:tcPr>
            <w:tcW w:w="663" w:type="dxa"/>
            <w:shd w:val="clear" w:color="auto" w:fill="auto"/>
            <w:noWrap/>
          </w:tcPr>
          <w:p w14:paraId="2731CBA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2013</w:t>
            </w:r>
          </w:p>
        </w:tc>
        <w:tc>
          <w:tcPr>
            <w:tcW w:w="3740" w:type="dxa"/>
            <w:shd w:val="clear" w:color="auto" w:fill="auto"/>
          </w:tcPr>
          <w:p w14:paraId="3C5F382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Commentary: Mixed-Income Housing: Where Have We Been and Where Do We Go from Here?</w:t>
            </w:r>
          </w:p>
        </w:tc>
        <w:tc>
          <w:tcPr>
            <w:tcW w:w="1224" w:type="dxa"/>
            <w:shd w:val="clear" w:color="auto" w:fill="auto"/>
          </w:tcPr>
          <w:p w14:paraId="2BF9687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1A29573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Mixed-Income Development</w:t>
            </w:r>
          </w:p>
        </w:tc>
        <w:tc>
          <w:tcPr>
            <w:tcW w:w="1833" w:type="dxa"/>
            <w:shd w:val="clear" w:color="auto" w:fill="auto"/>
          </w:tcPr>
          <w:p w14:paraId="3F04162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1AD3887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non-context-specific</w:t>
            </w:r>
          </w:p>
        </w:tc>
        <w:tc>
          <w:tcPr>
            <w:tcW w:w="1026" w:type="dxa"/>
            <w:shd w:val="clear" w:color="auto" w:fill="auto"/>
            <w:noWrap/>
          </w:tcPr>
          <w:p w14:paraId="402778C7"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26</w:t>
            </w:r>
          </w:p>
        </w:tc>
      </w:tr>
      <w:tr w:rsidR="00F00E3D" w:rsidRPr="009176BC" w14:paraId="71BA2621" w14:textId="77777777" w:rsidTr="009B2FA7">
        <w:trPr>
          <w:trHeight w:val="20"/>
        </w:trPr>
        <w:tc>
          <w:tcPr>
            <w:tcW w:w="1800" w:type="dxa"/>
            <w:shd w:val="clear" w:color="auto" w:fill="auto"/>
            <w:noWrap/>
          </w:tcPr>
          <w:p w14:paraId="57A7556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4985475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Jarvis, David;</w:t>
            </w:r>
            <w:r>
              <w:rPr>
                <w:rFonts w:asciiTheme="majorHAnsi" w:hAnsiTheme="majorHAnsi" w:cstheme="majorHAnsi"/>
              </w:rPr>
              <w:t xml:space="preserve"> </w:t>
            </w:r>
            <w:r w:rsidRPr="009176BC">
              <w:rPr>
                <w:rFonts w:asciiTheme="majorHAnsi" w:hAnsiTheme="majorHAnsi" w:cstheme="majorHAnsi"/>
              </w:rPr>
              <w:t>Berkeley, Nigel;</w:t>
            </w:r>
            <w:r>
              <w:rPr>
                <w:rFonts w:asciiTheme="majorHAnsi" w:hAnsiTheme="majorHAnsi" w:cstheme="majorHAnsi"/>
              </w:rPr>
              <w:t xml:space="preserve"> </w:t>
            </w:r>
            <w:r w:rsidRPr="009176BC">
              <w:rPr>
                <w:rFonts w:asciiTheme="majorHAnsi" w:hAnsiTheme="majorHAnsi" w:cstheme="majorHAnsi"/>
              </w:rPr>
              <w:t>Broughton, Kevin</w:t>
            </w:r>
          </w:p>
        </w:tc>
        <w:tc>
          <w:tcPr>
            <w:tcW w:w="663" w:type="dxa"/>
            <w:shd w:val="clear" w:color="auto" w:fill="auto"/>
            <w:noWrap/>
          </w:tcPr>
          <w:p w14:paraId="190F6B91"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2012</w:t>
            </w:r>
          </w:p>
        </w:tc>
        <w:tc>
          <w:tcPr>
            <w:tcW w:w="3740" w:type="dxa"/>
            <w:shd w:val="clear" w:color="auto" w:fill="auto"/>
          </w:tcPr>
          <w:p w14:paraId="7F9E56A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Evidencing the impact of community engagement in neighbourhood regeneration</w:t>
            </w:r>
            <w:r>
              <w:rPr>
                <w:rFonts w:asciiTheme="majorHAnsi" w:hAnsiTheme="majorHAnsi" w:cstheme="majorHAnsi"/>
              </w:rPr>
              <w:t xml:space="preserve">: </w:t>
            </w:r>
            <w:r w:rsidRPr="009176BC">
              <w:rPr>
                <w:rFonts w:asciiTheme="majorHAnsi" w:hAnsiTheme="majorHAnsi" w:cstheme="majorHAnsi"/>
              </w:rPr>
              <w:t>the case of Canley, Coventry</w:t>
            </w:r>
          </w:p>
        </w:tc>
        <w:tc>
          <w:tcPr>
            <w:tcW w:w="1224" w:type="dxa"/>
            <w:shd w:val="clear" w:color="auto" w:fill="auto"/>
          </w:tcPr>
          <w:p w14:paraId="786FB26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701C73A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Neighbourhood Renewal, Community Engagement</w:t>
            </w:r>
          </w:p>
        </w:tc>
        <w:tc>
          <w:tcPr>
            <w:tcW w:w="1833" w:type="dxa"/>
            <w:shd w:val="clear" w:color="auto" w:fill="auto"/>
          </w:tcPr>
          <w:p w14:paraId="0E8EDF1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Case Study only</w:t>
            </w:r>
          </w:p>
        </w:tc>
        <w:tc>
          <w:tcPr>
            <w:tcW w:w="1303" w:type="dxa"/>
            <w:shd w:val="clear" w:color="auto" w:fill="auto"/>
            <w:noWrap/>
          </w:tcPr>
          <w:p w14:paraId="1A101E3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w:t>
            </w:r>
          </w:p>
        </w:tc>
        <w:tc>
          <w:tcPr>
            <w:tcW w:w="1026" w:type="dxa"/>
            <w:shd w:val="clear" w:color="auto" w:fill="auto"/>
            <w:noWrap/>
          </w:tcPr>
          <w:p w14:paraId="7764D130"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43</w:t>
            </w:r>
          </w:p>
        </w:tc>
      </w:tr>
      <w:tr w:rsidR="00F00E3D" w:rsidRPr="009176BC" w14:paraId="0343D2C6" w14:textId="77777777" w:rsidTr="009B2FA7">
        <w:trPr>
          <w:trHeight w:val="20"/>
        </w:trPr>
        <w:tc>
          <w:tcPr>
            <w:tcW w:w="1800" w:type="dxa"/>
            <w:shd w:val="clear" w:color="auto" w:fill="auto"/>
            <w:noWrap/>
          </w:tcPr>
          <w:p w14:paraId="0D55BE6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2D75ECA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Joseph, Mark;</w:t>
            </w:r>
            <w:r>
              <w:rPr>
                <w:rFonts w:asciiTheme="majorHAnsi" w:hAnsiTheme="majorHAnsi" w:cstheme="majorHAnsi"/>
              </w:rPr>
              <w:t xml:space="preserve"> </w:t>
            </w:r>
            <w:r w:rsidRPr="009176BC">
              <w:rPr>
                <w:rFonts w:asciiTheme="majorHAnsi" w:hAnsiTheme="majorHAnsi" w:cstheme="majorHAnsi"/>
              </w:rPr>
              <w:t>Chaskin, Robert</w:t>
            </w:r>
          </w:p>
        </w:tc>
        <w:tc>
          <w:tcPr>
            <w:tcW w:w="663" w:type="dxa"/>
            <w:shd w:val="clear" w:color="auto" w:fill="auto"/>
            <w:noWrap/>
          </w:tcPr>
          <w:p w14:paraId="200492D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2010</w:t>
            </w:r>
          </w:p>
        </w:tc>
        <w:tc>
          <w:tcPr>
            <w:tcW w:w="3740" w:type="dxa"/>
            <w:shd w:val="clear" w:color="auto" w:fill="auto"/>
          </w:tcPr>
          <w:p w14:paraId="6A82299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Living in a Mixed-Income Development: Resident Perceptions of the Benefits and Disadvantages of Two Developments in Chicago</w:t>
            </w:r>
          </w:p>
        </w:tc>
        <w:tc>
          <w:tcPr>
            <w:tcW w:w="1224" w:type="dxa"/>
            <w:shd w:val="clear" w:color="auto" w:fill="auto"/>
          </w:tcPr>
          <w:p w14:paraId="1E820D0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7E3B6FF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Mixed-Income Development</w:t>
            </w:r>
          </w:p>
        </w:tc>
        <w:tc>
          <w:tcPr>
            <w:tcW w:w="1833" w:type="dxa"/>
            <w:shd w:val="clear" w:color="auto" w:fill="auto"/>
          </w:tcPr>
          <w:p w14:paraId="4943DC3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4B649A9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6D8ADCC1"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123</w:t>
            </w:r>
          </w:p>
        </w:tc>
      </w:tr>
      <w:tr w:rsidR="00F00E3D" w:rsidRPr="009176BC" w14:paraId="12BB72C0" w14:textId="77777777" w:rsidTr="009B2FA7">
        <w:trPr>
          <w:trHeight w:val="20"/>
        </w:trPr>
        <w:tc>
          <w:tcPr>
            <w:tcW w:w="1800" w:type="dxa"/>
            <w:shd w:val="clear" w:color="auto" w:fill="auto"/>
            <w:noWrap/>
          </w:tcPr>
          <w:p w14:paraId="5BF9B6B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5E4757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McGuinness, S.;</w:t>
            </w:r>
            <w:r>
              <w:rPr>
                <w:rFonts w:asciiTheme="majorHAnsi" w:hAnsiTheme="majorHAnsi" w:cstheme="majorHAnsi"/>
              </w:rPr>
              <w:t xml:space="preserve"> </w:t>
            </w:r>
            <w:r w:rsidRPr="009176BC">
              <w:rPr>
                <w:rFonts w:asciiTheme="majorHAnsi" w:hAnsiTheme="majorHAnsi" w:cstheme="majorHAnsi"/>
              </w:rPr>
              <w:t>Bergin, A.;</w:t>
            </w:r>
            <w:r>
              <w:rPr>
                <w:rFonts w:asciiTheme="majorHAnsi" w:hAnsiTheme="majorHAnsi" w:cstheme="majorHAnsi"/>
              </w:rPr>
              <w:t xml:space="preserve"> </w:t>
            </w:r>
            <w:r w:rsidRPr="009176BC">
              <w:rPr>
                <w:rFonts w:asciiTheme="majorHAnsi" w:hAnsiTheme="majorHAnsi" w:cstheme="majorHAnsi"/>
              </w:rPr>
              <w:t>Whelan, A.</w:t>
            </w:r>
          </w:p>
        </w:tc>
        <w:tc>
          <w:tcPr>
            <w:tcW w:w="663" w:type="dxa"/>
            <w:shd w:val="clear" w:color="auto" w:fill="auto"/>
            <w:noWrap/>
          </w:tcPr>
          <w:p w14:paraId="787A0F11"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2017</w:t>
            </w:r>
          </w:p>
        </w:tc>
        <w:tc>
          <w:tcPr>
            <w:tcW w:w="3740" w:type="dxa"/>
            <w:shd w:val="clear" w:color="auto" w:fill="auto"/>
          </w:tcPr>
          <w:p w14:paraId="7DA1070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Using monitoring data to assess community development: Evidence from Ireland</w:t>
            </w:r>
          </w:p>
        </w:tc>
        <w:tc>
          <w:tcPr>
            <w:tcW w:w="1224" w:type="dxa"/>
            <w:shd w:val="clear" w:color="auto" w:fill="auto"/>
          </w:tcPr>
          <w:p w14:paraId="259730C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3437BDD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Development</w:t>
            </w:r>
          </w:p>
        </w:tc>
        <w:tc>
          <w:tcPr>
            <w:tcW w:w="1833" w:type="dxa"/>
            <w:shd w:val="clear" w:color="auto" w:fill="auto"/>
          </w:tcPr>
          <w:p w14:paraId="597A3EF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41CD5D9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Ireland</w:t>
            </w:r>
          </w:p>
        </w:tc>
        <w:tc>
          <w:tcPr>
            <w:tcW w:w="1026" w:type="dxa"/>
            <w:shd w:val="clear" w:color="auto" w:fill="auto"/>
            <w:noWrap/>
          </w:tcPr>
          <w:p w14:paraId="7E8D6DD5"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w:t>
            </w:r>
          </w:p>
        </w:tc>
      </w:tr>
      <w:tr w:rsidR="00F00E3D" w:rsidRPr="009176BC" w14:paraId="77FD27F6" w14:textId="77777777" w:rsidTr="009B2FA7">
        <w:trPr>
          <w:trHeight w:val="20"/>
        </w:trPr>
        <w:tc>
          <w:tcPr>
            <w:tcW w:w="1800" w:type="dxa"/>
            <w:shd w:val="clear" w:color="auto" w:fill="auto"/>
            <w:noWrap/>
          </w:tcPr>
          <w:p w14:paraId="3C2DF8A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Book</w:t>
            </w:r>
          </w:p>
        </w:tc>
        <w:tc>
          <w:tcPr>
            <w:tcW w:w="1537" w:type="dxa"/>
            <w:shd w:val="clear" w:color="auto" w:fill="auto"/>
          </w:tcPr>
          <w:p w14:paraId="4AA914C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McLaughlin, T.</w:t>
            </w:r>
          </w:p>
        </w:tc>
        <w:tc>
          <w:tcPr>
            <w:tcW w:w="663" w:type="dxa"/>
            <w:shd w:val="clear" w:color="auto" w:fill="auto"/>
            <w:noWrap/>
          </w:tcPr>
          <w:p w14:paraId="538E1424"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2016</w:t>
            </w:r>
          </w:p>
        </w:tc>
        <w:tc>
          <w:tcPr>
            <w:tcW w:w="3740" w:type="dxa"/>
            <w:shd w:val="clear" w:color="auto" w:fill="auto"/>
          </w:tcPr>
          <w:p w14:paraId="0CA795B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Community-focused assistance and development: Selected programs and analyses</w:t>
            </w:r>
          </w:p>
        </w:tc>
        <w:tc>
          <w:tcPr>
            <w:tcW w:w="1224" w:type="dxa"/>
            <w:shd w:val="clear" w:color="auto" w:fill="auto"/>
          </w:tcPr>
          <w:p w14:paraId="1427C29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5460A8F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Development</w:t>
            </w:r>
          </w:p>
        </w:tc>
        <w:tc>
          <w:tcPr>
            <w:tcW w:w="1833" w:type="dxa"/>
            <w:shd w:val="clear" w:color="auto" w:fill="auto"/>
          </w:tcPr>
          <w:p w14:paraId="1B3E051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3555E72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3B925615"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w:t>
            </w:r>
          </w:p>
        </w:tc>
      </w:tr>
      <w:tr w:rsidR="00F00E3D" w:rsidRPr="009176BC" w14:paraId="61E965F6" w14:textId="77777777" w:rsidTr="009B2FA7">
        <w:trPr>
          <w:trHeight w:val="20"/>
        </w:trPr>
        <w:tc>
          <w:tcPr>
            <w:tcW w:w="1800" w:type="dxa"/>
            <w:shd w:val="clear" w:color="auto" w:fill="auto"/>
            <w:noWrap/>
          </w:tcPr>
          <w:p w14:paraId="45F2FB6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Book</w:t>
            </w:r>
          </w:p>
        </w:tc>
        <w:tc>
          <w:tcPr>
            <w:tcW w:w="1537" w:type="dxa"/>
            <w:shd w:val="clear" w:color="auto" w:fill="auto"/>
          </w:tcPr>
          <w:p w14:paraId="15A2B18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Metzger, M. W.;</w:t>
            </w:r>
            <w:r>
              <w:rPr>
                <w:rFonts w:asciiTheme="majorHAnsi" w:hAnsiTheme="majorHAnsi" w:cstheme="majorHAnsi"/>
              </w:rPr>
              <w:t xml:space="preserve"> </w:t>
            </w:r>
            <w:r w:rsidRPr="009176BC">
              <w:rPr>
                <w:rFonts w:asciiTheme="majorHAnsi" w:hAnsiTheme="majorHAnsi" w:cstheme="majorHAnsi"/>
              </w:rPr>
              <w:t>Webber, H. S.</w:t>
            </w:r>
          </w:p>
        </w:tc>
        <w:tc>
          <w:tcPr>
            <w:tcW w:w="663" w:type="dxa"/>
            <w:shd w:val="clear" w:color="auto" w:fill="auto"/>
            <w:noWrap/>
          </w:tcPr>
          <w:p w14:paraId="1D82249F"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2018</w:t>
            </w:r>
          </w:p>
        </w:tc>
        <w:tc>
          <w:tcPr>
            <w:tcW w:w="3740" w:type="dxa"/>
            <w:shd w:val="clear" w:color="auto" w:fill="auto"/>
          </w:tcPr>
          <w:p w14:paraId="24C3BCA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Facing segregation: Housing policy solutions for a stronger society</w:t>
            </w:r>
          </w:p>
        </w:tc>
        <w:tc>
          <w:tcPr>
            <w:tcW w:w="1224" w:type="dxa"/>
            <w:shd w:val="clear" w:color="auto" w:fill="auto"/>
          </w:tcPr>
          <w:p w14:paraId="04294B2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3F34F40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Development</w:t>
            </w:r>
          </w:p>
        </w:tc>
        <w:tc>
          <w:tcPr>
            <w:tcW w:w="1833" w:type="dxa"/>
            <w:shd w:val="clear" w:color="auto" w:fill="auto"/>
          </w:tcPr>
          <w:p w14:paraId="6D81A63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21D2CD1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2F1208D3"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4</w:t>
            </w:r>
          </w:p>
        </w:tc>
      </w:tr>
      <w:tr w:rsidR="00F00E3D" w:rsidRPr="009176BC" w14:paraId="7995851D" w14:textId="77777777" w:rsidTr="009B2FA7">
        <w:trPr>
          <w:trHeight w:val="20"/>
        </w:trPr>
        <w:tc>
          <w:tcPr>
            <w:tcW w:w="1800" w:type="dxa"/>
            <w:shd w:val="clear" w:color="auto" w:fill="auto"/>
            <w:noWrap/>
          </w:tcPr>
          <w:p w14:paraId="51F96A0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Book Section</w:t>
            </w:r>
          </w:p>
        </w:tc>
        <w:tc>
          <w:tcPr>
            <w:tcW w:w="1537" w:type="dxa"/>
            <w:shd w:val="clear" w:color="auto" w:fill="auto"/>
          </w:tcPr>
          <w:p w14:paraId="686487D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Patterson, K. L.;</w:t>
            </w:r>
            <w:r>
              <w:rPr>
                <w:rFonts w:asciiTheme="majorHAnsi" w:hAnsiTheme="majorHAnsi" w:cstheme="majorHAnsi"/>
              </w:rPr>
              <w:t xml:space="preserve"> </w:t>
            </w:r>
            <w:r w:rsidRPr="009176BC">
              <w:rPr>
                <w:rFonts w:asciiTheme="majorHAnsi" w:hAnsiTheme="majorHAnsi" w:cstheme="majorHAnsi"/>
              </w:rPr>
              <w:t>Ranahan, M.;</w:t>
            </w:r>
            <w:r>
              <w:rPr>
                <w:rFonts w:asciiTheme="majorHAnsi" w:hAnsiTheme="majorHAnsi" w:cstheme="majorHAnsi"/>
              </w:rPr>
              <w:t xml:space="preserve"> </w:t>
            </w:r>
            <w:r w:rsidRPr="009176BC">
              <w:rPr>
                <w:rFonts w:asciiTheme="majorHAnsi" w:hAnsiTheme="majorHAnsi" w:cstheme="majorHAnsi"/>
              </w:rPr>
              <w:t xml:space="preserve">Silverman, </w:t>
            </w:r>
            <w:r w:rsidRPr="009176BC">
              <w:rPr>
                <w:rFonts w:asciiTheme="majorHAnsi" w:hAnsiTheme="majorHAnsi" w:cstheme="majorHAnsi"/>
              </w:rPr>
              <w:lastRenderedPageBreak/>
              <w:t>R. M.;</w:t>
            </w:r>
            <w:r>
              <w:rPr>
                <w:rFonts w:asciiTheme="majorHAnsi" w:hAnsiTheme="majorHAnsi" w:cstheme="majorHAnsi"/>
              </w:rPr>
              <w:t xml:space="preserve"> </w:t>
            </w:r>
            <w:r w:rsidRPr="009176BC">
              <w:rPr>
                <w:rFonts w:asciiTheme="majorHAnsi" w:hAnsiTheme="majorHAnsi" w:cstheme="majorHAnsi"/>
              </w:rPr>
              <w:t>Nochajski, T. H.</w:t>
            </w:r>
          </w:p>
        </w:tc>
        <w:tc>
          <w:tcPr>
            <w:tcW w:w="663" w:type="dxa"/>
            <w:shd w:val="clear" w:color="auto" w:fill="auto"/>
            <w:noWrap/>
          </w:tcPr>
          <w:p w14:paraId="73BB6CD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lastRenderedPageBreak/>
              <w:t>2018</w:t>
            </w:r>
          </w:p>
        </w:tc>
        <w:tc>
          <w:tcPr>
            <w:tcW w:w="3740" w:type="dxa"/>
            <w:shd w:val="clear" w:color="auto" w:fill="auto"/>
          </w:tcPr>
          <w:p w14:paraId="784C318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development through participatory, engaged, and critical analysis</w:t>
            </w:r>
          </w:p>
        </w:tc>
        <w:tc>
          <w:tcPr>
            <w:tcW w:w="1224" w:type="dxa"/>
            <w:shd w:val="clear" w:color="auto" w:fill="auto"/>
          </w:tcPr>
          <w:p w14:paraId="1E13E5D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7C649FE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Participatory Action</w:t>
            </w:r>
          </w:p>
        </w:tc>
        <w:tc>
          <w:tcPr>
            <w:tcW w:w="1833" w:type="dxa"/>
            <w:shd w:val="clear" w:color="auto" w:fill="auto"/>
          </w:tcPr>
          <w:p w14:paraId="3B57290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 Theoretical</w:t>
            </w:r>
          </w:p>
        </w:tc>
        <w:tc>
          <w:tcPr>
            <w:tcW w:w="1303" w:type="dxa"/>
            <w:shd w:val="clear" w:color="auto" w:fill="auto"/>
            <w:noWrap/>
          </w:tcPr>
          <w:p w14:paraId="19CCB4F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non-context-specific</w:t>
            </w:r>
          </w:p>
        </w:tc>
        <w:tc>
          <w:tcPr>
            <w:tcW w:w="1026" w:type="dxa"/>
            <w:shd w:val="clear" w:color="auto" w:fill="auto"/>
            <w:noWrap/>
          </w:tcPr>
          <w:p w14:paraId="5D46A0D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w:t>
            </w:r>
          </w:p>
        </w:tc>
      </w:tr>
      <w:tr w:rsidR="00F00E3D" w:rsidRPr="009176BC" w14:paraId="42A116D6" w14:textId="77777777" w:rsidTr="009B2FA7">
        <w:trPr>
          <w:trHeight w:val="20"/>
        </w:trPr>
        <w:tc>
          <w:tcPr>
            <w:tcW w:w="1800" w:type="dxa"/>
            <w:shd w:val="clear" w:color="auto" w:fill="auto"/>
            <w:noWrap/>
          </w:tcPr>
          <w:p w14:paraId="7820930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Conference Proceedings</w:t>
            </w:r>
          </w:p>
        </w:tc>
        <w:tc>
          <w:tcPr>
            <w:tcW w:w="1537" w:type="dxa"/>
            <w:shd w:val="clear" w:color="auto" w:fill="auto"/>
          </w:tcPr>
          <w:p w14:paraId="14B5908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Prior, JH</w:t>
            </w:r>
          </w:p>
        </w:tc>
        <w:tc>
          <w:tcPr>
            <w:tcW w:w="663" w:type="dxa"/>
            <w:shd w:val="clear" w:color="auto" w:fill="auto"/>
            <w:noWrap/>
          </w:tcPr>
          <w:p w14:paraId="1476067A"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2007</w:t>
            </w:r>
          </w:p>
        </w:tc>
        <w:tc>
          <w:tcPr>
            <w:tcW w:w="3740" w:type="dxa"/>
            <w:shd w:val="clear" w:color="auto" w:fill="auto"/>
          </w:tcPr>
          <w:p w14:paraId="0EE326B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Redressing neighbourhood disadvantage: towards a sustainable partnership model driven by local government</w:t>
            </w:r>
          </w:p>
        </w:tc>
        <w:tc>
          <w:tcPr>
            <w:tcW w:w="1224" w:type="dxa"/>
            <w:shd w:val="clear" w:color="auto" w:fill="auto"/>
          </w:tcPr>
          <w:p w14:paraId="3B516E1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3DF9048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Local Government Integrative Governance Framework </w:t>
            </w:r>
          </w:p>
        </w:tc>
        <w:tc>
          <w:tcPr>
            <w:tcW w:w="1833" w:type="dxa"/>
            <w:shd w:val="clear" w:color="auto" w:fill="auto"/>
          </w:tcPr>
          <w:p w14:paraId="152F944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Case Study only</w:t>
            </w:r>
          </w:p>
        </w:tc>
        <w:tc>
          <w:tcPr>
            <w:tcW w:w="1303" w:type="dxa"/>
            <w:shd w:val="clear" w:color="auto" w:fill="auto"/>
            <w:noWrap/>
          </w:tcPr>
          <w:p w14:paraId="5D58041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14A2BFB4"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w:t>
            </w:r>
          </w:p>
        </w:tc>
      </w:tr>
      <w:tr w:rsidR="00F00E3D" w:rsidRPr="009176BC" w14:paraId="74DAB3D4" w14:textId="77777777" w:rsidTr="009B2FA7">
        <w:trPr>
          <w:trHeight w:val="20"/>
        </w:trPr>
        <w:tc>
          <w:tcPr>
            <w:tcW w:w="1800" w:type="dxa"/>
            <w:shd w:val="clear" w:color="auto" w:fill="auto"/>
            <w:noWrap/>
          </w:tcPr>
          <w:p w14:paraId="38F5DD4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4B37600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Read, Dustin;</w:t>
            </w:r>
            <w:r>
              <w:rPr>
                <w:rFonts w:asciiTheme="majorHAnsi" w:hAnsiTheme="majorHAnsi" w:cstheme="majorHAnsi"/>
              </w:rPr>
              <w:t xml:space="preserve"> </w:t>
            </w:r>
            <w:r w:rsidRPr="009176BC">
              <w:rPr>
                <w:rFonts w:asciiTheme="majorHAnsi" w:hAnsiTheme="majorHAnsi" w:cstheme="majorHAnsi"/>
              </w:rPr>
              <w:t>Sanderford, Drew</w:t>
            </w:r>
          </w:p>
        </w:tc>
        <w:tc>
          <w:tcPr>
            <w:tcW w:w="663" w:type="dxa"/>
            <w:shd w:val="clear" w:color="auto" w:fill="auto"/>
            <w:noWrap/>
          </w:tcPr>
          <w:p w14:paraId="266B1DC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2017</w:t>
            </w:r>
          </w:p>
        </w:tc>
        <w:tc>
          <w:tcPr>
            <w:tcW w:w="3740" w:type="dxa"/>
            <w:shd w:val="clear" w:color="auto" w:fill="auto"/>
          </w:tcPr>
          <w:p w14:paraId="7662D24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Examining Five Common Criticisms of Mixed-Income Housing Development Found in the Real Estate, Public Policy, and Urban Planning Literatures</w:t>
            </w:r>
          </w:p>
        </w:tc>
        <w:tc>
          <w:tcPr>
            <w:tcW w:w="1224" w:type="dxa"/>
            <w:shd w:val="clear" w:color="auto" w:fill="auto"/>
          </w:tcPr>
          <w:p w14:paraId="4828FBD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6751C35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p>
        </w:tc>
        <w:tc>
          <w:tcPr>
            <w:tcW w:w="1833" w:type="dxa"/>
            <w:shd w:val="clear" w:color="auto" w:fill="auto"/>
          </w:tcPr>
          <w:p w14:paraId="46C0AE5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p>
        </w:tc>
        <w:tc>
          <w:tcPr>
            <w:tcW w:w="1303" w:type="dxa"/>
            <w:shd w:val="clear" w:color="auto" w:fill="auto"/>
            <w:noWrap/>
          </w:tcPr>
          <w:p w14:paraId="68ECF42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p>
        </w:tc>
        <w:tc>
          <w:tcPr>
            <w:tcW w:w="1026" w:type="dxa"/>
            <w:shd w:val="clear" w:color="auto" w:fill="auto"/>
            <w:noWrap/>
          </w:tcPr>
          <w:p w14:paraId="655E7C7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7</w:t>
            </w:r>
          </w:p>
        </w:tc>
      </w:tr>
      <w:tr w:rsidR="00F00E3D" w:rsidRPr="009176BC" w14:paraId="79D73334" w14:textId="77777777" w:rsidTr="009B2FA7">
        <w:trPr>
          <w:trHeight w:val="20"/>
        </w:trPr>
        <w:tc>
          <w:tcPr>
            <w:tcW w:w="1800" w:type="dxa"/>
            <w:shd w:val="clear" w:color="auto" w:fill="auto"/>
            <w:noWrap/>
          </w:tcPr>
          <w:p w14:paraId="0531C5D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Book Section</w:t>
            </w:r>
          </w:p>
        </w:tc>
        <w:tc>
          <w:tcPr>
            <w:tcW w:w="1537" w:type="dxa"/>
            <w:shd w:val="clear" w:color="auto" w:fill="auto"/>
          </w:tcPr>
          <w:p w14:paraId="617FFD2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Spar, K.</w:t>
            </w:r>
          </w:p>
        </w:tc>
        <w:tc>
          <w:tcPr>
            <w:tcW w:w="663" w:type="dxa"/>
            <w:shd w:val="clear" w:color="auto" w:fill="auto"/>
            <w:noWrap/>
          </w:tcPr>
          <w:p w14:paraId="061FD3E2"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2016</w:t>
            </w:r>
          </w:p>
        </w:tc>
        <w:tc>
          <w:tcPr>
            <w:tcW w:w="3740" w:type="dxa"/>
            <w:shd w:val="clear" w:color="auto" w:fill="auto"/>
          </w:tcPr>
          <w:p w14:paraId="0E102B3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services block grants (CSBG): Background and funding</w:t>
            </w:r>
          </w:p>
        </w:tc>
        <w:tc>
          <w:tcPr>
            <w:tcW w:w="1224" w:type="dxa"/>
            <w:shd w:val="clear" w:color="auto" w:fill="auto"/>
          </w:tcPr>
          <w:p w14:paraId="1D57AE7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47CC9C8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Development</w:t>
            </w:r>
          </w:p>
        </w:tc>
        <w:tc>
          <w:tcPr>
            <w:tcW w:w="1833" w:type="dxa"/>
            <w:shd w:val="clear" w:color="auto" w:fill="auto"/>
          </w:tcPr>
          <w:p w14:paraId="0F9E326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43004BD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7D6A80A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4</w:t>
            </w:r>
          </w:p>
        </w:tc>
      </w:tr>
      <w:tr w:rsidR="00F00E3D" w:rsidRPr="009176BC" w14:paraId="2B00E89C" w14:textId="77777777" w:rsidTr="009B2FA7">
        <w:trPr>
          <w:trHeight w:val="20"/>
        </w:trPr>
        <w:tc>
          <w:tcPr>
            <w:tcW w:w="1800" w:type="dxa"/>
            <w:shd w:val="clear" w:color="auto" w:fill="auto"/>
            <w:noWrap/>
          </w:tcPr>
          <w:p w14:paraId="4FD4414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CDA517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Thurber, Amie;</w:t>
            </w:r>
            <w:r>
              <w:rPr>
                <w:rFonts w:asciiTheme="majorHAnsi" w:hAnsiTheme="majorHAnsi" w:cstheme="majorHAnsi"/>
              </w:rPr>
              <w:t xml:space="preserve"> </w:t>
            </w:r>
            <w:r w:rsidRPr="009176BC">
              <w:rPr>
                <w:rFonts w:asciiTheme="majorHAnsi" w:hAnsiTheme="majorHAnsi" w:cstheme="majorHAnsi"/>
              </w:rPr>
              <w:t>Bohmann Claire, Riehle;</w:t>
            </w:r>
            <w:r>
              <w:rPr>
                <w:rFonts w:asciiTheme="majorHAnsi" w:hAnsiTheme="majorHAnsi" w:cstheme="majorHAnsi"/>
              </w:rPr>
              <w:t xml:space="preserve"> </w:t>
            </w:r>
            <w:r w:rsidRPr="009176BC">
              <w:rPr>
                <w:rFonts w:asciiTheme="majorHAnsi" w:hAnsiTheme="majorHAnsi" w:cstheme="majorHAnsi"/>
              </w:rPr>
              <w:t>Heflinger, Craig Anne</w:t>
            </w:r>
          </w:p>
        </w:tc>
        <w:tc>
          <w:tcPr>
            <w:tcW w:w="663" w:type="dxa"/>
            <w:shd w:val="clear" w:color="auto" w:fill="auto"/>
            <w:noWrap/>
          </w:tcPr>
          <w:p w14:paraId="7E72F214"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2018</w:t>
            </w:r>
          </w:p>
        </w:tc>
        <w:tc>
          <w:tcPr>
            <w:tcW w:w="3740" w:type="dxa"/>
            <w:shd w:val="clear" w:color="auto" w:fill="auto"/>
          </w:tcPr>
          <w:p w14:paraId="1ABDD28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Spatially integrated and socially segregated: The effects of mixed-income neighbourhoods on social well-being</w:t>
            </w:r>
          </w:p>
        </w:tc>
        <w:tc>
          <w:tcPr>
            <w:tcW w:w="1224" w:type="dxa"/>
            <w:shd w:val="clear" w:color="auto" w:fill="auto"/>
          </w:tcPr>
          <w:p w14:paraId="7F42D9E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42AEC16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Mixed-Income Development</w:t>
            </w:r>
          </w:p>
        </w:tc>
        <w:tc>
          <w:tcPr>
            <w:tcW w:w="1833" w:type="dxa"/>
            <w:shd w:val="clear" w:color="auto" w:fill="auto"/>
          </w:tcPr>
          <w:p w14:paraId="453F16C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 - Systematic Review</w:t>
            </w:r>
          </w:p>
        </w:tc>
        <w:tc>
          <w:tcPr>
            <w:tcW w:w="1303" w:type="dxa"/>
            <w:shd w:val="clear" w:color="auto" w:fill="auto"/>
            <w:noWrap/>
          </w:tcPr>
          <w:p w14:paraId="205A12F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non-context-specific</w:t>
            </w:r>
          </w:p>
        </w:tc>
        <w:tc>
          <w:tcPr>
            <w:tcW w:w="1026" w:type="dxa"/>
            <w:shd w:val="clear" w:color="auto" w:fill="auto"/>
            <w:noWrap/>
          </w:tcPr>
          <w:p w14:paraId="3A96171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12</w:t>
            </w:r>
          </w:p>
        </w:tc>
      </w:tr>
      <w:tr w:rsidR="00F00E3D" w:rsidRPr="009176BC" w14:paraId="5066DAB5" w14:textId="77777777" w:rsidTr="009B2FA7">
        <w:trPr>
          <w:trHeight w:val="20"/>
        </w:trPr>
        <w:tc>
          <w:tcPr>
            <w:tcW w:w="1800" w:type="dxa"/>
            <w:shd w:val="clear" w:color="auto" w:fill="auto"/>
            <w:noWrap/>
          </w:tcPr>
          <w:p w14:paraId="5CE869E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5B34D7A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Wynne, L.</w:t>
            </w:r>
          </w:p>
        </w:tc>
        <w:tc>
          <w:tcPr>
            <w:tcW w:w="663" w:type="dxa"/>
            <w:shd w:val="clear" w:color="auto" w:fill="auto"/>
            <w:noWrap/>
          </w:tcPr>
          <w:p w14:paraId="1543109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2020</w:t>
            </w:r>
          </w:p>
        </w:tc>
        <w:tc>
          <w:tcPr>
            <w:tcW w:w="3740" w:type="dxa"/>
            <w:shd w:val="clear" w:color="auto" w:fill="auto"/>
          </w:tcPr>
          <w:p w14:paraId="48E05DA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Empowerment and the individualisation of resistance: A Foucauldian perspective on Theatre of the Oppressed</w:t>
            </w:r>
          </w:p>
        </w:tc>
        <w:tc>
          <w:tcPr>
            <w:tcW w:w="1224" w:type="dxa"/>
            <w:shd w:val="clear" w:color="auto" w:fill="auto"/>
          </w:tcPr>
          <w:p w14:paraId="62759F9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All</w:t>
            </w:r>
          </w:p>
        </w:tc>
        <w:tc>
          <w:tcPr>
            <w:tcW w:w="1609" w:type="dxa"/>
            <w:shd w:val="clear" w:color="auto" w:fill="auto"/>
          </w:tcPr>
          <w:p w14:paraId="557942F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Education Program</w:t>
            </w:r>
          </w:p>
        </w:tc>
        <w:tc>
          <w:tcPr>
            <w:tcW w:w="1833" w:type="dxa"/>
            <w:shd w:val="clear" w:color="auto" w:fill="auto"/>
          </w:tcPr>
          <w:p w14:paraId="280B046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49B3C06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0FE7F320"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0</w:t>
            </w:r>
          </w:p>
        </w:tc>
      </w:tr>
      <w:tr w:rsidR="00F00E3D" w:rsidRPr="009176BC" w14:paraId="3D0EC490" w14:textId="77777777" w:rsidTr="009B2FA7">
        <w:trPr>
          <w:trHeight w:val="20"/>
        </w:trPr>
        <w:tc>
          <w:tcPr>
            <w:tcW w:w="1800" w:type="dxa"/>
            <w:shd w:val="clear" w:color="auto" w:fill="auto"/>
            <w:noWrap/>
          </w:tcPr>
          <w:p w14:paraId="14E1218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BD1093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Hanka, M. J.;</w:t>
            </w:r>
            <w:r>
              <w:rPr>
                <w:rFonts w:asciiTheme="majorHAnsi" w:hAnsiTheme="majorHAnsi" w:cstheme="majorHAnsi"/>
              </w:rPr>
              <w:t xml:space="preserve"> </w:t>
            </w:r>
            <w:r w:rsidRPr="009176BC">
              <w:rPr>
                <w:rFonts w:asciiTheme="majorHAnsi" w:hAnsiTheme="majorHAnsi" w:cstheme="majorHAnsi"/>
              </w:rPr>
              <w:t>Gilderbloom, J. I.;</w:t>
            </w:r>
            <w:r>
              <w:rPr>
                <w:rFonts w:asciiTheme="majorHAnsi" w:hAnsiTheme="majorHAnsi" w:cstheme="majorHAnsi"/>
              </w:rPr>
              <w:t xml:space="preserve"> </w:t>
            </w:r>
            <w:r w:rsidRPr="009176BC">
              <w:rPr>
                <w:rFonts w:asciiTheme="majorHAnsi" w:hAnsiTheme="majorHAnsi" w:cstheme="majorHAnsi"/>
              </w:rPr>
              <w:t>Meares, W. L.;</w:t>
            </w:r>
            <w:r>
              <w:rPr>
                <w:rFonts w:asciiTheme="majorHAnsi" w:hAnsiTheme="majorHAnsi" w:cstheme="majorHAnsi"/>
              </w:rPr>
              <w:t xml:space="preserve"> </w:t>
            </w:r>
            <w:r w:rsidRPr="009176BC">
              <w:rPr>
                <w:rFonts w:asciiTheme="majorHAnsi" w:hAnsiTheme="majorHAnsi" w:cstheme="majorHAnsi"/>
              </w:rPr>
              <w:t>Khan, M.;</w:t>
            </w:r>
            <w:r>
              <w:rPr>
                <w:rFonts w:asciiTheme="majorHAnsi" w:hAnsiTheme="majorHAnsi" w:cstheme="majorHAnsi"/>
              </w:rPr>
              <w:t xml:space="preserve"> </w:t>
            </w:r>
            <w:r w:rsidRPr="009176BC">
              <w:rPr>
                <w:rFonts w:asciiTheme="majorHAnsi" w:hAnsiTheme="majorHAnsi" w:cstheme="majorHAnsi"/>
              </w:rPr>
              <w:t>Wresinski, K. E.</w:t>
            </w:r>
          </w:p>
        </w:tc>
        <w:tc>
          <w:tcPr>
            <w:tcW w:w="663" w:type="dxa"/>
            <w:shd w:val="clear" w:color="auto" w:fill="auto"/>
            <w:noWrap/>
          </w:tcPr>
          <w:p w14:paraId="3D5B91DF"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2015</w:t>
            </w:r>
          </w:p>
        </w:tc>
        <w:tc>
          <w:tcPr>
            <w:tcW w:w="3740" w:type="dxa"/>
            <w:shd w:val="clear" w:color="auto" w:fill="auto"/>
          </w:tcPr>
          <w:p w14:paraId="7CF7DA6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Measuring job creation for HOPE VI: a success story for community development efforts</w:t>
            </w:r>
          </w:p>
        </w:tc>
        <w:tc>
          <w:tcPr>
            <w:tcW w:w="1224" w:type="dxa"/>
            <w:shd w:val="clear" w:color="auto" w:fill="auto"/>
          </w:tcPr>
          <w:p w14:paraId="4B82525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Education</w:t>
            </w:r>
          </w:p>
        </w:tc>
        <w:tc>
          <w:tcPr>
            <w:tcW w:w="1609" w:type="dxa"/>
            <w:shd w:val="clear" w:color="auto" w:fill="auto"/>
          </w:tcPr>
          <w:p w14:paraId="619DEB5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Mixed-Income Development</w:t>
            </w:r>
          </w:p>
        </w:tc>
        <w:tc>
          <w:tcPr>
            <w:tcW w:w="1833" w:type="dxa"/>
            <w:shd w:val="clear" w:color="auto" w:fill="auto"/>
          </w:tcPr>
          <w:p w14:paraId="025A154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54EE8F1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5EF37650"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w:t>
            </w:r>
          </w:p>
        </w:tc>
      </w:tr>
      <w:tr w:rsidR="00F00E3D" w:rsidRPr="009176BC" w14:paraId="7E95C6B5" w14:textId="77777777" w:rsidTr="009B2FA7">
        <w:trPr>
          <w:trHeight w:val="20"/>
        </w:trPr>
        <w:tc>
          <w:tcPr>
            <w:tcW w:w="1800" w:type="dxa"/>
            <w:shd w:val="clear" w:color="auto" w:fill="auto"/>
            <w:noWrap/>
          </w:tcPr>
          <w:p w14:paraId="7A97988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Book</w:t>
            </w:r>
          </w:p>
        </w:tc>
        <w:tc>
          <w:tcPr>
            <w:tcW w:w="1537" w:type="dxa"/>
            <w:shd w:val="clear" w:color="auto" w:fill="auto"/>
          </w:tcPr>
          <w:p w14:paraId="24C4946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R.C.H</w:t>
            </w:r>
          </w:p>
        </w:tc>
        <w:tc>
          <w:tcPr>
            <w:tcW w:w="663" w:type="dxa"/>
            <w:shd w:val="clear" w:color="auto" w:fill="auto"/>
            <w:noWrap/>
          </w:tcPr>
          <w:p w14:paraId="247DB6A4"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2012</w:t>
            </w:r>
          </w:p>
        </w:tc>
        <w:tc>
          <w:tcPr>
            <w:tcW w:w="3740" w:type="dxa"/>
            <w:shd w:val="clear" w:color="auto" w:fill="auto"/>
          </w:tcPr>
          <w:p w14:paraId="05D4842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Place-based initiatives transforming communities</w:t>
            </w:r>
            <w:r>
              <w:rPr>
                <w:rFonts w:asciiTheme="majorHAnsi" w:hAnsiTheme="majorHAnsi" w:cstheme="majorHAnsi"/>
              </w:rPr>
              <w:t>:</w:t>
            </w:r>
            <w:r w:rsidRPr="009176BC">
              <w:rPr>
                <w:rFonts w:asciiTheme="majorHAnsi" w:hAnsiTheme="majorHAnsi" w:cstheme="majorHAnsi"/>
              </w:rPr>
              <w:t xml:space="preserve"> proceedings from the place-based approaches round table</w:t>
            </w:r>
          </w:p>
        </w:tc>
        <w:tc>
          <w:tcPr>
            <w:tcW w:w="1224" w:type="dxa"/>
            <w:shd w:val="clear" w:color="auto" w:fill="auto"/>
          </w:tcPr>
          <w:p w14:paraId="44DE861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Education, Health &amp; Wellbeing</w:t>
            </w:r>
          </w:p>
        </w:tc>
        <w:tc>
          <w:tcPr>
            <w:tcW w:w="1609" w:type="dxa"/>
            <w:shd w:val="clear" w:color="auto" w:fill="auto"/>
          </w:tcPr>
          <w:p w14:paraId="27CAE37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Place-based Initiative</w:t>
            </w:r>
          </w:p>
        </w:tc>
        <w:tc>
          <w:tcPr>
            <w:tcW w:w="1833" w:type="dxa"/>
            <w:shd w:val="clear" w:color="auto" w:fill="auto"/>
          </w:tcPr>
          <w:p w14:paraId="2D86290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 Theoretical</w:t>
            </w:r>
          </w:p>
        </w:tc>
        <w:tc>
          <w:tcPr>
            <w:tcW w:w="1303" w:type="dxa"/>
            <w:shd w:val="clear" w:color="auto" w:fill="auto"/>
            <w:noWrap/>
          </w:tcPr>
          <w:p w14:paraId="0EE0934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587E4123"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w:t>
            </w:r>
          </w:p>
        </w:tc>
      </w:tr>
      <w:tr w:rsidR="00F00E3D" w:rsidRPr="009176BC" w14:paraId="5AFC1048" w14:textId="77777777" w:rsidTr="009B2FA7">
        <w:trPr>
          <w:trHeight w:val="20"/>
        </w:trPr>
        <w:tc>
          <w:tcPr>
            <w:tcW w:w="1800" w:type="dxa"/>
            <w:shd w:val="clear" w:color="auto" w:fill="auto"/>
            <w:noWrap/>
          </w:tcPr>
          <w:p w14:paraId="52F51CA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lastRenderedPageBreak/>
              <w:t>Journal Article</w:t>
            </w:r>
          </w:p>
        </w:tc>
        <w:tc>
          <w:tcPr>
            <w:tcW w:w="1537" w:type="dxa"/>
            <w:shd w:val="clear" w:color="auto" w:fill="auto"/>
          </w:tcPr>
          <w:p w14:paraId="2058A86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Sharpe, P. A.;</w:t>
            </w:r>
            <w:r>
              <w:rPr>
                <w:rFonts w:asciiTheme="majorHAnsi" w:hAnsiTheme="majorHAnsi" w:cstheme="majorHAnsi"/>
              </w:rPr>
              <w:t xml:space="preserve"> </w:t>
            </w:r>
            <w:r w:rsidRPr="009176BC">
              <w:rPr>
                <w:rFonts w:asciiTheme="majorHAnsi" w:hAnsiTheme="majorHAnsi" w:cstheme="majorHAnsi"/>
              </w:rPr>
              <w:t>Flint, S.;</w:t>
            </w:r>
            <w:r>
              <w:rPr>
                <w:rFonts w:asciiTheme="majorHAnsi" w:hAnsiTheme="majorHAnsi" w:cstheme="majorHAnsi"/>
              </w:rPr>
              <w:t xml:space="preserve"> </w:t>
            </w:r>
            <w:r w:rsidRPr="009176BC">
              <w:rPr>
                <w:rFonts w:asciiTheme="majorHAnsi" w:hAnsiTheme="majorHAnsi" w:cstheme="majorHAnsi"/>
              </w:rPr>
              <w:t>Burroughs-Girardi, E. L.;</w:t>
            </w:r>
            <w:r>
              <w:rPr>
                <w:rFonts w:asciiTheme="majorHAnsi" w:hAnsiTheme="majorHAnsi" w:cstheme="majorHAnsi"/>
              </w:rPr>
              <w:t xml:space="preserve"> </w:t>
            </w:r>
            <w:r w:rsidRPr="009176BC">
              <w:rPr>
                <w:rFonts w:asciiTheme="majorHAnsi" w:hAnsiTheme="majorHAnsi" w:cstheme="majorHAnsi"/>
              </w:rPr>
              <w:t>Pekuri, L.;</w:t>
            </w:r>
            <w:r>
              <w:rPr>
                <w:rFonts w:asciiTheme="majorHAnsi" w:hAnsiTheme="majorHAnsi" w:cstheme="majorHAnsi"/>
              </w:rPr>
              <w:t xml:space="preserve"> </w:t>
            </w:r>
            <w:r w:rsidRPr="009176BC">
              <w:rPr>
                <w:rFonts w:asciiTheme="majorHAnsi" w:hAnsiTheme="majorHAnsi" w:cstheme="majorHAnsi"/>
              </w:rPr>
              <w:t>Wilcox, S.;</w:t>
            </w:r>
            <w:r>
              <w:rPr>
                <w:rFonts w:asciiTheme="majorHAnsi" w:hAnsiTheme="majorHAnsi" w:cstheme="majorHAnsi"/>
              </w:rPr>
              <w:t xml:space="preserve"> </w:t>
            </w:r>
            <w:r w:rsidRPr="009176BC">
              <w:rPr>
                <w:rFonts w:asciiTheme="majorHAnsi" w:hAnsiTheme="majorHAnsi" w:cstheme="majorHAnsi"/>
              </w:rPr>
              <w:t>Forthofer, M.</w:t>
            </w:r>
          </w:p>
        </w:tc>
        <w:tc>
          <w:tcPr>
            <w:tcW w:w="663" w:type="dxa"/>
            <w:shd w:val="clear" w:color="auto" w:fill="auto"/>
            <w:noWrap/>
          </w:tcPr>
          <w:p w14:paraId="044155AF"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2015</w:t>
            </w:r>
          </w:p>
        </w:tc>
        <w:tc>
          <w:tcPr>
            <w:tcW w:w="3740" w:type="dxa"/>
            <w:shd w:val="clear" w:color="auto" w:fill="auto"/>
          </w:tcPr>
          <w:p w14:paraId="5980BB0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Building Capacity in </w:t>
            </w:r>
            <w:r>
              <w:rPr>
                <w:rFonts w:asciiTheme="majorHAnsi" w:hAnsiTheme="majorHAnsi" w:cstheme="majorHAnsi"/>
              </w:rPr>
              <w:t>Disadvantaged Communities</w:t>
            </w:r>
            <w:r w:rsidRPr="009176BC">
              <w:rPr>
                <w:rFonts w:asciiTheme="majorHAnsi" w:hAnsiTheme="majorHAnsi" w:cstheme="majorHAnsi"/>
              </w:rPr>
              <w:t>: Development of the Community Advocacy and Leadership Program</w:t>
            </w:r>
          </w:p>
        </w:tc>
        <w:tc>
          <w:tcPr>
            <w:tcW w:w="1224" w:type="dxa"/>
            <w:shd w:val="clear" w:color="auto" w:fill="auto"/>
          </w:tcPr>
          <w:p w14:paraId="3A937B3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Education, Health &amp; Wellbeing</w:t>
            </w:r>
          </w:p>
        </w:tc>
        <w:tc>
          <w:tcPr>
            <w:tcW w:w="1609" w:type="dxa"/>
            <w:shd w:val="clear" w:color="auto" w:fill="auto"/>
          </w:tcPr>
          <w:p w14:paraId="46EBDDD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Education Program</w:t>
            </w:r>
          </w:p>
        </w:tc>
        <w:tc>
          <w:tcPr>
            <w:tcW w:w="1833" w:type="dxa"/>
            <w:shd w:val="clear" w:color="auto" w:fill="auto"/>
          </w:tcPr>
          <w:p w14:paraId="61AAD65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71EE129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554BE0C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w:t>
            </w:r>
          </w:p>
        </w:tc>
      </w:tr>
      <w:tr w:rsidR="00F00E3D" w:rsidRPr="009176BC" w14:paraId="24B6B01C" w14:textId="77777777" w:rsidTr="009B2FA7">
        <w:trPr>
          <w:trHeight w:val="20"/>
        </w:trPr>
        <w:tc>
          <w:tcPr>
            <w:tcW w:w="1800" w:type="dxa"/>
            <w:shd w:val="clear" w:color="auto" w:fill="auto"/>
            <w:noWrap/>
          </w:tcPr>
          <w:p w14:paraId="1309850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6F4051F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Loibl, C.;</w:t>
            </w:r>
            <w:r>
              <w:rPr>
                <w:rFonts w:asciiTheme="majorHAnsi" w:hAnsiTheme="majorHAnsi" w:cstheme="majorHAnsi"/>
              </w:rPr>
              <w:t xml:space="preserve"> </w:t>
            </w:r>
            <w:r w:rsidRPr="009176BC">
              <w:rPr>
                <w:rFonts w:asciiTheme="majorHAnsi" w:hAnsiTheme="majorHAnsi" w:cstheme="majorHAnsi"/>
              </w:rPr>
              <w:t>Durham, J.;</w:t>
            </w:r>
            <w:r>
              <w:rPr>
                <w:rFonts w:asciiTheme="majorHAnsi" w:hAnsiTheme="majorHAnsi" w:cstheme="majorHAnsi"/>
              </w:rPr>
              <w:t xml:space="preserve"> </w:t>
            </w:r>
            <w:r w:rsidRPr="009176BC">
              <w:rPr>
                <w:rFonts w:asciiTheme="majorHAnsi" w:hAnsiTheme="majorHAnsi" w:cstheme="majorHAnsi"/>
              </w:rPr>
              <w:t>Moulton, S.</w:t>
            </w:r>
          </w:p>
        </w:tc>
        <w:tc>
          <w:tcPr>
            <w:tcW w:w="663" w:type="dxa"/>
            <w:shd w:val="clear" w:color="auto" w:fill="auto"/>
            <w:noWrap/>
          </w:tcPr>
          <w:p w14:paraId="1194C84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2018</w:t>
            </w:r>
          </w:p>
        </w:tc>
        <w:tc>
          <w:tcPr>
            <w:tcW w:w="3740" w:type="dxa"/>
            <w:shd w:val="clear" w:color="auto" w:fill="auto"/>
          </w:tcPr>
          <w:p w14:paraId="13D3D59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Rich opportunities from collaboration with a state housing finance agency</w:t>
            </w:r>
          </w:p>
        </w:tc>
        <w:tc>
          <w:tcPr>
            <w:tcW w:w="1224" w:type="dxa"/>
            <w:shd w:val="clear" w:color="auto" w:fill="auto"/>
          </w:tcPr>
          <w:p w14:paraId="40B693A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Education, Housing</w:t>
            </w:r>
          </w:p>
        </w:tc>
        <w:tc>
          <w:tcPr>
            <w:tcW w:w="1609" w:type="dxa"/>
            <w:shd w:val="clear" w:color="auto" w:fill="auto"/>
          </w:tcPr>
          <w:p w14:paraId="374AEFD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Education Program, Community Engagement</w:t>
            </w:r>
          </w:p>
        </w:tc>
        <w:tc>
          <w:tcPr>
            <w:tcW w:w="1833" w:type="dxa"/>
            <w:shd w:val="clear" w:color="auto" w:fill="auto"/>
          </w:tcPr>
          <w:p w14:paraId="50DFEF3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39E8B7D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2FE2A3E7"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0</w:t>
            </w:r>
          </w:p>
        </w:tc>
      </w:tr>
      <w:tr w:rsidR="00F00E3D" w:rsidRPr="009176BC" w14:paraId="09AD6F70" w14:textId="77777777" w:rsidTr="009B2FA7">
        <w:trPr>
          <w:trHeight w:val="20"/>
        </w:trPr>
        <w:tc>
          <w:tcPr>
            <w:tcW w:w="1800" w:type="dxa"/>
            <w:shd w:val="clear" w:color="auto" w:fill="auto"/>
            <w:noWrap/>
          </w:tcPr>
          <w:p w14:paraId="0F8ED7D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75FA6F3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Rosenblatt, P.;</w:t>
            </w:r>
            <w:r>
              <w:rPr>
                <w:rFonts w:asciiTheme="majorHAnsi" w:hAnsiTheme="majorHAnsi" w:cstheme="majorHAnsi"/>
              </w:rPr>
              <w:t xml:space="preserve"> </w:t>
            </w:r>
            <w:r w:rsidRPr="009176BC">
              <w:rPr>
                <w:rFonts w:asciiTheme="majorHAnsi" w:hAnsiTheme="majorHAnsi" w:cstheme="majorHAnsi"/>
              </w:rPr>
              <w:t>DeLuca, S.</w:t>
            </w:r>
          </w:p>
        </w:tc>
        <w:tc>
          <w:tcPr>
            <w:tcW w:w="663" w:type="dxa"/>
            <w:shd w:val="clear" w:color="auto" w:fill="auto"/>
            <w:noWrap/>
          </w:tcPr>
          <w:p w14:paraId="2389D90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2017</w:t>
            </w:r>
          </w:p>
        </w:tc>
        <w:tc>
          <w:tcPr>
            <w:tcW w:w="3740" w:type="dxa"/>
            <w:shd w:val="clear" w:color="auto" w:fill="auto"/>
          </w:tcPr>
          <w:p w14:paraId="7A582DD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What Happened in Sandtown-Winchester? Understanding the Impacts of a Comprehensive Community Initiative</w:t>
            </w:r>
          </w:p>
        </w:tc>
        <w:tc>
          <w:tcPr>
            <w:tcW w:w="1224" w:type="dxa"/>
            <w:shd w:val="clear" w:color="auto" w:fill="auto"/>
          </w:tcPr>
          <w:p w14:paraId="23E4AAA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Education, Housing, Employment</w:t>
            </w:r>
          </w:p>
        </w:tc>
        <w:tc>
          <w:tcPr>
            <w:tcW w:w="1609" w:type="dxa"/>
            <w:shd w:val="clear" w:color="auto" w:fill="auto"/>
          </w:tcPr>
          <w:p w14:paraId="16740FE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Neighbourhood Renewal</w:t>
            </w:r>
          </w:p>
        </w:tc>
        <w:tc>
          <w:tcPr>
            <w:tcW w:w="1833" w:type="dxa"/>
            <w:shd w:val="clear" w:color="auto" w:fill="auto"/>
          </w:tcPr>
          <w:p w14:paraId="7D92EA1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082B075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75C46040"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w:t>
            </w:r>
          </w:p>
        </w:tc>
      </w:tr>
      <w:tr w:rsidR="00F00E3D" w:rsidRPr="009176BC" w14:paraId="739631C1" w14:textId="77777777" w:rsidTr="009B2FA7">
        <w:trPr>
          <w:trHeight w:val="20"/>
        </w:trPr>
        <w:tc>
          <w:tcPr>
            <w:tcW w:w="1800" w:type="dxa"/>
            <w:shd w:val="clear" w:color="auto" w:fill="auto"/>
            <w:noWrap/>
          </w:tcPr>
          <w:p w14:paraId="5D98DCA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Book</w:t>
            </w:r>
          </w:p>
        </w:tc>
        <w:tc>
          <w:tcPr>
            <w:tcW w:w="1537" w:type="dxa"/>
            <w:shd w:val="clear" w:color="auto" w:fill="auto"/>
          </w:tcPr>
          <w:p w14:paraId="4C55B8A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Department of Human Services,</w:t>
            </w:r>
          </w:p>
        </w:tc>
        <w:tc>
          <w:tcPr>
            <w:tcW w:w="663" w:type="dxa"/>
            <w:shd w:val="clear" w:color="auto" w:fill="auto"/>
            <w:noWrap/>
          </w:tcPr>
          <w:p w14:paraId="0F99AB2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2007</w:t>
            </w:r>
          </w:p>
        </w:tc>
        <w:tc>
          <w:tcPr>
            <w:tcW w:w="3740" w:type="dxa"/>
            <w:shd w:val="clear" w:color="auto" w:fill="auto"/>
          </w:tcPr>
          <w:p w14:paraId="15487BE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Neighbourhood renewal: learning and working together</w:t>
            </w:r>
          </w:p>
        </w:tc>
        <w:tc>
          <w:tcPr>
            <w:tcW w:w="1224" w:type="dxa"/>
            <w:shd w:val="clear" w:color="auto" w:fill="auto"/>
          </w:tcPr>
          <w:p w14:paraId="18C6C46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Education, Liveability, Employment</w:t>
            </w:r>
          </w:p>
        </w:tc>
        <w:tc>
          <w:tcPr>
            <w:tcW w:w="1609" w:type="dxa"/>
            <w:shd w:val="clear" w:color="auto" w:fill="auto"/>
          </w:tcPr>
          <w:p w14:paraId="1C69A20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Neighbourhood Renewal</w:t>
            </w:r>
          </w:p>
        </w:tc>
        <w:tc>
          <w:tcPr>
            <w:tcW w:w="1833" w:type="dxa"/>
            <w:shd w:val="clear" w:color="auto" w:fill="auto"/>
          </w:tcPr>
          <w:p w14:paraId="1B7A7F2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456CB80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76DC1172"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w:t>
            </w:r>
          </w:p>
        </w:tc>
      </w:tr>
      <w:tr w:rsidR="00F00E3D" w:rsidRPr="009176BC" w14:paraId="2ED0AFCA" w14:textId="77777777" w:rsidTr="009B2FA7">
        <w:trPr>
          <w:trHeight w:val="20"/>
        </w:trPr>
        <w:tc>
          <w:tcPr>
            <w:tcW w:w="1800" w:type="dxa"/>
            <w:shd w:val="clear" w:color="auto" w:fill="auto"/>
            <w:noWrap/>
          </w:tcPr>
          <w:p w14:paraId="63FFB65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64022F5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Kelaher, Margaret;</w:t>
            </w:r>
            <w:r>
              <w:rPr>
                <w:rFonts w:asciiTheme="majorHAnsi" w:hAnsiTheme="majorHAnsi" w:cstheme="majorHAnsi"/>
              </w:rPr>
              <w:t xml:space="preserve"> </w:t>
            </w:r>
            <w:r w:rsidRPr="009176BC">
              <w:rPr>
                <w:rFonts w:asciiTheme="majorHAnsi" w:hAnsiTheme="majorHAnsi" w:cstheme="majorHAnsi"/>
              </w:rPr>
              <w:t>Warr, Deborah J.;</w:t>
            </w:r>
            <w:r>
              <w:rPr>
                <w:rFonts w:asciiTheme="majorHAnsi" w:hAnsiTheme="majorHAnsi" w:cstheme="majorHAnsi"/>
              </w:rPr>
              <w:t xml:space="preserve"> </w:t>
            </w:r>
            <w:r w:rsidRPr="009176BC">
              <w:rPr>
                <w:rFonts w:asciiTheme="majorHAnsi" w:hAnsiTheme="majorHAnsi" w:cstheme="majorHAnsi"/>
              </w:rPr>
              <w:t>Tacticos, Theonie</w:t>
            </w:r>
          </w:p>
        </w:tc>
        <w:tc>
          <w:tcPr>
            <w:tcW w:w="663" w:type="dxa"/>
            <w:shd w:val="clear" w:color="auto" w:fill="auto"/>
            <w:noWrap/>
          </w:tcPr>
          <w:p w14:paraId="42DF2EB7"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2010</w:t>
            </w:r>
          </w:p>
        </w:tc>
        <w:tc>
          <w:tcPr>
            <w:tcW w:w="3740" w:type="dxa"/>
            <w:shd w:val="clear" w:color="auto" w:fill="auto"/>
          </w:tcPr>
          <w:p w14:paraId="071003F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Evaluating health impacts: Results from the neighbourhood renewal strategy in Victoria, Australia</w:t>
            </w:r>
          </w:p>
        </w:tc>
        <w:tc>
          <w:tcPr>
            <w:tcW w:w="1224" w:type="dxa"/>
            <w:shd w:val="clear" w:color="auto" w:fill="auto"/>
          </w:tcPr>
          <w:p w14:paraId="0C74DA4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Education, Liveability, Health &amp; Wellbeing</w:t>
            </w:r>
          </w:p>
        </w:tc>
        <w:tc>
          <w:tcPr>
            <w:tcW w:w="1609" w:type="dxa"/>
            <w:shd w:val="clear" w:color="auto" w:fill="auto"/>
          </w:tcPr>
          <w:p w14:paraId="79E6641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Neighbourhood Renewal</w:t>
            </w:r>
          </w:p>
        </w:tc>
        <w:tc>
          <w:tcPr>
            <w:tcW w:w="1833" w:type="dxa"/>
            <w:shd w:val="clear" w:color="auto" w:fill="auto"/>
          </w:tcPr>
          <w:p w14:paraId="169B2DE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5A3C1B6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4EF52D1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19</w:t>
            </w:r>
          </w:p>
        </w:tc>
      </w:tr>
      <w:tr w:rsidR="00F00E3D" w:rsidRPr="009176BC" w14:paraId="50F38E32" w14:textId="77777777" w:rsidTr="009B2FA7">
        <w:trPr>
          <w:trHeight w:val="20"/>
        </w:trPr>
        <w:tc>
          <w:tcPr>
            <w:tcW w:w="1800" w:type="dxa"/>
            <w:shd w:val="clear" w:color="auto" w:fill="auto"/>
            <w:noWrap/>
          </w:tcPr>
          <w:p w14:paraId="16F4B4B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44C4E21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Modestino, A. S.;</w:t>
            </w:r>
            <w:r>
              <w:rPr>
                <w:rFonts w:asciiTheme="majorHAnsi" w:hAnsiTheme="majorHAnsi" w:cstheme="majorHAnsi"/>
              </w:rPr>
              <w:t xml:space="preserve"> </w:t>
            </w:r>
            <w:r w:rsidRPr="009176BC">
              <w:rPr>
                <w:rFonts w:asciiTheme="majorHAnsi" w:hAnsiTheme="majorHAnsi" w:cstheme="majorHAnsi"/>
              </w:rPr>
              <w:t>Paulsen, R. J.</w:t>
            </w:r>
          </w:p>
        </w:tc>
        <w:tc>
          <w:tcPr>
            <w:tcW w:w="663" w:type="dxa"/>
            <w:shd w:val="clear" w:color="auto" w:fill="auto"/>
            <w:noWrap/>
          </w:tcPr>
          <w:p w14:paraId="50233705"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2019</w:t>
            </w:r>
          </w:p>
        </w:tc>
        <w:tc>
          <w:tcPr>
            <w:tcW w:w="3740" w:type="dxa"/>
            <w:shd w:val="clear" w:color="auto" w:fill="auto"/>
          </w:tcPr>
          <w:p w14:paraId="7202956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Reducing inequality summer by summer: Lessons from an evaluation of the Boston Summer Youth Employment Program</w:t>
            </w:r>
          </w:p>
        </w:tc>
        <w:tc>
          <w:tcPr>
            <w:tcW w:w="1224" w:type="dxa"/>
            <w:shd w:val="clear" w:color="auto" w:fill="auto"/>
          </w:tcPr>
          <w:p w14:paraId="682A816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Employment</w:t>
            </w:r>
          </w:p>
        </w:tc>
        <w:tc>
          <w:tcPr>
            <w:tcW w:w="1609" w:type="dxa"/>
            <w:shd w:val="clear" w:color="auto" w:fill="auto"/>
          </w:tcPr>
          <w:p w14:paraId="41B36FB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Employment Program</w:t>
            </w:r>
          </w:p>
        </w:tc>
        <w:tc>
          <w:tcPr>
            <w:tcW w:w="1833" w:type="dxa"/>
            <w:shd w:val="clear" w:color="auto" w:fill="auto"/>
          </w:tcPr>
          <w:p w14:paraId="1BD084E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2987AD8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5519919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w:t>
            </w:r>
          </w:p>
        </w:tc>
      </w:tr>
      <w:tr w:rsidR="00F00E3D" w:rsidRPr="009176BC" w14:paraId="39B3E7EE" w14:textId="77777777" w:rsidTr="009B2FA7">
        <w:trPr>
          <w:trHeight w:val="20"/>
        </w:trPr>
        <w:tc>
          <w:tcPr>
            <w:tcW w:w="1800" w:type="dxa"/>
            <w:shd w:val="clear" w:color="auto" w:fill="auto"/>
            <w:noWrap/>
          </w:tcPr>
          <w:p w14:paraId="2AA2F86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4920FC0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Meares, W. L.;</w:t>
            </w:r>
            <w:r>
              <w:rPr>
                <w:rFonts w:asciiTheme="majorHAnsi" w:hAnsiTheme="majorHAnsi" w:cstheme="majorHAnsi"/>
              </w:rPr>
              <w:t xml:space="preserve"> </w:t>
            </w:r>
            <w:r w:rsidRPr="009176BC">
              <w:rPr>
                <w:rFonts w:asciiTheme="majorHAnsi" w:hAnsiTheme="majorHAnsi" w:cstheme="majorHAnsi"/>
              </w:rPr>
              <w:t>Riggs, W.</w:t>
            </w:r>
          </w:p>
        </w:tc>
        <w:tc>
          <w:tcPr>
            <w:tcW w:w="663" w:type="dxa"/>
            <w:shd w:val="clear" w:color="auto" w:fill="auto"/>
            <w:noWrap/>
          </w:tcPr>
          <w:p w14:paraId="1172A777"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2016</w:t>
            </w:r>
          </w:p>
        </w:tc>
        <w:tc>
          <w:tcPr>
            <w:tcW w:w="3740" w:type="dxa"/>
            <w:shd w:val="clear" w:color="auto" w:fill="auto"/>
          </w:tcPr>
          <w:p w14:paraId="768F35C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Walkability and the benefits of place-based housing: an examination of Louisville’s HOPE VI neighborhoods</w:t>
            </w:r>
          </w:p>
        </w:tc>
        <w:tc>
          <w:tcPr>
            <w:tcW w:w="1224" w:type="dxa"/>
            <w:shd w:val="clear" w:color="auto" w:fill="auto"/>
          </w:tcPr>
          <w:p w14:paraId="6F0FF4C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Employment, Health &amp; Wellbeing</w:t>
            </w:r>
          </w:p>
        </w:tc>
        <w:tc>
          <w:tcPr>
            <w:tcW w:w="1609" w:type="dxa"/>
            <w:shd w:val="clear" w:color="auto" w:fill="auto"/>
          </w:tcPr>
          <w:p w14:paraId="522F5C1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Development</w:t>
            </w:r>
          </w:p>
        </w:tc>
        <w:tc>
          <w:tcPr>
            <w:tcW w:w="1833" w:type="dxa"/>
            <w:shd w:val="clear" w:color="auto" w:fill="auto"/>
          </w:tcPr>
          <w:p w14:paraId="7DEC2BA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68529A7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43FC1B6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w:t>
            </w:r>
          </w:p>
        </w:tc>
      </w:tr>
      <w:tr w:rsidR="00F00E3D" w:rsidRPr="009176BC" w14:paraId="5C2528C2" w14:textId="77777777" w:rsidTr="009B2FA7">
        <w:trPr>
          <w:trHeight w:val="20"/>
        </w:trPr>
        <w:tc>
          <w:tcPr>
            <w:tcW w:w="1800" w:type="dxa"/>
            <w:shd w:val="clear" w:color="auto" w:fill="auto"/>
            <w:noWrap/>
          </w:tcPr>
          <w:p w14:paraId="45D5611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25F9873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Alicea-Planas, Jessica;</w:t>
            </w:r>
            <w:r>
              <w:rPr>
                <w:rFonts w:asciiTheme="majorHAnsi" w:hAnsiTheme="majorHAnsi" w:cstheme="majorHAnsi"/>
              </w:rPr>
              <w:t xml:space="preserve"> </w:t>
            </w:r>
            <w:r w:rsidRPr="009176BC">
              <w:rPr>
                <w:rFonts w:asciiTheme="majorHAnsi" w:hAnsiTheme="majorHAnsi" w:cstheme="majorHAnsi"/>
              </w:rPr>
              <w:t>Sullivan, Kelly;</w:t>
            </w:r>
            <w:r>
              <w:rPr>
                <w:rFonts w:asciiTheme="majorHAnsi" w:hAnsiTheme="majorHAnsi" w:cstheme="majorHAnsi"/>
              </w:rPr>
              <w:t xml:space="preserve"> </w:t>
            </w:r>
            <w:r w:rsidRPr="009176BC">
              <w:rPr>
                <w:rFonts w:asciiTheme="majorHAnsi" w:hAnsiTheme="majorHAnsi" w:cstheme="majorHAnsi"/>
              </w:rPr>
              <w:lastRenderedPageBreak/>
              <w:t>Tran, Hang;</w:t>
            </w:r>
            <w:r>
              <w:rPr>
                <w:rFonts w:asciiTheme="majorHAnsi" w:hAnsiTheme="majorHAnsi" w:cstheme="majorHAnsi"/>
              </w:rPr>
              <w:t xml:space="preserve"> </w:t>
            </w:r>
            <w:r w:rsidRPr="009176BC">
              <w:rPr>
                <w:rFonts w:asciiTheme="majorHAnsi" w:hAnsiTheme="majorHAnsi" w:cstheme="majorHAnsi"/>
              </w:rPr>
              <w:t>Cruz, Anna</w:t>
            </w:r>
          </w:p>
        </w:tc>
        <w:tc>
          <w:tcPr>
            <w:tcW w:w="663" w:type="dxa"/>
            <w:shd w:val="clear" w:color="auto" w:fill="auto"/>
            <w:noWrap/>
          </w:tcPr>
          <w:p w14:paraId="70C5321A"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lastRenderedPageBreak/>
              <w:t>2019</w:t>
            </w:r>
          </w:p>
        </w:tc>
        <w:tc>
          <w:tcPr>
            <w:tcW w:w="3740" w:type="dxa"/>
            <w:shd w:val="clear" w:color="auto" w:fill="auto"/>
          </w:tcPr>
          <w:p w14:paraId="5820099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Planting Seeds to Grow Healthy Children: Strategic Community Partnerships</w:t>
            </w:r>
          </w:p>
        </w:tc>
        <w:tc>
          <w:tcPr>
            <w:tcW w:w="1224" w:type="dxa"/>
            <w:shd w:val="clear" w:color="auto" w:fill="auto"/>
          </w:tcPr>
          <w:p w14:paraId="601C4F9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3926A2C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Food Access Initiative</w:t>
            </w:r>
          </w:p>
        </w:tc>
        <w:tc>
          <w:tcPr>
            <w:tcW w:w="1833" w:type="dxa"/>
            <w:shd w:val="clear" w:color="auto" w:fill="auto"/>
          </w:tcPr>
          <w:p w14:paraId="1A40AD3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3E415AB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6C42DD00"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0</w:t>
            </w:r>
          </w:p>
        </w:tc>
      </w:tr>
      <w:tr w:rsidR="00F00E3D" w:rsidRPr="009176BC" w14:paraId="2928BA88" w14:textId="77777777" w:rsidTr="009B2FA7">
        <w:trPr>
          <w:trHeight w:val="20"/>
        </w:trPr>
        <w:tc>
          <w:tcPr>
            <w:tcW w:w="1800" w:type="dxa"/>
            <w:shd w:val="clear" w:color="auto" w:fill="auto"/>
            <w:noWrap/>
          </w:tcPr>
          <w:p w14:paraId="189979B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52DF0FC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Attree, Pamela;</w:t>
            </w:r>
            <w:r>
              <w:rPr>
                <w:rFonts w:asciiTheme="majorHAnsi" w:hAnsiTheme="majorHAnsi" w:cstheme="majorHAnsi"/>
              </w:rPr>
              <w:t xml:space="preserve"> </w:t>
            </w:r>
            <w:r w:rsidRPr="009176BC">
              <w:rPr>
                <w:rFonts w:asciiTheme="majorHAnsi" w:hAnsiTheme="majorHAnsi" w:cstheme="majorHAnsi"/>
              </w:rPr>
              <w:t>French, Beverley;</w:t>
            </w:r>
            <w:r>
              <w:rPr>
                <w:rFonts w:asciiTheme="majorHAnsi" w:hAnsiTheme="majorHAnsi" w:cstheme="majorHAnsi"/>
              </w:rPr>
              <w:t xml:space="preserve"> </w:t>
            </w:r>
            <w:r w:rsidRPr="009176BC">
              <w:rPr>
                <w:rFonts w:asciiTheme="majorHAnsi" w:hAnsiTheme="majorHAnsi" w:cstheme="majorHAnsi"/>
              </w:rPr>
              <w:t>Milton, Beth;</w:t>
            </w:r>
            <w:r>
              <w:rPr>
                <w:rFonts w:asciiTheme="majorHAnsi" w:hAnsiTheme="majorHAnsi" w:cstheme="majorHAnsi"/>
              </w:rPr>
              <w:t xml:space="preserve"> </w:t>
            </w:r>
            <w:r w:rsidRPr="009176BC">
              <w:rPr>
                <w:rFonts w:asciiTheme="majorHAnsi" w:hAnsiTheme="majorHAnsi" w:cstheme="majorHAnsi"/>
              </w:rPr>
              <w:t>Povall, Susan;</w:t>
            </w:r>
            <w:r>
              <w:rPr>
                <w:rFonts w:asciiTheme="majorHAnsi" w:hAnsiTheme="majorHAnsi" w:cstheme="majorHAnsi"/>
              </w:rPr>
              <w:t xml:space="preserve"> </w:t>
            </w:r>
            <w:r w:rsidRPr="009176BC">
              <w:rPr>
                <w:rFonts w:asciiTheme="majorHAnsi" w:hAnsiTheme="majorHAnsi" w:cstheme="majorHAnsi"/>
              </w:rPr>
              <w:t>Whitehead, Margaret;</w:t>
            </w:r>
            <w:r>
              <w:rPr>
                <w:rFonts w:asciiTheme="majorHAnsi" w:hAnsiTheme="majorHAnsi" w:cstheme="majorHAnsi"/>
              </w:rPr>
              <w:t xml:space="preserve"> </w:t>
            </w:r>
            <w:r w:rsidRPr="009176BC">
              <w:rPr>
                <w:rFonts w:asciiTheme="majorHAnsi" w:hAnsiTheme="majorHAnsi" w:cstheme="majorHAnsi"/>
              </w:rPr>
              <w:t>Popay, Jennie</w:t>
            </w:r>
          </w:p>
        </w:tc>
        <w:tc>
          <w:tcPr>
            <w:tcW w:w="663" w:type="dxa"/>
            <w:shd w:val="clear" w:color="auto" w:fill="auto"/>
            <w:noWrap/>
          </w:tcPr>
          <w:p w14:paraId="526D759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2011</w:t>
            </w:r>
          </w:p>
        </w:tc>
        <w:tc>
          <w:tcPr>
            <w:tcW w:w="3740" w:type="dxa"/>
            <w:shd w:val="clear" w:color="auto" w:fill="auto"/>
          </w:tcPr>
          <w:p w14:paraId="4C4557C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The experience of community engagement for individuals: a rapid review of evidence</w:t>
            </w:r>
          </w:p>
        </w:tc>
        <w:tc>
          <w:tcPr>
            <w:tcW w:w="1224" w:type="dxa"/>
            <w:shd w:val="clear" w:color="auto" w:fill="auto"/>
          </w:tcPr>
          <w:p w14:paraId="1B456E6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51A8F14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Engagement</w:t>
            </w:r>
          </w:p>
        </w:tc>
        <w:tc>
          <w:tcPr>
            <w:tcW w:w="1833" w:type="dxa"/>
            <w:shd w:val="clear" w:color="auto" w:fill="auto"/>
          </w:tcPr>
          <w:p w14:paraId="593C3F4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7754598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w:t>
            </w:r>
          </w:p>
        </w:tc>
        <w:tc>
          <w:tcPr>
            <w:tcW w:w="1026" w:type="dxa"/>
            <w:shd w:val="clear" w:color="auto" w:fill="auto"/>
            <w:noWrap/>
          </w:tcPr>
          <w:p w14:paraId="79FAE4C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76</w:t>
            </w:r>
          </w:p>
        </w:tc>
      </w:tr>
      <w:tr w:rsidR="00F00E3D" w:rsidRPr="009176BC" w14:paraId="4821C91A" w14:textId="77777777" w:rsidTr="009B2FA7">
        <w:trPr>
          <w:trHeight w:val="20"/>
        </w:trPr>
        <w:tc>
          <w:tcPr>
            <w:tcW w:w="1800" w:type="dxa"/>
            <w:shd w:val="clear" w:color="auto" w:fill="auto"/>
            <w:noWrap/>
          </w:tcPr>
          <w:p w14:paraId="1A88CB7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0CF1BEA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Bleasdale, Tommy;</w:t>
            </w:r>
            <w:r>
              <w:rPr>
                <w:rFonts w:asciiTheme="majorHAnsi" w:hAnsiTheme="majorHAnsi" w:cstheme="majorHAnsi"/>
              </w:rPr>
              <w:t xml:space="preserve"> </w:t>
            </w:r>
            <w:r w:rsidRPr="009176BC">
              <w:rPr>
                <w:rFonts w:asciiTheme="majorHAnsi" w:hAnsiTheme="majorHAnsi" w:cstheme="majorHAnsi"/>
              </w:rPr>
              <w:t>Crouch, Carolyn;</w:t>
            </w:r>
            <w:r>
              <w:rPr>
                <w:rFonts w:asciiTheme="majorHAnsi" w:hAnsiTheme="majorHAnsi" w:cstheme="majorHAnsi"/>
              </w:rPr>
              <w:t xml:space="preserve"> </w:t>
            </w:r>
            <w:r w:rsidRPr="009176BC">
              <w:rPr>
                <w:rFonts w:asciiTheme="majorHAnsi" w:hAnsiTheme="majorHAnsi" w:cstheme="majorHAnsi"/>
              </w:rPr>
              <w:t>Harlan, Sharon L.</w:t>
            </w:r>
          </w:p>
        </w:tc>
        <w:tc>
          <w:tcPr>
            <w:tcW w:w="663" w:type="dxa"/>
            <w:shd w:val="clear" w:color="auto" w:fill="auto"/>
            <w:noWrap/>
          </w:tcPr>
          <w:p w14:paraId="312C48F7"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2010</w:t>
            </w:r>
          </w:p>
        </w:tc>
        <w:tc>
          <w:tcPr>
            <w:tcW w:w="3740" w:type="dxa"/>
            <w:shd w:val="clear" w:color="auto" w:fill="auto"/>
          </w:tcPr>
          <w:p w14:paraId="0AF7F0F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gardening in disadvantaged neighborhoods in Phoenix, Arizona: Aligning programs with perceptions</w:t>
            </w:r>
          </w:p>
        </w:tc>
        <w:tc>
          <w:tcPr>
            <w:tcW w:w="1224" w:type="dxa"/>
            <w:shd w:val="clear" w:color="auto" w:fill="auto"/>
          </w:tcPr>
          <w:p w14:paraId="64E4074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1AF7F69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Food Access Initiative, Community Garden</w:t>
            </w:r>
          </w:p>
        </w:tc>
        <w:tc>
          <w:tcPr>
            <w:tcW w:w="1833" w:type="dxa"/>
            <w:shd w:val="clear" w:color="auto" w:fill="auto"/>
          </w:tcPr>
          <w:p w14:paraId="35BB3FB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6B873E6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3E7275E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8</w:t>
            </w:r>
          </w:p>
        </w:tc>
      </w:tr>
      <w:tr w:rsidR="00F00E3D" w:rsidRPr="009176BC" w14:paraId="2F515881" w14:textId="77777777" w:rsidTr="009B2FA7">
        <w:trPr>
          <w:trHeight w:val="20"/>
        </w:trPr>
        <w:tc>
          <w:tcPr>
            <w:tcW w:w="1800" w:type="dxa"/>
            <w:shd w:val="clear" w:color="auto" w:fill="auto"/>
            <w:noWrap/>
          </w:tcPr>
          <w:p w14:paraId="532CCE6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78F704B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Boelens, M.;</w:t>
            </w:r>
            <w:r>
              <w:rPr>
                <w:rFonts w:asciiTheme="majorHAnsi" w:hAnsiTheme="majorHAnsi" w:cstheme="majorHAnsi"/>
              </w:rPr>
              <w:t xml:space="preserve"> </w:t>
            </w:r>
            <w:r w:rsidRPr="009176BC">
              <w:rPr>
                <w:rFonts w:asciiTheme="majorHAnsi" w:hAnsiTheme="majorHAnsi" w:cstheme="majorHAnsi"/>
              </w:rPr>
              <w:t>Windhorst, D. A.;</w:t>
            </w:r>
            <w:r>
              <w:rPr>
                <w:rFonts w:asciiTheme="majorHAnsi" w:hAnsiTheme="majorHAnsi" w:cstheme="majorHAnsi"/>
              </w:rPr>
              <w:t xml:space="preserve"> </w:t>
            </w:r>
            <w:r w:rsidRPr="009176BC">
              <w:rPr>
                <w:rFonts w:asciiTheme="majorHAnsi" w:hAnsiTheme="majorHAnsi" w:cstheme="majorHAnsi"/>
              </w:rPr>
              <w:t>Jonkman, H.;</w:t>
            </w:r>
            <w:r>
              <w:rPr>
                <w:rFonts w:asciiTheme="majorHAnsi" w:hAnsiTheme="majorHAnsi" w:cstheme="majorHAnsi"/>
              </w:rPr>
              <w:t xml:space="preserve"> </w:t>
            </w:r>
            <w:r w:rsidRPr="009176BC">
              <w:rPr>
                <w:rFonts w:asciiTheme="majorHAnsi" w:hAnsiTheme="majorHAnsi" w:cstheme="majorHAnsi"/>
              </w:rPr>
              <w:t>Hosman, C. M. H.;</w:t>
            </w:r>
            <w:r>
              <w:rPr>
                <w:rFonts w:asciiTheme="majorHAnsi" w:hAnsiTheme="majorHAnsi" w:cstheme="majorHAnsi"/>
              </w:rPr>
              <w:t xml:space="preserve"> </w:t>
            </w:r>
            <w:r w:rsidRPr="009176BC">
              <w:rPr>
                <w:rFonts w:asciiTheme="majorHAnsi" w:hAnsiTheme="majorHAnsi" w:cstheme="majorHAnsi"/>
              </w:rPr>
              <w:t>Raat, H.;</w:t>
            </w:r>
            <w:r>
              <w:rPr>
                <w:rFonts w:asciiTheme="majorHAnsi" w:hAnsiTheme="majorHAnsi" w:cstheme="majorHAnsi"/>
              </w:rPr>
              <w:t xml:space="preserve"> </w:t>
            </w:r>
            <w:r w:rsidRPr="009176BC">
              <w:rPr>
                <w:rFonts w:asciiTheme="majorHAnsi" w:hAnsiTheme="majorHAnsi" w:cstheme="majorHAnsi"/>
              </w:rPr>
              <w:t>Jansen, W.</w:t>
            </w:r>
          </w:p>
        </w:tc>
        <w:tc>
          <w:tcPr>
            <w:tcW w:w="663" w:type="dxa"/>
            <w:shd w:val="clear" w:color="auto" w:fill="auto"/>
            <w:noWrap/>
          </w:tcPr>
          <w:p w14:paraId="377D666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2019</w:t>
            </w:r>
          </w:p>
        </w:tc>
        <w:tc>
          <w:tcPr>
            <w:tcW w:w="3740" w:type="dxa"/>
            <w:shd w:val="clear" w:color="auto" w:fill="auto"/>
          </w:tcPr>
          <w:p w14:paraId="60CF646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Evaluation of the promising </w:t>
            </w:r>
            <w:proofErr w:type="gramStart"/>
            <w:r w:rsidRPr="009176BC">
              <w:rPr>
                <w:rFonts w:asciiTheme="majorHAnsi" w:hAnsiTheme="majorHAnsi" w:cstheme="majorHAnsi"/>
              </w:rPr>
              <w:t>neighbourhoods</w:t>
            </w:r>
            <w:proofErr w:type="gramEnd"/>
            <w:r w:rsidRPr="009176BC">
              <w:rPr>
                <w:rFonts w:asciiTheme="majorHAnsi" w:hAnsiTheme="majorHAnsi" w:cstheme="majorHAnsi"/>
              </w:rPr>
              <w:t xml:space="preserve"> community program to reduce health inequalities in youth: A protocol of a mixed-methods study</w:t>
            </w:r>
          </w:p>
        </w:tc>
        <w:tc>
          <w:tcPr>
            <w:tcW w:w="1224" w:type="dxa"/>
            <w:shd w:val="clear" w:color="auto" w:fill="auto"/>
          </w:tcPr>
          <w:p w14:paraId="0F4B801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5E7E90F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Neighbourhood Renewal</w:t>
            </w:r>
          </w:p>
        </w:tc>
        <w:tc>
          <w:tcPr>
            <w:tcW w:w="1833" w:type="dxa"/>
            <w:shd w:val="clear" w:color="auto" w:fill="auto"/>
          </w:tcPr>
          <w:p w14:paraId="388BD83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67F2FF0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Netherlands</w:t>
            </w:r>
          </w:p>
        </w:tc>
        <w:tc>
          <w:tcPr>
            <w:tcW w:w="1026" w:type="dxa"/>
            <w:shd w:val="clear" w:color="auto" w:fill="auto"/>
            <w:noWrap/>
          </w:tcPr>
          <w:p w14:paraId="702DFD0A"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w:t>
            </w:r>
          </w:p>
        </w:tc>
      </w:tr>
      <w:tr w:rsidR="00F00E3D" w:rsidRPr="009176BC" w14:paraId="217BDAE0" w14:textId="77777777" w:rsidTr="009B2FA7">
        <w:trPr>
          <w:trHeight w:val="20"/>
        </w:trPr>
        <w:tc>
          <w:tcPr>
            <w:tcW w:w="1800" w:type="dxa"/>
            <w:shd w:val="clear" w:color="auto" w:fill="auto"/>
            <w:noWrap/>
          </w:tcPr>
          <w:p w14:paraId="5EBD07A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4DC8E9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Braunstein, S.;</w:t>
            </w:r>
            <w:r>
              <w:rPr>
                <w:rFonts w:asciiTheme="majorHAnsi" w:hAnsiTheme="majorHAnsi" w:cstheme="majorHAnsi"/>
              </w:rPr>
              <w:t xml:space="preserve"> </w:t>
            </w:r>
            <w:r w:rsidRPr="009176BC">
              <w:rPr>
                <w:rFonts w:asciiTheme="majorHAnsi" w:hAnsiTheme="majorHAnsi" w:cstheme="majorHAnsi"/>
              </w:rPr>
              <w:t>Lavizzo-Mourey, R.</w:t>
            </w:r>
          </w:p>
        </w:tc>
        <w:tc>
          <w:tcPr>
            <w:tcW w:w="663" w:type="dxa"/>
            <w:shd w:val="clear" w:color="auto" w:fill="auto"/>
            <w:noWrap/>
          </w:tcPr>
          <w:p w14:paraId="6C579577"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2011</w:t>
            </w:r>
          </w:p>
        </w:tc>
        <w:tc>
          <w:tcPr>
            <w:tcW w:w="3740" w:type="dxa"/>
            <w:shd w:val="clear" w:color="auto" w:fill="auto"/>
          </w:tcPr>
          <w:p w14:paraId="770DE92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How the health and community development sectors are combining forces to improve health and well-being</w:t>
            </w:r>
          </w:p>
        </w:tc>
        <w:tc>
          <w:tcPr>
            <w:tcW w:w="1224" w:type="dxa"/>
            <w:shd w:val="clear" w:color="auto" w:fill="auto"/>
          </w:tcPr>
          <w:p w14:paraId="6BB7090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67E2863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Public Health &amp; Housing Integration</w:t>
            </w:r>
          </w:p>
        </w:tc>
        <w:tc>
          <w:tcPr>
            <w:tcW w:w="1833" w:type="dxa"/>
            <w:shd w:val="clear" w:color="auto" w:fill="auto"/>
          </w:tcPr>
          <w:p w14:paraId="7843039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N - policy recommendations only </w:t>
            </w:r>
          </w:p>
        </w:tc>
        <w:tc>
          <w:tcPr>
            <w:tcW w:w="1303" w:type="dxa"/>
            <w:shd w:val="clear" w:color="auto" w:fill="auto"/>
            <w:noWrap/>
          </w:tcPr>
          <w:p w14:paraId="3DEE2A2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74D4C44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22</w:t>
            </w:r>
          </w:p>
        </w:tc>
      </w:tr>
      <w:tr w:rsidR="00F00E3D" w:rsidRPr="009176BC" w14:paraId="112AC4AD" w14:textId="77777777" w:rsidTr="009B2FA7">
        <w:trPr>
          <w:trHeight w:val="20"/>
        </w:trPr>
        <w:tc>
          <w:tcPr>
            <w:tcW w:w="1800" w:type="dxa"/>
            <w:shd w:val="clear" w:color="auto" w:fill="auto"/>
            <w:noWrap/>
          </w:tcPr>
          <w:p w14:paraId="278884A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3B55431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Campbell-Voytal, Kimberly</w:t>
            </w:r>
          </w:p>
        </w:tc>
        <w:tc>
          <w:tcPr>
            <w:tcW w:w="663" w:type="dxa"/>
            <w:shd w:val="clear" w:color="auto" w:fill="auto"/>
            <w:noWrap/>
          </w:tcPr>
          <w:p w14:paraId="50FAEBE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2010</w:t>
            </w:r>
          </w:p>
        </w:tc>
        <w:tc>
          <w:tcPr>
            <w:tcW w:w="3740" w:type="dxa"/>
            <w:shd w:val="clear" w:color="auto" w:fill="auto"/>
          </w:tcPr>
          <w:p w14:paraId="4539832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Phases of "pre-engagement" capacity building: discovery, exploration, and trial alliance</w:t>
            </w:r>
          </w:p>
        </w:tc>
        <w:tc>
          <w:tcPr>
            <w:tcW w:w="1224" w:type="dxa"/>
            <w:shd w:val="clear" w:color="auto" w:fill="auto"/>
          </w:tcPr>
          <w:p w14:paraId="4A69D89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59A62B9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Education Program, Community Engagement</w:t>
            </w:r>
          </w:p>
        </w:tc>
        <w:tc>
          <w:tcPr>
            <w:tcW w:w="1833" w:type="dxa"/>
            <w:shd w:val="clear" w:color="auto" w:fill="auto"/>
            <w:noWrap/>
          </w:tcPr>
          <w:p w14:paraId="56E3DFF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7F137D2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29B49E54"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9</w:t>
            </w:r>
          </w:p>
        </w:tc>
      </w:tr>
      <w:tr w:rsidR="00F00E3D" w:rsidRPr="009176BC" w14:paraId="405F89DD" w14:textId="77777777" w:rsidTr="009B2FA7">
        <w:trPr>
          <w:trHeight w:val="20"/>
        </w:trPr>
        <w:tc>
          <w:tcPr>
            <w:tcW w:w="1800" w:type="dxa"/>
            <w:shd w:val="clear" w:color="auto" w:fill="auto"/>
            <w:noWrap/>
          </w:tcPr>
          <w:p w14:paraId="30C7D14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7CB36B2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Chrisinger, B. W.;</w:t>
            </w:r>
            <w:r>
              <w:rPr>
                <w:rFonts w:asciiTheme="majorHAnsi" w:hAnsiTheme="majorHAnsi" w:cstheme="majorHAnsi"/>
              </w:rPr>
              <w:t xml:space="preserve"> </w:t>
            </w:r>
            <w:r w:rsidRPr="009176BC">
              <w:rPr>
                <w:rFonts w:asciiTheme="majorHAnsi" w:hAnsiTheme="majorHAnsi" w:cstheme="majorHAnsi"/>
              </w:rPr>
              <w:t>Ramos, A.;</w:t>
            </w:r>
            <w:r>
              <w:rPr>
                <w:rFonts w:asciiTheme="majorHAnsi" w:hAnsiTheme="majorHAnsi" w:cstheme="majorHAnsi"/>
              </w:rPr>
              <w:t xml:space="preserve"> </w:t>
            </w:r>
            <w:r w:rsidRPr="009176BC">
              <w:rPr>
                <w:rFonts w:asciiTheme="majorHAnsi" w:hAnsiTheme="majorHAnsi" w:cstheme="majorHAnsi"/>
              </w:rPr>
              <w:t>Shaykis, F.;</w:t>
            </w:r>
            <w:r>
              <w:rPr>
                <w:rFonts w:asciiTheme="majorHAnsi" w:hAnsiTheme="majorHAnsi" w:cstheme="majorHAnsi"/>
              </w:rPr>
              <w:t xml:space="preserve"> </w:t>
            </w:r>
            <w:r w:rsidRPr="009176BC">
              <w:rPr>
                <w:rFonts w:asciiTheme="majorHAnsi" w:hAnsiTheme="majorHAnsi" w:cstheme="majorHAnsi"/>
              </w:rPr>
              <w:lastRenderedPageBreak/>
              <w:t>Martinez, T.;</w:t>
            </w:r>
            <w:r>
              <w:rPr>
                <w:rFonts w:asciiTheme="majorHAnsi" w:hAnsiTheme="majorHAnsi" w:cstheme="majorHAnsi"/>
              </w:rPr>
              <w:t xml:space="preserve"> </w:t>
            </w:r>
            <w:r w:rsidRPr="009176BC">
              <w:rPr>
                <w:rFonts w:asciiTheme="majorHAnsi" w:hAnsiTheme="majorHAnsi" w:cstheme="majorHAnsi"/>
              </w:rPr>
              <w:t>Banchoff, A. W.;</w:t>
            </w:r>
            <w:r>
              <w:rPr>
                <w:rFonts w:asciiTheme="majorHAnsi" w:hAnsiTheme="majorHAnsi" w:cstheme="majorHAnsi"/>
              </w:rPr>
              <w:t xml:space="preserve"> </w:t>
            </w:r>
            <w:r w:rsidRPr="009176BC">
              <w:rPr>
                <w:rFonts w:asciiTheme="majorHAnsi" w:hAnsiTheme="majorHAnsi" w:cstheme="majorHAnsi"/>
              </w:rPr>
              <w:t>Winter, S. J.;</w:t>
            </w:r>
            <w:r>
              <w:rPr>
                <w:rFonts w:asciiTheme="majorHAnsi" w:hAnsiTheme="majorHAnsi" w:cstheme="majorHAnsi"/>
              </w:rPr>
              <w:t xml:space="preserve"> </w:t>
            </w:r>
            <w:r w:rsidRPr="009176BC">
              <w:rPr>
                <w:rFonts w:asciiTheme="majorHAnsi" w:hAnsiTheme="majorHAnsi" w:cstheme="majorHAnsi"/>
              </w:rPr>
              <w:t>King, A. C.</w:t>
            </w:r>
          </w:p>
        </w:tc>
        <w:tc>
          <w:tcPr>
            <w:tcW w:w="663" w:type="dxa"/>
            <w:shd w:val="clear" w:color="auto" w:fill="auto"/>
            <w:noWrap/>
          </w:tcPr>
          <w:p w14:paraId="0A219387"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lastRenderedPageBreak/>
              <w:t>2018</w:t>
            </w:r>
          </w:p>
        </w:tc>
        <w:tc>
          <w:tcPr>
            <w:tcW w:w="3740" w:type="dxa"/>
            <w:shd w:val="clear" w:color="auto" w:fill="auto"/>
          </w:tcPr>
          <w:p w14:paraId="452560E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Leveraging citizen science for healthier food environments: A pilot </w:t>
            </w:r>
            <w:r w:rsidRPr="009176BC">
              <w:rPr>
                <w:rFonts w:asciiTheme="majorHAnsi" w:hAnsiTheme="majorHAnsi" w:cstheme="majorHAnsi"/>
              </w:rPr>
              <w:lastRenderedPageBreak/>
              <w:t xml:space="preserve">study to evaluate corner stores in </w:t>
            </w:r>
            <w:r>
              <w:rPr>
                <w:rFonts w:asciiTheme="majorHAnsi" w:hAnsiTheme="majorHAnsi" w:cstheme="majorHAnsi"/>
              </w:rPr>
              <w:t>C</w:t>
            </w:r>
            <w:r w:rsidRPr="009176BC">
              <w:rPr>
                <w:rFonts w:asciiTheme="majorHAnsi" w:hAnsiTheme="majorHAnsi" w:cstheme="majorHAnsi"/>
              </w:rPr>
              <w:t>amden, New Jersey</w:t>
            </w:r>
          </w:p>
        </w:tc>
        <w:tc>
          <w:tcPr>
            <w:tcW w:w="1224" w:type="dxa"/>
            <w:shd w:val="clear" w:color="auto" w:fill="auto"/>
          </w:tcPr>
          <w:p w14:paraId="46038D5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lastRenderedPageBreak/>
              <w:t>Health &amp; Wellbeing</w:t>
            </w:r>
          </w:p>
        </w:tc>
        <w:tc>
          <w:tcPr>
            <w:tcW w:w="1609" w:type="dxa"/>
            <w:shd w:val="clear" w:color="auto" w:fill="auto"/>
          </w:tcPr>
          <w:p w14:paraId="1151C2A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Food Access Initiative</w:t>
            </w:r>
          </w:p>
        </w:tc>
        <w:tc>
          <w:tcPr>
            <w:tcW w:w="1833" w:type="dxa"/>
            <w:shd w:val="clear" w:color="auto" w:fill="auto"/>
          </w:tcPr>
          <w:p w14:paraId="08A66E0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73D7835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w:t>
            </w:r>
          </w:p>
        </w:tc>
        <w:tc>
          <w:tcPr>
            <w:tcW w:w="1026" w:type="dxa"/>
            <w:shd w:val="clear" w:color="auto" w:fill="auto"/>
            <w:noWrap/>
          </w:tcPr>
          <w:p w14:paraId="2DD786EA"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7</w:t>
            </w:r>
          </w:p>
        </w:tc>
      </w:tr>
      <w:tr w:rsidR="00F00E3D" w:rsidRPr="009176BC" w14:paraId="41A96DC3" w14:textId="77777777" w:rsidTr="009B2FA7">
        <w:trPr>
          <w:trHeight w:val="20"/>
        </w:trPr>
        <w:tc>
          <w:tcPr>
            <w:tcW w:w="1800" w:type="dxa"/>
            <w:shd w:val="clear" w:color="auto" w:fill="auto"/>
            <w:noWrap/>
          </w:tcPr>
          <w:p w14:paraId="2C38A85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4A00A2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Corburn, Jason;</w:t>
            </w:r>
            <w:r>
              <w:rPr>
                <w:rFonts w:asciiTheme="majorHAnsi" w:hAnsiTheme="majorHAnsi" w:cstheme="majorHAnsi"/>
              </w:rPr>
              <w:t xml:space="preserve"> </w:t>
            </w:r>
            <w:r w:rsidRPr="009176BC">
              <w:rPr>
                <w:rFonts w:asciiTheme="majorHAnsi" w:hAnsiTheme="majorHAnsi" w:cstheme="majorHAnsi"/>
              </w:rPr>
              <w:t>Curl, Shasa;</w:t>
            </w:r>
            <w:r>
              <w:rPr>
                <w:rFonts w:asciiTheme="majorHAnsi" w:hAnsiTheme="majorHAnsi" w:cstheme="majorHAnsi"/>
              </w:rPr>
              <w:t xml:space="preserve"> </w:t>
            </w:r>
            <w:r w:rsidRPr="009176BC">
              <w:rPr>
                <w:rFonts w:asciiTheme="majorHAnsi" w:hAnsiTheme="majorHAnsi" w:cstheme="majorHAnsi"/>
              </w:rPr>
              <w:t>Arredondo, Gabino</w:t>
            </w:r>
          </w:p>
        </w:tc>
        <w:tc>
          <w:tcPr>
            <w:tcW w:w="663" w:type="dxa"/>
            <w:shd w:val="clear" w:color="auto" w:fill="auto"/>
            <w:noWrap/>
          </w:tcPr>
          <w:p w14:paraId="5AB1174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2014</w:t>
            </w:r>
          </w:p>
        </w:tc>
        <w:tc>
          <w:tcPr>
            <w:tcW w:w="3740" w:type="dxa"/>
            <w:shd w:val="clear" w:color="auto" w:fill="auto"/>
          </w:tcPr>
          <w:p w14:paraId="56D7250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 Health-In-All-Policies Approach Addresses Many of Richmond, California's Place-Based Hazards, Stressors</w:t>
            </w:r>
          </w:p>
        </w:tc>
        <w:tc>
          <w:tcPr>
            <w:tcW w:w="1224" w:type="dxa"/>
            <w:shd w:val="clear" w:color="auto" w:fill="auto"/>
          </w:tcPr>
          <w:p w14:paraId="16B58C9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4DE0268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Development, Health Policy</w:t>
            </w:r>
          </w:p>
        </w:tc>
        <w:tc>
          <w:tcPr>
            <w:tcW w:w="1833" w:type="dxa"/>
            <w:shd w:val="clear" w:color="auto" w:fill="auto"/>
          </w:tcPr>
          <w:p w14:paraId="2B33959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74FE755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60E80F8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8</w:t>
            </w:r>
          </w:p>
        </w:tc>
      </w:tr>
      <w:tr w:rsidR="00F00E3D" w:rsidRPr="009176BC" w14:paraId="4B501B3F" w14:textId="77777777" w:rsidTr="009B2FA7">
        <w:trPr>
          <w:trHeight w:val="20"/>
        </w:trPr>
        <w:tc>
          <w:tcPr>
            <w:tcW w:w="1800" w:type="dxa"/>
            <w:shd w:val="clear" w:color="auto" w:fill="auto"/>
            <w:noWrap/>
          </w:tcPr>
          <w:p w14:paraId="1BE4AE0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2EF41FE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Cyril, S.;</w:t>
            </w:r>
            <w:r>
              <w:rPr>
                <w:rFonts w:asciiTheme="majorHAnsi" w:hAnsiTheme="majorHAnsi" w:cstheme="majorHAnsi"/>
              </w:rPr>
              <w:t xml:space="preserve"> </w:t>
            </w:r>
            <w:r w:rsidRPr="009176BC">
              <w:rPr>
                <w:rFonts w:asciiTheme="majorHAnsi" w:hAnsiTheme="majorHAnsi" w:cstheme="majorHAnsi"/>
              </w:rPr>
              <w:t>Smith, B. J.;</w:t>
            </w:r>
            <w:r>
              <w:rPr>
                <w:rFonts w:asciiTheme="majorHAnsi" w:hAnsiTheme="majorHAnsi" w:cstheme="majorHAnsi"/>
              </w:rPr>
              <w:t xml:space="preserve"> </w:t>
            </w:r>
            <w:r w:rsidRPr="009176BC">
              <w:rPr>
                <w:rFonts w:asciiTheme="majorHAnsi" w:hAnsiTheme="majorHAnsi" w:cstheme="majorHAnsi"/>
              </w:rPr>
              <w:t>Possamai-Inesedy, A.;</w:t>
            </w:r>
            <w:r>
              <w:rPr>
                <w:rFonts w:asciiTheme="majorHAnsi" w:hAnsiTheme="majorHAnsi" w:cstheme="majorHAnsi"/>
              </w:rPr>
              <w:t xml:space="preserve"> </w:t>
            </w:r>
            <w:r w:rsidRPr="009176BC">
              <w:rPr>
                <w:rFonts w:asciiTheme="majorHAnsi" w:hAnsiTheme="majorHAnsi" w:cstheme="majorHAnsi"/>
              </w:rPr>
              <w:t>Renzaho, A. M. N.</w:t>
            </w:r>
          </w:p>
        </w:tc>
        <w:tc>
          <w:tcPr>
            <w:tcW w:w="663" w:type="dxa"/>
            <w:shd w:val="clear" w:color="auto" w:fill="auto"/>
            <w:noWrap/>
          </w:tcPr>
          <w:p w14:paraId="6677A11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2015</w:t>
            </w:r>
          </w:p>
        </w:tc>
        <w:tc>
          <w:tcPr>
            <w:tcW w:w="3740" w:type="dxa"/>
            <w:shd w:val="clear" w:color="auto" w:fill="auto"/>
          </w:tcPr>
          <w:p w14:paraId="166C3C4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Exploring the role of community engagement in improving the health of disadvantaged populations: A systematic review</w:t>
            </w:r>
          </w:p>
        </w:tc>
        <w:tc>
          <w:tcPr>
            <w:tcW w:w="1224" w:type="dxa"/>
            <w:shd w:val="clear" w:color="auto" w:fill="auto"/>
          </w:tcPr>
          <w:p w14:paraId="51518E3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40C8C73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Engagement</w:t>
            </w:r>
          </w:p>
        </w:tc>
        <w:tc>
          <w:tcPr>
            <w:tcW w:w="1833" w:type="dxa"/>
            <w:shd w:val="clear" w:color="auto" w:fill="auto"/>
          </w:tcPr>
          <w:p w14:paraId="718E710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0092E54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Non-context-specific</w:t>
            </w:r>
          </w:p>
        </w:tc>
        <w:tc>
          <w:tcPr>
            <w:tcW w:w="1026" w:type="dxa"/>
            <w:shd w:val="clear" w:color="auto" w:fill="auto"/>
            <w:noWrap/>
          </w:tcPr>
          <w:p w14:paraId="1E7360AA"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81</w:t>
            </w:r>
          </w:p>
        </w:tc>
      </w:tr>
      <w:tr w:rsidR="00F00E3D" w:rsidRPr="009176BC" w14:paraId="64E06566" w14:textId="77777777" w:rsidTr="009B2FA7">
        <w:trPr>
          <w:trHeight w:val="20"/>
        </w:trPr>
        <w:tc>
          <w:tcPr>
            <w:tcW w:w="1800" w:type="dxa"/>
            <w:shd w:val="clear" w:color="auto" w:fill="auto"/>
            <w:noWrap/>
          </w:tcPr>
          <w:p w14:paraId="5B321BC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2C60D2B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Czupich, M.</w:t>
            </w:r>
          </w:p>
        </w:tc>
        <w:tc>
          <w:tcPr>
            <w:tcW w:w="663" w:type="dxa"/>
            <w:shd w:val="clear" w:color="auto" w:fill="auto"/>
            <w:noWrap/>
          </w:tcPr>
          <w:p w14:paraId="1980E1D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2020</w:t>
            </w:r>
          </w:p>
        </w:tc>
        <w:tc>
          <w:tcPr>
            <w:tcW w:w="3740" w:type="dxa"/>
            <w:shd w:val="clear" w:color="auto" w:fill="auto"/>
          </w:tcPr>
          <w:p w14:paraId="0064DEC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Sport as an instrument of social development-the example of London</w:t>
            </w:r>
          </w:p>
        </w:tc>
        <w:tc>
          <w:tcPr>
            <w:tcW w:w="1224" w:type="dxa"/>
            <w:shd w:val="clear" w:color="auto" w:fill="auto"/>
          </w:tcPr>
          <w:p w14:paraId="38C2704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165AF9D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Physical Activity Program</w:t>
            </w:r>
          </w:p>
        </w:tc>
        <w:tc>
          <w:tcPr>
            <w:tcW w:w="1833" w:type="dxa"/>
            <w:shd w:val="clear" w:color="auto" w:fill="auto"/>
          </w:tcPr>
          <w:p w14:paraId="3B2E7F7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01DE0A4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w:t>
            </w:r>
          </w:p>
        </w:tc>
        <w:tc>
          <w:tcPr>
            <w:tcW w:w="1026" w:type="dxa"/>
            <w:shd w:val="clear" w:color="auto" w:fill="auto"/>
            <w:noWrap/>
          </w:tcPr>
          <w:p w14:paraId="3E3DD34F"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0</w:t>
            </w:r>
          </w:p>
        </w:tc>
      </w:tr>
      <w:tr w:rsidR="00F00E3D" w:rsidRPr="009176BC" w14:paraId="2460B8AD" w14:textId="77777777" w:rsidTr="009B2FA7">
        <w:trPr>
          <w:trHeight w:val="20"/>
        </w:trPr>
        <w:tc>
          <w:tcPr>
            <w:tcW w:w="1800" w:type="dxa"/>
            <w:shd w:val="clear" w:color="auto" w:fill="auto"/>
            <w:noWrap/>
          </w:tcPr>
          <w:p w14:paraId="0F9EF9E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60E5284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De Andrade, M.</w:t>
            </w:r>
          </w:p>
        </w:tc>
        <w:tc>
          <w:tcPr>
            <w:tcW w:w="663" w:type="dxa"/>
            <w:shd w:val="clear" w:color="auto" w:fill="auto"/>
            <w:noWrap/>
          </w:tcPr>
          <w:p w14:paraId="5247B33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2016</w:t>
            </w:r>
          </w:p>
        </w:tc>
        <w:tc>
          <w:tcPr>
            <w:tcW w:w="3740" w:type="dxa"/>
            <w:shd w:val="clear" w:color="auto" w:fill="auto"/>
          </w:tcPr>
          <w:p w14:paraId="23B41DE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Tackling health inequalities through asset-based approaches, co-production and empowerment: Ticking consultation boxes or meaningful engagement with diverse, </w:t>
            </w:r>
            <w:r w:rsidRPr="002C08F3">
              <w:rPr>
                <w:rFonts w:asciiTheme="majorHAnsi" w:hAnsiTheme="majorHAnsi" w:cstheme="majorHAnsi"/>
              </w:rPr>
              <w:t>disadvantaged communities?</w:t>
            </w:r>
          </w:p>
        </w:tc>
        <w:tc>
          <w:tcPr>
            <w:tcW w:w="1224" w:type="dxa"/>
            <w:shd w:val="clear" w:color="auto" w:fill="auto"/>
          </w:tcPr>
          <w:p w14:paraId="4FEAF7B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042ECD9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Asset-based Approach, Co-production</w:t>
            </w:r>
          </w:p>
        </w:tc>
        <w:tc>
          <w:tcPr>
            <w:tcW w:w="1833" w:type="dxa"/>
            <w:shd w:val="clear" w:color="auto" w:fill="auto"/>
          </w:tcPr>
          <w:p w14:paraId="129157E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6CE6B23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Scotland</w:t>
            </w:r>
          </w:p>
        </w:tc>
        <w:tc>
          <w:tcPr>
            <w:tcW w:w="1026" w:type="dxa"/>
            <w:shd w:val="clear" w:color="auto" w:fill="auto"/>
            <w:noWrap/>
          </w:tcPr>
          <w:p w14:paraId="694F5AF1"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w:t>
            </w:r>
          </w:p>
        </w:tc>
      </w:tr>
      <w:tr w:rsidR="00F00E3D" w:rsidRPr="009176BC" w14:paraId="1DC3E104" w14:textId="77777777" w:rsidTr="009B2FA7">
        <w:trPr>
          <w:trHeight w:val="20"/>
        </w:trPr>
        <w:tc>
          <w:tcPr>
            <w:tcW w:w="1800" w:type="dxa"/>
            <w:shd w:val="clear" w:color="auto" w:fill="auto"/>
            <w:noWrap/>
          </w:tcPr>
          <w:p w14:paraId="2D99989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7880C21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Demant, L.;</w:t>
            </w:r>
            <w:r>
              <w:rPr>
                <w:rFonts w:asciiTheme="majorHAnsi" w:hAnsiTheme="majorHAnsi" w:cstheme="majorHAnsi"/>
              </w:rPr>
              <w:t xml:space="preserve"> </w:t>
            </w:r>
            <w:r w:rsidRPr="009176BC">
              <w:rPr>
                <w:rFonts w:asciiTheme="majorHAnsi" w:hAnsiTheme="majorHAnsi" w:cstheme="majorHAnsi"/>
              </w:rPr>
              <w:t>Lawrence, J.</w:t>
            </w:r>
          </w:p>
        </w:tc>
        <w:tc>
          <w:tcPr>
            <w:tcW w:w="663" w:type="dxa"/>
            <w:shd w:val="clear" w:color="auto" w:fill="auto"/>
            <w:noWrap/>
          </w:tcPr>
          <w:p w14:paraId="7EA293EA"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2018</w:t>
            </w:r>
          </w:p>
        </w:tc>
        <w:tc>
          <w:tcPr>
            <w:tcW w:w="3740" w:type="dxa"/>
            <w:shd w:val="clear" w:color="auto" w:fill="auto"/>
          </w:tcPr>
          <w:p w14:paraId="3E11749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Back on Track: The challenges of implementing a small place-based Collective Impact initiative</w:t>
            </w:r>
          </w:p>
        </w:tc>
        <w:tc>
          <w:tcPr>
            <w:tcW w:w="1224" w:type="dxa"/>
            <w:shd w:val="clear" w:color="auto" w:fill="auto"/>
          </w:tcPr>
          <w:p w14:paraId="3EB3879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0864D26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Integrated Health Service Initiative</w:t>
            </w:r>
          </w:p>
        </w:tc>
        <w:tc>
          <w:tcPr>
            <w:tcW w:w="1833" w:type="dxa"/>
            <w:shd w:val="clear" w:color="auto" w:fill="auto"/>
          </w:tcPr>
          <w:p w14:paraId="1EE824D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4AD91B4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05F832D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w:t>
            </w:r>
          </w:p>
        </w:tc>
      </w:tr>
      <w:tr w:rsidR="00F00E3D" w:rsidRPr="009176BC" w14:paraId="502C87A0" w14:textId="77777777" w:rsidTr="009B2FA7">
        <w:trPr>
          <w:trHeight w:val="20"/>
        </w:trPr>
        <w:tc>
          <w:tcPr>
            <w:tcW w:w="1800" w:type="dxa"/>
            <w:shd w:val="clear" w:color="auto" w:fill="auto"/>
            <w:noWrap/>
          </w:tcPr>
          <w:p w14:paraId="7E9C07A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42DF850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Egan, M.;</w:t>
            </w:r>
            <w:r>
              <w:rPr>
                <w:rFonts w:asciiTheme="majorHAnsi" w:hAnsiTheme="majorHAnsi" w:cstheme="majorHAnsi"/>
              </w:rPr>
              <w:t xml:space="preserve"> </w:t>
            </w:r>
            <w:r w:rsidRPr="009176BC">
              <w:rPr>
                <w:rFonts w:asciiTheme="majorHAnsi" w:hAnsiTheme="majorHAnsi" w:cstheme="majorHAnsi"/>
              </w:rPr>
              <w:t>Kearns, A.;</w:t>
            </w:r>
            <w:r>
              <w:rPr>
                <w:rFonts w:asciiTheme="majorHAnsi" w:hAnsiTheme="majorHAnsi" w:cstheme="majorHAnsi"/>
              </w:rPr>
              <w:t xml:space="preserve"> </w:t>
            </w:r>
            <w:r w:rsidRPr="009176BC">
              <w:rPr>
                <w:rFonts w:asciiTheme="majorHAnsi" w:hAnsiTheme="majorHAnsi" w:cstheme="majorHAnsi"/>
              </w:rPr>
              <w:t>Katikireddi, S. V.;</w:t>
            </w:r>
            <w:r>
              <w:rPr>
                <w:rFonts w:asciiTheme="majorHAnsi" w:hAnsiTheme="majorHAnsi" w:cstheme="majorHAnsi"/>
              </w:rPr>
              <w:t xml:space="preserve"> </w:t>
            </w:r>
            <w:r w:rsidRPr="009176BC">
              <w:rPr>
                <w:rFonts w:asciiTheme="majorHAnsi" w:hAnsiTheme="majorHAnsi" w:cstheme="majorHAnsi"/>
              </w:rPr>
              <w:t>Curl, A.;</w:t>
            </w:r>
            <w:r>
              <w:rPr>
                <w:rFonts w:asciiTheme="majorHAnsi" w:hAnsiTheme="majorHAnsi" w:cstheme="majorHAnsi"/>
              </w:rPr>
              <w:t xml:space="preserve"> </w:t>
            </w:r>
            <w:r w:rsidRPr="009176BC">
              <w:rPr>
                <w:rFonts w:asciiTheme="majorHAnsi" w:hAnsiTheme="majorHAnsi" w:cstheme="majorHAnsi"/>
              </w:rPr>
              <w:t>Lawson, K.;</w:t>
            </w:r>
            <w:r>
              <w:rPr>
                <w:rFonts w:asciiTheme="majorHAnsi" w:hAnsiTheme="majorHAnsi" w:cstheme="majorHAnsi"/>
              </w:rPr>
              <w:t xml:space="preserve"> </w:t>
            </w:r>
            <w:r w:rsidRPr="009176BC">
              <w:rPr>
                <w:rFonts w:asciiTheme="majorHAnsi" w:hAnsiTheme="majorHAnsi" w:cstheme="majorHAnsi"/>
              </w:rPr>
              <w:t>Tannahill, C.</w:t>
            </w:r>
          </w:p>
        </w:tc>
        <w:tc>
          <w:tcPr>
            <w:tcW w:w="663" w:type="dxa"/>
            <w:shd w:val="clear" w:color="auto" w:fill="auto"/>
            <w:noWrap/>
          </w:tcPr>
          <w:p w14:paraId="13FEA60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2016</w:t>
            </w:r>
          </w:p>
        </w:tc>
        <w:tc>
          <w:tcPr>
            <w:tcW w:w="3740" w:type="dxa"/>
            <w:shd w:val="clear" w:color="auto" w:fill="auto"/>
          </w:tcPr>
          <w:p w14:paraId="2B33F72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Proportionate universalism in practice? A quasi-experimental study (GoWell) of a UK neighbourhood renewal programme's impact on health inequalities</w:t>
            </w:r>
          </w:p>
        </w:tc>
        <w:tc>
          <w:tcPr>
            <w:tcW w:w="1224" w:type="dxa"/>
            <w:shd w:val="clear" w:color="auto" w:fill="auto"/>
          </w:tcPr>
          <w:p w14:paraId="039DEEF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5CE4172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Neighborhood Renewal (housing focused)</w:t>
            </w:r>
          </w:p>
        </w:tc>
        <w:tc>
          <w:tcPr>
            <w:tcW w:w="1833" w:type="dxa"/>
            <w:shd w:val="clear" w:color="auto" w:fill="auto"/>
          </w:tcPr>
          <w:p w14:paraId="3558DBD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2CF72C3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w:t>
            </w:r>
          </w:p>
        </w:tc>
        <w:tc>
          <w:tcPr>
            <w:tcW w:w="1026" w:type="dxa"/>
            <w:shd w:val="clear" w:color="auto" w:fill="auto"/>
            <w:noWrap/>
          </w:tcPr>
          <w:p w14:paraId="2168E52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26</w:t>
            </w:r>
          </w:p>
        </w:tc>
      </w:tr>
      <w:tr w:rsidR="00F00E3D" w:rsidRPr="009176BC" w14:paraId="085FF741" w14:textId="77777777" w:rsidTr="009B2FA7">
        <w:trPr>
          <w:trHeight w:val="20"/>
        </w:trPr>
        <w:tc>
          <w:tcPr>
            <w:tcW w:w="1800" w:type="dxa"/>
            <w:shd w:val="clear" w:color="auto" w:fill="auto"/>
            <w:noWrap/>
          </w:tcPr>
          <w:p w14:paraId="575BD94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lastRenderedPageBreak/>
              <w:t>Journal Article</w:t>
            </w:r>
          </w:p>
        </w:tc>
        <w:tc>
          <w:tcPr>
            <w:tcW w:w="1537" w:type="dxa"/>
            <w:shd w:val="clear" w:color="auto" w:fill="auto"/>
          </w:tcPr>
          <w:p w14:paraId="79AB053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Erickson, D.;</w:t>
            </w:r>
            <w:r>
              <w:rPr>
                <w:rFonts w:asciiTheme="majorHAnsi" w:hAnsiTheme="majorHAnsi" w:cstheme="majorHAnsi"/>
              </w:rPr>
              <w:t xml:space="preserve"> </w:t>
            </w:r>
            <w:r w:rsidRPr="009176BC">
              <w:rPr>
                <w:rFonts w:asciiTheme="majorHAnsi" w:hAnsiTheme="majorHAnsi" w:cstheme="majorHAnsi"/>
              </w:rPr>
              <w:t>Andrews, N.</w:t>
            </w:r>
          </w:p>
        </w:tc>
        <w:tc>
          <w:tcPr>
            <w:tcW w:w="663" w:type="dxa"/>
            <w:shd w:val="clear" w:color="auto" w:fill="auto"/>
            <w:noWrap/>
          </w:tcPr>
          <w:p w14:paraId="30F4881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2011</w:t>
            </w:r>
          </w:p>
        </w:tc>
        <w:tc>
          <w:tcPr>
            <w:tcW w:w="3740" w:type="dxa"/>
            <w:shd w:val="clear" w:color="auto" w:fill="auto"/>
          </w:tcPr>
          <w:p w14:paraId="3016BF1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Partnerships among community development, public health, and health care could improve the well-being of low-income people</w:t>
            </w:r>
          </w:p>
        </w:tc>
        <w:tc>
          <w:tcPr>
            <w:tcW w:w="1224" w:type="dxa"/>
            <w:shd w:val="clear" w:color="auto" w:fill="auto"/>
          </w:tcPr>
          <w:p w14:paraId="73ADA72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67F350A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Public Health &amp; Housing Integration</w:t>
            </w:r>
          </w:p>
        </w:tc>
        <w:tc>
          <w:tcPr>
            <w:tcW w:w="1833" w:type="dxa"/>
            <w:shd w:val="clear" w:color="auto" w:fill="auto"/>
          </w:tcPr>
          <w:p w14:paraId="7C6AC2E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(framework only)</w:t>
            </w:r>
          </w:p>
        </w:tc>
        <w:tc>
          <w:tcPr>
            <w:tcW w:w="1303" w:type="dxa"/>
            <w:shd w:val="clear" w:color="auto" w:fill="auto"/>
            <w:noWrap/>
          </w:tcPr>
          <w:p w14:paraId="26C411C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4AE9DA13"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26</w:t>
            </w:r>
          </w:p>
        </w:tc>
      </w:tr>
      <w:tr w:rsidR="00F00E3D" w:rsidRPr="009176BC" w14:paraId="42881770" w14:textId="77777777" w:rsidTr="009B2FA7">
        <w:trPr>
          <w:trHeight w:val="20"/>
        </w:trPr>
        <w:tc>
          <w:tcPr>
            <w:tcW w:w="1800" w:type="dxa"/>
            <w:shd w:val="clear" w:color="auto" w:fill="auto"/>
            <w:noWrap/>
          </w:tcPr>
          <w:p w14:paraId="649D1EC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7AB1970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Farquhar, S. A.;</w:t>
            </w:r>
            <w:r>
              <w:rPr>
                <w:rFonts w:asciiTheme="majorHAnsi" w:hAnsiTheme="majorHAnsi" w:cstheme="majorHAnsi"/>
              </w:rPr>
              <w:t xml:space="preserve"> </w:t>
            </w:r>
            <w:r w:rsidRPr="009176BC">
              <w:rPr>
                <w:rFonts w:asciiTheme="majorHAnsi" w:hAnsiTheme="majorHAnsi" w:cstheme="majorHAnsi"/>
              </w:rPr>
              <w:t>Chen, R.;</w:t>
            </w:r>
            <w:r>
              <w:rPr>
                <w:rFonts w:asciiTheme="majorHAnsi" w:hAnsiTheme="majorHAnsi" w:cstheme="majorHAnsi"/>
              </w:rPr>
              <w:t xml:space="preserve"> </w:t>
            </w:r>
            <w:r w:rsidRPr="009176BC">
              <w:rPr>
                <w:rFonts w:asciiTheme="majorHAnsi" w:hAnsiTheme="majorHAnsi" w:cstheme="majorHAnsi"/>
              </w:rPr>
              <w:t>Matheson, A.;</w:t>
            </w:r>
            <w:r>
              <w:rPr>
                <w:rFonts w:asciiTheme="majorHAnsi" w:hAnsiTheme="majorHAnsi" w:cstheme="majorHAnsi"/>
              </w:rPr>
              <w:t xml:space="preserve"> </w:t>
            </w:r>
            <w:r w:rsidRPr="009176BC">
              <w:rPr>
                <w:rFonts w:asciiTheme="majorHAnsi" w:hAnsiTheme="majorHAnsi" w:cstheme="majorHAnsi"/>
              </w:rPr>
              <w:t>Forsyth, J.;</w:t>
            </w:r>
            <w:r>
              <w:rPr>
                <w:rFonts w:asciiTheme="majorHAnsi" w:hAnsiTheme="majorHAnsi" w:cstheme="majorHAnsi"/>
              </w:rPr>
              <w:t xml:space="preserve"> </w:t>
            </w:r>
            <w:r w:rsidRPr="009176BC">
              <w:rPr>
                <w:rFonts w:asciiTheme="majorHAnsi" w:hAnsiTheme="majorHAnsi" w:cstheme="majorHAnsi"/>
              </w:rPr>
              <w:t>Ursua, M.</w:t>
            </w:r>
          </w:p>
        </w:tc>
        <w:tc>
          <w:tcPr>
            <w:tcW w:w="663" w:type="dxa"/>
            <w:shd w:val="clear" w:color="auto" w:fill="auto"/>
            <w:noWrap/>
          </w:tcPr>
          <w:p w14:paraId="09FC856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2019</w:t>
            </w:r>
          </w:p>
        </w:tc>
        <w:tc>
          <w:tcPr>
            <w:tcW w:w="3740" w:type="dxa"/>
            <w:shd w:val="clear" w:color="auto" w:fill="auto"/>
          </w:tcPr>
          <w:p w14:paraId="37964C0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Seattle’s Yesler Terrace Redevelopment: Assessing the Impact of Multisector Strategies on Redevelopment Plans and Community Health</w:t>
            </w:r>
          </w:p>
        </w:tc>
        <w:tc>
          <w:tcPr>
            <w:tcW w:w="1224" w:type="dxa"/>
            <w:shd w:val="clear" w:color="auto" w:fill="auto"/>
          </w:tcPr>
          <w:p w14:paraId="1BEFAEA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550C8ED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Development</w:t>
            </w:r>
          </w:p>
        </w:tc>
        <w:tc>
          <w:tcPr>
            <w:tcW w:w="1833" w:type="dxa"/>
            <w:shd w:val="clear" w:color="auto" w:fill="auto"/>
          </w:tcPr>
          <w:p w14:paraId="5DD0BB3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2BAA7F5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46E461C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w:t>
            </w:r>
          </w:p>
        </w:tc>
      </w:tr>
      <w:tr w:rsidR="00F00E3D" w:rsidRPr="009176BC" w14:paraId="3E2B0443" w14:textId="77777777" w:rsidTr="009B2FA7">
        <w:trPr>
          <w:trHeight w:val="20"/>
        </w:trPr>
        <w:tc>
          <w:tcPr>
            <w:tcW w:w="1800" w:type="dxa"/>
            <w:shd w:val="clear" w:color="auto" w:fill="auto"/>
            <w:noWrap/>
          </w:tcPr>
          <w:p w14:paraId="79F7FF1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3A02530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Forrest-bank, Shandra S.;</w:t>
            </w:r>
            <w:r>
              <w:rPr>
                <w:rFonts w:asciiTheme="majorHAnsi" w:hAnsiTheme="majorHAnsi" w:cstheme="majorHAnsi"/>
              </w:rPr>
              <w:t xml:space="preserve"> </w:t>
            </w:r>
            <w:r w:rsidRPr="009176BC">
              <w:rPr>
                <w:rFonts w:asciiTheme="majorHAnsi" w:hAnsiTheme="majorHAnsi" w:cstheme="majorHAnsi"/>
              </w:rPr>
              <w:t>Nicotera, Nicole;</w:t>
            </w:r>
            <w:r>
              <w:rPr>
                <w:rFonts w:asciiTheme="majorHAnsi" w:hAnsiTheme="majorHAnsi" w:cstheme="majorHAnsi"/>
              </w:rPr>
              <w:t xml:space="preserve"> </w:t>
            </w:r>
            <w:r w:rsidRPr="009176BC">
              <w:rPr>
                <w:rFonts w:asciiTheme="majorHAnsi" w:hAnsiTheme="majorHAnsi" w:cstheme="majorHAnsi"/>
              </w:rPr>
              <w:t>Bassett, Dawn Matera;</w:t>
            </w:r>
            <w:r>
              <w:rPr>
                <w:rFonts w:asciiTheme="majorHAnsi" w:hAnsiTheme="majorHAnsi" w:cstheme="majorHAnsi"/>
              </w:rPr>
              <w:t xml:space="preserve"> </w:t>
            </w:r>
            <w:r w:rsidRPr="009176BC">
              <w:rPr>
                <w:rFonts w:asciiTheme="majorHAnsi" w:hAnsiTheme="majorHAnsi" w:cstheme="majorHAnsi"/>
              </w:rPr>
              <w:t>Ferrarone, Peter</w:t>
            </w:r>
          </w:p>
        </w:tc>
        <w:tc>
          <w:tcPr>
            <w:tcW w:w="663" w:type="dxa"/>
            <w:shd w:val="clear" w:color="auto" w:fill="auto"/>
            <w:noWrap/>
          </w:tcPr>
          <w:p w14:paraId="0636F6A7"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2016</w:t>
            </w:r>
          </w:p>
        </w:tc>
        <w:tc>
          <w:tcPr>
            <w:tcW w:w="3740" w:type="dxa"/>
            <w:shd w:val="clear" w:color="auto" w:fill="auto"/>
          </w:tcPr>
          <w:p w14:paraId="05A11B5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Effects of an Expressive Art Intervention with Urban Youth in Low-Income Neighborhoods: C &amp; A</w:t>
            </w:r>
          </w:p>
        </w:tc>
        <w:tc>
          <w:tcPr>
            <w:tcW w:w="1224" w:type="dxa"/>
            <w:shd w:val="clear" w:color="auto" w:fill="auto"/>
          </w:tcPr>
          <w:p w14:paraId="10A3AF8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72929C3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Neighbourhood Arts Initiative</w:t>
            </w:r>
          </w:p>
        </w:tc>
        <w:tc>
          <w:tcPr>
            <w:tcW w:w="1833" w:type="dxa"/>
            <w:shd w:val="clear" w:color="auto" w:fill="auto"/>
          </w:tcPr>
          <w:p w14:paraId="7D80150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35B414D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5890982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22</w:t>
            </w:r>
          </w:p>
        </w:tc>
      </w:tr>
      <w:tr w:rsidR="00F00E3D" w:rsidRPr="009176BC" w14:paraId="58B6E1DE" w14:textId="77777777" w:rsidTr="009B2FA7">
        <w:trPr>
          <w:trHeight w:val="20"/>
        </w:trPr>
        <w:tc>
          <w:tcPr>
            <w:tcW w:w="1800" w:type="dxa"/>
            <w:shd w:val="clear" w:color="auto" w:fill="auto"/>
            <w:noWrap/>
          </w:tcPr>
          <w:p w14:paraId="134F593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661EEC9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Gavin, V. R.;</w:t>
            </w:r>
            <w:r>
              <w:rPr>
                <w:rFonts w:asciiTheme="majorHAnsi" w:hAnsiTheme="majorHAnsi" w:cstheme="majorHAnsi"/>
              </w:rPr>
              <w:t xml:space="preserve"> </w:t>
            </w:r>
            <w:r w:rsidRPr="009176BC">
              <w:rPr>
                <w:rFonts w:asciiTheme="majorHAnsi" w:hAnsiTheme="majorHAnsi" w:cstheme="majorHAnsi"/>
              </w:rPr>
              <w:t>Seeholzer, E. L.;</w:t>
            </w:r>
            <w:r>
              <w:rPr>
                <w:rFonts w:asciiTheme="majorHAnsi" w:hAnsiTheme="majorHAnsi" w:cstheme="majorHAnsi"/>
              </w:rPr>
              <w:t xml:space="preserve"> </w:t>
            </w:r>
            <w:r w:rsidRPr="009176BC">
              <w:rPr>
                <w:rFonts w:asciiTheme="majorHAnsi" w:hAnsiTheme="majorHAnsi" w:cstheme="majorHAnsi"/>
              </w:rPr>
              <w:t>Leon, J. B.;</w:t>
            </w:r>
            <w:r>
              <w:rPr>
                <w:rFonts w:asciiTheme="majorHAnsi" w:hAnsiTheme="majorHAnsi" w:cstheme="majorHAnsi"/>
              </w:rPr>
              <w:t xml:space="preserve"> </w:t>
            </w:r>
            <w:r w:rsidRPr="009176BC">
              <w:rPr>
                <w:rFonts w:asciiTheme="majorHAnsi" w:hAnsiTheme="majorHAnsi" w:cstheme="majorHAnsi"/>
              </w:rPr>
              <w:t>Chappelle, S. B.;</w:t>
            </w:r>
            <w:r>
              <w:rPr>
                <w:rFonts w:asciiTheme="majorHAnsi" w:hAnsiTheme="majorHAnsi" w:cstheme="majorHAnsi"/>
              </w:rPr>
              <w:t xml:space="preserve"> </w:t>
            </w:r>
            <w:r w:rsidRPr="009176BC">
              <w:rPr>
                <w:rFonts w:asciiTheme="majorHAnsi" w:hAnsiTheme="majorHAnsi" w:cstheme="majorHAnsi"/>
              </w:rPr>
              <w:t>Sehgal, A. R.</w:t>
            </w:r>
          </w:p>
        </w:tc>
        <w:tc>
          <w:tcPr>
            <w:tcW w:w="663" w:type="dxa"/>
            <w:shd w:val="clear" w:color="auto" w:fill="auto"/>
            <w:noWrap/>
          </w:tcPr>
          <w:p w14:paraId="4B66897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2015</w:t>
            </w:r>
          </w:p>
        </w:tc>
        <w:tc>
          <w:tcPr>
            <w:tcW w:w="3740" w:type="dxa"/>
            <w:shd w:val="clear" w:color="auto" w:fill="auto"/>
          </w:tcPr>
          <w:p w14:paraId="37B4475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If we build it, we will come: A model for community-led change to transform neighborhood conditions to support healthy eating and active living</w:t>
            </w:r>
          </w:p>
        </w:tc>
        <w:tc>
          <w:tcPr>
            <w:tcW w:w="1224" w:type="dxa"/>
            <w:shd w:val="clear" w:color="auto" w:fill="auto"/>
          </w:tcPr>
          <w:p w14:paraId="1A21956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156E084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Community Engagement, Community Education Program </w:t>
            </w:r>
          </w:p>
        </w:tc>
        <w:tc>
          <w:tcPr>
            <w:tcW w:w="1833" w:type="dxa"/>
            <w:shd w:val="clear" w:color="auto" w:fill="auto"/>
          </w:tcPr>
          <w:p w14:paraId="394086E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7B84101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146A9A87"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6</w:t>
            </w:r>
          </w:p>
        </w:tc>
      </w:tr>
      <w:tr w:rsidR="00F00E3D" w:rsidRPr="009176BC" w14:paraId="5634153C" w14:textId="77777777" w:rsidTr="009B2FA7">
        <w:trPr>
          <w:trHeight w:val="20"/>
        </w:trPr>
        <w:tc>
          <w:tcPr>
            <w:tcW w:w="1800" w:type="dxa"/>
            <w:shd w:val="clear" w:color="auto" w:fill="auto"/>
            <w:noWrap/>
          </w:tcPr>
          <w:p w14:paraId="7B03DDA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5E5B785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Gomez, M. B.</w:t>
            </w:r>
          </w:p>
        </w:tc>
        <w:tc>
          <w:tcPr>
            <w:tcW w:w="663" w:type="dxa"/>
            <w:shd w:val="clear" w:color="auto" w:fill="auto"/>
            <w:noWrap/>
          </w:tcPr>
          <w:p w14:paraId="762429E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2017</w:t>
            </w:r>
          </w:p>
        </w:tc>
        <w:tc>
          <w:tcPr>
            <w:tcW w:w="3740" w:type="dxa"/>
            <w:shd w:val="clear" w:color="auto" w:fill="auto"/>
          </w:tcPr>
          <w:p w14:paraId="646922C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Neoliberalization's Propagation of Health Inequity in Urban Rebuilding Processes: The Dependence on Context and Path</w:t>
            </w:r>
          </w:p>
        </w:tc>
        <w:tc>
          <w:tcPr>
            <w:tcW w:w="1224" w:type="dxa"/>
            <w:shd w:val="clear" w:color="auto" w:fill="auto"/>
          </w:tcPr>
          <w:p w14:paraId="30689A7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37FB97F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Neighborhood Renewal</w:t>
            </w:r>
          </w:p>
        </w:tc>
        <w:tc>
          <w:tcPr>
            <w:tcW w:w="1833" w:type="dxa"/>
            <w:shd w:val="clear" w:color="auto" w:fill="auto"/>
          </w:tcPr>
          <w:p w14:paraId="4A01771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35423BB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48FABD11"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0</w:t>
            </w:r>
          </w:p>
        </w:tc>
      </w:tr>
      <w:tr w:rsidR="00F00E3D" w:rsidRPr="009176BC" w14:paraId="195BBB04" w14:textId="77777777" w:rsidTr="009B2FA7">
        <w:trPr>
          <w:trHeight w:val="20"/>
        </w:trPr>
        <w:tc>
          <w:tcPr>
            <w:tcW w:w="1800" w:type="dxa"/>
            <w:shd w:val="clear" w:color="auto" w:fill="auto"/>
            <w:noWrap/>
          </w:tcPr>
          <w:p w14:paraId="271F736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7C9A9FF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Hatchett, L.;</w:t>
            </w:r>
            <w:r>
              <w:rPr>
                <w:rFonts w:asciiTheme="majorHAnsi" w:hAnsiTheme="majorHAnsi" w:cstheme="majorHAnsi"/>
              </w:rPr>
              <w:t xml:space="preserve"> </w:t>
            </w:r>
            <w:r w:rsidRPr="009176BC">
              <w:rPr>
                <w:rFonts w:asciiTheme="majorHAnsi" w:hAnsiTheme="majorHAnsi" w:cstheme="majorHAnsi"/>
              </w:rPr>
              <w:t>Brown, L.;</w:t>
            </w:r>
            <w:r>
              <w:rPr>
                <w:rFonts w:asciiTheme="majorHAnsi" w:hAnsiTheme="majorHAnsi" w:cstheme="majorHAnsi"/>
              </w:rPr>
              <w:t xml:space="preserve"> </w:t>
            </w:r>
            <w:r w:rsidRPr="009176BC">
              <w:rPr>
                <w:rFonts w:asciiTheme="majorHAnsi" w:hAnsiTheme="majorHAnsi" w:cstheme="majorHAnsi"/>
              </w:rPr>
              <w:t>Hopkins, J.;</w:t>
            </w:r>
            <w:r>
              <w:rPr>
                <w:rFonts w:asciiTheme="majorHAnsi" w:hAnsiTheme="majorHAnsi" w:cstheme="majorHAnsi"/>
              </w:rPr>
              <w:t xml:space="preserve"> </w:t>
            </w:r>
            <w:r w:rsidRPr="009176BC">
              <w:rPr>
                <w:rFonts w:asciiTheme="majorHAnsi" w:hAnsiTheme="majorHAnsi" w:cstheme="majorHAnsi"/>
              </w:rPr>
              <w:t>Larsen, K.;</w:t>
            </w:r>
            <w:r>
              <w:rPr>
                <w:rFonts w:asciiTheme="majorHAnsi" w:hAnsiTheme="majorHAnsi" w:cstheme="majorHAnsi"/>
              </w:rPr>
              <w:t xml:space="preserve"> </w:t>
            </w:r>
            <w:r w:rsidRPr="009176BC">
              <w:rPr>
                <w:rFonts w:asciiTheme="majorHAnsi" w:hAnsiTheme="majorHAnsi" w:cstheme="majorHAnsi"/>
              </w:rPr>
              <w:t>Fournier, E.</w:t>
            </w:r>
          </w:p>
        </w:tc>
        <w:tc>
          <w:tcPr>
            <w:tcW w:w="663" w:type="dxa"/>
            <w:shd w:val="clear" w:color="auto" w:fill="auto"/>
            <w:noWrap/>
          </w:tcPr>
          <w:p w14:paraId="52F6A782"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2015</w:t>
            </w:r>
          </w:p>
        </w:tc>
        <w:tc>
          <w:tcPr>
            <w:tcW w:w="3740" w:type="dxa"/>
            <w:shd w:val="clear" w:color="auto" w:fill="auto"/>
          </w:tcPr>
          <w:p w14:paraId="5B8500A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"Something good can grow here": Chicago urban agriculture food projects</w:t>
            </w:r>
          </w:p>
        </w:tc>
        <w:tc>
          <w:tcPr>
            <w:tcW w:w="1224" w:type="dxa"/>
            <w:shd w:val="clear" w:color="auto" w:fill="auto"/>
          </w:tcPr>
          <w:p w14:paraId="18775CD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3630765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Food Access Initiative</w:t>
            </w:r>
          </w:p>
        </w:tc>
        <w:tc>
          <w:tcPr>
            <w:tcW w:w="1833" w:type="dxa"/>
            <w:shd w:val="clear" w:color="auto" w:fill="auto"/>
          </w:tcPr>
          <w:p w14:paraId="7C39058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3296EE8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63499811"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5</w:t>
            </w:r>
          </w:p>
        </w:tc>
      </w:tr>
      <w:tr w:rsidR="00F00E3D" w:rsidRPr="009176BC" w14:paraId="197ADDE6" w14:textId="77777777" w:rsidTr="009B2FA7">
        <w:trPr>
          <w:trHeight w:val="20"/>
        </w:trPr>
        <w:tc>
          <w:tcPr>
            <w:tcW w:w="1800" w:type="dxa"/>
            <w:shd w:val="clear" w:color="auto" w:fill="auto"/>
            <w:noWrap/>
          </w:tcPr>
          <w:p w14:paraId="6F223F1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0FDAA5B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Jalaludin, B.;</w:t>
            </w:r>
            <w:r>
              <w:rPr>
                <w:rFonts w:asciiTheme="majorHAnsi" w:hAnsiTheme="majorHAnsi" w:cstheme="majorHAnsi"/>
              </w:rPr>
              <w:t xml:space="preserve"> </w:t>
            </w:r>
            <w:r w:rsidRPr="009176BC">
              <w:rPr>
                <w:rFonts w:asciiTheme="majorHAnsi" w:hAnsiTheme="majorHAnsi" w:cstheme="majorHAnsi"/>
              </w:rPr>
              <w:t>Maxwell, M.;</w:t>
            </w:r>
            <w:r>
              <w:rPr>
                <w:rFonts w:asciiTheme="majorHAnsi" w:hAnsiTheme="majorHAnsi" w:cstheme="majorHAnsi"/>
              </w:rPr>
              <w:t xml:space="preserve"> </w:t>
            </w:r>
            <w:r w:rsidRPr="009176BC">
              <w:rPr>
                <w:rFonts w:asciiTheme="majorHAnsi" w:hAnsiTheme="majorHAnsi" w:cstheme="majorHAnsi"/>
              </w:rPr>
              <w:t>Saddik, B.;</w:t>
            </w:r>
            <w:r>
              <w:rPr>
                <w:rFonts w:asciiTheme="majorHAnsi" w:hAnsiTheme="majorHAnsi" w:cstheme="majorHAnsi"/>
              </w:rPr>
              <w:t xml:space="preserve"> </w:t>
            </w:r>
            <w:r w:rsidRPr="009176BC">
              <w:rPr>
                <w:rFonts w:asciiTheme="majorHAnsi" w:hAnsiTheme="majorHAnsi" w:cstheme="majorHAnsi"/>
              </w:rPr>
              <w:lastRenderedPageBreak/>
              <w:t>Lobb, E.;</w:t>
            </w:r>
            <w:r>
              <w:rPr>
                <w:rFonts w:asciiTheme="majorHAnsi" w:hAnsiTheme="majorHAnsi" w:cstheme="majorHAnsi"/>
              </w:rPr>
              <w:t xml:space="preserve"> </w:t>
            </w:r>
            <w:r w:rsidRPr="009176BC">
              <w:rPr>
                <w:rFonts w:asciiTheme="majorHAnsi" w:hAnsiTheme="majorHAnsi" w:cstheme="majorHAnsi"/>
              </w:rPr>
              <w:t>Byun, R.;</w:t>
            </w:r>
            <w:r>
              <w:rPr>
                <w:rFonts w:asciiTheme="majorHAnsi" w:hAnsiTheme="majorHAnsi" w:cstheme="majorHAnsi"/>
              </w:rPr>
              <w:t xml:space="preserve"> </w:t>
            </w:r>
            <w:r w:rsidRPr="009176BC">
              <w:rPr>
                <w:rFonts w:asciiTheme="majorHAnsi" w:hAnsiTheme="majorHAnsi" w:cstheme="majorHAnsi"/>
              </w:rPr>
              <w:t>Gutierrez, R.;</w:t>
            </w:r>
            <w:r>
              <w:rPr>
                <w:rFonts w:asciiTheme="majorHAnsi" w:hAnsiTheme="majorHAnsi" w:cstheme="majorHAnsi"/>
              </w:rPr>
              <w:t xml:space="preserve"> </w:t>
            </w:r>
            <w:r w:rsidRPr="009176BC">
              <w:rPr>
                <w:rFonts w:asciiTheme="majorHAnsi" w:hAnsiTheme="majorHAnsi" w:cstheme="majorHAnsi"/>
              </w:rPr>
              <w:t>Paszek, J.</w:t>
            </w:r>
          </w:p>
        </w:tc>
        <w:tc>
          <w:tcPr>
            <w:tcW w:w="663" w:type="dxa"/>
            <w:shd w:val="clear" w:color="auto" w:fill="auto"/>
            <w:noWrap/>
          </w:tcPr>
          <w:p w14:paraId="5213B02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lastRenderedPageBreak/>
              <w:t>2012</w:t>
            </w:r>
          </w:p>
        </w:tc>
        <w:tc>
          <w:tcPr>
            <w:tcW w:w="3740" w:type="dxa"/>
            <w:shd w:val="clear" w:color="auto" w:fill="auto"/>
          </w:tcPr>
          <w:p w14:paraId="58597FC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A pre-and-post study of an urban renewal program in a socially </w:t>
            </w:r>
            <w:r w:rsidRPr="009176BC">
              <w:rPr>
                <w:rFonts w:asciiTheme="majorHAnsi" w:hAnsiTheme="majorHAnsi" w:cstheme="majorHAnsi"/>
              </w:rPr>
              <w:lastRenderedPageBreak/>
              <w:t>disadvantaged neighbourhood in Sydney, Australia</w:t>
            </w:r>
          </w:p>
        </w:tc>
        <w:tc>
          <w:tcPr>
            <w:tcW w:w="1224" w:type="dxa"/>
            <w:shd w:val="clear" w:color="auto" w:fill="auto"/>
          </w:tcPr>
          <w:p w14:paraId="7C87537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lastRenderedPageBreak/>
              <w:t>Health &amp; Wellbeing</w:t>
            </w:r>
          </w:p>
        </w:tc>
        <w:tc>
          <w:tcPr>
            <w:tcW w:w="1609" w:type="dxa"/>
            <w:shd w:val="clear" w:color="auto" w:fill="auto"/>
          </w:tcPr>
          <w:p w14:paraId="6E9B326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Neighborhood renewal </w:t>
            </w:r>
          </w:p>
        </w:tc>
        <w:tc>
          <w:tcPr>
            <w:tcW w:w="1833" w:type="dxa"/>
            <w:shd w:val="clear" w:color="auto" w:fill="auto"/>
          </w:tcPr>
          <w:p w14:paraId="52E9C8F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6DCFE8C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5C21D87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14</w:t>
            </w:r>
          </w:p>
        </w:tc>
      </w:tr>
      <w:tr w:rsidR="00F00E3D" w:rsidRPr="009176BC" w14:paraId="74EE9E26" w14:textId="77777777" w:rsidTr="009B2FA7">
        <w:trPr>
          <w:trHeight w:val="20"/>
        </w:trPr>
        <w:tc>
          <w:tcPr>
            <w:tcW w:w="1800" w:type="dxa"/>
            <w:shd w:val="clear" w:color="auto" w:fill="auto"/>
            <w:noWrap/>
          </w:tcPr>
          <w:p w14:paraId="199F73A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524C93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Jaskiewicz, L.;</w:t>
            </w:r>
            <w:r>
              <w:rPr>
                <w:rFonts w:asciiTheme="majorHAnsi" w:hAnsiTheme="majorHAnsi" w:cstheme="majorHAnsi"/>
              </w:rPr>
              <w:t xml:space="preserve"> </w:t>
            </w:r>
            <w:r w:rsidRPr="009176BC">
              <w:rPr>
                <w:rFonts w:asciiTheme="majorHAnsi" w:hAnsiTheme="majorHAnsi" w:cstheme="majorHAnsi"/>
              </w:rPr>
              <w:t>Dombrowski, R. D.;</w:t>
            </w:r>
            <w:r>
              <w:rPr>
                <w:rFonts w:asciiTheme="majorHAnsi" w:hAnsiTheme="majorHAnsi" w:cstheme="majorHAnsi"/>
              </w:rPr>
              <w:t xml:space="preserve"> </w:t>
            </w:r>
            <w:r w:rsidRPr="009176BC">
              <w:rPr>
                <w:rFonts w:asciiTheme="majorHAnsi" w:hAnsiTheme="majorHAnsi" w:cstheme="majorHAnsi"/>
              </w:rPr>
              <w:t>Barnett, G. M.;</w:t>
            </w:r>
            <w:r>
              <w:rPr>
                <w:rFonts w:asciiTheme="majorHAnsi" w:hAnsiTheme="majorHAnsi" w:cstheme="majorHAnsi"/>
              </w:rPr>
              <w:t xml:space="preserve"> </w:t>
            </w:r>
            <w:r w:rsidRPr="009176BC">
              <w:rPr>
                <w:rFonts w:asciiTheme="majorHAnsi" w:hAnsiTheme="majorHAnsi" w:cstheme="majorHAnsi"/>
              </w:rPr>
              <w:t>Mason, M.;</w:t>
            </w:r>
            <w:r>
              <w:rPr>
                <w:rFonts w:asciiTheme="majorHAnsi" w:hAnsiTheme="majorHAnsi" w:cstheme="majorHAnsi"/>
              </w:rPr>
              <w:t xml:space="preserve"> </w:t>
            </w:r>
            <w:r w:rsidRPr="009176BC">
              <w:rPr>
                <w:rFonts w:asciiTheme="majorHAnsi" w:hAnsiTheme="majorHAnsi" w:cstheme="majorHAnsi"/>
              </w:rPr>
              <w:t>Welter, C.</w:t>
            </w:r>
          </w:p>
        </w:tc>
        <w:tc>
          <w:tcPr>
            <w:tcW w:w="663" w:type="dxa"/>
            <w:shd w:val="clear" w:color="auto" w:fill="auto"/>
            <w:noWrap/>
          </w:tcPr>
          <w:p w14:paraId="3F487DB4"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2016</w:t>
            </w:r>
          </w:p>
        </w:tc>
        <w:tc>
          <w:tcPr>
            <w:tcW w:w="3740" w:type="dxa"/>
            <w:shd w:val="clear" w:color="auto" w:fill="auto"/>
          </w:tcPr>
          <w:p w14:paraId="5B0B2EB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Training local organizations to support healthy food access: Results from a year-long project</w:t>
            </w:r>
          </w:p>
        </w:tc>
        <w:tc>
          <w:tcPr>
            <w:tcW w:w="1224" w:type="dxa"/>
            <w:shd w:val="clear" w:color="auto" w:fill="auto"/>
          </w:tcPr>
          <w:p w14:paraId="570D0C6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2AA0F1E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Food Access Initiative</w:t>
            </w:r>
          </w:p>
        </w:tc>
        <w:tc>
          <w:tcPr>
            <w:tcW w:w="1833" w:type="dxa"/>
            <w:shd w:val="clear" w:color="auto" w:fill="auto"/>
          </w:tcPr>
          <w:p w14:paraId="7B6C1C4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7D84C97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6A31008A"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4</w:t>
            </w:r>
          </w:p>
        </w:tc>
      </w:tr>
      <w:tr w:rsidR="00F00E3D" w:rsidRPr="009176BC" w14:paraId="346264AC" w14:textId="77777777" w:rsidTr="009B2FA7">
        <w:trPr>
          <w:trHeight w:val="20"/>
        </w:trPr>
        <w:tc>
          <w:tcPr>
            <w:tcW w:w="1800" w:type="dxa"/>
            <w:shd w:val="clear" w:color="auto" w:fill="auto"/>
            <w:noWrap/>
          </w:tcPr>
          <w:p w14:paraId="013606D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0B1942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Johnstone, P. W.</w:t>
            </w:r>
          </w:p>
        </w:tc>
        <w:tc>
          <w:tcPr>
            <w:tcW w:w="663" w:type="dxa"/>
            <w:shd w:val="clear" w:color="auto" w:fill="auto"/>
            <w:noWrap/>
          </w:tcPr>
          <w:p w14:paraId="078DE73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2019</w:t>
            </w:r>
          </w:p>
        </w:tc>
        <w:tc>
          <w:tcPr>
            <w:tcW w:w="3740" w:type="dxa"/>
            <w:shd w:val="clear" w:color="auto" w:fill="auto"/>
          </w:tcPr>
          <w:p w14:paraId="69EC647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 case study of new approaches to address health inequalities: Due North five years on</w:t>
            </w:r>
          </w:p>
        </w:tc>
        <w:tc>
          <w:tcPr>
            <w:tcW w:w="1224" w:type="dxa"/>
            <w:shd w:val="clear" w:color="auto" w:fill="auto"/>
          </w:tcPr>
          <w:p w14:paraId="2CD7EB6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726DFA3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Policy</w:t>
            </w:r>
          </w:p>
        </w:tc>
        <w:tc>
          <w:tcPr>
            <w:tcW w:w="1833" w:type="dxa"/>
            <w:shd w:val="clear" w:color="auto" w:fill="auto"/>
          </w:tcPr>
          <w:p w14:paraId="00244A1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0B3A82C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w:t>
            </w:r>
          </w:p>
        </w:tc>
        <w:tc>
          <w:tcPr>
            <w:tcW w:w="1026" w:type="dxa"/>
            <w:shd w:val="clear" w:color="auto" w:fill="auto"/>
            <w:noWrap/>
          </w:tcPr>
          <w:p w14:paraId="5EB72DB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0</w:t>
            </w:r>
          </w:p>
        </w:tc>
      </w:tr>
      <w:tr w:rsidR="00F00E3D" w:rsidRPr="009176BC" w14:paraId="0D944BB7" w14:textId="77777777" w:rsidTr="009B2FA7">
        <w:trPr>
          <w:trHeight w:val="20"/>
        </w:trPr>
        <w:tc>
          <w:tcPr>
            <w:tcW w:w="1800" w:type="dxa"/>
            <w:shd w:val="clear" w:color="auto" w:fill="auto"/>
            <w:noWrap/>
          </w:tcPr>
          <w:p w14:paraId="3DBCEDC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3FBD11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Jutte, D. P.;</w:t>
            </w:r>
            <w:r>
              <w:rPr>
                <w:rFonts w:asciiTheme="majorHAnsi" w:hAnsiTheme="majorHAnsi" w:cstheme="majorHAnsi"/>
              </w:rPr>
              <w:t xml:space="preserve"> </w:t>
            </w:r>
            <w:r w:rsidRPr="009176BC">
              <w:rPr>
                <w:rFonts w:asciiTheme="majorHAnsi" w:hAnsiTheme="majorHAnsi" w:cstheme="majorHAnsi"/>
              </w:rPr>
              <w:t>Miller, J. L.;</w:t>
            </w:r>
            <w:r>
              <w:rPr>
                <w:rFonts w:asciiTheme="majorHAnsi" w:hAnsiTheme="majorHAnsi" w:cstheme="majorHAnsi"/>
              </w:rPr>
              <w:t xml:space="preserve"> </w:t>
            </w:r>
            <w:r w:rsidRPr="009176BC">
              <w:rPr>
                <w:rFonts w:asciiTheme="majorHAnsi" w:hAnsiTheme="majorHAnsi" w:cstheme="majorHAnsi"/>
              </w:rPr>
              <w:t>Erickson, D. J.</w:t>
            </w:r>
          </w:p>
        </w:tc>
        <w:tc>
          <w:tcPr>
            <w:tcW w:w="663" w:type="dxa"/>
            <w:shd w:val="clear" w:color="auto" w:fill="auto"/>
            <w:noWrap/>
          </w:tcPr>
          <w:p w14:paraId="3E90AC8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2015</w:t>
            </w:r>
          </w:p>
        </w:tc>
        <w:tc>
          <w:tcPr>
            <w:tcW w:w="3740" w:type="dxa"/>
            <w:shd w:val="clear" w:color="auto" w:fill="auto"/>
          </w:tcPr>
          <w:p w14:paraId="4F38979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Neighborhood adversity, child health, and the role for community development</w:t>
            </w:r>
          </w:p>
        </w:tc>
        <w:tc>
          <w:tcPr>
            <w:tcW w:w="1224" w:type="dxa"/>
            <w:shd w:val="clear" w:color="auto" w:fill="auto"/>
          </w:tcPr>
          <w:p w14:paraId="491BFA5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51605CF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Development</w:t>
            </w:r>
          </w:p>
        </w:tc>
        <w:tc>
          <w:tcPr>
            <w:tcW w:w="1833" w:type="dxa"/>
            <w:shd w:val="clear" w:color="auto" w:fill="auto"/>
          </w:tcPr>
          <w:p w14:paraId="78DC06E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2C0210E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664F5C4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27</w:t>
            </w:r>
          </w:p>
        </w:tc>
      </w:tr>
      <w:tr w:rsidR="00F00E3D" w:rsidRPr="009176BC" w14:paraId="3B176B36" w14:textId="77777777" w:rsidTr="009B2FA7">
        <w:trPr>
          <w:trHeight w:val="20"/>
        </w:trPr>
        <w:tc>
          <w:tcPr>
            <w:tcW w:w="1800" w:type="dxa"/>
            <w:shd w:val="clear" w:color="auto" w:fill="auto"/>
            <w:noWrap/>
          </w:tcPr>
          <w:p w14:paraId="0D29743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0A5D09F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Marinescu, L. G.;</w:t>
            </w:r>
            <w:r>
              <w:rPr>
                <w:rFonts w:asciiTheme="majorHAnsi" w:hAnsiTheme="majorHAnsi" w:cstheme="majorHAnsi"/>
              </w:rPr>
              <w:t xml:space="preserve"> </w:t>
            </w:r>
            <w:r w:rsidRPr="009176BC">
              <w:rPr>
                <w:rFonts w:asciiTheme="majorHAnsi" w:hAnsiTheme="majorHAnsi" w:cstheme="majorHAnsi"/>
              </w:rPr>
              <w:t>Sharify, D.;</w:t>
            </w:r>
            <w:r>
              <w:rPr>
                <w:rFonts w:asciiTheme="majorHAnsi" w:hAnsiTheme="majorHAnsi" w:cstheme="majorHAnsi"/>
              </w:rPr>
              <w:t xml:space="preserve"> </w:t>
            </w:r>
            <w:r w:rsidRPr="009176BC">
              <w:rPr>
                <w:rFonts w:asciiTheme="majorHAnsi" w:hAnsiTheme="majorHAnsi" w:cstheme="majorHAnsi"/>
              </w:rPr>
              <w:t>Krieger, J.;</w:t>
            </w:r>
            <w:r>
              <w:rPr>
                <w:rFonts w:asciiTheme="majorHAnsi" w:hAnsiTheme="majorHAnsi" w:cstheme="majorHAnsi"/>
              </w:rPr>
              <w:t xml:space="preserve"> </w:t>
            </w:r>
            <w:r w:rsidRPr="009176BC">
              <w:rPr>
                <w:rFonts w:asciiTheme="majorHAnsi" w:hAnsiTheme="majorHAnsi" w:cstheme="majorHAnsi"/>
              </w:rPr>
              <w:t>Saelens, B. E.;</w:t>
            </w:r>
            <w:r>
              <w:rPr>
                <w:rFonts w:asciiTheme="majorHAnsi" w:hAnsiTheme="majorHAnsi" w:cstheme="majorHAnsi"/>
              </w:rPr>
              <w:t xml:space="preserve"> </w:t>
            </w:r>
            <w:r w:rsidRPr="009176BC">
              <w:rPr>
                <w:rFonts w:asciiTheme="majorHAnsi" w:hAnsiTheme="majorHAnsi" w:cstheme="majorHAnsi"/>
              </w:rPr>
              <w:t>Calleja, J.;</w:t>
            </w:r>
            <w:r>
              <w:rPr>
                <w:rFonts w:asciiTheme="majorHAnsi" w:hAnsiTheme="majorHAnsi" w:cstheme="majorHAnsi"/>
              </w:rPr>
              <w:t xml:space="preserve"> </w:t>
            </w:r>
            <w:r w:rsidRPr="009176BC">
              <w:rPr>
                <w:rFonts w:asciiTheme="majorHAnsi" w:hAnsiTheme="majorHAnsi" w:cstheme="majorHAnsi"/>
              </w:rPr>
              <w:t>Aden, A.</w:t>
            </w:r>
          </w:p>
        </w:tc>
        <w:tc>
          <w:tcPr>
            <w:tcW w:w="663" w:type="dxa"/>
            <w:shd w:val="clear" w:color="auto" w:fill="auto"/>
            <w:noWrap/>
          </w:tcPr>
          <w:p w14:paraId="2E537530"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2013</w:t>
            </w:r>
          </w:p>
        </w:tc>
        <w:tc>
          <w:tcPr>
            <w:tcW w:w="3740" w:type="dxa"/>
            <w:shd w:val="clear" w:color="auto" w:fill="auto"/>
          </w:tcPr>
          <w:p w14:paraId="52C377F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Be active together: Supporting physical activity in public housing communities through women-only programs</w:t>
            </w:r>
          </w:p>
        </w:tc>
        <w:tc>
          <w:tcPr>
            <w:tcW w:w="1224" w:type="dxa"/>
            <w:shd w:val="clear" w:color="auto" w:fill="auto"/>
          </w:tcPr>
          <w:p w14:paraId="2FDE548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7F5D033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Physical Activity Program</w:t>
            </w:r>
          </w:p>
        </w:tc>
        <w:tc>
          <w:tcPr>
            <w:tcW w:w="1833" w:type="dxa"/>
            <w:shd w:val="clear" w:color="auto" w:fill="auto"/>
          </w:tcPr>
          <w:p w14:paraId="2E528A0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2F8668B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526D02F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14</w:t>
            </w:r>
          </w:p>
        </w:tc>
      </w:tr>
      <w:tr w:rsidR="00F00E3D" w:rsidRPr="009176BC" w14:paraId="4163E6D2" w14:textId="77777777" w:rsidTr="009B2FA7">
        <w:trPr>
          <w:trHeight w:val="20"/>
        </w:trPr>
        <w:tc>
          <w:tcPr>
            <w:tcW w:w="1800" w:type="dxa"/>
            <w:shd w:val="clear" w:color="auto" w:fill="auto"/>
            <w:noWrap/>
          </w:tcPr>
          <w:p w14:paraId="0C78DA4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35A793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McCabe, A.;</w:t>
            </w:r>
            <w:r>
              <w:rPr>
                <w:rFonts w:asciiTheme="majorHAnsi" w:hAnsiTheme="majorHAnsi" w:cstheme="majorHAnsi"/>
              </w:rPr>
              <w:t xml:space="preserve"> </w:t>
            </w:r>
            <w:r w:rsidRPr="009176BC">
              <w:rPr>
                <w:rFonts w:asciiTheme="majorHAnsi" w:hAnsiTheme="majorHAnsi" w:cstheme="majorHAnsi"/>
              </w:rPr>
              <w:t>Davis, A.</w:t>
            </w:r>
          </w:p>
        </w:tc>
        <w:tc>
          <w:tcPr>
            <w:tcW w:w="663" w:type="dxa"/>
            <w:shd w:val="clear" w:color="auto" w:fill="auto"/>
            <w:noWrap/>
          </w:tcPr>
          <w:p w14:paraId="10E9C96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2012</w:t>
            </w:r>
          </w:p>
        </w:tc>
        <w:tc>
          <w:tcPr>
            <w:tcW w:w="3740" w:type="dxa"/>
            <w:shd w:val="clear" w:color="auto" w:fill="auto"/>
          </w:tcPr>
          <w:p w14:paraId="73E0C07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development as mental health promotion: Principles, practice and outcomes</w:t>
            </w:r>
          </w:p>
        </w:tc>
        <w:tc>
          <w:tcPr>
            <w:tcW w:w="1224" w:type="dxa"/>
            <w:shd w:val="clear" w:color="auto" w:fill="auto"/>
          </w:tcPr>
          <w:p w14:paraId="1043C68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13251A3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Development</w:t>
            </w:r>
          </w:p>
        </w:tc>
        <w:tc>
          <w:tcPr>
            <w:tcW w:w="1833" w:type="dxa"/>
            <w:shd w:val="clear" w:color="auto" w:fill="auto"/>
          </w:tcPr>
          <w:p w14:paraId="116B87A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653FB2B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w:t>
            </w:r>
          </w:p>
        </w:tc>
        <w:tc>
          <w:tcPr>
            <w:tcW w:w="1026" w:type="dxa"/>
            <w:shd w:val="clear" w:color="auto" w:fill="auto"/>
            <w:noWrap/>
          </w:tcPr>
          <w:p w14:paraId="57B7CDE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11</w:t>
            </w:r>
          </w:p>
        </w:tc>
      </w:tr>
      <w:tr w:rsidR="00F00E3D" w:rsidRPr="009176BC" w14:paraId="52E40FAA" w14:textId="77777777" w:rsidTr="009B2FA7">
        <w:trPr>
          <w:trHeight w:val="20"/>
        </w:trPr>
        <w:tc>
          <w:tcPr>
            <w:tcW w:w="1800" w:type="dxa"/>
            <w:shd w:val="clear" w:color="auto" w:fill="auto"/>
            <w:noWrap/>
          </w:tcPr>
          <w:p w14:paraId="309AEB7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4247302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Mmako, N. J.;</w:t>
            </w:r>
            <w:r>
              <w:rPr>
                <w:rFonts w:asciiTheme="majorHAnsi" w:hAnsiTheme="majorHAnsi" w:cstheme="majorHAnsi"/>
              </w:rPr>
              <w:t xml:space="preserve"> </w:t>
            </w:r>
            <w:r w:rsidRPr="009176BC">
              <w:rPr>
                <w:rFonts w:asciiTheme="majorHAnsi" w:hAnsiTheme="majorHAnsi" w:cstheme="majorHAnsi"/>
              </w:rPr>
              <w:t>Capetola, T.;</w:t>
            </w:r>
            <w:r>
              <w:rPr>
                <w:rFonts w:asciiTheme="majorHAnsi" w:hAnsiTheme="majorHAnsi" w:cstheme="majorHAnsi"/>
              </w:rPr>
              <w:t xml:space="preserve"> </w:t>
            </w:r>
            <w:r w:rsidRPr="009176BC">
              <w:rPr>
                <w:rFonts w:asciiTheme="majorHAnsi" w:hAnsiTheme="majorHAnsi" w:cstheme="majorHAnsi"/>
              </w:rPr>
              <w:t>Henderson-Wilson, C.</w:t>
            </w:r>
          </w:p>
        </w:tc>
        <w:tc>
          <w:tcPr>
            <w:tcW w:w="663" w:type="dxa"/>
            <w:shd w:val="clear" w:color="auto" w:fill="auto"/>
            <w:noWrap/>
          </w:tcPr>
          <w:p w14:paraId="400E594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2019</w:t>
            </w:r>
          </w:p>
        </w:tc>
        <w:tc>
          <w:tcPr>
            <w:tcW w:w="3740" w:type="dxa"/>
            <w:shd w:val="clear" w:color="auto" w:fill="auto"/>
          </w:tcPr>
          <w:p w14:paraId="0183B2D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Sowing social inclusion for marginalised residents of a social housing development through a community garden</w:t>
            </w:r>
          </w:p>
        </w:tc>
        <w:tc>
          <w:tcPr>
            <w:tcW w:w="1224" w:type="dxa"/>
            <w:shd w:val="clear" w:color="auto" w:fill="auto"/>
          </w:tcPr>
          <w:p w14:paraId="3471995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0515266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Garden</w:t>
            </w:r>
          </w:p>
        </w:tc>
        <w:tc>
          <w:tcPr>
            <w:tcW w:w="1833" w:type="dxa"/>
            <w:shd w:val="clear" w:color="auto" w:fill="auto"/>
          </w:tcPr>
          <w:p w14:paraId="17701E4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4346FAA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Canada</w:t>
            </w:r>
          </w:p>
        </w:tc>
        <w:tc>
          <w:tcPr>
            <w:tcW w:w="1026" w:type="dxa"/>
            <w:shd w:val="clear" w:color="auto" w:fill="auto"/>
            <w:noWrap/>
          </w:tcPr>
          <w:p w14:paraId="150A9ADF"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w:t>
            </w:r>
          </w:p>
        </w:tc>
      </w:tr>
      <w:tr w:rsidR="00F00E3D" w:rsidRPr="009176BC" w14:paraId="42B6EC56" w14:textId="77777777" w:rsidTr="009B2FA7">
        <w:trPr>
          <w:trHeight w:val="20"/>
        </w:trPr>
        <w:tc>
          <w:tcPr>
            <w:tcW w:w="1800" w:type="dxa"/>
            <w:shd w:val="clear" w:color="auto" w:fill="auto"/>
            <w:noWrap/>
          </w:tcPr>
          <w:p w14:paraId="1239BE8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4C4E3B3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O'Mara-Eves, A.;</w:t>
            </w:r>
            <w:r>
              <w:rPr>
                <w:rFonts w:asciiTheme="majorHAnsi" w:hAnsiTheme="majorHAnsi" w:cstheme="majorHAnsi"/>
              </w:rPr>
              <w:t xml:space="preserve"> </w:t>
            </w:r>
            <w:r w:rsidRPr="009176BC">
              <w:rPr>
                <w:rFonts w:asciiTheme="majorHAnsi" w:hAnsiTheme="majorHAnsi" w:cstheme="majorHAnsi"/>
              </w:rPr>
              <w:t>Brunton, G.;</w:t>
            </w:r>
            <w:r>
              <w:rPr>
                <w:rFonts w:asciiTheme="majorHAnsi" w:hAnsiTheme="majorHAnsi" w:cstheme="majorHAnsi"/>
              </w:rPr>
              <w:t xml:space="preserve"> </w:t>
            </w:r>
            <w:r w:rsidRPr="009176BC">
              <w:rPr>
                <w:rFonts w:asciiTheme="majorHAnsi" w:hAnsiTheme="majorHAnsi" w:cstheme="majorHAnsi"/>
              </w:rPr>
              <w:t>Oliver, S.;</w:t>
            </w:r>
            <w:r>
              <w:rPr>
                <w:rFonts w:asciiTheme="majorHAnsi" w:hAnsiTheme="majorHAnsi" w:cstheme="majorHAnsi"/>
              </w:rPr>
              <w:t xml:space="preserve"> </w:t>
            </w:r>
            <w:r w:rsidRPr="009176BC">
              <w:rPr>
                <w:rFonts w:asciiTheme="majorHAnsi" w:hAnsiTheme="majorHAnsi" w:cstheme="majorHAnsi"/>
              </w:rPr>
              <w:t>Kavanagh, J.;</w:t>
            </w:r>
            <w:r>
              <w:rPr>
                <w:rFonts w:asciiTheme="majorHAnsi" w:hAnsiTheme="majorHAnsi" w:cstheme="majorHAnsi"/>
              </w:rPr>
              <w:t xml:space="preserve"> </w:t>
            </w:r>
            <w:r w:rsidRPr="009176BC">
              <w:rPr>
                <w:rFonts w:asciiTheme="majorHAnsi" w:hAnsiTheme="majorHAnsi" w:cstheme="majorHAnsi"/>
              </w:rPr>
              <w:t>Jamal, F.;</w:t>
            </w:r>
            <w:r>
              <w:rPr>
                <w:rFonts w:asciiTheme="majorHAnsi" w:hAnsiTheme="majorHAnsi" w:cstheme="majorHAnsi"/>
              </w:rPr>
              <w:t xml:space="preserve"> </w:t>
            </w:r>
            <w:r w:rsidRPr="009176BC">
              <w:rPr>
                <w:rFonts w:asciiTheme="majorHAnsi" w:hAnsiTheme="majorHAnsi" w:cstheme="majorHAnsi"/>
              </w:rPr>
              <w:t>Thomas, J.</w:t>
            </w:r>
          </w:p>
        </w:tc>
        <w:tc>
          <w:tcPr>
            <w:tcW w:w="663" w:type="dxa"/>
            <w:shd w:val="clear" w:color="auto" w:fill="auto"/>
            <w:noWrap/>
          </w:tcPr>
          <w:p w14:paraId="7042C3CF"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2015</w:t>
            </w:r>
          </w:p>
        </w:tc>
        <w:tc>
          <w:tcPr>
            <w:tcW w:w="3740" w:type="dxa"/>
            <w:shd w:val="clear" w:color="auto" w:fill="auto"/>
          </w:tcPr>
          <w:p w14:paraId="4C5ECEB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The effectiveness of community engagement in public health interventions for disadvantaged groups: A meta-analysis</w:t>
            </w:r>
          </w:p>
        </w:tc>
        <w:tc>
          <w:tcPr>
            <w:tcW w:w="1224" w:type="dxa"/>
            <w:shd w:val="clear" w:color="auto" w:fill="auto"/>
          </w:tcPr>
          <w:p w14:paraId="6C2C24C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748AF2C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Engagement</w:t>
            </w:r>
          </w:p>
        </w:tc>
        <w:tc>
          <w:tcPr>
            <w:tcW w:w="1833" w:type="dxa"/>
            <w:shd w:val="clear" w:color="auto" w:fill="auto"/>
          </w:tcPr>
          <w:p w14:paraId="118FACA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 - Systematic Review</w:t>
            </w:r>
          </w:p>
        </w:tc>
        <w:tc>
          <w:tcPr>
            <w:tcW w:w="1303" w:type="dxa"/>
            <w:shd w:val="clear" w:color="auto" w:fill="auto"/>
            <w:noWrap/>
          </w:tcPr>
          <w:p w14:paraId="4FDF7B1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OECD Countries</w:t>
            </w:r>
          </w:p>
        </w:tc>
        <w:tc>
          <w:tcPr>
            <w:tcW w:w="1026" w:type="dxa"/>
            <w:shd w:val="clear" w:color="auto" w:fill="auto"/>
            <w:noWrap/>
          </w:tcPr>
          <w:p w14:paraId="4B818422"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101</w:t>
            </w:r>
          </w:p>
        </w:tc>
      </w:tr>
      <w:tr w:rsidR="00F00E3D" w:rsidRPr="009176BC" w14:paraId="63C2675C" w14:textId="77777777" w:rsidTr="009B2FA7">
        <w:trPr>
          <w:trHeight w:val="20"/>
        </w:trPr>
        <w:tc>
          <w:tcPr>
            <w:tcW w:w="1800" w:type="dxa"/>
            <w:shd w:val="clear" w:color="auto" w:fill="auto"/>
            <w:noWrap/>
          </w:tcPr>
          <w:p w14:paraId="7E956CD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457E616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Phillips, G.;</w:t>
            </w:r>
            <w:r>
              <w:rPr>
                <w:rFonts w:asciiTheme="majorHAnsi" w:hAnsiTheme="majorHAnsi" w:cstheme="majorHAnsi"/>
              </w:rPr>
              <w:t xml:space="preserve"> </w:t>
            </w:r>
            <w:r w:rsidRPr="009176BC">
              <w:rPr>
                <w:rFonts w:asciiTheme="majorHAnsi" w:hAnsiTheme="majorHAnsi" w:cstheme="majorHAnsi"/>
              </w:rPr>
              <w:t>Renton, A.;</w:t>
            </w:r>
            <w:r>
              <w:rPr>
                <w:rFonts w:asciiTheme="majorHAnsi" w:hAnsiTheme="majorHAnsi" w:cstheme="majorHAnsi"/>
              </w:rPr>
              <w:t xml:space="preserve"> </w:t>
            </w:r>
            <w:r w:rsidRPr="009176BC">
              <w:rPr>
                <w:rFonts w:asciiTheme="majorHAnsi" w:hAnsiTheme="majorHAnsi" w:cstheme="majorHAnsi"/>
              </w:rPr>
              <w:lastRenderedPageBreak/>
              <w:t>Moore, D. G.;</w:t>
            </w:r>
            <w:r>
              <w:rPr>
                <w:rFonts w:asciiTheme="majorHAnsi" w:hAnsiTheme="majorHAnsi" w:cstheme="majorHAnsi"/>
              </w:rPr>
              <w:t xml:space="preserve"> </w:t>
            </w:r>
            <w:r w:rsidRPr="009176BC">
              <w:rPr>
                <w:rFonts w:asciiTheme="majorHAnsi" w:hAnsiTheme="majorHAnsi" w:cstheme="majorHAnsi"/>
              </w:rPr>
              <w:t>Bottomley, C.;</w:t>
            </w:r>
            <w:r>
              <w:rPr>
                <w:rFonts w:asciiTheme="majorHAnsi" w:hAnsiTheme="majorHAnsi" w:cstheme="majorHAnsi"/>
              </w:rPr>
              <w:t xml:space="preserve"> </w:t>
            </w:r>
            <w:r w:rsidRPr="009176BC">
              <w:rPr>
                <w:rFonts w:asciiTheme="majorHAnsi" w:hAnsiTheme="majorHAnsi" w:cstheme="majorHAnsi"/>
              </w:rPr>
              <w:t>Schmidt, E.;</w:t>
            </w:r>
            <w:r>
              <w:rPr>
                <w:rFonts w:asciiTheme="majorHAnsi" w:hAnsiTheme="majorHAnsi" w:cstheme="majorHAnsi"/>
              </w:rPr>
              <w:t xml:space="preserve"> </w:t>
            </w:r>
            <w:r w:rsidRPr="009176BC">
              <w:rPr>
                <w:rFonts w:asciiTheme="majorHAnsi" w:hAnsiTheme="majorHAnsi" w:cstheme="majorHAnsi"/>
              </w:rPr>
              <w:t>Lais, S.;</w:t>
            </w:r>
            <w:r>
              <w:rPr>
                <w:rFonts w:asciiTheme="majorHAnsi" w:hAnsiTheme="majorHAnsi" w:cstheme="majorHAnsi"/>
              </w:rPr>
              <w:t xml:space="preserve"> </w:t>
            </w:r>
            <w:r w:rsidRPr="009176BC">
              <w:rPr>
                <w:rFonts w:asciiTheme="majorHAnsi" w:hAnsiTheme="majorHAnsi" w:cstheme="majorHAnsi"/>
              </w:rPr>
              <w:t>Yu, G.;</w:t>
            </w:r>
            <w:r>
              <w:rPr>
                <w:rFonts w:asciiTheme="majorHAnsi" w:hAnsiTheme="majorHAnsi" w:cstheme="majorHAnsi"/>
              </w:rPr>
              <w:t xml:space="preserve"> </w:t>
            </w:r>
            <w:r w:rsidRPr="009176BC">
              <w:rPr>
                <w:rFonts w:asciiTheme="majorHAnsi" w:hAnsiTheme="majorHAnsi" w:cstheme="majorHAnsi"/>
              </w:rPr>
              <w:t>Wall, M.;</w:t>
            </w:r>
            <w:r>
              <w:rPr>
                <w:rFonts w:asciiTheme="majorHAnsi" w:hAnsiTheme="majorHAnsi" w:cstheme="majorHAnsi"/>
              </w:rPr>
              <w:t xml:space="preserve"> </w:t>
            </w:r>
            <w:r w:rsidRPr="009176BC">
              <w:rPr>
                <w:rFonts w:asciiTheme="majorHAnsi" w:hAnsiTheme="majorHAnsi" w:cstheme="majorHAnsi"/>
              </w:rPr>
              <w:t>Tobi, P.;</w:t>
            </w:r>
            <w:r>
              <w:rPr>
                <w:rFonts w:asciiTheme="majorHAnsi" w:hAnsiTheme="majorHAnsi" w:cstheme="majorHAnsi"/>
              </w:rPr>
              <w:t xml:space="preserve"> </w:t>
            </w:r>
            <w:r w:rsidRPr="009176BC">
              <w:rPr>
                <w:rFonts w:asciiTheme="majorHAnsi" w:hAnsiTheme="majorHAnsi" w:cstheme="majorHAnsi"/>
              </w:rPr>
              <w:t>Frostick, C.;</w:t>
            </w:r>
            <w:r>
              <w:rPr>
                <w:rFonts w:asciiTheme="majorHAnsi" w:hAnsiTheme="majorHAnsi" w:cstheme="majorHAnsi"/>
              </w:rPr>
              <w:t xml:space="preserve"> </w:t>
            </w:r>
            <w:r w:rsidRPr="009176BC">
              <w:rPr>
                <w:rFonts w:asciiTheme="majorHAnsi" w:hAnsiTheme="majorHAnsi" w:cstheme="majorHAnsi"/>
              </w:rPr>
              <w:t>Clow, A.;</w:t>
            </w:r>
            <w:r>
              <w:rPr>
                <w:rFonts w:asciiTheme="majorHAnsi" w:hAnsiTheme="majorHAnsi" w:cstheme="majorHAnsi"/>
              </w:rPr>
              <w:t xml:space="preserve"> </w:t>
            </w:r>
            <w:r w:rsidRPr="009176BC">
              <w:rPr>
                <w:rFonts w:asciiTheme="majorHAnsi" w:hAnsiTheme="majorHAnsi" w:cstheme="majorHAnsi"/>
              </w:rPr>
              <w:t>Lock, K.;</w:t>
            </w:r>
            <w:r>
              <w:rPr>
                <w:rFonts w:asciiTheme="majorHAnsi" w:hAnsiTheme="majorHAnsi" w:cstheme="majorHAnsi"/>
              </w:rPr>
              <w:t xml:space="preserve"> </w:t>
            </w:r>
            <w:r w:rsidRPr="009176BC">
              <w:rPr>
                <w:rFonts w:asciiTheme="majorHAnsi" w:hAnsiTheme="majorHAnsi" w:cstheme="majorHAnsi"/>
              </w:rPr>
              <w:t>Petticrew, M.;</w:t>
            </w:r>
            <w:r>
              <w:rPr>
                <w:rFonts w:asciiTheme="majorHAnsi" w:hAnsiTheme="majorHAnsi" w:cstheme="majorHAnsi"/>
              </w:rPr>
              <w:t xml:space="preserve"> </w:t>
            </w:r>
            <w:r w:rsidRPr="009176BC">
              <w:rPr>
                <w:rFonts w:asciiTheme="majorHAnsi" w:hAnsiTheme="majorHAnsi" w:cstheme="majorHAnsi"/>
              </w:rPr>
              <w:t>Hayes, R.</w:t>
            </w:r>
          </w:p>
        </w:tc>
        <w:tc>
          <w:tcPr>
            <w:tcW w:w="663" w:type="dxa"/>
            <w:shd w:val="clear" w:color="auto" w:fill="auto"/>
            <w:noWrap/>
          </w:tcPr>
          <w:p w14:paraId="1C6AB343"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lastRenderedPageBreak/>
              <w:t>2012</w:t>
            </w:r>
          </w:p>
        </w:tc>
        <w:tc>
          <w:tcPr>
            <w:tcW w:w="3740" w:type="dxa"/>
            <w:shd w:val="clear" w:color="auto" w:fill="auto"/>
          </w:tcPr>
          <w:p w14:paraId="446BCFD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The Well London program - a cluster randomized trial of community </w:t>
            </w:r>
            <w:r w:rsidRPr="009176BC">
              <w:rPr>
                <w:rFonts w:asciiTheme="majorHAnsi" w:hAnsiTheme="majorHAnsi" w:cstheme="majorHAnsi"/>
              </w:rPr>
              <w:lastRenderedPageBreak/>
              <w:t>engagement for improving health behaviors and mental wellbeing: baseline survey results</w:t>
            </w:r>
          </w:p>
        </w:tc>
        <w:tc>
          <w:tcPr>
            <w:tcW w:w="1224" w:type="dxa"/>
            <w:shd w:val="clear" w:color="auto" w:fill="auto"/>
          </w:tcPr>
          <w:p w14:paraId="7710E49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lastRenderedPageBreak/>
              <w:t>Health &amp; Wellbeing</w:t>
            </w:r>
          </w:p>
        </w:tc>
        <w:tc>
          <w:tcPr>
            <w:tcW w:w="1609" w:type="dxa"/>
            <w:shd w:val="clear" w:color="auto" w:fill="auto"/>
          </w:tcPr>
          <w:p w14:paraId="5E1E2FE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Engagement</w:t>
            </w:r>
          </w:p>
        </w:tc>
        <w:tc>
          <w:tcPr>
            <w:tcW w:w="1833" w:type="dxa"/>
            <w:shd w:val="clear" w:color="auto" w:fill="auto"/>
          </w:tcPr>
          <w:p w14:paraId="4720697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417BBF9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w:t>
            </w:r>
          </w:p>
        </w:tc>
        <w:tc>
          <w:tcPr>
            <w:tcW w:w="1026" w:type="dxa"/>
            <w:shd w:val="clear" w:color="auto" w:fill="auto"/>
            <w:noWrap/>
          </w:tcPr>
          <w:p w14:paraId="437111B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17</w:t>
            </w:r>
          </w:p>
        </w:tc>
      </w:tr>
      <w:tr w:rsidR="00F00E3D" w:rsidRPr="009176BC" w14:paraId="410AB54E" w14:textId="77777777" w:rsidTr="009B2FA7">
        <w:trPr>
          <w:trHeight w:val="20"/>
        </w:trPr>
        <w:tc>
          <w:tcPr>
            <w:tcW w:w="1800" w:type="dxa"/>
            <w:shd w:val="clear" w:color="auto" w:fill="auto"/>
            <w:noWrap/>
          </w:tcPr>
          <w:p w14:paraId="34041D3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CE2D82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Quinn, N.;</w:t>
            </w:r>
            <w:r>
              <w:rPr>
                <w:rFonts w:asciiTheme="majorHAnsi" w:hAnsiTheme="majorHAnsi" w:cstheme="majorHAnsi"/>
              </w:rPr>
              <w:t xml:space="preserve"> </w:t>
            </w:r>
            <w:r w:rsidRPr="009176BC">
              <w:rPr>
                <w:rFonts w:asciiTheme="majorHAnsi" w:hAnsiTheme="majorHAnsi" w:cstheme="majorHAnsi"/>
              </w:rPr>
              <w:t>Knifton, L.</w:t>
            </w:r>
          </w:p>
        </w:tc>
        <w:tc>
          <w:tcPr>
            <w:tcW w:w="663" w:type="dxa"/>
            <w:shd w:val="clear" w:color="auto" w:fill="auto"/>
            <w:noWrap/>
          </w:tcPr>
          <w:p w14:paraId="458AF09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2012</w:t>
            </w:r>
          </w:p>
        </w:tc>
        <w:tc>
          <w:tcPr>
            <w:tcW w:w="3740" w:type="dxa"/>
            <w:shd w:val="clear" w:color="auto" w:fill="auto"/>
          </w:tcPr>
          <w:p w14:paraId="7E3D837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Positive mental attitudes: How community development principles have shaped a ten-year mental health inequalities programme in Scotland</w:t>
            </w:r>
          </w:p>
        </w:tc>
        <w:tc>
          <w:tcPr>
            <w:tcW w:w="1224" w:type="dxa"/>
            <w:shd w:val="clear" w:color="auto" w:fill="auto"/>
          </w:tcPr>
          <w:p w14:paraId="18E92A3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4404A26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Development</w:t>
            </w:r>
          </w:p>
        </w:tc>
        <w:tc>
          <w:tcPr>
            <w:tcW w:w="1833" w:type="dxa"/>
            <w:shd w:val="clear" w:color="auto" w:fill="auto"/>
          </w:tcPr>
          <w:p w14:paraId="00D6DB8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4DB1886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w:t>
            </w:r>
          </w:p>
        </w:tc>
        <w:tc>
          <w:tcPr>
            <w:tcW w:w="1026" w:type="dxa"/>
            <w:shd w:val="clear" w:color="auto" w:fill="auto"/>
            <w:noWrap/>
          </w:tcPr>
          <w:p w14:paraId="2ECB1C55"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4</w:t>
            </w:r>
          </w:p>
        </w:tc>
      </w:tr>
      <w:tr w:rsidR="00F00E3D" w:rsidRPr="009176BC" w14:paraId="72199E80" w14:textId="77777777" w:rsidTr="009B2FA7">
        <w:trPr>
          <w:trHeight w:val="20"/>
        </w:trPr>
        <w:tc>
          <w:tcPr>
            <w:tcW w:w="1800" w:type="dxa"/>
            <w:shd w:val="clear" w:color="auto" w:fill="auto"/>
            <w:noWrap/>
          </w:tcPr>
          <w:p w14:paraId="52DA55A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D153CE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Robinson, T.;</w:t>
            </w:r>
            <w:r>
              <w:rPr>
                <w:rFonts w:asciiTheme="majorHAnsi" w:hAnsiTheme="majorHAnsi" w:cstheme="majorHAnsi"/>
              </w:rPr>
              <w:t xml:space="preserve"> </w:t>
            </w:r>
            <w:r w:rsidRPr="009176BC">
              <w:rPr>
                <w:rFonts w:asciiTheme="majorHAnsi" w:hAnsiTheme="majorHAnsi" w:cstheme="majorHAnsi"/>
              </w:rPr>
              <w:t>Brown, H.;</w:t>
            </w:r>
            <w:r>
              <w:rPr>
                <w:rFonts w:asciiTheme="majorHAnsi" w:hAnsiTheme="majorHAnsi" w:cstheme="majorHAnsi"/>
              </w:rPr>
              <w:t xml:space="preserve"> </w:t>
            </w:r>
            <w:r w:rsidRPr="009176BC">
              <w:rPr>
                <w:rFonts w:asciiTheme="majorHAnsi" w:hAnsiTheme="majorHAnsi" w:cstheme="majorHAnsi"/>
              </w:rPr>
              <w:t>Norman, P. D.;</w:t>
            </w:r>
            <w:r>
              <w:rPr>
                <w:rFonts w:asciiTheme="majorHAnsi" w:hAnsiTheme="majorHAnsi" w:cstheme="majorHAnsi"/>
              </w:rPr>
              <w:t xml:space="preserve"> </w:t>
            </w:r>
            <w:r w:rsidRPr="009176BC">
              <w:rPr>
                <w:rFonts w:asciiTheme="majorHAnsi" w:hAnsiTheme="majorHAnsi" w:cstheme="majorHAnsi"/>
              </w:rPr>
              <w:t>Fraser, L. K.;</w:t>
            </w:r>
            <w:r>
              <w:rPr>
                <w:rFonts w:asciiTheme="majorHAnsi" w:hAnsiTheme="majorHAnsi" w:cstheme="majorHAnsi"/>
              </w:rPr>
              <w:t xml:space="preserve"> </w:t>
            </w:r>
            <w:r w:rsidRPr="009176BC">
              <w:rPr>
                <w:rFonts w:asciiTheme="majorHAnsi" w:hAnsiTheme="majorHAnsi" w:cstheme="majorHAnsi"/>
              </w:rPr>
              <w:t>Barr, B.;</w:t>
            </w:r>
            <w:r>
              <w:rPr>
                <w:rFonts w:asciiTheme="majorHAnsi" w:hAnsiTheme="majorHAnsi" w:cstheme="majorHAnsi"/>
              </w:rPr>
              <w:t xml:space="preserve"> </w:t>
            </w:r>
            <w:r w:rsidRPr="009176BC">
              <w:rPr>
                <w:rFonts w:asciiTheme="majorHAnsi" w:hAnsiTheme="majorHAnsi" w:cstheme="majorHAnsi"/>
              </w:rPr>
              <w:t>Bambra, C.</w:t>
            </w:r>
          </w:p>
        </w:tc>
        <w:tc>
          <w:tcPr>
            <w:tcW w:w="663" w:type="dxa"/>
            <w:shd w:val="clear" w:color="auto" w:fill="auto"/>
            <w:noWrap/>
          </w:tcPr>
          <w:p w14:paraId="52CEB4E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2019</w:t>
            </w:r>
          </w:p>
        </w:tc>
        <w:tc>
          <w:tcPr>
            <w:tcW w:w="3740" w:type="dxa"/>
            <w:shd w:val="clear" w:color="auto" w:fill="auto"/>
          </w:tcPr>
          <w:p w14:paraId="5EFEB7D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The impact of New Labour's English health inequalities strategy on geographical inequalities in infant mortality: A time-trend analysis</w:t>
            </w:r>
          </w:p>
        </w:tc>
        <w:tc>
          <w:tcPr>
            <w:tcW w:w="1224" w:type="dxa"/>
            <w:shd w:val="clear" w:color="auto" w:fill="auto"/>
          </w:tcPr>
          <w:p w14:paraId="6CE0911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7E2B309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Policy</w:t>
            </w:r>
          </w:p>
        </w:tc>
        <w:tc>
          <w:tcPr>
            <w:tcW w:w="1833" w:type="dxa"/>
            <w:shd w:val="clear" w:color="auto" w:fill="auto"/>
          </w:tcPr>
          <w:p w14:paraId="59F3056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5B238C2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w:t>
            </w:r>
          </w:p>
        </w:tc>
        <w:tc>
          <w:tcPr>
            <w:tcW w:w="1026" w:type="dxa"/>
            <w:shd w:val="clear" w:color="auto" w:fill="auto"/>
            <w:noWrap/>
          </w:tcPr>
          <w:p w14:paraId="7DC46312"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7</w:t>
            </w:r>
          </w:p>
        </w:tc>
      </w:tr>
      <w:tr w:rsidR="00F00E3D" w:rsidRPr="009176BC" w14:paraId="1AE87BEB" w14:textId="77777777" w:rsidTr="009B2FA7">
        <w:trPr>
          <w:trHeight w:val="20"/>
        </w:trPr>
        <w:tc>
          <w:tcPr>
            <w:tcW w:w="1800" w:type="dxa"/>
            <w:shd w:val="clear" w:color="auto" w:fill="auto"/>
            <w:noWrap/>
          </w:tcPr>
          <w:p w14:paraId="5BE2832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BCEED6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Rogerson, B.;</w:t>
            </w:r>
            <w:r>
              <w:rPr>
                <w:rFonts w:asciiTheme="majorHAnsi" w:hAnsiTheme="majorHAnsi" w:cstheme="majorHAnsi"/>
              </w:rPr>
              <w:t xml:space="preserve"> </w:t>
            </w:r>
            <w:r w:rsidRPr="009176BC">
              <w:rPr>
                <w:rFonts w:asciiTheme="majorHAnsi" w:hAnsiTheme="majorHAnsi" w:cstheme="majorHAnsi"/>
              </w:rPr>
              <w:t>Lindberg, R.;</w:t>
            </w:r>
            <w:r>
              <w:rPr>
                <w:rFonts w:asciiTheme="majorHAnsi" w:hAnsiTheme="majorHAnsi" w:cstheme="majorHAnsi"/>
              </w:rPr>
              <w:t xml:space="preserve"> </w:t>
            </w:r>
            <w:r w:rsidRPr="009176BC">
              <w:rPr>
                <w:rFonts w:asciiTheme="majorHAnsi" w:hAnsiTheme="majorHAnsi" w:cstheme="majorHAnsi"/>
              </w:rPr>
              <w:t>Givens, M.;</w:t>
            </w:r>
            <w:r>
              <w:rPr>
                <w:rFonts w:asciiTheme="majorHAnsi" w:hAnsiTheme="majorHAnsi" w:cstheme="majorHAnsi"/>
              </w:rPr>
              <w:t xml:space="preserve"> </w:t>
            </w:r>
            <w:r w:rsidRPr="009176BC">
              <w:rPr>
                <w:rFonts w:asciiTheme="majorHAnsi" w:hAnsiTheme="majorHAnsi" w:cstheme="majorHAnsi"/>
              </w:rPr>
              <w:t>Wernham, A.</w:t>
            </w:r>
          </w:p>
        </w:tc>
        <w:tc>
          <w:tcPr>
            <w:tcW w:w="663" w:type="dxa"/>
            <w:shd w:val="clear" w:color="auto" w:fill="auto"/>
            <w:noWrap/>
          </w:tcPr>
          <w:p w14:paraId="6C7647A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2014</w:t>
            </w:r>
          </w:p>
        </w:tc>
        <w:tc>
          <w:tcPr>
            <w:tcW w:w="3740" w:type="dxa"/>
            <w:shd w:val="clear" w:color="auto" w:fill="auto"/>
          </w:tcPr>
          <w:p w14:paraId="10A7DD9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 simplified framework for incorporating health into community development initiatives</w:t>
            </w:r>
          </w:p>
        </w:tc>
        <w:tc>
          <w:tcPr>
            <w:tcW w:w="1224" w:type="dxa"/>
            <w:shd w:val="clear" w:color="auto" w:fill="auto"/>
          </w:tcPr>
          <w:p w14:paraId="12EB959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72D65EC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Community Development </w:t>
            </w:r>
          </w:p>
        </w:tc>
        <w:tc>
          <w:tcPr>
            <w:tcW w:w="1833" w:type="dxa"/>
            <w:shd w:val="clear" w:color="auto" w:fill="auto"/>
          </w:tcPr>
          <w:p w14:paraId="24FED67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(framework only)</w:t>
            </w:r>
          </w:p>
        </w:tc>
        <w:tc>
          <w:tcPr>
            <w:tcW w:w="1303" w:type="dxa"/>
            <w:shd w:val="clear" w:color="auto" w:fill="auto"/>
            <w:noWrap/>
          </w:tcPr>
          <w:p w14:paraId="5F76EC9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Global</w:t>
            </w:r>
          </w:p>
        </w:tc>
        <w:tc>
          <w:tcPr>
            <w:tcW w:w="1026" w:type="dxa"/>
            <w:shd w:val="clear" w:color="auto" w:fill="auto"/>
            <w:noWrap/>
          </w:tcPr>
          <w:p w14:paraId="705F811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7</w:t>
            </w:r>
          </w:p>
        </w:tc>
      </w:tr>
      <w:tr w:rsidR="00F00E3D" w:rsidRPr="009176BC" w14:paraId="29F249AD" w14:textId="77777777" w:rsidTr="009B2FA7">
        <w:trPr>
          <w:trHeight w:val="20"/>
        </w:trPr>
        <w:tc>
          <w:tcPr>
            <w:tcW w:w="1800" w:type="dxa"/>
            <w:shd w:val="clear" w:color="auto" w:fill="auto"/>
            <w:noWrap/>
          </w:tcPr>
          <w:p w14:paraId="63E6A62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2280564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Romeo-Velilla, M.;</w:t>
            </w:r>
            <w:r>
              <w:rPr>
                <w:rFonts w:asciiTheme="majorHAnsi" w:hAnsiTheme="majorHAnsi" w:cstheme="majorHAnsi"/>
              </w:rPr>
              <w:t xml:space="preserve"> </w:t>
            </w:r>
            <w:r w:rsidRPr="009176BC">
              <w:rPr>
                <w:rFonts w:asciiTheme="majorHAnsi" w:hAnsiTheme="majorHAnsi" w:cstheme="majorHAnsi"/>
              </w:rPr>
              <w:t>Ellis, N.;</w:t>
            </w:r>
            <w:r>
              <w:rPr>
                <w:rFonts w:asciiTheme="majorHAnsi" w:hAnsiTheme="majorHAnsi" w:cstheme="majorHAnsi"/>
              </w:rPr>
              <w:t xml:space="preserve"> </w:t>
            </w:r>
            <w:r w:rsidRPr="009176BC">
              <w:rPr>
                <w:rFonts w:asciiTheme="majorHAnsi" w:hAnsiTheme="majorHAnsi" w:cstheme="majorHAnsi"/>
              </w:rPr>
              <w:t>Hurst, G.;</w:t>
            </w:r>
            <w:r>
              <w:rPr>
                <w:rFonts w:asciiTheme="majorHAnsi" w:hAnsiTheme="majorHAnsi" w:cstheme="majorHAnsi"/>
              </w:rPr>
              <w:t xml:space="preserve"> </w:t>
            </w:r>
            <w:r w:rsidRPr="009176BC">
              <w:rPr>
                <w:rFonts w:asciiTheme="majorHAnsi" w:hAnsiTheme="majorHAnsi" w:cstheme="majorHAnsi"/>
              </w:rPr>
              <w:t>Grogan, S.;</w:t>
            </w:r>
            <w:r>
              <w:rPr>
                <w:rFonts w:asciiTheme="majorHAnsi" w:hAnsiTheme="majorHAnsi" w:cstheme="majorHAnsi"/>
              </w:rPr>
              <w:t xml:space="preserve"> </w:t>
            </w:r>
            <w:r w:rsidRPr="009176BC">
              <w:rPr>
                <w:rFonts w:asciiTheme="majorHAnsi" w:hAnsiTheme="majorHAnsi" w:cstheme="majorHAnsi"/>
              </w:rPr>
              <w:t>Gidlow, C.</w:t>
            </w:r>
          </w:p>
        </w:tc>
        <w:tc>
          <w:tcPr>
            <w:tcW w:w="663" w:type="dxa"/>
            <w:shd w:val="clear" w:color="auto" w:fill="auto"/>
            <w:noWrap/>
          </w:tcPr>
          <w:p w14:paraId="307B6353"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2018</w:t>
            </w:r>
          </w:p>
        </w:tc>
        <w:tc>
          <w:tcPr>
            <w:tcW w:w="3740" w:type="dxa"/>
            <w:shd w:val="clear" w:color="auto" w:fill="auto"/>
          </w:tcPr>
          <w:p w14:paraId="089E261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 qualitative study of disengagement in disadvantaged areas of the UK: 'You come through your door and you lock that door'</w:t>
            </w:r>
          </w:p>
        </w:tc>
        <w:tc>
          <w:tcPr>
            <w:tcW w:w="1224" w:type="dxa"/>
            <w:shd w:val="clear" w:color="auto" w:fill="auto"/>
          </w:tcPr>
          <w:p w14:paraId="3628306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3ED49B8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Education Program, Community Engagement</w:t>
            </w:r>
          </w:p>
        </w:tc>
        <w:tc>
          <w:tcPr>
            <w:tcW w:w="1833" w:type="dxa"/>
            <w:shd w:val="clear" w:color="auto" w:fill="auto"/>
          </w:tcPr>
          <w:p w14:paraId="7D6077C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78DF8A9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w:t>
            </w:r>
          </w:p>
        </w:tc>
        <w:tc>
          <w:tcPr>
            <w:tcW w:w="1026" w:type="dxa"/>
            <w:shd w:val="clear" w:color="auto" w:fill="auto"/>
            <w:noWrap/>
          </w:tcPr>
          <w:p w14:paraId="32D4D4B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3</w:t>
            </w:r>
          </w:p>
        </w:tc>
      </w:tr>
      <w:tr w:rsidR="00F00E3D" w:rsidRPr="009176BC" w14:paraId="3467818D" w14:textId="77777777" w:rsidTr="009B2FA7">
        <w:trPr>
          <w:trHeight w:val="20"/>
        </w:trPr>
        <w:tc>
          <w:tcPr>
            <w:tcW w:w="1800" w:type="dxa"/>
            <w:shd w:val="clear" w:color="auto" w:fill="auto"/>
            <w:noWrap/>
          </w:tcPr>
          <w:p w14:paraId="4F0144B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7EB61CA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Rowel, R.;</w:t>
            </w:r>
            <w:r>
              <w:rPr>
                <w:rFonts w:asciiTheme="majorHAnsi" w:hAnsiTheme="majorHAnsi" w:cstheme="majorHAnsi"/>
              </w:rPr>
              <w:t xml:space="preserve"> </w:t>
            </w:r>
            <w:r w:rsidRPr="009176BC">
              <w:rPr>
                <w:rFonts w:asciiTheme="majorHAnsi" w:hAnsiTheme="majorHAnsi" w:cstheme="majorHAnsi"/>
              </w:rPr>
              <w:t>Sheikhattari, P.;</w:t>
            </w:r>
            <w:r>
              <w:rPr>
                <w:rFonts w:asciiTheme="majorHAnsi" w:hAnsiTheme="majorHAnsi" w:cstheme="majorHAnsi"/>
              </w:rPr>
              <w:t xml:space="preserve"> </w:t>
            </w:r>
            <w:r w:rsidRPr="009176BC">
              <w:rPr>
                <w:rFonts w:asciiTheme="majorHAnsi" w:hAnsiTheme="majorHAnsi" w:cstheme="majorHAnsi"/>
              </w:rPr>
              <w:t>Barber, T. M.;</w:t>
            </w:r>
            <w:r>
              <w:rPr>
                <w:rFonts w:asciiTheme="majorHAnsi" w:hAnsiTheme="majorHAnsi" w:cstheme="majorHAnsi"/>
              </w:rPr>
              <w:t xml:space="preserve"> </w:t>
            </w:r>
            <w:r w:rsidRPr="009176BC">
              <w:rPr>
                <w:rFonts w:asciiTheme="majorHAnsi" w:hAnsiTheme="majorHAnsi" w:cstheme="majorHAnsi"/>
              </w:rPr>
              <w:t>Evans-Holland, M.</w:t>
            </w:r>
          </w:p>
        </w:tc>
        <w:tc>
          <w:tcPr>
            <w:tcW w:w="663" w:type="dxa"/>
            <w:shd w:val="clear" w:color="auto" w:fill="auto"/>
            <w:noWrap/>
          </w:tcPr>
          <w:p w14:paraId="2B75723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2012</w:t>
            </w:r>
          </w:p>
        </w:tc>
        <w:tc>
          <w:tcPr>
            <w:tcW w:w="3740" w:type="dxa"/>
            <w:shd w:val="clear" w:color="auto" w:fill="auto"/>
          </w:tcPr>
          <w:p w14:paraId="53AC132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Introduction of a guide to enhance risk communication among low-income and minority populations: A grassroots community engagement approach</w:t>
            </w:r>
          </w:p>
        </w:tc>
        <w:tc>
          <w:tcPr>
            <w:tcW w:w="1224" w:type="dxa"/>
            <w:shd w:val="clear" w:color="auto" w:fill="auto"/>
          </w:tcPr>
          <w:p w14:paraId="0B68AC1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499DF8A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Promotion, Community Education Program</w:t>
            </w:r>
          </w:p>
        </w:tc>
        <w:tc>
          <w:tcPr>
            <w:tcW w:w="1833" w:type="dxa"/>
            <w:shd w:val="clear" w:color="auto" w:fill="auto"/>
          </w:tcPr>
          <w:p w14:paraId="4C589E1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 guidelines only</w:t>
            </w:r>
          </w:p>
        </w:tc>
        <w:tc>
          <w:tcPr>
            <w:tcW w:w="1303" w:type="dxa"/>
            <w:shd w:val="clear" w:color="auto" w:fill="auto"/>
            <w:noWrap/>
          </w:tcPr>
          <w:p w14:paraId="7EB4E0F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7C2862E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19</w:t>
            </w:r>
          </w:p>
        </w:tc>
      </w:tr>
      <w:tr w:rsidR="00F00E3D" w:rsidRPr="009176BC" w14:paraId="1EF5B277" w14:textId="77777777" w:rsidTr="009B2FA7">
        <w:trPr>
          <w:trHeight w:val="20"/>
        </w:trPr>
        <w:tc>
          <w:tcPr>
            <w:tcW w:w="1800" w:type="dxa"/>
            <w:shd w:val="clear" w:color="auto" w:fill="auto"/>
            <w:noWrap/>
          </w:tcPr>
          <w:p w14:paraId="01E1D04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lastRenderedPageBreak/>
              <w:t>Journal Article</w:t>
            </w:r>
          </w:p>
        </w:tc>
        <w:tc>
          <w:tcPr>
            <w:tcW w:w="1537" w:type="dxa"/>
            <w:shd w:val="clear" w:color="auto" w:fill="auto"/>
          </w:tcPr>
          <w:p w14:paraId="4EFFBCE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Schnake-Mahl, Alina S.;</w:t>
            </w:r>
            <w:r>
              <w:rPr>
                <w:rFonts w:asciiTheme="majorHAnsi" w:hAnsiTheme="majorHAnsi" w:cstheme="majorHAnsi"/>
              </w:rPr>
              <w:t xml:space="preserve"> </w:t>
            </w:r>
            <w:r w:rsidRPr="009176BC">
              <w:rPr>
                <w:rFonts w:asciiTheme="majorHAnsi" w:hAnsiTheme="majorHAnsi" w:cstheme="majorHAnsi"/>
              </w:rPr>
              <w:t>Jahn, Jaquelyn L.;</w:t>
            </w:r>
            <w:r>
              <w:rPr>
                <w:rFonts w:asciiTheme="majorHAnsi" w:hAnsiTheme="majorHAnsi" w:cstheme="majorHAnsi"/>
              </w:rPr>
              <w:t xml:space="preserve"> </w:t>
            </w:r>
            <w:r w:rsidRPr="009176BC">
              <w:rPr>
                <w:rFonts w:asciiTheme="majorHAnsi" w:hAnsiTheme="majorHAnsi" w:cstheme="majorHAnsi"/>
              </w:rPr>
              <w:t>Subramanian, S. V.;</w:t>
            </w:r>
            <w:r>
              <w:rPr>
                <w:rFonts w:asciiTheme="majorHAnsi" w:hAnsiTheme="majorHAnsi" w:cstheme="majorHAnsi"/>
              </w:rPr>
              <w:t xml:space="preserve"> </w:t>
            </w:r>
            <w:r w:rsidRPr="009176BC">
              <w:rPr>
                <w:rFonts w:asciiTheme="majorHAnsi" w:hAnsiTheme="majorHAnsi" w:cstheme="majorHAnsi"/>
              </w:rPr>
              <w:t>Waters, Mary C.;</w:t>
            </w:r>
            <w:r>
              <w:rPr>
                <w:rFonts w:asciiTheme="majorHAnsi" w:hAnsiTheme="majorHAnsi" w:cstheme="majorHAnsi"/>
              </w:rPr>
              <w:t xml:space="preserve"> </w:t>
            </w:r>
            <w:r w:rsidRPr="009176BC">
              <w:rPr>
                <w:rFonts w:asciiTheme="majorHAnsi" w:hAnsiTheme="majorHAnsi" w:cstheme="majorHAnsi"/>
              </w:rPr>
              <w:t>Arcaya, Mariana</w:t>
            </w:r>
          </w:p>
        </w:tc>
        <w:tc>
          <w:tcPr>
            <w:tcW w:w="663" w:type="dxa"/>
            <w:shd w:val="clear" w:color="auto" w:fill="auto"/>
            <w:noWrap/>
          </w:tcPr>
          <w:p w14:paraId="43FFFCCF"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2020</w:t>
            </w:r>
          </w:p>
        </w:tc>
        <w:tc>
          <w:tcPr>
            <w:tcW w:w="3740" w:type="dxa"/>
            <w:shd w:val="clear" w:color="auto" w:fill="auto"/>
          </w:tcPr>
          <w:p w14:paraId="4E9275D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Gentrification, Neighborhood Change, and Population Health: A Systematic Review</w:t>
            </w:r>
          </w:p>
        </w:tc>
        <w:tc>
          <w:tcPr>
            <w:tcW w:w="1224" w:type="dxa"/>
            <w:shd w:val="clear" w:color="auto" w:fill="auto"/>
          </w:tcPr>
          <w:p w14:paraId="63BF1DA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35E289F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Neighborhood renewal</w:t>
            </w:r>
          </w:p>
        </w:tc>
        <w:tc>
          <w:tcPr>
            <w:tcW w:w="1833" w:type="dxa"/>
            <w:shd w:val="clear" w:color="auto" w:fill="auto"/>
          </w:tcPr>
          <w:p w14:paraId="4ED43FF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 - Systematic Review</w:t>
            </w:r>
          </w:p>
        </w:tc>
        <w:tc>
          <w:tcPr>
            <w:tcW w:w="1303" w:type="dxa"/>
            <w:shd w:val="clear" w:color="auto" w:fill="auto"/>
            <w:noWrap/>
          </w:tcPr>
          <w:p w14:paraId="3FA7DCF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25D607C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6</w:t>
            </w:r>
          </w:p>
        </w:tc>
      </w:tr>
      <w:tr w:rsidR="00F00E3D" w:rsidRPr="009176BC" w14:paraId="3B84B22B" w14:textId="77777777" w:rsidTr="009B2FA7">
        <w:trPr>
          <w:trHeight w:val="20"/>
        </w:trPr>
        <w:tc>
          <w:tcPr>
            <w:tcW w:w="1800" w:type="dxa"/>
            <w:shd w:val="clear" w:color="auto" w:fill="auto"/>
            <w:noWrap/>
          </w:tcPr>
          <w:p w14:paraId="52CC502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032BC89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Shield, Margaret;</w:t>
            </w:r>
            <w:r>
              <w:rPr>
                <w:rFonts w:asciiTheme="majorHAnsi" w:hAnsiTheme="majorHAnsi" w:cstheme="majorHAnsi"/>
              </w:rPr>
              <w:t xml:space="preserve"> </w:t>
            </w:r>
            <w:r w:rsidRPr="009176BC">
              <w:rPr>
                <w:rFonts w:asciiTheme="majorHAnsi" w:hAnsiTheme="majorHAnsi" w:cstheme="majorHAnsi"/>
              </w:rPr>
              <w:t>Graham, Melissa;</w:t>
            </w:r>
            <w:r>
              <w:rPr>
                <w:rFonts w:asciiTheme="majorHAnsi" w:hAnsiTheme="majorHAnsi" w:cstheme="majorHAnsi"/>
              </w:rPr>
              <w:t xml:space="preserve"> </w:t>
            </w:r>
            <w:r w:rsidRPr="009176BC">
              <w:rPr>
                <w:rFonts w:asciiTheme="majorHAnsi" w:hAnsiTheme="majorHAnsi" w:cstheme="majorHAnsi"/>
              </w:rPr>
              <w:t>Taket, Ann</w:t>
            </w:r>
          </w:p>
        </w:tc>
        <w:tc>
          <w:tcPr>
            <w:tcW w:w="663" w:type="dxa"/>
            <w:shd w:val="clear" w:color="auto" w:fill="auto"/>
            <w:noWrap/>
          </w:tcPr>
          <w:p w14:paraId="41BB8D05"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2011</w:t>
            </w:r>
          </w:p>
        </w:tc>
        <w:tc>
          <w:tcPr>
            <w:tcW w:w="3740" w:type="dxa"/>
            <w:shd w:val="clear" w:color="auto" w:fill="auto"/>
          </w:tcPr>
          <w:p w14:paraId="531DC0D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Neighbourhood renewal in Victoria, Australia: An effective way to address social inclusion</w:t>
            </w:r>
          </w:p>
        </w:tc>
        <w:tc>
          <w:tcPr>
            <w:tcW w:w="1224" w:type="dxa"/>
            <w:shd w:val="clear" w:color="auto" w:fill="auto"/>
          </w:tcPr>
          <w:p w14:paraId="377B3E7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0E19011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Neighborhood renewal</w:t>
            </w:r>
          </w:p>
        </w:tc>
        <w:tc>
          <w:tcPr>
            <w:tcW w:w="1833" w:type="dxa"/>
            <w:shd w:val="clear" w:color="auto" w:fill="auto"/>
          </w:tcPr>
          <w:p w14:paraId="704C050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2F6AD64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30AB6D1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13</w:t>
            </w:r>
          </w:p>
        </w:tc>
      </w:tr>
      <w:tr w:rsidR="00F00E3D" w:rsidRPr="009176BC" w14:paraId="6FFF8E9F" w14:textId="77777777" w:rsidTr="009B2FA7">
        <w:trPr>
          <w:trHeight w:val="20"/>
        </w:trPr>
        <w:tc>
          <w:tcPr>
            <w:tcW w:w="1800" w:type="dxa"/>
            <w:shd w:val="clear" w:color="auto" w:fill="auto"/>
            <w:noWrap/>
          </w:tcPr>
          <w:p w14:paraId="6CB3F8E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4F60BB9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Smallwood, Stacy W.;</w:t>
            </w:r>
            <w:r>
              <w:rPr>
                <w:rFonts w:asciiTheme="majorHAnsi" w:hAnsiTheme="majorHAnsi" w:cstheme="majorHAnsi"/>
              </w:rPr>
              <w:t xml:space="preserve"> </w:t>
            </w:r>
            <w:r w:rsidRPr="009176BC">
              <w:rPr>
                <w:rFonts w:asciiTheme="majorHAnsi" w:hAnsiTheme="majorHAnsi" w:cstheme="majorHAnsi"/>
              </w:rPr>
              <w:t>Freedman, Darcy A.;</w:t>
            </w:r>
            <w:r>
              <w:rPr>
                <w:rFonts w:asciiTheme="majorHAnsi" w:hAnsiTheme="majorHAnsi" w:cstheme="majorHAnsi"/>
              </w:rPr>
              <w:t xml:space="preserve"> </w:t>
            </w:r>
            <w:r w:rsidRPr="009176BC">
              <w:rPr>
                <w:rFonts w:asciiTheme="majorHAnsi" w:hAnsiTheme="majorHAnsi" w:cstheme="majorHAnsi"/>
              </w:rPr>
              <w:t>Pitner, Ronald O.;</w:t>
            </w:r>
            <w:r>
              <w:rPr>
                <w:rFonts w:asciiTheme="majorHAnsi" w:hAnsiTheme="majorHAnsi" w:cstheme="majorHAnsi"/>
              </w:rPr>
              <w:t xml:space="preserve"> </w:t>
            </w:r>
            <w:r w:rsidRPr="009176BC">
              <w:rPr>
                <w:rFonts w:asciiTheme="majorHAnsi" w:hAnsiTheme="majorHAnsi" w:cstheme="majorHAnsi"/>
              </w:rPr>
              <w:t>Sharpe, Patricia A.;</w:t>
            </w:r>
            <w:r>
              <w:rPr>
                <w:rFonts w:asciiTheme="majorHAnsi" w:hAnsiTheme="majorHAnsi" w:cstheme="majorHAnsi"/>
              </w:rPr>
              <w:t xml:space="preserve"> </w:t>
            </w:r>
            <w:r w:rsidRPr="009176BC">
              <w:rPr>
                <w:rFonts w:asciiTheme="majorHAnsi" w:hAnsiTheme="majorHAnsi" w:cstheme="majorHAnsi"/>
              </w:rPr>
              <w:t>Cole, Jennie Ann;</w:t>
            </w:r>
            <w:r>
              <w:rPr>
                <w:rFonts w:asciiTheme="majorHAnsi" w:hAnsiTheme="majorHAnsi" w:cstheme="majorHAnsi"/>
              </w:rPr>
              <w:t xml:space="preserve"> </w:t>
            </w:r>
            <w:r w:rsidRPr="009176BC">
              <w:rPr>
                <w:rFonts w:asciiTheme="majorHAnsi" w:hAnsiTheme="majorHAnsi" w:cstheme="majorHAnsi"/>
              </w:rPr>
              <w:t>Hastie, Shanna;</w:t>
            </w:r>
            <w:r>
              <w:rPr>
                <w:rFonts w:asciiTheme="majorHAnsi" w:hAnsiTheme="majorHAnsi" w:cstheme="majorHAnsi"/>
              </w:rPr>
              <w:t xml:space="preserve"> </w:t>
            </w:r>
            <w:r w:rsidRPr="009176BC">
              <w:rPr>
                <w:rFonts w:asciiTheme="majorHAnsi" w:hAnsiTheme="majorHAnsi" w:cstheme="majorHAnsi"/>
              </w:rPr>
              <w:t>Hunter, Brittney</w:t>
            </w:r>
          </w:p>
        </w:tc>
        <w:tc>
          <w:tcPr>
            <w:tcW w:w="663" w:type="dxa"/>
            <w:shd w:val="clear" w:color="auto" w:fill="auto"/>
            <w:noWrap/>
          </w:tcPr>
          <w:p w14:paraId="4D096B7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2015</w:t>
            </w:r>
          </w:p>
        </w:tc>
        <w:tc>
          <w:tcPr>
            <w:tcW w:w="3740" w:type="dxa"/>
            <w:shd w:val="clear" w:color="auto" w:fill="auto"/>
          </w:tcPr>
          <w:p w14:paraId="7D6DA03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Implementing a Community Empowerment Center to Build Capacity for Developing, Implementing, and Sustaining Interventions to Promote Community Health</w:t>
            </w:r>
          </w:p>
        </w:tc>
        <w:tc>
          <w:tcPr>
            <w:tcW w:w="1224" w:type="dxa"/>
            <w:shd w:val="clear" w:color="auto" w:fill="auto"/>
          </w:tcPr>
          <w:p w14:paraId="71A8E10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76CCE10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Engagement</w:t>
            </w:r>
          </w:p>
        </w:tc>
        <w:tc>
          <w:tcPr>
            <w:tcW w:w="1833" w:type="dxa"/>
            <w:shd w:val="clear" w:color="auto" w:fill="auto"/>
          </w:tcPr>
          <w:p w14:paraId="2CE147D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598D166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14A0984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10</w:t>
            </w:r>
          </w:p>
        </w:tc>
      </w:tr>
      <w:tr w:rsidR="00F00E3D" w:rsidRPr="009176BC" w14:paraId="5476BDF9" w14:textId="77777777" w:rsidTr="009B2FA7">
        <w:trPr>
          <w:trHeight w:val="20"/>
        </w:trPr>
        <w:tc>
          <w:tcPr>
            <w:tcW w:w="1800" w:type="dxa"/>
            <w:shd w:val="clear" w:color="auto" w:fill="auto"/>
            <w:noWrap/>
          </w:tcPr>
          <w:p w14:paraId="3A0F62F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7B55A69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South, Jane;</w:t>
            </w:r>
            <w:r>
              <w:rPr>
                <w:rFonts w:asciiTheme="majorHAnsi" w:hAnsiTheme="majorHAnsi" w:cstheme="majorHAnsi"/>
              </w:rPr>
              <w:t xml:space="preserve"> </w:t>
            </w:r>
            <w:r w:rsidRPr="009176BC">
              <w:rPr>
                <w:rFonts w:asciiTheme="majorHAnsi" w:hAnsiTheme="majorHAnsi" w:cstheme="majorHAnsi"/>
              </w:rPr>
              <w:t>Stansfield, Jude;</w:t>
            </w:r>
            <w:r>
              <w:rPr>
                <w:rFonts w:asciiTheme="majorHAnsi" w:hAnsiTheme="majorHAnsi" w:cstheme="majorHAnsi"/>
              </w:rPr>
              <w:t xml:space="preserve"> </w:t>
            </w:r>
            <w:r w:rsidRPr="009176BC">
              <w:rPr>
                <w:rFonts w:asciiTheme="majorHAnsi" w:hAnsiTheme="majorHAnsi" w:cstheme="majorHAnsi"/>
              </w:rPr>
              <w:t>Fenton, Kevin</w:t>
            </w:r>
          </w:p>
        </w:tc>
        <w:tc>
          <w:tcPr>
            <w:tcW w:w="663" w:type="dxa"/>
            <w:shd w:val="clear" w:color="auto" w:fill="auto"/>
            <w:noWrap/>
          </w:tcPr>
          <w:p w14:paraId="1FE462B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2015</w:t>
            </w:r>
          </w:p>
        </w:tc>
        <w:tc>
          <w:tcPr>
            <w:tcW w:w="3740" w:type="dxa"/>
            <w:shd w:val="clear" w:color="auto" w:fill="auto"/>
          </w:tcPr>
          <w:p w14:paraId="17ABF68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Putting communities at the heart of public health</w:t>
            </w:r>
          </w:p>
        </w:tc>
        <w:tc>
          <w:tcPr>
            <w:tcW w:w="1224" w:type="dxa"/>
            <w:shd w:val="clear" w:color="auto" w:fill="auto"/>
          </w:tcPr>
          <w:p w14:paraId="3B1C552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48FCA6E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Engagement</w:t>
            </w:r>
          </w:p>
        </w:tc>
        <w:tc>
          <w:tcPr>
            <w:tcW w:w="1833" w:type="dxa"/>
            <w:shd w:val="clear" w:color="auto" w:fill="auto"/>
          </w:tcPr>
          <w:p w14:paraId="1F9B693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(framework only)</w:t>
            </w:r>
          </w:p>
        </w:tc>
        <w:tc>
          <w:tcPr>
            <w:tcW w:w="1303" w:type="dxa"/>
            <w:shd w:val="clear" w:color="auto" w:fill="auto"/>
            <w:noWrap/>
          </w:tcPr>
          <w:p w14:paraId="282074D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UK</w:t>
            </w:r>
          </w:p>
        </w:tc>
        <w:tc>
          <w:tcPr>
            <w:tcW w:w="1026" w:type="dxa"/>
            <w:shd w:val="clear" w:color="auto" w:fill="auto"/>
            <w:noWrap/>
          </w:tcPr>
          <w:p w14:paraId="0030353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4</w:t>
            </w:r>
          </w:p>
        </w:tc>
      </w:tr>
      <w:tr w:rsidR="00F00E3D" w:rsidRPr="009176BC" w14:paraId="185D0EAF" w14:textId="77777777" w:rsidTr="009B2FA7">
        <w:trPr>
          <w:trHeight w:val="20"/>
        </w:trPr>
        <w:tc>
          <w:tcPr>
            <w:tcW w:w="1800" w:type="dxa"/>
            <w:shd w:val="clear" w:color="auto" w:fill="auto"/>
            <w:noWrap/>
          </w:tcPr>
          <w:p w14:paraId="6A62D35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6C53CA8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Stasi, S.;</w:t>
            </w:r>
            <w:r>
              <w:rPr>
                <w:rFonts w:asciiTheme="majorHAnsi" w:hAnsiTheme="majorHAnsi" w:cstheme="majorHAnsi"/>
              </w:rPr>
              <w:t xml:space="preserve"> </w:t>
            </w:r>
            <w:r w:rsidRPr="009176BC">
              <w:rPr>
                <w:rFonts w:asciiTheme="majorHAnsi" w:hAnsiTheme="majorHAnsi" w:cstheme="majorHAnsi"/>
              </w:rPr>
              <w:t>Spengler, J.;</w:t>
            </w:r>
            <w:r>
              <w:rPr>
                <w:rFonts w:asciiTheme="majorHAnsi" w:hAnsiTheme="majorHAnsi" w:cstheme="majorHAnsi"/>
              </w:rPr>
              <w:t xml:space="preserve"> </w:t>
            </w:r>
            <w:r w:rsidRPr="009176BC">
              <w:rPr>
                <w:rFonts w:asciiTheme="majorHAnsi" w:hAnsiTheme="majorHAnsi" w:cstheme="majorHAnsi"/>
              </w:rPr>
              <w:t>Maddock, J.;</w:t>
            </w:r>
            <w:r>
              <w:rPr>
                <w:rFonts w:asciiTheme="majorHAnsi" w:hAnsiTheme="majorHAnsi" w:cstheme="majorHAnsi"/>
              </w:rPr>
              <w:t xml:space="preserve"> </w:t>
            </w:r>
            <w:r w:rsidRPr="009176BC">
              <w:rPr>
                <w:rFonts w:asciiTheme="majorHAnsi" w:hAnsiTheme="majorHAnsi" w:cstheme="majorHAnsi"/>
              </w:rPr>
              <w:t>McKyer, L.;</w:t>
            </w:r>
            <w:r>
              <w:rPr>
                <w:rFonts w:asciiTheme="majorHAnsi" w:hAnsiTheme="majorHAnsi" w:cstheme="majorHAnsi"/>
              </w:rPr>
              <w:t xml:space="preserve"> </w:t>
            </w:r>
            <w:r w:rsidRPr="009176BC">
              <w:rPr>
                <w:rFonts w:asciiTheme="majorHAnsi" w:hAnsiTheme="majorHAnsi" w:cstheme="majorHAnsi"/>
              </w:rPr>
              <w:t>Clark, H.</w:t>
            </w:r>
          </w:p>
        </w:tc>
        <w:tc>
          <w:tcPr>
            <w:tcW w:w="663" w:type="dxa"/>
            <w:shd w:val="clear" w:color="auto" w:fill="auto"/>
            <w:noWrap/>
          </w:tcPr>
          <w:p w14:paraId="658DE09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2019</w:t>
            </w:r>
          </w:p>
        </w:tc>
        <w:tc>
          <w:tcPr>
            <w:tcW w:w="3740" w:type="dxa"/>
            <w:shd w:val="clear" w:color="auto" w:fill="auto"/>
          </w:tcPr>
          <w:p w14:paraId="0EEE777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Increasing Access to Physical Activity Within Low Income and Diverse Communities: A Systematic Review</w:t>
            </w:r>
          </w:p>
        </w:tc>
        <w:tc>
          <w:tcPr>
            <w:tcW w:w="1224" w:type="dxa"/>
            <w:shd w:val="clear" w:color="auto" w:fill="auto"/>
          </w:tcPr>
          <w:p w14:paraId="6D6921C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7541FFE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Physical Activity Program</w:t>
            </w:r>
          </w:p>
        </w:tc>
        <w:tc>
          <w:tcPr>
            <w:tcW w:w="1833" w:type="dxa"/>
            <w:shd w:val="clear" w:color="auto" w:fill="auto"/>
          </w:tcPr>
          <w:p w14:paraId="0002F95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 - Systematic Review</w:t>
            </w:r>
          </w:p>
        </w:tc>
        <w:tc>
          <w:tcPr>
            <w:tcW w:w="1303" w:type="dxa"/>
            <w:shd w:val="clear" w:color="auto" w:fill="auto"/>
            <w:noWrap/>
          </w:tcPr>
          <w:p w14:paraId="0D244FE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Global</w:t>
            </w:r>
          </w:p>
        </w:tc>
        <w:tc>
          <w:tcPr>
            <w:tcW w:w="1026" w:type="dxa"/>
            <w:shd w:val="clear" w:color="auto" w:fill="auto"/>
            <w:noWrap/>
          </w:tcPr>
          <w:p w14:paraId="451A2DD5"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w:t>
            </w:r>
          </w:p>
        </w:tc>
      </w:tr>
      <w:tr w:rsidR="00F00E3D" w:rsidRPr="009176BC" w14:paraId="58BCD165" w14:textId="77777777" w:rsidTr="009B2FA7">
        <w:trPr>
          <w:trHeight w:val="20"/>
        </w:trPr>
        <w:tc>
          <w:tcPr>
            <w:tcW w:w="1800" w:type="dxa"/>
            <w:shd w:val="clear" w:color="auto" w:fill="auto"/>
            <w:noWrap/>
          </w:tcPr>
          <w:p w14:paraId="450902D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lastRenderedPageBreak/>
              <w:t>Journal Article</w:t>
            </w:r>
          </w:p>
        </w:tc>
        <w:tc>
          <w:tcPr>
            <w:tcW w:w="1537" w:type="dxa"/>
            <w:shd w:val="clear" w:color="auto" w:fill="auto"/>
          </w:tcPr>
          <w:p w14:paraId="05BE3BC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Thornton, Rachel L. J.;</w:t>
            </w:r>
            <w:r>
              <w:rPr>
                <w:rFonts w:asciiTheme="majorHAnsi" w:hAnsiTheme="majorHAnsi" w:cstheme="majorHAnsi"/>
              </w:rPr>
              <w:t xml:space="preserve"> </w:t>
            </w:r>
            <w:r w:rsidRPr="009176BC">
              <w:rPr>
                <w:rFonts w:asciiTheme="majorHAnsi" w:hAnsiTheme="majorHAnsi" w:cstheme="majorHAnsi"/>
              </w:rPr>
              <w:t>Glover, Crystal M.;</w:t>
            </w:r>
            <w:r>
              <w:rPr>
                <w:rFonts w:asciiTheme="majorHAnsi" w:hAnsiTheme="majorHAnsi" w:cstheme="majorHAnsi"/>
              </w:rPr>
              <w:t xml:space="preserve"> </w:t>
            </w:r>
            <w:r w:rsidRPr="009176BC">
              <w:rPr>
                <w:rFonts w:asciiTheme="majorHAnsi" w:hAnsiTheme="majorHAnsi" w:cstheme="majorHAnsi"/>
              </w:rPr>
              <w:t>Cené, Crystal W.;</w:t>
            </w:r>
            <w:r>
              <w:rPr>
                <w:rFonts w:asciiTheme="majorHAnsi" w:hAnsiTheme="majorHAnsi" w:cstheme="majorHAnsi"/>
              </w:rPr>
              <w:t xml:space="preserve"> </w:t>
            </w:r>
            <w:r w:rsidRPr="009176BC">
              <w:rPr>
                <w:rFonts w:asciiTheme="majorHAnsi" w:hAnsiTheme="majorHAnsi" w:cstheme="majorHAnsi"/>
              </w:rPr>
              <w:t>Glik, Deborah C.;</w:t>
            </w:r>
            <w:r>
              <w:rPr>
                <w:rFonts w:asciiTheme="majorHAnsi" w:hAnsiTheme="majorHAnsi" w:cstheme="majorHAnsi"/>
              </w:rPr>
              <w:t xml:space="preserve"> </w:t>
            </w:r>
            <w:r w:rsidRPr="009176BC">
              <w:rPr>
                <w:rFonts w:asciiTheme="majorHAnsi" w:hAnsiTheme="majorHAnsi" w:cstheme="majorHAnsi"/>
              </w:rPr>
              <w:t>Henderson, Jeffrey A.;</w:t>
            </w:r>
            <w:r>
              <w:rPr>
                <w:rFonts w:asciiTheme="majorHAnsi" w:hAnsiTheme="majorHAnsi" w:cstheme="majorHAnsi"/>
              </w:rPr>
              <w:t xml:space="preserve"> </w:t>
            </w:r>
            <w:r w:rsidRPr="009176BC">
              <w:rPr>
                <w:rFonts w:asciiTheme="majorHAnsi" w:hAnsiTheme="majorHAnsi" w:cstheme="majorHAnsi"/>
              </w:rPr>
              <w:t>Williams, David R.</w:t>
            </w:r>
          </w:p>
        </w:tc>
        <w:tc>
          <w:tcPr>
            <w:tcW w:w="663" w:type="dxa"/>
            <w:shd w:val="clear" w:color="auto" w:fill="auto"/>
            <w:noWrap/>
          </w:tcPr>
          <w:p w14:paraId="6E084D6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2016</w:t>
            </w:r>
          </w:p>
        </w:tc>
        <w:tc>
          <w:tcPr>
            <w:tcW w:w="3740" w:type="dxa"/>
            <w:shd w:val="clear" w:color="auto" w:fill="auto"/>
          </w:tcPr>
          <w:p w14:paraId="4F8E823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Evaluating Strategies for Reducing Health Disparities by Addressing the Social Determinants of Health</w:t>
            </w:r>
          </w:p>
        </w:tc>
        <w:tc>
          <w:tcPr>
            <w:tcW w:w="1224" w:type="dxa"/>
            <w:shd w:val="clear" w:color="auto" w:fill="auto"/>
          </w:tcPr>
          <w:p w14:paraId="2927814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6B976B3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Multiple</w:t>
            </w:r>
          </w:p>
        </w:tc>
        <w:tc>
          <w:tcPr>
            <w:tcW w:w="1833" w:type="dxa"/>
            <w:shd w:val="clear" w:color="auto" w:fill="auto"/>
          </w:tcPr>
          <w:p w14:paraId="2AF80DF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 - Literature Review</w:t>
            </w:r>
          </w:p>
        </w:tc>
        <w:tc>
          <w:tcPr>
            <w:tcW w:w="1303" w:type="dxa"/>
            <w:shd w:val="clear" w:color="auto" w:fill="auto"/>
            <w:noWrap/>
          </w:tcPr>
          <w:p w14:paraId="093BB9F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535AAD72"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164</w:t>
            </w:r>
          </w:p>
        </w:tc>
      </w:tr>
      <w:tr w:rsidR="00F00E3D" w:rsidRPr="009176BC" w14:paraId="00378B40" w14:textId="77777777" w:rsidTr="009B2FA7">
        <w:trPr>
          <w:trHeight w:val="20"/>
        </w:trPr>
        <w:tc>
          <w:tcPr>
            <w:tcW w:w="1800" w:type="dxa"/>
            <w:shd w:val="clear" w:color="auto" w:fill="auto"/>
            <w:noWrap/>
          </w:tcPr>
          <w:p w14:paraId="5EB9E78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CF33B9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Warr, D. J.;</w:t>
            </w:r>
            <w:r>
              <w:rPr>
                <w:rFonts w:asciiTheme="majorHAnsi" w:hAnsiTheme="majorHAnsi" w:cstheme="majorHAnsi"/>
              </w:rPr>
              <w:t xml:space="preserve"> </w:t>
            </w:r>
            <w:r w:rsidRPr="009176BC">
              <w:rPr>
                <w:rFonts w:asciiTheme="majorHAnsi" w:hAnsiTheme="majorHAnsi" w:cstheme="majorHAnsi"/>
              </w:rPr>
              <w:t>Mann, R.;</w:t>
            </w:r>
            <w:r>
              <w:rPr>
                <w:rFonts w:asciiTheme="majorHAnsi" w:hAnsiTheme="majorHAnsi" w:cstheme="majorHAnsi"/>
              </w:rPr>
              <w:t xml:space="preserve"> </w:t>
            </w:r>
            <w:r w:rsidRPr="009176BC">
              <w:rPr>
                <w:rFonts w:asciiTheme="majorHAnsi" w:hAnsiTheme="majorHAnsi" w:cstheme="majorHAnsi"/>
              </w:rPr>
              <w:t>Kelaher, M.</w:t>
            </w:r>
          </w:p>
        </w:tc>
        <w:tc>
          <w:tcPr>
            <w:tcW w:w="663" w:type="dxa"/>
            <w:shd w:val="clear" w:color="auto" w:fill="auto"/>
            <w:noWrap/>
          </w:tcPr>
          <w:p w14:paraId="3A41259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2013</w:t>
            </w:r>
          </w:p>
        </w:tc>
        <w:tc>
          <w:tcPr>
            <w:tcW w:w="3740" w:type="dxa"/>
            <w:shd w:val="clear" w:color="auto" w:fill="auto"/>
          </w:tcPr>
          <w:p w14:paraId="704C95C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 lot of the things we do... people wouldn't recognise as health promotion': Addressing health inequalities in settings of neighbourhood disadvantage</w:t>
            </w:r>
          </w:p>
        </w:tc>
        <w:tc>
          <w:tcPr>
            <w:tcW w:w="1224" w:type="dxa"/>
            <w:shd w:val="clear" w:color="auto" w:fill="auto"/>
          </w:tcPr>
          <w:p w14:paraId="451AF7C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&amp; Wellbeing</w:t>
            </w:r>
          </w:p>
        </w:tc>
        <w:tc>
          <w:tcPr>
            <w:tcW w:w="1609" w:type="dxa"/>
            <w:shd w:val="clear" w:color="auto" w:fill="auto"/>
          </w:tcPr>
          <w:p w14:paraId="369FF97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Promotion</w:t>
            </w:r>
          </w:p>
        </w:tc>
        <w:tc>
          <w:tcPr>
            <w:tcW w:w="1833" w:type="dxa"/>
            <w:shd w:val="clear" w:color="auto" w:fill="auto"/>
          </w:tcPr>
          <w:p w14:paraId="3231125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1F9A10A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747D266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10</w:t>
            </w:r>
          </w:p>
        </w:tc>
      </w:tr>
      <w:tr w:rsidR="00F00E3D" w:rsidRPr="009176BC" w14:paraId="359B2E20" w14:textId="77777777" w:rsidTr="009B2FA7">
        <w:trPr>
          <w:trHeight w:val="20"/>
        </w:trPr>
        <w:tc>
          <w:tcPr>
            <w:tcW w:w="1800" w:type="dxa"/>
            <w:shd w:val="clear" w:color="auto" w:fill="auto"/>
            <w:noWrap/>
          </w:tcPr>
          <w:p w14:paraId="6DE5C88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234AB85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Ahn, Y. H.;</w:t>
            </w:r>
            <w:r>
              <w:rPr>
                <w:rFonts w:asciiTheme="majorHAnsi" w:hAnsiTheme="majorHAnsi" w:cstheme="majorHAnsi"/>
              </w:rPr>
              <w:t xml:space="preserve"> </w:t>
            </w:r>
            <w:r w:rsidRPr="009176BC">
              <w:rPr>
                <w:rFonts w:asciiTheme="majorHAnsi" w:hAnsiTheme="majorHAnsi" w:cstheme="majorHAnsi"/>
              </w:rPr>
              <w:t>Wang, Y.;</w:t>
            </w:r>
            <w:r>
              <w:rPr>
                <w:rFonts w:asciiTheme="majorHAnsi" w:hAnsiTheme="majorHAnsi" w:cstheme="majorHAnsi"/>
              </w:rPr>
              <w:t xml:space="preserve"> </w:t>
            </w:r>
            <w:r w:rsidRPr="009176BC">
              <w:rPr>
                <w:rFonts w:asciiTheme="majorHAnsi" w:hAnsiTheme="majorHAnsi" w:cstheme="majorHAnsi"/>
              </w:rPr>
              <w:t>Lee, K. H.;</w:t>
            </w:r>
            <w:r>
              <w:rPr>
                <w:rFonts w:asciiTheme="majorHAnsi" w:hAnsiTheme="majorHAnsi" w:cstheme="majorHAnsi"/>
              </w:rPr>
              <w:t xml:space="preserve"> </w:t>
            </w:r>
            <w:r w:rsidRPr="009176BC">
              <w:rPr>
                <w:rFonts w:asciiTheme="majorHAnsi" w:hAnsiTheme="majorHAnsi" w:cstheme="majorHAnsi"/>
              </w:rPr>
              <w:t>Jeon, M. H.</w:t>
            </w:r>
          </w:p>
        </w:tc>
        <w:tc>
          <w:tcPr>
            <w:tcW w:w="663" w:type="dxa"/>
            <w:shd w:val="clear" w:color="auto" w:fill="auto"/>
            <w:noWrap/>
          </w:tcPr>
          <w:p w14:paraId="048DB20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2014</w:t>
            </w:r>
          </w:p>
        </w:tc>
        <w:tc>
          <w:tcPr>
            <w:tcW w:w="3740" w:type="dxa"/>
            <w:shd w:val="clear" w:color="auto" w:fill="auto"/>
          </w:tcPr>
          <w:p w14:paraId="4AF4602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The greening of affordable housing through public and private partnerships: Development of a model for green affordable housing</w:t>
            </w:r>
          </w:p>
        </w:tc>
        <w:tc>
          <w:tcPr>
            <w:tcW w:w="1224" w:type="dxa"/>
            <w:shd w:val="clear" w:color="auto" w:fill="auto"/>
          </w:tcPr>
          <w:p w14:paraId="1C19CAA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w:t>
            </w:r>
          </w:p>
        </w:tc>
        <w:tc>
          <w:tcPr>
            <w:tcW w:w="1609" w:type="dxa"/>
            <w:shd w:val="clear" w:color="auto" w:fill="auto"/>
          </w:tcPr>
          <w:p w14:paraId="248046A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Affordable Housing Initiative (Green)</w:t>
            </w:r>
          </w:p>
        </w:tc>
        <w:tc>
          <w:tcPr>
            <w:tcW w:w="1833" w:type="dxa"/>
            <w:shd w:val="clear" w:color="auto" w:fill="auto"/>
          </w:tcPr>
          <w:p w14:paraId="68225FC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Case Study only</w:t>
            </w:r>
          </w:p>
        </w:tc>
        <w:tc>
          <w:tcPr>
            <w:tcW w:w="1303" w:type="dxa"/>
            <w:shd w:val="clear" w:color="auto" w:fill="auto"/>
            <w:noWrap/>
          </w:tcPr>
          <w:p w14:paraId="09C17EE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5F2F534A"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5</w:t>
            </w:r>
          </w:p>
        </w:tc>
      </w:tr>
      <w:tr w:rsidR="00F00E3D" w:rsidRPr="009176BC" w14:paraId="1CDBFF72" w14:textId="77777777" w:rsidTr="009B2FA7">
        <w:trPr>
          <w:trHeight w:val="20"/>
        </w:trPr>
        <w:tc>
          <w:tcPr>
            <w:tcW w:w="1800" w:type="dxa"/>
            <w:shd w:val="clear" w:color="auto" w:fill="auto"/>
            <w:noWrap/>
          </w:tcPr>
          <w:p w14:paraId="1D455F3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09626F7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Giusti, C.;</w:t>
            </w:r>
            <w:r>
              <w:rPr>
                <w:rFonts w:asciiTheme="majorHAnsi" w:hAnsiTheme="majorHAnsi" w:cstheme="majorHAnsi"/>
              </w:rPr>
              <w:t xml:space="preserve"> </w:t>
            </w:r>
            <w:r w:rsidRPr="009176BC">
              <w:rPr>
                <w:rFonts w:asciiTheme="majorHAnsi" w:hAnsiTheme="majorHAnsi" w:cstheme="majorHAnsi"/>
              </w:rPr>
              <w:t>Estevez, L.</w:t>
            </w:r>
          </w:p>
        </w:tc>
        <w:tc>
          <w:tcPr>
            <w:tcW w:w="663" w:type="dxa"/>
            <w:shd w:val="clear" w:color="auto" w:fill="auto"/>
            <w:noWrap/>
          </w:tcPr>
          <w:p w14:paraId="2059E6D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2011</w:t>
            </w:r>
          </w:p>
        </w:tc>
        <w:tc>
          <w:tcPr>
            <w:tcW w:w="3740" w:type="dxa"/>
            <w:shd w:val="clear" w:color="auto" w:fill="auto"/>
          </w:tcPr>
          <w:p w14:paraId="33F9A71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Microlending for housing in the United States. A case study in </w:t>
            </w:r>
            <w:r>
              <w:rPr>
                <w:rFonts w:asciiTheme="majorHAnsi" w:hAnsiTheme="majorHAnsi" w:cstheme="majorHAnsi"/>
              </w:rPr>
              <w:t>C</w:t>
            </w:r>
            <w:r w:rsidRPr="009176BC">
              <w:rPr>
                <w:rFonts w:asciiTheme="majorHAnsi" w:hAnsiTheme="majorHAnsi" w:cstheme="majorHAnsi"/>
              </w:rPr>
              <w:t>olonias in Texas</w:t>
            </w:r>
          </w:p>
        </w:tc>
        <w:tc>
          <w:tcPr>
            <w:tcW w:w="1224" w:type="dxa"/>
            <w:shd w:val="clear" w:color="auto" w:fill="auto"/>
          </w:tcPr>
          <w:p w14:paraId="0B8AEC4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w:t>
            </w:r>
          </w:p>
        </w:tc>
        <w:tc>
          <w:tcPr>
            <w:tcW w:w="1609" w:type="dxa"/>
            <w:shd w:val="clear" w:color="auto" w:fill="auto"/>
          </w:tcPr>
          <w:p w14:paraId="6B98177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Affordable Housing Initiative</w:t>
            </w:r>
          </w:p>
        </w:tc>
        <w:tc>
          <w:tcPr>
            <w:tcW w:w="1833" w:type="dxa"/>
            <w:shd w:val="clear" w:color="auto" w:fill="auto"/>
          </w:tcPr>
          <w:p w14:paraId="44CA2E9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1B6A2D6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535C740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10</w:t>
            </w:r>
          </w:p>
        </w:tc>
      </w:tr>
      <w:tr w:rsidR="00F00E3D" w:rsidRPr="009176BC" w14:paraId="6DA5D022" w14:textId="77777777" w:rsidTr="009B2FA7">
        <w:trPr>
          <w:trHeight w:val="20"/>
        </w:trPr>
        <w:tc>
          <w:tcPr>
            <w:tcW w:w="1800" w:type="dxa"/>
            <w:shd w:val="clear" w:color="auto" w:fill="auto"/>
            <w:noWrap/>
          </w:tcPr>
          <w:p w14:paraId="3EE3762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3738A9C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Hearne, R.;</w:t>
            </w:r>
            <w:r>
              <w:rPr>
                <w:rFonts w:asciiTheme="majorHAnsi" w:hAnsiTheme="majorHAnsi" w:cstheme="majorHAnsi"/>
              </w:rPr>
              <w:t xml:space="preserve"> </w:t>
            </w:r>
            <w:r w:rsidRPr="009176BC">
              <w:rPr>
                <w:rFonts w:asciiTheme="majorHAnsi" w:hAnsiTheme="majorHAnsi" w:cstheme="majorHAnsi"/>
              </w:rPr>
              <w:t>Kenna, P.</w:t>
            </w:r>
          </w:p>
        </w:tc>
        <w:tc>
          <w:tcPr>
            <w:tcW w:w="663" w:type="dxa"/>
            <w:shd w:val="clear" w:color="auto" w:fill="auto"/>
            <w:noWrap/>
          </w:tcPr>
          <w:p w14:paraId="13D641EA"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2014</w:t>
            </w:r>
          </w:p>
        </w:tc>
        <w:tc>
          <w:tcPr>
            <w:tcW w:w="3740" w:type="dxa"/>
            <w:shd w:val="clear" w:color="auto" w:fill="auto"/>
          </w:tcPr>
          <w:p w14:paraId="1DAB62D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Using the human </w:t>
            </w:r>
            <w:proofErr w:type="gramStart"/>
            <w:r w:rsidRPr="009176BC">
              <w:rPr>
                <w:rFonts w:asciiTheme="majorHAnsi" w:hAnsiTheme="majorHAnsi" w:cstheme="majorHAnsi"/>
              </w:rPr>
              <w:t>rights based</w:t>
            </w:r>
            <w:proofErr w:type="gramEnd"/>
            <w:r w:rsidRPr="009176BC">
              <w:rPr>
                <w:rFonts w:asciiTheme="majorHAnsi" w:hAnsiTheme="majorHAnsi" w:cstheme="majorHAnsi"/>
              </w:rPr>
              <w:t xml:space="preserve"> approach to tackle housing deprivation in an irish urban housing estate</w:t>
            </w:r>
          </w:p>
        </w:tc>
        <w:tc>
          <w:tcPr>
            <w:tcW w:w="1224" w:type="dxa"/>
            <w:shd w:val="clear" w:color="auto" w:fill="auto"/>
          </w:tcPr>
          <w:p w14:paraId="52FB616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w:t>
            </w:r>
          </w:p>
        </w:tc>
        <w:tc>
          <w:tcPr>
            <w:tcW w:w="1609" w:type="dxa"/>
            <w:shd w:val="clear" w:color="auto" w:fill="auto"/>
          </w:tcPr>
          <w:p w14:paraId="10D4154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HRBA (human </w:t>
            </w:r>
            <w:proofErr w:type="gramStart"/>
            <w:r w:rsidRPr="009176BC">
              <w:rPr>
                <w:rFonts w:asciiTheme="majorHAnsi" w:hAnsiTheme="majorHAnsi" w:cstheme="majorHAnsi"/>
              </w:rPr>
              <w:t>rights based</w:t>
            </w:r>
            <w:proofErr w:type="gramEnd"/>
            <w:r w:rsidRPr="009176BC">
              <w:rPr>
                <w:rFonts w:asciiTheme="majorHAnsi" w:hAnsiTheme="majorHAnsi" w:cstheme="majorHAnsi"/>
              </w:rPr>
              <w:t xml:space="preserve"> approach)</w:t>
            </w:r>
          </w:p>
        </w:tc>
        <w:tc>
          <w:tcPr>
            <w:tcW w:w="1833" w:type="dxa"/>
            <w:shd w:val="clear" w:color="auto" w:fill="auto"/>
          </w:tcPr>
          <w:p w14:paraId="3340A6A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Case Study only</w:t>
            </w:r>
          </w:p>
        </w:tc>
        <w:tc>
          <w:tcPr>
            <w:tcW w:w="1303" w:type="dxa"/>
            <w:shd w:val="clear" w:color="auto" w:fill="auto"/>
            <w:noWrap/>
          </w:tcPr>
          <w:p w14:paraId="5246ED9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Ireland</w:t>
            </w:r>
          </w:p>
        </w:tc>
        <w:tc>
          <w:tcPr>
            <w:tcW w:w="1026" w:type="dxa"/>
            <w:shd w:val="clear" w:color="auto" w:fill="auto"/>
            <w:noWrap/>
          </w:tcPr>
          <w:p w14:paraId="0614F91F"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4</w:t>
            </w:r>
          </w:p>
        </w:tc>
      </w:tr>
      <w:tr w:rsidR="00F00E3D" w:rsidRPr="009176BC" w14:paraId="124C0027" w14:textId="77777777" w:rsidTr="009B2FA7">
        <w:trPr>
          <w:trHeight w:val="20"/>
        </w:trPr>
        <w:tc>
          <w:tcPr>
            <w:tcW w:w="1800" w:type="dxa"/>
            <w:shd w:val="clear" w:color="auto" w:fill="auto"/>
            <w:noWrap/>
          </w:tcPr>
          <w:p w14:paraId="0D2E993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Book</w:t>
            </w:r>
          </w:p>
        </w:tc>
        <w:tc>
          <w:tcPr>
            <w:tcW w:w="1537" w:type="dxa"/>
            <w:shd w:val="clear" w:color="auto" w:fill="auto"/>
          </w:tcPr>
          <w:p w14:paraId="4FB7DBE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Holland, Jacki;</w:t>
            </w:r>
            <w:r>
              <w:rPr>
                <w:rFonts w:asciiTheme="majorHAnsi" w:hAnsiTheme="majorHAnsi" w:cstheme="majorHAnsi"/>
              </w:rPr>
              <w:t xml:space="preserve"> </w:t>
            </w:r>
            <w:r w:rsidRPr="009176BC">
              <w:rPr>
                <w:rFonts w:asciiTheme="majorHAnsi" w:hAnsiTheme="majorHAnsi" w:cstheme="majorHAnsi"/>
              </w:rPr>
              <w:t>Bruinhout, Sherri;</w:t>
            </w:r>
            <w:r>
              <w:rPr>
                <w:rFonts w:asciiTheme="majorHAnsi" w:hAnsiTheme="majorHAnsi" w:cstheme="majorHAnsi"/>
              </w:rPr>
              <w:t xml:space="preserve"> </w:t>
            </w:r>
            <w:r w:rsidRPr="009176BC">
              <w:rPr>
                <w:rFonts w:asciiTheme="majorHAnsi" w:hAnsiTheme="majorHAnsi" w:cstheme="majorHAnsi"/>
              </w:rPr>
              <w:t>Malavisi, Aldo</w:t>
            </w:r>
          </w:p>
        </w:tc>
        <w:tc>
          <w:tcPr>
            <w:tcW w:w="663" w:type="dxa"/>
            <w:shd w:val="clear" w:color="auto" w:fill="auto"/>
            <w:noWrap/>
          </w:tcPr>
          <w:p w14:paraId="5B7CAE85"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2004</w:t>
            </w:r>
          </w:p>
        </w:tc>
        <w:tc>
          <w:tcPr>
            <w:tcW w:w="3740" w:type="dxa"/>
            <w:shd w:val="clear" w:color="auto" w:fill="auto"/>
          </w:tcPr>
          <w:p w14:paraId="5940109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Place-based strategies, Collingwood and Fitzroy public housing estates</w:t>
            </w:r>
          </w:p>
        </w:tc>
        <w:tc>
          <w:tcPr>
            <w:tcW w:w="1224" w:type="dxa"/>
            <w:shd w:val="clear" w:color="auto" w:fill="auto"/>
          </w:tcPr>
          <w:p w14:paraId="09C9366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w:t>
            </w:r>
          </w:p>
        </w:tc>
        <w:tc>
          <w:tcPr>
            <w:tcW w:w="1609" w:type="dxa"/>
            <w:shd w:val="clear" w:color="auto" w:fill="auto"/>
          </w:tcPr>
          <w:p w14:paraId="0738636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Development, Community Engagement</w:t>
            </w:r>
          </w:p>
        </w:tc>
        <w:tc>
          <w:tcPr>
            <w:tcW w:w="1833" w:type="dxa"/>
            <w:shd w:val="clear" w:color="auto" w:fill="auto"/>
          </w:tcPr>
          <w:p w14:paraId="1949844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3463DA2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75B3EB0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w:t>
            </w:r>
          </w:p>
        </w:tc>
      </w:tr>
      <w:tr w:rsidR="00F00E3D" w:rsidRPr="009176BC" w14:paraId="2A7E50D6" w14:textId="77777777" w:rsidTr="009B2FA7">
        <w:trPr>
          <w:trHeight w:val="20"/>
        </w:trPr>
        <w:tc>
          <w:tcPr>
            <w:tcW w:w="1800" w:type="dxa"/>
            <w:shd w:val="clear" w:color="auto" w:fill="auto"/>
            <w:noWrap/>
          </w:tcPr>
          <w:p w14:paraId="08AE89D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2AEB0DB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Howell, K. L.</w:t>
            </w:r>
          </w:p>
        </w:tc>
        <w:tc>
          <w:tcPr>
            <w:tcW w:w="663" w:type="dxa"/>
            <w:shd w:val="clear" w:color="auto" w:fill="auto"/>
            <w:noWrap/>
          </w:tcPr>
          <w:p w14:paraId="167A150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2016</w:t>
            </w:r>
          </w:p>
        </w:tc>
        <w:tc>
          <w:tcPr>
            <w:tcW w:w="3740" w:type="dxa"/>
            <w:shd w:val="clear" w:color="auto" w:fill="auto"/>
          </w:tcPr>
          <w:p w14:paraId="648658F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Planning for empowerment: Upending the traditional approach to planning for affordable housing in the face of gentrification</w:t>
            </w:r>
          </w:p>
        </w:tc>
        <w:tc>
          <w:tcPr>
            <w:tcW w:w="1224" w:type="dxa"/>
            <w:shd w:val="clear" w:color="auto" w:fill="auto"/>
          </w:tcPr>
          <w:p w14:paraId="110F828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w:t>
            </w:r>
          </w:p>
        </w:tc>
        <w:tc>
          <w:tcPr>
            <w:tcW w:w="1609" w:type="dxa"/>
            <w:shd w:val="clear" w:color="auto" w:fill="auto"/>
          </w:tcPr>
          <w:p w14:paraId="1B10230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Participatory Action</w:t>
            </w:r>
          </w:p>
        </w:tc>
        <w:tc>
          <w:tcPr>
            <w:tcW w:w="1833" w:type="dxa"/>
            <w:shd w:val="clear" w:color="auto" w:fill="auto"/>
          </w:tcPr>
          <w:p w14:paraId="551BB7A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236156C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684B440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4</w:t>
            </w:r>
          </w:p>
        </w:tc>
      </w:tr>
      <w:tr w:rsidR="00F00E3D" w:rsidRPr="009176BC" w14:paraId="4F792841" w14:textId="77777777" w:rsidTr="009B2FA7">
        <w:trPr>
          <w:trHeight w:val="20"/>
        </w:trPr>
        <w:tc>
          <w:tcPr>
            <w:tcW w:w="1800" w:type="dxa"/>
            <w:shd w:val="clear" w:color="auto" w:fill="auto"/>
            <w:noWrap/>
          </w:tcPr>
          <w:p w14:paraId="4AEFD85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lastRenderedPageBreak/>
              <w:t>Journal Article</w:t>
            </w:r>
          </w:p>
        </w:tc>
        <w:tc>
          <w:tcPr>
            <w:tcW w:w="1537" w:type="dxa"/>
            <w:shd w:val="clear" w:color="auto" w:fill="auto"/>
          </w:tcPr>
          <w:p w14:paraId="6E4C519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Howell, K. L.</w:t>
            </w:r>
          </w:p>
        </w:tc>
        <w:tc>
          <w:tcPr>
            <w:tcW w:w="663" w:type="dxa"/>
            <w:shd w:val="clear" w:color="auto" w:fill="auto"/>
            <w:noWrap/>
          </w:tcPr>
          <w:p w14:paraId="00E2AD41"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2020</w:t>
            </w:r>
          </w:p>
        </w:tc>
        <w:tc>
          <w:tcPr>
            <w:tcW w:w="3740" w:type="dxa"/>
            <w:shd w:val="clear" w:color="auto" w:fill="auto"/>
          </w:tcPr>
          <w:p w14:paraId="131D4E4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Winning in a “lose-lose” environment of economic development: housing, community empowerment, and neighborhood redevelopment in the Columbia Heights neighborhood of Washington, DC</w:t>
            </w:r>
          </w:p>
        </w:tc>
        <w:tc>
          <w:tcPr>
            <w:tcW w:w="1224" w:type="dxa"/>
            <w:shd w:val="clear" w:color="auto" w:fill="auto"/>
          </w:tcPr>
          <w:p w14:paraId="66511EC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w:t>
            </w:r>
          </w:p>
        </w:tc>
        <w:tc>
          <w:tcPr>
            <w:tcW w:w="1609" w:type="dxa"/>
            <w:shd w:val="clear" w:color="auto" w:fill="auto"/>
          </w:tcPr>
          <w:p w14:paraId="5116E94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Affordable Housing Initiative</w:t>
            </w:r>
          </w:p>
        </w:tc>
        <w:tc>
          <w:tcPr>
            <w:tcW w:w="1833" w:type="dxa"/>
            <w:shd w:val="clear" w:color="auto" w:fill="auto"/>
          </w:tcPr>
          <w:p w14:paraId="77016D9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0CD6174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0C485F35"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0</w:t>
            </w:r>
          </w:p>
        </w:tc>
      </w:tr>
      <w:tr w:rsidR="00F00E3D" w:rsidRPr="009176BC" w14:paraId="478F46BC" w14:textId="77777777" w:rsidTr="009B2FA7">
        <w:trPr>
          <w:trHeight w:val="20"/>
        </w:trPr>
        <w:tc>
          <w:tcPr>
            <w:tcW w:w="1800" w:type="dxa"/>
            <w:shd w:val="clear" w:color="auto" w:fill="auto"/>
            <w:noWrap/>
          </w:tcPr>
          <w:p w14:paraId="760A21B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Serial</w:t>
            </w:r>
          </w:p>
        </w:tc>
        <w:tc>
          <w:tcPr>
            <w:tcW w:w="1537" w:type="dxa"/>
            <w:shd w:val="clear" w:color="auto" w:fill="auto"/>
          </w:tcPr>
          <w:p w14:paraId="7DBBB2E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Johnson, M. S.</w:t>
            </w:r>
          </w:p>
        </w:tc>
        <w:tc>
          <w:tcPr>
            <w:tcW w:w="663" w:type="dxa"/>
            <w:shd w:val="clear" w:color="auto" w:fill="auto"/>
            <w:noWrap/>
          </w:tcPr>
          <w:p w14:paraId="24CC4BA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2012</w:t>
            </w:r>
          </w:p>
        </w:tc>
        <w:tc>
          <w:tcPr>
            <w:tcW w:w="3740" w:type="dxa"/>
            <w:shd w:val="clear" w:color="auto" w:fill="auto"/>
          </w:tcPr>
          <w:p w14:paraId="4C7FDF0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The neighborhood divide: Poverty, place, and low-income housing in metropolitan Richmond, Virginia (USA)</w:t>
            </w:r>
          </w:p>
        </w:tc>
        <w:tc>
          <w:tcPr>
            <w:tcW w:w="1224" w:type="dxa"/>
            <w:shd w:val="clear" w:color="auto" w:fill="auto"/>
          </w:tcPr>
          <w:p w14:paraId="609BC55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w:t>
            </w:r>
          </w:p>
        </w:tc>
        <w:tc>
          <w:tcPr>
            <w:tcW w:w="1609" w:type="dxa"/>
            <w:shd w:val="clear" w:color="auto" w:fill="auto"/>
          </w:tcPr>
          <w:p w14:paraId="52EE847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Affordable Housing Initiative</w:t>
            </w:r>
          </w:p>
        </w:tc>
        <w:tc>
          <w:tcPr>
            <w:tcW w:w="1833" w:type="dxa"/>
            <w:shd w:val="clear" w:color="auto" w:fill="auto"/>
          </w:tcPr>
          <w:p w14:paraId="235D2F6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48F0A8F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538F9D3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w:t>
            </w:r>
          </w:p>
        </w:tc>
      </w:tr>
      <w:tr w:rsidR="00F00E3D" w:rsidRPr="009176BC" w14:paraId="7B006E8D" w14:textId="77777777" w:rsidTr="009B2FA7">
        <w:trPr>
          <w:trHeight w:val="20"/>
        </w:trPr>
        <w:tc>
          <w:tcPr>
            <w:tcW w:w="1800" w:type="dxa"/>
            <w:shd w:val="clear" w:color="auto" w:fill="auto"/>
            <w:noWrap/>
          </w:tcPr>
          <w:p w14:paraId="5E99688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3E4BA86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Lubell, Jeffrey</w:t>
            </w:r>
          </w:p>
        </w:tc>
        <w:tc>
          <w:tcPr>
            <w:tcW w:w="663" w:type="dxa"/>
            <w:shd w:val="clear" w:color="auto" w:fill="auto"/>
            <w:noWrap/>
          </w:tcPr>
          <w:p w14:paraId="7789764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2016</w:t>
            </w:r>
          </w:p>
        </w:tc>
        <w:tc>
          <w:tcPr>
            <w:tcW w:w="3740" w:type="dxa"/>
            <w:shd w:val="clear" w:color="auto" w:fill="auto"/>
          </w:tcPr>
          <w:p w14:paraId="6F8C48D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Preserving and Expanding Affordability in Neighborhoods Experiencing Rising Rents and Property Values</w:t>
            </w:r>
          </w:p>
        </w:tc>
        <w:tc>
          <w:tcPr>
            <w:tcW w:w="1224" w:type="dxa"/>
            <w:shd w:val="clear" w:color="auto" w:fill="auto"/>
          </w:tcPr>
          <w:p w14:paraId="73D3CE2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w:t>
            </w:r>
          </w:p>
        </w:tc>
        <w:tc>
          <w:tcPr>
            <w:tcW w:w="1609" w:type="dxa"/>
            <w:shd w:val="clear" w:color="auto" w:fill="auto"/>
          </w:tcPr>
          <w:p w14:paraId="1F988AD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Affordable Housing Policy</w:t>
            </w:r>
          </w:p>
        </w:tc>
        <w:tc>
          <w:tcPr>
            <w:tcW w:w="1833" w:type="dxa"/>
            <w:shd w:val="clear" w:color="auto" w:fill="auto"/>
          </w:tcPr>
          <w:p w14:paraId="3A13C18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(framework only)</w:t>
            </w:r>
          </w:p>
        </w:tc>
        <w:tc>
          <w:tcPr>
            <w:tcW w:w="1303" w:type="dxa"/>
            <w:shd w:val="clear" w:color="auto" w:fill="auto"/>
            <w:noWrap/>
          </w:tcPr>
          <w:p w14:paraId="22F5682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3BA9C53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29</w:t>
            </w:r>
          </w:p>
        </w:tc>
      </w:tr>
      <w:tr w:rsidR="00F00E3D" w:rsidRPr="009176BC" w14:paraId="52848EE1" w14:textId="77777777" w:rsidTr="009B2FA7">
        <w:trPr>
          <w:trHeight w:val="20"/>
        </w:trPr>
        <w:tc>
          <w:tcPr>
            <w:tcW w:w="1800" w:type="dxa"/>
            <w:shd w:val="clear" w:color="auto" w:fill="auto"/>
            <w:noWrap/>
          </w:tcPr>
          <w:p w14:paraId="5A9E1CA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7EBEB94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Milligan, V.;</w:t>
            </w:r>
            <w:r>
              <w:rPr>
                <w:rFonts w:asciiTheme="majorHAnsi" w:hAnsiTheme="majorHAnsi" w:cstheme="majorHAnsi"/>
              </w:rPr>
              <w:t xml:space="preserve"> </w:t>
            </w:r>
            <w:r w:rsidRPr="009176BC">
              <w:rPr>
                <w:rFonts w:asciiTheme="majorHAnsi" w:hAnsiTheme="majorHAnsi" w:cstheme="majorHAnsi"/>
              </w:rPr>
              <w:t>Pawson, H.;</w:t>
            </w:r>
            <w:r>
              <w:rPr>
                <w:rFonts w:asciiTheme="majorHAnsi" w:hAnsiTheme="majorHAnsi" w:cstheme="majorHAnsi"/>
              </w:rPr>
              <w:t xml:space="preserve"> </w:t>
            </w:r>
            <w:r w:rsidRPr="009176BC">
              <w:rPr>
                <w:rFonts w:asciiTheme="majorHAnsi" w:hAnsiTheme="majorHAnsi" w:cstheme="majorHAnsi"/>
              </w:rPr>
              <w:t>Phillips, R.;</w:t>
            </w:r>
            <w:r>
              <w:rPr>
                <w:rFonts w:asciiTheme="majorHAnsi" w:hAnsiTheme="majorHAnsi" w:cstheme="majorHAnsi"/>
              </w:rPr>
              <w:t xml:space="preserve"> </w:t>
            </w:r>
            <w:r w:rsidRPr="009176BC">
              <w:rPr>
                <w:rFonts w:asciiTheme="majorHAnsi" w:hAnsiTheme="majorHAnsi" w:cstheme="majorHAnsi"/>
              </w:rPr>
              <w:t>Martin, C.</w:t>
            </w:r>
          </w:p>
        </w:tc>
        <w:tc>
          <w:tcPr>
            <w:tcW w:w="663" w:type="dxa"/>
            <w:shd w:val="clear" w:color="auto" w:fill="auto"/>
            <w:noWrap/>
          </w:tcPr>
          <w:p w14:paraId="75D73EA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2017</w:t>
            </w:r>
          </w:p>
        </w:tc>
        <w:tc>
          <w:tcPr>
            <w:tcW w:w="3740" w:type="dxa"/>
            <w:shd w:val="clear" w:color="auto" w:fill="auto"/>
          </w:tcPr>
          <w:p w14:paraId="5D8C30D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Developing the scale and capacity of Australia's affordable housing industry</w:t>
            </w:r>
          </w:p>
        </w:tc>
        <w:tc>
          <w:tcPr>
            <w:tcW w:w="1224" w:type="dxa"/>
            <w:shd w:val="clear" w:color="auto" w:fill="auto"/>
          </w:tcPr>
          <w:p w14:paraId="66397DC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w:t>
            </w:r>
          </w:p>
        </w:tc>
        <w:tc>
          <w:tcPr>
            <w:tcW w:w="1609" w:type="dxa"/>
            <w:shd w:val="clear" w:color="auto" w:fill="auto"/>
          </w:tcPr>
          <w:p w14:paraId="469BB39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Affordable Housing Initiative</w:t>
            </w:r>
          </w:p>
        </w:tc>
        <w:tc>
          <w:tcPr>
            <w:tcW w:w="1833" w:type="dxa"/>
            <w:shd w:val="clear" w:color="auto" w:fill="auto"/>
          </w:tcPr>
          <w:p w14:paraId="5E46197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424D155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2237D21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9</w:t>
            </w:r>
          </w:p>
        </w:tc>
      </w:tr>
      <w:tr w:rsidR="00F00E3D" w:rsidRPr="009176BC" w14:paraId="35D6AFEC" w14:textId="77777777" w:rsidTr="009B2FA7">
        <w:trPr>
          <w:trHeight w:val="20"/>
        </w:trPr>
        <w:tc>
          <w:tcPr>
            <w:tcW w:w="1800" w:type="dxa"/>
            <w:shd w:val="clear" w:color="auto" w:fill="auto"/>
            <w:noWrap/>
          </w:tcPr>
          <w:p w14:paraId="426A409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Book</w:t>
            </w:r>
          </w:p>
        </w:tc>
        <w:tc>
          <w:tcPr>
            <w:tcW w:w="1537" w:type="dxa"/>
            <w:shd w:val="clear" w:color="auto" w:fill="auto"/>
          </w:tcPr>
          <w:p w14:paraId="013D3F3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Wood, Gavin;</w:t>
            </w:r>
            <w:r>
              <w:rPr>
                <w:rFonts w:asciiTheme="majorHAnsi" w:hAnsiTheme="majorHAnsi" w:cstheme="majorHAnsi"/>
              </w:rPr>
              <w:t xml:space="preserve"> </w:t>
            </w:r>
            <w:r w:rsidRPr="009176BC">
              <w:rPr>
                <w:rFonts w:asciiTheme="majorHAnsi" w:hAnsiTheme="majorHAnsi" w:cstheme="majorHAnsi"/>
              </w:rPr>
              <w:t>Cigdem, Melek</w:t>
            </w:r>
          </w:p>
        </w:tc>
        <w:tc>
          <w:tcPr>
            <w:tcW w:w="663" w:type="dxa"/>
            <w:shd w:val="clear" w:color="auto" w:fill="auto"/>
            <w:noWrap/>
          </w:tcPr>
          <w:p w14:paraId="25B00B8F"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2012</w:t>
            </w:r>
          </w:p>
        </w:tc>
        <w:tc>
          <w:tcPr>
            <w:tcW w:w="3740" w:type="dxa"/>
            <w:shd w:val="clear" w:color="auto" w:fill="auto"/>
          </w:tcPr>
          <w:p w14:paraId="6DB8453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Cost-effective methods for evaluation of neighbourhood renewal programs</w:t>
            </w:r>
          </w:p>
        </w:tc>
        <w:tc>
          <w:tcPr>
            <w:tcW w:w="1224" w:type="dxa"/>
            <w:shd w:val="clear" w:color="auto" w:fill="auto"/>
          </w:tcPr>
          <w:p w14:paraId="5144334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w:t>
            </w:r>
          </w:p>
        </w:tc>
        <w:tc>
          <w:tcPr>
            <w:tcW w:w="1609" w:type="dxa"/>
            <w:shd w:val="clear" w:color="auto" w:fill="auto"/>
          </w:tcPr>
          <w:p w14:paraId="406FD00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Neighbourhood Renewal</w:t>
            </w:r>
          </w:p>
        </w:tc>
        <w:tc>
          <w:tcPr>
            <w:tcW w:w="1833" w:type="dxa"/>
            <w:shd w:val="clear" w:color="auto" w:fill="auto"/>
          </w:tcPr>
          <w:p w14:paraId="1C8CA75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5AFB6AD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7A3DF46B"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13</w:t>
            </w:r>
          </w:p>
        </w:tc>
      </w:tr>
      <w:tr w:rsidR="00F00E3D" w:rsidRPr="009176BC" w14:paraId="00D1137F" w14:textId="77777777" w:rsidTr="009B2FA7">
        <w:trPr>
          <w:trHeight w:val="20"/>
        </w:trPr>
        <w:tc>
          <w:tcPr>
            <w:tcW w:w="1800" w:type="dxa"/>
            <w:shd w:val="clear" w:color="auto" w:fill="auto"/>
            <w:noWrap/>
          </w:tcPr>
          <w:p w14:paraId="0827BEB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77CD0F8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Yerena, A.</w:t>
            </w:r>
          </w:p>
        </w:tc>
        <w:tc>
          <w:tcPr>
            <w:tcW w:w="663" w:type="dxa"/>
            <w:shd w:val="clear" w:color="auto" w:fill="auto"/>
            <w:noWrap/>
          </w:tcPr>
          <w:p w14:paraId="10D8C692"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2015</w:t>
            </w:r>
          </w:p>
        </w:tc>
        <w:tc>
          <w:tcPr>
            <w:tcW w:w="3740" w:type="dxa"/>
            <w:shd w:val="clear" w:color="auto" w:fill="auto"/>
          </w:tcPr>
          <w:p w14:paraId="6746888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The Impact of Advocacy Organizations on Low-Income Housing Policy in U.S. Cities</w:t>
            </w:r>
          </w:p>
        </w:tc>
        <w:tc>
          <w:tcPr>
            <w:tcW w:w="1224" w:type="dxa"/>
            <w:shd w:val="clear" w:color="auto" w:fill="auto"/>
          </w:tcPr>
          <w:p w14:paraId="17EFC94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w:t>
            </w:r>
          </w:p>
        </w:tc>
        <w:tc>
          <w:tcPr>
            <w:tcW w:w="1609" w:type="dxa"/>
            <w:shd w:val="clear" w:color="auto" w:fill="auto"/>
          </w:tcPr>
          <w:p w14:paraId="650991C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Affordable Housing Initiative</w:t>
            </w:r>
          </w:p>
        </w:tc>
        <w:tc>
          <w:tcPr>
            <w:tcW w:w="1833" w:type="dxa"/>
            <w:shd w:val="clear" w:color="auto" w:fill="auto"/>
          </w:tcPr>
          <w:p w14:paraId="3B29F86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542B45F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1B28A1BA"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4</w:t>
            </w:r>
          </w:p>
        </w:tc>
      </w:tr>
      <w:tr w:rsidR="00F00E3D" w:rsidRPr="009176BC" w14:paraId="3D75F51F" w14:textId="77777777" w:rsidTr="009B2FA7">
        <w:trPr>
          <w:trHeight w:val="20"/>
        </w:trPr>
        <w:tc>
          <w:tcPr>
            <w:tcW w:w="1800" w:type="dxa"/>
            <w:shd w:val="clear" w:color="auto" w:fill="auto"/>
            <w:noWrap/>
          </w:tcPr>
          <w:p w14:paraId="6FE5A81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586E094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Breysse, Jill;</w:t>
            </w:r>
            <w:r>
              <w:rPr>
                <w:rFonts w:asciiTheme="majorHAnsi" w:hAnsiTheme="majorHAnsi" w:cstheme="majorHAnsi"/>
              </w:rPr>
              <w:t xml:space="preserve"> </w:t>
            </w:r>
            <w:r w:rsidRPr="009176BC">
              <w:rPr>
                <w:rFonts w:asciiTheme="majorHAnsi" w:hAnsiTheme="majorHAnsi" w:cstheme="majorHAnsi"/>
              </w:rPr>
              <w:t>Jacobs, David E.;</w:t>
            </w:r>
            <w:r>
              <w:rPr>
                <w:rFonts w:asciiTheme="majorHAnsi" w:hAnsiTheme="majorHAnsi" w:cstheme="majorHAnsi"/>
              </w:rPr>
              <w:t xml:space="preserve"> </w:t>
            </w:r>
            <w:r w:rsidRPr="009176BC">
              <w:rPr>
                <w:rFonts w:asciiTheme="majorHAnsi" w:hAnsiTheme="majorHAnsi" w:cstheme="majorHAnsi"/>
              </w:rPr>
              <w:t>Weber, William;</w:t>
            </w:r>
            <w:r>
              <w:rPr>
                <w:rFonts w:asciiTheme="majorHAnsi" w:hAnsiTheme="majorHAnsi" w:cstheme="majorHAnsi"/>
              </w:rPr>
              <w:t xml:space="preserve"> </w:t>
            </w:r>
            <w:r w:rsidRPr="009176BC">
              <w:rPr>
                <w:rFonts w:asciiTheme="majorHAnsi" w:hAnsiTheme="majorHAnsi" w:cstheme="majorHAnsi"/>
              </w:rPr>
              <w:t>Dixon, Sherry;</w:t>
            </w:r>
            <w:r>
              <w:rPr>
                <w:rFonts w:asciiTheme="majorHAnsi" w:hAnsiTheme="majorHAnsi" w:cstheme="majorHAnsi"/>
              </w:rPr>
              <w:t xml:space="preserve"> </w:t>
            </w:r>
            <w:r w:rsidRPr="009176BC">
              <w:rPr>
                <w:rFonts w:asciiTheme="majorHAnsi" w:hAnsiTheme="majorHAnsi" w:cstheme="majorHAnsi"/>
              </w:rPr>
              <w:t>Kawecki, Carol;</w:t>
            </w:r>
            <w:r>
              <w:rPr>
                <w:rFonts w:asciiTheme="majorHAnsi" w:hAnsiTheme="majorHAnsi" w:cstheme="majorHAnsi"/>
              </w:rPr>
              <w:t xml:space="preserve"> </w:t>
            </w:r>
            <w:r w:rsidRPr="009176BC">
              <w:rPr>
                <w:rFonts w:asciiTheme="majorHAnsi" w:hAnsiTheme="majorHAnsi" w:cstheme="majorHAnsi"/>
              </w:rPr>
              <w:t>Aceti, Susan;</w:t>
            </w:r>
            <w:r>
              <w:rPr>
                <w:rFonts w:asciiTheme="majorHAnsi" w:hAnsiTheme="majorHAnsi" w:cstheme="majorHAnsi"/>
              </w:rPr>
              <w:t xml:space="preserve"> </w:t>
            </w:r>
            <w:r w:rsidRPr="009176BC">
              <w:rPr>
                <w:rFonts w:asciiTheme="majorHAnsi" w:hAnsiTheme="majorHAnsi" w:cstheme="majorHAnsi"/>
              </w:rPr>
              <w:t>Lopez, Jorge</w:t>
            </w:r>
          </w:p>
        </w:tc>
        <w:tc>
          <w:tcPr>
            <w:tcW w:w="663" w:type="dxa"/>
            <w:shd w:val="clear" w:color="auto" w:fill="auto"/>
            <w:noWrap/>
          </w:tcPr>
          <w:p w14:paraId="106660C7"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2011</w:t>
            </w:r>
          </w:p>
        </w:tc>
        <w:tc>
          <w:tcPr>
            <w:tcW w:w="3740" w:type="dxa"/>
            <w:shd w:val="clear" w:color="auto" w:fill="auto"/>
          </w:tcPr>
          <w:p w14:paraId="429B7B6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 Outcomes and Green Renovation of Affordable Housing</w:t>
            </w:r>
          </w:p>
        </w:tc>
        <w:tc>
          <w:tcPr>
            <w:tcW w:w="1224" w:type="dxa"/>
            <w:shd w:val="clear" w:color="auto" w:fill="auto"/>
          </w:tcPr>
          <w:p w14:paraId="61DAC2D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Health &amp; Wellbeing</w:t>
            </w:r>
          </w:p>
        </w:tc>
        <w:tc>
          <w:tcPr>
            <w:tcW w:w="1609" w:type="dxa"/>
            <w:shd w:val="clear" w:color="auto" w:fill="auto"/>
          </w:tcPr>
          <w:p w14:paraId="20726FF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Affordable Housing Initiative (Green)</w:t>
            </w:r>
          </w:p>
        </w:tc>
        <w:tc>
          <w:tcPr>
            <w:tcW w:w="1833" w:type="dxa"/>
            <w:shd w:val="clear" w:color="auto" w:fill="auto"/>
          </w:tcPr>
          <w:p w14:paraId="613DAB0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15D7C92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124D605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86</w:t>
            </w:r>
          </w:p>
        </w:tc>
      </w:tr>
      <w:tr w:rsidR="00F00E3D" w:rsidRPr="009176BC" w14:paraId="6C2C5620" w14:textId="77777777" w:rsidTr="009B2FA7">
        <w:trPr>
          <w:trHeight w:val="20"/>
        </w:trPr>
        <w:tc>
          <w:tcPr>
            <w:tcW w:w="1800" w:type="dxa"/>
            <w:shd w:val="clear" w:color="auto" w:fill="auto"/>
            <w:noWrap/>
          </w:tcPr>
          <w:p w14:paraId="7149885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lastRenderedPageBreak/>
              <w:t>Journal Article</w:t>
            </w:r>
          </w:p>
        </w:tc>
        <w:tc>
          <w:tcPr>
            <w:tcW w:w="1537" w:type="dxa"/>
            <w:shd w:val="clear" w:color="auto" w:fill="auto"/>
          </w:tcPr>
          <w:p w14:paraId="2D0068E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Bylander, Jessica</w:t>
            </w:r>
          </w:p>
        </w:tc>
        <w:tc>
          <w:tcPr>
            <w:tcW w:w="663" w:type="dxa"/>
            <w:shd w:val="clear" w:color="auto" w:fill="auto"/>
            <w:noWrap/>
          </w:tcPr>
          <w:p w14:paraId="03C4D344"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2014</w:t>
            </w:r>
          </w:p>
        </w:tc>
        <w:tc>
          <w:tcPr>
            <w:tcW w:w="3740" w:type="dxa"/>
            <w:shd w:val="clear" w:color="auto" w:fill="auto"/>
          </w:tcPr>
          <w:p w14:paraId="30E9826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Healthy Futures Fund Links Housing, Health</w:t>
            </w:r>
          </w:p>
        </w:tc>
        <w:tc>
          <w:tcPr>
            <w:tcW w:w="1224" w:type="dxa"/>
            <w:shd w:val="clear" w:color="auto" w:fill="auto"/>
          </w:tcPr>
          <w:p w14:paraId="093CE48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Health &amp; Wellbeing</w:t>
            </w:r>
          </w:p>
        </w:tc>
        <w:tc>
          <w:tcPr>
            <w:tcW w:w="1609" w:type="dxa"/>
            <w:shd w:val="clear" w:color="auto" w:fill="auto"/>
          </w:tcPr>
          <w:p w14:paraId="001764C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Neighbourhood Renewal Funding Program</w:t>
            </w:r>
          </w:p>
        </w:tc>
        <w:tc>
          <w:tcPr>
            <w:tcW w:w="1833" w:type="dxa"/>
            <w:shd w:val="clear" w:color="auto" w:fill="auto"/>
          </w:tcPr>
          <w:p w14:paraId="1C823BC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4B3C031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584F102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w:t>
            </w:r>
          </w:p>
        </w:tc>
      </w:tr>
      <w:tr w:rsidR="00F00E3D" w:rsidRPr="009176BC" w14:paraId="0A555EC5" w14:textId="77777777" w:rsidTr="009B2FA7">
        <w:trPr>
          <w:trHeight w:val="20"/>
        </w:trPr>
        <w:tc>
          <w:tcPr>
            <w:tcW w:w="1800" w:type="dxa"/>
            <w:shd w:val="clear" w:color="auto" w:fill="auto"/>
            <w:noWrap/>
          </w:tcPr>
          <w:p w14:paraId="7BF10A4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69241AF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Phillips, Brian;</w:t>
            </w:r>
            <w:r>
              <w:rPr>
                <w:rFonts w:asciiTheme="majorHAnsi" w:hAnsiTheme="majorHAnsi" w:cstheme="majorHAnsi"/>
              </w:rPr>
              <w:t xml:space="preserve"> </w:t>
            </w:r>
            <w:r w:rsidRPr="009176BC">
              <w:rPr>
                <w:rFonts w:asciiTheme="majorHAnsi" w:hAnsiTheme="majorHAnsi" w:cstheme="majorHAnsi"/>
              </w:rPr>
              <w:t>Katz, Deb</w:t>
            </w:r>
          </w:p>
        </w:tc>
        <w:tc>
          <w:tcPr>
            <w:tcW w:w="663" w:type="dxa"/>
            <w:shd w:val="clear" w:color="auto" w:fill="auto"/>
            <w:noWrap/>
          </w:tcPr>
          <w:p w14:paraId="292C239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2018</w:t>
            </w:r>
          </w:p>
        </w:tc>
        <w:tc>
          <w:tcPr>
            <w:tcW w:w="3740" w:type="dxa"/>
            <w:shd w:val="clear" w:color="auto" w:fill="auto"/>
          </w:tcPr>
          <w:p w14:paraId="1D5F37B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Designing for Impact: Tools for Reducing Disparities in Health</w:t>
            </w:r>
          </w:p>
        </w:tc>
        <w:tc>
          <w:tcPr>
            <w:tcW w:w="1224" w:type="dxa"/>
            <w:shd w:val="clear" w:color="auto" w:fill="auto"/>
          </w:tcPr>
          <w:p w14:paraId="68E9671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Health &amp; Wellbeing</w:t>
            </w:r>
          </w:p>
        </w:tc>
        <w:tc>
          <w:tcPr>
            <w:tcW w:w="1609" w:type="dxa"/>
            <w:shd w:val="clear" w:color="auto" w:fill="auto"/>
          </w:tcPr>
          <w:p w14:paraId="5D24774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House Design</w:t>
            </w:r>
          </w:p>
        </w:tc>
        <w:tc>
          <w:tcPr>
            <w:tcW w:w="1833" w:type="dxa"/>
            <w:shd w:val="clear" w:color="auto" w:fill="auto"/>
          </w:tcPr>
          <w:p w14:paraId="5B00D92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 Theoretical</w:t>
            </w:r>
          </w:p>
        </w:tc>
        <w:tc>
          <w:tcPr>
            <w:tcW w:w="1303" w:type="dxa"/>
            <w:shd w:val="clear" w:color="auto" w:fill="auto"/>
            <w:noWrap/>
          </w:tcPr>
          <w:p w14:paraId="4A97786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2FF2A29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0</w:t>
            </w:r>
          </w:p>
        </w:tc>
      </w:tr>
      <w:tr w:rsidR="00F00E3D" w:rsidRPr="009176BC" w14:paraId="4130E278" w14:textId="77777777" w:rsidTr="009B2FA7">
        <w:trPr>
          <w:trHeight w:val="20"/>
        </w:trPr>
        <w:tc>
          <w:tcPr>
            <w:tcW w:w="1800" w:type="dxa"/>
            <w:shd w:val="clear" w:color="auto" w:fill="auto"/>
            <w:noWrap/>
          </w:tcPr>
          <w:p w14:paraId="0821571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Book Section</w:t>
            </w:r>
          </w:p>
        </w:tc>
        <w:tc>
          <w:tcPr>
            <w:tcW w:w="1537" w:type="dxa"/>
            <w:shd w:val="clear" w:color="auto" w:fill="auto"/>
          </w:tcPr>
          <w:p w14:paraId="0217486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Scanlon, E.</w:t>
            </w:r>
          </w:p>
        </w:tc>
        <w:tc>
          <w:tcPr>
            <w:tcW w:w="663" w:type="dxa"/>
            <w:shd w:val="clear" w:color="auto" w:fill="auto"/>
            <w:noWrap/>
          </w:tcPr>
          <w:p w14:paraId="5240731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2014</w:t>
            </w:r>
          </w:p>
        </w:tc>
        <w:tc>
          <w:tcPr>
            <w:tcW w:w="3740" w:type="dxa"/>
            <w:shd w:val="clear" w:color="auto" w:fill="auto"/>
          </w:tcPr>
          <w:p w14:paraId="0D8C795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Low-income homeownership policy as a community development strategy</w:t>
            </w:r>
          </w:p>
        </w:tc>
        <w:tc>
          <w:tcPr>
            <w:tcW w:w="1224" w:type="dxa"/>
            <w:shd w:val="clear" w:color="auto" w:fill="auto"/>
          </w:tcPr>
          <w:p w14:paraId="61173D9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Health &amp; Wellbeing</w:t>
            </w:r>
          </w:p>
        </w:tc>
        <w:tc>
          <w:tcPr>
            <w:tcW w:w="1609" w:type="dxa"/>
            <w:shd w:val="clear" w:color="auto" w:fill="auto"/>
          </w:tcPr>
          <w:p w14:paraId="53A1CA6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Affordable Housing Initiative</w:t>
            </w:r>
          </w:p>
        </w:tc>
        <w:tc>
          <w:tcPr>
            <w:tcW w:w="1833" w:type="dxa"/>
            <w:shd w:val="clear" w:color="auto" w:fill="auto"/>
          </w:tcPr>
          <w:p w14:paraId="00DEAC6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 Theoretical</w:t>
            </w:r>
          </w:p>
        </w:tc>
        <w:tc>
          <w:tcPr>
            <w:tcW w:w="1303" w:type="dxa"/>
            <w:shd w:val="clear" w:color="auto" w:fill="auto"/>
            <w:noWrap/>
          </w:tcPr>
          <w:p w14:paraId="7987F2B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6F76F20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51</w:t>
            </w:r>
          </w:p>
        </w:tc>
      </w:tr>
      <w:tr w:rsidR="00F00E3D" w:rsidRPr="009176BC" w14:paraId="06E32622" w14:textId="77777777" w:rsidTr="009B2FA7">
        <w:trPr>
          <w:trHeight w:val="20"/>
        </w:trPr>
        <w:tc>
          <w:tcPr>
            <w:tcW w:w="1800" w:type="dxa"/>
            <w:shd w:val="clear" w:color="auto" w:fill="auto"/>
            <w:noWrap/>
          </w:tcPr>
          <w:p w14:paraId="0B6CF84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6E7D77B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Shamasunder, B.;</w:t>
            </w:r>
            <w:r>
              <w:rPr>
                <w:rFonts w:asciiTheme="majorHAnsi" w:hAnsiTheme="majorHAnsi" w:cstheme="majorHAnsi"/>
              </w:rPr>
              <w:t xml:space="preserve"> </w:t>
            </w:r>
            <w:r w:rsidRPr="009176BC">
              <w:rPr>
                <w:rFonts w:asciiTheme="majorHAnsi" w:hAnsiTheme="majorHAnsi" w:cstheme="majorHAnsi"/>
              </w:rPr>
              <w:t>Mason, R.;</w:t>
            </w:r>
            <w:r>
              <w:rPr>
                <w:rFonts w:asciiTheme="majorHAnsi" w:hAnsiTheme="majorHAnsi" w:cstheme="majorHAnsi"/>
              </w:rPr>
              <w:t xml:space="preserve"> </w:t>
            </w:r>
            <w:r w:rsidRPr="009176BC">
              <w:rPr>
                <w:rFonts w:asciiTheme="majorHAnsi" w:hAnsiTheme="majorHAnsi" w:cstheme="majorHAnsi"/>
              </w:rPr>
              <w:t>Ippoliti, L.;</w:t>
            </w:r>
            <w:r>
              <w:rPr>
                <w:rFonts w:asciiTheme="majorHAnsi" w:hAnsiTheme="majorHAnsi" w:cstheme="majorHAnsi"/>
              </w:rPr>
              <w:t xml:space="preserve"> </w:t>
            </w:r>
            <w:r w:rsidRPr="009176BC">
              <w:rPr>
                <w:rFonts w:asciiTheme="majorHAnsi" w:hAnsiTheme="majorHAnsi" w:cstheme="majorHAnsi"/>
              </w:rPr>
              <w:t>Robledo, L.</w:t>
            </w:r>
          </w:p>
        </w:tc>
        <w:tc>
          <w:tcPr>
            <w:tcW w:w="663" w:type="dxa"/>
            <w:shd w:val="clear" w:color="auto" w:fill="auto"/>
            <w:noWrap/>
          </w:tcPr>
          <w:p w14:paraId="5E674D1F"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2015</w:t>
            </w:r>
          </w:p>
        </w:tc>
        <w:tc>
          <w:tcPr>
            <w:tcW w:w="3740" w:type="dxa"/>
            <w:shd w:val="clear" w:color="auto" w:fill="auto"/>
          </w:tcPr>
          <w:p w14:paraId="3C0698C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Growing together: Poverty alleviation, community building, and environmental justice through home gardens in Pacoima, Los Angeles</w:t>
            </w:r>
          </w:p>
        </w:tc>
        <w:tc>
          <w:tcPr>
            <w:tcW w:w="1224" w:type="dxa"/>
            <w:shd w:val="clear" w:color="auto" w:fill="auto"/>
          </w:tcPr>
          <w:p w14:paraId="641F96B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Health &amp; Wellbeing</w:t>
            </w:r>
          </w:p>
        </w:tc>
        <w:tc>
          <w:tcPr>
            <w:tcW w:w="1609" w:type="dxa"/>
            <w:shd w:val="clear" w:color="auto" w:fill="auto"/>
          </w:tcPr>
          <w:p w14:paraId="2AE6639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Home Gardens</w:t>
            </w:r>
          </w:p>
        </w:tc>
        <w:tc>
          <w:tcPr>
            <w:tcW w:w="1833" w:type="dxa"/>
            <w:shd w:val="clear" w:color="auto" w:fill="auto"/>
          </w:tcPr>
          <w:p w14:paraId="63887C8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061D9EC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3962304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3</w:t>
            </w:r>
          </w:p>
        </w:tc>
      </w:tr>
      <w:tr w:rsidR="00F00E3D" w:rsidRPr="009176BC" w14:paraId="3B19F1D2" w14:textId="77777777" w:rsidTr="009B2FA7">
        <w:trPr>
          <w:trHeight w:val="20"/>
        </w:trPr>
        <w:tc>
          <w:tcPr>
            <w:tcW w:w="1800" w:type="dxa"/>
            <w:shd w:val="clear" w:color="auto" w:fill="auto"/>
            <w:noWrap/>
          </w:tcPr>
          <w:p w14:paraId="533A900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08B39CA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Sharpe, Richard A.;</w:t>
            </w:r>
            <w:r>
              <w:rPr>
                <w:rFonts w:asciiTheme="majorHAnsi" w:hAnsiTheme="majorHAnsi" w:cstheme="majorHAnsi"/>
              </w:rPr>
              <w:t xml:space="preserve"> </w:t>
            </w:r>
            <w:r w:rsidRPr="009176BC">
              <w:rPr>
                <w:rFonts w:asciiTheme="majorHAnsi" w:hAnsiTheme="majorHAnsi" w:cstheme="majorHAnsi"/>
              </w:rPr>
              <w:t>Taylor, Tim;</w:t>
            </w:r>
            <w:r>
              <w:rPr>
                <w:rFonts w:asciiTheme="majorHAnsi" w:hAnsiTheme="majorHAnsi" w:cstheme="majorHAnsi"/>
              </w:rPr>
              <w:t xml:space="preserve"> </w:t>
            </w:r>
            <w:r w:rsidRPr="009176BC">
              <w:rPr>
                <w:rFonts w:asciiTheme="majorHAnsi" w:hAnsiTheme="majorHAnsi" w:cstheme="majorHAnsi"/>
              </w:rPr>
              <w:t>Fleming, Lora E.;</w:t>
            </w:r>
            <w:r>
              <w:rPr>
                <w:rFonts w:asciiTheme="majorHAnsi" w:hAnsiTheme="majorHAnsi" w:cstheme="majorHAnsi"/>
              </w:rPr>
              <w:t xml:space="preserve"> </w:t>
            </w:r>
            <w:r w:rsidRPr="009176BC">
              <w:rPr>
                <w:rFonts w:asciiTheme="majorHAnsi" w:hAnsiTheme="majorHAnsi" w:cstheme="majorHAnsi"/>
              </w:rPr>
              <w:t>Morrissey, Karyn;</w:t>
            </w:r>
            <w:r>
              <w:rPr>
                <w:rFonts w:asciiTheme="majorHAnsi" w:hAnsiTheme="majorHAnsi" w:cstheme="majorHAnsi"/>
              </w:rPr>
              <w:t xml:space="preserve"> </w:t>
            </w:r>
            <w:r w:rsidRPr="009176BC">
              <w:rPr>
                <w:rFonts w:asciiTheme="majorHAnsi" w:hAnsiTheme="majorHAnsi" w:cstheme="majorHAnsi"/>
              </w:rPr>
              <w:t>Morris, George;</w:t>
            </w:r>
            <w:r>
              <w:rPr>
                <w:rFonts w:asciiTheme="majorHAnsi" w:hAnsiTheme="majorHAnsi" w:cstheme="majorHAnsi"/>
              </w:rPr>
              <w:t xml:space="preserve"> </w:t>
            </w:r>
            <w:r w:rsidRPr="009176BC">
              <w:rPr>
                <w:rFonts w:asciiTheme="majorHAnsi" w:hAnsiTheme="majorHAnsi" w:cstheme="majorHAnsi"/>
              </w:rPr>
              <w:t>Wigglesworth, Rachel</w:t>
            </w:r>
          </w:p>
        </w:tc>
        <w:tc>
          <w:tcPr>
            <w:tcW w:w="663" w:type="dxa"/>
            <w:shd w:val="clear" w:color="auto" w:fill="auto"/>
            <w:noWrap/>
          </w:tcPr>
          <w:p w14:paraId="6D8CA8A6"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2018</w:t>
            </w:r>
          </w:p>
        </w:tc>
        <w:tc>
          <w:tcPr>
            <w:tcW w:w="3740" w:type="dxa"/>
            <w:shd w:val="clear" w:color="auto" w:fill="auto"/>
          </w:tcPr>
          <w:p w14:paraId="482ED22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Making the Case for "Whole System" Approaches: Integrating Public Health and Housing</w:t>
            </w:r>
          </w:p>
        </w:tc>
        <w:tc>
          <w:tcPr>
            <w:tcW w:w="1224" w:type="dxa"/>
            <w:shd w:val="clear" w:color="auto" w:fill="auto"/>
          </w:tcPr>
          <w:p w14:paraId="4741FB8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Health &amp; Wellbeing</w:t>
            </w:r>
          </w:p>
        </w:tc>
        <w:tc>
          <w:tcPr>
            <w:tcW w:w="1609" w:type="dxa"/>
            <w:shd w:val="clear" w:color="auto" w:fill="auto"/>
          </w:tcPr>
          <w:p w14:paraId="495AB16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Public Health &amp; Housing Integration</w:t>
            </w:r>
          </w:p>
        </w:tc>
        <w:tc>
          <w:tcPr>
            <w:tcW w:w="1833" w:type="dxa"/>
            <w:shd w:val="clear" w:color="auto" w:fill="auto"/>
          </w:tcPr>
          <w:p w14:paraId="3754639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 Theoretical</w:t>
            </w:r>
          </w:p>
        </w:tc>
        <w:tc>
          <w:tcPr>
            <w:tcW w:w="1303" w:type="dxa"/>
            <w:shd w:val="clear" w:color="auto" w:fill="auto"/>
            <w:noWrap/>
          </w:tcPr>
          <w:p w14:paraId="3B7E0B1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Non-context-specific</w:t>
            </w:r>
          </w:p>
        </w:tc>
        <w:tc>
          <w:tcPr>
            <w:tcW w:w="1026" w:type="dxa"/>
            <w:shd w:val="clear" w:color="auto" w:fill="auto"/>
            <w:noWrap/>
          </w:tcPr>
          <w:p w14:paraId="6D7BA29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12</w:t>
            </w:r>
          </w:p>
        </w:tc>
      </w:tr>
      <w:tr w:rsidR="00F00E3D" w:rsidRPr="009176BC" w14:paraId="7644CAC0" w14:textId="77777777" w:rsidTr="009B2FA7">
        <w:trPr>
          <w:trHeight w:val="20"/>
        </w:trPr>
        <w:tc>
          <w:tcPr>
            <w:tcW w:w="1800" w:type="dxa"/>
            <w:shd w:val="clear" w:color="auto" w:fill="auto"/>
            <w:noWrap/>
          </w:tcPr>
          <w:p w14:paraId="6D5ED32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69D6DB5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Smith, M. M.;</w:t>
            </w:r>
            <w:r>
              <w:rPr>
                <w:rFonts w:asciiTheme="majorHAnsi" w:hAnsiTheme="majorHAnsi" w:cstheme="majorHAnsi"/>
              </w:rPr>
              <w:t xml:space="preserve"> </w:t>
            </w:r>
            <w:r w:rsidRPr="009176BC">
              <w:rPr>
                <w:rFonts w:asciiTheme="majorHAnsi" w:hAnsiTheme="majorHAnsi" w:cstheme="majorHAnsi"/>
              </w:rPr>
              <w:t>Hevener, C. C.</w:t>
            </w:r>
          </w:p>
        </w:tc>
        <w:tc>
          <w:tcPr>
            <w:tcW w:w="663" w:type="dxa"/>
            <w:shd w:val="clear" w:color="auto" w:fill="auto"/>
            <w:noWrap/>
          </w:tcPr>
          <w:p w14:paraId="72A9EC6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2011</w:t>
            </w:r>
          </w:p>
        </w:tc>
        <w:tc>
          <w:tcPr>
            <w:tcW w:w="3740" w:type="dxa"/>
            <w:shd w:val="clear" w:color="auto" w:fill="auto"/>
          </w:tcPr>
          <w:p w14:paraId="7BDFFE8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The Impact of Housing Rehabilitation on Local Neighborhoods: The Case of Small Community Development Organizations</w:t>
            </w:r>
          </w:p>
        </w:tc>
        <w:tc>
          <w:tcPr>
            <w:tcW w:w="1224" w:type="dxa"/>
            <w:shd w:val="clear" w:color="auto" w:fill="auto"/>
          </w:tcPr>
          <w:p w14:paraId="5B34F88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Health &amp; Wellbeing</w:t>
            </w:r>
          </w:p>
        </w:tc>
        <w:tc>
          <w:tcPr>
            <w:tcW w:w="1609" w:type="dxa"/>
            <w:shd w:val="clear" w:color="auto" w:fill="auto"/>
          </w:tcPr>
          <w:p w14:paraId="1A2F51C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Affordable Housing Initiative, Community Education Program</w:t>
            </w:r>
          </w:p>
        </w:tc>
        <w:tc>
          <w:tcPr>
            <w:tcW w:w="1833" w:type="dxa"/>
            <w:shd w:val="clear" w:color="auto" w:fill="auto"/>
          </w:tcPr>
          <w:p w14:paraId="245FEC2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p>
        </w:tc>
        <w:tc>
          <w:tcPr>
            <w:tcW w:w="1303" w:type="dxa"/>
            <w:shd w:val="clear" w:color="auto" w:fill="auto"/>
            <w:noWrap/>
          </w:tcPr>
          <w:p w14:paraId="0EF3268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2119CFC7"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7</w:t>
            </w:r>
          </w:p>
        </w:tc>
      </w:tr>
      <w:tr w:rsidR="00F00E3D" w:rsidRPr="009176BC" w14:paraId="49B7FC81" w14:textId="77777777" w:rsidTr="009B2FA7">
        <w:trPr>
          <w:trHeight w:val="20"/>
        </w:trPr>
        <w:tc>
          <w:tcPr>
            <w:tcW w:w="1800" w:type="dxa"/>
            <w:shd w:val="clear" w:color="auto" w:fill="auto"/>
            <w:noWrap/>
          </w:tcPr>
          <w:p w14:paraId="4823103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0431567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Teixeira, S.;</w:t>
            </w:r>
            <w:r>
              <w:rPr>
                <w:rFonts w:asciiTheme="majorHAnsi" w:hAnsiTheme="majorHAnsi" w:cstheme="majorHAnsi"/>
              </w:rPr>
              <w:t xml:space="preserve"> </w:t>
            </w:r>
            <w:r w:rsidRPr="009176BC">
              <w:rPr>
                <w:rFonts w:asciiTheme="majorHAnsi" w:hAnsiTheme="majorHAnsi" w:cstheme="majorHAnsi"/>
              </w:rPr>
              <w:t>Kolke, D.</w:t>
            </w:r>
          </w:p>
        </w:tc>
        <w:tc>
          <w:tcPr>
            <w:tcW w:w="663" w:type="dxa"/>
            <w:shd w:val="clear" w:color="auto" w:fill="auto"/>
            <w:noWrap/>
          </w:tcPr>
          <w:p w14:paraId="73CEAFDA"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2017</w:t>
            </w:r>
          </w:p>
        </w:tc>
        <w:tc>
          <w:tcPr>
            <w:tcW w:w="3740" w:type="dxa"/>
            <w:shd w:val="clear" w:color="auto" w:fill="auto"/>
          </w:tcPr>
          <w:p w14:paraId="5B3D26D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Using local data to address abandoned property: Lessons learned from a community health partnership</w:t>
            </w:r>
          </w:p>
        </w:tc>
        <w:tc>
          <w:tcPr>
            <w:tcW w:w="1224" w:type="dxa"/>
            <w:shd w:val="clear" w:color="auto" w:fill="auto"/>
          </w:tcPr>
          <w:p w14:paraId="5409096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Health &amp; Wellbeing</w:t>
            </w:r>
          </w:p>
        </w:tc>
        <w:tc>
          <w:tcPr>
            <w:tcW w:w="1609" w:type="dxa"/>
            <w:shd w:val="clear" w:color="auto" w:fill="auto"/>
          </w:tcPr>
          <w:p w14:paraId="79BAD72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 xml:space="preserve">Blight Remediation (an intervention to address </w:t>
            </w:r>
            <w:r w:rsidRPr="009176BC">
              <w:rPr>
                <w:rFonts w:asciiTheme="majorHAnsi" w:hAnsiTheme="majorHAnsi" w:cstheme="majorHAnsi"/>
              </w:rPr>
              <w:lastRenderedPageBreak/>
              <w:t>property abandonment)</w:t>
            </w:r>
          </w:p>
        </w:tc>
        <w:tc>
          <w:tcPr>
            <w:tcW w:w="1833" w:type="dxa"/>
            <w:shd w:val="clear" w:color="auto" w:fill="auto"/>
            <w:noWrap/>
          </w:tcPr>
          <w:p w14:paraId="0FDD2DD1" w14:textId="77777777" w:rsidR="00F00E3D" w:rsidRPr="009176BC" w:rsidRDefault="00F00E3D" w:rsidP="009B2FA7">
            <w:pPr>
              <w:spacing w:after="0" w:line="240" w:lineRule="auto"/>
              <w:rPr>
                <w:rFonts w:asciiTheme="majorHAnsi" w:eastAsia="Times New Roman" w:hAnsiTheme="majorHAnsi" w:cstheme="majorHAnsi"/>
                <w:lang w:eastAsia="en-GB"/>
              </w:rPr>
            </w:pPr>
            <w:r w:rsidRPr="009176BC">
              <w:rPr>
                <w:rFonts w:asciiTheme="majorHAnsi" w:hAnsiTheme="majorHAnsi" w:cstheme="majorHAnsi"/>
              </w:rPr>
              <w:lastRenderedPageBreak/>
              <w:t>N</w:t>
            </w:r>
          </w:p>
        </w:tc>
        <w:tc>
          <w:tcPr>
            <w:tcW w:w="1303" w:type="dxa"/>
            <w:shd w:val="clear" w:color="auto" w:fill="auto"/>
            <w:noWrap/>
          </w:tcPr>
          <w:p w14:paraId="33337063" w14:textId="77777777" w:rsidR="00F00E3D" w:rsidRPr="009176BC" w:rsidRDefault="00F00E3D" w:rsidP="009B2FA7">
            <w:pPr>
              <w:spacing w:after="0" w:line="240" w:lineRule="auto"/>
              <w:rPr>
                <w:rFonts w:asciiTheme="majorHAnsi" w:eastAsia="Times New Roman" w:hAnsiTheme="majorHAnsi" w:cstheme="majorHAnsi"/>
                <w:lang w:eastAsia="en-GB"/>
              </w:rPr>
            </w:pPr>
            <w:r w:rsidRPr="009176BC">
              <w:rPr>
                <w:rFonts w:asciiTheme="majorHAnsi" w:hAnsiTheme="majorHAnsi" w:cstheme="majorHAnsi"/>
              </w:rPr>
              <w:t>US</w:t>
            </w:r>
          </w:p>
        </w:tc>
        <w:tc>
          <w:tcPr>
            <w:tcW w:w="1026" w:type="dxa"/>
            <w:shd w:val="clear" w:color="auto" w:fill="auto"/>
            <w:noWrap/>
          </w:tcPr>
          <w:p w14:paraId="576B480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w:t>
            </w:r>
          </w:p>
        </w:tc>
      </w:tr>
      <w:tr w:rsidR="00F00E3D" w:rsidRPr="009176BC" w14:paraId="0BFC0DD8" w14:textId="77777777" w:rsidTr="009B2FA7">
        <w:trPr>
          <w:trHeight w:val="20"/>
        </w:trPr>
        <w:tc>
          <w:tcPr>
            <w:tcW w:w="1800" w:type="dxa"/>
            <w:shd w:val="clear" w:color="auto" w:fill="auto"/>
            <w:noWrap/>
          </w:tcPr>
          <w:p w14:paraId="325EBC4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7769BA5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Tually, S.;</w:t>
            </w:r>
            <w:r>
              <w:rPr>
                <w:rFonts w:asciiTheme="majorHAnsi" w:hAnsiTheme="majorHAnsi" w:cstheme="majorHAnsi"/>
              </w:rPr>
              <w:t xml:space="preserve"> </w:t>
            </w:r>
            <w:r w:rsidRPr="009176BC">
              <w:rPr>
                <w:rFonts w:asciiTheme="majorHAnsi" w:hAnsiTheme="majorHAnsi" w:cstheme="majorHAnsi"/>
              </w:rPr>
              <w:t>Beer, A.;</w:t>
            </w:r>
            <w:r>
              <w:rPr>
                <w:rFonts w:asciiTheme="majorHAnsi" w:hAnsiTheme="majorHAnsi" w:cstheme="majorHAnsi"/>
              </w:rPr>
              <w:t xml:space="preserve"> </w:t>
            </w:r>
            <w:r w:rsidRPr="009176BC">
              <w:rPr>
                <w:rFonts w:asciiTheme="majorHAnsi" w:hAnsiTheme="majorHAnsi" w:cstheme="majorHAnsi"/>
              </w:rPr>
              <w:t>McLoughlin, P.</w:t>
            </w:r>
          </w:p>
        </w:tc>
        <w:tc>
          <w:tcPr>
            <w:tcW w:w="663" w:type="dxa"/>
            <w:shd w:val="clear" w:color="auto" w:fill="auto"/>
            <w:noWrap/>
          </w:tcPr>
          <w:p w14:paraId="2E1EB7E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2011</w:t>
            </w:r>
          </w:p>
        </w:tc>
        <w:tc>
          <w:tcPr>
            <w:tcW w:w="3740" w:type="dxa"/>
            <w:shd w:val="clear" w:color="auto" w:fill="auto"/>
          </w:tcPr>
          <w:p w14:paraId="6B82158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assistance, social inclusion and people living with a disability</w:t>
            </w:r>
          </w:p>
        </w:tc>
        <w:tc>
          <w:tcPr>
            <w:tcW w:w="1224" w:type="dxa"/>
            <w:shd w:val="clear" w:color="auto" w:fill="auto"/>
          </w:tcPr>
          <w:p w14:paraId="7880922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Health &amp; Wellbeing</w:t>
            </w:r>
          </w:p>
        </w:tc>
        <w:tc>
          <w:tcPr>
            <w:tcW w:w="1609" w:type="dxa"/>
            <w:shd w:val="clear" w:color="auto" w:fill="auto"/>
          </w:tcPr>
          <w:p w14:paraId="77734E9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Affordable Housing Initiative</w:t>
            </w:r>
          </w:p>
        </w:tc>
        <w:tc>
          <w:tcPr>
            <w:tcW w:w="1833" w:type="dxa"/>
            <w:shd w:val="clear" w:color="auto" w:fill="auto"/>
          </w:tcPr>
          <w:p w14:paraId="1D9BA74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 - Literature &amp; Policy Review</w:t>
            </w:r>
          </w:p>
        </w:tc>
        <w:tc>
          <w:tcPr>
            <w:tcW w:w="1303" w:type="dxa"/>
            <w:shd w:val="clear" w:color="auto" w:fill="auto"/>
            <w:noWrap/>
          </w:tcPr>
          <w:p w14:paraId="776D9C0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4307595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3</w:t>
            </w:r>
          </w:p>
        </w:tc>
      </w:tr>
      <w:tr w:rsidR="00F00E3D" w:rsidRPr="009176BC" w14:paraId="5A2FD916" w14:textId="77777777" w:rsidTr="009B2FA7">
        <w:trPr>
          <w:trHeight w:val="20"/>
        </w:trPr>
        <w:tc>
          <w:tcPr>
            <w:tcW w:w="1800" w:type="dxa"/>
            <w:shd w:val="clear" w:color="auto" w:fill="auto"/>
            <w:noWrap/>
          </w:tcPr>
          <w:p w14:paraId="5FABCEC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5D2810F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Delmelle, E. C.;</w:t>
            </w:r>
            <w:r>
              <w:rPr>
                <w:rFonts w:asciiTheme="majorHAnsi" w:hAnsiTheme="majorHAnsi" w:cstheme="majorHAnsi"/>
              </w:rPr>
              <w:t xml:space="preserve"> </w:t>
            </w:r>
            <w:r w:rsidRPr="009176BC">
              <w:rPr>
                <w:rFonts w:asciiTheme="majorHAnsi" w:hAnsiTheme="majorHAnsi" w:cstheme="majorHAnsi"/>
              </w:rPr>
              <w:t>Morrell, E.;</w:t>
            </w:r>
            <w:r>
              <w:rPr>
                <w:rFonts w:asciiTheme="majorHAnsi" w:hAnsiTheme="majorHAnsi" w:cstheme="majorHAnsi"/>
              </w:rPr>
              <w:t xml:space="preserve"> </w:t>
            </w:r>
            <w:r w:rsidRPr="009176BC">
              <w:rPr>
                <w:rFonts w:asciiTheme="majorHAnsi" w:hAnsiTheme="majorHAnsi" w:cstheme="majorHAnsi"/>
              </w:rPr>
              <w:t>Bengle, T.;</w:t>
            </w:r>
            <w:r>
              <w:rPr>
                <w:rFonts w:asciiTheme="majorHAnsi" w:hAnsiTheme="majorHAnsi" w:cstheme="majorHAnsi"/>
              </w:rPr>
              <w:t xml:space="preserve"> </w:t>
            </w:r>
            <w:r w:rsidRPr="009176BC">
              <w:rPr>
                <w:rFonts w:asciiTheme="majorHAnsi" w:hAnsiTheme="majorHAnsi" w:cstheme="majorHAnsi"/>
              </w:rPr>
              <w:t>Howarth, J.;</w:t>
            </w:r>
            <w:r>
              <w:rPr>
                <w:rFonts w:asciiTheme="majorHAnsi" w:hAnsiTheme="majorHAnsi" w:cstheme="majorHAnsi"/>
              </w:rPr>
              <w:t xml:space="preserve"> </w:t>
            </w:r>
            <w:r w:rsidRPr="009176BC">
              <w:rPr>
                <w:rFonts w:asciiTheme="majorHAnsi" w:hAnsiTheme="majorHAnsi" w:cstheme="majorHAnsi"/>
              </w:rPr>
              <w:t>Sorensen, J.</w:t>
            </w:r>
          </w:p>
        </w:tc>
        <w:tc>
          <w:tcPr>
            <w:tcW w:w="663" w:type="dxa"/>
            <w:shd w:val="clear" w:color="auto" w:fill="auto"/>
            <w:noWrap/>
          </w:tcPr>
          <w:p w14:paraId="6520A74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2017</w:t>
            </w:r>
          </w:p>
        </w:tc>
        <w:tc>
          <w:tcPr>
            <w:tcW w:w="3740" w:type="dxa"/>
            <w:shd w:val="clear" w:color="auto" w:fill="auto"/>
          </w:tcPr>
          <w:p w14:paraId="30BF3CA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The effectiveness of Habitat for Humanity as a neighborhood stabilization program: The case of Charlotte, North Carolina</w:t>
            </w:r>
          </w:p>
        </w:tc>
        <w:tc>
          <w:tcPr>
            <w:tcW w:w="1224" w:type="dxa"/>
            <w:shd w:val="clear" w:color="auto" w:fill="auto"/>
          </w:tcPr>
          <w:p w14:paraId="3387441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Liveability</w:t>
            </w:r>
          </w:p>
        </w:tc>
        <w:tc>
          <w:tcPr>
            <w:tcW w:w="1609" w:type="dxa"/>
            <w:shd w:val="clear" w:color="auto" w:fill="auto"/>
          </w:tcPr>
          <w:p w14:paraId="674BE34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Affordable Housing Initiative</w:t>
            </w:r>
          </w:p>
        </w:tc>
        <w:tc>
          <w:tcPr>
            <w:tcW w:w="1833" w:type="dxa"/>
            <w:shd w:val="clear" w:color="auto" w:fill="auto"/>
          </w:tcPr>
          <w:p w14:paraId="655AC1C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65C7F45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42F55E4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1</w:t>
            </w:r>
          </w:p>
        </w:tc>
      </w:tr>
      <w:tr w:rsidR="00F00E3D" w:rsidRPr="009176BC" w14:paraId="4AB8C692" w14:textId="77777777" w:rsidTr="009B2FA7">
        <w:trPr>
          <w:trHeight w:val="20"/>
        </w:trPr>
        <w:tc>
          <w:tcPr>
            <w:tcW w:w="1800" w:type="dxa"/>
            <w:shd w:val="clear" w:color="auto" w:fill="auto"/>
            <w:noWrap/>
          </w:tcPr>
          <w:p w14:paraId="78A7F96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5F17F18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Randolph, Bill;</w:t>
            </w:r>
            <w:r>
              <w:rPr>
                <w:rFonts w:asciiTheme="majorHAnsi" w:hAnsiTheme="majorHAnsi" w:cstheme="majorHAnsi"/>
              </w:rPr>
              <w:t xml:space="preserve"> </w:t>
            </w:r>
            <w:r w:rsidRPr="009176BC">
              <w:rPr>
                <w:rFonts w:asciiTheme="majorHAnsi" w:hAnsiTheme="majorHAnsi" w:cstheme="majorHAnsi"/>
              </w:rPr>
              <w:t>Freestone, Robert</w:t>
            </w:r>
          </w:p>
        </w:tc>
        <w:tc>
          <w:tcPr>
            <w:tcW w:w="663" w:type="dxa"/>
            <w:shd w:val="clear" w:color="auto" w:fill="auto"/>
            <w:noWrap/>
          </w:tcPr>
          <w:p w14:paraId="3498E344"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2012</w:t>
            </w:r>
          </w:p>
        </w:tc>
        <w:tc>
          <w:tcPr>
            <w:tcW w:w="3740" w:type="dxa"/>
            <w:shd w:val="clear" w:color="auto" w:fill="auto"/>
          </w:tcPr>
          <w:p w14:paraId="685375C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Differentiation and Renewal in Middle-ring Suburbs</w:t>
            </w:r>
            <w:r>
              <w:rPr>
                <w:rFonts w:asciiTheme="majorHAnsi" w:hAnsiTheme="majorHAnsi" w:cstheme="majorHAnsi"/>
              </w:rPr>
              <w:t xml:space="preserve">: </w:t>
            </w:r>
            <w:r w:rsidRPr="009176BC">
              <w:rPr>
                <w:rFonts w:asciiTheme="majorHAnsi" w:hAnsiTheme="majorHAnsi" w:cstheme="majorHAnsi"/>
              </w:rPr>
              <w:t>The Experience of Sydney, Australia</w:t>
            </w:r>
          </w:p>
        </w:tc>
        <w:tc>
          <w:tcPr>
            <w:tcW w:w="1224" w:type="dxa"/>
            <w:shd w:val="clear" w:color="auto" w:fill="auto"/>
          </w:tcPr>
          <w:p w14:paraId="64DA377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Liveability</w:t>
            </w:r>
          </w:p>
        </w:tc>
        <w:tc>
          <w:tcPr>
            <w:tcW w:w="1609" w:type="dxa"/>
            <w:shd w:val="clear" w:color="auto" w:fill="auto"/>
          </w:tcPr>
          <w:p w14:paraId="228EF12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Neighbourhood Renewal</w:t>
            </w:r>
          </w:p>
        </w:tc>
        <w:tc>
          <w:tcPr>
            <w:tcW w:w="1833" w:type="dxa"/>
            <w:shd w:val="clear" w:color="auto" w:fill="auto"/>
          </w:tcPr>
          <w:p w14:paraId="60C72B7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(framework only)</w:t>
            </w:r>
          </w:p>
        </w:tc>
        <w:tc>
          <w:tcPr>
            <w:tcW w:w="1303" w:type="dxa"/>
            <w:shd w:val="clear" w:color="auto" w:fill="auto"/>
            <w:noWrap/>
          </w:tcPr>
          <w:p w14:paraId="53DBE93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368FEE61"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50</w:t>
            </w:r>
          </w:p>
        </w:tc>
      </w:tr>
      <w:tr w:rsidR="00F00E3D" w:rsidRPr="009176BC" w14:paraId="50EC2FAD" w14:textId="77777777" w:rsidTr="009B2FA7">
        <w:trPr>
          <w:trHeight w:val="20"/>
        </w:trPr>
        <w:tc>
          <w:tcPr>
            <w:tcW w:w="1800" w:type="dxa"/>
            <w:shd w:val="clear" w:color="auto" w:fill="auto"/>
            <w:noWrap/>
          </w:tcPr>
          <w:p w14:paraId="2DA6A5E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6D36969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Fromm, Dorit</w:t>
            </w:r>
          </w:p>
        </w:tc>
        <w:tc>
          <w:tcPr>
            <w:tcW w:w="663" w:type="dxa"/>
            <w:shd w:val="clear" w:color="auto" w:fill="auto"/>
            <w:noWrap/>
          </w:tcPr>
          <w:p w14:paraId="623BB6E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2012</w:t>
            </w:r>
          </w:p>
        </w:tc>
        <w:tc>
          <w:tcPr>
            <w:tcW w:w="3740" w:type="dxa"/>
            <w:shd w:val="clear" w:color="auto" w:fill="auto"/>
          </w:tcPr>
          <w:p w14:paraId="27E4C7F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Seeding Community: Collaborative Housing as a Strategy for Social and Neighbourhood Repair</w:t>
            </w:r>
          </w:p>
        </w:tc>
        <w:tc>
          <w:tcPr>
            <w:tcW w:w="1224" w:type="dxa"/>
            <w:shd w:val="clear" w:color="auto" w:fill="auto"/>
          </w:tcPr>
          <w:p w14:paraId="0ED7EE8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Liveability, Health &amp; Wellbeing</w:t>
            </w:r>
          </w:p>
        </w:tc>
        <w:tc>
          <w:tcPr>
            <w:tcW w:w="1609" w:type="dxa"/>
            <w:shd w:val="clear" w:color="auto" w:fill="auto"/>
          </w:tcPr>
          <w:p w14:paraId="0CE57EF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Collaborative Housing</w:t>
            </w:r>
          </w:p>
        </w:tc>
        <w:tc>
          <w:tcPr>
            <w:tcW w:w="1833" w:type="dxa"/>
            <w:shd w:val="clear" w:color="auto" w:fill="auto"/>
          </w:tcPr>
          <w:p w14:paraId="5B43A03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Case Study only</w:t>
            </w:r>
          </w:p>
        </w:tc>
        <w:tc>
          <w:tcPr>
            <w:tcW w:w="1303" w:type="dxa"/>
            <w:shd w:val="clear" w:color="auto" w:fill="auto"/>
            <w:noWrap/>
          </w:tcPr>
          <w:p w14:paraId="4C67494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 and Global</w:t>
            </w:r>
          </w:p>
        </w:tc>
        <w:tc>
          <w:tcPr>
            <w:tcW w:w="1026" w:type="dxa"/>
            <w:shd w:val="clear" w:color="auto" w:fill="auto"/>
            <w:noWrap/>
          </w:tcPr>
          <w:p w14:paraId="31742CE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88</w:t>
            </w:r>
          </w:p>
        </w:tc>
      </w:tr>
      <w:tr w:rsidR="00F00E3D" w:rsidRPr="009176BC" w14:paraId="0055C6AF" w14:textId="77777777" w:rsidTr="009B2FA7">
        <w:trPr>
          <w:trHeight w:val="20"/>
        </w:trPr>
        <w:tc>
          <w:tcPr>
            <w:tcW w:w="1800" w:type="dxa"/>
            <w:shd w:val="clear" w:color="auto" w:fill="auto"/>
            <w:noWrap/>
          </w:tcPr>
          <w:p w14:paraId="0FEDE6C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34BC0FF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Uitermark, Justus;</w:t>
            </w:r>
            <w:r>
              <w:rPr>
                <w:rFonts w:asciiTheme="majorHAnsi" w:hAnsiTheme="majorHAnsi" w:cstheme="majorHAnsi"/>
              </w:rPr>
              <w:t xml:space="preserve"> </w:t>
            </w:r>
            <w:r w:rsidRPr="009176BC">
              <w:rPr>
                <w:rFonts w:asciiTheme="majorHAnsi" w:hAnsiTheme="majorHAnsi" w:cstheme="majorHAnsi"/>
              </w:rPr>
              <w:t>Loopmans, Maarten</w:t>
            </w:r>
          </w:p>
        </w:tc>
        <w:tc>
          <w:tcPr>
            <w:tcW w:w="663" w:type="dxa"/>
            <w:shd w:val="clear" w:color="auto" w:fill="auto"/>
            <w:noWrap/>
          </w:tcPr>
          <w:p w14:paraId="2DBDCAE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2013</w:t>
            </w:r>
          </w:p>
        </w:tc>
        <w:tc>
          <w:tcPr>
            <w:tcW w:w="3740" w:type="dxa"/>
            <w:shd w:val="clear" w:color="auto" w:fill="auto"/>
          </w:tcPr>
          <w:p w14:paraId="651ECF8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Urban renewal without displacement? Belgium's 'housing contract experiment' and the risks of gentrification</w:t>
            </w:r>
          </w:p>
        </w:tc>
        <w:tc>
          <w:tcPr>
            <w:tcW w:w="1224" w:type="dxa"/>
            <w:shd w:val="clear" w:color="auto" w:fill="auto"/>
          </w:tcPr>
          <w:p w14:paraId="6A0C10F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Housing, Liveability, Health &amp; Wellbeing</w:t>
            </w:r>
          </w:p>
        </w:tc>
        <w:tc>
          <w:tcPr>
            <w:tcW w:w="1609" w:type="dxa"/>
            <w:shd w:val="clear" w:color="auto" w:fill="auto"/>
          </w:tcPr>
          <w:p w14:paraId="6BF3799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Affordable Housing Initiative</w:t>
            </w:r>
          </w:p>
        </w:tc>
        <w:tc>
          <w:tcPr>
            <w:tcW w:w="1833" w:type="dxa"/>
            <w:shd w:val="clear" w:color="auto" w:fill="auto"/>
          </w:tcPr>
          <w:p w14:paraId="768BA57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 (framework only)</w:t>
            </w:r>
          </w:p>
        </w:tc>
        <w:tc>
          <w:tcPr>
            <w:tcW w:w="1303" w:type="dxa"/>
            <w:shd w:val="clear" w:color="auto" w:fill="auto"/>
            <w:noWrap/>
          </w:tcPr>
          <w:p w14:paraId="66578E62"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Belgium</w:t>
            </w:r>
          </w:p>
        </w:tc>
        <w:tc>
          <w:tcPr>
            <w:tcW w:w="1026" w:type="dxa"/>
            <w:shd w:val="clear" w:color="auto" w:fill="auto"/>
            <w:noWrap/>
          </w:tcPr>
          <w:p w14:paraId="47FE42C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35</w:t>
            </w:r>
          </w:p>
        </w:tc>
      </w:tr>
      <w:tr w:rsidR="00F00E3D" w:rsidRPr="009176BC" w14:paraId="486B50AB" w14:textId="77777777" w:rsidTr="009B2FA7">
        <w:trPr>
          <w:trHeight w:val="20"/>
        </w:trPr>
        <w:tc>
          <w:tcPr>
            <w:tcW w:w="1800" w:type="dxa"/>
            <w:shd w:val="clear" w:color="auto" w:fill="auto"/>
            <w:noWrap/>
          </w:tcPr>
          <w:p w14:paraId="75B3E5F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Book Section</w:t>
            </w:r>
          </w:p>
        </w:tc>
        <w:tc>
          <w:tcPr>
            <w:tcW w:w="1537" w:type="dxa"/>
            <w:shd w:val="clear" w:color="auto" w:fill="auto"/>
          </w:tcPr>
          <w:p w14:paraId="118B008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Thurber, Amie</w:t>
            </w:r>
          </w:p>
        </w:tc>
        <w:tc>
          <w:tcPr>
            <w:tcW w:w="663" w:type="dxa"/>
            <w:shd w:val="clear" w:color="auto" w:fill="auto"/>
            <w:noWrap/>
          </w:tcPr>
          <w:p w14:paraId="1C9F9582"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2018</w:t>
            </w:r>
          </w:p>
        </w:tc>
        <w:tc>
          <w:tcPr>
            <w:tcW w:w="3740" w:type="dxa"/>
            <w:shd w:val="clear" w:color="auto" w:fill="auto"/>
          </w:tcPr>
          <w:p w14:paraId="31374FA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Keeping More Than Homes: A More Than Material Framework for Understanding and Intervening in Gentrifying Neighbourhoods</w:t>
            </w:r>
          </w:p>
        </w:tc>
        <w:tc>
          <w:tcPr>
            <w:tcW w:w="1224" w:type="dxa"/>
            <w:shd w:val="clear" w:color="auto" w:fill="auto"/>
          </w:tcPr>
          <w:p w14:paraId="31F69E3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Liveability</w:t>
            </w:r>
          </w:p>
        </w:tc>
        <w:tc>
          <w:tcPr>
            <w:tcW w:w="1609" w:type="dxa"/>
            <w:shd w:val="clear" w:color="auto" w:fill="auto"/>
          </w:tcPr>
          <w:p w14:paraId="5D1F9B4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Participatory Action</w:t>
            </w:r>
          </w:p>
        </w:tc>
        <w:tc>
          <w:tcPr>
            <w:tcW w:w="1833" w:type="dxa"/>
            <w:shd w:val="clear" w:color="auto" w:fill="auto"/>
          </w:tcPr>
          <w:p w14:paraId="209619E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396CF54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240AABBE"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3</w:t>
            </w:r>
          </w:p>
        </w:tc>
      </w:tr>
      <w:tr w:rsidR="00F00E3D" w:rsidRPr="009176BC" w14:paraId="493B7FEA" w14:textId="77777777" w:rsidTr="009B2FA7">
        <w:trPr>
          <w:trHeight w:val="20"/>
        </w:trPr>
        <w:tc>
          <w:tcPr>
            <w:tcW w:w="1800" w:type="dxa"/>
            <w:shd w:val="clear" w:color="auto" w:fill="auto"/>
            <w:noWrap/>
          </w:tcPr>
          <w:p w14:paraId="5802963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764ADED4" w14:textId="77777777" w:rsidR="00F00E3D" w:rsidRPr="009176BC" w:rsidRDefault="00F00E3D" w:rsidP="009B2FA7">
            <w:pPr>
              <w:spacing w:after="0" w:line="240" w:lineRule="auto"/>
              <w:rPr>
                <w:rFonts w:asciiTheme="majorHAnsi" w:eastAsia="Times New Roman" w:hAnsiTheme="majorHAnsi" w:cstheme="majorHAnsi"/>
                <w:color w:val="221F1F"/>
                <w:lang w:eastAsia="en-GB"/>
              </w:rPr>
            </w:pPr>
            <w:r w:rsidRPr="009176BC">
              <w:rPr>
                <w:rFonts w:asciiTheme="majorHAnsi" w:hAnsiTheme="majorHAnsi" w:cstheme="majorHAnsi"/>
              </w:rPr>
              <w:t>Patulny, Roger Vincent;</w:t>
            </w:r>
            <w:r>
              <w:rPr>
                <w:rFonts w:asciiTheme="majorHAnsi" w:hAnsiTheme="majorHAnsi" w:cstheme="majorHAnsi"/>
              </w:rPr>
              <w:t xml:space="preserve"> </w:t>
            </w:r>
            <w:r w:rsidRPr="009176BC">
              <w:rPr>
                <w:rFonts w:asciiTheme="majorHAnsi" w:hAnsiTheme="majorHAnsi" w:cstheme="majorHAnsi"/>
              </w:rPr>
              <w:t>Morris, Alan</w:t>
            </w:r>
          </w:p>
        </w:tc>
        <w:tc>
          <w:tcPr>
            <w:tcW w:w="663" w:type="dxa"/>
            <w:shd w:val="clear" w:color="auto" w:fill="auto"/>
            <w:noWrap/>
          </w:tcPr>
          <w:p w14:paraId="31535318"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2012</w:t>
            </w:r>
          </w:p>
        </w:tc>
        <w:tc>
          <w:tcPr>
            <w:tcW w:w="3740" w:type="dxa"/>
            <w:shd w:val="clear" w:color="auto" w:fill="auto"/>
          </w:tcPr>
          <w:p w14:paraId="64A77EB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Questioning the Need for Social Mix</w:t>
            </w:r>
            <w:r>
              <w:rPr>
                <w:rFonts w:asciiTheme="majorHAnsi" w:hAnsiTheme="majorHAnsi" w:cstheme="majorHAnsi"/>
              </w:rPr>
              <w:t xml:space="preserve">: </w:t>
            </w:r>
            <w:r w:rsidRPr="009176BC">
              <w:rPr>
                <w:rFonts w:asciiTheme="majorHAnsi" w:hAnsiTheme="majorHAnsi" w:cstheme="majorHAnsi"/>
              </w:rPr>
              <w:t>The Implications of Friendship Diversity amongst Australian Social Housing Tenants</w:t>
            </w:r>
          </w:p>
        </w:tc>
        <w:tc>
          <w:tcPr>
            <w:tcW w:w="1224" w:type="dxa"/>
            <w:shd w:val="clear" w:color="auto" w:fill="auto"/>
          </w:tcPr>
          <w:p w14:paraId="08B5C2E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Liveability, Employment, Health &amp; Wellbeing</w:t>
            </w:r>
          </w:p>
        </w:tc>
        <w:tc>
          <w:tcPr>
            <w:tcW w:w="1609" w:type="dxa"/>
            <w:shd w:val="clear" w:color="auto" w:fill="auto"/>
          </w:tcPr>
          <w:p w14:paraId="40039C4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Mixed-Income Development</w:t>
            </w:r>
          </w:p>
        </w:tc>
        <w:tc>
          <w:tcPr>
            <w:tcW w:w="1833" w:type="dxa"/>
            <w:shd w:val="clear" w:color="auto" w:fill="auto"/>
          </w:tcPr>
          <w:p w14:paraId="658FCAC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5864075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107A91E4"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18</w:t>
            </w:r>
          </w:p>
        </w:tc>
      </w:tr>
      <w:tr w:rsidR="00F00E3D" w:rsidRPr="009176BC" w14:paraId="1D1D9EE6" w14:textId="77777777" w:rsidTr="009B2FA7">
        <w:trPr>
          <w:trHeight w:val="20"/>
        </w:trPr>
        <w:tc>
          <w:tcPr>
            <w:tcW w:w="1800" w:type="dxa"/>
            <w:shd w:val="clear" w:color="auto" w:fill="auto"/>
            <w:noWrap/>
          </w:tcPr>
          <w:p w14:paraId="0AA714A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46D0A3B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Peters, R. V.;</w:t>
            </w:r>
            <w:r>
              <w:rPr>
                <w:rFonts w:asciiTheme="majorHAnsi" w:hAnsiTheme="majorHAnsi" w:cstheme="majorHAnsi"/>
              </w:rPr>
              <w:t xml:space="preserve"> </w:t>
            </w:r>
            <w:r w:rsidRPr="009176BC">
              <w:rPr>
                <w:rFonts w:asciiTheme="majorHAnsi" w:hAnsiTheme="majorHAnsi" w:cstheme="majorHAnsi"/>
              </w:rPr>
              <w:t>Petrunka, K.;</w:t>
            </w:r>
            <w:r>
              <w:rPr>
                <w:rFonts w:asciiTheme="majorHAnsi" w:hAnsiTheme="majorHAnsi" w:cstheme="majorHAnsi"/>
              </w:rPr>
              <w:t xml:space="preserve"> </w:t>
            </w:r>
            <w:r w:rsidRPr="009176BC">
              <w:rPr>
                <w:rFonts w:asciiTheme="majorHAnsi" w:hAnsiTheme="majorHAnsi" w:cstheme="majorHAnsi"/>
              </w:rPr>
              <w:t>Khan, S.;</w:t>
            </w:r>
            <w:r>
              <w:rPr>
                <w:rFonts w:asciiTheme="majorHAnsi" w:hAnsiTheme="majorHAnsi" w:cstheme="majorHAnsi"/>
              </w:rPr>
              <w:t xml:space="preserve"> </w:t>
            </w:r>
            <w:r w:rsidRPr="009176BC">
              <w:rPr>
                <w:rFonts w:asciiTheme="majorHAnsi" w:hAnsiTheme="majorHAnsi" w:cstheme="majorHAnsi"/>
              </w:rPr>
              <w:t>Howell-Moneta, A.;</w:t>
            </w:r>
            <w:r>
              <w:rPr>
                <w:rFonts w:asciiTheme="majorHAnsi" w:hAnsiTheme="majorHAnsi" w:cstheme="majorHAnsi"/>
              </w:rPr>
              <w:t xml:space="preserve"> </w:t>
            </w:r>
            <w:r w:rsidRPr="009176BC">
              <w:rPr>
                <w:rFonts w:asciiTheme="majorHAnsi" w:hAnsiTheme="majorHAnsi" w:cstheme="majorHAnsi"/>
              </w:rPr>
              <w:t>Nelson, G.;</w:t>
            </w:r>
            <w:r>
              <w:rPr>
                <w:rFonts w:asciiTheme="majorHAnsi" w:hAnsiTheme="majorHAnsi" w:cstheme="majorHAnsi"/>
              </w:rPr>
              <w:t xml:space="preserve"> </w:t>
            </w:r>
            <w:r w:rsidRPr="009176BC">
              <w:rPr>
                <w:rFonts w:asciiTheme="majorHAnsi" w:hAnsiTheme="majorHAnsi" w:cstheme="majorHAnsi"/>
              </w:rPr>
              <w:lastRenderedPageBreak/>
              <w:t>Pancer, S. M.;</w:t>
            </w:r>
            <w:r>
              <w:rPr>
                <w:rFonts w:asciiTheme="majorHAnsi" w:hAnsiTheme="majorHAnsi" w:cstheme="majorHAnsi"/>
              </w:rPr>
              <w:t xml:space="preserve"> </w:t>
            </w:r>
            <w:r w:rsidRPr="009176BC">
              <w:rPr>
                <w:rFonts w:asciiTheme="majorHAnsi" w:hAnsiTheme="majorHAnsi" w:cstheme="majorHAnsi"/>
              </w:rPr>
              <w:t>Loomis, C.</w:t>
            </w:r>
          </w:p>
        </w:tc>
        <w:tc>
          <w:tcPr>
            <w:tcW w:w="663" w:type="dxa"/>
            <w:shd w:val="clear" w:color="auto" w:fill="auto"/>
            <w:noWrap/>
          </w:tcPr>
          <w:p w14:paraId="4D26454D"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lastRenderedPageBreak/>
              <w:t>2016</w:t>
            </w:r>
          </w:p>
        </w:tc>
        <w:tc>
          <w:tcPr>
            <w:tcW w:w="3740" w:type="dxa"/>
            <w:shd w:val="clear" w:color="auto" w:fill="auto"/>
          </w:tcPr>
          <w:p w14:paraId="503D8B4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Cost-savings analysis of the better beginnings, better futures community-based project for young children and their families: A 10-year follow-up</w:t>
            </w:r>
          </w:p>
        </w:tc>
        <w:tc>
          <w:tcPr>
            <w:tcW w:w="1224" w:type="dxa"/>
            <w:shd w:val="clear" w:color="auto" w:fill="auto"/>
          </w:tcPr>
          <w:p w14:paraId="64157A6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Liveability, Employment, Health &amp; Wellbeing</w:t>
            </w:r>
          </w:p>
        </w:tc>
        <w:tc>
          <w:tcPr>
            <w:tcW w:w="1609" w:type="dxa"/>
            <w:shd w:val="clear" w:color="auto" w:fill="auto"/>
          </w:tcPr>
          <w:p w14:paraId="2706EB6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Engagement</w:t>
            </w:r>
          </w:p>
        </w:tc>
        <w:tc>
          <w:tcPr>
            <w:tcW w:w="1833" w:type="dxa"/>
            <w:shd w:val="clear" w:color="auto" w:fill="auto"/>
          </w:tcPr>
          <w:p w14:paraId="4F81007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22FCBF36"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Canada</w:t>
            </w:r>
          </w:p>
        </w:tc>
        <w:tc>
          <w:tcPr>
            <w:tcW w:w="1026" w:type="dxa"/>
            <w:shd w:val="clear" w:color="auto" w:fill="auto"/>
            <w:noWrap/>
          </w:tcPr>
          <w:p w14:paraId="55404180"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6</w:t>
            </w:r>
          </w:p>
        </w:tc>
      </w:tr>
      <w:tr w:rsidR="00F00E3D" w:rsidRPr="009176BC" w14:paraId="7FB29DC5" w14:textId="77777777" w:rsidTr="009B2FA7">
        <w:trPr>
          <w:trHeight w:val="20"/>
        </w:trPr>
        <w:tc>
          <w:tcPr>
            <w:tcW w:w="1800" w:type="dxa"/>
            <w:shd w:val="clear" w:color="auto" w:fill="auto"/>
            <w:noWrap/>
          </w:tcPr>
          <w:p w14:paraId="1465976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186E069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Carnegie, A.;</w:t>
            </w:r>
            <w:r>
              <w:rPr>
                <w:rFonts w:asciiTheme="majorHAnsi" w:hAnsiTheme="majorHAnsi" w:cstheme="majorHAnsi"/>
              </w:rPr>
              <w:t xml:space="preserve"> </w:t>
            </w:r>
            <w:r w:rsidRPr="009176BC">
              <w:rPr>
                <w:rFonts w:asciiTheme="majorHAnsi" w:hAnsiTheme="majorHAnsi" w:cstheme="majorHAnsi"/>
              </w:rPr>
              <w:t>Norris, M.</w:t>
            </w:r>
          </w:p>
        </w:tc>
        <w:tc>
          <w:tcPr>
            <w:tcW w:w="663" w:type="dxa"/>
            <w:shd w:val="clear" w:color="auto" w:fill="auto"/>
            <w:noWrap/>
          </w:tcPr>
          <w:p w14:paraId="4FFF7CDC"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2015</w:t>
            </w:r>
          </w:p>
        </w:tc>
        <w:tc>
          <w:tcPr>
            <w:tcW w:w="3740" w:type="dxa"/>
            <w:shd w:val="clear" w:color="auto" w:fill="auto"/>
          </w:tcPr>
          <w:p w14:paraId="1765F1F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Strengthening communities, building capacity, combating stigma: exploring the potential of culture-led social housing regeneration</w:t>
            </w:r>
          </w:p>
        </w:tc>
        <w:tc>
          <w:tcPr>
            <w:tcW w:w="1224" w:type="dxa"/>
            <w:shd w:val="clear" w:color="auto" w:fill="auto"/>
          </w:tcPr>
          <w:p w14:paraId="3D01709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Liveability, Health &amp; Wellbeing</w:t>
            </w:r>
          </w:p>
        </w:tc>
        <w:tc>
          <w:tcPr>
            <w:tcW w:w="1609" w:type="dxa"/>
            <w:shd w:val="clear" w:color="auto" w:fill="auto"/>
          </w:tcPr>
          <w:p w14:paraId="7B495074"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Culture-led social housing regeneration</w:t>
            </w:r>
          </w:p>
        </w:tc>
        <w:tc>
          <w:tcPr>
            <w:tcW w:w="1833" w:type="dxa"/>
            <w:shd w:val="clear" w:color="auto" w:fill="auto"/>
          </w:tcPr>
          <w:p w14:paraId="46A07F2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163AF5A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Ireland</w:t>
            </w:r>
          </w:p>
        </w:tc>
        <w:tc>
          <w:tcPr>
            <w:tcW w:w="1026" w:type="dxa"/>
            <w:shd w:val="clear" w:color="auto" w:fill="auto"/>
            <w:noWrap/>
          </w:tcPr>
          <w:p w14:paraId="6EEFC703"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w:t>
            </w:r>
          </w:p>
        </w:tc>
      </w:tr>
      <w:tr w:rsidR="00F00E3D" w:rsidRPr="009176BC" w14:paraId="3F2561A7" w14:textId="77777777" w:rsidTr="009B2FA7">
        <w:trPr>
          <w:trHeight w:val="20"/>
        </w:trPr>
        <w:tc>
          <w:tcPr>
            <w:tcW w:w="1800" w:type="dxa"/>
            <w:shd w:val="clear" w:color="auto" w:fill="auto"/>
            <w:noWrap/>
          </w:tcPr>
          <w:p w14:paraId="025B8D20"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0D41B029"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Goodwin, S.;</w:t>
            </w:r>
            <w:r>
              <w:rPr>
                <w:rFonts w:asciiTheme="majorHAnsi" w:hAnsiTheme="majorHAnsi" w:cstheme="majorHAnsi"/>
              </w:rPr>
              <w:t xml:space="preserve"> </w:t>
            </w:r>
            <w:r w:rsidRPr="009176BC">
              <w:rPr>
                <w:rFonts w:asciiTheme="majorHAnsi" w:hAnsiTheme="majorHAnsi" w:cstheme="majorHAnsi"/>
              </w:rPr>
              <w:t>Young, A.</w:t>
            </w:r>
          </w:p>
        </w:tc>
        <w:tc>
          <w:tcPr>
            <w:tcW w:w="663" w:type="dxa"/>
            <w:shd w:val="clear" w:color="auto" w:fill="auto"/>
            <w:noWrap/>
          </w:tcPr>
          <w:p w14:paraId="2C0FDCD4"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2013</w:t>
            </w:r>
          </w:p>
        </w:tc>
        <w:tc>
          <w:tcPr>
            <w:tcW w:w="3740" w:type="dxa"/>
            <w:shd w:val="clear" w:color="auto" w:fill="auto"/>
          </w:tcPr>
          <w:p w14:paraId="779789D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Ensuring Children and Young People Have a Voice in Neighbourhood Community Development</w:t>
            </w:r>
          </w:p>
        </w:tc>
        <w:tc>
          <w:tcPr>
            <w:tcW w:w="1224" w:type="dxa"/>
            <w:shd w:val="clear" w:color="auto" w:fill="auto"/>
          </w:tcPr>
          <w:p w14:paraId="0B910AF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Liveability, Health &amp; Wellbeing</w:t>
            </w:r>
          </w:p>
        </w:tc>
        <w:tc>
          <w:tcPr>
            <w:tcW w:w="1609" w:type="dxa"/>
            <w:shd w:val="clear" w:color="auto" w:fill="auto"/>
          </w:tcPr>
          <w:p w14:paraId="565D700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Engagement</w:t>
            </w:r>
          </w:p>
        </w:tc>
        <w:tc>
          <w:tcPr>
            <w:tcW w:w="1833" w:type="dxa"/>
            <w:shd w:val="clear" w:color="auto" w:fill="auto"/>
          </w:tcPr>
          <w:p w14:paraId="599FAA6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5D587CBE"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26B66AA1"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11</w:t>
            </w:r>
          </w:p>
        </w:tc>
      </w:tr>
      <w:tr w:rsidR="00F00E3D" w:rsidRPr="009176BC" w14:paraId="51B92D41" w14:textId="77777777" w:rsidTr="009B2FA7">
        <w:trPr>
          <w:trHeight w:val="20"/>
        </w:trPr>
        <w:tc>
          <w:tcPr>
            <w:tcW w:w="1800" w:type="dxa"/>
            <w:shd w:val="clear" w:color="auto" w:fill="auto"/>
            <w:noWrap/>
          </w:tcPr>
          <w:p w14:paraId="1820223B"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Journal Article</w:t>
            </w:r>
          </w:p>
        </w:tc>
        <w:tc>
          <w:tcPr>
            <w:tcW w:w="1537" w:type="dxa"/>
            <w:shd w:val="clear" w:color="auto" w:fill="auto"/>
          </w:tcPr>
          <w:p w14:paraId="23CDEDC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Pastor, M.;</w:t>
            </w:r>
            <w:r>
              <w:rPr>
                <w:rFonts w:asciiTheme="majorHAnsi" w:hAnsiTheme="majorHAnsi" w:cstheme="majorHAnsi"/>
              </w:rPr>
              <w:t xml:space="preserve"> </w:t>
            </w:r>
            <w:r w:rsidRPr="009176BC">
              <w:rPr>
                <w:rFonts w:asciiTheme="majorHAnsi" w:hAnsiTheme="majorHAnsi" w:cstheme="majorHAnsi"/>
              </w:rPr>
              <w:t>Morello-Frosch, R.</w:t>
            </w:r>
          </w:p>
        </w:tc>
        <w:tc>
          <w:tcPr>
            <w:tcW w:w="663" w:type="dxa"/>
            <w:shd w:val="clear" w:color="auto" w:fill="auto"/>
            <w:noWrap/>
          </w:tcPr>
          <w:p w14:paraId="2E26C10F"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2014</w:t>
            </w:r>
          </w:p>
        </w:tc>
        <w:tc>
          <w:tcPr>
            <w:tcW w:w="3740" w:type="dxa"/>
            <w:shd w:val="clear" w:color="auto" w:fill="auto"/>
          </w:tcPr>
          <w:p w14:paraId="1FC91BE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Integrating public health and community development to tackle neighborhood distress and promote well-being</w:t>
            </w:r>
          </w:p>
        </w:tc>
        <w:tc>
          <w:tcPr>
            <w:tcW w:w="1224" w:type="dxa"/>
            <w:shd w:val="clear" w:color="auto" w:fill="auto"/>
          </w:tcPr>
          <w:p w14:paraId="0140B415"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Liveability, Health &amp; Wellbeing</w:t>
            </w:r>
          </w:p>
        </w:tc>
        <w:tc>
          <w:tcPr>
            <w:tcW w:w="1609" w:type="dxa"/>
            <w:shd w:val="clear" w:color="auto" w:fill="auto"/>
          </w:tcPr>
          <w:p w14:paraId="2A49357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Public Health &amp; Housing Integration</w:t>
            </w:r>
          </w:p>
        </w:tc>
        <w:tc>
          <w:tcPr>
            <w:tcW w:w="1833" w:type="dxa"/>
            <w:shd w:val="clear" w:color="auto" w:fill="auto"/>
          </w:tcPr>
          <w:p w14:paraId="5594D3AC"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N</w:t>
            </w:r>
          </w:p>
        </w:tc>
        <w:tc>
          <w:tcPr>
            <w:tcW w:w="1303" w:type="dxa"/>
            <w:shd w:val="clear" w:color="auto" w:fill="auto"/>
            <w:noWrap/>
          </w:tcPr>
          <w:p w14:paraId="498950BA"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US</w:t>
            </w:r>
          </w:p>
        </w:tc>
        <w:tc>
          <w:tcPr>
            <w:tcW w:w="1026" w:type="dxa"/>
            <w:shd w:val="clear" w:color="auto" w:fill="auto"/>
            <w:noWrap/>
          </w:tcPr>
          <w:p w14:paraId="33EACCA2"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24</w:t>
            </w:r>
          </w:p>
        </w:tc>
      </w:tr>
      <w:tr w:rsidR="00F00E3D" w:rsidRPr="009176BC" w14:paraId="3E4BFA5E" w14:textId="77777777" w:rsidTr="009B2FA7">
        <w:trPr>
          <w:trHeight w:val="20"/>
        </w:trPr>
        <w:tc>
          <w:tcPr>
            <w:tcW w:w="1800" w:type="dxa"/>
            <w:shd w:val="clear" w:color="auto" w:fill="auto"/>
            <w:noWrap/>
          </w:tcPr>
          <w:p w14:paraId="4809FE9D"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Conference Proceedings</w:t>
            </w:r>
          </w:p>
        </w:tc>
        <w:tc>
          <w:tcPr>
            <w:tcW w:w="1537" w:type="dxa"/>
            <w:shd w:val="clear" w:color="auto" w:fill="auto"/>
          </w:tcPr>
          <w:p w14:paraId="4279AB5F"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Wood, Martin</w:t>
            </w:r>
          </w:p>
        </w:tc>
        <w:tc>
          <w:tcPr>
            <w:tcW w:w="663" w:type="dxa"/>
            <w:shd w:val="clear" w:color="auto" w:fill="auto"/>
            <w:noWrap/>
          </w:tcPr>
          <w:p w14:paraId="50B02949"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2001</w:t>
            </w:r>
          </w:p>
        </w:tc>
        <w:tc>
          <w:tcPr>
            <w:tcW w:w="3740" w:type="dxa"/>
            <w:shd w:val="clear" w:color="auto" w:fill="auto"/>
          </w:tcPr>
          <w:p w14:paraId="112CC431"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Resident Participation, social cohesion and sustainability in neighbourhood renewal: developing best practice models</w:t>
            </w:r>
          </w:p>
        </w:tc>
        <w:tc>
          <w:tcPr>
            <w:tcW w:w="1224" w:type="dxa"/>
            <w:shd w:val="clear" w:color="auto" w:fill="auto"/>
          </w:tcPr>
          <w:p w14:paraId="7D6F4A2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Liveability, Health &amp; Wellbeing</w:t>
            </w:r>
          </w:p>
        </w:tc>
        <w:tc>
          <w:tcPr>
            <w:tcW w:w="1609" w:type="dxa"/>
            <w:shd w:val="clear" w:color="auto" w:fill="auto"/>
          </w:tcPr>
          <w:p w14:paraId="317C25B7"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Community Engagement</w:t>
            </w:r>
          </w:p>
        </w:tc>
        <w:tc>
          <w:tcPr>
            <w:tcW w:w="1833" w:type="dxa"/>
            <w:shd w:val="clear" w:color="auto" w:fill="auto"/>
          </w:tcPr>
          <w:p w14:paraId="02BFA0D8"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Y</w:t>
            </w:r>
          </w:p>
        </w:tc>
        <w:tc>
          <w:tcPr>
            <w:tcW w:w="1303" w:type="dxa"/>
            <w:shd w:val="clear" w:color="auto" w:fill="auto"/>
            <w:noWrap/>
          </w:tcPr>
          <w:p w14:paraId="0C8A3D43" w14:textId="77777777" w:rsidR="00F00E3D" w:rsidRPr="009176BC" w:rsidRDefault="00F00E3D" w:rsidP="009B2FA7">
            <w:pPr>
              <w:spacing w:after="0" w:line="240" w:lineRule="auto"/>
              <w:rPr>
                <w:rFonts w:asciiTheme="majorHAnsi" w:eastAsia="Times New Roman" w:hAnsiTheme="majorHAnsi" w:cstheme="majorHAnsi"/>
                <w:color w:val="000000"/>
                <w:lang w:eastAsia="en-GB"/>
              </w:rPr>
            </w:pPr>
            <w:r w:rsidRPr="009176BC">
              <w:rPr>
                <w:rFonts w:asciiTheme="majorHAnsi" w:hAnsiTheme="majorHAnsi" w:cstheme="majorHAnsi"/>
              </w:rPr>
              <w:t>Australia</w:t>
            </w:r>
          </w:p>
        </w:tc>
        <w:tc>
          <w:tcPr>
            <w:tcW w:w="1026" w:type="dxa"/>
            <w:shd w:val="clear" w:color="auto" w:fill="auto"/>
            <w:noWrap/>
          </w:tcPr>
          <w:p w14:paraId="2E5CEF10" w14:textId="77777777" w:rsidR="00F00E3D" w:rsidRPr="009176BC" w:rsidRDefault="00F00E3D" w:rsidP="009B2FA7">
            <w:pPr>
              <w:spacing w:after="0" w:line="240" w:lineRule="auto"/>
              <w:jc w:val="right"/>
              <w:rPr>
                <w:rFonts w:asciiTheme="majorHAnsi" w:eastAsia="Times New Roman" w:hAnsiTheme="majorHAnsi" w:cstheme="majorHAnsi"/>
                <w:color w:val="000000"/>
                <w:lang w:eastAsia="en-GB"/>
              </w:rPr>
            </w:pPr>
            <w:r w:rsidRPr="009176BC">
              <w:rPr>
                <w:rFonts w:asciiTheme="majorHAnsi" w:hAnsiTheme="majorHAnsi" w:cstheme="majorHAnsi"/>
              </w:rPr>
              <w:t>22</w:t>
            </w:r>
          </w:p>
        </w:tc>
      </w:tr>
    </w:tbl>
    <w:p w14:paraId="03D0B045" w14:textId="77777777" w:rsidR="00F00E3D" w:rsidRPr="00BC19B6" w:rsidRDefault="00F00E3D" w:rsidP="009B2FA7">
      <w:pPr>
        <w:spacing w:after="0" w:line="276" w:lineRule="auto"/>
        <w:rPr>
          <w:rFonts w:asciiTheme="majorHAnsi" w:eastAsia="Times New Roman" w:hAnsiTheme="majorHAnsi" w:cstheme="majorHAnsi"/>
          <w:b/>
          <w:bCs/>
          <w:color w:val="000000"/>
          <w:sz w:val="23"/>
          <w:szCs w:val="23"/>
          <w:lang w:eastAsia="en-GB"/>
        </w:rPr>
        <w:sectPr w:rsidR="00F00E3D" w:rsidRPr="00BC19B6" w:rsidSect="009452E8">
          <w:pgSz w:w="16840" w:h="11900" w:orient="landscape"/>
          <w:pgMar w:top="1134" w:right="1134" w:bottom="1134" w:left="1134" w:header="709" w:footer="709" w:gutter="0"/>
          <w:cols w:space="708"/>
          <w:docGrid w:linePitch="360"/>
        </w:sectPr>
      </w:pPr>
    </w:p>
    <w:p w14:paraId="78070734" w14:textId="77777777" w:rsidR="00F00E3D" w:rsidRPr="00833284" w:rsidRDefault="00F00E3D" w:rsidP="009B2FA7">
      <w:pPr>
        <w:spacing w:line="276" w:lineRule="auto"/>
        <w:rPr>
          <w:rFonts w:asciiTheme="majorHAnsi" w:hAnsiTheme="majorHAnsi" w:cstheme="majorBidi"/>
          <w:b/>
          <w:color w:val="2F5496" w:themeColor="accent1" w:themeShade="BF"/>
          <w:sz w:val="24"/>
          <w:szCs w:val="24"/>
        </w:rPr>
      </w:pPr>
      <w:r w:rsidRPr="00833284">
        <w:rPr>
          <w:rFonts w:eastAsia="Calibri"/>
          <w:b/>
          <w:bCs/>
          <w:color w:val="2F5496" w:themeColor="accent1" w:themeShade="BF"/>
          <w:sz w:val="32"/>
          <w:szCs w:val="32"/>
        </w:rPr>
        <w:lastRenderedPageBreak/>
        <w:t>Appendix D</w:t>
      </w:r>
      <w:r w:rsidRPr="00833284">
        <w:rPr>
          <w:rFonts w:asciiTheme="majorHAnsi" w:hAnsiTheme="majorHAnsi" w:cstheme="majorBidi"/>
          <w:b/>
          <w:color w:val="2F5496" w:themeColor="accent1" w:themeShade="BF"/>
          <w:sz w:val="24"/>
          <w:szCs w:val="24"/>
        </w:rPr>
        <w:t xml:space="preserve"> </w:t>
      </w:r>
    </w:p>
    <w:p w14:paraId="40AC4250" w14:textId="76339248" w:rsidR="00F00E3D" w:rsidRPr="00833284" w:rsidRDefault="00F00E3D" w:rsidP="009B2FA7">
      <w:pPr>
        <w:spacing w:before="120" w:after="120" w:line="360" w:lineRule="auto"/>
        <w:jc w:val="both"/>
        <w:rPr>
          <w:rFonts w:eastAsia="Calibri"/>
          <w:b/>
          <w:bCs/>
          <w:color w:val="2F5496" w:themeColor="accent1" w:themeShade="BF"/>
          <w:sz w:val="32"/>
          <w:szCs w:val="32"/>
        </w:rPr>
      </w:pPr>
      <w:r w:rsidRPr="00833284">
        <w:rPr>
          <w:rFonts w:eastAsia="Calibri"/>
          <w:b/>
          <w:bCs/>
          <w:color w:val="2F5496" w:themeColor="accent1" w:themeShade="BF"/>
          <w:sz w:val="32"/>
          <w:szCs w:val="32"/>
        </w:rPr>
        <w:t>Analysis</w:t>
      </w:r>
      <w:r w:rsidR="00833284">
        <w:rPr>
          <w:rFonts w:eastAsia="Calibri"/>
          <w:b/>
          <w:bCs/>
          <w:color w:val="2F5496" w:themeColor="accent1" w:themeShade="BF"/>
          <w:sz w:val="32"/>
          <w:szCs w:val="32"/>
        </w:rPr>
        <w:t xml:space="preserve">: </w:t>
      </w:r>
      <w:r w:rsidRPr="00833284">
        <w:rPr>
          <w:rFonts w:eastAsia="Calibri"/>
          <w:b/>
          <w:bCs/>
          <w:color w:val="2F5496" w:themeColor="accent1" w:themeShade="BF"/>
          <w:sz w:val="32"/>
          <w:szCs w:val="32"/>
        </w:rPr>
        <w:t xml:space="preserve">Impact of </w:t>
      </w:r>
      <w:r w:rsidR="00940D80">
        <w:rPr>
          <w:rFonts w:eastAsia="Calibri"/>
          <w:b/>
          <w:bCs/>
          <w:color w:val="2F5496" w:themeColor="accent1" w:themeShade="BF"/>
          <w:sz w:val="32"/>
          <w:szCs w:val="32"/>
        </w:rPr>
        <w:t>COVID</w:t>
      </w:r>
      <w:r w:rsidR="00CE2B42">
        <w:rPr>
          <w:rFonts w:eastAsia="Calibri"/>
          <w:b/>
          <w:bCs/>
          <w:color w:val="2F5496" w:themeColor="accent1" w:themeShade="BF"/>
          <w:sz w:val="32"/>
          <w:szCs w:val="32"/>
        </w:rPr>
        <w:t xml:space="preserve">-19 </w:t>
      </w:r>
      <w:r w:rsidRPr="00833284">
        <w:rPr>
          <w:rFonts w:eastAsia="Calibri"/>
          <w:b/>
          <w:bCs/>
          <w:color w:val="2F5496" w:themeColor="accent1" w:themeShade="BF"/>
          <w:sz w:val="32"/>
          <w:szCs w:val="32"/>
        </w:rPr>
        <w:t>Pandemic on the Housing Market</w:t>
      </w:r>
    </w:p>
    <w:p w14:paraId="2B78CA9C" w14:textId="18ABBBA7" w:rsidR="00F00E3D" w:rsidRPr="00CE2B42" w:rsidRDefault="00F00E3D" w:rsidP="002C52A2">
      <w:pPr>
        <w:spacing w:before="120" w:after="120" w:line="276" w:lineRule="auto"/>
        <w:rPr>
          <w:rFonts w:asciiTheme="majorHAnsi" w:hAnsiTheme="majorHAnsi" w:cstheme="majorBidi"/>
        </w:rPr>
      </w:pPr>
      <w:r w:rsidRPr="00CE2B42">
        <w:rPr>
          <w:rFonts w:asciiTheme="majorHAnsi" w:hAnsiTheme="majorHAnsi" w:cstheme="majorBidi"/>
        </w:rPr>
        <w:t xml:space="preserve">We adopt a Difference-In-Differences (DID) research approach to test how the response of housing price to the </w:t>
      </w:r>
      <w:r w:rsidR="00940D80">
        <w:rPr>
          <w:rFonts w:asciiTheme="majorHAnsi" w:hAnsiTheme="majorHAnsi" w:cstheme="majorBidi"/>
        </w:rPr>
        <w:t>COVID</w:t>
      </w:r>
      <w:r w:rsidRPr="00CE2B42">
        <w:rPr>
          <w:rFonts w:asciiTheme="majorHAnsi" w:hAnsiTheme="majorHAnsi" w:cstheme="majorBidi"/>
        </w:rPr>
        <w:t xml:space="preserve"> pandemic in the three focal suburbs is different from the rest VIC area. We consider the impact of </w:t>
      </w:r>
      <w:r w:rsidR="00940D80">
        <w:rPr>
          <w:rFonts w:asciiTheme="majorHAnsi" w:hAnsiTheme="majorHAnsi" w:cstheme="majorBidi"/>
        </w:rPr>
        <w:t>COVID</w:t>
      </w:r>
      <w:r w:rsidRPr="00CE2B42">
        <w:rPr>
          <w:rFonts w:asciiTheme="majorHAnsi" w:hAnsiTheme="majorHAnsi" w:cstheme="majorBidi"/>
        </w:rPr>
        <w:t xml:space="preserve"> pandemic as a “treatment” performed to the housing market, and three focal suburbs as the “treatment area.” We also identify four reference group for comparison, and we will discuss these four reference groups in details later. The DID approach which can effectively rule out the endogeneity bias and the omitted-variable bias. This research method has been used in recent papers by </w:t>
      </w:r>
      <w:r w:rsidRPr="00CE2B42">
        <w:rPr>
          <w:rFonts w:asciiTheme="majorHAnsi" w:hAnsiTheme="majorHAnsi" w:cstheme="majorBidi"/>
          <w:noProof/>
        </w:rPr>
        <w:t>Sumit Agarwal and Qian (2014)</w:t>
      </w:r>
      <w:r w:rsidRPr="00CE2B42">
        <w:rPr>
          <w:rFonts w:asciiTheme="majorHAnsi" w:hAnsiTheme="majorHAnsi" w:cstheme="majorBidi"/>
        </w:rPr>
        <w:t xml:space="preserve">; </w:t>
      </w:r>
      <w:r w:rsidRPr="00CE2B42">
        <w:rPr>
          <w:rFonts w:asciiTheme="majorHAnsi" w:hAnsiTheme="majorHAnsi" w:cstheme="majorBidi"/>
          <w:noProof/>
        </w:rPr>
        <w:t>Feng and Lu (2013)</w:t>
      </w:r>
      <w:r w:rsidRPr="00CE2B42">
        <w:rPr>
          <w:rFonts w:asciiTheme="majorHAnsi" w:hAnsiTheme="majorHAnsi" w:cstheme="majorBidi"/>
        </w:rPr>
        <w:t xml:space="preserve">, and </w:t>
      </w:r>
      <w:r w:rsidRPr="00CE2B42">
        <w:rPr>
          <w:rFonts w:asciiTheme="majorHAnsi" w:hAnsiTheme="majorHAnsi" w:cstheme="majorBidi"/>
          <w:noProof/>
        </w:rPr>
        <w:t>Liang et al. (2021)</w:t>
      </w:r>
      <w:r w:rsidRPr="00CE2B42">
        <w:rPr>
          <w:rFonts w:asciiTheme="majorHAnsi" w:hAnsiTheme="majorHAnsi" w:cstheme="majorBidi"/>
        </w:rPr>
        <w:t xml:space="preserve"> which investigate how housing prices are influenced by exogenous events similar to the </w:t>
      </w:r>
      <w:r w:rsidR="00940D80">
        <w:rPr>
          <w:rFonts w:asciiTheme="majorHAnsi" w:hAnsiTheme="majorHAnsi" w:cstheme="majorBidi"/>
        </w:rPr>
        <w:t>COVID</w:t>
      </w:r>
      <w:r w:rsidRPr="00CE2B42">
        <w:rPr>
          <w:rFonts w:asciiTheme="majorHAnsi" w:hAnsiTheme="majorHAnsi" w:cstheme="majorBidi"/>
        </w:rPr>
        <w:t xml:space="preserve"> pandemic. The DID baseline model is developed as below:</w:t>
      </w:r>
    </w:p>
    <w:p w14:paraId="54018A74" w14:textId="77777777" w:rsidR="00F00E3D" w:rsidRPr="00CE2B42" w:rsidRDefault="007320D6" w:rsidP="002C52A2">
      <w:pPr>
        <w:spacing w:before="120" w:after="120" w:line="276" w:lineRule="auto"/>
        <w:rPr>
          <w:rFonts w:asciiTheme="majorHAnsi" w:eastAsia="Times New Roman" w:hAnsiTheme="majorHAnsi" w:cstheme="majorBidi"/>
        </w:rPr>
      </w:pPr>
      <m:oMath>
        <m:func>
          <m:funcPr>
            <m:ctrlPr>
              <w:rPr>
                <w:rFonts w:ascii="Cambria Math" w:eastAsia="Times New Roman" w:hAnsi="Cambria Math" w:cstheme="majorHAnsi"/>
                <w:i/>
              </w:rPr>
            </m:ctrlPr>
          </m:funcPr>
          <m:fName>
            <m:r>
              <m:rPr>
                <m:sty m:val="p"/>
              </m:rPr>
              <w:rPr>
                <w:rFonts w:ascii="Cambria Math" w:eastAsia="Times New Roman" w:hAnsi="Cambria Math" w:cstheme="majorHAnsi"/>
              </w:rPr>
              <m:t>log</m:t>
            </m:r>
          </m:fName>
          <m:e>
            <m:d>
              <m:dPr>
                <m:ctrlPr>
                  <w:rPr>
                    <w:rFonts w:ascii="Cambria Math" w:eastAsia="Times New Roman" w:hAnsi="Cambria Math" w:cstheme="majorHAnsi"/>
                    <w:i/>
                  </w:rPr>
                </m:ctrlPr>
              </m:dPr>
              <m:e>
                <m:sSub>
                  <m:sSubPr>
                    <m:ctrlPr>
                      <w:rPr>
                        <w:rFonts w:ascii="Cambria Math" w:eastAsia="Times New Roman" w:hAnsi="Cambria Math" w:cstheme="majorHAnsi"/>
                        <w:i/>
                      </w:rPr>
                    </m:ctrlPr>
                  </m:sSubPr>
                  <m:e>
                    <m:r>
                      <w:rPr>
                        <w:rFonts w:ascii="Cambria Math" w:eastAsia="Times New Roman" w:hAnsi="Cambria Math" w:cstheme="majorHAnsi"/>
                      </w:rPr>
                      <m:t>Price</m:t>
                    </m:r>
                  </m:e>
                  <m:sub>
                    <m:r>
                      <w:rPr>
                        <w:rFonts w:ascii="Cambria Math" w:eastAsia="Times New Roman" w:hAnsi="Cambria Math" w:cstheme="majorHAnsi"/>
                      </w:rPr>
                      <m:t>i,t</m:t>
                    </m:r>
                  </m:sub>
                </m:sSub>
              </m:e>
            </m:d>
          </m:e>
        </m:func>
        <m:r>
          <w:rPr>
            <w:rFonts w:ascii="Cambria Math" w:eastAsia="Times New Roman" w:hAnsi="Cambria Math" w:cstheme="majorHAnsi"/>
          </w:rPr>
          <m:t>=α+</m:t>
        </m:r>
        <m:sSub>
          <m:sSubPr>
            <m:ctrlPr>
              <w:rPr>
                <w:rFonts w:ascii="Cambria Math" w:eastAsia="Times New Roman" w:hAnsi="Cambria Math" w:cstheme="majorHAnsi"/>
                <w:i/>
              </w:rPr>
            </m:ctrlPr>
          </m:sSubPr>
          <m:e>
            <m:r>
              <w:rPr>
                <w:rFonts w:ascii="Cambria Math" w:eastAsia="Times New Roman" w:hAnsi="Cambria Math" w:cstheme="majorHAnsi"/>
              </w:rPr>
              <m:t>β</m:t>
            </m:r>
          </m:e>
          <m:sub>
            <m:r>
              <w:rPr>
                <w:rFonts w:ascii="Cambria Math" w:eastAsia="Times New Roman" w:hAnsi="Cambria Math" w:cstheme="majorHAnsi"/>
              </w:rPr>
              <m:t>1</m:t>
            </m:r>
          </m:sub>
        </m:sSub>
        <m:d>
          <m:dPr>
            <m:ctrlPr>
              <w:rPr>
                <w:rFonts w:ascii="Cambria Math" w:eastAsia="Times New Roman" w:hAnsi="Cambria Math" w:cstheme="majorHAnsi"/>
                <w:i/>
              </w:rPr>
            </m:ctrlPr>
          </m:dPr>
          <m:e>
            <m:r>
              <w:rPr>
                <w:rFonts w:ascii="Cambria Math" w:eastAsia="Times New Roman" w:hAnsi="Cambria Math" w:cstheme="majorHAnsi"/>
              </w:rPr>
              <m:t xml:space="preserve"> </m:t>
            </m:r>
            <m:sSub>
              <m:sSubPr>
                <m:ctrlPr>
                  <w:rPr>
                    <w:rFonts w:ascii="Cambria Math" w:eastAsia="Times New Roman" w:hAnsi="Cambria Math" w:cstheme="majorHAnsi"/>
                    <w:i/>
                  </w:rPr>
                </m:ctrlPr>
              </m:sSubPr>
              <m:e>
                <m:r>
                  <w:rPr>
                    <w:rFonts w:ascii="Cambria Math" w:eastAsia="Times New Roman" w:hAnsi="Cambria Math" w:cstheme="majorHAnsi"/>
                  </w:rPr>
                  <m:t>Treatment Period</m:t>
                </m:r>
              </m:e>
              <m:sub>
                <m:r>
                  <w:rPr>
                    <w:rFonts w:ascii="Cambria Math" w:eastAsia="Times New Roman" w:hAnsi="Cambria Math" w:cstheme="majorHAnsi"/>
                  </w:rPr>
                  <m:t xml:space="preserve">i </m:t>
                </m:r>
              </m:sub>
            </m:sSub>
            <m:r>
              <w:rPr>
                <w:rFonts w:ascii="Cambria Math" w:eastAsia="Times New Roman" w:hAnsi="Cambria Math" w:cstheme="majorHAnsi"/>
              </w:rPr>
              <m:t>X</m:t>
            </m:r>
            <m:sSub>
              <m:sSubPr>
                <m:ctrlPr>
                  <w:rPr>
                    <w:rFonts w:ascii="Cambria Math" w:eastAsia="Times New Roman" w:hAnsi="Cambria Math" w:cstheme="majorHAnsi"/>
                    <w:i/>
                  </w:rPr>
                </m:ctrlPr>
              </m:sSubPr>
              <m:e>
                <m:r>
                  <w:rPr>
                    <w:rFonts w:ascii="Cambria Math" w:hAnsi="Cambria Math" w:cstheme="majorHAnsi"/>
                  </w:rPr>
                  <m:t>FocalSuburbs</m:t>
                </m:r>
              </m:e>
              <m:sub>
                <m:r>
                  <w:rPr>
                    <w:rFonts w:ascii="Cambria Math" w:eastAsia="Times New Roman" w:hAnsi="Cambria Math" w:cstheme="majorHAnsi"/>
                  </w:rPr>
                  <m:t>i</m:t>
                </m:r>
              </m:sub>
            </m:sSub>
            <m:r>
              <w:rPr>
                <w:rFonts w:ascii="Cambria Math" w:eastAsia="Times New Roman" w:hAnsi="Cambria Math" w:cstheme="majorHAnsi"/>
              </w:rPr>
              <m:t xml:space="preserve"> </m:t>
            </m:r>
          </m:e>
        </m:d>
        <m:r>
          <w:rPr>
            <w:rFonts w:ascii="Cambria Math" w:eastAsia="Times New Roman" w:hAnsi="Cambria Math" w:cstheme="majorHAnsi"/>
          </w:rPr>
          <m:t>+</m:t>
        </m:r>
        <m:sSub>
          <m:sSubPr>
            <m:ctrlPr>
              <w:rPr>
                <w:rFonts w:ascii="Cambria Math" w:eastAsia="Times New Roman" w:hAnsi="Cambria Math" w:cstheme="majorHAnsi"/>
                <w:i/>
              </w:rPr>
            </m:ctrlPr>
          </m:sSubPr>
          <m:e>
            <m:r>
              <w:rPr>
                <w:rFonts w:ascii="Cambria Math" w:eastAsia="Times New Roman" w:hAnsi="Cambria Math" w:cstheme="majorHAnsi"/>
              </w:rPr>
              <m:t>β</m:t>
            </m:r>
          </m:e>
          <m:sub>
            <m:r>
              <w:rPr>
                <w:rFonts w:ascii="Cambria Math" w:hAnsi="Cambria Math" w:cstheme="majorHAnsi"/>
              </w:rPr>
              <m:t>2</m:t>
            </m:r>
          </m:sub>
        </m:sSub>
        <m:d>
          <m:dPr>
            <m:ctrlPr>
              <w:rPr>
                <w:rFonts w:ascii="Cambria Math" w:eastAsia="Times New Roman" w:hAnsi="Cambria Math" w:cstheme="majorHAnsi"/>
                <w:i/>
              </w:rPr>
            </m:ctrlPr>
          </m:dPr>
          <m:e>
            <m:sSub>
              <m:sSubPr>
                <m:ctrlPr>
                  <w:rPr>
                    <w:rFonts w:ascii="Cambria Math" w:eastAsia="Times New Roman" w:hAnsi="Cambria Math" w:cstheme="majorHAnsi"/>
                    <w:i/>
                  </w:rPr>
                </m:ctrlPr>
              </m:sSubPr>
              <m:e>
                <m:r>
                  <w:rPr>
                    <w:rFonts w:ascii="Cambria Math" w:hAnsi="Cambria Math" w:cstheme="majorHAnsi"/>
                  </w:rPr>
                  <m:t>FocalSuburns</m:t>
                </m:r>
              </m:e>
              <m:sub>
                <m:r>
                  <w:rPr>
                    <w:rFonts w:ascii="Cambria Math" w:eastAsia="Times New Roman" w:hAnsi="Cambria Math" w:cstheme="majorHAnsi"/>
                  </w:rPr>
                  <m:t>i</m:t>
                </m:r>
              </m:sub>
            </m:sSub>
            <m:r>
              <w:rPr>
                <w:rFonts w:ascii="Cambria Math" w:eastAsia="Times New Roman" w:hAnsi="Cambria Math" w:cstheme="majorHAnsi"/>
              </w:rPr>
              <m:t xml:space="preserve"> </m:t>
            </m:r>
          </m:e>
        </m:d>
        <m:r>
          <w:rPr>
            <w:rFonts w:ascii="Cambria Math" w:eastAsia="Times New Roman" w:hAnsi="Cambria Math" w:cstheme="majorHAnsi"/>
          </w:rPr>
          <m:t>+</m:t>
        </m:r>
        <m:sSub>
          <m:sSubPr>
            <m:ctrlPr>
              <w:rPr>
                <w:rFonts w:ascii="Cambria Math" w:eastAsia="Times New Roman" w:hAnsi="Cambria Math" w:cstheme="majorHAnsi"/>
                <w:i/>
              </w:rPr>
            </m:ctrlPr>
          </m:sSubPr>
          <m:e>
            <m:r>
              <w:rPr>
                <w:rFonts w:ascii="Cambria Math" w:eastAsia="Times New Roman" w:hAnsi="Cambria Math" w:cstheme="majorHAnsi"/>
              </w:rPr>
              <m:t>β</m:t>
            </m:r>
          </m:e>
          <m:sub>
            <m:r>
              <w:rPr>
                <w:rFonts w:ascii="Cambria Math" w:hAnsi="Cambria Math" w:cstheme="majorHAnsi"/>
              </w:rPr>
              <m:t>3</m:t>
            </m:r>
          </m:sub>
        </m:sSub>
        <m:r>
          <w:rPr>
            <w:rFonts w:ascii="Cambria Math" w:eastAsia="Times New Roman" w:hAnsi="Cambria Math" w:cstheme="majorHAnsi"/>
          </w:rPr>
          <m:t>(</m:t>
        </m:r>
        <m:sSub>
          <m:sSubPr>
            <m:ctrlPr>
              <w:rPr>
                <w:rFonts w:ascii="Cambria Math" w:eastAsia="Times New Roman" w:hAnsi="Cambria Math" w:cstheme="majorHAnsi"/>
                <w:i/>
              </w:rPr>
            </m:ctrlPr>
          </m:sSubPr>
          <m:e>
            <m:r>
              <w:rPr>
                <w:rFonts w:ascii="Cambria Math" w:eastAsia="Times New Roman" w:hAnsi="Cambria Math" w:cstheme="majorHAnsi"/>
              </w:rPr>
              <m:t>Treatment Period</m:t>
            </m:r>
          </m:e>
          <m:sub>
            <m:r>
              <w:rPr>
                <w:rFonts w:ascii="Cambria Math" w:eastAsia="Times New Roman" w:hAnsi="Cambria Math" w:cstheme="majorHAnsi"/>
              </w:rPr>
              <m:t>i</m:t>
            </m:r>
          </m:sub>
        </m:sSub>
        <m:r>
          <w:rPr>
            <w:rFonts w:ascii="Cambria Math" w:hAnsi="Cambria Math" w:cstheme="majorHAnsi"/>
          </w:rPr>
          <m:t>)</m:t>
        </m:r>
        <m:r>
          <w:rPr>
            <w:rFonts w:ascii="Cambria Math" w:eastAsia="Times New Roman" w:hAnsi="Cambria Math" w:cstheme="majorHAnsi"/>
          </w:rPr>
          <m:t>+</m:t>
        </m:r>
        <m:sSub>
          <m:sSubPr>
            <m:ctrlPr>
              <w:rPr>
                <w:rFonts w:ascii="Cambria Math" w:hAnsi="Cambria Math" w:cstheme="majorHAnsi"/>
              </w:rPr>
            </m:ctrlPr>
          </m:sSubPr>
          <m:e>
            <m:r>
              <w:rPr>
                <w:rFonts w:ascii="Cambria Math" w:hAnsi="Cambria Math" w:cstheme="majorHAnsi"/>
              </w:rPr>
              <m:t>X'</m:t>
            </m:r>
          </m:e>
          <m:sub>
            <m:r>
              <w:rPr>
                <w:rFonts w:ascii="Cambria Math" w:hAnsi="Cambria Math" w:cstheme="majorHAnsi"/>
              </w:rPr>
              <m:t>i,t</m:t>
            </m:r>
          </m:sub>
        </m:sSub>
        <m:r>
          <w:rPr>
            <w:rFonts w:ascii="Cambria Math" w:hAnsi="Cambria Math" w:cstheme="majorHAnsi"/>
          </w:rPr>
          <m:t>θ+</m:t>
        </m:r>
        <m:sSub>
          <m:sSubPr>
            <m:ctrlPr>
              <w:rPr>
                <w:rFonts w:ascii="Cambria Math" w:hAnsi="Cambria Math" w:cstheme="majorHAnsi"/>
              </w:rPr>
            </m:ctrlPr>
          </m:sSubPr>
          <m:e>
            <m:r>
              <w:rPr>
                <w:rFonts w:ascii="Cambria Math" w:hAnsi="Cambria Math" w:cstheme="majorHAnsi"/>
              </w:rPr>
              <m:t>γ</m:t>
            </m:r>
          </m:e>
          <m:sub>
            <m:r>
              <w:rPr>
                <w:rFonts w:ascii="Cambria Math" w:hAnsi="Cambria Math" w:cstheme="majorHAnsi"/>
              </w:rPr>
              <m:t>t</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μ</m:t>
            </m:r>
          </m:e>
          <m:sub>
            <m:r>
              <w:rPr>
                <w:rFonts w:ascii="Cambria Math" w:hAnsi="Cambria Math" w:cstheme="majorHAnsi"/>
              </w:rPr>
              <m:t>t</m:t>
            </m:r>
          </m:sub>
        </m:sSub>
        <m:r>
          <w:rPr>
            <w:rFonts w:ascii="Cambria Math" w:hAnsi="Cambria Math" w:cstheme="majorHAnsi"/>
          </w:rPr>
          <m:t>+</m:t>
        </m:r>
        <m:sSub>
          <m:sSubPr>
            <m:ctrlPr>
              <w:rPr>
                <w:rFonts w:ascii="Cambria Math" w:hAnsi="Cambria Math" w:cstheme="majorHAnsi"/>
              </w:rPr>
            </m:ctrlPr>
          </m:sSubPr>
          <m:e>
            <m:r>
              <w:rPr>
                <w:rFonts w:ascii="Cambria Math" w:hAnsi="Cambria Math" w:cstheme="majorHAnsi"/>
              </w:rPr>
              <m:t>δ</m:t>
            </m:r>
          </m:e>
          <m:sub>
            <m:r>
              <w:rPr>
                <w:rFonts w:ascii="Cambria Math" w:hAnsi="Cambria Math" w:cstheme="majorHAnsi"/>
              </w:rPr>
              <m:t>postcode/suburb</m:t>
            </m:r>
          </m:sub>
        </m:sSub>
        <m:r>
          <w:rPr>
            <w:rFonts w:ascii="Cambria Math" w:hAnsi="Cambria Math" w:cstheme="majorHAnsi"/>
          </w:rPr>
          <m:t>+</m:t>
        </m:r>
        <m:sSub>
          <m:sSubPr>
            <m:ctrlPr>
              <w:rPr>
                <w:rFonts w:ascii="Cambria Math" w:hAnsi="Cambria Math" w:cstheme="majorHAnsi"/>
              </w:rPr>
            </m:ctrlPr>
          </m:sSubPr>
          <m:e>
            <m:r>
              <w:rPr>
                <w:rFonts w:ascii="Cambria Math" w:hAnsi="Cambria Math" w:cstheme="majorHAnsi"/>
              </w:rPr>
              <m:t>ε</m:t>
            </m:r>
          </m:e>
          <m:sub>
            <m:r>
              <w:rPr>
                <w:rFonts w:ascii="Cambria Math" w:hAnsi="Cambria Math" w:cstheme="majorHAnsi"/>
              </w:rPr>
              <m:t>i,t</m:t>
            </m:r>
          </m:sub>
        </m:sSub>
        <m:r>
          <w:rPr>
            <w:rFonts w:ascii="Cambria Math" w:hAnsi="Cambria Math" w:cstheme="majorHAnsi"/>
          </w:rPr>
          <m:t xml:space="preserve">                </m:t>
        </m:r>
      </m:oMath>
      <w:r w:rsidR="00F00E3D" w:rsidRPr="00CE2B42">
        <w:rPr>
          <w:rFonts w:asciiTheme="majorHAnsi" w:eastAsia="Times New Roman" w:hAnsiTheme="majorHAnsi" w:cstheme="majorBidi"/>
        </w:rPr>
        <w:t>Eq(1)</w:t>
      </w:r>
    </w:p>
    <w:p w14:paraId="5A295E6E" w14:textId="21EFE4F2" w:rsidR="00F00E3D" w:rsidRPr="00CE2B42" w:rsidRDefault="00F00E3D" w:rsidP="002C52A2">
      <w:pPr>
        <w:spacing w:before="120" w:after="120" w:line="276" w:lineRule="auto"/>
        <w:rPr>
          <w:rFonts w:asciiTheme="majorHAnsi" w:hAnsiTheme="majorHAnsi" w:cstheme="majorHAnsi"/>
        </w:rPr>
      </w:pPr>
      <w:r w:rsidRPr="00CE2B42">
        <w:rPr>
          <w:rFonts w:asciiTheme="majorHAnsi" w:hAnsiTheme="majorHAnsi" w:cstheme="majorHAnsi"/>
        </w:rPr>
        <w:t xml:space="preserve">The state of Victoria officially entered a state of emergency because of the </w:t>
      </w:r>
      <w:r w:rsidR="0025670E">
        <w:rPr>
          <w:rFonts w:asciiTheme="majorHAnsi" w:hAnsiTheme="majorHAnsi" w:cstheme="majorHAnsi"/>
        </w:rPr>
        <w:t>intensifying</w:t>
      </w:r>
      <w:r w:rsidRPr="00CE2B42">
        <w:rPr>
          <w:rFonts w:asciiTheme="majorHAnsi" w:hAnsiTheme="majorHAnsi" w:cstheme="majorHAnsi"/>
        </w:rPr>
        <w:t xml:space="preserve"> </w:t>
      </w:r>
      <w:r w:rsidR="00940D80">
        <w:rPr>
          <w:rFonts w:asciiTheme="majorHAnsi" w:hAnsiTheme="majorHAnsi" w:cstheme="majorHAnsi"/>
        </w:rPr>
        <w:t>COVID</w:t>
      </w:r>
      <w:r w:rsidRPr="00CE2B42">
        <w:rPr>
          <w:rFonts w:asciiTheme="majorHAnsi" w:hAnsiTheme="majorHAnsi" w:cstheme="majorHAnsi"/>
        </w:rPr>
        <w:t xml:space="preserve"> situation on 16 March 2020, and a series of preventive measures </w:t>
      </w:r>
      <w:r w:rsidR="0025670E">
        <w:rPr>
          <w:rFonts w:asciiTheme="majorHAnsi" w:hAnsiTheme="majorHAnsi" w:cstheme="majorHAnsi"/>
        </w:rPr>
        <w:t xml:space="preserve">and restrictions </w:t>
      </w:r>
      <w:r w:rsidRPr="00CE2B42">
        <w:rPr>
          <w:rFonts w:asciiTheme="majorHAnsi" w:hAnsiTheme="majorHAnsi" w:cstheme="majorHAnsi"/>
        </w:rPr>
        <w:t>were implemented after that. Accordingly, we identify the period from 16 March 2020 to 31 October (most updated data we can get so far) as the treatment period which is indicated by the dummy variable “</w:t>
      </w:r>
      <m:oMath>
        <m:sSub>
          <m:sSubPr>
            <m:ctrlPr>
              <w:rPr>
                <w:rFonts w:ascii="Cambria Math" w:eastAsia="Times New Roman" w:hAnsi="Cambria Math" w:cstheme="majorHAnsi"/>
              </w:rPr>
            </m:ctrlPr>
          </m:sSubPr>
          <m:e>
            <m:r>
              <w:rPr>
                <w:rFonts w:ascii="Cambria Math" w:eastAsia="Times New Roman" w:hAnsi="Cambria Math" w:cstheme="majorHAnsi"/>
              </w:rPr>
              <m:t>Treatment Period</m:t>
            </m:r>
          </m:e>
          <m:sub>
            <m:r>
              <m:rPr>
                <m:sty m:val="bi"/>
              </m:rPr>
              <w:rPr>
                <w:rFonts w:ascii="Cambria Math" w:eastAsia="Times New Roman" w:hAnsi="Cambria Math" w:cstheme="majorHAnsi"/>
              </w:rPr>
              <m:t xml:space="preserve">i </m:t>
            </m:r>
          </m:sub>
        </m:sSub>
      </m:oMath>
      <w:r w:rsidRPr="00CE2B42">
        <w:rPr>
          <w:rFonts w:asciiTheme="majorHAnsi" w:hAnsiTheme="majorHAnsi" w:cstheme="majorHAnsi"/>
        </w:rPr>
        <w:t>”. We consider the time period from 30 June 2019 to 24 January 2020 as the reference period. We use dummy variables “</w:t>
      </w:r>
      <m:oMath>
        <m:sSub>
          <m:sSubPr>
            <m:ctrlPr>
              <w:rPr>
                <w:rFonts w:ascii="Cambria Math" w:eastAsia="Times New Roman" w:hAnsi="Cambria Math" w:cstheme="majorHAnsi"/>
                <w:i/>
              </w:rPr>
            </m:ctrlPr>
          </m:sSubPr>
          <m:e>
            <m:r>
              <w:rPr>
                <w:rFonts w:ascii="Cambria Math" w:hAnsi="Cambria Math" w:cstheme="majorHAnsi"/>
              </w:rPr>
              <m:t>FocalSuburbs</m:t>
            </m:r>
          </m:e>
          <m:sub>
            <m:r>
              <w:rPr>
                <w:rFonts w:ascii="Cambria Math" w:eastAsia="Times New Roman" w:hAnsi="Cambria Math" w:cstheme="majorHAnsi"/>
              </w:rPr>
              <m:t>i</m:t>
            </m:r>
          </m:sub>
        </m:sSub>
      </m:oMath>
      <w:r w:rsidRPr="00CE2B42">
        <w:rPr>
          <w:rFonts w:asciiTheme="majorHAnsi" w:hAnsiTheme="majorHAnsi" w:cstheme="majorHAnsi"/>
        </w:rPr>
        <w:t>” to indicate the area of the three focal suburbs as treatment groups. Further, we winsorize the property transactional/rental price at 0.01 level and then calculate its logarithm “</w:t>
      </w:r>
      <m:oMath>
        <m:sSub>
          <m:sSubPr>
            <m:ctrlPr>
              <w:rPr>
                <w:rFonts w:ascii="Cambria Math" w:hAnsi="Cambria Math" w:cstheme="majorHAnsi"/>
              </w:rPr>
            </m:ctrlPr>
          </m:sSubPr>
          <m:e>
            <m:r>
              <m:rPr>
                <m:sty m:val="bi"/>
              </m:rPr>
              <w:rPr>
                <w:rFonts w:ascii="Cambria Math" w:hAnsi="Cambria Math" w:cstheme="majorHAnsi"/>
              </w:rPr>
              <m:t>ln⁡(Price</m:t>
            </m:r>
          </m:e>
          <m:sub>
            <m:r>
              <m:rPr>
                <m:sty m:val="bi"/>
              </m:rPr>
              <w:rPr>
                <w:rFonts w:ascii="Cambria Math" w:hAnsi="Cambria Math" w:cstheme="majorHAnsi"/>
              </w:rPr>
              <m:t>i,t</m:t>
            </m:r>
          </m:sub>
        </m:sSub>
        <m:r>
          <m:rPr>
            <m:sty m:val="bi"/>
          </m:rPr>
          <w:rPr>
            <w:rFonts w:ascii="Cambria Math" w:hAnsi="Cambria Math" w:cstheme="majorHAnsi"/>
          </w:rPr>
          <m:t>)</m:t>
        </m:r>
      </m:oMath>
      <w:r w:rsidRPr="00CE2B42">
        <w:rPr>
          <w:rFonts w:asciiTheme="majorHAnsi" w:hAnsiTheme="majorHAnsi" w:cstheme="majorHAnsi"/>
        </w:rPr>
        <w:t>” as the dependent variable in the regression model. We include “</w:t>
      </w:r>
      <m:oMath>
        <m:r>
          <m:rPr>
            <m:sty m:val="bi"/>
          </m:rPr>
          <w:rPr>
            <w:rFonts w:ascii="Cambria Math" w:hAnsi="Cambria Math" w:cstheme="majorHAnsi"/>
          </w:rPr>
          <m:t>X'</m:t>
        </m:r>
      </m:oMath>
      <w:r w:rsidRPr="00CE2B42">
        <w:rPr>
          <w:rFonts w:asciiTheme="majorHAnsi" w:hAnsiTheme="majorHAnsi" w:cstheme="majorHAnsi"/>
        </w:rPr>
        <w:t>”, which stands for hedonic variables, including the number of bedrooms, bathrooms, number of parking slots, logarithm of land/area size</w:t>
      </w:r>
      <w:r w:rsidRPr="00CE2B42">
        <w:rPr>
          <w:rFonts w:asciiTheme="majorHAnsi" w:hAnsiTheme="majorHAnsi" w:cstheme="majorHAnsi"/>
          <w:vertAlign w:val="superscript"/>
        </w:rPr>
        <w:footnoteReference w:id="6"/>
      </w:r>
      <w:r w:rsidRPr="00CE2B42">
        <w:rPr>
          <w:rFonts w:asciiTheme="majorHAnsi" w:hAnsiTheme="majorHAnsi" w:cstheme="majorHAnsi"/>
        </w:rPr>
        <w:t>, and logarithm of distance to Melbourne CBD centre.  Additionally, we put in year fixed effect “</w:t>
      </w:r>
      <m:oMath>
        <m:sSub>
          <m:sSubPr>
            <m:ctrlPr>
              <w:rPr>
                <w:rFonts w:ascii="Cambria Math" w:hAnsi="Cambria Math" w:cstheme="majorHAnsi"/>
              </w:rPr>
            </m:ctrlPr>
          </m:sSubPr>
          <m:e>
            <m:r>
              <w:rPr>
                <w:rFonts w:ascii="Cambria Math" w:hAnsi="Cambria Math" w:cstheme="majorHAnsi"/>
              </w:rPr>
              <m:t>γ</m:t>
            </m:r>
          </m:e>
          <m:sub>
            <m:r>
              <w:rPr>
                <w:rFonts w:ascii="Cambria Math" w:hAnsi="Cambria Math" w:cstheme="majorHAnsi"/>
              </w:rPr>
              <m:t>t</m:t>
            </m:r>
          </m:sub>
        </m:sSub>
      </m:oMath>
      <w:r w:rsidRPr="00CE2B42">
        <w:rPr>
          <w:rFonts w:asciiTheme="majorHAnsi" w:hAnsiTheme="majorHAnsi" w:cstheme="majorHAnsi"/>
        </w:rPr>
        <w:t>”, month fixed effect “</w:t>
      </w:r>
      <m:oMath>
        <m:sSub>
          <m:sSubPr>
            <m:ctrlPr>
              <w:rPr>
                <w:rFonts w:ascii="Cambria Math" w:hAnsi="Cambria Math" w:cstheme="majorHAnsi"/>
              </w:rPr>
            </m:ctrlPr>
          </m:sSubPr>
          <m:e>
            <m:r>
              <w:rPr>
                <w:rFonts w:ascii="Cambria Math" w:hAnsi="Cambria Math" w:cstheme="majorHAnsi"/>
              </w:rPr>
              <m:t>μ</m:t>
            </m:r>
          </m:e>
          <m:sub>
            <m:r>
              <w:rPr>
                <w:rFonts w:ascii="Cambria Math" w:hAnsi="Cambria Math" w:cstheme="majorHAnsi"/>
              </w:rPr>
              <m:t>t</m:t>
            </m:r>
          </m:sub>
        </m:sSub>
      </m:oMath>
      <w:r w:rsidRPr="00CE2B42">
        <w:rPr>
          <w:rFonts w:asciiTheme="majorHAnsi" w:hAnsiTheme="majorHAnsi" w:cstheme="majorHAnsi"/>
        </w:rPr>
        <w:t>”, post code or suburb fixed effect “</w:t>
      </w:r>
      <m:oMath>
        <m:sSub>
          <m:sSubPr>
            <m:ctrlPr>
              <w:rPr>
                <w:rFonts w:ascii="Cambria Math" w:hAnsi="Cambria Math" w:cstheme="majorHAnsi"/>
              </w:rPr>
            </m:ctrlPr>
          </m:sSubPr>
          <m:e>
            <m:r>
              <w:rPr>
                <w:rFonts w:ascii="Cambria Math" w:hAnsi="Cambria Math" w:cstheme="majorHAnsi"/>
              </w:rPr>
              <m:t>δ</m:t>
            </m:r>
          </m:e>
          <m:sub>
            <m:r>
              <w:rPr>
                <w:rFonts w:ascii="Cambria Math" w:hAnsi="Cambria Math" w:cstheme="majorHAnsi"/>
              </w:rPr>
              <m:t>postcode</m:t>
            </m:r>
            <m:r>
              <m:rPr>
                <m:sty m:val="p"/>
              </m:rPr>
              <w:rPr>
                <w:rFonts w:ascii="Cambria Math" w:hAnsi="Cambria Math" w:cstheme="majorHAnsi"/>
              </w:rPr>
              <m:t>/</m:t>
            </m:r>
            <m:r>
              <w:rPr>
                <w:rFonts w:ascii="Cambria Math" w:hAnsi="Cambria Math" w:cstheme="majorHAnsi"/>
              </w:rPr>
              <m:t>suburb</m:t>
            </m:r>
          </m:sub>
        </m:sSub>
      </m:oMath>
      <w:r w:rsidRPr="00CE2B42">
        <w:rPr>
          <w:rFonts w:asciiTheme="majorHAnsi" w:hAnsiTheme="majorHAnsi" w:cstheme="majorHAnsi"/>
        </w:rPr>
        <w:t xml:space="preserve">”, and cluster the standard errors at the suburb or postcode level. We run the </w:t>
      </w:r>
      <w:r w:rsidRPr="00CE2B42">
        <w:rPr>
          <w:rFonts w:asciiTheme="majorHAnsi" w:eastAsia="Times New Roman" w:hAnsiTheme="majorHAnsi" w:cstheme="majorHAnsi"/>
        </w:rPr>
        <w:t>Eq(1)</w:t>
      </w:r>
      <w:r w:rsidRPr="00CE2B42">
        <w:rPr>
          <w:rFonts w:asciiTheme="majorHAnsi" w:hAnsiTheme="majorHAnsi" w:cstheme="majorHAnsi"/>
        </w:rPr>
        <w:t xml:space="preserve"> with different reference groups and present the corresponding tests in columns (1) to (5) in each table. The column (1) to (5) in each table presents the tests results using reference groups as entire VIC, Inner Melbourne, Metropolitan Melbourne, regional VIC, and Greater Geelong. We present the test results in Panels A to D in Table.1 using house transactional data, unit transactional data, house rental data, and unit rental data respectively. We present the statistical description of the database below.</w:t>
      </w:r>
    </w:p>
    <w:p w14:paraId="00187715" w14:textId="1236480E" w:rsidR="00F00E3D" w:rsidRPr="00CE2B42" w:rsidRDefault="00F00E3D" w:rsidP="002C52A2">
      <w:pPr>
        <w:spacing w:after="0" w:line="276" w:lineRule="auto"/>
        <w:rPr>
          <w:rFonts w:asciiTheme="majorHAnsi" w:hAnsiTheme="majorHAnsi" w:cstheme="majorHAnsi"/>
        </w:rPr>
      </w:pPr>
      <w:r w:rsidRPr="00CE2B42">
        <w:rPr>
          <w:rFonts w:asciiTheme="majorHAnsi" w:hAnsiTheme="majorHAnsi" w:cstheme="majorHAnsi"/>
        </w:rPr>
        <w:t xml:space="preserve">Table 2A.1: Impact of </w:t>
      </w:r>
      <w:r w:rsidR="00940D80">
        <w:rPr>
          <w:rFonts w:asciiTheme="majorHAnsi" w:hAnsiTheme="majorHAnsi" w:cstheme="majorHAnsi"/>
        </w:rPr>
        <w:t>COVID</w:t>
      </w:r>
      <w:r w:rsidRPr="00CE2B42">
        <w:rPr>
          <w:rFonts w:asciiTheme="majorHAnsi" w:hAnsiTheme="majorHAnsi" w:cstheme="majorHAnsi"/>
        </w:rPr>
        <w:t xml:space="preserve"> Pandemic on House Price</w:t>
      </w:r>
    </w:p>
    <w:p w14:paraId="459D214B" w14:textId="77777777" w:rsidR="00F00E3D" w:rsidRPr="00CE2B42" w:rsidRDefault="00F00E3D" w:rsidP="002C52A2">
      <w:pPr>
        <w:spacing w:after="0" w:line="276" w:lineRule="auto"/>
        <w:rPr>
          <w:rFonts w:asciiTheme="majorHAnsi" w:hAnsiTheme="majorHAnsi" w:cstheme="majorHAnsi"/>
        </w:rPr>
      </w:pPr>
      <w:r w:rsidRPr="00CE2B42">
        <w:rPr>
          <w:rFonts w:asciiTheme="majorHAnsi" w:hAnsiTheme="majorHAnsi" w:cstheme="majorHAnsi"/>
        </w:rPr>
        <w:t>Panel. A House Transactional Sample</w:t>
      </w:r>
    </w:p>
    <w:tbl>
      <w:tblPr>
        <w:tblW w:w="5000" w:type="pct"/>
        <w:jc w:val="center"/>
        <w:tblCellMar>
          <w:left w:w="75" w:type="dxa"/>
          <w:right w:w="75" w:type="dxa"/>
        </w:tblCellMar>
        <w:tblLook w:val="0000" w:firstRow="0" w:lastRow="0" w:firstColumn="0" w:lastColumn="0" w:noHBand="0" w:noVBand="0"/>
      </w:tblPr>
      <w:tblGrid>
        <w:gridCol w:w="1745"/>
        <w:gridCol w:w="1210"/>
        <w:gridCol w:w="1598"/>
        <w:gridCol w:w="2286"/>
        <w:gridCol w:w="1338"/>
        <w:gridCol w:w="1461"/>
      </w:tblGrid>
      <w:tr w:rsidR="00F00E3D" w:rsidRPr="00335312" w14:paraId="7D019C0E" w14:textId="77777777" w:rsidTr="009B2FA7">
        <w:trPr>
          <w:jc w:val="center"/>
        </w:trPr>
        <w:tc>
          <w:tcPr>
            <w:tcW w:w="905" w:type="pct"/>
            <w:tcBorders>
              <w:top w:val="single" w:sz="6" w:space="0" w:color="auto"/>
              <w:left w:val="nil"/>
              <w:bottom w:val="nil"/>
              <w:right w:val="nil"/>
            </w:tcBorders>
          </w:tcPr>
          <w:p w14:paraId="38130A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27" w:type="pct"/>
            <w:tcBorders>
              <w:top w:val="single" w:sz="6" w:space="0" w:color="auto"/>
              <w:left w:val="nil"/>
              <w:bottom w:val="nil"/>
              <w:right w:val="nil"/>
            </w:tcBorders>
          </w:tcPr>
          <w:p w14:paraId="4D8F1F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w:t>
            </w:r>
          </w:p>
        </w:tc>
        <w:tc>
          <w:tcPr>
            <w:tcW w:w="829" w:type="pct"/>
            <w:tcBorders>
              <w:top w:val="single" w:sz="6" w:space="0" w:color="auto"/>
              <w:left w:val="nil"/>
              <w:bottom w:val="nil"/>
              <w:right w:val="nil"/>
            </w:tcBorders>
          </w:tcPr>
          <w:p w14:paraId="06B704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w:t>
            </w:r>
          </w:p>
        </w:tc>
        <w:tc>
          <w:tcPr>
            <w:tcW w:w="1186" w:type="pct"/>
            <w:tcBorders>
              <w:top w:val="single" w:sz="6" w:space="0" w:color="auto"/>
              <w:left w:val="nil"/>
              <w:bottom w:val="nil"/>
              <w:right w:val="nil"/>
            </w:tcBorders>
          </w:tcPr>
          <w:p w14:paraId="362BEE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w:t>
            </w:r>
          </w:p>
        </w:tc>
        <w:tc>
          <w:tcPr>
            <w:tcW w:w="694" w:type="pct"/>
            <w:tcBorders>
              <w:top w:val="single" w:sz="6" w:space="0" w:color="auto"/>
              <w:left w:val="nil"/>
              <w:bottom w:val="nil"/>
              <w:right w:val="nil"/>
            </w:tcBorders>
          </w:tcPr>
          <w:p w14:paraId="4E746A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w:t>
            </w:r>
          </w:p>
        </w:tc>
        <w:tc>
          <w:tcPr>
            <w:tcW w:w="758" w:type="pct"/>
            <w:tcBorders>
              <w:top w:val="single" w:sz="6" w:space="0" w:color="auto"/>
              <w:left w:val="nil"/>
              <w:bottom w:val="nil"/>
              <w:right w:val="nil"/>
            </w:tcBorders>
          </w:tcPr>
          <w:p w14:paraId="632427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w:t>
            </w:r>
          </w:p>
        </w:tc>
      </w:tr>
      <w:tr w:rsidR="00F00E3D" w:rsidRPr="00335312" w14:paraId="07FD38F5" w14:textId="77777777" w:rsidTr="009B2FA7">
        <w:trPr>
          <w:jc w:val="center"/>
        </w:trPr>
        <w:tc>
          <w:tcPr>
            <w:tcW w:w="905" w:type="pct"/>
            <w:tcBorders>
              <w:top w:val="nil"/>
              <w:left w:val="nil"/>
              <w:bottom w:val="single" w:sz="6" w:space="0" w:color="auto"/>
              <w:right w:val="nil"/>
            </w:tcBorders>
          </w:tcPr>
          <w:p w14:paraId="41CCC9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VARIABLES</w:t>
            </w:r>
          </w:p>
        </w:tc>
        <w:tc>
          <w:tcPr>
            <w:tcW w:w="627" w:type="pct"/>
            <w:tcBorders>
              <w:top w:val="nil"/>
              <w:left w:val="nil"/>
              <w:bottom w:val="single" w:sz="6" w:space="0" w:color="auto"/>
              <w:right w:val="nil"/>
            </w:tcBorders>
          </w:tcPr>
          <w:p w14:paraId="686BB1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VIC</w:t>
            </w:r>
          </w:p>
        </w:tc>
        <w:tc>
          <w:tcPr>
            <w:tcW w:w="829" w:type="pct"/>
            <w:tcBorders>
              <w:top w:val="nil"/>
              <w:left w:val="nil"/>
              <w:bottom w:val="single" w:sz="6" w:space="0" w:color="auto"/>
              <w:right w:val="nil"/>
            </w:tcBorders>
          </w:tcPr>
          <w:p w14:paraId="06899B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InnerMel</w:t>
            </w:r>
          </w:p>
        </w:tc>
        <w:tc>
          <w:tcPr>
            <w:tcW w:w="1186" w:type="pct"/>
            <w:tcBorders>
              <w:top w:val="nil"/>
              <w:left w:val="nil"/>
              <w:bottom w:val="single" w:sz="6" w:space="0" w:color="auto"/>
              <w:right w:val="nil"/>
            </w:tcBorders>
          </w:tcPr>
          <w:p w14:paraId="680EBC8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MetropolitanMel</w:t>
            </w:r>
          </w:p>
        </w:tc>
        <w:tc>
          <w:tcPr>
            <w:tcW w:w="694" w:type="pct"/>
            <w:tcBorders>
              <w:top w:val="nil"/>
              <w:left w:val="nil"/>
              <w:bottom w:val="single" w:sz="6" w:space="0" w:color="auto"/>
              <w:right w:val="nil"/>
            </w:tcBorders>
          </w:tcPr>
          <w:p w14:paraId="18629F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RegionalVIC</w:t>
            </w:r>
          </w:p>
        </w:tc>
        <w:tc>
          <w:tcPr>
            <w:tcW w:w="758" w:type="pct"/>
            <w:tcBorders>
              <w:top w:val="nil"/>
              <w:left w:val="nil"/>
              <w:bottom w:val="single" w:sz="6" w:space="0" w:color="auto"/>
              <w:right w:val="nil"/>
            </w:tcBorders>
          </w:tcPr>
          <w:p w14:paraId="1A81FE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GreaterGeelong</w:t>
            </w:r>
          </w:p>
        </w:tc>
      </w:tr>
      <w:tr w:rsidR="00F00E3D" w:rsidRPr="00335312" w14:paraId="26ED1A18" w14:textId="77777777" w:rsidTr="009B2FA7">
        <w:trPr>
          <w:jc w:val="center"/>
        </w:trPr>
        <w:tc>
          <w:tcPr>
            <w:tcW w:w="905" w:type="pct"/>
            <w:tcBorders>
              <w:top w:val="nil"/>
              <w:left w:val="nil"/>
              <w:bottom w:val="nil"/>
              <w:right w:val="nil"/>
            </w:tcBorders>
          </w:tcPr>
          <w:p w14:paraId="187ED3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27" w:type="pct"/>
            <w:tcBorders>
              <w:top w:val="nil"/>
              <w:left w:val="nil"/>
              <w:bottom w:val="nil"/>
              <w:right w:val="nil"/>
            </w:tcBorders>
          </w:tcPr>
          <w:p w14:paraId="54929C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29" w:type="pct"/>
            <w:tcBorders>
              <w:top w:val="nil"/>
              <w:left w:val="nil"/>
              <w:bottom w:val="nil"/>
              <w:right w:val="nil"/>
            </w:tcBorders>
          </w:tcPr>
          <w:p w14:paraId="178505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1186" w:type="pct"/>
            <w:tcBorders>
              <w:top w:val="nil"/>
              <w:left w:val="nil"/>
              <w:bottom w:val="nil"/>
              <w:right w:val="nil"/>
            </w:tcBorders>
          </w:tcPr>
          <w:p w14:paraId="6520CF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94" w:type="pct"/>
            <w:tcBorders>
              <w:top w:val="nil"/>
              <w:left w:val="nil"/>
              <w:bottom w:val="nil"/>
              <w:right w:val="nil"/>
            </w:tcBorders>
          </w:tcPr>
          <w:p w14:paraId="36B3BF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58" w:type="pct"/>
            <w:tcBorders>
              <w:top w:val="nil"/>
              <w:left w:val="nil"/>
              <w:bottom w:val="nil"/>
              <w:right w:val="nil"/>
            </w:tcBorders>
          </w:tcPr>
          <w:p w14:paraId="28CEF7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2BC52C6C" w14:textId="77777777" w:rsidTr="009B2FA7">
        <w:trPr>
          <w:jc w:val="center"/>
        </w:trPr>
        <w:tc>
          <w:tcPr>
            <w:tcW w:w="905" w:type="pct"/>
            <w:tcBorders>
              <w:top w:val="nil"/>
              <w:left w:val="nil"/>
              <w:bottom w:val="nil"/>
              <w:right w:val="nil"/>
            </w:tcBorders>
          </w:tcPr>
          <w:p w14:paraId="710ECC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TPxFocalSuburbs</w:t>
            </w:r>
          </w:p>
        </w:tc>
        <w:tc>
          <w:tcPr>
            <w:tcW w:w="627" w:type="pct"/>
            <w:tcBorders>
              <w:top w:val="nil"/>
              <w:left w:val="nil"/>
              <w:bottom w:val="nil"/>
              <w:right w:val="nil"/>
            </w:tcBorders>
          </w:tcPr>
          <w:p w14:paraId="5FCE1C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0.00311</w:t>
            </w:r>
          </w:p>
        </w:tc>
        <w:tc>
          <w:tcPr>
            <w:tcW w:w="829" w:type="pct"/>
            <w:tcBorders>
              <w:top w:val="nil"/>
              <w:left w:val="nil"/>
              <w:bottom w:val="nil"/>
              <w:right w:val="nil"/>
            </w:tcBorders>
          </w:tcPr>
          <w:p w14:paraId="0136A1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0.0674***</w:t>
            </w:r>
          </w:p>
        </w:tc>
        <w:tc>
          <w:tcPr>
            <w:tcW w:w="1186" w:type="pct"/>
            <w:tcBorders>
              <w:top w:val="nil"/>
              <w:left w:val="nil"/>
              <w:bottom w:val="nil"/>
              <w:right w:val="nil"/>
            </w:tcBorders>
          </w:tcPr>
          <w:p w14:paraId="27CF59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0.0419**</w:t>
            </w:r>
          </w:p>
        </w:tc>
        <w:tc>
          <w:tcPr>
            <w:tcW w:w="694" w:type="pct"/>
            <w:tcBorders>
              <w:top w:val="nil"/>
              <w:left w:val="nil"/>
              <w:bottom w:val="nil"/>
              <w:right w:val="nil"/>
            </w:tcBorders>
          </w:tcPr>
          <w:p w14:paraId="58AC7B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-0.0116</w:t>
            </w:r>
          </w:p>
        </w:tc>
        <w:tc>
          <w:tcPr>
            <w:tcW w:w="758" w:type="pct"/>
            <w:tcBorders>
              <w:top w:val="nil"/>
              <w:left w:val="nil"/>
              <w:bottom w:val="nil"/>
              <w:right w:val="nil"/>
            </w:tcBorders>
          </w:tcPr>
          <w:p w14:paraId="6C0F8D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-0.000990</w:t>
            </w:r>
          </w:p>
        </w:tc>
      </w:tr>
      <w:tr w:rsidR="00F00E3D" w:rsidRPr="00335312" w14:paraId="19B0FB31" w14:textId="77777777" w:rsidTr="009B2FA7">
        <w:trPr>
          <w:jc w:val="center"/>
        </w:trPr>
        <w:tc>
          <w:tcPr>
            <w:tcW w:w="905" w:type="pct"/>
            <w:tcBorders>
              <w:top w:val="nil"/>
              <w:left w:val="nil"/>
              <w:bottom w:val="nil"/>
              <w:right w:val="nil"/>
            </w:tcBorders>
          </w:tcPr>
          <w:p w14:paraId="4645E5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27" w:type="pct"/>
            <w:tcBorders>
              <w:top w:val="nil"/>
              <w:left w:val="nil"/>
              <w:bottom w:val="nil"/>
              <w:right w:val="nil"/>
            </w:tcBorders>
          </w:tcPr>
          <w:p w14:paraId="026F32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(0.213)</w:t>
            </w:r>
          </w:p>
        </w:tc>
        <w:tc>
          <w:tcPr>
            <w:tcW w:w="829" w:type="pct"/>
            <w:tcBorders>
              <w:top w:val="nil"/>
              <w:left w:val="nil"/>
              <w:bottom w:val="nil"/>
              <w:right w:val="nil"/>
            </w:tcBorders>
          </w:tcPr>
          <w:p w14:paraId="7F0186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(3.242)</w:t>
            </w:r>
          </w:p>
        </w:tc>
        <w:tc>
          <w:tcPr>
            <w:tcW w:w="1186" w:type="pct"/>
            <w:tcBorders>
              <w:top w:val="nil"/>
              <w:left w:val="nil"/>
              <w:bottom w:val="nil"/>
              <w:right w:val="nil"/>
            </w:tcBorders>
          </w:tcPr>
          <w:p w14:paraId="789516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(2.525)</w:t>
            </w:r>
          </w:p>
        </w:tc>
        <w:tc>
          <w:tcPr>
            <w:tcW w:w="694" w:type="pct"/>
            <w:tcBorders>
              <w:top w:val="nil"/>
              <w:left w:val="nil"/>
              <w:bottom w:val="nil"/>
              <w:right w:val="nil"/>
            </w:tcBorders>
          </w:tcPr>
          <w:p w14:paraId="0A811D5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(-0.816)</w:t>
            </w:r>
          </w:p>
        </w:tc>
        <w:tc>
          <w:tcPr>
            <w:tcW w:w="758" w:type="pct"/>
            <w:tcBorders>
              <w:top w:val="nil"/>
              <w:left w:val="nil"/>
              <w:bottom w:val="nil"/>
              <w:right w:val="nil"/>
            </w:tcBorders>
          </w:tcPr>
          <w:p w14:paraId="165017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(-0.0641)</w:t>
            </w:r>
          </w:p>
        </w:tc>
      </w:tr>
      <w:tr w:rsidR="00F00E3D" w:rsidRPr="00335312" w14:paraId="3B1F35B3" w14:textId="77777777" w:rsidTr="009B2FA7">
        <w:trPr>
          <w:jc w:val="center"/>
        </w:trPr>
        <w:tc>
          <w:tcPr>
            <w:tcW w:w="905" w:type="pct"/>
            <w:tcBorders>
              <w:top w:val="nil"/>
              <w:left w:val="nil"/>
              <w:bottom w:val="nil"/>
              <w:right w:val="nil"/>
            </w:tcBorders>
          </w:tcPr>
          <w:p w14:paraId="35A142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TreatmentPeriod</w:t>
            </w:r>
          </w:p>
        </w:tc>
        <w:tc>
          <w:tcPr>
            <w:tcW w:w="627" w:type="pct"/>
            <w:tcBorders>
              <w:top w:val="nil"/>
              <w:left w:val="nil"/>
              <w:bottom w:val="nil"/>
              <w:right w:val="nil"/>
            </w:tcBorders>
          </w:tcPr>
          <w:p w14:paraId="067639C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0.049***</w:t>
            </w:r>
          </w:p>
        </w:tc>
        <w:tc>
          <w:tcPr>
            <w:tcW w:w="829" w:type="pct"/>
            <w:tcBorders>
              <w:top w:val="nil"/>
              <w:left w:val="nil"/>
              <w:bottom w:val="nil"/>
              <w:right w:val="nil"/>
            </w:tcBorders>
          </w:tcPr>
          <w:p w14:paraId="009292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0.0378</w:t>
            </w:r>
          </w:p>
        </w:tc>
        <w:tc>
          <w:tcPr>
            <w:tcW w:w="1186" w:type="pct"/>
            <w:tcBorders>
              <w:top w:val="nil"/>
              <w:left w:val="nil"/>
              <w:bottom w:val="nil"/>
              <w:right w:val="nil"/>
            </w:tcBorders>
          </w:tcPr>
          <w:p w14:paraId="11F90C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0.00781</w:t>
            </w:r>
          </w:p>
        </w:tc>
        <w:tc>
          <w:tcPr>
            <w:tcW w:w="694" w:type="pct"/>
            <w:tcBorders>
              <w:top w:val="nil"/>
              <w:left w:val="nil"/>
              <w:bottom w:val="nil"/>
              <w:right w:val="nil"/>
            </w:tcBorders>
          </w:tcPr>
          <w:p w14:paraId="1A60A0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0.0644***</w:t>
            </w:r>
          </w:p>
        </w:tc>
        <w:tc>
          <w:tcPr>
            <w:tcW w:w="758" w:type="pct"/>
            <w:tcBorders>
              <w:top w:val="nil"/>
              <w:left w:val="nil"/>
              <w:bottom w:val="nil"/>
              <w:right w:val="nil"/>
            </w:tcBorders>
          </w:tcPr>
          <w:p w14:paraId="0804CC5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0.0638***</w:t>
            </w:r>
          </w:p>
        </w:tc>
      </w:tr>
      <w:tr w:rsidR="00F00E3D" w:rsidRPr="00335312" w14:paraId="105FC6C8" w14:textId="77777777" w:rsidTr="009B2FA7">
        <w:trPr>
          <w:jc w:val="center"/>
        </w:trPr>
        <w:tc>
          <w:tcPr>
            <w:tcW w:w="905" w:type="pct"/>
            <w:tcBorders>
              <w:top w:val="nil"/>
              <w:left w:val="nil"/>
              <w:bottom w:val="nil"/>
              <w:right w:val="nil"/>
            </w:tcBorders>
          </w:tcPr>
          <w:p w14:paraId="375BF6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27" w:type="pct"/>
            <w:tcBorders>
              <w:top w:val="nil"/>
              <w:left w:val="nil"/>
              <w:bottom w:val="nil"/>
              <w:right w:val="nil"/>
            </w:tcBorders>
          </w:tcPr>
          <w:p w14:paraId="5E0490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(10.20)</w:t>
            </w:r>
          </w:p>
        </w:tc>
        <w:tc>
          <w:tcPr>
            <w:tcW w:w="829" w:type="pct"/>
            <w:tcBorders>
              <w:top w:val="nil"/>
              <w:left w:val="nil"/>
              <w:bottom w:val="nil"/>
              <w:right w:val="nil"/>
            </w:tcBorders>
          </w:tcPr>
          <w:p w14:paraId="70314E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(1.029)</w:t>
            </w:r>
          </w:p>
        </w:tc>
        <w:tc>
          <w:tcPr>
            <w:tcW w:w="1186" w:type="pct"/>
            <w:tcBorders>
              <w:top w:val="nil"/>
              <w:left w:val="nil"/>
              <w:bottom w:val="nil"/>
              <w:right w:val="nil"/>
            </w:tcBorders>
          </w:tcPr>
          <w:p w14:paraId="2EAE5A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(0.438)</w:t>
            </w:r>
          </w:p>
        </w:tc>
        <w:tc>
          <w:tcPr>
            <w:tcW w:w="694" w:type="pct"/>
            <w:tcBorders>
              <w:top w:val="nil"/>
              <w:left w:val="nil"/>
              <w:bottom w:val="nil"/>
              <w:right w:val="nil"/>
            </w:tcBorders>
          </w:tcPr>
          <w:p w14:paraId="71DE4F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(9.141)</w:t>
            </w:r>
          </w:p>
        </w:tc>
        <w:tc>
          <w:tcPr>
            <w:tcW w:w="758" w:type="pct"/>
            <w:tcBorders>
              <w:top w:val="nil"/>
              <w:left w:val="nil"/>
              <w:bottom w:val="nil"/>
              <w:right w:val="nil"/>
            </w:tcBorders>
          </w:tcPr>
          <w:p w14:paraId="78AFEE8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(3.830)</w:t>
            </w:r>
          </w:p>
        </w:tc>
      </w:tr>
      <w:tr w:rsidR="00F00E3D" w:rsidRPr="00335312" w14:paraId="26C9E3E8" w14:textId="77777777" w:rsidTr="009B2FA7">
        <w:trPr>
          <w:jc w:val="center"/>
        </w:trPr>
        <w:tc>
          <w:tcPr>
            <w:tcW w:w="905" w:type="pct"/>
            <w:tcBorders>
              <w:top w:val="nil"/>
              <w:left w:val="nil"/>
              <w:bottom w:val="nil"/>
              <w:right w:val="nil"/>
            </w:tcBorders>
          </w:tcPr>
          <w:p w14:paraId="4559B0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FocalSuburbs</w:t>
            </w:r>
          </w:p>
        </w:tc>
        <w:tc>
          <w:tcPr>
            <w:tcW w:w="627" w:type="pct"/>
            <w:tcBorders>
              <w:top w:val="nil"/>
              <w:left w:val="nil"/>
              <w:bottom w:val="nil"/>
              <w:right w:val="nil"/>
            </w:tcBorders>
          </w:tcPr>
          <w:p w14:paraId="1CD935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-0.384**</w:t>
            </w:r>
          </w:p>
        </w:tc>
        <w:tc>
          <w:tcPr>
            <w:tcW w:w="829" w:type="pct"/>
            <w:tcBorders>
              <w:top w:val="nil"/>
              <w:left w:val="nil"/>
              <w:bottom w:val="nil"/>
              <w:right w:val="nil"/>
            </w:tcBorders>
          </w:tcPr>
          <w:p w14:paraId="53DBC2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-0.791*</w:t>
            </w:r>
          </w:p>
        </w:tc>
        <w:tc>
          <w:tcPr>
            <w:tcW w:w="1186" w:type="pct"/>
            <w:tcBorders>
              <w:top w:val="nil"/>
              <w:left w:val="nil"/>
              <w:bottom w:val="nil"/>
              <w:right w:val="nil"/>
            </w:tcBorders>
          </w:tcPr>
          <w:p w14:paraId="30CBCB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-0.289</w:t>
            </w:r>
          </w:p>
        </w:tc>
        <w:tc>
          <w:tcPr>
            <w:tcW w:w="694" w:type="pct"/>
            <w:tcBorders>
              <w:top w:val="nil"/>
              <w:left w:val="nil"/>
              <w:bottom w:val="nil"/>
              <w:right w:val="nil"/>
            </w:tcBorders>
          </w:tcPr>
          <w:p w14:paraId="153B35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-0.434*</w:t>
            </w:r>
          </w:p>
        </w:tc>
        <w:tc>
          <w:tcPr>
            <w:tcW w:w="758" w:type="pct"/>
            <w:tcBorders>
              <w:top w:val="nil"/>
              <w:left w:val="nil"/>
              <w:bottom w:val="nil"/>
              <w:right w:val="nil"/>
            </w:tcBorders>
          </w:tcPr>
          <w:p w14:paraId="1B73066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0.104</w:t>
            </w:r>
          </w:p>
        </w:tc>
      </w:tr>
      <w:tr w:rsidR="00F00E3D" w:rsidRPr="00335312" w14:paraId="0E0DC653" w14:textId="77777777" w:rsidTr="009B2FA7">
        <w:trPr>
          <w:jc w:val="center"/>
        </w:trPr>
        <w:tc>
          <w:tcPr>
            <w:tcW w:w="905" w:type="pct"/>
            <w:tcBorders>
              <w:top w:val="nil"/>
              <w:left w:val="nil"/>
              <w:bottom w:val="nil"/>
              <w:right w:val="nil"/>
            </w:tcBorders>
          </w:tcPr>
          <w:p w14:paraId="2A38F52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27" w:type="pct"/>
            <w:tcBorders>
              <w:top w:val="nil"/>
              <w:left w:val="nil"/>
              <w:bottom w:val="nil"/>
              <w:right w:val="nil"/>
            </w:tcBorders>
          </w:tcPr>
          <w:p w14:paraId="6620AF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(-2.248)</w:t>
            </w:r>
          </w:p>
        </w:tc>
        <w:tc>
          <w:tcPr>
            <w:tcW w:w="829" w:type="pct"/>
            <w:tcBorders>
              <w:top w:val="nil"/>
              <w:left w:val="nil"/>
              <w:bottom w:val="nil"/>
              <w:right w:val="nil"/>
            </w:tcBorders>
          </w:tcPr>
          <w:p w14:paraId="0EEC65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(-1.956)</w:t>
            </w:r>
          </w:p>
        </w:tc>
        <w:tc>
          <w:tcPr>
            <w:tcW w:w="1186" w:type="pct"/>
            <w:tcBorders>
              <w:top w:val="nil"/>
              <w:left w:val="nil"/>
              <w:bottom w:val="nil"/>
              <w:right w:val="nil"/>
            </w:tcBorders>
          </w:tcPr>
          <w:p w14:paraId="1E0E16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(-1.168)</w:t>
            </w:r>
          </w:p>
        </w:tc>
        <w:tc>
          <w:tcPr>
            <w:tcW w:w="694" w:type="pct"/>
            <w:tcBorders>
              <w:top w:val="nil"/>
              <w:left w:val="nil"/>
              <w:bottom w:val="nil"/>
              <w:right w:val="nil"/>
            </w:tcBorders>
          </w:tcPr>
          <w:p w14:paraId="1D86CB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(-1.659)</w:t>
            </w:r>
          </w:p>
        </w:tc>
        <w:tc>
          <w:tcPr>
            <w:tcW w:w="758" w:type="pct"/>
            <w:tcBorders>
              <w:top w:val="nil"/>
              <w:left w:val="nil"/>
              <w:bottom w:val="nil"/>
              <w:right w:val="nil"/>
            </w:tcBorders>
          </w:tcPr>
          <w:p w14:paraId="5737AD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(1.042)</w:t>
            </w:r>
          </w:p>
        </w:tc>
      </w:tr>
      <w:tr w:rsidR="00F00E3D" w:rsidRPr="00335312" w14:paraId="73C804EB" w14:textId="77777777" w:rsidTr="009B2FA7">
        <w:trPr>
          <w:jc w:val="center"/>
        </w:trPr>
        <w:tc>
          <w:tcPr>
            <w:tcW w:w="905" w:type="pct"/>
            <w:tcBorders>
              <w:top w:val="nil"/>
              <w:left w:val="nil"/>
              <w:bottom w:val="nil"/>
              <w:right w:val="nil"/>
            </w:tcBorders>
          </w:tcPr>
          <w:p w14:paraId="417E0B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logSize</w:t>
            </w:r>
          </w:p>
        </w:tc>
        <w:tc>
          <w:tcPr>
            <w:tcW w:w="627" w:type="pct"/>
            <w:tcBorders>
              <w:top w:val="nil"/>
              <w:left w:val="nil"/>
              <w:bottom w:val="nil"/>
              <w:right w:val="nil"/>
            </w:tcBorders>
          </w:tcPr>
          <w:p w14:paraId="1B96E9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0.137***</w:t>
            </w:r>
          </w:p>
        </w:tc>
        <w:tc>
          <w:tcPr>
            <w:tcW w:w="829" w:type="pct"/>
            <w:tcBorders>
              <w:top w:val="nil"/>
              <w:left w:val="nil"/>
              <w:bottom w:val="nil"/>
              <w:right w:val="nil"/>
            </w:tcBorders>
          </w:tcPr>
          <w:p w14:paraId="077EFD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0.0555**</w:t>
            </w:r>
          </w:p>
        </w:tc>
        <w:tc>
          <w:tcPr>
            <w:tcW w:w="1186" w:type="pct"/>
            <w:tcBorders>
              <w:top w:val="nil"/>
              <w:left w:val="nil"/>
              <w:bottom w:val="nil"/>
              <w:right w:val="nil"/>
            </w:tcBorders>
          </w:tcPr>
          <w:p w14:paraId="2DDBEB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0.109***</w:t>
            </w:r>
          </w:p>
        </w:tc>
        <w:tc>
          <w:tcPr>
            <w:tcW w:w="694" w:type="pct"/>
            <w:tcBorders>
              <w:top w:val="nil"/>
              <w:left w:val="nil"/>
              <w:bottom w:val="nil"/>
              <w:right w:val="nil"/>
            </w:tcBorders>
          </w:tcPr>
          <w:p w14:paraId="68F6DB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0.130***</w:t>
            </w:r>
          </w:p>
        </w:tc>
        <w:tc>
          <w:tcPr>
            <w:tcW w:w="758" w:type="pct"/>
            <w:tcBorders>
              <w:top w:val="nil"/>
              <w:left w:val="nil"/>
              <w:bottom w:val="nil"/>
              <w:right w:val="nil"/>
            </w:tcBorders>
          </w:tcPr>
          <w:p w14:paraId="614A20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0.164***</w:t>
            </w:r>
          </w:p>
        </w:tc>
      </w:tr>
      <w:tr w:rsidR="00F00E3D" w:rsidRPr="00335312" w14:paraId="2079E4B2" w14:textId="77777777" w:rsidTr="009B2FA7">
        <w:trPr>
          <w:jc w:val="center"/>
        </w:trPr>
        <w:tc>
          <w:tcPr>
            <w:tcW w:w="905" w:type="pct"/>
            <w:tcBorders>
              <w:top w:val="nil"/>
              <w:left w:val="nil"/>
              <w:bottom w:val="nil"/>
              <w:right w:val="nil"/>
            </w:tcBorders>
          </w:tcPr>
          <w:p w14:paraId="5B719E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27" w:type="pct"/>
            <w:tcBorders>
              <w:top w:val="nil"/>
              <w:left w:val="nil"/>
              <w:bottom w:val="nil"/>
              <w:right w:val="nil"/>
            </w:tcBorders>
          </w:tcPr>
          <w:p w14:paraId="30DEAE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(35.44)</w:t>
            </w:r>
          </w:p>
        </w:tc>
        <w:tc>
          <w:tcPr>
            <w:tcW w:w="829" w:type="pct"/>
            <w:tcBorders>
              <w:top w:val="nil"/>
              <w:left w:val="nil"/>
              <w:bottom w:val="nil"/>
              <w:right w:val="nil"/>
            </w:tcBorders>
          </w:tcPr>
          <w:p w14:paraId="69DCFA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(2.432)</w:t>
            </w:r>
          </w:p>
        </w:tc>
        <w:tc>
          <w:tcPr>
            <w:tcW w:w="1186" w:type="pct"/>
            <w:tcBorders>
              <w:top w:val="nil"/>
              <w:left w:val="nil"/>
              <w:bottom w:val="nil"/>
              <w:right w:val="nil"/>
            </w:tcBorders>
          </w:tcPr>
          <w:p w14:paraId="5D940E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(9.089)</w:t>
            </w:r>
          </w:p>
        </w:tc>
        <w:tc>
          <w:tcPr>
            <w:tcW w:w="694" w:type="pct"/>
            <w:tcBorders>
              <w:top w:val="nil"/>
              <w:left w:val="nil"/>
              <w:bottom w:val="nil"/>
              <w:right w:val="nil"/>
            </w:tcBorders>
          </w:tcPr>
          <w:p w14:paraId="13F09C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(30.01)</w:t>
            </w:r>
          </w:p>
        </w:tc>
        <w:tc>
          <w:tcPr>
            <w:tcW w:w="758" w:type="pct"/>
            <w:tcBorders>
              <w:top w:val="nil"/>
              <w:left w:val="nil"/>
              <w:bottom w:val="nil"/>
              <w:right w:val="nil"/>
            </w:tcBorders>
          </w:tcPr>
          <w:p w14:paraId="10A838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(5.532)</w:t>
            </w:r>
          </w:p>
        </w:tc>
      </w:tr>
      <w:tr w:rsidR="00F00E3D" w:rsidRPr="00335312" w14:paraId="2B3863B3" w14:textId="77777777" w:rsidTr="009B2FA7">
        <w:trPr>
          <w:jc w:val="center"/>
        </w:trPr>
        <w:tc>
          <w:tcPr>
            <w:tcW w:w="905" w:type="pct"/>
            <w:tcBorders>
              <w:top w:val="nil"/>
              <w:left w:val="nil"/>
              <w:bottom w:val="nil"/>
              <w:right w:val="nil"/>
            </w:tcBorders>
          </w:tcPr>
          <w:p w14:paraId="7F4742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bedrooms</w:t>
            </w:r>
          </w:p>
        </w:tc>
        <w:tc>
          <w:tcPr>
            <w:tcW w:w="627" w:type="pct"/>
            <w:tcBorders>
              <w:top w:val="nil"/>
              <w:left w:val="nil"/>
              <w:bottom w:val="nil"/>
              <w:right w:val="nil"/>
            </w:tcBorders>
          </w:tcPr>
          <w:p w14:paraId="6BBEC2B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0.125***</w:t>
            </w:r>
          </w:p>
        </w:tc>
        <w:tc>
          <w:tcPr>
            <w:tcW w:w="829" w:type="pct"/>
            <w:tcBorders>
              <w:top w:val="nil"/>
              <w:left w:val="nil"/>
              <w:bottom w:val="nil"/>
              <w:right w:val="nil"/>
            </w:tcBorders>
          </w:tcPr>
          <w:p w14:paraId="104000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0.207***</w:t>
            </w:r>
          </w:p>
        </w:tc>
        <w:tc>
          <w:tcPr>
            <w:tcW w:w="1186" w:type="pct"/>
            <w:tcBorders>
              <w:top w:val="nil"/>
              <w:left w:val="nil"/>
              <w:bottom w:val="nil"/>
              <w:right w:val="nil"/>
            </w:tcBorders>
          </w:tcPr>
          <w:p w14:paraId="026BA6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0.173***</w:t>
            </w:r>
          </w:p>
        </w:tc>
        <w:tc>
          <w:tcPr>
            <w:tcW w:w="694" w:type="pct"/>
            <w:tcBorders>
              <w:top w:val="nil"/>
              <w:left w:val="nil"/>
              <w:bottom w:val="nil"/>
              <w:right w:val="nil"/>
            </w:tcBorders>
          </w:tcPr>
          <w:p w14:paraId="76CFB6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0.123***</w:t>
            </w:r>
          </w:p>
        </w:tc>
        <w:tc>
          <w:tcPr>
            <w:tcW w:w="758" w:type="pct"/>
            <w:tcBorders>
              <w:top w:val="nil"/>
              <w:left w:val="nil"/>
              <w:bottom w:val="nil"/>
              <w:right w:val="nil"/>
            </w:tcBorders>
          </w:tcPr>
          <w:p w14:paraId="199CB0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0.110***</w:t>
            </w:r>
          </w:p>
        </w:tc>
      </w:tr>
      <w:tr w:rsidR="00F00E3D" w:rsidRPr="00335312" w14:paraId="652AD08D" w14:textId="77777777" w:rsidTr="009B2FA7">
        <w:trPr>
          <w:jc w:val="center"/>
        </w:trPr>
        <w:tc>
          <w:tcPr>
            <w:tcW w:w="905" w:type="pct"/>
            <w:tcBorders>
              <w:top w:val="nil"/>
              <w:left w:val="nil"/>
              <w:bottom w:val="nil"/>
              <w:right w:val="nil"/>
            </w:tcBorders>
          </w:tcPr>
          <w:p w14:paraId="2D5583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27" w:type="pct"/>
            <w:tcBorders>
              <w:top w:val="nil"/>
              <w:left w:val="nil"/>
              <w:bottom w:val="nil"/>
              <w:right w:val="nil"/>
            </w:tcBorders>
          </w:tcPr>
          <w:p w14:paraId="44AB24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(39.75)</w:t>
            </w:r>
          </w:p>
        </w:tc>
        <w:tc>
          <w:tcPr>
            <w:tcW w:w="829" w:type="pct"/>
            <w:tcBorders>
              <w:top w:val="nil"/>
              <w:left w:val="nil"/>
              <w:bottom w:val="nil"/>
              <w:right w:val="nil"/>
            </w:tcBorders>
          </w:tcPr>
          <w:p w14:paraId="74AFA9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(12.14)</w:t>
            </w:r>
          </w:p>
        </w:tc>
        <w:tc>
          <w:tcPr>
            <w:tcW w:w="1186" w:type="pct"/>
            <w:tcBorders>
              <w:top w:val="nil"/>
              <w:left w:val="nil"/>
              <w:bottom w:val="nil"/>
              <w:right w:val="nil"/>
            </w:tcBorders>
          </w:tcPr>
          <w:p w14:paraId="11F677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(18.95)</w:t>
            </w:r>
          </w:p>
        </w:tc>
        <w:tc>
          <w:tcPr>
            <w:tcW w:w="694" w:type="pct"/>
            <w:tcBorders>
              <w:top w:val="nil"/>
              <w:left w:val="nil"/>
              <w:bottom w:val="nil"/>
              <w:right w:val="nil"/>
            </w:tcBorders>
          </w:tcPr>
          <w:p w14:paraId="37647F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(29.12)</w:t>
            </w:r>
          </w:p>
        </w:tc>
        <w:tc>
          <w:tcPr>
            <w:tcW w:w="758" w:type="pct"/>
            <w:tcBorders>
              <w:top w:val="nil"/>
              <w:left w:val="nil"/>
              <w:bottom w:val="nil"/>
              <w:right w:val="nil"/>
            </w:tcBorders>
          </w:tcPr>
          <w:p w14:paraId="258472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(7.518)</w:t>
            </w:r>
          </w:p>
        </w:tc>
      </w:tr>
      <w:tr w:rsidR="00F00E3D" w:rsidRPr="00335312" w14:paraId="7F529A20" w14:textId="77777777" w:rsidTr="009B2FA7">
        <w:trPr>
          <w:jc w:val="center"/>
        </w:trPr>
        <w:tc>
          <w:tcPr>
            <w:tcW w:w="905" w:type="pct"/>
            <w:tcBorders>
              <w:top w:val="nil"/>
              <w:left w:val="nil"/>
              <w:bottom w:val="nil"/>
              <w:right w:val="nil"/>
            </w:tcBorders>
          </w:tcPr>
          <w:p w14:paraId="368FA8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baths</w:t>
            </w:r>
          </w:p>
        </w:tc>
        <w:tc>
          <w:tcPr>
            <w:tcW w:w="627" w:type="pct"/>
            <w:tcBorders>
              <w:top w:val="nil"/>
              <w:left w:val="nil"/>
              <w:bottom w:val="nil"/>
              <w:right w:val="nil"/>
            </w:tcBorders>
          </w:tcPr>
          <w:p w14:paraId="404BE32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0.062***</w:t>
            </w:r>
          </w:p>
        </w:tc>
        <w:tc>
          <w:tcPr>
            <w:tcW w:w="829" w:type="pct"/>
            <w:tcBorders>
              <w:top w:val="nil"/>
              <w:left w:val="nil"/>
              <w:bottom w:val="nil"/>
              <w:right w:val="nil"/>
            </w:tcBorders>
          </w:tcPr>
          <w:p w14:paraId="3A55C3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0.0473***</w:t>
            </w:r>
          </w:p>
        </w:tc>
        <w:tc>
          <w:tcPr>
            <w:tcW w:w="1186" w:type="pct"/>
            <w:tcBorders>
              <w:top w:val="nil"/>
              <w:left w:val="nil"/>
              <w:bottom w:val="nil"/>
              <w:right w:val="nil"/>
            </w:tcBorders>
          </w:tcPr>
          <w:p w14:paraId="0727D36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0.0376***</w:t>
            </w:r>
          </w:p>
        </w:tc>
        <w:tc>
          <w:tcPr>
            <w:tcW w:w="694" w:type="pct"/>
            <w:tcBorders>
              <w:top w:val="nil"/>
              <w:left w:val="nil"/>
              <w:bottom w:val="nil"/>
              <w:right w:val="nil"/>
            </w:tcBorders>
          </w:tcPr>
          <w:p w14:paraId="1DE644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0.0843***</w:t>
            </w:r>
          </w:p>
        </w:tc>
        <w:tc>
          <w:tcPr>
            <w:tcW w:w="758" w:type="pct"/>
            <w:tcBorders>
              <w:top w:val="nil"/>
              <w:left w:val="nil"/>
              <w:bottom w:val="nil"/>
              <w:right w:val="nil"/>
            </w:tcBorders>
          </w:tcPr>
          <w:p w14:paraId="25D534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0.0768***</w:t>
            </w:r>
          </w:p>
        </w:tc>
      </w:tr>
      <w:tr w:rsidR="00F00E3D" w:rsidRPr="00335312" w14:paraId="4088E2A3" w14:textId="77777777" w:rsidTr="009B2FA7">
        <w:trPr>
          <w:jc w:val="center"/>
        </w:trPr>
        <w:tc>
          <w:tcPr>
            <w:tcW w:w="905" w:type="pct"/>
            <w:tcBorders>
              <w:top w:val="nil"/>
              <w:left w:val="nil"/>
              <w:bottom w:val="nil"/>
              <w:right w:val="nil"/>
            </w:tcBorders>
          </w:tcPr>
          <w:p w14:paraId="1EEFB0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27" w:type="pct"/>
            <w:tcBorders>
              <w:top w:val="nil"/>
              <w:left w:val="nil"/>
              <w:bottom w:val="nil"/>
              <w:right w:val="nil"/>
            </w:tcBorders>
          </w:tcPr>
          <w:p w14:paraId="6C4717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(24.67)</w:t>
            </w:r>
          </w:p>
        </w:tc>
        <w:tc>
          <w:tcPr>
            <w:tcW w:w="829" w:type="pct"/>
            <w:tcBorders>
              <w:top w:val="nil"/>
              <w:left w:val="nil"/>
              <w:bottom w:val="nil"/>
              <w:right w:val="nil"/>
            </w:tcBorders>
          </w:tcPr>
          <w:p w14:paraId="7E55B4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(4.530)</w:t>
            </w:r>
          </w:p>
        </w:tc>
        <w:tc>
          <w:tcPr>
            <w:tcW w:w="1186" w:type="pct"/>
            <w:tcBorders>
              <w:top w:val="nil"/>
              <w:left w:val="nil"/>
              <w:bottom w:val="nil"/>
              <w:right w:val="nil"/>
            </w:tcBorders>
          </w:tcPr>
          <w:p w14:paraId="38EAF5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(8.527)</w:t>
            </w:r>
          </w:p>
        </w:tc>
        <w:tc>
          <w:tcPr>
            <w:tcW w:w="694" w:type="pct"/>
            <w:tcBorders>
              <w:top w:val="nil"/>
              <w:left w:val="nil"/>
              <w:bottom w:val="nil"/>
              <w:right w:val="nil"/>
            </w:tcBorders>
          </w:tcPr>
          <w:p w14:paraId="28E1C7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(19.39)</w:t>
            </w:r>
          </w:p>
        </w:tc>
        <w:tc>
          <w:tcPr>
            <w:tcW w:w="758" w:type="pct"/>
            <w:tcBorders>
              <w:top w:val="nil"/>
              <w:left w:val="nil"/>
              <w:bottom w:val="nil"/>
              <w:right w:val="nil"/>
            </w:tcBorders>
          </w:tcPr>
          <w:p w14:paraId="78BE88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(8.401)</w:t>
            </w:r>
          </w:p>
        </w:tc>
      </w:tr>
      <w:tr w:rsidR="00F00E3D" w:rsidRPr="00335312" w14:paraId="0EE837AD" w14:textId="77777777" w:rsidTr="009B2FA7">
        <w:trPr>
          <w:jc w:val="center"/>
        </w:trPr>
        <w:tc>
          <w:tcPr>
            <w:tcW w:w="905" w:type="pct"/>
            <w:tcBorders>
              <w:top w:val="nil"/>
              <w:left w:val="nil"/>
              <w:bottom w:val="nil"/>
              <w:right w:val="nil"/>
            </w:tcBorders>
          </w:tcPr>
          <w:p w14:paraId="5E6B4C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parking</w:t>
            </w:r>
          </w:p>
        </w:tc>
        <w:tc>
          <w:tcPr>
            <w:tcW w:w="627" w:type="pct"/>
            <w:tcBorders>
              <w:top w:val="nil"/>
              <w:left w:val="nil"/>
              <w:bottom w:val="nil"/>
              <w:right w:val="nil"/>
            </w:tcBorders>
          </w:tcPr>
          <w:p w14:paraId="55580B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0.009***</w:t>
            </w:r>
          </w:p>
        </w:tc>
        <w:tc>
          <w:tcPr>
            <w:tcW w:w="829" w:type="pct"/>
            <w:tcBorders>
              <w:top w:val="nil"/>
              <w:left w:val="nil"/>
              <w:bottom w:val="nil"/>
              <w:right w:val="nil"/>
            </w:tcBorders>
          </w:tcPr>
          <w:p w14:paraId="2DC619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0.0353***</w:t>
            </w:r>
          </w:p>
        </w:tc>
        <w:tc>
          <w:tcPr>
            <w:tcW w:w="1186" w:type="pct"/>
            <w:tcBorders>
              <w:top w:val="nil"/>
              <w:left w:val="nil"/>
              <w:bottom w:val="nil"/>
              <w:right w:val="nil"/>
            </w:tcBorders>
          </w:tcPr>
          <w:p w14:paraId="23C3F8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0.0161***</w:t>
            </w:r>
          </w:p>
        </w:tc>
        <w:tc>
          <w:tcPr>
            <w:tcW w:w="694" w:type="pct"/>
            <w:tcBorders>
              <w:top w:val="nil"/>
              <w:left w:val="nil"/>
              <w:bottom w:val="nil"/>
              <w:right w:val="nil"/>
            </w:tcBorders>
          </w:tcPr>
          <w:p w14:paraId="30214C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0.00952***</w:t>
            </w:r>
          </w:p>
        </w:tc>
        <w:tc>
          <w:tcPr>
            <w:tcW w:w="758" w:type="pct"/>
            <w:tcBorders>
              <w:top w:val="nil"/>
              <w:left w:val="nil"/>
              <w:bottom w:val="nil"/>
              <w:right w:val="nil"/>
            </w:tcBorders>
          </w:tcPr>
          <w:p w14:paraId="08826E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0.00327</w:t>
            </w:r>
          </w:p>
        </w:tc>
      </w:tr>
      <w:tr w:rsidR="00F00E3D" w:rsidRPr="00335312" w14:paraId="08ADDF05" w14:textId="77777777" w:rsidTr="009B2FA7">
        <w:trPr>
          <w:jc w:val="center"/>
        </w:trPr>
        <w:tc>
          <w:tcPr>
            <w:tcW w:w="905" w:type="pct"/>
            <w:tcBorders>
              <w:top w:val="nil"/>
              <w:left w:val="nil"/>
              <w:bottom w:val="nil"/>
              <w:right w:val="nil"/>
            </w:tcBorders>
          </w:tcPr>
          <w:p w14:paraId="7DACAC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27" w:type="pct"/>
            <w:tcBorders>
              <w:top w:val="nil"/>
              <w:left w:val="nil"/>
              <w:bottom w:val="nil"/>
              <w:right w:val="nil"/>
            </w:tcBorders>
          </w:tcPr>
          <w:p w14:paraId="6473126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(9.728)</w:t>
            </w:r>
          </w:p>
        </w:tc>
        <w:tc>
          <w:tcPr>
            <w:tcW w:w="829" w:type="pct"/>
            <w:tcBorders>
              <w:top w:val="nil"/>
              <w:left w:val="nil"/>
              <w:bottom w:val="nil"/>
              <w:right w:val="nil"/>
            </w:tcBorders>
          </w:tcPr>
          <w:p w14:paraId="2D96FC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(4.095)</w:t>
            </w:r>
          </w:p>
        </w:tc>
        <w:tc>
          <w:tcPr>
            <w:tcW w:w="1186" w:type="pct"/>
            <w:tcBorders>
              <w:top w:val="nil"/>
              <w:left w:val="nil"/>
              <w:bottom w:val="nil"/>
              <w:right w:val="nil"/>
            </w:tcBorders>
          </w:tcPr>
          <w:p w14:paraId="145E9B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(4.701)</w:t>
            </w:r>
          </w:p>
        </w:tc>
        <w:tc>
          <w:tcPr>
            <w:tcW w:w="694" w:type="pct"/>
            <w:tcBorders>
              <w:top w:val="nil"/>
              <w:left w:val="nil"/>
              <w:bottom w:val="nil"/>
              <w:right w:val="nil"/>
            </w:tcBorders>
          </w:tcPr>
          <w:p w14:paraId="0C89A0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(7.823)</w:t>
            </w:r>
          </w:p>
        </w:tc>
        <w:tc>
          <w:tcPr>
            <w:tcW w:w="758" w:type="pct"/>
            <w:tcBorders>
              <w:top w:val="nil"/>
              <w:left w:val="nil"/>
              <w:bottom w:val="nil"/>
              <w:right w:val="nil"/>
            </w:tcBorders>
          </w:tcPr>
          <w:p w14:paraId="16CE70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(0.961)</w:t>
            </w:r>
          </w:p>
        </w:tc>
      </w:tr>
      <w:tr w:rsidR="00F00E3D" w:rsidRPr="00335312" w14:paraId="3EAA0A95" w14:textId="77777777" w:rsidTr="009B2FA7">
        <w:trPr>
          <w:jc w:val="center"/>
        </w:trPr>
        <w:tc>
          <w:tcPr>
            <w:tcW w:w="905" w:type="pct"/>
            <w:tcBorders>
              <w:top w:val="nil"/>
              <w:left w:val="nil"/>
              <w:bottom w:val="nil"/>
              <w:right w:val="nil"/>
            </w:tcBorders>
          </w:tcPr>
          <w:p w14:paraId="115188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LogCBDDistance</w:t>
            </w:r>
          </w:p>
        </w:tc>
        <w:tc>
          <w:tcPr>
            <w:tcW w:w="627" w:type="pct"/>
            <w:tcBorders>
              <w:top w:val="nil"/>
              <w:left w:val="nil"/>
              <w:bottom w:val="nil"/>
              <w:right w:val="nil"/>
            </w:tcBorders>
          </w:tcPr>
          <w:p w14:paraId="7FDD2E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w:t>
            </w:r>
          </w:p>
        </w:tc>
        <w:tc>
          <w:tcPr>
            <w:tcW w:w="829" w:type="pct"/>
            <w:tcBorders>
              <w:top w:val="nil"/>
              <w:left w:val="nil"/>
              <w:bottom w:val="nil"/>
              <w:right w:val="nil"/>
            </w:tcBorders>
          </w:tcPr>
          <w:p w14:paraId="6344D4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-0.158</w:t>
            </w:r>
          </w:p>
        </w:tc>
        <w:tc>
          <w:tcPr>
            <w:tcW w:w="1186" w:type="pct"/>
            <w:tcBorders>
              <w:top w:val="nil"/>
              <w:left w:val="nil"/>
              <w:bottom w:val="nil"/>
              <w:right w:val="nil"/>
            </w:tcBorders>
          </w:tcPr>
          <w:p w14:paraId="62A663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-0.329***</w:t>
            </w:r>
          </w:p>
        </w:tc>
        <w:tc>
          <w:tcPr>
            <w:tcW w:w="694" w:type="pct"/>
            <w:tcBorders>
              <w:top w:val="nil"/>
              <w:left w:val="nil"/>
              <w:bottom w:val="nil"/>
              <w:right w:val="nil"/>
            </w:tcBorders>
          </w:tcPr>
          <w:p w14:paraId="243B31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-0.400***</w:t>
            </w:r>
          </w:p>
        </w:tc>
        <w:tc>
          <w:tcPr>
            <w:tcW w:w="758" w:type="pct"/>
            <w:tcBorders>
              <w:top w:val="nil"/>
              <w:left w:val="nil"/>
              <w:bottom w:val="nil"/>
              <w:right w:val="nil"/>
            </w:tcBorders>
          </w:tcPr>
          <w:p w14:paraId="0DD851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-0.792</w:t>
            </w:r>
          </w:p>
        </w:tc>
      </w:tr>
      <w:tr w:rsidR="00F00E3D" w:rsidRPr="00335312" w14:paraId="0645CF70" w14:textId="77777777" w:rsidTr="009B2FA7">
        <w:trPr>
          <w:jc w:val="center"/>
        </w:trPr>
        <w:tc>
          <w:tcPr>
            <w:tcW w:w="905" w:type="pct"/>
            <w:tcBorders>
              <w:top w:val="nil"/>
              <w:left w:val="nil"/>
              <w:bottom w:val="nil"/>
              <w:right w:val="nil"/>
            </w:tcBorders>
          </w:tcPr>
          <w:p w14:paraId="1C64CC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27" w:type="pct"/>
            <w:tcBorders>
              <w:top w:val="nil"/>
              <w:left w:val="nil"/>
              <w:bottom w:val="nil"/>
              <w:right w:val="nil"/>
            </w:tcBorders>
          </w:tcPr>
          <w:p w14:paraId="61F5B5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(-5.265)</w:t>
            </w:r>
          </w:p>
        </w:tc>
        <w:tc>
          <w:tcPr>
            <w:tcW w:w="829" w:type="pct"/>
            <w:tcBorders>
              <w:top w:val="nil"/>
              <w:left w:val="nil"/>
              <w:bottom w:val="nil"/>
              <w:right w:val="nil"/>
            </w:tcBorders>
          </w:tcPr>
          <w:p w14:paraId="2A406C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(-1.200)</w:t>
            </w:r>
          </w:p>
        </w:tc>
        <w:tc>
          <w:tcPr>
            <w:tcW w:w="1186" w:type="pct"/>
            <w:tcBorders>
              <w:top w:val="nil"/>
              <w:left w:val="nil"/>
              <w:bottom w:val="nil"/>
              <w:right w:val="nil"/>
            </w:tcBorders>
          </w:tcPr>
          <w:p w14:paraId="0486C0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(-4.069)</w:t>
            </w:r>
          </w:p>
        </w:tc>
        <w:tc>
          <w:tcPr>
            <w:tcW w:w="694" w:type="pct"/>
            <w:tcBorders>
              <w:top w:val="nil"/>
              <w:left w:val="nil"/>
              <w:bottom w:val="nil"/>
              <w:right w:val="nil"/>
            </w:tcBorders>
          </w:tcPr>
          <w:p w14:paraId="40A320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(-3.057)</w:t>
            </w:r>
          </w:p>
        </w:tc>
        <w:tc>
          <w:tcPr>
            <w:tcW w:w="758" w:type="pct"/>
            <w:tcBorders>
              <w:top w:val="nil"/>
              <w:left w:val="nil"/>
              <w:bottom w:val="nil"/>
              <w:right w:val="nil"/>
            </w:tcBorders>
          </w:tcPr>
          <w:p w14:paraId="4D3506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(-0.951)</w:t>
            </w:r>
          </w:p>
        </w:tc>
      </w:tr>
      <w:tr w:rsidR="00F00E3D" w:rsidRPr="00335312" w14:paraId="7ABEFC43" w14:textId="77777777" w:rsidTr="009B2FA7">
        <w:trPr>
          <w:jc w:val="center"/>
        </w:trPr>
        <w:tc>
          <w:tcPr>
            <w:tcW w:w="905" w:type="pct"/>
            <w:tcBorders>
              <w:top w:val="nil"/>
              <w:left w:val="nil"/>
              <w:bottom w:val="nil"/>
              <w:right w:val="nil"/>
            </w:tcBorders>
          </w:tcPr>
          <w:p w14:paraId="3F33A4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Constant</w:t>
            </w:r>
          </w:p>
        </w:tc>
        <w:tc>
          <w:tcPr>
            <w:tcW w:w="627" w:type="pct"/>
            <w:tcBorders>
              <w:top w:val="nil"/>
              <w:left w:val="nil"/>
              <w:bottom w:val="nil"/>
              <w:right w:val="nil"/>
            </w:tcBorders>
          </w:tcPr>
          <w:p w14:paraId="3B4421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11.81***</w:t>
            </w:r>
          </w:p>
        </w:tc>
        <w:tc>
          <w:tcPr>
            <w:tcW w:w="829" w:type="pct"/>
            <w:tcBorders>
              <w:top w:val="nil"/>
              <w:left w:val="nil"/>
              <w:bottom w:val="nil"/>
              <w:right w:val="nil"/>
            </w:tcBorders>
          </w:tcPr>
          <w:p w14:paraId="3FD598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12.52***</w:t>
            </w:r>
          </w:p>
        </w:tc>
        <w:tc>
          <w:tcPr>
            <w:tcW w:w="1186" w:type="pct"/>
            <w:tcBorders>
              <w:top w:val="nil"/>
              <w:left w:val="nil"/>
              <w:bottom w:val="nil"/>
              <w:right w:val="nil"/>
            </w:tcBorders>
          </w:tcPr>
          <w:p w14:paraId="0036EB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11.77***</w:t>
            </w:r>
          </w:p>
        </w:tc>
        <w:tc>
          <w:tcPr>
            <w:tcW w:w="694" w:type="pct"/>
            <w:tcBorders>
              <w:top w:val="nil"/>
              <w:left w:val="nil"/>
              <w:bottom w:val="nil"/>
              <w:right w:val="nil"/>
            </w:tcBorders>
          </w:tcPr>
          <w:p w14:paraId="55EB45B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11.85***</w:t>
            </w:r>
          </w:p>
        </w:tc>
        <w:tc>
          <w:tcPr>
            <w:tcW w:w="758" w:type="pct"/>
            <w:tcBorders>
              <w:top w:val="nil"/>
              <w:left w:val="nil"/>
              <w:bottom w:val="nil"/>
              <w:right w:val="nil"/>
            </w:tcBorders>
          </w:tcPr>
          <w:p w14:paraId="3DDDA2E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11.00***</w:t>
            </w:r>
          </w:p>
        </w:tc>
      </w:tr>
      <w:tr w:rsidR="00F00E3D" w:rsidRPr="00335312" w14:paraId="12AE93BB" w14:textId="77777777" w:rsidTr="009B2FA7">
        <w:trPr>
          <w:jc w:val="center"/>
        </w:trPr>
        <w:tc>
          <w:tcPr>
            <w:tcW w:w="905" w:type="pct"/>
            <w:tcBorders>
              <w:top w:val="nil"/>
              <w:left w:val="nil"/>
              <w:bottom w:val="nil"/>
              <w:right w:val="nil"/>
            </w:tcBorders>
          </w:tcPr>
          <w:p w14:paraId="0BE084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27" w:type="pct"/>
            <w:tcBorders>
              <w:top w:val="nil"/>
              <w:left w:val="nil"/>
              <w:bottom w:val="nil"/>
              <w:right w:val="nil"/>
            </w:tcBorders>
          </w:tcPr>
          <w:p w14:paraId="3F5003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(61.08)</w:t>
            </w:r>
          </w:p>
        </w:tc>
        <w:tc>
          <w:tcPr>
            <w:tcW w:w="829" w:type="pct"/>
            <w:tcBorders>
              <w:top w:val="nil"/>
              <w:left w:val="nil"/>
              <w:bottom w:val="nil"/>
              <w:right w:val="nil"/>
            </w:tcBorders>
          </w:tcPr>
          <w:p w14:paraId="7B90CC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(26.16)</w:t>
            </w:r>
          </w:p>
        </w:tc>
        <w:tc>
          <w:tcPr>
            <w:tcW w:w="1186" w:type="pct"/>
            <w:tcBorders>
              <w:top w:val="nil"/>
              <w:left w:val="nil"/>
              <w:bottom w:val="nil"/>
              <w:right w:val="nil"/>
            </w:tcBorders>
          </w:tcPr>
          <w:p w14:paraId="7D119D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(40.58)</w:t>
            </w:r>
          </w:p>
        </w:tc>
        <w:tc>
          <w:tcPr>
            <w:tcW w:w="694" w:type="pct"/>
            <w:tcBorders>
              <w:top w:val="nil"/>
              <w:left w:val="nil"/>
              <w:bottom w:val="nil"/>
              <w:right w:val="nil"/>
            </w:tcBorders>
          </w:tcPr>
          <w:p w14:paraId="27E539A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(37.87)</w:t>
            </w:r>
          </w:p>
        </w:tc>
        <w:tc>
          <w:tcPr>
            <w:tcW w:w="758" w:type="pct"/>
            <w:tcBorders>
              <w:top w:val="nil"/>
              <w:left w:val="nil"/>
              <w:bottom w:val="nil"/>
              <w:right w:val="nil"/>
            </w:tcBorders>
          </w:tcPr>
          <w:p w14:paraId="1FE0EB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(21.94)</w:t>
            </w:r>
          </w:p>
        </w:tc>
      </w:tr>
      <w:tr w:rsidR="00F00E3D" w:rsidRPr="00335312" w14:paraId="50CA0684" w14:textId="77777777" w:rsidTr="009B2FA7">
        <w:trPr>
          <w:jc w:val="center"/>
        </w:trPr>
        <w:tc>
          <w:tcPr>
            <w:tcW w:w="905" w:type="pct"/>
            <w:tcBorders>
              <w:top w:val="nil"/>
              <w:left w:val="nil"/>
              <w:bottom w:val="nil"/>
              <w:right w:val="nil"/>
            </w:tcBorders>
          </w:tcPr>
          <w:p w14:paraId="4E6622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27" w:type="pct"/>
            <w:tcBorders>
              <w:top w:val="nil"/>
              <w:left w:val="nil"/>
              <w:bottom w:val="nil"/>
              <w:right w:val="nil"/>
            </w:tcBorders>
          </w:tcPr>
          <w:p w14:paraId="3F40EA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29" w:type="pct"/>
            <w:tcBorders>
              <w:top w:val="nil"/>
              <w:left w:val="nil"/>
              <w:bottom w:val="nil"/>
              <w:right w:val="nil"/>
            </w:tcBorders>
          </w:tcPr>
          <w:p w14:paraId="386F45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1186" w:type="pct"/>
            <w:tcBorders>
              <w:top w:val="nil"/>
              <w:left w:val="nil"/>
              <w:bottom w:val="nil"/>
              <w:right w:val="nil"/>
            </w:tcBorders>
          </w:tcPr>
          <w:p w14:paraId="1FC90A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94" w:type="pct"/>
            <w:tcBorders>
              <w:top w:val="nil"/>
              <w:left w:val="nil"/>
              <w:bottom w:val="nil"/>
              <w:right w:val="nil"/>
            </w:tcBorders>
          </w:tcPr>
          <w:p w14:paraId="7EB4E30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58" w:type="pct"/>
            <w:tcBorders>
              <w:top w:val="nil"/>
              <w:left w:val="nil"/>
              <w:bottom w:val="nil"/>
              <w:right w:val="nil"/>
            </w:tcBorders>
          </w:tcPr>
          <w:p w14:paraId="7C75DD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5EB1EC3F" w14:textId="77777777" w:rsidTr="009B2FA7">
        <w:trPr>
          <w:jc w:val="center"/>
        </w:trPr>
        <w:tc>
          <w:tcPr>
            <w:tcW w:w="905" w:type="pct"/>
            <w:tcBorders>
              <w:top w:val="nil"/>
              <w:left w:val="nil"/>
              <w:bottom w:val="nil"/>
              <w:right w:val="nil"/>
            </w:tcBorders>
          </w:tcPr>
          <w:p w14:paraId="7168CD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Observations</w:t>
            </w:r>
          </w:p>
        </w:tc>
        <w:tc>
          <w:tcPr>
            <w:tcW w:w="627" w:type="pct"/>
            <w:tcBorders>
              <w:top w:val="nil"/>
              <w:left w:val="nil"/>
              <w:bottom w:val="nil"/>
              <w:right w:val="nil"/>
            </w:tcBorders>
          </w:tcPr>
          <w:p w14:paraId="5C90F5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146,228</w:t>
            </w:r>
          </w:p>
        </w:tc>
        <w:tc>
          <w:tcPr>
            <w:tcW w:w="829" w:type="pct"/>
            <w:tcBorders>
              <w:top w:val="nil"/>
              <w:left w:val="nil"/>
              <w:bottom w:val="nil"/>
              <w:right w:val="nil"/>
            </w:tcBorders>
          </w:tcPr>
          <w:p w14:paraId="4016AE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4,938</w:t>
            </w:r>
          </w:p>
        </w:tc>
        <w:tc>
          <w:tcPr>
            <w:tcW w:w="1186" w:type="pct"/>
            <w:tcBorders>
              <w:top w:val="nil"/>
              <w:left w:val="nil"/>
              <w:bottom w:val="nil"/>
              <w:right w:val="nil"/>
            </w:tcBorders>
          </w:tcPr>
          <w:p w14:paraId="412B5B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24,686</w:t>
            </w:r>
          </w:p>
        </w:tc>
        <w:tc>
          <w:tcPr>
            <w:tcW w:w="694" w:type="pct"/>
            <w:tcBorders>
              <w:top w:val="nil"/>
              <w:left w:val="nil"/>
              <w:bottom w:val="nil"/>
              <w:right w:val="nil"/>
            </w:tcBorders>
          </w:tcPr>
          <w:p w14:paraId="374F2A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68,104</w:t>
            </w:r>
          </w:p>
        </w:tc>
        <w:tc>
          <w:tcPr>
            <w:tcW w:w="758" w:type="pct"/>
            <w:tcBorders>
              <w:top w:val="nil"/>
              <w:left w:val="nil"/>
              <w:bottom w:val="nil"/>
              <w:right w:val="nil"/>
            </w:tcBorders>
          </w:tcPr>
          <w:p w14:paraId="732E9F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6,562</w:t>
            </w:r>
          </w:p>
        </w:tc>
      </w:tr>
      <w:tr w:rsidR="00F00E3D" w:rsidRPr="00335312" w14:paraId="11BDE920" w14:textId="77777777" w:rsidTr="009B2FA7">
        <w:trPr>
          <w:jc w:val="center"/>
        </w:trPr>
        <w:tc>
          <w:tcPr>
            <w:tcW w:w="905" w:type="pct"/>
            <w:tcBorders>
              <w:top w:val="nil"/>
              <w:left w:val="nil"/>
              <w:bottom w:val="nil"/>
              <w:right w:val="nil"/>
            </w:tcBorders>
          </w:tcPr>
          <w:p w14:paraId="6AC112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R-squared</w:t>
            </w:r>
          </w:p>
        </w:tc>
        <w:tc>
          <w:tcPr>
            <w:tcW w:w="627" w:type="pct"/>
            <w:tcBorders>
              <w:top w:val="nil"/>
              <w:left w:val="nil"/>
              <w:bottom w:val="nil"/>
              <w:right w:val="nil"/>
            </w:tcBorders>
          </w:tcPr>
          <w:p w14:paraId="0BF7CA8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0.853</w:t>
            </w:r>
          </w:p>
        </w:tc>
        <w:tc>
          <w:tcPr>
            <w:tcW w:w="829" w:type="pct"/>
            <w:tcBorders>
              <w:top w:val="nil"/>
              <w:left w:val="nil"/>
              <w:bottom w:val="nil"/>
              <w:right w:val="nil"/>
            </w:tcBorders>
          </w:tcPr>
          <w:p w14:paraId="3C2255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0.830</w:t>
            </w:r>
          </w:p>
        </w:tc>
        <w:tc>
          <w:tcPr>
            <w:tcW w:w="1186" w:type="pct"/>
            <w:tcBorders>
              <w:top w:val="nil"/>
              <w:left w:val="nil"/>
              <w:bottom w:val="nil"/>
              <w:right w:val="nil"/>
            </w:tcBorders>
          </w:tcPr>
          <w:p w14:paraId="0C33CD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0.768</w:t>
            </w:r>
          </w:p>
        </w:tc>
        <w:tc>
          <w:tcPr>
            <w:tcW w:w="694" w:type="pct"/>
            <w:tcBorders>
              <w:top w:val="nil"/>
              <w:left w:val="nil"/>
              <w:bottom w:val="nil"/>
              <w:right w:val="nil"/>
            </w:tcBorders>
          </w:tcPr>
          <w:p w14:paraId="3A663D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0.834</w:t>
            </w:r>
          </w:p>
        </w:tc>
        <w:tc>
          <w:tcPr>
            <w:tcW w:w="758" w:type="pct"/>
            <w:tcBorders>
              <w:top w:val="nil"/>
              <w:left w:val="nil"/>
              <w:bottom w:val="nil"/>
              <w:right w:val="nil"/>
            </w:tcBorders>
          </w:tcPr>
          <w:p w14:paraId="7F5598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0.722</w:t>
            </w:r>
          </w:p>
        </w:tc>
      </w:tr>
      <w:tr w:rsidR="00F00E3D" w:rsidRPr="00335312" w14:paraId="292E1CAC" w14:textId="77777777" w:rsidTr="009B2FA7">
        <w:trPr>
          <w:jc w:val="center"/>
        </w:trPr>
        <w:tc>
          <w:tcPr>
            <w:tcW w:w="905" w:type="pct"/>
            <w:tcBorders>
              <w:top w:val="nil"/>
              <w:left w:val="nil"/>
              <w:bottom w:val="nil"/>
              <w:right w:val="nil"/>
            </w:tcBorders>
          </w:tcPr>
          <w:p w14:paraId="3DA534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FE</w:t>
            </w:r>
          </w:p>
        </w:tc>
        <w:tc>
          <w:tcPr>
            <w:tcW w:w="627" w:type="pct"/>
            <w:tcBorders>
              <w:top w:val="nil"/>
              <w:left w:val="nil"/>
              <w:bottom w:val="nil"/>
              <w:right w:val="nil"/>
            </w:tcBorders>
          </w:tcPr>
          <w:p w14:paraId="05D96E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29" w:type="pct"/>
            <w:tcBorders>
              <w:top w:val="nil"/>
              <w:left w:val="nil"/>
              <w:bottom w:val="nil"/>
              <w:right w:val="nil"/>
            </w:tcBorders>
          </w:tcPr>
          <w:p w14:paraId="018143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186" w:type="pct"/>
            <w:tcBorders>
              <w:top w:val="nil"/>
              <w:left w:val="nil"/>
              <w:bottom w:val="nil"/>
              <w:right w:val="nil"/>
            </w:tcBorders>
          </w:tcPr>
          <w:p w14:paraId="57058C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694" w:type="pct"/>
            <w:tcBorders>
              <w:top w:val="nil"/>
              <w:left w:val="nil"/>
              <w:bottom w:val="nil"/>
              <w:right w:val="nil"/>
            </w:tcBorders>
          </w:tcPr>
          <w:p w14:paraId="0AE4A4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58" w:type="pct"/>
            <w:tcBorders>
              <w:top w:val="nil"/>
              <w:left w:val="nil"/>
              <w:bottom w:val="nil"/>
              <w:right w:val="nil"/>
            </w:tcBorders>
          </w:tcPr>
          <w:p w14:paraId="00827E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5F24ECD6" w14:textId="77777777" w:rsidTr="009B2FA7">
        <w:trPr>
          <w:jc w:val="center"/>
        </w:trPr>
        <w:tc>
          <w:tcPr>
            <w:tcW w:w="905" w:type="pct"/>
            <w:tcBorders>
              <w:top w:val="nil"/>
              <w:left w:val="nil"/>
              <w:bottom w:val="nil"/>
              <w:right w:val="nil"/>
            </w:tcBorders>
          </w:tcPr>
          <w:p w14:paraId="690EB4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SE Cluster</w:t>
            </w:r>
          </w:p>
        </w:tc>
        <w:tc>
          <w:tcPr>
            <w:tcW w:w="627" w:type="pct"/>
            <w:tcBorders>
              <w:top w:val="nil"/>
              <w:left w:val="nil"/>
              <w:bottom w:val="nil"/>
              <w:right w:val="nil"/>
            </w:tcBorders>
          </w:tcPr>
          <w:p w14:paraId="741E13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29" w:type="pct"/>
            <w:tcBorders>
              <w:top w:val="nil"/>
              <w:left w:val="nil"/>
              <w:bottom w:val="nil"/>
              <w:right w:val="nil"/>
            </w:tcBorders>
          </w:tcPr>
          <w:p w14:paraId="40D478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186" w:type="pct"/>
            <w:tcBorders>
              <w:top w:val="nil"/>
              <w:left w:val="nil"/>
              <w:bottom w:val="nil"/>
              <w:right w:val="nil"/>
            </w:tcBorders>
          </w:tcPr>
          <w:p w14:paraId="32229D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694" w:type="pct"/>
            <w:tcBorders>
              <w:top w:val="nil"/>
              <w:left w:val="nil"/>
              <w:bottom w:val="nil"/>
              <w:right w:val="nil"/>
            </w:tcBorders>
          </w:tcPr>
          <w:p w14:paraId="750CD2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58" w:type="pct"/>
            <w:tcBorders>
              <w:top w:val="nil"/>
              <w:left w:val="nil"/>
              <w:bottom w:val="nil"/>
              <w:right w:val="nil"/>
            </w:tcBorders>
          </w:tcPr>
          <w:p w14:paraId="07E45F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799E3742" w14:textId="77777777" w:rsidTr="009B2FA7">
        <w:trPr>
          <w:jc w:val="center"/>
        </w:trPr>
        <w:tc>
          <w:tcPr>
            <w:tcW w:w="905" w:type="pct"/>
            <w:tcBorders>
              <w:top w:val="nil"/>
              <w:left w:val="nil"/>
              <w:bottom w:val="nil"/>
              <w:right w:val="nil"/>
            </w:tcBorders>
          </w:tcPr>
          <w:p w14:paraId="269EA8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Year FE</w:t>
            </w:r>
          </w:p>
        </w:tc>
        <w:tc>
          <w:tcPr>
            <w:tcW w:w="627" w:type="pct"/>
            <w:tcBorders>
              <w:top w:val="nil"/>
              <w:left w:val="nil"/>
              <w:bottom w:val="nil"/>
              <w:right w:val="nil"/>
            </w:tcBorders>
          </w:tcPr>
          <w:p w14:paraId="2FA9AFA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29" w:type="pct"/>
            <w:tcBorders>
              <w:top w:val="nil"/>
              <w:left w:val="nil"/>
              <w:bottom w:val="nil"/>
              <w:right w:val="nil"/>
            </w:tcBorders>
          </w:tcPr>
          <w:p w14:paraId="1BC3DAE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186" w:type="pct"/>
            <w:tcBorders>
              <w:top w:val="nil"/>
              <w:left w:val="nil"/>
              <w:bottom w:val="nil"/>
              <w:right w:val="nil"/>
            </w:tcBorders>
          </w:tcPr>
          <w:p w14:paraId="43B0BB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694" w:type="pct"/>
            <w:tcBorders>
              <w:top w:val="nil"/>
              <w:left w:val="nil"/>
              <w:bottom w:val="nil"/>
              <w:right w:val="nil"/>
            </w:tcBorders>
          </w:tcPr>
          <w:p w14:paraId="6E0FA4A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58" w:type="pct"/>
            <w:tcBorders>
              <w:top w:val="nil"/>
              <w:left w:val="nil"/>
              <w:bottom w:val="nil"/>
              <w:right w:val="nil"/>
            </w:tcBorders>
          </w:tcPr>
          <w:p w14:paraId="692CE0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5974F299" w14:textId="77777777" w:rsidTr="009B2FA7">
        <w:tblPrEx>
          <w:tblBorders>
            <w:bottom w:val="single" w:sz="6" w:space="0" w:color="auto"/>
          </w:tblBorders>
        </w:tblPrEx>
        <w:trPr>
          <w:jc w:val="center"/>
        </w:trPr>
        <w:tc>
          <w:tcPr>
            <w:tcW w:w="905" w:type="pct"/>
            <w:tcBorders>
              <w:top w:val="nil"/>
              <w:left w:val="nil"/>
              <w:bottom w:val="single" w:sz="6" w:space="0" w:color="auto"/>
              <w:right w:val="nil"/>
            </w:tcBorders>
          </w:tcPr>
          <w:p w14:paraId="45BADB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Month FE</w:t>
            </w:r>
          </w:p>
        </w:tc>
        <w:tc>
          <w:tcPr>
            <w:tcW w:w="627" w:type="pct"/>
            <w:tcBorders>
              <w:top w:val="nil"/>
              <w:left w:val="nil"/>
              <w:bottom w:val="single" w:sz="6" w:space="0" w:color="auto"/>
              <w:right w:val="nil"/>
            </w:tcBorders>
          </w:tcPr>
          <w:p w14:paraId="2C8F5F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29" w:type="pct"/>
            <w:tcBorders>
              <w:top w:val="nil"/>
              <w:left w:val="nil"/>
              <w:bottom w:val="single" w:sz="6" w:space="0" w:color="auto"/>
              <w:right w:val="nil"/>
            </w:tcBorders>
          </w:tcPr>
          <w:p w14:paraId="1349E0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186" w:type="pct"/>
            <w:tcBorders>
              <w:top w:val="nil"/>
              <w:left w:val="nil"/>
              <w:bottom w:val="single" w:sz="6" w:space="0" w:color="auto"/>
              <w:right w:val="nil"/>
            </w:tcBorders>
          </w:tcPr>
          <w:p w14:paraId="143C422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694" w:type="pct"/>
            <w:tcBorders>
              <w:top w:val="nil"/>
              <w:left w:val="nil"/>
              <w:bottom w:val="single" w:sz="6" w:space="0" w:color="auto"/>
              <w:right w:val="nil"/>
            </w:tcBorders>
          </w:tcPr>
          <w:p w14:paraId="66C2CA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58" w:type="pct"/>
            <w:tcBorders>
              <w:top w:val="nil"/>
              <w:left w:val="nil"/>
              <w:bottom w:val="single" w:sz="6" w:space="0" w:color="auto"/>
              <w:right w:val="nil"/>
            </w:tcBorders>
          </w:tcPr>
          <w:p w14:paraId="59CE46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bl>
    <w:p w14:paraId="768BC8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p w14:paraId="6BA8E54C" w14:textId="77777777" w:rsidR="00F00E3D" w:rsidRPr="00335312" w:rsidRDefault="00F00E3D" w:rsidP="002C52A2">
      <w:pPr>
        <w:spacing w:after="0" w:line="240" w:lineRule="auto"/>
        <w:rPr>
          <w:rFonts w:asciiTheme="majorHAnsi" w:hAnsiTheme="majorHAnsi" w:cstheme="majorHAnsi"/>
          <w:sz w:val="20"/>
          <w:szCs w:val="20"/>
        </w:rPr>
      </w:pPr>
      <w:r w:rsidRPr="00335312">
        <w:rPr>
          <w:rFonts w:asciiTheme="majorHAnsi" w:hAnsiTheme="majorHAnsi" w:cstheme="majorHAnsi"/>
          <w:sz w:val="20"/>
          <w:szCs w:val="20"/>
        </w:rPr>
        <w:t>Panel. B Unit Transactional Sample</w:t>
      </w:r>
    </w:p>
    <w:tbl>
      <w:tblPr>
        <w:tblW w:w="5000" w:type="pct"/>
        <w:jc w:val="center"/>
        <w:tblCellMar>
          <w:left w:w="75" w:type="dxa"/>
          <w:right w:w="75" w:type="dxa"/>
        </w:tblCellMar>
        <w:tblLook w:val="0000" w:firstRow="0" w:lastRow="0" w:firstColumn="0" w:lastColumn="0" w:noHBand="0" w:noVBand="0"/>
      </w:tblPr>
      <w:tblGrid>
        <w:gridCol w:w="2114"/>
        <w:gridCol w:w="1141"/>
        <w:gridCol w:w="1710"/>
        <w:gridCol w:w="1710"/>
        <w:gridCol w:w="1369"/>
        <w:gridCol w:w="1594"/>
      </w:tblGrid>
      <w:tr w:rsidR="00F00E3D" w:rsidRPr="00335312" w14:paraId="467C98D8" w14:textId="77777777" w:rsidTr="009B2FA7">
        <w:trPr>
          <w:jc w:val="center"/>
        </w:trPr>
        <w:tc>
          <w:tcPr>
            <w:tcW w:w="1097" w:type="pct"/>
            <w:tcBorders>
              <w:top w:val="single" w:sz="6" w:space="0" w:color="auto"/>
              <w:left w:val="nil"/>
              <w:bottom w:val="nil"/>
              <w:right w:val="nil"/>
            </w:tcBorders>
          </w:tcPr>
          <w:p w14:paraId="497178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92" w:type="pct"/>
            <w:tcBorders>
              <w:top w:val="single" w:sz="6" w:space="0" w:color="auto"/>
              <w:left w:val="nil"/>
              <w:bottom w:val="nil"/>
              <w:right w:val="nil"/>
            </w:tcBorders>
          </w:tcPr>
          <w:p w14:paraId="212272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w:t>
            </w:r>
          </w:p>
        </w:tc>
        <w:tc>
          <w:tcPr>
            <w:tcW w:w="887" w:type="pct"/>
            <w:tcBorders>
              <w:top w:val="single" w:sz="6" w:space="0" w:color="auto"/>
              <w:left w:val="nil"/>
              <w:bottom w:val="nil"/>
              <w:right w:val="nil"/>
            </w:tcBorders>
          </w:tcPr>
          <w:p w14:paraId="418DA5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w:t>
            </w:r>
          </w:p>
        </w:tc>
        <w:tc>
          <w:tcPr>
            <w:tcW w:w="887" w:type="pct"/>
            <w:tcBorders>
              <w:top w:val="single" w:sz="6" w:space="0" w:color="auto"/>
              <w:left w:val="nil"/>
              <w:bottom w:val="nil"/>
              <w:right w:val="nil"/>
            </w:tcBorders>
          </w:tcPr>
          <w:p w14:paraId="721700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w:t>
            </w:r>
          </w:p>
        </w:tc>
        <w:tc>
          <w:tcPr>
            <w:tcW w:w="710" w:type="pct"/>
            <w:tcBorders>
              <w:top w:val="single" w:sz="6" w:space="0" w:color="auto"/>
              <w:left w:val="nil"/>
              <w:bottom w:val="nil"/>
              <w:right w:val="nil"/>
            </w:tcBorders>
          </w:tcPr>
          <w:p w14:paraId="777B1C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w:t>
            </w:r>
          </w:p>
        </w:tc>
        <w:tc>
          <w:tcPr>
            <w:tcW w:w="828" w:type="pct"/>
            <w:tcBorders>
              <w:top w:val="single" w:sz="6" w:space="0" w:color="auto"/>
              <w:left w:val="nil"/>
              <w:bottom w:val="nil"/>
              <w:right w:val="nil"/>
            </w:tcBorders>
          </w:tcPr>
          <w:p w14:paraId="490100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w:t>
            </w:r>
          </w:p>
        </w:tc>
      </w:tr>
      <w:tr w:rsidR="00F00E3D" w:rsidRPr="00335312" w14:paraId="072797F8" w14:textId="77777777" w:rsidTr="009B2FA7">
        <w:trPr>
          <w:jc w:val="center"/>
        </w:trPr>
        <w:tc>
          <w:tcPr>
            <w:tcW w:w="1097" w:type="pct"/>
            <w:tcBorders>
              <w:top w:val="nil"/>
              <w:left w:val="nil"/>
              <w:bottom w:val="single" w:sz="6" w:space="0" w:color="auto"/>
              <w:right w:val="nil"/>
            </w:tcBorders>
          </w:tcPr>
          <w:p w14:paraId="350083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VARIABLES</w:t>
            </w:r>
          </w:p>
        </w:tc>
        <w:tc>
          <w:tcPr>
            <w:tcW w:w="592" w:type="pct"/>
            <w:tcBorders>
              <w:top w:val="nil"/>
              <w:left w:val="nil"/>
              <w:bottom w:val="single" w:sz="6" w:space="0" w:color="auto"/>
              <w:right w:val="nil"/>
            </w:tcBorders>
          </w:tcPr>
          <w:p w14:paraId="6FC9D6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VIC</w:t>
            </w:r>
          </w:p>
        </w:tc>
        <w:tc>
          <w:tcPr>
            <w:tcW w:w="887" w:type="pct"/>
            <w:tcBorders>
              <w:top w:val="nil"/>
              <w:left w:val="nil"/>
              <w:bottom w:val="single" w:sz="6" w:space="0" w:color="auto"/>
              <w:right w:val="nil"/>
            </w:tcBorders>
          </w:tcPr>
          <w:p w14:paraId="2D452F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InnerMel</w:t>
            </w:r>
          </w:p>
        </w:tc>
        <w:tc>
          <w:tcPr>
            <w:tcW w:w="887" w:type="pct"/>
            <w:tcBorders>
              <w:top w:val="nil"/>
              <w:left w:val="nil"/>
              <w:bottom w:val="single" w:sz="6" w:space="0" w:color="auto"/>
              <w:right w:val="nil"/>
            </w:tcBorders>
          </w:tcPr>
          <w:p w14:paraId="523F49A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MetropolitanMel</w:t>
            </w:r>
          </w:p>
        </w:tc>
        <w:tc>
          <w:tcPr>
            <w:tcW w:w="710" w:type="pct"/>
            <w:tcBorders>
              <w:top w:val="nil"/>
              <w:left w:val="nil"/>
              <w:bottom w:val="single" w:sz="6" w:space="0" w:color="auto"/>
              <w:right w:val="nil"/>
            </w:tcBorders>
          </w:tcPr>
          <w:p w14:paraId="60F9ACC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RegionalVIC</w:t>
            </w:r>
          </w:p>
        </w:tc>
        <w:tc>
          <w:tcPr>
            <w:tcW w:w="828" w:type="pct"/>
            <w:tcBorders>
              <w:top w:val="nil"/>
              <w:left w:val="nil"/>
              <w:bottom w:val="single" w:sz="6" w:space="0" w:color="auto"/>
              <w:right w:val="nil"/>
            </w:tcBorders>
          </w:tcPr>
          <w:p w14:paraId="6565A2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GreaterGeelong</w:t>
            </w:r>
          </w:p>
        </w:tc>
      </w:tr>
      <w:tr w:rsidR="00F00E3D" w:rsidRPr="00335312" w14:paraId="41C4AD45" w14:textId="77777777" w:rsidTr="009B2FA7">
        <w:trPr>
          <w:jc w:val="center"/>
        </w:trPr>
        <w:tc>
          <w:tcPr>
            <w:tcW w:w="1097" w:type="pct"/>
            <w:tcBorders>
              <w:top w:val="nil"/>
              <w:left w:val="nil"/>
              <w:bottom w:val="nil"/>
              <w:right w:val="nil"/>
            </w:tcBorders>
          </w:tcPr>
          <w:p w14:paraId="14FDB7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92" w:type="pct"/>
            <w:tcBorders>
              <w:top w:val="nil"/>
              <w:left w:val="nil"/>
              <w:bottom w:val="nil"/>
              <w:right w:val="nil"/>
            </w:tcBorders>
          </w:tcPr>
          <w:p w14:paraId="64878B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87" w:type="pct"/>
            <w:tcBorders>
              <w:top w:val="nil"/>
              <w:left w:val="nil"/>
              <w:bottom w:val="nil"/>
              <w:right w:val="nil"/>
            </w:tcBorders>
          </w:tcPr>
          <w:p w14:paraId="3F08F2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87" w:type="pct"/>
            <w:tcBorders>
              <w:top w:val="nil"/>
              <w:left w:val="nil"/>
              <w:bottom w:val="nil"/>
              <w:right w:val="nil"/>
            </w:tcBorders>
          </w:tcPr>
          <w:p w14:paraId="554764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10" w:type="pct"/>
            <w:tcBorders>
              <w:top w:val="nil"/>
              <w:left w:val="nil"/>
              <w:bottom w:val="nil"/>
              <w:right w:val="nil"/>
            </w:tcBorders>
          </w:tcPr>
          <w:p w14:paraId="2EF400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28" w:type="pct"/>
            <w:tcBorders>
              <w:top w:val="nil"/>
              <w:left w:val="nil"/>
              <w:bottom w:val="nil"/>
              <w:right w:val="nil"/>
            </w:tcBorders>
          </w:tcPr>
          <w:p w14:paraId="61D4F4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1F811AFD" w14:textId="77777777" w:rsidTr="009B2FA7">
        <w:trPr>
          <w:jc w:val="center"/>
        </w:trPr>
        <w:tc>
          <w:tcPr>
            <w:tcW w:w="1097" w:type="pct"/>
            <w:tcBorders>
              <w:top w:val="nil"/>
              <w:left w:val="nil"/>
              <w:bottom w:val="nil"/>
              <w:right w:val="nil"/>
            </w:tcBorders>
          </w:tcPr>
          <w:p w14:paraId="3137F8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TPxFocalSuburbs</w:t>
            </w:r>
          </w:p>
        </w:tc>
        <w:tc>
          <w:tcPr>
            <w:tcW w:w="592" w:type="pct"/>
            <w:tcBorders>
              <w:top w:val="nil"/>
              <w:left w:val="nil"/>
              <w:bottom w:val="nil"/>
              <w:right w:val="nil"/>
            </w:tcBorders>
          </w:tcPr>
          <w:p w14:paraId="4B31D9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-0.0143</w:t>
            </w:r>
          </w:p>
        </w:tc>
        <w:tc>
          <w:tcPr>
            <w:tcW w:w="887" w:type="pct"/>
            <w:tcBorders>
              <w:top w:val="nil"/>
              <w:left w:val="nil"/>
              <w:bottom w:val="nil"/>
              <w:right w:val="nil"/>
            </w:tcBorders>
          </w:tcPr>
          <w:p w14:paraId="527FC02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0.000684</w:t>
            </w:r>
          </w:p>
        </w:tc>
        <w:tc>
          <w:tcPr>
            <w:tcW w:w="887" w:type="pct"/>
            <w:tcBorders>
              <w:top w:val="nil"/>
              <w:left w:val="nil"/>
              <w:bottom w:val="nil"/>
              <w:right w:val="nil"/>
            </w:tcBorders>
          </w:tcPr>
          <w:p w14:paraId="09FBCC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-0.00600</w:t>
            </w:r>
          </w:p>
        </w:tc>
        <w:tc>
          <w:tcPr>
            <w:tcW w:w="710" w:type="pct"/>
            <w:tcBorders>
              <w:top w:val="nil"/>
              <w:left w:val="nil"/>
              <w:bottom w:val="nil"/>
              <w:right w:val="nil"/>
            </w:tcBorders>
          </w:tcPr>
          <w:p w14:paraId="1BE7AB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-0.0271</w:t>
            </w:r>
          </w:p>
        </w:tc>
        <w:tc>
          <w:tcPr>
            <w:tcW w:w="828" w:type="pct"/>
            <w:tcBorders>
              <w:top w:val="nil"/>
              <w:left w:val="nil"/>
              <w:bottom w:val="nil"/>
              <w:right w:val="nil"/>
            </w:tcBorders>
          </w:tcPr>
          <w:p w14:paraId="21BB0A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-0.0541</w:t>
            </w:r>
          </w:p>
        </w:tc>
      </w:tr>
      <w:tr w:rsidR="00F00E3D" w:rsidRPr="00335312" w14:paraId="0D2BF54B" w14:textId="77777777" w:rsidTr="009B2FA7">
        <w:trPr>
          <w:jc w:val="center"/>
        </w:trPr>
        <w:tc>
          <w:tcPr>
            <w:tcW w:w="1097" w:type="pct"/>
            <w:tcBorders>
              <w:top w:val="nil"/>
              <w:left w:val="nil"/>
              <w:bottom w:val="nil"/>
              <w:right w:val="nil"/>
            </w:tcBorders>
          </w:tcPr>
          <w:p w14:paraId="36F524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92" w:type="pct"/>
            <w:tcBorders>
              <w:top w:val="nil"/>
              <w:left w:val="nil"/>
              <w:bottom w:val="nil"/>
              <w:right w:val="nil"/>
            </w:tcBorders>
          </w:tcPr>
          <w:p w14:paraId="759235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(-0.178)</w:t>
            </w:r>
          </w:p>
        </w:tc>
        <w:tc>
          <w:tcPr>
            <w:tcW w:w="887" w:type="pct"/>
            <w:tcBorders>
              <w:top w:val="nil"/>
              <w:left w:val="nil"/>
              <w:bottom w:val="nil"/>
              <w:right w:val="nil"/>
            </w:tcBorders>
          </w:tcPr>
          <w:p w14:paraId="052105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(0.0107)</w:t>
            </w:r>
          </w:p>
        </w:tc>
        <w:tc>
          <w:tcPr>
            <w:tcW w:w="887" w:type="pct"/>
            <w:tcBorders>
              <w:top w:val="nil"/>
              <w:left w:val="nil"/>
              <w:bottom w:val="nil"/>
              <w:right w:val="nil"/>
            </w:tcBorders>
          </w:tcPr>
          <w:p w14:paraId="5ED67A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(-0.0846)</w:t>
            </w:r>
          </w:p>
        </w:tc>
        <w:tc>
          <w:tcPr>
            <w:tcW w:w="710" w:type="pct"/>
            <w:tcBorders>
              <w:top w:val="nil"/>
              <w:left w:val="nil"/>
              <w:bottom w:val="nil"/>
              <w:right w:val="nil"/>
            </w:tcBorders>
          </w:tcPr>
          <w:p w14:paraId="652A2E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(-0.297)</w:t>
            </w:r>
          </w:p>
        </w:tc>
        <w:tc>
          <w:tcPr>
            <w:tcW w:w="828" w:type="pct"/>
            <w:tcBorders>
              <w:top w:val="nil"/>
              <w:left w:val="nil"/>
              <w:bottom w:val="nil"/>
              <w:right w:val="nil"/>
            </w:tcBorders>
          </w:tcPr>
          <w:p w14:paraId="1E5710C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(-0.673)</w:t>
            </w:r>
          </w:p>
        </w:tc>
      </w:tr>
      <w:tr w:rsidR="00F00E3D" w:rsidRPr="00335312" w14:paraId="7AD331DA" w14:textId="77777777" w:rsidTr="009B2FA7">
        <w:trPr>
          <w:jc w:val="center"/>
        </w:trPr>
        <w:tc>
          <w:tcPr>
            <w:tcW w:w="1097" w:type="pct"/>
            <w:tcBorders>
              <w:top w:val="nil"/>
              <w:left w:val="nil"/>
              <w:bottom w:val="nil"/>
              <w:right w:val="nil"/>
            </w:tcBorders>
          </w:tcPr>
          <w:p w14:paraId="6A6E04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TreatmentPeriod</w:t>
            </w:r>
          </w:p>
        </w:tc>
        <w:tc>
          <w:tcPr>
            <w:tcW w:w="592" w:type="pct"/>
            <w:tcBorders>
              <w:top w:val="nil"/>
              <w:left w:val="nil"/>
              <w:bottom w:val="nil"/>
              <w:right w:val="nil"/>
            </w:tcBorders>
          </w:tcPr>
          <w:p w14:paraId="19BEF6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0.0314**</w:t>
            </w:r>
          </w:p>
        </w:tc>
        <w:tc>
          <w:tcPr>
            <w:tcW w:w="887" w:type="pct"/>
            <w:tcBorders>
              <w:top w:val="nil"/>
              <w:left w:val="nil"/>
              <w:bottom w:val="nil"/>
              <w:right w:val="nil"/>
            </w:tcBorders>
          </w:tcPr>
          <w:p w14:paraId="4E0DD0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-0.0261</w:t>
            </w:r>
          </w:p>
        </w:tc>
        <w:tc>
          <w:tcPr>
            <w:tcW w:w="887" w:type="pct"/>
            <w:tcBorders>
              <w:top w:val="nil"/>
              <w:left w:val="nil"/>
              <w:bottom w:val="nil"/>
              <w:right w:val="nil"/>
            </w:tcBorders>
          </w:tcPr>
          <w:p w14:paraId="02F6B0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0.0107</w:t>
            </w:r>
          </w:p>
        </w:tc>
        <w:tc>
          <w:tcPr>
            <w:tcW w:w="710" w:type="pct"/>
            <w:tcBorders>
              <w:top w:val="nil"/>
              <w:left w:val="nil"/>
              <w:bottom w:val="nil"/>
              <w:right w:val="nil"/>
            </w:tcBorders>
          </w:tcPr>
          <w:p w14:paraId="4CCF74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0.0413**</w:t>
            </w:r>
          </w:p>
        </w:tc>
        <w:tc>
          <w:tcPr>
            <w:tcW w:w="828" w:type="pct"/>
            <w:tcBorders>
              <w:top w:val="nil"/>
              <w:left w:val="nil"/>
              <w:bottom w:val="nil"/>
              <w:right w:val="nil"/>
            </w:tcBorders>
          </w:tcPr>
          <w:p w14:paraId="4DA9815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-0.0180</w:t>
            </w:r>
          </w:p>
        </w:tc>
      </w:tr>
      <w:tr w:rsidR="00F00E3D" w:rsidRPr="00335312" w14:paraId="0F91F700" w14:textId="77777777" w:rsidTr="009B2FA7">
        <w:trPr>
          <w:jc w:val="center"/>
        </w:trPr>
        <w:tc>
          <w:tcPr>
            <w:tcW w:w="1097" w:type="pct"/>
            <w:tcBorders>
              <w:top w:val="nil"/>
              <w:left w:val="nil"/>
              <w:bottom w:val="nil"/>
              <w:right w:val="nil"/>
            </w:tcBorders>
          </w:tcPr>
          <w:p w14:paraId="132C7D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92" w:type="pct"/>
            <w:tcBorders>
              <w:top w:val="nil"/>
              <w:left w:val="nil"/>
              <w:bottom w:val="nil"/>
              <w:right w:val="nil"/>
            </w:tcBorders>
          </w:tcPr>
          <w:p w14:paraId="2CCBAA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(2.063)</w:t>
            </w:r>
          </w:p>
        </w:tc>
        <w:tc>
          <w:tcPr>
            <w:tcW w:w="887" w:type="pct"/>
            <w:tcBorders>
              <w:top w:val="nil"/>
              <w:left w:val="nil"/>
              <w:bottom w:val="nil"/>
              <w:right w:val="nil"/>
            </w:tcBorders>
          </w:tcPr>
          <w:p w14:paraId="1C59BB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(-0.901)</w:t>
            </w:r>
          </w:p>
        </w:tc>
        <w:tc>
          <w:tcPr>
            <w:tcW w:w="887" w:type="pct"/>
            <w:tcBorders>
              <w:top w:val="nil"/>
              <w:left w:val="nil"/>
              <w:bottom w:val="nil"/>
              <w:right w:val="nil"/>
            </w:tcBorders>
          </w:tcPr>
          <w:p w14:paraId="3987BC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(0.419)</w:t>
            </w:r>
          </w:p>
        </w:tc>
        <w:tc>
          <w:tcPr>
            <w:tcW w:w="710" w:type="pct"/>
            <w:tcBorders>
              <w:top w:val="nil"/>
              <w:left w:val="nil"/>
              <w:bottom w:val="nil"/>
              <w:right w:val="nil"/>
            </w:tcBorders>
          </w:tcPr>
          <w:p w14:paraId="2755CBC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(2.369)</w:t>
            </w:r>
          </w:p>
        </w:tc>
        <w:tc>
          <w:tcPr>
            <w:tcW w:w="828" w:type="pct"/>
            <w:tcBorders>
              <w:top w:val="nil"/>
              <w:left w:val="nil"/>
              <w:bottom w:val="nil"/>
              <w:right w:val="nil"/>
            </w:tcBorders>
          </w:tcPr>
          <w:p w14:paraId="2177E4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(-0.245)</w:t>
            </w:r>
          </w:p>
        </w:tc>
      </w:tr>
      <w:tr w:rsidR="00F00E3D" w:rsidRPr="00335312" w14:paraId="26AD9C7C" w14:textId="77777777" w:rsidTr="009B2FA7">
        <w:trPr>
          <w:jc w:val="center"/>
        </w:trPr>
        <w:tc>
          <w:tcPr>
            <w:tcW w:w="1097" w:type="pct"/>
            <w:tcBorders>
              <w:top w:val="nil"/>
              <w:left w:val="nil"/>
              <w:bottom w:val="nil"/>
              <w:right w:val="nil"/>
            </w:tcBorders>
          </w:tcPr>
          <w:p w14:paraId="6DBD83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FocalSuburbs</w:t>
            </w:r>
          </w:p>
        </w:tc>
        <w:tc>
          <w:tcPr>
            <w:tcW w:w="592" w:type="pct"/>
            <w:tcBorders>
              <w:top w:val="nil"/>
              <w:left w:val="nil"/>
              <w:bottom w:val="nil"/>
              <w:right w:val="nil"/>
            </w:tcBorders>
          </w:tcPr>
          <w:p w14:paraId="1A57AC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-0.774***</w:t>
            </w:r>
          </w:p>
        </w:tc>
        <w:tc>
          <w:tcPr>
            <w:tcW w:w="887" w:type="pct"/>
            <w:tcBorders>
              <w:top w:val="nil"/>
              <w:left w:val="nil"/>
              <w:bottom w:val="nil"/>
              <w:right w:val="nil"/>
            </w:tcBorders>
          </w:tcPr>
          <w:p w14:paraId="3083B2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-0.654***</w:t>
            </w:r>
          </w:p>
        </w:tc>
        <w:tc>
          <w:tcPr>
            <w:tcW w:w="887" w:type="pct"/>
            <w:tcBorders>
              <w:top w:val="nil"/>
              <w:left w:val="nil"/>
              <w:bottom w:val="nil"/>
              <w:right w:val="nil"/>
            </w:tcBorders>
          </w:tcPr>
          <w:p w14:paraId="476B8B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-0.749***</w:t>
            </w:r>
          </w:p>
        </w:tc>
        <w:tc>
          <w:tcPr>
            <w:tcW w:w="710" w:type="pct"/>
            <w:tcBorders>
              <w:top w:val="nil"/>
              <w:left w:val="nil"/>
              <w:bottom w:val="nil"/>
              <w:right w:val="nil"/>
            </w:tcBorders>
          </w:tcPr>
          <w:p w14:paraId="03D519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0.216</w:t>
            </w:r>
          </w:p>
        </w:tc>
        <w:tc>
          <w:tcPr>
            <w:tcW w:w="828" w:type="pct"/>
            <w:tcBorders>
              <w:top w:val="nil"/>
              <w:left w:val="nil"/>
              <w:bottom w:val="nil"/>
              <w:right w:val="nil"/>
            </w:tcBorders>
          </w:tcPr>
          <w:p w14:paraId="213C70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0.101</w:t>
            </w:r>
          </w:p>
        </w:tc>
      </w:tr>
      <w:tr w:rsidR="00F00E3D" w:rsidRPr="00335312" w14:paraId="7D93C872" w14:textId="77777777" w:rsidTr="009B2FA7">
        <w:trPr>
          <w:jc w:val="center"/>
        </w:trPr>
        <w:tc>
          <w:tcPr>
            <w:tcW w:w="1097" w:type="pct"/>
            <w:tcBorders>
              <w:top w:val="nil"/>
              <w:left w:val="nil"/>
              <w:bottom w:val="nil"/>
              <w:right w:val="nil"/>
            </w:tcBorders>
          </w:tcPr>
          <w:p w14:paraId="6D58F8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92" w:type="pct"/>
            <w:tcBorders>
              <w:top w:val="nil"/>
              <w:left w:val="nil"/>
              <w:bottom w:val="nil"/>
              <w:right w:val="nil"/>
            </w:tcBorders>
          </w:tcPr>
          <w:p w14:paraId="093C23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(-3.555)</w:t>
            </w:r>
          </w:p>
        </w:tc>
        <w:tc>
          <w:tcPr>
            <w:tcW w:w="887" w:type="pct"/>
            <w:tcBorders>
              <w:top w:val="nil"/>
              <w:left w:val="nil"/>
              <w:bottom w:val="nil"/>
              <w:right w:val="nil"/>
            </w:tcBorders>
          </w:tcPr>
          <w:p w14:paraId="633490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(-3.439)</w:t>
            </w:r>
          </w:p>
        </w:tc>
        <w:tc>
          <w:tcPr>
            <w:tcW w:w="887" w:type="pct"/>
            <w:tcBorders>
              <w:top w:val="nil"/>
              <w:left w:val="nil"/>
              <w:bottom w:val="nil"/>
              <w:right w:val="nil"/>
            </w:tcBorders>
          </w:tcPr>
          <w:p w14:paraId="729B8C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(-3.708)</w:t>
            </w:r>
          </w:p>
        </w:tc>
        <w:tc>
          <w:tcPr>
            <w:tcW w:w="710" w:type="pct"/>
            <w:tcBorders>
              <w:top w:val="nil"/>
              <w:left w:val="nil"/>
              <w:bottom w:val="nil"/>
              <w:right w:val="nil"/>
            </w:tcBorders>
          </w:tcPr>
          <w:p w14:paraId="54672B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(0.740)</w:t>
            </w:r>
          </w:p>
        </w:tc>
        <w:tc>
          <w:tcPr>
            <w:tcW w:w="828" w:type="pct"/>
            <w:tcBorders>
              <w:top w:val="nil"/>
              <w:left w:val="nil"/>
              <w:bottom w:val="nil"/>
              <w:right w:val="nil"/>
            </w:tcBorders>
          </w:tcPr>
          <w:p w14:paraId="1508619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(0.857)</w:t>
            </w:r>
          </w:p>
        </w:tc>
      </w:tr>
      <w:tr w:rsidR="00F00E3D" w:rsidRPr="00335312" w14:paraId="78B5A071" w14:textId="77777777" w:rsidTr="009B2FA7">
        <w:trPr>
          <w:jc w:val="center"/>
        </w:trPr>
        <w:tc>
          <w:tcPr>
            <w:tcW w:w="1097" w:type="pct"/>
            <w:tcBorders>
              <w:top w:val="nil"/>
              <w:left w:val="nil"/>
              <w:bottom w:val="nil"/>
              <w:right w:val="nil"/>
            </w:tcBorders>
          </w:tcPr>
          <w:p w14:paraId="297DB6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logSize</w:t>
            </w:r>
          </w:p>
        </w:tc>
        <w:tc>
          <w:tcPr>
            <w:tcW w:w="592" w:type="pct"/>
            <w:tcBorders>
              <w:top w:val="nil"/>
              <w:left w:val="nil"/>
              <w:bottom w:val="nil"/>
              <w:right w:val="nil"/>
            </w:tcBorders>
          </w:tcPr>
          <w:p w14:paraId="56C674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-0.0113</w:t>
            </w:r>
          </w:p>
        </w:tc>
        <w:tc>
          <w:tcPr>
            <w:tcW w:w="887" w:type="pct"/>
            <w:tcBorders>
              <w:top w:val="nil"/>
              <w:left w:val="nil"/>
              <w:bottom w:val="nil"/>
              <w:right w:val="nil"/>
            </w:tcBorders>
          </w:tcPr>
          <w:p w14:paraId="167C6A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0.0189</w:t>
            </w:r>
          </w:p>
        </w:tc>
        <w:tc>
          <w:tcPr>
            <w:tcW w:w="887" w:type="pct"/>
            <w:tcBorders>
              <w:top w:val="nil"/>
              <w:left w:val="nil"/>
              <w:bottom w:val="nil"/>
              <w:right w:val="nil"/>
            </w:tcBorders>
          </w:tcPr>
          <w:p w14:paraId="3E0F15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-0.00684</w:t>
            </w:r>
          </w:p>
        </w:tc>
        <w:tc>
          <w:tcPr>
            <w:tcW w:w="710" w:type="pct"/>
            <w:tcBorders>
              <w:top w:val="nil"/>
              <w:left w:val="nil"/>
              <w:bottom w:val="nil"/>
              <w:right w:val="nil"/>
            </w:tcBorders>
          </w:tcPr>
          <w:p w14:paraId="63C08C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-0.0143</w:t>
            </w:r>
          </w:p>
        </w:tc>
        <w:tc>
          <w:tcPr>
            <w:tcW w:w="828" w:type="pct"/>
            <w:tcBorders>
              <w:top w:val="nil"/>
              <w:left w:val="nil"/>
              <w:bottom w:val="nil"/>
              <w:right w:val="nil"/>
            </w:tcBorders>
          </w:tcPr>
          <w:p w14:paraId="6CE3C2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0.0429**</w:t>
            </w:r>
          </w:p>
        </w:tc>
      </w:tr>
      <w:tr w:rsidR="00F00E3D" w:rsidRPr="00335312" w14:paraId="1464336F" w14:textId="77777777" w:rsidTr="009B2FA7">
        <w:trPr>
          <w:jc w:val="center"/>
        </w:trPr>
        <w:tc>
          <w:tcPr>
            <w:tcW w:w="1097" w:type="pct"/>
            <w:tcBorders>
              <w:top w:val="nil"/>
              <w:left w:val="nil"/>
              <w:bottom w:val="nil"/>
              <w:right w:val="nil"/>
            </w:tcBorders>
          </w:tcPr>
          <w:p w14:paraId="6AD90B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92" w:type="pct"/>
            <w:tcBorders>
              <w:top w:val="nil"/>
              <w:left w:val="nil"/>
              <w:bottom w:val="nil"/>
              <w:right w:val="nil"/>
            </w:tcBorders>
          </w:tcPr>
          <w:p w14:paraId="238A09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(-1.645)</w:t>
            </w:r>
          </w:p>
        </w:tc>
        <w:tc>
          <w:tcPr>
            <w:tcW w:w="887" w:type="pct"/>
            <w:tcBorders>
              <w:top w:val="nil"/>
              <w:left w:val="nil"/>
              <w:bottom w:val="nil"/>
              <w:right w:val="nil"/>
            </w:tcBorders>
          </w:tcPr>
          <w:p w14:paraId="019F39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(1.223)</w:t>
            </w:r>
          </w:p>
        </w:tc>
        <w:tc>
          <w:tcPr>
            <w:tcW w:w="887" w:type="pct"/>
            <w:tcBorders>
              <w:top w:val="nil"/>
              <w:left w:val="nil"/>
              <w:bottom w:val="nil"/>
              <w:right w:val="nil"/>
            </w:tcBorders>
          </w:tcPr>
          <w:p w14:paraId="54800E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(-0.732)</w:t>
            </w:r>
          </w:p>
        </w:tc>
        <w:tc>
          <w:tcPr>
            <w:tcW w:w="710" w:type="pct"/>
            <w:tcBorders>
              <w:top w:val="nil"/>
              <w:left w:val="nil"/>
              <w:bottom w:val="nil"/>
              <w:right w:val="nil"/>
            </w:tcBorders>
          </w:tcPr>
          <w:p w14:paraId="4FB087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(-1.612)</w:t>
            </w:r>
          </w:p>
        </w:tc>
        <w:tc>
          <w:tcPr>
            <w:tcW w:w="828" w:type="pct"/>
            <w:tcBorders>
              <w:top w:val="nil"/>
              <w:left w:val="nil"/>
              <w:bottom w:val="nil"/>
              <w:right w:val="nil"/>
            </w:tcBorders>
          </w:tcPr>
          <w:p w14:paraId="423F60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(2.164)</w:t>
            </w:r>
          </w:p>
        </w:tc>
      </w:tr>
      <w:tr w:rsidR="00F00E3D" w:rsidRPr="00335312" w14:paraId="61735AED" w14:textId="77777777" w:rsidTr="009B2FA7">
        <w:trPr>
          <w:jc w:val="center"/>
        </w:trPr>
        <w:tc>
          <w:tcPr>
            <w:tcW w:w="1097" w:type="pct"/>
            <w:tcBorders>
              <w:top w:val="nil"/>
              <w:left w:val="nil"/>
              <w:bottom w:val="nil"/>
              <w:right w:val="nil"/>
            </w:tcBorders>
          </w:tcPr>
          <w:p w14:paraId="6315F5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bedrooms</w:t>
            </w:r>
          </w:p>
        </w:tc>
        <w:tc>
          <w:tcPr>
            <w:tcW w:w="592" w:type="pct"/>
            <w:tcBorders>
              <w:top w:val="nil"/>
              <w:left w:val="nil"/>
              <w:bottom w:val="nil"/>
              <w:right w:val="nil"/>
            </w:tcBorders>
          </w:tcPr>
          <w:p w14:paraId="5C734B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0.313***</w:t>
            </w:r>
          </w:p>
        </w:tc>
        <w:tc>
          <w:tcPr>
            <w:tcW w:w="887" w:type="pct"/>
            <w:tcBorders>
              <w:top w:val="nil"/>
              <w:left w:val="nil"/>
              <w:bottom w:val="nil"/>
              <w:right w:val="nil"/>
            </w:tcBorders>
          </w:tcPr>
          <w:p w14:paraId="4E2CEE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0.403***</w:t>
            </w:r>
          </w:p>
        </w:tc>
        <w:tc>
          <w:tcPr>
            <w:tcW w:w="887" w:type="pct"/>
            <w:tcBorders>
              <w:top w:val="nil"/>
              <w:left w:val="nil"/>
              <w:bottom w:val="nil"/>
              <w:right w:val="nil"/>
            </w:tcBorders>
          </w:tcPr>
          <w:p w14:paraId="2CD876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0.367***</w:t>
            </w:r>
          </w:p>
        </w:tc>
        <w:tc>
          <w:tcPr>
            <w:tcW w:w="710" w:type="pct"/>
            <w:tcBorders>
              <w:top w:val="nil"/>
              <w:left w:val="nil"/>
              <w:bottom w:val="nil"/>
              <w:right w:val="nil"/>
            </w:tcBorders>
          </w:tcPr>
          <w:p w14:paraId="0737FE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0.265***</w:t>
            </w:r>
          </w:p>
        </w:tc>
        <w:tc>
          <w:tcPr>
            <w:tcW w:w="828" w:type="pct"/>
            <w:tcBorders>
              <w:top w:val="nil"/>
              <w:left w:val="nil"/>
              <w:bottom w:val="nil"/>
              <w:right w:val="nil"/>
            </w:tcBorders>
          </w:tcPr>
          <w:p w14:paraId="0A1BA41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0.262***</w:t>
            </w:r>
          </w:p>
        </w:tc>
      </w:tr>
      <w:tr w:rsidR="00F00E3D" w:rsidRPr="00335312" w14:paraId="33710FF5" w14:textId="77777777" w:rsidTr="009B2FA7">
        <w:trPr>
          <w:jc w:val="center"/>
        </w:trPr>
        <w:tc>
          <w:tcPr>
            <w:tcW w:w="1097" w:type="pct"/>
            <w:tcBorders>
              <w:top w:val="nil"/>
              <w:left w:val="nil"/>
              <w:bottom w:val="nil"/>
              <w:right w:val="nil"/>
            </w:tcBorders>
          </w:tcPr>
          <w:p w14:paraId="21741C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92" w:type="pct"/>
            <w:tcBorders>
              <w:top w:val="nil"/>
              <w:left w:val="nil"/>
              <w:bottom w:val="nil"/>
              <w:right w:val="nil"/>
            </w:tcBorders>
          </w:tcPr>
          <w:p w14:paraId="7E6307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(20.69)</w:t>
            </w:r>
          </w:p>
        </w:tc>
        <w:tc>
          <w:tcPr>
            <w:tcW w:w="887" w:type="pct"/>
            <w:tcBorders>
              <w:top w:val="nil"/>
              <w:left w:val="nil"/>
              <w:bottom w:val="nil"/>
              <w:right w:val="nil"/>
            </w:tcBorders>
          </w:tcPr>
          <w:p w14:paraId="3811D8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(12.23)</w:t>
            </w:r>
          </w:p>
        </w:tc>
        <w:tc>
          <w:tcPr>
            <w:tcW w:w="887" w:type="pct"/>
            <w:tcBorders>
              <w:top w:val="nil"/>
              <w:left w:val="nil"/>
              <w:bottom w:val="nil"/>
              <w:right w:val="nil"/>
            </w:tcBorders>
          </w:tcPr>
          <w:p w14:paraId="1FB37C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(19.12)</w:t>
            </w:r>
          </w:p>
        </w:tc>
        <w:tc>
          <w:tcPr>
            <w:tcW w:w="710" w:type="pct"/>
            <w:tcBorders>
              <w:top w:val="nil"/>
              <w:left w:val="nil"/>
              <w:bottom w:val="nil"/>
              <w:right w:val="nil"/>
            </w:tcBorders>
          </w:tcPr>
          <w:p w14:paraId="43AC13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(10.02)</w:t>
            </w:r>
          </w:p>
        </w:tc>
        <w:tc>
          <w:tcPr>
            <w:tcW w:w="828" w:type="pct"/>
            <w:tcBorders>
              <w:top w:val="nil"/>
              <w:left w:val="nil"/>
              <w:bottom w:val="nil"/>
              <w:right w:val="nil"/>
            </w:tcBorders>
          </w:tcPr>
          <w:p w14:paraId="3B7FDD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(13.07)</w:t>
            </w:r>
          </w:p>
        </w:tc>
      </w:tr>
      <w:tr w:rsidR="00F00E3D" w:rsidRPr="00335312" w14:paraId="3C64D731" w14:textId="77777777" w:rsidTr="009B2FA7">
        <w:trPr>
          <w:jc w:val="center"/>
        </w:trPr>
        <w:tc>
          <w:tcPr>
            <w:tcW w:w="1097" w:type="pct"/>
            <w:tcBorders>
              <w:top w:val="nil"/>
              <w:left w:val="nil"/>
              <w:bottom w:val="nil"/>
              <w:right w:val="nil"/>
            </w:tcBorders>
          </w:tcPr>
          <w:p w14:paraId="137DFB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baths</w:t>
            </w:r>
          </w:p>
        </w:tc>
        <w:tc>
          <w:tcPr>
            <w:tcW w:w="592" w:type="pct"/>
            <w:tcBorders>
              <w:top w:val="nil"/>
              <w:left w:val="nil"/>
              <w:bottom w:val="nil"/>
              <w:right w:val="nil"/>
            </w:tcBorders>
          </w:tcPr>
          <w:p w14:paraId="632455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0.00554</w:t>
            </w:r>
          </w:p>
        </w:tc>
        <w:tc>
          <w:tcPr>
            <w:tcW w:w="887" w:type="pct"/>
            <w:tcBorders>
              <w:top w:val="nil"/>
              <w:left w:val="nil"/>
              <w:bottom w:val="nil"/>
              <w:right w:val="nil"/>
            </w:tcBorders>
          </w:tcPr>
          <w:p w14:paraId="03F5B5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-0.0425**</w:t>
            </w:r>
          </w:p>
        </w:tc>
        <w:tc>
          <w:tcPr>
            <w:tcW w:w="887" w:type="pct"/>
            <w:tcBorders>
              <w:top w:val="nil"/>
              <w:left w:val="nil"/>
              <w:bottom w:val="nil"/>
              <w:right w:val="nil"/>
            </w:tcBorders>
          </w:tcPr>
          <w:p w14:paraId="0448F8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-0.0243*</w:t>
            </w:r>
          </w:p>
        </w:tc>
        <w:tc>
          <w:tcPr>
            <w:tcW w:w="710" w:type="pct"/>
            <w:tcBorders>
              <w:top w:val="nil"/>
              <w:left w:val="nil"/>
              <w:bottom w:val="nil"/>
              <w:right w:val="nil"/>
            </w:tcBorders>
          </w:tcPr>
          <w:p w14:paraId="7E6320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0.0370***</w:t>
            </w:r>
          </w:p>
        </w:tc>
        <w:tc>
          <w:tcPr>
            <w:tcW w:w="828" w:type="pct"/>
            <w:tcBorders>
              <w:top w:val="nil"/>
              <w:left w:val="nil"/>
              <w:bottom w:val="nil"/>
              <w:right w:val="nil"/>
            </w:tcBorders>
          </w:tcPr>
          <w:p w14:paraId="3BEADE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0.0962*</w:t>
            </w:r>
          </w:p>
        </w:tc>
      </w:tr>
      <w:tr w:rsidR="00F00E3D" w:rsidRPr="00335312" w14:paraId="55E8511C" w14:textId="77777777" w:rsidTr="009B2FA7">
        <w:trPr>
          <w:jc w:val="center"/>
        </w:trPr>
        <w:tc>
          <w:tcPr>
            <w:tcW w:w="1097" w:type="pct"/>
            <w:tcBorders>
              <w:top w:val="nil"/>
              <w:left w:val="nil"/>
              <w:bottom w:val="nil"/>
              <w:right w:val="nil"/>
            </w:tcBorders>
          </w:tcPr>
          <w:p w14:paraId="03A03E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92" w:type="pct"/>
            <w:tcBorders>
              <w:top w:val="nil"/>
              <w:left w:val="nil"/>
              <w:bottom w:val="nil"/>
              <w:right w:val="nil"/>
            </w:tcBorders>
          </w:tcPr>
          <w:p w14:paraId="3589B9B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(0.586)</w:t>
            </w:r>
          </w:p>
        </w:tc>
        <w:tc>
          <w:tcPr>
            <w:tcW w:w="887" w:type="pct"/>
            <w:tcBorders>
              <w:top w:val="nil"/>
              <w:left w:val="nil"/>
              <w:bottom w:val="nil"/>
              <w:right w:val="nil"/>
            </w:tcBorders>
          </w:tcPr>
          <w:p w14:paraId="7FA5A0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(-2.207)</w:t>
            </w:r>
          </w:p>
        </w:tc>
        <w:tc>
          <w:tcPr>
            <w:tcW w:w="887" w:type="pct"/>
            <w:tcBorders>
              <w:top w:val="nil"/>
              <w:left w:val="nil"/>
              <w:bottom w:val="nil"/>
              <w:right w:val="nil"/>
            </w:tcBorders>
          </w:tcPr>
          <w:p w14:paraId="1003A4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(-1.806)</w:t>
            </w:r>
          </w:p>
        </w:tc>
        <w:tc>
          <w:tcPr>
            <w:tcW w:w="710" w:type="pct"/>
            <w:tcBorders>
              <w:top w:val="nil"/>
              <w:left w:val="nil"/>
              <w:bottom w:val="nil"/>
              <w:right w:val="nil"/>
            </w:tcBorders>
          </w:tcPr>
          <w:p w14:paraId="76C9DB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(3.236)</w:t>
            </w:r>
          </w:p>
        </w:tc>
        <w:tc>
          <w:tcPr>
            <w:tcW w:w="828" w:type="pct"/>
            <w:tcBorders>
              <w:top w:val="nil"/>
              <w:left w:val="nil"/>
              <w:bottom w:val="nil"/>
              <w:right w:val="nil"/>
            </w:tcBorders>
          </w:tcPr>
          <w:p w14:paraId="3906D3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(1.815)</w:t>
            </w:r>
          </w:p>
        </w:tc>
      </w:tr>
      <w:tr w:rsidR="00F00E3D" w:rsidRPr="00335312" w14:paraId="35218826" w14:textId="77777777" w:rsidTr="009B2FA7">
        <w:trPr>
          <w:jc w:val="center"/>
        </w:trPr>
        <w:tc>
          <w:tcPr>
            <w:tcW w:w="1097" w:type="pct"/>
            <w:tcBorders>
              <w:top w:val="nil"/>
              <w:left w:val="nil"/>
              <w:bottom w:val="nil"/>
              <w:right w:val="nil"/>
            </w:tcBorders>
          </w:tcPr>
          <w:p w14:paraId="4C7C78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parking</w:t>
            </w:r>
          </w:p>
        </w:tc>
        <w:tc>
          <w:tcPr>
            <w:tcW w:w="592" w:type="pct"/>
            <w:tcBorders>
              <w:top w:val="nil"/>
              <w:left w:val="nil"/>
              <w:bottom w:val="nil"/>
              <w:right w:val="nil"/>
            </w:tcBorders>
          </w:tcPr>
          <w:p w14:paraId="5E215A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0.0691***</w:t>
            </w:r>
          </w:p>
        </w:tc>
        <w:tc>
          <w:tcPr>
            <w:tcW w:w="887" w:type="pct"/>
            <w:tcBorders>
              <w:top w:val="nil"/>
              <w:left w:val="nil"/>
              <w:bottom w:val="nil"/>
              <w:right w:val="nil"/>
            </w:tcBorders>
          </w:tcPr>
          <w:p w14:paraId="40AA0E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0.183***</w:t>
            </w:r>
          </w:p>
        </w:tc>
        <w:tc>
          <w:tcPr>
            <w:tcW w:w="887" w:type="pct"/>
            <w:tcBorders>
              <w:top w:val="nil"/>
              <w:left w:val="nil"/>
              <w:bottom w:val="nil"/>
              <w:right w:val="nil"/>
            </w:tcBorders>
          </w:tcPr>
          <w:p w14:paraId="56F01E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0.126***</w:t>
            </w:r>
          </w:p>
        </w:tc>
        <w:tc>
          <w:tcPr>
            <w:tcW w:w="710" w:type="pct"/>
            <w:tcBorders>
              <w:top w:val="nil"/>
              <w:left w:val="nil"/>
              <w:bottom w:val="nil"/>
              <w:right w:val="nil"/>
            </w:tcBorders>
          </w:tcPr>
          <w:p w14:paraId="54DBBCD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0.0146</w:t>
            </w:r>
          </w:p>
        </w:tc>
        <w:tc>
          <w:tcPr>
            <w:tcW w:w="828" w:type="pct"/>
            <w:tcBorders>
              <w:top w:val="nil"/>
              <w:left w:val="nil"/>
              <w:bottom w:val="nil"/>
              <w:right w:val="nil"/>
            </w:tcBorders>
          </w:tcPr>
          <w:p w14:paraId="0CE7D6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-0.00541</w:t>
            </w:r>
          </w:p>
        </w:tc>
      </w:tr>
      <w:tr w:rsidR="00F00E3D" w:rsidRPr="00335312" w14:paraId="3336EE3E" w14:textId="77777777" w:rsidTr="009B2FA7">
        <w:trPr>
          <w:jc w:val="center"/>
        </w:trPr>
        <w:tc>
          <w:tcPr>
            <w:tcW w:w="1097" w:type="pct"/>
            <w:tcBorders>
              <w:top w:val="nil"/>
              <w:left w:val="nil"/>
              <w:bottom w:val="nil"/>
              <w:right w:val="nil"/>
            </w:tcBorders>
          </w:tcPr>
          <w:p w14:paraId="6270F3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92" w:type="pct"/>
            <w:tcBorders>
              <w:top w:val="nil"/>
              <w:left w:val="nil"/>
              <w:bottom w:val="nil"/>
              <w:right w:val="nil"/>
            </w:tcBorders>
          </w:tcPr>
          <w:p w14:paraId="2234532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(4.865)</w:t>
            </w:r>
          </w:p>
        </w:tc>
        <w:tc>
          <w:tcPr>
            <w:tcW w:w="887" w:type="pct"/>
            <w:tcBorders>
              <w:top w:val="nil"/>
              <w:left w:val="nil"/>
              <w:bottom w:val="nil"/>
              <w:right w:val="nil"/>
            </w:tcBorders>
          </w:tcPr>
          <w:p w14:paraId="4C6602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(7.499)</w:t>
            </w:r>
          </w:p>
        </w:tc>
        <w:tc>
          <w:tcPr>
            <w:tcW w:w="887" w:type="pct"/>
            <w:tcBorders>
              <w:top w:val="nil"/>
              <w:left w:val="nil"/>
              <w:bottom w:val="nil"/>
              <w:right w:val="nil"/>
            </w:tcBorders>
          </w:tcPr>
          <w:p w14:paraId="0088A5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(6.222)</w:t>
            </w:r>
          </w:p>
        </w:tc>
        <w:tc>
          <w:tcPr>
            <w:tcW w:w="710" w:type="pct"/>
            <w:tcBorders>
              <w:top w:val="nil"/>
              <w:left w:val="nil"/>
              <w:bottom w:val="nil"/>
              <w:right w:val="nil"/>
            </w:tcBorders>
          </w:tcPr>
          <w:p w14:paraId="152F3D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(1.584)</w:t>
            </w:r>
          </w:p>
        </w:tc>
        <w:tc>
          <w:tcPr>
            <w:tcW w:w="828" w:type="pct"/>
            <w:tcBorders>
              <w:top w:val="nil"/>
              <w:left w:val="nil"/>
              <w:bottom w:val="nil"/>
              <w:right w:val="nil"/>
            </w:tcBorders>
          </w:tcPr>
          <w:p w14:paraId="5067A52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(-0.413)</w:t>
            </w:r>
          </w:p>
        </w:tc>
      </w:tr>
      <w:tr w:rsidR="00F00E3D" w:rsidRPr="00335312" w14:paraId="2C1F71A9" w14:textId="77777777" w:rsidTr="009B2FA7">
        <w:trPr>
          <w:jc w:val="center"/>
        </w:trPr>
        <w:tc>
          <w:tcPr>
            <w:tcW w:w="1097" w:type="pct"/>
            <w:tcBorders>
              <w:top w:val="nil"/>
              <w:left w:val="nil"/>
              <w:bottom w:val="nil"/>
              <w:right w:val="nil"/>
            </w:tcBorders>
          </w:tcPr>
          <w:p w14:paraId="5D5E9D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LogCBDDistance</w:t>
            </w:r>
          </w:p>
        </w:tc>
        <w:tc>
          <w:tcPr>
            <w:tcW w:w="592" w:type="pct"/>
            <w:tcBorders>
              <w:top w:val="nil"/>
              <w:left w:val="nil"/>
              <w:bottom w:val="nil"/>
              <w:right w:val="nil"/>
            </w:tcBorders>
          </w:tcPr>
          <w:p w14:paraId="11CA8E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-0.00531</w:t>
            </w:r>
          </w:p>
        </w:tc>
        <w:tc>
          <w:tcPr>
            <w:tcW w:w="887" w:type="pct"/>
            <w:tcBorders>
              <w:top w:val="nil"/>
              <w:left w:val="nil"/>
              <w:bottom w:val="nil"/>
              <w:right w:val="nil"/>
            </w:tcBorders>
          </w:tcPr>
          <w:p w14:paraId="22BC5E6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-0.0309</w:t>
            </w:r>
          </w:p>
        </w:tc>
        <w:tc>
          <w:tcPr>
            <w:tcW w:w="887" w:type="pct"/>
            <w:tcBorders>
              <w:top w:val="nil"/>
              <w:left w:val="nil"/>
              <w:bottom w:val="nil"/>
              <w:right w:val="nil"/>
            </w:tcBorders>
          </w:tcPr>
          <w:p w14:paraId="2F7EBF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-0.0193</w:t>
            </w:r>
          </w:p>
        </w:tc>
        <w:tc>
          <w:tcPr>
            <w:tcW w:w="710" w:type="pct"/>
            <w:tcBorders>
              <w:top w:val="nil"/>
              <w:left w:val="nil"/>
              <w:bottom w:val="nil"/>
              <w:right w:val="nil"/>
            </w:tcBorders>
          </w:tcPr>
          <w:p w14:paraId="2C8E3D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-0.290**</w:t>
            </w:r>
          </w:p>
        </w:tc>
        <w:tc>
          <w:tcPr>
            <w:tcW w:w="828" w:type="pct"/>
            <w:tcBorders>
              <w:top w:val="nil"/>
              <w:left w:val="nil"/>
              <w:bottom w:val="nil"/>
              <w:right w:val="nil"/>
            </w:tcBorders>
          </w:tcPr>
          <w:p w14:paraId="67E3E0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0.250</w:t>
            </w:r>
          </w:p>
        </w:tc>
      </w:tr>
      <w:tr w:rsidR="00F00E3D" w:rsidRPr="00335312" w14:paraId="0DB5FB82" w14:textId="77777777" w:rsidTr="009B2FA7">
        <w:trPr>
          <w:jc w:val="center"/>
        </w:trPr>
        <w:tc>
          <w:tcPr>
            <w:tcW w:w="1097" w:type="pct"/>
            <w:tcBorders>
              <w:top w:val="nil"/>
              <w:left w:val="nil"/>
              <w:bottom w:val="nil"/>
              <w:right w:val="nil"/>
            </w:tcBorders>
          </w:tcPr>
          <w:p w14:paraId="4D583B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92" w:type="pct"/>
            <w:tcBorders>
              <w:top w:val="nil"/>
              <w:left w:val="nil"/>
              <w:bottom w:val="nil"/>
              <w:right w:val="nil"/>
            </w:tcBorders>
          </w:tcPr>
          <w:p w14:paraId="4CFE1E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(-0.0696)</w:t>
            </w:r>
          </w:p>
        </w:tc>
        <w:tc>
          <w:tcPr>
            <w:tcW w:w="887" w:type="pct"/>
            <w:tcBorders>
              <w:top w:val="nil"/>
              <w:left w:val="nil"/>
              <w:bottom w:val="nil"/>
              <w:right w:val="nil"/>
            </w:tcBorders>
          </w:tcPr>
          <w:p w14:paraId="4BE9AB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(-0.500)</w:t>
            </w:r>
          </w:p>
        </w:tc>
        <w:tc>
          <w:tcPr>
            <w:tcW w:w="887" w:type="pct"/>
            <w:tcBorders>
              <w:top w:val="nil"/>
              <w:left w:val="nil"/>
              <w:bottom w:val="nil"/>
              <w:right w:val="nil"/>
            </w:tcBorders>
          </w:tcPr>
          <w:p w14:paraId="5E6823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(-0.274)</w:t>
            </w:r>
          </w:p>
        </w:tc>
        <w:tc>
          <w:tcPr>
            <w:tcW w:w="710" w:type="pct"/>
            <w:tcBorders>
              <w:top w:val="nil"/>
              <w:left w:val="nil"/>
              <w:bottom w:val="nil"/>
              <w:right w:val="nil"/>
            </w:tcBorders>
          </w:tcPr>
          <w:p w14:paraId="5C1C7F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(-2.026)</w:t>
            </w:r>
          </w:p>
        </w:tc>
        <w:tc>
          <w:tcPr>
            <w:tcW w:w="828" w:type="pct"/>
            <w:tcBorders>
              <w:top w:val="nil"/>
              <w:left w:val="nil"/>
              <w:bottom w:val="nil"/>
              <w:right w:val="nil"/>
            </w:tcBorders>
          </w:tcPr>
          <w:p w14:paraId="4C5FAE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(0.191)</w:t>
            </w:r>
          </w:p>
        </w:tc>
      </w:tr>
      <w:tr w:rsidR="00F00E3D" w:rsidRPr="00335312" w14:paraId="35480607" w14:textId="77777777" w:rsidTr="009B2FA7">
        <w:trPr>
          <w:jc w:val="center"/>
        </w:trPr>
        <w:tc>
          <w:tcPr>
            <w:tcW w:w="1097" w:type="pct"/>
            <w:tcBorders>
              <w:top w:val="nil"/>
              <w:left w:val="nil"/>
              <w:bottom w:val="nil"/>
              <w:right w:val="nil"/>
            </w:tcBorders>
          </w:tcPr>
          <w:p w14:paraId="197E54A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Constant</w:t>
            </w:r>
          </w:p>
        </w:tc>
        <w:tc>
          <w:tcPr>
            <w:tcW w:w="592" w:type="pct"/>
            <w:tcBorders>
              <w:top w:val="nil"/>
              <w:left w:val="nil"/>
              <w:bottom w:val="nil"/>
              <w:right w:val="nil"/>
            </w:tcBorders>
          </w:tcPr>
          <w:p w14:paraId="1E81C3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12.73***</w:t>
            </w:r>
          </w:p>
        </w:tc>
        <w:tc>
          <w:tcPr>
            <w:tcW w:w="887" w:type="pct"/>
            <w:tcBorders>
              <w:top w:val="nil"/>
              <w:left w:val="nil"/>
              <w:bottom w:val="nil"/>
              <w:right w:val="nil"/>
            </w:tcBorders>
          </w:tcPr>
          <w:p w14:paraId="733DF66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12.18***</w:t>
            </w:r>
          </w:p>
        </w:tc>
        <w:tc>
          <w:tcPr>
            <w:tcW w:w="887" w:type="pct"/>
            <w:tcBorders>
              <w:top w:val="nil"/>
              <w:left w:val="nil"/>
              <w:bottom w:val="nil"/>
              <w:right w:val="nil"/>
            </w:tcBorders>
          </w:tcPr>
          <w:p w14:paraId="2B23C7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12.53***</w:t>
            </w:r>
          </w:p>
        </w:tc>
        <w:tc>
          <w:tcPr>
            <w:tcW w:w="710" w:type="pct"/>
            <w:tcBorders>
              <w:top w:val="nil"/>
              <w:left w:val="nil"/>
              <w:bottom w:val="nil"/>
              <w:right w:val="nil"/>
            </w:tcBorders>
          </w:tcPr>
          <w:p w14:paraId="16AC6F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11.77***</w:t>
            </w:r>
          </w:p>
        </w:tc>
        <w:tc>
          <w:tcPr>
            <w:tcW w:w="828" w:type="pct"/>
            <w:tcBorders>
              <w:top w:val="nil"/>
              <w:left w:val="nil"/>
              <w:bottom w:val="nil"/>
              <w:right w:val="nil"/>
            </w:tcBorders>
          </w:tcPr>
          <w:p w14:paraId="702E24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11.75***</w:t>
            </w:r>
          </w:p>
        </w:tc>
      </w:tr>
      <w:tr w:rsidR="00F00E3D" w:rsidRPr="00335312" w14:paraId="4DDC4772" w14:textId="77777777" w:rsidTr="009B2FA7">
        <w:trPr>
          <w:jc w:val="center"/>
        </w:trPr>
        <w:tc>
          <w:tcPr>
            <w:tcW w:w="1097" w:type="pct"/>
            <w:tcBorders>
              <w:top w:val="nil"/>
              <w:left w:val="nil"/>
              <w:bottom w:val="nil"/>
              <w:right w:val="nil"/>
            </w:tcBorders>
          </w:tcPr>
          <w:p w14:paraId="271BFD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92" w:type="pct"/>
            <w:tcBorders>
              <w:top w:val="nil"/>
              <w:left w:val="nil"/>
              <w:bottom w:val="nil"/>
              <w:right w:val="nil"/>
            </w:tcBorders>
          </w:tcPr>
          <w:p w14:paraId="77E2AC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(51.89)</w:t>
            </w:r>
          </w:p>
        </w:tc>
        <w:tc>
          <w:tcPr>
            <w:tcW w:w="887" w:type="pct"/>
            <w:tcBorders>
              <w:top w:val="nil"/>
              <w:left w:val="nil"/>
              <w:bottom w:val="nil"/>
              <w:right w:val="nil"/>
            </w:tcBorders>
          </w:tcPr>
          <w:p w14:paraId="4DF9FC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(47.63)</w:t>
            </w:r>
          </w:p>
        </w:tc>
        <w:tc>
          <w:tcPr>
            <w:tcW w:w="887" w:type="pct"/>
            <w:tcBorders>
              <w:top w:val="nil"/>
              <w:left w:val="nil"/>
              <w:bottom w:val="nil"/>
              <w:right w:val="nil"/>
            </w:tcBorders>
          </w:tcPr>
          <w:p w14:paraId="0A6594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(52.95)</w:t>
            </w:r>
          </w:p>
        </w:tc>
        <w:tc>
          <w:tcPr>
            <w:tcW w:w="710" w:type="pct"/>
            <w:tcBorders>
              <w:top w:val="nil"/>
              <w:left w:val="nil"/>
              <w:bottom w:val="nil"/>
              <w:right w:val="nil"/>
            </w:tcBorders>
          </w:tcPr>
          <w:p w14:paraId="75F92F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(31.49)</w:t>
            </w:r>
          </w:p>
        </w:tc>
        <w:tc>
          <w:tcPr>
            <w:tcW w:w="828" w:type="pct"/>
            <w:tcBorders>
              <w:top w:val="nil"/>
              <w:left w:val="nil"/>
              <w:bottom w:val="nil"/>
              <w:right w:val="nil"/>
            </w:tcBorders>
          </w:tcPr>
          <w:p w14:paraId="739247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(22.88)</w:t>
            </w:r>
          </w:p>
        </w:tc>
      </w:tr>
      <w:tr w:rsidR="00F00E3D" w:rsidRPr="00335312" w14:paraId="0765B564" w14:textId="77777777" w:rsidTr="009B2FA7">
        <w:trPr>
          <w:jc w:val="center"/>
        </w:trPr>
        <w:tc>
          <w:tcPr>
            <w:tcW w:w="1097" w:type="pct"/>
            <w:tcBorders>
              <w:top w:val="nil"/>
              <w:left w:val="nil"/>
              <w:bottom w:val="nil"/>
              <w:right w:val="nil"/>
            </w:tcBorders>
          </w:tcPr>
          <w:p w14:paraId="16ADCF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92" w:type="pct"/>
            <w:tcBorders>
              <w:top w:val="nil"/>
              <w:left w:val="nil"/>
              <w:bottom w:val="nil"/>
              <w:right w:val="nil"/>
            </w:tcBorders>
          </w:tcPr>
          <w:p w14:paraId="2510BB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87" w:type="pct"/>
            <w:tcBorders>
              <w:top w:val="nil"/>
              <w:left w:val="nil"/>
              <w:bottom w:val="nil"/>
              <w:right w:val="nil"/>
            </w:tcBorders>
          </w:tcPr>
          <w:p w14:paraId="0E00BB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87" w:type="pct"/>
            <w:tcBorders>
              <w:top w:val="nil"/>
              <w:left w:val="nil"/>
              <w:bottom w:val="nil"/>
              <w:right w:val="nil"/>
            </w:tcBorders>
          </w:tcPr>
          <w:p w14:paraId="4D1A81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10" w:type="pct"/>
            <w:tcBorders>
              <w:top w:val="nil"/>
              <w:left w:val="nil"/>
              <w:bottom w:val="nil"/>
              <w:right w:val="nil"/>
            </w:tcBorders>
          </w:tcPr>
          <w:p w14:paraId="0CED7D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28" w:type="pct"/>
            <w:tcBorders>
              <w:top w:val="nil"/>
              <w:left w:val="nil"/>
              <w:bottom w:val="nil"/>
              <w:right w:val="nil"/>
            </w:tcBorders>
          </w:tcPr>
          <w:p w14:paraId="0DFEEA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3375990F" w14:textId="77777777" w:rsidTr="009B2FA7">
        <w:trPr>
          <w:jc w:val="center"/>
        </w:trPr>
        <w:tc>
          <w:tcPr>
            <w:tcW w:w="1097" w:type="pct"/>
            <w:tcBorders>
              <w:top w:val="nil"/>
              <w:left w:val="nil"/>
              <w:bottom w:val="nil"/>
              <w:right w:val="nil"/>
            </w:tcBorders>
          </w:tcPr>
          <w:p w14:paraId="63EC67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Observations</w:t>
            </w:r>
          </w:p>
        </w:tc>
        <w:tc>
          <w:tcPr>
            <w:tcW w:w="592" w:type="pct"/>
            <w:tcBorders>
              <w:top w:val="nil"/>
              <w:left w:val="nil"/>
              <w:bottom w:val="nil"/>
              <w:right w:val="nil"/>
            </w:tcBorders>
          </w:tcPr>
          <w:p w14:paraId="7F4910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36,607</w:t>
            </w:r>
          </w:p>
        </w:tc>
        <w:tc>
          <w:tcPr>
            <w:tcW w:w="887" w:type="pct"/>
            <w:tcBorders>
              <w:top w:val="nil"/>
              <w:left w:val="nil"/>
              <w:bottom w:val="nil"/>
              <w:right w:val="nil"/>
            </w:tcBorders>
          </w:tcPr>
          <w:p w14:paraId="311180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10,325</w:t>
            </w:r>
          </w:p>
        </w:tc>
        <w:tc>
          <w:tcPr>
            <w:tcW w:w="887" w:type="pct"/>
            <w:tcBorders>
              <w:top w:val="nil"/>
              <w:left w:val="nil"/>
              <w:bottom w:val="nil"/>
              <w:right w:val="nil"/>
            </w:tcBorders>
          </w:tcPr>
          <w:p w14:paraId="077336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20,156</w:t>
            </w:r>
          </w:p>
        </w:tc>
        <w:tc>
          <w:tcPr>
            <w:tcW w:w="710" w:type="pct"/>
            <w:tcBorders>
              <w:top w:val="nil"/>
              <w:left w:val="nil"/>
              <w:bottom w:val="nil"/>
              <w:right w:val="nil"/>
            </w:tcBorders>
          </w:tcPr>
          <w:p w14:paraId="69F61F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9,497</w:t>
            </w:r>
          </w:p>
        </w:tc>
        <w:tc>
          <w:tcPr>
            <w:tcW w:w="828" w:type="pct"/>
            <w:tcBorders>
              <w:top w:val="nil"/>
              <w:left w:val="nil"/>
              <w:bottom w:val="nil"/>
              <w:right w:val="nil"/>
            </w:tcBorders>
          </w:tcPr>
          <w:p w14:paraId="222D006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797</w:t>
            </w:r>
          </w:p>
        </w:tc>
      </w:tr>
      <w:tr w:rsidR="00F00E3D" w:rsidRPr="00335312" w14:paraId="3B60F0ED" w14:textId="77777777" w:rsidTr="009B2FA7">
        <w:trPr>
          <w:jc w:val="center"/>
        </w:trPr>
        <w:tc>
          <w:tcPr>
            <w:tcW w:w="1097" w:type="pct"/>
            <w:tcBorders>
              <w:top w:val="nil"/>
              <w:left w:val="nil"/>
              <w:bottom w:val="nil"/>
              <w:right w:val="nil"/>
            </w:tcBorders>
          </w:tcPr>
          <w:p w14:paraId="417D90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R-squared</w:t>
            </w:r>
          </w:p>
        </w:tc>
        <w:tc>
          <w:tcPr>
            <w:tcW w:w="592" w:type="pct"/>
            <w:tcBorders>
              <w:top w:val="nil"/>
              <w:left w:val="nil"/>
              <w:bottom w:val="nil"/>
              <w:right w:val="nil"/>
            </w:tcBorders>
          </w:tcPr>
          <w:p w14:paraId="092D51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0.582</w:t>
            </w:r>
          </w:p>
        </w:tc>
        <w:tc>
          <w:tcPr>
            <w:tcW w:w="887" w:type="pct"/>
            <w:tcBorders>
              <w:top w:val="nil"/>
              <w:left w:val="nil"/>
              <w:bottom w:val="nil"/>
              <w:right w:val="nil"/>
            </w:tcBorders>
          </w:tcPr>
          <w:p w14:paraId="2A92E1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0.442</w:t>
            </w:r>
          </w:p>
        </w:tc>
        <w:tc>
          <w:tcPr>
            <w:tcW w:w="887" w:type="pct"/>
            <w:tcBorders>
              <w:top w:val="nil"/>
              <w:left w:val="nil"/>
              <w:bottom w:val="nil"/>
              <w:right w:val="nil"/>
            </w:tcBorders>
          </w:tcPr>
          <w:p w14:paraId="5FEEA3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0.464</w:t>
            </w:r>
          </w:p>
        </w:tc>
        <w:tc>
          <w:tcPr>
            <w:tcW w:w="710" w:type="pct"/>
            <w:tcBorders>
              <w:top w:val="nil"/>
              <w:left w:val="nil"/>
              <w:bottom w:val="nil"/>
              <w:right w:val="nil"/>
            </w:tcBorders>
          </w:tcPr>
          <w:p w14:paraId="610596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0.780</w:t>
            </w:r>
          </w:p>
        </w:tc>
        <w:tc>
          <w:tcPr>
            <w:tcW w:w="828" w:type="pct"/>
            <w:tcBorders>
              <w:top w:val="nil"/>
              <w:left w:val="nil"/>
              <w:bottom w:val="nil"/>
              <w:right w:val="nil"/>
            </w:tcBorders>
          </w:tcPr>
          <w:p w14:paraId="2E6A34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0.663</w:t>
            </w:r>
          </w:p>
        </w:tc>
      </w:tr>
      <w:tr w:rsidR="00F00E3D" w:rsidRPr="00335312" w14:paraId="1893938B" w14:textId="77777777" w:rsidTr="009B2FA7">
        <w:trPr>
          <w:jc w:val="center"/>
        </w:trPr>
        <w:tc>
          <w:tcPr>
            <w:tcW w:w="1097" w:type="pct"/>
            <w:tcBorders>
              <w:top w:val="nil"/>
              <w:left w:val="nil"/>
              <w:bottom w:val="nil"/>
              <w:right w:val="nil"/>
            </w:tcBorders>
          </w:tcPr>
          <w:p w14:paraId="110785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FE</w:t>
            </w:r>
          </w:p>
        </w:tc>
        <w:tc>
          <w:tcPr>
            <w:tcW w:w="592" w:type="pct"/>
            <w:tcBorders>
              <w:top w:val="nil"/>
              <w:left w:val="nil"/>
              <w:bottom w:val="nil"/>
              <w:right w:val="nil"/>
            </w:tcBorders>
          </w:tcPr>
          <w:p w14:paraId="689DF03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87" w:type="pct"/>
            <w:tcBorders>
              <w:top w:val="nil"/>
              <w:left w:val="nil"/>
              <w:bottom w:val="nil"/>
              <w:right w:val="nil"/>
            </w:tcBorders>
          </w:tcPr>
          <w:p w14:paraId="0E1544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87" w:type="pct"/>
            <w:tcBorders>
              <w:top w:val="nil"/>
              <w:left w:val="nil"/>
              <w:bottom w:val="nil"/>
              <w:right w:val="nil"/>
            </w:tcBorders>
          </w:tcPr>
          <w:p w14:paraId="60EFBA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10" w:type="pct"/>
            <w:tcBorders>
              <w:top w:val="nil"/>
              <w:left w:val="nil"/>
              <w:bottom w:val="nil"/>
              <w:right w:val="nil"/>
            </w:tcBorders>
          </w:tcPr>
          <w:p w14:paraId="67DD5D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28" w:type="pct"/>
            <w:tcBorders>
              <w:top w:val="nil"/>
              <w:left w:val="nil"/>
              <w:bottom w:val="nil"/>
              <w:right w:val="nil"/>
            </w:tcBorders>
          </w:tcPr>
          <w:p w14:paraId="325F99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6E03F334" w14:textId="77777777" w:rsidTr="009B2FA7">
        <w:trPr>
          <w:jc w:val="center"/>
        </w:trPr>
        <w:tc>
          <w:tcPr>
            <w:tcW w:w="1097" w:type="pct"/>
            <w:tcBorders>
              <w:top w:val="nil"/>
              <w:left w:val="nil"/>
              <w:bottom w:val="nil"/>
              <w:right w:val="nil"/>
            </w:tcBorders>
          </w:tcPr>
          <w:p w14:paraId="708FE7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SE Cluster</w:t>
            </w:r>
          </w:p>
        </w:tc>
        <w:tc>
          <w:tcPr>
            <w:tcW w:w="592" w:type="pct"/>
            <w:tcBorders>
              <w:top w:val="nil"/>
              <w:left w:val="nil"/>
              <w:bottom w:val="nil"/>
              <w:right w:val="nil"/>
            </w:tcBorders>
          </w:tcPr>
          <w:p w14:paraId="5BB5E4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87" w:type="pct"/>
            <w:tcBorders>
              <w:top w:val="nil"/>
              <w:left w:val="nil"/>
              <w:bottom w:val="nil"/>
              <w:right w:val="nil"/>
            </w:tcBorders>
          </w:tcPr>
          <w:p w14:paraId="6C177A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87" w:type="pct"/>
            <w:tcBorders>
              <w:top w:val="nil"/>
              <w:left w:val="nil"/>
              <w:bottom w:val="nil"/>
              <w:right w:val="nil"/>
            </w:tcBorders>
          </w:tcPr>
          <w:p w14:paraId="5BB3BA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10" w:type="pct"/>
            <w:tcBorders>
              <w:top w:val="nil"/>
              <w:left w:val="nil"/>
              <w:bottom w:val="nil"/>
              <w:right w:val="nil"/>
            </w:tcBorders>
          </w:tcPr>
          <w:p w14:paraId="190A24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28" w:type="pct"/>
            <w:tcBorders>
              <w:top w:val="nil"/>
              <w:left w:val="nil"/>
              <w:bottom w:val="nil"/>
              <w:right w:val="nil"/>
            </w:tcBorders>
          </w:tcPr>
          <w:p w14:paraId="353930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74E5019F" w14:textId="77777777" w:rsidTr="009B2FA7">
        <w:trPr>
          <w:jc w:val="center"/>
        </w:trPr>
        <w:tc>
          <w:tcPr>
            <w:tcW w:w="1097" w:type="pct"/>
            <w:tcBorders>
              <w:top w:val="nil"/>
              <w:left w:val="nil"/>
              <w:bottom w:val="nil"/>
              <w:right w:val="nil"/>
            </w:tcBorders>
          </w:tcPr>
          <w:p w14:paraId="28960C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Year FE</w:t>
            </w:r>
          </w:p>
        </w:tc>
        <w:tc>
          <w:tcPr>
            <w:tcW w:w="592" w:type="pct"/>
            <w:tcBorders>
              <w:top w:val="nil"/>
              <w:left w:val="nil"/>
              <w:bottom w:val="nil"/>
              <w:right w:val="nil"/>
            </w:tcBorders>
          </w:tcPr>
          <w:p w14:paraId="1F74DD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87" w:type="pct"/>
            <w:tcBorders>
              <w:top w:val="nil"/>
              <w:left w:val="nil"/>
              <w:bottom w:val="nil"/>
              <w:right w:val="nil"/>
            </w:tcBorders>
          </w:tcPr>
          <w:p w14:paraId="61651B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87" w:type="pct"/>
            <w:tcBorders>
              <w:top w:val="nil"/>
              <w:left w:val="nil"/>
              <w:bottom w:val="nil"/>
              <w:right w:val="nil"/>
            </w:tcBorders>
          </w:tcPr>
          <w:p w14:paraId="7EDC17A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10" w:type="pct"/>
            <w:tcBorders>
              <w:top w:val="nil"/>
              <w:left w:val="nil"/>
              <w:bottom w:val="nil"/>
              <w:right w:val="nil"/>
            </w:tcBorders>
          </w:tcPr>
          <w:p w14:paraId="5C8501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28" w:type="pct"/>
            <w:tcBorders>
              <w:top w:val="nil"/>
              <w:left w:val="nil"/>
              <w:bottom w:val="nil"/>
              <w:right w:val="nil"/>
            </w:tcBorders>
          </w:tcPr>
          <w:p w14:paraId="7587C6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1DC39807" w14:textId="77777777" w:rsidTr="009B2FA7">
        <w:tblPrEx>
          <w:tblBorders>
            <w:bottom w:val="single" w:sz="6" w:space="0" w:color="auto"/>
          </w:tblBorders>
        </w:tblPrEx>
        <w:trPr>
          <w:jc w:val="center"/>
        </w:trPr>
        <w:tc>
          <w:tcPr>
            <w:tcW w:w="1097" w:type="pct"/>
            <w:tcBorders>
              <w:top w:val="nil"/>
              <w:left w:val="nil"/>
              <w:bottom w:val="single" w:sz="6" w:space="0" w:color="auto"/>
              <w:right w:val="nil"/>
            </w:tcBorders>
          </w:tcPr>
          <w:p w14:paraId="107C1B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Month FE</w:t>
            </w:r>
          </w:p>
        </w:tc>
        <w:tc>
          <w:tcPr>
            <w:tcW w:w="592" w:type="pct"/>
            <w:tcBorders>
              <w:top w:val="nil"/>
              <w:left w:val="nil"/>
              <w:bottom w:val="single" w:sz="6" w:space="0" w:color="auto"/>
              <w:right w:val="nil"/>
            </w:tcBorders>
          </w:tcPr>
          <w:p w14:paraId="044A69B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87" w:type="pct"/>
            <w:tcBorders>
              <w:top w:val="nil"/>
              <w:left w:val="nil"/>
              <w:bottom w:val="single" w:sz="6" w:space="0" w:color="auto"/>
              <w:right w:val="nil"/>
            </w:tcBorders>
          </w:tcPr>
          <w:p w14:paraId="35C568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87" w:type="pct"/>
            <w:tcBorders>
              <w:top w:val="nil"/>
              <w:left w:val="nil"/>
              <w:bottom w:val="single" w:sz="6" w:space="0" w:color="auto"/>
              <w:right w:val="nil"/>
            </w:tcBorders>
          </w:tcPr>
          <w:p w14:paraId="713ED9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10" w:type="pct"/>
            <w:tcBorders>
              <w:top w:val="nil"/>
              <w:left w:val="nil"/>
              <w:bottom w:val="single" w:sz="6" w:space="0" w:color="auto"/>
              <w:right w:val="nil"/>
            </w:tcBorders>
          </w:tcPr>
          <w:p w14:paraId="132C6A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28" w:type="pct"/>
            <w:tcBorders>
              <w:top w:val="nil"/>
              <w:left w:val="nil"/>
              <w:bottom w:val="single" w:sz="6" w:space="0" w:color="auto"/>
              <w:right w:val="nil"/>
            </w:tcBorders>
          </w:tcPr>
          <w:p w14:paraId="29F457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bl>
    <w:p w14:paraId="73AC085A" w14:textId="77777777" w:rsidR="00F00E3D" w:rsidRPr="00335312" w:rsidRDefault="00F00E3D" w:rsidP="002C52A2">
      <w:pPr>
        <w:spacing w:after="0" w:line="240" w:lineRule="auto"/>
        <w:rPr>
          <w:rFonts w:asciiTheme="majorHAnsi" w:hAnsiTheme="majorHAnsi" w:cstheme="majorHAnsi"/>
          <w:sz w:val="20"/>
          <w:szCs w:val="20"/>
        </w:rPr>
      </w:pPr>
    </w:p>
    <w:p w14:paraId="29C94D4C" w14:textId="77777777" w:rsidR="00F00E3D" w:rsidRPr="00335312" w:rsidRDefault="00F00E3D" w:rsidP="002C52A2">
      <w:pPr>
        <w:spacing w:after="0" w:line="240" w:lineRule="auto"/>
        <w:rPr>
          <w:rFonts w:asciiTheme="majorHAnsi" w:hAnsiTheme="majorHAnsi" w:cstheme="majorHAnsi"/>
          <w:sz w:val="20"/>
          <w:szCs w:val="20"/>
        </w:rPr>
      </w:pPr>
      <w:r w:rsidRPr="00335312">
        <w:rPr>
          <w:rFonts w:asciiTheme="majorHAnsi" w:hAnsiTheme="majorHAnsi" w:cstheme="majorHAnsi"/>
          <w:sz w:val="20"/>
          <w:szCs w:val="20"/>
        </w:rPr>
        <w:t>Panel. C House Rental Sample</w:t>
      </w:r>
    </w:p>
    <w:tbl>
      <w:tblPr>
        <w:tblW w:w="5000" w:type="pct"/>
        <w:jc w:val="center"/>
        <w:tblCellMar>
          <w:left w:w="75" w:type="dxa"/>
          <w:right w:w="75" w:type="dxa"/>
        </w:tblCellMar>
        <w:tblLook w:val="0000" w:firstRow="0" w:lastRow="0" w:firstColumn="0" w:lastColumn="0" w:noHBand="0" w:noVBand="0"/>
      </w:tblPr>
      <w:tblGrid>
        <w:gridCol w:w="1779"/>
        <w:gridCol w:w="1051"/>
        <w:gridCol w:w="1627"/>
        <w:gridCol w:w="2330"/>
        <w:gridCol w:w="1363"/>
        <w:gridCol w:w="1488"/>
      </w:tblGrid>
      <w:tr w:rsidR="00F00E3D" w:rsidRPr="00335312" w14:paraId="5A4EA77F" w14:textId="77777777" w:rsidTr="009B2FA7">
        <w:trPr>
          <w:jc w:val="center"/>
        </w:trPr>
        <w:tc>
          <w:tcPr>
            <w:tcW w:w="923" w:type="pct"/>
            <w:tcBorders>
              <w:top w:val="single" w:sz="6" w:space="0" w:color="auto"/>
              <w:left w:val="nil"/>
              <w:bottom w:val="nil"/>
              <w:right w:val="nil"/>
            </w:tcBorders>
          </w:tcPr>
          <w:p w14:paraId="2AA725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45" w:type="pct"/>
            <w:tcBorders>
              <w:top w:val="single" w:sz="6" w:space="0" w:color="auto"/>
              <w:left w:val="nil"/>
              <w:bottom w:val="nil"/>
              <w:right w:val="nil"/>
            </w:tcBorders>
          </w:tcPr>
          <w:p w14:paraId="696847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w:t>
            </w:r>
          </w:p>
        </w:tc>
        <w:tc>
          <w:tcPr>
            <w:tcW w:w="844" w:type="pct"/>
            <w:tcBorders>
              <w:top w:val="single" w:sz="6" w:space="0" w:color="auto"/>
              <w:left w:val="nil"/>
              <w:bottom w:val="nil"/>
              <w:right w:val="nil"/>
            </w:tcBorders>
          </w:tcPr>
          <w:p w14:paraId="609B34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w:t>
            </w:r>
          </w:p>
        </w:tc>
        <w:tc>
          <w:tcPr>
            <w:tcW w:w="1209" w:type="pct"/>
            <w:tcBorders>
              <w:top w:val="single" w:sz="6" w:space="0" w:color="auto"/>
              <w:left w:val="nil"/>
              <w:bottom w:val="nil"/>
              <w:right w:val="nil"/>
            </w:tcBorders>
          </w:tcPr>
          <w:p w14:paraId="3D2F37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w:t>
            </w:r>
          </w:p>
        </w:tc>
        <w:tc>
          <w:tcPr>
            <w:tcW w:w="707" w:type="pct"/>
            <w:tcBorders>
              <w:top w:val="single" w:sz="6" w:space="0" w:color="auto"/>
              <w:left w:val="nil"/>
              <w:bottom w:val="nil"/>
              <w:right w:val="nil"/>
            </w:tcBorders>
          </w:tcPr>
          <w:p w14:paraId="5766F2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w:t>
            </w:r>
          </w:p>
        </w:tc>
        <w:tc>
          <w:tcPr>
            <w:tcW w:w="772" w:type="pct"/>
            <w:tcBorders>
              <w:top w:val="single" w:sz="6" w:space="0" w:color="auto"/>
              <w:left w:val="nil"/>
              <w:bottom w:val="nil"/>
              <w:right w:val="nil"/>
            </w:tcBorders>
          </w:tcPr>
          <w:p w14:paraId="236E52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w:t>
            </w:r>
          </w:p>
        </w:tc>
      </w:tr>
      <w:tr w:rsidR="00F00E3D" w:rsidRPr="00335312" w14:paraId="1EAF9FEB" w14:textId="77777777" w:rsidTr="009B2FA7">
        <w:trPr>
          <w:jc w:val="center"/>
        </w:trPr>
        <w:tc>
          <w:tcPr>
            <w:tcW w:w="923" w:type="pct"/>
            <w:tcBorders>
              <w:top w:val="nil"/>
              <w:left w:val="nil"/>
              <w:bottom w:val="single" w:sz="6" w:space="0" w:color="auto"/>
              <w:right w:val="nil"/>
            </w:tcBorders>
          </w:tcPr>
          <w:p w14:paraId="167C86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VARIABLES</w:t>
            </w:r>
          </w:p>
        </w:tc>
        <w:tc>
          <w:tcPr>
            <w:tcW w:w="545" w:type="pct"/>
            <w:tcBorders>
              <w:top w:val="nil"/>
              <w:left w:val="nil"/>
              <w:bottom w:val="single" w:sz="6" w:space="0" w:color="auto"/>
              <w:right w:val="nil"/>
            </w:tcBorders>
          </w:tcPr>
          <w:p w14:paraId="424A8F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VIC</w:t>
            </w:r>
          </w:p>
        </w:tc>
        <w:tc>
          <w:tcPr>
            <w:tcW w:w="844" w:type="pct"/>
            <w:tcBorders>
              <w:top w:val="nil"/>
              <w:left w:val="nil"/>
              <w:bottom w:val="single" w:sz="6" w:space="0" w:color="auto"/>
              <w:right w:val="nil"/>
            </w:tcBorders>
          </w:tcPr>
          <w:p w14:paraId="41657A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InnerMel</w:t>
            </w:r>
          </w:p>
        </w:tc>
        <w:tc>
          <w:tcPr>
            <w:tcW w:w="1209" w:type="pct"/>
            <w:tcBorders>
              <w:top w:val="nil"/>
              <w:left w:val="nil"/>
              <w:bottom w:val="single" w:sz="6" w:space="0" w:color="auto"/>
              <w:right w:val="nil"/>
            </w:tcBorders>
          </w:tcPr>
          <w:p w14:paraId="6D0F4B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MetropolitanMel</w:t>
            </w:r>
          </w:p>
        </w:tc>
        <w:tc>
          <w:tcPr>
            <w:tcW w:w="707" w:type="pct"/>
            <w:tcBorders>
              <w:top w:val="nil"/>
              <w:left w:val="nil"/>
              <w:bottom w:val="single" w:sz="6" w:space="0" w:color="auto"/>
              <w:right w:val="nil"/>
            </w:tcBorders>
          </w:tcPr>
          <w:p w14:paraId="7ED629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RegionalVIC</w:t>
            </w:r>
          </w:p>
        </w:tc>
        <w:tc>
          <w:tcPr>
            <w:tcW w:w="772" w:type="pct"/>
            <w:tcBorders>
              <w:top w:val="nil"/>
              <w:left w:val="nil"/>
              <w:bottom w:val="single" w:sz="6" w:space="0" w:color="auto"/>
              <w:right w:val="nil"/>
            </w:tcBorders>
          </w:tcPr>
          <w:p w14:paraId="78F65F3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GreaterGeelong</w:t>
            </w:r>
          </w:p>
        </w:tc>
      </w:tr>
      <w:tr w:rsidR="00F00E3D" w:rsidRPr="00335312" w14:paraId="08A9ADC4" w14:textId="77777777" w:rsidTr="009B2FA7">
        <w:trPr>
          <w:jc w:val="center"/>
        </w:trPr>
        <w:tc>
          <w:tcPr>
            <w:tcW w:w="923" w:type="pct"/>
            <w:tcBorders>
              <w:top w:val="nil"/>
              <w:left w:val="nil"/>
              <w:bottom w:val="nil"/>
              <w:right w:val="nil"/>
            </w:tcBorders>
          </w:tcPr>
          <w:p w14:paraId="5296B33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45" w:type="pct"/>
            <w:tcBorders>
              <w:top w:val="nil"/>
              <w:left w:val="nil"/>
              <w:bottom w:val="nil"/>
              <w:right w:val="nil"/>
            </w:tcBorders>
          </w:tcPr>
          <w:p w14:paraId="7A6726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44" w:type="pct"/>
            <w:tcBorders>
              <w:top w:val="nil"/>
              <w:left w:val="nil"/>
              <w:bottom w:val="nil"/>
              <w:right w:val="nil"/>
            </w:tcBorders>
          </w:tcPr>
          <w:p w14:paraId="623109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1209" w:type="pct"/>
            <w:tcBorders>
              <w:top w:val="nil"/>
              <w:left w:val="nil"/>
              <w:bottom w:val="nil"/>
              <w:right w:val="nil"/>
            </w:tcBorders>
          </w:tcPr>
          <w:p w14:paraId="0E41B7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07" w:type="pct"/>
            <w:tcBorders>
              <w:top w:val="nil"/>
              <w:left w:val="nil"/>
              <w:bottom w:val="nil"/>
              <w:right w:val="nil"/>
            </w:tcBorders>
          </w:tcPr>
          <w:p w14:paraId="0A29FE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72" w:type="pct"/>
            <w:tcBorders>
              <w:top w:val="nil"/>
              <w:left w:val="nil"/>
              <w:bottom w:val="nil"/>
              <w:right w:val="nil"/>
            </w:tcBorders>
          </w:tcPr>
          <w:p w14:paraId="080D7E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2B50B62D" w14:textId="77777777" w:rsidTr="009B2FA7">
        <w:trPr>
          <w:jc w:val="center"/>
        </w:trPr>
        <w:tc>
          <w:tcPr>
            <w:tcW w:w="923" w:type="pct"/>
            <w:tcBorders>
              <w:top w:val="nil"/>
              <w:left w:val="nil"/>
              <w:bottom w:val="nil"/>
              <w:right w:val="nil"/>
            </w:tcBorders>
          </w:tcPr>
          <w:p w14:paraId="707BE1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TPxFocalSuburbs</w:t>
            </w:r>
          </w:p>
        </w:tc>
        <w:tc>
          <w:tcPr>
            <w:tcW w:w="545" w:type="pct"/>
            <w:tcBorders>
              <w:top w:val="nil"/>
              <w:left w:val="nil"/>
              <w:bottom w:val="nil"/>
              <w:right w:val="nil"/>
            </w:tcBorders>
          </w:tcPr>
          <w:p w14:paraId="5B75163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0.0112</w:t>
            </w:r>
          </w:p>
        </w:tc>
        <w:tc>
          <w:tcPr>
            <w:tcW w:w="844" w:type="pct"/>
            <w:tcBorders>
              <w:top w:val="nil"/>
              <w:left w:val="nil"/>
              <w:bottom w:val="nil"/>
              <w:right w:val="nil"/>
            </w:tcBorders>
          </w:tcPr>
          <w:p w14:paraId="35E352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0.0686**</w:t>
            </w:r>
          </w:p>
        </w:tc>
        <w:tc>
          <w:tcPr>
            <w:tcW w:w="1209" w:type="pct"/>
            <w:tcBorders>
              <w:top w:val="nil"/>
              <w:left w:val="nil"/>
              <w:bottom w:val="nil"/>
              <w:right w:val="nil"/>
            </w:tcBorders>
          </w:tcPr>
          <w:p w14:paraId="6CCE49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0.0399</w:t>
            </w:r>
          </w:p>
        </w:tc>
        <w:tc>
          <w:tcPr>
            <w:tcW w:w="707" w:type="pct"/>
            <w:tcBorders>
              <w:top w:val="nil"/>
              <w:left w:val="nil"/>
              <w:bottom w:val="nil"/>
              <w:right w:val="nil"/>
            </w:tcBorders>
          </w:tcPr>
          <w:p w14:paraId="40DB43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-0.00863</w:t>
            </w:r>
          </w:p>
        </w:tc>
        <w:tc>
          <w:tcPr>
            <w:tcW w:w="772" w:type="pct"/>
            <w:tcBorders>
              <w:top w:val="nil"/>
              <w:left w:val="nil"/>
              <w:bottom w:val="nil"/>
              <w:right w:val="nil"/>
            </w:tcBorders>
          </w:tcPr>
          <w:p w14:paraId="36B3D0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0.0126</w:t>
            </w:r>
          </w:p>
        </w:tc>
      </w:tr>
      <w:tr w:rsidR="00F00E3D" w:rsidRPr="00335312" w14:paraId="3434AD3F" w14:textId="77777777" w:rsidTr="009B2FA7">
        <w:trPr>
          <w:jc w:val="center"/>
        </w:trPr>
        <w:tc>
          <w:tcPr>
            <w:tcW w:w="923" w:type="pct"/>
            <w:tcBorders>
              <w:top w:val="nil"/>
              <w:left w:val="nil"/>
              <w:bottom w:val="nil"/>
              <w:right w:val="nil"/>
            </w:tcBorders>
          </w:tcPr>
          <w:p w14:paraId="5269B3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45" w:type="pct"/>
            <w:tcBorders>
              <w:top w:val="nil"/>
              <w:left w:val="nil"/>
              <w:bottom w:val="nil"/>
              <w:right w:val="nil"/>
            </w:tcBorders>
          </w:tcPr>
          <w:p w14:paraId="3C17A5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(0.517)</w:t>
            </w:r>
          </w:p>
        </w:tc>
        <w:tc>
          <w:tcPr>
            <w:tcW w:w="844" w:type="pct"/>
            <w:tcBorders>
              <w:top w:val="nil"/>
              <w:left w:val="nil"/>
              <w:bottom w:val="nil"/>
              <w:right w:val="nil"/>
            </w:tcBorders>
          </w:tcPr>
          <w:p w14:paraId="723F24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(2.342)</w:t>
            </w:r>
          </w:p>
        </w:tc>
        <w:tc>
          <w:tcPr>
            <w:tcW w:w="1209" w:type="pct"/>
            <w:tcBorders>
              <w:top w:val="nil"/>
              <w:left w:val="nil"/>
              <w:bottom w:val="nil"/>
              <w:right w:val="nil"/>
            </w:tcBorders>
          </w:tcPr>
          <w:p w14:paraId="7B6803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(1.585)</w:t>
            </w:r>
          </w:p>
        </w:tc>
        <w:tc>
          <w:tcPr>
            <w:tcW w:w="707" w:type="pct"/>
            <w:tcBorders>
              <w:top w:val="nil"/>
              <w:left w:val="nil"/>
              <w:bottom w:val="nil"/>
              <w:right w:val="nil"/>
            </w:tcBorders>
          </w:tcPr>
          <w:p w14:paraId="6051129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(-0.403)</w:t>
            </w:r>
          </w:p>
        </w:tc>
        <w:tc>
          <w:tcPr>
            <w:tcW w:w="772" w:type="pct"/>
            <w:tcBorders>
              <w:top w:val="nil"/>
              <w:left w:val="nil"/>
              <w:bottom w:val="nil"/>
              <w:right w:val="nil"/>
            </w:tcBorders>
          </w:tcPr>
          <w:p w14:paraId="214376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(0.613)</w:t>
            </w:r>
          </w:p>
        </w:tc>
      </w:tr>
      <w:tr w:rsidR="00F00E3D" w:rsidRPr="00335312" w14:paraId="1E10EC43" w14:textId="77777777" w:rsidTr="009B2FA7">
        <w:trPr>
          <w:jc w:val="center"/>
        </w:trPr>
        <w:tc>
          <w:tcPr>
            <w:tcW w:w="923" w:type="pct"/>
            <w:tcBorders>
              <w:top w:val="nil"/>
              <w:left w:val="nil"/>
              <w:bottom w:val="nil"/>
              <w:right w:val="nil"/>
            </w:tcBorders>
          </w:tcPr>
          <w:p w14:paraId="63E708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TreatmentPeriod</w:t>
            </w:r>
          </w:p>
        </w:tc>
        <w:tc>
          <w:tcPr>
            <w:tcW w:w="545" w:type="pct"/>
            <w:tcBorders>
              <w:top w:val="nil"/>
              <w:left w:val="nil"/>
              <w:bottom w:val="nil"/>
              <w:right w:val="nil"/>
            </w:tcBorders>
          </w:tcPr>
          <w:p w14:paraId="312AD8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w:t>
            </w:r>
          </w:p>
        </w:tc>
        <w:tc>
          <w:tcPr>
            <w:tcW w:w="844" w:type="pct"/>
            <w:tcBorders>
              <w:top w:val="nil"/>
              <w:left w:val="nil"/>
              <w:bottom w:val="nil"/>
              <w:right w:val="nil"/>
            </w:tcBorders>
          </w:tcPr>
          <w:p w14:paraId="53B0E0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-0.0971***</w:t>
            </w:r>
          </w:p>
        </w:tc>
        <w:tc>
          <w:tcPr>
            <w:tcW w:w="1209" w:type="pct"/>
            <w:tcBorders>
              <w:top w:val="nil"/>
              <w:left w:val="nil"/>
              <w:bottom w:val="nil"/>
              <w:right w:val="nil"/>
            </w:tcBorders>
          </w:tcPr>
          <w:p w14:paraId="439C533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-0.0556***</w:t>
            </w:r>
          </w:p>
        </w:tc>
        <w:tc>
          <w:tcPr>
            <w:tcW w:w="707" w:type="pct"/>
            <w:tcBorders>
              <w:top w:val="nil"/>
              <w:left w:val="nil"/>
              <w:bottom w:val="nil"/>
              <w:right w:val="nil"/>
            </w:tcBorders>
          </w:tcPr>
          <w:p w14:paraId="5F3109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0.0310***</w:t>
            </w:r>
          </w:p>
        </w:tc>
        <w:tc>
          <w:tcPr>
            <w:tcW w:w="772" w:type="pct"/>
            <w:tcBorders>
              <w:top w:val="nil"/>
              <w:left w:val="nil"/>
              <w:bottom w:val="nil"/>
              <w:right w:val="nil"/>
            </w:tcBorders>
          </w:tcPr>
          <w:p w14:paraId="7733EC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-0.000872</w:t>
            </w:r>
          </w:p>
        </w:tc>
      </w:tr>
      <w:tr w:rsidR="00F00E3D" w:rsidRPr="00335312" w14:paraId="6199F406" w14:textId="77777777" w:rsidTr="009B2FA7">
        <w:trPr>
          <w:jc w:val="center"/>
        </w:trPr>
        <w:tc>
          <w:tcPr>
            <w:tcW w:w="923" w:type="pct"/>
            <w:tcBorders>
              <w:top w:val="nil"/>
              <w:left w:val="nil"/>
              <w:bottom w:val="nil"/>
              <w:right w:val="nil"/>
            </w:tcBorders>
          </w:tcPr>
          <w:p w14:paraId="0A4494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45" w:type="pct"/>
            <w:tcBorders>
              <w:top w:val="nil"/>
              <w:left w:val="nil"/>
              <w:bottom w:val="nil"/>
              <w:right w:val="nil"/>
            </w:tcBorders>
          </w:tcPr>
          <w:p w14:paraId="03F5EB1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(-2.572)</w:t>
            </w:r>
          </w:p>
        </w:tc>
        <w:tc>
          <w:tcPr>
            <w:tcW w:w="844" w:type="pct"/>
            <w:tcBorders>
              <w:top w:val="nil"/>
              <w:left w:val="nil"/>
              <w:bottom w:val="nil"/>
              <w:right w:val="nil"/>
            </w:tcBorders>
          </w:tcPr>
          <w:p w14:paraId="0C4818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(-5.768)</w:t>
            </w:r>
          </w:p>
        </w:tc>
        <w:tc>
          <w:tcPr>
            <w:tcW w:w="1209" w:type="pct"/>
            <w:tcBorders>
              <w:top w:val="nil"/>
              <w:left w:val="nil"/>
              <w:bottom w:val="nil"/>
              <w:right w:val="nil"/>
            </w:tcBorders>
          </w:tcPr>
          <w:p w14:paraId="44E02C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(-6.403)</w:t>
            </w:r>
          </w:p>
        </w:tc>
        <w:tc>
          <w:tcPr>
            <w:tcW w:w="707" w:type="pct"/>
            <w:tcBorders>
              <w:top w:val="nil"/>
              <w:left w:val="nil"/>
              <w:bottom w:val="nil"/>
              <w:right w:val="nil"/>
            </w:tcBorders>
          </w:tcPr>
          <w:p w14:paraId="6706FB3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(3.315)</w:t>
            </w:r>
          </w:p>
        </w:tc>
        <w:tc>
          <w:tcPr>
            <w:tcW w:w="772" w:type="pct"/>
            <w:tcBorders>
              <w:top w:val="nil"/>
              <w:left w:val="nil"/>
              <w:bottom w:val="nil"/>
              <w:right w:val="nil"/>
            </w:tcBorders>
          </w:tcPr>
          <w:p w14:paraId="11E036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(-0.0343)</w:t>
            </w:r>
          </w:p>
        </w:tc>
      </w:tr>
      <w:tr w:rsidR="00F00E3D" w:rsidRPr="00335312" w14:paraId="4E1BB471" w14:textId="77777777" w:rsidTr="009B2FA7">
        <w:trPr>
          <w:jc w:val="center"/>
        </w:trPr>
        <w:tc>
          <w:tcPr>
            <w:tcW w:w="923" w:type="pct"/>
            <w:tcBorders>
              <w:top w:val="nil"/>
              <w:left w:val="nil"/>
              <w:bottom w:val="nil"/>
              <w:right w:val="nil"/>
            </w:tcBorders>
          </w:tcPr>
          <w:p w14:paraId="6A336F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FocalSuburbs</w:t>
            </w:r>
          </w:p>
        </w:tc>
        <w:tc>
          <w:tcPr>
            <w:tcW w:w="545" w:type="pct"/>
            <w:tcBorders>
              <w:top w:val="nil"/>
              <w:left w:val="nil"/>
              <w:bottom w:val="nil"/>
              <w:right w:val="nil"/>
            </w:tcBorders>
          </w:tcPr>
          <w:p w14:paraId="5248B1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-0.48***</w:t>
            </w:r>
          </w:p>
        </w:tc>
        <w:tc>
          <w:tcPr>
            <w:tcW w:w="844" w:type="pct"/>
            <w:tcBorders>
              <w:top w:val="nil"/>
              <w:left w:val="nil"/>
              <w:bottom w:val="nil"/>
              <w:right w:val="nil"/>
            </w:tcBorders>
          </w:tcPr>
          <w:p w14:paraId="49D60F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-0.817***</w:t>
            </w:r>
          </w:p>
        </w:tc>
        <w:tc>
          <w:tcPr>
            <w:tcW w:w="1209" w:type="pct"/>
            <w:tcBorders>
              <w:top w:val="nil"/>
              <w:left w:val="nil"/>
              <w:bottom w:val="nil"/>
              <w:right w:val="nil"/>
            </w:tcBorders>
          </w:tcPr>
          <w:p w14:paraId="340D06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-0.592***</w:t>
            </w:r>
          </w:p>
        </w:tc>
        <w:tc>
          <w:tcPr>
            <w:tcW w:w="707" w:type="pct"/>
            <w:tcBorders>
              <w:top w:val="nil"/>
              <w:left w:val="nil"/>
              <w:bottom w:val="nil"/>
              <w:right w:val="nil"/>
            </w:tcBorders>
          </w:tcPr>
          <w:p w14:paraId="72C7B1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0.0178</w:t>
            </w:r>
          </w:p>
        </w:tc>
        <w:tc>
          <w:tcPr>
            <w:tcW w:w="772" w:type="pct"/>
            <w:tcBorders>
              <w:top w:val="nil"/>
              <w:left w:val="nil"/>
              <w:bottom w:val="nil"/>
              <w:right w:val="nil"/>
            </w:tcBorders>
          </w:tcPr>
          <w:p w14:paraId="71E736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-0.428***</w:t>
            </w:r>
          </w:p>
        </w:tc>
      </w:tr>
      <w:tr w:rsidR="00F00E3D" w:rsidRPr="00335312" w14:paraId="5011EC81" w14:textId="77777777" w:rsidTr="009B2FA7">
        <w:trPr>
          <w:jc w:val="center"/>
        </w:trPr>
        <w:tc>
          <w:tcPr>
            <w:tcW w:w="923" w:type="pct"/>
            <w:tcBorders>
              <w:top w:val="nil"/>
              <w:left w:val="nil"/>
              <w:bottom w:val="nil"/>
              <w:right w:val="nil"/>
            </w:tcBorders>
          </w:tcPr>
          <w:p w14:paraId="17E626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45" w:type="pct"/>
            <w:tcBorders>
              <w:top w:val="nil"/>
              <w:left w:val="nil"/>
              <w:bottom w:val="nil"/>
              <w:right w:val="nil"/>
            </w:tcBorders>
          </w:tcPr>
          <w:p w14:paraId="734C846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(-3.458)</w:t>
            </w:r>
          </w:p>
        </w:tc>
        <w:tc>
          <w:tcPr>
            <w:tcW w:w="844" w:type="pct"/>
            <w:tcBorders>
              <w:top w:val="nil"/>
              <w:left w:val="nil"/>
              <w:bottom w:val="nil"/>
              <w:right w:val="nil"/>
            </w:tcBorders>
          </w:tcPr>
          <w:p w14:paraId="598011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(-3.347)</w:t>
            </w:r>
          </w:p>
        </w:tc>
        <w:tc>
          <w:tcPr>
            <w:tcW w:w="1209" w:type="pct"/>
            <w:tcBorders>
              <w:top w:val="nil"/>
              <w:left w:val="nil"/>
              <w:bottom w:val="nil"/>
              <w:right w:val="nil"/>
            </w:tcBorders>
          </w:tcPr>
          <w:p w14:paraId="213D697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(-3.351)</w:t>
            </w:r>
          </w:p>
        </w:tc>
        <w:tc>
          <w:tcPr>
            <w:tcW w:w="707" w:type="pct"/>
            <w:tcBorders>
              <w:top w:val="nil"/>
              <w:left w:val="nil"/>
              <w:bottom w:val="nil"/>
              <w:right w:val="nil"/>
            </w:tcBorders>
          </w:tcPr>
          <w:p w14:paraId="4C042AC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(0.0972)</w:t>
            </w:r>
          </w:p>
        </w:tc>
        <w:tc>
          <w:tcPr>
            <w:tcW w:w="772" w:type="pct"/>
            <w:tcBorders>
              <w:top w:val="nil"/>
              <w:left w:val="nil"/>
              <w:bottom w:val="nil"/>
              <w:right w:val="nil"/>
            </w:tcBorders>
          </w:tcPr>
          <w:p w14:paraId="56E952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(-5.456)</w:t>
            </w:r>
          </w:p>
        </w:tc>
      </w:tr>
      <w:tr w:rsidR="00F00E3D" w:rsidRPr="00335312" w14:paraId="2B20673E" w14:textId="77777777" w:rsidTr="009B2FA7">
        <w:trPr>
          <w:jc w:val="center"/>
        </w:trPr>
        <w:tc>
          <w:tcPr>
            <w:tcW w:w="923" w:type="pct"/>
            <w:tcBorders>
              <w:top w:val="nil"/>
              <w:left w:val="nil"/>
              <w:bottom w:val="nil"/>
              <w:right w:val="nil"/>
            </w:tcBorders>
          </w:tcPr>
          <w:p w14:paraId="5AAAEA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logSize</w:t>
            </w:r>
          </w:p>
        </w:tc>
        <w:tc>
          <w:tcPr>
            <w:tcW w:w="545" w:type="pct"/>
            <w:tcBorders>
              <w:top w:val="nil"/>
              <w:left w:val="nil"/>
              <w:bottom w:val="nil"/>
              <w:right w:val="nil"/>
            </w:tcBorders>
          </w:tcPr>
          <w:p w14:paraId="69F50D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w:t>
            </w:r>
          </w:p>
        </w:tc>
        <w:tc>
          <w:tcPr>
            <w:tcW w:w="844" w:type="pct"/>
            <w:tcBorders>
              <w:top w:val="nil"/>
              <w:left w:val="nil"/>
              <w:bottom w:val="nil"/>
              <w:right w:val="nil"/>
            </w:tcBorders>
          </w:tcPr>
          <w:p w14:paraId="790CE4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-0.0449***</w:t>
            </w:r>
          </w:p>
        </w:tc>
        <w:tc>
          <w:tcPr>
            <w:tcW w:w="1209" w:type="pct"/>
            <w:tcBorders>
              <w:top w:val="nil"/>
              <w:left w:val="nil"/>
              <w:bottom w:val="nil"/>
              <w:right w:val="nil"/>
            </w:tcBorders>
          </w:tcPr>
          <w:p w14:paraId="7EA3D0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-0.0379***</w:t>
            </w:r>
          </w:p>
        </w:tc>
        <w:tc>
          <w:tcPr>
            <w:tcW w:w="707" w:type="pct"/>
            <w:tcBorders>
              <w:top w:val="nil"/>
              <w:left w:val="nil"/>
              <w:bottom w:val="nil"/>
              <w:right w:val="nil"/>
            </w:tcBorders>
          </w:tcPr>
          <w:p w14:paraId="6D8AA9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0.00281</w:t>
            </w:r>
          </w:p>
        </w:tc>
        <w:tc>
          <w:tcPr>
            <w:tcW w:w="772" w:type="pct"/>
            <w:tcBorders>
              <w:top w:val="nil"/>
              <w:left w:val="nil"/>
              <w:bottom w:val="nil"/>
              <w:right w:val="nil"/>
            </w:tcBorders>
          </w:tcPr>
          <w:p w14:paraId="7B84A7A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0.0195</w:t>
            </w:r>
          </w:p>
        </w:tc>
      </w:tr>
      <w:tr w:rsidR="00F00E3D" w:rsidRPr="00335312" w14:paraId="131A8E72" w14:textId="77777777" w:rsidTr="009B2FA7">
        <w:trPr>
          <w:jc w:val="center"/>
        </w:trPr>
        <w:tc>
          <w:tcPr>
            <w:tcW w:w="923" w:type="pct"/>
            <w:tcBorders>
              <w:top w:val="nil"/>
              <w:left w:val="nil"/>
              <w:bottom w:val="nil"/>
              <w:right w:val="nil"/>
            </w:tcBorders>
          </w:tcPr>
          <w:p w14:paraId="15258A9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45" w:type="pct"/>
            <w:tcBorders>
              <w:top w:val="nil"/>
              <w:left w:val="nil"/>
              <w:bottom w:val="nil"/>
              <w:right w:val="nil"/>
            </w:tcBorders>
          </w:tcPr>
          <w:p w14:paraId="5C41BC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(-3.600)</w:t>
            </w:r>
          </w:p>
        </w:tc>
        <w:tc>
          <w:tcPr>
            <w:tcW w:w="844" w:type="pct"/>
            <w:tcBorders>
              <w:top w:val="nil"/>
              <w:left w:val="nil"/>
              <w:bottom w:val="nil"/>
              <w:right w:val="nil"/>
            </w:tcBorders>
          </w:tcPr>
          <w:p w14:paraId="60F24CE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(-3.672)</w:t>
            </w:r>
          </w:p>
        </w:tc>
        <w:tc>
          <w:tcPr>
            <w:tcW w:w="1209" w:type="pct"/>
            <w:tcBorders>
              <w:top w:val="nil"/>
              <w:left w:val="nil"/>
              <w:bottom w:val="nil"/>
              <w:right w:val="nil"/>
            </w:tcBorders>
          </w:tcPr>
          <w:p w14:paraId="4A7CA3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(-6.994)</w:t>
            </w:r>
          </w:p>
        </w:tc>
        <w:tc>
          <w:tcPr>
            <w:tcW w:w="707" w:type="pct"/>
            <w:tcBorders>
              <w:top w:val="nil"/>
              <w:left w:val="nil"/>
              <w:bottom w:val="nil"/>
              <w:right w:val="nil"/>
            </w:tcBorders>
          </w:tcPr>
          <w:p w14:paraId="2A96ED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(0.368)</w:t>
            </w:r>
          </w:p>
        </w:tc>
        <w:tc>
          <w:tcPr>
            <w:tcW w:w="772" w:type="pct"/>
            <w:tcBorders>
              <w:top w:val="nil"/>
              <w:left w:val="nil"/>
              <w:bottom w:val="nil"/>
              <w:right w:val="nil"/>
            </w:tcBorders>
          </w:tcPr>
          <w:p w14:paraId="7B0F40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(1.024)</w:t>
            </w:r>
          </w:p>
        </w:tc>
      </w:tr>
      <w:tr w:rsidR="00F00E3D" w:rsidRPr="00335312" w14:paraId="01987B10" w14:textId="77777777" w:rsidTr="009B2FA7">
        <w:trPr>
          <w:jc w:val="center"/>
        </w:trPr>
        <w:tc>
          <w:tcPr>
            <w:tcW w:w="923" w:type="pct"/>
            <w:tcBorders>
              <w:top w:val="nil"/>
              <w:left w:val="nil"/>
              <w:bottom w:val="nil"/>
              <w:right w:val="nil"/>
            </w:tcBorders>
          </w:tcPr>
          <w:p w14:paraId="7CD768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bedrooms</w:t>
            </w:r>
          </w:p>
        </w:tc>
        <w:tc>
          <w:tcPr>
            <w:tcW w:w="545" w:type="pct"/>
            <w:tcBorders>
              <w:top w:val="nil"/>
              <w:left w:val="nil"/>
              <w:bottom w:val="nil"/>
              <w:right w:val="nil"/>
            </w:tcBorders>
          </w:tcPr>
          <w:p w14:paraId="6EBED2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0.126***</w:t>
            </w:r>
          </w:p>
        </w:tc>
        <w:tc>
          <w:tcPr>
            <w:tcW w:w="844" w:type="pct"/>
            <w:tcBorders>
              <w:top w:val="nil"/>
              <w:left w:val="nil"/>
              <w:bottom w:val="nil"/>
              <w:right w:val="nil"/>
            </w:tcBorders>
          </w:tcPr>
          <w:p w14:paraId="29A6D8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0.216***</w:t>
            </w:r>
          </w:p>
        </w:tc>
        <w:tc>
          <w:tcPr>
            <w:tcW w:w="1209" w:type="pct"/>
            <w:tcBorders>
              <w:top w:val="nil"/>
              <w:left w:val="nil"/>
              <w:bottom w:val="nil"/>
              <w:right w:val="nil"/>
            </w:tcBorders>
          </w:tcPr>
          <w:p w14:paraId="00CE6ED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0.169***</w:t>
            </w:r>
          </w:p>
        </w:tc>
        <w:tc>
          <w:tcPr>
            <w:tcW w:w="707" w:type="pct"/>
            <w:tcBorders>
              <w:top w:val="nil"/>
              <w:left w:val="nil"/>
              <w:bottom w:val="nil"/>
              <w:right w:val="nil"/>
            </w:tcBorders>
          </w:tcPr>
          <w:p w14:paraId="0A8005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0.0996***</w:t>
            </w:r>
          </w:p>
        </w:tc>
        <w:tc>
          <w:tcPr>
            <w:tcW w:w="772" w:type="pct"/>
            <w:tcBorders>
              <w:top w:val="nil"/>
              <w:left w:val="nil"/>
              <w:bottom w:val="nil"/>
              <w:right w:val="nil"/>
            </w:tcBorders>
          </w:tcPr>
          <w:p w14:paraId="6C688A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0.104***</w:t>
            </w:r>
          </w:p>
        </w:tc>
      </w:tr>
      <w:tr w:rsidR="00F00E3D" w:rsidRPr="00335312" w14:paraId="4C5E7B49" w14:textId="77777777" w:rsidTr="009B2FA7">
        <w:trPr>
          <w:jc w:val="center"/>
        </w:trPr>
        <w:tc>
          <w:tcPr>
            <w:tcW w:w="923" w:type="pct"/>
            <w:tcBorders>
              <w:top w:val="nil"/>
              <w:left w:val="nil"/>
              <w:bottom w:val="nil"/>
              <w:right w:val="nil"/>
            </w:tcBorders>
          </w:tcPr>
          <w:p w14:paraId="51B5CE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45" w:type="pct"/>
            <w:tcBorders>
              <w:top w:val="nil"/>
              <w:left w:val="nil"/>
              <w:bottom w:val="nil"/>
              <w:right w:val="nil"/>
            </w:tcBorders>
          </w:tcPr>
          <w:p w14:paraId="46B7863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(18.05)</w:t>
            </w:r>
          </w:p>
        </w:tc>
        <w:tc>
          <w:tcPr>
            <w:tcW w:w="844" w:type="pct"/>
            <w:tcBorders>
              <w:top w:val="nil"/>
              <w:left w:val="nil"/>
              <w:bottom w:val="nil"/>
              <w:right w:val="nil"/>
            </w:tcBorders>
          </w:tcPr>
          <w:p w14:paraId="09A493B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(5.576)</w:t>
            </w:r>
          </w:p>
        </w:tc>
        <w:tc>
          <w:tcPr>
            <w:tcW w:w="1209" w:type="pct"/>
            <w:tcBorders>
              <w:top w:val="nil"/>
              <w:left w:val="nil"/>
              <w:bottom w:val="nil"/>
              <w:right w:val="nil"/>
            </w:tcBorders>
          </w:tcPr>
          <w:p w14:paraId="09C2D1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(12.07)</w:t>
            </w:r>
          </w:p>
        </w:tc>
        <w:tc>
          <w:tcPr>
            <w:tcW w:w="707" w:type="pct"/>
            <w:tcBorders>
              <w:top w:val="nil"/>
              <w:left w:val="nil"/>
              <w:bottom w:val="nil"/>
              <w:right w:val="nil"/>
            </w:tcBorders>
          </w:tcPr>
          <w:p w14:paraId="11EB2F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(7.958)</w:t>
            </w:r>
          </w:p>
        </w:tc>
        <w:tc>
          <w:tcPr>
            <w:tcW w:w="772" w:type="pct"/>
            <w:tcBorders>
              <w:top w:val="nil"/>
              <w:left w:val="nil"/>
              <w:bottom w:val="nil"/>
              <w:right w:val="nil"/>
            </w:tcBorders>
          </w:tcPr>
          <w:p w14:paraId="069991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(5.346)</w:t>
            </w:r>
          </w:p>
        </w:tc>
      </w:tr>
      <w:tr w:rsidR="00F00E3D" w:rsidRPr="00335312" w14:paraId="5EE86FA7" w14:textId="77777777" w:rsidTr="009B2FA7">
        <w:trPr>
          <w:jc w:val="center"/>
        </w:trPr>
        <w:tc>
          <w:tcPr>
            <w:tcW w:w="923" w:type="pct"/>
            <w:tcBorders>
              <w:top w:val="nil"/>
              <w:left w:val="nil"/>
              <w:bottom w:val="nil"/>
              <w:right w:val="nil"/>
            </w:tcBorders>
          </w:tcPr>
          <w:p w14:paraId="5FAC78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baths</w:t>
            </w:r>
          </w:p>
        </w:tc>
        <w:tc>
          <w:tcPr>
            <w:tcW w:w="545" w:type="pct"/>
            <w:tcBorders>
              <w:top w:val="nil"/>
              <w:left w:val="nil"/>
              <w:bottom w:val="nil"/>
              <w:right w:val="nil"/>
            </w:tcBorders>
          </w:tcPr>
          <w:p w14:paraId="7684D2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0.143***</w:t>
            </w:r>
          </w:p>
        </w:tc>
        <w:tc>
          <w:tcPr>
            <w:tcW w:w="844" w:type="pct"/>
            <w:tcBorders>
              <w:top w:val="nil"/>
              <w:left w:val="nil"/>
              <w:bottom w:val="nil"/>
              <w:right w:val="nil"/>
            </w:tcBorders>
          </w:tcPr>
          <w:p w14:paraId="608950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0.202***</w:t>
            </w:r>
          </w:p>
        </w:tc>
        <w:tc>
          <w:tcPr>
            <w:tcW w:w="1209" w:type="pct"/>
            <w:tcBorders>
              <w:top w:val="nil"/>
              <w:left w:val="nil"/>
              <w:bottom w:val="nil"/>
              <w:right w:val="nil"/>
            </w:tcBorders>
          </w:tcPr>
          <w:p w14:paraId="0ED1D6D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0.166***</w:t>
            </w:r>
          </w:p>
        </w:tc>
        <w:tc>
          <w:tcPr>
            <w:tcW w:w="707" w:type="pct"/>
            <w:tcBorders>
              <w:top w:val="nil"/>
              <w:left w:val="nil"/>
              <w:bottom w:val="nil"/>
              <w:right w:val="nil"/>
            </w:tcBorders>
          </w:tcPr>
          <w:p w14:paraId="232B22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0.144***</w:t>
            </w:r>
          </w:p>
        </w:tc>
        <w:tc>
          <w:tcPr>
            <w:tcW w:w="772" w:type="pct"/>
            <w:tcBorders>
              <w:top w:val="nil"/>
              <w:left w:val="nil"/>
              <w:bottom w:val="nil"/>
              <w:right w:val="nil"/>
            </w:tcBorders>
          </w:tcPr>
          <w:p w14:paraId="48C594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0.0318</w:t>
            </w:r>
          </w:p>
        </w:tc>
      </w:tr>
      <w:tr w:rsidR="00F00E3D" w:rsidRPr="00335312" w14:paraId="0917B291" w14:textId="77777777" w:rsidTr="009B2FA7">
        <w:trPr>
          <w:jc w:val="center"/>
        </w:trPr>
        <w:tc>
          <w:tcPr>
            <w:tcW w:w="923" w:type="pct"/>
            <w:tcBorders>
              <w:top w:val="nil"/>
              <w:left w:val="nil"/>
              <w:bottom w:val="nil"/>
              <w:right w:val="nil"/>
            </w:tcBorders>
          </w:tcPr>
          <w:p w14:paraId="161034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45" w:type="pct"/>
            <w:tcBorders>
              <w:top w:val="nil"/>
              <w:left w:val="nil"/>
              <w:bottom w:val="nil"/>
              <w:right w:val="nil"/>
            </w:tcBorders>
          </w:tcPr>
          <w:p w14:paraId="06C2D1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(20.62)</w:t>
            </w:r>
          </w:p>
        </w:tc>
        <w:tc>
          <w:tcPr>
            <w:tcW w:w="844" w:type="pct"/>
            <w:tcBorders>
              <w:top w:val="nil"/>
              <w:left w:val="nil"/>
              <w:bottom w:val="nil"/>
              <w:right w:val="nil"/>
            </w:tcBorders>
          </w:tcPr>
          <w:p w14:paraId="7AF896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(9.724)</w:t>
            </w:r>
          </w:p>
        </w:tc>
        <w:tc>
          <w:tcPr>
            <w:tcW w:w="1209" w:type="pct"/>
            <w:tcBorders>
              <w:top w:val="nil"/>
              <w:left w:val="nil"/>
              <w:bottom w:val="nil"/>
              <w:right w:val="nil"/>
            </w:tcBorders>
          </w:tcPr>
          <w:p w14:paraId="2DA6D0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(17.84)</w:t>
            </w:r>
          </w:p>
        </w:tc>
        <w:tc>
          <w:tcPr>
            <w:tcW w:w="707" w:type="pct"/>
            <w:tcBorders>
              <w:top w:val="nil"/>
              <w:left w:val="nil"/>
              <w:bottom w:val="nil"/>
              <w:right w:val="nil"/>
            </w:tcBorders>
          </w:tcPr>
          <w:p w14:paraId="73951F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(8.699)</w:t>
            </w:r>
          </w:p>
        </w:tc>
        <w:tc>
          <w:tcPr>
            <w:tcW w:w="772" w:type="pct"/>
            <w:tcBorders>
              <w:top w:val="nil"/>
              <w:left w:val="nil"/>
              <w:bottom w:val="nil"/>
              <w:right w:val="nil"/>
            </w:tcBorders>
          </w:tcPr>
          <w:p w14:paraId="3AEF4AD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(1.049)</w:t>
            </w:r>
          </w:p>
        </w:tc>
      </w:tr>
      <w:tr w:rsidR="00F00E3D" w:rsidRPr="00335312" w14:paraId="19F21E70" w14:textId="77777777" w:rsidTr="009B2FA7">
        <w:trPr>
          <w:jc w:val="center"/>
        </w:trPr>
        <w:tc>
          <w:tcPr>
            <w:tcW w:w="923" w:type="pct"/>
            <w:tcBorders>
              <w:top w:val="nil"/>
              <w:left w:val="nil"/>
              <w:bottom w:val="nil"/>
              <w:right w:val="nil"/>
            </w:tcBorders>
          </w:tcPr>
          <w:p w14:paraId="6D2A13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parking</w:t>
            </w:r>
          </w:p>
        </w:tc>
        <w:tc>
          <w:tcPr>
            <w:tcW w:w="545" w:type="pct"/>
            <w:tcBorders>
              <w:top w:val="nil"/>
              <w:left w:val="nil"/>
              <w:bottom w:val="nil"/>
              <w:right w:val="nil"/>
            </w:tcBorders>
          </w:tcPr>
          <w:p w14:paraId="023E09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w:t>
            </w:r>
          </w:p>
        </w:tc>
        <w:tc>
          <w:tcPr>
            <w:tcW w:w="844" w:type="pct"/>
            <w:tcBorders>
              <w:top w:val="nil"/>
              <w:left w:val="nil"/>
              <w:bottom w:val="nil"/>
              <w:right w:val="nil"/>
            </w:tcBorders>
          </w:tcPr>
          <w:p w14:paraId="2108133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0.0218</w:t>
            </w:r>
          </w:p>
        </w:tc>
        <w:tc>
          <w:tcPr>
            <w:tcW w:w="1209" w:type="pct"/>
            <w:tcBorders>
              <w:top w:val="nil"/>
              <w:left w:val="nil"/>
              <w:bottom w:val="nil"/>
              <w:right w:val="nil"/>
            </w:tcBorders>
          </w:tcPr>
          <w:p w14:paraId="4DD6EF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0.0261***</w:t>
            </w:r>
          </w:p>
        </w:tc>
        <w:tc>
          <w:tcPr>
            <w:tcW w:w="707" w:type="pct"/>
            <w:tcBorders>
              <w:top w:val="nil"/>
              <w:left w:val="nil"/>
              <w:bottom w:val="nil"/>
              <w:right w:val="nil"/>
            </w:tcBorders>
          </w:tcPr>
          <w:p w14:paraId="49BCE6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0.0263***</w:t>
            </w:r>
          </w:p>
        </w:tc>
        <w:tc>
          <w:tcPr>
            <w:tcW w:w="772" w:type="pct"/>
            <w:tcBorders>
              <w:top w:val="nil"/>
              <w:left w:val="nil"/>
              <w:bottom w:val="nil"/>
              <w:right w:val="nil"/>
            </w:tcBorders>
          </w:tcPr>
          <w:p w14:paraId="6EF3CC5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0.0172***</w:t>
            </w:r>
          </w:p>
        </w:tc>
      </w:tr>
      <w:tr w:rsidR="00F00E3D" w:rsidRPr="00335312" w14:paraId="7F13866A" w14:textId="77777777" w:rsidTr="009B2FA7">
        <w:trPr>
          <w:jc w:val="center"/>
        </w:trPr>
        <w:tc>
          <w:tcPr>
            <w:tcW w:w="923" w:type="pct"/>
            <w:tcBorders>
              <w:top w:val="nil"/>
              <w:left w:val="nil"/>
              <w:bottom w:val="nil"/>
              <w:right w:val="nil"/>
            </w:tcBorders>
          </w:tcPr>
          <w:p w14:paraId="78866E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45" w:type="pct"/>
            <w:tcBorders>
              <w:top w:val="nil"/>
              <w:left w:val="nil"/>
              <w:bottom w:val="nil"/>
              <w:right w:val="nil"/>
            </w:tcBorders>
          </w:tcPr>
          <w:p w14:paraId="584821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(7.466)</w:t>
            </w:r>
          </w:p>
        </w:tc>
        <w:tc>
          <w:tcPr>
            <w:tcW w:w="844" w:type="pct"/>
            <w:tcBorders>
              <w:top w:val="nil"/>
              <w:left w:val="nil"/>
              <w:bottom w:val="nil"/>
              <w:right w:val="nil"/>
            </w:tcBorders>
          </w:tcPr>
          <w:p w14:paraId="624278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(0.888)</w:t>
            </w:r>
          </w:p>
        </w:tc>
        <w:tc>
          <w:tcPr>
            <w:tcW w:w="1209" w:type="pct"/>
            <w:tcBorders>
              <w:top w:val="nil"/>
              <w:left w:val="nil"/>
              <w:bottom w:val="nil"/>
              <w:right w:val="nil"/>
            </w:tcBorders>
          </w:tcPr>
          <w:p w14:paraId="2B0517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(2.992)</w:t>
            </w:r>
          </w:p>
        </w:tc>
        <w:tc>
          <w:tcPr>
            <w:tcW w:w="707" w:type="pct"/>
            <w:tcBorders>
              <w:top w:val="nil"/>
              <w:left w:val="nil"/>
              <w:bottom w:val="nil"/>
              <w:right w:val="nil"/>
            </w:tcBorders>
          </w:tcPr>
          <w:p w14:paraId="7D6025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(5.746)</w:t>
            </w:r>
          </w:p>
        </w:tc>
        <w:tc>
          <w:tcPr>
            <w:tcW w:w="772" w:type="pct"/>
            <w:tcBorders>
              <w:top w:val="nil"/>
              <w:left w:val="nil"/>
              <w:bottom w:val="nil"/>
              <w:right w:val="nil"/>
            </w:tcBorders>
          </w:tcPr>
          <w:p w14:paraId="6C832A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(3.160)</w:t>
            </w:r>
          </w:p>
        </w:tc>
      </w:tr>
      <w:tr w:rsidR="00F00E3D" w:rsidRPr="00335312" w14:paraId="1B5EF2D6" w14:textId="77777777" w:rsidTr="009B2FA7">
        <w:trPr>
          <w:jc w:val="center"/>
        </w:trPr>
        <w:tc>
          <w:tcPr>
            <w:tcW w:w="923" w:type="pct"/>
            <w:tcBorders>
              <w:top w:val="nil"/>
              <w:left w:val="nil"/>
              <w:bottom w:val="nil"/>
              <w:right w:val="nil"/>
            </w:tcBorders>
          </w:tcPr>
          <w:p w14:paraId="2B187E2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LogCBDDistance</w:t>
            </w:r>
          </w:p>
        </w:tc>
        <w:tc>
          <w:tcPr>
            <w:tcW w:w="545" w:type="pct"/>
            <w:tcBorders>
              <w:top w:val="nil"/>
              <w:left w:val="nil"/>
              <w:bottom w:val="nil"/>
              <w:right w:val="nil"/>
            </w:tcBorders>
          </w:tcPr>
          <w:p w14:paraId="65AB87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-0.0800*</w:t>
            </w:r>
          </w:p>
        </w:tc>
        <w:tc>
          <w:tcPr>
            <w:tcW w:w="844" w:type="pct"/>
            <w:tcBorders>
              <w:top w:val="nil"/>
              <w:left w:val="nil"/>
              <w:bottom w:val="nil"/>
              <w:right w:val="nil"/>
            </w:tcBorders>
          </w:tcPr>
          <w:p w14:paraId="008AD4C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0.0105</w:t>
            </w:r>
          </w:p>
        </w:tc>
        <w:tc>
          <w:tcPr>
            <w:tcW w:w="1209" w:type="pct"/>
            <w:tcBorders>
              <w:top w:val="nil"/>
              <w:left w:val="nil"/>
              <w:bottom w:val="nil"/>
              <w:right w:val="nil"/>
            </w:tcBorders>
          </w:tcPr>
          <w:p w14:paraId="6910F6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-0.0527</w:t>
            </w:r>
          </w:p>
        </w:tc>
        <w:tc>
          <w:tcPr>
            <w:tcW w:w="707" w:type="pct"/>
            <w:tcBorders>
              <w:top w:val="nil"/>
              <w:left w:val="nil"/>
              <w:bottom w:val="nil"/>
              <w:right w:val="nil"/>
            </w:tcBorders>
          </w:tcPr>
          <w:p w14:paraId="4AD759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-0.243***</w:t>
            </w:r>
          </w:p>
        </w:tc>
        <w:tc>
          <w:tcPr>
            <w:tcW w:w="772" w:type="pct"/>
            <w:tcBorders>
              <w:top w:val="nil"/>
              <w:left w:val="nil"/>
              <w:bottom w:val="nil"/>
              <w:right w:val="nil"/>
            </w:tcBorders>
          </w:tcPr>
          <w:p w14:paraId="42A3A7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-0.640</w:t>
            </w:r>
          </w:p>
        </w:tc>
      </w:tr>
      <w:tr w:rsidR="00F00E3D" w:rsidRPr="00335312" w14:paraId="5A8FFCA7" w14:textId="77777777" w:rsidTr="009B2FA7">
        <w:trPr>
          <w:jc w:val="center"/>
        </w:trPr>
        <w:tc>
          <w:tcPr>
            <w:tcW w:w="923" w:type="pct"/>
            <w:tcBorders>
              <w:top w:val="nil"/>
              <w:left w:val="nil"/>
              <w:bottom w:val="nil"/>
              <w:right w:val="nil"/>
            </w:tcBorders>
          </w:tcPr>
          <w:p w14:paraId="2496BA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45" w:type="pct"/>
            <w:tcBorders>
              <w:top w:val="nil"/>
              <w:left w:val="nil"/>
              <w:bottom w:val="nil"/>
              <w:right w:val="nil"/>
            </w:tcBorders>
          </w:tcPr>
          <w:p w14:paraId="458A54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(-1.758)</w:t>
            </w:r>
          </w:p>
        </w:tc>
        <w:tc>
          <w:tcPr>
            <w:tcW w:w="844" w:type="pct"/>
            <w:tcBorders>
              <w:top w:val="nil"/>
              <w:left w:val="nil"/>
              <w:bottom w:val="nil"/>
              <w:right w:val="nil"/>
            </w:tcBorders>
          </w:tcPr>
          <w:p w14:paraId="66EA94E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(0.137)</w:t>
            </w:r>
          </w:p>
        </w:tc>
        <w:tc>
          <w:tcPr>
            <w:tcW w:w="1209" w:type="pct"/>
            <w:tcBorders>
              <w:top w:val="nil"/>
              <w:left w:val="nil"/>
              <w:bottom w:val="nil"/>
              <w:right w:val="nil"/>
            </w:tcBorders>
          </w:tcPr>
          <w:p w14:paraId="505EF7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(-0.912)</w:t>
            </w:r>
          </w:p>
        </w:tc>
        <w:tc>
          <w:tcPr>
            <w:tcW w:w="707" w:type="pct"/>
            <w:tcBorders>
              <w:top w:val="nil"/>
              <w:left w:val="nil"/>
              <w:bottom w:val="nil"/>
              <w:right w:val="nil"/>
            </w:tcBorders>
          </w:tcPr>
          <w:p w14:paraId="663B49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(-2.629)</w:t>
            </w:r>
          </w:p>
        </w:tc>
        <w:tc>
          <w:tcPr>
            <w:tcW w:w="772" w:type="pct"/>
            <w:tcBorders>
              <w:top w:val="nil"/>
              <w:left w:val="nil"/>
              <w:bottom w:val="nil"/>
              <w:right w:val="nil"/>
            </w:tcBorders>
          </w:tcPr>
          <w:p w14:paraId="0B83CE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(-0.788)</w:t>
            </w:r>
          </w:p>
        </w:tc>
      </w:tr>
      <w:tr w:rsidR="00F00E3D" w:rsidRPr="00335312" w14:paraId="1EE179EF" w14:textId="77777777" w:rsidTr="009B2FA7">
        <w:trPr>
          <w:jc w:val="center"/>
        </w:trPr>
        <w:tc>
          <w:tcPr>
            <w:tcW w:w="923" w:type="pct"/>
            <w:tcBorders>
              <w:top w:val="nil"/>
              <w:left w:val="nil"/>
              <w:bottom w:val="nil"/>
              <w:right w:val="nil"/>
            </w:tcBorders>
          </w:tcPr>
          <w:p w14:paraId="60DC881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Constant</w:t>
            </w:r>
          </w:p>
        </w:tc>
        <w:tc>
          <w:tcPr>
            <w:tcW w:w="545" w:type="pct"/>
            <w:tcBorders>
              <w:top w:val="nil"/>
              <w:left w:val="nil"/>
              <w:bottom w:val="nil"/>
              <w:right w:val="nil"/>
            </w:tcBorders>
          </w:tcPr>
          <w:p w14:paraId="075D59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5.773***</w:t>
            </w:r>
          </w:p>
        </w:tc>
        <w:tc>
          <w:tcPr>
            <w:tcW w:w="844" w:type="pct"/>
            <w:tcBorders>
              <w:top w:val="nil"/>
              <w:left w:val="nil"/>
              <w:bottom w:val="nil"/>
              <w:right w:val="nil"/>
            </w:tcBorders>
          </w:tcPr>
          <w:p w14:paraId="2337F0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5.985***</w:t>
            </w:r>
          </w:p>
        </w:tc>
        <w:tc>
          <w:tcPr>
            <w:tcW w:w="1209" w:type="pct"/>
            <w:tcBorders>
              <w:top w:val="nil"/>
              <w:left w:val="nil"/>
              <w:bottom w:val="nil"/>
              <w:right w:val="nil"/>
            </w:tcBorders>
          </w:tcPr>
          <w:p w14:paraId="341A34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5.874***</w:t>
            </w:r>
          </w:p>
        </w:tc>
        <w:tc>
          <w:tcPr>
            <w:tcW w:w="707" w:type="pct"/>
            <w:tcBorders>
              <w:top w:val="nil"/>
              <w:left w:val="nil"/>
              <w:bottom w:val="nil"/>
              <w:right w:val="nil"/>
            </w:tcBorders>
          </w:tcPr>
          <w:p w14:paraId="6C66CA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5.178***</w:t>
            </w:r>
          </w:p>
        </w:tc>
        <w:tc>
          <w:tcPr>
            <w:tcW w:w="772" w:type="pct"/>
            <w:tcBorders>
              <w:top w:val="nil"/>
              <w:left w:val="nil"/>
              <w:bottom w:val="nil"/>
              <w:right w:val="nil"/>
            </w:tcBorders>
          </w:tcPr>
          <w:p w14:paraId="3E780E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5.494***</w:t>
            </w:r>
          </w:p>
        </w:tc>
      </w:tr>
      <w:tr w:rsidR="00F00E3D" w:rsidRPr="00335312" w14:paraId="521BC9F1" w14:textId="77777777" w:rsidTr="009B2FA7">
        <w:trPr>
          <w:jc w:val="center"/>
        </w:trPr>
        <w:tc>
          <w:tcPr>
            <w:tcW w:w="923" w:type="pct"/>
            <w:tcBorders>
              <w:top w:val="nil"/>
              <w:left w:val="nil"/>
              <w:bottom w:val="nil"/>
              <w:right w:val="nil"/>
            </w:tcBorders>
          </w:tcPr>
          <w:p w14:paraId="4B0F85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45" w:type="pct"/>
            <w:tcBorders>
              <w:top w:val="nil"/>
              <w:left w:val="nil"/>
              <w:bottom w:val="nil"/>
              <w:right w:val="nil"/>
            </w:tcBorders>
          </w:tcPr>
          <w:p w14:paraId="2D81DB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(37.33)</w:t>
            </w:r>
          </w:p>
        </w:tc>
        <w:tc>
          <w:tcPr>
            <w:tcW w:w="844" w:type="pct"/>
            <w:tcBorders>
              <w:top w:val="nil"/>
              <w:left w:val="nil"/>
              <w:bottom w:val="nil"/>
              <w:right w:val="nil"/>
            </w:tcBorders>
          </w:tcPr>
          <w:p w14:paraId="69D10F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(29.10)</w:t>
            </w:r>
          </w:p>
        </w:tc>
        <w:tc>
          <w:tcPr>
            <w:tcW w:w="1209" w:type="pct"/>
            <w:tcBorders>
              <w:top w:val="nil"/>
              <w:left w:val="nil"/>
              <w:bottom w:val="nil"/>
              <w:right w:val="nil"/>
            </w:tcBorders>
          </w:tcPr>
          <w:p w14:paraId="144CD3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(31.94)</w:t>
            </w:r>
          </w:p>
        </w:tc>
        <w:tc>
          <w:tcPr>
            <w:tcW w:w="707" w:type="pct"/>
            <w:tcBorders>
              <w:top w:val="nil"/>
              <w:left w:val="nil"/>
              <w:bottom w:val="nil"/>
              <w:right w:val="nil"/>
            </w:tcBorders>
          </w:tcPr>
          <w:p w14:paraId="624D72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(22.64)</w:t>
            </w:r>
          </w:p>
        </w:tc>
        <w:tc>
          <w:tcPr>
            <w:tcW w:w="772" w:type="pct"/>
            <w:tcBorders>
              <w:top w:val="nil"/>
              <w:left w:val="nil"/>
              <w:bottom w:val="nil"/>
              <w:right w:val="nil"/>
            </w:tcBorders>
          </w:tcPr>
          <w:p w14:paraId="503667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w:t>
            </w:r>
          </w:p>
        </w:tc>
      </w:tr>
      <w:tr w:rsidR="00F00E3D" w:rsidRPr="00335312" w14:paraId="2CD0F1B8" w14:textId="77777777" w:rsidTr="009B2FA7">
        <w:trPr>
          <w:jc w:val="center"/>
        </w:trPr>
        <w:tc>
          <w:tcPr>
            <w:tcW w:w="923" w:type="pct"/>
            <w:tcBorders>
              <w:top w:val="nil"/>
              <w:left w:val="nil"/>
              <w:bottom w:val="nil"/>
              <w:right w:val="nil"/>
            </w:tcBorders>
          </w:tcPr>
          <w:p w14:paraId="0F1EFE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45" w:type="pct"/>
            <w:tcBorders>
              <w:top w:val="nil"/>
              <w:left w:val="nil"/>
              <w:bottom w:val="nil"/>
              <w:right w:val="nil"/>
            </w:tcBorders>
          </w:tcPr>
          <w:p w14:paraId="330A56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44" w:type="pct"/>
            <w:tcBorders>
              <w:top w:val="nil"/>
              <w:left w:val="nil"/>
              <w:bottom w:val="nil"/>
              <w:right w:val="nil"/>
            </w:tcBorders>
          </w:tcPr>
          <w:p w14:paraId="2EB478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1209" w:type="pct"/>
            <w:tcBorders>
              <w:top w:val="nil"/>
              <w:left w:val="nil"/>
              <w:bottom w:val="nil"/>
              <w:right w:val="nil"/>
            </w:tcBorders>
          </w:tcPr>
          <w:p w14:paraId="5C89CE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07" w:type="pct"/>
            <w:tcBorders>
              <w:top w:val="nil"/>
              <w:left w:val="nil"/>
              <w:bottom w:val="nil"/>
              <w:right w:val="nil"/>
            </w:tcBorders>
          </w:tcPr>
          <w:p w14:paraId="2DC0C9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72" w:type="pct"/>
            <w:tcBorders>
              <w:top w:val="nil"/>
              <w:left w:val="nil"/>
              <w:bottom w:val="nil"/>
              <w:right w:val="nil"/>
            </w:tcBorders>
          </w:tcPr>
          <w:p w14:paraId="57F353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421A4E22" w14:textId="77777777" w:rsidTr="009B2FA7">
        <w:trPr>
          <w:jc w:val="center"/>
        </w:trPr>
        <w:tc>
          <w:tcPr>
            <w:tcW w:w="923" w:type="pct"/>
            <w:tcBorders>
              <w:top w:val="nil"/>
              <w:left w:val="nil"/>
              <w:bottom w:val="nil"/>
              <w:right w:val="nil"/>
            </w:tcBorders>
          </w:tcPr>
          <w:p w14:paraId="66D5F3C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Observations</w:t>
            </w:r>
          </w:p>
        </w:tc>
        <w:tc>
          <w:tcPr>
            <w:tcW w:w="545" w:type="pct"/>
            <w:tcBorders>
              <w:top w:val="nil"/>
              <w:left w:val="nil"/>
              <w:bottom w:val="nil"/>
              <w:right w:val="nil"/>
            </w:tcBorders>
          </w:tcPr>
          <w:p w14:paraId="38F56A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335,694</w:t>
            </w:r>
          </w:p>
        </w:tc>
        <w:tc>
          <w:tcPr>
            <w:tcW w:w="844" w:type="pct"/>
            <w:tcBorders>
              <w:top w:val="nil"/>
              <w:left w:val="nil"/>
              <w:bottom w:val="nil"/>
              <w:right w:val="nil"/>
            </w:tcBorders>
          </w:tcPr>
          <w:p w14:paraId="3A021C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29,242</w:t>
            </w:r>
          </w:p>
        </w:tc>
        <w:tc>
          <w:tcPr>
            <w:tcW w:w="1209" w:type="pct"/>
            <w:tcBorders>
              <w:top w:val="nil"/>
              <w:left w:val="nil"/>
              <w:bottom w:val="nil"/>
              <w:right w:val="nil"/>
            </w:tcBorders>
          </w:tcPr>
          <w:p w14:paraId="7E1C13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102,548</w:t>
            </w:r>
          </w:p>
        </w:tc>
        <w:tc>
          <w:tcPr>
            <w:tcW w:w="707" w:type="pct"/>
            <w:tcBorders>
              <w:top w:val="nil"/>
              <w:left w:val="nil"/>
              <w:bottom w:val="nil"/>
              <w:right w:val="nil"/>
            </w:tcBorders>
          </w:tcPr>
          <w:p w14:paraId="163819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98,627</w:t>
            </w:r>
          </w:p>
        </w:tc>
        <w:tc>
          <w:tcPr>
            <w:tcW w:w="772" w:type="pct"/>
            <w:tcBorders>
              <w:top w:val="nil"/>
              <w:left w:val="nil"/>
              <w:bottom w:val="nil"/>
              <w:right w:val="nil"/>
            </w:tcBorders>
          </w:tcPr>
          <w:p w14:paraId="0133FA6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13,022</w:t>
            </w:r>
          </w:p>
        </w:tc>
      </w:tr>
      <w:tr w:rsidR="00F00E3D" w:rsidRPr="00335312" w14:paraId="632F6B4A" w14:textId="77777777" w:rsidTr="009B2FA7">
        <w:trPr>
          <w:jc w:val="center"/>
        </w:trPr>
        <w:tc>
          <w:tcPr>
            <w:tcW w:w="923" w:type="pct"/>
            <w:tcBorders>
              <w:top w:val="nil"/>
              <w:left w:val="nil"/>
              <w:bottom w:val="nil"/>
              <w:right w:val="nil"/>
            </w:tcBorders>
          </w:tcPr>
          <w:p w14:paraId="06344C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R-squared</w:t>
            </w:r>
          </w:p>
        </w:tc>
        <w:tc>
          <w:tcPr>
            <w:tcW w:w="545" w:type="pct"/>
            <w:tcBorders>
              <w:top w:val="nil"/>
              <w:left w:val="nil"/>
              <w:bottom w:val="nil"/>
              <w:right w:val="nil"/>
            </w:tcBorders>
          </w:tcPr>
          <w:p w14:paraId="1F7494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0.609</w:t>
            </w:r>
          </w:p>
        </w:tc>
        <w:tc>
          <w:tcPr>
            <w:tcW w:w="844" w:type="pct"/>
            <w:tcBorders>
              <w:top w:val="nil"/>
              <w:left w:val="nil"/>
              <w:bottom w:val="nil"/>
              <w:right w:val="nil"/>
            </w:tcBorders>
          </w:tcPr>
          <w:p w14:paraId="5681D9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0.605</w:t>
            </w:r>
          </w:p>
        </w:tc>
        <w:tc>
          <w:tcPr>
            <w:tcW w:w="1209" w:type="pct"/>
            <w:tcBorders>
              <w:top w:val="nil"/>
              <w:left w:val="nil"/>
              <w:bottom w:val="nil"/>
              <w:right w:val="nil"/>
            </w:tcBorders>
          </w:tcPr>
          <w:p w14:paraId="4E8CA2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0.618</w:t>
            </w:r>
          </w:p>
        </w:tc>
        <w:tc>
          <w:tcPr>
            <w:tcW w:w="707" w:type="pct"/>
            <w:tcBorders>
              <w:top w:val="nil"/>
              <w:left w:val="nil"/>
              <w:bottom w:val="nil"/>
              <w:right w:val="nil"/>
            </w:tcBorders>
          </w:tcPr>
          <w:p w14:paraId="043F0D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0.529</w:t>
            </w:r>
          </w:p>
        </w:tc>
        <w:tc>
          <w:tcPr>
            <w:tcW w:w="772" w:type="pct"/>
            <w:tcBorders>
              <w:top w:val="nil"/>
              <w:left w:val="nil"/>
              <w:bottom w:val="nil"/>
              <w:right w:val="nil"/>
            </w:tcBorders>
          </w:tcPr>
          <w:p w14:paraId="01F9B2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0.346</w:t>
            </w:r>
          </w:p>
        </w:tc>
      </w:tr>
      <w:tr w:rsidR="00F00E3D" w:rsidRPr="00335312" w14:paraId="3CB822C9" w14:textId="77777777" w:rsidTr="009B2FA7">
        <w:trPr>
          <w:jc w:val="center"/>
        </w:trPr>
        <w:tc>
          <w:tcPr>
            <w:tcW w:w="923" w:type="pct"/>
            <w:tcBorders>
              <w:top w:val="nil"/>
              <w:left w:val="nil"/>
              <w:bottom w:val="nil"/>
              <w:right w:val="nil"/>
            </w:tcBorders>
          </w:tcPr>
          <w:p w14:paraId="2D33F1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FE</w:t>
            </w:r>
          </w:p>
        </w:tc>
        <w:tc>
          <w:tcPr>
            <w:tcW w:w="545" w:type="pct"/>
            <w:tcBorders>
              <w:top w:val="nil"/>
              <w:left w:val="nil"/>
              <w:bottom w:val="nil"/>
              <w:right w:val="nil"/>
            </w:tcBorders>
          </w:tcPr>
          <w:p w14:paraId="3CBC9A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44" w:type="pct"/>
            <w:tcBorders>
              <w:top w:val="nil"/>
              <w:left w:val="nil"/>
              <w:bottom w:val="nil"/>
              <w:right w:val="nil"/>
            </w:tcBorders>
          </w:tcPr>
          <w:p w14:paraId="2A9101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209" w:type="pct"/>
            <w:tcBorders>
              <w:top w:val="nil"/>
              <w:left w:val="nil"/>
              <w:bottom w:val="nil"/>
              <w:right w:val="nil"/>
            </w:tcBorders>
          </w:tcPr>
          <w:p w14:paraId="17F129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07" w:type="pct"/>
            <w:tcBorders>
              <w:top w:val="nil"/>
              <w:left w:val="nil"/>
              <w:bottom w:val="nil"/>
              <w:right w:val="nil"/>
            </w:tcBorders>
          </w:tcPr>
          <w:p w14:paraId="19D167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72" w:type="pct"/>
            <w:tcBorders>
              <w:top w:val="nil"/>
              <w:left w:val="nil"/>
              <w:bottom w:val="nil"/>
              <w:right w:val="nil"/>
            </w:tcBorders>
          </w:tcPr>
          <w:p w14:paraId="11747BA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77C5A062" w14:textId="77777777" w:rsidTr="009B2FA7">
        <w:trPr>
          <w:jc w:val="center"/>
        </w:trPr>
        <w:tc>
          <w:tcPr>
            <w:tcW w:w="923" w:type="pct"/>
            <w:tcBorders>
              <w:top w:val="nil"/>
              <w:left w:val="nil"/>
              <w:bottom w:val="nil"/>
              <w:right w:val="nil"/>
            </w:tcBorders>
          </w:tcPr>
          <w:p w14:paraId="7F1B5B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SE Cluster</w:t>
            </w:r>
          </w:p>
        </w:tc>
        <w:tc>
          <w:tcPr>
            <w:tcW w:w="545" w:type="pct"/>
            <w:tcBorders>
              <w:top w:val="nil"/>
              <w:left w:val="nil"/>
              <w:bottom w:val="nil"/>
              <w:right w:val="nil"/>
            </w:tcBorders>
          </w:tcPr>
          <w:p w14:paraId="579404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44" w:type="pct"/>
            <w:tcBorders>
              <w:top w:val="nil"/>
              <w:left w:val="nil"/>
              <w:bottom w:val="nil"/>
              <w:right w:val="nil"/>
            </w:tcBorders>
          </w:tcPr>
          <w:p w14:paraId="648103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209" w:type="pct"/>
            <w:tcBorders>
              <w:top w:val="nil"/>
              <w:left w:val="nil"/>
              <w:bottom w:val="nil"/>
              <w:right w:val="nil"/>
            </w:tcBorders>
          </w:tcPr>
          <w:p w14:paraId="445FD12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07" w:type="pct"/>
            <w:tcBorders>
              <w:top w:val="nil"/>
              <w:left w:val="nil"/>
              <w:bottom w:val="nil"/>
              <w:right w:val="nil"/>
            </w:tcBorders>
          </w:tcPr>
          <w:p w14:paraId="2AE7E2E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72" w:type="pct"/>
            <w:tcBorders>
              <w:top w:val="nil"/>
              <w:left w:val="nil"/>
              <w:bottom w:val="nil"/>
              <w:right w:val="nil"/>
            </w:tcBorders>
          </w:tcPr>
          <w:p w14:paraId="1CF82C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0C120057" w14:textId="77777777" w:rsidTr="009B2FA7">
        <w:trPr>
          <w:jc w:val="center"/>
        </w:trPr>
        <w:tc>
          <w:tcPr>
            <w:tcW w:w="923" w:type="pct"/>
            <w:tcBorders>
              <w:top w:val="nil"/>
              <w:left w:val="nil"/>
              <w:bottom w:val="nil"/>
              <w:right w:val="nil"/>
            </w:tcBorders>
          </w:tcPr>
          <w:p w14:paraId="73A6BE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Year FE</w:t>
            </w:r>
          </w:p>
        </w:tc>
        <w:tc>
          <w:tcPr>
            <w:tcW w:w="545" w:type="pct"/>
            <w:tcBorders>
              <w:top w:val="nil"/>
              <w:left w:val="nil"/>
              <w:bottom w:val="nil"/>
              <w:right w:val="nil"/>
            </w:tcBorders>
          </w:tcPr>
          <w:p w14:paraId="5EE121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44" w:type="pct"/>
            <w:tcBorders>
              <w:top w:val="nil"/>
              <w:left w:val="nil"/>
              <w:bottom w:val="nil"/>
              <w:right w:val="nil"/>
            </w:tcBorders>
          </w:tcPr>
          <w:p w14:paraId="7DDA2A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209" w:type="pct"/>
            <w:tcBorders>
              <w:top w:val="nil"/>
              <w:left w:val="nil"/>
              <w:bottom w:val="nil"/>
              <w:right w:val="nil"/>
            </w:tcBorders>
          </w:tcPr>
          <w:p w14:paraId="35ACEF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07" w:type="pct"/>
            <w:tcBorders>
              <w:top w:val="nil"/>
              <w:left w:val="nil"/>
              <w:bottom w:val="nil"/>
              <w:right w:val="nil"/>
            </w:tcBorders>
          </w:tcPr>
          <w:p w14:paraId="465ADD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72" w:type="pct"/>
            <w:tcBorders>
              <w:top w:val="nil"/>
              <w:left w:val="nil"/>
              <w:bottom w:val="nil"/>
              <w:right w:val="nil"/>
            </w:tcBorders>
          </w:tcPr>
          <w:p w14:paraId="26EA78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75526DB9" w14:textId="77777777" w:rsidTr="009B2FA7">
        <w:tblPrEx>
          <w:tblBorders>
            <w:bottom w:val="single" w:sz="6" w:space="0" w:color="auto"/>
          </w:tblBorders>
        </w:tblPrEx>
        <w:trPr>
          <w:jc w:val="center"/>
        </w:trPr>
        <w:tc>
          <w:tcPr>
            <w:tcW w:w="923" w:type="pct"/>
            <w:tcBorders>
              <w:top w:val="nil"/>
              <w:left w:val="nil"/>
              <w:bottom w:val="single" w:sz="6" w:space="0" w:color="auto"/>
              <w:right w:val="nil"/>
            </w:tcBorders>
          </w:tcPr>
          <w:p w14:paraId="29A3CB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Month FE</w:t>
            </w:r>
          </w:p>
        </w:tc>
        <w:tc>
          <w:tcPr>
            <w:tcW w:w="545" w:type="pct"/>
            <w:tcBorders>
              <w:top w:val="nil"/>
              <w:left w:val="nil"/>
              <w:bottom w:val="single" w:sz="6" w:space="0" w:color="auto"/>
              <w:right w:val="nil"/>
            </w:tcBorders>
          </w:tcPr>
          <w:p w14:paraId="0BCFE6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44" w:type="pct"/>
            <w:tcBorders>
              <w:top w:val="nil"/>
              <w:left w:val="nil"/>
              <w:bottom w:val="single" w:sz="6" w:space="0" w:color="auto"/>
              <w:right w:val="nil"/>
            </w:tcBorders>
          </w:tcPr>
          <w:p w14:paraId="41D6FFD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209" w:type="pct"/>
            <w:tcBorders>
              <w:top w:val="nil"/>
              <w:left w:val="nil"/>
              <w:bottom w:val="single" w:sz="6" w:space="0" w:color="auto"/>
              <w:right w:val="nil"/>
            </w:tcBorders>
          </w:tcPr>
          <w:p w14:paraId="70210C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07" w:type="pct"/>
            <w:tcBorders>
              <w:top w:val="nil"/>
              <w:left w:val="nil"/>
              <w:bottom w:val="single" w:sz="6" w:space="0" w:color="auto"/>
              <w:right w:val="nil"/>
            </w:tcBorders>
          </w:tcPr>
          <w:p w14:paraId="3EFADB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72" w:type="pct"/>
            <w:tcBorders>
              <w:top w:val="nil"/>
              <w:left w:val="nil"/>
              <w:bottom w:val="single" w:sz="6" w:space="0" w:color="auto"/>
              <w:right w:val="nil"/>
            </w:tcBorders>
          </w:tcPr>
          <w:p w14:paraId="38C4EA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bl>
    <w:p w14:paraId="76483CFA" w14:textId="77777777" w:rsidR="00F00E3D" w:rsidRPr="00335312" w:rsidRDefault="00F00E3D" w:rsidP="002C52A2">
      <w:pPr>
        <w:spacing w:after="0" w:line="240" w:lineRule="auto"/>
        <w:rPr>
          <w:rFonts w:asciiTheme="majorHAnsi" w:hAnsiTheme="majorHAnsi" w:cstheme="majorHAnsi"/>
          <w:sz w:val="20"/>
          <w:szCs w:val="20"/>
        </w:rPr>
      </w:pPr>
    </w:p>
    <w:p w14:paraId="4C583CE1" w14:textId="77777777" w:rsidR="00F00E3D" w:rsidRPr="00335312" w:rsidRDefault="00F00E3D" w:rsidP="002C52A2">
      <w:pPr>
        <w:spacing w:after="0" w:line="240" w:lineRule="auto"/>
        <w:rPr>
          <w:rFonts w:asciiTheme="majorHAnsi" w:hAnsiTheme="majorHAnsi" w:cstheme="majorHAnsi"/>
          <w:sz w:val="20"/>
          <w:szCs w:val="20"/>
        </w:rPr>
      </w:pPr>
      <w:r w:rsidRPr="00335312">
        <w:rPr>
          <w:rFonts w:asciiTheme="majorHAnsi" w:hAnsiTheme="majorHAnsi" w:cstheme="majorHAnsi"/>
          <w:sz w:val="20"/>
          <w:szCs w:val="20"/>
        </w:rPr>
        <w:t>Panel. D Unit Rental Sample</w:t>
      </w:r>
    </w:p>
    <w:tbl>
      <w:tblPr>
        <w:tblW w:w="5000" w:type="pct"/>
        <w:jc w:val="center"/>
        <w:tblCellMar>
          <w:left w:w="75" w:type="dxa"/>
          <w:right w:w="75" w:type="dxa"/>
        </w:tblCellMar>
        <w:tblLook w:val="0000" w:firstRow="0" w:lastRow="0" w:firstColumn="0" w:lastColumn="0" w:noHBand="0" w:noVBand="0"/>
      </w:tblPr>
      <w:tblGrid>
        <w:gridCol w:w="1808"/>
        <w:gridCol w:w="1022"/>
        <w:gridCol w:w="1627"/>
        <w:gridCol w:w="2330"/>
        <w:gridCol w:w="1363"/>
        <w:gridCol w:w="1488"/>
      </w:tblGrid>
      <w:tr w:rsidR="00F00E3D" w:rsidRPr="00335312" w14:paraId="42EBE35C" w14:textId="77777777" w:rsidTr="009B2FA7">
        <w:trPr>
          <w:jc w:val="center"/>
        </w:trPr>
        <w:tc>
          <w:tcPr>
            <w:tcW w:w="938" w:type="pct"/>
            <w:tcBorders>
              <w:top w:val="single" w:sz="6" w:space="0" w:color="auto"/>
              <w:left w:val="nil"/>
              <w:bottom w:val="nil"/>
              <w:right w:val="nil"/>
            </w:tcBorders>
          </w:tcPr>
          <w:p w14:paraId="702459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30" w:type="pct"/>
            <w:tcBorders>
              <w:top w:val="single" w:sz="6" w:space="0" w:color="auto"/>
              <w:left w:val="nil"/>
              <w:bottom w:val="nil"/>
              <w:right w:val="nil"/>
            </w:tcBorders>
          </w:tcPr>
          <w:p w14:paraId="3D8B8F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w:t>
            </w:r>
          </w:p>
        </w:tc>
        <w:tc>
          <w:tcPr>
            <w:tcW w:w="844" w:type="pct"/>
            <w:tcBorders>
              <w:top w:val="single" w:sz="6" w:space="0" w:color="auto"/>
              <w:left w:val="nil"/>
              <w:bottom w:val="nil"/>
              <w:right w:val="nil"/>
            </w:tcBorders>
          </w:tcPr>
          <w:p w14:paraId="2E09F3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w:t>
            </w:r>
          </w:p>
        </w:tc>
        <w:tc>
          <w:tcPr>
            <w:tcW w:w="1209" w:type="pct"/>
            <w:tcBorders>
              <w:top w:val="single" w:sz="6" w:space="0" w:color="auto"/>
              <w:left w:val="nil"/>
              <w:bottom w:val="nil"/>
              <w:right w:val="nil"/>
            </w:tcBorders>
          </w:tcPr>
          <w:p w14:paraId="4EE1C4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w:t>
            </w:r>
          </w:p>
        </w:tc>
        <w:tc>
          <w:tcPr>
            <w:tcW w:w="707" w:type="pct"/>
            <w:tcBorders>
              <w:top w:val="single" w:sz="6" w:space="0" w:color="auto"/>
              <w:left w:val="nil"/>
              <w:bottom w:val="nil"/>
              <w:right w:val="nil"/>
            </w:tcBorders>
          </w:tcPr>
          <w:p w14:paraId="463DD29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w:t>
            </w:r>
          </w:p>
        </w:tc>
        <w:tc>
          <w:tcPr>
            <w:tcW w:w="772" w:type="pct"/>
            <w:tcBorders>
              <w:top w:val="single" w:sz="6" w:space="0" w:color="auto"/>
              <w:left w:val="nil"/>
              <w:bottom w:val="nil"/>
              <w:right w:val="nil"/>
            </w:tcBorders>
          </w:tcPr>
          <w:p w14:paraId="4CC52A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w:t>
            </w:r>
          </w:p>
        </w:tc>
      </w:tr>
      <w:tr w:rsidR="00F00E3D" w:rsidRPr="00335312" w14:paraId="788A5467" w14:textId="77777777" w:rsidTr="009B2FA7">
        <w:trPr>
          <w:jc w:val="center"/>
        </w:trPr>
        <w:tc>
          <w:tcPr>
            <w:tcW w:w="938" w:type="pct"/>
            <w:tcBorders>
              <w:top w:val="nil"/>
              <w:left w:val="nil"/>
              <w:bottom w:val="single" w:sz="6" w:space="0" w:color="auto"/>
              <w:right w:val="nil"/>
            </w:tcBorders>
          </w:tcPr>
          <w:p w14:paraId="6E7E0CB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VARIABLES</w:t>
            </w:r>
          </w:p>
        </w:tc>
        <w:tc>
          <w:tcPr>
            <w:tcW w:w="530" w:type="pct"/>
            <w:tcBorders>
              <w:top w:val="nil"/>
              <w:left w:val="nil"/>
              <w:bottom w:val="single" w:sz="6" w:space="0" w:color="auto"/>
              <w:right w:val="nil"/>
            </w:tcBorders>
          </w:tcPr>
          <w:p w14:paraId="74BA05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VIC</w:t>
            </w:r>
          </w:p>
        </w:tc>
        <w:tc>
          <w:tcPr>
            <w:tcW w:w="844" w:type="pct"/>
            <w:tcBorders>
              <w:top w:val="nil"/>
              <w:left w:val="nil"/>
              <w:bottom w:val="single" w:sz="6" w:space="0" w:color="auto"/>
              <w:right w:val="nil"/>
            </w:tcBorders>
          </w:tcPr>
          <w:p w14:paraId="1F6EC4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InnerMel</w:t>
            </w:r>
          </w:p>
        </w:tc>
        <w:tc>
          <w:tcPr>
            <w:tcW w:w="1209" w:type="pct"/>
            <w:tcBorders>
              <w:top w:val="nil"/>
              <w:left w:val="nil"/>
              <w:bottom w:val="single" w:sz="6" w:space="0" w:color="auto"/>
              <w:right w:val="nil"/>
            </w:tcBorders>
          </w:tcPr>
          <w:p w14:paraId="776F42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MetropolitanMel</w:t>
            </w:r>
          </w:p>
        </w:tc>
        <w:tc>
          <w:tcPr>
            <w:tcW w:w="707" w:type="pct"/>
            <w:tcBorders>
              <w:top w:val="nil"/>
              <w:left w:val="nil"/>
              <w:bottom w:val="single" w:sz="6" w:space="0" w:color="auto"/>
              <w:right w:val="nil"/>
            </w:tcBorders>
          </w:tcPr>
          <w:p w14:paraId="0249B8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RegionalVIC</w:t>
            </w:r>
          </w:p>
        </w:tc>
        <w:tc>
          <w:tcPr>
            <w:tcW w:w="772" w:type="pct"/>
            <w:tcBorders>
              <w:top w:val="nil"/>
              <w:left w:val="nil"/>
              <w:bottom w:val="single" w:sz="6" w:space="0" w:color="auto"/>
              <w:right w:val="nil"/>
            </w:tcBorders>
          </w:tcPr>
          <w:p w14:paraId="6132E5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GreaterGeelong</w:t>
            </w:r>
          </w:p>
        </w:tc>
      </w:tr>
      <w:tr w:rsidR="00F00E3D" w:rsidRPr="00335312" w14:paraId="1EFF72C1" w14:textId="77777777" w:rsidTr="009B2FA7">
        <w:trPr>
          <w:jc w:val="center"/>
        </w:trPr>
        <w:tc>
          <w:tcPr>
            <w:tcW w:w="938" w:type="pct"/>
            <w:tcBorders>
              <w:top w:val="nil"/>
              <w:left w:val="nil"/>
              <w:bottom w:val="nil"/>
              <w:right w:val="nil"/>
            </w:tcBorders>
          </w:tcPr>
          <w:p w14:paraId="6DD4F0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30" w:type="pct"/>
            <w:tcBorders>
              <w:top w:val="nil"/>
              <w:left w:val="nil"/>
              <w:bottom w:val="nil"/>
              <w:right w:val="nil"/>
            </w:tcBorders>
          </w:tcPr>
          <w:p w14:paraId="1D0BD2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44" w:type="pct"/>
            <w:tcBorders>
              <w:top w:val="nil"/>
              <w:left w:val="nil"/>
              <w:bottom w:val="nil"/>
              <w:right w:val="nil"/>
            </w:tcBorders>
          </w:tcPr>
          <w:p w14:paraId="6997C6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1209" w:type="pct"/>
            <w:tcBorders>
              <w:top w:val="nil"/>
              <w:left w:val="nil"/>
              <w:bottom w:val="nil"/>
              <w:right w:val="nil"/>
            </w:tcBorders>
          </w:tcPr>
          <w:p w14:paraId="7EB75C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07" w:type="pct"/>
            <w:tcBorders>
              <w:top w:val="nil"/>
              <w:left w:val="nil"/>
              <w:bottom w:val="nil"/>
              <w:right w:val="nil"/>
            </w:tcBorders>
          </w:tcPr>
          <w:p w14:paraId="5B530C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72" w:type="pct"/>
            <w:tcBorders>
              <w:top w:val="nil"/>
              <w:left w:val="nil"/>
              <w:bottom w:val="nil"/>
              <w:right w:val="nil"/>
            </w:tcBorders>
          </w:tcPr>
          <w:p w14:paraId="1C024A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7DE2E664" w14:textId="77777777" w:rsidTr="009B2FA7">
        <w:trPr>
          <w:jc w:val="center"/>
        </w:trPr>
        <w:tc>
          <w:tcPr>
            <w:tcW w:w="938" w:type="pct"/>
            <w:tcBorders>
              <w:top w:val="nil"/>
              <w:left w:val="nil"/>
              <w:bottom w:val="nil"/>
              <w:right w:val="nil"/>
            </w:tcBorders>
          </w:tcPr>
          <w:p w14:paraId="48E227D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TPxFocalSuburbs</w:t>
            </w:r>
          </w:p>
        </w:tc>
        <w:tc>
          <w:tcPr>
            <w:tcW w:w="530" w:type="pct"/>
            <w:tcBorders>
              <w:top w:val="nil"/>
              <w:left w:val="nil"/>
              <w:bottom w:val="nil"/>
              <w:right w:val="nil"/>
            </w:tcBorders>
          </w:tcPr>
          <w:p w14:paraId="272003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0.093***</w:t>
            </w:r>
          </w:p>
        </w:tc>
        <w:tc>
          <w:tcPr>
            <w:tcW w:w="844" w:type="pct"/>
            <w:tcBorders>
              <w:top w:val="nil"/>
              <w:left w:val="nil"/>
              <w:bottom w:val="nil"/>
              <w:right w:val="nil"/>
            </w:tcBorders>
          </w:tcPr>
          <w:p w14:paraId="122AAB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0.130***</w:t>
            </w:r>
          </w:p>
        </w:tc>
        <w:tc>
          <w:tcPr>
            <w:tcW w:w="1209" w:type="pct"/>
            <w:tcBorders>
              <w:top w:val="nil"/>
              <w:left w:val="nil"/>
              <w:bottom w:val="nil"/>
              <w:right w:val="nil"/>
            </w:tcBorders>
          </w:tcPr>
          <w:p w14:paraId="09F8F5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0.106***</w:t>
            </w:r>
          </w:p>
        </w:tc>
        <w:tc>
          <w:tcPr>
            <w:tcW w:w="707" w:type="pct"/>
            <w:tcBorders>
              <w:top w:val="nil"/>
              <w:left w:val="nil"/>
              <w:bottom w:val="nil"/>
              <w:right w:val="nil"/>
            </w:tcBorders>
          </w:tcPr>
          <w:p w14:paraId="2EEDC5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0.0466***</w:t>
            </w:r>
          </w:p>
        </w:tc>
        <w:tc>
          <w:tcPr>
            <w:tcW w:w="772" w:type="pct"/>
            <w:tcBorders>
              <w:top w:val="nil"/>
              <w:left w:val="nil"/>
              <w:bottom w:val="nil"/>
              <w:right w:val="nil"/>
            </w:tcBorders>
          </w:tcPr>
          <w:p w14:paraId="72AD4F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0.0268</w:t>
            </w:r>
          </w:p>
        </w:tc>
      </w:tr>
      <w:tr w:rsidR="00F00E3D" w:rsidRPr="00335312" w14:paraId="54E0A5A4" w14:textId="77777777" w:rsidTr="009B2FA7">
        <w:trPr>
          <w:jc w:val="center"/>
        </w:trPr>
        <w:tc>
          <w:tcPr>
            <w:tcW w:w="938" w:type="pct"/>
            <w:tcBorders>
              <w:top w:val="nil"/>
              <w:left w:val="nil"/>
              <w:bottom w:val="nil"/>
              <w:right w:val="nil"/>
            </w:tcBorders>
          </w:tcPr>
          <w:p w14:paraId="04AD74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30" w:type="pct"/>
            <w:tcBorders>
              <w:top w:val="nil"/>
              <w:left w:val="nil"/>
              <w:bottom w:val="nil"/>
              <w:right w:val="nil"/>
            </w:tcBorders>
          </w:tcPr>
          <w:p w14:paraId="0D66BAA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(4.181)</w:t>
            </w:r>
          </w:p>
        </w:tc>
        <w:tc>
          <w:tcPr>
            <w:tcW w:w="844" w:type="pct"/>
            <w:tcBorders>
              <w:top w:val="nil"/>
              <w:left w:val="nil"/>
              <w:bottom w:val="nil"/>
              <w:right w:val="nil"/>
            </w:tcBorders>
          </w:tcPr>
          <w:p w14:paraId="3913A5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(4.976)</w:t>
            </w:r>
          </w:p>
        </w:tc>
        <w:tc>
          <w:tcPr>
            <w:tcW w:w="1209" w:type="pct"/>
            <w:tcBorders>
              <w:top w:val="nil"/>
              <w:left w:val="nil"/>
              <w:bottom w:val="nil"/>
              <w:right w:val="nil"/>
            </w:tcBorders>
          </w:tcPr>
          <w:p w14:paraId="41B6BF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(4.380)</w:t>
            </w:r>
          </w:p>
        </w:tc>
        <w:tc>
          <w:tcPr>
            <w:tcW w:w="707" w:type="pct"/>
            <w:tcBorders>
              <w:top w:val="nil"/>
              <w:left w:val="nil"/>
              <w:bottom w:val="nil"/>
              <w:right w:val="nil"/>
            </w:tcBorders>
          </w:tcPr>
          <w:p w14:paraId="1AD776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(3.160)</w:t>
            </w:r>
          </w:p>
        </w:tc>
        <w:tc>
          <w:tcPr>
            <w:tcW w:w="772" w:type="pct"/>
            <w:tcBorders>
              <w:top w:val="nil"/>
              <w:left w:val="nil"/>
              <w:bottom w:val="nil"/>
              <w:right w:val="nil"/>
            </w:tcBorders>
          </w:tcPr>
          <w:p w14:paraId="56FA216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(1.503)</w:t>
            </w:r>
          </w:p>
        </w:tc>
      </w:tr>
      <w:tr w:rsidR="00F00E3D" w:rsidRPr="00335312" w14:paraId="79F731ED" w14:textId="77777777" w:rsidTr="009B2FA7">
        <w:trPr>
          <w:jc w:val="center"/>
        </w:trPr>
        <w:tc>
          <w:tcPr>
            <w:tcW w:w="938" w:type="pct"/>
            <w:tcBorders>
              <w:top w:val="nil"/>
              <w:left w:val="nil"/>
              <w:bottom w:val="nil"/>
              <w:right w:val="nil"/>
            </w:tcBorders>
          </w:tcPr>
          <w:p w14:paraId="493F5F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TreatmentPeriod</w:t>
            </w:r>
          </w:p>
        </w:tc>
        <w:tc>
          <w:tcPr>
            <w:tcW w:w="530" w:type="pct"/>
            <w:tcBorders>
              <w:top w:val="nil"/>
              <w:left w:val="nil"/>
              <w:bottom w:val="nil"/>
              <w:right w:val="nil"/>
            </w:tcBorders>
          </w:tcPr>
          <w:p w14:paraId="1F2CFF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w:t>
            </w:r>
          </w:p>
        </w:tc>
        <w:tc>
          <w:tcPr>
            <w:tcW w:w="844" w:type="pct"/>
            <w:tcBorders>
              <w:top w:val="nil"/>
              <w:left w:val="nil"/>
              <w:bottom w:val="nil"/>
              <w:right w:val="nil"/>
            </w:tcBorders>
          </w:tcPr>
          <w:p w14:paraId="1C52FD0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-0.155***</w:t>
            </w:r>
          </w:p>
        </w:tc>
        <w:tc>
          <w:tcPr>
            <w:tcW w:w="1209" w:type="pct"/>
            <w:tcBorders>
              <w:top w:val="nil"/>
              <w:left w:val="nil"/>
              <w:bottom w:val="nil"/>
              <w:right w:val="nil"/>
            </w:tcBorders>
          </w:tcPr>
          <w:p w14:paraId="36C12D5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-0.125***</w:t>
            </w:r>
          </w:p>
        </w:tc>
        <w:tc>
          <w:tcPr>
            <w:tcW w:w="707" w:type="pct"/>
            <w:tcBorders>
              <w:top w:val="nil"/>
              <w:left w:val="nil"/>
              <w:bottom w:val="nil"/>
              <w:right w:val="nil"/>
            </w:tcBorders>
          </w:tcPr>
          <w:p w14:paraId="2BF42C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-0.0271***</w:t>
            </w:r>
          </w:p>
        </w:tc>
        <w:tc>
          <w:tcPr>
            <w:tcW w:w="772" w:type="pct"/>
            <w:tcBorders>
              <w:top w:val="nil"/>
              <w:left w:val="nil"/>
              <w:bottom w:val="nil"/>
              <w:right w:val="nil"/>
            </w:tcBorders>
          </w:tcPr>
          <w:p w14:paraId="5149095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0.0250</w:t>
            </w:r>
          </w:p>
        </w:tc>
      </w:tr>
      <w:tr w:rsidR="00F00E3D" w:rsidRPr="00335312" w14:paraId="2B67A106" w14:textId="77777777" w:rsidTr="009B2FA7">
        <w:trPr>
          <w:jc w:val="center"/>
        </w:trPr>
        <w:tc>
          <w:tcPr>
            <w:tcW w:w="938" w:type="pct"/>
            <w:tcBorders>
              <w:top w:val="nil"/>
              <w:left w:val="nil"/>
              <w:bottom w:val="nil"/>
              <w:right w:val="nil"/>
            </w:tcBorders>
          </w:tcPr>
          <w:p w14:paraId="1B43589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30" w:type="pct"/>
            <w:tcBorders>
              <w:top w:val="nil"/>
              <w:left w:val="nil"/>
              <w:bottom w:val="nil"/>
              <w:right w:val="nil"/>
            </w:tcBorders>
          </w:tcPr>
          <w:p w14:paraId="01A99C1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(-4.591)</w:t>
            </w:r>
          </w:p>
        </w:tc>
        <w:tc>
          <w:tcPr>
            <w:tcW w:w="844" w:type="pct"/>
            <w:tcBorders>
              <w:top w:val="nil"/>
              <w:left w:val="nil"/>
              <w:bottom w:val="nil"/>
              <w:right w:val="nil"/>
            </w:tcBorders>
          </w:tcPr>
          <w:p w14:paraId="62D65A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(-5.709)</w:t>
            </w:r>
          </w:p>
        </w:tc>
        <w:tc>
          <w:tcPr>
            <w:tcW w:w="1209" w:type="pct"/>
            <w:tcBorders>
              <w:top w:val="nil"/>
              <w:left w:val="nil"/>
              <w:bottom w:val="nil"/>
              <w:right w:val="nil"/>
            </w:tcBorders>
          </w:tcPr>
          <w:p w14:paraId="54635D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(-5.290)</w:t>
            </w:r>
          </w:p>
        </w:tc>
        <w:tc>
          <w:tcPr>
            <w:tcW w:w="707" w:type="pct"/>
            <w:tcBorders>
              <w:top w:val="nil"/>
              <w:left w:val="nil"/>
              <w:bottom w:val="nil"/>
              <w:right w:val="nil"/>
            </w:tcBorders>
          </w:tcPr>
          <w:p w14:paraId="03114FD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(-3.536)</w:t>
            </w:r>
          </w:p>
        </w:tc>
        <w:tc>
          <w:tcPr>
            <w:tcW w:w="772" w:type="pct"/>
            <w:tcBorders>
              <w:top w:val="nil"/>
              <w:left w:val="nil"/>
              <w:bottom w:val="nil"/>
              <w:right w:val="nil"/>
            </w:tcBorders>
          </w:tcPr>
          <w:p w14:paraId="4A2FEB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(1.602)</w:t>
            </w:r>
          </w:p>
        </w:tc>
      </w:tr>
      <w:tr w:rsidR="00F00E3D" w:rsidRPr="00335312" w14:paraId="577560F1" w14:textId="77777777" w:rsidTr="009B2FA7">
        <w:trPr>
          <w:jc w:val="center"/>
        </w:trPr>
        <w:tc>
          <w:tcPr>
            <w:tcW w:w="938" w:type="pct"/>
            <w:tcBorders>
              <w:top w:val="nil"/>
              <w:left w:val="nil"/>
              <w:bottom w:val="nil"/>
              <w:right w:val="nil"/>
            </w:tcBorders>
          </w:tcPr>
          <w:p w14:paraId="419927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FocalSuburbs</w:t>
            </w:r>
          </w:p>
        </w:tc>
        <w:tc>
          <w:tcPr>
            <w:tcW w:w="530" w:type="pct"/>
            <w:tcBorders>
              <w:top w:val="nil"/>
              <w:left w:val="nil"/>
              <w:bottom w:val="nil"/>
              <w:right w:val="nil"/>
            </w:tcBorders>
          </w:tcPr>
          <w:p w14:paraId="2B851F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-0.079**</w:t>
            </w:r>
          </w:p>
        </w:tc>
        <w:tc>
          <w:tcPr>
            <w:tcW w:w="844" w:type="pct"/>
            <w:tcBorders>
              <w:top w:val="nil"/>
              <w:left w:val="nil"/>
              <w:bottom w:val="nil"/>
              <w:right w:val="nil"/>
            </w:tcBorders>
          </w:tcPr>
          <w:p w14:paraId="2D2932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-0.0583</w:t>
            </w:r>
          </w:p>
        </w:tc>
        <w:tc>
          <w:tcPr>
            <w:tcW w:w="1209" w:type="pct"/>
            <w:tcBorders>
              <w:top w:val="nil"/>
              <w:left w:val="nil"/>
              <w:bottom w:val="nil"/>
              <w:right w:val="nil"/>
            </w:tcBorders>
          </w:tcPr>
          <w:p w14:paraId="208379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-0.0648*</w:t>
            </w:r>
          </w:p>
        </w:tc>
        <w:tc>
          <w:tcPr>
            <w:tcW w:w="707" w:type="pct"/>
            <w:tcBorders>
              <w:top w:val="nil"/>
              <w:left w:val="nil"/>
              <w:bottom w:val="nil"/>
              <w:right w:val="nil"/>
            </w:tcBorders>
          </w:tcPr>
          <w:p w14:paraId="6EE829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-0.258</w:t>
            </w:r>
          </w:p>
        </w:tc>
        <w:tc>
          <w:tcPr>
            <w:tcW w:w="772" w:type="pct"/>
            <w:tcBorders>
              <w:top w:val="nil"/>
              <w:left w:val="nil"/>
              <w:bottom w:val="nil"/>
              <w:right w:val="nil"/>
            </w:tcBorders>
          </w:tcPr>
          <w:p w14:paraId="5B9753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-0.00259</w:t>
            </w:r>
          </w:p>
        </w:tc>
      </w:tr>
      <w:tr w:rsidR="00F00E3D" w:rsidRPr="00335312" w14:paraId="0C708E77" w14:textId="77777777" w:rsidTr="009B2FA7">
        <w:trPr>
          <w:jc w:val="center"/>
        </w:trPr>
        <w:tc>
          <w:tcPr>
            <w:tcW w:w="938" w:type="pct"/>
            <w:tcBorders>
              <w:top w:val="nil"/>
              <w:left w:val="nil"/>
              <w:bottom w:val="nil"/>
              <w:right w:val="nil"/>
            </w:tcBorders>
          </w:tcPr>
          <w:p w14:paraId="4D14D6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30" w:type="pct"/>
            <w:tcBorders>
              <w:top w:val="nil"/>
              <w:left w:val="nil"/>
              <w:bottom w:val="nil"/>
              <w:right w:val="nil"/>
            </w:tcBorders>
          </w:tcPr>
          <w:p w14:paraId="33670B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(-2.474)</w:t>
            </w:r>
          </w:p>
        </w:tc>
        <w:tc>
          <w:tcPr>
            <w:tcW w:w="844" w:type="pct"/>
            <w:tcBorders>
              <w:top w:val="nil"/>
              <w:left w:val="nil"/>
              <w:bottom w:val="nil"/>
              <w:right w:val="nil"/>
            </w:tcBorders>
          </w:tcPr>
          <w:p w14:paraId="132576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(-1.089)</w:t>
            </w:r>
          </w:p>
        </w:tc>
        <w:tc>
          <w:tcPr>
            <w:tcW w:w="1209" w:type="pct"/>
            <w:tcBorders>
              <w:top w:val="nil"/>
              <w:left w:val="nil"/>
              <w:bottom w:val="nil"/>
              <w:right w:val="nil"/>
            </w:tcBorders>
          </w:tcPr>
          <w:p w14:paraId="1F363D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(-1.661)</w:t>
            </w:r>
          </w:p>
        </w:tc>
        <w:tc>
          <w:tcPr>
            <w:tcW w:w="707" w:type="pct"/>
            <w:tcBorders>
              <w:top w:val="nil"/>
              <w:left w:val="nil"/>
              <w:bottom w:val="nil"/>
              <w:right w:val="nil"/>
            </w:tcBorders>
          </w:tcPr>
          <w:p w14:paraId="7ED316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(-1.526)</w:t>
            </w:r>
          </w:p>
        </w:tc>
        <w:tc>
          <w:tcPr>
            <w:tcW w:w="772" w:type="pct"/>
            <w:tcBorders>
              <w:top w:val="nil"/>
              <w:left w:val="nil"/>
              <w:bottom w:val="nil"/>
              <w:right w:val="nil"/>
            </w:tcBorders>
          </w:tcPr>
          <w:p w14:paraId="03025B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(-0.0375)</w:t>
            </w:r>
          </w:p>
        </w:tc>
      </w:tr>
      <w:tr w:rsidR="00F00E3D" w:rsidRPr="00335312" w14:paraId="2FA9EEDF" w14:textId="77777777" w:rsidTr="009B2FA7">
        <w:trPr>
          <w:jc w:val="center"/>
        </w:trPr>
        <w:tc>
          <w:tcPr>
            <w:tcW w:w="938" w:type="pct"/>
            <w:tcBorders>
              <w:top w:val="nil"/>
              <w:left w:val="nil"/>
              <w:bottom w:val="nil"/>
              <w:right w:val="nil"/>
            </w:tcBorders>
          </w:tcPr>
          <w:p w14:paraId="551618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logSize</w:t>
            </w:r>
          </w:p>
        </w:tc>
        <w:tc>
          <w:tcPr>
            <w:tcW w:w="530" w:type="pct"/>
            <w:tcBorders>
              <w:top w:val="nil"/>
              <w:left w:val="nil"/>
              <w:bottom w:val="nil"/>
              <w:right w:val="nil"/>
            </w:tcBorders>
          </w:tcPr>
          <w:p w14:paraId="4BC1D8A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0.027***</w:t>
            </w:r>
          </w:p>
        </w:tc>
        <w:tc>
          <w:tcPr>
            <w:tcW w:w="844" w:type="pct"/>
            <w:tcBorders>
              <w:top w:val="nil"/>
              <w:left w:val="nil"/>
              <w:bottom w:val="nil"/>
              <w:right w:val="nil"/>
            </w:tcBorders>
          </w:tcPr>
          <w:p w14:paraId="66A0B8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0.0349***</w:t>
            </w:r>
          </w:p>
        </w:tc>
        <w:tc>
          <w:tcPr>
            <w:tcW w:w="1209" w:type="pct"/>
            <w:tcBorders>
              <w:top w:val="nil"/>
              <w:left w:val="nil"/>
              <w:bottom w:val="nil"/>
              <w:right w:val="nil"/>
            </w:tcBorders>
          </w:tcPr>
          <w:p w14:paraId="3EE298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0.0285***</w:t>
            </w:r>
          </w:p>
        </w:tc>
        <w:tc>
          <w:tcPr>
            <w:tcW w:w="707" w:type="pct"/>
            <w:tcBorders>
              <w:top w:val="nil"/>
              <w:left w:val="nil"/>
              <w:bottom w:val="nil"/>
              <w:right w:val="nil"/>
            </w:tcBorders>
          </w:tcPr>
          <w:p w14:paraId="15FBF9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0.0167***</w:t>
            </w:r>
          </w:p>
        </w:tc>
        <w:tc>
          <w:tcPr>
            <w:tcW w:w="772" w:type="pct"/>
            <w:tcBorders>
              <w:top w:val="nil"/>
              <w:left w:val="nil"/>
              <w:bottom w:val="nil"/>
              <w:right w:val="nil"/>
            </w:tcBorders>
          </w:tcPr>
          <w:p w14:paraId="7EAC363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0.0246</w:t>
            </w:r>
          </w:p>
        </w:tc>
      </w:tr>
      <w:tr w:rsidR="00F00E3D" w:rsidRPr="00335312" w14:paraId="5ECEAE62" w14:textId="77777777" w:rsidTr="009B2FA7">
        <w:trPr>
          <w:jc w:val="center"/>
        </w:trPr>
        <w:tc>
          <w:tcPr>
            <w:tcW w:w="938" w:type="pct"/>
            <w:tcBorders>
              <w:top w:val="nil"/>
              <w:left w:val="nil"/>
              <w:bottom w:val="nil"/>
              <w:right w:val="nil"/>
            </w:tcBorders>
          </w:tcPr>
          <w:p w14:paraId="253DAE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30" w:type="pct"/>
            <w:tcBorders>
              <w:top w:val="nil"/>
              <w:left w:val="nil"/>
              <w:bottom w:val="nil"/>
              <w:right w:val="nil"/>
            </w:tcBorders>
          </w:tcPr>
          <w:p w14:paraId="4A6463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(4.818)</w:t>
            </w:r>
          </w:p>
        </w:tc>
        <w:tc>
          <w:tcPr>
            <w:tcW w:w="844" w:type="pct"/>
            <w:tcBorders>
              <w:top w:val="nil"/>
              <w:left w:val="nil"/>
              <w:bottom w:val="nil"/>
              <w:right w:val="nil"/>
            </w:tcBorders>
          </w:tcPr>
          <w:p w14:paraId="085631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(4.853)</w:t>
            </w:r>
          </w:p>
        </w:tc>
        <w:tc>
          <w:tcPr>
            <w:tcW w:w="1209" w:type="pct"/>
            <w:tcBorders>
              <w:top w:val="nil"/>
              <w:left w:val="nil"/>
              <w:bottom w:val="nil"/>
              <w:right w:val="nil"/>
            </w:tcBorders>
          </w:tcPr>
          <w:p w14:paraId="6DBF71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(4.899)</w:t>
            </w:r>
          </w:p>
        </w:tc>
        <w:tc>
          <w:tcPr>
            <w:tcW w:w="707" w:type="pct"/>
            <w:tcBorders>
              <w:top w:val="nil"/>
              <w:left w:val="nil"/>
              <w:bottom w:val="nil"/>
              <w:right w:val="nil"/>
            </w:tcBorders>
          </w:tcPr>
          <w:p w14:paraId="645F46E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(2.783)</w:t>
            </w:r>
          </w:p>
        </w:tc>
        <w:tc>
          <w:tcPr>
            <w:tcW w:w="772" w:type="pct"/>
            <w:tcBorders>
              <w:top w:val="nil"/>
              <w:left w:val="nil"/>
              <w:bottom w:val="nil"/>
              <w:right w:val="nil"/>
            </w:tcBorders>
          </w:tcPr>
          <w:p w14:paraId="362FB2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(1.643)</w:t>
            </w:r>
          </w:p>
        </w:tc>
      </w:tr>
      <w:tr w:rsidR="00F00E3D" w:rsidRPr="00335312" w14:paraId="201772CE" w14:textId="77777777" w:rsidTr="009B2FA7">
        <w:trPr>
          <w:jc w:val="center"/>
        </w:trPr>
        <w:tc>
          <w:tcPr>
            <w:tcW w:w="938" w:type="pct"/>
            <w:tcBorders>
              <w:top w:val="nil"/>
              <w:left w:val="nil"/>
              <w:bottom w:val="nil"/>
              <w:right w:val="nil"/>
            </w:tcBorders>
          </w:tcPr>
          <w:p w14:paraId="3A04C3A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bedrooms</w:t>
            </w:r>
          </w:p>
        </w:tc>
        <w:tc>
          <w:tcPr>
            <w:tcW w:w="530" w:type="pct"/>
            <w:tcBorders>
              <w:top w:val="nil"/>
              <w:left w:val="nil"/>
              <w:bottom w:val="nil"/>
              <w:right w:val="nil"/>
            </w:tcBorders>
          </w:tcPr>
          <w:p w14:paraId="63D21C7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0.190***</w:t>
            </w:r>
          </w:p>
        </w:tc>
        <w:tc>
          <w:tcPr>
            <w:tcW w:w="844" w:type="pct"/>
            <w:tcBorders>
              <w:top w:val="nil"/>
              <w:left w:val="nil"/>
              <w:bottom w:val="nil"/>
              <w:right w:val="nil"/>
            </w:tcBorders>
          </w:tcPr>
          <w:p w14:paraId="0E9B737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0.214***</w:t>
            </w:r>
          </w:p>
        </w:tc>
        <w:tc>
          <w:tcPr>
            <w:tcW w:w="1209" w:type="pct"/>
            <w:tcBorders>
              <w:top w:val="nil"/>
              <w:left w:val="nil"/>
              <w:bottom w:val="nil"/>
              <w:right w:val="nil"/>
            </w:tcBorders>
          </w:tcPr>
          <w:p w14:paraId="7CA9CC2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0.202***</w:t>
            </w:r>
          </w:p>
        </w:tc>
        <w:tc>
          <w:tcPr>
            <w:tcW w:w="707" w:type="pct"/>
            <w:tcBorders>
              <w:top w:val="nil"/>
              <w:left w:val="nil"/>
              <w:bottom w:val="nil"/>
              <w:right w:val="nil"/>
            </w:tcBorders>
          </w:tcPr>
          <w:p w14:paraId="190A2D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0.187***</w:t>
            </w:r>
          </w:p>
        </w:tc>
        <w:tc>
          <w:tcPr>
            <w:tcW w:w="772" w:type="pct"/>
            <w:tcBorders>
              <w:top w:val="nil"/>
              <w:left w:val="nil"/>
              <w:bottom w:val="nil"/>
              <w:right w:val="nil"/>
            </w:tcBorders>
          </w:tcPr>
          <w:p w14:paraId="3684CF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0.196***</w:t>
            </w:r>
          </w:p>
        </w:tc>
      </w:tr>
      <w:tr w:rsidR="00F00E3D" w:rsidRPr="00335312" w14:paraId="7AF7FE18" w14:textId="77777777" w:rsidTr="009B2FA7">
        <w:trPr>
          <w:jc w:val="center"/>
        </w:trPr>
        <w:tc>
          <w:tcPr>
            <w:tcW w:w="938" w:type="pct"/>
            <w:tcBorders>
              <w:top w:val="nil"/>
              <w:left w:val="nil"/>
              <w:bottom w:val="nil"/>
              <w:right w:val="nil"/>
            </w:tcBorders>
          </w:tcPr>
          <w:p w14:paraId="3E9BFE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30" w:type="pct"/>
            <w:tcBorders>
              <w:top w:val="nil"/>
              <w:left w:val="nil"/>
              <w:bottom w:val="nil"/>
              <w:right w:val="nil"/>
            </w:tcBorders>
          </w:tcPr>
          <w:p w14:paraId="017617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(18.86)</w:t>
            </w:r>
          </w:p>
        </w:tc>
        <w:tc>
          <w:tcPr>
            <w:tcW w:w="844" w:type="pct"/>
            <w:tcBorders>
              <w:top w:val="nil"/>
              <w:left w:val="nil"/>
              <w:bottom w:val="nil"/>
              <w:right w:val="nil"/>
            </w:tcBorders>
          </w:tcPr>
          <w:p w14:paraId="2A6B78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(14.34)</w:t>
            </w:r>
          </w:p>
        </w:tc>
        <w:tc>
          <w:tcPr>
            <w:tcW w:w="1209" w:type="pct"/>
            <w:tcBorders>
              <w:top w:val="nil"/>
              <w:left w:val="nil"/>
              <w:bottom w:val="nil"/>
              <w:right w:val="nil"/>
            </w:tcBorders>
          </w:tcPr>
          <w:p w14:paraId="7807CE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(17.03)</w:t>
            </w:r>
          </w:p>
        </w:tc>
        <w:tc>
          <w:tcPr>
            <w:tcW w:w="707" w:type="pct"/>
            <w:tcBorders>
              <w:top w:val="nil"/>
              <w:left w:val="nil"/>
              <w:bottom w:val="nil"/>
              <w:right w:val="nil"/>
            </w:tcBorders>
          </w:tcPr>
          <w:p w14:paraId="5E87671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(16.68)</w:t>
            </w:r>
          </w:p>
        </w:tc>
        <w:tc>
          <w:tcPr>
            <w:tcW w:w="772" w:type="pct"/>
            <w:tcBorders>
              <w:top w:val="nil"/>
              <w:left w:val="nil"/>
              <w:bottom w:val="nil"/>
              <w:right w:val="nil"/>
            </w:tcBorders>
          </w:tcPr>
          <w:p w14:paraId="0B8B52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(14.97)</w:t>
            </w:r>
          </w:p>
        </w:tc>
      </w:tr>
      <w:tr w:rsidR="00F00E3D" w:rsidRPr="00335312" w14:paraId="03B3BDAB" w14:textId="77777777" w:rsidTr="009B2FA7">
        <w:trPr>
          <w:jc w:val="center"/>
        </w:trPr>
        <w:tc>
          <w:tcPr>
            <w:tcW w:w="938" w:type="pct"/>
            <w:tcBorders>
              <w:top w:val="nil"/>
              <w:left w:val="nil"/>
              <w:bottom w:val="nil"/>
              <w:right w:val="nil"/>
            </w:tcBorders>
          </w:tcPr>
          <w:p w14:paraId="16DBD5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baths</w:t>
            </w:r>
          </w:p>
        </w:tc>
        <w:tc>
          <w:tcPr>
            <w:tcW w:w="530" w:type="pct"/>
            <w:tcBorders>
              <w:top w:val="nil"/>
              <w:left w:val="nil"/>
              <w:bottom w:val="nil"/>
              <w:right w:val="nil"/>
            </w:tcBorders>
          </w:tcPr>
          <w:p w14:paraId="0AAAE5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0.163***</w:t>
            </w:r>
          </w:p>
        </w:tc>
        <w:tc>
          <w:tcPr>
            <w:tcW w:w="844" w:type="pct"/>
            <w:tcBorders>
              <w:top w:val="nil"/>
              <w:left w:val="nil"/>
              <w:bottom w:val="nil"/>
              <w:right w:val="nil"/>
            </w:tcBorders>
          </w:tcPr>
          <w:p w14:paraId="59200D2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0.159***</w:t>
            </w:r>
          </w:p>
        </w:tc>
        <w:tc>
          <w:tcPr>
            <w:tcW w:w="1209" w:type="pct"/>
            <w:tcBorders>
              <w:top w:val="nil"/>
              <w:left w:val="nil"/>
              <w:bottom w:val="nil"/>
              <w:right w:val="nil"/>
            </w:tcBorders>
          </w:tcPr>
          <w:p w14:paraId="3DA5C7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0.163***</w:t>
            </w:r>
          </w:p>
        </w:tc>
        <w:tc>
          <w:tcPr>
            <w:tcW w:w="707" w:type="pct"/>
            <w:tcBorders>
              <w:top w:val="nil"/>
              <w:left w:val="nil"/>
              <w:bottom w:val="nil"/>
              <w:right w:val="nil"/>
            </w:tcBorders>
          </w:tcPr>
          <w:p w14:paraId="1BED9D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0.163***</w:t>
            </w:r>
          </w:p>
        </w:tc>
        <w:tc>
          <w:tcPr>
            <w:tcW w:w="772" w:type="pct"/>
            <w:tcBorders>
              <w:top w:val="nil"/>
              <w:left w:val="nil"/>
              <w:bottom w:val="nil"/>
              <w:right w:val="nil"/>
            </w:tcBorders>
          </w:tcPr>
          <w:p w14:paraId="05B820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0.117***</w:t>
            </w:r>
          </w:p>
        </w:tc>
      </w:tr>
      <w:tr w:rsidR="00F00E3D" w:rsidRPr="00335312" w14:paraId="101C560B" w14:textId="77777777" w:rsidTr="009B2FA7">
        <w:trPr>
          <w:jc w:val="center"/>
        </w:trPr>
        <w:tc>
          <w:tcPr>
            <w:tcW w:w="938" w:type="pct"/>
            <w:tcBorders>
              <w:top w:val="nil"/>
              <w:left w:val="nil"/>
              <w:bottom w:val="nil"/>
              <w:right w:val="nil"/>
            </w:tcBorders>
          </w:tcPr>
          <w:p w14:paraId="217FFC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30" w:type="pct"/>
            <w:tcBorders>
              <w:top w:val="nil"/>
              <w:left w:val="nil"/>
              <w:bottom w:val="nil"/>
              <w:right w:val="nil"/>
            </w:tcBorders>
          </w:tcPr>
          <w:p w14:paraId="45F90C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(17.99)</w:t>
            </w:r>
          </w:p>
        </w:tc>
        <w:tc>
          <w:tcPr>
            <w:tcW w:w="844" w:type="pct"/>
            <w:tcBorders>
              <w:top w:val="nil"/>
              <w:left w:val="nil"/>
              <w:bottom w:val="nil"/>
              <w:right w:val="nil"/>
            </w:tcBorders>
          </w:tcPr>
          <w:p w14:paraId="7E4F5A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(8.784)</w:t>
            </w:r>
          </w:p>
        </w:tc>
        <w:tc>
          <w:tcPr>
            <w:tcW w:w="1209" w:type="pct"/>
            <w:tcBorders>
              <w:top w:val="nil"/>
              <w:left w:val="nil"/>
              <w:bottom w:val="nil"/>
              <w:right w:val="nil"/>
            </w:tcBorders>
          </w:tcPr>
          <w:p w14:paraId="4555D1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(12.72)</w:t>
            </w:r>
          </w:p>
        </w:tc>
        <w:tc>
          <w:tcPr>
            <w:tcW w:w="707" w:type="pct"/>
            <w:tcBorders>
              <w:top w:val="nil"/>
              <w:left w:val="nil"/>
              <w:bottom w:val="nil"/>
              <w:right w:val="nil"/>
            </w:tcBorders>
          </w:tcPr>
          <w:p w14:paraId="084E0A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(12.60)</w:t>
            </w:r>
          </w:p>
        </w:tc>
        <w:tc>
          <w:tcPr>
            <w:tcW w:w="772" w:type="pct"/>
            <w:tcBorders>
              <w:top w:val="nil"/>
              <w:left w:val="nil"/>
              <w:bottom w:val="nil"/>
              <w:right w:val="nil"/>
            </w:tcBorders>
          </w:tcPr>
          <w:p w14:paraId="34F758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(3.264)</w:t>
            </w:r>
          </w:p>
        </w:tc>
      </w:tr>
      <w:tr w:rsidR="00F00E3D" w:rsidRPr="00335312" w14:paraId="32FE1543" w14:textId="77777777" w:rsidTr="009B2FA7">
        <w:trPr>
          <w:jc w:val="center"/>
        </w:trPr>
        <w:tc>
          <w:tcPr>
            <w:tcW w:w="938" w:type="pct"/>
            <w:tcBorders>
              <w:top w:val="nil"/>
              <w:left w:val="nil"/>
              <w:bottom w:val="nil"/>
              <w:right w:val="nil"/>
            </w:tcBorders>
          </w:tcPr>
          <w:p w14:paraId="2A1DAFD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parking</w:t>
            </w:r>
          </w:p>
        </w:tc>
        <w:tc>
          <w:tcPr>
            <w:tcW w:w="530" w:type="pct"/>
            <w:tcBorders>
              <w:top w:val="nil"/>
              <w:left w:val="nil"/>
              <w:bottom w:val="nil"/>
              <w:right w:val="nil"/>
            </w:tcBorders>
          </w:tcPr>
          <w:p w14:paraId="4FEF04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0.088***</w:t>
            </w:r>
          </w:p>
        </w:tc>
        <w:tc>
          <w:tcPr>
            <w:tcW w:w="844" w:type="pct"/>
            <w:tcBorders>
              <w:top w:val="nil"/>
              <w:left w:val="nil"/>
              <w:bottom w:val="nil"/>
              <w:right w:val="nil"/>
            </w:tcBorders>
          </w:tcPr>
          <w:p w14:paraId="1F903E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0.104***</w:t>
            </w:r>
          </w:p>
        </w:tc>
        <w:tc>
          <w:tcPr>
            <w:tcW w:w="1209" w:type="pct"/>
            <w:tcBorders>
              <w:top w:val="nil"/>
              <w:left w:val="nil"/>
              <w:bottom w:val="nil"/>
              <w:right w:val="nil"/>
            </w:tcBorders>
          </w:tcPr>
          <w:p w14:paraId="7BB48AD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0.103***</w:t>
            </w:r>
          </w:p>
        </w:tc>
        <w:tc>
          <w:tcPr>
            <w:tcW w:w="707" w:type="pct"/>
            <w:tcBorders>
              <w:top w:val="nil"/>
              <w:left w:val="nil"/>
              <w:bottom w:val="nil"/>
              <w:right w:val="nil"/>
            </w:tcBorders>
          </w:tcPr>
          <w:p w14:paraId="584012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0.0220**</w:t>
            </w:r>
          </w:p>
        </w:tc>
        <w:tc>
          <w:tcPr>
            <w:tcW w:w="772" w:type="pct"/>
            <w:tcBorders>
              <w:top w:val="nil"/>
              <w:left w:val="nil"/>
              <w:bottom w:val="nil"/>
              <w:right w:val="nil"/>
            </w:tcBorders>
          </w:tcPr>
          <w:p w14:paraId="2D0EFC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0.0373***</w:t>
            </w:r>
          </w:p>
        </w:tc>
      </w:tr>
      <w:tr w:rsidR="00F00E3D" w:rsidRPr="00335312" w14:paraId="3EE1B134" w14:textId="77777777" w:rsidTr="009B2FA7">
        <w:trPr>
          <w:jc w:val="center"/>
        </w:trPr>
        <w:tc>
          <w:tcPr>
            <w:tcW w:w="938" w:type="pct"/>
            <w:tcBorders>
              <w:top w:val="nil"/>
              <w:left w:val="nil"/>
              <w:bottom w:val="nil"/>
              <w:right w:val="nil"/>
            </w:tcBorders>
          </w:tcPr>
          <w:p w14:paraId="588279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30" w:type="pct"/>
            <w:tcBorders>
              <w:top w:val="nil"/>
              <w:left w:val="nil"/>
              <w:bottom w:val="nil"/>
              <w:right w:val="nil"/>
            </w:tcBorders>
          </w:tcPr>
          <w:p w14:paraId="2075DBD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(11.43)</w:t>
            </w:r>
          </w:p>
        </w:tc>
        <w:tc>
          <w:tcPr>
            <w:tcW w:w="844" w:type="pct"/>
            <w:tcBorders>
              <w:top w:val="nil"/>
              <w:left w:val="nil"/>
              <w:bottom w:val="nil"/>
              <w:right w:val="nil"/>
            </w:tcBorders>
          </w:tcPr>
          <w:p w14:paraId="647EB9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(9.092)</w:t>
            </w:r>
          </w:p>
        </w:tc>
        <w:tc>
          <w:tcPr>
            <w:tcW w:w="1209" w:type="pct"/>
            <w:tcBorders>
              <w:top w:val="nil"/>
              <w:left w:val="nil"/>
              <w:bottom w:val="nil"/>
              <w:right w:val="nil"/>
            </w:tcBorders>
          </w:tcPr>
          <w:p w14:paraId="6C9645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(12.10)</w:t>
            </w:r>
          </w:p>
        </w:tc>
        <w:tc>
          <w:tcPr>
            <w:tcW w:w="707" w:type="pct"/>
            <w:tcBorders>
              <w:top w:val="nil"/>
              <w:left w:val="nil"/>
              <w:bottom w:val="nil"/>
              <w:right w:val="nil"/>
            </w:tcBorders>
          </w:tcPr>
          <w:p w14:paraId="5BF39E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(2.355)</w:t>
            </w:r>
          </w:p>
        </w:tc>
        <w:tc>
          <w:tcPr>
            <w:tcW w:w="772" w:type="pct"/>
            <w:tcBorders>
              <w:top w:val="nil"/>
              <w:left w:val="nil"/>
              <w:bottom w:val="nil"/>
              <w:right w:val="nil"/>
            </w:tcBorders>
          </w:tcPr>
          <w:p w14:paraId="2C25BD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(2.831)</w:t>
            </w:r>
          </w:p>
        </w:tc>
      </w:tr>
      <w:tr w:rsidR="00F00E3D" w:rsidRPr="00335312" w14:paraId="5A9357DE" w14:textId="77777777" w:rsidTr="009B2FA7">
        <w:trPr>
          <w:jc w:val="center"/>
        </w:trPr>
        <w:tc>
          <w:tcPr>
            <w:tcW w:w="938" w:type="pct"/>
            <w:tcBorders>
              <w:top w:val="nil"/>
              <w:left w:val="nil"/>
              <w:bottom w:val="nil"/>
              <w:right w:val="nil"/>
            </w:tcBorders>
          </w:tcPr>
          <w:p w14:paraId="7357FC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LogCBDDistance</w:t>
            </w:r>
          </w:p>
        </w:tc>
        <w:tc>
          <w:tcPr>
            <w:tcW w:w="530" w:type="pct"/>
            <w:tcBorders>
              <w:top w:val="nil"/>
              <w:left w:val="nil"/>
              <w:bottom w:val="nil"/>
              <w:right w:val="nil"/>
            </w:tcBorders>
          </w:tcPr>
          <w:p w14:paraId="1173D28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w:t>
            </w:r>
          </w:p>
        </w:tc>
        <w:tc>
          <w:tcPr>
            <w:tcW w:w="844" w:type="pct"/>
            <w:tcBorders>
              <w:top w:val="nil"/>
              <w:left w:val="nil"/>
              <w:bottom w:val="nil"/>
              <w:right w:val="nil"/>
            </w:tcBorders>
          </w:tcPr>
          <w:p w14:paraId="235F50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-0.136***</w:t>
            </w:r>
          </w:p>
        </w:tc>
        <w:tc>
          <w:tcPr>
            <w:tcW w:w="1209" w:type="pct"/>
            <w:tcBorders>
              <w:top w:val="nil"/>
              <w:left w:val="nil"/>
              <w:bottom w:val="nil"/>
              <w:right w:val="nil"/>
            </w:tcBorders>
          </w:tcPr>
          <w:p w14:paraId="1AA1A8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-0.138***</w:t>
            </w:r>
          </w:p>
        </w:tc>
        <w:tc>
          <w:tcPr>
            <w:tcW w:w="707" w:type="pct"/>
            <w:tcBorders>
              <w:top w:val="nil"/>
              <w:left w:val="nil"/>
              <w:bottom w:val="nil"/>
              <w:right w:val="nil"/>
            </w:tcBorders>
          </w:tcPr>
          <w:p w14:paraId="46C580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-0.0446</w:t>
            </w:r>
          </w:p>
        </w:tc>
        <w:tc>
          <w:tcPr>
            <w:tcW w:w="772" w:type="pct"/>
            <w:tcBorders>
              <w:top w:val="nil"/>
              <w:left w:val="nil"/>
              <w:bottom w:val="nil"/>
              <w:right w:val="nil"/>
            </w:tcBorders>
          </w:tcPr>
          <w:p w14:paraId="21EB4A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-0.517</w:t>
            </w:r>
          </w:p>
        </w:tc>
      </w:tr>
      <w:tr w:rsidR="00F00E3D" w:rsidRPr="00335312" w14:paraId="6FF6DF0D" w14:textId="77777777" w:rsidTr="009B2FA7">
        <w:trPr>
          <w:jc w:val="center"/>
        </w:trPr>
        <w:tc>
          <w:tcPr>
            <w:tcW w:w="938" w:type="pct"/>
            <w:tcBorders>
              <w:top w:val="nil"/>
              <w:left w:val="nil"/>
              <w:bottom w:val="nil"/>
              <w:right w:val="nil"/>
            </w:tcBorders>
          </w:tcPr>
          <w:p w14:paraId="619ECDC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30" w:type="pct"/>
            <w:tcBorders>
              <w:top w:val="nil"/>
              <w:left w:val="nil"/>
              <w:bottom w:val="nil"/>
              <w:right w:val="nil"/>
            </w:tcBorders>
          </w:tcPr>
          <w:p w14:paraId="2449BF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(-11.05)</w:t>
            </w:r>
          </w:p>
        </w:tc>
        <w:tc>
          <w:tcPr>
            <w:tcW w:w="844" w:type="pct"/>
            <w:tcBorders>
              <w:top w:val="nil"/>
              <w:left w:val="nil"/>
              <w:bottom w:val="nil"/>
              <w:right w:val="nil"/>
            </w:tcBorders>
          </w:tcPr>
          <w:p w14:paraId="3C3291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(-8.828)</w:t>
            </w:r>
          </w:p>
        </w:tc>
        <w:tc>
          <w:tcPr>
            <w:tcW w:w="1209" w:type="pct"/>
            <w:tcBorders>
              <w:top w:val="nil"/>
              <w:left w:val="nil"/>
              <w:bottom w:val="nil"/>
              <w:right w:val="nil"/>
            </w:tcBorders>
          </w:tcPr>
          <w:p w14:paraId="7B0069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(-10.21)</w:t>
            </w:r>
          </w:p>
        </w:tc>
        <w:tc>
          <w:tcPr>
            <w:tcW w:w="707" w:type="pct"/>
            <w:tcBorders>
              <w:top w:val="nil"/>
              <w:left w:val="nil"/>
              <w:bottom w:val="nil"/>
              <w:right w:val="nil"/>
            </w:tcBorders>
          </w:tcPr>
          <w:p w14:paraId="59EF05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(-0.526)</w:t>
            </w:r>
          </w:p>
        </w:tc>
        <w:tc>
          <w:tcPr>
            <w:tcW w:w="772" w:type="pct"/>
            <w:tcBorders>
              <w:top w:val="nil"/>
              <w:left w:val="nil"/>
              <w:bottom w:val="nil"/>
              <w:right w:val="nil"/>
            </w:tcBorders>
          </w:tcPr>
          <w:p w14:paraId="41BC4D8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(-0.756)</w:t>
            </w:r>
          </w:p>
        </w:tc>
      </w:tr>
      <w:tr w:rsidR="00F00E3D" w:rsidRPr="00335312" w14:paraId="773EFC6D" w14:textId="77777777" w:rsidTr="009B2FA7">
        <w:trPr>
          <w:jc w:val="center"/>
        </w:trPr>
        <w:tc>
          <w:tcPr>
            <w:tcW w:w="938" w:type="pct"/>
            <w:tcBorders>
              <w:top w:val="nil"/>
              <w:left w:val="nil"/>
              <w:bottom w:val="nil"/>
              <w:right w:val="nil"/>
            </w:tcBorders>
          </w:tcPr>
          <w:p w14:paraId="6CD7D99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Constant</w:t>
            </w:r>
          </w:p>
        </w:tc>
        <w:tc>
          <w:tcPr>
            <w:tcW w:w="530" w:type="pct"/>
            <w:tcBorders>
              <w:top w:val="nil"/>
              <w:left w:val="nil"/>
              <w:bottom w:val="nil"/>
              <w:right w:val="nil"/>
            </w:tcBorders>
          </w:tcPr>
          <w:p w14:paraId="2FC3C7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4.914***</w:t>
            </w:r>
          </w:p>
        </w:tc>
        <w:tc>
          <w:tcPr>
            <w:tcW w:w="844" w:type="pct"/>
            <w:tcBorders>
              <w:top w:val="nil"/>
              <w:left w:val="nil"/>
              <w:bottom w:val="nil"/>
              <w:right w:val="nil"/>
            </w:tcBorders>
          </w:tcPr>
          <w:p w14:paraId="04D222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4.806***</w:t>
            </w:r>
          </w:p>
        </w:tc>
        <w:tc>
          <w:tcPr>
            <w:tcW w:w="1209" w:type="pct"/>
            <w:tcBorders>
              <w:top w:val="nil"/>
              <w:left w:val="nil"/>
              <w:bottom w:val="nil"/>
              <w:right w:val="nil"/>
            </w:tcBorders>
          </w:tcPr>
          <w:p w14:paraId="0C780E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4.855***</w:t>
            </w:r>
          </w:p>
        </w:tc>
        <w:tc>
          <w:tcPr>
            <w:tcW w:w="707" w:type="pct"/>
            <w:tcBorders>
              <w:top w:val="nil"/>
              <w:left w:val="nil"/>
              <w:bottom w:val="nil"/>
              <w:right w:val="nil"/>
            </w:tcBorders>
          </w:tcPr>
          <w:p w14:paraId="74CB28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5.245***</w:t>
            </w:r>
          </w:p>
        </w:tc>
        <w:tc>
          <w:tcPr>
            <w:tcW w:w="772" w:type="pct"/>
            <w:tcBorders>
              <w:top w:val="nil"/>
              <w:left w:val="nil"/>
              <w:bottom w:val="nil"/>
              <w:right w:val="nil"/>
            </w:tcBorders>
          </w:tcPr>
          <w:p w14:paraId="30E90A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4.806***</w:t>
            </w:r>
          </w:p>
        </w:tc>
      </w:tr>
      <w:tr w:rsidR="00F00E3D" w:rsidRPr="00335312" w14:paraId="1CE11DF1" w14:textId="77777777" w:rsidTr="009B2FA7">
        <w:trPr>
          <w:jc w:val="center"/>
        </w:trPr>
        <w:tc>
          <w:tcPr>
            <w:tcW w:w="938" w:type="pct"/>
            <w:tcBorders>
              <w:top w:val="nil"/>
              <w:left w:val="nil"/>
              <w:bottom w:val="nil"/>
              <w:right w:val="nil"/>
            </w:tcBorders>
          </w:tcPr>
          <w:p w14:paraId="4666EA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30" w:type="pct"/>
            <w:tcBorders>
              <w:top w:val="nil"/>
              <w:left w:val="nil"/>
              <w:bottom w:val="nil"/>
              <w:right w:val="nil"/>
            </w:tcBorders>
          </w:tcPr>
          <w:p w14:paraId="754757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(97.43)</w:t>
            </w:r>
          </w:p>
        </w:tc>
        <w:tc>
          <w:tcPr>
            <w:tcW w:w="844" w:type="pct"/>
            <w:tcBorders>
              <w:top w:val="nil"/>
              <w:left w:val="nil"/>
              <w:bottom w:val="nil"/>
              <w:right w:val="nil"/>
            </w:tcBorders>
          </w:tcPr>
          <w:p w14:paraId="4D0428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(58.71)</w:t>
            </w:r>
          </w:p>
        </w:tc>
        <w:tc>
          <w:tcPr>
            <w:tcW w:w="1209" w:type="pct"/>
            <w:tcBorders>
              <w:top w:val="nil"/>
              <w:left w:val="nil"/>
              <w:bottom w:val="nil"/>
              <w:right w:val="nil"/>
            </w:tcBorders>
          </w:tcPr>
          <w:p w14:paraId="3394E8A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(86.87)</w:t>
            </w:r>
          </w:p>
        </w:tc>
        <w:tc>
          <w:tcPr>
            <w:tcW w:w="707" w:type="pct"/>
            <w:tcBorders>
              <w:top w:val="nil"/>
              <w:left w:val="nil"/>
              <w:bottom w:val="nil"/>
              <w:right w:val="nil"/>
            </w:tcBorders>
          </w:tcPr>
          <w:p w14:paraId="72AE9F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(26.03)</w:t>
            </w:r>
          </w:p>
        </w:tc>
        <w:tc>
          <w:tcPr>
            <w:tcW w:w="772" w:type="pct"/>
            <w:tcBorders>
              <w:top w:val="nil"/>
              <w:left w:val="nil"/>
              <w:bottom w:val="nil"/>
              <w:right w:val="nil"/>
            </w:tcBorders>
          </w:tcPr>
          <w:p w14:paraId="301B28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(20.77)</w:t>
            </w:r>
          </w:p>
        </w:tc>
      </w:tr>
      <w:tr w:rsidR="00F00E3D" w:rsidRPr="00335312" w14:paraId="22048BE7" w14:textId="77777777" w:rsidTr="009B2FA7">
        <w:trPr>
          <w:jc w:val="center"/>
        </w:trPr>
        <w:tc>
          <w:tcPr>
            <w:tcW w:w="938" w:type="pct"/>
            <w:tcBorders>
              <w:top w:val="nil"/>
              <w:left w:val="nil"/>
              <w:bottom w:val="nil"/>
              <w:right w:val="nil"/>
            </w:tcBorders>
          </w:tcPr>
          <w:p w14:paraId="034666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30" w:type="pct"/>
            <w:tcBorders>
              <w:top w:val="nil"/>
              <w:left w:val="nil"/>
              <w:bottom w:val="nil"/>
              <w:right w:val="nil"/>
            </w:tcBorders>
          </w:tcPr>
          <w:p w14:paraId="3EE9D9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44" w:type="pct"/>
            <w:tcBorders>
              <w:top w:val="nil"/>
              <w:left w:val="nil"/>
              <w:bottom w:val="nil"/>
              <w:right w:val="nil"/>
            </w:tcBorders>
          </w:tcPr>
          <w:p w14:paraId="2C56F6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1209" w:type="pct"/>
            <w:tcBorders>
              <w:top w:val="nil"/>
              <w:left w:val="nil"/>
              <w:bottom w:val="nil"/>
              <w:right w:val="nil"/>
            </w:tcBorders>
          </w:tcPr>
          <w:p w14:paraId="1F39BFD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07" w:type="pct"/>
            <w:tcBorders>
              <w:top w:val="nil"/>
              <w:left w:val="nil"/>
              <w:bottom w:val="nil"/>
              <w:right w:val="nil"/>
            </w:tcBorders>
          </w:tcPr>
          <w:p w14:paraId="0580A2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72" w:type="pct"/>
            <w:tcBorders>
              <w:top w:val="nil"/>
              <w:left w:val="nil"/>
              <w:bottom w:val="nil"/>
              <w:right w:val="nil"/>
            </w:tcBorders>
          </w:tcPr>
          <w:p w14:paraId="32E8A4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06BF47E4" w14:textId="77777777" w:rsidTr="009B2FA7">
        <w:trPr>
          <w:jc w:val="center"/>
        </w:trPr>
        <w:tc>
          <w:tcPr>
            <w:tcW w:w="938" w:type="pct"/>
            <w:tcBorders>
              <w:top w:val="nil"/>
              <w:left w:val="nil"/>
              <w:bottom w:val="nil"/>
              <w:right w:val="nil"/>
            </w:tcBorders>
          </w:tcPr>
          <w:p w14:paraId="2377DA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Observations</w:t>
            </w:r>
          </w:p>
        </w:tc>
        <w:tc>
          <w:tcPr>
            <w:tcW w:w="530" w:type="pct"/>
            <w:tcBorders>
              <w:top w:val="nil"/>
              <w:left w:val="nil"/>
              <w:bottom w:val="nil"/>
              <w:right w:val="nil"/>
            </w:tcBorders>
          </w:tcPr>
          <w:p w14:paraId="4817D22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423,027</w:t>
            </w:r>
          </w:p>
        </w:tc>
        <w:tc>
          <w:tcPr>
            <w:tcW w:w="844" w:type="pct"/>
            <w:tcBorders>
              <w:top w:val="nil"/>
              <w:left w:val="nil"/>
              <w:bottom w:val="nil"/>
              <w:right w:val="nil"/>
            </w:tcBorders>
          </w:tcPr>
          <w:p w14:paraId="54E50F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283,739</w:t>
            </w:r>
          </w:p>
        </w:tc>
        <w:tc>
          <w:tcPr>
            <w:tcW w:w="1209" w:type="pct"/>
            <w:tcBorders>
              <w:top w:val="nil"/>
              <w:left w:val="nil"/>
              <w:bottom w:val="nil"/>
              <w:right w:val="nil"/>
            </w:tcBorders>
          </w:tcPr>
          <w:p w14:paraId="729A622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350,590</w:t>
            </w:r>
          </w:p>
        </w:tc>
        <w:tc>
          <w:tcPr>
            <w:tcW w:w="707" w:type="pct"/>
            <w:tcBorders>
              <w:top w:val="nil"/>
              <w:left w:val="nil"/>
              <w:bottom w:val="nil"/>
              <w:right w:val="nil"/>
            </w:tcBorders>
          </w:tcPr>
          <w:p w14:paraId="27B4B3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45,216</w:t>
            </w:r>
          </w:p>
        </w:tc>
        <w:tc>
          <w:tcPr>
            <w:tcW w:w="772" w:type="pct"/>
            <w:tcBorders>
              <w:top w:val="nil"/>
              <w:left w:val="nil"/>
              <w:bottom w:val="nil"/>
              <w:right w:val="nil"/>
            </w:tcBorders>
          </w:tcPr>
          <w:p w14:paraId="5A4AE8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3,147</w:t>
            </w:r>
          </w:p>
        </w:tc>
      </w:tr>
      <w:tr w:rsidR="00F00E3D" w:rsidRPr="00335312" w14:paraId="3A71CC7F" w14:textId="77777777" w:rsidTr="009B2FA7">
        <w:trPr>
          <w:jc w:val="center"/>
        </w:trPr>
        <w:tc>
          <w:tcPr>
            <w:tcW w:w="938" w:type="pct"/>
            <w:tcBorders>
              <w:top w:val="nil"/>
              <w:left w:val="nil"/>
              <w:bottom w:val="nil"/>
              <w:right w:val="nil"/>
            </w:tcBorders>
          </w:tcPr>
          <w:p w14:paraId="7335AE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R-squared</w:t>
            </w:r>
          </w:p>
        </w:tc>
        <w:tc>
          <w:tcPr>
            <w:tcW w:w="530" w:type="pct"/>
            <w:tcBorders>
              <w:top w:val="nil"/>
              <w:left w:val="nil"/>
              <w:bottom w:val="nil"/>
              <w:right w:val="nil"/>
            </w:tcBorders>
          </w:tcPr>
          <w:p w14:paraId="6D819D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0.702</w:t>
            </w:r>
          </w:p>
        </w:tc>
        <w:tc>
          <w:tcPr>
            <w:tcW w:w="844" w:type="pct"/>
            <w:tcBorders>
              <w:top w:val="nil"/>
              <w:left w:val="nil"/>
              <w:bottom w:val="nil"/>
              <w:right w:val="nil"/>
            </w:tcBorders>
          </w:tcPr>
          <w:p w14:paraId="2081AD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0.639</w:t>
            </w:r>
          </w:p>
        </w:tc>
        <w:tc>
          <w:tcPr>
            <w:tcW w:w="1209" w:type="pct"/>
            <w:tcBorders>
              <w:top w:val="nil"/>
              <w:left w:val="nil"/>
              <w:bottom w:val="nil"/>
              <w:right w:val="nil"/>
            </w:tcBorders>
          </w:tcPr>
          <w:p w14:paraId="29D7A9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0.672</w:t>
            </w:r>
          </w:p>
        </w:tc>
        <w:tc>
          <w:tcPr>
            <w:tcW w:w="707" w:type="pct"/>
            <w:tcBorders>
              <w:top w:val="nil"/>
              <w:left w:val="nil"/>
              <w:bottom w:val="nil"/>
              <w:right w:val="nil"/>
            </w:tcBorders>
          </w:tcPr>
          <w:p w14:paraId="51830A8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0.678</w:t>
            </w:r>
          </w:p>
        </w:tc>
        <w:tc>
          <w:tcPr>
            <w:tcW w:w="772" w:type="pct"/>
            <w:tcBorders>
              <w:top w:val="nil"/>
              <w:left w:val="nil"/>
              <w:bottom w:val="nil"/>
              <w:right w:val="nil"/>
            </w:tcBorders>
          </w:tcPr>
          <w:p w14:paraId="2B38BB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0.705</w:t>
            </w:r>
          </w:p>
        </w:tc>
      </w:tr>
      <w:tr w:rsidR="00F00E3D" w:rsidRPr="00335312" w14:paraId="2D9EC616" w14:textId="77777777" w:rsidTr="009B2FA7">
        <w:trPr>
          <w:jc w:val="center"/>
        </w:trPr>
        <w:tc>
          <w:tcPr>
            <w:tcW w:w="938" w:type="pct"/>
            <w:tcBorders>
              <w:top w:val="nil"/>
              <w:left w:val="nil"/>
              <w:bottom w:val="nil"/>
              <w:right w:val="nil"/>
            </w:tcBorders>
          </w:tcPr>
          <w:p w14:paraId="3ABEF6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FE</w:t>
            </w:r>
          </w:p>
        </w:tc>
        <w:tc>
          <w:tcPr>
            <w:tcW w:w="530" w:type="pct"/>
            <w:tcBorders>
              <w:top w:val="nil"/>
              <w:left w:val="nil"/>
              <w:bottom w:val="nil"/>
              <w:right w:val="nil"/>
            </w:tcBorders>
          </w:tcPr>
          <w:p w14:paraId="4B02BE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44" w:type="pct"/>
            <w:tcBorders>
              <w:top w:val="nil"/>
              <w:left w:val="nil"/>
              <w:bottom w:val="nil"/>
              <w:right w:val="nil"/>
            </w:tcBorders>
          </w:tcPr>
          <w:p w14:paraId="43502B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209" w:type="pct"/>
            <w:tcBorders>
              <w:top w:val="nil"/>
              <w:left w:val="nil"/>
              <w:bottom w:val="nil"/>
              <w:right w:val="nil"/>
            </w:tcBorders>
          </w:tcPr>
          <w:p w14:paraId="75922D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07" w:type="pct"/>
            <w:tcBorders>
              <w:top w:val="nil"/>
              <w:left w:val="nil"/>
              <w:bottom w:val="nil"/>
              <w:right w:val="nil"/>
            </w:tcBorders>
          </w:tcPr>
          <w:p w14:paraId="03DD1C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72" w:type="pct"/>
            <w:tcBorders>
              <w:top w:val="nil"/>
              <w:left w:val="nil"/>
              <w:bottom w:val="nil"/>
              <w:right w:val="nil"/>
            </w:tcBorders>
          </w:tcPr>
          <w:p w14:paraId="54AA8AE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7B7F6C8D" w14:textId="77777777" w:rsidTr="009B2FA7">
        <w:trPr>
          <w:jc w:val="center"/>
        </w:trPr>
        <w:tc>
          <w:tcPr>
            <w:tcW w:w="938" w:type="pct"/>
            <w:tcBorders>
              <w:top w:val="nil"/>
              <w:left w:val="nil"/>
              <w:bottom w:val="nil"/>
              <w:right w:val="nil"/>
            </w:tcBorders>
          </w:tcPr>
          <w:p w14:paraId="3F2206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SE Cluster</w:t>
            </w:r>
          </w:p>
        </w:tc>
        <w:tc>
          <w:tcPr>
            <w:tcW w:w="530" w:type="pct"/>
            <w:tcBorders>
              <w:top w:val="nil"/>
              <w:left w:val="nil"/>
              <w:bottom w:val="nil"/>
              <w:right w:val="nil"/>
            </w:tcBorders>
          </w:tcPr>
          <w:p w14:paraId="175FFB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44" w:type="pct"/>
            <w:tcBorders>
              <w:top w:val="nil"/>
              <w:left w:val="nil"/>
              <w:bottom w:val="nil"/>
              <w:right w:val="nil"/>
            </w:tcBorders>
          </w:tcPr>
          <w:p w14:paraId="582FBF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209" w:type="pct"/>
            <w:tcBorders>
              <w:top w:val="nil"/>
              <w:left w:val="nil"/>
              <w:bottom w:val="nil"/>
              <w:right w:val="nil"/>
            </w:tcBorders>
          </w:tcPr>
          <w:p w14:paraId="3AD542A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07" w:type="pct"/>
            <w:tcBorders>
              <w:top w:val="nil"/>
              <w:left w:val="nil"/>
              <w:bottom w:val="nil"/>
              <w:right w:val="nil"/>
            </w:tcBorders>
          </w:tcPr>
          <w:p w14:paraId="226B72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72" w:type="pct"/>
            <w:tcBorders>
              <w:top w:val="nil"/>
              <w:left w:val="nil"/>
              <w:bottom w:val="nil"/>
              <w:right w:val="nil"/>
            </w:tcBorders>
          </w:tcPr>
          <w:p w14:paraId="0F2437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0C8FC4D8" w14:textId="77777777" w:rsidTr="009B2FA7">
        <w:trPr>
          <w:jc w:val="center"/>
        </w:trPr>
        <w:tc>
          <w:tcPr>
            <w:tcW w:w="938" w:type="pct"/>
            <w:tcBorders>
              <w:top w:val="nil"/>
              <w:left w:val="nil"/>
              <w:bottom w:val="nil"/>
              <w:right w:val="nil"/>
            </w:tcBorders>
          </w:tcPr>
          <w:p w14:paraId="62744C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Year FE</w:t>
            </w:r>
          </w:p>
        </w:tc>
        <w:tc>
          <w:tcPr>
            <w:tcW w:w="530" w:type="pct"/>
            <w:tcBorders>
              <w:top w:val="nil"/>
              <w:left w:val="nil"/>
              <w:bottom w:val="nil"/>
              <w:right w:val="nil"/>
            </w:tcBorders>
          </w:tcPr>
          <w:p w14:paraId="22AA2D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44" w:type="pct"/>
            <w:tcBorders>
              <w:top w:val="nil"/>
              <w:left w:val="nil"/>
              <w:bottom w:val="nil"/>
              <w:right w:val="nil"/>
            </w:tcBorders>
          </w:tcPr>
          <w:p w14:paraId="75A10E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209" w:type="pct"/>
            <w:tcBorders>
              <w:top w:val="nil"/>
              <w:left w:val="nil"/>
              <w:bottom w:val="nil"/>
              <w:right w:val="nil"/>
            </w:tcBorders>
          </w:tcPr>
          <w:p w14:paraId="3EC18C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07" w:type="pct"/>
            <w:tcBorders>
              <w:top w:val="nil"/>
              <w:left w:val="nil"/>
              <w:bottom w:val="nil"/>
              <w:right w:val="nil"/>
            </w:tcBorders>
          </w:tcPr>
          <w:p w14:paraId="2246C6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72" w:type="pct"/>
            <w:tcBorders>
              <w:top w:val="nil"/>
              <w:left w:val="nil"/>
              <w:bottom w:val="nil"/>
              <w:right w:val="nil"/>
            </w:tcBorders>
          </w:tcPr>
          <w:p w14:paraId="102C3F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194BFE21" w14:textId="77777777" w:rsidTr="009B2FA7">
        <w:tblPrEx>
          <w:tblBorders>
            <w:bottom w:val="single" w:sz="6" w:space="0" w:color="auto"/>
          </w:tblBorders>
        </w:tblPrEx>
        <w:trPr>
          <w:jc w:val="center"/>
        </w:trPr>
        <w:tc>
          <w:tcPr>
            <w:tcW w:w="938" w:type="pct"/>
            <w:tcBorders>
              <w:top w:val="nil"/>
              <w:left w:val="nil"/>
              <w:bottom w:val="single" w:sz="6" w:space="0" w:color="auto"/>
              <w:right w:val="nil"/>
            </w:tcBorders>
          </w:tcPr>
          <w:p w14:paraId="027F4F2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Month FE</w:t>
            </w:r>
          </w:p>
        </w:tc>
        <w:tc>
          <w:tcPr>
            <w:tcW w:w="530" w:type="pct"/>
            <w:tcBorders>
              <w:top w:val="nil"/>
              <w:left w:val="nil"/>
              <w:bottom w:val="single" w:sz="6" w:space="0" w:color="auto"/>
              <w:right w:val="nil"/>
            </w:tcBorders>
          </w:tcPr>
          <w:p w14:paraId="690CB6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44" w:type="pct"/>
            <w:tcBorders>
              <w:top w:val="nil"/>
              <w:left w:val="nil"/>
              <w:bottom w:val="single" w:sz="6" w:space="0" w:color="auto"/>
              <w:right w:val="nil"/>
            </w:tcBorders>
          </w:tcPr>
          <w:p w14:paraId="27C902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209" w:type="pct"/>
            <w:tcBorders>
              <w:top w:val="nil"/>
              <w:left w:val="nil"/>
              <w:bottom w:val="single" w:sz="6" w:space="0" w:color="auto"/>
              <w:right w:val="nil"/>
            </w:tcBorders>
          </w:tcPr>
          <w:p w14:paraId="656F49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07" w:type="pct"/>
            <w:tcBorders>
              <w:top w:val="nil"/>
              <w:left w:val="nil"/>
              <w:bottom w:val="single" w:sz="6" w:space="0" w:color="auto"/>
              <w:right w:val="nil"/>
            </w:tcBorders>
          </w:tcPr>
          <w:p w14:paraId="795AB9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72" w:type="pct"/>
            <w:tcBorders>
              <w:top w:val="nil"/>
              <w:left w:val="nil"/>
              <w:bottom w:val="single" w:sz="6" w:space="0" w:color="auto"/>
              <w:right w:val="nil"/>
            </w:tcBorders>
          </w:tcPr>
          <w:p w14:paraId="289C8F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bl>
    <w:p w14:paraId="1360F415" w14:textId="3A23A364" w:rsidR="00F00E3D" w:rsidRPr="00CE2B42" w:rsidRDefault="00F00E3D" w:rsidP="002C52A2">
      <w:pPr>
        <w:spacing w:after="0" w:line="276" w:lineRule="auto"/>
        <w:rPr>
          <w:rFonts w:asciiTheme="majorHAnsi" w:eastAsiaTheme="majorEastAsia" w:hAnsiTheme="majorHAnsi" w:cstheme="majorHAnsi"/>
          <w:bCs/>
          <w:i/>
        </w:rPr>
      </w:pPr>
      <w:r w:rsidRPr="00CE2B42">
        <w:rPr>
          <w:rFonts w:asciiTheme="majorHAnsi" w:eastAsiaTheme="majorEastAsia" w:hAnsiTheme="majorHAnsi" w:cstheme="majorHAnsi"/>
          <w:bCs/>
          <w:i/>
        </w:rPr>
        <w:t xml:space="preserve">Note: This table reports the results of estimating Difference-in-Differences Eq(1) to investigate the how the housing market in the focal three suburbs reacts to the </w:t>
      </w:r>
      <w:r w:rsidR="00940D80">
        <w:rPr>
          <w:rFonts w:asciiTheme="majorHAnsi" w:eastAsiaTheme="majorEastAsia" w:hAnsiTheme="majorHAnsi" w:cstheme="majorHAnsi"/>
          <w:bCs/>
          <w:i/>
        </w:rPr>
        <w:t>COVID</w:t>
      </w:r>
      <w:r w:rsidRPr="00CE2B42">
        <w:rPr>
          <w:rFonts w:asciiTheme="majorHAnsi" w:eastAsiaTheme="majorEastAsia" w:hAnsiTheme="majorHAnsi" w:cstheme="majorHAnsi"/>
          <w:bCs/>
          <w:i/>
        </w:rPr>
        <w:t xml:space="preserve"> pandemic differently comparing to the rest VIC. Panel.A presents the results on house transactional sample, Panel.B presents the results on unit transactional sample, Panel.C presents the results on house rental sample, and Panel.D presents the results on unit rental sample. The reference groups used in the tests include the whole VIC (column (1)), Inner Melbourne (column (2)), Metropolitan Melbourne (Column (3)), Regional VIC (Column (4)), and Greater Geelong (Column(5)). Suburb fixed effect is included, and the standard error is clustered on suburb level. Robust t-statistics in parentheses. *** p&lt;0.01, ** p&lt;0.05, * p&lt;0.1</w:t>
      </w:r>
    </w:p>
    <w:p w14:paraId="09809709" w14:textId="77777777" w:rsidR="00F00E3D" w:rsidRPr="00CE2B42" w:rsidRDefault="00F00E3D" w:rsidP="002C52A2">
      <w:pPr>
        <w:spacing w:line="276" w:lineRule="auto"/>
        <w:rPr>
          <w:rFonts w:asciiTheme="majorHAnsi" w:hAnsiTheme="majorHAnsi" w:cstheme="majorHAnsi"/>
        </w:rPr>
      </w:pPr>
    </w:p>
    <w:p w14:paraId="252ED9BC" w14:textId="25747CC1" w:rsidR="00F00E3D" w:rsidRPr="00CE2B42" w:rsidRDefault="00F00E3D" w:rsidP="002C52A2">
      <w:pPr>
        <w:spacing w:before="120" w:after="120" w:line="276" w:lineRule="auto"/>
        <w:rPr>
          <w:rFonts w:asciiTheme="majorHAnsi" w:hAnsiTheme="majorHAnsi" w:cstheme="majorHAnsi"/>
        </w:rPr>
      </w:pPr>
      <w:r w:rsidRPr="00CE2B42">
        <w:rPr>
          <w:rFonts w:asciiTheme="majorHAnsi" w:hAnsiTheme="majorHAnsi" w:cstheme="majorHAnsi"/>
        </w:rPr>
        <w:t xml:space="preserve">In Table </w:t>
      </w:r>
      <w:proofErr w:type="gramStart"/>
      <w:r w:rsidRPr="00CE2B42">
        <w:rPr>
          <w:rFonts w:asciiTheme="majorHAnsi" w:hAnsiTheme="majorHAnsi" w:cstheme="majorHAnsi"/>
        </w:rPr>
        <w:t>2A.1:,</w:t>
      </w:r>
      <w:proofErr w:type="gramEnd"/>
      <w:r w:rsidRPr="00CE2B42">
        <w:rPr>
          <w:rFonts w:asciiTheme="majorHAnsi" w:hAnsiTheme="majorHAnsi" w:cstheme="majorHAnsi"/>
        </w:rPr>
        <w:t xml:space="preserve"> the variable of interest is the interaction variable “</w:t>
      </w:r>
      <w:r w:rsidRPr="00CE2B42">
        <w:rPr>
          <w:rFonts w:asciiTheme="majorHAnsi" w:hAnsiTheme="majorHAnsi" w:cstheme="majorHAnsi"/>
          <w:i/>
        </w:rPr>
        <w:t>TPxFocalSuburbs</w:t>
      </w:r>
      <w:r w:rsidRPr="00CE2B42">
        <w:rPr>
          <w:rFonts w:asciiTheme="majorHAnsi" w:hAnsiTheme="majorHAnsi" w:cstheme="majorHAnsi"/>
        </w:rPr>
        <w:t xml:space="preserve">”, which estimates how the response of the housing price in the three focal suburbs to the </w:t>
      </w:r>
      <w:r w:rsidR="00940D80">
        <w:rPr>
          <w:rFonts w:asciiTheme="majorHAnsi" w:hAnsiTheme="majorHAnsi" w:cstheme="majorHAnsi"/>
        </w:rPr>
        <w:t>COVID</w:t>
      </w:r>
      <w:r w:rsidRPr="00CE2B42">
        <w:rPr>
          <w:rFonts w:asciiTheme="majorHAnsi" w:hAnsiTheme="majorHAnsi" w:cstheme="majorHAnsi"/>
        </w:rPr>
        <w:t xml:space="preserve"> pandemic is different from different reference groups. </w:t>
      </w:r>
    </w:p>
    <w:p w14:paraId="1163D43F" w14:textId="384A2BCD" w:rsidR="00F00E3D" w:rsidRPr="00CE2B42" w:rsidRDefault="00F00E3D" w:rsidP="002C52A2">
      <w:pPr>
        <w:spacing w:before="120" w:after="120" w:line="276" w:lineRule="auto"/>
        <w:rPr>
          <w:rFonts w:asciiTheme="majorHAnsi" w:hAnsiTheme="majorHAnsi" w:cstheme="majorHAnsi"/>
        </w:rPr>
      </w:pPr>
      <w:r w:rsidRPr="00CE2B42">
        <w:rPr>
          <w:rFonts w:asciiTheme="majorHAnsi" w:hAnsiTheme="majorHAnsi" w:cstheme="majorHAnsi"/>
        </w:rPr>
        <w:t>In Panel. A, the coefficients of variable “</w:t>
      </w:r>
      <w:r w:rsidRPr="00CE2B42">
        <w:rPr>
          <w:rFonts w:asciiTheme="majorHAnsi" w:hAnsiTheme="majorHAnsi" w:cstheme="majorHAnsi"/>
          <w:i/>
        </w:rPr>
        <w:t>TPxFocalSuburbs</w:t>
      </w:r>
      <w:r w:rsidRPr="00CE2B42">
        <w:rPr>
          <w:rFonts w:asciiTheme="majorHAnsi" w:hAnsiTheme="majorHAnsi" w:cstheme="majorHAnsi"/>
        </w:rPr>
        <w:t xml:space="preserve">” are 0.0674 and 0.0419 in Column (1) and Column (3) with Inner Melbourne and Metropolitan Melbourne as reference groups respectively, and they are both statistically significant on at least 5% confidence level. It shows that the house price of the focal three suburbs increases more than the Inner Melbourne and Metropolitan Melbourne by 6.74% and 4.19% after the </w:t>
      </w:r>
      <w:r w:rsidR="00940D80">
        <w:rPr>
          <w:rFonts w:asciiTheme="majorHAnsi" w:hAnsiTheme="majorHAnsi" w:cstheme="majorHAnsi"/>
        </w:rPr>
        <w:t>COVID</w:t>
      </w:r>
      <w:r w:rsidRPr="00CE2B42">
        <w:rPr>
          <w:rFonts w:asciiTheme="majorHAnsi" w:hAnsiTheme="majorHAnsi" w:cstheme="majorHAnsi"/>
        </w:rPr>
        <w:t xml:space="preserve"> pandemic broke out in VIC in March. The coefficients of “TPxFocalSuburbs” are not statistically significant in other columns in Panel. A, showing that there is not significant difference regarding the response of house price to the </w:t>
      </w:r>
      <w:r w:rsidR="00940D80">
        <w:rPr>
          <w:rFonts w:asciiTheme="majorHAnsi" w:hAnsiTheme="majorHAnsi" w:cstheme="majorHAnsi"/>
        </w:rPr>
        <w:t>COVID</w:t>
      </w:r>
      <w:r w:rsidRPr="00CE2B42">
        <w:rPr>
          <w:rFonts w:asciiTheme="majorHAnsi" w:hAnsiTheme="majorHAnsi" w:cstheme="majorHAnsi"/>
        </w:rPr>
        <w:t xml:space="preserve"> pandemic between the three focal suburbs and references groups as the whole VIC, regional VIC, and greater Geelong.</w:t>
      </w:r>
    </w:p>
    <w:p w14:paraId="3DD22B49" w14:textId="769B7969" w:rsidR="00F00E3D" w:rsidRPr="00CE2B42" w:rsidRDefault="00F00E3D" w:rsidP="002C52A2">
      <w:pPr>
        <w:spacing w:before="120" w:after="120" w:line="276" w:lineRule="auto"/>
        <w:rPr>
          <w:rFonts w:asciiTheme="majorHAnsi" w:hAnsiTheme="majorHAnsi" w:cstheme="majorHAnsi"/>
        </w:rPr>
      </w:pPr>
      <w:r w:rsidRPr="00CE2B42">
        <w:rPr>
          <w:rFonts w:asciiTheme="majorHAnsi" w:hAnsiTheme="majorHAnsi" w:cstheme="majorHAnsi"/>
        </w:rPr>
        <w:t xml:space="preserve">In Panel. B, the coefficients of “TPxFocalSuburbs” are not statistically significant in all the columns. </w:t>
      </w:r>
      <w:proofErr w:type="gramStart"/>
      <w:r w:rsidRPr="00CE2B42">
        <w:rPr>
          <w:rFonts w:asciiTheme="majorHAnsi" w:hAnsiTheme="majorHAnsi" w:cstheme="majorHAnsi"/>
        </w:rPr>
        <w:t>This results</w:t>
      </w:r>
      <w:proofErr w:type="gramEnd"/>
      <w:r w:rsidRPr="00CE2B42">
        <w:rPr>
          <w:rFonts w:asciiTheme="majorHAnsi" w:hAnsiTheme="majorHAnsi" w:cstheme="majorHAnsi"/>
        </w:rPr>
        <w:t xml:space="preserve"> prove that the unit price of the three focal suburbs does not react differently to the </w:t>
      </w:r>
      <w:r w:rsidR="00940D80">
        <w:rPr>
          <w:rFonts w:asciiTheme="majorHAnsi" w:hAnsiTheme="majorHAnsi" w:cstheme="majorHAnsi"/>
        </w:rPr>
        <w:t>COVID</w:t>
      </w:r>
      <w:r w:rsidRPr="00CE2B42">
        <w:rPr>
          <w:rFonts w:asciiTheme="majorHAnsi" w:hAnsiTheme="majorHAnsi" w:cstheme="majorHAnsi"/>
        </w:rPr>
        <w:t xml:space="preserve"> pandemic comparing to different reference groups.</w:t>
      </w:r>
    </w:p>
    <w:p w14:paraId="42D3646A" w14:textId="5173F6D9" w:rsidR="00F00E3D" w:rsidRPr="00CE2B42" w:rsidRDefault="00F00E3D" w:rsidP="002C52A2">
      <w:pPr>
        <w:spacing w:before="120" w:after="120" w:line="276" w:lineRule="auto"/>
        <w:rPr>
          <w:rFonts w:asciiTheme="majorHAnsi" w:hAnsiTheme="majorHAnsi" w:cstheme="majorHAnsi"/>
        </w:rPr>
      </w:pPr>
      <w:r w:rsidRPr="00CE2B42">
        <w:rPr>
          <w:rFonts w:asciiTheme="majorHAnsi" w:hAnsiTheme="majorHAnsi" w:cstheme="majorHAnsi"/>
        </w:rPr>
        <w:t>In Panel.C, the coefficient of variable “</w:t>
      </w:r>
      <w:r w:rsidRPr="00CE2B42">
        <w:rPr>
          <w:rFonts w:asciiTheme="majorHAnsi" w:hAnsiTheme="majorHAnsi" w:cstheme="majorHAnsi"/>
          <w:i/>
        </w:rPr>
        <w:t>TPxFocalSuburbs</w:t>
      </w:r>
      <w:r w:rsidRPr="00CE2B42">
        <w:rPr>
          <w:rFonts w:asciiTheme="majorHAnsi" w:hAnsiTheme="majorHAnsi" w:cstheme="majorHAnsi"/>
        </w:rPr>
        <w:t xml:space="preserve">” are 0.0686 in Column (1) with Inner Melbourne as reference groups, and it is statistically significant at 5% confidence level. It shows that the house rental price of the focal three suburbs increases more than the Inner Melbourne by 6.86% after the </w:t>
      </w:r>
      <w:r w:rsidR="00940D80">
        <w:rPr>
          <w:rFonts w:asciiTheme="majorHAnsi" w:hAnsiTheme="majorHAnsi" w:cstheme="majorHAnsi"/>
        </w:rPr>
        <w:t>COVID</w:t>
      </w:r>
      <w:r w:rsidRPr="00CE2B42">
        <w:rPr>
          <w:rFonts w:asciiTheme="majorHAnsi" w:hAnsiTheme="majorHAnsi" w:cstheme="majorHAnsi"/>
        </w:rPr>
        <w:t xml:space="preserve"> pandemic broke out in March. The coefficients of “TPxFocalSuburbs” are not statistically significant in other columns in Panel. C, showing that there is not significant difference regarding the response of house price to the </w:t>
      </w:r>
      <w:r w:rsidR="00940D80">
        <w:rPr>
          <w:rFonts w:asciiTheme="majorHAnsi" w:hAnsiTheme="majorHAnsi" w:cstheme="majorHAnsi"/>
        </w:rPr>
        <w:t>COVID</w:t>
      </w:r>
      <w:r w:rsidRPr="00CE2B42">
        <w:rPr>
          <w:rFonts w:asciiTheme="majorHAnsi" w:hAnsiTheme="majorHAnsi" w:cstheme="majorHAnsi"/>
        </w:rPr>
        <w:t xml:space="preserve"> pandemic between the three focal suburbs and references groups as the whole VIC, metropolitan Melbourne, regional VIC, and greater Geelong.</w:t>
      </w:r>
    </w:p>
    <w:p w14:paraId="42C008A1" w14:textId="56D45BEF" w:rsidR="00F00E3D" w:rsidRPr="00CE2B42" w:rsidRDefault="00F00E3D" w:rsidP="002C52A2">
      <w:pPr>
        <w:spacing w:before="120" w:after="120" w:line="276" w:lineRule="auto"/>
        <w:rPr>
          <w:rFonts w:asciiTheme="majorHAnsi" w:hAnsiTheme="majorHAnsi" w:cstheme="majorHAnsi"/>
        </w:rPr>
      </w:pPr>
      <w:r w:rsidRPr="00CE2B42">
        <w:rPr>
          <w:rFonts w:asciiTheme="majorHAnsi" w:hAnsiTheme="majorHAnsi" w:cstheme="majorHAnsi"/>
        </w:rPr>
        <w:t>In Panel D, the coefficient of variable “</w:t>
      </w:r>
      <w:r w:rsidRPr="00CE2B42">
        <w:rPr>
          <w:rFonts w:asciiTheme="majorHAnsi" w:hAnsiTheme="majorHAnsi" w:cstheme="majorHAnsi"/>
          <w:i/>
        </w:rPr>
        <w:t>TPxFocalSuburbs</w:t>
      </w:r>
      <w:r w:rsidRPr="00CE2B42">
        <w:rPr>
          <w:rFonts w:asciiTheme="majorHAnsi" w:hAnsiTheme="majorHAnsi" w:cstheme="majorHAnsi"/>
        </w:rPr>
        <w:t xml:space="preserve">” are positive and statistically significant at 1% confidence level in all the columns except column (5) with Greater Geelong. These test results prove that the unit rental price of the three focal suburbs increased more than the whole Victoria, Inner Melbourne, Metropolitan Melbourne and Regional Victoria. No significant difference is found between the three focal suburbs and Greater Geelong regarding the response of unit rental price to </w:t>
      </w:r>
      <w:r w:rsidR="00940D80">
        <w:rPr>
          <w:rFonts w:asciiTheme="majorHAnsi" w:hAnsiTheme="majorHAnsi" w:cstheme="majorHAnsi"/>
        </w:rPr>
        <w:t>COVID</w:t>
      </w:r>
      <w:r w:rsidRPr="00CE2B42">
        <w:rPr>
          <w:rFonts w:asciiTheme="majorHAnsi" w:hAnsiTheme="majorHAnsi" w:cstheme="majorHAnsi"/>
        </w:rPr>
        <w:t xml:space="preserve"> pandemic. These test results indicate that the demand for rental unit shifts from Greater Melbourne, especially Inner and Metropolitan Melbourne, to Greater Geelong after the </w:t>
      </w:r>
      <w:r w:rsidR="00940D80">
        <w:rPr>
          <w:rFonts w:asciiTheme="majorHAnsi" w:hAnsiTheme="majorHAnsi" w:cstheme="majorHAnsi"/>
        </w:rPr>
        <w:t>COVID</w:t>
      </w:r>
      <w:r w:rsidRPr="00CE2B42">
        <w:rPr>
          <w:rFonts w:asciiTheme="majorHAnsi" w:hAnsiTheme="majorHAnsi" w:cstheme="majorHAnsi"/>
        </w:rPr>
        <w:t xml:space="preserve"> pandemic outbreak in March 2020, and this pushes up the unit rental price in the three focal suburbs and Greater Geelong. </w:t>
      </w:r>
    </w:p>
    <w:p w14:paraId="5C17E553" w14:textId="77777777" w:rsidR="00F00E3D" w:rsidRPr="00CE2B42" w:rsidRDefault="00F00E3D" w:rsidP="002C52A2">
      <w:pPr>
        <w:pStyle w:val="Heading3"/>
        <w:rPr>
          <w:rFonts w:cstheme="majorHAnsi"/>
          <w:bCs/>
          <w:i/>
          <w:color w:val="auto"/>
          <w:sz w:val="22"/>
          <w:szCs w:val="22"/>
          <w:lang w:val="en-AU"/>
        </w:rPr>
      </w:pPr>
      <w:r w:rsidRPr="00CE2B42">
        <w:rPr>
          <w:rFonts w:cstheme="majorHAnsi"/>
          <w:bCs/>
          <w:i/>
          <w:color w:val="auto"/>
          <w:sz w:val="22"/>
          <w:szCs w:val="22"/>
          <w:lang w:val="en-AU"/>
        </w:rPr>
        <w:t>Methodology of Hedonic Index</w:t>
      </w:r>
    </w:p>
    <w:p w14:paraId="1BC57D04" w14:textId="77777777" w:rsidR="00F00E3D" w:rsidRPr="00CE2B42" w:rsidRDefault="00F00E3D" w:rsidP="002C52A2">
      <w:pPr>
        <w:spacing w:before="120" w:after="120" w:line="276" w:lineRule="auto"/>
        <w:rPr>
          <w:rFonts w:asciiTheme="majorHAnsi" w:hAnsiTheme="majorHAnsi" w:cstheme="majorHAnsi"/>
        </w:rPr>
      </w:pPr>
      <w:r w:rsidRPr="00CE2B42">
        <w:rPr>
          <w:rFonts w:asciiTheme="majorHAnsi" w:hAnsiTheme="majorHAnsi" w:cstheme="majorHAnsi"/>
        </w:rPr>
        <w:t xml:space="preserve"> Hedonic model can control for the heterogeneity of property when constructing the housing index and it has been widely used to construct the formal public released housing indexes in many countries such as Australia, U.K and Switzerland (Ericson et al., 2013; Diewert et al., 2009; Liang et al., 2018). The hedonic estimates consider the residential property as normal commodity whose market value is determined by its attributes such as quality, area, age and location. Moreover, the marginal effect of each attribute on the housing price is estimated as coefficients for each variable in hedonic model. The baseline hedonic model is expressed as following:</w:t>
      </w:r>
    </w:p>
    <w:p w14:paraId="0259D075" w14:textId="77777777" w:rsidR="00F00E3D" w:rsidRPr="00CE2B42" w:rsidRDefault="007320D6" w:rsidP="002C52A2">
      <w:pPr>
        <w:spacing w:before="120" w:after="120" w:line="276" w:lineRule="auto"/>
        <w:rPr>
          <w:rFonts w:asciiTheme="majorHAnsi" w:eastAsia="SymbolMT" w:hAnsiTheme="majorHAnsi" w:cstheme="majorHAnsi"/>
        </w:rPr>
      </w:pPr>
      <m:oMath>
        <m:func>
          <m:funcPr>
            <m:ctrlPr>
              <w:rPr>
                <w:rFonts w:ascii="Cambria Math" w:eastAsia="Times New Roman" w:hAnsi="Cambria Math" w:cstheme="majorHAnsi"/>
                <w:i/>
              </w:rPr>
            </m:ctrlPr>
          </m:funcPr>
          <m:fName>
            <m:r>
              <m:rPr>
                <m:sty m:val="p"/>
              </m:rPr>
              <w:rPr>
                <w:rFonts w:ascii="Cambria Math" w:eastAsia="Times New Roman" w:hAnsi="Cambria Math" w:cstheme="majorHAnsi"/>
              </w:rPr>
              <m:t>log</m:t>
            </m:r>
          </m:fName>
          <m:e>
            <m:d>
              <m:dPr>
                <m:ctrlPr>
                  <w:rPr>
                    <w:rFonts w:ascii="Cambria Math" w:eastAsia="Times New Roman" w:hAnsi="Cambria Math" w:cstheme="majorHAnsi"/>
                    <w:i/>
                  </w:rPr>
                </m:ctrlPr>
              </m:dPr>
              <m:e>
                <m:sSub>
                  <m:sSubPr>
                    <m:ctrlPr>
                      <w:rPr>
                        <w:rFonts w:ascii="Cambria Math" w:eastAsia="Times New Roman" w:hAnsi="Cambria Math" w:cstheme="majorHAnsi"/>
                        <w:i/>
                      </w:rPr>
                    </m:ctrlPr>
                  </m:sSubPr>
                  <m:e>
                    <m:r>
                      <w:rPr>
                        <w:rFonts w:ascii="Cambria Math" w:eastAsia="Times New Roman" w:hAnsi="Cambria Math" w:cstheme="majorHAnsi"/>
                      </w:rPr>
                      <m:t>Price</m:t>
                    </m:r>
                  </m:e>
                  <m:sub>
                    <m:r>
                      <w:rPr>
                        <w:rFonts w:ascii="Cambria Math" w:eastAsia="Times New Roman" w:hAnsi="Cambria Math" w:cstheme="majorHAnsi"/>
                      </w:rPr>
                      <m:t>i,t</m:t>
                    </m:r>
                  </m:sub>
                </m:sSub>
              </m:e>
            </m:d>
          </m:e>
        </m:func>
        <m:r>
          <w:rPr>
            <w:rFonts w:ascii="Cambria Math" w:eastAsia="Times New Roman" w:hAnsi="Cambria Math" w:cstheme="majorHAnsi"/>
          </w:rPr>
          <m:t>=α+</m:t>
        </m:r>
        <m:sSub>
          <m:sSubPr>
            <m:ctrlPr>
              <w:rPr>
                <w:rFonts w:ascii="Cambria Math" w:hAnsi="Cambria Math" w:cstheme="majorHAnsi"/>
              </w:rPr>
            </m:ctrlPr>
          </m:sSubPr>
          <m:e>
            <m:r>
              <w:rPr>
                <w:rFonts w:ascii="Cambria Math" w:hAnsi="Cambria Math" w:cstheme="majorHAnsi"/>
              </w:rPr>
              <m:t>X'</m:t>
            </m:r>
          </m:e>
          <m:sub>
            <m:r>
              <w:rPr>
                <w:rFonts w:ascii="Cambria Math" w:hAnsi="Cambria Math" w:cstheme="majorHAnsi"/>
              </w:rPr>
              <m:t>i,t</m:t>
            </m:r>
          </m:sub>
        </m:sSub>
        <m:r>
          <w:rPr>
            <w:rFonts w:ascii="Cambria Math" w:hAnsi="Cambria Math" w:cstheme="majorHAnsi"/>
          </w:rPr>
          <m:t>θ+</m:t>
        </m:r>
        <m:sSub>
          <m:sSubPr>
            <m:ctrlPr>
              <w:rPr>
                <w:rFonts w:ascii="Cambria Math" w:hAnsi="Cambria Math" w:cstheme="majorHAnsi"/>
              </w:rPr>
            </m:ctrlPr>
          </m:sSubPr>
          <m:e>
            <m:r>
              <w:rPr>
                <w:rFonts w:ascii="Cambria Math" w:hAnsi="Cambria Math" w:cstheme="majorHAnsi"/>
              </w:rPr>
              <m:t>ε</m:t>
            </m:r>
          </m:e>
          <m:sub>
            <m:r>
              <w:rPr>
                <w:rFonts w:ascii="Cambria Math" w:hAnsi="Cambria Math" w:cstheme="majorHAnsi"/>
              </w:rPr>
              <m:t>i,t</m:t>
            </m:r>
          </m:sub>
        </m:sSub>
        <m:r>
          <w:rPr>
            <w:rFonts w:ascii="Cambria Math" w:hAnsi="Cambria Math" w:cstheme="majorHAnsi"/>
          </w:rPr>
          <m:t xml:space="preserve">                </m:t>
        </m:r>
      </m:oMath>
      <w:r w:rsidR="00F00E3D" w:rsidRPr="00CE2B42">
        <w:rPr>
          <w:rFonts w:asciiTheme="majorHAnsi" w:eastAsia="SymbolMT" w:hAnsiTheme="majorHAnsi" w:cstheme="majorHAnsi"/>
        </w:rPr>
        <w:t>Eq (A1)</w:t>
      </w:r>
    </w:p>
    <w:p w14:paraId="4A9ECF5A" w14:textId="77777777" w:rsidR="00F00E3D" w:rsidRPr="00CE2B42" w:rsidRDefault="00F00E3D" w:rsidP="002C52A2">
      <w:pPr>
        <w:spacing w:before="120" w:after="120" w:line="276" w:lineRule="auto"/>
        <w:rPr>
          <w:rFonts w:asciiTheme="majorHAnsi" w:hAnsiTheme="majorHAnsi" w:cstheme="majorHAnsi"/>
        </w:rPr>
      </w:pPr>
      <w:r w:rsidRPr="00CE2B42">
        <w:rPr>
          <w:rFonts w:asciiTheme="majorHAnsi" w:hAnsiTheme="majorHAnsi" w:cstheme="majorHAnsi"/>
        </w:rPr>
        <w:t xml:space="preserve">Where </w:t>
      </w:r>
      <m:oMath>
        <m:func>
          <m:funcPr>
            <m:ctrlPr>
              <w:rPr>
                <w:rFonts w:ascii="Cambria Math" w:eastAsia="Times New Roman" w:hAnsi="Cambria Math" w:cstheme="majorHAnsi"/>
                <w:i/>
              </w:rPr>
            </m:ctrlPr>
          </m:funcPr>
          <m:fName>
            <m:r>
              <m:rPr>
                <m:sty m:val="p"/>
              </m:rPr>
              <w:rPr>
                <w:rFonts w:ascii="Cambria Math" w:eastAsia="Times New Roman" w:hAnsi="Cambria Math" w:cstheme="majorHAnsi"/>
              </w:rPr>
              <m:t>log</m:t>
            </m:r>
          </m:fName>
          <m:e>
            <m:d>
              <m:dPr>
                <m:ctrlPr>
                  <w:rPr>
                    <w:rFonts w:ascii="Cambria Math" w:eastAsia="Times New Roman" w:hAnsi="Cambria Math" w:cstheme="majorHAnsi"/>
                    <w:i/>
                  </w:rPr>
                </m:ctrlPr>
              </m:dPr>
              <m:e>
                <m:sSub>
                  <m:sSubPr>
                    <m:ctrlPr>
                      <w:rPr>
                        <w:rFonts w:ascii="Cambria Math" w:eastAsia="Times New Roman" w:hAnsi="Cambria Math" w:cstheme="majorHAnsi"/>
                        <w:i/>
                      </w:rPr>
                    </m:ctrlPr>
                  </m:sSubPr>
                  <m:e>
                    <m:r>
                      <w:rPr>
                        <w:rFonts w:ascii="Cambria Math" w:eastAsia="Times New Roman" w:hAnsi="Cambria Math" w:cstheme="majorHAnsi"/>
                      </w:rPr>
                      <m:t>Price</m:t>
                    </m:r>
                  </m:e>
                  <m:sub>
                    <m:r>
                      <w:rPr>
                        <w:rFonts w:ascii="Cambria Math" w:eastAsia="Times New Roman" w:hAnsi="Cambria Math" w:cstheme="majorHAnsi"/>
                      </w:rPr>
                      <m:t>i,t</m:t>
                    </m:r>
                  </m:sub>
                </m:sSub>
              </m:e>
            </m:d>
          </m:e>
        </m:func>
      </m:oMath>
      <w:r w:rsidRPr="00CE2B42">
        <w:rPr>
          <w:rFonts w:asciiTheme="majorHAnsi" w:hAnsiTheme="majorHAnsi" w:cstheme="majorHAnsi"/>
        </w:rPr>
        <w:t xml:space="preserve"> stands for the transactional/rental price of property i in time t in logarithm, </w:t>
      </w:r>
      <m:oMath>
        <m:r>
          <w:rPr>
            <w:rFonts w:ascii="Cambria Math" w:hAnsi="Cambria Math" w:cstheme="majorHAnsi"/>
          </w:rPr>
          <m:t>X'</m:t>
        </m:r>
      </m:oMath>
      <w:r w:rsidRPr="00CE2B42">
        <w:rPr>
          <w:rFonts w:asciiTheme="majorHAnsi" w:eastAsia="SymbolMT" w:hAnsiTheme="majorHAnsi" w:cstheme="majorHAnsi"/>
          <w:i/>
          <w:iCs/>
        </w:rPr>
        <w:t xml:space="preserve"> </w:t>
      </w:r>
      <w:r w:rsidRPr="00CE2B42">
        <w:rPr>
          <w:rFonts w:asciiTheme="majorHAnsi" w:eastAsia="SymbolMT" w:hAnsiTheme="majorHAnsi" w:cstheme="majorHAnsi"/>
          <w:iCs/>
        </w:rPr>
        <w:t xml:space="preserve">is a series of independent variables indicating various attributes, and the </w:t>
      </w:r>
      <w:r w:rsidRPr="00CE2B42">
        <w:rPr>
          <w:rFonts w:asciiTheme="majorHAnsi" w:eastAsia="SymbolMT" w:hAnsiTheme="majorHAnsi" w:cstheme="majorHAnsi"/>
        </w:rPr>
        <w:t xml:space="preserve">ε is the error term which is assumed to be constant and follows normal distribution. </w:t>
      </w:r>
    </w:p>
    <w:p w14:paraId="4985880A" w14:textId="77777777" w:rsidR="00F00E3D" w:rsidRPr="00CE2B42" w:rsidRDefault="00F00E3D" w:rsidP="002C52A2">
      <w:pPr>
        <w:spacing w:before="120" w:after="120" w:line="276" w:lineRule="auto"/>
        <w:rPr>
          <w:rFonts w:asciiTheme="majorHAnsi" w:hAnsiTheme="majorHAnsi" w:cstheme="majorHAnsi"/>
        </w:rPr>
      </w:pPr>
      <w:r w:rsidRPr="00CE2B42">
        <w:rPr>
          <w:rFonts w:asciiTheme="majorHAnsi" w:hAnsiTheme="majorHAnsi" w:cstheme="majorHAnsi"/>
        </w:rPr>
        <w:lastRenderedPageBreak/>
        <w:t xml:space="preserve">There are two approaches using the above hedonic model to construct housing indexes: Time dummy hedonic approach and hedonic imputation approach. The main difference between the two approaches is that the latter one allows parameter and error term to vary overtime, but scarifies the degree of freedom (Ericson et al., 2013; Diewert et al., 2009).  We choose time dummy approach in this project because we will construct the monthly housing indexes for focal three suburbs, and the number of </w:t>
      </w:r>
      <w:proofErr w:type="gramStart"/>
      <w:r w:rsidRPr="00CE2B42">
        <w:rPr>
          <w:rFonts w:asciiTheme="majorHAnsi" w:hAnsiTheme="majorHAnsi" w:cstheme="majorHAnsi"/>
        </w:rPr>
        <w:t>transactions/rental</w:t>
      </w:r>
      <w:proofErr w:type="gramEnd"/>
      <w:r w:rsidRPr="00CE2B42">
        <w:rPr>
          <w:rFonts w:asciiTheme="majorHAnsi" w:hAnsiTheme="majorHAnsi" w:cstheme="majorHAnsi"/>
        </w:rPr>
        <w:t xml:space="preserve"> of the three focal suburbs in each month would be small, so losing degree of freedom will cause more bias and volatility to the estimated indexes. Finally, the Hedonic model used in time dummy approach is constructed as following:</w:t>
      </w:r>
    </w:p>
    <w:p w14:paraId="22C0B808" w14:textId="77777777" w:rsidR="00F00E3D" w:rsidRPr="00CE2B42" w:rsidRDefault="007320D6" w:rsidP="002C52A2">
      <w:pPr>
        <w:spacing w:before="120" w:after="120" w:line="276" w:lineRule="auto"/>
        <w:rPr>
          <w:rFonts w:asciiTheme="majorHAnsi" w:hAnsiTheme="majorHAnsi" w:cstheme="majorHAnsi"/>
        </w:rPr>
      </w:pPr>
      <m:oMath>
        <m:func>
          <m:funcPr>
            <m:ctrlPr>
              <w:rPr>
                <w:rFonts w:ascii="Cambria Math" w:eastAsia="Times New Roman" w:hAnsi="Cambria Math" w:cstheme="majorHAnsi"/>
                <w:i/>
              </w:rPr>
            </m:ctrlPr>
          </m:funcPr>
          <m:fName>
            <m:r>
              <m:rPr>
                <m:sty m:val="p"/>
              </m:rPr>
              <w:rPr>
                <w:rFonts w:ascii="Cambria Math" w:eastAsia="Times New Roman" w:hAnsi="Cambria Math" w:cstheme="majorHAnsi"/>
              </w:rPr>
              <m:t>log</m:t>
            </m:r>
          </m:fName>
          <m:e>
            <m:d>
              <m:dPr>
                <m:ctrlPr>
                  <w:rPr>
                    <w:rFonts w:ascii="Cambria Math" w:eastAsia="Times New Roman" w:hAnsi="Cambria Math" w:cstheme="majorHAnsi"/>
                    <w:i/>
                  </w:rPr>
                </m:ctrlPr>
              </m:dPr>
              <m:e>
                <m:sSub>
                  <m:sSubPr>
                    <m:ctrlPr>
                      <w:rPr>
                        <w:rFonts w:ascii="Cambria Math" w:eastAsia="Times New Roman" w:hAnsi="Cambria Math" w:cstheme="majorHAnsi"/>
                        <w:i/>
                      </w:rPr>
                    </m:ctrlPr>
                  </m:sSubPr>
                  <m:e>
                    <m:r>
                      <w:rPr>
                        <w:rFonts w:ascii="Cambria Math" w:eastAsia="Times New Roman" w:hAnsi="Cambria Math" w:cstheme="majorHAnsi"/>
                      </w:rPr>
                      <m:t>Price</m:t>
                    </m:r>
                  </m:e>
                  <m:sub>
                    <m:r>
                      <w:rPr>
                        <w:rFonts w:ascii="Cambria Math" w:eastAsia="Times New Roman" w:hAnsi="Cambria Math" w:cstheme="majorHAnsi"/>
                      </w:rPr>
                      <m:t>i,t</m:t>
                    </m:r>
                  </m:sub>
                </m:sSub>
              </m:e>
            </m:d>
          </m:e>
        </m:func>
        <m:r>
          <w:rPr>
            <w:rFonts w:ascii="Cambria Math" w:eastAsia="Times New Roman" w:hAnsi="Cambria Math" w:cstheme="majorHAnsi"/>
          </w:rPr>
          <m:t>=α+</m:t>
        </m:r>
        <m:sSub>
          <m:sSubPr>
            <m:ctrlPr>
              <w:rPr>
                <w:rFonts w:ascii="Cambria Math" w:hAnsi="Cambria Math" w:cstheme="majorHAnsi"/>
              </w:rPr>
            </m:ctrlPr>
          </m:sSubPr>
          <m:e>
            <m:sSub>
              <m:sSubPr>
                <m:ctrlPr>
                  <w:rPr>
                    <w:rFonts w:ascii="Cambria Math" w:hAnsi="Cambria Math" w:cstheme="majorHAnsi"/>
                    <w:i/>
                  </w:rPr>
                </m:ctrlPr>
              </m:sSubPr>
              <m:e>
                <m:r>
                  <w:rPr>
                    <w:rFonts w:ascii="Cambria Math" w:hAnsi="Cambria Math" w:cstheme="majorHAnsi"/>
                  </w:rPr>
                  <m:t>β</m:t>
                </m:r>
              </m:e>
              <m:sub>
                <m:r>
                  <w:rPr>
                    <w:rFonts w:ascii="Cambria Math" w:hAnsi="Cambria Math" w:cstheme="majorHAnsi"/>
                  </w:rPr>
                  <m:t>1</m:t>
                </m:r>
              </m:sub>
            </m:sSub>
            <m:r>
              <w:rPr>
                <w:rFonts w:ascii="Cambria Math" w:hAnsi="Cambria Math" w:cstheme="majorHAnsi"/>
              </w:rPr>
              <m:t>CX</m:t>
            </m:r>
          </m:e>
          <m:sub>
            <m:r>
              <w:rPr>
                <w:rFonts w:ascii="Cambria Math" w:hAnsi="Cambria Math" w:cstheme="majorHAnsi"/>
              </w:rPr>
              <m:t>i,t</m:t>
            </m:r>
          </m:sub>
        </m:sSub>
        <m:r>
          <w:rPr>
            <w:rFonts w:ascii="Cambria Math" w:hAnsi="Cambria Math" w:cstheme="majorHAnsi"/>
          </w:rPr>
          <m:t>+</m:t>
        </m:r>
        <m:sSub>
          <m:sSubPr>
            <m:ctrlPr>
              <w:rPr>
                <w:rFonts w:ascii="Cambria Math" w:hAnsi="Cambria Math" w:cstheme="majorHAnsi"/>
              </w:rPr>
            </m:ctrlPr>
          </m:sSubPr>
          <m:e>
            <m:sSub>
              <m:sSubPr>
                <m:ctrlPr>
                  <w:rPr>
                    <w:rFonts w:ascii="Cambria Math" w:hAnsi="Cambria Math" w:cstheme="majorHAnsi"/>
                    <w:i/>
                  </w:rPr>
                </m:ctrlPr>
              </m:sSubPr>
              <m:e>
                <m:r>
                  <w:rPr>
                    <w:rFonts w:ascii="Cambria Math" w:hAnsi="Cambria Math" w:cstheme="majorHAnsi"/>
                  </w:rPr>
                  <m:t>β</m:t>
                </m:r>
              </m:e>
              <m:sub>
                <m:r>
                  <w:rPr>
                    <w:rFonts w:ascii="Cambria Math" w:hAnsi="Cambria Math" w:cstheme="majorHAnsi"/>
                  </w:rPr>
                  <m:t>2</m:t>
                </m:r>
              </m:sub>
            </m:sSub>
            <m:r>
              <w:rPr>
                <w:rFonts w:ascii="Cambria Math" w:hAnsi="Cambria Math" w:cstheme="majorHAnsi"/>
              </w:rPr>
              <m:t>LX</m:t>
            </m:r>
          </m:e>
          <m:sub>
            <m:r>
              <w:rPr>
                <w:rFonts w:ascii="Cambria Math" w:hAnsi="Cambria Math" w:cstheme="majorHAnsi"/>
              </w:rPr>
              <m:t>i,t</m:t>
            </m:r>
          </m:sub>
        </m:sSub>
        <m:r>
          <w:rPr>
            <w:rFonts w:ascii="Cambria Math" w:hAnsi="Cambria Math" w:cstheme="majorHAnsi"/>
          </w:rPr>
          <m:t>+</m:t>
        </m:r>
        <m:sSub>
          <m:sSubPr>
            <m:ctrlPr>
              <w:rPr>
                <w:rFonts w:ascii="Cambria Math" w:hAnsi="Cambria Math" w:cstheme="majorHAnsi"/>
              </w:rPr>
            </m:ctrlPr>
          </m:sSubPr>
          <m:e>
            <m:sSub>
              <m:sSubPr>
                <m:ctrlPr>
                  <w:rPr>
                    <w:rFonts w:ascii="Cambria Math" w:hAnsi="Cambria Math" w:cstheme="majorHAnsi"/>
                    <w:i/>
                  </w:rPr>
                </m:ctrlPr>
              </m:sSubPr>
              <m:e>
                <m:r>
                  <w:rPr>
                    <w:rFonts w:ascii="Cambria Math" w:hAnsi="Cambria Math" w:cstheme="majorHAnsi"/>
                  </w:rPr>
                  <m:t>β</m:t>
                </m:r>
              </m:e>
              <m:sub>
                <m:r>
                  <w:rPr>
                    <w:rFonts w:ascii="Cambria Math" w:hAnsi="Cambria Math" w:cstheme="majorHAnsi"/>
                  </w:rPr>
                  <m:t>3</m:t>
                </m:r>
              </m:sub>
            </m:sSub>
            <m:r>
              <w:rPr>
                <w:rFonts w:ascii="Cambria Math" w:hAnsi="Cambria Math" w:cstheme="majorHAnsi"/>
              </w:rPr>
              <m:t>TX</m:t>
            </m:r>
          </m:e>
          <m:sub>
            <m:r>
              <w:rPr>
                <w:rFonts w:ascii="Cambria Math" w:hAnsi="Cambria Math" w:cstheme="majorHAnsi"/>
              </w:rPr>
              <m:t>i,t</m:t>
            </m:r>
          </m:sub>
        </m:sSub>
        <m:r>
          <w:rPr>
            <w:rFonts w:ascii="Cambria Math" w:hAnsi="Cambria Math" w:cstheme="majorHAnsi"/>
          </w:rPr>
          <m:t>+</m:t>
        </m:r>
        <m:sSub>
          <m:sSubPr>
            <m:ctrlPr>
              <w:rPr>
                <w:rFonts w:ascii="Cambria Math" w:hAnsi="Cambria Math" w:cstheme="majorHAnsi"/>
              </w:rPr>
            </m:ctrlPr>
          </m:sSubPr>
          <m:e>
            <m:r>
              <w:rPr>
                <w:rFonts w:ascii="Cambria Math" w:hAnsi="Cambria Math" w:cstheme="majorHAnsi"/>
              </w:rPr>
              <m:t>ε</m:t>
            </m:r>
          </m:e>
          <m:sub>
            <m:r>
              <w:rPr>
                <w:rFonts w:ascii="Cambria Math" w:hAnsi="Cambria Math" w:cstheme="majorHAnsi"/>
              </w:rPr>
              <m:t>i,t</m:t>
            </m:r>
          </m:sub>
        </m:sSub>
        <m:r>
          <w:rPr>
            <w:rFonts w:ascii="Cambria Math" w:hAnsi="Cambria Math" w:cstheme="majorHAnsi"/>
          </w:rPr>
          <m:t xml:space="preserve">                </m:t>
        </m:r>
      </m:oMath>
      <w:r w:rsidR="00F00E3D" w:rsidRPr="00CE2B42">
        <w:rPr>
          <w:rFonts w:asciiTheme="majorHAnsi" w:eastAsia="SymbolMT" w:hAnsiTheme="majorHAnsi" w:cstheme="majorHAnsi"/>
        </w:rPr>
        <w:t>Eq  (A2)</w:t>
      </w:r>
    </w:p>
    <w:p w14:paraId="5660E0EC" w14:textId="77777777" w:rsidR="00F00E3D" w:rsidRPr="00CE2B42" w:rsidRDefault="00F00E3D" w:rsidP="002C52A2">
      <w:pPr>
        <w:autoSpaceDE w:val="0"/>
        <w:autoSpaceDN w:val="0"/>
        <w:adjustRightInd w:val="0"/>
        <w:spacing w:before="120" w:after="120" w:line="276" w:lineRule="auto"/>
        <w:rPr>
          <w:rFonts w:asciiTheme="majorHAnsi" w:eastAsia="SymbolMT" w:hAnsiTheme="majorHAnsi" w:cstheme="majorHAnsi"/>
          <w:iCs/>
        </w:rPr>
      </w:pPr>
      <w:r w:rsidRPr="00CE2B42">
        <w:rPr>
          <w:rFonts w:asciiTheme="majorHAnsi" w:eastAsia="SymbolMT" w:hAnsiTheme="majorHAnsi" w:cstheme="majorHAnsi"/>
        </w:rPr>
        <w:t xml:space="preserve">The </w:t>
      </w:r>
      <m:oMath>
        <m:func>
          <m:funcPr>
            <m:ctrlPr>
              <w:rPr>
                <w:rFonts w:ascii="Cambria Math" w:eastAsia="Times New Roman" w:hAnsi="Cambria Math" w:cstheme="majorHAnsi"/>
                <w:i/>
              </w:rPr>
            </m:ctrlPr>
          </m:funcPr>
          <m:fName>
            <m:r>
              <m:rPr>
                <m:sty m:val="p"/>
              </m:rPr>
              <w:rPr>
                <w:rFonts w:ascii="Cambria Math" w:eastAsia="Times New Roman" w:hAnsi="Cambria Math" w:cstheme="majorHAnsi"/>
              </w:rPr>
              <m:t>log</m:t>
            </m:r>
          </m:fName>
          <m:e>
            <m:d>
              <m:dPr>
                <m:ctrlPr>
                  <w:rPr>
                    <w:rFonts w:ascii="Cambria Math" w:eastAsia="Times New Roman" w:hAnsi="Cambria Math" w:cstheme="majorHAnsi"/>
                    <w:i/>
                  </w:rPr>
                </m:ctrlPr>
              </m:dPr>
              <m:e>
                <m:sSub>
                  <m:sSubPr>
                    <m:ctrlPr>
                      <w:rPr>
                        <w:rFonts w:ascii="Cambria Math" w:eastAsia="Times New Roman" w:hAnsi="Cambria Math" w:cstheme="majorHAnsi"/>
                        <w:i/>
                      </w:rPr>
                    </m:ctrlPr>
                  </m:sSubPr>
                  <m:e>
                    <m:r>
                      <w:rPr>
                        <w:rFonts w:ascii="Cambria Math" w:eastAsia="Times New Roman" w:hAnsi="Cambria Math" w:cstheme="majorHAnsi"/>
                      </w:rPr>
                      <m:t>Price</m:t>
                    </m:r>
                  </m:e>
                  <m:sub>
                    <m:r>
                      <w:rPr>
                        <w:rFonts w:ascii="Cambria Math" w:eastAsia="Times New Roman" w:hAnsi="Cambria Math" w:cstheme="majorHAnsi"/>
                      </w:rPr>
                      <m:t>i,t</m:t>
                    </m:r>
                  </m:sub>
                </m:sSub>
              </m:e>
            </m:d>
          </m:e>
        </m:func>
      </m:oMath>
      <w:r w:rsidRPr="00CE2B42">
        <w:rPr>
          <w:rFonts w:asciiTheme="majorHAnsi" w:eastAsia="SymbolMT" w:hAnsiTheme="majorHAnsi" w:cstheme="majorHAnsi"/>
        </w:rPr>
        <w:t xml:space="preserve"> is the transactional/rental price of property in logarithmic term, and the vector of coefficients </w:t>
      </w:r>
      <w:r w:rsidRPr="00CE2B42">
        <w:rPr>
          <w:rFonts w:asciiTheme="majorHAnsi" w:eastAsia="SymbolMT" w:hAnsiTheme="majorHAnsi" w:cstheme="majorHAnsi"/>
          <w:i/>
          <w:iCs/>
        </w:rPr>
        <w:t xml:space="preserve">X </w:t>
      </w:r>
      <w:r w:rsidRPr="00CE2B42">
        <w:rPr>
          <w:rFonts w:asciiTheme="majorHAnsi" w:eastAsia="SymbolMT" w:hAnsiTheme="majorHAnsi" w:cstheme="majorHAnsi"/>
          <w:iCs/>
        </w:rPr>
        <w:t xml:space="preserve">in model (A1) is decomposed into three types of independent variables in model A(2), where </w:t>
      </w:r>
      <w:r w:rsidRPr="00CE2B42">
        <w:rPr>
          <w:rFonts w:asciiTheme="majorHAnsi" w:eastAsia="SymbolMT" w:hAnsiTheme="majorHAnsi" w:cstheme="majorHAnsi"/>
          <w:i/>
          <w:iCs/>
        </w:rPr>
        <w:t>CX</w:t>
      </w:r>
      <w:r w:rsidRPr="00CE2B42">
        <w:rPr>
          <w:rFonts w:asciiTheme="majorHAnsi" w:eastAsia="SymbolMT" w:hAnsiTheme="majorHAnsi" w:cstheme="majorHAnsi"/>
          <w:iCs/>
        </w:rPr>
        <w:t xml:space="preserve"> are associated with the physical characteristics of the property, </w:t>
      </w:r>
      <w:r w:rsidRPr="00CE2B42">
        <w:rPr>
          <w:rFonts w:asciiTheme="majorHAnsi" w:eastAsia="SymbolMT" w:hAnsiTheme="majorHAnsi" w:cstheme="majorHAnsi"/>
          <w:i/>
          <w:iCs/>
        </w:rPr>
        <w:t xml:space="preserve">LX </w:t>
      </w:r>
      <w:r w:rsidRPr="00CE2B42">
        <w:rPr>
          <w:rFonts w:asciiTheme="majorHAnsi" w:eastAsia="SymbolMT" w:hAnsiTheme="majorHAnsi" w:cstheme="majorHAnsi"/>
          <w:iCs/>
        </w:rPr>
        <w:t xml:space="preserve">indicate the geographic features of the property, and </w:t>
      </w:r>
      <w:r w:rsidRPr="00CE2B42">
        <w:rPr>
          <w:rFonts w:asciiTheme="majorHAnsi" w:eastAsia="SymbolMT" w:hAnsiTheme="majorHAnsi" w:cstheme="majorHAnsi"/>
          <w:i/>
          <w:iCs/>
        </w:rPr>
        <w:t>TX</w:t>
      </w:r>
      <w:r w:rsidRPr="00CE2B42">
        <w:rPr>
          <w:rFonts w:asciiTheme="majorHAnsi" w:eastAsia="SymbolMT" w:hAnsiTheme="majorHAnsi" w:cstheme="majorHAnsi"/>
          <w:iCs/>
        </w:rPr>
        <w:t xml:space="preserve"> which is the dummy variable indicating in which month-year the property is sold or rented. The index number is the estimated coefficient </w:t>
      </w:r>
      <w:r w:rsidRPr="00CE2B42">
        <w:rPr>
          <w:rFonts w:asciiTheme="majorHAnsi" w:eastAsia="SymbolMT" w:hAnsiTheme="majorHAnsi" w:cstheme="majorHAnsi"/>
        </w:rPr>
        <w:t>β</w:t>
      </w:r>
      <w:r w:rsidRPr="00CE2B42">
        <w:rPr>
          <w:rFonts w:asciiTheme="majorHAnsi" w:eastAsia="SymbolMT" w:hAnsiTheme="majorHAnsi" w:cstheme="majorHAnsi"/>
          <w:vertAlign w:val="subscript"/>
        </w:rPr>
        <w:t>3</w:t>
      </w:r>
      <w:r w:rsidRPr="00CE2B42">
        <w:rPr>
          <w:rFonts w:asciiTheme="majorHAnsi" w:eastAsia="SymbolMT" w:hAnsiTheme="majorHAnsi" w:cstheme="majorHAnsi"/>
        </w:rPr>
        <w:t xml:space="preserve"> which measuring how property transaction price changes over time. </w:t>
      </w:r>
      <w:r w:rsidRPr="00CE2B42">
        <w:rPr>
          <w:rFonts w:asciiTheme="majorHAnsi" w:eastAsia="SymbolMT" w:hAnsiTheme="majorHAnsi" w:cstheme="majorHAnsi"/>
          <w:iCs/>
        </w:rPr>
        <w:t xml:space="preserve"> </w:t>
      </w:r>
    </w:p>
    <w:p w14:paraId="5DA1ABA7" w14:textId="77777777" w:rsidR="00F00E3D" w:rsidRPr="00CE2B42" w:rsidRDefault="00F00E3D" w:rsidP="002C52A2">
      <w:pPr>
        <w:pStyle w:val="Heading3"/>
        <w:rPr>
          <w:rFonts w:cstheme="majorHAnsi"/>
          <w:bCs/>
          <w:i/>
          <w:color w:val="auto"/>
          <w:sz w:val="22"/>
          <w:szCs w:val="22"/>
          <w:lang w:val="en-AU"/>
        </w:rPr>
      </w:pPr>
      <w:r w:rsidRPr="00CE2B42">
        <w:rPr>
          <w:rFonts w:cstheme="majorHAnsi"/>
          <w:bCs/>
          <w:i/>
          <w:color w:val="auto"/>
          <w:sz w:val="22"/>
          <w:szCs w:val="22"/>
          <w:lang w:val="en-AU"/>
        </w:rPr>
        <w:t xml:space="preserve"> Database Description and Hedonic Models</w:t>
      </w:r>
    </w:p>
    <w:p w14:paraId="1E43116B" w14:textId="11DFF38F" w:rsidR="00F00E3D" w:rsidRPr="00CE2B42" w:rsidRDefault="00F00E3D" w:rsidP="002C52A2">
      <w:pPr>
        <w:spacing w:before="120" w:after="120" w:line="276" w:lineRule="auto"/>
        <w:rPr>
          <w:rFonts w:asciiTheme="majorHAnsi" w:eastAsiaTheme="majorEastAsia" w:hAnsiTheme="majorHAnsi" w:cstheme="majorHAnsi"/>
          <w:bCs/>
        </w:rPr>
      </w:pPr>
      <w:r w:rsidRPr="00CE2B42">
        <w:rPr>
          <w:rFonts w:asciiTheme="majorHAnsi" w:eastAsiaTheme="majorEastAsia" w:hAnsiTheme="majorHAnsi" w:cstheme="majorHAnsi"/>
          <w:bCs/>
        </w:rPr>
        <w:t xml:space="preserve">This section provides statistical description on the database used to construct the Hedonic Indexes by Model A(2) and the estimate the impact of </w:t>
      </w:r>
      <w:r w:rsidR="00940D80">
        <w:rPr>
          <w:rFonts w:asciiTheme="majorHAnsi" w:eastAsiaTheme="majorEastAsia" w:hAnsiTheme="majorHAnsi" w:cstheme="majorHAnsi"/>
          <w:bCs/>
        </w:rPr>
        <w:t>COVID</w:t>
      </w:r>
      <w:r w:rsidRPr="00CE2B42">
        <w:rPr>
          <w:rFonts w:asciiTheme="majorHAnsi" w:eastAsiaTheme="majorEastAsia" w:hAnsiTheme="majorHAnsi" w:cstheme="majorHAnsi"/>
          <w:bCs/>
        </w:rPr>
        <w:t>-Pandemic on housing market by Difference-in-Differences Model (1). This database is provided by Australian Property Monitor (APM), and it contains point-level transactional and rental data of house and unit in the state of Victoria from 1</w:t>
      </w:r>
      <w:r w:rsidRPr="00CE2B42">
        <w:rPr>
          <w:rFonts w:asciiTheme="majorHAnsi" w:eastAsiaTheme="majorEastAsia" w:hAnsiTheme="majorHAnsi" w:cstheme="majorHAnsi"/>
          <w:bCs/>
          <w:vertAlign w:val="superscript"/>
        </w:rPr>
        <w:t>st</w:t>
      </w:r>
      <w:r w:rsidRPr="00CE2B42">
        <w:rPr>
          <w:rFonts w:asciiTheme="majorHAnsi" w:eastAsiaTheme="majorEastAsia" w:hAnsiTheme="majorHAnsi" w:cstheme="majorHAnsi"/>
          <w:bCs/>
        </w:rPr>
        <w:t xml:space="preserve"> January 2015 to 31</w:t>
      </w:r>
      <w:r w:rsidRPr="00CE2B42">
        <w:rPr>
          <w:rFonts w:asciiTheme="majorHAnsi" w:eastAsiaTheme="majorEastAsia" w:hAnsiTheme="majorHAnsi" w:cstheme="majorHAnsi"/>
          <w:bCs/>
          <w:vertAlign w:val="superscript"/>
        </w:rPr>
        <w:t>st</w:t>
      </w:r>
      <w:r w:rsidRPr="00CE2B42">
        <w:rPr>
          <w:rFonts w:asciiTheme="majorHAnsi" w:eastAsiaTheme="majorEastAsia" w:hAnsiTheme="majorHAnsi" w:cstheme="majorHAnsi"/>
          <w:bCs/>
        </w:rPr>
        <w:t xml:space="preserve"> October 2020. The </w:t>
      </w:r>
      <w:r w:rsidRPr="00CE2B42">
        <w:rPr>
          <w:rFonts w:asciiTheme="majorHAnsi" w:hAnsiTheme="majorHAnsi" w:cstheme="majorHAnsi"/>
        </w:rPr>
        <w:t xml:space="preserve">Table 2A.2 </w:t>
      </w:r>
      <w:r w:rsidRPr="00CE2B42">
        <w:rPr>
          <w:rFonts w:asciiTheme="majorHAnsi" w:eastAsiaTheme="majorEastAsia" w:hAnsiTheme="majorHAnsi" w:cstheme="majorHAnsi"/>
          <w:bCs/>
        </w:rPr>
        <w:t>provides the statistical summary of the database.</w:t>
      </w:r>
    </w:p>
    <w:p w14:paraId="0DFFF0FE" w14:textId="77777777" w:rsidR="00F00E3D" w:rsidRPr="00335312" w:rsidRDefault="00F00E3D" w:rsidP="002C52A2">
      <w:pPr>
        <w:spacing w:before="120" w:after="120" w:line="360" w:lineRule="auto"/>
        <w:rPr>
          <w:rFonts w:asciiTheme="majorHAnsi" w:eastAsiaTheme="majorEastAsia" w:hAnsiTheme="majorHAnsi" w:cstheme="majorHAnsi"/>
          <w:bCs/>
          <w:sz w:val="20"/>
          <w:szCs w:val="20"/>
        </w:rPr>
      </w:pPr>
      <w:r w:rsidRPr="00335312">
        <w:rPr>
          <w:rFonts w:asciiTheme="majorHAnsi" w:hAnsiTheme="majorHAnsi" w:cstheme="majorHAnsi"/>
          <w:sz w:val="20"/>
          <w:szCs w:val="20"/>
        </w:rPr>
        <w:t>Table</w:t>
      </w:r>
      <w:r>
        <w:rPr>
          <w:rFonts w:asciiTheme="majorHAnsi" w:hAnsiTheme="majorHAnsi" w:cstheme="majorHAnsi"/>
          <w:sz w:val="20"/>
          <w:szCs w:val="20"/>
        </w:rPr>
        <w:t xml:space="preserve"> 2A.2:</w:t>
      </w:r>
      <w:r w:rsidRPr="00335312">
        <w:rPr>
          <w:rFonts w:asciiTheme="majorHAnsi" w:hAnsiTheme="majorHAnsi" w:cstheme="majorHAnsi"/>
          <w:sz w:val="20"/>
          <w:szCs w:val="20"/>
        </w:rPr>
        <w:t xml:space="preserve"> </w:t>
      </w:r>
      <w:r w:rsidRPr="00335312">
        <w:rPr>
          <w:rFonts w:asciiTheme="majorHAnsi" w:eastAsiaTheme="majorEastAsia" w:hAnsiTheme="majorHAnsi" w:cstheme="majorHAnsi"/>
          <w:bCs/>
          <w:sz w:val="20"/>
          <w:szCs w:val="20"/>
        </w:rPr>
        <w:t xml:space="preserve"> Statistical Summary of the database for the Whole VIC</w:t>
      </w:r>
    </w:p>
    <w:p w14:paraId="2ECCFFD0" w14:textId="77777777" w:rsidR="00F00E3D" w:rsidRPr="00335312" w:rsidRDefault="00F00E3D" w:rsidP="002C52A2">
      <w:pPr>
        <w:spacing w:after="0" w:line="360" w:lineRule="auto"/>
        <w:rPr>
          <w:rFonts w:asciiTheme="majorHAnsi" w:eastAsiaTheme="majorEastAsia" w:hAnsiTheme="majorHAnsi" w:cstheme="majorHAnsi"/>
          <w:bCs/>
          <w:sz w:val="20"/>
          <w:szCs w:val="20"/>
        </w:rPr>
      </w:pPr>
      <w:r w:rsidRPr="00335312">
        <w:rPr>
          <w:rFonts w:asciiTheme="majorHAnsi" w:eastAsiaTheme="majorEastAsia" w:hAnsiTheme="majorHAnsi" w:cstheme="majorHAnsi"/>
          <w:bCs/>
          <w:sz w:val="20"/>
          <w:szCs w:val="20"/>
        </w:rPr>
        <w:t>Panel A. House Transactional Sample</w:t>
      </w:r>
    </w:p>
    <w:tbl>
      <w:tblPr>
        <w:tblW w:w="5000" w:type="pct"/>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1865"/>
        <w:gridCol w:w="2664"/>
        <w:gridCol w:w="1313"/>
        <w:gridCol w:w="1022"/>
        <w:gridCol w:w="1024"/>
        <w:gridCol w:w="584"/>
        <w:gridCol w:w="1166"/>
      </w:tblGrid>
      <w:tr w:rsidR="00F00E3D" w:rsidRPr="00335312" w14:paraId="1AC695A1" w14:textId="77777777" w:rsidTr="009B2FA7">
        <w:trPr>
          <w:trHeight w:val="290"/>
        </w:trPr>
        <w:tc>
          <w:tcPr>
            <w:tcW w:w="967" w:type="pct"/>
            <w:tcBorders>
              <w:top w:val="double" w:sz="4" w:space="0" w:color="auto"/>
              <w:bottom w:val="single" w:sz="4" w:space="0" w:color="auto"/>
              <w:right w:val="single" w:sz="4" w:space="0" w:color="auto"/>
            </w:tcBorders>
            <w:shd w:val="clear" w:color="auto" w:fill="auto"/>
            <w:noWrap/>
            <w:vAlign w:val="bottom"/>
            <w:hideMark/>
          </w:tcPr>
          <w:p w14:paraId="097EA99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Variable</w:t>
            </w:r>
          </w:p>
        </w:tc>
        <w:tc>
          <w:tcPr>
            <w:tcW w:w="1382" w:type="pct"/>
            <w:tcBorders>
              <w:top w:val="double" w:sz="4" w:space="0" w:color="auto"/>
              <w:bottom w:val="single" w:sz="4" w:space="0" w:color="auto"/>
              <w:right w:val="single" w:sz="4" w:space="0" w:color="auto"/>
            </w:tcBorders>
          </w:tcPr>
          <w:p w14:paraId="5B3D470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Description</w:t>
            </w:r>
          </w:p>
        </w:tc>
        <w:tc>
          <w:tcPr>
            <w:tcW w:w="681" w:type="pct"/>
            <w:tcBorders>
              <w:top w:val="double" w:sz="4" w:space="0" w:color="auto"/>
              <w:left w:val="single" w:sz="4" w:space="0" w:color="auto"/>
              <w:bottom w:val="single" w:sz="4" w:space="0" w:color="auto"/>
            </w:tcBorders>
            <w:shd w:val="clear" w:color="auto" w:fill="auto"/>
            <w:noWrap/>
            <w:vAlign w:val="bottom"/>
            <w:hideMark/>
          </w:tcPr>
          <w:p w14:paraId="58DA6EF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Obs</w:t>
            </w:r>
          </w:p>
        </w:tc>
        <w:tc>
          <w:tcPr>
            <w:tcW w:w="530" w:type="pct"/>
            <w:tcBorders>
              <w:top w:val="double" w:sz="4" w:space="0" w:color="auto"/>
              <w:bottom w:val="single" w:sz="4" w:space="0" w:color="auto"/>
            </w:tcBorders>
            <w:shd w:val="clear" w:color="auto" w:fill="auto"/>
            <w:noWrap/>
            <w:vAlign w:val="bottom"/>
            <w:hideMark/>
          </w:tcPr>
          <w:p w14:paraId="4EE100D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Mean</w:t>
            </w:r>
          </w:p>
        </w:tc>
        <w:tc>
          <w:tcPr>
            <w:tcW w:w="531" w:type="pct"/>
            <w:tcBorders>
              <w:top w:val="double" w:sz="4" w:space="0" w:color="auto"/>
              <w:bottom w:val="single" w:sz="4" w:space="0" w:color="auto"/>
            </w:tcBorders>
            <w:shd w:val="clear" w:color="auto" w:fill="auto"/>
            <w:noWrap/>
            <w:vAlign w:val="bottom"/>
            <w:hideMark/>
          </w:tcPr>
          <w:p w14:paraId="28EAB1B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Std. Dev.</w:t>
            </w:r>
          </w:p>
        </w:tc>
        <w:tc>
          <w:tcPr>
            <w:tcW w:w="303" w:type="pct"/>
            <w:tcBorders>
              <w:top w:val="double" w:sz="4" w:space="0" w:color="auto"/>
              <w:bottom w:val="single" w:sz="4" w:space="0" w:color="auto"/>
            </w:tcBorders>
            <w:shd w:val="clear" w:color="auto" w:fill="auto"/>
            <w:noWrap/>
            <w:vAlign w:val="bottom"/>
            <w:hideMark/>
          </w:tcPr>
          <w:p w14:paraId="4EAFAED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Min</w:t>
            </w:r>
          </w:p>
        </w:tc>
        <w:tc>
          <w:tcPr>
            <w:tcW w:w="605" w:type="pct"/>
            <w:tcBorders>
              <w:top w:val="double" w:sz="4" w:space="0" w:color="auto"/>
              <w:bottom w:val="single" w:sz="4" w:space="0" w:color="auto"/>
              <w:right w:val="nil"/>
            </w:tcBorders>
            <w:shd w:val="clear" w:color="auto" w:fill="auto"/>
            <w:noWrap/>
            <w:vAlign w:val="bottom"/>
            <w:hideMark/>
          </w:tcPr>
          <w:p w14:paraId="44D42CC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Max</w:t>
            </w:r>
          </w:p>
        </w:tc>
      </w:tr>
      <w:tr w:rsidR="00F00E3D" w:rsidRPr="00335312" w14:paraId="730779BE" w14:textId="77777777" w:rsidTr="009B2FA7">
        <w:trPr>
          <w:trHeight w:val="290"/>
        </w:trPr>
        <w:tc>
          <w:tcPr>
            <w:tcW w:w="967" w:type="pct"/>
            <w:tcBorders>
              <w:top w:val="single" w:sz="4" w:space="0" w:color="auto"/>
              <w:bottom w:val="nil"/>
              <w:right w:val="single" w:sz="4" w:space="0" w:color="auto"/>
            </w:tcBorders>
            <w:shd w:val="clear" w:color="auto" w:fill="auto"/>
            <w:noWrap/>
            <w:vAlign w:val="bottom"/>
            <w:hideMark/>
          </w:tcPr>
          <w:p w14:paraId="4F66F1F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Price</w:t>
            </w:r>
          </w:p>
        </w:tc>
        <w:tc>
          <w:tcPr>
            <w:tcW w:w="1382" w:type="pct"/>
            <w:tcBorders>
              <w:top w:val="single" w:sz="4" w:space="0" w:color="auto"/>
              <w:right w:val="single" w:sz="4" w:space="0" w:color="auto"/>
            </w:tcBorders>
          </w:tcPr>
          <w:p w14:paraId="3B5D7E9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Transactional Price</w:t>
            </w:r>
          </w:p>
        </w:tc>
        <w:tc>
          <w:tcPr>
            <w:tcW w:w="681" w:type="pct"/>
            <w:tcBorders>
              <w:top w:val="single" w:sz="4" w:space="0" w:color="auto"/>
              <w:left w:val="single" w:sz="4" w:space="0" w:color="auto"/>
            </w:tcBorders>
            <w:shd w:val="clear" w:color="auto" w:fill="auto"/>
            <w:noWrap/>
            <w:hideMark/>
          </w:tcPr>
          <w:p w14:paraId="0CCDB22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652,887</w:t>
            </w:r>
          </w:p>
        </w:tc>
        <w:tc>
          <w:tcPr>
            <w:tcW w:w="530" w:type="pct"/>
            <w:tcBorders>
              <w:top w:val="single" w:sz="4" w:space="0" w:color="auto"/>
            </w:tcBorders>
            <w:shd w:val="clear" w:color="auto" w:fill="auto"/>
            <w:noWrap/>
            <w:hideMark/>
          </w:tcPr>
          <w:p w14:paraId="4A39745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739,622 </w:t>
            </w:r>
          </w:p>
        </w:tc>
        <w:tc>
          <w:tcPr>
            <w:tcW w:w="531" w:type="pct"/>
            <w:tcBorders>
              <w:top w:val="single" w:sz="4" w:space="0" w:color="auto"/>
            </w:tcBorders>
            <w:shd w:val="clear" w:color="auto" w:fill="auto"/>
            <w:noWrap/>
            <w:hideMark/>
          </w:tcPr>
          <w:p w14:paraId="1930069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542,052 </w:t>
            </w:r>
          </w:p>
        </w:tc>
        <w:tc>
          <w:tcPr>
            <w:tcW w:w="303" w:type="pct"/>
            <w:tcBorders>
              <w:top w:val="single" w:sz="4" w:space="0" w:color="auto"/>
            </w:tcBorders>
            <w:shd w:val="clear" w:color="auto" w:fill="auto"/>
            <w:noWrap/>
            <w:hideMark/>
          </w:tcPr>
          <w:p w14:paraId="6279AD6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1825</w:t>
            </w:r>
          </w:p>
        </w:tc>
        <w:tc>
          <w:tcPr>
            <w:tcW w:w="605" w:type="pct"/>
            <w:tcBorders>
              <w:top w:val="single" w:sz="4" w:space="0" w:color="auto"/>
              <w:right w:val="nil"/>
            </w:tcBorders>
            <w:shd w:val="clear" w:color="auto" w:fill="auto"/>
            <w:noWrap/>
            <w:hideMark/>
          </w:tcPr>
          <w:p w14:paraId="70FE9E3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3,050,000 </w:t>
            </w:r>
          </w:p>
        </w:tc>
      </w:tr>
      <w:tr w:rsidR="00F00E3D" w:rsidRPr="00335312" w14:paraId="3A32D0D8" w14:textId="77777777" w:rsidTr="009B2FA7">
        <w:trPr>
          <w:trHeight w:val="290"/>
        </w:trPr>
        <w:tc>
          <w:tcPr>
            <w:tcW w:w="967" w:type="pct"/>
            <w:tcBorders>
              <w:top w:val="nil"/>
              <w:bottom w:val="nil"/>
              <w:right w:val="single" w:sz="4" w:space="0" w:color="auto"/>
            </w:tcBorders>
            <w:shd w:val="clear" w:color="auto" w:fill="auto"/>
            <w:noWrap/>
            <w:vAlign w:val="bottom"/>
            <w:hideMark/>
          </w:tcPr>
          <w:p w14:paraId="00D653D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Size</w:t>
            </w:r>
          </w:p>
        </w:tc>
        <w:tc>
          <w:tcPr>
            <w:tcW w:w="1382" w:type="pct"/>
            <w:tcBorders>
              <w:right w:val="single" w:sz="4" w:space="0" w:color="auto"/>
            </w:tcBorders>
          </w:tcPr>
          <w:p w14:paraId="395BA65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Size of land/building</w:t>
            </w:r>
          </w:p>
        </w:tc>
        <w:tc>
          <w:tcPr>
            <w:tcW w:w="681" w:type="pct"/>
            <w:tcBorders>
              <w:left w:val="single" w:sz="4" w:space="0" w:color="auto"/>
            </w:tcBorders>
            <w:shd w:val="clear" w:color="auto" w:fill="auto"/>
            <w:noWrap/>
            <w:hideMark/>
          </w:tcPr>
          <w:p w14:paraId="0C0930C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646,549</w:t>
            </w:r>
          </w:p>
        </w:tc>
        <w:tc>
          <w:tcPr>
            <w:tcW w:w="530" w:type="pct"/>
            <w:shd w:val="clear" w:color="auto" w:fill="auto"/>
            <w:noWrap/>
            <w:hideMark/>
          </w:tcPr>
          <w:p w14:paraId="57A0E0B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1,235</w:t>
            </w:r>
          </w:p>
        </w:tc>
        <w:tc>
          <w:tcPr>
            <w:tcW w:w="531" w:type="pct"/>
            <w:shd w:val="clear" w:color="auto" w:fill="auto"/>
            <w:noWrap/>
            <w:hideMark/>
          </w:tcPr>
          <w:p w14:paraId="51D99C9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3,309</w:t>
            </w:r>
          </w:p>
        </w:tc>
        <w:tc>
          <w:tcPr>
            <w:tcW w:w="303" w:type="pct"/>
            <w:shd w:val="clear" w:color="auto" w:fill="auto"/>
            <w:noWrap/>
            <w:hideMark/>
          </w:tcPr>
          <w:p w14:paraId="2458BA4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92.00</w:t>
            </w:r>
          </w:p>
        </w:tc>
        <w:tc>
          <w:tcPr>
            <w:tcW w:w="605" w:type="pct"/>
            <w:tcBorders>
              <w:right w:val="nil"/>
            </w:tcBorders>
            <w:shd w:val="clear" w:color="auto" w:fill="auto"/>
            <w:noWrap/>
            <w:hideMark/>
          </w:tcPr>
          <w:p w14:paraId="7AEEE77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41,163 </w:t>
            </w:r>
          </w:p>
        </w:tc>
      </w:tr>
      <w:tr w:rsidR="00F00E3D" w:rsidRPr="00335312" w14:paraId="0DCBAB91" w14:textId="77777777" w:rsidTr="009B2FA7">
        <w:trPr>
          <w:trHeight w:val="290"/>
        </w:trPr>
        <w:tc>
          <w:tcPr>
            <w:tcW w:w="967" w:type="pct"/>
            <w:tcBorders>
              <w:top w:val="nil"/>
              <w:bottom w:val="nil"/>
              <w:right w:val="single" w:sz="4" w:space="0" w:color="auto"/>
            </w:tcBorders>
            <w:shd w:val="clear" w:color="auto" w:fill="auto"/>
            <w:noWrap/>
            <w:vAlign w:val="bottom"/>
            <w:hideMark/>
          </w:tcPr>
          <w:p w14:paraId="4A82B7D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No.Beds</w:t>
            </w:r>
          </w:p>
        </w:tc>
        <w:tc>
          <w:tcPr>
            <w:tcW w:w="1382" w:type="pct"/>
            <w:tcBorders>
              <w:right w:val="single" w:sz="4" w:space="0" w:color="auto"/>
            </w:tcBorders>
          </w:tcPr>
          <w:p w14:paraId="13D2ECD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Number of Bedrooms</w:t>
            </w:r>
          </w:p>
        </w:tc>
        <w:tc>
          <w:tcPr>
            <w:tcW w:w="681" w:type="pct"/>
            <w:tcBorders>
              <w:left w:val="single" w:sz="4" w:space="0" w:color="auto"/>
            </w:tcBorders>
            <w:shd w:val="clear" w:color="auto" w:fill="auto"/>
            <w:noWrap/>
            <w:hideMark/>
          </w:tcPr>
          <w:p w14:paraId="1DD425F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659,646</w:t>
            </w:r>
          </w:p>
        </w:tc>
        <w:tc>
          <w:tcPr>
            <w:tcW w:w="530" w:type="pct"/>
            <w:shd w:val="clear" w:color="auto" w:fill="auto"/>
            <w:noWrap/>
            <w:hideMark/>
          </w:tcPr>
          <w:p w14:paraId="6EC0F08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3.32</w:t>
            </w:r>
          </w:p>
        </w:tc>
        <w:tc>
          <w:tcPr>
            <w:tcW w:w="531" w:type="pct"/>
            <w:shd w:val="clear" w:color="auto" w:fill="auto"/>
            <w:noWrap/>
            <w:hideMark/>
          </w:tcPr>
          <w:p w14:paraId="7AD88B0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1.07</w:t>
            </w:r>
          </w:p>
        </w:tc>
        <w:tc>
          <w:tcPr>
            <w:tcW w:w="303" w:type="pct"/>
            <w:shd w:val="clear" w:color="auto" w:fill="auto"/>
            <w:noWrap/>
            <w:hideMark/>
          </w:tcPr>
          <w:p w14:paraId="6059EAC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605" w:type="pct"/>
            <w:tcBorders>
              <w:right w:val="nil"/>
            </w:tcBorders>
            <w:shd w:val="clear" w:color="auto" w:fill="auto"/>
            <w:noWrap/>
            <w:hideMark/>
          </w:tcPr>
          <w:p w14:paraId="749185E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183.00</w:t>
            </w:r>
          </w:p>
        </w:tc>
      </w:tr>
      <w:tr w:rsidR="00F00E3D" w:rsidRPr="00335312" w14:paraId="25F93E4F" w14:textId="77777777" w:rsidTr="009B2FA7">
        <w:trPr>
          <w:trHeight w:val="290"/>
        </w:trPr>
        <w:tc>
          <w:tcPr>
            <w:tcW w:w="967" w:type="pct"/>
            <w:tcBorders>
              <w:top w:val="nil"/>
              <w:bottom w:val="nil"/>
              <w:right w:val="single" w:sz="4" w:space="0" w:color="auto"/>
            </w:tcBorders>
            <w:shd w:val="clear" w:color="auto" w:fill="auto"/>
            <w:noWrap/>
            <w:vAlign w:val="bottom"/>
            <w:hideMark/>
          </w:tcPr>
          <w:p w14:paraId="5981A4D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No.Baths</w:t>
            </w:r>
          </w:p>
        </w:tc>
        <w:tc>
          <w:tcPr>
            <w:tcW w:w="1382" w:type="pct"/>
            <w:tcBorders>
              <w:right w:val="single" w:sz="4" w:space="0" w:color="auto"/>
            </w:tcBorders>
          </w:tcPr>
          <w:p w14:paraId="5D9D39F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Number of Bathroom</w:t>
            </w:r>
          </w:p>
        </w:tc>
        <w:tc>
          <w:tcPr>
            <w:tcW w:w="681" w:type="pct"/>
            <w:tcBorders>
              <w:left w:val="single" w:sz="4" w:space="0" w:color="auto"/>
            </w:tcBorders>
            <w:shd w:val="clear" w:color="auto" w:fill="auto"/>
            <w:noWrap/>
            <w:hideMark/>
          </w:tcPr>
          <w:p w14:paraId="73C5E0F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659,646</w:t>
            </w:r>
          </w:p>
        </w:tc>
        <w:tc>
          <w:tcPr>
            <w:tcW w:w="530" w:type="pct"/>
            <w:shd w:val="clear" w:color="auto" w:fill="auto"/>
            <w:noWrap/>
            <w:hideMark/>
          </w:tcPr>
          <w:p w14:paraId="0953757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1.60</w:t>
            </w:r>
          </w:p>
        </w:tc>
        <w:tc>
          <w:tcPr>
            <w:tcW w:w="531" w:type="pct"/>
            <w:shd w:val="clear" w:color="auto" w:fill="auto"/>
            <w:noWrap/>
            <w:hideMark/>
          </w:tcPr>
          <w:p w14:paraId="61CD152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0.84</w:t>
            </w:r>
          </w:p>
        </w:tc>
        <w:tc>
          <w:tcPr>
            <w:tcW w:w="303" w:type="pct"/>
            <w:shd w:val="clear" w:color="auto" w:fill="auto"/>
            <w:noWrap/>
            <w:hideMark/>
          </w:tcPr>
          <w:p w14:paraId="13B0DC8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605" w:type="pct"/>
            <w:tcBorders>
              <w:right w:val="nil"/>
            </w:tcBorders>
            <w:shd w:val="clear" w:color="auto" w:fill="auto"/>
            <w:noWrap/>
            <w:hideMark/>
          </w:tcPr>
          <w:p w14:paraId="0309B1D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19.00</w:t>
            </w:r>
          </w:p>
        </w:tc>
      </w:tr>
      <w:tr w:rsidR="00F00E3D" w:rsidRPr="00335312" w14:paraId="7E9175A9" w14:textId="77777777" w:rsidTr="009B2FA7">
        <w:trPr>
          <w:trHeight w:val="290"/>
        </w:trPr>
        <w:tc>
          <w:tcPr>
            <w:tcW w:w="967" w:type="pct"/>
            <w:tcBorders>
              <w:top w:val="nil"/>
              <w:bottom w:val="nil"/>
              <w:right w:val="single" w:sz="4" w:space="0" w:color="auto"/>
            </w:tcBorders>
            <w:shd w:val="clear" w:color="auto" w:fill="auto"/>
            <w:noWrap/>
            <w:vAlign w:val="bottom"/>
            <w:hideMark/>
          </w:tcPr>
          <w:p w14:paraId="65D81A1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No.Parking</w:t>
            </w:r>
          </w:p>
        </w:tc>
        <w:tc>
          <w:tcPr>
            <w:tcW w:w="1382" w:type="pct"/>
            <w:tcBorders>
              <w:right w:val="single" w:sz="4" w:space="0" w:color="auto"/>
            </w:tcBorders>
          </w:tcPr>
          <w:p w14:paraId="2E6CE5F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Number of Carpark</w:t>
            </w:r>
          </w:p>
        </w:tc>
        <w:tc>
          <w:tcPr>
            <w:tcW w:w="681" w:type="pct"/>
            <w:tcBorders>
              <w:left w:val="single" w:sz="4" w:space="0" w:color="auto"/>
            </w:tcBorders>
            <w:shd w:val="clear" w:color="auto" w:fill="auto"/>
            <w:noWrap/>
            <w:hideMark/>
          </w:tcPr>
          <w:p w14:paraId="22BE8B1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659,646</w:t>
            </w:r>
          </w:p>
        </w:tc>
        <w:tc>
          <w:tcPr>
            <w:tcW w:w="530" w:type="pct"/>
            <w:shd w:val="clear" w:color="auto" w:fill="auto"/>
            <w:noWrap/>
            <w:hideMark/>
          </w:tcPr>
          <w:p w14:paraId="02EA0BA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1.87</w:t>
            </w:r>
          </w:p>
        </w:tc>
        <w:tc>
          <w:tcPr>
            <w:tcW w:w="531" w:type="pct"/>
            <w:shd w:val="clear" w:color="auto" w:fill="auto"/>
            <w:noWrap/>
            <w:hideMark/>
          </w:tcPr>
          <w:p w14:paraId="67CED96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1.35</w:t>
            </w:r>
          </w:p>
        </w:tc>
        <w:tc>
          <w:tcPr>
            <w:tcW w:w="303" w:type="pct"/>
            <w:shd w:val="clear" w:color="auto" w:fill="auto"/>
            <w:noWrap/>
            <w:hideMark/>
          </w:tcPr>
          <w:p w14:paraId="0576C09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605" w:type="pct"/>
            <w:tcBorders>
              <w:right w:val="nil"/>
            </w:tcBorders>
            <w:shd w:val="clear" w:color="auto" w:fill="auto"/>
            <w:noWrap/>
            <w:hideMark/>
          </w:tcPr>
          <w:p w14:paraId="37C7944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40.00</w:t>
            </w:r>
          </w:p>
        </w:tc>
      </w:tr>
      <w:tr w:rsidR="00F00E3D" w:rsidRPr="00335312" w14:paraId="6459B655" w14:textId="77777777" w:rsidTr="009B2FA7">
        <w:trPr>
          <w:trHeight w:val="290"/>
        </w:trPr>
        <w:tc>
          <w:tcPr>
            <w:tcW w:w="967" w:type="pct"/>
            <w:tcBorders>
              <w:top w:val="nil"/>
              <w:bottom w:val="nil"/>
              <w:right w:val="single" w:sz="4" w:space="0" w:color="auto"/>
            </w:tcBorders>
            <w:shd w:val="clear" w:color="auto" w:fill="auto"/>
            <w:noWrap/>
            <w:vAlign w:val="bottom"/>
            <w:hideMark/>
          </w:tcPr>
          <w:p w14:paraId="2D5BC1DE" w14:textId="31FF6248" w:rsidR="00F00E3D" w:rsidRPr="00335312" w:rsidRDefault="00940D80" w:rsidP="002C52A2">
            <w:pPr>
              <w:spacing w:after="0" w:line="240" w:lineRule="auto"/>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COVID</w:t>
            </w:r>
            <w:r w:rsidR="00F00E3D" w:rsidRPr="00335312">
              <w:rPr>
                <w:rFonts w:asciiTheme="majorHAnsi" w:eastAsia="Times New Roman" w:hAnsiTheme="majorHAnsi" w:cstheme="majorHAnsi"/>
                <w:color w:val="000000"/>
                <w:sz w:val="20"/>
                <w:szCs w:val="20"/>
              </w:rPr>
              <w:t xml:space="preserve"> Period</w:t>
            </w:r>
          </w:p>
        </w:tc>
        <w:tc>
          <w:tcPr>
            <w:tcW w:w="1382" w:type="pct"/>
            <w:tcBorders>
              <w:right w:val="single" w:sz="4" w:space="0" w:color="auto"/>
            </w:tcBorders>
          </w:tcPr>
          <w:p w14:paraId="342923A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Period:17</w:t>
            </w:r>
            <w:r w:rsidRPr="00335312">
              <w:rPr>
                <w:rFonts w:asciiTheme="majorHAnsi" w:eastAsia="Times New Roman" w:hAnsiTheme="majorHAnsi" w:cstheme="majorHAnsi"/>
                <w:color w:val="000000"/>
                <w:sz w:val="20"/>
                <w:szCs w:val="20"/>
                <w:vertAlign w:val="superscript"/>
              </w:rPr>
              <w:t>th</w:t>
            </w:r>
            <w:r w:rsidRPr="00335312">
              <w:rPr>
                <w:rFonts w:asciiTheme="majorHAnsi" w:eastAsia="Times New Roman" w:hAnsiTheme="majorHAnsi" w:cstheme="majorHAnsi"/>
                <w:color w:val="000000"/>
                <w:sz w:val="20"/>
                <w:szCs w:val="20"/>
              </w:rPr>
              <w:t xml:space="preserve"> March to 31</w:t>
            </w:r>
            <w:r w:rsidRPr="00335312">
              <w:rPr>
                <w:rFonts w:asciiTheme="majorHAnsi" w:eastAsia="Times New Roman" w:hAnsiTheme="majorHAnsi" w:cstheme="majorHAnsi"/>
                <w:color w:val="000000"/>
                <w:sz w:val="20"/>
                <w:szCs w:val="20"/>
                <w:vertAlign w:val="superscript"/>
              </w:rPr>
              <w:t>st</w:t>
            </w:r>
            <w:r w:rsidRPr="00335312">
              <w:rPr>
                <w:rFonts w:asciiTheme="majorHAnsi" w:eastAsia="Times New Roman" w:hAnsiTheme="majorHAnsi" w:cstheme="majorHAnsi"/>
                <w:color w:val="000000"/>
                <w:sz w:val="20"/>
                <w:szCs w:val="20"/>
              </w:rPr>
              <w:t xml:space="preserve"> October 2020</w:t>
            </w:r>
          </w:p>
        </w:tc>
        <w:tc>
          <w:tcPr>
            <w:tcW w:w="681" w:type="pct"/>
            <w:tcBorders>
              <w:left w:val="single" w:sz="4" w:space="0" w:color="auto"/>
            </w:tcBorders>
            <w:shd w:val="clear" w:color="auto" w:fill="auto"/>
            <w:noWrap/>
            <w:hideMark/>
          </w:tcPr>
          <w:p w14:paraId="2949E53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659,646</w:t>
            </w:r>
          </w:p>
        </w:tc>
        <w:tc>
          <w:tcPr>
            <w:tcW w:w="530" w:type="pct"/>
            <w:shd w:val="clear" w:color="auto" w:fill="auto"/>
            <w:noWrap/>
            <w:hideMark/>
          </w:tcPr>
          <w:p w14:paraId="12EB01C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0.09</w:t>
            </w:r>
          </w:p>
        </w:tc>
        <w:tc>
          <w:tcPr>
            <w:tcW w:w="531" w:type="pct"/>
            <w:shd w:val="clear" w:color="auto" w:fill="auto"/>
            <w:noWrap/>
            <w:hideMark/>
          </w:tcPr>
          <w:p w14:paraId="5CB06C8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0.28</w:t>
            </w:r>
          </w:p>
        </w:tc>
        <w:tc>
          <w:tcPr>
            <w:tcW w:w="303" w:type="pct"/>
            <w:shd w:val="clear" w:color="auto" w:fill="auto"/>
            <w:noWrap/>
            <w:hideMark/>
          </w:tcPr>
          <w:p w14:paraId="7741A36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605" w:type="pct"/>
            <w:tcBorders>
              <w:right w:val="nil"/>
            </w:tcBorders>
            <w:shd w:val="clear" w:color="auto" w:fill="auto"/>
            <w:noWrap/>
            <w:hideMark/>
          </w:tcPr>
          <w:p w14:paraId="2C26B77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1.00</w:t>
            </w:r>
          </w:p>
        </w:tc>
      </w:tr>
      <w:tr w:rsidR="00F00E3D" w:rsidRPr="00335312" w14:paraId="3B2FCF48" w14:textId="77777777" w:rsidTr="009B2FA7">
        <w:trPr>
          <w:trHeight w:val="290"/>
        </w:trPr>
        <w:tc>
          <w:tcPr>
            <w:tcW w:w="967" w:type="pct"/>
            <w:tcBorders>
              <w:top w:val="nil"/>
              <w:bottom w:val="nil"/>
              <w:right w:val="single" w:sz="4" w:space="0" w:color="auto"/>
            </w:tcBorders>
            <w:shd w:val="clear" w:color="auto" w:fill="auto"/>
            <w:noWrap/>
            <w:vAlign w:val="bottom"/>
            <w:hideMark/>
          </w:tcPr>
          <w:p w14:paraId="60B4D41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Regional VIC</w:t>
            </w:r>
          </w:p>
        </w:tc>
        <w:tc>
          <w:tcPr>
            <w:tcW w:w="1382" w:type="pct"/>
            <w:tcBorders>
              <w:right w:val="single" w:sz="4" w:space="0" w:color="auto"/>
            </w:tcBorders>
          </w:tcPr>
          <w:p w14:paraId="143A325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Regional Victoria</w:t>
            </w:r>
          </w:p>
        </w:tc>
        <w:tc>
          <w:tcPr>
            <w:tcW w:w="681" w:type="pct"/>
            <w:tcBorders>
              <w:left w:val="single" w:sz="4" w:space="0" w:color="auto"/>
            </w:tcBorders>
            <w:shd w:val="clear" w:color="auto" w:fill="auto"/>
            <w:noWrap/>
            <w:hideMark/>
          </w:tcPr>
          <w:p w14:paraId="17A9998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659,646</w:t>
            </w:r>
          </w:p>
        </w:tc>
        <w:tc>
          <w:tcPr>
            <w:tcW w:w="530" w:type="pct"/>
            <w:shd w:val="clear" w:color="auto" w:fill="auto"/>
            <w:noWrap/>
            <w:hideMark/>
          </w:tcPr>
          <w:p w14:paraId="6073C82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0.41</w:t>
            </w:r>
          </w:p>
        </w:tc>
        <w:tc>
          <w:tcPr>
            <w:tcW w:w="531" w:type="pct"/>
            <w:shd w:val="clear" w:color="auto" w:fill="auto"/>
            <w:noWrap/>
            <w:hideMark/>
          </w:tcPr>
          <w:p w14:paraId="54D2608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0.49</w:t>
            </w:r>
          </w:p>
        </w:tc>
        <w:tc>
          <w:tcPr>
            <w:tcW w:w="303" w:type="pct"/>
            <w:shd w:val="clear" w:color="auto" w:fill="auto"/>
            <w:noWrap/>
            <w:hideMark/>
          </w:tcPr>
          <w:p w14:paraId="25CDE52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605" w:type="pct"/>
            <w:tcBorders>
              <w:right w:val="nil"/>
            </w:tcBorders>
            <w:shd w:val="clear" w:color="auto" w:fill="auto"/>
            <w:noWrap/>
            <w:hideMark/>
          </w:tcPr>
          <w:p w14:paraId="66DCAEE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1.00</w:t>
            </w:r>
          </w:p>
        </w:tc>
      </w:tr>
      <w:tr w:rsidR="00F00E3D" w:rsidRPr="00335312" w14:paraId="29A03E3E" w14:textId="77777777" w:rsidTr="009B2FA7">
        <w:trPr>
          <w:trHeight w:val="290"/>
        </w:trPr>
        <w:tc>
          <w:tcPr>
            <w:tcW w:w="967" w:type="pct"/>
            <w:tcBorders>
              <w:top w:val="nil"/>
              <w:bottom w:val="nil"/>
              <w:right w:val="single" w:sz="4" w:space="0" w:color="auto"/>
            </w:tcBorders>
            <w:shd w:val="clear" w:color="auto" w:fill="auto"/>
            <w:noWrap/>
            <w:vAlign w:val="bottom"/>
            <w:hideMark/>
          </w:tcPr>
          <w:p w14:paraId="342FC96F" w14:textId="7ACA2229" w:rsidR="00F00E3D" w:rsidRPr="00335312" w:rsidRDefault="00203685"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Geelong</w:t>
            </w:r>
          </w:p>
        </w:tc>
        <w:tc>
          <w:tcPr>
            <w:tcW w:w="1382" w:type="pct"/>
            <w:tcBorders>
              <w:right w:val="single" w:sz="4" w:space="0" w:color="auto"/>
            </w:tcBorders>
          </w:tcPr>
          <w:p w14:paraId="284F7DB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Greater Geelong</w:t>
            </w:r>
          </w:p>
        </w:tc>
        <w:tc>
          <w:tcPr>
            <w:tcW w:w="681" w:type="pct"/>
            <w:tcBorders>
              <w:left w:val="single" w:sz="4" w:space="0" w:color="auto"/>
            </w:tcBorders>
            <w:shd w:val="clear" w:color="auto" w:fill="auto"/>
            <w:noWrap/>
            <w:hideMark/>
          </w:tcPr>
          <w:p w14:paraId="0C96BFE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659,646</w:t>
            </w:r>
          </w:p>
        </w:tc>
        <w:tc>
          <w:tcPr>
            <w:tcW w:w="530" w:type="pct"/>
            <w:shd w:val="clear" w:color="auto" w:fill="auto"/>
            <w:noWrap/>
            <w:hideMark/>
          </w:tcPr>
          <w:p w14:paraId="0E4BF1E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0.04</w:t>
            </w:r>
          </w:p>
        </w:tc>
        <w:tc>
          <w:tcPr>
            <w:tcW w:w="531" w:type="pct"/>
            <w:shd w:val="clear" w:color="auto" w:fill="auto"/>
            <w:noWrap/>
            <w:hideMark/>
          </w:tcPr>
          <w:p w14:paraId="128B281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0.20</w:t>
            </w:r>
          </w:p>
        </w:tc>
        <w:tc>
          <w:tcPr>
            <w:tcW w:w="303" w:type="pct"/>
            <w:shd w:val="clear" w:color="auto" w:fill="auto"/>
            <w:noWrap/>
            <w:hideMark/>
          </w:tcPr>
          <w:p w14:paraId="7F8DF50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605" w:type="pct"/>
            <w:tcBorders>
              <w:right w:val="nil"/>
            </w:tcBorders>
            <w:shd w:val="clear" w:color="auto" w:fill="auto"/>
            <w:noWrap/>
            <w:hideMark/>
          </w:tcPr>
          <w:p w14:paraId="03FD5B3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1.00</w:t>
            </w:r>
          </w:p>
        </w:tc>
      </w:tr>
      <w:tr w:rsidR="00F00E3D" w:rsidRPr="00335312" w14:paraId="1BC51209" w14:textId="77777777" w:rsidTr="009B2FA7">
        <w:trPr>
          <w:trHeight w:val="290"/>
        </w:trPr>
        <w:tc>
          <w:tcPr>
            <w:tcW w:w="967" w:type="pct"/>
            <w:tcBorders>
              <w:top w:val="nil"/>
              <w:bottom w:val="nil"/>
              <w:right w:val="single" w:sz="4" w:space="0" w:color="auto"/>
            </w:tcBorders>
            <w:shd w:val="clear" w:color="auto" w:fill="auto"/>
            <w:noWrap/>
            <w:vAlign w:val="bottom"/>
            <w:hideMark/>
          </w:tcPr>
          <w:p w14:paraId="0380A96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Focal Suburbs</w:t>
            </w:r>
          </w:p>
        </w:tc>
        <w:tc>
          <w:tcPr>
            <w:tcW w:w="1382" w:type="pct"/>
            <w:tcBorders>
              <w:right w:val="single" w:sz="4" w:space="0" w:color="auto"/>
            </w:tcBorders>
          </w:tcPr>
          <w:p w14:paraId="79EF252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Focal three suburbs</w:t>
            </w:r>
          </w:p>
        </w:tc>
        <w:tc>
          <w:tcPr>
            <w:tcW w:w="681" w:type="pct"/>
            <w:tcBorders>
              <w:left w:val="single" w:sz="4" w:space="0" w:color="auto"/>
            </w:tcBorders>
            <w:shd w:val="clear" w:color="auto" w:fill="auto"/>
            <w:noWrap/>
            <w:hideMark/>
          </w:tcPr>
          <w:p w14:paraId="6670985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659,646</w:t>
            </w:r>
          </w:p>
        </w:tc>
        <w:tc>
          <w:tcPr>
            <w:tcW w:w="530" w:type="pct"/>
            <w:shd w:val="clear" w:color="auto" w:fill="auto"/>
            <w:noWrap/>
            <w:hideMark/>
          </w:tcPr>
          <w:p w14:paraId="089024C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0.01</w:t>
            </w:r>
          </w:p>
        </w:tc>
        <w:tc>
          <w:tcPr>
            <w:tcW w:w="531" w:type="pct"/>
            <w:shd w:val="clear" w:color="auto" w:fill="auto"/>
            <w:noWrap/>
            <w:hideMark/>
          </w:tcPr>
          <w:p w14:paraId="1CDFDFD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0.08</w:t>
            </w:r>
          </w:p>
        </w:tc>
        <w:tc>
          <w:tcPr>
            <w:tcW w:w="303" w:type="pct"/>
            <w:shd w:val="clear" w:color="auto" w:fill="auto"/>
            <w:noWrap/>
            <w:hideMark/>
          </w:tcPr>
          <w:p w14:paraId="539A935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605" w:type="pct"/>
            <w:tcBorders>
              <w:right w:val="nil"/>
            </w:tcBorders>
            <w:shd w:val="clear" w:color="auto" w:fill="auto"/>
            <w:noWrap/>
            <w:hideMark/>
          </w:tcPr>
          <w:p w14:paraId="6C12795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1.00</w:t>
            </w:r>
          </w:p>
        </w:tc>
      </w:tr>
      <w:tr w:rsidR="00F00E3D" w:rsidRPr="00335312" w14:paraId="24C57759" w14:textId="77777777" w:rsidTr="009B2FA7">
        <w:trPr>
          <w:trHeight w:val="290"/>
        </w:trPr>
        <w:tc>
          <w:tcPr>
            <w:tcW w:w="967" w:type="pct"/>
            <w:tcBorders>
              <w:top w:val="nil"/>
              <w:bottom w:val="nil"/>
              <w:right w:val="single" w:sz="4" w:space="0" w:color="auto"/>
            </w:tcBorders>
            <w:shd w:val="clear" w:color="auto" w:fill="auto"/>
            <w:noWrap/>
            <w:vAlign w:val="bottom"/>
            <w:hideMark/>
          </w:tcPr>
          <w:p w14:paraId="7251B59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DY-2015</w:t>
            </w:r>
          </w:p>
        </w:tc>
        <w:tc>
          <w:tcPr>
            <w:tcW w:w="1382" w:type="pct"/>
            <w:tcBorders>
              <w:right w:val="single" w:sz="4" w:space="0" w:color="auto"/>
            </w:tcBorders>
          </w:tcPr>
          <w:p w14:paraId="43B139C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2015</w:t>
            </w:r>
          </w:p>
        </w:tc>
        <w:tc>
          <w:tcPr>
            <w:tcW w:w="681" w:type="pct"/>
            <w:tcBorders>
              <w:left w:val="single" w:sz="4" w:space="0" w:color="auto"/>
            </w:tcBorders>
            <w:shd w:val="clear" w:color="auto" w:fill="auto"/>
            <w:noWrap/>
            <w:hideMark/>
          </w:tcPr>
          <w:p w14:paraId="010256F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659,646</w:t>
            </w:r>
          </w:p>
        </w:tc>
        <w:tc>
          <w:tcPr>
            <w:tcW w:w="530" w:type="pct"/>
            <w:shd w:val="clear" w:color="auto" w:fill="auto"/>
            <w:noWrap/>
            <w:hideMark/>
          </w:tcPr>
          <w:p w14:paraId="51CE389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0.16</w:t>
            </w:r>
          </w:p>
        </w:tc>
        <w:tc>
          <w:tcPr>
            <w:tcW w:w="531" w:type="pct"/>
            <w:shd w:val="clear" w:color="auto" w:fill="auto"/>
            <w:noWrap/>
            <w:hideMark/>
          </w:tcPr>
          <w:p w14:paraId="6F5EA97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0.37</w:t>
            </w:r>
          </w:p>
        </w:tc>
        <w:tc>
          <w:tcPr>
            <w:tcW w:w="303" w:type="pct"/>
            <w:shd w:val="clear" w:color="auto" w:fill="auto"/>
            <w:noWrap/>
            <w:hideMark/>
          </w:tcPr>
          <w:p w14:paraId="1D97212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605" w:type="pct"/>
            <w:tcBorders>
              <w:right w:val="nil"/>
            </w:tcBorders>
            <w:shd w:val="clear" w:color="auto" w:fill="auto"/>
            <w:noWrap/>
            <w:hideMark/>
          </w:tcPr>
          <w:p w14:paraId="49DFAB8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1.00</w:t>
            </w:r>
          </w:p>
        </w:tc>
      </w:tr>
      <w:tr w:rsidR="00F00E3D" w:rsidRPr="00335312" w14:paraId="459DA4AD" w14:textId="77777777" w:rsidTr="009B2FA7">
        <w:trPr>
          <w:trHeight w:val="290"/>
        </w:trPr>
        <w:tc>
          <w:tcPr>
            <w:tcW w:w="967" w:type="pct"/>
            <w:tcBorders>
              <w:top w:val="nil"/>
              <w:bottom w:val="nil"/>
              <w:right w:val="single" w:sz="4" w:space="0" w:color="auto"/>
            </w:tcBorders>
            <w:shd w:val="clear" w:color="auto" w:fill="auto"/>
            <w:noWrap/>
            <w:vAlign w:val="bottom"/>
            <w:hideMark/>
          </w:tcPr>
          <w:p w14:paraId="4680687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DY-2016</w:t>
            </w:r>
          </w:p>
        </w:tc>
        <w:tc>
          <w:tcPr>
            <w:tcW w:w="1382" w:type="pct"/>
            <w:tcBorders>
              <w:right w:val="single" w:sz="4" w:space="0" w:color="auto"/>
            </w:tcBorders>
          </w:tcPr>
          <w:p w14:paraId="4734CD5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2016</w:t>
            </w:r>
          </w:p>
        </w:tc>
        <w:tc>
          <w:tcPr>
            <w:tcW w:w="681" w:type="pct"/>
            <w:tcBorders>
              <w:left w:val="single" w:sz="4" w:space="0" w:color="auto"/>
            </w:tcBorders>
            <w:shd w:val="clear" w:color="auto" w:fill="auto"/>
            <w:noWrap/>
            <w:hideMark/>
          </w:tcPr>
          <w:p w14:paraId="4FB54A5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659,646</w:t>
            </w:r>
          </w:p>
        </w:tc>
        <w:tc>
          <w:tcPr>
            <w:tcW w:w="530" w:type="pct"/>
            <w:shd w:val="clear" w:color="auto" w:fill="auto"/>
            <w:noWrap/>
            <w:hideMark/>
          </w:tcPr>
          <w:p w14:paraId="78F26C2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0.16</w:t>
            </w:r>
          </w:p>
        </w:tc>
        <w:tc>
          <w:tcPr>
            <w:tcW w:w="531" w:type="pct"/>
            <w:shd w:val="clear" w:color="auto" w:fill="auto"/>
            <w:noWrap/>
            <w:hideMark/>
          </w:tcPr>
          <w:p w14:paraId="072C385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0.37</w:t>
            </w:r>
          </w:p>
        </w:tc>
        <w:tc>
          <w:tcPr>
            <w:tcW w:w="303" w:type="pct"/>
            <w:shd w:val="clear" w:color="auto" w:fill="auto"/>
            <w:noWrap/>
            <w:hideMark/>
          </w:tcPr>
          <w:p w14:paraId="467A142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605" w:type="pct"/>
            <w:tcBorders>
              <w:right w:val="nil"/>
            </w:tcBorders>
            <w:shd w:val="clear" w:color="auto" w:fill="auto"/>
            <w:noWrap/>
            <w:hideMark/>
          </w:tcPr>
          <w:p w14:paraId="546519D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1.00</w:t>
            </w:r>
          </w:p>
        </w:tc>
      </w:tr>
      <w:tr w:rsidR="00F00E3D" w:rsidRPr="00335312" w14:paraId="57C8B386" w14:textId="77777777" w:rsidTr="009B2FA7">
        <w:trPr>
          <w:trHeight w:val="290"/>
        </w:trPr>
        <w:tc>
          <w:tcPr>
            <w:tcW w:w="967" w:type="pct"/>
            <w:tcBorders>
              <w:top w:val="nil"/>
              <w:bottom w:val="nil"/>
              <w:right w:val="single" w:sz="4" w:space="0" w:color="auto"/>
            </w:tcBorders>
            <w:shd w:val="clear" w:color="auto" w:fill="auto"/>
            <w:noWrap/>
            <w:vAlign w:val="bottom"/>
            <w:hideMark/>
          </w:tcPr>
          <w:p w14:paraId="4BC34A9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DY-2017</w:t>
            </w:r>
          </w:p>
        </w:tc>
        <w:tc>
          <w:tcPr>
            <w:tcW w:w="1382" w:type="pct"/>
            <w:tcBorders>
              <w:right w:val="single" w:sz="4" w:space="0" w:color="auto"/>
            </w:tcBorders>
          </w:tcPr>
          <w:p w14:paraId="1E10DF6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2017</w:t>
            </w:r>
          </w:p>
        </w:tc>
        <w:tc>
          <w:tcPr>
            <w:tcW w:w="681" w:type="pct"/>
            <w:tcBorders>
              <w:left w:val="single" w:sz="4" w:space="0" w:color="auto"/>
            </w:tcBorders>
            <w:shd w:val="clear" w:color="auto" w:fill="auto"/>
            <w:noWrap/>
            <w:hideMark/>
          </w:tcPr>
          <w:p w14:paraId="0857C29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659,646</w:t>
            </w:r>
          </w:p>
        </w:tc>
        <w:tc>
          <w:tcPr>
            <w:tcW w:w="530" w:type="pct"/>
            <w:shd w:val="clear" w:color="auto" w:fill="auto"/>
            <w:noWrap/>
            <w:hideMark/>
          </w:tcPr>
          <w:p w14:paraId="29D0257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0.18</w:t>
            </w:r>
          </w:p>
        </w:tc>
        <w:tc>
          <w:tcPr>
            <w:tcW w:w="531" w:type="pct"/>
            <w:shd w:val="clear" w:color="auto" w:fill="auto"/>
            <w:noWrap/>
            <w:hideMark/>
          </w:tcPr>
          <w:p w14:paraId="3139480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0.39</w:t>
            </w:r>
          </w:p>
        </w:tc>
        <w:tc>
          <w:tcPr>
            <w:tcW w:w="303" w:type="pct"/>
            <w:shd w:val="clear" w:color="auto" w:fill="auto"/>
            <w:noWrap/>
            <w:hideMark/>
          </w:tcPr>
          <w:p w14:paraId="7D8DF90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605" w:type="pct"/>
            <w:tcBorders>
              <w:right w:val="nil"/>
            </w:tcBorders>
            <w:shd w:val="clear" w:color="auto" w:fill="auto"/>
            <w:noWrap/>
            <w:hideMark/>
          </w:tcPr>
          <w:p w14:paraId="4A98823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1.00</w:t>
            </w:r>
          </w:p>
        </w:tc>
      </w:tr>
      <w:tr w:rsidR="00F00E3D" w:rsidRPr="00335312" w14:paraId="041169E1" w14:textId="77777777" w:rsidTr="009B2FA7">
        <w:trPr>
          <w:trHeight w:val="290"/>
        </w:trPr>
        <w:tc>
          <w:tcPr>
            <w:tcW w:w="967" w:type="pct"/>
            <w:tcBorders>
              <w:top w:val="nil"/>
              <w:bottom w:val="nil"/>
              <w:right w:val="single" w:sz="4" w:space="0" w:color="auto"/>
            </w:tcBorders>
            <w:shd w:val="clear" w:color="auto" w:fill="auto"/>
            <w:noWrap/>
            <w:vAlign w:val="bottom"/>
            <w:hideMark/>
          </w:tcPr>
          <w:p w14:paraId="499C0E5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DY-2018</w:t>
            </w:r>
          </w:p>
        </w:tc>
        <w:tc>
          <w:tcPr>
            <w:tcW w:w="1382" w:type="pct"/>
            <w:tcBorders>
              <w:right w:val="single" w:sz="4" w:space="0" w:color="auto"/>
            </w:tcBorders>
          </w:tcPr>
          <w:p w14:paraId="02DE362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2018</w:t>
            </w:r>
          </w:p>
        </w:tc>
        <w:tc>
          <w:tcPr>
            <w:tcW w:w="681" w:type="pct"/>
            <w:tcBorders>
              <w:left w:val="single" w:sz="4" w:space="0" w:color="auto"/>
            </w:tcBorders>
            <w:shd w:val="clear" w:color="auto" w:fill="auto"/>
            <w:noWrap/>
            <w:hideMark/>
          </w:tcPr>
          <w:p w14:paraId="21D16D1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659,646</w:t>
            </w:r>
          </w:p>
        </w:tc>
        <w:tc>
          <w:tcPr>
            <w:tcW w:w="530" w:type="pct"/>
            <w:shd w:val="clear" w:color="auto" w:fill="auto"/>
            <w:noWrap/>
            <w:hideMark/>
          </w:tcPr>
          <w:p w14:paraId="7A53A25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0.18</w:t>
            </w:r>
          </w:p>
        </w:tc>
        <w:tc>
          <w:tcPr>
            <w:tcW w:w="531" w:type="pct"/>
            <w:shd w:val="clear" w:color="auto" w:fill="auto"/>
            <w:noWrap/>
            <w:hideMark/>
          </w:tcPr>
          <w:p w14:paraId="7586D16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0.39</w:t>
            </w:r>
          </w:p>
        </w:tc>
        <w:tc>
          <w:tcPr>
            <w:tcW w:w="303" w:type="pct"/>
            <w:shd w:val="clear" w:color="auto" w:fill="auto"/>
            <w:noWrap/>
            <w:hideMark/>
          </w:tcPr>
          <w:p w14:paraId="501CE78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605" w:type="pct"/>
            <w:tcBorders>
              <w:right w:val="nil"/>
            </w:tcBorders>
            <w:shd w:val="clear" w:color="auto" w:fill="auto"/>
            <w:noWrap/>
            <w:hideMark/>
          </w:tcPr>
          <w:p w14:paraId="7FEB61B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1.00</w:t>
            </w:r>
          </w:p>
        </w:tc>
      </w:tr>
      <w:tr w:rsidR="00F00E3D" w:rsidRPr="00335312" w14:paraId="55529AFD" w14:textId="77777777" w:rsidTr="009B2FA7">
        <w:trPr>
          <w:trHeight w:val="290"/>
        </w:trPr>
        <w:tc>
          <w:tcPr>
            <w:tcW w:w="967" w:type="pct"/>
            <w:tcBorders>
              <w:top w:val="nil"/>
              <w:bottom w:val="nil"/>
              <w:right w:val="single" w:sz="4" w:space="0" w:color="auto"/>
            </w:tcBorders>
            <w:shd w:val="clear" w:color="auto" w:fill="auto"/>
            <w:noWrap/>
            <w:vAlign w:val="bottom"/>
            <w:hideMark/>
          </w:tcPr>
          <w:p w14:paraId="2B17848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DY-2019</w:t>
            </w:r>
          </w:p>
        </w:tc>
        <w:tc>
          <w:tcPr>
            <w:tcW w:w="1382" w:type="pct"/>
            <w:tcBorders>
              <w:right w:val="single" w:sz="4" w:space="0" w:color="auto"/>
            </w:tcBorders>
          </w:tcPr>
          <w:p w14:paraId="4043F3D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2019</w:t>
            </w:r>
          </w:p>
        </w:tc>
        <w:tc>
          <w:tcPr>
            <w:tcW w:w="681" w:type="pct"/>
            <w:tcBorders>
              <w:left w:val="single" w:sz="4" w:space="0" w:color="auto"/>
            </w:tcBorders>
            <w:shd w:val="clear" w:color="auto" w:fill="auto"/>
            <w:noWrap/>
            <w:hideMark/>
          </w:tcPr>
          <w:p w14:paraId="09EDDC1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659,646</w:t>
            </w:r>
          </w:p>
        </w:tc>
        <w:tc>
          <w:tcPr>
            <w:tcW w:w="530" w:type="pct"/>
            <w:shd w:val="clear" w:color="auto" w:fill="auto"/>
            <w:noWrap/>
            <w:hideMark/>
          </w:tcPr>
          <w:p w14:paraId="0522250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0.17</w:t>
            </w:r>
          </w:p>
        </w:tc>
        <w:tc>
          <w:tcPr>
            <w:tcW w:w="531" w:type="pct"/>
            <w:shd w:val="clear" w:color="auto" w:fill="auto"/>
            <w:noWrap/>
            <w:hideMark/>
          </w:tcPr>
          <w:p w14:paraId="09F3EF0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0.38</w:t>
            </w:r>
          </w:p>
        </w:tc>
        <w:tc>
          <w:tcPr>
            <w:tcW w:w="303" w:type="pct"/>
            <w:shd w:val="clear" w:color="auto" w:fill="auto"/>
            <w:noWrap/>
            <w:hideMark/>
          </w:tcPr>
          <w:p w14:paraId="6E26168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605" w:type="pct"/>
            <w:tcBorders>
              <w:right w:val="nil"/>
            </w:tcBorders>
            <w:shd w:val="clear" w:color="auto" w:fill="auto"/>
            <w:noWrap/>
            <w:hideMark/>
          </w:tcPr>
          <w:p w14:paraId="463AB58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1.00</w:t>
            </w:r>
          </w:p>
        </w:tc>
      </w:tr>
      <w:tr w:rsidR="00F00E3D" w:rsidRPr="00335312" w14:paraId="6B3EBAAA" w14:textId="77777777" w:rsidTr="009B2FA7">
        <w:trPr>
          <w:trHeight w:val="290"/>
        </w:trPr>
        <w:tc>
          <w:tcPr>
            <w:tcW w:w="967" w:type="pct"/>
            <w:tcBorders>
              <w:top w:val="nil"/>
              <w:bottom w:val="double" w:sz="4" w:space="0" w:color="auto"/>
              <w:right w:val="single" w:sz="4" w:space="0" w:color="auto"/>
            </w:tcBorders>
            <w:shd w:val="clear" w:color="auto" w:fill="auto"/>
            <w:noWrap/>
            <w:vAlign w:val="bottom"/>
            <w:hideMark/>
          </w:tcPr>
          <w:p w14:paraId="5D10B66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DY-2020</w:t>
            </w:r>
          </w:p>
        </w:tc>
        <w:tc>
          <w:tcPr>
            <w:tcW w:w="1382" w:type="pct"/>
            <w:tcBorders>
              <w:bottom w:val="double" w:sz="4" w:space="0" w:color="auto"/>
              <w:right w:val="single" w:sz="4" w:space="0" w:color="auto"/>
            </w:tcBorders>
          </w:tcPr>
          <w:p w14:paraId="6533374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2020</w:t>
            </w:r>
          </w:p>
        </w:tc>
        <w:tc>
          <w:tcPr>
            <w:tcW w:w="681" w:type="pct"/>
            <w:tcBorders>
              <w:left w:val="single" w:sz="4" w:space="0" w:color="auto"/>
              <w:bottom w:val="double" w:sz="4" w:space="0" w:color="auto"/>
            </w:tcBorders>
            <w:shd w:val="clear" w:color="auto" w:fill="auto"/>
            <w:noWrap/>
            <w:hideMark/>
          </w:tcPr>
          <w:p w14:paraId="78DBB9A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659,646</w:t>
            </w:r>
          </w:p>
        </w:tc>
        <w:tc>
          <w:tcPr>
            <w:tcW w:w="530" w:type="pct"/>
            <w:tcBorders>
              <w:bottom w:val="double" w:sz="4" w:space="0" w:color="auto"/>
            </w:tcBorders>
            <w:shd w:val="clear" w:color="auto" w:fill="auto"/>
            <w:noWrap/>
            <w:hideMark/>
          </w:tcPr>
          <w:p w14:paraId="206D9A2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0.13</w:t>
            </w:r>
          </w:p>
        </w:tc>
        <w:tc>
          <w:tcPr>
            <w:tcW w:w="531" w:type="pct"/>
            <w:tcBorders>
              <w:bottom w:val="double" w:sz="4" w:space="0" w:color="auto"/>
            </w:tcBorders>
            <w:shd w:val="clear" w:color="auto" w:fill="auto"/>
            <w:noWrap/>
            <w:hideMark/>
          </w:tcPr>
          <w:p w14:paraId="27C082D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0.34</w:t>
            </w:r>
          </w:p>
        </w:tc>
        <w:tc>
          <w:tcPr>
            <w:tcW w:w="303" w:type="pct"/>
            <w:tcBorders>
              <w:bottom w:val="double" w:sz="4" w:space="0" w:color="auto"/>
            </w:tcBorders>
            <w:shd w:val="clear" w:color="auto" w:fill="auto"/>
            <w:noWrap/>
            <w:hideMark/>
          </w:tcPr>
          <w:p w14:paraId="1F6871C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605" w:type="pct"/>
            <w:tcBorders>
              <w:bottom w:val="double" w:sz="4" w:space="0" w:color="auto"/>
              <w:right w:val="nil"/>
            </w:tcBorders>
            <w:shd w:val="clear" w:color="auto" w:fill="auto"/>
            <w:noWrap/>
            <w:hideMark/>
          </w:tcPr>
          <w:p w14:paraId="04E1F34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1.00</w:t>
            </w:r>
          </w:p>
        </w:tc>
      </w:tr>
    </w:tbl>
    <w:p w14:paraId="608BFDB9" w14:textId="77777777" w:rsidR="00F00E3D" w:rsidRPr="00335312" w:rsidRDefault="00F00E3D" w:rsidP="002C52A2">
      <w:pPr>
        <w:spacing w:after="0" w:line="360" w:lineRule="auto"/>
        <w:rPr>
          <w:rFonts w:asciiTheme="majorHAnsi" w:eastAsiaTheme="majorEastAsia" w:hAnsiTheme="majorHAnsi" w:cstheme="majorHAnsi"/>
          <w:bCs/>
          <w:sz w:val="20"/>
          <w:szCs w:val="20"/>
        </w:rPr>
      </w:pPr>
    </w:p>
    <w:p w14:paraId="759186AF" w14:textId="77777777" w:rsidR="00F00E3D" w:rsidRPr="00335312" w:rsidRDefault="00F00E3D" w:rsidP="002C52A2">
      <w:pPr>
        <w:spacing w:after="0" w:line="360" w:lineRule="auto"/>
        <w:rPr>
          <w:rFonts w:asciiTheme="majorHAnsi" w:eastAsiaTheme="majorEastAsia" w:hAnsiTheme="majorHAnsi" w:cstheme="majorHAnsi"/>
          <w:bCs/>
          <w:sz w:val="20"/>
          <w:szCs w:val="20"/>
        </w:rPr>
      </w:pPr>
      <w:r w:rsidRPr="00335312">
        <w:rPr>
          <w:rFonts w:asciiTheme="majorHAnsi" w:eastAsiaTheme="majorEastAsia" w:hAnsiTheme="majorHAnsi" w:cstheme="majorHAnsi"/>
          <w:bCs/>
          <w:sz w:val="20"/>
          <w:szCs w:val="20"/>
        </w:rPr>
        <w:t>Panel B. Unit Transactional Sample</w:t>
      </w:r>
    </w:p>
    <w:tbl>
      <w:tblPr>
        <w:tblW w:w="5000" w:type="pct"/>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91"/>
        <w:gridCol w:w="2635"/>
        <w:gridCol w:w="1168"/>
        <w:gridCol w:w="1022"/>
        <w:gridCol w:w="1047"/>
        <w:gridCol w:w="850"/>
        <w:gridCol w:w="1025"/>
      </w:tblGrid>
      <w:tr w:rsidR="00F00E3D" w:rsidRPr="00335312" w14:paraId="697F2B28" w14:textId="77777777" w:rsidTr="009B2FA7">
        <w:trPr>
          <w:trHeight w:val="290"/>
        </w:trPr>
        <w:tc>
          <w:tcPr>
            <w:tcW w:w="981" w:type="pct"/>
            <w:tcBorders>
              <w:top w:val="double" w:sz="4" w:space="0" w:color="auto"/>
              <w:bottom w:val="single" w:sz="4" w:space="0" w:color="auto"/>
              <w:right w:val="single" w:sz="4" w:space="0" w:color="auto"/>
            </w:tcBorders>
            <w:shd w:val="clear" w:color="auto" w:fill="auto"/>
            <w:noWrap/>
            <w:vAlign w:val="bottom"/>
            <w:hideMark/>
          </w:tcPr>
          <w:p w14:paraId="6AE8D7A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Variable</w:t>
            </w:r>
          </w:p>
        </w:tc>
        <w:tc>
          <w:tcPr>
            <w:tcW w:w="1367" w:type="pct"/>
            <w:tcBorders>
              <w:top w:val="double" w:sz="4" w:space="0" w:color="auto"/>
              <w:bottom w:val="single" w:sz="4" w:space="0" w:color="auto"/>
              <w:right w:val="single" w:sz="4" w:space="0" w:color="auto"/>
            </w:tcBorders>
          </w:tcPr>
          <w:p w14:paraId="01A68AC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Description</w:t>
            </w:r>
          </w:p>
        </w:tc>
        <w:tc>
          <w:tcPr>
            <w:tcW w:w="606" w:type="pct"/>
            <w:tcBorders>
              <w:top w:val="double" w:sz="4" w:space="0" w:color="auto"/>
              <w:left w:val="single" w:sz="4" w:space="0" w:color="auto"/>
              <w:bottom w:val="single" w:sz="4" w:space="0" w:color="auto"/>
            </w:tcBorders>
            <w:shd w:val="clear" w:color="auto" w:fill="auto"/>
            <w:noWrap/>
            <w:vAlign w:val="bottom"/>
            <w:hideMark/>
          </w:tcPr>
          <w:p w14:paraId="6D2684B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Obs</w:t>
            </w:r>
          </w:p>
        </w:tc>
        <w:tc>
          <w:tcPr>
            <w:tcW w:w="530" w:type="pct"/>
            <w:tcBorders>
              <w:top w:val="double" w:sz="4" w:space="0" w:color="auto"/>
              <w:bottom w:val="single" w:sz="4" w:space="0" w:color="auto"/>
            </w:tcBorders>
            <w:shd w:val="clear" w:color="auto" w:fill="auto"/>
            <w:noWrap/>
            <w:vAlign w:val="bottom"/>
            <w:hideMark/>
          </w:tcPr>
          <w:p w14:paraId="79BDBEC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Mean</w:t>
            </w:r>
          </w:p>
        </w:tc>
        <w:tc>
          <w:tcPr>
            <w:tcW w:w="543" w:type="pct"/>
            <w:tcBorders>
              <w:top w:val="double" w:sz="4" w:space="0" w:color="auto"/>
              <w:bottom w:val="single" w:sz="4" w:space="0" w:color="auto"/>
            </w:tcBorders>
            <w:shd w:val="clear" w:color="auto" w:fill="auto"/>
            <w:noWrap/>
            <w:vAlign w:val="bottom"/>
            <w:hideMark/>
          </w:tcPr>
          <w:p w14:paraId="7F4C2E4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Std. Dev.</w:t>
            </w:r>
          </w:p>
        </w:tc>
        <w:tc>
          <w:tcPr>
            <w:tcW w:w="441" w:type="pct"/>
            <w:tcBorders>
              <w:top w:val="double" w:sz="4" w:space="0" w:color="auto"/>
              <w:bottom w:val="single" w:sz="4" w:space="0" w:color="auto"/>
            </w:tcBorders>
            <w:shd w:val="clear" w:color="auto" w:fill="auto"/>
            <w:noWrap/>
            <w:vAlign w:val="bottom"/>
            <w:hideMark/>
          </w:tcPr>
          <w:p w14:paraId="289777B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Min</w:t>
            </w:r>
          </w:p>
        </w:tc>
        <w:tc>
          <w:tcPr>
            <w:tcW w:w="532" w:type="pct"/>
            <w:tcBorders>
              <w:top w:val="double" w:sz="4" w:space="0" w:color="auto"/>
              <w:bottom w:val="single" w:sz="4" w:space="0" w:color="auto"/>
            </w:tcBorders>
            <w:shd w:val="clear" w:color="auto" w:fill="auto"/>
            <w:noWrap/>
            <w:vAlign w:val="bottom"/>
            <w:hideMark/>
          </w:tcPr>
          <w:p w14:paraId="55D863F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Max</w:t>
            </w:r>
          </w:p>
        </w:tc>
      </w:tr>
      <w:tr w:rsidR="00F00E3D" w:rsidRPr="00335312" w14:paraId="0B130F5C" w14:textId="77777777" w:rsidTr="009B2FA7">
        <w:trPr>
          <w:trHeight w:val="290"/>
        </w:trPr>
        <w:tc>
          <w:tcPr>
            <w:tcW w:w="981" w:type="pct"/>
            <w:tcBorders>
              <w:top w:val="single" w:sz="4" w:space="0" w:color="auto"/>
              <w:bottom w:val="nil"/>
              <w:right w:val="single" w:sz="4" w:space="0" w:color="auto"/>
            </w:tcBorders>
            <w:shd w:val="clear" w:color="auto" w:fill="auto"/>
            <w:noWrap/>
            <w:vAlign w:val="bottom"/>
            <w:hideMark/>
          </w:tcPr>
          <w:p w14:paraId="4EA77B1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Price</w:t>
            </w:r>
          </w:p>
        </w:tc>
        <w:tc>
          <w:tcPr>
            <w:tcW w:w="1367" w:type="pct"/>
            <w:tcBorders>
              <w:top w:val="single" w:sz="4" w:space="0" w:color="auto"/>
              <w:right w:val="single" w:sz="4" w:space="0" w:color="auto"/>
            </w:tcBorders>
          </w:tcPr>
          <w:p w14:paraId="0A2B02B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Transactional Price</w:t>
            </w:r>
          </w:p>
        </w:tc>
        <w:tc>
          <w:tcPr>
            <w:tcW w:w="606" w:type="pct"/>
            <w:tcBorders>
              <w:top w:val="single" w:sz="4" w:space="0" w:color="auto"/>
              <w:left w:val="single" w:sz="4" w:space="0" w:color="auto"/>
            </w:tcBorders>
            <w:shd w:val="clear" w:color="auto" w:fill="auto"/>
            <w:noWrap/>
            <w:hideMark/>
          </w:tcPr>
          <w:p w14:paraId="2F14180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184,595 </w:t>
            </w:r>
          </w:p>
        </w:tc>
        <w:tc>
          <w:tcPr>
            <w:tcW w:w="530" w:type="pct"/>
            <w:tcBorders>
              <w:top w:val="single" w:sz="4" w:space="0" w:color="auto"/>
            </w:tcBorders>
            <w:shd w:val="clear" w:color="auto" w:fill="auto"/>
            <w:noWrap/>
            <w:hideMark/>
          </w:tcPr>
          <w:p w14:paraId="30E97298" w14:textId="77777777" w:rsidR="00F00E3D" w:rsidRPr="00335312" w:rsidRDefault="00F00E3D" w:rsidP="002C52A2">
            <w:pPr>
              <w:spacing w:after="0" w:line="240" w:lineRule="auto"/>
              <w:ind w:right="110"/>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536,302 </w:t>
            </w:r>
          </w:p>
        </w:tc>
        <w:tc>
          <w:tcPr>
            <w:tcW w:w="543" w:type="pct"/>
            <w:tcBorders>
              <w:top w:val="single" w:sz="4" w:space="0" w:color="auto"/>
            </w:tcBorders>
            <w:shd w:val="clear" w:color="auto" w:fill="auto"/>
            <w:noWrap/>
            <w:hideMark/>
          </w:tcPr>
          <w:p w14:paraId="06DE0CB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236,344 </w:t>
            </w:r>
          </w:p>
        </w:tc>
        <w:tc>
          <w:tcPr>
            <w:tcW w:w="441" w:type="pct"/>
            <w:tcBorders>
              <w:top w:val="single" w:sz="4" w:space="0" w:color="auto"/>
            </w:tcBorders>
            <w:shd w:val="clear" w:color="auto" w:fill="auto"/>
            <w:noWrap/>
            <w:hideMark/>
          </w:tcPr>
          <w:p w14:paraId="0F9A4D4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1.00</w:t>
            </w:r>
          </w:p>
        </w:tc>
        <w:tc>
          <w:tcPr>
            <w:tcW w:w="532" w:type="pct"/>
            <w:tcBorders>
              <w:top w:val="single" w:sz="4" w:space="0" w:color="auto"/>
            </w:tcBorders>
            <w:shd w:val="clear" w:color="auto" w:fill="auto"/>
            <w:noWrap/>
            <w:hideMark/>
          </w:tcPr>
          <w:p w14:paraId="2D93683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1,850,000 </w:t>
            </w:r>
          </w:p>
        </w:tc>
      </w:tr>
      <w:tr w:rsidR="00F00E3D" w:rsidRPr="00335312" w14:paraId="3D2C1680" w14:textId="77777777" w:rsidTr="009B2FA7">
        <w:trPr>
          <w:trHeight w:val="290"/>
        </w:trPr>
        <w:tc>
          <w:tcPr>
            <w:tcW w:w="981" w:type="pct"/>
            <w:tcBorders>
              <w:top w:val="nil"/>
              <w:bottom w:val="nil"/>
              <w:right w:val="single" w:sz="4" w:space="0" w:color="auto"/>
            </w:tcBorders>
            <w:shd w:val="clear" w:color="auto" w:fill="auto"/>
            <w:noWrap/>
            <w:vAlign w:val="bottom"/>
            <w:hideMark/>
          </w:tcPr>
          <w:p w14:paraId="7540E10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lastRenderedPageBreak/>
              <w:t>Size</w:t>
            </w:r>
          </w:p>
        </w:tc>
        <w:tc>
          <w:tcPr>
            <w:tcW w:w="1367" w:type="pct"/>
            <w:tcBorders>
              <w:right w:val="single" w:sz="4" w:space="0" w:color="auto"/>
            </w:tcBorders>
          </w:tcPr>
          <w:p w14:paraId="5506F5D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Size of land/building</w:t>
            </w:r>
          </w:p>
        </w:tc>
        <w:tc>
          <w:tcPr>
            <w:tcW w:w="606" w:type="pct"/>
            <w:tcBorders>
              <w:left w:val="single" w:sz="4" w:space="0" w:color="auto"/>
            </w:tcBorders>
            <w:shd w:val="clear" w:color="auto" w:fill="auto"/>
            <w:noWrap/>
            <w:hideMark/>
          </w:tcPr>
          <w:p w14:paraId="0711D01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184,619 </w:t>
            </w:r>
          </w:p>
        </w:tc>
        <w:tc>
          <w:tcPr>
            <w:tcW w:w="530" w:type="pct"/>
            <w:shd w:val="clear" w:color="auto" w:fill="auto"/>
            <w:noWrap/>
            <w:hideMark/>
          </w:tcPr>
          <w:p w14:paraId="516992F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1,830 </w:t>
            </w:r>
          </w:p>
        </w:tc>
        <w:tc>
          <w:tcPr>
            <w:tcW w:w="543" w:type="pct"/>
            <w:shd w:val="clear" w:color="auto" w:fill="auto"/>
            <w:noWrap/>
            <w:hideMark/>
          </w:tcPr>
          <w:p w14:paraId="5A37206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2,377 </w:t>
            </w:r>
          </w:p>
        </w:tc>
        <w:tc>
          <w:tcPr>
            <w:tcW w:w="441" w:type="pct"/>
            <w:shd w:val="clear" w:color="auto" w:fill="auto"/>
            <w:noWrap/>
            <w:hideMark/>
          </w:tcPr>
          <w:p w14:paraId="0FE3357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shd w:val="clear" w:color="auto" w:fill="auto"/>
            <w:noWrap/>
            <w:hideMark/>
          </w:tcPr>
          <w:p w14:paraId="1A86B72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17,986 </w:t>
            </w:r>
          </w:p>
        </w:tc>
      </w:tr>
      <w:tr w:rsidR="00F00E3D" w:rsidRPr="00335312" w14:paraId="2C4B3428" w14:textId="77777777" w:rsidTr="009B2FA7">
        <w:trPr>
          <w:trHeight w:val="290"/>
        </w:trPr>
        <w:tc>
          <w:tcPr>
            <w:tcW w:w="981" w:type="pct"/>
            <w:tcBorders>
              <w:top w:val="nil"/>
              <w:bottom w:val="nil"/>
              <w:right w:val="single" w:sz="4" w:space="0" w:color="auto"/>
            </w:tcBorders>
            <w:shd w:val="clear" w:color="auto" w:fill="auto"/>
            <w:noWrap/>
            <w:vAlign w:val="bottom"/>
            <w:hideMark/>
          </w:tcPr>
          <w:p w14:paraId="5F67F81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No.Beds</w:t>
            </w:r>
          </w:p>
        </w:tc>
        <w:tc>
          <w:tcPr>
            <w:tcW w:w="1367" w:type="pct"/>
            <w:tcBorders>
              <w:right w:val="single" w:sz="4" w:space="0" w:color="auto"/>
            </w:tcBorders>
          </w:tcPr>
          <w:p w14:paraId="32A5E1D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Number of Bedrooms</w:t>
            </w:r>
          </w:p>
        </w:tc>
        <w:tc>
          <w:tcPr>
            <w:tcW w:w="606" w:type="pct"/>
            <w:tcBorders>
              <w:left w:val="single" w:sz="4" w:space="0" w:color="auto"/>
            </w:tcBorders>
            <w:shd w:val="clear" w:color="auto" w:fill="auto"/>
            <w:noWrap/>
            <w:hideMark/>
          </w:tcPr>
          <w:p w14:paraId="20D62AF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186,465 </w:t>
            </w:r>
          </w:p>
        </w:tc>
        <w:tc>
          <w:tcPr>
            <w:tcW w:w="530" w:type="pct"/>
            <w:shd w:val="clear" w:color="auto" w:fill="auto"/>
            <w:noWrap/>
            <w:hideMark/>
          </w:tcPr>
          <w:p w14:paraId="533ACCC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1.87 </w:t>
            </w:r>
          </w:p>
        </w:tc>
        <w:tc>
          <w:tcPr>
            <w:tcW w:w="543" w:type="pct"/>
            <w:shd w:val="clear" w:color="auto" w:fill="auto"/>
            <w:noWrap/>
            <w:hideMark/>
          </w:tcPr>
          <w:p w14:paraId="11CEA49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0.92 </w:t>
            </w:r>
          </w:p>
        </w:tc>
        <w:tc>
          <w:tcPr>
            <w:tcW w:w="441" w:type="pct"/>
            <w:shd w:val="clear" w:color="auto" w:fill="auto"/>
            <w:noWrap/>
            <w:hideMark/>
          </w:tcPr>
          <w:p w14:paraId="3F8E0F5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shd w:val="clear" w:color="auto" w:fill="auto"/>
            <w:noWrap/>
            <w:hideMark/>
          </w:tcPr>
          <w:p w14:paraId="47EEB96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128.00 </w:t>
            </w:r>
          </w:p>
        </w:tc>
      </w:tr>
      <w:tr w:rsidR="00F00E3D" w:rsidRPr="00335312" w14:paraId="401B15E1" w14:textId="77777777" w:rsidTr="009B2FA7">
        <w:trPr>
          <w:trHeight w:val="290"/>
        </w:trPr>
        <w:tc>
          <w:tcPr>
            <w:tcW w:w="981" w:type="pct"/>
            <w:tcBorders>
              <w:top w:val="nil"/>
              <w:bottom w:val="nil"/>
              <w:right w:val="single" w:sz="4" w:space="0" w:color="auto"/>
            </w:tcBorders>
            <w:shd w:val="clear" w:color="auto" w:fill="auto"/>
            <w:noWrap/>
            <w:vAlign w:val="bottom"/>
            <w:hideMark/>
          </w:tcPr>
          <w:p w14:paraId="5C1C9B8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No.Baths</w:t>
            </w:r>
          </w:p>
        </w:tc>
        <w:tc>
          <w:tcPr>
            <w:tcW w:w="1367" w:type="pct"/>
            <w:tcBorders>
              <w:right w:val="single" w:sz="4" w:space="0" w:color="auto"/>
            </w:tcBorders>
          </w:tcPr>
          <w:p w14:paraId="508852D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Number of Bathroom</w:t>
            </w:r>
          </w:p>
        </w:tc>
        <w:tc>
          <w:tcPr>
            <w:tcW w:w="606" w:type="pct"/>
            <w:tcBorders>
              <w:left w:val="single" w:sz="4" w:space="0" w:color="auto"/>
            </w:tcBorders>
            <w:shd w:val="clear" w:color="auto" w:fill="auto"/>
            <w:noWrap/>
            <w:hideMark/>
          </w:tcPr>
          <w:p w14:paraId="18DE6A5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186,465 </w:t>
            </w:r>
          </w:p>
        </w:tc>
        <w:tc>
          <w:tcPr>
            <w:tcW w:w="530" w:type="pct"/>
            <w:shd w:val="clear" w:color="auto" w:fill="auto"/>
            <w:noWrap/>
            <w:hideMark/>
          </w:tcPr>
          <w:p w14:paraId="27A2E8A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1.07 </w:t>
            </w:r>
          </w:p>
        </w:tc>
        <w:tc>
          <w:tcPr>
            <w:tcW w:w="543" w:type="pct"/>
            <w:shd w:val="clear" w:color="auto" w:fill="auto"/>
            <w:noWrap/>
            <w:hideMark/>
          </w:tcPr>
          <w:p w14:paraId="2FC3D5A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0.72 </w:t>
            </w:r>
          </w:p>
        </w:tc>
        <w:tc>
          <w:tcPr>
            <w:tcW w:w="441" w:type="pct"/>
            <w:shd w:val="clear" w:color="auto" w:fill="auto"/>
            <w:noWrap/>
            <w:hideMark/>
          </w:tcPr>
          <w:p w14:paraId="06E7A3F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shd w:val="clear" w:color="auto" w:fill="auto"/>
            <w:noWrap/>
            <w:hideMark/>
          </w:tcPr>
          <w:p w14:paraId="7F88D9D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31.00 </w:t>
            </w:r>
          </w:p>
        </w:tc>
      </w:tr>
      <w:tr w:rsidR="00F00E3D" w:rsidRPr="00335312" w14:paraId="0A93BD17" w14:textId="77777777" w:rsidTr="009B2FA7">
        <w:trPr>
          <w:trHeight w:val="290"/>
        </w:trPr>
        <w:tc>
          <w:tcPr>
            <w:tcW w:w="981" w:type="pct"/>
            <w:tcBorders>
              <w:top w:val="nil"/>
              <w:bottom w:val="nil"/>
              <w:right w:val="single" w:sz="4" w:space="0" w:color="auto"/>
            </w:tcBorders>
            <w:shd w:val="clear" w:color="auto" w:fill="auto"/>
            <w:noWrap/>
            <w:vAlign w:val="bottom"/>
            <w:hideMark/>
          </w:tcPr>
          <w:p w14:paraId="6A2338D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No.Parking</w:t>
            </w:r>
          </w:p>
        </w:tc>
        <w:tc>
          <w:tcPr>
            <w:tcW w:w="1367" w:type="pct"/>
            <w:tcBorders>
              <w:right w:val="single" w:sz="4" w:space="0" w:color="auto"/>
            </w:tcBorders>
          </w:tcPr>
          <w:p w14:paraId="64499E9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Number of Carpark</w:t>
            </w:r>
          </w:p>
        </w:tc>
        <w:tc>
          <w:tcPr>
            <w:tcW w:w="606" w:type="pct"/>
            <w:tcBorders>
              <w:left w:val="single" w:sz="4" w:space="0" w:color="auto"/>
            </w:tcBorders>
            <w:shd w:val="clear" w:color="auto" w:fill="auto"/>
            <w:noWrap/>
            <w:hideMark/>
          </w:tcPr>
          <w:p w14:paraId="775545E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186,465 </w:t>
            </w:r>
          </w:p>
        </w:tc>
        <w:tc>
          <w:tcPr>
            <w:tcW w:w="530" w:type="pct"/>
            <w:shd w:val="clear" w:color="auto" w:fill="auto"/>
            <w:noWrap/>
            <w:hideMark/>
          </w:tcPr>
          <w:p w14:paraId="1D67298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0.90 </w:t>
            </w:r>
          </w:p>
        </w:tc>
        <w:tc>
          <w:tcPr>
            <w:tcW w:w="543" w:type="pct"/>
            <w:shd w:val="clear" w:color="auto" w:fill="auto"/>
            <w:noWrap/>
            <w:hideMark/>
          </w:tcPr>
          <w:p w14:paraId="19B0D08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0.68 </w:t>
            </w:r>
          </w:p>
        </w:tc>
        <w:tc>
          <w:tcPr>
            <w:tcW w:w="441" w:type="pct"/>
            <w:shd w:val="clear" w:color="auto" w:fill="auto"/>
            <w:noWrap/>
            <w:hideMark/>
          </w:tcPr>
          <w:p w14:paraId="2F3C6C2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shd w:val="clear" w:color="auto" w:fill="auto"/>
            <w:noWrap/>
            <w:hideMark/>
          </w:tcPr>
          <w:p w14:paraId="3C0E45A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12.00 </w:t>
            </w:r>
          </w:p>
        </w:tc>
      </w:tr>
      <w:tr w:rsidR="00F00E3D" w:rsidRPr="00335312" w14:paraId="565F3FF5" w14:textId="77777777" w:rsidTr="009B2FA7">
        <w:trPr>
          <w:trHeight w:val="290"/>
        </w:trPr>
        <w:tc>
          <w:tcPr>
            <w:tcW w:w="981" w:type="pct"/>
            <w:tcBorders>
              <w:top w:val="nil"/>
              <w:bottom w:val="nil"/>
              <w:right w:val="single" w:sz="4" w:space="0" w:color="auto"/>
            </w:tcBorders>
            <w:shd w:val="clear" w:color="auto" w:fill="auto"/>
            <w:noWrap/>
            <w:vAlign w:val="bottom"/>
            <w:hideMark/>
          </w:tcPr>
          <w:p w14:paraId="60C9DA85" w14:textId="5E945FEC" w:rsidR="00F00E3D" w:rsidRPr="00335312" w:rsidRDefault="00940D80" w:rsidP="002C52A2">
            <w:pPr>
              <w:spacing w:after="0" w:line="240" w:lineRule="auto"/>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COVID</w:t>
            </w:r>
            <w:r w:rsidR="00F00E3D" w:rsidRPr="00335312">
              <w:rPr>
                <w:rFonts w:asciiTheme="majorHAnsi" w:eastAsia="Times New Roman" w:hAnsiTheme="majorHAnsi" w:cstheme="majorHAnsi"/>
                <w:color w:val="000000"/>
                <w:sz w:val="20"/>
                <w:szCs w:val="20"/>
              </w:rPr>
              <w:t xml:space="preserve"> Period</w:t>
            </w:r>
          </w:p>
        </w:tc>
        <w:tc>
          <w:tcPr>
            <w:tcW w:w="1367" w:type="pct"/>
            <w:tcBorders>
              <w:right w:val="single" w:sz="4" w:space="0" w:color="auto"/>
            </w:tcBorders>
          </w:tcPr>
          <w:p w14:paraId="3AD0FEE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Period:17</w:t>
            </w:r>
            <w:r w:rsidRPr="00335312">
              <w:rPr>
                <w:rFonts w:asciiTheme="majorHAnsi" w:eastAsia="Times New Roman" w:hAnsiTheme="majorHAnsi" w:cstheme="majorHAnsi"/>
                <w:color w:val="000000"/>
                <w:sz w:val="20"/>
                <w:szCs w:val="20"/>
                <w:vertAlign w:val="superscript"/>
              </w:rPr>
              <w:t>th</w:t>
            </w:r>
            <w:r w:rsidRPr="00335312">
              <w:rPr>
                <w:rFonts w:asciiTheme="majorHAnsi" w:eastAsia="Times New Roman" w:hAnsiTheme="majorHAnsi" w:cstheme="majorHAnsi"/>
                <w:color w:val="000000"/>
                <w:sz w:val="20"/>
                <w:szCs w:val="20"/>
              </w:rPr>
              <w:t xml:space="preserve"> March to 31</w:t>
            </w:r>
            <w:r w:rsidRPr="00335312">
              <w:rPr>
                <w:rFonts w:asciiTheme="majorHAnsi" w:eastAsia="Times New Roman" w:hAnsiTheme="majorHAnsi" w:cstheme="majorHAnsi"/>
                <w:color w:val="000000"/>
                <w:sz w:val="20"/>
                <w:szCs w:val="20"/>
                <w:vertAlign w:val="superscript"/>
              </w:rPr>
              <w:t>st</w:t>
            </w:r>
            <w:r w:rsidRPr="00335312">
              <w:rPr>
                <w:rFonts w:asciiTheme="majorHAnsi" w:eastAsia="Times New Roman" w:hAnsiTheme="majorHAnsi" w:cstheme="majorHAnsi"/>
                <w:color w:val="000000"/>
                <w:sz w:val="20"/>
                <w:szCs w:val="20"/>
              </w:rPr>
              <w:t xml:space="preserve"> October 2020</w:t>
            </w:r>
          </w:p>
        </w:tc>
        <w:tc>
          <w:tcPr>
            <w:tcW w:w="606" w:type="pct"/>
            <w:tcBorders>
              <w:left w:val="single" w:sz="4" w:space="0" w:color="auto"/>
            </w:tcBorders>
            <w:shd w:val="clear" w:color="auto" w:fill="auto"/>
            <w:noWrap/>
            <w:hideMark/>
          </w:tcPr>
          <w:p w14:paraId="7ECEBA0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186,465 </w:t>
            </w:r>
          </w:p>
        </w:tc>
        <w:tc>
          <w:tcPr>
            <w:tcW w:w="530" w:type="pct"/>
            <w:shd w:val="clear" w:color="auto" w:fill="auto"/>
            <w:noWrap/>
            <w:hideMark/>
          </w:tcPr>
          <w:p w14:paraId="5BC48D6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0.07 </w:t>
            </w:r>
          </w:p>
        </w:tc>
        <w:tc>
          <w:tcPr>
            <w:tcW w:w="543" w:type="pct"/>
            <w:shd w:val="clear" w:color="auto" w:fill="auto"/>
            <w:noWrap/>
            <w:hideMark/>
          </w:tcPr>
          <w:p w14:paraId="1E711B2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0.25 </w:t>
            </w:r>
          </w:p>
        </w:tc>
        <w:tc>
          <w:tcPr>
            <w:tcW w:w="441" w:type="pct"/>
            <w:shd w:val="clear" w:color="auto" w:fill="auto"/>
            <w:noWrap/>
            <w:hideMark/>
          </w:tcPr>
          <w:p w14:paraId="742BA19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shd w:val="clear" w:color="auto" w:fill="auto"/>
            <w:noWrap/>
            <w:hideMark/>
          </w:tcPr>
          <w:p w14:paraId="48E3632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1.00 </w:t>
            </w:r>
          </w:p>
        </w:tc>
      </w:tr>
      <w:tr w:rsidR="00F00E3D" w:rsidRPr="00335312" w14:paraId="1701CCBD" w14:textId="77777777" w:rsidTr="009B2FA7">
        <w:trPr>
          <w:trHeight w:val="290"/>
        </w:trPr>
        <w:tc>
          <w:tcPr>
            <w:tcW w:w="981" w:type="pct"/>
            <w:tcBorders>
              <w:top w:val="nil"/>
              <w:bottom w:val="nil"/>
              <w:right w:val="single" w:sz="4" w:space="0" w:color="auto"/>
            </w:tcBorders>
            <w:shd w:val="clear" w:color="auto" w:fill="auto"/>
            <w:noWrap/>
            <w:vAlign w:val="bottom"/>
            <w:hideMark/>
          </w:tcPr>
          <w:p w14:paraId="1F2578B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Regional VIC</w:t>
            </w:r>
          </w:p>
        </w:tc>
        <w:tc>
          <w:tcPr>
            <w:tcW w:w="1367" w:type="pct"/>
            <w:tcBorders>
              <w:right w:val="single" w:sz="4" w:space="0" w:color="auto"/>
            </w:tcBorders>
          </w:tcPr>
          <w:p w14:paraId="7B94CEB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Regional Victoria</w:t>
            </w:r>
          </w:p>
        </w:tc>
        <w:tc>
          <w:tcPr>
            <w:tcW w:w="606" w:type="pct"/>
            <w:tcBorders>
              <w:left w:val="single" w:sz="4" w:space="0" w:color="auto"/>
            </w:tcBorders>
            <w:shd w:val="clear" w:color="auto" w:fill="auto"/>
            <w:noWrap/>
            <w:hideMark/>
          </w:tcPr>
          <w:p w14:paraId="16CBDC5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186,465 </w:t>
            </w:r>
          </w:p>
        </w:tc>
        <w:tc>
          <w:tcPr>
            <w:tcW w:w="530" w:type="pct"/>
            <w:shd w:val="clear" w:color="auto" w:fill="auto"/>
            <w:noWrap/>
            <w:hideMark/>
          </w:tcPr>
          <w:p w14:paraId="25D19C2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0.27 </w:t>
            </w:r>
          </w:p>
        </w:tc>
        <w:tc>
          <w:tcPr>
            <w:tcW w:w="543" w:type="pct"/>
            <w:shd w:val="clear" w:color="auto" w:fill="auto"/>
            <w:noWrap/>
            <w:hideMark/>
          </w:tcPr>
          <w:p w14:paraId="756038C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0.44 </w:t>
            </w:r>
          </w:p>
        </w:tc>
        <w:tc>
          <w:tcPr>
            <w:tcW w:w="441" w:type="pct"/>
            <w:shd w:val="clear" w:color="auto" w:fill="auto"/>
            <w:noWrap/>
            <w:hideMark/>
          </w:tcPr>
          <w:p w14:paraId="076EA4A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shd w:val="clear" w:color="auto" w:fill="auto"/>
            <w:noWrap/>
            <w:hideMark/>
          </w:tcPr>
          <w:p w14:paraId="3AB042D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1.00 </w:t>
            </w:r>
          </w:p>
        </w:tc>
      </w:tr>
      <w:tr w:rsidR="00F00E3D" w:rsidRPr="00335312" w14:paraId="1A9B1D6F" w14:textId="77777777" w:rsidTr="009B2FA7">
        <w:trPr>
          <w:trHeight w:val="290"/>
        </w:trPr>
        <w:tc>
          <w:tcPr>
            <w:tcW w:w="981" w:type="pct"/>
            <w:tcBorders>
              <w:top w:val="nil"/>
              <w:bottom w:val="nil"/>
              <w:right w:val="single" w:sz="4" w:space="0" w:color="auto"/>
            </w:tcBorders>
            <w:shd w:val="clear" w:color="auto" w:fill="auto"/>
            <w:noWrap/>
            <w:vAlign w:val="bottom"/>
            <w:hideMark/>
          </w:tcPr>
          <w:p w14:paraId="3B1827D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GGeelong</w:t>
            </w:r>
          </w:p>
        </w:tc>
        <w:tc>
          <w:tcPr>
            <w:tcW w:w="1367" w:type="pct"/>
            <w:tcBorders>
              <w:right w:val="single" w:sz="4" w:space="0" w:color="auto"/>
            </w:tcBorders>
          </w:tcPr>
          <w:p w14:paraId="28BCE08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Greater Geelong</w:t>
            </w:r>
          </w:p>
        </w:tc>
        <w:tc>
          <w:tcPr>
            <w:tcW w:w="606" w:type="pct"/>
            <w:tcBorders>
              <w:left w:val="single" w:sz="4" w:space="0" w:color="auto"/>
            </w:tcBorders>
            <w:shd w:val="clear" w:color="auto" w:fill="auto"/>
            <w:noWrap/>
            <w:hideMark/>
          </w:tcPr>
          <w:p w14:paraId="70FFA10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186,465 </w:t>
            </w:r>
          </w:p>
        </w:tc>
        <w:tc>
          <w:tcPr>
            <w:tcW w:w="530" w:type="pct"/>
            <w:shd w:val="clear" w:color="auto" w:fill="auto"/>
            <w:noWrap/>
            <w:hideMark/>
          </w:tcPr>
          <w:p w14:paraId="19D20DB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0.02 </w:t>
            </w:r>
          </w:p>
        </w:tc>
        <w:tc>
          <w:tcPr>
            <w:tcW w:w="543" w:type="pct"/>
            <w:shd w:val="clear" w:color="auto" w:fill="auto"/>
            <w:noWrap/>
            <w:hideMark/>
          </w:tcPr>
          <w:p w14:paraId="2A64325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0.12 </w:t>
            </w:r>
          </w:p>
        </w:tc>
        <w:tc>
          <w:tcPr>
            <w:tcW w:w="441" w:type="pct"/>
            <w:shd w:val="clear" w:color="auto" w:fill="auto"/>
            <w:noWrap/>
            <w:hideMark/>
          </w:tcPr>
          <w:p w14:paraId="60EB204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shd w:val="clear" w:color="auto" w:fill="auto"/>
            <w:noWrap/>
            <w:hideMark/>
          </w:tcPr>
          <w:p w14:paraId="3742D96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1.00 </w:t>
            </w:r>
          </w:p>
        </w:tc>
      </w:tr>
      <w:tr w:rsidR="00F00E3D" w:rsidRPr="00335312" w14:paraId="02149C29" w14:textId="77777777" w:rsidTr="009B2FA7">
        <w:trPr>
          <w:trHeight w:val="290"/>
        </w:trPr>
        <w:tc>
          <w:tcPr>
            <w:tcW w:w="981" w:type="pct"/>
            <w:tcBorders>
              <w:top w:val="nil"/>
              <w:bottom w:val="nil"/>
              <w:right w:val="single" w:sz="4" w:space="0" w:color="auto"/>
            </w:tcBorders>
            <w:shd w:val="clear" w:color="auto" w:fill="auto"/>
            <w:noWrap/>
            <w:vAlign w:val="bottom"/>
            <w:hideMark/>
          </w:tcPr>
          <w:p w14:paraId="4BC4FD1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Focal Suburbs</w:t>
            </w:r>
          </w:p>
        </w:tc>
        <w:tc>
          <w:tcPr>
            <w:tcW w:w="1367" w:type="pct"/>
            <w:tcBorders>
              <w:right w:val="single" w:sz="4" w:space="0" w:color="auto"/>
            </w:tcBorders>
          </w:tcPr>
          <w:p w14:paraId="5F2D7BE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Focal three suburbs</w:t>
            </w:r>
          </w:p>
        </w:tc>
        <w:tc>
          <w:tcPr>
            <w:tcW w:w="606" w:type="pct"/>
            <w:tcBorders>
              <w:left w:val="single" w:sz="4" w:space="0" w:color="auto"/>
            </w:tcBorders>
            <w:shd w:val="clear" w:color="auto" w:fill="auto"/>
            <w:noWrap/>
            <w:hideMark/>
          </w:tcPr>
          <w:p w14:paraId="6EF6F0A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186,465 </w:t>
            </w:r>
          </w:p>
        </w:tc>
        <w:tc>
          <w:tcPr>
            <w:tcW w:w="530" w:type="pct"/>
            <w:shd w:val="clear" w:color="auto" w:fill="auto"/>
            <w:noWrap/>
            <w:hideMark/>
          </w:tcPr>
          <w:p w14:paraId="127B4F8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0.00 </w:t>
            </w:r>
          </w:p>
        </w:tc>
        <w:tc>
          <w:tcPr>
            <w:tcW w:w="543" w:type="pct"/>
            <w:shd w:val="clear" w:color="auto" w:fill="auto"/>
            <w:noWrap/>
            <w:hideMark/>
          </w:tcPr>
          <w:p w14:paraId="1FA6902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0.04 </w:t>
            </w:r>
          </w:p>
        </w:tc>
        <w:tc>
          <w:tcPr>
            <w:tcW w:w="441" w:type="pct"/>
            <w:shd w:val="clear" w:color="auto" w:fill="auto"/>
            <w:noWrap/>
            <w:hideMark/>
          </w:tcPr>
          <w:p w14:paraId="53F45AF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shd w:val="clear" w:color="auto" w:fill="auto"/>
            <w:noWrap/>
            <w:hideMark/>
          </w:tcPr>
          <w:p w14:paraId="605398A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1.00 </w:t>
            </w:r>
          </w:p>
        </w:tc>
      </w:tr>
      <w:tr w:rsidR="00F00E3D" w:rsidRPr="00335312" w14:paraId="222812AF" w14:textId="77777777" w:rsidTr="009B2FA7">
        <w:trPr>
          <w:trHeight w:val="290"/>
        </w:trPr>
        <w:tc>
          <w:tcPr>
            <w:tcW w:w="981" w:type="pct"/>
            <w:tcBorders>
              <w:top w:val="nil"/>
              <w:bottom w:val="nil"/>
              <w:right w:val="single" w:sz="4" w:space="0" w:color="auto"/>
            </w:tcBorders>
            <w:shd w:val="clear" w:color="auto" w:fill="auto"/>
            <w:noWrap/>
            <w:vAlign w:val="bottom"/>
            <w:hideMark/>
          </w:tcPr>
          <w:p w14:paraId="6BB781A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DY-2015</w:t>
            </w:r>
          </w:p>
        </w:tc>
        <w:tc>
          <w:tcPr>
            <w:tcW w:w="1367" w:type="pct"/>
            <w:tcBorders>
              <w:right w:val="single" w:sz="4" w:space="0" w:color="auto"/>
            </w:tcBorders>
          </w:tcPr>
          <w:p w14:paraId="79F686D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2015</w:t>
            </w:r>
          </w:p>
        </w:tc>
        <w:tc>
          <w:tcPr>
            <w:tcW w:w="606" w:type="pct"/>
            <w:tcBorders>
              <w:left w:val="single" w:sz="4" w:space="0" w:color="auto"/>
            </w:tcBorders>
            <w:shd w:val="clear" w:color="auto" w:fill="auto"/>
            <w:noWrap/>
            <w:hideMark/>
          </w:tcPr>
          <w:p w14:paraId="019FD17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186,465 </w:t>
            </w:r>
          </w:p>
        </w:tc>
        <w:tc>
          <w:tcPr>
            <w:tcW w:w="530" w:type="pct"/>
            <w:shd w:val="clear" w:color="auto" w:fill="auto"/>
            <w:noWrap/>
            <w:hideMark/>
          </w:tcPr>
          <w:p w14:paraId="6B341A6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0.24 </w:t>
            </w:r>
          </w:p>
        </w:tc>
        <w:tc>
          <w:tcPr>
            <w:tcW w:w="543" w:type="pct"/>
            <w:shd w:val="clear" w:color="auto" w:fill="auto"/>
            <w:noWrap/>
            <w:hideMark/>
          </w:tcPr>
          <w:p w14:paraId="48E5962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0.43 </w:t>
            </w:r>
          </w:p>
        </w:tc>
        <w:tc>
          <w:tcPr>
            <w:tcW w:w="441" w:type="pct"/>
            <w:shd w:val="clear" w:color="auto" w:fill="auto"/>
            <w:noWrap/>
            <w:hideMark/>
          </w:tcPr>
          <w:p w14:paraId="2ABED03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shd w:val="clear" w:color="auto" w:fill="auto"/>
            <w:noWrap/>
            <w:hideMark/>
          </w:tcPr>
          <w:p w14:paraId="754639E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1.00 </w:t>
            </w:r>
          </w:p>
        </w:tc>
      </w:tr>
      <w:tr w:rsidR="00F00E3D" w:rsidRPr="00335312" w14:paraId="1A186B9A" w14:textId="77777777" w:rsidTr="009B2FA7">
        <w:trPr>
          <w:trHeight w:val="290"/>
        </w:trPr>
        <w:tc>
          <w:tcPr>
            <w:tcW w:w="981" w:type="pct"/>
            <w:tcBorders>
              <w:top w:val="nil"/>
              <w:bottom w:val="nil"/>
              <w:right w:val="single" w:sz="4" w:space="0" w:color="auto"/>
            </w:tcBorders>
            <w:shd w:val="clear" w:color="auto" w:fill="auto"/>
            <w:noWrap/>
            <w:vAlign w:val="bottom"/>
            <w:hideMark/>
          </w:tcPr>
          <w:p w14:paraId="76618D3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DY-2016</w:t>
            </w:r>
          </w:p>
        </w:tc>
        <w:tc>
          <w:tcPr>
            <w:tcW w:w="1367" w:type="pct"/>
            <w:tcBorders>
              <w:right w:val="single" w:sz="4" w:space="0" w:color="auto"/>
            </w:tcBorders>
          </w:tcPr>
          <w:p w14:paraId="1773D91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2016</w:t>
            </w:r>
          </w:p>
        </w:tc>
        <w:tc>
          <w:tcPr>
            <w:tcW w:w="606" w:type="pct"/>
            <w:tcBorders>
              <w:left w:val="single" w:sz="4" w:space="0" w:color="auto"/>
            </w:tcBorders>
            <w:shd w:val="clear" w:color="auto" w:fill="auto"/>
            <w:noWrap/>
            <w:hideMark/>
          </w:tcPr>
          <w:p w14:paraId="525D0ED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186,465 </w:t>
            </w:r>
          </w:p>
        </w:tc>
        <w:tc>
          <w:tcPr>
            <w:tcW w:w="530" w:type="pct"/>
            <w:shd w:val="clear" w:color="auto" w:fill="auto"/>
            <w:noWrap/>
            <w:hideMark/>
          </w:tcPr>
          <w:p w14:paraId="5710329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0.22 </w:t>
            </w:r>
          </w:p>
        </w:tc>
        <w:tc>
          <w:tcPr>
            <w:tcW w:w="543" w:type="pct"/>
            <w:shd w:val="clear" w:color="auto" w:fill="auto"/>
            <w:noWrap/>
            <w:hideMark/>
          </w:tcPr>
          <w:p w14:paraId="2372945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0.41 </w:t>
            </w:r>
          </w:p>
        </w:tc>
        <w:tc>
          <w:tcPr>
            <w:tcW w:w="441" w:type="pct"/>
            <w:shd w:val="clear" w:color="auto" w:fill="auto"/>
            <w:noWrap/>
            <w:hideMark/>
          </w:tcPr>
          <w:p w14:paraId="7DB0B4C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shd w:val="clear" w:color="auto" w:fill="auto"/>
            <w:noWrap/>
            <w:hideMark/>
          </w:tcPr>
          <w:p w14:paraId="7F1314F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1.00 </w:t>
            </w:r>
          </w:p>
        </w:tc>
      </w:tr>
      <w:tr w:rsidR="00F00E3D" w:rsidRPr="00335312" w14:paraId="5EE39E6C" w14:textId="77777777" w:rsidTr="009B2FA7">
        <w:trPr>
          <w:trHeight w:val="290"/>
        </w:trPr>
        <w:tc>
          <w:tcPr>
            <w:tcW w:w="981" w:type="pct"/>
            <w:tcBorders>
              <w:top w:val="nil"/>
              <w:bottom w:val="nil"/>
              <w:right w:val="single" w:sz="4" w:space="0" w:color="auto"/>
            </w:tcBorders>
            <w:shd w:val="clear" w:color="auto" w:fill="auto"/>
            <w:noWrap/>
            <w:vAlign w:val="bottom"/>
            <w:hideMark/>
          </w:tcPr>
          <w:p w14:paraId="35E4B00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DY-2017</w:t>
            </w:r>
          </w:p>
        </w:tc>
        <w:tc>
          <w:tcPr>
            <w:tcW w:w="1367" w:type="pct"/>
            <w:tcBorders>
              <w:right w:val="single" w:sz="4" w:space="0" w:color="auto"/>
            </w:tcBorders>
          </w:tcPr>
          <w:p w14:paraId="21413E5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2017</w:t>
            </w:r>
          </w:p>
        </w:tc>
        <w:tc>
          <w:tcPr>
            <w:tcW w:w="606" w:type="pct"/>
            <w:tcBorders>
              <w:left w:val="single" w:sz="4" w:space="0" w:color="auto"/>
            </w:tcBorders>
            <w:shd w:val="clear" w:color="auto" w:fill="auto"/>
            <w:noWrap/>
            <w:hideMark/>
          </w:tcPr>
          <w:p w14:paraId="5F01E5A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186,465 </w:t>
            </w:r>
          </w:p>
        </w:tc>
        <w:tc>
          <w:tcPr>
            <w:tcW w:w="530" w:type="pct"/>
            <w:shd w:val="clear" w:color="auto" w:fill="auto"/>
            <w:noWrap/>
            <w:hideMark/>
          </w:tcPr>
          <w:p w14:paraId="66D4F5A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0.16 </w:t>
            </w:r>
          </w:p>
        </w:tc>
        <w:tc>
          <w:tcPr>
            <w:tcW w:w="543" w:type="pct"/>
            <w:shd w:val="clear" w:color="auto" w:fill="auto"/>
            <w:noWrap/>
            <w:hideMark/>
          </w:tcPr>
          <w:p w14:paraId="12E1501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0.37 </w:t>
            </w:r>
          </w:p>
        </w:tc>
        <w:tc>
          <w:tcPr>
            <w:tcW w:w="441" w:type="pct"/>
            <w:shd w:val="clear" w:color="auto" w:fill="auto"/>
            <w:noWrap/>
            <w:hideMark/>
          </w:tcPr>
          <w:p w14:paraId="68CACB0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shd w:val="clear" w:color="auto" w:fill="auto"/>
            <w:noWrap/>
            <w:hideMark/>
          </w:tcPr>
          <w:p w14:paraId="46DB1C9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1.00 </w:t>
            </w:r>
          </w:p>
        </w:tc>
      </w:tr>
      <w:tr w:rsidR="00F00E3D" w:rsidRPr="00335312" w14:paraId="627DC980" w14:textId="77777777" w:rsidTr="009B2FA7">
        <w:trPr>
          <w:trHeight w:val="290"/>
        </w:trPr>
        <w:tc>
          <w:tcPr>
            <w:tcW w:w="981" w:type="pct"/>
            <w:tcBorders>
              <w:top w:val="nil"/>
              <w:bottom w:val="nil"/>
              <w:right w:val="single" w:sz="4" w:space="0" w:color="auto"/>
            </w:tcBorders>
            <w:shd w:val="clear" w:color="auto" w:fill="auto"/>
            <w:noWrap/>
            <w:vAlign w:val="bottom"/>
            <w:hideMark/>
          </w:tcPr>
          <w:p w14:paraId="5D41747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DY-2018</w:t>
            </w:r>
          </w:p>
        </w:tc>
        <w:tc>
          <w:tcPr>
            <w:tcW w:w="1367" w:type="pct"/>
            <w:tcBorders>
              <w:right w:val="single" w:sz="4" w:space="0" w:color="auto"/>
            </w:tcBorders>
          </w:tcPr>
          <w:p w14:paraId="331DF44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2018</w:t>
            </w:r>
          </w:p>
        </w:tc>
        <w:tc>
          <w:tcPr>
            <w:tcW w:w="606" w:type="pct"/>
            <w:tcBorders>
              <w:left w:val="single" w:sz="4" w:space="0" w:color="auto"/>
            </w:tcBorders>
            <w:shd w:val="clear" w:color="auto" w:fill="auto"/>
            <w:noWrap/>
            <w:hideMark/>
          </w:tcPr>
          <w:p w14:paraId="1F3091E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186,465 </w:t>
            </w:r>
          </w:p>
        </w:tc>
        <w:tc>
          <w:tcPr>
            <w:tcW w:w="530" w:type="pct"/>
            <w:shd w:val="clear" w:color="auto" w:fill="auto"/>
            <w:noWrap/>
            <w:hideMark/>
          </w:tcPr>
          <w:p w14:paraId="255ACD9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0.12 </w:t>
            </w:r>
          </w:p>
        </w:tc>
        <w:tc>
          <w:tcPr>
            <w:tcW w:w="543" w:type="pct"/>
            <w:shd w:val="clear" w:color="auto" w:fill="auto"/>
            <w:noWrap/>
            <w:hideMark/>
          </w:tcPr>
          <w:p w14:paraId="278D34C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0.33 </w:t>
            </w:r>
          </w:p>
        </w:tc>
        <w:tc>
          <w:tcPr>
            <w:tcW w:w="441" w:type="pct"/>
            <w:shd w:val="clear" w:color="auto" w:fill="auto"/>
            <w:noWrap/>
            <w:hideMark/>
          </w:tcPr>
          <w:p w14:paraId="6F2E8ED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shd w:val="clear" w:color="auto" w:fill="auto"/>
            <w:noWrap/>
            <w:hideMark/>
          </w:tcPr>
          <w:p w14:paraId="682B5C3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1.00 </w:t>
            </w:r>
          </w:p>
        </w:tc>
      </w:tr>
      <w:tr w:rsidR="00F00E3D" w:rsidRPr="00335312" w14:paraId="09B0AB7B" w14:textId="77777777" w:rsidTr="009B2FA7">
        <w:trPr>
          <w:trHeight w:val="290"/>
        </w:trPr>
        <w:tc>
          <w:tcPr>
            <w:tcW w:w="981" w:type="pct"/>
            <w:tcBorders>
              <w:top w:val="nil"/>
              <w:bottom w:val="nil"/>
              <w:right w:val="single" w:sz="4" w:space="0" w:color="auto"/>
            </w:tcBorders>
            <w:shd w:val="clear" w:color="auto" w:fill="auto"/>
            <w:noWrap/>
            <w:vAlign w:val="bottom"/>
            <w:hideMark/>
          </w:tcPr>
          <w:p w14:paraId="0EA828B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DY-2019</w:t>
            </w:r>
          </w:p>
        </w:tc>
        <w:tc>
          <w:tcPr>
            <w:tcW w:w="1367" w:type="pct"/>
            <w:tcBorders>
              <w:right w:val="single" w:sz="4" w:space="0" w:color="auto"/>
            </w:tcBorders>
          </w:tcPr>
          <w:p w14:paraId="642DC51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2019</w:t>
            </w:r>
          </w:p>
        </w:tc>
        <w:tc>
          <w:tcPr>
            <w:tcW w:w="606" w:type="pct"/>
            <w:tcBorders>
              <w:left w:val="single" w:sz="4" w:space="0" w:color="auto"/>
            </w:tcBorders>
            <w:shd w:val="clear" w:color="auto" w:fill="auto"/>
            <w:noWrap/>
            <w:hideMark/>
          </w:tcPr>
          <w:p w14:paraId="4AEE3B4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186,465 </w:t>
            </w:r>
          </w:p>
        </w:tc>
        <w:tc>
          <w:tcPr>
            <w:tcW w:w="530" w:type="pct"/>
            <w:shd w:val="clear" w:color="auto" w:fill="auto"/>
            <w:noWrap/>
            <w:hideMark/>
          </w:tcPr>
          <w:p w14:paraId="3064D04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0.15 </w:t>
            </w:r>
          </w:p>
        </w:tc>
        <w:tc>
          <w:tcPr>
            <w:tcW w:w="543" w:type="pct"/>
            <w:shd w:val="clear" w:color="auto" w:fill="auto"/>
            <w:noWrap/>
            <w:hideMark/>
          </w:tcPr>
          <w:p w14:paraId="2698456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0.36 </w:t>
            </w:r>
          </w:p>
        </w:tc>
        <w:tc>
          <w:tcPr>
            <w:tcW w:w="441" w:type="pct"/>
            <w:shd w:val="clear" w:color="auto" w:fill="auto"/>
            <w:noWrap/>
            <w:hideMark/>
          </w:tcPr>
          <w:p w14:paraId="3AAB976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shd w:val="clear" w:color="auto" w:fill="auto"/>
            <w:noWrap/>
            <w:hideMark/>
          </w:tcPr>
          <w:p w14:paraId="63DBFE1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1.00 </w:t>
            </w:r>
          </w:p>
        </w:tc>
      </w:tr>
      <w:tr w:rsidR="00F00E3D" w:rsidRPr="00335312" w14:paraId="4C768ADD" w14:textId="77777777" w:rsidTr="009B2FA7">
        <w:trPr>
          <w:trHeight w:val="290"/>
        </w:trPr>
        <w:tc>
          <w:tcPr>
            <w:tcW w:w="981" w:type="pct"/>
            <w:tcBorders>
              <w:top w:val="nil"/>
              <w:bottom w:val="single" w:sz="4" w:space="0" w:color="auto"/>
              <w:right w:val="single" w:sz="4" w:space="0" w:color="auto"/>
            </w:tcBorders>
            <w:shd w:val="clear" w:color="auto" w:fill="auto"/>
            <w:noWrap/>
            <w:vAlign w:val="bottom"/>
            <w:hideMark/>
          </w:tcPr>
          <w:p w14:paraId="59AF345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DY-2020</w:t>
            </w:r>
          </w:p>
        </w:tc>
        <w:tc>
          <w:tcPr>
            <w:tcW w:w="1367" w:type="pct"/>
            <w:tcBorders>
              <w:bottom w:val="single" w:sz="4" w:space="0" w:color="auto"/>
              <w:right w:val="single" w:sz="4" w:space="0" w:color="auto"/>
            </w:tcBorders>
          </w:tcPr>
          <w:p w14:paraId="317809A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2020</w:t>
            </w:r>
          </w:p>
        </w:tc>
        <w:tc>
          <w:tcPr>
            <w:tcW w:w="606" w:type="pct"/>
            <w:tcBorders>
              <w:left w:val="single" w:sz="4" w:space="0" w:color="auto"/>
              <w:bottom w:val="single" w:sz="4" w:space="0" w:color="auto"/>
            </w:tcBorders>
            <w:shd w:val="clear" w:color="auto" w:fill="auto"/>
            <w:noWrap/>
            <w:hideMark/>
          </w:tcPr>
          <w:p w14:paraId="65183FC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186,465 </w:t>
            </w:r>
          </w:p>
        </w:tc>
        <w:tc>
          <w:tcPr>
            <w:tcW w:w="530" w:type="pct"/>
            <w:tcBorders>
              <w:bottom w:val="single" w:sz="4" w:space="0" w:color="auto"/>
            </w:tcBorders>
            <w:shd w:val="clear" w:color="auto" w:fill="auto"/>
            <w:noWrap/>
            <w:hideMark/>
          </w:tcPr>
          <w:p w14:paraId="6E52F6B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0.11 </w:t>
            </w:r>
          </w:p>
        </w:tc>
        <w:tc>
          <w:tcPr>
            <w:tcW w:w="543" w:type="pct"/>
            <w:tcBorders>
              <w:bottom w:val="single" w:sz="4" w:space="0" w:color="auto"/>
            </w:tcBorders>
            <w:shd w:val="clear" w:color="auto" w:fill="auto"/>
            <w:noWrap/>
            <w:hideMark/>
          </w:tcPr>
          <w:p w14:paraId="7FD0241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0.31 </w:t>
            </w:r>
          </w:p>
        </w:tc>
        <w:tc>
          <w:tcPr>
            <w:tcW w:w="441" w:type="pct"/>
            <w:tcBorders>
              <w:bottom w:val="single" w:sz="4" w:space="0" w:color="auto"/>
            </w:tcBorders>
            <w:shd w:val="clear" w:color="auto" w:fill="auto"/>
            <w:noWrap/>
            <w:hideMark/>
          </w:tcPr>
          <w:p w14:paraId="6F04B2F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0.00</w:t>
            </w:r>
          </w:p>
        </w:tc>
        <w:tc>
          <w:tcPr>
            <w:tcW w:w="532" w:type="pct"/>
            <w:tcBorders>
              <w:bottom w:val="single" w:sz="4" w:space="0" w:color="auto"/>
            </w:tcBorders>
            <w:shd w:val="clear" w:color="auto" w:fill="auto"/>
            <w:noWrap/>
            <w:hideMark/>
          </w:tcPr>
          <w:p w14:paraId="22525AE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hAnsiTheme="majorHAnsi" w:cstheme="majorHAnsi"/>
                <w:sz w:val="20"/>
                <w:szCs w:val="20"/>
              </w:rPr>
              <w:t xml:space="preserve"> 1.00 </w:t>
            </w:r>
          </w:p>
        </w:tc>
      </w:tr>
    </w:tbl>
    <w:p w14:paraId="7ABA218A" w14:textId="77777777" w:rsidR="00F00E3D" w:rsidRPr="00335312" w:rsidRDefault="00F00E3D" w:rsidP="002C52A2">
      <w:pPr>
        <w:spacing w:after="0" w:line="360" w:lineRule="auto"/>
        <w:rPr>
          <w:rFonts w:asciiTheme="majorHAnsi" w:eastAsiaTheme="majorEastAsia" w:hAnsiTheme="majorHAnsi" w:cstheme="majorHAnsi"/>
          <w:bCs/>
          <w:sz w:val="20"/>
          <w:szCs w:val="20"/>
        </w:rPr>
      </w:pPr>
    </w:p>
    <w:p w14:paraId="51A5A27E" w14:textId="77777777" w:rsidR="00F00E3D" w:rsidRPr="00335312" w:rsidRDefault="00F00E3D" w:rsidP="002C52A2">
      <w:pPr>
        <w:spacing w:after="0" w:line="360" w:lineRule="auto"/>
        <w:rPr>
          <w:rFonts w:asciiTheme="majorHAnsi" w:eastAsiaTheme="majorEastAsia" w:hAnsiTheme="majorHAnsi" w:cstheme="majorHAnsi"/>
          <w:bCs/>
          <w:sz w:val="20"/>
          <w:szCs w:val="20"/>
        </w:rPr>
      </w:pPr>
      <w:r w:rsidRPr="00335312">
        <w:rPr>
          <w:rFonts w:asciiTheme="majorHAnsi" w:eastAsiaTheme="majorEastAsia" w:hAnsiTheme="majorHAnsi" w:cstheme="majorHAnsi"/>
          <w:bCs/>
          <w:sz w:val="20"/>
          <w:szCs w:val="20"/>
        </w:rPr>
        <w:t>Panel C. House Rental Sample</w:t>
      </w:r>
    </w:p>
    <w:tbl>
      <w:tblPr>
        <w:tblW w:w="5000" w:type="pct"/>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901"/>
        <w:gridCol w:w="2627"/>
        <w:gridCol w:w="1168"/>
        <w:gridCol w:w="1024"/>
        <w:gridCol w:w="995"/>
        <w:gridCol w:w="923"/>
        <w:gridCol w:w="1000"/>
      </w:tblGrid>
      <w:tr w:rsidR="00F00E3D" w:rsidRPr="00335312" w14:paraId="2190ADA9" w14:textId="77777777" w:rsidTr="009B2FA7">
        <w:trPr>
          <w:trHeight w:val="290"/>
        </w:trPr>
        <w:tc>
          <w:tcPr>
            <w:tcW w:w="986" w:type="pct"/>
            <w:tcBorders>
              <w:top w:val="double" w:sz="4" w:space="0" w:color="auto"/>
              <w:bottom w:val="single" w:sz="4" w:space="0" w:color="auto"/>
              <w:right w:val="single" w:sz="4" w:space="0" w:color="auto"/>
            </w:tcBorders>
            <w:shd w:val="clear" w:color="auto" w:fill="auto"/>
            <w:noWrap/>
            <w:vAlign w:val="bottom"/>
            <w:hideMark/>
          </w:tcPr>
          <w:p w14:paraId="5A57A34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Variable</w:t>
            </w:r>
          </w:p>
        </w:tc>
        <w:tc>
          <w:tcPr>
            <w:tcW w:w="1363" w:type="pct"/>
            <w:tcBorders>
              <w:top w:val="double" w:sz="4" w:space="0" w:color="auto"/>
              <w:bottom w:val="single" w:sz="4" w:space="0" w:color="auto"/>
              <w:right w:val="single" w:sz="4" w:space="0" w:color="auto"/>
            </w:tcBorders>
          </w:tcPr>
          <w:p w14:paraId="6F1EA22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Description</w:t>
            </w:r>
          </w:p>
        </w:tc>
        <w:tc>
          <w:tcPr>
            <w:tcW w:w="606" w:type="pct"/>
            <w:tcBorders>
              <w:top w:val="double" w:sz="4" w:space="0" w:color="auto"/>
              <w:left w:val="single" w:sz="4" w:space="0" w:color="auto"/>
              <w:bottom w:val="single" w:sz="4" w:space="0" w:color="auto"/>
            </w:tcBorders>
            <w:shd w:val="clear" w:color="auto" w:fill="auto"/>
            <w:noWrap/>
            <w:vAlign w:val="bottom"/>
            <w:hideMark/>
          </w:tcPr>
          <w:p w14:paraId="0540363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Obs</w:t>
            </w:r>
          </w:p>
        </w:tc>
        <w:tc>
          <w:tcPr>
            <w:tcW w:w="531" w:type="pct"/>
            <w:tcBorders>
              <w:top w:val="double" w:sz="4" w:space="0" w:color="auto"/>
              <w:bottom w:val="single" w:sz="4" w:space="0" w:color="auto"/>
            </w:tcBorders>
            <w:shd w:val="clear" w:color="auto" w:fill="auto"/>
            <w:noWrap/>
            <w:vAlign w:val="bottom"/>
            <w:hideMark/>
          </w:tcPr>
          <w:p w14:paraId="0B6DD4A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Mean</w:t>
            </w:r>
          </w:p>
        </w:tc>
        <w:tc>
          <w:tcPr>
            <w:tcW w:w="516" w:type="pct"/>
            <w:tcBorders>
              <w:top w:val="double" w:sz="4" w:space="0" w:color="auto"/>
              <w:bottom w:val="single" w:sz="4" w:space="0" w:color="auto"/>
            </w:tcBorders>
            <w:shd w:val="clear" w:color="auto" w:fill="auto"/>
            <w:noWrap/>
            <w:vAlign w:val="bottom"/>
            <w:hideMark/>
          </w:tcPr>
          <w:p w14:paraId="0F839BE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Std. Dev.</w:t>
            </w:r>
          </w:p>
        </w:tc>
        <w:tc>
          <w:tcPr>
            <w:tcW w:w="479" w:type="pct"/>
            <w:tcBorders>
              <w:top w:val="double" w:sz="4" w:space="0" w:color="auto"/>
              <w:bottom w:val="single" w:sz="4" w:space="0" w:color="auto"/>
            </w:tcBorders>
            <w:shd w:val="clear" w:color="auto" w:fill="auto"/>
            <w:noWrap/>
            <w:vAlign w:val="bottom"/>
            <w:hideMark/>
          </w:tcPr>
          <w:p w14:paraId="4700BE3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Min</w:t>
            </w:r>
          </w:p>
        </w:tc>
        <w:tc>
          <w:tcPr>
            <w:tcW w:w="519" w:type="pct"/>
            <w:tcBorders>
              <w:top w:val="double" w:sz="4" w:space="0" w:color="auto"/>
              <w:bottom w:val="single" w:sz="4" w:space="0" w:color="auto"/>
              <w:right w:val="nil"/>
            </w:tcBorders>
            <w:shd w:val="clear" w:color="auto" w:fill="auto"/>
            <w:noWrap/>
            <w:vAlign w:val="bottom"/>
            <w:hideMark/>
          </w:tcPr>
          <w:p w14:paraId="028E20E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Max</w:t>
            </w:r>
          </w:p>
        </w:tc>
      </w:tr>
      <w:tr w:rsidR="00F00E3D" w:rsidRPr="00335312" w14:paraId="0ED3C334" w14:textId="77777777" w:rsidTr="009B2FA7">
        <w:trPr>
          <w:trHeight w:val="290"/>
        </w:trPr>
        <w:tc>
          <w:tcPr>
            <w:tcW w:w="986" w:type="pct"/>
            <w:tcBorders>
              <w:top w:val="single" w:sz="4" w:space="0" w:color="auto"/>
              <w:bottom w:val="nil"/>
              <w:right w:val="single" w:sz="4" w:space="0" w:color="auto"/>
            </w:tcBorders>
            <w:shd w:val="clear" w:color="auto" w:fill="auto"/>
            <w:noWrap/>
            <w:vAlign w:val="bottom"/>
            <w:hideMark/>
          </w:tcPr>
          <w:p w14:paraId="4662F64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Price</w:t>
            </w:r>
          </w:p>
        </w:tc>
        <w:tc>
          <w:tcPr>
            <w:tcW w:w="1363" w:type="pct"/>
            <w:tcBorders>
              <w:top w:val="single" w:sz="4" w:space="0" w:color="auto"/>
              <w:right w:val="single" w:sz="4" w:space="0" w:color="auto"/>
            </w:tcBorders>
          </w:tcPr>
          <w:p w14:paraId="5D8ED00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Rental Price</w:t>
            </w:r>
          </w:p>
        </w:tc>
        <w:tc>
          <w:tcPr>
            <w:tcW w:w="606" w:type="pct"/>
            <w:tcBorders>
              <w:top w:val="single" w:sz="4" w:space="0" w:color="auto"/>
              <w:left w:val="single" w:sz="4" w:space="0" w:color="auto"/>
            </w:tcBorders>
            <w:shd w:val="clear" w:color="auto" w:fill="auto"/>
            <w:noWrap/>
            <w:hideMark/>
          </w:tcPr>
          <w:p w14:paraId="4ACF1B9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1,615,497 </w:t>
            </w:r>
          </w:p>
        </w:tc>
        <w:tc>
          <w:tcPr>
            <w:tcW w:w="531" w:type="pct"/>
            <w:tcBorders>
              <w:top w:val="single" w:sz="4" w:space="0" w:color="auto"/>
            </w:tcBorders>
            <w:shd w:val="clear" w:color="auto" w:fill="auto"/>
            <w:noWrap/>
            <w:hideMark/>
          </w:tcPr>
          <w:p w14:paraId="06617C0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447.85 </w:t>
            </w:r>
          </w:p>
        </w:tc>
        <w:tc>
          <w:tcPr>
            <w:tcW w:w="516" w:type="pct"/>
            <w:tcBorders>
              <w:top w:val="single" w:sz="4" w:space="0" w:color="auto"/>
            </w:tcBorders>
            <w:shd w:val="clear" w:color="auto" w:fill="auto"/>
            <w:noWrap/>
            <w:hideMark/>
          </w:tcPr>
          <w:p w14:paraId="64DF865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164.44 </w:t>
            </w:r>
          </w:p>
        </w:tc>
        <w:tc>
          <w:tcPr>
            <w:tcW w:w="479" w:type="pct"/>
            <w:tcBorders>
              <w:top w:val="single" w:sz="4" w:space="0" w:color="auto"/>
            </w:tcBorders>
            <w:shd w:val="clear" w:color="auto" w:fill="auto"/>
            <w:noWrap/>
            <w:hideMark/>
          </w:tcPr>
          <w:p w14:paraId="6E3165C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195.00</w:t>
            </w:r>
          </w:p>
        </w:tc>
        <w:tc>
          <w:tcPr>
            <w:tcW w:w="519" w:type="pct"/>
            <w:tcBorders>
              <w:top w:val="single" w:sz="4" w:space="0" w:color="auto"/>
              <w:right w:val="nil"/>
            </w:tcBorders>
            <w:shd w:val="clear" w:color="auto" w:fill="auto"/>
            <w:noWrap/>
            <w:hideMark/>
          </w:tcPr>
          <w:p w14:paraId="7819BF7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1,400 </w:t>
            </w:r>
          </w:p>
        </w:tc>
      </w:tr>
      <w:tr w:rsidR="00F00E3D" w:rsidRPr="00335312" w14:paraId="2AA165EB" w14:textId="77777777" w:rsidTr="009B2FA7">
        <w:trPr>
          <w:trHeight w:val="290"/>
        </w:trPr>
        <w:tc>
          <w:tcPr>
            <w:tcW w:w="986" w:type="pct"/>
            <w:tcBorders>
              <w:top w:val="nil"/>
              <w:bottom w:val="nil"/>
              <w:right w:val="single" w:sz="4" w:space="0" w:color="auto"/>
            </w:tcBorders>
            <w:shd w:val="clear" w:color="auto" w:fill="auto"/>
            <w:noWrap/>
            <w:vAlign w:val="bottom"/>
            <w:hideMark/>
          </w:tcPr>
          <w:p w14:paraId="6CF45C8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Size</w:t>
            </w:r>
          </w:p>
        </w:tc>
        <w:tc>
          <w:tcPr>
            <w:tcW w:w="1363" w:type="pct"/>
            <w:tcBorders>
              <w:right w:val="single" w:sz="4" w:space="0" w:color="auto"/>
            </w:tcBorders>
          </w:tcPr>
          <w:p w14:paraId="758FBC6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Size of land/building</w:t>
            </w:r>
          </w:p>
        </w:tc>
        <w:tc>
          <w:tcPr>
            <w:tcW w:w="606" w:type="pct"/>
            <w:tcBorders>
              <w:left w:val="single" w:sz="4" w:space="0" w:color="auto"/>
            </w:tcBorders>
            <w:shd w:val="clear" w:color="auto" w:fill="auto"/>
            <w:noWrap/>
            <w:hideMark/>
          </w:tcPr>
          <w:p w14:paraId="263BAF5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1,629,773 </w:t>
            </w:r>
          </w:p>
        </w:tc>
        <w:tc>
          <w:tcPr>
            <w:tcW w:w="531" w:type="pct"/>
            <w:shd w:val="clear" w:color="auto" w:fill="auto"/>
            <w:noWrap/>
            <w:hideMark/>
          </w:tcPr>
          <w:p w14:paraId="5AC229B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558.25 </w:t>
            </w:r>
          </w:p>
        </w:tc>
        <w:tc>
          <w:tcPr>
            <w:tcW w:w="516" w:type="pct"/>
            <w:shd w:val="clear" w:color="auto" w:fill="auto"/>
            <w:noWrap/>
            <w:hideMark/>
          </w:tcPr>
          <w:p w14:paraId="65C7498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672.07 </w:t>
            </w:r>
          </w:p>
        </w:tc>
        <w:tc>
          <w:tcPr>
            <w:tcW w:w="479" w:type="pct"/>
            <w:shd w:val="clear" w:color="auto" w:fill="auto"/>
            <w:noWrap/>
            <w:hideMark/>
          </w:tcPr>
          <w:p w14:paraId="295C265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right w:val="nil"/>
            </w:tcBorders>
            <w:shd w:val="clear" w:color="auto" w:fill="auto"/>
            <w:noWrap/>
            <w:hideMark/>
          </w:tcPr>
          <w:p w14:paraId="4F37CC3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11,153 </w:t>
            </w:r>
          </w:p>
        </w:tc>
      </w:tr>
      <w:tr w:rsidR="00F00E3D" w:rsidRPr="00335312" w14:paraId="0695CF11" w14:textId="77777777" w:rsidTr="009B2FA7">
        <w:trPr>
          <w:trHeight w:val="290"/>
        </w:trPr>
        <w:tc>
          <w:tcPr>
            <w:tcW w:w="986" w:type="pct"/>
            <w:tcBorders>
              <w:top w:val="nil"/>
              <w:bottom w:val="nil"/>
              <w:right w:val="single" w:sz="4" w:space="0" w:color="auto"/>
            </w:tcBorders>
            <w:shd w:val="clear" w:color="auto" w:fill="auto"/>
            <w:noWrap/>
            <w:vAlign w:val="bottom"/>
            <w:hideMark/>
          </w:tcPr>
          <w:p w14:paraId="0CCFB45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No.Beds</w:t>
            </w:r>
          </w:p>
        </w:tc>
        <w:tc>
          <w:tcPr>
            <w:tcW w:w="1363" w:type="pct"/>
            <w:tcBorders>
              <w:right w:val="single" w:sz="4" w:space="0" w:color="auto"/>
            </w:tcBorders>
          </w:tcPr>
          <w:p w14:paraId="17469B3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Number of Bedrooms</w:t>
            </w:r>
          </w:p>
        </w:tc>
        <w:tc>
          <w:tcPr>
            <w:tcW w:w="606" w:type="pct"/>
            <w:tcBorders>
              <w:left w:val="single" w:sz="4" w:space="0" w:color="auto"/>
            </w:tcBorders>
            <w:shd w:val="clear" w:color="auto" w:fill="auto"/>
            <w:noWrap/>
            <w:hideMark/>
          </w:tcPr>
          <w:p w14:paraId="0ABD618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1,646,232 </w:t>
            </w:r>
          </w:p>
        </w:tc>
        <w:tc>
          <w:tcPr>
            <w:tcW w:w="531" w:type="pct"/>
            <w:shd w:val="clear" w:color="auto" w:fill="auto"/>
            <w:noWrap/>
            <w:hideMark/>
          </w:tcPr>
          <w:p w14:paraId="1E52412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3.01 </w:t>
            </w:r>
          </w:p>
        </w:tc>
        <w:tc>
          <w:tcPr>
            <w:tcW w:w="516" w:type="pct"/>
            <w:shd w:val="clear" w:color="auto" w:fill="auto"/>
            <w:noWrap/>
            <w:hideMark/>
          </w:tcPr>
          <w:p w14:paraId="5499F38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0.82 </w:t>
            </w:r>
          </w:p>
        </w:tc>
        <w:tc>
          <w:tcPr>
            <w:tcW w:w="479" w:type="pct"/>
            <w:shd w:val="clear" w:color="auto" w:fill="auto"/>
            <w:noWrap/>
            <w:hideMark/>
          </w:tcPr>
          <w:p w14:paraId="31200F4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right w:val="nil"/>
            </w:tcBorders>
            <w:shd w:val="clear" w:color="auto" w:fill="auto"/>
            <w:noWrap/>
            <w:hideMark/>
          </w:tcPr>
          <w:p w14:paraId="35F802F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45.00 </w:t>
            </w:r>
          </w:p>
        </w:tc>
      </w:tr>
      <w:tr w:rsidR="00F00E3D" w:rsidRPr="00335312" w14:paraId="57532C41" w14:textId="77777777" w:rsidTr="009B2FA7">
        <w:trPr>
          <w:trHeight w:val="290"/>
        </w:trPr>
        <w:tc>
          <w:tcPr>
            <w:tcW w:w="986" w:type="pct"/>
            <w:tcBorders>
              <w:top w:val="nil"/>
              <w:bottom w:val="nil"/>
              <w:right w:val="single" w:sz="4" w:space="0" w:color="auto"/>
            </w:tcBorders>
            <w:shd w:val="clear" w:color="auto" w:fill="auto"/>
            <w:noWrap/>
            <w:vAlign w:val="bottom"/>
            <w:hideMark/>
          </w:tcPr>
          <w:p w14:paraId="3C3567C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No.Baths</w:t>
            </w:r>
          </w:p>
        </w:tc>
        <w:tc>
          <w:tcPr>
            <w:tcW w:w="1363" w:type="pct"/>
            <w:tcBorders>
              <w:right w:val="single" w:sz="4" w:space="0" w:color="auto"/>
            </w:tcBorders>
          </w:tcPr>
          <w:p w14:paraId="67DB751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Number of Bathroom</w:t>
            </w:r>
          </w:p>
        </w:tc>
        <w:tc>
          <w:tcPr>
            <w:tcW w:w="606" w:type="pct"/>
            <w:tcBorders>
              <w:left w:val="single" w:sz="4" w:space="0" w:color="auto"/>
            </w:tcBorders>
            <w:shd w:val="clear" w:color="auto" w:fill="auto"/>
            <w:noWrap/>
            <w:hideMark/>
          </w:tcPr>
          <w:p w14:paraId="6927E2D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1,646,232 </w:t>
            </w:r>
          </w:p>
        </w:tc>
        <w:tc>
          <w:tcPr>
            <w:tcW w:w="531" w:type="pct"/>
            <w:shd w:val="clear" w:color="auto" w:fill="auto"/>
            <w:noWrap/>
            <w:hideMark/>
          </w:tcPr>
          <w:p w14:paraId="3A36837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1.56 </w:t>
            </w:r>
          </w:p>
        </w:tc>
        <w:tc>
          <w:tcPr>
            <w:tcW w:w="516" w:type="pct"/>
            <w:shd w:val="clear" w:color="auto" w:fill="auto"/>
            <w:noWrap/>
            <w:hideMark/>
          </w:tcPr>
          <w:p w14:paraId="585E1D8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0.61 </w:t>
            </w:r>
          </w:p>
        </w:tc>
        <w:tc>
          <w:tcPr>
            <w:tcW w:w="479" w:type="pct"/>
            <w:shd w:val="clear" w:color="auto" w:fill="auto"/>
            <w:noWrap/>
            <w:hideMark/>
          </w:tcPr>
          <w:p w14:paraId="2D9FD82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right w:val="nil"/>
            </w:tcBorders>
            <w:shd w:val="clear" w:color="auto" w:fill="auto"/>
            <w:noWrap/>
            <w:hideMark/>
          </w:tcPr>
          <w:p w14:paraId="6835142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12.00 </w:t>
            </w:r>
          </w:p>
        </w:tc>
      </w:tr>
      <w:tr w:rsidR="00F00E3D" w:rsidRPr="00335312" w14:paraId="60C1E517" w14:textId="77777777" w:rsidTr="009B2FA7">
        <w:trPr>
          <w:trHeight w:val="290"/>
        </w:trPr>
        <w:tc>
          <w:tcPr>
            <w:tcW w:w="986" w:type="pct"/>
            <w:tcBorders>
              <w:top w:val="nil"/>
              <w:bottom w:val="nil"/>
              <w:right w:val="single" w:sz="4" w:space="0" w:color="auto"/>
            </w:tcBorders>
            <w:shd w:val="clear" w:color="auto" w:fill="auto"/>
            <w:noWrap/>
            <w:vAlign w:val="bottom"/>
            <w:hideMark/>
          </w:tcPr>
          <w:p w14:paraId="2CD59EC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No.Parking</w:t>
            </w:r>
          </w:p>
        </w:tc>
        <w:tc>
          <w:tcPr>
            <w:tcW w:w="1363" w:type="pct"/>
            <w:tcBorders>
              <w:right w:val="single" w:sz="4" w:space="0" w:color="auto"/>
            </w:tcBorders>
          </w:tcPr>
          <w:p w14:paraId="1A38A74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Number of Carpark</w:t>
            </w:r>
          </w:p>
        </w:tc>
        <w:tc>
          <w:tcPr>
            <w:tcW w:w="606" w:type="pct"/>
            <w:tcBorders>
              <w:left w:val="single" w:sz="4" w:space="0" w:color="auto"/>
            </w:tcBorders>
            <w:shd w:val="clear" w:color="auto" w:fill="auto"/>
            <w:noWrap/>
            <w:hideMark/>
          </w:tcPr>
          <w:p w14:paraId="0A766C7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1,646,232 </w:t>
            </w:r>
          </w:p>
        </w:tc>
        <w:tc>
          <w:tcPr>
            <w:tcW w:w="531" w:type="pct"/>
            <w:shd w:val="clear" w:color="auto" w:fill="auto"/>
            <w:noWrap/>
            <w:hideMark/>
          </w:tcPr>
          <w:p w14:paraId="7C2B0B7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1.55 </w:t>
            </w:r>
          </w:p>
        </w:tc>
        <w:tc>
          <w:tcPr>
            <w:tcW w:w="516" w:type="pct"/>
            <w:shd w:val="clear" w:color="auto" w:fill="auto"/>
            <w:noWrap/>
            <w:hideMark/>
          </w:tcPr>
          <w:p w14:paraId="1A64651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0.96 </w:t>
            </w:r>
          </w:p>
        </w:tc>
        <w:tc>
          <w:tcPr>
            <w:tcW w:w="479" w:type="pct"/>
            <w:shd w:val="clear" w:color="auto" w:fill="auto"/>
            <w:noWrap/>
            <w:hideMark/>
          </w:tcPr>
          <w:p w14:paraId="18881E6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right w:val="nil"/>
            </w:tcBorders>
            <w:shd w:val="clear" w:color="auto" w:fill="auto"/>
            <w:noWrap/>
            <w:hideMark/>
          </w:tcPr>
          <w:p w14:paraId="3903C5A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50.00 </w:t>
            </w:r>
          </w:p>
        </w:tc>
      </w:tr>
      <w:tr w:rsidR="00F00E3D" w:rsidRPr="00335312" w14:paraId="3441A60D" w14:textId="77777777" w:rsidTr="009B2FA7">
        <w:trPr>
          <w:trHeight w:val="290"/>
        </w:trPr>
        <w:tc>
          <w:tcPr>
            <w:tcW w:w="986" w:type="pct"/>
            <w:tcBorders>
              <w:top w:val="nil"/>
              <w:bottom w:val="nil"/>
              <w:right w:val="single" w:sz="4" w:space="0" w:color="auto"/>
            </w:tcBorders>
            <w:shd w:val="clear" w:color="auto" w:fill="auto"/>
            <w:noWrap/>
            <w:vAlign w:val="bottom"/>
            <w:hideMark/>
          </w:tcPr>
          <w:p w14:paraId="097E8C42" w14:textId="522D42AB" w:rsidR="00F00E3D" w:rsidRPr="00335312" w:rsidRDefault="00940D80" w:rsidP="002C52A2">
            <w:pPr>
              <w:spacing w:after="0" w:line="240" w:lineRule="auto"/>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COVID</w:t>
            </w:r>
            <w:r w:rsidR="00F00E3D" w:rsidRPr="00335312">
              <w:rPr>
                <w:rFonts w:asciiTheme="majorHAnsi" w:eastAsia="Times New Roman" w:hAnsiTheme="majorHAnsi" w:cstheme="majorHAnsi"/>
                <w:color w:val="000000"/>
                <w:sz w:val="20"/>
                <w:szCs w:val="20"/>
              </w:rPr>
              <w:t xml:space="preserve"> Period</w:t>
            </w:r>
          </w:p>
        </w:tc>
        <w:tc>
          <w:tcPr>
            <w:tcW w:w="1363" w:type="pct"/>
            <w:tcBorders>
              <w:right w:val="single" w:sz="4" w:space="0" w:color="auto"/>
            </w:tcBorders>
          </w:tcPr>
          <w:p w14:paraId="56D77ED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Period:17</w:t>
            </w:r>
            <w:r w:rsidRPr="00335312">
              <w:rPr>
                <w:rFonts w:asciiTheme="majorHAnsi" w:eastAsia="Times New Roman" w:hAnsiTheme="majorHAnsi" w:cstheme="majorHAnsi"/>
                <w:color w:val="000000"/>
                <w:sz w:val="20"/>
                <w:szCs w:val="20"/>
                <w:vertAlign w:val="superscript"/>
              </w:rPr>
              <w:t>th</w:t>
            </w:r>
            <w:r w:rsidRPr="00335312">
              <w:rPr>
                <w:rFonts w:asciiTheme="majorHAnsi" w:eastAsia="Times New Roman" w:hAnsiTheme="majorHAnsi" w:cstheme="majorHAnsi"/>
                <w:color w:val="000000"/>
                <w:sz w:val="20"/>
                <w:szCs w:val="20"/>
              </w:rPr>
              <w:t xml:space="preserve"> March to 31</w:t>
            </w:r>
            <w:r w:rsidRPr="00335312">
              <w:rPr>
                <w:rFonts w:asciiTheme="majorHAnsi" w:eastAsia="Times New Roman" w:hAnsiTheme="majorHAnsi" w:cstheme="majorHAnsi"/>
                <w:color w:val="000000"/>
                <w:sz w:val="20"/>
                <w:szCs w:val="20"/>
                <w:vertAlign w:val="superscript"/>
              </w:rPr>
              <w:t>st</w:t>
            </w:r>
            <w:r w:rsidRPr="00335312">
              <w:rPr>
                <w:rFonts w:asciiTheme="majorHAnsi" w:eastAsia="Times New Roman" w:hAnsiTheme="majorHAnsi" w:cstheme="majorHAnsi"/>
                <w:color w:val="000000"/>
                <w:sz w:val="20"/>
                <w:szCs w:val="20"/>
              </w:rPr>
              <w:t xml:space="preserve"> October 2020</w:t>
            </w:r>
          </w:p>
        </w:tc>
        <w:tc>
          <w:tcPr>
            <w:tcW w:w="606" w:type="pct"/>
            <w:tcBorders>
              <w:left w:val="single" w:sz="4" w:space="0" w:color="auto"/>
            </w:tcBorders>
            <w:shd w:val="clear" w:color="auto" w:fill="auto"/>
            <w:noWrap/>
            <w:hideMark/>
          </w:tcPr>
          <w:p w14:paraId="2429E72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1,646,232 </w:t>
            </w:r>
          </w:p>
        </w:tc>
        <w:tc>
          <w:tcPr>
            <w:tcW w:w="531" w:type="pct"/>
            <w:shd w:val="clear" w:color="auto" w:fill="auto"/>
            <w:noWrap/>
            <w:hideMark/>
          </w:tcPr>
          <w:p w14:paraId="7695B65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0.08 </w:t>
            </w:r>
          </w:p>
        </w:tc>
        <w:tc>
          <w:tcPr>
            <w:tcW w:w="516" w:type="pct"/>
            <w:shd w:val="clear" w:color="auto" w:fill="auto"/>
            <w:noWrap/>
            <w:hideMark/>
          </w:tcPr>
          <w:p w14:paraId="6880BBA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0.27 </w:t>
            </w:r>
          </w:p>
        </w:tc>
        <w:tc>
          <w:tcPr>
            <w:tcW w:w="479" w:type="pct"/>
            <w:shd w:val="clear" w:color="auto" w:fill="auto"/>
            <w:noWrap/>
            <w:hideMark/>
          </w:tcPr>
          <w:p w14:paraId="2DAD1C7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right w:val="nil"/>
            </w:tcBorders>
            <w:shd w:val="clear" w:color="auto" w:fill="auto"/>
            <w:noWrap/>
            <w:hideMark/>
          </w:tcPr>
          <w:p w14:paraId="652AC12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5DE29330" w14:textId="77777777" w:rsidTr="009B2FA7">
        <w:trPr>
          <w:trHeight w:val="290"/>
        </w:trPr>
        <w:tc>
          <w:tcPr>
            <w:tcW w:w="986" w:type="pct"/>
            <w:tcBorders>
              <w:top w:val="nil"/>
              <w:bottom w:val="nil"/>
              <w:right w:val="single" w:sz="4" w:space="0" w:color="auto"/>
            </w:tcBorders>
            <w:shd w:val="clear" w:color="auto" w:fill="auto"/>
            <w:noWrap/>
            <w:vAlign w:val="bottom"/>
            <w:hideMark/>
          </w:tcPr>
          <w:p w14:paraId="558C1E3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Regional VIC</w:t>
            </w:r>
          </w:p>
        </w:tc>
        <w:tc>
          <w:tcPr>
            <w:tcW w:w="1363" w:type="pct"/>
            <w:tcBorders>
              <w:right w:val="single" w:sz="4" w:space="0" w:color="auto"/>
            </w:tcBorders>
          </w:tcPr>
          <w:p w14:paraId="7B70B1A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Regional Victoria</w:t>
            </w:r>
          </w:p>
        </w:tc>
        <w:tc>
          <w:tcPr>
            <w:tcW w:w="606" w:type="pct"/>
            <w:tcBorders>
              <w:left w:val="single" w:sz="4" w:space="0" w:color="auto"/>
            </w:tcBorders>
            <w:shd w:val="clear" w:color="auto" w:fill="auto"/>
            <w:noWrap/>
            <w:hideMark/>
          </w:tcPr>
          <w:p w14:paraId="2D5BFC9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1,646,232 </w:t>
            </w:r>
          </w:p>
        </w:tc>
        <w:tc>
          <w:tcPr>
            <w:tcW w:w="531" w:type="pct"/>
            <w:shd w:val="clear" w:color="auto" w:fill="auto"/>
            <w:noWrap/>
            <w:hideMark/>
          </w:tcPr>
          <w:p w14:paraId="3CF59A8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0.31 </w:t>
            </w:r>
          </w:p>
        </w:tc>
        <w:tc>
          <w:tcPr>
            <w:tcW w:w="516" w:type="pct"/>
            <w:shd w:val="clear" w:color="auto" w:fill="auto"/>
            <w:noWrap/>
            <w:hideMark/>
          </w:tcPr>
          <w:p w14:paraId="3534E71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0.46 </w:t>
            </w:r>
          </w:p>
        </w:tc>
        <w:tc>
          <w:tcPr>
            <w:tcW w:w="479" w:type="pct"/>
            <w:shd w:val="clear" w:color="auto" w:fill="auto"/>
            <w:noWrap/>
            <w:hideMark/>
          </w:tcPr>
          <w:p w14:paraId="4991EE8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right w:val="nil"/>
            </w:tcBorders>
            <w:shd w:val="clear" w:color="auto" w:fill="auto"/>
            <w:noWrap/>
            <w:hideMark/>
          </w:tcPr>
          <w:p w14:paraId="7E78084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1A30D150" w14:textId="77777777" w:rsidTr="009B2FA7">
        <w:trPr>
          <w:trHeight w:val="290"/>
        </w:trPr>
        <w:tc>
          <w:tcPr>
            <w:tcW w:w="986" w:type="pct"/>
            <w:tcBorders>
              <w:top w:val="nil"/>
              <w:bottom w:val="nil"/>
              <w:right w:val="single" w:sz="4" w:space="0" w:color="auto"/>
            </w:tcBorders>
            <w:shd w:val="clear" w:color="auto" w:fill="auto"/>
            <w:noWrap/>
            <w:vAlign w:val="bottom"/>
            <w:hideMark/>
          </w:tcPr>
          <w:p w14:paraId="58357AF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GGeelong</w:t>
            </w:r>
          </w:p>
        </w:tc>
        <w:tc>
          <w:tcPr>
            <w:tcW w:w="1363" w:type="pct"/>
            <w:tcBorders>
              <w:right w:val="single" w:sz="4" w:space="0" w:color="auto"/>
            </w:tcBorders>
          </w:tcPr>
          <w:p w14:paraId="16BB507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Greater Geelong</w:t>
            </w:r>
          </w:p>
        </w:tc>
        <w:tc>
          <w:tcPr>
            <w:tcW w:w="606" w:type="pct"/>
            <w:tcBorders>
              <w:left w:val="single" w:sz="4" w:space="0" w:color="auto"/>
            </w:tcBorders>
            <w:shd w:val="clear" w:color="auto" w:fill="auto"/>
            <w:noWrap/>
            <w:hideMark/>
          </w:tcPr>
          <w:p w14:paraId="2B0AACF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1,646,232 </w:t>
            </w:r>
          </w:p>
        </w:tc>
        <w:tc>
          <w:tcPr>
            <w:tcW w:w="531" w:type="pct"/>
            <w:shd w:val="clear" w:color="auto" w:fill="auto"/>
            <w:noWrap/>
            <w:hideMark/>
          </w:tcPr>
          <w:p w14:paraId="5399468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0.03 </w:t>
            </w:r>
          </w:p>
        </w:tc>
        <w:tc>
          <w:tcPr>
            <w:tcW w:w="516" w:type="pct"/>
            <w:shd w:val="clear" w:color="auto" w:fill="auto"/>
            <w:noWrap/>
            <w:hideMark/>
          </w:tcPr>
          <w:p w14:paraId="3A32C27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0.18 </w:t>
            </w:r>
          </w:p>
        </w:tc>
        <w:tc>
          <w:tcPr>
            <w:tcW w:w="479" w:type="pct"/>
            <w:shd w:val="clear" w:color="auto" w:fill="auto"/>
            <w:noWrap/>
            <w:hideMark/>
          </w:tcPr>
          <w:p w14:paraId="485B35E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right w:val="nil"/>
            </w:tcBorders>
            <w:shd w:val="clear" w:color="auto" w:fill="auto"/>
            <w:noWrap/>
            <w:hideMark/>
          </w:tcPr>
          <w:p w14:paraId="6E2EF31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02056D04" w14:textId="77777777" w:rsidTr="009B2FA7">
        <w:trPr>
          <w:trHeight w:val="290"/>
        </w:trPr>
        <w:tc>
          <w:tcPr>
            <w:tcW w:w="986" w:type="pct"/>
            <w:tcBorders>
              <w:top w:val="nil"/>
              <w:bottom w:val="nil"/>
              <w:right w:val="single" w:sz="4" w:space="0" w:color="auto"/>
            </w:tcBorders>
            <w:shd w:val="clear" w:color="auto" w:fill="auto"/>
            <w:noWrap/>
            <w:vAlign w:val="bottom"/>
            <w:hideMark/>
          </w:tcPr>
          <w:p w14:paraId="5DDAABA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Focal Suburbs</w:t>
            </w:r>
          </w:p>
        </w:tc>
        <w:tc>
          <w:tcPr>
            <w:tcW w:w="1363" w:type="pct"/>
            <w:tcBorders>
              <w:right w:val="single" w:sz="4" w:space="0" w:color="auto"/>
            </w:tcBorders>
          </w:tcPr>
          <w:p w14:paraId="28F6F07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Focal three suburbs</w:t>
            </w:r>
          </w:p>
        </w:tc>
        <w:tc>
          <w:tcPr>
            <w:tcW w:w="606" w:type="pct"/>
            <w:tcBorders>
              <w:left w:val="single" w:sz="4" w:space="0" w:color="auto"/>
            </w:tcBorders>
            <w:shd w:val="clear" w:color="auto" w:fill="auto"/>
            <w:noWrap/>
            <w:hideMark/>
          </w:tcPr>
          <w:p w14:paraId="2474E3A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1,646,232 </w:t>
            </w:r>
          </w:p>
        </w:tc>
        <w:tc>
          <w:tcPr>
            <w:tcW w:w="531" w:type="pct"/>
            <w:shd w:val="clear" w:color="auto" w:fill="auto"/>
            <w:noWrap/>
            <w:hideMark/>
          </w:tcPr>
          <w:p w14:paraId="334F056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0.01 </w:t>
            </w:r>
          </w:p>
        </w:tc>
        <w:tc>
          <w:tcPr>
            <w:tcW w:w="516" w:type="pct"/>
            <w:shd w:val="clear" w:color="auto" w:fill="auto"/>
            <w:noWrap/>
            <w:hideMark/>
          </w:tcPr>
          <w:p w14:paraId="798F9BB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0.07 </w:t>
            </w:r>
          </w:p>
        </w:tc>
        <w:tc>
          <w:tcPr>
            <w:tcW w:w="479" w:type="pct"/>
            <w:shd w:val="clear" w:color="auto" w:fill="auto"/>
            <w:noWrap/>
            <w:hideMark/>
          </w:tcPr>
          <w:p w14:paraId="1556482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right w:val="nil"/>
            </w:tcBorders>
            <w:shd w:val="clear" w:color="auto" w:fill="auto"/>
            <w:noWrap/>
            <w:hideMark/>
          </w:tcPr>
          <w:p w14:paraId="2A1BA7E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3E4B1E5C" w14:textId="77777777" w:rsidTr="009B2FA7">
        <w:trPr>
          <w:trHeight w:val="290"/>
        </w:trPr>
        <w:tc>
          <w:tcPr>
            <w:tcW w:w="986" w:type="pct"/>
            <w:tcBorders>
              <w:top w:val="nil"/>
              <w:bottom w:val="nil"/>
              <w:right w:val="single" w:sz="4" w:space="0" w:color="auto"/>
            </w:tcBorders>
            <w:shd w:val="clear" w:color="auto" w:fill="auto"/>
            <w:noWrap/>
            <w:vAlign w:val="bottom"/>
            <w:hideMark/>
          </w:tcPr>
          <w:p w14:paraId="2533DDF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DY-2015</w:t>
            </w:r>
          </w:p>
        </w:tc>
        <w:tc>
          <w:tcPr>
            <w:tcW w:w="1363" w:type="pct"/>
            <w:tcBorders>
              <w:right w:val="single" w:sz="4" w:space="0" w:color="auto"/>
            </w:tcBorders>
          </w:tcPr>
          <w:p w14:paraId="51D7FAD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2015</w:t>
            </w:r>
          </w:p>
        </w:tc>
        <w:tc>
          <w:tcPr>
            <w:tcW w:w="606" w:type="pct"/>
            <w:tcBorders>
              <w:left w:val="single" w:sz="4" w:space="0" w:color="auto"/>
            </w:tcBorders>
            <w:shd w:val="clear" w:color="auto" w:fill="auto"/>
            <w:noWrap/>
            <w:hideMark/>
          </w:tcPr>
          <w:p w14:paraId="65BF095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1,646,232 </w:t>
            </w:r>
          </w:p>
        </w:tc>
        <w:tc>
          <w:tcPr>
            <w:tcW w:w="531" w:type="pct"/>
            <w:shd w:val="clear" w:color="auto" w:fill="auto"/>
            <w:noWrap/>
            <w:hideMark/>
          </w:tcPr>
          <w:p w14:paraId="6CD5EC0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0.14 </w:t>
            </w:r>
          </w:p>
        </w:tc>
        <w:tc>
          <w:tcPr>
            <w:tcW w:w="516" w:type="pct"/>
            <w:shd w:val="clear" w:color="auto" w:fill="auto"/>
            <w:noWrap/>
            <w:hideMark/>
          </w:tcPr>
          <w:p w14:paraId="65CD975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0.35 </w:t>
            </w:r>
          </w:p>
        </w:tc>
        <w:tc>
          <w:tcPr>
            <w:tcW w:w="479" w:type="pct"/>
            <w:shd w:val="clear" w:color="auto" w:fill="auto"/>
            <w:noWrap/>
            <w:hideMark/>
          </w:tcPr>
          <w:p w14:paraId="1B33148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right w:val="nil"/>
            </w:tcBorders>
            <w:shd w:val="clear" w:color="auto" w:fill="auto"/>
            <w:noWrap/>
            <w:hideMark/>
          </w:tcPr>
          <w:p w14:paraId="11A6926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696A13AA" w14:textId="77777777" w:rsidTr="009B2FA7">
        <w:trPr>
          <w:trHeight w:val="290"/>
        </w:trPr>
        <w:tc>
          <w:tcPr>
            <w:tcW w:w="986" w:type="pct"/>
            <w:tcBorders>
              <w:top w:val="nil"/>
              <w:bottom w:val="nil"/>
              <w:right w:val="single" w:sz="4" w:space="0" w:color="auto"/>
            </w:tcBorders>
            <w:shd w:val="clear" w:color="auto" w:fill="auto"/>
            <w:noWrap/>
            <w:vAlign w:val="bottom"/>
            <w:hideMark/>
          </w:tcPr>
          <w:p w14:paraId="62D877F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DY-2016</w:t>
            </w:r>
          </w:p>
        </w:tc>
        <w:tc>
          <w:tcPr>
            <w:tcW w:w="1363" w:type="pct"/>
            <w:tcBorders>
              <w:right w:val="single" w:sz="4" w:space="0" w:color="auto"/>
            </w:tcBorders>
          </w:tcPr>
          <w:p w14:paraId="257E9EE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2016</w:t>
            </w:r>
          </w:p>
        </w:tc>
        <w:tc>
          <w:tcPr>
            <w:tcW w:w="606" w:type="pct"/>
            <w:tcBorders>
              <w:left w:val="single" w:sz="4" w:space="0" w:color="auto"/>
            </w:tcBorders>
            <w:shd w:val="clear" w:color="auto" w:fill="auto"/>
            <w:noWrap/>
            <w:hideMark/>
          </w:tcPr>
          <w:p w14:paraId="05A23CB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1,646,232 </w:t>
            </w:r>
          </w:p>
        </w:tc>
        <w:tc>
          <w:tcPr>
            <w:tcW w:w="531" w:type="pct"/>
            <w:shd w:val="clear" w:color="auto" w:fill="auto"/>
            <w:noWrap/>
            <w:hideMark/>
          </w:tcPr>
          <w:p w14:paraId="3C00E31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0.16 </w:t>
            </w:r>
          </w:p>
        </w:tc>
        <w:tc>
          <w:tcPr>
            <w:tcW w:w="516" w:type="pct"/>
            <w:shd w:val="clear" w:color="auto" w:fill="auto"/>
            <w:noWrap/>
            <w:hideMark/>
          </w:tcPr>
          <w:p w14:paraId="0913FD2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0.37 </w:t>
            </w:r>
          </w:p>
        </w:tc>
        <w:tc>
          <w:tcPr>
            <w:tcW w:w="479" w:type="pct"/>
            <w:shd w:val="clear" w:color="auto" w:fill="auto"/>
            <w:noWrap/>
            <w:hideMark/>
          </w:tcPr>
          <w:p w14:paraId="5EE3DCA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right w:val="nil"/>
            </w:tcBorders>
            <w:shd w:val="clear" w:color="auto" w:fill="auto"/>
            <w:noWrap/>
            <w:hideMark/>
          </w:tcPr>
          <w:p w14:paraId="66947C1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7F9354FA" w14:textId="77777777" w:rsidTr="009B2FA7">
        <w:trPr>
          <w:trHeight w:val="290"/>
        </w:trPr>
        <w:tc>
          <w:tcPr>
            <w:tcW w:w="986" w:type="pct"/>
            <w:tcBorders>
              <w:top w:val="nil"/>
              <w:bottom w:val="nil"/>
              <w:right w:val="single" w:sz="4" w:space="0" w:color="auto"/>
            </w:tcBorders>
            <w:shd w:val="clear" w:color="auto" w:fill="auto"/>
            <w:noWrap/>
            <w:vAlign w:val="bottom"/>
            <w:hideMark/>
          </w:tcPr>
          <w:p w14:paraId="2581444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DY-2017</w:t>
            </w:r>
          </w:p>
        </w:tc>
        <w:tc>
          <w:tcPr>
            <w:tcW w:w="1363" w:type="pct"/>
            <w:tcBorders>
              <w:right w:val="single" w:sz="4" w:space="0" w:color="auto"/>
            </w:tcBorders>
          </w:tcPr>
          <w:p w14:paraId="6B24A09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2017</w:t>
            </w:r>
          </w:p>
        </w:tc>
        <w:tc>
          <w:tcPr>
            <w:tcW w:w="606" w:type="pct"/>
            <w:tcBorders>
              <w:left w:val="single" w:sz="4" w:space="0" w:color="auto"/>
            </w:tcBorders>
            <w:shd w:val="clear" w:color="auto" w:fill="auto"/>
            <w:noWrap/>
            <w:hideMark/>
          </w:tcPr>
          <w:p w14:paraId="7730DFE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1,646,232 </w:t>
            </w:r>
          </w:p>
        </w:tc>
        <w:tc>
          <w:tcPr>
            <w:tcW w:w="531" w:type="pct"/>
            <w:shd w:val="clear" w:color="auto" w:fill="auto"/>
            <w:noWrap/>
            <w:hideMark/>
          </w:tcPr>
          <w:p w14:paraId="290A52E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0.17 </w:t>
            </w:r>
          </w:p>
        </w:tc>
        <w:tc>
          <w:tcPr>
            <w:tcW w:w="516" w:type="pct"/>
            <w:shd w:val="clear" w:color="auto" w:fill="auto"/>
            <w:noWrap/>
            <w:hideMark/>
          </w:tcPr>
          <w:p w14:paraId="0C1AFB0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0.37 </w:t>
            </w:r>
          </w:p>
        </w:tc>
        <w:tc>
          <w:tcPr>
            <w:tcW w:w="479" w:type="pct"/>
            <w:shd w:val="clear" w:color="auto" w:fill="auto"/>
            <w:noWrap/>
            <w:hideMark/>
          </w:tcPr>
          <w:p w14:paraId="021CFB3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right w:val="nil"/>
            </w:tcBorders>
            <w:shd w:val="clear" w:color="auto" w:fill="auto"/>
            <w:noWrap/>
            <w:hideMark/>
          </w:tcPr>
          <w:p w14:paraId="2CDEEF6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1F029E98" w14:textId="77777777" w:rsidTr="009B2FA7">
        <w:trPr>
          <w:trHeight w:val="290"/>
        </w:trPr>
        <w:tc>
          <w:tcPr>
            <w:tcW w:w="986" w:type="pct"/>
            <w:tcBorders>
              <w:top w:val="nil"/>
              <w:bottom w:val="nil"/>
              <w:right w:val="single" w:sz="4" w:space="0" w:color="auto"/>
            </w:tcBorders>
            <w:shd w:val="clear" w:color="auto" w:fill="auto"/>
            <w:noWrap/>
            <w:vAlign w:val="bottom"/>
            <w:hideMark/>
          </w:tcPr>
          <w:p w14:paraId="522FF6C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DY-2018</w:t>
            </w:r>
          </w:p>
        </w:tc>
        <w:tc>
          <w:tcPr>
            <w:tcW w:w="1363" w:type="pct"/>
            <w:tcBorders>
              <w:right w:val="single" w:sz="4" w:space="0" w:color="auto"/>
            </w:tcBorders>
          </w:tcPr>
          <w:p w14:paraId="151A0E6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2018</w:t>
            </w:r>
          </w:p>
        </w:tc>
        <w:tc>
          <w:tcPr>
            <w:tcW w:w="606" w:type="pct"/>
            <w:tcBorders>
              <w:left w:val="single" w:sz="4" w:space="0" w:color="auto"/>
            </w:tcBorders>
            <w:shd w:val="clear" w:color="auto" w:fill="auto"/>
            <w:noWrap/>
            <w:hideMark/>
          </w:tcPr>
          <w:p w14:paraId="23A63E8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1,646,232 </w:t>
            </w:r>
          </w:p>
        </w:tc>
        <w:tc>
          <w:tcPr>
            <w:tcW w:w="531" w:type="pct"/>
            <w:shd w:val="clear" w:color="auto" w:fill="auto"/>
            <w:noWrap/>
            <w:hideMark/>
          </w:tcPr>
          <w:p w14:paraId="3BBACAF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0.20 </w:t>
            </w:r>
          </w:p>
        </w:tc>
        <w:tc>
          <w:tcPr>
            <w:tcW w:w="516" w:type="pct"/>
            <w:shd w:val="clear" w:color="auto" w:fill="auto"/>
            <w:noWrap/>
            <w:hideMark/>
          </w:tcPr>
          <w:p w14:paraId="080854F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0.40 </w:t>
            </w:r>
          </w:p>
        </w:tc>
        <w:tc>
          <w:tcPr>
            <w:tcW w:w="479" w:type="pct"/>
            <w:shd w:val="clear" w:color="auto" w:fill="auto"/>
            <w:noWrap/>
            <w:hideMark/>
          </w:tcPr>
          <w:p w14:paraId="42B08AA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right w:val="nil"/>
            </w:tcBorders>
            <w:shd w:val="clear" w:color="auto" w:fill="auto"/>
            <w:noWrap/>
            <w:hideMark/>
          </w:tcPr>
          <w:p w14:paraId="09C328D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308F2040" w14:textId="77777777" w:rsidTr="009B2FA7">
        <w:trPr>
          <w:trHeight w:val="290"/>
        </w:trPr>
        <w:tc>
          <w:tcPr>
            <w:tcW w:w="986" w:type="pct"/>
            <w:tcBorders>
              <w:top w:val="nil"/>
              <w:bottom w:val="nil"/>
              <w:right w:val="single" w:sz="4" w:space="0" w:color="auto"/>
            </w:tcBorders>
            <w:shd w:val="clear" w:color="auto" w:fill="auto"/>
            <w:noWrap/>
            <w:vAlign w:val="bottom"/>
            <w:hideMark/>
          </w:tcPr>
          <w:p w14:paraId="428AE29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DY-2019</w:t>
            </w:r>
          </w:p>
        </w:tc>
        <w:tc>
          <w:tcPr>
            <w:tcW w:w="1363" w:type="pct"/>
            <w:tcBorders>
              <w:right w:val="single" w:sz="4" w:space="0" w:color="auto"/>
            </w:tcBorders>
          </w:tcPr>
          <w:p w14:paraId="6522BB1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2019</w:t>
            </w:r>
          </w:p>
        </w:tc>
        <w:tc>
          <w:tcPr>
            <w:tcW w:w="606" w:type="pct"/>
            <w:tcBorders>
              <w:left w:val="single" w:sz="4" w:space="0" w:color="auto"/>
            </w:tcBorders>
            <w:shd w:val="clear" w:color="auto" w:fill="auto"/>
            <w:noWrap/>
            <w:hideMark/>
          </w:tcPr>
          <w:p w14:paraId="0070B9E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1,646,232 </w:t>
            </w:r>
          </w:p>
        </w:tc>
        <w:tc>
          <w:tcPr>
            <w:tcW w:w="531" w:type="pct"/>
            <w:shd w:val="clear" w:color="auto" w:fill="auto"/>
            <w:noWrap/>
            <w:hideMark/>
          </w:tcPr>
          <w:p w14:paraId="7F98842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0.20 </w:t>
            </w:r>
          </w:p>
        </w:tc>
        <w:tc>
          <w:tcPr>
            <w:tcW w:w="516" w:type="pct"/>
            <w:shd w:val="clear" w:color="auto" w:fill="auto"/>
            <w:noWrap/>
            <w:hideMark/>
          </w:tcPr>
          <w:p w14:paraId="1912663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0.40 </w:t>
            </w:r>
          </w:p>
        </w:tc>
        <w:tc>
          <w:tcPr>
            <w:tcW w:w="479" w:type="pct"/>
            <w:shd w:val="clear" w:color="auto" w:fill="auto"/>
            <w:noWrap/>
            <w:hideMark/>
          </w:tcPr>
          <w:p w14:paraId="71E945F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right w:val="nil"/>
            </w:tcBorders>
            <w:shd w:val="clear" w:color="auto" w:fill="auto"/>
            <w:noWrap/>
            <w:hideMark/>
          </w:tcPr>
          <w:p w14:paraId="1D2F099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4355E43D" w14:textId="77777777" w:rsidTr="009B2FA7">
        <w:trPr>
          <w:trHeight w:val="290"/>
        </w:trPr>
        <w:tc>
          <w:tcPr>
            <w:tcW w:w="986" w:type="pct"/>
            <w:tcBorders>
              <w:top w:val="nil"/>
              <w:bottom w:val="double" w:sz="4" w:space="0" w:color="auto"/>
              <w:right w:val="single" w:sz="4" w:space="0" w:color="auto"/>
            </w:tcBorders>
            <w:shd w:val="clear" w:color="auto" w:fill="auto"/>
            <w:noWrap/>
            <w:vAlign w:val="bottom"/>
            <w:hideMark/>
          </w:tcPr>
          <w:p w14:paraId="7DD4F48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DY-2020</w:t>
            </w:r>
          </w:p>
        </w:tc>
        <w:tc>
          <w:tcPr>
            <w:tcW w:w="1363" w:type="pct"/>
            <w:tcBorders>
              <w:bottom w:val="double" w:sz="4" w:space="0" w:color="auto"/>
              <w:right w:val="single" w:sz="4" w:space="0" w:color="auto"/>
            </w:tcBorders>
          </w:tcPr>
          <w:p w14:paraId="6DB6424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2020</w:t>
            </w:r>
          </w:p>
        </w:tc>
        <w:tc>
          <w:tcPr>
            <w:tcW w:w="606" w:type="pct"/>
            <w:tcBorders>
              <w:left w:val="single" w:sz="4" w:space="0" w:color="auto"/>
              <w:bottom w:val="double" w:sz="4" w:space="0" w:color="auto"/>
            </w:tcBorders>
            <w:shd w:val="clear" w:color="auto" w:fill="auto"/>
            <w:noWrap/>
            <w:hideMark/>
          </w:tcPr>
          <w:p w14:paraId="041A5AA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1,646,232 </w:t>
            </w:r>
          </w:p>
        </w:tc>
        <w:tc>
          <w:tcPr>
            <w:tcW w:w="531" w:type="pct"/>
            <w:tcBorders>
              <w:bottom w:val="double" w:sz="4" w:space="0" w:color="auto"/>
            </w:tcBorders>
            <w:shd w:val="clear" w:color="auto" w:fill="auto"/>
            <w:noWrap/>
            <w:hideMark/>
          </w:tcPr>
          <w:p w14:paraId="02150BB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0.13 </w:t>
            </w:r>
          </w:p>
        </w:tc>
        <w:tc>
          <w:tcPr>
            <w:tcW w:w="516" w:type="pct"/>
            <w:tcBorders>
              <w:bottom w:val="double" w:sz="4" w:space="0" w:color="auto"/>
            </w:tcBorders>
            <w:shd w:val="clear" w:color="auto" w:fill="auto"/>
            <w:noWrap/>
            <w:hideMark/>
          </w:tcPr>
          <w:p w14:paraId="7C7045A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0.33 </w:t>
            </w:r>
          </w:p>
        </w:tc>
        <w:tc>
          <w:tcPr>
            <w:tcW w:w="479" w:type="pct"/>
            <w:tcBorders>
              <w:bottom w:val="double" w:sz="4" w:space="0" w:color="auto"/>
            </w:tcBorders>
            <w:shd w:val="clear" w:color="auto" w:fill="auto"/>
            <w:noWrap/>
            <w:hideMark/>
          </w:tcPr>
          <w:p w14:paraId="7A2CD20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519" w:type="pct"/>
            <w:tcBorders>
              <w:bottom w:val="double" w:sz="4" w:space="0" w:color="auto"/>
              <w:right w:val="nil"/>
            </w:tcBorders>
            <w:shd w:val="clear" w:color="auto" w:fill="auto"/>
            <w:noWrap/>
            <w:hideMark/>
          </w:tcPr>
          <w:p w14:paraId="2482A73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bl>
    <w:p w14:paraId="5121CA48" w14:textId="77777777" w:rsidR="00F00E3D" w:rsidRPr="00335312" w:rsidRDefault="00F00E3D" w:rsidP="002C52A2">
      <w:pPr>
        <w:spacing w:after="0" w:line="360" w:lineRule="auto"/>
        <w:rPr>
          <w:rFonts w:asciiTheme="majorHAnsi" w:eastAsiaTheme="majorEastAsia" w:hAnsiTheme="majorHAnsi" w:cstheme="majorHAnsi"/>
          <w:bCs/>
          <w:sz w:val="20"/>
          <w:szCs w:val="20"/>
        </w:rPr>
      </w:pPr>
    </w:p>
    <w:p w14:paraId="185A08FF" w14:textId="77777777" w:rsidR="00F00E3D" w:rsidRPr="00335312" w:rsidRDefault="00F00E3D" w:rsidP="002C52A2">
      <w:pPr>
        <w:spacing w:after="0" w:line="360" w:lineRule="auto"/>
        <w:rPr>
          <w:rFonts w:asciiTheme="majorHAnsi" w:eastAsiaTheme="majorEastAsia" w:hAnsiTheme="majorHAnsi" w:cstheme="majorHAnsi"/>
          <w:bCs/>
          <w:sz w:val="20"/>
          <w:szCs w:val="20"/>
        </w:rPr>
      </w:pPr>
      <w:r w:rsidRPr="00335312">
        <w:rPr>
          <w:rFonts w:asciiTheme="majorHAnsi" w:eastAsiaTheme="majorEastAsia" w:hAnsiTheme="majorHAnsi" w:cstheme="majorHAnsi"/>
          <w:bCs/>
          <w:sz w:val="20"/>
          <w:szCs w:val="20"/>
        </w:rPr>
        <w:t>Panel D. Unit Rental Sample</w:t>
      </w:r>
    </w:p>
    <w:tbl>
      <w:tblPr>
        <w:tblW w:w="5000" w:type="pct"/>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1981"/>
        <w:gridCol w:w="2457"/>
        <w:gridCol w:w="1020"/>
        <w:gridCol w:w="1166"/>
        <w:gridCol w:w="1247"/>
        <w:gridCol w:w="923"/>
        <w:gridCol w:w="844"/>
      </w:tblGrid>
      <w:tr w:rsidR="00F00E3D" w:rsidRPr="00335312" w14:paraId="78E299B5" w14:textId="77777777" w:rsidTr="009B2FA7">
        <w:trPr>
          <w:trHeight w:val="290"/>
        </w:trPr>
        <w:tc>
          <w:tcPr>
            <w:tcW w:w="1027" w:type="pct"/>
            <w:tcBorders>
              <w:top w:val="double" w:sz="4" w:space="0" w:color="auto"/>
              <w:bottom w:val="single" w:sz="4" w:space="0" w:color="auto"/>
              <w:right w:val="single" w:sz="4" w:space="0" w:color="auto"/>
            </w:tcBorders>
            <w:shd w:val="clear" w:color="auto" w:fill="auto"/>
            <w:noWrap/>
            <w:vAlign w:val="bottom"/>
            <w:hideMark/>
          </w:tcPr>
          <w:p w14:paraId="5117D42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Variable</w:t>
            </w:r>
          </w:p>
        </w:tc>
        <w:tc>
          <w:tcPr>
            <w:tcW w:w="1274" w:type="pct"/>
            <w:tcBorders>
              <w:top w:val="double" w:sz="4" w:space="0" w:color="auto"/>
              <w:bottom w:val="single" w:sz="4" w:space="0" w:color="auto"/>
              <w:right w:val="single" w:sz="4" w:space="0" w:color="auto"/>
            </w:tcBorders>
          </w:tcPr>
          <w:p w14:paraId="1A3210B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Description</w:t>
            </w:r>
          </w:p>
        </w:tc>
        <w:tc>
          <w:tcPr>
            <w:tcW w:w="529" w:type="pct"/>
            <w:tcBorders>
              <w:top w:val="double" w:sz="4" w:space="0" w:color="auto"/>
              <w:left w:val="single" w:sz="4" w:space="0" w:color="auto"/>
              <w:bottom w:val="single" w:sz="4" w:space="0" w:color="auto"/>
            </w:tcBorders>
            <w:shd w:val="clear" w:color="auto" w:fill="auto"/>
            <w:noWrap/>
            <w:vAlign w:val="bottom"/>
            <w:hideMark/>
          </w:tcPr>
          <w:p w14:paraId="0DB819B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Obs</w:t>
            </w:r>
          </w:p>
        </w:tc>
        <w:tc>
          <w:tcPr>
            <w:tcW w:w="605" w:type="pct"/>
            <w:tcBorders>
              <w:top w:val="double" w:sz="4" w:space="0" w:color="auto"/>
              <w:bottom w:val="single" w:sz="4" w:space="0" w:color="auto"/>
            </w:tcBorders>
            <w:shd w:val="clear" w:color="auto" w:fill="auto"/>
            <w:noWrap/>
            <w:vAlign w:val="bottom"/>
            <w:hideMark/>
          </w:tcPr>
          <w:p w14:paraId="6ABE73A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Mean</w:t>
            </w:r>
          </w:p>
        </w:tc>
        <w:tc>
          <w:tcPr>
            <w:tcW w:w="647" w:type="pct"/>
            <w:tcBorders>
              <w:top w:val="double" w:sz="4" w:space="0" w:color="auto"/>
              <w:bottom w:val="single" w:sz="4" w:space="0" w:color="auto"/>
            </w:tcBorders>
            <w:shd w:val="clear" w:color="auto" w:fill="auto"/>
            <w:noWrap/>
            <w:vAlign w:val="bottom"/>
            <w:hideMark/>
          </w:tcPr>
          <w:p w14:paraId="27673A5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Std. Dev.</w:t>
            </w:r>
          </w:p>
        </w:tc>
        <w:tc>
          <w:tcPr>
            <w:tcW w:w="479" w:type="pct"/>
            <w:tcBorders>
              <w:top w:val="double" w:sz="4" w:space="0" w:color="auto"/>
              <w:bottom w:val="single" w:sz="4" w:space="0" w:color="auto"/>
            </w:tcBorders>
            <w:shd w:val="clear" w:color="auto" w:fill="auto"/>
            <w:noWrap/>
            <w:vAlign w:val="bottom"/>
            <w:hideMark/>
          </w:tcPr>
          <w:p w14:paraId="3E35D45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Min</w:t>
            </w:r>
          </w:p>
        </w:tc>
        <w:tc>
          <w:tcPr>
            <w:tcW w:w="438" w:type="pct"/>
            <w:tcBorders>
              <w:top w:val="double" w:sz="4" w:space="0" w:color="auto"/>
              <w:bottom w:val="single" w:sz="4" w:space="0" w:color="auto"/>
            </w:tcBorders>
            <w:shd w:val="clear" w:color="auto" w:fill="auto"/>
            <w:noWrap/>
            <w:vAlign w:val="bottom"/>
            <w:hideMark/>
          </w:tcPr>
          <w:p w14:paraId="321F614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Max</w:t>
            </w:r>
          </w:p>
        </w:tc>
      </w:tr>
      <w:tr w:rsidR="00F00E3D" w:rsidRPr="00335312" w14:paraId="19F20031" w14:textId="77777777" w:rsidTr="009B2FA7">
        <w:trPr>
          <w:trHeight w:val="290"/>
        </w:trPr>
        <w:tc>
          <w:tcPr>
            <w:tcW w:w="1027" w:type="pct"/>
            <w:tcBorders>
              <w:top w:val="single" w:sz="4" w:space="0" w:color="auto"/>
              <w:bottom w:val="nil"/>
              <w:right w:val="single" w:sz="4" w:space="0" w:color="auto"/>
            </w:tcBorders>
            <w:shd w:val="clear" w:color="auto" w:fill="auto"/>
            <w:noWrap/>
            <w:vAlign w:val="bottom"/>
            <w:hideMark/>
          </w:tcPr>
          <w:p w14:paraId="282F9D3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Price</w:t>
            </w:r>
          </w:p>
        </w:tc>
        <w:tc>
          <w:tcPr>
            <w:tcW w:w="1274" w:type="pct"/>
            <w:tcBorders>
              <w:top w:val="single" w:sz="4" w:space="0" w:color="auto"/>
              <w:right w:val="single" w:sz="4" w:space="0" w:color="auto"/>
            </w:tcBorders>
          </w:tcPr>
          <w:p w14:paraId="45AEB5D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Rental Price</w:t>
            </w:r>
          </w:p>
        </w:tc>
        <w:tc>
          <w:tcPr>
            <w:tcW w:w="529" w:type="pct"/>
            <w:tcBorders>
              <w:top w:val="single" w:sz="4" w:space="0" w:color="auto"/>
              <w:left w:val="single" w:sz="4" w:space="0" w:color="auto"/>
            </w:tcBorders>
            <w:shd w:val="clear" w:color="auto" w:fill="auto"/>
            <w:noWrap/>
            <w:hideMark/>
          </w:tcPr>
          <w:p w14:paraId="5A8222A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1,298,487 </w:t>
            </w:r>
          </w:p>
        </w:tc>
        <w:tc>
          <w:tcPr>
            <w:tcW w:w="605" w:type="pct"/>
            <w:tcBorders>
              <w:top w:val="single" w:sz="4" w:space="0" w:color="auto"/>
            </w:tcBorders>
            <w:shd w:val="clear" w:color="auto" w:fill="auto"/>
            <w:noWrap/>
            <w:hideMark/>
          </w:tcPr>
          <w:p w14:paraId="4D77AFE4" w14:textId="77777777" w:rsidR="00F00E3D" w:rsidRPr="00335312" w:rsidRDefault="00F00E3D" w:rsidP="002C52A2">
            <w:pPr>
              <w:spacing w:after="0" w:line="240" w:lineRule="auto"/>
              <w:ind w:right="110"/>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349.54 </w:t>
            </w:r>
          </w:p>
        </w:tc>
        <w:tc>
          <w:tcPr>
            <w:tcW w:w="647" w:type="pct"/>
            <w:tcBorders>
              <w:top w:val="single" w:sz="4" w:space="0" w:color="auto"/>
            </w:tcBorders>
            <w:shd w:val="clear" w:color="auto" w:fill="auto"/>
            <w:noWrap/>
            <w:hideMark/>
          </w:tcPr>
          <w:p w14:paraId="03A38E2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139.56 </w:t>
            </w:r>
          </w:p>
        </w:tc>
        <w:tc>
          <w:tcPr>
            <w:tcW w:w="479" w:type="pct"/>
            <w:tcBorders>
              <w:top w:val="single" w:sz="4" w:space="0" w:color="auto"/>
            </w:tcBorders>
            <w:shd w:val="clear" w:color="auto" w:fill="auto"/>
            <w:noWrap/>
            <w:hideMark/>
          </w:tcPr>
          <w:p w14:paraId="34913D3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180.00</w:t>
            </w:r>
          </w:p>
        </w:tc>
        <w:tc>
          <w:tcPr>
            <w:tcW w:w="438" w:type="pct"/>
            <w:tcBorders>
              <w:top w:val="single" w:sz="4" w:space="0" w:color="auto"/>
            </w:tcBorders>
            <w:shd w:val="clear" w:color="auto" w:fill="auto"/>
            <w:noWrap/>
            <w:hideMark/>
          </w:tcPr>
          <w:p w14:paraId="42E6590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1,000 </w:t>
            </w:r>
          </w:p>
        </w:tc>
      </w:tr>
      <w:tr w:rsidR="00F00E3D" w:rsidRPr="00335312" w14:paraId="48351340" w14:textId="77777777" w:rsidTr="009B2FA7">
        <w:trPr>
          <w:trHeight w:val="290"/>
        </w:trPr>
        <w:tc>
          <w:tcPr>
            <w:tcW w:w="1027" w:type="pct"/>
            <w:tcBorders>
              <w:top w:val="nil"/>
              <w:bottom w:val="nil"/>
              <w:right w:val="single" w:sz="4" w:space="0" w:color="auto"/>
            </w:tcBorders>
            <w:shd w:val="clear" w:color="auto" w:fill="auto"/>
            <w:noWrap/>
            <w:vAlign w:val="bottom"/>
            <w:hideMark/>
          </w:tcPr>
          <w:p w14:paraId="73FE167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Size</w:t>
            </w:r>
          </w:p>
        </w:tc>
        <w:tc>
          <w:tcPr>
            <w:tcW w:w="1274" w:type="pct"/>
            <w:tcBorders>
              <w:right w:val="single" w:sz="4" w:space="0" w:color="auto"/>
            </w:tcBorders>
          </w:tcPr>
          <w:p w14:paraId="75AFC13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Size of land/building</w:t>
            </w:r>
          </w:p>
        </w:tc>
        <w:tc>
          <w:tcPr>
            <w:tcW w:w="529" w:type="pct"/>
            <w:tcBorders>
              <w:left w:val="single" w:sz="4" w:space="0" w:color="auto"/>
            </w:tcBorders>
            <w:shd w:val="clear" w:color="auto" w:fill="auto"/>
            <w:noWrap/>
            <w:hideMark/>
          </w:tcPr>
          <w:p w14:paraId="7293746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1,313,328 </w:t>
            </w:r>
          </w:p>
        </w:tc>
        <w:tc>
          <w:tcPr>
            <w:tcW w:w="605" w:type="pct"/>
            <w:shd w:val="clear" w:color="auto" w:fill="auto"/>
            <w:noWrap/>
            <w:hideMark/>
          </w:tcPr>
          <w:p w14:paraId="1DE57A2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209.14 </w:t>
            </w:r>
          </w:p>
        </w:tc>
        <w:tc>
          <w:tcPr>
            <w:tcW w:w="647" w:type="pct"/>
            <w:shd w:val="clear" w:color="auto" w:fill="auto"/>
            <w:noWrap/>
            <w:hideMark/>
          </w:tcPr>
          <w:p w14:paraId="078BB87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346.20 </w:t>
            </w:r>
          </w:p>
        </w:tc>
        <w:tc>
          <w:tcPr>
            <w:tcW w:w="479" w:type="pct"/>
            <w:shd w:val="clear" w:color="auto" w:fill="auto"/>
            <w:noWrap/>
            <w:hideMark/>
          </w:tcPr>
          <w:p w14:paraId="163114C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shd w:val="clear" w:color="auto" w:fill="auto"/>
            <w:noWrap/>
            <w:hideMark/>
          </w:tcPr>
          <w:p w14:paraId="73F63AA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1,800 </w:t>
            </w:r>
          </w:p>
        </w:tc>
      </w:tr>
      <w:tr w:rsidR="00F00E3D" w:rsidRPr="00335312" w14:paraId="1601A7E0" w14:textId="77777777" w:rsidTr="009B2FA7">
        <w:trPr>
          <w:trHeight w:val="290"/>
        </w:trPr>
        <w:tc>
          <w:tcPr>
            <w:tcW w:w="1027" w:type="pct"/>
            <w:tcBorders>
              <w:top w:val="nil"/>
              <w:bottom w:val="nil"/>
              <w:right w:val="single" w:sz="4" w:space="0" w:color="auto"/>
            </w:tcBorders>
            <w:shd w:val="clear" w:color="auto" w:fill="auto"/>
            <w:noWrap/>
            <w:vAlign w:val="bottom"/>
            <w:hideMark/>
          </w:tcPr>
          <w:p w14:paraId="37305E6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No.Beds</w:t>
            </w:r>
          </w:p>
        </w:tc>
        <w:tc>
          <w:tcPr>
            <w:tcW w:w="1274" w:type="pct"/>
            <w:tcBorders>
              <w:right w:val="single" w:sz="4" w:space="0" w:color="auto"/>
            </w:tcBorders>
          </w:tcPr>
          <w:p w14:paraId="55A1B12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Number of Bedrooms</w:t>
            </w:r>
          </w:p>
        </w:tc>
        <w:tc>
          <w:tcPr>
            <w:tcW w:w="529" w:type="pct"/>
            <w:tcBorders>
              <w:left w:val="single" w:sz="4" w:space="0" w:color="auto"/>
            </w:tcBorders>
            <w:shd w:val="clear" w:color="auto" w:fill="auto"/>
            <w:noWrap/>
            <w:hideMark/>
          </w:tcPr>
          <w:p w14:paraId="371670C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1,323,293 </w:t>
            </w:r>
          </w:p>
        </w:tc>
        <w:tc>
          <w:tcPr>
            <w:tcW w:w="605" w:type="pct"/>
            <w:shd w:val="clear" w:color="auto" w:fill="auto"/>
            <w:noWrap/>
            <w:hideMark/>
          </w:tcPr>
          <w:p w14:paraId="72F03D1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1.91 </w:t>
            </w:r>
          </w:p>
        </w:tc>
        <w:tc>
          <w:tcPr>
            <w:tcW w:w="647" w:type="pct"/>
            <w:shd w:val="clear" w:color="auto" w:fill="auto"/>
            <w:noWrap/>
            <w:hideMark/>
          </w:tcPr>
          <w:p w14:paraId="0564257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0.67 </w:t>
            </w:r>
          </w:p>
        </w:tc>
        <w:tc>
          <w:tcPr>
            <w:tcW w:w="479" w:type="pct"/>
            <w:shd w:val="clear" w:color="auto" w:fill="auto"/>
            <w:noWrap/>
            <w:hideMark/>
          </w:tcPr>
          <w:p w14:paraId="6DFE5A8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shd w:val="clear" w:color="auto" w:fill="auto"/>
            <w:noWrap/>
            <w:hideMark/>
          </w:tcPr>
          <w:p w14:paraId="51E33F5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32.00 </w:t>
            </w:r>
          </w:p>
        </w:tc>
      </w:tr>
      <w:tr w:rsidR="00F00E3D" w:rsidRPr="00335312" w14:paraId="18BC3843" w14:textId="77777777" w:rsidTr="009B2FA7">
        <w:trPr>
          <w:trHeight w:val="290"/>
        </w:trPr>
        <w:tc>
          <w:tcPr>
            <w:tcW w:w="1027" w:type="pct"/>
            <w:tcBorders>
              <w:top w:val="nil"/>
              <w:bottom w:val="nil"/>
              <w:right w:val="single" w:sz="4" w:space="0" w:color="auto"/>
            </w:tcBorders>
            <w:shd w:val="clear" w:color="auto" w:fill="auto"/>
            <w:noWrap/>
            <w:vAlign w:val="bottom"/>
            <w:hideMark/>
          </w:tcPr>
          <w:p w14:paraId="589209D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No.Baths</w:t>
            </w:r>
          </w:p>
        </w:tc>
        <w:tc>
          <w:tcPr>
            <w:tcW w:w="1274" w:type="pct"/>
            <w:tcBorders>
              <w:right w:val="single" w:sz="4" w:space="0" w:color="auto"/>
            </w:tcBorders>
          </w:tcPr>
          <w:p w14:paraId="7590C2F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Number of Bathroom</w:t>
            </w:r>
          </w:p>
        </w:tc>
        <w:tc>
          <w:tcPr>
            <w:tcW w:w="529" w:type="pct"/>
            <w:tcBorders>
              <w:left w:val="single" w:sz="4" w:space="0" w:color="auto"/>
            </w:tcBorders>
            <w:shd w:val="clear" w:color="auto" w:fill="auto"/>
            <w:noWrap/>
            <w:hideMark/>
          </w:tcPr>
          <w:p w14:paraId="4D95591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1,323,293 </w:t>
            </w:r>
          </w:p>
        </w:tc>
        <w:tc>
          <w:tcPr>
            <w:tcW w:w="605" w:type="pct"/>
            <w:shd w:val="clear" w:color="auto" w:fill="auto"/>
            <w:noWrap/>
            <w:hideMark/>
          </w:tcPr>
          <w:p w14:paraId="7587F13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1.27 </w:t>
            </w:r>
          </w:p>
        </w:tc>
        <w:tc>
          <w:tcPr>
            <w:tcW w:w="647" w:type="pct"/>
            <w:shd w:val="clear" w:color="auto" w:fill="auto"/>
            <w:noWrap/>
            <w:hideMark/>
          </w:tcPr>
          <w:p w14:paraId="7B3DC2B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0.46 </w:t>
            </w:r>
          </w:p>
        </w:tc>
        <w:tc>
          <w:tcPr>
            <w:tcW w:w="479" w:type="pct"/>
            <w:shd w:val="clear" w:color="auto" w:fill="auto"/>
            <w:noWrap/>
            <w:hideMark/>
          </w:tcPr>
          <w:p w14:paraId="0B63CA8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shd w:val="clear" w:color="auto" w:fill="auto"/>
            <w:noWrap/>
            <w:hideMark/>
          </w:tcPr>
          <w:p w14:paraId="0E5CC9F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11.00 </w:t>
            </w:r>
          </w:p>
        </w:tc>
      </w:tr>
      <w:tr w:rsidR="00F00E3D" w:rsidRPr="00335312" w14:paraId="048EEF27" w14:textId="77777777" w:rsidTr="009B2FA7">
        <w:trPr>
          <w:trHeight w:val="290"/>
        </w:trPr>
        <w:tc>
          <w:tcPr>
            <w:tcW w:w="1027" w:type="pct"/>
            <w:tcBorders>
              <w:top w:val="nil"/>
              <w:bottom w:val="nil"/>
              <w:right w:val="single" w:sz="4" w:space="0" w:color="auto"/>
            </w:tcBorders>
            <w:shd w:val="clear" w:color="auto" w:fill="auto"/>
            <w:noWrap/>
            <w:vAlign w:val="bottom"/>
            <w:hideMark/>
          </w:tcPr>
          <w:p w14:paraId="07C712A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No.Parking</w:t>
            </w:r>
          </w:p>
        </w:tc>
        <w:tc>
          <w:tcPr>
            <w:tcW w:w="1274" w:type="pct"/>
            <w:tcBorders>
              <w:right w:val="single" w:sz="4" w:space="0" w:color="auto"/>
            </w:tcBorders>
          </w:tcPr>
          <w:p w14:paraId="7B240A0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Number of Carpark</w:t>
            </w:r>
          </w:p>
        </w:tc>
        <w:tc>
          <w:tcPr>
            <w:tcW w:w="529" w:type="pct"/>
            <w:tcBorders>
              <w:left w:val="single" w:sz="4" w:space="0" w:color="auto"/>
            </w:tcBorders>
            <w:shd w:val="clear" w:color="auto" w:fill="auto"/>
            <w:noWrap/>
            <w:hideMark/>
          </w:tcPr>
          <w:p w14:paraId="30A19B9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1,323,293 </w:t>
            </w:r>
          </w:p>
        </w:tc>
        <w:tc>
          <w:tcPr>
            <w:tcW w:w="605" w:type="pct"/>
            <w:shd w:val="clear" w:color="auto" w:fill="auto"/>
            <w:noWrap/>
            <w:hideMark/>
          </w:tcPr>
          <w:p w14:paraId="42D9C83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0.96 </w:t>
            </w:r>
          </w:p>
        </w:tc>
        <w:tc>
          <w:tcPr>
            <w:tcW w:w="647" w:type="pct"/>
            <w:shd w:val="clear" w:color="auto" w:fill="auto"/>
            <w:noWrap/>
            <w:hideMark/>
          </w:tcPr>
          <w:p w14:paraId="37E3BFB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0.53 </w:t>
            </w:r>
          </w:p>
        </w:tc>
        <w:tc>
          <w:tcPr>
            <w:tcW w:w="479" w:type="pct"/>
            <w:shd w:val="clear" w:color="auto" w:fill="auto"/>
            <w:noWrap/>
            <w:hideMark/>
          </w:tcPr>
          <w:p w14:paraId="373E135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shd w:val="clear" w:color="auto" w:fill="auto"/>
            <w:noWrap/>
            <w:hideMark/>
          </w:tcPr>
          <w:p w14:paraId="6377C35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9.00 </w:t>
            </w:r>
          </w:p>
        </w:tc>
      </w:tr>
      <w:tr w:rsidR="00F00E3D" w:rsidRPr="00335312" w14:paraId="5F9D87D2" w14:textId="77777777" w:rsidTr="009B2FA7">
        <w:trPr>
          <w:trHeight w:val="290"/>
        </w:trPr>
        <w:tc>
          <w:tcPr>
            <w:tcW w:w="1027" w:type="pct"/>
            <w:tcBorders>
              <w:top w:val="nil"/>
              <w:bottom w:val="nil"/>
              <w:right w:val="single" w:sz="4" w:space="0" w:color="auto"/>
            </w:tcBorders>
            <w:shd w:val="clear" w:color="auto" w:fill="auto"/>
            <w:noWrap/>
            <w:vAlign w:val="bottom"/>
            <w:hideMark/>
          </w:tcPr>
          <w:p w14:paraId="7A796443" w14:textId="5B6FF585" w:rsidR="00F00E3D" w:rsidRPr="00335312" w:rsidRDefault="00940D80" w:rsidP="002C52A2">
            <w:pPr>
              <w:spacing w:after="0" w:line="240" w:lineRule="auto"/>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COVID</w:t>
            </w:r>
            <w:r w:rsidR="00F00E3D" w:rsidRPr="00335312">
              <w:rPr>
                <w:rFonts w:asciiTheme="majorHAnsi" w:eastAsia="Times New Roman" w:hAnsiTheme="majorHAnsi" w:cstheme="majorHAnsi"/>
                <w:color w:val="000000"/>
                <w:sz w:val="20"/>
                <w:szCs w:val="20"/>
              </w:rPr>
              <w:t xml:space="preserve"> Period</w:t>
            </w:r>
          </w:p>
        </w:tc>
        <w:tc>
          <w:tcPr>
            <w:tcW w:w="1274" w:type="pct"/>
            <w:tcBorders>
              <w:right w:val="single" w:sz="4" w:space="0" w:color="auto"/>
            </w:tcBorders>
          </w:tcPr>
          <w:p w14:paraId="1E0847EB"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Period:17</w:t>
            </w:r>
            <w:r w:rsidRPr="00335312">
              <w:rPr>
                <w:rFonts w:asciiTheme="majorHAnsi" w:eastAsia="Times New Roman" w:hAnsiTheme="majorHAnsi" w:cstheme="majorHAnsi"/>
                <w:color w:val="000000"/>
                <w:sz w:val="20"/>
                <w:szCs w:val="20"/>
                <w:vertAlign w:val="superscript"/>
              </w:rPr>
              <w:t>th</w:t>
            </w:r>
            <w:r w:rsidRPr="00335312">
              <w:rPr>
                <w:rFonts w:asciiTheme="majorHAnsi" w:eastAsia="Times New Roman" w:hAnsiTheme="majorHAnsi" w:cstheme="majorHAnsi"/>
                <w:color w:val="000000"/>
                <w:sz w:val="20"/>
                <w:szCs w:val="20"/>
              </w:rPr>
              <w:t xml:space="preserve"> March to 31</w:t>
            </w:r>
            <w:r w:rsidRPr="00335312">
              <w:rPr>
                <w:rFonts w:asciiTheme="majorHAnsi" w:eastAsia="Times New Roman" w:hAnsiTheme="majorHAnsi" w:cstheme="majorHAnsi"/>
                <w:color w:val="000000"/>
                <w:sz w:val="20"/>
                <w:szCs w:val="20"/>
                <w:vertAlign w:val="superscript"/>
              </w:rPr>
              <w:t>st</w:t>
            </w:r>
            <w:r w:rsidRPr="00335312">
              <w:rPr>
                <w:rFonts w:asciiTheme="majorHAnsi" w:eastAsia="Times New Roman" w:hAnsiTheme="majorHAnsi" w:cstheme="majorHAnsi"/>
                <w:color w:val="000000"/>
                <w:sz w:val="20"/>
                <w:szCs w:val="20"/>
              </w:rPr>
              <w:t xml:space="preserve"> October 2020</w:t>
            </w:r>
          </w:p>
        </w:tc>
        <w:tc>
          <w:tcPr>
            <w:tcW w:w="529" w:type="pct"/>
            <w:tcBorders>
              <w:left w:val="single" w:sz="4" w:space="0" w:color="auto"/>
            </w:tcBorders>
            <w:shd w:val="clear" w:color="auto" w:fill="auto"/>
            <w:noWrap/>
            <w:hideMark/>
          </w:tcPr>
          <w:p w14:paraId="3EBBB34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1,323,293 </w:t>
            </w:r>
          </w:p>
        </w:tc>
        <w:tc>
          <w:tcPr>
            <w:tcW w:w="605" w:type="pct"/>
            <w:shd w:val="clear" w:color="auto" w:fill="auto"/>
            <w:noWrap/>
            <w:hideMark/>
          </w:tcPr>
          <w:p w14:paraId="41DA5BE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0.16 </w:t>
            </w:r>
          </w:p>
        </w:tc>
        <w:tc>
          <w:tcPr>
            <w:tcW w:w="647" w:type="pct"/>
            <w:shd w:val="clear" w:color="auto" w:fill="auto"/>
            <w:noWrap/>
            <w:hideMark/>
          </w:tcPr>
          <w:p w14:paraId="710478F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0.36 </w:t>
            </w:r>
          </w:p>
        </w:tc>
        <w:tc>
          <w:tcPr>
            <w:tcW w:w="479" w:type="pct"/>
            <w:shd w:val="clear" w:color="auto" w:fill="auto"/>
            <w:noWrap/>
            <w:hideMark/>
          </w:tcPr>
          <w:p w14:paraId="53A1A9F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shd w:val="clear" w:color="auto" w:fill="auto"/>
            <w:noWrap/>
            <w:hideMark/>
          </w:tcPr>
          <w:p w14:paraId="7C01797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003113E3" w14:textId="77777777" w:rsidTr="009B2FA7">
        <w:trPr>
          <w:trHeight w:val="290"/>
        </w:trPr>
        <w:tc>
          <w:tcPr>
            <w:tcW w:w="1027" w:type="pct"/>
            <w:tcBorders>
              <w:top w:val="nil"/>
              <w:bottom w:val="nil"/>
              <w:right w:val="single" w:sz="4" w:space="0" w:color="auto"/>
            </w:tcBorders>
            <w:shd w:val="clear" w:color="auto" w:fill="auto"/>
            <w:noWrap/>
            <w:vAlign w:val="bottom"/>
            <w:hideMark/>
          </w:tcPr>
          <w:p w14:paraId="3970691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Regional VIC</w:t>
            </w:r>
          </w:p>
        </w:tc>
        <w:tc>
          <w:tcPr>
            <w:tcW w:w="1274" w:type="pct"/>
            <w:tcBorders>
              <w:right w:val="single" w:sz="4" w:space="0" w:color="auto"/>
            </w:tcBorders>
          </w:tcPr>
          <w:p w14:paraId="287D77F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Regional Victoria</w:t>
            </w:r>
          </w:p>
        </w:tc>
        <w:tc>
          <w:tcPr>
            <w:tcW w:w="529" w:type="pct"/>
            <w:tcBorders>
              <w:left w:val="single" w:sz="4" w:space="0" w:color="auto"/>
            </w:tcBorders>
            <w:shd w:val="clear" w:color="auto" w:fill="auto"/>
            <w:noWrap/>
            <w:hideMark/>
          </w:tcPr>
          <w:p w14:paraId="7070374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1,323,293 </w:t>
            </w:r>
          </w:p>
        </w:tc>
        <w:tc>
          <w:tcPr>
            <w:tcW w:w="605" w:type="pct"/>
            <w:shd w:val="clear" w:color="auto" w:fill="auto"/>
            <w:noWrap/>
            <w:hideMark/>
          </w:tcPr>
          <w:p w14:paraId="1C05F5B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0.21 </w:t>
            </w:r>
          </w:p>
        </w:tc>
        <w:tc>
          <w:tcPr>
            <w:tcW w:w="647" w:type="pct"/>
            <w:shd w:val="clear" w:color="auto" w:fill="auto"/>
            <w:noWrap/>
            <w:hideMark/>
          </w:tcPr>
          <w:p w14:paraId="2BAF38A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0.41 </w:t>
            </w:r>
          </w:p>
        </w:tc>
        <w:tc>
          <w:tcPr>
            <w:tcW w:w="479" w:type="pct"/>
            <w:shd w:val="clear" w:color="auto" w:fill="auto"/>
            <w:noWrap/>
            <w:hideMark/>
          </w:tcPr>
          <w:p w14:paraId="7C1E399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shd w:val="clear" w:color="auto" w:fill="auto"/>
            <w:noWrap/>
            <w:hideMark/>
          </w:tcPr>
          <w:p w14:paraId="2E94092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1503409F" w14:textId="77777777" w:rsidTr="009B2FA7">
        <w:trPr>
          <w:trHeight w:val="290"/>
        </w:trPr>
        <w:tc>
          <w:tcPr>
            <w:tcW w:w="1027" w:type="pct"/>
            <w:tcBorders>
              <w:top w:val="nil"/>
              <w:bottom w:val="nil"/>
              <w:right w:val="single" w:sz="4" w:space="0" w:color="auto"/>
            </w:tcBorders>
            <w:shd w:val="clear" w:color="auto" w:fill="auto"/>
            <w:noWrap/>
            <w:vAlign w:val="bottom"/>
            <w:hideMark/>
          </w:tcPr>
          <w:p w14:paraId="75D4ADB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GGeelong</w:t>
            </w:r>
          </w:p>
        </w:tc>
        <w:tc>
          <w:tcPr>
            <w:tcW w:w="1274" w:type="pct"/>
            <w:tcBorders>
              <w:right w:val="single" w:sz="4" w:space="0" w:color="auto"/>
            </w:tcBorders>
          </w:tcPr>
          <w:p w14:paraId="7B189BB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Greater Geelong</w:t>
            </w:r>
          </w:p>
        </w:tc>
        <w:tc>
          <w:tcPr>
            <w:tcW w:w="529" w:type="pct"/>
            <w:tcBorders>
              <w:left w:val="single" w:sz="4" w:space="0" w:color="auto"/>
            </w:tcBorders>
            <w:shd w:val="clear" w:color="auto" w:fill="auto"/>
            <w:noWrap/>
            <w:hideMark/>
          </w:tcPr>
          <w:p w14:paraId="7A1BD00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1,323,293 </w:t>
            </w:r>
          </w:p>
        </w:tc>
        <w:tc>
          <w:tcPr>
            <w:tcW w:w="605" w:type="pct"/>
            <w:shd w:val="clear" w:color="auto" w:fill="auto"/>
            <w:noWrap/>
            <w:hideMark/>
          </w:tcPr>
          <w:p w14:paraId="18081D5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0.01 </w:t>
            </w:r>
          </w:p>
        </w:tc>
        <w:tc>
          <w:tcPr>
            <w:tcW w:w="647" w:type="pct"/>
            <w:shd w:val="clear" w:color="auto" w:fill="auto"/>
            <w:noWrap/>
            <w:hideMark/>
          </w:tcPr>
          <w:p w14:paraId="0A5B78F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0.10 </w:t>
            </w:r>
          </w:p>
        </w:tc>
        <w:tc>
          <w:tcPr>
            <w:tcW w:w="479" w:type="pct"/>
            <w:shd w:val="clear" w:color="auto" w:fill="auto"/>
            <w:noWrap/>
            <w:hideMark/>
          </w:tcPr>
          <w:p w14:paraId="723D5394"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shd w:val="clear" w:color="auto" w:fill="auto"/>
            <w:noWrap/>
            <w:hideMark/>
          </w:tcPr>
          <w:p w14:paraId="35BC548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08F7E6D0" w14:textId="77777777" w:rsidTr="009B2FA7">
        <w:trPr>
          <w:trHeight w:val="290"/>
        </w:trPr>
        <w:tc>
          <w:tcPr>
            <w:tcW w:w="1027" w:type="pct"/>
            <w:tcBorders>
              <w:top w:val="nil"/>
              <w:bottom w:val="nil"/>
              <w:right w:val="single" w:sz="4" w:space="0" w:color="auto"/>
            </w:tcBorders>
            <w:shd w:val="clear" w:color="auto" w:fill="auto"/>
            <w:noWrap/>
            <w:vAlign w:val="bottom"/>
            <w:hideMark/>
          </w:tcPr>
          <w:p w14:paraId="38D2C01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Focal Suburbs</w:t>
            </w:r>
          </w:p>
        </w:tc>
        <w:tc>
          <w:tcPr>
            <w:tcW w:w="1274" w:type="pct"/>
            <w:tcBorders>
              <w:right w:val="single" w:sz="4" w:space="0" w:color="auto"/>
            </w:tcBorders>
          </w:tcPr>
          <w:p w14:paraId="08212D1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Focal three suburbs</w:t>
            </w:r>
          </w:p>
        </w:tc>
        <w:tc>
          <w:tcPr>
            <w:tcW w:w="529" w:type="pct"/>
            <w:tcBorders>
              <w:left w:val="single" w:sz="4" w:space="0" w:color="auto"/>
            </w:tcBorders>
            <w:shd w:val="clear" w:color="auto" w:fill="auto"/>
            <w:noWrap/>
            <w:hideMark/>
          </w:tcPr>
          <w:p w14:paraId="7BCCB92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1,323,293 </w:t>
            </w:r>
          </w:p>
        </w:tc>
        <w:tc>
          <w:tcPr>
            <w:tcW w:w="605" w:type="pct"/>
            <w:shd w:val="clear" w:color="auto" w:fill="auto"/>
            <w:noWrap/>
            <w:hideMark/>
          </w:tcPr>
          <w:p w14:paraId="77E8048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0.00 </w:t>
            </w:r>
          </w:p>
        </w:tc>
        <w:tc>
          <w:tcPr>
            <w:tcW w:w="647" w:type="pct"/>
            <w:shd w:val="clear" w:color="auto" w:fill="auto"/>
            <w:noWrap/>
            <w:hideMark/>
          </w:tcPr>
          <w:p w14:paraId="1B029686"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0.03 </w:t>
            </w:r>
          </w:p>
        </w:tc>
        <w:tc>
          <w:tcPr>
            <w:tcW w:w="479" w:type="pct"/>
            <w:shd w:val="clear" w:color="auto" w:fill="auto"/>
            <w:noWrap/>
            <w:hideMark/>
          </w:tcPr>
          <w:p w14:paraId="4D55404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shd w:val="clear" w:color="auto" w:fill="auto"/>
            <w:noWrap/>
            <w:hideMark/>
          </w:tcPr>
          <w:p w14:paraId="5A91084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544FEAC3" w14:textId="77777777" w:rsidTr="009B2FA7">
        <w:trPr>
          <w:trHeight w:val="290"/>
        </w:trPr>
        <w:tc>
          <w:tcPr>
            <w:tcW w:w="1027" w:type="pct"/>
            <w:tcBorders>
              <w:top w:val="nil"/>
              <w:bottom w:val="nil"/>
              <w:right w:val="single" w:sz="4" w:space="0" w:color="auto"/>
            </w:tcBorders>
            <w:shd w:val="clear" w:color="auto" w:fill="auto"/>
            <w:noWrap/>
            <w:vAlign w:val="bottom"/>
            <w:hideMark/>
          </w:tcPr>
          <w:p w14:paraId="295E6A91"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DY-2015</w:t>
            </w:r>
          </w:p>
        </w:tc>
        <w:tc>
          <w:tcPr>
            <w:tcW w:w="1274" w:type="pct"/>
            <w:tcBorders>
              <w:right w:val="single" w:sz="4" w:space="0" w:color="auto"/>
            </w:tcBorders>
          </w:tcPr>
          <w:p w14:paraId="262B0E9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2015</w:t>
            </w:r>
          </w:p>
        </w:tc>
        <w:tc>
          <w:tcPr>
            <w:tcW w:w="529" w:type="pct"/>
            <w:tcBorders>
              <w:left w:val="single" w:sz="4" w:space="0" w:color="auto"/>
            </w:tcBorders>
            <w:shd w:val="clear" w:color="auto" w:fill="auto"/>
            <w:noWrap/>
            <w:hideMark/>
          </w:tcPr>
          <w:p w14:paraId="5CDAE55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1,323,293 </w:t>
            </w:r>
          </w:p>
        </w:tc>
        <w:tc>
          <w:tcPr>
            <w:tcW w:w="605" w:type="pct"/>
            <w:shd w:val="clear" w:color="auto" w:fill="auto"/>
            <w:noWrap/>
            <w:hideMark/>
          </w:tcPr>
          <w:p w14:paraId="549CD61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0.16 </w:t>
            </w:r>
          </w:p>
        </w:tc>
        <w:tc>
          <w:tcPr>
            <w:tcW w:w="647" w:type="pct"/>
            <w:shd w:val="clear" w:color="auto" w:fill="auto"/>
            <w:noWrap/>
            <w:hideMark/>
          </w:tcPr>
          <w:p w14:paraId="1FCE96B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0.37 </w:t>
            </w:r>
          </w:p>
        </w:tc>
        <w:tc>
          <w:tcPr>
            <w:tcW w:w="479" w:type="pct"/>
            <w:shd w:val="clear" w:color="auto" w:fill="auto"/>
            <w:noWrap/>
            <w:hideMark/>
          </w:tcPr>
          <w:p w14:paraId="53779F5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shd w:val="clear" w:color="auto" w:fill="auto"/>
            <w:noWrap/>
            <w:hideMark/>
          </w:tcPr>
          <w:p w14:paraId="2F29092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2FF43875" w14:textId="77777777" w:rsidTr="009B2FA7">
        <w:trPr>
          <w:trHeight w:val="290"/>
        </w:trPr>
        <w:tc>
          <w:tcPr>
            <w:tcW w:w="1027" w:type="pct"/>
            <w:tcBorders>
              <w:top w:val="nil"/>
              <w:bottom w:val="nil"/>
              <w:right w:val="single" w:sz="4" w:space="0" w:color="auto"/>
            </w:tcBorders>
            <w:shd w:val="clear" w:color="auto" w:fill="auto"/>
            <w:noWrap/>
            <w:vAlign w:val="bottom"/>
            <w:hideMark/>
          </w:tcPr>
          <w:p w14:paraId="18EE286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DY-2016</w:t>
            </w:r>
          </w:p>
        </w:tc>
        <w:tc>
          <w:tcPr>
            <w:tcW w:w="1274" w:type="pct"/>
            <w:tcBorders>
              <w:right w:val="single" w:sz="4" w:space="0" w:color="auto"/>
            </w:tcBorders>
          </w:tcPr>
          <w:p w14:paraId="039026E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2016</w:t>
            </w:r>
          </w:p>
        </w:tc>
        <w:tc>
          <w:tcPr>
            <w:tcW w:w="529" w:type="pct"/>
            <w:tcBorders>
              <w:left w:val="single" w:sz="4" w:space="0" w:color="auto"/>
            </w:tcBorders>
            <w:shd w:val="clear" w:color="auto" w:fill="auto"/>
            <w:noWrap/>
            <w:hideMark/>
          </w:tcPr>
          <w:p w14:paraId="4C3008B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1,323,293 </w:t>
            </w:r>
          </w:p>
        </w:tc>
        <w:tc>
          <w:tcPr>
            <w:tcW w:w="605" w:type="pct"/>
            <w:shd w:val="clear" w:color="auto" w:fill="auto"/>
            <w:noWrap/>
            <w:hideMark/>
          </w:tcPr>
          <w:p w14:paraId="69CBF85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0.18 </w:t>
            </w:r>
          </w:p>
        </w:tc>
        <w:tc>
          <w:tcPr>
            <w:tcW w:w="647" w:type="pct"/>
            <w:shd w:val="clear" w:color="auto" w:fill="auto"/>
            <w:noWrap/>
            <w:hideMark/>
          </w:tcPr>
          <w:p w14:paraId="510274C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0.38 </w:t>
            </w:r>
          </w:p>
        </w:tc>
        <w:tc>
          <w:tcPr>
            <w:tcW w:w="479" w:type="pct"/>
            <w:shd w:val="clear" w:color="auto" w:fill="auto"/>
            <w:noWrap/>
            <w:hideMark/>
          </w:tcPr>
          <w:p w14:paraId="66479E7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shd w:val="clear" w:color="auto" w:fill="auto"/>
            <w:noWrap/>
            <w:hideMark/>
          </w:tcPr>
          <w:p w14:paraId="6497D5D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55A5F95B" w14:textId="77777777" w:rsidTr="009B2FA7">
        <w:trPr>
          <w:trHeight w:val="290"/>
        </w:trPr>
        <w:tc>
          <w:tcPr>
            <w:tcW w:w="1027" w:type="pct"/>
            <w:tcBorders>
              <w:top w:val="nil"/>
              <w:bottom w:val="nil"/>
              <w:right w:val="single" w:sz="4" w:space="0" w:color="auto"/>
            </w:tcBorders>
            <w:shd w:val="clear" w:color="auto" w:fill="auto"/>
            <w:noWrap/>
            <w:vAlign w:val="bottom"/>
            <w:hideMark/>
          </w:tcPr>
          <w:p w14:paraId="4726AAA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lastRenderedPageBreak/>
              <w:t>DY-2017</w:t>
            </w:r>
          </w:p>
        </w:tc>
        <w:tc>
          <w:tcPr>
            <w:tcW w:w="1274" w:type="pct"/>
            <w:tcBorders>
              <w:right w:val="single" w:sz="4" w:space="0" w:color="auto"/>
            </w:tcBorders>
          </w:tcPr>
          <w:p w14:paraId="316ECEA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2017</w:t>
            </w:r>
          </w:p>
        </w:tc>
        <w:tc>
          <w:tcPr>
            <w:tcW w:w="529" w:type="pct"/>
            <w:tcBorders>
              <w:left w:val="single" w:sz="4" w:space="0" w:color="auto"/>
            </w:tcBorders>
            <w:shd w:val="clear" w:color="auto" w:fill="auto"/>
            <w:noWrap/>
            <w:hideMark/>
          </w:tcPr>
          <w:p w14:paraId="02FB60D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1,323,293 </w:t>
            </w:r>
          </w:p>
        </w:tc>
        <w:tc>
          <w:tcPr>
            <w:tcW w:w="605" w:type="pct"/>
            <w:shd w:val="clear" w:color="auto" w:fill="auto"/>
            <w:noWrap/>
            <w:hideMark/>
          </w:tcPr>
          <w:p w14:paraId="00BE24F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0.15 </w:t>
            </w:r>
          </w:p>
        </w:tc>
        <w:tc>
          <w:tcPr>
            <w:tcW w:w="647" w:type="pct"/>
            <w:shd w:val="clear" w:color="auto" w:fill="auto"/>
            <w:noWrap/>
            <w:hideMark/>
          </w:tcPr>
          <w:p w14:paraId="199C046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0.35 </w:t>
            </w:r>
          </w:p>
        </w:tc>
        <w:tc>
          <w:tcPr>
            <w:tcW w:w="479" w:type="pct"/>
            <w:shd w:val="clear" w:color="auto" w:fill="auto"/>
            <w:noWrap/>
            <w:hideMark/>
          </w:tcPr>
          <w:p w14:paraId="1162900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shd w:val="clear" w:color="auto" w:fill="auto"/>
            <w:noWrap/>
            <w:hideMark/>
          </w:tcPr>
          <w:p w14:paraId="0D3C195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5DAE0AD5" w14:textId="77777777" w:rsidTr="009B2FA7">
        <w:trPr>
          <w:trHeight w:val="290"/>
        </w:trPr>
        <w:tc>
          <w:tcPr>
            <w:tcW w:w="1027" w:type="pct"/>
            <w:tcBorders>
              <w:top w:val="nil"/>
              <w:bottom w:val="nil"/>
              <w:right w:val="single" w:sz="4" w:space="0" w:color="auto"/>
            </w:tcBorders>
            <w:shd w:val="clear" w:color="auto" w:fill="auto"/>
            <w:noWrap/>
            <w:vAlign w:val="bottom"/>
            <w:hideMark/>
          </w:tcPr>
          <w:p w14:paraId="5B5BEBA9"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DY-2018</w:t>
            </w:r>
          </w:p>
        </w:tc>
        <w:tc>
          <w:tcPr>
            <w:tcW w:w="1274" w:type="pct"/>
            <w:tcBorders>
              <w:right w:val="single" w:sz="4" w:space="0" w:color="auto"/>
            </w:tcBorders>
          </w:tcPr>
          <w:p w14:paraId="706C890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2018</w:t>
            </w:r>
          </w:p>
        </w:tc>
        <w:tc>
          <w:tcPr>
            <w:tcW w:w="529" w:type="pct"/>
            <w:tcBorders>
              <w:left w:val="single" w:sz="4" w:space="0" w:color="auto"/>
            </w:tcBorders>
            <w:shd w:val="clear" w:color="auto" w:fill="auto"/>
            <w:noWrap/>
            <w:hideMark/>
          </w:tcPr>
          <w:p w14:paraId="0ED1110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1,323,293 </w:t>
            </w:r>
          </w:p>
        </w:tc>
        <w:tc>
          <w:tcPr>
            <w:tcW w:w="605" w:type="pct"/>
            <w:shd w:val="clear" w:color="auto" w:fill="auto"/>
            <w:noWrap/>
            <w:hideMark/>
          </w:tcPr>
          <w:p w14:paraId="05872AC3"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0.13 </w:t>
            </w:r>
          </w:p>
        </w:tc>
        <w:tc>
          <w:tcPr>
            <w:tcW w:w="647" w:type="pct"/>
            <w:shd w:val="clear" w:color="auto" w:fill="auto"/>
            <w:noWrap/>
            <w:hideMark/>
          </w:tcPr>
          <w:p w14:paraId="2D803FED"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0.33 </w:t>
            </w:r>
          </w:p>
        </w:tc>
        <w:tc>
          <w:tcPr>
            <w:tcW w:w="479" w:type="pct"/>
            <w:shd w:val="clear" w:color="auto" w:fill="auto"/>
            <w:noWrap/>
            <w:hideMark/>
          </w:tcPr>
          <w:p w14:paraId="2C212CB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shd w:val="clear" w:color="auto" w:fill="auto"/>
            <w:noWrap/>
            <w:hideMark/>
          </w:tcPr>
          <w:p w14:paraId="0FBCEBC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15A92086" w14:textId="77777777" w:rsidTr="009B2FA7">
        <w:trPr>
          <w:trHeight w:val="290"/>
        </w:trPr>
        <w:tc>
          <w:tcPr>
            <w:tcW w:w="1027" w:type="pct"/>
            <w:tcBorders>
              <w:top w:val="nil"/>
              <w:bottom w:val="nil"/>
              <w:right w:val="single" w:sz="4" w:space="0" w:color="auto"/>
            </w:tcBorders>
            <w:shd w:val="clear" w:color="auto" w:fill="auto"/>
            <w:noWrap/>
            <w:vAlign w:val="bottom"/>
            <w:hideMark/>
          </w:tcPr>
          <w:p w14:paraId="78E2698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DY-2019</w:t>
            </w:r>
          </w:p>
        </w:tc>
        <w:tc>
          <w:tcPr>
            <w:tcW w:w="1274" w:type="pct"/>
            <w:tcBorders>
              <w:right w:val="single" w:sz="4" w:space="0" w:color="auto"/>
            </w:tcBorders>
          </w:tcPr>
          <w:p w14:paraId="20F7BD0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2019</w:t>
            </w:r>
          </w:p>
        </w:tc>
        <w:tc>
          <w:tcPr>
            <w:tcW w:w="529" w:type="pct"/>
            <w:tcBorders>
              <w:left w:val="single" w:sz="4" w:space="0" w:color="auto"/>
            </w:tcBorders>
            <w:shd w:val="clear" w:color="auto" w:fill="auto"/>
            <w:noWrap/>
            <w:hideMark/>
          </w:tcPr>
          <w:p w14:paraId="5B1AC28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1,323,293 </w:t>
            </w:r>
          </w:p>
        </w:tc>
        <w:tc>
          <w:tcPr>
            <w:tcW w:w="605" w:type="pct"/>
            <w:shd w:val="clear" w:color="auto" w:fill="auto"/>
            <w:noWrap/>
            <w:hideMark/>
          </w:tcPr>
          <w:p w14:paraId="2CA595D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0.16 </w:t>
            </w:r>
          </w:p>
        </w:tc>
        <w:tc>
          <w:tcPr>
            <w:tcW w:w="647" w:type="pct"/>
            <w:shd w:val="clear" w:color="auto" w:fill="auto"/>
            <w:noWrap/>
            <w:hideMark/>
          </w:tcPr>
          <w:p w14:paraId="677299B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0.37 </w:t>
            </w:r>
          </w:p>
        </w:tc>
        <w:tc>
          <w:tcPr>
            <w:tcW w:w="479" w:type="pct"/>
            <w:shd w:val="clear" w:color="auto" w:fill="auto"/>
            <w:noWrap/>
            <w:hideMark/>
          </w:tcPr>
          <w:p w14:paraId="32810E27"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shd w:val="clear" w:color="auto" w:fill="auto"/>
            <w:noWrap/>
            <w:hideMark/>
          </w:tcPr>
          <w:p w14:paraId="1C08B8E0"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r w:rsidR="00F00E3D" w:rsidRPr="00335312" w14:paraId="13C3B200" w14:textId="77777777" w:rsidTr="009B2FA7">
        <w:trPr>
          <w:trHeight w:val="290"/>
        </w:trPr>
        <w:tc>
          <w:tcPr>
            <w:tcW w:w="1027" w:type="pct"/>
            <w:tcBorders>
              <w:top w:val="nil"/>
              <w:bottom w:val="double" w:sz="4" w:space="0" w:color="auto"/>
              <w:right w:val="single" w:sz="4" w:space="0" w:color="auto"/>
            </w:tcBorders>
            <w:shd w:val="clear" w:color="auto" w:fill="auto"/>
            <w:noWrap/>
            <w:vAlign w:val="bottom"/>
            <w:hideMark/>
          </w:tcPr>
          <w:p w14:paraId="14518288"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DY-2020</w:t>
            </w:r>
          </w:p>
        </w:tc>
        <w:tc>
          <w:tcPr>
            <w:tcW w:w="1274" w:type="pct"/>
            <w:tcBorders>
              <w:bottom w:val="double" w:sz="4" w:space="0" w:color="auto"/>
              <w:right w:val="single" w:sz="4" w:space="0" w:color="auto"/>
            </w:tcBorders>
          </w:tcPr>
          <w:p w14:paraId="16096AAF"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Year of 2020</w:t>
            </w:r>
          </w:p>
        </w:tc>
        <w:tc>
          <w:tcPr>
            <w:tcW w:w="529" w:type="pct"/>
            <w:tcBorders>
              <w:left w:val="single" w:sz="4" w:space="0" w:color="auto"/>
              <w:bottom w:val="double" w:sz="4" w:space="0" w:color="auto"/>
            </w:tcBorders>
            <w:shd w:val="clear" w:color="auto" w:fill="auto"/>
            <w:noWrap/>
            <w:hideMark/>
          </w:tcPr>
          <w:p w14:paraId="024E75CC"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1,323,293 </w:t>
            </w:r>
          </w:p>
        </w:tc>
        <w:tc>
          <w:tcPr>
            <w:tcW w:w="605" w:type="pct"/>
            <w:tcBorders>
              <w:bottom w:val="double" w:sz="4" w:space="0" w:color="auto"/>
            </w:tcBorders>
            <w:shd w:val="clear" w:color="auto" w:fill="auto"/>
            <w:noWrap/>
            <w:hideMark/>
          </w:tcPr>
          <w:p w14:paraId="1709CBC2"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0.22 </w:t>
            </w:r>
          </w:p>
        </w:tc>
        <w:tc>
          <w:tcPr>
            <w:tcW w:w="647" w:type="pct"/>
            <w:tcBorders>
              <w:bottom w:val="double" w:sz="4" w:space="0" w:color="auto"/>
            </w:tcBorders>
            <w:shd w:val="clear" w:color="auto" w:fill="auto"/>
            <w:noWrap/>
            <w:hideMark/>
          </w:tcPr>
          <w:p w14:paraId="6DDA913E"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0.42 </w:t>
            </w:r>
          </w:p>
        </w:tc>
        <w:tc>
          <w:tcPr>
            <w:tcW w:w="479" w:type="pct"/>
            <w:tcBorders>
              <w:bottom w:val="double" w:sz="4" w:space="0" w:color="auto"/>
            </w:tcBorders>
            <w:shd w:val="clear" w:color="auto" w:fill="auto"/>
            <w:noWrap/>
            <w:hideMark/>
          </w:tcPr>
          <w:p w14:paraId="7502D81A"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0.00</w:t>
            </w:r>
          </w:p>
        </w:tc>
        <w:tc>
          <w:tcPr>
            <w:tcW w:w="438" w:type="pct"/>
            <w:tcBorders>
              <w:bottom w:val="double" w:sz="4" w:space="0" w:color="auto"/>
            </w:tcBorders>
            <w:shd w:val="clear" w:color="auto" w:fill="auto"/>
            <w:noWrap/>
            <w:hideMark/>
          </w:tcPr>
          <w:p w14:paraId="092962E5" w14:textId="77777777" w:rsidR="00F00E3D" w:rsidRPr="00335312" w:rsidRDefault="00F00E3D" w:rsidP="002C52A2">
            <w:pPr>
              <w:spacing w:after="0" w:line="240" w:lineRule="auto"/>
              <w:rPr>
                <w:rFonts w:asciiTheme="majorHAnsi" w:eastAsia="Times New Roman" w:hAnsiTheme="majorHAnsi" w:cstheme="majorHAnsi"/>
                <w:color w:val="000000"/>
                <w:sz w:val="20"/>
                <w:szCs w:val="20"/>
              </w:rPr>
            </w:pPr>
            <w:r w:rsidRPr="00335312">
              <w:rPr>
                <w:rFonts w:asciiTheme="majorHAnsi" w:eastAsia="Times New Roman" w:hAnsiTheme="majorHAnsi" w:cstheme="majorHAnsi"/>
                <w:color w:val="000000"/>
                <w:sz w:val="20"/>
                <w:szCs w:val="20"/>
              </w:rPr>
              <w:t xml:space="preserve"> 1.00 </w:t>
            </w:r>
          </w:p>
        </w:tc>
      </w:tr>
    </w:tbl>
    <w:p w14:paraId="5590766D" w14:textId="77777777" w:rsidR="00F00E3D" w:rsidRPr="00335312" w:rsidRDefault="00F00E3D" w:rsidP="002C52A2">
      <w:pPr>
        <w:spacing w:after="0" w:line="240" w:lineRule="auto"/>
        <w:rPr>
          <w:rFonts w:asciiTheme="majorHAnsi" w:eastAsiaTheme="majorEastAsia" w:hAnsiTheme="majorHAnsi" w:cstheme="majorHAnsi"/>
          <w:bCs/>
          <w:i/>
          <w:sz w:val="20"/>
          <w:szCs w:val="20"/>
        </w:rPr>
      </w:pPr>
      <w:r w:rsidRPr="00335312">
        <w:rPr>
          <w:rFonts w:asciiTheme="majorHAnsi" w:eastAsiaTheme="majorEastAsia" w:hAnsiTheme="majorHAnsi" w:cstheme="majorHAnsi"/>
          <w:bCs/>
          <w:i/>
          <w:sz w:val="20"/>
          <w:szCs w:val="20"/>
        </w:rPr>
        <w:t>Note: This table presents statistical summary of the database containing point-level transactional and rental data of the whole VIC state from 1</w:t>
      </w:r>
      <w:r w:rsidRPr="00335312">
        <w:rPr>
          <w:rFonts w:asciiTheme="majorHAnsi" w:eastAsiaTheme="majorEastAsia" w:hAnsiTheme="majorHAnsi" w:cstheme="majorHAnsi"/>
          <w:bCs/>
          <w:i/>
          <w:sz w:val="20"/>
          <w:szCs w:val="20"/>
          <w:vertAlign w:val="superscript"/>
        </w:rPr>
        <w:t>st</w:t>
      </w:r>
      <w:r w:rsidRPr="00335312">
        <w:rPr>
          <w:rFonts w:asciiTheme="majorHAnsi" w:eastAsiaTheme="majorEastAsia" w:hAnsiTheme="majorHAnsi" w:cstheme="majorHAnsi"/>
          <w:bCs/>
          <w:i/>
          <w:sz w:val="20"/>
          <w:szCs w:val="20"/>
        </w:rPr>
        <w:t xml:space="preserve"> January 2015 to 31</w:t>
      </w:r>
      <w:r w:rsidRPr="00335312">
        <w:rPr>
          <w:rFonts w:asciiTheme="majorHAnsi" w:eastAsiaTheme="majorEastAsia" w:hAnsiTheme="majorHAnsi" w:cstheme="majorHAnsi"/>
          <w:bCs/>
          <w:i/>
          <w:sz w:val="20"/>
          <w:szCs w:val="20"/>
          <w:vertAlign w:val="superscript"/>
        </w:rPr>
        <w:t>st</w:t>
      </w:r>
      <w:r w:rsidRPr="00335312">
        <w:rPr>
          <w:rFonts w:asciiTheme="majorHAnsi" w:eastAsiaTheme="majorEastAsia" w:hAnsiTheme="majorHAnsi" w:cstheme="majorHAnsi"/>
          <w:bCs/>
          <w:i/>
          <w:sz w:val="20"/>
          <w:szCs w:val="20"/>
        </w:rPr>
        <w:t xml:space="preserve"> October 2020.</w:t>
      </w:r>
    </w:p>
    <w:p w14:paraId="221C17EE" w14:textId="77777777" w:rsidR="00F00E3D" w:rsidRPr="00335312" w:rsidRDefault="00F00E3D" w:rsidP="002C52A2">
      <w:pPr>
        <w:spacing w:after="0" w:line="240" w:lineRule="auto"/>
        <w:rPr>
          <w:rFonts w:asciiTheme="majorHAnsi" w:eastAsiaTheme="majorEastAsia" w:hAnsiTheme="majorHAnsi" w:cstheme="majorHAnsi"/>
          <w:bCs/>
          <w:i/>
          <w:sz w:val="20"/>
          <w:szCs w:val="20"/>
        </w:rPr>
      </w:pPr>
    </w:p>
    <w:p w14:paraId="2ACEC141" w14:textId="77777777" w:rsidR="00F00E3D" w:rsidRPr="00CE2B42" w:rsidRDefault="00F00E3D" w:rsidP="002C52A2">
      <w:pPr>
        <w:spacing w:before="120" w:after="120" w:line="276" w:lineRule="auto"/>
        <w:rPr>
          <w:rFonts w:asciiTheme="majorHAnsi" w:eastAsiaTheme="majorEastAsia" w:hAnsiTheme="majorHAnsi" w:cstheme="majorHAnsi"/>
          <w:bCs/>
        </w:rPr>
      </w:pPr>
      <w:r w:rsidRPr="00CE2B42">
        <w:rPr>
          <w:rFonts w:asciiTheme="majorHAnsi" w:eastAsiaTheme="majorEastAsia" w:hAnsiTheme="majorHAnsi" w:cstheme="majorHAnsi"/>
          <w:bCs/>
        </w:rPr>
        <w:t>Using the database summarized above, we estimate the Hedonic models to construct the indexes to track the movements of the housing market in the focal suburbs, as well as the whole Victoria state, Greater Melbourne, Regional Victoria, and Greater Geelong for comparison. The Table 2A.3 below exhibit the estimated model using subsamples of house transactional data, unit transactional data, house rental data, and unit rental data to construct the indexes presented in Figure.1 to Figure 4.</w:t>
      </w:r>
    </w:p>
    <w:p w14:paraId="58D8B281" w14:textId="77777777" w:rsidR="00F00E3D" w:rsidRPr="00CE2B42" w:rsidRDefault="00F00E3D" w:rsidP="002C52A2">
      <w:pPr>
        <w:spacing w:before="120" w:after="120" w:line="276" w:lineRule="auto"/>
        <w:rPr>
          <w:rFonts w:asciiTheme="majorHAnsi" w:eastAsiaTheme="majorEastAsia" w:hAnsiTheme="majorHAnsi" w:cstheme="majorHAnsi"/>
          <w:bCs/>
        </w:rPr>
      </w:pPr>
      <w:r w:rsidRPr="00CE2B42">
        <w:rPr>
          <w:rFonts w:asciiTheme="majorHAnsi" w:hAnsiTheme="majorHAnsi" w:cstheme="majorHAnsi"/>
        </w:rPr>
        <w:t xml:space="preserve">Table 2A.3: </w:t>
      </w:r>
      <w:r w:rsidRPr="00CE2B42">
        <w:rPr>
          <w:rFonts w:asciiTheme="majorHAnsi" w:eastAsiaTheme="majorEastAsia" w:hAnsiTheme="majorHAnsi" w:cstheme="majorHAnsi"/>
          <w:bCs/>
        </w:rPr>
        <w:t xml:space="preserve"> Hedonic Index Models</w:t>
      </w:r>
    </w:p>
    <w:p w14:paraId="0C44DB2E" w14:textId="77777777" w:rsidR="00F00E3D" w:rsidRPr="00CE2B42" w:rsidRDefault="00F00E3D" w:rsidP="002C52A2">
      <w:pPr>
        <w:spacing w:before="120" w:after="120" w:line="276" w:lineRule="auto"/>
        <w:rPr>
          <w:rFonts w:asciiTheme="majorHAnsi" w:eastAsiaTheme="majorEastAsia" w:hAnsiTheme="majorHAnsi" w:cstheme="majorHAnsi"/>
          <w:bCs/>
        </w:rPr>
      </w:pPr>
      <w:r w:rsidRPr="00CE2B42">
        <w:rPr>
          <w:rFonts w:asciiTheme="majorHAnsi" w:eastAsiaTheme="majorEastAsia" w:hAnsiTheme="majorHAnsi" w:cstheme="majorHAnsi"/>
          <w:bCs/>
        </w:rPr>
        <w:t>Panel. A House Transactional Index</w:t>
      </w:r>
    </w:p>
    <w:tbl>
      <w:tblPr>
        <w:tblW w:w="5000" w:type="pct"/>
        <w:jc w:val="center"/>
        <w:tblCellMar>
          <w:left w:w="75" w:type="dxa"/>
          <w:right w:w="75" w:type="dxa"/>
        </w:tblCellMar>
        <w:tblLook w:val="0000" w:firstRow="0" w:lastRow="0" w:firstColumn="0" w:lastColumn="0" w:noHBand="0" w:noVBand="0"/>
      </w:tblPr>
      <w:tblGrid>
        <w:gridCol w:w="2143"/>
        <w:gridCol w:w="1170"/>
        <w:gridCol w:w="1939"/>
        <w:gridCol w:w="1288"/>
        <w:gridCol w:w="1677"/>
        <w:gridCol w:w="1421"/>
      </w:tblGrid>
      <w:tr w:rsidR="00F00E3D" w:rsidRPr="00335312" w14:paraId="757AE1A2" w14:textId="77777777" w:rsidTr="00063AC8">
        <w:trPr>
          <w:jc w:val="center"/>
        </w:trPr>
        <w:tc>
          <w:tcPr>
            <w:tcW w:w="1112" w:type="pct"/>
            <w:tcBorders>
              <w:top w:val="single" w:sz="6" w:space="0" w:color="auto"/>
              <w:left w:val="nil"/>
              <w:bottom w:val="nil"/>
              <w:right w:val="nil"/>
            </w:tcBorders>
          </w:tcPr>
          <w:p w14:paraId="48991EC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single" w:sz="6" w:space="0" w:color="auto"/>
              <w:left w:val="nil"/>
              <w:bottom w:val="nil"/>
              <w:right w:val="nil"/>
            </w:tcBorders>
          </w:tcPr>
          <w:p w14:paraId="353F3C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w:t>
            </w:r>
          </w:p>
        </w:tc>
        <w:tc>
          <w:tcPr>
            <w:tcW w:w="1006" w:type="pct"/>
            <w:tcBorders>
              <w:top w:val="single" w:sz="6" w:space="0" w:color="auto"/>
              <w:left w:val="nil"/>
              <w:bottom w:val="nil"/>
              <w:right w:val="nil"/>
            </w:tcBorders>
          </w:tcPr>
          <w:p w14:paraId="56046D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w:t>
            </w:r>
          </w:p>
        </w:tc>
        <w:tc>
          <w:tcPr>
            <w:tcW w:w="668" w:type="pct"/>
            <w:tcBorders>
              <w:top w:val="single" w:sz="6" w:space="0" w:color="auto"/>
              <w:left w:val="nil"/>
              <w:bottom w:val="nil"/>
              <w:right w:val="nil"/>
            </w:tcBorders>
          </w:tcPr>
          <w:p w14:paraId="02F568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w:t>
            </w:r>
          </w:p>
        </w:tc>
        <w:tc>
          <w:tcPr>
            <w:tcW w:w="870" w:type="pct"/>
            <w:tcBorders>
              <w:top w:val="single" w:sz="6" w:space="0" w:color="auto"/>
              <w:left w:val="nil"/>
              <w:bottom w:val="nil"/>
              <w:right w:val="nil"/>
            </w:tcBorders>
          </w:tcPr>
          <w:p w14:paraId="1BC363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w:t>
            </w:r>
          </w:p>
        </w:tc>
        <w:tc>
          <w:tcPr>
            <w:tcW w:w="738" w:type="pct"/>
            <w:tcBorders>
              <w:top w:val="single" w:sz="6" w:space="0" w:color="auto"/>
              <w:left w:val="nil"/>
              <w:bottom w:val="nil"/>
              <w:right w:val="nil"/>
            </w:tcBorders>
          </w:tcPr>
          <w:p w14:paraId="31CF36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w:t>
            </w:r>
          </w:p>
        </w:tc>
      </w:tr>
      <w:tr w:rsidR="00F00E3D" w:rsidRPr="00335312" w14:paraId="36AE12FE" w14:textId="77777777" w:rsidTr="00063AC8">
        <w:trPr>
          <w:jc w:val="center"/>
        </w:trPr>
        <w:tc>
          <w:tcPr>
            <w:tcW w:w="1112" w:type="pct"/>
            <w:tcBorders>
              <w:top w:val="nil"/>
              <w:left w:val="nil"/>
              <w:bottom w:val="single" w:sz="6" w:space="0" w:color="auto"/>
              <w:right w:val="nil"/>
            </w:tcBorders>
          </w:tcPr>
          <w:p w14:paraId="062F05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VARIABLES</w:t>
            </w:r>
          </w:p>
        </w:tc>
        <w:tc>
          <w:tcPr>
            <w:tcW w:w="607" w:type="pct"/>
            <w:tcBorders>
              <w:top w:val="nil"/>
              <w:left w:val="nil"/>
              <w:bottom w:val="single" w:sz="6" w:space="0" w:color="auto"/>
              <w:right w:val="nil"/>
            </w:tcBorders>
          </w:tcPr>
          <w:p w14:paraId="54E95CC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VIC</w:t>
            </w:r>
          </w:p>
        </w:tc>
        <w:tc>
          <w:tcPr>
            <w:tcW w:w="1006" w:type="pct"/>
            <w:tcBorders>
              <w:top w:val="nil"/>
              <w:left w:val="nil"/>
              <w:bottom w:val="single" w:sz="6" w:space="0" w:color="auto"/>
              <w:right w:val="nil"/>
            </w:tcBorders>
          </w:tcPr>
          <w:p w14:paraId="17988F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GreaterMelbourne</w:t>
            </w:r>
          </w:p>
        </w:tc>
        <w:tc>
          <w:tcPr>
            <w:tcW w:w="668" w:type="pct"/>
            <w:tcBorders>
              <w:top w:val="nil"/>
              <w:left w:val="nil"/>
              <w:bottom w:val="single" w:sz="6" w:space="0" w:color="auto"/>
              <w:right w:val="nil"/>
            </w:tcBorders>
          </w:tcPr>
          <w:p w14:paraId="52D8AD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RegionalVIC</w:t>
            </w:r>
          </w:p>
        </w:tc>
        <w:tc>
          <w:tcPr>
            <w:tcW w:w="870" w:type="pct"/>
            <w:tcBorders>
              <w:top w:val="nil"/>
              <w:left w:val="nil"/>
              <w:bottom w:val="single" w:sz="6" w:space="0" w:color="auto"/>
              <w:right w:val="nil"/>
            </w:tcBorders>
          </w:tcPr>
          <w:p w14:paraId="5D7206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GreaterGeelong</w:t>
            </w:r>
          </w:p>
        </w:tc>
        <w:tc>
          <w:tcPr>
            <w:tcW w:w="738" w:type="pct"/>
            <w:tcBorders>
              <w:top w:val="nil"/>
              <w:left w:val="nil"/>
              <w:bottom w:val="single" w:sz="6" w:space="0" w:color="auto"/>
              <w:right w:val="nil"/>
            </w:tcBorders>
          </w:tcPr>
          <w:p w14:paraId="7A6603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FocalSuburbs</w:t>
            </w:r>
          </w:p>
        </w:tc>
      </w:tr>
      <w:tr w:rsidR="00F00E3D" w:rsidRPr="00335312" w14:paraId="5D14CD18" w14:textId="77777777" w:rsidTr="00063AC8">
        <w:trPr>
          <w:jc w:val="center"/>
        </w:trPr>
        <w:tc>
          <w:tcPr>
            <w:tcW w:w="1112" w:type="pct"/>
            <w:tcBorders>
              <w:top w:val="nil"/>
              <w:left w:val="nil"/>
              <w:bottom w:val="nil"/>
              <w:right w:val="nil"/>
            </w:tcBorders>
          </w:tcPr>
          <w:p w14:paraId="4F1B63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8C9EA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1006" w:type="pct"/>
            <w:tcBorders>
              <w:top w:val="nil"/>
              <w:left w:val="nil"/>
              <w:bottom w:val="nil"/>
              <w:right w:val="nil"/>
            </w:tcBorders>
          </w:tcPr>
          <w:p w14:paraId="253C20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68" w:type="pct"/>
            <w:tcBorders>
              <w:top w:val="nil"/>
              <w:left w:val="nil"/>
              <w:bottom w:val="nil"/>
              <w:right w:val="nil"/>
            </w:tcBorders>
          </w:tcPr>
          <w:p w14:paraId="0EBF3B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70" w:type="pct"/>
            <w:tcBorders>
              <w:top w:val="nil"/>
              <w:left w:val="nil"/>
              <w:bottom w:val="nil"/>
              <w:right w:val="nil"/>
            </w:tcBorders>
          </w:tcPr>
          <w:p w14:paraId="595CB0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38" w:type="pct"/>
            <w:tcBorders>
              <w:top w:val="nil"/>
              <w:left w:val="nil"/>
              <w:bottom w:val="nil"/>
              <w:right w:val="nil"/>
            </w:tcBorders>
          </w:tcPr>
          <w:p w14:paraId="53E040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6A0F69B8" w14:textId="77777777" w:rsidTr="00063AC8">
        <w:trPr>
          <w:jc w:val="center"/>
        </w:trPr>
        <w:tc>
          <w:tcPr>
            <w:tcW w:w="1112" w:type="pct"/>
            <w:tcBorders>
              <w:top w:val="nil"/>
              <w:left w:val="nil"/>
              <w:bottom w:val="nil"/>
              <w:right w:val="nil"/>
            </w:tcBorders>
          </w:tcPr>
          <w:p w14:paraId="020D0B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Size</w:t>
            </w:r>
          </w:p>
        </w:tc>
        <w:tc>
          <w:tcPr>
            <w:tcW w:w="607" w:type="pct"/>
            <w:tcBorders>
              <w:top w:val="nil"/>
              <w:left w:val="nil"/>
              <w:bottom w:val="nil"/>
              <w:right w:val="nil"/>
            </w:tcBorders>
          </w:tcPr>
          <w:p w14:paraId="4986C72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0.132***</w:t>
            </w:r>
          </w:p>
        </w:tc>
        <w:tc>
          <w:tcPr>
            <w:tcW w:w="1006" w:type="pct"/>
            <w:tcBorders>
              <w:top w:val="nil"/>
              <w:left w:val="nil"/>
              <w:bottom w:val="nil"/>
              <w:right w:val="nil"/>
            </w:tcBorders>
          </w:tcPr>
          <w:p w14:paraId="5292863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0.137***</w:t>
            </w:r>
          </w:p>
        </w:tc>
        <w:tc>
          <w:tcPr>
            <w:tcW w:w="668" w:type="pct"/>
            <w:tcBorders>
              <w:top w:val="nil"/>
              <w:left w:val="nil"/>
              <w:bottom w:val="nil"/>
              <w:right w:val="nil"/>
            </w:tcBorders>
          </w:tcPr>
          <w:p w14:paraId="5A350B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0.127***</w:t>
            </w:r>
          </w:p>
        </w:tc>
        <w:tc>
          <w:tcPr>
            <w:tcW w:w="870" w:type="pct"/>
            <w:tcBorders>
              <w:top w:val="nil"/>
              <w:left w:val="nil"/>
              <w:bottom w:val="nil"/>
              <w:right w:val="nil"/>
            </w:tcBorders>
          </w:tcPr>
          <w:p w14:paraId="400289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0.173***</w:t>
            </w:r>
          </w:p>
        </w:tc>
        <w:tc>
          <w:tcPr>
            <w:tcW w:w="738" w:type="pct"/>
            <w:tcBorders>
              <w:top w:val="nil"/>
              <w:left w:val="nil"/>
              <w:bottom w:val="nil"/>
              <w:right w:val="nil"/>
            </w:tcBorders>
          </w:tcPr>
          <w:p w14:paraId="3C5027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0.155*</w:t>
            </w:r>
          </w:p>
        </w:tc>
      </w:tr>
      <w:tr w:rsidR="00F00E3D" w:rsidRPr="00335312" w14:paraId="73C4974C" w14:textId="77777777" w:rsidTr="00063AC8">
        <w:trPr>
          <w:jc w:val="center"/>
        </w:trPr>
        <w:tc>
          <w:tcPr>
            <w:tcW w:w="1112" w:type="pct"/>
            <w:tcBorders>
              <w:top w:val="nil"/>
              <w:left w:val="nil"/>
              <w:bottom w:val="nil"/>
              <w:right w:val="nil"/>
            </w:tcBorders>
          </w:tcPr>
          <w:p w14:paraId="6C57AF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AF1E4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(26.43)</w:t>
            </w:r>
          </w:p>
        </w:tc>
        <w:tc>
          <w:tcPr>
            <w:tcW w:w="1006" w:type="pct"/>
            <w:tcBorders>
              <w:top w:val="nil"/>
              <w:left w:val="nil"/>
              <w:bottom w:val="nil"/>
              <w:right w:val="nil"/>
            </w:tcBorders>
          </w:tcPr>
          <w:p w14:paraId="2CE758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(14.36)</w:t>
            </w:r>
          </w:p>
        </w:tc>
        <w:tc>
          <w:tcPr>
            <w:tcW w:w="668" w:type="pct"/>
            <w:tcBorders>
              <w:top w:val="nil"/>
              <w:left w:val="nil"/>
              <w:bottom w:val="nil"/>
              <w:right w:val="nil"/>
            </w:tcBorders>
          </w:tcPr>
          <w:p w14:paraId="424C0C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(30.67)</w:t>
            </w:r>
          </w:p>
        </w:tc>
        <w:tc>
          <w:tcPr>
            <w:tcW w:w="870" w:type="pct"/>
            <w:tcBorders>
              <w:top w:val="nil"/>
              <w:left w:val="nil"/>
              <w:bottom w:val="nil"/>
              <w:right w:val="nil"/>
            </w:tcBorders>
          </w:tcPr>
          <w:p w14:paraId="7A86EE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(8.434)</w:t>
            </w:r>
          </w:p>
        </w:tc>
        <w:tc>
          <w:tcPr>
            <w:tcW w:w="738" w:type="pct"/>
            <w:tcBorders>
              <w:top w:val="nil"/>
              <w:left w:val="nil"/>
              <w:bottom w:val="nil"/>
              <w:right w:val="nil"/>
            </w:tcBorders>
          </w:tcPr>
          <w:p w14:paraId="2584D3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(3.542)</w:t>
            </w:r>
          </w:p>
        </w:tc>
      </w:tr>
      <w:tr w:rsidR="00F00E3D" w:rsidRPr="00335312" w14:paraId="648D640C" w14:textId="77777777" w:rsidTr="00063AC8">
        <w:trPr>
          <w:jc w:val="center"/>
        </w:trPr>
        <w:tc>
          <w:tcPr>
            <w:tcW w:w="1112" w:type="pct"/>
            <w:tcBorders>
              <w:top w:val="nil"/>
              <w:left w:val="nil"/>
              <w:bottom w:val="nil"/>
              <w:right w:val="nil"/>
            </w:tcBorders>
          </w:tcPr>
          <w:p w14:paraId="57ED46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eastAsia="Times New Roman" w:hAnsiTheme="majorHAnsi" w:cstheme="majorHAnsi"/>
                <w:color w:val="000000"/>
                <w:sz w:val="20"/>
                <w:szCs w:val="20"/>
              </w:rPr>
              <w:t>No.Beds</w:t>
            </w:r>
          </w:p>
        </w:tc>
        <w:tc>
          <w:tcPr>
            <w:tcW w:w="607" w:type="pct"/>
            <w:tcBorders>
              <w:top w:val="nil"/>
              <w:left w:val="nil"/>
              <w:bottom w:val="nil"/>
              <w:right w:val="nil"/>
            </w:tcBorders>
          </w:tcPr>
          <w:p w14:paraId="44B1D6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0.0861***</w:t>
            </w:r>
          </w:p>
        </w:tc>
        <w:tc>
          <w:tcPr>
            <w:tcW w:w="1006" w:type="pct"/>
            <w:tcBorders>
              <w:top w:val="nil"/>
              <w:left w:val="nil"/>
              <w:bottom w:val="nil"/>
              <w:right w:val="nil"/>
            </w:tcBorders>
          </w:tcPr>
          <w:p w14:paraId="7572352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0.0795***</w:t>
            </w:r>
          </w:p>
        </w:tc>
        <w:tc>
          <w:tcPr>
            <w:tcW w:w="668" w:type="pct"/>
            <w:tcBorders>
              <w:top w:val="nil"/>
              <w:left w:val="nil"/>
              <w:bottom w:val="nil"/>
              <w:right w:val="nil"/>
            </w:tcBorders>
          </w:tcPr>
          <w:p w14:paraId="396D9A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0.0996***</w:t>
            </w:r>
          </w:p>
        </w:tc>
        <w:tc>
          <w:tcPr>
            <w:tcW w:w="870" w:type="pct"/>
            <w:tcBorders>
              <w:top w:val="nil"/>
              <w:left w:val="nil"/>
              <w:bottom w:val="nil"/>
              <w:right w:val="nil"/>
            </w:tcBorders>
          </w:tcPr>
          <w:p w14:paraId="3CBF3E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0.0923***</w:t>
            </w:r>
          </w:p>
        </w:tc>
        <w:tc>
          <w:tcPr>
            <w:tcW w:w="738" w:type="pct"/>
            <w:tcBorders>
              <w:top w:val="nil"/>
              <w:left w:val="nil"/>
              <w:bottom w:val="nil"/>
              <w:right w:val="nil"/>
            </w:tcBorders>
          </w:tcPr>
          <w:p w14:paraId="0FDB20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0.0356</w:t>
            </w:r>
          </w:p>
        </w:tc>
      </w:tr>
      <w:tr w:rsidR="00F00E3D" w:rsidRPr="00335312" w14:paraId="07904FED" w14:textId="77777777" w:rsidTr="00063AC8">
        <w:trPr>
          <w:jc w:val="center"/>
        </w:trPr>
        <w:tc>
          <w:tcPr>
            <w:tcW w:w="1112" w:type="pct"/>
            <w:tcBorders>
              <w:top w:val="nil"/>
              <w:left w:val="nil"/>
              <w:bottom w:val="nil"/>
              <w:right w:val="nil"/>
            </w:tcBorders>
          </w:tcPr>
          <w:p w14:paraId="1F440D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0D646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(10.87)</w:t>
            </w:r>
          </w:p>
        </w:tc>
        <w:tc>
          <w:tcPr>
            <w:tcW w:w="1006" w:type="pct"/>
            <w:tcBorders>
              <w:top w:val="nil"/>
              <w:left w:val="nil"/>
              <w:bottom w:val="nil"/>
              <w:right w:val="nil"/>
            </w:tcBorders>
          </w:tcPr>
          <w:p w14:paraId="074F6F2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(7.273)</w:t>
            </w:r>
          </w:p>
        </w:tc>
        <w:tc>
          <w:tcPr>
            <w:tcW w:w="668" w:type="pct"/>
            <w:tcBorders>
              <w:top w:val="nil"/>
              <w:left w:val="nil"/>
              <w:bottom w:val="nil"/>
              <w:right w:val="nil"/>
            </w:tcBorders>
          </w:tcPr>
          <w:p w14:paraId="0D685B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(32.37)</w:t>
            </w:r>
          </w:p>
        </w:tc>
        <w:tc>
          <w:tcPr>
            <w:tcW w:w="870" w:type="pct"/>
            <w:tcBorders>
              <w:top w:val="nil"/>
              <w:left w:val="nil"/>
              <w:bottom w:val="nil"/>
              <w:right w:val="nil"/>
            </w:tcBorders>
          </w:tcPr>
          <w:p w14:paraId="779B59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(8.987)</w:t>
            </w:r>
          </w:p>
        </w:tc>
        <w:tc>
          <w:tcPr>
            <w:tcW w:w="738" w:type="pct"/>
            <w:tcBorders>
              <w:top w:val="nil"/>
              <w:left w:val="nil"/>
              <w:bottom w:val="nil"/>
              <w:right w:val="nil"/>
            </w:tcBorders>
          </w:tcPr>
          <w:p w14:paraId="1DC0C6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(2.895)</w:t>
            </w:r>
          </w:p>
        </w:tc>
      </w:tr>
      <w:tr w:rsidR="00F00E3D" w:rsidRPr="00335312" w14:paraId="6BF93AB4" w14:textId="77777777" w:rsidTr="00063AC8">
        <w:trPr>
          <w:jc w:val="center"/>
        </w:trPr>
        <w:tc>
          <w:tcPr>
            <w:tcW w:w="1112" w:type="pct"/>
            <w:tcBorders>
              <w:top w:val="nil"/>
              <w:left w:val="nil"/>
              <w:bottom w:val="nil"/>
              <w:right w:val="nil"/>
            </w:tcBorders>
          </w:tcPr>
          <w:p w14:paraId="4656F7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eastAsia="Times New Roman" w:hAnsiTheme="majorHAnsi" w:cstheme="majorHAnsi"/>
                <w:color w:val="000000"/>
                <w:sz w:val="20"/>
                <w:szCs w:val="20"/>
              </w:rPr>
              <w:t>No.B</w:t>
            </w:r>
            <w:r w:rsidRPr="00335312">
              <w:rPr>
                <w:rFonts w:asciiTheme="majorHAnsi" w:hAnsiTheme="majorHAnsi" w:cstheme="majorHAnsi"/>
                <w:sz w:val="20"/>
                <w:szCs w:val="20"/>
              </w:rPr>
              <w:t>aths</w:t>
            </w:r>
          </w:p>
        </w:tc>
        <w:tc>
          <w:tcPr>
            <w:tcW w:w="607" w:type="pct"/>
            <w:tcBorders>
              <w:top w:val="nil"/>
              <w:left w:val="nil"/>
              <w:bottom w:val="nil"/>
              <w:right w:val="nil"/>
            </w:tcBorders>
          </w:tcPr>
          <w:p w14:paraId="1157A5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0.0699***</w:t>
            </w:r>
          </w:p>
        </w:tc>
        <w:tc>
          <w:tcPr>
            <w:tcW w:w="1006" w:type="pct"/>
            <w:tcBorders>
              <w:top w:val="nil"/>
              <w:left w:val="nil"/>
              <w:bottom w:val="nil"/>
              <w:right w:val="nil"/>
            </w:tcBorders>
          </w:tcPr>
          <w:p w14:paraId="6A6A28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0.0619***</w:t>
            </w:r>
          </w:p>
        </w:tc>
        <w:tc>
          <w:tcPr>
            <w:tcW w:w="668" w:type="pct"/>
            <w:tcBorders>
              <w:top w:val="nil"/>
              <w:left w:val="nil"/>
              <w:bottom w:val="nil"/>
              <w:right w:val="nil"/>
            </w:tcBorders>
          </w:tcPr>
          <w:p w14:paraId="05AC9A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0.0824***</w:t>
            </w:r>
          </w:p>
        </w:tc>
        <w:tc>
          <w:tcPr>
            <w:tcW w:w="870" w:type="pct"/>
            <w:tcBorders>
              <w:top w:val="nil"/>
              <w:left w:val="nil"/>
              <w:bottom w:val="nil"/>
              <w:right w:val="nil"/>
            </w:tcBorders>
          </w:tcPr>
          <w:p w14:paraId="49B923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0.0813***</w:t>
            </w:r>
          </w:p>
        </w:tc>
        <w:tc>
          <w:tcPr>
            <w:tcW w:w="738" w:type="pct"/>
            <w:tcBorders>
              <w:top w:val="nil"/>
              <w:left w:val="nil"/>
              <w:bottom w:val="nil"/>
              <w:right w:val="nil"/>
            </w:tcBorders>
          </w:tcPr>
          <w:p w14:paraId="5E833E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0.131**</w:t>
            </w:r>
          </w:p>
        </w:tc>
      </w:tr>
      <w:tr w:rsidR="00F00E3D" w:rsidRPr="00335312" w14:paraId="1AE43516" w14:textId="77777777" w:rsidTr="00063AC8">
        <w:trPr>
          <w:jc w:val="center"/>
        </w:trPr>
        <w:tc>
          <w:tcPr>
            <w:tcW w:w="1112" w:type="pct"/>
            <w:tcBorders>
              <w:top w:val="nil"/>
              <w:left w:val="nil"/>
              <w:bottom w:val="nil"/>
              <w:right w:val="nil"/>
            </w:tcBorders>
          </w:tcPr>
          <w:p w14:paraId="534DF0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00F06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(15.20)</w:t>
            </w:r>
          </w:p>
        </w:tc>
        <w:tc>
          <w:tcPr>
            <w:tcW w:w="1006" w:type="pct"/>
            <w:tcBorders>
              <w:top w:val="nil"/>
              <w:left w:val="nil"/>
              <w:bottom w:val="nil"/>
              <w:right w:val="nil"/>
            </w:tcBorders>
          </w:tcPr>
          <w:p w14:paraId="0B8402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(10.14)</w:t>
            </w:r>
          </w:p>
        </w:tc>
        <w:tc>
          <w:tcPr>
            <w:tcW w:w="668" w:type="pct"/>
            <w:tcBorders>
              <w:top w:val="nil"/>
              <w:left w:val="nil"/>
              <w:bottom w:val="nil"/>
              <w:right w:val="nil"/>
            </w:tcBorders>
          </w:tcPr>
          <w:p w14:paraId="626736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(17.96)</w:t>
            </w:r>
          </w:p>
        </w:tc>
        <w:tc>
          <w:tcPr>
            <w:tcW w:w="870" w:type="pct"/>
            <w:tcBorders>
              <w:top w:val="nil"/>
              <w:left w:val="nil"/>
              <w:bottom w:val="nil"/>
              <w:right w:val="nil"/>
            </w:tcBorders>
          </w:tcPr>
          <w:p w14:paraId="2C91B2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(9.719)</w:t>
            </w:r>
          </w:p>
        </w:tc>
        <w:tc>
          <w:tcPr>
            <w:tcW w:w="738" w:type="pct"/>
            <w:tcBorders>
              <w:top w:val="nil"/>
              <w:left w:val="nil"/>
              <w:bottom w:val="nil"/>
              <w:right w:val="nil"/>
            </w:tcBorders>
          </w:tcPr>
          <w:p w14:paraId="6C768B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(8.376)</w:t>
            </w:r>
          </w:p>
        </w:tc>
      </w:tr>
      <w:tr w:rsidR="00F00E3D" w:rsidRPr="00335312" w14:paraId="3044291C" w14:textId="77777777" w:rsidTr="00063AC8">
        <w:trPr>
          <w:jc w:val="center"/>
        </w:trPr>
        <w:tc>
          <w:tcPr>
            <w:tcW w:w="1112" w:type="pct"/>
            <w:tcBorders>
              <w:top w:val="nil"/>
              <w:left w:val="nil"/>
              <w:bottom w:val="nil"/>
              <w:right w:val="nil"/>
            </w:tcBorders>
          </w:tcPr>
          <w:p w14:paraId="3FD542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No.Parkings</w:t>
            </w:r>
          </w:p>
        </w:tc>
        <w:tc>
          <w:tcPr>
            <w:tcW w:w="607" w:type="pct"/>
            <w:tcBorders>
              <w:top w:val="nil"/>
              <w:left w:val="nil"/>
              <w:bottom w:val="nil"/>
              <w:right w:val="nil"/>
            </w:tcBorders>
          </w:tcPr>
          <w:p w14:paraId="737309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0.0120***</w:t>
            </w:r>
          </w:p>
        </w:tc>
        <w:tc>
          <w:tcPr>
            <w:tcW w:w="1006" w:type="pct"/>
            <w:tcBorders>
              <w:top w:val="nil"/>
              <w:left w:val="nil"/>
              <w:bottom w:val="nil"/>
              <w:right w:val="nil"/>
            </w:tcBorders>
          </w:tcPr>
          <w:p w14:paraId="1F31FF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0.0120***</w:t>
            </w:r>
          </w:p>
        </w:tc>
        <w:tc>
          <w:tcPr>
            <w:tcW w:w="668" w:type="pct"/>
            <w:tcBorders>
              <w:top w:val="nil"/>
              <w:left w:val="nil"/>
              <w:bottom w:val="nil"/>
              <w:right w:val="nil"/>
            </w:tcBorders>
          </w:tcPr>
          <w:p w14:paraId="5C2744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0.0111***</w:t>
            </w:r>
          </w:p>
        </w:tc>
        <w:tc>
          <w:tcPr>
            <w:tcW w:w="870" w:type="pct"/>
            <w:tcBorders>
              <w:top w:val="nil"/>
              <w:left w:val="nil"/>
              <w:bottom w:val="nil"/>
              <w:right w:val="nil"/>
            </w:tcBorders>
          </w:tcPr>
          <w:p w14:paraId="697C04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0.00669**</w:t>
            </w:r>
          </w:p>
        </w:tc>
        <w:tc>
          <w:tcPr>
            <w:tcW w:w="738" w:type="pct"/>
            <w:tcBorders>
              <w:top w:val="nil"/>
              <w:left w:val="nil"/>
              <w:bottom w:val="nil"/>
              <w:right w:val="nil"/>
            </w:tcBorders>
          </w:tcPr>
          <w:p w14:paraId="55BF8A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0.0125</w:t>
            </w:r>
          </w:p>
        </w:tc>
      </w:tr>
      <w:tr w:rsidR="00F00E3D" w:rsidRPr="00335312" w14:paraId="7B748806" w14:textId="77777777" w:rsidTr="00063AC8">
        <w:trPr>
          <w:jc w:val="center"/>
        </w:trPr>
        <w:tc>
          <w:tcPr>
            <w:tcW w:w="1112" w:type="pct"/>
            <w:tcBorders>
              <w:top w:val="nil"/>
              <w:left w:val="nil"/>
              <w:bottom w:val="nil"/>
              <w:right w:val="nil"/>
            </w:tcBorders>
          </w:tcPr>
          <w:p w14:paraId="41E9F4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7488C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(12.80)</w:t>
            </w:r>
          </w:p>
        </w:tc>
        <w:tc>
          <w:tcPr>
            <w:tcW w:w="1006" w:type="pct"/>
            <w:tcBorders>
              <w:top w:val="nil"/>
              <w:left w:val="nil"/>
              <w:bottom w:val="nil"/>
              <w:right w:val="nil"/>
            </w:tcBorders>
          </w:tcPr>
          <w:p w14:paraId="453C5EA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(7.221)</w:t>
            </w:r>
          </w:p>
        </w:tc>
        <w:tc>
          <w:tcPr>
            <w:tcW w:w="668" w:type="pct"/>
            <w:tcBorders>
              <w:top w:val="nil"/>
              <w:left w:val="nil"/>
              <w:bottom w:val="nil"/>
              <w:right w:val="nil"/>
            </w:tcBorders>
          </w:tcPr>
          <w:p w14:paraId="380771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(10.76)</w:t>
            </w:r>
          </w:p>
        </w:tc>
        <w:tc>
          <w:tcPr>
            <w:tcW w:w="870" w:type="pct"/>
            <w:tcBorders>
              <w:top w:val="nil"/>
              <w:left w:val="nil"/>
              <w:bottom w:val="nil"/>
              <w:right w:val="nil"/>
            </w:tcBorders>
          </w:tcPr>
          <w:p w14:paraId="108D9C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(2.520)</w:t>
            </w:r>
          </w:p>
        </w:tc>
        <w:tc>
          <w:tcPr>
            <w:tcW w:w="738" w:type="pct"/>
            <w:tcBorders>
              <w:top w:val="nil"/>
              <w:left w:val="nil"/>
              <w:bottom w:val="nil"/>
              <w:right w:val="nil"/>
            </w:tcBorders>
          </w:tcPr>
          <w:p w14:paraId="23BF42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(2.749)</w:t>
            </w:r>
          </w:p>
        </w:tc>
      </w:tr>
      <w:tr w:rsidR="00F00E3D" w:rsidRPr="00335312" w14:paraId="1839DEE6" w14:textId="77777777" w:rsidTr="00063AC8">
        <w:trPr>
          <w:jc w:val="center"/>
        </w:trPr>
        <w:tc>
          <w:tcPr>
            <w:tcW w:w="1112" w:type="pct"/>
            <w:tcBorders>
              <w:top w:val="nil"/>
              <w:left w:val="nil"/>
              <w:bottom w:val="nil"/>
              <w:right w:val="nil"/>
            </w:tcBorders>
          </w:tcPr>
          <w:p w14:paraId="40933E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LogCBDDistance</w:t>
            </w:r>
          </w:p>
        </w:tc>
        <w:tc>
          <w:tcPr>
            <w:tcW w:w="607" w:type="pct"/>
            <w:tcBorders>
              <w:top w:val="nil"/>
              <w:left w:val="nil"/>
              <w:bottom w:val="nil"/>
              <w:right w:val="nil"/>
            </w:tcBorders>
          </w:tcPr>
          <w:p w14:paraId="6BCE92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-0.219***</w:t>
            </w:r>
          </w:p>
        </w:tc>
        <w:tc>
          <w:tcPr>
            <w:tcW w:w="1006" w:type="pct"/>
            <w:tcBorders>
              <w:top w:val="nil"/>
              <w:left w:val="nil"/>
              <w:bottom w:val="nil"/>
              <w:right w:val="nil"/>
            </w:tcBorders>
          </w:tcPr>
          <w:p w14:paraId="6EE916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-0.194***</w:t>
            </w:r>
          </w:p>
        </w:tc>
        <w:tc>
          <w:tcPr>
            <w:tcW w:w="668" w:type="pct"/>
            <w:tcBorders>
              <w:top w:val="nil"/>
              <w:left w:val="nil"/>
              <w:bottom w:val="nil"/>
              <w:right w:val="nil"/>
            </w:tcBorders>
          </w:tcPr>
          <w:p w14:paraId="7F1E6C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-0.369***</w:t>
            </w:r>
          </w:p>
        </w:tc>
        <w:tc>
          <w:tcPr>
            <w:tcW w:w="870" w:type="pct"/>
            <w:tcBorders>
              <w:top w:val="nil"/>
              <w:left w:val="nil"/>
              <w:bottom w:val="nil"/>
              <w:right w:val="nil"/>
            </w:tcBorders>
          </w:tcPr>
          <w:p w14:paraId="4D2BE9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-1.149</w:t>
            </w:r>
          </w:p>
        </w:tc>
        <w:tc>
          <w:tcPr>
            <w:tcW w:w="738" w:type="pct"/>
            <w:tcBorders>
              <w:top w:val="nil"/>
              <w:left w:val="nil"/>
              <w:bottom w:val="nil"/>
              <w:right w:val="nil"/>
            </w:tcBorders>
          </w:tcPr>
          <w:p w14:paraId="28A335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1.631</w:t>
            </w:r>
          </w:p>
        </w:tc>
      </w:tr>
      <w:tr w:rsidR="00F00E3D" w:rsidRPr="00335312" w14:paraId="621F94EF" w14:textId="77777777" w:rsidTr="00063AC8">
        <w:trPr>
          <w:jc w:val="center"/>
        </w:trPr>
        <w:tc>
          <w:tcPr>
            <w:tcW w:w="1112" w:type="pct"/>
            <w:tcBorders>
              <w:top w:val="nil"/>
              <w:left w:val="nil"/>
              <w:bottom w:val="nil"/>
              <w:right w:val="nil"/>
            </w:tcBorders>
          </w:tcPr>
          <w:p w14:paraId="7F28E1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E7194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(-3.856)</w:t>
            </w:r>
          </w:p>
        </w:tc>
        <w:tc>
          <w:tcPr>
            <w:tcW w:w="1006" w:type="pct"/>
            <w:tcBorders>
              <w:top w:val="nil"/>
              <w:left w:val="nil"/>
              <w:bottom w:val="nil"/>
              <w:right w:val="nil"/>
            </w:tcBorders>
          </w:tcPr>
          <w:p w14:paraId="46550F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(-2.981)</w:t>
            </w:r>
          </w:p>
        </w:tc>
        <w:tc>
          <w:tcPr>
            <w:tcW w:w="668" w:type="pct"/>
            <w:tcBorders>
              <w:top w:val="nil"/>
              <w:left w:val="nil"/>
              <w:bottom w:val="nil"/>
              <w:right w:val="nil"/>
            </w:tcBorders>
          </w:tcPr>
          <w:p w14:paraId="483E5E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(-2.747)</w:t>
            </w:r>
          </w:p>
        </w:tc>
        <w:tc>
          <w:tcPr>
            <w:tcW w:w="870" w:type="pct"/>
            <w:tcBorders>
              <w:top w:val="nil"/>
              <w:left w:val="nil"/>
              <w:bottom w:val="nil"/>
              <w:right w:val="nil"/>
            </w:tcBorders>
          </w:tcPr>
          <w:p w14:paraId="1BBF4F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(-1.300)</w:t>
            </w:r>
          </w:p>
        </w:tc>
        <w:tc>
          <w:tcPr>
            <w:tcW w:w="738" w:type="pct"/>
            <w:tcBorders>
              <w:top w:val="nil"/>
              <w:left w:val="nil"/>
              <w:bottom w:val="nil"/>
              <w:right w:val="nil"/>
            </w:tcBorders>
          </w:tcPr>
          <w:p w14:paraId="155E6A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(2.829)</w:t>
            </w:r>
          </w:p>
        </w:tc>
      </w:tr>
      <w:tr w:rsidR="00F00E3D" w:rsidRPr="00335312" w14:paraId="0C2E68C5" w14:textId="77777777" w:rsidTr="00063AC8">
        <w:trPr>
          <w:jc w:val="center"/>
        </w:trPr>
        <w:tc>
          <w:tcPr>
            <w:tcW w:w="1112" w:type="pct"/>
            <w:tcBorders>
              <w:top w:val="nil"/>
              <w:left w:val="nil"/>
              <w:bottom w:val="nil"/>
              <w:right w:val="nil"/>
            </w:tcBorders>
          </w:tcPr>
          <w:p w14:paraId="70A173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2015.year#2.month</w:t>
            </w:r>
          </w:p>
        </w:tc>
        <w:tc>
          <w:tcPr>
            <w:tcW w:w="607" w:type="pct"/>
            <w:tcBorders>
              <w:top w:val="nil"/>
              <w:left w:val="nil"/>
              <w:bottom w:val="nil"/>
              <w:right w:val="nil"/>
            </w:tcBorders>
          </w:tcPr>
          <w:p w14:paraId="7CDFD8C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0.0246***</w:t>
            </w:r>
          </w:p>
        </w:tc>
        <w:tc>
          <w:tcPr>
            <w:tcW w:w="1006" w:type="pct"/>
            <w:tcBorders>
              <w:top w:val="nil"/>
              <w:left w:val="nil"/>
              <w:bottom w:val="nil"/>
              <w:right w:val="nil"/>
            </w:tcBorders>
          </w:tcPr>
          <w:p w14:paraId="328BA9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0.0417***</w:t>
            </w:r>
          </w:p>
        </w:tc>
        <w:tc>
          <w:tcPr>
            <w:tcW w:w="668" w:type="pct"/>
            <w:tcBorders>
              <w:top w:val="nil"/>
              <w:left w:val="nil"/>
              <w:bottom w:val="nil"/>
              <w:right w:val="nil"/>
            </w:tcBorders>
          </w:tcPr>
          <w:p w14:paraId="32E312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0.00512</w:t>
            </w:r>
          </w:p>
        </w:tc>
        <w:tc>
          <w:tcPr>
            <w:tcW w:w="870" w:type="pct"/>
            <w:tcBorders>
              <w:top w:val="nil"/>
              <w:left w:val="nil"/>
              <w:bottom w:val="nil"/>
              <w:right w:val="nil"/>
            </w:tcBorders>
          </w:tcPr>
          <w:p w14:paraId="4C47B4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-0.0128</w:t>
            </w:r>
          </w:p>
        </w:tc>
        <w:tc>
          <w:tcPr>
            <w:tcW w:w="738" w:type="pct"/>
            <w:tcBorders>
              <w:top w:val="nil"/>
              <w:left w:val="nil"/>
              <w:bottom w:val="nil"/>
              <w:right w:val="nil"/>
            </w:tcBorders>
          </w:tcPr>
          <w:p w14:paraId="75F67D3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-0.00975</w:t>
            </w:r>
          </w:p>
        </w:tc>
      </w:tr>
      <w:tr w:rsidR="00F00E3D" w:rsidRPr="00335312" w14:paraId="2344E75D" w14:textId="77777777" w:rsidTr="00063AC8">
        <w:trPr>
          <w:jc w:val="center"/>
        </w:trPr>
        <w:tc>
          <w:tcPr>
            <w:tcW w:w="1112" w:type="pct"/>
            <w:tcBorders>
              <w:top w:val="nil"/>
              <w:left w:val="nil"/>
              <w:bottom w:val="nil"/>
              <w:right w:val="nil"/>
            </w:tcBorders>
          </w:tcPr>
          <w:p w14:paraId="6B7613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BDBB4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(4.382)</w:t>
            </w:r>
          </w:p>
        </w:tc>
        <w:tc>
          <w:tcPr>
            <w:tcW w:w="1006" w:type="pct"/>
            <w:tcBorders>
              <w:top w:val="nil"/>
              <w:left w:val="nil"/>
              <w:bottom w:val="nil"/>
              <w:right w:val="nil"/>
            </w:tcBorders>
          </w:tcPr>
          <w:p w14:paraId="26AC12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(5.704)</w:t>
            </w:r>
          </w:p>
        </w:tc>
        <w:tc>
          <w:tcPr>
            <w:tcW w:w="668" w:type="pct"/>
            <w:tcBorders>
              <w:top w:val="nil"/>
              <w:left w:val="nil"/>
              <w:bottom w:val="nil"/>
              <w:right w:val="nil"/>
            </w:tcBorders>
          </w:tcPr>
          <w:p w14:paraId="32504A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(0.592)</w:t>
            </w:r>
          </w:p>
        </w:tc>
        <w:tc>
          <w:tcPr>
            <w:tcW w:w="870" w:type="pct"/>
            <w:tcBorders>
              <w:top w:val="nil"/>
              <w:left w:val="nil"/>
              <w:bottom w:val="nil"/>
              <w:right w:val="nil"/>
            </w:tcBorders>
          </w:tcPr>
          <w:p w14:paraId="4D540C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(-0.631)</w:t>
            </w:r>
          </w:p>
        </w:tc>
        <w:tc>
          <w:tcPr>
            <w:tcW w:w="738" w:type="pct"/>
            <w:tcBorders>
              <w:top w:val="nil"/>
              <w:left w:val="nil"/>
              <w:bottom w:val="nil"/>
              <w:right w:val="nil"/>
            </w:tcBorders>
          </w:tcPr>
          <w:p w14:paraId="2C82716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(-0.502)</w:t>
            </w:r>
          </w:p>
        </w:tc>
      </w:tr>
      <w:tr w:rsidR="00F00E3D" w:rsidRPr="00335312" w14:paraId="649EE8A0" w14:textId="77777777" w:rsidTr="00063AC8">
        <w:trPr>
          <w:jc w:val="center"/>
        </w:trPr>
        <w:tc>
          <w:tcPr>
            <w:tcW w:w="1112" w:type="pct"/>
            <w:tcBorders>
              <w:top w:val="nil"/>
              <w:left w:val="nil"/>
              <w:bottom w:val="nil"/>
              <w:right w:val="nil"/>
            </w:tcBorders>
          </w:tcPr>
          <w:p w14:paraId="256CB3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2015.year#3.month</w:t>
            </w:r>
          </w:p>
        </w:tc>
        <w:tc>
          <w:tcPr>
            <w:tcW w:w="607" w:type="pct"/>
            <w:tcBorders>
              <w:top w:val="nil"/>
              <w:left w:val="nil"/>
              <w:bottom w:val="nil"/>
              <w:right w:val="nil"/>
            </w:tcBorders>
          </w:tcPr>
          <w:p w14:paraId="561DD2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0.0361***</w:t>
            </w:r>
          </w:p>
        </w:tc>
        <w:tc>
          <w:tcPr>
            <w:tcW w:w="1006" w:type="pct"/>
            <w:tcBorders>
              <w:top w:val="nil"/>
              <w:left w:val="nil"/>
              <w:bottom w:val="nil"/>
              <w:right w:val="nil"/>
            </w:tcBorders>
          </w:tcPr>
          <w:p w14:paraId="5121CEC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0.0584***</w:t>
            </w:r>
          </w:p>
        </w:tc>
        <w:tc>
          <w:tcPr>
            <w:tcW w:w="668" w:type="pct"/>
            <w:tcBorders>
              <w:top w:val="nil"/>
              <w:left w:val="nil"/>
              <w:bottom w:val="nil"/>
              <w:right w:val="nil"/>
            </w:tcBorders>
          </w:tcPr>
          <w:p w14:paraId="19072E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0.0109</w:t>
            </w:r>
          </w:p>
        </w:tc>
        <w:tc>
          <w:tcPr>
            <w:tcW w:w="870" w:type="pct"/>
            <w:tcBorders>
              <w:top w:val="nil"/>
              <w:left w:val="nil"/>
              <w:bottom w:val="nil"/>
              <w:right w:val="nil"/>
            </w:tcBorders>
          </w:tcPr>
          <w:p w14:paraId="438E7A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0.000116</w:t>
            </w:r>
          </w:p>
        </w:tc>
        <w:tc>
          <w:tcPr>
            <w:tcW w:w="738" w:type="pct"/>
            <w:tcBorders>
              <w:top w:val="nil"/>
              <w:left w:val="nil"/>
              <w:bottom w:val="nil"/>
              <w:right w:val="nil"/>
            </w:tcBorders>
          </w:tcPr>
          <w:p w14:paraId="4C0130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-0.0922*</w:t>
            </w:r>
          </w:p>
        </w:tc>
      </w:tr>
      <w:tr w:rsidR="00F00E3D" w:rsidRPr="00335312" w14:paraId="11589AE9" w14:textId="77777777" w:rsidTr="00063AC8">
        <w:trPr>
          <w:jc w:val="center"/>
        </w:trPr>
        <w:tc>
          <w:tcPr>
            <w:tcW w:w="1112" w:type="pct"/>
            <w:tcBorders>
              <w:top w:val="nil"/>
              <w:left w:val="nil"/>
              <w:bottom w:val="nil"/>
              <w:right w:val="nil"/>
            </w:tcBorders>
          </w:tcPr>
          <w:p w14:paraId="3F4F2F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BD083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(6.262)</w:t>
            </w:r>
          </w:p>
        </w:tc>
        <w:tc>
          <w:tcPr>
            <w:tcW w:w="1006" w:type="pct"/>
            <w:tcBorders>
              <w:top w:val="nil"/>
              <w:left w:val="nil"/>
              <w:bottom w:val="nil"/>
              <w:right w:val="nil"/>
            </w:tcBorders>
          </w:tcPr>
          <w:p w14:paraId="6949C0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(8.502)</w:t>
            </w:r>
          </w:p>
        </w:tc>
        <w:tc>
          <w:tcPr>
            <w:tcW w:w="668" w:type="pct"/>
            <w:tcBorders>
              <w:top w:val="nil"/>
              <w:left w:val="nil"/>
              <w:bottom w:val="nil"/>
              <w:right w:val="nil"/>
            </w:tcBorders>
          </w:tcPr>
          <w:p w14:paraId="4D76F3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(1.212)</w:t>
            </w:r>
          </w:p>
        </w:tc>
        <w:tc>
          <w:tcPr>
            <w:tcW w:w="870" w:type="pct"/>
            <w:tcBorders>
              <w:top w:val="nil"/>
              <w:left w:val="nil"/>
              <w:bottom w:val="nil"/>
              <w:right w:val="nil"/>
            </w:tcBorders>
          </w:tcPr>
          <w:p w14:paraId="6761E2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(0.00515)</w:t>
            </w:r>
          </w:p>
        </w:tc>
        <w:tc>
          <w:tcPr>
            <w:tcW w:w="738" w:type="pct"/>
            <w:tcBorders>
              <w:top w:val="nil"/>
              <w:left w:val="nil"/>
              <w:bottom w:val="nil"/>
              <w:right w:val="nil"/>
            </w:tcBorders>
          </w:tcPr>
          <w:p w14:paraId="314724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(-4.008)</w:t>
            </w:r>
          </w:p>
        </w:tc>
      </w:tr>
      <w:tr w:rsidR="00F00E3D" w:rsidRPr="00335312" w14:paraId="1A6FC841" w14:textId="77777777" w:rsidTr="00063AC8">
        <w:trPr>
          <w:jc w:val="center"/>
        </w:trPr>
        <w:tc>
          <w:tcPr>
            <w:tcW w:w="1112" w:type="pct"/>
            <w:tcBorders>
              <w:top w:val="nil"/>
              <w:left w:val="nil"/>
              <w:bottom w:val="nil"/>
              <w:right w:val="nil"/>
            </w:tcBorders>
          </w:tcPr>
          <w:p w14:paraId="0F3B9D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2015.year#4.month</w:t>
            </w:r>
          </w:p>
        </w:tc>
        <w:tc>
          <w:tcPr>
            <w:tcW w:w="607" w:type="pct"/>
            <w:tcBorders>
              <w:top w:val="nil"/>
              <w:left w:val="nil"/>
              <w:bottom w:val="nil"/>
              <w:right w:val="nil"/>
            </w:tcBorders>
          </w:tcPr>
          <w:p w14:paraId="7D288F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0.0371***</w:t>
            </w:r>
          </w:p>
        </w:tc>
        <w:tc>
          <w:tcPr>
            <w:tcW w:w="1006" w:type="pct"/>
            <w:tcBorders>
              <w:top w:val="nil"/>
              <w:left w:val="nil"/>
              <w:bottom w:val="nil"/>
              <w:right w:val="nil"/>
            </w:tcBorders>
          </w:tcPr>
          <w:p w14:paraId="18031D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0.0540***</w:t>
            </w:r>
          </w:p>
        </w:tc>
        <w:tc>
          <w:tcPr>
            <w:tcW w:w="668" w:type="pct"/>
            <w:tcBorders>
              <w:top w:val="nil"/>
              <w:left w:val="nil"/>
              <w:bottom w:val="nil"/>
              <w:right w:val="nil"/>
            </w:tcBorders>
          </w:tcPr>
          <w:p w14:paraId="4AA239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0.0178*</w:t>
            </w:r>
          </w:p>
        </w:tc>
        <w:tc>
          <w:tcPr>
            <w:tcW w:w="870" w:type="pct"/>
            <w:tcBorders>
              <w:top w:val="nil"/>
              <w:left w:val="nil"/>
              <w:bottom w:val="nil"/>
              <w:right w:val="nil"/>
            </w:tcBorders>
          </w:tcPr>
          <w:p w14:paraId="4C92D40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-0.0107</w:t>
            </w:r>
          </w:p>
        </w:tc>
        <w:tc>
          <w:tcPr>
            <w:tcW w:w="738" w:type="pct"/>
            <w:tcBorders>
              <w:top w:val="nil"/>
              <w:left w:val="nil"/>
              <w:bottom w:val="nil"/>
              <w:right w:val="nil"/>
            </w:tcBorders>
          </w:tcPr>
          <w:p w14:paraId="37DC53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-0.00356</w:t>
            </w:r>
          </w:p>
        </w:tc>
      </w:tr>
      <w:tr w:rsidR="00F00E3D" w:rsidRPr="00335312" w14:paraId="4383680A" w14:textId="77777777" w:rsidTr="00063AC8">
        <w:trPr>
          <w:jc w:val="center"/>
        </w:trPr>
        <w:tc>
          <w:tcPr>
            <w:tcW w:w="1112" w:type="pct"/>
            <w:tcBorders>
              <w:top w:val="nil"/>
              <w:left w:val="nil"/>
              <w:bottom w:val="nil"/>
              <w:right w:val="nil"/>
            </w:tcBorders>
          </w:tcPr>
          <w:p w14:paraId="4D6236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BD026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(6.048)</w:t>
            </w:r>
          </w:p>
        </w:tc>
        <w:tc>
          <w:tcPr>
            <w:tcW w:w="1006" w:type="pct"/>
            <w:tcBorders>
              <w:top w:val="nil"/>
              <w:left w:val="nil"/>
              <w:bottom w:val="nil"/>
              <w:right w:val="nil"/>
            </w:tcBorders>
          </w:tcPr>
          <w:p w14:paraId="0B5B60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(7.109)</w:t>
            </w:r>
          </w:p>
        </w:tc>
        <w:tc>
          <w:tcPr>
            <w:tcW w:w="668" w:type="pct"/>
            <w:tcBorders>
              <w:top w:val="nil"/>
              <w:left w:val="nil"/>
              <w:bottom w:val="nil"/>
              <w:right w:val="nil"/>
            </w:tcBorders>
          </w:tcPr>
          <w:p w14:paraId="4B8180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(1.893)</w:t>
            </w:r>
          </w:p>
        </w:tc>
        <w:tc>
          <w:tcPr>
            <w:tcW w:w="870" w:type="pct"/>
            <w:tcBorders>
              <w:top w:val="nil"/>
              <w:left w:val="nil"/>
              <w:bottom w:val="nil"/>
              <w:right w:val="nil"/>
            </w:tcBorders>
          </w:tcPr>
          <w:p w14:paraId="422CD4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(-0.568)</w:t>
            </w:r>
          </w:p>
        </w:tc>
        <w:tc>
          <w:tcPr>
            <w:tcW w:w="738" w:type="pct"/>
            <w:tcBorders>
              <w:top w:val="nil"/>
              <w:left w:val="nil"/>
              <w:bottom w:val="nil"/>
              <w:right w:val="nil"/>
            </w:tcBorders>
          </w:tcPr>
          <w:p w14:paraId="4CD286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(-0.110)</w:t>
            </w:r>
          </w:p>
        </w:tc>
      </w:tr>
      <w:tr w:rsidR="00F00E3D" w:rsidRPr="00335312" w14:paraId="10255847" w14:textId="77777777" w:rsidTr="00063AC8">
        <w:trPr>
          <w:jc w:val="center"/>
        </w:trPr>
        <w:tc>
          <w:tcPr>
            <w:tcW w:w="1112" w:type="pct"/>
            <w:tcBorders>
              <w:top w:val="nil"/>
              <w:left w:val="nil"/>
              <w:bottom w:val="nil"/>
              <w:right w:val="nil"/>
            </w:tcBorders>
          </w:tcPr>
          <w:p w14:paraId="233B1F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2015.year#5.month</w:t>
            </w:r>
          </w:p>
        </w:tc>
        <w:tc>
          <w:tcPr>
            <w:tcW w:w="607" w:type="pct"/>
            <w:tcBorders>
              <w:top w:val="nil"/>
              <w:left w:val="nil"/>
              <w:bottom w:val="nil"/>
              <w:right w:val="nil"/>
            </w:tcBorders>
          </w:tcPr>
          <w:p w14:paraId="2E26D4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0.0645***</w:t>
            </w:r>
          </w:p>
        </w:tc>
        <w:tc>
          <w:tcPr>
            <w:tcW w:w="1006" w:type="pct"/>
            <w:tcBorders>
              <w:top w:val="nil"/>
              <w:left w:val="nil"/>
              <w:bottom w:val="nil"/>
              <w:right w:val="nil"/>
            </w:tcBorders>
          </w:tcPr>
          <w:p w14:paraId="22B857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0.0936***</w:t>
            </w:r>
          </w:p>
        </w:tc>
        <w:tc>
          <w:tcPr>
            <w:tcW w:w="668" w:type="pct"/>
            <w:tcBorders>
              <w:top w:val="nil"/>
              <w:left w:val="nil"/>
              <w:bottom w:val="nil"/>
              <w:right w:val="nil"/>
            </w:tcBorders>
          </w:tcPr>
          <w:p w14:paraId="14F8B4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0.0288***</w:t>
            </w:r>
          </w:p>
        </w:tc>
        <w:tc>
          <w:tcPr>
            <w:tcW w:w="870" w:type="pct"/>
            <w:tcBorders>
              <w:top w:val="nil"/>
              <w:left w:val="nil"/>
              <w:bottom w:val="nil"/>
              <w:right w:val="nil"/>
            </w:tcBorders>
          </w:tcPr>
          <w:p w14:paraId="24383D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-0.00852</w:t>
            </w:r>
          </w:p>
        </w:tc>
        <w:tc>
          <w:tcPr>
            <w:tcW w:w="738" w:type="pct"/>
            <w:tcBorders>
              <w:top w:val="nil"/>
              <w:left w:val="nil"/>
              <w:bottom w:val="nil"/>
              <w:right w:val="nil"/>
            </w:tcBorders>
          </w:tcPr>
          <w:p w14:paraId="1C8AB3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-0.0326</w:t>
            </w:r>
          </w:p>
        </w:tc>
      </w:tr>
      <w:tr w:rsidR="00F00E3D" w:rsidRPr="00335312" w14:paraId="11CE5D18" w14:textId="77777777" w:rsidTr="00063AC8">
        <w:trPr>
          <w:jc w:val="center"/>
        </w:trPr>
        <w:tc>
          <w:tcPr>
            <w:tcW w:w="1112" w:type="pct"/>
            <w:tcBorders>
              <w:top w:val="nil"/>
              <w:left w:val="nil"/>
              <w:bottom w:val="nil"/>
              <w:right w:val="nil"/>
            </w:tcBorders>
          </w:tcPr>
          <w:p w14:paraId="03B852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14A15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(9.740)</w:t>
            </w:r>
          </w:p>
        </w:tc>
        <w:tc>
          <w:tcPr>
            <w:tcW w:w="1006" w:type="pct"/>
            <w:tcBorders>
              <w:top w:val="nil"/>
              <w:left w:val="nil"/>
              <w:bottom w:val="nil"/>
              <w:right w:val="nil"/>
            </w:tcBorders>
          </w:tcPr>
          <w:p w14:paraId="2232C2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(11.38)</w:t>
            </w:r>
          </w:p>
        </w:tc>
        <w:tc>
          <w:tcPr>
            <w:tcW w:w="668" w:type="pct"/>
            <w:tcBorders>
              <w:top w:val="nil"/>
              <w:left w:val="nil"/>
              <w:bottom w:val="nil"/>
              <w:right w:val="nil"/>
            </w:tcBorders>
          </w:tcPr>
          <w:p w14:paraId="104A19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(2.796)</w:t>
            </w:r>
          </w:p>
        </w:tc>
        <w:tc>
          <w:tcPr>
            <w:tcW w:w="870" w:type="pct"/>
            <w:tcBorders>
              <w:top w:val="nil"/>
              <w:left w:val="nil"/>
              <w:bottom w:val="nil"/>
              <w:right w:val="nil"/>
            </w:tcBorders>
          </w:tcPr>
          <w:p w14:paraId="05B87C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(-0.480)</w:t>
            </w:r>
          </w:p>
        </w:tc>
        <w:tc>
          <w:tcPr>
            <w:tcW w:w="738" w:type="pct"/>
            <w:tcBorders>
              <w:top w:val="nil"/>
              <w:left w:val="nil"/>
              <w:bottom w:val="nil"/>
              <w:right w:val="nil"/>
            </w:tcBorders>
          </w:tcPr>
          <w:p w14:paraId="117A09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(-1.514)</w:t>
            </w:r>
          </w:p>
        </w:tc>
      </w:tr>
      <w:tr w:rsidR="00F00E3D" w:rsidRPr="00335312" w14:paraId="1B78E648" w14:textId="77777777" w:rsidTr="00063AC8">
        <w:trPr>
          <w:jc w:val="center"/>
        </w:trPr>
        <w:tc>
          <w:tcPr>
            <w:tcW w:w="1112" w:type="pct"/>
            <w:tcBorders>
              <w:top w:val="nil"/>
              <w:left w:val="nil"/>
              <w:bottom w:val="nil"/>
              <w:right w:val="nil"/>
            </w:tcBorders>
          </w:tcPr>
          <w:p w14:paraId="34D60B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2015.year#6.month</w:t>
            </w:r>
          </w:p>
        </w:tc>
        <w:tc>
          <w:tcPr>
            <w:tcW w:w="607" w:type="pct"/>
            <w:tcBorders>
              <w:top w:val="nil"/>
              <w:left w:val="nil"/>
              <w:bottom w:val="nil"/>
              <w:right w:val="nil"/>
            </w:tcBorders>
          </w:tcPr>
          <w:p w14:paraId="1285218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0.0713***</w:t>
            </w:r>
          </w:p>
        </w:tc>
        <w:tc>
          <w:tcPr>
            <w:tcW w:w="1006" w:type="pct"/>
            <w:tcBorders>
              <w:top w:val="nil"/>
              <w:left w:val="nil"/>
              <w:bottom w:val="nil"/>
              <w:right w:val="nil"/>
            </w:tcBorders>
          </w:tcPr>
          <w:p w14:paraId="1863BF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0.101***</w:t>
            </w:r>
          </w:p>
        </w:tc>
        <w:tc>
          <w:tcPr>
            <w:tcW w:w="668" w:type="pct"/>
            <w:tcBorders>
              <w:top w:val="nil"/>
              <w:left w:val="nil"/>
              <w:bottom w:val="nil"/>
              <w:right w:val="nil"/>
            </w:tcBorders>
          </w:tcPr>
          <w:p w14:paraId="45AC4B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0.0328***</w:t>
            </w:r>
          </w:p>
        </w:tc>
        <w:tc>
          <w:tcPr>
            <w:tcW w:w="870" w:type="pct"/>
            <w:tcBorders>
              <w:top w:val="nil"/>
              <w:left w:val="nil"/>
              <w:bottom w:val="nil"/>
              <w:right w:val="nil"/>
            </w:tcBorders>
          </w:tcPr>
          <w:p w14:paraId="7DD633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-0.0134</w:t>
            </w:r>
          </w:p>
        </w:tc>
        <w:tc>
          <w:tcPr>
            <w:tcW w:w="738" w:type="pct"/>
            <w:tcBorders>
              <w:top w:val="nil"/>
              <w:left w:val="nil"/>
              <w:bottom w:val="nil"/>
              <w:right w:val="nil"/>
            </w:tcBorders>
          </w:tcPr>
          <w:p w14:paraId="1D9295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0.0265</w:t>
            </w:r>
          </w:p>
        </w:tc>
      </w:tr>
      <w:tr w:rsidR="00F00E3D" w:rsidRPr="00335312" w14:paraId="47FC08E2" w14:textId="77777777" w:rsidTr="00063AC8">
        <w:trPr>
          <w:jc w:val="center"/>
        </w:trPr>
        <w:tc>
          <w:tcPr>
            <w:tcW w:w="1112" w:type="pct"/>
            <w:tcBorders>
              <w:top w:val="nil"/>
              <w:left w:val="nil"/>
              <w:bottom w:val="nil"/>
              <w:right w:val="nil"/>
            </w:tcBorders>
          </w:tcPr>
          <w:p w14:paraId="082715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E68E6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(9.477)</w:t>
            </w:r>
          </w:p>
        </w:tc>
        <w:tc>
          <w:tcPr>
            <w:tcW w:w="1006" w:type="pct"/>
            <w:tcBorders>
              <w:top w:val="nil"/>
              <w:left w:val="nil"/>
              <w:bottom w:val="nil"/>
              <w:right w:val="nil"/>
            </w:tcBorders>
          </w:tcPr>
          <w:p w14:paraId="796CA4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(10.33)</w:t>
            </w:r>
          </w:p>
        </w:tc>
        <w:tc>
          <w:tcPr>
            <w:tcW w:w="668" w:type="pct"/>
            <w:tcBorders>
              <w:top w:val="nil"/>
              <w:left w:val="nil"/>
              <w:bottom w:val="nil"/>
              <w:right w:val="nil"/>
            </w:tcBorders>
          </w:tcPr>
          <w:p w14:paraId="58016F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(3.094)</w:t>
            </w:r>
          </w:p>
        </w:tc>
        <w:tc>
          <w:tcPr>
            <w:tcW w:w="870" w:type="pct"/>
            <w:tcBorders>
              <w:top w:val="nil"/>
              <w:left w:val="nil"/>
              <w:bottom w:val="nil"/>
              <w:right w:val="nil"/>
            </w:tcBorders>
          </w:tcPr>
          <w:p w14:paraId="4A2F82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(-0.600)</w:t>
            </w:r>
          </w:p>
        </w:tc>
        <w:tc>
          <w:tcPr>
            <w:tcW w:w="738" w:type="pct"/>
            <w:tcBorders>
              <w:top w:val="nil"/>
              <w:left w:val="nil"/>
              <w:bottom w:val="nil"/>
              <w:right w:val="nil"/>
            </w:tcBorders>
          </w:tcPr>
          <w:p w14:paraId="1BB348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(0.728)</w:t>
            </w:r>
          </w:p>
        </w:tc>
      </w:tr>
      <w:tr w:rsidR="00F00E3D" w:rsidRPr="00335312" w14:paraId="547105F3" w14:textId="77777777" w:rsidTr="00063AC8">
        <w:trPr>
          <w:jc w:val="center"/>
        </w:trPr>
        <w:tc>
          <w:tcPr>
            <w:tcW w:w="1112" w:type="pct"/>
            <w:tcBorders>
              <w:top w:val="nil"/>
              <w:left w:val="nil"/>
              <w:bottom w:val="nil"/>
              <w:right w:val="nil"/>
            </w:tcBorders>
          </w:tcPr>
          <w:p w14:paraId="2AED92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2015.year#7.month</w:t>
            </w:r>
          </w:p>
        </w:tc>
        <w:tc>
          <w:tcPr>
            <w:tcW w:w="607" w:type="pct"/>
            <w:tcBorders>
              <w:top w:val="nil"/>
              <w:left w:val="nil"/>
              <w:bottom w:val="nil"/>
              <w:right w:val="nil"/>
            </w:tcBorders>
          </w:tcPr>
          <w:p w14:paraId="772C68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0.0624***</w:t>
            </w:r>
          </w:p>
        </w:tc>
        <w:tc>
          <w:tcPr>
            <w:tcW w:w="1006" w:type="pct"/>
            <w:tcBorders>
              <w:top w:val="nil"/>
              <w:left w:val="nil"/>
              <w:bottom w:val="nil"/>
              <w:right w:val="nil"/>
            </w:tcBorders>
          </w:tcPr>
          <w:p w14:paraId="7DB57F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0.0870***</w:t>
            </w:r>
          </w:p>
        </w:tc>
        <w:tc>
          <w:tcPr>
            <w:tcW w:w="668" w:type="pct"/>
            <w:tcBorders>
              <w:top w:val="nil"/>
              <w:left w:val="nil"/>
              <w:bottom w:val="nil"/>
              <w:right w:val="nil"/>
            </w:tcBorders>
          </w:tcPr>
          <w:p w14:paraId="36D670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0.0296***</w:t>
            </w:r>
          </w:p>
        </w:tc>
        <w:tc>
          <w:tcPr>
            <w:tcW w:w="870" w:type="pct"/>
            <w:tcBorders>
              <w:top w:val="nil"/>
              <w:left w:val="nil"/>
              <w:bottom w:val="nil"/>
              <w:right w:val="nil"/>
            </w:tcBorders>
          </w:tcPr>
          <w:p w14:paraId="5B9C4E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-0.00517</w:t>
            </w:r>
          </w:p>
        </w:tc>
        <w:tc>
          <w:tcPr>
            <w:tcW w:w="738" w:type="pct"/>
            <w:tcBorders>
              <w:top w:val="nil"/>
              <w:left w:val="nil"/>
              <w:bottom w:val="nil"/>
              <w:right w:val="nil"/>
            </w:tcBorders>
          </w:tcPr>
          <w:p w14:paraId="1683AC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-0.0520**</w:t>
            </w:r>
          </w:p>
        </w:tc>
      </w:tr>
      <w:tr w:rsidR="00F00E3D" w:rsidRPr="00335312" w14:paraId="3ECF4DF4" w14:textId="77777777" w:rsidTr="00063AC8">
        <w:trPr>
          <w:jc w:val="center"/>
        </w:trPr>
        <w:tc>
          <w:tcPr>
            <w:tcW w:w="1112" w:type="pct"/>
            <w:tcBorders>
              <w:top w:val="nil"/>
              <w:left w:val="nil"/>
              <w:bottom w:val="nil"/>
              <w:right w:val="nil"/>
            </w:tcBorders>
          </w:tcPr>
          <w:p w14:paraId="0EFE1FA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6123F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(9.325)</w:t>
            </w:r>
          </w:p>
        </w:tc>
        <w:tc>
          <w:tcPr>
            <w:tcW w:w="1006" w:type="pct"/>
            <w:tcBorders>
              <w:top w:val="nil"/>
              <w:left w:val="nil"/>
              <w:bottom w:val="nil"/>
              <w:right w:val="nil"/>
            </w:tcBorders>
          </w:tcPr>
          <w:p w14:paraId="45149A0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(10.66)</w:t>
            </w:r>
          </w:p>
        </w:tc>
        <w:tc>
          <w:tcPr>
            <w:tcW w:w="668" w:type="pct"/>
            <w:tcBorders>
              <w:top w:val="nil"/>
              <w:left w:val="nil"/>
              <w:bottom w:val="nil"/>
              <w:right w:val="nil"/>
            </w:tcBorders>
          </w:tcPr>
          <w:p w14:paraId="426541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(2.925)</w:t>
            </w:r>
          </w:p>
        </w:tc>
        <w:tc>
          <w:tcPr>
            <w:tcW w:w="870" w:type="pct"/>
            <w:tcBorders>
              <w:top w:val="nil"/>
              <w:left w:val="nil"/>
              <w:bottom w:val="nil"/>
              <w:right w:val="nil"/>
            </w:tcBorders>
          </w:tcPr>
          <w:p w14:paraId="41993D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(-0.317)</w:t>
            </w:r>
          </w:p>
        </w:tc>
        <w:tc>
          <w:tcPr>
            <w:tcW w:w="738" w:type="pct"/>
            <w:tcBorders>
              <w:top w:val="nil"/>
              <w:left w:val="nil"/>
              <w:bottom w:val="nil"/>
              <w:right w:val="nil"/>
            </w:tcBorders>
          </w:tcPr>
          <w:p w14:paraId="2ECE63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(-9.043)</w:t>
            </w:r>
          </w:p>
        </w:tc>
      </w:tr>
      <w:tr w:rsidR="00F00E3D" w:rsidRPr="00335312" w14:paraId="03D53AB1" w14:textId="77777777" w:rsidTr="00063AC8">
        <w:trPr>
          <w:jc w:val="center"/>
        </w:trPr>
        <w:tc>
          <w:tcPr>
            <w:tcW w:w="1112" w:type="pct"/>
            <w:tcBorders>
              <w:top w:val="nil"/>
              <w:left w:val="nil"/>
              <w:bottom w:val="nil"/>
              <w:right w:val="nil"/>
            </w:tcBorders>
          </w:tcPr>
          <w:p w14:paraId="31EE69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2015.year#8.month</w:t>
            </w:r>
          </w:p>
        </w:tc>
        <w:tc>
          <w:tcPr>
            <w:tcW w:w="607" w:type="pct"/>
            <w:tcBorders>
              <w:top w:val="nil"/>
              <w:left w:val="nil"/>
              <w:bottom w:val="nil"/>
              <w:right w:val="nil"/>
            </w:tcBorders>
          </w:tcPr>
          <w:p w14:paraId="223FED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0.0774***</w:t>
            </w:r>
          </w:p>
        </w:tc>
        <w:tc>
          <w:tcPr>
            <w:tcW w:w="1006" w:type="pct"/>
            <w:tcBorders>
              <w:top w:val="nil"/>
              <w:left w:val="nil"/>
              <w:bottom w:val="nil"/>
              <w:right w:val="nil"/>
            </w:tcBorders>
          </w:tcPr>
          <w:p w14:paraId="0992135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0.108***</w:t>
            </w:r>
          </w:p>
        </w:tc>
        <w:tc>
          <w:tcPr>
            <w:tcW w:w="668" w:type="pct"/>
            <w:tcBorders>
              <w:top w:val="nil"/>
              <w:left w:val="nil"/>
              <w:bottom w:val="nil"/>
              <w:right w:val="nil"/>
            </w:tcBorders>
          </w:tcPr>
          <w:p w14:paraId="43FD74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0.0369***</w:t>
            </w:r>
          </w:p>
        </w:tc>
        <w:tc>
          <w:tcPr>
            <w:tcW w:w="870" w:type="pct"/>
            <w:tcBorders>
              <w:top w:val="nil"/>
              <w:left w:val="nil"/>
              <w:bottom w:val="nil"/>
              <w:right w:val="nil"/>
            </w:tcBorders>
          </w:tcPr>
          <w:p w14:paraId="6D5844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0.0140</w:t>
            </w:r>
          </w:p>
        </w:tc>
        <w:tc>
          <w:tcPr>
            <w:tcW w:w="738" w:type="pct"/>
            <w:tcBorders>
              <w:top w:val="nil"/>
              <w:left w:val="nil"/>
              <w:bottom w:val="nil"/>
              <w:right w:val="nil"/>
            </w:tcBorders>
          </w:tcPr>
          <w:p w14:paraId="6E45B8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-0.00202</w:t>
            </w:r>
          </w:p>
        </w:tc>
      </w:tr>
      <w:tr w:rsidR="00F00E3D" w:rsidRPr="00335312" w14:paraId="6A7566D9" w14:textId="77777777" w:rsidTr="00063AC8">
        <w:trPr>
          <w:jc w:val="center"/>
        </w:trPr>
        <w:tc>
          <w:tcPr>
            <w:tcW w:w="1112" w:type="pct"/>
            <w:tcBorders>
              <w:top w:val="nil"/>
              <w:left w:val="nil"/>
              <w:bottom w:val="nil"/>
              <w:right w:val="nil"/>
            </w:tcBorders>
          </w:tcPr>
          <w:p w14:paraId="263947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E8769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(11.45)</w:t>
            </w:r>
          </w:p>
        </w:tc>
        <w:tc>
          <w:tcPr>
            <w:tcW w:w="1006" w:type="pct"/>
            <w:tcBorders>
              <w:top w:val="nil"/>
              <w:left w:val="nil"/>
              <w:bottom w:val="nil"/>
              <w:right w:val="nil"/>
            </w:tcBorders>
          </w:tcPr>
          <w:p w14:paraId="2BEE74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(13.18)</w:t>
            </w:r>
          </w:p>
        </w:tc>
        <w:tc>
          <w:tcPr>
            <w:tcW w:w="668" w:type="pct"/>
            <w:tcBorders>
              <w:top w:val="nil"/>
              <w:left w:val="nil"/>
              <w:bottom w:val="nil"/>
              <w:right w:val="nil"/>
            </w:tcBorders>
          </w:tcPr>
          <w:p w14:paraId="7603E4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(3.612)</w:t>
            </w:r>
          </w:p>
        </w:tc>
        <w:tc>
          <w:tcPr>
            <w:tcW w:w="870" w:type="pct"/>
            <w:tcBorders>
              <w:top w:val="nil"/>
              <w:left w:val="nil"/>
              <w:bottom w:val="nil"/>
              <w:right w:val="nil"/>
            </w:tcBorders>
          </w:tcPr>
          <w:p w14:paraId="0E4F5D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(0.714)</w:t>
            </w:r>
          </w:p>
        </w:tc>
        <w:tc>
          <w:tcPr>
            <w:tcW w:w="738" w:type="pct"/>
            <w:tcBorders>
              <w:top w:val="nil"/>
              <w:left w:val="nil"/>
              <w:bottom w:val="nil"/>
              <w:right w:val="nil"/>
            </w:tcBorders>
          </w:tcPr>
          <w:p w14:paraId="15D012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(-0.0411)</w:t>
            </w:r>
          </w:p>
        </w:tc>
      </w:tr>
      <w:tr w:rsidR="00F00E3D" w:rsidRPr="00335312" w14:paraId="7E9DF6A3" w14:textId="77777777" w:rsidTr="00063AC8">
        <w:trPr>
          <w:jc w:val="center"/>
        </w:trPr>
        <w:tc>
          <w:tcPr>
            <w:tcW w:w="1112" w:type="pct"/>
            <w:tcBorders>
              <w:top w:val="nil"/>
              <w:left w:val="nil"/>
              <w:bottom w:val="nil"/>
              <w:right w:val="nil"/>
            </w:tcBorders>
          </w:tcPr>
          <w:p w14:paraId="34F785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2015.year#9.month</w:t>
            </w:r>
          </w:p>
        </w:tc>
        <w:tc>
          <w:tcPr>
            <w:tcW w:w="607" w:type="pct"/>
            <w:tcBorders>
              <w:top w:val="nil"/>
              <w:left w:val="nil"/>
              <w:bottom w:val="nil"/>
              <w:right w:val="nil"/>
            </w:tcBorders>
          </w:tcPr>
          <w:p w14:paraId="16B9EA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0.0803***</w:t>
            </w:r>
          </w:p>
        </w:tc>
        <w:tc>
          <w:tcPr>
            <w:tcW w:w="1006" w:type="pct"/>
            <w:tcBorders>
              <w:top w:val="nil"/>
              <w:left w:val="nil"/>
              <w:bottom w:val="nil"/>
              <w:right w:val="nil"/>
            </w:tcBorders>
          </w:tcPr>
          <w:p w14:paraId="7552B4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0.114***</w:t>
            </w:r>
          </w:p>
        </w:tc>
        <w:tc>
          <w:tcPr>
            <w:tcW w:w="668" w:type="pct"/>
            <w:tcBorders>
              <w:top w:val="nil"/>
              <w:left w:val="nil"/>
              <w:bottom w:val="nil"/>
              <w:right w:val="nil"/>
            </w:tcBorders>
          </w:tcPr>
          <w:p w14:paraId="00DADD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0.0334***</w:t>
            </w:r>
          </w:p>
        </w:tc>
        <w:tc>
          <w:tcPr>
            <w:tcW w:w="870" w:type="pct"/>
            <w:tcBorders>
              <w:top w:val="nil"/>
              <w:left w:val="nil"/>
              <w:bottom w:val="nil"/>
              <w:right w:val="nil"/>
            </w:tcBorders>
          </w:tcPr>
          <w:p w14:paraId="675F7D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0.00805</w:t>
            </w:r>
          </w:p>
        </w:tc>
        <w:tc>
          <w:tcPr>
            <w:tcW w:w="738" w:type="pct"/>
            <w:tcBorders>
              <w:top w:val="nil"/>
              <w:left w:val="nil"/>
              <w:bottom w:val="nil"/>
              <w:right w:val="nil"/>
            </w:tcBorders>
          </w:tcPr>
          <w:p w14:paraId="5560D3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-0.0463</w:t>
            </w:r>
          </w:p>
        </w:tc>
      </w:tr>
      <w:tr w:rsidR="00F00E3D" w:rsidRPr="00335312" w14:paraId="56069C00" w14:textId="77777777" w:rsidTr="00063AC8">
        <w:trPr>
          <w:jc w:val="center"/>
        </w:trPr>
        <w:tc>
          <w:tcPr>
            <w:tcW w:w="1112" w:type="pct"/>
            <w:tcBorders>
              <w:top w:val="nil"/>
              <w:left w:val="nil"/>
              <w:bottom w:val="nil"/>
              <w:right w:val="nil"/>
            </w:tcBorders>
          </w:tcPr>
          <w:p w14:paraId="0D0BCD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8C6D6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(11.60)</w:t>
            </w:r>
          </w:p>
        </w:tc>
        <w:tc>
          <w:tcPr>
            <w:tcW w:w="1006" w:type="pct"/>
            <w:tcBorders>
              <w:top w:val="nil"/>
              <w:left w:val="nil"/>
              <w:bottom w:val="nil"/>
              <w:right w:val="nil"/>
            </w:tcBorders>
          </w:tcPr>
          <w:p w14:paraId="1F2A3C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(14.30)</w:t>
            </w:r>
          </w:p>
        </w:tc>
        <w:tc>
          <w:tcPr>
            <w:tcW w:w="668" w:type="pct"/>
            <w:tcBorders>
              <w:top w:val="nil"/>
              <w:left w:val="nil"/>
              <w:bottom w:val="nil"/>
              <w:right w:val="nil"/>
            </w:tcBorders>
          </w:tcPr>
          <w:p w14:paraId="325A1B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(3.260)</w:t>
            </w:r>
          </w:p>
        </w:tc>
        <w:tc>
          <w:tcPr>
            <w:tcW w:w="870" w:type="pct"/>
            <w:tcBorders>
              <w:top w:val="nil"/>
              <w:left w:val="nil"/>
              <w:bottom w:val="nil"/>
              <w:right w:val="nil"/>
            </w:tcBorders>
          </w:tcPr>
          <w:p w14:paraId="45CC40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(0.450)</w:t>
            </w:r>
          </w:p>
        </w:tc>
        <w:tc>
          <w:tcPr>
            <w:tcW w:w="738" w:type="pct"/>
            <w:tcBorders>
              <w:top w:val="nil"/>
              <w:left w:val="nil"/>
              <w:bottom w:val="nil"/>
              <w:right w:val="nil"/>
            </w:tcBorders>
          </w:tcPr>
          <w:p w14:paraId="47CE72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(-1.161)</w:t>
            </w:r>
          </w:p>
        </w:tc>
      </w:tr>
      <w:tr w:rsidR="00F00E3D" w:rsidRPr="00335312" w14:paraId="32ACBB6A" w14:textId="77777777" w:rsidTr="00063AC8">
        <w:trPr>
          <w:jc w:val="center"/>
        </w:trPr>
        <w:tc>
          <w:tcPr>
            <w:tcW w:w="1112" w:type="pct"/>
            <w:tcBorders>
              <w:top w:val="nil"/>
              <w:left w:val="nil"/>
              <w:bottom w:val="nil"/>
              <w:right w:val="nil"/>
            </w:tcBorders>
          </w:tcPr>
          <w:p w14:paraId="569B7EA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2015.year#10.month</w:t>
            </w:r>
          </w:p>
        </w:tc>
        <w:tc>
          <w:tcPr>
            <w:tcW w:w="607" w:type="pct"/>
            <w:tcBorders>
              <w:top w:val="nil"/>
              <w:left w:val="nil"/>
              <w:bottom w:val="nil"/>
              <w:right w:val="nil"/>
            </w:tcBorders>
          </w:tcPr>
          <w:p w14:paraId="265667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0.0948***</w:t>
            </w:r>
          </w:p>
        </w:tc>
        <w:tc>
          <w:tcPr>
            <w:tcW w:w="1006" w:type="pct"/>
            <w:tcBorders>
              <w:top w:val="nil"/>
              <w:left w:val="nil"/>
              <w:bottom w:val="nil"/>
              <w:right w:val="nil"/>
            </w:tcBorders>
          </w:tcPr>
          <w:p w14:paraId="5BC1A8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0.129***</w:t>
            </w:r>
          </w:p>
        </w:tc>
        <w:tc>
          <w:tcPr>
            <w:tcW w:w="668" w:type="pct"/>
            <w:tcBorders>
              <w:top w:val="nil"/>
              <w:left w:val="nil"/>
              <w:bottom w:val="nil"/>
              <w:right w:val="nil"/>
            </w:tcBorders>
          </w:tcPr>
          <w:p w14:paraId="2F5DBD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0.0487***</w:t>
            </w:r>
          </w:p>
        </w:tc>
        <w:tc>
          <w:tcPr>
            <w:tcW w:w="870" w:type="pct"/>
            <w:tcBorders>
              <w:top w:val="nil"/>
              <w:left w:val="nil"/>
              <w:bottom w:val="nil"/>
              <w:right w:val="nil"/>
            </w:tcBorders>
          </w:tcPr>
          <w:p w14:paraId="3A3550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0.0376**</w:t>
            </w:r>
          </w:p>
        </w:tc>
        <w:tc>
          <w:tcPr>
            <w:tcW w:w="738" w:type="pct"/>
            <w:tcBorders>
              <w:top w:val="nil"/>
              <w:left w:val="nil"/>
              <w:bottom w:val="nil"/>
              <w:right w:val="nil"/>
            </w:tcBorders>
          </w:tcPr>
          <w:p w14:paraId="2A69AA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0.0185</w:t>
            </w:r>
          </w:p>
        </w:tc>
      </w:tr>
      <w:tr w:rsidR="00F00E3D" w:rsidRPr="00335312" w14:paraId="269DCDEA" w14:textId="77777777" w:rsidTr="00063AC8">
        <w:trPr>
          <w:jc w:val="center"/>
        </w:trPr>
        <w:tc>
          <w:tcPr>
            <w:tcW w:w="1112" w:type="pct"/>
            <w:tcBorders>
              <w:top w:val="nil"/>
              <w:left w:val="nil"/>
              <w:bottom w:val="nil"/>
              <w:right w:val="nil"/>
            </w:tcBorders>
          </w:tcPr>
          <w:p w14:paraId="279EA8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CB02C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(14.66)</w:t>
            </w:r>
          </w:p>
        </w:tc>
        <w:tc>
          <w:tcPr>
            <w:tcW w:w="1006" w:type="pct"/>
            <w:tcBorders>
              <w:top w:val="nil"/>
              <w:left w:val="nil"/>
              <w:bottom w:val="nil"/>
              <w:right w:val="nil"/>
            </w:tcBorders>
          </w:tcPr>
          <w:p w14:paraId="5D96A9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(17.25)</w:t>
            </w:r>
          </w:p>
        </w:tc>
        <w:tc>
          <w:tcPr>
            <w:tcW w:w="668" w:type="pct"/>
            <w:tcBorders>
              <w:top w:val="nil"/>
              <w:left w:val="nil"/>
              <w:bottom w:val="nil"/>
              <w:right w:val="nil"/>
            </w:tcBorders>
          </w:tcPr>
          <w:p w14:paraId="77DEE4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(4.952)</w:t>
            </w:r>
          </w:p>
        </w:tc>
        <w:tc>
          <w:tcPr>
            <w:tcW w:w="870" w:type="pct"/>
            <w:tcBorders>
              <w:top w:val="nil"/>
              <w:left w:val="nil"/>
              <w:bottom w:val="nil"/>
              <w:right w:val="nil"/>
            </w:tcBorders>
          </w:tcPr>
          <w:p w14:paraId="3CEE31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(2.050)</w:t>
            </w:r>
          </w:p>
        </w:tc>
        <w:tc>
          <w:tcPr>
            <w:tcW w:w="738" w:type="pct"/>
            <w:tcBorders>
              <w:top w:val="nil"/>
              <w:left w:val="nil"/>
              <w:bottom w:val="nil"/>
              <w:right w:val="nil"/>
            </w:tcBorders>
          </w:tcPr>
          <w:p w14:paraId="18FFC1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(0.727)</w:t>
            </w:r>
          </w:p>
        </w:tc>
      </w:tr>
      <w:tr w:rsidR="00F00E3D" w:rsidRPr="00335312" w14:paraId="42EC5960" w14:textId="77777777" w:rsidTr="00063AC8">
        <w:trPr>
          <w:jc w:val="center"/>
        </w:trPr>
        <w:tc>
          <w:tcPr>
            <w:tcW w:w="1112" w:type="pct"/>
            <w:tcBorders>
              <w:top w:val="nil"/>
              <w:left w:val="nil"/>
              <w:bottom w:val="nil"/>
              <w:right w:val="nil"/>
            </w:tcBorders>
          </w:tcPr>
          <w:p w14:paraId="0EF15A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2015.year#11.month</w:t>
            </w:r>
          </w:p>
        </w:tc>
        <w:tc>
          <w:tcPr>
            <w:tcW w:w="607" w:type="pct"/>
            <w:tcBorders>
              <w:top w:val="nil"/>
              <w:left w:val="nil"/>
              <w:bottom w:val="nil"/>
              <w:right w:val="nil"/>
            </w:tcBorders>
          </w:tcPr>
          <w:p w14:paraId="5C319D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0.0958***</w:t>
            </w:r>
          </w:p>
        </w:tc>
        <w:tc>
          <w:tcPr>
            <w:tcW w:w="1006" w:type="pct"/>
            <w:tcBorders>
              <w:top w:val="nil"/>
              <w:left w:val="nil"/>
              <w:bottom w:val="nil"/>
              <w:right w:val="nil"/>
            </w:tcBorders>
          </w:tcPr>
          <w:p w14:paraId="766BB0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0.127***</w:t>
            </w:r>
          </w:p>
        </w:tc>
        <w:tc>
          <w:tcPr>
            <w:tcW w:w="668" w:type="pct"/>
            <w:tcBorders>
              <w:top w:val="nil"/>
              <w:left w:val="nil"/>
              <w:bottom w:val="nil"/>
              <w:right w:val="nil"/>
            </w:tcBorders>
          </w:tcPr>
          <w:p w14:paraId="1C627E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0.0536***</w:t>
            </w:r>
          </w:p>
        </w:tc>
        <w:tc>
          <w:tcPr>
            <w:tcW w:w="870" w:type="pct"/>
            <w:tcBorders>
              <w:top w:val="nil"/>
              <w:left w:val="nil"/>
              <w:bottom w:val="nil"/>
              <w:right w:val="nil"/>
            </w:tcBorders>
          </w:tcPr>
          <w:p w14:paraId="098C7E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0.0584**</w:t>
            </w:r>
          </w:p>
        </w:tc>
        <w:tc>
          <w:tcPr>
            <w:tcW w:w="738" w:type="pct"/>
            <w:tcBorders>
              <w:top w:val="nil"/>
              <w:left w:val="nil"/>
              <w:bottom w:val="nil"/>
              <w:right w:val="nil"/>
            </w:tcBorders>
          </w:tcPr>
          <w:p w14:paraId="6DF09E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0.0806</w:t>
            </w:r>
          </w:p>
        </w:tc>
      </w:tr>
      <w:tr w:rsidR="00F00E3D" w:rsidRPr="00335312" w14:paraId="6C3FE0AC" w14:textId="77777777" w:rsidTr="00063AC8">
        <w:trPr>
          <w:jc w:val="center"/>
        </w:trPr>
        <w:tc>
          <w:tcPr>
            <w:tcW w:w="1112" w:type="pct"/>
            <w:tcBorders>
              <w:top w:val="nil"/>
              <w:left w:val="nil"/>
              <w:bottom w:val="nil"/>
              <w:right w:val="nil"/>
            </w:tcBorders>
          </w:tcPr>
          <w:p w14:paraId="002D8D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E89B3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(15.25)</w:t>
            </w:r>
          </w:p>
        </w:tc>
        <w:tc>
          <w:tcPr>
            <w:tcW w:w="1006" w:type="pct"/>
            <w:tcBorders>
              <w:top w:val="nil"/>
              <w:left w:val="nil"/>
              <w:bottom w:val="nil"/>
              <w:right w:val="nil"/>
            </w:tcBorders>
          </w:tcPr>
          <w:p w14:paraId="33AB6B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(17.05)</w:t>
            </w:r>
          </w:p>
        </w:tc>
        <w:tc>
          <w:tcPr>
            <w:tcW w:w="668" w:type="pct"/>
            <w:tcBorders>
              <w:top w:val="nil"/>
              <w:left w:val="nil"/>
              <w:bottom w:val="nil"/>
              <w:right w:val="nil"/>
            </w:tcBorders>
          </w:tcPr>
          <w:p w14:paraId="5241AE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(5.526)</w:t>
            </w:r>
          </w:p>
        </w:tc>
        <w:tc>
          <w:tcPr>
            <w:tcW w:w="870" w:type="pct"/>
            <w:tcBorders>
              <w:top w:val="nil"/>
              <w:left w:val="nil"/>
              <w:bottom w:val="nil"/>
              <w:right w:val="nil"/>
            </w:tcBorders>
          </w:tcPr>
          <w:p w14:paraId="3CBF84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(2.341)</w:t>
            </w:r>
          </w:p>
        </w:tc>
        <w:tc>
          <w:tcPr>
            <w:tcW w:w="738" w:type="pct"/>
            <w:tcBorders>
              <w:top w:val="nil"/>
              <w:left w:val="nil"/>
              <w:bottom w:val="nil"/>
              <w:right w:val="nil"/>
            </w:tcBorders>
          </w:tcPr>
          <w:p w14:paraId="1A41E0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(2.119)</w:t>
            </w:r>
          </w:p>
        </w:tc>
      </w:tr>
      <w:tr w:rsidR="00F00E3D" w:rsidRPr="00335312" w14:paraId="1F4E933D" w14:textId="77777777" w:rsidTr="00063AC8">
        <w:trPr>
          <w:jc w:val="center"/>
        </w:trPr>
        <w:tc>
          <w:tcPr>
            <w:tcW w:w="1112" w:type="pct"/>
            <w:tcBorders>
              <w:top w:val="nil"/>
              <w:left w:val="nil"/>
              <w:bottom w:val="nil"/>
              <w:right w:val="nil"/>
            </w:tcBorders>
          </w:tcPr>
          <w:p w14:paraId="699B17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2015.year#12.month</w:t>
            </w:r>
          </w:p>
        </w:tc>
        <w:tc>
          <w:tcPr>
            <w:tcW w:w="607" w:type="pct"/>
            <w:tcBorders>
              <w:top w:val="nil"/>
              <w:left w:val="nil"/>
              <w:bottom w:val="nil"/>
              <w:right w:val="nil"/>
            </w:tcBorders>
          </w:tcPr>
          <w:p w14:paraId="7DDD9A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0.0946***</w:t>
            </w:r>
          </w:p>
        </w:tc>
        <w:tc>
          <w:tcPr>
            <w:tcW w:w="1006" w:type="pct"/>
            <w:tcBorders>
              <w:top w:val="nil"/>
              <w:left w:val="nil"/>
              <w:bottom w:val="nil"/>
              <w:right w:val="nil"/>
            </w:tcBorders>
          </w:tcPr>
          <w:p w14:paraId="396C5B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0.120***</w:t>
            </w:r>
          </w:p>
        </w:tc>
        <w:tc>
          <w:tcPr>
            <w:tcW w:w="668" w:type="pct"/>
            <w:tcBorders>
              <w:top w:val="nil"/>
              <w:left w:val="nil"/>
              <w:bottom w:val="nil"/>
              <w:right w:val="nil"/>
            </w:tcBorders>
          </w:tcPr>
          <w:p w14:paraId="0CF4FD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0.0609***</w:t>
            </w:r>
          </w:p>
        </w:tc>
        <w:tc>
          <w:tcPr>
            <w:tcW w:w="870" w:type="pct"/>
            <w:tcBorders>
              <w:top w:val="nil"/>
              <w:left w:val="nil"/>
              <w:bottom w:val="nil"/>
              <w:right w:val="nil"/>
            </w:tcBorders>
          </w:tcPr>
          <w:p w14:paraId="2DB625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0.0156</w:t>
            </w:r>
          </w:p>
        </w:tc>
        <w:tc>
          <w:tcPr>
            <w:tcW w:w="738" w:type="pct"/>
            <w:tcBorders>
              <w:top w:val="nil"/>
              <w:left w:val="nil"/>
              <w:bottom w:val="nil"/>
              <w:right w:val="nil"/>
            </w:tcBorders>
          </w:tcPr>
          <w:p w14:paraId="3FB8602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-0.0326</w:t>
            </w:r>
          </w:p>
        </w:tc>
      </w:tr>
      <w:tr w:rsidR="00F00E3D" w:rsidRPr="00335312" w14:paraId="46DE02DC" w14:textId="77777777" w:rsidTr="00063AC8">
        <w:trPr>
          <w:jc w:val="center"/>
        </w:trPr>
        <w:tc>
          <w:tcPr>
            <w:tcW w:w="1112" w:type="pct"/>
            <w:tcBorders>
              <w:top w:val="nil"/>
              <w:left w:val="nil"/>
              <w:bottom w:val="nil"/>
              <w:right w:val="nil"/>
            </w:tcBorders>
          </w:tcPr>
          <w:p w14:paraId="24734C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647AD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(15.65)</w:t>
            </w:r>
          </w:p>
        </w:tc>
        <w:tc>
          <w:tcPr>
            <w:tcW w:w="1006" w:type="pct"/>
            <w:tcBorders>
              <w:top w:val="nil"/>
              <w:left w:val="nil"/>
              <w:bottom w:val="nil"/>
              <w:right w:val="nil"/>
            </w:tcBorders>
          </w:tcPr>
          <w:p w14:paraId="36C82D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(15.62)</w:t>
            </w:r>
          </w:p>
        </w:tc>
        <w:tc>
          <w:tcPr>
            <w:tcW w:w="668" w:type="pct"/>
            <w:tcBorders>
              <w:top w:val="nil"/>
              <w:left w:val="nil"/>
              <w:bottom w:val="nil"/>
              <w:right w:val="nil"/>
            </w:tcBorders>
          </w:tcPr>
          <w:p w14:paraId="388F72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(7.069)</w:t>
            </w:r>
          </w:p>
        </w:tc>
        <w:tc>
          <w:tcPr>
            <w:tcW w:w="870" w:type="pct"/>
            <w:tcBorders>
              <w:top w:val="nil"/>
              <w:left w:val="nil"/>
              <w:bottom w:val="nil"/>
              <w:right w:val="nil"/>
            </w:tcBorders>
          </w:tcPr>
          <w:p w14:paraId="721BB2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(0.725)</w:t>
            </w:r>
          </w:p>
        </w:tc>
        <w:tc>
          <w:tcPr>
            <w:tcW w:w="738" w:type="pct"/>
            <w:tcBorders>
              <w:top w:val="nil"/>
              <w:left w:val="nil"/>
              <w:bottom w:val="nil"/>
              <w:right w:val="nil"/>
            </w:tcBorders>
          </w:tcPr>
          <w:p w14:paraId="2B9D26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(-0.682)</w:t>
            </w:r>
          </w:p>
        </w:tc>
      </w:tr>
      <w:tr w:rsidR="00F00E3D" w:rsidRPr="00335312" w14:paraId="588985AD" w14:textId="77777777" w:rsidTr="00063AC8">
        <w:trPr>
          <w:jc w:val="center"/>
        </w:trPr>
        <w:tc>
          <w:tcPr>
            <w:tcW w:w="1112" w:type="pct"/>
            <w:tcBorders>
              <w:top w:val="nil"/>
              <w:left w:val="nil"/>
              <w:bottom w:val="nil"/>
              <w:right w:val="nil"/>
            </w:tcBorders>
          </w:tcPr>
          <w:p w14:paraId="4E209E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2016.year#1.month</w:t>
            </w:r>
          </w:p>
        </w:tc>
        <w:tc>
          <w:tcPr>
            <w:tcW w:w="607" w:type="pct"/>
            <w:tcBorders>
              <w:top w:val="nil"/>
              <w:left w:val="nil"/>
              <w:bottom w:val="nil"/>
              <w:right w:val="nil"/>
            </w:tcBorders>
          </w:tcPr>
          <w:p w14:paraId="547B88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0.0922***</w:t>
            </w:r>
          </w:p>
        </w:tc>
        <w:tc>
          <w:tcPr>
            <w:tcW w:w="1006" w:type="pct"/>
            <w:tcBorders>
              <w:top w:val="nil"/>
              <w:left w:val="nil"/>
              <w:bottom w:val="nil"/>
              <w:right w:val="nil"/>
            </w:tcBorders>
          </w:tcPr>
          <w:p w14:paraId="2231BA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0.119***</w:t>
            </w:r>
          </w:p>
        </w:tc>
        <w:tc>
          <w:tcPr>
            <w:tcW w:w="668" w:type="pct"/>
            <w:tcBorders>
              <w:top w:val="nil"/>
              <w:left w:val="nil"/>
              <w:bottom w:val="nil"/>
              <w:right w:val="nil"/>
            </w:tcBorders>
          </w:tcPr>
          <w:p w14:paraId="68BD32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0.0534***</w:t>
            </w:r>
          </w:p>
        </w:tc>
        <w:tc>
          <w:tcPr>
            <w:tcW w:w="870" w:type="pct"/>
            <w:tcBorders>
              <w:top w:val="nil"/>
              <w:left w:val="nil"/>
              <w:bottom w:val="nil"/>
              <w:right w:val="nil"/>
            </w:tcBorders>
          </w:tcPr>
          <w:p w14:paraId="3D3864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0.0381**</w:t>
            </w:r>
          </w:p>
        </w:tc>
        <w:tc>
          <w:tcPr>
            <w:tcW w:w="738" w:type="pct"/>
            <w:tcBorders>
              <w:top w:val="nil"/>
              <w:left w:val="nil"/>
              <w:bottom w:val="nil"/>
              <w:right w:val="nil"/>
            </w:tcBorders>
          </w:tcPr>
          <w:p w14:paraId="378731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0.0104</w:t>
            </w:r>
          </w:p>
        </w:tc>
      </w:tr>
      <w:tr w:rsidR="00F00E3D" w:rsidRPr="00335312" w14:paraId="48A59A6D" w14:textId="77777777" w:rsidTr="00063AC8">
        <w:trPr>
          <w:jc w:val="center"/>
        </w:trPr>
        <w:tc>
          <w:tcPr>
            <w:tcW w:w="1112" w:type="pct"/>
            <w:tcBorders>
              <w:top w:val="nil"/>
              <w:left w:val="nil"/>
              <w:bottom w:val="nil"/>
              <w:right w:val="nil"/>
            </w:tcBorders>
          </w:tcPr>
          <w:p w14:paraId="2EDA10C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EC3188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(14.95)</w:t>
            </w:r>
          </w:p>
        </w:tc>
        <w:tc>
          <w:tcPr>
            <w:tcW w:w="1006" w:type="pct"/>
            <w:tcBorders>
              <w:top w:val="nil"/>
              <w:left w:val="nil"/>
              <w:bottom w:val="nil"/>
              <w:right w:val="nil"/>
            </w:tcBorders>
          </w:tcPr>
          <w:p w14:paraId="1D9008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(16.57)</w:t>
            </w:r>
          </w:p>
        </w:tc>
        <w:tc>
          <w:tcPr>
            <w:tcW w:w="668" w:type="pct"/>
            <w:tcBorders>
              <w:top w:val="nil"/>
              <w:left w:val="nil"/>
              <w:bottom w:val="nil"/>
              <w:right w:val="nil"/>
            </w:tcBorders>
          </w:tcPr>
          <w:p w14:paraId="39945F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(5.486)</w:t>
            </w:r>
          </w:p>
        </w:tc>
        <w:tc>
          <w:tcPr>
            <w:tcW w:w="870" w:type="pct"/>
            <w:tcBorders>
              <w:top w:val="nil"/>
              <w:left w:val="nil"/>
              <w:bottom w:val="nil"/>
              <w:right w:val="nil"/>
            </w:tcBorders>
          </w:tcPr>
          <w:p w14:paraId="0C1EEF5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(2.383)</w:t>
            </w:r>
          </w:p>
        </w:tc>
        <w:tc>
          <w:tcPr>
            <w:tcW w:w="738" w:type="pct"/>
            <w:tcBorders>
              <w:top w:val="nil"/>
              <w:left w:val="nil"/>
              <w:bottom w:val="nil"/>
              <w:right w:val="nil"/>
            </w:tcBorders>
          </w:tcPr>
          <w:p w14:paraId="19CF81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(0.383)</w:t>
            </w:r>
          </w:p>
        </w:tc>
      </w:tr>
      <w:tr w:rsidR="00F00E3D" w:rsidRPr="00335312" w14:paraId="0AA61C15" w14:textId="77777777" w:rsidTr="00063AC8">
        <w:trPr>
          <w:jc w:val="center"/>
        </w:trPr>
        <w:tc>
          <w:tcPr>
            <w:tcW w:w="1112" w:type="pct"/>
            <w:tcBorders>
              <w:top w:val="nil"/>
              <w:left w:val="nil"/>
              <w:bottom w:val="nil"/>
              <w:right w:val="nil"/>
            </w:tcBorders>
          </w:tcPr>
          <w:p w14:paraId="142221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2016.year#2.month</w:t>
            </w:r>
          </w:p>
        </w:tc>
        <w:tc>
          <w:tcPr>
            <w:tcW w:w="607" w:type="pct"/>
            <w:tcBorders>
              <w:top w:val="nil"/>
              <w:left w:val="nil"/>
              <w:bottom w:val="nil"/>
              <w:right w:val="nil"/>
            </w:tcBorders>
          </w:tcPr>
          <w:p w14:paraId="7C63D79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0.109***</w:t>
            </w:r>
          </w:p>
        </w:tc>
        <w:tc>
          <w:tcPr>
            <w:tcW w:w="1006" w:type="pct"/>
            <w:tcBorders>
              <w:top w:val="nil"/>
              <w:left w:val="nil"/>
              <w:bottom w:val="nil"/>
              <w:right w:val="nil"/>
            </w:tcBorders>
          </w:tcPr>
          <w:p w14:paraId="1D53AA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0.140***</w:t>
            </w:r>
          </w:p>
        </w:tc>
        <w:tc>
          <w:tcPr>
            <w:tcW w:w="668" w:type="pct"/>
            <w:tcBorders>
              <w:top w:val="nil"/>
              <w:left w:val="nil"/>
              <w:bottom w:val="nil"/>
              <w:right w:val="nil"/>
            </w:tcBorders>
          </w:tcPr>
          <w:p w14:paraId="2DAEC2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0.0661***</w:t>
            </w:r>
          </w:p>
        </w:tc>
        <w:tc>
          <w:tcPr>
            <w:tcW w:w="870" w:type="pct"/>
            <w:tcBorders>
              <w:top w:val="nil"/>
              <w:left w:val="nil"/>
              <w:bottom w:val="nil"/>
              <w:right w:val="nil"/>
            </w:tcBorders>
          </w:tcPr>
          <w:p w14:paraId="2466DC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0.0440**</w:t>
            </w:r>
          </w:p>
        </w:tc>
        <w:tc>
          <w:tcPr>
            <w:tcW w:w="738" w:type="pct"/>
            <w:tcBorders>
              <w:top w:val="nil"/>
              <w:left w:val="nil"/>
              <w:bottom w:val="nil"/>
              <w:right w:val="nil"/>
            </w:tcBorders>
          </w:tcPr>
          <w:p w14:paraId="191D0D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-0.0138</w:t>
            </w:r>
          </w:p>
        </w:tc>
      </w:tr>
      <w:tr w:rsidR="00F00E3D" w:rsidRPr="00335312" w14:paraId="351B3F0A" w14:textId="77777777" w:rsidTr="00063AC8">
        <w:trPr>
          <w:jc w:val="center"/>
        </w:trPr>
        <w:tc>
          <w:tcPr>
            <w:tcW w:w="1112" w:type="pct"/>
            <w:tcBorders>
              <w:top w:val="nil"/>
              <w:left w:val="nil"/>
              <w:bottom w:val="nil"/>
              <w:right w:val="nil"/>
            </w:tcBorders>
          </w:tcPr>
          <w:p w14:paraId="218FF9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B54C3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(17.37)</w:t>
            </w:r>
          </w:p>
        </w:tc>
        <w:tc>
          <w:tcPr>
            <w:tcW w:w="1006" w:type="pct"/>
            <w:tcBorders>
              <w:top w:val="nil"/>
              <w:left w:val="nil"/>
              <w:bottom w:val="nil"/>
              <w:right w:val="nil"/>
            </w:tcBorders>
          </w:tcPr>
          <w:p w14:paraId="6DD04F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(19.57)</w:t>
            </w:r>
          </w:p>
        </w:tc>
        <w:tc>
          <w:tcPr>
            <w:tcW w:w="668" w:type="pct"/>
            <w:tcBorders>
              <w:top w:val="nil"/>
              <w:left w:val="nil"/>
              <w:bottom w:val="nil"/>
              <w:right w:val="nil"/>
            </w:tcBorders>
          </w:tcPr>
          <w:p w14:paraId="6B894CA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(6.742)</w:t>
            </w:r>
          </w:p>
        </w:tc>
        <w:tc>
          <w:tcPr>
            <w:tcW w:w="870" w:type="pct"/>
            <w:tcBorders>
              <w:top w:val="nil"/>
              <w:left w:val="nil"/>
              <w:bottom w:val="nil"/>
              <w:right w:val="nil"/>
            </w:tcBorders>
          </w:tcPr>
          <w:p w14:paraId="0D4FBBB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(2.021)</w:t>
            </w:r>
          </w:p>
        </w:tc>
        <w:tc>
          <w:tcPr>
            <w:tcW w:w="738" w:type="pct"/>
            <w:tcBorders>
              <w:top w:val="nil"/>
              <w:left w:val="nil"/>
              <w:bottom w:val="nil"/>
              <w:right w:val="nil"/>
            </w:tcBorders>
          </w:tcPr>
          <w:p w14:paraId="46E0B2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(-0.435)</w:t>
            </w:r>
          </w:p>
        </w:tc>
      </w:tr>
      <w:tr w:rsidR="00F00E3D" w:rsidRPr="00335312" w14:paraId="426AAF12" w14:textId="77777777" w:rsidTr="00063AC8">
        <w:trPr>
          <w:jc w:val="center"/>
        </w:trPr>
        <w:tc>
          <w:tcPr>
            <w:tcW w:w="1112" w:type="pct"/>
            <w:tcBorders>
              <w:top w:val="nil"/>
              <w:left w:val="nil"/>
              <w:bottom w:val="nil"/>
              <w:right w:val="nil"/>
            </w:tcBorders>
          </w:tcPr>
          <w:p w14:paraId="714E43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2016.year#3.month</w:t>
            </w:r>
          </w:p>
        </w:tc>
        <w:tc>
          <w:tcPr>
            <w:tcW w:w="607" w:type="pct"/>
            <w:tcBorders>
              <w:top w:val="nil"/>
              <w:left w:val="nil"/>
              <w:bottom w:val="nil"/>
              <w:right w:val="nil"/>
            </w:tcBorders>
          </w:tcPr>
          <w:p w14:paraId="628C72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0.112***</w:t>
            </w:r>
          </w:p>
        </w:tc>
        <w:tc>
          <w:tcPr>
            <w:tcW w:w="1006" w:type="pct"/>
            <w:tcBorders>
              <w:top w:val="nil"/>
              <w:left w:val="nil"/>
              <w:bottom w:val="nil"/>
              <w:right w:val="nil"/>
            </w:tcBorders>
          </w:tcPr>
          <w:p w14:paraId="4122E62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0.141***</w:t>
            </w:r>
          </w:p>
        </w:tc>
        <w:tc>
          <w:tcPr>
            <w:tcW w:w="668" w:type="pct"/>
            <w:tcBorders>
              <w:top w:val="nil"/>
              <w:left w:val="nil"/>
              <w:bottom w:val="nil"/>
              <w:right w:val="nil"/>
            </w:tcBorders>
          </w:tcPr>
          <w:p w14:paraId="72E4A5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0.0734***</w:t>
            </w:r>
          </w:p>
        </w:tc>
        <w:tc>
          <w:tcPr>
            <w:tcW w:w="870" w:type="pct"/>
            <w:tcBorders>
              <w:top w:val="nil"/>
              <w:left w:val="nil"/>
              <w:bottom w:val="nil"/>
              <w:right w:val="nil"/>
            </w:tcBorders>
          </w:tcPr>
          <w:p w14:paraId="48BACEA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0.0459**</w:t>
            </w:r>
          </w:p>
        </w:tc>
        <w:tc>
          <w:tcPr>
            <w:tcW w:w="738" w:type="pct"/>
            <w:tcBorders>
              <w:top w:val="nil"/>
              <w:left w:val="nil"/>
              <w:bottom w:val="nil"/>
              <w:right w:val="nil"/>
            </w:tcBorders>
          </w:tcPr>
          <w:p w14:paraId="419669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0.00887</w:t>
            </w:r>
          </w:p>
        </w:tc>
      </w:tr>
      <w:tr w:rsidR="00F00E3D" w:rsidRPr="00335312" w14:paraId="4625D6CD" w14:textId="77777777" w:rsidTr="00063AC8">
        <w:trPr>
          <w:jc w:val="center"/>
        </w:trPr>
        <w:tc>
          <w:tcPr>
            <w:tcW w:w="1112" w:type="pct"/>
            <w:tcBorders>
              <w:top w:val="nil"/>
              <w:left w:val="nil"/>
              <w:bottom w:val="nil"/>
              <w:right w:val="nil"/>
            </w:tcBorders>
          </w:tcPr>
          <w:p w14:paraId="11CB16B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7322C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(16.64)</w:t>
            </w:r>
          </w:p>
        </w:tc>
        <w:tc>
          <w:tcPr>
            <w:tcW w:w="1006" w:type="pct"/>
            <w:tcBorders>
              <w:top w:val="nil"/>
              <w:left w:val="nil"/>
              <w:bottom w:val="nil"/>
              <w:right w:val="nil"/>
            </w:tcBorders>
          </w:tcPr>
          <w:p w14:paraId="1AF1D1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(17.50)</w:t>
            </w:r>
          </w:p>
        </w:tc>
        <w:tc>
          <w:tcPr>
            <w:tcW w:w="668" w:type="pct"/>
            <w:tcBorders>
              <w:top w:val="nil"/>
              <w:left w:val="nil"/>
              <w:bottom w:val="nil"/>
              <w:right w:val="nil"/>
            </w:tcBorders>
          </w:tcPr>
          <w:p w14:paraId="4A0748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(7.269)</w:t>
            </w:r>
          </w:p>
        </w:tc>
        <w:tc>
          <w:tcPr>
            <w:tcW w:w="870" w:type="pct"/>
            <w:tcBorders>
              <w:top w:val="nil"/>
              <w:left w:val="nil"/>
              <w:bottom w:val="nil"/>
              <w:right w:val="nil"/>
            </w:tcBorders>
          </w:tcPr>
          <w:p w14:paraId="14875D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(2.384)</w:t>
            </w:r>
          </w:p>
        </w:tc>
        <w:tc>
          <w:tcPr>
            <w:tcW w:w="738" w:type="pct"/>
            <w:tcBorders>
              <w:top w:val="nil"/>
              <w:left w:val="nil"/>
              <w:bottom w:val="nil"/>
              <w:right w:val="nil"/>
            </w:tcBorders>
          </w:tcPr>
          <w:p w14:paraId="280AECA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(0.320)</w:t>
            </w:r>
          </w:p>
        </w:tc>
      </w:tr>
      <w:tr w:rsidR="00F00E3D" w:rsidRPr="00335312" w14:paraId="66F5A83E" w14:textId="77777777" w:rsidTr="00063AC8">
        <w:trPr>
          <w:jc w:val="center"/>
        </w:trPr>
        <w:tc>
          <w:tcPr>
            <w:tcW w:w="1112" w:type="pct"/>
            <w:tcBorders>
              <w:top w:val="nil"/>
              <w:left w:val="nil"/>
              <w:bottom w:val="nil"/>
              <w:right w:val="nil"/>
            </w:tcBorders>
          </w:tcPr>
          <w:p w14:paraId="34AE54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2016.year#4.month</w:t>
            </w:r>
          </w:p>
        </w:tc>
        <w:tc>
          <w:tcPr>
            <w:tcW w:w="607" w:type="pct"/>
            <w:tcBorders>
              <w:top w:val="nil"/>
              <w:left w:val="nil"/>
              <w:bottom w:val="nil"/>
              <w:right w:val="nil"/>
            </w:tcBorders>
          </w:tcPr>
          <w:p w14:paraId="1EE437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0.114***</w:t>
            </w:r>
          </w:p>
        </w:tc>
        <w:tc>
          <w:tcPr>
            <w:tcW w:w="1006" w:type="pct"/>
            <w:tcBorders>
              <w:top w:val="nil"/>
              <w:left w:val="nil"/>
              <w:bottom w:val="nil"/>
              <w:right w:val="nil"/>
            </w:tcBorders>
          </w:tcPr>
          <w:p w14:paraId="344097E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0.148***</w:t>
            </w:r>
          </w:p>
        </w:tc>
        <w:tc>
          <w:tcPr>
            <w:tcW w:w="668" w:type="pct"/>
            <w:tcBorders>
              <w:top w:val="nil"/>
              <w:left w:val="nil"/>
              <w:bottom w:val="nil"/>
              <w:right w:val="nil"/>
            </w:tcBorders>
          </w:tcPr>
          <w:p w14:paraId="2D0FE7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0.0669***</w:t>
            </w:r>
          </w:p>
        </w:tc>
        <w:tc>
          <w:tcPr>
            <w:tcW w:w="870" w:type="pct"/>
            <w:tcBorders>
              <w:top w:val="nil"/>
              <w:left w:val="nil"/>
              <w:bottom w:val="nil"/>
              <w:right w:val="nil"/>
            </w:tcBorders>
          </w:tcPr>
          <w:p w14:paraId="5640A6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0.0447***</w:t>
            </w:r>
          </w:p>
        </w:tc>
        <w:tc>
          <w:tcPr>
            <w:tcW w:w="738" w:type="pct"/>
            <w:tcBorders>
              <w:top w:val="nil"/>
              <w:left w:val="nil"/>
              <w:bottom w:val="nil"/>
              <w:right w:val="nil"/>
            </w:tcBorders>
          </w:tcPr>
          <w:p w14:paraId="0942E9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0.0295</w:t>
            </w:r>
          </w:p>
        </w:tc>
      </w:tr>
      <w:tr w:rsidR="00F00E3D" w:rsidRPr="00335312" w14:paraId="4C107785" w14:textId="77777777" w:rsidTr="00063AC8">
        <w:trPr>
          <w:jc w:val="center"/>
        </w:trPr>
        <w:tc>
          <w:tcPr>
            <w:tcW w:w="1112" w:type="pct"/>
            <w:tcBorders>
              <w:top w:val="nil"/>
              <w:left w:val="nil"/>
              <w:bottom w:val="nil"/>
              <w:right w:val="nil"/>
            </w:tcBorders>
          </w:tcPr>
          <w:p w14:paraId="794440E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A7A5A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(18.00)</w:t>
            </w:r>
          </w:p>
        </w:tc>
        <w:tc>
          <w:tcPr>
            <w:tcW w:w="1006" w:type="pct"/>
            <w:tcBorders>
              <w:top w:val="nil"/>
              <w:left w:val="nil"/>
              <w:bottom w:val="nil"/>
              <w:right w:val="nil"/>
            </w:tcBorders>
          </w:tcPr>
          <w:p w14:paraId="52DC60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(20.02)</w:t>
            </w:r>
          </w:p>
        </w:tc>
        <w:tc>
          <w:tcPr>
            <w:tcW w:w="668" w:type="pct"/>
            <w:tcBorders>
              <w:top w:val="nil"/>
              <w:left w:val="nil"/>
              <w:bottom w:val="nil"/>
              <w:right w:val="nil"/>
            </w:tcBorders>
          </w:tcPr>
          <w:p w14:paraId="6B7F98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(7.080)</w:t>
            </w:r>
          </w:p>
        </w:tc>
        <w:tc>
          <w:tcPr>
            <w:tcW w:w="870" w:type="pct"/>
            <w:tcBorders>
              <w:top w:val="nil"/>
              <w:left w:val="nil"/>
              <w:bottom w:val="nil"/>
              <w:right w:val="nil"/>
            </w:tcBorders>
          </w:tcPr>
          <w:p w14:paraId="191C74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(2.831)</w:t>
            </w:r>
          </w:p>
        </w:tc>
        <w:tc>
          <w:tcPr>
            <w:tcW w:w="738" w:type="pct"/>
            <w:tcBorders>
              <w:top w:val="nil"/>
              <w:left w:val="nil"/>
              <w:bottom w:val="nil"/>
              <w:right w:val="nil"/>
            </w:tcBorders>
          </w:tcPr>
          <w:p w14:paraId="73B6EF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(2.142)</w:t>
            </w:r>
          </w:p>
        </w:tc>
      </w:tr>
      <w:tr w:rsidR="00F00E3D" w:rsidRPr="00335312" w14:paraId="3A7B26BD" w14:textId="77777777" w:rsidTr="00063AC8">
        <w:trPr>
          <w:jc w:val="center"/>
        </w:trPr>
        <w:tc>
          <w:tcPr>
            <w:tcW w:w="1112" w:type="pct"/>
            <w:tcBorders>
              <w:top w:val="nil"/>
              <w:left w:val="nil"/>
              <w:bottom w:val="nil"/>
              <w:right w:val="nil"/>
            </w:tcBorders>
          </w:tcPr>
          <w:p w14:paraId="2EC602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2016.year#5.month</w:t>
            </w:r>
          </w:p>
        </w:tc>
        <w:tc>
          <w:tcPr>
            <w:tcW w:w="607" w:type="pct"/>
            <w:tcBorders>
              <w:top w:val="nil"/>
              <w:left w:val="nil"/>
              <w:bottom w:val="nil"/>
              <w:right w:val="nil"/>
            </w:tcBorders>
          </w:tcPr>
          <w:p w14:paraId="7D6867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0.122***</w:t>
            </w:r>
          </w:p>
        </w:tc>
        <w:tc>
          <w:tcPr>
            <w:tcW w:w="1006" w:type="pct"/>
            <w:tcBorders>
              <w:top w:val="nil"/>
              <w:left w:val="nil"/>
              <w:bottom w:val="nil"/>
              <w:right w:val="nil"/>
            </w:tcBorders>
          </w:tcPr>
          <w:p w14:paraId="295FE7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0.162***</w:t>
            </w:r>
          </w:p>
        </w:tc>
        <w:tc>
          <w:tcPr>
            <w:tcW w:w="668" w:type="pct"/>
            <w:tcBorders>
              <w:top w:val="nil"/>
              <w:left w:val="nil"/>
              <w:bottom w:val="nil"/>
              <w:right w:val="nil"/>
            </w:tcBorders>
          </w:tcPr>
          <w:p w14:paraId="5F494AA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0.0648***</w:t>
            </w:r>
          </w:p>
        </w:tc>
        <w:tc>
          <w:tcPr>
            <w:tcW w:w="870" w:type="pct"/>
            <w:tcBorders>
              <w:top w:val="nil"/>
              <w:left w:val="nil"/>
              <w:bottom w:val="nil"/>
              <w:right w:val="nil"/>
            </w:tcBorders>
          </w:tcPr>
          <w:p w14:paraId="19C17C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0.0624***</w:t>
            </w:r>
          </w:p>
        </w:tc>
        <w:tc>
          <w:tcPr>
            <w:tcW w:w="738" w:type="pct"/>
            <w:tcBorders>
              <w:top w:val="nil"/>
              <w:left w:val="nil"/>
              <w:bottom w:val="nil"/>
              <w:right w:val="nil"/>
            </w:tcBorders>
          </w:tcPr>
          <w:p w14:paraId="2EDB9F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-0.00407</w:t>
            </w:r>
          </w:p>
        </w:tc>
      </w:tr>
      <w:tr w:rsidR="00F00E3D" w:rsidRPr="00335312" w14:paraId="7081B353" w14:textId="77777777" w:rsidTr="00063AC8">
        <w:trPr>
          <w:jc w:val="center"/>
        </w:trPr>
        <w:tc>
          <w:tcPr>
            <w:tcW w:w="1112" w:type="pct"/>
            <w:tcBorders>
              <w:top w:val="nil"/>
              <w:left w:val="nil"/>
              <w:bottom w:val="nil"/>
              <w:right w:val="nil"/>
            </w:tcBorders>
          </w:tcPr>
          <w:p w14:paraId="2189EB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3172C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(18.39)</w:t>
            </w:r>
          </w:p>
        </w:tc>
        <w:tc>
          <w:tcPr>
            <w:tcW w:w="1006" w:type="pct"/>
            <w:tcBorders>
              <w:top w:val="nil"/>
              <w:left w:val="nil"/>
              <w:bottom w:val="nil"/>
              <w:right w:val="nil"/>
            </w:tcBorders>
          </w:tcPr>
          <w:p w14:paraId="6B0B2D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(19.97)</w:t>
            </w:r>
          </w:p>
        </w:tc>
        <w:tc>
          <w:tcPr>
            <w:tcW w:w="668" w:type="pct"/>
            <w:tcBorders>
              <w:top w:val="nil"/>
              <w:left w:val="nil"/>
              <w:bottom w:val="nil"/>
              <w:right w:val="nil"/>
            </w:tcBorders>
          </w:tcPr>
          <w:p w14:paraId="26DBD7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(7.154)</w:t>
            </w:r>
          </w:p>
        </w:tc>
        <w:tc>
          <w:tcPr>
            <w:tcW w:w="870" w:type="pct"/>
            <w:tcBorders>
              <w:top w:val="nil"/>
              <w:left w:val="nil"/>
              <w:bottom w:val="nil"/>
              <w:right w:val="nil"/>
            </w:tcBorders>
          </w:tcPr>
          <w:p w14:paraId="5AD960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(3.309)</w:t>
            </w:r>
          </w:p>
        </w:tc>
        <w:tc>
          <w:tcPr>
            <w:tcW w:w="738" w:type="pct"/>
            <w:tcBorders>
              <w:top w:val="nil"/>
              <w:left w:val="nil"/>
              <w:bottom w:val="nil"/>
              <w:right w:val="nil"/>
            </w:tcBorders>
          </w:tcPr>
          <w:p w14:paraId="6063D2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(-0.528)</w:t>
            </w:r>
          </w:p>
        </w:tc>
      </w:tr>
      <w:tr w:rsidR="00F00E3D" w:rsidRPr="00335312" w14:paraId="1AF9403D" w14:textId="77777777" w:rsidTr="00063AC8">
        <w:trPr>
          <w:jc w:val="center"/>
        </w:trPr>
        <w:tc>
          <w:tcPr>
            <w:tcW w:w="1112" w:type="pct"/>
            <w:tcBorders>
              <w:top w:val="nil"/>
              <w:left w:val="nil"/>
              <w:bottom w:val="nil"/>
              <w:right w:val="nil"/>
            </w:tcBorders>
          </w:tcPr>
          <w:p w14:paraId="3AC967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2016.year#6.month</w:t>
            </w:r>
          </w:p>
        </w:tc>
        <w:tc>
          <w:tcPr>
            <w:tcW w:w="607" w:type="pct"/>
            <w:tcBorders>
              <w:top w:val="nil"/>
              <w:left w:val="nil"/>
              <w:bottom w:val="nil"/>
              <w:right w:val="nil"/>
            </w:tcBorders>
          </w:tcPr>
          <w:p w14:paraId="5BA1AA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0.128***</w:t>
            </w:r>
          </w:p>
        </w:tc>
        <w:tc>
          <w:tcPr>
            <w:tcW w:w="1006" w:type="pct"/>
            <w:tcBorders>
              <w:top w:val="nil"/>
              <w:left w:val="nil"/>
              <w:bottom w:val="nil"/>
              <w:right w:val="nil"/>
            </w:tcBorders>
          </w:tcPr>
          <w:p w14:paraId="6416D2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0.171***</w:t>
            </w:r>
          </w:p>
        </w:tc>
        <w:tc>
          <w:tcPr>
            <w:tcW w:w="668" w:type="pct"/>
            <w:tcBorders>
              <w:top w:val="nil"/>
              <w:left w:val="nil"/>
              <w:bottom w:val="nil"/>
              <w:right w:val="nil"/>
            </w:tcBorders>
          </w:tcPr>
          <w:p w14:paraId="5AA7CE6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0.0658***</w:t>
            </w:r>
          </w:p>
        </w:tc>
        <w:tc>
          <w:tcPr>
            <w:tcW w:w="870" w:type="pct"/>
            <w:tcBorders>
              <w:top w:val="nil"/>
              <w:left w:val="nil"/>
              <w:bottom w:val="nil"/>
              <w:right w:val="nil"/>
            </w:tcBorders>
          </w:tcPr>
          <w:p w14:paraId="72A637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0.0422**</w:t>
            </w:r>
          </w:p>
        </w:tc>
        <w:tc>
          <w:tcPr>
            <w:tcW w:w="738" w:type="pct"/>
            <w:tcBorders>
              <w:top w:val="nil"/>
              <w:left w:val="nil"/>
              <w:bottom w:val="nil"/>
              <w:right w:val="nil"/>
            </w:tcBorders>
          </w:tcPr>
          <w:p w14:paraId="6DB02E9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0.0622</w:t>
            </w:r>
          </w:p>
        </w:tc>
      </w:tr>
      <w:tr w:rsidR="00F00E3D" w:rsidRPr="00335312" w14:paraId="1352AB5D" w14:textId="77777777" w:rsidTr="00063AC8">
        <w:trPr>
          <w:jc w:val="center"/>
        </w:trPr>
        <w:tc>
          <w:tcPr>
            <w:tcW w:w="1112" w:type="pct"/>
            <w:tcBorders>
              <w:top w:val="nil"/>
              <w:left w:val="nil"/>
              <w:bottom w:val="nil"/>
              <w:right w:val="nil"/>
            </w:tcBorders>
          </w:tcPr>
          <w:p w14:paraId="672219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24216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(17.88)</w:t>
            </w:r>
          </w:p>
        </w:tc>
        <w:tc>
          <w:tcPr>
            <w:tcW w:w="1006" w:type="pct"/>
            <w:tcBorders>
              <w:top w:val="nil"/>
              <w:left w:val="nil"/>
              <w:bottom w:val="nil"/>
              <w:right w:val="nil"/>
            </w:tcBorders>
          </w:tcPr>
          <w:p w14:paraId="5C5D07C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(19.65)</w:t>
            </w:r>
          </w:p>
        </w:tc>
        <w:tc>
          <w:tcPr>
            <w:tcW w:w="668" w:type="pct"/>
            <w:tcBorders>
              <w:top w:val="nil"/>
              <w:left w:val="nil"/>
              <w:bottom w:val="nil"/>
              <w:right w:val="nil"/>
            </w:tcBorders>
          </w:tcPr>
          <w:p w14:paraId="7800CF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(6.893)</w:t>
            </w:r>
          </w:p>
        </w:tc>
        <w:tc>
          <w:tcPr>
            <w:tcW w:w="870" w:type="pct"/>
            <w:tcBorders>
              <w:top w:val="nil"/>
              <w:left w:val="nil"/>
              <w:bottom w:val="nil"/>
              <w:right w:val="nil"/>
            </w:tcBorders>
          </w:tcPr>
          <w:p w14:paraId="5223BE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(2.041)</w:t>
            </w:r>
          </w:p>
        </w:tc>
        <w:tc>
          <w:tcPr>
            <w:tcW w:w="738" w:type="pct"/>
            <w:tcBorders>
              <w:top w:val="nil"/>
              <w:left w:val="nil"/>
              <w:bottom w:val="nil"/>
              <w:right w:val="nil"/>
            </w:tcBorders>
          </w:tcPr>
          <w:p w14:paraId="4040DC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(0.840)</w:t>
            </w:r>
          </w:p>
        </w:tc>
      </w:tr>
      <w:tr w:rsidR="00F00E3D" w:rsidRPr="00335312" w14:paraId="3A61E911" w14:textId="77777777" w:rsidTr="00063AC8">
        <w:trPr>
          <w:jc w:val="center"/>
        </w:trPr>
        <w:tc>
          <w:tcPr>
            <w:tcW w:w="1112" w:type="pct"/>
            <w:tcBorders>
              <w:top w:val="nil"/>
              <w:left w:val="nil"/>
              <w:bottom w:val="nil"/>
              <w:right w:val="nil"/>
            </w:tcBorders>
          </w:tcPr>
          <w:p w14:paraId="6584BE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2016.year#7.month</w:t>
            </w:r>
          </w:p>
        </w:tc>
        <w:tc>
          <w:tcPr>
            <w:tcW w:w="607" w:type="pct"/>
            <w:tcBorders>
              <w:top w:val="nil"/>
              <w:left w:val="nil"/>
              <w:bottom w:val="nil"/>
              <w:right w:val="nil"/>
            </w:tcBorders>
          </w:tcPr>
          <w:p w14:paraId="308D9C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0.122***</w:t>
            </w:r>
          </w:p>
        </w:tc>
        <w:tc>
          <w:tcPr>
            <w:tcW w:w="1006" w:type="pct"/>
            <w:tcBorders>
              <w:top w:val="nil"/>
              <w:left w:val="nil"/>
              <w:bottom w:val="nil"/>
              <w:right w:val="nil"/>
            </w:tcBorders>
          </w:tcPr>
          <w:p w14:paraId="43B8DB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0.159***</w:t>
            </w:r>
          </w:p>
        </w:tc>
        <w:tc>
          <w:tcPr>
            <w:tcW w:w="668" w:type="pct"/>
            <w:tcBorders>
              <w:top w:val="nil"/>
              <w:left w:val="nil"/>
              <w:bottom w:val="nil"/>
              <w:right w:val="nil"/>
            </w:tcBorders>
          </w:tcPr>
          <w:p w14:paraId="25DAB4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0.0710***</w:t>
            </w:r>
          </w:p>
        </w:tc>
        <w:tc>
          <w:tcPr>
            <w:tcW w:w="870" w:type="pct"/>
            <w:tcBorders>
              <w:top w:val="nil"/>
              <w:left w:val="nil"/>
              <w:bottom w:val="nil"/>
              <w:right w:val="nil"/>
            </w:tcBorders>
          </w:tcPr>
          <w:p w14:paraId="5255CB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0.0551***</w:t>
            </w:r>
          </w:p>
        </w:tc>
        <w:tc>
          <w:tcPr>
            <w:tcW w:w="738" w:type="pct"/>
            <w:tcBorders>
              <w:top w:val="nil"/>
              <w:left w:val="nil"/>
              <w:bottom w:val="nil"/>
              <w:right w:val="nil"/>
            </w:tcBorders>
          </w:tcPr>
          <w:p w14:paraId="407DEF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0.0314</w:t>
            </w:r>
          </w:p>
        </w:tc>
      </w:tr>
      <w:tr w:rsidR="00F00E3D" w:rsidRPr="00335312" w14:paraId="615D8CA7" w14:textId="77777777" w:rsidTr="00063AC8">
        <w:trPr>
          <w:jc w:val="center"/>
        </w:trPr>
        <w:tc>
          <w:tcPr>
            <w:tcW w:w="1112" w:type="pct"/>
            <w:tcBorders>
              <w:top w:val="nil"/>
              <w:left w:val="nil"/>
              <w:bottom w:val="nil"/>
              <w:right w:val="nil"/>
            </w:tcBorders>
          </w:tcPr>
          <w:p w14:paraId="593703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E9796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(18.52)</w:t>
            </w:r>
          </w:p>
        </w:tc>
        <w:tc>
          <w:tcPr>
            <w:tcW w:w="1006" w:type="pct"/>
            <w:tcBorders>
              <w:top w:val="nil"/>
              <w:left w:val="nil"/>
              <w:bottom w:val="nil"/>
              <w:right w:val="nil"/>
            </w:tcBorders>
          </w:tcPr>
          <w:p w14:paraId="087C07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(20.51)</w:t>
            </w:r>
          </w:p>
        </w:tc>
        <w:tc>
          <w:tcPr>
            <w:tcW w:w="668" w:type="pct"/>
            <w:tcBorders>
              <w:top w:val="nil"/>
              <w:left w:val="nil"/>
              <w:bottom w:val="nil"/>
              <w:right w:val="nil"/>
            </w:tcBorders>
          </w:tcPr>
          <w:p w14:paraId="193D2F0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(7.466)</w:t>
            </w:r>
          </w:p>
        </w:tc>
        <w:tc>
          <w:tcPr>
            <w:tcW w:w="870" w:type="pct"/>
            <w:tcBorders>
              <w:top w:val="nil"/>
              <w:left w:val="nil"/>
              <w:bottom w:val="nil"/>
              <w:right w:val="nil"/>
            </w:tcBorders>
          </w:tcPr>
          <w:p w14:paraId="5B414E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(3.030)</w:t>
            </w:r>
          </w:p>
        </w:tc>
        <w:tc>
          <w:tcPr>
            <w:tcW w:w="738" w:type="pct"/>
            <w:tcBorders>
              <w:top w:val="nil"/>
              <w:left w:val="nil"/>
              <w:bottom w:val="nil"/>
              <w:right w:val="nil"/>
            </w:tcBorders>
          </w:tcPr>
          <w:p w14:paraId="7360BD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(2.669)</w:t>
            </w:r>
          </w:p>
        </w:tc>
      </w:tr>
      <w:tr w:rsidR="00F00E3D" w:rsidRPr="00335312" w14:paraId="6B3D2F36" w14:textId="77777777" w:rsidTr="00063AC8">
        <w:trPr>
          <w:jc w:val="center"/>
        </w:trPr>
        <w:tc>
          <w:tcPr>
            <w:tcW w:w="1112" w:type="pct"/>
            <w:tcBorders>
              <w:top w:val="nil"/>
              <w:left w:val="nil"/>
              <w:bottom w:val="nil"/>
              <w:right w:val="nil"/>
            </w:tcBorders>
          </w:tcPr>
          <w:p w14:paraId="5CE9CB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2016.year#8.month</w:t>
            </w:r>
          </w:p>
        </w:tc>
        <w:tc>
          <w:tcPr>
            <w:tcW w:w="607" w:type="pct"/>
            <w:tcBorders>
              <w:top w:val="nil"/>
              <w:left w:val="nil"/>
              <w:bottom w:val="nil"/>
              <w:right w:val="nil"/>
            </w:tcBorders>
          </w:tcPr>
          <w:p w14:paraId="1024FF8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0.143***</w:t>
            </w:r>
          </w:p>
        </w:tc>
        <w:tc>
          <w:tcPr>
            <w:tcW w:w="1006" w:type="pct"/>
            <w:tcBorders>
              <w:top w:val="nil"/>
              <w:left w:val="nil"/>
              <w:bottom w:val="nil"/>
              <w:right w:val="nil"/>
            </w:tcBorders>
          </w:tcPr>
          <w:p w14:paraId="766C9B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0.186***</w:t>
            </w:r>
          </w:p>
        </w:tc>
        <w:tc>
          <w:tcPr>
            <w:tcW w:w="668" w:type="pct"/>
            <w:tcBorders>
              <w:top w:val="nil"/>
              <w:left w:val="nil"/>
              <w:bottom w:val="nil"/>
              <w:right w:val="nil"/>
            </w:tcBorders>
          </w:tcPr>
          <w:p w14:paraId="3F96E1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0.0821***</w:t>
            </w:r>
          </w:p>
        </w:tc>
        <w:tc>
          <w:tcPr>
            <w:tcW w:w="870" w:type="pct"/>
            <w:tcBorders>
              <w:top w:val="nil"/>
              <w:left w:val="nil"/>
              <w:bottom w:val="nil"/>
              <w:right w:val="nil"/>
            </w:tcBorders>
          </w:tcPr>
          <w:p w14:paraId="1A6467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0.0663***</w:t>
            </w:r>
          </w:p>
        </w:tc>
        <w:tc>
          <w:tcPr>
            <w:tcW w:w="738" w:type="pct"/>
            <w:tcBorders>
              <w:top w:val="nil"/>
              <w:left w:val="nil"/>
              <w:bottom w:val="nil"/>
              <w:right w:val="nil"/>
            </w:tcBorders>
          </w:tcPr>
          <w:p w14:paraId="18D62B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0.0402</w:t>
            </w:r>
          </w:p>
        </w:tc>
      </w:tr>
      <w:tr w:rsidR="00F00E3D" w:rsidRPr="00335312" w14:paraId="132B8B50" w14:textId="77777777" w:rsidTr="00063AC8">
        <w:trPr>
          <w:jc w:val="center"/>
        </w:trPr>
        <w:tc>
          <w:tcPr>
            <w:tcW w:w="1112" w:type="pct"/>
            <w:tcBorders>
              <w:top w:val="nil"/>
              <w:left w:val="nil"/>
              <w:bottom w:val="nil"/>
              <w:right w:val="nil"/>
            </w:tcBorders>
          </w:tcPr>
          <w:p w14:paraId="254927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269F2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(20.21)</w:t>
            </w:r>
          </w:p>
        </w:tc>
        <w:tc>
          <w:tcPr>
            <w:tcW w:w="1006" w:type="pct"/>
            <w:tcBorders>
              <w:top w:val="nil"/>
              <w:left w:val="nil"/>
              <w:bottom w:val="nil"/>
              <w:right w:val="nil"/>
            </w:tcBorders>
          </w:tcPr>
          <w:p w14:paraId="358B1D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(23.73)</w:t>
            </w:r>
          </w:p>
        </w:tc>
        <w:tc>
          <w:tcPr>
            <w:tcW w:w="668" w:type="pct"/>
            <w:tcBorders>
              <w:top w:val="nil"/>
              <w:left w:val="nil"/>
              <w:bottom w:val="nil"/>
              <w:right w:val="nil"/>
            </w:tcBorders>
          </w:tcPr>
          <w:p w14:paraId="34F127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(7.608)</w:t>
            </w:r>
          </w:p>
        </w:tc>
        <w:tc>
          <w:tcPr>
            <w:tcW w:w="870" w:type="pct"/>
            <w:tcBorders>
              <w:top w:val="nil"/>
              <w:left w:val="nil"/>
              <w:bottom w:val="nil"/>
              <w:right w:val="nil"/>
            </w:tcBorders>
          </w:tcPr>
          <w:p w14:paraId="227FF1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(3.100)</w:t>
            </w:r>
          </w:p>
        </w:tc>
        <w:tc>
          <w:tcPr>
            <w:tcW w:w="738" w:type="pct"/>
            <w:tcBorders>
              <w:top w:val="nil"/>
              <w:left w:val="nil"/>
              <w:bottom w:val="nil"/>
              <w:right w:val="nil"/>
            </w:tcBorders>
          </w:tcPr>
          <w:p w14:paraId="2159F5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(1.381)</w:t>
            </w:r>
          </w:p>
        </w:tc>
      </w:tr>
      <w:tr w:rsidR="00F00E3D" w:rsidRPr="00335312" w14:paraId="70F0A1E1" w14:textId="77777777" w:rsidTr="00063AC8">
        <w:trPr>
          <w:jc w:val="center"/>
        </w:trPr>
        <w:tc>
          <w:tcPr>
            <w:tcW w:w="1112" w:type="pct"/>
            <w:tcBorders>
              <w:top w:val="nil"/>
              <w:left w:val="nil"/>
              <w:bottom w:val="nil"/>
              <w:right w:val="nil"/>
            </w:tcBorders>
          </w:tcPr>
          <w:p w14:paraId="088C39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2016.year#9.month</w:t>
            </w:r>
          </w:p>
        </w:tc>
        <w:tc>
          <w:tcPr>
            <w:tcW w:w="607" w:type="pct"/>
            <w:tcBorders>
              <w:top w:val="nil"/>
              <w:left w:val="nil"/>
              <w:bottom w:val="nil"/>
              <w:right w:val="nil"/>
            </w:tcBorders>
          </w:tcPr>
          <w:p w14:paraId="069261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0.160***</w:t>
            </w:r>
          </w:p>
        </w:tc>
        <w:tc>
          <w:tcPr>
            <w:tcW w:w="1006" w:type="pct"/>
            <w:tcBorders>
              <w:top w:val="nil"/>
              <w:left w:val="nil"/>
              <w:bottom w:val="nil"/>
              <w:right w:val="nil"/>
            </w:tcBorders>
          </w:tcPr>
          <w:p w14:paraId="38A36D3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0.205***</w:t>
            </w:r>
          </w:p>
        </w:tc>
        <w:tc>
          <w:tcPr>
            <w:tcW w:w="668" w:type="pct"/>
            <w:tcBorders>
              <w:top w:val="nil"/>
              <w:left w:val="nil"/>
              <w:bottom w:val="nil"/>
              <w:right w:val="nil"/>
            </w:tcBorders>
          </w:tcPr>
          <w:p w14:paraId="70A2E5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0.0932***</w:t>
            </w:r>
          </w:p>
        </w:tc>
        <w:tc>
          <w:tcPr>
            <w:tcW w:w="870" w:type="pct"/>
            <w:tcBorders>
              <w:top w:val="nil"/>
              <w:left w:val="nil"/>
              <w:bottom w:val="nil"/>
              <w:right w:val="nil"/>
            </w:tcBorders>
          </w:tcPr>
          <w:p w14:paraId="343AE5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0.0736***</w:t>
            </w:r>
          </w:p>
        </w:tc>
        <w:tc>
          <w:tcPr>
            <w:tcW w:w="738" w:type="pct"/>
            <w:tcBorders>
              <w:top w:val="nil"/>
              <w:left w:val="nil"/>
              <w:bottom w:val="nil"/>
              <w:right w:val="nil"/>
            </w:tcBorders>
          </w:tcPr>
          <w:p w14:paraId="52931D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0.0214</w:t>
            </w:r>
          </w:p>
        </w:tc>
      </w:tr>
      <w:tr w:rsidR="00F00E3D" w:rsidRPr="00335312" w14:paraId="640EC524" w14:textId="77777777" w:rsidTr="00063AC8">
        <w:trPr>
          <w:jc w:val="center"/>
        </w:trPr>
        <w:tc>
          <w:tcPr>
            <w:tcW w:w="1112" w:type="pct"/>
            <w:tcBorders>
              <w:top w:val="nil"/>
              <w:left w:val="nil"/>
              <w:bottom w:val="nil"/>
              <w:right w:val="nil"/>
            </w:tcBorders>
          </w:tcPr>
          <w:p w14:paraId="5A7F34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D0214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(24.03)</w:t>
            </w:r>
          </w:p>
        </w:tc>
        <w:tc>
          <w:tcPr>
            <w:tcW w:w="1006" w:type="pct"/>
            <w:tcBorders>
              <w:top w:val="nil"/>
              <w:left w:val="nil"/>
              <w:bottom w:val="nil"/>
              <w:right w:val="nil"/>
            </w:tcBorders>
          </w:tcPr>
          <w:p w14:paraId="33DCC8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(26.62)</w:t>
            </w:r>
          </w:p>
        </w:tc>
        <w:tc>
          <w:tcPr>
            <w:tcW w:w="668" w:type="pct"/>
            <w:tcBorders>
              <w:top w:val="nil"/>
              <w:left w:val="nil"/>
              <w:bottom w:val="nil"/>
              <w:right w:val="nil"/>
            </w:tcBorders>
          </w:tcPr>
          <w:p w14:paraId="37F3D4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(9.472)</w:t>
            </w:r>
          </w:p>
        </w:tc>
        <w:tc>
          <w:tcPr>
            <w:tcW w:w="870" w:type="pct"/>
            <w:tcBorders>
              <w:top w:val="nil"/>
              <w:left w:val="nil"/>
              <w:bottom w:val="nil"/>
              <w:right w:val="nil"/>
            </w:tcBorders>
          </w:tcPr>
          <w:p w14:paraId="201F64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(4.348)</w:t>
            </w:r>
          </w:p>
        </w:tc>
        <w:tc>
          <w:tcPr>
            <w:tcW w:w="738" w:type="pct"/>
            <w:tcBorders>
              <w:top w:val="nil"/>
              <w:left w:val="nil"/>
              <w:bottom w:val="nil"/>
              <w:right w:val="nil"/>
            </w:tcBorders>
          </w:tcPr>
          <w:p w14:paraId="6F712E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(1.451)</w:t>
            </w:r>
          </w:p>
        </w:tc>
      </w:tr>
      <w:tr w:rsidR="00F00E3D" w:rsidRPr="00335312" w14:paraId="70926DE2" w14:textId="77777777" w:rsidTr="00063AC8">
        <w:trPr>
          <w:jc w:val="center"/>
        </w:trPr>
        <w:tc>
          <w:tcPr>
            <w:tcW w:w="1112" w:type="pct"/>
            <w:tcBorders>
              <w:top w:val="nil"/>
              <w:left w:val="nil"/>
              <w:bottom w:val="nil"/>
              <w:right w:val="nil"/>
            </w:tcBorders>
          </w:tcPr>
          <w:p w14:paraId="25ADE3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2016.year#10.month</w:t>
            </w:r>
          </w:p>
        </w:tc>
        <w:tc>
          <w:tcPr>
            <w:tcW w:w="607" w:type="pct"/>
            <w:tcBorders>
              <w:top w:val="nil"/>
              <w:left w:val="nil"/>
              <w:bottom w:val="nil"/>
              <w:right w:val="nil"/>
            </w:tcBorders>
          </w:tcPr>
          <w:p w14:paraId="1AEE1A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0.175***</w:t>
            </w:r>
          </w:p>
        </w:tc>
        <w:tc>
          <w:tcPr>
            <w:tcW w:w="1006" w:type="pct"/>
            <w:tcBorders>
              <w:top w:val="nil"/>
              <w:left w:val="nil"/>
              <w:bottom w:val="nil"/>
              <w:right w:val="nil"/>
            </w:tcBorders>
          </w:tcPr>
          <w:p w14:paraId="3B8C2F6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0.225***</w:t>
            </w:r>
          </w:p>
        </w:tc>
        <w:tc>
          <w:tcPr>
            <w:tcW w:w="668" w:type="pct"/>
            <w:tcBorders>
              <w:top w:val="nil"/>
              <w:left w:val="nil"/>
              <w:bottom w:val="nil"/>
              <w:right w:val="nil"/>
            </w:tcBorders>
          </w:tcPr>
          <w:p w14:paraId="0C0317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0.101***</w:t>
            </w:r>
          </w:p>
        </w:tc>
        <w:tc>
          <w:tcPr>
            <w:tcW w:w="870" w:type="pct"/>
            <w:tcBorders>
              <w:top w:val="nil"/>
              <w:left w:val="nil"/>
              <w:bottom w:val="nil"/>
              <w:right w:val="nil"/>
            </w:tcBorders>
          </w:tcPr>
          <w:p w14:paraId="6D99F9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0.0977***</w:t>
            </w:r>
          </w:p>
        </w:tc>
        <w:tc>
          <w:tcPr>
            <w:tcW w:w="738" w:type="pct"/>
            <w:tcBorders>
              <w:top w:val="nil"/>
              <w:left w:val="nil"/>
              <w:bottom w:val="nil"/>
              <w:right w:val="nil"/>
            </w:tcBorders>
          </w:tcPr>
          <w:p w14:paraId="46F2ED9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0.0605</w:t>
            </w:r>
          </w:p>
        </w:tc>
      </w:tr>
      <w:tr w:rsidR="00F00E3D" w:rsidRPr="00335312" w14:paraId="4090BEE6" w14:textId="77777777" w:rsidTr="00063AC8">
        <w:trPr>
          <w:jc w:val="center"/>
        </w:trPr>
        <w:tc>
          <w:tcPr>
            <w:tcW w:w="1112" w:type="pct"/>
            <w:tcBorders>
              <w:top w:val="nil"/>
              <w:left w:val="nil"/>
              <w:bottom w:val="nil"/>
              <w:right w:val="nil"/>
            </w:tcBorders>
          </w:tcPr>
          <w:p w14:paraId="3C8E6C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EEE6F6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(24.45)</w:t>
            </w:r>
          </w:p>
        </w:tc>
        <w:tc>
          <w:tcPr>
            <w:tcW w:w="1006" w:type="pct"/>
            <w:tcBorders>
              <w:top w:val="nil"/>
              <w:left w:val="nil"/>
              <w:bottom w:val="nil"/>
              <w:right w:val="nil"/>
            </w:tcBorders>
          </w:tcPr>
          <w:p w14:paraId="5C343C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(27.11)</w:t>
            </w:r>
          </w:p>
        </w:tc>
        <w:tc>
          <w:tcPr>
            <w:tcW w:w="668" w:type="pct"/>
            <w:tcBorders>
              <w:top w:val="nil"/>
              <w:left w:val="nil"/>
              <w:bottom w:val="nil"/>
              <w:right w:val="nil"/>
            </w:tcBorders>
          </w:tcPr>
          <w:p w14:paraId="5AF9275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(10.38)</w:t>
            </w:r>
          </w:p>
        </w:tc>
        <w:tc>
          <w:tcPr>
            <w:tcW w:w="870" w:type="pct"/>
            <w:tcBorders>
              <w:top w:val="nil"/>
              <w:left w:val="nil"/>
              <w:bottom w:val="nil"/>
              <w:right w:val="nil"/>
            </w:tcBorders>
          </w:tcPr>
          <w:p w14:paraId="236618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(6.023)</w:t>
            </w:r>
          </w:p>
        </w:tc>
        <w:tc>
          <w:tcPr>
            <w:tcW w:w="738" w:type="pct"/>
            <w:tcBorders>
              <w:top w:val="nil"/>
              <w:left w:val="nil"/>
              <w:bottom w:val="nil"/>
              <w:right w:val="nil"/>
            </w:tcBorders>
          </w:tcPr>
          <w:p w14:paraId="1ED085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(1.461)</w:t>
            </w:r>
          </w:p>
        </w:tc>
      </w:tr>
      <w:tr w:rsidR="00F00E3D" w:rsidRPr="00335312" w14:paraId="321A0778" w14:textId="77777777" w:rsidTr="00063AC8">
        <w:trPr>
          <w:jc w:val="center"/>
        </w:trPr>
        <w:tc>
          <w:tcPr>
            <w:tcW w:w="1112" w:type="pct"/>
            <w:tcBorders>
              <w:top w:val="nil"/>
              <w:left w:val="nil"/>
              <w:bottom w:val="nil"/>
              <w:right w:val="nil"/>
            </w:tcBorders>
          </w:tcPr>
          <w:p w14:paraId="0BF84A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2016.year#11.month</w:t>
            </w:r>
          </w:p>
        </w:tc>
        <w:tc>
          <w:tcPr>
            <w:tcW w:w="607" w:type="pct"/>
            <w:tcBorders>
              <w:top w:val="nil"/>
              <w:left w:val="nil"/>
              <w:bottom w:val="nil"/>
              <w:right w:val="nil"/>
            </w:tcBorders>
          </w:tcPr>
          <w:p w14:paraId="4F6064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0.184***</w:t>
            </w:r>
          </w:p>
        </w:tc>
        <w:tc>
          <w:tcPr>
            <w:tcW w:w="1006" w:type="pct"/>
            <w:tcBorders>
              <w:top w:val="nil"/>
              <w:left w:val="nil"/>
              <w:bottom w:val="nil"/>
              <w:right w:val="nil"/>
            </w:tcBorders>
          </w:tcPr>
          <w:p w14:paraId="4009125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0.237***</w:t>
            </w:r>
          </w:p>
        </w:tc>
        <w:tc>
          <w:tcPr>
            <w:tcW w:w="668" w:type="pct"/>
            <w:tcBorders>
              <w:top w:val="nil"/>
              <w:left w:val="nil"/>
              <w:bottom w:val="nil"/>
              <w:right w:val="nil"/>
            </w:tcBorders>
          </w:tcPr>
          <w:p w14:paraId="3710D6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0.108***</w:t>
            </w:r>
          </w:p>
        </w:tc>
        <w:tc>
          <w:tcPr>
            <w:tcW w:w="870" w:type="pct"/>
            <w:tcBorders>
              <w:top w:val="nil"/>
              <w:left w:val="nil"/>
              <w:bottom w:val="nil"/>
              <w:right w:val="nil"/>
            </w:tcBorders>
          </w:tcPr>
          <w:p w14:paraId="1C11A3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0.0822***</w:t>
            </w:r>
          </w:p>
        </w:tc>
        <w:tc>
          <w:tcPr>
            <w:tcW w:w="738" w:type="pct"/>
            <w:tcBorders>
              <w:top w:val="nil"/>
              <w:left w:val="nil"/>
              <w:bottom w:val="nil"/>
              <w:right w:val="nil"/>
            </w:tcBorders>
          </w:tcPr>
          <w:p w14:paraId="6BC9A7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0.0311*</w:t>
            </w:r>
          </w:p>
        </w:tc>
      </w:tr>
      <w:tr w:rsidR="00F00E3D" w:rsidRPr="00335312" w14:paraId="507BA78F" w14:textId="77777777" w:rsidTr="00063AC8">
        <w:trPr>
          <w:jc w:val="center"/>
        </w:trPr>
        <w:tc>
          <w:tcPr>
            <w:tcW w:w="1112" w:type="pct"/>
            <w:tcBorders>
              <w:top w:val="nil"/>
              <w:left w:val="nil"/>
              <w:bottom w:val="nil"/>
              <w:right w:val="nil"/>
            </w:tcBorders>
          </w:tcPr>
          <w:p w14:paraId="2B9D62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FD9D0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(24.50)</w:t>
            </w:r>
          </w:p>
        </w:tc>
        <w:tc>
          <w:tcPr>
            <w:tcW w:w="1006" w:type="pct"/>
            <w:tcBorders>
              <w:top w:val="nil"/>
              <w:left w:val="nil"/>
              <w:bottom w:val="nil"/>
              <w:right w:val="nil"/>
            </w:tcBorders>
          </w:tcPr>
          <w:p w14:paraId="721BCB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(26.89)</w:t>
            </w:r>
          </w:p>
        </w:tc>
        <w:tc>
          <w:tcPr>
            <w:tcW w:w="668" w:type="pct"/>
            <w:tcBorders>
              <w:top w:val="nil"/>
              <w:left w:val="nil"/>
              <w:bottom w:val="nil"/>
              <w:right w:val="nil"/>
            </w:tcBorders>
          </w:tcPr>
          <w:p w14:paraId="2F6C9B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(10.60)</w:t>
            </w:r>
          </w:p>
        </w:tc>
        <w:tc>
          <w:tcPr>
            <w:tcW w:w="870" w:type="pct"/>
            <w:tcBorders>
              <w:top w:val="nil"/>
              <w:left w:val="nil"/>
              <w:bottom w:val="nil"/>
              <w:right w:val="nil"/>
            </w:tcBorders>
          </w:tcPr>
          <w:p w14:paraId="749440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(4.016)</w:t>
            </w:r>
          </w:p>
        </w:tc>
        <w:tc>
          <w:tcPr>
            <w:tcW w:w="738" w:type="pct"/>
            <w:tcBorders>
              <w:top w:val="nil"/>
              <w:left w:val="nil"/>
              <w:bottom w:val="nil"/>
              <w:right w:val="nil"/>
            </w:tcBorders>
          </w:tcPr>
          <w:p w14:paraId="768111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(4.032)</w:t>
            </w:r>
          </w:p>
        </w:tc>
      </w:tr>
      <w:tr w:rsidR="00F00E3D" w:rsidRPr="00335312" w14:paraId="02AFFBA2" w14:textId="77777777" w:rsidTr="00063AC8">
        <w:trPr>
          <w:jc w:val="center"/>
        </w:trPr>
        <w:tc>
          <w:tcPr>
            <w:tcW w:w="1112" w:type="pct"/>
            <w:tcBorders>
              <w:top w:val="nil"/>
              <w:left w:val="nil"/>
              <w:bottom w:val="nil"/>
              <w:right w:val="nil"/>
            </w:tcBorders>
          </w:tcPr>
          <w:p w14:paraId="32D801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2016.year#12.month</w:t>
            </w:r>
          </w:p>
        </w:tc>
        <w:tc>
          <w:tcPr>
            <w:tcW w:w="607" w:type="pct"/>
            <w:tcBorders>
              <w:top w:val="nil"/>
              <w:left w:val="nil"/>
              <w:bottom w:val="nil"/>
              <w:right w:val="nil"/>
            </w:tcBorders>
          </w:tcPr>
          <w:p w14:paraId="23B1E8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0.192***</w:t>
            </w:r>
          </w:p>
        </w:tc>
        <w:tc>
          <w:tcPr>
            <w:tcW w:w="1006" w:type="pct"/>
            <w:tcBorders>
              <w:top w:val="nil"/>
              <w:left w:val="nil"/>
              <w:bottom w:val="nil"/>
              <w:right w:val="nil"/>
            </w:tcBorders>
          </w:tcPr>
          <w:p w14:paraId="7B26BA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0.242***</w:t>
            </w:r>
          </w:p>
        </w:tc>
        <w:tc>
          <w:tcPr>
            <w:tcW w:w="668" w:type="pct"/>
            <w:tcBorders>
              <w:top w:val="nil"/>
              <w:left w:val="nil"/>
              <w:bottom w:val="nil"/>
              <w:right w:val="nil"/>
            </w:tcBorders>
          </w:tcPr>
          <w:p w14:paraId="17CCF0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0.119***</w:t>
            </w:r>
          </w:p>
        </w:tc>
        <w:tc>
          <w:tcPr>
            <w:tcW w:w="870" w:type="pct"/>
            <w:tcBorders>
              <w:top w:val="nil"/>
              <w:left w:val="nil"/>
              <w:bottom w:val="nil"/>
              <w:right w:val="nil"/>
            </w:tcBorders>
          </w:tcPr>
          <w:p w14:paraId="2C3252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0.135***</w:t>
            </w:r>
          </w:p>
        </w:tc>
        <w:tc>
          <w:tcPr>
            <w:tcW w:w="738" w:type="pct"/>
            <w:tcBorders>
              <w:top w:val="nil"/>
              <w:left w:val="nil"/>
              <w:bottom w:val="nil"/>
              <w:right w:val="nil"/>
            </w:tcBorders>
          </w:tcPr>
          <w:p w14:paraId="219240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0.113*</w:t>
            </w:r>
          </w:p>
        </w:tc>
      </w:tr>
      <w:tr w:rsidR="00F00E3D" w:rsidRPr="00335312" w14:paraId="6D4D42E0" w14:textId="77777777" w:rsidTr="00063AC8">
        <w:trPr>
          <w:jc w:val="center"/>
        </w:trPr>
        <w:tc>
          <w:tcPr>
            <w:tcW w:w="1112" w:type="pct"/>
            <w:tcBorders>
              <w:top w:val="nil"/>
              <w:left w:val="nil"/>
              <w:bottom w:val="nil"/>
              <w:right w:val="nil"/>
            </w:tcBorders>
          </w:tcPr>
          <w:p w14:paraId="34551F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09B3E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(26.18)</w:t>
            </w:r>
          </w:p>
        </w:tc>
        <w:tc>
          <w:tcPr>
            <w:tcW w:w="1006" w:type="pct"/>
            <w:tcBorders>
              <w:top w:val="nil"/>
              <w:left w:val="nil"/>
              <w:bottom w:val="nil"/>
              <w:right w:val="nil"/>
            </w:tcBorders>
          </w:tcPr>
          <w:p w14:paraId="1EBF43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(28.12)</w:t>
            </w:r>
          </w:p>
        </w:tc>
        <w:tc>
          <w:tcPr>
            <w:tcW w:w="668" w:type="pct"/>
            <w:tcBorders>
              <w:top w:val="nil"/>
              <w:left w:val="nil"/>
              <w:bottom w:val="nil"/>
              <w:right w:val="nil"/>
            </w:tcBorders>
          </w:tcPr>
          <w:p w14:paraId="2A90D72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(11.87)</w:t>
            </w:r>
          </w:p>
        </w:tc>
        <w:tc>
          <w:tcPr>
            <w:tcW w:w="870" w:type="pct"/>
            <w:tcBorders>
              <w:top w:val="nil"/>
              <w:left w:val="nil"/>
              <w:bottom w:val="nil"/>
              <w:right w:val="nil"/>
            </w:tcBorders>
          </w:tcPr>
          <w:p w14:paraId="119B41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(7.992)</w:t>
            </w:r>
          </w:p>
        </w:tc>
        <w:tc>
          <w:tcPr>
            <w:tcW w:w="738" w:type="pct"/>
            <w:tcBorders>
              <w:top w:val="nil"/>
              <w:left w:val="nil"/>
              <w:bottom w:val="nil"/>
              <w:right w:val="nil"/>
            </w:tcBorders>
          </w:tcPr>
          <w:p w14:paraId="0C3BCD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(3.769)</w:t>
            </w:r>
          </w:p>
        </w:tc>
      </w:tr>
      <w:tr w:rsidR="00F00E3D" w:rsidRPr="00335312" w14:paraId="3D0244B3" w14:textId="77777777" w:rsidTr="00063AC8">
        <w:trPr>
          <w:jc w:val="center"/>
        </w:trPr>
        <w:tc>
          <w:tcPr>
            <w:tcW w:w="1112" w:type="pct"/>
            <w:tcBorders>
              <w:top w:val="nil"/>
              <w:left w:val="nil"/>
              <w:bottom w:val="nil"/>
              <w:right w:val="nil"/>
            </w:tcBorders>
          </w:tcPr>
          <w:p w14:paraId="480B88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2017.year#1.month</w:t>
            </w:r>
          </w:p>
        </w:tc>
        <w:tc>
          <w:tcPr>
            <w:tcW w:w="607" w:type="pct"/>
            <w:tcBorders>
              <w:top w:val="nil"/>
              <w:left w:val="nil"/>
              <w:bottom w:val="nil"/>
              <w:right w:val="nil"/>
            </w:tcBorders>
          </w:tcPr>
          <w:p w14:paraId="7D91E2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0.182***</w:t>
            </w:r>
          </w:p>
        </w:tc>
        <w:tc>
          <w:tcPr>
            <w:tcW w:w="1006" w:type="pct"/>
            <w:tcBorders>
              <w:top w:val="nil"/>
              <w:left w:val="nil"/>
              <w:bottom w:val="nil"/>
              <w:right w:val="nil"/>
            </w:tcBorders>
          </w:tcPr>
          <w:p w14:paraId="60BCED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0.235***</w:t>
            </w:r>
          </w:p>
        </w:tc>
        <w:tc>
          <w:tcPr>
            <w:tcW w:w="668" w:type="pct"/>
            <w:tcBorders>
              <w:top w:val="nil"/>
              <w:left w:val="nil"/>
              <w:bottom w:val="nil"/>
              <w:right w:val="nil"/>
            </w:tcBorders>
          </w:tcPr>
          <w:p w14:paraId="4AFF9E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0.113***</w:t>
            </w:r>
          </w:p>
        </w:tc>
        <w:tc>
          <w:tcPr>
            <w:tcW w:w="870" w:type="pct"/>
            <w:tcBorders>
              <w:top w:val="nil"/>
              <w:left w:val="nil"/>
              <w:bottom w:val="nil"/>
              <w:right w:val="nil"/>
            </w:tcBorders>
          </w:tcPr>
          <w:p w14:paraId="4B721C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0.129***</w:t>
            </w:r>
          </w:p>
        </w:tc>
        <w:tc>
          <w:tcPr>
            <w:tcW w:w="738" w:type="pct"/>
            <w:tcBorders>
              <w:top w:val="nil"/>
              <w:left w:val="nil"/>
              <w:bottom w:val="nil"/>
              <w:right w:val="nil"/>
            </w:tcBorders>
          </w:tcPr>
          <w:p w14:paraId="73B68B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0.130**</w:t>
            </w:r>
          </w:p>
        </w:tc>
      </w:tr>
      <w:tr w:rsidR="00F00E3D" w:rsidRPr="00335312" w14:paraId="03F5C98A" w14:textId="77777777" w:rsidTr="00063AC8">
        <w:trPr>
          <w:jc w:val="center"/>
        </w:trPr>
        <w:tc>
          <w:tcPr>
            <w:tcW w:w="1112" w:type="pct"/>
            <w:tcBorders>
              <w:top w:val="nil"/>
              <w:left w:val="nil"/>
              <w:bottom w:val="nil"/>
              <w:right w:val="nil"/>
            </w:tcBorders>
          </w:tcPr>
          <w:p w14:paraId="1B1256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99F876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(22.55)</w:t>
            </w:r>
          </w:p>
        </w:tc>
        <w:tc>
          <w:tcPr>
            <w:tcW w:w="1006" w:type="pct"/>
            <w:tcBorders>
              <w:top w:val="nil"/>
              <w:left w:val="nil"/>
              <w:bottom w:val="nil"/>
              <w:right w:val="nil"/>
            </w:tcBorders>
          </w:tcPr>
          <w:p w14:paraId="6819E7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(25.47)</w:t>
            </w:r>
          </w:p>
        </w:tc>
        <w:tc>
          <w:tcPr>
            <w:tcW w:w="668" w:type="pct"/>
            <w:tcBorders>
              <w:top w:val="nil"/>
              <w:left w:val="nil"/>
              <w:bottom w:val="nil"/>
              <w:right w:val="nil"/>
            </w:tcBorders>
          </w:tcPr>
          <w:p w14:paraId="44D735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(10.90)</w:t>
            </w:r>
          </w:p>
        </w:tc>
        <w:tc>
          <w:tcPr>
            <w:tcW w:w="870" w:type="pct"/>
            <w:tcBorders>
              <w:top w:val="nil"/>
              <w:left w:val="nil"/>
              <w:bottom w:val="nil"/>
              <w:right w:val="nil"/>
            </w:tcBorders>
          </w:tcPr>
          <w:p w14:paraId="0F1FA9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(6.808)</w:t>
            </w:r>
          </w:p>
        </w:tc>
        <w:tc>
          <w:tcPr>
            <w:tcW w:w="738" w:type="pct"/>
            <w:tcBorders>
              <w:top w:val="nil"/>
              <w:left w:val="nil"/>
              <w:bottom w:val="nil"/>
              <w:right w:val="nil"/>
            </w:tcBorders>
          </w:tcPr>
          <w:p w14:paraId="4CAC2AE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(7.029)</w:t>
            </w:r>
          </w:p>
        </w:tc>
      </w:tr>
      <w:tr w:rsidR="00F00E3D" w:rsidRPr="00335312" w14:paraId="43C95142" w14:textId="77777777" w:rsidTr="00063AC8">
        <w:trPr>
          <w:jc w:val="center"/>
        </w:trPr>
        <w:tc>
          <w:tcPr>
            <w:tcW w:w="1112" w:type="pct"/>
            <w:tcBorders>
              <w:top w:val="nil"/>
              <w:left w:val="nil"/>
              <w:bottom w:val="nil"/>
              <w:right w:val="nil"/>
            </w:tcBorders>
          </w:tcPr>
          <w:p w14:paraId="074177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2017.year#2.month</w:t>
            </w:r>
          </w:p>
        </w:tc>
        <w:tc>
          <w:tcPr>
            <w:tcW w:w="607" w:type="pct"/>
            <w:tcBorders>
              <w:top w:val="nil"/>
              <w:left w:val="nil"/>
              <w:bottom w:val="nil"/>
              <w:right w:val="nil"/>
            </w:tcBorders>
          </w:tcPr>
          <w:p w14:paraId="759C82B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0.210***</w:t>
            </w:r>
          </w:p>
        </w:tc>
        <w:tc>
          <w:tcPr>
            <w:tcW w:w="1006" w:type="pct"/>
            <w:tcBorders>
              <w:top w:val="nil"/>
              <w:left w:val="nil"/>
              <w:bottom w:val="nil"/>
              <w:right w:val="nil"/>
            </w:tcBorders>
          </w:tcPr>
          <w:p w14:paraId="1050025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0.265***</w:t>
            </w:r>
          </w:p>
        </w:tc>
        <w:tc>
          <w:tcPr>
            <w:tcW w:w="668" w:type="pct"/>
            <w:tcBorders>
              <w:top w:val="nil"/>
              <w:left w:val="nil"/>
              <w:bottom w:val="nil"/>
              <w:right w:val="nil"/>
            </w:tcBorders>
          </w:tcPr>
          <w:p w14:paraId="6875DB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0.132***</w:t>
            </w:r>
          </w:p>
        </w:tc>
        <w:tc>
          <w:tcPr>
            <w:tcW w:w="870" w:type="pct"/>
            <w:tcBorders>
              <w:top w:val="nil"/>
              <w:left w:val="nil"/>
              <w:bottom w:val="nil"/>
              <w:right w:val="nil"/>
            </w:tcBorders>
          </w:tcPr>
          <w:p w14:paraId="0C683F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0.131***</w:t>
            </w:r>
          </w:p>
        </w:tc>
        <w:tc>
          <w:tcPr>
            <w:tcW w:w="738" w:type="pct"/>
            <w:tcBorders>
              <w:top w:val="nil"/>
              <w:left w:val="nil"/>
              <w:bottom w:val="nil"/>
              <w:right w:val="nil"/>
            </w:tcBorders>
          </w:tcPr>
          <w:p w14:paraId="165130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0.136**</w:t>
            </w:r>
          </w:p>
        </w:tc>
      </w:tr>
      <w:tr w:rsidR="00F00E3D" w:rsidRPr="00335312" w14:paraId="5E87FBAD" w14:textId="77777777" w:rsidTr="00063AC8">
        <w:trPr>
          <w:jc w:val="center"/>
        </w:trPr>
        <w:tc>
          <w:tcPr>
            <w:tcW w:w="1112" w:type="pct"/>
            <w:tcBorders>
              <w:top w:val="nil"/>
              <w:left w:val="nil"/>
              <w:bottom w:val="nil"/>
              <w:right w:val="nil"/>
            </w:tcBorders>
          </w:tcPr>
          <w:p w14:paraId="1D3F1A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8E202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(27.63)</w:t>
            </w:r>
          </w:p>
        </w:tc>
        <w:tc>
          <w:tcPr>
            <w:tcW w:w="1006" w:type="pct"/>
            <w:tcBorders>
              <w:top w:val="nil"/>
              <w:left w:val="nil"/>
              <w:bottom w:val="nil"/>
              <w:right w:val="nil"/>
            </w:tcBorders>
          </w:tcPr>
          <w:p w14:paraId="317578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(30.42)</w:t>
            </w:r>
          </w:p>
        </w:tc>
        <w:tc>
          <w:tcPr>
            <w:tcW w:w="668" w:type="pct"/>
            <w:tcBorders>
              <w:top w:val="nil"/>
              <w:left w:val="nil"/>
              <w:bottom w:val="nil"/>
              <w:right w:val="nil"/>
            </w:tcBorders>
          </w:tcPr>
          <w:p w14:paraId="028A6D1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(12.27)</w:t>
            </w:r>
          </w:p>
        </w:tc>
        <w:tc>
          <w:tcPr>
            <w:tcW w:w="870" w:type="pct"/>
            <w:tcBorders>
              <w:top w:val="nil"/>
              <w:left w:val="nil"/>
              <w:bottom w:val="nil"/>
              <w:right w:val="nil"/>
            </w:tcBorders>
          </w:tcPr>
          <w:p w14:paraId="138745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(6.526)</w:t>
            </w:r>
          </w:p>
        </w:tc>
        <w:tc>
          <w:tcPr>
            <w:tcW w:w="738" w:type="pct"/>
            <w:tcBorders>
              <w:top w:val="nil"/>
              <w:left w:val="nil"/>
              <w:bottom w:val="nil"/>
              <w:right w:val="nil"/>
            </w:tcBorders>
          </w:tcPr>
          <w:p w14:paraId="4774951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(8.082)</w:t>
            </w:r>
          </w:p>
        </w:tc>
      </w:tr>
      <w:tr w:rsidR="00F00E3D" w:rsidRPr="00335312" w14:paraId="1A0F3602" w14:textId="77777777" w:rsidTr="00063AC8">
        <w:trPr>
          <w:jc w:val="center"/>
        </w:trPr>
        <w:tc>
          <w:tcPr>
            <w:tcW w:w="1112" w:type="pct"/>
            <w:tcBorders>
              <w:top w:val="nil"/>
              <w:left w:val="nil"/>
              <w:bottom w:val="nil"/>
              <w:right w:val="nil"/>
            </w:tcBorders>
          </w:tcPr>
          <w:p w14:paraId="21CF0C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2017.year#3.month</w:t>
            </w:r>
          </w:p>
        </w:tc>
        <w:tc>
          <w:tcPr>
            <w:tcW w:w="607" w:type="pct"/>
            <w:tcBorders>
              <w:top w:val="nil"/>
              <w:left w:val="nil"/>
              <w:bottom w:val="nil"/>
              <w:right w:val="nil"/>
            </w:tcBorders>
          </w:tcPr>
          <w:p w14:paraId="1F298A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0.232***</w:t>
            </w:r>
          </w:p>
        </w:tc>
        <w:tc>
          <w:tcPr>
            <w:tcW w:w="1006" w:type="pct"/>
            <w:tcBorders>
              <w:top w:val="nil"/>
              <w:left w:val="nil"/>
              <w:bottom w:val="nil"/>
              <w:right w:val="nil"/>
            </w:tcBorders>
          </w:tcPr>
          <w:p w14:paraId="17BDCA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0.301***</w:t>
            </w:r>
          </w:p>
        </w:tc>
        <w:tc>
          <w:tcPr>
            <w:tcW w:w="668" w:type="pct"/>
            <w:tcBorders>
              <w:top w:val="nil"/>
              <w:left w:val="nil"/>
              <w:bottom w:val="nil"/>
              <w:right w:val="nil"/>
            </w:tcBorders>
          </w:tcPr>
          <w:p w14:paraId="670A06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0.127***</w:t>
            </w:r>
          </w:p>
        </w:tc>
        <w:tc>
          <w:tcPr>
            <w:tcW w:w="870" w:type="pct"/>
            <w:tcBorders>
              <w:top w:val="nil"/>
              <w:left w:val="nil"/>
              <w:bottom w:val="nil"/>
              <w:right w:val="nil"/>
            </w:tcBorders>
          </w:tcPr>
          <w:p w14:paraId="06A7D1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0.166***</w:t>
            </w:r>
          </w:p>
        </w:tc>
        <w:tc>
          <w:tcPr>
            <w:tcW w:w="738" w:type="pct"/>
            <w:tcBorders>
              <w:top w:val="nil"/>
              <w:left w:val="nil"/>
              <w:bottom w:val="nil"/>
              <w:right w:val="nil"/>
            </w:tcBorders>
          </w:tcPr>
          <w:p w14:paraId="6F0B28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0.146*</w:t>
            </w:r>
          </w:p>
        </w:tc>
      </w:tr>
      <w:tr w:rsidR="00F00E3D" w:rsidRPr="00335312" w14:paraId="5EC6628E" w14:textId="77777777" w:rsidTr="00063AC8">
        <w:trPr>
          <w:jc w:val="center"/>
        </w:trPr>
        <w:tc>
          <w:tcPr>
            <w:tcW w:w="1112" w:type="pct"/>
            <w:tcBorders>
              <w:top w:val="nil"/>
              <w:left w:val="nil"/>
              <w:bottom w:val="nil"/>
              <w:right w:val="nil"/>
            </w:tcBorders>
          </w:tcPr>
          <w:p w14:paraId="5497B1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A7721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(27.96)</w:t>
            </w:r>
          </w:p>
        </w:tc>
        <w:tc>
          <w:tcPr>
            <w:tcW w:w="1006" w:type="pct"/>
            <w:tcBorders>
              <w:top w:val="nil"/>
              <w:left w:val="nil"/>
              <w:bottom w:val="nil"/>
              <w:right w:val="nil"/>
            </w:tcBorders>
          </w:tcPr>
          <w:p w14:paraId="275537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(34.43)</w:t>
            </w:r>
          </w:p>
        </w:tc>
        <w:tc>
          <w:tcPr>
            <w:tcW w:w="668" w:type="pct"/>
            <w:tcBorders>
              <w:top w:val="nil"/>
              <w:left w:val="nil"/>
              <w:bottom w:val="nil"/>
              <w:right w:val="nil"/>
            </w:tcBorders>
          </w:tcPr>
          <w:p w14:paraId="0B4F86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(10.72)</w:t>
            </w:r>
          </w:p>
        </w:tc>
        <w:tc>
          <w:tcPr>
            <w:tcW w:w="870" w:type="pct"/>
            <w:tcBorders>
              <w:top w:val="nil"/>
              <w:left w:val="nil"/>
              <w:bottom w:val="nil"/>
              <w:right w:val="nil"/>
            </w:tcBorders>
          </w:tcPr>
          <w:p w14:paraId="04D912E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(7.935)</w:t>
            </w:r>
          </w:p>
        </w:tc>
        <w:tc>
          <w:tcPr>
            <w:tcW w:w="738" w:type="pct"/>
            <w:tcBorders>
              <w:top w:val="nil"/>
              <w:left w:val="nil"/>
              <w:bottom w:val="nil"/>
              <w:right w:val="nil"/>
            </w:tcBorders>
          </w:tcPr>
          <w:p w14:paraId="16B5FD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(3.293)</w:t>
            </w:r>
          </w:p>
        </w:tc>
      </w:tr>
      <w:tr w:rsidR="00F00E3D" w:rsidRPr="00335312" w14:paraId="0CB0F338" w14:textId="77777777" w:rsidTr="00063AC8">
        <w:trPr>
          <w:jc w:val="center"/>
        </w:trPr>
        <w:tc>
          <w:tcPr>
            <w:tcW w:w="1112" w:type="pct"/>
            <w:tcBorders>
              <w:top w:val="nil"/>
              <w:left w:val="nil"/>
              <w:bottom w:val="nil"/>
              <w:right w:val="nil"/>
            </w:tcBorders>
          </w:tcPr>
          <w:p w14:paraId="7BBFC6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2017.year#4.month</w:t>
            </w:r>
          </w:p>
        </w:tc>
        <w:tc>
          <w:tcPr>
            <w:tcW w:w="607" w:type="pct"/>
            <w:tcBorders>
              <w:top w:val="nil"/>
              <w:left w:val="nil"/>
              <w:bottom w:val="nil"/>
              <w:right w:val="nil"/>
            </w:tcBorders>
          </w:tcPr>
          <w:p w14:paraId="072123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0.237***</w:t>
            </w:r>
          </w:p>
        </w:tc>
        <w:tc>
          <w:tcPr>
            <w:tcW w:w="1006" w:type="pct"/>
            <w:tcBorders>
              <w:top w:val="nil"/>
              <w:left w:val="nil"/>
              <w:bottom w:val="nil"/>
              <w:right w:val="nil"/>
            </w:tcBorders>
          </w:tcPr>
          <w:p w14:paraId="1D6654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0.299***</w:t>
            </w:r>
          </w:p>
        </w:tc>
        <w:tc>
          <w:tcPr>
            <w:tcW w:w="668" w:type="pct"/>
            <w:tcBorders>
              <w:top w:val="nil"/>
              <w:left w:val="nil"/>
              <w:bottom w:val="nil"/>
              <w:right w:val="nil"/>
            </w:tcBorders>
          </w:tcPr>
          <w:p w14:paraId="79D3B9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0.145***</w:t>
            </w:r>
          </w:p>
        </w:tc>
        <w:tc>
          <w:tcPr>
            <w:tcW w:w="870" w:type="pct"/>
            <w:tcBorders>
              <w:top w:val="nil"/>
              <w:left w:val="nil"/>
              <w:bottom w:val="nil"/>
              <w:right w:val="nil"/>
            </w:tcBorders>
          </w:tcPr>
          <w:p w14:paraId="4A83E5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0.190***</w:t>
            </w:r>
          </w:p>
        </w:tc>
        <w:tc>
          <w:tcPr>
            <w:tcW w:w="738" w:type="pct"/>
            <w:tcBorders>
              <w:top w:val="nil"/>
              <w:left w:val="nil"/>
              <w:bottom w:val="nil"/>
              <w:right w:val="nil"/>
            </w:tcBorders>
          </w:tcPr>
          <w:p w14:paraId="410234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0.162**</w:t>
            </w:r>
          </w:p>
        </w:tc>
      </w:tr>
      <w:tr w:rsidR="00F00E3D" w:rsidRPr="00335312" w14:paraId="1B4BE8FD" w14:textId="77777777" w:rsidTr="00063AC8">
        <w:trPr>
          <w:jc w:val="center"/>
        </w:trPr>
        <w:tc>
          <w:tcPr>
            <w:tcW w:w="1112" w:type="pct"/>
            <w:tcBorders>
              <w:top w:val="nil"/>
              <w:left w:val="nil"/>
              <w:bottom w:val="nil"/>
              <w:right w:val="nil"/>
            </w:tcBorders>
          </w:tcPr>
          <w:p w14:paraId="7B6F75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DEE09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(29.99)</w:t>
            </w:r>
          </w:p>
        </w:tc>
        <w:tc>
          <w:tcPr>
            <w:tcW w:w="1006" w:type="pct"/>
            <w:tcBorders>
              <w:top w:val="nil"/>
              <w:left w:val="nil"/>
              <w:bottom w:val="nil"/>
              <w:right w:val="nil"/>
            </w:tcBorders>
          </w:tcPr>
          <w:p w14:paraId="2FEC4D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(34.39)</w:t>
            </w:r>
          </w:p>
        </w:tc>
        <w:tc>
          <w:tcPr>
            <w:tcW w:w="668" w:type="pct"/>
            <w:tcBorders>
              <w:top w:val="nil"/>
              <w:left w:val="nil"/>
              <w:bottom w:val="nil"/>
              <w:right w:val="nil"/>
            </w:tcBorders>
          </w:tcPr>
          <w:p w14:paraId="175982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(12.95)</w:t>
            </w:r>
          </w:p>
        </w:tc>
        <w:tc>
          <w:tcPr>
            <w:tcW w:w="870" w:type="pct"/>
            <w:tcBorders>
              <w:top w:val="nil"/>
              <w:left w:val="nil"/>
              <w:bottom w:val="nil"/>
              <w:right w:val="nil"/>
            </w:tcBorders>
          </w:tcPr>
          <w:p w14:paraId="5FE4C9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(9.188)</w:t>
            </w:r>
          </w:p>
        </w:tc>
        <w:tc>
          <w:tcPr>
            <w:tcW w:w="738" w:type="pct"/>
            <w:tcBorders>
              <w:top w:val="nil"/>
              <w:left w:val="nil"/>
              <w:bottom w:val="nil"/>
              <w:right w:val="nil"/>
            </w:tcBorders>
          </w:tcPr>
          <w:p w14:paraId="672541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(4.335)</w:t>
            </w:r>
          </w:p>
        </w:tc>
      </w:tr>
      <w:tr w:rsidR="00F00E3D" w:rsidRPr="00335312" w14:paraId="5992DE72" w14:textId="77777777" w:rsidTr="00063AC8">
        <w:trPr>
          <w:jc w:val="center"/>
        </w:trPr>
        <w:tc>
          <w:tcPr>
            <w:tcW w:w="1112" w:type="pct"/>
            <w:tcBorders>
              <w:top w:val="nil"/>
              <w:left w:val="nil"/>
              <w:bottom w:val="nil"/>
              <w:right w:val="nil"/>
            </w:tcBorders>
          </w:tcPr>
          <w:p w14:paraId="4A35E5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2017.year#5.month</w:t>
            </w:r>
          </w:p>
        </w:tc>
        <w:tc>
          <w:tcPr>
            <w:tcW w:w="607" w:type="pct"/>
            <w:tcBorders>
              <w:top w:val="nil"/>
              <w:left w:val="nil"/>
              <w:bottom w:val="nil"/>
              <w:right w:val="nil"/>
            </w:tcBorders>
          </w:tcPr>
          <w:p w14:paraId="10A259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0.251***</w:t>
            </w:r>
          </w:p>
        </w:tc>
        <w:tc>
          <w:tcPr>
            <w:tcW w:w="1006" w:type="pct"/>
            <w:tcBorders>
              <w:top w:val="nil"/>
              <w:left w:val="nil"/>
              <w:bottom w:val="nil"/>
              <w:right w:val="nil"/>
            </w:tcBorders>
          </w:tcPr>
          <w:p w14:paraId="3F4317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0.314***</w:t>
            </w:r>
          </w:p>
        </w:tc>
        <w:tc>
          <w:tcPr>
            <w:tcW w:w="668" w:type="pct"/>
            <w:tcBorders>
              <w:top w:val="nil"/>
              <w:left w:val="nil"/>
              <w:bottom w:val="nil"/>
              <w:right w:val="nil"/>
            </w:tcBorders>
          </w:tcPr>
          <w:p w14:paraId="0BD7CDB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0.160***</w:t>
            </w:r>
          </w:p>
        </w:tc>
        <w:tc>
          <w:tcPr>
            <w:tcW w:w="870" w:type="pct"/>
            <w:tcBorders>
              <w:top w:val="nil"/>
              <w:left w:val="nil"/>
              <w:bottom w:val="nil"/>
              <w:right w:val="nil"/>
            </w:tcBorders>
          </w:tcPr>
          <w:p w14:paraId="70FC0C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0.166***</w:t>
            </w:r>
          </w:p>
        </w:tc>
        <w:tc>
          <w:tcPr>
            <w:tcW w:w="738" w:type="pct"/>
            <w:tcBorders>
              <w:top w:val="nil"/>
              <w:left w:val="nil"/>
              <w:bottom w:val="nil"/>
              <w:right w:val="nil"/>
            </w:tcBorders>
          </w:tcPr>
          <w:p w14:paraId="1066FA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0.186**</w:t>
            </w:r>
          </w:p>
        </w:tc>
      </w:tr>
      <w:tr w:rsidR="00F00E3D" w:rsidRPr="00335312" w14:paraId="569B87C0" w14:textId="77777777" w:rsidTr="00063AC8">
        <w:trPr>
          <w:jc w:val="center"/>
        </w:trPr>
        <w:tc>
          <w:tcPr>
            <w:tcW w:w="1112" w:type="pct"/>
            <w:tcBorders>
              <w:top w:val="nil"/>
              <w:left w:val="nil"/>
              <w:bottom w:val="nil"/>
              <w:right w:val="nil"/>
            </w:tcBorders>
          </w:tcPr>
          <w:p w14:paraId="726C97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AFFCC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(31.99)</w:t>
            </w:r>
          </w:p>
        </w:tc>
        <w:tc>
          <w:tcPr>
            <w:tcW w:w="1006" w:type="pct"/>
            <w:tcBorders>
              <w:top w:val="nil"/>
              <w:left w:val="nil"/>
              <w:bottom w:val="nil"/>
              <w:right w:val="nil"/>
            </w:tcBorders>
          </w:tcPr>
          <w:p w14:paraId="524C8C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(36.39)</w:t>
            </w:r>
          </w:p>
        </w:tc>
        <w:tc>
          <w:tcPr>
            <w:tcW w:w="668" w:type="pct"/>
            <w:tcBorders>
              <w:top w:val="nil"/>
              <w:left w:val="nil"/>
              <w:bottom w:val="nil"/>
              <w:right w:val="nil"/>
            </w:tcBorders>
          </w:tcPr>
          <w:p w14:paraId="5DBA84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(15.30)</w:t>
            </w:r>
          </w:p>
        </w:tc>
        <w:tc>
          <w:tcPr>
            <w:tcW w:w="870" w:type="pct"/>
            <w:tcBorders>
              <w:top w:val="nil"/>
              <w:left w:val="nil"/>
              <w:bottom w:val="nil"/>
              <w:right w:val="nil"/>
            </w:tcBorders>
          </w:tcPr>
          <w:p w14:paraId="5767CE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(12.73)</w:t>
            </w:r>
          </w:p>
        </w:tc>
        <w:tc>
          <w:tcPr>
            <w:tcW w:w="738" w:type="pct"/>
            <w:tcBorders>
              <w:top w:val="nil"/>
              <w:left w:val="nil"/>
              <w:bottom w:val="nil"/>
              <w:right w:val="nil"/>
            </w:tcBorders>
          </w:tcPr>
          <w:p w14:paraId="445A48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(9.357)</w:t>
            </w:r>
          </w:p>
        </w:tc>
      </w:tr>
      <w:tr w:rsidR="00F00E3D" w:rsidRPr="00335312" w14:paraId="78AB9273" w14:textId="77777777" w:rsidTr="00063AC8">
        <w:trPr>
          <w:jc w:val="center"/>
        </w:trPr>
        <w:tc>
          <w:tcPr>
            <w:tcW w:w="1112" w:type="pct"/>
            <w:tcBorders>
              <w:top w:val="nil"/>
              <w:left w:val="nil"/>
              <w:bottom w:val="nil"/>
              <w:right w:val="nil"/>
            </w:tcBorders>
          </w:tcPr>
          <w:p w14:paraId="27B3AE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2017.year#6.month</w:t>
            </w:r>
          </w:p>
        </w:tc>
        <w:tc>
          <w:tcPr>
            <w:tcW w:w="607" w:type="pct"/>
            <w:tcBorders>
              <w:top w:val="nil"/>
              <w:left w:val="nil"/>
              <w:bottom w:val="nil"/>
              <w:right w:val="nil"/>
            </w:tcBorders>
          </w:tcPr>
          <w:p w14:paraId="33310E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0.269***</w:t>
            </w:r>
          </w:p>
        </w:tc>
        <w:tc>
          <w:tcPr>
            <w:tcW w:w="1006" w:type="pct"/>
            <w:tcBorders>
              <w:top w:val="nil"/>
              <w:left w:val="nil"/>
              <w:bottom w:val="nil"/>
              <w:right w:val="nil"/>
            </w:tcBorders>
          </w:tcPr>
          <w:p w14:paraId="7BFA3D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0.333***</w:t>
            </w:r>
          </w:p>
        </w:tc>
        <w:tc>
          <w:tcPr>
            <w:tcW w:w="668" w:type="pct"/>
            <w:tcBorders>
              <w:top w:val="nil"/>
              <w:left w:val="nil"/>
              <w:bottom w:val="nil"/>
              <w:right w:val="nil"/>
            </w:tcBorders>
          </w:tcPr>
          <w:p w14:paraId="4A05E2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0.175***</w:t>
            </w:r>
          </w:p>
        </w:tc>
        <w:tc>
          <w:tcPr>
            <w:tcW w:w="870" w:type="pct"/>
            <w:tcBorders>
              <w:top w:val="nil"/>
              <w:left w:val="nil"/>
              <w:bottom w:val="nil"/>
              <w:right w:val="nil"/>
            </w:tcBorders>
          </w:tcPr>
          <w:p w14:paraId="5ECE8E2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0.202***</w:t>
            </w:r>
          </w:p>
        </w:tc>
        <w:tc>
          <w:tcPr>
            <w:tcW w:w="738" w:type="pct"/>
            <w:tcBorders>
              <w:top w:val="nil"/>
              <w:left w:val="nil"/>
              <w:bottom w:val="nil"/>
              <w:right w:val="nil"/>
            </w:tcBorders>
          </w:tcPr>
          <w:p w14:paraId="352F75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0.209***</w:t>
            </w:r>
          </w:p>
        </w:tc>
      </w:tr>
      <w:tr w:rsidR="00F00E3D" w:rsidRPr="00335312" w14:paraId="1025629C" w14:textId="77777777" w:rsidTr="00063AC8">
        <w:trPr>
          <w:jc w:val="center"/>
        </w:trPr>
        <w:tc>
          <w:tcPr>
            <w:tcW w:w="1112" w:type="pct"/>
            <w:tcBorders>
              <w:top w:val="nil"/>
              <w:left w:val="nil"/>
              <w:bottom w:val="nil"/>
              <w:right w:val="nil"/>
            </w:tcBorders>
          </w:tcPr>
          <w:p w14:paraId="691E2E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5E049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(32.04)</w:t>
            </w:r>
          </w:p>
        </w:tc>
        <w:tc>
          <w:tcPr>
            <w:tcW w:w="1006" w:type="pct"/>
            <w:tcBorders>
              <w:top w:val="nil"/>
              <w:left w:val="nil"/>
              <w:bottom w:val="nil"/>
              <w:right w:val="nil"/>
            </w:tcBorders>
          </w:tcPr>
          <w:p w14:paraId="485D6E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(36.22)</w:t>
            </w:r>
          </w:p>
        </w:tc>
        <w:tc>
          <w:tcPr>
            <w:tcW w:w="668" w:type="pct"/>
            <w:tcBorders>
              <w:top w:val="nil"/>
              <w:left w:val="nil"/>
              <w:bottom w:val="nil"/>
              <w:right w:val="nil"/>
            </w:tcBorders>
          </w:tcPr>
          <w:p w14:paraId="435F35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(14.50)</w:t>
            </w:r>
          </w:p>
        </w:tc>
        <w:tc>
          <w:tcPr>
            <w:tcW w:w="870" w:type="pct"/>
            <w:tcBorders>
              <w:top w:val="nil"/>
              <w:left w:val="nil"/>
              <w:bottom w:val="nil"/>
              <w:right w:val="nil"/>
            </w:tcBorders>
          </w:tcPr>
          <w:p w14:paraId="36815E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(10.34)</w:t>
            </w:r>
          </w:p>
        </w:tc>
        <w:tc>
          <w:tcPr>
            <w:tcW w:w="738" w:type="pct"/>
            <w:tcBorders>
              <w:top w:val="nil"/>
              <w:left w:val="nil"/>
              <w:bottom w:val="nil"/>
              <w:right w:val="nil"/>
            </w:tcBorders>
          </w:tcPr>
          <w:p w14:paraId="1C01E7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(12.91)</w:t>
            </w:r>
          </w:p>
        </w:tc>
      </w:tr>
      <w:tr w:rsidR="00F00E3D" w:rsidRPr="00335312" w14:paraId="3FBF6DF8" w14:textId="77777777" w:rsidTr="00063AC8">
        <w:trPr>
          <w:jc w:val="center"/>
        </w:trPr>
        <w:tc>
          <w:tcPr>
            <w:tcW w:w="1112" w:type="pct"/>
            <w:tcBorders>
              <w:top w:val="nil"/>
              <w:left w:val="nil"/>
              <w:bottom w:val="nil"/>
              <w:right w:val="nil"/>
            </w:tcBorders>
          </w:tcPr>
          <w:p w14:paraId="0544BFA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2017.year#7.month</w:t>
            </w:r>
          </w:p>
        </w:tc>
        <w:tc>
          <w:tcPr>
            <w:tcW w:w="607" w:type="pct"/>
            <w:tcBorders>
              <w:top w:val="nil"/>
              <w:left w:val="nil"/>
              <w:bottom w:val="nil"/>
              <w:right w:val="nil"/>
            </w:tcBorders>
          </w:tcPr>
          <w:p w14:paraId="397A5B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0.248***</w:t>
            </w:r>
          </w:p>
        </w:tc>
        <w:tc>
          <w:tcPr>
            <w:tcW w:w="1006" w:type="pct"/>
            <w:tcBorders>
              <w:top w:val="nil"/>
              <w:left w:val="nil"/>
              <w:bottom w:val="nil"/>
              <w:right w:val="nil"/>
            </w:tcBorders>
          </w:tcPr>
          <w:p w14:paraId="260A21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0.316***</w:t>
            </w:r>
          </w:p>
        </w:tc>
        <w:tc>
          <w:tcPr>
            <w:tcW w:w="668" w:type="pct"/>
            <w:tcBorders>
              <w:top w:val="nil"/>
              <w:left w:val="nil"/>
              <w:bottom w:val="nil"/>
              <w:right w:val="nil"/>
            </w:tcBorders>
          </w:tcPr>
          <w:p w14:paraId="6DA5A1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0.149***</w:t>
            </w:r>
          </w:p>
        </w:tc>
        <w:tc>
          <w:tcPr>
            <w:tcW w:w="870" w:type="pct"/>
            <w:tcBorders>
              <w:top w:val="nil"/>
              <w:left w:val="nil"/>
              <w:bottom w:val="nil"/>
              <w:right w:val="nil"/>
            </w:tcBorders>
          </w:tcPr>
          <w:p w14:paraId="063CA2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0.190***</w:t>
            </w:r>
          </w:p>
        </w:tc>
        <w:tc>
          <w:tcPr>
            <w:tcW w:w="738" w:type="pct"/>
            <w:tcBorders>
              <w:top w:val="nil"/>
              <w:left w:val="nil"/>
              <w:bottom w:val="nil"/>
              <w:right w:val="nil"/>
            </w:tcBorders>
          </w:tcPr>
          <w:p w14:paraId="5F223E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0.217***</w:t>
            </w:r>
          </w:p>
        </w:tc>
      </w:tr>
      <w:tr w:rsidR="00F00E3D" w:rsidRPr="00335312" w14:paraId="4E00A763" w14:textId="77777777" w:rsidTr="00063AC8">
        <w:trPr>
          <w:jc w:val="center"/>
        </w:trPr>
        <w:tc>
          <w:tcPr>
            <w:tcW w:w="1112" w:type="pct"/>
            <w:tcBorders>
              <w:top w:val="nil"/>
              <w:left w:val="nil"/>
              <w:bottom w:val="nil"/>
              <w:right w:val="nil"/>
            </w:tcBorders>
          </w:tcPr>
          <w:p w14:paraId="2DEAAA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E98B7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(31.32)</w:t>
            </w:r>
          </w:p>
        </w:tc>
        <w:tc>
          <w:tcPr>
            <w:tcW w:w="1006" w:type="pct"/>
            <w:tcBorders>
              <w:top w:val="nil"/>
              <w:left w:val="nil"/>
              <w:bottom w:val="nil"/>
              <w:right w:val="nil"/>
            </w:tcBorders>
          </w:tcPr>
          <w:p w14:paraId="63B9AB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(38.63)</w:t>
            </w:r>
          </w:p>
        </w:tc>
        <w:tc>
          <w:tcPr>
            <w:tcW w:w="668" w:type="pct"/>
            <w:tcBorders>
              <w:top w:val="nil"/>
              <w:left w:val="nil"/>
              <w:bottom w:val="nil"/>
              <w:right w:val="nil"/>
            </w:tcBorders>
          </w:tcPr>
          <w:p w14:paraId="650268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(14.06)</w:t>
            </w:r>
          </w:p>
        </w:tc>
        <w:tc>
          <w:tcPr>
            <w:tcW w:w="870" w:type="pct"/>
            <w:tcBorders>
              <w:top w:val="nil"/>
              <w:left w:val="nil"/>
              <w:bottom w:val="nil"/>
              <w:right w:val="nil"/>
            </w:tcBorders>
          </w:tcPr>
          <w:p w14:paraId="287A05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(10.63)</w:t>
            </w:r>
          </w:p>
        </w:tc>
        <w:tc>
          <w:tcPr>
            <w:tcW w:w="738" w:type="pct"/>
            <w:tcBorders>
              <w:top w:val="nil"/>
              <w:left w:val="nil"/>
              <w:bottom w:val="nil"/>
              <w:right w:val="nil"/>
            </w:tcBorders>
          </w:tcPr>
          <w:p w14:paraId="6C27CD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(69.41)</w:t>
            </w:r>
          </w:p>
        </w:tc>
      </w:tr>
      <w:tr w:rsidR="00F00E3D" w:rsidRPr="00335312" w14:paraId="7C34B9B1" w14:textId="77777777" w:rsidTr="00063AC8">
        <w:trPr>
          <w:jc w:val="center"/>
        </w:trPr>
        <w:tc>
          <w:tcPr>
            <w:tcW w:w="1112" w:type="pct"/>
            <w:tcBorders>
              <w:top w:val="nil"/>
              <w:left w:val="nil"/>
              <w:bottom w:val="nil"/>
              <w:right w:val="nil"/>
            </w:tcBorders>
          </w:tcPr>
          <w:p w14:paraId="0A2264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2017.year#8.month</w:t>
            </w:r>
          </w:p>
        </w:tc>
        <w:tc>
          <w:tcPr>
            <w:tcW w:w="607" w:type="pct"/>
            <w:tcBorders>
              <w:top w:val="nil"/>
              <w:left w:val="nil"/>
              <w:bottom w:val="nil"/>
              <w:right w:val="nil"/>
            </w:tcBorders>
          </w:tcPr>
          <w:p w14:paraId="646C923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0.267***</w:t>
            </w:r>
          </w:p>
        </w:tc>
        <w:tc>
          <w:tcPr>
            <w:tcW w:w="1006" w:type="pct"/>
            <w:tcBorders>
              <w:top w:val="nil"/>
              <w:left w:val="nil"/>
              <w:bottom w:val="nil"/>
              <w:right w:val="nil"/>
            </w:tcBorders>
          </w:tcPr>
          <w:p w14:paraId="34320C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0.339***</w:t>
            </w:r>
          </w:p>
        </w:tc>
        <w:tc>
          <w:tcPr>
            <w:tcW w:w="668" w:type="pct"/>
            <w:tcBorders>
              <w:top w:val="nil"/>
              <w:left w:val="nil"/>
              <w:bottom w:val="nil"/>
              <w:right w:val="nil"/>
            </w:tcBorders>
          </w:tcPr>
          <w:p w14:paraId="7F236B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0.164***</w:t>
            </w:r>
          </w:p>
        </w:tc>
        <w:tc>
          <w:tcPr>
            <w:tcW w:w="870" w:type="pct"/>
            <w:tcBorders>
              <w:top w:val="nil"/>
              <w:left w:val="nil"/>
              <w:bottom w:val="nil"/>
              <w:right w:val="nil"/>
            </w:tcBorders>
          </w:tcPr>
          <w:p w14:paraId="0CD353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0.216***</w:t>
            </w:r>
          </w:p>
        </w:tc>
        <w:tc>
          <w:tcPr>
            <w:tcW w:w="738" w:type="pct"/>
            <w:tcBorders>
              <w:top w:val="nil"/>
              <w:left w:val="nil"/>
              <w:bottom w:val="nil"/>
              <w:right w:val="nil"/>
            </w:tcBorders>
          </w:tcPr>
          <w:p w14:paraId="22323C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0.242**</w:t>
            </w:r>
          </w:p>
        </w:tc>
      </w:tr>
      <w:tr w:rsidR="00F00E3D" w:rsidRPr="00335312" w14:paraId="1F8F6493" w14:textId="77777777" w:rsidTr="00063AC8">
        <w:trPr>
          <w:jc w:val="center"/>
        </w:trPr>
        <w:tc>
          <w:tcPr>
            <w:tcW w:w="1112" w:type="pct"/>
            <w:tcBorders>
              <w:top w:val="nil"/>
              <w:left w:val="nil"/>
              <w:bottom w:val="nil"/>
              <w:right w:val="nil"/>
            </w:tcBorders>
          </w:tcPr>
          <w:p w14:paraId="0DC4B8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EE71A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(30.66)</w:t>
            </w:r>
          </w:p>
        </w:tc>
        <w:tc>
          <w:tcPr>
            <w:tcW w:w="1006" w:type="pct"/>
            <w:tcBorders>
              <w:top w:val="nil"/>
              <w:left w:val="nil"/>
              <w:bottom w:val="nil"/>
              <w:right w:val="nil"/>
            </w:tcBorders>
          </w:tcPr>
          <w:p w14:paraId="12FB56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(41.38)</w:t>
            </w:r>
          </w:p>
        </w:tc>
        <w:tc>
          <w:tcPr>
            <w:tcW w:w="668" w:type="pct"/>
            <w:tcBorders>
              <w:top w:val="nil"/>
              <w:left w:val="nil"/>
              <w:bottom w:val="nil"/>
              <w:right w:val="nil"/>
            </w:tcBorders>
          </w:tcPr>
          <w:p w14:paraId="4F2E8E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(12.99)</w:t>
            </w:r>
          </w:p>
        </w:tc>
        <w:tc>
          <w:tcPr>
            <w:tcW w:w="870" w:type="pct"/>
            <w:tcBorders>
              <w:top w:val="nil"/>
              <w:left w:val="nil"/>
              <w:bottom w:val="nil"/>
              <w:right w:val="nil"/>
            </w:tcBorders>
          </w:tcPr>
          <w:p w14:paraId="482CF3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(10.97)</w:t>
            </w:r>
          </w:p>
        </w:tc>
        <w:tc>
          <w:tcPr>
            <w:tcW w:w="738" w:type="pct"/>
            <w:tcBorders>
              <w:top w:val="nil"/>
              <w:left w:val="nil"/>
              <w:bottom w:val="nil"/>
              <w:right w:val="nil"/>
            </w:tcBorders>
          </w:tcPr>
          <w:p w14:paraId="7F84AA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(9.485)</w:t>
            </w:r>
          </w:p>
        </w:tc>
      </w:tr>
      <w:tr w:rsidR="00F00E3D" w:rsidRPr="00335312" w14:paraId="12EB61D8" w14:textId="77777777" w:rsidTr="00063AC8">
        <w:trPr>
          <w:jc w:val="center"/>
        </w:trPr>
        <w:tc>
          <w:tcPr>
            <w:tcW w:w="1112" w:type="pct"/>
            <w:tcBorders>
              <w:top w:val="nil"/>
              <w:left w:val="nil"/>
              <w:bottom w:val="nil"/>
              <w:right w:val="nil"/>
            </w:tcBorders>
          </w:tcPr>
          <w:p w14:paraId="5B1219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2017.year#9.month</w:t>
            </w:r>
          </w:p>
        </w:tc>
        <w:tc>
          <w:tcPr>
            <w:tcW w:w="607" w:type="pct"/>
            <w:tcBorders>
              <w:top w:val="nil"/>
              <w:left w:val="nil"/>
              <w:bottom w:val="nil"/>
              <w:right w:val="nil"/>
            </w:tcBorders>
          </w:tcPr>
          <w:p w14:paraId="60640D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0.280***</w:t>
            </w:r>
          </w:p>
        </w:tc>
        <w:tc>
          <w:tcPr>
            <w:tcW w:w="1006" w:type="pct"/>
            <w:tcBorders>
              <w:top w:val="nil"/>
              <w:left w:val="nil"/>
              <w:bottom w:val="nil"/>
              <w:right w:val="nil"/>
            </w:tcBorders>
          </w:tcPr>
          <w:p w14:paraId="795F41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0.350***</w:t>
            </w:r>
          </w:p>
        </w:tc>
        <w:tc>
          <w:tcPr>
            <w:tcW w:w="668" w:type="pct"/>
            <w:tcBorders>
              <w:top w:val="nil"/>
              <w:left w:val="nil"/>
              <w:bottom w:val="nil"/>
              <w:right w:val="nil"/>
            </w:tcBorders>
          </w:tcPr>
          <w:p w14:paraId="56562A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0.177***</w:t>
            </w:r>
          </w:p>
        </w:tc>
        <w:tc>
          <w:tcPr>
            <w:tcW w:w="870" w:type="pct"/>
            <w:tcBorders>
              <w:top w:val="nil"/>
              <w:left w:val="nil"/>
              <w:bottom w:val="nil"/>
              <w:right w:val="nil"/>
            </w:tcBorders>
          </w:tcPr>
          <w:p w14:paraId="42A4C3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0.229***</w:t>
            </w:r>
          </w:p>
        </w:tc>
        <w:tc>
          <w:tcPr>
            <w:tcW w:w="738" w:type="pct"/>
            <w:tcBorders>
              <w:top w:val="nil"/>
              <w:left w:val="nil"/>
              <w:bottom w:val="nil"/>
              <w:right w:val="nil"/>
            </w:tcBorders>
          </w:tcPr>
          <w:p w14:paraId="45DB8E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0.264***</w:t>
            </w:r>
          </w:p>
        </w:tc>
      </w:tr>
      <w:tr w:rsidR="00F00E3D" w:rsidRPr="00335312" w14:paraId="637604D8" w14:textId="77777777" w:rsidTr="00063AC8">
        <w:trPr>
          <w:jc w:val="center"/>
        </w:trPr>
        <w:tc>
          <w:tcPr>
            <w:tcW w:w="1112" w:type="pct"/>
            <w:tcBorders>
              <w:top w:val="nil"/>
              <w:left w:val="nil"/>
              <w:bottom w:val="nil"/>
              <w:right w:val="nil"/>
            </w:tcBorders>
          </w:tcPr>
          <w:p w14:paraId="6B1566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EFAA3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(33.86)</w:t>
            </w:r>
          </w:p>
        </w:tc>
        <w:tc>
          <w:tcPr>
            <w:tcW w:w="1006" w:type="pct"/>
            <w:tcBorders>
              <w:top w:val="nil"/>
              <w:left w:val="nil"/>
              <w:bottom w:val="nil"/>
              <w:right w:val="nil"/>
            </w:tcBorders>
          </w:tcPr>
          <w:p w14:paraId="606403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(43.94)</w:t>
            </w:r>
          </w:p>
        </w:tc>
        <w:tc>
          <w:tcPr>
            <w:tcW w:w="668" w:type="pct"/>
            <w:tcBorders>
              <w:top w:val="nil"/>
              <w:left w:val="nil"/>
              <w:bottom w:val="nil"/>
              <w:right w:val="nil"/>
            </w:tcBorders>
          </w:tcPr>
          <w:p w14:paraId="77DA84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(14.97)</w:t>
            </w:r>
          </w:p>
        </w:tc>
        <w:tc>
          <w:tcPr>
            <w:tcW w:w="870" w:type="pct"/>
            <w:tcBorders>
              <w:top w:val="nil"/>
              <w:left w:val="nil"/>
              <w:bottom w:val="nil"/>
              <w:right w:val="nil"/>
            </w:tcBorders>
          </w:tcPr>
          <w:p w14:paraId="15277F2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(11.03)</w:t>
            </w:r>
          </w:p>
        </w:tc>
        <w:tc>
          <w:tcPr>
            <w:tcW w:w="738" w:type="pct"/>
            <w:tcBorders>
              <w:top w:val="nil"/>
              <w:left w:val="nil"/>
              <w:bottom w:val="nil"/>
              <w:right w:val="nil"/>
            </w:tcBorders>
          </w:tcPr>
          <w:p w14:paraId="2746D56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(73.07)</w:t>
            </w:r>
          </w:p>
        </w:tc>
      </w:tr>
      <w:tr w:rsidR="00F00E3D" w:rsidRPr="00335312" w14:paraId="02292ADB" w14:textId="77777777" w:rsidTr="00063AC8">
        <w:trPr>
          <w:jc w:val="center"/>
        </w:trPr>
        <w:tc>
          <w:tcPr>
            <w:tcW w:w="1112" w:type="pct"/>
            <w:tcBorders>
              <w:top w:val="nil"/>
              <w:left w:val="nil"/>
              <w:bottom w:val="nil"/>
              <w:right w:val="nil"/>
            </w:tcBorders>
          </w:tcPr>
          <w:p w14:paraId="41A4BB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2017.year#10.month</w:t>
            </w:r>
          </w:p>
        </w:tc>
        <w:tc>
          <w:tcPr>
            <w:tcW w:w="607" w:type="pct"/>
            <w:tcBorders>
              <w:top w:val="nil"/>
              <w:left w:val="nil"/>
              <w:bottom w:val="nil"/>
              <w:right w:val="nil"/>
            </w:tcBorders>
          </w:tcPr>
          <w:p w14:paraId="67B20A8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0.292***</w:t>
            </w:r>
          </w:p>
        </w:tc>
        <w:tc>
          <w:tcPr>
            <w:tcW w:w="1006" w:type="pct"/>
            <w:tcBorders>
              <w:top w:val="nil"/>
              <w:left w:val="nil"/>
              <w:bottom w:val="nil"/>
              <w:right w:val="nil"/>
            </w:tcBorders>
          </w:tcPr>
          <w:p w14:paraId="3449E4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0.362***</w:t>
            </w:r>
          </w:p>
        </w:tc>
        <w:tc>
          <w:tcPr>
            <w:tcW w:w="668" w:type="pct"/>
            <w:tcBorders>
              <w:top w:val="nil"/>
              <w:left w:val="nil"/>
              <w:bottom w:val="nil"/>
              <w:right w:val="nil"/>
            </w:tcBorders>
          </w:tcPr>
          <w:p w14:paraId="11BDF9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0.191***</w:t>
            </w:r>
          </w:p>
        </w:tc>
        <w:tc>
          <w:tcPr>
            <w:tcW w:w="870" w:type="pct"/>
            <w:tcBorders>
              <w:top w:val="nil"/>
              <w:left w:val="nil"/>
              <w:bottom w:val="nil"/>
              <w:right w:val="nil"/>
            </w:tcBorders>
          </w:tcPr>
          <w:p w14:paraId="402105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0.267***</w:t>
            </w:r>
          </w:p>
        </w:tc>
        <w:tc>
          <w:tcPr>
            <w:tcW w:w="738" w:type="pct"/>
            <w:tcBorders>
              <w:top w:val="nil"/>
              <w:left w:val="nil"/>
              <w:bottom w:val="nil"/>
              <w:right w:val="nil"/>
            </w:tcBorders>
          </w:tcPr>
          <w:p w14:paraId="4DEFC36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0.321**</w:t>
            </w:r>
          </w:p>
        </w:tc>
      </w:tr>
      <w:tr w:rsidR="00F00E3D" w:rsidRPr="00335312" w14:paraId="669E6FC2" w14:textId="77777777" w:rsidTr="00063AC8">
        <w:trPr>
          <w:jc w:val="center"/>
        </w:trPr>
        <w:tc>
          <w:tcPr>
            <w:tcW w:w="1112" w:type="pct"/>
            <w:tcBorders>
              <w:top w:val="nil"/>
              <w:left w:val="nil"/>
              <w:bottom w:val="nil"/>
              <w:right w:val="nil"/>
            </w:tcBorders>
          </w:tcPr>
          <w:p w14:paraId="005DC9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90851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(35.38)</w:t>
            </w:r>
          </w:p>
        </w:tc>
        <w:tc>
          <w:tcPr>
            <w:tcW w:w="1006" w:type="pct"/>
            <w:tcBorders>
              <w:top w:val="nil"/>
              <w:left w:val="nil"/>
              <w:bottom w:val="nil"/>
              <w:right w:val="nil"/>
            </w:tcBorders>
          </w:tcPr>
          <w:p w14:paraId="3F3235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(45.74)</w:t>
            </w:r>
          </w:p>
        </w:tc>
        <w:tc>
          <w:tcPr>
            <w:tcW w:w="668" w:type="pct"/>
            <w:tcBorders>
              <w:top w:val="nil"/>
              <w:left w:val="nil"/>
              <w:bottom w:val="nil"/>
              <w:right w:val="nil"/>
            </w:tcBorders>
          </w:tcPr>
          <w:p w14:paraId="0434BF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(16.59)</w:t>
            </w:r>
          </w:p>
        </w:tc>
        <w:tc>
          <w:tcPr>
            <w:tcW w:w="870" w:type="pct"/>
            <w:tcBorders>
              <w:top w:val="nil"/>
              <w:left w:val="nil"/>
              <w:bottom w:val="nil"/>
              <w:right w:val="nil"/>
            </w:tcBorders>
          </w:tcPr>
          <w:p w14:paraId="7695A9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(12.47)</w:t>
            </w:r>
          </w:p>
        </w:tc>
        <w:tc>
          <w:tcPr>
            <w:tcW w:w="738" w:type="pct"/>
            <w:tcBorders>
              <w:top w:val="nil"/>
              <w:left w:val="nil"/>
              <w:bottom w:val="nil"/>
              <w:right w:val="nil"/>
            </w:tcBorders>
          </w:tcPr>
          <w:p w14:paraId="66A518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(4.735)</w:t>
            </w:r>
          </w:p>
        </w:tc>
      </w:tr>
      <w:tr w:rsidR="00F00E3D" w:rsidRPr="00335312" w14:paraId="6D991036" w14:textId="77777777" w:rsidTr="00063AC8">
        <w:trPr>
          <w:jc w:val="center"/>
        </w:trPr>
        <w:tc>
          <w:tcPr>
            <w:tcW w:w="1112" w:type="pct"/>
            <w:tcBorders>
              <w:top w:val="nil"/>
              <w:left w:val="nil"/>
              <w:bottom w:val="nil"/>
              <w:right w:val="nil"/>
            </w:tcBorders>
          </w:tcPr>
          <w:p w14:paraId="673262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2017.year#11.month</w:t>
            </w:r>
          </w:p>
        </w:tc>
        <w:tc>
          <w:tcPr>
            <w:tcW w:w="607" w:type="pct"/>
            <w:tcBorders>
              <w:top w:val="nil"/>
              <w:left w:val="nil"/>
              <w:bottom w:val="nil"/>
              <w:right w:val="nil"/>
            </w:tcBorders>
          </w:tcPr>
          <w:p w14:paraId="13037A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0.299***</w:t>
            </w:r>
          </w:p>
        </w:tc>
        <w:tc>
          <w:tcPr>
            <w:tcW w:w="1006" w:type="pct"/>
            <w:tcBorders>
              <w:top w:val="nil"/>
              <w:left w:val="nil"/>
              <w:bottom w:val="nil"/>
              <w:right w:val="nil"/>
            </w:tcBorders>
          </w:tcPr>
          <w:p w14:paraId="078FB6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0.374***</w:t>
            </w:r>
          </w:p>
        </w:tc>
        <w:tc>
          <w:tcPr>
            <w:tcW w:w="668" w:type="pct"/>
            <w:tcBorders>
              <w:top w:val="nil"/>
              <w:left w:val="nil"/>
              <w:bottom w:val="nil"/>
              <w:right w:val="nil"/>
            </w:tcBorders>
          </w:tcPr>
          <w:p w14:paraId="2F62F0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0.190***</w:t>
            </w:r>
          </w:p>
        </w:tc>
        <w:tc>
          <w:tcPr>
            <w:tcW w:w="870" w:type="pct"/>
            <w:tcBorders>
              <w:top w:val="nil"/>
              <w:left w:val="nil"/>
              <w:bottom w:val="nil"/>
              <w:right w:val="nil"/>
            </w:tcBorders>
          </w:tcPr>
          <w:p w14:paraId="01A184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0.262***</w:t>
            </w:r>
          </w:p>
        </w:tc>
        <w:tc>
          <w:tcPr>
            <w:tcW w:w="738" w:type="pct"/>
            <w:tcBorders>
              <w:top w:val="nil"/>
              <w:left w:val="nil"/>
              <w:bottom w:val="nil"/>
              <w:right w:val="nil"/>
            </w:tcBorders>
          </w:tcPr>
          <w:p w14:paraId="2C5FAD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0.305**</w:t>
            </w:r>
          </w:p>
        </w:tc>
      </w:tr>
      <w:tr w:rsidR="00F00E3D" w:rsidRPr="00335312" w14:paraId="777C54FA" w14:textId="77777777" w:rsidTr="00063AC8">
        <w:trPr>
          <w:jc w:val="center"/>
        </w:trPr>
        <w:tc>
          <w:tcPr>
            <w:tcW w:w="1112" w:type="pct"/>
            <w:tcBorders>
              <w:top w:val="nil"/>
              <w:left w:val="nil"/>
              <w:bottom w:val="nil"/>
              <w:right w:val="nil"/>
            </w:tcBorders>
          </w:tcPr>
          <w:p w14:paraId="240FEA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197C1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(35.05)</w:t>
            </w:r>
          </w:p>
        </w:tc>
        <w:tc>
          <w:tcPr>
            <w:tcW w:w="1006" w:type="pct"/>
            <w:tcBorders>
              <w:top w:val="nil"/>
              <w:left w:val="nil"/>
              <w:bottom w:val="nil"/>
              <w:right w:val="nil"/>
            </w:tcBorders>
          </w:tcPr>
          <w:p w14:paraId="05D3F2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(45.40)</w:t>
            </w:r>
          </w:p>
        </w:tc>
        <w:tc>
          <w:tcPr>
            <w:tcW w:w="668" w:type="pct"/>
            <w:tcBorders>
              <w:top w:val="nil"/>
              <w:left w:val="nil"/>
              <w:bottom w:val="nil"/>
              <w:right w:val="nil"/>
            </w:tcBorders>
          </w:tcPr>
          <w:p w14:paraId="2EFC4F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(16.09)</w:t>
            </w:r>
          </w:p>
        </w:tc>
        <w:tc>
          <w:tcPr>
            <w:tcW w:w="870" w:type="pct"/>
            <w:tcBorders>
              <w:top w:val="nil"/>
              <w:left w:val="nil"/>
              <w:bottom w:val="nil"/>
              <w:right w:val="nil"/>
            </w:tcBorders>
          </w:tcPr>
          <w:p w14:paraId="209307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(12.09)</w:t>
            </w:r>
          </w:p>
        </w:tc>
        <w:tc>
          <w:tcPr>
            <w:tcW w:w="738" w:type="pct"/>
            <w:tcBorders>
              <w:top w:val="nil"/>
              <w:left w:val="nil"/>
              <w:bottom w:val="nil"/>
              <w:right w:val="nil"/>
            </w:tcBorders>
          </w:tcPr>
          <w:p w14:paraId="439649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(7.874)</w:t>
            </w:r>
          </w:p>
        </w:tc>
      </w:tr>
      <w:tr w:rsidR="00F00E3D" w:rsidRPr="00335312" w14:paraId="13005CB7" w14:textId="77777777" w:rsidTr="00063AC8">
        <w:trPr>
          <w:jc w:val="center"/>
        </w:trPr>
        <w:tc>
          <w:tcPr>
            <w:tcW w:w="1112" w:type="pct"/>
            <w:tcBorders>
              <w:top w:val="nil"/>
              <w:left w:val="nil"/>
              <w:bottom w:val="nil"/>
              <w:right w:val="nil"/>
            </w:tcBorders>
          </w:tcPr>
          <w:p w14:paraId="77D4E6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2017.year#12.month</w:t>
            </w:r>
          </w:p>
        </w:tc>
        <w:tc>
          <w:tcPr>
            <w:tcW w:w="607" w:type="pct"/>
            <w:tcBorders>
              <w:top w:val="nil"/>
              <w:left w:val="nil"/>
              <w:bottom w:val="nil"/>
              <w:right w:val="nil"/>
            </w:tcBorders>
          </w:tcPr>
          <w:p w14:paraId="3DAC89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0.303***</w:t>
            </w:r>
          </w:p>
        </w:tc>
        <w:tc>
          <w:tcPr>
            <w:tcW w:w="1006" w:type="pct"/>
            <w:tcBorders>
              <w:top w:val="nil"/>
              <w:left w:val="nil"/>
              <w:bottom w:val="nil"/>
              <w:right w:val="nil"/>
            </w:tcBorders>
          </w:tcPr>
          <w:p w14:paraId="1F2717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0.371***</w:t>
            </w:r>
          </w:p>
        </w:tc>
        <w:tc>
          <w:tcPr>
            <w:tcW w:w="668" w:type="pct"/>
            <w:tcBorders>
              <w:top w:val="nil"/>
              <w:left w:val="nil"/>
              <w:bottom w:val="nil"/>
              <w:right w:val="nil"/>
            </w:tcBorders>
          </w:tcPr>
          <w:p w14:paraId="39CA26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0.200***</w:t>
            </w:r>
          </w:p>
        </w:tc>
        <w:tc>
          <w:tcPr>
            <w:tcW w:w="870" w:type="pct"/>
            <w:tcBorders>
              <w:top w:val="nil"/>
              <w:left w:val="nil"/>
              <w:bottom w:val="nil"/>
              <w:right w:val="nil"/>
            </w:tcBorders>
          </w:tcPr>
          <w:p w14:paraId="1B25EB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0.249***</w:t>
            </w:r>
          </w:p>
        </w:tc>
        <w:tc>
          <w:tcPr>
            <w:tcW w:w="738" w:type="pct"/>
            <w:tcBorders>
              <w:top w:val="nil"/>
              <w:left w:val="nil"/>
              <w:bottom w:val="nil"/>
              <w:right w:val="nil"/>
            </w:tcBorders>
          </w:tcPr>
          <w:p w14:paraId="18D3DE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0.290**</w:t>
            </w:r>
          </w:p>
        </w:tc>
      </w:tr>
      <w:tr w:rsidR="00F00E3D" w:rsidRPr="00335312" w14:paraId="2F38214B" w14:textId="77777777" w:rsidTr="00063AC8">
        <w:trPr>
          <w:jc w:val="center"/>
        </w:trPr>
        <w:tc>
          <w:tcPr>
            <w:tcW w:w="1112" w:type="pct"/>
            <w:tcBorders>
              <w:top w:val="nil"/>
              <w:left w:val="nil"/>
              <w:bottom w:val="nil"/>
              <w:right w:val="nil"/>
            </w:tcBorders>
          </w:tcPr>
          <w:p w14:paraId="0FF19A9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2C38E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(30.87)</w:t>
            </w:r>
          </w:p>
        </w:tc>
        <w:tc>
          <w:tcPr>
            <w:tcW w:w="1006" w:type="pct"/>
            <w:tcBorders>
              <w:top w:val="nil"/>
              <w:left w:val="nil"/>
              <w:bottom w:val="nil"/>
              <w:right w:val="nil"/>
            </w:tcBorders>
          </w:tcPr>
          <w:p w14:paraId="633CF9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(32.49)</w:t>
            </w:r>
          </w:p>
        </w:tc>
        <w:tc>
          <w:tcPr>
            <w:tcW w:w="668" w:type="pct"/>
            <w:tcBorders>
              <w:top w:val="nil"/>
              <w:left w:val="nil"/>
              <w:bottom w:val="nil"/>
              <w:right w:val="nil"/>
            </w:tcBorders>
          </w:tcPr>
          <w:p w14:paraId="354C76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(17.25)</w:t>
            </w:r>
          </w:p>
        </w:tc>
        <w:tc>
          <w:tcPr>
            <w:tcW w:w="870" w:type="pct"/>
            <w:tcBorders>
              <w:top w:val="nil"/>
              <w:left w:val="nil"/>
              <w:bottom w:val="nil"/>
              <w:right w:val="nil"/>
            </w:tcBorders>
          </w:tcPr>
          <w:p w14:paraId="517B31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(9.559)</w:t>
            </w:r>
          </w:p>
        </w:tc>
        <w:tc>
          <w:tcPr>
            <w:tcW w:w="738" w:type="pct"/>
            <w:tcBorders>
              <w:top w:val="nil"/>
              <w:left w:val="nil"/>
              <w:bottom w:val="nil"/>
              <w:right w:val="nil"/>
            </w:tcBorders>
          </w:tcPr>
          <w:p w14:paraId="7E2D69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(6.291)</w:t>
            </w:r>
          </w:p>
        </w:tc>
      </w:tr>
      <w:tr w:rsidR="00F00E3D" w:rsidRPr="00335312" w14:paraId="6990ABBB" w14:textId="77777777" w:rsidTr="00063AC8">
        <w:trPr>
          <w:jc w:val="center"/>
        </w:trPr>
        <w:tc>
          <w:tcPr>
            <w:tcW w:w="1112" w:type="pct"/>
            <w:tcBorders>
              <w:top w:val="nil"/>
              <w:left w:val="nil"/>
              <w:bottom w:val="nil"/>
              <w:right w:val="nil"/>
            </w:tcBorders>
          </w:tcPr>
          <w:p w14:paraId="1761FB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2018.year#1.month</w:t>
            </w:r>
          </w:p>
        </w:tc>
        <w:tc>
          <w:tcPr>
            <w:tcW w:w="607" w:type="pct"/>
            <w:tcBorders>
              <w:top w:val="nil"/>
              <w:left w:val="nil"/>
              <w:bottom w:val="nil"/>
              <w:right w:val="nil"/>
            </w:tcBorders>
          </w:tcPr>
          <w:p w14:paraId="24FA8C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0.289***</w:t>
            </w:r>
          </w:p>
        </w:tc>
        <w:tc>
          <w:tcPr>
            <w:tcW w:w="1006" w:type="pct"/>
            <w:tcBorders>
              <w:top w:val="nil"/>
              <w:left w:val="nil"/>
              <w:bottom w:val="nil"/>
              <w:right w:val="nil"/>
            </w:tcBorders>
          </w:tcPr>
          <w:p w14:paraId="3ADCE40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0.354***</w:t>
            </w:r>
          </w:p>
        </w:tc>
        <w:tc>
          <w:tcPr>
            <w:tcW w:w="668" w:type="pct"/>
            <w:tcBorders>
              <w:top w:val="nil"/>
              <w:left w:val="nil"/>
              <w:bottom w:val="nil"/>
              <w:right w:val="nil"/>
            </w:tcBorders>
          </w:tcPr>
          <w:p w14:paraId="47240D8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0.208***</w:t>
            </w:r>
          </w:p>
        </w:tc>
        <w:tc>
          <w:tcPr>
            <w:tcW w:w="870" w:type="pct"/>
            <w:tcBorders>
              <w:top w:val="nil"/>
              <w:left w:val="nil"/>
              <w:bottom w:val="nil"/>
              <w:right w:val="nil"/>
            </w:tcBorders>
          </w:tcPr>
          <w:p w14:paraId="4D279D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0.287***</w:t>
            </w:r>
          </w:p>
        </w:tc>
        <w:tc>
          <w:tcPr>
            <w:tcW w:w="738" w:type="pct"/>
            <w:tcBorders>
              <w:top w:val="nil"/>
              <w:left w:val="nil"/>
              <w:bottom w:val="nil"/>
              <w:right w:val="nil"/>
            </w:tcBorders>
          </w:tcPr>
          <w:p w14:paraId="03D6FC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0.314***</w:t>
            </w:r>
          </w:p>
        </w:tc>
      </w:tr>
      <w:tr w:rsidR="00F00E3D" w:rsidRPr="00335312" w14:paraId="62B7611A" w14:textId="77777777" w:rsidTr="00063AC8">
        <w:trPr>
          <w:jc w:val="center"/>
        </w:trPr>
        <w:tc>
          <w:tcPr>
            <w:tcW w:w="1112" w:type="pct"/>
            <w:tcBorders>
              <w:top w:val="nil"/>
              <w:left w:val="nil"/>
              <w:bottom w:val="nil"/>
              <w:right w:val="nil"/>
            </w:tcBorders>
          </w:tcPr>
          <w:p w14:paraId="6E190E6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24B889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(34.30)</w:t>
            </w:r>
          </w:p>
        </w:tc>
        <w:tc>
          <w:tcPr>
            <w:tcW w:w="1006" w:type="pct"/>
            <w:tcBorders>
              <w:top w:val="nil"/>
              <w:left w:val="nil"/>
              <w:bottom w:val="nil"/>
              <w:right w:val="nil"/>
            </w:tcBorders>
          </w:tcPr>
          <w:p w14:paraId="36C337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(40.87)</w:t>
            </w:r>
          </w:p>
        </w:tc>
        <w:tc>
          <w:tcPr>
            <w:tcW w:w="668" w:type="pct"/>
            <w:tcBorders>
              <w:top w:val="nil"/>
              <w:left w:val="nil"/>
              <w:bottom w:val="nil"/>
              <w:right w:val="nil"/>
            </w:tcBorders>
          </w:tcPr>
          <w:p w14:paraId="7A373F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(18.26)</w:t>
            </w:r>
          </w:p>
        </w:tc>
        <w:tc>
          <w:tcPr>
            <w:tcW w:w="870" w:type="pct"/>
            <w:tcBorders>
              <w:top w:val="nil"/>
              <w:left w:val="nil"/>
              <w:bottom w:val="nil"/>
              <w:right w:val="nil"/>
            </w:tcBorders>
          </w:tcPr>
          <w:p w14:paraId="3494365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(13.56)</w:t>
            </w:r>
          </w:p>
        </w:tc>
        <w:tc>
          <w:tcPr>
            <w:tcW w:w="738" w:type="pct"/>
            <w:tcBorders>
              <w:top w:val="nil"/>
              <w:left w:val="nil"/>
              <w:bottom w:val="nil"/>
              <w:right w:val="nil"/>
            </w:tcBorders>
          </w:tcPr>
          <w:p w14:paraId="34F62A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(39.81)</w:t>
            </w:r>
          </w:p>
        </w:tc>
      </w:tr>
      <w:tr w:rsidR="00F00E3D" w:rsidRPr="00335312" w14:paraId="50C9F21B" w14:textId="77777777" w:rsidTr="00063AC8">
        <w:trPr>
          <w:jc w:val="center"/>
        </w:trPr>
        <w:tc>
          <w:tcPr>
            <w:tcW w:w="1112" w:type="pct"/>
            <w:tcBorders>
              <w:top w:val="nil"/>
              <w:left w:val="nil"/>
              <w:bottom w:val="nil"/>
              <w:right w:val="nil"/>
            </w:tcBorders>
          </w:tcPr>
          <w:p w14:paraId="301507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2018.year#2.month</w:t>
            </w:r>
          </w:p>
        </w:tc>
        <w:tc>
          <w:tcPr>
            <w:tcW w:w="607" w:type="pct"/>
            <w:tcBorders>
              <w:top w:val="nil"/>
              <w:left w:val="nil"/>
              <w:bottom w:val="nil"/>
              <w:right w:val="nil"/>
            </w:tcBorders>
          </w:tcPr>
          <w:p w14:paraId="31C8BB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0.299***</w:t>
            </w:r>
          </w:p>
        </w:tc>
        <w:tc>
          <w:tcPr>
            <w:tcW w:w="1006" w:type="pct"/>
            <w:tcBorders>
              <w:top w:val="nil"/>
              <w:left w:val="nil"/>
              <w:bottom w:val="nil"/>
              <w:right w:val="nil"/>
            </w:tcBorders>
          </w:tcPr>
          <w:p w14:paraId="7CBCBF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0.370***</w:t>
            </w:r>
          </w:p>
        </w:tc>
        <w:tc>
          <w:tcPr>
            <w:tcW w:w="668" w:type="pct"/>
            <w:tcBorders>
              <w:top w:val="nil"/>
              <w:left w:val="nil"/>
              <w:bottom w:val="nil"/>
              <w:right w:val="nil"/>
            </w:tcBorders>
          </w:tcPr>
          <w:p w14:paraId="6FF88F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0.205***</w:t>
            </w:r>
          </w:p>
        </w:tc>
        <w:tc>
          <w:tcPr>
            <w:tcW w:w="870" w:type="pct"/>
            <w:tcBorders>
              <w:top w:val="nil"/>
              <w:left w:val="nil"/>
              <w:bottom w:val="nil"/>
              <w:right w:val="nil"/>
            </w:tcBorders>
          </w:tcPr>
          <w:p w14:paraId="2D9427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0.312***</w:t>
            </w:r>
          </w:p>
        </w:tc>
        <w:tc>
          <w:tcPr>
            <w:tcW w:w="738" w:type="pct"/>
            <w:tcBorders>
              <w:top w:val="nil"/>
              <w:left w:val="nil"/>
              <w:bottom w:val="nil"/>
              <w:right w:val="nil"/>
            </w:tcBorders>
          </w:tcPr>
          <w:p w14:paraId="27CBCE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0.388**</w:t>
            </w:r>
          </w:p>
        </w:tc>
      </w:tr>
      <w:tr w:rsidR="00F00E3D" w:rsidRPr="00335312" w14:paraId="4F44816D" w14:textId="77777777" w:rsidTr="00063AC8">
        <w:trPr>
          <w:jc w:val="center"/>
        </w:trPr>
        <w:tc>
          <w:tcPr>
            <w:tcW w:w="1112" w:type="pct"/>
            <w:tcBorders>
              <w:top w:val="nil"/>
              <w:left w:val="nil"/>
              <w:bottom w:val="nil"/>
              <w:right w:val="nil"/>
            </w:tcBorders>
          </w:tcPr>
          <w:p w14:paraId="6E59C8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57D30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(36.03)</w:t>
            </w:r>
          </w:p>
        </w:tc>
        <w:tc>
          <w:tcPr>
            <w:tcW w:w="1006" w:type="pct"/>
            <w:tcBorders>
              <w:top w:val="nil"/>
              <w:left w:val="nil"/>
              <w:bottom w:val="nil"/>
              <w:right w:val="nil"/>
            </w:tcBorders>
          </w:tcPr>
          <w:p w14:paraId="2EBEEA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(44.25)</w:t>
            </w:r>
          </w:p>
        </w:tc>
        <w:tc>
          <w:tcPr>
            <w:tcW w:w="668" w:type="pct"/>
            <w:tcBorders>
              <w:top w:val="nil"/>
              <w:left w:val="nil"/>
              <w:bottom w:val="nil"/>
              <w:right w:val="nil"/>
            </w:tcBorders>
          </w:tcPr>
          <w:p w14:paraId="6D25C7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(18.51)</w:t>
            </w:r>
          </w:p>
        </w:tc>
        <w:tc>
          <w:tcPr>
            <w:tcW w:w="870" w:type="pct"/>
            <w:tcBorders>
              <w:top w:val="nil"/>
              <w:left w:val="nil"/>
              <w:bottom w:val="nil"/>
              <w:right w:val="nil"/>
            </w:tcBorders>
          </w:tcPr>
          <w:p w14:paraId="5D66E80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(13.80)</w:t>
            </w:r>
          </w:p>
        </w:tc>
        <w:tc>
          <w:tcPr>
            <w:tcW w:w="738" w:type="pct"/>
            <w:tcBorders>
              <w:top w:val="nil"/>
              <w:left w:val="nil"/>
              <w:bottom w:val="nil"/>
              <w:right w:val="nil"/>
            </w:tcBorders>
          </w:tcPr>
          <w:p w14:paraId="4FDF942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(9.186)</w:t>
            </w:r>
          </w:p>
        </w:tc>
      </w:tr>
      <w:tr w:rsidR="00F00E3D" w:rsidRPr="00335312" w14:paraId="746D441F" w14:textId="77777777" w:rsidTr="00063AC8">
        <w:trPr>
          <w:jc w:val="center"/>
        </w:trPr>
        <w:tc>
          <w:tcPr>
            <w:tcW w:w="1112" w:type="pct"/>
            <w:tcBorders>
              <w:top w:val="nil"/>
              <w:left w:val="nil"/>
              <w:bottom w:val="nil"/>
              <w:right w:val="nil"/>
            </w:tcBorders>
          </w:tcPr>
          <w:p w14:paraId="12260E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2018.year#3.month</w:t>
            </w:r>
          </w:p>
        </w:tc>
        <w:tc>
          <w:tcPr>
            <w:tcW w:w="607" w:type="pct"/>
            <w:tcBorders>
              <w:top w:val="nil"/>
              <w:left w:val="nil"/>
              <w:bottom w:val="nil"/>
              <w:right w:val="nil"/>
            </w:tcBorders>
          </w:tcPr>
          <w:p w14:paraId="5913F2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0.309***</w:t>
            </w:r>
          </w:p>
        </w:tc>
        <w:tc>
          <w:tcPr>
            <w:tcW w:w="1006" w:type="pct"/>
            <w:tcBorders>
              <w:top w:val="nil"/>
              <w:left w:val="nil"/>
              <w:bottom w:val="nil"/>
              <w:right w:val="nil"/>
            </w:tcBorders>
          </w:tcPr>
          <w:p w14:paraId="6D403D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0.373***</w:t>
            </w:r>
          </w:p>
        </w:tc>
        <w:tc>
          <w:tcPr>
            <w:tcW w:w="668" w:type="pct"/>
            <w:tcBorders>
              <w:top w:val="nil"/>
              <w:left w:val="nil"/>
              <w:bottom w:val="nil"/>
              <w:right w:val="nil"/>
            </w:tcBorders>
          </w:tcPr>
          <w:p w14:paraId="547D00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0.220***</w:t>
            </w:r>
          </w:p>
        </w:tc>
        <w:tc>
          <w:tcPr>
            <w:tcW w:w="870" w:type="pct"/>
            <w:tcBorders>
              <w:top w:val="nil"/>
              <w:left w:val="nil"/>
              <w:bottom w:val="nil"/>
              <w:right w:val="nil"/>
            </w:tcBorders>
          </w:tcPr>
          <w:p w14:paraId="5A8071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0.319***</w:t>
            </w:r>
          </w:p>
        </w:tc>
        <w:tc>
          <w:tcPr>
            <w:tcW w:w="738" w:type="pct"/>
            <w:tcBorders>
              <w:top w:val="nil"/>
              <w:left w:val="nil"/>
              <w:bottom w:val="nil"/>
              <w:right w:val="nil"/>
            </w:tcBorders>
          </w:tcPr>
          <w:p w14:paraId="0CA015B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0.439***</w:t>
            </w:r>
          </w:p>
        </w:tc>
      </w:tr>
      <w:tr w:rsidR="00F00E3D" w:rsidRPr="00335312" w14:paraId="00F942B1" w14:textId="77777777" w:rsidTr="00063AC8">
        <w:trPr>
          <w:jc w:val="center"/>
        </w:trPr>
        <w:tc>
          <w:tcPr>
            <w:tcW w:w="1112" w:type="pct"/>
            <w:tcBorders>
              <w:top w:val="nil"/>
              <w:left w:val="nil"/>
              <w:bottom w:val="nil"/>
              <w:right w:val="nil"/>
            </w:tcBorders>
          </w:tcPr>
          <w:p w14:paraId="1EDB60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103D06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(38.57)</w:t>
            </w:r>
          </w:p>
        </w:tc>
        <w:tc>
          <w:tcPr>
            <w:tcW w:w="1006" w:type="pct"/>
            <w:tcBorders>
              <w:top w:val="nil"/>
              <w:left w:val="nil"/>
              <w:bottom w:val="nil"/>
              <w:right w:val="nil"/>
            </w:tcBorders>
          </w:tcPr>
          <w:p w14:paraId="6A5E76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(45.81)</w:t>
            </w:r>
          </w:p>
        </w:tc>
        <w:tc>
          <w:tcPr>
            <w:tcW w:w="668" w:type="pct"/>
            <w:tcBorders>
              <w:top w:val="nil"/>
              <w:left w:val="nil"/>
              <w:bottom w:val="nil"/>
              <w:right w:val="nil"/>
            </w:tcBorders>
          </w:tcPr>
          <w:p w14:paraId="44F7D4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w:t>
            </w:r>
          </w:p>
        </w:tc>
        <w:tc>
          <w:tcPr>
            <w:tcW w:w="870" w:type="pct"/>
            <w:tcBorders>
              <w:top w:val="nil"/>
              <w:left w:val="nil"/>
              <w:bottom w:val="nil"/>
              <w:right w:val="nil"/>
            </w:tcBorders>
          </w:tcPr>
          <w:p w14:paraId="72B219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(11.96)</w:t>
            </w:r>
          </w:p>
        </w:tc>
        <w:tc>
          <w:tcPr>
            <w:tcW w:w="738" w:type="pct"/>
            <w:tcBorders>
              <w:top w:val="nil"/>
              <w:left w:val="nil"/>
              <w:bottom w:val="nil"/>
              <w:right w:val="nil"/>
            </w:tcBorders>
          </w:tcPr>
          <w:p w14:paraId="35906E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(11.62)</w:t>
            </w:r>
          </w:p>
        </w:tc>
      </w:tr>
      <w:tr w:rsidR="00F00E3D" w:rsidRPr="00335312" w14:paraId="66357C2A" w14:textId="77777777" w:rsidTr="00063AC8">
        <w:trPr>
          <w:jc w:val="center"/>
        </w:trPr>
        <w:tc>
          <w:tcPr>
            <w:tcW w:w="1112" w:type="pct"/>
            <w:tcBorders>
              <w:top w:val="nil"/>
              <w:left w:val="nil"/>
              <w:bottom w:val="nil"/>
              <w:right w:val="nil"/>
            </w:tcBorders>
          </w:tcPr>
          <w:p w14:paraId="75803B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2018.year#4.month</w:t>
            </w:r>
          </w:p>
        </w:tc>
        <w:tc>
          <w:tcPr>
            <w:tcW w:w="607" w:type="pct"/>
            <w:tcBorders>
              <w:top w:val="nil"/>
              <w:left w:val="nil"/>
              <w:bottom w:val="nil"/>
              <w:right w:val="nil"/>
            </w:tcBorders>
          </w:tcPr>
          <w:p w14:paraId="536BBE2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0.299***</w:t>
            </w:r>
          </w:p>
        </w:tc>
        <w:tc>
          <w:tcPr>
            <w:tcW w:w="1006" w:type="pct"/>
            <w:tcBorders>
              <w:top w:val="nil"/>
              <w:left w:val="nil"/>
              <w:bottom w:val="nil"/>
              <w:right w:val="nil"/>
            </w:tcBorders>
          </w:tcPr>
          <w:p w14:paraId="676B1D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0.357***</w:t>
            </w:r>
          </w:p>
        </w:tc>
        <w:tc>
          <w:tcPr>
            <w:tcW w:w="668" w:type="pct"/>
            <w:tcBorders>
              <w:top w:val="nil"/>
              <w:left w:val="nil"/>
              <w:bottom w:val="nil"/>
              <w:right w:val="nil"/>
            </w:tcBorders>
          </w:tcPr>
          <w:p w14:paraId="136746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0.221***</w:t>
            </w:r>
          </w:p>
        </w:tc>
        <w:tc>
          <w:tcPr>
            <w:tcW w:w="870" w:type="pct"/>
            <w:tcBorders>
              <w:top w:val="nil"/>
              <w:left w:val="nil"/>
              <w:bottom w:val="nil"/>
              <w:right w:val="nil"/>
            </w:tcBorders>
          </w:tcPr>
          <w:p w14:paraId="7C090B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0.315***</w:t>
            </w:r>
          </w:p>
        </w:tc>
        <w:tc>
          <w:tcPr>
            <w:tcW w:w="738" w:type="pct"/>
            <w:tcBorders>
              <w:top w:val="nil"/>
              <w:left w:val="nil"/>
              <w:bottom w:val="nil"/>
              <w:right w:val="nil"/>
            </w:tcBorders>
          </w:tcPr>
          <w:p w14:paraId="021477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0.393***</w:t>
            </w:r>
          </w:p>
        </w:tc>
      </w:tr>
      <w:tr w:rsidR="00F00E3D" w:rsidRPr="00335312" w14:paraId="1B29AD68" w14:textId="77777777" w:rsidTr="00063AC8">
        <w:trPr>
          <w:jc w:val="center"/>
        </w:trPr>
        <w:tc>
          <w:tcPr>
            <w:tcW w:w="1112" w:type="pct"/>
            <w:tcBorders>
              <w:top w:val="nil"/>
              <w:left w:val="nil"/>
              <w:bottom w:val="nil"/>
              <w:right w:val="nil"/>
            </w:tcBorders>
          </w:tcPr>
          <w:p w14:paraId="2CE937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A0789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(36.55)</w:t>
            </w:r>
          </w:p>
        </w:tc>
        <w:tc>
          <w:tcPr>
            <w:tcW w:w="1006" w:type="pct"/>
            <w:tcBorders>
              <w:top w:val="nil"/>
              <w:left w:val="nil"/>
              <w:bottom w:val="nil"/>
              <w:right w:val="nil"/>
            </w:tcBorders>
          </w:tcPr>
          <w:p w14:paraId="5E3303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(41.17)</w:t>
            </w:r>
          </w:p>
        </w:tc>
        <w:tc>
          <w:tcPr>
            <w:tcW w:w="668" w:type="pct"/>
            <w:tcBorders>
              <w:top w:val="nil"/>
              <w:left w:val="nil"/>
              <w:bottom w:val="nil"/>
              <w:right w:val="nil"/>
            </w:tcBorders>
          </w:tcPr>
          <w:p w14:paraId="6611F72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(20.10)</w:t>
            </w:r>
          </w:p>
        </w:tc>
        <w:tc>
          <w:tcPr>
            <w:tcW w:w="870" w:type="pct"/>
            <w:tcBorders>
              <w:top w:val="nil"/>
              <w:left w:val="nil"/>
              <w:bottom w:val="nil"/>
              <w:right w:val="nil"/>
            </w:tcBorders>
          </w:tcPr>
          <w:p w14:paraId="5A43D2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(12.78)</w:t>
            </w:r>
          </w:p>
        </w:tc>
        <w:tc>
          <w:tcPr>
            <w:tcW w:w="738" w:type="pct"/>
            <w:tcBorders>
              <w:top w:val="nil"/>
              <w:left w:val="nil"/>
              <w:bottom w:val="nil"/>
              <w:right w:val="nil"/>
            </w:tcBorders>
          </w:tcPr>
          <w:p w14:paraId="76EDC8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(10.77)</w:t>
            </w:r>
          </w:p>
        </w:tc>
      </w:tr>
      <w:tr w:rsidR="00F00E3D" w:rsidRPr="00335312" w14:paraId="4FF8DA62" w14:textId="77777777" w:rsidTr="00063AC8">
        <w:trPr>
          <w:jc w:val="center"/>
        </w:trPr>
        <w:tc>
          <w:tcPr>
            <w:tcW w:w="1112" w:type="pct"/>
            <w:tcBorders>
              <w:top w:val="nil"/>
              <w:left w:val="nil"/>
              <w:bottom w:val="nil"/>
              <w:right w:val="nil"/>
            </w:tcBorders>
          </w:tcPr>
          <w:p w14:paraId="28EE1F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2018.year#5.month</w:t>
            </w:r>
          </w:p>
        </w:tc>
        <w:tc>
          <w:tcPr>
            <w:tcW w:w="607" w:type="pct"/>
            <w:tcBorders>
              <w:top w:val="nil"/>
              <w:left w:val="nil"/>
              <w:bottom w:val="nil"/>
              <w:right w:val="nil"/>
            </w:tcBorders>
          </w:tcPr>
          <w:p w14:paraId="523214D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0.300***</w:t>
            </w:r>
          </w:p>
        </w:tc>
        <w:tc>
          <w:tcPr>
            <w:tcW w:w="1006" w:type="pct"/>
            <w:tcBorders>
              <w:top w:val="nil"/>
              <w:left w:val="nil"/>
              <w:bottom w:val="nil"/>
              <w:right w:val="nil"/>
            </w:tcBorders>
          </w:tcPr>
          <w:p w14:paraId="6655A1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0.355***</w:t>
            </w:r>
          </w:p>
        </w:tc>
        <w:tc>
          <w:tcPr>
            <w:tcW w:w="668" w:type="pct"/>
            <w:tcBorders>
              <w:top w:val="nil"/>
              <w:left w:val="nil"/>
              <w:bottom w:val="nil"/>
              <w:right w:val="nil"/>
            </w:tcBorders>
          </w:tcPr>
          <w:p w14:paraId="7E10EE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0.225***</w:t>
            </w:r>
          </w:p>
        </w:tc>
        <w:tc>
          <w:tcPr>
            <w:tcW w:w="870" w:type="pct"/>
            <w:tcBorders>
              <w:top w:val="nil"/>
              <w:left w:val="nil"/>
              <w:bottom w:val="nil"/>
              <w:right w:val="nil"/>
            </w:tcBorders>
          </w:tcPr>
          <w:p w14:paraId="6AA52DD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0.326***</w:t>
            </w:r>
          </w:p>
        </w:tc>
        <w:tc>
          <w:tcPr>
            <w:tcW w:w="738" w:type="pct"/>
            <w:tcBorders>
              <w:top w:val="nil"/>
              <w:left w:val="nil"/>
              <w:bottom w:val="nil"/>
              <w:right w:val="nil"/>
            </w:tcBorders>
          </w:tcPr>
          <w:p w14:paraId="5DDBAF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0.426***</w:t>
            </w:r>
          </w:p>
        </w:tc>
      </w:tr>
      <w:tr w:rsidR="00F00E3D" w:rsidRPr="00335312" w14:paraId="6247AF3D" w14:textId="77777777" w:rsidTr="00063AC8">
        <w:trPr>
          <w:jc w:val="center"/>
        </w:trPr>
        <w:tc>
          <w:tcPr>
            <w:tcW w:w="1112" w:type="pct"/>
            <w:tcBorders>
              <w:top w:val="nil"/>
              <w:left w:val="nil"/>
              <w:bottom w:val="nil"/>
              <w:right w:val="nil"/>
            </w:tcBorders>
          </w:tcPr>
          <w:p w14:paraId="18DEBF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47068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(38.13)</w:t>
            </w:r>
          </w:p>
        </w:tc>
        <w:tc>
          <w:tcPr>
            <w:tcW w:w="1006" w:type="pct"/>
            <w:tcBorders>
              <w:top w:val="nil"/>
              <w:left w:val="nil"/>
              <w:bottom w:val="nil"/>
              <w:right w:val="nil"/>
            </w:tcBorders>
          </w:tcPr>
          <w:p w14:paraId="575B23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(42.61)</w:t>
            </w:r>
          </w:p>
        </w:tc>
        <w:tc>
          <w:tcPr>
            <w:tcW w:w="668" w:type="pct"/>
            <w:tcBorders>
              <w:top w:val="nil"/>
              <w:left w:val="nil"/>
              <w:bottom w:val="nil"/>
              <w:right w:val="nil"/>
            </w:tcBorders>
          </w:tcPr>
          <w:p w14:paraId="5E6458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(19.98)</w:t>
            </w:r>
          </w:p>
        </w:tc>
        <w:tc>
          <w:tcPr>
            <w:tcW w:w="870" w:type="pct"/>
            <w:tcBorders>
              <w:top w:val="nil"/>
              <w:left w:val="nil"/>
              <w:bottom w:val="nil"/>
              <w:right w:val="nil"/>
            </w:tcBorders>
          </w:tcPr>
          <w:p w14:paraId="4AA698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(13.40)</w:t>
            </w:r>
          </w:p>
        </w:tc>
        <w:tc>
          <w:tcPr>
            <w:tcW w:w="738" w:type="pct"/>
            <w:tcBorders>
              <w:top w:val="nil"/>
              <w:left w:val="nil"/>
              <w:bottom w:val="nil"/>
              <w:right w:val="nil"/>
            </w:tcBorders>
          </w:tcPr>
          <w:p w14:paraId="742FA1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(15.75)</w:t>
            </w:r>
          </w:p>
        </w:tc>
      </w:tr>
      <w:tr w:rsidR="00F00E3D" w:rsidRPr="00335312" w14:paraId="5C19A6DD" w14:textId="77777777" w:rsidTr="00063AC8">
        <w:trPr>
          <w:jc w:val="center"/>
        </w:trPr>
        <w:tc>
          <w:tcPr>
            <w:tcW w:w="1112" w:type="pct"/>
            <w:tcBorders>
              <w:top w:val="nil"/>
              <w:left w:val="nil"/>
              <w:bottom w:val="nil"/>
              <w:right w:val="nil"/>
            </w:tcBorders>
          </w:tcPr>
          <w:p w14:paraId="731A9A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2018.year#6.month</w:t>
            </w:r>
          </w:p>
        </w:tc>
        <w:tc>
          <w:tcPr>
            <w:tcW w:w="607" w:type="pct"/>
            <w:tcBorders>
              <w:top w:val="nil"/>
              <w:left w:val="nil"/>
              <w:bottom w:val="nil"/>
              <w:right w:val="nil"/>
            </w:tcBorders>
          </w:tcPr>
          <w:p w14:paraId="5E9DEEA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0.286***</w:t>
            </w:r>
          </w:p>
        </w:tc>
        <w:tc>
          <w:tcPr>
            <w:tcW w:w="1006" w:type="pct"/>
            <w:tcBorders>
              <w:top w:val="nil"/>
              <w:left w:val="nil"/>
              <w:bottom w:val="nil"/>
              <w:right w:val="nil"/>
            </w:tcBorders>
          </w:tcPr>
          <w:p w14:paraId="6BD8B0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0.333***</w:t>
            </w:r>
          </w:p>
        </w:tc>
        <w:tc>
          <w:tcPr>
            <w:tcW w:w="668" w:type="pct"/>
            <w:tcBorders>
              <w:top w:val="nil"/>
              <w:left w:val="nil"/>
              <w:bottom w:val="nil"/>
              <w:right w:val="nil"/>
            </w:tcBorders>
          </w:tcPr>
          <w:p w14:paraId="72F6A9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0.220***</w:t>
            </w:r>
          </w:p>
        </w:tc>
        <w:tc>
          <w:tcPr>
            <w:tcW w:w="870" w:type="pct"/>
            <w:tcBorders>
              <w:top w:val="nil"/>
              <w:left w:val="nil"/>
              <w:bottom w:val="nil"/>
              <w:right w:val="nil"/>
            </w:tcBorders>
          </w:tcPr>
          <w:p w14:paraId="7BD0D5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0.325***</w:t>
            </w:r>
          </w:p>
        </w:tc>
        <w:tc>
          <w:tcPr>
            <w:tcW w:w="738" w:type="pct"/>
            <w:tcBorders>
              <w:top w:val="nil"/>
              <w:left w:val="nil"/>
              <w:bottom w:val="nil"/>
              <w:right w:val="nil"/>
            </w:tcBorders>
          </w:tcPr>
          <w:p w14:paraId="1596FA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0.413***</w:t>
            </w:r>
          </w:p>
        </w:tc>
      </w:tr>
      <w:tr w:rsidR="00F00E3D" w:rsidRPr="00335312" w14:paraId="617E1EBE" w14:textId="77777777" w:rsidTr="00063AC8">
        <w:trPr>
          <w:jc w:val="center"/>
        </w:trPr>
        <w:tc>
          <w:tcPr>
            <w:tcW w:w="1112" w:type="pct"/>
            <w:tcBorders>
              <w:top w:val="nil"/>
              <w:left w:val="nil"/>
              <w:bottom w:val="nil"/>
              <w:right w:val="nil"/>
            </w:tcBorders>
          </w:tcPr>
          <w:p w14:paraId="5F2344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7152D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(36.22)</w:t>
            </w:r>
          </w:p>
        </w:tc>
        <w:tc>
          <w:tcPr>
            <w:tcW w:w="1006" w:type="pct"/>
            <w:tcBorders>
              <w:top w:val="nil"/>
              <w:left w:val="nil"/>
              <w:bottom w:val="nil"/>
              <w:right w:val="nil"/>
            </w:tcBorders>
          </w:tcPr>
          <w:p w14:paraId="327F33D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(36.88)</w:t>
            </w:r>
          </w:p>
        </w:tc>
        <w:tc>
          <w:tcPr>
            <w:tcW w:w="668" w:type="pct"/>
            <w:tcBorders>
              <w:top w:val="nil"/>
              <w:left w:val="nil"/>
              <w:bottom w:val="nil"/>
              <w:right w:val="nil"/>
            </w:tcBorders>
          </w:tcPr>
          <w:p w14:paraId="54F546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(20.78)</w:t>
            </w:r>
          </w:p>
        </w:tc>
        <w:tc>
          <w:tcPr>
            <w:tcW w:w="870" w:type="pct"/>
            <w:tcBorders>
              <w:top w:val="nil"/>
              <w:left w:val="nil"/>
              <w:bottom w:val="nil"/>
              <w:right w:val="nil"/>
            </w:tcBorders>
          </w:tcPr>
          <w:p w14:paraId="60A921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(10.54)</w:t>
            </w:r>
          </w:p>
        </w:tc>
        <w:tc>
          <w:tcPr>
            <w:tcW w:w="738" w:type="pct"/>
            <w:tcBorders>
              <w:top w:val="nil"/>
              <w:left w:val="nil"/>
              <w:bottom w:val="nil"/>
              <w:right w:val="nil"/>
            </w:tcBorders>
          </w:tcPr>
          <w:p w14:paraId="5378EF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(25.96)</w:t>
            </w:r>
          </w:p>
        </w:tc>
      </w:tr>
      <w:tr w:rsidR="00F00E3D" w:rsidRPr="00335312" w14:paraId="712A5A57" w14:textId="77777777" w:rsidTr="00063AC8">
        <w:trPr>
          <w:jc w:val="center"/>
        </w:trPr>
        <w:tc>
          <w:tcPr>
            <w:tcW w:w="1112" w:type="pct"/>
            <w:tcBorders>
              <w:top w:val="nil"/>
              <w:left w:val="nil"/>
              <w:bottom w:val="nil"/>
              <w:right w:val="nil"/>
            </w:tcBorders>
          </w:tcPr>
          <w:p w14:paraId="3E6E52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2018.year#7.month</w:t>
            </w:r>
          </w:p>
        </w:tc>
        <w:tc>
          <w:tcPr>
            <w:tcW w:w="607" w:type="pct"/>
            <w:tcBorders>
              <w:top w:val="nil"/>
              <w:left w:val="nil"/>
              <w:bottom w:val="nil"/>
              <w:right w:val="nil"/>
            </w:tcBorders>
          </w:tcPr>
          <w:p w14:paraId="29599B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0.276***</w:t>
            </w:r>
          </w:p>
        </w:tc>
        <w:tc>
          <w:tcPr>
            <w:tcW w:w="1006" w:type="pct"/>
            <w:tcBorders>
              <w:top w:val="nil"/>
              <w:left w:val="nil"/>
              <w:bottom w:val="nil"/>
              <w:right w:val="nil"/>
            </w:tcBorders>
          </w:tcPr>
          <w:p w14:paraId="6DC1FE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0.321***</w:t>
            </w:r>
          </w:p>
        </w:tc>
        <w:tc>
          <w:tcPr>
            <w:tcW w:w="668" w:type="pct"/>
            <w:tcBorders>
              <w:top w:val="nil"/>
              <w:left w:val="nil"/>
              <w:bottom w:val="nil"/>
              <w:right w:val="nil"/>
            </w:tcBorders>
          </w:tcPr>
          <w:p w14:paraId="464284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0.214***</w:t>
            </w:r>
          </w:p>
        </w:tc>
        <w:tc>
          <w:tcPr>
            <w:tcW w:w="870" w:type="pct"/>
            <w:tcBorders>
              <w:top w:val="nil"/>
              <w:left w:val="nil"/>
              <w:bottom w:val="nil"/>
              <w:right w:val="nil"/>
            </w:tcBorders>
          </w:tcPr>
          <w:p w14:paraId="00EFAF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0.352***</w:t>
            </w:r>
          </w:p>
        </w:tc>
        <w:tc>
          <w:tcPr>
            <w:tcW w:w="738" w:type="pct"/>
            <w:tcBorders>
              <w:top w:val="nil"/>
              <w:left w:val="nil"/>
              <w:bottom w:val="nil"/>
              <w:right w:val="nil"/>
            </w:tcBorders>
          </w:tcPr>
          <w:p w14:paraId="062FC1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0.405***</w:t>
            </w:r>
          </w:p>
        </w:tc>
      </w:tr>
      <w:tr w:rsidR="00F00E3D" w:rsidRPr="00335312" w14:paraId="4D3AC7F7" w14:textId="77777777" w:rsidTr="00063AC8">
        <w:trPr>
          <w:jc w:val="center"/>
        </w:trPr>
        <w:tc>
          <w:tcPr>
            <w:tcW w:w="1112" w:type="pct"/>
            <w:tcBorders>
              <w:top w:val="nil"/>
              <w:left w:val="nil"/>
              <w:bottom w:val="nil"/>
              <w:right w:val="nil"/>
            </w:tcBorders>
          </w:tcPr>
          <w:p w14:paraId="00D8BFE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64640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(34.16)</w:t>
            </w:r>
          </w:p>
        </w:tc>
        <w:tc>
          <w:tcPr>
            <w:tcW w:w="1006" w:type="pct"/>
            <w:tcBorders>
              <w:top w:val="nil"/>
              <w:left w:val="nil"/>
              <w:bottom w:val="nil"/>
              <w:right w:val="nil"/>
            </w:tcBorders>
          </w:tcPr>
          <w:p w14:paraId="2032DF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(35.20)</w:t>
            </w:r>
          </w:p>
        </w:tc>
        <w:tc>
          <w:tcPr>
            <w:tcW w:w="668" w:type="pct"/>
            <w:tcBorders>
              <w:top w:val="nil"/>
              <w:left w:val="nil"/>
              <w:bottom w:val="nil"/>
              <w:right w:val="nil"/>
            </w:tcBorders>
          </w:tcPr>
          <w:p w14:paraId="5ABFF9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(18.82)</w:t>
            </w:r>
          </w:p>
        </w:tc>
        <w:tc>
          <w:tcPr>
            <w:tcW w:w="870" w:type="pct"/>
            <w:tcBorders>
              <w:top w:val="nil"/>
              <w:left w:val="nil"/>
              <w:bottom w:val="nil"/>
              <w:right w:val="nil"/>
            </w:tcBorders>
          </w:tcPr>
          <w:p w14:paraId="11CACD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(16.80)</w:t>
            </w:r>
          </w:p>
        </w:tc>
        <w:tc>
          <w:tcPr>
            <w:tcW w:w="738" w:type="pct"/>
            <w:tcBorders>
              <w:top w:val="nil"/>
              <w:left w:val="nil"/>
              <w:bottom w:val="nil"/>
              <w:right w:val="nil"/>
            </w:tcBorders>
          </w:tcPr>
          <w:p w14:paraId="2C2973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(13.52)</w:t>
            </w:r>
          </w:p>
        </w:tc>
      </w:tr>
      <w:tr w:rsidR="00F00E3D" w:rsidRPr="00335312" w14:paraId="4B797A76" w14:textId="77777777" w:rsidTr="00063AC8">
        <w:trPr>
          <w:jc w:val="center"/>
        </w:trPr>
        <w:tc>
          <w:tcPr>
            <w:tcW w:w="1112" w:type="pct"/>
            <w:tcBorders>
              <w:top w:val="nil"/>
              <w:left w:val="nil"/>
              <w:bottom w:val="nil"/>
              <w:right w:val="nil"/>
            </w:tcBorders>
          </w:tcPr>
          <w:p w14:paraId="6316362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2018.year#8.month</w:t>
            </w:r>
          </w:p>
        </w:tc>
        <w:tc>
          <w:tcPr>
            <w:tcW w:w="607" w:type="pct"/>
            <w:tcBorders>
              <w:top w:val="nil"/>
              <w:left w:val="nil"/>
              <w:bottom w:val="nil"/>
              <w:right w:val="nil"/>
            </w:tcBorders>
          </w:tcPr>
          <w:p w14:paraId="662783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0.268***</w:t>
            </w:r>
          </w:p>
        </w:tc>
        <w:tc>
          <w:tcPr>
            <w:tcW w:w="1006" w:type="pct"/>
            <w:tcBorders>
              <w:top w:val="nil"/>
              <w:left w:val="nil"/>
              <w:bottom w:val="nil"/>
              <w:right w:val="nil"/>
            </w:tcBorders>
          </w:tcPr>
          <w:p w14:paraId="14E50F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0.305***</w:t>
            </w:r>
          </w:p>
        </w:tc>
        <w:tc>
          <w:tcPr>
            <w:tcW w:w="668" w:type="pct"/>
            <w:tcBorders>
              <w:top w:val="nil"/>
              <w:left w:val="nil"/>
              <w:bottom w:val="nil"/>
              <w:right w:val="nil"/>
            </w:tcBorders>
          </w:tcPr>
          <w:p w14:paraId="3298CB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0.216***</w:t>
            </w:r>
          </w:p>
        </w:tc>
        <w:tc>
          <w:tcPr>
            <w:tcW w:w="870" w:type="pct"/>
            <w:tcBorders>
              <w:top w:val="nil"/>
              <w:left w:val="nil"/>
              <w:bottom w:val="nil"/>
              <w:right w:val="nil"/>
            </w:tcBorders>
          </w:tcPr>
          <w:p w14:paraId="2AB671A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0.350***</w:t>
            </w:r>
          </w:p>
        </w:tc>
        <w:tc>
          <w:tcPr>
            <w:tcW w:w="738" w:type="pct"/>
            <w:tcBorders>
              <w:top w:val="nil"/>
              <w:left w:val="nil"/>
              <w:bottom w:val="nil"/>
              <w:right w:val="nil"/>
            </w:tcBorders>
          </w:tcPr>
          <w:p w14:paraId="34340A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0.439***</w:t>
            </w:r>
          </w:p>
        </w:tc>
      </w:tr>
      <w:tr w:rsidR="00F00E3D" w:rsidRPr="00335312" w14:paraId="30E93323" w14:textId="77777777" w:rsidTr="00063AC8">
        <w:trPr>
          <w:jc w:val="center"/>
        </w:trPr>
        <w:tc>
          <w:tcPr>
            <w:tcW w:w="1112" w:type="pct"/>
            <w:tcBorders>
              <w:top w:val="nil"/>
              <w:left w:val="nil"/>
              <w:bottom w:val="nil"/>
              <w:right w:val="nil"/>
            </w:tcBorders>
          </w:tcPr>
          <w:p w14:paraId="0E5BD2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3A5F1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(33.22)</w:t>
            </w:r>
          </w:p>
        </w:tc>
        <w:tc>
          <w:tcPr>
            <w:tcW w:w="1006" w:type="pct"/>
            <w:tcBorders>
              <w:top w:val="nil"/>
              <w:left w:val="nil"/>
              <w:bottom w:val="nil"/>
              <w:right w:val="nil"/>
            </w:tcBorders>
          </w:tcPr>
          <w:p w14:paraId="403466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(31.62)</w:t>
            </w:r>
          </w:p>
        </w:tc>
        <w:tc>
          <w:tcPr>
            <w:tcW w:w="668" w:type="pct"/>
            <w:tcBorders>
              <w:top w:val="nil"/>
              <w:left w:val="nil"/>
              <w:bottom w:val="nil"/>
              <w:right w:val="nil"/>
            </w:tcBorders>
          </w:tcPr>
          <w:p w14:paraId="353A72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(19.24)</w:t>
            </w:r>
          </w:p>
        </w:tc>
        <w:tc>
          <w:tcPr>
            <w:tcW w:w="870" w:type="pct"/>
            <w:tcBorders>
              <w:top w:val="nil"/>
              <w:left w:val="nil"/>
              <w:bottom w:val="nil"/>
              <w:right w:val="nil"/>
            </w:tcBorders>
          </w:tcPr>
          <w:p w14:paraId="1E5704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(17.61)</w:t>
            </w:r>
          </w:p>
        </w:tc>
        <w:tc>
          <w:tcPr>
            <w:tcW w:w="738" w:type="pct"/>
            <w:tcBorders>
              <w:top w:val="nil"/>
              <w:left w:val="nil"/>
              <w:bottom w:val="nil"/>
              <w:right w:val="nil"/>
            </w:tcBorders>
          </w:tcPr>
          <w:p w14:paraId="0B5E04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(13.32)</w:t>
            </w:r>
          </w:p>
        </w:tc>
      </w:tr>
      <w:tr w:rsidR="00F00E3D" w:rsidRPr="00335312" w14:paraId="42A37128" w14:textId="77777777" w:rsidTr="00063AC8">
        <w:trPr>
          <w:jc w:val="center"/>
        </w:trPr>
        <w:tc>
          <w:tcPr>
            <w:tcW w:w="1112" w:type="pct"/>
            <w:tcBorders>
              <w:top w:val="nil"/>
              <w:left w:val="nil"/>
              <w:bottom w:val="nil"/>
              <w:right w:val="nil"/>
            </w:tcBorders>
          </w:tcPr>
          <w:p w14:paraId="7D5B831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lastRenderedPageBreak/>
              <w:t>2018.year#9.month</w:t>
            </w:r>
          </w:p>
        </w:tc>
        <w:tc>
          <w:tcPr>
            <w:tcW w:w="607" w:type="pct"/>
            <w:tcBorders>
              <w:top w:val="nil"/>
              <w:left w:val="nil"/>
              <w:bottom w:val="nil"/>
              <w:right w:val="nil"/>
            </w:tcBorders>
          </w:tcPr>
          <w:p w14:paraId="3AC08D6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0.265***</w:t>
            </w:r>
          </w:p>
        </w:tc>
        <w:tc>
          <w:tcPr>
            <w:tcW w:w="1006" w:type="pct"/>
            <w:tcBorders>
              <w:top w:val="nil"/>
              <w:left w:val="nil"/>
              <w:bottom w:val="nil"/>
              <w:right w:val="nil"/>
            </w:tcBorders>
          </w:tcPr>
          <w:p w14:paraId="07FD7B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0.298***</w:t>
            </w:r>
          </w:p>
        </w:tc>
        <w:tc>
          <w:tcPr>
            <w:tcW w:w="668" w:type="pct"/>
            <w:tcBorders>
              <w:top w:val="nil"/>
              <w:left w:val="nil"/>
              <w:bottom w:val="nil"/>
              <w:right w:val="nil"/>
            </w:tcBorders>
          </w:tcPr>
          <w:p w14:paraId="2266FC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0.219***</w:t>
            </w:r>
          </w:p>
        </w:tc>
        <w:tc>
          <w:tcPr>
            <w:tcW w:w="870" w:type="pct"/>
            <w:tcBorders>
              <w:top w:val="nil"/>
              <w:left w:val="nil"/>
              <w:bottom w:val="nil"/>
              <w:right w:val="nil"/>
            </w:tcBorders>
          </w:tcPr>
          <w:p w14:paraId="63E0D7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0.351***</w:t>
            </w:r>
          </w:p>
        </w:tc>
        <w:tc>
          <w:tcPr>
            <w:tcW w:w="738" w:type="pct"/>
            <w:tcBorders>
              <w:top w:val="nil"/>
              <w:left w:val="nil"/>
              <w:bottom w:val="nil"/>
              <w:right w:val="nil"/>
            </w:tcBorders>
          </w:tcPr>
          <w:p w14:paraId="43AC43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0.446***</w:t>
            </w:r>
          </w:p>
        </w:tc>
      </w:tr>
      <w:tr w:rsidR="00F00E3D" w:rsidRPr="00335312" w14:paraId="2A78AE2D" w14:textId="77777777" w:rsidTr="00063AC8">
        <w:trPr>
          <w:jc w:val="center"/>
        </w:trPr>
        <w:tc>
          <w:tcPr>
            <w:tcW w:w="1112" w:type="pct"/>
            <w:tcBorders>
              <w:top w:val="nil"/>
              <w:left w:val="nil"/>
              <w:bottom w:val="nil"/>
              <w:right w:val="nil"/>
            </w:tcBorders>
          </w:tcPr>
          <w:p w14:paraId="1338ED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9EC51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(33.27)</w:t>
            </w:r>
          </w:p>
        </w:tc>
        <w:tc>
          <w:tcPr>
            <w:tcW w:w="1006" w:type="pct"/>
            <w:tcBorders>
              <w:top w:val="nil"/>
              <w:left w:val="nil"/>
              <w:bottom w:val="nil"/>
              <w:right w:val="nil"/>
            </w:tcBorders>
          </w:tcPr>
          <w:p w14:paraId="4A0D62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(32.72)</w:t>
            </w:r>
          </w:p>
        </w:tc>
        <w:tc>
          <w:tcPr>
            <w:tcW w:w="668" w:type="pct"/>
            <w:tcBorders>
              <w:top w:val="nil"/>
              <w:left w:val="nil"/>
              <w:bottom w:val="nil"/>
              <w:right w:val="nil"/>
            </w:tcBorders>
          </w:tcPr>
          <w:p w14:paraId="7E7D33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(18.59)</w:t>
            </w:r>
          </w:p>
        </w:tc>
        <w:tc>
          <w:tcPr>
            <w:tcW w:w="870" w:type="pct"/>
            <w:tcBorders>
              <w:top w:val="nil"/>
              <w:left w:val="nil"/>
              <w:bottom w:val="nil"/>
              <w:right w:val="nil"/>
            </w:tcBorders>
          </w:tcPr>
          <w:p w14:paraId="242771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(13.55)</w:t>
            </w:r>
          </w:p>
        </w:tc>
        <w:tc>
          <w:tcPr>
            <w:tcW w:w="738" w:type="pct"/>
            <w:tcBorders>
              <w:top w:val="nil"/>
              <w:left w:val="nil"/>
              <w:bottom w:val="nil"/>
              <w:right w:val="nil"/>
            </w:tcBorders>
          </w:tcPr>
          <w:p w14:paraId="1830FD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(10.89)</w:t>
            </w:r>
          </w:p>
        </w:tc>
      </w:tr>
      <w:tr w:rsidR="00F00E3D" w:rsidRPr="00335312" w14:paraId="76D27932" w14:textId="77777777" w:rsidTr="00063AC8">
        <w:trPr>
          <w:jc w:val="center"/>
        </w:trPr>
        <w:tc>
          <w:tcPr>
            <w:tcW w:w="1112" w:type="pct"/>
            <w:tcBorders>
              <w:top w:val="nil"/>
              <w:left w:val="nil"/>
              <w:bottom w:val="nil"/>
              <w:right w:val="nil"/>
            </w:tcBorders>
          </w:tcPr>
          <w:p w14:paraId="72BEB6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2018.year#10.month</w:t>
            </w:r>
          </w:p>
        </w:tc>
        <w:tc>
          <w:tcPr>
            <w:tcW w:w="607" w:type="pct"/>
            <w:tcBorders>
              <w:top w:val="nil"/>
              <w:left w:val="nil"/>
              <w:bottom w:val="nil"/>
              <w:right w:val="nil"/>
            </w:tcBorders>
          </w:tcPr>
          <w:p w14:paraId="195B42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0.254***</w:t>
            </w:r>
          </w:p>
        </w:tc>
        <w:tc>
          <w:tcPr>
            <w:tcW w:w="1006" w:type="pct"/>
            <w:tcBorders>
              <w:top w:val="nil"/>
              <w:left w:val="nil"/>
              <w:bottom w:val="nil"/>
              <w:right w:val="nil"/>
            </w:tcBorders>
          </w:tcPr>
          <w:p w14:paraId="5D1CAF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0.278***</w:t>
            </w:r>
          </w:p>
        </w:tc>
        <w:tc>
          <w:tcPr>
            <w:tcW w:w="668" w:type="pct"/>
            <w:tcBorders>
              <w:top w:val="nil"/>
              <w:left w:val="nil"/>
              <w:bottom w:val="nil"/>
              <w:right w:val="nil"/>
            </w:tcBorders>
          </w:tcPr>
          <w:p w14:paraId="308FE1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0.220***</w:t>
            </w:r>
          </w:p>
        </w:tc>
        <w:tc>
          <w:tcPr>
            <w:tcW w:w="870" w:type="pct"/>
            <w:tcBorders>
              <w:top w:val="nil"/>
              <w:left w:val="nil"/>
              <w:bottom w:val="nil"/>
              <w:right w:val="nil"/>
            </w:tcBorders>
          </w:tcPr>
          <w:p w14:paraId="1AC10F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0.333***</w:t>
            </w:r>
          </w:p>
        </w:tc>
        <w:tc>
          <w:tcPr>
            <w:tcW w:w="738" w:type="pct"/>
            <w:tcBorders>
              <w:top w:val="nil"/>
              <w:left w:val="nil"/>
              <w:bottom w:val="nil"/>
              <w:right w:val="nil"/>
            </w:tcBorders>
          </w:tcPr>
          <w:p w14:paraId="7B6BEF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0.395***</w:t>
            </w:r>
          </w:p>
        </w:tc>
      </w:tr>
      <w:tr w:rsidR="00F00E3D" w:rsidRPr="00335312" w14:paraId="69AB748D" w14:textId="77777777" w:rsidTr="00063AC8">
        <w:trPr>
          <w:jc w:val="center"/>
        </w:trPr>
        <w:tc>
          <w:tcPr>
            <w:tcW w:w="1112" w:type="pct"/>
            <w:tcBorders>
              <w:top w:val="nil"/>
              <w:left w:val="nil"/>
              <w:bottom w:val="nil"/>
              <w:right w:val="nil"/>
            </w:tcBorders>
          </w:tcPr>
          <w:p w14:paraId="038066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FDCC5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(29.83)</w:t>
            </w:r>
          </w:p>
        </w:tc>
        <w:tc>
          <w:tcPr>
            <w:tcW w:w="1006" w:type="pct"/>
            <w:tcBorders>
              <w:top w:val="nil"/>
              <w:left w:val="nil"/>
              <w:bottom w:val="nil"/>
              <w:right w:val="nil"/>
            </w:tcBorders>
          </w:tcPr>
          <w:p w14:paraId="03979A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(23.92)</w:t>
            </w:r>
          </w:p>
        </w:tc>
        <w:tc>
          <w:tcPr>
            <w:tcW w:w="668" w:type="pct"/>
            <w:tcBorders>
              <w:top w:val="nil"/>
              <w:left w:val="nil"/>
              <w:bottom w:val="nil"/>
              <w:right w:val="nil"/>
            </w:tcBorders>
          </w:tcPr>
          <w:p w14:paraId="6A1A32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(20.23)</w:t>
            </w:r>
          </w:p>
        </w:tc>
        <w:tc>
          <w:tcPr>
            <w:tcW w:w="870" w:type="pct"/>
            <w:tcBorders>
              <w:top w:val="nil"/>
              <w:left w:val="nil"/>
              <w:bottom w:val="nil"/>
              <w:right w:val="nil"/>
            </w:tcBorders>
          </w:tcPr>
          <w:p w14:paraId="0A1B4F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(17.26)</w:t>
            </w:r>
          </w:p>
        </w:tc>
        <w:tc>
          <w:tcPr>
            <w:tcW w:w="738" w:type="pct"/>
            <w:tcBorders>
              <w:top w:val="nil"/>
              <w:left w:val="nil"/>
              <w:bottom w:val="nil"/>
              <w:right w:val="nil"/>
            </w:tcBorders>
          </w:tcPr>
          <w:p w14:paraId="54C376A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(24.47)</w:t>
            </w:r>
          </w:p>
        </w:tc>
      </w:tr>
      <w:tr w:rsidR="00F00E3D" w:rsidRPr="00335312" w14:paraId="1C2FBB7D" w14:textId="77777777" w:rsidTr="00063AC8">
        <w:trPr>
          <w:jc w:val="center"/>
        </w:trPr>
        <w:tc>
          <w:tcPr>
            <w:tcW w:w="1112" w:type="pct"/>
            <w:tcBorders>
              <w:top w:val="nil"/>
              <w:left w:val="nil"/>
              <w:bottom w:val="nil"/>
              <w:right w:val="nil"/>
            </w:tcBorders>
          </w:tcPr>
          <w:p w14:paraId="71A332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2018.year#11.month</w:t>
            </w:r>
          </w:p>
        </w:tc>
        <w:tc>
          <w:tcPr>
            <w:tcW w:w="607" w:type="pct"/>
            <w:tcBorders>
              <w:top w:val="nil"/>
              <w:left w:val="nil"/>
              <w:bottom w:val="nil"/>
              <w:right w:val="nil"/>
            </w:tcBorders>
          </w:tcPr>
          <w:p w14:paraId="1CD6D8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0.239***</w:t>
            </w:r>
          </w:p>
        </w:tc>
        <w:tc>
          <w:tcPr>
            <w:tcW w:w="1006" w:type="pct"/>
            <w:tcBorders>
              <w:top w:val="nil"/>
              <w:left w:val="nil"/>
              <w:bottom w:val="nil"/>
              <w:right w:val="nil"/>
            </w:tcBorders>
          </w:tcPr>
          <w:p w14:paraId="794A4C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0.259***</w:t>
            </w:r>
          </w:p>
        </w:tc>
        <w:tc>
          <w:tcPr>
            <w:tcW w:w="668" w:type="pct"/>
            <w:tcBorders>
              <w:top w:val="nil"/>
              <w:left w:val="nil"/>
              <w:bottom w:val="nil"/>
              <w:right w:val="nil"/>
            </w:tcBorders>
          </w:tcPr>
          <w:p w14:paraId="32588B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0.207***</w:t>
            </w:r>
          </w:p>
        </w:tc>
        <w:tc>
          <w:tcPr>
            <w:tcW w:w="870" w:type="pct"/>
            <w:tcBorders>
              <w:top w:val="nil"/>
              <w:left w:val="nil"/>
              <w:bottom w:val="nil"/>
              <w:right w:val="nil"/>
            </w:tcBorders>
          </w:tcPr>
          <w:p w14:paraId="09E7AAA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0.317***</w:t>
            </w:r>
          </w:p>
        </w:tc>
        <w:tc>
          <w:tcPr>
            <w:tcW w:w="738" w:type="pct"/>
            <w:tcBorders>
              <w:top w:val="nil"/>
              <w:left w:val="nil"/>
              <w:bottom w:val="nil"/>
              <w:right w:val="nil"/>
            </w:tcBorders>
          </w:tcPr>
          <w:p w14:paraId="1789CA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0.402**</w:t>
            </w:r>
          </w:p>
        </w:tc>
      </w:tr>
      <w:tr w:rsidR="00F00E3D" w:rsidRPr="00335312" w14:paraId="4BB56002" w14:textId="77777777" w:rsidTr="00063AC8">
        <w:trPr>
          <w:jc w:val="center"/>
        </w:trPr>
        <w:tc>
          <w:tcPr>
            <w:tcW w:w="1112" w:type="pct"/>
            <w:tcBorders>
              <w:top w:val="nil"/>
              <w:left w:val="nil"/>
              <w:bottom w:val="nil"/>
              <w:right w:val="nil"/>
            </w:tcBorders>
          </w:tcPr>
          <w:p w14:paraId="6E386F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62B5F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(28.80)</w:t>
            </w:r>
          </w:p>
        </w:tc>
        <w:tc>
          <w:tcPr>
            <w:tcW w:w="1006" w:type="pct"/>
            <w:tcBorders>
              <w:top w:val="nil"/>
              <w:left w:val="nil"/>
              <w:bottom w:val="nil"/>
              <w:right w:val="nil"/>
            </w:tcBorders>
          </w:tcPr>
          <w:p w14:paraId="490D8A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(22.25)</w:t>
            </w:r>
          </w:p>
        </w:tc>
        <w:tc>
          <w:tcPr>
            <w:tcW w:w="668" w:type="pct"/>
            <w:tcBorders>
              <w:top w:val="nil"/>
              <w:left w:val="nil"/>
              <w:bottom w:val="nil"/>
              <w:right w:val="nil"/>
            </w:tcBorders>
          </w:tcPr>
          <w:p w14:paraId="2793C9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(18.98)</w:t>
            </w:r>
          </w:p>
        </w:tc>
        <w:tc>
          <w:tcPr>
            <w:tcW w:w="870" w:type="pct"/>
            <w:tcBorders>
              <w:top w:val="nil"/>
              <w:left w:val="nil"/>
              <w:bottom w:val="nil"/>
              <w:right w:val="nil"/>
            </w:tcBorders>
          </w:tcPr>
          <w:p w14:paraId="6BB073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(14.96)</w:t>
            </w:r>
          </w:p>
        </w:tc>
        <w:tc>
          <w:tcPr>
            <w:tcW w:w="738" w:type="pct"/>
            <w:tcBorders>
              <w:top w:val="nil"/>
              <w:left w:val="nil"/>
              <w:bottom w:val="nil"/>
              <w:right w:val="nil"/>
            </w:tcBorders>
          </w:tcPr>
          <w:p w14:paraId="6B58E0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(7.685)</w:t>
            </w:r>
          </w:p>
        </w:tc>
      </w:tr>
      <w:tr w:rsidR="00F00E3D" w:rsidRPr="00335312" w14:paraId="1B48658C" w14:textId="77777777" w:rsidTr="00063AC8">
        <w:trPr>
          <w:jc w:val="center"/>
        </w:trPr>
        <w:tc>
          <w:tcPr>
            <w:tcW w:w="1112" w:type="pct"/>
            <w:tcBorders>
              <w:top w:val="nil"/>
              <w:left w:val="nil"/>
              <w:bottom w:val="nil"/>
              <w:right w:val="nil"/>
            </w:tcBorders>
          </w:tcPr>
          <w:p w14:paraId="0830FB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2018.year#12.month</w:t>
            </w:r>
          </w:p>
        </w:tc>
        <w:tc>
          <w:tcPr>
            <w:tcW w:w="607" w:type="pct"/>
            <w:tcBorders>
              <w:top w:val="nil"/>
              <w:left w:val="nil"/>
              <w:bottom w:val="nil"/>
              <w:right w:val="nil"/>
            </w:tcBorders>
          </w:tcPr>
          <w:p w14:paraId="5A2C4D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0.233***</w:t>
            </w:r>
          </w:p>
        </w:tc>
        <w:tc>
          <w:tcPr>
            <w:tcW w:w="1006" w:type="pct"/>
            <w:tcBorders>
              <w:top w:val="nil"/>
              <w:left w:val="nil"/>
              <w:bottom w:val="nil"/>
              <w:right w:val="nil"/>
            </w:tcBorders>
          </w:tcPr>
          <w:p w14:paraId="70A589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0.242***</w:t>
            </w:r>
          </w:p>
        </w:tc>
        <w:tc>
          <w:tcPr>
            <w:tcW w:w="668" w:type="pct"/>
            <w:tcBorders>
              <w:top w:val="nil"/>
              <w:left w:val="nil"/>
              <w:bottom w:val="nil"/>
              <w:right w:val="nil"/>
            </w:tcBorders>
          </w:tcPr>
          <w:p w14:paraId="19A846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0.212***</w:t>
            </w:r>
          </w:p>
        </w:tc>
        <w:tc>
          <w:tcPr>
            <w:tcW w:w="870" w:type="pct"/>
            <w:tcBorders>
              <w:top w:val="nil"/>
              <w:left w:val="nil"/>
              <w:bottom w:val="nil"/>
              <w:right w:val="nil"/>
            </w:tcBorders>
          </w:tcPr>
          <w:p w14:paraId="67A27F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0.295***</w:t>
            </w:r>
          </w:p>
        </w:tc>
        <w:tc>
          <w:tcPr>
            <w:tcW w:w="738" w:type="pct"/>
            <w:tcBorders>
              <w:top w:val="nil"/>
              <w:left w:val="nil"/>
              <w:bottom w:val="nil"/>
              <w:right w:val="nil"/>
            </w:tcBorders>
          </w:tcPr>
          <w:p w14:paraId="6000D7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0.355***</w:t>
            </w:r>
          </w:p>
        </w:tc>
      </w:tr>
      <w:tr w:rsidR="00F00E3D" w:rsidRPr="00335312" w14:paraId="16603634" w14:textId="77777777" w:rsidTr="00063AC8">
        <w:trPr>
          <w:jc w:val="center"/>
        </w:trPr>
        <w:tc>
          <w:tcPr>
            <w:tcW w:w="1112" w:type="pct"/>
            <w:tcBorders>
              <w:top w:val="nil"/>
              <w:left w:val="nil"/>
              <w:bottom w:val="nil"/>
              <w:right w:val="nil"/>
            </w:tcBorders>
          </w:tcPr>
          <w:p w14:paraId="436C7D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41E63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(25.05)</w:t>
            </w:r>
          </w:p>
        </w:tc>
        <w:tc>
          <w:tcPr>
            <w:tcW w:w="1006" w:type="pct"/>
            <w:tcBorders>
              <w:top w:val="nil"/>
              <w:left w:val="nil"/>
              <w:bottom w:val="nil"/>
              <w:right w:val="nil"/>
            </w:tcBorders>
          </w:tcPr>
          <w:p w14:paraId="0CDD6B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(17.56)</w:t>
            </w:r>
          </w:p>
        </w:tc>
        <w:tc>
          <w:tcPr>
            <w:tcW w:w="668" w:type="pct"/>
            <w:tcBorders>
              <w:top w:val="nil"/>
              <w:left w:val="nil"/>
              <w:bottom w:val="nil"/>
              <w:right w:val="nil"/>
            </w:tcBorders>
          </w:tcPr>
          <w:p w14:paraId="25632A6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(18.40)</w:t>
            </w:r>
          </w:p>
        </w:tc>
        <w:tc>
          <w:tcPr>
            <w:tcW w:w="870" w:type="pct"/>
            <w:tcBorders>
              <w:top w:val="nil"/>
              <w:left w:val="nil"/>
              <w:bottom w:val="nil"/>
              <w:right w:val="nil"/>
            </w:tcBorders>
          </w:tcPr>
          <w:p w14:paraId="685E76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(12.15)</w:t>
            </w:r>
          </w:p>
        </w:tc>
        <w:tc>
          <w:tcPr>
            <w:tcW w:w="738" w:type="pct"/>
            <w:tcBorders>
              <w:top w:val="nil"/>
              <w:left w:val="nil"/>
              <w:bottom w:val="nil"/>
              <w:right w:val="nil"/>
            </w:tcBorders>
          </w:tcPr>
          <w:p w14:paraId="0AEF38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(17.78)</w:t>
            </w:r>
          </w:p>
        </w:tc>
      </w:tr>
      <w:tr w:rsidR="00F00E3D" w:rsidRPr="00335312" w14:paraId="2E515EFE" w14:textId="77777777" w:rsidTr="00063AC8">
        <w:trPr>
          <w:jc w:val="center"/>
        </w:trPr>
        <w:tc>
          <w:tcPr>
            <w:tcW w:w="1112" w:type="pct"/>
            <w:tcBorders>
              <w:top w:val="nil"/>
              <w:left w:val="nil"/>
              <w:bottom w:val="nil"/>
              <w:right w:val="nil"/>
            </w:tcBorders>
          </w:tcPr>
          <w:p w14:paraId="040C1B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2019.year#1.month</w:t>
            </w:r>
          </w:p>
        </w:tc>
        <w:tc>
          <w:tcPr>
            <w:tcW w:w="607" w:type="pct"/>
            <w:tcBorders>
              <w:top w:val="nil"/>
              <w:left w:val="nil"/>
              <w:bottom w:val="nil"/>
              <w:right w:val="nil"/>
            </w:tcBorders>
          </w:tcPr>
          <w:p w14:paraId="5F80D5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0.257***</w:t>
            </w:r>
          </w:p>
        </w:tc>
        <w:tc>
          <w:tcPr>
            <w:tcW w:w="1006" w:type="pct"/>
            <w:tcBorders>
              <w:top w:val="nil"/>
              <w:left w:val="nil"/>
              <w:bottom w:val="nil"/>
              <w:right w:val="nil"/>
            </w:tcBorders>
          </w:tcPr>
          <w:p w14:paraId="6C906E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0.265***</w:t>
            </w:r>
          </w:p>
        </w:tc>
        <w:tc>
          <w:tcPr>
            <w:tcW w:w="668" w:type="pct"/>
            <w:tcBorders>
              <w:top w:val="nil"/>
              <w:left w:val="nil"/>
              <w:bottom w:val="nil"/>
              <w:right w:val="nil"/>
            </w:tcBorders>
          </w:tcPr>
          <w:p w14:paraId="7BE0D6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0.235***</w:t>
            </w:r>
          </w:p>
        </w:tc>
        <w:tc>
          <w:tcPr>
            <w:tcW w:w="870" w:type="pct"/>
            <w:tcBorders>
              <w:top w:val="nil"/>
              <w:left w:val="nil"/>
              <w:bottom w:val="nil"/>
              <w:right w:val="nil"/>
            </w:tcBorders>
          </w:tcPr>
          <w:p w14:paraId="7B9582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0.325***</w:t>
            </w:r>
          </w:p>
        </w:tc>
        <w:tc>
          <w:tcPr>
            <w:tcW w:w="738" w:type="pct"/>
            <w:tcBorders>
              <w:top w:val="nil"/>
              <w:left w:val="nil"/>
              <w:bottom w:val="nil"/>
              <w:right w:val="nil"/>
            </w:tcBorders>
          </w:tcPr>
          <w:p w14:paraId="31B957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0.395***</w:t>
            </w:r>
          </w:p>
        </w:tc>
      </w:tr>
      <w:tr w:rsidR="00F00E3D" w:rsidRPr="00335312" w14:paraId="6395685D" w14:textId="77777777" w:rsidTr="00063AC8">
        <w:trPr>
          <w:jc w:val="center"/>
        </w:trPr>
        <w:tc>
          <w:tcPr>
            <w:tcW w:w="1112" w:type="pct"/>
            <w:tcBorders>
              <w:top w:val="nil"/>
              <w:left w:val="nil"/>
              <w:bottom w:val="nil"/>
              <w:right w:val="nil"/>
            </w:tcBorders>
          </w:tcPr>
          <w:p w14:paraId="02B5F8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A05C3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(33.59)</w:t>
            </w:r>
          </w:p>
        </w:tc>
        <w:tc>
          <w:tcPr>
            <w:tcW w:w="1006" w:type="pct"/>
            <w:tcBorders>
              <w:top w:val="nil"/>
              <w:left w:val="nil"/>
              <w:bottom w:val="nil"/>
              <w:right w:val="nil"/>
            </w:tcBorders>
          </w:tcPr>
          <w:p w14:paraId="6A1E7D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(26.30)</w:t>
            </w:r>
          </w:p>
        </w:tc>
        <w:tc>
          <w:tcPr>
            <w:tcW w:w="668" w:type="pct"/>
            <w:tcBorders>
              <w:top w:val="nil"/>
              <w:left w:val="nil"/>
              <w:bottom w:val="nil"/>
              <w:right w:val="nil"/>
            </w:tcBorders>
          </w:tcPr>
          <w:p w14:paraId="2EB9FAE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(20.64)</w:t>
            </w:r>
          </w:p>
        </w:tc>
        <w:tc>
          <w:tcPr>
            <w:tcW w:w="870" w:type="pct"/>
            <w:tcBorders>
              <w:top w:val="nil"/>
              <w:left w:val="nil"/>
              <w:bottom w:val="nil"/>
              <w:right w:val="nil"/>
            </w:tcBorders>
          </w:tcPr>
          <w:p w14:paraId="2FDAE9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(16.43)</w:t>
            </w:r>
          </w:p>
        </w:tc>
        <w:tc>
          <w:tcPr>
            <w:tcW w:w="738" w:type="pct"/>
            <w:tcBorders>
              <w:top w:val="nil"/>
              <w:left w:val="nil"/>
              <w:bottom w:val="nil"/>
              <w:right w:val="nil"/>
            </w:tcBorders>
          </w:tcPr>
          <w:p w14:paraId="7C444E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(12.67)</w:t>
            </w:r>
          </w:p>
        </w:tc>
      </w:tr>
      <w:tr w:rsidR="00F00E3D" w:rsidRPr="00335312" w14:paraId="40FFD19A" w14:textId="77777777" w:rsidTr="00063AC8">
        <w:trPr>
          <w:jc w:val="center"/>
        </w:trPr>
        <w:tc>
          <w:tcPr>
            <w:tcW w:w="1112" w:type="pct"/>
            <w:tcBorders>
              <w:top w:val="nil"/>
              <w:left w:val="nil"/>
              <w:bottom w:val="nil"/>
              <w:right w:val="nil"/>
            </w:tcBorders>
          </w:tcPr>
          <w:p w14:paraId="75D198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2019.year#2.month</w:t>
            </w:r>
          </w:p>
        </w:tc>
        <w:tc>
          <w:tcPr>
            <w:tcW w:w="607" w:type="pct"/>
            <w:tcBorders>
              <w:top w:val="nil"/>
              <w:left w:val="nil"/>
              <w:bottom w:val="nil"/>
              <w:right w:val="nil"/>
            </w:tcBorders>
          </w:tcPr>
          <w:p w14:paraId="04D4EC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0.269***</w:t>
            </w:r>
          </w:p>
        </w:tc>
        <w:tc>
          <w:tcPr>
            <w:tcW w:w="1006" w:type="pct"/>
            <w:tcBorders>
              <w:top w:val="nil"/>
              <w:left w:val="nil"/>
              <w:bottom w:val="nil"/>
              <w:right w:val="nil"/>
            </w:tcBorders>
          </w:tcPr>
          <w:p w14:paraId="779111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0.303***</w:t>
            </w:r>
          </w:p>
        </w:tc>
        <w:tc>
          <w:tcPr>
            <w:tcW w:w="668" w:type="pct"/>
            <w:tcBorders>
              <w:top w:val="nil"/>
              <w:left w:val="nil"/>
              <w:bottom w:val="nil"/>
              <w:right w:val="nil"/>
            </w:tcBorders>
          </w:tcPr>
          <w:p w14:paraId="135CA6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0.224***</w:t>
            </w:r>
          </w:p>
        </w:tc>
        <w:tc>
          <w:tcPr>
            <w:tcW w:w="870" w:type="pct"/>
            <w:tcBorders>
              <w:top w:val="nil"/>
              <w:left w:val="nil"/>
              <w:bottom w:val="nil"/>
              <w:right w:val="nil"/>
            </w:tcBorders>
          </w:tcPr>
          <w:p w14:paraId="645DCC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0.311***</w:t>
            </w:r>
          </w:p>
        </w:tc>
        <w:tc>
          <w:tcPr>
            <w:tcW w:w="738" w:type="pct"/>
            <w:tcBorders>
              <w:top w:val="nil"/>
              <w:left w:val="nil"/>
              <w:bottom w:val="nil"/>
              <w:right w:val="nil"/>
            </w:tcBorders>
          </w:tcPr>
          <w:p w14:paraId="7D6FB1A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0.384***</w:t>
            </w:r>
          </w:p>
        </w:tc>
      </w:tr>
      <w:tr w:rsidR="00F00E3D" w:rsidRPr="00335312" w14:paraId="1C1814D3" w14:textId="77777777" w:rsidTr="00063AC8">
        <w:trPr>
          <w:jc w:val="center"/>
        </w:trPr>
        <w:tc>
          <w:tcPr>
            <w:tcW w:w="1112" w:type="pct"/>
            <w:tcBorders>
              <w:top w:val="nil"/>
              <w:left w:val="nil"/>
              <w:bottom w:val="nil"/>
              <w:right w:val="nil"/>
            </w:tcBorders>
          </w:tcPr>
          <w:p w14:paraId="3118CA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F26FE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(16.31)</w:t>
            </w:r>
          </w:p>
        </w:tc>
        <w:tc>
          <w:tcPr>
            <w:tcW w:w="1006" w:type="pct"/>
            <w:tcBorders>
              <w:top w:val="nil"/>
              <w:left w:val="nil"/>
              <w:bottom w:val="nil"/>
              <w:right w:val="nil"/>
            </w:tcBorders>
          </w:tcPr>
          <w:p w14:paraId="35F935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(10.30)</w:t>
            </w:r>
          </w:p>
        </w:tc>
        <w:tc>
          <w:tcPr>
            <w:tcW w:w="668" w:type="pct"/>
            <w:tcBorders>
              <w:top w:val="nil"/>
              <w:left w:val="nil"/>
              <w:bottom w:val="nil"/>
              <w:right w:val="nil"/>
            </w:tcBorders>
          </w:tcPr>
          <w:p w14:paraId="34767E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(21.72)</w:t>
            </w:r>
          </w:p>
        </w:tc>
        <w:tc>
          <w:tcPr>
            <w:tcW w:w="870" w:type="pct"/>
            <w:tcBorders>
              <w:top w:val="nil"/>
              <w:left w:val="nil"/>
              <w:bottom w:val="nil"/>
              <w:right w:val="nil"/>
            </w:tcBorders>
          </w:tcPr>
          <w:p w14:paraId="40D1C2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(15.44)</w:t>
            </w:r>
          </w:p>
        </w:tc>
        <w:tc>
          <w:tcPr>
            <w:tcW w:w="738" w:type="pct"/>
            <w:tcBorders>
              <w:top w:val="nil"/>
              <w:left w:val="nil"/>
              <w:bottom w:val="nil"/>
              <w:right w:val="nil"/>
            </w:tcBorders>
          </w:tcPr>
          <w:p w14:paraId="4A2C2F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(16.98)</w:t>
            </w:r>
          </w:p>
        </w:tc>
      </w:tr>
      <w:tr w:rsidR="00F00E3D" w:rsidRPr="00335312" w14:paraId="35A8C830" w14:textId="77777777" w:rsidTr="00063AC8">
        <w:trPr>
          <w:jc w:val="center"/>
        </w:trPr>
        <w:tc>
          <w:tcPr>
            <w:tcW w:w="1112" w:type="pct"/>
            <w:tcBorders>
              <w:top w:val="nil"/>
              <w:left w:val="nil"/>
              <w:bottom w:val="nil"/>
              <w:right w:val="nil"/>
            </w:tcBorders>
          </w:tcPr>
          <w:p w14:paraId="62E399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2019.year#3.month</w:t>
            </w:r>
          </w:p>
        </w:tc>
        <w:tc>
          <w:tcPr>
            <w:tcW w:w="607" w:type="pct"/>
            <w:tcBorders>
              <w:top w:val="nil"/>
              <w:left w:val="nil"/>
              <w:bottom w:val="nil"/>
              <w:right w:val="nil"/>
            </w:tcBorders>
          </w:tcPr>
          <w:p w14:paraId="507EDC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0.249***</w:t>
            </w:r>
          </w:p>
        </w:tc>
        <w:tc>
          <w:tcPr>
            <w:tcW w:w="1006" w:type="pct"/>
            <w:tcBorders>
              <w:top w:val="nil"/>
              <w:left w:val="nil"/>
              <w:bottom w:val="nil"/>
              <w:right w:val="nil"/>
            </w:tcBorders>
          </w:tcPr>
          <w:p w14:paraId="2DCE93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0.264***</w:t>
            </w:r>
          </w:p>
        </w:tc>
        <w:tc>
          <w:tcPr>
            <w:tcW w:w="668" w:type="pct"/>
            <w:tcBorders>
              <w:top w:val="nil"/>
              <w:left w:val="nil"/>
              <w:bottom w:val="nil"/>
              <w:right w:val="nil"/>
            </w:tcBorders>
          </w:tcPr>
          <w:p w14:paraId="68ED6A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0.227***</w:t>
            </w:r>
          </w:p>
        </w:tc>
        <w:tc>
          <w:tcPr>
            <w:tcW w:w="870" w:type="pct"/>
            <w:tcBorders>
              <w:top w:val="nil"/>
              <w:left w:val="nil"/>
              <w:bottom w:val="nil"/>
              <w:right w:val="nil"/>
            </w:tcBorders>
          </w:tcPr>
          <w:p w14:paraId="772D538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0.319***</w:t>
            </w:r>
          </w:p>
        </w:tc>
        <w:tc>
          <w:tcPr>
            <w:tcW w:w="738" w:type="pct"/>
            <w:tcBorders>
              <w:top w:val="nil"/>
              <w:left w:val="nil"/>
              <w:bottom w:val="nil"/>
              <w:right w:val="nil"/>
            </w:tcBorders>
          </w:tcPr>
          <w:p w14:paraId="20E96A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0.411***</w:t>
            </w:r>
          </w:p>
        </w:tc>
      </w:tr>
      <w:tr w:rsidR="00F00E3D" w:rsidRPr="00335312" w14:paraId="589EC359" w14:textId="77777777" w:rsidTr="00063AC8">
        <w:trPr>
          <w:jc w:val="center"/>
        </w:trPr>
        <w:tc>
          <w:tcPr>
            <w:tcW w:w="1112" w:type="pct"/>
            <w:tcBorders>
              <w:top w:val="nil"/>
              <w:left w:val="nil"/>
              <w:bottom w:val="nil"/>
              <w:right w:val="nil"/>
            </w:tcBorders>
          </w:tcPr>
          <w:p w14:paraId="271498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C320A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(33.03)</w:t>
            </w:r>
          </w:p>
        </w:tc>
        <w:tc>
          <w:tcPr>
            <w:tcW w:w="1006" w:type="pct"/>
            <w:tcBorders>
              <w:top w:val="nil"/>
              <w:left w:val="nil"/>
              <w:bottom w:val="nil"/>
              <w:right w:val="nil"/>
            </w:tcBorders>
          </w:tcPr>
          <w:p w14:paraId="06C4E3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(27.07)</w:t>
            </w:r>
          </w:p>
        </w:tc>
        <w:tc>
          <w:tcPr>
            <w:tcW w:w="668" w:type="pct"/>
            <w:tcBorders>
              <w:top w:val="nil"/>
              <w:left w:val="nil"/>
              <w:bottom w:val="nil"/>
              <w:right w:val="nil"/>
            </w:tcBorders>
          </w:tcPr>
          <w:p w14:paraId="4A55FC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(21.58)</w:t>
            </w:r>
          </w:p>
        </w:tc>
        <w:tc>
          <w:tcPr>
            <w:tcW w:w="870" w:type="pct"/>
            <w:tcBorders>
              <w:top w:val="nil"/>
              <w:left w:val="nil"/>
              <w:bottom w:val="nil"/>
              <w:right w:val="nil"/>
            </w:tcBorders>
          </w:tcPr>
          <w:p w14:paraId="5FB194A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(15.17)</w:t>
            </w:r>
          </w:p>
        </w:tc>
        <w:tc>
          <w:tcPr>
            <w:tcW w:w="738" w:type="pct"/>
            <w:tcBorders>
              <w:top w:val="nil"/>
              <w:left w:val="nil"/>
              <w:bottom w:val="nil"/>
              <w:right w:val="nil"/>
            </w:tcBorders>
          </w:tcPr>
          <w:p w14:paraId="3AA149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(15.86)</w:t>
            </w:r>
          </w:p>
        </w:tc>
      </w:tr>
      <w:tr w:rsidR="00F00E3D" w:rsidRPr="00335312" w14:paraId="684FEBC9" w14:textId="77777777" w:rsidTr="00063AC8">
        <w:trPr>
          <w:jc w:val="center"/>
        </w:trPr>
        <w:tc>
          <w:tcPr>
            <w:tcW w:w="1112" w:type="pct"/>
            <w:tcBorders>
              <w:top w:val="nil"/>
              <w:left w:val="nil"/>
              <w:bottom w:val="nil"/>
              <w:right w:val="nil"/>
            </w:tcBorders>
          </w:tcPr>
          <w:p w14:paraId="5DB8FF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2019.year#4.month</w:t>
            </w:r>
          </w:p>
        </w:tc>
        <w:tc>
          <w:tcPr>
            <w:tcW w:w="607" w:type="pct"/>
            <w:tcBorders>
              <w:top w:val="nil"/>
              <w:left w:val="nil"/>
              <w:bottom w:val="nil"/>
              <w:right w:val="nil"/>
            </w:tcBorders>
          </w:tcPr>
          <w:p w14:paraId="1D2FC1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0.251***</w:t>
            </w:r>
          </w:p>
        </w:tc>
        <w:tc>
          <w:tcPr>
            <w:tcW w:w="1006" w:type="pct"/>
            <w:tcBorders>
              <w:top w:val="nil"/>
              <w:left w:val="nil"/>
              <w:bottom w:val="nil"/>
              <w:right w:val="nil"/>
            </w:tcBorders>
          </w:tcPr>
          <w:p w14:paraId="4C2C79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0.265***</w:t>
            </w:r>
          </w:p>
        </w:tc>
        <w:tc>
          <w:tcPr>
            <w:tcW w:w="668" w:type="pct"/>
            <w:tcBorders>
              <w:top w:val="nil"/>
              <w:left w:val="nil"/>
              <w:bottom w:val="nil"/>
              <w:right w:val="nil"/>
            </w:tcBorders>
          </w:tcPr>
          <w:p w14:paraId="6140CA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0.228***</w:t>
            </w:r>
          </w:p>
        </w:tc>
        <w:tc>
          <w:tcPr>
            <w:tcW w:w="870" w:type="pct"/>
            <w:tcBorders>
              <w:top w:val="nil"/>
              <w:left w:val="nil"/>
              <w:bottom w:val="nil"/>
              <w:right w:val="nil"/>
            </w:tcBorders>
          </w:tcPr>
          <w:p w14:paraId="0DB00D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0.308***</w:t>
            </w:r>
          </w:p>
        </w:tc>
        <w:tc>
          <w:tcPr>
            <w:tcW w:w="738" w:type="pct"/>
            <w:tcBorders>
              <w:top w:val="nil"/>
              <w:left w:val="nil"/>
              <w:bottom w:val="nil"/>
              <w:right w:val="nil"/>
            </w:tcBorders>
          </w:tcPr>
          <w:p w14:paraId="361540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0.375***</w:t>
            </w:r>
          </w:p>
        </w:tc>
      </w:tr>
      <w:tr w:rsidR="00F00E3D" w:rsidRPr="00335312" w14:paraId="66C3B2BC" w14:textId="77777777" w:rsidTr="00063AC8">
        <w:trPr>
          <w:jc w:val="center"/>
        </w:trPr>
        <w:tc>
          <w:tcPr>
            <w:tcW w:w="1112" w:type="pct"/>
            <w:tcBorders>
              <w:top w:val="nil"/>
              <w:left w:val="nil"/>
              <w:bottom w:val="nil"/>
              <w:right w:val="nil"/>
            </w:tcBorders>
          </w:tcPr>
          <w:p w14:paraId="5D1571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ABDD7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(34.99)</w:t>
            </w:r>
          </w:p>
        </w:tc>
        <w:tc>
          <w:tcPr>
            <w:tcW w:w="1006" w:type="pct"/>
            <w:tcBorders>
              <w:top w:val="nil"/>
              <w:left w:val="nil"/>
              <w:bottom w:val="nil"/>
              <w:right w:val="nil"/>
            </w:tcBorders>
          </w:tcPr>
          <w:p w14:paraId="00097C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(28.06)</w:t>
            </w:r>
          </w:p>
        </w:tc>
        <w:tc>
          <w:tcPr>
            <w:tcW w:w="668" w:type="pct"/>
            <w:tcBorders>
              <w:top w:val="nil"/>
              <w:left w:val="nil"/>
              <w:bottom w:val="nil"/>
              <w:right w:val="nil"/>
            </w:tcBorders>
          </w:tcPr>
          <w:p w14:paraId="070089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(22.58)</w:t>
            </w:r>
          </w:p>
        </w:tc>
        <w:tc>
          <w:tcPr>
            <w:tcW w:w="870" w:type="pct"/>
            <w:tcBorders>
              <w:top w:val="nil"/>
              <w:left w:val="nil"/>
              <w:bottom w:val="nil"/>
              <w:right w:val="nil"/>
            </w:tcBorders>
          </w:tcPr>
          <w:p w14:paraId="3A9E7A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(15.65)</w:t>
            </w:r>
          </w:p>
        </w:tc>
        <w:tc>
          <w:tcPr>
            <w:tcW w:w="738" w:type="pct"/>
            <w:tcBorders>
              <w:top w:val="nil"/>
              <w:left w:val="nil"/>
              <w:bottom w:val="nil"/>
              <w:right w:val="nil"/>
            </w:tcBorders>
          </w:tcPr>
          <w:p w14:paraId="6CC899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(15.00)</w:t>
            </w:r>
          </w:p>
        </w:tc>
      </w:tr>
      <w:tr w:rsidR="00F00E3D" w:rsidRPr="00335312" w14:paraId="7C597894" w14:textId="77777777" w:rsidTr="00063AC8">
        <w:trPr>
          <w:jc w:val="center"/>
        </w:trPr>
        <w:tc>
          <w:tcPr>
            <w:tcW w:w="1112" w:type="pct"/>
            <w:tcBorders>
              <w:top w:val="nil"/>
              <w:left w:val="nil"/>
              <w:bottom w:val="nil"/>
              <w:right w:val="nil"/>
            </w:tcBorders>
          </w:tcPr>
          <w:p w14:paraId="7CACD5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2019.year#5.month</w:t>
            </w:r>
          </w:p>
        </w:tc>
        <w:tc>
          <w:tcPr>
            <w:tcW w:w="607" w:type="pct"/>
            <w:tcBorders>
              <w:top w:val="nil"/>
              <w:left w:val="nil"/>
              <w:bottom w:val="nil"/>
              <w:right w:val="nil"/>
            </w:tcBorders>
          </w:tcPr>
          <w:p w14:paraId="0D857F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0.251***</w:t>
            </w:r>
          </w:p>
        </w:tc>
        <w:tc>
          <w:tcPr>
            <w:tcW w:w="1006" w:type="pct"/>
            <w:tcBorders>
              <w:top w:val="nil"/>
              <w:left w:val="nil"/>
              <w:bottom w:val="nil"/>
              <w:right w:val="nil"/>
            </w:tcBorders>
          </w:tcPr>
          <w:p w14:paraId="558BAC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0.272***</w:t>
            </w:r>
          </w:p>
        </w:tc>
        <w:tc>
          <w:tcPr>
            <w:tcW w:w="668" w:type="pct"/>
            <w:tcBorders>
              <w:top w:val="nil"/>
              <w:left w:val="nil"/>
              <w:bottom w:val="nil"/>
              <w:right w:val="nil"/>
            </w:tcBorders>
          </w:tcPr>
          <w:p w14:paraId="6A7509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0.221***</w:t>
            </w:r>
          </w:p>
        </w:tc>
        <w:tc>
          <w:tcPr>
            <w:tcW w:w="870" w:type="pct"/>
            <w:tcBorders>
              <w:top w:val="nil"/>
              <w:left w:val="nil"/>
              <w:bottom w:val="nil"/>
              <w:right w:val="nil"/>
            </w:tcBorders>
          </w:tcPr>
          <w:p w14:paraId="26F126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0.297***</w:t>
            </w:r>
          </w:p>
        </w:tc>
        <w:tc>
          <w:tcPr>
            <w:tcW w:w="738" w:type="pct"/>
            <w:tcBorders>
              <w:top w:val="nil"/>
              <w:left w:val="nil"/>
              <w:bottom w:val="nil"/>
              <w:right w:val="nil"/>
            </w:tcBorders>
          </w:tcPr>
          <w:p w14:paraId="0C4CE0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0.339**</w:t>
            </w:r>
          </w:p>
        </w:tc>
      </w:tr>
      <w:tr w:rsidR="00F00E3D" w:rsidRPr="00335312" w14:paraId="7689B9FB" w14:textId="77777777" w:rsidTr="00063AC8">
        <w:trPr>
          <w:jc w:val="center"/>
        </w:trPr>
        <w:tc>
          <w:tcPr>
            <w:tcW w:w="1112" w:type="pct"/>
            <w:tcBorders>
              <w:top w:val="nil"/>
              <w:left w:val="nil"/>
              <w:bottom w:val="nil"/>
              <w:right w:val="nil"/>
            </w:tcBorders>
          </w:tcPr>
          <w:p w14:paraId="0F73D0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92519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(36.68)</w:t>
            </w:r>
          </w:p>
        </w:tc>
        <w:tc>
          <w:tcPr>
            <w:tcW w:w="1006" w:type="pct"/>
            <w:tcBorders>
              <w:top w:val="nil"/>
              <w:left w:val="nil"/>
              <w:bottom w:val="nil"/>
              <w:right w:val="nil"/>
            </w:tcBorders>
          </w:tcPr>
          <w:p w14:paraId="4F5FA2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(32.48)</w:t>
            </w:r>
          </w:p>
        </w:tc>
        <w:tc>
          <w:tcPr>
            <w:tcW w:w="668" w:type="pct"/>
            <w:tcBorders>
              <w:top w:val="nil"/>
              <w:left w:val="nil"/>
              <w:bottom w:val="nil"/>
              <w:right w:val="nil"/>
            </w:tcBorders>
          </w:tcPr>
          <w:p w14:paraId="22E0BB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(22.12)</w:t>
            </w:r>
          </w:p>
        </w:tc>
        <w:tc>
          <w:tcPr>
            <w:tcW w:w="870" w:type="pct"/>
            <w:tcBorders>
              <w:top w:val="nil"/>
              <w:left w:val="nil"/>
              <w:bottom w:val="nil"/>
              <w:right w:val="nil"/>
            </w:tcBorders>
          </w:tcPr>
          <w:p w14:paraId="227401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(17.91)</w:t>
            </w:r>
          </w:p>
        </w:tc>
        <w:tc>
          <w:tcPr>
            <w:tcW w:w="738" w:type="pct"/>
            <w:tcBorders>
              <w:top w:val="nil"/>
              <w:left w:val="nil"/>
              <w:bottom w:val="nil"/>
              <w:right w:val="nil"/>
            </w:tcBorders>
          </w:tcPr>
          <w:p w14:paraId="577675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(9.718)</w:t>
            </w:r>
          </w:p>
        </w:tc>
      </w:tr>
      <w:tr w:rsidR="00F00E3D" w:rsidRPr="00335312" w14:paraId="14E7083F" w14:textId="77777777" w:rsidTr="00063AC8">
        <w:trPr>
          <w:jc w:val="center"/>
        </w:trPr>
        <w:tc>
          <w:tcPr>
            <w:tcW w:w="1112" w:type="pct"/>
            <w:tcBorders>
              <w:top w:val="nil"/>
              <w:left w:val="nil"/>
              <w:bottom w:val="nil"/>
              <w:right w:val="nil"/>
            </w:tcBorders>
          </w:tcPr>
          <w:p w14:paraId="1CB0BE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2019.year#6.month</w:t>
            </w:r>
          </w:p>
        </w:tc>
        <w:tc>
          <w:tcPr>
            <w:tcW w:w="607" w:type="pct"/>
            <w:tcBorders>
              <w:top w:val="nil"/>
              <w:left w:val="nil"/>
              <w:bottom w:val="nil"/>
              <w:right w:val="nil"/>
            </w:tcBorders>
          </w:tcPr>
          <w:p w14:paraId="4392D3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0.254***</w:t>
            </w:r>
          </w:p>
        </w:tc>
        <w:tc>
          <w:tcPr>
            <w:tcW w:w="1006" w:type="pct"/>
            <w:tcBorders>
              <w:top w:val="nil"/>
              <w:left w:val="nil"/>
              <w:bottom w:val="nil"/>
              <w:right w:val="nil"/>
            </w:tcBorders>
          </w:tcPr>
          <w:p w14:paraId="72CC54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0.282***</w:t>
            </w:r>
          </w:p>
        </w:tc>
        <w:tc>
          <w:tcPr>
            <w:tcW w:w="668" w:type="pct"/>
            <w:tcBorders>
              <w:top w:val="nil"/>
              <w:left w:val="nil"/>
              <w:bottom w:val="nil"/>
              <w:right w:val="nil"/>
            </w:tcBorders>
          </w:tcPr>
          <w:p w14:paraId="23C404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0.213***</w:t>
            </w:r>
          </w:p>
        </w:tc>
        <w:tc>
          <w:tcPr>
            <w:tcW w:w="870" w:type="pct"/>
            <w:tcBorders>
              <w:top w:val="nil"/>
              <w:left w:val="nil"/>
              <w:bottom w:val="nil"/>
              <w:right w:val="nil"/>
            </w:tcBorders>
          </w:tcPr>
          <w:p w14:paraId="31E5CC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0.292***</w:t>
            </w:r>
          </w:p>
        </w:tc>
        <w:tc>
          <w:tcPr>
            <w:tcW w:w="738" w:type="pct"/>
            <w:tcBorders>
              <w:top w:val="nil"/>
              <w:left w:val="nil"/>
              <w:bottom w:val="nil"/>
              <w:right w:val="nil"/>
            </w:tcBorders>
          </w:tcPr>
          <w:p w14:paraId="57D4AC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0.337***</w:t>
            </w:r>
          </w:p>
        </w:tc>
      </w:tr>
      <w:tr w:rsidR="00F00E3D" w:rsidRPr="00335312" w14:paraId="221C7272" w14:textId="77777777" w:rsidTr="00063AC8">
        <w:trPr>
          <w:jc w:val="center"/>
        </w:trPr>
        <w:tc>
          <w:tcPr>
            <w:tcW w:w="1112" w:type="pct"/>
            <w:tcBorders>
              <w:top w:val="nil"/>
              <w:left w:val="nil"/>
              <w:bottom w:val="nil"/>
              <w:right w:val="nil"/>
            </w:tcBorders>
          </w:tcPr>
          <w:p w14:paraId="7E3413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ECAF1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(35.64)</w:t>
            </w:r>
          </w:p>
        </w:tc>
        <w:tc>
          <w:tcPr>
            <w:tcW w:w="1006" w:type="pct"/>
            <w:tcBorders>
              <w:top w:val="nil"/>
              <w:left w:val="nil"/>
              <w:bottom w:val="nil"/>
              <w:right w:val="nil"/>
            </w:tcBorders>
          </w:tcPr>
          <w:p w14:paraId="3AB0BB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(31.98)</w:t>
            </w:r>
          </w:p>
        </w:tc>
        <w:tc>
          <w:tcPr>
            <w:tcW w:w="668" w:type="pct"/>
            <w:tcBorders>
              <w:top w:val="nil"/>
              <w:left w:val="nil"/>
              <w:bottom w:val="nil"/>
              <w:right w:val="nil"/>
            </w:tcBorders>
          </w:tcPr>
          <w:p w14:paraId="290BE3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(21.44)</w:t>
            </w:r>
          </w:p>
        </w:tc>
        <w:tc>
          <w:tcPr>
            <w:tcW w:w="870" w:type="pct"/>
            <w:tcBorders>
              <w:top w:val="nil"/>
              <w:left w:val="nil"/>
              <w:bottom w:val="nil"/>
              <w:right w:val="nil"/>
            </w:tcBorders>
          </w:tcPr>
          <w:p w14:paraId="481D1B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(16.08)</w:t>
            </w:r>
          </w:p>
        </w:tc>
        <w:tc>
          <w:tcPr>
            <w:tcW w:w="738" w:type="pct"/>
            <w:tcBorders>
              <w:top w:val="nil"/>
              <w:left w:val="nil"/>
              <w:bottom w:val="nil"/>
              <w:right w:val="nil"/>
            </w:tcBorders>
          </w:tcPr>
          <w:p w14:paraId="1FAF45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(16.93)</w:t>
            </w:r>
          </w:p>
        </w:tc>
      </w:tr>
      <w:tr w:rsidR="00F00E3D" w:rsidRPr="00335312" w14:paraId="69E51015" w14:textId="77777777" w:rsidTr="00063AC8">
        <w:trPr>
          <w:jc w:val="center"/>
        </w:trPr>
        <w:tc>
          <w:tcPr>
            <w:tcW w:w="1112" w:type="pct"/>
            <w:tcBorders>
              <w:top w:val="nil"/>
              <w:left w:val="nil"/>
              <w:bottom w:val="nil"/>
              <w:right w:val="nil"/>
            </w:tcBorders>
          </w:tcPr>
          <w:p w14:paraId="385F45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2019.year#7.month</w:t>
            </w:r>
          </w:p>
        </w:tc>
        <w:tc>
          <w:tcPr>
            <w:tcW w:w="607" w:type="pct"/>
            <w:tcBorders>
              <w:top w:val="nil"/>
              <w:left w:val="nil"/>
              <w:bottom w:val="nil"/>
              <w:right w:val="nil"/>
            </w:tcBorders>
          </w:tcPr>
          <w:p w14:paraId="39EAA7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0.271***</w:t>
            </w:r>
          </w:p>
        </w:tc>
        <w:tc>
          <w:tcPr>
            <w:tcW w:w="1006" w:type="pct"/>
            <w:tcBorders>
              <w:top w:val="nil"/>
              <w:left w:val="nil"/>
              <w:bottom w:val="nil"/>
              <w:right w:val="nil"/>
            </w:tcBorders>
          </w:tcPr>
          <w:p w14:paraId="7A1859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0.294***</w:t>
            </w:r>
          </w:p>
        </w:tc>
        <w:tc>
          <w:tcPr>
            <w:tcW w:w="668" w:type="pct"/>
            <w:tcBorders>
              <w:top w:val="nil"/>
              <w:left w:val="nil"/>
              <w:bottom w:val="nil"/>
              <w:right w:val="nil"/>
            </w:tcBorders>
          </w:tcPr>
          <w:p w14:paraId="13277B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0.236***</w:t>
            </w:r>
          </w:p>
        </w:tc>
        <w:tc>
          <w:tcPr>
            <w:tcW w:w="870" w:type="pct"/>
            <w:tcBorders>
              <w:top w:val="nil"/>
              <w:left w:val="nil"/>
              <w:bottom w:val="nil"/>
              <w:right w:val="nil"/>
            </w:tcBorders>
          </w:tcPr>
          <w:p w14:paraId="6CB305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0.305***</w:t>
            </w:r>
          </w:p>
        </w:tc>
        <w:tc>
          <w:tcPr>
            <w:tcW w:w="738" w:type="pct"/>
            <w:tcBorders>
              <w:top w:val="nil"/>
              <w:left w:val="nil"/>
              <w:bottom w:val="nil"/>
              <w:right w:val="nil"/>
            </w:tcBorders>
          </w:tcPr>
          <w:p w14:paraId="2AE9E4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0.336***</w:t>
            </w:r>
          </w:p>
        </w:tc>
      </w:tr>
      <w:tr w:rsidR="00F00E3D" w:rsidRPr="00335312" w14:paraId="2320427E" w14:textId="77777777" w:rsidTr="00063AC8">
        <w:trPr>
          <w:jc w:val="center"/>
        </w:trPr>
        <w:tc>
          <w:tcPr>
            <w:tcW w:w="1112" w:type="pct"/>
            <w:tcBorders>
              <w:top w:val="nil"/>
              <w:left w:val="nil"/>
              <w:bottom w:val="nil"/>
              <w:right w:val="nil"/>
            </w:tcBorders>
          </w:tcPr>
          <w:p w14:paraId="13A6EA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579F1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(38.56)</w:t>
            </w:r>
          </w:p>
        </w:tc>
        <w:tc>
          <w:tcPr>
            <w:tcW w:w="1006" w:type="pct"/>
            <w:tcBorders>
              <w:top w:val="nil"/>
              <w:left w:val="nil"/>
              <w:bottom w:val="nil"/>
              <w:right w:val="nil"/>
            </w:tcBorders>
          </w:tcPr>
          <w:p w14:paraId="323F88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(32.86)</w:t>
            </w:r>
          </w:p>
        </w:tc>
        <w:tc>
          <w:tcPr>
            <w:tcW w:w="668" w:type="pct"/>
            <w:tcBorders>
              <w:top w:val="nil"/>
              <w:left w:val="nil"/>
              <w:bottom w:val="nil"/>
              <w:right w:val="nil"/>
            </w:tcBorders>
          </w:tcPr>
          <w:p w14:paraId="4A7181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(23.66)</w:t>
            </w:r>
          </w:p>
        </w:tc>
        <w:tc>
          <w:tcPr>
            <w:tcW w:w="870" w:type="pct"/>
            <w:tcBorders>
              <w:top w:val="nil"/>
              <w:left w:val="nil"/>
              <w:bottom w:val="nil"/>
              <w:right w:val="nil"/>
            </w:tcBorders>
          </w:tcPr>
          <w:p w14:paraId="7F8AFD2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(18.75)</w:t>
            </w:r>
          </w:p>
        </w:tc>
        <w:tc>
          <w:tcPr>
            <w:tcW w:w="738" w:type="pct"/>
            <w:tcBorders>
              <w:top w:val="nil"/>
              <w:left w:val="nil"/>
              <w:bottom w:val="nil"/>
              <w:right w:val="nil"/>
            </w:tcBorders>
          </w:tcPr>
          <w:p w14:paraId="121DFA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(11.77)</w:t>
            </w:r>
          </w:p>
        </w:tc>
      </w:tr>
      <w:tr w:rsidR="00F00E3D" w:rsidRPr="00335312" w14:paraId="398ADAA8" w14:textId="77777777" w:rsidTr="00063AC8">
        <w:trPr>
          <w:jc w:val="center"/>
        </w:trPr>
        <w:tc>
          <w:tcPr>
            <w:tcW w:w="1112" w:type="pct"/>
            <w:tcBorders>
              <w:top w:val="nil"/>
              <w:left w:val="nil"/>
              <w:bottom w:val="nil"/>
              <w:right w:val="nil"/>
            </w:tcBorders>
          </w:tcPr>
          <w:p w14:paraId="27A399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2019.year#8.month</w:t>
            </w:r>
          </w:p>
        </w:tc>
        <w:tc>
          <w:tcPr>
            <w:tcW w:w="607" w:type="pct"/>
            <w:tcBorders>
              <w:top w:val="nil"/>
              <w:left w:val="nil"/>
              <w:bottom w:val="nil"/>
              <w:right w:val="nil"/>
            </w:tcBorders>
          </w:tcPr>
          <w:p w14:paraId="4A452A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0.282***</w:t>
            </w:r>
          </w:p>
        </w:tc>
        <w:tc>
          <w:tcPr>
            <w:tcW w:w="1006" w:type="pct"/>
            <w:tcBorders>
              <w:top w:val="nil"/>
              <w:left w:val="nil"/>
              <w:bottom w:val="nil"/>
              <w:right w:val="nil"/>
            </w:tcBorders>
          </w:tcPr>
          <w:p w14:paraId="5A70F1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0.316***</w:t>
            </w:r>
          </w:p>
        </w:tc>
        <w:tc>
          <w:tcPr>
            <w:tcW w:w="668" w:type="pct"/>
            <w:tcBorders>
              <w:top w:val="nil"/>
              <w:left w:val="nil"/>
              <w:bottom w:val="nil"/>
              <w:right w:val="nil"/>
            </w:tcBorders>
          </w:tcPr>
          <w:p w14:paraId="39DFF3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0.236***</w:t>
            </w:r>
          </w:p>
        </w:tc>
        <w:tc>
          <w:tcPr>
            <w:tcW w:w="870" w:type="pct"/>
            <w:tcBorders>
              <w:top w:val="nil"/>
              <w:left w:val="nil"/>
              <w:bottom w:val="nil"/>
              <w:right w:val="nil"/>
            </w:tcBorders>
          </w:tcPr>
          <w:p w14:paraId="5F9243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0.334***</w:t>
            </w:r>
          </w:p>
        </w:tc>
        <w:tc>
          <w:tcPr>
            <w:tcW w:w="738" w:type="pct"/>
            <w:tcBorders>
              <w:top w:val="nil"/>
              <w:left w:val="nil"/>
              <w:bottom w:val="nil"/>
              <w:right w:val="nil"/>
            </w:tcBorders>
          </w:tcPr>
          <w:p w14:paraId="093461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0.359***</w:t>
            </w:r>
          </w:p>
        </w:tc>
      </w:tr>
      <w:tr w:rsidR="00F00E3D" w:rsidRPr="00335312" w14:paraId="442094C2" w14:textId="77777777" w:rsidTr="00063AC8">
        <w:trPr>
          <w:jc w:val="center"/>
        </w:trPr>
        <w:tc>
          <w:tcPr>
            <w:tcW w:w="1112" w:type="pct"/>
            <w:tcBorders>
              <w:top w:val="nil"/>
              <w:left w:val="nil"/>
              <w:bottom w:val="nil"/>
              <w:right w:val="nil"/>
            </w:tcBorders>
          </w:tcPr>
          <w:p w14:paraId="1EF338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3BCD5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(40.26)</w:t>
            </w:r>
          </w:p>
        </w:tc>
        <w:tc>
          <w:tcPr>
            <w:tcW w:w="1006" w:type="pct"/>
            <w:tcBorders>
              <w:top w:val="nil"/>
              <w:left w:val="nil"/>
              <w:bottom w:val="nil"/>
              <w:right w:val="nil"/>
            </w:tcBorders>
          </w:tcPr>
          <w:p w14:paraId="2E69B4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(37.78)</w:t>
            </w:r>
          </w:p>
        </w:tc>
        <w:tc>
          <w:tcPr>
            <w:tcW w:w="668" w:type="pct"/>
            <w:tcBorders>
              <w:top w:val="nil"/>
              <w:left w:val="nil"/>
              <w:bottom w:val="nil"/>
              <w:right w:val="nil"/>
            </w:tcBorders>
          </w:tcPr>
          <w:p w14:paraId="282D6E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(23.64)</w:t>
            </w:r>
          </w:p>
        </w:tc>
        <w:tc>
          <w:tcPr>
            <w:tcW w:w="870" w:type="pct"/>
            <w:tcBorders>
              <w:top w:val="nil"/>
              <w:left w:val="nil"/>
              <w:bottom w:val="nil"/>
              <w:right w:val="nil"/>
            </w:tcBorders>
          </w:tcPr>
          <w:p w14:paraId="71E1EB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(16.46)</w:t>
            </w:r>
          </w:p>
        </w:tc>
        <w:tc>
          <w:tcPr>
            <w:tcW w:w="738" w:type="pct"/>
            <w:tcBorders>
              <w:top w:val="nil"/>
              <w:left w:val="nil"/>
              <w:bottom w:val="nil"/>
              <w:right w:val="nil"/>
            </w:tcBorders>
          </w:tcPr>
          <w:p w14:paraId="03252C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(10.02)</w:t>
            </w:r>
          </w:p>
        </w:tc>
      </w:tr>
      <w:tr w:rsidR="00F00E3D" w:rsidRPr="00335312" w14:paraId="2FEFE849" w14:textId="77777777" w:rsidTr="00063AC8">
        <w:trPr>
          <w:jc w:val="center"/>
        </w:trPr>
        <w:tc>
          <w:tcPr>
            <w:tcW w:w="1112" w:type="pct"/>
            <w:tcBorders>
              <w:top w:val="nil"/>
              <w:left w:val="nil"/>
              <w:bottom w:val="nil"/>
              <w:right w:val="nil"/>
            </w:tcBorders>
          </w:tcPr>
          <w:p w14:paraId="30F79E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2019.year#9.month</w:t>
            </w:r>
          </w:p>
        </w:tc>
        <w:tc>
          <w:tcPr>
            <w:tcW w:w="607" w:type="pct"/>
            <w:tcBorders>
              <w:top w:val="nil"/>
              <w:left w:val="nil"/>
              <w:bottom w:val="nil"/>
              <w:right w:val="nil"/>
            </w:tcBorders>
          </w:tcPr>
          <w:p w14:paraId="26907A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0.303***</w:t>
            </w:r>
          </w:p>
        </w:tc>
        <w:tc>
          <w:tcPr>
            <w:tcW w:w="1006" w:type="pct"/>
            <w:tcBorders>
              <w:top w:val="nil"/>
              <w:left w:val="nil"/>
              <w:bottom w:val="nil"/>
              <w:right w:val="nil"/>
            </w:tcBorders>
          </w:tcPr>
          <w:p w14:paraId="0FB80D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0.336***</w:t>
            </w:r>
          </w:p>
        </w:tc>
        <w:tc>
          <w:tcPr>
            <w:tcW w:w="668" w:type="pct"/>
            <w:tcBorders>
              <w:top w:val="nil"/>
              <w:left w:val="nil"/>
              <w:bottom w:val="nil"/>
              <w:right w:val="nil"/>
            </w:tcBorders>
          </w:tcPr>
          <w:p w14:paraId="22E951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0.257***</w:t>
            </w:r>
          </w:p>
        </w:tc>
        <w:tc>
          <w:tcPr>
            <w:tcW w:w="870" w:type="pct"/>
            <w:tcBorders>
              <w:top w:val="nil"/>
              <w:left w:val="nil"/>
              <w:bottom w:val="nil"/>
              <w:right w:val="nil"/>
            </w:tcBorders>
          </w:tcPr>
          <w:p w14:paraId="6BFA525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0.339***</w:t>
            </w:r>
          </w:p>
        </w:tc>
        <w:tc>
          <w:tcPr>
            <w:tcW w:w="738" w:type="pct"/>
            <w:tcBorders>
              <w:top w:val="nil"/>
              <w:left w:val="nil"/>
              <w:bottom w:val="nil"/>
              <w:right w:val="nil"/>
            </w:tcBorders>
          </w:tcPr>
          <w:p w14:paraId="7D3687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0.386***</w:t>
            </w:r>
          </w:p>
        </w:tc>
      </w:tr>
      <w:tr w:rsidR="00F00E3D" w:rsidRPr="00335312" w14:paraId="49E09968" w14:textId="77777777" w:rsidTr="00063AC8">
        <w:trPr>
          <w:jc w:val="center"/>
        </w:trPr>
        <w:tc>
          <w:tcPr>
            <w:tcW w:w="1112" w:type="pct"/>
            <w:tcBorders>
              <w:top w:val="nil"/>
              <w:left w:val="nil"/>
              <w:bottom w:val="nil"/>
              <w:right w:val="nil"/>
            </w:tcBorders>
          </w:tcPr>
          <w:p w14:paraId="21AF155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4D31F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(42.79)</w:t>
            </w:r>
          </w:p>
        </w:tc>
        <w:tc>
          <w:tcPr>
            <w:tcW w:w="1006" w:type="pct"/>
            <w:tcBorders>
              <w:top w:val="nil"/>
              <w:left w:val="nil"/>
              <w:bottom w:val="nil"/>
              <w:right w:val="nil"/>
            </w:tcBorders>
          </w:tcPr>
          <w:p w14:paraId="427C6E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(40.12)</w:t>
            </w:r>
          </w:p>
        </w:tc>
        <w:tc>
          <w:tcPr>
            <w:tcW w:w="668" w:type="pct"/>
            <w:tcBorders>
              <w:top w:val="nil"/>
              <w:left w:val="nil"/>
              <w:bottom w:val="nil"/>
              <w:right w:val="nil"/>
            </w:tcBorders>
          </w:tcPr>
          <w:p w14:paraId="3AB0FF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(25.41)</w:t>
            </w:r>
          </w:p>
        </w:tc>
        <w:tc>
          <w:tcPr>
            <w:tcW w:w="870" w:type="pct"/>
            <w:tcBorders>
              <w:top w:val="nil"/>
              <w:left w:val="nil"/>
              <w:bottom w:val="nil"/>
              <w:right w:val="nil"/>
            </w:tcBorders>
          </w:tcPr>
          <w:p w14:paraId="3346F6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(16.99)</w:t>
            </w:r>
          </w:p>
        </w:tc>
        <w:tc>
          <w:tcPr>
            <w:tcW w:w="738" w:type="pct"/>
            <w:tcBorders>
              <w:top w:val="nil"/>
              <w:left w:val="nil"/>
              <w:bottom w:val="nil"/>
              <w:right w:val="nil"/>
            </w:tcBorders>
          </w:tcPr>
          <w:p w14:paraId="446DF8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(11.21)</w:t>
            </w:r>
          </w:p>
        </w:tc>
      </w:tr>
      <w:tr w:rsidR="00F00E3D" w:rsidRPr="00335312" w14:paraId="0C5E9379" w14:textId="77777777" w:rsidTr="00063AC8">
        <w:trPr>
          <w:jc w:val="center"/>
        </w:trPr>
        <w:tc>
          <w:tcPr>
            <w:tcW w:w="1112" w:type="pct"/>
            <w:tcBorders>
              <w:top w:val="nil"/>
              <w:left w:val="nil"/>
              <w:bottom w:val="nil"/>
              <w:right w:val="nil"/>
            </w:tcBorders>
          </w:tcPr>
          <w:p w14:paraId="486A17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2019.year#10.month</w:t>
            </w:r>
          </w:p>
        </w:tc>
        <w:tc>
          <w:tcPr>
            <w:tcW w:w="607" w:type="pct"/>
            <w:tcBorders>
              <w:top w:val="nil"/>
              <w:left w:val="nil"/>
              <w:bottom w:val="nil"/>
              <w:right w:val="nil"/>
            </w:tcBorders>
          </w:tcPr>
          <w:p w14:paraId="2922D8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0.310***</w:t>
            </w:r>
          </w:p>
        </w:tc>
        <w:tc>
          <w:tcPr>
            <w:tcW w:w="1006" w:type="pct"/>
            <w:tcBorders>
              <w:top w:val="nil"/>
              <w:left w:val="nil"/>
              <w:bottom w:val="nil"/>
              <w:right w:val="nil"/>
            </w:tcBorders>
          </w:tcPr>
          <w:p w14:paraId="38CCDE9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0.345***</w:t>
            </w:r>
          </w:p>
        </w:tc>
        <w:tc>
          <w:tcPr>
            <w:tcW w:w="668" w:type="pct"/>
            <w:tcBorders>
              <w:top w:val="nil"/>
              <w:left w:val="nil"/>
              <w:bottom w:val="nil"/>
              <w:right w:val="nil"/>
            </w:tcBorders>
          </w:tcPr>
          <w:p w14:paraId="26850ED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0.263***</w:t>
            </w:r>
          </w:p>
        </w:tc>
        <w:tc>
          <w:tcPr>
            <w:tcW w:w="870" w:type="pct"/>
            <w:tcBorders>
              <w:top w:val="nil"/>
              <w:left w:val="nil"/>
              <w:bottom w:val="nil"/>
              <w:right w:val="nil"/>
            </w:tcBorders>
          </w:tcPr>
          <w:p w14:paraId="599643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0.341***</w:t>
            </w:r>
          </w:p>
        </w:tc>
        <w:tc>
          <w:tcPr>
            <w:tcW w:w="738" w:type="pct"/>
            <w:tcBorders>
              <w:top w:val="nil"/>
              <w:left w:val="nil"/>
              <w:bottom w:val="nil"/>
              <w:right w:val="nil"/>
            </w:tcBorders>
          </w:tcPr>
          <w:p w14:paraId="74A22B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0.386***</w:t>
            </w:r>
          </w:p>
        </w:tc>
      </w:tr>
      <w:tr w:rsidR="00F00E3D" w:rsidRPr="00335312" w14:paraId="5528F78B" w14:textId="77777777" w:rsidTr="00063AC8">
        <w:trPr>
          <w:jc w:val="center"/>
        </w:trPr>
        <w:tc>
          <w:tcPr>
            <w:tcW w:w="1112" w:type="pct"/>
            <w:tcBorders>
              <w:top w:val="nil"/>
              <w:left w:val="nil"/>
              <w:bottom w:val="nil"/>
              <w:right w:val="nil"/>
            </w:tcBorders>
          </w:tcPr>
          <w:p w14:paraId="234C38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E2D46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(43.96)</w:t>
            </w:r>
          </w:p>
        </w:tc>
        <w:tc>
          <w:tcPr>
            <w:tcW w:w="1006" w:type="pct"/>
            <w:tcBorders>
              <w:top w:val="nil"/>
              <w:left w:val="nil"/>
              <w:bottom w:val="nil"/>
              <w:right w:val="nil"/>
            </w:tcBorders>
          </w:tcPr>
          <w:p w14:paraId="69EB18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(41.20)</w:t>
            </w:r>
          </w:p>
        </w:tc>
        <w:tc>
          <w:tcPr>
            <w:tcW w:w="668" w:type="pct"/>
            <w:tcBorders>
              <w:top w:val="nil"/>
              <w:left w:val="nil"/>
              <w:bottom w:val="nil"/>
              <w:right w:val="nil"/>
            </w:tcBorders>
          </w:tcPr>
          <w:p w14:paraId="7B0F18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(26.12)</w:t>
            </w:r>
          </w:p>
        </w:tc>
        <w:tc>
          <w:tcPr>
            <w:tcW w:w="870" w:type="pct"/>
            <w:tcBorders>
              <w:top w:val="nil"/>
              <w:left w:val="nil"/>
              <w:bottom w:val="nil"/>
              <w:right w:val="nil"/>
            </w:tcBorders>
          </w:tcPr>
          <w:p w14:paraId="0D19EC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(15.37)</w:t>
            </w:r>
          </w:p>
        </w:tc>
        <w:tc>
          <w:tcPr>
            <w:tcW w:w="738" w:type="pct"/>
            <w:tcBorders>
              <w:top w:val="nil"/>
              <w:left w:val="nil"/>
              <w:bottom w:val="nil"/>
              <w:right w:val="nil"/>
            </w:tcBorders>
          </w:tcPr>
          <w:p w14:paraId="3696E0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(76.91)</w:t>
            </w:r>
          </w:p>
        </w:tc>
      </w:tr>
      <w:tr w:rsidR="00F00E3D" w:rsidRPr="00335312" w14:paraId="081BA0A8" w14:textId="77777777" w:rsidTr="00063AC8">
        <w:trPr>
          <w:jc w:val="center"/>
        </w:trPr>
        <w:tc>
          <w:tcPr>
            <w:tcW w:w="1112" w:type="pct"/>
            <w:tcBorders>
              <w:top w:val="nil"/>
              <w:left w:val="nil"/>
              <w:bottom w:val="nil"/>
              <w:right w:val="nil"/>
            </w:tcBorders>
          </w:tcPr>
          <w:p w14:paraId="1FAD61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2019.year#11.month</w:t>
            </w:r>
          </w:p>
        </w:tc>
        <w:tc>
          <w:tcPr>
            <w:tcW w:w="607" w:type="pct"/>
            <w:tcBorders>
              <w:top w:val="nil"/>
              <w:left w:val="nil"/>
              <w:bottom w:val="nil"/>
              <w:right w:val="nil"/>
            </w:tcBorders>
          </w:tcPr>
          <w:p w14:paraId="5972A8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0.319***</w:t>
            </w:r>
          </w:p>
        </w:tc>
        <w:tc>
          <w:tcPr>
            <w:tcW w:w="1006" w:type="pct"/>
            <w:tcBorders>
              <w:top w:val="nil"/>
              <w:left w:val="nil"/>
              <w:bottom w:val="nil"/>
              <w:right w:val="nil"/>
            </w:tcBorders>
          </w:tcPr>
          <w:p w14:paraId="1EA93F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0.354***</w:t>
            </w:r>
          </w:p>
        </w:tc>
        <w:tc>
          <w:tcPr>
            <w:tcW w:w="668" w:type="pct"/>
            <w:tcBorders>
              <w:top w:val="nil"/>
              <w:left w:val="nil"/>
              <w:bottom w:val="nil"/>
              <w:right w:val="nil"/>
            </w:tcBorders>
          </w:tcPr>
          <w:p w14:paraId="5DF303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0.270***</w:t>
            </w:r>
          </w:p>
        </w:tc>
        <w:tc>
          <w:tcPr>
            <w:tcW w:w="870" w:type="pct"/>
            <w:tcBorders>
              <w:top w:val="nil"/>
              <w:left w:val="nil"/>
              <w:bottom w:val="nil"/>
              <w:right w:val="nil"/>
            </w:tcBorders>
          </w:tcPr>
          <w:p w14:paraId="4EEC5D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0.359***</w:t>
            </w:r>
          </w:p>
        </w:tc>
        <w:tc>
          <w:tcPr>
            <w:tcW w:w="738" w:type="pct"/>
            <w:tcBorders>
              <w:top w:val="nil"/>
              <w:left w:val="nil"/>
              <w:bottom w:val="nil"/>
              <w:right w:val="nil"/>
            </w:tcBorders>
          </w:tcPr>
          <w:p w14:paraId="5CC4E1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0.411***</w:t>
            </w:r>
          </w:p>
        </w:tc>
      </w:tr>
      <w:tr w:rsidR="00F00E3D" w:rsidRPr="00335312" w14:paraId="14A01097" w14:textId="77777777" w:rsidTr="00063AC8">
        <w:trPr>
          <w:jc w:val="center"/>
        </w:trPr>
        <w:tc>
          <w:tcPr>
            <w:tcW w:w="1112" w:type="pct"/>
            <w:tcBorders>
              <w:top w:val="nil"/>
              <w:left w:val="nil"/>
              <w:bottom w:val="nil"/>
              <w:right w:val="nil"/>
            </w:tcBorders>
          </w:tcPr>
          <w:p w14:paraId="26EF0D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BF5D5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(45.82)</w:t>
            </w:r>
          </w:p>
        </w:tc>
        <w:tc>
          <w:tcPr>
            <w:tcW w:w="1006" w:type="pct"/>
            <w:tcBorders>
              <w:top w:val="nil"/>
              <w:left w:val="nil"/>
              <w:bottom w:val="nil"/>
              <w:right w:val="nil"/>
            </w:tcBorders>
          </w:tcPr>
          <w:p w14:paraId="6115F7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(43.80)</w:t>
            </w:r>
          </w:p>
        </w:tc>
        <w:tc>
          <w:tcPr>
            <w:tcW w:w="668" w:type="pct"/>
            <w:tcBorders>
              <w:top w:val="nil"/>
              <w:left w:val="nil"/>
              <w:bottom w:val="nil"/>
              <w:right w:val="nil"/>
            </w:tcBorders>
          </w:tcPr>
          <w:p w14:paraId="22BFE2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(26.59)</w:t>
            </w:r>
          </w:p>
        </w:tc>
        <w:tc>
          <w:tcPr>
            <w:tcW w:w="870" w:type="pct"/>
            <w:tcBorders>
              <w:top w:val="nil"/>
              <w:left w:val="nil"/>
              <w:bottom w:val="nil"/>
              <w:right w:val="nil"/>
            </w:tcBorders>
          </w:tcPr>
          <w:p w14:paraId="365E9D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(18.11)</w:t>
            </w:r>
          </w:p>
        </w:tc>
        <w:tc>
          <w:tcPr>
            <w:tcW w:w="738" w:type="pct"/>
            <w:tcBorders>
              <w:top w:val="nil"/>
              <w:left w:val="nil"/>
              <w:bottom w:val="nil"/>
              <w:right w:val="nil"/>
            </w:tcBorders>
          </w:tcPr>
          <w:p w14:paraId="66DBAD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(12.66)</w:t>
            </w:r>
          </w:p>
        </w:tc>
      </w:tr>
      <w:tr w:rsidR="00F00E3D" w:rsidRPr="00335312" w14:paraId="3E33DC27" w14:textId="77777777" w:rsidTr="00063AC8">
        <w:trPr>
          <w:jc w:val="center"/>
        </w:trPr>
        <w:tc>
          <w:tcPr>
            <w:tcW w:w="1112" w:type="pct"/>
            <w:tcBorders>
              <w:top w:val="nil"/>
              <w:left w:val="nil"/>
              <w:bottom w:val="nil"/>
              <w:right w:val="nil"/>
            </w:tcBorders>
          </w:tcPr>
          <w:p w14:paraId="5BA93F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2019.year#12.month</w:t>
            </w:r>
          </w:p>
        </w:tc>
        <w:tc>
          <w:tcPr>
            <w:tcW w:w="607" w:type="pct"/>
            <w:tcBorders>
              <w:top w:val="nil"/>
              <w:left w:val="nil"/>
              <w:bottom w:val="nil"/>
              <w:right w:val="nil"/>
            </w:tcBorders>
          </w:tcPr>
          <w:p w14:paraId="06EE73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0.321***</w:t>
            </w:r>
          </w:p>
        </w:tc>
        <w:tc>
          <w:tcPr>
            <w:tcW w:w="1006" w:type="pct"/>
            <w:tcBorders>
              <w:top w:val="nil"/>
              <w:left w:val="nil"/>
              <w:bottom w:val="nil"/>
              <w:right w:val="nil"/>
            </w:tcBorders>
          </w:tcPr>
          <w:p w14:paraId="04E4BD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0.354***</w:t>
            </w:r>
          </w:p>
        </w:tc>
        <w:tc>
          <w:tcPr>
            <w:tcW w:w="668" w:type="pct"/>
            <w:tcBorders>
              <w:top w:val="nil"/>
              <w:left w:val="nil"/>
              <w:bottom w:val="nil"/>
              <w:right w:val="nil"/>
            </w:tcBorders>
          </w:tcPr>
          <w:p w14:paraId="563D22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0.275***</w:t>
            </w:r>
          </w:p>
        </w:tc>
        <w:tc>
          <w:tcPr>
            <w:tcW w:w="870" w:type="pct"/>
            <w:tcBorders>
              <w:top w:val="nil"/>
              <w:left w:val="nil"/>
              <w:bottom w:val="nil"/>
              <w:right w:val="nil"/>
            </w:tcBorders>
          </w:tcPr>
          <w:p w14:paraId="025807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0.357***</w:t>
            </w:r>
          </w:p>
        </w:tc>
        <w:tc>
          <w:tcPr>
            <w:tcW w:w="738" w:type="pct"/>
            <w:tcBorders>
              <w:top w:val="nil"/>
              <w:left w:val="nil"/>
              <w:bottom w:val="nil"/>
              <w:right w:val="nil"/>
            </w:tcBorders>
          </w:tcPr>
          <w:p w14:paraId="06351A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0.410***</w:t>
            </w:r>
          </w:p>
        </w:tc>
      </w:tr>
      <w:tr w:rsidR="00F00E3D" w:rsidRPr="00335312" w14:paraId="2DA18774" w14:textId="77777777" w:rsidTr="00063AC8">
        <w:trPr>
          <w:jc w:val="center"/>
        </w:trPr>
        <w:tc>
          <w:tcPr>
            <w:tcW w:w="1112" w:type="pct"/>
            <w:tcBorders>
              <w:top w:val="nil"/>
              <w:left w:val="nil"/>
              <w:bottom w:val="nil"/>
              <w:right w:val="nil"/>
            </w:tcBorders>
          </w:tcPr>
          <w:p w14:paraId="6691A6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CB499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(46.47)</w:t>
            </w:r>
          </w:p>
        </w:tc>
        <w:tc>
          <w:tcPr>
            <w:tcW w:w="1006" w:type="pct"/>
            <w:tcBorders>
              <w:top w:val="nil"/>
              <w:left w:val="nil"/>
              <w:bottom w:val="nil"/>
              <w:right w:val="nil"/>
            </w:tcBorders>
          </w:tcPr>
          <w:p w14:paraId="376D30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(43.62)</w:t>
            </w:r>
          </w:p>
        </w:tc>
        <w:tc>
          <w:tcPr>
            <w:tcW w:w="668" w:type="pct"/>
            <w:tcBorders>
              <w:top w:val="nil"/>
              <w:left w:val="nil"/>
              <w:bottom w:val="nil"/>
              <w:right w:val="nil"/>
            </w:tcBorders>
          </w:tcPr>
          <w:p w14:paraId="72ED47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(26.43)</w:t>
            </w:r>
          </w:p>
        </w:tc>
        <w:tc>
          <w:tcPr>
            <w:tcW w:w="870" w:type="pct"/>
            <w:tcBorders>
              <w:top w:val="nil"/>
              <w:left w:val="nil"/>
              <w:bottom w:val="nil"/>
              <w:right w:val="nil"/>
            </w:tcBorders>
          </w:tcPr>
          <w:p w14:paraId="13DCDA0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(17.37)</w:t>
            </w:r>
          </w:p>
        </w:tc>
        <w:tc>
          <w:tcPr>
            <w:tcW w:w="738" w:type="pct"/>
            <w:tcBorders>
              <w:top w:val="nil"/>
              <w:left w:val="nil"/>
              <w:bottom w:val="nil"/>
              <w:right w:val="nil"/>
            </w:tcBorders>
          </w:tcPr>
          <w:p w14:paraId="1AA456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(26.66)</w:t>
            </w:r>
          </w:p>
        </w:tc>
      </w:tr>
      <w:tr w:rsidR="00F00E3D" w:rsidRPr="00335312" w14:paraId="6AD72456" w14:textId="77777777" w:rsidTr="00063AC8">
        <w:trPr>
          <w:jc w:val="center"/>
        </w:trPr>
        <w:tc>
          <w:tcPr>
            <w:tcW w:w="1112" w:type="pct"/>
            <w:tcBorders>
              <w:top w:val="nil"/>
              <w:left w:val="nil"/>
              <w:bottom w:val="nil"/>
              <w:right w:val="nil"/>
            </w:tcBorders>
          </w:tcPr>
          <w:p w14:paraId="28D636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2020.year#1.month</w:t>
            </w:r>
          </w:p>
        </w:tc>
        <w:tc>
          <w:tcPr>
            <w:tcW w:w="607" w:type="pct"/>
            <w:tcBorders>
              <w:top w:val="nil"/>
              <w:left w:val="nil"/>
              <w:bottom w:val="nil"/>
              <w:right w:val="nil"/>
            </w:tcBorders>
          </w:tcPr>
          <w:p w14:paraId="3CEFB9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0.340***</w:t>
            </w:r>
          </w:p>
        </w:tc>
        <w:tc>
          <w:tcPr>
            <w:tcW w:w="1006" w:type="pct"/>
            <w:tcBorders>
              <w:top w:val="nil"/>
              <w:left w:val="nil"/>
              <w:bottom w:val="nil"/>
              <w:right w:val="nil"/>
            </w:tcBorders>
          </w:tcPr>
          <w:p w14:paraId="53AEC3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0.369***</w:t>
            </w:r>
          </w:p>
        </w:tc>
        <w:tc>
          <w:tcPr>
            <w:tcW w:w="668" w:type="pct"/>
            <w:tcBorders>
              <w:top w:val="nil"/>
              <w:left w:val="nil"/>
              <w:bottom w:val="nil"/>
              <w:right w:val="nil"/>
            </w:tcBorders>
          </w:tcPr>
          <w:p w14:paraId="728429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0.296***</w:t>
            </w:r>
          </w:p>
        </w:tc>
        <w:tc>
          <w:tcPr>
            <w:tcW w:w="870" w:type="pct"/>
            <w:tcBorders>
              <w:top w:val="nil"/>
              <w:left w:val="nil"/>
              <w:bottom w:val="nil"/>
              <w:right w:val="nil"/>
            </w:tcBorders>
          </w:tcPr>
          <w:p w14:paraId="53387A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0.357***</w:t>
            </w:r>
          </w:p>
        </w:tc>
        <w:tc>
          <w:tcPr>
            <w:tcW w:w="738" w:type="pct"/>
            <w:tcBorders>
              <w:top w:val="nil"/>
              <w:left w:val="nil"/>
              <w:bottom w:val="nil"/>
              <w:right w:val="nil"/>
            </w:tcBorders>
          </w:tcPr>
          <w:p w14:paraId="38C7FA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0.367***</w:t>
            </w:r>
          </w:p>
        </w:tc>
      </w:tr>
      <w:tr w:rsidR="00F00E3D" w:rsidRPr="00335312" w14:paraId="30386360" w14:textId="77777777" w:rsidTr="00063AC8">
        <w:trPr>
          <w:jc w:val="center"/>
        </w:trPr>
        <w:tc>
          <w:tcPr>
            <w:tcW w:w="1112" w:type="pct"/>
            <w:tcBorders>
              <w:top w:val="nil"/>
              <w:left w:val="nil"/>
              <w:bottom w:val="nil"/>
              <w:right w:val="nil"/>
            </w:tcBorders>
          </w:tcPr>
          <w:p w14:paraId="5A99E9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DB139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(44.55)</w:t>
            </w:r>
          </w:p>
        </w:tc>
        <w:tc>
          <w:tcPr>
            <w:tcW w:w="1006" w:type="pct"/>
            <w:tcBorders>
              <w:top w:val="nil"/>
              <w:left w:val="nil"/>
              <w:bottom w:val="nil"/>
              <w:right w:val="nil"/>
            </w:tcBorders>
          </w:tcPr>
          <w:p w14:paraId="72F56A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(40.02)</w:t>
            </w:r>
          </w:p>
        </w:tc>
        <w:tc>
          <w:tcPr>
            <w:tcW w:w="668" w:type="pct"/>
            <w:tcBorders>
              <w:top w:val="nil"/>
              <w:left w:val="nil"/>
              <w:bottom w:val="nil"/>
              <w:right w:val="nil"/>
            </w:tcBorders>
          </w:tcPr>
          <w:p w14:paraId="4C1426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(26.46)</w:t>
            </w:r>
          </w:p>
        </w:tc>
        <w:tc>
          <w:tcPr>
            <w:tcW w:w="870" w:type="pct"/>
            <w:tcBorders>
              <w:top w:val="nil"/>
              <w:left w:val="nil"/>
              <w:bottom w:val="nil"/>
              <w:right w:val="nil"/>
            </w:tcBorders>
          </w:tcPr>
          <w:p w14:paraId="3C0B12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(13.42)</w:t>
            </w:r>
          </w:p>
        </w:tc>
        <w:tc>
          <w:tcPr>
            <w:tcW w:w="738" w:type="pct"/>
            <w:tcBorders>
              <w:top w:val="nil"/>
              <w:left w:val="nil"/>
              <w:bottom w:val="nil"/>
              <w:right w:val="nil"/>
            </w:tcBorders>
          </w:tcPr>
          <w:p w14:paraId="0FD66D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(24.99)</w:t>
            </w:r>
          </w:p>
        </w:tc>
      </w:tr>
      <w:tr w:rsidR="00F00E3D" w:rsidRPr="00335312" w14:paraId="417BB808" w14:textId="77777777" w:rsidTr="00063AC8">
        <w:trPr>
          <w:jc w:val="center"/>
        </w:trPr>
        <w:tc>
          <w:tcPr>
            <w:tcW w:w="1112" w:type="pct"/>
            <w:tcBorders>
              <w:top w:val="nil"/>
              <w:left w:val="nil"/>
              <w:bottom w:val="nil"/>
              <w:right w:val="nil"/>
            </w:tcBorders>
          </w:tcPr>
          <w:p w14:paraId="7E4921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2020.year#2.month</w:t>
            </w:r>
          </w:p>
        </w:tc>
        <w:tc>
          <w:tcPr>
            <w:tcW w:w="607" w:type="pct"/>
            <w:tcBorders>
              <w:top w:val="nil"/>
              <w:left w:val="nil"/>
              <w:bottom w:val="nil"/>
              <w:right w:val="nil"/>
            </w:tcBorders>
          </w:tcPr>
          <w:p w14:paraId="56A883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0.351***</w:t>
            </w:r>
          </w:p>
        </w:tc>
        <w:tc>
          <w:tcPr>
            <w:tcW w:w="1006" w:type="pct"/>
            <w:tcBorders>
              <w:top w:val="nil"/>
              <w:left w:val="nil"/>
              <w:bottom w:val="nil"/>
              <w:right w:val="nil"/>
            </w:tcBorders>
          </w:tcPr>
          <w:p w14:paraId="19D53A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0.381***</w:t>
            </w:r>
          </w:p>
        </w:tc>
        <w:tc>
          <w:tcPr>
            <w:tcW w:w="668" w:type="pct"/>
            <w:tcBorders>
              <w:top w:val="nil"/>
              <w:left w:val="nil"/>
              <w:bottom w:val="nil"/>
              <w:right w:val="nil"/>
            </w:tcBorders>
          </w:tcPr>
          <w:p w14:paraId="2433D5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0.306***</w:t>
            </w:r>
          </w:p>
        </w:tc>
        <w:tc>
          <w:tcPr>
            <w:tcW w:w="870" w:type="pct"/>
            <w:tcBorders>
              <w:top w:val="nil"/>
              <w:left w:val="nil"/>
              <w:bottom w:val="nil"/>
              <w:right w:val="nil"/>
            </w:tcBorders>
          </w:tcPr>
          <w:p w14:paraId="73A52F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0.400***</w:t>
            </w:r>
          </w:p>
        </w:tc>
        <w:tc>
          <w:tcPr>
            <w:tcW w:w="738" w:type="pct"/>
            <w:tcBorders>
              <w:top w:val="nil"/>
              <w:left w:val="nil"/>
              <w:bottom w:val="nil"/>
              <w:right w:val="nil"/>
            </w:tcBorders>
          </w:tcPr>
          <w:p w14:paraId="231D98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0.404***</w:t>
            </w:r>
          </w:p>
        </w:tc>
      </w:tr>
      <w:tr w:rsidR="00F00E3D" w:rsidRPr="00335312" w14:paraId="5995A4BB" w14:textId="77777777" w:rsidTr="00063AC8">
        <w:trPr>
          <w:jc w:val="center"/>
        </w:trPr>
        <w:tc>
          <w:tcPr>
            <w:tcW w:w="1112" w:type="pct"/>
            <w:tcBorders>
              <w:top w:val="nil"/>
              <w:left w:val="nil"/>
              <w:bottom w:val="nil"/>
              <w:right w:val="nil"/>
            </w:tcBorders>
          </w:tcPr>
          <w:p w14:paraId="424FD0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AF688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(51.43)</w:t>
            </w:r>
          </w:p>
        </w:tc>
        <w:tc>
          <w:tcPr>
            <w:tcW w:w="1006" w:type="pct"/>
            <w:tcBorders>
              <w:top w:val="nil"/>
              <w:left w:val="nil"/>
              <w:bottom w:val="nil"/>
              <w:right w:val="nil"/>
            </w:tcBorders>
          </w:tcPr>
          <w:p w14:paraId="2EDA3D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(48.15)</w:t>
            </w:r>
          </w:p>
        </w:tc>
        <w:tc>
          <w:tcPr>
            <w:tcW w:w="668" w:type="pct"/>
            <w:tcBorders>
              <w:top w:val="nil"/>
              <w:left w:val="nil"/>
              <w:bottom w:val="nil"/>
              <w:right w:val="nil"/>
            </w:tcBorders>
          </w:tcPr>
          <w:p w14:paraId="057D63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(30.35)</w:t>
            </w:r>
          </w:p>
        </w:tc>
        <w:tc>
          <w:tcPr>
            <w:tcW w:w="870" w:type="pct"/>
            <w:tcBorders>
              <w:top w:val="nil"/>
              <w:left w:val="nil"/>
              <w:bottom w:val="nil"/>
              <w:right w:val="nil"/>
            </w:tcBorders>
          </w:tcPr>
          <w:p w14:paraId="36713B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(20.11)</w:t>
            </w:r>
          </w:p>
        </w:tc>
        <w:tc>
          <w:tcPr>
            <w:tcW w:w="738" w:type="pct"/>
            <w:tcBorders>
              <w:top w:val="nil"/>
              <w:left w:val="nil"/>
              <w:bottom w:val="nil"/>
              <w:right w:val="nil"/>
            </w:tcBorders>
          </w:tcPr>
          <w:p w14:paraId="3113A4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(22.23)</w:t>
            </w:r>
          </w:p>
        </w:tc>
      </w:tr>
      <w:tr w:rsidR="00F00E3D" w:rsidRPr="00335312" w14:paraId="7C34236C" w14:textId="77777777" w:rsidTr="00063AC8">
        <w:trPr>
          <w:jc w:val="center"/>
        </w:trPr>
        <w:tc>
          <w:tcPr>
            <w:tcW w:w="1112" w:type="pct"/>
            <w:tcBorders>
              <w:top w:val="nil"/>
              <w:left w:val="nil"/>
              <w:bottom w:val="nil"/>
              <w:right w:val="nil"/>
            </w:tcBorders>
          </w:tcPr>
          <w:p w14:paraId="5CDD7A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2020.year#3.month</w:t>
            </w:r>
          </w:p>
        </w:tc>
        <w:tc>
          <w:tcPr>
            <w:tcW w:w="607" w:type="pct"/>
            <w:tcBorders>
              <w:top w:val="nil"/>
              <w:left w:val="nil"/>
              <w:bottom w:val="nil"/>
              <w:right w:val="nil"/>
            </w:tcBorders>
          </w:tcPr>
          <w:p w14:paraId="37A0B9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0.335***</w:t>
            </w:r>
          </w:p>
        </w:tc>
        <w:tc>
          <w:tcPr>
            <w:tcW w:w="1006" w:type="pct"/>
            <w:tcBorders>
              <w:top w:val="nil"/>
              <w:left w:val="nil"/>
              <w:bottom w:val="nil"/>
              <w:right w:val="nil"/>
            </w:tcBorders>
          </w:tcPr>
          <w:p w14:paraId="2C0260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0.359***</w:t>
            </w:r>
          </w:p>
        </w:tc>
        <w:tc>
          <w:tcPr>
            <w:tcW w:w="668" w:type="pct"/>
            <w:tcBorders>
              <w:top w:val="nil"/>
              <w:left w:val="nil"/>
              <w:bottom w:val="nil"/>
              <w:right w:val="nil"/>
            </w:tcBorders>
          </w:tcPr>
          <w:p w14:paraId="722F7F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0.301***</w:t>
            </w:r>
          </w:p>
        </w:tc>
        <w:tc>
          <w:tcPr>
            <w:tcW w:w="870" w:type="pct"/>
            <w:tcBorders>
              <w:top w:val="nil"/>
              <w:left w:val="nil"/>
              <w:bottom w:val="nil"/>
              <w:right w:val="nil"/>
            </w:tcBorders>
          </w:tcPr>
          <w:p w14:paraId="233B28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0.396***</w:t>
            </w:r>
          </w:p>
        </w:tc>
        <w:tc>
          <w:tcPr>
            <w:tcW w:w="738" w:type="pct"/>
            <w:tcBorders>
              <w:top w:val="nil"/>
              <w:left w:val="nil"/>
              <w:bottom w:val="nil"/>
              <w:right w:val="nil"/>
            </w:tcBorders>
          </w:tcPr>
          <w:p w14:paraId="2F877F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0.417***</w:t>
            </w:r>
          </w:p>
        </w:tc>
      </w:tr>
      <w:tr w:rsidR="00F00E3D" w:rsidRPr="00335312" w14:paraId="0DC73337" w14:textId="77777777" w:rsidTr="00063AC8">
        <w:trPr>
          <w:jc w:val="center"/>
        </w:trPr>
        <w:tc>
          <w:tcPr>
            <w:tcW w:w="1112" w:type="pct"/>
            <w:tcBorders>
              <w:top w:val="nil"/>
              <w:left w:val="nil"/>
              <w:bottom w:val="nil"/>
              <w:right w:val="nil"/>
            </w:tcBorders>
          </w:tcPr>
          <w:p w14:paraId="773FEE1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A9D5B3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(48.39)</w:t>
            </w:r>
          </w:p>
        </w:tc>
        <w:tc>
          <w:tcPr>
            <w:tcW w:w="1006" w:type="pct"/>
            <w:tcBorders>
              <w:top w:val="nil"/>
              <w:left w:val="nil"/>
              <w:bottom w:val="nil"/>
              <w:right w:val="nil"/>
            </w:tcBorders>
          </w:tcPr>
          <w:p w14:paraId="31C23B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(42.57)</w:t>
            </w:r>
          </w:p>
        </w:tc>
        <w:tc>
          <w:tcPr>
            <w:tcW w:w="668" w:type="pct"/>
            <w:tcBorders>
              <w:top w:val="nil"/>
              <w:left w:val="nil"/>
              <w:bottom w:val="nil"/>
              <w:right w:val="nil"/>
            </w:tcBorders>
          </w:tcPr>
          <w:p w14:paraId="03757A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(30.04)</w:t>
            </w:r>
          </w:p>
        </w:tc>
        <w:tc>
          <w:tcPr>
            <w:tcW w:w="870" w:type="pct"/>
            <w:tcBorders>
              <w:top w:val="nil"/>
              <w:left w:val="nil"/>
              <w:bottom w:val="nil"/>
              <w:right w:val="nil"/>
            </w:tcBorders>
          </w:tcPr>
          <w:p w14:paraId="4CDF09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(22.35)</w:t>
            </w:r>
          </w:p>
        </w:tc>
        <w:tc>
          <w:tcPr>
            <w:tcW w:w="738" w:type="pct"/>
            <w:tcBorders>
              <w:top w:val="nil"/>
              <w:left w:val="nil"/>
              <w:bottom w:val="nil"/>
              <w:right w:val="nil"/>
            </w:tcBorders>
          </w:tcPr>
          <w:p w14:paraId="238A5A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(13.09)</w:t>
            </w:r>
          </w:p>
        </w:tc>
      </w:tr>
      <w:tr w:rsidR="00F00E3D" w:rsidRPr="00335312" w14:paraId="299D6819" w14:textId="77777777" w:rsidTr="00063AC8">
        <w:trPr>
          <w:jc w:val="center"/>
        </w:trPr>
        <w:tc>
          <w:tcPr>
            <w:tcW w:w="1112" w:type="pct"/>
            <w:tcBorders>
              <w:top w:val="nil"/>
              <w:left w:val="nil"/>
              <w:bottom w:val="nil"/>
              <w:right w:val="nil"/>
            </w:tcBorders>
          </w:tcPr>
          <w:p w14:paraId="2E048D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2020.year#4.month</w:t>
            </w:r>
          </w:p>
        </w:tc>
        <w:tc>
          <w:tcPr>
            <w:tcW w:w="607" w:type="pct"/>
            <w:tcBorders>
              <w:top w:val="nil"/>
              <w:left w:val="nil"/>
              <w:bottom w:val="nil"/>
              <w:right w:val="nil"/>
            </w:tcBorders>
          </w:tcPr>
          <w:p w14:paraId="7FC12D5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0.301***</w:t>
            </w:r>
          </w:p>
        </w:tc>
        <w:tc>
          <w:tcPr>
            <w:tcW w:w="1006" w:type="pct"/>
            <w:tcBorders>
              <w:top w:val="nil"/>
              <w:left w:val="nil"/>
              <w:bottom w:val="nil"/>
              <w:right w:val="nil"/>
            </w:tcBorders>
          </w:tcPr>
          <w:p w14:paraId="30F464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0.328***</w:t>
            </w:r>
          </w:p>
        </w:tc>
        <w:tc>
          <w:tcPr>
            <w:tcW w:w="668" w:type="pct"/>
            <w:tcBorders>
              <w:top w:val="nil"/>
              <w:left w:val="nil"/>
              <w:bottom w:val="nil"/>
              <w:right w:val="nil"/>
            </w:tcBorders>
          </w:tcPr>
          <w:p w14:paraId="2AC347D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0.263***</w:t>
            </w:r>
          </w:p>
        </w:tc>
        <w:tc>
          <w:tcPr>
            <w:tcW w:w="870" w:type="pct"/>
            <w:tcBorders>
              <w:top w:val="nil"/>
              <w:left w:val="nil"/>
              <w:bottom w:val="nil"/>
              <w:right w:val="nil"/>
            </w:tcBorders>
          </w:tcPr>
          <w:p w14:paraId="20A73D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0.323***</w:t>
            </w:r>
          </w:p>
        </w:tc>
        <w:tc>
          <w:tcPr>
            <w:tcW w:w="738" w:type="pct"/>
            <w:tcBorders>
              <w:top w:val="nil"/>
              <w:left w:val="nil"/>
              <w:bottom w:val="nil"/>
              <w:right w:val="nil"/>
            </w:tcBorders>
          </w:tcPr>
          <w:p w14:paraId="4AE0B5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0.393***</w:t>
            </w:r>
          </w:p>
        </w:tc>
      </w:tr>
      <w:tr w:rsidR="00F00E3D" w:rsidRPr="00335312" w14:paraId="1ACC34CB" w14:textId="77777777" w:rsidTr="00063AC8">
        <w:trPr>
          <w:jc w:val="center"/>
        </w:trPr>
        <w:tc>
          <w:tcPr>
            <w:tcW w:w="1112" w:type="pct"/>
            <w:tcBorders>
              <w:top w:val="nil"/>
              <w:left w:val="nil"/>
              <w:bottom w:val="nil"/>
              <w:right w:val="nil"/>
            </w:tcBorders>
          </w:tcPr>
          <w:p w14:paraId="16AF5B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06298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(41.83)</w:t>
            </w:r>
          </w:p>
        </w:tc>
        <w:tc>
          <w:tcPr>
            <w:tcW w:w="1006" w:type="pct"/>
            <w:tcBorders>
              <w:top w:val="nil"/>
              <w:left w:val="nil"/>
              <w:bottom w:val="nil"/>
              <w:right w:val="nil"/>
            </w:tcBorders>
          </w:tcPr>
          <w:p w14:paraId="4175C1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(37.76)</w:t>
            </w:r>
          </w:p>
        </w:tc>
        <w:tc>
          <w:tcPr>
            <w:tcW w:w="668" w:type="pct"/>
            <w:tcBorders>
              <w:top w:val="nil"/>
              <w:left w:val="nil"/>
              <w:bottom w:val="nil"/>
              <w:right w:val="nil"/>
            </w:tcBorders>
          </w:tcPr>
          <w:p w14:paraId="5D9132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(25.11)</w:t>
            </w:r>
          </w:p>
        </w:tc>
        <w:tc>
          <w:tcPr>
            <w:tcW w:w="870" w:type="pct"/>
            <w:tcBorders>
              <w:top w:val="nil"/>
              <w:left w:val="nil"/>
              <w:bottom w:val="nil"/>
              <w:right w:val="nil"/>
            </w:tcBorders>
          </w:tcPr>
          <w:p w14:paraId="26482E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(16.07)</w:t>
            </w:r>
          </w:p>
        </w:tc>
        <w:tc>
          <w:tcPr>
            <w:tcW w:w="738" w:type="pct"/>
            <w:tcBorders>
              <w:top w:val="nil"/>
              <w:left w:val="nil"/>
              <w:bottom w:val="nil"/>
              <w:right w:val="nil"/>
            </w:tcBorders>
          </w:tcPr>
          <w:p w14:paraId="3A2439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(11.56)</w:t>
            </w:r>
          </w:p>
        </w:tc>
      </w:tr>
      <w:tr w:rsidR="00F00E3D" w:rsidRPr="00335312" w14:paraId="086ECEAD" w14:textId="77777777" w:rsidTr="00063AC8">
        <w:trPr>
          <w:jc w:val="center"/>
        </w:trPr>
        <w:tc>
          <w:tcPr>
            <w:tcW w:w="1112" w:type="pct"/>
            <w:tcBorders>
              <w:top w:val="nil"/>
              <w:left w:val="nil"/>
              <w:bottom w:val="nil"/>
              <w:right w:val="nil"/>
            </w:tcBorders>
          </w:tcPr>
          <w:p w14:paraId="271205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2020.year#5.month</w:t>
            </w:r>
          </w:p>
        </w:tc>
        <w:tc>
          <w:tcPr>
            <w:tcW w:w="607" w:type="pct"/>
            <w:tcBorders>
              <w:top w:val="nil"/>
              <w:left w:val="nil"/>
              <w:bottom w:val="nil"/>
              <w:right w:val="nil"/>
            </w:tcBorders>
          </w:tcPr>
          <w:p w14:paraId="797CCE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0.314***</w:t>
            </w:r>
          </w:p>
        </w:tc>
        <w:tc>
          <w:tcPr>
            <w:tcW w:w="1006" w:type="pct"/>
            <w:tcBorders>
              <w:top w:val="nil"/>
              <w:left w:val="nil"/>
              <w:bottom w:val="nil"/>
              <w:right w:val="nil"/>
            </w:tcBorders>
          </w:tcPr>
          <w:p w14:paraId="440E77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0.337***</w:t>
            </w:r>
          </w:p>
        </w:tc>
        <w:tc>
          <w:tcPr>
            <w:tcW w:w="668" w:type="pct"/>
            <w:tcBorders>
              <w:top w:val="nil"/>
              <w:left w:val="nil"/>
              <w:bottom w:val="nil"/>
              <w:right w:val="nil"/>
            </w:tcBorders>
          </w:tcPr>
          <w:p w14:paraId="7A0E6B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0.280***</w:t>
            </w:r>
          </w:p>
        </w:tc>
        <w:tc>
          <w:tcPr>
            <w:tcW w:w="870" w:type="pct"/>
            <w:tcBorders>
              <w:top w:val="nil"/>
              <w:left w:val="nil"/>
              <w:bottom w:val="nil"/>
              <w:right w:val="nil"/>
            </w:tcBorders>
          </w:tcPr>
          <w:p w14:paraId="1639BF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0.366***</w:t>
            </w:r>
          </w:p>
        </w:tc>
        <w:tc>
          <w:tcPr>
            <w:tcW w:w="738" w:type="pct"/>
            <w:tcBorders>
              <w:top w:val="nil"/>
              <w:left w:val="nil"/>
              <w:bottom w:val="nil"/>
              <w:right w:val="nil"/>
            </w:tcBorders>
          </w:tcPr>
          <w:p w14:paraId="40794C3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0.360***</w:t>
            </w:r>
          </w:p>
        </w:tc>
      </w:tr>
      <w:tr w:rsidR="00F00E3D" w:rsidRPr="00335312" w14:paraId="4C978C38" w14:textId="77777777" w:rsidTr="00063AC8">
        <w:trPr>
          <w:jc w:val="center"/>
        </w:trPr>
        <w:tc>
          <w:tcPr>
            <w:tcW w:w="1112" w:type="pct"/>
            <w:tcBorders>
              <w:top w:val="nil"/>
              <w:left w:val="nil"/>
              <w:bottom w:val="nil"/>
              <w:right w:val="nil"/>
            </w:tcBorders>
          </w:tcPr>
          <w:p w14:paraId="1DFB88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5BA40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(42.01)</w:t>
            </w:r>
          </w:p>
        </w:tc>
        <w:tc>
          <w:tcPr>
            <w:tcW w:w="1006" w:type="pct"/>
            <w:tcBorders>
              <w:top w:val="nil"/>
              <w:left w:val="nil"/>
              <w:bottom w:val="nil"/>
              <w:right w:val="nil"/>
            </w:tcBorders>
          </w:tcPr>
          <w:p w14:paraId="65367C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(36.86)</w:t>
            </w:r>
          </w:p>
        </w:tc>
        <w:tc>
          <w:tcPr>
            <w:tcW w:w="668" w:type="pct"/>
            <w:tcBorders>
              <w:top w:val="nil"/>
              <w:left w:val="nil"/>
              <w:bottom w:val="nil"/>
              <w:right w:val="nil"/>
            </w:tcBorders>
          </w:tcPr>
          <w:p w14:paraId="764575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(25.96)</w:t>
            </w:r>
          </w:p>
        </w:tc>
        <w:tc>
          <w:tcPr>
            <w:tcW w:w="870" w:type="pct"/>
            <w:tcBorders>
              <w:top w:val="nil"/>
              <w:left w:val="nil"/>
              <w:bottom w:val="nil"/>
              <w:right w:val="nil"/>
            </w:tcBorders>
          </w:tcPr>
          <w:p w14:paraId="61AA42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(21.60)</w:t>
            </w:r>
          </w:p>
        </w:tc>
        <w:tc>
          <w:tcPr>
            <w:tcW w:w="738" w:type="pct"/>
            <w:tcBorders>
              <w:top w:val="nil"/>
              <w:left w:val="nil"/>
              <w:bottom w:val="nil"/>
              <w:right w:val="nil"/>
            </w:tcBorders>
          </w:tcPr>
          <w:p w14:paraId="5BBBBE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(16.25)</w:t>
            </w:r>
          </w:p>
        </w:tc>
      </w:tr>
      <w:tr w:rsidR="00F00E3D" w:rsidRPr="00335312" w14:paraId="55CC3CFF" w14:textId="77777777" w:rsidTr="00063AC8">
        <w:trPr>
          <w:jc w:val="center"/>
        </w:trPr>
        <w:tc>
          <w:tcPr>
            <w:tcW w:w="1112" w:type="pct"/>
            <w:tcBorders>
              <w:top w:val="nil"/>
              <w:left w:val="nil"/>
              <w:bottom w:val="nil"/>
              <w:right w:val="nil"/>
            </w:tcBorders>
          </w:tcPr>
          <w:p w14:paraId="6CEB14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2020.year#6.month</w:t>
            </w:r>
          </w:p>
        </w:tc>
        <w:tc>
          <w:tcPr>
            <w:tcW w:w="607" w:type="pct"/>
            <w:tcBorders>
              <w:top w:val="nil"/>
              <w:left w:val="nil"/>
              <w:bottom w:val="nil"/>
              <w:right w:val="nil"/>
            </w:tcBorders>
          </w:tcPr>
          <w:p w14:paraId="117259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0.335***</w:t>
            </w:r>
          </w:p>
        </w:tc>
        <w:tc>
          <w:tcPr>
            <w:tcW w:w="1006" w:type="pct"/>
            <w:tcBorders>
              <w:top w:val="nil"/>
              <w:left w:val="nil"/>
              <w:bottom w:val="nil"/>
              <w:right w:val="nil"/>
            </w:tcBorders>
          </w:tcPr>
          <w:p w14:paraId="6AD0B7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0.357***</w:t>
            </w:r>
          </w:p>
        </w:tc>
        <w:tc>
          <w:tcPr>
            <w:tcW w:w="668" w:type="pct"/>
            <w:tcBorders>
              <w:top w:val="nil"/>
              <w:left w:val="nil"/>
              <w:bottom w:val="nil"/>
              <w:right w:val="nil"/>
            </w:tcBorders>
          </w:tcPr>
          <w:p w14:paraId="642326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0.302***</w:t>
            </w:r>
          </w:p>
        </w:tc>
        <w:tc>
          <w:tcPr>
            <w:tcW w:w="870" w:type="pct"/>
            <w:tcBorders>
              <w:top w:val="nil"/>
              <w:left w:val="nil"/>
              <w:bottom w:val="nil"/>
              <w:right w:val="nil"/>
            </w:tcBorders>
          </w:tcPr>
          <w:p w14:paraId="33771E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0.375***</w:t>
            </w:r>
          </w:p>
        </w:tc>
        <w:tc>
          <w:tcPr>
            <w:tcW w:w="738" w:type="pct"/>
            <w:tcBorders>
              <w:top w:val="nil"/>
              <w:left w:val="nil"/>
              <w:bottom w:val="nil"/>
              <w:right w:val="nil"/>
            </w:tcBorders>
          </w:tcPr>
          <w:p w14:paraId="7BD92E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0.402***</w:t>
            </w:r>
          </w:p>
        </w:tc>
      </w:tr>
      <w:tr w:rsidR="00F00E3D" w:rsidRPr="00335312" w14:paraId="7C08AA10" w14:textId="77777777" w:rsidTr="00063AC8">
        <w:trPr>
          <w:jc w:val="center"/>
        </w:trPr>
        <w:tc>
          <w:tcPr>
            <w:tcW w:w="1112" w:type="pct"/>
            <w:tcBorders>
              <w:top w:val="nil"/>
              <w:left w:val="nil"/>
              <w:bottom w:val="nil"/>
              <w:right w:val="nil"/>
            </w:tcBorders>
          </w:tcPr>
          <w:p w14:paraId="174CF0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DBB23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(46.14)</w:t>
            </w:r>
          </w:p>
        </w:tc>
        <w:tc>
          <w:tcPr>
            <w:tcW w:w="1006" w:type="pct"/>
            <w:tcBorders>
              <w:top w:val="nil"/>
              <w:left w:val="nil"/>
              <w:bottom w:val="nil"/>
              <w:right w:val="nil"/>
            </w:tcBorders>
          </w:tcPr>
          <w:p w14:paraId="0F3D69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(40.15)</w:t>
            </w:r>
          </w:p>
        </w:tc>
        <w:tc>
          <w:tcPr>
            <w:tcW w:w="668" w:type="pct"/>
            <w:tcBorders>
              <w:top w:val="nil"/>
              <w:left w:val="nil"/>
              <w:bottom w:val="nil"/>
              <w:right w:val="nil"/>
            </w:tcBorders>
          </w:tcPr>
          <w:p w14:paraId="41F770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(28.75)</w:t>
            </w:r>
          </w:p>
        </w:tc>
        <w:tc>
          <w:tcPr>
            <w:tcW w:w="870" w:type="pct"/>
            <w:tcBorders>
              <w:top w:val="nil"/>
              <w:left w:val="nil"/>
              <w:bottom w:val="nil"/>
              <w:right w:val="nil"/>
            </w:tcBorders>
          </w:tcPr>
          <w:p w14:paraId="4CAF69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(22.72)</w:t>
            </w:r>
          </w:p>
        </w:tc>
        <w:tc>
          <w:tcPr>
            <w:tcW w:w="738" w:type="pct"/>
            <w:tcBorders>
              <w:top w:val="nil"/>
              <w:left w:val="nil"/>
              <w:bottom w:val="nil"/>
              <w:right w:val="nil"/>
            </w:tcBorders>
          </w:tcPr>
          <w:p w14:paraId="007AA4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(75.43)</w:t>
            </w:r>
          </w:p>
        </w:tc>
      </w:tr>
      <w:tr w:rsidR="00F00E3D" w:rsidRPr="00335312" w14:paraId="42867E26" w14:textId="77777777" w:rsidTr="00063AC8">
        <w:trPr>
          <w:jc w:val="center"/>
        </w:trPr>
        <w:tc>
          <w:tcPr>
            <w:tcW w:w="1112" w:type="pct"/>
            <w:tcBorders>
              <w:top w:val="nil"/>
              <w:left w:val="nil"/>
              <w:bottom w:val="nil"/>
              <w:right w:val="nil"/>
            </w:tcBorders>
          </w:tcPr>
          <w:p w14:paraId="737122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2020.year#7.month</w:t>
            </w:r>
          </w:p>
        </w:tc>
        <w:tc>
          <w:tcPr>
            <w:tcW w:w="607" w:type="pct"/>
            <w:tcBorders>
              <w:top w:val="nil"/>
              <w:left w:val="nil"/>
              <w:bottom w:val="nil"/>
              <w:right w:val="nil"/>
            </w:tcBorders>
          </w:tcPr>
          <w:p w14:paraId="563309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0.337***</w:t>
            </w:r>
          </w:p>
        </w:tc>
        <w:tc>
          <w:tcPr>
            <w:tcW w:w="1006" w:type="pct"/>
            <w:tcBorders>
              <w:top w:val="nil"/>
              <w:left w:val="nil"/>
              <w:bottom w:val="nil"/>
              <w:right w:val="nil"/>
            </w:tcBorders>
          </w:tcPr>
          <w:p w14:paraId="7EF060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0.359***</w:t>
            </w:r>
          </w:p>
        </w:tc>
        <w:tc>
          <w:tcPr>
            <w:tcW w:w="668" w:type="pct"/>
            <w:tcBorders>
              <w:top w:val="nil"/>
              <w:left w:val="nil"/>
              <w:bottom w:val="nil"/>
              <w:right w:val="nil"/>
            </w:tcBorders>
          </w:tcPr>
          <w:p w14:paraId="66BE10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0.302***</w:t>
            </w:r>
          </w:p>
        </w:tc>
        <w:tc>
          <w:tcPr>
            <w:tcW w:w="870" w:type="pct"/>
            <w:tcBorders>
              <w:top w:val="nil"/>
              <w:left w:val="nil"/>
              <w:bottom w:val="nil"/>
              <w:right w:val="nil"/>
            </w:tcBorders>
          </w:tcPr>
          <w:p w14:paraId="248741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0.383***</w:t>
            </w:r>
          </w:p>
        </w:tc>
        <w:tc>
          <w:tcPr>
            <w:tcW w:w="738" w:type="pct"/>
            <w:tcBorders>
              <w:top w:val="nil"/>
              <w:left w:val="nil"/>
              <w:bottom w:val="nil"/>
              <w:right w:val="nil"/>
            </w:tcBorders>
          </w:tcPr>
          <w:p w14:paraId="73F2BE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0.450***</w:t>
            </w:r>
          </w:p>
        </w:tc>
      </w:tr>
      <w:tr w:rsidR="00F00E3D" w:rsidRPr="00335312" w14:paraId="2EAF72C7" w14:textId="77777777" w:rsidTr="00063AC8">
        <w:trPr>
          <w:jc w:val="center"/>
        </w:trPr>
        <w:tc>
          <w:tcPr>
            <w:tcW w:w="1112" w:type="pct"/>
            <w:tcBorders>
              <w:top w:val="nil"/>
              <w:left w:val="nil"/>
              <w:bottom w:val="nil"/>
              <w:right w:val="nil"/>
            </w:tcBorders>
          </w:tcPr>
          <w:p w14:paraId="3CA242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7E9D2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(48.99)</w:t>
            </w:r>
          </w:p>
        </w:tc>
        <w:tc>
          <w:tcPr>
            <w:tcW w:w="1006" w:type="pct"/>
            <w:tcBorders>
              <w:top w:val="nil"/>
              <w:left w:val="nil"/>
              <w:bottom w:val="nil"/>
              <w:right w:val="nil"/>
            </w:tcBorders>
          </w:tcPr>
          <w:p w14:paraId="203292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(41.72)</w:t>
            </w:r>
          </w:p>
        </w:tc>
        <w:tc>
          <w:tcPr>
            <w:tcW w:w="668" w:type="pct"/>
            <w:tcBorders>
              <w:top w:val="nil"/>
              <w:left w:val="nil"/>
              <w:bottom w:val="nil"/>
              <w:right w:val="nil"/>
            </w:tcBorders>
          </w:tcPr>
          <w:p w14:paraId="4F1AB3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(30.70)</w:t>
            </w:r>
          </w:p>
        </w:tc>
        <w:tc>
          <w:tcPr>
            <w:tcW w:w="870" w:type="pct"/>
            <w:tcBorders>
              <w:top w:val="nil"/>
              <w:left w:val="nil"/>
              <w:bottom w:val="nil"/>
              <w:right w:val="nil"/>
            </w:tcBorders>
          </w:tcPr>
          <w:p w14:paraId="4E6BC6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(16.59)</w:t>
            </w:r>
          </w:p>
        </w:tc>
        <w:tc>
          <w:tcPr>
            <w:tcW w:w="738" w:type="pct"/>
            <w:tcBorders>
              <w:top w:val="nil"/>
              <w:left w:val="nil"/>
              <w:bottom w:val="nil"/>
              <w:right w:val="nil"/>
            </w:tcBorders>
          </w:tcPr>
          <w:p w14:paraId="17A4F7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(33.30)</w:t>
            </w:r>
          </w:p>
        </w:tc>
      </w:tr>
      <w:tr w:rsidR="00F00E3D" w:rsidRPr="00335312" w14:paraId="0B4DFD07" w14:textId="77777777" w:rsidTr="00063AC8">
        <w:trPr>
          <w:jc w:val="center"/>
        </w:trPr>
        <w:tc>
          <w:tcPr>
            <w:tcW w:w="1112" w:type="pct"/>
            <w:tcBorders>
              <w:top w:val="nil"/>
              <w:left w:val="nil"/>
              <w:bottom w:val="nil"/>
              <w:right w:val="nil"/>
            </w:tcBorders>
          </w:tcPr>
          <w:p w14:paraId="1BD30C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2020.year#8.month</w:t>
            </w:r>
          </w:p>
        </w:tc>
        <w:tc>
          <w:tcPr>
            <w:tcW w:w="607" w:type="pct"/>
            <w:tcBorders>
              <w:top w:val="nil"/>
              <w:left w:val="nil"/>
              <w:bottom w:val="nil"/>
              <w:right w:val="nil"/>
            </w:tcBorders>
          </w:tcPr>
          <w:p w14:paraId="0A8699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0.349***</w:t>
            </w:r>
          </w:p>
        </w:tc>
        <w:tc>
          <w:tcPr>
            <w:tcW w:w="1006" w:type="pct"/>
            <w:tcBorders>
              <w:top w:val="nil"/>
              <w:left w:val="nil"/>
              <w:bottom w:val="nil"/>
              <w:right w:val="nil"/>
            </w:tcBorders>
          </w:tcPr>
          <w:p w14:paraId="68B104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0.349***</w:t>
            </w:r>
          </w:p>
        </w:tc>
        <w:tc>
          <w:tcPr>
            <w:tcW w:w="668" w:type="pct"/>
            <w:tcBorders>
              <w:top w:val="nil"/>
              <w:left w:val="nil"/>
              <w:bottom w:val="nil"/>
              <w:right w:val="nil"/>
            </w:tcBorders>
          </w:tcPr>
          <w:p w14:paraId="69F78F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0.323***</w:t>
            </w:r>
          </w:p>
        </w:tc>
        <w:tc>
          <w:tcPr>
            <w:tcW w:w="870" w:type="pct"/>
            <w:tcBorders>
              <w:top w:val="nil"/>
              <w:left w:val="nil"/>
              <w:bottom w:val="nil"/>
              <w:right w:val="nil"/>
            </w:tcBorders>
          </w:tcPr>
          <w:p w14:paraId="59412A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0.388***</w:t>
            </w:r>
          </w:p>
        </w:tc>
        <w:tc>
          <w:tcPr>
            <w:tcW w:w="738" w:type="pct"/>
            <w:tcBorders>
              <w:top w:val="nil"/>
              <w:left w:val="nil"/>
              <w:bottom w:val="nil"/>
              <w:right w:val="nil"/>
            </w:tcBorders>
          </w:tcPr>
          <w:p w14:paraId="3403A7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0.396***</w:t>
            </w:r>
          </w:p>
        </w:tc>
      </w:tr>
      <w:tr w:rsidR="00F00E3D" w:rsidRPr="00335312" w14:paraId="255C9252" w14:textId="77777777" w:rsidTr="00063AC8">
        <w:trPr>
          <w:jc w:val="center"/>
        </w:trPr>
        <w:tc>
          <w:tcPr>
            <w:tcW w:w="1112" w:type="pct"/>
            <w:tcBorders>
              <w:top w:val="nil"/>
              <w:left w:val="nil"/>
              <w:bottom w:val="nil"/>
              <w:right w:val="nil"/>
            </w:tcBorders>
          </w:tcPr>
          <w:p w14:paraId="49F0A5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006FCB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(49.64)</w:t>
            </w:r>
          </w:p>
        </w:tc>
        <w:tc>
          <w:tcPr>
            <w:tcW w:w="1006" w:type="pct"/>
            <w:tcBorders>
              <w:top w:val="nil"/>
              <w:left w:val="nil"/>
              <w:bottom w:val="nil"/>
              <w:right w:val="nil"/>
            </w:tcBorders>
          </w:tcPr>
          <w:p w14:paraId="171918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(35.61)</w:t>
            </w:r>
          </w:p>
        </w:tc>
        <w:tc>
          <w:tcPr>
            <w:tcW w:w="668" w:type="pct"/>
            <w:tcBorders>
              <w:top w:val="nil"/>
              <w:left w:val="nil"/>
              <w:bottom w:val="nil"/>
              <w:right w:val="nil"/>
            </w:tcBorders>
          </w:tcPr>
          <w:p w14:paraId="38BC66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(33.98)</w:t>
            </w:r>
          </w:p>
        </w:tc>
        <w:tc>
          <w:tcPr>
            <w:tcW w:w="870" w:type="pct"/>
            <w:tcBorders>
              <w:top w:val="nil"/>
              <w:left w:val="nil"/>
              <w:bottom w:val="nil"/>
              <w:right w:val="nil"/>
            </w:tcBorders>
          </w:tcPr>
          <w:p w14:paraId="2EC6ED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(18.63)</w:t>
            </w:r>
          </w:p>
        </w:tc>
        <w:tc>
          <w:tcPr>
            <w:tcW w:w="738" w:type="pct"/>
            <w:tcBorders>
              <w:top w:val="nil"/>
              <w:left w:val="nil"/>
              <w:bottom w:val="nil"/>
              <w:right w:val="nil"/>
            </w:tcBorders>
          </w:tcPr>
          <w:p w14:paraId="20818F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(49.75)</w:t>
            </w:r>
          </w:p>
        </w:tc>
      </w:tr>
      <w:tr w:rsidR="00F00E3D" w:rsidRPr="00335312" w14:paraId="43B0DBD8" w14:textId="77777777" w:rsidTr="00063AC8">
        <w:trPr>
          <w:jc w:val="center"/>
        </w:trPr>
        <w:tc>
          <w:tcPr>
            <w:tcW w:w="1112" w:type="pct"/>
            <w:tcBorders>
              <w:top w:val="nil"/>
              <w:left w:val="nil"/>
              <w:bottom w:val="nil"/>
              <w:right w:val="nil"/>
            </w:tcBorders>
          </w:tcPr>
          <w:p w14:paraId="6B66298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2020.year#9.month</w:t>
            </w:r>
          </w:p>
        </w:tc>
        <w:tc>
          <w:tcPr>
            <w:tcW w:w="607" w:type="pct"/>
            <w:tcBorders>
              <w:top w:val="nil"/>
              <w:left w:val="nil"/>
              <w:bottom w:val="nil"/>
              <w:right w:val="nil"/>
            </w:tcBorders>
          </w:tcPr>
          <w:p w14:paraId="495332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0.376***</w:t>
            </w:r>
          </w:p>
        </w:tc>
        <w:tc>
          <w:tcPr>
            <w:tcW w:w="1006" w:type="pct"/>
            <w:tcBorders>
              <w:top w:val="nil"/>
              <w:left w:val="nil"/>
              <w:bottom w:val="nil"/>
              <w:right w:val="nil"/>
            </w:tcBorders>
          </w:tcPr>
          <w:p w14:paraId="17BC7D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0.364***</w:t>
            </w:r>
          </w:p>
        </w:tc>
        <w:tc>
          <w:tcPr>
            <w:tcW w:w="668" w:type="pct"/>
            <w:tcBorders>
              <w:top w:val="nil"/>
              <w:left w:val="nil"/>
              <w:bottom w:val="nil"/>
              <w:right w:val="nil"/>
            </w:tcBorders>
          </w:tcPr>
          <w:p w14:paraId="35228C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0.339***</w:t>
            </w:r>
          </w:p>
        </w:tc>
        <w:tc>
          <w:tcPr>
            <w:tcW w:w="870" w:type="pct"/>
            <w:tcBorders>
              <w:top w:val="nil"/>
              <w:left w:val="nil"/>
              <w:bottom w:val="nil"/>
              <w:right w:val="nil"/>
            </w:tcBorders>
          </w:tcPr>
          <w:p w14:paraId="09737A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0.400***</w:t>
            </w:r>
          </w:p>
        </w:tc>
        <w:tc>
          <w:tcPr>
            <w:tcW w:w="738" w:type="pct"/>
            <w:tcBorders>
              <w:top w:val="nil"/>
              <w:left w:val="nil"/>
              <w:bottom w:val="nil"/>
              <w:right w:val="nil"/>
            </w:tcBorders>
          </w:tcPr>
          <w:p w14:paraId="2E385F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0.424***</w:t>
            </w:r>
          </w:p>
        </w:tc>
      </w:tr>
      <w:tr w:rsidR="00F00E3D" w:rsidRPr="00335312" w14:paraId="2CD6A432" w14:textId="77777777" w:rsidTr="00063AC8">
        <w:trPr>
          <w:jc w:val="center"/>
        </w:trPr>
        <w:tc>
          <w:tcPr>
            <w:tcW w:w="1112" w:type="pct"/>
            <w:tcBorders>
              <w:top w:val="nil"/>
              <w:left w:val="nil"/>
              <w:bottom w:val="nil"/>
              <w:right w:val="nil"/>
            </w:tcBorders>
          </w:tcPr>
          <w:p w14:paraId="72EEB6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AE5AF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(54.79)</w:t>
            </w:r>
          </w:p>
        </w:tc>
        <w:tc>
          <w:tcPr>
            <w:tcW w:w="1006" w:type="pct"/>
            <w:tcBorders>
              <w:top w:val="nil"/>
              <w:left w:val="nil"/>
              <w:bottom w:val="nil"/>
              <w:right w:val="nil"/>
            </w:tcBorders>
          </w:tcPr>
          <w:p w14:paraId="689BF3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(36.62)</w:t>
            </w:r>
          </w:p>
        </w:tc>
        <w:tc>
          <w:tcPr>
            <w:tcW w:w="668" w:type="pct"/>
            <w:tcBorders>
              <w:top w:val="nil"/>
              <w:left w:val="nil"/>
              <w:bottom w:val="nil"/>
              <w:right w:val="nil"/>
            </w:tcBorders>
          </w:tcPr>
          <w:p w14:paraId="41CB7B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(36.51)</w:t>
            </w:r>
          </w:p>
        </w:tc>
        <w:tc>
          <w:tcPr>
            <w:tcW w:w="870" w:type="pct"/>
            <w:tcBorders>
              <w:top w:val="nil"/>
              <w:left w:val="nil"/>
              <w:bottom w:val="nil"/>
              <w:right w:val="nil"/>
            </w:tcBorders>
          </w:tcPr>
          <w:p w14:paraId="36424C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(20.06)</w:t>
            </w:r>
          </w:p>
        </w:tc>
        <w:tc>
          <w:tcPr>
            <w:tcW w:w="738" w:type="pct"/>
            <w:tcBorders>
              <w:top w:val="nil"/>
              <w:left w:val="nil"/>
              <w:bottom w:val="nil"/>
              <w:right w:val="nil"/>
            </w:tcBorders>
          </w:tcPr>
          <w:p w14:paraId="287F0B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(24.86)</w:t>
            </w:r>
          </w:p>
        </w:tc>
      </w:tr>
      <w:tr w:rsidR="00F00E3D" w:rsidRPr="00335312" w14:paraId="2AAD31D4" w14:textId="77777777" w:rsidTr="00063AC8">
        <w:trPr>
          <w:jc w:val="center"/>
        </w:trPr>
        <w:tc>
          <w:tcPr>
            <w:tcW w:w="1112" w:type="pct"/>
            <w:tcBorders>
              <w:top w:val="nil"/>
              <w:left w:val="nil"/>
              <w:bottom w:val="nil"/>
              <w:right w:val="nil"/>
            </w:tcBorders>
          </w:tcPr>
          <w:p w14:paraId="4165E2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2020.year#10.month</w:t>
            </w:r>
          </w:p>
        </w:tc>
        <w:tc>
          <w:tcPr>
            <w:tcW w:w="607" w:type="pct"/>
            <w:tcBorders>
              <w:top w:val="nil"/>
              <w:left w:val="nil"/>
              <w:bottom w:val="nil"/>
              <w:right w:val="nil"/>
            </w:tcBorders>
          </w:tcPr>
          <w:p w14:paraId="7CBA23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0.370***</w:t>
            </w:r>
          </w:p>
        </w:tc>
        <w:tc>
          <w:tcPr>
            <w:tcW w:w="1006" w:type="pct"/>
            <w:tcBorders>
              <w:top w:val="nil"/>
              <w:left w:val="nil"/>
              <w:bottom w:val="nil"/>
              <w:right w:val="nil"/>
            </w:tcBorders>
          </w:tcPr>
          <w:p w14:paraId="0C01B6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0.384***</w:t>
            </w:r>
          </w:p>
        </w:tc>
        <w:tc>
          <w:tcPr>
            <w:tcW w:w="668" w:type="pct"/>
            <w:tcBorders>
              <w:top w:val="nil"/>
              <w:left w:val="nil"/>
              <w:bottom w:val="nil"/>
              <w:right w:val="nil"/>
            </w:tcBorders>
          </w:tcPr>
          <w:p w14:paraId="38B416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0.346***</w:t>
            </w:r>
          </w:p>
        </w:tc>
        <w:tc>
          <w:tcPr>
            <w:tcW w:w="870" w:type="pct"/>
            <w:tcBorders>
              <w:top w:val="nil"/>
              <w:left w:val="nil"/>
              <w:bottom w:val="nil"/>
              <w:right w:val="nil"/>
            </w:tcBorders>
          </w:tcPr>
          <w:p w14:paraId="6FDCA7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0.419***</w:t>
            </w:r>
          </w:p>
        </w:tc>
        <w:tc>
          <w:tcPr>
            <w:tcW w:w="738" w:type="pct"/>
            <w:tcBorders>
              <w:top w:val="nil"/>
              <w:left w:val="nil"/>
              <w:bottom w:val="nil"/>
              <w:right w:val="nil"/>
            </w:tcBorders>
          </w:tcPr>
          <w:p w14:paraId="7F20DC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0.451***</w:t>
            </w:r>
          </w:p>
        </w:tc>
      </w:tr>
      <w:tr w:rsidR="00F00E3D" w:rsidRPr="00335312" w14:paraId="4BFCCA92" w14:textId="77777777" w:rsidTr="00063AC8">
        <w:trPr>
          <w:jc w:val="center"/>
        </w:trPr>
        <w:tc>
          <w:tcPr>
            <w:tcW w:w="1112" w:type="pct"/>
            <w:tcBorders>
              <w:top w:val="nil"/>
              <w:left w:val="nil"/>
              <w:bottom w:val="nil"/>
              <w:right w:val="nil"/>
            </w:tcBorders>
          </w:tcPr>
          <w:p w14:paraId="515D51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4116F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(51.20)</w:t>
            </w:r>
          </w:p>
        </w:tc>
        <w:tc>
          <w:tcPr>
            <w:tcW w:w="1006" w:type="pct"/>
            <w:tcBorders>
              <w:top w:val="nil"/>
              <w:left w:val="nil"/>
              <w:bottom w:val="nil"/>
              <w:right w:val="nil"/>
            </w:tcBorders>
          </w:tcPr>
          <w:p w14:paraId="2BEF25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(39.94)</w:t>
            </w:r>
          </w:p>
        </w:tc>
        <w:tc>
          <w:tcPr>
            <w:tcW w:w="668" w:type="pct"/>
            <w:tcBorders>
              <w:top w:val="nil"/>
              <w:left w:val="nil"/>
              <w:bottom w:val="nil"/>
              <w:right w:val="nil"/>
            </w:tcBorders>
          </w:tcPr>
          <w:p w14:paraId="106EC7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(34.65)</w:t>
            </w:r>
          </w:p>
        </w:tc>
        <w:tc>
          <w:tcPr>
            <w:tcW w:w="870" w:type="pct"/>
            <w:tcBorders>
              <w:top w:val="nil"/>
              <w:left w:val="nil"/>
              <w:bottom w:val="nil"/>
              <w:right w:val="nil"/>
            </w:tcBorders>
          </w:tcPr>
          <w:p w14:paraId="04F806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(18.54)</w:t>
            </w:r>
          </w:p>
        </w:tc>
        <w:tc>
          <w:tcPr>
            <w:tcW w:w="738" w:type="pct"/>
            <w:tcBorders>
              <w:top w:val="nil"/>
              <w:left w:val="nil"/>
              <w:bottom w:val="nil"/>
              <w:right w:val="nil"/>
            </w:tcBorders>
          </w:tcPr>
          <w:p w14:paraId="3A1829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(19.63)</w:t>
            </w:r>
          </w:p>
        </w:tc>
      </w:tr>
      <w:tr w:rsidR="00F00E3D" w:rsidRPr="00335312" w14:paraId="31041239" w14:textId="77777777" w:rsidTr="00063AC8">
        <w:trPr>
          <w:jc w:val="center"/>
        </w:trPr>
        <w:tc>
          <w:tcPr>
            <w:tcW w:w="1112" w:type="pct"/>
            <w:tcBorders>
              <w:top w:val="nil"/>
              <w:left w:val="nil"/>
              <w:bottom w:val="nil"/>
              <w:right w:val="nil"/>
            </w:tcBorders>
          </w:tcPr>
          <w:p w14:paraId="3BF430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Constant</w:t>
            </w:r>
          </w:p>
        </w:tc>
        <w:tc>
          <w:tcPr>
            <w:tcW w:w="607" w:type="pct"/>
            <w:tcBorders>
              <w:top w:val="nil"/>
              <w:left w:val="nil"/>
              <w:bottom w:val="nil"/>
              <w:right w:val="nil"/>
            </w:tcBorders>
          </w:tcPr>
          <w:p w14:paraId="21ED33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8.493***</w:t>
            </w:r>
          </w:p>
        </w:tc>
        <w:tc>
          <w:tcPr>
            <w:tcW w:w="1006" w:type="pct"/>
            <w:tcBorders>
              <w:top w:val="nil"/>
              <w:left w:val="nil"/>
              <w:bottom w:val="nil"/>
              <w:right w:val="nil"/>
            </w:tcBorders>
          </w:tcPr>
          <w:p w14:paraId="23ED78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10.32***</w:t>
            </w:r>
          </w:p>
        </w:tc>
        <w:tc>
          <w:tcPr>
            <w:tcW w:w="668" w:type="pct"/>
            <w:tcBorders>
              <w:top w:val="nil"/>
              <w:left w:val="nil"/>
              <w:bottom w:val="nil"/>
              <w:right w:val="nil"/>
            </w:tcBorders>
          </w:tcPr>
          <w:p w14:paraId="6829B8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8.407***</w:t>
            </w:r>
          </w:p>
        </w:tc>
        <w:tc>
          <w:tcPr>
            <w:tcW w:w="870" w:type="pct"/>
            <w:tcBorders>
              <w:top w:val="nil"/>
              <w:left w:val="nil"/>
              <w:bottom w:val="nil"/>
              <w:right w:val="nil"/>
            </w:tcBorders>
          </w:tcPr>
          <w:p w14:paraId="23984D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-4.048</w:t>
            </w:r>
          </w:p>
        </w:tc>
        <w:tc>
          <w:tcPr>
            <w:tcW w:w="738" w:type="pct"/>
            <w:tcBorders>
              <w:top w:val="nil"/>
              <w:left w:val="nil"/>
              <w:bottom w:val="nil"/>
              <w:right w:val="nil"/>
            </w:tcBorders>
          </w:tcPr>
          <w:p w14:paraId="24F39E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10.86</w:t>
            </w:r>
          </w:p>
        </w:tc>
      </w:tr>
      <w:tr w:rsidR="00F00E3D" w:rsidRPr="00335312" w14:paraId="6D9512AE" w14:textId="77777777" w:rsidTr="00063AC8">
        <w:trPr>
          <w:jc w:val="center"/>
        </w:trPr>
        <w:tc>
          <w:tcPr>
            <w:tcW w:w="1112" w:type="pct"/>
            <w:tcBorders>
              <w:top w:val="nil"/>
              <w:left w:val="nil"/>
              <w:bottom w:val="nil"/>
              <w:right w:val="nil"/>
            </w:tcBorders>
          </w:tcPr>
          <w:p w14:paraId="043BED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A24439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(11.18)</w:t>
            </w:r>
          </w:p>
        </w:tc>
        <w:tc>
          <w:tcPr>
            <w:tcW w:w="1006" w:type="pct"/>
            <w:tcBorders>
              <w:top w:val="nil"/>
              <w:left w:val="nil"/>
              <w:bottom w:val="nil"/>
              <w:right w:val="nil"/>
            </w:tcBorders>
          </w:tcPr>
          <w:p w14:paraId="2C40E5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(3.190)</w:t>
            </w:r>
          </w:p>
        </w:tc>
        <w:tc>
          <w:tcPr>
            <w:tcW w:w="668" w:type="pct"/>
            <w:tcBorders>
              <w:top w:val="nil"/>
              <w:left w:val="nil"/>
              <w:bottom w:val="nil"/>
              <w:right w:val="nil"/>
            </w:tcBorders>
          </w:tcPr>
          <w:p w14:paraId="50B7C2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(5.573)</w:t>
            </w:r>
          </w:p>
        </w:tc>
        <w:tc>
          <w:tcPr>
            <w:tcW w:w="870" w:type="pct"/>
            <w:tcBorders>
              <w:top w:val="nil"/>
              <w:left w:val="nil"/>
              <w:bottom w:val="nil"/>
              <w:right w:val="nil"/>
            </w:tcBorders>
          </w:tcPr>
          <w:p w14:paraId="34B5A8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(-1.229)</w:t>
            </w:r>
          </w:p>
        </w:tc>
        <w:tc>
          <w:tcPr>
            <w:tcW w:w="738" w:type="pct"/>
            <w:tcBorders>
              <w:top w:val="nil"/>
              <w:left w:val="nil"/>
              <w:bottom w:val="nil"/>
              <w:right w:val="nil"/>
            </w:tcBorders>
          </w:tcPr>
          <w:p w14:paraId="37FC85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(2.439)</w:t>
            </w:r>
          </w:p>
        </w:tc>
      </w:tr>
      <w:tr w:rsidR="00F00E3D" w:rsidRPr="00335312" w14:paraId="35E522AF" w14:textId="77777777" w:rsidTr="00063AC8">
        <w:trPr>
          <w:jc w:val="center"/>
        </w:trPr>
        <w:tc>
          <w:tcPr>
            <w:tcW w:w="1112" w:type="pct"/>
            <w:tcBorders>
              <w:top w:val="nil"/>
              <w:left w:val="nil"/>
              <w:bottom w:val="nil"/>
              <w:right w:val="nil"/>
            </w:tcBorders>
          </w:tcPr>
          <w:p w14:paraId="0AFA8B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8C6BC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1006" w:type="pct"/>
            <w:tcBorders>
              <w:top w:val="nil"/>
              <w:left w:val="nil"/>
              <w:bottom w:val="nil"/>
              <w:right w:val="nil"/>
            </w:tcBorders>
          </w:tcPr>
          <w:p w14:paraId="0B2A8B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68" w:type="pct"/>
            <w:tcBorders>
              <w:top w:val="nil"/>
              <w:left w:val="nil"/>
              <w:bottom w:val="nil"/>
              <w:right w:val="nil"/>
            </w:tcBorders>
          </w:tcPr>
          <w:p w14:paraId="7A2C3E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70" w:type="pct"/>
            <w:tcBorders>
              <w:top w:val="nil"/>
              <w:left w:val="nil"/>
              <w:bottom w:val="nil"/>
              <w:right w:val="nil"/>
            </w:tcBorders>
          </w:tcPr>
          <w:p w14:paraId="0E5B67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38" w:type="pct"/>
            <w:tcBorders>
              <w:top w:val="nil"/>
              <w:left w:val="nil"/>
              <w:bottom w:val="nil"/>
              <w:right w:val="nil"/>
            </w:tcBorders>
          </w:tcPr>
          <w:p w14:paraId="638D11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197434B2" w14:textId="77777777" w:rsidTr="00063AC8">
        <w:trPr>
          <w:jc w:val="center"/>
        </w:trPr>
        <w:tc>
          <w:tcPr>
            <w:tcW w:w="1112" w:type="pct"/>
            <w:tcBorders>
              <w:top w:val="nil"/>
              <w:left w:val="nil"/>
              <w:bottom w:val="nil"/>
              <w:right w:val="nil"/>
            </w:tcBorders>
          </w:tcPr>
          <w:p w14:paraId="32705C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Observations</w:t>
            </w:r>
          </w:p>
        </w:tc>
        <w:tc>
          <w:tcPr>
            <w:tcW w:w="607" w:type="pct"/>
            <w:tcBorders>
              <w:top w:val="nil"/>
              <w:left w:val="nil"/>
              <w:bottom w:val="nil"/>
              <w:right w:val="nil"/>
            </w:tcBorders>
          </w:tcPr>
          <w:p w14:paraId="1B98AA6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648,441</w:t>
            </w:r>
          </w:p>
        </w:tc>
        <w:tc>
          <w:tcPr>
            <w:tcW w:w="1006" w:type="pct"/>
            <w:tcBorders>
              <w:top w:val="nil"/>
              <w:left w:val="nil"/>
              <w:bottom w:val="nil"/>
              <w:right w:val="nil"/>
            </w:tcBorders>
          </w:tcPr>
          <w:p w14:paraId="4ACE3B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383,106</w:t>
            </w:r>
          </w:p>
        </w:tc>
        <w:tc>
          <w:tcPr>
            <w:tcW w:w="668" w:type="pct"/>
            <w:tcBorders>
              <w:top w:val="nil"/>
              <w:left w:val="nil"/>
              <w:bottom w:val="nil"/>
              <w:right w:val="nil"/>
            </w:tcBorders>
          </w:tcPr>
          <w:p w14:paraId="64D960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265,335</w:t>
            </w:r>
          </w:p>
        </w:tc>
        <w:tc>
          <w:tcPr>
            <w:tcW w:w="870" w:type="pct"/>
            <w:tcBorders>
              <w:top w:val="nil"/>
              <w:left w:val="nil"/>
              <w:bottom w:val="nil"/>
              <w:right w:val="nil"/>
            </w:tcBorders>
          </w:tcPr>
          <w:p w14:paraId="026526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27,945</w:t>
            </w:r>
          </w:p>
        </w:tc>
        <w:tc>
          <w:tcPr>
            <w:tcW w:w="738" w:type="pct"/>
            <w:tcBorders>
              <w:top w:val="nil"/>
              <w:left w:val="nil"/>
              <w:bottom w:val="nil"/>
              <w:right w:val="nil"/>
            </w:tcBorders>
          </w:tcPr>
          <w:p w14:paraId="7D9007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4,391</w:t>
            </w:r>
          </w:p>
        </w:tc>
      </w:tr>
      <w:tr w:rsidR="00F00E3D" w:rsidRPr="00335312" w14:paraId="04027EE7" w14:textId="77777777" w:rsidTr="00063AC8">
        <w:trPr>
          <w:jc w:val="center"/>
        </w:trPr>
        <w:tc>
          <w:tcPr>
            <w:tcW w:w="1112" w:type="pct"/>
            <w:tcBorders>
              <w:top w:val="nil"/>
              <w:left w:val="nil"/>
              <w:bottom w:val="nil"/>
              <w:right w:val="nil"/>
            </w:tcBorders>
          </w:tcPr>
          <w:p w14:paraId="1A164B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R-squared</w:t>
            </w:r>
          </w:p>
        </w:tc>
        <w:tc>
          <w:tcPr>
            <w:tcW w:w="607" w:type="pct"/>
            <w:tcBorders>
              <w:top w:val="nil"/>
              <w:left w:val="nil"/>
              <w:bottom w:val="nil"/>
              <w:right w:val="nil"/>
            </w:tcBorders>
          </w:tcPr>
          <w:p w14:paraId="645A9E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0.838</w:t>
            </w:r>
          </w:p>
        </w:tc>
        <w:tc>
          <w:tcPr>
            <w:tcW w:w="1006" w:type="pct"/>
            <w:tcBorders>
              <w:top w:val="nil"/>
              <w:left w:val="nil"/>
              <w:bottom w:val="nil"/>
              <w:right w:val="nil"/>
            </w:tcBorders>
          </w:tcPr>
          <w:p w14:paraId="036F2A6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0.804</w:t>
            </w:r>
          </w:p>
        </w:tc>
        <w:tc>
          <w:tcPr>
            <w:tcW w:w="668" w:type="pct"/>
            <w:tcBorders>
              <w:top w:val="nil"/>
              <w:left w:val="nil"/>
              <w:bottom w:val="nil"/>
              <w:right w:val="nil"/>
            </w:tcBorders>
          </w:tcPr>
          <w:p w14:paraId="5ABB64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0.815</w:t>
            </w:r>
          </w:p>
        </w:tc>
        <w:tc>
          <w:tcPr>
            <w:tcW w:w="870" w:type="pct"/>
            <w:tcBorders>
              <w:top w:val="nil"/>
              <w:left w:val="nil"/>
              <w:bottom w:val="nil"/>
              <w:right w:val="nil"/>
            </w:tcBorders>
          </w:tcPr>
          <w:p w14:paraId="61FEDE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0.729</w:t>
            </w:r>
          </w:p>
        </w:tc>
        <w:tc>
          <w:tcPr>
            <w:tcW w:w="738" w:type="pct"/>
            <w:tcBorders>
              <w:top w:val="nil"/>
              <w:left w:val="nil"/>
              <w:bottom w:val="nil"/>
              <w:right w:val="nil"/>
            </w:tcBorders>
          </w:tcPr>
          <w:p w14:paraId="09A117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0.642</w:t>
            </w:r>
          </w:p>
        </w:tc>
      </w:tr>
      <w:tr w:rsidR="00F00E3D" w:rsidRPr="00335312" w14:paraId="5A1EBF42" w14:textId="77777777" w:rsidTr="00063AC8">
        <w:trPr>
          <w:jc w:val="center"/>
        </w:trPr>
        <w:tc>
          <w:tcPr>
            <w:tcW w:w="1112" w:type="pct"/>
            <w:tcBorders>
              <w:top w:val="nil"/>
              <w:left w:val="nil"/>
              <w:bottom w:val="nil"/>
              <w:right w:val="nil"/>
            </w:tcBorders>
          </w:tcPr>
          <w:p w14:paraId="6ECB12D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FE</w:t>
            </w:r>
          </w:p>
        </w:tc>
        <w:tc>
          <w:tcPr>
            <w:tcW w:w="607" w:type="pct"/>
            <w:tcBorders>
              <w:top w:val="nil"/>
              <w:left w:val="nil"/>
              <w:bottom w:val="nil"/>
              <w:right w:val="nil"/>
            </w:tcBorders>
          </w:tcPr>
          <w:p w14:paraId="7F9DF7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006" w:type="pct"/>
            <w:tcBorders>
              <w:top w:val="nil"/>
              <w:left w:val="nil"/>
              <w:bottom w:val="nil"/>
              <w:right w:val="nil"/>
            </w:tcBorders>
          </w:tcPr>
          <w:p w14:paraId="6A2340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668" w:type="pct"/>
            <w:tcBorders>
              <w:top w:val="nil"/>
              <w:left w:val="nil"/>
              <w:bottom w:val="nil"/>
              <w:right w:val="nil"/>
            </w:tcBorders>
          </w:tcPr>
          <w:p w14:paraId="657E5C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70" w:type="pct"/>
            <w:tcBorders>
              <w:top w:val="nil"/>
              <w:left w:val="nil"/>
              <w:bottom w:val="nil"/>
              <w:right w:val="nil"/>
            </w:tcBorders>
          </w:tcPr>
          <w:p w14:paraId="3BA203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38" w:type="pct"/>
            <w:tcBorders>
              <w:top w:val="nil"/>
              <w:left w:val="nil"/>
              <w:bottom w:val="nil"/>
              <w:right w:val="nil"/>
            </w:tcBorders>
          </w:tcPr>
          <w:p w14:paraId="516992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11E19EE3" w14:textId="77777777" w:rsidTr="00063AC8">
        <w:trPr>
          <w:jc w:val="center"/>
        </w:trPr>
        <w:tc>
          <w:tcPr>
            <w:tcW w:w="1112" w:type="pct"/>
            <w:tcBorders>
              <w:top w:val="nil"/>
              <w:left w:val="nil"/>
              <w:bottom w:val="nil"/>
              <w:right w:val="nil"/>
            </w:tcBorders>
          </w:tcPr>
          <w:p w14:paraId="689C29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SE Cluster</w:t>
            </w:r>
          </w:p>
        </w:tc>
        <w:tc>
          <w:tcPr>
            <w:tcW w:w="607" w:type="pct"/>
            <w:tcBorders>
              <w:top w:val="nil"/>
              <w:left w:val="nil"/>
              <w:bottom w:val="nil"/>
              <w:right w:val="nil"/>
            </w:tcBorders>
          </w:tcPr>
          <w:p w14:paraId="49F6F4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006" w:type="pct"/>
            <w:tcBorders>
              <w:top w:val="nil"/>
              <w:left w:val="nil"/>
              <w:bottom w:val="nil"/>
              <w:right w:val="nil"/>
            </w:tcBorders>
          </w:tcPr>
          <w:p w14:paraId="22086D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668" w:type="pct"/>
            <w:tcBorders>
              <w:top w:val="nil"/>
              <w:left w:val="nil"/>
              <w:bottom w:val="nil"/>
              <w:right w:val="nil"/>
            </w:tcBorders>
          </w:tcPr>
          <w:p w14:paraId="384D1F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70" w:type="pct"/>
            <w:tcBorders>
              <w:top w:val="nil"/>
              <w:left w:val="nil"/>
              <w:bottom w:val="nil"/>
              <w:right w:val="nil"/>
            </w:tcBorders>
          </w:tcPr>
          <w:p w14:paraId="01C275D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38" w:type="pct"/>
            <w:tcBorders>
              <w:top w:val="nil"/>
              <w:left w:val="nil"/>
              <w:bottom w:val="nil"/>
              <w:right w:val="nil"/>
            </w:tcBorders>
          </w:tcPr>
          <w:p w14:paraId="1C30A9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06CB5C92" w14:textId="77777777" w:rsidTr="00063AC8">
        <w:tblPrEx>
          <w:tblBorders>
            <w:bottom w:val="single" w:sz="6" w:space="0" w:color="auto"/>
          </w:tblBorders>
        </w:tblPrEx>
        <w:trPr>
          <w:jc w:val="center"/>
        </w:trPr>
        <w:tc>
          <w:tcPr>
            <w:tcW w:w="1112" w:type="pct"/>
            <w:tcBorders>
              <w:top w:val="nil"/>
              <w:left w:val="nil"/>
              <w:bottom w:val="single" w:sz="6" w:space="0" w:color="auto"/>
              <w:right w:val="nil"/>
            </w:tcBorders>
          </w:tcPr>
          <w:p w14:paraId="179929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lastRenderedPageBreak/>
              <w:t>Year# Month FE</w:t>
            </w:r>
          </w:p>
        </w:tc>
        <w:tc>
          <w:tcPr>
            <w:tcW w:w="607" w:type="pct"/>
            <w:tcBorders>
              <w:top w:val="nil"/>
              <w:left w:val="nil"/>
              <w:bottom w:val="single" w:sz="6" w:space="0" w:color="auto"/>
              <w:right w:val="nil"/>
            </w:tcBorders>
          </w:tcPr>
          <w:p w14:paraId="69D924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006" w:type="pct"/>
            <w:tcBorders>
              <w:top w:val="nil"/>
              <w:left w:val="nil"/>
              <w:bottom w:val="single" w:sz="6" w:space="0" w:color="auto"/>
              <w:right w:val="nil"/>
            </w:tcBorders>
          </w:tcPr>
          <w:p w14:paraId="4A52AF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668" w:type="pct"/>
            <w:tcBorders>
              <w:top w:val="nil"/>
              <w:left w:val="nil"/>
              <w:bottom w:val="single" w:sz="6" w:space="0" w:color="auto"/>
              <w:right w:val="nil"/>
            </w:tcBorders>
          </w:tcPr>
          <w:p w14:paraId="611A58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70" w:type="pct"/>
            <w:tcBorders>
              <w:top w:val="nil"/>
              <w:left w:val="nil"/>
              <w:bottom w:val="single" w:sz="6" w:space="0" w:color="auto"/>
              <w:right w:val="nil"/>
            </w:tcBorders>
          </w:tcPr>
          <w:p w14:paraId="4AC346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38" w:type="pct"/>
            <w:tcBorders>
              <w:top w:val="nil"/>
              <w:left w:val="nil"/>
              <w:bottom w:val="single" w:sz="6" w:space="0" w:color="auto"/>
              <w:right w:val="nil"/>
            </w:tcBorders>
          </w:tcPr>
          <w:p w14:paraId="406BE8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bl>
    <w:p w14:paraId="42AB0755" w14:textId="77777777" w:rsidR="00F00E3D" w:rsidRPr="00335312" w:rsidRDefault="00F00E3D" w:rsidP="002C52A2">
      <w:pPr>
        <w:spacing w:before="120" w:after="120" w:line="360" w:lineRule="auto"/>
        <w:rPr>
          <w:rFonts w:asciiTheme="majorHAnsi" w:eastAsiaTheme="majorEastAsia" w:hAnsiTheme="majorHAnsi" w:cstheme="majorHAnsi"/>
          <w:bCs/>
          <w:sz w:val="20"/>
          <w:szCs w:val="20"/>
        </w:rPr>
      </w:pPr>
    </w:p>
    <w:p w14:paraId="36452DDB" w14:textId="77777777" w:rsidR="00F00E3D" w:rsidRPr="00335312" w:rsidRDefault="00F00E3D" w:rsidP="002C52A2">
      <w:pPr>
        <w:spacing w:before="120" w:after="120" w:line="240" w:lineRule="auto"/>
        <w:rPr>
          <w:rFonts w:asciiTheme="majorHAnsi" w:eastAsiaTheme="majorEastAsia" w:hAnsiTheme="majorHAnsi" w:cstheme="majorHAnsi"/>
          <w:bCs/>
          <w:sz w:val="20"/>
          <w:szCs w:val="20"/>
        </w:rPr>
      </w:pPr>
      <w:r w:rsidRPr="00335312">
        <w:rPr>
          <w:rFonts w:asciiTheme="majorHAnsi" w:eastAsiaTheme="majorEastAsia" w:hAnsiTheme="majorHAnsi" w:cstheme="majorHAnsi"/>
          <w:bCs/>
          <w:sz w:val="20"/>
          <w:szCs w:val="20"/>
        </w:rPr>
        <w:t>Panel. B Unit Transactional Index</w:t>
      </w:r>
    </w:p>
    <w:tbl>
      <w:tblPr>
        <w:tblW w:w="5000" w:type="pct"/>
        <w:jc w:val="center"/>
        <w:tblCellMar>
          <w:left w:w="75" w:type="dxa"/>
          <w:right w:w="75" w:type="dxa"/>
        </w:tblCellMar>
        <w:tblLook w:val="0000" w:firstRow="0" w:lastRow="0" w:firstColumn="0" w:lastColumn="0" w:noHBand="0" w:noVBand="0"/>
      </w:tblPr>
      <w:tblGrid>
        <w:gridCol w:w="2143"/>
        <w:gridCol w:w="1170"/>
        <w:gridCol w:w="1939"/>
        <w:gridCol w:w="1288"/>
        <w:gridCol w:w="1677"/>
        <w:gridCol w:w="1421"/>
      </w:tblGrid>
      <w:tr w:rsidR="00F00E3D" w:rsidRPr="00335312" w14:paraId="76EF270A" w14:textId="77777777" w:rsidTr="00063AC8">
        <w:trPr>
          <w:jc w:val="center"/>
        </w:trPr>
        <w:tc>
          <w:tcPr>
            <w:tcW w:w="1112" w:type="pct"/>
            <w:tcBorders>
              <w:top w:val="single" w:sz="6" w:space="0" w:color="auto"/>
              <w:left w:val="nil"/>
              <w:bottom w:val="nil"/>
              <w:right w:val="nil"/>
            </w:tcBorders>
          </w:tcPr>
          <w:p w14:paraId="16FD0C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single" w:sz="6" w:space="0" w:color="auto"/>
              <w:left w:val="nil"/>
              <w:bottom w:val="nil"/>
              <w:right w:val="nil"/>
            </w:tcBorders>
          </w:tcPr>
          <w:p w14:paraId="04D7E0A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w:t>
            </w:r>
          </w:p>
        </w:tc>
        <w:tc>
          <w:tcPr>
            <w:tcW w:w="1006" w:type="pct"/>
            <w:tcBorders>
              <w:top w:val="single" w:sz="6" w:space="0" w:color="auto"/>
              <w:left w:val="nil"/>
              <w:bottom w:val="nil"/>
              <w:right w:val="nil"/>
            </w:tcBorders>
          </w:tcPr>
          <w:p w14:paraId="68D165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w:t>
            </w:r>
          </w:p>
        </w:tc>
        <w:tc>
          <w:tcPr>
            <w:tcW w:w="668" w:type="pct"/>
            <w:tcBorders>
              <w:top w:val="single" w:sz="6" w:space="0" w:color="auto"/>
              <w:left w:val="nil"/>
              <w:bottom w:val="nil"/>
              <w:right w:val="nil"/>
            </w:tcBorders>
          </w:tcPr>
          <w:p w14:paraId="441E27B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w:t>
            </w:r>
          </w:p>
        </w:tc>
        <w:tc>
          <w:tcPr>
            <w:tcW w:w="870" w:type="pct"/>
            <w:tcBorders>
              <w:top w:val="single" w:sz="6" w:space="0" w:color="auto"/>
              <w:left w:val="nil"/>
              <w:bottom w:val="nil"/>
              <w:right w:val="nil"/>
            </w:tcBorders>
          </w:tcPr>
          <w:p w14:paraId="53E5A3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w:t>
            </w:r>
          </w:p>
        </w:tc>
        <w:tc>
          <w:tcPr>
            <w:tcW w:w="738" w:type="pct"/>
            <w:tcBorders>
              <w:top w:val="single" w:sz="6" w:space="0" w:color="auto"/>
              <w:left w:val="nil"/>
              <w:bottom w:val="nil"/>
              <w:right w:val="nil"/>
            </w:tcBorders>
          </w:tcPr>
          <w:p w14:paraId="2BB26C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w:t>
            </w:r>
          </w:p>
        </w:tc>
      </w:tr>
      <w:tr w:rsidR="00F00E3D" w:rsidRPr="00335312" w14:paraId="085E4CC5" w14:textId="77777777" w:rsidTr="00063AC8">
        <w:trPr>
          <w:jc w:val="center"/>
        </w:trPr>
        <w:tc>
          <w:tcPr>
            <w:tcW w:w="1112" w:type="pct"/>
            <w:tcBorders>
              <w:top w:val="nil"/>
              <w:left w:val="nil"/>
              <w:bottom w:val="single" w:sz="6" w:space="0" w:color="auto"/>
              <w:right w:val="nil"/>
            </w:tcBorders>
          </w:tcPr>
          <w:p w14:paraId="4FB9A46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VARIABLES</w:t>
            </w:r>
          </w:p>
        </w:tc>
        <w:tc>
          <w:tcPr>
            <w:tcW w:w="607" w:type="pct"/>
            <w:tcBorders>
              <w:top w:val="nil"/>
              <w:left w:val="nil"/>
              <w:bottom w:val="single" w:sz="6" w:space="0" w:color="auto"/>
              <w:right w:val="nil"/>
            </w:tcBorders>
          </w:tcPr>
          <w:p w14:paraId="1FE4709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VIC</w:t>
            </w:r>
          </w:p>
        </w:tc>
        <w:tc>
          <w:tcPr>
            <w:tcW w:w="1006" w:type="pct"/>
            <w:tcBorders>
              <w:top w:val="nil"/>
              <w:left w:val="nil"/>
              <w:bottom w:val="single" w:sz="6" w:space="0" w:color="auto"/>
              <w:right w:val="nil"/>
            </w:tcBorders>
          </w:tcPr>
          <w:p w14:paraId="19C0FA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GreaterMelbourne</w:t>
            </w:r>
          </w:p>
        </w:tc>
        <w:tc>
          <w:tcPr>
            <w:tcW w:w="668" w:type="pct"/>
            <w:tcBorders>
              <w:top w:val="nil"/>
              <w:left w:val="nil"/>
              <w:bottom w:val="single" w:sz="6" w:space="0" w:color="auto"/>
              <w:right w:val="nil"/>
            </w:tcBorders>
          </w:tcPr>
          <w:p w14:paraId="1B4A3A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RegionalVIC</w:t>
            </w:r>
          </w:p>
        </w:tc>
        <w:tc>
          <w:tcPr>
            <w:tcW w:w="870" w:type="pct"/>
            <w:tcBorders>
              <w:top w:val="nil"/>
              <w:left w:val="nil"/>
              <w:bottom w:val="single" w:sz="6" w:space="0" w:color="auto"/>
              <w:right w:val="nil"/>
            </w:tcBorders>
          </w:tcPr>
          <w:p w14:paraId="09A8D7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GreaterGeelong</w:t>
            </w:r>
          </w:p>
        </w:tc>
        <w:tc>
          <w:tcPr>
            <w:tcW w:w="738" w:type="pct"/>
            <w:tcBorders>
              <w:top w:val="nil"/>
              <w:left w:val="nil"/>
              <w:bottom w:val="single" w:sz="6" w:space="0" w:color="auto"/>
              <w:right w:val="nil"/>
            </w:tcBorders>
          </w:tcPr>
          <w:p w14:paraId="2D6EA2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FocalSuburbs</w:t>
            </w:r>
          </w:p>
        </w:tc>
      </w:tr>
      <w:tr w:rsidR="00F00E3D" w:rsidRPr="00335312" w14:paraId="0D15E499" w14:textId="77777777" w:rsidTr="00063AC8">
        <w:trPr>
          <w:jc w:val="center"/>
        </w:trPr>
        <w:tc>
          <w:tcPr>
            <w:tcW w:w="1112" w:type="pct"/>
            <w:tcBorders>
              <w:top w:val="nil"/>
              <w:left w:val="nil"/>
              <w:bottom w:val="nil"/>
              <w:right w:val="nil"/>
            </w:tcBorders>
          </w:tcPr>
          <w:p w14:paraId="24B3E3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4343F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1006" w:type="pct"/>
            <w:tcBorders>
              <w:top w:val="nil"/>
              <w:left w:val="nil"/>
              <w:bottom w:val="nil"/>
              <w:right w:val="nil"/>
            </w:tcBorders>
          </w:tcPr>
          <w:p w14:paraId="036E04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68" w:type="pct"/>
            <w:tcBorders>
              <w:top w:val="nil"/>
              <w:left w:val="nil"/>
              <w:bottom w:val="nil"/>
              <w:right w:val="nil"/>
            </w:tcBorders>
          </w:tcPr>
          <w:p w14:paraId="2E9F64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70" w:type="pct"/>
            <w:tcBorders>
              <w:top w:val="nil"/>
              <w:left w:val="nil"/>
              <w:bottom w:val="nil"/>
              <w:right w:val="nil"/>
            </w:tcBorders>
          </w:tcPr>
          <w:p w14:paraId="33E18E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38" w:type="pct"/>
            <w:tcBorders>
              <w:top w:val="nil"/>
              <w:left w:val="nil"/>
              <w:bottom w:val="nil"/>
              <w:right w:val="nil"/>
            </w:tcBorders>
          </w:tcPr>
          <w:p w14:paraId="6F117D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3011FEDC" w14:textId="77777777" w:rsidTr="00063AC8">
        <w:trPr>
          <w:jc w:val="center"/>
        </w:trPr>
        <w:tc>
          <w:tcPr>
            <w:tcW w:w="1112" w:type="pct"/>
            <w:tcBorders>
              <w:top w:val="nil"/>
              <w:left w:val="nil"/>
              <w:bottom w:val="nil"/>
              <w:right w:val="nil"/>
            </w:tcBorders>
          </w:tcPr>
          <w:p w14:paraId="1BEF715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Size</w:t>
            </w:r>
          </w:p>
        </w:tc>
        <w:tc>
          <w:tcPr>
            <w:tcW w:w="607" w:type="pct"/>
            <w:tcBorders>
              <w:top w:val="nil"/>
              <w:left w:val="nil"/>
              <w:bottom w:val="nil"/>
              <w:right w:val="nil"/>
            </w:tcBorders>
          </w:tcPr>
          <w:p w14:paraId="4BDAD8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-0.0126*</w:t>
            </w:r>
          </w:p>
        </w:tc>
        <w:tc>
          <w:tcPr>
            <w:tcW w:w="1006" w:type="pct"/>
            <w:tcBorders>
              <w:top w:val="nil"/>
              <w:left w:val="nil"/>
              <w:bottom w:val="nil"/>
              <w:right w:val="nil"/>
            </w:tcBorders>
          </w:tcPr>
          <w:p w14:paraId="25B3DA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-0.0127</w:t>
            </w:r>
          </w:p>
        </w:tc>
        <w:tc>
          <w:tcPr>
            <w:tcW w:w="668" w:type="pct"/>
            <w:tcBorders>
              <w:top w:val="nil"/>
              <w:left w:val="nil"/>
              <w:bottom w:val="nil"/>
              <w:right w:val="nil"/>
            </w:tcBorders>
          </w:tcPr>
          <w:p w14:paraId="7FC392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-0.0107</w:t>
            </w:r>
          </w:p>
        </w:tc>
        <w:tc>
          <w:tcPr>
            <w:tcW w:w="870" w:type="pct"/>
            <w:tcBorders>
              <w:top w:val="nil"/>
              <w:left w:val="nil"/>
              <w:bottom w:val="nil"/>
              <w:right w:val="nil"/>
            </w:tcBorders>
          </w:tcPr>
          <w:p w14:paraId="0CE1D8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0.0512***</w:t>
            </w:r>
          </w:p>
        </w:tc>
        <w:tc>
          <w:tcPr>
            <w:tcW w:w="738" w:type="pct"/>
            <w:tcBorders>
              <w:top w:val="nil"/>
              <w:left w:val="nil"/>
              <w:bottom w:val="nil"/>
              <w:right w:val="nil"/>
            </w:tcBorders>
          </w:tcPr>
          <w:p w14:paraId="4F3B46A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0.0872</w:t>
            </w:r>
          </w:p>
        </w:tc>
      </w:tr>
      <w:tr w:rsidR="00F00E3D" w:rsidRPr="00335312" w14:paraId="569692AE" w14:textId="77777777" w:rsidTr="00063AC8">
        <w:trPr>
          <w:jc w:val="center"/>
        </w:trPr>
        <w:tc>
          <w:tcPr>
            <w:tcW w:w="1112" w:type="pct"/>
            <w:tcBorders>
              <w:top w:val="nil"/>
              <w:left w:val="nil"/>
              <w:bottom w:val="nil"/>
              <w:right w:val="nil"/>
            </w:tcBorders>
          </w:tcPr>
          <w:p w14:paraId="3D6B0C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EC679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(-1.730)</w:t>
            </w:r>
          </w:p>
        </w:tc>
        <w:tc>
          <w:tcPr>
            <w:tcW w:w="1006" w:type="pct"/>
            <w:tcBorders>
              <w:top w:val="nil"/>
              <w:left w:val="nil"/>
              <w:bottom w:val="nil"/>
              <w:right w:val="nil"/>
            </w:tcBorders>
          </w:tcPr>
          <w:p w14:paraId="2F234C9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(-1.434)</w:t>
            </w:r>
          </w:p>
        </w:tc>
        <w:tc>
          <w:tcPr>
            <w:tcW w:w="668" w:type="pct"/>
            <w:tcBorders>
              <w:top w:val="nil"/>
              <w:left w:val="nil"/>
              <w:bottom w:val="nil"/>
              <w:right w:val="nil"/>
            </w:tcBorders>
          </w:tcPr>
          <w:p w14:paraId="783E6B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(-1.332)</w:t>
            </w:r>
          </w:p>
        </w:tc>
        <w:tc>
          <w:tcPr>
            <w:tcW w:w="870" w:type="pct"/>
            <w:tcBorders>
              <w:top w:val="nil"/>
              <w:left w:val="nil"/>
              <w:bottom w:val="nil"/>
              <w:right w:val="nil"/>
            </w:tcBorders>
          </w:tcPr>
          <w:p w14:paraId="0DB249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(3.017)</w:t>
            </w:r>
          </w:p>
        </w:tc>
        <w:tc>
          <w:tcPr>
            <w:tcW w:w="738" w:type="pct"/>
            <w:tcBorders>
              <w:top w:val="nil"/>
              <w:left w:val="nil"/>
              <w:bottom w:val="nil"/>
              <w:right w:val="nil"/>
            </w:tcBorders>
          </w:tcPr>
          <w:p w14:paraId="0BC66E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w:t>
            </w:r>
          </w:p>
        </w:tc>
      </w:tr>
      <w:tr w:rsidR="00F00E3D" w:rsidRPr="00335312" w14:paraId="6BF36199" w14:textId="77777777" w:rsidTr="00063AC8">
        <w:trPr>
          <w:jc w:val="center"/>
        </w:trPr>
        <w:tc>
          <w:tcPr>
            <w:tcW w:w="1112" w:type="pct"/>
            <w:tcBorders>
              <w:top w:val="nil"/>
              <w:left w:val="nil"/>
              <w:bottom w:val="nil"/>
              <w:right w:val="nil"/>
            </w:tcBorders>
          </w:tcPr>
          <w:p w14:paraId="69860A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eastAsia="Times New Roman" w:hAnsiTheme="majorHAnsi" w:cstheme="majorHAnsi"/>
                <w:color w:val="000000"/>
                <w:sz w:val="20"/>
                <w:szCs w:val="20"/>
              </w:rPr>
              <w:t>No.Beds</w:t>
            </w:r>
          </w:p>
        </w:tc>
        <w:tc>
          <w:tcPr>
            <w:tcW w:w="607" w:type="pct"/>
            <w:tcBorders>
              <w:top w:val="nil"/>
              <w:left w:val="nil"/>
              <w:bottom w:val="nil"/>
              <w:right w:val="nil"/>
            </w:tcBorders>
          </w:tcPr>
          <w:p w14:paraId="56601C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0.160***</w:t>
            </w:r>
          </w:p>
        </w:tc>
        <w:tc>
          <w:tcPr>
            <w:tcW w:w="1006" w:type="pct"/>
            <w:tcBorders>
              <w:top w:val="nil"/>
              <w:left w:val="nil"/>
              <w:bottom w:val="nil"/>
              <w:right w:val="nil"/>
            </w:tcBorders>
          </w:tcPr>
          <w:p w14:paraId="404525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0.154***</w:t>
            </w:r>
          </w:p>
        </w:tc>
        <w:tc>
          <w:tcPr>
            <w:tcW w:w="668" w:type="pct"/>
            <w:tcBorders>
              <w:top w:val="nil"/>
              <w:left w:val="nil"/>
              <w:bottom w:val="nil"/>
              <w:right w:val="nil"/>
            </w:tcBorders>
          </w:tcPr>
          <w:p w14:paraId="37CF8C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0.186***</w:t>
            </w:r>
          </w:p>
        </w:tc>
        <w:tc>
          <w:tcPr>
            <w:tcW w:w="870" w:type="pct"/>
            <w:tcBorders>
              <w:top w:val="nil"/>
              <w:left w:val="nil"/>
              <w:bottom w:val="nil"/>
              <w:right w:val="nil"/>
            </w:tcBorders>
          </w:tcPr>
          <w:p w14:paraId="305903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0.238***</w:t>
            </w:r>
          </w:p>
        </w:tc>
        <w:tc>
          <w:tcPr>
            <w:tcW w:w="738" w:type="pct"/>
            <w:tcBorders>
              <w:top w:val="nil"/>
              <w:left w:val="nil"/>
              <w:bottom w:val="nil"/>
              <w:right w:val="nil"/>
            </w:tcBorders>
          </w:tcPr>
          <w:p w14:paraId="61E6BD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0.160*</w:t>
            </w:r>
          </w:p>
        </w:tc>
      </w:tr>
      <w:tr w:rsidR="00F00E3D" w:rsidRPr="00335312" w14:paraId="05CD10FD" w14:textId="77777777" w:rsidTr="00063AC8">
        <w:trPr>
          <w:jc w:val="center"/>
        </w:trPr>
        <w:tc>
          <w:tcPr>
            <w:tcW w:w="1112" w:type="pct"/>
            <w:tcBorders>
              <w:top w:val="nil"/>
              <w:left w:val="nil"/>
              <w:bottom w:val="nil"/>
              <w:right w:val="nil"/>
            </w:tcBorders>
          </w:tcPr>
          <w:p w14:paraId="72F422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AC9E1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(5.467)</w:t>
            </w:r>
          </w:p>
        </w:tc>
        <w:tc>
          <w:tcPr>
            <w:tcW w:w="1006" w:type="pct"/>
            <w:tcBorders>
              <w:top w:val="nil"/>
              <w:left w:val="nil"/>
              <w:bottom w:val="nil"/>
              <w:right w:val="nil"/>
            </w:tcBorders>
          </w:tcPr>
          <w:p w14:paraId="4DEEE4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(4.507)</w:t>
            </w:r>
          </w:p>
        </w:tc>
        <w:tc>
          <w:tcPr>
            <w:tcW w:w="668" w:type="pct"/>
            <w:tcBorders>
              <w:top w:val="nil"/>
              <w:left w:val="nil"/>
              <w:bottom w:val="nil"/>
              <w:right w:val="nil"/>
            </w:tcBorders>
          </w:tcPr>
          <w:p w14:paraId="60B925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(19.80)</w:t>
            </w:r>
          </w:p>
        </w:tc>
        <w:tc>
          <w:tcPr>
            <w:tcW w:w="870" w:type="pct"/>
            <w:tcBorders>
              <w:top w:val="nil"/>
              <w:left w:val="nil"/>
              <w:bottom w:val="nil"/>
              <w:right w:val="nil"/>
            </w:tcBorders>
          </w:tcPr>
          <w:p w14:paraId="39DEB7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(14.33)</w:t>
            </w:r>
          </w:p>
        </w:tc>
        <w:tc>
          <w:tcPr>
            <w:tcW w:w="738" w:type="pct"/>
            <w:tcBorders>
              <w:top w:val="nil"/>
              <w:left w:val="nil"/>
              <w:bottom w:val="nil"/>
              <w:right w:val="nil"/>
            </w:tcBorders>
          </w:tcPr>
          <w:p w14:paraId="304297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(2.977)</w:t>
            </w:r>
          </w:p>
        </w:tc>
      </w:tr>
      <w:tr w:rsidR="00F00E3D" w:rsidRPr="00335312" w14:paraId="27F170A5" w14:textId="77777777" w:rsidTr="00063AC8">
        <w:trPr>
          <w:jc w:val="center"/>
        </w:trPr>
        <w:tc>
          <w:tcPr>
            <w:tcW w:w="1112" w:type="pct"/>
            <w:tcBorders>
              <w:top w:val="nil"/>
              <w:left w:val="nil"/>
              <w:bottom w:val="nil"/>
              <w:right w:val="nil"/>
            </w:tcBorders>
          </w:tcPr>
          <w:p w14:paraId="271172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eastAsia="Times New Roman" w:hAnsiTheme="majorHAnsi" w:cstheme="majorHAnsi"/>
                <w:color w:val="000000"/>
                <w:sz w:val="20"/>
                <w:szCs w:val="20"/>
              </w:rPr>
              <w:t>No.B</w:t>
            </w:r>
            <w:r w:rsidRPr="00335312">
              <w:rPr>
                <w:rFonts w:asciiTheme="majorHAnsi" w:hAnsiTheme="majorHAnsi" w:cstheme="majorHAnsi"/>
                <w:sz w:val="20"/>
                <w:szCs w:val="20"/>
              </w:rPr>
              <w:t>aths</w:t>
            </w:r>
          </w:p>
        </w:tc>
        <w:tc>
          <w:tcPr>
            <w:tcW w:w="607" w:type="pct"/>
            <w:tcBorders>
              <w:top w:val="nil"/>
              <w:left w:val="nil"/>
              <w:bottom w:val="nil"/>
              <w:right w:val="nil"/>
            </w:tcBorders>
          </w:tcPr>
          <w:p w14:paraId="635358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-0.0352</w:t>
            </w:r>
          </w:p>
        </w:tc>
        <w:tc>
          <w:tcPr>
            <w:tcW w:w="1006" w:type="pct"/>
            <w:tcBorders>
              <w:top w:val="nil"/>
              <w:left w:val="nil"/>
              <w:bottom w:val="nil"/>
              <w:right w:val="nil"/>
            </w:tcBorders>
          </w:tcPr>
          <w:p w14:paraId="0F7695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-0.0473*</w:t>
            </w:r>
          </w:p>
        </w:tc>
        <w:tc>
          <w:tcPr>
            <w:tcW w:w="668" w:type="pct"/>
            <w:tcBorders>
              <w:top w:val="nil"/>
              <w:left w:val="nil"/>
              <w:bottom w:val="nil"/>
              <w:right w:val="nil"/>
            </w:tcBorders>
          </w:tcPr>
          <w:p w14:paraId="535A73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0.00935</w:t>
            </w:r>
          </w:p>
        </w:tc>
        <w:tc>
          <w:tcPr>
            <w:tcW w:w="870" w:type="pct"/>
            <w:tcBorders>
              <w:top w:val="nil"/>
              <w:left w:val="nil"/>
              <w:bottom w:val="nil"/>
              <w:right w:val="nil"/>
            </w:tcBorders>
          </w:tcPr>
          <w:p w14:paraId="500671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0.0518***</w:t>
            </w:r>
          </w:p>
        </w:tc>
        <w:tc>
          <w:tcPr>
            <w:tcW w:w="738" w:type="pct"/>
            <w:tcBorders>
              <w:top w:val="nil"/>
              <w:left w:val="nil"/>
              <w:bottom w:val="nil"/>
              <w:right w:val="nil"/>
            </w:tcBorders>
          </w:tcPr>
          <w:p w14:paraId="224764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-0.0971</w:t>
            </w:r>
          </w:p>
        </w:tc>
      </w:tr>
      <w:tr w:rsidR="00F00E3D" w:rsidRPr="00335312" w14:paraId="60D3D130" w14:textId="77777777" w:rsidTr="00063AC8">
        <w:trPr>
          <w:jc w:val="center"/>
        </w:trPr>
        <w:tc>
          <w:tcPr>
            <w:tcW w:w="1112" w:type="pct"/>
            <w:tcBorders>
              <w:top w:val="nil"/>
              <w:left w:val="nil"/>
              <w:bottom w:val="nil"/>
              <w:right w:val="nil"/>
            </w:tcBorders>
          </w:tcPr>
          <w:p w14:paraId="747B41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793A4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(-1.517)</w:t>
            </w:r>
          </w:p>
        </w:tc>
        <w:tc>
          <w:tcPr>
            <w:tcW w:w="1006" w:type="pct"/>
            <w:tcBorders>
              <w:top w:val="nil"/>
              <w:left w:val="nil"/>
              <w:bottom w:val="nil"/>
              <w:right w:val="nil"/>
            </w:tcBorders>
          </w:tcPr>
          <w:p w14:paraId="362BD8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(-1.752)</w:t>
            </w:r>
          </w:p>
        </w:tc>
        <w:tc>
          <w:tcPr>
            <w:tcW w:w="668" w:type="pct"/>
            <w:tcBorders>
              <w:top w:val="nil"/>
              <w:left w:val="nil"/>
              <w:bottom w:val="nil"/>
              <w:right w:val="nil"/>
            </w:tcBorders>
          </w:tcPr>
          <w:p w14:paraId="4B0EC89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(1.208)</w:t>
            </w:r>
          </w:p>
        </w:tc>
        <w:tc>
          <w:tcPr>
            <w:tcW w:w="870" w:type="pct"/>
            <w:tcBorders>
              <w:top w:val="nil"/>
              <w:left w:val="nil"/>
              <w:bottom w:val="nil"/>
              <w:right w:val="nil"/>
            </w:tcBorders>
          </w:tcPr>
          <w:p w14:paraId="113162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(3.175)</w:t>
            </w:r>
          </w:p>
        </w:tc>
        <w:tc>
          <w:tcPr>
            <w:tcW w:w="738" w:type="pct"/>
            <w:tcBorders>
              <w:top w:val="nil"/>
              <w:left w:val="nil"/>
              <w:bottom w:val="nil"/>
              <w:right w:val="nil"/>
            </w:tcBorders>
          </w:tcPr>
          <w:p w14:paraId="2E99E4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(-0.570)</w:t>
            </w:r>
          </w:p>
        </w:tc>
      </w:tr>
      <w:tr w:rsidR="00F00E3D" w:rsidRPr="00335312" w14:paraId="103569B1" w14:textId="77777777" w:rsidTr="00063AC8">
        <w:trPr>
          <w:jc w:val="center"/>
        </w:trPr>
        <w:tc>
          <w:tcPr>
            <w:tcW w:w="1112" w:type="pct"/>
            <w:tcBorders>
              <w:top w:val="nil"/>
              <w:left w:val="nil"/>
              <w:bottom w:val="nil"/>
              <w:right w:val="nil"/>
            </w:tcBorders>
          </w:tcPr>
          <w:p w14:paraId="390D10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No.Parkings</w:t>
            </w:r>
          </w:p>
        </w:tc>
        <w:tc>
          <w:tcPr>
            <w:tcW w:w="607" w:type="pct"/>
            <w:tcBorders>
              <w:top w:val="nil"/>
              <w:left w:val="nil"/>
              <w:bottom w:val="nil"/>
              <w:right w:val="nil"/>
            </w:tcBorders>
          </w:tcPr>
          <w:p w14:paraId="454983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0.0809***</w:t>
            </w:r>
          </w:p>
        </w:tc>
        <w:tc>
          <w:tcPr>
            <w:tcW w:w="1006" w:type="pct"/>
            <w:tcBorders>
              <w:top w:val="nil"/>
              <w:left w:val="nil"/>
              <w:bottom w:val="nil"/>
              <w:right w:val="nil"/>
            </w:tcBorders>
          </w:tcPr>
          <w:p w14:paraId="303A29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0.101***</w:t>
            </w:r>
          </w:p>
        </w:tc>
        <w:tc>
          <w:tcPr>
            <w:tcW w:w="668" w:type="pct"/>
            <w:tcBorders>
              <w:top w:val="nil"/>
              <w:left w:val="nil"/>
              <w:bottom w:val="nil"/>
              <w:right w:val="nil"/>
            </w:tcBorders>
          </w:tcPr>
          <w:p w14:paraId="4264FF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0.0119**</w:t>
            </w:r>
          </w:p>
        </w:tc>
        <w:tc>
          <w:tcPr>
            <w:tcW w:w="870" w:type="pct"/>
            <w:tcBorders>
              <w:top w:val="nil"/>
              <w:left w:val="nil"/>
              <w:bottom w:val="nil"/>
              <w:right w:val="nil"/>
            </w:tcBorders>
          </w:tcPr>
          <w:p w14:paraId="37A2AB5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0.0253**</w:t>
            </w:r>
          </w:p>
        </w:tc>
        <w:tc>
          <w:tcPr>
            <w:tcW w:w="738" w:type="pct"/>
            <w:tcBorders>
              <w:top w:val="nil"/>
              <w:left w:val="nil"/>
              <w:bottom w:val="nil"/>
              <w:right w:val="nil"/>
            </w:tcBorders>
          </w:tcPr>
          <w:p w14:paraId="769369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0.00935</w:t>
            </w:r>
          </w:p>
        </w:tc>
      </w:tr>
      <w:tr w:rsidR="00F00E3D" w:rsidRPr="00335312" w14:paraId="619F9680" w14:textId="77777777" w:rsidTr="00063AC8">
        <w:trPr>
          <w:jc w:val="center"/>
        </w:trPr>
        <w:tc>
          <w:tcPr>
            <w:tcW w:w="1112" w:type="pct"/>
            <w:tcBorders>
              <w:top w:val="nil"/>
              <w:left w:val="nil"/>
              <w:bottom w:val="nil"/>
              <w:right w:val="nil"/>
            </w:tcBorders>
          </w:tcPr>
          <w:p w14:paraId="6C2456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90758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(3.724)</w:t>
            </w:r>
          </w:p>
        </w:tc>
        <w:tc>
          <w:tcPr>
            <w:tcW w:w="1006" w:type="pct"/>
            <w:tcBorders>
              <w:top w:val="nil"/>
              <w:left w:val="nil"/>
              <w:bottom w:val="nil"/>
              <w:right w:val="nil"/>
            </w:tcBorders>
          </w:tcPr>
          <w:p w14:paraId="39ECE6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(3.917)</w:t>
            </w:r>
          </w:p>
        </w:tc>
        <w:tc>
          <w:tcPr>
            <w:tcW w:w="668" w:type="pct"/>
            <w:tcBorders>
              <w:top w:val="nil"/>
              <w:left w:val="nil"/>
              <w:bottom w:val="nil"/>
              <w:right w:val="nil"/>
            </w:tcBorders>
          </w:tcPr>
          <w:p w14:paraId="5064F5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(2.034)</w:t>
            </w:r>
          </w:p>
        </w:tc>
        <w:tc>
          <w:tcPr>
            <w:tcW w:w="870" w:type="pct"/>
            <w:tcBorders>
              <w:top w:val="nil"/>
              <w:left w:val="nil"/>
              <w:bottom w:val="nil"/>
              <w:right w:val="nil"/>
            </w:tcBorders>
          </w:tcPr>
          <w:p w14:paraId="4C32FD2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(2.085)</w:t>
            </w:r>
          </w:p>
        </w:tc>
        <w:tc>
          <w:tcPr>
            <w:tcW w:w="738" w:type="pct"/>
            <w:tcBorders>
              <w:top w:val="nil"/>
              <w:left w:val="nil"/>
              <w:bottom w:val="nil"/>
              <w:right w:val="nil"/>
            </w:tcBorders>
          </w:tcPr>
          <w:p w14:paraId="5B2626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(0.363)</w:t>
            </w:r>
          </w:p>
        </w:tc>
      </w:tr>
      <w:tr w:rsidR="00F00E3D" w:rsidRPr="00335312" w14:paraId="79861921" w14:textId="77777777" w:rsidTr="00063AC8">
        <w:trPr>
          <w:jc w:val="center"/>
        </w:trPr>
        <w:tc>
          <w:tcPr>
            <w:tcW w:w="1112" w:type="pct"/>
            <w:tcBorders>
              <w:top w:val="nil"/>
              <w:left w:val="nil"/>
              <w:bottom w:val="nil"/>
              <w:right w:val="nil"/>
            </w:tcBorders>
          </w:tcPr>
          <w:p w14:paraId="425D87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LogCBDDistance</w:t>
            </w:r>
          </w:p>
        </w:tc>
        <w:tc>
          <w:tcPr>
            <w:tcW w:w="607" w:type="pct"/>
            <w:tcBorders>
              <w:top w:val="nil"/>
              <w:left w:val="nil"/>
              <w:bottom w:val="nil"/>
              <w:right w:val="nil"/>
            </w:tcBorders>
          </w:tcPr>
          <w:p w14:paraId="1922A7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0.0385</w:t>
            </w:r>
          </w:p>
        </w:tc>
        <w:tc>
          <w:tcPr>
            <w:tcW w:w="1006" w:type="pct"/>
            <w:tcBorders>
              <w:top w:val="nil"/>
              <w:left w:val="nil"/>
              <w:bottom w:val="nil"/>
              <w:right w:val="nil"/>
            </w:tcBorders>
          </w:tcPr>
          <w:p w14:paraId="617A76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0.0401</w:t>
            </w:r>
          </w:p>
        </w:tc>
        <w:tc>
          <w:tcPr>
            <w:tcW w:w="668" w:type="pct"/>
            <w:tcBorders>
              <w:top w:val="nil"/>
              <w:left w:val="nil"/>
              <w:bottom w:val="nil"/>
              <w:right w:val="nil"/>
            </w:tcBorders>
          </w:tcPr>
          <w:p w14:paraId="322286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-0.252*</w:t>
            </w:r>
          </w:p>
        </w:tc>
        <w:tc>
          <w:tcPr>
            <w:tcW w:w="870" w:type="pct"/>
            <w:tcBorders>
              <w:top w:val="nil"/>
              <w:left w:val="nil"/>
              <w:bottom w:val="nil"/>
              <w:right w:val="nil"/>
            </w:tcBorders>
          </w:tcPr>
          <w:p w14:paraId="71889B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0.312</w:t>
            </w:r>
          </w:p>
        </w:tc>
        <w:tc>
          <w:tcPr>
            <w:tcW w:w="738" w:type="pct"/>
            <w:tcBorders>
              <w:top w:val="nil"/>
              <w:left w:val="nil"/>
              <w:bottom w:val="nil"/>
              <w:right w:val="nil"/>
            </w:tcBorders>
          </w:tcPr>
          <w:p w14:paraId="20B923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4.968</w:t>
            </w:r>
          </w:p>
        </w:tc>
      </w:tr>
      <w:tr w:rsidR="00F00E3D" w:rsidRPr="00335312" w14:paraId="1018589F" w14:textId="77777777" w:rsidTr="00063AC8">
        <w:trPr>
          <w:jc w:val="center"/>
        </w:trPr>
        <w:tc>
          <w:tcPr>
            <w:tcW w:w="1112" w:type="pct"/>
            <w:tcBorders>
              <w:top w:val="nil"/>
              <w:left w:val="nil"/>
              <w:bottom w:val="nil"/>
              <w:right w:val="nil"/>
            </w:tcBorders>
          </w:tcPr>
          <w:p w14:paraId="287F0D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D2C8A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(0.458)</w:t>
            </w:r>
          </w:p>
        </w:tc>
        <w:tc>
          <w:tcPr>
            <w:tcW w:w="1006" w:type="pct"/>
            <w:tcBorders>
              <w:top w:val="nil"/>
              <w:left w:val="nil"/>
              <w:bottom w:val="nil"/>
              <w:right w:val="nil"/>
            </w:tcBorders>
          </w:tcPr>
          <w:p w14:paraId="20B6E0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(0.495)</w:t>
            </w:r>
          </w:p>
        </w:tc>
        <w:tc>
          <w:tcPr>
            <w:tcW w:w="668" w:type="pct"/>
            <w:tcBorders>
              <w:top w:val="nil"/>
              <w:left w:val="nil"/>
              <w:bottom w:val="nil"/>
              <w:right w:val="nil"/>
            </w:tcBorders>
          </w:tcPr>
          <w:p w14:paraId="22CF07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(-1.951)</w:t>
            </w:r>
          </w:p>
        </w:tc>
        <w:tc>
          <w:tcPr>
            <w:tcW w:w="870" w:type="pct"/>
            <w:tcBorders>
              <w:top w:val="nil"/>
              <w:left w:val="nil"/>
              <w:bottom w:val="nil"/>
              <w:right w:val="nil"/>
            </w:tcBorders>
          </w:tcPr>
          <w:p w14:paraId="7B7209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(0.289)</w:t>
            </w:r>
          </w:p>
        </w:tc>
        <w:tc>
          <w:tcPr>
            <w:tcW w:w="738" w:type="pct"/>
            <w:tcBorders>
              <w:top w:val="nil"/>
              <w:left w:val="nil"/>
              <w:bottom w:val="nil"/>
              <w:right w:val="nil"/>
            </w:tcBorders>
          </w:tcPr>
          <w:p w14:paraId="60E6C4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(2.840)</w:t>
            </w:r>
          </w:p>
        </w:tc>
      </w:tr>
      <w:tr w:rsidR="00F00E3D" w:rsidRPr="00335312" w14:paraId="07863A8C" w14:textId="77777777" w:rsidTr="00063AC8">
        <w:trPr>
          <w:jc w:val="center"/>
        </w:trPr>
        <w:tc>
          <w:tcPr>
            <w:tcW w:w="1112" w:type="pct"/>
            <w:tcBorders>
              <w:top w:val="nil"/>
              <w:left w:val="nil"/>
              <w:bottom w:val="nil"/>
              <w:right w:val="nil"/>
            </w:tcBorders>
          </w:tcPr>
          <w:p w14:paraId="110C7A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2015.year#3.month</w:t>
            </w:r>
          </w:p>
        </w:tc>
        <w:tc>
          <w:tcPr>
            <w:tcW w:w="607" w:type="pct"/>
            <w:tcBorders>
              <w:top w:val="nil"/>
              <w:left w:val="nil"/>
              <w:bottom w:val="nil"/>
              <w:right w:val="nil"/>
            </w:tcBorders>
          </w:tcPr>
          <w:p w14:paraId="26B3C1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0.0544***</w:t>
            </w:r>
          </w:p>
        </w:tc>
        <w:tc>
          <w:tcPr>
            <w:tcW w:w="1006" w:type="pct"/>
            <w:tcBorders>
              <w:top w:val="nil"/>
              <w:left w:val="nil"/>
              <w:bottom w:val="nil"/>
              <w:right w:val="nil"/>
            </w:tcBorders>
          </w:tcPr>
          <w:p w14:paraId="591CF25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0.0589**</w:t>
            </w:r>
          </w:p>
        </w:tc>
        <w:tc>
          <w:tcPr>
            <w:tcW w:w="668" w:type="pct"/>
            <w:tcBorders>
              <w:top w:val="nil"/>
              <w:left w:val="nil"/>
              <w:bottom w:val="nil"/>
              <w:right w:val="nil"/>
            </w:tcBorders>
          </w:tcPr>
          <w:p w14:paraId="4688C1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0.0311</w:t>
            </w:r>
          </w:p>
        </w:tc>
        <w:tc>
          <w:tcPr>
            <w:tcW w:w="870" w:type="pct"/>
            <w:tcBorders>
              <w:top w:val="nil"/>
              <w:left w:val="nil"/>
              <w:bottom w:val="nil"/>
              <w:right w:val="nil"/>
            </w:tcBorders>
          </w:tcPr>
          <w:p w14:paraId="077FAE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0.0247</w:t>
            </w:r>
          </w:p>
        </w:tc>
        <w:tc>
          <w:tcPr>
            <w:tcW w:w="738" w:type="pct"/>
            <w:tcBorders>
              <w:top w:val="nil"/>
              <w:left w:val="nil"/>
              <w:bottom w:val="nil"/>
              <w:right w:val="nil"/>
            </w:tcBorders>
          </w:tcPr>
          <w:p w14:paraId="484483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0.262</w:t>
            </w:r>
          </w:p>
        </w:tc>
      </w:tr>
      <w:tr w:rsidR="00F00E3D" w:rsidRPr="00335312" w14:paraId="1A65DAA9" w14:textId="77777777" w:rsidTr="00063AC8">
        <w:trPr>
          <w:jc w:val="center"/>
        </w:trPr>
        <w:tc>
          <w:tcPr>
            <w:tcW w:w="1112" w:type="pct"/>
            <w:tcBorders>
              <w:top w:val="nil"/>
              <w:left w:val="nil"/>
              <w:bottom w:val="nil"/>
              <w:right w:val="nil"/>
            </w:tcBorders>
          </w:tcPr>
          <w:p w14:paraId="4380D4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06D51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(2.589)</w:t>
            </w:r>
          </w:p>
        </w:tc>
        <w:tc>
          <w:tcPr>
            <w:tcW w:w="1006" w:type="pct"/>
            <w:tcBorders>
              <w:top w:val="nil"/>
              <w:left w:val="nil"/>
              <w:bottom w:val="nil"/>
              <w:right w:val="nil"/>
            </w:tcBorders>
          </w:tcPr>
          <w:p w14:paraId="3CE590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(2.389)</w:t>
            </w:r>
          </w:p>
        </w:tc>
        <w:tc>
          <w:tcPr>
            <w:tcW w:w="668" w:type="pct"/>
            <w:tcBorders>
              <w:top w:val="nil"/>
              <w:left w:val="nil"/>
              <w:bottom w:val="nil"/>
              <w:right w:val="nil"/>
            </w:tcBorders>
          </w:tcPr>
          <w:p w14:paraId="4DEB64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(1.175)</w:t>
            </w:r>
          </w:p>
        </w:tc>
        <w:tc>
          <w:tcPr>
            <w:tcW w:w="870" w:type="pct"/>
            <w:tcBorders>
              <w:top w:val="nil"/>
              <w:left w:val="nil"/>
              <w:bottom w:val="nil"/>
              <w:right w:val="nil"/>
            </w:tcBorders>
          </w:tcPr>
          <w:p w14:paraId="5A78C3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(0.422)</w:t>
            </w:r>
          </w:p>
        </w:tc>
        <w:tc>
          <w:tcPr>
            <w:tcW w:w="738" w:type="pct"/>
            <w:tcBorders>
              <w:top w:val="nil"/>
              <w:left w:val="nil"/>
              <w:bottom w:val="nil"/>
              <w:right w:val="nil"/>
            </w:tcBorders>
          </w:tcPr>
          <w:p w14:paraId="65E843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(0.682)</w:t>
            </w:r>
          </w:p>
        </w:tc>
      </w:tr>
      <w:tr w:rsidR="00F00E3D" w:rsidRPr="00335312" w14:paraId="6A55877C" w14:textId="77777777" w:rsidTr="00063AC8">
        <w:trPr>
          <w:jc w:val="center"/>
        </w:trPr>
        <w:tc>
          <w:tcPr>
            <w:tcW w:w="1112" w:type="pct"/>
            <w:tcBorders>
              <w:top w:val="nil"/>
              <w:left w:val="nil"/>
              <w:bottom w:val="nil"/>
              <w:right w:val="nil"/>
            </w:tcBorders>
          </w:tcPr>
          <w:p w14:paraId="508239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2015.year#4.month</w:t>
            </w:r>
          </w:p>
        </w:tc>
        <w:tc>
          <w:tcPr>
            <w:tcW w:w="607" w:type="pct"/>
            <w:tcBorders>
              <w:top w:val="nil"/>
              <w:left w:val="nil"/>
              <w:bottom w:val="nil"/>
              <w:right w:val="nil"/>
            </w:tcBorders>
          </w:tcPr>
          <w:p w14:paraId="2EE673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0.0573***</w:t>
            </w:r>
          </w:p>
        </w:tc>
        <w:tc>
          <w:tcPr>
            <w:tcW w:w="1006" w:type="pct"/>
            <w:tcBorders>
              <w:top w:val="nil"/>
              <w:left w:val="nil"/>
              <w:bottom w:val="nil"/>
              <w:right w:val="nil"/>
            </w:tcBorders>
          </w:tcPr>
          <w:p w14:paraId="59EA8F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0.0679***</w:t>
            </w:r>
          </w:p>
        </w:tc>
        <w:tc>
          <w:tcPr>
            <w:tcW w:w="668" w:type="pct"/>
            <w:tcBorders>
              <w:top w:val="nil"/>
              <w:left w:val="nil"/>
              <w:bottom w:val="nil"/>
              <w:right w:val="nil"/>
            </w:tcBorders>
          </w:tcPr>
          <w:p w14:paraId="16A261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-0.00303</w:t>
            </w:r>
          </w:p>
        </w:tc>
        <w:tc>
          <w:tcPr>
            <w:tcW w:w="870" w:type="pct"/>
            <w:tcBorders>
              <w:top w:val="nil"/>
              <w:left w:val="nil"/>
              <w:bottom w:val="nil"/>
              <w:right w:val="nil"/>
            </w:tcBorders>
          </w:tcPr>
          <w:p w14:paraId="6E8E08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0.0170</w:t>
            </w:r>
          </w:p>
        </w:tc>
        <w:tc>
          <w:tcPr>
            <w:tcW w:w="738" w:type="pct"/>
            <w:tcBorders>
              <w:top w:val="nil"/>
              <w:left w:val="nil"/>
              <w:bottom w:val="nil"/>
              <w:right w:val="nil"/>
            </w:tcBorders>
          </w:tcPr>
          <w:p w14:paraId="59D8B9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0.0935***</w:t>
            </w:r>
          </w:p>
        </w:tc>
      </w:tr>
      <w:tr w:rsidR="00F00E3D" w:rsidRPr="00335312" w14:paraId="0A610F1F" w14:textId="77777777" w:rsidTr="00063AC8">
        <w:trPr>
          <w:jc w:val="center"/>
        </w:trPr>
        <w:tc>
          <w:tcPr>
            <w:tcW w:w="1112" w:type="pct"/>
            <w:tcBorders>
              <w:top w:val="nil"/>
              <w:left w:val="nil"/>
              <w:bottom w:val="nil"/>
              <w:right w:val="nil"/>
            </w:tcBorders>
          </w:tcPr>
          <w:p w14:paraId="6E3B9C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FFE2E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(2.772)</w:t>
            </w:r>
          </w:p>
        </w:tc>
        <w:tc>
          <w:tcPr>
            <w:tcW w:w="1006" w:type="pct"/>
            <w:tcBorders>
              <w:top w:val="nil"/>
              <w:left w:val="nil"/>
              <w:bottom w:val="nil"/>
              <w:right w:val="nil"/>
            </w:tcBorders>
          </w:tcPr>
          <w:p w14:paraId="555402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(2.844)</w:t>
            </w:r>
          </w:p>
        </w:tc>
        <w:tc>
          <w:tcPr>
            <w:tcW w:w="668" w:type="pct"/>
            <w:tcBorders>
              <w:top w:val="nil"/>
              <w:left w:val="nil"/>
              <w:bottom w:val="nil"/>
              <w:right w:val="nil"/>
            </w:tcBorders>
          </w:tcPr>
          <w:p w14:paraId="12E223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(-0.130)</w:t>
            </w:r>
          </w:p>
        </w:tc>
        <w:tc>
          <w:tcPr>
            <w:tcW w:w="870" w:type="pct"/>
            <w:tcBorders>
              <w:top w:val="nil"/>
              <w:left w:val="nil"/>
              <w:bottom w:val="nil"/>
              <w:right w:val="nil"/>
            </w:tcBorders>
          </w:tcPr>
          <w:p w14:paraId="087F51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(0.283)</w:t>
            </w:r>
          </w:p>
        </w:tc>
        <w:tc>
          <w:tcPr>
            <w:tcW w:w="738" w:type="pct"/>
            <w:tcBorders>
              <w:top w:val="nil"/>
              <w:left w:val="nil"/>
              <w:bottom w:val="nil"/>
              <w:right w:val="nil"/>
            </w:tcBorders>
          </w:tcPr>
          <w:p w14:paraId="175747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(26.22)</w:t>
            </w:r>
          </w:p>
        </w:tc>
      </w:tr>
      <w:tr w:rsidR="00F00E3D" w:rsidRPr="00335312" w14:paraId="4823F141" w14:textId="77777777" w:rsidTr="00063AC8">
        <w:trPr>
          <w:jc w:val="center"/>
        </w:trPr>
        <w:tc>
          <w:tcPr>
            <w:tcW w:w="1112" w:type="pct"/>
            <w:tcBorders>
              <w:top w:val="nil"/>
              <w:left w:val="nil"/>
              <w:bottom w:val="nil"/>
              <w:right w:val="nil"/>
            </w:tcBorders>
          </w:tcPr>
          <w:p w14:paraId="488DC76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2015.year#5.month</w:t>
            </w:r>
          </w:p>
        </w:tc>
        <w:tc>
          <w:tcPr>
            <w:tcW w:w="607" w:type="pct"/>
            <w:tcBorders>
              <w:top w:val="nil"/>
              <w:left w:val="nil"/>
              <w:bottom w:val="nil"/>
              <w:right w:val="nil"/>
            </w:tcBorders>
          </w:tcPr>
          <w:p w14:paraId="02272A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0.0573***</w:t>
            </w:r>
          </w:p>
        </w:tc>
        <w:tc>
          <w:tcPr>
            <w:tcW w:w="1006" w:type="pct"/>
            <w:tcBorders>
              <w:top w:val="nil"/>
              <w:left w:val="nil"/>
              <w:bottom w:val="nil"/>
              <w:right w:val="nil"/>
            </w:tcBorders>
          </w:tcPr>
          <w:p w14:paraId="33A30F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0.0545***</w:t>
            </w:r>
          </w:p>
        </w:tc>
        <w:tc>
          <w:tcPr>
            <w:tcW w:w="668" w:type="pct"/>
            <w:tcBorders>
              <w:top w:val="nil"/>
              <w:left w:val="nil"/>
              <w:bottom w:val="nil"/>
              <w:right w:val="nil"/>
            </w:tcBorders>
          </w:tcPr>
          <w:p w14:paraId="119AB2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0.0678**</w:t>
            </w:r>
          </w:p>
        </w:tc>
        <w:tc>
          <w:tcPr>
            <w:tcW w:w="870" w:type="pct"/>
            <w:tcBorders>
              <w:top w:val="nil"/>
              <w:left w:val="nil"/>
              <w:bottom w:val="nil"/>
              <w:right w:val="nil"/>
            </w:tcBorders>
          </w:tcPr>
          <w:p w14:paraId="76BFFA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-0.0187</w:t>
            </w:r>
          </w:p>
        </w:tc>
        <w:tc>
          <w:tcPr>
            <w:tcW w:w="738" w:type="pct"/>
            <w:tcBorders>
              <w:top w:val="nil"/>
              <w:left w:val="nil"/>
              <w:bottom w:val="nil"/>
              <w:right w:val="nil"/>
            </w:tcBorders>
          </w:tcPr>
          <w:p w14:paraId="3DFDAE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0.00466</w:t>
            </w:r>
          </w:p>
        </w:tc>
      </w:tr>
      <w:tr w:rsidR="00F00E3D" w:rsidRPr="00335312" w14:paraId="20A5FCDB" w14:textId="77777777" w:rsidTr="00063AC8">
        <w:trPr>
          <w:jc w:val="center"/>
        </w:trPr>
        <w:tc>
          <w:tcPr>
            <w:tcW w:w="1112" w:type="pct"/>
            <w:tcBorders>
              <w:top w:val="nil"/>
              <w:left w:val="nil"/>
              <w:bottom w:val="nil"/>
              <w:right w:val="nil"/>
            </w:tcBorders>
          </w:tcPr>
          <w:p w14:paraId="25EB17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6F0FE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(3.203)</w:t>
            </w:r>
          </w:p>
        </w:tc>
        <w:tc>
          <w:tcPr>
            <w:tcW w:w="1006" w:type="pct"/>
            <w:tcBorders>
              <w:top w:val="nil"/>
              <w:left w:val="nil"/>
              <w:bottom w:val="nil"/>
              <w:right w:val="nil"/>
            </w:tcBorders>
          </w:tcPr>
          <w:p w14:paraId="265440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(2.608)</w:t>
            </w:r>
          </w:p>
        </w:tc>
        <w:tc>
          <w:tcPr>
            <w:tcW w:w="668" w:type="pct"/>
            <w:tcBorders>
              <w:top w:val="nil"/>
              <w:left w:val="nil"/>
              <w:bottom w:val="nil"/>
              <w:right w:val="nil"/>
            </w:tcBorders>
          </w:tcPr>
          <w:p w14:paraId="09495E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(2.426)</w:t>
            </w:r>
          </w:p>
        </w:tc>
        <w:tc>
          <w:tcPr>
            <w:tcW w:w="870" w:type="pct"/>
            <w:tcBorders>
              <w:top w:val="nil"/>
              <w:left w:val="nil"/>
              <w:bottom w:val="nil"/>
              <w:right w:val="nil"/>
            </w:tcBorders>
          </w:tcPr>
          <w:p w14:paraId="5EC632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(-0.375)</w:t>
            </w:r>
          </w:p>
        </w:tc>
        <w:tc>
          <w:tcPr>
            <w:tcW w:w="738" w:type="pct"/>
            <w:tcBorders>
              <w:top w:val="nil"/>
              <w:left w:val="nil"/>
              <w:bottom w:val="nil"/>
              <w:right w:val="nil"/>
            </w:tcBorders>
          </w:tcPr>
          <w:p w14:paraId="748EAD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(0.0567)</w:t>
            </w:r>
          </w:p>
        </w:tc>
      </w:tr>
      <w:tr w:rsidR="00F00E3D" w:rsidRPr="00335312" w14:paraId="65BD6755" w14:textId="77777777" w:rsidTr="00063AC8">
        <w:trPr>
          <w:jc w:val="center"/>
        </w:trPr>
        <w:tc>
          <w:tcPr>
            <w:tcW w:w="1112" w:type="pct"/>
            <w:tcBorders>
              <w:top w:val="nil"/>
              <w:left w:val="nil"/>
              <w:bottom w:val="nil"/>
              <w:right w:val="nil"/>
            </w:tcBorders>
          </w:tcPr>
          <w:p w14:paraId="1AE21B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2015.year#6.month</w:t>
            </w:r>
          </w:p>
        </w:tc>
        <w:tc>
          <w:tcPr>
            <w:tcW w:w="607" w:type="pct"/>
            <w:tcBorders>
              <w:top w:val="nil"/>
              <w:left w:val="nil"/>
              <w:bottom w:val="nil"/>
              <w:right w:val="nil"/>
            </w:tcBorders>
          </w:tcPr>
          <w:p w14:paraId="6F3B46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0.120***</w:t>
            </w:r>
          </w:p>
        </w:tc>
        <w:tc>
          <w:tcPr>
            <w:tcW w:w="1006" w:type="pct"/>
            <w:tcBorders>
              <w:top w:val="nil"/>
              <w:left w:val="nil"/>
              <w:bottom w:val="nil"/>
              <w:right w:val="nil"/>
            </w:tcBorders>
          </w:tcPr>
          <w:p w14:paraId="5006D3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0.123***</w:t>
            </w:r>
          </w:p>
        </w:tc>
        <w:tc>
          <w:tcPr>
            <w:tcW w:w="668" w:type="pct"/>
            <w:tcBorders>
              <w:top w:val="nil"/>
              <w:left w:val="nil"/>
              <w:bottom w:val="nil"/>
              <w:right w:val="nil"/>
            </w:tcBorders>
          </w:tcPr>
          <w:p w14:paraId="30DC346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0.0913**</w:t>
            </w:r>
          </w:p>
        </w:tc>
        <w:tc>
          <w:tcPr>
            <w:tcW w:w="870" w:type="pct"/>
            <w:tcBorders>
              <w:top w:val="nil"/>
              <w:left w:val="nil"/>
              <w:bottom w:val="nil"/>
              <w:right w:val="nil"/>
            </w:tcBorders>
          </w:tcPr>
          <w:p w14:paraId="0AD420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0.201</w:t>
            </w:r>
          </w:p>
        </w:tc>
        <w:tc>
          <w:tcPr>
            <w:tcW w:w="738" w:type="pct"/>
            <w:tcBorders>
              <w:top w:val="nil"/>
              <w:left w:val="nil"/>
              <w:bottom w:val="nil"/>
              <w:right w:val="nil"/>
            </w:tcBorders>
          </w:tcPr>
          <w:p w14:paraId="06E04B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69204EB5" w14:textId="77777777" w:rsidTr="00063AC8">
        <w:trPr>
          <w:jc w:val="center"/>
        </w:trPr>
        <w:tc>
          <w:tcPr>
            <w:tcW w:w="1112" w:type="pct"/>
            <w:tcBorders>
              <w:top w:val="nil"/>
              <w:left w:val="nil"/>
              <w:bottom w:val="nil"/>
              <w:right w:val="nil"/>
            </w:tcBorders>
          </w:tcPr>
          <w:p w14:paraId="2E320F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1786A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(5.251)</w:t>
            </w:r>
          </w:p>
        </w:tc>
        <w:tc>
          <w:tcPr>
            <w:tcW w:w="1006" w:type="pct"/>
            <w:tcBorders>
              <w:top w:val="nil"/>
              <w:left w:val="nil"/>
              <w:bottom w:val="nil"/>
              <w:right w:val="nil"/>
            </w:tcBorders>
          </w:tcPr>
          <w:p w14:paraId="139A5E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(4.851)</w:t>
            </w:r>
          </w:p>
        </w:tc>
        <w:tc>
          <w:tcPr>
            <w:tcW w:w="668" w:type="pct"/>
            <w:tcBorders>
              <w:top w:val="nil"/>
              <w:left w:val="nil"/>
              <w:bottom w:val="nil"/>
              <w:right w:val="nil"/>
            </w:tcBorders>
          </w:tcPr>
          <w:p w14:paraId="2436C8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(2.303)</w:t>
            </w:r>
          </w:p>
        </w:tc>
        <w:tc>
          <w:tcPr>
            <w:tcW w:w="870" w:type="pct"/>
            <w:tcBorders>
              <w:top w:val="nil"/>
              <w:left w:val="nil"/>
              <w:bottom w:val="nil"/>
              <w:right w:val="nil"/>
            </w:tcBorders>
          </w:tcPr>
          <w:p w14:paraId="64AE7D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(1.485)</w:t>
            </w:r>
          </w:p>
        </w:tc>
        <w:tc>
          <w:tcPr>
            <w:tcW w:w="738" w:type="pct"/>
            <w:tcBorders>
              <w:top w:val="nil"/>
              <w:left w:val="nil"/>
              <w:bottom w:val="nil"/>
              <w:right w:val="nil"/>
            </w:tcBorders>
          </w:tcPr>
          <w:p w14:paraId="151531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18F09AE9" w14:textId="77777777" w:rsidTr="00063AC8">
        <w:trPr>
          <w:jc w:val="center"/>
        </w:trPr>
        <w:tc>
          <w:tcPr>
            <w:tcW w:w="1112" w:type="pct"/>
            <w:tcBorders>
              <w:top w:val="nil"/>
              <w:left w:val="nil"/>
              <w:bottom w:val="nil"/>
              <w:right w:val="nil"/>
            </w:tcBorders>
          </w:tcPr>
          <w:p w14:paraId="177855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2015.year#7.month</w:t>
            </w:r>
          </w:p>
        </w:tc>
        <w:tc>
          <w:tcPr>
            <w:tcW w:w="607" w:type="pct"/>
            <w:tcBorders>
              <w:top w:val="nil"/>
              <w:left w:val="nil"/>
              <w:bottom w:val="nil"/>
              <w:right w:val="nil"/>
            </w:tcBorders>
          </w:tcPr>
          <w:p w14:paraId="7E80E1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0.0270</w:t>
            </w:r>
          </w:p>
        </w:tc>
        <w:tc>
          <w:tcPr>
            <w:tcW w:w="1006" w:type="pct"/>
            <w:tcBorders>
              <w:top w:val="nil"/>
              <w:left w:val="nil"/>
              <w:bottom w:val="nil"/>
              <w:right w:val="nil"/>
            </w:tcBorders>
          </w:tcPr>
          <w:p w14:paraId="314A98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0.0241</w:t>
            </w:r>
          </w:p>
        </w:tc>
        <w:tc>
          <w:tcPr>
            <w:tcW w:w="668" w:type="pct"/>
            <w:tcBorders>
              <w:top w:val="nil"/>
              <w:left w:val="nil"/>
              <w:bottom w:val="nil"/>
              <w:right w:val="nil"/>
            </w:tcBorders>
          </w:tcPr>
          <w:p w14:paraId="15BB8A6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0.0396</w:t>
            </w:r>
          </w:p>
        </w:tc>
        <w:tc>
          <w:tcPr>
            <w:tcW w:w="870" w:type="pct"/>
            <w:tcBorders>
              <w:top w:val="nil"/>
              <w:left w:val="nil"/>
              <w:bottom w:val="nil"/>
              <w:right w:val="nil"/>
            </w:tcBorders>
          </w:tcPr>
          <w:p w14:paraId="56B945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0.000977</w:t>
            </w:r>
          </w:p>
        </w:tc>
        <w:tc>
          <w:tcPr>
            <w:tcW w:w="738" w:type="pct"/>
            <w:tcBorders>
              <w:top w:val="nil"/>
              <w:left w:val="nil"/>
              <w:bottom w:val="nil"/>
              <w:right w:val="nil"/>
            </w:tcBorders>
          </w:tcPr>
          <w:p w14:paraId="1CA8F5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211687D3" w14:textId="77777777" w:rsidTr="00063AC8">
        <w:trPr>
          <w:jc w:val="center"/>
        </w:trPr>
        <w:tc>
          <w:tcPr>
            <w:tcW w:w="1112" w:type="pct"/>
            <w:tcBorders>
              <w:top w:val="nil"/>
              <w:left w:val="nil"/>
              <w:bottom w:val="nil"/>
              <w:right w:val="nil"/>
            </w:tcBorders>
          </w:tcPr>
          <w:p w14:paraId="6173AD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DD394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(1.188)</w:t>
            </w:r>
          </w:p>
        </w:tc>
        <w:tc>
          <w:tcPr>
            <w:tcW w:w="1006" w:type="pct"/>
            <w:tcBorders>
              <w:top w:val="nil"/>
              <w:left w:val="nil"/>
              <w:bottom w:val="nil"/>
              <w:right w:val="nil"/>
            </w:tcBorders>
          </w:tcPr>
          <w:p w14:paraId="28EABD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(0.958)</w:t>
            </w:r>
          </w:p>
        </w:tc>
        <w:tc>
          <w:tcPr>
            <w:tcW w:w="668" w:type="pct"/>
            <w:tcBorders>
              <w:top w:val="nil"/>
              <w:left w:val="nil"/>
              <w:bottom w:val="nil"/>
              <w:right w:val="nil"/>
            </w:tcBorders>
          </w:tcPr>
          <w:p w14:paraId="506F13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(0.831)</w:t>
            </w:r>
          </w:p>
        </w:tc>
        <w:tc>
          <w:tcPr>
            <w:tcW w:w="870" w:type="pct"/>
            <w:tcBorders>
              <w:top w:val="nil"/>
              <w:left w:val="nil"/>
              <w:bottom w:val="nil"/>
              <w:right w:val="nil"/>
            </w:tcBorders>
          </w:tcPr>
          <w:p w14:paraId="505339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(0.0162)</w:t>
            </w:r>
          </w:p>
        </w:tc>
        <w:tc>
          <w:tcPr>
            <w:tcW w:w="738" w:type="pct"/>
            <w:tcBorders>
              <w:top w:val="nil"/>
              <w:left w:val="nil"/>
              <w:bottom w:val="nil"/>
              <w:right w:val="nil"/>
            </w:tcBorders>
          </w:tcPr>
          <w:p w14:paraId="23D799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733356D4" w14:textId="77777777" w:rsidTr="00063AC8">
        <w:trPr>
          <w:jc w:val="center"/>
        </w:trPr>
        <w:tc>
          <w:tcPr>
            <w:tcW w:w="1112" w:type="pct"/>
            <w:tcBorders>
              <w:top w:val="nil"/>
              <w:left w:val="nil"/>
              <w:bottom w:val="nil"/>
              <w:right w:val="nil"/>
            </w:tcBorders>
          </w:tcPr>
          <w:p w14:paraId="78655A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2015.year#8.month</w:t>
            </w:r>
          </w:p>
        </w:tc>
        <w:tc>
          <w:tcPr>
            <w:tcW w:w="607" w:type="pct"/>
            <w:tcBorders>
              <w:top w:val="nil"/>
              <w:left w:val="nil"/>
              <w:bottom w:val="nil"/>
              <w:right w:val="nil"/>
            </w:tcBorders>
          </w:tcPr>
          <w:p w14:paraId="635970A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0.0551*</w:t>
            </w:r>
          </w:p>
        </w:tc>
        <w:tc>
          <w:tcPr>
            <w:tcW w:w="1006" w:type="pct"/>
            <w:tcBorders>
              <w:top w:val="nil"/>
              <w:left w:val="nil"/>
              <w:bottom w:val="nil"/>
              <w:right w:val="nil"/>
            </w:tcBorders>
          </w:tcPr>
          <w:p w14:paraId="7944363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0.0512</w:t>
            </w:r>
          </w:p>
        </w:tc>
        <w:tc>
          <w:tcPr>
            <w:tcW w:w="668" w:type="pct"/>
            <w:tcBorders>
              <w:top w:val="nil"/>
              <w:left w:val="nil"/>
              <w:bottom w:val="nil"/>
              <w:right w:val="nil"/>
            </w:tcBorders>
          </w:tcPr>
          <w:p w14:paraId="48E1FE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0.0706**</w:t>
            </w:r>
          </w:p>
        </w:tc>
        <w:tc>
          <w:tcPr>
            <w:tcW w:w="870" w:type="pct"/>
            <w:tcBorders>
              <w:top w:val="nil"/>
              <w:left w:val="nil"/>
              <w:bottom w:val="nil"/>
              <w:right w:val="nil"/>
            </w:tcBorders>
          </w:tcPr>
          <w:p w14:paraId="20F9F33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-0.0231</w:t>
            </w:r>
          </w:p>
        </w:tc>
        <w:tc>
          <w:tcPr>
            <w:tcW w:w="738" w:type="pct"/>
            <w:tcBorders>
              <w:top w:val="nil"/>
              <w:left w:val="nil"/>
              <w:bottom w:val="nil"/>
              <w:right w:val="nil"/>
            </w:tcBorders>
          </w:tcPr>
          <w:p w14:paraId="2FF55E6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498776F6" w14:textId="77777777" w:rsidTr="00063AC8">
        <w:trPr>
          <w:jc w:val="center"/>
        </w:trPr>
        <w:tc>
          <w:tcPr>
            <w:tcW w:w="1112" w:type="pct"/>
            <w:tcBorders>
              <w:top w:val="nil"/>
              <w:left w:val="nil"/>
              <w:bottom w:val="nil"/>
              <w:right w:val="nil"/>
            </w:tcBorders>
          </w:tcPr>
          <w:p w14:paraId="1396F2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0EDC9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(1.683)</w:t>
            </w:r>
          </w:p>
        </w:tc>
        <w:tc>
          <w:tcPr>
            <w:tcW w:w="1006" w:type="pct"/>
            <w:tcBorders>
              <w:top w:val="nil"/>
              <w:left w:val="nil"/>
              <w:bottom w:val="nil"/>
              <w:right w:val="nil"/>
            </w:tcBorders>
          </w:tcPr>
          <w:p w14:paraId="5D51D5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(1.299)</w:t>
            </w:r>
          </w:p>
        </w:tc>
        <w:tc>
          <w:tcPr>
            <w:tcW w:w="668" w:type="pct"/>
            <w:tcBorders>
              <w:top w:val="nil"/>
              <w:left w:val="nil"/>
              <w:bottom w:val="nil"/>
              <w:right w:val="nil"/>
            </w:tcBorders>
          </w:tcPr>
          <w:p w14:paraId="27836F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(2.329)</w:t>
            </w:r>
          </w:p>
        </w:tc>
        <w:tc>
          <w:tcPr>
            <w:tcW w:w="870" w:type="pct"/>
            <w:tcBorders>
              <w:top w:val="nil"/>
              <w:left w:val="nil"/>
              <w:bottom w:val="nil"/>
              <w:right w:val="nil"/>
            </w:tcBorders>
          </w:tcPr>
          <w:p w14:paraId="7851399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(-0.432)</w:t>
            </w:r>
          </w:p>
        </w:tc>
        <w:tc>
          <w:tcPr>
            <w:tcW w:w="738" w:type="pct"/>
            <w:tcBorders>
              <w:top w:val="nil"/>
              <w:left w:val="nil"/>
              <w:bottom w:val="nil"/>
              <w:right w:val="nil"/>
            </w:tcBorders>
          </w:tcPr>
          <w:p w14:paraId="5F1BD3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7B7CEE44" w14:textId="77777777" w:rsidTr="00063AC8">
        <w:trPr>
          <w:jc w:val="center"/>
        </w:trPr>
        <w:tc>
          <w:tcPr>
            <w:tcW w:w="1112" w:type="pct"/>
            <w:tcBorders>
              <w:top w:val="nil"/>
              <w:left w:val="nil"/>
              <w:bottom w:val="nil"/>
              <w:right w:val="nil"/>
            </w:tcBorders>
          </w:tcPr>
          <w:p w14:paraId="6CEBAA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2015.year#9.month</w:t>
            </w:r>
          </w:p>
        </w:tc>
        <w:tc>
          <w:tcPr>
            <w:tcW w:w="607" w:type="pct"/>
            <w:tcBorders>
              <w:top w:val="nil"/>
              <w:left w:val="nil"/>
              <w:bottom w:val="nil"/>
              <w:right w:val="nil"/>
            </w:tcBorders>
          </w:tcPr>
          <w:p w14:paraId="2800DE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0.0624**</w:t>
            </w:r>
          </w:p>
        </w:tc>
        <w:tc>
          <w:tcPr>
            <w:tcW w:w="1006" w:type="pct"/>
            <w:tcBorders>
              <w:top w:val="nil"/>
              <w:left w:val="nil"/>
              <w:bottom w:val="nil"/>
              <w:right w:val="nil"/>
            </w:tcBorders>
          </w:tcPr>
          <w:p w14:paraId="44708B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0.0738**</w:t>
            </w:r>
          </w:p>
        </w:tc>
        <w:tc>
          <w:tcPr>
            <w:tcW w:w="668" w:type="pct"/>
            <w:tcBorders>
              <w:top w:val="nil"/>
              <w:left w:val="nil"/>
              <w:bottom w:val="nil"/>
              <w:right w:val="nil"/>
            </w:tcBorders>
          </w:tcPr>
          <w:p w14:paraId="2C9857B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0.0104</w:t>
            </w:r>
          </w:p>
        </w:tc>
        <w:tc>
          <w:tcPr>
            <w:tcW w:w="870" w:type="pct"/>
            <w:tcBorders>
              <w:top w:val="nil"/>
              <w:left w:val="nil"/>
              <w:bottom w:val="nil"/>
              <w:right w:val="nil"/>
            </w:tcBorders>
          </w:tcPr>
          <w:p w14:paraId="6B694E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-0.0162</w:t>
            </w:r>
          </w:p>
        </w:tc>
        <w:tc>
          <w:tcPr>
            <w:tcW w:w="738" w:type="pct"/>
            <w:tcBorders>
              <w:top w:val="nil"/>
              <w:left w:val="nil"/>
              <w:bottom w:val="nil"/>
              <w:right w:val="nil"/>
            </w:tcBorders>
          </w:tcPr>
          <w:p w14:paraId="41FF55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0CA9C5B9" w14:textId="77777777" w:rsidTr="00063AC8">
        <w:trPr>
          <w:jc w:val="center"/>
        </w:trPr>
        <w:tc>
          <w:tcPr>
            <w:tcW w:w="1112" w:type="pct"/>
            <w:tcBorders>
              <w:top w:val="nil"/>
              <w:left w:val="nil"/>
              <w:bottom w:val="nil"/>
              <w:right w:val="nil"/>
            </w:tcBorders>
          </w:tcPr>
          <w:p w14:paraId="02CDA5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64C86D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(2.192)</w:t>
            </w:r>
          </w:p>
        </w:tc>
        <w:tc>
          <w:tcPr>
            <w:tcW w:w="1006" w:type="pct"/>
            <w:tcBorders>
              <w:top w:val="nil"/>
              <w:left w:val="nil"/>
              <w:bottom w:val="nil"/>
              <w:right w:val="nil"/>
            </w:tcBorders>
          </w:tcPr>
          <w:p w14:paraId="60DCF1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(2.142)</w:t>
            </w:r>
          </w:p>
        </w:tc>
        <w:tc>
          <w:tcPr>
            <w:tcW w:w="668" w:type="pct"/>
            <w:tcBorders>
              <w:top w:val="nil"/>
              <w:left w:val="nil"/>
              <w:bottom w:val="nil"/>
              <w:right w:val="nil"/>
            </w:tcBorders>
          </w:tcPr>
          <w:p w14:paraId="171914A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(0.373)</w:t>
            </w:r>
          </w:p>
        </w:tc>
        <w:tc>
          <w:tcPr>
            <w:tcW w:w="870" w:type="pct"/>
            <w:tcBorders>
              <w:top w:val="nil"/>
              <w:left w:val="nil"/>
              <w:bottom w:val="nil"/>
              <w:right w:val="nil"/>
            </w:tcBorders>
          </w:tcPr>
          <w:p w14:paraId="383A58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(-0.294)</w:t>
            </w:r>
          </w:p>
        </w:tc>
        <w:tc>
          <w:tcPr>
            <w:tcW w:w="738" w:type="pct"/>
            <w:tcBorders>
              <w:top w:val="nil"/>
              <w:left w:val="nil"/>
              <w:bottom w:val="nil"/>
              <w:right w:val="nil"/>
            </w:tcBorders>
          </w:tcPr>
          <w:p w14:paraId="315107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6F6D5787" w14:textId="77777777" w:rsidTr="00063AC8">
        <w:trPr>
          <w:jc w:val="center"/>
        </w:trPr>
        <w:tc>
          <w:tcPr>
            <w:tcW w:w="1112" w:type="pct"/>
            <w:tcBorders>
              <w:top w:val="nil"/>
              <w:left w:val="nil"/>
              <w:bottom w:val="nil"/>
              <w:right w:val="nil"/>
            </w:tcBorders>
          </w:tcPr>
          <w:p w14:paraId="68130D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2015.year#10.month</w:t>
            </w:r>
          </w:p>
        </w:tc>
        <w:tc>
          <w:tcPr>
            <w:tcW w:w="607" w:type="pct"/>
            <w:tcBorders>
              <w:top w:val="nil"/>
              <w:left w:val="nil"/>
              <w:bottom w:val="nil"/>
              <w:right w:val="nil"/>
            </w:tcBorders>
          </w:tcPr>
          <w:p w14:paraId="3DFF38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0.0420</w:t>
            </w:r>
          </w:p>
        </w:tc>
        <w:tc>
          <w:tcPr>
            <w:tcW w:w="1006" w:type="pct"/>
            <w:tcBorders>
              <w:top w:val="nil"/>
              <w:left w:val="nil"/>
              <w:bottom w:val="nil"/>
              <w:right w:val="nil"/>
            </w:tcBorders>
          </w:tcPr>
          <w:p w14:paraId="032F08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0.0462</w:t>
            </w:r>
          </w:p>
        </w:tc>
        <w:tc>
          <w:tcPr>
            <w:tcW w:w="668" w:type="pct"/>
            <w:tcBorders>
              <w:top w:val="nil"/>
              <w:left w:val="nil"/>
              <w:bottom w:val="nil"/>
              <w:right w:val="nil"/>
            </w:tcBorders>
          </w:tcPr>
          <w:p w14:paraId="3E78A3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0.0140</w:t>
            </w:r>
          </w:p>
        </w:tc>
        <w:tc>
          <w:tcPr>
            <w:tcW w:w="870" w:type="pct"/>
            <w:tcBorders>
              <w:top w:val="nil"/>
              <w:left w:val="nil"/>
              <w:bottom w:val="nil"/>
              <w:right w:val="nil"/>
            </w:tcBorders>
          </w:tcPr>
          <w:p w14:paraId="351A05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-0.0288</w:t>
            </w:r>
          </w:p>
        </w:tc>
        <w:tc>
          <w:tcPr>
            <w:tcW w:w="738" w:type="pct"/>
            <w:tcBorders>
              <w:top w:val="nil"/>
              <w:left w:val="nil"/>
              <w:bottom w:val="nil"/>
              <w:right w:val="nil"/>
            </w:tcBorders>
          </w:tcPr>
          <w:p w14:paraId="424516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-0.0730*</w:t>
            </w:r>
          </w:p>
        </w:tc>
      </w:tr>
      <w:tr w:rsidR="00F00E3D" w:rsidRPr="00335312" w14:paraId="03B2EDD3" w14:textId="77777777" w:rsidTr="00063AC8">
        <w:trPr>
          <w:jc w:val="center"/>
        </w:trPr>
        <w:tc>
          <w:tcPr>
            <w:tcW w:w="1112" w:type="pct"/>
            <w:tcBorders>
              <w:top w:val="nil"/>
              <w:left w:val="nil"/>
              <w:bottom w:val="nil"/>
              <w:right w:val="nil"/>
            </w:tcBorders>
          </w:tcPr>
          <w:p w14:paraId="50C3DA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4AE58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(1.623)</w:t>
            </w:r>
          </w:p>
        </w:tc>
        <w:tc>
          <w:tcPr>
            <w:tcW w:w="1006" w:type="pct"/>
            <w:tcBorders>
              <w:top w:val="nil"/>
              <w:left w:val="nil"/>
              <w:bottom w:val="nil"/>
              <w:right w:val="nil"/>
            </w:tcBorders>
          </w:tcPr>
          <w:p w14:paraId="2F8C82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(1.487)</w:t>
            </w:r>
          </w:p>
        </w:tc>
        <w:tc>
          <w:tcPr>
            <w:tcW w:w="668" w:type="pct"/>
            <w:tcBorders>
              <w:top w:val="nil"/>
              <w:left w:val="nil"/>
              <w:bottom w:val="nil"/>
              <w:right w:val="nil"/>
            </w:tcBorders>
          </w:tcPr>
          <w:p w14:paraId="3C7DBF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(0.502)</w:t>
            </w:r>
          </w:p>
        </w:tc>
        <w:tc>
          <w:tcPr>
            <w:tcW w:w="870" w:type="pct"/>
            <w:tcBorders>
              <w:top w:val="nil"/>
              <w:left w:val="nil"/>
              <w:bottom w:val="nil"/>
              <w:right w:val="nil"/>
            </w:tcBorders>
          </w:tcPr>
          <w:p w14:paraId="3F1CE2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(-0.730)</w:t>
            </w:r>
          </w:p>
        </w:tc>
        <w:tc>
          <w:tcPr>
            <w:tcW w:w="738" w:type="pct"/>
            <w:tcBorders>
              <w:top w:val="nil"/>
              <w:left w:val="nil"/>
              <w:bottom w:val="nil"/>
              <w:right w:val="nil"/>
            </w:tcBorders>
          </w:tcPr>
          <w:p w14:paraId="522F82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(-3.106)</w:t>
            </w:r>
          </w:p>
        </w:tc>
      </w:tr>
      <w:tr w:rsidR="00F00E3D" w:rsidRPr="00335312" w14:paraId="1EAEF1E8" w14:textId="77777777" w:rsidTr="00063AC8">
        <w:trPr>
          <w:jc w:val="center"/>
        </w:trPr>
        <w:tc>
          <w:tcPr>
            <w:tcW w:w="1112" w:type="pct"/>
            <w:tcBorders>
              <w:top w:val="nil"/>
              <w:left w:val="nil"/>
              <w:bottom w:val="nil"/>
              <w:right w:val="nil"/>
            </w:tcBorders>
          </w:tcPr>
          <w:p w14:paraId="025A65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2015.year#11.month</w:t>
            </w:r>
          </w:p>
        </w:tc>
        <w:tc>
          <w:tcPr>
            <w:tcW w:w="607" w:type="pct"/>
            <w:tcBorders>
              <w:top w:val="nil"/>
              <w:left w:val="nil"/>
              <w:bottom w:val="nil"/>
              <w:right w:val="nil"/>
            </w:tcBorders>
          </w:tcPr>
          <w:p w14:paraId="61036B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0.0385</w:t>
            </w:r>
          </w:p>
        </w:tc>
        <w:tc>
          <w:tcPr>
            <w:tcW w:w="1006" w:type="pct"/>
            <w:tcBorders>
              <w:top w:val="nil"/>
              <w:left w:val="nil"/>
              <w:bottom w:val="nil"/>
              <w:right w:val="nil"/>
            </w:tcBorders>
          </w:tcPr>
          <w:p w14:paraId="5B4812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0.0436</w:t>
            </w:r>
          </w:p>
        </w:tc>
        <w:tc>
          <w:tcPr>
            <w:tcW w:w="668" w:type="pct"/>
            <w:tcBorders>
              <w:top w:val="nil"/>
              <w:left w:val="nil"/>
              <w:bottom w:val="nil"/>
              <w:right w:val="nil"/>
            </w:tcBorders>
          </w:tcPr>
          <w:p w14:paraId="76F844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0.0194</w:t>
            </w:r>
          </w:p>
        </w:tc>
        <w:tc>
          <w:tcPr>
            <w:tcW w:w="870" w:type="pct"/>
            <w:tcBorders>
              <w:top w:val="nil"/>
              <w:left w:val="nil"/>
              <w:bottom w:val="nil"/>
              <w:right w:val="nil"/>
            </w:tcBorders>
          </w:tcPr>
          <w:p w14:paraId="2D57A0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0.111</w:t>
            </w:r>
          </w:p>
        </w:tc>
        <w:tc>
          <w:tcPr>
            <w:tcW w:w="738" w:type="pct"/>
            <w:tcBorders>
              <w:top w:val="nil"/>
              <w:left w:val="nil"/>
              <w:bottom w:val="nil"/>
              <w:right w:val="nil"/>
            </w:tcBorders>
          </w:tcPr>
          <w:p w14:paraId="15A60F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-0.00691</w:t>
            </w:r>
          </w:p>
        </w:tc>
      </w:tr>
      <w:tr w:rsidR="00F00E3D" w:rsidRPr="00335312" w14:paraId="40D4DF23" w14:textId="77777777" w:rsidTr="00063AC8">
        <w:trPr>
          <w:jc w:val="center"/>
        </w:trPr>
        <w:tc>
          <w:tcPr>
            <w:tcW w:w="1112" w:type="pct"/>
            <w:tcBorders>
              <w:top w:val="nil"/>
              <w:left w:val="nil"/>
              <w:bottom w:val="nil"/>
              <w:right w:val="nil"/>
            </w:tcBorders>
          </w:tcPr>
          <w:p w14:paraId="388323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A0062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(1.485)</w:t>
            </w:r>
          </w:p>
        </w:tc>
        <w:tc>
          <w:tcPr>
            <w:tcW w:w="1006" w:type="pct"/>
            <w:tcBorders>
              <w:top w:val="nil"/>
              <w:left w:val="nil"/>
              <w:bottom w:val="nil"/>
              <w:right w:val="nil"/>
            </w:tcBorders>
          </w:tcPr>
          <w:p w14:paraId="1BD3C1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(1.410)</w:t>
            </w:r>
          </w:p>
        </w:tc>
        <w:tc>
          <w:tcPr>
            <w:tcW w:w="668" w:type="pct"/>
            <w:tcBorders>
              <w:top w:val="nil"/>
              <w:left w:val="nil"/>
              <w:bottom w:val="nil"/>
              <w:right w:val="nil"/>
            </w:tcBorders>
          </w:tcPr>
          <w:p w14:paraId="25C397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(0.620)</w:t>
            </w:r>
          </w:p>
        </w:tc>
        <w:tc>
          <w:tcPr>
            <w:tcW w:w="870" w:type="pct"/>
            <w:tcBorders>
              <w:top w:val="nil"/>
              <w:left w:val="nil"/>
              <w:bottom w:val="nil"/>
              <w:right w:val="nil"/>
            </w:tcBorders>
          </w:tcPr>
          <w:p w14:paraId="5B9189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(1.559)</w:t>
            </w:r>
          </w:p>
        </w:tc>
        <w:tc>
          <w:tcPr>
            <w:tcW w:w="738" w:type="pct"/>
            <w:tcBorders>
              <w:top w:val="nil"/>
              <w:left w:val="nil"/>
              <w:bottom w:val="nil"/>
              <w:right w:val="nil"/>
            </w:tcBorders>
          </w:tcPr>
          <w:p w14:paraId="796207D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(-0.113)</w:t>
            </w:r>
          </w:p>
        </w:tc>
      </w:tr>
      <w:tr w:rsidR="00F00E3D" w:rsidRPr="00335312" w14:paraId="7A1C0CC1" w14:textId="77777777" w:rsidTr="00063AC8">
        <w:trPr>
          <w:jc w:val="center"/>
        </w:trPr>
        <w:tc>
          <w:tcPr>
            <w:tcW w:w="1112" w:type="pct"/>
            <w:tcBorders>
              <w:top w:val="nil"/>
              <w:left w:val="nil"/>
              <w:bottom w:val="nil"/>
              <w:right w:val="nil"/>
            </w:tcBorders>
          </w:tcPr>
          <w:p w14:paraId="418115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2015.year#12.month</w:t>
            </w:r>
          </w:p>
        </w:tc>
        <w:tc>
          <w:tcPr>
            <w:tcW w:w="607" w:type="pct"/>
            <w:tcBorders>
              <w:top w:val="nil"/>
              <w:left w:val="nil"/>
              <w:bottom w:val="nil"/>
              <w:right w:val="nil"/>
            </w:tcBorders>
          </w:tcPr>
          <w:p w14:paraId="1024F2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0.0237</w:t>
            </w:r>
          </w:p>
        </w:tc>
        <w:tc>
          <w:tcPr>
            <w:tcW w:w="1006" w:type="pct"/>
            <w:tcBorders>
              <w:top w:val="nil"/>
              <w:left w:val="nil"/>
              <w:bottom w:val="nil"/>
              <w:right w:val="nil"/>
            </w:tcBorders>
          </w:tcPr>
          <w:p w14:paraId="747BEE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0.0324</w:t>
            </w:r>
          </w:p>
        </w:tc>
        <w:tc>
          <w:tcPr>
            <w:tcW w:w="668" w:type="pct"/>
            <w:tcBorders>
              <w:top w:val="nil"/>
              <w:left w:val="nil"/>
              <w:bottom w:val="nil"/>
              <w:right w:val="nil"/>
            </w:tcBorders>
          </w:tcPr>
          <w:p w14:paraId="516AA5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0.00154</w:t>
            </w:r>
          </w:p>
        </w:tc>
        <w:tc>
          <w:tcPr>
            <w:tcW w:w="870" w:type="pct"/>
            <w:tcBorders>
              <w:top w:val="nil"/>
              <w:left w:val="nil"/>
              <w:bottom w:val="nil"/>
              <w:right w:val="nil"/>
            </w:tcBorders>
          </w:tcPr>
          <w:p w14:paraId="034EA2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0.0722</w:t>
            </w:r>
          </w:p>
        </w:tc>
        <w:tc>
          <w:tcPr>
            <w:tcW w:w="738" w:type="pct"/>
            <w:tcBorders>
              <w:top w:val="nil"/>
              <w:left w:val="nil"/>
              <w:bottom w:val="nil"/>
              <w:right w:val="nil"/>
            </w:tcBorders>
          </w:tcPr>
          <w:p w14:paraId="7AADD6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-0.00780</w:t>
            </w:r>
          </w:p>
        </w:tc>
      </w:tr>
      <w:tr w:rsidR="00F00E3D" w:rsidRPr="00335312" w14:paraId="64DE3945" w14:textId="77777777" w:rsidTr="00063AC8">
        <w:trPr>
          <w:jc w:val="center"/>
        </w:trPr>
        <w:tc>
          <w:tcPr>
            <w:tcW w:w="1112" w:type="pct"/>
            <w:tcBorders>
              <w:top w:val="nil"/>
              <w:left w:val="nil"/>
              <w:bottom w:val="nil"/>
              <w:right w:val="nil"/>
            </w:tcBorders>
          </w:tcPr>
          <w:p w14:paraId="21224F3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C4591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(0.956)</w:t>
            </w:r>
          </w:p>
        </w:tc>
        <w:tc>
          <w:tcPr>
            <w:tcW w:w="1006" w:type="pct"/>
            <w:tcBorders>
              <w:top w:val="nil"/>
              <w:left w:val="nil"/>
              <w:bottom w:val="nil"/>
              <w:right w:val="nil"/>
            </w:tcBorders>
          </w:tcPr>
          <w:p w14:paraId="53E30F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(1.075)</w:t>
            </w:r>
          </w:p>
        </w:tc>
        <w:tc>
          <w:tcPr>
            <w:tcW w:w="668" w:type="pct"/>
            <w:tcBorders>
              <w:top w:val="nil"/>
              <w:left w:val="nil"/>
              <w:bottom w:val="nil"/>
              <w:right w:val="nil"/>
            </w:tcBorders>
          </w:tcPr>
          <w:p w14:paraId="48CE29B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(0.0540)</w:t>
            </w:r>
          </w:p>
        </w:tc>
        <w:tc>
          <w:tcPr>
            <w:tcW w:w="870" w:type="pct"/>
            <w:tcBorders>
              <w:top w:val="nil"/>
              <w:left w:val="nil"/>
              <w:bottom w:val="nil"/>
              <w:right w:val="nil"/>
            </w:tcBorders>
          </w:tcPr>
          <w:p w14:paraId="2823A5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(1.230)</w:t>
            </w:r>
          </w:p>
        </w:tc>
        <w:tc>
          <w:tcPr>
            <w:tcW w:w="738" w:type="pct"/>
            <w:tcBorders>
              <w:top w:val="nil"/>
              <w:left w:val="nil"/>
              <w:bottom w:val="nil"/>
              <w:right w:val="nil"/>
            </w:tcBorders>
          </w:tcPr>
          <w:p w14:paraId="7AA346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(-0.0909)</w:t>
            </w:r>
          </w:p>
        </w:tc>
      </w:tr>
      <w:tr w:rsidR="00F00E3D" w:rsidRPr="00335312" w14:paraId="07B53246" w14:textId="77777777" w:rsidTr="00063AC8">
        <w:trPr>
          <w:jc w:val="center"/>
        </w:trPr>
        <w:tc>
          <w:tcPr>
            <w:tcW w:w="1112" w:type="pct"/>
            <w:tcBorders>
              <w:top w:val="nil"/>
              <w:left w:val="nil"/>
              <w:bottom w:val="nil"/>
              <w:right w:val="nil"/>
            </w:tcBorders>
          </w:tcPr>
          <w:p w14:paraId="3C4800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2016.year#1.month</w:t>
            </w:r>
          </w:p>
        </w:tc>
        <w:tc>
          <w:tcPr>
            <w:tcW w:w="607" w:type="pct"/>
            <w:tcBorders>
              <w:top w:val="nil"/>
              <w:left w:val="nil"/>
              <w:bottom w:val="nil"/>
              <w:right w:val="nil"/>
            </w:tcBorders>
          </w:tcPr>
          <w:p w14:paraId="313F996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0.0151</w:t>
            </w:r>
          </w:p>
        </w:tc>
        <w:tc>
          <w:tcPr>
            <w:tcW w:w="1006" w:type="pct"/>
            <w:tcBorders>
              <w:top w:val="nil"/>
              <w:left w:val="nil"/>
              <w:bottom w:val="nil"/>
              <w:right w:val="nil"/>
            </w:tcBorders>
          </w:tcPr>
          <w:p w14:paraId="6FEDF1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0.0207</w:t>
            </w:r>
          </w:p>
        </w:tc>
        <w:tc>
          <w:tcPr>
            <w:tcW w:w="668" w:type="pct"/>
            <w:tcBorders>
              <w:top w:val="nil"/>
              <w:left w:val="nil"/>
              <w:bottom w:val="nil"/>
              <w:right w:val="nil"/>
            </w:tcBorders>
          </w:tcPr>
          <w:p w14:paraId="165840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-0.00586</w:t>
            </w:r>
          </w:p>
        </w:tc>
        <w:tc>
          <w:tcPr>
            <w:tcW w:w="870" w:type="pct"/>
            <w:tcBorders>
              <w:top w:val="nil"/>
              <w:left w:val="nil"/>
              <w:bottom w:val="nil"/>
              <w:right w:val="nil"/>
            </w:tcBorders>
          </w:tcPr>
          <w:p w14:paraId="52AF7A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0.0405</w:t>
            </w:r>
          </w:p>
        </w:tc>
        <w:tc>
          <w:tcPr>
            <w:tcW w:w="738" w:type="pct"/>
            <w:tcBorders>
              <w:top w:val="nil"/>
              <w:left w:val="nil"/>
              <w:bottom w:val="nil"/>
              <w:right w:val="nil"/>
            </w:tcBorders>
          </w:tcPr>
          <w:p w14:paraId="310E2B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-0.143**</w:t>
            </w:r>
          </w:p>
        </w:tc>
      </w:tr>
      <w:tr w:rsidR="00F00E3D" w:rsidRPr="00335312" w14:paraId="0D0D408A" w14:textId="77777777" w:rsidTr="00063AC8">
        <w:trPr>
          <w:jc w:val="center"/>
        </w:trPr>
        <w:tc>
          <w:tcPr>
            <w:tcW w:w="1112" w:type="pct"/>
            <w:tcBorders>
              <w:top w:val="nil"/>
              <w:left w:val="nil"/>
              <w:bottom w:val="nil"/>
              <w:right w:val="nil"/>
            </w:tcBorders>
          </w:tcPr>
          <w:p w14:paraId="4D5666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6A214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(0.745)</w:t>
            </w:r>
          </w:p>
        </w:tc>
        <w:tc>
          <w:tcPr>
            <w:tcW w:w="1006" w:type="pct"/>
            <w:tcBorders>
              <w:top w:val="nil"/>
              <w:left w:val="nil"/>
              <w:bottom w:val="nil"/>
              <w:right w:val="nil"/>
            </w:tcBorders>
          </w:tcPr>
          <w:p w14:paraId="12EC7E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(0.870)</w:t>
            </w:r>
          </w:p>
        </w:tc>
        <w:tc>
          <w:tcPr>
            <w:tcW w:w="668" w:type="pct"/>
            <w:tcBorders>
              <w:top w:val="nil"/>
              <w:left w:val="nil"/>
              <w:bottom w:val="nil"/>
              <w:right w:val="nil"/>
            </w:tcBorders>
          </w:tcPr>
          <w:p w14:paraId="15B631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(-0.193)</w:t>
            </w:r>
          </w:p>
        </w:tc>
        <w:tc>
          <w:tcPr>
            <w:tcW w:w="870" w:type="pct"/>
            <w:tcBorders>
              <w:top w:val="nil"/>
              <w:left w:val="nil"/>
              <w:bottom w:val="nil"/>
              <w:right w:val="nil"/>
            </w:tcBorders>
          </w:tcPr>
          <w:p w14:paraId="098895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(0.772)</w:t>
            </w:r>
          </w:p>
        </w:tc>
        <w:tc>
          <w:tcPr>
            <w:tcW w:w="738" w:type="pct"/>
            <w:tcBorders>
              <w:top w:val="nil"/>
              <w:left w:val="nil"/>
              <w:bottom w:val="nil"/>
              <w:right w:val="nil"/>
            </w:tcBorders>
          </w:tcPr>
          <w:p w14:paraId="57DE7A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(-8.438)</w:t>
            </w:r>
          </w:p>
        </w:tc>
      </w:tr>
      <w:tr w:rsidR="00F00E3D" w:rsidRPr="00335312" w14:paraId="3332F3C1" w14:textId="77777777" w:rsidTr="00063AC8">
        <w:trPr>
          <w:jc w:val="center"/>
        </w:trPr>
        <w:tc>
          <w:tcPr>
            <w:tcW w:w="1112" w:type="pct"/>
            <w:tcBorders>
              <w:top w:val="nil"/>
              <w:left w:val="nil"/>
              <w:bottom w:val="nil"/>
              <w:right w:val="nil"/>
            </w:tcBorders>
          </w:tcPr>
          <w:p w14:paraId="507193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2016.year#2.month</w:t>
            </w:r>
          </w:p>
        </w:tc>
        <w:tc>
          <w:tcPr>
            <w:tcW w:w="607" w:type="pct"/>
            <w:tcBorders>
              <w:top w:val="nil"/>
              <w:left w:val="nil"/>
              <w:bottom w:val="nil"/>
              <w:right w:val="nil"/>
            </w:tcBorders>
          </w:tcPr>
          <w:p w14:paraId="303B07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0.00970</w:t>
            </w:r>
          </w:p>
        </w:tc>
        <w:tc>
          <w:tcPr>
            <w:tcW w:w="1006" w:type="pct"/>
            <w:tcBorders>
              <w:top w:val="nil"/>
              <w:left w:val="nil"/>
              <w:bottom w:val="nil"/>
              <w:right w:val="nil"/>
            </w:tcBorders>
          </w:tcPr>
          <w:p w14:paraId="6397ACB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0.0105</w:t>
            </w:r>
          </w:p>
        </w:tc>
        <w:tc>
          <w:tcPr>
            <w:tcW w:w="668" w:type="pct"/>
            <w:tcBorders>
              <w:top w:val="nil"/>
              <w:left w:val="nil"/>
              <w:bottom w:val="nil"/>
              <w:right w:val="nil"/>
            </w:tcBorders>
          </w:tcPr>
          <w:p w14:paraId="4CC8FD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0.0120</w:t>
            </w:r>
          </w:p>
        </w:tc>
        <w:tc>
          <w:tcPr>
            <w:tcW w:w="870" w:type="pct"/>
            <w:tcBorders>
              <w:top w:val="nil"/>
              <w:left w:val="nil"/>
              <w:bottom w:val="nil"/>
              <w:right w:val="nil"/>
            </w:tcBorders>
          </w:tcPr>
          <w:p w14:paraId="55C288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0.0128</w:t>
            </w:r>
          </w:p>
        </w:tc>
        <w:tc>
          <w:tcPr>
            <w:tcW w:w="738" w:type="pct"/>
            <w:tcBorders>
              <w:top w:val="nil"/>
              <w:left w:val="nil"/>
              <w:bottom w:val="nil"/>
              <w:right w:val="nil"/>
            </w:tcBorders>
          </w:tcPr>
          <w:p w14:paraId="22F885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-0.0821</w:t>
            </w:r>
          </w:p>
        </w:tc>
      </w:tr>
      <w:tr w:rsidR="00F00E3D" w:rsidRPr="00335312" w14:paraId="04D18F61" w14:textId="77777777" w:rsidTr="00063AC8">
        <w:trPr>
          <w:jc w:val="center"/>
        </w:trPr>
        <w:tc>
          <w:tcPr>
            <w:tcW w:w="1112" w:type="pct"/>
            <w:tcBorders>
              <w:top w:val="nil"/>
              <w:left w:val="nil"/>
              <w:bottom w:val="nil"/>
              <w:right w:val="nil"/>
            </w:tcBorders>
          </w:tcPr>
          <w:p w14:paraId="44BDEF8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59A11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(0.521)</w:t>
            </w:r>
          </w:p>
        </w:tc>
        <w:tc>
          <w:tcPr>
            <w:tcW w:w="1006" w:type="pct"/>
            <w:tcBorders>
              <w:top w:val="nil"/>
              <w:left w:val="nil"/>
              <w:bottom w:val="nil"/>
              <w:right w:val="nil"/>
            </w:tcBorders>
          </w:tcPr>
          <w:p w14:paraId="42904D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(0.487)</w:t>
            </w:r>
          </w:p>
        </w:tc>
        <w:tc>
          <w:tcPr>
            <w:tcW w:w="668" w:type="pct"/>
            <w:tcBorders>
              <w:top w:val="nil"/>
              <w:left w:val="nil"/>
              <w:bottom w:val="nil"/>
              <w:right w:val="nil"/>
            </w:tcBorders>
          </w:tcPr>
          <w:p w14:paraId="34F6FC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(0.388)</w:t>
            </w:r>
          </w:p>
        </w:tc>
        <w:tc>
          <w:tcPr>
            <w:tcW w:w="870" w:type="pct"/>
            <w:tcBorders>
              <w:top w:val="nil"/>
              <w:left w:val="nil"/>
              <w:bottom w:val="nil"/>
              <w:right w:val="nil"/>
            </w:tcBorders>
          </w:tcPr>
          <w:p w14:paraId="02486DE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(0.229)</w:t>
            </w:r>
          </w:p>
        </w:tc>
        <w:tc>
          <w:tcPr>
            <w:tcW w:w="738" w:type="pct"/>
            <w:tcBorders>
              <w:top w:val="nil"/>
              <w:left w:val="nil"/>
              <w:bottom w:val="nil"/>
              <w:right w:val="nil"/>
            </w:tcBorders>
          </w:tcPr>
          <w:p w14:paraId="2FAC6CA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(-1.223)</w:t>
            </w:r>
          </w:p>
        </w:tc>
      </w:tr>
      <w:tr w:rsidR="00F00E3D" w:rsidRPr="00335312" w14:paraId="77456BF9" w14:textId="77777777" w:rsidTr="00063AC8">
        <w:trPr>
          <w:jc w:val="center"/>
        </w:trPr>
        <w:tc>
          <w:tcPr>
            <w:tcW w:w="1112" w:type="pct"/>
            <w:tcBorders>
              <w:top w:val="nil"/>
              <w:left w:val="nil"/>
              <w:bottom w:val="nil"/>
              <w:right w:val="nil"/>
            </w:tcBorders>
          </w:tcPr>
          <w:p w14:paraId="767629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2016.year#3.month</w:t>
            </w:r>
          </w:p>
        </w:tc>
        <w:tc>
          <w:tcPr>
            <w:tcW w:w="607" w:type="pct"/>
            <w:tcBorders>
              <w:top w:val="nil"/>
              <w:left w:val="nil"/>
              <w:bottom w:val="nil"/>
              <w:right w:val="nil"/>
            </w:tcBorders>
          </w:tcPr>
          <w:p w14:paraId="2E287B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0.0418*</w:t>
            </w:r>
          </w:p>
        </w:tc>
        <w:tc>
          <w:tcPr>
            <w:tcW w:w="1006" w:type="pct"/>
            <w:tcBorders>
              <w:top w:val="nil"/>
              <w:left w:val="nil"/>
              <w:bottom w:val="nil"/>
              <w:right w:val="nil"/>
            </w:tcBorders>
          </w:tcPr>
          <w:p w14:paraId="621B9D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0.0521*</w:t>
            </w:r>
          </w:p>
        </w:tc>
        <w:tc>
          <w:tcPr>
            <w:tcW w:w="668" w:type="pct"/>
            <w:tcBorders>
              <w:top w:val="nil"/>
              <w:left w:val="nil"/>
              <w:bottom w:val="nil"/>
              <w:right w:val="nil"/>
            </w:tcBorders>
          </w:tcPr>
          <w:p w14:paraId="5875A1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0.0102</w:t>
            </w:r>
          </w:p>
        </w:tc>
        <w:tc>
          <w:tcPr>
            <w:tcW w:w="870" w:type="pct"/>
            <w:tcBorders>
              <w:top w:val="nil"/>
              <w:left w:val="nil"/>
              <w:bottom w:val="nil"/>
              <w:right w:val="nil"/>
            </w:tcBorders>
          </w:tcPr>
          <w:p w14:paraId="33C629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0.133**</w:t>
            </w:r>
          </w:p>
        </w:tc>
        <w:tc>
          <w:tcPr>
            <w:tcW w:w="738" w:type="pct"/>
            <w:tcBorders>
              <w:top w:val="nil"/>
              <w:left w:val="nil"/>
              <w:bottom w:val="nil"/>
              <w:right w:val="nil"/>
            </w:tcBorders>
          </w:tcPr>
          <w:p w14:paraId="5423AA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-0.0821</w:t>
            </w:r>
          </w:p>
        </w:tc>
      </w:tr>
      <w:tr w:rsidR="00F00E3D" w:rsidRPr="00335312" w14:paraId="641E985C" w14:textId="77777777" w:rsidTr="00063AC8">
        <w:trPr>
          <w:jc w:val="center"/>
        </w:trPr>
        <w:tc>
          <w:tcPr>
            <w:tcW w:w="1112" w:type="pct"/>
            <w:tcBorders>
              <w:top w:val="nil"/>
              <w:left w:val="nil"/>
              <w:bottom w:val="nil"/>
              <w:right w:val="nil"/>
            </w:tcBorders>
          </w:tcPr>
          <w:p w14:paraId="3D4C1C8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BF039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(1.762)</w:t>
            </w:r>
          </w:p>
        </w:tc>
        <w:tc>
          <w:tcPr>
            <w:tcW w:w="1006" w:type="pct"/>
            <w:tcBorders>
              <w:top w:val="nil"/>
              <w:left w:val="nil"/>
              <w:bottom w:val="nil"/>
              <w:right w:val="nil"/>
            </w:tcBorders>
          </w:tcPr>
          <w:p w14:paraId="39C943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(1.845)</w:t>
            </w:r>
          </w:p>
        </w:tc>
        <w:tc>
          <w:tcPr>
            <w:tcW w:w="668" w:type="pct"/>
            <w:tcBorders>
              <w:top w:val="nil"/>
              <w:left w:val="nil"/>
              <w:bottom w:val="nil"/>
              <w:right w:val="nil"/>
            </w:tcBorders>
          </w:tcPr>
          <w:p w14:paraId="792D4E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(0.352)</w:t>
            </w:r>
          </w:p>
        </w:tc>
        <w:tc>
          <w:tcPr>
            <w:tcW w:w="870" w:type="pct"/>
            <w:tcBorders>
              <w:top w:val="nil"/>
              <w:left w:val="nil"/>
              <w:bottom w:val="nil"/>
              <w:right w:val="nil"/>
            </w:tcBorders>
          </w:tcPr>
          <w:p w14:paraId="5A1DAF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(2.053)</w:t>
            </w:r>
          </w:p>
        </w:tc>
        <w:tc>
          <w:tcPr>
            <w:tcW w:w="738" w:type="pct"/>
            <w:tcBorders>
              <w:top w:val="nil"/>
              <w:left w:val="nil"/>
              <w:bottom w:val="nil"/>
              <w:right w:val="nil"/>
            </w:tcBorders>
          </w:tcPr>
          <w:p w14:paraId="3FE58B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(-1.223)</w:t>
            </w:r>
          </w:p>
        </w:tc>
      </w:tr>
      <w:tr w:rsidR="00F00E3D" w:rsidRPr="00335312" w14:paraId="72BFA925" w14:textId="77777777" w:rsidTr="00063AC8">
        <w:trPr>
          <w:jc w:val="center"/>
        </w:trPr>
        <w:tc>
          <w:tcPr>
            <w:tcW w:w="1112" w:type="pct"/>
            <w:tcBorders>
              <w:top w:val="nil"/>
              <w:left w:val="nil"/>
              <w:bottom w:val="nil"/>
              <w:right w:val="nil"/>
            </w:tcBorders>
          </w:tcPr>
          <w:p w14:paraId="04C7FD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2016.year#4.month</w:t>
            </w:r>
          </w:p>
        </w:tc>
        <w:tc>
          <w:tcPr>
            <w:tcW w:w="607" w:type="pct"/>
            <w:tcBorders>
              <w:top w:val="nil"/>
              <w:left w:val="nil"/>
              <w:bottom w:val="nil"/>
              <w:right w:val="nil"/>
            </w:tcBorders>
          </w:tcPr>
          <w:p w14:paraId="07636F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0.0565***</w:t>
            </w:r>
          </w:p>
        </w:tc>
        <w:tc>
          <w:tcPr>
            <w:tcW w:w="1006" w:type="pct"/>
            <w:tcBorders>
              <w:top w:val="nil"/>
              <w:left w:val="nil"/>
              <w:bottom w:val="nil"/>
              <w:right w:val="nil"/>
            </w:tcBorders>
          </w:tcPr>
          <w:p w14:paraId="0CB044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0.0713***</w:t>
            </w:r>
          </w:p>
        </w:tc>
        <w:tc>
          <w:tcPr>
            <w:tcW w:w="668" w:type="pct"/>
            <w:tcBorders>
              <w:top w:val="nil"/>
              <w:left w:val="nil"/>
              <w:bottom w:val="nil"/>
              <w:right w:val="nil"/>
            </w:tcBorders>
          </w:tcPr>
          <w:p w14:paraId="615299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-0.00784</w:t>
            </w:r>
          </w:p>
        </w:tc>
        <w:tc>
          <w:tcPr>
            <w:tcW w:w="870" w:type="pct"/>
            <w:tcBorders>
              <w:top w:val="nil"/>
              <w:left w:val="nil"/>
              <w:bottom w:val="nil"/>
              <w:right w:val="nil"/>
            </w:tcBorders>
          </w:tcPr>
          <w:p w14:paraId="38DAF1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0.0881</w:t>
            </w:r>
          </w:p>
        </w:tc>
        <w:tc>
          <w:tcPr>
            <w:tcW w:w="738" w:type="pct"/>
            <w:tcBorders>
              <w:top w:val="nil"/>
              <w:left w:val="nil"/>
              <w:bottom w:val="nil"/>
              <w:right w:val="nil"/>
            </w:tcBorders>
          </w:tcPr>
          <w:p w14:paraId="427DE4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0.118</w:t>
            </w:r>
          </w:p>
        </w:tc>
      </w:tr>
      <w:tr w:rsidR="00F00E3D" w:rsidRPr="00335312" w14:paraId="67A14F30" w14:textId="77777777" w:rsidTr="00063AC8">
        <w:trPr>
          <w:jc w:val="center"/>
        </w:trPr>
        <w:tc>
          <w:tcPr>
            <w:tcW w:w="1112" w:type="pct"/>
            <w:tcBorders>
              <w:top w:val="nil"/>
              <w:left w:val="nil"/>
              <w:bottom w:val="nil"/>
              <w:right w:val="nil"/>
            </w:tcBorders>
          </w:tcPr>
          <w:p w14:paraId="3DC8E9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FADE8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(2.591)</w:t>
            </w:r>
          </w:p>
        </w:tc>
        <w:tc>
          <w:tcPr>
            <w:tcW w:w="1006" w:type="pct"/>
            <w:tcBorders>
              <w:top w:val="nil"/>
              <w:left w:val="nil"/>
              <w:bottom w:val="nil"/>
              <w:right w:val="nil"/>
            </w:tcBorders>
          </w:tcPr>
          <w:p w14:paraId="2DB5EF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(2.701)</w:t>
            </w:r>
          </w:p>
        </w:tc>
        <w:tc>
          <w:tcPr>
            <w:tcW w:w="668" w:type="pct"/>
            <w:tcBorders>
              <w:top w:val="nil"/>
              <w:left w:val="nil"/>
              <w:bottom w:val="nil"/>
              <w:right w:val="nil"/>
            </w:tcBorders>
          </w:tcPr>
          <w:p w14:paraId="37BC46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(-0.273)</w:t>
            </w:r>
          </w:p>
        </w:tc>
        <w:tc>
          <w:tcPr>
            <w:tcW w:w="870" w:type="pct"/>
            <w:tcBorders>
              <w:top w:val="nil"/>
              <w:left w:val="nil"/>
              <w:bottom w:val="nil"/>
              <w:right w:val="nil"/>
            </w:tcBorders>
          </w:tcPr>
          <w:p w14:paraId="4CFA2E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(1.349)</w:t>
            </w:r>
          </w:p>
        </w:tc>
        <w:tc>
          <w:tcPr>
            <w:tcW w:w="738" w:type="pct"/>
            <w:tcBorders>
              <w:top w:val="nil"/>
              <w:left w:val="nil"/>
              <w:bottom w:val="nil"/>
              <w:right w:val="nil"/>
            </w:tcBorders>
          </w:tcPr>
          <w:p w14:paraId="34C43E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(0.705)</w:t>
            </w:r>
          </w:p>
        </w:tc>
      </w:tr>
      <w:tr w:rsidR="00F00E3D" w:rsidRPr="00335312" w14:paraId="1761F32E" w14:textId="77777777" w:rsidTr="00063AC8">
        <w:trPr>
          <w:jc w:val="center"/>
        </w:trPr>
        <w:tc>
          <w:tcPr>
            <w:tcW w:w="1112" w:type="pct"/>
            <w:tcBorders>
              <w:top w:val="nil"/>
              <w:left w:val="nil"/>
              <w:bottom w:val="nil"/>
              <w:right w:val="nil"/>
            </w:tcBorders>
          </w:tcPr>
          <w:p w14:paraId="3267D0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2016.year#5.month</w:t>
            </w:r>
          </w:p>
        </w:tc>
        <w:tc>
          <w:tcPr>
            <w:tcW w:w="607" w:type="pct"/>
            <w:tcBorders>
              <w:top w:val="nil"/>
              <w:left w:val="nil"/>
              <w:bottom w:val="nil"/>
              <w:right w:val="nil"/>
            </w:tcBorders>
          </w:tcPr>
          <w:p w14:paraId="53BE9B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0.0501*</w:t>
            </w:r>
          </w:p>
        </w:tc>
        <w:tc>
          <w:tcPr>
            <w:tcW w:w="1006" w:type="pct"/>
            <w:tcBorders>
              <w:top w:val="nil"/>
              <w:left w:val="nil"/>
              <w:bottom w:val="nil"/>
              <w:right w:val="nil"/>
            </w:tcBorders>
          </w:tcPr>
          <w:p w14:paraId="52661E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0.0540</w:t>
            </w:r>
          </w:p>
        </w:tc>
        <w:tc>
          <w:tcPr>
            <w:tcW w:w="668" w:type="pct"/>
            <w:tcBorders>
              <w:top w:val="nil"/>
              <w:left w:val="nil"/>
              <w:bottom w:val="nil"/>
              <w:right w:val="nil"/>
            </w:tcBorders>
          </w:tcPr>
          <w:p w14:paraId="32B57C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0.0363</w:t>
            </w:r>
          </w:p>
        </w:tc>
        <w:tc>
          <w:tcPr>
            <w:tcW w:w="870" w:type="pct"/>
            <w:tcBorders>
              <w:top w:val="nil"/>
              <w:left w:val="nil"/>
              <w:bottom w:val="nil"/>
              <w:right w:val="nil"/>
            </w:tcBorders>
          </w:tcPr>
          <w:p w14:paraId="77842C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0.0666</w:t>
            </w:r>
          </w:p>
        </w:tc>
        <w:tc>
          <w:tcPr>
            <w:tcW w:w="738" w:type="pct"/>
            <w:tcBorders>
              <w:top w:val="nil"/>
              <w:left w:val="nil"/>
              <w:bottom w:val="nil"/>
              <w:right w:val="nil"/>
            </w:tcBorders>
          </w:tcPr>
          <w:p w14:paraId="24A98B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0.0504</w:t>
            </w:r>
          </w:p>
        </w:tc>
      </w:tr>
      <w:tr w:rsidR="00F00E3D" w:rsidRPr="00335312" w14:paraId="2D531013" w14:textId="77777777" w:rsidTr="00063AC8">
        <w:trPr>
          <w:jc w:val="center"/>
        </w:trPr>
        <w:tc>
          <w:tcPr>
            <w:tcW w:w="1112" w:type="pct"/>
            <w:tcBorders>
              <w:top w:val="nil"/>
              <w:left w:val="nil"/>
              <w:bottom w:val="nil"/>
              <w:right w:val="nil"/>
            </w:tcBorders>
          </w:tcPr>
          <w:p w14:paraId="23BADD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2C929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(1.829)</w:t>
            </w:r>
          </w:p>
        </w:tc>
        <w:tc>
          <w:tcPr>
            <w:tcW w:w="1006" w:type="pct"/>
            <w:tcBorders>
              <w:top w:val="nil"/>
              <w:left w:val="nil"/>
              <w:bottom w:val="nil"/>
              <w:right w:val="nil"/>
            </w:tcBorders>
          </w:tcPr>
          <w:p w14:paraId="0A43E2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(1.643)</w:t>
            </w:r>
          </w:p>
        </w:tc>
        <w:tc>
          <w:tcPr>
            <w:tcW w:w="668" w:type="pct"/>
            <w:tcBorders>
              <w:top w:val="nil"/>
              <w:left w:val="nil"/>
              <w:bottom w:val="nil"/>
              <w:right w:val="nil"/>
            </w:tcBorders>
          </w:tcPr>
          <w:p w14:paraId="694D42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(1.281)</w:t>
            </w:r>
          </w:p>
        </w:tc>
        <w:tc>
          <w:tcPr>
            <w:tcW w:w="870" w:type="pct"/>
            <w:tcBorders>
              <w:top w:val="nil"/>
              <w:left w:val="nil"/>
              <w:bottom w:val="nil"/>
              <w:right w:val="nil"/>
            </w:tcBorders>
          </w:tcPr>
          <w:p w14:paraId="53FBCCA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(1.335)</w:t>
            </w:r>
          </w:p>
        </w:tc>
        <w:tc>
          <w:tcPr>
            <w:tcW w:w="738" w:type="pct"/>
            <w:tcBorders>
              <w:top w:val="nil"/>
              <w:left w:val="nil"/>
              <w:bottom w:val="nil"/>
              <w:right w:val="nil"/>
            </w:tcBorders>
          </w:tcPr>
          <w:p w14:paraId="7DE74B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(0.747)</w:t>
            </w:r>
          </w:p>
        </w:tc>
      </w:tr>
      <w:tr w:rsidR="00F00E3D" w:rsidRPr="00335312" w14:paraId="387CF849" w14:textId="77777777" w:rsidTr="00063AC8">
        <w:trPr>
          <w:jc w:val="center"/>
        </w:trPr>
        <w:tc>
          <w:tcPr>
            <w:tcW w:w="1112" w:type="pct"/>
            <w:tcBorders>
              <w:top w:val="nil"/>
              <w:left w:val="nil"/>
              <w:bottom w:val="nil"/>
              <w:right w:val="nil"/>
            </w:tcBorders>
          </w:tcPr>
          <w:p w14:paraId="669C69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2016.year#6.month</w:t>
            </w:r>
          </w:p>
        </w:tc>
        <w:tc>
          <w:tcPr>
            <w:tcW w:w="607" w:type="pct"/>
            <w:tcBorders>
              <w:top w:val="nil"/>
              <w:left w:val="nil"/>
              <w:bottom w:val="nil"/>
              <w:right w:val="nil"/>
            </w:tcBorders>
          </w:tcPr>
          <w:p w14:paraId="197F30A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0.0488**</w:t>
            </w:r>
          </w:p>
        </w:tc>
        <w:tc>
          <w:tcPr>
            <w:tcW w:w="1006" w:type="pct"/>
            <w:tcBorders>
              <w:top w:val="nil"/>
              <w:left w:val="nil"/>
              <w:bottom w:val="nil"/>
              <w:right w:val="nil"/>
            </w:tcBorders>
          </w:tcPr>
          <w:p w14:paraId="3F7AD7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0.0563**</w:t>
            </w:r>
          </w:p>
        </w:tc>
        <w:tc>
          <w:tcPr>
            <w:tcW w:w="668" w:type="pct"/>
            <w:tcBorders>
              <w:top w:val="nil"/>
              <w:left w:val="nil"/>
              <w:bottom w:val="nil"/>
              <w:right w:val="nil"/>
            </w:tcBorders>
          </w:tcPr>
          <w:p w14:paraId="669FB4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0.0219</w:t>
            </w:r>
          </w:p>
        </w:tc>
        <w:tc>
          <w:tcPr>
            <w:tcW w:w="870" w:type="pct"/>
            <w:tcBorders>
              <w:top w:val="nil"/>
              <w:left w:val="nil"/>
              <w:bottom w:val="nil"/>
              <w:right w:val="nil"/>
            </w:tcBorders>
          </w:tcPr>
          <w:p w14:paraId="17D7745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-0.0155</w:t>
            </w:r>
          </w:p>
        </w:tc>
        <w:tc>
          <w:tcPr>
            <w:tcW w:w="738" w:type="pct"/>
            <w:tcBorders>
              <w:top w:val="nil"/>
              <w:left w:val="nil"/>
              <w:bottom w:val="nil"/>
              <w:right w:val="nil"/>
            </w:tcBorders>
          </w:tcPr>
          <w:p w14:paraId="3F97AA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-0.298**</w:t>
            </w:r>
          </w:p>
        </w:tc>
      </w:tr>
      <w:tr w:rsidR="00F00E3D" w:rsidRPr="00335312" w14:paraId="1DA89CAA" w14:textId="77777777" w:rsidTr="00063AC8">
        <w:trPr>
          <w:jc w:val="center"/>
        </w:trPr>
        <w:tc>
          <w:tcPr>
            <w:tcW w:w="1112" w:type="pct"/>
            <w:tcBorders>
              <w:top w:val="nil"/>
              <w:left w:val="nil"/>
              <w:bottom w:val="nil"/>
              <w:right w:val="nil"/>
            </w:tcBorders>
          </w:tcPr>
          <w:p w14:paraId="2D4DDF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F761A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(2.091)</w:t>
            </w:r>
          </w:p>
        </w:tc>
        <w:tc>
          <w:tcPr>
            <w:tcW w:w="1006" w:type="pct"/>
            <w:tcBorders>
              <w:top w:val="nil"/>
              <w:left w:val="nil"/>
              <w:bottom w:val="nil"/>
              <w:right w:val="nil"/>
            </w:tcBorders>
          </w:tcPr>
          <w:p w14:paraId="10E969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(2.013)</w:t>
            </w:r>
          </w:p>
        </w:tc>
        <w:tc>
          <w:tcPr>
            <w:tcW w:w="668" w:type="pct"/>
            <w:tcBorders>
              <w:top w:val="nil"/>
              <w:left w:val="nil"/>
              <w:bottom w:val="nil"/>
              <w:right w:val="nil"/>
            </w:tcBorders>
          </w:tcPr>
          <w:p w14:paraId="658D0E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(0.747)</w:t>
            </w:r>
          </w:p>
        </w:tc>
        <w:tc>
          <w:tcPr>
            <w:tcW w:w="870" w:type="pct"/>
            <w:tcBorders>
              <w:top w:val="nil"/>
              <w:left w:val="nil"/>
              <w:bottom w:val="nil"/>
              <w:right w:val="nil"/>
            </w:tcBorders>
          </w:tcPr>
          <w:p w14:paraId="6F78F2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(-0.204)</w:t>
            </w:r>
          </w:p>
        </w:tc>
        <w:tc>
          <w:tcPr>
            <w:tcW w:w="738" w:type="pct"/>
            <w:tcBorders>
              <w:top w:val="nil"/>
              <w:left w:val="nil"/>
              <w:bottom w:val="nil"/>
              <w:right w:val="nil"/>
            </w:tcBorders>
          </w:tcPr>
          <w:p w14:paraId="0E0CD7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(-8.099)</w:t>
            </w:r>
          </w:p>
        </w:tc>
      </w:tr>
      <w:tr w:rsidR="00F00E3D" w:rsidRPr="00335312" w14:paraId="73D03C79" w14:textId="77777777" w:rsidTr="00063AC8">
        <w:trPr>
          <w:jc w:val="center"/>
        </w:trPr>
        <w:tc>
          <w:tcPr>
            <w:tcW w:w="1112" w:type="pct"/>
            <w:tcBorders>
              <w:top w:val="nil"/>
              <w:left w:val="nil"/>
              <w:bottom w:val="nil"/>
              <w:right w:val="nil"/>
            </w:tcBorders>
          </w:tcPr>
          <w:p w14:paraId="688EF72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2016.year#7.month</w:t>
            </w:r>
          </w:p>
        </w:tc>
        <w:tc>
          <w:tcPr>
            <w:tcW w:w="607" w:type="pct"/>
            <w:tcBorders>
              <w:top w:val="nil"/>
              <w:left w:val="nil"/>
              <w:bottom w:val="nil"/>
              <w:right w:val="nil"/>
            </w:tcBorders>
          </w:tcPr>
          <w:p w14:paraId="4FAB90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0.00816</w:t>
            </w:r>
          </w:p>
        </w:tc>
        <w:tc>
          <w:tcPr>
            <w:tcW w:w="1006" w:type="pct"/>
            <w:tcBorders>
              <w:top w:val="nil"/>
              <w:left w:val="nil"/>
              <w:bottom w:val="nil"/>
              <w:right w:val="nil"/>
            </w:tcBorders>
          </w:tcPr>
          <w:p w14:paraId="03E173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0.00945</w:t>
            </w:r>
          </w:p>
        </w:tc>
        <w:tc>
          <w:tcPr>
            <w:tcW w:w="668" w:type="pct"/>
            <w:tcBorders>
              <w:top w:val="nil"/>
              <w:left w:val="nil"/>
              <w:bottom w:val="nil"/>
              <w:right w:val="nil"/>
            </w:tcBorders>
          </w:tcPr>
          <w:p w14:paraId="7B135A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0.00945</w:t>
            </w:r>
          </w:p>
        </w:tc>
        <w:tc>
          <w:tcPr>
            <w:tcW w:w="870" w:type="pct"/>
            <w:tcBorders>
              <w:top w:val="nil"/>
              <w:left w:val="nil"/>
              <w:bottom w:val="nil"/>
              <w:right w:val="nil"/>
            </w:tcBorders>
          </w:tcPr>
          <w:p w14:paraId="308A78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0.0275</w:t>
            </w:r>
          </w:p>
        </w:tc>
        <w:tc>
          <w:tcPr>
            <w:tcW w:w="738" w:type="pct"/>
            <w:tcBorders>
              <w:top w:val="nil"/>
              <w:left w:val="nil"/>
              <w:bottom w:val="nil"/>
              <w:right w:val="nil"/>
            </w:tcBorders>
          </w:tcPr>
          <w:p w14:paraId="4B4D69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-0.0762</w:t>
            </w:r>
          </w:p>
        </w:tc>
      </w:tr>
      <w:tr w:rsidR="00F00E3D" w:rsidRPr="00335312" w14:paraId="00DE44D4" w14:textId="77777777" w:rsidTr="00063AC8">
        <w:trPr>
          <w:jc w:val="center"/>
        </w:trPr>
        <w:tc>
          <w:tcPr>
            <w:tcW w:w="1112" w:type="pct"/>
            <w:tcBorders>
              <w:top w:val="nil"/>
              <w:left w:val="nil"/>
              <w:bottom w:val="nil"/>
              <w:right w:val="nil"/>
            </w:tcBorders>
          </w:tcPr>
          <w:p w14:paraId="16ACDB6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06ACC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(0.344)</w:t>
            </w:r>
          </w:p>
        </w:tc>
        <w:tc>
          <w:tcPr>
            <w:tcW w:w="1006" w:type="pct"/>
            <w:tcBorders>
              <w:top w:val="nil"/>
              <w:left w:val="nil"/>
              <w:bottom w:val="nil"/>
              <w:right w:val="nil"/>
            </w:tcBorders>
          </w:tcPr>
          <w:p w14:paraId="1C4647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(0.339)</w:t>
            </w:r>
          </w:p>
        </w:tc>
        <w:tc>
          <w:tcPr>
            <w:tcW w:w="668" w:type="pct"/>
            <w:tcBorders>
              <w:top w:val="nil"/>
              <w:left w:val="nil"/>
              <w:bottom w:val="nil"/>
              <w:right w:val="nil"/>
            </w:tcBorders>
          </w:tcPr>
          <w:p w14:paraId="4F29019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(0.320)</w:t>
            </w:r>
          </w:p>
        </w:tc>
        <w:tc>
          <w:tcPr>
            <w:tcW w:w="870" w:type="pct"/>
            <w:tcBorders>
              <w:top w:val="nil"/>
              <w:left w:val="nil"/>
              <w:bottom w:val="nil"/>
              <w:right w:val="nil"/>
            </w:tcBorders>
          </w:tcPr>
          <w:p w14:paraId="732F46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(0.475)</w:t>
            </w:r>
          </w:p>
        </w:tc>
        <w:tc>
          <w:tcPr>
            <w:tcW w:w="738" w:type="pct"/>
            <w:tcBorders>
              <w:top w:val="nil"/>
              <w:left w:val="nil"/>
              <w:bottom w:val="nil"/>
              <w:right w:val="nil"/>
            </w:tcBorders>
          </w:tcPr>
          <w:p w14:paraId="77B549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(-2.427)</w:t>
            </w:r>
          </w:p>
        </w:tc>
      </w:tr>
      <w:tr w:rsidR="00F00E3D" w:rsidRPr="00335312" w14:paraId="6DE06125" w14:textId="77777777" w:rsidTr="00063AC8">
        <w:trPr>
          <w:jc w:val="center"/>
        </w:trPr>
        <w:tc>
          <w:tcPr>
            <w:tcW w:w="1112" w:type="pct"/>
            <w:tcBorders>
              <w:top w:val="nil"/>
              <w:left w:val="nil"/>
              <w:bottom w:val="nil"/>
              <w:right w:val="nil"/>
            </w:tcBorders>
          </w:tcPr>
          <w:p w14:paraId="6A0321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2016.year#8.month</w:t>
            </w:r>
          </w:p>
        </w:tc>
        <w:tc>
          <w:tcPr>
            <w:tcW w:w="607" w:type="pct"/>
            <w:tcBorders>
              <w:top w:val="nil"/>
              <w:left w:val="nil"/>
              <w:bottom w:val="nil"/>
              <w:right w:val="nil"/>
            </w:tcBorders>
          </w:tcPr>
          <w:p w14:paraId="152542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0.0362**</w:t>
            </w:r>
          </w:p>
        </w:tc>
        <w:tc>
          <w:tcPr>
            <w:tcW w:w="1006" w:type="pct"/>
            <w:tcBorders>
              <w:top w:val="nil"/>
              <w:left w:val="nil"/>
              <w:bottom w:val="nil"/>
              <w:right w:val="nil"/>
            </w:tcBorders>
          </w:tcPr>
          <w:p w14:paraId="517855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0.0403*</w:t>
            </w:r>
          </w:p>
        </w:tc>
        <w:tc>
          <w:tcPr>
            <w:tcW w:w="668" w:type="pct"/>
            <w:tcBorders>
              <w:top w:val="nil"/>
              <w:left w:val="nil"/>
              <w:bottom w:val="nil"/>
              <w:right w:val="nil"/>
            </w:tcBorders>
          </w:tcPr>
          <w:p w14:paraId="1072F8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0.0214</w:t>
            </w:r>
          </w:p>
        </w:tc>
        <w:tc>
          <w:tcPr>
            <w:tcW w:w="870" w:type="pct"/>
            <w:tcBorders>
              <w:top w:val="nil"/>
              <w:left w:val="nil"/>
              <w:bottom w:val="nil"/>
              <w:right w:val="nil"/>
            </w:tcBorders>
          </w:tcPr>
          <w:p w14:paraId="25AB1A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0.0274</w:t>
            </w:r>
          </w:p>
        </w:tc>
        <w:tc>
          <w:tcPr>
            <w:tcW w:w="738" w:type="pct"/>
            <w:tcBorders>
              <w:top w:val="nil"/>
              <w:left w:val="nil"/>
              <w:bottom w:val="nil"/>
              <w:right w:val="nil"/>
            </w:tcBorders>
          </w:tcPr>
          <w:p w14:paraId="3019EE8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0.0482</w:t>
            </w:r>
          </w:p>
        </w:tc>
      </w:tr>
      <w:tr w:rsidR="00F00E3D" w:rsidRPr="00335312" w14:paraId="428254AF" w14:textId="77777777" w:rsidTr="00063AC8">
        <w:trPr>
          <w:jc w:val="center"/>
        </w:trPr>
        <w:tc>
          <w:tcPr>
            <w:tcW w:w="1112" w:type="pct"/>
            <w:tcBorders>
              <w:top w:val="nil"/>
              <w:left w:val="nil"/>
              <w:bottom w:val="nil"/>
              <w:right w:val="nil"/>
            </w:tcBorders>
          </w:tcPr>
          <w:p w14:paraId="53FBB9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B140D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(2.042)</w:t>
            </w:r>
          </w:p>
        </w:tc>
        <w:tc>
          <w:tcPr>
            <w:tcW w:w="1006" w:type="pct"/>
            <w:tcBorders>
              <w:top w:val="nil"/>
              <w:left w:val="nil"/>
              <w:bottom w:val="nil"/>
              <w:right w:val="nil"/>
            </w:tcBorders>
          </w:tcPr>
          <w:p w14:paraId="4B4EE0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(1.908)</w:t>
            </w:r>
          </w:p>
        </w:tc>
        <w:tc>
          <w:tcPr>
            <w:tcW w:w="668" w:type="pct"/>
            <w:tcBorders>
              <w:top w:val="nil"/>
              <w:left w:val="nil"/>
              <w:bottom w:val="nil"/>
              <w:right w:val="nil"/>
            </w:tcBorders>
          </w:tcPr>
          <w:p w14:paraId="2C1870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(0.767)</w:t>
            </w:r>
          </w:p>
        </w:tc>
        <w:tc>
          <w:tcPr>
            <w:tcW w:w="870" w:type="pct"/>
            <w:tcBorders>
              <w:top w:val="nil"/>
              <w:left w:val="nil"/>
              <w:bottom w:val="nil"/>
              <w:right w:val="nil"/>
            </w:tcBorders>
          </w:tcPr>
          <w:p w14:paraId="40A33D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(0.400)</w:t>
            </w:r>
          </w:p>
        </w:tc>
        <w:tc>
          <w:tcPr>
            <w:tcW w:w="738" w:type="pct"/>
            <w:tcBorders>
              <w:top w:val="nil"/>
              <w:left w:val="nil"/>
              <w:bottom w:val="nil"/>
              <w:right w:val="nil"/>
            </w:tcBorders>
          </w:tcPr>
          <w:p w14:paraId="517CF9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(1.327)</w:t>
            </w:r>
          </w:p>
        </w:tc>
      </w:tr>
      <w:tr w:rsidR="00F00E3D" w:rsidRPr="00335312" w14:paraId="6057E0EA" w14:textId="77777777" w:rsidTr="00063AC8">
        <w:trPr>
          <w:jc w:val="center"/>
        </w:trPr>
        <w:tc>
          <w:tcPr>
            <w:tcW w:w="1112" w:type="pct"/>
            <w:tcBorders>
              <w:top w:val="nil"/>
              <w:left w:val="nil"/>
              <w:bottom w:val="nil"/>
              <w:right w:val="nil"/>
            </w:tcBorders>
          </w:tcPr>
          <w:p w14:paraId="1CF78F5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2016.year#9.month</w:t>
            </w:r>
          </w:p>
        </w:tc>
        <w:tc>
          <w:tcPr>
            <w:tcW w:w="607" w:type="pct"/>
            <w:tcBorders>
              <w:top w:val="nil"/>
              <w:left w:val="nil"/>
              <w:bottom w:val="nil"/>
              <w:right w:val="nil"/>
            </w:tcBorders>
          </w:tcPr>
          <w:p w14:paraId="60421D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0.0426*</w:t>
            </w:r>
          </w:p>
        </w:tc>
        <w:tc>
          <w:tcPr>
            <w:tcW w:w="1006" w:type="pct"/>
            <w:tcBorders>
              <w:top w:val="nil"/>
              <w:left w:val="nil"/>
              <w:bottom w:val="nil"/>
              <w:right w:val="nil"/>
            </w:tcBorders>
          </w:tcPr>
          <w:p w14:paraId="636504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0.0427</w:t>
            </w:r>
          </w:p>
        </w:tc>
        <w:tc>
          <w:tcPr>
            <w:tcW w:w="668" w:type="pct"/>
            <w:tcBorders>
              <w:top w:val="nil"/>
              <w:left w:val="nil"/>
              <w:bottom w:val="nil"/>
              <w:right w:val="nil"/>
            </w:tcBorders>
          </w:tcPr>
          <w:p w14:paraId="357A2A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0.0450</w:t>
            </w:r>
          </w:p>
        </w:tc>
        <w:tc>
          <w:tcPr>
            <w:tcW w:w="870" w:type="pct"/>
            <w:tcBorders>
              <w:top w:val="nil"/>
              <w:left w:val="nil"/>
              <w:bottom w:val="nil"/>
              <w:right w:val="nil"/>
            </w:tcBorders>
          </w:tcPr>
          <w:p w14:paraId="2AC7B6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-0.0336</w:t>
            </w:r>
          </w:p>
        </w:tc>
        <w:tc>
          <w:tcPr>
            <w:tcW w:w="738" w:type="pct"/>
            <w:tcBorders>
              <w:top w:val="nil"/>
              <w:left w:val="nil"/>
              <w:bottom w:val="nil"/>
              <w:right w:val="nil"/>
            </w:tcBorders>
          </w:tcPr>
          <w:p w14:paraId="4AACC03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0.00232</w:t>
            </w:r>
          </w:p>
        </w:tc>
      </w:tr>
      <w:tr w:rsidR="00F00E3D" w:rsidRPr="00335312" w14:paraId="774D89A5" w14:textId="77777777" w:rsidTr="00063AC8">
        <w:trPr>
          <w:jc w:val="center"/>
        </w:trPr>
        <w:tc>
          <w:tcPr>
            <w:tcW w:w="1112" w:type="pct"/>
            <w:tcBorders>
              <w:top w:val="nil"/>
              <w:left w:val="nil"/>
              <w:bottom w:val="nil"/>
              <w:right w:val="nil"/>
            </w:tcBorders>
          </w:tcPr>
          <w:p w14:paraId="265C5B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02B7B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(1.885)</w:t>
            </w:r>
          </w:p>
        </w:tc>
        <w:tc>
          <w:tcPr>
            <w:tcW w:w="1006" w:type="pct"/>
            <w:tcBorders>
              <w:top w:val="nil"/>
              <w:left w:val="nil"/>
              <w:bottom w:val="nil"/>
              <w:right w:val="nil"/>
            </w:tcBorders>
          </w:tcPr>
          <w:p w14:paraId="5F3DF0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(1.610)</w:t>
            </w:r>
          </w:p>
        </w:tc>
        <w:tc>
          <w:tcPr>
            <w:tcW w:w="668" w:type="pct"/>
            <w:tcBorders>
              <w:top w:val="nil"/>
              <w:left w:val="nil"/>
              <w:bottom w:val="nil"/>
              <w:right w:val="nil"/>
            </w:tcBorders>
          </w:tcPr>
          <w:p w14:paraId="663076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(1.610)</w:t>
            </w:r>
          </w:p>
        </w:tc>
        <w:tc>
          <w:tcPr>
            <w:tcW w:w="870" w:type="pct"/>
            <w:tcBorders>
              <w:top w:val="nil"/>
              <w:left w:val="nil"/>
              <w:bottom w:val="nil"/>
              <w:right w:val="nil"/>
            </w:tcBorders>
          </w:tcPr>
          <w:p w14:paraId="6C44A56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(-1.047)</w:t>
            </w:r>
          </w:p>
        </w:tc>
        <w:tc>
          <w:tcPr>
            <w:tcW w:w="738" w:type="pct"/>
            <w:tcBorders>
              <w:top w:val="nil"/>
              <w:left w:val="nil"/>
              <w:bottom w:val="nil"/>
              <w:right w:val="nil"/>
            </w:tcBorders>
          </w:tcPr>
          <w:p w14:paraId="208A5E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(0.0234)</w:t>
            </w:r>
          </w:p>
        </w:tc>
      </w:tr>
      <w:tr w:rsidR="00F00E3D" w:rsidRPr="00335312" w14:paraId="55C1E0DD" w14:textId="77777777" w:rsidTr="00063AC8">
        <w:trPr>
          <w:jc w:val="center"/>
        </w:trPr>
        <w:tc>
          <w:tcPr>
            <w:tcW w:w="1112" w:type="pct"/>
            <w:tcBorders>
              <w:top w:val="nil"/>
              <w:left w:val="nil"/>
              <w:bottom w:val="nil"/>
              <w:right w:val="nil"/>
            </w:tcBorders>
          </w:tcPr>
          <w:p w14:paraId="74A670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2016.year#10.month</w:t>
            </w:r>
          </w:p>
        </w:tc>
        <w:tc>
          <w:tcPr>
            <w:tcW w:w="607" w:type="pct"/>
            <w:tcBorders>
              <w:top w:val="nil"/>
              <w:left w:val="nil"/>
              <w:bottom w:val="nil"/>
              <w:right w:val="nil"/>
            </w:tcBorders>
          </w:tcPr>
          <w:p w14:paraId="3026BA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0.0472**</w:t>
            </w:r>
          </w:p>
        </w:tc>
        <w:tc>
          <w:tcPr>
            <w:tcW w:w="1006" w:type="pct"/>
            <w:tcBorders>
              <w:top w:val="nil"/>
              <w:left w:val="nil"/>
              <w:bottom w:val="nil"/>
              <w:right w:val="nil"/>
            </w:tcBorders>
          </w:tcPr>
          <w:p w14:paraId="58C44D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0.0483*</w:t>
            </w:r>
          </w:p>
        </w:tc>
        <w:tc>
          <w:tcPr>
            <w:tcW w:w="668" w:type="pct"/>
            <w:tcBorders>
              <w:top w:val="nil"/>
              <w:left w:val="nil"/>
              <w:bottom w:val="nil"/>
              <w:right w:val="nil"/>
            </w:tcBorders>
          </w:tcPr>
          <w:p w14:paraId="7DE65A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0.0467*</w:t>
            </w:r>
          </w:p>
        </w:tc>
        <w:tc>
          <w:tcPr>
            <w:tcW w:w="870" w:type="pct"/>
            <w:tcBorders>
              <w:top w:val="nil"/>
              <w:left w:val="nil"/>
              <w:bottom w:val="nil"/>
              <w:right w:val="nil"/>
            </w:tcBorders>
          </w:tcPr>
          <w:p w14:paraId="091FF0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0.0374</w:t>
            </w:r>
          </w:p>
        </w:tc>
        <w:tc>
          <w:tcPr>
            <w:tcW w:w="738" w:type="pct"/>
            <w:tcBorders>
              <w:top w:val="nil"/>
              <w:left w:val="nil"/>
              <w:bottom w:val="nil"/>
              <w:right w:val="nil"/>
            </w:tcBorders>
          </w:tcPr>
          <w:p w14:paraId="29484D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-0.0386</w:t>
            </w:r>
          </w:p>
        </w:tc>
      </w:tr>
      <w:tr w:rsidR="00F00E3D" w:rsidRPr="00335312" w14:paraId="563CD09F" w14:textId="77777777" w:rsidTr="00063AC8">
        <w:trPr>
          <w:jc w:val="center"/>
        </w:trPr>
        <w:tc>
          <w:tcPr>
            <w:tcW w:w="1112" w:type="pct"/>
            <w:tcBorders>
              <w:top w:val="nil"/>
              <w:left w:val="nil"/>
              <w:bottom w:val="nil"/>
              <w:right w:val="nil"/>
            </w:tcBorders>
          </w:tcPr>
          <w:p w14:paraId="09DC6E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874EF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(2.032)</w:t>
            </w:r>
          </w:p>
        </w:tc>
        <w:tc>
          <w:tcPr>
            <w:tcW w:w="1006" w:type="pct"/>
            <w:tcBorders>
              <w:top w:val="nil"/>
              <w:left w:val="nil"/>
              <w:bottom w:val="nil"/>
              <w:right w:val="nil"/>
            </w:tcBorders>
          </w:tcPr>
          <w:p w14:paraId="691626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(1.744)</w:t>
            </w:r>
          </w:p>
        </w:tc>
        <w:tc>
          <w:tcPr>
            <w:tcW w:w="668" w:type="pct"/>
            <w:tcBorders>
              <w:top w:val="nil"/>
              <w:left w:val="nil"/>
              <w:bottom w:val="nil"/>
              <w:right w:val="nil"/>
            </w:tcBorders>
          </w:tcPr>
          <w:p w14:paraId="11BF6F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(1.868)</w:t>
            </w:r>
          </w:p>
        </w:tc>
        <w:tc>
          <w:tcPr>
            <w:tcW w:w="870" w:type="pct"/>
            <w:tcBorders>
              <w:top w:val="nil"/>
              <w:left w:val="nil"/>
              <w:bottom w:val="nil"/>
              <w:right w:val="nil"/>
            </w:tcBorders>
          </w:tcPr>
          <w:p w14:paraId="7822C8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(1.301)</w:t>
            </w:r>
          </w:p>
        </w:tc>
        <w:tc>
          <w:tcPr>
            <w:tcW w:w="738" w:type="pct"/>
            <w:tcBorders>
              <w:top w:val="nil"/>
              <w:left w:val="nil"/>
              <w:bottom w:val="nil"/>
              <w:right w:val="nil"/>
            </w:tcBorders>
          </w:tcPr>
          <w:p w14:paraId="69755B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(-0.314)</w:t>
            </w:r>
          </w:p>
        </w:tc>
      </w:tr>
      <w:tr w:rsidR="00F00E3D" w:rsidRPr="00335312" w14:paraId="6B9E53B6" w14:textId="77777777" w:rsidTr="00063AC8">
        <w:trPr>
          <w:jc w:val="center"/>
        </w:trPr>
        <w:tc>
          <w:tcPr>
            <w:tcW w:w="1112" w:type="pct"/>
            <w:tcBorders>
              <w:top w:val="nil"/>
              <w:left w:val="nil"/>
              <w:bottom w:val="nil"/>
              <w:right w:val="nil"/>
            </w:tcBorders>
          </w:tcPr>
          <w:p w14:paraId="761C45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2016.year#11.month</w:t>
            </w:r>
          </w:p>
        </w:tc>
        <w:tc>
          <w:tcPr>
            <w:tcW w:w="607" w:type="pct"/>
            <w:tcBorders>
              <w:top w:val="nil"/>
              <w:left w:val="nil"/>
              <w:bottom w:val="nil"/>
              <w:right w:val="nil"/>
            </w:tcBorders>
          </w:tcPr>
          <w:p w14:paraId="359C21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-0.0299</w:t>
            </w:r>
          </w:p>
        </w:tc>
        <w:tc>
          <w:tcPr>
            <w:tcW w:w="1006" w:type="pct"/>
            <w:tcBorders>
              <w:top w:val="nil"/>
              <w:left w:val="nil"/>
              <w:bottom w:val="nil"/>
              <w:right w:val="nil"/>
            </w:tcBorders>
          </w:tcPr>
          <w:p w14:paraId="41B6379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-0.0435</w:t>
            </w:r>
          </w:p>
        </w:tc>
        <w:tc>
          <w:tcPr>
            <w:tcW w:w="668" w:type="pct"/>
            <w:tcBorders>
              <w:top w:val="nil"/>
              <w:left w:val="nil"/>
              <w:bottom w:val="nil"/>
              <w:right w:val="nil"/>
            </w:tcBorders>
          </w:tcPr>
          <w:p w14:paraId="067FE4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0.0431*</w:t>
            </w:r>
          </w:p>
        </w:tc>
        <w:tc>
          <w:tcPr>
            <w:tcW w:w="870" w:type="pct"/>
            <w:tcBorders>
              <w:top w:val="nil"/>
              <w:left w:val="nil"/>
              <w:bottom w:val="nil"/>
              <w:right w:val="nil"/>
            </w:tcBorders>
          </w:tcPr>
          <w:p w14:paraId="7368A0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0.00670</w:t>
            </w:r>
          </w:p>
        </w:tc>
        <w:tc>
          <w:tcPr>
            <w:tcW w:w="738" w:type="pct"/>
            <w:tcBorders>
              <w:top w:val="nil"/>
              <w:left w:val="nil"/>
              <w:bottom w:val="nil"/>
              <w:right w:val="nil"/>
            </w:tcBorders>
          </w:tcPr>
          <w:p w14:paraId="0FDB50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-0.0326</w:t>
            </w:r>
          </w:p>
        </w:tc>
      </w:tr>
      <w:tr w:rsidR="00F00E3D" w:rsidRPr="00335312" w14:paraId="773828B8" w14:textId="77777777" w:rsidTr="00063AC8">
        <w:trPr>
          <w:jc w:val="center"/>
        </w:trPr>
        <w:tc>
          <w:tcPr>
            <w:tcW w:w="1112" w:type="pct"/>
            <w:tcBorders>
              <w:top w:val="nil"/>
              <w:left w:val="nil"/>
              <w:bottom w:val="nil"/>
              <w:right w:val="nil"/>
            </w:tcBorders>
          </w:tcPr>
          <w:p w14:paraId="33FE56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F537B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(-0.482)</w:t>
            </w:r>
          </w:p>
        </w:tc>
        <w:tc>
          <w:tcPr>
            <w:tcW w:w="1006" w:type="pct"/>
            <w:tcBorders>
              <w:top w:val="nil"/>
              <w:left w:val="nil"/>
              <w:bottom w:val="nil"/>
              <w:right w:val="nil"/>
            </w:tcBorders>
          </w:tcPr>
          <w:p w14:paraId="00B72A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(-0.624)</w:t>
            </w:r>
          </w:p>
        </w:tc>
        <w:tc>
          <w:tcPr>
            <w:tcW w:w="668" w:type="pct"/>
            <w:tcBorders>
              <w:top w:val="nil"/>
              <w:left w:val="nil"/>
              <w:bottom w:val="nil"/>
              <w:right w:val="nil"/>
            </w:tcBorders>
          </w:tcPr>
          <w:p w14:paraId="0DF5F4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(1.673)</w:t>
            </w:r>
          </w:p>
        </w:tc>
        <w:tc>
          <w:tcPr>
            <w:tcW w:w="870" w:type="pct"/>
            <w:tcBorders>
              <w:top w:val="nil"/>
              <w:left w:val="nil"/>
              <w:bottom w:val="nil"/>
              <w:right w:val="nil"/>
            </w:tcBorders>
          </w:tcPr>
          <w:p w14:paraId="2FC2F2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(0.235)</w:t>
            </w:r>
          </w:p>
        </w:tc>
        <w:tc>
          <w:tcPr>
            <w:tcW w:w="738" w:type="pct"/>
            <w:tcBorders>
              <w:top w:val="nil"/>
              <w:left w:val="nil"/>
              <w:bottom w:val="nil"/>
              <w:right w:val="nil"/>
            </w:tcBorders>
          </w:tcPr>
          <w:p w14:paraId="64F071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(-0.625)</w:t>
            </w:r>
          </w:p>
        </w:tc>
      </w:tr>
      <w:tr w:rsidR="00F00E3D" w:rsidRPr="00335312" w14:paraId="365A3BF6" w14:textId="77777777" w:rsidTr="00063AC8">
        <w:trPr>
          <w:jc w:val="center"/>
        </w:trPr>
        <w:tc>
          <w:tcPr>
            <w:tcW w:w="1112" w:type="pct"/>
            <w:tcBorders>
              <w:top w:val="nil"/>
              <w:left w:val="nil"/>
              <w:bottom w:val="nil"/>
              <w:right w:val="nil"/>
            </w:tcBorders>
          </w:tcPr>
          <w:p w14:paraId="407F1F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2016.year#12.month</w:t>
            </w:r>
          </w:p>
        </w:tc>
        <w:tc>
          <w:tcPr>
            <w:tcW w:w="607" w:type="pct"/>
            <w:tcBorders>
              <w:top w:val="nil"/>
              <w:left w:val="nil"/>
              <w:bottom w:val="nil"/>
              <w:right w:val="nil"/>
            </w:tcBorders>
          </w:tcPr>
          <w:p w14:paraId="67F285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0.0398*</w:t>
            </w:r>
          </w:p>
        </w:tc>
        <w:tc>
          <w:tcPr>
            <w:tcW w:w="1006" w:type="pct"/>
            <w:tcBorders>
              <w:top w:val="nil"/>
              <w:left w:val="nil"/>
              <w:bottom w:val="nil"/>
              <w:right w:val="nil"/>
            </w:tcBorders>
          </w:tcPr>
          <w:p w14:paraId="5DE674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0.0393</w:t>
            </w:r>
          </w:p>
        </w:tc>
        <w:tc>
          <w:tcPr>
            <w:tcW w:w="668" w:type="pct"/>
            <w:tcBorders>
              <w:top w:val="nil"/>
              <w:left w:val="nil"/>
              <w:bottom w:val="nil"/>
              <w:right w:val="nil"/>
            </w:tcBorders>
          </w:tcPr>
          <w:p w14:paraId="6D02B3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0.0450</w:t>
            </w:r>
          </w:p>
        </w:tc>
        <w:tc>
          <w:tcPr>
            <w:tcW w:w="870" w:type="pct"/>
            <w:tcBorders>
              <w:top w:val="nil"/>
              <w:left w:val="nil"/>
              <w:bottom w:val="nil"/>
              <w:right w:val="nil"/>
            </w:tcBorders>
          </w:tcPr>
          <w:p w14:paraId="1BA8D8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0.0662*</w:t>
            </w:r>
          </w:p>
        </w:tc>
        <w:tc>
          <w:tcPr>
            <w:tcW w:w="738" w:type="pct"/>
            <w:tcBorders>
              <w:top w:val="nil"/>
              <w:left w:val="nil"/>
              <w:bottom w:val="nil"/>
              <w:right w:val="nil"/>
            </w:tcBorders>
          </w:tcPr>
          <w:p w14:paraId="3778F4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0.0888</w:t>
            </w:r>
          </w:p>
        </w:tc>
      </w:tr>
      <w:tr w:rsidR="00F00E3D" w:rsidRPr="00335312" w14:paraId="047656D3" w14:textId="77777777" w:rsidTr="00063AC8">
        <w:trPr>
          <w:jc w:val="center"/>
        </w:trPr>
        <w:tc>
          <w:tcPr>
            <w:tcW w:w="1112" w:type="pct"/>
            <w:tcBorders>
              <w:top w:val="nil"/>
              <w:left w:val="nil"/>
              <w:bottom w:val="nil"/>
              <w:right w:val="nil"/>
            </w:tcBorders>
          </w:tcPr>
          <w:p w14:paraId="3EBB27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CF4CE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(1.727)</w:t>
            </w:r>
          </w:p>
        </w:tc>
        <w:tc>
          <w:tcPr>
            <w:tcW w:w="1006" w:type="pct"/>
            <w:tcBorders>
              <w:top w:val="nil"/>
              <w:left w:val="nil"/>
              <w:bottom w:val="nil"/>
              <w:right w:val="nil"/>
            </w:tcBorders>
          </w:tcPr>
          <w:p w14:paraId="4692C7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(1.450)</w:t>
            </w:r>
          </w:p>
        </w:tc>
        <w:tc>
          <w:tcPr>
            <w:tcW w:w="668" w:type="pct"/>
            <w:tcBorders>
              <w:top w:val="nil"/>
              <w:left w:val="nil"/>
              <w:bottom w:val="nil"/>
              <w:right w:val="nil"/>
            </w:tcBorders>
          </w:tcPr>
          <w:p w14:paraId="07EC47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(1.594)</w:t>
            </w:r>
          </w:p>
        </w:tc>
        <w:tc>
          <w:tcPr>
            <w:tcW w:w="870" w:type="pct"/>
            <w:tcBorders>
              <w:top w:val="nil"/>
              <w:left w:val="nil"/>
              <w:bottom w:val="nil"/>
              <w:right w:val="nil"/>
            </w:tcBorders>
          </w:tcPr>
          <w:p w14:paraId="0E7055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(1.800)</w:t>
            </w:r>
          </w:p>
        </w:tc>
        <w:tc>
          <w:tcPr>
            <w:tcW w:w="738" w:type="pct"/>
            <w:tcBorders>
              <w:top w:val="nil"/>
              <w:left w:val="nil"/>
              <w:bottom w:val="nil"/>
              <w:right w:val="nil"/>
            </w:tcBorders>
          </w:tcPr>
          <w:p w14:paraId="067D00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(0.720)</w:t>
            </w:r>
          </w:p>
        </w:tc>
      </w:tr>
      <w:tr w:rsidR="00F00E3D" w:rsidRPr="00335312" w14:paraId="027718DC" w14:textId="77777777" w:rsidTr="00063AC8">
        <w:trPr>
          <w:jc w:val="center"/>
        </w:trPr>
        <w:tc>
          <w:tcPr>
            <w:tcW w:w="1112" w:type="pct"/>
            <w:tcBorders>
              <w:top w:val="nil"/>
              <w:left w:val="nil"/>
              <w:bottom w:val="nil"/>
              <w:right w:val="nil"/>
            </w:tcBorders>
          </w:tcPr>
          <w:p w14:paraId="4AED87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2017.year#1.month</w:t>
            </w:r>
          </w:p>
        </w:tc>
        <w:tc>
          <w:tcPr>
            <w:tcW w:w="607" w:type="pct"/>
            <w:tcBorders>
              <w:top w:val="nil"/>
              <w:left w:val="nil"/>
              <w:bottom w:val="nil"/>
              <w:right w:val="nil"/>
            </w:tcBorders>
          </w:tcPr>
          <w:p w14:paraId="1563435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0.0286</w:t>
            </w:r>
          </w:p>
        </w:tc>
        <w:tc>
          <w:tcPr>
            <w:tcW w:w="1006" w:type="pct"/>
            <w:tcBorders>
              <w:top w:val="nil"/>
              <w:left w:val="nil"/>
              <w:bottom w:val="nil"/>
              <w:right w:val="nil"/>
            </w:tcBorders>
          </w:tcPr>
          <w:p w14:paraId="1C1A07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0.0381</w:t>
            </w:r>
          </w:p>
        </w:tc>
        <w:tc>
          <w:tcPr>
            <w:tcW w:w="668" w:type="pct"/>
            <w:tcBorders>
              <w:top w:val="nil"/>
              <w:left w:val="nil"/>
              <w:bottom w:val="nil"/>
              <w:right w:val="nil"/>
            </w:tcBorders>
          </w:tcPr>
          <w:p w14:paraId="2D8BEB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0.00282</w:t>
            </w:r>
          </w:p>
        </w:tc>
        <w:tc>
          <w:tcPr>
            <w:tcW w:w="870" w:type="pct"/>
            <w:tcBorders>
              <w:top w:val="nil"/>
              <w:left w:val="nil"/>
              <w:bottom w:val="nil"/>
              <w:right w:val="nil"/>
            </w:tcBorders>
          </w:tcPr>
          <w:p w14:paraId="6BDE74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0.0431</w:t>
            </w:r>
          </w:p>
        </w:tc>
        <w:tc>
          <w:tcPr>
            <w:tcW w:w="738" w:type="pct"/>
            <w:tcBorders>
              <w:top w:val="nil"/>
              <w:left w:val="nil"/>
              <w:bottom w:val="nil"/>
              <w:right w:val="nil"/>
            </w:tcBorders>
          </w:tcPr>
          <w:p w14:paraId="503AFF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0.0357</w:t>
            </w:r>
          </w:p>
        </w:tc>
      </w:tr>
      <w:tr w:rsidR="00F00E3D" w:rsidRPr="00335312" w14:paraId="4B2B8248" w14:textId="77777777" w:rsidTr="00063AC8">
        <w:trPr>
          <w:jc w:val="center"/>
        </w:trPr>
        <w:tc>
          <w:tcPr>
            <w:tcW w:w="1112" w:type="pct"/>
            <w:tcBorders>
              <w:top w:val="nil"/>
              <w:left w:val="nil"/>
              <w:bottom w:val="nil"/>
              <w:right w:val="nil"/>
            </w:tcBorders>
          </w:tcPr>
          <w:p w14:paraId="2E0153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3E50D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(1.400)</w:t>
            </w:r>
          </w:p>
        </w:tc>
        <w:tc>
          <w:tcPr>
            <w:tcW w:w="1006" w:type="pct"/>
            <w:tcBorders>
              <w:top w:val="nil"/>
              <w:left w:val="nil"/>
              <w:bottom w:val="nil"/>
              <w:right w:val="nil"/>
            </w:tcBorders>
          </w:tcPr>
          <w:p w14:paraId="05450E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(1.546)</w:t>
            </w:r>
          </w:p>
        </w:tc>
        <w:tc>
          <w:tcPr>
            <w:tcW w:w="668" w:type="pct"/>
            <w:tcBorders>
              <w:top w:val="nil"/>
              <w:left w:val="nil"/>
              <w:bottom w:val="nil"/>
              <w:right w:val="nil"/>
            </w:tcBorders>
          </w:tcPr>
          <w:p w14:paraId="4548F9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(0.0964)</w:t>
            </w:r>
          </w:p>
        </w:tc>
        <w:tc>
          <w:tcPr>
            <w:tcW w:w="870" w:type="pct"/>
            <w:tcBorders>
              <w:top w:val="nil"/>
              <w:left w:val="nil"/>
              <w:bottom w:val="nil"/>
              <w:right w:val="nil"/>
            </w:tcBorders>
          </w:tcPr>
          <w:p w14:paraId="1B909B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(0.723)</w:t>
            </w:r>
          </w:p>
        </w:tc>
        <w:tc>
          <w:tcPr>
            <w:tcW w:w="738" w:type="pct"/>
            <w:tcBorders>
              <w:top w:val="nil"/>
              <w:left w:val="nil"/>
              <w:bottom w:val="nil"/>
              <w:right w:val="nil"/>
            </w:tcBorders>
          </w:tcPr>
          <w:p w14:paraId="1599DF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(0.331)</w:t>
            </w:r>
          </w:p>
        </w:tc>
      </w:tr>
      <w:tr w:rsidR="00F00E3D" w:rsidRPr="00335312" w14:paraId="76098A92" w14:textId="77777777" w:rsidTr="00063AC8">
        <w:trPr>
          <w:jc w:val="center"/>
        </w:trPr>
        <w:tc>
          <w:tcPr>
            <w:tcW w:w="1112" w:type="pct"/>
            <w:tcBorders>
              <w:top w:val="nil"/>
              <w:left w:val="nil"/>
              <w:bottom w:val="nil"/>
              <w:right w:val="nil"/>
            </w:tcBorders>
          </w:tcPr>
          <w:p w14:paraId="5F31D0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2017.year#2.month</w:t>
            </w:r>
          </w:p>
        </w:tc>
        <w:tc>
          <w:tcPr>
            <w:tcW w:w="607" w:type="pct"/>
            <w:tcBorders>
              <w:top w:val="nil"/>
              <w:left w:val="nil"/>
              <w:bottom w:val="nil"/>
              <w:right w:val="nil"/>
            </w:tcBorders>
          </w:tcPr>
          <w:p w14:paraId="151BC8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0.0582**</w:t>
            </w:r>
          </w:p>
        </w:tc>
        <w:tc>
          <w:tcPr>
            <w:tcW w:w="1006" w:type="pct"/>
            <w:tcBorders>
              <w:top w:val="nil"/>
              <w:left w:val="nil"/>
              <w:bottom w:val="nil"/>
              <w:right w:val="nil"/>
            </w:tcBorders>
          </w:tcPr>
          <w:p w14:paraId="65E612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0.0583**</w:t>
            </w:r>
          </w:p>
        </w:tc>
        <w:tc>
          <w:tcPr>
            <w:tcW w:w="668" w:type="pct"/>
            <w:tcBorders>
              <w:top w:val="nil"/>
              <w:left w:val="nil"/>
              <w:bottom w:val="nil"/>
              <w:right w:val="nil"/>
            </w:tcBorders>
          </w:tcPr>
          <w:p w14:paraId="4666B5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0.0618*</w:t>
            </w:r>
          </w:p>
        </w:tc>
        <w:tc>
          <w:tcPr>
            <w:tcW w:w="870" w:type="pct"/>
            <w:tcBorders>
              <w:top w:val="nil"/>
              <w:left w:val="nil"/>
              <w:bottom w:val="nil"/>
              <w:right w:val="nil"/>
            </w:tcBorders>
          </w:tcPr>
          <w:p w14:paraId="6D458D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0.0483</w:t>
            </w:r>
          </w:p>
        </w:tc>
        <w:tc>
          <w:tcPr>
            <w:tcW w:w="738" w:type="pct"/>
            <w:tcBorders>
              <w:top w:val="nil"/>
              <w:left w:val="nil"/>
              <w:bottom w:val="nil"/>
              <w:right w:val="nil"/>
            </w:tcBorders>
          </w:tcPr>
          <w:p w14:paraId="205EF5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0.0597</w:t>
            </w:r>
          </w:p>
        </w:tc>
      </w:tr>
      <w:tr w:rsidR="00F00E3D" w:rsidRPr="00335312" w14:paraId="4CF78F06" w14:textId="77777777" w:rsidTr="00063AC8">
        <w:trPr>
          <w:jc w:val="center"/>
        </w:trPr>
        <w:tc>
          <w:tcPr>
            <w:tcW w:w="1112" w:type="pct"/>
            <w:tcBorders>
              <w:top w:val="nil"/>
              <w:left w:val="nil"/>
              <w:bottom w:val="nil"/>
              <w:right w:val="nil"/>
            </w:tcBorders>
          </w:tcPr>
          <w:p w14:paraId="67160A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3AF46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(2.563)</w:t>
            </w:r>
          </w:p>
        </w:tc>
        <w:tc>
          <w:tcPr>
            <w:tcW w:w="1006" w:type="pct"/>
            <w:tcBorders>
              <w:top w:val="nil"/>
              <w:left w:val="nil"/>
              <w:bottom w:val="nil"/>
              <w:right w:val="nil"/>
            </w:tcBorders>
          </w:tcPr>
          <w:p w14:paraId="061E39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(2.160)</w:t>
            </w:r>
          </w:p>
        </w:tc>
        <w:tc>
          <w:tcPr>
            <w:tcW w:w="668" w:type="pct"/>
            <w:tcBorders>
              <w:top w:val="nil"/>
              <w:left w:val="nil"/>
              <w:bottom w:val="nil"/>
              <w:right w:val="nil"/>
            </w:tcBorders>
          </w:tcPr>
          <w:p w14:paraId="507ED47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(1.926)</w:t>
            </w:r>
          </w:p>
        </w:tc>
        <w:tc>
          <w:tcPr>
            <w:tcW w:w="870" w:type="pct"/>
            <w:tcBorders>
              <w:top w:val="nil"/>
              <w:left w:val="nil"/>
              <w:bottom w:val="nil"/>
              <w:right w:val="nil"/>
            </w:tcBorders>
          </w:tcPr>
          <w:p w14:paraId="2CAA2D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(1.169)</w:t>
            </w:r>
          </w:p>
        </w:tc>
        <w:tc>
          <w:tcPr>
            <w:tcW w:w="738" w:type="pct"/>
            <w:tcBorders>
              <w:top w:val="nil"/>
              <w:left w:val="nil"/>
              <w:bottom w:val="nil"/>
              <w:right w:val="nil"/>
            </w:tcBorders>
          </w:tcPr>
          <w:p w14:paraId="17A917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(1.295)</w:t>
            </w:r>
          </w:p>
        </w:tc>
      </w:tr>
      <w:tr w:rsidR="00F00E3D" w:rsidRPr="00335312" w14:paraId="0D15FAB7" w14:textId="77777777" w:rsidTr="00063AC8">
        <w:trPr>
          <w:jc w:val="center"/>
        </w:trPr>
        <w:tc>
          <w:tcPr>
            <w:tcW w:w="1112" w:type="pct"/>
            <w:tcBorders>
              <w:top w:val="nil"/>
              <w:left w:val="nil"/>
              <w:bottom w:val="nil"/>
              <w:right w:val="nil"/>
            </w:tcBorders>
          </w:tcPr>
          <w:p w14:paraId="5036A6E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2017.year#3.month</w:t>
            </w:r>
          </w:p>
        </w:tc>
        <w:tc>
          <w:tcPr>
            <w:tcW w:w="607" w:type="pct"/>
            <w:tcBorders>
              <w:top w:val="nil"/>
              <w:left w:val="nil"/>
              <w:bottom w:val="nil"/>
              <w:right w:val="nil"/>
            </w:tcBorders>
          </w:tcPr>
          <w:p w14:paraId="5BACED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0.0632**</w:t>
            </w:r>
          </w:p>
        </w:tc>
        <w:tc>
          <w:tcPr>
            <w:tcW w:w="1006" w:type="pct"/>
            <w:tcBorders>
              <w:top w:val="nil"/>
              <w:left w:val="nil"/>
              <w:bottom w:val="nil"/>
              <w:right w:val="nil"/>
            </w:tcBorders>
          </w:tcPr>
          <w:p w14:paraId="141DCA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0.0725**</w:t>
            </w:r>
          </w:p>
        </w:tc>
        <w:tc>
          <w:tcPr>
            <w:tcW w:w="668" w:type="pct"/>
            <w:tcBorders>
              <w:top w:val="nil"/>
              <w:left w:val="nil"/>
              <w:bottom w:val="nil"/>
              <w:right w:val="nil"/>
            </w:tcBorders>
          </w:tcPr>
          <w:p w14:paraId="55EEE1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0.0375</w:t>
            </w:r>
          </w:p>
        </w:tc>
        <w:tc>
          <w:tcPr>
            <w:tcW w:w="870" w:type="pct"/>
            <w:tcBorders>
              <w:top w:val="nil"/>
              <w:left w:val="nil"/>
              <w:bottom w:val="nil"/>
              <w:right w:val="nil"/>
            </w:tcBorders>
          </w:tcPr>
          <w:p w14:paraId="485B2F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0.0491</w:t>
            </w:r>
          </w:p>
        </w:tc>
        <w:tc>
          <w:tcPr>
            <w:tcW w:w="738" w:type="pct"/>
            <w:tcBorders>
              <w:top w:val="nil"/>
              <w:left w:val="nil"/>
              <w:bottom w:val="nil"/>
              <w:right w:val="nil"/>
            </w:tcBorders>
          </w:tcPr>
          <w:p w14:paraId="6D2705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0.0907</w:t>
            </w:r>
          </w:p>
        </w:tc>
      </w:tr>
      <w:tr w:rsidR="00F00E3D" w:rsidRPr="00335312" w14:paraId="7A521ABF" w14:textId="77777777" w:rsidTr="00063AC8">
        <w:trPr>
          <w:jc w:val="center"/>
        </w:trPr>
        <w:tc>
          <w:tcPr>
            <w:tcW w:w="1112" w:type="pct"/>
            <w:tcBorders>
              <w:top w:val="nil"/>
              <w:left w:val="nil"/>
              <w:bottom w:val="nil"/>
              <w:right w:val="nil"/>
            </w:tcBorders>
          </w:tcPr>
          <w:p w14:paraId="1F3FFA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47407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(2.525)</w:t>
            </w:r>
          </w:p>
        </w:tc>
        <w:tc>
          <w:tcPr>
            <w:tcW w:w="1006" w:type="pct"/>
            <w:tcBorders>
              <w:top w:val="nil"/>
              <w:left w:val="nil"/>
              <w:bottom w:val="nil"/>
              <w:right w:val="nil"/>
            </w:tcBorders>
          </w:tcPr>
          <w:p w14:paraId="2244BA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(2.378)</w:t>
            </w:r>
          </w:p>
        </w:tc>
        <w:tc>
          <w:tcPr>
            <w:tcW w:w="668" w:type="pct"/>
            <w:tcBorders>
              <w:top w:val="nil"/>
              <w:left w:val="nil"/>
              <w:bottom w:val="nil"/>
              <w:right w:val="nil"/>
            </w:tcBorders>
          </w:tcPr>
          <w:p w14:paraId="41C674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(1.288)</w:t>
            </w:r>
          </w:p>
        </w:tc>
        <w:tc>
          <w:tcPr>
            <w:tcW w:w="870" w:type="pct"/>
            <w:tcBorders>
              <w:top w:val="nil"/>
              <w:left w:val="nil"/>
              <w:bottom w:val="nil"/>
              <w:right w:val="nil"/>
            </w:tcBorders>
          </w:tcPr>
          <w:p w14:paraId="756383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(0.995)</w:t>
            </w:r>
          </w:p>
        </w:tc>
        <w:tc>
          <w:tcPr>
            <w:tcW w:w="738" w:type="pct"/>
            <w:tcBorders>
              <w:top w:val="nil"/>
              <w:left w:val="nil"/>
              <w:bottom w:val="nil"/>
              <w:right w:val="nil"/>
            </w:tcBorders>
          </w:tcPr>
          <w:p w14:paraId="05C890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(1.668)</w:t>
            </w:r>
          </w:p>
        </w:tc>
      </w:tr>
      <w:tr w:rsidR="00F00E3D" w:rsidRPr="00335312" w14:paraId="4D6636F6" w14:textId="77777777" w:rsidTr="00063AC8">
        <w:trPr>
          <w:jc w:val="center"/>
        </w:trPr>
        <w:tc>
          <w:tcPr>
            <w:tcW w:w="1112" w:type="pct"/>
            <w:tcBorders>
              <w:top w:val="nil"/>
              <w:left w:val="nil"/>
              <w:bottom w:val="nil"/>
              <w:right w:val="nil"/>
            </w:tcBorders>
          </w:tcPr>
          <w:p w14:paraId="3AD9002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2017.year#4.month</w:t>
            </w:r>
          </w:p>
        </w:tc>
        <w:tc>
          <w:tcPr>
            <w:tcW w:w="607" w:type="pct"/>
            <w:tcBorders>
              <w:top w:val="nil"/>
              <w:left w:val="nil"/>
              <w:bottom w:val="nil"/>
              <w:right w:val="nil"/>
            </w:tcBorders>
          </w:tcPr>
          <w:p w14:paraId="31E6DD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0.0773***</w:t>
            </w:r>
          </w:p>
        </w:tc>
        <w:tc>
          <w:tcPr>
            <w:tcW w:w="1006" w:type="pct"/>
            <w:tcBorders>
              <w:top w:val="nil"/>
              <w:left w:val="nil"/>
              <w:bottom w:val="nil"/>
              <w:right w:val="nil"/>
            </w:tcBorders>
          </w:tcPr>
          <w:p w14:paraId="00D836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0.0752***</w:t>
            </w:r>
          </w:p>
        </w:tc>
        <w:tc>
          <w:tcPr>
            <w:tcW w:w="668" w:type="pct"/>
            <w:tcBorders>
              <w:top w:val="nil"/>
              <w:left w:val="nil"/>
              <w:bottom w:val="nil"/>
              <w:right w:val="nil"/>
            </w:tcBorders>
          </w:tcPr>
          <w:p w14:paraId="01B560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0.0948***</w:t>
            </w:r>
          </w:p>
        </w:tc>
        <w:tc>
          <w:tcPr>
            <w:tcW w:w="870" w:type="pct"/>
            <w:tcBorders>
              <w:top w:val="nil"/>
              <w:left w:val="nil"/>
              <w:bottom w:val="nil"/>
              <w:right w:val="nil"/>
            </w:tcBorders>
          </w:tcPr>
          <w:p w14:paraId="263407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0.213**</w:t>
            </w:r>
          </w:p>
        </w:tc>
        <w:tc>
          <w:tcPr>
            <w:tcW w:w="738" w:type="pct"/>
            <w:tcBorders>
              <w:top w:val="nil"/>
              <w:left w:val="nil"/>
              <w:bottom w:val="nil"/>
              <w:right w:val="nil"/>
            </w:tcBorders>
          </w:tcPr>
          <w:p w14:paraId="350CF6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-0.0427</w:t>
            </w:r>
          </w:p>
        </w:tc>
      </w:tr>
      <w:tr w:rsidR="00F00E3D" w:rsidRPr="00335312" w14:paraId="072B88B8" w14:textId="77777777" w:rsidTr="00063AC8">
        <w:trPr>
          <w:jc w:val="center"/>
        </w:trPr>
        <w:tc>
          <w:tcPr>
            <w:tcW w:w="1112" w:type="pct"/>
            <w:tcBorders>
              <w:top w:val="nil"/>
              <w:left w:val="nil"/>
              <w:bottom w:val="nil"/>
              <w:right w:val="nil"/>
            </w:tcBorders>
          </w:tcPr>
          <w:p w14:paraId="65575A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34889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(3.434)</w:t>
            </w:r>
          </w:p>
        </w:tc>
        <w:tc>
          <w:tcPr>
            <w:tcW w:w="1006" w:type="pct"/>
            <w:tcBorders>
              <w:top w:val="nil"/>
              <w:left w:val="nil"/>
              <w:bottom w:val="nil"/>
              <w:right w:val="nil"/>
            </w:tcBorders>
          </w:tcPr>
          <w:p w14:paraId="70E2C9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(2.852)</w:t>
            </w:r>
          </w:p>
        </w:tc>
        <w:tc>
          <w:tcPr>
            <w:tcW w:w="668" w:type="pct"/>
            <w:tcBorders>
              <w:top w:val="nil"/>
              <w:left w:val="nil"/>
              <w:bottom w:val="nil"/>
              <w:right w:val="nil"/>
            </w:tcBorders>
          </w:tcPr>
          <w:p w14:paraId="474D10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(2.806)</w:t>
            </w:r>
          </w:p>
        </w:tc>
        <w:tc>
          <w:tcPr>
            <w:tcW w:w="870" w:type="pct"/>
            <w:tcBorders>
              <w:top w:val="nil"/>
              <w:left w:val="nil"/>
              <w:bottom w:val="nil"/>
              <w:right w:val="nil"/>
            </w:tcBorders>
          </w:tcPr>
          <w:p w14:paraId="727365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(2.516)</w:t>
            </w:r>
          </w:p>
        </w:tc>
        <w:tc>
          <w:tcPr>
            <w:tcW w:w="738" w:type="pct"/>
            <w:tcBorders>
              <w:top w:val="nil"/>
              <w:left w:val="nil"/>
              <w:bottom w:val="nil"/>
              <w:right w:val="nil"/>
            </w:tcBorders>
          </w:tcPr>
          <w:p w14:paraId="501315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(-0.396)</w:t>
            </w:r>
          </w:p>
        </w:tc>
      </w:tr>
      <w:tr w:rsidR="00F00E3D" w:rsidRPr="00335312" w14:paraId="637DF6BF" w14:textId="77777777" w:rsidTr="00063AC8">
        <w:trPr>
          <w:jc w:val="center"/>
        </w:trPr>
        <w:tc>
          <w:tcPr>
            <w:tcW w:w="1112" w:type="pct"/>
            <w:tcBorders>
              <w:top w:val="nil"/>
              <w:left w:val="nil"/>
              <w:bottom w:val="nil"/>
              <w:right w:val="nil"/>
            </w:tcBorders>
          </w:tcPr>
          <w:p w14:paraId="2C28B2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2017.year#5.month</w:t>
            </w:r>
          </w:p>
        </w:tc>
        <w:tc>
          <w:tcPr>
            <w:tcW w:w="607" w:type="pct"/>
            <w:tcBorders>
              <w:top w:val="nil"/>
              <w:left w:val="nil"/>
              <w:bottom w:val="nil"/>
              <w:right w:val="nil"/>
            </w:tcBorders>
          </w:tcPr>
          <w:p w14:paraId="30526A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0.114***</w:t>
            </w:r>
          </w:p>
        </w:tc>
        <w:tc>
          <w:tcPr>
            <w:tcW w:w="1006" w:type="pct"/>
            <w:tcBorders>
              <w:top w:val="nil"/>
              <w:left w:val="nil"/>
              <w:bottom w:val="nil"/>
              <w:right w:val="nil"/>
            </w:tcBorders>
          </w:tcPr>
          <w:p w14:paraId="64C6B53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0.124***</w:t>
            </w:r>
          </w:p>
        </w:tc>
        <w:tc>
          <w:tcPr>
            <w:tcW w:w="668" w:type="pct"/>
            <w:tcBorders>
              <w:top w:val="nil"/>
              <w:left w:val="nil"/>
              <w:bottom w:val="nil"/>
              <w:right w:val="nil"/>
            </w:tcBorders>
          </w:tcPr>
          <w:p w14:paraId="3623EE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0.0811**</w:t>
            </w:r>
          </w:p>
        </w:tc>
        <w:tc>
          <w:tcPr>
            <w:tcW w:w="870" w:type="pct"/>
            <w:tcBorders>
              <w:top w:val="nil"/>
              <w:left w:val="nil"/>
              <w:bottom w:val="nil"/>
              <w:right w:val="nil"/>
            </w:tcBorders>
          </w:tcPr>
          <w:p w14:paraId="1B7BE2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0.0903**</w:t>
            </w:r>
          </w:p>
        </w:tc>
        <w:tc>
          <w:tcPr>
            <w:tcW w:w="738" w:type="pct"/>
            <w:tcBorders>
              <w:top w:val="nil"/>
              <w:left w:val="nil"/>
              <w:bottom w:val="nil"/>
              <w:right w:val="nil"/>
            </w:tcBorders>
          </w:tcPr>
          <w:p w14:paraId="7ABDEE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-0.103</w:t>
            </w:r>
          </w:p>
        </w:tc>
      </w:tr>
      <w:tr w:rsidR="00F00E3D" w:rsidRPr="00335312" w14:paraId="3B9F0C75" w14:textId="77777777" w:rsidTr="00063AC8">
        <w:trPr>
          <w:jc w:val="center"/>
        </w:trPr>
        <w:tc>
          <w:tcPr>
            <w:tcW w:w="1112" w:type="pct"/>
            <w:tcBorders>
              <w:top w:val="nil"/>
              <w:left w:val="nil"/>
              <w:bottom w:val="nil"/>
              <w:right w:val="nil"/>
            </w:tcBorders>
          </w:tcPr>
          <w:p w14:paraId="726FEE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B2CF4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(4.834)</w:t>
            </w:r>
          </w:p>
        </w:tc>
        <w:tc>
          <w:tcPr>
            <w:tcW w:w="1006" w:type="pct"/>
            <w:tcBorders>
              <w:top w:val="nil"/>
              <w:left w:val="nil"/>
              <w:bottom w:val="nil"/>
              <w:right w:val="nil"/>
            </w:tcBorders>
          </w:tcPr>
          <w:p w14:paraId="16BB11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(4.295)</w:t>
            </w:r>
          </w:p>
        </w:tc>
        <w:tc>
          <w:tcPr>
            <w:tcW w:w="668" w:type="pct"/>
            <w:tcBorders>
              <w:top w:val="nil"/>
              <w:left w:val="nil"/>
              <w:bottom w:val="nil"/>
              <w:right w:val="nil"/>
            </w:tcBorders>
          </w:tcPr>
          <w:p w14:paraId="21887F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(2.546)</w:t>
            </w:r>
          </w:p>
        </w:tc>
        <w:tc>
          <w:tcPr>
            <w:tcW w:w="870" w:type="pct"/>
            <w:tcBorders>
              <w:top w:val="nil"/>
              <w:left w:val="nil"/>
              <w:bottom w:val="nil"/>
              <w:right w:val="nil"/>
            </w:tcBorders>
          </w:tcPr>
          <w:p w14:paraId="0C9207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(2.278)</w:t>
            </w:r>
          </w:p>
        </w:tc>
        <w:tc>
          <w:tcPr>
            <w:tcW w:w="738" w:type="pct"/>
            <w:tcBorders>
              <w:top w:val="nil"/>
              <w:left w:val="nil"/>
              <w:bottom w:val="nil"/>
              <w:right w:val="nil"/>
            </w:tcBorders>
          </w:tcPr>
          <w:p w14:paraId="593404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(-0.696)</w:t>
            </w:r>
          </w:p>
        </w:tc>
      </w:tr>
      <w:tr w:rsidR="00F00E3D" w:rsidRPr="00335312" w14:paraId="2CB54AEA" w14:textId="77777777" w:rsidTr="00063AC8">
        <w:trPr>
          <w:jc w:val="center"/>
        </w:trPr>
        <w:tc>
          <w:tcPr>
            <w:tcW w:w="1112" w:type="pct"/>
            <w:tcBorders>
              <w:top w:val="nil"/>
              <w:left w:val="nil"/>
              <w:bottom w:val="nil"/>
              <w:right w:val="nil"/>
            </w:tcBorders>
          </w:tcPr>
          <w:p w14:paraId="5FADB4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2017.year#6.month</w:t>
            </w:r>
          </w:p>
        </w:tc>
        <w:tc>
          <w:tcPr>
            <w:tcW w:w="607" w:type="pct"/>
            <w:tcBorders>
              <w:top w:val="nil"/>
              <w:left w:val="nil"/>
              <w:bottom w:val="nil"/>
              <w:right w:val="nil"/>
            </w:tcBorders>
          </w:tcPr>
          <w:p w14:paraId="25F9385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0.137***</w:t>
            </w:r>
          </w:p>
        </w:tc>
        <w:tc>
          <w:tcPr>
            <w:tcW w:w="1006" w:type="pct"/>
            <w:tcBorders>
              <w:top w:val="nil"/>
              <w:left w:val="nil"/>
              <w:bottom w:val="nil"/>
              <w:right w:val="nil"/>
            </w:tcBorders>
          </w:tcPr>
          <w:p w14:paraId="64F29C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0.142***</w:t>
            </w:r>
          </w:p>
        </w:tc>
        <w:tc>
          <w:tcPr>
            <w:tcW w:w="668" w:type="pct"/>
            <w:tcBorders>
              <w:top w:val="nil"/>
              <w:left w:val="nil"/>
              <w:bottom w:val="nil"/>
              <w:right w:val="nil"/>
            </w:tcBorders>
          </w:tcPr>
          <w:p w14:paraId="4A5A492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0.120***</w:t>
            </w:r>
          </w:p>
        </w:tc>
        <w:tc>
          <w:tcPr>
            <w:tcW w:w="870" w:type="pct"/>
            <w:tcBorders>
              <w:top w:val="nil"/>
              <w:left w:val="nil"/>
              <w:bottom w:val="nil"/>
              <w:right w:val="nil"/>
            </w:tcBorders>
          </w:tcPr>
          <w:p w14:paraId="04B595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0.172**</w:t>
            </w:r>
          </w:p>
        </w:tc>
        <w:tc>
          <w:tcPr>
            <w:tcW w:w="738" w:type="pct"/>
            <w:tcBorders>
              <w:top w:val="nil"/>
              <w:left w:val="nil"/>
              <w:bottom w:val="nil"/>
              <w:right w:val="nil"/>
            </w:tcBorders>
          </w:tcPr>
          <w:p w14:paraId="454615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-0.0772</w:t>
            </w:r>
          </w:p>
        </w:tc>
      </w:tr>
      <w:tr w:rsidR="00F00E3D" w:rsidRPr="00335312" w14:paraId="1CAE5F26" w14:textId="77777777" w:rsidTr="00063AC8">
        <w:trPr>
          <w:jc w:val="center"/>
        </w:trPr>
        <w:tc>
          <w:tcPr>
            <w:tcW w:w="1112" w:type="pct"/>
            <w:tcBorders>
              <w:top w:val="nil"/>
              <w:left w:val="nil"/>
              <w:bottom w:val="nil"/>
              <w:right w:val="nil"/>
            </w:tcBorders>
          </w:tcPr>
          <w:p w14:paraId="4207CF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0B1ED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(5.027)</w:t>
            </w:r>
          </w:p>
        </w:tc>
        <w:tc>
          <w:tcPr>
            <w:tcW w:w="1006" w:type="pct"/>
            <w:tcBorders>
              <w:top w:val="nil"/>
              <w:left w:val="nil"/>
              <w:bottom w:val="nil"/>
              <w:right w:val="nil"/>
            </w:tcBorders>
          </w:tcPr>
          <w:p w14:paraId="04FE7C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(4.335)</w:t>
            </w:r>
          </w:p>
        </w:tc>
        <w:tc>
          <w:tcPr>
            <w:tcW w:w="668" w:type="pct"/>
            <w:tcBorders>
              <w:top w:val="nil"/>
              <w:left w:val="nil"/>
              <w:bottom w:val="nil"/>
              <w:right w:val="nil"/>
            </w:tcBorders>
          </w:tcPr>
          <w:p w14:paraId="31F40B2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(4.069)</w:t>
            </w:r>
          </w:p>
        </w:tc>
        <w:tc>
          <w:tcPr>
            <w:tcW w:w="870" w:type="pct"/>
            <w:tcBorders>
              <w:top w:val="nil"/>
              <w:left w:val="nil"/>
              <w:bottom w:val="nil"/>
              <w:right w:val="nil"/>
            </w:tcBorders>
          </w:tcPr>
          <w:p w14:paraId="7A5C24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(2.322)</w:t>
            </w:r>
          </w:p>
        </w:tc>
        <w:tc>
          <w:tcPr>
            <w:tcW w:w="738" w:type="pct"/>
            <w:tcBorders>
              <w:top w:val="nil"/>
              <w:left w:val="nil"/>
              <w:bottom w:val="nil"/>
              <w:right w:val="nil"/>
            </w:tcBorders>
          </w:tcPr>
          <w:p w14:paraId="3BE35E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(-0.678)</w:t>
            </w:r>
          </w:p>
        </w:tc>
      </w:tr>
      <w:tr w:rsidR="00F00E3D" w:rsidRPr="00335312" w14:paraId="0509AEBB" w14:textId="77777777" w:rsidTr="00063AC8">
        <w:trPr>
          <w:jc w:val="center"/>
        </w:trPr>
        <w:tc>
          <w:tcPr>
            <w:tcW w:w="1112" w:type="pct"/>
            <w:tcBorders>
              <w:top w:val="nil"/>
              <w:left w:val="nil"/>
              <w:bottom w:val="nil"/>
              <w:right w:val="nil"/>
            </w:tcBorders>
          </w:tcPr>
          <w:p w14:paraId="688503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2017.year#7.month</w:t>
            </w:r>
          </w:p>
        </w:tc>
        <w:tc>
          <w:tcPr>
            <w:tcW w:w="607" w:type="pct"/>
            <w:tcBorders>
              <w:top w:val="nil"/>
              <w:left w:val="nil"/>
              <w:bottom w:val="nil"/>
              <w:right w:val="nil"/>
            </w:tcBorders>
          </w:tcPr>
          <w:p w14:paraId="51D7D5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0.0474</w:t>
            </w:r>
          </w:p>
        </w:tc>
        <w:tc>
          <w:tcPr>
            <w:tcW w:w="1006" w:type="pct"/>
            <w:tcBorders>
              <w:top w:val="nil"/>
              <w:left w:val="nil"/>
              <w:bottom w:val="nil"/>
              <w:right w:val="nil"/>
            </w:tcBorders>
          </w:tcPr>
          <w:p w14:paraId="602294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0.0425</w:t>
            </w:r>
          </w:p>
        </w:tc>
        <w:tc>
          <w:tcPr>
            <w:tcW w:w="668" w:type="pct"/>
            <w:tcBorders>
              <w:top w:val="nil"/>
              <w:left w:val="nil"/>
              <w:bottom w:val="nil"/>
              <w:right w:val="nil"/>
            </w:tcBorders>
          </w:tcPr>
          <w:p w14:paraId="299A7D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0.0693**</w:t>
            </w:r>
          </w:p>
        </w:tc>
        <w:tc>
          <w:tcPr>
            <w:tcW w:w="870" w:type="pct"/>
            <w:tcBorders>
              <w:top w:val="nil"/>
              <w:left w:val="nil"/>
              <w:bottom w:val="nil"/>
              <w:right w:val="nil"/>
            </w:tcBorders>
          </w:tcPr>
          <w:p w14:paraId="26D8EE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0.105*</w:t>
            </w:r>
          </w:p>
        </w:tc>
        <w:tc>
          <w:tcPr>
            <w:tcW w:w="738" w:type="pct"/>
            <w:tcBorders>
              <w:top w:val="nil"/>
              <w:left w:val="nil"/>
              <w:bottom w:val="nil"/>
              <w:right w:val="nil"/>
            </w:tcBorders>
          </w:tcPr>
          <w:p w14:paraId="6B53B3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-0.0481</w:t>
            </w:r>
          </w:p>
        </w:tc>
      </w:tr>
      <w:tr w:rsidR="00F00E3D" w:rsidRPr="00335312" w14:paraId="7A5A107F" w14:textId="77777777" w:rsidTr="00063AC8">
        <w:trPr>
          <w:jc w:val="center"/>
        </w:trPr>
        <w:tc>
          <w:tcPr>
            <w:tcW w:w="1112" w:type="pct"/>
            <w:tcBorders>
              <w:top w:val="nil"/>
              <w:left w:val="nil"/>
              <w:bottom w:val="nil"/>
              <w:right w:val="nil"/>
            </w:tcBorders>
          </w:tcPr>
          <w:p w14:paraId="5F80F2B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0EBDB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(1.638)</w:t>
            </w:r>
          </w:p>
        </w:tc>
        <w:tc>
          <w:tcPr>
            <w:tcW w:w="1006" w:type="pct"/>
            <w:tcBorders>
              <w:top w:val="nil"/>
              <w:left w:val="nil"/>
              <w:bottom w:val="nil"/>
              <w:right w:val="nil"/>
            </w:tcBorders>
          </w:tcPr>
          <w:p w14:paraId="23423E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(1.241)</w:t>
            </w:r>
          </w:p>
        </w:tc>
        <w:tc>
          <w:tcPr>
            <w:tcW w:w="668" w:type="pct"/>
            <w:tcBorders>
              <w:top w:val="nil"/>
              <w:left w:val="nil"/>
              <w:bottom w:val="nil"/>
              <w:right w:val="nil"/>
            </w:tcBorders>
          </w:tcPr>
          <w:p w14:paraId="3F64B9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(2.478)</w:t>
            </w:r>
          </w:p>
        </w:tc>
        <w:tc>
          <w:tcPr>
            <w:tcW w:w="870" w:type="pct"/>
            <w:tcBorders>
              <w:top w:val="nil"/>
              <w:left w:val="nil"/>
              <w:bottom w:val="nil"/>
              <w:right w:val="nil"/>
            </w:tcBorders>
          </w:tcPr>
          <w:p w14:paraId="1632E6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(1.997)</w:t>
            </w:r>
          </w:p>
        </w:tc>
        <w:tc>
          <w:tcPr>
            <w:tcW w:w="738" w:type="pct"/>
            <w:tcBorders>
              <w:top w:val="nil"/>
              <w:left w:val="nil"/>
              <w:bottom w:val="nil"/>
              <w:right w:val="nil"/>
            </w:tcBorders>
          </w:tcPr>
          <w:p w14:paraId="39C29E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(-0.593)</w:t>
            </w:r>
          </w:p>
        </w:tc>
      </w:tr>
      <w:tr w:rsidR="00F00E3D" w:rsidRPr="00335312" w14:paraId="559C5158" w14:textId="77777777" w:rsidTr="00063AC8">
        <w:trPr>
          <w:jc w:val="center"/>
        </w:trPr>
        <w:tc>
          <w:tcPr>
            <w:tcW w:w="1112" w:type="pct"/>
            <w:tcBorders>
              <w:top w:val="nil"/>
              <w:left w:val="nil"/>
              <w:bottom w:val="nil"/>
              <w:right w:val="nil"/>
            </w:tcBorders>
          </w:tcPr>
          <w:p w14:paraId="6C37C8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2017.year#8.month</w:t>
            </w:r>
          </w:p>
        </w:tc>
        <w:tc>
          <w:tcPr>
            <w:tcW w:w="607" w:type="pct"/>
            <w:tcBorders>
              <w:top w:val="nil"/>
              <w:left w:val="nil"/>
              <w:bottom w:val="nil"/>
              <w:right w:val="nil"/>
            </w:tcBorders>
          </w:tcPr>
          <w:p w14:paraId="3300AF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0.0753***</w:t>
            </w:r>
          </w:p>
        </w:tc>
        <w:tc>
          <w:tcPr>
            <w:tcW w:w="1006" w:type="pct"/>
            <w:tcBorders>
              <w:top w:val="nil"/>
              <w:left w:val="nil"/>
              <w:bottom w:val="nil"/>
              <w:right w:val="nil"/>
            </w:tcBorders>
          </w:tcPr>
          <w:p w14:paraId="3C5B57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0.0749**</w:t>
            </w:r>
          </w:p>
        </w:tc>
        <w:tc>
          <w:tcPr>
            <w:tcW w:w="668" w:type="pct"/>
            <w:tcBorders>
              <w:top w:val="nil"/>
              <w:left w:val="nil"/>
              <w:bottom w:val="nil"/>
              <w:right w:val="nil"/>
            </w:tcBorders>
          </w:tcPr>
          <w:p w14:paraId="174A6AD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0.0831***</w:t>
            </w:r>
          </w:p>
        </w:tc>
        <w:tc>
          <w:tcPr>
            <w:tcW w:w="870" w:type="pct"/>
            <w:tcBorders>
              <w:top w:val="nil"/>
              <w:left w:val="nil"/>
              <w:bottom w:val="nil"/>
              <w:right w:val="nil"/>
            </w:tcBorders>
          </w:tcPr>
          <w:p w14:paraId="1CF242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0.120***</w:t>
            </w:r>
          </w:p>
        </w:tc>
        <w:tc>
          <w:tcPr>
            <w:tcW w:w="738" w:type="pct"/>
            <w:tcBorders>
              <w:top w:val="nil"/>
              <w:left w:val="nil"/>
              <w:bottom w:val="nil"/>
              <w:right w:val="nil"/>
            </w:tcBorders>
          </w:tcPr>
          <w:p w14:paraId="14E94F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0.0176</w:t>
            </w:r>
          </w:p>
        </w:tc>
      </w:tr>
      <w:tr w:rsidR="00F00E3D" w:rsidRPr="00335312" w14:paraId="77E31E7C" w14:textId="77777777" w:rsidTr="00063AC8">
        <w:trPr>
          <w:jc w:val="center"/>
        </w:trPr>
        <w:tc>
          <w:tcPr>
            <w:tcW w:w="1112" w:type="pct"/>
            <w:tcBorders>
              <w:top w:val="nil"/>
              <w:left w:val="nil"/>
              <w:bottom w:val="nil"/>
              <w:right w:val="nil"/>
            </w:tcBorders>
          </w:tcPr>
          <w:p w14:paraId="68E987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1FAF8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(2.771)</w:t>
            </w:r>
          </w:p>
        </w:tc>
        <w:tc>
          <w:tcPr>
            <w:tcW w:w="1006" w:type="pct"/>
            <w:tcBorders>
              <w:top w:val="nil"/>
              <w:left w:val="nil"/>
              <w:bottom w:val="nil"/>
              <w:right w:val="nil"/>
            </w:tcBorders>
          </w:tcPr>
          <w:p w14:paraId="741412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(2.295)</w:t>
            </w:r>
          </w:p>
        </w:tc>
        <w:tc>
          <w:tcPr>
            <w:tcW w:w="668" w:type="pct"/>
            <w:tcBorders>
              <w:top w:val="nil"/>
              <w:left w:val="nil"/>
              <w:bottom w:val="nil"/>
              <w:right w:val="nil"/>
            </w:tcBorders>
          </w:tcPr>
          <w:p w14:paraId="410C82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(3.143)</w:t>
            </w:r>
          </w:p>
        </w:tc>
        <w:tc>
          <w:tcPr>
            <w:tcW w:w="870" w:type="pct"/>
            <w:tcBorders>
              <w:top w:val="nil"/>
              <w:left w:val="nil"/>
              <w:bottom w:val="nil"/>
              <w:right w:val="nil"/>
            </w:tcBorders>
          </w:tcPr>
          <w:p w14:paraId="17F583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(4.183)</w:t>
            </w:r>
          </w:p>
        </w:tc>
        <w:tc>
          <w:tcPr>
            <w:tcW w:w="738" w:type="pct"/>
            <w:tcBorders>
              <w:top w:val="nil"/>
              <w:left w:val="nil"/>
              <w:bottom w:val="nil"/>
              <w:right w:val="nil"/>
            </w:tcBorders>
          </w:tcPr>
          <w:p w14:paraId="40BB98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(0.125)</w:t>
            </w:r>
          </w:p>
        </w:tc>
      </w:tr>
      <w:tr w:rsidR="00F00E3D" w:rsidRPr="00335312" w14:paraId="0FAFAAC0" w14:textId="77777777" w:rsidTr="00063AC8">
        <w:trPr>
          <w:jc w:val="center"/>
        </w:trPr>
        <w:tc>
          <w:tcPr>
            <w:tcW w:w="1112" w:type="pct"/>
            <w:tcBorders>
              <w:top w:val="nil"/>
              <w:left w:val="nil"/>
              <w:bottom w:val="nil"/>
              <w:right w:val="nil"/>
            </w:tcBorders>
          </w:tcPr>
          <w:p w14:paraId="5F1565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2017.year#9.month</w:t>
            </w:r>
          </w:p>
        </w:tc>
        <w:tc>
          <w:tcPr>
            <w:tcW w:w="607" w:type="pct"/>
            <w:tcBorders>
              <w:top w:val="nil"/>
              <w:left w:val="nil"/>
              <w:bottom w:val="nil"/>
              <w:right w:val="nil"/>
            </w:tcBorders>
          </w:tcPr>
          <w:p w14:paraId="52E75D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0.0942***</w:t>
            </w:r>
          </w:p>
        </w:tc>
        <w:tc>
          <w:tcPr>
            <w:tcW w:w="1006" w:type="pct"/>
            <w:tcBorders>
              <w:top w:val="nil"/>
              <w:left w:val="nil"/>
              <w:bottom w:val="nil"/>
              <w:right w:val="nil"/>
            </w:tcBorders>
          </w:tcPr>
          <w:p w14:paraId="10F8C7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0.102***</w:t>
            </w:r>
          </w:p>
        </w:tc>
        <w:tc>
          <w:tcPr>
            <w:tcW w:w="668" w:type="pct"/>
            <w:tcBorders>
              <w:top w:val="nil"/>
              <w:left w:val="nil"/>
              <w:bottom w:val="nil"/>
              <w:right w:val="nil"/>
            </w:tcBorders>
          </w:tcPr>
          <w:p w14:paraId="3308ED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0.0759**</w:t>
            </w:r>
          </w:p>
        </w:tc>
        <w:tc>
          <w:tcPr>
            <w:tcW w:w="870" w:type="pct"/>
            <w:tcBorders>
              <w:top w:val="nil"/>
              <w:left w:val="nil"/>
              <w:bottom w:val="nil"/>
              <w:right w:val="nil"/>
            </w:tcBorders>
          </w:tcPr>
          <w:p w14:paraId="787A2C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0.124***</w:t>
            </w:r>
          </w:p>
        </w:tc>
        <w:tc>
          <w:tcPr>
            <w:tcW w:w="738" w:type="pct"/>
            <w:tcBorders>
              <w:top w:val="nil"/>
              <w:left w:val="nil"/>
              <w:bottom w:val="nil"/>
              <w:right w:val="nil"/>
            </w:tcBorders>
          </w:tcPr>
          <w:p w14:paraId="021236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0.0424</w:t>
            </w:r>
          </w:p>
        </w:tc>
      </w:tr>
      <w:tr w:rsidR="00F00E3D" w:rsidRPr="00335312" w14:paraId="257E6C4C" w14:textId="77777777" w:rsidTr="00063AC8">
        <w:trPr>
          <w:jc w:val="center"/>
        </w:trPr>
        <w:tc>
          <w:tcPr>
            <w:tcW w:w="1112" w:type="pct"/>
            <w:tcBorders>
              <w:top w:val="nil"/>
              <w:left w:val="nil"/>
              <w:bottom w:val="nil"/>
              <w:right w:val="nil"/>
            </w:tcBorders>
          </w:tcPr>
          <w:p w14:paraId="613633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751B6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(3.514)</w:t>
            </w:r>
          </w:p>
        </w:tc>
        <w:tc>
          <w:tcPr>
            <w:tcW w:w="1006" w:type="pct"/>
            <w:tcBorders>
              <w:top w:val="nil"/>
              <w:left w:val="nil"/>
              <w:bottom w:val="nil"/>
              <w:right w:val="nil"/>
            </w:tcBorders>
          </w:tcPr>
          <w:p w14:paraId="14E041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(3.120)</w:t>
            </w:r>
          </w:p>
        </w:tc>
        <w:tc>
          <w:tcPr>
            <w:tcW w:w="668" w:type="pct"/>
            <w:tcBorders>
              <w:top w:val="nil"/>
              <w:left w:val="nil"/>
              <w:bottom w:val="nil"/>
              <w:right w:val="nil"/>
            </w:tcBorders>
          </w:tcPr>
          <w:p w14:paraId="7A428A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(2.472)</w:t>
            </w:r>
          </w:p>
        </w:tc>
        <w:tc>
          <w:tcPr>
            <w:tcW w:w="870" w:type="pct"/>
            <w:tcBorders>
              <w:top w:val="nil"/>
              <w:left w:val="nil"/>
              <w:bottom w:val="nil"/>
              <w:right w:val="nil"/>
            </w:tcBorders>
          </w:tcPr>
          <w:p w14:paraId="65BA59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(3.545)</w:t>
            </w:r>
          </w:p>
        </w:tc>
        <w:tc>
          <w:tcPr>
            <w:tcW w:w="738" w:type="pct"/>
            <w:tcBorders>
              <w:top w:val="nil"/>
              <w:left w:val="nil"/>
              <w:bottom w:val="nil"/>
              <w:right w:val="nil"/>
            </w:tcBorders>
          </w:tcPr>
          <w:p w14:paraId="391995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(0.339)</w:t>
            </w:r>
          </w:p>
        </w:tc>
      </w:tr>
      <w:tr w:rsidR="00F00E3D" w:rsidRPr="00335312" w14:paraId="5AE4C9CD" w14:textId="77777777" w:rsidTr="00063AC8">
        <w:trPr>
          <w:jc w:val="center"/>
        </w:trPr>
        <w:tc>
          <w:tcPr>
            <w:tcW w:w="1112" w:type="pct"/>
            <w:tcBorders>
              <w:top w:val="nil"/>
              <w:left w:val="nil"/>
              <w:bottom w:val="nil"/>
              <w:right w:val="nil"/>
            </w:tcBorders>
          </w:tcPr>
          <w:p w14:paraId="7E0D69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2017.year#10.month</w:t>
            </w:r>
          </w:p>
        </w:tc>
        <w:tc>
          <w:tcPr>
            <w:tcW w:w="607" w:type="pct"/>
            <w:tcBorders>
              <w:top w:val="nil"/>
              <w:left w:val="nil"/>
              <w:bottom w:val="nil"/>
              <w:right w:val="nil"/>
            </w:tcBorders>
          </w:tcPr>
          <w:p w14:paraId="63865E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0.0876***</w:t>
            </w:r>
          </w:p>
        </w:tc>
        <w:tc>
          <w:tcPr>
            <w:tcW w:w="1006" w:type="pct"/>
            <w:tcBorders>
              <w:top w:val="nil"/>
              <w:left w:val="nil"/>
              <w:bottom w:val="nil"/>
              <w:right w:val="nil"/>
            </w:tcBorders>
          </w:tcPr>
          <w:p w14:paraId="34E9A3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0.0910***</w:t>
            </w:r>
          </w:p>
        </w:tc>
        <w:tc>
          <w:tcPr>
            <w:tcW w:w="668" w:type="pct"/>
            <w:tcBorders>
              <w:top w:val="nil"/>
              <w:left w:val="nil"/>
              <w:bottom w:val="nil"/>
              <w:right w:val="nil"/>
            </w:tcBorders>
          </w:tcPr>
          <w:p w14:paraId="021F26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0.0807***</w:t>
            </w:r>
          </w:p>
        </w:tc>
        <w:tc>
          <w:tcPr>
            <w:tcW w:w="870" w:type="pct"/>
            <w:tcBorders>
              <w:top w:val="nil"/>
              <w:left w:val="nil"/>
              <w:bottom w:val="nil"/>
              <w:right w:val="nil"/>
            </w:tcBorders>
          </w:tcPr>
          <w:p w14:paraId="001A54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0.120***</w:t>
            </w:r>
          </w:p>
        </w:tc>
        <w:tc>
          <w:tcPr>
            <w:tcW w:w="738" w:type="pct"/>
            <w:tcBorders>
              <w:top w:val="nil"/>
              <w:left w:val="nil"/>
              <w:bottom w:val="nil"/>
              <w:right w:val="nil"/>
            </w:tcBorders>
          </w:tcPr>
          <w:p w14:paraId="0D1ADED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0.183**</w:t>
            </w:r>
          </w:p>
        </w:tc>
      </w:tr>
      <w:tr w:rsidR="00F00E3D" w:rsidRPr="00335312" w14:paraId="48A194B6" w14:textId="77777777" w:rsidTr="00063AC8">
        <w:trPr>
          <w:jc w:val="center"/>
        </w:trPr>
        <w:tc>
          <w:tcPr>
            <w:tcW w:w="1112" w:type="pct"/>
            <w:tcBorders>
              <w:top w:val="nil"/>
              <w:left w:val="nil"/>
              <w:bottom w:val="nil"/>
              <w:right w:val="nil"/>
            </w:tcBorders>
          </w:tcPr>
          <w:p w14:paraId="161EA1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01E54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(3.494)</w:t>
            </w:r>
          </w:p>
        </w:tc>
        <w:tc>
          <w:tcPr>
            <w:tcW w:w="1006" w:type="pct"/>
            <w:tcBorders>
              <w:top w:val="nil"/>
              <w:left w:val="nil"/>
              <w:bottom w:val="nil"/>
              <w:right w:val="nil"/>
            </w:tcBorders>
          </w:tcPr>
          <w:p w14:paraId="169E4F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(2.999)</w:t>
            </w:r>
          </w:p>
        </w:tc>
        <w:tc>
          <w:tcPr>
            <w:tcW w:w="668" w:type="pct"/>
            <w:tcBorders>
              <w:top w:val="nil"/>
              <w:left w:val="nil"/>
              <w:bottom w:val="nil"/>
              <w:right w:val="nil"/>
            </w:tcBorders>
          </w:tcPr>
          <w:p w14:paraId="52564C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(2.776)</w:t>
            </w:r>
          </w:p>
        </w:tc>
        <w:tc>
          <w:tcPr>
            <w:tcW w:w="870" w:type="pct"/>
            <w:tcBorders>
              <w:top w:val="nil"/>
              <w:left w:val="nil"/>
              <w:bottom w:val="nil"/>
              <w:right w:val="nil"/>
            </w:tcBorders>
          </w:tcPr>
          <w:p w14:paraId="53CFA4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(3.162)</w:t>
            </w:r>
          </w:p>
        </w:tc>
        <w:tc>
          <w:tcPr>
            <w:tcW w:w="738" w:type="pct"/>
            <w:tcBorders>
              <w:top w:val="nil"/>
              <w:left w:val="nil"/>
              <w:bottom w:val="nil"/>
              <w:right w:val="nil"/>
            </w:tcBorders>
          </w:tcPr>
          <w:p w14:paraId="5FD6A5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(4.853)</w:t>
            </w:r>
          </w:p>
        </w:tc>
      </w:tr>
      <w:tr w:rsidR="00F00E3D" w:rsidRPr="00335312" w14:paraId="223A9D7F" w14:textId="77777777" w:rsidTr="00063AC8">
        <w:trPr>
          <w:jc w:val="center"/>
        </w:trPr>
        <w:tc>
          <w:tcPr>
            <w:tcW w:w="1112" w:type="pct"/>
            <w:tcBorders>
              <w:top w:val="nil"/>
              <w:left w:val="nil"/>
              <w:bottom w:val="nil"/>
              <w:right w:val="nil"/>
            </w:tcBorders>
          </w:tcPr>
          <w:p w14:paraId="79D2DB6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2017.year#11.month</w:t>
            </w:r>
          </w:p>
        </w:tc>
        <w:tc>
          <w:tcPr>
            <w:tcW w:w="607" w:type="pct"/>
            <w:tcBorders>
              <w:top w:val="nil"/>
              <w:left w:val="nil"/>
              <w:bottom w:val="nil"/>
              <w:right w:val="nil"/>
            </w:tcBorders>
          </w:tcPr>
          <w:p w14:paraId="29384E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0.0756***</w:t>
            </w:r>
          </w:p>
        </w:tc>
        <w:tc>
          <w:tcPr>
            <w:tcW w:w="1006" w:type="pct"/>
            <w:tcBorders>
              <w:top w:val="nil"/>
              <w:left w:val="nil"/>
              <w:bottom w:val="nil"/>
              <w:right w:val="nil"/>
            </w:tcBorders>
          </w:tcPr>
          <w:p w14:paraId="702541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0.0793***</w:t>
            </w:r>
          </w:p>
        </w:tc>
        <w:tc>
          <w:tcPr>
            <w:tcW w:w="668" w:type="pct"/>
            <w:tcBorders>
              <w:top w:val="nil"/>
              <w:left w:val="nil"/>
              <w:bottom w:val="nil"/>
              <w:right w:val="nil"/>
            </w:tcBorders>
          </w:tcPr>
          <w:p w14:paraId="605660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0.0733**</w:t>
            </w:r>
          </w:p>
        </w:tc>
        <w:tc>
          <w:tcPr>
            <w:tcW w:w="870" w:type="pct"/>
            <w:tcBorders>
              <w:top w:val="nil"/>
              <w:left w:val="nil"/>
              <w:bottom w:val="nil"/>
              <w:right w:val="nil"/>
            </w:tcBorders>
          </w:tcPr>
          <w:p w14:paraId="6CB814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0.146***</w:t>
            </w:r>
          </w:p>
        </w:tc>
        <w:tc>
          <w:tcPr>
            <w:tcW w:w="738" w:type="pct"/>
            <w:tcBorders>
              <w:top w:val="nil"/>
              <w:left w:val="nil"/>
              <w:bottom w:val="nil"/>
              <w:right w:val="nil"/>
            </w:tcBorders>
          </w:tcPr>
          <w:p w14:paraId="6D02DF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0.185**</w:t>
            </w:r>
          </w:p>
        </w:tc>
      </w:tr>
      <w:tr w:rsidR="00F00E3D" w:rsidRPr="00335312" w14:paraId="7B2648E1" w14:textId="77777777" w:rsidTr="00063AC8">
        <w:trPr>
          <w:jc w:val="center"/>
        </w:trPr>
        <w:tc>
          <w:tcPr>
            <w:tcW w:w="1112" w:type="pct"/>
            <w:tcBorders>
              <w:top w:val="nil"/>
              <w:left w:val="nil"/>
              <w:bottom w:val="nil"/>
              <w:right w:val="nil"/>
            </w:tcBorders>
          </w:tcPr>
          <w:p w14:paraId="3DB8DA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7A2E6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(3.101)</w:t>
            </w:r>
          </w:p>
        </w:tc>
        <w:tc>
          <w:tcPr>
            <w:tcW w:w="1006" w:type="pct"/>
            <w:tcBorders>
              <w:top w:val="nil"/>
              <w:left w:val="nil"/>
              <w:bottom w:val="nil"/>
              <w:right w:val="nil"/>
            </w:tcBorders>
          </w:tcPr>
          <w:p w14:paraId="3F829D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(2.729)</w:t>
            </w:r>
          </w:p>
        </w:tc>
        <w:tc>
          <w:tcPr>
            <w:tcW w:w="668" w:type="pct"/>
            <w:tcBorders>
              <w:top w:val="nil"/>
              <w:left w:val="nil"/>
              <w:bottom w:val="nil"/>
              <w:right w:val="nil"/>
            </w:tcBorders>
          </w:tcPr>
          <w:p w14:paraId="10D635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(2.450)</w:t>
            </w:r>
          </w:p>
        </w:tc>
        <w:tc>
          <w:tcPr>
            <w:tcW w:w="870" w:type="pct"/>
            <w:tcBorders>
              <w:top w:val="nil"/>
              <w:left w:val="nil"/>
              <w:bottom w:val="nil"/>
              <w:right w:val="nil"/>
            </w:tcBorders>
          </w:tcPr>
          <w:p w14:paraId="04E085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(3.312)</w:t>
            </w:r>
          </w:p>
        </w:tc>
        <w:tc>
          <w:tcPr>
            <w:tcW w:w="738" w:type="pct"/>
            <w:tcBorders>
              <w:top w:val="nil"/>
              <w:left w:val="nil"/>
              <w:bottom w:val="nil"/>
              <w:right w:val="nil"/>
            </w:tcBorders>
          </w:tcPr>
          <w:p w14:paraId="346E00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(8.079)</w:t>
            </w:r>
          </w:p>
        </w:tc>
      </w:tr>
      <w:tr w:rsidR="00F00E3D" w:rsidRPr="00335312" w14:paraId="174A255A" w14:textId="77777777" w:rsidTr="00063AC8">
        <w:trPr>
          <w:jc w:val="center"/>
        </w:trPr>
        <w:tc>
          <w:tcPr>
            <w:tcW w:w="1112" w:type="pct"/>
            <w:tcBorders>
              <w:top w:val="nil"/>
              <w:left w:val="nil"/>
              <w:bottom w:val="nil"/>
              <w:right w:val="nil"/>
            </w:tcBorders>
          </w:tcPr>
          <w:p w14:paraId="06C6D6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2017.year#12.month</w:t>
            </w:r>
          </w:p>
        </w:tc>
        <w:tc>
          <w:tcPr>
            <w:tcW w:w="607" w:type="pct"/>
            <w:tcBorders>
              <w:top w:val="nil"/>
              <w:left w:val="nil"/>
              <w:bottom w:val="nil"/>
              <w:right w:val="nil"/>
            </w:tcBorders>
          </w:tcPr>
          <w:p w14:paraId="151443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0.0992***</w:t>
            </w:r>
          </w:p>
        </w:tc>
        <w:tc>
          <w:tcPr>
            <w:tcW w:w="1006" w:type="pct"/>
            <w:tcBorders>
              <w:top w:val="nil"/>
              <w:left w:val="nil"/>
              <w:bottom w:val="nil"/>
              <w:right w:val="nil"/>
            </w:tcBorders>
          </w:tcPr>
          <w:p w14:paraId="455F682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0.105***</w:t>
            </w:r>
          </w:p>
        </w:tc>
        <w:tc>
          <w:tcPr>
            <w:tcW w:w="668" w:type="pct"/>
            <w:tcBorders>
              <w:top w:val="nil"/>
              <w:left w:val="nil"/>
              <w:bottom w:val="nil"/>
              <w:right w:val="nil"/>
            </w:tcBorders>
          </w:tcPr>
          <w:p w14:paraId="782C92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0.0853***</w:t>
            </w:r>
          </w:p>
        </w:tc>
        <w:tc>
          <w:tcPr>
            <w:tcW w:w="870" w:type="pct"/>
            <w:tcBorders>
              <w:top w:val="nil"/>
              <w:left w:val="nil"/>
              <w:bottom w:val="nil"/>
              <w:right w:val="nil"/>
            </w:tcBorders>
          </w:tcPr>
          <w:p w14:paraId="610A0BA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0.202***</w:t>
            </w:r>
          </w:p>
        </w:tc>
        <w:tc>
          <w:tcPr>
            <w:tcW w:w="738" w:type="pct"/>
            <w:tcBorders>
              <w:top w:val="nil"/>
              <w:left w:val="nil"/>
              <w:bottom w:val="nil"/>
              <w:right w:val="nil"/>
            </w:tcBorders>
          </w:tcPr>
          <w:p w14:paraId="596F20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0.0809*</w:t>
            </w:r>
          </w:p>
        </w:tc>
      </w:tr>
      <w:tr w:rsidR="00F00E3D" w:rsidRPr="00335312" w14:paraId="6A47324A" w14:textId="77777777" w:rsidTr="00063AC8">
        <w:trPr>
          <w:jc w:val="center"/>
        </w:trPr>
        <w:tc>
          <w:tcPr>
            <w:tcW w:w="1112" w:type="pct"/>
            <w:tcBorders>
              <w:top w:val="nil"/>
              <w:left w:val="nil"/>
              <w:bottom w:val="nil"/>
              <w:right w:val="nil"/>
            </w:tcBorders>
          </w:tcPr>
          <w:p w14:paraId="1287AF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A558E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(4.222)</w:t>
            </w:r>
          </w:p>
        </w:tc>
        <w:tc>
          <w:tcPr>
            <w:tcW w:w="1006" w:type="pct"/>
            <w:tcBorders>
              <w:top w:val="nil"/>
              <w:left w:val="nil"/>
              <w:bottom w:val="nil"/>
              <w:right w:val="nil"/>
            </w:tcBorders>
          </w:tcPr>
          <w:p w14:paraId="3F4C84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(3.694)</w:t>
            </w:r>
          </w:p>
        </w:tc>
        <w:tc>
          <w:tcPr>
            <w:tcW w:w="668" w:type="pct"/>
            <w:tcBorders>
              <w:top w:val="nil"/>
              <w:left w:val="nil"/>
              <w:bottom w:val="nil"/>
              <w:right w:val="nil"/>
            </w:tcBorders>
          </w:tcPr>
          <w:p w14:paraId="7574073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(3.117)</w:t>
            </w:r>
          </w:p>
        </w:tc>
        <w:tc>
          <w:tcPr>
            <w:tcW w:w="870" w:type="pct"/>
            <w:tcBorders>
              <w:top w:val="nil"/>
              <w:left w:val="nil"/>
              <w:bottom w:val="nil"/>
              <w:right w:val="nil"/>
            </w:tcBorders>
          </w:tcPr>
          <w:p w14:paraId="7F46F2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(4.008)</w:t>
            </w:r>
          </w:p>
        </w:tc>
        <w:tc>
          <w:tcPr>
            <w:tcW w:w="738" w:type="pct"/>
            <w:tcBorders>
              <w:top w:val="nil"/>
              <w:left w:val="nil"/>
              <w:bottom w:val="nil"/>
              <w:right w:val="nil"/>
            </w:tcBorders>
          </w:tcPr>
          <w:p w14:paraId="5FC381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(3.545)</w:t>
            </w:r>
          </w:p>
        </w:tc>
      </w:tr>
      <w:tr w:rsidR="00F00E3D" w:rsidRPr="00335312" w14:paraId="4790BB16" w14:textId="77777777" w:rsidTr="00063AC8">
        <w:trPr>
          <w:jc w:val="center"/>
        </w:trPr>
        <w:tc>
          <w:tcPr>
            <w:tcW w:w="1112" w:type="pct"/>
            <w:tcBorders>
              <w:top w:val="nil"/>
              <w:left w:val="nil"/>
              <w:bottom w:val="nil"/>
              <w:right w:val="nil"/>
            </w:tcBorders>
          </w:tcPr>
          <w:p w14:paraId="486128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2018.year#1.month</w:t>
            </w:r>
          </w:p>
        </w:tc>
        <w:tc>
          <w:tcPr>
            <w:tcW w:w="607" w:type="pct"/>
            <w:tcBorders>
              <w:top w:val="nil"/>
              <w:left w:val="nil"/>
              <w:bottom w:val="nil"/>
              <w:right w:val="nil"/>
            </w:tcBorders>
          </w:tcPr>
          <w:p w14:paraId="526484B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0.0651**</w:t>
            </w:r>
          </w:p>
        </w:tc>
        <w:tc>
          <w:tcPr>
            <w:tcW w:w="1006" w:type="pct"/>
            <w:tcBorders>
              <w:top w:val="nil"/>
              <w:left w:val="nil"/>
              <w:bottom w:val="nil"/>
              <w:right w:val="nil"/>
            </w:tcBorders>
          </w:tcPr>
          <w:p w14:paraId="754376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0.0632*</w:t>
            </w:r>
          </w:p>
        </w:tc>
        <w:tc>
          <w:tcPr>
            <w:tcW w:w="668" w:type="pct"/>
            <w:tcBorders>
              <w:top w:val="nil"/>
              <w:left w:val="nil"/>
              <w:bottom w:val="nil"/>
              <w:right w:val="nil"/>
            </w:tcBorders>
          </w:tcPr>
          <w:p w14:paraId="382CDF2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0.0765***</w:t>
            </w:r>
          </w:p>
        </w:tc>
        <w:tc>
          <w:tcPr>
            <w:tcW w:w="870" w:type="pct"/>
            <w:tcBorders>
              <w:top w:val="nil"/>
              <w:left w:val="nil"/>
              <w:bottom w:val="nil"/>
              <w:right w:val="nil"/>
            </w:tcBorders>
          </w:tcPr>
          <w:p w14:paraId="2C78E0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0.114**</w:t>
            </w:r>
          </w:p>
        </w:tc>
        <w:tc>
          <w:tcPr>
            <w:tcW w:w="738" w:type="pct"/>
            <w:tcBorders>
              <w:top w:val="nil"/>
              <w:left w:val="nil"/>
              <w:bottom w:val="nil"/>
              <w:right w:val="nil"/>
            </w:tcBorders>
          </w:tcPr>
          <w:p w14:paraId="34554D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0.273</w:t>
            </w:r>
          </w:p>
        </w:tc>
      </w:tr>
      <w:tr w:rsidR="00F00E3D" w:rsidRPr="00335312" w14:paraId="7414E449" w14:textId="77777777" w:rsidTr="00063AC8">
        <w:trPr>
          <w:jc w:val="center"/>
        </w:trPr>
        <w:tc>
          <w:tcPr>
            <w:tcW w:w="1112" w:type="pct"/>
            <w:tcBorders>
              <w:top w:val="nil"/>
              <w:left w:val="nil"/>
              <w:bottom w:val="nil"/>
              <w:right w:val="nil"/>
            </w:tcBorders>
          </w:tcPr>
          <w:p w14:paraId="166616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5765E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(2.113)</w:t>
            </w:r>
          </w:p>
        </w:tc>
        <w:tc>
          <w:tcPr>
            <w:tcW w:w="1006" w:type="pct"/>
            <w:tcBorders>
              <w:top w:val="nil"/>
              <w:left w:val="nil"/>
              <w:bottom w:val="nil"/>
              <w:right w:val="nil"/>
            </w:tcBorders>
          </w:tcPr>
          <w:p w14:paraId="090DD8D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(1.696)</w:t>
            </w:r>
          </w:p>
        </w:tc>
        <w:tc>
          <w:tcPr>
            <w:tcW w:w="668" w:type="pct"/>
            <w:tcBorders>
              <w:top w:val="nil"/>
              <w:left w:val="nil"/>
              <w:bottom w:val="nil"/>
              <w:right w:val="nil"/>
            </w:tcBorders>
          </w:tcPr>
          <w:p w14:paraId="7343A0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(2.746)</w:t>
            </w:r>
          </w:p>
        </w:tc>
        <w:tc>
          <w:tcPr>
            <w:tcW w:w="870" w:type="pct"/>
            <w:tcBorders>
              <w:top w:val="nil"/>
              <w:left w:val="nil"/>
              <w:bottom w:val="nil"/>
              <w:right w:val="nil"/>
            </w:tcBorders>
          </w:tcPr>
          <w:p w14:paraId="045EAE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(2.500)</w:t>
            </w:r>
          </w:p>
        </w:tc>
        <w:tc>
          <w:tcPr>
            <w:tcW w:w="738" w:type="pct"/>
            <w:tcBorders>
              <w:top w:val="nil"/>
              <w:left w:val="nil"/>
              <w:bottom w:val="nil"/>
              <w:right w:val="nil"/>
            </w:tcBorders>
          </w:tcPr>
          <w:p w14:paraId="3F5327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(1.590)</w:t>
            </w:r>
          </w:p>
        </w:tc>
      </w:tr>
      <w:tr w:rsidR="00F00E3D" w:rsidRPr="00335312" w14:paraId="509362D3" w14:textId="77777777" w:rsidTr="00063AC8">
        <w:trPr>
          <w:jc w:val="center"/>
        </w:trPr>
        <w:tc>
          <w:tcPr>
            <w:tcW w:w="1112" w:type="pct"/>
            <w:tcBorders>
              <w:top w:val="nil"/>
              <w:left w:val="nil"/>
              <w:bottom w:val="nil"/>
              <w:right w:val="nil"/>
            </w:tcBorders>
          </w:tcPr>
          <w:p w14:paraId="6086CD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2018.year#2.month</w:t>
            </w:r>
          </w:p>
        </w:tc>
        <w:tc>
          <w:tcPr>
            <w:tcW w:w="607" w:type="pct"/>
            <w:tcBorders>
              <w:top w:val="nil"/>
              <w:left w:val="nil"/>
              <w:bottom w:val="nil"/>
              <w:right w:val="nil"/>
            </w:tcBorders>
          </w:tcPr>
          <w:p w14:paraId="2E7D703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0.0631**</w:t>
            </w:r>
          </w:p>
        </w:tc>
        <w:tc>
          <w:tcPr>
            <w:tcW w:w="1006" w:type="pct"/>
            <w:tcBorders>
              <w:top w:val="nil"/>
              <w:left w:val="nil"/>
              <w:bottom w:val="nil"/>
              <w:right w:val="nil"/>
            </w:tcBorders>
          </w:tcPr>
          <w:p w14:paraId="1D469E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0.0604*</w:t>
            </w:r>
          </w:p>
        </w:tc>
        <w:tc>
          <w:tcPr>
            <w:tcW w:w="668" w:type="pct"/>
            <w:tcBorders>
              <w:top w:val="nil"/>
              <w:left w:val="nil"/>
              <w:bottom w:val="nil"/>
              <w:right w:val="nil"/>
            </w:tcBorders>
          </w:tcPr>
          <w:p w14:paraId="393CBC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0.0760***</w:t>
            </w:r>
          </w:p>
        </w:tc>
        <w:tc>
          <w:tcPr>
            <w:tcW w:w="870" w:type="pct"/>
            <w:tcBorders>
              <w:top w:val="nil"/>
              <w:left w:val="nil"/>
              <w:bottom w:val="nil"/>
              <w:right w:val="nil"/>
            </w:tcBorders>
          </w:tcPr>
          <w:p w14:paraId="6A0D91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0.180***</w:t>
            </w:r>
          </w:p>
        </w:tc>
        <w:tc>
          <w:tcPr>
            <w:tcW w:w="738" w:type="pct"/>
            <w:tcBorders>
              <w:top w:val="nil"/>
              <w:left w:val="nil"/>
              <w:bottom w:val="nil"/>
              <w:right w:val="nil"/>
            </w:tcBorders>
          </w:tcPr>
          <w:p w14:paraId="258092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0.0473</w:t>
            </w:r>
          </w:p>
        </w:tc>
      </w:tr>
      <w:tr w:rsidR="00F00E3D" w:rsidRPr="00335312" w14:paraId="4A2D64E3" w14:textId="77777777" w:rsidTr="00063AC8">
        <w:trPr>
          <w:jc w:val="center"/>
        </w:trPr>
        <w:tc>
          <w:tcPr>
            <w:tcW w:w="1112" w:type="pct"/>
            <w:tcBorders>
              <w:top w:val="nil"/>
              <w:left w:val="nil"/>
              <w:bottom w:val="nil"/>
              <w:right w:val="nil"/>
            </w:tcBorders>
          </w:tcPr>
          <w:p w14:paraId="414328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88796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(2.287)</w:t>
            </w:r>
          </w:p>
        </w:tc>
        <w:tc>
          <w:tcPr>
            <w:tcW w:w="1006" w:type="pct"/>
            <w:tcBorders>
              <w:top w:val="nil"/>
              <w:left w:val="nil"/>
              <w:bottom w:val="nil"/>
              <w:right w:val="nil"/>
            </w:tcBorders>
          </w:tcPr>
          <w:p w14:paraId="14AB2F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(1.820)</w:t>
            </w:r>
          </w:p>
        </w:tc>
        <w:tc>
          <w:tcPr>
            <w:tcW w:w="668" w:type="pct"/>
            <w:tcBorders>
              <w:top w:val="nil"/>
              <w:left w:val="nil"/>
              <w:bottom w:val="nil"/>
              <w:right w:val="nil"/>
            </w:tcBorders>
          </w:tcPr>
          <w:p w14:paraId="063704E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(2.984)</w:t>
            </w:r>
          </w:p>
        </w:tc>
        <w:tc>
          <w:tcPr>
            <w:tcW w:w="870" w:type="pct"/>
            <w:tcBorders>
              <w:top w:val="nil"/>
              <w:left w:val="nil"/>
              <w:bottom w:val="nil"/>
              <w:right w:val="nil"/>
            </w:tcBorders>
          </w:tcPr>
          <w:p w14:paraId="07C37C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(3.801)</w:t>
            </w:r>
          </w:p>
        </w:tc>
        <w:tc>
          <w:tcPr>
            <w:tcW w:w="738" w:type="pct"/>
            <w:tcBorders>
              <w:top w:val="nil"/>
              <w:left w:val="nil"/>
              <w:bottom w:val="nil"/>
              <w:right w:val="nil"/>
            </w:tcBorders>
          </w:tcPr>
          <w:p w14:paraId="718303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(0.585)</w:t>
            </w:r>
          </w:p>
        </w:tc>
      </w:tr>
      <w:tr w:rsidR="00F00E3D" w:rsidRPr="00335312" w14:paraId="7F19DF24" w14:textId="77777777" w:rsidTr="00063AC8">
        <w:trPr>
          <w:jc w:val="center"/>
        </w:trPr>
        <w:tc>
          <w:tcPr>
            <w:tcW w:w="1112" w:type="pct"/>
            <w:tcBorders>
              <w:top w:val="nil"/>
              <w:left w:val="nil"/>
              <w:bottom w:val="nil"/>
              <w:right w:val="nil"/>
            </w:tcBorders>
          </w:tcPr>
          <w:p w14:paraId="4A8438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2018.year#3.month</w:t>
            </w:r>
          </w:p>
        </w:tc>
        <w:tc>
          <w:tcPr>
            <w:tcW w:w="607" w:type="pct"/>
            <w:tcBorders>
              <w:top w:val="nil"/>
              <w:left w:val="nil"/>
              <w:bottom w:val="nil"/>
              <w:right w:val="nil"/>
            </w:tcBorders>
          </w:tcPr>
          <w:p w14:paraId="4D81E0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0.0773***</w:t>
            </w:r>
          </w:p>
        </w:tc>
        <w:tc>
          <w:tcPr>
            <w:tcW w:w="1006" w:type="pct"/>
            <w:tcBorders>
              <w:top w:val="nil"/>
              <w:left w:val="nil"/>
              <w:bottom w:val="nil"/>
              <w:right w:val="nil"/>
            </w:tcBorders>
          </w:tcPr>
          <w:p w14:paraId="0A9D34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0.0826**</w:t>
            </w:r>
          </w:p>
        </w:tc>
        <w:tc>
          <w:tcPr>
            <w:tcW w:w="668" w:type="pct"/>
            <w:tcBorders>
              <w:top w:val="nil"/>
              <w:left w:val="nil"/>
              <w:bottom w:val="nil"/>
              <w:right w:val="nil"/>
            </w:tcBorders>
          </w:tcPr>
          <w:p w14:paraId="4BFC18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0.0620**</w:t>
            </w:r>
          </w:p>
        </w:tc>
        <w:tc>
          <w:tcPr>
            <w:tcW w:w="870" w:type="pct"/>
            <w:tcBorders>
              <w:top w:val="nil"/>
              <w:left w:val="nil"/>
              <w:bottom w:val="nil"/>
              <w:right w:val="nil"/>
            </w:tcBorders>
          </w:tcPr>
          <w:p w14:paraId="21471C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0.157***</w:t>
            </w:r>
          </w:p>
        </w:tc>
        <w:tc>
          <w:tcPr>
            <w:tcW w:w="738" w:type="pct"/>
            <w:tcBorders>
              <w:top w:val="nil"/>
              <w:left w:val="nil"/>
              <w:bottom w:val="nil"/>
              <w:right w:val="nil"/>
            </w:tcBorders>
          </w:tcPr>
          <w:p w14:paraId="400E49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0.114</w:t>
            </w:r>
          </w:p>
        </w:tc>
      </w:tr>
      <w:tr w:rsidR="00F00E3D" w:rsidRPr="00335312" w14:paraId="6EC83C3B" w14:textId="77777777" w:rsidTr="00063AC8">
        <w:trPr>
          <w:jc w:val="center"/>
        </w:trPr>
        <w:tc>
          <w:tcPr>
            <w:tcW w:w="1112" w:type="pct"/>
            <w:tcBorders>
              <w:top w:val="nil"/>
              <w:left w:val="nil"/>
              <w:bottom w:val="nil"/>
              <w:right w:val="nil"/>
            </w:tcBorders>
          </w:tcPr>
          <w:p w14:paraId="1E9277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3F36A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(2.830)</w:t>
            </w:r>
          </w:p>
        </w:tc>
        <w:tc>
          <w:tcPr>
            <w:tcW w:w="1006" w:type="pct"/>
            <w:tcBorders>
              <w:top w:val="nil"/>
              <w:left w:val="nil"/>
              <w:bottom w:val="nil"/>
              <w:right w:val="nil"/>
            </w:tcBorders>
          </w:tcPr>
          <w:p w14:paraId="5C3FA5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(2.481)</w:t>
            </w:r>
          </w:p>
        </w:tc>
        <w:tc>
          <w:tcPr>
            <w:tcW w:w="668" w:type="pct"/>
            <w:tcBorders>
              <w:top w:val="nil"/>
              <w:left w:val="nil"/>
              <w:bottom w:val="nil"/>
              <w:right w:val="nil"/>
            </w:tcBorders>
          </w:tcPr>
          <w:p w14:paraId="10B8B1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(2.381)</w:t>
            </w:r>
          </w:p>
        </w:tc>
        <w:tc>
          <w:tcPr>
            <w:tcW w:w="870" w:type="pct"/>
            <w:tcBorders>
              <w:top w:val="nil"/>
              <w:left w:val="nil"/>
              <w:bottom w:val="nil"/>
              <w:right w:val="nil"/>
            </w:tcBorders>
          </w:tcPr>
          <w:p w14:paraId="187634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(3.801)</w:t>
            </w:r>
          </w:p>
        </w:tc>
        <w:tc>
          <w:tcPr>
            <w:tcW w:w="738" w:type="pct"/>
            <w:tcBorders>
              <w:top w:val="nil"/>
              <w:left w:val="nil"/>
              <w:bottom w:val="nil"/>
              <w:right w:val="nil"/>
            </w:tcBorders>
          </w:tcPr>
          <w:p w14:paraId="09B7E4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(1.303)</w:t>
            </w:r>
          </w:p>
        </w:tc>
      </w:tr>
      <w:tr w:rsidR="00F00E3D" w:rsidRPr="00335312" w14:paraId="2DD78996" w14:textId="77777777" w:rsidTr="00063AC8">
        <w:trPr>
          <w:jc w:val="center"/>
        </w:trPr>
        <w:tc>
          <w:tcPr>
            <w:tcW w:w="1112" w:type="pct"/>
            <w:tcBorders>
              <w:top w:val="nil"/>
              <w:left w:val="nil"/>
              <w:bottom w:val="nil"/>
              <w:right w:val="nil"/>
            </w:tcBorders>
          </w:tcPr>
          <w:p w14:paraId="12BB8E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2018.year#4.month</w:t>
            </w:r>
          </w:p>
        </w:tc>
        <w:tc>
          <w:tcPr>
            <w:tcW w:w="607" w:type="pct"/>
            <w:tcBorders>
              <w:top w:val="nil"/>
              <w:left w:val="nil"/>
              <w:bottom w:val="nil"/>
              <w:right w:val="nil"/>
            </w:tcBorders>
          </w:tcPr>
          <w:p w14:paraId="40459B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0.0720**</w:t>
            </w:r>
          </w:p>
        </w:tc>
        <w:tc>
          <w:tcPr>
            <w:tcW w:w="1006" w:type="pct"/>
            <w:tcBorders>
              <w:top w:val="nil"/>
              <w:left w:val="nil"/>
              <w:bottom w:val="nil"/>
              <w:right w:val="nil"/>
            </w:tcBorders>
          </w:tcPr>
          <w:p w14:paraId="49601E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0.0747**</w:t>
            </w:r>
          </w:p>
        </w:tc>
        <w:tc>
          <w:tcPr>
            <w:tcW w:w="668" w:type="pct"/>
            <w:tcBorders>
              <w:top w:val="nil"/>
              <w:left w:val="nil"/>
              <w:bottom w:val="nil"/>
              <w:right w:val="nil"/>
            </w:tcBorders>
          </w:tcPr>
          <w:p w14:paraId="0773F5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0.0643**</w:t>
            </w:r>
          </w:p>
        </w:tc>
        <w:tc>
          <w:tcPr>
            <w:tcW w:w="870" w:type="pct"/>
            <w:tcBorders>
              <w:top w:val="nil"/>
              <w:left w:val="nil"/>
              <w:bottom w:val="nil"/>
              <w:right w:val="nil"/>
            </w:tcBorders>
          </w:tcPr>
          <w:p w14:paraId="069581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0.205***</w:t>
            </w:r>
          </w:p>
        </w:tc>
        <w:tc>
          <w:tcPr>
            <w:tcW w:w="738" w:type="pct"/>
            <w:tcBorders>
              <w:top w:val="nil"/>
              <w:left w:val="nil"/>
              <w:bottom w:val="nil"/>
              <w:right w:val="nil"/>
            </w:tcBorders>
          </w:tcPr>
          <w:p w14:paraId="309DB9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0.337**</w:t>
            </w:r>
          </w:p>
        </w:tc>
      </w:tr>
      <w:tr w:rsidR="00F00E3D" w:rsidRPr="00335312" w14:paraId="62F71944" w14:textId="77777777" w:rsidTr="00063AC8">
        <w:trPr>
          <w:jc w:val="center"/>
        </w:trPr>
        <w:tc>
          <w:tcPr>
            <w:tcW w:w="1112" w:type="pct"/>
            <w:tcBorders>
              <w:top w:val="nil"/>
              <w:left w:val="nil"/>
              <w:bottom w:val="nil"/>
              <w:right w:val="nil"/>
            </w:tcBorders>
          </w:tcPr>
          <w:p w14:paraId="40C61D1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B565D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(2.446)</w:t>
            </w:r>
          </w:p>
        </w:tc>
        <w:tc>
          <w:tcPr>
            <w:tcW w:w="1006" w:type="pct"/>
            <w:tcBorders>
              <w:top w:val="nil"/>
              <w:left w:val="nil"/>
              <w:bottom w:val="nil"/>
              <w:right w:val="nil"/>
            </w:tcBorders>
          </w:tcPr>
          <w:p w14:paraId="0B3DE0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(2.087)</w:t>
            </w:r>
          </w:p>
        </w:tc>
        <w:tc>
          <w:tcPr>
            <w:tcW w:w="668" w:type="pct"/>
            <w:tcBorders>
              <w:top w:val="nil"/>
              <w:left w:val="nil"/>
              <w:bottom w:val="nil"/>
              <w:right w:val="nil"/>
            </w:tcBorders>
          </w:tcPr>
          <w:p w14:paraId="5FCCCC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(2.237)</w:t>
            </w:r>
          </w:p>
        </w:tc>
        <w:tc>
          <w:tcPr>
            <w:tcW w:w="870" w:type="pct"/>
            <w:tcBorders>
              <w:top w:val="nil"/>
              <w:left w:val="nil"/>
              <w:bottom w:val="nil"/>
              <w:right w:val="nil"/>
            </w:tcBorders>
          </w:tcPr>
          <w:p w14:paraId="4ECA40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(6.622)</w:t>
            </w:r>
          </w:p>
        </w:tc>
        <w:tc>
          <w:tcPr>
            <w:tcW w:w="738" w:type="pct"/>
            <w:tcBorders>
              <w:top w:val="nil"/>
              <w:left w:val="nil"/>
              <w:bottom w:val="nil"/>
              <w:right w:val="nil"/>
            </w:tcBorders>
          </w:tcPr>
          <w:p w14:paraId="401AE6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(4.971)</w:t>
            </w:r>
          </w:p>
        </w:tc>
      </w:tr>
      <w:tr w:rsidR="00F00E3D" w:rsidRPr="00335312" w14:paraId="1BFADEB7" w14:textId="77777777" w:rsidTr="00063AC8">
        <w:trPr>
          <w:jc w:val="center"/>
        </w:trPr>
        <w:tc>
          <w:tcPr>
            <w:tcW w:w="1112" w:type="pct"/>
            <w:tcBorders>
              <w:top w:val="nil"/>
              <w:left w:val="nil"/>
              <w:bottom w:val="nil"/>
              <w:right w:val="nil"/>
            </w:tcBorders>
          </w:tcPr>
          <w:p w14:paraId="3C9142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2018.year#5.month</w:t>
            </w:r>
          </w:p>
        </w:tc>
        <w:tc>
          <w:tcPr>
            <w:tcW w:w="607" w:type="pct"/>
            <w:tcBorders>
              <w:top w:val="nil"/>
              <w:left w:val="nil"/>
              <w:bottom w:val="nil"/>
              <w:right w:val="nil"/>
            </w:tcBorders>
          </w:tcPr>
          <w:p w14:paraId="2BB24C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0.0512*</w:t>
            </w:r>
          </w:p>
        </w:tc>
        <w:tc>
          <w:tcPr>
            <w:tcW w:w="1006" w:type="pct"/>
            <w:tcBorders>
              <w:top w:val="nil"/>
              <w:left w:val="nil"/>
              <w:bottom w:val="nil"/>
              <w:right w:val="nil"/>
            </w:tcBorders>
          </w:tcPr>
          <w:p w14:paraId="72381A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0.0498</w:t>
            </w:r>
          </w:p>
        </w:tc>
        <w:tc>
          <w:tcPr>
            <w:tcW w:w="668" w:type="pct"/>
            <w:tcBorders>
              <w:top w:val="nil"/>
              <w:left w:val="nil"/>
              <w:bottom w:val="nil"/>
              <w:right w:val="nil"/>
            </w:tcBorders>
          </w:tcPr>
          <w:p w14:paraId="6D6EC0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0.0616**</w:t>
            </w:r>
          </w:p>
        </w:tc>
        <w:tc>
          <w:tcPr>
            <w:tcW w:w="870" w:type="pct"/>
            <w:tcBorders>
              <w:top w:val="nil"/>
              <w:left w:val="nil"/>
              <w:bottom w:val="nil"/>
              <w:right w:val="nil"/>
            </w:tcBorders>
          </w:tcPr>
          <w:p w14:paraId="4CC8DD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0.202***</w:t>
            </w:r>
          </w:p>
        </w:tc>
        <w:tc>
          <w:tcPr>
            <w:tcW w:w="738" w:type="pct"/>
            <w:tcBorders>
              <w:top w:val="nil"/>
              <w:left w:val="nil"/>
              <w:bottom w:val="nil"/>
              <w:right w:val="nil"/>
            </w:tcBorders>
          </w:tcPr>
          <w:p w14:paraId="50E929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0.0991</w:t>
            </w:r>
          </w:p>
        </w:tc>
      </w:tr>
      <w:tr w:rsidR="00F00E3D" w:rsidRPr="00335312" w14:paraId="50F13C8C" w14:textId="77777777" w:rsidTr="00063AC8">
        <w:trPr>
          <w:jc w:val="center"/>
        </w:trPr>
        <w:tc>
          <w:tcPr>
            <w:tcW w:w="1112" w:type="pct"/>
            <w:tcBorders>
              <w:top w:val="nil"/>
              <w:left w:val="nil"/>
              <w:bottom w:val="nil"/>
              <w:right w:val="nil"/>
            </w:tcBorders>
          </w:tcPr>
          <w:p w14:paraId="023ED5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FA43E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(1.835)</w:t>
            </w:r>
          </w:p>
        </w:tc>
        <w:tc>
          <w:tcPr>
            <w:tcW w:w="1006" w:type="pct"/>
            <w:tcBorders>
              <w:top w:val="nil"/>
              <w:left w:val="nil"/>
              <w:bottom w:val="nil"/>
              <w:right w:val="nil"/>
            </w:tcBorders>
          </w:tcPr>
          <w:p w14:paraId="1AEB5F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(1.480)</w:t>
            </w:r>
          </w:p>
        </w:tc>
        <w:tc>
          <w:tcPr>
            <w:tcW w:w="668" w:type="pct"/>
            <w:tcBorders>
              <w:top w:val="nil"/>
              <w:left w:val="nil"/>
              <w:bottom w:val="nil"/>
              <w:right w:val="nil"/>
            </w:tcBorders>
          </w:tcPr>
          <w:p w14:paraId="52C8A3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(2.342)</w:t>
            </w:r>
          </w:p>
        </w:tc>
        <w:tc>
          <w:tcPr>
            <w:tcW w:w="870" w:type="pct"/>
            <w:tcBorders>
              <w:top w:val="nil"/>
              <w:left w:val="nil"/>
              <w:bottom w:val="nil"/>
              <w:right w:val="nil"/>
            </w:tcBorders>
          </w:tcPr>
          <w:p w14:paraId="763FFF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(6.370)</w:t>
            </w:r>
          </w:p>
        </w:tc>
        <w:tc>
          <w:tcPr>
            <w:tcW w:w="738" w:type="pct"/>
            <w:tcBorders>
              <w:top w:val="nil"/>
              <w:left w:val="nil"/>
              <w:bottom w:val="nil"/>
              <w:right w:val="nil"/>
            </w:tcBorders>
          </w:tcPr>
          <w:p w14:paraId="104C0F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(1.745)</w:t>
            </w:r>
          </w:p>
        </w:tc>
      </w:tr>
      <w:tr w:rsidR="00F00E3D" w:rsidRPr="00335312" w14:paraId="40C09C4F" w14:textId="77777777" w:rsidTr="00063AC8">
        <w:trPr>
          <w:jc w:val="center"/>
        </w:trPr>
        <w:tc>
          <w:tcPr>
            <w:tcW w:w="1112" w:type="pct"/>
            <w:tcBorders>
              <w:top w:val="nil"/>
              <w:left w:val="nil"/>
              <w:bottom w:val="nil"/>
              <w:right w:val="nil"/>
            </w:tcBorders>
          </w:tcPr>
          <w:p w14:paraId="51ACB9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2018.year#6.month</w:t>
            </w:r>
          </w:p>
        </w:tc>
        <w:tc>
          <w:tcPr>
            <w:tcW w:w="607" w:type="pct"/>
            <w:tcBorders>
              <w:top w:val="nil"/>
              <w:left w:val="nil"/>
              <w:bottom w:val="nil"/>
              <w:right w:val="nil"/>
            </w:tcBorders>
          </w:tcPr>
          <w:p w14:paraId="6A49BA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0.0449</w:t>
            </w:r>
          </w:p>
        </w:tc>
        <w:tc>
          <w:tcPr>
            <w:tcW w:w="1006" w:type="pct"/>
            <w:tcBorders>
              <w:top w:val="nil"/>
              <w:left w:val="nil"/>
              <w:bottom w:val="nil"/>
              <w:right w:val="nil"/>
            </w:tcBorders>
          </w:tcPr>
          <w:p w14:paraId="298122A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0.0451</w:t>
            </w:r>
          </w:p>
        </w:tc>
        <w:tc>
          <w:tcPr>
            <w:tcW w:w="668" w:type="pct"/>
            <w:tcBorders>
              <w:top w:val="nil"/>
              <w:left w:val="nil"/>
              <w:bottom w:val="nil"/>
              <w:right w:val="nil"/>
            </w:tcBorders>
          </w:tcPr>
          <w:p w14:paraId="5A1BA9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0.0474</w:t>
            </w:r>
          </w:p>
        </w:tc>
        <w:tc>
          <w:tcPr>
            <w:tcW w:w="870" w:type="pct"/>
            <w:tcBorders>
              <w:top w:val="nil"/>
              <w:left w:val="nil"/>
              <w:bottom w:val="nil"/>
              <w:right w:val="nil"/>
            </w:tcBorders>
          </w:tcPr>
          <w:p w14:paraId="723E9F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0.239***</w:t>
            </w:r>
          </w:p>
        </w:tc>
        <w:tc>
          <w:tcPr>
            <w:tcW w:w="738" w:type="pct"/>
            <w:tcBorders>
              <w:top w:val="nil"/>
              <w:left w:val="nil"/>
              <w:bottom w:val="nil"/>
              <w:right w:val="nil"/>
            </w:tcBorders>
          </w:tcPr>
          <w:p w14:paraId="6779A5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0.0159</w:t>
            </w:r>
          </w:p>
        </w:tc>
      </w:tr>
      <w:tr w:rsidR="00F00E3D" w:rsidRPr="00335312" w14:paraId="4171EE2B" w14:textId="77777777" w:rsidTr="00063AC8">
        <w:trPr>
          <w:jc w:val="center"/>
        </w:trPr>
        <w:tc>
          <w:tcPr>
            <w:tcW w:w="1112" w:type="pct"/>
            <w:tcBorders>
              <w:top w:val="nil"/>
              <w:left w:val="nil"/>
              <w:bottom w:val="nil"/>
              <w:right w:val="nil"/>
            </w:tcBorders>
          </w:tcPr>
          <w:p w14:paraId="38395A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B5DCE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(1.619)</w:t>
            </w:r>
          </w:p>
        </w:tc>
        <w:tc>
          <w:tcPr>
            <w:tcW w:w="1006" w:type="pct"/>
            <w:tcBorders>
              <w:top w:val="nil"/>
              <w:left w:val="nil"/>
              <w:bottom w:val="nil"/>
              <w:right w:val="nil"/>
            </w:tcBorders>
          </w:tcPr>
          <w:p w14:paraId="28D293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(1.367)</w:t>
            </w:r>
          </w:p>
        </w:tc>
        <w:tc>
          <w:tcPr>
            <w:tcW w:w="668" w:type="pct"/>
            <w:tcBorders>
              <w:top w:val="nil"/>
              <w:left w:val="nil"/>
              <w:bottom w:val="nil"/>
              <w:right w:val="nil"/>
            </w:tcBorders>
          </w:tcPr>
          <w:p w14:paraId="317AA5A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(1.469)</w:t>
            </w:r>
          </w:p>
        </w:tc>
        <w:tc>
          <w:tcPr>
            <w:tcW w:w="870" w:type="pct"/>
            <w:tcBorders>
              <w:top w:val="nil"/>
              <w:left w:val="nil"/>
              <w:bottom w:val="nil"/>
              <w:right w:val="nil"/>
            </w:tcBorders>
          </w:tcPr>
          <w:p w14:paraId="493107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(3.957)</w:t>
            </w:r>
          </w:p>
        </w:tc>
        <w:tc>
          <w:tcPr>
            <w:tcW w:w="738" w:type="pct"/>
            <w:tcBorders>
              <w:top w:val="nil"/>
              <w:left w:val="nil"/>
              <w:bottom w:val="nil"/>
              <w:right w:val="nil"/>
            </w:tcBorders>
          </w:tcPr>
          <w:p w14:paraId="7907F5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(0.146)</w:t>
            </w:r>
          </w:p>
        </w:tc>
      </w:tr>
      <w:tr w:rsidR="00F00E3D" w:rsidRPr="00335312" w14:paraId="1AA2CE01" w14:textId="77777777" w:rsidTr="00063AC8">
        <w:trPr>
          <w:jc w:val="center"/>
        </w:trPr>
        <w:tc>
          <w:tcPr>
            <w:tcW w:w="1112" w:type="pct"/>
            <w:tcBorders>
              <w:top w:val="nil"/>
              <w:left w:val="nil"/>
              <w:bottom w:val="nil"/>
              <w:right w:val="nil"/>
            </w:tcBorders>
          </w:tcPr>
          <w:p w14:paraId="4ACAD1A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2018.year#7.month</w:t>
            </w:r>
          </w:p>
        </w:tc>
        <w:tc>
          <w:tcPr>
            <w:tcW w:w="607" w:type="pct"/>
            <w:tcBorders>
              <w:top w:val="nil"/>
              <w:left w:val="nil"/>
              <w:bottom w:val="nil"/>
              <w:right w:val="nil"/>
            </w:tcBorders>
          </w:tcPr>
          <w:p w14:paraId="61D9819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0.0233</w:t>
            </w:r>
          </w:p>
        </w:tc>
        <w:tc>
          <w:tcPr>
            <w:tcW w:w="1006" w:type="pct"/>
            <w:tcBorders>
              <w:top w:val="nil"/>
              <w:left w:val="nil"/>
              <w:bottom w:val="nil"/>
              <w:right w:val="nil"/>
            </w:tcBorders>
          </w:tcPr>
          <w:p w14:paraId="704DE8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0.0151</w:t>
            </w:r>
          </w:p>
        </w:tc>
        <w:tc>
          <w:tcPr>
            <w:tcW w:w="668" w:type="pct"/>
            <w:tcBorders>
              <w:top w:val="nil"/>
              <w:left w:val="nil"/>
              <w:bottom w:val="nil"/>
              <w:right w:val="nil"/>
            </w:tcBorders>
          </w:tcPr>
          <w:p w14:paraId="77ECDE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0.0606**</w:t>
            </w:r>
          </w:p>
        </w:tc>
        <w:tc>
          <w:tcPr>
            <w:tcW w:w="870" w:type="pct"/>
            <w:tcBorders>
              <w:top w:val="nil"/>
              <w:left w:val="nil"/>
              <w:bottom w:val="nil"/>
              <w:right w:val="nil"/>
            </w:tcBorders>
          </w:tcPr>
          <w:p w14:paraId="552871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0.176*</w:t>
            </w:r>
          </w:p>
        </w:tc>
        <w:tc>
          <w:tcPr>
            <w:tcW w:w="738" w:type="pct"/>
            <w:tcBorders>
              <w:top w:val="nil"/>
              <w:left w:val="nil"/>
              <w:bottom w:val="nil"/>
              <w:right w:val="nil"/>
            </w:tcBorders>
          </w:tcPr>
          <w:p w14:paraId="0BA02B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0.0812</w:t>
            </w:r>
          </w:p>
        </w:tc>
      </w:tr>
      <w:tr w:rsidR="00F00E3D" w:rsidRPr="00335312" w14:paraId="262694BE" w14:textId="77777777" w:rsidTr="00063AC8">
        <w:trPr>
          <w:jc w:val="center"/>
        </w:trPr>
        <w:tc>
          <w:tcPr>
            <w:tcW w:w="1112" w:type="pct"/>
            <w:tcBorders>
              <w:top w:val="nil"/>
              <w:left w:val="nil"/>
              <w:bottom w:val="nil"/>
              <w:right w:val="nil"/>
            </w:tcBorders>
          </w:tcPr>
          <w:p w14:paraId="72C5C7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87E34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(0.710)</w:t>
            </w:r>
          </w:p>
        </w:tc>
        <w:tc>
          <w:tcPr>
            <w:tcW w:w="1006" w:type="pct"/>
            <w:tcBorders>
              <w:top w:val="nil"/>
              <w:left w:val="nil"/>
              <w:bottom w:val="nil"/>
              <w:right w:val="nil"/>
            </w:tcBorders>
          </w:tcPr>
          <w:p w14:paraId="0CA439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(0.387)</w:t>
            </w:r>
          </w:p>
        </w:tc>
        <w:tc>
          <w:tcPr>
            <w:tcW w:w="668" w:type="pct"/>
            <w:tcBorders>
              <w:top w:val="nil"/>
              <w:left w:val="nil"/>
              <w:bottom w:val="nil"/>
              <w:right w:val="nil"/>
            </w:tcBorders>
          </w:tcPr>
          <w:p w14:paraId="133902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(2.142)</w:t>
            </w:r>
          </w:p>
        </w:tc>
        <w:tc>
          <w:tcPr>
            <w:tcW w:w="870" w:type="pct"/>
            <w:tcBorders>
              <w:top w:val="nil"/>
              <w:left w:val="nil"/>
              <w:bottom w:val="nil"/>
              <w:right w:val="nil"/>
            </w:tcBorders>
          </w:tcPr>
          <w:p w14:paraId="0D2088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(1.948)</w:t>
            </w:r>
          </w:p>
        </w:tc>
        <w:tc>
          <w:tcPr>
            <w:tcW w:w="738" w:type="pct"/>
            <w:tcBorders>
              <w:top w:val="nil"/>
              <w:left w:val="nil"/>
              <w:bottom w:val="nil"/>
              <w:right w:val="nil"/>
            </w:tcBorders>
          </w:tcPr>
          <w:p w14:paraId="3411B3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(0.688)</w:t>
            </w:r>
          </w:p>
        </w:tc>
      </w:tr>
      <w:tr w:rsidR="00F00E3D" w:rsidRPr="00335312" w14:paraId="260EFF49" w14:textId="77777777" w:rsidTr="00063AC8">
        <w:trPr>
          <w:jc w:val="center"/>
        </w:trPr>
        <w:tc>
          <w:tcPr>
            <w:tcW w:w="1112" w:type="pct"/>
            <w:tcBorders>
              <w:top w:val="nil"/>
              <w:left w:val="nil"/>
              <w:bottom w:val="nil"/>
              <w:right w:val="nil"/>
            </w:tcBorders>
          </w:tcPr>
          <w:p w14:paraId="31250C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2018.year#8.month</w:t>
            </w:r>
          </w:p>
        </w:tc>
        <w:tc>
          <w:tcPr>
            <w:tcW w:w="607" w:type="pct"/>
            <w:tcBorders>
              <w:top w:val="nil"/>
              <w:left w:val="nil"/>
              <w:bottom w:val="nil"/>
              <w:right w:val="nil"/>
            </w:tcBorders>
          </w:tcPr>
          <w:p w14:paraId="756C9F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0.0210</w:t>
            </w:r>
          </w:p>
        </w:tc>
        <w:tc>
          <w:tcPr>
            <w:tcW w:w="1006" w:type="pct"/>
            <w:tcBorders>
              <w:top w:val="nil"/>
              <w:left w:val="nil"/>
              <w:bottom w:val="nil"/>
              <w:right w:val="nil"/>
            </w:tcBorders>
          </w:tcPr>
          <w:p w14:paraId="6322A5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0.0207</w:t>
            </w:r>
          </w:p>
        </w:tc>
        <w:tc>
          <w:tcPr>
            <w:tcW w:w="668" w:type="pct"/>
            <w:tcBorders>
              <w:top w:val="nil"/>
              <w:left w:val="nil"/>
              <w:bottom w:val="nil"/>
              <w:right w:val="nil"/>
            </w:tcBorders>
          </w:tcPr>
          <w:p w14:paraId="4344AA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0.0262</w:t>
            </w:r>
          </w:p>
        </w:tc>
        <w:tc>
          <w:tcPr>
            <w:tcW w:w="870" w:type="pct"/>
            <w:tcBorders>
              <w:top w:val="nil"/>
              <w:left w:val="nil"/>
              <w:bottom w:val="nil"/>
              <w:right w:val="nil"/>
            </w:tcBorders>
          </w:tcPr>
          <w:p w14:paraId="3C5F00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0.260***</w:t>
            </w:r>
          </w:p>
        </w:tc>
        <w:tc>
          <w:tcPr>
            <w:tcW w:w="738" w:type="pct"/>
            <w:tcBorders>
              <w:top w:val="nil"/>
              <w:left w:val="nil"/>
              <w:bottom w:val="nil"/>
              <w:right w:val="nil"/>
            </w:tcBorders>
          </w:tcPr>
          <w:p w14:paraId="2391A9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0.381***</w:t>
            </w:r>
          </w:p>
        </w:tc>
      </w:tr>
      <w:tr w:rsidR="00F00E3D" w:rsidRPr="00335312" w14:paraId="43646ED1" w14:textId="77777777" w:rsidTr="00063AC8">
        <w:trPr>
          <w:jc w:val="center"/>
        </w:trPr>
        <w:tc>
          <w:tcPr>
            <w:tcW w:w="1112" w:type="pct"/>
            <w:tcBorders>
              <w:top w:val="nil"/>
              <w:left w:val="nil"/>
              <w:bottom w:val="nil"/>
              <w:right w:val="nil"/>
            </w:tcBorders>
          </w:tcPr>
          <w:p w14:paraId="286469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F3A3A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(0.755)</w:t>
            </w:r>
          </w:p>
        </w:tc>
        <w:tc>
          <w:tcPr>
            <w:tcW w:w="1006" w:type="pct"/>
            <w:tcBorders>
              <w:top w:val="nil"/>
              <w:left w:val="nil"/>
              <w:bottom w:val="nil"/>
              <w:right w:val="nil"/>
            </w:tcBorders>
          </w:tcPr>
          <w:p w14:paraId="67DB7B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(0.619)</w:t>
            </w:r>
          </w:p>
        </w:tc>
        <w:tc>
          <w:tcPr>
            <w:tcW w:w="668" w:type="pct"/>
            <w:tcBorders>
              <w:top w:val="nil"/>
              <w:left w:val="nil"/>
              <w:bottom w:val="nil"/>
              <w:right w:val="nil"/>
            </w:tcBorders>
          </w:tcPr>
          <w:p w14:paraId="6A1834A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(0.853)</w:t>
            </w:r>
          </w:p>
        </w:tc>
        <w:tc>
          <w:tcPr>
            <w:tcW w:w="870" w:type="pct"/>
            <w:tcBorders>
              <w:top w:val="nil"/>
              <w:left w:val="nil"/>
              <w:bottom w:val="nil"/>
              <w:right w:val="nil"/>
            </w:tcBorders>
          </w:tcPr>
          <w:p w14:paraId="3DA939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(5.771)</w:t>
            </w:r>
          </w:p>
        </w:tc>
        <w:tc>
          <w:tcPr>
            <w:tcW w:w="738" w:type="pct"/>
            <w:tcBorders>
              <w:top w:val="nil"/>
              <w:left w:val="nil"/>
              <w:bottom w:val="nil"/>
              <w:right w:val="nil"/>
            </w:tcBorders>
          </w:tcPr>
          <w:p w14:paraId="200037A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(34.13)</w:t>
            </w:r>
          </w:p>
        </w:tc>
      </w:tr>
      <w:tr w:rsidR="00F00E3D" w:rsidRPr="00335312" w14:paraId="41539B8F" w14:textId="77777777" w:rsidTr="00063AC8">
        <w:trPr>
          <w:jc w:val="center"/>
        </w:trPr>
        <w:tc>
          <w:tcPr>
            <w:tcW w:w="1112" w:type="pct"/>
            <w:tcBorders>
              <w:top w:val="nil"/>
              <w:left w:val="nil"/>
              <w:bottom w:val="nil"/>
              <w:right w:val="nil"/>
            </w:tcBorders>
          </w:tcPr>
          <w:p w14:paraId="7EFC1D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2018.year#9.month</w:t>
            </w:r>
          </w:p>
        </w:tc>
        <w:tc>
          <w:tcPr>
            <w:tcW w:w="607" w:type="pct"/>
            <w:tcBorders>
              <w:top w:val="nil"/>
              <w:left w:val="nil"/>
              <w:bottom w:val="nil"/>
              <w:right w:val="nil"/>
            </w:tcBorders>
          </w:tcPr>
          <w:p w14:paraId="290A14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0.0489</w:t>
            </w:r>
          </w:p>
        </w:tc>
        <w:tc>
          <w:tcPr>
            <w:tcW w:w="1006" w:type="pct"/>
            <w:tcBorders>
              <w:top w:val="nil"/>
              <w:left w:val="nil"/>
              <w:bottom w:val="nil"/>
              <w:right w:val="nil"/>
            </w:tcBorders>
          </w:tcPr>
          <w:p w14:paraId="02D403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0.0386</w:t>
            </w:r>
          </w:p>
        </w:tc>
        <w:tc>
          <w:tcPr>
            <w:tcW w:w="668" w:type="pct"/>
            <w:tcBorders>
              <w:top w:val="nil"/>
              <w:left w:val="nil"/>
              <w:bottom w:val="nil"/>
              <w:right w:val="nil"/>
            </w:tcBorders>
          </w:tcPr>
          <w:p w14:paraId="1AA4A9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0.0922***</w:t>
            </w:r>
          </w:p>
        </w:tc>
        <w:tc>
          <w:tcPr>
            <w:tcW w:w="870" w:type="pct"/>
            <w:tcBorders>
              <w:top w:val="nil"/>
              <w:left w:val="nil"/>
              <w:bottom w:val="nil"/>
              <w:right w:val="nil"/>
            </w:tcBorders>
          </w:tcPr>
          <w:p w14:paraId="39F9E05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0.244***</w:t>
            </w:r>
          </w:p>
        </w:tc>
        <w:tc>
          <w:tcPr>
            <w:tcW w:w="738" w:type="pct"/>
            <w:tcBorders>
              <w:top w:val="nil"/>
              <w:left w:val="nil"/>
              <w:bottom w:val="nil"/>
              <w:right w:val="nil"/>
            </w:tcBorders>
          </w:tcPr>
          <w:p w14:paraId="421F2E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0.271</w:t>
            </w:r>
          </w:p>
        </w:tc>
      </w:tr>
      <w:tr w:rsidR="00F00E3D" w:rsidRPr="00335312" w14:paraId="22202169" w14:textId="77777777" w:rsidTr="00063AC8">
        <w:trPr>
          <w:jc w:val="center"/>
        </w:trPr>
        <w:tc>
          <w:tcPr>
            <w:tcW w:w="1112" w:type="pct"/>
            <w:tcBorders>
              <w:top w:val="nil"/>
              <w:left w:val="nil"/>
              <w:bottom w:val="nil"/>
              <w:right w:val="nil"/>
            </w:tcBorders>
          </w:tcPr>
          <w:p w14:paraId="3F8387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3E0F0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(1.519)</w:t>
            </w:r>
          </w:p>
        </w:tc>
        <w:tc>
          <w:tcPr>
            <w:tcW w:w="1006" w:type="pct"/>
            <w:tcBorders>
              <w:top w:val="nil"/>
              <w:left w:val="nil"/>
              <w:bottom w:val="nil"/>
              <w:right w:val="nil"/>
            </w:tcBorders>
          </w:tcPr>
          <w:p w14:paraId="576C36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(1.011)</w:t>
            </w:r>
          </w:p>
        </w:tc>
        <w:tc>
          <w:tcPr>
            <w:tcW w:w="668" w:type="pct"/>
            <w:tcBorders>
              <w:top w:val="nil"/>
              <w:left w:val="nil"/>
              <w:bottom w:val="nil"/>
              <w:right w:val="nil"/>
            </w:tcBorders>
          </w:tcPr>
          <w:p w14:paraId="6D7132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(3.346)</w:t>
            </w:r>
          </w:p>
        </w:tc>
        <w:tc>
          <w:tcPr>
            <w:tcW w:w="870" w:type="pct"/>
            <w:tcBorders>
              <w:top w:val="nil"/>
              <w:left w:val="nil"/>
              <w:bottom w:val="nil"/>
              <w:right w:val="nil"/>
            </w:tcBorders>
          </w:tcPr>
          <w:p w14:paraId="2ABD04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(4.501)</w:t>
            </w:r>
          </w:p>
        </w:tc>
        <w:tc>
          <w:tcPr>
            <w:tcW w:w="738" w:type="pct"/>
            <w:tcBorders>
              <w:top w:val="nil"/>
              <w:left w:val="nil"/>
              <w:bottom w:val="nil"/>
              <w:right w:val="nil"/>
            </w:tcBorders>
          </w:tcPr>
          <w:p w14:paraId="305403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(1.842)</w:t>
            </w:r>
          </w:p>
        </w:tc>
      </w:tr>
      <w:tr w:rsidR="00F00E3D" w:rsidRPr="00335312" w14:paraId="728DDEE4" w14:textId="77777777" w:rsidTr="00063AC8">
        <w:trPr>
          <w:jc w:val="center"/>
        </w:trPr>
        <w:tc>
          <w:tcPr>
            <w:tcW w:w="1112" w:type="pct"/>
            <w:tcBorders>
              <w:top w:val="nil"/>
              <w:left w:val="nil"/>
              <w:bottom w:val="nil"/>
              <w:right w:val="nil"/>
            </w:tcBorders>
          </w:tcPr>
          <w:p w14:paraId="45AE72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2018.year#10.month</w:t>
            </w:r>
          </w:p>
        </w:tc>
        <w:tc>
          <w:tcPr>
            <w:tcW w:w="607" w:type="pct"/>
            <w:tcBorders>
              <w:top w:val="nil"/>
              <w:left w:val="nil"/>
              <w:bottom w:val="nil"/>
              <w:right w:val="nil"/>
            </w:tcBorders>
          </w:tcPr>
          <w:p w14:paraId="5058D8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-0.00265</w:t>
            </w:r>
          </w:p>
        </w:tc>
        <w:tc>
          <w:tcPr>
            <w:tcW w:w="1006" w:type="pct"/>
            <w:tcBorders>
              <w:top w:val="nil"/>
              <w:left w:val="nil"/>
              <w:bottom w:val="nil"/>
              <w:right w:val="nil"/>
            </w:tcBorders>
          </w:tcPr>
          <w:p w14:paraId="7B6800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-0.0104</w:t>
            </w:r>
          </w:p>
        </w:tc>
        <w:tc>
          <w:tcPr>
            <w:tcW w:w="668" w:type="pct"/>
            <w:tcBorders>
              <w:top w:val="nil"/>
              <w:left w:val="nil"/>
              <w:bottom w:val="nil"/>
              <w:right w:val="nil"/>
            </w:tcBorders>
          </w:tcPr>
          <w:p w14:paraId="5FF521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0.0295</w:t>
            </w:r>
          </w:p>
        </w:tc>
        <w:tc>
          <w:tcPr>
            <w:tcW w:w="870" w:type="pct"/>
            <w:tcBorders>
              <w:top w:val="nil"/>
              <w:left w:val="nil"/>
              <w:bottom w:val="nil"/>
              <w:right w:val="nil"/>
            </w:tcBorders>
          </w:tcPr>
          <w:p w14:paraId="5A0B88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0.228**</w:t>
            </w:r>
          </w:p>
        </w:tc>
        <w:tc>
          <w:tcPr>
            <w:tcW w:w="738" w:type="pct"/>
            <w:tcBorders>
              <w:top w:val="nil"/>
              <w:left w:val="nil"/>
              <w:bottom w:val="nil"/>
              <w:right w:val="nil"/>
            </w:tcBorders>
          </w:tcPr>
          <w:p w14:paraId="077019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0.174*</w:t>
            </w:r>
          </w:p>
        </w:tc>
      </w:tr>
      <w:tr w:rsidR="00F00E3D" w:rsidRPr="00335312" w14:paraId="61FEA35A" w14:textId="77777777" w:rsidTr="00063AC8">
        <w:trPr>
          <w:jc w:val="center"/>
        </w:trPr>
        <w:tc>
          <w:tcPr>
            <w:tcW w:w="1112" w:type="pct"/>
            <w:tcBorders>
              <w:top w:val="nil"/>
              <w:left w:val="nil"/>
              <w:bottom w:val="nil"/>
              <w:right w:val="nil"/>
            </w:tcBorders>
          </w:tcPr>
          <w:p w14:paraId="47ACC9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ACADD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(-0.0906)</w:t>
            </w:r>
          </w:p>
        </w:tc>
        <w:tc>
          <w:tcPr>
            <w:tcW w:w="1006" w:type="pct"/>
            <w:tcBorders>
              <w:top w:val="nil"/>
              <w:left w:val="nil"/>
              <w:bottom w:val="nil"/>
              <w:right w:val="nil"/>
            </w:tcBorders>
          </w:tcPr>
          <w:p w14:paraId="63AE48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(-0.301)</w:t>
            </w:r>
          </w:p>
        </w:tc>
        <w:tc>
          <w:tcPr>
            <w:tcW w:w="668" w:type="pct"/>
            <w:tcBorders>
              <w:top w:val="nil"/>
              <w:left w:val="nil"/>
              <w:bottom w:val="nil"/>
              <w:right w:val="nil"/>
            </w:tcBorders>
          </w:tcPr>
          <w:p w14:paraId="3021CD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(0.907)</w:t>
            </w:r>
          </w:p>
        </w:tc>
        <w:tc>
          <w:tcPr>
            <w:tcW w:w="870" w:type="pct"/>
            <w:tcBorders>
              <w:top w:val="nil"/>
              <w:left w:val="nil"/>
              <w:bottom w:val="nil"/>
              <w:right w:val="nil"/>
            </w:tcBorders>
          </w:tcPr>
          <w:p w14:paraId="1BD542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(2.600)</w:t>
            </w:r>
          </w:p>
        </w:tc>
        <w:tc>
          <w:tcPr>
            <w:tcW w:w="738" w:type="pct"/>
            <w:tcBorders>
              <w:top w:val="nil"/>
              <w:left w:val="nil"/>
              <w:bottom w:val="nil"/>
              <w:right w:val="nil"/>
            </w:tcBorders>
          </w:tcPr>
          <w:p w14:paraId="5F5885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(4.137)</w:t>
            </w:r>
          </w:p>
        </w:tc>
      </w:tr>
      <w:tr w:rsidR="00F00E3D" w:rsidRPr="00335312" w14:paraId="63915EE3" w14:textId="77777777" w:rsidTr="00063AC8">
        <w:trPr>
          <w:jc w:val="center"/>
        </w:trPr>
        <w:tc>
          <w:tcPr>
            <w:tcW w:w="1112" w:type="pct"/>
            <w:tcBorders>
              <w:top w:val="nil"/>
              <w:left w:val="nil"/>
              <w:bottom w:val="nil"/>
              <w:right w:val="nil"/>
            </w:tcBorders>
          </w:tcPr>
          <w:p w14:paraId="00CD9F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2018.year#11.month</w:t>
            </w:r>
          </w:p>
        </w:tc>
        <w:tc>
          <w:tcPr>
            <w:tcW w:w="607" w:type="pct"/>
            <w:tcBorders>
              <w:top w:val="nil"/>
              <w:left w:val="nil"/>
              <w:bottom w:val="nil"/>
              <w:right w:val="nil"/>
            </w:tcBorders>
          </w:tcPr>
          <w:p w14:paraId="6B67B3A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-0.0287</w:t>
            </w:r>
          </w:p>
        </w:tc>
        <w:tc>
          <w:tcPr>
            <w:tcW w:w="1006" w:type="pct"/>
            <w:tcBorders>
              <w:top w:val="nil"/>
              <w:left w:val="nil"/>
              <w:bottom w:val="nil"/>
              <w:right w:val="nil"/>
            </w:tcBorders>
          </w:tcPr>
          <w:p w14:paraId="046444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-0.0381</w:t>
            </w:r>
          </w:p>
        </w:tc>
        <w:tc>
          <w:tcPr>
            <w:tcW w:w="668" w:type="pct"/>
            <w:tcBorders>
              <w:top w:val="nil"/>
              <w:left w:val="nil"/>
              <w:bottom w:val="nil"/>
              <w:right w:val="nil"/>
            </w:tcBorders>
          </w:tcPr>
          <w:p w14:paraId="15A1A3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0.0129</w:t>
            </w:r>
          </w:p>
        </w:tc>
        <w:tc>
          <w:tcPr>
            <w:tcW w:w="870" w:type="pct"/>
            <w:tcBorders>
              <w:top w:val="nil"/>
              <w:left w:val="nil"/>
              <w:bottom w:val="nil"/>
              <w:right w:val="nil"/>
            </w:tcBorders>
          </w:tcPr>
          <w:p w14:paraId="74FCC0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0.162***</w:t>
            </w:r>
          </w:p>
        </w:tc>
        <w:tc>
          <w:tcPr>
            <w:tcW w:w="738" w:type="pct"/>
            <w:tcBorders>
              <w:top w:val="nil"/>
              <w:left w:val="nil"/>
              <w:bottom w:val="nil"/>
              <w:right w:val="nil"/>
            </w:tcBorders>
          </w:tcPr>
          <w:p w14:paraId="1F6AE9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0.232</w:t>
            </w:r>
          </w:p>
        </w:tc>
      </w:tr>
      <w:tr w:rsidR="00F00E3D" w:rsidRPr="00335312" w14:paraId="6A64416D" w14:textId="77777777" w:rsidTr="00063AC8">
        <w:trPr>
          <w:jc w:val="center"/>
        </w:trPr>
        <w:tc>
          <w:tcPr>
            <w:tcW w:w="1112" w:type="pct"/>
            <w:tcBorders>
              <w:top w:val="nil"/>
              <w:left w:val="nil"/>
              <w:bottom w:val="nil"/>
              <w:right w:val="nil"/>
            </w:tcBorders>
          </w:tcPr>
          <w:p w14:paraId="5AF21A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4EBEFD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(-0.847)</w:t>
            </w:r>
          </w:p>
        </w:tc>
        <w:tc>
          <w:tcPr>
            <w:tcW w:w="1006" w:type="pct"/>
            <w:tcBorders>
              <w:top w:val="nil"/>
              <w:left w:val="nil"/>
              <w:bottom w:val="nil"/>
              <w:right w:val="nil"/>
            </w:tcBorders>
          </w:tcPr>
          <w:p w14:paraId="3A5D89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(-0.960)</w:t>
            </w:r>
          </w:p>
        </w:tc>
        <w:tc>
          <w:tcPr>
            <w:tcW w:w="668" w:type="pct"/>
            <w:tcBorders>
              <w:top w:val="nil"/>
              <w:left w:val="nil"/>
              <w:bottom w:val="nil"/>
              <w:right w:val="nil"/>
            </w:tcBorders>
          </w:tcPr>
          <w:p w14:paraId="317EAC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(0.393)</w:t>
            </w:r>
          </w:p>
        </w:tc>
        <w:tc>
          <w:tcPr>
            <w:tcW w:w="870" w:type="pct"/>
            <w:tcBorders>
              <w:top w:val="nil"/>
              <w:left w:val="nil"/>
              <w:bottom w:val="nil"/>
              <w:right w:val="nil"/>
            </w:tcBorders>
          </w:tcPr>
          <w:p w14:paraId="63BD62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(2.888)</w:t>
            </w:r>
          </w:p>
        </w:tc>
        <w:tc>
          <w:tcPr>
            <w:tcW w:w="738" w:type="pct"/>
            <w:tcBorders>
              <w:top w:val="nil"/>
              <w:left w:val="nil"/>
              <w:bottom w:val="nil"/>
              <w:right w:val="nil"/>
            </w:tcBorders>
          </w:tcPr>
          <w:p w14:paraId="736E529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(2.074)</w:t>
            </w:r>
          </w:p>
        </w:tc>
      </w:tr>
      <w:tr w:rsidR="00F00E3D" w:rsidRPr="00335312" w14:paraId="0ED123A3" w14:textId="77777777" w:rsidTr="00063AC8">
        <w:trPr>
          <w:jc w:val="center"/>
        </w:trPr>
        <w:tc>
          <w:tcPr>
            <w:tcW w:w="1112" w:type="pct"/>
            <w:tcBorders>
              <w:top w:val="nil"/>
              <w:left w:val="nil"/>
              <w:bottom w:val="nil"/>
              <w:right w:val="nil"/>
            </w:tcBorders>
          </w:tcPr>
          <w:p w14:paraId="232EDE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2018.year#12.month</w:t>
            </w:r>
          </w:p>
        </w:tc>
        <w:tc>
          <w:tcPr>
            <w:tcW w:w="607" w:type="pct"/>
            <w:tcBorders>
              <w:top w:val="nil"/>
              <w:left w:val="nil"/>
              <w:bottom w:val="nil"/>
              <w:right w:val="nil"/>
            </w:tcBorders>
          </w:tcPr>
          <w:p w14:paraId="580C17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-0.00268</w:t>
            </w:r>
          </w:p>
        </w:tc>
        <w:tc>
          <w:tcPr>
            <w:tcW w:w="1006" w:type="pct"/>
            <w:tcBorders>
              <w:top w:val="nil"/>
              <w:left w:val="nil"/>
              <w:bottom w:val="nil"/>
              <w:right w:val="nil"/>
            </w:tcBorders>
          </w:tcPr>
          <w:p w14:paraId="62FB5F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-0.0233</w:t>
            </w:r>
          </w:p>
        </w:tc>
        <w:tc>
          <w:tcPr>
            <w:tcW w:w="668" w:type="pct"/>
            <w:tcBorders>
              <w:top w:val="nil"/>
              <w:left w:val="nil"/>
              <w:bottom w:val="nil"/>
              <w:right w:val="nil"/>
            </w:tcBorders>
          </w:tcPr>
          <w:p w14:paraId="6078A9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0.0683**</w:t>
            </w:r>
          </w:p>
        </w:tc>
        <w:tc>
          <w:tcPr>
            <w:tcW w:w="870" w:type="pct"/>
            <w:tcBorders>
              <w:top w:val="nil"/>
              <w:left w:val="nil"/>
              <w:bottom w:val="nil"/>
              <w:right w:val="nil"/>
            </w:tcBorders>
          </w:tcPr>
          <w:p w14:paraId="1010D1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0.184***</w:t>
            </w:r>
          </w:p>
        </w:tc>
        <w:tc>
          <w:tcPr>
            <w:tcW w:w="738" w:type="pct"/>
            <w:tcBorders>
              <w:top w:val="nil"/>
              <w:left w:val="nil"/>
              <w:bottom w:val="nil"/>
              <w:right w:val="nil"/>
            </w:tcBorders>
          </w:tcPr>
          <w:p w14:paraId="703726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0.239</w:t>
            </w:r>
          </w:p>
        </w:tc>
      </w:tr>
      <w:tr w:rsidR="00F00E3D" w:rsidRPr="00335312" w14:paraId="6E759378" w14:textId="77777777" w:rsidTr="00063AC8">
        <w:trPr>
          <w:jc w:val="center"/>
        </w:trPr>
        <w:tc>
          <w:tcPr>
            <w:tcW w:w="1112" w:type="pct"/>
            <w:tcBorders>
              <w:top w:val="nil"/>
              <w:left w:val="nil"/>
              <w:bottom w:val="nil"/>
              <w:right w:val="nil"/>
            </w:tcBorders>
          </w:tcPr>
          <w:p w14:paraId="0850EC8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38E8F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(-0.0812)</w:t>
            </w:r>
          </w:p>
        </w:tc>
        <w:tc>
          <w:tcPr>
            <w:tcW w:w="1006" w:type="pct"/>
            <w:tcBorders>
              <w:top w:val="nil"/>
              <w:left w:val="nil"/>
              <w:bottom w:val="nil"/>
              <w:right w:val="nil"/>
            </w:tcBorders>
          </w:tcPr>
          <w:p w14:paraId="2F1191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(-0.618)</w:t>
            </w:r>
          </w:p>
        </w:tc>
        <w:tc>
          <w:tcPr>
            <w:tcW w:w="668" w:type="pct"/>
            <w:tcBorders>
              <w:top w:val="nil"/>
              <w:left w:val="nil"/>
              <w:bottom w:val="nil"/>
              <w:right w:val="nil"/>
            </w:tcBorders>
          </w:tcPr>
          <w:p w14:paraId="5005D2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(2.249)</w:t>
            </w:r>
          </w:p>
        </w:tc>
        <w:tc>
          <w:tcPr>
            <w:tcW w:w="870" w:type="pct"/>
            <w:tcBorders>
              <w:top w:val="nil"/>
              <w:left w:val="nil"/>
              <w:bottom w:val="nil"/>
              <w:right w:val="nil"/>
            </w:tcBorders>
          </w:tcPr>
          <w:p w14:paraId="0A667D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(4.449)</w:t>
            </w:r>
          </w:p>
        </w:tc>
        <w:tc>
          <w:tcPr>
            <w:tcW w:w="738" w:type="pct"/>
            <w:tcBorders>
              <w:top w:val="nil"/>
              <w:left w:val="nil"/>
              <w:bottom w:val="nil"/>
              <w:right w:val="nil"/>
            </w:tcBorders>
          </w:tcPr>
          <w:p w14:paraId="18F447D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(1.423)</w:t>
            </w:r>
          </w:p>
        </w:tc>
      </w:tr>
      <w:tr w:rsidR="00F00E3D" w:rsidRPr="00335312" w14:paraId="06AAF9C1" w14:textId="77777777" w:rsidTr="00063AC8">
        <w:trPr>
          <w:jc w:val="center"/>
        </w:trPr>
        <w:tc>
          <w:tcPr>
            <w:tcW w:w="1112" w:type="pct"/>
            <w:tcBorders>
              <w:top w:val="nil"/>
              <w:left w:val="nil"/>
              <w:bottom w:val="nil"/>
              <w:right w:val="nil"/>
            </w:tcBorders>
          </w:tcPr>
          <w:p w14:paraId="2FA746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2019.year#1.month</w:t>
            </w:r>
          </w:p>
        </w:tc>
        <w:tc>
          <w:tcPr>
            <w:tcW w:w="607" w:type="pct"/>
            <w:tcBorders>
              <w:top w:val="nil"/>
              <w:left w:val="nil"/>
              <w:bottom w:val="nil"/>
              <w:right w:val="nil"/>
            </w:tcBorders>
          </w:tcPr>
          <w:p w14:paraId="3F4A4E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-0.0205</w:t>
            </w:r>
          </w:p>
        </w:tc>
        <w:tc>
          <w:tcPr>
            <w:tcW w:w="1006" w:type="pct"/>
            <w:tcBorders>
              <w:top w:val="nil"/>
              <w:left w:val="nil"/>
              <w:bottom w:val="nil"/>
              <w:right w:val="nil"/>
            </w:tcBorders>
          </w:tcPr>
          <w:p w14:paraId="20B98A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-0.0330</w:t>
            </w:r>
          </w:p>
        </w:tc>
        <w:tc>
          <w:tcPr>
            <w:tcW w:w="668" w:type="pct"/>
            <w:tcBorders>
              <w:top w:val="nil"/>
              <w:left w:val="nil"/>
              <w:bottom w:val="nil"/>
              <w:right w:val="nil"/>
            </w:tcBorders>
          </w:tcPr>
          <w:p w14:paraId="08F040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0.0286</w:t>
            </w:r>
          </w:p>
        </w:tc>
        <w:tc>
          <w:tcPr>
            <w:tcW w:w="870" w:type="pct"/>
            <w:tcBorders>
              <w:top w:val="nil"/>
              <w:left w:val="nil"/>
              <w:bottom w:val="nil"/>
              <w:right w:val="nil"/>
            </w:tcBorders>
          </w:tcPr>
          <w:p w14:paraId="03F781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0.196***</w:t>
            </w:r>
          </w:p>
        </w:tc>
        <w:tc>
          <w:tcPr>
            <w:tcW w:w="738" w:type="pct"/>
            <w:tcBorders>
              <w:top w:val="nil"/>
              <w:left w:val="nil"/>
              <w:bottom w:val="nil"/>
              <w:right w:val="nil"/>
            </w:tcBorders>
          </w:tcPr>
          <w:p w14:paraId="493162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0.293</w:t>
            </w:r>
          </w:p>
        </w:tc>
      </w:tr>
      <w:tr w:rsidR="00F00E3D" w:rsidRPr="00335312" w14:paraId="17420E78" w14:textId="77777777" w:rsidTr="00063AC8">
        <w:trPr>
          <w:jc w:val="center"/>
        </w:trPr>
        <w:tc>
          <w:tcPr>
            <w:tcW w:w="1112" w:type="pct"/>
            <w:tcBorders>
              <w:top w:val="nil"/>
              <w:left w:val="nil"/>
              <w:bottom w:val="nil"/>
              <w:right w:val="nil"/>
            </w:tcBorders>
          </w:tcPr>
          <w:p w14:paraId="683C14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3E8F6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(-0.651)</w:t>
            </w:r>
          </w:p>
        </w:tc>
        <w:tc>
          <w:tcPr>
            <w:tcW w:w="1006" w:type="pct"/>
            <w:tcBorders>
              <w:top w:val="nil"/>
              <w:left w:val="nil"/>
              <w:bottom w:val="nil"/>
              <w:right w:val="nil"/>
            </w:tcBorders>
          </w:tcPr>
          <w:p w14:paraId="7B505E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(-0.902)</w:t>
            </w:r>
          </w:p>
        </w:tc>
        <w:tc>
          <w:tcPr>
            <w:tcW w:w="668" w:type="pct"/>
            <w:tcBorders>
              <w:top w:val="nil"/>
              <w:left w:val="nil"/>
              <w:bottom w:val="nil"/>
              <w:right w:val="nil"/>
            </w:tcBorders>
          </w:tcPr>
          <w:p w14:paraId="554BFA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(0.875)</w:t>
            </w:r>
          </w:p>
        </w:tc>
        <w:tc>
          <w:tcPr>
            <w:tcW w:w="870" w:type="pct"/>
            <w:tcBorders>
              <w:top w:val="nil"/>
              <w:left w:val="nil"/>
              <w:bottom w:val="nil"/>
              <w:right w:val="nil"/>
            </w:tcBorders>
          </w:tcPr>
          <w:p w14:paraId="5EC830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(3.672)</w:t>
            </w:r>
          </w:p>
        </w:tc>
        <w:tc>
          <w:tcPr>
            <w:tcW w:w="738" w:type="pct"/>
            <w:tcBorders>
              <w:top w:val="nil"/>
              <w:left w:val="nil"/>
              <w:bottom w:val="nil"/>
              <w:right w:val="nil"/>
            </w:tcBorders>
          </w:tcPr>
          <w:p w14:paraId="40F522B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(2.736)</w:t>
            </w:r>
          </w:p>
        </w:tc>
      </w:tr>
      <w:tr w:rsidR="00F00E3D" w:rsidRPr="00335312" w14:paraId="46B08143" w14:textId="77777777" w:rsidTr="00063AC8">
        <w:trPr>
          <w:jc w:val="center"/>
        </w:trPr>
        <w:tc>
          <w:tcPr>
            <w:tcW w:w="1112" w:type="pct"/>
            <w:tcBorders>
              <w:top w:val="nil"/>
              <w:left w:val="nil"/>
              <w:bottom w:val="nil"/>
              <w:right w:val="nil"/>
            </w:tcBorders>
          </w:tcPr>
          <w:p w14:paraId="5C31BD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2019.year#2.month</w:t>
            </w:r>
          </w:p>
        </w:tc>
        <w:tc>
          <w:tcPr>
            <w:tcW w:w="607" w:type="pct"/>
            <w:tcBorders>
              <w:top w:val="nil"/>
              <w:left w:val="nil"/>
              <w:bottom w:val="nil"/>
              <w:right w:val="nil"/>
            </w:tcBorders>
          </w:tcPr>
          <w:p w14:paraId="7B3A02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0.0101</w:t>
            </w:r>
          </w:p>
        </w:tc>
        <w:tc>
          <w:tcPr>
            <w:tcW w:w="1006" w:type="pct"/>
            <w:tcBorders>
              <w:top w:val="nil"/>
              <w:left w:val="nil"/>
              <w:bottom w:val="nil"/>
              <w:right w:val="nil"/>
            </w:tcBorders>
          </w:tcPr>
          <w:p w14:paraId="7B7FF7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0.00297</w:t>
            </w:r>
          </w:p>
        </w:tc>
        <w:tc>
          <w:tcPr>
            <w:tcW w:w="668" w:type="pct"/>
            <w:tcBorders>
              <w:top w:val="nil"/>
              <w:left w:val="nil"/>
              <w:bottom w:val="nil"/>
              <w:right w:val="nil"/>
            </w:tcBorders>
          </w:tcPr>
          <w:p w14:paraId="773DE0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0.0457</w:t>
            </w:r>
          </w:p>
        </w:tc>
        <w:tc>
          <w:tcPr>
            <w:tcW w:w="870" w:type="pct"/>
            <w:tcBorders>
              <w:top w:val="nil"/>
              <w:left w:val="nil"/>
              <w:bottom w:val="nil"/>
              <w:right w:val="nil"/>
            </w:tcBorders>
          </w:tcPr>
          <w:p w14:paraId="1BCF89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0.196***</w:t>
            </w:r>
          </w:p>
        </w:tc>
        <w:tc>
          <w:tcPr>
            <w:tcW w:w="738" w:type="pct"/>
            <w:tcBorders>
              <w:top w:val="nil"/>
              <w:left w:val="nil"/>
              <w:bottom w:val="nil"/>
              <w:right w:val="nil"/>
            </w:tcBorders>
          </w:tcPr>
          <w:p w14:paraId="03CF67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0.334</w:t>
            </w:r>
          </w:p>
        </w:tc>
      </w:tr>
      <w:tr w:rsidR="00F00E3D" w:rsidRPr="00335312" w14:paraId="4EA4BA4F" w14:textId="77777777" w:rsidTr="00063AC8">
        <w:trPr>
          <w:jc w:val="center"/>
        </w:trPr>
        <w:tc>
          <w:tcPr>
            <w:tcW w:w="1112" w:type="pct"/>
            <w:tcBorders>
              <w:top w:val="nil"/>
              <w:left w:val="nil"/>
              <w:bottom w:val="nil"/>
              <w:right w:val="nil"/>
            </w:tcBorders>
          </w:tcPr>
          <w:p w14:paraId="7C5BBB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63A1C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(0.375)</w:t>
            </w:r>
          </w:p>
        </w:tc>
        <w:tc>
          <w:tcPr>
            <w:tcW w:w="1006" w:type="pct"/>
            <w:tcBorders>
              <w:top w:val="nil"/>
              <w:left w:val="nil"/>
              <w:bottom w:val="nil"/>
              <w:right w:val="nil"/>
            </w:tcBorders>
          </w:tcPr>
          <w:p w14:paraId="5E7594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(0.0951)</w:t>
            </w:r>
          </w:p>
        </w:tc>
        <w:tc>
          <w:tcPr>
            <w:tcW w:w="668" w:type="pct"/>
            <w:tcBorders>
              <w:top w:val="nil"/>
              <w:left w:val="nil"/>
              <w:bottom w:val="nil"/>
              <w:right w:val="nil"/>
            </w:tcBorders>
          </w:tcPr>
          <w:p w14:paraId="5FBEC2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(1.377)</w:t>
            </w:r>
          </w:p>
        </w:tc>
        <w:tc>
          <w:tcPr>
            <w:tcW w:w="870" w:type="pct"/>
            <w:tcBorders>
              <w:top w:val="nil"/>
              <w:left w:val="nil"/>
              <w:bottom w:val="nil"/>
              <w:right w:val="nil"/>
            </w:tcBorders>
          </w:tcPr>
          <w:p w14:paraId="343845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(3.462)</w:t>
            </w:r>
          </w:p>
        </w:tc>
        <w:tc>
          <w:tcPr>
            <w:tcW w:w="738" w:type="pct"/>
            <w:tcBorders>
              <w:top w:val="nil"/>
              <w:left w:val="nil"/>
              <w:bottom w:val="nil"/>
              <w:right w:val="nil"/>
            </w:tcBorders>
          </w:tcPr>
          <w:p w14:paraId="6DE03D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(1.869)</w:t>
            </w:r>
          </w:p>
        </w:tc>
      </w:tr>
      <w:tr w:rsidR="00F00E3D" w:rsidRPr="00335312" w14:paraId="0A259A22" w14:textId="77777777" w:rsidTr="00063AC8">
        <w:trPr>
          <w:jc w:val="center"/>
        </w:trPr>
        <w:tc>
          <w:tcPr>
            <w:tcW w:w="1112" w:type="pct"/>
            <w:tcBorders>
              <w:top w:val="nil"/>
              <w:left w:val="nil"/>
              <w:bottom w:val="nil"/>
              <w:right w:val="nil"/>
            </w:tcBorders>
          </w:tcPr>
          <w:p w14:paraId="208C3B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2019.year#3.month</w:t>
            </w:r>
          </w:p>
        </w:tc>
        <w:tc>
          <w:tcPr>
            <w:tcW w:w="607" w:type="pct"/>
            <w:tcBorders>
              <w:top w:val="nil"/>
              <w:left w:val="nil"/>
              <w:bottom w:val="nil"/>
              <w:right w:val="nil"/>
            </w:tcBorders>
          </w:tcPr>
          <w:p w14:paraId="3EE485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0.0258</w:t>
            </w:r>
          </w:p>
        </w:tc>
        <w:tc>
          <w:tcPr>
            <w:tcW w:w="1006" w:type="pct"/>
            <w:tcBorders>
              <w:top w:val="nil"/>
              <w:left w:val="nil"/>
              <w:bottom w:val="nil"/>
              <w:right w:val="nil"/>
            </w:tcBorders>
          </w:tcPr>
          <w:p w14:paraId="5FD646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0.0200</w:t>
            </w:r>
          </w:p>
        </w:tc>
        <w:tc>
          <w:tcPr>
            <w:tcW w:w="668" w:type="pct"/>
            <w:tcBorders>
              <w:top w:val="nil"/>
              <w:left w:val="nil"/>
              <w:bottom w:val="nil"/>
              <w:right w:val="nil"/>
            </w:tcBorders>
          </w:tcPr>
          <w:p w14:paraId="3A68C6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0.0502*</w:t>
            </w:r>
          </w:p>
        </w:tc>
        <w:tc>
          <w:tcPr>
            <w:tcW w:w="870" w:type="pct"/>
            <w:tcBorders>
              <w:top w:val="nil"/>
              <w:left w:val="nil"/>
              <w:bottom w:val="nil"/>
              <w:right w:val="nil"/>
            </w:tcBorders>
          </w:tcPr>
          <w:p w14:paraId="60921E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0.237***</w:t>
            </w:r>
          </w:p>
        </w:tc>
        <w:tc>
          <w:tcPr>
            <w:tcW w:w="738" w:type="pct"/>
            <w:tcBorders>
              <w:top w:val="nil"/>
              <w:left w:val="nil"/>
              <w:bottom w:val="nil"/>
              <w:right w:val="nil"/>
            </w:tcBorders>
          </w:tcPr>
          <w:p w14:paraId="60B7E6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0.217</w:t>
            </w:r>
          </w:p>
        </w:tc>
      </w:tr>
      <w:tr w:rsidR="00F00E3D" w:rsidRPr="00335312" w14:paraId="1060A5E0" w14:textId="77777777" w:rsidTr="00063AC8">
        <w:trPr>
          <w:jc w:val="center"/>
        </w:trPr>
        <w:tc>
          <w:tcPr>
            <w:tcW w:w="1112" w:type="pct"/>
            <w:tcBorders>
              <w:top w:val="nil"/>
              <w:left w:val="nil"/>
              <w:bottom w:val="nil"/>
              <w:right w:val="nil"/>
            </w:tcBorders>
          </w:tcPr>
          <w:p w14:paraId="5F96C7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6700F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(0.861)</w:t>
            </w:r>
          </w:p>
        </w:tc>
        <w:tc>
          <w:tcPr>
            <w:tcW w:w="1006" w:type="pct"/>
            <w:tcBorders>
              <w:top w:val="nil"/>
              <w:left w:val="nil"/>
              <w:bottom w:val="nil"/>
              <w:right w:val="nil"/>
            </w:tcBorders>
          </w:tcPr>
          <w:p w14:paraId="03FC78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(0.562)</w:t>
            </w:r>
          </w:p>
        </w:tc>
        <w:tc>
          <w:tcPr>
            <w:tcW w:w="668" w:type="pct"/>
            <w:tcBorders>
              <w:top w:val="nil"/>
              <w:left w:val="nil"/>
              <w:bottom w:val="nil"/>
              <w:right w:val="nil"/>
            </w:tcBorders>
          </w:tcPr>
          <w:p w14:paraId="079CFA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(1.727)</w:t>
            </w:r>
          </w:p>
        </w:tc>
        <w:tc>
          <w:tcPr>
            <w:tcW w:w="870" w:type="pct"/>
            <w:tcBorders>
              <w:top w:val="nil"/>
              <w:left w:val="nil"/>
              <w:bottom w:val="nil"/>
              <w:right w:val="nil"/>
            </w:tcBorders>
          </w:tcPr>
          <w:p w14:paraId="2C521B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(5.625)</w:t>
            </w:r>
          </w:p>
        </w:tc>
        <w:tc>
          <w:tcPr>
            <w:tcW w:w="738" w:type="pct"/>
            <w:tcBorders>
              <w:top w:val="nil"/>
              <w:left w:val="nil"/>
              <w:bottom w:val="nil"/>
              <w:right w:val="nil"/>
            </w:tcBorders>
          </w:tcPr>
          <w:p w14:paraId="64F119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(2.849)</w:t>
            </w:r>
          </w:p>
        </w:tc>
      </w:tr>
      <w:tr w:rsidR="00F00E3D" w:rsidRPr="00335312" w14:paraId="28761E20" w14:textId="77777777" w:rsidTr="00063AC8">
        <w:trPr>
          <w:jc w:val="center"/>
        </w:trPr>
        <w:tc>
          <w:tcPr>
            <w:tcW w:w="1112" w:type="pct"/>
            <w:tcBorders>
              <w:top w:val="nil"/>
              <w:left w:val="nil"/>
              <w:bottom w:val="nil"/>
              <w:right w:val="nil"/>
            </w:tcBorders>
          </w:tcPr>
          <w:p w14:paraId="66C84E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2019.year#4.month</w:t>
            </w:r>
          </w:p>
        </w:tc>
        <w:tc>
          <w:tcPr>
            <w:tcW w:w="607" w:type="pct"/>
            <w:tcBorders>
              <w:top w:val="nil"/>
              <w:left w:val="nil"/>
              <w:bottom w:val="nil"/>
              <w:right w:val="nil"/>
            </w:tcBorders>
          </w:tcPr>
          <w:p w14:paraId="2D86D2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0.0282</w:t>
            </w:r>
          </w:p>
        </w:tc>
        <w:tc>
          <w:tcPr>
            <w:tcW w:w="1006" w:type="pct"/>
            <w:tcBorders>
              <w:top w:val="nil"/>
              <w:left w:val="nil"/>
              <w:bottom w:val="nil"/>
              <w:right w:val="nil"/>
            </w:tcBorders>
          </w:tcPr>
          <w:p w14:paraId="284CEE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0.0167</w:t>
            </w:r>
          </w:p>
        </w:tc>
        <w:tc>
          <w:tcPr>
            <w:tcW w:w="668" w:type="pct"/>
            <w:tcBorders>
              <w:top w:val="nil"/>
              <w:left w:val="nil"/>
              <w:bottom w:val="nil"/>
              <w:right w:val="nil"/>
            </w:tcBorders>
          </w:tcPr>
          <w:p w14:paraId="2A673C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0.0746**</w:t>
            </w:r>
          </w:p>
        </w:tc>
        <w:tc>
          <w:tcPr>
            <w:tcW w:w="870" w:type="pct"/>
            <w:tcBorders>
              <w:top w:val="nil"/>
              <w:left w:val="nil"/>
              <w:bottom w:val="nil"/>
              <w:right w:val="nil"/>
            </w:tcBorders>
          </w:tcPr>
          <w:p w14:paraId="558BF8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0.343***</w:t>
            </w:r>
          </w:p>
        </w:tc>
        <w:tc>
          <w:tcPr>
            <w:tcW w:w="738" w:type="pct"/>
            <w:tcBorders>
              <w:top w:val="nil"/>
              <w:left w:val="nil"/>
              <w:bottom w:val="nil"/>
              <w:right w:val="nil"/>
            </w:tcBorders>
          </w:tcPr>
          <w:p w14:paraId="75D932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0.345***</w:t>
            </w:r>
          </w:p>
        </w:tc>
      </w:tr>
      <w:tr w:rsidR="00F00E3D" w:rsidRPr="00335312" w14:paraId="049A3446" w14:textId="77777777" w:rsidTr="00063AC8">
        <w:trPr>
          <w:jc w:val="center"/>
        </w:trPr>
        <w:tc>
          <w:tcPr>
            <w:tcW w:w="1112" w:type="pct"/>
            <w:tcBorders>
              <w:top w:val="nil"/>
              <w:left w:val="nil"/>
              <w:bottom w:val="nil"/>
              <w:right w:val="nil"/>
            </w:tcBorders>
          </w:tcPr>
          <w:p w14:paraId="566E7A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76542D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(0.947)</w:t>
            </w:r>
          </w:p>
        </w:tc>
        <w:tc>
          <w:tcPr>
            <w:tcW w:w="1006" w:type="pct"/>
            <w:tcBorders>
              <w:top w:val="nil"/>
              <w:left w:val="nil"/>
              <w:bottom w:val="nil"/>
              <w:right w:val="nil"/>
            </w:tcBorders>
          </w:tcPr>
          <w:p w14:paraId="32C340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(0.481)</w:t>
            </w:r>
          </w:p>
        </w:tc>
        <w:tc>
          <w:tcPr>
            <w:tcW w:w="668" w:type="pct"/>
            <w:tcBorders>
              <w:top w:val="nil"/>
              <w:left w:val="nil"/>
              <w:bottom w:val="nil"/>
              <w:right w:val="nil"/>
            </w:tcBorders>
          </w:tcPr>
          <w:p w14:paraId="0799BF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(2.478)</w:t>
            </w:r>
          </w:p>
        </w:tc>
        <w:tc>
          <w:tcPr>
            <w:tcW w:w="870" w:type="pct"/>
            <w:tcBorders>
              <w:top w:val="nil"/>
              <w:left w:val="nil"/>
              <w:bottom w:val="nil"/>
              <w:right w:val="nil"/>
            </w:tcBorders>
          </w:tcPr>
          <w:p w14:paraId="305499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(6.460)</w:t>
            </w:r>
          </w:p>
        </w:tc>
        <w:tc>
          <w:tcPr>
            <w:tcW w:w="738" w:type="pct"/>
            <w:tcBorders>
              <w:top w:val="nil"/>
              <w:left w:val="nil"/>
              <w:bottom w:val="nil"/>
              <w:right w:val="nil"/>
            </w:tcBorders>
          </w:tcPr>
          <w:p w14:paraId="3885EB2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(33.81)</w:t>
            </w:r>
          </w:p>
        </w:tc>
      </w:tr>
      <w:tr w:rsidR="00F00E3D" w:rsidRPr="00335312" w14:paraId="1D84391C" w14:textId="77777777" w:rsidTr="00063AC8">
        <w:trPr>
          <w:jc w:val="center"/>
        </w:trPr>
        <w:tc>
          <w:tcPr>
            <w:tcW w:w="1112" w:type="pct"/>
            <w:tcBorders>
              <w:top w:val="nil"/>
              <w:left w:val="nil"/>
              <w:bottom w:val="nil"/>
              <w:right w:val="nil"/>
            </w:tcBorders>
          </w:tcPr>
          <w:p w14:paraId="2AD4086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lastRenderedPageBreak/>
              <w:t>2019.year#5.month</w:t>
            </w:r>
          </w:p>
        </w:tc>
        <w:tc>
          <w:tcPr>
            <w:tcW w:w="607" w:type="pct"/>
            <w:tcBorders>
              <w:top w:val="nil"/>
              <w:left w:val="nil"/>
              <w:bottom w:val="nil"/>
              <w:right w:val="nil"/>
            </w:tcBorders>
          </w:tcPr>
          <w:p w14:paraId="2352CF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0.0245</w:t>
            </w:r>
          </w:p>
        </w:tc>
        <w:tc>
          <w:tcPr>
            <w:tcW w:w="1006" w:type="pct"/>
            <w:tcBorders>
              <w:top w:val="nil"/>
              <w:left w:val="nil"/>
              <w:bottom w:val="nil"/>
              <w:right w:val="nil"/>
            </w:tcBorders>
          </w:tcPr>
          <w:p w14:paraId="3AF12B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0.0148</w:t>
            </w:r>
          </w:p>
        </w:tc>
        <w:tc>
          <w:tcPr>
            <w:tcW w:w="668" w:type="pct"/>
            <w:tcBorders>
              <w:top w:val="nil"/>
              <w:left w:val="nil"/>
              <w:bottom w:val="nil"/>
              <w:right w:val="nil"/>
            </w:tcBorders>
          </w:tcPr>
          <w:p w14:paraId="511692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0.0686**</w:t>
            </w:r>
          </w:p>
        </w:tc>
        <w:tc>
          <w:tcPr>
            <w:tcW w:w="870" w:type="pct"/>
            <w:tcBorders>
              <w:top w:val="nil"/>
              <w:left w:val="nil"/>
              <w:bottom w:val="nil"/>
              <w:right w:val="nil"/>
            </w:tcBorders>
          </w:tcPr>
          <w:p w14:paraId="69F639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0.182***</w:t>
            </w:r>
          </w:p>
        </w:tc>
        <w:tc>
          <w:tcPr>
            <w:tcW w:w="738" w:type="pct"/>
            <w:tcBorders>
              <w:top w:val="nil"/>
              <w:left w:val="nil"/>
              <w:bottom w:val="nil"/>
              <w:right w:val="nil"/>
            </w:tcBorders>
          </w:tcPr>
          <w:p w14:paraId="26080A6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0.326**</w:t>
            </w:r>
          </w:p>
        </w:tc>
      </w:tr>
      <w:tr w:rsidR="00F00E3D" w:rsidRPr="00335312" w14:paraId="52FD8ACB" w14:textId="77777777" w:rsidTr="00063AC8">
        <w:trPr>
          <w:jc w:val="center"/>
        </w:trPr>
        <w:tc>
          <w:tcPr>
            <w:tcW w:w="1112" w:type="pct"/>
            <w:tcBorders>
              <w:top w:val="nil"/>
              <w:left w:val="nil"/>
              <w:bottom w:val="nil"/>
              <w:right w:val="nil"/>
            </w:tcBorders>
          </w:tcPr>
          <w:p w14:paraId="748FAE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71DC2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(0.758)</w:t>
            </w:r>
          </w:p>
        </w:tc>
        <w:tc>
          <w:tcPr>
            <w:tcW w:w="1006" w:type="pct"/>
            <w:tcBorders>
              <w:top w:val="nil"/>
              <w:left w:val="nil"/>
              <w:bottom w:val="nil"/>
              <w:right w:val="nil"/>
            </w:tcBorders>
          </w:tcPr>
          <w:p w14:paraId="5BABE6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(0.393)</w:t>
            </w:r>
          </w:p>
        </w:tc>
        <w:tc>
          <w:tcPr>
            <w:tcW w:w="668" w:type="pct"/>
            <w:tcBorders>
              <w:top w:val="nil"/>
              <w:left w:val="nil"/>
              <w:bottom w:val="nil"/>
              <w:right w:val="nil"/>
            </w:tcBorders>
          </w:tcPr>
          <w:p w14:paraId="6CB905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(2.439)</w:t>
            </w:r>
          </w:p>
        </w:tc>
        <w:tc>
          <w:tcPr>
            <w:tcW w:w="870" w:type="pct"/>
            <w:tcBorders>
              <w:top w:val="nil"/>
              <w:left w:val="nil"/>
              <w:bottom w:val="nil"/>
              <w:right w:val="nil"/>
            </w:tcBorders>
          </w:tcPr>
          <w:p w14:paraId="1126C4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(3.458)</w:t>
            </w:r>
          </w:p>
        </w:tc>
        <w:tc>
          <w:tcPr>
            <w:tcW w:w="738" w:type="pct"/>
            <w:tcBorders>
              <w:top w:val="nil"/>
              <w:left w:val="nil"/>
              <w:bottom w:val="nil"/>
              <w:right w:val="nil"/>
            </w:tcBorders>
          </w:tcPr>
          <w:p w14:paraId="175C82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(6.218)</w:t>
            </w:r>
          </w:p>
        </w:tc>
      </w:tr>
      <w:tr w:rsidR="00F00E3D" w:rsidRPr="00335312" w14:paraId="4BA72D6F" w14:textId="77777777" w:rsidTr="00063AC8">
        <w:trPr>
          <w:jc w:val="center"/>
        </w:trPr>
        <w:tc>
          <w:tcPr>
            <w:tcW w:w="1112" w:type="pct"/>
            <w:tcBorders>
              <w:top w:val="nil"/>
              <w:left w:val="nil"/>
              <w:bottom w:val="nil"/>
              <w:right w:val="nil"/>
            </w:tcBorders>
          </w:tcPr>
          <w:p w14:paraId="63C27A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2019.year#6.month</w:t>
            </w:r>
          </w:p>
        </w:tc>
        <w:tc>
          <w:tcPr>
            <w:tcW w:w="607" w:type="pct"/>
            <w:tcBorders>
              <w:top w:val="nil"/>
              <w:left w:val="nil"/>
              <w:bottom w:val="nil"/>
              <w:right w:val="nil"/>
            </w:tcBorders>
          </w:tcPr>
          <w:p w14:paraId="36EC96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0.0477</w:t>
            </w:r>
          </w:p>
        </w:tc>
        <w:tc>
          <w:tcPr>
            <w:tcW w:w="1006" w:type="pct"/>
            <w:tcBorders>
              <w:top w:val="nil"/>
              <w:left w:val="nil"/>
              <w:bottom w:val="nil"/>
              <w:right w:val="nil"/>
            </w:tcBorders>
          </w:tcPr>
          <w:p w14:paraId="2D4583A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0.0370</w:t>
            </w:r>
          </w:p>
        </w:tc>
        <w:tc>
          <w:tcPr>
            <w:tcW w:w="668" w:type="pct"/>
            <w:tcBorders>
              <w:top w:val="nil"/>
              <w:left w:val="nil"/>
              <w:bottom w:val="nil"/>
              <w:right w:val="nil"/>
            </w:tcBorders>
          </w:tcPr>
          <w:p w14:paraId="5ED8A5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0.0860***</w:t>
            </w:r>
          </w:p>
        </w:tc>
        <w:tc>
          <w:tcPr>
            <w:tcW w:w="870" w:type="pct"/>
            <w:tcBorders>
              <w:top w:val="nil"/>
              <w:left w:val="nil"/>
              <w:bottom w:val="nil"/>
              <w:right w:val="nil"/>
            </w:tcBorders>
          </w:tcPr>
          <w:p w14:paraId="384F98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0.272***</w:t>
            </w:r>
          </w:p>
        </w:tc>
        <w:tc>
          <w:tcPr>
            <w:tcW w:w="738" w:type="pct"/>
            <w:tcBorders>
              <w:top w:val="nil"/>
              <w:left w:val="nil"/>
              <w:bottom w:val="nil"/>
              <w:right w:val="nil"/>
            </w:tcBorders>
          </w:tcPr>
          <w:p w14:paraId="609EEA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0.259</w:t>
            </w:r>
          </w:p>
        </w:tc>
      </w:tr>
      <w:tr w:rsidR="00F00E3D" w:rsidRPr="00335312" w14:paraId="7E00D5EB" w14:textId="77777777" w:rsidTr="00063AC8">
        <w:trPr>
          <w:jc w:val="center"/>
        </w:trPr>
        <w:tc>
          <w:tcPr>
            <w:tcW w:w="1112" w:type="pct"/>
            <w:tcBorders>
              <w:top w:val="nil"/>
              <w:left w:val="nil"/>
              <w:bottom w:val="nil"/>
              <w:right w:val="nil"/>
            </w:tcBorders>
          </w:tcPr>
          <w:p w14:paraId="6786E3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3CC046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(1.529)</w:t>
            </w:r>
          </w:p>
        </w:tc>
        <w:tc>
          <w:tcPr>
            <w:tcW w:w="1006" w:type="pct"/>
            <w:tcBorders>
              <w:top w:val="nil"/>
              <w:left w:val="nil"/>
              <w:bottom w:val="nil"/>
              <w:right w:val="nil"/>
            </w:tcBorders>
          </w:tcPr>
          <w:p w14:paraId="374A72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(1.003)</w:t>
            </w:r>
          </w:p>
        </w:tc>
        <w:tc>
          <w:tcPr>
            <w:tcW w:w="668" w:type="pct"/>
            <w:tcBorders>
              <w:top w:val="nil"/>
              <w:left w:val="nil"/>
              <w:bottom w:val="nil"/>
              <w:right w:val="nil"/>
            </w:tcBorders>
          </w:tcPr>
          <w:p w14:paraId="3E1C2A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(3.042)</w:t>
            </w:r>
          </w:p>
        </w:tc>
        <w:tc>
          <w:tcPr>
            <w:tcW w:w="870" w:type="pct"/>
            <w:tcBorders>
              <w:top w:val="nil"/>
              <w:left w:val="nil"/>
              <w:bottom w:val="nil"/>
              <w:right w:val="nil"/>
            </w:tcBorders>
          </w:tcPr>
          <w:p w14:paraId="59A7DF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(7.287)</w:t>
            </w:r>
          </w:p>
        </w:tc>
        <w:tc>
          <w:tcPr>
            <w:tcW w:w="738" w:type="pct"/>
            <w:tcBorders>
              <w:top w:val="nil"/>
              <w:left w:val="nil"/>
              <w:bottom w:val="nil"/>
              <w:right w:val="nil"/>
            </w:tcBorders>
          </w:tcPr>
          <w:p w14:paraId="182C7E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(2.712)</w:t>
            </w:r>
          </w:p>
        </w:tc>
      </w:tr>
      <w:tr w:rsidR="00F00E3D" w:rsidRPr="00335312" w14:paraId="1E68349E" w14:textId="77777777" w:rsidTr="00063AC8">
        <w:trPr>
          <w:jc w:val="center"/>
        </w:trPr>
        <w:tc>
          <w:tcPr>
            <w:tcW w:w="1112" w:type="pct"/>
            <w:tcBorders>
              <w:top w:val="nil"/>
              <w:left w:val="nil"/>
              <w:bottom w:val="nil"/>
              <w:right w:val="nil"/>
            </w:tcBorders>
          </w:tcPr>
          <w:p w14:paraId="011B96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2019.year#7.month</w:t>
            </w:r>
          </w:p>
        </w:tc>
        <w:tc>
          <w:tcPr>
            <w:tcW w:w="607" w:type="pct"/>
            <w:tcBorders>
              <w:top w:val="nil"/>
              <w:left w:val="nil"/>
              <w:bottom w:val="nil"/>
              <w:right w:val="nil"/>
            </w:tcBorders>
          </w:tcPr>
          <w:p w14:paraId="1A6E54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0.0445</w:t>
            </w:r>
          </w:p>
        </w:tc>
        <w:tc>
          <w:tcPr>
            <w:tcW w:w="1006" w:type="pct"/>
            <w:tcBorders>
              <w:top w:val="nil"/>
              <w:left w:val="nil"/>
              <w:bottom w:val="nil"/>
              <w:right w:val="nil"/>
            </w:tcBorders>
          </w:tcPr>
          <w:p w14:paraId="15ACFE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0.0384</w:t>
            </w:r>
          </w:p>
        </w:tc>
        <w:tc>
          <w:tcPr>
            <w:tcW w:w="668" w:type="pct"/>
            <w:tcBorders>
              <w:top w:val="nil"/>
              <w:left w:val="nil"/>
              <w:bottom w:val="nil"/>
              <w:right w:val="nil"/>
            </w:tcBorders>
          </w:tcPr>
          <w:p w14:paraId="28995E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0.0690**</w:t>
            </w:r>
          </w:p>
        </w:tc>
        <w:tc>
          <w:tcPr>
            <w:tcW w:w="870" w:type="pct"/>
            <w:tcBorders>
              <w:top w:val="nil"/>
              <w:left w:val="nil"/>
              <w:bottom w:val="nil"/>
              <w:right w:val="nil"/>
            </w:tcBorders>
          </w:tcPr>
          <w:p w14:paraId="1ECEB0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0.247***</w:t>
            </w:r>
          </w:p>
        </w:tc>
        <w:tc>
          <w:tcPr>
            <w:tcW w:w="738" w:type="pct"/>
            <w:tcBorders>
              <w:top w:val="nil"/>
              <w:left w:val="nil"/>
              <w:bottom w:val="nil"/>
              <w:right w:val="nil"/>
            </w:tcBorders>
          </w:tcPr>
          <w:p w14:paraId="7A54B3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0.250***</w:t>
            </w:r>
          </w:p>
        </w:tc>
      </w:tr>
      <w:tr w:rsidR="00F00E3D" w:rsidRPr="00335312" w14:paraId="74A4CE04" w14:textId="77777777" w:rsidTr="00063AC8">
        <w:trPr>
          <w:jc w:val="center"/>
        </w:trPr>
        <w:tc>
          <w:tcPr>
            <w:tcW w:w="1112" w:type="pct"/>
            <w:tcBorders>
              <w:top w:val="nil"/>
              <w:left w:val="nil"/>
              <w:bottom w:val="nil"/>
              <w:right w:val="nil"/>
            </w:tcBorders>
          </w:tcPr>
          <w:p w14:paraId="1EB761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7C2FA5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(1.599)</w:t>
            </w:r>
          </w:p>
        </w:tc>
        <w:tc>
          <w:tcPr>
            <w:tcW w:w="1006" w:type="pct"/>
            <w:tcBorders>
              <w:top w:val="nil"/>
              <w:left w:val="nil"/>
              <w:bottom w:val="nil"/>
              <w:right w:val="nil"/>
            </w:tcBorders>
          </w:tcPr>
          <w:p w14:paraId="4ADEAA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(1.169)</w:t>
            </w:r>
          </w:p>
        </w:tc>
        <w:tc>
          <w:tcPr>
            <w:tcW w:w="668" w:type="pct"/>
            <w:tcBorders>
              <w:top w:val="nil"/>
              <w:left w:val="nil"/>
              <w:bottom w:val="nil"/>
              <w:right w:val="nil"/>
            </w:tcBorders>
          </w:tcPr>
          <w:p w14:paraId="5B4182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(2.316)</w:t>
            </w:r>
          </w:p>
        </w:tc>
        <w:tc>
          <w:tcPr>
            <w:tcW w:w="870" w:type="pct"/>
            <w:tcBorders>
              <w:top w:val="nil"/>
              <w:left w:val="nil"/>
              <w:bottom w:val="nil"/>
              <w:right w:val="nil"/>
            </w:tcBorders>
          </w:tcPr>
          <w:p w14:paraId="7B3145D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(7.234)</w:t>
            </w:r>
          </w:p>
        </w:tc>
        <w:tc>
          <w:tcPr>
            <w:tcW w:w="738" w:type="pct"/>
            <w:tcBorders>
              <w:top w:val="nil"/>
              <w:left w:val="nil"/>
              <w:bottom w:val="nil"/>
              <w:right w:val="nil"/>
            </w:tcBorders>
          </w:tcPr>
          <w:p w14:paraId="2C5284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(32.28)</w:t>
            </w:r>
          </w:p>
        </w:tc>
      </w:tr>
      <w:tr w:rsidR="00F00E3D" w:rsidRPr="00335312" w14:paraId="26FFF5E1" w14:textId="77777777" w:rsidTr="00063AC8">
        <w:trPr>
          <w:jc w:val="center"/>
        </w:trPr>
        <w:tc>
          <w:tcPr>
            <w:tcW w:w="1112" w:type="pct"/>
            <w:tcBorders>
              <w:top w:val="nil"/>
              <w:left w:val="nil"/>
              <w:bottom w:val="nil"/>
              <w:right w:val="nil"/>
            </w:tcBorders>
          </w:tcPr>
          <w:p w14:paraId="718067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2019.year#8.month</w:t>
            </w:r>
          </w:p>
        </w:tc>
        <w:tc>
          <w:tcPr>
            <w:tcW w:w="607" w:type="pct"/>
            <w:tcBorders>
              <w:top w:val="nil"/>
              <w:left w:val="nil"/>
              <w:bottom w:val="nil"/>
              <w:right w:val="nil"/>
            </w:tcBorders>
          </w:tcPr>
          <w:p w14:paraId="660940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0.0617**</w:t>
            </w:r>
          </w:p>
        </w:tc>
        <w:tc>
          <w:tcPr>
            <w:tcW w:w="1006" w:type="pct"/>
            <w:tcBorders>
              <w:top w:val="nil"/>
              <w:left w:val="nil"/>
              <w:bottom w:val="nil"/>
              <w:right w:val="nil"/>
            </w:tcBorders>
          </w:tcPr>
          <w:p w14:paraId="0BEB55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0.0544</w:t>
            </w:r>
          </w:p>
        </w:tc>
        <w:tc>
          <w:tcPr>
            <w:tcW w:w="668" w:type="pct"/>
            <w:tcBorders>
              <w:top w:val="nil"/>
              <w:left w:val="nil"/>
              <w:bottom w:val="nil"/>
              <w:right w:val="nil"/>
            </w:tcBorders>
          </w:tcPr>
          <w:p w14:paraId="5E4EC33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0.0899***</w:t>
            </w:r>
          </w:p>
        </w:tc>
        <w:tc>
          <w:tcPr>
            <w:tcW w:w="870" w:type="pct"/>
            <w:tcBorders>
              <w:top w:val="nil"/>
              <w:left w:val="nil"/>
              <w:bottom w:val="nil"/>
              <w:right w:val="nil"/>
            </w:tcBorders>
          </w:tcPr>
          <w:p w14:paraId="0EA516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0.202***</w:t>
            </w:r>
          </w:p>
        </w:tc>
        <w:tc>
          <w:tcPr>
            <w:tcW w:w="738" w:type="pct"/>
            <w:tcBorders>
              <w:top w:val="nil"/>
              <w:left w:val="nil"/>
              <w:bottom w:val="nil"/>
              <w:right w:val="nil"/>
            </w:tcBorders>
          </w:tcPr>
          <w:p w14:paraId="6E6801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0.419**</w:t>
            </w:r>
          </w:p>
        </w:tc>
      </w:tr>
      <w:tr w:rsidR="00F00E3D" w:rsidRPr="00335312" w14:paraId="10FE5F3E" w14:textId="77777777" w:rsidTr="00063AC8">
        <w:trPr>
          <w:jc w:val="center"/>
        </w:trPr>
        <w:tc>
          <w:tcPr>
            <w:tcW w:w="1112" w:type="pct"/>
            <w:tcBorders>
              <w:top w:val="nil"/>
              <w:left w:val="nil"/>
              <w:bottom w:val="nil"/>
              <w:right w:val="nil"/>
            </w:tcBorders>
          </w:tcPr>
          <w:p w14:paraId="448876B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23EB9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w:t>
            </w:r>
          </w:p>
        </w:tc>
        <w:tc>
          <w:tcPr>
            <w:tcW w:w="1006" w:type="pct"/>
            <w:tcBorders>
              <w:top w:val="nil"/>
              <w:left w:val="nil"/>
              <w:bottom w:val="nil"/>
              <w:right w:val="nil"/>
            </w:tcBorders>
          </w:tcPr>
          <w:p w14:paraId="7B6107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(1.502)</w:t>
            </w:r>
          </w:p>
        </w:tc>
        <w:tc>
          <w:tcPr>
            <w:tcW w:w="668" w:type="pct"/>
            <w:tcBorders>
              <w:top w:val="nil"/>
              <w:left w:val="nil"/>
              <w:bottom w:val="nil"/>
              <w:right w:val="nil"/>
            </w:tcBorders>
          </w:tcPr>
          <w:p w14:paraId="54732D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(3.199)</w:t>
            </w:r>
          </w:p>
        </w:tc>
        <w:tc>
          <w:tcPr>
            <w:tcW w:w="870" w:type="pct"/>
            <w:tcBorders>
              <w:top w:val="nil"/>
              <w:left w:val="nil"/>
              <w:bottom w:val="nil"/>
              <w:right w:val="nil"/>
            </w:tcBorders>
          </w:tcPr>
          <w:p w14:paraId="619490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(3.036)</w:t>
            </w:r>
          </w:p>
        </w:tc>
        <w:tc>
          <w:tcPr>
            <w:tcW w:w="738" w:type="pct"/>
            <w:tcBorders>
              <w:top w:val="nil"/>
              <w:left w:val="nil"/>
              <w:bottom w:val="nil"/>
              <w:right w:val="nil"/>
            </w:tcBorders>
          </w:tcPr>
          <w:p w14:paraId="1B6F1E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(4.869)</w:t>
            </w:r>
          </w:p>
        </w:tc>
      </w:tr>
      <w:tr w:rsidR="00F00E3D" w:rsidRPr="00335312" w14:paraId="1993910D" w14:textId="77777777" w:rsidTr="00063AC8">
        <w:trPr>
          <w:jc w:val="center"/>
        </w:trPr>
        <w:tc>
          <w:tcPr>
            <w:tcW w:w="1112" w:type="pct"/>
            <w:tcBorders>
              <w:top w:val="nil"/>
              <w:left w:val="nil"/>
              <w:bottom w:val="nil"/>
              <w:right w:val="nil"/>
            </w:tcBorders>
          </w:tcPr>
          <w:p w14:paraId="099898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2019.year#9.month</w:t>
            </w:r>
          </w:p>
        </w:tc>
        <w:tc>
          <w:tcPr>
            <w:tcW w:w="607" w:type="pct"/>
            <w:tcBorders>
              <w:top w:val="nil"/>
              <w:left w:val="nil"/>
              <w:bottom w:val="nil"/>
              <w:right w:val="nil"/>
            </w:tcBorders>
          </w:tcPr>
          <w:p w14:paraId="3E11E6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0.0841***</w:t>
            </w:r>
          </w:p>
        </w:tc>
        <w:tc>
          <w:tcPr>
            <w:tcW w:w="1006" w:type="pct"/>
            <w:tcBorders>
              <w:top w:val="nil"/>
              <w:left w:val="nil"/>
              <w:bottom w:val="nil"/>
              <w:right w:val="nil"/>
            </w:tcBorders>
          </w:tcPr>
          <w:p w14:paraId="4FCCA6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0.0829**</w:t>
            </w:r>
          </w:p>
        </w:tc>
        <w:tc>
          <w:tcPr>
            <w:tcW w:w="668" w:type="pct"/>
            <w:tcBorders>
              <w:top w:val="nil"/>
              <w:left w:val="nil"/>
              <w:bottom w:val="nil"/>
              <w:right w:val="nil"/>
            </w:tcBorders>
          </w:tcPr>
          <w:p w14:paraId="790C8F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0.0914***</w:t>
            </w:r>
          </w:p>
        </w:tc>
        <w:tc>
          <w:tcPr>
            <w:tcW w:w="870" w:type="pct"/>
            <w:tcBorders>
              <w:top w:val="nil"/>
              <w:left w:val="nil"/>
              <w:bottom w:val="nil"/>
              <w:right w:val="nil"/>
            </w:tcBorders>
          </w:tcPr>
          <w:p w14:paraId="71E094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0.245***</w:t>
            </w:r>
          </w:p>
        </w:tc>
        <w:tc>
          <w:tcPr>
            <w:tcW w:w="738" w:type="pct"/>
            <w:tcBorders>
              <w:top w:val="nil"/>
              <w:left w:val="nil"/>
              <w:bottom w:val="nil"/>
              <w:right w:val="nil"/>
            </w:tcBorders>
          </w:tcPr>
          <w:p w14:paraId="4FB624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0.0774</w:t>
            </w:r>
          </w:p>
        </w:tc>
      </w:tr>
      <w:tr w:rsidR="00F00E3D" w:rsidRPr="00335312" w14:paraId="365D9575" w14:textId="77777777" w:rsidTr="00063AC8">
        <w:trPr>
          <w:jc w:val="center"/>
        </w:trPr>
        <w:tc>
          <w:tcPr>
            <w:tcW w:w="1112" w:type="pct"/>
            <w:tcBorders>
              <w:top w:val="nil"/>
              <w:left w:val="nil"/>
              <w:bottom w:val="nil"/>
              <w:right w:val="nil"/>
            </w:tcBorders>
          </w:tcPr>
          <w:p w14:paraId="4D305B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333AE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(2.767)</w:t>
            </w:r>
          </w:p>
        </w:tc>
        <w:tc>
          <w:tcPr>
            <w:tcW w:w="1006" w:type="pct"/>
            <w:tcBorders>
              <w:top w:val="nil"/>
              <w:left w:val="nil"/>
              <w:bottom w:val="nil"/>
              <w:right w:val="nil"/>
            </w:tcBorders>
          </w:tcPr>
          <w:p w14:paraId="00C770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(2.277)</w:t>
            </w:r>
          </w:p>
        </w:tc>
        <w:tc>
          <w:tcPr>
            <w:tcW w:w="668" w:type="pct"/>
            <w:tcBorders>
              <w:top w:val="nil"/>
              <w:left w:val="nil"/>
              <w:bottom w:val="nil"/>
              <w:right w:val="nil"/>
            </w:tcBorders>
          </w:tcPr>
          <w:p w14:paraId="7E3E7A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(3.399)</w:t>
            </w:r>
          </w:p>
        </w:tc>
        <w:tc>
          <w:tcPr>
            <w:tcW w:w="870" w:type="pct"/>
            <w:tcBorders>
              <w:top w:val="nil"/>
              <w:left w:val="nil"/>
              <w:bottom w:val="nil"/>
              <w:right w:val="nil"/>
            </w:tcBorders>
          </w:tcPr>
          <w:p w14:paraId="3DDF22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(7.724)</w:t>
            </w:r>
          </w:p>
        </w:tc>
        <w:tc>
          <w:tcPr>
            <w:tcW w:w="738" w:type="pct"/>
            <w:tcBorders>
              <w:top w:val="nil"/>
              <w:left w:val="nil"/>
              <w:bottom w:val="nil"/>
              <w:right w:val="nil"/>
            </w:tcBorders>
          </w:tcPr>
          <w:p w14:paraId="34337D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(0.475)</w:t>
            </w:r>
          </w:p>
        </w:tc>
      </w:tr>
      <w:tr w:rsidR="00F00E3D" w:rsidRPr="00335312" w14:paraId="1C857DE3" w14:textId="77777777" w:rsidTr="00063AC8">
        <w:trPr>
          <w:jc w:val="center"/>
        </w:trPr>
        <w:tc>
          <w:tcPr>
            <w:tcW w:w="1112" w:type="pct"/>
            <w:tcBorders>
              <w:top w:val="nil"/>
              <w:left w:val="nil"/>
              <w:bottom w:val="nil"/>
              <w:right w:val="nil"/>
            </w:tcBorders>
          </w:tcPr>
          <w:p w14:paraId="3F3B6B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2019.year#10.month</w:t>
            </w:r>
          </w:p>
        </w:tc>
        <w:tc>
          <w:tcPr>
            <w:tcW w:w="607" w:type="pct"/>
            <w:tcBorders>
              <w:top w:val="nil"/>
              <w:left w:val="nil"/>
              <w:bottom w:val="nil"/>
              <w:right w:val="nil"/>
            </w:tcBorders>
          </w:tcPr>
          <w:p w14:paraId="658D02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0.0909***</w:t>
            </w:r>
          </w:p>
        </w:tc>
        <w:tc>
          <w:tcPr>
            <w:tcW w:w="1006" w:type="pct"/>
            <w:tcBorders>
              <w:top w:val="nil"/>
              <w:left w:val="nil"/>
              <w:bottom w:val="nil"/>
              <w:right w:val="nil"/>
            </w:tcBorders>
          </w:tcPr>
          <w:p w14:paraId="6D9D74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0.0824**</w:t>
            </w:r>
          </w:p>
        </w:tc>
        <w:tc>
          <w:tcPr>
            <w:tcW w:w="668" w:type="pct"/>
            <w:tcBorders>
              <w:top w:val="nil"/>
              <w:left w:val="nil"/>
              <w:bottom w:val="nil"/>
              <w:right w:val="nil"/>
            </w:tcBorders>
          </w:tcPr>
          <w:p w14:paraId="4C7EAB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0.126***</w:t>
            </w:r>
          </w:p>
        </w:tc>
        <w:tc>
          <w:tcPr>
            <w:tcW w:w="870" w:type="pct"/>
            <w:tcBorders>
              <w:top w:val="nil"/>
              <w:left w:val="nil"/>
              <w:bottom w:val="nil"/>
              <w:right w:val="nil"/>
            </w:tcBorders>
          </w:tcPr>
          <w:p w14:paraId="32740C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0.261***</w:t>
            </w:r>
          </w:p>
        </w:tc>
        <w:tc>
          <w:tcPr>
            <w:tcW w:w="738" w:type="pct"/>
            <w:tcBorders>
              <w:top w:val="nil"/>
              <w:left w:val="nil"/>
              <w:bottom w:val="nil"/>
              <w:right w:val="nil"/>
            </w:tcBorders>
          </w:tcPr>
          <w:p w14:paraId="291EC5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0.249***</w:t>
            </w:r>
          </w:p>
        </w:tc>
      </w:tr>
      <w:tr w:rsidR="00F00E3D" w:rsidRPr="00335312" w14:paraId="4C890512" w14:textId="77777777" w:rsidTr="00063AC8">
        <w:trPr>
          <w:jc w:val="center"/>
        </w:trPr>
        <w:tc>
          <w:tcPr>
            <w:tcW w:w="1112" w:type="pct"/>
            <w:tcBorders>
              <w:top w:val="nil"/>
              <w:left w:val="nil"/>
              <w:bottom w:val="nil"/>
              <w:right w:val="nil"/>
            </w:tcBorders>
          </w:tcPr>
          <w:p w14:paraId="483B3A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34B42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(2.962)</w:t>
            </w:r>
          </w:p>
        </w:tc>
        <w:tc>
          <w:tcPr>
            <w:tcW w:w="1006" w:type="pct"/>
            <w:tcBorders>
              <w:top w:val="nil"/>
              <w:left w:val="nil"/>
              <w:bottom w:val="nil"/>
              <w:right w:val="nil"/>
            </w:tcBorders>
          </w:tcPr>
          <w:p w14:paraId="19470B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(2.249)</w:t>
            </w:r>
          </w:p>
        </w:tc>
        <w:tc>
          <w:tcPr>
            <w:tcW w:w="668" w:type="pct"/>
            <w:tcBorders>
              <w:top w:val="nil"/>
              <w:left w:val="nil"/>
              <w:bottom w:val="nil"/>
              <w:right w:val="nil"/>
            </w:tcBorders>
          </w:tcPr>
          <w:p w14:paraId="558C3E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(4.377)</w:t>
            </w:r>
          </w:p>
        </w:tc>
        <w:tc>
          <w:tcPr>
            <w:tcW w:w="870" w:type="pct"/>
            <w:tcBorders>
              <w:top w:val="nil"/>
              <w:left w:val="nil"/>
              <w:bottom w:val="nil"/>
              <w:right w:val="nil"/>
            </w:tcBorders>
          </w:tcPr>
          <w:p w14:paraId="003D68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(7.540)</w:t>
            </w:r>
          </w:p>
        </w:tc>
        <w:tc>
          <w:tcPr>
            <w:tcW w:w="738" w:type="pct"/>
            <w:tcBorders>
              <w:top w:val="nil"/>
              <w:left w:val="nil"/>
              <w:bottom w:val="nil"/>
              <w:right w:val="nil"/>
            </w:tcBorders>
          </w:tcPr>
          <w:p w14:paraId="4EE89A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(17.75)</w:t>
            </w:r>
          </w:p>
        </w:tc>
      </w:tr>
      <w:tr w:rsidR="00F00E3D" w:rsidRPr="00335312" w14:paraId="59E06DC2" w14:textId="77777777" w:rsidTr="00063AC8">
        <w:trPr>
          <w:jc w:val="center"/>
        </w:trPr>
        <w:tc>
          <w:tcPr>
            <w:tcW w:w="1112" w:type="pct"/>
            <w:tcBorders>
              <w:top w:val="nil"/>
              <w:left w:val="nil"/>
              <w:bottom w:val="nil"/>
              <w:right w:val="nil"/>
            </w:tcBorders>
          </w:tcPr>
          <w:p w14:paraId="3F9459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2019.year#11.month</w:t>
            </w:r>
          </w:p>
        </w:tc>
        <w:tc>
          <w:tcPr>
            <w:tcW w:w="607" w:type="pct"/>
            <w:tcBorders>
              <w:top w:val="nil"/>
              <w:left w:val="nil"/>
              <w:bottom w:val="nil"/>
              <w:right w:val="nil"/>
            </w:tcBorders>
          </w:tcPr>
          <w:p w14:paraId="39286B6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0.111***</w:t>
            </w:r>
          </w:p>
        </w:tc>
        <w:tc>
          <w:tcPr>
            <w:tcW w:w="1006" w:type="pct"/>
            <w:tcBorders>
              <w:top w:val="nil"/>
              <w:left w:val="nil"/>
              <w:bottom w:val="nil"/>
              <w:right w:val="nil"/>
            </w:tcBorders>
          </w:tcPr>
          <w:p w14:paraId="5EAD7D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0.104***</w:t>
            </w:r>
          </w:p>
        </w:tc>
        <w:tc>
          <w:tcPr>
            <w:tcW w:w="668" w:type="pct"/>
            <w:tcBorders>
              <w:top w:val="nil"/>
              <w:left w:val="nil"/>
              <w:bottom w:val="nil"/>
              <w:right w:val="nil"/>
            </w:tcBorders>
          </w:tcPr>
          <w:p w14:paraId="40AFAA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0.139***</w:t>
            </w:r>
          </w:p>
        </w:tc>
        <w:tc>
          <w:tcPr>
            <w:tcW w:w="870" w:type="pct"/>
            <w:tcBorders>
              <w:top w:val="nil"/>
              <w:left w:val="nil"/>
              <w:bottom w:val="nil"/>
              <w:right w:val="nil"/>
            </w:tcBorders>
          </w:tcPr>
          <w:p w14:paraId="2E35C6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0.242***</w:t>
            </w:r>
          </w:p>
        </w:tc>
        <w:tc>
          <w:tcPr>
            <w:tcW w:w="738" w:type="pct"/>
            <w:tcBorders>
              <w:top w:val="nil"/>
              <w:left w:val="nil"/>
              <w:bottom w:val="nil"/>
              <w:right w:val="nil"/>
            </w:tcBorders>
          </w:tcPr>
          <w:p w14:paraId="600C7B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0.175</w:t>
            </w:r>
          </w:p>
        </w:tc>
      </w:tr>
      <w:tr w:rsidR="00F00E3D" w:rsidRPr="00335312" w14:paraId="17134362" w14:textId="77777777" w:rsidTr="00063AC8">
        <w:trPr>
          <w:jc w:val="center"/>
        </w:trPr>
        <w:tc>
          <w:tcPr>
            <w:tcW w:w="1112" w:type="pct"/>
            <w:tcBorders>
              <w:top w:val="nil"/>
              <w:left w:val="nil"/>
              <w:bottom w:val="nil"/>
              <w:right w:val="nil"/>
            </w:tcBorders>
          </w:tcPr>
          <w:p w14:paraId="11DF97D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9D046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(3.617)</w:t>
            </w:r>
          </w:p>
        </w:tc>
        <w:tc>
          <w:tcPr>
            <w:tcW w:w="1006" w:type="pct"/>
            <w:tcBorders>
              <w:top w:val="nil"/>
              <w:left w:val="nil"/>
              <w:bottom w:val="nil"/>
              <w:right w:val="nil"/>
            </w:tcBorders>
          </w:tcPr>
          <w:p w14:paraId="562031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(2.826)</w:t>
            </w:r>
          </w:p>
        </w:tc>
        <w:tc>
          <w:tcPr>
            <w:tcW w:w="668" w:type="pct"/>
            <w:tcBorders>
              <w:top w:val="nil"/>
              <w:left w:val="nil"/>
              <w:bottom w:val="nil"/>
              <w:right w:val="nil"/>
            </w:tcBorders>
          </w:tcPr>
          <w:p w14:paraId="2C1680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(5.110)</w:t>
            </w:r>
          </w:p>
        </w:tc>
        <w:tc>
          <w:tcPr>
            <w:tcW w:w="870" w:type="pct"/>
            <w:tcBorders>
              <w:top w:val="nil"/>
              <w:left w:val="nil"/>
              <w:bottom w:val="nil"/>
              <w:right w:val="nil"/>
            </w:tcBorders>
          </w:tcPr>
          <w:p w14:paraId="764388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(5.865)</w:t>
            </w:r>
          </w:p>
        </w:tc>
        <w:tc>
          <w:tcPr>
            <w:tcW w:w="738" w:type="pct"/>
            <w:tcBorders>
              <w:top w:val="nil"/>
              <w:left w:val="nil"/>
              <w:bottom w:val="nil"/>
              <w:right w:val="nil"/>
            </w:tcBorders>
          </w:tcPr>
          <w:p w14:paraId="17EA6A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(1.645)</w:t>
            </w:r>
          </w:p>
        </w:tc>
      </w:tr>
      <w:tr w:rsidR="00F00E3D" w:rsidRPr="00335312" w14:paraId="1EE2D361" w14:textId="77777777" w:rsidTr="00063AC8">
        <w:trPr>
          <w:jc w:val="center"/>
        </w:trPr>
        <w:tc>
          <w:tcPr>
            <w:tcW w:w="1112" w:type="pct"/>
            <w:tcBorders>
              <w:top w:val="nil"/>
              <w:left w:val="nil"/>
              <w:bottom w:val="nil"/>
              <w:right w:val="nil"/>
            </w:tcBorders>
          </w:tcPr>
          <w:p w14:paraId="590CD3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2019.year#12.month</w:t>
            </w:r>
          </w:p>
        </w:tc>
        <w:tc>
          <w:tcPr>
            <w:tcW w:w="607" w:type="pct"/>
            <w:tcBorders>
              <w:top w:val="nil"/>
              <w:left w:val="nil"/>
              <w:bottom w:val="nil"/>
              <w:right w:val="nil"/>
            </w:tcBorders>
          </w:tcPr>
          <w:p w14:paraId="5C2B16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0.116***</w:t>
            </w:r>
          </w:p>
        </w:tc>
        <w:tc>
          <w:tcPr>
            <w:tcW w:w="1006" w:type="pct"/>
            <w:tcBorders>
              <w:top w:val="nil"/>
              <w:left w:val="nil"/>
              <w:bottom w:val="nil"/>
              <w:right w:val="nil"/>
            </w:tcBorders>
          </w:tcPr>
          <w:p w14:paraId="7C041E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0.108***</w:t>
            </w:r>
          </w:p>
        </w:tc>
        <w:tc>
          <w:tcPr>
            <w:tcW w:w="668" w:type="pct"/>
            <w:tcBorders>
              <w:top w:val="nil"/>
              <w:left w:val="nil"/>
              <w:bottom w:val="nil"/>
              <w:right w:val="nil"/>
            </w:tcBorders>
          </w:tcPr>
          <w:p w14:paraId="452093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0.141***</w:t>
            </w:r>
          </w:p>
        </w:tc>
        <w:tc>
          <w:tcPr>
            <w:tcW w:w="870" w:type="pct"/>
            <w:tcBorders>
              <w:top w:val="nil"/>
              <w:left w:val="nil"/>
              <w:bottom w:val="nil"/>
              <w:right w:val="nil"/>
            </w:tcBorders>
          </w:tcPr>
          <w:p w14:paraId="0DD883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0.288***</w:t>
            </w:r>
          </w:p>
        </w:tc>
        <w:tc>
          <w:tcPr>
            <w:tcW w:w="738" w:type="pct"/>
            <w:tcBorders>
              <w:top w:val="nil"/>
              <w:left w:val="nil"/>
              <w:bottom w:val="nil"/>
              <w:right w:val="nil"/>
            </w:tcBorders>
          </w:tcPr>
          <w:p w14:paraId="4635F4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0.307***</w:t>
            </w:r>
          </w:p>
        </w:tc>
      </w:tr>
      <w:tr w:rsidR="00F00E3D" w:rsidRPr="00335312" w14:paraId="3EE135BA" w14:textId="77777777" w:rsidTr="00063AC8">
        <w:trPr>
          <w:jc w:val="center"/>
        </w:trPr>
        <w:tc>
          <w:tcPr>
            <w:tcW w:w="1112" w:type="pct"/>
            <w:tcBorders>
              <w:top w:val="nil"/>
              <w:left w:val="nil"/>
              <w:bottom w:val="nil"/>
              <w:right w:val="nil"/>
            </w:tcBorders>
          </w:tcPr>
          <w:p w14:paraId="7ED3F7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4D332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(3.409)</w:t>
            </w:r>
          </w:p>
        </w:tc>
        <w:tc>
          <w:tcPr>
            <w:tcW w:w="1006" w:type="pct"/>
            <w:tcBorders>
              <w:top w:val="nil"/>
              <w:left w:val="nil"/>
              <w:bottom w:val="nil"/>
              <w:right w:val="nil"/>
            </w:tcBorders>
          </w:tcPr>
          <w:p w14:paraId="5549E3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(2.617)</w:t>
            </w:r>
          </w:p>
        </w:tc>
        <w:tc>
          <w:tcPr>
            <w:tcW w:w="668" w:type="pct"/>
            <w:tcBorders>
              <w:top w:val="nil"/>
              <w:left w:val="nil"/>
              <w:bottom w:val="nil"/>
              <w:right w:val="nil"/>
            </w:tcBorders>
          </w:tcPr>
          <w:p w14:paraId="0EA72C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(5.400)</w:t>
            </w:r>
          </w:p>
        </w:tc>
        <w:tc>
          <w:tcPr>
            <w:tcW w:w="870" w:type="pct"/>
            <w:tcBorders>
              <w:top w:val="nil"/>
              <w:left w:val="nil"/>
              <w:bottom w:val="nil"/>
              <w:right w:val="nil"/>
            </w:tcBorders>
          </w:tcPr>
          <w:p w14:paraId="3E56E1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(6.152)</w:t>
            </w:r>
          </w:p>
        </w:tc>
        <w:tc>
          <w:tcPr>
            <w:tcW w:w="738" w:type="pct"/>
            <w:tcBorders>
              <w:top w:val="nil"/>
              <w:left w:val="nil"/>
              <w:bottom w:val="nil"/>
              <w:right w:val="nil"/>
            </w:tcBorders>
          </w:tcPr>
          <w:p w14:paraId="261641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(14.79)</w:t>
            </w:r>
          </w:p>
        </w:tc>
      </w:tr>
      <w:tr w:rsidR="00F00E3D" w:rsidRPr="00335312" w14:paraId="34C7FBA2" w14:textId="77777777" w:rsidTr="00063AC8">
        <w:trPr>
          <w:jc w:val="center"/>
        </w:trPr>
        <w:tc>
          <w:tcPr>
            <w:tcW w:w="1112" w:type="pct"/>
            <w:tcBorders>
              <w:top w:val="nil"/>
              <w:left w:val="nil"/>
              <w:bottom w:val="nil"/>
              <w:right w:val="nil"/>
            </w:tcBorders>
          </w:tcPr>
          <w:p w14:paraId="60D6F1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2020.year#1.month</w:t>
            </w:r>
          </w:p>
        </w:tc>
        <w:tc>
          <w:tcPr>
            <w:tcW w:w="607" w:type="pct"/>
            <w:tcBorders>
              <w:top w:val="nil"/>
              <w:left w:val="nil"/>
              <w:bottom w:val="nil"/>
              <w:right w:val="nil"/>
            </w:tcBorders>
          </w:tcPr>
          <w:p w14:paraId="3106CEB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0.0957***</w:t>
            </w:r>
          </w:p>
        </w:tc>
        <w:tc>
          <w:tcPr>
            <w:tcW w:w="1006" w:type="pct"/>
            <w:tcBorders>
              <w:top w:val="nil"/>
              <w:left w:val="nil"/>
              <w:bottom w:val="nil"/>
              <w:right w:val="nil"/>
            </w:tcBorders>
          </w:tcPr>
          <w:p w14:paraId="6D341C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0.0821*</w:t>
            </w:r>
          </w:p>
        </w:tc>
        <w:tc>
          <w:tcPr>
            <w:tcW w:w="668" w:type="pct"/>
            <w:tcBorders>
              <w:top w:val="nil"/>
              <w:left w:val="nil"/>
              <w:bottom w:val="nil"/>
              <w:right w:val="nil"/>
            </w:tcBorders>
          </w:tcPr>
          <w:p w14:paraId="034520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0.147***</w:t>
            </w:r>
          </w:p>
        </w:tc>
        <w:tc>
          <w:tcPr>
            <w:tcW w:w="870" w:type="pct"/>
            <w:tcBorders>
              <w:top w:val="nil"/>
              <w:left w:val="nil"/>
              <w:bottom w:val="nil"/>
              <w:right w:val="nil"/>
            </w:tcBorders>
          </w:tcPr>
          <w:p w14:paraId="0DF63E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0.382***</w:t>
            </w:r>
          </w:p>
        </w:tc>
        <w:tc>
          <w:tcPr>
            <w:tcW w:w="738" w:type="pct"/>
            <w:tcBorders>
              <w:top w:val="nil"/>
              <w:left w:val="nil"/>
              <w:bottom w:val="nil"/>
              <w:right w:val="nil"/>
            </w:tcBorders>
          </w:tcPr>
          <w:p w14:paraId="3AB7B5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0.618</w:t>
            </w:r>
          </w:p>
        </w:tc>
      </w:tr>
      <w:tr w:rsidR="00F00E3D" w:rsidRPr="00335312" w14:paraId="49ACF281" w14:textId="77777777" w:rsidTr="00063AC8">
        <w:trPr>
          <w:jc w:val="center"/>
        </w:trPr>
        <w:tc>
          <w:tcPr>
            <w:tcW w:w="1112" w:type="pct"/>
            <w:tcBorders>
              <w:top w:val="nil"/>
              <w:left w:val="nil"/>
              <w:bottom w:val="nil"/>
              <w:right w:val="nil"/>
            </w:tcBorders>
          </w:tcPr>
          <w:p w14:paraId="770D395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15E71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(2.637)</w:t>
            </w:r>
          </w:p>
        </w:tc>
        <w:tc>
          <w:tcPr>
            <w:tcW w:w="1006" w:type="pct"/>
            <w:tcBorders>
              <w:top w:val="nil"/>
              <w:left w:val="nil"/>
              <w:bottom w:val="nil"/>
              <w:right w:val="nil"/>
            </w:tcBorders>
          </w:tcPr>
          <w:p w14:paraId="2F35886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(1.904)</w:t>
            </w:r>
          </w:p>
        </w:tc>
        <w:tc>
          <w:tcPr>
            <w:tcW w:w="668" w:type="pct"/>
            <w:tcBorders>
              <w:top w:val="nil"/>
              <w:left w:val="nil"/>
              <w:bottom w:val="nil"/>
              <w:right w:val="nil"/>
            </w:tcBorders>
          </w:tcPr>
          <w:p w14:paraId="33BFB5A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(4.702)</w:t>
            </w:r>
          </w:p>
        </w:tc>
        <w:tc>
          <w:tcPr>
            <w:tcW w:w="870" w:type="pct"/>
            <w:tcBorders>
              <w:top w:val="nil"/>
              <w:left w:val="nil"/>
              <w:bottom w:val="nil"/>
              <w:right w:val="nil"/>
            </w:tcBorders>
          </w:tcPr>
          <w:p w14:paraId="5CA7E1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(5.364)</w:t>
            </w:r>
          </w:p>
        </w:tc>
        <w:tc>
          <w:tcPr>
            <w:tcW w:w="738" w:type="pct"/>
            <w:tcBorders>
              <w:top w:val="nil"/>
              <w:left w:val="nil"/>
              <w:bottom w:val="nil"/>
              <w:right w:val="nil"/>
            </w:tcBorders>
          </w:tcPr>
          <w:p w14:paraId="2F78D5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(1.571)</w:t>
            </w:r>
          </w:p>
        </w:tc>
      </w:tr>
      <w:tr w:rsidR="00F00E3D" w:rsidRPr="00335312" w14:paraId="234CD540" w14:textId="77777777" w:rsidTr="00063AC8">
        <w:trPr>
          <w:jc w:val="center"/>
        </w:trPr>
        <w:tc>
          <w:tcPr>
            <w:tcW w:w="1112" w:type="pct"/>
            <w:tcBorders>
              <w:top w:val="nil"/>
              <w:left w:val="nil"/>
              <w:bottom w:val="nil"/>
              <w:right w:val="nil"/>
            </w:tcBorders>
          </w:tcPr>
          <w:p w14:paraId="0AE00A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2020.year#2.month</w:t>
            </w:r>
          </w:p>
        </w:tc>
        <w:tc>
          <w:tcPr>
            <w:tcW w:w="607" w:type="pct"/>
            <w:tcBorders>
              <w:top w:val="nil"/>
              <w:left w:val="nil"/>
              <w:bottom w:val="nil"/>
              <w:right w:val="nil"/>
            </w:tcBorders>
          </w:tcPr>
          <w:p w14:paraId="500CBA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0.125***</w:t>
            </w:r>
          </w:p>
        </w:tc>
        <w:tc>
          <w:tcPr>
            <w:tcW w:w="1006" w:type="pct"/>
            <w:tcBorders>
              <w:top w:val="nil"/>
              <w:left w:val="nil"/>
              <w:bottom w:val="nil"/>
              <w:right w:val="nil"/>
            </w:tcBorders>
          </w:tcPr>
          <w:p w14:paraId="136E50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0.116***</w:t>
            </w:r>
          </w:p>
        </w:tc>
        <w:tc>
          <w:tcPr>
            <w:tcW w:w="668" w:type="pct"/>
            <w:tcBorders>
              <w:top w:val="nil"/>
              <w:left w:val="nil"/>
              <w:bottom w:val="nil"/>
              <w:right w:val="nil"/>
            </w:tcBorders>
          </w:tcPr>
          <w:p w14:paraId="0A1061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0.155***</w:t>
            </w:r>
          </w:p>
        </w:tc>
        <w:tc>
          <w:tcPr>
            <w:tcW w:w="870" w:type="pct"/>
            <w:tcBorders>
              <w:top w:val="nil"/>
              <w:left w:val="nil"/>
              <w:bottom w:val="nil"/>
              <w:right w:val="nil"/>
            </w:tcBorders>
          </w:tcPr>
          <w:p w14:paraId="317D42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0.283***</w:t>
            </w:r>
          </w:p>
        </w:tc>
        <w:tc>
          <w:tcPr>
            <w:tcW w:w="738" w:type="pct"/>
            <w:tcBorders>
              <w:top w:val="nil"/>
              <w:left w:val="nil"/>
              <w:bottom w:val="nil"/>
              <w:right w:val="nil"/>
            </w:tcBorders>
          </w:tcPr>
          <w:p w14:paraId="2D68A9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0.309***</w:t>
            </w:r>
          </w:p>
        </w:tc>
      </w:tr>
      <w:tr w:rsidR="00F00E3D" w:rsidRPr="00335312" w14:paraId="777B2AB9" w14:textId="77777777" w:rsidTr="00063AC8">
        <w:trPr>
          <w:jc w:val="center"/>
        </w:trPr>
        <w:tc>
          <w:tcPr>
            <w:tcW w:w="1112" w:type="pct"/>
            <w:tcBorders>
              <w:top w:val="nil"/>
              <w:left w:val="nil"/>
              <w:bottom w:val="nil"/>
              <w:right w:val="nil"/>
            </w:tcBorders>
          </w:tcPr>
          <w:p w14:paraId="559DC96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1441D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(3.751)</w:t>
            </w:r>
          </w:p>
        </w:tc>
        <w:tc>
          <w:tcPr>
            <w:tcW w:w="1006" w:type="pct"/>
            <w:tcBorders>
              <w:top w:val="nil"/>
              <w:left w:val="nil"/>
              <w:bottom w:val="nil"/>
              <w:right w:val="nil"/>
            </w:tcBorders>
          </w:tcPr>
          <w:p w14:paraId="4D1A809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(2.901)</w:t>
            </w:r>
          </w:p>
        </w:tc>
        <w:tc>
          <w:tcPr>
            <w:tcW w:w="668" w:type="pct"/>
            <w:tcBorders>
              <w:top w:val="nil"/>
              <w:left w:val="nil"/>
              <w:bottom w:val="nil"/>
              <w:right w:val="nil"/>
            </w:tcBorders>
          </w:tcPr>
          <w:p w14:paraId="0CC4F6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(5.043)</w:t>
            </w:r>
          </w:p>
        </w:tc>
        <w:tc>
          <w:tcPr>
            <w:tcW w:w="870" w:type="pct"/>
            <w:tcBorders>
              <w:top w:val="nil"/>
              <w:left w:val="nil"/>
              <w:bottom w:val="nil"/>
              <w:right w:val="nil"/>
            </w:tcBorders>
          </w:tcPr>
          <w:p w14:paraId="7B327DA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(7.568)</w:t>
            </w:r>
          </w:p>
        </w:tc>
        <w:tc>
          <w:tcPr>
            <w:tcW w:w="738" w:type="pct"/>
            <w:tcBorders>
              <w:top w:val="nil"/>
              <w:left w:val="nil"/>
              <w:bottom w:val="nil"/>
              <w:right w:val="nil"/>
            </w:tcBorders>
          </w:tcPr>
          <w:p w14:paraId="5B0C07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(11.95)</w:t>
            </w:r>
          </w:p>
        </w:tc>
      </w:tr>
      <w:tr w:rsidR="00F00E3D" w:rsidRPr="00335312" w14:paraId="07BB8139" w14:textId="77777777" w:rsidTr="00063AC8">
        <w:trPr>
          <w:jc w:val="center"/>
        </w:trPr>
        <w:tc>
          <w:tcPr>
            <w:tcW w:w="1112" w:type="pct"/>
            <w:tcBorders>
              <w:top w:val="nil"/>
              <w:left w:val="nil"/>
              <w:bottom w:val="nil"/>
              <w:right w:val="nil"/>
            </w:tcBorders>
          </w:tcPr>
          <w:p w14:paraId="4B22E6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2020.year#3.month</w:t>
            </w:r>
          </w:p>
        </w:tc>
        <w:tc>
          <w:tcPr>
            <w:tcW w:w="607" w:type="pct"/>
            <w:tcBorders>
              <w:top w:val="nil"/>
              <w:left w:val="nil"/>
              <w:bottom w:val="nil"/>
              <w:right w:val="nil"/>
            </w:tcBorders>
          </w:tcPr>
          <w:p w14:paraId="150300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0.116***</w:t>
            </w:r>
          </w:p>
        </w:tc>
        <w:tc>
          <w:tcPr>
            <w:tcW w:w="1006" w:type="pct"/>
            <w:tcBorders>
              <w:top w:val="nil"/>
              <w:left w:val="nil"/>
              <w:bottom w:val="nil"/>
              <w:right w:val="nil"/>
            </w:tcBorders>
          </w:tcPr>
          <w:p w14:paraId="2F2E4A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0.103***</w:t>
            </w:r>
          </w:p>
        </w:tc>
        <w:tc>
          <w:tcPr>
            <w:tcW w:w="668" w:type="pct"/>
            <w:tcBorders>
              <w:top w:val="nil"/>
              <w:left w:val="nil"/>
              <w:bottom w:val="nil"/>
              <w:right w:val="nil"/>
            </w:tcBorders>
          </w:tcPr>
          <w:p w14:paraId="1DFC791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0.161***</w:t>
            </w:r>
          </w:p>
        </w:tc>
        <w:tc>
          <w:tcPr>
            <w:tcW w:w="870" w:type="pct"/>
            <w:tcBorders>
              <w:top w:val="nil"/>
              <w:left w:val="nil"/>
              <w:bottom w:val="nil"/>
              <w:right w:val="nil"/>
            </w:tcBorders>
          </w:tcPr>
          <w:p w14:paraId="79BDC3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0.379***</w:t>
            </w:r>
          </w:p>
        </w:tc>
        <w:tc>
          <w:tcPr>
            <w:tcW w:w="738" w:type="pct"/>
            <w:tcBorders>
              <w:top w:val="nil"/>
              <w:left w:val="nil"/>
              <w:bottom w:val="nil"/>
              <w:right w:val="nil"/>
            </w:tcBorders>
          </w:tcPr>
          <w:p w14:paraId="7FF226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0.159</w:t>
            </w:r>
          </w:p>
        </w:tc>
      </w:tr>
      <w:tr w:rsidR="00F00E3D" w:rsidRPr="00335312" w14:paraId="73830333" w14:textId="77777777" w:rsidTr="00063AC8">
        <w:trPr>
          <w:jc w:val="center"/>
        </w:trPr>
        <w:tc>
          <w:tcPr>
            <w:tcW w:w="1112" w:type="pct"/>
            <w:tcBorders>
              <w:top w:val="nil"/>
              <w:left w:val="nil"/>
              <w:bottom w:val="nil"/>
              <w:right w:val="nil"/>
            </w:tcBorders>
          </w:tcPr>
          <w:p w14:paraId="3F592C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5B040E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(3.715)</w:t>
            </w:r>
          </w:p>
        </w:tc>
        <w:tc>
          <w:tcPr>
            <w:tcW w:w="1006" w:type="pct"/>
            <w:tcBorders>
              <w:top w:val="nil"/>
              <w:left w:val="nil"/>
              <w:bottom w:val="nil"/>
              <w:right w:val="nil"/>
            </w:tcBorders>
          </w:tcPr>
          <w:p w14:paraId="45A3E6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(2.804)</w:t>
            </w:r>
          </w:p>
        </w:tc>
        <w:tc>
          <w:tcPr>
            <w:tcW w:w="668" w:type="pct"/>
            <w:tcBorders>
              <w:top w:val="nil"/>
              <w:left w:val="nil"/>
              <w:bottom w:val="nil"/>
              <w:right w:val="nil"/>
            </w:tcBorders>
          </w:tcPr>
          <w:p w14:paraId="3BDBE9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(5.170)</w:t>
            </w:r>
          </w:p>
        </w:tc>
        <w:tc>
          <w:tcPr>
            <w:tcW w:w="870" w:type="pct"/>
            <w:tcBorders>
              <w:top w:val="nil"/>
              <w:left w:val="nil"/>
              <w:bottom w:val="nil"/>
              <w:right w:val="nil"/>
            </w:tcBorders>
          </w:tcPr>
          <w:p w14:paraId="7EA339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(4.544)</w:t>
            </w:r>
          </w:p>
        </w:tc>
        <w:tc>
          <w:tcPr>
            <w:tcW w:w="738" w:type="pct"/>
            <w:tcBorders>
              <w:top w:val="nil"/>
              <w:left w:val="nil"/>
              <w:bottom w:val="nil"/>
              <w:right w:val="nil"/>
            </w:tcBorders>
          </w:tcPr>
          <w:p w14:paraId="56D63A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(2.475)</w:t>
            </w:r>
          </w:p>
        </w:tc>
      </w:tr>
      <w:tr w:rsidR="00F00E3D" w:rsidRPr="00335312" w14:paraId="55DFD8F9" w14:textId="77777777" w:rsidTr="00063AC8">
        <w:trPr>
          <w:jc w:val="center"/>
        </w:trPr>
        <w:tc>
          <w:tcPr>
            <w:tcW w:w="1112" w:type="pct"/>
            <w:tcBorders>
              <w:top w:val="nil"/>
              <w:left w:val="nil"/>
              <w:bottom w:val="nil"/>
              <w:right w:val="nil"/>
            </w:tcBorders>
          </w:tcPr>
          <w:p w14:paraId="041EAB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2020.year#4.month</w:t>
            </w:r>
          </w:p>
        </w:tc>
        <w:tc>
          <w:tcPr>
            <w:tcW w:w="607" w:type="pct"/>
            <w:tcBorders>
              <w:top w:val="nil"/>
              <w:left w:val="nil"/>
              <w:bottom w:val="nil"/>
              <w:right w:val="nil"/>
            </w:tcBorders>
          </w:tcPr>
          <w:p w14:paraId="27A502D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0.0935***</w:t>
            </w:r>
          </w:p>
        </w:tc>
        <w:tc>
          <w:tcPr>
            <w:tcW w:w="1006" w:type="pct"/>
            <w:tcBorders>
              <w:top w:val="nil"/>
              <w:left w:val="nil"/>
              <w:bottom w:val="nil"/>
              <w:right w:val="nil"/>
            </w:tcBorders>
          </w:tcPr>
          <w:p w14:paraId="0069FF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0.0809**</w:t>
            </w:r>
          </w:p>
        </w:tc>
        <w:tc>
          <w:tcPr>
            <w:tcW w:w="668" w:type="pct"/>
            <w:tcBorders>
              <w:top w:val="nil"/>
              <w:left w:val="nil"/>
              <w:bottom w:val="nil"/>
              <w:right w:val="nil"/>
            </w:tcBorders>
          </w:tcPr>
          <w:p w14:paraId="7D6ED6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0.138***</w:t>
            </w:r>
          </w:p>
        </w:tc>
        <w:tc>
          <w:tcPr>
            <w:tcW w:w="870" w:type="pct"/>
            <w:tcBorders>
              <w:top w:val="nil"/>
              <w:left w:val="nil"/>
              <w:bottom w:val="nil"/>
              <w:right w:val="nil"/>
            </w:tcBorders>
          </w:tcPr>
          <w:p w14:paraId="2015E0B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0.336***</w:t>
            </w:r>
          </w:p>
        </w:tc>
        <w:tc>
          <w:tcPr>
            <w:tcW w:w="738" w:type="pct"/>
            <w:tcBorders>
              <w:top w:val="nil"/>
              <w:left w:val="nil"/>
              <w:bottom w:val="nil"/>
              <w:right w:val="nil"/>
            </w:tcBorders>
          </w:tcPr>
          <w:p w14:paraId="025A1B8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0.259***</w:t>
            </w:r>
          </w:p>
        </w:tc>
      </w:tr>
      <w:tr w:rsidR="00F00E3D" w:rsidRPr="00335312" w14:paraId="387858B2" w14:textId="77777777" w:rsidTr="00063AC8">
        <w:trPr>
          <w:jc w:val="center"/>
        </w:trPr>
        <w:tc>
          <w:tcPr>
            <w:tcW w:w="1112" w:type="pct"/>
            <w:tcBorders>
              <w:top w:val="nil"/>
              <w:left w:val="nil"/>
              <w:bottom w:val="nil"/>
              <w:right w:val="nil"/>
            </w:tcBorders>
          </w:tcPr>
          <w:p w14:paraId="07939F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45646A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(2.854)</w:t>
            </w:r>
          </w:p>
        </w:tc>
        <w:tc>
          <w:tcPr>
            <w:tcW w:w="1006" w:type="pct"/>
            <w:tcBorders>
              <w:top w:val="nil"/>
              <w:left w:val="nil"/>
              <w:bottom w:val="nil"/>
              <w:right w:val="nil"/>
            </w:tcBorders>
          </w:tcPr>
          <w:p w14:paraId="385D7E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(2.074)</w:t>
            </w:r>
          </w:p>
        </w:tc>
        <w:tc>
          <w:tcPr>
            <w:tcW w:w="668" w:type="pct"/>
            <w:tcBorders>
              <w:top w:val="nil"/>
              <w:left w:val="nil"/>
              <w:bottom w:val="nil"/>
              <w:right w:val="nil"/>
            </w:tcBorders>
          </w:tcPr>
          <w:p w14:paraId="75CD1C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(4.977)</w:t>
            </w:r>
          </w:p>
        </w:tc>
        <w:tc>
          <w:tcPr>
            <w:tcW w:w="870" w:type="pct"/>
            <w:tcBorders>
              <w:top w:val="nil"/>
              <w:left w:val="nil"/>
              <w:bottom w:val="nil"/>
              <w:right w:val="nil"/>
            </w:tcBorders>
          </w:tcPr>
          <w:p w14:paraId="58CFF6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(5.725)</w:t>
            </w:r>
          </w:p>
        </w:tc>
        <w:tc>
          <w:tcPr>
            <w:tcW w:w="738" w:type="pct"/>
            <w:tcBorders>
              <w:top w:val="nil"/>
              <w:left w:val="nil"/>
              <w:bottom w:val="nil"/>
              <w:right w:val="nil"/>
            </w:tcBorders>
          </w:tcPr>
          <w:p w14:paraId="3D2E68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(25.74)</w:t>
            </w:r>
          </w:p>
        </w:tc>
      </w:tr>
      <w:tr w:rsidR="00F00E3D" w:rsidRPr="00335312" w14:paraId="397B87E8" w14:textId="77777777" w:rsidTr="00063AC8">
        <w:trPr>
          <w:jc w:val="center"/>
        </w:trPr>
        <w:tc>
          <w:tcPr>
            <w:tcW w:w="1112" w:type="pct"/>
            <w:tcBorders>
              <w:top w:val="nil"/>
              <w:left w:val="nil"/>
              <w:bottom w:val="nil"/>
              <w:right w:val="nil"/>
            </w:tcBorders>
          </w:tcPr>
          <w:p w14:paraId="7BEF69A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2020.year#5.month</w:t>
            </w:r>
          </w:p>
        </w:tc>
        <w:tc>
          <w:tcPr>
            <w:tcW w:w="607" w:type="pct"/>
            <w:tcBorders>
              <w:top w:val="nil"/>
              <w:left w:val="nil"/>
              <w:bottom w:val="nil"/>
              <w:right w:val="nil"/>
            </w:tcBorders>
          </w:tcPr>
          <w:p w14:paraId="2AB5D0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0.0873***</w:t>
            </w:r>
          </w:p>
        </w:tc>
        <w:tc>
          <w:tcPr>
            <w:tcW w:w="1006" w:type="pct"/>
            <w:tcBorders>
              <w:top w:val="nil"/>
              <w:left w:val="nil"/>
              <w:bottom w:val="nil"/>
              <w:right w:val="nil"/>
            </w:tcBorders>
          </w:tcPr>
          <w:p w14:paraId="1C0C1F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0.0718**</w:t>
            </w:r>
          </w:p>
        </w:tc>
        <w:tc>
          <w:tcPr>
            <w:tcW w:w="668" w:type="pct"/>
            <w:tcBorders>
              <w:top w:val="nil"/>
              <w:left w:val="nil"/>
              <w:bottom w:val="nil"/>
              <w:right w:val="nil"/>
            </w:tcBorders>
          </w:tcPr>
          <w:p w14:paraId="182363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0.135***</w:t>
            </w:r>
          </w:p>
        </w:tc>
        <w:tc>
          <w:tcPr>
            <w:tcW w:w="870" w:type="pct"/>
            <w:tcBorders>
              <w:top w:val="nil"/>
              <w:left w:val="nil"/>
              <w:bottom w:val="nil"/>
              <w:right w:val="nil"/>
            </w:tcBorders>
          </w:tcPr>
          <w:p w14:paraId="20B69C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0.280***</w:t>
            </w:r>
          </w:p>
        </w:tc>
        <w:tc>
          <w:tcPr>
            <w:tcW w:w="738" w:type="pct"/>
            <w:tcBorders>
              <w:top w:val="nil"/>
              <w:left w:val="nil"/>
              <w:bottom w:val="nil"/>
              <w:right w:val="nil"/>
            </w:tcBorders>
          </w:tcPr>
          <w:p w14:paraId="189C26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0.174</w:t>
            </w:r>
          </w:p>
        </w:tc>
      </w:tr>
      <w:tr w:rsidR="00F00E3D" w:rsidRPr="00335312" w14:paraId="74AB3B60" w14:textId="77777777" w:rsidTr="00063AC8">
        <w:trPr>
          <w:jc w:val="center"/>
        </w:trPr>
        <w:tc>
          <w:tcPr>
            <w:tcW w:w="1112" w:type="pct"/>
            <w:tcBorders>
              <w:top w:val="nil"/>
              <w:left w:val="nil"/>
              <w:bottom w:val="nil"/>
              <w:right w:val="nil"/>
            </w:tcBorders>
          </w:tcPr>
          <w:p w14:paraId="531994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175D9F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(2.929)</w:t>
            </w:r>
          </w:p>
        </w:tc>
        <w:tc>
          <w:tcPr>
            <w:tcW w:w="1006" w:type="pct"/>
            <w:tcBorders>
              <w:top w:val="nil"/>
              <w:left w:val="nil"/>
              <w:bottom w:val="nil"/>
              <w:right w:val="nil"/>
            </w:tcBorders>
          </w:tcPr>
          <w:p w14:paraId="7DC6A5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(2.044)</w:t>
            </w:r>
          </w:p>
        </w:tc>
        <w:tc>
          <w:tcPr>
            <w:tcW w:w="668" w:type="pct"/>
            <w:tcBorders>
              <w:top w:val="nil"/>
              <w:left w:val="nil"/>
              <w:bottom w:val="nil"/>
              <w:right w:val="nil"/>
            </w:tcBorders>
          </w:tcPr>
          <w:p w14:paraId="48C7F9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(4.640)</w:t>
            </w:r>
          </w:p>
        </w:tc>
        <w:tc>
          <w:tcPr>
            <w:tcW w:w="870" w:type="pct"/>
            <w:tcBorders>
              <w:top w:val="nil"/>
              <w:left w:val="nil"/>
              <w:bottom w:val="nil"/>
              <w:right w:val="nil"/>
            </w:tcBorders>
          </w:tcPr>
          <w:p w14:paraId="3AA9D0D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(6.804)</w:t>
            </w:r>
          </w:p>
        </w:tc>
        <w:tc>
          <w:tcPr>
            <w:tcW w:w="738" w:type="pct"/>
            <w:tcBorders>
              <w:top w:val="nil"/>
              <w:left w:val="nil"/>
              <w:bottom w:val="nil"/>
              <w:right w:val="nil"/>
            </w:tcBorders>
          </w:tcPr>
          <w:p w14:paraId="1FBEC5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(2.596)</w:t>
            </w:r>
          </w:p>
        </w:tc>
      </w:tr>
      <w:tr w:rsidR="00F00E3D" w:rsidRPr="00335312" w14:paraId="3A55D6BC" w14:textId="77777777" w:rsidTr="00063AC8">
        <w:trPr>
          <w:jc w:val="center"/>
        </w:trPr>
        <w:tc>
          <w:tcPr>
            <w:tcW w:w="1112" w:type="pct"/>
            <w:tcBorders>
              <w:top w:val="nil"/>
              <w:left w:val="nil"/>
              <w:bottom w:val="nil"/>
              <w:right w:val="nil"/>
            </w:tcBorders>
          </w:tcPr>
          <w:p w14:paraId="6811D2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2020.year#6.month</w:t>
            </w:r>
          </w:p>
        </w:tc>
        <w:tc>
          <w:tcPr>
            <w:tcW w:w="607" w:type="pct"/>
            <w:tcBorders>
              <w:top w:val="nil"/>
              <w:left w:val="nil"/>
              <w:bottom w:val="nil"/>
              <w:right w:val="nil"/>
            </w:tcBorders>
          </w:tcPr>
          <w:p w14:paraId="0EC37A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0.0886***</w:t>
            </w:r>
          </w:p>
        </w:tc>
        <w:tc>
          <w:tcPr>
            <w:tcW w:w="1006" w:type="pct"/>
            <w:tcBorders>
              <w:top w:val="nil"/>
              <w:left w:val="nil"/>
              <w:bottom w:val="nil"/>
              <w:right w:val="nil"/>
            </w:tcBorders>
          </w:tcPr>
          <w:p w14:paraId="7C3754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0.0640*</w:t>
            </w:r>
          </w:p>
        </w:tc>
        <w:tc>
          <w:tcPr>
            <w:tcW w:w="668" w:type="pct"/>
            <w:tcBorders>
              <w:top w:val="nil"/>
              <w:left w:val="nil"/>
              <w:bottom w:val="nil"/>
              <w:right w:val="nil"/>
            </w:tcBorders>
          </w:tcPr>
          <w:p w14:paraId="719F87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0.169***</w:t>
            </w:r>
          </w:p>
        </w:tc>
        <w:tc>
          <w:tcPr>
            <w:tcW w:w="870" w:type="pct"/>
            <w:tcBorders>
              <w:top w:val="nil"/>
              <w:left w:val="nil"/>
              <w:bottom w:val="nil"/>
              <w:right w:val="nil"/>
            </w:tcBorders>
          </w:tcPr>
          <w:p w14:paraId="100B11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0.319***</w:t>
            </w:r>
          </w:p>
        </w:tc>
        <w:tc>
          <w:tcPr>
            <w:tcW w:w="738" w:type="pct"/>
            <w:tcBorders>
              <w:top w:val="nil"/>
              <w:left w:val="nil"/>
              <w:bottom w:val="nil"/>
              <w:right w:val="nil"/>
            </w:tcBorders>
          </w:tcPr>
          <w:p w14:paraId="13BC50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0.337</w:t>
            </w:r>
          </w:p>
        </w:tc>
      </w:tr>
      <w:tr w:rsidR="00F00E3D" w:rsidRPr="00335312" w14:paraId="3C0875A7" w14:textId="77777777" w:rsidTr="00063AC8">
        <w:trPr>
          <w:jc w:val="center"/>
        </w:trPr>
        <w:tc>
          <w:tcPr>
            <w:tcW w:w="1112" w:type="pct"/>
            <w:tcBorders>
              <w:top w:val="nil"/>
              <w:left w:val="nil"/>
              <w:bottom w:val="nil"/>
              <w:right w:val="nil"/>
            </w:tcBorders>
          </w:tcPr>
          <w:p w14:paraId="0A1BAF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33267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(2.692)</w:t>
            </w:r>
          </w:p>
        </w:tc>
        <w:tc>
          <w:tcPr>
            <w:tcW w:w="1006" w:type="pct"/>
            <w:tcBorders>
              <w:top w:val="nil"/>
              <w:left w:val="nil"/>
              <w:bottom w:val="nil"/>
              <w:right w:val="nil"/>
            </w:tcBorders>
          </w:tcPr>
          <w:p w14:paraId="1FBBE1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(1.662)</w:t>
            </w:r>
          </w:p>
        </w:tc>
        <w:tc>
          <w:tcPr>
            <w:tcW w:w="668" w:type="pct"/>
            <w:tcBorders>
              <w:top w:val="nil"/>
              <w:left w:val="nil"/>
              <w:bottom w:val="nil"/>
              <w:right w:val="nil"/>
            </w:tcBorders>
          </w:tcPr>
          <w:p w14:paraId="05B731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(5.886)</w:t>
            </w:r>
          </w:p>
        </w:tc>
        <w:tc>
          <w:tcPr>
            <w:tcW w:w="870" w:type="pct"/>
            <w:tcBorders>
              <w:top w:val="nil"/>
              <w:left w:val="nil"/>
              <w:bottom w:val="nil"/>
              <w:right w:val="nil"/>
            </w:tcBorders>
          </w:tcPr>
          <w:p w14:paraId="5FE4AF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(8.239)</w:t>
            </w:r>
          </w:p>
        </w:tc>
        <w:tc>
          <w:tcPr>
            <w:tcW w:w="738" w:type="pct"/>
            <w:tcBorders>
              <w:top w:val="nil"/>
              <w:left w:val="nil"/>
              <w:bottom w:val="nil"/>
              <w:right w:val="nil"/>
            </w:tcBorders>
          </w:tcPr>
          <w:p w14:paraId="633D26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(1.612)</w:t>
            </w:r>
          </w:p>
        </w:tc>
      </w:tr>
      <w:tr w:rsidR="00F00E3D" w:rsidRPr="00335312" w14:paraId="4408D6B1" w14:textId="77777777" w:rsidTr="00063AC8">
        <w:trPr>
          <w:jc w:val="center"/>
        </w:trPr>
        <w:tc>
          <w:tcPr>
            <w:tcW w:w="1112" w:type="pct"/>
            <w:tcBorders>
              <w:top w:val="nil"/>
              <w:left w:val="nil"/>
              <w:bottom w:val="nil"/>
              <w:right w:val="nil"/>
            </w:tcBorders>
          </w:tcPr>
          <w:p w14:paraId="2B9656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2020.year#7.month</w:t>
            </w:r>
          </w:p>
        </w:tc>
        <w:tc>
          <w:tcPr>
            <w:tcW w:w="607" w:type="pct"/>
            <w:tcBorders>
              <w:top w:val="nil"/>
              <w:left w:val="nil"/>
              <w:bottom w:val="nil"/>
              <w:right w:val="nil"/>
            </w:tcBorders>
          </w:tcPr>
          <w:p w14:paraId="41757D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0.108***</w:t>
            </w:r>
          </w:p>
        </w:tc>
        <w:tc>
          <w:tcPr>
            <w:tcW w:w="1006" w:type="pct"/>
            <w:tcBorders>
              <w:top w:val="nil"/>
              <w:left w:val="nil"/>
              <w:bottom w:val="nil"/>
              <w:right w:val="nil"/>
            </w:tcBorders>
          </w:tcPr>
          <w:p w14:paraId="5359A0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0.0993***</w:t>
            </w:r>
          </w:p>
        </w:tc>
        <w:tc>
          <w:tcPr>
            <w:tcW w:w="668" w:type="pct"/>
            <w:tcBorders>
              <w:top w:val="nil"/>
              <w:left w:val="nil"/>
              <w:bottom w:val="nil"/>
              <w:right w:val="nil"/>
            </w:tcBorders>
          </w:tcPr>
          <w:p w14:paraId="306D648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0.135***</w:t>
            </w:r>
          </w:p>
        </w:tc>
        <w:tc>
          <w:tcPr>
            <w:tcW w:w="870" w:type="pct"/>
            <w:tcBorders>
              <w:top w:val="nil"/>
              <w:left w:val="nil"/>
              <w:bottom w:val="nil"/>
              <w:right w:val="nil"/>
            </w:tcBorders>
          </w:tcPr>
          <w:p w14:paraId="6FB62F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0.349***</w:t>
            </w:r>
          </w:p>
        </w:tc>
        <w:tc>
          <w:tcPr>
            <w:tcW w:w="738" w:type="pct"/>
            <w:tcBorders>
              <w:top w:val="nil"/>
              <w:left w:val="nil"/>
              <w:bottom w:val="nil"/>
              <w:right w:val="nil"/>
            </w:tcBorders>
          </w:tcPr>
          <w:p w14:paraId="3B3A3B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0.341*</w:t>
            </w:r>
          </w:p>
        </w:tc>
      </w:tr>
      <w:tr w:rsidR="00F00E3D" w:rsidRPr="00335312" w14:paraId="51C29569" w14:textId="77777777" w:rsidTr="00063AC8">
        <w:trPr>
          <w:jc w:val="center"/>
        </w:trPr>
        <w:tc>
          <w:tcPr>
            <w:tcW w:w="1112" w:type="pct"/>
            <w:tcBorders>
              <w:top w:val="nil"/>
              <w:left w:val="nil"/>
              <w:bottom w:val="nil"/>
              <w:right w:val="nil"/>
            </w:tcBorders>
          </w:tcPr>
          <w:p w14:paraId="22212B8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D90A5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(3.841)</w:t>
            </w:r>
          </w:p>
        </w:tc>
        <w:tc>
          <w:tcPr>
            <w:tcW w:w="1006" w:type="pct"/>
            <w:tcBorders>
              <w:top w:val="nil"/>
              <w:left w:val="nil"/>
              <w:bottom w:val="nil"/>
              <w:right w:val="nil"/>
            </w:tcBorders>
          </w:tcPr>
          <w:p w14:paraId="612DD5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(2.935)</w:t>
            </w:r>
          </w:p>
        </w:tc>
        <w:tc>
          <w:tcPr>
            <w:tcW w:w="668" w:type="pct"/>
            <w:tcBorders>
              <w:top w:val="nil"/>
              <w:left w:val="nil"/>
              <w:bottom w:val="nil"/>
              <w:right w:val="nil"/>
            </w:tcBorders>
          </w:tcPr>
          <w:p w14:paraId="366706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(4.647)</w:t>
            </w:r>
          </w:p>
        </w:tc>
        <w:tc>
          <w:tcPr>
            <w:tcW w:w="870" w:type="pct"/>
            <w:tcBorders>
              <w:top w:val="nil"/>
              <w:left w:val="nil"/>
              <w:bottom w:val="nil"/>
              <w:right w:val="nil"/>
            </w:tcBorders>
          </w:tcPr>
          <w:p w14:paraId="2974FD2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(8.616)</w:t>
            </w:r>
          </w:p>
        </w:tc>
        <w:tc>
          <w:tcPr>
            <w:tcW w:w="738" w:type="pct"/>
            <w:tcBorders>
              <w:top w:val="nil"/>
              <w:left w:val="nil"/>
              <w:bottom w:val="nil"/>
              <w:right w:val="nil"/>
            </w:tcBorders>
          </w:tcPr>
          <w:p w14:paraId="082014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(3.307)</w:t>
            </w:r>
          </w:p>
        </w:tc>
      </w:tr>
      <w:tr w:rsidR="00F00E3D" w:rsidRPr="00335312" w14:paraId="74058F60" w14:textId="77777777" w:rsidTr="00063AC8">
        <w:trPr>
          <w:jc w:val="center"/>
        </w:trPr>
        <w:tc>
          <w:tcPr>
            <w:tcW w:w="1112" w:type="pct"/>
            <w:tcBorders>
              <w:top w:val="nil"/>
              <w:left w:val="nil"/>
              <w:bottom w:val="nil"/>
              <w:right w:val="nil"/>
            </w:tcBorders>
          </w:tcPr>
          <w:p w14:paraId="30EAAB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2020.year#8.month</w:t>
            </w:r>
          </w:p>
        </w:tc>
        <w:tc>
          <w:tcPr>
            <w:tcW w:w="607" w:type="pct"/>
            <w:tcBorders>
              <w:top w:val="nil"/>
              <w:left w:val="nil"/>
              <w:bottom w:val="nil"/>
              <w:right w:val="nil"/>
            </w:tcBorders>
          </w:tcPr>
          <w:p w14:paraId="35C5C6E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0.0937***</w:t>
            </w:r>
          </w:p>
        </w:tc>
        <w:tc>
          <w:tcPr>
            <w:tcW w:w="1006" w:type="pct"/>
            <w:tcBorders>
              <w:top w:val="nil"/>
              <w:left w:val="nil"/>
              <w:bottom w:val="nil"/>
              <w:right w:val="nil"/>
            </w:tcBorders>
          </w:tcPr>
          <w:p w14:paraId="7F6B65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0.0724**</w:t>
            </w:r>
          </w:p>
        </w:tc>
        <w:tc>
          <w:tcPr>
            <w:tcW w:w="668" w:type="pct"/>
            <w:tcBorders>
              <w:top w:val="nil"/>
              <w:left w:val="nil"/>
              <w:bottom w:val="nil"/>
              <w:right w:val="nil"/>
            </w:tcBorders>
          </w:tcPr>
          <w:p w14:paraId="561C0F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0.139***</w:t>
            </w:r>
          </w:p>
        </w:tc>
        <w:tc>
          <w:tcPr>
            <w:tcW w:w="870" w:type="pct"/>
            <w:tcBorders>
              <w:top w:val="nil"/>
              <w:left w:val="nil"/>
              <w:bottom w:val="nil"/>
              <w:right w:val="nil"/>
            </w:tcBorders>
          </w:tcPr>
          <w:p w14:paraId="0D9336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0.302***</w:t>
            </w:r>
          </w:p>
        </w:tc>
        <w:tc>
          <w:tcPr>
            <w:tcW w:w="738" w:type="pct"/>
            <w:tcBorders>
              <w:top w:val="nil"/>
              <w:left w:val="nil"/>
              <w:bottom w:val="nil"/>
              <w:right w:val="nil"/>
            </w:tcBorders>
          </w:tcPr>
          <w:p w14:paraId="6398B2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0.217***</w:t>
            </w:r>
          </w:p>
        </w:tc>
      </w:tr>
      <w:tr w:rsidR="00F00E3D" w:rsidRPr="00335312" w14:paraId="627E52B2" w14:textId="77777777" w:rsidTr="00063AC8">
        <w:trPr>
          <w:jc w:val="center"/>
        </w:trPr>
        <w:tc>
          <w:tcPr>
            <w:tcW w:w="1112" w:type="pct"/>
            <w:tcBorders>
              <w:top w:val="nil"/>
              <w:left w:val="nil"/>
              <w:bottom w:val="nil"/>
              <w:right w:val="nil"/>
            </w:tcBorders>
          </w:tcPr>
          <w:p w14:paraId="145A47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668007A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(3.095)</w:t>
            </w:r>
          </w:p>
        </w:tc>
        <w:tc>
          <w:tcPr>
            <w:tcW w:w="1006" w:type="pct"/>
            <w:tcBorders>
              <w:top w:val="nil"/>
              <w:left w:val="nil"/>
              <w:bottom w:val="nil"/>
              <w:right w:val="nil"/>
            </w:tcBorders>
          </w:tcPr>
          <w:p w14:paraId="58B1E5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(2.021)</w:t>
            </w:r>
          </w:p>
        </w:tc>
        <w:tc>
          <w:tcPr>
            <w:tcW w:w="668" w:type="pct"/>
            <w:tcBorders>
              <w:top w:val="nil"/>
              <w:left w:val="nil"/>
              <w:bottom w:val="nil"/>
              <w:right w:val="nil"/>
            </w:tcBorders>
          </w:tcPr>
          <w:p w14:paraId="3BBCB3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(4.627)</w:t>
            </w:r>
          </w:p>
        </w:tc>
        <w:tc>
          <w:tcPr>
            <w:tcW w:w="870" w:type="pct"/>
            <w:tcBorders>
              <w:top w:val="nil"/>
              <w:left w:val="nil"/>
              <w:bottom w:val="nil"/>
              <w:right w:val="nil"/>
            </w:tcBorders>
          </w:tcPr>
          <w:p w14:paraId="5135F1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(5.212)</w:t>
            </w:r>
          </w:p>
        </w:tc>
        <w:tc>
          <w:tcPr>
            <w:tcW w:w="738" w:type="pct"/>
            <w:tcBorders>
              <w:top w:val="nil"/>
              <w:left w:val="nil"/>
              <w:bottom w:val="nil"/>
              <w:right w:val="nil"/>
            </w:tcBorders>
          </w:tcPr>
          <w:p w14:paraId="1D806A6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(18.28)</w:t>
            </w:r>
          </w:p>
        </w:tc>
      </w:tr>
      <w:tr w:rsidR="00F00E3D" w:rsidRPr="00335312" w14:paraId="7C8A5E8B" w14:textId="77777777" w:rsidTr="00063AC8">
        <w:trPr>
          <w:jc w:val="center"/>
        </w:trPr>
        <w:tc>
          <w:tcPr>
            <w:tcW w:w="1112" w:type="pct"/>
            <w:tcBorders>
              <w:top w:val="nil"/>
              <w:left w:val="nil"/>
              <w:bottom w:val="nil"/>
              <w:right w:val="nil"/>
            </w:tcBorders>
          </w:tcPr>
          <w:p w14:paraId="233764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2020.year#9.month</w:t>
            </w:r>
          </w:p>
        </w:tc>
        <w:tc>
          <w:tcPr>
            <w:tcW w:w="607" w:type="pct"/>
            <w:tcBorders>
              <w:top w:val="nil"/>
              <w:left w:val="nil"/>
              <w:bottom w:val="nil"/>
              <w:right w:val="nil"/>
            </w:tcBorders>
          </w:tcPr>
          <w:p w14:paraId="1F2053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0.121***</w:t>
            </w:r>
          </w:p>
        </w:tc>
        <w:tc>
          <w:tcPr>
            <w:tcW w:w="1006" w:type="pct"/>
            <w:tcBorders>
              <w:top w:val="nil"/>
              <w:left w:val="nil"/>
              <w:bottom w:val="nil"/>
              <w:right w:val="nil"/>
            </w:tcBorders>
          </w:tcPr>
          <w:p w14:paraId="3634AD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0.0852**</w:t>
            </w:r>
          </w:p>
        </w:tc>
        <w:tc>
          <w:tcPr>
            <w:tcW w:w="668" w:type="pct"/>
            <w:tcBorders>
              <w:top w:val="nil"/>
              <w:left w:val="nil"/>
              <w:bottom w:val="nil"/>
              <w:right w:val="nil"/>
            </w:tcBorders>
          </w:tcPr>
          <w:p w14:paraId="1DF62C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0.173***</w:t>
            </w:r>
          </w:p>
        </w:tc>
        <w:tc>
          <w:tcPr>
            <w:tcW w:w="870" w:type="pct"/>
            <w:tcBorders>
              <w:top w:val="nil"/>
              <w:left w:val="nil"/>
              <w:bottom w:val="nil"/>
              <w:right w:val="nil"/>
            </w:tcBorders>
          </w:tcPr>
          <w:p w14:paraId="082414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0.320***</w:t>
            </w:r>
          </w:p>
        </w:tc>
        <w:tc>
          <w:tcPr>
            <w:tcW w:w="738" w:type="pct"/>
            <w:tcBorders>
              <w:top w:val="nil"/>
              <w:left w:val="nil"/>
              <w:bottom w:val="nil"/>
              <w:right w:val="nil"/>
            </w:tcBorders>
          </w:tcPr>
          <w:p w14:paraId="6B38C9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0.276*</w:t>
            </w:r>
          </w:p>
        </w:tc>
      </w:tr>
      <w:tr w:rsidR="00F00E3D" w:rsidRPr="00335312" w14:paraId="441B31B1" w14:textId="77777777" w:rsidTr="00063AC8">
        <w:trPr>
          <w:jc w:val="center"/>
        </w:trPr>
        <w:tc>
          <w:tcPr>
            <w:tcW w:w="1112" w:type="pct"/>
            <w:tcBorders>
              <w:top w:val="nil"/>
              <w:left w:val="nil"/>
              <w:bottom w:val="nil"/>
              <w:right w:val="nil"/>
            </w:tcBorders>
          </w:tcPr>
          <w:p w14:paraId="6359F8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D977A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(3.748)</w:t>
            </w:r>
          </w:p>
        </w:tc>
        <w:tc>
          <w:tcPr>
            <w:tcW w:w="1006" w:type="pct"/>
            <w:tcBorders>
              <w:top w:val="nil"/>
              <w:left w:val="nil"/>
              <w:bottom w:val="nil"/>
              <w:right w:val="nil"/>
            </w:tcBorders>
          </w:tcPr>
          <w:p w14:paraId="07532D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(2.203)</w:t>
            </w:r>
          </w:p>
        </w:tc>
        <w:tc>
          <w:tcPr>
            <w:tcW w:w="668" w:type="pct"/>
            <w:tcBorders>
              <w:top w:val="nil"/>
              <w:left w:val="nil"/>
              <w:bottom w:val="nil"/>
              <w:right w:val="nil"/>
            </w:tcBorders>
          </w:tcPr>
          <w:p w14:paraId="1D105C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(5.881)</w:t>
            </w:r>
          </w:p>
        </w:tc>
        <w:tc>
          <w:tcPr>
            <w:tcW w:w="870" w:type="pct"/>
            <w:tcBorders>
              <w:top w:val="nil"/>
              <w:left w:val="nil"/>
              <w:bottom w:val="nil"/>
              <w:right w:val="nil"/>
            </w:tcBorders>
          </w:tcPr>
          <w:p w14:paraId="17B964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(9.639)</w:t>
            </w:r>
          </w:p>
        </w:tc>
        <w:tc>
          <w:tcPr>
            <w:tcW w:w="738" w:type="pct"/>
            <w:tcBorders>
              <w:top w:val="nil"/>
              <w:left w:val="nil"/>
              <w:bottom w:val="nil"/>
              <w:right w:val="nil"/>
            </w:tcBorders>
          </w:tcPr>
          <w:p w14:paraId="3E46FB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(4.093)</w:t>
            </w:r>
          </w:p>
        </w:tc>
      </w:tr>
      <w:tr w:rsidR="00F00E3D" w:rsidRPr="00335312" w14:paraId="632410F1" w14:textId="77777777" w:rsidTr="00063AC8">
        <w:trPr>
          <w:jc w:val="center"/>
        </w:trPr>
        <w:tc>
          <w:tcPr>
            <w:tcW w:w="1112" w:type="pct"/>
            <w:tcBorders>
              <w:top w:val="nil"/>
              <w:left w:val="nil"/>
              <w:bottom w:val="nil"/>
              <w:right w:val="nil"/>
            </w:tcBorders>
          </w:tcPr>
          <w:p w14:paraId="624E1DB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2020.year#10.month</w:t>
            </w:r>
          </w:p>
        </w:tc>
        <w:tc>
          <w:tcPr>
            <w:tcW w:w="607" w:type="pct"/>
            <w:tcBorders>
              <w:top w:val="nil"/>
              <w:left w:val="nil"/>
              <w:bottom w:val="nil"/>
              <w:right w:val="nil"/>
            </w:tcBorders>
          </w:tcPr>
          <w:p w14:paraId="69D66A6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0.110***</w:t>
            </w:r>
          </w:p>
        </w:tc>
        <w:tc>
          <w:tcPr>
            <w:tcW w:w="1006" w:type="pct"/>
            <w:tcBorders>
              <w:top w:val="nil"/>
              <w:left w:val="nil"/>
              <w:bottom w:val="nil"/>
              <w:right w:val="nil"/>
            </w:tcBorders>
          </w:tcPr>
          <w:p w14:paraId="61BC5CA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0.0920***</w:t>
            </w:r>
          </w:p>
        </w:tc>
        <w:tc>
          <w:tcPr>
            <w:tcW w:w="668" w:type="pct"/>
            <w:tcBorders>
              <w:top w:val="nil"/>
              <w:left w:val="nil"/>
              <w:bottom w:val="nil"/>
              <w:right w:val="nil"/>
            </w:tcBorders>
          </w:tcPr>
          <w:p w14:paraId="123BB3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0.163***</w:t>
            </w:r>
          </w:p>
        </w:tc>
        <w:tc>
          <w:tcPr>
            <w:tcW w:w="870" w:type="pct"/>
            <w:tcBorders>
              <w:top w:val="nil"/>
              <w:left w:val="nil"/>
              <w:bottom w:val="nil"/>
              <w:right w:val="nil"/>
            </w:tcBorders>
          </w:tcPr>
          <w:p w14:paraId="1763571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0.338***</w:t>
            </w:r>
          </w:p>
        </w:tc>
        <w:tc>
          <w:tcPr>
            <w:tcW w:w="738" w:type="pct"/>
            <w:tcBorders>
              <w:top w:val="nil"/>
              <w:left w:val="nil"/>
              <w:bottom w:val="nil"/>
              <w:right w:val="nil"/>
            </w:tcBorders>
          </w:tcPr>
          <w:p w14:paraId="591058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0.340**</w:t>
            </w:r>
          </w:p>
        </w:tc>
      </w:tr>
      <w:tr w:rsidR="00F00E3D" w:rsidRPr="00335312" w14:paraId="0F30F8F9" w14:textId="77777777" w:rsidTr="00063AC8">
        <w:trPr>
          <w:jc w:val="center"/>
        </w:trPr>
        <w:tc>
          <w:tcPr>
            <w:tcW w:w="1112" w:type="pct"/>
            <w:tcBorders>
              <w:top w:val="nil"/>
              <w:left w:val="nil"/>
              <w:bottom w:val="nil"/>
              <w:right w:val="nil"/>
            </w:tcBorders>
          </w:tcPr>
          <w:p w14:paraId="79AAD7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A0E9D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(3.642)</w:t>
            </w:r>
          </w:p>
        </w:tc>
        <w:tc>
          <w:tcPr>
            <w:tcW w:w="1006" w:type="pct"/>
            <w:tcBorders>
              <w:top w:val="nil"/>
              <w:left w:val="nil"/>
              <w:bottom w:val="nil"/>
              <w:right w:val="nil"/>
            </w:tcBorders>
          </w:tcPr>
          <w:p w14:paraId="0DC535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(2.607)</w:t>
            </w:r>
          </w:p>
        </w:tc>
        <w:tc>
          <w:tcPr>
            <w:tcW w:w="668" w:type="pct"/>
            <w:tcBorders>
              <w:top w:val="nil"/>
              <w:left w:val="nil"/>
              <w:bottom w:val="nil"/>
              <w:right w:val="nil"/>
            </w:tcBorders>
          </w:tcPr>
          <w:p w14:paraId="619E3B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(5.449)</w:t>
            </w:r>
          </w:p>
        </w:tc>
        <w:tc>
          <w:tcPr>
            <w:tcW w:w="870" w:type="pct"/>
            <w:tcBorders>
              <w:top w:val="nil"/>
              <w:left w:val="nil"/>
              <w:bottom w:val="nil"/>
              <w:right w:val="nil"/>
            </w:tcBorders>
          </w:tcPr>
          <w:p w14:paraId="0E5240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(8.121)</w:t>
            </w:r>
          </w:p>
        </w:tc>
        <w:tc>
          <w:tcPr>
            <w:tcW w:w="738" w:type="pct"/>
            <w:tcBorders>
              <w:top w:val="nil"/>
              <w:left w:val="nil"/>
              <w:bottom w:val="nil"/>
              <w:right w:val="nil"/>
            </w:tcBorders>
          </w:tcPr>
          <w:p w14:paraId="047172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(6.526)</w:t>
            </w:r>
          </w:p>
        </w:tc>
      </w:tr>
      <w:tr w:rsidR="00F00E3D" w:rsidRPr="00335312" w14:paraId="1C7AD86E" w14:textId="77777777" w:rsidTr="00063AC8">
        <w:trPr>
          <w:jc w:val="center"/>
        </w:trPr>
        <w:tc>
          <w:tcPr>
            <w:tcW w:w="1112" w:type="pct"/>
            <w:tcBorders>
              <w:top w:val="nil"/>
              <w:left w:val="nil"/>
              <w:bottom w:val="nil"/>
              <w:right w:val="nil"/>
            </w:tcBorders>
          </w:tcPr>
          <w:p w14:paraId="64CC2E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Constant</w:t>
            </w:r>
          </w:p>
        </w:tc>
        <w:tc>
          <w:tcPr>
            <w:tcW w:w="607" w:type="pct"/>
            <w:tcBorders>
              <w:top w:val="nil"/>
              <w:left w:val="nil"/>
              <w:bottom w:val="nil"/>
              <w:right w:val="nil"/>
            </w:tcBorders>
          </w:tcPr>
          <w:p w14:paraId="0818B1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1.260</w:t>
            </w:r>
          </w:p>
        </w:tc>
        <w:tc>
          <w:tcPr>
            <w:tcW w:w="1006" w:type="pct"/>
            <w:tcBorders>
              <w:top w:val="nil"/>
              <w:left w:val="nil"/>
              <w:bottom w:val="nil"/>
              <w:right w:val="nil"/>
            </w:tcBorders>
          </w:tcPr>
          <w:p w14:paraId="366A45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11.69***</w:t>
            </w:r>
          </w:p>
        </w:tc>
        <w:tc>
          <w:tcPr>
            <w:tcW w:w="668" w:type="pct"/>
            <w:tcBorders>
              <w:top w:val="nil"/>
              <w:left w:val="nil"/>
              <w:bottom w:val="nil"/>
              <w:right w:val="nil"/>
            </w:tcBorders>
          </w:tcPr>
          <w:p w14:paraId="260240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12.40**</w:t>
            </w:r>
          </w:p>
        </w:tc>
        <w:tc>
          <w:tcPr>
            <w:tcW w:w="870" w:type="pct"/>
            <w:tcBorders>
              <w:top w:val="nil"/>
              <w:left w:val="nil"/>
              <w:bottom w:val="nil"/>
              <w:right w:val="nil"/>
            </w:tcBorders>
          </w:tcPr>
          <w:p w14:paraId="3F8263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-4,458***</w:t>
            </w:r>
          </w:p>
        </w:tc>
        <w:tc>
          <w:tcPr>
            <w:tcW w:w="738" w:type="pct"/>
            <w:tcBorders>
              <w:top w:val="nil"/>
              <w:left w:val="nil"/>
              <w:bottom w:val="nil"/>
              <w:right w:val="nil"/>
            </w:tcBorders>
          </w:tcPr>
          <w:p w14:paraId="08255D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50.75*</w:t>
            </w:r>
          </w:p>
        </w:tc>
      </w:tr>
      <w:tr w:rsidR="00F00E3D" w:rsidRPr="00335312" w14:paraId="6199FF20" w14:textId="77777777" w:rsidTr="00063AC8">
        <w:trPr>
          <w:jc w:val="center"/>
        </w:trPr>
        <w:tc>
          <w:tcPr>
            <w:tcW w:w="1112" w:type="pct"/>
            <w:tcBorders>
              <w:top w:val="nil"/>
              <w:left w:val="nil"/>
              <w:bottom w:val="nil"/>
              <w:right w:val="nil"/>
            </w:tcBorders>
          </w:tcPr>
          <w:p w14:paraId="2FCDB7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01F8EA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(0.366)</w:t>
            </w:r>
          </w:p>
        </w:tc>
        <w:tc>
          <w:tcPr>
            <w:tcW w:w="1006" w:type="pct"/>
            <w:tcBorders>
              <w:top w:val="nil"/>
              <w:left w:val="nil"/>
              <w:bottom w:val="nil"/>
              <w:right w:val="nil"/>
            </w:tcBorders>
          </w:tcPr>
          <w:p w14:paraId="453D90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(37.79)</w:t>
            </w:r>
          </w:p>
        </w:tc>
        <w:tc>
          <w:tcPr>
            <w:tcW w:w="668" w:type="pct"/>
            <w:tcBorders>
              <w:top w:val="nil"/>
              <w:left w:val="nil"/>
              <w:bottom w:val="nil"/>
              <w:right w:val="nil"/>
            </w:tcBorders>
          </w:tcPr>
          <w:p w14:paraId="65EACB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(2.025)</w:t>
            </w:r>
          </w:p>
        </w:tc>
        <w:tc>
          <w:tcPr>
            <w:tcW w:w="870" w:type="pct"/>
            <w:tcBorders>
              <w:top w:val="nil"/>
              <w:left w:val="nil"/>
              <w:bottom w:val="nil"/>
              <w:right w:val="nil"/>
            </w:tcBorders>
          </w:tcPr>
          <w:p w14:paraId="7B88D3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(-6.761)</w:t>
            </w:r>
          </w:p>
        </w:tc>
        <w:tc>
          <w:tcPr>
            <w:tcW w:w="738" w:type="pct"/>
            <w:tcBorders>
              <w:top w:val="nil"/>
              <w:left w:val="nil"/>
              <w:bottom w:val="nil"/>
              <w:right w:val="nil"/>
            </w:tcBorders>
          </w:tcPr>
          <w:p w14:paraId="4B2B92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(4.201)</w:t>
            </w:r>
          </w:p>
        </w:tc>
      </w:tr>
      <w:tr w:rsidR="00F00E3D" w:rsidRPr="00335312" w14:paraId="0FEDF6DA" w14:textId="77777777" w:rsidTr="00063AC8">
        <w:trPr>
          <w:jc w:val="center"/>
        </w:trPr>
        <w:tc>
          <w:tcPr>
            <w:tcW w:w="1112" w:type="pct"/>
            <w:tcBorders>
              <w:top w:val="nil"/>
              <w:left w:val="nil"/>
              <w:bottom w:val="nil"/>
              <w:right w:val="nil"/>
            </w:tcBorders>
          </w:tcPr>
          <w:p w14:paraId="6BDD61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07" w:type="pct"/>
            <w:tcBorders>
              <w:top w:val="nil"/>
              <w:left w:val="nil"/>
              <w:bottom w:val="nil"/>
              <w:right w:val="nil"/>
            </w:tcBorders>
          </w:tcPr>
          <w:p w14:paraId="26F4C3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1006" w:type="pct"/>
            <w:tcBorders>
              <w:top w:val="nil"/>
              <w:left w:val="nil"/>
              <w:bottom w:val="nil"/>
              <w:right w:val="nil"/>
            </w:tcBorders>
          </w:tcPr>
          <w:p w14:paraId="16FFDE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668" w:type="pct"/>
            <w:tcBorders>
              <w:top w:val="nil"/>
              <w:left w:val="nil"/>
              <w:bottom w:val="nil"/>
              <w:right w:val="nil"/>
            </w:tcBorders>
          </w:tcPr>
          <w:p w14:paraId="711171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70" w:type="pct"/>
            <w:tcBorders>
              <w:top w:val="nil"/>
              <w:left w:val="nil"/>
              <w:bottom w:val="nil"/>
              <w:right w:val="nil"/>
            </w:tcBorders>
          </w:tcPr>
          <w:p w14:paraId="454497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38" w:type="pct"/>
            <w:tcBorders>
              <w:top w:val="nil"/>
              <w:left w:val="nil"/>
              <w:bottom w:val="nil"/>
              <w:right w:val="nil"/>
            </w:tcBorders>
          </w:tcPr>
          <w:p w14:paraId="736F4D1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2765A9B3" w14:textId="77777777" w:rsidTr="00063AC8">
        <w:trPr>
          <w:jc w:val="center"/>
        </w:trPr>
        <w:tc>
          <w:tcPr>
            <w:tcW w:w="1112" w:type="pct"/>
            <w:tcBorders>
              <w:top w:val="nil"/>
              <w:left w:val="nil"/>
              <w:bottom w:val="nil"/>
              <w:right w:val="nil"/>
            </w:tcBorders>
          </w:tcPr>
          <w:p w14:paraId="3723CE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Observations</w:t>
            </w:r>
          </w:p>
        </w:tc>
        <w:tc>
          <w:tcPr>
            <w:tcW w:w="607" w:type="pct"/>
            <w:tcBorders>
              <w:top w:val="nil"/>
              <w:left w:val="nil"/>
              <w:bottom w:val="nil"/>
              <w:right w:val="nil"/>
            </w:tcBorders>
          </w:tcPr>
          <w:p w14:paraId="73B045A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180,459</w:t>
            </w:r>
          </w:p>
        </w:tc>
        <w:tc>
          <w:tcPr>
            <w:tcW w:w="1006" w:type="pct"/>
            <w:tcBorders>
              <w:top w:val="nil"/>
              <w:left w:val="nil"/>
              <w:bottom w:val="nil"/>
              <w:right w:val="nil"/>
            </w:tcBorders>
          </w:tcPr>
          <w:p w14:paraId="4C6C4A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131,408</w:t>
            </w:r>
          </w:p>
        </w:tc>
        <w:tc>
          <w:tcPr>
            <w:tcW w:w="668" w:type="pct"/>
            <w:tcBorders>
              <w:top w:val="nil"/>
              <w:left w:val="nil"/>
              <w:bottom w:val="nil"/>
              <w:right w:val="nil"/>
            </w:tcBorders>
          </w:tcPr>
          <w:p w14:paraId="71643A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49,051</w:t>
            </w:r>
          </w:p>
        </w:tc>
        <w:tc>
          <w:tcPr>
            <w:tcW w:w="870" w:type="pct"/>
            <w:tcBorders>
              <w:top w:val="nil"/>
              <w:left w:val="nil"/>
              <w:bottom w:val="nil"/>
              <w:right w:val="nil"/>
            </w:tcBorders>
          </w:tcPr>
          <w:p w14:paraId="2D33F6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2,879</w:t>
            </w:r>
          </w:p>
        </w:tc>
        <w:tc>
          <w:tcPr>
            <w:tcW w:w="738" w:type="pct"/>
            <w:tcBorders>
              <w:top w:val="nil"/>
              <w:left w:val="nil"/>
              <w:bottom w:val="nil"/>
              <w:right w:val="nil"/>
            </w:tcBorders>
          </w:tcPr>
          <w:p w14:paraId="3D7408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284</w:t>
            </w:r>
          </w:p>
        </w:tc>
      </w:tr>
      <w:tr w:rsidR="00F00E3D" w:rsidRPr="00335312" w14:paraId="40A3A99E" w14:textId="77777777" w:rsidTr="00063AC8">
        <w:trPr>
          <w:jc w:val="center"/>
        </w:trPr>
        <w:tc>
          <w:tcPr>
            <w:tcW w:w="1112" w:type="pct"/>
            <w:tcBorders>
              <w:top w:val="nil"/>
              <w:left w:val="nil"/>
              <w:bottom w:val="nil"/>
              <w:right w:val="nil"/>
            </w:tcBorders>
          </w:tcPr>
          <w:p w14:paraId="022BFC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R-squared</w:t>
            </w:r>
          </w:p>
        </w:tc>
        <w:tc>
          <w:tcPr>
            <w:tcW w:w="607" w:type="pct"/>
            <w:tcBorders>
              <w:top w:val="nil"/>
              <w:left w:val="nil"/>
              <w:bottom w:val="nil"/>
              <w:right w:val="nil"/>
            </w:tcBorders>
          </w:tcPr>
          <w:p w14:paraId="6C8BA7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0.479</w:t>
            </w:r>
          </w:p>
        </w:tc>
        <w:tc>
          <w:tcPr>
            <w:tcW w:w="1006" w:type="pct"/>
            <w:tcBorders>
              <w:top w:val="nil"/>
              <w:left w:val="nil"/>
              <w:bottom w:val="nil"/>
              <w:right w:val="nil"/>
            </w:tcBorders>
          </w:tcPr>
          <w:p w14:paraId="44B0D5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0.389</w:t>
            </w:r>
          </w:p>
        </w:tc>
        <w:tc>
          <w:tcPr>
            <w:tcW w:w="668" w:type="pct"/>
            <w:tcBorders>
              <w:top w:val="nil"/>
              <w:left w:val="nil"/>
              <w:bottom w:val="nil"/>
              <w:right w:val="nil"/>
            </w:tcBorders>
          </w:tcPr>
          <w:p w14:paraId="4EE8C2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0.718</w:t>
            </w:r>
          </w:p>
        </w:tc>
        <w:tc>
          <w:tcPr>
            <w:tcW w:w="870" w:type="pct"/>
            <w:tcBorders>
              <w:top w:val="nil"/>
              <w:left w:val="nil"/>
              <w:bottom w:val="nil"/>
              <w:right w:val="nil"/>
            </w:tcBorders>
          </w:tcPr>
          <w:p w14:paraId="5284712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0.656</w:t>
            </w:r>
          </w:p>
        </w:tc>
        <w:tc>
          <w:tcPr>
            <w:tcW w:w="738" w:type="pct"/>
            <w:tcBorders>
              <w:top w:val="nil"/>
              <w:left w:val="nil"/>
              <w:bottom w:val="nil"/>
              <w:right w:val="nil"/>
            </w:tcBorders>
          </w:tcPr>
          <w:p w14:paraId="3DF6D0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0.551</w:t>
            </w:r>
          </w:p>
        </w:tc>
      </w:tr>
      <w:tr w:rsidR="00F00E3D" w:rsidRPr="00335312" w14:paraId="103E332A" w14:textId="77777777" w:rsidTr="00063AC8">
        <w:trPr>
          <w:jc w:val="center"/>
        </w:trPr>
        <w:tc>
          <w:tcPr>
            <w:tcW w:w="1112" w:type="pct"/>
            <w:tcBorders>
              <w:top w:val="nil"/>
              <w:left w:val="nil"/>
              <w:bottom w:val="nil"/>
              <w:right w:val="nil"/>
            </w:tcBorders>
          </w:tcPr>
          <w:p w14:paraId="61AEF0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FE</w:t>
            </w:r>
          </w:p>
        </w:tc>
        <w:tc>
          <w:tcPr>
            <w:tcW w:w="607" w:type="pct"/>
            <w:tcBorders>
              <w:top w:val="nil"/>
              <w:left w:val="nil"/>
              <w:bottom w:val="nil"/>
              <w:right w:val="nil"/>
            </w:tcBorders>
          </w:tcPr>
          <w:p w14:paraId="0F506A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006" w:type="pct"/>
            <w:tcBorders>
              <w:top w:val="nil"/>
              <w:left w:val="nil"/>
              <w:bottom w:val="nil"/>
              <w:right w:val="nil"/>
            </w:tcBorders>
          </w:tcPr>
          <w:p w14:paraId="1B0C0F6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668" w:type="pct"/>
            <w:tcBorders>
              <w:top w:val="nil"/>
              <w:left w:val="nil"/>
              <w:bottom w:val="nil"/>
              <w:right w:val="nil"/>
            </w:tcBorders>
          </w:tcPr>
          <w:p w14:paraId="38B8AC8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70" w:type="pct"/>
            <w:tcBorders>
              <w:top w:val="nil"/>
              <w:left w:val="nil"/>
              <w:bottom w:val="nil"/>
              <w:right w:val="nil"/>
            </w:tcBorders>
          </w:tcPr>
          <w:p w14:paraId="1FC082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38" w:type="pct"/>
            <w:tcBorders>
              <w:top w:val="nil"/>
              <w:left w:val="nil"/>
              <w:bottom w:val="nil"/>
              <w:right w:val="nil"/>
            </w:tcBorders>
          </w:tcPr>
          <w:p w14:paraId="376A9E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11222A9B" w14:textId="77777777" w:rsidTr="00063AC8">
        <w:trPr>
          <w:jc w:val="center"/>
        </w:trPr>
        <w:tc>
          <w:tcPr>
            <w:tcW w:w="1112" w:type="pct"/>
            <w:tcBorders>
              <w:top w:val="nil"/>
              <w:left w:val="nil"/>
              <w:bottom w:val="nil"/>
              <w:right w:val="nil"/>
            </w:tcBorders>
          </w:tcPr>
          <w:p w14:paraId="3D3D8E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SE Cluster</w:t>
            </w:r>
          </w:p>
        </w:tc>
        <w:tc>
          <w:tcPr>
            <w:tcW w:w="607" w:type="pct"/>
            <w:tcBorders>
              <w:top w:val="nil"/>
              <w:left w:val="nil"/>
              <w:bottom w:val="nil"/>
              <w:right w:val="nil"/>
            </w:tcBorders>
          </w:tcPr>
          <w:p w14:paraId="7DA1DF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006" w:type="pct"/>
            <w:tcBorders>
              <w:top w:val="nil"/>
              <w:left w:val="nil"/>
              <w:bottom w:val="nil"/>
              <w:right w:val="nil"/>
            </w:tcBorders>
          </w:tcPr>
          <w:p w14:paraId="45F73A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668" w:type="pct"/>
            <w:tcBorders>
              <w:top w:val="nil"/>
              <w:left w:val="nil"/>
              <w:bottom w:val="nil"/>
              <w:right w:val="nil"/>
            </w:tcBorders>
          </w:tcPr>
          <w:p w14:paraId="387A41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70" w:type="pct"/>
            <w:tcBorders>
              <w:top w:val="nil"/>
              <w:left w:val="nil"/>
              <w:bottom w:val="nil"/>
              <w:right w:val="nil"/>
            </w:tcBorders>
          </w:tcPr>
          <w:p w14:paraId="45249B9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38" w:type="pct"/>
            <w:tcBorders>
              <w:top w:val="nil"/>
              <w:left w:val="nil"/>
              <w:bottom w:val="nil"/>
              <w:right w:val="nil"/>
            </w:tcBorders>
          </w:tcPr>
          <w:p w14:paraId="2870F9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2C953A02" w14:textId="77777777" w:rsidTr="00063AC8">
        <w:tblPrEx>
          <w:tblBorders>
            <w:bottom w:val="single" w:sz="6" w:space="0" w:color="auto"/>
          </w:tblBorders>
        </w:tblPrEx>
        <w:trPr>
          <w:jc w:val="center"/>
        </w:trPr>
        <w:tc>
          <w:tcPr>
            <w:tcW w:w="1112" w:type="pct"/>
            <w:tcBorders>
              <w:top w:val="nil"/>
              <w:left w:val="nil"/>
              <w:bottom w:val="single" w:sz="6" w:space="0" w:color="auto"/>
              <w:right w:val="nil"/>
            </w:tcBorders>
          </w:tcPr>
          <w:p w14:paraId="66C93F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Year#Month FE</w:t>
            </w:r>
          </w:p>
        </w:tc>
        <w:tc>
          <w:tcPr>
            <w:tcW w:w="607" w:type="pct"/>
            <w:tcBorders>
              <w:top w:val="nil"/>
              <w:left w:val="nil"/>
              <w:bottom w:val="single" w:sz="6" w:space="0" w:color="auto"/>
              <w:right w:val="nil"/>
            </w:tcBorders>
          </w:tcPr>
          <w:p w14:paraId="5190E8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1006" w:type="pct"/>
            <w:tcBorders>
              <w:top w:val="nil"/>
              <w:left w:val="nil"/>
              <w:bottom w:val="single" w:sz="6" w:space="0" w:color="auto"/>
              <w:right w:val="nil"/>
            </w:tcBorders>
          </w:tcPr>
          <w:p w14:paraId="3F3F7F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668" w:type="pct"/>
            <w:tcBorders>
              <w:top w:val="nil"/>
              <w:left w:val="nil"/>
              <w:bottom w:val="single" w:sz="6" w:space="0" w:color="auto"/>
              <w:right w:val="nil"/>
            </w:tcBorders>
          </w:tcPr>
          <w:p w14:paraId="021C5C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70" w:type="pct"/>
            <w:tcBorders>
              <w:top w:val="nil"/>
              <w:left w:val="nil"/>
              <w:bottom w:val="single" w:sz="6" w:space="0" w:color="auto"/>
              <w:right w:val="nil"/>
            </w:tcBorders>
          </w:tcPr>
          <w:p w14:paraId="151D2D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38" w:type="pct"/>
            <w:tcBorders>
              <w:top w:val="nil"/>
              <w:left w:val="nil"/>
              <w:bottom w:val="single" w:sz="6" w:space="0" w:color="auto"/>
              <w:right w:val="nil"/>
            </w:tcBorders>
          </w:tcPr>
          <w:p w14:paraId="1B692AA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bl>
    <w:p w14:paraId="73DF1832" w14:textId="77777777" w:rsidR="00F00E3D" w:rsidRPr="00335312" w:rsidRDefault="00F00E3D" w:rsidP="002C52A2">
      <w:pPr>
        <w:spacing w:before="120" w:after="120" w:line="240" w:lineRule="auto"/>
        <w:rPr>
          <w:rFonts w:asciiTheme="majorHAnsi" w:eastAsiaTheme="majorEastAsia" w:hAnsiTheme="majorHAnsi" w:cstheme="majorHAnsi"/>
          <w:bCs/>
          <w:sz w:val="20"/>
          <w:szCs w:val="20"/>
        </w:rPr>
      </w:pPr>
    </w:p>
    <w:p w14:paraId="50B01C37" w14:textId="77777777" w:rsidR="00F00E3D" w:rsidRPr="00335312" w:rsidRDefault="00F00E3D" w:rsidP="002C52A2">
      <w:pPr>
        <w:spacing w:before="120" w:after="120" w:line="240" w:lineRule="auto"/>
        <w:rPr>
          <w:rFonts w:asciiTheme="majorHAnsi" w:eastAsiaTheme="majorEastAsia" w:hAnsiTheme="majorHAnsi" w:cstheme="majorHAnsi"/>
          <w:bCs/>
          <w:sz w:val="20"/>
          <w:szCs w:val="20"/>
        </w:rPr>
      </w:pPr>
      <w:r w:rsidRPr="00335312">
        <w:rPr>
          <w:rFonts w:asciiTheme="majorHAnsi" w:eastAsiaTheme="majorEastAsia" w:hAnsiTheme="majorHAnsi" w:cstheme="majorHAnsi"/>
          <w:bCs/>
          <w:sz w:val="20"/>
          <w:szCs w:val="20"/>
        </w:rPr>
        <w:t>Panel. C House Rental Index</w:t>
      </w:r>
    </w:p>
    <w:tbl>
      <w:tblPr>
        <w:tblW w:w="5000" w:type="pct"/>
        <w:jc w:val="center"/>
        <w:tblCellMar>
          <w:left w:w="75" w:type="dxa"/>
          <w:right w:w="75" w:type="dxa"/>
        </w:tblCellMar>
        <w:tblLook w:val="0000" w:firstRow="0" w:lastRow="0" w:firstColumn="0" w:lastColumn="0" w:noHBand="0" w:noVBand="0"/>
      </w:tblPr>
      <w:tblGrid>
        <w:gridCol w:w="2328"/>
        <w:gridCol w:w="1119"/>
        <w:gridCol w:w="1827"/>
        <w:gridCol w:w="1363"/>
        <w:gridCol w:w="1602"/>
        <w:gridCol w:w="1399"/>
      </w:tblGrid>
      <w:tr w:rsidR="00F00E3D" w:rsidRPr="00335312" w14:paraId="37F66743" w14:textId="77777777" w:rsidTr="009B2FA7">
        <w:trPr>
          <w:jc w:val="center"/>
        </w:trPr>
        <w:tc>
          <w:tcPr>
            <w:tcW w:w="1207" w:type="pct"/>
            <w:tcBorders>
              <w:top w:val="single" w:sz="6" w:space="0" w:color="auto"/>
              <w:left w:val="nil"/>
              <w:bottom w:val="nil"/>
              <w:right w:val="nil"/>
            </w:tcBorders>
          </w:tcPr>
          <w:p w14:paraId="0F3753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single" w:sz="6" w:space="0" w:color="auto"/>
              <w:left w:val="nil"/>
              <w:bottom w:val="nil"/>
              <w:right w:val="nil"/>
            </w:tcBorders>
          </w:tcPr>
          <w:p w14:paraId="587C06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w:t>
            </w:r>
          </w:p>
        </w:tc>
        <w:tc>
          <w:tcPr>
            <w:tcW w:w="948" w:type="pct"/>
            <w:tcBorders>
              <w:top w:val="single" w:sz="6" w:space="0" w:color="auto"/>
              <w:left w:val="nil"/>
              <w:bottom w:val="nil"/>
              <w:right w:val="nil"/>
            </w:tcBorders>
          </w:tcPr>
          <w:p w14:paraId="291538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w:t>
            </w:r>
          </w:p>
        </w:tc>
        <w:tc>
          <w:tcPr>
            <w:tcW w:w="707" w:type="pct"/>
            <w:tcBorders>
              <w:top w:val="single" w:sz="6" w:space="0" w:color="auto"/>
              <w:left w:val="nil"/>
              <w:bottom w:val="nil"/>
              <w:right w:val="nil"/>
            </w:tcBorders>
          </w:tcPr>
          <w:p w14:paraId="2E2388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w:t>
            </w:r>
          </w:p>
        </w:tc>
        <w:tc>
          <w:tcPr>
            <w:tcW w:w="831" w:type="pct"/>
            <w:tcBorders>
              <w:top w:val="single" w:sz="6" w:space="0" w:color="auto"/>
              <w:left w:val="nil"/>
              <w:bottom w:val="nil"/>
              <w:right w:val="nil"/>
            </w:tcBorders>
          </w:tcPr>
          <w:p w14:paraId="2427CA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w:t>
            </w:r>
          </w:p>
        </w:tc>
        <w:tc>
          <w:tcPr>
            <w:tcW w:w="726" w:type="pct"/>
            <w:tcBorders>
              <w:top w:val="single" w:sz="6" w:space="0" w:color="auto"/>
              <w:left w:val="nil"/>
              <w:bottom w:val="nil"/>
              <w:right w:val="nil"/>
            </w:tcBorders>
          </w:tcPr>
          <w:p w14:paraId="258D47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w:t>
            </w:r>
          </w:p>
        </w:tc>
      </w:tr>
      <w:tr w:rsidR="00F00E3D" w:rsidRPr="00335312" w14:paraId="23F0F605" w14:textId="77777777" w:rsidTr="009B2FA7">
        <w:trPr>
          <w:jc w:val="center"/>
        </w:trPr>
        <w:tc>
          <w:tcPr>
            <w:tcW w:w="1207" w:type="pct"/>
            <w:tcBorders>
              <w:top w:val="nil"/>
              <w:left w:val="nil"/>
              <w:bottom w:val="single" w:sz="6" w:space="0" w:color="auto"/>
              <w:right w:val="nil"/>
            </w:tcBorders>
          </w:tcPr>
          <w:p w14:paraId="02E457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VARIABLES</w:t>
            </w:r>
          </w:p>
        </w:tc>
        <w:tc>
          <w:tcPr>
            <w:tcW w:w="580" w:type="pct"/>
            <w:tcBorders>
              <w:top w:val="nil"/>
              <w:left w:val="nil"/>
              <w:bottom w:val="single" w:sz="6" w:space="0" w:color="auto"/>
              <w:right w:val="nil"/>
            </w:tcBorders>
          </w:tcPr>
          <w:p w14:paraId="0D0EBA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VIC</w:t>
            </w:r>
          </w:p>
        </w:tc>
        <w:tc>
          <w:tcPr>
            <w:tcW w:w="948" w:type="pct"/>
            <w:tcBorders>
              <w:top w:val="nil"/>
              <w:left w:val="nil"/>
              <w:bottom w:val="single" w:sz="6" w:space="0" w:color="auto"/>
              <w:right w:val="nil"/>
            </w:tcBorders>
          </w:tcPr>
          <w:p w14:paraId="090C13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GreaterMelbourne</w:t>
            </w:r>
          </w:p>
        </w:tc>
        <w:tc>
          <w:tcPr>
            <w:tcW w:w="707" w:type="pct"/>
            <w:tcBorders>
              <w:top w:val="nil"/>
              <w:left w:val="nil"/>
              <w:bottom w:val="single" w:sz="6" w:space="0" w:color="auto"/>
              <w:right w:val="nil"/>
            </w:tcBorders>
          </w:tcPr>
          <w:p w14:paraId="2F4976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RegionalVIC</w:t>
            </w:r>
          </w:p>
        </w:tc>
        <w:tc>
          <w:tcPr>
            <w:tcW w:w="831" w:type="pct"/>
            <w:tcBorders>
              <w:top w:val="nil"/>
              <w:left w:val="nil"/>
              <w:bottom w:val="single" w:sz="6" w:space="0" w:color="auto"/>
              <w:right w:val="nil"/>
            </w:tcBorders>
          </w:tcPr>
          <w:p w14:paraId="3048FF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GreaterGeelong</w:t>
            </w:r>
          </w:p>
        </w:tc>
        <w:tc>
          <w:tcPr>
            <w:tcW w:w="726" w:type="pct"/>
            <w:tcBorders>
              <w:top w:val="nil"/>
              <w:left w:val="nil"/>
              <w:bottom w:val="single" w:sz="6" w:space="0" w:color="auto"/>
              <w:right w:val="nil"/>
            </w:tcBorders>
          </w:tcPr>
          <w:p w14:paraId="7B87CD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FocalSuburbs</w:t>
            </w:r>
          </w:p>
        </w:tc>
      </w:tr>
      <w:tr w:rsidR="00F00E3D" w:rsidRPr="00335312" w14:paraId="4E4E331C" w14:textId="77777777" w:rsidTr="009B2FA7">
        <w:trPr>
          <w:jc w:val="center"/>
        </w:trPr>
        <w:tc>
          <w:tcPr>
            <w:tcW w:w="1207" w:type="pct"/>
            <w:tcBorders>
              <w:top w:val="nil"/>
              <w:left w:val="nil"/>
              <w:bottom w:val="nil"/>
              <w:right w:val="nil"/>
            </w:tcBorders>
          </w:tcPr>
          <w:p w14:paraId="6E1ADE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17E164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948" w:type="pct"/>
            <w:tcBorders>
              <w:top w:val="nil"/>
              <w:left w:val="nil"/>
              <w:bottom w:val="nil"/>
              <w:right w:val="nil"/>
            </w:tcBorders>
          </w:tcPr>
          <w:p w14:paraId="3CDEB4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07" w:type="pct"/>
            <w:tcBorders>
              <w:top w:val="nil"/>
              <w:left w:val="nil"/>
              <w:bottom w:val="nil"/>
              <w:right w:val="nil"/>
            </w:tcBorders>
          </w:tcPr>
          <w:p w14:paraId="46B50E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31" w:type="pct"/>
            <w:tcBorders>
              <w:top w:val="nil"/>
              <w:left w:val="nil"/>
              <w:bottom w:val="nil"/>
              <w:right w:val="nil"/>
            </w:tcBorders>
          </w:tcPr>
          <w:p w14:paraId="2AF29C2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26" w:type="pct"/>
            <w:tcBorders>
              <w:top w:val="nil"/>
              <w:left w:val="nil"/>
              <w:bottom w:val="nil"/>
              <w:right w:val="nil"/>
            </w:tcBorders>
          </w:tcPr>
          <w:p w14:paraId="385C77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2E0320FA" w14:textId="77777777" w:rsidTr="009B2FA7">
        <w:trPr>
          <w:jc w:val="center"/>
        </w:trPr>
        <w:tc>
          <w:tcPr>
            <w:tcW w:w="1207" w:type="pct"/>
            <w:tcBorders>
              <w:top w:val="nil"/>
              <w:left w:val="nil"/>
              <w:bottom w:val="nil"/>
              <w:right w:val="nil"/>
            </w:tcBorders>
          </w:tcPr>
          <w:p w14:paraId="290B99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Size</w:t>
            </w:r>
          </w:p>
        </w:tc>
        <w:tc>
          <w:tcPr>
            <w:tcW w:w="580" w:type="pct"/>
            <w:tcBorders>
              <w:top w:val="nil"/>
              <w:left w:val="nil"/>
              <w:bottom w:val="nil"/>
              <w:right w:val="nil"/>
            </w:tcBorders>
          </w:tcPr>
          <w:p w14:paraId="3D0DC0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w:t>
            </w:r>
          </w:p>
        </w:tc>
        <w:tc>
          <w:tcPr>
            <w:tcW w:w="948" w:type="pct"/>
            <w:tcBorders>
              <w:top w:val="nil"/>
              <w:left w:val="nil"/>
              <w:bottom w:val="nil"/>
              <w:right w:val="nil"/>
            </w:tcBorders>
          </w:tcPr>
          <w:p w14:paraId="539F2D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-0.0220***</w:t>
            </w:r>
          </w:p>
        </w:tc>
        <w:tc>
          <w:tcPr>
            <w:tcW w:w="707" w:type="pct"/>
            <w:tcBorders>
              <w:top w:val="nil"/>
              <w:left w:val="nil"/>
              <w:bottom w:val="nil"/>
              <w:right w:val="nil"/>
            </w:tcBorders>
          </w:tcPr>
          <w:p w14:paraId="1CA9B4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0.00620</w:t>
            </w:r>
          </w:p>
        </w:tc>
        <w:tc>
          <w:tcPr>
            <w:tcW w:w="831" w:type="pct"/>
            <w:tcBorders>
              <w:top w:val="nil"/>
              <w:left w:val="nil"/>
              <w:bottom w:val="nil"/>
              <w:right w:val="nil"/>
            </w:tcBorders>
          </w:tcPr>
          <w:p w14:paraId="3576BA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0.00354</w:t>
            </w:r>
          </w:p>
        </w:tc>
        <w:tc>
          <w:tcPr>
            <w:tcW w:w="726" w:type="pct"/>
            <w:tcBorders>
              <w:top w:val="nil"/>
              <w:left w:val="nil"/>
              <w:bottom w:val="nil"/>
              <w:right w:val="nil"/>
            </w:tcBorders>
          </w:tcPr>
          <w:p w14:paraId="26D3FFA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-0.0227</w:t>
            </w:r>
          </w:p>
        </w:tc>
      </w:tr>
      <w:tr w:rsidR="00F00E3D" w:rsidRPr="00335312" w14:paraId="374CB30F" w14:textId="77777777" w:rsidTr="009B2FA7">
        <w:trPr>
          <w:jc w:val="center"/>
        </w:trPr>
        <w:tc>
          <w:tcPr>
            <w:tcW w:w="1207" w:type="pct"/>
            <w:tcBorders>
              <w:top w:val="nil"/>
              <w:left w:val="nil"/>
              <w:bottom w:val="nil"/>
              <w:right w:val="nil"/>
            </w:tcBorders>
          </w:tcPr>
          <w:p w14:paraId="4914ED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2F9D9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(-3.619)</w:t>
            </w:r>
          </w:p>
        </w:tc>
        <w:tc>
          <w:tcPr>
            <w:tcW w:w="948" w:type="pct"/>
            <w:tcBorders>
              <w:top w:val="nil"/>
              <w:left w:val="nil"/>
              <w:bottom w:val="nil"/>
              <w:right w:val="nil"/>
            </w:tcBorders>
          </w:tcPr>
          <w:p w14:paraId="0622628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(-5.403)</w:t>
            </w:r>
          </w:p>
        </w:tc>
        <w:tc>
          <w:tcPr>
            <w:tcW w:w="707" w:type="pct"/>
            <w:tcBorders>
              <w:top w:val="nil"/>
              <w:left w:val="nil"/>
              <w:bottom w:val="nil"/>
              <w:right w:val="nil"/>
            </w:tcBorders>
          </w:tcPr>
          <w:p w14:paraId="7029AF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(1.392)</w:t>
            </w:r>
          </w:p>
        </w:tc>
        <w:tc>
          <w:tcPr>
            <w:tcW w:w="831" w:type="pct"/>
            <w:tcBorders>
              <w:top w:val="nil"/>
              <w:left w:val="nil"/>
              <w:bottom w:val="nil"/>
              <w:right w:val="nil"/>
            </w:tcBorders>
          </w:tcPr>
          <w:p w14:paraId="0A427E6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(0.267)</w:t>
            </w:r>
          </w:p>
        </w:tc>
        <w:tc>
          <w:tcPr>
            <w:tcW w:w="726" w:type="pct"/>
            <w:tcBorders>
              <w:top w:val="nil"/>
              <w:left w:val="nil"/>
              <w:bottom w:val="nil"/>
              <w:right w:val="nil"/>
            </w:tcBorders>
          </w:tcPr>
          <w:p w14:paraId="33F774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(-0.800)</w:t>
            </w:r>
          </w:p>
        </w:tc>
      </w:tr>
      <w:tr w:rsidR="00F00E3D" w:rsidRPr="00335312" w14:paraId="2A54E568" w14:textId="77777777" w:rsidTr="009B2FA7">
        <w:trPr>
          <w:jc w:val="center"/>
        </w:trPr>
        <w:tc>
          <w:tcPr>
            <w:tcW w:w="1207" w:type="pct"/>
            <w:tcBorders>
              <w:top w:val="nil"/>
              <w:left w:val="nil"/>
              <w:bottom w:val="nil"/>
              <w:right w:val="nil"/>
            </w:tcBorders>
          </w:tcPr>
          <w:p w14:paraId="147E2A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eastAsia="Times New Roman" w:hAnsiTheme="majorHAnsi" w:cstheme="majorHAnsi"/>
                <w:color w:val="000000"/>
                <w:sz w:val="20"/>
                <w:szCs w:val="20"/>
              </w:rPr>
              <w:t>No.Beds</w:t>
            </w:r>
          </w:p>
        </w:tc>
        <w:tc>
          <w:tcPr>
            <w:tcW w:w="580" w:type="pct"/>
            <w:tcBorders>
              <w:top w:val="nil"/>
              <w:left w:val="nil"/>
              <w:bottom w:val="nil"/>
              <w:right w:val="nil"/>
            </w:tcBorders>
          </w:tcPr>
          <w:p w14:paraId="4741B6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0.121***</w:t>
            </w:r>
          </w:p>
        </w:tc>
        <w:tc>
          <w:tcPr>
            <w:tcW w:w="948" w:type="pct"/>
            <w:tcBorders>
              <w:top w:val="nil"/>
              <w:left w:val="nil"/>
              <w:bottom w:val="nil"/>
              <w:right w:val="nil"/>
            </w:tcBorders>
          </w:tcPr>
          <w:p w14:paraId="3EF745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0.132***</w:t>
            </w:r>
          </w:p>
        </w:tc>
        <w:tc>
          <w:tcPr>
            <w:tcW w:w="707" w:type="pct"/>
            <w:tcBorders>
              <w:top w:val="nil"/>
              <w:left w:val="nil"/>
              <w:bottom w:val="nil"/>
              <w:right w:val="nil"/>
            </w:tcBorders>
          </w:tcPr>
          <w:p w14:paraId="2F3029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0.0993***</w:t>
            </w:r>
          </w:p>
        </w:tc>
        <w:tc>
          <w:tcPr>
            <w:tcW w:w="831" w:type="pct"/>
            <w:tcBorders>
              <w:top w:val="nil"/>
              <w:left w:val="nil"/>
              <w:bottom w:val="nil"/>
              <w:right w:val="nil"/>
            </w:tcBorders>
          </w:tcPr>
          <w:p w14:paraId="65C1E7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0.136***</w:t>
            </w:r>
          </w:p>
        </w:tc>
        <w:tc>
          <w:tcPr>
            <w:tcW w:w="726" w:type="pct"/>
            <w:tcBorders>
              <w:top w:val="nil"/>
              <w:left w:val="nil"/>
              <w:bottom w:val="nil"/>
              <w:right w:val="nil"/>
            </w:tcBorders>
          </w:tcPr>
          <w:p w14:paraId="5ADB4E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0.0978***</w:t>
            </w:r>
          </w:p>
        </w:tc>
      </w:tr>
      <w:tr w:rsidR="00F00E3D" w:rsidRPr="00335312" w14:paraId="617B0EE7" w14:textId="77777777" w:rsidTr="009B2FA7">
        <w:trPr>
          <w:jc w:val="center"/>
        </w:trPr>
        <w:tc>
          <w:tcPr>
            <w:tcW w:w="1207" w:type="pct"/>
            <w:tcBorders>
              <w:top w:val="nil"/>
              <w:left w:val="nil"/>
              <w:bottom w:val="nil"/>
              <w:right w:val="nil"/>
            </w:tcBorders>
          </w:tcPr>
          <w:p w14:paraId="15F194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6FDCFA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(21.54)</w:t>
            </w:r>
          </w:p>
        </w:tc>
        <w:tc>
          <w:tcPr>
            <w:tcW w:w="948" w:type="pct"/>
            <w:tcBorders>
              <w:top w:val="nil"/>
              <w:left w:val="nil"/>
              <w:bottom w:val="nil"/>
              <w:right w:val="nil"/>
            </w:tcBorders>
          </w:tcPr>
          <w:p w14:paraId="0B7974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(20.22)</w:t>
            </w:r>
          </w:p>
        </w:tc>
        <w:tc>
          <w:tcPr>
            <w:tcW w:w="707" w:type="pct"/>
            <w:tcBorders>
              <w:top w:val="nil"/>
              <w:left w:val="nil"/>
              <w:bottom w:val="nil"/>
              <w:right w:val="nil"/>
            </w:tcBorders>
          </w:tcPr>
          <w:p w14:paraId="4D7026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(11.31)</w:t>
            </w:r>
          </w:p>
        </w:tc>
        <w:tc>
          <w:tcPr>
            <w:tcW w:w="831" w:type="pct"/>
            <w:tcBorders>
              <w:top w:val="nil"/>
              <w:left w:val="nil"/>
              <w:bottom w:val="nil"/>
              <w:right w:val="nil"/>
            </w:tcBorders>
          </w:tcPr>
          <w:p w14:paraId="6270F7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(9.260)</w:t>
            </w:r>
          </w:p>
        </w:tc>
        <w:tc>
          <w:tcPr>
            <w:tcW w:w="726" w:type="pct"/>
            <w:tcBorders>
              <w:top w:val="nil"/>
              <w:left w:val="nil"/>
              <w:bottom w:val="nil"/>
              <w:right w:val="nil"/>
            </w:tcBorders>
          </w:tcPr>
          <w:p w14:paraId="22C458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(100.6)</w:t>
            </w:r>
          </w:p>
        </w:tc>
      </w:tr>
      <w:tr w:rsidR="00F00E3D" w:rsidRPr="00335312" w14:paraId="386ABC1F" w14:textId="77777777" w:rsidTr="009B2FA7">
        <w:trPr>
          <w:jc w:val="center"/>
        </w:trPr>
        <w:tc>
          <w:tcPr>
            <w:tcW w:w="1207" w:type="pct"/>
            <w:tcBorders>
              <w:top w:val="nil"/>
              <w:left w:val="nil"/>
              <w:bottom w:val="nil"/>
              <w:right w:val="nil"/>
            </w:tcBorders>
          </w:tcPr>
          <w:p w14:paraId="48F7AA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eastAsia="Times New Roman" w:hAnsiTheme="majorHAnsi" w:cstheme="majorHAnsi"/>
                <w:color w:val="000000"/>
                <w:sz w:val="20"/>
                <w:szCs w:val="20"/>
              </w:rPr>
              <w:t>No.B</w:t>
            </w:r>
            <w:r w:rsidRPr="00335312">
              <w:rPr>
                <w:rFonts w:asciiTheme="majorHAnsi" w:hAnsiTheme="majorHAnsi" w:cstheme="majorHAnsi"/>
                <w:sz w:val="20"/>
                <w:szCs w:val="20"/>
              </w:rPr>
              <w:t>aths</w:t>
            </w:r>
          </w:p>
        </w:tc>
        <w:tc>
          <w:tcPr>
            <w:tcW w:w="580" w:type="pct"/>
            <w:tcBorders>
              <w:top w:val="nil"/>
              <w:left w:val="nil"/>
              <w:bottom w:val="nil"/>
              <w:right w:val="nil"/>
            </w:tcBorders>
          </w:tcPr>
          <w:p w14:paraId="60616A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0.148***</w:t>
            </w:r>
          </w:p>
        </w:tc>
        <w:tc>
          <w:tcPr>
            <w:tcW w:w="948" w:type="pct"/>
            <w:tcBorders>
              <w:top w:val="nil"/>
              <w:left w:val="nil"/>
              <w:bottom w:val="nil"/>
              <w:right w:val="nil"/>
            </w:tcBorders>
          </w:tcPr>
          <w:p w14:paraId="145191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0.141***</w:t>
            </w:r>
          </w:p>
        </w:tc>
        <w:tc>
          <w:tcPr>
            <w:tcW w:w="707" w:type="pct"/>
            <w:tcBorders>
              <w:top w:val="nil"/>
              <w:left w:val="nil"/>
              <w:bottom w:val="nil"/>
              <w:right w:val="nil"/>
            </w:tcBorders>
          </w:tcPr>
          <w:p w14:paraId="18521F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0.161***</w:t>
            </w:r>
          </w:p>
        </w:tc>
        <w:tc>
          <w:tcPr>
            <w:tcW w:w="831" w:type="pct"/>
            <w:tcBorders>
              <w:top w:val="nil"/>
              <w:left w:val="nil"/>
              <w:bottom w:val="nil"/>
              <w:right w:val="nil"/>
            </w:tcBorders>
          </w:tcPr>
          <w:p w14:paraId="217E83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0.0730***</w:t>
            </w:r>
          </w:p>
        </w:tc>
        <w:tc>
          <w:tcPr>
            <w:tcW w:w="726" w:type="pct"/>
            <w:tcBorders>
              <w:top w:val="nil"/>
              <w:left w:val="nil"/>
              <w:bottom w:val="nil"/>
              <w:right w:val="nil"/>
            </w:tcBorders>
          </w:tcPr>
          <w:p w14:paraId="0D7E11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0.138***</w:t>
            </w:r>
          </w:p>
        </w:tc>
      </w:tr>
      <w:tr w:rsidR="00F00E3D" w:rsidRPr="00335312" w14:paraId="15638365" w14:textId="77777777" w:rsidTr="009B2FA7">
        <w:trPr>
          <w:jc w:val="center"/>
        </w:trPr>
        <w:tc>
          <w:tcPr>
            <w:tcW w:w="1207" w:type="pct"/>
            <w:tcBorders>
              <w:top w:val="nil"/>
              <w:left w:val="nil"/>
              <w:bottom w:val="nil"/>
              <w:right w:val="nil"/>
            </w:tcBorders>
          </w:tcPr>
          <w:p w14:paraId="71BFC2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6494E4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(28.33)</w:t>
            </w:r>
          </w:p>
        </w:tc>
        <w:tc>
          <w:tcPr>
            <w:tcW w:w="948" w:type="pct"/>
            <w:tcBorders>
              <w:top w:val="nil"/>
              <w:left w:val="nil"/>
              <w:bottom w:val="nil"/>
              <w:right w:val="nil"/>
            </w:tcBorders>
          </w:tcPr>
          <w:p w14:paraId="3F21A4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(22.26)</w:t>
            </w:r>
          </w:p>
        </w:tc>
        <w:tc>
          <w:tcPr>
            <w:tcW w:w="707" w:type="pct"/>
            <w:tcBorders>
              <w:top w:val="nil"/>
              <w:left w:val="nil"/>
              <w:bottom w:val="nil"/>
              <w:right w:val="nil"/>
            </w:tcBorders>
          </w:tcPr>
          <w:p w14:paraId="08C15BA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(18.05)</w:t>
            </w:r>
          </w:p>
        </w:tc>
        <w:tc>
          <w:tcPr>
            <w:tcW w:w="831" w:type="pct"/>
            <w:tcBorders>
              <w:top w:val="nil"/>
              <w:left w:val="nil"/>
              <w:bottom w:val="nil"/>
              <w:right w:val="nil"/>
            </w:tcBorders>
          </w:tcPr>
          <w:p w14:paraId="7CE63F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(3.275)</w:t>
            </w:r>
          </w:p>
        </w:tc>
        <w:tc>
          <w:tcPr>
            <w:tcW w:w="726" w:type="pct"/>
            <w:tcBorders>
              <w:top w:val="nil"/>
              <w:left w:val="nil"/>
              <w:bottom w:val="nil"/>
              <w:right w:val="nil"/>
            </w:tcBorders>
          </w:tcPr>
          <w:p w14:paraId="281A56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(14.01)</w:t>
            </w:r>
          </w:p>
        </w:tc>
      </w:tr>
      <w:tr w:rsidR="00F00E3D" w:rsidRPr="00335312" w14:paraId="5FF0E9F0" w14:textId="77777777" w:rsidTr="009B2FA7">
        <w:trPr>
          <w:jc w:val="center"/>
        </w:trPr>
        <w:tc>
          <w:tcPr>
            <w:tcW w:w="1207" w:type="pct"/>
            <w:tcBorders>
              <w:top w:val="nil"/>
              <w:left w:val="nil"/>
              <w:bottom w:val="nil"/>
              <w:right w:val="nil"/>
            </w:tcBorders>
          </w:tcPr>
          <w:p w14:paraId="25B471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No.Parkings</w:t>
            </w:r>
          </w:p>
        </w:tc>
        <w:tc>
          <w:tcPr>
            <w:tcW w:w="580" w:type="pct"/>
            <w:tcBorders>
              <w:top w:val="nil"/>
              <w:left w:val="nil"/>
              <w:bottom w:val="nil"/>
              <w:right w:val="nil"/>
            </w:tcBorders>
          </w:tcPr>
          <w:p w14:paraId="166AF5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0.0249***</w:t>
            </w:r>
          </w:p>
        </w:tc>
        <w:tc>
          <w:tcPr>
            <w:tcW w:w="948" w:type="pct"/>
            <w:tcBorders>
              <w:top w:val="nil"/>
              <w:left w:val="nil"/>
              <w:bottom w:val="nil"/>
              <w:right w:val="nil"/>
            </w:tcBorders>
          </w:tcPr>
          <w:p w14:paraId="204CC2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0.0257***</w:t>
            </w:r>
          </w:p>
        </w:tc>
        <w:tc>
          <w:tcPr>
            <w:tcW w:w="707" w:type="pct"/>
            <w:tcBorders>
              <w:top w:val="nil"/>
              <w:left w:val="nil"/>
              <w:bottom w:val="nil"/>
              <w:right w:val="nil"/>
            </w:tcBorders>
          </w:tcPr>
          <w:p w14:paraId="3BD330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0.0244***</w:t>
            </w:r>
          </w:p>
        </w:tc>
        <w:tc>
          <w:tcPr>
            <w:tcW w:w="831" w:type="pct"/>
            <w:tcBorders>
              <w:top w:val="nil"/>
              <w:left w:val="nil"/>
              <w:bottom w:val="nil"/>
              <w:right w:val="nil"/>
            </w:tcBorders>
          </w:tcPr>
          <w:p w14:paraId="2FFC01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0.0239***</w:t>
            </w:r>
          </w:p>
        </w:tc>
        <w:tc>
          <w:tcPr>
            <w:tcW w:w="726" w:type="pct"/>
            <w:tcBorders>
              <w:top w:val="nil"/>
              <w:left w:val="nil"/>
              <w:bottom w:val="nil"/>
              <w:right w:val="nil"/>
            </w:tcBorders>
          </w:tcPr>
          <w:p w14:paraId="71C2F9A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0.0254***</w:t>
            </w:r>
          </w:p>
        </w:tc>
      </w:tr>
      <w:tr w:rsidR="00F00E3D" w:rsidRPr="00335312" w14:paraId="4E576FBD" w14:textId="77777777" w:rsidTr="009B2FA7">
        <w:trPr>
          <w:jc w:val="center"/>
        </w:trPr>
        <w:tc>
          <w:tcPr>
            <w:tcW w:w="1207" w:type="pct"/>
            <w:tcBorders>
              <w:top w:val="nil"/>
              <w:left w:val="nil"/>
              <w:bottom w:val="nil"/>
              <w:right w:val="nil"/>
            </w:tcBorders>
          </w:tcPr>
          <w:p w14:paraId="384B8DB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58813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(13.44)</w:t>
            </w:r>
          </w:p>
        </w:tc>
        <w:tc>
          <w:tcPr>
            <w:tcW w:w="948" w:type="pct"/>
            <w:tcBorders>
              <w:top w:val="nil"/>
              <w:left w:val="nil"/>
              <w:bottom w:val="nil"/>
              <w:right w:val="nil"/>
            </w:tcBorders>
          </w:tcPr>
          <w:p w14:paraId="105B18D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(10.39)</w:t>
            </w:r>
          </w:p>
        </w:tc>
        <w:tc>
          <w:tcPr>
            <w:tcW w:w="707" w:type="pct"/>
            <w:tcBorders>
              <w:top w:val="nil"/>
              <w:left w:val="nil"/>
              <w:bottom w:val="nil"/>
              <w:right w:val="nil"/>
            </w:tcBorders>
          </w:tcPr>
          <w:p w14:paraId="11D401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(9.672)</w:t>
            </w:r>
          </w:p>
        </w:tc>
        <w:tc>
          <w:tcPr>
            <w:tcW w:w="831" w:type="pct"/>
            <w:tcBorders>
              <w:top w:val="nil"/>
              <w:left w:val="nil"/>
              <w:bottom w:val="nil"/>
              <w:right w:val="nil"/>
            </w:tcBorders>
          </w:tcPr>
          <w:p w14:paraId="0D5654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(5.241)</w:t>
            </w:r>
          </w:p>
        </w:tc>
        <w:tc>
          <w:tcPr>
            <w:tcW w:w="726" w:type="pct"/>
            <w:tcBorders>
              <w:top w:val="nil"/>
              <w:left w:val="nil"/>
              <w:bottom w:val="nil"/>
              <w:right w:val="nil"/>
            </w:tcBorders>
          </w:tcPr>
          <w:p w14:paraId="43E1F3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(23.18)</w:t>
            </w:r>
          </w:p>
        </w:tc>
      </w:tr>
      <w:tr w:rsidR="00F00E3D" w:rsidRPr="00335312" w14:paraId="1425CE1A" w14:textId="77777777" w:rsidTr="009B2FA7">
        <w:trPr>
          <w:jc w:val="center"/>
        </w:trPr>
        <w:tc>
          <w:tcPr>
            <w:tcW w:w="1207" w:type="pct"/>
            <w:tcBorders>
              <w:top w:val="nil"/>
              <w:left w:val="nil"/>
              <w:bottom w:val="nil"/>
              <w:right w:val="nil"/>
            </w:tcBorders>
          </w:tcPr>
          <w:p w14:paraId="0B6678A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lastRenderedPageBreak/>
              <w:t>LogCBDDistance</w:t>
            </w:r>
          </w:p>
        </w:tc>
        <w:tc>
          <w:tcPr>
            <w:tcW w:w="580" w:type="pct"/>
            <w:tcBorders>
              <w:top w:val="nil"/>
              <w:left w:val="nil"/>
              <w:bottom w:val="nil"/>
              <w:right w:val="nil"/>
            </w:tcBorders>
          </w:tcPr>
          <w:p w14:paraId="75308E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-0.118***</w:t>
            </w:r>
          </w:p>
        </w:tc>
        <w:tc>
          <w:tcPr>
            <w:tcW w:w="948" w:type="pct"/>
            <w:tcBorders>
              <w:top w:val="nil"/>
              <w:left w:val="nil"/>
              <w:bottom w:val="nil"/>
              <w:right w:val="nil"/>
            </w:tcBorders>
          </w:tcPr>
          <w:p w14:paraId="62E884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-0.108***</w:t>
            </w:r>
          </w:p>
        </w:tc>
        <w:tc>
          <w:tcPr>
            <w:tcW w:w="707" w:type="pct"/>
            <w:tcBorders>
              <w:top w:val="nil"/>
              <w:left w:val="nil"/>
              <w:bottom w:val="nil"/>
              <w:right w:val="nil"/>
            </w:tcBorders>
          </w:tcPr>
          <w:p w14:paraId="0D2936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-0.249***</w:t>
            </w:r>
          </w:p>
        </w:tc>
        <w:tc>
          <w:tcPr>
            <w:tcW w:w="831" w:type="pct"/>
            <w:tcBorders>
              <w:top w:val="nil"/>
              <w:left w:val="nil"/>
              <w:bottom w:val="nil"/>
              <w:right w:val="nil"/>
            </w:tcBorders>
          </w:tcPr>
          <w:p w14:paraId="012817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-0.529</w:t>
            </w:r>
          </w:p>
        </w:tc>
        <w:tc>
          <w:tcPr>
            <w:tcW w:w="726" w:type="pct"/>
            <w:tcBorders>
              <w:top w:val="nil"/>
              <w:left w:val="nil"/>
              <w:bottom w:val="nil"/>
              <w:right w:val="nil"/>
            </w:tcBorders>
          </w:tcPr>
          <w:p w14:paraId="7A1509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1.362</w:t>
            </w:r>
          </w:p>
        </w:tc>
      </w:tr>
      <w:tr w:rsidR="00F00E3D" w:rsidRPr="00335312" w14:paraId="20700937" w14:textId="77777777" w:rsidTr="009B2FA7">
        <w:trPr>
          <w:jc w:val="center"/>
        </w:trPr>
        <w:tc>
          <w:tcPr>
            <w:tcW w:w="1207" w:type="pct"/>
            <w:tcBorders>
              <w:top w:val="nil"/>
              <w:left w:val="nil"/>
              <w:bottom w:val="nil"/>
              <w:right w:val="nil"/>
            </w:tcBorders>
          </w:tcPr>
          <w:p w14:paraId="096065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521676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(-3.321)</w:t>
            </w:r>
          </w:p>
        </w:tc>
        <w:tc>
          <w:tcPr>
            <w:tcW w:w="948" w:type="pct"/>
            <w:tcBorders>
              <w:top w:val="nil"/>
              <w:left w:val="nil"/>
              <w:bottom w:val="nil"/>
              <w:right w:val="nil"/>
            </w:tcBorders>
          </w:tcPr>
          <w:p w14:paraId="42C21A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(-2.839)</w:t>
            </w:r>
          </w:p>
        </w:tc>
        <w:tc>
          <w:tcPr>
            <w:tcW w:w="707" w:type="pct"/>
            <w:tcBorders>
              <w:top w:val="nil"/>
              <w:left w:val="nil"/>
              <w:bottom w:val="nil"/>
              <w:right w:val="nil"/>
            </w:tcBorders>
          </w:tcPr>
          <w:p w14:paraId="2B7B0B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(-3.991)</w:t>
            </w:r>
          </w:p>
        </w:tc>
        <w:tc>
          <w:tcPr>
            <w:tcW w:w="831" w:type="pct"/>
            <w:tcBorders>
              <w:top w:val="nil"/>
              <w:left w:val="nil"/>
              <w:bottom w:val="nil"/>
              <w:right w:val="nil"/>
            </w:tcBorders>
          </w:tcPr>
          <w:p w14:paraId="2A82736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(-0.661)</w:t>
            </w:r>
          </w:p>
        </w:tc>
        <w:tc>
          <w:tcPr>
            <w:tcW w:w="726" w:type="pct"/>
            <w:tcBorders>
              <w:top w:val="nil"/>
              <w:left w:val="nil"/>
              <w:bottom w:val="nil"/>
              <w:right w:val="nil"/>
            </w:tcBorders>
          </w:tcPr>
          <w:p w14:paraId="6991FB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(2.452)</w:t>
            </w:r>
          </w:p>
        </w:tc>
      </w:tr>
      <w:tr w:rsidR="00F00E3D" w:rsidRPr="00335312" w14:paraId="09C5D39C" w14:textId="77777777" w:rsidTr="009B2FA7">
        <w:trPr>
          <w:jc w:val="center"/>
        </w:trPr>
        <w:tc>
          <w:tcPr>
            <w:tcW w:w="1207" w:type="pct"/>
            <w:tcBorders>
              <w:top w:val="nil"/>
              <w:left w:val="nil"/>
              <w:bottom w:val="nil"/>
              <w:right w:val="nil"/>
            </w:tcBorders>
          </w:tcPr>
          <w:p w14:paraId="051E4A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2015.year#2.month</w:t>
            </w:r>
          </w:p>
        </w:tc>
        <w:tc>
          <w:tcPr>
            <w:tcW w:w="580" w:type="pct"/>
            <w:tcBorders>
              <w:top w:val="nil"/>
              <w:left w:val="nil"/>
              <w:bottom w:val="nil"/>
              <w:right w:val="nil"/>
            </w:tcBorders>
          </w:tcPr>
          <w:p w14:paraId="7626F5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0.00481*</w:t>
            </w:r>
          </w:p>
        </w:tc>
        <w:tc>
          <w:tcPr>
            <w:tcW w:w="948" w:type="pct"/>
            <w:tcBorders>
              <w:top w:val="nil"/>
              <w:left w:val="nil"/>
              <w:bottom w:val="nil"/>
              <w:right w:val="nil"/>
            </w:tcBorders>
          </w:tcPr>
          <w:p w14:paraId="4F96C81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0.00541*</w:t>
            </w:r>
          </w:p>
        </w:tc>
        <w:tc>
          <w:tcPr>
            <w:tcW w:w="707" w:type="pct"/>
            <w:tcBorders>
              <w:top w:val="nil"/>
              <w:left w:val="nil"/>
              <w:bottom w:val="nil"/>
              <w:right w:val="nil"/>
            </w:tcBorders>
          </w:tcPr>
          <w:p w14:paraId="66879A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0.00311</w:t>
            </w:r>
          </w:p>
        </w:tc>
        <w:tc>
          <w:tcPr>
            <w:tcW w:w="831" w:type="pct"/>
            <w:tcBorders>
              <w:top w:val="nil"/>
              <w:left w:val="nil"/>
              <w:bottom w:val="nil"/>
              <w:right w:val="nil"/>
            </w:tcBorders>
          </w:tcPr>
          <w:p w14:paraId="7B4BD43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0.000603</w:t>
            </w:r>
          </w:p>
        </w:tc>
        <w:tc>
          <w:tcPr>
            <w:tcW w:w="726" w:type="pct"/>
            <w:tcBorders>
              <w:top w:val="nil"/>
              <w:left w:val="nil"/>
              <w:bottom w:val="nil"/>
              <w:right w:val="nil"/>
            </w:tcBorders>
          </w:tcPr>
          <w:p w14:paraId="27191E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-0.000882</w:t>
            </w:r>
          </w:p>
        </w:tc>
      </w:tr>
      <w:tr w:rsidR="00F00E3D" w:rsidRPr="00335312" w14:paraId="1F367456" w14:textId="77777777" w:rsidTr="009B2FA7">
        <w:trPr>
          <w:jc w:val="center"/>
        </w:trPr>
        <w:tc>
          <w:tcPr>
            <w:tcW w:w="1207" w:type="pct"/>
            <w:tcBorders>
              <w:top w:val="nil"/>
              <w:left w:val="nil"/>
              <w:bottom w:val="nil"/>
              <w:right w:val="nil"/>
            </w:tcBorders>
          </w:tcPr>
          <w:p w14:paraId="0553AE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7648691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(1.866)</w:t>
            </w:r>
          </w:p>
        </w:tc>
        <w:tc>
          <w:tcPr>
            <w:tcW w:w="948" w:type="pct"/>
            <w:tcBorders>
              <w:top w:val="nil"/>
              <w:left w:val="nil"/>
              <w:bottom w:val="nil"/>
              <w:right w:val="nil"/>
            </w:tcBorders>
          </w:tcPr>
          <w:p w14:paraId="52F528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(1.671)</w:t>
            </w:r>
          </w:p>
        </w:tc>
        <w:tc>
          <w:tcPr>
            <w:tcW w:w="707" w:type="pct"/>
            <w:tcBorders>
              <w:top w:val="nil"/>
              <w:left w:val="nil"/>
              <w:bottom w:val="nil"/>
              <w:right w:val="nil"/>
            </w:tcBorders>
          </w:tcPr>
          <w:p w14:paraId="222CC00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(0.766)</w:t>
            </w:r>
          </w:p>
        </w:tc>
        <w:tc>
          <w:tcPr>
            <w:tcW w:w="831" w:type="pct"/>
            <w:tcBorders>
              <w:top w:val="nil"/>
              <w:left w:val="nil"/>
              <w:bottom w:val="nil"/>
              <w:right w:val="nil"/>
            </w:tcBorders>
          </w:tcPr>
          <w:p w14:paraId="29CEE8E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(0.0646)</w:t>
            </w:r>
          </w:p>
        </w:tc>
        <w:tc>
          <w:tcPr>
            <w:tcW w:w="726" w:type="pct"/>
            <w:tcBorders>
              <w:top w:val="nil"/>
              <w:left w:val="nil"/>
              <w:bottom w:val="nil"/>
              <w:right w:val="nil"/>
            </w:tcBorders>
          </w:tcPr>
          <w:p w14:paraId="01C936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(-0.0553)</w:t>
            </w:r>
          </w:p>
        </w:tc>
      </w:tr>
      <w:tr w:rsidR="00F00E3D" w:rsidRPr="00335312" w14:paraId="215B49C4" w14:textId="77777777" w:rsidTr="009B2FA7">
        <w:trPr>
          <w:jc w:val="center"/>
        </w:trPr>
        <w:tc>
          <w:tcPr>
            <w:tcW w:w="1207" w:type="pct"/>
            <w:tcBorders>
              <w:top w:val="nil"/>
              <w:left w:val="nil"/>
              <w:bottom w:val="nil"/>
              <w:right w:val="nil"/>
            </w:tcBorders>
          </w:tcPr>
          <w:p w14:paraId="0719BA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2015.year#3.month</w:t>
            </w:r>
          </w:p>
        </w:tc>
        <w:tc>
          <w:tcPr>
            <w:tcW w:w="580" w:type="pct"/>
            <w:tcBorders>
              <w:top w:val="nil"/>
              <w:left w:val="nil"/>
              <w:bottom w:val="nil"/>
              <w:right w:val="nil"/>
            </w:tcBorders>
          </w:tcPr>
          <w:p w14:paraId="011D0D8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0.00278</w:t>
            </w:r>
          </w:p>
        </w:tc>
        <w:tc>
          <w:tcPr>
            <w:tcW w:w="948" w:type="pct"/>
            <w:tcBorders>
              <w:top w:val="nil"/>
              <w:left w:val="nil"/>
              <w:bottom w:val="nil"/>
              <w:right w:val="nil"/>
            </w:tcBorders>
          </w:tcPr>
          <w:p w14:paraId="529C77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0.00530</w:t>
            </w:r>
          </w:p>
        </w:tc>
        <w:tc>
          <w:tcPr>
            <w:tcW w:w="707" w:type="pct"/>
            <w:tcBorders>
              <w:top w:val="nil"/>
              <w:left w:val="nil"/>
              <w:bottom w:val="nil"/>
              <w:right w:val="nil"/>
            </w:tcBorders>
          </w:tcPr>
          <w:p w14:paraId="57A69D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-0.00227</w:t>
            </w:r>
          </w:p>
        </w:tc>
        <w:tc>
          <w:tcPr>
            <w:tcW w:w="831" w:type="pct"/>
            <w:tcBorders>
              <w:top w:val="nil"/>
              <w:left w:val="nil"/>
              <w:bottom w:val="nil"/>
              <w:right w:val="nil"/>
            </w:tcBorders>
          </w:tcPr>
          <w:p w14:paraId="2DFA00A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-0.00501</w:t>
            </w:r>
          </w:p>
        </w:tc>
        <w:tc>
          <w:tcPr>
            <w:tcW w:w="726" w:type="pct"/>
            <w:tcBorders>
              <w:top w:val="nil"/>
              <w:left w:val="nil"/>
              <w:bottom w:val="nil"/>
              <w:right w:val="nil"/>
            </w:tcBorders>
          </w:tcPr>
          <w:p w14:paraId="6AF703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-0.0127</w:t>
            </w:r>
          </w:p>
        </w:tc>
      </w:tr>
      <w:tr w:rsidR="00F00E3D" w:rsidRPr="00335312" w14:paraId="5AF3D3BB" w14:textId="77777777" w:rsidTr="009B2FA7">
        <w:trPr>
          <w:jc w:val="center"/>
        </w:trPr>
        <w:tc>
          <w:tcPr>
            <w:tcW w:w="1207" w:type="pct"/>
            <w:tcBorders>
              <w:top w:val="nil"/>
              <w:left w:val="nil"/>
              <w:bottom w:val="nil"/>
              <w:right w:val="nil"/>
            </w:tcBorders>
          </w:tcPr>
          <w:p w14:paraId="4629A5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6AC68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(0.841)</w:t>
            </w:r>
          </w:p>
        </w:tc>
        <w:tc>
          <w:tcPr>
            <w:tcW w:w="948" w:type="pct"/>
            <w:tcBorders>
              <w:top w:val="nil"/>
              <w:left w:val="nil"/>
              <w:bottom w:val="nil"/>
              <w:right w:val="nil"/>
            </w:tcBorders>
          </w:tcPr>
          <w:p w14:paraId="5F3FBB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(1.177)</w:t>
            </w:r>
          </w:p>
        </w:tc>
        <w:tc>
          <w:tcPr>
            <w:tcW w:w="707" w:type="pct"/>
            <w:tcBorders>
              <w:top w:val="nil"/>
              <w:left w:val="nil"/>
              <w:bottom w:val="nil"/>
              <w:right w:val="nil"/>
            </w:tcBorders>
          </w:tcPr>
          <w:p w14:paraId="2AF6E6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(-0.533)</w:t>
            </w:r>
          </w:p>
        </w:tc>
        <w:tc>
          <w:tcPr>
            <w:tcW w:w="831" w:type="pct"/>
            <w:tcBorders>
              <w:top w:val="nil"/>
              <w:left w:val="nil"/>
              <w:bottom w:val="nil"/>
              <w:right w:val="nil"/>
            </w:tcBorders>
          </w:tcPr>
          <w:p w14:paraId="5CE5E5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(-0.682)</w:t>
            </w:r>
          </w:p>
        </w:tc>
        <w:tc>
          <w:tcPr>
            <w:tcW w:w="726" w:type="pct"/>
            <w:tcBorders>
              <w:top w:val="nil"/>
              <w:left w:val="nil"/>
              <w:bottom w:val="nil"/>
              <w:right w:val="nil"/>
            </w:tcBorders>
          </w:tcPr>
          <w:p w14:paraId="7A9FAE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(-0.550)</w:t>
            </w:r>
          </w:p>
        </w:tc>
      </w:tr>
      <w:tr w:rsidR="00F00E3D" w:rsidRPr="00335312" w14:paraId="296C1E8F" w14:textId="77777777" w:rsidTr="009B2FA7">
        <w:trPr>
          <w:jc w:val="center"/>
        </w:trPr>
        <w:tc>
          <w:tcPr>
            <w:tcW w:w="1207" w:type="pct"/>
            <w:tcBorders>
              <w:top w:val="nil"/>
              <w:left w:val="nil"/>
              <w:bottom w:val="nil"/>
              <w:right w:val="nil"/>
            </w:tcBorders>
          </w:tcPr>
          <w:p w14:paraId="570E8D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2015.year#4.month</w:t>
            </w:r>
          </w:p>
        </w:tc>
        <w:tc>
          <w:tcPr>
            <w:tcW w:w="580" w:type="pct"/>
            <w:tcBorders>
              <w:top w:val="nil"/>
              <w:left w:val="nil"/>
              <w:bottom w:val="nil"/>
              <w:right w:val="nil"/>
            </w:tcBorders>
          </w:tcPr>
          <w:p w14:paraId="6446A0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0.00129</w:t>
            </w:r>
          </w:p>
        </w:tc>
        <w:tc>
          <w:tcPr>
            <w:tcW w:w="948" w:type="pct"/>
            <w:tcBorders>
              <w:top w:val="nil"/>
              <w:left w:val="nil"/>
              <w:bottom w:val="nil"/>
              <w:right w:val="nil"/>
            </w:tcBorders>
          </w:tcPr>
          <w:p w14:paraId="04914B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0.00596</w:t>
            </w:r>
          </w:p>
        </w:tc>
        <w:tc>
          <w:tcPr>
            <w:tcW w:w="707" w:type="pct"/>
            <w:tcBorders>
              <w:top w:val="nil"/>
              <w:left w:val="nil"/>
              <w:bottom w:val="nil"/>
              <w:right w:val="nil"/>
            </w:tcBorders>
          </w:tcPr>
          <w:p w14:paraId="54FCDE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-0.00717</w:t>
            </w:r>
          </w:p>
        </w:tc>
        <w:tc>
          <w:tcPr>
            <w:tcW w:w="831" w:type="pct"/>
            <w:tcBorders>
              <w:top w:val="nil"/>
              <w:left w:val="nil"/>
              <w:bottom w:val="nil"/>
              <w:right w:val="nil"/>
            </w:tcBorders>
          </w:tcPr>
          <w:p w14:paraId="03F0AB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-0.00318</w:t>
            </w:r>
          </w:p>
        </w:tc>
        <w:tc>
          <w:tcPr>
            <w:tcW w:w="726" w:type="pct"/>
            <w:tcBorders>
              <w:top w:val="nil"/>
              <w:left w:val="nil"/>
              <w:bottom w:val="nil"/>
              <w:right w:val="nil"/>
            </w:tcBorders>
          </w:tcPr>
          <w:p w14:paraId="42EA16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-0.00460</w:t>
            </w:r>
          </w:p>
        </w:tc>
      </w:tr>
      <w:tr w:rsidR="00F00E3D" w:rsidRPr="00335312" w14:paraId="05CC2A25" w14:textId="77777777" w:rsidTr="009B2FA7">
        <w:trPr>
          <w:jc w:val="center"/>
        </w:trPr>
        <w:tc>
          <w:tcPr>
            <w:tcW w:w="1207" w:type="pct"/>
            <w:tcBorders>
              <w:top w:val="nil"/>
              <w:left w:val="nil"/>
              <w:bottom w:val="nil"/>
              <w:right w:val="nil"/>
            </w:tcBorders>
          </w:tcPr>
          <w:p w14:paraId="33DD13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335FD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(0.438)</w:t>
            </w:r>
          </w:p>
        </w:tc>
        <w:tc>
          <w:tcPr>
            <w:tcW w:w="948" w:type="pct"/>
            <w:tcBorders>
              <w:top w:val="nil"/>
              <w:left w:val="nil"/>
              <w:bottom w:val="nil"/>
              <w:right w:val="nil"/>
            </w:tcBorders>
          </w:tcPr>
          <w:p w14:paraId="095CCB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(1.574)</w:t>
            </w:r>
          </w:p>
        </w:tc>
        <w:tc>
          <w:tcPr>
            <w:tcW w:w="707" w:type="pct"/>
            <w:tcBorders>
              <w:top w:val="nil"/>
              <w:left w:val="nil"/>
              <w:bottom w:val="nil"/>
              <w:right w:val="nil"/>
            </w:tcBorders>
          </w:tcPr>
          <w:p w14:paraId="47EFB8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(-1.608)</w:t>
            </w:r>
          </w:p>
        </w:tc>
        <w:tc>
          <w:tcPr>
            <w:tcW w:w="831" w:type="pct"/>
            <w:tcBorders>
              <w:top w:val="nil"/>
              <w:left w:val="nil"/>
              <w:bottom w:val="nil"/>
              <w:right w:val="nil"/>
            </w:tcBorders>
          </w:tcPr>
          <w:p w14:paraId="52884E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(-0.286)</w:t>
            </w:r>
          </w:p>
        </w:tc>
        <w:tc>
          <w:tcPr>
            <w:tcW w:w="726" w:type="pct"/>
            <w:tcBorders>
              <w:top w:val="nil"/>
              <w:left w:val="nil"/>
              <w:bottom w:val="nil"/>
              <w:right w:val="nil"/>
            </w:tcBorders>
          </w:tcPr>
          <w:p w14:paraId="523CE9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(-0.181)</w:t>
            </w:r>
          </w:p>
        </w:tc>
      </w:tr>
      <w:tr w:rsidR="00F00E3D" w:rsidRPr="00335312" w14:paraId="0841FF72" w14:textId="77777777" w:rsidTr="009B2FA7">
        <w:trPr>
          <w:jc w:val="center"/>
        </w:trPr>
        <w:tc>
          <w:tcPr>
            <w:tcW w:w="1207" w:type="pct"/>
            <w:tcBorders>
              <w:top w:val="nil"/>
              <w:left w:val="nil"/>
              <w:bottom w:val="nil"/>
              <w:right w:val="nil"/>
            </w:tcBorders>
          </w:tcPr>
          <w:p w14:paraId="047979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2015.year#5.month</w:t>
            </w:r>
          </w:p>
        </w:tc>
        <w:tc>
          <w:tcPr>
            <w:tcW w:w="580" w:type="pct"/>
            <w:tcBorders>
              <w:top w:val="nil"/>
              <w:left w:val="nil"/>
              <w:bottom w:val="nil"/>
              <w:right w:val="nil"/>
            </w:tcBorders>
          </w:tcPr>
          <w:p w14:paraId="432E56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0.00767**</w:t>
            </w:r>
          </w:p>
        </w:tc>
        <w:tc>
          <w:tcPr>
            <w:tcW w:w="948" w:type="pct"/>
            <w:tcBorders>
              <w:top w:val="nil"/>
              <w:left w:val="nil"/>
              <w:bottom w:val="nil"/>
              <w:right w:val="nil"/>
            </w:tcBorders>
          </w:tcPr>
          <w:p w14:paraId="63AF13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0.0106***</w:t>
            </w:r>
          </w:p>
        </w:tc>
        <w:tc>
          <w:tcPr>
            <w:tcW w:w="707" w:type="pct"/>
            <w:tcBorders>
              <w:top w:val="nil"/>
              <w:left w:val="nil"/>
              <w:bottom w:val="nil"/>
              <w:right w:val="nil"/>
            </w:tcBorders>
          </w:tcPr>
          <w:p w14:paraId="4E8D63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0.00281</w:t>
            </w:r>
          </w:p>
        </w:tc>
        <w:tc>
          <w:tcPr>
            <w:tcW w:w="831" w:type="pct"/>
            <w:tcBorders>
              <w:top w:val="nil"/>
              <w:left w:val="nil"/>
              <w:bottom w:val="nil"/>
              <w:right w:val="nil"/>
            </w:tcBorders>
          </w:tcPr>
          <w:p w14:paraId="212F4B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0.00326</w:t>
            </w:r>
          </w:p>
        </w:tc>
        <w:tc>
          <w:tcPr>
            <w:tcW w:w="726" w:type="pct"/>
            <w:tcBorders>
              <w:top w:val="nil"/>
              <w:left w:val="nil"/>
              <w:bottom w:val="nil"/>
              <w:right w:val="nil"/>
            </w:tcBorders>
          </w:tcPr>
          <w:p w14:paraId="2E803A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0.000759</w:t>
            </w:r>
          </w:p>
        </w:tc>
      </w:tr>
      <w:tr w:rsidR="00F00E3D" w:rsidRPr="00335312" w14:paraId="4A29B7C4" w14:textId="77777777" w:rsidTr="009B2FA7">
        <w:trPr>
          <w:jc w:val="center"/>
        </w:trPr>
        <w:tc>
          <w:tcPr>
            <w:tcW w:w="1207" w:type="pct"/>
            <w:tcBorders>
              <w:top w:val="nil"/>
              <w:left w:val="nil"/>
              <w:bottom w:val="nil"/>
              <w:right w:val="nil"/>
            </w:tcBorders>
          </w:tcPr>
          <w:p w14:paraId="66F15F8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54EA90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(2.030)</w:t>
            </w:r>
          </w:p>
        </w:tc>
        <w:tc>
          <w:tcPr>
            <w:tcW w:w="948" w:type="pct"/>
            <w:tcBorders>
              <w:top w:val="nil"/>
              <w:left w:val="nil"/>
              <w:bottom w:val="nil"/>
              <w:right w:val="nil"/>
            </w:tcBorders>
          </w:tcPr>
          <w:p w14:paraId="45C356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(2.635)</w:t>
            </w:r>
          </w:p>
        </w:tc>
        <w:tc>
          <w:tcPr>
            <w:tcW w:w="707" w:type="pct"/>
            <w:tcBorders>
              <w:top w:val="nil"/>
              <w:left w:val="nil"/>
              <w:bottom w:val="nil"/>
              <w:right w:val="nil"/>
            </w:tcBorders>
          </w:tcPr>
          <w:p w14:paraId="71EAC5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(0.364)</w:t>
            </w:r>
          </w:p>
        </w:tc>
        <w:tc>
          <w:tcPr>
            <w:tcW w:w="831" w:type="pct"/>
            <w:tcBorders>
              <w:top w:val="nil"/>
              <w:left w:val="nil"/>
              <w:bottom w:val="nil"/>
              <w:right w:val="nil"/>
            </w:tcBorders>
          </w:tcPr>
          <w:p w14:paraId="56AB4F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(0.226)</w:t>
            </w:r>
          </w:p>
        </w:tc>
        <w:tc>
          <w:tcPr>
            <w:tcW w:w="726" w:type="pct"/>
            <w:tcBorders>
              <w:top w:val="nil"/>
              <w:left w:val="nil"/>
              <w:bottom w:val="nil"/>
              <w:right w:val="nil"/>
            </w:tcBorders>
          </w:tcPr>
          <w:p w14:paraId="052727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(0.0227)</w:t>
            </w:r>
          </w:p>
        </w:tc>
      </w:tr>
      <w:tr w:rsidR="00F00E3D" w:rsidRPr="00335312" w14:paraId="42A12B49" w14:textId="77777777" w:rsidTr="009B2FA7">
        <w:trPr>
          <w:jc w:val="center"/>
        </w:trPr>
        <w:tc>
          <w:tcPr>
            <w:tcW w:w="1207" w:type="pct"/>
            <w:tcBorders>
              <w:top w:val="nil"/>
              <w:left w:val="nil"/>
              <w:bottom w:val="nil"/>
              <w:right w:val="nil"/>
            </w:tcBorders>
          </w:tcPr>
          <w:p w14:paraId="3D7BC2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2015.year#6.month</w:t>
            </w:r>
          </w:p>
        </w:tc>
        <w:tc>
          <w:tcPr>
            <w:tcW w:w="580" w:type="pct"/>
            <w:tcBorders>
              <w:top w:val="nil"/>
              <w:left w:val="nil"/>
              <w:bottom w:val="nil"/>
              <w:right w:val="nil"/>
            </w:tcBorders>
          </w:tcPr>
          <w:p w14:paraId="4FE482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0.00376</w:t>
            </w:r>
          </w:p>
        </w:tc>
        <w:tc>
          <w:tcPr>
            <w:tcW w:w="948" w:type="pct"/>
            <w:tcBorders>
              <w:top w:val="nil"/>
              <w:left w:val="nil"/>
              <w:bottom w:val="nil"/>
              <w:right w:val="nil"/>
            </w:tcBorders>
          </w:tcPr>
          <w:p w14:paraId="0C7247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0.0125**</w:t>
            </w:r>
          </w:p>
        </w:tc>
        <w:tc>
          <w:tcPr>
            <w:tcW w:w="707" w:type="pct"/>
            <w:tcBorders>
              <w:top w:val="nil"/>
              <w:left w:val="nil"/>
              <w:bottom w:val="nil"/>
              <w:right w:val="nil"/>
            </w:tcBorders>
          </w:tcPr>
          <w:p w14:paraId="17261F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-0.0139**</w:t>
            </w:r>
          </w:p>
        </w:tc>
        <w:tc>
          <w:tcPr>
            <w:tcW w:w="831" w:type="pct"/>
            <w:tcBorders>
              <w:top w:val="nil"/>
              <w:left w:val="nil"/>
              <w:bottom w:val="nil"/>
              <w:right w:val="nil"/>
            </w:tcBorders>
          </w:tcPr>
          <w:p w14:paraId="2C85EE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-0.0248**</w:t>
            </w:r>
          </w:p>
        </w:tc>
        <w:tc>
          <w:tcPr>
            <w:tcW w:w="726" w:type="pct"/>
            <w:tcBorders>
              <w:top w:val="nil"/>
              <w:left w:val="nil"/>
              <w:bottom w:val="nil"/>
              <w:right w:val="nil"/>
            </w:tcBorders>
          </w:tcPr>
          <w:p w14:paraId="29126B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-0.00915</w:t>
            </w:r>
          </w:p>
        </w:tc>
      </w:tr>
      <w:tr w:rsidR="00F00E3D" w:rsidRPr="00335312" w14:paraId="1456039C" w14:textId="77777777" w:rsidTr="009B2FA7">
        <w:trPr>
          <w:jc w:val="center"/>
        </w:trPr>
        <w:tc>
          <w:tcPr>
            <w:tcW w:w="1207" w:type="pct"/>
            <w:tcBorders>
              <w:top w:val="nil"/>
              <w:left w:val="nil"/>
              <w:bottom w:val="nil"/>
              <w:right w:val="nil"/>
            </w:tcBorders>
          </w:tcPr>
          <w:p w14:paraId="3C06626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5BF96C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(0.874)</w:t>
            </w:r>
          </w:p>
        </w:tc>
        <w:tc>
          <w:tcPr>
            <w:tcW w:w="948" w:type="pct"/>
            <w:tcBorders>
              <w:top w:val="nil"/>
              <w:left w:val="nil"/>
              <w:bottom w:val="nil"/>
              <w:right w:val="nil"/>
            </w:tcBorders>
          </w:tcPr>
          <w:p w14:paraId="0AB5BA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(2.212)</w:t>
            </w:r>
          </w:p>
        </w:tc>
        <w:tc>
          <w:tcPr>
            <w:tcW w:w="707" w:type="pct"/>
            <w:tcBorders>
              <w:top w:val="nil"/>
              <w:left w:val="nil"/>
              <w:bottom w:val="nil"/>
              <w:right w:val="nil"/>
            </w:tcBorders>
          </w:tcPr>
          <w:p w14:paraId="78B807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(-2.154)</w:t>
            </w:r>
          </w:p>
        </w:tc>
        <w:tc>
          <w:tcPr>
            <w:tcW w:w="831" w:type="pct"/>
            <w:tcBorders>
              <w:top w:val="nil"/>
              <w:left w:val="nil"/>
              <w:bottom w:val="nil"/>
              <w:right w:val="nil"/>
            </w:tcBorders>
          </w:tcPr>
          <w:p w14:paraId="470619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(-2.562)</w:t>
            </w:r>
          </w:p>
        </w:tc>
        <w:tc>
          <w:tcPr>
            <w:tcW w:w="726" w:type="pct"/>
            <w:tcBorders>
              <w:top w:val="nil"/>
              <w:left w:val="nil"/>
              <w:bottom w:val="nil"/>
              <w:right w:val="nil"/>
            </w:tcBorders>
          </w:tcPr>
          <w:p w14:paraId="500CC1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(-0.554)</w:t>
            </w:r>
          </w:p>
        </w:tc>
      </w:tr>
      <w:tr w:rsidR="00F00E3D" w:rsidRPr="00335312" w14:paraId="5438B937" w14:textId="77777777" w:rsidTr="009B2FA7">
        <w:trPr>
          <w:jc w:val="center"/>
        </w:trPr>
        <w:tc>
          <w:tcPr>
            <w:tcW w:w="1207" w:type="pct"/>
            <w:tcBorders>
              <w:top w:val="nil"/>
              <w:left w:val="nil"/>
              <w:bottom w:val="nil"/>
              <w:right w:val="nil"/>
            </w:tcBorders>
          </w:tcPr>
          <w:p w14:paraId="42D537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2015.year#7.month</w:t>
            </w:r>
          </w:p>
        </w:tc>
        <w:tc>
          <w:tcPr>
            <w:tcW w:w="580" w:type="pct"/>
            <w:tcBorders>
              <w:top w:val="nil"/>
              <w:left w:val="nil"/>
              <w:bottom w:val="nil"/>
              <w:right w:val="nil"/>
            </w:tcBorders>
          </w:tcPr>
          <w:p w14:paraId="08CDCC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0.00492</w:t>
            </w:r>
          </w:p>
        </w:tc>
        <w:tc>
          <w:tcPr>
            <w:tcW w:w="948" w:type="pct"/>
            <w:tcBorders>
              <w:top w:val="nil"/>
              <w:left w:val="nil"/>
              <w:bottom w:val="nil"/>
              <w:right w:val="nil"/>
            </w:tcBorders>
          </w:tcPr>
          <w:p w14:paraId="5A2ACD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0.0120***</w:t>
            </w:r>
          </w:p>
        </w:tc>
        <w:tc>
          <w:tcPr>
            <w:tcW w:w="707" w:type="pct"/>
            <w:tcBorders>
              <w:top w:val="nil"/>
              <w:left w:val="nil"/>
              <w:bottom w:val="nil"/>
              <w:right w:val="nil"/>
            </w:tcBorders>
          </w:tcPr>
          <w:p w14:paraId="370C05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-0.00623</w:t>
            </w:r>
          </w:p>
        </w:tc>
        <w:tc>
          <w:tcPr>
            <w:tcW w:w="831" w:type="pct"/>
            <w:tcBorders>
              <w:top w:val="nil"/>
              <w:left w:val="nil"/>
              <w:bottom w:val="nil"/>
              <w:right w:val="nil"/>
            </w:tcBorders>
          </w:tcPr>
          <w:p w14:paraId="6347D7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-0.00955</w:t>
            </w:r>
          </w:p>
        </w:tc>
        <w:tc>
          <w:tcPr>
            <w:tcW w:w="726" w:type="pct"/>
            <w:tcBorders>
              <w:top w:val="nil"/>
              <w:left w:val="nil"/>
              <w:bottom w:val="nil"/>
              <w:right w:val="nil"/>
            </w:tcBorders>
          </w:tcPr>
          <w:p w14:paraId="56213D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-0.00324</w:t>
            </w:r>
          </w:p>
        </w:tc>
      </w:tr>
      <w:tr w:rsidR="00F00E3D" w:rsidRPr="00335312" w14:paraId="38371B71" w14:textId="77777777" w:rsidTr="009B2FA7">
        <w:trPr>
          <w:jc w:val="center"/>
        </w:trPr>
        <w:tc>
          <w:tcPr>
            <w:tcW w:w="1207" w:type="pct"/>
            <w:tcBorders>
              <w:top w:val="nil"/>
              <w:left w:val="nil"/>
              <w:bottom w:val="nil"/>
              <w:right w:val="nil"/>
            </w:tcBorders>
          </w:tcPr>
          <w:p w14:paraId="1F2646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1A6990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(1.450)</w:t>
            </w:r>
          </w:p>
        </w:tc>
        <w:tc>
          <w:tcPr>
            <w:tcW w:w="948" w:type="pct"/>
            <w:tcBorders>
              <w:top w:val="nil"/>
              <w:left w:val="nil"/>
              <w:bottom w:val="nil"/>
              <w:right w:val="nil"/>
            </w:tcBorders>
          </w:tcPr>
          <w:p w14:paraId="5EEABF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(2.831)</w:t>
            </w:r>
          </w:p>
        </w:tc>
        <w:tc>
          <w:tcPr>
            <w:tcW w:w="707" w:type="pct"/>
            <w:tcBorders>
              <w:top w:val="nil"/>
              <w:left w:val="nil"/>
              <w:bottom w:val="nil"/>
              <w:right w:val="nil"/>
            </w:tcBorders>
          </w:tcPr>
          <w:p w14:paraId="6EB02A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(-1.112)</w:t>
            </w:r>
          </w:p>
        </w:tc>
        <w:tc>
          <w:tcPr>
            <w:tcW w:w="831" w:type="pct"/>
            <w:tcBorders>
              <w:top w:val="nil"/>
              <w:left w:val="nil"/>
              <w:bottom w:val="nil"/>
              <w:right w:val="nil"/>
            </w:tcBorders>
          </w:tcPr>
          <w:p w14:paraId="775A01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(-0.724)</w:t>
            </w:r>
          </w:p>
        </w:tc>
        <w:tc>
          <w:tcPr>
            <w:tcW w:w="726" w:type="pct"/>
            <w:tcBorders>
              <w:top w:val="nil"/>
              <w:left w:val="nil"/>
              <w:bottom w:val="nil"/>
              <w:right w:val="nil"/>
            </w:tcBorders>
          </w:tcPr>
          <w:p w14:paraId="530314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(-0.152)</w:t>
            </w:r>
          </w:p>
        </w:tc>
      </w:tr>
      <w:tr w:rsidR="00F00E3D" w:rsidRPr="00335312" w14:paraId="2DF8BB0B" w14:textId="77777777" w:rsidTr="009B2FA7">
        <w:trPr>
          <w:jc w:val="center"/>
        </w:trPr>
        <w:tc>
          <w:tcPr>
            <w:tcW w:w="1207" w:type="pct"/>
            <w:tcBorders>
              <w:top w:val="nil"/>
              <w:left w:val="nil"/>
              <w:bottom w:val="nil"/>
              <w:right w:val="nil"/>
            </w:tcBorders>
          </w:tcPr>
          <w:p w14:paraId="352491D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2015.year#8.month</w:t>
            </w:r>
          </w:p>
        </w:tc>
        <w:tc>
          <w:tcPr>
            <w:tcW w:w="580" w:type="pct"/>
            <w:tcBorders>
              <w:top w:val="nil"/>
              <w:left w:val="nil"/>
              <w:bottom w:val="nil"/>
              <w:right w:val="nil"/>
            </w:tcBorders>
          </w:tcPr>
          <w:p w14:paraId="56FB01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0.00586</w:t>
            </w:r>
          </w:p>
        </w:tc>
        <w:tc>
          <w:tcPr>
            <w:tcW w:w="948" w:type="pct"/>
            <w:tcBorders>
              <w:top w:val="nil"/>
              <w:left w:val="nil"/>
              <w:bottom w:val="nil"/>
              <w:right w:val="nil"/>
            </w:tcBorders>
          </w:tcPr>
          <w:p w14:paraId="7687A1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0.0109**</w:t>
            </w:r>
          </w:p>
        </w:tc>
        <w:tc>
          <w:tcPr>
            <w:tcW w:w="707" w:type="pct"/>
            <w:tcBorders>
              <w:top w:val="nil"/>
              <w:left w:val="nil"/>
              <w:bottom w:val="nil"/>
              <w:right w:val="nil"/>
            </w:tcBorders>
          </w:tcPr>
          <w:p w14:paraId="4C54F2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-0.00359</w:t>
            </w:r>
          </w:p>
        </w:tc>
        <w:tc>
          <w:tcPr>
            <w:tcW w:w="831" w:type="pct"/>
            <w:tcBorders>
              <w:top w:val="nil"/>
              <w:left w:val="nil"/>
              <w:bottom w:val="nil"/>
              <w:right w:val="nil"/>
            </w:tcBorders>
          </w:tcPr>
          <w:p w14:paraId="71ECE7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-0.0130</w:t>
            </w:r>
          </w:p>
        </w:tc>
        <w:tc>
          <w:tcPr>
            <w:tcW w:w="726" w:type="pct"/>
            <w:tcBorders>
              <w:top w:val="nil"/>
              <w:left w:val="nil"/>
              <w:bottom w:val="nil"/>
              <w:right w:val="nil"/>
            </w:tcBorders>
          </w:tcPr>
          <w:p w14:paraId="2867B7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-0.00220</w:t>
            </w:r>
          </w:p>
        </w:tc>
      </w:tr>
      <w:tr w:rsidR="00F00E3D" w:rsidRPr="00335312" w14:paraId="59FFCCA7" w14:textId="77777777" w:rsidTr="009B2FA7">
        <w:trPr>
          <w:jc w:val="center"/>
        </w:trPr>
        <w:tc>
          <w:tcPr>
            <w:tcW w:w="1207" w:type="pct"/>
            <w:tcBorders>
              <w:top w:val="nil"/>
              <w:left w:val="nil"/>
              <w:bottom w:val="nil"/>
              <w:right w:val="nil"/>
            </w:tcBorders>
          </w:tcPr>
          <w:p w14:paraId="3A2C58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5243A0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(1.540)</w:t>
            </w:r>
          </w:p>
        </w:tc>
        <w:tc>
          <w:tcPr>
            <w:tcW w:w="948" w:type="pct"/>
            <w:tcBorders>
              <w:top w:val="nil"/>
              <w:left w:val="nil"/>
              <w:bottom w:val="nil"/>
              <w:right w:val="nil"/>
            </w:tcBorders>
          </w:tcPr>
          <w:p w14:paraId="076B0F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(2.215)</w:t>
            </w:r>
          </w:p>
        </w:tc>
        <w:tc>
          <w:tcPr>
            <w:tcW w:w="707" w:type="pct"/>
            <w:tcBorders>
              <w:top w:val="nil"/>
              <w:left w:val="nil"/>
              <w:bottom w:val="nil"/>
              <w:right w:val="nil"/>
            </w:tcBorders>
          </w:tcPr>
          <w:p w14:paraId="314A48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(-0.619)</w:t>
            </w:r>
          </w:p>
        </w:tc>
        <w:tc>
          <w:tcPr>
            <w:tcW w:w="831" w:type="pct"/>
            <w:tcBorders>
              <w:top w:val="nil"/>
              <w:left w:val="nil"/>
              <w:bottom w:val="nil"/>
              <w:right w:val="nil"/>
            </w:tcBorders>
          </w:tcPr>
          <w:p w14:paraId="09D5AB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(-1.287)</w:t>
            </w:r>
          </w:p>
        </w:tc>
        <w:tc>
          <w:tcPr>
            <w:tcW w:w="726" w:type="pct"/>
            <w:tcBorders>
              <w:top w:val="nil"/>
              <w:left w:val="nil"/>
              <w:bottom w:val="nil"/>
              <w:right w:val="nil"/>
            </w:tcBorders>
          </w:tcPr>
          <w:p w14:paraId="651B0E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(-0.273)</w:t>
            </w:r>
          </w:p>
        </w:tc>
      </w:tr>
      <w:tr w:rsidR="00F00E3D" w:rsidRPr="00335312" w14:paraId="7F0F522C" w14:textId="77777777" w:rsidTr="009B2FA7">
        <w:trPr>
          <w:jc w:val="center"/>
        </w:trPr>
        <w:tc>
          <w:tcPr>
            <w:tcW w:w="1207" w:type="pct"/>
            <w:tcBorders>
              <w:top w:val="nil"/>
              <w:left w:val="nil"/>
              <w:bottom w:val="nil"/>
              <w:right w:val="nil"/>
            </w:tcBorders>
          </w:tcPr>
          <w:p w14:paraId="455AFD1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2015.year#9.month</w:t>
            </w:r>
          </w:p>
        </w:tc>
        <w:tc>
          <w:tcPr>
            <w:tcW w:w="580" w:type="pct"/>
            <w:tcBorders>
              <w:top w:val="nil"/>
              <w:left w:val="nil"/>
              <w:bottom w:val="nil"/>
              <w:right w:val="nil"/>
            </w:tcBorders>
          </w:tcPr>
          <w:p w14:paraId="4EACD7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-0.0127</w:t>
            </w:r>
          </w:p>
        </w:tc>
        <w:tc>
          <w:tcPr>
            <w:tcW w:w="948" w:type="pct"/>
            <w:tcBorders>
              <w:top w:val="nil"/>
              <w:left w:val="nil"/>
              <w:bottom w:val="nil"/>
              <w:right w:val="nil"/>
            </w:tcBorders>
          </w:tcPr>
          <w:p w14:paraId="57E218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-0.0174</w:t>
            </w:r>
          </w:p>
        </w:tc>
        <w:tc>
          <w:tcPr>
            <w:tcW w:w="707" w:type="pct"/>
            <w:tcBorders>
              <w:top w:val="nil"/>
              <w:left w:val="nil"/>
              <w:bottom w:val="nil"/>
              <w:right w:val="nil"/>
            </w:tcBorders>
          </w:tcPr>
          <w:p w14:paraId="17C23B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-0.00405</w:t>
            </w:r>
          </w:p>
        </w:tc>
        <w:tc>
          <w:tcPr>
            <w:tcW w:w="831" w:type="pct"/>
            <w:tcBorders>
              <w:top w:val="nil"/>
              <w:left w:val="nil"/>
              <w:bottom w:val="nil"/>
              <w:right w:val="nil"/>
            </w:tcBorders>
          </w:tcPr>
          <w:p w14:paraId="117B7D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0.00597</w:t>
            </w:r>
          </w:p>
        </w:tc>
        <w:tc>
          <w:tcPr>
            <w:tcW w:w="726" w:type="pct"/>
            <w:tcBorders>
              <w:top w:val="nil"/>
              <w:left w:val="nil"/>
              <w:bottom w:val="nil"/>
              <w:right w:val="nil"/>
            </w:tcBorders>
          </w:tcPr>
          <w:p w14:paraId="499548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0.00324</w:t>
            </w:r>
          </w:p>
        </w:tc>
      </w:tr>
      <w:tr w:rsidR="00F00E3D" w:rsidRPr="00335312" w14:paraId="56C06DEA" w14:textId="77777777" w:rsidTr="009B2FA7">
        <w:trPr>
          <w:jc w:val="center"/>
        </w:trPr>
        <w:tc>
          <w:tcPr>
            <w:tcW w:w="1207" w:type="pct"/>
            <w:tcBorders>
              <w:top w:val="nil"/>
              <w:left w:val="nil"/>
              <w:bottom w:val="nil"/>
              <w:right w:val="nil"/>
            </w:tcBorders>
          </w:tcPr>
          <w:p w14:paraId="09D069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1B6A70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(-0.835)</w:t>
            </w:r>
          </w:p>
        </w:tc>
        <w:tc>
          <w:tcPr>
            <w:tcW w:w="948" w:type="pct"/>
            <w:tcBorders>
              <w:top w:val="nil"/>
              <w:left w:val="nil"/>
              <w:bottom w:val="nil"/>
              <w:right w:val="nil"/>
            </w:tcBorders>
          </w:tcPr>
          <w:p w14:paraId="5D6D33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(-0.859)</w:t>
            </w:r>
          </w:p>
        </w:tc>
        <w:tc>
          <w:tcPr>
            <w:tcW w:w="707" w:type="pct"/>
            <w:tcBorders>
              <w:top w:val="nil"/>
              <w:left w:val="nil"/>
              <w:bottom w:val="nil"/>
              <w:right w:val="nil"/>
            </w:tcBorders>
          </w:tcPr>
          <w:p w14:paraId="416F0A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(-0.678)</w:t>
            </w:r>
          </w:p>
        </w:tc>
        <w:tc>
          <w:tcPr>
            <w:tcW w:w="831" w:type="pct"/>
            <w:tcBorders>
              <w:top w:val="nil"/>
              <w:left w:val="nil"/>
              <w:bottom w:val="nil"/>
              <w:right w:val="nil"/>
            </w:tcBorders>
          </w:tcPr>
          <w:p w14:paraId="5BE762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(0.443)</w:t>
            </w:r>
          </w:p>
        </w:tc>
        <w:tc>
          <w:tcPr>
            <w:tcW w:w="726" w:type="pct"/>
            <w:tcBorders>
              <w:top w:val="nil"/>
              <w:left w:val="nil"/>
              <w:bottom w:val="nil"/>
              <w:right w:val="nil"/>
            </w:tcBorders>
          </w:tcPr>
          <w:p w14:paraId="56C175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(0.107)</w:t>
            </w:r>
          </w:p>
        </w:tc>
      </w:tr>
      <w:tr w:rsidR="00F00E3D" w:rsidRPr="00335312" w14:paraId="5894D350" w14:textId="77777777" w:rsidTr="009B2FA7">
        <w:trPr>
          <w:jc w:val="center"/>
        </w:trPr>
        <w:tc>
          <w:tcPr>
            <w:tcW w:w="1207" w:type="pct"/>
            <w:tcBorders>
              <w:top w:val="nil"/>
              <w:left w:val="nil"/>
              <w:bottom w:val="nil"/>
              <w:right w:val="nil"/>
            </w:tcBorders>
          </w:tcPr>
          <w:p w14:paraId="2F4590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2015.year#10.month</w:t>
            </w:r>
          </w:p>
        </w:tc>
        <w:tc>
          <w:tcPr>
            <w:tcW w:w="580" w:type="pct"/>
            <w:tcBorders>
              <w:top w:val="nil"/>
              <w:left w:val="nil"/>
              <w:bottom w:val="nil"/>
              <w:right w:val="nil"/>
            </w:tcBorders>
          </w:tcPr>
          <w:p w14:paraId="1AD417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0.00710**</w:t>
            </w:r>
          </w:p>
        </w:tc>
        <w:tc>
          <w:tcPr>
            <w:tcW w:w="948" w:type="pct"/>
            <w:tcBorders>
              <w:top w:val="nil"/>
              <w:left w:val="nil"/>
              <w:bottom w:val="nil"/>
              <w:right w:val="nil"/>
            </w:tcBorders>
          </w:tcPr>
          <w:p w14:paraId="558340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0.0124***</w:t>
            </w:r>
          </w:p>
        </w:tc>
        <w:tc>
          <w:tcPr>
            <w:tcW w:w="707" w:type="pct"/>
            <w:tcBorders>
              <w:top w:val="nil"/>
              <w:left w:val="nil"/>
              <w:bottom w:val="nil"/>
              <w:right w:val="nil"/>
            </w:tcBorders>
          </w:tcPr>
          <w:p w14:paraId="2743DA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-0.00355</w:t>
            </w:r>
          </w:p>
        </w:tc>
        <w:tc>
          <w:tcPr>
            <w:tcW w:w="831" w:type="pct"/>
            <w:tcBorders>
              <w:top w:val="nil"/>
              <w:left w:val="nil"/>
              <w:bottom w:val="nil"/>
              <w:right w:val="nil"/>
            </w:tcBorders>
          </w:tcPr>
          <w:p w14:paraId="7113A4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-0.00195</w:t>
            </w:r>
          </w:p>
        </w:tc>
        <w:tc>
          <w:tcPr>
            <w:tcW w:w="726" w:type="pct"/>
            <w:tcBorders>
              <w:top w:val="nil"/>
              <w:left w:val="nil"/>
              <w:bottom w:val="nil"/>
              <w:right w:val="nil"/>
            </w:tcBorders>
          </w:tcPr>
          <w:p w14:paraId="1989DA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-0.0143</w:t>
            </w:r>
          </w:p>
        </w:tc>
      </w:tr>
      <w:tr w:rsidR="00F00E3D" w:rsidRPr="00335312" w14:paraId="701C43A6" w14:textId="77777777" w:rsidTr="009B2FA7">
        <w:trPr>
          <w:jc w:val="center"/>
        </w:trPr>
        <w:tc>
          <w:tcPr>
            <w:tcW w:w="1207" w:type="pct"/>
            <w:tcBorders>
              <w:top w:val="nil"/>
              <w:left w:val="nil"/>
              <w:bottom w:val="nil"/>
              <w:right w:val="nil"/>
            </w:tcBorders>
          </w:tcPr>
          <w:p w14:paraId="607B7DD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7C96F8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(2.057)</w:t>
            </w:r>
          </w:p>
        </w:tc>
        <w:tc>
          <w:tcPr>
            <w:tcW w:w="948" w:type="pct"/>
            <w:tcBorders>
              <w:top w:val="nil"/>
              <w:left w:val="nil"/>
              <w:bottom w:val="nil"/>
              <w:right w:val="nil"/>
            </w:tcBorders>
          </w:tcPr>
          <w:p w14:paraId="46D088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(2.895)</w:t>
            </w:r>
          </w:p>
        </w:tc>
        <w:tc>
          <w:tcPr>
            <w:tcW w:w="707" w:type="pct"/>
            <w:tcBorders>
              <w:top w:val="nil"/>
              <w:left w:val="nil"/>
              <w:bottom w:val="nil"/>
              <w:right w:val="nil"/>
            </w:tcBorders>
          </w:tcPr>
          <w:p w14:paraId="490BD8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(-0.624)</w:t>
            </w:r>
          </w:p>
        </w:tc>
        <w:tc>
          <w:tcPr>
            <w:tcW w:w="831" w:type="pct"/>
            <w:tcBorders>
              <w:top w:val="nil"/>
              <w:left w:val="nil"/>
              <w:bottom w:val="nil"/>
              <w:right w:val="nil"/>
            </w:tcBorders>
          </w:tcPr>
          <w:p w14:paraId="668D31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(-0.140)</w:t>
            </w:r>
          </w:p>
        </w:tc>
        <w:tc>
          <w:tcPr>
            <w:tcW w:w="726" w:type="pct"/>
            <w:tcBorders>
              <w:top w:val="nil"/>
              <w:left w:val="nil"/>
              <w:bottom w:val="nil"/>
              <w:right w:val="nil"/>
            </w:tcBorders>
          </w:tcPr>
          <w:p w14:paraId="51C0E4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(-0.573)</w:t>
            </w:r>
          </w:p>
        </w:tc>
      </w:tr>
      <w:tr w:rsidR="00F00E3D" w:rsidRPr="00335312" w14:paraId="3E41C181" w14:textId="77777777" w:rsidTr="009B2FA7">
        <w:trPr>
          <w:jc w:val="center"/>
        </w:trPr>
        <w:tc>
          <w:tcPr>
            <w:tcW w:w="1207" w:type="pct"/>
            <w:tcBorders>
              <w:top w:val="nil"/>
              <w:left w:val="nil"/>
              <w:bottom w:val="nil"/>
              <w:right w:val="nil"/>
            </w:tcBorders>
          </w:tcPr>
          <w:p w14:paraId="075C1D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2015.year#11.month</w:t>
            </w:r>
          </w:p>
        </w:tc>
        <w:tc>
          <w:tcPr>
            <w:tcW w:w="580" w:type="pct"/>
            <w:tcBorders>
              <w:top w:val="nil"/>
              <w:left w:val="nil"/>
              <w:bottom w:val="nil"/>
              <w:right w:val="nil"/>
            </w:tcBorders>
          </w:tcPr>
          <w:p w14:paraId="73E1F4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0.0167***</w:t>
            </w:r>
          </w:p>
        </w:tc>
        <w:tc>
          <w:tcPr>
            <w:tcW w:w="948" w:type="pct"/>
            <w:tcBorders>
              <w:top w:val="nil"/>
              <w:left w:val="nil"/>
              <w:bottom w:val="nil"/>
              <w:right w:val="nil"/>
            </w:tcBorders>
          </w:tcPr>
          <w:p w14:paraId="3E8009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0.0193***</w:t>
            </w:r>
          </w:p>
        </w:tc>
        <w:tc>
          <w:tcPr>
            <w:tcW w:w="707" w:type="pct"/>
            <w:tcBorders>
              <w:top w:val="nil"/>
              <w:left w:val="nil"/>
              <w:bottom w:val="nil"/>
              <w:right w:val="nil"/>
            </w:tcBorders>
          </w:tcPr>
          <w:p w14:paraId="510744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0.0118</w:t>
            </w:r>
          </w:p>
        </w:tc>
        <w:tc>
          <w:tcPr>
            <w:tcW w:w="831" w:type="pct"/>
            <w:tcBorders>
              <w:top w:val="nil"/>
              <w:left w:val="nil"/>
              <w:bottom w:val="nil"/>
              <w:right w:val="nil"/>
            </w:tcBorders>
          </w:tcPr>
          <w:p w14:paraId="1EE039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-0.000104</w:t>
            </w:r>
          </w:p>
        </w:tc>
        <w:tc>
          <w:tcPr>
            <w:tcW w:w="726" w:type="pct"/>
            <w:tcBorders>
              <w:top w:val="nil"/>
              <w:left w:val="nil"/>
              <w:bottom w:val="nil"/>
              <w:right w:val="nil"/>
            </w:tcBorders>
          </w:tcPr>
          <w:p w14:paraId="1B0588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-0.0107</w:t>
            </w:r>
          </w:p>
        </w:tc>
      </w:tr>
      <w:tr w:rsidR="00F00E3D" w:rsidRPr="00335312" w14:paraId="7FF13050" w14:textId="77777777" w:rsidTr="009B2FA7">
        <w:trPr>
          <w:jc w:val="center"/>
        </w:trPr>
        <w:tc>
          <w:tcPr>
            <w:tcW w:w="1207" w:type="pct"/>
            <w:tcBorders>
              <w:top w:val="nil"/>
              <w:left w:val="nil"/>
              <w:bottom w:val="nil"/>
              <w:right w:val="nil"/>
            </w:tcBorders>
          </w:tcPr>
          <w:p w14:paraId="7BA936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25A52E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(4.363)</w:t>
            </w:r>
          </w:p>
        </w:tc>
        <w:tc>
          <w:tcPr>
            <w:tcW w:w="948" w:type="pct"/>
            <w:tcBorders>
              <w:top w:val="nil"/>
              <w:left w:val="nil"/>
              <w:bottom w:val="nil"/>
              <w:right w:val="nil"/>
            </w:tcBorders>
          </w:tcPr>
          <w:p w14:paraId="4CED0F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(4.737)</w:t>
            </w:r>
          </w:p>
        </w:tc>
        <w:tc>
          <w:tcPr>
            <w:tcW w:w="707" w:type="pct"/>
            <w:tcBorders>
              <w:top w:val="nil"/>
              <w:left w:val="nil"/>
              <w:bottom w:val="nil"/>
              <w:right w:val="nil"/>
            </w:tcBorders>
          </w:tcPr>
          <w:p w14:paraId="3D8A5D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(1.536)</w:t>
            </w:r>
          </w:p>
        </w:tc>
        <w:tc>
          <w:tcPr>
            <w:tcW w:w="831" w:type="pct"/>
            <w:tcBorders>
              <w:top w:val="nil"/>
              <w:left w:val="nil"/>
              <w:bottom w:val="nil"/>
              <w:right w:val="nil"/>
            </w:tcBorders>
          </w:tcPr>
          <w:p w14:paraId="0021CD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(-0.00465)</w:t>
            </w:r>
          </w:p>
        </w:tc>
        <w:tc>
          <w:tcPr>
            <w:tcW w:w="726" w:type="pct"/>
            <w:tcBorders>
              <w:top w:val="nil"/>
              <w:left w:val="nil"/>
              <w:bottom w:val="nil"/>
              <w:right w:val="nil"/>
            </w:tcBorders>
          </w:tcPr>
          <w:p w14:paraId="2BC6AD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(-0.450)</w:t>
            </w:r>
          </w:p>
        </w:tc>
      </w:tr>
      <w:tr w:rsidR="00F00E3D" w:rsidRPr="00335312" w14:paraId="12FD409F" w14:textId="77777777" w:rsidTr="009B2FA7">
        <w:trPr>
          <w:jc w:val="center"/>
        </w:trPr>
        <w:tc>
          <w:tcPr>
            <w:tcW w:w="1207" w:type="pct"/>
            <w:tcBorders>
              <w:top w:val="nil"/>
              <w:left w:val="nil"/>
              <w:bottom w:val="nil"/>
              <w:right w:val="nil"/>
            </w:tcBorders>
          </w:tcPr>
          <w:p w14:paraId="62D760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2015.year#12.month</w:t>
            </w:r>
          </w:p>
        </w:tc>
        <w:tc>
          <w:tcPr>
            <w:tcW w:w="580" w:type="pct"/>
            <w:tcBorders>
              <w:top w:val="nil"/>
              <w:left w:val="nil"/>
              <w:bottom w:val="nil"/>
              <w:right w:val="nil"/>
            </w:tcBorders>
          </w:tcPr>
          <w:p w14:paraId="7BAD50D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0.0177***</w:t>
            </w:r>
          </w:p>
        </w:tc>
        <w:tc>
          <w:tcPr>
            <w:tcW w:w="948" w:type="pct"/>
            <w:tcBorders>
              <w:top w:val="nil"/>
              <w:left w:val="nil"/>
              <w:bottom w:val="nil"/>
              <w:right w:val="nil"/>
            </w:tcBorders>
          </w:tcPr>
          <w:p w14:paraId="43040B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0.0204***</w:t>
            </w:r>
          </w:p>
        </w:tc>
        <w:tc>
          <w:tcPr>
            <w:tcW w:w="707" w:type="pct"/>
            <w:tcBorders>
              <w:top w:val="nil"/>
              <w:left w:val="nil"/>
              <w:bottom w:val="nil"/>
              <w:right w:val="nil"/>
            </w:tcBorders>
          </w:tcPr>
          <w:p w14:paraId="0D28A0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0.0123*</w:t>
            </w:r>
          </w:p>
        </w:tc>
        <w:tc>
          <w:tcPr>
            <w:tcW w:w="831" w:type="pct"/>
            <w:tcBorders>
              <w:top w:val="nil"/>
              <w:left w:val="nil"/>
              <w:bottom w:val="nil"/>
              <w:right w:val="nil"/>
            </w:tcBorders>
          </w:tcPr>
          <w:p w14:paraId="6A9E6F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0.0189</w:t>
            </w:r>
          </w:p>
        </w:tc>
        <w:tc>
          <w:tcPr>
            <w:tcW w:w="726" w:type="pct"/>
            <w:tcBorders>
              <w:top w:val="nil"/>
              <w:left w:val="nil"/>
              <w:bottom w:val="nil"/>
              <w:right w:val="nil"/>
            </w:tcBorders>
          </w:tcPr>
          <w:p w14:paraId="5B276F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-0.0238</w:t>
            </w:r>
          </w:p>
        </w:tc>
      </w:tr>
      <w:tr w:rsidR="00F00E3D" w:rsidRPr="00335312" w14:paraId="1593153C" w14:textId="77777777" w:rsidTr="009B2FA7">
        <w:trPr>
          <w:jc w:val="center"/>
        </w:trPr>
        <w:tc>
          <w:tcPr>
            <w:tcW w:w="1207" w:type="pct"/>
            <w:tcBorders>
              <w:top w:val="nil"/>
              <w:left w:val="nil"/>
              <w:bottom w:val="nil"/>
              <w:right w:val="nil"/>
            </w:tcBorders>
          </w:tcPr>
          <w:p w14:paraId="18A4DA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07679F3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(4.407)</w:t>
            </w:r>
          </w:p>
        </w:tc>
        <w:tc>
          <w:tcPr>
            <w:tcW w:w="948" w:type="pct"/>
            <w:tcBorders>
              <w:top w:val="nil"/>
              <w:left w:val="nil"/>
              <w:bottom w:val="nil"/>
              <w:right w:val="nil"/>
            </w:tcBorders>
          </w:tcPr>
          <w:p w14:paraId="2D5390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(4.365)</w:t>
            </w:r>
          </w:p>
        </w:tc>
        <w:tc>
          <w:tcPr>
            <w:tcW w:w="707" w:type="pct"/>
            <w:tcBorders>
              <w:top w:val="nil"/>
              <w:left w:val="nil"/>
              <w:bottom w:val="nil"/>
              <w:right w:val="nil"/>
            </w:tcBorders>
          </w:tcPr>
          <w:p w14:paraId="79D53C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(1.762)</w:t>
            </w:r>
          </w:p>
        </w:tc>
        <w:tc>
          <w:tcPr>
            <w:tcW w:w="831" w:type="pct"/>
            <w:tcBorders>
              <w:top w:val="nil"/>
              <w:left w:val="nil"/>
              <w:bottom w:val="nil"/>
              <w:right w:val="nil"/>
            </w:tcBorders>
          </w:tcPr>
          <w:p w14:paraId="047F3E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(0.756)</w:t>
            </w:r>
          </w:p>
        </w:tc>
        <w:tc>
          <w:tcPr>
            <w:tcW w:w="726" w:type="pct"/>
            <w:tcBorders>
              <w:top w:val="nil"/>
              <w:left w:val="nil"/>
              <w:bottom w:val="nil"/>
              <w:right w:val="nil"/>
            </w:tcBorders>
          </w:tcPr>
          <w:p w14:paraId="208B28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(-0.958)</w:t>
            </w:r>
          </w:p>
        </w:tc>
      </w:tr>
      <w:tr w:rsidR="00F00E3D" w:rsidRPr="00335312" w14:paraId="5E3C9222" w14:textId="77777777" w:rsidTr="009B2FA7">
        <w:trPr>
          <w:jc w:val="center"/>
        </w:trPr>
        <w:tc>
          <w:tcPr>
            <w:tcW w:w="1207" w:type="pct"/>
            <w:tcBorders>
              <w:top w:val="nil"/>
              <w:left w:val="nil"/>
              <w:bottom w:val="nil"/>
              <w:right w:val="nil"/>
            </w:tcBorders>
          </w:tcPr>
          <w:p w14:paraId="46A262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2016.year#1.month</w:t>
            </w:r>
          </w:p>
        </w:tc>
        <w:tc>
          <w:tcPr>
            <w:tcW w:w="580" w:type="pct"/>
            <w:tcBorders>
              <w:top w:val="nil"/>
              <w:left w:val="nil"/>
              <w:bottom w:val="nil"/>
              <w:right w:val="nil"/>
            </w:tcBorders>
          </w:tcPr>
          <w:p w14:paraId="5EA23D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0.0254***</w:t>
            </w:r>
          </w:p>
        </w:tc>
        <w:tc>
          <w:tcPr>
            <w:tcW w:w="948" w:type="pct"/>
            <w:tcBorders>
              <w:top w:val="nil"/>
              <w:left w:val="nil"/>
              <w:bottom w:val="nil"/>
              <w:right w:val="nil"/>
            </w:tcBorders>
          </w:tcPr>
          <w:p w14:paraId="111B58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0.0288***</w:t>
            </w:r>
          </w:p>
        </w:tc>
        <w:tc>
          <w:tcPr>
            <w:tcW w:w="707" w:type="pct"/>
            <w:tcBorders>
              <w:top w:val="nil"/>
              <w:left w:val="nil"/>
              <w:bottom w:val="nil"/>
              <w:right w:val="nil"/>
            </w:tcBorders>
          </w:tcPr>
          <w:p w14:paraId="611C925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0.0191***</w:t>
            </w:r>
          </w:p>
        </w:tc>
        <w:tc>
          <w:tcPr>
            <w:tcW w:w="831" w:type="pct"/>
            <w:tcBorders>
              <w:top w:val="nil"/>
              <w:left w:val="nil"/>
              <w:bottom w:val="nil"/>
              <w:right w:val="nil"/>
            </w:tcBorders>
          </w:tcPr>
          <w:p w14:paraId="2027AC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0.0309*</w:t>
            </w:r>
          </w:p>
        </w:tc>
        <w:tc>
          <w:tcPr>
            <w:tcW w:w="726" w:type="pct"/>
            <w:tcBorders>
              <w:top w:val="nil"/>
              <w:left w:val="nil"/>
              <w:bottom w:val="nil"/>
              <w:right w:val="nil"/>
            </w:tcBorders>
          </w:tcPr>
          <w:p w14:paraId="2D1D75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0.0109</w:t>
            </w:r>
          </w:p>
        </w:tc>
      </w:tr>
      <w:tr w:rsidR="00F00E3D" w:rsidRPr="00335312" w14:paraId="6857EB89" w14:textId="77777777" w:rsidTr="009B2FA7">
        <w:trPr>
          <w:jc w:val="center"/>
        </w:trPr>
        <w:tc>
          <w:tcPr>
            <w:tcW w:w="1207" w:type="pct"/>
            <w:tcBorders>
              <w:top w:val="nil"/>
              <w:left w:val="nil"/>
              <w:bottom w:val="nil"/>
              <w:right w:val="nil"/>
            </w:tcBorders>
          </w:tcPr>
          <w:p w14:paraId="54BF14B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189AB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(8.170)</w:t>
            </w:r>
          </w:p>
        </w:tc>
        <w:tc>
          <w:tcPr>
            <w:tcW w:w="948" w:type="pct"/>
            <w:tcBorders>
              <w:top w:val="nil"/>
              <w:left w:val="nil"/>
              <w:bottom w:val="nil"/>
              <w:right w:val="nil"/>
            </w:tcBorders>
          </w:tcPr>
          <w:p w14:paraId="5978FE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(7.907)</w:t>
            </w:r>
          </w:p>
        </w:tc>
        <w:tc>
          <w:tcPr>
            <w:tcW w:w="707" w:type="pct"/>
            <w:tcBorders>
              <w:top w:val="nil"/>
              <w:left w:val="nil"/>
              <w:bottom w:val="nil"/>
              <w:right w:val="nil"/>
            </w:tcBorders>
          </w:tcPr>
          <w:p w14:paraId="11CBE2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(3.343)</w:t>
            </w:r>
          </w:p>
        </w:tc>
        <w:tc>
          <w:tcPr>
            <w:tcW w:w="831" w:type="pct"/>
            <w:tcBorders>
              <w:top w:val="nil"/>
              <w:left w:val="nil"/>
              <w:bottom w:val="nil"/>
              <w:right w:val="nil"/>
            </w:tcBorders>
          </w:tcPr>
          <w:p w14:paraId="55CB03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(1.693)</w:t>
            </w:r>
          </w:p>
        </w:tc>
        <w:tc>
          <w:tcPr>
            <w:tcW w:w="726" w:type="pct"/>
            <w:tcBorders>
              <w:top w:val="nil"/>
              <w:left w:val="nil"/>
              <w:bottom w:val="nil"/>
              <w:right w:val="nil"/>
            </w:tcBorders>
          </w:tcPr>
          <w:p w14:paraId="684CE0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(0.633)</w:t>
            </w:r>
          </w:p>
        </w:tc>
      </w:tr>
      <w:tr w:rsidR="00F00E3D" w:rsidRPr="00335312" w14:paraId="0C44D4CC" w14:textId="77777777" w:rsidTr="009B2FA7">
        <w:trPr>
          <w:jc w:val="center"/>
        </w:trPr>
        <w:tc>
          <w:tcPr>
            <w:tcW w:w="1207" w:type="pct"/>
            <w:tcBorders>
              <w:top w:val="nil"/>
              <w:left w:val="nil"/>
              <w:bottom w:val="nil"/>
              <w:right w:val="nil"/>
            </w:tcBorders>
          </w:tcPr>
          <w:p w14:paraId="0FF3DE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2016.year#2.month</w:t>
            </w:r>
          </w:p>
        </w:tc>
        <w:tc>
          <w:tcPr>
            <w:tcW w:w="580" w:type="pct"/>
            <w:tcBorders>
              <w:top w:val="nil"/>
              <w:left w:val="nil"/>
              <w:bottom w:val="nil"/>
              <w:right w:val="nil"/>
            </w:tcBorders>
          </w:tcPr>
          <w:p w14:paraId="19A33F2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0.0245***</w:t>
            </w:r>
          </w:p>
        </w:tc>
        <w:tc>
          <w:tcPr>
            <w:tcW w:w="948" w:type="pct"/>
            <w:tcBorders>
              <w:top w:val="nil"/>
              <w:left w:val="nil"/>
              <w:bottom w:val="nil"/>
              <w:right w:val="nil"/>
            </w:tcBorders>
          </w:tcPr>
          <w:p w14:paraId="26B9C0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0.0310***</w:t>
            </w:r>
          </w:p>
        </w:tc>
        <w:tc>
          <w:tcPr>
            <w:tcW w:w="707" w:type="pct"/>
            <w:tcBorders>
              <w:top w:val="nil"/>
              <w:left w:val="nil"/>
              <w:bottom w:val="nil"/>
              <w:right w:val="nil"/>
            </w:tcBorders>
          </w:tcPr>
          <w:p w14:paraId="3F09EE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0.0124**</w:t>
            </w:r>
          </w:p>
        </w:tc>
        <w:tc>
          <w:tcPr>
            <w:tcW w:w="831" w:type="pct"/>
            <w:tcBorders>
              <w:top w:val="nil"/>
              <w:left w:val="nil"/>
              <w:bottom w:val="nil"/>
              <w:right w:val="nil"/>
            </w:tcBorders>
          </w:tcPr>
          <w:p w14:paraId="7B2078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0.0223</w:t>
            </w:r>
          </w:p>
        </w:tc>
        <w:tc>
          <w:tcPr>
            <w:tcW w:w="726" w:type="pct"/>
            <w:tcBorders>
              <w:top w:val="nil"/>
              <w:left w:val="nil"/>
              <w:bottom w:val="nil"/>
              <w:right w:val="nil"/>
            </w:tcBorders>
          </w:tcPr>
          <w:p w14:paraId="27AF54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0.00336</w:t>
            </w:r>
          </w:p>
        </w:tc>
      </w:tr>
      <w:tr w:rsidR="00F00E3D" w:rsidRPr="00335312" w14:paraId="51F57CE2" w14:textId="77777777" w:rsidTr="009B2FA7">
        <w:trPr>
          <w:jc w:val="center"/>
        </w:trPr>
        <w:tc>
          <w:tcPr>
            <w:tcW w:w="1207" w:type="pct"/>
            <w:tcBorders>
              <w:top w:val="nil"/>
              <w:left w:val="nil"/>
              <w:bottom w:val="nil"/>
              <w:right w:val="nil"/>
            </w:tcBorders>
          </w:tcPr>
          <w:p w14:paraId="47A45B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0756D2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(7.871)</w:t>
            </w:r>
          </w:p>
        </w:tc>
        <w:tc>
          <w:tcPr>
            <w:tcW w:w="948" w:type="pct"/>
            <w:tcBorders>
              <w:top w:val="nil"/>
              <w:left w:val="nil"/>
              <w:bottom w:val="nil"/>
              <w:right w:val="nil"/>
            </w:tcBorders>
          </w:tcPr>
          <w:p w14:paraId="28CCED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(8.618)</w:t>
            </w:r>
          </w:p>
        </w:tc>
        <w:tc>
          <w:tcPr>
            <w:tcW w:w="707" w:type="pct"/>
            <w:tcBorders>
              <w:top w:val="nil"/>
              <w:left w:val="nil"/>
              <w:bottom w:val="nil"/>
              <w:right w:val="nil"/>
            </w:tcBorders>
          </w:tcPr>
          <w:p w14:paraId="58C0BB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(2.252)</w:t>
            </w:r>
          </w:p>
        </w:tc>
        <w:tc>
          <w:tcPr>
            <w:tcW w:w="831" w:type="pct"/>
            <w:tcBorders>
              <w:top w:val="nil"/>
              <w:left w:val="nil"/>
              <w:bottom w:val="nil"/>
              <w:right w:val="nil"/>
            </w:tcBorders>
          </w:tcPr>
          <w:p w14:paraId="74F8CD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(1.289)</w:t>
            </w:r>
          </w:p>
        </w:tc>
        <w:tc>
          <w:tcPr>
            <w:tcW w:w="726" w:type="pct"/>
            <w:tcBorders>
              <w:top w:val="nil"/>
              <w:left w:val="nil"/>
              <w:bottom w:val="nil"/>
              <w:right w:val="nil"/>
            </w:tcBorders>
          </w:tcPr>
          <w:p w14:paraId="07EAB3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(0.396)</w:t>
            </w:r>
          </w:p>
        </w:tc>
      </w:tr>
      <w:tr w:rsidR="00F00E3D" w:rsidRPr="00335312" w14:paraId="67124002" w14:textId="77777777" w:rsidTr="009B2FA7">
        <w:trPr>
          <w:jc w:val="center"/>
        </w:trPr>
        <w:tc>
          <w:tcPr>
            <w:tcW w:w="1207" w:type="pct"/>
            <w:tcBorders>
              <w:top w:val="nil"/>
              <w:left w:val="nil"/>
              <w:bottom w:val="nil"/>
              <w:right w:val="nil"/>
            </w:tcBorders>
          </w:tcPr>
          <w:p w14:paraId="51C4D1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2016.year#3.month</w:t>
            </w:r>
          </w:p>
        </w:tc>
        <w:tc>
          <w:tcPr>
            <w:tcW w:w="580" w:type="pct"/>
            <w:tcBorders>
              <w:top w:val="nil"/>
              <w:left w:val="nil"/>
              <w:bottom w:val="nil"/>
              <w:right w:val="nil"/>
            </w:tcBorders>
          </w:tcPr>
          <w:p w14:paraId="069A8F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0.0751*</w:t>
            </w:r>
          </w:p>
        </w:tc>
        <w:tc>
          <w:tcPr>
            <w:tcW w:w="948" w:type="pct"/>
            <w:tcBorders>
              <w:top w:val="nil"/>
              <w:left w:val="nil"/>
              <w:bottom w:val="nil"/>
              <w:right w:val="nil"/>
            </w:tcBorders>
          </w:tcPr>
          <w:p w14:paraId="727988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0.104**</w:t>
            </w:r>
          </w:p>
        </w:tc>
        <w:tc>
          <w:tcPr>
            <w:tcW w:w="707" w:type="pct"/>
            <w:tcBorders>
              <w:top w:val="nil"/>
              <w:left w:val="nil"/>
              <w:bottom w:val="nil"/>
              <w:right w:val="nil"/>
            </w:tcBorders>
          </w:tcPr>
          <w:p w14:paraId="3B7FCB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0.0115**</w:t>
            </w:r>
          </w:p>
        </w:tc>
        <w:tc>
          <w:tcPr>
            <w:tcW w:w="831" w:type="pct"/>
            <w:tcBorders>
              <w:top w:val="nil"/>
              <w:left w:val="nil"/>
              <w:bottom w:val="nil"/>
              <w:right w:val="nil"/>
            </w:tcBorders>
          </w:tcPr>
          <w:p w14:paraId="30A325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0.0190*</w:t>
            </w:r>
          </w:p>
        </w:tc>
        <w:tc>
          <w:tcPr>
            <w:tcW w:w="726" w:type="pct"/>
            <w:tcBorders>
              <w:top w:val="nil"/>
              <w:left w:val="nil"/>
              <w:bottom w:val="nil"/>
              <w:right w:val="nil"/>
            </w:tcBorders>
          </w:tcPr>
          <w:p w14:paraId="7DEF79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0.0203</w:t>
            </w:r>
          </w:p>
        </w:tc>
      </w:tr>
      <w:tr w:rsidR="00F00E3D" w:rsidRPr="00335312" w14:paraId="71490E72" w14:textId="77777777" w:rsidTr="009B2FA7">
        <w:trPr>
          <w:jc w:val="center"/>
        </w:trPr>
        <w:tc>
          <w:tcPr>
            <w:tcW w:w="1207" w:type="pct"/>
            <w:tcBorders>
              <w:top w:val="nil"/>
              <w:left w:val="nil"/>
              <w:bottom w:val="nil"/>
              <w:right w:val="nil"/>
            </w:tcBorders>
          </w:tcPr>
          <w:p w14:paraId="422E7ED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0CC4F0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(1.881)</w:t>
            </w:r>
          </w:p>
        </w:tc>
        <w:tc>
          <w:tcPr>
            <w:tcW w:w="948" w:type="pct"/>
            <w:tcBorders>
              <w:top w:val="nil"/>
              <w:left w:val="nil"/>
              <w:bottom w:val="nil"/>
              <w:right w:val="nil"/>
            </w:tcBorders>
          </w:tcPr>
          <w:p w14:paraId="7A4926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(2.030)</w:t>
            </w:r>
          </w:p>
        </w:tc>
        <w:tc>
          <w:tcPr>
            <w:tcW w:w="707" w:type="pct"/>
            <w:tcBorders>
              <w:top w:val="nil"/>
              <w:left w:val="nil"/>
              <w:bottom w:val="nil"/>
              <w:right w:val="nil"/>
            </w:tcBorders>
          </w:tcPr>
          <w:p w14:paraId="634F06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(1.996)</w:t>
            </w:r>
          </w:p>
        </w:tc>
        <w:tc>
          <w:tcPr>
            <w:tcW w:w="831" w:type="pct"/>
            <w:tcBorders>
              <w:top w:val="nil"/>
              <w:left w:val="nil"/>
              <w:bottom w:val="nil"/>
              <w:right w:val="nil"/>
            </w:tcBorders>
          </w:tcPr>
          <w:p w14:paraId="69AAF5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(1.793)</w:t>
            </w:r>
          </w:p>
        </w:tc>
        <w:tc>
          <w:tcPr>
            <w:tcW w:w="726" w:type="pct"/>
            <w:tcBorders>
              <w:top w:val="nil"/>
              <w:left w:val="nil"/>
              <w:bottom w:val="nil"/>
              <w:right w:val="nil"/>
            </w:tcBorders>
          </w:tcPr>
          <w:p w14:paraId="5E9E12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(0.777)</w:t>
            </w:r>
          </w:p>
        </w:tc>
      </w:tr>
      <w:tr w:rsidR="00F00E3D" w:rsidRPr="00335312" w14:paraId="41F77692" w14:textId="77777777" w:rsidTr="009B2FA7">
        <w:trPr>
          <w:jc w:val="center"/>
        </w:trPr>
        <w:tc>
          <w:tcPr>
            <w:tcW w:w="1207" w:type="pct"/>
            <w:tcBorders>
              <w:top w:val="nil"/>
              <w:left w:val="nil"/>
              <w:bottom w:val="nil"/>
              <w:right w:val="nil"/>
            </w:tcBorders>
          </w:tcPr>
          <w:p w14:paraId="1ABC31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2016.year#4.month</w:t>
            </w:r>
          </w:p>
        </w:tc>
        <w:tc>
          <w:tcPr>
            <w:tcW w:w="580" w:type="pct"/>
            <w:tcBorders>
              <w:top w:val="nil"/>
              <w:left w:val="nil"/>
              <w:bottom w:val="nil"/>
              <w:right w:val="nil"/>
            </w:tcBorders>
          </w:tcPr>
          <w:p w14:paraId="40BF74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0.0249***</w:t>
            </w:r>
          </w:p>
        </w:tc>
        <w:tc>
          <w:tcPr>
            <w:tcW w:w="948" w:type="pct"/>
            <w:tcBorders>
              <w:top w:val="nil"/>
              <w:left w:val="nil"/>
              <w:bottom w:val="nil"/>
              <w:right w:val="nil"/>
            </w:tcBorders>
          </w:tcPr>
          <w:p w14:paraId="0BD64B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0.0359***</w:t>
            </w:r>
          </w:p>
        </w:tc>
        <w:tc>
          <w:tcPr>
            <w:tcW w:w="707" w:type="pct"/>
            <w:tcBorders>
              <w:top w:val="nil"/>
              <w:left w:val="nil"/>
              <w:bottom w:val="nil"/>
              <w:right w:val="nil"/>
            </w:tcBorders>
          </w:tcPr>
          <w:p w14:paraId="371BA5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0.00605</w:t>
            </w:r>
          </w:p>
        </w:tc>
        <w:tc>
          <w:tcPr>
            <w:tcW w:w="831" w:type="pct"/>
            <w:tcBorders>
              <w:top w:val="nil"/>
              <w:left w:val="nil"/>
              <w:bottom w:val="nil"/>
              <w:right w:val="nil"/>
            </w:tcBorders>
          </w:tcPr>
          <w:p w14:paraId="3AA144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0.0218**</w:t>
            </w:r>
          </w:p>
        </w:tc>
        <w:tc>
          <w:tcPr>
            <w:tcW w:w="726" w:type="pct"/>
            <w:tcBorders>
              <w:top w:val="nil"/>
              <w:left w:val="nil"/>
              <w:bottom w:val="nil"/>
              <w:right w:val="nil"/>
            </w:tcBorders>
          </w:tcPr>
          <w:p w14:paraId="57BE7E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0.00208</w:t>
            </w:r>
          </w:p>
        </w:tc>
      </w:tr>
      <w:tr w:rsidR="00F00E3D" w:rsidRPr="00335312" w14:paraId="712B9884" w14:textId="77777777" w:rsidTr="009B2FA7">
        <w:trPr>
          <w:jc w:val="center"/>
        </w:trPr>
        <w:tc>
          <w:tcPr>
            <w:tcW w:w="1207" w:type="pct"/>
            <w:tcBorders>
              <w:top w:val="nil"/>
              <w:left w:val="nil"/>
              <w:bottom w:val="nil"/>
              <w:right w:val="nil"/>
            </w:tcBorders>
          </w:tcPr>
          <w:p w14:paraId="4D8C86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230EA1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(7.344)</w:t>
            </w:r>
          </w:p>
        </w:tc>
        <w:tc>
          <w:tcPr>
            <w:tcW w:w="948" w:type="pct"/>
            <w:tcBorders>
              <w:top w:val="nil"/>
              <w:left w:val="nil"/>
              <w:bottom w:val="nil"/>
              <w:right w:val="nil"/>
            </w:tcBorders>
          </w:tcPr>
          <w:p w14:paraId="034BF1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(8.811)</w:t>
            </w:r>
          </w:p>
        </w:tc>
        <w:tc>
          <w:tcPr>
            <w:tcW w:w="707" w:type="pct"/>
            <w:tcBorders>
              <w:top w:val="nil"/>
              <w:left w:val="nil"/>
              <w:bottom w:val="nil"/>
              <w:right w:val="nil"/>
            </w:tcBorders>
          </w:tcPr>
          <w:p w14:paraId="1379EE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(1.097)</w:t>
            </w:r>
          </w:p>
        </w:tc>
        <w:tc>
          <w:tcPr>
            <w:tcW w:w="831" w:type="pct"/>
            <w:tcBorders>
              <w:top w:val="nil"/>
              <w:left w:val="nil"/>
              <w:bottom w:val="nil"/>
              <w:right w:val="nil"/>
            </w:tcBorders>
          </w:tcPr>
          <w:p w14:paraId="47B0B0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(2.440)</w:t>
            </w:r>
          </w:p>
        </w:tc>
        <w:tc>
          <w:tcPr>
            <w:tcW w:w="726" w:type="pct"/>
            <w:tcBorders>
              <w:top w:val="nil"/>
              <w:left w:val="nil"/>
              <w:bottom w:val="nil"/>
              <w:right w:val="nil"/>
            </w:tcBorders>
          </w:tcPr>
          <w:p w14:paraId="6074855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(0.113)</w:t>
            </w:r>
          </w:p>
        </w:tc>
      </w:tr>
      <w:tr w:rsidR="00F00E3D" w:rsidRPr="00335312" w14:paraId="5FB93EAF" w14:textId="77777777" w:rsidTr="009B2FA7">
        <w:trPr>
          <w:jc w:val="center"/>
        </w:trPr>
        <w:tc>
          <w:tcPr>
            <w:tcW w:w="1207" w:type="pct"/>
            <w:tcBorders>
              <w:top w:val="nil"/>
              <w:left w:val="nil"/>
              <w:bottom w:val="nil"/>
              <w:right w:val="nil"/>
            </w:tcBorders>
          </w:tcPr>
          <w:p w14:paraId="3086F8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2016.year#5.month</w:t>
            </w:r>
          </w:p>
        </w:tc>
        <w:tc>
          <w:tcPr>
            <w:tcW w:w="580" w:type="pct"/>
            <w:tcBorders>
              <w:top w:val="nil"/>
              <w:left w:val="nil"/>
              <w:bottom w:val="nil"/>
              <w:right w:val="nil"/>
            </w:tcBorders>
          </w:tcPr>
          <w:p w14:paraId="44ED1D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0.0225***</w:t>
            </w:r>
          </w:p>
        </w:tc>
        <w:tc>
          <w:tcPr>
            <w:tcW w:w="948" w:type="pct"/>
            <w:tcBorders>
              <w:top w:val="nil"/>
              <w:left w:val="nil"/>
              <w:bottom w:val="nil"/>
              <w:right w:val="nil"/>
            </w:tcBorders>
          </w:tcPr>
          <w:p w14:paraId="57A43B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0.0355***</w:t>
            </w:r>
          </w:p>
        </w:tc>
        <w:tc>
          <w:tcPr>
            <w:tcW w:w="707" w:type="pct"/>
            <w:tcBorders>
              <w:top w:val="nil"/>
              <w:left w:val="nil"/>
              <w:bottom w:val="nil"/>
              <w:right w:val="nil"/>
            </w:tcBorders>
          </w:tcPr>
          <w:p w14:paraId="5294B0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-0.000222</w:t>
            </w:r>
          </w:p>
        </w:tc>
        <w:tc>
          <w:tcPr>
            <w:tcW w:w="831" w:type="pct"/>
            <w:tcBorders>
              <w:top w:val="nil"/>
              <w:left w:val="nil"/>
              <w:bottom w:val="nil"/>
              <w:right w:val="nil"/>
            </w:tcBorders>
          </w:tcPr>
          <w:p w14:paraId="2D4EAA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0.00553</w:t>
            </w:r>
          </w:p>
        </w:tc>
        <w:tc>
          <w:tcPr>
            <w:tcW w:w="726" w:type="pct"/>
            <w:tcBorders>
              <w:top w:val="nil"/>
              <w:left w:val="nil"/>
              <w:bottom w:val="nil"/>
              <w:right w:val="nil"/>
            </w:tcBorders>
          </w:tcPr>
          <w:p w14:paraId="3DED9D5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0.000153</w:t>
            </w:r>
          </w:p>
        </w:tc>
      </w:tr>
      <w:tr w:rsidR="00F00E3D" w:rsidRPr="00335312" w14:paraId="1F74ABC0" w14:textId="77777777" w:rsidTr="009B2FA7">
        <w:trPr>
          <w:jc w:val="center"/>
        </w:trPr>
        <w:tc>
          <w:tcPr>
            <w:tcW w:w="1207" w:type="pct"/>
            <w:tcBorders>
              <w:top w:val="nil"/>
              <w:left w:val="nil"/>
              <w:bottom w:val="nil"/>
              <w:right w:val="nil"/>
            </w:tcBorders>
          </w:tcPr>
          <w:p w14:paraId="60A6AE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759423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(6.633)</w:t>
            </w:r>
          </w:p>
        </w:tc>
        <w:tc>
          <w:tcPr>
            <w:tcW w:w="948" w:type="pct"/>
            <w:tcBorders>
              <w:top w:val="nil"/>
              <w:left w:val="nil"/>
              <w:bottom w:val="nil"/>
              <w:right w:val="nil"/>
            </w:tcBorders>
          </w:tcPr>
          <w:p w14:paraId="4F3363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(8.997)</w:t>
            </w:r>
          </w:p>
        </w:tc>
        <w:tc>
          <w:tcPr>
            <w:tcW w:w="707" w:type="pct"/>
            <w:tcBorders>
              <w:top w:val="nil"/>
              <w:left w:val="nil"/>
              <w:bottom w:val="nil"/>
              <w:right w:val="nil"/>
            </w:tcBorders>
          </w:tcPr>
          <w:p w14:paraId="018145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(-0.0406)</w:t>
            </w:r>
          </w:p>
        </w:tc>
        <w:tc>
          <w:tcPr>
            <w:tcW w:w="831" w:type="pct"/>
            <w:tcBorders>
              <w:top w:val="nil"/>
              <w:left w:val="nil"/>
              <w:bottom w:val="nil"/>
              <w:right w:val="nil"/>
            </w:tcBorders>
          </w:tcPr>
          <w:p w14:paraId="57465E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(0.574)</w:t>
            </w:r>
          </w:p>
        </w:tc>
        <w:tc>
          <w:tcPr>
            <w:tcW w:w="726" w:type="pct"/>
            <w:tcBorders>
              <w:top w:val="nil"/>
              <w:left w:val="nil"/>
              <w:bottom w:val="nil"/>
              <w:right w:val="nil"/>
            </w:tcBorders>
          </w:tcPr>
          <w:p w14:paraId="419F83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(0.00932)</w:t>
            </w:r>
          </w:p>
        </w:tc>
      </w:tr>
      <w:tr w:rsidR="00F00E3D" w:rsidRPr="00335312" w14:paraId="2253636A" w14:textId="77777777" w:rsidTr="009B2FA7">
        <w:trPr>
          <w:jc w:val="center"/>
        </w:trPr>
        <w:tc>
          <w:tcPr>
            <w:tcW w:w="1207" w:type="pct"/>
            <w:tcBorders>
              <w:top w:val="nil"/>
              <w:left w:val="nil"/>
              <w:bottom w:val="nil"/>
              <w:right w:val="nil"/>
            </w:tcBorders>
          </w:tcPr>
          <w:p w14:paraId="59EDA6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2016.year#6.month</w:t>
            </w:r>
          </w:p>
        </w:tc>
        <w:tc>
          <w:tcPr>
            <w:tcW w:w="580" w:type="pct"/>
            <w:tcBorders>
              <w:top w:val="nil"/>
              <w:left w:val="nil"/>
              <w:bottom w:val="nil"/>
              <w:right w:val="nil"/>
            </w:tcBorders>
          </w:tcPr>
          <w:p w14:paraId="0D1AC2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0.0230***</w:t>
            </w:r>
          </w:p>
        </w:tc>
        <w:tc>
          <w:tcPr>
            <w:tcW w:w="948" w:type="pct"/>
            <w:tcBorders>
              <w:top w:val="nil"/>
              <w:left w:val="nil"/>
              <w:bottom w:val="nil"/>
              <w:right w:val="nil"/>
            </w:tcBorders>
          </w:tcPr>
          <w:p w14:paraId="5692E5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0.0313***</w:t>
            </w:r>
          </w:p>
        </w:tc>
        <w:tc>
          <w:tcPr>
            <w:tcW w:w="707" w:type="pct"/>
            <w:tcBorders>
              <w:top w:val="nil"/>
              <w:left w:val="nil"/>
              <w:bottom w:val="nil"/>
              <w:right w:val="nil"/>
            </w:tcBorders>
          </w:tcPr>
          <w:p w14:paraId="5C7C5B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0.00842</w:t>
            </w:r>
          </w:p>
        </w:tc>
        <w:tc>
          <w:tcPr>
            <w:tcW w:w="831" w:type="pct"/>
            <w:tcBorders>
              <w:top w:val="nil"/>
              <w:left w:val="nil"/>
              <w:bottom w:val="nil"/>
              <w:right w:val="nil"/>
            </w:tcBorders>
          </w:tcPr>
          <w:p w14:paraId="29CD9B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-0.00180</w:t>
            </w:r>
          </w:p>
        </w:tc>
        <w:tc>
          <w:tcPr>
            <w:tcW w:w="726" w:type="pct"/>
            <w:tcBorders>
              <w:top w:val="nil"/>
              <w:left w:val="nil"/>
              <w:bottom w:val="nil"/>
              <w:right w:val="nil"/>
            </w:tcBorders>
          </w:tcPr>
          <w:p w14:paraId="4FD465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-0.00450</w:t>
            </w:r>
          </w:p>
        </w:tc>
      </w:tr>
      <w:tr w:rsidR="00F00E3D" w:rsidRPr="00335312" w14:paraId="75274B09" w14:textId="77777777" w:rsidTr="009B2FA7">
        <w:trPr>
          <w:jc w:val="center"/>
        </w:trPr>
        <w:tc>
          <w:tcPr>
            <w:tcW w:w="1207" w:type="pct"/>
            <w:tcBorders>
              <w:top w:val="nil"/>
              <w:left w:val="nil"/>
              <w:bottom w:val="nil"/>
              <w:right w:val="nil"/>
            </w:tcBorders>
          </w:tcPr>
          <w:p w14:paraId="741994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1461E4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(6.759)</w:t>
            </w:r>
          </w:p>
        </w:tc>
        <w:tc>
          <w:tcPr>
            <w:tcW w:w="948" w:type="pct"/>
            <w:tcBorders>
              <w:top w:val="nil"/>
              <w:left w:val="nil"/>
              <w:bottom w:val="nil"/>
              <w:right w:val="nil"/>
            </w:tcBorders>
          </w:tcPr>
          <w:p w14:paraId="0A7FA7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(7.328)</w:t>
            </w:r>
          </w:p>
        </w:tc>
        <w:tc>
          <w:tcPr>
            <w:tcW w:w="707" w:type="pct"/>
            <w:tcBorders>
              <w:top w:val="nil"/>
              <w:left w:val="nil"/>
              <w:bottom w:val="nil"/>
              <w:right w:val="nil"/>
            </w:tcBorders>
          </w:tcPr>
          <w:p w14:paraId="5E5AF0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(1.625)</w:t>
            </w:r>
          </w:p>
        </w:tc>
        <w:tc>
          <w:tcPr>
            <w:tcW w:w="831" w:type="pct"/>
            <w:tcBorders>
              <w:top w:val="nil"/>
              <w:left w:val="nil"/>
              <w:bottom w:val="nil"/>
              <w:right w:val="nil"/>
            </w:tcBorders>
          </w:tcPr>
          <w:p w14:paraId="61CAC1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(-0.289)</w:t>
            </w:r>
          </w:p>
        </w:tc>
        <w:tc>
          <w:tcPr>
            <w:tcW w:w="726" w:type="pct"/>
            <w:tcBorders>
              <w:top w:val="nil"/>
              <w:left w:val="nil"/>
              <w:bottom w:val="nil"/>
              <w:right w:val="nil"/>
            </w:tcBorders>
          </w:tcPr>
          <w:p w14:paraId="3A5F4D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(-0.279)</w:t>
            </w:r>
          </w:p>
        </w:tc>
      </w:tr>
      <w:tr w:rsidR="00F00E3D" w:rsidRPr="00335312" w14:paraId="7DA2AB6C" w14:textId="77777777" w:rsidTr="009B2FA7">
        <w:trPr>
          <w:jc w:val="center"/>
        </w:trPr>
        <w:tc>
          <w:tcPr>
            <w:tcW w:w="1207" w:type="pct"/>
            <w:tcBorders>
              <w:top w:val="nil"/>
              <w:left w:val="nil"/>
              <w:bottom w:val="nil"/>
              <w:right w:val="nil"/>
            </w:tcBorders>
          </w:tcPr>
          <w:p w14:paraId="7F7694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2016.year#7.month</w:t>
            </w:r>
          </w:p>
        </w:tc>
        <w:tc>
          <w:tcPr>
            <w:tcW w:w="580" w:type="pct"/>
            <w:tcBorders>
              <w:top w:val="nil"/>
              <w:left w:val="nil"/>
              <w:bottom w:val="nil"/>
              <w:right w:val="nil"/>
            </w:tcBorders>
          </w:tcPr>
          <w:p w14:paraId="032053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0.0290***</w:t>
            </w:r>
          </w:p>
        </w:tc>
        <w:tc>
          <w:tcPr>
            <w:tcW w:w="948" w:type="pct"/>
            <w:tcBorders>
              <w:top w:val="nil"/>
              <w:left w:val="nil"/>
              <w:bottom w:val="nil"/>
              <w:right w:val="nil"/>
            </w:tcBorders>
          </w:tcPr>
          <w:p w14:paraId="0A22C4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0.0361***</w:t>
            </w:r>
          </w:p>
        </w:tc>
        <w:tc>
          <w:tcPr>
            <w:tcW w:w="707" w:type="pct"/>
            <w:tcBorders>
              <w:top w:val="nil"/>
              <w:left w:val="nil"/>
              <w:bottom w:val="nil"/>
              <w:right w:val="nil"/>
            </w:tcBorders>
          </w:tcPr>
          <w:p w14:paraId="72E996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0.0152***</w:t>
            </w:r>
          </w:p>
        </w:tc>
        <w:tc>
          <w:tcPr>
            <w:tcW w:w="831" w:type="pct"/>
            <w:tcBorders>
              <w:top w:val="nil"/>
              <w:left w:val="nil"/>
              <w:bottom w:val="nil"/>
              <w:right w:val="nil"/>
            </w:tcBorders>
          </w:tcPr>
          <w:p w14:paraId="062EA5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0.0171</w:t>
            </w:r>
          </w:p>
        </w:tc>
        <w:tc>
          <w:tcPr>
            <w:tcW w:w="726" w:type="pct"/>
            <w:tcBorders>
              <w:top w:val="nil"/>
              <w:left w:val="nil"/>
              <w:bottom w:val="nil"/>
              <w:right w:val="nil"/>
            </w:tcBorders>
          </w:tcPr>
          <w:p w14:paraId="46992E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0.00791</w:t>
            </w:r>
          </w:p>
        </w:tc>
      </w:tr>
      <w:tr w:rsidR="00F00E3D" w:rsidRPr="00335312" w14:paraId="72970A54" w14:textId="77777777" w:rsidTr="009B2FA7">
        <w:trPr>
          <w:jc w:val="center"/>
        </w:trPr>
        <w:tc>
          <w:tcPr>
            <w:tcW w:w="1207" w:type="pct"/>
            <w:tcBorders>
              <w:top w:val="nil"/>
              <w:left w:val="nil"/>
              <w:bottom w:val="nil"/>
              <w:right w:val="nil"/>
            </w:tcBorders>
          </w:tcPr>
          <w:p w14:paraId="649759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1D46DD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(8.477)</w:t>
            </w:r>
          </w:p>
        </w:tc>
        <w:tc>
          <w:tcPr>
            <w:tcW w:w="948" w:type="pct"/>
            <w:tcBorders>
              <w:top w:val="nil"/>
              <w:left w:val="nil"/>
              <w:bottom w:val="nil"/>
              <w:right w:val="nil"/>
            </w:tcBorders>
          </w:tcPr>
          <w:p w14:paraId="42B842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(8.721)</w:t>
            </w:r>
          </w:p>
        </w:tc>
        <w:tc>
          <w:tcPr>
            <w:tcW w:w="707" w:type="pct"/>
            <w:tcBorders>
              <w:top w:val="nil"/>
              <w:left w:val="nil"/>
              <w:bottom w:val="nil"/>
              <w:right w:val="nil"/>
            </w:tcBorders>
          </w:tcPr>
          <w:p w14:paraId="31ECCAE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(2.602)</w:t>
            </w:r>
          </w:p>
        </w:tc>
        <w:tc>
          <w:tcPr>
            <w:tcW w:w="831" w:type="pct"/>
            <w:tcBorders>
              <w:top w:val="nil"/>
              <w:left w:val="nil"/>
              <w:bottom w:val="nil"/>
              <w:right w:val="nil"/>
            </w:tcBorders>
          </w:tcPr>
          <w:p w14:paraId="642FDD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(1.204)</w:t>
            </w:r>
          </w:p>
        </w:tc>
        <w:tc>
          <w:tcPr>
            <w:tcW w:w="726" w:type="pct"/>
            <w:tcBorders>
              <w:top w:val="nil"/>
              <w:left w:val="nil"/>
              <w:bottom w:val="nil"/>
              <w:right w:val="nil"/>
            </w:tcBorders>
          </w:tcPr>
          <w:p w14:paraId="1B504C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(0.310)</w:t>
            </w:r>
          </w:p>
        </w:tc>
      </w:tr>
      <w:tr w:rsidR="00F00E3D" w:rsidRPr="00335312" w14:paraId="22A78658" w14:textId="77777777" w:rsidTr="009B2FA7">
        <w:trPr>
          <w:jc w:val="center"/>
        </w:trPr>
        <w:tc>
          <w:tcPr>
            <w:tcW w:w="1207" w:type="pct"/>
            <w:tcBorders>
              <w:top w:val="nil"/>
              <w:left w:val="nil"/>
              <w:bottom w:val="nil"/>
              <w:right w:val="nil"/>
            </w:tcBorders>
          </w:tcPr>
          <w:p w14:paraId="277431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2016.year#8.month</w:t>
            </w:r>
          </w:p>
        </w:tc>
        <w:tc>
          <w:tcPr>
            <w:tcW w:w="580" w:type="pct"/>
            <w:tcBorders>
              <w:top w:val="nil"/>
              <w:left w:val="nil"/>
              <w:bottom w:val="nil"/>
              <w:right w:val="nil"/>
            </w:tcBorders>
          </w:tcPr>
          <w:p w14:paraId="2FA288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0.0284***</w:t>
            </w:r>
          </w:p>
        </w:tc>
        <w:tc>
          <w:tcPr>
            <w:tcW w:w="948" w:type="pct"/>
            <w:tcBorders>
              <w:top w:val="nil"/>
              <w:left w:val="nil"/>
              <w:bottom w:val="nil"/>
              <w:right w:val="nil"/>
            </w:tcBorders>
          </w:tcPr>
          <w:p w14:paraId="0964EB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0.0361***</w:t>
            </w:r>
          </w:p>
        </w:tc>
        <w:tc>
          <w:tcPr>
            <w:tcW w:w="707" w:type="pct"/>
            <w:tcBorders>
              <w:top w:val="nil"/>
              <w:left w:val="nil"/>
              <w:bottom w:val="nil"/>
              <w:right w:val="nil"/>
            </w:tcBorders>
          </w:tcPr>
          <w:p w14:paraId="7FAB0E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0.0145***</w:t>
            </w:r>
          </w:p>
        </w:tc>
        <w:tc>
          <w:tcPr>
            <w:tcW w:w="831" w:type="pct"/>
            <w:tcBorders>
              <w:top w:val="nil"/>
              <w:left w:val="nil"/>
              <w:bottom w:val="nil"/>
              <w:right w:val="nil"/>
            </w:tcBorders>
          </w:tcPr>
          <w:p w14:paraId="6045E0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0.0201*</w:t>
            </w:r>
          </w:p>
        </w:tc>
        <w:tc>
          <w:tcPr>
            <w:tcW w:w="726" w:type="pct"/>
            <w:tcBorders>
              <w:top w:val="nil"/>
              <w:left w:val="nil"/>
              <w:bottom w:val="nil"/>
              <w:right w:val="nil"/>
            </w:tcBorders>
          </w:tcPr>
          <w:p w14:paraId="73BFDDA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0.0121</w:t>
            </w:r>
          </w:p>
        </w:tc>
      </w:tr>
      <w:tr w:rsidR="00F00E3D" w:rsidRPr="00335312" w14:paraId="197D1F1B" w14:textId="77777777" w:rsidTr="009B2FA7">
        <w:trPr>
          <w:jc w:val="center"/>
        </w:trPr>
        <w:tc>
          <w:tcPr>
            <w:tcW w:w="1207" w:type="pct"/>
            <w:tcBorders>
              <w:top w:val="nil"/>
              <w:left w:val="nil"/>
              <w:bottom w:val="nil"/>
              <w:right w:val="nil"/>
            </w:tcBorders>
          </w:tcPr>
          <w:p w14:paraId="0FD9B1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2D875C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(8.417)</w:t>
            </w:r>
          </w:p>
        </w:tc>
        <w:tc>
          <w:tcPr>
            <w:tcW w:w="948" w:type="pct"/>
            <w:tcBorders>
              <w:top w:val="nil"/>
              <w:left w:val="nil"/>
              <w:bottom w:val="nil"/>
              <w:right w:val="nil"/>
            </w:tcBorders>
          </w:tcPr>
          <w:p w14:paraId="3CE99A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(8.691)</w:t>
            </w:r>
          </w:p>
        </w:tc>
        <w:tc>
          <w:tcPr>
            <w:tcW w:w="707" w:type="pct"/>
            <w:tcBorders>
              <w:top w:val="nil"/>
              <w:left w:val="nil"/>
              <w:bottom w:val="nil"/>
              <w:right w:val="nil"/>
            </w:tcBorders>
          </w:tcPr>
          <w:p w14:paraId="68CB7A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(2.685)</w:t>
            </w:r>
          </w:p>
        </w:tc>
        <w:tc>
          <w:tcPr>
            <w:tcW w:w="831" w:type="pct"/>
            <w:tcBorders>
              <w:top w:val="nil"/>
              <w:left w:val="nil"/>
              <w:bottom w:val="nil"/>
              <w:right w:val="nil"/>
            </w:tcBorders>
          </w:tcPr>
          <w:p w14:paraId="61245A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(1.858)</w:t>
            </w:r>
          </w:p>
        </w:tc>
        <w:tc>
          <w:tcPr>
            <w:tcW w:w="726" w:type="pct"/>
            <w:tcBorders>
              <w:top w:val="nil"/>
              <w:left w:val="nil"/>
              <w:bottom w:val="nil"/>
              <w:right w:val="nil"/>
            </w:tcBorders>
          </w:tcPr>
          <w:p w14:paraId="4AA43B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(0.444)</w:t>
            </w:r>
          </w:p>
        </w:tc>
      </w:tr>
      <w:tr w:rsidR="00F00E3D" w:rsidRPr="00335312" w14:paraId="01A2A6D3" w14:textId="77777777" w:rsidTr="009B2FA7">
        <w:trPr>
          <w:jc w:val="center"/>
        </w:trPr>
        <w:tc>
          <w:tcPr>
            <w:tcW w:w="1207" w:type="pct"/>
            <w:tcBorders>
              <w:top w:val="nil"/>
              <w:left w:val="nil"/>
              <w:bottom w:val="nil"/>
              <w:right w:val="nil"/>
            </w:tcBorders>
          </w:tcPr>
          <w:p w14:paraId="701F18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2016.year#9.month</w:t>
            </w:r>
          </w:p>
        </w:tc>
        <w:tc>
          <w:tcPr>
            <w:tcW w:w="580" w:type="pct"/>
            <w:tcBorders>
              <w:top w:val="nil"/>
              <w:left w:val="nil"/>
              <w:bottom w:val="nil"/>
              <w:right w:val="nil"/>
            </w:tcBorders>
          </w:tcPr>
          <w:p w14:paraId="73FD35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0.0278***</w:t>
            </w:r>
          </w:p>
        </w:tc>
        <w:tc>
          <w:tcPr>
            <w:tcW w:w="948" w:type="pct"/>
            <w:tcBorders>
              <w:top w:val="nil"/>
              <w:left w:val="nil"/>
              <w:bottom w:val="nil"/>
              <w:right w:val="nil"/>
            </w:tcBorders>
          </w:tcPr>
          <w:p w14:paraId="540516C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0.0352***</w:t>
            </w:r>
          </w:p>
        </w:tc>
        <w:tc>
          <w:tcPr>
            <w:tcW w:w="707" w:type="pct"/>
            <w:tcBorders>
              <w:top w:val="nil"/>
              <w:left w:val="nil"/>
              <w:bottom w:val="nil"/>
              <w:right w:val="nil"/>
            </w:tcBorders>
          </w:tcPr>
          <w:p w14:paraId="62483B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0.0150***</w:t>
            </w:r>
          </w:p>
        </w:tc>
        <w:tc>
          <w:tcPr>
            <w:tcW w:w="831" w:type="pct"/>
            <w:tcBorders>
              <w:top w:val="nil"/>
              <w:left w:val="nil"/>
              <w:bottom w:val="nil"/>
              <w:right w:val="nil"/>
            </w:tcBorders>
          </w:tcPr>
          <w:p w14:paraId="0813B1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0.0344***</w:t>
            </w:r>
          </w:p>
        </w:tc>
        <w:tc>
          <w:tcPr>
            <w:tcW w:w="726" w:type="pct"/>
            <w:tcBorders>
              <w:top w:val="nil"/>
              <w:left w:val="nil"/>
              <w:bottom w:val="nil"/>
              <w:right w:val="nil"/>
            </w:tcBorders>
          </w:tcPr>
          <w:p w14:paraId="769307E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0.0371</w:t>
            </w:r>
          </w:p>
        </w:tc>
      </w:tr>
      <w:tr w:rsidR="00F00E3D" w:rsidRPr="00335312" w14:paraId="6F282C20" w14:textId="77777777" w:rsidTr="009B2FA7">
        <w:trPr>
          <w:jc w:val="center"/>
        </w:trPr>
        <w:tc>
          <w:tcPr>
            <w:tcW w:w="1207" w:type="pct"/>
            <w:tcBorders>
              <w:top w:val="nil"/>
              <w:left w:val="nil"/>
              <w:bottom w:val="nil"/>
              <w:right w:val="nil"/>
            </w:tcBorders>
          </w:tcPr>
          <w:p w14:paraId="57E69C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51B69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(8.620)</w:t>
            </w:r>
          </w:p>
        </w:tc>
        <w:tc>
          <w:tcPr>
            <w:tcW w:w="948" w:type="pct"/>
            <w:tcBorders>
              <w:top w:val="nil"/>
              <w:left w:val="nil"/>
              <w:bottom w:val="nil"/>
              <w:right w:val="nil"/>
            </w:tcBorders>
          </w:tcPr>
          <w:p w14:paraId="47A57C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(8.519)</w:t>
            </w:r>
          </w:p>
        </w:tc>
        <w:tc>
          <w:tcPr>
            <w:tcW w:w="707" w:type="pct"/>
            <w:tcBorders>
              <w:top w:val="nil"/>
              <w:left w:val="nil"/>
              <w:bottom w:val="nil"/>
              <w:right w:val="nil"/>
            </w:tcBorders>
          </w:tcPr>
          <w:p w14:paraId="329527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(3.152)</w:t>
            </w:r>
          </w:p>
        </w:tc>
        <w:tc>
          <w:tcPr>
            <w:tcW w:w="831" w:type="pct"/>
            <w:tcBorders>
              <w:top w:val="nil"/>
              <w:left w:val="nil"/>
              <w:bottom w:val="nil"/>
              <w:right w:val="nil"/>
            </w:tcBorders>
          </w:tcPr>
          <w:p w14:paraId="1F1A95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(3.334)</w:t>
            </w:r>
          </w:p>
        </w:tc>
        <w:tc>
          <w:tcPr>
            <w:tcW w:w="726" w:type="pct"/>
            <w:tcBorders>
              <w:top w:val="nil"/>
              <w:left w:val="nil"/>
              <w:bottom w:val="nil"/>
              <w:right w:val="nil"/>
            </w:tcBorders>
          </w:tcPr>
          <w:p w14:paraId="59ECDEB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(1.047)</w:t>
            </w:r>
          </w:p>
        </w:tc>
      </w:tr>
      <w:tr w:rsidR="00F00E3D" w:rsidRPr="00335312" w14:paraId="1F305CA6" w14:textId="77777777" w:rsidTr="009B2FA7">
        <w:trPr>
          <w:jc w:val="center"/>
        </w:trPr>
        <w:tc>
          <w:tcPr>
            <w:tcW w:w="1207" w:type="pct"/>
            <w:tcBorders>
              <w:top w:val="nil"/>
              <w:left w:val="nil"/>
              <w:bottom w:val="nil"/>
              <w:right w:val="nil"/>
            </w:tcBorders>
          </w:tcPr>
          <w:p w14:paraId="7331C32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2016.year#10.month</w:t>
            </w:r>
          </w:p>
        </w:tc>
        <w:tc>
          <w:tcPr>
            <w:tcW w:w="580" w:type="pct"/>
            <w:tcBorders>
              <w:top w:val="nil"/>
              <w:left w:val="nil"/>
              <w:bottom w:val="nil"/>
              <w:right w:val="nil"/>
            </w:tcBorders>
          </w:tcPr>
          <w:p w14:paraId="5719A9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0.0350***</w:t>
            </w:r>
          </w:p>
        </w:tc>
        <w:tc>
          <w:tcPr>
            <w:tcW w:w="948" w:type="pct"/>
            <w:tcBorders>
              <w:top w:val="nil"/>
              <w:left w:val="nil"/>
              <w:bottom w:val="nil"/>
              <w:right w:val="nil"/>
            </w:tcBorders>
          </w:tcPr>
          <w:p w14:paraId="0E9331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0.0433***</w:t>
            </w:r>
          </w:p>
        </w:tc>
        <w:tc>
          <w:tcPr>
            <w:tcW w:w="707" w:type="pct"/>
            <w:tcBorders>
              <w:top w:val="nil"/>
              <w:left w:val="nil"/>
              <w:bottom w:val="nil"/>
              <w:right w:val="nil"/>
            </w:tcBorders>
          </w:tcPr>
          <w:p w14:paraId="3FCD9F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0.0196***</w:t>
            </w:r>
          </w:p>
        </w:tc>
        <w:tc>
          <w:tcPr>
            <w:tcW w:w="831" w:type="pct"/>
            <w:tcBorders>
              <w:top w:val="nil"/>
              <w:left w:val="nil"/>
              <w:bottom w:val="nil"/>
              <w:right w:val="nil"/>
            </w:tcBorders>
          </w:tcPr>
          <w:p w14:paraId="4E7D4F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0.0199</w:t>
            </w:r>
          </w:p>
        </w:tc>
        <w:tc>
          <w:tcPr>
            <w:tcW w:w="726" w:type="pct"/>
            <w:tcBorders>
              <w:top w:val="nil"/>
              <w:left w:val="nil"/>
              <w:bottom w:val="nil"/>
              <w:right w:val="nil"/>
            </w:tcBorders>
          </w:tcPr>
          <w:p w14:paraId="387297A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0.0191</w:t>
            </w:r>
          </w:p>
        </w:tc>
      </w:tr>
      <w:tr w:rsidR="00F00E3D" w:rsidRPr="00335312" w14:paraId="5247847F" w14:textId="77777777" w:rsidTr="009B2FA7">
        <w:trPr>
          <w:jc w:val="center"/>
        </w:trPr>
        <w:tc>
          <w:tcPr>
            <w:tcW w:w="1207" w:type="pct"/>
            <w:tcBorders>
              <w:top w:val="nil"/>
              <w:left w:val="nil"/>
              <w:bottom w:val="nil"/>
              <w:right w:val="nil"/>
            </w:tcBorders>
          </w:tcPr>
          <w:p w14:paraId="1D5F1F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654D16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(9.244)</w:t>
            </w:r>
          </w:p>
        </w:tc>
        <w:tc>
          <w:tcPr>
            <w:tcW w:w="948" w:type="pct"/>
            <w:tcBorders>
              <w:top w:val="nil"/>
              <w:left w:val="nil"/>
              <w:bottom w:val="nil"/>
              <w:right w:val="nil"/>
            </w:tcBorders>
          </w:tcPr>
          <w:p w14:paraId="595FD4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(8.795)</w:t>
            </w:r>
          </w:p>
        </w:tc>
        <w:tc>
          <w:tcPr>
            <w:tcW w:w="707" w:type="pct"/>
            <w:tcBorders>
              <w:top w:val="nil"/>
              <w:left w:val="nil"/>
              <w:bottom w:val="nil"/>
              <w:right w:val="nil"/>
            </w:tcBorders>
          </w:tcPr>
          <w:p w14:paraId="4C65A0A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(3.472)</w:t>
            </w:r>
          </w:p>
        </w:tc>
        <w:tc>
          <w:tcPr>
            <w:tcW w:w="831" w:type="pct"/>
            <w:tcBorders>
              <w:top w:val="nil"/>
              <w:left w:val="nil"/>
              <w:bottom w:val="nil"/>
              <w:right w:val="nil"/>
            </w:tcBorders>
          </w:tcPr>
          <w:p w14:paraId="71D224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(1.661)</w:t>
            </w:r>
          </w:p>
        </w:tc>
        <w:tc>
          <w:tcPr>
            <w:tcW w:w="726" w:type="pct"/>
            <w:tcBorders>
              <w:top w:val="nil"/>
              <w:left w:val="nil"/>
              <w:bottom w:val="nil"/>
              <w:right w:val="nil"/>
            </w:tcBorders>
          </w:tcPr>
          <w:p w14:paraId="25DAB4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(0.632)</w:t>
            </w:r>
          </w:p>
        </w:tc>
      </w:tr>
      <w:tr w:rsidR="00F00E3D" w:rsidRPr="00335312" w14:paraId="69F94BA6" w14:textId="77777777" w:rsidTr="009B2FA7">
        <w:trPr>
          <w:jc w:val="center"/>
        </w:trPr>
        <w:tc>
          <w:tcPr>
            <w:tcW w:w="1207" w:type="pct"/>
            <w:tcBorders>
              <w:top w:val="nil"/>
              <w:left w:val="nil"/>
              <w:bottom w:val="nil"/>
              <w:right w:val="nil"/>
            </w:tcBorders>
          </w:tcPr>
          <w:p w14:paraId="1CB2D5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2016.year#11.month</w:t>
            </w:r>
          </w:p>
        </w:tc>
        <w:tc>
          <w:tcPr>
            <w:tcW w:w="580" w:type="pct"/>
            <w:tcBorders>
              <w:top w:val="nil"/>
              <w:left w:val="nil"/>
              <w:bottom w:val="nil"/>
              <w:right w:val="nil"/>
            </w:tcBorders>
          </w:tcPr>
          <w:p w14:paraId="13A24B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0.0372***</w:t>
            </w:r>
          </w:p>
        </w:tc>
        <w:tc>
          <w:tcPr>
            <w:tcW w:w="948" w:type="pct"/>
            <w:tcBorders>
              <w:top w:val="nil"/>
              <w:left w:val="nil"/>
              <w:bottom w:val="nil"/>
              <w:right w:val="nil"/>
            </w:tcBorders>
          </w:tcPr>
          <w:p w14:paraId="542ABF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0.0433***</w:t>
            </w:r>
          </w:p>
        </w:tc>
        <w:tc>
          <w:tcPr>
            <w:tcW w:w="707" w:type="pct"/>
            <w:tcBorders>
              <w:top w:val="nil"/>
              <w:left w:val="nil"/>
              <w:bottom w:val="nil"/>
              <w:right w:val="nil"/>
            </w:tcBorders>
          </w:tcPr>
          <w:p w14:paraId="0704A6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0.0247***</w:t>
            </w:r>
          </w:p>
        </w:tc>
        <w:tc>
          <w:tcPr>
            <w:tcW w:w="831" w:type="pct"/>
            <w:tcBorders>
              <w:top w:val="nil"/>
              <w:left w:val="nil"/>
              <w:bottom w:val="nil"/>
              <w:right w:val="nil"/>
            </w:tcBorders>
          </w:tcPr>
          <w:p w14:paraId="5881A6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0.0154</w:t>
            </w:r>
          </w:p>
        </w:tc>
        <w:tc>
          <w:tcPr>
            <w:tcW w:w="726" w:type="pct"/>
            <w:tcBorders>
              <w:top w:val="nil"/>
              <w:left w:val="nil"/>
              <w:bottom w:val="nil"/>
              <w:right w:val="nil"/>
            </w:tcBorders>
          </w:tcPr>
          <w:p w14:paraId="00CA3F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-0.00679</w:t>
            </w:r>
          </w:p>
        </w:tc>
      </w:tr>
      <w:tr w:rsidR="00F00E3D" w:rsidRPr="00335312" w14:paraId="6A0DAB08" w14:textId="77777777" w:rsidTr="009B2FA7">
        <w:trPr>
          <w:jc w:val="center"/>
        </w:trPr>
        <w:tc>
          <w:tcPr>
            <w:tcW w:w="1207" w:type="pct"/>
            <w:tcBorders>
              <w:top w:val="nil"/>
              <w:left w:val="nil"/>
              <w:bottom w:val="nil"/>
              <w:right w:val="nil"/>
            </w:tcBorders>
          </w:tcPr>
          <w:p w14:paraId="1BD818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C40A6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(10.99)</w:t>
            </w:r>
          </w:p>
        </w:tc>
        <w:tc>
          <w:tcPr>
            <w:tcW w:w="948" w:type="pct"/>
            <w:tcBorders>
              <w:top w:val="nil"/>
              <w:left w:val="nil"/>
              <w:bottom w:val="nil"/>
              <w:right w:val="nil"/>
            </w:tcBorders>
          </w:tcPr>
          <w:p w14:paraId="6749A9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(10.73)</w:t>
            </w:r>
          </w:p>
        </w:tc>
        <w:tc>
          <w:tcPr>
            <w:tcW w:w="707" w:type="pct"/>
            <w:tcBorders>
              <w:top w:val="nil"/>
              <w:left w:val="nil"/>
              <w:bottom w:val="nil"/>
              <w:right w:val="nil"/>
            </w:tcBorders>
          </w:tcPr>
          <w:p w14:paraId="1003209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(4.178)</w:t>
            </w:r>
          </w:p>
        </w:tc>
        <w:tc>
          <w:tcPr>
            <w:tcW w:w="831" w:type="pct"/>
            <w:tcBorders>
              <w:top w:val="nil"/>
              <w:left w:val="nil"/>
              <w:bottom w:val="nil"/>
              <w:right w:val="nil"/>
            </w:tcBorders>
          </w:tcPr>
          <w:p w14:paraId="63053C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(1.557)</w:t>
            </w:r>
          </w:p>
        </w:tc>
        <w:tc>
          <w:tcPr>
            <w:tcW w:w="726" w:type="pct"/>
            <w:tcBorders>
              <w:top w:val="nil"/>
              <w:left w:val="nil"/>
              <w:bottom w:val="nil"/>
              <w:right w:val="nil"/>
            </w:tcBorders>
          </w:tcPr>
          <w:p w14:paraId="5AEA50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(-0.293)</w:t>
            </w:r>
          </w:p>
        </w:tc>
      </w:tr>
      <w:tr w:rsidR="00F00E3D" w:rsidRPr="00335312" w14:paraId="5FF68740" w14:textId="77777777" w:rsidTr="009B2FA7">
        <w:trPr>
          <w:jc w:val="center"/>
        </w:trPr>
        <w:tc>
          <w:tcPr>
            <w:tcW w:w="1207" w:type="pct"/>
            <w:tcBorders>
              <w:top w:val="nil"/>
              <w:left w:val="nil"/>
              <w:bottom w:val="nil"/>
              <w:right w:val="nil"/>
            </w:tcBorders>
          </w:tcPr>
          <w:p w14:paraId="296747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2016.year#12.month</w:t>
            </w:r>
          </w:p>
        </w:tc>
        <w:tc>
          <w:tcPr>
            <w:tcW w:w="580" w:type="pct"/>
            <w:tcBorders>
              <w:top w:val="nil"/>
              <w:left w:val="nil"/>
              <w:bottom w:val="nil"/>
              <w:right w:val="nil"/>
            </w:tcBorders>
          </w:tcPr>
          <w:p w14:paraId="7A2DA0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0.0465***</w:t>
            </w:r>
          </w:p>
        </w:tc>
        <w:tc>
          <w:tcPr>
            <w:tcW w:w="948" w:type="pct"/>
            <w:tcBorders>
              <w:top w:val="nil"/>
              <w:left w:val="nil"/>
              <w:bottom w:val="nil"/>
              <w:right w:val="nil"/>
            </w:tcBorders>
          </w:tcPr>
          <w:p w14:paraId="4367F4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0.0501***</w:t>
            </w:r>
          </w:p>
        </w:tc>
        <w:tc>
          <w:tcPr>
            <w:tcW w:w="707" w:type="pct"/>
            <w:tcBorders>
              <w:top w:val="nil"/>
              <w:left w:val="nil"/>
              <w:bottom w:val="nil"/>
              <w:right w:val="nil"/>
            </w:tcBorders>
          </w:tcPr>
          <w:p w14:paraId="061739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0.0392***</w:t>
            </w:r>
          </w:p>
        </w:tc>
        <w:tc>
          <w:tcPr>
            <w:tcW w:w="831" w:type="pct"/>
            <w:tcBorders>
              <w:top w:val="nil"/>
              <w:left w:val="nil"/>
              <w:bottom w:val="nil"/>
              <w:right w:val="nil"/>
            </w:tcBorders>
          </w:tcPr>
          <w:p w14:paraId="440305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0.0398***</w:t>
            </w:r>
          </w:p>
        </w:tc>
        <w:tc>
          <w:tcPr>
            <w:tcW w:w="726" w:type="pct"/>
            <w:tcBorders>
              <w:top w:val="nil"/>
              <w:left w:val="nil"/>
              <w:bottom w:val="nil"/>
              <w:right w:val="nil"/>
            </w:tcBorders>
          </w:tcPr>
          <w:p w14:paraId="42E4D6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0.0151</w:t>
            </w:r>
          </w:p>
        </w:tc>
      </w:tr>
      <w:tr w:rsidR="00F00E3D" w:rsidRPr="00335312" w14:paraId="1E76D22B" w14:textId="77777777" w:rsidTr="009B2FA7">
        <w:trPr>
          <w:jc w:val="center"/>
        </w:trPr>
        <w:tc>
          <w:tcPr>
            <w:tcW w:w="1207" w:type="pct"/>
            <w:tcBorders>
              <w:top w:val="nil"/>
              <w:left w:val="nil"/>
              <w:bottom w:val="nil"/>
              <w:right w:val="nil"/>
            </w:tcBorders>
          </w:tcPr>
          <w:p w14:paraId="0FAF79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59E7D3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(10.72)</w:t>
            </w:r>
          </w:p>
        </w:tc>
        <w:tc>
          <w:tcPr>
            <w:tcW w:w="948" w:type="pct"/>
            <w:tcBorders>
              <w:top w:val="nil"/>
              <w:left w:val="nil"/>
              <w:bottom w:val="nil"/>
              <w:right w:val="nil"/>
            </w:tcBorders>
          </w:tcPr>
          <w:p w14:paraId="2DAF60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(11.86)</w:t>
            </w:r>
          </w:p>
        </w:tc>
        <w:tc>
          <w:tcPr>
            <w:tcW w:w="707" w:type="pct"/>
            <w:tcBorders>
              <w:top w:val="nil"/>
              <w:left w:val="nil"/>
              <w:bottom w:val="nil"/>
              <w:right w:val="nil"/>
            </w:tcBorders>
          </w:tcPr>
          <w:p w14:paraId="3C28DA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(4.383)</w:t>
            </w:r>
          </w:p>
        </w:tc>
        <w:tc>
          <w:tcPr>
            <w:tcW w:w="831" w:type="pct"/>
            <w:tcBorders>
              <w:top w:val="nil"/>
              <w:left w:val="nil"/>
              <w:bottom w:val="nil"/>
              <w:right w:val="nil"/>
            </w:tcBorders>
          </w:tcPr>
          <w:p w14:paraId="064E50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(3.782)</w:t>
            </w:r>
          </w:p>
        </w:tc>
        <w:tc>
          <w:tcPr>
            <w:tcW w:w="726" w:type="pct"/>
            <w:tcBorders>
              <w:top w:val="nil"/>
              <w:left w:val="nil"/>
              <w:bottom w:val="nil"/>
              <w:right w:val="nil"/>
            </w:tcBorders>
          </w:tcPr>
          <w:p w14:paraId="056568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(0.824)</w:t>
            </w:r>
          </w:p>
        </w:tc>
      </w:tr>
      <w:tr w:rsidR="00F00E3D" w:rsidRPr="00335312" w14:paraId="37F62A11" w14:textId="77777777" w:rsidTr="009B2FA7">
        <w:trPr>
          <w:jc w:val="center"/>
        </w:trPr>
        <w:tc>
          <w:tcPr>
            <w:tcW w:w="1207" w:type="pct"/>
            <w:tcBorders>
              <w:top w:val="nil"/>
              <w:left w:val="nil"/>
              <w:bottom w:val="nil"/>
              <w:right w:val="nil"/>
            </w:tcBorders>
          </w:tcPr>
          <w:p w14:paraId="4F698A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2017.year#1.month</w:t>
            </w:r>
          </w:p>
        </w:tc>
        <w:tc>
          <w:tcPr>
            <w:tcW w:w="580" w:type="pct"/>
            <w:tcBorders>
              <w:top w:val="nil"/>
              <w:left w:val="nil"/>
              <w:bottom w:val="nil"/>
              <w:right w:val="nil"/>
            </w:tcBorders>
          </w:tcPr>
          <w:p w14:paraId="1EF114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0.0512***</w:t>
            </w:r>
          </w:p>
        </w:tc>
        <w:tc>
          <w:tcPr>
            <w:tcW w:w="948" w:type="pct"/>
            <w:tcBorders>
              <w:top w:val="nil"/>
              <w:left w:val="nil"/>
              <w:bottom w:val="nil"/>
              <w:right w:val="nil"/>
            </w:tcBorders>
          </w:tcPr>
          <w:p w14:paraId="21AE36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0.0538***</w:t>
            </w:r>
          </w:p>
        </w:tc>
        <w:tc>
          <w:tcPr>
            <w:tcW w:w="707" w:type="pct"/>
            <w:tcBorders>
              <w:top w:val="nil"/>
              <w:left w:val="nil"/>
              <w:bottom w:val="nil"/>
              <w:right w:val="nil"/>
            </w:tcBorders>
          </w:tcPr>
          <w:p w14:paraId="337149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0.0454***</w:t>
            </w:r>
          </w:p>
        </w:tc>
        <w:tc>
          <w:tcPr>
            <w:tcW w:w="831" w:type="pct"/>
            <w:tcBorders>
              <w:top w:val="nil"/>
              <w:left w:val="nil"/>
              <w:bottom w:val="nil"/>
              <w:right w:val="nil"/>
            </w:tcBorders>
          </w:tcPr>
          <w:p w14:paraId="1C0E22C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0.0517***</w:t>
            </w:r>
          </w:p>
        </w:tc>
        <w:tc>
          <w:tcPr>
            <w:tcW w:w="726" w:type="pct"/>
            <w:tcBorders>
              <w:top w:val="nil"/>
              <w:left w:val="nil"/>
              <w:bottom w:val="nil"/>
              <w:right w:val="nil"/>
            </w:tcBorders>
          </w:tcPr>
          <w:p w14:paraId="655990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0.0435</w:t>
            </w:r>
          </w:p>
        </w:tc>
      </w:tr>
      <w:tr w:rsidR="00F00E3D" w:rsidRPr="00335312" w14:paraId="23B9FBD0" w14:textId="77777777" w:rsidTr="009B2FA7">
        <w:trPr>
          <w:jc w:val="center"/>
        </w:trPr>
        <w:tc>
          <w:tcPr>
            <w:tcW w:w="1207" w:type="pct"/>
            <w:tcBorders>
              <w:top w:val="nil"/>
              <w:left w:val="nil"/>
              <w:bottom w:val="nil"/>
              <w:right w:val="nil"/>
            </w:tcBorders>
          </w:tcPr>
          <w:p w14:paraId="79B88E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383B5F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(12.24)</w:t>
            </w:r>
          </w:p>
        </w:tc>
        <w:tc>
          <w:tcPr>
            <w:tcW w:w="948" w:type="pct"/>
            <w:tcBorders>
              <w:top w:val="nil"/>
              <w:left w:val="nil"/>
              <w:bottom w:val="nil"/>
              <w:right w:val="nil"/>
            </w:tcBorders>
          </w:tcPr>
          <w:p w14:paraId="58C5F5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(15.04)</w:t>
            </w:r>
          </w:p>
        </w:tc>
        <w:tc>
          <w:tcPr>
            <w:tcW w:w="707" w:type="pct"/>
            <w:tcBorders>
              <w:top w:val="nil"/>
              <w:left w:val="nil"/>
              <w:bottom w:val="nil"/>
              <w:right w:val="nil"/>
            </w:tcBorders>
          </w:tcPr>
          <w:p w14:paraId="3D647E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(4.772)</w:t>
            </w:r>
          </w:p>
        </w:tc>
        <w:tc>
          <w:tcPr>
            <w:tcW w:w="831" w:type="pct"/>
            <w:tcBorders>
              <w:top w:val="nil"/>
              <w:left w:val="nil"/>
              <w:bottom w:val="nil"/>
              <w:right w:val="nil"/>
            </w:tcBorders>
          </w:tcPr>
          <w:p w14:paraId="534F5D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(3.566)</w:t>
            </w:r>
          </w:p>
        </w:tc>
        <w:tc>
          <w:tcPr>
            <w:tcW w:w="726" w:type="pct"/>
            <w:tcBorders>
              <w:top w:val="nil"/>
              <w:left w:val="nil"/>
              <w:bottom w:val="nil"/>
              <w:right w:val="nil"/>
            </w:tcBorders>
          </w:tcPr>
          <w:p w14:paraId="26CD0E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(2.768)</w:t>
            </w:r>
          </w:p>
        </w:tc>
      </w:tr>
      <w:tr w:rsidR="00F00E3D" w:rsidRPr="00335312" w14:paraId="5D1F7311" w14:textId="77777777" w:rsidTr="009B2FA7">
        <w:trPr>
          <w:jc w:val="center"/>
        </w:trPr>
        <w:tc>
          <w:tcPr>
            <w:tcW w:w="1207" w:type="pct"/>
            <w:tcBorders>
              <w:top w:val="nil"/>
              <w:left w:val="nil"/>
              <w:bottom w:val="nil"/>
              <w:right w:val="nil"/>
            </w:tcBorders>
          </w:tcPr>
          <w:p w14:paraId="30FE2E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2017.year#2.month</w:t>
            </w:r>
          </w:p>
        </w:tc>
        <w:tc>
          <w:tcPr>
            <w:tcW w:w="580" w:type="pct"/>
            <w:tcBorders>
              <w:top w:val="nil"/>
              <w:left w:val="nil"/>
              <w:bottom w:val="nil"/>
              <w:right w:val="nil"/>
            </w:tcBorders>
          </w:tcPr>
          <w:p w14:paraId="2238D0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0.0562***</w:t>
            </w:r>
          </w:p>
        </w:tc>
        <w:tc>
          <w:tcPr>
            <w:tcW w:w="948" w:type="pct"/>
            <w:tcBorders>
              <w:top w:val="nil"/>
              <w:left w:val="nil"/>
              <w:bottom w:val="nil"/>
              <w:right w:val="nil"/>
            </w:tcBorders>
          </w:tcPr>
          <w:p w14:paraId="789394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0.0645***</w:t>
            </w:r>
          </w:p>
        </w:tc>
        <w:tc>
          <w:tcPr>
            <w:tcW w:w="707" w:type="pct"/>
            <w:tcBorders>
              <w:top w:val="nil"/>
              <w:left w:val="nil"/>
              <w:bottom w:val="nil"/>
              <w:right w:val="nil"/>
            </w:tcBorders>
          </w:tcPr>
          <w:p w14:paraId="50A318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0.0414***</w:t>
            </w:r>
          </w:p>
        </w:tc>
        <w:tc>
          <w:tcPr>
            <w:tcW w:w="831" w:type="pct"/>
            <w:tcBorders>
              <w:top w:val="nil"/>
              <w:left w:val="nil"/>
              <w:bottom w:val="nil"/>
              <w:right w:val="nil"/>
            </w:tcBorders>
          </w:tcPr>
          <w:p w14:paraId="1BEB05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0.0475***</w:t>
            </w:r>
          </w:p>
        </w:tc>
        <w:tc>
          <w:tcPr>
            <w:tcW w:w="726" w:type="pct"/>
            <w:tcBorders>
              <w:top w:val="nil"/>
              <w:left w:val="nil"/>
              <w:bottom w:val="nil"/>
              <w:right w:val="nil"/>
            </w:tcBorders>
          </w:tcPr>
          <w:p w14:paraId="223EC5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0.0546*</w:t>
            </w:r>
          </w:p>
        </w:tc>
      </w:tr>
      <w:tr w:rsidR="00F00E3D" w:rsidRPr="00335312" w14:paraId="7D946498" w14:textId="77777777" w:rsidTr="009B2FA7">
        <w:trPr>
          <w:jc w:val="center"/>
        </w:trPr>
        <w:tc>
          <w:tcPr>
            <w:tcW w:w="1207" w:type="pct"/>
            <w:tcBorders>
              <w:top w:val="nil"/>
              <w:left w:val="nil"/>
              <w:bottom w:val="nil"/>
              <w:right w:val="nil"/>
            </w:tcBorders>
          </w:tcPr>
          <w:p w14:paraId="1A8E28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5AB82B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(13.41)</w:t>
            </w:r>
          </w:p>
        </w:tc>
        <w:tc>
          <w:tcPr>
            <w:tcW w:w="948" w:type="pct"/>
            <w:tcBorders>
              <w:top w:val="nil"/>
              <w:left w:val="nil"/>
              <w:bottom w:val="nil"/>
              <w:right w:val="nil"/>
            </w:tcBorders>
          </w:tcPr>
          <w:p w14:paraId="667371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(17.85)</w:t>
            </w:r>
          </w:p>
        </w:tc>
        <w:tc>
          <w:tcPr>
            <w:tcW w:w="707" w:type="pct"/>
            <w:tcBorders>
              <w:top w:val="nil"/>
              <w:left w:val="nil"/>
              <w:bottom w:val="nil"/>
              <w:right w:val="nil"/>
            </w:tcBorders>
          </w:tcPr>
          <w:p w14:paraId="75D4C0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(4.538)</w:t>
            </w:r>
          </w:p>
        </w:tc>
        <w:tc>
          <w:tcPr>
            <w:tcW w:w="831" w:type="pct"/>
            <w:tcBorders>
              <w:top w:val="nil"/>
              <w:left w:val="nil"/>
              <w:bottom w:val="nil"/>
              <w:right w:val="nil"/>
            </w:tcBorders>
          </w:tcPr>
          <w:p w14:paraId="7DF208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(4.325)</w:t>
            </w:r>
          </w:p>
        </w:tc>
        <w:tc>
          <w:tcPr>
            <w:tcW w:w="726" w:type="pct"/>
            <w:tcBorders>
              <w:top w:val="nil"/>
              <w:left w:val="nil"/>
              <w:bottom w:val="nil"/>
              <w:right w:val="nil"/>
            </w:tcBorders>
          </w:tcPr>
          <w:p w14:paraId="493126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(3.110)</w:t>
            </w:r>
          </w:p>
        </w:tc>
      </w:tr>
      <w:tr w:rsidR="00F00E3D" w:rsidRPr="00335312" w14:paraId="02654557" w14:textId="77777777" w:rsidTr="009B2FA7">
        <w:trPr>
          <w:jc w:val="center"/>
        </w:trPr>
        <w:tc>
          <w:tcPr>
            <w:tcW w:w="1207" w:type="pct"/>
            <w:tcBorders>
              <w:top w:val="nil"/>
              <w:left w:val="nil"/>
              <w:bottom w:val="nil"/>
              <w:right w:val="nil"/>
            </w:tcBorders>
          </w:tcPr>
          <w:p w14:paraId="40E4202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2017.year#3.month</w:t>
            </w:r>
          </w:p>
        </w:tc>
        <w:tc>
          <w:tcPr>
            <w:tcW w:w="580" w:type="pct"/>
            <w:tcBorders>
              <w:top w:val="nil"/>
              <w:left w:val="nil"/>
              <w:bottom w:val="nil"/>
              <w:right w:val="nil"/>
            </w:tcBorders>
          </w:tcPr>
          <w:p w14:paraId="0AB1E7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0.0616***</w:t>
            </w:r>
          </w:p>
        </w:tc>
        <w:tc>
          <w:tcPr>
            <w:tcW w:w="948" w:type="pct"/>
            <w:tcBorders>
              <w:top w:val="nil"/>
              <w:left w:val="nil"/>
              <w:bottom w:val="nil"/>
              <w:right w:val="nil"/>
            </w:tcBorders>
          </w:tcPr>
          <w:p w14:paraId="661A9F8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0.0695***</w:t>
            </w:r>
          </w:p>
        </w:tc>
        <w:tc>
          <w:tcPr>
            <w:tcW w:w="707" w:type="pct"/>
            <w:tcBorders>
              <w:top w:val="nil"/>
              <w:left w:val="nil"/>
              <w:bottom w:val="nil"/>
              <w:right w:val="nil"/>
            </w:tcBorders>
          </w:tcPr>
          <w:p w14:paraId="2666B5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0.0489***</w:t>
            </w:r>
          </w:p>
        </w:tc>
        <w:tc>
          <w:tcPr>
            <w:tcW w:w="831" w:type="pct"/>
            <w:tcBorders>
              <w:top w:val="nil"/>
              <w:left w:val="nil"/>
              <w:bottom w:val="nil"/>
              <w:right w:val="nil"/>
            </w:tcBorders>
          </w:tcPr>
          <w:p w14:paraId="4D44C6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0.0575***</w:t>
            </w:r>
          </w:p>
        </w:tc>
        <w:tc>
          <w:tcPr>
            <w:tcW w:w="726" w:type="pct"/>
            <w:tcBorders>
              <w:top w:val="nil"/>
              <w:left w:val="nil"/>
              <w:bottom w:val="nil"/>
              <w:right w:val="nil"/>
            </w:tcBorders>
          </w:tcPr>
          <w:p w14:paraId="6280CD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0.0304</w:t>
            </w:r>
          </w:p>
        </w:tc>
      </w:tr>
      <w:tr w:rsidR="00F00E3D" w:rsidRPr="00335312" w14:paraId="43226538" w14:textId="77777777" w:rsidTr="009B2FA7">
        <w:trPr>
          <w:jc w:val="center"/>
        </w:trPr>
        <w:tc>
          <w:tcPr>
            <w:tcW w:w="1207" w:type="pct"/>
            <w:tcBorders>
              <w:top w:val="nil"/>
              <w:left w:val="nil"/>
              <w:bottom w:val="nil"/>
              <w:right w:val="nil"/>
            </w:tcBorders>
          </w:tcPr>
          <w:p w14:paraId="0221CF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662B0A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(13.84)</w:t>
            </w:r>
          </w:p>
        </w:tc>
        <w:tc>
          <w:tcPr>
            <w:tcW w:w="948" w:type="pct"/>
            <w:tcBorders>
              <w:top w:val="nil"/>
              <w:left w:val="nil"/>
              <w:bottom w:val="nil"/>
              <w:right w:val="nil"/>
            </w:tcBorders>
          </w:tcPr>
          <w:p w14:paraId="1C3D0C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(18.22)</w:t>
            </w:r>
          </w:p>
        </w:tc>
        <w:tc>
          <w:tcPr>
            <w:tcW w:w="707" w:type="pct"/>
            <w:tcBorders>
              <w:top w:val="nil"/>
              <w:left w:val="nil"/>
              <w:bottom w:val="nil"/>
              <w:right w:val="nil"/>
            </w:tcBorders>
          </w:tcPr>
          <w:p w14:paraId="6D26D8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(4.705)</w:t>
            </w:r>
          </w:p>
        </w:tc>
        <w:tc>
          <w:tcPr>
            <w:tcW w:w="831" w:type="pct"/>
            <w:tcBorders>
              <w:top w:val="nil"/>
              <w:left w:val="nil"/>
              <w:bottom w:val="nil"/>
              <w:right w:val="nil"/>
            </w:tcBorders>
          </w:tcPr>
          <w:p w14:paraId="06568E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(4.541)</w:t>
            </w:r>
          </w:p>
        </w:tc>
        <w:tc>
          <w:tcPr>
            <w:tcW w:w="726" w:type="pct"/>
            <w:tcBorders>
              <w:top w:val="nil"/>
              <w:left w:val="nil"/>
              <w:bottom w:val="nil"/>
              <w:right w:val="nil"/>
            </w:tcBorders>
          </w:tcPr>
          <w:p w14:paraId="41B11F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(0.976)</w:t>
            </w:r>
          </w:p>
        </w:tc>
      </w:tr>
      <w:tr w:rsidR="00F00E3D" w:rsidRPr="00335312" w14:paraId="43A41561" w14:textId="77777777" w:rsidTr="009B2FA7">
        <w:trPr>
          <w:jc w:val="center"/>
        </w:trPr>
        <w:tc>
          <w:tcPr>
            <w:tcW w:w="1207" w:type="pct"/>
            <w:tcBorders>
              <w:top w:val="nil"/>
              <w:left w:val="nil"/>
              <w:bottom w:val="nil"/>
              <w:right w:val="nil"/>
            </w:tcBorders>
          </w:tcPr>
          <w:p w14:paraId="1991EF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2017.year#4.month</w:t>
            </w:r>
          </w:p>
        </w:tc>
        <w:tc>
          <w:tcPr>
            <w:tcW w:w="580" w:type="pct"/>
            <w:tcBorders>
              <w:top w:val="nil"/>
              <w:left w:val="nil"/>
              <w:bottom w:val="nil"/>
              <w:right w:val="nil"/>
            </w:tcBorders>
          </w:tcPr>
          <w:p w14:paraId="0EAE6E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0.0649***</w:t>
            </w:r>
          </w:p>
        </w:tc>
        <w:tc>
          <w:tcPr>
            <w:tcW w:w="948" w:type="pct"/>
            <w:tcBorders>
              <w:top w:val="nil"/>
              <w:left w:val="nil"/>
              <w:bottom w:val="nil"/>
              <w:right w:val="nil"/>
            </w:tcBorders>
          </w:tcPr>
          <w:p w14:paraId="54D02EA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0.0746***</w:t>
            </w:r>
          </w:p>
        </w:tc>
        <w:tc>
          <w:tcPr>
            <w:tcW w:w="707" w:type="pct"/>
            <w:tcBorders>
              <w:top w:val="nil"/>
              <w:left w:val="nil"/>
              <w:bottom w:val="nil"/>
              <w:right w:val="nil"/>
            </w:tcBorders>
          </w:tcPr>
          <w:p w14:paraId="519BC1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0.0486***</w:t>
            </w:r>
          </w:p>
        </w:tc>
        <w:tc>
          <w:tcPr>
            <w:tcW w:w="831" w:type="pct"/>
            <w:tcBorders>
              <w:top w:val="nil"/>
              <w:left w:val="nil"/>
              <w:bottom w:val="nil"/>
              <w:right w:val="nil"/>
            </w:tcBorders>
          </w:tcPr>
          <w:p w14:paraId="5F5CE6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0.0545***</w:t>
            </w:r>
          </w:p>
        </w:tc>
        <w:tc>
          <w:tcPr>
            <w:tcW w:w="726" w:type="pct"/>
            <w:tcBorders>
              <w:top w:val="nil"/>
              <w:left w:val="nil"/>
              <w:bottom w:val="nil"/>
              <w:right w:val="nil"/>
            </w:tcBorders>
          </w:tcPr>
          <w:p w14:paraId="0A0D84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0.0515</w:t>
            </w:r>
          </w:p>
        </w:tc>
      </w:tr>
      <w:tr w:rsidR="00F00E3D" w:rsidRPr="00335312" w14:paraId="7E9903AA" w14:textId="77777777" w:rsidTr="009B2FA7">
        <w:trPr>
          <w:jc w:val="center"/>
        </w:trPr>
        <w:tc>
          <w:tcPr>
            <w:tcW w:w="1207" w:type="pct"/>
            <w:tcBorders>
              <w:top w:val="nil"/>
              <w:left w:val="nil"/>
              <w:bottom w:val="nil"/>
              <w:right w:val="nil"/>
            </w:tcBorders>
          </w:tcPr>
          <w:p w14:paraId="08D50E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7099D2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(12.76)</w:t>
            </w:r>
          </w:p>
        </w:tc>
        <w:tc>
          <w:tcPr>
            <w:tcW w:w="948" w:type="pct"/>
            <w:tcBorders>
              <w:top w:val="nil"/>
              <w:left w:val="nil"/>
              <w:bottom w:val="nil"/>
              <w:right w:val="nil"/>
            </w:tcBorders>
          </w:tcPr>
          <w:p w14:paraId="583F03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(16.08)</w:t>
            </w:r>
          </w:p>
        </w:tc>
        <w:tc>
          <w:tcPr>
            <w:tcW w:w="707" w:type="pct"/>
            <w:tcBorders>
              <w:top w:val="nil"/>
              <w:left w:val="nil"/>
              <w:bottom w:val="nil"/>
              <w:right w:val="nil"/>
            </w:tcBorders>
          </w:tcPr>
          <w:p w14:paraId="04717C2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(4.563)</w:t>
            </w:r>
          </w:p>
        </w:tc>
        <w:tc>
          <w:tcPr>
            <w:tcW w:w="831" w:type="pct"/>
            <w:tcBorders>
              <w:top w:val="nil"/>
              <w:left w:val="nil"/>
              <w:bottom w:val="nil"/>
              <w:right w:val="nil"/>
            </w:tcBorders>
          </w:tcPr>
          <w:p w14:paraId="10B59F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(2.919)</w:t>
            </w:r>
          </w:p>
        </w:tc>
        <w:tc>
          <w:tcPr>
            <w:tcW w:w="726" w:type="pct"/>
            <w:tcBorders>
              <w:top w:val="nil"/>
              <w:left w:val="nil"/>
              <w:bottom w:val="nil"/>
              <w:right w:val="nil"/>
            </w:tcBorders>
          </w:tcPr>
          <w:p w14:paraId="22ADBF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(2.299)</w:t>
            </w:r>
          </w:p>
        </w:tc>
      </w:tr>
      <w:tr w:rsidR="00F00E3D" w:rsidRPr="00335312" w14:paraId="3FF3581F" w14:textId="77777777" w:rsidTr="009B2FA7">
        <w:trPr>
          <w:jc w:val="center"/>
        </w:trPr>
        <w:tc>
          <w:tcPr>
            <w:tcW w:w="1207" w:type="pct"/>
            <w:tcBorders>
              <w:top w:val="nil"/>
              <w:left w:val="nil"/>
              <w:bottom w:val="nil"/>
              <w:right w:val="nil"/>
            </w:tcBorders>
          </w:tcPr>
          <w:p w14:paraId="4F2E93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2017.year#5.month</w:t>
            </w:r>
          </w:p>
        </w:tc>
        <w:tc>
          <w:tcPr>
            <w:tcW w:w="580" w:type="pct"/>
            <w:tcBorders>
              <w:top w:val="nil"/>
              <w:left w:val="nil"/>
              <w:bottom w:val="nil"/>
              <w:right w:val="nil"/>
            </w:tcBorders>
          </w:tcPr>
          <w:p w14:paraId="48D7FA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0.0642***</w:t>
            </w:r>
          </w:p>
        </w:tc>
        <w:tc>
          <w:tcPr>
            <w:tcW w:w="948" w:type="pct"/>
            <w:tcBorders>
              <w:top w:val="nil"/>
              <w:left w:val="nil"/>
              <w:bottom w:val="nil"/>
              <w:right w:val="nil"/>
            </w:tcBorders>
          </w:tcPr>
          <w:p w14:paraId="20C4186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0.0727***</w:t>
            </w:r>
          </w:p>
        </w:tc>
        <w:tc>
          <w:tcPr>
            <w:tcW w:w="707" w:type="pct"/>
            <w:tcBorders>
              <w:top w:val="nil"/>
              <w:left w:val="nil"/>
              <w:bottom w:val="nil"/>
              <w:right w:val="nil"/>
            </w:tcBorders>
          </w:tcPr>
          <w:p w14:paraId="1DE8B0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0.0485***</w:t>
            </w:r>
          </w:p>
        </w:tc>
        <w:tc>
          <w:tcPr>
            <w:tcW w:w="831" w:type="pct"/>
            <w:tcBorders>
              <w:top w:val="nil"/>
              <w:left w:val="nil"/>
              <w:bottom w:val="nil"/>
              <w:right w:val="nil"/>
            </w:tcBorders>
          </w:tcPr>
          <w:p w14:paraId="02D2DD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0.0563***</w:t>
            </w:r>
          </w:p>
        </w:tc>
        <w:tc>
          <w:tcPr>
            <w:tcW w:w="726" w:type="pct"/>
            <w:tcBorders>
              <w:top w:val="nil"/>
              <w:left w:val="nil"/>
              <w:bottom w:val="nil"/>
              <w:right w:val="nil"/>
            </w:tcBorders>
          </w:tcPr>
          <w:p w14:paraId="6E8A05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0.0383</w:t>
            </w:r>
          </w:p>
        </w:tc>
      </w:tr>
      <w:tr w:rsidR="00F00E3D" w:rsidRPr="00335312" w14:paraId="36B1EF89" w14:textId="77777777" w:rsidTr="009B2FA7">
        <w:trPr>
          <w:jc w:val="center"/>
        </w:trPr>
        <w:tc>
          <w:tcPr>
            <w:tcW w:w="1207" w:type="pct"/>
            <w:tcBorders>
              <w:top w:val="nil"/>
              <w:left w:val="nil"/>
              <w:bottom w:val="nil"/>
              <w:right w:val="nil"/>
            </w:tcBorders>
          </w:tcPr>
          <w:p w14:paraId="758870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0E4B3DC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(16.52)</w:t>
            </w:r>
          </w:p>
        </w:tc>
        <w:tc>
          <w:tcPr>
            <w:tcW w:w="948" w:type="pct"/>
            <w:tcBorders>
              <w:top w:val="nil"/>
              <w:left w:val="nil"/>
              <w:bottom w:val="nil"/>
              <w:right w:val="nil"/>
            </w:tcBorders>
          </w:tcPr>
          <w:p w14:paraId="778D082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(15.72)</w:t>
            </w:r>
          </w:p>
        </w:tc>
        <w:tc>
          <w:tcPr>
            <w:tcW w:w="707" w:type="pct"/>
            <w:tcBorders>
              <w:top w:val="nil"/>
              <w:left w:val="nil"/>
              <w:bottom w:val="nil"/>
              <w:right w:val="nil"/>
            </w:tcBorders>
          </w:tcPr>
          <w:p w14:paraId="787DAC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(7.428)</w:t>
            </w:r>
          </w:p>
        </w:tc>
        <w:tc>
          <w:tcPr>
            <w:tcW w:w="831" w:type="pct"/>
            <w:tcBorders>
              <w:top w:val="nil"/>
              <w:left w:val="nil"/>
              <w:bottom w:val="nil"/>
              <w:right w:val="nil"/>
            </w:tcBorders>
          </w:tcPr>
          <w:p w14:paraId="085D49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(3.458)</w:t>
            </w:r>
          </w:p>
        </w:tc>
        <w:tc>
          <w:tcPr>
            <w:tcW w:w="726" w:type="pct"/>
            <w:tcBorders>
              <w:top w:val="nil"/>
              <w:left w:val="nil"/>
              <w:bottom w:val="nil"/>
              <w:right w:val="nil"/>
            </w:tcBorders>
          </w:tcPr>
          <w:p w14:paraId="7DE78A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(1.655)</w:t>
            </w:r>
          </w:p>
        </w:tc>
      </w:tr>
      <w:tr w:rsidR="00F00E3D" w:rsidRPr="00335312" w14:paraId="045AF248" w14:textId="77777777" w:rsidTr="009B2FA7">
        <w:trPr>
          <w:jc w:val="center"/>
        </w:trPr>
        <w:tc>
          <w:tcPr>
            <w:tcW w:w="1207" w:type="pct"/>
            <w:tcBorders>
              <w:top w:val="nil"/>
              <w:left w:val="nil"/>
              <w:bottom w:val="nil"/>
              <w:right w:val="nil"/>
            </w:tcBorders>
          </w:tcPr>
          <w:p w14:paraId="633F37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2017.year#6.month</w:t>
            </w:r>
          </w:p>
        </w:tc>
        <w:tc>
          <w:tcPr>
            <w:tcW w:w="580" w:type="pct"/>
            <w:tcBorders>
              <w:top w:val="nil"/>
              <w:left w:val="nil"/>
              <w:bottom w:val="nil"/>
              <w:right w:val="nil"/>
            </w:tcBorders>
          </w:tcPr>
          <w:p w14:paraId="0B5090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0.0648***</w:t>
            </w:r>
          </w:p>
        </w:tc>
        <w:tc>
          <w:tcPr>
            <w:tcW w:w="948" w:type="pct"/>
            <w:tcBorders>
              <w:top w:val="nil"/>
              <w:left w:val="nil"/>
              <w:bottom w:val="nil"/>
              <w:right w:val="nil"/>
            </w:tcBorders>
          </w:tcPr>
          <w:p w14:paraId="2CCA3A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0.0728***</w:t>
            </w:r>
          </w:p>
        </w:tc>
        <w:tc>
          <w:tcPr>
            <w:tcW w:w="707" w:type="pct"/>
            <w:tcBorders>
              <w:top w:val="nil"/>
              <w:left w:val="nil"/>
              <w:bottom w:val="nil"/>
              <w:right w:val="nil"/>
            </w:tcBorders>
          </w:tcPr>
          <w:p w14:paraId="6534EB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0.0484***</w:t>
            </w:r>
          </w:p>
        </w:tc>
        <w:tc>
          <w:tcPr>
            <w:tcW w:w="831" w:type="pct"/>
            <w:tcBorders>
              <w:top w:val="nil"/>
              <w:left w:val="nil"/>
              <w:bottom w:val="nil"/>
              <w:right w:val="nil"/>
            </w:tcBorders>
          </w:tcPr>
          <w:p w14:paraId="3A3E0A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0.0645***</w:t>
            </w:r>
          </w:p>
        </w:tc>
        <w:tc>
          <w:tcPr>
            <w:tcW w:w="726" w:type="pct"/>
            <w:tcBorders>
              <w:top w:val="nil"/>
              <w:left w:val="nil"/>
              <w:bottom w:val="nil"/>
              <w:right w:val="nil"/>
            </w:tcBorders>
          </w:tcPr>
          <w:p w14:paraId="791DB9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0.0681</w:t>
            </w:r>
          </w:p>
        </w:tc>
      </w:tr>
      <w:tr w:rsidR="00F00E3D" w:rsidRPr="00335312" w14:paraId="74B82CCE" w14:textId="77777777" w:rsidTr="009B2FA7">
        <w:trPr>
          <w:jc w:val="center"/>
        </w:trPr>
        <w:tc>
          <w:tcPr>
            <w:tcW w:w="1207" w:type="pct"/>
            <w:tcBorders>
              <w:top w:val="nil"/>
              <w:left w:val="nil"/>
              <w:bottom w:val="nil"/>
              <w:right w:val="nil"/>
            </w:tcBorders>
          </w:tcPr>
          <w:p w14:paraId="300D5AE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0B64D9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(17.65)</w:t>
            </w:r>
          </w:p>
        </w:tc>
        <w:tc>
          <w:tcPr>
            <w:tcW w:w="948" w:type="pct"/>
            <w:tcBorders>
              <w:top w:val="nil"/>
              <w:left w:val="nil"/>
              <w:bottom w:val="nil"/>
              <w:right w:val="nil"/>
            </w:tcBorders>
          </w:tcPr>
          <w:p w14:paraId="36F933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(17.19)</w:t>
            </w:r>
          </w:p>
        </w:tc>
        <w:tc>
          <w:tcPr>
            <w:tcW w:w="707" w:type="pct"/>
            <w:tcBorders>
              <w:top w:val="nil"/>
              <w:left w:val="nil"/>
              <w:bottom w:val="nil"/>
              <w:right w:val="nil"/>
            </w:tcBorders>
          </w:tcPr>
          <w:p w14:paraId="113F8F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(7.365)</w:t>
            </w:r>
          </w:p>
        </w:tc>
        <w:tc>
          <w:tcPr>
            <w:tcW w:w="831" w:type="pct"/>
            <w:tcBorders>
              <w:top w:val="nil"/>
              <w:left w:val="nil"/>
              <w:bottom w:val="nil"/>
              <w:right w:val="nil"/>
            </w:tcBorders>
          </w:tcPr>
          <w:p w14:paraId="4E6913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(3.932)</w:t>
            </w:r>
          </w:p>
        </w:tc>
        <w:tc>
          <w:tcPr>
            <w:tcW w:w="726" w:type="pct"/>
            <w:tcBorders>
              <w:top w:val="nil"/>
              <w:left w:val="nil"/>
              <w:bottom w:val="nil"/>
              <w:right w:val="nil"/>
            </w:tcBorders>
          </w:tcPr>
          <w:p w14:paraId="30136F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(2.120)</w:t>
            </w:r>
          </w:p>
        </w:tc>
      </w:tr>
      <w:tr w:rsidR="00F00E3D" w:rsidRPr="00335312" w14:paraId="6901A960" w14:textId="77777777" w:rsidTr="009B2FA7">
        <w:trPr>
          <w:jc w:val="center"/>
        </w:trPr>
        <w:tc>
          <w:tcPr>
            <w:tcW w:w="1207" w:type="pct"/>
            <w:tcBorders>
              <w:top w:val="nil"/>
              <w:left w:val="nil"/>
              <w:bottom w:val="nil"/>
              <w:right w:val="nil"/>
            </w:tcBorders>
          </w:tcPr>
          <w:p w14:paraId="589BD6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2017.year#7.month</w:t>
            </w:r>
          </w:p>
        </w:tc>
        <w:tc>
          <w:tcPr>
            <w:tcW w:w="580" w:type="pct"/>
            <w:tcBorders>
              <w:top w:val="nil"/>
              <w:left w:val="nil"/>
              <w:bottom w:val="nil"/>
              <w:right w:val="nil"/>
            </w:tcBorders>
          </w:tcPr>
          <w:p w14:paraId="6D8B07D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0.0643***</w:t>
            </w:r>
          </w:p>
        </w:tc>
        <w:tc>
          <w:tcPr>
            <w:tcW w:w="948" w:type="pct"/>
            <w:tcBorders>
              <w:top w:val="nil"/>
              <w:left w:val="nil"/>
              <w:bottom w:val="nil"/>
              <w:right w:val="nil"/>
            </w:tcBorders>
          </w:tcPr>
          <w:p w14:paraId="09B815B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0.0708***</w:t>
            </w:r>
          </w:p>
        </w:tc>
        <w:tc>
          <w:tcPr>
            <w:tcW w:w="707" w:type="pct"/>
            <w:tcBorders>
              <w:top w:val="nil"/>
              <w:left w:val="nil"/>
              <w:bottom w:val="nil"/>
              <w:right w:val="nil"/>
            </w:tcBorders>
          </w:tcPr>
          <w:p w14:paraId="76254B2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0.0506***</w:t>
            </w:r>
          </w:p>
        </w:tc>
        <w:tc>
          <w:tcPr>
            <w:tcW w:w="831" w:type="pct"/>
            <w:tcBorders>
              <w:top w:val="nil"/>
              <w:left w:val="nil"/>
              <w:bottom w:val="nil"/>
              <w:right w:val="nil"/>
            </w:tcBorders>
          </w:tcPr>
          <w:p w14:paraId="0FC193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0.0557***</w:t>
            </w:r>
          </w:p>
        </w:tc>
        <w:tc>
          <w:tcPr>
            <w:tcW w:w="726" w:type="pct"/>
            <w:tcBorders>
              <w:top w:val="nil"/>
              <w:left w:val="nil"/>
              <w:bottom w:val="nil"/>
              <w:right w:val="nil"/>
            </w:tcBorders>
          </w:tcPr>
          <w:p w14:paraId="1056B2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0.0808</w:t>
            </w:r>
          </w:p>
        </w:tc>
      </w:tr>
      <w:tr w:rsidR="00F00E3D" w:rsidRPr="00335312" w14:paraId="562B3C44" w14:textId="77777777" w:rsidTr="009B2FA7">
        <w:trPr>
          <w:jc w:val="center"/>
        </w:trPr>
        <w:tc>
          <w:tcPr>
            <w:tcW w:w="1207" w:type="pct"/>
            <w:tcBorders>
              <w:top w:val="nil"/>
              <w:left w:val="nil"/>
              <w:bottom w:val="nil"/>
              <w:right w:val="nil"/>
            </w:tcBorders>
          </w:tcPr>
          <w:p w14:paraId="7FCBBD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62F4B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(17.08)</w:t>
            </w:r>
          </w:p>
        </w:tc>
        <w:tc>
          <w:tcPr>
            <w:tcW w:w="948" w:type="pct"/>
            <w:tcBorders>
              <w:top w:val="nil"/>
              <w:left w:val="nil"/>
              <w:bottom w:val="nil"/>
              <w:right w:val="nil"/>
            </w:tcBorders>
          </w:tcPr>
          <w:p w14:paraId="1F68AC1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(16.08)</w:t>
            </w:r>
          </w:p>
        </w:tc>
        <w:tc>
          <w:tcPr>
            <w:tcW w:w="707" w:type="pct"/>
            <w:tcBorders>
              <w:top w:val="nil"/>
              <w:left w:val="nil"/>
              <w:bottom w:val="nil"/>
              <w:right w:val="nil"/>
            </w:tcBorders>
          </w:tcPr>
          <w:p w14:paraId="0D9F47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(7.531)</w:t>
            </w:r>
          </w:p>
        </w:tc>
        <w:tc>
          <w:tcPr>
            <w:tcW w:w="831" w:type="pct"/>
            <w:tcBorders>
              <w:top w:val="nil"/>
              <w:left w:val="nil"/>
              <w:bottom w:val="nil"/>
              <w:right w:val="nil"/>
            </w:tcBorders>
          </w:tcPr>
          <w:p w14:paraId="327B3C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(2.939)</w:t>
            </w:r>
          </w:p>
        </w:tc>
        <w:tc>
          <w:tcPr>
            <w:tcW w:w="726" w:type="pct"/>
            <w:tcBorders>
              <w:top w:val="nil"/>
              <w:left w:val="nil"/>
              <w:bottom w:val="nil"/>
              <w:right w:val="nil"/>
            </w:tcBorders>
          </w:tcPr>
          <w:p w14:paraId="3CD1C2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(2.822)</w:t>
            </w:r>
          </w:p>
        </w:tc>
      </w:tr>
      <w:tr w:rsidR="00F00E3D" w:rsidRPr="00335312" w14:paraId="53752ED4" w14:textId="77777777" w:rsidTr="009B2FA7">
        <w:trPr>
          <w:jc w:val="center"/>
        </w:trPr>
        <w:tc>
          <w:tcPr>
            <w:tcW w:w="1207" w:type="pct"/>
            <w:tcBorders>
              <w:top w:val="nil"/>
              <w:left w:val="nil"/>
              <w:bottom w:val="nil"/>
              <w:right w:val="nil"/>
            </w:tcBorders>
          </w:tcPr>
          <w:p w14:paraId="53B3D7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2017.year#8.month</w:t>
            </w:r>
          </w:p>
        </w:tc>
        <w:tc>
          <w:tcPr>
            <w:tcW w:w="580" w:type="pct"/>
            <w:tcBorders>
              <w:top w:val="nil"/>
              <w:left w:val="nil"/>
              <w:bottom w:val="nil"/>
              <w:right w:val="nil"/>
            </w:tcBorders>
          </w:tcPr>
          <w:p w14:paraId="357101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0.0645***</w:t>
            </w:r>
          </w:p>
        </w:tc>
        <w:tc>
          <w:tcPr>
            <w:tcW w:w="948" w:type="pct"/>
            <w:tcBorders>
              <w:top w:val="nil"/>
              <w:left w:val="nil"/>
              <w:bottom w:val="nil"/>
              <w:right w:val="nil"/>
            </w:tcBorders>
          </w:tcPr>
          <w:p w14:paraId="4B5B7A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0.0719***</w:t>
            </w:r>
          </w:p>
        </w:tc>
        <w:tc>
          <w:tcPr>
            <w:tcW w:w="707" w:type="pct"/>
            <w:tcBorders>
              <w:top w:val="nil"/>
              <w:left w:val="nil"/>
              <w:bottom w:val="nil"/>
              <w:right w:val="nil"/>
            </w:tcBorders>
          </w:tcPr>
          <w:p w14:paraId="0F87F8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0.0488***</w:t>
            </w:r>
          </w:p>
        </w:tc>
        <w:tc>
          <w:tcPr>
            <w:tcW w:w="831" w:type="pct"/>
            <w:tcBorders>
              <w:top w:val="nil"/>
              <w:left w:val="nil"/>
              <w:bottom w:val="nil"/>
              <w:right w:val="nil"/>
            </w:tcBorders>
          </w:tcPr>
          <w:p w14:paraId="6E485F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0.0561***</w:t>
            </w:r>
          </w:p>
        </w:tc>
        <w:tc>
          <w:tcPr>
            <w:tcW w:w="726" w:type="pct"/>
            <w:tcBorders>
              <w:top w:val="nil"/>
              <w:left w:val="nil"/>
              <w:bottom w:val="nil"/>
              <w:right w:val="nil"/>
            </w:tcBorders>
          </w:tcPr>
          <w:p w14:paraId="69789E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0.0651*</w:t>
            </w:r>
          </w:p>
        </w:tc>
      </w:tr>
      <w:tr w:rsidR="00F00E3D" w:rsidRPr="00335312" w14:paraId="7CCEBB98" w14:textId="77777777" w:rsidTr="009B2FA7">
        <w:trPr>
          <w:jc w:val="center"/>
        </w:trPr>
        <w:tc>
          <w:tcPr>
            <w:tcW w:w="1207" w:type="pct"/>
            <w:tcBorders>
              <w:top w:val="nil"/>
              <w:left w:val="nil"/>
              <w:bottom w:val="nil"/>
              <w:right w:val="nil"/>
            </w:tcBorders>
          </w:tcPr>
          <w:p w14:paraId="519261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77A871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(18.14)</w:t>
            </w:r>
          </w:p>
        </w:tc>
        <w:tc>
          <w:tcPr>
            <w:tcW w:w="948" w:type="pct"/>
            <w:tcBorders>
              <w:top w:val="nil"/>
              <w:left w:val="nil"/>
              <w:bottom w:val="nil"/>
              <w:right w:val="nil"/>
            </w:tcBorders>
          </w:tcPr>
          <w:p w14:paraId="14261B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(17.43)</w:t>
            </w:r>
          </w:p>
        </w:tc>
        <w:tc>
          <w:tcPr>
            <w:tcW w:w="707" w:type="pct"/>
            <w:tcBorders>
              <w:top w:val="nil"/>
              <w:left w:val="nil"/>
              <w:bottom w:val="nil"/>
              <w:right w:val="nil"/>
            </w:tcBorders>
          </w:tcPr>
          <w:p w14:paraId="1504AD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(7.788)</w:t>
            </w:r>
          </w:p>
        </w:tc>
        <w:tc>
          <w:tcPr>
            <w:tcW w:w="831" w:type="pct"/>
            <w:tcBorders>
              <w:top w:val="nil"/>
              <w:left w:val="nil"/>
              <w:bottom w:val="nil"/>
              <w:right w:val="nil"/>
            </w:tcBorders>
          </w:tcPr>
          <w:p w14:paraId="6F8042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(3.905)</w:t>
            </w:r>
          </w:p>
        </w:tc>
        <w:tc>
          <w:tcPr>
            <w:tcW w:w="726" w:type="pct"/>
            <w:tcBorders>
              <w:top w:val="nil"/>
              <w:left w:val="nil"/>
              <w:bottom w:val="nil"/>
              <w:right w:val="nil"/>
            </w:tcBorders>
          </w:tcPr>
          <w:p w14:paraId="26754B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(3.016)</w:t>
            </w:r>
          </w:p>
        </w:tc>
      </w:tr>
      <w:tr w:rsidR="00F00E3D" w:rsidRPr="00335312" w14:paraId="586462D5" w14:textId="77777777" w:rsidTr="009B2FA7">
        <w:trPr>
          <w:jc w:val="center"/>
        </w:trPr>
        <w:tc>
          <w:tcPr>
            <w:tcW w:w="1207" w:type="pct"/>
            <w:tcBorders>
              <w:top w:val="nil"/>
              <w:left w:val="nil"/>
              <w:bottom w:val="nil"/>
              <w:right w:val="nil"/>
            </w:tcBorders>
          </w:tcPr>
          <w:p w14:paraId="21FFBB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2017.year#9.month</w:t>
            </w:r>
          </w:p>
        </w:tc>
        <w:tc>
          <w:tcPr>
            <w:tcW w:w="580" w:type="pct"/>
            <w:tcBorders>
              <w:top w:val="nil"/>
              <w:left w:val="nil"/>
              <w:bottom w:val="nil"/>
              <w:right w:val="nil"/>
            </w:tcBorders>
          </w:tcPr>
          <w:p w14:paraId="6AC0F6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0.0652***</w:t>
            </w:r>
          </w:p>
        </w:tc>
        <w:tc>
          <w:tcPr>
            <w:tcW w:w="948" w:type="pct"/>
            <w:tcBorders>
              <w:top w:val="nil"/>
              <w:left w:val="nil"/>
              <w:bottom w:val="nil"/>
              <w:right w:val="nil"/>
            </w:tcBorders>
          </w:tcPr>
          <w:p w14:paraId="07BD66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0.0674***</w:t>
            </w:r>
          </w:p>
        </w:tc>
        <w:tc>
          <w:tcPr>
            <w:tcW w:w="707" w:type="pct"/>
            <w:tcBorders>
              <w:top w:val="nil"/>
              <w:left w:val="nil"/>
              <w:bottom w:val="nil"/>
              <w:right w:val="nil"/>
            </w:tcBorders>
          </w:tcPr>
          <w:p w14:paraId="081488E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0.0600***</w:t>
            </w:r>
          </w:p>
        </w:tc>
        <w:tc>
          <w:tcPr>
            <w:tcW w:w="831" w:type="pct"/>
            <w:tcBorders>
              <w:top w:val="nil"/>
              <w:left w:val="nil"/>
              <w:bottom w:val="nil"/>
              <w:right w:val="nil"/>
            </w:tcBorders>
          </w:tcPr>
          <w:p w14:paraId="16D45F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0.0605***</w:t>
            </w:r>
          </w:p>
        </w:tc>
        <w:tc>
          <w:tcPr>
            <w:tcW w:w="726" w:type="pct"/>
            <w:tcBorders>
              <w:top w:val="nil"/>
              <w:left w:val="nil"/>
              <w:bottom w:val="nil"/>
              <w:right w:val="nil"/>
            </w:tcBorders>
          </w:tcPr>
          <w:p w14:paraId="6C6E23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0.0646</w:t>
            </w:r>
          </w:p>
        </w:tc>
      </w:tr>
      <w:tr w:rsidR="00F00E3D" w:rsidRPr="00335312" w14:paraId="354DD730" w14:textId="77777777" w:rsidTr="009B2FA7">
        <w:trPr>
          <w:jc w:val="center"/>
        </w:trPr>
        <w:tc>
          <w:tcPr>
            <w:tcW w:w="1207" w:type="pct"/>
            <w:tcBorders>
              <w:top w:val="nil"/>
              <w:left w:val="nil"/>
              <w:bottom w:val="nil"/>
              <w:right w:val="nil"/>
            </w:tcBorders>
          </w:tcPr>
          <w:p w14:paraId="1E3060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0EFB6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(17.67)</w:t>
            </w:r>
          </w:p>
        </w:tc>
        <w:tc>
          <w:tcPr>
            <w:tcW w:w="948" w:type="pct"/>
            <w:tcBorders>
              <w:top w:val="nil"/>
              <w:left w:val="nil"/>
              <w:bottom w:val="nil"/>
              <w:right w:val="nil"/>
            </w:tcBorders>
          </w:tcPr>
          <w:p w14:paraId="474A46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(15.47)</w:t>
            </w:r>
          </w:p>
        </w:tc>
        <w:tc>
          <w:tcPr>
            <w:tcW w:w="707" w:type="pct"/>
            <w:tcBorders>
              <w:top w:val="nil"/>
              <w:left w:val="nil"/>
              <w:bottom w:val="nil"/>
              <w:right w:val="nil"/>
            </w:tcBorders>
          </w:tcPr>
          <w:p w14:paraId="076FDA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(8.905)</w:t>
            </w:r>
          </w:p>
        </w:tc>
        <w:tc>
          <w:tcPr>
            <w:tcW w:w="831" w:type="pct"/>
            <w:tcBorders>
              <w:top w:val="nil"/>
              <w:left w:val="nil"/>
              <w:bottom w:val="nil"/>
              <w:right w:val="nil"/>
            </w:tcBorders>
          </w:tcPr>
          <w:p w14:paraId="692F09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(4.505)</w:t>
            </w:r>
          </w:p>
        </w:tc>
        <w:tc>
          <w:tcPr>
            <w:tcW w:w="726" w:type="pct"/>
            <w:tcBorders>
              <w:top w:val="nil"/>
              <w:left w:val="nil"/>
              <w:bottom w:val="nil"/>
              <w:right w:val="nil"/>
            </w:tcBorders>
          </w:tcPr>
          <w:p w14:paraId="4C856A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(2.296)</w:t>
            </w:r>
          </w:p>
        </w:tc>
      </w:tr>
      <w:tr w:rsidR="00F00E3D" w:rsidRPr="00335312" w14:paraId="2D8B0F08" w14:textId="77777777" w:rsidTr="009B2FA7">
        <w:trPr>
          <w:jc w:val="center"/>
        </w:trPr>
        <w:tc>
          <w:tcPr>
            <w:tcW w:w="1207" w:type="pct"/>
            <w:tcBorders>
              <w:top w:val="nil"/>
              <w:left w:val="nil"/>
              <w:bottom w:val="nil"/>
              <w:right w:val="nil"/>
            </w:tcBorders>
          </w:tcPr>
          <w:p w14:paraId="064513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2017.year#10.month</w:t>
            </w:r>
          </w:p>
        </w:tc>
        <w:tc>
          <w:tcPr>
            <w:tcW w:w="580" w:type="pct"/>
            <w:tcBorders>
              <w:top w:val="nil"/>
              <w:left w:val="nil"/>
              <w:bottom w:val="nil"/>
              <w:right w:val="nil"/>
            </w:tcBorders>
          </w:tcPr>
          <w:p w14:paraId="2314436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0.0663***</w:t>
            </w:r>
          </w:p>
        </w:tc>
        <w:tc>
          <w:tcPr>
            <w:tcW w:w="948" w:type="pct"/>
            <w:tcBorders>
              <w:top w:val="nil"/>
              <w:left w:val="nil"/>
              <w:bottom w:val="nil"/>
              <w:right w:val="nil"/>
            </w:tcBorders>
          </w:tcPr>
          <w:p w14:paraId="5B6ADA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0.0717***</w:t>
            </w:r>
          </w:p>
        </w:tc>
        <w:tc>
          <w:tcPr>
            <w:tcW w:w="707" w:type="pct"/>
            <w:tcBorders>
              <w:top w:val="nil"/>
              <w:left w:val="nil"/>
              <w:bottom w:val="nil"/>
              <w:right w:val="nil"/>
            </w:tcBorders>
          </w:tcPr>
          <w:p w14:paraId="2D5210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0.0561***</w:t>
            </w:r>
          </w:p>
        </w:tc>
        <w:tc>
          <w:tcPr>
            <w:tcW w:w="831" w:type="pct"/>
            <w:tcBorders>
              <w:top w:val="nil"/>
              <w:left w:val="nil"/>
              <w:bottom w:val="nil"/>
              <w:right w:val="nil"/>
            </w:tcBorders>
          </w:tcPr>
          <w:p w14:paraId="405F53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0.0734***</w:t>
            </w:r>
          </w:p>
        </w:tc>
        <w:tc>
          <w:tcPr>
            <w:tcW w:w="726" w:type="pct"/>
            <w:tcBorders>
              <w:top w:val="nil"/>
              <w:left w:val="nil"/>
              <w:bottom w:val="nil"/>
              <w:right w:val="nil"/>
            </w:tcBorders>
          </w:tcPr>
          <w:p w14:paraId="2413FA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0.0632</w:t>
            </w:r>
          </w:p>
        </w:tc>
      </w:tr>
      <w:tr w:rsidR="00F00E3D" w:rsidRPr="00335312" w14:paraId="45E1F50B" w14:textId="77777777" w:rsidTr="009B2FA7">
        <w:trPr>
          <w:jc w:val="center"/>
        </w:trPr>
        <w:tc>
          <w:tcPr>
            <w:tcW w:w="1207" w:type="pct"/>
            <w:tcBorders>
              <w:top w:val="nil"/>
              <w:left w:val="nil"/>
              <w:bottom w:val="nil"/>
              <w:right w:val="nil"/>
            </w:tcBorders>
          </w:tcPr>
          <w:p w14:paraId="4ACC62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1DE107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(18.32)</w:t>
            </w:r>
          </w:p>
        </w:tc>
        <w:tc>
          <w:tcPr>
            <w:tcW w:w="948" w:type="pct"/>
            <w:tcBorders>
              <w:top w:val="nil"/>
              <w:left w:val="nil"/>
              <w:bottom w:val="nil"/>
              <w:right w:val="nil"/>
            </w:tcBorders>
          </w:tcPr>
          <w:p w14:paraId="5CD6E3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(17.17)</w:t>
            </w:r>
          </w:p>
        </w:tc>
        <w:tc>
          <w:tcPr>
            <w:tcW w:w="707" w:type="pct"/>
            <w:tcBorders>
              <w:top w:val="nil"/>
              <w:left w:val="nil"/>
              <w:bottom w:val="nil"/>
              <w:right w:val="nil"/>
            </w:tcBorders>
          </w:tcPr>
          <w:p w14:paraId="3AF282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(8.559)</w:t>
            </w:r>
          </w:p>
        </w:tc>
        <w:tc>
          <w:tcPr>
            <w:tcW w:w="831" w:type="pct"/>
            <w:tcBorders>
              <w:top w:val="nil"/>
              <w:left w:val="nil"/>
              <w:bottom w:val="nil"/>
              <w:right w:val="nil"/>
            </w:tcBorders>
          </w:tcPr>
          <w:p w14:paraId="0482FB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(6.100)</w:t>
            </w:r>
          </w:p>
        </w:tc>
        <w:tc>
          <w:tcPr>
            <w:tcW w:w="726" w:type="pct"/>
            <w:tcBorders>
              <w:top w:val="nil"/>
              <w:left w:val="nil"/>
              <w:bottom w:val="nil"/>
              <w:right w:val="nil"/>
            </w:tcBorders>
          </w:tcPr>
          <w:p w14:paraId="2FED83B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(2.570)</w:t>
            </w:r>
          </w:p>
        </w:tc>
      </w:tr>
      <w:tr w:rsidR="00F00E3D" w:rsidRPr="00335312" w14:paraId="7106A582" w14:textId="77777777" w:rsidTr="009B2FA7">
        <w:trPr>
          <w:jc w:val="center"/>
        </w:trPr>
        <w:tc>
          <w:tcPr>
            <w:tcW w:w="1207" w:type="pct"/>
            <w:tcBorders>
              <w:top w:val="nil"/>
              <w:left w:val="nil"/>
              <w:bottom w:val="nil"/>
              <w:right w:val="nil"/>
            </w:tcBorders>
          </w:tcPr>
          <w:p w14:paraId="088275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2017.year#11.month</w:t>
            </w:r>
          </w:p>
        </w:tc>
        <w:tc>
          <w:tcPr>
            <w:tcW w:w="580" w:type="pct"/>
            <w:tcBorders>
              <w:top w:val="nil"/>
              <w:left w:val="nil"/>
              <w:bottom w:val="nil"/>
              <w:right w:val="nil"/>
            </w:tcBorders>
          </w:tcPr>
          <w:p w14:paraId="0FDD97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0.0744***</w:t>
            </w:r>
          </w:p>
        </w:tc>
        <w:tc>
          <w:tcPr>
            <w:tcW w:w="948" w:type="pct"/>
            <w:tcBorders>
              <w:top w:val="nil"/>
              <w:left w:val="nil"/>
              <w:bottom w:val="nil"/>
              <w:right w:val="nil"/>
            </w:tcBorders>
          </w:tcPr>
          <w:p w14:paraId="42FE69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0.0802***</w:t>
            </w:r>
          </w:p>
        </w:tc>
        <w:tc>
          <w:tcPr>
            <w:tcW w:w="707" w:type="pct"/>
            <w:tcBorders>
              <w:top w:val="nil"/>
              <w:left w:val="nil"/>
              <w:bottom w:val="nil"/>
              <w:right w:val="nil"/>
            </w:tcBorders>
          </w:tcPr>
          <w:p w14:paraId="352700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0.0628***</w:t>
            </w:r>
          </w:p>
        </w:tc>
        <w:tc>
          <w:tcPr>
            <w:tcW w:w="831" w:type="pct"/>
            <w:tcBorders>
              <w:top w:val="nil"/>
              <w:left w:val="nil"/>
              <w:bottom w:val="nil"/>
              <w:right w:val="nil"/>
            </w:tcBorders>
          </w:tcPr>
          <w:p w14:paraId="3454DF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0.0597***</w:t>
            </w:r>
          </w:p>
        </w:tc>
        <w:tc>
          <w:tcPr>
            <w:tcW w:w="726" w:type="pct"/>
            <w:tcBorders>
              <w:top w:val="nil"/>
              <w:left w:val="nil"/>
              <w:bottom w:val="nil"/>
              <w:right w:val="nil"/>
            </w:tcBorders>
          </w:tcPr>
          <w:p w14:paraId="372066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0.0741</w:t>
            </w:r>
          </w:p>
        </w:tc>
      </w:tr>
      <w:tr w:rsidR="00F00E3D" w:rsidRPr="00335312" w14:paraId="40DC48B1" w14:textId="77777777" w:rsidTr="009B2FA7">
        <w:trPr>
          <w:jc w:val="center"/>
        </w:trPr>
        <w:tc>
          <w:tcPr>
            <w:tcW w:w="1207" w:type="pct"/>
            <w:tcBorders>
              <w:top w:val="nil"/>
              <w:left w:val="nil"/>
              <w:bottom w:val="nil"/>
              <w:right w:val="nil"/>
            </w:tcBorders>
          </w:tcPr>
          <w:p w14:paraId="27086FB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09B304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(20.10)</w:t>
            </w:r>
          </w:p>
        </w:tc>
        <w:tc>
          <w:tcPr>
            <w:tcW w:w="948" w:type="pct"/>
            <w:tcBorders>
              <w:top w:val="nil"/>
              <w:left w:val="nil"/>
              <w:bottom w:val="nil"/>
              <w:right w:val="nil"/>
            </w:tcBorders>
          </w:tcPr>
          <w:p w14:paraId="33ADF8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(18.81)</w:t>
            </w:r>
          </w:p>
        </w:tc>
        <w:tc>
          <w:tcPr>
            <w:tcW w:w="707" w:type="pct"/>
            <w:tcBorders>
              <w:top w:val="nil"/>
              <w:left w:val="nil"/>
              <w:bottom w:val="nil"/>
              <w:right w:val="nil"/>
            </w:tcBorders>
          </w:tcPr>
          <w:p w14:paraId="341B7C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(9.411)</w:t>
            </w:r>
          </w:p>
        </w:tc>
        <w:tc>
          <w:tcPr>
            <w:tcW w:w="831" w:type="pct"/>
            <w:tcBorders>
              <w:top w:val="nil"/>
              <w:left w:val="nil"/>
              <w:bottom w:val="nil"/>
              <w:right w:val="nil"/>
            </w:tcBorders>
          </w:tcPr>
          <w:p w14:paraId="1D866A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(4.432)</w:t>
            </w:r>
          </w:p>
        </w:tc>
        <w:tc>
          <w:tcPr>
            <w:tcW w:w="726" w:type="pct"/>
            <w:tcBorders>
              <w:top w:val="nil"/>
              <w:left w:val="nil"/>
              <w:bottom w:val="nil"/>
              <w:right w:val="nil"/>
            </w:tcBorders>
          </w:tcPr>
          <w:p w14:paraId="48C176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(2.675)</w:t>
            </w:r>
          </w:p>
        </w:tc>
      </w:tr>
      <w:tr w:rsidR="00F00E3D" w:rsidRPr="00335312" w14:paraId="6A7DD0FD" w14:textId="77777777" w:rsidTr="009B2FA7">
        <w:trPr>
          <w:jc w:val="center"/>
        </w:trPr>
        <w:tc>
          <w:tcPr>
            <w:tcW w:w="1207" w:type="pct"/>
            <w:tcBorders>
              <w:top w:val="nil"/>
              <w:left w:val="nil"/>
              <w:bottom w:val="nil"/>
              <w:right w:val="nil"/>
            </w:tcBorders>
          </w:tcPr>
          <w:p w14:paraId="5DDD7D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2017.year#12.month</w:t>
            </w:r>
          </w:p>
        </w:tc>
        <w:tc>
          <w:tcPr>
            <w:tcW w:w="580" w:type="pct"/>
            <w:tcBorders>
              <w:top w:val="nil"/>
              <w:left w:val="nil"/>
              <w:bottom w:val="nil"/>
              <w:right w:val="nil"/>
            </w:tcBorders>
          </w:tcPr>
          <w:p w14:paraId="1518F1A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0.0745***</w:t>
            </w:r>
          </w:p>
        </w:tc>
        <w:tc>
          <w:tcPr>
            <w:tcW w:w="948" w:type="pct"/>
            <w:tcBorders>
              <w:top w:val="nil"/>
              <w:left w:val="nil"/>
              <w:bottom w:val="nil"/>
              <w:right w:val="nil"/>
            </w:tcBorders>
          </w:tcPr>
          <w:p w14:paraId="78FAA1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0.0825***</w:t>
            </w:r>
          </w:p>
        </w:tc>
        <w:tc>
          <w:tcPr>
            <w:tcW w:w="707" w:type="pct"/>
            <w:tcBorders>
              <w:top w:val="nil"/>
              <w:left w:val="nil"/>
              <w:bottom w:val="nil"/>
              <w:right w:val="nil"/>
            </w:tcBorders>
          </w:tcPr>
          <w:p w14:paraId="420346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0.0579***</w:t>
            </w:r>
          </w:p>
        </w:tc>
        <w:tc>
          <w:tcPr>
            <w:tcW w:w="831" w:type="pct"/>
            <w:tcBorders>
              <w:top w:val="nil"/>
              <w:left w:val="nil"/>
              <w:bottom w:val="nil"/>
              <w:right w:val="nil"/>
            </w:tcBorders>
          </w:tcPr>
          <w:p w14:paraId="12BC1C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0.0741***</w:t>
            </w:r>
          </w:p>
        </w:tc>
        <w:tc>
          <w:tcPr>
            <w:tcW w:w="726" w:type="pct"/>
            <w:tcBorders>
              <w:top w:val="nil"/>
              <w:left w:val="nil"/>
              <w:bottom w:val="nil"/>
              <w:right w:val="nil"/>
            </w:tcBorders>
          </w:tcPr>
          <w:p w14:paraId="559905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0.0700</w:t>
            </w:r>
          </w:p>
        </w:tc>
      </w:tr>
      <w:tr w:rsidR="00F00E3D" w:rsidRPr="00335312" w14:paraId="13C213F4" w14:textId="77777777" w:rsidTr="009B2FA7">
        <w:trPr>
          <w:jc w:val="center"/>
        </w:trPr>
        <w:tc>
          <w:tcPr>
            <w:tcW w:w="1207" w:type="pct"/>
            <w:tcBorders>
              <w:top w:val="nil"/>
              <w:left w:val="nil"/>
              <w:bottom w:val="nil"/>
              <w:right w:val="nil"/>
            </w:tcBorders>
          </w:tcPr>
          <w:p w14:paraId="77C775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3A0663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(20.09)</w:t>
            </w:r>
          </w:p>
        </w:tc>
        <w:tc>
          <w:tcPr>
            <w:tcW w:w="948" w:type="pct"/>
            <w:tcBorders>
              <w:top w:val="nil"/>
              <w:left w:val="nil"/>
              <w:bottom w:val="nil"/>
              <w:right w:val="nil"/>
            </w:tcBorders>
          </w:tcPr>
          <w:p w14:paraId="221D16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(18.02)</w:t>
            </w:r>
          </w:p>
        </w:tc>
        <w:tc>
          <w:tcPr>
            <w:tcW w:w="707" w:type="pct"/>
            <w:tcBorders>
              <w:top w:val="nil"/>
              <w:left w:val="nil"/>
              <w:bottom w:val="nil"/>
              <w:right w:val="nil"/>
            </w:tcBorders>
          </w:tcPr>
          <w:p w14:paraId="50FDEA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(9.740)</w:t>
            </w:r>
          </w:p>
        </w:tc>
        <w:tc>
          <w:tcPr>
            <w:tcW w:w="831" w:type="pct"/>
            <w:tcBorders>
              <w:top w:val="nil"/>
              <w:left w:val="nil"/>
              <w:bottom w:val="nil"/>
              <w:right w:val="nil"/>
            </w:tcBorders>
          </w:tcPr>
          <w:p w14:paraId="3828CF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(5.660)</w:t>
            </w:r>
          </w:p>
        </w:tc>
        <w:tc>
          <w:tcPr>
            <w:tcW w:w="726" w:type="pct"/>
            <w:tcBorders>
              <w:top w:val="nil"/>
              <w:left w:val="nil"/>
              <w:bottom w:val="nil"/>
              <w:right w:val="nil"/>
            </w:tcBorders>
          </w:tcPr>
          <w:p w14:paraId="10BF3E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(2.877)</w:t>
            </w:r>
          </w:p>
        </w:tc>
      </w:tr>
      <w:tr w:rsidR="00F00E3D" w:rsidRPr="00335312" w14:paraId="00367504" w14:textId="77777777" w:rsidTr="009B2FA7">
        <w:trPr>
          <w:jc w:val="center"/>
        </w:trPr>
        <w:tc>
          <w:tcPr>
            <w:tcW w:w="1207" w:type="pct"/>
            <w:tcBorders>
              <w:top w:val="nil"/>
              <w:left w:val="nil"/>
              <w:bottom w:val="nil"/>
              <w:right w:val="nil"/>
            </w:tcBorders>
          </w:tcPr>
          <w:p w14:paraId="178440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2018.year#1.month</w:t>
            </w:r>
          </w:p>
        </w:tc>
        <w:tc>
          <w:tcPr>
            <w:tcW w:w="580" w:type="pct"/>
            <w:tcBorders>
              <w:top w:val="nil"/>
              <w:left w:val="nil"/>
              <w:bottom w:val="nil"/>
              <w:right w:val="nil"/>
            </w:tcBorders>
          </w:tcPr>
          <w:p w14:paraId="47BB69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0.107***</w:t>
            </w:r>
          </w:p>
        </w:tc>
        <w:tc>
          <w:tcPr>
            <w:tcW w:w="948" w:type="pct"/>
            <w:tcBorders>
              <w:top w:val="nil"/>
              <w:left w:val="nil"/>
              <w:bottom w:val="nil"/>
              <w:right w:val="nil"/>
            </w:tcBorders>
          </w:tcPr>
          <w:p w14:paraId="7BDBEB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0.0913***</w:t>
            </w:r>
          </w:p>
        </w:tc>
        <w:tc>
          <w:tcPr>
            <w:tcW w:w="707" w:type="pct"/>
            <w:tcBorders>
              <w:top w:val="nil"/>
              <w:left w:val="nil"/>
              <w:bottom w:val="nil"/>
              <w:right w:val="nil"/>
            </w:tcBorders>
          </w:tcPr>
          <w:p w14:paraId="3EEAAE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0.128***</w:t>
            </w:r>
          </w:p>
        </w:tc>
        <w:tc>
          <w:tcPr>
            <w:tcW w:w="831" w:type="pct"/>
            <w:tcBorders>
              <w:top w:val="nil"/>
              <w:left w:val="nil"/>
              <w:bottom w:val="nil"/>
              <w:right w:val="nil"/>
            </w:tcBorders>
          </w:tcPr>
          <w:p w14:paraId="4C2964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0.0787***</w:t>
            </w:r>
          </w:p>
        </w:tc>
        <w:tc>
          <w:tcPr>
            <w:tcW w:w="726" w:type="pct"/>
            <w:tcBorders>
              <w:top w:val="nil"/>
              <w:left w:val="nil"/>
              <w:bottom w:val="nil"/>
              <w:right w:val="nil"/>
            </w:tcBorders>
          </w:tcPr>
          <w:p w14:paraId="6B06D5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0.0855**</w:t>
            </w:r>
          </w:p>
        </w:tc>
      </w:tr>
      <w:tr w:rsidR="00F00E3D" w:rsidRPr="00335312" w14:paraId="5CD677AB" w14:textId="77777777" w:rsidTr="009B2FA7">
        <w:trPr>
          <w:jc w:val="center"/>
        </w:trPr>
        <w:tc>
          <w:tcPr>
            <w:tcW w:w="1207" w:type="pct"/>
            <w:tcBorders>
              <w:top w:val="nil"/>
              <w:left w:val="nil"/>
              <w:bottom w:val="nil"/>
              <w:right w:val="nil"/>
            </w:tcBorders>
          </w:tcPr>
          <w:p w14:paraId="4433D9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143620B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(5.345)</w:t>
            </w:r>
          </w:p>
        </w:tc>
        <w:tc>
          <w:tcPr>
            <w:tcW w:w="948" w:type="pct"/>
            <w:tcBorders>
              <w:top w:val="nil"/>
              <w:left w:val="nil"/>
              <w:bottom w:val="nil"/>
              <w:right w:val="nil"/>
            </w:tcBorders>
          </w:tcPr>
          <w:p w14:paraId="7B915B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(21.04)</w:t>
            </w:r>
          </w:p>
        </w:tc>
        <w:tc>
          <w:tcPr>
            <w:tcW w:w="707" w:type="pct"/>
            <w:tcBorders>
              <w:top w:val="nil"/>
              <w:left w:val="nil"/>
              <w:bottom w:val="nil"/>
              <w:right w:val="nil"/>
            </w:tcBorders>
          </w:tcPr>
          <w:p w14:paraId="127D98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(3.171)</w:t>
            </w:r>
          </w:p>
        </w:tc>
        <w:tc>
          <w:tcPr>
            <w:tcW w:w="831" w:type="pct"/>
            <w:tcBorders>
              <w:top w:val="nil"/>
              <w:left w:val="nil"/>
              <w:bottom w:val="nil"/>
              <w:right w:val="nil"/>
            </w:tcBorders>
          </w:tcPr>
          <w:p w14:paraId="774E87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(7.152)</w:t>
            </w:r>
          </w:p>
        </w:tc>
        <w:tc>
          <w:tcPr>
            <w:tcW w:w="726" w:type="pct"/>
            <w:tcBorders>
              <w:top w:val="nil"/>
              <w:left w:val="nil"/>
              <w:bottom w:val="nil"/>
              <w:right w:val="nil"/>
            </w:tcBorders>
          </w:tcPr>
          <w:p w14:paraId="1AAF94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(4.457)</w:t>
            </w:r>
          </w:p>
        </w:tc>
      </w:tr>
      <w:tr w:rsidR="00F00E3D" w:rsidRPr="00335312" w14:paraId="60AE03B0" w14:textId="77777777" w:rsidTr="009B2FA7">
        <w:trPr>
          <w:jc w:val="center"/>
        </w:trPr>
        <w:tc>
          <w:tcPr>
            <w:tcW w:w="1207" w:type="pct"/>
            <w:tcBorders>
              <w:top w:val="nil"/>
              <w:left w:val="nil"/>
              <w:bottom w:val="nil"/>
              <w:right w:val="nil"/>
            </w:tcBorders>
          </w:tcPr>
          <w:p w14:paraId="2AB9CB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2018.year#2.month</w:t>
            </w:r>
          </w:p>
        </w:tc>
        <w:tc>
          <w:tcPr>
            <w:tcW w:w="580" w:type="pct"/>
            <w:tcBorders>
              <w:top w:val="nil"/>
              <w:left w:val="nil"/>
              <w:bottom w:val="nil"/>
              <w:right w:val="nil"/>
            </w:tcBorders>
          </w:tcPr>
          <w:p w14:paraId="34D28B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0.0898***</w:t>
            </w:r>
          </w:p>
        </w:tc>
        <w:tc>
          <w:tcPr>
            <w:tcW w:w="948" w:type="pct"/>
            <w:tcBorders>
              <w:top w:val="nil"/>
              <w:left w:val="nil"/>
              <w:bottom w:val="nil"/>
              <w:right w:val="nil"/>
            </w:tcBorders>
          </w:tcPr>
          <w:p w14:paraId="0C383C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0.0977***</w:t>
            </w:r>
          </w:p>
        </w:tc>
        <w:tc>
          <w:tcPr>
            <w:tcW w:w="707" w:type="pct"/>
            <w:tcBorders>
              <w:top w:val="nil"/>
              <w:left w:val="nil"/>
              <w:bottom w:val="nil"/>
              <w:right w:val="nil"/>
            </w:tcBorders>
          </w:tcPr>
          <w:p w14:paraId="647422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0.0728***</w:t>
            </w:r>
          </w:p>
        </w:tc>
        <w:tc>
          <w:tcPr>
            <w:tcW w:w="831" w:type="pct"/>
            <w:tcBorders>
              <w:top w:val="nil"/>
              <w:left w:val="nil"/>
              <w:bottom w:val="nil"/>
              <w:right w:val="nil"/>
            </w:tcBorders>
          </w:tcPr>
          <w:p w14:paraId="56624B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0.0769***</w:t>
            </w:r>
          </w:p>
        </w:tc>
        <w:tc>
          <w:tcPr>
            <w:tcW w:w="726" w:type="pct"/>
            <w:tcBorders>
              <w:top w:val="nil"/>
              <w:left w:val="nil"/>
              <w:bottom w:val="nil"/>
              <w:right w:val="nil"/>
            </w:tcBorders>
          </w:tcPr>
          <w:p w14:paraId="140361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0.0740*</w:t>
            </w:r>
          </w:p>
        </w:tc>
      </w:tr>
      <w:tr w:rsidR="00F00E3D" w:rsidRPr="00335312" w14:paraId="614077D7" w14:textId="77777777" w:rsidTr="009B2FA7">
        <w:trPr>
          <w:jc w:val="center"/>
        </w:trPr>
        <w:tc>
          <w:tcPr>
            <w:tcW w:w="1207" w:type="pct"/>
            <w:tcBorders>
              <w:top w:val="nil"/>
              <w:left w:val="nil"/>
              <w:bottom w:val="nil"/>
              <w:right w:val="nil"/>
            </w:tcBorders>
          </w:tcPr>
          <w:p w14:paraId="0ED04E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6872B7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(24.34)</w:t>
            </w:r>
          </w:p>
        </w:tc>
        <w:tc>
          <w:tcPr>
            <w:tcW w:w="948" w:type="pct"/>
            <w:tcBorders>
              <w:top w:val="nil"/>
              <w:left w:val="nil"/>
              <w:bottom w:val="nil"/>
              <w:right w:val="nil"/>
            </w:tcBorders>
          </w:tcPr>
          <w:p w14:paraId="13E5F6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(22.70)</w:t>
            </w:r>
          </w:p>
        </w:tc>
        <w:tc>
          <w:tcPr>
            <w:tcW w:w="707" w:type="pct"/>
            <w:tcBorders>
              <w:top w:val="nil"/>
              <w:left w:val="nil"/>
              <w:bottom w:val="nil"/>
              <w:right w:val="nil"/>
            </w:tcBorders>
          </w:tcPr>
          <w:p w14:paraId="7837C2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(10.94)</w:t>
            </w:r>
          </w:p>
        </w:tc>
        <w:tc>
          <w:tcPr>
            <w:tcW w:w="831" w:type="pct"/>
            <w:tcBorders>
              <w:top w:val="nil"/>
              <w:left w:val="nil"/>
              <w:bottom w:val="nil"/>
              <w:right w:val="nil"/>
            </w:tcBorders>
          </w:tcPr>
          <w:p w14:paraId="0E3221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(7.536)</w:t>
            </w:r>
          </w:p>
        </w:tc>
        <w:tc>
          <w:tcPr>
            <w:tcW w:w="726" w:type="pct"/>
            <w:tcBorders>
              <w:top w:val="nil"/>
              <w:left w:val="nil"/>
              <w:bottom w:val="nil"/>
              <w:right w:val="nil"/>
            </w:tcBorders>
          </w:tcPr>
          <w:p w14:paraId="34349B8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(3.835)</w:t>
            </w:r>
          </w:p>
        </w:tc>
      </w:tr>
      <w:tr w:rsidR="00F00E3D" w:rsidRPr="00335312" w14:paraId="68AF7829" w14:textId="77777777" w:rsidTr="009B2FA7">
        <w:trPr>
          <w:jc w:val="center"/>
        </w:trPr>
        <w:tc>
          <w:tcPr>
            <w:tcW w:w="1207" w:type="pct"/>
            <w:tcBorders>
              <w:top w:val="nil"/>
              <w:left w:val="nil"/>
              <w:bottom w:val="nil"/>
              <w:right w:val="nil"/>
            </w:tcBorders>
          </w:tcPr>
          <w:p w14:paraId="01426A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2018.year#3.month</w:t>
            </w:r>
          </w:p>
        </w:tc>
        <w:tc>
          <w:tcPr>
            <w:tcW w:w="580" w:type="pct"/>
            <w:tcBorders>
              <w:top w:val="nil"/>
              <w:left w:val="nil"/>
              <w:bottom w:val="nil"/>
              <w:right w:val="nil"/>
            </w:tcBorders>
          </w:tcPr>
          <w:p w14:paraId="6BFB3E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0.0906***</w:t>
            </w:r>
          </w:p>
        </w:tc>
        <w:tc>
          <w:tcPr>
            <w:tcW w:w="948" w:type="pct"/>
            <w:tcBorders>
              <w:top w:val="nil"/>
              <w:left w:val="nil"/>
              <w:bottom w:val="nil"/>
              <w:right w:val="nil"/>
            </w:tcBorders>
          </w:tcPr>
          <w:p w14:paraId="209E99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0.0973***</w:t>
            </w:r>
          </w:p>
        </w:tc>
        <w:tc>
          <w:tcPr>
            <w:tcW w:w="707" w:type="pct"/>
            <w:tcBorders>
              <w:top w:val="nil"/>
              <w:left w:val="nil"/>
              <w:bottom w:val="nil"/>
              <w:right w:val="nil"/>
            </w:tcBorders>
          </w:tcPr>
          <w:p w14:paraId="7F7F47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0.0771***</w:t>
            </w:r>
          </w:p>
        </w:tc>
        <w:tc>
          <w:tcPr>
            <w:tcW w:w="831" w:type="pct"/>
            <w:tcBorders>
              <w:top w:val="nil"/>
              <w:left w:val="nil"/>
              <w:bottom w:val="nil"/>
              <w:right w:val="nil"/>
            </w:tcBorders>
          </w:tcPr>
          <w:p w14:paraId="50F381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0.113***</w:t>
            </w:r>
          </w:p>
        </w:tc>
        <w:tc>
          <w:tcPr>
            <w:tcW w:w="726" w:type="pct"/>
            <w:tcBorders>
              <w:top w:val="nil"/>
              <w:left w:val="nil"/>
              <w:bottom w:val="nil"/>
              <w:right w:val="nil"/>
            </w:tcBorders>
          </w:tcPr>
          <w:p w14:paraId="28BFFF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0.145**</w:t>
            </w:r>
          </w:p>
        </w:tc>
      </w:tr>
      <w:tr w:rsidR="00F00E3D" w:rsidRPr="00335312" w14:paraId="56A83F50" w14:textId="77777777" w:rsidTr="009B2FA7">
        <w:trPr>
          <w:jc w:val="center"/>
        </w:trPr>
        <w:tc>
          <w:tcPr>
            <w:tcW w:w="1207" w:type="pct"/>
            <w:tcBorders>
              <w:top w:val="nil"/>
              <w:left w:val="nil"/>
              <w:bottom w:val="nil"/>
              <w:right w:val="nil"/>
            </w:tcBorders>
          </w:tcPr>
          <w:p w14:paraId="2EA1B5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0CAF87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(24.47)</w:t>
            </w:r>
          </w:p>
        </w:tc>
        <w:tc>
          <w:tcPr>
            <w:tcW w:w="948" w:type="pct"/>
            <w:tcBorders>
              <w:top w:val="nil"/>
              <w:left w:val="nil"/>
              <w:bottom w:val="nil"/>
              <w:right w:val="nil"/>
            </w:tcBorders>
          </w:tcPr>
          <w:p w14:paraId="44ECA2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(21.87)</w:t>
            </w:r>
          </w:p>
        </w:tc>
        <w:tc>
          <w:tcPr>
            <w:tcW w:w="707" w:type="pct"/>
            <w:tcBorders>
              <w:top w:val="nil"/>
              <w:left w:val="nil"/>
              <w:bottom w:val="nil"/>
              <w:right w:val="nil"/>
            </w:tcBorders>
          </w:tcPr>
          <w:p w14:paraId="45133F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(12.06)</w:t>
            </w:r>
          </w:p>
        </w:tc>
        <w:tc>
          <w:tcPr>
            <w:tcW w:w="831" w:type="pct"/>
            <w:tcBorders>
              <w:top w:val="nil"/>
              <w:left w:val="nil"/>
              <w:bottom w:val="nil"/>
              <w:right w:val="nil"/>
            </w:tcBorders>
          </w:tcPr>
          <w:p w14:paraId="0E7B91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(7.886)</w:t>
            </w:r>
          </w:p>
        </w:tc>
        <w:tc>
          <w:tcPr>
            <w:tcW w:w="726" w:type="pct"/>
            <w:tcBorders>
              <w:top w:val="nil"/>
              <w:left w:val="nil"/>
              <w:bottom w:val="nil"/>
              <w:right w:val="nil"/>
            </w:tcBorders>
          </w:tcPr>
          <w:p w14:paraId="359CAD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(6.794)</w:t>
            </w:r>
          </w:p>
        </w:tc>
      </w:tr>
      <w:tr w:rsidR="00F00E3D" w:rsidRPr="00335312" w14:paraId="3374082B" w14:textId="77777777" w:rsidTr="009B2FA7">
        <w:trPr>
          <w:jc w:val="center"/>
        </w:trPr>
        <w:tc>
          <w:tcPr>
            <w:tcW w:w="1207" w:type="pct"/>
            <w:tcBorders>
              <w:top w:val="nil"/>
              <w:left w:val="nil"/>
              <w:bottom w:val="nil"/>
              <w:right w:val="nil"/>
            </w:tcBorders>
          </w:tcPr>
          <w:p w14:paraId="0F91CD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2018.year#4.month</w:t>
            </w:r>
          </w:p>
        </w:tc>
        <w:tc>
          <w:tcPr>
            <w:tcW w:w="580" w:type="pct"/>
            <w:tcBorders>
              <w:top w:val="nil"/>
              <w:left w:val="nil"/>
              <w:bottom w:val="nil"/>
              <w:right w:val="nil"/>
            </w:tcBorders>
          </w:tcPr>
          <w:p w14:paraId="6789A2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0.0948***</w:t>
            </w:r>
          </w:p>
        </w:tc>
        <w:tc>
          <w:tcPr>
            <w:tcW w:w="948" w:type="pct"/>
            <w:tcBorders>
              <w:top w:val="nil"/>
              <w:left w:val="nil"/>
              <w:bottom w:val="nil"/>
              <w:right w:val="nil"/>
            </w:tcBorders>
          </w:tcPr>
          <w:p w14:paraId="262ED7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0.0979***</w:t>
            </w:r>
          </w:p>
        </w:tc>
        <w:tc>
          <w:tcPr>
            <w:tcW w:w="707" w:type="pct"/>
            <w:tcBorders>
              <w:top w:val="nil"/>
              <w:left w:val="nil"/>
              <w:bottom w:val="nil"/>
              <w:right w:val="nil"/>
            </w:tcBorders>
          </w:tcPr>
          <w:p w14:paraId="6E0DBA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0.0883***</w:t>
            </w:r>
          </w:p>
        </w:tc>
        <w:tc>
          <w:tcPr>
            <w:tcW w:w="831" w:type="pct"/>
            <w:tcBorders>
              <w:top w:val="nil"/>
              <w:left w:val="nil"/>
              <w:bottom w:val="nil"/>
              <w:right w:val="nil"/>
            </w:tcBorders>
          </w:tcPr>
          <w:p w14:paraId="1FB647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0.121***</w:t>
            </w:r>
          </w:p>
        </w:tc>
        <w:tc>
          <w:tcPr>
            <w:tcW w:w="726" w:type="pct"/>
            <w:tcBorders>
              <w:top w:val="nil"/>
              <w:left w:val="nil"/>
              <w:bottom w:val="nil"/>
              <w:right w:val="nil"/>
            </w:tcBorders>
          </w:tcPr>
          <w:p w14:paraId="2EDB70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0.163*</w:t>
            </w:r>
          </w:p>
        </w:tc>
      </w:tr>
      <w:tr w:rsidR="00F00E3D" w:rsidRPr="00335312" w14:paraId="68914963" w14:textId="77777777" w:rsidTr="009B2FA7">
        <w:trPr>
          <w:jc w:val="center"/>
        </w:trPr>
        <w:tc>
          <w:tcPr>
            <w:tcW w:w="1207" w:type="pct"/>
            <w:tcBorders>
              <w:top w:val="nil"/>
              <w:left w:val="nil"/>
              <w:bottom w:val="nil"/>
              <w:right w:val="nil"/>
            </w:tcBorders>
          </w:tcPr>
          <w:p w14:paraId="056A30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55E34B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(23.44)</w:t>
            </w:r>
          </w:p>
        </w:tc>
        <w:tc>
          <w:tcPr>
            <w:tcW w:w="948" w:type="pct"/>
            <w:tcBorders>
              <w:top w:val="nil"/>
              <w:left w:val="nil"/>
              <w:bottom w:val="nil"/>
              <w:right w:val="nil"/>
            </w:tcBorders>
          </w:tcPr>
          <w:p w14:paraId="0BE5023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(19.21)</w:t>
            </w:r>
          </w:p>
        </w:tc>
        <w:tc>
          <w:tcPr>
            <w:tcW w:w="707" w:type="pct"/>
            <w:tcBorders>
              <w:top w:val="nil"/>
              <w:left w:val="nil"/>
              <w:bottom w:val="nil"/>
              <w:right w:val="nil"/>
            </w:tcBorders>
          </w:tcPr>
          <w:p w14:paraId="6B93C6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(13.66)</w:t>
            </w:r>
          </w:p>
        </w:tc>
        <w:tc>
          <w:tcPr>
            <w:tcW w:w="831" w:type="pct"/>
            <w:tcBorders>
              <w:top w:val="nil"/>
              <w:left w:val="nil"/>
              <w:bottom w:val="nil"/>
              <w:right w:val="nil"/>
            </w:tcBorders>
          </w:tcPr>
          <w:p w14:paraId="1F2031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(8.108)</w:t>
            </w:r>
          </w:p>
        </w:tc>
        <w:tc>
          <w:tcPr>
            <w:tcW w:w="726" w:type="pct"/>
            <w:tcBorders>
              <w:top w:val="nil"/>
              <w:left w:val="nil"/>
              <w:bottom w:val="nil"/>
              <w:right w:val="nil"/>
            </w:tcBorders>
          </w:tcPr>
          <w:p w14:paraId="31175E8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(3.023)</w:t>
            </w:r>
          </w:p>
        </w:tc>
      </w:tr>
      <w:tr w:rsidR="00F00E3D" w:rsidRPr="00335312" w14:paraId="2EC0ACEF" w14:textId="77777777" w:rsidTr="009B2FA7">
        <w:trPr>
          <w:jc w:val="center"/>
        </w:trPr>
        <w:tc>
          <w:tcPr>
            <w:tcW w:w="1207" w:type="pct"/>
            <w:tcBorders>
              <w:top w:val="nil"/>
              <w:left w:val="nil"/>
              <w:bottom w:val="nil"/>
              <w:right w:val="nil"/>
            </w:tcBorders>
          </w:tcPr>
          <w:p w14:paraId="28B942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2018.year#5.month</w:t>
            </w:r>
          </w:p>
        </w:tc>
        <w:tc>
          <w:tcPr>
            <w:tcW w:w="580" w:type="pct"/>
            <w:tcBorders>
              <w:top w:val="nil"/>
              <w:left w:val="nil"/>
              <w:bottom w:val="nil"/>
              <w:right w:val="nil"/>
            </w:tcBorders>
          </w:tcPr>
          <w:p w14:paraId="663C7C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0.0950***</w:t>
            </w:r>
          </w:p>
        </w:tc>
        <w:tc>
          <w:tcPr>
            <w:tcW w:w="948" w:type="pct"/>
            <w:tcBorders>
              <w:top w:val="nil"/>
              <w:left w:val="nil"/>
              <w:bottom w:val="nil"/>
              <w:right w:val="nil"/>
            </w:tcBorders>
          </w:tcPr>
          <w:p w14:paraId="398934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0.0994***</w:t>
            </w:r>
          </w:p>
        </w:tc>
        <w:tc>
          <w:tcPr>
            <w:tcW w:w="707" w:type="pct"/>
            <w:tcBorders>
              <w:top w:val="nil"/>
              <w:left w:val="nil"/>
              <w:bottom w:val="nil"/>
              <w:right w:val="nil"/>
            </w:tcBorders>
          </w:tcPr>
          <w:p w14:paraId="5FAFD8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0.0860***</w:t>
            </w:r>
          </w:p>
        </w:tc>
        <w:tc>
          <w:tcPr>
            <w:tcW w:w="831" w:type="pct"/>
            <w:tcBorders>
              <w:top w:val="nil"/>
              <w:left w:val="nil"/>
              <w:bottom w:val="nil"/>
              <w:right w:val="nil"/>
            </w:tcBorders>
          </w:tcPr>
          <w:p w14:paraId="782218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0.110***</w:t>
            </w:r>
          </w:p>
        </w:tc>
        <w:tc>
          <w:tcPr>
            <w:tcW w:w="726" w:type="pct"/>
            <w:tcBorders>
              <w:top w:val="nil"/>
              <w:left w:val="nil"/>
              <w:bottom w:val="nil"/>
              <w:right w:val="nil"/>
            </w:tcBorders>
          </w:tcPr>
          <w:p w14:paraId="4F1D36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0.120*</w:t>
            </w:r>
          </w:p>
        </w:tc>
      </w:tr>
      <w:tr w:rsidR="00F00E3D" w:rsidRPr="00335312" w14:paraId="0AF61CC7" w14:textId="77777777" w:rsidTr="009B2FA7">
        <w:trPr>
          <w:jc w:val="center"/>
        </w:trPr>
        <w:tc>
          <w:tcPr>
            <w:tcW w:w="1207" w:type="pct"/>
            <w:tcBorders>
              <w:top w:val="nil"/>
              <w:left w:val="nil"/>
              <w:bottom w:val="nil"/>
              <w:right w:val="nil"/>
            </w:tcBorders>
          </w:tcPr>
          <w:p w14:paraId="30B71D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7C02C8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(24.55)</w:t>
            </w:r>
          </w:p>
        </w:tc>
        <w:tc>
          <w:tcPr>
            <w:tcW w:w="948" w:type="pct"/>
            <w:tcBorders>
              <w:top w:val="nil"/>
              <w:left w:val="nil"/>
              <w:bottom w:val="nil"/>
              <w:right w:val="nil"/>
            </w:tcBorders>
          </w:tcPr>
          <w:p w14:paraId="11D505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(22.23)</w:t>
            </w:r>
          </w:p>
        </w:tc>
        <w:tc>
          <w:tcPr>
            <w:tcW w:w="707" w:type="pct"/>
            <w:tcBorders>
              <w:top w:val="nil"/>
              <w:left w:val="nil"/>
              <w:bottom w:val="nil"/>
              <w:right w:val="nil"/>
            </w:tcBorders>
          </w:tcPr>
          <w:p w14:paraId="343325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(12.08)</w:t>
            </w:r>
          </w:p>
        </w:tc>
        <w:tc>
          <w:tcPr>
            <w:tcW w:w="831" w:type="pct"/>
            <w:tcBorders>
              <w:top w:val="nil"/>
              <w:left w:val="nil"/>
              <w:bottom w:val="nil"/>
              <w:right w:val="nil"/>
            </w:tcBorders>
          </w:tcPr>
          <w:p w14:paraId="2926D7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(5.612)</w:t>
            </w:r>
          </w:p>
        </w:tc>
        <w:tc>
          <w:tcPr>
            <w:tcW w:w="726" w:type="pct"/>
            <w:tcBorders>
              <w:top w:val="nil"/>
              <w:left w:val="nil"/>
              <w:bottom w:val="nil"/>
              <w:right w:val="nil"/>
            </w:tcBorders>
          </w:tcPr>
          <w:p w14:paraId="521F04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(3.060)</w:t>
            </w:r>
          </w:p>
        </w:tc>
      </w:tr>
      <w:tr w:rsidR="00F00E3D" w:rsidRPr="00335312" w14:paraId="2E7BF12C" w14:textId="77777777" w:rsidTr="009B2FA7">
        <w:trPr>
          <w:jc w:val="center"/>
        </w:trPr>
        <w:tc>
          <w:tcPr>
            <w:tcW w:w="1207" w:type="pct"/>
            <w:tcBorders>
              <w:top w:val="nil"/>
              <w:left w:val="nil"/>
              <w:bottom w:val="nil"/>
              <w:right w:val="nil"/>
            </w:tcBorders>
          </w:tcPr>
          <w:p w14:paraId="1EBAC7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2018.year#6.month</w:t>
            </w:r>
          </w:p>
        </w:tc>
        <w:tc>
          <w:tcPr>
            <w:tcW w:w="580" w:type="pct"/>
            <w:tcBorders>
              <w:top w:val="nil"/>
              <w:left w:val="nil"/>
              <w:bottom w:val="nil"/>
              <w:right w:val="nil"/>
            </w:tcBorders>
          </w:tcPr>
          <w:p w14:paraId="7E7E7E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0.0925***</w:t>
            </w:r>
          </w:p>
        </w:tc>
        <w:tc>
          <w:tcPr>
            <w:tcW w:w="948" w:type="pct"/>
            <w:tcBorders>
              <w:top w:val="nil"/>
              <w:left w:val="nil"/>
              <w:bottom w:val="nil"/>
              <w:right w:val="nil"/>
            </w:tcBorders>
          </w:tcPr>
          <w:p w14:paraId="55DAB2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0.0966***</w:t>
            </w:r>
          </w:p>
        </w:tc>
        <w:tc>
          <w:tcPr>
            <w:tcW w:w="707" w:type="pct"/>
            <w:tcBorders>
              <w:top w:val="nil"/>
              <w:left w:val="nil"/>
              <w:bottom w:val="nil"/>
              <w:right w:val="nil"/>
            </w:tcBorders>
          </w:tcPr>
          <w:p w14:paraId="41EDD6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0.0836***</w:t>
            </w:r>
          </w:p>
        </w:tc>
        <w:tc>
          <w:tcPr>
            <w:tcW w:w="831" w:type="pct"/>
            <w:tcBorders>
              <w:top w:val="nil"/>
              <w:left w:val="nil"/>
              <w:bottom w:val="nil"/>
              <w:right w:val="nil"/>
            </w:tcBorders>
          </w:tcPr>
          <w:p w14:paraId="5C5ADDA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0.100***</w:t>
            </w:r>
          </w:p>
        </w:tc>
        <w:tc>
          <w:tcPr>
            <w:tcW w:w="726" w:type="pct"/>
            <w:tcBorders>
              <w:top w:val="nil"/>
              <w:left w:val="nil"/>
              <w:bottom w:val="nil"/>
              <w:right w:val="nil"/>
            </w:tcBorders>
          </w:tcPr>
          <w:p w14:paraId="24F6E3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0.117*</w:t>
            </w:r>
          </w:p>
        </w:tc>
      </w:tr>
      <w:tr w:rsidR="00F00E3D" w:rsidRPr="00335312" w14:paraId="100799AC" w14:textId="77777777" w:rsidTr="009B2FA7">
        <w:trPr>
          <w:jc w:val="center"/>
        </w:trPr>
        <w:tc>
          <w:tcPr>
            <w:tcW w:w="1207" w:type="pct"/>
            <w:tcBorders>
              <w:top w:val="nil"/>
              <w:left w:val="nil"/>
              <w:bottom w:val="nil"/>
              <w:right w:val="nil"/>
            </w:tcBorders>
          </w:tcPr>
          <w:p w14:paraId="63DFEE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20D892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(24.42)</w:t>
            </w:r>
          </w:p>
        </w:tc>
        <w:tc>
          <w:tcPr>
            <w:tcW w:w="948" w:type="pct"/>
            <w:tcBorders>
              <w:top w:val="nil"/>
              <w:left w:val="nil"/>
              <w:bottom w:val="nil"/>
              <w:right w:val="nil"/>
            </w:tcBorders>
          </w:tcPr>
          <w:p w14:paraId="2F65E2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(20.61)</w:t>
            </w:r>
          </w:p>
        </w:tc>
        <w:tc>
          <w:tcPr>
            <w:tcW w:w="707" w:type="pct"/>
            <w:tcBorders>
              <w:top w:val="nil"/>
              <w:left w:val="nil"/>
              <w:bottom w:val="nil"/>
              <w:right w:val="nil"/>
            </w:tcBorders>
          </w:tcPr>
          <w:p w14:paraId="72C002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(13.27)</w:t>
            </w:r>
          </w:p>
        </w:tc>
        <w:tc>
          <w:tcPr>
            <w:tcW w:w="831" w:type="pct"/>
            <w:tcBorders>
              <w:top w:val="nil"/>
              <w:left w:val="nil"/>
              <w:bottom w:val="nil"/>
              <w:right w:val="nil"/>
            </w:tcBorders>
          </w:tcPr>
          <w:p w14:paraId="4B2634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(7.448)</w:t>
            </w:r>
          </w:p>
        </w:tc>
        <w:tc>
          <w:tcPr>
            <w:tcW w:w="726" w:type="pct"/>
            <w:tcBorders>
              <w:top w:val="nil"/>
              <w:left w:val="nil"/>
              <w:bottom w:val="nil"/>
              <w:right w:val="nil"/>
            </w:tcBorders>
          </w:tcPr>
          <w:p w14:paraId="13CBE4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(3.539)</w:t>
            </w:r>
          </w:p>
        </w:tc>
      </w:tr>
      <w:tr w:rsidR="00F00E3D" w:rsidRPr="00335312" w14:paraId="5E585C6A" w14:textId="77777777" w:rsidTr="009B2FA7">
        <w:trPr>
          <w:jc w:val="center"/>
        </w:trPr>
        <w:tc>
          <w:tcPr>
            <w:tcW w:w="1207" w:type="pct"/>
            <w:tcBorders>
              <w:top w:val="nil"/>
              <w:left w:val="nil"/>
              <w:bottom w:val="nil"/>
              <w:right w:val="nil"/>
            </w:tcBorders>
          </w:tcPr>
          <w:p w14:paraId="0E9F0E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2018.year#7.month</w:t>
            </w:r>
          </w:p>
        </w:tc>
        <w:tc>
          <w:tcPr>
            <w:tcW w:w="580" w:type="pct"/>
            <w:tcBorders>
              <w:top w:val="nil"/>
              <w:left w:val="nil"/>
              <w:bottom w:val="nil"/>
              <w:right w:val="nil"/>
            </w:tcBorders>
          </w:tcPr>
          <w:p w14:paraId="06EB46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0.0957***</w:t>
            </w:r>
          </w:p>
        </w:tc>
        <w:tc>
          <w:tcPr>
            <w:tcW w:w="948" w:type="pct"/>
            <w:tcBorders>
              <w:top w:val="nil"/>
              <w:left w:val="nil"/>
              <w:bottom w:val="nil"/>
              <w:right w:val="nil"/>
            </w:tcBorders>
          </w:tcPr>
          <w:p w14:paraId="0AFFF3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0.101***</w:t>
            </w:r>
          </w:p>
        </w:tc>
        <w:tc>
          <w:tcPr>
            <w:tcW w:w="707" w:type="pct"/>
            <w:tcBorders>
              <w:top w:val="nil"/>
              <w:left w:val="nil"/>
              <w:bottom w:val="nil"/>
              <w:right w:val="nil"/>
            </w:tcBorders>
          </w:tcPr>
          <w:p w14:paraId="1826F3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0.0850***</w:t>
            </w:r>
          </w:p>
        </w:tc>
        <w:tc>
          <w:tcPr>
            <w:tcW w:w="831" w:type="pct"/>
            <w:tcBorders>
              <w:top w:val="nil"/>
              <w:left w:val="nil"/>
              <w:bottom w:val="nil"/>
              <w:right w:val="nil"/>
            </w:tcBorders>
          </w:tcPr>
          <w:p w14:paraId="296A67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0.0962***</w:t>
            </w:r>
          </w:p>
        </w:tc>
        <w:tc>
          <w:tcPr>
            <w:tcW w:w="726" w:type="pct"/>
            <w:tcBorders>
              <w:top w:val="nil"/>
              <w:left w:val="nil"/>
              <w:bottom w:val="nil"/>
              <w:right w:val="nil"/>
            </w:tcBorders>
          </w:tcPr>
          <w:p w14:paraId="720253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0.103</w:t>
            </w:r>
          </w:p>
        </w:tc>
      </w:tr>
      <w:tr w:rsidR="00F00E3D" w:rsidRPr="00335312" w14:paraId="4BF0E649" w14:textId="77777777" w:rsidTr="009B2FA7">
        <w:trPr>
          <w:jc w:val="center"/>
        </w:trPr>
        <w:tc>
          <w:tcPr>
            <w:tcW w:w="1207" w:type="pct"/>
            <w:tcBorders>
              <w:top w:val="nil"/>
              <w:left w:val="nil"/>
              <w:bottom w:val="nil"/>
              <w:right w:val="nil"/>
            </w:tcBorders>
          </w:tcPr>
          <w:p w14:paraId="7EDE36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2DE0D7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(26.75)</w:t>
            </w:r>
          </w:p>
        </w:tc>
        <w:tc>
          <w:tcPr>
            <w:tcW w:w="948" w:type="pct"/>
            <w:tcBorders>
              <w:top w:val="nil"/>
              <w:left w:val="nil"/>
              <w:bottom w:val="nil"/>
              <w:right w:val="nil"/>
            </w:tcBorders>
          </w:tcPr>
          <w:p w14:paraId="25B586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(22.66)</w:t>
            </w:r>
          </w:p>
        </w:tc>
        <w:tc>
          <w:tcPr>
            <w:tcW w:w="707" w:type="pct"/>
            <w:tcBorders>
              <w:top w:val="nil"/>
              <w:left w:val="nil"/>
              <w:bottom w:val="nil"/>
              <w:right w:val="nil"/>
            </w:tcBorders>
          </w:tcPr>
          <w:p w14:paraId="400813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(14.30)</w:t>
            </w:r>
          </w:p>
        </w:tc>
        <w:tc>
          <w:tcPr>
            <w:tcW w:w="831" w:type="pct"/>
            <w:tcBorders>
              <w:top w:val="nil"/>
              <w:left w:val="nil"/>
              <w:bottom w:val="nil"/>
              <w:right w:val="nil"/>
            </w:tcBorders>
          </w:tcPr>
          <w:p w14:paraId="10EEE6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(6.277)</w:t>
            </w:r>
          </w:p>
        </w:tc>
        <w:tc>
          <w:tcPr>
            <w:tcW w:w="726" w:type="pct"/>
            <w:tcBorders>
              <w:top w:val="nil"/>
              <w:left w:val="nil"/>
              <w:bottom w:val="nil"/>
              <w:right w:val="nil"/>
            </w:tcBorders>
          </w:tcPr>
          <w:p w14:paraId="380C53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(2.189)</w:t>
            </w:r>
          </w:p>
        </w:tc>
      </w:tr>
      <w:tr w:rsidR="00F00E3D" w:rsidRPr="00335312" w14:paraId="16644522" w14:textId="77777777" w:rsidTr="009B2FA7">
        <w:trPr>
          <w:jc w:val="center"/>
        </w:trPr>
        <w:tc>
          <w:tcPr>
            <w:tcW w:w="1207" w:type="pct"/>
            <w:tcBorders>
              <w:top w:val="nil"/>
              <w:left w:val="nil"/>
              <w:bottom w:val="nil"/>
              <w:right w:val="nil"/>
            </w:tcBorders>
          </w:tcPr>
          <w:p w14:paraId="73BF4B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2018.year#8.month</w:t>
            </w:r>
          </w:p>
        </w:tc>
        <w:tc>
          <w:tcPr>
            <w:tcW w:w="580" w:type="pct"/>
            <w:tcBorders>
              <w:top w:val="nil"/>
              <w:left w:val="nil"/>
              <w:bottom w:val="nil"/>
              <w:right w:val="nil"/>
            </w:tcBorders>
          </w:tcPr>
          <w:p w14:paraId="0CB0C9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0.0897***</w:t>
            </w:r>
          </w:p>
        </w:tc>
        <w:tc>
          <w:tcPr>
            <w:tcW w:w="948" w:type="pct"/>
            <w:tcBorders>
              <w:top w:val="nil"/>
              <w:left w:val="nil"/>
              <w:bottom w:val="nil"/>
              <w:right w:val="nil"/>
            </w:tcBorders>
          </w:tcPr>
          <w:p w14:paraId="7541A2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0.104***</w:t>
            </w:r>
          </w:p>
        </w:tc>
        <w:tc>
          <w:tcPr>
            <w:tcW w:w="707" w:type="pct"/>
            <w:tcBorders>
              <w:top w:val="nil"/>
              <w:left w:val="nil"/>
              <w:bottom w:val="nil"/>
              <w:right w:val="nil"/>
            </w:tcBorders>
          </w:tcPr>
          <w:p w14:paraId="720541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0.0685***</w:t>
            </w:r>
          </w:p>
        </w:tc>
        <w:tc>
          <w:tcPr>
            <w:tcW w:w="831" w:type="pct"/>
            <w:tcBorders>
              <w:top w:val="nil"/>
              <w:left w:val="nil"/>
              <w:bottom w:val="nil"/>
              <w:right w:val="nil"/>
            </w:tcBorders>
          </w:tcPr>
          <w:p w14:paraId="4EA9F7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0.0961***</w:t>
            </w:r>
          </w:p>
        </w:tc>
        <w:tc>
          <w:tcPr>
            <w:tcW w:w="726" w:type="pct"/>
            <w:tcBorders>
              <w:top w:val="nil"/>
              <w:left w:val="nil"/>
              <w:bottom w:val="nil"/>
              <w:right w:val="nil"/>
            </w:tcBorders>
          </w:tcPr>
          <w:p w14:paraId="6984600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0.117*</w:t>
            </w:r>
          </w:p>
        </w:tc>
      </w:tr>
      <w:tr w:rsidR="00F00E3D" w:rsidRPr="00335312" w14:paraId="63CF5D09" w14:textId="77777777" w:rsidTr="009B2FA7">
        <w:trPr>
          <w:jc w:val="center"/>
        </w:trPr>
        <w:tc>
          <w:tcPr>
            <w:tcW w:w="1207" w:type="pct"/>
            <w:tcBorders>
              <w:top w:val="nil"/>
              <w:left w:val="nil"/>
              <w:bottom w:val="nil"/>
              <w:right w:val="nil"/>
            </w:tcBorders>
          </w:tcPr>
          <w:p w14:paraId="1FBCEE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2E1124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(8.146)</w:t>
            </w:r>
          </w:p>
        </w:tc>
        <w:tc>
          <w:tcPr>
            <w:tcW w:w="948" w:type="pct"/>
            <w:tcBorders>
              <w:top w:val="nil"/>
              <w:left w:val="nil"/>
              <w:bottom w:val="nil"/>
              <w:right w:val="nil"/>
            </w:tcBorders>
          </w:tcPr>
          <w:p w14:paraId="62AF3D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(22.51)</w:t>
            </w:r>
          </w:p>
        </w:tc>
        <w:tc>
          <w:tcPr>
            <w:tcW w:w="707" w:type="pct"/>
            <w:tcBorders>
              <w:top w:val="nil"/>
              <w:left w:val="nil"/>
              <w:bottom w:val="nil"/>
              <w:right w:val="nil"/>
            </w:tcBorders>
          </w:tcPr>
          <w:p w14:paraId="77E07B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(3.597)</w:t>
            </w:r>
          </w:p>
        </w:tc>
        <w:tc>
          <w:tcPr>
            <w:tcW w:w="831" w:type="pct"/>
            <w:tcBorders>
              <w:top w:val="nil"/>
              <w:left w:val="nil"/>
              <w:bottom w:val="nil"/>
              <w:right w:val="nil"/>
            </w:tcBorders>
          </w:tcPr>
          <w:p w14:paraId="79E2C0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(6.996)</w:t>
            </w:r>
          </w:p>
        </w:tc>
        <w:tc>
          <w:tcPr>
            <w:tcW w:w="726" w:type="pct"/>
            <w:tcBorders>
              <w:top w:val="nil"/>
              <w:left w:val="nil"/>
              <w:bottom w:val="nil"/>
              <w:right w:val="nil"/>
            </w:tcBorders>
          </w:tcPr>
          <w:p w14:paraId="0AF13D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(4.003)</w:t>
            </w:r>
          </w:p>
        </w:tc>
      </w:tr>
      <w:tr w:rsidR="00F00E3D" w:rsidRPr="00335312" w14:paraId="14689AFC" w14:textId="77777777" w:rsidTr="009B2FA7">
        <w:trPr>
          <w:jc w:val="center"/>
        </w:trPr>
        <w:tc>
          <w:tcPr>
            <w:tcW w:w="1207" w:type="pct"/>
            <w:tcBorders>
              <w:top w:val="nil"/>
              <w:left w:val="nil"/>
              <w:bottom w:val="nil"/>
              <w:right w:val="nil"/>
            </w:tcBorders>
          </w:tcPr>
          <w:p w14:paraId="253110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2018.year#9.month</w:t>
            </w:r>
          </w:p>
        </w:tc>
        <w:tc>
          <w:tcPr>
            <w:tcW w:w="580" w:type="pct"/>
            <w:tcBorders>
              <w:top w:val="nil"/>
              <w:left w:val="nil"/>
              <w:bottom w:val="nil"/>
              <w:right w:val="nil"/>
            </w:tcBorders>
          </w:tcPr>
          <w:p w14:paraId="66554C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0.102***</w:t>
            </w:r>
          </w:p>
        </w:tc>
        <w:tc>
          <w:tcPr>
            <w:tcW w:w="948" w:type="pct"/>
            <w:tcBorders>
              <w:top w:val="nil"/>
              <w:left w:val="nil"/>
              <w:bottom w:val="nil"/>
              <w:right w:val="nil"/>
            </w:tcBorders>
          </w:tcPr>
          <w:p w14:paraId="716617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0.108***</w:t>
            </w:r>
          </w:p>
        </w:tc>
        <w:tc>
          <w:tcPr>
            <w:tcW w:w="707" w:type="pct"/>
            <w:tcBorders>
              <w:top w:val="nil"/>
              <w:left w:val="nil"/>
              <w:bottom w:val="nil"/>
              <w:right w:val="nil"/>
            </w:tcBorders>
          </w:tcPr>
          <w:p w14:paraId="748D8F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0.0897***</w:t>
            </w:r>
          </w:p>
        </w:tc>
        <w:tc>
          <w:tcPr>
            <w:tcW w:w="831" w:type="pct"/>
            <w:tcBorders>
              <w:top w:val="nil"/>
              <w:left w:val="nil"/>
              <w:bottom w:val="nil"/>
              <w:right w:val="nil"/>
            </w:tcBorders>
          </w:tcPr>
          <w:p w14:paraId="75C711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0.100***</w:t>
            </w:r>
          </w:p>
        </w:tc>
        <w:tc>
          <w:tcPr>
            <w:tcW w:w="726" w:type="pct"/>
            <w:tcBorders>
              <w:top w:val="nil"/>
              <w:left w:val="nil"/>
              <w:bottom w:val="nil"/>
              <w:right w:val="nil"/>
            </w:tcBorders>
          </w:tcPr>
          <w:p w14:paraId="70F224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0.102**</w:t>
            </w:r>
          </w:p>
        </w:tc>
      </w:tr>
      <w:tr w:rsidR="00F00E3D" w:rsidRPr="00335312" w14:paraId="0F70BCAD" w14:textId="77777777" w:rsidTr="009B2FA7">
        <w:trPr>
          <w:jc w:val="center"/>
        </w:trPr>
        <w:tc>
          <w:tcPr>
            <w:tcW w:w="1207" w:type="pct"/>
            <w:tcBorders>
              <w:top w:val="nil"/>
              <w:left w:val="nil"/>
              <w:bottom w:val="nil"/>
              <w:right w:val="nil"/>
            </w:tcBorders>
          </w:tcPr>
          <w:p w14:paraId="0C0E81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239472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(27.32)</w:t>
            </w:r>
          </w:p>
        </w:tc>
        <w:tc>
          <w:tcPr>
            <w:tcW w:w="948" w:type="pct"/>
            <w:tcBorders>
              <w:top w:val="nil"/>
              <w:left w:val="nil"/>
              <w:bottom w:val="nil"/>
              <w:right w:val="nil"/>
            </w:tcBorders>
          </w:tcPr>
          <w:p w14:paraId="10ECF0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(23.36)</w:t>
            </w:r>
          </w:p>
        </w:tc>
        <w:tc>
          <w:tcPr>
            <w:tcW w:w="707" w:type="pct"/>
            <w:tcBorders>
              <w:top w:val="nil"/>
              <w:left w:val="nil"/>
              <w:bottom w:val="nil"/>
              <w:right w:val="nil"/>
            </w:tcBorders>
          </w:tcPr>
          <w:p w14:paraId="6CD35B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(14.62)</w:t>
            </w:r>
          </w:p>
        </w:tc>
        <w:tc>
          <w:tcPr>
            <w:tcW w:w="831" w:type="pct"/>
            <w:tcBorders>
              <w:top w:val="nil"/>
              <w:left w:val="nil"/>
              <w:bottom w:val="nil"/>
              <w:right w:val="nil"/>
            </w:tcBorders>
          </w:tcPr>
          <w:p w14:paraId="036F16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(6.815)</w:t>
            </w:r>
          </w:p>
        </w:tc>
        <w:tc>
          <w:tcPr>
            <w:tcW w:w="726" w:type="pct"/>
            <w:tcBorders>
              <w:top w:val="nil"/>
              <w:left w:val="nil"/>
              <w:bottom w:val="nil"/>
              <w:right w:val="nil"/>
            </w:tcBorders>
          </w:tcPr>
          <w:p w14:paraId="57B9D6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(4.797)</w:t>
            </w:r>
          </w:p>
        </w:tc>
      </w:tr>
      <w:tr w:rsidR="00F00E3D" w:rsidRPr="00335312" w14:paraId="440F059A" w14:textId="77777777" w:rsidTr="009B2FA7">
        <w:trPr>
          <w:jc w:val="center"/>
        </w:trPr>
        <w:tc>
          <w:tcPr>
            <w:tcW w:w="1207" w:type="pct"/>
            <w:tcBorders>
              <w:top w:val="nil"/>
              <w:left w:val="nil"/>
              <w:bottom w:val="nil"/>
              <w:right w:val="nil"/>
            </w:tcBorders>
          </w:tcPr>
          <w:p w14:paraId="7302F76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2018.year#10.month</w:t>
            </w:r>
          </w:p>
        </w:tc>
        <w:tc>
          <w:tcPr>
            <w:tcW w:w="580" w:type="pct"/>
            <w:tcBorders>
              <w:top w:val="nil"/>
              <w:left w:val="nil"/>
              <w:bottom w:val="nil"/>
              <w:right w:val="nil"/>
            </w:tcBorders>
          </w:tcPr>
          <w:p w14:paraId="53DA6AA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0.107***</w:t>
            </w:r>
          </w:p>
        </w:tc>
        <w:tc>
          <w:tcPr>
            <w:tcW w:w="948" w:type="pct"/>
            <w:tcBorders>
              <w:top w:val="nil"/>
              <w:left w:val="nil"/>
              <w:bottom w:val="nil"/>
              <w:right w:val="nil"/>
            </w:tcBorders>
          </w:tcPr>
          <w:p w14:paraId="7D3B99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0.108***</w:t>
            </w:r>
          </w:p>
        </w:tc>
        <w:tc>
          <w:tcPr>
            <w:tcW w:w="707" w:type="pct"/>
            <w:tcBorders>
              <w:top w:val="nil"/>
              <w:left w:val="nil"/>
              <w:bottom w:val="nil"/>
              <w:right w:val="nil"/>
            </w:tcBorders>
          </w:tcPr>
          <w:p w14:paraId="7269CE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0.105***</w:t>
            </w:r>
          </w:p>
        </w:tc>
        <w:tc>
          <w:tcPr>
            <w:tcW w:w="831" w:type="pct"/>
            <w:tcBorders>
              <w:top w:val="nil"/>
              <w:left w:val="nil"/>
              <w:bottom w:val="nil"/>
              <w:right w:val="nil"/>
            </w:tcBorders>
          </w:tcPr>
          <w:p w14:paraId="6035FA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0.0994***</w:t>
            </w:r>
          </w:p>
        </w:tc>
        <w:tc>
          <w:tcPr>
            <w:tcW w:w="726" w:type="pct"/>
            <w:tcBorders>
              <w:top w:val="nil"/>
              <w:left w:val="nil"/>
              <w:bottom w:val="nil"/>
              <w:right w:val="nil"/>
            </w:tcBorders>
          </w:tcPr>
          <w:p w14:paraId="11C4C0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0.123*</w:t>
            </w:r>
          </w:p>
        </w:tc>
      </w:tr>
      <w:tr w:rsidR="00F00E3D" w:rsidRPr="00335312" w14:paraId="352B67A6" w14:textId="77777777" w:rsidTr="009B2FA7">
        <w:trPr>
          <w:jc w:val="center"/>
        </w:trPr>
        <w:tc>
          <w:tcPr>
            <w:tcW w:w="1207" w:type="pct"/>
            <w:tcBorders>
              <w:top w:val="nil"/>
              <w:left w:val="nil"/>
              <w:bottom w:val="nil"/>
              <w:right w:val="nil"/>
            </w:tcBorders>
          </w:tcPr>
          <w:p w14:paraId="0F56B5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0C8EC5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(26.44)</w:t>
            </w:r>
          </w:p>
        </w:tc>
        <w:tc>
          <w:tcPr>
            <w:tcW w:w="948" w:type="pct"/>
            <w:tcBorders>
              <w:top w:val="nil"/>
              <w:left w:val="nil"/>
              <w:bottom w:val="nil"/>
              <w:right w:val="nil"/>
            </w:tcBorders>
          </w:tcPr>
          <w:p w14:paraId="5C4CEE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(23.52)</w:t>
            </w:r>
          </w:p>
        </w:tc>
        <w:tc>
          <w:tcPr>
            <w:tcW w:w="707" w:type="pct"/>
            <w:tcBorders>
              <w:top w:val="nil"/>
              <w:left w:val="nil"/>
              <w:bottom w:val="nil"/>
              <w:right w:val="nil"/>
            </w:tcBorders>
          </w:tcPr>
          <w:p w14:paraId="0E6A059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(13.17)</w:t>
            </w:r>
          </w:p>
        </w:tc>
        <w:tc>
          <w:tcPr>
            <w:tcW w:w="831" w:type="pct"/>
            <w:tcBorders>
              <w:top w:val="nil"/>
              <w:left w:val="nil"/>
              <w:bottom w:val="nil"/>
              <w:right w:val="nil"/>
            </w:tcBorders>
          </w:tcPr>
          <w:p w14:paraId="1465AA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(7.150)</w:t>
            </w:r>
          </w:p>
        </w:tc>
        <w:tc>
          <w:tcPr>
            <w:tcW w:w="726" w:type="pct"/>
            <w:tcBorders>
              <w:top w:val="nil"/>
              <w:left w:val="nil"/>
              <w:bottom w:val="nil"/>
              <w:right w:val="nil"/>
            </w:tcBorders>
          </w:tcPr>
          <w:p w14:paraId="1B415A2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(3.389)</w:t>
            </w:r>
          </w:p>
        </w:tc>
      </w:tr>
      <w:tr w:rsidR="00F00E3D" w:rsidRPr="00335312" w14:paraId="3635FA8F" w14:textId="77777777" w:rsidTr="009B2FA7">
        <w:trPr>
          <w:jc w:val="center"/>
        </w:trPr>
        <w:tc>
          <w:tcPr>
            <w:tcW w:w="1207" w:type="pct"/>
            <w:tcBorders>
              <w:top w:val="nil"/>
              <w:left w:val="nil"/>
              <w:bottom w:val="nil"/>
              <w:right w:val="nil"/>
            </w:tcBorders>
          </w:tcPr>
          <w:p w14:paraId="5D3425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2018.year#11.month</w:t>
            </w:r>
          </w:p>
        </w:tc>
        <w:tc>
          <w:tcPr>
            <w:tcW w:w="580" w:type="pct"/>
            <w:tcBorders>
              <w:top w:val="nil"/>
              <w:left w:val="nil"/>
              <w:bottom w:val="nil"/>
              <w:right w:val="nil"/>
            </w:tcBorders>
          </w:tcPr>
          <w:p w14:paraId="34A16CB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0.109***</w:t>
            </w:r>
          </w:p>
        </w:tc>
        <w:tc>
          <w:tcPr>
            <w:tcW w:w="948" w:type="pct"/>
            <w:tcBorders>
              <w:top w:val="nil"/>
              <w:left w:val="nil"/>
              <w:bottom w:val="nil"/>
              <w:right w:val="nil"/>
            </w:tcBorders>
          </w:tcPr>
          <w:p w14:paraId="2FD394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0.110***</w:t>
            </w:r>
          </w:p>
        </w:tc>
        <w:tc>
          <w:tcPr>
            <w:tcW w:w="707" w:type="pct"/>
            <w:tcBorders>
              <w:top w:val="nil"/>
              <w:left w:val="nil"/>
              <w:bottom w:val="nil"/>
              <w:right w:val="nil"/>
            </w:tcBorders>
          </w:tcPr>
          <w:p w14:paraId="62FD4F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0.105***</w:t>
            </w:r>
          </w:p>
        </w:tc>
        <w:tc>
          <w:tcPr>
            <w:tcW w:w="831" w:type="pct"/>
            <w:tcBorders>
              <w:top w:val="nil"/>
              <w:left w:val="nil"/>
              <w:bottom w:val="nil"/>
              <w:right w:val="nil"/>
            </w:tcBorders>
          </w:tcPr>
          <w:p w14:paraId="2AE1C5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0.116***</w:t>
            </w:r>
          </w:p>
        </w:tc>
        <w:tc>
          <w:tcPr>
            <w:tcW w:w="726" w:type="pct"/>
            <w:tcBorders>
              <w:top w:val="nil"/>
              <w:left w:val="nil"/>
              <w:bottom w:val="nil"/>
              <w:right w:val="nil"/>
            </w:tcBorders>
          </w:tcPr>
          <w:p w14:paraId="327464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0.136**</w:t>
            </w:r>
          </w:p>
        </w:tc>
      </w:tr>
      <w:tr w:rsidR="00F00E3D" w:rsidRPr="00335312" w14:paraId="6689EE58" w14:textId="77777777" w:rsidTr="009B2FA7">
        <w:trPr>
          <w:jc w:val="center"/>
        </w:trPr>
        <w:tc>
          <w:tcPr>
            <w:tcW w:w="1207" w:type="pct"/>
            <w:tcBorders>
              <w:top w:val="nil"/>
              <w:left w:val="nil"/>
              <w:bottom w:val="nil"/>
              <w:right w:val="nil"/>
            </w:tcBorders>
          </w:tcPr>
          <w:p w14:paraId="4FDA12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7C0838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(28.74)</w:t>
            </w:r>
          </w:p>
        </w:tc>
        <w:tc>
          <w:tcPr>
            <w:tcW w:w="948" w:type="pct"/>
            <w:tcBorders>
              <w:top w:val="nil"/>
              <w:left w:val="nil"/>
              <w:bottom w:val="nil"/>
              <w:right w:val="nil"/>
            </w:tcBorders>
          </w:tcPr>
          <w:p w14:paraId="626B38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(24.22)</w:t>
            </w:r>
          </w:p>
        </w:tc>
        <w:tc>
          <w:tcPr>
            <w:tcW w:w="707" w:type="pct"/>
            <w:tcBorders>
              <w:top w:val="nil"/>
              <w:left w:val="nil"/>
              <w:bottom w:val="nil"/>
              <w:right w:val="nil"/>
            </w:tcBorders>
          </w:tcPr>
          <w:p w14:paraId="467579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(15.52)</w:t>
            </w:r>
          </w:p>
        </w:tc>
        <w:tc>
          <w:tcPr>
            <w:tcW w:w="831" w:type="pct"/>
            <w:tcBorders>
              <w:top w:val="nil"/>
              <w:left w:val="nil"/>
              <w:bottom w:val="nil"/>
              <w:right w:val="nil"/>
            </w:tcBorders>
          </w:tcPr>
          <w:p w14:paraId="23B5BF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(7.252)</w:t>
            </w:r>
          </w:p>
        </w:tc>
        <w:tc>
          <w:tcPr>
            <w:tcW w:w="726" w:type="pct"/>
            <w:tcBorders>
              <w:top w:val="nil"/>
              <w:left w:val="nil"/>
              <w:bottom w:val="nil"/>
              <w:right w:val="nil"/>
            </w:tcBorders>
          </w:tcPr>
          <w:p w14:paraId="0E6F7F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(6.774)</w:t>
            </w:r>
          </w:p>
        </w:tc>
      </w:tr>
      <w:tr w:rsidR="00F00E3D" w:rsidRPr="00335312" w14:paraId="502E5521" w14:textId="77777777" w:rsidTr="009B2FA7">
        <w:trPr>
          <w:jc w:val="center"/>
        </w:trPr>
        <w:tc>
          <w:tcPr>
            <w:tcW w:w="1207" w:type="pct"/>
            <w:tcBorders>
              <w:top w:val="nil"/>
              <w:left w:val="nil"/>
              <w:bottom w:val="nil"/>
              <w:right w:val="nil"/>
            </w:tcBorders>
          </w:tcPr>
          <w:p w14:paraId="54899FB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2018.year#12.month</w:t>
            </w:r>
          </w:p>
        </w:tc>
        <w:tc>
          <w:tcPr>
            <w:tcW w:w="580" w:type="pct"/>
            <w:tcBorders>
              <w:top w:val="nil"/>
              <w:left w:val="nil"/>
              <w:bottom w:val="nil"/>
              <w:right w:val="nil"/>
            </w:tcBorders>
          </w:tcPr>
          <w:p w14:paraId="3EC182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0.113***</w:t>
            </w:r>
          </w:p>
        </w:tc>
        <w:tc>
          <w:tcPr>
            <w:tcW w:w="948" w:type="pct"/>
            <w:tcBorders>
              <w:top w:val="nil"/>
              <w:left w:val="nil"/>
              <w:bottom w:val="nil"/>
              <w:right w:val="nil"/>
            </w:tcBorders>
          </w:tcPr>
          <w:p w14:paraId="20C2EED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0.113***</w:t>
            </w:r>
          </w:p>
        </w:tc>
        <w:tc>
          <w:tcPr>
            <w:tcW w:w="707" w:type="pct"/>
            <w:tcBorders>
              <w:top w:val="nil"/>
              <w:left w:val="nil"/>
              <w:bottom w:val="nil"/>
              <w:right w:val="nil"/>
            </w:tcBorders>
          </w:tcPr>
          <w:p w14:paraId="7150E9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0.114***</w:t>
            </w:r>
          </w:p>
        </w:tc>
        <w:tc>
          <w:tcPr>
            <w:tcW w:w="831" w:type="pct"/>
            <w:tcBorders>
              <w:top w:val="nil"/>
              <w:left w:val="nil"/>
              <w:bottom w:val="nil"/>
              <w:right w:val="nil"/>
            </w:tcBorders>
          </w:tcPr>
          <w:p w14:paraId="480852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0.121***</w:t>
            </w:r>
          </w:p>
        </w:tc>
        <w:tc>
          <w:tcPr>
            <w:tcW w:w="726" w:type="pct"/>
            <w:tcBorders>
              <w:top w:val="nil"/>
              <w:left w:val="nil"/>
              <w:bottom w:val="nil"/>
              <w:right w:val="nil"/>
            </w:tcBorders>
          </w:tcPr>
          <w:p w14:paraId="0260A1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0.165***</w:t>
            </w:r>
          </w:p>
        </w:tc>
      </w:tr>
      <w:tr w:rsidR="00F00E3D" w:rsidRPr="00335312" w14:paraId="13617725" w14:textId="77777777" w:rsidTr="009B2FA7">
        <w:trPr>
          <w:jc w:val="center"/>
        </w:trPr>
        <w:tc>
          <w:tcPr>
            <w:tcW w:w="1207" w:type="pct"/>
            <w:tcBorders>
              <w:top w:val="nil"/>
              <w:left w:val="nil"/>
              <w:bottom w:val="nil"/>
              <w:right w:val="nil"/>
            </w:tcBorders>
          </w:tcPr>
          <w:p w14:paraId="1C84B58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2A349AB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(25.19)</w:t>
            </w:r>
          </w:p>
        </w:tc>
        <w:tc>
          <w:tcPr>
            <w:tcW w:w="948" w:type="pct"/>
            <w:tcBorders>
              <w:top w:val="nil"/>
              <w:left w:val="nil"/>
              <w:bottom w:val="nil"/>
              <w:right w:val="nil"/>
            </w:tcBorders>
          </w:tcPr>
          <w:p w14:paraId="3F1F36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(19.87)</w:t>
            </w:r>
          </w:p>
        </w:tc>
        <w:tc>
          <w:tcPr>
            <w:tcW w:w="707" w:type="pct"/>
            <w:tcBorders>
              <w:top w:val="nil"/>
              <w:left w:val="nil"/>
              <w:bottom w:val="nil"/>
              <w:right w:val="nil"/>
            </w:tcBorders>
          </w:tcPr>
          <w:p w14:paraId="2B8B8FB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(15.82)</w:t>
            </w:r>
          </w:p>
        </w:tc>
        <w:tc>
          <w:tcPr>
            <w:tcW w:w="831" w:type="pct"/>
            <w:tcBorders>
              <w:top w:val="nil"/>
              <w:left w:val="nil"/>
              <w:bottom w:val="nil"/>
              <w:right w:val="nil"/>
            </w:tcBorders>
          </w:tcPr>
          <w:p w14:paraId="241478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(14.55)</w:t>
            </w:r>
          </w:p>
        </w:tc>
        <w:tc>
          <w:tcPr>
            <w:tcW w:w="726" w:type="pct"/>
            <w:tcBorders>
              <w:top w:val="nil"/>
              <w:left w:val="nil"/>
              <w:bottom w:val="nil"/>
              <w:right w:val="nil"/>
            </w:tcBorders>
          </w:tcPr>
          <w:p w14:paraId="406C3C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(19.07)</w:t>
            </w:r>
          </w:p>
        </w:tc>
      </w:tr>
      <w:tr w:rsidR="00F00E3D" w:rsidRPr="00335312" w14:paraId="43D5F042" w14:textId="77777777" w:rsidTr="009B2FA7">
        <w:trPr>
          <w:jc w:val="center"/>
        </w:trPr>
        <w:tc>
          <w:tcPr>
            <w:tcW w:w="1207" w:type="pct"/>
            <w:tcBorders>
              <w:top w:val="nil"/>
              <w:left w:val="nil"/>
              <w:bottom w:val="nil"/>
              <w:right w:val="nil"/>
            </w:tcBorders>
          </w:tcPr>
          <w:p w14:paraId="1D2491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2019.year#1.month</w:t>
            </w:r>
          </w:p>
        </w:tc>
        <w:tc>
          <w:tcPr>
            <w:tcW w:w="580" w:type="pct"/>
            <w:tcBorders>
              <w:top w:val="nil"/>
              <w:left w:val="nil"/>
              <w:bottom w:val="nil"/>
              <w:right w:val="nil"/>
            </w:tcBorders>
          </w:tcPr>
          <w:p w14:paraId="1EE6D5B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0.126***</w:t>
            </w:r>
          </w:p>
        </w:tc>
        <w:tc>
          <w:tcPr>
            <w:tcW w:w="948" w:type="pct"/>
            <w:tcBorders>
              <w:top w:val="nil"/>
              <w:left w:val="nil"/>
              <w:bottom w:val="nil"/>
              <w:right w:val="nil"/>
            </w:tcBorders>
          </w:tcPr>
          <w:p w14:paraId="18A0D3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0.131***</w:t>
            </w:r>
          </w:p>
        </w:tc>
        <w:tc>
          <w:tcPr>
            <w:tcW w:w="707" w:type="pct"/>
            <w:tcBorders>
              <w:top w:val="nil"/>
              <w:left w:val="nil"/>
              <w:bottom w:val="nil"/>
              <w:right w:val="nil"/>
            </w:tcBorders>
          </w:tcPr>
          <w:p w14:paraId="6CD5F4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0.116***</w:t>
            </w:r>
          </w:p>
        </w:tc>
        <w:tc>
          <w:tcPr>
            <w:tcW w:w="831" w:type="pct"/>
            <w:tcBorders>
              <w:top w:val="nil"/>
              <w:left w:val="nil"/>
              <w:bottom w:val="nil"/>
              <w:right w:val="nil"/>
            </w:tcBorders>
          </w:tcPr>
          <w:p w14:paraId="670FDF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0.124***</w:t>
            </w:r>
          </w:p>
        </w:tc>
        <w:tc>
          <w:tcPr>
            <w:tcW w:w="726" w:type="pct"/>
            <w:tcBorders>
              <w:top w:val="nil"/>
              <w:left w:val="nil"/>
              <w:bottom w:val="nil"/>
              <w:right w:val="nil"/>
            </w:tcBorders>
          </w:tcPr>
          <w:p w14:paraId="6704F2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0.138**</w:t>
            </w:r>
          </w:p>
        </w:tc>
      </w:tr>
      <w:tr w:rsidR="00F00E3D" w:rsidRPr="00335312" w14:paraId="78F1504F" w14:textId="77777777" w:rsidTr="009B2FA7">
        <w:trPr>
          <w:jc w:val="center"/>
        </w:trPr>
        <w:tc>
          <w:tcPr>
            <w:tcW w:w="1207" w:type="pct"/>
            <w:tcBorders>
              <w:top w:val="nil"/>
              <w:left w:val="nil"/>
              <w:bottom w:val="nil"/>
              <w:right w:val="nil"/>
            </w:tcBorders>
          </w:tcPr>
          <w:p w14:paraId="016EDC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15111A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(11.39)</w:t>
            </w:r>
          </w:p>
        </w:tc>
        <w:tc>
          <w:tcPr>
            <w:tcW w:w="948" w:type="pct"/>
            <w:tcBorders>
              <w:top w:val="nil"/>
              <w:left w:val="nil"/>
              <w:bottom w:val="nil"/>
              <w:right w:val="nil"/>
            </w:tcBorders>
          </w:tcPr>
          <w:p w14:paraId="4C2C70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(8.406)</w:t>
            </w:r>
          </w:p>
        </w:tc>
        <w:tc>
          <w:tcPr>
            <w:tcW w:w="707" w:type="pct"/>
            <w:tcBorders>
              <w:top w:val="nil"/>
              <w:left w:val="nil"/>
              <w:bottom w:val="nil"/>
              <w:right w:val="nil"/>
            </w:tcBorders>
          </w:tcPr>
          <w:p w14:paraId="5FD625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(16.25)</w:t>
            </w:r>
          </w:p>
        </w:tc>
        <w:tc>
          <w:tcPr>
            <w:tcW w:w="831" w:type="pct"/>
            <w:tcBorders>
              <w:top w:val="nil"/>
              <w:left w:val="nil"/>
              <w:bottom w:val="nil"/>
              <w:right w:val="nil"/>
            </w:tcBorders>
          </w:tcPr>
          <w:p w14:paraId="356B4A9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(9.569)</w:t>
            </w:r>
          </w:p>
        </w:tc>
        <w:tc>
          <w:tcPr>
            <w:tcW w:w="726" w:type="pct"/>
            <w:tcBorders>
              <w:top w:val="nil"/>
              <w:left w:val="nil"/>
              <w:bottom w:val="nil"/>
              <w:right w:val="nil"/>
            </w:tcBorders>
          </w:tcPr>
          <w:p w14:paraId="70188D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(6.932)</w:t>
            </w:r>
          </w:p>
        </w:tc>
      </w:tr>
      <w:tr w:rsidR="00F00E3D" w:rsidRPr="00335312" w14:paraId="74C9F3AC" w14:textId="77777777" w:rsidTr="009B2FA7">
        <w:trPr>
          <w:jc w:val="center"/>
        </w:trPr>
        <w:tc>
          <w:tcPr>
            <w:tcW w:w="1207" w:type="pct"/>
            <w:tcBorders>
              <w:top w:val="nil"/>
              <w:left w:val="nil"/>
              <w:bottom w:val="nil"/>
              <w:right w:val="nil"/>
            </w:tcBorders>
          </w:tcPr>
          <w:p w14:paraId="5CA2CD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2019.year#2.month</w:t>
            </w:r>
          </w:p>
        </w:tc>
        <w:tc>
          <w:tcPr>
            <w:tcW w:w="580" w:type="pct"/>
            <w:tcBorders>
              <w:top w:val="nil"/>
              <w:left w:val="nil"/>
              <w:bottom w:val="nil"/>
              <w:right w:val="nil"/>
            </w:tcBorders>
          </w:tcPr>
          <w:p w14:paraId="6CAFA9A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0.118***</w:t>
            </w:r>
          </w:p>
        </w:tc>
        <w:tc>
          <w:tcPr>
            <w:tcW w:w="948" w:type="pct"/>
            <w:tcBorders>
              <w:top w:val="nil"/>
              <w:left w:val="nil"/>
              <w:bottom w:val="nil"/>
              <w:right w:val="nil"/>
            </w:tcBorders>
          </w:tcPr>
          <w:p w14:paraId="2A0BA0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0.120***</w:t>
            </w:r>
          </w:p>
        </w:tc>
        <w:tc>
          <w:tcPr>
            <w:tcW w:w="707" w:type="pct"/>
            <w:tcBorders>
              <w:top w:val="nil"/>
              <w:left w:val="nil"/>
              <w:bottom w:val="nil"/>
              <w:right w:val="nil"/>
            </w:tcBorders>
          </w:tcPr>
          <w:p w14:paraId="1B111B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0.113***</w:t>
            </w:r>
          </w:p>
        </w:tc>
        <w:tc>
          <w:tcPr>
            <w:tcW w:w="831" w:type="pct"/>
            <w:tcBorders>
              <w:top w:val="nil"/>
              <w:left w:val="nil"/>
              <w:bottom w:val="nil"/>
              <w:right w:val="nil"/>
            </w:tcBorders>
          </w:tcPr>
          <w:p w14:paraId="7A4DC8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0.104***</w:t>
            </w:r>
          </w:p>
        </w:tc>
        <w:tc>
          <w:tcPr>
            <w:tcW w:w="726" w:type="pct"/>
            <w:tcBorders>
              <w:top w:val="nil"/>
              <w:left w:val="nil"/>
              <w:bottom w:val="nil"/>
              <w:right w:val="nil"/>
            </w:tcBorders>
          </w:tcPr>
          <w:p w14:paraId="151C2BD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0.136**</w:t>
            </w:r>
          </w:p>
        </w:tc>
      </w:tr>
      <w:tr w:rsidR="00F00E3D" w:rsidRPr="00335312" w14:paraId="060349C0" w14:textId="77777777" w:rsidTr="009B2FA7">
        <w:trPr>
          <w:jc w:val="center"/>
        </w:trPr>
        <w:tc>
          <w:tcPr>
            <w:tcW w:w="1207" w:type="pct"/>
            <w:tcBorders>
              <w:top w:val="nil"/>
              <w:left w:val="nil"/>
              <w:bottom w:val="nil"/>
              <w:right w:val="nil"/>
            </w:tcBorders>
          </w:tcPr>
          <w:p w14:paraId="02960C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51614D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(26.90)</w:t>
            </w:r>
          </w:p>
        </w:tc>
        <w:tc>
          <w:tcPr>
            <w:tcW w:w="948" w:type="pct"/>
            <w:tcBorders>
              <w:top w:val="nil"/>
              <w:left w:val="nil"/>
              <w:bottom w:val="nil"/>
              <w:right w:val="nil"/>
            </w:tcBorders>
          </w:tcPr>
          <w:p w14:paraId="1CD660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(21.87)</w:t>
            </w:r>
          </w:p>
        </w:tc>
        <w:tc>
          <w:tcPr>
            <w:tcW w:w="707" w:type="pct"/>
            <w:tcBorders>
              <w:top w:val="nil"/>
              <w:left w:val="nil"/>
              <w:bottom w:val="nil"/>
              <w:right w:val="nil"/>
            </w:tcBorders>
          </w:tcPr>
          <w:p w14:paraId="673323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(16.04)</w:t>
            </w:r>
          </w:p>
        </w:tc>
        <w:tc>
          <w:tcPr>
            <w:tcW w:w="831" w:type="pct"/>
            <w:tcBorders>
              <w:top w:val="nil"/>
              <w:left w:val="nil"/>
              <w:bottom w:val="nil"/>
              <w:right w:val="nil"/>
            </w:tcBorders>
          </w:tcPr>
          <w:p w14:paraId="2FD9C7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(6.343)</w:t>
            </w:r>
          </w:p>
        </w:tc>
        <w:tc>
          <w:tcPr>
            <w:tcW w:w="726" w:type="pct"/>
            <w:tcBorders>
              <w:top w:val="nil"/>
              <w:left w:val="nil"/>
              <w:bottom w:val="nil"/>
              <w:right w:val="nil"/>
            </w:tcBorders>
          </w:tcPr>
          <w:p w14:paraId="50CDE6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(5.444)</w:t>
            </w:r>
          </w:p>
        </w:tc>
      </w:tr>
      <w:tr w:rsidR="00F00E3D" w:rsidRPr="00335312" w14:paraId="49EADB93" w14:textId="77777777" w:rsidTr="009B2FA7">
        <w:trPr>
          <w:jc w:val="center"/>
        </w:trPr>
        <w:tc>
          <w:tcPr>
            <w:tcW w:w="1207" w:type="pct"/>
            <w:tcBorders>
              <w:top w:val="nil"/>
              <w:left w:val="nil"/>
              <w:bottom w:val="nil"/>
              <w:right w:val="nil"/>
            </w:tcBorders>
          </w:tcPr>
          <w:p w14:paraId="47310D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2019.year#3.month</w:t>
            </w:r>
          </w:p>
        </w:tc>
        <w:tc>
          <w:tcPr>
            <w:tcW w:w="580" w:type="pct"/>
            <w:tcBorders>
              <w:top w:val="nil"/>
              <w:left w:val="nil"/>
              <w:bottom w:val="nil"/>
              <w:right w:val="nil"/>
            </w:tcBorders>
          </w:tcPr>
          <w:p w14:paraId="3FE30E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0.122***</w:t>
            </w:r>
          </w:p>
        </w:tc>
        <w:tc>
          <w:tcPr>
            <w:tcW w:w="948" w:type="pct"/>
            <w:tcBorders>
              <w:top w:val="nil"/>
              <w:left w:val="nil"/>
              <w:bottom w:val="nil"/>
              <w:right w:val="nil"/>
            </w:tcBorders>
          </w:tcPr>
          <w:p w14:paraId="04A5C6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0.117***</w:t>
            </w:r>
          </w:p>
        </w:tc>
        <w:tc>
          <w:tcPr>
            <w:tcW w:w="707" w:type="pct"/>
            <w:tcBorders>
              <w:top w:val="nil"/>
              <w:left w:val="nil"/>
              <w:bottom w:val="nil"/>
              <w:right w:val="nil"/>
            </w:tcBorders>
          </w:tcPr>
          <w:p w14:paraId="66A9BC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0.131***</w:t>
            </w:r>
          </w:p>
        </w:tc>
        <w:tc>
          <w:tcPr>
            <w:tcW w:w="831" w:type="pct"/>
            <w:tcBorders>
              <w:top w:val="nil"/>
              <w:left w:val="nil"/>
              <w:bottom w:val="nil"/>
              <w:right w:val="nil"/>
            </w:tcBorders>
          </w:tcPr>
          <w:p w14:paraId="18A9A8B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0.142***</w:t>
            </w:r>
          </w:p>
        </w:tc>
        <w:tc>
          <w:tcPr>
            <w:tcW w:w="726" w:type="pct"/>
            <w:tcBorders>
              <w:top w:val="nil"/>
              <w:left w:val="nil"/>
              <w:bottom w:val="nil"/>
              <w:right w:val="nil"/>
            </w:tcBorders>
          </w:tcPr>
          <w:p w14:paraId="3FB97C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0.165**</w:t>
            </w:r>
          </w:p>
        </w:tc>
      </w:tr>
      <w:tr w:rsidR="00F00E3D" w:rsidRPr="00335312" w14:paraId="68081C46" w14:textId="77777777" w:rsidTr="009B2FA7">
        <w:trPr>
          <w:jc w:val="center"/>
        </w:trPr>
        <w:tc>
          <w:tcPr>
            <w:tcW w:w="1207" w:type="pct"/>
            <w:tcBorders>
              <w:top w:val="nil"/>
              <w:left w:val="nil"/>
              <w:bottom w:val="nil"/>
              <w:right w:val="nil"/>
            </w:tcBorders>
          </w:tcPr>
          <w:p w14:paraId="51F667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74E99B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(27.44)</w:t>
            </w:r>
          </w:p>
        </w:tc>
        <w:tc>
          <w:tcPr>
            <w:tcW w:w="948" w:type="pct"/>
            <w:tcBorders>
              <w:top w:val="nil"/>
              <w:left w:val="nil"/>
              <w:bottom w:val="nil"/>
              <w:right w:val="nil"/>
            </w:tcBorders>
          </w:tcPr>
          <w:p w14:paraId="40FDA4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(22.67)</w:t>
            </w:r>
          </w:p>
        </w:tc>
        <w:tc>
          <w:tcPr>
            <w:tcW w:w="707" w:type="pct"/>
            <w:tcBorders>
              <w:top w:val="nil"/>
              <w:left w:val="nil"/>
              <w:bottom w:val="nil"/>
              <w:right w:val="nil"/>
            </w:tcBorders>
          </w:tcPr>
          <w:p w14:paraId="5D9AE4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(15.99)</w:t>
            </w:r>
          </w:p>
        </w:tc>
        <w:tc>
          <w:tcPr>
            <w:tcW w:w="831" w:type="pct"/>
            <w:tcBorders>
              <w:top w:val="nil"/>
              <w:left w:val="nil"/>
              <w:bottom w:val="nil"/>
              <w:right w:val="nil"/>
            </w:tcBorders>
          </w:tcPr>
          <w:p w14:paraId="1A4E7D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(10.91)</w:t>
            </w:r>
          </w:p>
        </w:tc>
        <w:tc>
          <w:tcPr>
            <w:tcW w:w="726" w:type="pct"/>
            <w:tcBorders>
              <w:top w:val="nil"/>
              <w:left w:val="nil"/>
              <w:bottom w:val="nil"/>
              <w:right w:val="nil"/>
            </w:tcBorders>
          </w:tcPr>
          <w:p w14:paraId="5036F9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(7.856)</w:t>
            </w:r>
          </w:p>
        </w:tc>
      </w:tr>
      <w:tr w:rsidR="00F00E3D" w:rsidRPr="00335312" w14:paraId="020B83B6" w14:textId="77777777" w:rsidTr="009B2FA7">
        <w:trPr>
          <w:jc w:val="center"/>
        </w:trPr>
        <w:tc>
          <w:tcPr>
            <w:tcW w:w="1207" w:type="pct"/>
            <w:tcBorders>
              <w:top w:val="nil"/>
              <w:left w:val="nil"/>
              <w:bottom w:val="nil"/>
              <w:right w:val="nil"/>
            </w:tcBorders>
          </w:tcPr>
          <w:p w14:paraId="1A31A6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2019.year#4.month</w:t>
            </w:r>
          </w:p>
        </w:tc>
        <w:tc>
          <w:tcPr>
            <w:tcW w:w="580" w:type="pct"/>
            <w:tcBorders>
              <w:top w:val="nil"/>
              <w:left w:val="nil"/>
              <w:bottom w:val="nil"/>
              <w:right w:val="nil"/>
            </w:tcBorders>
          </w:tcPr>
          <w:p w14:paraId="7DDE02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0.119***</w:t>
            </w:r>
          </w:p>
        </w:tc>
        <w:tc>
          <w:tcPr>
            <w:tcW w:w="948" w:type="pct"/>
            <w:tcBorders>
              <w:top w:val="nil"/>
              <w:left w:val="nil"/>
              <w:bottom w:val="nil"/>
              <w:right w:val="nil"/>
            </w:tcBorders>
          </w:tcPr>
          <w:p w14:paraId="490673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0.113***</w:t>
            </w:r>
          </w:p>
        </w:tc>
        <w:tc>
          <w:tcPr>
            <w:tcW w:w="707" w:type="pct"/>
            <w:tcBorders>
              <w:top w:val="nil"/>
              <w:left w:val="nil"/>
              <w:bottom w:val="nil"/>
              <w:right w:val="nil"/>
            </w:tcBorders>
          </w:tcPr>
          <w:p w14:paraId="1776D4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0.132***</w:t>
            </w:r>
          </w:p>
        </w:tc>
        <w:tc>
          <w:tcPr>
            <w:tcW w:w="831" w:type="pct"/>
            <w:tcBorders>
              <w:top w:val="nil"/>
              <w:left w:val="nil"/>
              <w:bottom w:val="nil"/>
              <w:right w:val="nil"/>
            </w:tcBorders>
          </w:tcPr>
          <w:p w14:paraId="44C490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0.149***</w:t>
            </w:r>
          </w:p>
        </w:tc>
        <w:tc>
          <w:tcPr>
            <w:tcW w:w="726" w:type="pct"/>
            <w:tcBorders>
              <w:top w:val="nil"/>
              <w:left w:val="nil"/>
              <w:bottom w:val="nil"/>
              <w:right w:val="nil"/>
            </w:tcBorders>
          </w:tcPr>
          <w:p w14:paraId="43E9F9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0.145**</w:t>
            </w:r>
          </w:p>
        </w:tc>
      </w:tr>
      <w:tr w:rsidR="00F00E3D" w:rsidRPr="00335312" w14:paraId="512DEE6E" w14:textId="77777777" w:rsidTr="009B2FA7">
        <w:trPr>
          <w:jc w:val="center"/>
        </w:trPr>
        <w:tc>
          <w:tcPr>
            <w:tcW w:w="1207" w:type="pct"/>
            <w:tcBorders>
              <w:top w:val="nil"/>
              <w:left w:val="nil"/>
              <w:bottom w:val="nil"/>
              <w:right w:val="nil"/>
            </w:tcBorders>
          </w:tcPr>
          <w:p w14:paraId="0EC89B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10F15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(26.55)</w:t>
            </w:r>
          </w:p>
        </w:tc>
        <w:tc>
          <w:tcPr>
            <w:tcW w:w="948" w:type="pct"/>
            <w:tcBorders>
              <w:top w:val="nil"/>
              <w:left w:val="nil"/>
              <w:bottom w:val="nil"/>
              <w:right w:val="nil"/>
            </w:tcBorders>
          </w:tcPr>
          <w:p w14:paraId="7AB86E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(21.75)</w:t>
            </w:r>
          </w:p>
        </w:tc>
        <w:tc>
          <w:tcPr>
            <w:tcW w:w="707" w:type="pct"/>
            <w:tcBorders>
              <w:top w:val="nil"/>
              <w:left w:val="nil"/>
              <w:bottom w:val="nil"/>
              <w:right w:val="nil"/>
            </w:tcBorders>
          </w:tcPr>
          <w:p w14:paraId="108045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(16.09)</w:t>
            </w:r>
          </w:p>
        </w:tc>
        <w:tc>
          <w:tcPr>
            <w:tcW w:w="831" w:type="pct"/>
            <w:tcBorders>
              <w:top w:val="nil"/>
              <w:left w:val="nil"/>
              <w:bottom w:val="nil"/>
              <w:right w:val="nil"/>
            </w:tcBorders>
          </w:tcPr>
          <w:p w14:paraId="23EEB0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(7.246)</w:t>
            </w:r>
          </w:p>
        </w:tc>
        <w:tc>
          <w:tcPr>
            <w:tcW w:w="726" w:type="pct"/>
            <w:tcBorders>
              <w:top w:val="nil"/>
              <w:left w:val="nil"/>
              <w:bottom w:val="nil"/>
              <w:right w:val="nil"/>
            </w:tcBorders>
          </w:tcPr>
          <w:p w14:paraId="16FBB3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(5.484)</w:t>
            </w:r>
          </w:p>
        </w:tc>
      </w:tr>
      <w:tr w:rsidR="00F00E3D" w:rsidRPr="00335312" w14:paraId="2292895B" w14:textId="77777777" w:rsidTr="009B2FA7">
        <w:trPr>
          <w:jc w:val="center"/>
        </w:trPr>
        <w:tc>
          <w:tcPr>
            <w:tcW w:w="1207" w:type="pct"/>
            <w:tcBorders>
              <w:top w:val="nil"/>
              <w:left w:val="nil"/>
              <w:bottom w:val="nil"/>
              <w:right w:val="nil"/>
            </w:tcBorders>
          </w:tcPr>
          <w:p w14:paraId="6A20D0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2019.year#5.month</w:t>
            </w:r>
          </w:p>
        </w:tc>
        <w:tc>
          <w:tcPr>
            <w:tcW w:w="580" w:type="pct"/>
            <w:tcBorders>
              <w:top w:val="nil"/>
              <w:left w:val="nil"/>
              <w:bottom w:val="nil"/>
              <w:right w:val="nil"/>
            </w:tcBorders>
          </w:tcPr>
          <w:p w14:paraId="07F7E0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0.117***</w:t>
            </w:r>
          </w:p>
        </w:tc>
        <w:tc>
          <w:tcPr>
            <w:tcW w:w="948" w:type="pct"/>
            <w:tcBorders>
              <w:top w:val="nil"/>
              <w:left w:val="nil"/>
              <w:bottom w:val="nil"/>
              <w:right w:val="nil"/>
            </w:tcBorders>
          </w:tcPr>
          <w:p w14:paraId="4B6BA08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0.114***</w:t>
            </w:r>
          </w:p>
        </w:tc>
        <w:tc>
          <w:tcPr>
            <w:tcW w:w="707" w:type="pct"/>
            <w:tcBorders>
              <w:top w:val="nil"/>
              <w:left w:val="nil"/>
              <w:bottom w:val="nil"/>
              <w:right w:val="nil"/>
            </w:tcBorders>
          </w:tcPr>
          <w:p w14:paraId="7AF95C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0.122***</w:t>
            </w:r>
          </w:p>
        </w:tc>
        <w:tc>
          <w:tcPr>
            <w:tcW w:w="831" w:type="pct"/>
            <w:tcBorders>
              <w:top w:val="nil"/>
              <w:left w:val="nil"/>
              <w:bottom w:val="nil"/>
              <w:right w:val="nil"/>
            </w:tcBorders>
          </w:tcPr>
          <w:p w14:paraId="4B5289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0.137***</w:t>
            </w:r>
          </w:p>
        </w:tc>
        <w:tc>
          <w:tcPr>
            <w:tcW w:w="726" w:type="pct"/>
            <w:tcBorders>
              <w:top w:val="nil"/>
              <w:left w:val="nil"/>
              <w:bottom w:val="nil"/>
              <w:right w:val="nil"/>
            </w:tcBorders>
          </w:tcPr>
          <w:p w14:paraId="387CB0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0.163**</w:t>
            </w:r>
          </w:p>
        </w:tc>
      </w:tr>
      <w:tr w:rsidR="00F00E3D" w:rsidRPr="00335312" w14:paraId="1D9A1F92" w14:textId="77777777" w:rsidTr="009B2FA7">
        <w:trPr>
          <w:jc w:val="center"/>
        </w:trPr>
        <w:tc>
          <w:tcPr>
            <w:tcW w:w="1207" w:type="pct"/>
            <w:tcBorders>
              <w:top w:val="nil"/>
              <w:left w:val="nil"/>
              <w:bottom w:val="nil"/>
              <w:right w:val="nil"/>
            </w:tcBorders>
          </w:tcPr>
          <w:p w14:paraId="6AAC3D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6CCDAD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(26.00)</w:t>
            </w:r>
          </w:p>
        </w:tc>
        <w:tc>
          <w:tcPr>
            <w:tcW w:w="948" w:type="pct"/>
            <w:tcBorders>
              <w:top w:val="nil"/>
              <w:left w:val="nil"/>
              <w:bottom w:val="nil"/>
              <w:right w:val="nil"/>
            </w:tcBorders>
          </w:tcPr>
          <w:p w14:paraId="297AC2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(19.71)</w:t>
            </w:r>
          </w:p>
        </w:tc>
        <w:tc>
          <w:tcPr>
            <w:tcW w:w="707" w:type="pct"/>
            <w:tcBorders>
              <w:top w:val="nil"/>
              <w:left w:val="nil"/>
              <w:bottom w:val="nil"/>
              <w:right w:val="nil"/>
            </w:tcBorders>
          </w:tcPr>
          <w:p w14:paraId="657F4A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(19.29)</w:t>
            </w:r>
          </w:p>
        </w:tc>
        <w:tc>
          <w:tcPr>
            <w:tcW w:w="831" w:type="pct"/>
            <w:tcBorders>
              <w:top w:val="nil"/>
              <w:left w:val="nil"/>
              <w:bottom w:val="nil"/>
              <w:right w:val="nil"/>
            </w:tcBorders>
          </w:tcPr>
          <w:p w14:paraId="5F4F176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(8.947)</w:t>
            </w:r>
          </w:p>
        </w:tc>
        <w:tc>
          <w:tcPr>
            <w:tcW w:w="726" w:type="pct"/>
            <w:tcBorders>
              <w:top w:val="nil"/>
              <w:left w:val="nil"/>
              <w:bottom w:val="nil"/>
              <w:right w:val="nil"/>
            </w:tcBorders>
          </w:tcPr>
          <w:p w14:paraId="78422B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(9.447)</w:t>
            </w:r>
          </w:p>
        </w:tc>
      </w:tr>
      <w:tr w:rsidR="00F00E3D" w:rsidRPr="00335312" w14:paraId="4BAD8000" w14:textId="77777777" w:rsidTr="009B2FA7">
        <w:trPr>
          <w:jc w:val="center"/>
        </w:trPr>
        <w:tc>
          <w:tcPr>
            <w:tcW w:w="1207" w:type="pct"/>
            <w:tcBorders>
              <w:top w:val="nil"/>
              <w:left w:val="nil"/>
              <w:bottom w:val="nil"/>
              <w:right w:val="nil"/>
            </w:tcBorders>
          </w:tcPr>
          <w:p w14:paraId="3CB9EC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2019.year#6.month</w:t>
            </w:r>
          </w:p>
        </w:tc>
        <w:tc>
          <w:tcPr>
            <w:tcW w:w="580" w:type="pct"/>
            <w:tcBorders>
              <w:top w:val="nil"/>
              <w:left w:val="nil"/>
              <w:bottom w:val="nil"/>
              <w:right w:val="nil"/>
            </w:tcBorders>
          </w:tcPr>
          <w:p w14:paraId="43BE0F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0.143***</w:t>
            </w:r>
          </w:p>
        </w:tc>
        <w:tc>
          <w:tcPr>
            <w:tcW w:w="948" w:type="pct"/>
            <w:tcBorders>
              <w:top w:val="nil"/>
              <w:left w:val="nil"/>
              <w:bottom w:val="nil"/>
              <w:right w:val="nil"/>
            </w:tcBorders>
          </w:tcPr>
          <w:p w14:paraId="6D74B0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0.147***</w:t>
            </w:r>
          </w:p>
        </w:tc>
        <w:tc>
          <w:tcPr>
            <w:tcW w:w="707" w:type="pct"/>
            <w:tcBorders>
              <w:top w:val="nil"/>
              <w:left w:val="nil"/>
              <w:bottom w:val="nil"/>
              <w:right w:val="nil"/>
            </w:tcBorders>
          </w:tcPr>
          <w:p w14:paraId="30A28A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0.123***</w:t>
            </w:r>
          </w:p>
        </w:tc>
        <w:tc>
          <w:tcPr>
            <w:tcW w:w="831" w:type="pct"/>
            <w:tcBorders>
              <w:top w:val="nil"/>
              <w:left w:val="nil"/>
              <w:bottom w:val="nil"/>
              <w:right w:val="nil"/>
            </w:tcBorders>
          </w:tcPr>
          <w:p w14:paraId="66B24A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0.127***</w:t>
            </w:r>
          </w:p>
        </w:tc>
        <w:tc>
          <w:tcPr>
            <w:tcW w:w="726" w:type="pct"/>
            <w:tcBorders>
              <w:top w:val="nil"/>
              <w:left w:val="nil"/>
              <w:bottom w:val="nil"/>
              <w:right w:val="nil"/>
            </w:tcBorders>
          </w:tcPr>
          <w:p w14:paraId="60D7A3A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0.149**</w:t>
            </w:r>
          </w:p>
        </w:tc>
      </w:tr>
      <w:tr w:rsidR="00F00E3D" w:rsidRPr="00335312" w14:paraId="7DA966A0" w14:textId="77777777" w:rsidTr="009B2FA7">
        <w:trPr>
          <w:jc w:val="center"/>
        </w:trPr>
        <w:tc>
          <w:tcPr>
            <w:tcW w:w="1207" w:type="pct"/>
            <w:tcBorders>
              <w:top w:val="nil"/>
              <w:left w:val="nil"/>
              <w:bottom w:val="nil"/>
              <w:right w:val="nil"/>
            </w:tcBorders>
          </w:tcPr>
          <w:p w14:paraId="5A146D6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5CB59D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(5.957)</w:t>
            </w:r>
          </w:p>
        </w:tc>
        <w:tc>
          <w:tcPr>
            <w:tcW w:w="948" w:type="pct"/>
            <w:tcBorders>
              <w:top w:val="nil"/>
              <w:left w:val="nil"/>
              <w:bottom w:val="nil"/>
              <w:right w:val="nil"/>
            </w:tcBorders>
          </w:tcPr>
          <w:p w14:paraId="3E55C7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(5.355)</w:t>
            </w:r>
          </w:p>
        </w:tc>
        <w:tc>
          <w:tcPr>
            <w:tcW w:w="707" w:type="pct"/>
            <w:tcBorders>
              <w:top w:val="nil"/>
              <w:left w:val="nil"/>
              <w:bottom w:val="nil"/>
              <w:right w:val="nil"/>
            </w:tcBorders>
          </w:tcPr>
          <w:p w14:paraId="7BC5B9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(17.18)</w:t>
            </w:r>
          </w:p>
        </w:tc>
        <w:tc>
          <w:tcPr>
            <w:tcW w:w="831" w:type="pct"/>
            <w:tcBorders>
              <w:top w:val="nil"/>
              <w:left w:val="nil"/>
              <w:bottom w:val="nil"/>
              <w:right w:val="nil"/>
            </w:tcBorders>
          </w:tcPr>
          <w:p w14:paraId="6B72BB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(15.05)</w:t>
            </w:r>
          </w:p>
        </w:tc>
        <w:tc>
          <w:tcPr>
            <w:tcW w:w="726" w:type="pct"/>
            <w:tcBorders>
              <w:top w:val="nil"/>
              <w:left w:val="nil"/>
              <w:bottom w:val="nil"/>
              <w:right w:val="nil"/>
            </w:tcBorders>
          </w:tcPr>
          <w:p w14:paraId="2B913BA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(9.130)</w:t>
            </w:r>
          </w:p>
        </w:tc>
      </w:tr>
      <w:tr w:rsidR="00F00E3D" w:rsidRPr="00335312" w14:paraId="7F355BC4" w14:textId="77777777" w:rsidTr="009B2FA7">
        <w:trPr>
          <w:jc w:val="center"/>
        </w:trPr>
        <w:tc>
          <w:tcPr>
            <w:tcW w:w="1207" w:type="pct"/>
            <w:tcBorders>
              <w:top w:val="nil"/>
              <w:left w:val="nil"/>
              <w:bottom w:val="nil"/>
              <w:right w:val="nil"/>
            </w:tcBorders>
          </w:tcPr>
          <w:p w14:paraId="66D311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2019.year#7.month</w:t>
            </w:r>
          </w:p>
        </w:tc>
        <w:tc>
          <w:tcPr>
            <w:tcW w:w="580" w:type="pct"/>
            <w:tcBorders>
              <w:top w:val="nil"/>
              <w:left w:val="nil"/>
              <w:bottom w:val="nil"/>
              <w:right w:val="nil"/>
            </w:tcBorders>
          </w:tcPr>
          <w:p w14:paraId="4A605F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0.111***</w:t>
            </w:r>
          </w:p>
        </w:tc>
        <w:tc>
          <w:tcPr>
            <w:tcW w:w="948" w:type="pct"/>
            <w:tcBorders>
              <w:top w:val="nil"/>
              <w:left w:val="nil"/>
              <w:bottom w:val="nil"/>
              <w:right w:val="nil"/>
            </w:tcBorders>
          </w:tcPr>
          <w:p w14:paraId="6E4C62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0.105***</w:t>
            </w:r>
          </w:p>
        </w:tc>
        <w:tc>
          <w:tcPr>
            <w:tcW w:w="707" w:type="pct"/>
            <w:tcBorders>
              <w:top w:val="nil"/>
              <w:left w:val="nil"/>
              <w:bottom w:val="nil"/>
              <w:right w:val="nil"/>
            </w:tcBorders>
          </w:tcPr>
          <w:p w14:paraId="0372A2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0.123***</w:t>
            </w:r>
          </w:p>
        </w:tc>
        <w:tc>
          <w:tcPr>
            <w:tcW w:w="831" w:type="pct"/>
            <w:tcBorders>
              <w:top w:val="nil"/>
              <w:left w:val="nil"/>
              <w:bottom w:val="nil"/>
              <w:right w:val="nil"/>
            </w:tcBorders>
          </w:tcPr>
          <w:p w14:paraId="5FDB5F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0.148***</w:t>
            </w:r>
          </w:p>
        </w:tc>
        <w:tc>
          <w:tcPr>
            <w:tcW w:w="726" w:type="pct"/>
            <w:tcBorders>
              <w:top w:val="nil"/>
              <w:left w:val="nil"/>
              <w:bottom w:val="nil"/>
              <w:right w:val="nil"/>
            </w:tcBorders>
          </w:tcPr>
          <w:p w14:paraId="7DF01A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0.155**</w:t>
            </w:r>
          </w:p>
        </w:tc>
      </w:tr>
      <w:tr w:rsidR="00F00E3D" w:rsidRPr="00335312" w14:paraId="0DB1DA21" w14:textId="77777777" w:rsidTr="009B2FA7">
        <w:trPr>
          <w:jc w:val="center"/>
        </w:trPr>
        <w:tc>
          <w:tcPr>
            <w:tcW w:w="1207" w:type="pct"/>
            <w:tcBorders>
              <w:top w:val="nil"/>
              <w:left w:val="nil"/>
              <w:bottom w:val="nil"/>
              <w:right w:val="nil"/>
            </w:tcBorders>
          </w:tcPr>
          <w:p w14:paraId="3D0E62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6BD6F2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(27.11)</w:t>
            </w:r>
          </w:p>
        </w:tc>
        <w:tc>
          <w:tcPr>
            <w:tcW w:w="948" w:type="pct"/>
            <w:tcBorders>
              <w:top w:val="nil"/>
              <w:left w:val="nil"/>
              <w:bottom w:val="nil"/>
              <w:right w:val="nil"/>
            </w:tcBorders>
          </w:tcPr>
          <w:p w14:paraId="302B0E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(21.01)</w:t>
            </w:r>
          </w:p>
        </w:tc>
        <w:tc>
          <w:tcPr>
            <w:tcW w:w="707" w:type="pct"/>
            <w:tcBorders>
              <w:top w:val="nil"/>
              <w:left w:val="nil"/>
              <w:bottom w:val="nil"/>
              <w:right w:val="nil"/>
            </w:tcBorders>
          </w:tcPr>
          <w:p w14:paraId="7ED1AC6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(18.03)</w:t>
            </w:r>
          </w:p>
        </w:tc>
        <w:tc>
          <w:tcPr>
            <w:tcW w:w="831" w:type="pct"/>
            <w:tcBorders>
              <w:top w:val="nil"/>
              <w:left w:val="nil"/>
              <w:bottom w:val="nil"/>
              <w:right w:val="nil"/>
            </w:tcBorders>
          </w:tcPr>
          <w:p w14:paraId="4CD061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(12.19)</w:t>
            </w:r>
          </w:p>
        </w:tc>
        <w:tc>
          <w:tcPr>
            <w:tcW w:w="726" w:type="pct"/>
            <w:tcBorders>
              <w:top w:val="nil"/>
              <w:left w:val="nil"/>
              <w:bottom w:val="nil"/>
              <w:right w:val="nil"/>
            </w:tcBorders>
          </w:tcPr>
          <w:p w14:paraId="712759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(8.512)</w:t>
            </w:r>
          </w:p>
        </w:tc>
      </w:tr>
      <w:tr w:rsidR="00F00E3D" w:rsidRPr="00335312" w14:paraId="142D60ED" w14:textId="77777777" w:rsidTr="009B2FA7">
        <w:trPr>
          <w:jc w:val="center"/>
        </w:trPr>
        <w:tc>
          <w:tcPr>
            <w:tcW w:w="1207" w:type="pct"/>
            <w:tcBorders>
              <w:top w:val="nil"/>
              <w:left w:val="nil"/>
              <w:bottom w:val="nil"/>
              <w:right w:val="nil"/>
            </w:tcBorders>
          </w:tcPr>
          <w:p w14:paraId="7B09CF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2019.year#8.month</w:t>
            </w:r>
          </w:p>
        </w:tc>
        <w:tc>
          <w:tcPr>
            <w:tcW w:w="580" w:type="pct"/>
            <w:tcBorders>
              <w:top w:val="nil"/>
              <w:left w:val="nil"/>
              <w:bottom w:val="nil"/>
              <w:right w:val="nil"/>
            </w:tcBorders>
          </w:tcPr>
          <w:p w14:paraId="42654FD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0.109***</w:t>
            </w:r>
          </w:p>
        </w:tc>
        <w:tc>
          <w:tcPr>
            <w:tcW w:w="948" w:type="pct"/>
            <w:tcBorders>
              <w:top w:val="nil"/>
              <w:left w:val="nil"/>
              <w:bottom w:val="nil"/>
              <w:right w:val="nil"/>
            </w:tcBorders>
          </w:tcPr>
          <w:p w14:paraId="43B5E8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0.107***</w:t>
            </w:r>
          </w:p>
        </w:tc>
        <w:tc>
          <w:tcPr>
            <w:tcW w:w="707" w:type="pct"/>
            <w:tcBorders>
              <w:top w:val="nil"/>
              <w:left w:val="nil"/>
              <w:bottom w:val="nil"/>
              <w:right w:val="nil"/>
            </w:tcBorders>
          </w:tcPr>
          <w:p w14:paraId="349C52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0.114***</w:t>
            </w:r>
          </w:p>
        </w:tc>
        <w:tc>
          <w:tcPr>
            <w:tcW w:w="831" w:type="pct"/>
            <w:tcBorders>
              <w:top w:val="nil"/>
              <w:left w:val="nil"/>
              <w:bottom w:val="nil"/>
              <w:right w:val="nil"/>
            </w:tcBorders>
          </w:tcPr>
          <w:p w14:paraId="6C200F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0.128***</w:t>
            </w:r>
          </w:p>
        </w:tc>
        <w:tc>
          <w:tcPr>
            <w:tcW w:w="726" w:type="pct"/>
            <w:tcBorders>
              <w:top w:val="nil"/>
              <w:left w:val="nil"/>
              <w:bottom w:val="nil"/>
              <w:right w:val="nil"/>
            </w:tcBorders>
          </w:tcPr>
          <w:p w14:paraId="250A38A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0.162**</w:t>
            </w:r>
          </w:p>
        </w:tc>
      </w:tr>
      <w:tr w:rsidR="00F00E3D" w:rsidRPr="00335312" w14:paraId="283D21DE" w14:textId="77777777" w:rsidTr="009B2FA7">
        <w:trPr>
          <w:jc w:val="center"/>
        </w:trPr>
        <w:tc>
          <w:tcPr>
            <w:tcW w:w="1207" w:type="pct"/>
            <w:tcBorders>
              <w:top w:val="nil"/>
              <w:left w:val="nil"/>
              <w:bottom w:val="nil"/>
              <w:right w:val="nil"/>
            </w:tcBorders>
          </w:tcPr>
          <w:p w14:paraId="2BEC25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1D5F3C6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(23.41)</w:t>
            </w:r>
          </w:p>
        </w:tc>
        <w:tc>
          <w:tcPr>
            <w:tcW w:w="948" w:type="pct"/>
            <w:tcBorders>
              <w:top w:val="nil"/>
              <w:left w:val="nil"/>
              <w:bottom w:val="nil"/>
              <w:right w:val="nil"/>
            </w:tcBorders>
          </w:tcPr>
          <w:p w14:paraId="699D48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(17.71)</w:t>
            </w:r>
          </w:p>
        </w:tc>
        <w:tc>
          <w:tcPr>
            <w:tcW w:w="707" w:type="pct"/>
            <w:tcBorders>
              <w:top w:val="nil"/>
              <w:left w:val="nil"/>
              <w:bottom w:val="nil"/>
              <w:right w:val="nil"/>
            </w:tcBorders>
          </w:tcPr>
          <w:p w14:paraId="51EADE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(17.91)</w:t>
            </w:r>
          </w:p>
        </w:tc>
        <w:tc>
          <w:tcPr>
            <w:tcW w:w="831" w:type="pct"/>
            <w:tcBorders>
              <w:top w:val="nil"/>
              <w:left w:val="nil"/>
              <w:bottom w:val="nil"/>
              <w:right w:val="nil"/>
            </w:tcBorders>
          </w:tcPr>
          <w:p w14:paraId="3A69A7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(7.678)</w:t>
            </w:r>
          </w:p>
        </w:tc>
        <w:tc>
          <w:tcPr>
            <w:tcW w:w="726" w:type="pct"/>
            <w:tcBorders>
              <w:top w:val="nil"/>
              <w:left w:val="nil"/>
              <w:bottom w:val="nil"/>
              <w:right w:val="nil"/>
            </w:tcBorders>
          </w:tcPr>
          <w:p w14:paraId="02418F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(8.415)</w:t>
            </w:r>
          </w:p>
        </w:tc>
      </w:tr>
      <w:tr w:rsidR="00F00E3D" w:rsidRPr="00335312" w14:paraId="0A5C793B" w14:textId="77777777" w:rsidTr="009B2FA7">
        <w:trPr>
          <w:jc w:val="center"/>
        </w:trPr>
        <w:tc>
          <w:tcPr>
            <w:tcW w:w="1207" w:type="pct"/>
            <w:tcBorders>
              <w:top w:val="nil"/>
              <w:left w:val="nil"/>
              <w:bottom w:val="nil"/>
              <w:right w:val="nil"/>
            </w:tcBorders>
          </w:tcPr>
          <w:p w14:paraId="4C49166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2019.year#9.month</w:t>
            </w:r>
          </w:p>
        </w:tc>
        <w:tc>
          <w:tcPr>
            <w:tcW w:w="580" w:type="pct"/>
            <w:tcBorders>
              <w:top w:val="nil"/>
              <w:left w:val="nil"/>
              <w:bottom w:val="nil"/>
              <w:right w:val="nil"/>
            </w:tcBorders>
          </w:tcPr>
          <w:p w14:paraId="2AECFBE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0.110***</w:t>
            </w:r>
          </w:p>
        </w:tc>
        <w:tc>
          <w:tcPr>
            <w:tcW w:w="948" w:type="pct"/>
            <w:tcBorders>
              <w:top w:val="nil"/>
              <w:left w:val="nil"/>
              <w:bottom w:val="nil"/>
              <w:right w:val="nil"/>
            </w:tcBorders>
          </w:tcPr>
          <w:p w14:paraId="6087C2C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0.106***</w:t>
            </w:r>
          </w:p>
        </w:tc>
        <w:tc>
          <w:tcPr>
            <w:tcW w:w="707" w:type="pct"/>
            <w:tcBorders>
              <w:top w:val="nil"/>
              <w:left w:val="nil"/>
              <w:bottom w:val="nil"/>
              <w:right w:val="nil"/>
            </w:tcBorders>
          </w:tcPr>
          <w:p w14:paraId="53471B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0.122***</w:t>
            </w:r>
          </w:p>
        </w:tc>
        <w:tc>
          <w:tcPr>
            <w:tcW w:w="831" w:type="pct"/>
            <w:tcBorders>
              <w:top w:val="nil"/>
              <w:left w:val="nil"/>
              <w:bottom w:val="nil"/>
              <w:right w:val="nil"/>
            </w:tcBorders>
          </w:tcPr>
          <w:p w14:paraId="69FE03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0.132***</w:t>
            </w:r>
          </w:p>
        </w:tc>
        <w:tc>
          <w:tcPr>
            <w:tcW w:w="726" w:type="pct"/>
            <w:tcBorders>
              <w:top w:val="nil"/>
              <w:left w:val="nil"/>
              <w:bottom w:val="nil"/>
              <w:right w:val="nil"/>
            </w:tcBorders>
          </w:tcPr>
          <w:p w14:paraId="50E8B4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0.140**</w:t>
            </w:r>
          </w:p>
        </w:tc>
      </w:tr>
      <w:tr w:rsidR="00F00E3D" w:rsidRPr="00335312" w14:paraId="6E5CDAF1" w14:textId="77777777" w:rsidTr="009B2FA7">
        <w:trPr>
          <w:jc w:val="center"/>
        </w:trPr>
        <w:tc>
          <w:tcPr>
            <w:tcW w:w="1207" w:type="pct"/>
            <w:tcBorders>
              <w:top w:val="nil"/>
              <w:left w:val="nil"/>
              <w:bottom w:val="nil"/>
              <w:right w:val="nil"/>
            </w:tcBorders>
          </w:tcPr>
          <w:p w14:paraId="18A382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53CADB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(27.69)</w:t>
            </w:r>
          </w:p>
        </w:tc>
        <w:tc>
          <w:tcPr>
            <w:tcW w:w="948" w:type="pct"/>
            <w:tcBorders>
              <w:top w:val="nil"/>
              <w:left w:val="nil"/>
              <w:bottom w:val="nil"/>
              <w:right w:val="nil"/>
            </w:tcBorders>
          </w:tcPr>
          <w:p w14:paraId="28473C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(21.75)</w:t>
            </w:r>
          </w:p>
        </w:tc>
        <w:tc>
          <w:tcPr>
            <w:tcW w:w="707" w:type="pct"/>
            <w:tcBorders>
              <w:top w:val="nil"/>
              <w:left w:val="nil"/>
              <w:bottom w:val="nil"/>
              <w:right w:val="nil"/>
            </w:tcBorders>
          </w:tcPr>
          <w:p w14:paraId="4FE1C9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(18.02)</w:t>
            </w:r>
          </w:p>
        </w:tc>
        <w:tc>
          <w:tcPr>
            <w:tcW w:w="831" w:type="pct"/>
            <w:tcBorders>
              <w:top w:val="nil"/>
              <w:left w:val="nil"/>
              <w:bottom w:val="nil"/>
              <w:right w:val="nil"/>
            </w:tcBorders>
          </w:tcPr>
          <w:p w14:paraId="240166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(11.59)</w:t>
            </w:r>
          </w:p>
        </w:tc>
        <w:tc>
          <w:tcPr>
            <w:tcW w:w="726" w:type="pct"/>
            <w:tcBorders>
              <w:top w:val="nil"/>
              <w:left w:val="nil"/>
              <w:bottom w:val="nil"/>
              <w:right w:val="nil"/>
            </w:tcBorders>
          </w:tcPr>
          <w:p w14:paraId="64CED8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(6.215)</w:t>
            </w:r>
          </w:p>
        </w:tc>
      </w:tr>
      <w:tr w:rsidR="00F00E3D" w:rsidRPr="00335312" w14:paraId="594BF820" w14:textId="77777777" w:rsidTr="009B2FA7">
        <w:trPr>
          <w:jc w:val="center"/>
        </w:trPr>
        <w:tc>
          <w:tcPr>
            <w:tcW w:w="1207" w:type="pct"/>
            <w:tcBorders>
              <w:top w:val="nil"/>
              <w:left w:val="nil"/>
              <w:bottom w:val="nil"/>
              <w:right w:val="nil"/>
            </w:tcBorders>
          </w:tcPr>
          <w:p w14:paraId="7B4830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2019.year#10.month</w:t>
            </w:r>
          </w:p>
        </w:tc>
        <w:tc>
          <w:tcPr>
            <w:tcW w:w="580" w:type="pct"/>
            <w:tcBorders>
              <w:top w:val="nil"/>
              <w:left w:val="nil"/>
              <w:bottom w:val="nil"/>
              <w:right w:val="nil"/>
            </w:tcBorders>
          </w:tcPr>
          <w:p w14:paraId="1B6887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0.111***</w:t>
            </w:r>
          </w:p>
        </w:tc>
        <w:tc>
          <w:tcPr>
            <w:tcW w:w="948" w:type="pct"/>
            <w:tcBorders>
              <w:top w:val="nil"/>
              <w:left w:val="nil"/>
              <w:bottom w:val="nil"/>
              <w:right w:val="nil"/>
            </w:tcBorders>
          </w:tcPr>
          <w:p w14:paraId="1422B0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0.105***</w:t>
            </w:r>
          </w:p>
        </w:tc>
        <w:tc>
          <w:tcPr>
            <w:tcW w:w="707" w:type="pct"/>
            <w:tcBorders>
              <w:top w:val="nil"/>
              <w:left w:val="nil"/>
              <w:bottom w:val="nil"/>
              <w:right w:val="nil"/>
            </w:tcBorders>
          </w:tcPr>
          <w:p w14:paraId="11E2EC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0.126***</w:t>
            </w:r>
          </w:p>
        </w:tc>
        <w:tc>
          <w:tcPr>
            <w:tcW w:w="831" w:type="pct"/>
            <w:tcBorders>
              <w:top w:val="nil"/>
              <w:left w:val="nil"/>
              <w:bottom w:val="nil"/>
              <w:right w:val="nil"/>
            </w:tcBorders>
          </w:tcPr>
          <w:p w14:paraId="49969F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0.133***</w:t>
            </w:r>
          </w:p>
        </w:tc>
        <w:tc>
          <w:tcPr>
            <w:tcW w:w="726" w:type="pct"/>
            <w:tcBorders>
              <w:top w:val="nil"/>
              <w:left w:val="nil"/>
              <w:bottom w:val="nil"/>
              <w:right w:val="nil"/>
            </w:tcBorders>
          </w:tcPr>
          <w:p w14:paraId="326149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0.185***</w:t>
            </w:r>
          </w:p>
        </w:tc>
      </w:tr>
      <w:tr w:rsidR="00F00E3D" w:rsidRPr="00335312" w14:paraId="0B459E67" w14:textId="77777777" w:rsidTr="009B2FA7">
        <w:trPr>
          <w:jc w:val="center"/>
        </w:trPr>
        <w:tc>
          <w:tcPr>
            <w:tcW w:w="1207" w:type="pct"/>
            <w:tcBorders>
              <w:top w:val="nil"/>
              <w:left w:val="nil"/>
              <w:bottom w:val="nil"/>
              <w:right w:val="nil"/>
            </w:tcBorders>
          </w:tcPr>
          <w:p w14:paraId="527ACF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C7DD07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(27.50)</w:t>
            </w:r>
          </w:p>
        </w:tc>
        <w:tc>
          <w:tcPr>
            <w:tcW w:w="948" w:type="pct"/>
            <w:tcBorders>
              <w:top w:val="nil"/>
              <w:left w:val="nil"/>
              <w:bottom w:val="nil"/>
              <w:right w:val="nil"/>
            </w:tcBorders>
          </w:tcPr>
          <w:p w14:paraId="11B3AD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(21.75)</w:t>
            </w:r>
          </w:p>
        </w:tc>
        <w:tc>
          <w:tcPr>
            <w:tcW w:w="707" w:type="pct"/>
            <w:tcBorders>
              <w:top w:val="nil"/>
              <w:left w:val="nil"/>
              <w:bottom w:val="nil"/>
              <w:right w:val="nil"/>
            </w:tcBorders>
          </w:tcPr>
          <w:p w14:paraId="351D08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(17.54)</w:t>
            </w:r>
          </w:p>
        </w:tc>
        <w:tc>
          <w:tcPr>
            <w:tcW w:w="831" w:type="pct"/>
            <w:tcBorders>
              <w:top w:val="nil"/>
              <w:left w:val="nil"/>
              <w:bottom w:val="nil"/>
              <w:right w:val="nil"/>
            </w:tcBorders>
          </w:tcPr>
          <w:p w14:paraId="35D04C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(11.65)</w:t>
            </w:r>
          </w:p>
        </w:tc>
        <w:tc>
          <w:tcPr>
            <w:tcW w:w="726" w:type="pct"/>
            <w:tcBorders>
              <w:top w:val="nil"/>
              <w:left w:val="nil"/>
              <w:bottom w:val="nil"/>
              <w:right w:val="nil"/>
            </w:tcBorders>
          </w:tcPr>
          <w:p w14:paraId="131442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(12.12)</w:t>
            </w:r>
          </w:p>
        </w:tc>
      </w:tr>
      <w:tr w:rsidR="00F00E3D" w:rsidRPr="00335312" w14:paraId="78FE706D" w14:textId="77777777" w:rsidTr="009B2FA7">
        <w:trPr>
          <w:jc w:val="center"/>
        </w:trPr>
        <w:tc>
          <w:tcPr>
            <w:tcW w:w="1207" w:type="pct"/>
            <w:tcBorders>
              <w:top w:val="nil"/>
              <w:left w:val="nil"/>
              <w:bottom w:val="nil"/>
              <w:right w:val="nil"/>
            </w:tcBorders>
          </w:tcPr>
          <w:p w14:paraId="08DA95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2019.year#11.month</w:t>
            </w:r>
          </w:p>
        </w:tc>
        <w:tc>
          <w:tcPr>
            <w:tcW w:w="580" w:type="pct"/>
            <w:tcBorders>
              <w:top w:val="nil"/>
              <w:left w:val="nil"/>
              <w:bottom w:val="nil"/>
              <w:right w:val="nil"/>
            </w:tcBorders>
          </w:tcPr>
          <w:p w14:paraId="44A575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0.116***</w:t>
            </w:r>
          </w:p>
        </w:tc>
        <w:tc>
          <w:tcPr>
            <w:tcW w:w="948" w:type="pct"/>
            <w:tcBorders>
              <w:top w:val="nil"/>
              <w:left w:val="nil"/>
              <w:bottom w:val="nil"/>
              <w:right w:val="nil"/>
            </w:tcBorders>
          </w:tcPr>
          <w:p w14:paraId="1A8B97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0.111***</w:t>
            </w:r>
          </w:p>
        </w:tc>
        <w:tc>
          <w:tcPr>
            <w:tcW w:w="707" w:type="pct"/>
            <w:tcBorders>
              <w:top w:val="nil"/>
              <w:left w:val="nil"/>
              <w:bottom w:val="nil"/>
              <w:right w:val="nil"/>
            </w:tcBorders>
          </w:tcPr>
          <w:p w14:paraId="7838722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0.127***</w:t>
            </w:r>
          </w:p>
        </w:tc>
        <w:tc>
          <w:tcPr>
            <w:tcW w:w="831" w:type="pct"/>
            <w:tcBorders>
              <w:top w:val="nil"/>
              <w:left w:val="nil"/>
              <w:bottom w:val="nil"/>
              <w:right w:val="nil"/>
            </w:tcBorders>
          </w:tcPr>
          <w:p w14:paraId="287F8A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0.124***</w:t>
            </w:r>
          </w:p>
        </w:tc>
        <w:tc>
          <w:tcPr>
            <w:tcW w:w="726" w:type="pct"/>
            <w:tcBorders>
              <w:top w:val="nil"/>
              <w:left w:val="nil"/>
              <w:bottom w:val="nil"/>
              <w:right w:val="nil"/>
            </w:tcBorders>
          </w:tcPr>
          <w:p w14:paraId="3FF6C5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0.174**</w:t>
            </w:r>
          </w:p>
        </w:tc>
      </w:tr>
      <w:tr w:rsidR="00F00E3D" w:rsidRPr="00335312" w14:paraId="4FFCD00F" w14:textId="77777777" w:rsidTr="009B2FA7">
        <w:trPr>
          <w:jc w:val="center"/>
        </w:trPr>
        <w:tc>
          <w:tcPr>
            <w:tcW w:w="1207" w:type="pct"/>
            <w:tcBorders>
              <w:top w:val="nil"/>
              <w:left w:val="nil"/>
              <w:bottom w:val="nil"/>
              <w:right w:val="nil"/>
            </w:tcBorders>
          </w:tcPr>
          <w:p w14:paraId="542BF82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35DC32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(26.73)</w:t>
            </w:r>
          </w:p>
        </w:tc>
        <w:tc>
          <w:tcPr>
            <w:tcW w:w="948" w:type="pct"/>
            <w:tcBorders>
              <w:top w:val="nil"/>
              <w:left w:val="nil"/>
              <w:bottom w:val="nil"/>
              <w:right w:val="nil"/>
            </w:tcBorders>
          </w:tcPr>
          <w:p w14:paraId="5B940B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(20.99)</w:t>
            </w:r>
          </w:p>
        </w:tc>
        <w:tc>
          <w:tcPr>
            <w:tcW w:w="707" w:type="pct"/>
            <w:tcBorders>
              <w:top w:val="nil"/>
              <w:left w:val="nil"/>
              <w:bottom w:val="nil"/>
              <w:right w:val="nil"/>
            </w:tcBorders>
          </w:tcPr>
          <w:p w14:paraId="598DE5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(17.51)</w:t>
            </w:r>
          </w:p>
        </w:tc>
        <w:tc>
          <w:tcPr>
            <w:tcW w:w="831" w:type="pct"/>
            <w:tcBorders>
              <w:top w:val="nil"/>
              <w:left w:val="nil"/>
              <w:bottom w:val="nil"/>
              <w:right w:val="nil"/>
            </w:tcBorders>
          </w:tcPr>
          <w:p w14:paraId="33ADB9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(8.494)</w:t>
            </w:r>
          </w:p>
        </w:tc>
        <w:tc>
          <w:tcPr>
            <w:tcW w:w="726" w:type="pct"/>
            <w:tcBorders>
              <w:top w:val="nil"/>
              <w:left w:val="nil"/>
              <w:bottom w:val="nil"/>
              <w:right w:val="nil"/>
            </w:tcBorders>
          </w:tcPr>
          <w:p w14:paraId="2AA326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(6.174)</w:t>
            </w:r>
          </w:p>
        </w:tc>
      </w:tr>
      <w:tr w:rsidR="00F00E3D" w:rsidRPr="00335312" w14:paraId="62B5B38F" w14:textId="77777777" w:rsidTr="009B2FA7">
        <w:trPr>
          <w:jc w:val="center"/>
        </w:trPr>
        <w:tc>
          <w:tcPr>
            <w:tcW w:w="1207" w:type="pct"/>
            <w:tcBorders>
              <w:top w:val="nil"/>
              <w:left w:val="nil"/>
              <w:bottom w:val="nil"/>
              <w:right w:val="nil"/>
            </w:tcBorders>
          </w:tcPr>
          <w:p w14:paraId="30C6BA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lastRenderedPageBreak/>
              <w:t>2019.year#12.month</w:t>
            </w:r>
          </w:p>
        </w:tc>
        <w:tc>
          <w:tcPr>
            <w:tcW w:w="580" w:type="pct"/>
            <w:tcBorders>
              <w:top w:val="nil"/>
              <w:left w:val="nil"/>
              <w:bottom w:val="nil"/>
              <w:right w:val="nil"/>
            </w:tcBorders>
          </w:tcPr>
          <w:p w14:paraId="52E8B0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0.118***</w:t>
            </w:r>
          </w:p>
        </w:tc>
        <w:tc>
          <w:tcPr>
            <w:tcW w:w="948" w:type="pct"/>
            <w:tcBorders>
              <w:top w:val="nil"/>
              <w:left w:val="nil"/>
              <w:bottom w:val="nil"/>
              <w:right w:val="nil"/>
            </w:tcBorders>
          </w:tcPr>
          <w:p w14:paraId="43B769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0.108***</w:t>
            </w:r>
          </w:p>
        </w:tc>
        <w:tc>
          <w:tcPr>
            <w:tcW w:w="707" w:type="pct"/>
            <w:tcBorders>
              <w:top w:val="nil"/>
              <w:left w:val="nil"/>
              <w:bottom w:val="nil"/>
              <w:right w:val="nil"/>
            </w:tcBorders>
          </w:tcPr>
          <w:p w14:paraId="6E45C8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0.141***</w:t>
            </w:r>
          </w:p>
        </w:tc>
        <w:tc>
          <w:tcPr>
            <w:tcW w:w="831" w:type="pct"/>
            <w:tcBorders>
              <w:top w:val="nil"/>
              <w:left w:val="nil"/>
              <w:bottom w:val="nil"/>
              <w:right w:val="nil"/>
            </w:tcBorders>
          </w:tcPr>
          <w:p w14:paraId="06211A3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0.137***</w:t>
            </w:r>
          </w:p>
        </w:tc>
        <w:tc>
          <w:tcPr>
            <w:tcW w:w="726" w:type="pct"/>
            <w:tcBorders>
              <w:top w:val="nil"/>
              <w:left w:val="nil"/>
              <w:bottom w:val="nil"/>
              <w:right w:val="nil"/>
            </w:tcBorders>
          </w:tcPr>
          <w:p w14:paraId="3EF89D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0.176***</w:t>
            </w:r>
          </w:p>
        </w:tc>
      </w:tr>
      <w:tr w:rsidR="00F00E3D" w:rsidRPr="00335312" w14:paraId="11F76251" w14:textId="77777777" w:rsidTr="009B2FA7">
        <w:trPr>
          <w:jc w:val="center"/>
        </w:trPr>
        <w:tc>
          <w:tcPr>
            <w:tcW w:w="1207" w:type="pct"/>
            <w:tcBorders>
              <w:top w:val="nil"/>
              <w:left w:val="nil"/>
              <w:bottom w:val="nil"/>
              <w:right w:val="nil"/>
            </w:tcBorders>
          </w:tcPr>
          <w:p w14:paraId="6FB652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094A6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(27.81)</w:t>
            </w:r>
          </w:p>
        </w:tc>
        <w:tc>
          <w:tcPr>
            <w:tcW w:w="948" w:type="pct"/>
            <w:tcBorders>
              <w:top w:val="nil"/>
              <w:left w:val="nil"/>
              <w:bottom w:val="nil"/>
              <w:right w:val="nil"/>
            </w:tcBorders>
          </w:tcPr>
          <w:p w14:paraId="21B3E1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(21.42)</w:t>
            </w:r>
          </w:p>
        </w:tc>
        <w:tc>
          <w:tcPr>
            <w:tcW w:w="707" w:type="pct"/>
            <w:tcBorders>
              <w:top w:val="nil"/>
              <w:left w:val="nil"/>
              <w:bottom w:val="nil"/>
              <w:right w:val="nil"/>
            </w:tcBorders>
          </w:tcPr>
          <w:p w14:paraId="0CE180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(19.86)</w:t>
            </w:r>
          </w:p>
        </w:tc>
        <w:tc>
          <w:tcPr>
            <w:tcW w:w="831" w:type="pct"/>
            <w:tcBorders>
              <w:top w:val="nil"/>
              <w:left w:val="nil"/>
              <w:bottom w:val="nil"/>
              <w:right w:val="nil"/>
            </w:tcBorders>
          </w:tcPr>
          <w:p w14:paraId="420B55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(14.57)</w:t>
            </w:r>
          </w:p>
        </w:tc>
        <w:tc>
          <w:tcPr>
            <w:tcW w:w="726" w:type="pct"/>
            <w:tcBorders>
              <w:top w:val="nil"/>
              <w:left w:val="nil"/>
              <w:bottom w:val="nil"/>
              <w:right w:val="nil"/>
            </w:tcBorders>
          </w:tcPr>
          <w:p w14:paraId="47DD5A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(10.29)</w:t>
            </w:r>
          </w:p>
        </w:tc>
      </w:tr>
      <w:tr w:rsidR="00F00E3D" w:rsidRPr="00335312" w14:paraId="38D76EB8" w14:textId="77777777" w:rsidTr="009B2FA7">
        <w:trPr>
          <w:jc w:val="center"/>
        </w:trPr>
        <w:tc>
          <w:tcPr>
            <w:tcW w:w="1207" w:type="pct"/>
            <w:tcBorders>
              <w:top w:val="nil"/>
              <w:left w:val="nil"/>
              <w:bottom w:val="nil"/>
              <w:right w:val="nil"/>
            </w:tcBorders>
          </w:tcPr>
          <w:p w14:paraId="5A8373D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2020.year#1.month</w:t>
            </w:r>
          </w:p>
        </w:tc>
        <w:tc>
          <w:tcPr>
            <w:tcW w:w="580" w:type="pct"/>
            <w:tcBorders>
              <w:top w:val="nil"/>
              <w:left w:val="nil"/>
              <w:bottom w:val="nil"/>
              <w:right w:val="nil"/>
            </w:tcBorders>
          </w:tcPr>
          <w:p w14:paraId="7FFF3A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0.125***</w:t>
            </w:r>
          </w:p>
        </w:tc>
        <w:tc>
          <w:tcPr>
            <w:tcW w:w="948" w:type="pct"/>
            <w:tcBorders>
              <w:top w:val="nil"/>
              <w:left w:val="nil"/>
              <w:bottom w:val="nil"/>
              <w:right w:val="nil"/>
            </w:tcBorders>
          </w:tcPr>
          <w:p w14:paraId="7D75DE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0.121***</w:t>
            </w:r>
          </w:p>
        </w:tc>
        <w:tc>
          <w:tcPr>
            <w:tcW w:w="707" w:type="pct"/>
            <w:tcBorders>
              <w:top w:val="nil"/>
              <w:left w:val="nil"/>
              <w:bottom w:val="nil"/>
              <w:right w:val="nil"/>
            </w:tcBorders>
          </w:tcPr>
          <w:p w14:paraId="2DF820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0.136***</w:t>
            </w:r>
          </w:p>
        </w:tc>
        <w:tc>
          <w:tcPr>
            <w:tcW w:w="831" w:type="pct"/>
            <w:tcBorders>
              <w:top w:val="nil"/>
              <w:left w:val="nil"/>
              <w:bottom w:val="nil"/>
              <w:right w:val="nil"/>
            </w:tcBorders>
          </w:tcPr>
          <w:p w14:paraId="22F13B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0.138***</w:t>
            </w:r>
          </w:p>
        </w:tc>
        <w:tc>
          <w:tcPr>
            <w:tcW w:w="726" w:type="pct"/>
            <w:tcBorders>
              <w:top w:val="nil"/>
              <w:left w:val="nil"/>
              <w:bottom w:val="nil"/>
              <w:right w:val="nil"/>
            </w:tcBorders>
          </w:tcPr>
          <w:p w14:paraId="1B8E30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0.183***</w:t>
            </w:r>
          </w:p>
        </w:tc>
      </w:tr>
      <w:tr w:rsidR="00F00E3D" w:rsidRPr="00335312" w14:paraId="04659906" w14:textId="77777777" w:rsidTr="009B2FA7">
        <w:trPr>
          <w:jc w:val="center"/>
        </w:trPr>
        <w:tc>
          <w:tcPr>
            <w:tcW w:w="1207" w:type="pct"/>
            <w:tcBorders>
              <w:top w:val="nil"/>
              <w:left w:val="nil"/>
              <w:bottom w:val="nil"/>
              <w:right w:val="nil"/>
            </w:tcBorders>
          </w:tcPr>
          <w:p w14:paraId="3BBF61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380E87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(30.12)</w:t>
            </w:r>
          </w:p>
        </w:tc>
        <w:tc>
          <w:tcPr>
            <w:tcW w:w="948" w:type="pct"/>
            <w:tcBorders>
              <w:top w:val="nil"/>
              <w:left w:val="nil"/>
              <w:bottom w:val="nil"/>
              <w:right w:val="nil"/>
            </w:tcBorders>
          </w:tcPr>
          <w:p w14:paraId="206506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(23.93)</w:t>
            </w:r>
          </w:p>
        </w:tc>
        <w:tc>
          <w:tcPr>
            <w:tcW w:w="707" w:type="pct"/>
            <w:tcBorders>
              <w:top w:val="nil"/>
              <w:left w:val="nil"/>
              <w:bottom w:val="nil"/>
              <w:right w:val="nil"/>
            </w:tcBorders>
          </w:tcPr>
          <w:p w14:paraId="5EC72D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(19.15)</w:t>
            </w:r>
          </w:p>
        </w:tc>
        <w:tc>
          <w:tcPr>
            <w:tcW w:w="831" w:type="pct"/>
            <w:tcBorders>
              <w:top w:val="nil"/>
              <w:left w:val="nil"/>
              <w:bottom w:val="nil"/>
              <w:right w:val="nil"/>
            </w:tcBorders>
          </w:tcPr>
          <w:p w14:paraId="1A3BAA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(12.65)</w:t>
            </w:r>
          </w:p>
        </w:tc>
        <w:tc>
          <w:tcPr>
            <w:tcW w:w="726" w:type="pct"/>
            <w:tcBorders>
              <w:top w:val="nil"/>
              <w:left w:val="nil"/>
              <w:bottom w:val="nil"/>
              <w:right w:val="nil"/>
            </w:tcBorders>
          </w:tcPr>
          <w:p w14:paraId="7DF6E9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(10.91)</w:t>
            </w:r>
          </w:p>
        </w:tc>
      </w:tr>
      <w:tr w:rsidR="00F00E3D" w:rsidRPr="00335312" w14:paraId="3D76E2C1" w14:textId="77777777" w:rsidTr="009B2FA7">
        <w:trPr>
          <w:jc w:val="center"/>
        </w:trPr>
        <w:tc>
          <w:tcPr>
            <w:tcW w:w="1207" w:type="pct"/>
            <w:tcBorders>
              <w:top w:val="nil"/>
              <w:left w:val="nil"/>
              <w:bottom w:val="nil"/>
              <w:right w:val="nil"/>
            </w:tcBorders>
          </w:tcPr>
          <w:p w14:paraId="48AC25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2020.year#2.month</w:t>
            </w:r>
          </w:p>
        </w:tc>
        <w:tc>
          <w:tcPr>
            <w:tcW w:w="580" w:type="pct"/>
            <w:tcBorders>
              <w:top w:val="nil"/>
              <w:left w:val="nil"/>
              <w:bottom w:val="nil"/>
              <w:right w:val="nil"/>
            </w:tcBorders>
          </w:tcPr>
          <w:p w14:paraId="0F16C5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0.128***</w:t>
            </w:r>
          </w:p>
        </w:tc>
        <w:tc>
          <w:tcPr>
            <w:tcW w:w="948" w:type="pct"/>
            <w:tcBorders>
              <w:top w:val="nil"/>
              <w:left w:val="nil"/>
              <w:bottom w:val="nil"/>
              <w:right w:val="nil"/>
            </w:tcBorders>
          </w:tcPr>
          <w:p w14:paraId="779A44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0.124***</w:t>
            </w:r>
          </w:p>
        </w:tc>
        <w:tc>
          <w:tcPr>
            <w:tcW w:w="707" w:type="pct"/>
            <w:tcBorders>
              <w:top w:val="nil"/>
              <w:left w:val="nil"/>
              <w:bottom w:val="nil"/>
              <w:right w:val="nil"/>
            </w:tcBorders>
          </w:tcPr>
          <w:p w14:paraId="744D4A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0.140***</w:t>
            </w:r>
          </w:p>
        </w:tc>
        <w:tc>
          <w:tcPr>
            <w:tcW w:w="831" w:type="pct"/>
            <w:tcBorders>
              <w:top w:val="nil"/>
              <w:left w:val="nil"/>
              <w:bottom w:val="nil"/>
              <w:right w:val="nil"/>
            </w:tcBorders>
          </w:tcPr>
          <w:p w14:paraId="54404E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0.139***</w:t>
            </w:r>
          </w:p>
        </w:tc>
        <w:tc>
          <w:tcPr>
            <w:tcW w:w="726" w:type="pct"/>
            <w:tcBorders>
              <w:top w:val="nil"/>
              <w:left w:val="nil"/>
              <w:bottom w:val="nil"/>
              <w:right w:val="nil"/>
            </w:tcBorders>
          </w:tcPr>
          <w:p w14:paraId="421512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0.193***</w:t>
            </w:r>
          </w:p>
        </w:tc>
      </w:tr>
      <w:tr w:rsidR="00F00E3D" w:rsidRPr="00335312" w14:paraId="27697FD8" w14:textId="77777777" w:rsidTr="009B2FA7">
        <w:trPr>
          <w:jc w:val="center"/>
        </w:trPr>
        <w:tc>
          <w:tcPr>
            <w:tcW w:w="1207" w:type="pct"/>
            <w:tcBorders>
              <w:top w:val="nil"/>
              <w:left w:val="nil"/>
              <w:bottom w:val="nil"/>
              <w:right w:val="nil"/>
            </w:tcBorders>
          </w:tcPr>
          <w:p w14:paraId="14E5CC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EF3462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(30.19)</w:t>
            </w:r>
          </w:p>
        </w:tc>
        <w:tc>
          <w:tcPr>
            <w:tcW w:w="948" w:type="pct"/>
            <w:tcBorders>
              <w:top w:val="nil"/>
              <w:left w:val="nil"/>
              <w:bottom w:val="nil"/>
              <w:right w:val="nil"/>
            </w:tcBorders>
          </w:tcPr>
          <w:p w14:paraId="65D777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(23.98)</w:t>
            </w:r>
          </w:p>
        </w:tc>
        <w:tc>
          <w:tcPr>
            <w:tcW w:w="707" w:type="pct"/>
            <w:tcBorders>
              <w:top w:val="nil"/>
              <w:left w:val="nil"/>
              <w:bottom w:val="nil"/>
              <w:right w:val="nil"/>
            </w:tcBorders>
          </w:tcPr>
          <w:p w14:paraId="1605A7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(19.46)</w:t>
            </w:r>
          </w:p>
        </w:tc>
        <w:tc>
          <w:tcPr>
            <w:tcW w:w="831" w:type="pct"/>
            <w:tcBorders>
              <w:top w:val="nil"/>
              <w:left w:val="nil"/>
              <w:bottom w:val="nil"/>
              <w:right w:val="nil"/>
            </w:tcBorders>
          </w:tcPr>
          <w:p w14:paraId="7205A1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(12.85)</w:t>
            </w:r>
          </w:p>
        </w:tc>
        <w:tc>
          <w:tcPr>
            <w:tcW w:w="726" w:type="pct"/>
            <w:tcBorders>
              <w:top w:val="nil"/>
              <w:left w:val="nil"/>
              <w:bottom w:val="nil"/>
              <w:right w:val="nil"/>
            </w:tcBorders>
          </w:tcPr>
          <w:p w14:paraId="5D0517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(14.81)</w:t>
            </w:r>
          </w:p>
        </w:tc>
      </w:tr>
      <w:tr w:rsidR="00F00E3D" w:rsidRPr="00335312" w14:paraId="09C736F2" w14:textId="77777777" w:rsidTr="009B2FA7">
        <w:trPr>
          <w:jc w:val="center"/>
        </w:trPr>
        <w:tc>
          <w:tcPr>
            <w:tcW w:w="1207" w:type="pct"/>
            <w:tcBorders>
              <w:top w:val="nil"/>
              <w:left w:val="nil"/>
              <w:bottom w:val="nil"/>
              <w:right w:val="nil"/>
            </w:tcBorders>
          </w:tcPr>
          <w:p w14:paraId="155A45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2020.year#3.month</w:t>
            </w:r>
          </w:p>
        </w:tc>
        <w:tc>
          <w:tcPr>
            <w:tcW w:w="580" w:type="pct"/>
            <w:tcBorders>
              <w:top w:val="nil"/>
              <w:left w:val="nil"/>
              <w:bottom w:val="nil"/>
              <w:right w:val="nil"/>
            </w:tcBorders>
          </w:tcPr>
          <w:p w14:paraId="433A7C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0.126***</w:t>
            </w:r>
          </w:p>
        </w:tc>
        <w:tc>
          <w:tcPr>
            <w:tcW w:w="948" w:type="pct"/>
            <w:tcBorders>
              <w:top w:val="nil"/>
              <w:left w:val="nil"/>
              <w:bottom w:val="nil"/>
              <w:right w:val="nil"/>
            </w:tcBorders>
          </w:tcPr>
          <w:p w14:paraId="35BCAE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0.120***</w:t>
            </w:r>
          </w:p>
        </w:tc>
        <w:tc>
          <w:tcPr>
            <w:tcW w:w="707" w:type="pct"/>
            <w:tcBorders>
              <w:top w:val="nil"/>
              <w:left w:val="nil"/>
              <w:bottom w:val="nil"/>
              <w:right w:val="nil"/>
            </w:tcBorders>
          </w:tcPr>
          <w:p w14:paraId="226E72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0.140***</w:t>
            </w:r>
          </w:p>
        </w:tc>
        <w:tc>
          <w:tcPr>
            <w:tcW w:w="831" w:type="pct"/>
            <w:tcBorders>
              <w:top w:val="nil"/>
              <w:left w:val="nil"/>
              <w:bottom w:val="nil"/>
              <w:right w:val="nil"/>
            </w:tcBorders>
          </w:tcPr>
          <w:p w14:paraId="0225DF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0.150***</w:t>
            </w:r>
          </w:p>
        </w:tc>
        <w:tc>
          <w:tcPr>
            <w:tcW w:w="726" w:type="pct"/>
            <w:tcBorders>
              <w:top w:val="nil"/>
              <w:left w:val="nil"/>
              <w:bottom w:val="nil"/>
              <w:right w:val="nil"/>
            </w:tcBorders>
          </w:tcPr>
          <w:p w14:paraId="01EA04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0.192***</w:t>
            </w:r>
          </w:p>
        </w:tc>
      </w:tr>
      <w:tr w:rsidR="00F00E3D" w:rsidRPr="00335312" w14:paraId="5A032DD0" w14:textId="77777777" w:rsidTr="009B2FA7">
        <w:trPr>
          <w:jc w:val="center"/>
        </w:trPr>
        <w:tc>
          <w:tcPr>
            <w:tcW w:w="1207" w:type="pct"/>
            <w:tcBorders>
              <w:top w:val="nil"/>
              <w:left w:val="nil"/>
              <w:bottom w:val="nil"/>
              <w:right w:val="nil"/>
            </w:tcBorders>
          </w:tcPr>
          <w:p w14:paraId="3A939F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C664F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(29.80)</w:t>
            </w:r>
          </w:p>
        </w:tc>
        <w:tc>
          <w:tcPr>
            <w:tcW w:w="948" w:type="pct"/>
            <w:tcBorders>
              <w:top w:val="nil"/>
              <w:left w:val="nil"/>
              <w:bottom w:val="nil"/>
              <w:right w:val="nil"/>
            </w:tcBorders>
          </w:tcPr>
          <w:p w14:paraId="0BF2F2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(22.95)</w:t>
            </w:r>
          </w:p>
        </w:tc>
        <w:tc>
          <w:tcPr>
            <w:tcW w:w="707" w:type="pct"/>
            <w:tcBorders>
              <w:top w:val="nil"/>
              <w:left w:val="nil"/>
              <w:bottom w:val="nil"/>
              <w:right w:val="nil"/>
            </w:tcBorders>
          </w:tcPr>
          <w:p w14:paraId="024FBC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(21.07)</w:t>
            </w:r>
          </w:p>
        </w:tc>
        <w:tc>
          <w:tcPr>
            <w:tcW w:w="831" w:type="pct"/>
            <w:tcBorders>
              <w:top w:val="nil"/>
              <w:left w:val="nil"/>
              <w:bottom w:val="nil"/>
              <w:right w:val="nil"/>
            </w:tcBorders>
          </w:tcPr>
          <w:p w14:paraId="47FA8E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(15.85)</w:t>
            </w:r>
          </w:p>
        </w:tc>
        <w:tc>
          <w:tcPr>
            <w:tcW w:w="726" w:type="pct"/>
            <w:tcBorders>
              <w:top w:val="nil"/>
              <w:left w:val="nil"/>
              <w:bottom w:val="nil"/>
              <w:right w:val="nil"/>
            </w:tcBorders>
          </w:tcPr>
          <w:p w14:paraId="72419B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(12.09)</w:t>
            </w:r>
          </w:p>
        </w:tc>
      </w:tr>
      <w:tr w:rsidR="00F00E3D" w:rsidRPr="00335312" w14:paraId="75390374" w14:textId="77777777" w:rsidTr="009B2FA7">
        <w:trPr>
          <w:jc w:val="center"/>
        </w:trPr>
        <w:tc>
          <w:tcPr>
            <w:tcW w:w="1207" w:type="pct"/>
            <w:tcBorders>
              <w:top w:val="nil"/>
              <w:left w:val="nil"/>
              <w:bottom w:val="nil"/>
              <w:right w:val="nil"/>
            </w:tcBorders>
          </w:tcPr>
          <w:p w14:paraId="470167B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2020.year#4.month</w:t>
            </w:r>
          </w:p>
        </w:tc>
        <w:tc>
          <w:tcPr>
            <w:tcW w:w="580" w:type="pct"/>
            <w:tcBorders>
              <w:top w:val="nil"/>
              <w:left w:val="nil"/>
              <w:bottom w:val="nil"/>
              <w:right w:val="nil"/>
            </w:tcBorders>
          </w:tcPr>
          <w:p w14:paraId="1BF3D7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0.115***</w:t>
            </w:r>
          </w:p>
        </w:tc>
        <w:tc>
          <w:tcPr>
            <w:tcW w:w="948" w:type="pct"/>
            <w:tcBorders>
              <w:top w:val="nil"/>
              <w:left w:val="nil"/>
              <w:bottom w:val="nil"/>
              <w:right w:val="nil"/>
            </w:tcBorders>
          </w:tcPr>
          <w:p w14:paraId="748E01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0.104***</w:t>
            </w:r>
          </w:p>
        </w:tc>
        <w:tc>
          <w:tcPr>
            <w:tcW w:w="707" w:type="pct"/>
            <w:tcBorders>
              <w:top w:val="nil"/>
              <w:left w:val="nil"/>
              <w:bottom w:val="nil"/>
              <w:right w:val="nil"/>
            </w:tcBorders>
          </w:tcPr>
          <w:p w14:paraId="06D064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0.135***</w:t>
            </w:r>
          </w:p>
        </w:tc>
        <w:tc>
          <w:tcPr>
            <w:tcW w:w="831" w:type="pct"/>
            <w:tcBorders>
              <w:top w:val="nil"/>
              <w:left w:val="nil"/>
              <w:bottom w:val="nil"/>
              <w:right w:val="nil"/>
            </w:tcBorders>
          </w:tcPr>
          <w:p w14:paraId="03B623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0.124***</w:t>
            </w:r>
          </w:p>
        </w:tc>
        <w:tc>
          <w:tcPr>
            <w:tcW w:w="726" w:type="pct"/>
            <w:tcBorders>
              <w:top w:val="nil"/>
              <w:left w:val="nil"/>
              <w:bottom w:val="nil"/>
              <w:right w:val="nil"/>
            </w:tcBorders>
          </w:tcPr>
          <w:p w14:paraId="7D7E66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0.171**</w:t>
            </w:r>
          </w:p>
        </w:tc>
      </w:tr>
      <w:tr w:rsidR="00F00E3D" w:rsidRPr="00335312" w14:paraId="374F20CE" w14:textId="77777777" w:rsidTr="009B2FA7">
        <w:trPr>
          <w:jc w:val="center"/>
        </w:trPr>
        <w:tc>
          <w:tcPr>
            <w:tcW w:w="1207" w:type="pct"/>
            <w:tcBorders>
              <w:top w:val="nil"/>
              <w:left w:val="nil"/>
              <w:bottom w:val="nil"/>
              <w:right w:val="nil"/>
            </w:tcBorders>
          </w:tcPr>
          <w:p w14:paraId="274677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555F3A1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(24.80)</w:t>
            </w:r>
          </w:p>
        </w:tc>
        <w:tc>
          <w:tcPr>
            <w:tcW w:w="948" w:type="pct"/>
            <w:tcBorders>
              <w:top w:val="nil"/>
              <w:left w:val="nil"/>
              <w:bottom w:val="nil"/>
              <w:right w:val="nil"/>
            </w:tcBorders>
          </w:tcPr>
          <w:p w14:paraId="4143E9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(18.46)</w:t>
            </w:r>
          </w:p>
        </w:tc>
        <w:tc>
          <w:tcPr>
            <w:tcW w:w="707" w:type="pct"/>
            <w:tcBorders>
              <w:top w:val="nil"/>
              <w:left w:val="nil"/>
              <w:bottom w:val="nil"/>
              <w:right w:val="nil"/>
            </w:tcBorders>
          </w:tcPr>
          <w:p w14:paraId="65689E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(18.00)</w:t>
            </w:r>
          </w:p>
        </w:tc>
        <w:tc>
          <w:tcPr>
            <w:tcW w:w="831" w:type="pct"/>
            <w:tcBorders>
              <w:top w:val="nil"/>
              <w:left w:val="nil"/>
              <w:bottom w:val="nil"/>
              <w:right w:val="nil"/>
            </w:tcBorders>
          </w:tcPr>
          <w:p w14:paraId="79A638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(10.62)</w:t>
            </w:r>
          </w:p>
        </w:tc>
        <w:tc>
          <w:tcPr>
            <w:tcW w:w="726" w:type="pct"/>
            <w:tcBorders>
              <w:top w:val="nil"/>
              <w:left w:val="nil"/>
              <w:bottom w:val="nil"/>
              <w:right w:val="nil"/>
            </w:tcBorders>
          </w:tcPr>
          <w:p w14:paraId="78C4F7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(5.850)</w:t>
            </w:r>
          </w:p>
        </w:tc>
      </w:tr>
      <w:tr w:rsidR="00F00E3D" w:rsidRPr="00335312" w14:paraId="5685C34D" w14:textId="77777777" w:rsidTr="009B2FA7">
        <w:trPr>
          <w:jc w:val="center"/>
        </w:trPr>
        <w:tc>
          <w:tcPr>
            <w:tcW w:w="1207" w:type="pct"/>
            <w:tcBorders>
              <w:top w:val="nil"/>
              <w:left w:val="nil"/>
              <w:bottom w:val="nil"/>
              <w:right w:val="nil"/>
            </w:tcBorders>
          </w:tcPr>
          <w:p w14:paraId="71AA59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2020.year#5.month</w:t>
            </w:r>
          </w:p>
        </w:tc>
        <w:tc>
          <w:tcPr>
            <w:tcW w:w="580" w:type="pct"/>
            <w:tcBorders>
              <w:top w:val="nil"/>
              <w:left w:val="nil"/>
              <w:bottom w:val="nil"/>
              <w:right w:val="nil"/>
            </w:tcBorders>
          </w:tcPr>
          <w:p w14:paraId="2F40F4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0.109***</w:t>
            </w:r>
          </w:p>
        </w:tc>
        <w:tc>
          <w:tcPr>
            <w:tcW w:w="948" w:type="pct"/>
            <w:tcBorders>
              <w:top w:val="nil"/>
              <w:left w:val="nil"/>
              <w:bottom w:val="nil"/>
              <w:right w:val="nil"/>
            </w:tcBorders>
          </w:tcPr>
          <w:p w14:paraId="69F8B0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0.0942***</w:t>
            </w:r>
          </w:p>
        </w:tc>
        <w:tc>
          <w:tcPr>
            <w:tcW w:w="707" w:type="pct"/>
            <w:tcBorders>
              <w:top w:val="nil"/>
              <w:left w:val="nil"/>
              <w:bottom w:val="nil"/>
              <w:right w:val="nil"/>
            </w:tcBorders>
          </w:tcPr>
          <w:p w14:paraId="048B81D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0.140***</w:t>
            </w:r>
          </w:p>
        </w:tc>
        <w:tc>
          <w:tcPr>
            <w:tcW w:w="831" w:type="pct"/>
            <w:tcBorders>
              <w:top w:val="nil"/>
              <w:left w:val="nil"/>
              <w:bottom w:val="nil"/>
              <w:right w:val="nil"/>
            </w:tcBorders>
          </w:tcPr>
          <w:p w14:paraId="770016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0.120***</w:t>
            </w:r>
          </w:p>
        </w:tc>
        <w:tc>
          <w:tcPr>
            <w:tcW w:w="726" w:type="pct"/>
            <w:tcBorders>
              <w:top w:val="nil"/>
              <w:left w:val="nil"/>
              <w:bottom w:val="nil"/>
              <w:right w:val="nil"/>
            </w:tcBorders>
          </w:tcPr>
          <w:p w14:paraId="595CC1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0.153**</w:t>
            </w:r>
          </w:p>
        </w:tc>
      </w:tr>
      <w:tr w:rsidR="00F00E3D" w:rsidRPr="00335312" w14:paraId="54972900" w14:textId="77777777" w:rsidTr="009B2FA7">
        <w:trPr>
          <w:jc w:val="center"/>
        </w:trPr>
        <w:tc>
          <w:tcPr>
            <w:tcW w:w="1207" w:type="pct"/>
            <w:tcBorders>
              <w:top w:val="nil"/>
              <w:left w:val="nil"/>
              <w:bottom w:val="nil"/>
              <w:right w:val="nil"/>
            </w:tcBorders>
          </w:tcPr>
          <w:p w14:paraId="64A24B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138126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(20.82)</w:t>
            </w:r>
          </w:p>
        </w:tc>
        <w:tc>
          <w:tcPr>
            <w:tcW w:w="948" w:type="pct"/>
            <w:tcBorders>
              <w:top w:val="nil"/>
              <w:left w:val="nil"/>
              <w:bottom w:val="nil"/>
              <w:right w:val="nil"/>
            </w:tcBorders>
          </w:tcPr>
          <w:p w14:paraId="1F2687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(15.89)</w:t>
            </w:r>
          </w:p>
        </w:tc>
        <w:tc>
          <w:tcPr>
            <w:tcW w:w="707" w:type="pct"/>
            <w:tcBorders>
              <w:top w:val="nil"/>
              <w:left w:val="nil"/>
              <w:bottom w:val="nil"/>
              <w:right w:val="nil"/>
            </w:tcBorders>
          </w:tcPr>
          <w:p w14:paraId="2434BE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(15.23)</w:t>
            </w:r>
          </w:p>
        </w:tc>
        <w:tc>
          <w:tcPr>
            <w:tcW w:w="831" w:type="pct"/>
            <w:tcBorders>
              <w:top w:val="nil"/>
              <w:left w:val="nil"/>
              <w:bottom w:val="nil"/>
              <w:right w:val="nil"/>
            </w:tcBorders>
          </w:tcPr>
          <w:p w14:paraId="168B9D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(10.88)</w:t>
            </w:r>
          </w:p>
        </w:tc>
        <w:tc>
          <w:tcPr>
            <w:tcW w:w="726" w:type="pct"/>
            <w:tcBorders>
              <w:top w:val="nil"/>
              <w:left w:val="nil"/>
              <w:bottom w:val="nil"/>
              <w:right w:val="nil"/>
            </w:tcBorders>
          </w:tcPr>
          <w:p w14:paraId="05316F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(4.731)</w:t>
            </w:r>
          </w:p>
        </w:tc>
      </w:tr>
      <w:tr w:rsidR="00F00E3D" w:rsidRPr="00335312" w14:paraId="5C32D39A" w14:textId="77777777" w:rsidTr="009B2FA7">
        <w:trPr>
          <w:jc w:val="center"/>
        </w:trPr>
        <w:tc>
          <w:tcPr>
            <w:tcW w:w="1207" w:type="pct"/>
            <w:tcBorders>
              <w:top w:val="nil"/>
              <w:left w:val="nil"/>
              <w:bottom w:val="nil"/>
              <w:right w:val="nil"/>
            </w:tcBorders>
          </w:tcPr>
          <w:p w14:paraId="460CD2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2020.year#6.month</w:t>
            </w:r>
          </w:p>
        </w:tc>
        <w:tc>
          <w:tcPr>
            <w:tcW w:w="580" w:type="pct"/>
            <w:tcBorders>
              <w:top w:val="nil"/>
              <w:left w:val="nil"/>
              <w:bottom w:val="nil"/>
              <w:right w:val="nil"/>
            </w:tcBorders>
          </w:tcPr>
          <w:p w14:paraId="74ED6E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0.112***</w:t>
            </w:r>
          </w:p>
        </w:tc>
        <w:tc>
          <w:tcPr>
            <w:tcW w:w="948" w:type="pct"/>
            <w:tcBorders>
              <w:top w:val="nil"/>
              <w:left w:val="nil"/>
              <w:bottom w:val="nil"/>
              <w:right w:val="nil"/>
            </w:tcBorders>
          </w:tcPr>
          <w:p w14:paraId="53A7AA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0.0960***</w:t>
            </w:r>
          </w:p>
        </w:tc>
        <w:tc>
          <w:tcPr>
            <w:tcW w:w="707" w:type="pct"/>
            <w:tcBorders>
              <w:top w:val="nil"/>
              <w:left w:val="nil"/>
              <w:bottom w:val="nil"/>
              <w:right w:val="nil"/>
            </w:tcBorders>
          </w:tcPr>
          <w:p w14:paraId="623B62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0.148***</w:t>
            </w:r>
          </w:p>
        </w:tc>
        <w:tc>
          <w:tcPr>
            <w:tcW w:w="831" w:type="pct"/>
            <w:tcBorders>
              <w:top w:val="nil"/>
              <w:left w:val="nil"/>
              <w:bottom w:val="nil"/>
              <w:right w:val="nil"/>
            </w:tcBorders>
          </w:tcPr>
          <w:p w14:paraId="1B4239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0.134***</w:t>
            </w:r>
          </w:p>
        </w:tc>
        <w:tc>
          <w:tcPr>
            <w:tcW w:w="726" w:type="pct"/>
            <w:tcBorders>
              <w:top w:val="nil"/>
              <w:left w:val="nil"/>
              <w:bottom w:val="nil"/>
              <w:right w:val="nil"/>
            </w:tcBorders>
          </w:tcPr>
          <w:p w14:paraId="5692E39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0.160**</w:t>
            </w:r>
          </w:p>
        </w:tc>
      </w:tr>
      <w:tr w:rsidR="00F00E3D" w:rsidRPr="00335312" w14:paraId="343C822A" w14:textId="77777777" w:rsidTr="009B2FA7">
        <w:trPr>
          <w:jc w:val="center"/>
        </w:trPr>
        <w:tc>
          <w:tcPr>
            <w:tcW w:w="1207" w:type="pct"/>
            <w:tcBorders>
              <w:top w:val="nil"/>
              <w:left w:val="nil"/>
              <w:bottom w:val="nil"/>
              <w:right w:val="nil"/>
            </w:tcBorders>
          </w:tcPr>
          <w:p w14:paraId="24ECA5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2592D7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(21.81)</w:t>
            </w:r>
          </w:p>
        </w:tc>
        <w:tc>
          <w:tcPr>
            <w:tcW w:w="948" w:type="pct"/>
            <w:tcBorders>
              <w:top w:val="nil"/>
              <w:left w:val="nil"/>
              <w:bottom w:val="nil"/>
              <w:right w:val="nil"/>
            </w:tcBorders>
          </w:tcPr>
          <w:p w14:paraId="0D7497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(16.92)</w:t>
            </w:r>
          </w:p>
        </w:tc>
        <w:tc>
          <w:tcPr>
            <w:tcW w:w="707" w:type="pct"/>
            <w:tcBorders>
              <w:top w:val="nil"/>
              <w:left w:val="nil"/>
              <w:bottom w:val="nil"/>
              <w:right w:val="nil"/>
            </w:tcBorders>
          </w:tcPr>
          <w:p w14:paraId="4CE1B8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(14.78)</w:t>
            </w:r>
          </w:p>
        </w:tc>
        <w:tc>
          <w:tcPr>
            <w:tcW w:w="831" w:type="pct"/>
            <w:tcBorders>
              <w:top w:val="nil"/>
              <w:left w:val="nil"/>
              <w:bottom w:val="nil"/>
              <w:right w:val="nil"/>
            </w:tcBorders>
          </w:tcPr>
          <w:p w14:paraId="0A7169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(9.133)</w:t>
            </w:r>
          </w:p>
        </w:tc>
        <w:tc>
          <w:tcPr>
            <w:tcW w:w="726" w:type="pct"/>
            <w:tcBorders>
              <w:top w:val="nil"/>
              <w:left w:val="nil"/>
              <w:bottom w:val="nil"/>
              <w:right w:val="nil"/>
            </w:tcBorders>
          </w:tcPr>
          <w:p w14:paraId="3BF154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(6.679)</w:t>
            </w:r>
          </w:p>
        </w:tc>
      </w:tr>
      <w:tr w:rsidR="00F00E3D" w:rsidRPr="00335312" w14:paraId="5CF9575B" w14:textId="77777777" w:rsidTr="009B2FA7">
        <w:trPr>
          <w:jc w:val="center"/>
        </w:trPr>
        <w:tc>
          <w:tcPr>
            <w:tcW w:w="1207" w:type="pct"/>
            <w:tcBorders>
              <w:top w:val="nil"/>
              <w:left w:val="nil"/>
              <w:bottom w:val="nil"/>
              <w:right w:val="nil"/>
            </w:tcBorders>
          </w:tcPr>
          <w:p w14:paraId="105A5D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2020.year#7.month</w:t>
            </w:r>
          </w:p>
        </w:tc>
        <w:tc>
          <w:tcPr>
            <w:tcW w:w="580" w:type="pct"/>
            <w:tcBorders>
              <w:top w:val="nil"/>
              <w:left w:val="nil"/>
              <w:bottom w:val="nil"/>
              <w:right w:val="nil"/>
            </w:tcBorders>
          </w:tcPr>
          <w:p w14:paraId="75CE35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0.115***</w:t>
            </w:r>
          </w:p>
        </w:tc>
        <w:tc>
          <w:tcPr>
            <w:tcW w:w="948" w:type="pct"/>
            <w:tcBorders>
              <w:top w:val="nil"/>
              <w:left w:val="nil"/>
              <w:bottom w:val="nil"/>
              <w:right w:val="nil"/>
            </w:tcBorders>
          </w:tcPr>
          <w:p w14:paraId="02F8A4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0.0955***</w:t>
            </w:r>
          </w:p>
        </w:tc>
        <w:tc>
          <w:tcPr>
            <w:tcW w:w="707" w:type="pct"/>
            <w:tcBorders>
              <w:top w:val="nil"/>
              <w:left w:val="nil"/>
              <w:bottom w:val="nil"/>
              <w:right w:val="nil"/>
            </w:tcBorders>
          </w:tcPr>
          <w:p w14:paraId="17C64BA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0.156***</w:t>
            </w:r>
          </w:p>
        </w:tc>
        <w:tc>
          <w:tcPr>
            <w:tcW w:w="831" w:type="pct"/>
            <w:tcBorders>
              <w:top w:val="nil"/>
              <w:left w:val="nil"/>
              <w:bottom w:val="nil"/>
              <w:right w:val="nil"/>
            </w:tcBorders>
          </w:tcPr>
          <w:p w14:paraId="2D50B3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0.129***</w:t>
            </w:r>
          </w:p>
        </w:tc>
        <w:tc>
          <w:tcPr>
            <w:tcW w:w="726" w:type="pct"/>
            <w:tcBorders>
              <w:top w:val="nil"/>
              <w:left w:val="nil"/>
              <w:bottom w:val="nil"/>
              <w:right w:val="nil"/>
            </w:tcBorders>
          </w:tcPr>
          <w:p w14:paraId="0C1000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0.165**</w:t>
            </w:r>
          </w:p>
        </w:tc>
      </w:tr>
      <w:tr w:rsidR="00F00E3D" w:rsidRPr="00335312" w14:paraId="5622B3FF" w14:textId="77777777" w:rsidTr="009B2FA7">
        <w:trPr>
          <w:jc w:val="center"/>
        </w:trPr>
        <w:tc>
          <w:tcPr>
            <w:tcW w:w="1207" w:type="pct"/>
            <w:tcBorders>
              <w:top w:val="nil"/>
              <w:left w:val="nil"/>
              <w:bottom w:val="nil"/>
              <w:right w:val="nil"/>
            </w:tcBorders>
          </w:tcPr>
          <w:p w14:paraId="649932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642796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(17.46)</w:t>
            </w:r>
          </w:p>
        </w:tc>
        <w:tc>
          <w:tcPr>
            <w:tcW w:w="948" w:type="pct"/>
            <w:tcBorders>
              <w:top w:val="nil"/>
              <w:left w:val="nil"/>
              <w:bottom w:val="nil"/>
              <w:right w:val="nil"/>
            </w:tcBorders>
          </w:tcPr>
          <w:p w14:paraId="5DD24E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(14.49)</w:t>
            </w:r>
          </w:p>
        </w:tc>
        <w:tc>
          <w:tcPr>
            <w:tcW w:w="707" w:type="pct"/>
            <w:tcBorders>
              <w:top w:val="nil"/>
              <w:left w:val="nil"/>
              <w:bottom w:val="nil"/>
              <w:right w:val="nil"/>
            </w:tcBorders>
          </w:tcPr>
          <w:p w14:paraId="680A5A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(11.05)</w:t>
            </w:r>
          </w:p>
        </w:tc>
        <w:tc>
          <w:tcPr>
            <w:tcW w:w="831" w:type="pct"/>
            <w:tcBorders>
              <w:top w:val="nil"/>
              <w:left w:val="nil"/>
              <w:bottom w:val="nil"/>
              <w:right w:val="nil"/>
            </w:tcBorders>
          </w:tcPr>
          <w:p w14:paraId="7035A5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(5.962)</w:t>
            </w:r>
          </w:p>
        </w:tc>
        <w:tc>
          <w:tcPr>
            <w:tcW w:w="726" w:type="pct"/>
            <w:tcBorders>
              <w:top w:val="nil"/>
              <w:left w:val="nil"/>
              <w:bottom w:val="nil"/>
              <w:right w:val="nil"/>
            </w:tcBorders>
          </w:tcPr>
          <w:p w14:paraId="552DB9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(4.815)</w:t>
            </w:r>
          </w:p>
        </w:tc>
      </w:tr>
      <w:tr w:rsidR="00F00E3D" w:rsidRPr="00335312" w14:paraId="77272E5E" w14:textId="77777777" w:rsidTr="009B2FA7">
        <w:trPr>
          <w:jc w:val="center"/>
        </w:trPr>
        <w:tc>
          <w:tcPr>
            <w:tcW w:w="1207" w:type="pct"/>
            <w:tcBorders>
              <w:top w:val="nil"/>
              <w:left w:val="nil"/>
              <w:bottom w:val="nil"/>
              <w:right w:val="nil"/>
            </w:tcBorders>
          </w:tcPr>
          <w:p w14:paraId="0C6015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2020.year#8.month</w:t>
            </w:r>
          </w:p>
        </w:tc>
        <w:tc>
          <w:tcPr>
            <w:tcW w:w="580" w:type="pct"/>
            <w:tcBorders>
              <w:top w:val="nil"/>
              <w:left w:val="nil"/>
              <w:bottom w:val="nil"/>
              <w:right w:val="nil"/>
            </w:tcBorders>
          </w:tcPr>
          <w:p w14:paraId="5D1859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0.127***</w:t>
            </w:r>
          </w:p>
        </w:tc>
        <w:tc>
          <w:tcPr>
            <w:tcW w:w="948" w:type="pct"/>
            <w:tcBorders>
              <w:top w:val="nil"/>
              <w:left w:val="nil"/>
              <w:bottom w:val="nil"/>
              <w:right w:val="nil"/>
            </w:tcBorders>
          </w:tcPr>
          <w:p w14:paraId="0A1B3B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0.0906***</w:t>
            </w:r>
          </w:p>
        </w:tc>
        <w:tc>
          <w:tcPr>
            <w:tcW w:w="707" w:type="pct"/>
            <w:tcBorders>
              <w:top w:val="nil"/>
              <w:left w:val="nil"/>
              <w:bottom w:val="nil"/>
              <w:right w:val="nil"/>
            </w:tcBorders>
          </w:tcPr>
          <w:p w14:paraId="51B54AB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0.188***</w:t>
            </w:r>
          </w:p>
        </w:tc>
        <w:tc>
          <w:tcPr>
            <w:tcW w:w="831" w:type="pct"/>
            <w:tcBorders>
              <w:top w:val="nil"/>
              <w:left w:val="nil"/>
              <w:bottom w:val="nil"/>
              <w:right w:val="nil"/>
            </w:tcBorders>
          </w:tcPr>
          <w:p w14:paraId="32FF7A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0.149***</w:t>
            </w:r>
          </w:p>
        </w:tc>
        <w:tc>
          <w:tcPr>
            <w:tcW w:w="726" w:type="pct"/>
            <w:tcBorders>
              <w:top w:val="nil"/>
              <w:left w:val="nil"/>
              <w:bottom w:val="nil"/>
              <w:right w:val="nil"/>
            </w:tcBorders>
          </w:tcPr>
          <w:p w14:paraId="0E192E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0.163*</w:t>
            </w:r>
          </w:p>
        </w:tc>
      </w:tr>
      <w:tr w:rsidR="00F00E3D" w:rsidRPr="00335312" w14:paraId="6BF2A6C9" w14:textId="77777777" w:rsidTr="009B2FA7">
        <w:trPr>
          <w:jc w:val="center"/>
        </w:trPr>
        <w:tc>
          <w:tcPr>
            <w:tcW w:w="1207" w:type="pct"/>
            <w:tcBorders>
              <w:top w:val="nil"/>
              <w:left w:val="nil"/>
              <w:bottom w:val="nil"/>
              <w:right w:val="nil"/>
            </w:tcBorders>
          </w:tcPr>
          <w:p w14:paraId="352ACF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4672A4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(15.58)</w:t>
            </w:r>
          </w:p>
        </w:tc>
        <w:tc>
          <w:tcPr>
            <w:tcW w:w="948" w:type="pct"/>
            <w:tcBorders>
              <w:top w:val="nil"/>
              <w:left w:val="nil"/>
              <w:bottom w:val="nil"/>
              <w:right w:val="nil"/>
            </w:tcBorders>
          </w:tcPr>
          <w:p w14:paraId="371D58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(13.47)</w:t>
            </w:r>
          </w:p>
        </w:tc>
        <w:tc>
          <w:tcPr>
            <w:tcW w:w="707" w:type="pct"/>
            <w:tcBorders>
              <w:top w:val="nil"/>
              <w:left w:val="nil"/>
              <w:bottom w:val="nil"/>
              <w:right w:val="nil"/>
            </w:tcBorders>
          </w:tcPr>
          <w:p w14:paraId="7BD45C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(11.15)</w:t>
            </w:r>
          </w:p>
        </w:tc>
        <w:tc>
          <w:tcPr>
            <w:tcW w:w="831" w:type="pct"/>
            <w:tcBorders>
              <w:top w:val="nil"/>
              <w:left w:val="nil"/>
              <w:bottom w:val="nil"/>
              <w:right w:val="nil"/>
            </w:tcBorders>
          </w:tcPr>
          <w:p w14:paraId="1CF05D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(6.892)</w:t>
            </w:r>
          </w:p>
        </w:tc>
        <w:tc>
          <w:tcPr>
            <w:tcW w:w="726" w:type="pct"/>
            <w:tcBorders>
              <w:top w:val="nil"/>
              <w:left w:val="nil"/>
              <w:bottom w:val="nil"/>
              <w:right w:val="nil"/>
            </w:tcBorders>
          </w:tcPr>
          <w:p w14:paraId="4C3A19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(3.509)</w:t>
            </w:r>
          </w:p>
        </w:tc>
      </w:tr>
      <w:tr w:rsidR="00F00E3D" w:rsidRPr="00335312" w14:paraId="2233A4BE" w14:textId="77777777" w:rsidTr="009B2FA7">
        <w:trPr>
          <w:jc w:val="center"/>
        </w:trPr>
        <w:tc>
          <w:tcPr>
            <w:tcW w:w="1207" w:type="pct"/>
            <w:tcBorders>
              <w:top w:val="nil"/>
              <w:left w:val="nil"/>
              <w:bottom w:val="nil"/>
              <w:right w:val="nil"/>
            </w:tcBorders>
          </w:tcPr>
          <w:p w14:paraId="56F55D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2020.year#9.month</w:t>
            </w:r>
          </w:p>
        </w:tc>
        <w:tc>
          <w:tcPr>
            <w:tcW w:w="580" w:type="pct"/>
            <w:tcBorders>
              <w:top w:val="nil"/>
              <w:left w:val="nil"/>
              <w:bottom w:val="nil"/>
              <w:right w:val="nil"/>
            </w:tcBorders>
          </w:tcPr>
          <w:p w14:paraId="1E04D12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0.110***</w:t>
            </w:r>
          </w:p>
        </w:tc>
        <w:tc>
          <w:tcPr>
            <w:tcW w:w="948" w:type="pct"/>
            <w:tcBorders>
              <w:top w:val="nil"/>
              <w:left w:val="nil"/>
              <w:bottom w:val="nil"/>
              <w:right w:val="nil"/>
            </w:tcBorders>
          </w:tcPr>
          <w:p w14:paraId="39D7BE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0.0836***</w:t>
            </w:r>
          </w:p>
        </w:tc>
        <w:tc>
          <w:tcPr>
            <w:tcW w:w="707" w:type="pct"/>
            <w:tcBorders>
              <w:top w:val="nil"/>
              <w:left w:val="nil"/>
              <w:bottom w:val="nil"/>
              <w:right w:val="nil"/>
            </w:tcBorders>
          </w:tcPr>
          <w:p w14:paraId="24C344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0.165***</w:t>
            </w:r>
          </w:p>
        </w:tc>
        <w:tc>
          <w:tcPr>
            <w:tcW w:w="831" w:type="pct"/>
            <w:tcBorders>
              <w:top w:val="nil"/>
              <w:left w:val="nil"/>
              <w:bottom w:val="nil"/>
              <w:right w:val="nil"/>
            </w:tcBorders>
          </w:tcPr>
          <w:p w14:paraId="721CB0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0.167***</w:t>
            </w:r>
          </w:p>
        </w:tc>
        <w:tc>
          <w:tcPr>
            <w:tcW w:w="726" w:type="pct"/>
            <w:tcBorders>
              <w:top w:val="nil"/>
              <w:left w:val="nil"/>
              <w:bottom w:val="nil"/>
              <w:right w:val="nil"/>
            </w:tcBorders>
          </w:tcPr>
          <w:p w14:paraId="51AAD82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0.231*</w:t>
            </w:r>
          </w:p>
        </w:tc>
      </w:tr>
      <w:tr w:rsidR="00F00E3D" w:rsidRPr="00335312" w14:paraId="12040DC3" w14:textId="77777777" w:rsidTr="009B2FA7">
        <w:trPr>
          <w:jc w:val="center"/>
        </w:trPr>
        <w:tc>
          <w:tcPr>
            <w:tcW w:w="1207" w:type="pct"/>
            <w:tcBorders>
              <w:top w:val="nil"/>
              <w:left w:val="nil"/>
              <w:bottom w:val="nil"/>
              <w:right w:val="nil"/>
            </w:tcBorders>
          </w:tcPr>
          <w:p w14:paraId="3243CC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6E0B8B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(18.18)</w:t>
            </w:r>
          </w:p>
        </w:tc>
        <w:tc>
          <w:tcPr>
            <w:tcW w:w="948" w:type="pct"/>
            <w:tcBorders>
              <w:top w:val="nil"/>
              <w:left w:val="nil"/>
              <w:bottom w:val="nil"/>
              <w:right w:val="nil"/>
            </w:tcBorders>
          </w:tcPr>
          <w:p w14:paraId="4BEDC9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(13.56)</w:t>
            </w:r>
          </w:p>
        </w:tc>
        <w:tc>
          <w:tcPr>
            <w:tcW w:w="707" w:type="pct"/>
            <w:tcBorders>
              <w:top w:val="nil"/>
              <w:left w:val="nil"/>
              <w:bottom w:val="nil"/>
              <w:right w:val="nil"/>
            </w:tcBorders>
          </w:tcPr>
          <w:p w14:paraId="7C626EE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(14.33)</w:t>
            </w:r>
          </w:p>
        </w:tc>
        <w:tc>
          <w:tcPr>
            <w:tcW w:w="831" w:type="pct"/>
            <w:tcBorders>
              <w:top w:val="nil"/>
              <w:left w:val="nil"/>
              <w:bottom w:val="nil"/>
              <w:right w:val="nil"/>
            </w:tcBorders>
          </w:tcPr>
          <w:p w14:paraId="674529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(7.873)</w:t>
            </w:r>
          </w:p>
        </w:tc>
        <w:tc>
          <w:tcPr>
            <w:tcW w:w="726" w:type="pct"/>
            <w:tcBorders>
              <w:top w:val="nil"/>
              <w:left w:val="nil"/>
              <w:bottom w:val="nil"/>
              <w:right w:val="nil"/>
            </w:tcBorders>
          </w:tcPr>
          <w:p w14:paraId="635013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(4.259)</w:t>
            </w:r>
          </w:p>
        </w:tc>
      </w:tr>
      <w:tr w:rsidR="00F00E3D" w:rsidRPr="00335312" w14:paraId="5CDBA9F2" w14:textId="77777777" w:rsidTr="009B2FA7">
        <w:trPr>
          <w:jc w:val="center"/>
        </w:trPr>
        <w:tc>
          <w:tcPr>
            <w:tcW w:w="1207" w:type="pct"/>
            <w:tcBorders>
              <w:top w:val="nil"/>
              <w:left w:val="nil"/>
              <w:bottom w:val="nil"/>
              <w:right w:val="nil"/>
            </w:tcBorders>
          </w:tcPr>
          <w:p w14:paraId="4090BB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2020.year#10.month</w:t>
            </w:r>
          </w:p>
        </w:tc>
        <w:tc>
          <w:tcPr>
            <w:tcW w:w="580" w:type="pct"/>
            <w:tcBorders>
              <w:top w:val="nil"/>
              <w:left w:val="nil"/>
              <w:bottom w:val="nil"/>
              <w:right w:val="nil"/>
            </w:tcBorders>
          </w:tcPr>
          <w:p w14:paraId="0B6480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0.104***</w:t>
            </w:r>
          </w:p>
        </w:tc>
        <w:tc>
          <w:tcPr>
            <w:tcW w:w="948" w:type="pct"/>
            <w:tcBorders>
              <w:top w:val="nil"/>
              <w:left w:val="nil"/>
              <w:bottom w:val="nil"/>
              <w:right w:val="nil"/>
            </w:tcBorders>
          </w:tcPr>
          <w:p w14:paraId="29A61A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0.0818***</w:t>
            </w:r>
          </w:p>
        </w:tc>
        <w:tc>
          <w:tcPr>
            <w:tcW w:w="707" w:type="pct"/>
            <w:tcBorders>
              <w:top w:val="nil"/>
              <w:left w:val="nil"/>
              <w:bottom w:val="nil"/>
              <w:right w:val="nil"/>
            </w:tcBorders>
          </w:tcPr>
          <w:p w14:paraId="645D98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0.164***</w:t>
            </w:r>
          </w:p>
        </w:tc>
        <w:tc>
          <w:tcPr>
            <w:tcW w:w="831" w:type="pct"/>
            <w:tcBorders>
              <w:top w:val="nil"/>
              <w:left w:val="nil"/>
              <w:bottom w:val="nil"/>
              <w:right w:val="nil"/>
            </w:tcBorders>
          </w:tcPr>
          <w:p w14:paraId="75C2D5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0.137***</w:t>
            </w:r>
          </w:p>
        </w:tc>
        <w:tc>
          <w:tcPr>
            <w:tcW w:w="726" w:type="pct"/>
            <w:tcBorders>
              <w:top w:val="nil"/>
              <w:left w:val="nil"/>
              <w:bottom w:val="nil"/>
              <w:right w:val="nil"/>
            </w:tcBorders>
          </w:tcPr>
          <w:p w14:paraId="4E9247D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0.163**</w:t>
            </w:r>
          </w:p>
        </w:tc>
      </w:tr>
      <w:tr w:rsidR="00F00E3D" w:rsidRPr="00335312" w14:paraId="7E884070" w14:textId="77777777" w:rsidTr="009B2FA7">
        <w:trPr>
          <w:jc w:val="center"/>
        </w:trPr>
        <w:tc>
          <w:tcPr>
            <w:tcW w:w="1207" w:type="pct"/>
            <w:tcBorders>
              <w:top w:val="nil"/>
              <w:left w:val="nil"/>
              <w:bottom w:val="nil"/>
              <w:right w:val="nil"/>
            </w:tcBorders>
          </w:tcPr>
          <w:p w14:paraId="72139F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75E465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(17.43)</w:t>
            </w:r>
          </w:p>
        </w:tc>
        <w:tc>
          <w:tcPr>
            <w:tcW w:w="948" w:type="pct"/>
            <w:tcBorders>
              <w:top w:val="nil"/>
              <w:left w:val="nil"/>
              <w:bottom w:val="nil"/>
              <w:right w:val="nil"/>
            </w:tcBorders>
          </w:tcPr>
          <w:p w14:paraId="561FC7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(13.89)</w:t>
            </w:r>
          </w:p>
        </w:tc>
        <w:tc>
          <w:tcPr>
            <w:tcW w:w="707" w:type="pct"/>
            <w:tcBorders>
              <w:top w:val="nil"/>
              <w:left w:val="nil"/>
              <w:bottom w:val="nil"/>
              <w:right w:val="nil"/>
            </w:tcBorders>
          </w:tcPr>
          <w:p w14:paraId="1C28AF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(12.04)</w:t>
            </w:r>
          </w:p>
        </w:tc>
        <w:tc>
          <w:tcPr>
            <w:tcW w:w="831" w:type="pct"/>
            <w:tcBorders>
              <w:top w:val="nil"/>
              <w:left w:val="nil"/>
              <w:bottom w:val="nil"/>
              <w:right w:val="nil"/>
            </w:tcBorders>
          </w:tcPr>
          <w:p w14:paraId="5FEC92D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(9.429)</w:t>
            </w:r>
          </w:p>
        </w:tc>
        <w:tc>
          <w:tcPr>
            <w:tcW w:w="726" w:type="pct"/>
            <w:tcBorders>
              <w:top w:val="nil"/>
              <w:left w:val="nil"/>
              <w:bottom w:val="nil"/>
              <w:right w:val="nil"/>
            </w:tcBorders>
          </w:tcPr>
          <w:p w14:paraId="11C99C9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(7.326)</w:t>
            </w:r>
          </w:p>
        </w:tc>
      </w:tr>
      <w:tr w:rsidR="00F00E3D" w:rsidRPr="00335312" w14:paraId="2A5CCA38" w14:textId="77777777" w:rsidTr="009B2FA7">
        <w:trPr>
          <w:jc w:val="center"/>
        </w:trPr>
        <w:tc>
          <w:tcPr>
            <w:tcW w:w="1207" w:type="pct"/>
            <w:tcBorders>
              <w:top w:val="nil"/>
              <w:left w:val="nil"/>
              <w:bottom w:val="nil"/>
              <w:right w:val="nil"/>
            </w:tcBorders>
          </w:tcPr>
          <w:p w14:paraId="4C1CF9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Constant</w:t>
            </w:r>
          </w:p>
        </w:tc>
        <w:tc>
          <w:tcPr>
            <w:tcW w:w="580" w:type="pct"/>
            <w:tcBorders>
              <w:top w:val="nil"/>
              <w:left w:val="nil"/>
              <w:bottom w:val="nil"/>
              <w:right w:val="nil"/>
            </w:tcBorders>
          </w:tcPr>
          <w:p w14:paraId="0EA63EB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124.2***</w:t>
            </w:r>
          </w:p>
        </w:tc>
        <w:tc>
          <w:tcPr>
            <w:tcW w:w="948" w:type="pct"/>
            <w:tcBorders>
              <w:top w:val="nil"/>
              <w:left w:val="nil"/>
              <w:bottom w:val="nil"/>
              <w:right w:val="nil"/>
            </w:tcBorders>
          </w:tcPr>
          <w:p w14:paraId="1AC02D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22.71***</w:t>
            </w:r>
          </w:p>
        </w:tc>
        <w:tc>
          <w:tcPr>
            <w:tcW w:w="707" w:type="pct"/>
            <w:tcBorders>
              <w:top w:val="nil"/>
              <w:left w:val="nil"/>
              <w:bottom w:val="nil"/>
              <w:right w:val="nil"/>
            </w:tcBorders>
          </w:tcPr>
          <w:p w14:paraId="59ABA8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5.552***</w:t>
            </w:r>
          </w:p>
        </w:tc>
        <w:tc>
          <w:tcPr>
            <w:tcW w:w="831" w:type="pct"/>
            <w:tcBorders>
              <w:top w:val="nil"/>
              <w:left w:val="nil"/>
              <w:bottom w:val="nil"/>
              <w:right w:val="nil"/>
            </w:tcBorders>
          </w:tcPr>
          <w:p w14:paraId="297EAC8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1.353</w:t>
            </w:r>
          </w:p>
        </w:tc>
        <w:tc>
          <w:tcPr>
            <w:tcW w:w="726" w:type="pct"/>
            <w:tcBorders>
              <w:top w:val="nil"/>
              <w:left w:val="nil"/>
              <w:bottom w:val="nil"/>
              <w:right w:val="nil"/>
            </w:tcBorders>
          </w:tcPr>
          <w:p w14:paraId="7BACAC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-3.962</w:t>
            </w:r>
          </w:p>
        </w:tc>
      </w:tr>
      <w:tr w:rsidR="00F00E3D" w:rsidRPr="00335312" w14:paraId="2239BF2F" w14:textId="77777777" w:rsidTr="009B2FA7">
        <w:trPr>
          <w:jc w:val="center"/>
        </w:trPr>
        <w:tc>
          <w:tcPr>
            <w:tcW w:w="1207" w:type="pct"/>
            <w:tcBorders>
              <w:top w:val="nil"/>
              <w:left w:val="nil"/>
              <w:bottom w:val="nil"/>
              <w:right w:val="nil"/>
            </w:tcBorders>
          </w:tcPr>
          <w:p w14:paraId="44C691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10D415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(8.086)</w:t>
            </w:r>
          </w:p>
        </w:tc>
        <w:tc>
          <w:tcPr>
            <w:tcW w:w="948" w:type="pct"/>
            <w:tcBorders>
              <w:top w:val="nil"/>
              <w:left w:val="nil"/>
              <w:bottom w:val="nil"/>
              <w:right w:val="nil"/>
            </w:tcBorders>
          </w:tcPr>
          <w:p w14:paraId="334C99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(28.55)</w:t>
            </w:r>
          </w:p>
        </w:tc>
        <w:tc>
          <w:tcPr>
            <w:tcW w:w="707" w:type="pct"/>
            <w:tcBorders>
              <w:top w:val="nil"/>
              <w:left w:val="nil"/>
              <w:bottom w:val="nil"/>
              <w:right w:val="nil"/>
            </w:tcBorders>
          </w:tcPr>
          <w:p w14:paraId="1CB3ED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(9.400)</w:t>
            </w:r>
          </w:p>
        </w:tc>
        <w:tc>
          <w:tcPr>
            <w:tcW w:w="831" w:type="pct"/>
            <w:tcBorders>
              <w:top w:val="nil"/>
              <w:left w:val="nil"/>
              <w:bottom w:val="nil"/>
              <w:right w:val="nil"/>
            </w:tcBorders>
          </w:tcPr>
          <w:p w14:paraId="3DAE77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(0.413)</w:t>
            </w:r>
          </w:p>
        </w:tc>
        <w:tc>
          <w:tcPr>
            <w:tcW w:w="726" w:type="pct"/>
            <w:tcBorders>
              <w:top w:val="nil"/>
              <w:left w:val="nil"/>
              <w:bottom w:val="nil"/>
              <w:right w:val="nil"/>
            </w:tcBorders>
          </w:tcPr>
          <w:p w14:paraId="6920967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(-0.832)</w:t>
            </w:r>
          </w:p>
        </w:tc>
      </w:tr>
      <w:tr w:rsidR="00F00E3D" w:rsidRPr="00335312" w14:paraId="79F09DEE" w14:textId="77777777" w:rsidTr="009B2FA7">
        <w:trPr>
          <w:jc w:val="center"/>
        </w:trPr>
        <w:tc>
          <w:tcPr>
            <w:tcW w:w="1207" w:type="pct"/>
            <w:tcBorders>
              <w:top w:val="nil"/>
              <w:left w:val="nil"/>
              <w:bottom w:val="nil"/>
              <w:right w:val="nil"/>
            </w:tcBorders>
          </w:tcPr>
          <w:p w14:paraId="1C6821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0" w:type="pct"/>
            <w:tcBorders>
              <w:top w:val="nil"/>
              <w:left w:val="nil"/>
              <w:bottom w:val="nil"/>
              <w:right w:val="nil"/>
            </w:tcBorders>
          </w:tcPr>
          <w:p w14:paraId="61C7D0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948" w:type="pct"/>
            <w:tcBorders>
              <w:top w:val="nil"/>
              <w:left w:val="nil"/>
              <w:bottom w:val="nil"/>
              <w:right w:val="nil"/>
            </w:tcBorders>
          </w:tcPr>
          <w:p w14:paraId="49A218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07" w:type="pct"/>
            <w:tcBorders>
              <w:top w:val="nil"/>
              <w:left w:val="nil"/>
              <w:bottom w:val="nil"/>
              <w:right w:val="nil"/>
            </w:tcBorders>
          </w:tcPr>
          <w:p w14:paraId="6A8CD9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31" w:type="pct"/>
            <w:tcBorders>
              <w:top w:val="nil"/>
              <w:left w:val="nil"/>
              <w:bottom w:val="nil"/>
              <w:right w:val="nil"/>
            </w:tcBorders>
          </w:tcPr>
          <w:p w14:paraId="38918A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26" w:type="pct"/>
            <w:tcBorders>
              <w:top w:val="nil"/>
              <w:left w:val="nil"/>
              <w:bottom w:val="nil"/>
              <w:right w:val="nil"/>
            </w:tcBorders>
          </w:tcPr>
          <w:p w14:paraId="4270BC3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4F403C5D" w14:textId="77777777" w:rsidTr="009B2FA7">
        <w:trPr>
          <w:jc w:val="center"/>
        </w:trPr>
        <w:tc>
          <w:tcPr>
            <w:tcW w:w="1207" w:type="pct"/>
            <w:tcBorders>
              <w:top w:val="nil"/>
              <w:left w:val="nil"/>
              <w:bottom w:val="nil"/>
              <w:right w:val="nil"/>
            </w:tcBorders>
          </w:tcPr>
          <w:p w14:paraId="1EE7B6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Observations</w:t>
            </w:r>
          </w:p>
        </w:tc>
        <w:tc>
          <w:tcPr>
            <w:tcW w:w="580" w:type="pct"/>
            <w:tcBorders>
              <w:top w:val="nil"/>
              <w:left w:val="nil"/>
              <w:bottom w:val="nil"/>
              <w:right w:val="nil"/>
            </w:tcBorders>
          </w:tcPr>
          <w:p w14:paraId="3A518D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1,600,271</w:t>
            </w:r>
          </w:p>
        </w:tc>
        <w:tc>
          <w:tcPr>
            <w:tcW w:w="948" w:type="pct"/>
            <w:tcBorders>
              <w:top w:val="nil"/>
              <w:left w:val="nil"/>
              <w:bottom w:val="nil"/>
              <w:right w:val="nil"/>
            </w:tcBorders>
          </w:tcPr>
          <w:p w14:paraId="65B1B7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1,111,617</w:t>
            </w:r>
          </w:p>
        </w:tc>
        <w:tc>
          <w:tcPr>
            <w:tcW w:w="707" w:type="pct"/>
            <w:tcBorders>
              <w:top w:val="nil"/>
              <w:left w:val="nil"/>
              <w:bottom w:val="nil"/>
              <w:right w:val="nil"/>
            </w:tcBorders>
          </w:tcPr>
          <w:p w14:paraId="6DC8DF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488,654</w:t>
            </w:r>
          </w:p>
        </w:tc>
        <w:tc>
          <w:tcPr>
            <w:tcW w:w="831" w:type="pct"/>
            <w:tcBorders>
              <w:top w:val="nil"/>
              <w:left w:val="nil"/>
              <w:bottom w:val="nil"/>
              <w:right w:val="nil"/>
            </w:tcBorders>
          </w:tcPr>
          <w:p w14:paraId="4E33AA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55,512</w:t>
            </w:r>
          </w:p>
        </w:tc>
        <w:tc>
          <w:tcPr>
            <w:tcW w:w="726" w:type="pct"/>
            <w:tcBorders>
              <w:top w:val="nil"/>
              <w:left w:val="nil"/>
              <w:bottom w:val="nil"/>
              <w:right w:val="nil"/>
            </w:tcBorders>
          </w:tcPr>
          <w:p w14:paraId="2F28E7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8,197</w:t>
            </w:r>
          </w:p>
        </w:tc>
      </w:tr>
      <w:tr w:rsidR="00F00E3D" w:rsidRPr="00335312" w14:paraId="28B538F4" w14:textId="77777777" w:rsidTr="009B2FA7">
        <w:trPr>
          <w:jc w:val="center"/>
        </w:trPr>
        <w:tc>
          <w:tcPr>
            <w:tcW w:w="1207" w:type="pct"/>
            <w:tcBorders>
              <w:top w:val="nil"/>
              <w:left w:val="nil"/>
              <w:bottom w:val="nil"/>
              <w:right w:val="nil"/>
            </w:tcBorders>
          </w:tcPr>
          <w:p w14:paraId="6E589F5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R-squared</w:t>
            </w:r>
          </w:p>
        </w:tc>
        <w:tc>
          <w:tcPr>
            <w:tcW w:w="580" w:type="pct"/>
            <w:tcBorders>
              <w:top w:val="nil"/>
              <w:left w:val="nil"/>
              <w:bottom w:val="nil"/>
              <w:right w:val="nil"/>
            </w:tcBorders>
          </w:tcPr>
          <w:p w14:paraId="58E69B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0.649</w:t>
            </w:r>
          </w:p>
        </w:tc>
        <w:tc>
          <w:tcPr>
            <w:tcW w:w="948" w:type="pct"/>
            <w:tcBorders>
              <w:top w:val="nil"/>
              <w:left w:val="nil"/>
              <w:bottom w:val="nil"/>
              <w:right w:val="nil"/>
            </w:tcBorders>
          </w:tcPr>
          <w:p w14:paraId="21FAED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0.664</w:t>
            </w:r>
          </w:p>
        </w:tc>
        <w:tc>
          <w:tcPr>
            <w:tcW w:w="707" w:type="pct"/>
            <w:tcBorders>
              <w:top w:val="nil"/>
              <w:left w:val="nil"/>
              <w:bottom w:val="nil"/>
              <w:right w:val="nil"/>
            </w:tcBorders>
          </w:tcPr>
          <w:p w14:paraId="326DE2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0.588</w:t>
            </w:r>
          </w:p>
        </w:tc>
        <w:tc>
          <w:tcPr>
            <w:tcW w:w="831" w:type="pct"/>
            <w:tcBorders>
              <w:top w:val="nil"/>
              <w:left w:val="nil"/>
              <w:bottom w:val="nil"/>
              <w:right w:val="nil"/>
            </w:tcBorders>
          </w:tcPr>
          <w:p w14:paraId="3C8734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0.467</w:t>
            </w:r>
          </w:p>
        </w:tc>
        <w:tc>
          <w:tcPr>
            <w:tcW w:w="726" w:type="pct"/>
            <w:tcBorders>
              <w:top w:val="nil"/>
              <w:left w:val="nil"/>
              <w:bottom w:val="nil"/>
              <w:right w:val="nil"/>
            </w:tcBorders>
          </w:tcPr>
          <w:p w14:paraId="29EDF3F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0.476</w:t>
            </w:r>
          </w:p>
        </w:tc>
      </w:tr>
      <w:tr w:rsidR="00F00E3D" w:rsidRPr="00335312" w14:paraId="02BCF68C" w14:textId="77777777" w:rsidTr="009B2FA7">
        <w:trPr>
          <w:jc w:val="center"/>
        </w:trPr>
        <w:tc>
          <w:tcPr>
            <w:tcW w:w="1207" w:type="pct"/>
            <w:tcBorders>
              <w:top w:val="nil"/>
              <w:left w:val="nil"/>
              <w:bottom w:val="nil"/>
              <w:right w:val="nil"/>
            </w:tcBorders>
          </w:tcPr>
          <w:p w14:paraId="4B56A3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FE</w:t>
            </w:r>
          </w:p>
        </w:tc>
        <w:tc>
          <w:tcPr>
            <w:tcW w:w="580" w:type="pct"/>
            <w:tcBorders>
              <w:top w:val="nil"/>
              <w:left w:val="nil"/>
              <w:bottom w:val="nil"/>
              <w:right w:val="nil"/>
            </w:tcBorders>
          </w:tcPr>
          <w:p w14:paraId="55CC8F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948" w:type="pct"/>
            <w:tcBorders>
              <w:top w:val="nil"/>
              <w:left w:val="nil"/>
              <w:bottom w:val="nil"/>
              <w:right w:val="nil"/>
            </w:tcBorders>
          </w:tcPr>
          <w:p w14:paraId="23B439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07" w:type="pct"/>
            <w:tcBorders>
              <w:top w:val="nil"/>
              <w:left w:val="nil"/>
              <w:bottom w:val="nil"/>
              <w:right w:val="nil"/>
            </w:tcBorders>
          </w:tcPr>
          <w:p w14:paraId="5412BC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31" w:type="pct"/>
            <w:tcBorders>
              <w:top w:val="nil"/>
              <w:left w:val="nil"/>
              <w:bottom w:val="nil"/>
              <w:right w:val="nil"/>
            </w:tcBorders>
          </w:tcPr>
          <w:p w14:paraId="6DCD1E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26" w:type="pct"/>
            <w:tcBorders>
              <w:top w:val="nil"/>
              <w:left w:val="nil"/>
              <w:bottom w:val="nil"/>
              <w:right w:val="nil"/>
            </w:tcBorders>
          </w:tcPr>
          <w:p w14:paraId="712064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285DC3BA" w14:textId="77777777" w:rsidTr="009B2FA7">
        <w:trPr>
          <w:jc w:val="center"/>
        </w:trPr>
        <w:tc>
          <w:tcPr>
            <w:tcW w:w="1207" w:type="pct"/>
            <w:tcBorders>
              <w:top w:val="nil"/>
              <w:left w:val="nil"/>
              <w:right w:val="nil"/>
            </w:tcBorders>
          </w:tcPr>
          <w:p w14:paraId="264AFD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SE Cluster</w:t>
            </w:r>
          </w:p>
        </w:tc>
        <w:tc>
          <w:tcPr>
            <w:tcW w:w="580" w:type="pct"/>
            <w:tcBorders>
              <w:top w:val="nil"/>
              <w:left w:val="nil"/>
              <w:right w:val="nil"/>
            </w:tcBorders>
          </w:tcPr>
          <w:p w14:paraId="25E06B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948" w:type="pct"/>
            <w:tcBorders>
              <w:top w:val="nil"/>
              <w:left w:val="nil"/>
              <w:right w:val="nil"/>
            </w:tcBorders>
          </w:tcPr>
          <w:p w14:paraId="2D7743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07" w:type="pct"/>
            <w:tcBorders>
              <w:top w:val="nil"/>
              <w:left w:val="nil"/>
              <w:right w:val="nil"/>
            </w:tcBorders>
          </w:tcPr>
          <w:p w14:paraId="5364D8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31" w:type="pct"/>
            <w:tcBorders>
              <w:top w:val="nil"/>
              <w:left w:val="nil"/>
              <w:right w:val="nil"/>
            </w:tcBorders>
          </w:tcPr>
          <w:p w14:paraId="5ED706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26" w:type="pct"/>
            <w:tcBorders>
              <w:top w:val="nil"/>
              <w:left w:val="nil"/>
              <w:right w:val="nil"/>
            </w:tcBorders>
          </w:tcPr>
          <w:p w14:paraId="7A2CEB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3AE559C9" w14:textId="77777777" w:rsidTr="009B2FA7">
        <w:trPr>
          <w:jc w:val="center"/>
        </w:trPr>
        <w:tc>
          <w:tcPr>
            <w:tcW w:w="1207" w:type="pct"/>
            <w:tcBorders>
              <w:top w:val="nil"/>
              <w:left w:val="nil"/>
              <w:bottom w:val="double" w:sz="4" w:space="0" w:color="auto"/>
              <w:right w:val="nil"/>
            </w:tcBorders>
          </w:tcPr>
          <w:p w14:paraId="302A84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Year#Month FE</w:t>
            </w:r>
          </w:p>
        </w:tc>
        <w:tc>
          <w:tcPr>
            <w:tcW w:w="580" w:type="pct"/>
            <w:tcBorders>
              <w:top w:val="nil"/>
              <w:left w:val="nil"/>
              <w:bottom w:val="double" w:sz="4" w:space="0" w:color="auto"/>
              <w:right w:val="nil"/>
            </w:tcBorders>
          </w:tcPr>
          <w:p w14:paraId="6A26F2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948" w:type="pct"/>
            <w:tcBorders>
              <w:top w:val="nil"/>
              <w:left w:val="nil"/>
              <w:bottom w:val="double" w:sz="4" w:space="0" w:color="auto"/>
              <w:right w:val="nil"/>
            </w:tcBorders>
          </w:tcPr>
          <w:p w14:paraId="733245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07" w:type="pct"/>
            <w:tcBorders>
              <w:top w:val="nil"/>
              <w:left w:val="nil"/>
              <w:bottom w:val="double" w:sz="4" w:space="0" w:color="auto"/>
              <w:right w:val="nil"/>
            </w:tcBorders>
          </w:tcPr>
          <w:p w14:paraId="6AACF5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31" w:type="pct"/>
            <w:tcBorders>
              <w:top w:val="nil"/>
              <w:left w:val="nil"/>
              <w:bottom w:val="double" w:sz="4" w:space="0" w:color="auto"/>
              <w:right w:val="nil"/>
            </w:tcBorders>
          </w:tcPr>
          <w:p w14:paraId="0847D8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26" w:type="pct"/>
            <w:tcBorders>
              <w:top w:val="nil"/>
              <w:left w:val="nil"/>
              <w:bottom w:val="double" w:sz="4" w:space="0" w:color="auto"/>
              <w:right w:val="nil"/>
            </w:tcBorders>
          </w:tcPr>
          <w:p w14:paraId="4744F12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bl>
    <w:p w14:paraId="0BB25953" w14:textId="77777777" w:rsidR="00F00E3D" w:rsidRPr="00335312" w:rsidRDefault="00F00E3D" w:rsidP="002C52A2">
      <w:pPr>
        <w:spacing w:before="120" w:after="120" w:line="360" w:lineRule="auto"/>
        <w:rPr>
          <w:rFonts w:asciiTheme="majorHAnsi" w:eastAsiaTheme="majorEastAsia" w:hAnsiTheme="majorHAnsi" w:cstheme="majorHAnsi"/>
          <w:bCs/>
          <w:sz w:val="20"/>
          <w:szCs w:val="20"/>
        </w:rPr>
      </w:pPr>
    </w:p>
    <w:p w14:paraId="54198ECE" w14:textId="77777777" w:rsidR="00F00E3D" w:rsidRPr="00335312" w:rsidRDefault="00F00E3D" w:rsidP="002C52A2">
      <w:pPr>
        <w:spacing w:before="120" w:after="120" w:line="240" w:lineRule="auto"/>
        <w:rPr>
          <w:rFonts w:asciiTheme="majorHAnsi" w:eastAsiaTheme="majorEastAsia" w:hAnsiTheme="majorHAnsi" w:cstheme="majorHAnsi"/>
          <w:bCs/>
          <w:sz w:val="20"/>
          <w:szCs w:val="20"/>
        </w:rPr>
      </w:pPr>
      <w:r w:rsidRPr="00335312">
        <w:rPr>
          <w:rFonts w:asciiTheme="majorHAnsi" w:eastAsiaTheme="majorEastAsia" w:hAnsiTheme="majorHAnsi" w:cstheme="majorHAnsi"/>
          <w:bCs/>
          <w:sz w:val="20"/>
          <w:szCs w:val="20"/>
        </w:rPr>
        <w:t>Panel. D Unit Rental Index</w:t>
      </w:r>
    </w:p>
    <w:tbl>
      <w:tblPr>
        <w:tblW w:w="5000" w:type="pct"/>
        <w:jc w:val="center"/>
        <w:tblCellMar>
          <w:left w:w="75" w:type="dxa"/>
          <w:right w:w="75" w:type="dxa"/>
        </w:tblCellMar>
        <w:tblLook w:val="0000" w:firstRow="0" w:lastRow="0" w:firstColumn="0" w:lastColumn="0" w:noHBand="0" w:noVBand="0"/>
      </w:tblPr>
      <w:tblGrid>
        <w:gridCol w:w="2280"/>
        <w:gridCol w:w="1122"/>
        <w:gridCol w:w="1843"/>
        <w:gridCol w:w="1371"/>
        <w:gridCol w:w="1613"/>
        <w:gridCol w:w="1409"/>
      </w:tblGrid>
      <w:tr w:rsidR="00F00E3D" w:rsidRPr="00335312" w14:paraId="06818A60" w14:textId="77777777" w:rsidTr="009B2FA7">
        <w:trPr>
          <w:jc w:val="center"/>
        </w:trPr>
        <w:tc>
          <w:tcPr>
            <w:tcW w:w="1183" w:type="pct"/>
            <w:tcBorders>
              <w:top w:val="single" w:sz="6" w:space="0" w:color="auto"/>
              <w:left w:val="nil"/>
              <w:bottom w:val="nil"/>
              <w:right w:val="nil"/>
            </w:tcBorders>
          </w:tcPr>
          <w:p w14:paraId="738863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single" w:sz="6" w:space="0" w:color="auto"/>
              <w:left w:val="nil"/>
              <w:bottom w:val="nil"/>
              <w:right w:val="nil"/>
            </w:tcBorders>
          </w:tcPr>
          <w:p w14:paraId="526C8F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w:t>
            </w:r>
          </w:p>
        </w:tc>
        <w:tc>
          <w:tcPr>
            <w:tcW w:w="956" w:type="pct"/>
            <w:tcBorders>
              <w:top w:val="single" w:sz="6" w:space="0" w:color="auto"/>
              <w:left w:val="nil"/>
              <w:bottom w:val="nil"/>
              <w:right w:val="nil"/>
            </w:tcBorders>
          </w:tcPr>
          <w:p w14:paraId="29DA1A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w:t>
            </w:r>
          </w:p>
        </w:tc>
        <w:tc>
          <w:tcPr>
            <w:tcW w:w="711" w:type="pct"/>
            <w:tcBorders>
              <w:top w:val="single" w:sz="6" w:space="0" w:color="auto"/>
              <w:left w:val="nil"/>
              <w:bottom w:val="nil"/>
              <w:right w:val="nil"/>
            </w:tcBorders>
          </w:tcPr>
          <w:p w14:paraId="2F4476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w:t>
            </w:r>
          </w:p>
        </w:tc>
        <w:tc>
          <w:tcPr>
            <w:tcW w:w="837" w:type="pct"/>
            <w:tcBorders>
              <w:top w:val="single" w:sz="6" w:space="0" w:color="auto"/>
              <w:left w:val="nil"/>
              <w:bottom w:val="nil"/>
              <w:right w:val="nil"/>
            </w:tcBorders>
          </w:tcPr>
          <w:p w14:paraId="7078A4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w:t>
            </w:r>
          </w:p>
        </w:tc>
        <w:tc>
          <w:tcPr>
            <w:tcW w:w="731" w:type="pct"/>
            <w:tcBorders>
              <w:top w:val="single" w:sz="6" w:space="0" w:color="auto"/>
              <w:left w:val="nil"/>
              <w:bottom w:val="nil"/>
              <w:right w:val="nil"/>
            </w:tcBorders>
          </w:tcPr>
          <w:p w14:paraId="5F421DE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w:t>
            </w:r>
          </w:p>
        </w:tc>
      </w:tr>
      <w:tr w:rsidR="00F00E3D" w:rsidRPr="00335312" w14:paraId="2F1C988F" w14:textId="77777777" w:rsidTr="009B2FA7">
        <w:trPr>
          <w:jc w:val="center"/>
        </w:trPr>
        <w:tc>
          <w:tcPr>
            <w:tcW w:w="1183" w:type="pct"/>
            <w:tcBorders>
              <w:top w:val="nil"/>
              <w:left w:val="nil"/>
              <w:bottom w:val="single" w:sz="6" w:space="0" w:color="auto"/>
              <w:right w:val="nil"/>
            </w:tcBorders>
          </w:tcPr>
          <w:p w14:paraId="32A630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VARIABLES</w:t>
            </w:r>
          </w:p>
        </w:tc>
        <w:tc>
          <w:tcPr>
            <w:tcW w:w="582" w:type="pct"/>
            <w:tcBorders>
              <w:top w:val="nil"/>
              <w:left w:val="nil"/>
              <w:bottom w:val="single" w:sz="6" w:space="0" w:color="auto"/>
              <w:right w:val="nil"/>
            </w:tcBorders>
          </w:tcPr>
          <w:p w14:paraId="2C9ED3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VIC</w:t>
            </w:r>
          </w:p>
        </w:tc>
        <w:tc>
          <w:tcPr>
            <w:tcW w:w="956" w:type="pct"/>
            <w:tcBorders>
              <w:top w:val="nil"/>
              <w:left w:val="nil"/>
              <w:bottom w:val="single" w:sz="6" w:space="0" w:color="auto"/>
              <w:right w:val="nil"/>
            </w:tcBorders>
          </w:tcPr>
          <w:p w14:paraId="6435CF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GreaterMelbourne</w:t>
            </w:r>
          </w:p>
        </w:tc>
        <w:tc>
          <w:tcPr>
            <w:tcW w:w="711" w:type="pct"/>
            <w:tcBorders>
              <w:top w:val="nil"/>
              <w:left w:val="nil"/>
              <w:bottom w:val="single" w:sz="6" w:space="0" w:color="auto"/>
              <w:right w:val="nil"/>
            </w:tcBorders>
          </w:tcPr>
          <w:p w14:paraId="7F53C0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RegionalVIC</w:t>
            </w:r>
          </w:p>
        </w:tc>
        <w:tc>
          <w:tcPr>
            <w:tcW w:w="837" w:type="pct"/>
            <w:tcBorders>
              <w:top w:val="nil"/>
              <w:left w:val="nil"/>
              <w:bottom w:val="single" w:sz="6" w:space="0" w:color="auto"/>
              <w:right w:val="nil"/>
            </w:tcBorders>
          </w:tcPr>
          <w:p w14:paraId="4AFC306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GreaterGeelong</w:t>
            </w:r>
          </w:p>
        </w:tc>
        <w:tc>
          <w:tcPr>
            <w:tcW w:w="731" w:type="pct"/>
            <w:tcBorders>
              <w:top w:val="nil"/>
              <w:left w:val="nil"/>
              <w:bottom w:val="single" w:sz="6" w:space="0" w:color="auto"/>
              <w:right w:val="nil"/>
            </w:tcBorders>
          </w:tcPr>
          <w:p w14:paraId="47DAC7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FocalSuburbs</w:t>
            </w:r>
          </w:p>
        </w:tc>
      </w:tr>
      <w:tr w:rsidR="00F00E3D" w:rsidRPr="00335312" w14:paraId="340D164F" w14:textId="77777777" w:rsidTr="009B2FA7">
        <w:trPr>
          <w:jc w:val="center"/>
        </w:trPr>
        <w:tc>
          <w:tcPr>
            <w:tcW w:w="1183" w:type="pct"/>
            <w:tcBorders>
              <w:top w:val="nil"/>
              <w:left w:val="nil"/>
              <w:bottom w:val="nil"/>
              <w:right w:val="nil"/>
            </w:tcBorders>
          </w:tcPr>
          <w:p w14:paraId="771579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0DE884A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956" w:type="pct"/>
            <w:tcBorders>
              <w:top w:val="nil"/>
              <w:left w:val="nil"/>
              <w:bottom w:val="nil"/>
              <w:right w:val="nil"/>
            </w:tcBorders>
          </w:tcPr>
          <w:p w14:paraId="2C3619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11" w:type="pct"/>
            <w:tcBorders>
              <w:top w:val="nil"/>
              <w:left w:val="nil"/>
              <w:bottom w:val="nil"/>
              <w:right w:val="nil"/>
            </w:tcBorders>
          </w:tcPr>
          <w:p w14:paraId="327AD9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37" w:type="pct"/>
            <w:tcBorders>
              <w:top w:val="nil"/>
              <w:left w:val="nil"/>
              <w:bottom w:val="nil"/>
              <w:right w:val="nil"/>
            </w:tcBorders>
          </w:tcPr>
          <w:p w14:paraId="2E06EC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31" w:type="pct"/>
            <w:tcBorders>
              <w:top w:val="nil"/>
              <w:left w:val="nil"/>
              <w:bottom w:val="nil"/>
              <w:right w:val="nil"/>
            </w:tcBorders>
          </w:tcPr>
          <w:p w14:paraId="5AA62CA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5607238B" w14:textId="77777777" w:rsidTr="009B2FA7">
        <w:trPr>
          <w:jc w:val="center"/>
        </w:trPr>
        <w:tc>
          <w:tcPr>
            <w:tcW w:w="1183" w:type="pct"/>
            <w:tcBorders>
              <w:top w:val="nil"/>
              <w:left w:val="nil"/>
              <w:bottom w:val="nil"/>
              <w:right w:val="nil"/>
            </w:tcBorders>
          </w:tcPr>
          <w:p w14:paraId="751D9B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Size</w:t>
            </w:r>
          </w:p>
        </w:tc>
        <w:tc>
          <w:tcPr>
            <w:tcW w:w="582" w:type="pct"/>
            <w:tcBorders>
              <w:top w:val="nil"/>
              <w:left w:val="nil"/>
              <w:bottom w:val="nil"/>
              <w:right w:val="nil"/>
            </w:tcBorders>
          </w:tcPr>
          <w:p w14:paraId="0BDAF7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0.0226***</w:t>
            </w:r>
          </w:p>
        </w:tc>
        <w:tc>
          <w:tcPr>
            <w:tcW w:w="956" w:type="pct"/>
            <w:tcBorders>
              <w:top w:val="nil"/>
              <w:left w:val="nil"/>
              <w:bottom w:val="nil"/>
              <w:right w:val="nil"/>
            </w:tcBorders>
          </w:tcPr>
          <w:p w14:paraId="6A442B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0.0252***</w:t>
            </w:r>
          </w:p>
        </w:tc>
        <w:tc>
          <w:tcPr>
            <w:tcW w:w="711" w:type="pct"/>
            <w:tcBorders>
              <w:top w:val="nil"/>
              <w:left w:val="nil"/>
              <w:bottom w:val="nil"/>
              <w:right w:val="nil"/>
            </w:tcBorders>
          </w:tcPr>
          <w:p w14:paraId="5441D0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0.00581</w:t>
            </w:r>
          </w:p>
        </w:tc>
        <w:tc>
          <w:tcPr>
            <w:tcW w:w="837" w:type="pct"/>
            <w:tcBorders>
              <w:top w:val="nil"/>
              <w:left w:val="nil"/>
              <w:bottom w:val="nil"/>
              <w:right w:val="nil"/>
            </w:tcBorders>
          </w:tcPr>
          <w:p w14:paraId="7BD787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0.00654</w:t>
            </w:r>
          </w:p>
        </w:tc>
        <w:tc>
          <w:tcPr>
            <w:tcW w:w="731" w:type="pct"/>
            <w:tcBorders>
              <w:top w:val="nil"/>
              <w:left w:val="nil"/>
              <w:bottom w:val="nil"/>
              <w:right w:val="nil"/>
            </w:tcBorders>
          </w:tcPr>
          <w:p w14:paraId="1673080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-0.0159**</w:t>
            </w:r>
          </w:p>
        </w:tc>
      </w:tr>
      <w:tr w:rsidR="00F00E3D" w:rsidRPr="00335312" w14:paraId="37491824" w14:textId="77777777" w:rsidTr="009B2FA7">
        <w:trPr>
          <w:jc w:val="center"/>
        </w:trPr>
        <w:tc>
          <w:tcPr>
            <w:tcW w:w="1183" w:type="pct"/>
            <w:tcBorders>
              <w:top w:val="nil"/>
              <w:left w:val="nil"/>
              <w:bottom w:val="nil"/>
              <w:right w:val="nil"/>
            </w:tcBorders>
          </w:tcPr>
          <w:p w14:paraId="6AEB7E2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752DB1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(4.109)</w:t>
            </w:r>
          </w:p>
        </w:tc>
        <w:tc>
          <w:tcPr>
            <w:tcW w:w="956" w:type="pct"/>
            <w:tcBorders>
              <w:top w:val="nil"/>
              <w:left w:val="nil"/>
              <w:bottom w:val="nil"/>
              <w:right w:val="nil"/>
            </w:tcBorders>
          </w:tcPr>
          <w:p w14:paraId="70AC85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(4.070)</w:t>
            </w:r>
          </w:p>
        </w:tc>
        <w:tc>
          <w:tcPr>
            <w:tcW w:w="711" w:type="pct"/>
            <w:tcBorders>
              <w:top w:val="nil"/>
              <w:left w:val="nil"/>
              <w:bottom w:val="nil"/>
              <w:right w:val="nil"/>
            </w:tcBorders>
          </w:tcPr>
          <w:p w14:paraId="2581F9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(1.123)</w:t>
            </w:r>
          </w:p>
        </w:tc>
        <w:tc>
          <w:tcPr>
            <w:tcW w:w="837" w:type="pct"/>
            <w:tcBorders>
              <w:top w:val="nil"/>
              <w:left w:val="nil"/>
              <w:bottom w:val="nil"/>
              <w:right w:val="nil"/>
            </w:tcBorders>
          </w:tcPr>
          <w:p w14:paraId="064484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(0.486)</w:t>
            </w:r>
          </w:p>
        </w:tc>
        <w:tc>
          <w:tcPr>
            <w:tcW w:w="731" w:type="pct"/>
            <w:tcBorders>
              <w:top w:val="nil"/>
              <w:left w:val="nil"/>
              <w:bottom w:val="nil"/>
              <w:right w:val="nil"/>
            </w:tcBorders>
          </w:tcPr>
          <w:p w14:paraId="0DACBFD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(-6.046)</w:t>
            </w:r>
          </w:p>
        </w:tc>
      </w:tr>
      <w:tr w:rsidR="00F00E3D" w:rsidRPr="00335312" w14:paraId="1555A5C8" w14:textId="77777777" w:rsidTr="009B2FA7">
        <w:trPr>
          <w:jc w:val="center"/>
        </w:trPr>
        <w:tc>
          <w:tcPr>
            <w:tcW w:w="1183" w:type="pct"/>
            <w:tcBorders>
              <w:top w:val="nil"/>
              <w:left w:val="nil"/>
              <w:bottom w:val="nil"/>
              <w:right w:val="nil"/>
            </w:tcBorders>
          </w:tcPr>
          <w:p w14:paraId="0A2FDF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eastAsia="Times New Roman" w:hAnsiTheme="majorHAnsi" w:cstheme="majorHAnsi"/>
                <w:color w:val="000000"/>
                <w:sz w:val="20"/>
                <w:szCs w:val="20"/>
              </w:rPr>
              <w:t>No.Beds</w:t>
            </w:r>
          </w:p>
        </w:tc>
        <w:tc>
          <w:tcPr>
            <w:tcW w:w="582" w:type="pct"/>
            <w:tcBorders>
              <w:top w:val="nil"/>
              <w:left w:val="nil"/>
              <w:bottom w:val="nil"/>
              <w:right w:val="nil"/>
            </w:tcBorders>
          </w:tcPr>
          <w:p w14:paraId="69ADEE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0.191***</w:t>
            </w:r>
          </w:p>
        </w:tc>
        <w:tc>
          <w:tcPr>
            <w:tcW w:w="956" w:type="pct"/>
            <w:tcBorders>
              <w:top w:val="nil"/>
              <w:left w:val="nil"/>
              <w:bottom w:val="nil"/>
              <w:right w:val="nil"/>
            </w:tcBorders>
          </w:tcPr>
          <w:p w14:paraId="50ACED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0.191***</w:t>
            </w:r>
          </w:p>
        </w:tc>
        <w:tc>
          <w:tcPr>
            <w:tcW w:w="711" w:type="pct"/>
            <w:tcBorders>
              <w:top w:val="nil"/>
              <w:left w:val="nil"/>
              <w:bottom w:val="nil"/>
              <w:right w:val="nil"/>
            </w:tcBorders>
          </w:tcPr>
          <w:p w14:paraId="153177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0.193***</w:t>
            </w:r>
          </w:p>
        </w:tc>
        <w:tc>
          <w:tcPr>
            <w:tcW w:w="837" w:type="pct"/>
            <w:tcBorders>
              <w:top w:val="nil"/>
              <w:left w:val="nil"/>
              <w:bottom w:val="nil"/>
              <w:right w:val="nil"/>
            </w:tcBorders>
          </w:tcPr>
          <w:p w14:paraId="25D32B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0.212***</w:t>
            </w:r>
          </w:p>
        </w:tc>
        <w:tc>
          <w:tcPr>
            <w:tcW w:w="731" w:type="pct"/>
            <w:tcBorders>
              <w:top w:val="nil"/>
              <w:left w:val="nil"/>
              <w:bottom w:val="nil"/>
              <w:right w:val="nil"/>
            </w:tcBorders>
          </w:tcPr>
          <w:p w14:paraId="312FE4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0.185**</w:t>
            </w:r>
          </w:p>
        </w:tc>
      </w:tr>
      <w:tr w:rsidR="00F00E3D" w:rsidRPr="00335312" w14:paraId="76E46E56" w14:textId="77777777" w:rsidTr="009B2FA7">
        <w:trPr>
          <w:jc w:val="center"/>
        </w:trPr>
        <w:tc>
          <w:tcPr>
            <w:tcW w:w="1183" w:type="pct"/>
            <w:tcBorders>
              <w:top w:val="nil"/>
              <w:left w:val="nil"/>
              <w:bottom w:val="nil"/>
              <w:right w:val="nil"/>
            </w:tcBorders>
          </w:tcPr>
          <w:p w14:paraId="11C594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3D6C2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(26.63)</w:t>
            </w:r>
          </w:p>
        </w:tc>
        <w:tc>
          <w:tcPr>
            <w:tcW w:w="956" w:type="pct"/>
            <w:tcBorders>
              <w:top w:val="nil"/>
              <w:left w:val="nil"/>
              <w:bottom w:val="nil"/>
              <w:right w:val="nil"/>
            </w:tcBorders>
          </w:tcPr>
          <w:p w14:paraId="40E837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(22.14)</w:t>
            </w:r>
          </w:p>
        </w:tc>
        <w:tc>
          <w:tcPr>
            <w:tcW w:w="711" w:type="pct"/>
            <w:tcBorders>
              <w:top w:val="nil"/>
              <w:left w:val="nil"/>
              <w:bottom w:val="nil"/>
              <w:right w:val="nil"/>
            </w:tcBorders>
          </w:tcPr>
          <w:p w14:paraId="27A4E5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(23.32)</w:t>
            </w:r>
          </w:p>
        </w:tc>
        <w:tc>
          <w:tcPr>
            <w:tcW w:w="837" w:type="pct"/>
            <w:tcBorders>
              <w:top w:val="nil"/>
              <w:left w:val="nil"/>
              <w:bottom w:val="nil"/>
              <w:right w:val="nil"/>
            </w:tcBorders>
          </w:tcPr>
          <w:p w14:paraId="7BFEFF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(14.90)</w:t>
            </w:r>
          </w:p>
        </w:tc>
        <w:tc>
          <w:tcPr>
            <w:tcW w:w="731" w:type="pct"/>
            <w:tcBorders>
              <w:top w:val="nil"/>
              <w:left w:val="nil"/>
              <w:bottom w:val="nil"/>
              <w:right w:val="nil"/>
            </w:tcBorders>
          </w:tcPr>
          <w:p w14:paraId="00AC8E8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(8.016)</w:t>
            </w:r>
          </w:p>
        </w:tc>
      </w:tr>
      <w:tr w:rsidR="00F00E3D" w:rsidRPr="00335312" w14:paraId="727865AB" w14:textId="77777777" w:rsidTr="009B2FA7">
        <w:trPr>
          <w:jc w:val="center"/>
        </w:trPr>
        <w:tc>
          <w:tcPr>
            <w:tcW w:w="1183" w:type="pct"/>
            <w:tcBorders>
              <w:top w:val="nil"/>
              <w:left w:val="nil"/>
              <w:bottom w:val="nil"/>
              <w:right w:val="nil"/>
            </w:tcBorders>
          </w:tcPr>
          <w:p w14:paraId="3469DA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eastAsia="Times New Roman" w:hAnsiTheme="majorHAnsi" w:cstheme="majorHAnsi"/>
                <w:color w:val="000000"/>
                <w:sz w:val="20"/>
                <w:szCs w:val="20"/>
              </w:rPr>
              <w:t>No.B</w:t>
            </w:r>
            <w:r w:rsidRPr="00335312">
              <w:rPr>
                <w:rFonts w:asciiTheme="majorHAnsi" w:hAnsiTheme="majorHAnsi" w:cstheme="majorHAnsi"/>
                <w:sz w:val="20"/>
                <w:szCs w:val="20"/>
              </w:rPr>
              <w:t>aths</w:t>
            </w:r>
          </w:p>
        </w:tc>
        <w:tc>
          <w:tcPr>
            <w:tcW w:w="582" w:type="pct"/>
            <w:tcBorders>
              <w:top w:val="nil"/>
              <w:left w:val="nil"/>
              <w:bottom w:val="nil"/>
              <w:right w:val="nil"/>
            </w:tcBorders>
          </w:tcPr>
          <w:p w14:paraId="5BE766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0.165***</w:t>
            </w:r>
          </w:p>
        </w:tc>
        <w:tc>
          <w:tcPr>
            <w:tcW w:w="956" w:type="pct"/>
            <w:tcBorders>
              <w:top w:val="nil"/>
              <w:left w:val="nil"/>
              <w:bottom w:val="nil"/>
              <w:right w:val="nil"/>
            </w:tcBorders>
          </w:tcPr>
          <w:p w14:paraId="5748AA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0.162***</w:t>
            </w:r>
          </w:p>
        </w:tc>
        <w:tc>
          <w:tcPr>
            <w:tcW w:w="711" w:type="pct"/>
            <w:tcBorders>
              <w:top w:val="nil"/>
              <w:left w:val="nil"/>
              <w:bottom w:val="nil"/>
              <w:right w:val="nil"/>
            </w:tcBorders>
          </w:tcPr>
          <w:p w14:paraId="19B8B0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0.170***</w:t>
            </w:r>
          </w:p>
        </w:tc>
        <w:tc>
          <w:tcPr>
            <w:tcW w:w="837" w:type="pct"/>
            <w:tcBorders>
              <w:top w:val="nil"/>
              <w:left w:val="nil"/>
              <w:bottom w:val="nil"/>
              <w:right w:val="nil"/>
            </w:tcBorders>
          </w:tcPr>
          <w:p w14:paraId="5D4D33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0.131***</w:t>
            </w:r>
          </w:p>
        </w:tc>
        <w:tc>
          <w:tcPr>
            <w:tcW w:w="731" w:type="pct"/>
            <w:tcBorders>
              <w:top w:val="nil"/>
              <w:left w:val="nil"/>
              <w:bottom w:val="nil"/>
              <w:right w:val="nil"/>
            </w:tcBorders>
          </w:tcPr>
          <w:p w14:paraId="75AC6A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0.0752</w:t>
            </w:r>
          </w:p>
        </w:tc>
      </w:tr>
      <w:tr w:rsidR="00F00E3D" w:rsidRPr="00335312" w14:paraId="6E23E1A1" w14:textId="77777777" w:rsidTr="009B2FA7">
        <w:trPr>
          <w:jc w:val="center"/>
        </w:trPr>
        <w:tc>
          <w:tcPr>
            <w:tcW w:w="1183" w:type="pct"/>
            <w:tcBorders>
              <w:top w:val="nil"/>
              <w:left w:val="nil"/>
              <w:bottom w:val="nil"/>
              <w:right w:val="nil"/>
            </w:tcBorders>
          </w:tcPr>
          <w:p w14:paraId="0FE137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E285AD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(25.37)</w:t>
            </w:r>
          </w:p>
        </w:tc>
        <w:tc>
          <w:tcPr>
            <w:tcW w:w="956" w:type="pct"/>
            <w:tcBorders>
              <w:top w:val="nil"/>
              <w:left w:val="nil"/>
              <w:bottom w:val="nil"/>
              <w:right w:val="nil"/>
            </w:tcBorders>
          </w:tcPr>
          <w:p w14:paraId="7D32EB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(21.25)</w:t>
            </w:r>
          </w:p>
        </w:tc>
        <w:tc>
          <w:tcPr>
            <w:tcW w:w="711" w:type="pct"/>
            <w:tcBorders>
              <w:top w:val="nil"/>
              <w:left w:val="nil"/>
              <w:bottom w:val="nil"/>
              <w:right w:val="nil"/>
            </w:tcBorders>
          </w:tcPr>
          <w:p w14:paraId="25718F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(17.63)</w:t>
            </w:r>
          </w:p>
        </w:tc>
        <w:tc>
          <w:tcPr>
            <w:tcW w:w="837" w:type="pct"/>
            <w:tcBorders>
              <w:top w:val="nil"/>
              <w:left w:val="nil"/>
              <w:bottom w:val="nil"/>
              <w:right w:val="nil"/>
            </w:tcBorders>
          </w:tcPr>
          <w:p w14:paraId="108E5F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(3.004)</w:t>
            </w:r>
          </w:p>
        </w:tc>
        <w:tc>
          <w:tcPr>
            <w:tcW w:w="731" w:type="pct"/>
            <w:tcBorders>
              <w:top w:val="nil"/>
              <w:left w:val="nil"/>
              <w:bottom w:val="nil"/>
              <w:right w:val="nil"/>
            </w:tcBorders>
          </w:tcPr>
          <w:p w14:paraId="40EA0DE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(2.718)</w:t>
            </w:r>
          </w:p>
        </w:tc>
      </w:tr>
      <w:tr w:rsidR="00F00E3D" w:rsidRPr="00335312" w14:paraId="5444ED7C" w14:textId="77777777" w:rsidTr="009B2FA7">
        <w:trPr>
          <w:jc w:val="center"/>
        </w:trPr>
        <w:tc>
          <w:tcPr>
            <w:tcW w:w="1183" w:type="pct"/>
            <w:tcBorders>
              <w:top w:val="nil"/>
              <w:left w:val="nil"/>
              <w:bottom w:val="nil"/>
              <w:right w:val="nil"/>
            </w:tcBorders>
          </w:tcPr>
          <w:p w14:paraId="7193DC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No.Parkings</w:t>
            </w:r>
          </w:p>
        </w:tc>
        <w:tc>
          <w:tcPr>
            <w:tcW w:w="582" w:type="pct"/>
            <w:tcBorders>
              <w:top w:val="nil"/>
              <w:left w:val="nil"/>
              <w:bottom w:val="nil"/>
              <w:right w:val="nil"/>
            </w:tcBorders>
          </w:tcPr>
          <w:p w14:paraId="508742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0.0878***</w:t>
            </w:r>
          </w:p>
        </w:tc>
        <w:tc>
          <w:tcPr>
            <w:tcW w:w="956" w:type="pct"/>
            <w:tcBorders>
              <w:top w:val="nil"/>
              <w:left w:val="nil"/>
              <w:bottom w:val="nil"/>
              <w:right w:val="nil"/>
            </w:tcBorders>
          </w:tcPr>
          <w:p w14:paraId="701AA9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0.0987***</w:t>
            </w:r>
          </w:p>
        </w:tc>
        <w:tc>
          <w:tcPr>
            <w:tcW w:w="711" w:type="pct"/>
            <w:tcBorders>
              <w:top w:val="nil"/>
              <w:left w:val="nil"/>
              <w:bottom w:val="nil"/>
              <w:right w:val="nil"/>
            </w:tcBorders>
          </w:tcPr>
          <w:p w14:paraId="49D579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0.0286***</w:t>
            </w:r>
          </w:p>
        </w:tc>
        <w:tc>
          <w:tcPr>
            <w:tcW w:w="837" w:type="pct"/>
            <w:tcBorders>
              <w:top w:val="nil"/>
              <w:left w:val="nil"/>
              <w:bottom w:val="nil"/>
              <w:right w:val="nil"/>
            </w:tcBorders>
          </w:tcPr>
          <w:p w14:paraId="1D929D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0.0420***</w:t>
            </w:r>
          </w:p>
        </w:tc>
        <w:tc>
          <w:tcPr>
            <w:tcW w:w="731" w:type="pct"/>
            <w:tcBorders>
              <w:top w:val="nil"/>
              <w:left w:val="nil"/>
              <w:bottom w:val="nil"/>
              <w:right w:val="nil"/>
            </w:tcBorders>
          </w:tcPr>
          <w:p w14:paraId="1CBE86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0.0279</w:t>
            </w:r>
          </w:p>
        </w:tc>
      </w:tr>
      <w:tr w:rsidR="00F00E3D" w:rsidRPr="00335312" w14:paraId="4BB9717F" w14:textId="77777777" w:rsidTr="009B2FA7">
        <w:trPr>
          <w:jc w:val="center"/>
        </w:trPr>
        <w:tc>
          <w:tcPr>
            <w:tcW w:w="1183" w:type="pct"/>
            <w:tcBorders>
              <w:top w:val="nil"/>
              <w:left w:val="nil"/>
              <w:bottom w:val="nil"/>
              <w:right w:val="nil"/>
            </w:tcBorders>
          </w:tcPr>
          <w:p w14:paraId="735797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025DA6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(12.25)</w:t>
            </w:r>
          </w:p>
        </w:tc>
        <w:tc>
          <w:tcPr>
            <w:tcW w:w="956" w:type="pct"/>
            <w:tcBorders>
              <w:top w:val="nil"/>
              <w:left w:val="nil"/>
              <w:bottom w:val="nil"/>
              <w:right w:val="nil"/>
            </w:tcBorders>
          </w:tcPr>
          <w:p w14:paraId="5DBA48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(13.58)</w:t>
            </w:r>
          </w:p>
        </w:tc>
        <w:tc>
          <w:tcPr>
            <w:tcW w:w="711" w:type="pct"/>
            <w:tcBorders>
              <w:top w:val="nil"/>
              <w:left w:val="nil"/>
              <w:bottom w:val="nil"/>
              <w:right w:val="nil"/>
            </w:tcBorders>
          </w:tcPr>
          <w:p w14:paraId="4E7595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(4.997)</w:t>
            </w:r>
          </w:p>
        </w:tc>
        <w:tc>
          <w:tcPr>
            <w:tcW w:w="837" w:type="pct"/>
            <w:tcBorders>
              <w:top w:val="nil"/>
              <w:left w:val="nil"/>
              <w:bottom w:val="nil"/>
              <w:right w:val="nil"/>
            </w:tcBorders>
          </w:tcPr>
          <w:p w14:paraId="0FECE9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(3.199)</w:t>
            </w:r>
          </w:p>
        </w:tc>
        <w:tc>
          <w:tcPr>
            <w:tcW w:w="731" w:type="pct"/>
            <w:tcBorders>
              <w:top w:val="nil"/>
              <w:left w:val="nil"/>
              <w:bottom w:val="nil"/>
              <w:right w:val="nil"/>
            </w:tcBorders>
          </w:tcPr>
          <w:p w14:paraId="0EB4DE1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(1.890)</w:t>
            </w:r>
          </w:p>
        </w:tc>
      </w:tr>
      <w:tr w:rsidR="00F00E3D" w:rsidRPr="00335312" w14:paraId="66E21DDC" w14:textId="77777777" w:rsidTr="009B2FA7">
        <w:trPr>
          <w:jc w:val="center"/>
        </w:trPr>
        <w:tc>
          <w:tcPr>
            <w:tcW w:w="1183" w:type="pct"/>
            <w:tcBorders>
              <w:top w:val="nil"/>
              <w:left w:val="nil"/>
              <w:bottom w:val="nil"/>
              <w:right w:val="nil"/>
            </w:tcBorders>
          </w:tcPr>
          <w:p w14:paraId="2443FE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LogCBDDistance</w:t>
            </w:r>
          </w:p>
        </w:tc>
        <w:tc>
          <w:tcPr>
            <w:tcW w:w="582" w:type="pct"/>
            <w:tcBorders>
              <w:top w:val="nil"/>
              <w:left w:val="nil"/>
              <w:bottom w:val="nil"/>
              <w:right w:val="nil"/>
            </w:tcBorders>
          </w:tcPr>
          <w:p w14:paraId="5F7864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-0.145***</w:t>
            </w:r>
          </w:p>
        </w:tc>
        <w:tc>
          <w:tcPr>
            <w:tcW w:w="956" w:type="pct"/>
            <w:tcBorders>
              <w:top w:val="nil"/>
              <w:left w:val="nil"/>
              <w:bottom w:val="nil"/>
              <w:right w:val="nil"/>
            </w:tcBorders>
          </w:tcPr>
          <w:p w14:paraId="28AF4F1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-0.144***</w:t>
            </w:r>
          </w:p>
        </w:tc>
        <w:tc>
          <w:tcPr>
            <w:tcW w:w="711" w:type="pct"/>
            <w:tcBorders>
              <w:top w:val="nil"/>
              <w:left w:val="nil"/>
              <w:bottom w:val="nil"/>
              <w:right w:val="nil"/>
            </w:tcBorders>
          </w:tcPr>
          <w:p w14:paraId="68797F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-0.154***</w:t>
            </w:r>
          </w:p>
        </w:tc>
        <w:tc>
          <w:tcPr>
            <w:tcW w:w="837" w:type="pct"/>
            <w:tcBorders>
              <w:top w:val="nil"/>
              <w:left w:val="nil"/>
              <w:bottom w:val="nil"/>
              <w:right w:val="nil"/>
            </w:tcBorders>
          </w:tcPr>
          <w:p w14:paraId="181AEF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-0.392</w:t>
            </w:r>
          </w:p>
        </w:tc>
        <w:tc>
          <w:tcPr>
            <w:tcW w:w="731" w:type="pct"/>
            <w:tcBorders>
              <w:top w:val="nil"/>
              <w:left w:val="nil"/>
              <w:bottom w:val="nil"/>
              <w:right w:val="nil"/>
            </w:tcBorders>
          </w:tcPr>
          <w:p w14:paraId="5C5C95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3.074**</w:t>
            </w:r>
          </w:p>
        </w:tc>
      </w:tr>
      <w:tr w:rsidR="00F00E3D" w:rsidRPr="00335312" w14:paraId="329DA0E0" w14:textId="77777777" w:rsidTr="009B2FA7">
        <w:trPr>
          <w:jc w:val="center"/>
        </w:trPr>
        <w:tc>
          <w:tcPr>
            <w:tcW w:w="1183" w:type="pct"/>
            <w:tcBorders>
              <w:top w:val="nil"/>
              <w:left w:val="nil"/>
              <w:bottom w:val="nil"/>
              <w:right w:val="nil"/>
            </w:tcBorders>
          </w:tcPr>
          <w:p w14:paraId="0BA060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229E52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(-4.592)</w:t>
            </w:r>
          </w:p>
        </w:tc>
        <w:tc>
          <w:tcPr>
            <w:tcW w:w="956" w:type="pct"/>
            <w:tcBorders>
              <w:top w:val="nil"/>
              <w:left w:val="nil"/>
              <w:bottom w:val="nil"/>
              <w:right w:val="nil"/>
            </w:tcBorders>
          </w:tcPr>
          <w:p w14:paraId="2EDBCC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(-4.455)</w:t>
            </w:r>
          </w:p>
        </w:tc>
        <w:tc>
          <w:tcPr>
            <w:tcW w:w="711" w:type="pct"/>
            <w:tcBorders>
              <w:top w:val="nil"/>
              <w:left w:val="nil"/>
              <w:bottom w:val="nil"/>
              <w:right w:val="nil"/>
            </w:tcBorders>
          </w:tcPr>
          <w:p w14:paraId="414BD8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(-2.615)</w:t>
            </w:r>
          </w:p>
        </w:tc>
        <w:tc>
          <w:tcPr>
            <w:tcW w:w="837" w:type="pct"/>
            <w:tcBorders>
              <w:top w:val="nil"/>
              <w:left w:val="nil"/>
              <w:bottom w:val="nil"/>
              <w:right w:val="nil"/>
            </w:tcBorders>
          </w:tcPr>
          <w:p w14:paraId="15C1F5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(-0.468)</w:t>
            </w:r>
          </w:p>
        </w:tc>
        <w:tc>
          <w:tcPr>
            <w:tcW w:w="731" w:type="pct"/>
            <w:tcBorders>
              <w:top w:val="nil"/>
              <w:left w:val="nil"/>
              <w:bottom w:val="nil"/>
              <w:right w:val="nil"/>
            </w:tcBorders>
          </w:tcPr>
          <w:p w14:paraId="4CF6C9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(5.346)</w:t>
            </w:r>
          </w:p>
        </w:tc>
      </w:tr>
      <w:tr w:rsidR="00F00E3D" w:rsidRPr="00335312" w14:paraId="66012422" w14:textId="77777777" w:rsidTr="009B2FA7">
        <w:trPr>
          <w:jc w:val="center"/>
        </w:trPr>
        <w:tc>
          <w:tcPr>
            <w:tcW w:w="1183" w:type="pct"/>
            <w:tcBorders>
              <w:top w:val="nil"/>
              <w:left w:val="nil"/>
              <w:bottom w:val="nil"/>
              <w:right w:val="nil"/>
            </w:tcBorders>
          </w:tcPr>
          <w:p w14:paraId="643175A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2015.year#2.month</w:t>
            </w:r>
          </w:p>
        </w:tc>
        <w:tc>
          <w:tcPr>
            <w:tcW w:w="582" w:type="pct"/>
            <w:tcBorders>
              <w:top w:val="nil"/>
              <w:left w:val="nil"/>
              <w:bottom w:val="nil"/>
              <w:right w:val="nil"/>
            </w:tcBorders>
          </w:tcPr>
          <w:p w14:paraId="587AB3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-0.00482</w:t>
            </w:r>
          </w:p>
        </w:tc>
        <w:tc>
          <w:tcPr>
            <w:tcW w:w="956" w:type="pct"/>
            <w:tcBorders>
              <w:top w:val="nil"/>
              <w:left w:val="nil"/>
              <w:bottom w:val="nil"/>
              <w:right w:val="nil"/>
            </w:tcBorders>
          </w:tcPr>
          <w:p w14:paraId="765455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-0.00686</w:t>
            </w:r>
          </w:p>
        </w:tc>
        <w:tc>
          <w:tcPr>
            <w:tcW w:w="711" w:type="pct"/>
            <w:tcBorders>
              <w:top w:val="nil"/>
              <w:left w:val="nil"/>
              <w:bottom w:val="nil"/>
              <w:right w:val="nil"/>
            </w:tcBorders>
          </w:tcPr>
          <w:p w14:paraId="1C62B1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0.00544</w:t>
            </w:r>
          </w:p>
        </w:tc>
        <w:tc>
          <w:tcPr>
            <w:tcW w:w="837" w:type="pct"/>
            <w:tcBorders>
              <w:top w:val="nil"/>
              <w:left w:val="nil"/>
              <w:bottom w:val="nil"/>
              <w:right w:val="nil"/>
            </w:tcBorders>
          </w:tcPr>
          <w:p w14:paraId="1137CD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0.0103</w:t>
            </w:r>
          </w:p>
        </w:tc>
        <w:tc>
          <w:tcPr>
            <w:tcW w:w="731" w:type="pct"/>
            <w:tcBorders>
              <w:top w:val="nil"/>
              <w:left w:val="nil"/>
              <w:bottom w:val="nil"/>
              <w:right w:val="nil"/>
            </w:tcBorders>
          </w:tcPr>
          <w:p w14:paraId="24CCF5D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-0.0612</w:t>
            </w:r>
          </w:p>
        </w:tc>
      </w:tr>
      <w:tr w:rsidR="00F00E3D" w:rsidRPr="00335312" w14:paraId="020B36E5" w14:textId="77777777" w:rsidTr="009B2FA7">
        <w:trPr>
          <w:jc w:val="center"/>
        </w:trPr>
        <w:tc>
          <w:tcPr>
            <w:tcW w:w="1183" w:type="pct"/>
            <w:tcBorders>
              <w:top w:val="nil"/>
              <w:left w:val="nil"/>
              <w:bottom w:val="nil"/>
              <w:right w:val="nil"/>
            </w:tcBorders>
          </w:tcPr>
          <w:p w14:paraId="54D408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54634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(-0.838)</w:t>
            </w:r>
          </w:p>
        </w:tc>
        <w:tc>
          <w:tcPr>
            <w:tcW w:w="956" w:type="pct"/>
            <w:tcBorders>
              <w:top w:val="nil"/>
              <w:left w:val="nil"/>
              <w:bottom w:val="nil"/>
              <w:right w:val="nil"/>
            </w:tcBorders>
          </w:tcPr>
          <w:p w14:paraId="514EED9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(-1.006)</w:t>
            </w:r>
          </w:p>
        </w:tc>
        <w:tc>
          <w:tcPr>
            <w:tcW w:w="711" w:type="pct"/>
            <w:tcBorders>
              <w:top w:val="nil"/>
              <w:left w:val="nil"/>
              <w:bottom w:val="nil"/>
              <w:right w:val="nil"/>
            </w:tcBorders>
          </w:tcPr>
          <w:p w14:paraId="5BFE77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(0.992)</w:t>
            </w:r>
          </w:p>
        </w:tc>
        <w:tc>
          <w:tcPr>
            <w:tcW w:w="837" w:type="pct"/>
            <w:tcBorders>
              <w:top w:val="nil"/>
              <w:left w:val="nil"/>
              <w:bottom w:val="nil"/>
              <w:right w:val="nil"/>
            </w:tcBorders>
          </w:tcPr>
          <w:p w14:paraId="4C401B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(0.671)</w:t>
            </w:r>
          </w:p>
        </w:tc>
        <w:tc>
          <w:tcPr>
            <w:tcW w:w="731" w:type="pct"/>
            <w:tcBorders>
              <w:top w:val="nil"/>
              <w:left w:val="nil"/>
              <w:bottom w:val="nil"/>
              <w:right w:val="nil"/>
            </w:tcBorders>
          </w:tcPr>
          <w:p w14:paraId="527C35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(-1.991)</w:t>
            </w:r>
          </w:p>
        </w:tc>
      </w:tr>
      <w:tr w:rsidR="00F00E3D" w:rsidRPr="00335312" w14:paraId="148E230E" w14:textId="77777777" w:rsidTr="009B2FA7">
        <w:trPr>
          <w:jc w:val="center"/>
        </w:trPr>
        <w:tc>
          <w:tcPr>
            <w:tcW w:w="1183" w:type="pct"/>
            <w:tcBorders>
              <w:top w:val="nil"/>
              <w:left w:val="nil"/>
              <w:bottom w:val="nil"/>
              <w:right w:val="nil"/>
            </w:tcBorders>
          </w:tcPr>
          <w:p w14:paraId="0345B1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2015.year#3.month</w:t>
            </w:r>
          </w:p>
        </w:tc>
        <w:tc>
          <w:tcPr>
            <w:tcW w:w="582" w:type="pct"/>
            <w:tcBorders>
              <w:top w:val="nil"/>
              <w:left w:val="nil"/>
              <w:bottom w:val="nil"/>
              <w:right w:val="nil"/>
            </w:tcBorders>
          </w:tcPr>
          <w:p w14:paraId="23B772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0.00492</w:t>
            </w:r>
          </w:p>
        </w:tc>
        <w:tc>
          <w:tcPr>
            <w:tcW w:w="956" w:type="pct"/>
            <w:tcBorders>
              <w:top w:val="nil"/>
              <w:left w:val="nil"/>
              <w:bottom w:val="nil"/>
              <w:right w:val="nil"/>
            </w:tcBorders>
          </w:tcPr>
          <w:p w14:paraId="4FA481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0.00513</w:t>
            </w:r>
          </w:p>
        </w:tc>
        <w:tc>
          <w:tcPr>
            <w:tcW w:w="711" w:type="pct"/>
            <w:tcBorders>
              <w:top w:val="nil"/>
              <w:left w:val="nil"/>
              <w:bottom w:val="nil"/>
              <w:right w:val="nil"/>
            </w:tcBorders>
          </w:tcPr>
          <w:p w14:paraId="750853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0.00584</w:t>
            </w:r>
          </w:p>
        </w:tc>
        <w:tc>
          <w:tcPr>
            <w:tcW w:w="837" w:type="pct"/>
            <w:tcBorders>
              <w:top w:val="nil"/>
              <w:left w:val="nil"/>
              <w:bottom w:val="nil"/>
              <w:right w:val="nil"/>
            </w:tcBorders>
          </w:tcPr>
          <w:p w14:paraId="5B7388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0.0241</w:t>
            </w:r>
          </w:p>
        </w:tc>
        <w:tc>
          <w:tcPr>
            <w:tcW w:w="731" w:type="pct"/>
            <w:tcBorders>
              <w:top w:val="nil"/>
              <w:left w:val="nil"/>
              <w:bottom w:val="nil"/>
              <w:right w:val="nil"/>
            </w:tcBorders>
          </w:tcPr>
          <w:p w14:paraId="7A3D16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0.0924***</w:t>
            </w:r>
          </w:p>
        </w:tc>
      </w:tr>
      <w:tr w:rsidR="00F00E3D" w:rsidRPr="00335312" w14:paraId="07CCF49D" w14:textId="77777777" w:rsidTr="009B2FA7">
        <w:trPr>
          <w:jc w:val="center"/>
        </w:trPr>
        <w:tc>
          <w:tcPr>
            <w:tcW w:w="1183" w:type="pct"/>
            <w:tcBorders>
              <w:top w:val="nil"/>
              <w:left w:val="nil"/>
              <w:bottom w:val="nil"/>
              <w:right w:val="nil"/>
            </w:tcBorders>
          </w:tcPr>
          <w:p w14:paraId="2BE38C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539F6C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(1.643)</w:t>
            </w:r>
          </w:p>
        </w:tc>
        <w:tc>
          <w:tcPr>
            <w:tcW w:w="956" w:type="pct"/>
            <w:tcBorders>
              <w:top w:val="nil"/>
              <w:left w:val="nil"/>
              <w:bottom w:val="nil"/>
              <w:right w:val="nil"/>
            </w:tcBorders>
          </w:tcPr>
          <w:p w14:paraId="262373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(1.494)</w:t>
            </w:r>
          </w:p>
        </w:tc>
        <w:tc>
          <w:tcPr>
            <w:tcW w:w="711" w:type="pct"/>
            <w:tcBorders>
              <w:top w:val="nil"/>
              <w:left w:val="nil"/>
              <w:bottom w:val="nil"/>
              <w:right w:val="nil"/>
            </w:tcBorders>
          </w:tcPr>
          <w:p w14:paraId="390E268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(1.167)</w:t>
            </w:r>
          </w:p>
        </w:tc>
        <w:tc>
          <w:tcPr>
            <w:tcW w:w="837" w:type="pct"/>
            <w:tcBorders>
              <w:top w:val="nil"/>
              <w:left w:val="nil"/>
              <w:bottom w:val="nil"/>
              <w:right w:val="nil"/>
            </w:tcBorders>
          </w:tcPr>
          <w:p w14:paraId="6EE9F90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(1.495)</w:t>
            </w:r>
          </w:p>
        </w:tc>
        <w:tc>
          <w:tcPr>
            <w:tcW w:w="731" w:type="pct"/>
            <w:tcBorders>
              <w:top w:val="nil"/>
              <w:left w:val="nil"/>
              <w:bottom w:val="nil"/>
              <w:right w:val="nil"/>
            </w:tcBorders>
          </w:tcPr>
          <w:p w14:paraId="2102E9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(12.32)</w:t>
            </w:r>
          </w:p>
        </w:tc>
      </w:tr>
      <w:tr w:rsidR="00F00E3D" w:rsidRPr="00335312" w14:paraId="4F3BF57D" w14:textId="77777777" w:rsidTr="009B2FA7">
        <w:trPr>
          <w:jc w:val="center"/>
        </w:trPr>
        <w:tc>
          <w:tcPr>
            <w:tcW w:w="1183" w:type="pct"/>
            <w:tcBorders>
              <w:top w:val="nil"/>
              <w:left w:val="nil"/>
              <w:bottom w:val="nil"/>
              <w:right w:val="nil"/>
            </w:tcBorders>
          </w:tcPr>
          <w:p w14:paraId="5CD0EA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2015.year#4.month</w:t>
            </w:r>
          </w:p>
        </w:tc>
        <w:tc>
          <w:tcPr>
            <w:tcW w:w="582" w:type="pct"/>
            <w:tcBorders>
              <w:top w:val="nil"/>
              <w:left w:val="nil"/>
              <w:bottom w:val="nil"/>
              <w:right w:val="nil"/>
            </w:tcBorders>
          </w:tcPr>
          <w:p w14:paraId="55BE24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0.0123***</w:t>
            </w:r>
          </w:p>
        </w:tc>
        <w:tc>
          <w:tcPr>
            <w:tcW w:w="956" w:type="pct"/>
            <w:tcBorders>
              <w:top w:val="nil"/>
              <w:left w:val="nil"/>
              <w:bottom w:val="nil"/>
              <w:right w:val="nil"/>
            </w:tcBorders>
          </w:tcPr>
          <w:p w14:paraId="7A92BD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0.0144***</w:t>
            </w:r>
          </w:p>
        </w:tc>
        <w:tc>
          <w:tcPr>
            <w:tcW w:w="711" w:type="pct"/>
            <w:tcBorders>
              <w:top w:val="nil"/>
              <w:left w:val="nil"/>
              <w:bottom w:val="nil"/>
              <w:right w:val="nil"/>
            </w:tcBorders>
          </w:tcPr>
          <w:p w14:paraId="6A76BC6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0.00361</w:t>
            </w:r>
          </w:p>
        </w:tc>
        <w:tc>
          <w:tcPr>
            <w:tcW w:w="837" w:type="pct"/>
            <w:tcBorders>
              <w:top w:val="nil"/>
              <w:left w:val="nil"/>
              <w:bottom w:val="nil"/>
              <w:right w:val="nil"/>
            </w:tcBorders>
          </w:tcPr>
          <w:p w14:paraId="6826706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0.0136</w:t>
            </w:r>
          </w:p>
        </w:tc>
        <w:tc>
          <w:tcPr>
            <w:tcW w:w="731" w:type="pct"/>
            <w:tcBorders>
              <w:top w:val="nil"/>
              <w:left w:val="nil"/>
              <w:bottom w:val="nil"/>
              <w:right w:val="nil"/>
            </w:tcBorders>
          </w:tcPr>
          <w:p w14:paraId="25B296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0.0490</w:t>
            </w:r>
          </w:p>
        </w:tc>
      </w:tr>
      <w:tr w:rsidR="00F00E3D" w:rsidRPr="00335312" w14:paraId="147D6C01" w14:textId="77777777" w:rsidTr="009B2FA7">
        <w:trPr>
          <w:jc w:val="center"/>
        </w:trPr>
        <w:tc>
          <w:tcPr>
            <w:tcW w:w="1183" w:type="pct"/>
            <w:tcBorders>
              <w:top w:val="nil"/>
              <w:left w:val="nil"/>
              <w:bottom w:val="nil"/>
              <w:right w:val="nil"/>
            </w:tcBorders>
          </w:tcPr>
          <w:p w14:paraId="4A45922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A03CE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(3.420)</w:t>
            </w:r>
          </w:p>
        </w:tc>
        <w:tc>
          <w:tcPr>
            <w:tcW w:w="956" w:type="pct"/>
            <w:tcBorders>
              <w:top w:val="nil"/>
              <w:left w:val="nil"/>
              <w:bottom w:val="nil"/>
              <w:right w:val="nil"/>
            </w:tcBorders>
          </w:tcPr>
          <w:p w14:paraId="2F04052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(3.660)</w:t>
            </w:r>
          </w:p>
        </w:tc>
        <w:tc>
          <w:tcPr>
            <w:tcW w:w="711" w:type="pct"/>
            <w:tcBorders>
              <w:top w:val="nil"/>
              <w:left w:val="nil"/>
              <w:bottom w:val="nil"/>
              <w:right w:val="nil"/>
            </w:tcBorders>
          </w:tcPr>
          <w:p w14:paraId="4845EF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(0.527)</w:t>
            </w:r>
          </w:p>
        </w:tc>
        <w:tc>
          <w:tcPr>
            <w:tcW w:w="837" w:type="pct"/>
            <w:tcBorders>
              <w:top w:val="nil"/>
              <w:left w:val="nil"/>
              <w:bottom w:val="nil"/>
              <w:right w:val="nil"/>
            </w:tcBorders>
          </w:tcPr>
          <w:p w14:paraId="3E0973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(0.790)</w:t>
            </w:r>
          </w:p>
        </w:tc>
        <w:tc>
          <w:tcPr>
            <w:tcW w:w="731" w:type="pct"/>
            <w:tcBorders>
              <w:top w:val="nil"/>
              <w:left w:val="nil"/>
              <w:bottom w:val="nil"/>
              <w:right w:val="nil"/>
            </w:tcBorders>
          </w:tcPr>
          <w:p w14:paraId="0BA6AE6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(2.259)</w:t>
            </w:r>
          </w:p>
        </w:tc>
      </w:tr>
      <w:tr w:rsidR="00F00E3D" w:rsidRPr="00335312" w14:paraId="7754163B" w14:textId="77777777" w:rsidTr="009B2FA7">
        <w:trPr>
          <w:jc w:val="center"/>
        </w:trPr>
        <w:tc>
          <w:tcPr>
            <w:tcW w:w="1183" w:type="pct"/>
            <w:tcBorders>
              <w:top w:val="nil"/>
              <w:left w:val="nil"/>
              <w:bottom w:val="nil"/>
              <w:right w:val="nil"/>
            </w:tcBorders>
          </w:tcPr>
          <w:p w14:paraId="2AA519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2015.year#5.month</w:t>
            </w:r>
          </w:p>
        </w:tc>
        <w:tc>
          <w:tcPr>
            <w:tcW w:w="582" w:type="pct"/>
            <w:tcBorders>
              <w:top w:val="nil"/>
              <w:left w:val="nil"/>
              <w:bottom w:val="nil"/>
              <w:right w:val="nil"/>
            </w:tcBorders>
          </w:tcPr>
          <w:p w14:paraId="1ADEE3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-0.074***</w:t>
            </w:r>
          </w:p>
        </w:tc>
        <w:tc>
          <w:tcPr>
            <w:tcW w:w="956" w:type="pct"/>
            <w:tcBorders>
              <w:top w:val="nil"/>
              <w:left w:val="nil"/>
              <w:bottom w:val="nil"/>
              <w:right w:val="nil"/>
            </w:tcBorders>
          </w:tcPr>
          <w:p w14:paraId="73D5C3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-0.0811***</w:t>
            </w:r>
          </w:p>
        </w:tc>
        <w:tc>
          <w:tcPr>
            <w:tcW w:w="711" w:type="pct"/>
            <w:tcBorders>
              <w:top w:val="nil"/>
              <w:left w:val="nil"/>
              <w:bottom w:val="nil"/>
              <w:right w:val="nil"/>
            </w:tcBorders>
          </w:tcPr>
          <w:p w14:paraId="6AC48B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0.0164**</w:t>
            </w:r>
          </w:p>
        </w:tc>
        <w:tc>
          <w:tcPr>
            <w:tcW w:w="837" w:type="pct"/>
            <w:tcBorders>
              <w:top w:val="nil"/>
              <w:left w:val="nil"/>
              <w:bottom w:val="nil"/>
              <w:right w:val="nil"/>
            </w:tcBorders>
          </w:tcPr>
          <w:p w14:paraId="113212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-0.0127</w:t>
            </w:r>
          </w:p>
        </w:tc>
        <w:tc>
          <w:tcPr>
            <w:tcW w:w="731" w:type="pct"/>
            <w:tcBorders>
              <w:top w:val="nil"/>
              <w:left w:val="nil"/>
              <w:bottom w:val="nil"/>
              <w:right w:val="nil"/>
            </w:tcBorders>
          </w:tcPr>
          <w:p w14:paraId="48F4ED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-0.00134</w:t>
            </w:r>
          </w:p>
        </w:tc>
      </w:tr>
      <w:tr w:rsidR="00F00E3D" w:rsidRPr="00335312" w14:paraId="2512EE84" w14:textId="77777777" w:rsidTr="009B2FA7">
        <w:trPr>
          <w:jc w:val="center"/>
        </w:trPr>
        <w:tc>
          <w:tcPr>
            <w:tcW w:w="1183" w:type="pct"/>
            <w:tcBorders>
              <w:top w:val="nil"/>
              <w:left w:val="nil"/>
              <w:bottom w:val="nil"/>
              <w:right w:val="nil"/>
            </w:tcBorders>
          </w:tcPr>
          <w:p w14:paraId="6FE5D5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5F3060B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(-5.141)</w:t>
            </w:r>
          </w:p>
        </w:tc>
        <w:tc>
          <w:tcPr>
            <w:tcW w:w="956" w:type="pct"/>
            <w:tcBorders>
              <w:top w:val="nil"/>
              <w:left w:val="nil"/>
              <w:bottom w:val="nil"/>
              <w:right w:val="nil"/>
            </w:tcBorders>
          </w:tcPr>
          <w:p w14:paraId="5DFC05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(-6.020)</w:t>
            </w:r>
          </w:p>
        </w:tc>
        <w:tc>
          <w:tcPr>
            <w:tcW w:w="711" w:type="pct"/>
            <w:tcBorders>
              <w:top w:val="nil"/>
              <w:left w:val="nil"/>
              <w:bottom w:val="nil"/>
              <w:right w:val="nil"/>
            </w:tcBorders>
          </w:tcPr>
          <w:p w14:paraId="286A28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(2.365)</w:t>
            </w:r>
          </w:p>
        </w:tc>
        <w:tc>
          <w:tcPr>
            <w:tcW w:w="837" w:type="pct"/>
            <w:tcBorders>
              <w:top w:val="nil"/>
              <w:left w:val="nil"/>
              <w:bottom w:val="nil"/>
              <w:right w:val="nil"/>
            </w:tcBorders>
          </w:tcPr>
          <w:p w14:paraId="0B99FB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(-0.607)</w:t>
            </w:r>
          </w:p>
        </w:tc>
        <w:tc>
          <w:tcPr>
            <w:tcW w:w="731" w:type="pct"/>
            <w:tcBorders>
              <w:top w:val="nil"/>
              <w:left w:val="nil"/>
              <w:bottom w:val="nil"/>
              <w:right w:val="nil"/>
            </w:tcBorders>
          </w:tcPr>
          <w:p w14:paraId="2D5807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(-0.177)</w:t>
            </w:r>
          </w:p>
        </w:tc>
      </w:tr>
      <w:tr w:rsidR="00F00E3D" w:rsidRPr="00335312" w14:paraId="274B6682" w14:textId="77777777" w:rsidTr="009B2FA7">
        <w:trPr>
          <w:jc w:val="center"/>
        </w:trPr>
        <w:tc>
          <w:tcPr>
            <w:tcW w:w="1183" w:type="pct"/>
            <w:tcBorders>
              <w:top w:val="nil"/>
              <w:left w:val="nil"/>
              <w:bottom w:val="nil"/>
              <w:right w:val="nil"/>
            </w:tcBorders>
          </w:tcPr>
          <w:p w14:paraId="6254F6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2015.year#6.month</w:t>
            </w:r>
          </w:p>
        </w:tc>
        <w:tc>
          <w:tcPr>
            <w:tcW w:w="582" w:type="pct"/>
            <w:tcBorders>
              <w:top w:val="nil"/>
              <w:left w:val="nil"/>
              <w:bottom w:val="nil"/>
              <w:right w:val="nil"/>
            </w:tcBorders>
          </w:tcPr>
          <w:p w14:paraId="7079B2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0.0126***</w:t>
            </w:r>
          </w:p>
        </w:tc>
        <w:tc>
          <w:tcPr>
            <w:tcW w:w="956" w:type="pct"/>
            <w:tcBorders>
              <w:top w:val="nil"/>
              <w:left w:val="nil"/>
              <w:bottom w:val="nil"/>
              <w:right w:val="nil"/>
            </w:tcBorders>
          </w:tcPr>
          <w:p w14:paraId="07B735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0.0134**</w:t>
            </w:r>
          </w:p>
        </w:tc>
        <w:tc>
          <w:tcPr>
            <w:tcW w:w="711" w:type="pct"/>
            <w:tcBorders>
              <w:top w:val="nil"/>
              <w:left w:val="nil"/>
              <w:bottom w:val="nil"/>
              <w:right w:val="nil"/>
            </w:tcBorders>
          </w:tcPr>
          <w:p w14:paraId="1A7E401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0.00897</w:t>
            </w:r>
          </w:p>
        </w:tc>
        <w:tc>
          <w:tcPr>
            <w:tcW w:w="837" w:type="pct"/>
            <w:tcBorders>
              <w:top w:val="nil"/>
              <w:left w:val="nil"/>
              <w:bottom w:val="nil"/>
              <w:right w:val="nil"/>
            </w:tcBorders>
          </w:tcPr>
          <w:p w14:paraId="786D1A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-0.00470</w:t>
            </w:r>
          </w:p>
        </w:tc>
        <w:tc>
          <w:tcPr>
            <w:tcW w:w="731" w:type="pct"/>
            <w:tcBorders>
              <w:top w:val="nil"/>
              <w:left w:val="nil"/>
              <w:bottom w:val="nil"/>
              <w:right w:val="nil"/>
            </w:tcBorders>
          </w:tcPr>
          <w:p w14:paraId="0C9410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0.0651***</w:t>
            </w:r>
          </w:p>
        </w:tc>
      </w:tr>
      <w:tr w:rsidR="00F00E3D" w:rsidRPr="00335312" w14:paraId="12A546FE" w14:textId="77777777" w:rsidTr="009B2FA7">
        <w:trPr>
          <w:jc w:val="center"/>
        </w:trPr>
        <w:tc>
          <w:tcPr>
            <w:tcW w:w="1183" w:type="pct"/>
            <w:tcBorders>
              <w:top w:val="nil"/>
              <w:left w:val="nil"/>
              <w:bottom w:val="nil"/>
              <w:right w:val="nil"/>
            </w:tcBorders>
          </w:tcPr>
          <w:p w14:paraId="12A864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112B32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(2.588)</w:t>
            </w:r>
          </w:p>
        </w:tc>
        <w:tc>
          <w:tcPr>
            <w:tcW w:w="956" w:type="pct"/>
            <w:tcBorders>
              <w:top w:val="nil"/>
              <w:left w:val="nil"/>
              <w:bottom w:val="nil"/>
              <w:right w:val="nil"/>
            </w:tcBorders>
          </w:tcPr>
          <w:p w14:paraId="257042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(2.405)</w:t>
            </w:r>
          </w:p>
        </w:tc>
        <w:tc>
          <w:tcPr>
            <w:tcW w:w="711" w:type="pct"/>
            <w:tcBorders>
              <w:top w:val="nil"/>
              <w:left w:val="nil"/>
              <w:bottom w:val="nil"/>
              <w:right w:val="nil"/>
            </w:tcBorders>
          </w:tcPr>
          <w:p w14:paraId="5EBF85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(1.329)</w:t>
            </w:r>
          </w:p>
        </w:tc>
        <w:tc>
          <w:tcPr>
            <w:tcW w:w="837" w:type="pct"/>
            <w:tcBorders>
              <w:top w:val="nil"/>
              <w:left w:val="nil"/>
              <w:bottom w:val="nil"/>
              <w:right w:val="nil"/>
            </w:tcBorders>
          </w:tcPr>
          <w:p w14:paraId="7473F6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(-0.292)</w:t>
            </w:r>
          </w:p>
        </w:tc>
        <w:tc>
          <w:tcPr>
            <w:tcW w:w="731" w:type="pct"/>
            <w:tcBorders>
              <w:top w:val="nil"/>
              <w:left w:val="nil"/>
              <w:bottom w:val="nil"/>
              <w:right w:val="nil"/>
            </w:tcBorders>
          </w:tcPr>
          <w:p w14:paraId="1FBF8D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(16.55)</w:t>
            </w:r>
          </w:p>
        </w:tc>
      </w:tr>
      <w:tr w:rsidR="00F00E3D" w:rsidRPr="00335312" w14:paraId="7C2C93E8" w14:textId="77777777" w:rsidTr="009B2FA7">
        <w:trPr>
          <w:jc w:val="center"/>
        </w:trPr>
        <w:tc>
          <w:tcPr>
            <w:tcW w:w="1183" w:type="pct"/>
            <w:tcBorders>
              <w:top w:val="nil"/>
              <w:left w:val="nil"/>
              <w:bottom w:val="nil"/>
              <w:right w:val="nil"/>
            </w:tcBorders>
          </w:tcPr>
          <w:p w14:paraId="69A134A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2015.year#7.month</w:t>
            </w:r>
          </w:p>
        </w:tc>
        <w:tc>
          <w:tcPr>
            <w:tcW w:w="582" w:type="pct"/>
            <w:tcBorders>
              <w:top w:val="nil"/>
              <w:left w:val="nil"/>
              <w:bottom w:val="nil"/>
              <w:right w:val="nil"/>
            </w:tcBorders>
          </w:tcPr>
          <w:p w14:paraId="686E7F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0.0139***</w:t>
            </w:r>
          </w:p>
        </w:tc>
        <w:tc>
          <w:tcPr>
            <w:tcW w:w="956" w:type="pct"/>
            <w:tcBorders>
              <w:top w:val="nil"/>
              <w:left w:val="nil"/>
              <w:bottom w:val="nil"/>
              <w:right w:val="nil"/>
            </w:tcBorders>
          </w:tcPr>
          <w:p w14:paraId="72197E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0.0152***</w:t>
            </w:r>
          </w:p>
        </w:tc>
        <w:tc>
          <w:tcPr>
            <w:tcW w:w="711" w:type="pct"/>
            <w:tcBorders>
              <w:top w:val="nil"/>
              <w:left w:val="nil"/>
              <w:bottom w:val="nil"/>
              <w:right w:val="nil"/>
            </w:tcBorders>
          </w:tcPr>
          <w:p w14:paraId="57116C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0.00833</w:t>
            </w:r>
          </w:p>
        </w:tc>
        <w:tc>
          <w:tcPr>
            <w:tcW w:w="837" w:type="pct"/>
            <w:tcBorders>
              <w:top w:val="nil"/>
              <w:left w:val="nil"/>
              <w:bottom w:val="nil"/>
              <w:right w:val="nil"/>
            </w:tcBorders>
          </w:tcPr>
          <w:p w14:paraId="5272FBE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0.0124</w:t>
            </w:r>
          </w:p>
        </w:tc>
        <w:tc>
          <w:tcPr>
            <w:tcW w:w="731" w:type="pct"/>
            <w:tcBorders>
              <w:top w:val="nil"/>
              <w:left w:val="nil"/>
              <w:bottom w:val="nil"/>
              <w:right w:val="nil"/>
            </w:tcBorders>
          </w:tcPr>
          <w:p w14:paraId="203714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0.0796**</w:t>
            </w:r>
          </w:p>
        </w:tc>
      </w:tr>
      <w:tr w:rsidR="00F00E3D" w:rsidRPr="00335312" w14:paraId="425BC50A" w14:textId="77777777" w:rsidTr="009B2FA7">
        <w:trPr>
          <w:jc w:val="center"/>
        </w:trPr>
        <w:tc>
          <w:tcPr>
            <w:tcW w:w="1183" w:type="pct"/>
            <w:tcBorders>
              <w:top w:val="nil"/>
              <w:left w:val="nil"/>
              <w:bottom w:val="nil"/>
              <w:right w:val="nil"/>
            </w:tcBorders>
          </w:tcPr>
          <w:p w14:paraId="55332A5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26ECE7A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(2.876)</w:t>
            </w:r>
          </w:p>
        </w:tc>
        <w:tc>
          <w:tcPr>
            <w:tcW w:w="956" w:type="pct"/>
            <w:tcBorders>
              <w:top w:val="nil"/>
              <w:left w:val="nil"/>
              <w:bottom w:val="nil"/>
              <w:right w:val="nil"/>
            </w:tcBorders>
          </w:tcPr>
          <w:p w14:paraId="698008D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(2.713)</w:t>
            </w:r>
          </w:p>
        </w:tc>
        <w:tc>
          <w:tcPr>
            <w:tcW w:w="711" w:type="pct"/>
            <w:tcBorders>
              <w:top w:val="nil"/>
              <w:left w:val="nil"/>
              <w:bottom w:val="nil"/>
              <w:right w:val="nil"/>
            </w:tcBorders>
          </w:tcPr>
          <w:p w14:paraId="6FE141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(1.049)</w:t>
            </w:r>
          </w:p>
        </w:tc>
        <w:tc>
          <w:tcPr>
            <w:tcW w:w="837" w:type="pct"/>
            <w:tcBorders>
              <w:top w:val="nil"/>
              <w:left w:val="nil"/>
              <w:bottom w:val="nil"/>
              <w:right w:val="nil"/>
            </w:tcBorders>
          </w:tcPr>
          <w:p w14:paraId="2FAD14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(0.447)</w:t>
            </w:r>
          </w:p>
        </w:tc>
        <w:tc>
          <w:tcPr>
            <w:tcW w:w="731" w:type="pct"/>
            <w:tcBorders>
              <w:top w:val="nil"/>
              <w:left w:val="nil"/>
              <w:bottom w:val="nil"/>
              <w:right w:val="nil"/>
            </w:tcBorders>
          </w:tcPr>
          <w:p w14:paraId="1DF45B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(7.121)</w:t>
            </w:r>
          </w:p>
        </w:tc>
      </w:tr>
      <w:tr w:rsidR="00F00E3D" w:rsidRPr="00335312" w14:paraId="2391A9FC" w14:textId="77777777" w:rsidTr="009B2FA7">
        <w:trPr>
          <w:jc w:val="center"/>
        </w:trPr>
        <w:tc>
          <w:tcPr>
            <w:tcW w:w="1183" w:type="pct"/>
            <w:tcBorders>
              <w:top w:val="nil"/>
              <w:left w:val="nil"/>
              <w:bottom w:val="nil"/>
              <w:right w:val="nil"/>
            </w:tcBorders>
          </w:tcPr>
          <w:p w14:paraId="55A2E0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2015.year#8.month</w:t>
            </w:r>
          </w:p>
        </w:tc>
        <w:tc>
          <w:tcPr>
            <w:tcW w:w="582" w:type="pct"/>
            <w:tcBorders>
              <w:top w:val="nil"/>
              <w:left w:val="nil"/>
              <w:bottom w:val="nil"/>
              <w:right w:val="nil"/>
            </w:tcBorders>
          </w:tcPr>
          <w:p w14:paraId="649446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0.0144***</w:t>
            </w:r>
          </w:p>
        </w:tc>
        <w:tc>
          <w:tcPr>
            <w:tcW w:w="956" w:type="pct"/>
            <w:tcBorders>
              <w:top w:val="nil"/>
              <w:left w:val="nil"/>
              <w:bottom w:val="nil"/>
              <w:right w:val="nil"/>
            </w:tcBorders>
          </w:tcPr>
          <w:p w14:paraId="275F351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0.0162***</w:t>
            </w:r>
          </w:p>
        </w:tc>
        <w:tc>
          <w:tcPr>
            <w:tcW w:w="711" w:type="pct"/>
            <w:tcBorders>
              <w:top w:val="nil"/>
              <w:left w:val="nil"/>
              <w:bottom w:val="nil"/>
              <w:right w:val="nil"/>
            </w:tcBorders>
          </w:tcPr>
          <w:p w14:paraId="0A849D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0.00616</w:t>
            </w:r>
          </w:p>
        </w:tc>
        <w:tc>
          <w:tcPr>
            <w:tcW w:w="837" w:type="pct"/>
            <w:tcBorders>
              <w:top w:val="nil"/>
              <w:left w:val="nil"/>
              <w:bottom w:val="nil"/>
              <w:right w:val="nil"/>
            </w:tcBorders>
          </w:tcPr>
          <w:p w14:paraId="1C9F0C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-0.0395</w:t>
            </w:r>
          </w:p>
        </w:tc>
        <w:tc>
          <w:tcPr>
            <w:tcW w:w="731" w:type="pct"/>
            <w:tcBorders>
              <w:top w:val="nil"/>
              <w:left w:val="nil"/>
              <w:bottom w:val="nil"/>
              <w:right w:val="nil"/>
            </w:tcBorders>
          </w:tcPr>
          <w:p w14:paraId="1CAFE9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0.0938***</w:t>
            </w:r>
          </w:p>
        </w:tc>
      </w:tr>
      <w:tr w:rsidR="00F00E3D" w:rsidRPr="00335312" w14:paraId="1BAA8E6F" w14:textId="77777777" w:rsidTr="009B2FA7">
        <w:trPr>
          <w:jc w:val="center"/>
        </w:trPr>
        <w:tc>
          <w:tcPr>
            <w:tcW w:w="1183" w:type="pct"/>
            <w:tcBorders>
              <w:top w:val="nil"/>
              <w:left w:val="nil"/>
              <w:bottom w:val="nil"/>
              <w:right w:val="nil"/>
            </w:tcBorders>
          </w:tcPr>
          <w:p w14:paraId="2632F0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0B3AA0C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(3.237)</w:t>
            </w:r>
          </w:p>
        </w:tc>
        <w:tc>
          <w:tcPr>
            <w:tcW w:w="956" w:type="pct"/>
            <w:tcBorders>
              <w:top w:val="nil"/>
              <w:left w:val="nil"/>
              <w:bottom w:val="nil"/>
              <w:right w:val="nil"/>
            </w:tcBorders>
          </w:tcPr>
          <w:p w14:paraId="6337D3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(3.229)</w:t>
            </w:r>
          </w:p>
        </w:tc>
        <w:tc>
          <w:tcPr>
            <w:tcW w:w="711" w:type="pct"/>
            <w:tcBorders>
              <w:top w:val="nil"/>
              <w:left w:val="nil"/>
              <w:bottom w:val="nil"/>
              <w:right w:val="nil"/>
            </w:tcBorders>
          </w:tcPr>
          <w:p w14:paraId="6FCB1EA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(0.828)</w:t>
            </w:r>
          </w:p>
        </w:tc>
        <w:tc>
          <w:tcPr>
            <w:tcW w:w="837" w:type="pct"/>
            <w:tcBorders>
              <w:top w:val="nil"/>
              <w:left w:val="nil"/>
              <w:bottom w:val="nil"/>
              <w:right w:val="nil"/>
            </w:tcBorders>
          </w:tcPr>
          <w:p w14:paraId="5E6456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(-1.453)</w:t>
            </w:r>
          </w:p>
        </w:tc>
        <w:tc>
          <w:tcPr>
            <w:tcW w:w="731" w:type="pct"/>
            <w:tcBorders>
              <w:top w:val="nil"/>
              <w:left w:val="nil"/>
              <w:bottom w:val="nil"/>
              <w:right w:val="nil"/>
            </w:tcBorders>
          </w:tcPr>
          <w:p w14:paraId="4A5AE2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(14.55)</w:t>
            </w:r>
          </w:p>
        </w:tc>
      </w:tr>
      <w:tr w:rsidR="00F00E3D" w:rsidRPr="00335312" w14:paraId="6A9433F6" w14:textId="77777777" w:rsidTr="009B2FA7">
        <w:trPr>
          <w:jc w:val="center"/>
        </w:trPr>
        <w:tc>
          <w:tcPr>
            <w:tcW w:w="1183" w:type="pct"/>
            <w:tcBorders>
              <w:top w:val="nil"/>
              <w:left w:val="nil"/>
              <w:bottom w:val="nil"/>
              <w:right w:val="nil"/>
            </w:tcBorders>
          </w:tcPr>
          <w:p w14:paraId="7926F5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2015.year#9.month</w:t>
            </w:r>
          </w:p>
        </w:tc>
        <w:tc>
          <w:tcPr>
            <w:tcW w:w="582" w:type="pct"/>
            <w:tcBorders>
              <w:top w:val="nil"/>
              <w:left w:val="nil"/>
              <w:bottom w:val="nil"/>
              <w:right w:val="nil"/>
            </w:tcBorders>
          </w:tcPr>
          <w:p w14:paraId="66B217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0.00390</w:t>
            </w:r>
          </w:p>
        </w:tc>
        <w:tc>
          <w:tcPr>
            <w:tcW w:w="956" w:type="pct"/>
            <w:tcBorders>
              <w:top w:val="nil"/>
              <w:left w:val="nil"/>
              <w:bottom w:val="nil"/>
              <w:right w:val="nil"/>
            </w:tcBorders>
          </w:tcPr>
          <w:p w14:paraId="5948772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0.00386</w:t>
            </w:r>
          </w:p>
        </w:tc>
        <w:tc>
          <w:tcPr>
            <w:tcW w:w="711" w:type="pct"/>
            <w:tcBorders>
              <w:top w:val="nil"/>
              <w:left w:val="nil"/>
              <w:bottom w:val="nil"/>
              <w:right w:val="nil"/>
            </w:tcBorders>
          </w:tcPr>
          <w:p w14:paraId="4C10F9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0.00718</w:t>
            </w:r>
          </w:p>
        </w:tc>
        <w:tc>
          <w:tcPr>
            <w:tcW w:w="837" w:type="pct"/>
            <w:tcBorders>
              <w:top w:val="nil"/>
              <w:left w:val="nil"/>
              <w:bottom w:val="nil"/>
              <w:right w:val="nil"/>
            </w:tcBorders>
          </w:tcPr>
          <w:p w14:paraId="424B07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-0.00213</w:t>
            </w:r>
          </w:p>
        </w:tc>
        <w:tc>
          <w:tcPr>
            <w:tcW w:w="731" w:type="pct"/>
            <w:tcBorders>
              <w:top w:val="nil"/>
              <w:left w:val="nil"/>
              <w:bottom w:val="nil"/>
              <w:right w:val="nil"/>
            </w:tcBorders>
          </w:tcPr>
          <w:p w14:paraId="536BD3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0.0823</w:t>
            </w:r>
          </w:p>
        </w:tc>
      </w:tr>
      <w:tr w:rsidR="00F00E3D" w:rsidRPr="00335312" w14:paraId="18CC87B1" w14:textId="77777777" w:rsidTr="009B2FA7">
        <w:trPr>
          <w:jc w:val="center"/>
        </w:trPr>
        <w:tc>
          <w:tcPr>
            <w:tcW w:w="1183" w:type="pct"/>
            <w:tcBorders>
              <w:top w:val="nil"/>
              <w:left w:val="nil"/>
              <w:bottom w:val="nil"/>
              <w:right w:val="nil"/>
            </w:tcBorders>
          </w:tcPr>
          <w:p w14:paraId="529A4BE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045F51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(1.059)</w:t>
            </w:r>
          </w:p>
        </w:tc>
        <w:tc>
          <w:tcPr>
            <w:tcW w:w="956" w:type="pct"/>
            <w:tcBorders>
              <w:top w:val="nil"/>
              <w:left w:val="nil"/>
              <w:bottom w:val="nil"/>
              <w:right w:val="nil"/>
            </w:tcBorders>
          </w:tcPr>
          <w:p w14:paraId="57BD377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(0.935)</w:t>
            </w:r>
          </w:p>
        </w:tc>
        <w:tc>
          <w:tcPr>
            <w:tcW w:w="711" w:type="pct"/>
            <w:tcBorders>
              <w:top w:val="nil"/>
              <w:left w:val="nil"/>
              <w:bottom w:val="nil"/>
              <w:right w:val="nil"/>
            </w:tcBorders>
          </w:tcPr>
          <w:p w14:paraId="11062F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(1.093)</w:t>
            </w:r>
          </w:p>
        </w:tc>
        <w:tc>
          <w:tcPr>
            <w:tcW w:w="837" w:type="pct"/>
            <w:tcBorders>
              <w:top w:val="nil"/>
              <w:left w:val="nil"/>
              <w:bottom w:val="nil"/>
              <w:right w:val="nil"/>
            </w:tcBorders>
          </w:tcPr>
          <w:p w14:paraId="35625F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(-0.187)</w:t>
            </w:r>
          </w:p>
        </w:tc>
        <w:tc>
          <w:tcPr>
            <w:tcW w:w="731" w:type="pct"/>
            <w:tcBorders>
              <w:top w:val="nil"/>
              <w:left w:val="nil"/>
              <w:bottom w:val="nil"/>
              <w:right w:val="nil"/>
            </w:tcBorders>
          </w:tcPr>
          <w:p w14:paraId="19F64B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(1.254)</w:t>
            </w:r>
          </w:p>
        </w:tc>
      </w:tr>
      <w:tr w:rsidR="00F00E3D" w:rsidRPr="00335312" w14:paraId="4F7D23DC" w14:textId="77777777" w:rsidTr="009B2FA7">
        <w:trPr>
          <w:jc w:val="center"/>
        </w:trPr>
        <w:tc>
          <w:tcPr>
            <w:tcW w:w="1183" w:type="pct"/>
            <w:tcBorders>
              <w:top w:val="nil"/>
              <w:left w:val="nil"/>
              <w:bottom w:val="nil"/>
              <w:right w:val="nil"/>
            </w:tcBorders>
          </w:tcPr>
          <w:p w14:paraId="797E3F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2015.year#10.month</w:t>
            </w:r>
          </w:p>
        </w:tc>
        <w:tc>
          <w:tcPr>
            <w:tcW w:w="582" w:type="pct"/>
            <w:tcBorders>
              <w:top w:val="nil"/>
              <w:left w:val="nil"/>
              <w:bottom w:val="nil"/>
              <w:right w:val="nil"/>
            </w:tcBorders>
          </w:tcPr>
          <w:p w14:paraId="7B5DE0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0.00461</w:t>
            </w:r>
          </w:p>
        </w:tc>
        <w:tc>
          <w:tcPr>
            <w:tcW w:w="956" w:type="pct"/>
            <w:tcBorders>
              <w:top w:val="nil"/>
              <w:left w:val="nil"/>
              <w:bottom w:val="nil"/>
              <w:right w:val="nil"/>
            </w:tcBorders>
          </w:tcPr>
          <w:p w14:paraId="5B8457B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0.00309</w:t>
            </w:r>
          </w:p>
        </w:tc>
        <w:tc>
          <w:tcPr>
            <w:tcW w:w="711" w:type="pct"/>
            <w:tcBorders>
              <w:top w:val="nil"/>
              <w:left w:val="nil"/>
              <w:bottom w:val="nil"/>
              <w:right w:val="nil"/>
            </w:tcBorders>
          </w:tcPr>
          <w:p w14:paraId="7F257D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0.0120*</w:t>
            </w:r>
          </w:p>
        </w:tc>
        <w:tc>
          <w:tcPr>
            <w:tcW w:w="837" w:type="pct"/>
            <w:tcBorders>
              <w:top w:val="nil"/>
              <w:left w:val="nil"/>
              <w:bottom w:val="nil"/>
              <w:right w:val="nil"/>
            </w:tcBorders>
          </w:tcPr>
          <w:p w14:paraId="5C4D04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0.0109</w:t>
            </w:r>
          </w:p>
        </w:tc>
        <w:tc>
          <w:tcPr>
            <w:tcW w:w="731" w:type="pct"/>
            <w:tcBorders>
              <w:top w:val="nil"/>
              <w:left w:val="nil"/>
              <w:bottom w:val="nil"/>
              <w:right w:val="nil"/>
            </w:tcBorders>
          </w:tcPr>
          <w:p w14:paraId="11BB0A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0.0647**</w:t>
            </w:r>
          </w:p>
        </w:tc>
      </w:tr>
      <w:tr w:rsidR="00F00E3D" w:rsidRPr="00335312" w14:paraId="184C3AE3" w14:textId="77777777" w:rsidTr="009B2FA7">
        <w:trPr>
          <w:jc w:val="center"/>
        </w:trPr>
        <w:tc>
          <w:tcPr>
            <w:tcW w:w="1183" w:type="pct"/>
            <w:tcBorders>
              <w:top w:val="nil"/>
              <w:left w:val="nil"/>
              <w:bottom w:val="nil"/>
              <w:right w:val="nil"/>
            </w:tcBorders>
          </w:tcPr>
          <w:p w14:paraId="0ED57C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2F2646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(1.027)</w:t>
            </w:r>
          </w:p>
        </w:tc>
        <w:tc>
          <w:tcPr>
            <w:tcW w:w="956" w:type="pct"/>
            <w:tcBorders>
              <w:top w:val="nil"/>
              <w:left w:val="nil"/>
              <w:bottom w:val="nil"/>
              <w:right w:val="nil"/>
            </w:tcBorders>
          </w:tcPr>
          <w:p w14:paraId="6A7C8A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(0.593)</w:t>
            </w:r>
          </w:p>
        </w:tc>
        <w:tc>
          <w:tcPr>
            <w:tcW w:w="711" w:type="pct"/>
            <w:tcBorders>
              <w:top w:val="nil"/>
              <w:left w:val="nil"/>
              <w:bottom w:val="nil"/>
              <w:right w:val="nil"/>
            </w:tcBorders>
          </w:tcPr>
          <w:p w14:paraId="46D0BF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(1.900)</w:t>
            </w:r>
          </w:p>
        </w:tc>
        <w:tc>
          <w:tcPr>
            <w:tcW w:w="837" w:type="pct"/>
            <w:tcBorders>
              <w:top w:val="nil"/>
              <w:left w:val="nil"/>
              <w:bottom w:val="nil"/>
              <w:right w:val="nil"/>
            </w:tcBorders>
          </w:tcPr>
          <w:p w14:paraId="514A7E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(0.759)</w:t>
            </w:r>
          </w:p>
        </w:tc>
        <w:tc>
          <w:tcPr>
            <w:tcW w:w="731" w:type="pct"/>
            <w:tcBorders>
              <w:top w:val="nil"/>
              <w:left w:val="nil"/>
              <w:bottom w:val="nil"/>
              <w:right w:val="nil"/>
            </w:tcBorders>
          </w:tcPr>
          <w:p w14:paraId="31E77A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(5.118)</w:t>
            </w:r>
          </w:p>
        </w:tc>
      </w:tr>
      <w:tr w:rsidR="00F00E3D" w:rsidRPr="00335312" w14:paraId="184758CB" w14:textId="77777777" w:rsidTr="009B2FA7">
        <w:trPr>
          <w:jc w:val="center"/>
        </w:trPr>
        <w:tc>
          <w:tcPr>
            <w:tcW w:w="1183" w:type="pct"/>
            <w:tcBorders>
              <w:top w:val="nil"/>
              <w:left w:val="nil"/>
              <w:bottom w:val="nil"/>
              <w:right w:val="nil"/>
            </w:tcBorders>
          </w:tcPr>
          <w:p w14:paraId="3F7BD8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2015.year#11.month</w:t>
            </w:r>
          </w:p>
        </w:tc>
        <w:tc>
          <w:tcPr>
            <w:tcW w:w="582" w:type="pct"/>
            <w:tcBorders>
              <w:top w:val="nil"/>
              <w:left w:val="nil"/>
              <w:bottom w:val="nil"/>
              <w:right w:val="nil"/>
            </w:tcBorders>
          </w:tcPr>
          <w:p w14:paraId="0D2F7B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0.00609</w:t>
            </w:r>
          </w:p>
        </w:tc>
        <w:tc>
          <w:tcPr>
            <w:tcW w:w="956" w:type="pct"/>
            <w:tcBorders>
              <w:top w:val="nil"/>
              <w:left w:val="nil"/>
              <w:bottom w:val="nil"/>
              <w:right w:val="nil"/>
            </w:tcBorders>
          </w:tcPr>
          <w:p w14:paraId="718EB0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0.00702</w:t>
            </w:r>
          </w:p>
        </w:tc>
        <w:tc>
          <w:tcPr>
            <w:tcW w:w="711" w:type="pct"/>
            <w:tcBorders>
              <w:top w:val="nil"/>
              <w:left w:val="nil"/>
              <w:bottom w:val="nil"/>
              <w:right w:val="nil"/>
            </w:tcBorders>
          </w:tcPr>
          <w:p w14:paraId="0A208C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0.00647</w:t>
            </w:r>
          </w:p>
        </w:tc>
        <w:tc>
          <w:tcPr>
            <w:tcW w:w="837" w:type="pct"/>
            <w:tcBorders>
              <w:top w:val="nil"/>
              <w:left w:val="nil"/>
              <w:bottom w:val="nil"/>
              <w:right w:val="nil"/>
            </w:tcBorders>
          </w:tcPr>
          <w:p w14:paraId="1DC830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0.0226</w:t>
            </w:r>
          </w:p>
        </w:tc>
        <w:tc>
          <w:tcPr>
            <w:tcW w:w="731" w:type="pct"/>
            <w:tcBorders>
              <w:top w:val="nil"/>
              <w:left w:val="nil"/>
              <w:bottom w:val="nil"/>
              <w:right w:val="nil"/>
            </w:tcBorders>
          </w:tcPr>
          <w:p w14:paraId="23F8BB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0.0922***</w:t>
            </w:r>
          </w:p>
        </w:tc>
      </w:tr>
      <w:tr w:rsidR="00F00E3D" w:rsidRPr="00335312" w14:paraId="61587A01" w14:textId="77777777" w:rsidTr="009B2FA7">
        <w:trPr>
          <w:jc w:val="center"/>
        </w:trPr>
        <w:tc>
          <w:tcPr>
            <w:tcW w:w="1183" w:type="pct"/>
            <w:tcBorders>
              <w:top w:val="nil"/>
              <w:left w:val="nil"/>
              <w:bottom w:val="nil"/>
              <w:right w:val="nil"/>
            </w:tcBorders>
          </w:tcPr>
          <w:p w14:paraId="042625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674FE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(1.525)</w:t>
            </w:r>
          </w:p>
        </w:tc>
        <w:tc>
          <w:tcPr>
            <w:tcW w:w="956" w:type="pct"/>
            <w:tcBorders>
              <w:top w:val="nil"/>
              <w:left w:val="nil"/>
              <w:bottom w:val="nil"/>
              <w:right w:val="nil"/>
            </w:tcBorders>
          </w:tcPr>
          <w:p w14:paraId="11650A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(1.473)</w:t>
            </w:r>
          </w:p>
        </w:tc>
        <w:tc>
          <w:tcPr>
            <w:tcW w:w="711" w:type="pct"/>
            <w:tcBorders>
              <w:top w:val="nil"/>
              <w:left w:val="nil"/>
              <w:bottom w:val="nil"/>
              <w:right w:val="nil"/>
            </w:tcBorders>
          </w:tcPr>
          <w:p w14:paraId="6C626E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(0.979)</w:t>
            </w:r>
          </w:p>
        </w:tc>
        <w:tc>
          <w:tcPr>
            <w:tcW w:w="837" w:type="pct"/>
            <w:tcBorders>
              <w:top w:val="nil"/>
              <w:left w:val="nil"/>
              <w:bottom w:val="nil"/>
              <w:right w:val="nil"/>
            </w:tcBorders>
          </w:tcPr>
          <w:p w14:paraId="172433F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(1.023)</w:t>
            </w:r>
          </w:p>
        </w:tc>
        <w:tc>
          <w:tcPr>
            <w:tcW w:w="731" w:type="pct"/>
            <w:tcBorders>
              <w:top w:val="nil"/>
              <w:left w:val="nil"/>
              <w:bottom w:val="nil"/>
              <w:right w:val="nil"/>
            </w:tcBorders>
          </w:tcPr>
          <w:p w14:paraId="62EAB6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(15.56)</w:t>
            </w:r>
          </w:p>
        </w:tc>
      </w:tr>
      <w:tr w:rsidR="00F00E3D" w:rsidRPr="00335312" w14:paraId="17E1D849" w14:textId="77777777" w:rsidTr="009B2FA7">
        <w:trPr>
          <w:jc w:val="center"/>
        </w:trPr>
        <w:tc>
          <w:tcPr>
            <w:tcW w:w="1183" w:type="pct"/>
            <w:tcBorders>
              <w:top w:val="nil"/>
              <w:left w:val="nil"/>
              <w:bottom w:val="nil"/>
              <w:right w:val="nil"/>
            </w:tcBorders>
          </w:tcPr>
          <w:p w14:paraId="1A4D56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2015.year#12.month</w:t>
            </w:r>
          </w:p>
        </w:tc>
        <w:tc>
          <w:tcPr>
            <w:tcW w:w="582" w:type="pct"/>
            <w:tcBorders>
              <w:top w:val="nil"/>
              <w:left w:val="nil"/>
              <w:bottom w:val="nil"/>
              <w:right w:val="nil"/>
            </w:tcBorders>
          </w:tcPr>
          <w:p w14:paraId="23FE1F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0.00424</w:t>
            </w:r>
          </w:p>
        </w:tc>
        <w:tc>
          <w:tcPr>
            <w:tcW w:w="956" w:type="pct"/>
            <w:tcBorders>
              <w:top w:val="nil"/>
              <w:left w:val="nil"/>
              <w:bottom w:val="nil"/>
              <w:right w:val="nil"/>
            </w:tcBorders>
          </w:tcPr>
          <w:p w14:paraId="66FA795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0.00259</w:t>
            </w:r>
          </w:p>
        </w:tc>
        <w:tc>
          <w:tcPr>
            <w:tcW w:w="711" w:type="pct"/>
            <w:tcBorders>
              <w:top w:val="nil"/>
              <w:left w:val="nil"/>
              <w:bottom w:val="nil"/>
              <w:right w:val="nil"/>
            </w:tcBorders>
          </w:tcPr>
          <w:p w14:paraId="320EA2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0.0163**</w:t>
            </w:r>
          </w:p>
        </w:tc>
        <w:tc>
          <w:tcPr>
            <w:tcW w:w="837" w:type="pct"/>
            <w:tcBorders>
              <w:top w:val="nil"/>
              <w:left w:val="nil"/>
              <w:bottom w:val="nil"/>
              <w:right w:val="nil"/>
            </w:tcBorders>
          </w:tcPr>
          <w:p w14:paraId="767822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0.0190</w:t>
            </w:r>
          </w:p>
        </w:tc>
        <w:tc>
          <w:tcPr>
            <w:tcW w:w="731" w:type="pct"/>
            <w:tcBorders>
              <w:top w:val="nil"/>
              <w:left w:val="nil"/>
              <w:bottom w:val="nil"/>
              <w:right w:val="nil"/>
            </w:tcBorders>
          </w:tcPr>
          <w:p w14:paraId="79D267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0.0529</w:t>
            </w:r>
          </w:p>
        </w:tc>
      </w:tr>
      <w:tr w:rsidR="00F00E3D" w:rsidRPr="00335312" w14:paraId="331AE72C" w14:textId="77777777" w:rsidTr="009B2FA7">
        <w:trPr>
          <w:jc w:val="center"/>
        </w:trPr>
        <w:tc>
          <w:tcPr>
            <w:tcW w:w="1183" w:type="pct"/>
            <w:tcBorders>
              <w:top w:val="nil"/>
              <w:left w:val="nil"/>
              <w:bottom w:val="nil"/>
              <w:right w:val="nil"/>
            </w:tcBorders>
          </w:tcPr>
          <w:p w14:paraId="4E3325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1B2A47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(0.739)</w:t>
            </w:r>
          </w:p>
        </w:tc>
        <w:tc>
          <w:tcPr>
            <w:tcW w:w="956" w:type="pct"/>
            <w:tcBorders>
              <w:top w:val="nil"/>
              <w:left w:val="nil"/>
              <w:bottom w:val="nil"/>
              <w:right w:val="nil"/>
            </w:tcBorders>
          </w:tcPr>
          <w:p w14:paraId="3FFD15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(0.382)</w:t>
            </w:r>
          </w:p>
        </w:tc>
        <w:tc>
          <w:tcPr>
            <w:tcW w:w="711" w:type="pct"/>
            <w:tcBorders>
              <w:top w:val="nil"/>
              <w:left w:val="nil"/>
              <w:bottom w:val="nil"/>
              <w:right w:val="nil"/>
            </w:tcBorders>
          </w:tcPr>
          <w:p w14:paraId="6B2FD8B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(2.256)</w:t>
            </w:r>
          </w:p>
        </w:tc>
        <w:tc>
          <w:tcPr>
            <w:tcW w:w="837" w:type="pct"/>
            <w:tcBorders>
              <w:top w:val="nil"/>
              <w:left w:val="nil"/>
              <w:bottom w:val="nil"/>
              <w:right w:val="nil"/>
            </w:tcBorders>
          </w:tcPr>
          <w:p w14:paraId="259A14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(1.241)</w:t>
            </w:r>
          </w:p>
        </w:tc>
        <w:tc>
          <w:tcPr>
            <w:tcW w:w="731" w:type="pct"/>
            <w:tcBorders>
              <w:top w:val="nil"/>
              <w:left w:val="nil"/>
              <w:bottom w:val="nil"/>
              <w:right w:val="nil"/>
            </w:tcBorders>
          </w:tcPr>
          <w:p w14:paraId="23168C8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(0.922)</w:t>
            </w:r>
          </w:p>
        </w:tc>
      </w:tr>
      <w:tr w:rsidR="00F00E3D" w:rsidRPr="00335312" w14:paraId="75ABFC2F" w14:textId="77777777" w:rsidTr="009B2FA7">
        <w:trPr>
          <w:jc w:val="center"/>
        </w:trPr>
        <w:tc>
          <w:tcPr>
            <w:tcW w:w="1183" w:type="pct"/>
            <w:tcBorders>
              <w:top w:val="nil"/>
              <w:left w:val="nil"/>
              <w:bottom w:val="nil"/>
              <w:right w:val="nil"/>
            </w:tcBorders>
          </w:tcPr>
          <w:p w14:paraId="2A2356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2016.year#1.month</w:t>
            </w:r>
          </w:p>
        </w:tc>
        <w:tc>
          <w:tcPr>
            <w:tcW w:w="582" w:type="pct"/>
            <w:tcBorders>
              <w:top w:val="nil"/>
              <w:left w:val="nil"/>
              <w:bottom w:val="nil"/>
              <w:right w:val="nil"/>
            </w:tcBorders>
          </w:tcPr>
          <w:p w14:paraId="28C126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0.0149***</w:t>
            </w:r>
          </w:p>
        </w:tc>
        <w:tc>
          <w:tcPr>
            <w:tcW w:w="956" w:type="pct"/>
            <w:tcBorders>
              <w:top w:val="nil"/>
              <w:left w:val="nil"/>
              <w:bottom w:val="nil"/>
              <w:right w:val="nil"/>
            </w:tcBorders>
          </w:tcPr>
          <w:p w14:paraId="14FF4A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0.0139***</w:t>
            </w:r>
          </w:p>
        </w:tc>
        <w:tc>
          <w:tcPr>
            <w:tcW w:w="711" w:type="pct"/>
            <w:tcBorders>
              <w:top w:val="nil"/>
              <w:left w:val="nil"/>
              <w:bottom w:val="nil"/>
              <w:right w:val="nil"/>
            </w:tcBorders>
          </w:tcPr>
          <w:p w14:paraId="20DA33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0.0202***</w:t>
            </w:r>
          </w:p>
        </w:tc>
        <w:tc>
          <w:tcPr>
            <w:tcW w:w="837" w:type="pct"/>
            <w:tcBorders>
              <w:top w:val="nil"/>
              <w:left w:val="nil"/>
              <w:bottom w:val="nil"/>
              <w:right w:val="nil"/>
            </w:tcBorders>
          </w:tcPr>
          <w:p w14:paraId="6DE6FFB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0.0154</w:t>
            </w:r>
          </w:p>
        </w:tc>
        <w:tc>
          <w:tcPr>
            <w:tcW w:w="731" w:type="pct"/>
            <w:tcBorders>
              <w:top w:val="nil"/>
              <w:left w:val="nil"/>
              <w:bottom w:val="nil"/>
              <w:right w:val="nil"/>
            </w:tcBorders>
          </w:tcPr>
          <w:p w14:paraId="51EC6A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0.0600</w:t>
            </w:r>
          </w:p>
        </w:tc>
      </w:tr>
      <w:tr w:rsidR="00F00E3D" w:rsidRPr="00335312" w14:paraId="44AC1C4C" w14:textId="77777777" w:rsidTr="009B2FA7">
        <w:trPr>
          <w:jc w:val="center"/>
        </w:trPr>
        <w:tc>
          <w:tcPr>
            <w:tcW w:w="1183" w:type="pct"/>
            <w:tcBorders>
              <w:top w:val="nil"/>
              <w:left w:val="nil"/>
              <w:bottom w:val="nil"/>
              <w:right w:val="nil"/>
            </w:tcBorders>
          </w:tcPr>
          <w:p w14:paraId="61F684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93391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(4.032)</w:t>
            </w:r>
          </w:p>
        </w:tc>
        <w:tc>
          <w:tcPr>
            <w:tcW w:w="956" w:type="pct"/>
            <w:tcBorders>
              <w:top w:val="nil"/>
              <w:left w:val="nil"/>
              <w:bottom w:val="nil"/>
              <w:right w:val="nil"/>
            </w:tcBorders>
          </w:tcPr>
          <w:p w14:paraId="5A6F30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(3.289)</w:t>
            </w:r>
          </w:p>
        </w:tc>
        <w:tc>
          <w:tcPr>
            <w:tcW w:w="711" w:type="pct"/>
            <w:tcBorders>
              <w:top w:val="nil"/>
              <w:left w:val="nil"/>
              <w:bottom w:val="nil"/>
              <w:right w:val="nil"/>
            </w:tcBorders>
          </w:tcPr>
          <w:p w14:paraId="76A2F7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(3.298)</w:t>
            </w:r>
          </w:p>
        </w:tc>
        <w:tc>
          <w:tcPr>
            <w:tcW w:w="837" w:type="pct"/>
            <w:tcBorders>
              <w:top w:val="nil"/>
              <w:left w:val="nil"/>
              <w:bottom w:val="nil"/>
              <w:right w:val="nil"/>
            </w:tcBorders>
          </w:tcPr>
          <w:p w14:paraId="6503CB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(0.884)</w:t>
            </w:r>
          </w:p>
        </w:tc>
        <w:tc>
          <w:tcPr>
            <w:tcW w:w="731" w:type="pct"/>
            <w:tcBorders>
              <w:top w:val="nil"/>
              <w:left w:val="nil"/>
              <w:bottom w:val="nil"/>
              <w:right w:val="nil"/>
            </w:tcBorders>
          </w:tcPr>
          <w:p w14:paraId="5D98A9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(1.464)</w:t>
            </w:r>
          </w:p>
        </w:tc>
      </w:tr>
      <w:tr w:rsidR="00F00E3D" w:rsidRPr="00335312" w14:paraId="24848E32" w14:textId="77777777" w:rsidTr="009B2FA7">
        <w:trPr>
          <w:jc w:val="center"/>
        </w:trPr>
        <w:tc>
          <w:tcPr>
            <w:tcW w:w="1183" w:type="pct"/>
            <w:tcBorders>
              <w:top w:val="nil"/>
              <w:left w:val="nil"/>
              <w:bottom w:val="nil"/>
              <w:right w:val="nil"/>
            </w:tcBorders>
          </w:tcPr>
          <w:p w14:paraId="19C666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2016.year#2.month</w:t>
            </w:r>
          </w:p>
        </w:tc>
        <w:tc>
          <w:tcPr>
            <w:tcW w:w="582" w:type="pct"/>
            <w:tcBorders>
              <w:top w:val="nil"/>
              <w:left w:val="nil"/>
              <w:bottom w:val="nil"/>
              <w:right w:val="nil"/>
            </w:tcBorders>
          </w:tcPr>
          <w:p w14:paraId="6B4F77E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0.0264***</w:t>
            </w:r>
          </w:p>
        </w:tc>
        <w:tc>
          <w:tcPr>
            <w:tcW w:w="956" w:type="pct"/>
            <w:tcBorders>
              <w:top w:val="nil"/>
              <w:left w:val="nil"/>
              <w:bottom w:val="nil"/>
              <w:right w:val="nil"/>
            </w:tcBorders>
          </w:tcPr>
          <w:p w14:paraId="62B6DF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0.0252***</w:t>
            </w:r>
          </w:p>
        </w:tc>
        <w:tc>
          <w:tcPr>
            <w:tcW w:w="711" w:type="pct"/>
            <w:tcBorders>
              <w:top w:val="nil"/>
              <w:left w:val="nil"/>
              <w:bottom w:val="nil"/>
              <w:right w:val="nil"/>
            </w:tcBorders>
          </w:tcPr>
          <w:p w14:paraId="1CB2FA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0.0312***</w:t>
            </w:r>
          </w:p>
        </w:tc>
        <w:tc>
          <w:tcPr>
            <w:tcW w:w="837" w:type="pct"/>
            <w:tcBorders>
              <w:top w:val="nil"/>
              <w:left w:val="nil"/>
              <w:bottom w:val="nil"/>
              <w:right w:val="nil"/>
            </w:tcBorders>
          </w:tcPr>
          <w:p w14:paraId="193D34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0.0182</w:t>
            </w:r>
          </w:p>
        </w:tc>
        <w:tc>
          <w:tcPr>
            <w:tcW w:w="731" w:type="pct"/>
            <w:tcBorders>
              <w:top w:val="nil"/>
              <w:left w:val="nil"/>
              <w:bottom w:val="nil"/>
              <w:right w:val="nil"/>
            </w:tcBorders>
          </w:tcPr>
          <w:p w14:paraId="5C2578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-0.0148</w:t>
            </w:r>
          </w:p>
        </w:tc>
      </w:tr>
      <w:tr w:rsidR="00F00E3D" w:rsidRPr="00335312" w14:paraId="27451B2C" w14:textId="77777777" w:rsidTr="009B2FA7">
        <w:trPr>
          <w:jc w:val="center"/>
        </w:trPr>
        <w:tc>
          <w:tcPr>
            <w:tcW w:w="1183" w:type="pct"/>
            <w:tcBorders>
              <w:top w:val="nil"/>
              <w:left w:val="nil"/>
              <w:bottom w:val="nil"/>
              <w:right w:val="nil"/>
            </w:tcBorders>
          </w:tcPr>
          <w:p w14:paraId="0C4FC9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BEFAD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(6.782)</w:t>
            </w:r>
          </w:p>
        </w:tc>
        <w:tc>
          <w:tcPr>
            <w:tcW w:w="956" w:type="pct"/>
            <w:tcBorders>
              <w:top w:val="nil"/>
              <w:left w:val="nil"/>
              <w:bottom w:val="nil"/>
              <w:right w:val="nil"/>
            </w:tcBorders>
          </w:tcPr>
          <w:p w14:paraId="64D24E0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(5.509)</w:t>
            </w:r>
          </w:p>
        </w:tc>
        <w:tc>
          <w:tcPr>
            <w:tcW w:w="711" w:type="pct"/>
            <w:tcBorders>
              <w:top w:val="nil"/>
              <w:left w:val="nil"/>
              <w:bottom w:val="nil"/>
              <w:right w:val="nil"/>
            </w:tcBorders>
          </w:tcPr>
          <w:p w14:paraId="7307C6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(4.951)</w:t>
            </w:r>
          </w:p>
        </w:tc>
        <w:tc>
          <w:tcPr>
            <w:tcW w:w="837" w:type="pct"/>
            <w:tcBorders>
              <w:top w:val="nil"/>
              <w:left w:val="nil"/>
              <w:bottom w:val="nil"/>
              <w:right w:val="nil"/>
            </w:tcBorders>
          </w:tcPr>
          <w:p w14:paraId="0C6058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(1.051)</w:t>
            </w:r>
          </w:p>
        </w:tc>
        <w:tc>
          <w:tcPr>
            <w:tcW w:w="731" w:type="pct"/>
            <w:tcBorders>
              <w:top w:val="nil"/>
              <w:left w:val="nil"/>
              <w:bottom w:val="nil"/>
              <w:right w:val="nil"/>
            </w:tcBorders>
          </w:tcPr>
          <w:p w14:paraId="6728E77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(-0.933)</w:t>
            </w:r>
          </w:p>
        </w:tc>
      </w:tr>
      <w:tr w:rsidR="00F00E3D" w:rsidRPr="00335312" w14:paraId="5B9D3963" w14:textId="77777777" w:rsidTr="009B2FA7">
        <w:trPr>
          <w:jc w:val="center"/>
        </w:trPr>
        <w:tc>
          <w:tcPr>
            <w:tcW w:w="1183" w:type="pct"/>
            <w:tcBorders>
              <w:top w:val="nil"/>
              <w:left w:val="nil"/>
              <w:bottom w:val="nil"/>
              <w:right w:val="nil"/>
            </w:tcBorders>
          </w:tcPr>
          <w:p w14:paraId="213037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2016.year#3.month</w:t>
            </w:r>
          </w:p>
        </w:tc>
        <w:tc>
          <w:tcPr>
            <w:tcW w:w="582" w:type="pct"/>
            <w:tcBorders>
              <w:top w:val="nil"/>
              <w:left w:val="nil"/>
              <w:bottom w:val="nil"/>
              <w:right w:val="nil"/>
            </w:tcBorders>
          </w:tcPr>
          <w:p w14:paraId="51C980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0.0313***</w:t>
            </w:r>
          </w:p>
        </w:tc>
        <w:tc>
          <w:tcPr>
            <w:tcW w:w="956" w:type="pct"/>
            <w:tcBorders>
              <w:top w:val="nil"/>
              <w:left w:val="nil"/>
              <w:bottom w:val="nil"/>
              <w:right w:val="nil"/>
            </w:tcBorders>
          </w:tcPr>
          <w:p w14:paraId="3A581B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0.0322***</w:t>
            </w:r>
          </w:p>
        </w:tc>
        <w:tc>
          <w:tcPr>
            <w:tcW w:w="711" w:type="pct"/>
            <w:tcBorders>
              <w:top w:val="nil"/>
              <w:left w:val="nil"/>
              <w:bottom w:val="nil"/>
              <w:right w:val="nil"/>
            </w:tcBorders>
          </w:tcPr>
          <w:p w14:paraId="611CDE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0.0277***</w:t>
            </w:r>
          </w:p>
        </w:tc>
        <w:tc>
          <w:tcPr>
            <w:tcW w:w="837" w:type="pct"/>
            <w:tcBorders>
              <w:top w:val="nil"/>
              <w:left w:val="nil"/>
              <w:bottom w:val="nil"/>
              <w:right w:val="nil"/>
            </w:tcBorders>
          </w:tcPr>
          <w:p w14:paraId="2B841F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0.0257</w:t>
            </w:r>
          </w:p>
        </w:tc>
        <w:tc>
          <w:tcPr>
            <w:tcW w:w="731" w:type="pct"/>
            <w:tcBorders>
              <w:top w:val="nil"/>
              <w:left w:val="nil"/>
              <w:bottom w:val="nil"/>
              <w:right w:val="nil"/>
            </w:tcBorders>
          </w:tcPr>
          <w:p w14:paraId="06B7FE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0.0429**</w:t>
            </w:r>
          </w:p>
        </w:tc>
      </w:tr>
      <w:tr w:rsidR="00F00E3D" w:rsidRPr="00335312" w14:paraId="04A7B733" w14:textId="77777777" w:rsidTr="009B2FA7">
        <w:trPr>
          <w:jc w:val="center"/>
        </w:trPr>
        <w:tc>
          <w:tcPr>
            <w:tcW w:w="1183" w:type="pct"/>
            <w:tcBorders>
              <w:top w:val="nil"/>
              <w:left w:val="nil"/>
              <w:bottom w:val="nil"/>
              <w:right w:val="nil"/>
            </w:tcBorders>
          </w:tcPr>
          <w:p w14:paraId="39AF7F6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1CB776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(8.040)</w:t>
            </w:r>
          </w:p>
        </w:tc>
        <w:tc>
          <w:tcPr>
            <w:tcW w:w="956" w:type="pct"/>
            <w:tcBorders>
              <w:top w:val="nil"/>
              <w:left w:val="nil"/>
              <w:bottom w:val="nil"/>
              <w:right w:val="nil"/>
            </w:tcBorders>
          </w:tcPr>
          <w:p w14:paraId="454D9F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(7.108)</w:t>
            </w:r>
          </w:p>
        </w:tc>
        <w:tc>
          <w:tcPr>
            <w:tcW w:w="711" w:type="pct"/>
            <w:tcBorders>
              <w:top w:val="nil"/>
              <w:left w:val="nil"/>
              <w:bottom w:val="nil"/>
              <w:right w:val="nil"/>
            </w:tcBorders>
          </w:tcPr>
          <w:p w14:paraId="4DF85B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(4.635)</w:t>
            </w:r>
          </w:p>
        </w:tc>
        <w:tc>
          <w:tcPr>
            <w:tcW w:w="837" w:type="pct"/>
            <w:tcBorders>
              <w:top w:val="nil"/>
              <w:left w:val="nil"/>
              <w:bottom w:val="nil"/>
              <w:right w:val="nil"/>
            </w:tcBorders>
          </w:tcPr>
          <w:p w14:paraId="4BDF24D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(1.417)</w:t>
            </w:r>
          </w:p>
        </w:tc>
        <w:tc>
          <w:tcPr>
            <w:tcW w:w="731" w:type="pct"/>
            <w:tcBorders>
              <w:top w:val="nil"/>
              <w:left w:val="nil"/>
              <w:bottom w:val="nil"/>
              <w:right w:val="nil"/>
            </w:tcBorders>
          </w:tcPr>
          <w:p w14:paraId="4A9657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(7.753)</w:t>
            </w:r>
          </w:p>
        </w:tc>
      </w:tr>
      <w:tr w:rsidR="00F00E3D" w:rsidRPr="00335312" w14:paraId="481EBD5E" w14:textId="77777777" w:rsidTr="009B2FA7">
        <w:trPr>
          <w:jc w:val="center"/>
        </w:trPr>
        <w:tc>
          <w:tcPr>
            <w:tcW w:w="1183" w:type="pct"/>
            <w:tcBorders>
              <w:top w:val="nil"/>
              <w:left w:val="nil"/>
              <w:bottom w:val="nil"/>
              <w:right w:val="nil"/>
            </w:tcBorders>
          </w:tcPr>
          <w:p w14:paraId="312BD0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2016.year#4.month</w:t>
            </w:r>
          </w:p>
        </w:tc>
        <w:tc>
          <w:tcPr>
            <w:tcW w:w="582" w:type="pct"/>
            <w:tcBorders>
              <w:top w:val="nil"/>
              <w:left w:val="nil"/>
              <w:bottom w:val="nil"/>
              <w:right w:val="nil"/>
            </w:tcBorders>
          </w:tcPr>
          <w:p w14:paraId="78D7A4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0.0356***</w:t>
            </w:r>
          </w:p>
        </w:tc>
        <w:tc>
          <w:tcPr>
            <w:tcW w:w="956" w:type="pct"/>
            <w:tcBorders>
              <w:top w:val="nil"/>
              <w:left w:val="nil"/>
              <w:bottom w:val="nil"/>
              <w:right w:val="nil"/>
            </w:tcBorders>
          </w:tcPr>
          <w:p w14:paraId="03C36A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0.0371***</w:t>
            </w:r>
          </w:p>
        </w:tc>
        <w:tc>
          <w:tcPr>
            <w:tcW w:w="711" w:type="pct"/>
            <w:tcBorders>
              <w:top w:val="nil"/>
              <w:left w:val="nil"/>
              <w:bottom w:val="nil"/>
              <w:right w:val="nil"/>
            </w:tcBorders>
          </w:tcPr>
          <w:p w14:paraId="7AC79A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0.0323***</w:t>
            </w:r>
          </w:p>
        </w:tc>
        <w:tc>
          <w:tcPr>
            <w:tcW w:w="837" w:type="pct"/>
            <w:tcBorders>
              <w:top w:val="nil"/>
              <w:left w:val="nil"/>
              <w:bottom w:val="nil"/>
              <w:right w:val="nil"/>
            </w:tcBorders>
          </w:tcPr>
          <w:p w14:paraId="568232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0.0287</w:t>
            </w:r>
          </w:p>
        </w:tc>
        <w:tc>
          <w:tcPr>
            <w:tcW w:w="731" w:type="pct"/>
            <w:tcBorders>
              <w:top w:val="nil"/>
              <w:left w:val="nil"/>
              <w:bottom w:val="nil"/>
              <w:right w:val="nil"/>
            </w:tcBorders>
          </w:tcPr>
          <w:p w14:paraId="5BDCFE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0.0360</w:t>
            </w:r>
          </w:p>
        </w:tc>
      </w:tr>
      <w:tr w:rsidR="00F00E3D" w:rsidRPr="00335312" w14:paraId="21151326" w14:textId="77777777" w:rsidTr="009B2FA7">
        <w:trPr>
          <w:jc w:val="center"/>
        </w:trPr>
        <w:tc>
          <w:tcPr>
            <w:tcW w:w="1183" w:type="pct"/>
            <w:tcBorders>
              <w:top w:val="nil"/>
              <w:left w:val="nil"/>
              <w:bottom w:val="nil"/>
              <w:right w:val="nil"/>
            </w:tcBorders>
          </w:tcPr>
          <w:p w14:paraId="5E539D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8DEAB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(8.257)</w:t>
            </w:r>
          </w:p>
        </w:tc>
        <w:tc>
          <w:tcPr>
            <w:tcW w:w="956" w:type="pct"/>
            <w:tcBorders>
              <w:top w:val="nil"/>
              <w:left w:val="nil"/>
              <w:bottom w:val="nil"/>
              <w:right w:val="nil"/>
            </w:tcBorders>
          </w:tcPr>
          <w:p w14:paraId="2154C1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(7.311)</w:t>
            </w:r>
          </w:p>
        </w:tc>
        <w:tc>
          <w:tcPr>
            <w:tcW w:w="711" w:type="pct"/>
            <w:tcBorders>
              <w:top w:val="nil"/>
              <w:left w:val="nil"/>
              <w:bottom w:val="nil"/>
              <w:right w:val="nil"/>
            </w:tcBorders>
          </w:tcPr>
          <w:p w14:paraId="4B888D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(4.957)</w:t>
            </w:r>
          </w:p>
        </w:tc>
        <w:tc>
          <w:tcPr>
            <w:tcW w:w="837" w:type="pct"/>
            <w:tcBorders>
              <w:top w:val="nil"/>
              <w:left w:val="nil"/>
              <w:bottom w:val="nil"/>
              <w:right w:val="nil"/>
            </w:tcBorders>
          </w:tcPr>
          <w:p w14:paraId="50B9869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(1.485)</w:t>
            </w:r>
          </w:p>
        </w:tc>
        <w:tc>
          <w:tcPr>
            <w:tcW w:w="731" w:type="pct"/>
            <w:tcBorders>
              <w:top w:val="nil"/>
              <w:left w:val="nil"/>
              <w:bottom w:val="nil"/>
              <w:right w:val="nil"/>
            </w:tcBorders>
          </w:tcPr>
          <w:p w14:paraId="786DA3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(1.286)</w:t>
            </w:r>
          </w:p>
        </w:tc>
      </w:tr>
      <w:tr w:rsidR="00F00E3D" w:rsidRPr="00335312" w14:paraId="5C942860" w14:textId="77777777" w:rsidTr="009B2FA7">
        <w:trPr>
          <w:jc w:val="center"/>
        </w:trPr>
        <w:tc>
          <w:tcPr>
            <w:tcW w:w="1183" w:type="pct"/>
            <w:tcBorders>
              <w:top w:val="nil"/>
              <w:left w:val="nil"/>
              <w:bottom w:val="nil"/>
              <w:right w:val="nil"/>
            </w:tcBorders>
          </w:tcPr>
          <w:p w14:paraId="408C622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2016.year#5.month</w:t>
            </w:r>
          </w:p>
        </w:tc>
        <w:tc>
          <w:tcPr>
            <w:tcW w:w="582" w:type="pct"/>
            <w:tcBorders>
              <w:top w:val="nil"/>
              <w:left w:val="nil"/>
              <w:bottom w:val="nil"/>
              <w:right w:val="nil"/>
            </w:tcBorders>
          </w:tcPr>
          <w:p w14:paraId="649E92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0.0344***</w:t>
            </w:r>
          </w:p>
        </w:tc>
        <w:tc>
          <w:tcPr>
            <w:tcW w:w="956" w:type="pct"/>
            <w:tcBorders>
              <w:top w:val="nil"/>
              <w:left w:val="nil"/>
              <w:bottom w:val="nil"/>
              <w:right w:val="nil"/>
            </w:tcBorders>
          </w:tcPr>
          <w:p w14:paraId="325661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0.0313***</w:t>
            </w:r>
          </w:p>
        </w:tc>
        <w:tc>
          <w:tcPr>
            <w:tcW w:w="711" w:type="pct"/>
            <w:tcBorders>
              <w:top w:val="nil"/>
              <w:left w:val="nil"/>
              <w:bottom w:val="nil"/>
              <w:right w:val="nil"/>
            </w:tcBorders>
          </w:tcPr>
          <w:p w14:paraId="36E674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0.0448***</w:t>
            </w:r>
          </w:p>
        </w:tc>
        <w:tc>
          <w:tcPr>
            <w:tcW w:w="837" w:type="pct"/>
            <w:tcBorders>
              <w:top w:val="nil"/>
              <w:left w:val="nil"/>
              <w:bottom w:val="nil"/>
              <w:right w:val="nil"/>
            </w:tcBorders>
          </w:tcPr>
          <w:p w14:paraId="420535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0.00989</w:t>
            </w:r>
          </w:p>
        </w:tc>
        <w:tc>
          <w:tcPr>
            <w:tcW w:w="731" w:type="pct"/>
            <w:tcBorders>
              <w:top w:val="nil"/>
              <w:left w:val="nil"/>
              <w:bottom w:val="nil"/>
              <w:right w:val="nil"/>
            </w:tcBorders>
          </w:tcPr>
          <w:p w14:paraId="5CD7C4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0.0793</w:t>
            </w:r>
          </w:p>
        </w:tc>
      </w:tr>
      <w:tr w:rsidR="00F00E3D" w:rsidRPr="00335312" w14:paraId="590ADA8B" w14:textId="77777777" w:rsidTr="009B2FA7">
        <w:trPr>
          <w:jc w:val="center"/>
        </w:trPr>
        <w:tc>
          <w:tcPr>
            <w:tcW w:w="1183" w:type="pct"/>
            <w:tcBorders>
              <w:top w:val="nil"/>
              <w:left w:val="nil"/>
              <w:bottom w:val="nil"/>
              <w:right w:val="nil"/>
            </w:tcBorders>
          </w:tcPr>
          <w:p w14:paraId="3ADDE4D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DA19AA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(6.569)</w:t>
            </w:r>
          </w:p>
        </w:tc>
        <w:tc>
          <w:tcPr>
            <w:tcW w:w="956" w:type="pct"/>
            <w:tcBorders>
              <w:top w:val="nil"/>
              <w:left w:val="nil"/>
              <w:bottom w:val="nil"/>
              <w:right w:val="nil"/>
            </w:tcBorders>
          </w:tcPr>
          <w:p w14:paraId="6BB78E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(6.651)</w:t>
            </w:r>
          </w:p>
        </w:tc>
        <w:tc>
          <w:tcPr>
            <w:tcW w:w="711" w:type="pct"/>
            <w:tcBorders>
              <w:top w:val="nil"/>
              <w:left w:val="nil"/>
              <w:bottom w:val="nil"/>
              <w:right w:val="nil"/>
            </w:tcBorders>
          </w:tcPr>
          <w:p w14:paraId="7BE872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(3.279)</w:t>
            </w:r>
          </w:p>
        </w:tc>
        <w:tc>
          <w:tcPr>
            <w:tcW w:w="837" w:type="pct"/>
            <w:tcBorders>
              <w:top w:val="nil"/>
              <w:left w:val="nil"/>
              <w:bottom w:val="nil"/>
              <w:right w:val="nil"/>
            </w:tcBorders>
          </w:tcPr>
          <w:p w14:paraId="1F7632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(0.898)</w:t>
            </w:r>
          </w:p>
        </w:tc>
        <w:tc>
          <w:tcPr>
            <w:tcW w:w="731" w:type="pct"/>
            <w:tcBorders>
              <w:top w:val="nil"/>
              <w:left w:val="nil"/>
              <w:bottom w:val="nil"/>
              <w:right w:val="nil"/>
            </w:tcBorders>
          </w:tcPr>
          <w:p w14:paraId="147149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(2.297)</w:t>
            </w:r>
          </w:p>
        </w:tc>
      </w:tr>
      <w:tr w:rsidR="00F00E3D" w:rsidRPr="00335312" w14:paraId="4BA68616" w14:textId="77777777" w:rsidTr="009B2FA7">
        <w:trPr>
          <w:jc w:val="center"/>
        </w:trPr>
        <w:tc>
          <w:tcPr>
            <w:tcW w:w="1183" w:type="pct"/>
            <w:tcBorders>
              <w:top w:val="nil"/>
              <w:left w:val="nil"/>
              <w:bottom w:val="nil"/>
              <w:right w:val="nil"/>
            </w:tcBorders>
          </w:tcPr>
          <w:p w14:paraId="106EFA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2016.year#6.month</w:t>
            </w:r>
          </w:p>
        </w:tc>
        <w:tc>
          <w:tcPr>
            <w:tcW w:w="582" w:type="pct"/>
            <w:tcBorders>
              <w:top w:val="nil"/>
              <w:left w:val="nil"/>
              <w:bottom w:val="nil"/>
              <w:right w:val="nil"/>
            </w:tcBorders>
          </w:tcPr>
          <w:p w14:paraId="0C83A8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0.0290***</w:t>
            </w:r>
          </w:p>
        </w:tc>
        <w:tc>
          <w:tcPr>
            <w:tcW w:w="956" w:type="pct"/>
            <w:tcBorders>
              <w:top w:val="nil"/>
              <w:left w:val="nil"/>
              <w:bottom w:val="nil"/>
              <w:right w:val="nil"/>
            </w:tcBorders>
          </w:tcPr>
          <w:p w14:paraId="31D74C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0.0314***</w:t>
            </w:r>
          </w:p>
        </w:tc>
        <w:tc>
          <w:tcPr>
            <w:tcW w:w="711" w:type="pct"/>
            <w:tcBorders>
              <w:top w:val="nil"/>
              <w:left w:val="nil"/>
              <w:bottom w:val="nil"/>
              <w:right w:val="nil"/>
            </w:tcBorders>
          </w:tcPr>
          <w:p w14:paraId="2BA133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0.0229***</w:t>
            </w:r>
          </w:p>
        </w:tc>
        <w:tc>
          <w:tcPr>
            <w:tcW w:w="837" w:type="pct"/>
            <w:tcBorders>
              <w:top w:val="nil"/>
              <w:left w:val="nil"/>
              <w:bottom w:val="nil"/>
              <w:right w:val="nil"/>
            </w:tcBorders>
          </w:tcPr>
          <w:p w14:paraId="623F24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0.0242</w:t>
            </w:r>
          </w:p>
        </w:tc>
        <w:tc>
          <w:tcPr>
            <w:tcW w:w="731" w:type="pct"/>
            <w:tcBorders>
              <w:top w:val="nil"/>
              <w:left w:val="nil"/>
              <w:bottom w:val="nil"/>
              <w:right w:val="nil"/>
            </w:tcBorders>
          </w:tcPr>
          <w:p w14:paraId="2B6B3A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0.105**</w:t>
            </w:r>
          </w:p>
        </w:tc>
      </w:tr>
      <w:tr w:rsidR="00F00E3D" w:rsidRPr="00335312" w14:paraId="660017D4" w14:textId="77777777" w:rsidTr="009B2FA7">
        <w:trPr>
          <w:jc w:val="center"/>
        </w:trPr>
        <w:tc>
          <w:tcPr>
            <w:tcW w:w="1183" w:type="pct"/>
            <w:tcBorders>
              <w:top w:val="nil"/>
              <w:left w:val="nil"/>
              <w:bottom w:val="nil"/>
              <w:right w:val="nil"/>
            </w:tcBorders>
          </w:tcPr>
          <w:p w14:paraId="4E72D5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268300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(6.294)</w:t>
            </w:r>
          </w:p>
        </w:tc>
        <w:tc>
          <w:tcPr>
            <w:tcW w:w="956" w:type="pct"/>
            <w:tcBorders>
              <w:top w:val="nil"/>
              <w:left w:val="nil"/>
              <w:bottom w:val="nil"/>
              <w:right w:val="nil"/>
            </w:tcBorders>
          </w:tcPr>
          <w:p w14:paraId="0AB94B2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(5.706)</w:t>
            </w:r>
          </w:p>
        </w:tc>
        <w:tc>
          <w:tcPr>
            <w:tcW w:w="711" w:type="pct"/>
            <w:tcBorders>
              <w:top w:val="nil"/>
              <w:left w:val="nil"/>
              <w:bottom w:val="nil"/>
              <w:right w:val="nil"/>
            </w:tcBorders>
          </w:tcPr>
          <w:p w14:paraId="01853C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(3.943)</w:t>
            </w:r>
          </w:p>
        </w:tc>
        <w:tc>
          <w:tcPr>
            <w:tcW w:w="837" w:type="pct"/>
            <w:tcBorders>
              <w:top w:val="nil"/>
              <w:left w:val="nil"/>
              <w:bottom w:val="nil"/>
              <w:right w:val="nil"/>
            </w:tcBorders>
          </w:tcPr>
          <w:p w14:paraId="6F64A9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(1.345)</w:t>
            </w:r>
          </w:p>
        </w:tc>
        <w:tc>
          <w:tcPr>
            <w:tcW w:w="731" w:type="pct"/>
            <w:tcBorders>
              <w:top w:val="nil"/>
              <w:left w:val="nil"/>
              <w:bottom w:val="nil"/>
              <w:right w:val="nil"/>
            </w:tcBorders>
          </w:tcPr>
          <w:p w14:paraId="03C98B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(5.757)</w:t>
            </w:r>
          </w:p>
        </w:tc>
      </w:tr>
      <w:tr w:rsidR="00F00E3D" w:rsidRPr="00335312" w14:paraId="63FDCFFA" w14:textId="77777777" w:rsidTr="009B2FA7">
        <w:trPr>
          <w:jc w:val="center"/>
        </w:trPr>
        <w:tc>
          <w:tcPr>
            <w:tcW w:w="1183" w:type="pct"/>
            <w:tcBorders>
              <w:top w:val="nil"/>
              <w:left w:val="nil"/>
              <w:bottom w:val="nil"/>
              <w:right w:val="nil"/>
            </w:tcBorders>
          </w:tcPr>
          <w:p w14:paraId="2C9F11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2016.year#7.month</w:t>
            </w:r>
          </w:p>
        </w:tc>
        <w:tc>
          <w:tcPr>
            <w:tcW w:w="582" w:type="pct"/>
            <w:tcBorders>
              <w:top w:val="nil"/>
              <w:left w:val="nil"/>
              <w:bottom w:val="nil"/>
              <w:right w:val="nil"/>
            </w:tcBorders>
          </w:tcPr>
          <w:p w14:paraId="6D790E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0.0343***</w:t>
            </w:r>
          </w:p>
        </w:tc>
        <w:tc>
          <w:tcPr>
            <w:tcW w:w="956" w:type="pct"/>
            <w:tcBorders>
              <w:top w:val="nil"/>
              <w:left w:val="nil"/>
              <w:bottom w:val="nil"/>
              <w:right w:val="nil"/>
            </w:tcBorders>
          </w:tcPr>
          <w:p w14:paraId="58405B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0.0365***</w:t>
            </w:r>
          </w:p>
        </w:tc>
        <w:tc>
          <w:tcPr>
            <w:tcW w:w="711" w:type="pct"/>
            <w:tcBorders>
              <w:top w:val="nil"/>
              <w:left w:val="nil"/>
              <w:bottom w:val="nil"/>
              <w:right w:val="nil"/>
            </w:tcBorders>
          </w:tcPr>
          <w:p w14:paraId="381425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0.0266***</w:t>
            </w:r>
          </w:p>
        </w:tc>
        <w:tc>
          <w:tcPr>
            <w:tcW w:w="837" w:type="pct"/>
            <w:tcBorders>
              <w:top w:val="nil"/>
              <w:left w:val="nil"/>
              <w:bottom w:val="nil"/>
              <w:right w:val="nil"/>
            </w:tcBorders>
          </w:tcPr>
          <w:p w14:paraId="77F1C6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0.0112</w:t>
            </w:r>
          </w:p>
        </w:tc>
        <w:tc>
          <w:tcPr>
            <w:tcW w:w="731" w:type="pct"/>
            <w:tcBorders>
              <w:top w:val="nil"/>
              <w:left w:val="nil"/>
              <w:bottom w:val="nil"/>
              <w:right w:val="nil"/>
            </w:tcBorders>
          </w:tcPr>
          <w:p w14:paraId="114D77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0.0782*</w:t>
            </w:r>
          </w:p>
        </w:tc>
      </w:tr>
      <w:tr w:rsidR="00F00E3D" w:rsidRPr="00335312" w14:paraId="13118F39" w14:textId="77777777" w:rsidTr="009B2FA7">
        <w:trPr>
          <w:jc w:val="center"/>
        </w:trPr>
        <w:tc>
          <w:tcPr>
            <w:tcW w:w="1183" w:type="pct"/>
            <w:tcBorders>
              <w:top w:val="nil"/>
              <w:left w:val="nil"/>
              <w:bottom w:val="nil"/>
              <w:right w:val="nil"/>
            </w:tcBorders>
          </w:tcPr>
          <w:p w14:paraId="1B209B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D0272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(7.933)</w:t>
            </w:r>
          </w:p>
        </w:tc>
        <w:tc>
          <w:tcPr>
            <w:tcW w:w="956" w:type="pct"/>
            <w:tcBorders>
              <w:top w:val="nil"/>
              <w:left w:val="nil"/>
              <w:bottom w:val="nil"/>
              <w:right w:val="nil"/>
            </w:tcBorders>
          </w:tcPr>
          <w:p w14:paraId="71F178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(7.169)</w:t>
            </w:r>
          </w:p>
        </w:tc>
        <w:tc>
          <w:tcPr>
            <w:tcW w:w="711" w:type="pct"/>
            <w:tcBorders>
              <w:top w:val="nil"/>
              <w:left w:val="nil"/>
              <w:bottom w:val="nil"/>
              <w:right w:val="nil"/>
            </w:tcBorders>
          </w:tcPr>
          <w:p w14:paraId="57A766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(4.039)</w:t>
            </w:r>
          </w:p>
        </w:tc>
        <w:tc>
          <w:tcPr>
            <w:tcW w:w="837" w:type="pct"/>
            <w:tcBorders>
              <w:top w:val="nil"/>
              <w:left w:val="nil"/>
              <w:bottom w:val="nil"/>
              <w:right w:val="nil"/>
            </w:tcBorders>
          </w:tcPr>
          <w:p w14:paraId="4C26D8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(0.771)</w:t>
            </w:r>
          </w:p>
        </w:tc>
        <w:tc>
          <w:tcPr>
            <w:tcW w:w="731" w:type="pct"/>
            <w:tcBorders>
              <w:top w:val="nil"/>
              <w:left w:val="nil"/>
              <w:bottom w:val="nil"/>
              <w:right w:val="nil"/>
            </w:tcBorders>
          </w:tcPr>
          <w:p w14:paraId="0940B9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(3.026)</w:t>
            </w:r>
          </w:p>
        </w:tc>
      </w:tr>
      <w:tr w:rsidR="00F00E3D" w:rsidRPr="00335312" w14:paraId="0C28C88F" w14:textId="77777777" w:rsidTr="009B2FA7">
        <w:trPr>
          <w:jc w:val="center"/>
        </w:trPr>
        <w:tc>
          <w:tcPr>
            <w:tcW w:w="1183" w:type="pct"/>
            <w:tcBorders>
              <w:top w:val="nil"/>
              <w:left w:val="nil"/>
              <w:bottom w:val="nil"/>
              <w:right w:val="nil"/>
            </w:tcBorders>
          </w:tcPr>
          <w:p w14:paraId="23B045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2016.year#8.month</w:t>
            </w:r>
          </w:p>
        </w:tc>
        <w:tc>
          <w:tcPr>
            <w:tcW w:w="582" w:type="pct"/>
            <w:tcBorders>
              <w:top w:val="nil"/>
              <w:left w:val="nil"/>
              <w:bottom w:val="nil"/>
              <w:right w:val="nil"/>
            </w:tcBorders>
          </w:tcPr>
          <w:p w14:paraId="3C7226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0.0334***</w:t>
            </w:r>
          </w:p>
        </w:tc>
        <w:tc>
          <w:tcPr>
            <w:tcW w:w="956" w:type="pct"/>
            <w:tcBorders>
              <w:top w:val="nil"/>
              <w:left w:val="nil"/>
              <w:bottom w:val="nil"/>
              <w:right w:val="nil"/>
            </w:tcBorders>
          </w:tcPr>
          <w:p w14:paraId="022F9D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0.0334***</w:t>
            </w:r>
          </w:p>
        </w:tc>
        <w:tc>
          <w:tcPr>
            <w:tcW w:w="711" w:type="pct"/>
            <w:tcBorders>
              <w:top w:val="nil"/>
              <w:left w:val="nil"/>
              <w:bottom w:val="nil"/>
              <w:right w:val="nil"/>
            </w:tcBorders>
          </w:tcPr>
          <w:p w14:paraId="77C211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0.0357***</w:t>
            </w:r>
          </w:p>
        </w:tc>
        <w:tc>
          <w:tcPr>
            <w:tcW w:w="837" w:type="pct"/>
            <w:tcBorders>
              <w:top w:val="nil"/>
              <w:left w:val="nil"/>
              <w:bottom w:val="nil"/>
              <w:right w:val="nil"/>
            </w:tcBorders>
          </w:tcPr>
          <w:p w14:paraId="6B1DB9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0.0287</w:t>
            </w:r>
          </w:p>
        </w:tc>
        <w:tc>
          <w:tcPr>
            <w:tcW w:w="731" w:type="pct"/>
            <w:tcBorders>
              <w:top w:val="nil"/>
              <w:left w:val="nil"/>
              <w:bottom w:val="nil"/>
              <w:right w:val="nil"/>
            </w:tcBorders>
          </w:tcPr>
          <w:p w14:paraId="6E63F7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0.0645*</w:t>
            </w:r>
          </w:p>
        </w:tc>
      </w:tr>
      <w:tr w:rsidR="00F00E3D" w:rsidRPr="00335312" w14:paraId="6F25AF31" w14:textId="77777777" w:rsidTr="009B2FA7">
        <w:trPr>
          <w:jc w:val="center"/>
        </w:trPr>
        <w:tc>
          <w:tcPr>
            <w:tcW w:w="1183" w:type="pct"/>
            <w:tcBorders>
              <w:top w:val="nil"/>
              <w:left w:val="nil"/>
              <w:bottom w:val="nil"/>
              <w:right w:val="nil"/>
            </w:tcBorders>
          </w:tcPr>
          <w:p w14:paraId="13A2BF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594FD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(6.874)</w:t>
            </w:r>
          </w:p>
        </w:tc>
        <w:tc>
          <w:tcPr>
            <w:tcW w:w="956" w:type="pct"/>
            <w:tcBorders>
              <w:top w:val="nil"/>
              <w:left w:val="nil"/>
              <w:bottom w:val="nil"/>
              <w:right w:val="nil"/>
            </w:tcBorders>
          </w:tcPr>
          <w:p w14:paraId="1FD1BF1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(5.995)</w:t>
            </w:r>
          </w:p>
        </w:tc>
        <w:tc>
          <w:tcPr>
            <w:tcW w:w="711" w:type="pct"/>
            <w:tcBorders>
              <w:top w:val="nil"/>
              <w:left w:val="nil"/>
              <w:bottom w:val="nil"/>
              <w:right w:val="nil"/>
            </w:tcBorders>
          </w:tcPr>
          <w:p w14:paraId="4C9D57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(4.495)</w:t>
            </w:r>
          </w:p>
        </w:tc>
        <w:tc>
          <w:tcPr>
            <w:tcW w:w="837" w:type="pct"/>
            <w:tcBorders>
              <w:top w:val="nil"/>
              <w:left w:val="nil"/>
              <w:bottom w:val="nil"/>
              <w:right w:val="nil"/>
            </w:tcBorders>
          </w:tcPr>
          <w:p w14:paraId="4B34E03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(0.608)</w:t>
            </w:r>
          </w:p>
        </w:tc>
        <w:tc>
          <w:tcPr>
            <w:tcW w:w="731" w:type="pct"/>
            <w:tcBorders>
              <w:top w:val="nil"/>
              <w:left w:val="nil"/>
              <w:bottom w:val="nil"/>
              <w:right w:val="nil"/>
            </w:tcBorders>
          </w:tcPr>
          <w:p w14:paraId="468B75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(3.124)</w:t>
            </w:r>
          </w:p>
        </w:tc>
      </w:tr>
      <w:tr w:rsidR="00F00E3D" w:rsidRPr="00335312" w14:paraId="6B625EF5" w14:textId="77777777" w:rsidTr="009B2FA7">
        <w:trPr>
          <w:jc w:val="center"/>
        </w:trPr>
        <w:tc>
          <w:tcPr>
            <w:tcW w:w="1183" w:type="pct"/>
            <w:tcBorders>
              <w:top w:val="nil"/>
              <w:left w:val="nil"/>
              <w:bottom w:val="nil"/>
              <w:right w:val="nil"/>
            </w:tcBorders>
          </w:tcPr>
          <w:p w14:paraId="13BED2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2016.year#9.month</w:t>
            </w:r>
          </w:p>
        </w:tc>
        <w:tc>
          <w:tcPr>
            <w:tcW w:w="582" w:type="pct"/>
            <w:tcBorders>
              <w:top w:val="nil"/>
              <w:left w:val="nil"/>
              <w:bottom w:val="nil"/>
              <w:right w:val="nil"/>
            </w:tcBorders>
          </w:tcPr>
          <w:p w14:paraId="1AA421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0.0393***</w:t>
            </w:r>
          </w:p>
        </w:tc>
        <w:tc>
          <w:tcPr>
            <w:tcW w:w="956" w:type="pct"/>
            <w:tcBorders>
              <w:top w:val="nil"/>
              <w:left w:val="nil"/>
              <w:bottom w:val="nil"/>
              <w:right w:val="nil"/>
            </w:tcBorders>
          </w:tcPr>
          <w:p w14:paraId="259B1E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0.0401***</w:t>
            </w:r>
          </w:p>
        </w:tc>
        <w:tc>
          <w:tcPr>
            <w:tcW w:w="711" w:type="pct"/>
            <w:tcBorders>
              <w:top w:val="nil"/>
              <w:left w:val="nil"/>
              <w:bottom w:val="nil"/>
              <w:right w:val="nil"/>
            </w:tcBorders>
          </w:tcPr>
          <w:p w14:paraId="4AFE9C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0.0383***</w:t>
            </w:r>
          </w:p>
        </w:tc>
        <w:tc>
          <w:tcPr>
            <w:tcW w:w="837" w:type="pct"/>
            <w:tcBorders>
              <w:top w:val="nil"/>
              <w:left w:val="nil"/>
              <w:bottom w:val="nil"/>
              <w:right w:val="nil"/>
            </w:tcBorders>
          </w:tcPr>
          <w:p w14:paraId="24C6C7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0.0219</w:t>
            </w:r>
          </w:p>
        </w:tc>
        <w:tc>
          <w:tcPr>
            <w:tcW w:w="731" w:type="pct"/>
            <w:tcBorders>
              <w:top w:val="nil"/>
              <w:left w:val="nil"/>
              <w:bottom w:val="nil"/>
              <w:right w:val="nil"/>
            </w:tcBorders>
          </w:tcPr>
          <w:p w14:paraId="78CCFF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0.0280</w:t>
            </w:r>
          </w:p>
        </w:tc>
      </w:tr>
      <w:tr w:rsidR="00F00E3D" w:rsidRPr="00335312" w14:paraId="1D8EB0C0" w14:textId="77777777" w:rsidTr="009B2FA7">
        <w:trPr>
          <w:jc w:val="center"/>
        </w:trPr>
        <w:tc>
          <w:tcPr>
            <w:tcW w:w="1183" w:type="pct"/>
            <w:tcBorders>
              <w:top w:val="nil"/>
              <w:left w:val="nil"/>
              <w:bottom w:val="nil"/>
              <w:right w:val="nil"/>
            </w:tcBorders>
          </w:tcPr>
          <w:p w14:paraId="37E1BB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9F3C5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(7.515)</w:t>
            </w:r>
          </w:p>
        </w:tc>
        <w:tc>
          <w:tcPr>
            <w:tcW w:w="956" w:type="pct"/>
            <w:tcBorders>
              <w:top w:val="nil"/>
              <w:left w:val="nil"/>
              <w:bottom w:val="nil"/>
              <w:right w:val="nil"/>
            </w:tcBorders>
          </w:tcPr>
          <w:p w14:paraId="47E994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(6.424)</w:t>
            </w:r>
          </w:p>
        </w:tc>
        <w:tc>
          <w:tcPr>
            <w:tcW w:w="711" w:type="pct"/>
            <w:tcBorders>
              <w:top w:val="nil"/>
              <w:left w:val="nil"/>
              <w:bottom w:val="nil"/>
              <w:right w:val="nil"/>
            </w:tcBorders>
          </w:tcPr>
          <w:p w14:paraId="670245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(5.482)</w:t>
            </w:r>
          </w:p>
        </w:tc>
        <w:tc>
          <w:tcPr>
            <w:tcW w:w="837" w:type="pct"/>
            <w:tcBorders>
              <w:top w:val="nil"/>
              <w:left w:val="nil"/>
              <w:bottom w:val="nil"/>
              <w:right w:val="nil"/>
            </w:tcBorders>
          </w:tcPr>
          <w:p w14:paraId="5D3102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(1.435)</w:t>
            </w:r>
          </w:p>
        </w:tc>
        <w:tc>
          <w:tcPr>
            <w:tcW w:w="731" w:type="pct"/>
            <w:tcBorders>
              <w:top w:val="nil"/>
              <w:left w:val="nil"/>
              <w:bottom w:val="nil"/>
              <w:right w:val="nil"/>
            </w:tcBorders>
          </w:tcPr>
          <w:p w14:paraId="3C3377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(1.068)</w:t>
            </w:r>
          </w:p>
        </w:tc>
      </w:tr>
      <w:tr w:rsidR="00F00E3D" w:rsidRPr="00335312" w14:paraId="0AFB22A4" w14:textId="77777777" w:rsidTr="009B2FA7">
        <w:trPr>
          <w:jc w:val="center"/>
        </w:trPr>
        <w:tc>
          <w:tcPr>
            <w:tcW w:w="1183" w:type="pct"/>
            <w:tcBorders>
              <w:top w:val="nil"/>
              <w:left w:val="nil"/>
              <w:bottom w:val="nil"/>
              <w:right w:val="nil"/>
            </w:tcBorders>
          </w:tcPr>
          <w:p w14:paraId="061F84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2016.year#10.month</w:t>
            </w:r>
          </w:p>
        </w:tc>
        <w:tc>
          <w:tcPr>
            <w:tcW w:w="582" w:type="pct"/>
            <w:tcBorders>
              <w:top w:val="nil"/>
              <w:left w:val="nil"/>
              <w:bottom w:val="nil"/>
              <w:right w:val="nil"/>
            </w:tcBorders>
          </w:tcPr>
          <w:p w14:paraId="0219B9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0.0390***</w:t>
            </w:r>
          </w:p>
        </w:tc>
        <w:tc>
          <w:tcPr>
            <w:tcW w:w="956" w:type="pct"/>
            <w:tcBorders>
              <w:top w:val="nil"/>
              <w:left w:val="nil"/>
              <w:bottom w:val="nil"/>
              <w:right w:val="nil"/>
            </w:tcBorders>
          </w:tcPr>
          <w:p w14:paraId="2FEC12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0.0413***</w:t>
            </w:r>
          </w:p>
        </w:tc>
        <w:tc>
          <w:tcPr>
            <w:tcW w:w="711" w:type="pct"/>
            <w:tcBorders>
              <w:top w:val="nil"/>
              <w:left w:val="nil"/>
              <w:bottom w:val="nil"/>
              <w:right w:val="nil"/>
            </w:tcBorders>
          </w:tcPr>
          <w:p w14:paraId="0E85C2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0.0321***</w:t>
            </w:r>
          </w:p>
        </w:tc>
        <w:tc>
          <w:tcPr>
            <w:tcW w:w="837" w:type="pct"/>
            <w:tcBorders>
              <w:top w:val="nil"/>
              <w:left w:val="nil"/>
              <w:bottom w:val="nil"/>
              <w:right w:val="nil"/>
            </w:tcBorders>
          </w:tcPr>
          <w:p w14:paraId="3C7CD2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0.0231</w:t>
            </w:r>
          </w:p>
        </w:tc>
        <w:tc>
          <w:tcPr>
            <w:tcW w:w="731" w:type="pct"/>
            <w:tcBorders>
              <w:top w:val="nil"/>
              <w:left w:val="nil"/>
              <w:bottom w:val="nil"/>
              <w:right w:val="nil"/>
            </w:tcBorders>
          </w:tcPr>
          <w:p w14:paraId="1B97008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0.0220</w:t>
            </w:r>
          </w:p>
        </w:tc>
      </w:tr>
      <w:tr w:rsidR="00F00E3D" w:rsidRPr="00335312" w14:paraId="3D18CD8D" w14:textId="77777777" w:rsidTr="009B2FA7">
        <w:trPr>
          <w:jc w:val="center"/>
        </w:trPr>
        <w:tc>
          <w:tcPr>
            <w:tcW w:w="1183" w:type="pct"/>
            <w:tcBorders>
              <w:top w:val="nil"/>
              <w:left w:val="nil"/>
              <w:bottom w:val="nil"/>
              <w:right w:val="nil"/>
            </w:tcBorders>
          </w:tcPr>
          <w:p w14:paraId="5F6CB5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88A83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(8.479)</w:t>
            </w:r>
          </w:p>
        </w:tc>
        <w:tc>
          <w:tcPr>
            <w:tcW w:w="956" w:type="pct"/>
            <w:tcBorders>
              <w:top w:val="nil"/>
              <w:left w:val="nil"/>
              <w:bottom w:val="nil"/>
              <w:right w:val="nil"/>
            </w:tcBorders>
          </w:tcPr>
          <w:p w14:paraId="24EF54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(7.701)</w:t>
            </w:r>
          </w:p>
        </w:tc>
        <w:tc>
          <w:tcPr>
            <w:tcW w:w="711" w:type="pct"/>
            <w:tcBorders>
              <w:top w:val="nil"/>
              <w:left w:val="nil"/>
              <w:bottom w:val="nil"/>
              <w:right w:val="nil"/>
            </w:tcBorders>
          </w:tcPr>
          <w:p w14:paraId="0C88693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(4.427)</w:t>
            </w:r>
          </w:p>
        </w:tc>
        <w:tc>
          <w:tcPr>
            <w:tcW w:w="837" w:type="pct"/>
            <w:tcBorders>
              <w:top w:val="nil"/>
              <w:left w:val="nil"/>
              <w:bottom w:val="nil"/>
              <w:right w:val="nil"/>
            </w:tcBorders>
          </w:tcPr>
          <w:p w14:paraId="683A4D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(1.324)</w:t>
            </w:r>
          </w:p>
        </w:tc>
        <w:tc>
          <w:tcPr>
            <w:tcW w:w="731" w:type="pct"/>
            <w:tcBorders>
              <w:top w:val="nil"/>
              <w:left w:val="nil"/>
              <w:bottom w:val="nil"/>
              <w:right w:val="nil"/>
            </w:tcBorders>
          </w:tcPr>
          <w:p w14:paraId="1FC3FE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(1.010)</w:t>
            </w:r>
          </w:p>
        </w:tc>
      </w:tr>
      <w:tr w:rsidR="00F00E3D" w:rsidRPr="00335312" w14:paraId="364F8A08" w14:textId="77777777" w:rsidTr="009B2FA7">
        <w:trPr>
          <w:jc w:val="center"/>
        </w:trPr>
        <w:tc>
          <w:tcPr>
            <w:tcW w:w="1183" w:type="pct"/>
            <w:tcBorders>
              <w:top w:val="nil"/>
              <w:left w:val="nil"/>
              <w:bottom w:val="nil"/>
              <w:right w:val="nil"/>
            </w:tcBorders>
          </w:tcPr>
          <w:p w14:paraId="7B927E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2016.year#11.month</w:t>
            </w:r>
          </w:p>
        </w:tc>
        <w:tc>
          <w:tcPr>
            <w:tcW w:w="582" w:type="pct"/>
            <w:tcBorders>
              <w:top w:val="nil"/>
              <w:left w:val="nil"/>
              <w:bottom w:val="nil"/>
              <w:right w:val="nil"/>
            </w:tcBorders>
          </w:tcPr>
          <w:p w14:paraId="3DFF6A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0.0338***</w:t>
            </w:r>
          </w:p>
        </w:tc>
        <w:tc>
          <w:tcPr>
            <w:tcW w:w="956" w:type="pct"/>
            <w:tcBorders>
              <w:top w:val="nil"/>
              <w:left w:val="nil"/>
              <w:bottom w:val="nil"/>
              <w:right w:val="nil"/>
            </w:tcBorders>
          </w:tcPr>
          <w:p w14:paraId="0A9354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0.0307***</w:t>
            </w:r>
          </w:p>
        </w:tc>
        <w:tc>
          <w:tcPr>
            <w:tcW w:w="711" w:type="pct"/>
            <w:tcBorders>
              <w:top w:val="nil"/>
              <w:left w:val="nil"/>
              <w:bottom w:val="nil"/>
              <w:right w:val="nil"/>
            </w:tcBorders>
          </w:tcPr>
          <w:p w14:paraId="51272B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0.0504***</w:t>
            </w:r>
          </w:p>
        </w:tc>
        <w:tc>
          <w:tcPr>
            <w:tcW w:w="837" w:type="pct"/>
            <w:tcBorders>
              <w:top w:val="nil"/>
              <w:left w:val="nil"/>
              <w:bottom w:val="nil"/>
              <w:right w:val="nil"/>
            </w:tcBorders>
          </w:tcPr>
          <w:p w14:paraId="66AF7C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0.0227</w:t>
            </w:r>
          </w:p>
        </w:tc>
        <w:tc>
          <w:tcPr>
            <w:tcW w:w="731" w:type="pct"/>
            <w:tcBorders>
              <w:top w:val="nil"/>
              <w:left w:val="nil"/>
              <w:bottom w:val="nil"/>
              <w:right w:val="nil"/>
            </w:tcBorders>
          </w:tcPr>
          <w:p w14:paraId="7546C0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0.0406</w:t>
            </w:r>
          </w:p>
        </w:tc>
      </w:tr>
      <w:tr w:rsidR="00F00E3D" w:rsidRPr="00335312" w14:paraId="5178168B" w14:textId="77777777" w:rsidTr="009B2FA7">
        <w:trPr>
          <w:jc w:val="center"/>
        </w:trPr>
        <w:tc>
          <w:tcPr>
            <w:tcW w:w="1183" w:type="pct"/>
            <w:tcBorders>
              <w:top w:val="nil"/>
              <w:left w:val="nil"/>
              <w:bottom w:val="nil"/>
              <w:right w:val="nil"/>
            </w:tcBorders>
          </w:tcPr>
          <w:p w14:paraId="246F16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54B811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(8.137)</w:t>
            </w:r>
          </w:p>
        </w:tc>
        <w:tc>
          <w:tcPr>
            <w:tcW w:w="956" w:type="pct"/>
            <w:tcBorders>
              <w:top w:val="nil"/>
              <w:left w:val="nil"/>
              <w:bottom w:val="nil"/>
              <w:right w:val="nil"/>
            </w:tcBorders>
          </w:tcPr>
          <w:p w14:paraId="34796B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(6.760)</w:t>
            </w:r>
          </w:p>
        </w:tc>
        <w:tc>
          <w:tcPr>
            <w:tcW w:w="711" w:type="pct"/>
            <w:tcBorders>
              <w:top w:val="nil"/>
              <w:left w:val="nil"/>
              <w:bottom w:val="nil"/>
              <w:right w:val="nil"/>
            </w:tcBorders>
          </w:tcPr>
          <w:p w14:paraId="311D3B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(4.695)</w:t>
            </w:r>
          </w:p>
        </w:tc>
        <w:tc>
          <w:tcPr>
            <w:tcW w:w="837" w:type="pct"/>
            <w:tcBorders>
              <w:top w:val="nil"/>
              <w:left w:val="nil"/>
              <w:bottom w:val="nil"/>
              <w:right w:val="nil"/>
            </w:tcBorders>
          </w:tcPr>
          <w:p w14:paraId="49760F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(1.427)</w:t>
            </w:r>
          </w:p>
        </w:tc>
        <w:tc>
          <w:tcPr>
            <w:tcW w:w="731" w:type="pct"/>
            <w:tcBorders>
              <w:top w:val="nil"/>
              <w:left w:val="nil"/>
              <w:bottom w:val="nil"/>
              <w:right w:val="nil"/>
            </w:tcBorders>
          </w:tcPr>
          <w:p w14:paraId="51374C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(1.960)</w:t>
            </w:r>
          </w:p>
        </w:tc>
      </w:tr>
      <w:tr w:rsidR="00F00E3D" w:rsidRPr="00335312" w14:paraId="73DE1FD8" w14:textId="77777777" w:rsidTr="009B2FA7">
        <w:trPr>
          <w:jc w:val="center"/>
        </w:trPr>
        <w:tc>
          <w:tcPr>
            <w:tcW w:w="1183" w:type="pct"/>
            <w:tcBorders>
              <w:top w:val="nil"/>
              <w:left w:val="nil"/>
              <w:bottom w:val="nil"/>
              <w:right w:val="nil"/>
            </w:tcBorders>
          </w:tcPr>
          <w:p w14:paraId="0705BF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2016.year#12.month</w:t>
            </w:r>
          </w:p>
        </w:tc>
        <w:tc>
          <w:tcPr>
            <w:tcW w:w="582" w:type="pct"/>
            <w:tcBorders>
              <w:top w:val="nil"/>
              <w:left w:val="nil"/>
              <w:bottom w:val="nil"/>
              <w:right w:val="nil"/>
            </w:tcBorders>
          </w:tcPr>
          <w:p w14:paraId="0282B07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0.0365***</w:t>
            </w:r>
          </w:p>
        </w:tc>
        <w:tc>
          <w:tcPr>
            <w:tcW w:w="956" w:type="pct"/>
            <w:tcBorders>
              <w:top w:val="nil"/>
              <w:left w:val="nil"/>
              <w:bottom w:val="nil"/>
              <w:right w:val="nil"/>
            </w:tcBorders>
          </w:tcPr>
          <w:p w14:paraId="6AB82C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0.0354***</w:t>
            </w:r>
          </w:p>
        </w:tc>
        <w:tc>
          <w:tcPr>
            <w:tcW w:w="711" w:type="pct"/>
            <w:tcBorders>
              <w:top w:val="nil"/>
              <w:left w:val="nil"/>
              <w:bottom w:val="nil"/>
              <w:right w:val="nil"/>
            </w:tcBorders>
          </w:tcPr>
          <w:p w14:paraId="36A16C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0.0460***</w:t>
            </w:r>
          </w:p>
        </w:tc>
        <w:tc>
          <w:tcPr>
            <w:tcW w:w="837" w:type="pct"/>
            <w:tcBorders>
              <w:top w:val="nil"/>
              <w:left w:val="nil"/>
              <w:bottom w:val="nil"/>
              <w:right w:val="nil"/>
            </w:tcBorders>
          </w:tcPr>
          <w:p w14:paraId="69BFDB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0.0449*</w:t>
            </w:r>
          </w:p>
        </w:tc>
        <w:tc>
          <w:tcPr>
            <w:tcW w:w="731" w:type="pct"/>
            <w:tcBorders>
              <w:top w:val="nil"/>
              <w:left w:val="nil"/>
              <w:bottom w:val="nil"/>
              <w:right w:val="nil"/>
            </w:tcBorders>
          </w:tcPr>
          <w:p w14:paraId="0055BA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0.0112</w:t>
            </w:r>
          </w:p>
        </w:tc>
      </w:tr>
      <w:tr w:rsidR="00F00E3D" w:rsidRPr="00335312" w14:paraId="2FABE4BE" w14:textId="77777777" w:rsidTr="009B2FA7">
        <w:trPr>
          <w:jc w:val="center"/>
        </w:trPr>
        <w:tc>
          <w:tcPr>
            <w:tcW w:w="1183" w:type="pct"/>
            <w:tcBorders>
              <w:top w:val="nil"/>
              <w:left w:val="nil"/>
              <w:bottom w:val="nil"/>
              <w:right w:val="nil"/>
            </w:tcBorders>
          </w:tcPr>
          <w:p w14:paraId="2B78946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BE25A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(5.580)</w:t>
            </w:r>
          </w:p>
        </w:tc>
        <w:tc>
          <w:tcPr>
            <w:tcW w:w="956" w:type="pct"/>
            <w:tcBorders>
              <w:top w:val="nil"/>
              <w:left w:val="nil"/>
              <w:bottom w:val="nil"/>
              <w:right w:val="nil"/>
            </w:tcBorders>
          </w:tcPr>
          <w:p w14:paraId="45B429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(4.323)</w:t>
            </w:r>
          </w:p>
        </w:tc>
        <w:tc>
          <w:tcPr>
            <w:tcW w:w="711" w:type="pct"/>
            <w:tcBorders>
              <w:top w:val="nil"/>
              <w:left w:val="nil"/>
              <w:bottom w:val="nil"/>
              <w:right w:val="nil"/>
            </w:tcBorders>
          </w:tcPr>
          <w:p w14:paraId="2BA6BB1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(6.734)</w:t>
            </w:r>
          </w:p>
        </w:tc>
        <w:tc>
          <w:tcPr>
            <w:tcW w:w="837" w:type="pct"/>
            <w:tcBorders>
              <w:top w:val="nil"/>
              <w:left w:val="nil"/>
              <w:bottom w:val="nil"/>
              <w:right w:val="nil"/>
            </w:tcBorders>
          </w:tcPr>
          <w:p w14:paraId="3663BE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(2.028)</w:t>
            </w:r>
          </w:p>
        </w:tc>
        <w:tc>
          <w:tcPr>
            <w:tcW w:w="731" w:type="pct"/>
            <w:tcBorders>
              <w:top w:val="nil"/>
              <w:left w:val="nil"/>
              <w:bottom w:val="nil"/>
              <w:right w:val="nil"/>
            </w:tcBorders>
          </w:tcPr>
          <w:p w14:paraId="2B9935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(1.512)</w:t>
            </w:r>
          </w:p>
        </w:tc>
      </w:tr>
      <w:tr w:rsidR="00F00E3D" w:rsidRPr="00335312" w14:paraId="3A716178" w14:textId="77777777" w:rsidTr="009B2FA7">
        <w:trPr>
          <w:jc w:val="center"/>
        </w:trPr>
        <w:tc>
          <w:tcPr>
            <w:tcW w:w="1183" w:type="pct"/>
            <w:tcBorders>
              <w:top w:val="nil"/>
              <w:left w:val="nil"/>
              <w:bottom w:val="nil"/>
              <w:right w:val="nil"/>
            </w:tcBorders>
          </w:tcPr>
          <w:p w14:paraId="707312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2017.year#1.month</w:t>
            </w:r>
          </w:p>
        </w:tc>
        <w:tc>
          <w:tcPr>
            <w:tcW w:w="582" w:type="pct"/>
            <w:tcBorders>
              <w:top w:val="nil"/>
              <w:left w:val="nil"/>
              <w:bottom w:val="nil"/>
              <w:right w:val="nil"/>
            </w:tcBorders>
          </w:tcPr>
          <w:p w14:paraId="09A460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0.0484***</w:t>
            </w:r>
          </w:p>
        </w:tc>
        <w:tc>
          <w:tcPr>
            <w:tcW w:w="956" w:type="pct"/>
            <w:tcBorders>
              <w:top w:val="nil"/>
              <w:left w:val="nil"/>
              <w:bottom w:val="nil"/>
              <w:right w:val="nil"/>
            </w:tcBorders>
          </w:tcPr>
          <w:p w14:paraId="021B5E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0.0491***</w:t>
            </w:r>
          </w:p>
        </w:tc>
        <w:tc>
          <w:tcPr>
            <w:tcW w:w="711" w:type="pct"/>
            <w:tcBorders>
              <w:top w:val="nil"/>
              <w:left w:val="nil"/>
              <w:bottom w:val="nil"/>
              <w:right w:val="nil"/>
            </w:tcBorders>
          </w:tcPr>
          <w:p w14:paraId="6F126F5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0.0482***</w:t>
            </w:r>
          </w:p>
        </w:tc>
        <w:tc>
          <w:tcPr>
            <w:tcW w:w="837" w:type="pct"/>
            <w:tcBorders>
              <w:top w:val="nil"/>
              <w:left w:val="nil"/>
              <w:bottom w:val="nil"/>
              <w:right w:val="nil"/>
            </w:tcBorders>
          </w:tcPr>
          <w:p w14:paraId="314551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0.0236</w:t>
            </w:r>
          </w:p>
        </w:tc>
        <w:tc>
          <w:tcPr>
            <w:tcW w:w="731" w:type="pct"/>
            <w:tcBorders>
              <w:top w:val="nil"/>
              <w:left w:val="nil"/>
              <w:bottom w:val="nil"/>
              <w:right w:val="nil"/>
            </w:tcBorders>
          </w:tcPr>
          <w:p w14:paraId="4B41E8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0.0402</w:t>
            </w:r>
          </w:p>
        </w:tc>
      </w:tr>
      <w:tr w:rsidR="00F00E3D" w:rsidRPr="00335312" w14:paraId="3E1B30A9" w14:textId="77777777" w:rsidTr="009B2FA7">
        <w:trPr>
          <w:jc w:val="center"/>
        </w:trPr>
        <w:tc>
          <w:tcPr>
            <w:tcW w:w="1183" w:type="pct"/>
            <w:tcBorders>
              <w:top w:val="nil"/>
              <w:left w:val="nil"/>
              <w:bottom w:val="nil"/>
              <w:right w:val="nil"/>
            </w:tcBorders>
          </w:tcPr>
          <w:p w14:paraId="2AB50B6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7E82CA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(9.090)</w:t>
            </w:r>
          </w:p>
        </w:tc>
        <w:tc>
          <w:tcPr>
            <w:tcW w:w="956" w:type="pct"/>
            <w:tcBorders>
              <w:top w:val="nil"/>
              <w:left w:val="nil"/>
              <w:bottom w:val="nil"/>
              <w:right w:val="nil"/>
            </w:tcBorders>
          </w:tcPr>
          <w:p w14:paraId="7A9217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(7.589)</w:t>
            </w:r>
          </w:p>
        </w:tc>
        <w:tc>
          <w:tcPr>
            <w:tcW w:w="711" w:type="pct"/>
            <w:tcBorders>
              <w:top w:val="nil"/>
              <w:left w:val="nil"/>
              <w:bottom w:val="nil"/>
              <w:right w:val="nil"/>
            </w:tcBorders>
          </w:tcPr>
          <w:p w14:paraId="5194DC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(7.221)</w:t>
            </w:r>
          </w:p>
        </w:tc>
        <w:tc>
          <w:tcPr>
            <w:tcW w:w="837" w:type="pct"/>
            <w:tcBorders>
              <w:top w:val="nil"/>
              <w:left w:val="nil"/>
              <w:bottom w:val="nil"/>
              <w:right w:val="nil"/>
            </w:tcBorders>
          </w:tcPr>
          <w:p w14:paraId="56E6CF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(1.198)</w:t>
            </w:r>
          </w:p>
        </w:tc>
        <w:tc>
          <w:tcPr>
            <w:tcW w:w="731" w:type="pct"/>
            <w:tcBorders>
              <w:top w:val="nil"/>
              <w:left w:val="nil"/>
              <w:bottom w:val="nil"/>
              <w:right w:val="nil"/>
            </w:tcBorders>
          </w:tcPr>
          <w:p w14:paraId="6FB6425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(1.511)</w:t>
            </w:r>
          </w:p>
        </w:tc>
      </w:tr>
      <w:tr w:rsidR="00F00E3D" w:rsidRPr="00335312" w14:paraId="5E737D1B" w14:textId="77777777" w:rsidTr="009B2FA7">
        <w:trPr>
          <w:jc w:val="center"/>
        </w:trPr>
        <w:tc>
          <w:tcPr>
            <w:tcW w:w="1183" w:type="pct"/>
            <w:tcBorders>
              <w:top w:val="nil"/>
              <w:left w:val="nil"/>
              <w:bottom w:val="nil"/>
              <w:right w:val="nil"/>
            </w:tcBorders>
          </w:tcPr>
          <w:p w14:paraId="34269A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2017.year#2.month</w:t>
            </w:r>
          </w:p>
        </w:tc>
        <w:tc>
          <w:tcPr>
            <w:tcW w:w="582" w:type="pct"/>
            <w:tcBorders>
              <w:top w:val="nil"/>
              <w:left w:val="nil"/>
              <w:bottom w:val="nil"/>
              <w:right w:val="nil"/>
            </w:tcBorders>
          </w:tcPr>
          <w:p w14:paraId="47FD9D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0.0554***</w:t>
            </w:r>
          </w:p>
        </w:tc>
        <w:tc>
          <w:tcPr>
            <w:tcW w:w="956" w:type="pct"/>
            <w:tcBorders>
              <w:top w:val="nil"/>
              <w:left w:val="nil"/>
              <w:bottom w:val="nil"/>
              <w:right w:val="nil"/>
            </w:tcBorders>
          </w:tcPr>
          <w:p w14:paraId="678B95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0.0550***</w:t>
            </w:r>
          </w:p>
        </w:tc>
        <w:tc>
          <w:tcPr>
            <w:tcW w:w="711" w:type="pct"/>
            <w:tcBorders>
              <w:top w:val="nil"/>
              <w:left w:val="nil"/>
              <w:bottom w:val="nil"/>
              <w:right w:val="nil"/>
            </w:tcBorders>
          </w:tcPr>
          <w:p w14:paraId="70E546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0.0596***</w:t>
            </w:r>
          </w:p>
        </w:tc>
        <w:tc>
          <w:tcPr>
            <w:tcW w:w="837" w:type="pct"/>
            <w:tcBorders>
              <w:top w:val="nil"/>
              <w:left w:val="nil"/>
              <w:bottom w:val="nil"/>
              <w:right w:val="nil"/>
            </w:tcBorders>
          </w:tcPr>
          <w:p w14:paraId="26BDD8A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0.0409**</w:t>
            </w:r>
          </w:p>
        </w:tc>
        <w:tc>
          <w:tcPr>
            <w:tcW w:w="731" w:type="pct"/>
            <w:tcBorders>
              <w:top w:val="nil"/>
              <w:left w:val="nil"/>
              <w:bottom w:val="nil"/>
              <w:right w:val="nil"/>
            </w:tcBorders>
          </w:tcPr>
          <w:p w14:paraId="5C2DA72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0.0801</w:t>
            </w:r>
          </w:p>
        </w:tc>
      </w:tr>
      <w:tr w:rsidR="00F00E3D" w:rsidRPr="00335312" w14:paraId="1975A60E" w14:textId="77777777" w:rsidTr="009B2FA7">
        <w:trPr>
          <w:jc w:val="center"/>
        </w:trPr>
        <w:tc>
          <w:tcPr>
            <w:tcW w:w="1183" w:type="pct"/>
            <w:tcBorders>
              <w:top w:val="nil"/>
              <w:left w:val="nil"/>
              <w:bottom w:val="nil"/>
              <w:right w:val="nil"/>
            </w:tcBorders>
          </w:tcPr>
          <w:p w14:paraId="0F9356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225C7B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(11.34)</w:t>
            </w:r>
          </w:p>
        </w:tc>
        <w:tc>
          <w:tcPr>
            <w:tcW w:w="956" w:type="pct"/>
            <w:tcBorders>
              <w:top w:val="nil"/>
              <w:left w:val="nil"/>
              <w:bottom w:val="nil"/>
              <w:right w:val="nil"/>
            </w:tcBorders>
          </w:tcPr>
          <w:p w14:paraId="50E938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(9.527)</w:t>
            </w:r>
          </w:p>
        </w:tc>
        <w:tc>
          <w:tcPr>
            <w:tcW w:w="711" w:type="pct"/>
            <w:tcBorders>
              <w:top w:val="nil"/>
              <w:left w:val="nil"/>
              <w:bottom w:val="nil"/>
              <w:right w:val="nil"/>
            </w:tcBorders>
          </w:tcPr>
          <w:p w14:paraId="1E20C9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(7.657)</w:t>
            </w:r>
          </w:p>
        </w:tc>
        <w:tc>
          <w:tcPr>
            <w:tcW w:w="837" w:type="pct"/>
            <w:tcBorders>
              <w:top w:val="nil"/>
              <w:left w:val="nil"/>
              <w:bottom w:val="nil"/>
              <w:right w:val="nil"/>
            </w:tcBorders>
          </w:tcPr>
          <w:p w14:paraId="6AD06F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(2.577)</w:t>
            </w:r>
          </w:p>
        </w:tc>
        <w:tc>
          <w:tcPr>
            <w:tcW w:w="731" w:type="pct"/>
            <w:tcBorders>
              <w:top w:val="nil"/>
              <w:left w:val="nil"/>
              <w:bottom w:val="nil"/>
              <w:right w:val="nil"/>
            </w:tcBorders>
          </w:tcPr>
          <w:p w14:paraId="5943CF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(1.837)</w:t>
            </w:r>
          </w:p>
        </w:tc>
      </w:tr>
      <w:tr w:rsidR="00F00E3D" w:rsidRPr="00335312" w14:paraId="0CB3FA1B" w14:textId="77777777" w:rsidTr="009B2FA7">
        <w:trPr>
          <w:jc w:val="center"/>
        </w:trPr>
        <w:tc>
          <w:tcPr>
            <w:tcW w:w="1183" w:type="pct"/>
            <w:tcBorders>
              <w:top w:val="nil"/>
              <w:left w:val="nil"/>
              <w:bottom w:val="nil"/>
              <w:right w:val="nil"/>
            </w:tcBorders>
          </w:tcPr>
          <w:p w14:paraId="517027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2017.year#3.month</w:t>
            </w:r>
          </w:p>
        </w:tc>
        <w:tc>
          <w:tcPr>
            <w:tcW w:w="582" w:type="pct"/>
            <w:tcBorders>
              <w:top w:val="nil"/>
              <w:left w:val="nil"/>
              <w:bottom w:val="nil"/>
              <w:right w:val="nil"/>
            </w:tcBorders>
          </w:tcPr>
          <w:p w14:paraId="5697E2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0.0687***</w:t>
            </w:r>
          </w:p>
        </w:tc>
        <w:tc>
          <w:tcPr>
            <w:tcW w:w="956" w:type="pct"/>
            <w:tcBorders>
              <w:top w:val="nil"/>
              <w:left w:val="nil"/>
              <w:bottom w:val="nil"/>
              <w:right w:val="nil"/>
            </w:tcBorders>
          </w:tcPr>
          <w:p w14:paraId="1BD4CBA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0.0715***</w:t>
            </w:r>
          </w:p>
        </w:tc>
        <w:tc>
          <w:tcPr>
            <w:tcW w:w="711" w:type="pct"/>
            <w:tcBorders>
              <w:top w:val="nil"/>
              <w:left w:val="nil"/>
              <w:bottom w:val="nil"/>
              <w:right w:val="nil"/>
            </w:tcBorders>
          </w:tcPr>
          <w:p w14:paraId="4D9692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0.0603***</w:t>
            </w:r>
          </w:p>
        </w:tc>
        <w:tc>
          <w:tcPr>
            <w:tcW w:w="837" w:type="pct"/>
            <w:tcBorders>
              <w:top w:val="nil"/>
              <w:left w:val="nil"/>
              <w:bottom w:val="nil"/>
              <w:right w:val="nil"/>
            </w:tcBorders>
          </w:tcPr>
          <w:p w14:paraId="24766CE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0.0385**</w:t>
            </w:r>
          </w:p>
        </w:tc>
        <w:tc>
          <w:tcPr>
            <w:tcW w:w="731" w:type="pct"/>
            <w:tcBorders>
              <w:top w:val="nil"/>
              <w:left w:val="nil"/>
              <w:bottom w:val="nil"/>
              <w:right w:val="nil"/>
            </w:tcBorders>
          </w:tcPr>
          <w:p w14:paraId="6E3BF1B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0.0560</w:t>
            </w:r>
          </w:p>
        </w:tc>
      </w:tr>
      <w:tr w:rsidR="00F00E3D" w:rsidRPr="00335312" w14:paraId="07BD27AB" w14:textId="77777777" w:rsidTr="009B2FA7">
        <w:trPr>
          <w:jc w:val="center"/>
        </w:trPr>
        <w:tc>
          <w:tcPr>
            <w:tcW w:w="1183" w:type="pct"/>
            <w:tcBorders>
              <w:top w:val="nil"/>
              <w:left w:val="nil"/>
              <w:bottom w:val="nil"/>
              <w:right w:val="nil"/>
            </w:tcBorders>
          </w:tcPr>
          <w:p w14:paraId="6F8E99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C9EE1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(12.92)</w:t>
            </w:r>
          </w:p>
        </w:tc>
        <w:tc>
          <w:tcPr>
            <w:tcW w:w="956" w:type="pct"/>
            <w:tcBorders>
              <w:top w:val="nil"/>
              <w:left w:val="nil"/>
              <w:bottom w:val="nil"/>
              <w:right w:val="nil"/>
            </w:tcBorders>
          </w:tcPr>
          <w:p w14:paraId="063330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(11.29)</w:t>
            </w:r>
          </w:p>
        </w:tc>
        <w:tc>
          <w:tcPr>
            <w:tcW w:w="711" w:type="pct"/>
            <w:tcBorders>
              <w:top w:val="nil"/>
              <w:left w:val="nil"/>
              <w:bottom w:val="nil"/>
              <w:right w:val="nil"/>
            </w:tcBorders>
          </w:tcPr>
          <w:p w14:paraId="74D9AFA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(7.769)</w:t>
            </w:r>
          </w:p>
        </w:tc>
        <w:tc>
          <w:tcPr>
            <w:tcW w:w="837" w:type="pct"/>
            <w:tcBorders>
              <w:top w:val="nil"/>
              <w:left w:val="nil"/>
              <w:bottom w:val="nil"/>
              <w:right w:val="nil"/>
            </w:tcBorders>
          </w:tcPr>
          <w:p w14:paraId="5E34F9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(2.225)</w:t>
            </w:r>
          </w:p>
        </w:tc>
        <w:tc>
          <w:tcPr>
            <w:tcW w:w="731" w:type="pct"/>
            <w:tcBorders>
              <w:top w:val="nil"/>
              <w:left w:val="nil"/>
              <w:bottom w:val="nil"/>
              <w:right w:val="nil"/>
            </w:tcBorders>
          </w:tcPr>
          <w:p w14:paraId="3164EB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(1.523)</w:t>
            </w:r>
          </w:p>
        </w:tc>
      </w:tr>
      <w:tr w:rsidR="00F00E3D" w:rsidRPr="00335312" w14:paraId="51C7A3F2" w14:textId="77777777" w:rsidTr="009B2FA7">
        <w:trPr>
          <w:jc w:val="center"/>
        </w:trPr>
        <w:tc>
          <w:tcPr>
            <w:tcW w:w="1183" w:type="pct"/>
            <w:tcBorders>
              <w:top w:val="nil"/>
              <w:left w:val="nil"/>
              <w:bottom w:val="nil"/>
              <w:right w:val="nil"/>
            </w:tcBorders>
          </w:tcPr>
          <w:p w14:paraId="7EA782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2017.year#4.month</w:t>
            </w:r>
          </w:p>
        </w:tc>
        <w:tc>
          <w:tcPr>
            <w:tcW w:w="582" w:type="pct"/>
            <w:tcBorders>
              <w:top w:val="nil"/>
              <w:left w:val="nil"/>
              <w:bottom w:val="nil"/>
              <w:right w:val="nil"/>
            </w:tcBorders>
          </w:tcPr>
          <w:p w14:paraId="7B517E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0.0787***</w:t>
            </w:r>
          </w:p>
        </w:tc>
        <w:tc>
          <w:tcPr>
            <w:tcW w:w="956" w:type="pct"/>
            <w:tcBorders>
              <w:top w:val="nil"/>
              <w:left w:val="nil"/>
              <w:bottom w:val="nil"/>
              <w:right w:val="nil"/>
            </w:tcBorders>
          </w:tcPr>
          <w:p w14:paraId="005C120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0.0825***</w:t>
            </w:r>
          </w:p>
        </w:tc>
        <w:tc>
          <w:tcPr>
            <w:tcW w:w="711" w:type="pct"/>
            <w:tcBorders>
              <w:top w:val="nil"/>
              <w:left w:val="nil"/>
              <w:bottom w:val="nil"/>
              <w:right w:val="nil"/>
            </w:tcBorders>
          </w:tcPr>
          <w:p w14:paraId="672C87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0.0658***</w:t>
            </w:r>
          </w:p>
        </w:tc>
        <w:tc>
          <w:tcPr>
            <w:tcW w:w="837" w:type="pct"/>
            <w:tcBorders>
              <w:top w:val="nil"/>
              <w:left w:val="nil"/>
              <w:bottom w:val="nil"/>
              <w:right w:val="nil"/>
            </w:tcBorders>
          </w:tcPr>
          <w:p w14:paraId="326108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0.0285</w:t>
            </w:r>
          </w:p>
        </w:tc>
        <w:tc>
          <w:tcPr>
            <w:tcW w:w="731" w:type="pct"/>
            <w:tcBorders>
              <w:top w:val="nil"/>
              <w:left w:val="nil"/>
              <w:bottom w:val="nil"/>
              <w:right w:val="nil"/>
            </w:tcBorders>
          </w:tcPr>
          <w:p w14:paraId="4FA040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0.0591</w:t>
            </w:r>
          </w:p>
        </w:tc>
      </w:tr>
      <w:tr w:rsidR="00F00E3D" w:rsidRPr="00335312" w14:paraId="41893B12" w14:textId="77777777" w:rsidTr="009B2FA7">
        <w:trPr>
          <w:jc w:val="center"/>
        </w:trPr>
        <w:tc>
          <w:tcPr>
            <w:tcW w:w="1183" w:type="pct"/>
            <w:tcBorders>
              <w:top w:val="nil"/>
              <w:left w:val="nil"/>
              <w:bottom w:val="nil"/>
              <w:right w:val="nil"/>
            </w:tcBorders>
          </w:tcPr>
          <w:p w14:paraId="72E962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7E81A9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(12.24)</w:t>
            </w:r>
          </w:p>
        </w:tc>
        <w:tc>
          <w:tcPr>
            <w:tcW w:w="956" w:type="pct"/>
            <w:tcBorders>
              <w:top w:val="nil"/>
              <w:left w:val="nil"/>
              <w:bottom w:val="nil"/>
              <w:right w:val="nil"/>
            </w:tcBorders>
          </w:tcPr>
          <w:p w14:paraId="4F4F59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(11.00)</w:t>
            </w:r>
          </w:p>
        </w:tc>
        <w:tc>
          <w:tcPr>
            <w:tcW w:w="711" w:type="pct"/>
            <w:tcBorders>
              <w:top w:val="nil"/>
              <w:left w:val="nil"/>
              <w:bottom w:val="nil"/>
              <w:right w:val="nil"/>
            </w:tcBorders>
          </w:tcPr>
          <w:p w14:paraId="321651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(6.427)</w:t>
            </w:r>
          </w:p>
        </w:tc>
        <w:tc>
          <w:tcPr>
            <w:tcW w:w="837" w:type="pct"/>
            <w:tcBorders>
              <w:top w:val="nil"/>
              <w:left w:val="nil"/>
              <w:bottom w:val="nil"/>
              <w:right w:val="nil"/>
            </w:tcBorders>
          </w:tcPr>
          <w:p w14:paraId="1D3A04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(1.521)</w:t>
            </w:r>
          </w:p>
        </w:tc>
        <w:tc>
          <w:tcPr>
            <w:tcW w:w="731" w:type="pct"/>
            <w:tcBorders>
              <w:top w:val="nil"/>
              <w:left w:val="nil"/>
              <w:bottom w:val="nil"/>
              <w:right w:val="nil"/>
            </w:tcBorders>
          </w:tcPr>
          <w:p w14:paraId="55C354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(1.437)</w:t>
            </w:r>
          </w:p>
        </w:tc>
      </w:tr>
      <w:tr w:rsidR="00F00E3D" w:rsidRPr="00335312" w14:paraId="671E84D8" w14:textId="77777777" w:rsidTr="009B2FA7">
        <w:trPr>
          <w:jc w:val="center"/>
        </w:trPr>
        <w:tc>
          <w:tcPr>
            <w:tcW w:w="1183" w:type="pct"/>
            <w:tcBorders>
              <w:top w:val="nil"/>
              <w:left w:val="nil"/>
              <w:bottom w:val="nil"/>
              <w:right w:val="nil"/>
            </w:tcBorders>
          </w:tcPr>
          <w:p w14:paraId="48AC0A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2017.year#5.month</w:t>
            </w:r>
          </w:p>
        </w:tc>
        <w:tc>
          <w:tcPr>
            <w:tcW w:w="582" w:type="pct"/>
            <w:tcBorders>
              <w:top w:val="nil"/>
              <w:left w:val="nil"/>
              <w:bottom w:val="nil"/>
              <w:right w:val="nil"/>
            </w:tcBorders>
          </w:tcPr>
          <w:p w14:paraId="0B2D6F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0.0673***</w:t>
            </w:r>
          </w:p>
        </w:tc>
        <w:tc>
          <w:tcPr>
            <w:tcW w:w="956" w:type="pct"/>
            <w:tcBorders>
              <w:top w:val="nil"/>
              <w:left w:val="nil"/>
              <w:bottom w:val="nil"/>
              <w:right w:val="nil"/>
            </w:tcBorders>
          </w:tcPr>
          <w:p w14:paraId="690892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0.0766***</w:t>
            </w:r>
          </w:p>
        </w:tc>
        <w:tc>
          <w:tcPr>
            <w:tcW w:w="711" w:type="pct"/>
            <w:tcBorders>
              <w:top w:val="nil"/>
              <w:left w:val="nil"/>
              <w:bottom w:val="nil"/>
              <w:right w:val="nil"/>
            </w:tcBorders>
          </w:tcPr>
          <w:p w14:paraId="08E116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0.0499***</w:t>
            </w:r>
          </w:p>
        </w:tc>
        <w:tc>
          <w:tcPr>
            <w:tcW w:w="837" w:type="pct"/>
            <w:tcBorders>
              <w:top w:val="nil"/>
              <w:left w:val="nil"/>
              <w:bottom w:val="nil"/>
              <w:right w:val="nil"/>
            </w:tcBorders>
          </w:tcPr>
          <w:p w14:paraId="3E2F8C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0.0616***</w:t>
            </w:r>
          </w:p>
        </w:tc>
        <w:tc>
          <w:tcPr>
            <w:tcW w:w="731" w:type="pct"/>
            <w:tcBorders>
              <w:top w:val="nil"/>
              <w:left w:val="nil"/>
              <w:bottom w:val="nil"/>
              <w:right w:val="nil"/>
            </w:tcBorders>
          </w:tcPr>
          <w:p w14:paraId="413346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0.0874**</w:t>
            </w:r>
          </w:p>
        </w:tc>
      </w:tr>
      <w:tr w:rsidR="00F00E3D" w:rsidRPr="00335312" w14:paraId="49906B02" w14:textId="77777777" w:rsidTr="009B2FA7">
        <w:trPr>
          <w:jc w:val="center"/>
        </w:trPr>
        <w:tc>
          <w:tcPr>
            <w:tcW w:w="1183" w:type="pct"/>
            <w:tcBorders>
              <w:top w:val="nil"/>
              <w:left w:val="nil"/>
              <w:bottom w:val="nil"/>
              <w:right w:val="nil"/>
            </w:tcBorders>
          </w:tcPr>
          <w:p w14:paraId="18DB3B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2D816A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(8.855)</w:t>
            </w:r>
          </w:p>
        </w:tc>
        <w:tc>
          <w:tcPr>
            <w:tcW w:w="956" w:type="pct"/>
            <w:tcBorders>
              <w:top w:val="nil"/>
              <w:left w:val="nil"/>
              <w:bottom w:val="nil"/>
              <w:right w:val="nil"/>
            </w:tcBorders>
          </w:tcPr>
          <w:p w14:paraId="58DACD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(13.03)</w:t>
            </w:r>
          </w:p>
        </w:tc>
        <w:tc>
          <w:tcPr>
            <w:tcW w:w="711" w:type="pct"/>
            <w:tcBorders>
              <w:top w:val="nil"/>
              <w:left w:val="nil"/>
              <w:bottom w:val="nil"/>
              <w:right w:val="nil"/>
            </w:tcBorders>
          </w:tcPr>
          <w:p w14:paraId="5D1AC9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(3.796)</w:t>
            </w:r>
          </w:p>
        </w:tc>
        <w:tc>
          <w:tcPr>
            <w:tcW w:w="837" w:type="pct"/>
            <w:tcBorders>
              <w:top w:val="nil"/>
              <w:left w:val="nil"/>
              <w:bottom w:val="nil"/>
              <w:right w:val="nil"/>
            </w:tcBorders>
          </w:tcPr>
          <w:p w14:paraId="67C05D5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(4.732)</w:t>
            </w:r>
          </w:p>
        </w:tc>
        <w:tc>
          <w:tcPr>
            <w:tcW w:w="731" w:type="pct"/>
            <w:tcBorders>
              <w:top w:val="nil"/>
              <w:left w:val="nil"/>
              <w:bottom w:val="nil"/>
              <w:right w:val="nil"/>
            </w:tcBorders>
          </w:tcPr>
          <w:p w14:paraId="59CA86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(6.567)</w:t>
            </w:r>
          </w:p>
        </w:tc>
      </w:tr>
      <w:tr w:rsidR="00F00E3D" w:rsidRPr="00335312" w14:paraId="1044C435" w14:textId="77777777" w:rsidTr="009B2FA7">
        <w:trPr>
          <w:jc w:val="center"/>
        </w:trPr>
        <w:tc>
          <w:tcPr>
            <w:tcW w:w="1183" w:type="pct"/>
            <w:tcBorders>
              <w:top w:val="nil"/>
              <w:left w:val="nil"/>
              <w:bottom w:val="nil"/>
              <w:right w:val="nil"/>
            </w:tcBorders>
          </w:tcPr>
          <w:p w14:paraId="4465F66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2017.year#6.month</w:t>
            </w:r>
          </w:p>
        </w:tc>
        <w:tc>
          <w:tcPr>
            <w:tcW w:w="582" w:type="pct"/>
            <w:tcBorders>
              <w:top w:val="nil"/>
              <w:left w:val="nil"/>
              <w:bottom w:val="nil"/>
              <w:right w:val="nil"/>
            </w:tcBorders>
          </w:tcPr>
          <w:p w14:paraId="16ABB7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0.0781***</w:t>
            </w:r>
          </w:p>
        </w:tc>
        <w:tc>
          <w:tcPr>
            <w:tcW w:w="956" w:type="pct"/>
            <w:tcBorders>
              <w:top w:val="nil"/>
              <w:left w:val="nil"/>
              <w:bottom w:val="nil"/>
              <w:right w:val="nil"/>
            </w:tcBorders>
          </w:tcPr>
          <w:p w14:paraId="54AA6AC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0.0803***</w:t>
            </w:r>
          </w:p>
        </w:tc>
        <w:tc>
          <w:tcPr>
            <w:tcW w:w="711" w:type="pct"/>
            <w:tcBorders>
              <w:top w:val="nil"/>
              <w:left w:val="nil"/>
              <w:bottom w:val="nil"/>
              <w:right w:val="nil"/>
            </w:tcBorders>
          </w:tcPr>
          <w:p w14:paraId="28D0567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0.0700***</w:t>
            </w:r>
          </w:p>
        </w:tc>
        <w:tc>
          <w:tcPr>
            <w:tcW w:w="837" w:type="pct"/>
            <w:tcBorders>
              <w:top w:val="nil"/>
              <w:left w:val="nil"/>
              <w:bottom w:val="nil"/>
              <w:right w:val="nil"/>
            </w:tcBorders>
          </w:tcPr>
          <w:p w14:paraId="5B9240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0.0772***</w:t>
            </w:r>
          </w:p>
        </w:tc>
        <w:tc>
          <w:tcPr>
            <w:tcW w:w="731" w:type="pct"/>
            <w:tcBorders>
              <w:top w:val="nil"/>
              <w:left w:val="nil"/>
              <w:bottom w:val="nil"/>
              <w:right w:val="nil"/>
            </w:tcBorders>
          </w:tcPr>
          <w:p w14:paraId="14C2CD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0.0598**</w:t>
            </w:r>
          </w:p>
        </w:tc>
      </w:tr>
      <w:tr w:rsidR="00F00E3D" w:rsidRPr="00335312" w14:paraId="12DF9026" w14:textId="77777777" w:rsidTr="009B2FA7">
        <w:trPr>
          <w:jc w:val="center"/>
        </w:trPr>
        <w:tc>
          <w:tcPr>
            <w:tcW w:w="1183" w:type="pct"/>
            <w:tcBorders>
              <w:top w:val="nil"/>
              <w:left w:val="nil"/>
              <w:bottom w:val="nil"/>
              <w:right w:val="nil"/>
            </w:tcBorders>
          </w:tcPr>
          <w:p w14:paraId="3927EE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C0249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(15.57)</w:t>
            </w:r>
          </w:p>
        </w:tc>
        <w:tc>
          <w:tcPr>
            <w:tcW w:w="956" w:type="pct"/>
            <w:tcBorders>
              <w:top w:val="nil"/>
              <w:left w:val="nil"/>
              <w:bottom w:val="nil"/>
              <w:right w:val="nil"/>
            </w:tcBorders>
          </w:tcPr>
          <w:p w14:paraId="0EC8CC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(13.74)</w:t>
            </w:r>
          </w:p>
        </w:tc>
        <w:tc>
          <w:tcPr>
            <w:tcW w:w="711" w:type="pct"/>
            <w:tcBorders>
              <w:top w:val="nil"/>
              <w:left w:val="nil"/>
              <w:bottom w:val="nil"/>
              <w:right w:val="nil"/>
            </w:tcBorders>
          </w:tcPr>
          <w:p w14:paraId="4857FB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(8.597)</w:t>
            </w:r>
          </w:p>
        </w:tc>
        <w:tc>
          <w:tcPr>
            <w:tcW w:w="837" w:type="pct"/>
            <w:tcBorders>
              <w:top w:val="nil"/>
              <w:left w:val="nil"/>
              <w:bottom w:val="nil"/>
              <w:right w:val="nil"/>
            </w:tcBorders>
          </w:tcPr>
          <w:p w14:paraId="7247AA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(3.374)</w:t>
            </w:r>
          </w:p>
        </w:tc>
        <w:tc>
          <w:tcPr>
            <w:tcW w:w="731" w:type="pct"/>
            <w:tcBorders>
              <w:top w:val="nil"/>
              <w:left w:val="nil"/>
              <w:bottom w:val="nil"/>
              <w:right w:val="nil"/>
            </w:tcBorders>
          </w:tcPr>
          <w:p w14:paraId="425A07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(5.708)</w:t>
            </w:r>
          </w:p>
        </w:tc>
      </w:tr>
      <w:tr w:rsidR="00F00E3D" w:rsidRPr="00335312" w14:paraId="7F5BCF7F" w14:textId="77777777" w:rsidTr="009B2FA7">
        <w:trPr>
          <w:jc w:val="center"/>
        </w:trPr>
        <w:tc>
          <w:tcPr>
            <w:tcW w:w="1183" w:type="pct"/>
            <w:tcBorders>
              <w:top w:val="nil"/>
              <w:left w:val="nil"/>
              <w:bottom w:val="nil"/>
              <w:right w:val="nil"/>
            </w:tcBorders>
          </w:tcPr>
          <w:p w14:paraId="25A9CD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2017.year#7.month</w:t>
            </w:r>
          </w:p>
        </w:tc>
        <w:tc>
          <w:tcPr>
            <w:tcW w:w="582" w:type="pct"/>
            <w:tcBorders>
              <w:top w:val="nil"/>
              <w:left w:val="nil"/>
              <w:bottom w:val="nil"/>
              <w:right w:val="nil"/>
            </w:tcBorders>
          </w:tcPr>
          <w:p w14:paraId="7E4E12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0.0785***</w:t>
            </w:r>
          </w:p>
        </w:tc>
        <w:tc>
          <w:tcPr>
            <w:tcW w:w="956" w:type="pct"/>
            <w:tcBorders>
              <w:top w:val="nil"/>
              <w:left w:val="nil"/>
              <w:bottom w:val="nil"/>
              <w:right w:val="nil"/>
            </w:tcBorders>
          </w:tcPr>
          <w:p w14:paraId="142020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0.0784***</w:t>
            </w:r>
          </w:p>
        </w:tc>
        <w:tc>
          <w:tcPr>
            <w:tcW w:w="711" w:type="pct"/>
            <w:tcBorders>
              <w:top w:val="nil"/>
              <w:left w:val="nil"/>
              <w:bottom w:val="nil"/>
              <w:right w:val="nil"/>
            </w:tcBorders>
          </w:tcPr>
          <w:p w14:paraId="2F8918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0.0793***</w:t>
            </w:r>
          </w:p>
        </w:tc>
        <w:tc>
          <w:tcPr>
            <w:tcW w:w="837" w:type="pct"/>
            <w:tcBorders>
              <w:top w:val="nil"/>
              <w:left w:val="nil"/>
              <w:bottom w:val="nil"/>
              <w:right w:val="nil"/>
            </w:tcBorders>
          </w:tcPr>
          <w:p w14:paraId="398BCE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0.0734***</w:t>
            </w:r>
          </w:p>
        </w:tc>
        <w:tc>
          <w:tcPr>
            <w:tcW w:w="731" w:type="pct"/>
            <w:tcBorders>
              <w:top w:val="nil"/>
              <w:left w:val="nil"/>
              <w:bottom w:val="nil"/>
              <w:right w:val="nil"/>
            </w:tcBorders>
          </w:tcPr>
          <w:p w14:paraId="438278A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0.0693**</w:t>
            </w:r>
          </w:p>
        </w:tc>
      </w:tr>
      <w:tr w:rsidR="00F00E3D" w:rsidRPr="00335312" w14:paraId="455AD3A1" w14:textId="77777777" w:rsidTr="009B2FA7">
        <w:trPr>
          <w:jc w:val="center"/>
        </w:trPr>
        <w:tc>
          <w:tcPr>
            <w:tcW w:w="1183" w:type="pct"/>
            <w:tcBorders>
              <w:top w:val="nil"/>
              <w:left w:val="nil"/>
              <w:bottom w:val="nil"/>
              <w:right w:val="nil"/>
            </w:tcBorders>
          </w:tcPr>
          <w:p w14:paraId="00342E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CF2601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(13.71)</w:t>
            </w:r>
          </w:p>
        </w:tc>
        <w:tc>
          <w:tcPr>
            <w:tcW w:w="956" w:type="pct"/>
            <w:tcBorders>
              <w:top w:val="nil"/>
              <w:left w:val="nil"/>
              <w:bottom w:val="nil"/>
              <w:right w:val="nil"/>
            </w:tcBorders>
          </w:tcPr>
          <w:p w14:paraId="295CC1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(11.43)</w:t>
            </w:r>
          </w:p>
        </w:tc>
        <w:tc>
          <w:tcPr>
            <w:tcW w:w="711" w:type="pct"/>
            <w:tcBorders>
              <w:top w:val="nil"/>
              <w:left w:val="nil"/>
              <w:bottom w:val="nil"/>
              <w:right w:val="nil"/>
            </w:tcBorders>
          </w:tcPr>
          <w:p w14:paraId="667532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(8.815)</w:t>
            </w:r>
          </w:p>
        </w:tc>
        <w:tc>
          <w:tcPr>
            <w:tcW w:w="837" w:type="pct"/>
            <w:tcBorders>
              <w:top w:val="nil"/>
              <w:left w:val="nil"/>
              <w:bottom w:val="nil"/>
              <w:right w:val="nil"/>
            </w:tcBorders>
          </w:tcPr>
          <w:p w14:paraId="391FA31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(3.431)</w:t>
            </w:r>
          </w:p>
        </w:tc>
        <w:tc>
          <w:tcPr>
            <w:tcW w:w="731" w:type="pct"/>
            <w:tcBorders>
              <w:top w:val="nil"/>
              <w:left w:val="nil"/>
              <w:bottom w:val="nil"/>
              <w:right w:val="nil"/>
            </w:tcBorders>
          </w:tcPr>
          <w:p w14:paraId="0DC122A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(8.073)</w:t>
            </w:r>
          </w:p>
        </w:tc>
      </w:tr>
      <w:tr w:rsidR="00F00E3D" w:rsidRPr="00335312" w14:paraId="3167A8A6" w14:textId="77777777" w:rsidTr="009B2FA7">
        <w:trPr>
          <w:jc w:val="center"/>
        </w:trPr>
        <w:tc>
          <w:tcPr>
            <w:tcW w:w="1183" w:type="pct"/>
            <w:tcBorders>
              <w:top w:val="nil"/>
              <w:left w:val="nil"/>
              <w:bottom w:val="nil"/>
              <w:right w:val="nil"/>
            </w:tcBorders>
          </w:tcPr>
          <w:p w14:paraId="4875B0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2017.year#8.month</w:t>
            </w:r>
          </w:p>
        </w:tc>
        <w:tc>
          <w:tcPr>
            <w:tcW w:w="582" w:type="pct"/>
            <w:tcBorders>
              <w:top w:val="nil"/>
              <w:left w:val="nil"/>
              <w:bottom w:val="nil"/>
              <w:right w:val="nil"/>
            </w:tcBorders>
          </w:tcPr>
          <w:p w14:paraId="65FF8B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0.0759***</w:t>
            </w:r>
          </w:p>
        </w:tc>
        <w:tc>
          <w:tcPr>
            <w:tcW w:w="956" w:type="pct"/>
            <w:tcBorders>
              <w:top w:val="nil"/>
              <w:left w:val="nil"/>
              <w:bottom w:val="nil"/>
              <w:right w:val="nil"/>
            </w:tcBorders>
          </w:tcPr>
          <w:p w14:paraId="1786C9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0.0758***</w:t>
            </w:r>
          </w:p>
        </w:tc>
        <w:tc>
          <w:tcPr>
            <w:tcW w:w="711" w:type="pct"/>
            <w:tcBorders>
              <w:top w:val="nil"/>
              <w:left w:val="nil"/>
              <w:bottom w:val="nil"/>
              <w:right w:val="nil"/>
            </w:tcBorders>
          </w:tcPr>
          <w:p w14:paraId="28F64B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0.0799***</w:t>
            </w:r>
          </w:p>
        </w:tc>
        <w:tc>
          <w:tcPr>
            <w:tcW w:w="837" w:type="pct"/>
            <w:tcBorders>
              <w:top w:val="nil"/>
              <w:left w:val="nil"/>
              <w:bottom w:val="nil"/>
              <w:right w:val="nil"/>
            </w:tcBorders>
          </w:tcPr>
          <w:p w14:paraId="0BAFC0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0.0679***</w:t>
            </w:r>
          </w:p>
        </w:tc>
        <w:tc>
          <w:tcPr>
            <w:tcW w:w="731" w:type="pct"/>
            <w:tcBorders>
              <w:top w:val="nil"/>
              <w:left w:val="nil"/>
              <w:bottom w:val="nil"/>
              <w:right w:val="nil"/>
            </w:tcBorders>
          </w:tcPr>
          <w:p w14:paraId="7084CA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0.105***</w:t>
            </w:r>
          </w:p>
        </w:tc>
      </w:tr>
      <w:tr w:rsidR="00F00E3D" w:rsidRPr="00335312" w14:paraId="4CBCC856" w14:textId="77777777" w:rsidTr="009B2FA7">
        <w:trPr>
          <w:jc w:val="center"/>
        </w:trPr>
        <w:tc>
          <w:tcPr>
            <w:tcW w:w="1183" w:type="pct"/>
            <w:tcBorders>
              <w:top w:val="nil"/>
              <w:left w:val="nil"/>
              <w:bottom w:val="nil"/>
              <w:right w:val="nil"/>
            </w:tcBorders>
          </w:tcPr>
          <w:p w14:paraId="70BDC7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3BA84D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(12.41)</w:t>
            </w:r>
          </w:p>
        </w:tc>
        <w:tc>
          <w:tcPr>
            <w:tcW w:w="956" w:type="pct"/>
            <w:tcBorders>
              <w:top w:val="nil"/>
              <w:left w:val="nil"/>
              <w:bottom w:val="nil"/>
              <w:right w:val="nil"/>
            </w:tcBorders>
          </w:tcPr>
          <w:p w14:paraId="42A9BC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(9.979)</w:t>
            </w:r>
          </w:p>
        </w:tc>
        <w:tc>
          <w:tcPr>
            <w:tcW w:w="711" w:type="pct"/>
            <w:tcBorders>
              <w:top w:val="nil"/>
              <w:left w:val="nil"/>
              <w:bottom w:val="nil"/>
              <w:right w:val="nil"/>
            </w:tcBorders>
          </w:tcPr>
          <w:p w14:paraId="04BB7D7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(7.756)</w:t>
            </w:r>
          </w:p>
        </w:tc>
        <w:tc>
          <w:tcPr>
            <w:tcW w:w="837" w:type="pct"/>
            <w:tcBorders>
              <w:top w:val="nil"/>
              <w:left w:val="nil"/>
              <w:bottom w:val="nil"/>
              <w:right w:val="nil"/>
            </w:tcBorders>
          </w:tcPr>
          <w:p w14:paraId="27C975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(4.757)</w:t>
            </w:r>
          </w:p>
        </w:tc>
        <w:tc>
          <w:tcPr>
            <w:tcW w:w="731" w:type="pct"/>
            <w:tcBorders>
              <w:top w:val="nil"/>
              <w:left w:val="nil"/>
              <w:bottom w:val="nil"/>
              <w:right w:val="nil"/>
            </w:tcBorders>
          </w:tcPr>
          <w:p w14:paraId="76B65A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(84.47)</w:t>
            </w:r>
          </w:p>
        </w:tc>
      </w:tr>
      <w:tr w:rsidR="00F00E3D" w:rsidRPr="00335312" w14:paraId="2F4FD210" w14:textId="77777777" w:rsidTr="009B2FA7">
        <w:trPr>
          <w:jc w:val="center"/>
        </w:trPr>
        <w:tc>
          <w:tcPr>
            <w:tcW w:w="1183" w:type="pct"/>
            <w:tcBorders>
              <w:top w:val="nil"/>
              <w:left w:val="nil"/>
              <w:bottom w:val="nil"/>
              <w:right w:val="nil"/>
            </w:tcBorders>
          </w:tcPr>
          <w:p w14:paraId="015E617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2017.year#9.month</w:t>
            </w:r>
          </w:p>
        </w:tc>
        <w:tc>
          <w:tcPr>
            <w:tcW w:w="582" w:type="pct"/>
            <w:tcBorders>
              <w:top w:val="nil"/>
              <w:left w:val="nil"/>
              <w:bottom w:val="nil"/>
              <w:right w:val="nil"/>
            </w:tcBorders>
          </w:tcPr>
          <w:p w14:paraId="1CCEAE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0.0765***</w:t>
            </w:r>
          </w:p>
        </w:tc>
        <w:tc>
          <w:tcPr>
            <w:tcW w:w="956" w:type="pct"/>
            <w:tcBorders>
              <w:top w:val="nil"/>
              <w:left w:val="nil"/>
              <w:bottom w:val="nil"/>
              <w:right w:val="nil"/>
            </w:tcBorders>
          </w:tcPr>
          <w:p w14:paraId="4009909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0.0786***</w:t>
            </w:r>
          </w:p>
        </w:tc>
        <w:tc>
          <w:tcPr>
            <w:tcW w:w="711" w:type="pct"/>
            <w:tcBorders>
              <w:top w:val="nil"/>
              <w:left w:val="nil"/>
              <w:bottom w:val="nil"/>
              <w:right w:val="nil"/>
            </w:tcBorders>
          </w:tcPr>
          <w:p w14:paraId="49FD9E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0.0707***</w:t>
            </w:r>
          </w:p>
        </w:tc>
        <w:tc>
          <w:tcPr>
            <w:tcW w:w="837" w:type="pct"/>
            <w:tcBorders>
              <w:top w:val="nil"/>
              <w:left w:val="nil"/>
              <w:bottom w:val="nil"/>
              <w:right w:val="nil"/>
            </w:tcBorders>
          </w:tcPr>
          <w:p w14:paraId="21C1223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0.0830***</w:t>
            </w:r>
          </w:p>
        </w:tc>
        <w:tc>
          <w:tcPr>
            <w:tcW w:w="731" w:type="pct"/>
            <w:tcBorders>
              <w:top w:val="nil"/>
              <w:left w:val="nil"/>
              <w:bottom w:val="nil"/>
              <w:right w:val="nil"/>
            </w:tcBorders>
          </w:tcPr>
          <w:p w14:paraId="094B783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0.0849</w:t>
            </w:r>
          </w:p>
        </w:tc>
      </w:tr>
      <w:tr w:rsidR="00F00E3D" w:rsidRPr="00335312" w14:paraId="600369B1" w14:textId="77777777" w:rsidTr="009B2FA7">
        <w:trPr>
          <w:jc w:val="center"/>
        </w:trPr>
        <w:tc>
          <w:tcPr>
            <w:tcW w:w="1183" w:type="pct"/>
            <w:tcBorders>
              <w:top w:val="nil"/>
              <w:left w:val="nil"/>
              <w:bottom w:val="nil"/>
              <w:right w:val="nil"/>
            </w:tcBorders>
          </w:tcPr>
          <w:p w14:paraId="243A81D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7394AA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(11.83)</w:t>
            </w:r>
          </w:p>
        </w:tc>
        <w:tc>
          <w:tcPr>
            <w:tcW w:w="956" w:type="pct"/>
            <w:tcBorders>
              <w:top w:val="nil"/>
              <w:left w:val="nil"/>
              <w:bottom w:val="nil"/>
              <w:right w:val="nil"/>
            </w:tcBorders>
          </w:tcPr>
          <w:p w14:paraId="2968E7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(9.939)</w:t>
            </w:r>
          </w:p>
        </w:tc>
        <w:tc>
          <w:tcPr>
            <w:tcW w:w="711" w:type="pct"/>
            <w:tcBorders>
              <w:top w:val="nil"/>
              <w:left w:val="nil"/>
              <w:bottom w:val="nil"/>
              <w:right w:val="nil"/>
            </w:tcBorders>
          </w:tcPr>
          <w:p w14:paraId="3880CE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(8.951)</w:t>
            </w:r>
          </w:p>
        </w:tc>
        <w:tc>
          <w:tcPr>
            <w:tcW w:w="837" w:type="pct"/>
            <w:tcBorders>
              <w:top w:val="nil"/>
              <w:left w:val="nil"/>
              <w:bottom w:val="nil"/>
              <w:right w:val="nil"/>
            </w:tcBorders>
          </w:tcPr>
          <w:p w14:paraId="408C42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(5.629)</w:t>
            </w:r>
          </w:p>
        </w:tc>
        <w:tc>
          <w:tcPr>
            <w:tcW w:w="731" w:type="pct"/>
            <w:tcBorders>
              <w:top w:val="nil"/>
              <w:left w:val="nil"/>
              <w:bottom w:val="nil"/>
              <w:right w:val="nil"/>
            </w:tcBorders>
          </w:tcPr>
          <w:p w14:paraId="5FE144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(2.068)</w:t>
            </w:r>
          </w:p>
        </w:tc>
      </w:tr>
      <w:tr w:rsidR="00F00E3D" w:rsidRPr="00335312" w14:paraId="6C14F09C" w14:textId="77777777" w:rsidTr="009B2FA7">
        <w:trPr>
          <w:jc w:val="center"/>
        </w:trPr>
        <w:tc>
          <w:tcPr>
            <w:tcW w:w="1183" w:type="pct"/>
            <w:tcBorders>
              <w:top w:val="nil"/>
              <w:left w:val="nil"/>
              <w:bottom w:val="nil"/>
              <w:right w:val="nil"/>
            </w:tcBorders>
          </w:tcPr>
          <w:p w14:paraId="7DFA98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2017.year#10.month</w:t>
            </w:r>
          </w:p>
        </w:tc>
        <w:tc>
          <w:tcPr>
            <w:tcW w:w="582" w:type="pct"/>
            <w:tcBorders>
              <w:top w:val="nil"/>
              <w:left w:val="nil"/>
              <w:bottom w:val="nil"/>
              <w:right w:val="nil"/>
            </w:tcBorders>
          </w:tcPr>
          <w:p w14:paraId="11B8266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0.0648***</w:t>
            </w:r>
          </w:p>
        </w:tc>
        <w:tc>
          <w:tcPr>
            <w:tcW w:w="956" w:type="pct"/>
            <w:tcBorders>
              <w:top w:val="nil"/>
              <w:left w:val="nil"/>
              <w:bottom w:val="nil"/>
              <w:right w:val="nil"/>
            </w:tcBorders>
          </w:tcPr>
          <w:p w14:paraId="60A561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0.0654***</w:t>
            </w:r>
          </w:p>
        </w:tc>
        <w:tc>
          <w:tcPr>
            <w:tcW w:w="711" w:type="pct"/>
            <w:tcBorders>
              <w:top w:val="nil"/>
              <w:left w:val="nil"/>
              <w:bottom w:val="nil"/>
              <w:right w:val="nil"/>
            </w:tcBorders>
          </w:tcPr>
          <w:p w14:paraId="43AAC9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0.0682***</w:t>
            </w:r>
          </w:p>
        </w:tc>
        <w:tc>
          <w:tcPr>
            <w:tcW w:w="837" w:type="pct"/>
            <w:tcBorders>
              <w:top w:val="nil"/>
              <w:left w:val="nil"/>
              <w:bottom w:val="nil"/>
              <w:right w:val="nil"/>
            </w:tcBorders>
          </w:tcPr>
          <w:p w14:paraId="0A058A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0.0602***</w:t>
            </w:r>
          </w:p>
        </w:tc>
        <w:tc>
          <w:tcPr>
            <w:tcW w:w="731" w:type="pct"/>
            <w:tcBorders>
              <w:top w:val="nil"/>
              <w:left w:val="nil"/>
              <w:bottom w:val="nil"/>
              <w:right w:val="nil"/>
            </w:tcBorders>
          </w:tcPr>
          <w:p w14:paraId="119715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0.0597</w:t>
            </w:r>
          </w:p>
        </w:tc>
      </w:tr>
      <w:tr w:rsidR="00F00E3D" w:rsidRPr="00335312" w14:paraId="1A947F28" w14:textId="77777777" w:rsidTr="009B2FA7">
        <w:trPr>
          <w:jc w:val="center"/>
        </w:trPr>
        <w:tc>
          <w:tcPr>
            <w:tcW w:w="1183" w:type="pct"/>
            <w:tcBorders>
              <w:top w:val="nil"/>
              <w:left w:val="nil"/>
              <w:bottom w:val="nil"/>
              <w:right w:val="nil"/>
            </w:tcBorders>
          </w:tcPr>
          <w:p w14:paraId="7A5F7B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3C1278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(16.87)</w:t>
            </w:r>
          </w:p>
        </w:tc>
        <w:tc>
          <w:tcPr>
            <w:tcW w:w="956" w:type="pct"/>
            <w:tcBorders>
              <w:top w:val="nil"/>
              <w:left w:val="nil"/>
              <w:bottom w:val="nil"/>
              <w:right w:val="nil"/>
            </w:tcBorders>
          </w:tcPr>
          <w:p w14:paraId="2B9489B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(14.84)</w:t>
            </w:r>
          </w:p>
        </w:tc>
        <w:tc>
          <w:tcPr>
            <w:tcW w:w="711" w:type="pct"/>
            <w:tcBorders>
              <w:top w:val="nil"/>
              <w:left w:val="nil"/>
              <w:bottom w:val="nil"/>
              <w:right w:val="nil"/>
            </w:tcBorders>
          </w:tcPr>
          <w:p w14:paraId="7C7479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(8.631)</w:t>
            </w:r>
          </w:p>
        </w:tc>
        <w:tc>
          <w:tcPr>
            <w:tcW w:w="837" w:type="pct"/>
            <w:tcBorders>
              <w:top w:val="nil"/>
              <w:left w:val="nil"/>
              <w:bottom w:val="nil"/>
              <w:right w:val="nil"/>
            </w:tcBorders>
          </w:tcPr>
          <w:p w14:paraId="1B72FB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(3.014)</w:t>
            </w:r>
          </w:p>
        </w:tc>
        <w:tc>
          <w:tcPr>
            <w:tcW w:w="731" w:type="pct"/>
            <w:tcBorders>
              <w:top w:val="nil"/>
              <w:left w:val="nil"/>
              <w:bottom w:val="nil"/>
              <w:right w:val="nil"/>
            </w:tcBorders>
          </w:tcPr>
          <w:p w14:paraId="252F17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(2.843)</w:t>
            </w:r>
          </w:p>
        </w:tc>
      </w:tr>
      <w:tr w:rsidR="00F00E3D" w:rsidRPr="00335312" w14:paraId="5E2DCF87" w14:textId="77777777" w:rsidTr="009B2FA7">
        <w:trPr>
          <w:jc w:val="center"/>
        </w:trPr>
        <w:tc>
          <w:tcPr>
            <w:tcW w:w="1183" w:type="pct"/>
            <w:tcBorders>
              <w:top w:val="nil"/>
              <w:left w:val="nil"/>
              <w:bottom w:val="nil"/>
              <w:right w:val="nil"/>
            </w:tcBorders>
          </w:tcPr>
          <w:p w14:paraId="4DDED9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2017.year#11.month</w:t>
            </w:r>
          </w:p>
        </w:tc>
        <w:tc>
          <w:tcPr>
            <w:tcW w:w="582" w:type="pct"/>
            <w:tcBorders>
              <w:top w:val="nil"/>
              <w:left w:val="nil"/>
              <w:bottom w:val="nil"/>
              <w:right w:val="nil"/>
            </w:tcBorders>
          </w:tcPr>
          <w:p w14:paraId="795677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0.0719***</w:t>
            </w:r>
          </w:p>
        </w:tc>
        <w:tc>
          <w:tcPr>
            <w:tcW w:w="956" w:type="pct"/>
            <w:tcBorders>
              <w:top w:val="nil"/>
              <w:left w:val="nil"/>
              <w:bottom w:val="nil"/>
              <w:right w:val="nil"/>
            </w:tcBorders>
          </w:tcPr>
          <w:p w14:paraId="0524BE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0.0729***</w:t>
            </w:r>
          </w:p>
        </w:tc>
        <w:tc>
          <w:tcPr>
            <w:tcW w:w="711" w:type="pct"/>
            <w:tcBorders>
              <w:top w:val="nil"/>
              <w:left w:val="nil"/>
              <w:bottom w:val="nil"/>
              <w:right w:val="nil"/>
            </w:tcBorders>
          </w:tcPr>
          <w:p w14:paraId="6DAB01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0.0713***</w:t>
            </w:r>
          </w:p>
        </w:tc>
        <w:tc>
          <w:tcPr>
            <w:tcW w:w="837" w:type="pct"/>
            <w:tcBorders>
              <w:top w:val="nil"/>
              <w:left w:val="nil"/>
              <w:bottom w:val="nil"/>
              <w:right w:val="nil"/>
            </w:tcBorders>
          </w:tcPr>
          <w:p w14:paraId="546CBA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0.0551***</w:t>
            </w:r>
          </w:p>
        </w:tc>
        <w:tc>
          <w:tcPr>
            <w:tcW w:w="731" w:type="pct"/>
            <w:tcBorders>
              <w:top w:val="nil"/>
              <w:left w:val="nil"/>
              <w:bottom w:val="nil"/>
              <w:right w:val="nil"/>
            </w:tcBorders>
          </w:tcPr>
          <w:p w14:paraId="6A47C3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0.0734</w:t>
            </w:r>
          </w:p>
        </w:tc>
      </w:tr>
      <w:tr w:rsidR="00F00E3D" w:rsidRPr="00335312" w14:paraId="1F724C85" w14:textId="77777777" w:rsidTr="009B2FA7">
        <w:trPr>
          <w:jc w:val="center"/>
        </w:trPr>
        <w:tc>
          <w:tcPr>
            <w:tcW w:w="1183" w:type="pct"/>
            <w:tcBorders>
              <w:top w:val="nil"/>
              <w:left w:val="nil"/>
              <w:bottom w:val="nil"/>
              <w:right w:val="nil"/>
            </w:tcBorders>
          </w:tcPr>
          <w:p w14:paraId="1E7F57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163A20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(16.77)</w:t>
            </w:r>
          </w:p>
        </w:tc>
        <w:tc>
          <w:tcPr>
            <w:tcW w:w="956" w:type="pct"/>
            <w:tcBorders>
              <w:top w:val="nil"/>
              <w:left w:val="nil"/>
              <w:bottom w:val="nil"/>
              <w:right w:val="nil"/>
            </w:tcBorders>
          </w:tcPr>
          <w:p w14:paraId="4F0365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(14.61)</w:t>
            </w:r>
          </w:p>
        </w:tc>
        <w:tc>
          <w:tcPr>
            <w:tcW w:w="711" w:type="pct"/>
            <w:tcBorders>
              <w:top w:val="nil"/>
              <w:left w:val="nil"/>
              <w:bottom w:val="nil"/>
              <w:right w:val="nil"/>
            </w:tcBorders>
          </w:tcPr>
          <w:p w14:paraId="504F7B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(9.458)</w:t>
            </w:r>
          </w:p>
        </w:tc>
        <w:tc>
          <w:tcPr>
            <w:tcW w:w="837" w:type="pct"/>
            <w:tcBorders>
              <w:top w:val="nil"/>
              <w:left w:val="nil"/>
              <w:bottom w:val="nil"/>
              <w:right w:val="nil"/>
            </w:tcBorders>
          </w:tcPr>
          <w:p w14:paraId="1453DC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(3.111)</w:t>
            </w:r>
          </w:p>
        </w:tc>
        <w:tc>
          <w:tcPr>
            <w:tcW w:w="731" w:type="pct"/>
            <w:tcBorders>
              <w:top w:val="nil"/>
              <w:left w:val="nil"/>
              <w:bottom w:val="nil"/>
              <w:right w:val="nil"/>
            </w:tcBorders>
          </w:tcPr>
          <w:p w14:paraId="704844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(1.840)</w:t>
            </w:r>
          </w:p>
        </w:tc>
      </w:tr>
      <w:tr w:rsidR="00F00E3D" w:rsidRPr="00335312" w14:paraId="192DBB8D" w14:textId="77777777" w:rsidTr="009B2FA7">
        <w:trPr>
          <w:jc w:val="center"/>
        </w:trPr>
        <w:tc>
          <w:tcPr>
            <w:tcW w:w="1183" w:type="pct"/>
            <w:tcBorders>
              <w:top w:val="nil"/>
              <w:left w:val="nil"/>
              <w:bottom w:val="nil"/>
              <w:right w:val="nil"/>
            </w:tcBorders>
          </w:tcPr>
          <w:p w14:paraId="7EEE43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2017.year#12.month</w:t>
            </w:r>
          </w:p>
        </w:tc>
        <w:tc>
          <w:tcPr>
            <w:tcW w:w="582" w:type="pct"/>
            <w:tcBorders>
              <w:top w:val="nil"/>
              <w:left w:val="nil"/>
              <w:bottom w:val="nil"/>
              <w:right w:val="nil"/>
            </w:tcBorders>
          </w:tcPr>
          <w:p w14:paraId="159FDC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0.0751***</w:t>
            </w:r>
          </w:p>
        </w:tc>
        <w:tc>
          <w:tcPr>
            <w:tcW w:w="956" w:type="pct"/>
            <w:tcBorders>
              <w:top w:val="nil"/>
              <w:left w:val="nil"/>
              <w:bottom w:val="nil"/>
              <w:right w:val="nil"/>
            </w:tcBorders>
          </w:tcPr>
          <w:p w14:paraId="30DE60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0.0772***</w:t>
            </w:r>
          </w:p>
        </w:tc>
        <w:tc>
          <w:tcPr>
            <w:tcW w:w="711" w:type="pct"/>
            <w:tcBorders>
              <w:top w:val="nil"/>
              <w:left w:val="nil"/>
              <w:bottom w:val="nil"/>
              <w:right w:val="nil"/>
            </w:tcBorders>
          </w:tcPr>
          <w:p w14:paraId="5E1997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0.0715***</w:t>
            </w:r>
          </w:p>
        </w:tc>
        <w:tc>
          <w:tcPr>
            <w:tcW w:w="837" w:type="pct"/>
            <w:tcBorders>
              <w:top w:val="nil"/>
              <w:left w:val="nil"/>
              <w:bottom w:val="nil"/>
              <w:right w:val="nil"/>
            </w:tcBorders>
          </w:tcPr>
          <w:p w14:paraId="16DE32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0.0710***</w:t>
            </w:r>
          </w:p>
        </w:tc>
        <w:tc>
          <w:tcPr>
            <w:tcW w:w="731" w:type="pct"/>
            <w:tcBorders>
              <w:top w:val="nil"/>
              <w:left w:val="nil"/>
              <w:bottom w:val="nil"/>
              <w:right w:val="nil"/>
            </w:tcBorders>
          </w:tcPr>
          <w:p w14:paraId="653ABB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0.0308</w:t>
            </w:r>
          </w:p>
        </w:tc>
      </w:tr>
      <w:tr w:rsidR="00F00E3D" w:rsidRPr="00335312" w14:paraId="126DCD29" w14:textId="77777777" w:rsidTr="009B2FA7">
        <w:trPr>
          <w:jc w:val="center"/>
        </w:trPr>
        <w:tc>
          <w:tcPr>
            <w:tcW w:w="1183" w:type="pct"/>
            <w:tcBorders>
              <w:top w:val="nil"/>
              <w:left w:val="nil"/>
              <w:bottom w:val="nil"/>
              <w:right w:val="nil"/>
            </w:tcBorders>
          </w:tcPr>
          <w:p w14:paraId="0A80C0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0853A2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(9.060)</w:t>
            </w:r>
          </w:p>
        </w:tc>
        <w:tc>
          <w:tcPr>
            <w:tcW w:w="956" w:type="pct"/>
            <w:tcBorders>
              <w:top w:val="nil"/>
              <w:left w:val="nil"/>
              <w:bottom w:val="nil"/>
              <w:right w:val="nil"/>
            </w:tcBorders>
          </w:tcPr>
          <w:p w14:paraId="0B7C16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(7.585)</w:t>
            </w:r>
          </w:p>
        </w:tc>
        <w:tc>
          <w:tcPr>
            <w:tcW w:w="711" w:type="pct"/>
            <w:tcBorders>
              <w:top w:val="nil"/>
              <w:left w:val="nil"/>
              <w:bottom w:val="nil"/>
              <w:right w:val="nil"/>
            </w:tcBorders>
          </w:tcPr>
          <w:p w14:paraId="32828C2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(8.010)</w:t>
            </w:r>
          </w:p>
        </w:tc>
        <w:tc>
          <w:tcPr>
            <w:tcW w:w="837" w:type="pct"/>
            <w:tcBorders>
              <w:top w:val="nil"/>
              <w:left w:val="nil"/>
              <w:bottom w:val="nil"/>
              <w:right w:val="nil"/>
            </w:tcBorders>
          </w:tcPr>
          <w:p w14:paraId="5547DF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(3.901)</w:t>
            </w:r>
          </w:p>
        </w:tc>
        <w:tc>
          <w:tcPr>
            <w:tcW w:w="731" w:type="pct"/>
            <w:tcBorders>
              <w:top w:val="nil"/>
              <w:left w:val="nil"/>
              <w:bottom w:val="nil"/>
              <w:right w:val="nil"/>
            </w:tcBorders>
          </w:tcPr>
          <w:p w14:paraId="415FC7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(2.370)</w:t>
            </w:r>
          </w:p>
        </w:tc>
      </w:tr>
      <w:tr w:rsidR="00F00E3D" w:rsidRPr="00335312" w14:paraId="2DAE4654" w14:textId="77777777" w:rsidTr="009B2FA7">
        <w:trPr>
          <w:jc w:val="center"/>
        </w:trPr>
        <w:tc>
          <w:tcPr>
            <w:tcW w:w="1183" w:type="pct"/>
            <w:tcBorders>
              <w:top w:val="nil"/>
              <w:left w:val="nil"/>
              <w:bottom w:val="nil"/>
              <w:right w:val="nil"/>
            </w:tcBorders>
          </w:tcPr>
          <w:p w14:paraId="19645ED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lastRenderedPageBreak/>
              <w:t>2018.year#1.month</w:t>
            </w:r>
          </w:p>
        </w:tc>
        <w:tc>
          <w:tcPr>
            <w:tcW w:w="582" w:type="pct"/>
            <w:tcBorders>
              <w:top w:val="nil"/>
              <w:left w:val="nil"/>
              <w:bottom w:val="nil"/>
              <w:right w:val="nil"/>
            </w:tcBorders>
          </w:tcPr>
          <w:p w14:paraId="3A97E3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0.0820***</w:t>
            </w:r>
          </w:p>
        </w:tc>
        <w:tc>
          <w:tcPr>
            <w:tcW w:w="956" w:type="pct"/>
            <w:tcBorders>
              <w:top w:val="nil"/>
              <w:left w:val="nil"/>
              <w:bottom w:val="nil"/>
              <w:right w:val="nil"/>
            </w:tcBorders>
          </w:tcPr>
          <w:p w14:paraId="700F07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0.0810***</w:t>
            </w:r>
          </w:p>
        </w:tc>
        <w:tc>
          <w:tcPr>
            <w:tcW w:w="711" w:type="pct"/>
            <w:tcBorders>
              <w:top w:val="nil"/>
              <w:left w:val="nil"/>
              <w:bottom w:val="nil"/>
              <w:right w:val="nil"/>
            </w:tcBorders>
          </w:tcPr>
          <w:p w14:paraId="0BAA6E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0.0889***</w:t>
            </w:r>
          </w:p>
        </w:tc>
        <w:tc>
          <w:tcPr>
            <w:tcW w:w="837" w:type="pct"/>
            <w:tcBorders>
              <w:top w:val="nil"/>
              <w:left w:val="nil"/>
              <w:bottom w:val="nil"/>
              <w:right w:val="nil"/>
            </w:tcBorders>
          </w:tcPr>
          <w:p w14:paraId="246F64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0.0737***</w:t>
            </w:r>
          </w:p>
        </w:tc>
        <w:tc>
          <w:tcPr>
            <w:tcW w:w="731" w:type="pct"/>
            <w:tcBorders>
              <w:top w:val="nil"/>
              <w:left w:val="nil"/>
              <w:bottom w:val="nil"/>
              <w:right w:val="nil"/>
            </w:tcBorders>
          </w:tcPr>
          <w:p w14:paraId="607619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0.113**</w:t>
            </w:r>
          </w:p>
        </w:tc>
      </w:tr>
      <w:tr w:rsidR="00F00E3D" w:rsidRPr="00335312" w14:paraId="5CFFD3C3" w14:textId="77777777" w:rsidTr="009B2FA7">
        <w:trPr>
          <w:jc w:val="center"/>
        </w:trPr>
        <w:tc>
          <w:tcPr>
            <w:tcW w:w="1183" w:type="pct"/>
            <w:tcBorders>
              <w:top w:val="nil"/>
              <w:left w:val="nil"/>
              <w:bottom w:val="nil"/>
              <w:right w:val="nil"/>
            </w:tcBorders>
          </w:tcPr>
          <w:p w14:paraId="11CCC15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7722ACC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(13.00)</w:t>
            </w:r>
          </w:p>
        </w:tc>
        <w:tc>
          <w:tcPr>
            <w:tcW w:w="956" w:type="pct"/>
            <w:tcBorders>
              <w:top w:val="nil"/>
              <w:left w:val="nil"/>
              <w:bottom w:val="nil"/>
              <w:right w:val="nil"/>
            </w:tcBorders>
          </w:tcPr>
          <w:p w14:paraId="084B3DA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(10.93)</w:t>
            </w:r>
          </w:p>
        </w:tc>
        <w:tc>
          <w:tcPr>
            <w:tcW w:w="711" w:type="pct"/>
            <w:tcBorders>
              <w:top w:val="nil"/>
              <w:left w:val="nil"/>
              <w:bottom w:val="nil"/>
              <w:right w:val="nil"/>
            </w:tcBorders>
          </w:tcPr>
          <w:p w14:paraId="49886D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(9.211)</w:t>
            </w:r>
          </w:p>
        </w:tc>
        <w:tc>
          <w:tcPr>
            <w:tcW w:w="837" w:type="pct"/>
            <w:tcBorders>
              <w:top w:val="nil"/>
              <w:left w:val="nil"/>
              <w:bottom w:val="nil"/>
              <w:right w:val="nil"/>
            </w:tcBorders>
          </w:tcPr>
          <w:p w14:paraId="11CC9F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(4.802)</w:t>
            </w:r>
          </w:p>
        </w:tc>
        <w:tc>
          <w:tcPr>
            <w:tcW w:w="731" w:type="pct"/>
            <w:tcBorders>
              <w:top w:val="nil"/>
              <w:left w:val="nil"/>
              <w:bottom w:val="nil"/>
              <w:right w:val="nil"/>
            </w:tcBorders>
          </w:tcPr>
          <w:p w14:paraId="722052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(7.678)</w:t>
            </w:r>
          </w:p>
        </w:tc>
      </w:tr>
      <w:tr w:rsidR="00F00E3D" w:rsidRPr="00335312" w14:paraId="7240A255" w14:textId="77777777" w:rsidTr="009B2FA7">
        <w:trPr>
          <w:jc w:val="center"/>
        </w:trPr>
        <w:tc>
          <w:tcPr>
            <w:tcW w:w="1183" w:type="pct"/>
            <w:tcBorders>
              <w:top w:val="nil"/>
              <w:left w:val="nil"/>
              <w:bottom w:val="nil"/>
              <w:right w:val="nil"/>
            </w:tcBorders>
          </w:tcPr>
          <w:p w14:paraId="5D6BC5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2018.year#2.month</w:t>
            </w:r>
          </w:p>
        </w:tc>
        <w:tc>
          <w:tcPr>
            <w:tcW w:w="582" w:type="pct"/>
            <w:tcBorders>
              <w:top w:val="nil"/>
              <w:left w:val="nil"/>
              <w:bottom w:val="nil"/>
              <w:right w:val="nil"/>
            </w:tcBorders>
          </w:tcPr>
          <w:p w14:paraId="0A7F85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0.0935***</w:t>
            </w:r>
          </w:p>
        </w:tc>
        <w:tc>
          <w:tcPr>
            <w:tcW w:w="956" w:type="pct"/>
            <w:tcBorders>
              <w:top w:val="nil"/>
              <w:left w:val="nil"/>
              <w:bottom w:val="nil"/>
              <w:right w:val="nil"/>
            </w:tcBorders>
          </w:tcPr>
          <w:p w14:paraId="593953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0.0939***</w:t>
            </w:r>
          </w:p>
        </w:tc>
        <w:tc>
          <w:tcPr>
            <w:tcW w:w="711" w:type="pct"/>
            <w:tcBorders>
              <w:top w:val="nil"/>
              <w:left w:val="nil"/>
              <w:bottom w:val="nil"/>
              <w:right w:val="nil"/>
            </w:tcBorders>
          </w:tcPr>
          <w:p w14:paraId="0742ABA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0.0930***</w:t>
            </w:r>
          </w:p>
        </w:tc>
        <w:tc>
          <w:tcPr>
            <w:tcW w:w="837" w:type="pct"/>
            <w:tcBorders>
              <w:top w:val="nil"/>
              <w:left w:val="nil"/>
              <w:bottom w:val="nil"/>
              <w:right w:val="nil"/>
            </w:tcBorders>
          </w:tcPr>
          <w:p w14:paraId="23BF255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0.0938***</w:t>
            </w:r>
          </w:p>
        </w:tc>
        <w:tc>
          <w:tcPr>
            <w:tcW w:w="731" w:type="pct"/>
            <w:tcBorders>
              <w:top w:val="nil"/>
              <w:left w:val="nil"/>
              <w:bottom w:val="nil"/>
              <w:right w:val="nil"/>
            </w:tcBorders>
          </w:tcPr>
          <w:p w14:paraId="770768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0.0741*</w:t>
            </w:r>
          </w:p>
        </w:tc>
      </w:tr>
      <w:tr w:rsidR="00F00E3D" w:rsidRPr="00335312" w14:paraId="0FEE61D2" w14:textId="77777777" w:rsidTr="009B2FA7">
        <w:trPr>
          <w:jc w:val="center"/>
        </w:trPr>
        <w:tc>
          <w:tcPr>
            <w:tcW w:w="1183" w:type="pct"/>
            <w:tcBorders>
              <w:top w:val="nil"/>
              <w:left w:val="nil"/>
              <w:bottom w:val="nil"/>
              <w:right w:val="nil"/>
            </w:tcBorders>
          </w:tcPr>
          <w:p w14:paraId="34A07A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0B9243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(12.17)</w:t>
            </w:r>
          </w:p>
        </w:tc>
        <w:tc>
          <w:tcPr>
            <w:tcW w:w="956" w:type="pct"/>
            <w:tcBorders>
              <w:top w:val="nil"/>
              <w:left w:val="nil"/>
              <w:bottom w:val="nil"/>
              <w:right w:val="nil"/>
            </w:tcBorders>
          </w:tcPr>
          <w:p w14:paraId="052B32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(10.07)</w:t>
            </w:r>
          </w:p>
        </w:tc>
        <w:tc>
          <w:tcPr>
            <w:tcW w:w="711" w:type="pct"/>
            <w:tcBorders>
              <w:top w:val="nil"/>
              <w:left w:val="nil"/>
              <w:bottom w:val="nil"/>
              <w:right w:val="nil"/>
            </w:tcBorders>
          </w:tcPr>
          <w:p w14:paraId="653F94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(10.91)</w:t>
            </w:r>
          </w:p>
        </w:tc>
        <w:tc>
          <w:tcPr>
            <w:tcW w:w="837" w:type="pct"/>
            <w:tcBorders>
              <w:top w:val="nil"/>
              <w:left w:val="nil"/>
              <w:bottom w:val="nil"/>
              <w:right w:val="nil"/>
            </w:tcBorders>
          </w:tcPr>
          <w:p w14:paraId="532768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(4.378)</w:t>
            </w:r>
          </w:p>
        </w:tc>
        <w:tc>
          <w:tcPr>
            <w:tcW w:w="731" w:type="pct"/>
            <w:tcBorders>
              <w:top w:val="nil"/>
              <w:left w:val="nil"/>
              <w:bottom w:val="nil"/>
              <w:right w:val="nil"/>
            </w:tcBorders>
          </w:tcPr>
          <w:p w14:paraId="29E34C2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(3.795)</w:t>
            </w:r>
          </w:p>
        </w:tc>
      </w:tr>
      <w:tr w:rsidR="00F00E3D" w:rsidRPr="00335312" w14:paraId="02DFA3AB" w14:textId="77777777" w:rsidTr="009B2FA7">
        <w:trPr>
          <w:jc w:val="center"/>
        </w:trPr>
        <w:tc>
          <w:tcPr>
            <w:tcW w:w="1183" w:type="pct"/>
            <w:tcBorders>
              <w:top w:val="nil"/>
              <w:left w:val="nil"/>
              <w:bottom w:val="nil"/>
              <w:right w:val="nil"/>
            </w:tcBorders>
          </w:tcPr>
          <w:p w14:paraId="472B78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2018.year#3.month</w:t>
            </w:r>
          </w:p>
        </w:tc>
        <w:tc>
          <w:tcPr>
            <w:tcW w:w="582" w:type="pct"/>
            <w:tcBorders>
              <w:top w:val="nil"/>
              <w:left w:val="nil"/>
              <w:bottom w:val="nil"/>
              <w:right w:val="nil"/>
            </w:tcBorders>
          </w:tcPr>
          <w:p w14:paraId="69B4DD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0.0959***</w:t>
            </w:r>
          </w:p>
        </w:tc>
        <w:tc>
          <w:tcPr>
            <w:tcW w:w="956" w:type="pct"/>
            <w:tcBorders>
              <w:top w:val="nil"/>
              <w:left w:val="nil"/>
              <w:bottom w:val="nil"/>
              <w:right w:val="nil"/>
            </w:tcBorders>
          </w:tcPr>
          <w:p w14:paraId="5AB48C0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0.0974***</w:t>
            </w:r>
          </w:p>
        </w:tc>
        <w:tc>
          <w:tcPr>
            <w:tcW w:w="711" w:type="pct"/>
            <w:tcBorders>
              <w:top w:val="nil"/>
              <w:left w:val="nil"/>
              <w:bottom w:val="nil"/>
              <w:right w:val="nil"/>
            </w:tcBorders>
          </w:tcPr>
          <w:p w14:paraId="5B6C919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0.0925***</w:t>
            </w:r>
          </w:p>
        </w:tc>
        <w:tc>
          <w:tcPr>
            <w:tcW w:w="837" w:type="pct"/>
            <w:tcBorders>
              <w:top w:val="nil"/>
              <w:left w:val="nil"/>
              <w:bottom w:val="nil"/>
              <w:right w:val="nil"/>
            </w:tcBorders>
          </w:tcPr>
          <w:p w14:paraId="6F1AAF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0.0684***</w:t>
            </w:r>
          </w:p>
        </w:tc>
        <w:tc>
          <w:tcPr>
            <w:tcW w:w="731" w:type="pct"/>
            <w:tcBorders>
              <w:top w:val="nil"/>
              <w:left w:val="nil"/>
              <w:bottom w:val="nil"/>
              <w:right w:val="nil"/>
            </w:tcBorders>
          </w:tcPr>
          <w:p w14:paraId="6DCA3E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0.102**</w:t>
            </w:r>
          </w:p>
        </w:tc>
      </w:tr>
      <w:tr w:rsidR="00F00E3D" w:rsidRPr="00335312" w14:paraId="657AD40E" w14:textId="77777777" w:rsidTr="009B2FA7">
        <w:trPr>
          <w:jc w:val="center"/>
        </w:trPr>
        <w:tc>
          <w:tcPr>
            <w:tcW w:w="1183" w:type="pct"/>
            <w:tcBorders>
              <w:top w:val="nil"/>
              <w:left w:val="nil"/>
              <w:bottom w:val="nil"/>
              <w:right w:val="nil"/>
            </w:tcBorders>
          </w:tcPr>
          <w:p w14:paraId="589681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20EB71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(15.35)</w:t>
            </w:r>
          </w:p>
        </w:tc>
        <w:tc>
          <w:tcPr>
            <w:tcW w:w="956" w:type="pct"/>
            <w:tcBorders>
              <w:top w:val="nil"/>
              <w:left w:val="nil"/>
              <w:bottom w:val="nil"/>
              <w:right w:val="nil"/>
            </w:tcBorders>
          </w:tcPr>
          <w:p w14:paraId="0366209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(12.90)</w:t>
            </w:r>
          </w:p>
        </w:tc>
        <w:tc>
          <w:tcPr>
            <w:tcW w:w="711" w:type="pct"/>
            <w:tcBorders>
              <w:top w:val="nil"/>
              <w:left w:val="nil"/>
              <w:bottom w:val="nil"/>
              <w:right w:val="nil"/>
            </w:tcBorders>
          </w:tcPr>
          <w:p w14:paraId="7FFC17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(13.52)</w:t>
            </w:r>
          </w:p>
        </w:tc>
        <w:tc>
          <w:tcPr>
            <w:tcW w:w="837" w:type="pct"/>
            <w:tcBorders>
              <w:top w:val="nil"/>
              <w:left w:val="nil"/>
              <w:bottom w:val="nil"/>
              <w:right w:val="nil"/>
            </w:tcBorders>
          </w:tcPr>
          <w:p w14:paraId="0527AF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(4.245)</w:t>
            </w:r>
          </w:p>
        </w:tc>
        <w:tc>
          <w:tcPr>
            <w:tcW w:w="731" w:type="pct"/>
            <w:tcBorders>
              <w:top w:val="nil"/>
              <w:left w:val="nil"/>
              <w:bottom w:val="nil"/>
              <w:right w:val="nil"/>
            </w:tcBorders>
          </w:tcPr>
          <w:p w14:paraId="5E7C66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(4.387)</w:t>
            </w:r>
          </w:p>
        </w:tc>
      </w:tr>
      <w:tr w:rsidR="00F00E3D" w:rsidRPr="00335312" w14:paraId="0B8F3E00" w14:textId="77777777" w:rsidTr="009B2FA7">
        <w:trPr>
          <w:jc w:val="center"/>
        </w:trPr>
        <w:tc>
          <w:tcPr>
            <w:tcW w:w="1183" w:type="pct"/>
            <w:tcBorders>
              <w:top w:val="nil"/>
              <w:left w:val="nil"/>
              <w:bottom w:val="nil"/>
              <w:right w:val="nil"/>
            </w:tcBorders>
          </w:tcPr>
          <w:p w14:paraId="342610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2018.year#4.month</w:t>
            </w:r>
          </w:p>
        </w:tc>
        <w:tc>
          <w:tcPr>
            <w:tcW w:w="582" w:type="pct"/>
            <w:tcBorders>
              <w:top w:val="nil"/>
              <w:left w:val="nil"/>
              <w:bottom w:val="nil"/>
              <w:right w:val="nil"/>
            </w:tcBorders>
          </w:tcPr>
          <w:p w14:paraId="3355C7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0.0981***</w:t>
            </w:r>
          </w:p>
        </w:tc>
        <w:tc>
          <w:tcPr>
            <w:tcW w:w="956" w:type="pct"/>
            <w:tcBorders>
              <w:top w:val="nil"/>
              <w:left w:val="nil"/>
              <w:bottom w:val="nil"/>
              <w:right w:val="nil"/>
            </w:tcBorders>
          </w:tcPr>
          <w:p w14:paraId="7CD4DC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0.102***</w:t>
            </w:r>
          </w:p>
        </w:tc>
        <w:tc>
          <w:tcPr>
            <w:tcW w:w="711" w:type="pct"/>
            <w:tcBorders>
              <w:top w:val="nil"/>
              <w:left w:val="nil"/>
              <w:bottom w:val="nil"/>
              <w:right w:val="nil"/>
            </w:tcBorders>
          </w:tcPr>
          <w:p w14:paraId="0D1E5B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0.0883***</w:t>
            </w:r>
          </w:p>
        </w:tc>
        <w:tc>
          <w:tcPr>
            <w:tcW w:w="837" w:type="pct"/>
            <w:tcBorders>
              <w:top w:val="nil"/>
              <w:left w:val="nil"/>
              <w:bottom w:val="nil"/>
              <w:right w:val="nil"/>
            </w:tcBorders>
          </w:tcPr>
          <w:p w14:paraId="60ABF9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0.0692***</w:t>
            </w:r>
          </w:p>
        </w:tc>
        <w:tc>
          <w:tcPr>
            <w:tcW w:w="731" w:type="pct"/>
            <w:tcBorders>
              <w:top w:val="nil"/>
              <w:left w:val="nil"/>
              <w:bottom w:val="nil"/>
              <w:right w:val="nil"/>
            </w:tcBorders>
          </w:tcPr>
          <w:p w14:paraId="4090BC2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0.0985*</w:t>
            </w:r>
          </w:p>
        </w:tc>
      </w:tr>
      <w:tr w:rsidR="00F00E3D" w:rsidRPr="00335312" w14:paraId="26587DE7" w14:textId="77777777" w:rsidTr="009B2FA7">
        <w:trPr>
          <w:jc w:val="center"/>
        </w:trPr>
        <w:tc>
          <w:tcPr>
            <w:tcW w:w="1183" w:type="pct"/>
            <w:tcBorders>
              <w:top w:val="nil"/>
              <w:left w:val="nil"/>
              <w:bottom w:val="nil"/>
              <w:right w:val="nil"/>
            </w:tcBorders>
          </w:tcPr>
          <w:p w14:paraId="114A35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704B5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(20.44)</w:t>
            </w:r>
          </w:p>
        </w:tc>
        <w:tc>
          <w:tcPr>
            <w:tcW w:w="956" w:type="pct"/>
            <w:tcBorders>
              <w:top w:val="nil"/>
              <w:left w:val="nil"/>
              <w:bottom w:val="nil"/>
              <w:right w:val="nil"/>
            </w:tcBorders>
          </w:tcPr>
          <w:p w14:paraId="3AA34E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(17.65)</w:t>
            </w:r>
          </w:p>
        </w:tc>
        <w:tc>
          <w:tcPr>
            <w:tcW w:w="711" w:type="pct"/>
            <w:tcBorders>
              <w:top w:val="nil"/>
              <w:left w:val="nil"/>
              <w:bottom w:val="nil"/>
              <w:right w:val="nil"/>
            </w:tcBorders>
          </w:tcPr>
          <w:p w14:paraId="2612F17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(14.33)</w:t>
            </w:r>
          </w:p>
        </w:tc>
        <w:tc>
          <w:tcPr>
            <w:tcW w:w="837" w:type="pct"/>
            <w:tcBorders>
              <w:top w:val="nil"/>
              <w:left w:val="nil"/>
              <w:bottom w:val="nil"/>
              <w:right w:val="nil"/>
            </w:tcBorders>
          </w:tcPr>
          <w:p w14:paraId="3FC5C6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(2.826)</w:t>
            </w:r>
          </w:p>
        </w:tc>
        <w:tc>
          <w:tcPr>
            <w:tcW w:w="731" w:type="pct"/>
            <w:tcBorders>
              <w:top w:val="nil"/>
              <w:left w:val="nil"/>
              <w:bottom w:val="nil"/>
              <w:right w:val="nil"/>
            </w:tcBorders>
          </w:tcPr>
          <w:p w14:paraId="216E7A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(3.458)</w:t>
            </w:r>
          </w:p>
        </w:tc>
      </w:tr>
      <w:tr w:rsidR="00F00E3D" w:rsidRPr="00335312" w14:paraId="3AE0EE66" w14:textId="77777777" w:rsidTr="009B2FA7">
        <w:trPr>
          <w:jc w:val="center"/>
        </w:trPr>
        <w:tc>
          <w:tcPr>
            <w:tcW w:w="1183" w:type="pct"/>
            <w:tcBorders>
              <w:top w:val="nil"/>
              <w:left w:val="nil"/>
              <w:bottom w:val="nil"/>
              <w:right w:val="nil"/>
            </w:tcBorders>
          </w:tcPr>
          <w:p w14:paraId="2BE2CB0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2018.year#5.month</w:t>
            </w:r>
          </w:p>
        </w:tc>
        <w:tc>
          <w:tcPr>
            <w:tcW w:w="582" w:type="pct"/>
            <w:tcBorders>
              <w:top w:val="nil"/>
              <w:left w:val="nil"/>
              <w:bottom w:val="nil"/>
              <w:right w:val="nil"/>
            </w:tcBorders>
          </w:tcPr>
          <w:p w14:paraId="3693A9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0.106***</w:t>
            </w:r>
          </w:p>
        </w:tc>
        <w:tc>
          <w:tcPr>
            <w:tcW w:w="956" w:type="pct"/>
            <w:tcBorders>
              <w:top w:val="nil"/>
              <w:left w:val="nil"/>
              <w:bottom w:val="nil"/>
              <w:right w:val="nil"/>
            </w:tcBorders>
          </w:tcPr>
          <w:p w14:paraId="59E04A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0.108***</w:t>
            </w:r>
          </w:p>
        </w:tc>
        <w:tc>
          <w:tcPr>
            <w:tcW w:w="711" w:type="pct"/>
            <w:tcBorders>
              <w:top w:val="nil"/>
              <w:left w:val="nil"/>
              <w:bottom w:val="nil"/>
              <w:right w:val="nil"/>
            </w:tcBorders>
          </w:tcPr>
          <w:p w14:paraId="0CA654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0.0978***</w:t>
            </w:r>
          </w:p>
        </w:tc>
        <w:tc>
          <w:tcPr>
            <w:tcW w:w="837" w:type="pct"/>
            <w:tcBorders>
              <w:top w:val="nil"/>
              <w:left w:val="nil"/>
              <w:bottom w:val="nil"/>
              <w:right w:val="nil"/>
            </w:tcBorders>
          </w:tcPr>
          <w:p w14:paraId="6407E2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0.101***</w:t>
            </w:r>
          </w:p>
        </w:tc>
        <w:tc>
          <w:tcPr>
            <w:tcW w:w="731" w:type="pct"/>
            <w:tcBorders>
              <w:top w:val="nil"/>
              <w:left w:val="nil"/>
              <w:bottom w:val="nil"/>
              <w:right w:val="nil"/>
            </w:tcBorders>
          </w:tcPr>
          <w:p w14:paraId="1D78B5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0.106</w:t>
            </w:r>
          </w:p>
        </w:tc>
      </w:tr>
      <w:tr w:rsidR="00F00E3D" w:rsidRPr="00335312" w14:paraId="5C7003B9" w14:textId="77777777" w:rsidTr="009B2FA7">
        <w:trPr>
          <w:jc w:val="center"/>
        </w:trPr>
        <w:tc>
          <w:tcPr>
            <w:tcW w:w="1183" w:type="pct"/>
            <w:tcBorders>
              <w:top w:val="nil"/>
              <w:left w:val="nil"/>
              <w:bottom w:val="nil"/>
              <w:right w:val="nil"/>
            </w:tcBorders>
          </w:tcPr>
          <w:p w14:paraId="622697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7D937D0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(24.07)</w:t>
            </w:r>
          </w:p>
        </w:tc>
        <w:tc>
          <w:tcPr>
            <w:tcW w:w="956" w:type="pct"/>
            <w:tcBorders>
              <w:top w:val="nil"/>
              <w:left w:val="nil"/>
              <w:bottom w:val="nil"/>
              <w:right w:val="nil"/>
            </w:tcBorders>
          </w:tcPr>
          <w:p w14:paraId="1E31A1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(21.11)</w:t>
            </w:r>
          </w:p>
        </w:tc>
        <w:tc>
          <w:tcPr>
            <w:tcW w:w="711" w:type="pct"/>
            <w:tcBorders>
              <w:top w:val="nil"/>
              <w:left w:val="nil"/>
              <w:bottom w:val="nil"/>
              <w:right w:val="nil"/>
            </w:tcBorders>
          </w:tcPr>
          <w:p w14:paraId="710ECC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(13.23)</w:t>
            </w:r>
          </w:p>
        </w:tc>
        <w:tc>
          <w:tcPr>
            <w:tcW w:w="837" w:type="pct"/>
            <w:tcBorders>
              <w:top w:val="nil"/>
              <w:left w:val="nil"/>
              <w:bottom w:val="nil"/>
              <w:right w:val="nil"/>
            </w:tcBorders>
          </w:tcPr>
          <w:p w14:paraId="5FCCF7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(5.618)</w:t>
            </w:r>
          </w:p>
        </w:tc>
        <w:tc>
          <w:tcPr>
            <w:tcW w:w="731" w:type="pct"/>
            <w:tcBorders>
              <w:top w:val="nil"/>
              <w:left w:val="nil"/>
              <w:bottom w:val="nil"/>
              <w:right w:val="nil"/>
            </w:tcBorders>
          </w:tcPr>
          <w:p w14:paraId="553B3BB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(2.848)</w:t>
            </w:r>
          </w:p>
        </w:tc>
      </w:tr>
      <w:tr w:rsidR="00F00E3D" w:rsidRPr="00335312" w14:paraId="56CDDADF" w14:textId="77777777" w:rsidTr="009B2FA7">
        <w:trPr>
          <w:jc w:val="center"/>
        </w:trPr>
        <w:tc>
          <w:tcPr>
            <w:tcW w:w="1183" w:type="pct"/>
            <w:tcBorders>
              <w:top w:val="nil"/>
              <w:left w:val="nil"/>
              <w:bottom w:val="nil"/>
              <w:right w:val="nil"/>
            </w:tcBorders>
          </w:tcPr>
          <w:p w14:paraId="504BBB4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2018.year#6.month</w:t>
            </w:r>
          </w:p>
        </w:tc>
        <w:tc>
          <w:tcPr>
            <w:tcW w:w="582" w:type="pct"/>
            <w:tcBorders>
              <w:top w:val="nil"/>
              <w:left w:val="nil"/>
              <w:bottom w:val="nil"/>
              <w:right w:val="nil"/>
            </w:tcBorders>
          </w:tcPr>
          <w:p w14:paraId="045C82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0.106***</w:t>
            </w:r>
          </w:p>
        </w:tc>
        <w:tc>
          <w:tcPr>
            <w:tcW w:w="956" w:type="pct"/>
            <w:tcBorders>
              <w:top w:val="nil"/>
              <w:left w:val="nil"/>
              <w:bottom w:val="nil"/>
              <w:right w:val="nil"/>
            </w:tcBorders>
          </w:tcPr>
          <w:p w14:paraId="6BFF0F2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0.108***</w:t>
            </w:r>
          </w:p>
        </w:tc>
        <w:tc>
          <w:tcPr>
            <w:tcW w:w="711" w:type="pct"/>
            <w:tcBorders>
              <w:top w:val="nil"/>
              <w:left w:val="nil"/>
              <w:bottom w:val="nil"/>
              <w:right w:val="nil"/>
            </w:tcBorders>
          </w:tcPr>
          <w:p w14:paraId="32F4FC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0.0999***</w:t>
            </w:r>
          </w:p>
        </w:tc>
        <w:tc>
          <w:tcPr>
            <w:tcW w:w="837" w:type="pct"/>
            <w:tcBorders>
              <w:top w:val="nil"/>
              <w:left w:val="nil"/>
              <w:bottom w:val="nil"/>
              <w:right w:val="nil"/>
            </w:tcBorders>
          </w:tcPr>
          <w:p w14:paraId="7B8675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0.105***</w:t>
            </w:r>
          </w:p>
        </w:tc>
        <w:tc>
          <w:tcPr>
            <w:tcW w:w="731" w:type="pct"/>
            <w:tcBorders>
              <w:top w:val="nil"/>
              <w:left w:val="nil"/>
              <w:bottom w:val="nil"/>
              <w:right w:val="nil"/>
            </w:tcBorders>
          </w:tcPr>
          <w:p w14:paraId="70570E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0.0491</w:t>
            </w:r>
          </w:p>
        </w:tc>
      </w:tr>
      <w:tr w:rsidR="00F00E3D" w:rsidRPr="00335312" w14:paraId="5DE8F949" w14:textId="77777777" w:rsidTr="009B2FA7">
        <w:trPr>
          <w:jc w:val="center"/>
        </w:trPr>
        <w:tc>
          <w:tcPr>
            <w:tcW w:w="1183" w:type="pct"/>
            <w:tcBorders>
              <w:top w:val="nil"/>
              <w:left w:val="nil"/>
              <w:bottom w:val="nil"/>
              <w:right w:val="nil"/>
            </w:tcBorders>
          </w:tcPr>
          <w:p w14:paraId="325290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248EAD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(25.97)</w:t>
            </w:r>
          </w:p>
        </w:tc>
        <w:tc>
          <w:tcPr>
            <w:tcW w:w="956" w:type="pct"/>
            <w:tcBorders>
              <w:top w:val="nil"/>
              <w:left w:val="nil"/>
              <w:bottom w:val="nil"/>
              <w:right w:val="nil"/>
            </w:tcBorders>
          </w:tcPr>
          <w:p w14:paraId="10B0C1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(23.03)</w:t>
            </w:r>
          </w:p>
        </w:tc>
        <w:tc>
          <w:tcPr>
            <w:tcW w:w="711" w:type="pct"/>
            <w:tcBorders>
              <w:top w:val="nil"/>
              <w:left w:val="nil"/>
              <w:bottom w:val="nil"/>
              <w:right w:val="nil"/>
            </w:tcBorders>
          </w:tcPr>
          <w:p w14:paraId="680EE46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(12.82)</w:t>
            </w:r>
          </w:p>
        </w:tc>
        <w:tc>
          <w:tcPr>
            <w:tcW w:w="837" w:type="pct"/>
            <w:tcBorders>
              <w:top w:val="nil"/>
              <w:left w:val="nil"/>
              <w:bottom w:val="nil"/>
              <w:right w:val="nil"/>
            </w:tcBorders>
          </w:tcPr>
          <w:p w14:paraId="1E5DD1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(5.463)</w:t>
            </w:r>
          </w:p>
        </w:tc>
        <w:tc>
          <w:tcPr>
            <w:tcW w:w="731" w:type="pct"/>
            <w:tcBorders>
              <w:top w:val="nil"/>
              <w:left w:val="nil"/>
              <w:bottom w:val="nil"/>
              <w:right w:val="nil"/>
            </w:tcBorders>
          </w:tcPr>
          <w:p w14:paraId="102B08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(1.931)</w:t>
            </w:r>
          </w:p>
        </w:tc>
      </w:tr>
      <w:tr w:rsidR="00F00E3D" w:rsidRPr="00335312" w14:paraId="6386231C" w14:textId="77777777" w:rsidTr="009B2FA7">
        <w:trPr>
          <w:jc w:val="center"/>
        </w:trPr>
        <w:tc>
          <w:tcPr>
            <w:tcW w:w="1183" w:type="pct"/>
            <w:tcBorders>
              <w:top w:val="nil"/>
              <w:left w:val="nil"/>
              <w:bottom w:val="nil"/>
              <w:right w:val="nil"/>
            </w:tcBorders>
          </w:tcPr>
          <w:p w14:paraId="4DB044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2018.year#7.month</w:t>
            </w:r>
          </w:p>
        </w:tc>
        <w:tc>
          <w:tcPr>
            <w:tcW w:w="582" w:type="pct"/>
            <w:tcBorders>
              <w:top w:val="nil"/>
              <w:left w:val="nil"/>
              <w:bottom w:val="nil"/>
              <w:right w:val="nil"/>
            </w:tcBorders>
          </w:tcPr>
          <w:p w14:paraId="7E41D5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0.101***</w:t>
            </w:r>
          </w:p>
        </w:tc>
        <w:tc>
          <w:tcPr>
            <w:tcW w:w="956" w:type="pct"/>
            <w:tcBorders>
              <w:top w:val="nil"/>
              <w:left w:val="nil"/>
              <w:bottom w:val="nil"/>
              <w:right w:val="nil"/>
            </w:tcBorders>
          </w:tcPr>
          <w:p w14:paraId="3E9BC2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0.0995***</w:t>
            </w:r>
          </w:p>
        </w:tc>
        <w:tc>
          <w:tcPr>
            <w:tcW w:w="711" w:type="pct"/>
            <w:tcBorders>
              <w:top w:val="nil"/>
              <w:left w:val="nil"/>
              <w:bottom w:val="nil"/>
              <w:right w:val="nil"/>
            </w:tcBorders>
          </w:tcPr>
          <w:p w14:paraId="7883F68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0.106***</w:t>
            </w:r>
          </w:p>
        </w:tc>
        <w:tc>
          <w:tcPr>
            <w:tcW w:w="837" w:type="pct"/>
            <w:tcBorders>
              <w:top w:val="nil"/>
              <w:left w:val="nil"/>
              <w:bottom w:val="nil"/>
              <w:right w:val="nil"/>
            </w:tcBorders>
          </w:tcPr>
          <w:p w14:paraId="7995D90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0.0933***</w:t>
            </w:r>
          </w:p>
        </w:tc>
        <w:tc>
          <w:tcPr>
            <w:tcW w:w="731" w:type="pct"/>
            <w:tcBorders>
              <w:top w:val="nil"/>
              <w:left w:val="nil"/>
              <w:bottom w:val="nil"/>
              <w:right w:val="nil"/>
            </w:tcBorders>
          </w:tcPr>
          <w:p w14:paraId="04B309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0.0464</w:t>
            </w:r>
          </w:p>
        </w:tc>
      </w:tr>
      <w:tr w:rsidR="00F00E3D" w:rsidRPr="00335312" w14:paraId="1A8EC19C" w14:textId="77777777" w:rsidTr="009B2FA7">
        <w:trPr>
          <w:jc w:val="center"/>
        </w:trPr>
        <w:tc>
          <w:tcPr>
            <w:tcW w:w="1183" w:type="pct"/>
            <w:tcBorders>
              <w:top w:val="nil"/>
              <w:left w:val="nil"/>
              <w:bottom w:val="nil"/>
              <w:right w:val="nil"/>
            </w:tcBorders>
          </w:tcPr>
          <w:p w14:paraId="2BFDC2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109BD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(18.18)</w:t>
            </w:r>
          </w:p>
        </w:tc>
        <w:tc>
          <w:tcPr>
            <w:tcW w:w="956" w:type="pct"/>
            <w:tcBorders>
              <w:top w:val="nil"/>
              <w:left w:val="nil"/>
              <w:bottom w:val="nil"/>
              <w:right w:val="nil"/>
            </w:tcBorders>
          </w:tcPr>
          <w:p w14:paraId="2DB580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(15.40)</w:t>
            </w:r>
          </w:p>
        </w:tc>
        <w:tc>
          <w:tcPr>
            <w:tcW w:w="711" w:type="pct"/>
            <w:tcBorders>
              <w:top w:val="nil"/>
              <w:left w:val="nil"/>
              <w:bottom w:val="nil"/>
              <w:right w:val="nil"/>
            </w:tcBorders>
          </w:tcPr>
          <w:p w14:paraId="271550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(13.77)</w:t>
            </w:r>
          </w:p>
        </w:tc>
        <w:tc>
          <w:tcPr>
            <w:tcW w:w="837" w:type="pct"/>
            <w:tcBorders>
              <w:top w:val="nil"/>
              <w:left w:val="nil"/>
              <w:bottom w:val="nil"/>
              <w:right w:val="nil"/>
            </w:tcBorders>
          </w:tcPr>
          <w:p w14:paraId="77ABC9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(4.186)</w:t>
            </w:r>
          </w:p>
        </w:tc>
        <w:tc>
          <w:tcPr>
            <w:tcW w:w="731" w:type="pct"/>
            <w:tcBorders>
              <w:top w:val="nil"/>
              <w:left w:val="nil"/>
              <w:bottom w:val="nil"/>
              <w:right w:val="nil"/>
            </w:tcBorders>
          </w:tcPr>
          <w:p w14:paraId="14584D0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(1.144)</w:t>
            </w:r>
          </w:p>
        </w:tc>
      </w:tr>
      <w:tr w:rsidR="00F00E3D" w:rsidRPr="00335312" w14:paraId="0BC34D1A" w14:textId="77777777" w:rsidTr="009B2FA7">
        <w:trPr>
          <w:jc w:val="center"/>
        </w:trPr>
        <w:tc>
          <w:tcPr>
            <w:tcW w:w="1183" w:type="pct"/>
            <w:tcBorders>
              <w:top w:val="nil"/>
              <w:left w:val="nil"/>
              <w:bottom w:val="nil"/>
              <w:right w:val="nil"/>
            </w:tcBorders>
          </w:tcPr>
          <w:p w14:paraId="71A631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2018.year#8.month</w:t>
            </w:r>
          </w:p>
        </w:tc>
        <w:tc>
          <w:tcPr>
            <w:tcW w:w="582" w:type="pct"/>
            <w:tcBorders>
              <w:top w:val="nil"/>
              <w:left w:val="nil"/>
              <w:bottom w:val="nil"/>
              <w:right w:val="nil"/>
            </w:tcBorders>
          </w:tcPr>
          <w:p w14:paraId="0FC6AF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0.105***</w:t>
            </w:r>
          </w:p>
        </w:tc>
        <w:tc>
          <w:tcPr>
            <w:tcW w:w="956" w:type="pct"/>
            <w:tcBorders>
              <w:top w:val="nil"/>
              <w:left w:val="nil"/>
              <w:bottom w:val="nil"/>
              <w:right w:val="nil"/>
            </w:tcBorders>
          </w:tcPr>
          <w:p w14:paraId="545443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0.105***</w:t>
            </w:r>
          </w:p>
        </w:tc>
        <w:tc>
          <w:tcPr>
            <w:tcW w:w="711" w:type="pct"/>
            <w:tcBorders>
              <w:top w:val="nil"/>
              <w:left w:val="nil"/>
              <w:bottom w:val="nil"/>
              <w:right w:val="nil"/>
            </w:tcBorders>
          </w:tcPr>
          <w:p w14:paraId="3FA452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0.108***</w:t>
            </w:r>
          </w:p>
        </w:tc>
        <w:tc>
          <w:tcPr>
            <w:tcW w:w="837" w:type="pct"/>
            <w:tcBorders>
              <w:top w:val="nil"/>
              <w:left w:val="nil"/>
              <w:bottom w:val="nil"/>
              <w:right w:val="nil"/>
            </w:tcBorders>
          </w:tcPr>
          <w:p w14:paraId="1DF357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0.0747***</w:t>
            </w:r>
          </w:p>
        </w:tc>
        <w:tc>
          <w:tcPr>
            <w:tcW w:w="731" w:type="pct"/>
            <w:tcBorders>
              <w:top w:val="nil"/>
              <w:left w:val="nil"/>
              <w:bottom w:val="nil"/>
              <w:right w:val="nil"/>
            </w:tcBorders>
          </w:tcPr>
          <w:p w14:paraId="1B6EFB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0.0825**</w:t>
            </w:r>
          </w:p>
        </w:tc>
      </w:tr>
      <w:tr w:rsidR="00F00E3D" w:rsidRPr="00335312" w14:paraId="41530A5A" w14:textId="77777777" w:rsidTr="009B2FA7">
        <w:trPr>
          <w:jc w:val="center"/>
        </w:trPr>
        <w:tc>
          <w:tcPr>
            <w:tcW w:w="1183" w:type="pct"/>
            <w:tcBorders>
              <w:top w:val="nil"/>
              <w:left w:val="nil"/>
              <w:bottom w:val="nil"/>
              <w:right w:val="nil"/>
            </w:tcBorders>
          </w:tcPr>
          <w:p w14:paraId="5E7193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622FA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(19.13)</w:t>
            </w:r>
          </w:p>
        </w:tc>
        <w:tc>
          <w:tcPr>
            <w:tcW w:w="956" w:type="pct"/>
            <w:tcBorders>
              <w:top w:val="nil"/>
              <w:left w:val="nil"/>
              <w:bottom w:val="nil"/>
              <w:right w:val="nil"/>
            </w:tcBorders>
          </w:tcPr>
          <w:p w14:paraId="46EF8F8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(16.09)</w:t>
            </w:r>
          </w:p>
        </w:tc>
        <w:tc>
          <w:tcPr>
            <w:tcW w:w="711" w:type="pct"/>
            <w:tcBorders>
              <w:top w:val="nil"/>
              <w:left w:val="nil"/>
              <w:bottom w:val="nil"/>
              <w:right w:val="nil"/>
            </w:tcBorders>
          </w:tcPr>
          <w:p w14:paraId="6F6228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(14.07)</w:t>
            </w:r>
          </w:p>
        </w:tc>
        <w:tc>
          <w:tcPr>
            <w:tcW w:w="837" w:type="pct"/>
            <w:tcBorders>
              <w:top w:val="nil"/>
              <w:left w:val="nil"/>
              <w:bottom w:val="nil"/>
              <w:right w:val="nil"/>
            </w:tcBorders>
          </w:tcPr>
          <w:p w14:paraId="23AF02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(4.697)</w:t>
            </w:r>
          </w:p>
        </w:tc>
        <w:tc>
          <w:tcPr>
            <w:tcW w:w="731" w:type="pct"/>
            <w:tcBorders>
              <w:top w:val="nil"/>
              <w:left w:val="nil"/>
              <w:bottom w:val="nil"/>
              <w:right w:val="nil"/>
            </w:tcBorders>
          </w:tcPr>
          <w:p w14:paraId="0C0F48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(5.382)</w:t>
            </w:r>
          </w:p>
        </w:tc>
      </w:tr>
      <w:tr w:rsidR="00F00E3D" w:rsidRPr="00335312" w14:paraId="2CE40AC8" w14:textId="77777777" w:rsidTr="009B2FA7">
        <w:trPr>
          <w:jc w:val="center"/>
        </w:trPr>
        <w:tc>
          <w:tcPr>
            <w:tcW w:w="1183" w:type="pct"/>
            <w:tcBorders>
              <w:top w:val="nil"/>
              <w:left w:val="nil"/>
              <w:bottom w:val="nil"/>
              <w:right w:val="nil"/>
            </w:tcBorders>
          </w:tcPr>
          <w:p w14:paraId="29C0EF6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2018.year#9.month</w:t>
            </w:r>
          </w:p>
        </w:tc>
        <w:tc>
          <w:tcPr>
            <w:tcW w:w="582" w:type="pct"/>
            <w:tcBorders>
              <w:top w:val="nil"/>
              <w:left w:val="nil"/>
              <w:bottom w:val="nil"/>
              <w:right w:val="nil"/>
            </w:tcBorders>
          </w:tcPr>
          <w:p w14:paraId="69ACC1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0.108***</w:t>
            </w:r>
          </w:p>
        </w:tc>
        <w:tc>
          <w:tcPr>
            <w:tcW w:w="956" w:type="pct"/>
            <w:tcBorders>
              <w:top w:val="nil"/>
              <w:left w:val="nil"/>
              <w:bottom w:val="nil"/>
              <w:right w:val="nil"/>
            </w:tcBorders>
          </w:tcPr>
          <w:p w14:paraId="237D5E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0.108***</w:t>
            </w:r>
          </w:p>
        </w:tc>
        <w:tc>
          <w:tcPr>
            <w:tcW w:w="711" w:type="pct"/>
            <w:tcBorders>
              <w:top w:val="nil"/>
              <w:left w:val="nil"/>
              <w:bottom w:val="nil"/>
              <w:right w:val="nil"/>
            </w:tcBorders>
          </w:tcPr>
          <w:p w14:paraId="1BA9E58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0.111***</w:t>
            </w:r>
          </w:p>
        </w:tc>
        <w:tc>
          <w:tcPr>
            <w:tcW w:w="837" w:type="pct"/>
            <w:tcBorders>
              <w:top w:val="nil"/>
              <w:left w:val="nil"/>
              <w:bottom w:val="nil"/>
              <w:right w:val="nil"/>
            </w:tcBorders>
          </w:tcPr>
          <w:p w14:paraId="5FD7B2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0.0926***</w:t>
            </w:r>
          </w:p>
        </w:tc>
        <w:tc>
          <w:tcPr>
            <w:tcW w:w="731" w:type="pct"/>
            <w:tcBorders>
              <w:top w:val="nil"/>
              <w:left w:val="nil"/>
              <w:bottom w:val="nil"/>
              <w:right w:val="nil"/>
            </w:tcBorders>
          </w:tcPr>
          <w:p w14:paraId="70E8C5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0.0988*</w:t>
            </w:r>
          </w:p>
        </w:tc>
      </w:tr>
      <w:tr w:rsidR="00F00E3D" w:rsidRPr="00335312" w14:paraId="1DFB6D7A" w14:textId="77777777" w:rsidTr="009B2FA7">
        <w:trPr>
          <w:jc w:val="center"/>
        </w:trPr>
        <w:tc>
          <w:tcPr>
            <w:tcW w:w="1183" w:type="pct"/>
            <w:tcBorders>
              <w:top w:val="nil"/>
              <w:left w:val="nil"/>
              <w:bottom w:val="nil"/>
              <w:right w:val="nil"/>
            </w:tcBorders>
          </w:tcPr>
          <w:p w14:paraId="437E6F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47907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(25.38)</w:t>
            </w:r>
          </w:p>
        </w:tc>
        <w:tc>
          <w:tcPr>
            <w:tcW w:w="956" w:type="pct"/>
            <w:tcBorders>
              <w:top w:val="nil"/>
              <w:left w:val="nil"/>
              <w:bottom w:val="nil"/>
              <w:right w:val="nil"/>
            </w:tcBorders>
          </w:tcPr>
          <w:p w14:paraId="1212FF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(22.71)</w:t>
            </w:r>
          </w:p>
        </w:tc>
        <w:tc>
          <w:tcPr>
            <w:tcW w:w="711" w:type="pct"/>
            <w:tcBorders>
              <w:top w:val="nil"/>
              <w:left w:val="nil"/>
              <w:bottom w:val="nil"/>
              <w:right w:val="nil"/>
            </w:tcBorders>
          </w:tcPr>
          <w:p w14:paraId="7DDF2B7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(12.45)</w:t>
            </w:r>
          </w:p>
        </w:tc>
        <w:tc>
          <w:tcPr>
            <w:tcW w:w="837" w:type="pct"/>
            <w:tcBorders>
              <w:top w:val="nil"/>
              <w:left w:val="nil"/>
              <w:bottom w:val="nil"/>
              <w:right w:val="nil"/>
            </w:tcBorders>
          </w:tcPr>
          <w:p w14:paraId="7593F0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(4.575)</w:t>
            </w:r>
          </w:p>
        </w:tc>
        <w:tc>
          <w:tcPr>
            <w:tcW w:w="731" w:type="pct"/>
            <w:tcBorders>
              <w:top w:val="nil"/>
              <w:left w:val="nil"/>
              <w:bottom w:val="nil"/>
              <w:right w:val="nil"/>
            </w:tcBorders>
          </w:tcPr>
          <w:p w14:paraId="478A416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(3.645)</w:t>
            </w:r>
          </w:p>
        </w:tc>
      </w:tr>
      <w:tr w:rsidR="00F00E3D" w:rsidRPr="00335312" w14:paraId="17F38EDB" w14:textId="77777777" w:rsidTr="009B2FA7">
        <w:trPr>
          <w:jc w:val="center"/>
        </w:trPr>
        <w:tc>
          <w:tcPr>
            <w:tcW w:w="1183" w:type="pct"/>
            <w:tcBorders>
              <w:top w:val="nil"/>
              <w:left w:val="nil"/>
              <w:bottom w:val="nil"/>
              <w:right w:val="nil"/>
            </w:tcBorders>
          </w:tcPr>
          <w:p w14:paraId="51A394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2018.year#10.month</w:t>
            </w:r>
          </w:p>
        </w:tc>
        <w:tc>
          <w:tcPr>
            <w:tcW w:w="582" w:type="pct"/>
            <w:tcBorders>
              <w:top w:val="nil"/>
              <w:left w:val="nil"/>
              <w:bottom w:val="nil"/>
              <w:right w:val="nil"/>
            </w:tcBorders>
          </w:tcPr>
          <w:p w14:paraId="0B7648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0.0984***</w:t>
            </w:r>
          </w:p>
        </w:tc>
        <w:tc>
          <w:tcPr>
            <w:tcW w:w="956" w:type="pct"/>
            <w:tcBorders>
              <w:top w:val="nil"/>
              <w:left w:val="nil"/>
              <w:bottom w:val="nil"/>
              <w:right w:val="nil"/>
            </w:tcBorders>
          </w:tcPr>
          <w:p w14:paraId="53D9440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0.0947***</w:t>
            </w:r>
          </w:p>
        </w:tc>
        <w:tc>
          <w:tcPr>
            <w:tcW w:w="711" w:type="pct"/>
            <w:tcBorders>
              <w:top w:val="nil"/>
              <w:left w:val="nil"/>
              <w:bottom w:val="nil"/>
              <w:right w:val="nil"/>
            </w:tcBorders>
          </w:tcPr>
          <w:p w14:paraId="5113B1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0.116***</w:t>
            </w:r>
          </w:p>
        </w:tc>
        <w:tc>
          <w:tcPr>
            <w:tcW w:w="837" w:type="pct"/>
            <w:tcBorders>
              <w:top w:val="nil"/>
              <w:left w:val="nil"/>
              <w:bottom w:val="nil"/>
              <w:right w:val="nil"/>
            </w:tcBorders>
          </w:tcPr>
          <w:p w14:paraId="7B974A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0.117***</w:t>
            </w:r>
          </w:p>
        </w:tc>
        <w:tc>
          <w:tcPr>
            <w:tcW w:w="731" w:type="pct"/>
            <w:tcBorders>
              <w:top w:val="nil"/>
              <w:left w:val="nil"/>
              <w:bottom w:val="nil"/>
              <w:right w:val="nil"/>
            </w:tcBorders>
          </w:tcPr>
          <w:p w14:paraId="76222BB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0.163</w:t>
            </w:r>
          </w:p>
        </w:tc>
      </w:tr>
      <w:tr w:rsidR="00F00E3D" w:rsidRPr="00335312" w14:paraId="7E2469F8" w14:textId="77777777" w:rsidTr="009B2FA7">
        <w:trPr>
          <w:jc w:val="center"/>
        </w:trPr>
        <w:tc>
          <w:tcPr>
            <w:tcW w:w="1183" w:type="pct"/>
            <w:tcBorders>
              <w:top w:val="nil"/>
              <w:left w:val="nil"/>
              <w:bottom w:val="nil"/>
              <w:right w:val="nil"/>
            </w:tcBorders>
          </w:tcPr>
          <w:p w14:paraId="75BC21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D68AE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(17.68)</w:t>
            </w:r>
          </w:p>
        </w:tc>
        <w:tc>
          <w:tcPr>
            <w:tcW w:w="956" w:type="pct"/>
            <w:tcBorders>
              <w:top w:val="nil"/>
              <w:left w:val="nil"/>
              <w:bottom w:val="nil"/>
              <w:right w:val="nil"/>
            </w:tcBorders>
          </w:tcPr>
          <w:p w14:paraId="43F3A6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(15.02)</w:t>
            </w:r>
          </w:p>
        </w:tc>
        <w:tc>
          <w:tcPr>
            <w:tcW w:w="711" w:type="pct"/>
            <w:tcBorders>
              <w:top w:val="nil"/>
              <w:left w:val="nil"/>
              <w:bottom w:val="nil"/>
              <w:right w:val="nil"/>
            </w:tcBorders>
          </w:tcPr>
          <w:p w14:paraId="7537FD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(13.48)</w:t>
            </w:r>
          </w:p>
        </w:tc>
        <w:tc>
          <w:tcPr>
            <w:tcW w:w="837" w:type="pct"/>
            <w:tcBorders>
              <w:top w:val="nil"/>
              <w:left w:val="nil"/>
              <w:bottom w:val="nil"/>
              <w:right w:val="nil"/>
            </w:tcBorders>
          </w:tcPr>
          <w:p w14:paraId="7FF2B7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(7.977)</w:t>
            </w:r>
          </w:p>
        </w:tc>
        <w:tc>
          <w:tcPr>
            <w:tcW w:w="731" w:type="pct"/>
            <w:tcBorders>
              <w:top w:val="nil"/>
              <w:left w:val="nil"/>
              <w:bottom w:val="nil"/>
              <w:right w:val="nil"/>
            </w:tcBorders>
          </w:tcPr>
          <w:p w14:paraId="1D6D1D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(2.619)</w:t>
            </w:r>
          </w:p>
        </w:tc>
      </w:tr>
      <w:tr w:rsidR="00F00E3D" w:rsidRPr="00335312" w14:paraId="4EC1930E" w14:textId="77777777" w:rsidTr="009B2FA7">
        <w:trPr>
          <w:jc w:val="center"/>
        </w:trPr>
        <w:tc>
          <w:tcPr>
            <w:tcW w:w="1183" w:type="pct"/>
            <w:tcBorders>
              <w:top w:val="nil"/>
              <w:left w:val="nil"/>
              <w:bottom w:val="nil"/>
              <w:right w:val="nil"/>
            </w:tcBorders>
          </w:tcPr>
          <w:p w14:paraId="560240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2018.year#11.month</w:t>
            </w:r>
          </w:p>
        </w:tc>
        <w:tc>
          <w:tcPr>
            <w:tcW w:w="582" w:type="pct"/>
            <w:tcBorders>
              <w:top w:val="nil"/>
              <w:left w:val="nil"/>
              <w:bottom w:val="nil"/>
              <w:right w:val="nil"/>
            </w:tcBorders>
          </w:tcPr>
          <w:p w14:paraId="2F83E0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0.1000***</w:t>
            </w:r>
          </w:p>
        </w:tc>
        <w:tc>
          <w:tcPr>
            <w:tcW w:w="956" w:type="pct"/>
            <w:tcBorders>
              <w:top w:val="nil"/>
              <w:left w:val="nil"/>
              <w:bottom w:val="nil"/>
              <w:right w:val="nil"/>
            </w:tcBorders>
          </w:tcPr>
          <w:p w14:paraId="715AEA6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0.0998***</w:t>
            </w:r>
          </w:p>
        </w:tc>
        <w:tc>
          <w:tcPr>
            <w:tcW w:w="711" w:type="pct"/>
            <w:tcBorders>
              <w:top w:val="nil"/>
              <w:left w:val="nil"/>
              <w:bottom w:val="nil"/>
              <w:right w:val="nil"/>
            </w:tcBorders>
          </w:tcPr>
          <w:p w14:paraId="47E051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0.105***</w:t>
            </w:r>
          </w:p>
        </w:tc>
        <w:tc>
          <w:tcPr>
            <w:tcW w:w="837" w:type="pct"/>
            <w:tcBorders>
              <w:top w:val="nil"/>
              <w:left w:val="nil"/>
              <w:bottom w:val="nil"/>
              <w:right w:val="nil"/>
            </w:tcBorders>
          </w:tcPr>
          <w:p w14:paraId="039DF0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0.147***</w:t>
            </w:r>
          </w:p>
        </w:tc>
        <w:tc>
          <w:tcPr>
            <w:tcW w:w="731" w:type="pct"/>
            <w:tcBorders>
              <w:top w:val="nil"/>
              <w:left w:val="nil"/>
              <w:bottom w:val="nil"/>
              <w:right w:val="nil"/>
            </w:tcBorders>
          </w:tcPr>
          <w:p w14:paraId="5D1A23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0.148**</w:t>
            </w:r>
          </w:p>
        </w:tc>
      </w:tr>
      <w:tr w:rsidR="00F00E3D" w:rsidRPr="00335312" w14:paraId="76F6821A" w14:textId="77777777" w:rsidTr="009B2FA7">
        <w:trPr>
          <w:jc w:val="center"/>
        </w:trPr>
        <w:tc>
          <w:tcPr>
            <w:tcW w:w="1183" w:type="pct"/>
            <w:tcBorders>
              <w:top w:val="nil"/>
              <w:left w:val="nil"/>
              <w:bottom w:val="nil"/>
              <w:right w:val="nil"/>
            </w:tcBorders>
          </w:tcPr>
          <w:p w14:paraId="73336E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172427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(19.97)</w:t>
            </w:r>
          </w:p>
        </w:tc>
        <w:tc>
          <w:tcPr>
            <w:tcW w:w="956" w:type="pct"/>
            <w:tcBorders>
              <w:top w:val="nil"/>
              <w:left w:val="nil"/>
              <w:bottom w:val="nil"/>
              <w:right w:val="nil"/>
            </w:tcBorders>
          </w:tcPr>
          <w:p w14:paraId="6100E0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(17.26)</w:t>
            </w:r>
          </w:p>
        </w:tc>
        <w:tc>
          <w:tcPr>
            <w:tcW w:w="711" w:type="pct"/>
            <w:tcBorders>
              <w:top w:val="nil"/>
              <w:left w:val="nil"/>
              <w:bottom w:val="nil"/>
              <w:right w:val="nil"/>
            </w:tcBorders>
          </w:tcPr>
          <w:p w14:paraId="79C32C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(13.14)</w:t>
            </w:r>
          </w:p>
        </w:tc>
        <w:tc>
          <w:tcPr>
            <w:tcW w:w="837" w:type="pct"/>
            <w:tcBorders>
              <w:top w:val="nil"/>
              <w:left w:val="nil"/>
              <w:bottom w:val="nil"/>
              <w:right w:val="nil"/>
            </w:tcBorders>
          </w:tcPr>
          <w:p w14:paraId="4F9CD8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(4.215)</w:t>
            </w:r>
          </w:p>
        </w:tc>
        <w:tc>
          <w:tcPr>
            <w:tcW w:w="731" w:type="pct"/>
            <w:tcBorders>
              <w:top w:val="nil"/>
              <w:left w:val="nil"/>
              <w:bottom w:val="nil"/>
              <w:right w:val="nil"/>
            </w:tcBorders>
          </w:tcPr>
          <w:p w14:paraId="4F2C70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(4.615)</w:t>
            </w:r>
          </w:p>
        </w:tc>
      </w:tr>
      <w:tr w:rsidR="00F00E3D" w:rsidRPr="00335312" w14:paraId="48E1C20E" w14:textId="77777777" w:rsidTr="009B2FA7">
        <w:trPr>
          <w:jc w:val="center"/>
        </w:trPr>
        <w:tc>
          <w:tcPr>
            <w:tcW w:w="1183" w:type="pct"/>
            <w:tcBorders>
              <w:top w:val="nil"/>
              <w:left w:val="nil"/>
              <w:bottom w:val="nil"/>
              <w:right w:val="nil"/>
            </w:tcBorders>
          </w:tcPr>
          <w:p w14:paraId="69EA1F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2018.year#12.month</w:t>
            </w:r>
          </w:p>
        </w:tc>
        <w:tc>
          <w:tcPr>
            <w:tcW w:w="582" w:type="pct"/>
            <w:tcBorders>
              <w:top w:val="nil"/>
              <w:left w:val="nil"/>
              <w:bottom w:val="nil"/>
              <w:right w:val="nil"/>
            </w:tcBorders>
          </w:tcPr>
          <w:p w14:paraId="55C7354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0.0983***</w:t>
            </w:r>
          </w:p>
        </w:tc>
        <w:tc>
          <w:tcPr>
            <w:tcW w:w="956" w:type="pct"/>
            <w:tcBorders>
              <w:top w:val="nil"/>
              <w:left w:val="nil"/>
              <w:bottom w:val="nil"/>
              <w:right w:val="nil"/>
            </w:tcBorders>
          </w:tcPr>
          <w:p w14:paraId="565500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0.0953***</w:t>
            </w:r>
          </w:p>
        </w:tc>
        <w:tc>
          <w:tcPr>
            <w:tcW w:w="711" w:type="pct"/>
            <w:tcBorders>
              <w:top w:val="nil"/>
              <w:left w:val="nil"/>
              <w:bottom w:val="nil"/>
              <w:right w:val="nil"/>
            </w:tcBorders>
          </w:tcPr>
          <w:p w14:paraId="15F953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0.116***</w:t>
            </w:r>
          </w:p>
        </w:tc>
        <w:tc>
          <w:tcPr>
            <w:tcW w:w="837" w:type="pct"/>
            <w:tcBorders>
              <w:top w:val="nil"/>
              <w:left w:val="nil"/>
              <w:bottom w:val="nil"/>
              <w:right w:val="nil"/>
            </w:tcBorders>
          </w:tcPr>
          <w:p w14:paraId="18FE90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0.105***</w:t>
            </w:r>
          </w:p>
        </w:tc>
        <w:tc>
          <w:tcPr>
            <w:tcW w:w="731" w:type="pct"/>
            <w:tcBorders>
              <w:top w:val="nil"/>
              <w:left w:val="nil"/>
              <w:bottom w:val="nil"/>
              <w:right w:val="nil"/>
            </w:tcBorders>
          </w:tcPr>
          <w:p w14:paraId="79017B3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0.130**</w:t>
            </w:r>
          </w:p>
        </w:tc>
      </w:tr>
      <w:tr w:rsidR="00F00E3D" w:rsidRPr="00335312" w14:paraId="5D0B2DCC" w14:textId="77777777" w:rsidTr="009B2FA7">
        <w:trPr>
          <w:jc w:val="center"/>
        </w:trPr>
        <w:tc>
          <w:tcPr>
            <w:tcW w:w="1183" w:type="pct"/>
            <w:tcBorders>
              <w:top w:val="nil"/>
              <w:left w:val="nil"/>
              <w:bottom w:val="nil"/>
              <w:right w:val="nil"/>
            </w:tcBorders>
          </w:tcPr>
          <w:p w14:paraId="17DE665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A089D2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(16.70)</w:t>
            </w:r>
          </w:p>
        </w:tc>
        <w:tc>
          <w:tcPr>
            <w:tcW w:w="956" w:type="pct"/>
            <w:tcBorders>
              <w:top w:val="nil"/>
              <w:left w:val="nil"/>
              <w:bottom w:val="nil"/>
              <w:right w:val="nil"/>
            </w:tcBorders>
          </w:tcPr>
          <w:p w14:paraId="4781A59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(13.78)</w:t>
            </w:r>
          </w:p>
        </w:tc>
        <w:tc>
          <w:tcPr>
            <w:tcW w:w="711" w:type="pct"/>
            <w:tcBorders>
              <w:top w:val="nil"/>
              <w:left w:val="nil"/>
              <w:bottom w:val="nil"/>
              <w:right w:val="nil"/>
            </w:tcBorders>
          </w:tcPr>
          <w:p w14:paraId="53B9F2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(15.64)</w:t>
            </w:r>
          </w:p>
        </w:tc>
        <w:tc>
          <w:tcPr>
            <w:tcW w:w="837" w:type="pct"/>
            <w:tcBorders>
              <w:top w:val="nil"/>
              <w:left w:val="nil"/>
              <w:bottom w:val="nil"/>
              <w:right w:val="nil"/>
            </w:tcBorders>
          </w:tcPr>
          <w:p w14:paraId="1F948E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(4.577)</w:t>
            </w:r>
          </w:p>
        </w:tc>
        <w:tc>
          <w:tcPr>
            <w:tcW w:w="731" w:type="pct"/>
            <w:tcBorders>
              <w:top w:val="nil"/>
              <w:left w:val="nil"/>
              <w:bottom w:val="nil"/>
              <w:right w:val="nil"/>
            </w:tcBorders>
          </w:tcPr>
          <w:p w14:paraId="2133D8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(4.910)</w:t>
            </w:r>
          </w:p>
        </w:tc>
      </w:tr>
      <w:tr w:rsidR="00F00E3D" w:rsidRPr="00335312" w14:paraId="6E4787E6" w14:textId="77777777" w:rsidTr="009B2FA7">
        <w:trPr>
          <w:jc w:val="center"/>
        </w:trPr>
        <w:tc>
          <w:tcPr>
            <w:tcW w:w="1183" w:type="pct"/>
            <w:tcBorders>
              <w:top w:val="nil"/>
              <w:left w:val="nil"/>
              <w:bottom w:val="nil"/>
              <w:right w:val="nil"/>
            </w:tcBorders>
          </w:tcPr>
          <w:p w14:paraId="10E8CE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2019.year#1.month</w:t>
            </w:r>
          </w:p>
        </w:tc>
        <w:tc>
          <w:tcPr>
            <w:tcW w:w="582" w:type="pct"/>
            <w:tcBorders>
              <w:top w:val="nil"/>
              <w:left w:val="nil"/>
              <w:bottom w:val="nil"/>
              <w:right w:val="nil"/>
            </w:tcBorders>
          </w:tcPr>
          <w:p w14:paraId="4E4B3F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0.110***</w:t>
            </w:r>
          </w:p>
        </w:tc>
        <w:tc>
          <w:tcPr>
            <w:tcW w:w="956" w:type="pct"/>
            <w:tcBorders>
              <w:top w:val="nil"/>
              <w:left w:val="nil"/>
              <w:bottom w:val="nil"/>
              <w:right w:val="nil"/>
            </w:tcBorders>
          </w:tcPr>
          <w:p w14:paraId="37C6F29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0.109***</w:t>
            </w:r>
          </w:p>
        </w:tc>
        <w:tc>
          <w:tcPr>
            <w:tcW w:w="711" w:type="pct"/>
            <w:tcBorders>
              <w:top w:val="nil"/>
              <w:left w:val="nil"/>
              <w:bottom w:val="nil"/>
              <w:right w:val="nil"/>
            </w:tcBorders>
          </w:tcPr>
          <w:p w14:paraId="665456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0.118***</w:t>
            </w:r>
          </w:p>
        </w:tc>
        <w:tc>
          <w:tcPr>
            <w:tcW w:w="837" w:type="pct"/>
            <w:tcBorders>
              <w:top w:val="nil"/>
              <w:left w:val="nil"/>
              <w:bottom w:val="nil"/>
              <w:right w:val="nil"/>
            </w:tcBorders>
          </w:tcPr>
          <w:p w14:paraId="4C8764A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0.106***</w:t>
            </w:r>
          </w:p>
        </w:tc>
        <w:tc>
          <w:tcPr>
            <w:tcW w:w="731" w:type="pct"/>
            <w:tcBorders>
              <w:top w:val="nil"/>
              <w:left w:val="nil"/>
              <w:bottom w:val="nil"/>
              <w:right w:val="nil"/>
            </w:tcBorders>
          </w:tcPr>
          <w:p w14:paraId="012E74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0.171***</w:t>
            </w:r>
          </w:p>
        </w:tc>
      </w:tr>
      <w:tr w:rsidR="00F00E3D" w:rsidRPr="00335312" w14:paraId="02D7BE17" w14:textId="77777777" w:rsidTr="009B2FA7">
        <w:trPr>
          <w:jc w:val="center"/>
        </w:trPr>
        <w:tc>
          <w:tcPr>
            <w:tcW w:w="1183" w:type="pct"/>
            <w:tcBorders>
              <w:top w:val="nil"/>
              <w:left w:val="nil"/>
              <w:bottom w:val="nil"/>
              <w:right w:val="nil"/>
            </w:tcBorders>
          </w:tcPr>
          <w:p w14:paraId="493575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22E680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(17.68)</w:t>
            </w:r>
          </w:p>
        </w:tc>
        <w:tc>
          <w:tcPr>
            <w:tcW w:w="956" w:type="pct"/>
            <w:tcBorders>
              <w:top w:val="nil"/>
              <w:left w:val="nil"/>
              <w:bottom w:val="nil"/>
              <w:right w:val="nil"/>
            </w:tcBorders>
          </w:tcPr>
          <w:p w14:paraId="7FE75C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(14.75)</w:t>
            </w:r>
          </w:p>
        </w:tc>
        <w:tc>
          <w:tcPr>
            <w:tcW w:w="711" w:type="pct"/>
            <w:tcBorders>
              <w:top w:val="nil"/>
              <w:left w:val="nil"/>
              <w:bottom w:val="nil"/>
              <w:right w:val="nil"/>
            </w:tcBorders>
          </w:tcPr>
          <w:p w14:paraId="69D8B2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(16.97)</w:t>
            </w:r>
          </w:p>
        </w:tc>
        <w:tc>
          <w:tcPr>
            <w:tcW w:w="837" w:type="pct"/>
            <w:tcBorders>
              <w:top w:val="nil"/>
              <w:left w:val="nil"/>
              <w:bottom w:val="nil"/>
              <w:right w:val="nil"/>
            </w:tcBorders>
          </w:tcPr>
          <w:p w14:paraId="393EECE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(6.567)</w:t>
            </w:r>
          </w:p>
        </w:tc>
        <w:tc>
          <w:tcPr>
            <w:tcW w:w="731" w:type="pct"/>
            <w:tcBorders>
              <w:top w:val="nil"/>
              <w:left w:val="nil"/>
              <w:bottom w:val="nil"/>
              <w:right w:val="nil"/>
            </w:tcBorders>
          </w:tcPr>
          <w:p w14:paraId="3E133B5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(11.39)</w:t>
            </w:r>
          </w:p>
        </w:tc>
      </w:tr>
      <w:tr w:rsidR="00F00E3D" w:rsidRPr="00335312" w14:paraId="37C7D12A" w14:textId="77777777" w:rsidTr="009B2FA7">
        <w:trPr>
          <w:jc w:val="center"/>
        </w:trPr>
        <w:tc>
          <w:tcPr>
            <w:tcW w:w="1183" w:type="pct"/>
            <w:tcBorders>
              <w:top w:val="nil"/>
              <w:left w:val="nil"/>
              <w:bottom w:val="nil"/>
              <w:right w:val="nil"/>
            </w:tcBorders>
          </w:tcPr>
          <w:p w14:paraId="29A431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2019.year#2.month</w:t>
            </w:r>
          </w:p>
        </w:tc>
        <w:tc>
          <w:tcPr>
            <w:tcW w:w="582" w:type="pct"/>
            <w:tcBorders>
              <w:top w:val="nil"/>
              <w:left w:val="nil"/>
              <w:bottom w:val="nil"/>
              <w:right w:val="nil"/>
            </w:tcBorders>
          </w:tcPr>
          <w:p w14:paraId="1AFE72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0.119***</w:t>
            </w:r>
          </w:p>
        </w:tc>
        <w:tc>
          <w:tcPr>
            <w:tcW w:w="956" w:type="pct"/>
            <w:tcBorders>
              <w:top w:val="nil"/>
              <w:left w:val="nil"/>
              <w:bottom w:val="nil"/>
              <w:right w:val="nil"/>
            </w:tcBorders>
          </w:tcPr>
          <w:p w14:paraId="2E89AD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0.117***</w:t>
            </w:r>
          </w:p>
        </w:tc>
        <w:tc>
          <w:tcPr>
            <w:tcW w:w="711" w:type="pct"/>
            <w:tcBorders>
              <w:top w:val="nil"/>
              <w:left w:val="nil"/>
              <w:bottom w:val="nil"/>
              <w:right w:val="nil"/>
            </w:tcBorders>
          </w:tcPr>
          <w:p w14:paraId="72CC35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0.128***</w:t>
            </w:r>
          </w:p>
        </w:tc>
        <w:tc>
          <w:tcPr>
            <w:tcW w:w="837" w:type="pct"/>
            <w:tcBorders>
              <w:top w:val="nil"/>
              <w:left w:val="nil"/>
              <w:bottom w:val="nil"/>
              <w:right w:val="nil"/>
            </w:tcBorders>
          </w:tcPr>
          <w:p w14:paraId="1F2B823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0.101***</w:t>
            </w:r>
          </w:p>
        </w:tc>
        <w:tc>
          <w:tcPr>
            <w:tcW w:w="731" w:type="pct"/>
            <w:tcBorders>
              <w:top w:val="nil"/>
              <w:left w:val="nil"/>
              <w:bottom w:val="nil"/>
              <w:right w:val="nil"/>
            </w:tcBorders>
          </w:tcPr>
          <w:p w14:paraId="632FB1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0.186***</w:t>
            </w:r>
          </w:p>
        </w:tc>
      </w:tr>
      <w:tr w:rsidR="00F00E3D" w:rsidRPr="00335312" w14:paraId="1D12122F" w14:textId="77777777" w:rsidTr="009B2FA7">
        <w:trPr>
          <w:jc w:val="center"/>
        </w:trPr>
        <w:tc>
          <w:tcPr>
            <w:tcW w:w="1183" w:type="pct"/>
            <w:tcBorders>
              <w:top w:val="nil"/>
              <w:left w:val="nil"/>
              <w:bottom w:val="nil"/>
              <w:right w:val="nil"/>
            </w:tcBorders>
          </w:tcPr>
          <w:p w14:paraId="07B01C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0A4588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(19.38)</w:t>
            </w:r>
          </w:p>
        </w:tc>
        <w:tc>
          <w:tcPr>
            <w:tcW w:w="956" w:type="pct"/>
            <w:tcBorders>
              <w:top w:val="nil"/>
              <w:left w:val="nil"/>
              <w:bottom w:val="nil"/>
              <w:right w:val="nil"/>
            </w:tcBorders>
          </w:tcPr>
          <w:p w14:paraId="2898203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(16.29)</w:t>
            </w:r>
          </w:p>
        </w:tc>
        <w:tc>
          <w:tcPr>
            <w:tcW w:w="711" w:type="pct"/>
            <w:tcBorders>
              <w:top w:val="nil"/>
              <w:left w:val="nil"/>
              <w:bottom w:val="nil"/>
              <w:right w:val="nil"/>
            </w:tcBorders>
          </w:tcPr>
          <w:p w14:paraId="6F17FA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(17.04)</w:t>
            </w:r>
          </w:p>
        </w:tc>
        <w:tc>
          <w:tcPr>
            <w:tcW w:w="837" w:type="pct"/>
            <w:tcBorders>
              <w:top w:val="nil"/>
              <w:left w:val="nil"/>
              <w:bottom w:val="nil"/>
              <w:right w:val="nil"/>
            </w:tcBorders>
          </w:tcPr>
          <w:p w14:paraId="05F0EB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(7.247)</w:t>
            </w:r>
          </w:p>
        </w:tc>
        <w:tc>
          <w:tcPr>
            <w:tcW w:w="731" w:type="pct"/>
            <w:tcBorders>
              <w:top w:val="nil"/>
              <w:left w:val="nil"/>
              <w:bottom w:val="nil"/>
              <w:right w:val="nil"/>
            </w:tcBorders>
          </w:tcPr>
          <w:p w14:paraId="0691A92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(11.33)</w:t>
            </w:r>
          </w:p>
        </w:tc>
      </w:tr>
      <w:tr w:rsidR="00F00E3D" w:rsidRPr="00335312" w14:paraId="4EC66544" w14:textId="77777777" w:rsidTr="009B2FA7">
        <w:trPr>
          <w:jc w:val="center"/>
        </w:trPr>
        <w:tc>
          <w:tcPr>
            <w:tcW w:w="1183" w:type="pct"/>
            <w:tcBorders>
              <w:top w:val="nil"/>
              <w:left w:val="nil"/>
              <w:bottom w:val="nil"/>
              <w:right w:val="nil"/>
            </w:tcBorders>
          </w:tcPr>
          <w:p w14:paraId="59505B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2019.year#3.month</w:t>
            </w:r>
          </w:p>
        </w:tc>
        <w:tc>
          <w:tcPr>
            <w:tcW w:w="582" w:type="pct"/>
            <w:tcBorders>
              <w:top w:val="nil"/>
              <w:left w:val="nil"/>
              <w:bottom w:val="nil"/>
              <w:right w:val="nil"/>
            </w:tcBorders>
          </w:tcPr>
          <w:p w14:paraId="7AD63A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0.133***</w:t>
            </w:r>
          </w:p>
        </w:tc>
        <w:tc>
          <w:tcPr>
            <w:tcW w:w="956" w:type="pct"/>
            <w:tcBorders>
              <w:top w:val="nil"/>
              <w:left w:val="nil"/>
              <w:bottom w:val="nil"/>
              <w:right w:val="nil"/>
            </w:tcBorders>
          </w:tcPr>
          <w:p w14:paraId="077DAC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0.133***</w:t>
            </w:r>
          </w:p>
        </w:tc>
        <w:tc>
          <w:tcPr>
            <w:tcW w:w="711" w:type="pct"/>
            <w:tcBorders>
              <w:top w:val="nil"/>
              <w:left w:val="nil"/>
              <w:bottom w:val="nil"/>
              <w:right w:val="nil"/>
            </w:tcBorders>
          </w:tcPr>
          <w:p w14:paraId="7B5B61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0.132***</w:t>
            </w:r>
          </w:p>
        </w:tc>
        <w:tc>
          <w:tcPr>
            <w:tcW w:w="837" w:type="pct"/>
            <w:tcBorders>
              <w:top w:val="nil"/>
              <w:left w:val="nil"/>
              <w:bottom w:val="nil"/>
              <w:right w:val="nil"/>
            </w:tcBorders>
          </w:tcPr>
          <w:p w14:paraId="7BC8D46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0.132***</w:t>
            </w:r>
          </w:p>
        </w:tc>
        <w:tc>
          <w:tcPr>
            <w:tcW w:w="731" w:type="pct"/>
            <w:tcBorders>
              <w:top w:val="nil"/>
              <w:left w:val="nil"/>
              <w:bottom w:val="nil"/>
              <w:right w:val="nil"/>
            </w:tcBorders>
          </w:tcPr>
          <w:p w14:paraId="628977D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0.158**</w:t>
            </w:r>
          </w:p>
        </w:tc>
      </w:tr>
      <w:tr w:rsidR="00F00E3D" w:rsidRPr="00335312" w14:paraId="76260D51" w14:textId="77777777" w:rsidTr="009B2FA7">
        <w:trPr>
          <w:jc w:val="center"/>
        </w:trPr>
        <w:tc>
          <w:tcPr>
            <w:tcW w:w="1183" w:type="pct"/>
            <w:tcBorders>
              <w:top w:val="nil"/>
              <w:left w:val="nil"/>
              <w:bottom w:val="nil"/>
              <w:right w:val="nil"/>
            </w:tcBorders>
          </w:tcPr>
          <w:p w14:paraId="2C27C17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0C35AA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(27.49)</w:t>
            </w:r>
          </w:p>
        </w:tc>
        <w:tc>
          <w:tcPr>
            <w:tcW w:w="956" w:type="pct"/>
            <w:tcBorders>
              <w:top w:val="nil"/>
              <w:left w:val="nil"/>
              <w:bottom w:val="nil"/>
              <w:right w:val="nil"/>
            </w:tcBorders>
          </w:tcPr>
          <w:p w14:paraId="01EC196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(23.39)</w:t>
            </w:r>
          </w:p>
        </w:tc>
        <w:tc>
          <w:tcPr>
            <w:tcW w:w="711" w:type="pct"/>
            <w:tcBorders>
              <w:top w:val="nil"/>
              <w:left w:val="nil"/>
              <w:bottom w:val="nil"/>
              <w:right w:val="nil"/>
            </w:tcBorders>
          </w:tcPr>
          <w:p w14:paraId="59963D5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(20.46)</w:t>
            </w:r>
          </w:p>
        </w:tc>
        <w:tc>
          <w:tcPr>
            <w:tcW w:w="837" w:type="pct"/>
            <w:tcBorders>
              <w:top w:val="nil"/>
              <w:left w:val="nil"/>
              <w:bottom w:val="nil"/>
              <w:right w:val="nil"/>
            </w:tcBorders>
          </w:tcPr>
          <w:p w14:paraId="73BBCE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(7.707)</w:t>
            </w:r>
          </w:p>
        </w:tc>
        <w:tc>
          <w:tcPr>
            <w:tcW w:w="731" w:type="pct"/>
            <w:tcBorders>
              <w:top w:val="nil"/>
              <w:left w:val="nil"/>
              <w:bottom w:val="nil"/>
              <w:right w:val="nil"/>
            </w:tcBorders>
          </w:tcPr>
          <w:p w14:paraId="06E765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(4.703)</w:t>
            </w:r>
          </w:p>
        </w:tc>
      </w:tr>
      <w:tr w:rsidR="00F00E3D" w:rsidRPr="00335312" w14:paraId="459B8445" w14:textId="77777777" w:rsidTr="009B2FA7">
        <w:trPr>
          <w:jc w:val="center"/>
        </w:trPr>
        <w:tc>
          <w:tcPr>
            <w:tcW w:w="1183" w:type="pct"/>
            <w:tcBorders>
              <w:top w:val="nil"/>
              <w:left w:val="nil"/>
              <w:bottom w:val="nil"/>
              <w:right w:val="nil"/>
            </w:tcBorders>
          </w:tcPr>
          <w:p w14:paraId="2CD9CE2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2019.year#4.month</w:t>
            </w:r>
          </w:p>
        </w:tc>
        <w:tc>
          <w:tcPr>
            <w:tcW w:w="582" w:type="pct"/>
            <w:tcBorders>
              <w:top w:val="nil"/>
              <w:left w:val="nil"/>
              <w:bottom w:val="nil"/>
              <w:right w:val="nil"/>
            </w:tcBorders>
          </w:tcPr>
          <w:p w14:paraId="3AC717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0.133***</w:t>
            </w:r>
          </w:p>
        </w:tc>
        <w:tc>
          <w:tcPr>
            <w:tcW w:w="956" w:type="pct"/>
            <w:tcBorders>
              <w:top w:val="nil"/>
              <w:left w:val="nil"/>
              <w:bottom w:val="nil"/>
              <w:right w:val="nil"/>
            </w:tcBorders>
          </w:tcPr>
          <w:p w14:paraId="02D48F2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0.132***</w:t>
            </w:r>
          </w:p>
        </w:tc>
        <w:tc>
          <w:tcPr>
            <w:tcW w:w="711" w:type="pct"/>
            <w:tcBorders>
              <w:top w:val="nil"/>
              <w:left w:val="nil"/>
              <w:bottom w:val="nil"/>
              <w:right w:val="nil"/>
            </w:tcBorders>
          </w:tcPr>
          <w:p w14:paraId="2F83AF6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0.136***</w:t>
            </w:r>
          </w:p>
        </w:tc>
        <w:tc>
          <w:tcPr>
            <w:tcW w:w="837" w:type="pct"/>
            <w:tcBorders>
              <w:top w:val="nil"/>
              <w:left w:val="nil"/>
              <w:bottom w:val="nil"/>
              <w:right w:val="nil"/>
            </w:tcBorders>
          </w:tcPr>
          <w:p w14:paraId="69EC77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0.131***</w:t>
            </w:r>
          </w:p>
        </w:tc>
        <w:tc>
          <w:tcPr>
            <w:tcW w:w="731" w:type="pct"/>
            <w:tcBorders>
              <w:top w:val="nil"/>
              <w:left w:val="nil"/>
              <w:bottom w:val="nil"/>
              <w:right w:val="nil"/>
            </w:tcBorders>
          </w:tcPr>
          <w:p w14:paraId="2FAAC6D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0.131**</w:t>
            </w:r>
          </w:p>
        </w:tc>
      </w:tr>
      <w:tr w:rsidR="00F00E3D" w:rsidRPr="00335312" w14:paraId="746697D3" w14:textId="77777777" w:rsidTr="009B2FA7">
        <w:trPr>
          <w:jc w:val="center"/>
        </w:trPr>
        <w:tc>
          <w:tcPr>
            <w:tcW w:w="1183" w:type="pct"/>
            <w:tcBorders>
              <w:top w:val="nil"/>
              <w:left w:val="nil"/>
              <w:bottom w:val="nil"/>
              <w:right w:val="nil"/>
            </w:tcBorders>
          </w:tcPr>
          <w:p w14:paraId="7A2E14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54C9A6C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(23.71)</w:t>
            </w:r>
          </w:p>
        </w:tc>
        <w:tc>
          <w:tcPr>
            <w:tcW w:w="956" w:type="pct"/>
            <w:tcBorders>
              <w:top w:val="nil"/>
              <w:left w:val="nil"/>
              <w:bottom w:val="nil"/>
              <w:right w:val="nil"/>
            </w:tcBorders>
          </w:tcPr>
          <w:p w14:paraId="5710917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(19.81)</w:t>
            </w:r>
          </w:p>
        </w:tc>
        <w:tc>
          <w:tcPr>
            <w:tcW w:w="711" w:type="pct"/>
            <w:tcBorders>
              <w:top w:val="nil"/>
              <w:left w:val="nil"/>
              <w:bottom w:val="nil"/>
              <w:right w:val="nil"/>
            </w:tcBorders>
          </w:tcPr>
          <w:p w14:paraId="31AA36C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(19.76)</w:t>
            </w:r>
          </w:p>
        </w:tc>
        <w:tc>
          <w:tcPr>
            <w:tcW w:w="837" w:type="pct"/>
            <w:tcBorders>
              <w:top w:val="nil"/>
              <w:left w:val="nil"/>
              <w:bottom w:val="nil"/>
              <w:right w:val="nil"/>
            </w:tcBorders>
          </w:tcPr>
          <w:p w14:paraId="6A0496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(5.576)</w:t>
            </w:r>
          </w:p>
        </w:tc>
        <w:tc>
          <w:tcPr>
            <w:tcW w:w="731" w:type="pct"/>
            <w:tcBorders>
              <w:top w:val="nil"/>
              <w:left w:val="nil"/>
              <w:bottom w:val="nil"/>
              <w:right w:val="nil"/>
            </w:tcBorders>
          </w:tcPr>
          <w:p w14:paraId="4D1687D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(7.992)</w:t>
            </w:r>
          </w:p>
        </w:tc>
      </w:tr>
      <w:tr w:rsidR="00F00E3D" w:rsidRPr="00335312" w14:paraId="11778AF7" w14:textId="77777777" w:rsidTr="009B2FA7">
        <w:trPr>
          <w:jc w:val="center"/>
        </w:trPr>
        <w:tc>
          <w:tcPr>
            <w:tcW w:w="1183" w:type="pct"/>
            <w:tcBorders>
              <w:top w:val="nil"/>
              <w:left w:val="nil"/>
              <w:bottom w:val="nil"/>
              <w:right w:val="nil"/>
            </w:tcBorders>
          </w:tcPr>
          <w:p w14:paraId="1EDB6D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2019.year#5.month</w:t>
            </w:r>
          </w:p>
        </w:tc>
        <w:tc>
          <w:tcPr>
            <w:tcW w:w="582" w:type="pct"/>
            <w:tcBorders>
              <w:top w:val="nil"/>
              <w:left w:val="nil"/>
              <w:bottom w:val="nil"/>
              <w:right w:val="nil"/>
            </w:tcBorders>
          </w:tcPr>
          <w:p w14:paraId="63044DB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0.128***</w:t>
            </w:r>
          </w:p>
        </w:tc>
        <w:tc>
          <w:tcPr>
            <w:tcW w:w="956" w:type="pct"/>
            <w:tcBorders>
              <w:top w:val="nil"/>
              <w:left w:val="nil"/>
              <w:bottom w:val="nil"/>
              <w:right w:val="nil"/>
            </w:tcBorders>
          </w:tcPr>
          <w:p w14:paraId="3726689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0.127***</w:t>
            </w:r>
          </w:p>
        </w:tc>
        <w:tc>
          <w:tcPr>
            <w:tcW w:w="711" w:type="pct"/>
            <w:tcBorders>
              <w:top w:val="nil"/>
              <w:left w:val="nil"/>
              <w:bottom w:val="nil"/>
              <w:right w:val="nil"/>
            </w:tcBorders>
          </w:tcPr>
          <w:p w14:paraId="5787D73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0.133***</w:t>
            </w:r>
          </w:p>
        </w:tc>
        <w:tc>
          <w:tcPr>
            <w:tcW w:w="837" w:type="pct"/>
            <w:tcBorders>
              <w:top w:val="nil"/>
              <w:left w:val="nil"/>
              <w:bottom w:val="nil"/>
              <w:right w:val="nil"/>
            </w:tcBorders>
          </w:tcPr>
          <w:p w14:paraId="1157B80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0.126***</w:t>
            </w:r>
          </w:p>
        </w:tc>
        <w:tc>
          <w:tcPr>
            <w:tcW w:w="731" w:type="pct"/>
            <w:tcBorders>
              <w:top w:val="nil"/>
              <w:left w:val="nil"/>
              <w:bottom w:val="nil"/>
              <w:right w:val="nil"/>
            </w:tcBorders>
          </w:tcPr>
          <w:p w14:paraId="6D3B27E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0.238**</w:t>
            </w:r>
          </w:p>
        </w:tc>
      </w:tr>
      <w:tr w:rsidR="00F00E3D" w:rsidRPr="00335312" w14:paraId="74D13653" w14:textId="77777777" w:rsidTr="009B2FA7">
        <w:trPr>
          <w:jc w:val="center"/>
        </w:trPr>
        <w:tc>
          <w:tcPr>
            <w:tcW w:w="1183" w:type="pct"/>
            <w:tcBorders>
              <w:top w:val="nil"/>
              <w:left w:val="nil"/>
              <w:bottom w:val="nil"/>
              <w:right w:val="nil"/>
            </w:tcBorders>
          </w:tcPr>
          <w:p w14:paraId="321ACD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94B2C1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(26.22)</w:t>
            </w:r>
          </w:p>
        </w:tc>
        <w:tc>
          <w:tcPr>
            <w:tcW w:w="956" w:type="pct"/>
            <w:tcBorders>
              <w:top w:val="nil"/>
              <w:left w:val="nil"/>
              <w:bottom w:val="nil"/>
              <w:right w:val="nil"/>
            </w:tcBorders>
          </w:tcPr>
          <w:p w14:paraId="63E7B1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(22.35)</w:t>
            </w:r>
          </w:p>
        </w:tc>
        <w:tc>
          <w:tcPr>
            <w:tcW w:w="711" w:type="pct"/>
            <w:tcBorders>
              <w:top w:val="nil"/>
              <w:left w:val="nil"/>
              <w:bottom w:val="nil"/>
              <w:right w:val="nil"/>
            </w:tcBorders>
          </w:tcPr>
          <w:p w14:paraId="4A9302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(17.50)</w:t>
            </w:r>
          </w:p>
        </w:tc>
        <w:tc>
          <w:tcPr>
            <w:tcW w:w="837" w:type="pct"/>
            <w:tcBorders>
              <w:top w:val="nil"/>
              <w:left w:val="nil"/>
              <w:bottom w:val="nil"/>
              <w:right w:val="nil"/>
            </w:tcBorders>
          </w:tcPr>
          <w:p w14:paraId="04C0B8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(7.125)</w:t>
            </w:r>
          </w:p>
        </w:tc>
        <w:tc>
          <w:tcPr>
            <w:tcW w:w="731" w:type="pct"/>
            <w:tcBorders>
              <w:top w:val="nil"/>
              <w:left w:val="nil"/>
              <w:bottom w:val="nil"/>
              <w:right w:val="nil"/>
            </w:tcBorders>
          </w:tcPr>
          <w:p w14:paraId="706F31A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(5.790)</w:t>
            </w:r>
          </w:p>
        </w:tc>
      </w:tr>
      <w:tr w:rsidR="00F00E3D" w:rsidRPr="00335312" w14:paraId="10E3F7B8" w14:textId="77777777" w:rsidTr="009B2FA7">
        <w:trPr>
          <w:jc w:val="center"/>
        </w:trPr>
        <w:tc>
          <w:tcPr>
            <w:tcW w:w="1183" w:type="pct"/>
            <w:tcBorders>
              <w:top w:val="nil"/>
              <w:left w:val="nil"/>
              <w:bottom w:val="nil"/>
              <w:right w:val="nil"/>
            </w:tcBorders>
          </w:tcPr>
          <w:p w14:paraId="191DF9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2019.year#6.month</w:t>
            </w:r>
          </w:p>
        </w:tc>
        <w:tc>
          <w:tcPr>
            <w:tcW w:w="582" w:type="pct"/>
            <w:tcBorders>
              <w:top w:val="nil"/>
              <w:left w:val="nil"/>
              <w:bottom w:val="nil"/>
              <w:right w:val="nil"/>
            </w:tcBorders>
          </w:tcPr>
          <w:p w14:paraId="2E05EE3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0.128***</w:t>
            </w:r>
          </w:p>
        </w:tc>
        <w:tc>
          <w:tcPr>
            <w:tcW w:w="956" w:type="pct"/>
            <w:tcBorders>
              <w:top w:val="nil"/>
              <w:left w:val="nil"/>
              <w:bottom w:val="nil"/>
              <w:right w:val="nil"/>
            </w:tcBorders>
          </w:tcPr>
          <w:p w14:paraId="34918B2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0.128***</w:t>
            </w:r>
          </w:p>
        </w:tc>
        <w:tc>
          <w:tcPr>
            <w:tcW w:w="711" w:type="pct"/>
            <w:tcBorders>
              <w:top w:val="nil"/>
              <w:left w:val="nil"/>
              <w:bottom w:val="nil"/>
              <w:right w:val="nil"/>
            </w:tcBorders>
          </w:tcPr>
          <w:p w14:paraId="4E942D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0.131***</w:t>
            </w:r>
          </w:p>
        </w:tc>
        <w:tc>
          <w:tcPr>
            <w:tcW w:w="837" w:type="pct"/>
            <w:tcBorders>
              <w:top w:val="nil"/>
              <w:left w:val="nil"/>
              <w:bottom w:val="nil"/>
              <w:right w:val="nil"/>
            </w:tcBorders>
          </w:tcPr>
          <w:p w14:paraId="25AA711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0.144***</w:t>
            </w:r>
          </w:p>
        </w:tc>
        <w:tc>
          <w:tcPr>
            <w:tcW w:w="731" w:type="pct"/>
            <w:tcBorders>
              <w:top w:val="nil"/>
              <w:left w:val="nil"/>
              <w:bottom w:val="nil"/>
              <w:right w:val="nil"/>
            </w:tcBorders>
          </w:tcPr>
          <w:p w14:paraId="16C14E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0.240**</w:t>
            </w:r>
          </w:p>
        </w:tc>
      </w:tr>
      <w:tr w:rsidR="00F00E3D" w:rsidRPr="00335312" w14:paraId="0C4FDE56" w14:textId="77777777" w:rsidTr="009B2FA7">
        <w:trPr>
          <w:jc w:val="center"/>
        </w:trPr>
        <w:tc>
          <w:tcPr>
            <w:tcW w:w="1183" w:type="pct"/>
            <w:tcBorders>
              <w:top w:val="nil"/>
              <w:left w:val="nil"/>
              <w:bottom w:val="nil"/>
              <w:right w:val="nil"/>
            </w:tcBorders>
          </w:tcPr>
          <w:p w14:paraId="14A31B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50534B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(20.62)</w:t>
            </w:r>
          </w:p>
        </w:tc>
        <w:tc>
          <w:tcPr>
            <w:tcW w:w="956" w:type="pct"/>
            <w:tcBorders>
              <w:top w:val="nil"/>
              <w:left w:val="nil"/>
              <w:bottom w:val="nil"/>
              <w:right w:val="nil"/>
            </w:tcBorders>
          </w:tcPr>
          <w:p w14:paraId="26966AA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(17.48)</w:t>
            </w:r>
          </w:p>
        </w:tc>
        <w:tc>
          <w:tcPr>
            <w:tcW w:w="711" w:type="pct"/>
            <w:tcBorders>
              <w:top w:val="nil"/>
              <w:left w:val="nil"/>
              <w:bottom w:val="nil"/>
              <w:right w:val="nil"/>
            </w:tcBorders>
          </w:tcPr>
          <w:p w14:paraId="738617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(19.20)</w:t>
            </w:r>
          </w:p>
        </w:tc>
        <w:tc>
          <w:tcPr>
            <w:tcW w:w="837" w:type="pct"/>
            <w:tcBorders>
              <w:top w:val="nil"/>
              <w:left w:val="nil"/>
              <w:bottom w:val="nil"/>
              <w:right w:val="nil"/>
            </w:tcBorders>
          </w:tcPr>
          <w:p w14:paraId="7A51C79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(9.292)</w:t>
            </w:r>
          </w:p>
        </w:tc>
        <w:tc>
          <w:tcPr>
            <w:tcW w:w="731" w:type="pct"/>
            <w:tcBorders>
              <w:top w:val="nil"/>
              <w:left w:val="nil"/>
              <w:bottom w:val="nil"/>
              <w:right w:val="nil"/>
            </w:tcBorders>
          </w:tcPr>
          <w:p w14:paraId="2E624D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(5.588)</w:t>
            </w:r>
          </w:p>
        </w:tc>
      </w:tr>
      <w:tr w:rsidR="00F00E3D" w:rsidRPr="00335312" w14:paraId="46F07115" w14:textId="77777777" w:rsidTr="009B2FA7">
        <w:trPr>
          <w:jc w:val="center"/>
        </w:trPr>
        <w:tc>
          <w:tcPr>
            <w:tcW w:w="1183" w:type="pct"/>
            <w:tcBorders>
              <w:top w:val="nil"/>
              <w:left w:val="nil"/>
              <w:bottom w:val="nil"/>
              <w:right w:val="nil"/>
            </w:tcBorders>
          </w:tcPr>
          <w:p w14:paraId="6F113E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2019.year#7.month</w:t>
            </w:r>
          </w:p>
        </w:tc>
        <w:tc>
          <w:tcPr>
            <w:tcW w:w="582" w:type="pct"/>
            <w:tcBorders>
              <w:top w:val="nil"/>
              <w:left w:val="nil"/>
              <w:bottom w:val="nil"/>
              <w:right w:val="nil"/>
            </w:tcBorders>
          </w:tcPr>
          <w:p w14:paraId="03954D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0.124***</w:t>
            </w:r>
          </w:p>
        </w:tc>
        <w:tc>
          <w:tcPr>
            <w:tcW w:w="956" w:type="pct"/>
            <w:tcBorders>
              <w:top w:val="nil"/>
              <w:left w:val="nil"/>
              <w:bottom w:val="nil"/>
              <w:right w:val="nil"/>
            </w:tcBorders>
          </w:tcPr>
          <w:p w14:paraId="11CC94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0.123***</w:t>
            </w:r>
          </w:p>
        </w:tc>
        <w:tc>
          <w:tcPr>
            <w:tcW w:w="711" w:type="pct"/>
            <w:tcBorders>
              <w:top w:val="nil"/>
              <w:left w:val="nil"/>
              <w:bottom w:val="nil"/>
              <w:right w:val="nil"/>
            </w:tcBorders>
          </w:tcPr>
          <w:p w14:paraId="70793FB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0.130***</w:t>
            </w:r>
          </w:p>
        </w:tc>
        <w:tc>
          <w:tcPr>
            <w:tcW w:w="837" w:type="pct"/>
            <w:tcBorders>
              <w:top w:val="nil"/>
              <w:left w:val="nil"/>
              <w:bottom w:val="nil"/>
              <w:right w:val="nil"/>
            </w:tcBorders>
          </w:tcPr>
          <w:p w14:paraId="768EAC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0.131***</w:t>
            </w:r>
          </w:p>
        </w:tc>
        <w:tc>
          <w:tcPr>
            <w:tcW w:w="731" w:type="pct"/>
            <w:tcBorders>
              <w:top w:val="nil"/>
              <w:left w:val="nil"/>
              <w:bottom w:val="nil"/>
              <w:right w:val="nil"/>
            </w:tcBorders>
          </w:tcPr>
          <w:p w14:paraId="5A749E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0.219*</w:t>
            </w:r>
          </w:p>
        </w:tc>
      </w:tr>
      <w:tr w:rsidR="00F00E3D" w:rsidRPr="00335312" w14:paraId="3C53F374" w14:textId="77777777" w:rsidTr="009B2FA7">
        <w:trPr>
          <w:jc w:val="center"/>
        </w:trPr>
        <w:tc>
          <w:tcPr>
            <w:tcW w:w="1183" w:type="pct"/>
            <w:tcBorders>
              <w:top w:val="nil"/>
              <w:left w:val="nil"/>
              <w:bottom w:val="nil"/>
              <w:right w:val="nil"/>
            </w:tcBorders>
          </w:tcPr>
          <w:p w14:paraId="112F066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541553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(18.30)</w:t>
            </w:r>
          </w:p>
        </w:tc>
        <w:tc>
          <w:tcPr>
            <w:tcW w:w="956" w:type="pct"/>
            <w:tcBorders>
              <w:top w:val="nil"/>
              <w:left w:val="nil"/>
              <w:bottom w:val="nil"/>
              <w:right w:val="nil"/>
            </w:tcBorders>
          </w:tcPr>
          <w:p w14:paraId="513A6DF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(15.48)</w:t>
            </w:r>
          </w:p>
        </w:tc>
        <w:tc>
          <w:tcPr>
            <w:tcW w:w="711" w:type="pct"/>
            <w:tcBorders>
              <w:top w:val="nil"/>
              <w:left w:val="nil"/>
              <w:bottom w:val="nil"/>
              <w:right w:val="nil"/>
            </w:tcBorders>
          </w:tcPr>
          <w:p w14:paraId="4998D98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(18.74)</w:t>
            </w:r>
          </w:p>
        </w:tc>
        <w:tc>
          <w:tcPr>
            <w:tcW w:w="837" w:type="pct"/>
            <w:tcBorders>
              <w:top w:val="nil"/>
              <w:left w:val="nil"/>
              <w:bottom w:val="nil"/>
              <w:right w:val="nil"/>
            </w:tcBorders>
          </w:tcPr>
          <w:p w14:paraId="07DD9FC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(8.494)</w:t>
            </w:r>
          </w:p>
        </w:tc>
        <w:tc>
          <w:tcPr>
            <w:tcW w:w="731" w:type="pct"/>
            <w:tcBorders>
              <w:top w:val="nil"/>
              <w:left w:val="nil"/>
              <w:bottom w:val="nil"/>
              <w:right w:val="nil"/>
            </w:tcBorders>
          </w:tcPr>
          <w:p w14:paraId="5C4774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(3.718)</w:t>
            </w:r>
          </w:p>
        </w:tc>
      </w:tr>
      <w:tr w:rsidR="00F00E3D" w:rsidRPr="00335312" w14:paraId="15AA7496" w14:textId="77777777" w:rsidTr="009B2FA7">
        <w:trPr>
          <w:jc w:val="center"/>
        </w:trPr>
        <w:tc>
          <w:tcPr>
            <w:tcW w:w="1183" w:type="pct"/>
            <w:tcBorders>
              <w:top w:val="nil"/>
              <w:left w:val="nil"/>
              <w:bottom w:val="nil"/>
              <w:right w:val="nil"/>
            </w:tcBorders>
          </w:tcPr>
          <w:p w14:paraId="7BAF847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2019.year#8.month</w:t>
            </w:r>
          </w:p>
        </w:tc>
        <w:tc>
          <w:tcPr>
            <w:tcW w:w="582" w:type="pct"/>
            <w:tcBorders>
              <w:top w:val="nil"/>
              <w:left w:val="nil"/>
              <w:bottom w:val="nil"/>
              <w:right w:val="nil"/>
            </w:tcBorders>
          </w:tcPr>
          <w:p w14:paraId="177A26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0.122***</w:t>
            </w:r>
          </w:p>
        </w:tc>
        <w:tc>
          <w:tcPr>
            <w:tcW w:w="956" w:type="pct"/>
            <w:tcBorders>
              <w:top w:val="nil"/>
              <w:left w:val="nil"/>
              <w:bottom w:val="nil"/>
              <w:right w:val="nil"/>
            </w:tcBorders>
          </w:tcPr>
          <w:p w14:paraId="441AF8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0.122***</w:t>
            </w:r>
          </w:p>
        </w:tc>
        <w:tc>
          <w:tcPr>
            <w:tcW w:w="711" w:type="pct"/>
            <w:tcBorders>
              <w:top w:val="nil"/>
              <w:left w:val="nil"/>
              <w:bottom w:val="nil"/>
              <w:right w:val="nil"/>
            </w:tcBorders>
          </w:tcPr>
          <w:p w14:paraId="59CBE6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0.127***</w:t>
            </w:r>
          </w:p>
        </w:tc>
        <w:tc>
          <w:tcPr>
            <w:tcW w:w="837" w:type="pct"/>
            <w:tcBorders>
              <w:top w:val="nil"/>
              <w:left w:val="nil"/>
              <w:bottom w:val="nil"/>
              <w:right w:val="nil"/>
            </w:tcBorders>
          </w:tcPr>
          <w:p w14:paraId="7E4EE1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0.148***</w:t>
            </w:r>
          </w:p>
        </w:tc>
        <w:tc>
          <w:tcPr>
            <w:tcW w:w="731" w:type="pct"/>
            <w:tcBorders>
              <w:top w:val="nil"/>
              <w:left w:val="nil"/>
              <w:bottom w:val="nil"/>
              <w:right w:val="nil"/>
            </w:tcBorders>
          </w:tcPr>
          <w:p w14:paraId="333865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0.194*</w:t>
            </w:r>
          </w:p>
        </w:tc>
      </w:tr>
      <w:tr w:rsidR="00F00E3D" w:rsidRPr="00335312" w14:paraId="3EB76364" w14:textId="77777777" w:rsidTr="009B2FA7">
        <w:trPr>
          <w:jc w:val="center"/>
        </w:trPr>
        <w:tc>
          <w:tcPr>
            <w:tcW w:w="1183" w:type="pct"/>
            <w:tcBorders>
              <w:top w:val="nil"/>
              <w:left w:val="nil"/>
              <w:bottom w:val="nil"/>
              <w:right w:val="nil"/>
            </w:tcBorders>
          </w:tcPr>
          <w:p w14:paraId="4747694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199E60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(21.47)</w:t>
            </w:r>
          </w:p>
        </w:tc>
        <w:tc>
          <w:tcPr>
            <w:tcW w:w="956" w:type="pct"/>
            <w:tcBorders>
              <w:top w:val="nil"/>
              <w:left w:val="nil"/>
              <w:bottom w:val="nil"/>
              <w:right w:val="nil"/>
            </w:tcBorders>
          </w:tcPr>
          <w:p w14:paraId="6BEAA49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(18.26)</w:t>
            </w:r>
          </w:p>
        </w:tc>
        <w:tc>
          <w:tcPr>
            <w:tcW w:w="711" w:type="pct"/>
            <w:tcBorders>
              <w:top w:val="nil"/>
              <w:left w:val="nil"/>
              <w:bottom w:val="nil"/>
              <w:right w:val="nil"/>
            </w:tcBorders>
          </w:tcPr>
          <w:p w14:paraId="23B904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(18.12)</w:t>
            </w:r>
          </w:p>
        </w:tc>
        <w:tc>
          <w:tcPr>
            <w:tcW w:w="837" w:type="pct"/>
            <w:tcBorders>
              <w:top w:val="nil"/>
              <w:left w:val="nil"/>
              <w:bottom w:val="nil"/>
              <w:right w:val="nil"/>
            </w:tcBorders>
          </w:tcPr>
          <w:p w14:paraId="0BEEA6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(6.480)</w:t>
            </w:r>
          </w:p>
        </w:tc>
        <w:tc>
          <w:tcPr>
            <w:tcW w:w="731" w:type="pct"/>
            <w:tcBorders>
              <w:top w:val="nil"/>
              <w:left w:val="nil"/>
              <w:bottom w:val="nil"/>
              <w:right w:val="nil"/>
            </w:tcBorders>
          </w:tcPr>
          <w:p w14:paraId="5D631F5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(4.195)</w:t>
            </w:r>
          </w:p>
        </w:tc>
      </w:tr>
      <w:tr w:rsidR="00F00E3D" w:rsidRPr="00335312" w14:paraId="74C1CB7B" w14:textId="77777777" w:rsidTr="009B2FA7">
        <w:trPr>
          <w:jc w:val="center"/>
        </w:trPr>
        <w:tc>
          <w:tcPr>
            <w:tcW w:w="1183" w:type="pct"/>
            <w:tcBorders>
              <w:top w:val="nil"/>
              <w:left w:val="nil"/>
              <w:bottom w:val="nil"/>
              <w:right w:val="nil"/>
            </w:tcBorders>
          </w:tcPr>
          <w:p w14:paraId="1C6CD20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2019.year#9.month</w:t>
            </w:r>
          </w:p>
        </w:tc>
        <w:tc>
          <w:tcPr>
            <w:tcW w:w="582" w:type="pct"/>
            <w:tcBorders>
              <w:top w:val="nil"/>
              <w:left w:val="nil"/>
              <w:bottom w:val="nil"/>
              <w:right w:val="nil"/>
            </w:tcBorders>
          </w:tcPr>
          <w:p w14:paraId="15C293E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0.119***</w:t>
            </w:r>
          </w:p>
        </w:tc>
        <w:tc>
          <w:tcPr>
            <w:tcW w:w="956" w:type="pct"/>
            <w:tcBorders>
              <w:top w:val="nil"/>
              <w:left w:val="nil"/>
              <w:bottom w:val="nil"/>
              <w:right w:val="nil"/>
            </w:tcBorders>
          </w:tcPr>
          <w:p w14:paraId="64B045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0.117***</w:t>
            </w:r>
          </w:p>
        </w:tc>
        <w:tc>
          <w:tcPr>
            <w:tcW w:w="711" w:type="pct"/>
            <w:tcBorders>
              <w:top w:val="nil"/>
              <w:left w:val="nil"/>
              <w:bottom w:val="nil"/>
              <w:right w:val="nil"/>
            </w:tcBorders>
          </w:tcPr>
          <w:p w14:paraId="596832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0.133***</w:t>
            </w:r>
          </w:p>
        </w:tc>
        <w:tc>
          <w:tcPr>
            <w:tcW w:w="837" w:type="pct"/>
            <w:tcBorders>
              <w:top w:val="nil"/>
              <w:left w:val="nil"/>
              <w:bottom w:val="nil"/>
              <w:right w:val="nil"/>
            </w:tcBorders>
          </w:tcPr>
          <w:p w14:paraId="0D6ACAC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0.146***</w:t>
            </w:r>
          </w:p>
        </w:tc>
        <w:tc>
          <w:tcPr>
            <w:tcW w:w="731" w:type="pct"/>
            <w:tcBorders>
              <w:top w:val="nil"/>
              <w:left w:val="nil"/>
              <w:bottom w:val="nil"/>
              <w:right w:val="nil"/>
            </w:tcBorders>
          </w:tcPr>
          <w:p w14:paraId="54F276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0.192***</w:t>
            </w:r>
          </w:p>
        </w:tc>
      </w:tr>
      <w:tr w:rsidR="00F00E3D" w:rsidRPr="00335312" w14:paraId="40FFB87C" w14:textId="77777777" w:rsidTr="009B2FA7">
        <w:trPr>
          <w:jc w:val="center"/>
        </w:trPr>
        <w:tc>
          <w:tcPr>
            <w:tcW w:w="1183" w:type="pct"/>
            <w:tcBorders>
              <w:top w:val="nil"/>
              <w:left w:val="nil"/>
              <w:bottom w:val="nil"/>
              <w:right w:val="nil"/>
            </w:tcBorders>
          </w:tcPr>
          <w:p w14:paraId="49A82EE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541D6D6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(19.10)</w:t>
            </w:r>
          </w:p>
        </w:tc>
        <w:tc>
          <w:tcPr>
            <w:tcW w:w="956" w:type="pct"/>
            <w:tcBorders>
              <w:top w:val="nil"/>
              <w:left w:val="nil"/>
              <w:bottom w:val="nil"/>
              <w:right w:val="nil"/>
            </w:tcBorders>
          </w:tcPr>
          <w:p w14:paraId="07FAD57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(16.72)</w:t>
            </w:r>
          </w:p>
        </w:tc>
        <w:tc>
          <w:tcPr>
            <w:tcW w:w="711" w:type="pct"/>
            <w:tcBorders>
              <w:top w:val="nil"/>
              <w:left w:val="nil"/>
              <w:bottom w:val="nil"/>
              <w:right w:val="nil"/>
            </w:tcBorders>
          </w:tcPr>
          <w:p w14:paraId="3CDB45C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(15.14)</w:t>
            </w:r>
          </w:p>
        </w:tc>
        <w:tc>
          <w:tcPr>
            <w:tcW w:w="837" w:type="pct"/>
            <w:tcBorders>
              <w:top w:val="nil"/>
              <w:left w:val="nil"/>
              <w:bottom w:val="nil"/>
              <w:right w:val="nil"/>
            </w:tcBorders>
          </w:tcPr>
          <w:p w14:paraId="4310316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(5.264)</w:t>
            </w:r>
          </w:p>
        </w:tc>
        <w:tc>
          <w:tcPr>
            <w:tcW w:w="731" w:type="pct"/>
            <w:tcBorders>
              <w:top w:val="nil"/>
              <w:left w:val="nil"/>
              <w:bottom w:val="nil"/>
              <w:right w:val="nil"/>
            </w:tcBorders>
          </w:tcPr>
          <w:p w14:paraId="5F43A43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(11.58)</w:t>
            </w:r>
          </w:p>
        </w:tc>
      </w:tr>
      <w:tr w:rsidR="00F00E3D" w:rsidRPr="00335312" w14:paraId="2D4852A4" w14:textId="77777777" w:rsidTr="009B2FA7">
        <w:trPr>
          <w:jc w:val="center"/>
        </w:trPr>
        <w:tc>
          <w:tcPr>
            <w:tcW w:w="1183" w:type="pct"/>
            <w:tcBorders>
              <w:top w:val="nil"/>
              <w:left w:val="nil"/>
              <w:bottom w:val="nil"/>
              <w:right w:val="nil"/>
            </w:tcBorders>
          </w:tcPr>
          <w:p w14:paraId="2D55331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2019.year#10.month</w:t>
            </w:r>
          </w:p>
        </w:tc>
        <w:tc>
          <w:tcPr>
            <w:tcW w:w="582" w:type="pct"/>
            <w:tcBorders>
              <w:top w:val="nil"/>
              <w:left w:val="nil"/>
              <w:bottom w:val="nil"/>
              <w:right w:val="nil"/>
            </w:tcBorders>
          </w:tcPr>
          <w:p w14:paraId="389666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0.0716*</w:t>
            </w:r>
          </w:p>
        </w:tc>
        <w:tc>
          <w:tcPr>
            <w:tcW w:w="956" w:type="pct"/>
            <w:tcBorders>
              <w:top w:val="nil"/>
              <w:left w:val="nil"/>
              <w:bottom w:val="nil"/>
              <w:right w:val="nil"/>
            </w:tcBorders>
          </w:tcPr>
          <w:p w14:paraId="7CDE98F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0.0626</w:t>
            </w:r>
          </w:p>
        </w:tc>
        <w:tc>
          <w:tcPr>
            <w:tcW w:w="711" w:type="pct"/>
            <w:tcBorders>
              <w:top w:val="nil"/>
              <w:left w:val="nil"/>
              <w:bottom w:val="nil"/>
              <w:right w:val="nil"/>
            </w:tcBorders>
          </w:tcPr>
          <w:p w14:paraId="029F40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0.132***</w:t>
            </w:r>
          </w:p>
        </w:tc>
        <w:tc>
          <w:tcPr>
            <w:tcW w:w="837" w:type="pct"/>
            <w:tcBorders>
              <w:top w:val="nil"/>
              <w:left w:val="nil"/>
              <w:bottom w:val="nil"/>
              <w:right w:val="nil"/>
            </w:tcBorders>
          </w:tcPr>
          <w:p w14:paraId="327A69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0.155***</w:t>
            </w:r>
          </w:p>
        </w:tc>
        <w:tc>
          <w:tcPr>
            <w:tcW w:w="731" w:type="pct"/>
            <w:tcBorders>
              <w:top w:val="nil"/>
              <w:left w:val="nil"/>
              <w:bottom w:val="nil"/>
              <w:right w:val="nil"/>
            </w:tcBorders>
          </w:tcPr>
          <w:p w14:paraId="1D3249D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0.177*</w:t>
            </w:r>
          </w:p>
        </w:tc>
      </w:tr>
      <w:tr w:rsidR="00F00E3D" w:rsidRPr="00335312" w14:paraId="5FC751A1" w14:textId="77777777" w:rsidTr="009B2FA7">
        <w:trPr>
          <w:jc w:val="center"/>
        </w:trPr>
        <w:tc>
          <w:tcPr>
            <w:tcW w:w="1183" w:type="pct"/>
            <w:tcBorders>
              <w:top w:val="nil"/>
              <w:left w:val="nil"/>
              <w:bottom w:val="nil"/>
              <w:right w:val="nil"/>
            </w:tcBorders>
          </w:tcPr>
          <w:p w14:paraId="4A972FA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250AE2F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(1.783)</w:t>
            </w:r>
          </w:p>
        </w:tc>
        <w:tc>
          <w:tcPr>
            <w:tcW w:w="956" w:type="pct"/>
            <w:tcBorders>
              <w:top w:val="nil"/>
              <w:left w:val="nil"/>
              <w:bottom w:val="nil"/>
              <w:right w:val="nil"/>
            </w:tcBorders>
          </w:tcPr>
          <w:p w14:paraId="2DB30A4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(1.462)</w:t>
            </w:r>
          </w:p>
        </w:tc>
        <w:tc>
          <w:tcPr>
            <w:tcW w:w="711" w:type="pct"/>
            <w:tcBorders>
              <w:top w:val="nil"/>
              <w:left w:val="nil"/>
              <w:bottom w:val="nil"/>
              <w:right w:val="nil"/>
            </w:tcBorders>
          </w:tcPr>
          <w:p w14:paraId="489D539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(19.68)</w:t>
            </w:r>
          </w:p>
        </w:tc>
        <w:tc>
          <w:tcPr>
            <w:tcW w:w="837" w:type="pct"/>
            <w:tcBorders>
              <w:top w:val="nil"/>
              <w:left w:val="nil"/>
              <w:bottom w:val="nil"/>
              <w:right w:val="nil"/>
            </w:tcBorders>
          </w:tcPr>
          <w:p w14:paraId="569D1BA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(8.855)</w:t>
            </w:r>
          </w:p>
        </w:tc>
        <w:tc>
          <w:tcPr>
            <w:tcW w:w="731" w:type="pct"/>
            <w:tcBorders>
              <w:top w:val="nil"/>
              <w:left w:val="nil"/>
              <w:bottom w:val="nil"/>
              <w:right w:val="nil"/>
            </w:tcBorders>
          </w:tcPr>
          <w:p w14:paraId="643BA8C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(4.081)</w:t>
            </w:r>
          </w:p>
        </w:tc>
      </w:tr>
      <w:tr w:rsidR="00F00E3D" w:rsidRPr="00335312" w14:paraId="632D05DF" w14:textId="77777777" w:rsidTr="009B2FA7">
        <w:trPr>
          <w:jc w:val="center"/>
        </w:trPr>
        <w:tc>
          <w:tcPr>
            <w:tcW w:w="1183" w:type="pct"/>
            <w:tcBorders>
              <w:top w:val="nil"/>
              <w:left w:val="nil"/>
              <w:bottom w:val="nil"/>
              <w:right w:val="nil"/>
            </w:tcBorders>
          </w:tcPr>
          <w:p w14:paraId="7C937E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2019.year#11.month</w:t>
            </w:r>
          </w:p>
        </w:tc>
        <w:tc>
          <w:tcPr>
            <w:tcW w:w="582" w:type="pct"/>
            <w:tcBorders>
              <w:top w:val="nil"/>
              <w:left w:val="nil"/>
              <w:bottom w:val="nil"/>
              <w:right w:val="nil"/>
            </w:tcBorders>
          </w:tcPr>
          <w:p w14:paraId="415C8B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0.125***</w:t>
            </w:r>
          </w:p>
        </w:tc>
        <w:tc>
          <w:tcPr>
            <w:tcW w:w="956" w:type="pct"/>
            <w:tcBorders>
              <w:top w:val="nil"/>
              <w:left w:val="nil"/>
              <w:bottom w:val="nil"/>
              <w:right w:val="nil"/>
            </w:tcBorders>
          </w:tcPr>
          <w:p w14:paraId="1669DA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0.124***</w:t>
            </w:r>
          </w:p>
        </w:tc>
        <w:tc>
          <w:tcPr>
            <w:tcW w:w="711" w:type="pct"/>
            <w:tcBorders>
              <w:top w:val="nil"/>
              <w:left w:val="nil"/>
              <w:bottom w:val="nil"/>
              <w:right w:val="nil"/>
            </w:tcBorders>
          </w:tcPr>
          <w:p w14:paraId="75F24D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0.133***</w:t>
            </w:r>
          </w:p>
        </w:tc>
        <w:tc>
          <w:tcPr>
            <w:tcW w:w="837" w:type="pct"/>
            <w:tcBorders>
              <w:top w:val="nil"/>
              <w:left w:val="nil"/>
              <w:bottom w:val="nil"/>
              <w:right w:val="nil"/>
            </w:tcBorders>
          </w:tcPr>
          <w:p w14:paraId="6BA577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0.168***</w:t>
            </w:r>
          </w:p>
        </w:tc>
        <w:tc>
          <w:tcPr>
            <w:tcW w:w="731" w:type="pct"/>
            <w:tcBorders>
              <w:top w:val="nil"/>
              <w:left w:val="nil"/>
              <w:bottom w:val="nil"/>
              <w:right w:val="nil"/>
            </w:tcBorders>
          </w:tcPr>
          <w:p w14:paraId="45EE54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0.174**</w:t>
            </w:r>
          </w:p>
        </w:tc>
      </w:tr>
      <w:tr w:rsidR="00F00E3D" w:rsidRPr="00335312" w14:paraId="6BB82AD0" w14:textId="77777777" w:rsidTr="009B2FA7">
        <w:trPr>
          <w:jc w:val="center"/>
        </w:trPr>
        <w:tc>
          <w:tcPr>
            <w:tcW w:w="1183" w:type="pct"/>
            <w:tcBorders>
              <w:top w:val="nil"/>
              <w:left w:val="nil"/>
              <w:bottom w:val="nil"/>
              <w:right w:val="nil"/>
            </w:tcBorders>
          </w:tcPr>
          <w:p w14:paraId="514725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3176E2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(16.29)</w:t>
            </w:r>
          </w:p>
        </w:tc>
        <w:tc>
          <w:tcPr>
            <w:tcW w:w="956" w:type="pct"/>
            <w:tcBorders>
              <w:top w:val="nil"/>
              <w:left w:val="nil"/>
              <w:bottom w:val="nil"/>
              <w:right w:val="nil"/>
            </w:tcBorders>
          </w:tcPr>
          <w:p w14:paraId="38E91A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(13.71)</w:t>
            </w:r>
          </w:p>
        </w:tc>
        <w:tc>
          <w:tcPr>
            <w:tcW w:w="711" w:type="pct"/>
            <w:tcBorders>
              <w:top w:val="nil"/>
              <w:left w:val="nil"/>
              <w:bottom w:val="nil"/>
              <w:right w:val="nil"/>
            </w:tcBorders>
          </w:tcPr>
          <w:p w14:paraId="619E733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(21.71)</w:t>
            </w:r>
          </w:p>
        </w:tc>
        <w:tc>
          <w:tcPr>
            <w:tcW w:w="837" w:type="pct"/>
            <w:tcBorders>
              <w:top w:val="nil"/>
              <w:left w:val="nil"/>
              <w:bottom w:val="nil"/>
              <w:right w:val="nil"/>
            </w:tcBorders>
          </w:tcPr>
          <w:p w14:paraId="16B7AFC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(11.66)</w:t>
            </w:r>
          </w:p>
        </w:tc>
        <w:tc>
          <w:tcPr>
            <w:tcW w:w="731" w:type="pct"/>
            <w:tcBorders>
              <w:top w:val="nil"/>
              <w:left w:val="nil"/>
              <w:bottom w:val="nil"/>
              <w:right w:val="nil"/>
            </w:tcBorders>
          </w:tcPr>
          <w:p w14:paraId="1FDFE7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(6.365)</w:t>
            </w:r>
          </w:p>
        </w:tc>
      </w:tr>
      <w:tr w:rsidR="00F00E3D" w:rsidRPr="00335312" w14:paraId="3E427DDC" w14:textId="77777777" w:rsidTr="009B2FA7">
        <w:trPr>
          <w:jc w:val="center"/>
        </w:trPr>
        <w:tc>
          <w:tcPr>
            <w:tcW w:w="1183" w:type="pct"/>
            <w:tcBorders>
              <w:top w:val="nil"/>
              <w:left w:val="nil"/>
              <w:bottom w:val="nil"/>
              <w:right w:val="nil"/>
            </w:tcBorders>
          </w:tcPr>
          <w:p w14:paraId="134F6B3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2019.year#12.month</w:t>
            </w:r>
          </w:p>
        </w:tc>
        <w:tc>
          <w:tcPr>
            <w:tcW w:w="582" w:type="pct"/>
            <w:tcBorders>
              <w:top w:val="nil"/>
              <w:left w:val="nil"/>
              <w:bottom w:val="nil"/>
              <w:right w:val="nil"/>
            </w:tcBorders>
          </w:tcPr>
          <w:p w14:paraId="68D10E5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0.124***</w:t>
            </w:r>
          </w:p>
        </w:tc>
        <w:tc>
          <w:tcPr>
            <w:tcW w:w="956" w:type="pct"/>
            <w:tcBorders>
              <w:top w:val="nil"/>
              <w:left w:val="nil"/>
              <w:bottom w:val="nil"/>
              <w:right w:val="nil"/>
            </w:tcBorders>
          </w:tcPr>
          <w:p w14:paraId="37203F5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0.122***</w:t>
            </w:r>
          </w:p>
        </w:tc>
        <w:tc>
          <w:tcPr>
            <w:tcW w:w="711" w:type="pct"/>
            <w:tcBorders>
              <w:top w:val="nil"/>
              <w:left w:val="nil"/>
              <w:bottom w:val="nil"/>
              <w:right w:val="nil"/>
            </w:tcBorders>
          </w:tcPr>
          <w:p w14:paraId="6B2B43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0.134***</w:t>
            </w:r>
          </w:p>
        </w:tc>
        <w:tc>
          <w:tcPr>
            <w:tcW w:w="837" w:type="pct"/>
            <w:tcBorders>
              <w:top w:val="nil"/>
              <w:left w:val="nil"/>
              <w:bottom w:val="nil"/>
              <w:right w:val="nil"/>
            </w:tcBorders>
          </w:tcPr>
          <w:p w14:paraId="75C67D5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0.183***</w:t>
            </w:r>
          </w:p>
        </w:tc>
        <w:tc>
          <w:tcPr>
            <w:tcW w:w="731" w:type="pct"/>
            <w:tcBorders>
              <w:top w:val="nil"/>
              <w:left w:val="nil"/>
              <w:bottom w:val="nil"/>
              <w:right w:val="nil"/>
            </w:tcBorders>
          </w:tcPr>
          <w:p w14:paraId="5AC4782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0.166**</w:t>
            </w:r>
          </w:p>
        </w:tc>
      </w:tr>
      <w:tr w:rsidR="00F00E3D" w:rsidRPr="00335312" w14:paraId="586B771B" w14:textId="77777777" w:rsidTr="009B2FA7">
        <w:trPr>
          <w:jc w:val="center"/>
        </w:trPr>
        <w:tc>
          <w:tcPr>
            <w:tcW w:w="1183" w:type="pct"/>
            <w:tcBorders>
              <w:top w:val="nil"/>
              <w:left w:val="nil"/>
              <w:bottom w:val="nil"/>
              <w:right w:val="nil"/>
            </w:tcBorders>
          </w:tcPr>
          <w:p w14:paraId="17E326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00585E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(16.19)</w:t>
            </w:r>
          </w:p>
        </w:tc>
        <w:tc>
          <w:tcPr>
            <w:tcW w:w="956" w:type="pct"/>
            <w:tcBorders>
              <w:top w:val="nil"/>
              <w:left w:val="nil"/>
              <w:bottom w:val="nil"/>
              <w:right w:val="nil"/>
            </w:tcBorders>
          </w:tcPr>
          <w:p w14:paraId="593909F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(13.65)</w:t>
            </w:r>
          </w:p>
        </w:tc>
        <w:tc>
          <w:tcPr>
            <w:tcW w:w="711" w:type="pct"/>
            <w:tcBorders>
              <w:top w:val="nil"/>
              <w:left w:val="nil"/>
              <w:bottom w:val="nil"/>
              <w:right w:val="nil"/>
            </w:tcBorders>
          </w:tcPr>
          <w:p w14:paraId="7C3FB3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(17.76)</w:t>
            </w:r>
          </w:p>
        </w:tc>
        <w:tc>
          <w:tcPr>
            <w:tcW w:w="837" w:type="pct"/>
            <w:tcBorders>
              <w:top w:val="nil"/>
              <w:left w:val="nil"/>
              <w:bottom w:val="nil"/>
              <w:right w:val="nil"/>
            </w:tcBorders>
          </w:tcPr>
          <w:p w14:paraId="32DCDA8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(7.768)</w:t>
            </w:r>
          </w:p>
        </w:tc>
        <w:tc>
          <w:tcPr>
            <w:tcW w:w="731" w:type="pct"/>
            <w:tcBorders>
              <w:top w:val="nil"/>
              <w:left w:val="nil"/>
              <w:bottom w:val="nil"/>
              <w:right w:val="nil"/>
            </w:tcBorders>
          </w:tcPr>
          <w:p w14:paraId="5DB734A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(5.359)</w:t>
            </w:r>
          </w:p>
        </w:tc>
      </w:tr>
      <w:tr w:rsidR="00F00E3D" w:rsidRPr="00335312" w14:paraId="13EC4CE1" w14:textId="77777777" w:rsidTr="009B2FA7">
        <w:trPr>
          <w:jc w:val="center"/>
        </w:trPr>
        <w:tc>
          <w:tcPr>
            <w:tcW w:w="1183" w:type="pct"/>
            <w:tcBorders>
              <w:top w:val="nil"/>
              <w:left w:val="nil"/>
              <w:bottom w:val="nil"/>
              <w:right w:val="nil"/>
            </w:tcBorders>
          </w:tcPr>
          <w:p w14:paraId="2DC526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2020.year#1.month</w:t>
            </w:r>
          </w:p>
        </w:tc>
        <w:tc>
          <w:tcPr>
            <w:tcW w:w="582" w:type="pct"/>
            <w:tcBorders>
              <w:top w:val="nil"/>
              <w:left w:val="nil"/>
              <w:bottom w:val="nil"/>
              <w:right w:val="nil"/>
            </w:tcBorders>
          </w:tcPr>
          <w:p w14:paraId="7F6287E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0.138***</w:t>
            </w:r>
          </w:p>
        </w:tc>
        <w:tc>
          <w:tcPr>
            <w:tcW w:w="956" w:type="pct"/>
            <w:tcBorders>
              <w:top w:val="nil"/>
              <w:left w:val="nil"/>
              <w:bottom w:val="nil"/>
              <w:right w:val="nil"/>
            </w:tcBorders>
          </w:tcPr>
          <w:p w14:paraId="020400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0.136***</w:t>
            </w:r>
          </w:p>
        </w:tc>
        <w:tc>
          <w:tcPr>
            <w:tcW w:w="711" w:type="pct"/>
            <w:tcBorders>
              <w:top w:val="nil"/>
              <w:left w:val="nil"/>
              <w:bottom w:val="nil"/>
              <w:right w:val="nil"/>
            </w:tcBorders>
          </w:tcPr>
          <w:p w14:paraId="6E9AFEB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0.148***</w:t>
            </w:r>
          </w:p>
        </w:tc>
        <w:tc>
          <w:tcPr>
            <w:tcW w:w="837" w:type="pct"/>
            <w:tcBorders>
              <w:top w:val="nil"/>
              <w:left w:val="nil"/>
              <w:bottom w:val="nil"/>
              <w:right w:val="nil"/>
            </w:tcBorders>
          </w:tcPr>
          <w:p w14:paraId="4B2B3EE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0.179***</w:t>
            </w:r>
          </w:p>
        </w:tc>
        <w:tc>
          <w:tcPr>
            <w:tcW w:w="731" w:type="pct"/>
            <w:tcBorders>
              <w:top w:val="nil"/>
              <w:left w:val="nil"/>
              <w:bottom w:val="nil"/>
              <w:right w:val="nil"/>
            </w:tcBorders>
          </w:tcPr>
          <w:p w14:paraId="5517FA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0.244***</w:t>
            </w:r>
          </w:p>
        </w:tc>
      </w:tr>
      <w:tr w:rsidR="00F00E3D" w:rsidRPr="00335312" w14:paraId="54461216" w14:textId="77777777" w:rsidTr="009B2FA7">
        <w:trPr>
          <w:jc w:val="center"/>
        </w:trPr>
        <w:tc>
          <w:tcPr>
            <w:tcW w:w="1183" w:type="pct"/>
            <w:tcBorders>
              <w:top w:val="nil"/>
              <w:left w:val="nil"/>
              <w:bottom w:val="nil"/>
              <w:right w:val="nil"/>
            </w:tcBorders>
          </w:tcPr>
          <w:p w14:paraId="6B4E02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2ACB226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(17.30)</w:t>
            </w:r>
          </w:p>
        </w:tc>
        <w:tc>
          <w:tcPr>
            <w:tcW w:w="956" w:type="pct"/>
            <w:tcBorders>
              <w:top w:val="nil"/>
              <w:left w:val="nil"/>
              <w:bottom w:val="nil"/>
              <w:right w:val="nil"/>
            </w:tcBorders>
          </w:tcPr>
          <w:p w14:paraId="4DF400C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(14.32)</w:t>
            </w:r>
          </w:p>
        </w:tc>
        <w:tc>
          <w:tcPr>
            <w:tcW w:w="711" w:type="pct"/>
            <w:tcBorders>
              <w:top w:val="nil"/>
              <w:left w:val="nil"/>
              <w:bottom w:val="nil"/>
              <w:right w:val="nil"/>
            </w:tcBorders>
          </w:tcPr>
          <w:p w14:paraId="24CE4B4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(19.45)</w:t>
            </w:r>
          </w:p>
        </w:tc>
        <w:tc>
          <w:tcPr>
            <w:tcW w:w="837" w:type="pct"/>
            <w:tcBorders>
              <w:top w:val="nil"/>
              <w:left w:val="nil"/>
              <w:bottom w:val="nil"/>
              <w:right w:val="nil"/>
            </w:tcBorders>
          </w:tcPr>
          <w:p w14:paraId="1929AD3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(9.631)</w:t>
            </w:r>
          </w:p>
        </w:tc>
        <w:tc>
          <w:tcPr>
            <w:tcW w:w="731" w:type="pct"/>
            <w:tcBorders>
              <w:top w:val="nil"/>
              <w:left w:val="nil"/>
              <w:bottom w:val="nil"/>
              <w:right w:val="nil"/>
            </w:tcBorders>
          </w:tcPr>
          <w:p w14:paraId="6EE7F8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(25.63)</w:t>
            </w:r>
          </w:p>
        </w:tc>
      </w:tr>
      <w:tr w:rsidR="00F00E3D" w:rsidRPr="00335312" w14:paraId="21B85DFF" w14:textId="77777777" w:rsidTr="009B2FA7">
        <w:trPr>
          <w:jc w:val="center"/>
        </w:trPr>
        <w:tc>
          <w:tcPr>
            <w:tcW w:w="1183" w:type="pct"/>
            <w:tcBorders>
              <w:top w:val="nil"/>
              <w:left w:val="nil"/>
              <w:bottom w:val="nil"/>
              <w:right w:val="nil"/>
            </w:tcBorders>
          </w:tcPr>
          <w:p w14:paraId="1F30BC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2020.year#2.month</w:t>
            </w:r>
          </w:p>
        </w:tc>
        <w:tc>
          <w:tcPr>
            <w:tcW w:w="582" w:type="pct"/>
            <w:tcBorders>
              <w:top w:val="nil"/>
              <w:left w:val="nil"/>
              <w:bottom w:val="nil"/>
              <w:right w:val="nil"/>
            </w:tcBorders>
          </w:tcPr>
          <w:p w14:paraId="2BB93A5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0.142***</w:t>
            </w:r>
          </w:p>
        </w:tc>
        <w:tc>
          <w:tcPr>
            <w:tcW w:w="956" w:type="pct"/>
            <w:tcBorders>
              <w:top w:val="nil"/>
              <w:left w:val="nil"/>
              <w:bottom w:val="nil"/>
              <w:right w:val="nil"/>
            </w:tcBorders>
          </w:tcPr>
          <w:p w14:paraId="7BFF59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0.142***</w:t>
            </w:r>
          </w:p>
        </w:tc>
        <w:tc>
          <w:tcPr>
            <w:tcW w:w="711" w:type="pct"/>
            <w:tcBorders>
              <w:top w:val="nil"/>
              <w:left w:val="nil"/>
              <w:bottom w:val="nil"/>
              <w:right w:val="nil"/>
            </w:tcBorders>
          </w:tcPr>
          <w:p w14:paraId="0E22B4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0.143***</w:t>
            </w:r>
          </w:p>
        </w:tc>
        <w:tc>
          <w:tcPr>
            <w:tcW w:w="837" w:type="pct"/>
            <w:tcBorders>
              <w:top w:val="nil"/>
              <w:left w:val="nil"/>
              <w:bottom w:val="nil"/>
              <w:right w:val="nil"/>
            </w:tcBorders>
          </w:tcPr>
          <w:p w14:paraId="647FE49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0.174***</w:t>
            </w:r>
          </w:p>
        </w:tc>
        <w:tc>
          <w:tcPr>
            <w:tcW w:w="731" w:type="pct"/>
            <w:tcBorders>
              <w:top w:val="nil"/>
              <w:left w:val="nil"/>
              <w:bottom w:val="nil"/>
              <w:right w:val="nil"/>
            </w:tcBorders>
          </w:tcPr>
          <w:p w14:paraId="1971117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0.208***</w:t>
            </w:r>
          </w:p>
        </w:tc>
      </w:tr>
      <w:tr w:rsidR="00F00E3D" w:rsidRPr="00335312" w14:paraId="321C118B" w14:textId="77777777" w:rsidTr="009B2FA7">
        <w:trPr>
          <w:jc w:val="center"/>
        </w:trPr>
        <w:tc>
          <w:tcPr>
            <w:tcW w:w="1183" w:type="pct"/>
            <w:tcBorders>
              <w:top w:val="nil"/>
              <w:left w:val="nil"/>
              <w:bottom w:val="nil"/>
              <w:right w:val="nil"/>
            </w:tcBorders>
          </w:tcPr>
          <w:p w14:paraId="38FACF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0908DF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(19.19)</w:t>
            </w:r>
          </w:p>
        </w:tc>
        <w:tc>
          <w:tcPr>
            <w:tcW w:w="956" w:type="pct"/>
            <w:tcBorders>
              <w:top w:val="nil"/>
              <w:left w:val="nil"/>
              <w:bottom w:val="nil"/>
              <w:right w:val="nil"/>
            </w:tcBorders>
          </w:tcPr>
          <w:p w14:paraId="346FD7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(16.45)</w:t>
            </w:r>
          </w:p>
        </w:tc>
        <w:tc>
          <w:tcPr>
            <w:tcW w:w="711" w:type="pct"/>
            <w:tcBorders>
              <w:top w:val="nil"/>
              <w:left w:val="nil"/>
              <w:bottom w:val="nil"/>
              <w:right w:val="nil"/>
            </w:tcBorders>
          </w:tcPr>
          <w:p w14:paraId="41AD013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(18.59)</w:t>
            </w:r>
          </w:p>
        </w:tc>
        <w:tc>
          <w:tcPr>
            <w:tcW w:w="837" w:type="pct"/>
            <w:tcBorders>
              <w:top w:val="nil"/>
              <w:left w:val="nil"/>
              <w:bottom w:val="nil"/>
              <w:right w:val="nil"/>
            </w:tcBorders>
          </w:tcPr>
          <w:p w14:paraId="251519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(11.44)</w:t>
            </w:r>
          </w:p>
        </w:tc>
        <w:tc>
          <w:tcPr>
            <w:tcW w:w="731" w:type="pct"/>
            <w:tcBorders>
              <w:top w:val="nil"/>
              <w:left w:val="nil"/>
              <w:bottom w:val="nil"/>
              <w:right w:val="nil"/>
            </w:tcBorders>
          </w:tcPr>
          <w:p w14:paraId="357DB1D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(18.27)</w:t>
            </w:r>
          </w:p>
        </w:tc>
      </w:tr>
      <w:tr w:rsidR="00F00E3D" w:rsidRPr="00335312" w14:paraId="104FDFB2" w14:textId="77777777" w:rsidTr="009B2FA7">
        <w:trPr>
          <w:jc w:val="center"/>
        </w:trPr>
        <w:tc>
          <w:tcPr>
            <w:tcW w:w="1183" w:type="pct"/>
            <w:tcBorders>
              <w:top w:val="nil"/>
              <w:left w:val="nil"/>
              <w:bottom w:val="nil"/>
              <w:right w:val="nil"/>
            </w:tcBorders>
          </w:tcPr>
          <w:p w14:paraId="79D9E12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2020.year#3.month</w:t>
            </w:r>
          </w:p>
        </w:tc>
        <w:tc>
          <w:tcPr>
            <w:tcW w:w="582" w:type="pct"/>
            <w:tcBorders>
              <w:top w:val="nil"/>
              <w:left w:val="nil"/>
              <w:bottom w:val="nil"/>
              <w:right w:val="nil"/>
            </w:tcBorders>
          </w:tcPr>
          <w:p w14:paraId="36A079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0.167***</w:t>
            </w:r>
          </w:p>
        </w:tc>
        <w:tc>
          <w:tcPr>
            <w:tcW w:w="956" w:type="pct"/>
            <w:tcBorders>
              <w:top w:val="nil"/>
              <w:left w:val="nil"/>
              <w:bottom w:val="nil"/>
              <w:right w:val="nil"/>
            </w:tcBorders>
          </w:tcPr>
          <w:p w14:paraId="456E84D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0.163***</w:t>
            </w:r>
          </w:p>
        </w:tc>
        <w:tc>
          <w:tcPr>
            <w:tcW w:w="711" w:type="pct"/>
            <w:tcBorders>
              <w:top w:val="nil"/>
              <w:left w:val="nil"/>
              <w:bottom w:val="nil"/>
              <w:right w:val="nil"/>
            </w:tcBorders>
          </w:tcPr>
          <w:p w14:paraId="3BEC24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0.143***</w:t>
            </w:r>
          </w:p>
        </w:tc>
        <w:tc>
          <w:tcPr>
            <w:tcW w:w="837" w:type="pct"/>
            <w:tcBorders>
              <w:top w:val="nil"/>
              <w:left w:val="nil"/>
              <w:bottom w:val="nil"/>
              <w:right w:val="nil"/>
            </w:tcBorders>
          </w:tcPr>
          <w:p w14:paraId="6D3198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0.172***</w:t>
            </w:r>
          </w:p>
        </w:tc>
        <w:tc>
          <w:tcPr>
            <w:tcW w:w="731" w:type="pct"/>
            <w:tcBorders>
              <w:top w:val="nil"/>
              <w:left w:val="nil"/>
              <w:bottom w:val="nil"/>
              <w:right w:val="nil"/>
            </w:tcBorders>
          </w:tcPr>
          <w:p w14:paraId="22BB8E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0.185**</w:t>
            </w:r>
          </w:p>
        </w:tc>
      </w:tr>
      <w:tr w:rsidR="00F00E3D" w:rsidRPr="00335312" w14:paraId="575E3B8C" w14:textId="77777777" w:rsidTr="009B2FA7">
        <w:trPr>
          <w:jc w:val="center"/>
        </w:trPr>
        <w:tc>
          <w:tcPr>
            <w:tcW w:w="1183" w:type="pct"/>
            <w:tcBorders>
              <w:top w:val="nil"/>
              <w:left w:val="nil"/>
              <w:bottom w:val="nil"/>
              <w:right w:val="nil"/>
            </w:tcBorders>
          </w:tcPr>
          <w:p w14:paraId="6345657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785249B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(15.21)</w:t>
            </w:r>
          </w:p>
        </w:tc>
        <w:tc>
          <w:tcPr>
            <w:tcW w:w="956" w:type="pct"/>
            <w:tcBorders>
              <w:top w:val="nil"/>
              <w:left w:val="nil"/>
              <w:bottom w:val="nil"/>
              <w:right w:val="nil"/>
            </w:tcBorders>
          </w:tcPr>
          <w:p w14:paraId="07E3CAC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(15.15)</w:t>
            </w:r>
          </w:p>
        </w:tc>
        <w:tc>
          <w:tcPr>
            <w:tcW w:w="711" w:type="pct"/>
            <w:tcBorders>
              <w:top w:val="nil"/>
              <w:left w:val="nil"/>
              <w:bottom w:val="nil"/>
              <w:right w:val="nil"/>
            </w:tcBorders>
          </w:tcPr>
          <w:p w14:paraId="48E601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(22.69)</w:t>
            </w:r>
          </w:p>
        </w:tc>
        <w:tc>
          <w:tcPr>
            <w:tcW w:w="837" w:type="pct"/>
            <w:tcBorders>
              <w:top w:val="nil"/>
              <w:left w:val="nil"/>
              <w:bottom w:val="nil"/>
              <w:right w:val="nil"/>
            </w:tcBorders>
          </w:tcPr>
          <w:p w14:paraId="3AD7CF8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(11.58)</w:t>
            </w:r>
          </w:p>
        </w:tc>
        <w:tc>
          <w:tcPr>
            <w:tcW w:w="731" w:type="pct"/>
            <w:tcBorders>
              <w:top w:val="nil"/>
              <w:left w:val="nil"/>
              <w:bottom w:val="nil"/>
              <w:right w:val="nil"/>
            </w:tcBorders>
          </w:tcPr>
          <w:p w14:paraId="044147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(8.126)</w:t>
            </w:r>
          </w:p>
        </w:tc>
      </w:tr>
      <w:tr w:rsidR="00F00E3D" w:rsidRPr="00335312" w14:paraId="792446C4" w14:textId="77777777" w:rsidTr="009B2FA7">
        <w:trPr>
          <w:jc w:val="center"/>
        </w:trPr>
        <w:tc>
          <w:tcPr>
            <w:tcW w:w="1183" w:type="pct"/>
            <w:tcBorders>
              <w:top w:val="nil"/>
              <w:left w:val="nil"/>
              <w:bottom w:val="nil"/>
              <w:right w:val="nil"/>
            </w:tcBorders>
          </w:tcPr>
          <w:p w14:paraId="551F5BF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2020.year#4.month</w:t>
            </w:r>
          </w:p>
        </w:tc>
        <w:tc>
          <w:tcPr>
            <w:tcW w:w="582" w:type="pct"/>
            <w:tcBorders>
              <w:top w:val="nil"/>
              <w:left w:val="nil"/>
              <w:bottom w:val="nil"/>
              <w:right w:val="nil"/>
            </w:tcBorders>
          </w:tcPr>
          <w:p w14:paraId="2F1851C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0.0990***</w:t>
            </w:r>
          </w:p>
        </w:tc>
        <w:tc>
          <w:tcPr>
            <w:tcW w:w="956" w:type="pct"/>
            <w:tcBorders>
              <w:top w:val="nil"/>
              <w:left w:val="nil"/>
              <w:bottom w:val="nil"/>
              <w:right w:val="nil"/>
            </w:tcBorders>
          </w:tcPr>
          <w:p w14:paraId="5306DFF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0.0919***</w:t>
            </w:r>
          </w:p>
        </w:tc>
        <w:tc>
          <w:tcPr>
            <w:tcW w:w="711" w:type="pct"/>
            <w:tcBorders>
              <w:top w:val="nil"/>
              <w:left w:val="nil"/>
              <w:bottom w:val="nil"/>
              <w:right w:val="nil"/>
            </w:tcBorders>
          </w:tcPr>
          <w:p w14:paraId="49CBE7C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0.139***</w:t>
            </w:r>
          </w:p>
        </w:tc>
        <w:tc>
          <w:tcPr>
            <w:tcW w:w="837" w:type="pct"/>
            <w:tcBorders>
              <w:top w:val="nil"/>
              <w:left w:val="nil"/>
              <w:bottom w:val="nil"/>
              <w:right w:val="nil"/>
            </w:tcBorders>
          </w:tcPr>
          <w:p w14:paraId="2E882C6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0.193***</w:t>
            </w:r>
          </w:p>
        </w:tc>
        <w:tc>
          <w:tcPr>
            <w:tcW w:w="731" w:type="pct"/>
            <w:tcBorders>
              <w:top w:val="nil"/>
              <w:left w:val="nil"/>
              <w:bottom w:val="nil"/>
              <w:right w:val="nil"/>
            </w:tcBorders>
          </w:tcPr>
          <w:p w14:paraId="391BC36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0.252***</w:t>
            </w:r>
          </w:p>
        </w:tc>
      </w:tr>
      <w:tr w:rsidR="00F00E3D" w:rsidRPr="00335312" w14:paraId="5EF53AAA" w14:textId="77777777" w:rsidTr="009B2FA7">
        <w:trPr>
          <w:jc w:val="center"/>
        </w:trPr>
        <w:tc>
          <w:tcPr>
            <w:tcW w:w="1183" w:type="pct"/>
            <w:tcBorders>
              <w:top w:val="nil"/>
              <w:left w:val="nil"/>
              <w:bottom w:val="nil"/>
              <w:right w:val="nil"/>
            </w:tcBorders>
          </w:tcPr>
          <w:p w14:paraId="7FBBD32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3A1367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(8.305)</w:t>
            </w:r>
          </w:p>
        </w:tc>
        <w:tc>
          <w:tcPr>
            <w:tcW w:w="956" w:type="pct"/>
            <w:tcBorders>
              <w:top w:val="nil"/>
              <w:left w:val="nil"/>
              <w:bottom w:val="nil"/>
              <w:right w:val="nil"/>
            </w:tcBorders>
          </w:tcPr>
          <w:p w14:paraId="3AB475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(7.122)</w:t>
            </w:r>
          </w:p>
        </w:tc>
        <w:tc>
          <w:tcPr>
            <w:tcW w:w="711" w:type="pct"/>
            <w:tcBorders>
              <w:top w:val="nil"/>
              <w:left w:val="nil"/>
              <w:bottom w:val="nil"/>
              <w:right w:val="nil"/>
            </w:tcBorders>
          </w:tcPr>
          <w:p w14:paraId="38007E1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(18.60)</w:t>
            </w:r>
          </w:p>
        </w:tc>
        <w:tc>
          <w:tcPr>
            <w:tcW w:w="837" w:type="pct"/>
            <w:tcBorders>
              <w:top w:val="nil"/>
              <w:left w:val="nil"/>
              <w:bottom w:val="nil"/>
              <w:right w:val="nil"/>
            </w:tcBorders>
          </w:tcPr>
          <w:p w14:paraId="05F309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(10.22)</w:t>
            </w:r>
          </w:p>
        </w:tc>
        <w:tc>
          <w:tcPr>
            <w:tcW w:w="731" w:type="pct"/>
            <w:tcBorders>
              <w:top w:val="nil"/>
              <w:left w:val="nil"/>
              <w:bottom w:val="nil"/>
              <w:right w:val="nil"/>
            </w:tcBorders>
          </w:tcPr>
          <w:p w14:paraId="57CFEE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(13.59)</w:t>
            </w:r>
          </w:p>
        </w:tc>
      </w:tr>
      <w:tr w:rsidR="00F00E3D" w:rsidRPr="00335312" w14:paraId="2E859A09" w14:textId="77777777" w:rsidTr="009B2FA7">
        <w:trPr>
          <w:jc w:val="center"/>
        </w:trPr>
        <w:tc>
          <w:tcPr>
            <w:tcW w:w="1183" w:type="pct"/>
            <w:tcBorders>
              <w:top w:val="nil"/>
              <w:left w:val="nil"/>
              <w:bottom w:val="nil"/>
              <w:right w:val="nil"/>
            </w:tcBorders>
          </w:tcPr>
          <w:p w14:paraId="00D864E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2020.year#5.month</w:t>
            </w:r>
          </w:p>
        </w:tc>
        <w:tc>
          <w:tcPr>
            <w:tcW w:w="582" w:type="pct"/>
            <w:tcBorders>
              <w:top w:val="nil"/>
              <w:left w:val="nil"/>
              <w:bottom w:val="nil"/>
              <w:right w:val="nil"/>
            </w:tcBorders>
          </w:tcPr>
          <w:p w14:paraId="08A4916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0.0759***</w:t>
            </w:r>
          </w:p>
        </w:tc>
        <w:tc>
          <w:tcPr>
            <w:tcW w:w="956" w:type="pct"/>
            <w:tcBorders>
              <w:top w:val="nil"/>
              <w:left w:val="nil"/>
              <w:bottom w:val="nil"/>
              <w:right w:val="nil"/>
            </w:tcBorders>
          </w:tcPr>
          <w:p w14:paraId="2C6B8D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0.0666***</w:t>
            </w:r>
          </w:p>
        </w:tc>
        <w:tc>
          <w:tcPr>
            <w:tcW w:w="711" w:type="pct"/>
            <w:tcBorders>
              <w:top w:val="nil"/>
              <w:left w:val="nil"/>
              <w:bottom w:val="nil"/>
              <w:right w:val="nil"/>
            </w:tcBorders>
          </w:tcPr>
          <w:p w14:paraId="3532F94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0.136***</w:t>
            </w:r>
          </w:p>
        </w:tc>
        <w:tc>
          <w:tcPr>
            <w:tcW w:w="837" w:type="pct"/>
            <w:tcBorders>
              <w:top w:val="nil"/>
              <w:left w:val="nil"/>
              <w:bottom w:val="nil"/>
              <w:right w:val="nil"/>
            </w:tcBorders>
          </w:tcPr>
          <w:p w14:paraId="7F9179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0.196***</w:t>
            </w:r>
          </w:p>
        </w:tc>
        <w:tc>
          <w:tcPr>
            <w:tcW w:w="731" w:type="pct"/>
            <w:tcBorders>
              <w:top w:val="nil"/>
              <w:left w:val="nil"/>
              <w:bottom w:val="nil"/>
              <w:right w:val="nil"/>
            </w:tcBorders>
          </w:tcPr>
          <w:p w14:paraId="0AEC83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0.211***</w:t>
            </w:r>
          </w:p>
        </w:tc>
      </w:tr>
      <w:tr w:rsidR="00F00E3D" w:rsidRPr="00335312" w14:paraId="783B0E2F" w14:textId="77777777" w:rsidTr="009B2FA7">
        <w:trPr>
          <w:jc w:val="center"/>
        </w:trPr>
        <w:tc>
          <w:tcPr>
            <w:tcW w:w="1183" w:type="pct"/>
            <w:tcBorders>
              <w:top w:val="nil"/>
              <w:left w:val="nil"/>
              <w:bottom w:val="nil"/>
              <w:right w:val="nil"/>
            </w:tcBorders>
          </w:tcPr>
          <w:p w14:paraId="5673189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18836A7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(4.534)</w:t>
            </w:r>
          </w:p>
        </w:tc>
        <w:tc>
          <w:tcPr>
            <w:tcW w:w="956" w:type="pct"/>
            <w:tcBorders>
              <w:top w:val="nil"/>
              <w:left w:val="nil"/>
              <w:bottom w:val="nil"/>
              <w:right w:val="nil"/>
            </w:tcBorders>
          </w:tcPr>
          <w:p w14:paraId="049748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(3.801)</w:t>
            </w:r>
          </w:p>
        </w:tc>
        <w:tc>
          <w:tcPr>
            <w:tcW w:w="711" w:type="pct"/>
            <w:tcBorders>
              <w:top w:val="nil"/>
              <w:left w:val="nil"/>
              <w:bottom w:val="nil"/>
              <w:right w:val="nil"/>
            </w:tcBorders>
          </w:tcPr>
          <w:p w14:paraId="3AB6834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(18.18)</w:t>
            </w:r>
          </w:p>
        </w:tc>
        <w:tc>
          <w:tcPr>
            <w:tcW w:w="837" w:type="pct"/>
            <w:tcBorders>
              <w:top w:val="nil"/>
              <w:left w:val="nil"/>
              <w:bottom w:val="nil"/>
              <w:right w:val="nil"/>
            </w:tcBorders>
          </w:tcPr>
          <w:p w14:paraId="06D75F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(13.39)</w:t>
            </w:r>
          </w:p>
        </w:tc>
        <w:tc>
          <w:tcPr>
            <w:tcW w:w="731" w:type="pct"/>
            <w:tcBorders>
              <w:top w:val="nil"/>
              <w:left w:val="nil"/>
              <w:bottom w:val="nil"/>
              <w:right w:val="nil"/>
            </w:tcBorders>
          </w:tcPr>
          <w:p w14:paraId="0F883A8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(13.30)</w:t>
            </w:r>
          </w:p>
        </w:tc>
      </w:tr>
      <w:tr w:rsidR="00F00E3D" w:rsidRPr="00335312" w14:paraId="36219479" w14:textId="77777777" w:rsidTr="009B2FA7">
        <w:trPr>
          <w:jc w:val="center"/>
        </w:trPr>
        <w:tc>
          <w:tcPr>
            <w:tcW w:w="1183" w:type="pct"/>
            <w:tcBorders>
              <w:top w:val="nil"/>
              <w:left w:val="nil"/>
              <w:bottom w:val="nil"/>
              <w:right w:val="nil"/>
            </w:tcBorders>
          </w:tcPr>
          <w:p w14:paraId="0C9C0E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2020.year#6.month</w:t>
            </w:r>
          </w:p>
        </w:tc>
        <w:tc>
          <w:tcPr>
            <w:tcW w:w="582" w:type="pct"/>
            <w:tcBorders>
              <w:top w:val="nil"/>
              <w:left w:val="nil"/>
              <w:bottom w:val="nil"/>
              <w:right w:val="nil"/>
            </w:tcBorders>
          </w:tcPr>
          <w:p w14:paraId="59E6D2D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0.0868***</w:t>
            </w:r>
          </w:p>
        </w:tc>
        <w:tc>
          <w:tcPr>
            <w:tcW w:w="956" w:type="pct"/>
            <w:tcBorders>
              <w:top w:val="nil"/>
              <w:left w:val="nil"/>
              <w:bottom w:val="nil"/>
              <w:right w:val="nil"/>
            </w:tcBorders>
          </w:tcPr>
          <w:p w14:paraId="07348F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0.0811**</w:t>
            </w:r>
          </w:p>
        </w:tc>
        <w:tc>
          <w:tcPr>
            <w:tcW w:w="711" w:type="pct"/>
            <w:tcBorders>
              <w:top w:val="nil"/>
              <w:left w:val="nil"/>
              <w:bottom w:val="nil"/>
              <w:right w:val="nil"/>
            </w:tcBorders>
          </w:tcPr>
          <w:p w14:paraId="067E71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0.120***</w:t>
            </w:r>
          </w:p>
        </w:tc>
        <w:tc>
          <w:tcPr>
            <w:tcW w:w="837" w:type="pct"/>
            <w:tcBorders>
              <w:top w:val="nil"/>
              <w:left w:val="nil"/>
              <w:bottom w:val="nil"/>
              <w:right w:val="nil"/>
            </w:tcBorders>
          </w:tcPr>
          <w:p w14:paraId="3BC9089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0.175***</w:t>
            </w:r>
          </w:p>
        </w:tc>
        <w:tc>
          <w:tcPr>
            <w:tcW w:w="731" w:type="pct"/>
            <w:tcBorders>
              <w:top w:val="nil"/>
              <w:left w:val="nil"/>
              <w:bottom w:val="nil"/>
              <w:right w:val="nil"/>
            </w:tcBorders>
          </w:tcPr>
          <w:p w14:paraId="2A5C68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0.276*</w:t>
            </w:r>
          </w:p>
        </w:tc>
      </w:tr>
      <w:tr w:rsidR="00F00E3D" w:rsidRPr="00335312" w14:paraId="0E9467FD" w14:textId="77777777" w:rsidTr="009B2FA7">
        <w:trPr>
          <w:jc w:val="center"/>
        </w:trPr>
        <w:tc>
          <w:tcPr>
            <w:tcW w:w="1183" w:type="pct"/>
            <w:tcBorders>
              <w:top w:val="nil"/>
              <w:left w:val="nil"/>
              <w:bottom w:val="nil"/>
              <w:right w:val="nil"/>
            </w:tcBorders>
          </w:tcPr>
          <w:p w14:paraId="4149B29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4355DD8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(2.929)</w:t>
            </w:r>
          </w:p>
        </w:tc>
        <w:tc>
          <w:tcPr>
            <w:tcW w:w="956" w:type="pct"/>
            <w:tcBorders>
              <w:top w:val="nil"/>
              <w:left w:val="nil"/>
              <w:bottom w:val="nil"/>
              <w:right w:val="nil"/>
            </w:tcBorders>
          </w:tcPr>
          <w:p w14:paraId="5020F3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(2.518)</w:t>
            </w:r>
          </w:p>
        </w:tc>
        <w:tc>
          <w:tcPr>
            <w:tcW w:w="711" w:type="pct"/>
            <w:tcBorders>
              <w:top w:val="nil"/>
              <w:left w:val="nil"/>
              <w:bottom w:val="nil"/>
              <w:right w:val="nil"/>
            </w:tcBorders>
          </w:tcPr>
          <w:p w14:paraId="1B2236E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(17.96)</w:t>
            </w:r>
          </w:p>
        </w:tc>
        <w:tc>
          <w:tcPr>
            <w:tcW w:w="837" w:type="pct"/>
            <w:tcBorders>
              <w:top w:val="nil"/>
              <w:left w:val="nil"/>
              <w:bottom w:val="nil"/>
              <w:right w:val="nil"/>
            </w:tcBorders>
          </w:tcPr>
          <w:p w14:paraId="0AA0E74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(10.50)</w:t>
            </w:r>
          </w:p>
        </w:tc>
        <w:tc>
          <w:tcPr>
            <w:tcW w:w="731" w:type="pct"/>
            <w:tcBorders>
              <w:top w:val="nil"/>
              <w:left w:val="nil"/>
              <w:bottom w:val="nil"/>
              <w:right w:val="nil"/>
            </w:tcBorders>
          </w:tcPr>
          <w:p w14:paraId="59D6555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(4.090)</w:t>
            </w:r>
          </w:p>
        </w:tc>
      </w:tr>
      <w:tr w:rsidR="00F00E3D" w:rsidRPr="00335312" w14:paraId="24D4C505" w14:textId="77777777" w:rsidTr="009B2FA7">
        <w:trPr>
          <w:jc w:val="center"/>
        </w:trPr>
        <w:tc>
          <w:tcPr>
            <w:tcW w:w="1183" w:type="pct"/>
            <w:tcBorders>
              <w:top w:val="nil"/>
              <w:left w:val="nil"/>
              <w:bottom w:val="nil"/>
              <w:right w:val="nil"/>
            </w:tcBorders>
          </w:tcPr>
          <w:p w14:paraId="6E65FA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2020.year#7.month</w:t>
            </w:r>
          </w:p>
        </w:tc>
        <w:tc>
          <w:tcPr>
            <w:tcW w:w="582" w:type="pct"/>
            <w:tcBorders>
              <w:top w:val="nil"/>
              <w:left w:val="nil"/>
              <w:bottom w:val="nil"/>
              <w:right w:val="nil"/>
            </w:tcBorders>
          </w:tcPr>
          <w:p w14:paraId="594E874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0.0402*</w:t>
            </w:r>
          </w:p>
        </w:tc>
        <w:tc>
          <w:tcPr>
            <w:tcW w:w="956" w:type="pct"/>
            <w:tcBorders>
              <w:top w:val="nil"/>
              <w:left w:val="nil"/>
              <w:bottom w:val="nil"/>
              <w:right w:val="nil"/>
            </w:tcBorders>
          </w:tcPr>
          <w:p w14:paraId="34A987B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0.0271</w:t>
            </w:r>
          </w:p>
        </w:tc>
        <w:tc>
          <w:tcPr>
            <w:tcW w:w="711" w:type="pct"/>
            <w:tcBorders>
              <w:top w:val="nil"/>
              <w:left w:val="nil"/>
              <w:bottom w:val="nil"/>
              <w:right w:val="nil"/>
            </w:tcBorders>
          </w:tcPr>
          <w:p w14:paraId="66C7484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0.125***</w:t>
            </w:r>
          </w:p>
        </w:tc>
        <w:tc>
          <w:tcPr>
            <w:tcW w:w="837" w:type="pct"/>
            <w:tcBorders>
              <w:top w:val="nil"/>
              <w:left w:val="nil"/>
              <w:bottom w:val="nil"/>
              <w:right w:val="nil"/>
            </w:tcBorders>
          </w:tcPr>
          <w:p w14:paraId="062D71E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0.172***</w:t>
            </w:r>
          </w:p>
        </w:tc>
        <w:tc>
          <w:tcPr>
            <w:tcW w:w="731" w:type="pct"/>
            <w:tcBorders>
              <w:top w:val="nil"/>
              <w:left w:val="nil"/>
              <w:bottom w:val="nil"/>
              <w:right w:val="nil"/>
            </w:tcBorders>
          </w:tcPr>
          <w:p w14:paraId="1876E8F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0.229***</w:t>
            </w:r>
          </w:p>
        </w:tc>
      </w:tr>
      <w:tr w:rsidR="00F00E3D" w:rsidRPr="00335312" w14:paraId="743CBCBE" w14:textId="77777777" w:rsidTr="009B2FA7">
        <w:trPr>
          <w:jc w:val="center"/>
        </w:trPr>
        <w:tc>
          <w:tcPr>
            <w:tcW w:w="1183" w:type="pct"/>
            <w:tcBorders>
              <w:top w:val="nil"/>
              <w:left w:val="nil"/>
              <w:bottom w:val="nil"/>
              <w:right w:val="nil"/>
            </w:tcBorders>
          </w:tcPr>
          <w:p w14:paraId="1197108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B610DD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(1.716)</w:t>
            </w:r>
          </w:p>
        </w:tc>
        <w:tc>
          <w:tcPr>
            <w:tcW w:w="956" w:type="pct"/>
            <w:tcBorders>
              <w:top w:val="nil"/>
              <w:left w:val="nil"/>
              <w:bottom w:val="nil"/>
              <w:right w:val="nil"/>
            </w:tcBorders>
          </w:tcPr>
          <w:p w14:paraId="055CB6F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(1.094)</w:t>
            </w:r>
          </w:p>
        </w:tc>
        <w:tc>
          <w:tcPr>
            <w:tcW w:w="711" w:type="pct"/>
            <w:tcBorders>
              <w:top w:val="nil"/>
              <w:left w:val="nil"/>
              <w:bottom w:val="nil"/>
              <w:right w:val="nil"/>
            </w:tcBorders>
          </w:tcPr>
          <w:p w14:paraId="50E2FA1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(16.09)</w:t>
            </w:r>
          </w:p>
        </w:tc>
        <w:tc>
          <w:tcPr>
            <w:tcW w:w="837" w:type="pct"/>
            <w:tcBorders>
              <w:top w:val="nil"/>
              <w:left w:val="nil"/>
              <w:bottom w:val="nil"/>
              <w:right w:val="nil"/>
            </w:tcBorders>
          </w:tcPr>
          <w:p w14:paraId="2EA21E1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(9.124)</w:t>
            </w:r>
          </w:p>
        </w:tc>
        <w:tc>
          <w:tcPr>
            <w:tcW w:w="731" w:type="pct"/>
            <w:tcBorders>
              <w:top w:val="nil"/>
              <w:left w:val="nil"/>
              <w:bottom w:val="nil"/>
              <w:right w:val="nil"/>
            </w:tcBorders>
          </w:tcPr>
          <w:p w14:paraId="1C689C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(10.11)</w:t>
            </w:r>
          </w:p>
        </w:tc>
      </w:tr>
      <w:tr w:rsidR="00F00E3D" w:rsidRPr="00335312" w14:paraId="587711AB" w14:textId="77777777" w:rsidTr="009B2FA7">
        <w:trPr>
          <w:jc w:val="center"/>
        </w:trPr>
        <w:tc>
          <w:tcPr>
            <w:tcW w:w="1183" w:type="pct"/>
            <w:tcBorders>
              <w:top w:val="nil"/>
              <w:left w:val="nil"/>
              <w:bottom w:val="nil"/>
              <w:right w:val="nil"/>
            </w:tcBorders>
          </w:tcPr>
          <w:p w14:paraId="5921C7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2020.year#8.month</w:t>
            </w:r>
          </w:p>
        </w:tc>
        <w:tc>
          <w:tcPr>
            <w:tcW w:w="582" w:type="pct"/>
            <w:tcBorders>
              <w:top w:val="nil"/>
              <w:left w:val="nil"/>
              <w:bottom w:val="nil"/>
              <w:right w:val="nil"/>
            </w:tcBorders>
          </w:tcPr>
          <w:p w14:paraId="7FDD10B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0.0286</w:t>
            </w:r>
          </w:p>
        </w:tc>
        <w:tc>
          <w:tcPr>
            <w:tcW w:w="956" w:type="pct"/>
            <w:tcBorders>
              <w:top w:val="nil"/>
              <w:left w:val="nil"/>
              <w:bottom w:val="nil"/>
              <w:right w:val="nil"/>
            </w:tcBorders>
          </w:tcPr>
          <w:p w14:paraId="5ED706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0.0123</w:t>
            </w:r>
          </w:p>
        </w:tc>
        <w:tc>
          <w:tcPr>
            <w:tcW w:w="711" w:type="pct"/>
            <w:tcBorders>
              <w:top w:val="nil"/>
              <w:left w:val="nil"/>
              <w:bottom w:val="nil"/>
              <w:right w:val="nil"/>
            </w:tcBorders>
          </w:tcPr>
          <w:p w14:paraId="7A2754A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0.119***</w:t>
            </w:r>
          </w:p>
        </w:tc>
        <w:tc>
          <w:tcPr>
            <w:tcW w:w="837" w:type="pct"/>
            <w:tcBorders>
              <w:top w:val="nil"/>
              <w:left w:val="nil"/>
              <w:bottom w:val="nil"/>
              <w:right w:val="nil"/>
            </w:tcBorders>
          </w:tcPr>
          <w:p w14:paraId="51E6E9D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0.144***</w:t>
            </w:r>
          </w:p>
        </w:tc>
        <w:tc>
          <w:tcPr>
            <w:tcW w:w="731" w:type="pct"/>
            <w:tcBorders>
              <w:top w:val="nil"/>
              <w:left w:val="nil"/>
              <w:bottom w:val="nil"/>
              <w:right w:val="nil"/>
            </w:tcBorders>
          </w:tcPr>
          <w:p w14:paraId="22A614C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0.178*</w:t>
            </w:r>
          </w:p>
        </w:tc>
      </w:tr>
      <w:tr w:rsidR="00F00E3D" w:rsidRPr="00335312" w14:paraId="1914F47F" w14:textId="77777777" w:rsidTr="009B2FA7">
        <w:trPr>
          <w:jc w:val="center"/>
        </w:trPr>
        <w:tc>
          <w:tcPr>
            <w:tcW w:w="1183" w:type="pct"/>
            <w:tcBorders>
              <w:top w:val="nil"/>
              <w:left w:val="nil"/>
              <w:bottom w:val="nil"/>
              <w:right w:val="nil"/>
            </w:tcBorders>
          </w:tcPr>
          <w:p w14:paraId="6AEDB9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3D051C3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(1.159)</w:t>
            </w:r>
          </w:p>
        </w:tc>
        <w:tc>
          <w:tcPr>
            <w:tcW w:w="956" w:type="pct"/>
            <w:tcBorders>
              <w:top w:val="nil"/>
              <w:left w:val="nil"/>
              <w:bottom w:val="nil"/>
              <w:right w:val="nil"/>
            </w:tcBorders>
          </w:tcPr>
          <w:p w14:paraId="0817524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(0.464)</w:t>
            </w:r>
          </w:p>
        </w:tc>
        <w:tc>
          <w:tcPr>
            <w:tcW w:w="711" w:type="pct"/>
            <w:tcBorders>
              <w:top w:val="nil"/>
              <w:left w:val="nil"/>
              <w:bottom w:val="nil"/>
              <w:right w:val="nil"/>
            </w:tcBorders>
          </w:tcPr>
          <w:p w14:paraId="01BB41E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(12.00)</w:t>
            </w:r>
          </w:p>
        </w:tc>
        <w:tc>
          <w:tcPr>
            <w:tcW w:w="837" w:type="pct"/>
            <w:tcBorders>
              <w:top w:val="nil"/>
              <w:left w:val="nil"/>
              <w:bottom w:val="nil"/>
              <w:right w:val="nil"/>
            </w:tcBorders>
          </w:tcPr>
          <w:p w14:paraId="07DC474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(10.21)</w:t>
            </w:r>
          </w:p>
        </w:tc>
        <w:tc>
          <w:tcPr>
            <w:tcW w:w="731" w:type="pct"/>
            <w:tcBorders>
              <w:top w:val="nil"/>
              <w:left w:val="nil"/>
              <w:bottom w:val="nil"/>
              <w:right w:val="nil"/>
            </w:tcBorders>
          </w:tcPr>
          <w:p w14:paraId="28A690F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(3.739)</w:t>
            </w:r>
          </w:p>
        </w:tc>
      </w:tr>
      <w:tr w:rsidR="00F00E3D" w:rsidRPr="00335312" w14:paraId="0CD1D734" w14:textId="77777777" w:rsidTr="009B2FA7">
        <w:trPr>
          <w:jc w:val="center"/>
        </w:trPr>
        <w:tc>
          <w:tcPr>
            <w:tcW w:w="1183" w:type="pct"/>
            <w:tcBorders>
              <w:top w:val="nil"/>
              <w:left w:val="nil"/>
              <w:bottom w:val="nil"/>
              <w:right w:val="nil"/>
            </w:tcBorders>
          </w:tcPr>
          <w:p w14:paraId="53F478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2020.year#9.month</w:t>
            </w:r>
          </w:p>
        </w:tc>
        <w:tc>
          <w:tcPr>
            <w:tcW w:w="582" w:type="pct"/>
            <w:tcBorders>
              <w:top w:val="nil"/>
              <w:left w:val="nil"/>
              <w:bottom w:val="nil"/>
              <w:right w:val="nil"/>
            </w:tcBorders>
          </w:tcPr>
          <w:p w14:paraId="64BAE0F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0.0128</w:t>
            </w:r>
          </w:p>
        </w:tc>
        <w:tc>
          <w:tcPr>
            <w:tcW w:w="956" w:type="pct"/>
            <w:tcBorders>
              <w:top w:val="nil"/>
              <w:left w:val="nil"/>
              <w:bottom w:val="nil"/>
              <w:right w:val="nil"/>
            </w:tcBorders>
          </w:tcPr>
          <w:p w14:paraId="70553D0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-0.00484</w:t>
            </w:r>
          </w:p>
        </w:tc>
        <w:tc>
          <w:tcPr>
            <w:tcW w:w="711" w:type="pct"/>
            <w:tcBorders>
              <w:top w:val="nil"/>
              <w:left w:val="nil"/>
              <w:bottom w:val="nil"/>
              <w:right w:val="nil"/>
            </w:tcBorders>
          </w:tcPr>
          <w:p w14:paraId="1113BC9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0.124***</w:t>
            </w:r>
          </w:p>
        </w:tc>
        <w:tc>
          <w:tcPr>
            <w:tcW w:w="837" w:type="pct"/>
            <w:tcBorders>
              <w:top w:val="nil"/>
              <w:left w:val="nil"/>
              <w:bottom w:val="nil"/>
              <w:right w:val="nil"/>
            </w:tcBorders>
          </w:tcPr>
          <w:p w14:paraId="3D37C95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0.141***</w:t>
            </w:r>
          </w:p>
        </w:tc>
        <w:tc>
          <w:tcPr>
            <w:tcW w:w="731" w:type="pct"/>
            <w:tcBorders>
              <w:top w:val="nil"/>
              <w:left w:val="nil"/>
              <w:bottom w:val="nil"/>
              <w:right w:val="nil"/>
            </w:tcBorders>
          </w:tcPr>
          <w:p w14:paraId="20342DE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0.197**</w:t>
            </w:r>
          </w:p>
        </w:tc>
      </w:tr>
      <w:tr w:rsidR="00F00E3D" w:rsidRPr="00335312" w14:paraId="50D642B5" w14:textId="77777777" w:rsidTr="009B2FA7">
        <w:trPr>
          <w:jc w:val="center"/>
        </w:trPr>
        <w:tc>
          <w:tcPr>
            <w:tcW w:w="1183" w:type="pct"/>
            <w:tcBorders>
              <w:top w:val="nil"/>
              <w:left w:val="nil"/>
              <w:bottom w:val="nil"/>
              <w:right w:val="nil"/>
            </w:tcBorders>
          </w:tcPr>
          <w:p w14:paraId="6939A90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641641C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(0.432)</w:t>
            </w:r>
          </w:p>
        </w:tc>
        <w:tc>
          <w:tcPr>
            <w:tcW w:w="956" w:type="pct"/>
            <w:tcBorders>
              <w:top w:val="nil"/>
              <w:left w:val="nil"/>
              <w:bottom w:val="nil"/>
              <w:right w:val="nil"/>
            </w:tcBorders>
          </w:tcPr>
          <w:p w14:paraId="44E6D0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(-0.158)</w:t>
            </w:r>
          </w:p>
        </w:tc>
        <w:tc>
          <w:tcPr>
            <w:tcW w:w="711" w:type="pct"/>
            <w:tcBorders>
              <w:top w:val="nil"/>
              <w:left w:val="nil"/>
              <w:bottom w:val="nil"/>
              <w:right w:val="nil"/>
            </w:tcBorders>
          </w:tcPr>
          <w:p w14:paraId="65E624D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(15.55)</w:t>
            </w:r>
          </w:p>
        </w:tc>
        <w:tc>
          <w:tcPr>
            <w:tcW w:w="837" w:type="pct"/>
            <w:tcBorders>
              <w:top w:val="nil"/>
              <w:left w:val="nil"/>
              <w:bottom w:val="nil"/>
              <w:right w:val="nil"/>
            </w:tcBorders>
          </w:tcPr>
          <w:p w14:paraId="491F2A8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(9.039)</w:t>
            </w:r>
          </w:p>
        </w:tc>
        <w:tc>
          <w:tcPr>
            <w:tcW w:w="731" w:type="pct"/>
            <w:tcBorders>
              <w:top w:val="nil"/>
              <w:left w:val="nil"/>
              <w:bottom w:val="nil"/>
              <w:right w:val="nil"/>
            </w:tcBorders>
          </w:tcPr>
          <w:p w14:paraId="4BB0987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(9.898)</w:t>
            </w:r>
          </w:p>
        </w:tc>
      </w:tr>
      <w:tr w:rsidR="00F00E3D" w:rsidRPr="00335312" w14:paraId="00B0ACB6" w14:textId="77777777" w:rsidTr="009B2FA7">
        <w:trPr>
          <w:jc w:val="center"/>
        </w:trPr>
        <w:tc>
          <w:tcPr>
            <w:tcW w:w="1183" w:type="pct"/>
            <w:tcBorders>
              <w:top w:val="nil"/>
              <w:left w:val="nil"/>
              <w:bottom w:val="nil"/>
              <w:right w:val="nil"/>
            </w:tcBorders>
          </w:tcPr>
          <w:p w14:paraId="46C9F10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2020.year#10.month</w:t>
            </w:r>
          </w:p>
        </w:tc>
        <w:tc>
          <w:tcPr>
            <w:tcW w:w="582" w:type="pct"/>
            <w:tcBorders>
              <w:top w:val="nil"/>
              <w:left w:val="nil"/>
              <w:bottom w:val="nil"/>
              <w:right w:val="nil"/>
            </w:tcBorders>
          </w:tcPr>
          <w:p w14:paraId="4C31244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-0.00243</w:t>
            </w:r>
          </w:p>
        </w:tc>
        <w:tc>
          <w:tcPr>
            <w:tcW w:w="956" w:type="pct"/>
            <w:tcBorders>
              <w:top w:val="nil"/>
              <w:left w:val="nil"/>
              <w:bottom w:val="nil"/>
              <w:right w:val="nil"/>
            </w:tcBorders>
          </w:tcPr>
          <w:p w14:paraId="1449F6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-0.0201</w:t>
            </w:r>
          </w:p>
        </w:tc>
        <w:tc>
          <w:tcPr>
            <w:tcW w:w="711" w:type="pct"/>
            <w:tcBorders>
              <w:top w:val="nil"/>
              <w:left w:val="nil"/>
              <w:bottom w:val="nil"/>
              <w:right w:val="nil"/>
            </w:tcBorders>
          </w:tcPr>
          <w:p w14:paraId="749316A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0.110***</w:t>
            </w:r>
          </w:p>
        </w:tc>
        <w:tc>
          <w:tcPr>
            <w:tcW w:w="837" w:type="pct"/>
            <w:tcBorders>
              <w:top w:val="nil"/>
              <w:left w:val="nil"/>
              <w:bottom w:val="nil"/>
              <w:right w:val="nil"/>
            </w:tcBorders>
          </w:tcPr>
          <w:p w14:paraId="49D9BB3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0.200***</w:t>
            </w:r>
          </w:p>
        </w:tc>
        <w:tc>
          <w:tcPr>
            <w:tcW w:w="731" w:type="pct"/>
            <w:tcBorders>
              <w:top w:val="nil"/>
              <w:left w:val="nil"/>
              <w:bottom w:val="nil"/>
              <w:right w:val="nil"/>
            </w:tcBorders>
          </w:tcPr>
          <w:p w14:paraId="40F135F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0.260***</w:t>
            </w:r>
          </w:p>
        </w:tc>
      </w:tr>
      <w:tr w:rsidR="00F00E3D" w:rsidRPr="00335312" w14:paraId="5F144B9F" w14:textId="77777777" w:rsidTr="009B2FA7">
        <w:trPr>
          <w:jc w:val="center"/>
        </w:trPr>
        <w:tc>
          <w:tcPr>
            <w:tcW w:w="1183" w:type="pct"/>
            <w:tcBorders>
              <w:top w:val="nil"/>
              <w:left w:val="nil"/>
              <w:bottom w:val="nil"/>
              <w:right w:val="nil"/>
            </w:tcBorders>
          </w:tcPr>
          <w:p w14:paraId="14DE836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3763021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(-0.0771)</w:t>
            </w:r>
          </w:p>
        </w:tc>
        <w:tc>
          <w:tcPr>
            <w:tcW w:w="956" w:type="pct"/>
            <w:tcBorders>
              <w:top w:val="nil"/>
              <w:left w:val="nil"/>
              <w:bottom w:val="nil"/>
              <w:right w:val="nil"/>
            </w:tcBorders>
          </w:tcPr>
          <w:p w14:paraId="6C544099"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(-0.607)</w:t>
            </w:r>
          </w:p>
        </w:tc>
        <w:tc>
          <w:tcPr>
            <w:tcW w:w="711" w:type="pct"/>
            <w:tcBorders>
              <w:top w:val="nil"/>
              <w:left w:val="nil"/>
              <w:bottom w:val="nil"/>
              <w:right w:val="nil"/>
            </w:tcBorders>
          </w:tcPr>
          <w:p w14:paraId="773F291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(14.25)</w:t>
            </w:r>
          </w:p>
        </w:tc>
        <w:tc>
          <w:tcPr>
            <w:tcW w:w="837" w:type="pct"/>
            <w:tcBorders>
              <w:top w:val="nil"/>
              <w:left w:val="nil"/>
              <w:bottom w:val="nil"/>
              <w:right w:val="nil"/>
            </w:tcBorders>
          </w:tcPr>
          <w:p w14:paraId="4D1731D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(7.702)</w:t>
            </w:r>
          </w:p>
        </w:tc>
        <w:tc>
          <w:tcPr>
            <w:tcW w:w="731" w:type="pct"/>
            <w:tcBorders>
              <w:top w:val="nil"/>
              <w:left w:val="nil"/>
              <w:bottom w:val="nil"/>
              <w:right w:val="nil"/>
            </w:tcBorders>
          </w:tcPr>
          <w:p w14:paraId="0DDFD5A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(16.04)</w:t>
            </w:r>
          </w:p>
        </w:tc>
      </w:tr>
      <w:tr w:rsidR="00F00E3D" w:rsidRPr="00335312" w14:paraId="4D85D832" w14:textId="77777777" w:rsidTr="009B2FA7">
        <w:trPr>
          <w:jc w:val="center"/>
        </w:trPr>
        <w:tc>
          <w:tcPr>
            <w:tcW w:w="1183" w:type="pct"/>
            <w:tcBorders>
              <w:top w:val="nil"/>
              <w:left w:val="nil"/>
              <w:bottom w:val="nil"/>
              <w:right w:val="nil"/>
            </w:tcBorders>
          </w:tcPr>
          <w:p w14:paraId="28A5F87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Constant</w:t>
            </w:r>
          </w:p>
        </w:tc>
        <w:tc>
          <w:tcPr>
            <w:tcW w:w="582" w:type="pct"/>
            <w:tcBorders>
              <w:top w:val="nil"/>
              <w:left w:val="nil"/>
              <w:bottom w:val="nil"/>
              <w:right w:val="nil"/>
            </w:tcBorders>
          </w:tcPr>
          <w:p w14:paraId="0238CD3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-13.38***</w:t>
            </w:r>
          </w:p>
        </w:tc>
        <w:tc>
          <w:tcPr>
            <w:tcW w:w="956" w:type="pct"/>
            <w:tcBorders>
              <w:top w:val="nil"/>
              <w:left w:val="nil"/>
              <w:bottom w:val="nil"/>
              <w:right w:val="nil"/>
            </w:tcBorders>
          </w:tcPr>
          <w:p w14:paraId="58245E8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2.891***</w:t>
            </w:r>
          </w:p>
        </w:tc>
        <w:tc>
          <w:tcPr>
            <w:tcW w:w="711" w:type="pct"/>
            <w:tcBorders>
              <w:top w:val="nil"/>
              <w:left w:val="nil"/>
              <w:bottom w:val="nil"/>
              <w:right w:val="nil"/>
            </w:tcBorders>
          </w:tcPr>
          <w:p w14:paraId="064AAAA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-18.93***</w:t>
            </w:r>
          </w:p>
        </w:tc>
        <w:tc>
          <w:tcPr>
            <w:tcW w:w="837" w:type="pct"/>
            <w:tcBorders>
              <w:top w:val="nil"/>
              <w:left w:val="nil"/>
              <w:bottom w:val="nil"/>
              <w:right w:val="nil"/>
            </w:tcBorders>
          </w:tcPr>
          <w:p w14:paraId="798171BA"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6.270**</w:t>
            </w:r>
          </w:p>
        </w:tc>
        <w:tc>
          <w:tcPr>
            <w:tcW w:w="731" w:type="pct"/>
            <w:tcBorders>
              <w:top w:val="nil"/>
              <w:left w:val="nil"/>
              <w:bottom w:val="nil"/>
              <w:right w:val="nil"/>
            </w:tcBorders>
          </w:tcPr>
          <w:p w14:paraId="75F4DB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13.60*</w:t>
            </w:r>
          </w:p>
        </w:tc>
      </w:tr>
      <w:tr w:rsidR="00F00E3D" w:rsidRPr="00335312" w14:paraId="6034319B" w14:textId="77777777" w:rsidTr="009B2FA7">
        <w:trPr>
          <w:jc w:val="center"/>
        </w:trPr>
        <w:tc>
          <w:tcPr>
            <w:tcW w:w="1183" w:type="pct"/>
            <w:tcBorders>
              <w:top w:val="nil"/>
              <w:left w:val="nil"/>
              <w:bottom w:val="nil"/>
              <w:right w:val="nil"/>
            </w:tcBorders>
          </w:tcPr>
          <w:p w14:paraId="22C3E4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5011E56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(-5.388)</w:t>
            </w:r>
          </w:p>
        </w:tc>
        <w:tc>
          <w:tcPr>
            <w:tcW w:w="956" w:type="pct"/>
            <w:tcBorders>
              <w:top w:val="nil"/>
              <w:left w:val="nil"/>
              <w:bottom w:val="nil"/>
              <w:right w:val="nil"/>
            </w:tcBorders>
          </w:tcPr>
          <w:p w14:paraId="5999755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(10.85)</w:t>
            </w:r>
          </w:p>
        </w:tc>
        <w:tc>
          <w:tcPr>
            <w:tcW w:w="711" w:type="pct"/>
            <w:tcBorders>
              <w:top w:val="nil"/>
              <w:left w:val="nil"/>
              <w:bottom w:val="nil"/>
              <w:right w:val="nil"/>
            </w:tcBorders>
          </w:tcPr>
          <w:p w14:paraId="6F3809F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(-3.221)</w:t>
            </w:r>
          </w:p>
        </w:tc>
        <w:tc>
          <w:tcPr>
            <w:tcW w:w="837" w:type="pct"/>
            <w:tcBorders>
              <w:top w:val="nil"/>
              <w:left w:val="nil"/>
              <w:bottom w:val="nil"/>
              <w:right w:val="nil"/>
            </w:tcBorders>
          </w:tcPr>
          <w:p w14:paraId="53E2FD6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(2.494)</w:t>
            </w:r>
          </w:p>
        </w:tc>
        <w:tc>
          <w:tcPr>
            <w:tcW w:w="731" w:type="pct"/>
            <w:tcBorders>
              <w:top w:val="nil"/>
              <w:left w:val="nil"/>
              <w:bottom w:val="nil"/>
              <w:right w:val="nil"/>
            </w:tcBorders>
          </w:tcPr>
          <w:p w14:paraId="46204CE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(3.758)</w:t>
            </w:r>
          </w:p>
        </w:tc>
      </w:tr>
      <w:tr w:rsidR="00F00E3D" w:rsidRPr="00335312" w14:paraId="0E1FF02A" w14:textId="77777777" w:rsidTr="009B2FA7">
        <w:trPr>
          <w:jc w:val="center"/>
        </w:trPr>
        <w:tc>
          <w:tcPr>
            <w:tcW w:w="1183" w:type="pct"/>
            <w:tcBorders>
              <w:top w:val="nil"/>
              <w:left w:val="nil"/>
              <w:bottom w:val="nil"/>
              <w:right w:val="nil"/>
            </w:tcBorders>
          </w:tcPr>
          <w:p w14:paraId="4D5FFDC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582" w:type="pct"/>
            <w:tcBorders>
              <w:top w:val="nil"/>
              <w:left w:val="nil"/>
              <w:bottom w:val="nil"/>
              <w:right w:val="nil"/>
            </w:tcBorders>
          </w:tcPr>
          <w:p w14:paraId="76974F1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956" w:type="pct"/>
            <w:tcBorders>
              <w:top w:val="nil"/>
              <w:left w:val="nil"/>
              <w:bottom w:val="nil"/>
              <w:right w:val="nil"/>
            </w:tcBorders>
          </w:tcPr>
          <w:p w14:paraId="25C163F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11" w:type="pct"/>
            <w:tcBorders>
              <w:top w:val="nil"/>
              <w:left w:val="nil"/>
              <w:bottom w:val="nil"/>
              <w:right w:val="nil"/>
            </w:tcBorders>
          </w:tcPr>
          <w:p w14:paraId="0723FEE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837" w:type="pct"/>
            <w:tcBorders>
              <w:top w:val="nil"/>
              <w:left w:val="nil"/>
              <w:bottom w:val="nil"/>
              <w:right w:val="nil"/>
            </w:tcBorders>
          </w:tcPr>
          <w:p w14:paraId="0AF5A78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c>
          <w:tcPr>
            <w:tcW w:w="731" w:type="pct"/>
            <w:tcBorders>
              <w:top w:val="nil"/>
              <w:left w:val="nil"/>
              <w:bottom w:val="nil"/>
              <w:right w:val="nil"/>
            </w:tcBorders>
          </w:tcPr>
          <w:p w14:paraId="0D298D5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p>
        </w:tc>
      </w:tr>
      <w:tr w:rsidR="00F00E3D" w:rsidRPr="00335312" w14:paraId="12807337" w14:textId="77777777" w:rsidTr="009B2FA7">
        <w:trPr>
          <w:jc w:val="center"/>
        </w:trPr>
        <w:tc>
          <w:tcPr>
            <w:tcW w:w="1183" w:type="pct"/>
            <w:tcBorders>
              <w:top w:val="nil"/>
              <w:left w:val="nil"/>
              <w:bottom w:val="nil"/>
              <w:right w:val="nil"/>
            </w:tcBorders>
          </w:tcPr>
          <w:p w14:paraId="7A4D3F8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Observations</w:t>
            </w:r>
          </w:p>
        </w:tc>
        <w:tc>
          <w:tcPr>
            <w:tcW w:w="582" w:type="pct"/>
            <w:tcBorders>
              <w:top w:val="nil"/>
              <w:left w:val="nil"/>
              <w:bottom w:val="nil"/>
              <w:right w:val="nil"/>
            </w:tcBorders>
          </w:tcPr>
          <w:p w14:paraId="008A970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1,259,754</w:t>
            </w:r>
          </w:p>
        </w:tc>
        <w:tc>
          <w:tcPr>
            <w:tcW w:w="956" w:type="pct"/>
            <w:tcBorders>
              <w:top w:val="nil"/>
              <w:left w:val="nil"/>
              <w:bottom w:val="nil"/>
              <w:right w:val="nil"/>
            </w:tcBorders>
          </w:tcPr>
          <w:p w14:paraId="5FCFB22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1,015,405</w:t>
            </w:r>
          </w:p>
        </w:tc>
        <w:tc>
          <w:tcPr>
            <w:tcW w:w="711" w:type="pct"/>
            <w:tcBorders>
              <w:top w:val="nil"/>
              <w:left w:val="nil"/>
              <w:bottom w:val="nil"/>
              <w:right w:val="nil"/>
            </w:tcBorders>
          </w:tcPr>
          <w:p w14:paraId="3DF1F2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244,349</w:t>
            </w:r>
          </w:p>
        </w:tc>
        <w:tc>
          <w:tcPr>
            <w:tcW w:w="837" w:type="pct"/>
            <w:tcBorders>
              <w:top w:val="nil"/>
              <w:left w:val="nil"/>
              <w:bottom w:val="nil"/>
              <w:right w:val="nil"/>
            </w:tcBorders>
          </w:tcPr>
          <w:p w14:paraId="05EE6C1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14,123</w:t>
            </w:r>
          </w:p>
        </w:tc>
        <w:tc>
          <w:tcPr>
            <w:tcW w:w="731" w:type="pct"/>
            <w:tcBorders>
              <w:top w:val="nil"/>
              <w:left w:val="nil"/>
              <w:bottom w:val="nil"/>
              <w:right w:val="nil"/>
            </w:tcBorders>
          </w:tcPr>
          <w:p w14:paraId="26B540B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1,061</w:t>
            </w:r>
          </w:p>
        </w:tc>
      </w:tr>
      <w:tr w:rsidR="00F00E3D" w:rsidRPr="00335312" w14:paraId="0E54209D" w14:textId="77777777" w:rsidTr="009B2FA7">
        <w:trPr>
          <w:jc w:val="center"/>
        </w:trPr>
        <w:tc>
          <w:tcPr>
            <w:tcW w:w="1183" w:type="pct"/>
            <w:tcBorders>
              <w:top w:val="nil"/>
              <w:left w:val="nil"/>
              <w:bottom w:val="nil"/>
              <w:right w:val="nil"/>
            </w:tcBorders>
          </w:tcPr>
          <w:p w14:paraId="64D0CA7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R-squared</w:t>
            </w:r>
          </w:p>
        </w:tc>
        <w:tc>
          <w:tcPr>
            <w:tcW w:w="582" w:type="pct"/>
            <w:tcBorders>
              <w:top w:val="nil"/>
              <w:left w:val="nil"/>
              <w:bottom w:val="nil"/>
              <w:right w:val="nil"/>
            </w:tcBorders>
          </w:tcPr>
          <w:p w14:paraId="38F3132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0.704</w:t>
            </w:r>
          </w:p>
        </w:tc>
        <w:tc>
          <w:tcPr>
            <w:tcW w:w="956" w:type="pct"/>
            <w:tcBorders>
              <w:top w:val="nil"/>
              <w:left w:val="nil"/>
              <w:bottom w:val="nil"/>
              <w:right w:val="nil"/>
            </w:tcBorders>
          </w:tcPr>
          <w:p w14:paraId="6032077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0.661</w:t>
            </w:r>
          </w:p>
        </w:tc>
        <w:tc>
          <w:tcPr>
            <w:tcW w:w="711" w:type="pct"/>
            <w:tcBorders>
              <w:top w:val="nil"/>
              <w:left w:val="nil"/>
              <w:bottom w:val="nil"/>
              <w:right w:val="nil"/>
            </w:tcBorders>
          </w:tcPr>
          <w:p w14:paraId="7A566E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0.792</w:t>
            </w:r>
          </w:p>
        </w:tc>
        <w:tc>
          <w:tcPr>
            <w:tcW w:w="837" w:type="pct"/>
            <w:tcBorders>
              <w:top w:val="nil"/>
              <w:left w:val="nil"/>
              <w:bottom w:val="nil"/>
              <w:right w:val="nil"/>
            </w:tcBorders>
          </w:tcPr>
          <w:p w14:paraId="60DBE1C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0.661</w:t>
            </w:r>
          </w:p>
        </w:tc>
        <w:tc>
          <w:tcPr>
            <w:tcW w:w="731" w:type="pct"/>
            <w:tcBorders>
              <w:top w:val="nil"/>
              <w:left w:val="nil"/>
              <w:bottom w:val="nil"/>
              <w:right w:val="nil"/>
            </w:tcBorders>
          </w:tcPr>
          <w:p w14:paraId="6E715EF0"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0.770</w:t>
            </w:r>
          </w:p>
        </w:tc>
      </w:tr>
      <w:tr w:rsidR="00F00E3D" w:rsidRPr="00335312" w14:paraId="43B3FEC3" w14:textId="77777777" w:rsidTr="009B2FA7">
        <w:trPr>
          <w:jc w:val="center"/>
        </w:trPr>
        <w:tc>
          <w:tcPr>
            <w:tcW w:w="1183" w:type="pct"/>
            <w:tcBorders>
              <w:top w:val="nil"/>
              <w:left w:val="nil"/>
              <w:bottom w:val="nil"/>
              <w:right w:val="nil"/>
            </w:tcBorders>
          </w:tcPr>
          <w:p w14:paraId="4C73F197"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FE</w:t>
            </w:r>
          </w:p>
        </w:tc>
        <w:tc>
          <w:tcPr>
            <w:tcW w:w="582" w:type="pct"/>
            <w:tcBorders>
              <w:top w:val="nil"/>
              <w:left w:val="nil"/>
              <w:bottom w:val="nil"/>
              <w:right w:val="nil"/>
            </w:tcBorders>
          </w:tcPr>
          <w:p w14:paraId="1707FD6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956" w:type="pct"/>
            <w:tcBorders>
              <w:top w:val="nil"/>
              <w:left w:val="nil"/>
              <w:bottom w:val="nil"/>
              <w:right w:val="nil"/>
            </w:tcBorders>
          </w:tcPr>
          <w:p w14:paraId="28923B0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11" w:type="pct"/>
            <w:tcBorders>
              <w:top w:val="nil"/>
              <w:left w:val="nil"/>
              <w:bottom w:val="nil"/>
              <w:right w:val="nil"/>
            </w:tcBorders>
          </w:tcPr>
          <w:p w14:paraId="0CF0569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37" w:type="pct"/>
            <w:tcBorders>
              <w:top w:val="nil"/>
              <w:left w:val="nil"/>
              <w:bottom w:val="nil"/>
              <w:right w:val="nil"/>
            </w:tcBorders>
          </w:tcPr>
          <w:p w14:paraId="7B37864B"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31" w:type="pct"/>
            <w:tcBorders>
              <w:top w:val="nil"/>
              <w:left w:val="nil"/>
              <w:bottom w:val="nil"/>
              <w:right w:val="nil"/>
            </w:tcBorders>
          </w:tcPr>
          <w:p w14:paraId="1C27F37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655E1D54" w14:textId="77777777" w:rsidTr="009B2FA7">
        <w:trPr>
          <w:jc w:val="center"/>
        </w:trPr>
        <w:tc>
          <w:tcPr>
            <w:tcW w:w="1183" w:type="pct"/>
            <w:tcBorders>
              <w:top w:val="nil"/>
              <w:left w:val="nil"/>
              <w:right w:val="nil"/>
            </w:tcBorders>
          </w:tcPr>
          <w:p w14:paraId="6B41533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Suburb SE Cluster</w:t>
            </w:r>
          </w:p>
        </w:tc>
        <w:tc>
          <w:tcPr>
            <w:tcW w:w="582" w:type="pct"/>
            <w:tcBorders>
              <w:top w:val="nil"/>
              <w:left w:val="nil"/>
              <w:right w:val="nil"/>
            </w:tcBorders>
          </w:tcPr>
          <w:p w14:paraId="44220653"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956" w:type="pct"/>
            <w:tcBorders>
              <w:top w:val="nil"/>
              <w:left w:val="nil"/>
              <w:right w:val="nil"/>
            </w:tcBorders>
          </w:tcPr>
          <w:p w14:paraId="6859718C"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11" w:type="pct"/>
            <w:tcBorders>
              <w:top w:val="nil"/>
              <w:left w:val="nil"/>
              <w:right w:val="nil"/>
            </w:tcBorders>
          </w:tcPr>
          <w:p w14:paraId="4A65E811"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37" w:type="pct"/>
            <w:tcBorders>
              <w:top w:val="nil"/>
              <w:left w:val="nil"/>
              <w:right w:val="nil"/>
            </w:tcBorders>
          </w:tcPr>
          <w:p w14:paraId="4284B6B5"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31" w:type="pct"/>
            <w:tcBorders>
              <w:top w:val="nil"/>
              <w:left w:val="nil"/>
              <w:right w:val="nil"/>
            </w:tcBorders>
          </w:tcPr>
          <w:p w14:paraId="7862121F"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r w:rsidR="00F00E3D" w:rsidRPr="00335312" w14:paraId="0F5F6436" w14:textId="77777777" w:rsidTr="009B2FA7">
        <w:trPr>
          <w:jc w:val="center"/>
        </w:trPr>
        <w:tc>
          <w:tcPr>
            <w:tcW w:w="1183" w:type="pct"/>
            <w:tcBorders>
              <w:top w:val="nil"/>
              <w:left w:val="nil"/>
              <w:bottom w:val="double" w:sz="4" w:space="0" w:color="auto"/>
              <w:right w:val="nil"/>
            </w:tcBorders>
          </w:tcPr>
          <w:p w14:paraId="66981946"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Year#Month FE</w:t>
            </w:r>
          </w:p>
        </w:tc>
        <w:tc>
          <w:tcPr>
            <w:tcW w:w="582" w:type="pct"/>
            <w:tcBorders>
              <w:top w:val="nil"/>
              <w:left w:val="nil"/>
              <w:bottom w:val="double" w:sz="4" w:space="0" w:color="auto"/>
              <w:right w:val="nil"/>
            </w:tcBorders>
          </w:tcPr>
          <w:p w14:paraId="740E72A2"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956" w:type="pct"/>
            <w:tcBorders>
              <w:top w:val="nil"/>
              <w:left w:val="nil"/>
              <w:bottom w:val="double" w:sz="4" w:space="0" w:color="auto"/>
              <w:right w:val="nil"/>
            </w:tcBorders>
          </w:tcPr>
          <w:p w14:paraId="6950B9BE"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11" w:type="pct"/>
            <w:tcBorders>
              <w:top w:val="nil"/>
              <w:left w:val="nil"/>
              <w:bottom w:val="double" w:sz="4" w:space="0" w:color="auto"/>
              <w:right w:val="nil"/>
            </w:tcBorders>
          </w:tcPr>
          <w:p w14:paraId="58F2A8D4"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837" w:type="pct"/>
            <w:tcBorders>
              <w:top w:val="nil"/>
              <w:left w:val="nil"/>
              <w:bottom w:val="double" w:sz="4" w:space="0" w:color="auto"/>
              <w:right w:val="nil"/>
            </w:tcBorders>
          </w:tcPr>
          <w:p w14:paraId="7043C20D"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c>
          <w:tcPr>
            <w:tcW w:w="731" w:type="pct"/>
            <w:tcBorders>
              <w:top w:val="nil"/>
              <w:left w:val="nil"/>
              <w:bottom w:val="double" w:sz="4" w:space="0" w:color="auto"/>
              <w:right w:val="nil"/>
            </w:tcBorders>
          </w:tcPr>
          <w:p w14:paraId="72786248" w14:textId="77777777" w:rsidR="00F00E3D" w:rsidRPr="00335312" w:rsidRDefault="00F00E3D" w:rsidP="002C52A2">
            <w:pPr>
              <w:widowControl w:val="0"/>
              <w:autoSpaceDE w:val="0"/>
              <w:autoSpaceDN w:val="0"/>
              <w:adjustRightInd w:val="0"/>
              <w:spacing w:after="0" w:line="240" w:lineRule="auto"/>
              <w:rPr>
                <w:rFonts w:asciiTheme="majorHAnsi" w:hAnsiTheme="majorHAnsi" w:cstheme="majorHAnsi"/>
                <w:sz w:val="20"/>
                <w:szCs w:val="20"/>
              </w:rPr>
            </w:pPr>
            <w:r w:rsidRPr="00335312">
              <w:rPr>
                <w:rFonts w:asciiTheme="majorHAnsi" w:hAnsiTheme="majorHAnsi" w:cstheme="majorHAnsi"/>
                <w:sz w:val="20"/>
                <w:szCs w:val="20"/>
              </w:rPr>
              <w:t>YES</w:t>
            </w:r>
          </w:p>
        </w:tc>
      </w:tr>
    </w:tbl>
    <w:p w14:paraId="59942F6D" w14:textId="29D3DAA9" w:rsidR="00F00E3D" w:rsidRPr="00CE2B42" w:rsidRDefault="00F00E3D" w:rsidP="002C52A2">
      <w:pPr>
        <w:spacing w:after="0" w:line="276" w:lineRule="auto"/>
        <w:rPr>
          <w:rFonts w:asciiTheme="majorHAnsi" w:eastAsiaTheme="majorEastAsia" w:hAnsiTheme="majorHAnsi" w:cstheme="majorHAnsi"/>
          <w:bCs/>
          <w:i/>
        </w:rPr>
      </w:pPr>
      <w:r w:rsidRPr="00CE2B42">
        <w:rPr>
          <w:rFonts w:asciiTheme="majorHAnsi" w:eastAsiaTheme="majorEastAsia" w:hAnsiTheme="majorHAnsi" w:cstheme="majorHAnsi"/>
          <w:bCs/>
          <w:i/>
        </w:rPr>
        <w:t>Note: This table reports the results of estimating Hedonic Model (A.2) to construct the Index. Panel.A presents the results on house transactional sample. Panel.B presents the results on unit transactional sample. Panel.C presents the results on house rental sample. Panel.D presents the results on unit rental sample. The column (1) in each panel presents the Hedonic model for the whole VIC. The column (2) in each panel presents the Hedonic model for the Greater Melbourne. The column (3) in each panel presents the Hedonic model for the Regional VIC. The column (4) in each panel presents the Hedonic model for the Greater Geelong. The column (5) in each panel presents the Hedonic model for the three focal suburbs. Suburb fixed effect is included, and the standard error is clustered on suburb level. Robust t-statistics in parentheses. *** p&lt;0.01, ** p&lt;0.05, * p&lt;0.1</w:t>
      </w:r>
    </w:p>
    <w:p w14:paraId="18F3DAE3" w14:textId="77777777" w:rsidR="00F00E3D" w:rsidRPr="00CE2B42" w:rsidRDefault="00F00E3D" w:rsidP="002C52A2">
      <w:pPr>
        <w:spacing w:after="0" w:line="276" w:lineRule="auto"/>
        <w:rPr>
          <w:rFonts w:asciiTheme="majorHAnsi" w:eastAsiaTheme="majorEastAsia" w:hAnsiTheme="majorHAnsi" w:cstheme="majorHAnsi"/>
          <w:bCs/>
        </w:rPr>
      </w:pPr>
    </w:p>
    <w:p w14:paraId="5E20E345" w14:textId="77777777" w:rsidR="00F00E3D" w:rsidRPr="00CE2B42" w:rsidRDefault="00F00E3D" w:rsidP="002C52A2">
      <w:pPr>
        <w:spacing w:before="120" w:after="120" w:line="276" w:lineRule="auto"/>
        <w:rPr>
          <w:rFonts w:asciiTheme="majorHAnsi" w:eastAsiaTheme="majorEastAsia" w:hAnsiTheme="majorHAnsi" w:cstheme="majorHAnsi"/>
          <w:bCs/>
        </w:rPr>
      </w:pPr>
      <w:r w:rsidRPr="00CE2B42">
        <w:rPr>
          <w:rFonts w:asciiTheme="majorHAnsi" w:eastAsiaTheme="majorEastAsia" w:hAnsiTheme="majorHAnsi" w:cstheme="majorHAnsi"/>
          <w:bCs/>
        </w:rPr>
        <w:t>In Table 2A.3, estimated coefficients of year-month interaction variables are used to construct the hedonic model.  We set the price level on January 2015 as the baseline (100%), then the price levels in the following month-year combinations are calculated as below:</w:t>
      </w:r>
    </w:p>
    <w:p w14:paraId="2EBBBFBC" w14:textId="77777777" w:rsidR="00F00E3D" w:rsidRPr="00335312" w:rsidRDefault="007320D6" w:rsidP="002C52A2">
      <w:pPr>
        <w:spacing w:before="120" w:after="120" w:line="360" w:lineRule="auto"/>
        <w:rPr>
          <w:rFonts w:asciiTheme="majorHAnsi" w:eastAsiaTheme="majorEastAsia" w:hAnsiTheme="majorHAnsi" w:cstheme="majorHAnsi"/>
          <w:bCs/>
          <w:sz w:val="20"/>
          <w:szCs w:val="20"/>
        </w:rPr>
      </w:pPr>
      <m:oMath>
        <m:sSub>
          <m:sSubPr>
            <m:ctrlPr>
              <w:rPr>
                <w:rFonts w:ascii="Cambria Math" w:eastAsiaTheme="majorEastAsia" w:hAnsi="Cambria Math" w:cstheme="majorHAnsi"/>
                <w:bCs/>
                <w:i/>
                <w:sz w:val="20"/>
                <w:szCs w:val="20"/>
              </w:rPr>
            </m:ctrlPr>
          </m:sSubPr>
          <m:e>
            <m:r>
              <w:rPr>
                <w:rFonts w:ascii="Cambria Math" w:eastAsiaTheme="majorEastAsia" w:hAnsi="Cambria Math" w:cstheme="majorHAnsi"/>
                <w:sz w:val="20"/>
                <w:szCs w:val="20"/>
              </w:rPr>
              <m:t>Index</m:t>
            </m:r>
          </m:e>
          <m:sub>
            <m:r>
              <w:rPr>
                <w:rFonts w:ascii="Cambria Math" w:eastAsiaTheme="majorEastAsia" w:hAnsi="Cambria Math" w:cstheme="majorHAnsi"/>
                <w:sz w:val="20"/>
                <w:szCs w:val="20"/>
              </w:rPr>
              <m:t>m,y</m:t>
            </m:r>
          </m:sub>
        </m:sSub>
        <m:r>
          <w:rPr>
            <w:rFonts w:ascii="Cambria Math" w:eastAsiaTheme="majorEastAsia" w:hAnsi="Cambria Math" w:cstheme="majorHAnsi"/>
            <w:sz w:val="20"/>
            <w:szCs w:val="20"/>
          </w:rPr>
          <m:t>=100+100*</m:t>
        </m:r>
        <m:sSub>
          <m:sSubPr>
            <m:ctrlPr>
              <w:rPr>
                <w:rFonts w:ascii="Cambria Math" w:eastAsiaTheme="majorEastAsia" w:hAnsi="Cambria Math" w:cstheme="majorHAnsi"/>
                <w:bCs/>
                <w:i/>
                <w:sz w:val="20"/>
                <w:szCs w:val="20"/>
              </w:rPr>
            </m:ctrlPr>
          </m:sSubPr>
          <m:e>
            <m:r>
              <w:rPr>
                <w:rFonts w:ascii="Cambria Math" w:eastAsiaTheme="majorEastAsia" w:hAnsi="Cambria Math" w:cstheme="majorHAnsi"/>
                <w:sz w:val="20"/>
                <w:szCs w:val="20"/>
              </w:rPr>
              <m:t>β</m:t>
            </m:r>
          </m:e>
          <m:sub>
            <m:r>
              <w:rPr>
                <w:rFonts w:ascii="Cambria Math" w:eastAsiaTheme="majorEastAsia" w:hAnsi="Cambria Math" w:cstheme="majorHAnsi"/>
                <w:sz w:val="20"/>
                <w:szCs w:val="20"/>
              </w:rPr>
              <m:t>m,y</m:t>
            </m:r>
          </m:sub>
        </m:sSub>
      </m:oMath>
      <w:r w:rsidR="00F00E3D" w:rsidRPr="00335312">
        <w:rPr>
          <w:rFonts w:asciiTheme="majorHAnsi" w:eastAsiaTheme="majorEastAsia" w:hAnsiTheme="majorHAnsi" w:cstheme="majorHAnsi"/>
          <w:bCs/>
          <w:sz w:val="20"/>
          <w:szCs w:val="20"/>
        </w:rPr>
        <w:t xml:space="preserve">                    Eq(A3)</w:t>
      </w:r>
    </w:p>
    <w:p w14:paraId="73B757D3" w14:textId="681B0325" w:rsidR="00F00E3D" w:rsidRDefault="00F00E3D" w:rsidP="002C52A2">
      <w:pPr>
        <w:spacing w:before="120" w:after="120" w:line="276" w:lineRule="auto"/>
        <w:rPr>
          <w:rFonts w:asciiTheme="majorHAnsi" w:eastAsiaTheme="majorEastAsia" w:hAnsiTheme="majorHAnsi" w:cstheme="majorHAnsi"/>
          <w:bCs/>
          <w:sz w:val="20"/>
          <w:szCs w:val="20"/>
        </w:rPr>
      </w:pPr>
      <w:r w:rsidRPr="00335312">
        <w:rPr>
          <w:rFonts w:asciiTheme="majorHAnsi" w:eastAsiaTheme="majorEastAsia" w:hAnsiTheme="majorHAnsi" w:cstheme="majorHAnsi"/>
          <w:bCs/>
          <w:sz w:val="20"/>
          <w:szCs w:val="20"/>
        </w:rPr>
        <w:t xml:space="preserve">Where the </w:t>
      </w:r>
      <m:oMath>
        <m:sSub>
          <m:sSubPr>
            <m:ctrlPr>
              <w:rPr>
                <w:rFonts w:ascii="Cambria Math" w:eastAsiaTheme="majorEastAsia" w:hAnsi="Cambria Math" w:cstheme="majorHAnsi"/>
                <w:bCs/>
                <w:i/>
                <w:sz w:val="20"/>
                <w:szCs w:val="20"/>
              </w:rPr>
            </m:ctrlPr>
          </m:sSubPr>
          <m:e>
            <m:r>
              <w:rPr>
                <w:rFonts w:ascii="Cambria Math" w:eastAsiaTheme="majorEastAsia" w:hAnsi="Cambria Math" w:cstheme="majorHAnsi"/>
                <w:sz w:val="20"/>
                <w:szCs w:val="20"/>
              </w:rPr>
              <m:t>β</m:t>
            </m:r>
          </m:e>
          <m:sub>
            <m:r>
              <w:rPr>
                <w:rFonts w:ascii="Cambria Math" w:eastAsiaTheme="majorEastAsia" w:hAnsi="Cambria Math" w:cstheme="majorHAnsi"/>
                <w:sz w:val="20"/>
                <w:szCs w:val="20"/>
              </w:rPr>
              <m:t>m,y</m:t>
            </m:r>
          </m:sub>
        </m:sSub>
      </m:oMath>
      <w:r w:rsidRPr="00335312">
        <w:rPr>
          <w:rFonts w:asciiTheme="majorHAnsi" w:eastAsiaTheme="majorEastAsia" w:hAnsiTheme="majorHAnsi" w:cstheme="majorHAnsi"/>
          <w:bCs/>
          <w:sz w:val="20"/>
          <w:szCs w:val="20"/>
        </w:rPr>
        <w:t xml:space="preserve"> is the estimated coefficient of month </w:t>
      </w:r>
      <w:r w:rsidRPr="00335312">
        <w:rPr>
          <w:rFonts w:asciiTheme="majorHAnsi" w:eastAsiaTheme="majorEastAsia" w:hAnsiTheme="majorHAnsi" w:cstheme="majorHAnsi"/>
          <w:bCs/>
          <w:i/>
          <w:sz w:val="20"/>
          <w:szCs w:val="20"/>
        </w:rPr>
        <w:t xml:space="preserve">m </w:t>
      </w:r>
      <w:r w:rsidRPr="00335312">
        <w:rPr>
          <w:rFonts w:asciiTheme="majorHAnsi" w:eastAsiaTheme="majorEastAsia" w:hAnsiTheme="majorHAnsi" w:cstheme="majorHAnsi"/>
          <w:bCs/>
          <w:sz w:val="20"/>
          <w:szCs w:val="20"/>
        </w:rPr>
        <w:t xml:space="preserve">year </w:t>
      </w:r>
      <w:r w:rsidRPr="00335312">
        <w:rPr>
          <w:rFonts w:asciiTheme="majorHAnsi" w:eastAsiaTheme="majorEastAsia" w:hAnsiTheme="majorHAnsi" w:cstheme="majorHAnsi"/>
          <w:bCs/>
          <w:i/>
          <w:sz w:val="20"/>
          <w:szCs w:val="20"/>
        </w:rPr>
        <w:t>y</w:t>
      </w:r>
      <w:r w:rsidRPr="00335312">
        <w:rPr>
          <w:rFonts w:asciiTheme="majorHAnsi" w:eastAsiaTheme="majorEastAsia" w:hAnsiTheme="majorHAnsi" w:cstheme="majorHAnsi"/>
          <w:bCs/>
          <w:sz w:val="20"/>
          <w:szCs w:val="20"/>
        </w:rPr>
        <w:t>. For example, the estimated coefficient of “</w:t>
      </w:r>
      <w:r w:rsidRPr="00335312">
        <w:rPr>
          <w:rFonts w:asciiTheme="majorHAnsi" w:eastAsiaTheme="majorEastAsia" w:hAnsiTheme="majorHAnsi" w:cstheme="majorHAnsi"/>
          <w:bCs/>
          <w:i/>
          <w:sz w:val="20"/>
          <w:szCs w:val="20"/>
        </w:rPr>
        <w:t>2015.year#3.month</w:t>
      </w:r>
      <w:r w:rsidRPr="00335312">
        <w:rPr>
          <w:rFonts w:asciiTheme="majorHAnsi" w:eastAsiaTheme="majorEastAsia" w:hAnsiTheme="majorHAnsi" w:cstheme="majorHAnsi"/>
          <w:bCs/>
          <w:sz w:val="20"/>
          <w:szCs w:val="20"/>
        </w:rPr>
        <w:t>” in Column (1) VIC of Panel A house transactional sample is 0.0361, then the house price level of the whole VIC in March of 2015 is equal to 100+100*0.0361=103.61. Further we calculate the mover-average with window of 3 month to smooth the index, and then we plot the Index lines in Figures 1 to 4.</w:t>
      </w:r>
      <w:r w:rsidR="00063AC8">
        <w:rPr>
          <w:rFonts w:asciiTheme="majorHAnsi" w:eastAsiaTheme="majorEastAsia" w:hAnsiTheme="majorHAnsi" w:cstheme="majorHAnsi"/>
          <w:bCs/>
          <w:sz w:val="20"/>
          <w:szCs w:val="20"/>
        </w:rPr>
        <w:t xml:space="preserve"> The index after mover-average smooth are presented in the Table below.</w:t>
      </w:r>
    </w:p>
    <w:p w14:paraId="6829ACFC" w14:textId="6DF89E3B" w:rsidR="00063AC8" w:rsidRPr="00CE2B42" w:rsidRDefault="00063AC8" w:rsidP="00063AC8">
      <w:pPr>
        <w:spacing w:before="120" w:after="120" w:line="276" w:lineRule="auto"/>
        <w:rPr>
          <w:rFonts w:asciiTheme="majorHAnsi" w:eastAsiaTheme="majorEastAsia" w:hAnsiTheme="majorHAnsi" w:cstheme="majorHAnsi"/>
          <w:bCs/>
        </w:rPr>
      </w:pPr>
      <w:r w:rsidRPr="00CE2B42">
        <w:rPr>
          <w:rFonts w:asciiTheme="majorHAnsi" w:hAnsiTheme="majorHAnsi" w:cstheme="majorHAnsi"/>
        </w:rPr>
        <w:t>Table 2A.</w:t>
      </w:r>
      <w:r>
        <w:rPr>
          <w:rFonts w:asciiTheme="majorHAnsi" w:hAnsiTheme="majorHAnsi" w:cstheme="majorHAnsi"/>
        </w:rPr>
        <w:t>4</w:t>
      </w:r>
      <w:r w:rsidRPr="00CE2B42">
        <w:rPr>
          <w:rFonts w:asciiTheme="majorHAnsi" w:hAnsiTheme="majorHAnsi" w:cstheme="majorHAnsi"/>
        </w:rPr>
        <w:t xml:space="preserve">: </w:t>
      </w:r>
      <w:r>
        <w:rPr>
          <w:rFonts w:asciiTheme="majorHAnsi" w:eastAsiaTheme="majorEastAsia" w:hAnsiTheme="majorHAnsi" w:cstheme="majorHAnsi"/>
          <w:bCs/>
        </w:rPr>
        <w:t xml:space="preserve"> Hedonic Index After Mover-Average S</w:t>
      </w:r>
      <w:r w:rsidRPr="00063AC8">
        <w:rPr>
          <w:rFonts w:asciiTheme="majorHAnsi" w:eastAsiaTheme="majorEastAsia" w:hAnsiTheme="majorHAnsi" w:cstheme="majorHAnsi"/>
          <w:bCs/>
        </w:rPr>
        <w:t>mooth</w:t>
      </w:r>
    </w:p>
    <w:p w14:paraId="1CAB8EA2" w14:textId="3AA3E504" w:rsidR="00063AC8" w:rsidRDefault="00063AC8" w:rsidP="00063AC8">
      <w:pPr>
        <w:rPr>
          <w:rFonts w:asciiTheme="majorHAnsi" w:eastAsiaTheme="majorEastAsia" w:hAnsiTheme="majorHAnsi" w:cstheme="majorHAnsi"/>
          <w:bCs/>
        </w:rPr>
      </w:pPr>
      <w:r w:rsidRPr="00063AC8">
        <w:rPr>
          <w:rFonts w:asciiTheme="majorHAnsi" w:eastAsiaTheme="majorEastAsia" w:hAnsiTheme="majorHAnsi" w:cstheme="majorHAnsi"/>
          <w:bCs/>
        </w:rPr>
        <w:t>Panel A. House Transactional Index</w:t>
      </w:r>
    </w:p>
    <w:tbl>
      <w:tblPr>
        <w:tblW w:w="5000" w:type="pct"/>
        <w:jc w:val="center"/>
        <w:tblBorders>
          <w:top w:val="double" w:sz="4" w:space="0" w:color="auto"/>
          <w:bottom w:val="double" w:sz="4" w:space="0" w:color="auto"/>
        </w:tblBorders>
        <w:tblCellMar>
          <w:left w:w="28" w:type="dxa"/>
          <w:right w:w="28" w:type="dxa"/>
        </w:tblCellMar>
        <w:tblLook w:val="04A0" w:firstRow="1" w:lastRow="0" w:firstColumn="1" w:lastColumn="0" w:noHBand="0" w:noVBand="1"/>
      </w:tblPr>
      <w:tblGrid>
        <w:gridCol w:w="979"/>
        <w:gridCol w:w="1290"/>
        <w:gridCol w:w="2228"/>
        <w:gridCol w:w="1492"/>
        <w:gridCol w:w="1985"/>
        <w:gridCol w:w="1664"/>
      </w:tblGrid>
      <w:tr w:rsidR="00063AC8" w:rsidRPr="00063AC8" w14:paraId="2ABF33A4" w14:textId="77777777" w:rsidTr="00063AC8">
        <w:trPr>
          <w:trHeight w:val="20"/>
          <w:jc w:val="center"/>
        </w:trPr>
        <w:tc>
          <w:tcPr>
            <w:tcW w:w="508" w:type="pct"/>
            <w:tcBorders>
              <w:top w:val="double" w:sz="4" w:space="0" w:color="auto"/>
              <w:bottom w:val="single" w:sz="4" w:space="0" w:color="auto"/>
              <w:right w:val="single" w:sz="4" w:space="0" w:color="auto"/>
            </w:tcBorders>
            <w:shd w:val="clear" w:color="auto" w:fill="auto"/>
            <w:vAlign w:val="center"/>
            <w:hideMark/>
          </w:tcPr>
          <w:p w14:paraId="7C8BA20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p>
        </w:tc>
        <w:tc>
          <w:tcPr>
            <w:tcW w:w="669" w:type="pct"/>
            <w:tcBorders>
              <w:top w:val="double" w:sz="4" w:space="0" w:color="auto"/>
              <w:left w:val="single" w:sz="4" w:space="0" w:color="auto"/>
              <w:bottom w:val="single" w:sz="4" w:space="0" w:color="auto"/>
            </w:tcBorders>
            <w:shd w:val="clear" w:color="auto" w:fill="auto"/>
            <w:vAlign w:val="center"/>
            <w:hideMark/>
          </w:tcPr>
          <w:p w14:paraId="13D319A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VIC</w:t>
            </w:r>
          </w:p>
        </w:tc>
        <w:tc>
          <w:tcPr>
            <w:tcW w:w="1156" w:type="pct"/>
            <w:tcBorders>
              <w:top w:val="double" w:sz="4" w:space="0" w:color="auto"/>
              <w:bottom w:val="single" w:sz="4" w:space="0" w:color="auto"/>
            </w:tcBorders>
            <w:shd w:val="clear" w:color="auto" w:fill="auto"/>
            <w:vAlign w:val="center"/>
            <w:hideMark/>
          </w:tcPr>
          <w:p w14:paraId="248C812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GreaterMelbourne</w:t>
            </w:r>
          </w:p>
        </w:tc>
        <w:tc>
          <w:tcPr>
            <w:tcW w:w="774" w:type="pct"/>
            <w:tcBorders>
              <w:top w:val="double" w:sz="4" w:space="0" w:color="auto"/>
              <w:bottom w:val="single" w:sz="4" w:space="0" w:color="auto"/>
            </w:tcBorders>
            <w:shd w:val="clear" w:color="auto" w:fill="auto"/>
            <w:vAlign w:val="center"/>
            <w:hideMark/>
          </w:tcPr>
          <w:p w14:paraId="3D445CD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RegionalVIC</w:t>
            </w:r>
          </w:p>
        </w:tc>
        <w:tc>
          <w:tcPr>
            <w:tcW w:w="1030" w:type="pct"/>
            <w:tcBorders>
              <w:top w:val="double" w:sz="4" w:space="0" w:color="auto"/>
              <w:bottom w:val="single" w:sz="4" w:space="0" w:color="auto"/>
            </w:tcBorders>
            <w:shd w:val="clear" w:color="auto" w:fill="auto"/>
            <w:vAlign w:val="center"/>
            <w:hideMark/>
          </w:tcPr>
          <w:p w14:paraId="02AA4E2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GreaterGeelong</w:t>
            </w:r>
          </w:p>
        </w:tc>
        <w:tc>
          <w:tcPr>
            <w:tcW w:w="863" w:type="pct"/>
            <w:tcBorders>
              <w:top w:val="double" w:sz="4" w:space="0" w:color="auto"/>
              <w:bottom w:val="single" w:sz="4" w:space="0" w:color="auto"/>
            </w:tcBorders>
            <w:shd w:val="clear" w:color="auto" w:fill="auto"/>
            <w:vAlign w:val="center"/>
            <w:hideMark/>
          </w:tcPr>
          <w:p w14:paraId="5A84911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FocalSuburbs</w:t>
            </w:r>
          </w:p>
        </w:tc>
      </w:tr>
      <w:tr w:rsidR="00063AC8" w:rsidRPr="00063AC8" w14:paraId="33293BD1" w14:textId="77777777" w:rsidTr="00063AC8">
        <w:trPr>
          <w:trHeight w:val="20"/>
          <w:jc w:val="center"/>
        </w:trPr>
        <w:tc>
          <w:tcPr>
            <w:tcW w:w="508" w:type="pct"/>
            <w:tcBorders>
              <w:top w:val="single" w:sz="4" w:space="0" w:color="auto"/>
              <w:right w:val="single" w:sz="4" w:space="0" w:color="auto"/>
            </w:tcBorders>
            <w:shd w:val="clear" w:color="auto" w:fill="auto"/>
            <w:vAlign w:val="center"/>
            <w:hideMark/>
          </w:tcPr>
          <w:p w14:paraId="042CF6F8"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201501</w:t>
            </w:r>
          </w:p>
        </w:tc>
        <w:tc>
          <w:tcPr>
            <w:tcW w:w="669" w:type="pct"/>
            <w:tcBorders>
              <w:top w:val="single" w:sz="4" w:space="0" w:color="auto"/>
              <w:left w:val="single" w:sz="4" w:space="0" w:color="auto"/>
            </w:tcBorders>
            <w:shd w:val="clear" w:color="auto" w:fill="auto"/>
            <w:noWrap/>
            <w:vAlign w:val="center"/>
            <w:hideMark/>
          </w:tcPr>
          <w:p w14:paraId="4C0B3A2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100</w:t>
            </w:r>
          </w:p>
        </w:tc>
        <w:tc>
          <w:tcPr>
            <w:tcW w:w="1156" w:type="pct"/>
            <w:tcBorders>
              <w:top w:val="single" w:sz="4" w:space="0" w:color="auto"/>
            </w:tcBorders>
            <w:shd w:val="clear" w:color="auto" w:fill="auto"/>
            <w:noWrap/>
            <w:vAlign w:val="center"/>
            <w:hideMark/>
          </w:tcPr>
          <w:p w14:paraId="65C2842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100</w:t>
            </w:r>
          </w:p>
        </w:tc>
        <w:tc>
          <w:tcPr>
            <w:tcW w:w="774" w:type="pct"/>
            <w:tcBorders>
              <w:top w:val="single" w:sz="4" w:space="0" w:color="auto"/>
            </w:tcBorders>
            <w:shd w:val="clear" w:color="auto" w:fill="auto"/>
            <w:noWrap/>
            <w:vAlign w:val="center"/>
            <w:hideMark/>
          </w:tcPr>
          <w:p w14:paraId="7255409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100</w:t>
            </w:r>
          </w:p>
        </w:tc>
        <w:tc>
          <w:tcPr>
            <w:tcW w:w="1030" w:type="pct"/>
            <w:tcBorders>
              <w:top w:val="single" w:sz="4" w:space="0" w:color="auto"/>
            </w:tcBorders>
            <w:shd w:val="clear" w:color="auto" w:fill="auto"/>
            <w:noWrap/>
            <w:vAlign w:val="center"/>
            <w:hideMark/>
          </w:tcPr>
          <w:p w14:paraId="4B9B819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100</w:t>
            </w:r>
          </w:p>
        </w:tc>
        <w:tc>
          <w:tcPr>
            <w:tcW w:w="863" w:type="pct"/>
            <w:tcBorders>
              <w:top w:val="single" w:sz="4" w:space="0" w:color="auto"/>
            </w:tcBorders>
            <w:shd w:val="clear" w:color="auto" w:fill="auto"/>
            <w:noWrap/>
            <w:vAlign w:val="center"/>
            <w:hideMark/>
          </w:tcPr>
          <w:p w14:paraId="27C7B2F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100</w:t>
            </w:r>
          </w:p>
        </w:tc>
      </w:tr>
      <w:tr w:rsidR="00063AC8" w:rsidRPr="00063AC8" w14:paraId="19467121" w14:textId="77777777" w:rsidTr="00063AC8">
        <w:trPr>
          <w:trHeight w:val="20"/>
          <w:jc w:val="center"/>
        </w:trPr>
        <w:tc>
          <w:tcPr>
            <w:tcW w:w="508" w:type="pct"/>
            <w:tcBorders>
              <w:right w:val="single" w:sz="4" w:space="0" w:color="auto"/>
            </w:tcBorders>
            <w:shd w:val="clear" w:color="auto" w:fill="auto"/>
            <w:vAlign w:val="center"/>
            <w:hideMark/>
          </w:tcPr>
          <w:p w14:paraId="4FE8A075"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201502</w:t>
            </w:r>
          </w:p>
        </w:tc>
        <w:tc>
          <w:tcPr>
            <w:tcW w:w="669" w:type="pct"/>
            <w:tcBorders>
              <w:left w:val="single" w:sz="4" w:space="0" w:color="auto"/>
            </w:tcBorders>
            <w:shd w:val="clear" w:color="auto" w:fill="auto"/>
            <w:noWrap/>
            <w:vAlign w:val="center"/>
            <w:hideMark/>
          </w:tcPr>
          <w:p w14:paraId="2A60990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103.246</w:t>
            </w:r>
          </w:p>
        </w:tc>
        <w:tc>
          <w:tcPr>
            <w:tcW w:w="1156" w:type="pct"/>
            <w:shd w:val="clear" w:color="auto" w:fill="auto"/>
            <w:noWrap/>
            <w:vAlign w:val="center"/>
            <w:hideMark/>
          </w:tcPr>
          <w:p w14:paraId="56DC347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104.954</w:t>
            </w:r>
          </w:p>
        </w:tc>
        <w:tc>
          <w:tcPr>
            <w:tcW w:w="774" w:type="pct"/>
            <w:shd w:val="clear" w:color="auto" w:fill="auto"/>
            <w:noWrap/>
            <w:vAlign w:val="center"/>
            <w:hideMark/>
          </w:tcPr>
          <w:p w14:paraId="58D530D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101.2524</w:t>
            </w:r>
          </w:p>
        </w:tc>
        <w:tc>
          <w:tcPr>
            <w:tcW w:w="1030" w:type="pct"/>
            <w:shd w:val="clear" w:color="auto" w:fill="auto"/>
            <w:noWrap/>
            <w:vAlign w:val="center"/>
            <w:hideMark/>
          </w:tcPr>
          <w:p w14:paraId="05BF74C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99.36192</w:t>
            </w:r>
          </w:p>
        </w:tc>
        <w:tc>
          <w:tcPr>
            <w:tcW w:w="863" w:type="pct"/>
            <w:shd w:val="clear" w:color="auto" w:fill="auto"/>
            <w:noWrap/>
            <w:vAlign w:val="center"/>
            <w:hideMark/>
          </w:tcPr>
          <w:p w14:paraId="1CEF095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97.2378</w:t>
            </w:r>
          </w:p>
        </w:tc>
      </w:tr>
      <w:tr w:rsidR="00063AC8" w:rsidRPr="00063AC8" w14:paraId="7791E42A" w14:textId="77777777" w:rsidTr="00063AC8">
        <w:trPr>
          <w:trHeight w:val="20"/>
          <w:jc w:val="center"/>
        </w:trPr>
        <w:tc>
          <w:tcPr>
            <w:tcW w:w="508" w:type="pct"/>
            <w:tcBorders>
              <w:right w:val="single" w:sz="4" w:space="0" w:color="auto"/>
            </w:tcBorders>
            <w:shd w:val="clear" w:color="auto" w:fill="auto"/>
            <w:vAlign w:val="center"/>
            <w:hideMark/>
          </w:tcPr>
          <w:p w14:paraId="3E6EB1A4"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201503</w:t>
            </w:r>
          </w:p>
        </w:tc>
        <w:tc>
          <w:tcPr>
            <w:tcW w:w="669" w:type="pct"/>
            <w:tcBorders>
              <w:left w:val="single" w:sz="4" w:space="0" w:color="auto"/>
            </w:tcBorders>
            <w:shd w:val="clear" w:color="auto" w:fill="auto"/>
            <w:noWrap/>
            <w:vAlign w:val="center"/>
            <w:hideMark/>
          </w:tcPr>
          <w:p w14:paraId="37A1B25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103.8933</w:t>
            </w:r>
          </w:p>
        </w:tc>
        <w:tc>
          <w:tcPr>
            <w:tcW w:w="1156" w:type="pct"/>
            <w:shd w:val="clear" w:color="auto" w:fill="auto"/>
            <w:noWrap/>
            <w:vAlign w:val="center"/>
            <w:hideMark/>
          </w:tcPr>
          <w:p w14:paraId="5142FA8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105.8117</w:t>
            </w:r>
          </w:p>
        </w:tc>
        <w:tc>
          <w:tcPr>
            <w:tcW w:w="774" w:type="pct"/>
            <w:shd w:val="clear" w:color="auto" w:fill="auto"/>
            <w:noWrap/>
            <w:vAlign w:val="center"/>
            <w:hideMark/>
          </w:tcPr>
          <w:p w14:paraId="11913DB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101.5903</w:t>
            </w:r>
          </w:p>
        </w:tc>
        <w:tc>
          <w:tcPr>
            <w:tcW w:w="1030" w:type="pct"/>
            <w:shd w:val="clear" w:color="auto" w:fill="auto"/>
            <w:noWrap/>
            <w:vAlign w:val="center"/>
            <w:hideMark/>
          </w:tcPr>
          <w:p w14:paraId="0BF8A1C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99.24493</w:t>
            </w:r>
          </w:p>
        </w:tc>
        <w:tc>
          <w:tcPr>
            <w:tcW w:w="863" w:type="pct"/>
            <w:shd w:val="clear" w:color="auto" w:fill="auto"/>
            <w:noWrap/>
            <w:vAlign w:val="center"/>
            <w:hideMark/>
          </w:tcPr>
          <w:p w14:paraId="5C63B13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98.13983</w:t>
            </w:r>
          </w:p>
        </w:tc>
      </w:tr>
      <w:tr w:rsidR="00063AC8" w:rsidRPr="00063AC8" w14:paraId="2167FFD8" w14:textId="77777777" w:rsidTr="00063AC8">
        <w:trPr>
          <w:trHeight w:val="20"/>
          <w:jc w:val="center"/>
        </w:trPr>
        <w:tc>
          <w:tcPr>
            <w:tcW w:w="508" w:type="pct"/>
            <w:tcBorders>
              <w:right w:val="single" w:sz="4" w:space="0" w:color="auto"/>
            </w:tcBorders>
            <w:shd w:val="clear" w:color="auto" w:fill="auto"/>
            <w:vAlign w:val="center"/>
            <w:hideMark/>
          </w:tcPr>
          <w:p w14:paraId="32EB1C04"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201504</w:t>
            </w:r>
          </w:p>
        </w:tc>
        <w:tc>
          <w:tcPr>
            <w:tcW w:w="669" w:type="pct"/>
            <w:tcBorders>
              <w:left w:val="single" w:sz="4" w:space="0" w:color="auto"/>
            </w:tcBorders>
            <w:shd w:val="clear" w:color="auto" w:fill="auto"/>
            <w:noWrap/>
            <w:vAlign w:val="center"/>
            <w:hideMark/>
          </w:tcPr>
          <w:p w14:paraId="009E899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104.2286</w:t>
            </w:r>
          </w:p>
        </w:tc>
        <w:tc>
          <w:tcPr>
            <w:tcW w:w="1156" w:type="pct"/>
            <w:shd w:val="clear" w:color="auto" w:fill="auto"/>
            <w:noWrap/>
            <w:vAlign w:val="center"/>
            <w:hideMark/>
          </w:tcPr>
          <w:p w14:paraId="5D10376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106.2243</w:t>
            </w:r>
          </w:p>
        </w:tc>
        <w:tc>
          <w:tcPr>
            <w:tcW w:w="774" w:type="pct"/>
            <w:shd w:val="clear" w:color="auto" w:fill="auto"/>
            <w:noWrap/>
            <w:vAlign w:val="center"/>
            <w:hideMark/>
          </w:tcPr>
          <w:p w14:paraId="522B097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101.786</w:t>
            </w:r>
          </w:p>
        </w:tc>
        <w:tc>
          <w:tcPr>
            <w:tcW w:w="1030" w:type="pct"/>
            <w:shd w:val="clear" w:color="auto" w:fill="auto"/>
            <w:noWrap/>
            <w:vAlign w:val="center"/>
            <w:hideMark/>
          </w:tcPr>
          <w:p w14:paraId="581720B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99.27895</w:t>
            </w:r>
          </w:p>
        </w:tc>
        <w:tc>
          <w:tcPr>
            <w:tcW w:w="863" w:type="pct"/>
            <w:shd w:val="clear" w:color="auto" w:fill="auto"/>
            <w:noWrap/>
            <w:vAlign w:val="center"/>
            <w:hideMark/>
          </w:tcPr>
          <w:p w14:paraId="0A4F5B2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97.66271</w:t>
            </w:r>
          </w:p>
        </w:tc>
      </w:tr>
      <w:tr w:rsidR="00063AC8" w:rsidRPr="00063AC8" w14:paraId="60D4DD37" w14:textId="77777777" w:rsidTr="00063AC8">
        <w:trPr>
          <w:trHeight w:val="20"/>
          <w:jc w:val="center"/>
        </w:trPr>
        <w:tc>
          <w:tcPr>
            <w:tcW w:w="508" w:type="pct"/>
            <w:tcBorders>
              <w:right w:val="single" w:sz="4" w:space="0" w:color="auto"/>
            </w:tcBorders>
            <w:shd w:val="clear" w:color="auto" w:fill="auto"/>
            <w:vAlign w:val="center"/>
            <w:hideMark/>
          </w:tcPr>
          <w:p w14:paraId="2DCEC8CD"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201505</w:t>
            </w:r>
          </w:p>
        </w:tc>
        <w:tc>
          <w:tcPr>
            <w:tcW w:w="669" w:type="pct"/>
            <w:tcBorders>
              <w:left w:val="single" w:sz="4" w:space="0" w:color="auto"/>
            </w:tcBorders>
            <w:shd w:val="clear" w:color="auto" w:fill="auto"/>
            <w:noWrap/>
            <w:vAlign w:val="center"/>
            <w:hideMark/>
          </w:tcPr>
          <w:p w14:paraId="70FA375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105.3343</w:t>
            </w:r>
          </w:p>
        </w:tc>
        <w:tc>
          <w:tcPr>
            <w:tcW w:w="1156" w:type="pct"/>
            <w:shd w:val="clear" w:color="auto" w:fill="auto"/>
            <w:noWrap/>
            <w:vAlign w:val="center"/>
            <w:hideMark/>
          </w:tcPr>
          <w:p w14:paraId="4A28E5E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107.7671</w:t>
            </w:r>
          </w:p>
        </w:tc>
        <w:tc>
          <w:tcPr>
            <w:tcW w:w="774" w:type="pct"/>
            <w:shd w:val="clear" w:color="auto" w:fill="auto"/>
            <w:noWrap/>
            <w:vAlign w:val="center"/>
            <w:hideMark/>
          </w:tcPr>
          <w:p w14:paraId="1E08DA3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102.3131</w:t>
            </w:r>
          </w:p>
        </w:tc>
        <w:tc>
          <w:tcPr>
            <w:tcW w:w="1030" w:type="pct"/>
            <w:shd w:val="clear" w:color="auto" w:fill="auto"/>
            <w:noWrap/>
            <w:vAlign w:val="center"/>
            <w:hideMark/>
          </w:tcPr>
          <w:p w14:paraId="54A816C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99.47894</w:t>
            </w:r>
          </w:p>
        </w:tc>
        <w:tc>
          <w:tcPr>
            <w:tcW w:w="863" w:type="pct"/>
            <w:shd w:val="clear" w:color="auto" w:fill="auto"/>
            <w:noWrap/>
            <w:vAlign w:val="center"/>
            <w:hideMark/>
          </w:tcPr>
          <w:p w14:paraId="4F7F470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97.63386</w:t>
            </w:r>
          </w:p>
        </w:tc>
      </w:tr>
      <w:tr w:rsidR="00063AC8" w:rsidRPr="00063AC8" w14:paraId="57F50054" w14:textId="77777777" w:rsidTr="00063AC8">
        <w:trPr>
          <w:trHeight w:val="20"/>
          <w:jc w:val="center"/>
        </w:trPr>
        <w:tc>
          <w:tcPr>
            <w:tcW w:w="508" w:type="pct"/>
            <w:tcBorders>
              <w:right w:val="single" w:sz="4" w:space="0" w:color="auto"/>
            </w:tcBorders>
            <w:shd w:val="clear" w:color="auto" w:fill="auto"/>
            <w:vAlign w:val="center"/>
            <w:hideMark/>
          </w:tcPr>
          <w:p w14:paraId="6137629E"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201506</w:t>
            </w:r>
          </w:p>
        </w:tc>
        <w:tc>
          <w:tcPr>
            <w:tcW w:w="669" w:type="pct"/>
            <w:tcBorders>
              <w:left w:val="single" w:sz="4" w:space="0" w:color="auto"/>
            </w:tcBorders>
            <w:shd w:val="clear" w:color="auto" w:fill="auto"/>
            <w:noWrap/>
            <w:vAlign w:val="center"/>
            <w:hideMark/>
          </w:tcPr>
          <w:p w14:paraId="24CF26D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106.13</w:t>
            </w:r>
          </w:p>
        </w:tc>
        <w:tc>
          <w:tcPr>
            <w:tcW w:w="1156" w:type="pct"/>
            <w:shd w:val="clear" w:color="auto" w:fill="auto"/>
            <w:noWrap/>
            <w:vAlign w:val="center"/>
            <w:hideMark/>
          </w:tcPr>
          <w:p w14:paraId="3A12892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108.8</w:t>
            </w:r>
          </w:p>
        </w:tc>
        <w:tc>
          <w:tcPr>
            <w:tcW w:w="774" w:type="pct"/>
            <w:shd w:val="clear" w:color="auto" w:fill="auto"/>
            <w:noWrap/>
            <w:vAlign w:val="center"/>
            <w:hideMark/>
          </w:tcPr>
          <w:p w14:paraId="7423B49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102.7171</w:t>
            </w:r>
          </w:p>
        </w:tc>
        <w:tc>
          <w:tcPr>
            <w:tcW w:w="1030" w:type="pct"/>
            <w:shd w:val="clear" w:color="auto" w:fill="auto"/>
            <w:noWrap/>
            <w:vAlign w:val="center"/>
            <w:hideMark/>
          </w:tcPr>
          <w:p w14:paraId="18D3090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99.7768</w:t>
            </w:r>
          </w:p>
        </w:tc>
        <w:tc>
          <w:tcPr>
            <w:tcW w:w="863" w:type="pct"/>
            <w:shd w:val="clear" w:color="auto" w:fill="auto"/>
            <w:noWrap/>
            <w:vAlign w:val="center"/>
            <w:hideMark/>
          </w:tcPr>
          <w:p w14:paraId="730D153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97.11172</w:t>
            </w:r>
          </w:p>
        </w:tc>
      </w:tr>
      <w:tr w:rsidR="00063AC8" w:rsidRPr="00063AC8" w14:paraId="7207DA90" w14:textId="77777777" w:rsidTr="00063AC8">
        <w:trPr>
          <w:trHeight w:val="20"/>
          <w:jc w:val="center"/>
        </w:trPr>
        <w:tc>
          <w:tcPr>
            <w:tcW w:w="508" w:type="pct"/>
            <w:tcBorders>
              <w:right w:val="single" w:sz="4" w:space="0" w:color="auto"/>
            </w:tcBorders>
            <w:shd w:val="clear" w:color="auto" w:fill="auto"/>
            <w:vAlign w:val="center"/>
            <w:hideMark/>
          </w:tcPr>
          <w:p w14:paraId="6D1A8CD3"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201507</w:t>
            </w:r>
          </w:p>
        </w:tc>
        <w:tc>
          <w:tcPr>
            <w:tcW w:w="669" w:type="pct"/>
            <w:tcBorders>
              <w:left w:val="single" w:sz="4" w:space="0" w:color="auto"/>
            </w:tcBorders>
            <w:shd w:val="clear" w:color="auto" w:fill="auto"/>
            <w:noWrap/>
            <w:vAlign w:val="center"/>
            <w:hideMark/>
          </w:tcPr>
          <w:p w14:paraId="2E99739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106.9686</w:t>
            </w:r>
          </w:p>
        </w:tc>
        <w:tc>
          <w:tcPr>
            <w:tcW w:w="1156" w:type="pct"/>
            <w:shd w:val="clear" w:color="auto" w:fill="auto"/>
            <w:noWrap/>
            <w:vAlign w:val="center"/>
            <w:hideMark/>
          </w:tcPr>
          <w:p w14:paraId="4FF421E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109.8086</w:t>
            </w:r>
          </w:p>
        </w:tc>
        <w:tc>
          <w:tcPr>
            <w:tcW w:w="774" w:type="pct"/>
            <w:shd w:val="clear" w:color="auto" w:fill="auto"/>
            <w:noWrap/>
            <w:vAlign w:val="center"/>
            <w:hideMark/>
          </w:tcPr>
          <w:p w14:paraId="63C6522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103.2571</w:t>
            </w:r>
          </w:p>
        </w:tc>
        <w:tc>
          <w:tcPr>
            <w:tcW w:w="1030" w:type="pct"/>
            <w:shd w:val="clear" w:color="auto" w:fill="auto"/>
            <w:noWrap/>
            <w:vAlign w:val="center"/>
            <w:hideMark/>
          </w:tcPr>
          <w:p w14:paraId="4A4B29F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100.3123</w:t>
            </w:r>
          </w:p>
        </w:tc>
        <w:tc>
          <w:tcPr>
            <w:tcW w:w="863" w:type="pct"/>
            <w:shd w:val="clear" w:color="auto" w:fill="auto"/>
            <w:noWrap/>
            <w:vAlign w:val="center"/>
            <w:hideMark/>
          </w:tcPr>
          <w:p w14:paraId="4096BE1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98.69315</w:t>
            </w:r>
          </w:p>
        </w:tc>
      </w:tr>
      <w:tr w:rsidR="00063AC8" w:rsidRPr="00063AC8" w14:paraId="46253F5E" w14:textId="77777777" w:rsidTr="00063AC8">
        <w:trPr>
          <w:trHeight w:val="20"/>
          <w:jc w:val="center"/>
        </w:trPr>
        <w:tc>
          <w:tcPr>
            <w:tcW w:w="508" w:type="pct"/>
            <w:tcBorders>
              <w:right w:val="single" w:sz="4" w:space="0" w:color="auto"/>
            </w:tcBorders>
            <w:shd w:val="clear" w:color="auto" w:fill="auto"/>
            <w:vAlign w:val="center"/>
            <w:hideMark/>
          </w:tcPr>
          <w:p w14:paraId="3258AE77"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201508</w:t>
            </w:r>
          </w:p>
        </w:tc>
        <w:tc>
          <w:tcPr>
            <w:tcW w:w="669" w:type="pct"/>
            <w:tcBorders>
              <w:left w:val="single" w:sz="4" w:space="0" w:color="auto"/>
            </w:tcBorders>
            <w:shd w:val="clear" w:color="auto" w:fill="auto"/>
            <w:noWrap/>
            <w:vAlign w:val="center"/>
            <w:hideMark/>
          </w:tcPr>
          <w:p w14:paraId="0F29D14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107.8071</w:t>
            </w:r>
          </w:p>
        </w:tc>
        <w:tc>
          <w:tcPr>
            <w:tcW w:w="1156" w:type="pct"/>
            <w:shd w:val="clear" w:color="auto" w:fill="auto"/>
            <w:noWrap/>
            <w:vAlign w:val="center"/>
            <w:hideMark/>
          </w:tcPr>
          <w:p w14:paraId="524ED75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110.8514</w:t>
            </w:r>
          </w:p>
        </w:tc>
        <w:tc>
          <w:tcPr>
            <w:tcW w:w="774" w:type="pct"/>
            <w:shd w:val="clear" w:color="auto" w:fill="auto"/>
            <w:noWrap/>
            <w:vAlign w:val="center"/>
            <w:hideMark/>
          </w:tcPr>
          <w:p w14:paraId="35A87ED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103.7686</w:t>
            </w:r>
          </w:p>
        </w:tc>
        <w:tc>
          <w:tcPr>
            <w:tcW w:w="1030" w:type="pct"/>
            <w:shd w:val="clear" w:color="auto" w:fill="auto"/>
            <w:noWrap/>
            <w:vAlign w:val="center"/>
            <w:hideMark/>
          </w:tcPr>
          <w:p w14:paraId="1C180F6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101.2994</w:t>
            </w:r>
          </w:p>
        </w:tc>
        <w:tc>
          <w:tcPr>
            <w:tcW w:w="863" w:type="pct"/>
            <w:shd w:val="clear" w:color="auto" w:fill="auto"/>
            <w:noWrap/>
            <w:vAlign w:val="center"/>
            <w:hideMark/>
          </w:tcPr>
          <w:p w14:paraId="621476F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99.89543</w:t>
            </w:r>
          </w:p>
        </w:tc>
      </w:tr>
      <w:tr w:rsidR="00063AC8" w:rsidRPr="00063AC8" w14:paraId="5FFD426B" w14:textId="77777777" w:rsidTr="00063AC8">
        <w:trPr>
          <w:trHeight w:val="20"/>
          <w:jc w:val="center"/>
        </w:trPr>
        <w:tc>
          <w:tcPr>
            <w:tcW w:w="508" w:type="pct"/>
            <w:tcBorders>
              <w:right w:val="single" w:sz="4" w:space="0" w:color="auto"/>
            </w:tcBorders>
            <w:shd w:val="clear" w:color="auto" w:fill="auto"/>
            <w:vAlign w:val="center"/>
            <w:hideMark/>
          </w:tcPr>
          <w:p w14:paraId="1DFCDE3B"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201509</w:t>
            </w:r>
          </w:p>
        </w:tc>
        <w:tc>
          <w:tcPr>
            <w:tcW w:w="669" w:type="pct"/>
            <w:tcBorders>
              <w:left w:val="single" w:sz="4" w:space="0" w:color="auto"/>
            </w:tcBorders>
            <w:shd w:val="clear" w:color="auto" w:fill="auto"/>
            <w:noWrap/>
            <w:vAlign w:val="center"/>
            <w:hideMark/>
          </w:tcPr>
          <w:p w14:paraId="08E6323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108.2371</w:t>
            </w:r>
          </w:p>
        </w:tc>
        <w:tc>
          <w:tcPr>
            <w:tcW w:w="1156" w:type="pct"/>
            <w:shd w:val="clear" w:color="auto" w:fill="auto"/>
            <w:noWrap/>
            <w:vAlign w:val="center"/>
            <w:hideMark/>
          </w:tcPr>
          <w:p w14:paraId="02200A1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111.2286</w:t>
            </w:r>
          </w:p>
        </w:tc>
        <w:tc>
          <w:tcPr>
            <w:tcW w:w="774" w:type="pct"/>
            <w:shd w:val="clear" w:color="auto" w:fill="auto"/>
            <w:noWrap/>
            <w:vAlign w:val="center"/>
            <w:hideMark/>
          </w:tcPr>
          <w:p w14:paraId="223100F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104.2271</w:t>
            </w:r>
          </w:p>
        </w:tc>
        <w:tc>
          <w:tcPr>
            <w:tcW w:w="1030" w:type="pct"/>
            <w:shd w:val="clear" w:color="auto" w:fill="auto"/>
            <w:noWrap/>
            <w:vAlign w:val="center"/>
            <w:hideMark/>
          </w:tcPr>
          <w:p w14:paraId="4CFE8B9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101.644</w:t>
            </w:r>
          </w:p>
        </w:tc>
        <w:tc>
          <w:tcPr>
            <w:tcW w:w="863" w:type="pct"/>
            <w:shd w:val="clear" w:color="auto" w:fill="auto"/>
            <w:noWrap/>
            <w:vAlign w:val="center"/>
            <w:hideMark/>
          </w:tcPr>
          <w:p w14:paraId="5C3E603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99.89543</w:t>
            </w:r>
          </w:p>
        </w:tc>
      </w:tr>
      <w:tr w:rsidR="00063AC8" w:rsidRPr="00063AC8" w14:paraId="4900F8CD" w14:textId="77777777" w:rsidTr="00063AC8">
        <w:trPr>
          <w:trHeight w:val="20"/>
          <w:jc w:val="center"/>
        </w:trPr>
        <w:tc>
          <w:tcPr>
            <w:tcW w:w="508" w:type="pct"/>
            <w:tcBorders>
              <w:right w:val="single" w:sz="4" w:space="0" w:color="auto"/>
            </w:tcBorders>
            <w:shd w:val="clear" w:color="auto" w:fill="auto"/>
            <w:vAlign w:val="center"/>
            <w:hideMark/>
          </w:tcPr>
          <w:p w14:paraId="11E9DE10"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lastRenderedPageBreak/>
              <w:t>201510</w:t>
            </w:r>
          </w:p>
        </w:tc>
        <w:tc>
          <w:tcPr>
            <w:tcW w:w="669" w:type="pct"/>
            <w:tcBorders>
              <w:left w:val="single" w:sz="4" w:space="0" w:color="auto"/>
            </w:tcBorders>
            <w:shd w:val="clear" w:color="auto" w:fill="auto"/>
            <w:noWrap/>
            <w:vAlign w:val="center"/>
            <w:hideMark/>
          </w:tcPr>
          <w:p w14:paraId="53F8C17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108.5357</w:t>
            </w:r>
          </w:p>
        </w:tc>
        <w:tc>
          <w:tcPr>
            <w:tcW w:w="1156" w:type="pct"/>
            <w:shd w:val="clear" w:color="auto" w:fill="auto"/>
            <w:noWrap/>
            <w:vAlign w:val="center"/>
            <w:hideMark/>
          </w:tcPr>
          <w:p w14:paraId="0922A7C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111.4857</w:t>
            </w:r>
          </w:p>
        </w:tc>
        <w:tc>
          <w:tcPr>
            <w:tcW w:w="774" w:type="pct"/>
            <w:shd w:val="clear" w:color="auto" w:fill="auto"/>
            <w:noWrap/>
            <w:vAlign w:val="center"/>
            <w:hideMark/>
          </w:tcPr>
          <w:p w14:paraId="118C5EC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104.5214</w:t>
            </w:r>
          </w:p>
        </w:tc>
        <w:tc>
          <w:tcPr>
            <w:tcW w:w="1030" w:type="pct"/>
            <w:shd w:val="clear" w:color="auto" w:fill="auto"/>
            <w:noWrap/>
            <w:vAlign w:val="center"/>
            <w:hideMark/>
          </w:tcPr>
          <w:p w14:paraId="511DDDE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102.3797</w:t>
            </w:r>
          </w:p>
        </w:tc>
        <w:tc>
          <w:tcPr>
            <w:tcW w:w="863" w:type="pct"/>
            <w:shd w:val="clear" w:color="auto" w:fill="auto"/>
            <w:noWrap/>
            <w:vAlign w:val="center"/>
            <w:hideMark/>
          </w:tcPr>
          <w:p w14:paraId="01D7A5D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99.66543</w:t>
            </w:r>
          </w:p>
        </w:tc>
      </w:tr>
      <w:tr w:rsidR="00063AC8" w:rsidRPr="00063AC8" w14:paraId="3EF571AE" w14:textId="77777777" w:rsidTr="00063AC8">
        <w:trPr>
          <w:trHeight w:val="20"/>
          <w:jc w:val="center"/>
        </w:trPr>
        <w:tc>
          <w:tcPr>
            <w:tcW w:w="508" w:type="pct"/>
            <w:tcBorders>
              <w:right w:val="single" w:sz="4" w:space="0" w:color="auto"/>
            </w:tcBorders>
            <w:shd w:val="clear" w:color="auto" w:fill="auto"/>
            <w:vAlign w:val="center"/>
            <w:hideMark/>
          </w:tcPr>
          <w:p w14:paraId="45559AF4"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201511</w:t>
            </w:r>
          </w:p>
        </w:tc>
        <w:tc>
          <w:tcPr>
            <w:tcW w:w="669" w:type="pct"/>
            <w:tcBorders>
              <w:left w:val="single" w:sz="4" w:space="0" w:color="auto"/>
            </w:tcBorders>
            <w:shd w:val="clear" w:color="auto" w:fill="auto"/>
            <w:noWrap/>
            <w:vAlign w:val="center"/>
            <w:hideMark/>
          </w:tcPr>
          <w:p w14:paraId="0026624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109.2014</w:t>
            </w:r>
          </w:p>
        </w:tc>
        <w:tc>
          <w:tcPr>
            <w:tcW w:w="1156" w:type="pct"/>
            <w:shd w:val="clear" w:color="auto" w:fill="auto"/>
            <w:noWrap/>
            <w:vAlign w:val="center"/>
            <w:hideMark/>
          </w:tcPr>
          <w:p w14:paraId="5B94026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112.2429</w:t>
            </w:r>
          </w:p>
        </w:tc>
        <w:tc>
          <w:tcPr>
            <w:tcW w:w="774" w:type="pct"/>
            <w:shd w:val="clear" w:color="auto" w:fill="auto"/>
            <w:noWrap/>
            <w:vAlign w:val="center"/>
            <w:hideMark/>
          </w:tcPr>
          <w:p w14:paraId="582CD20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105.0429</w:t>
            </w:r>
          </w:p>
        </w:tc>
        <w:tc>
          <w:tcPr>
            <w:tcW w:w="1030" w:type="pct"/>
            <w:shd w:val="clear" w:color="auto" w:fill="auto"/>
            <w:noWrap/>
            <w:vAlign w:val="center"/>
            <w:hideMark/>
          </w:tcPr>
          <w:p w14:paraId="4A82500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103.0821</w:t>
            </w:r>
          </w:p>
        </w:tc>
        <w:tc>
          <w:tcPr>
            <w:tcW w:w="863" w:type="pct"/>
            <w:shd w:val="clear" w:color="auto" w:fill="auto"/>
            <w:noWrap/>
            <w:vAlign w:val="center"/>
            <w:hideMark/>
          </w:tcPr>
          <w:p w14:paraId="0443FAB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100.2111</w:t>
            </w:r>
          </w:p>
        </w:tc>
      </w:tr>
      <w:tr w:rsidR="00063AC8" w:rsidRPr="00063AC8" w14:paraId="28733527" w14:textId="77777777" w:rsidTr="00063AC8">
        <w:trPr>
          <w:trHeight w:val="20"/>
          <w:jc w:val="center"/>
        </w:trPr>
        <w:tc>
          <w:tcPr>
            <w:tcW w:w="508" w:type="pct"/>
            <w:tcBorders>
              <w:right w:val="single" w:sz="4" w:space="0" w:color="auto"/>
            </w:tcBorders>
            <w:shd w:val="clear" w:color="auto" w:fill="auto"/>
            <w:vAlign w:val="center"/>
            <w:hideMark/>
          </w:tcPr>
          <w:p w14:paraId="6916F314"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201512</w:t>
            </w:r>
          </w:p>
        </w:tc>
        <w:tc>
          <w:tcPr>
            <w:tcW w:w="669" w:type="pct"/>
            <w:tcBorders>
              <w:left w:val="single" w:sz="4" w:space="0" w:color="auto"/>
            </w:tcBorders>
            <w:shd w:val="clear" w:color="auto" w:fill="auto"/>
            <w:noWrap/>
            <w:vAlign w:val="center"/>
            <w:hideMark/>
          </w:tcPr>
          <w:p w14:paraId="3078426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109.6957</w:t>
            </w:r>
          </w:p>
        </w:tc>
        <w:tc>
          <w:tcPr>
            <w:tcW w:w="1156" w:type="pct"/>
            <w:shd w:val="clear" w:color="auto" w:fill="auto"/>
            <w:noWrap/>
            <w:vAlign w:val="center"/>
            <w:hideMark/>
          </w:tcPr>
          <w:p w14:paraId="1099024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112.7143</w:t>
            </w:r>
          </w:p>
        </w:tc>
        <w:tc>
          <w:tcPr>
            <w:tcW w:w="774" w:type="pct"/>
            <w:shd w:val="clear" w:color="auto" w:fill="auto"/>
            <w:noWrap/>
            <w:vAlign w:val="center"/>
            <w:hideMark/>
          </w:tcPr>
          <w:p w14:paraId="58F822F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105.5643</w:t>
            </w:r>
          </w:p>
        </w:tc>
        <w:tc>
          <w:tcPr>
            <w:tcW w:w="1030" w:type="pct"/>
            <w:shd w:val="clear" w:color="auto" w:fill="auto"/>
            <w:noWrap/>
            <w:vAlign w:val="center"/>
            <w:hideMark/>
          </w:tcPr>
          <w:p w14:paraId="426370F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103.5379</w:t>
            </w:r>
          </w:p>
        </w:tc>
        <w:tc>
          <w:tcPr>
            <w:tcW w:w="863" w:type="pct"/>
            <w:shd w:val="clear" w:color="auto" w:fill="auto"/>
            <w:noWrap/>
            <w:vAlign w:val="center"/>
            <w:hideMark/>
          </w:tcPr>
          <w:p w14:paraId="7BF2B0B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100.3667</w:t>
            </w:r>
          </w:p>
        </w:tc>
      </w:tr>
      <w:tr w:rsidR="00063AC8" w:rsidRPr="00063AC8" w14:paraId="68523F9B" w14:textId="77777777" w:rsidTr="00063AC8">
        <w:trPr>
          <w:trHeight w:val="20"/>
          <w:jc w:val="center"/>
        </w:trPr>
        <w:tc>
          <w:tcPr>
            <w:tcW w:w="508" w:type="pct"/>
            <w:tcBorders>
              <w:right w:val="single" w:sz="4" w:space="0" w:color="auto"/>
            </w:tcBorders>
            <w:shd w:val="clear" w:color="auto" w:fill="auto"/>
            <w:vAlign w:val="center"/>
            <w:hideMark/>
          </w:tcPr>
          <w:p w14:paraId="66CAE19F"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201601</w:t>
            </w:r>
          </w:p>
        </w:tc>
        <w:tc>
          <w:tcPr>
            <w:tcW w:w="669" w:type="pct"/>
            <w:tcBorders>
              <w:left w:val="single" w:sz="4" w:space="0" w:color="auto"/>
            </w:tcBorders>
            <w:shd w:val="clear" w:color="auto" w:fill="auto"/>
            <w:noWrap/>
            <w:vAlign w:val="center"/>
            <w:hideMark/>
          </w:tcPr>
          <w:p w14:paraId="103E836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110.1771</w:t>
            </w:r>
          </w:p>
        </w:tc>
        <w:tc>
          <w:tcPr>
            <w:tcW w:w="1156" w:type="pct"/>
            <w:shd w:val="clear" w:color="auto" w:fill="auto"/>
            <w:noWrap/>
            <w:vAlign w:val="center"/>
            <w:hideMark/>
          </w:tcPr>
          <w:p w14:paraId="4943DCC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113.2</w:t>
            </w:r>
          </w:p>
        </w:tc>
        <w:tc>
          <w:tcPr>
            <w:tcW w:w="774" w:type="pct"/>
            <w:shd w:val="clear" w:color="auto" w:fill="auto"/>
            <w:noWrap/>
            <w:vAlign w:val="center"/>
            <w:hideMark/>
          </w:tcPr>
          <w:p w14:paraId="4B7ADB9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106.0429</w:t>
            </w:r>
          </w:p>
        </w:tc>
        <w:tc>
          <w:tcPr>
            <w:tcW w:w="1030" w:type="pct"/>
            <w:shd w:val="clear" w:color="auto" w:fill="auto"/>
            <w:noWrap/>
            <w:vAlign w:val="center"/>
            <w:hideMark/>
          </w:tcPr>
          <w:p w14:paraId="434753B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104.0614</w:t>
            </w:r>
          </w:p>
        </w:tc>
        <w:tc>
          <w:tcPr>
            <w:tcW w:w="863" w:type="pct"/>
            <w:shd w:val="clear" w:color="auto" w:fill="auto"/>
            <w:noWrap/>
            <w:vAlign w:val="center"/>
            <w:hideMark/>
          </w:tcPr>
          <w:p w14:paraId="2263C39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101.4496</w:t>
            </w:r>
          </w:p>
        </w:tc>
      </w:tr>
      <w:tr w:rsidR="00063AC8" w:rsidRPr="00063AC8" w14:paraId="729786B3" w14:textId="77777777" w:rsidTr="00063AC8">
        <w:trPr>
          <w:trHeight w:val="20"/>
          <w:jc w:val="center"/>
        </w:trPr>
        <w:tc>
          <w:tcPr>
            <w:tcW w:w="508" w:type="pct"/>
            <w:tcBorders>
              <w:right w:val="single" w:sz="4" w:space="0" w:color="auto"/>
            </w:tcBorders>
            <w:shd w:val="clear" w:color="auto" w:fill="auto"/>
            <w:vAlign w:val="center"/>
            <w:hideMark/>
          </w:tcPr>
          <w:p w14:paraId="365F0469"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201602</w:t>
            </w:r>
          </w:p>
        </w:tc>
        <w:tc>
          <w:tcPr>
            <w:tcW w:w="669" w:type="pct"/>
            <w:tcBorders>
              <w:left w:val="single" w:sz="4" w:space="0" w:color="auto"/>
            </w:tcBorders>
            <w:shd w:val="clear" w:color="auto" w:fill="auto"/>
            <w:noWrap/>
            <w:vAlign w:val="center"/>
            <w:hideMark/>
          </w:tcPr>
          <w:p w14:paraId="7639079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110.5657</w:t>
            </w:r>
          </w:p>
        </w:tc>
        <w:tc>
          <w:tcPr>
            <w:tcW w:w="1156" w:type="pct"/>
            <w:shd w:val="clear" w:color="auto" w:fill="auto"/>
            <w:noWrap/>
            <w:vAlign w:val="center"/>
            <w:hideMark/>
          </w:tcPr>
          <w:p w14:paraId="04E4DE5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113.6714</w:t>
            </w:r>
          </w:p>
        </w:tc>
        <w:tc>
          <w:tcPr>
            <w:tcW w:w="774" w:type="pct"/>
            <w:shd w:val="clear" w:color="auto" w:fill="auto"/>
            <w:noWrap/>
            <w:vAlign w:val="center"/>
            <w:hideMark/>
          </w:tcPr>
          <w:p w14:paraId="5B33336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106.2729</w:t>
            </w:r>
          </w:p>
        </w:tc>
        <w:tc>
          <w:tcPr>
            <w:tcW w:w="1030" w:type="pct"/>
            <w:shd w:val="clear" w:color="auto" w:fill="auto"/>
            <w:noWrap/>
            <w:vAlign w:val="center"/>
            <w:hideMark/>
          </w:tcPr>
          <w:p w14:paraId="564706C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104.4157</w:t>
            </w:r>
          </w:p>
        </w:tc>
        <w:tc>
          <w:tcPr>
            <w:tcW w:w="863" w:type="pct"/>
            <w:shd w:val="clear" w:color="auto" w:fill="auto"/>
            <w:noWrap/>
            <w:vAlign w:val="center"/>
            <w:hideMark/>
          </w:tcPr>
          <w:p w14:paraId="7DDBC16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101.1271</w:t>
            </w:r>
          </w:p>
        </w:tc>
      </w:tr>
      <w:tr w:rsidR="00063AC8" w:rsidRPr="00063AC8" w14:paraId="69D3AD6E" w14:textId="77777777" w:rsidTr="00063AC8">
        <w:trPr>
          <w:trHeight w:val="20"/>
          <w:jc w:val="center"/>
        </w:trPr>
        <w:tc>
          <w:tcPr>
            <w:tcW w:w="508" w:type="pct"/>
            <w:tcBorders>
              <w:right w:val="single" w:sz="4" w:space="0" w:color="auto"/>
            </w:tcBorders>
            <w:shd w:val="clear" w:color="auto" w:fill="auto"/>
            <w:vAlign w:val="center"/>
            <w:hideMark/>
          </w:tcPr>
          <w:p w14:paraId="3A176BA7"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201603</w:t>
            </w:r>
          </w:p>
        </w:tc>
        <w:tc>
          <w:tcPr>
            <w:tcW w:w="669" w:type="pct"/>
            <w:tcBorders>
              <w:left w:val="single" w:sz="4" w:space="0" w:color="auto"/>
            </w:tcBorders>
            <w:shd w:val="clear" w:color="auto" w:fill="auto"/>
            <w:noWrap/>
            <w:vAlign w:val="center"/>
            <w:hideMark/>
          </w:tcPr>
          <w:p w14:paraId="2F89AB6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111.0257</w:t>
            </w:r>
          </w:p>
        </w:tc>
        <w:tc>
          <w:tcPr>
            <w:tcW w:w="1156" w:type="pct"/>
            <w:shd w:val="clear" w:color="auto" w:fill="auto"/>
            <w:noWrap/>
            <w:vAlign w:val="center"/>
            <w:hideMark/>
          </w:tcPr>
          <w:p w14:paraId="4F82528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114.3</w:t>
            </w:r>
          </w:p>
        </w:tc>
        <w:tc>
          <w:tcPr>
            <w:tcW w:w="774" w:type="pct"/>
            <w:shd w:val="clear" w:color="auto" w:fill="auto"/>
            <w:noWrap/>
            <w:vAlign w:val="center"/>
            <w:hideMark/>
          </w:tcPr>
          <w:p w14:paraId="55A6093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106.4471</w:t>
            </w:r>
          </w:p>
        </w:tc>
        <w:tc>
          <w:tcPr>
            <w:tcW w:w="1030" w:type="pct"/>
            <w:shd w:val="clear" w:color="auto" w:fill="auto"/>
            <w:noWrap/>
            <w:vAlign w:val="center"/>
            <w:hideMark/>
          </w:tcPr>
          <w:p w14:paraId="5DBD92C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104.1843</w:t>
            </w:r>
          </w:p>
        </w:tc>
        <w:tc>
          <w:tcPr>
            <w:tcW w:w="863" w:type="pct"/>
            <w:shd w:val="clear" w:color="auto" w:fill="auto"/>
            <w:noWrap/>
            <w:vAlign w:val="center"/>
            <w:hideMark/>
          </w:tcPr>
          <w:p w14:paraId="4CB57EF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100.8643</w:t>
            </w:r>
          </w:p>
        </w:tc>
      </w:tr>
      <w:tr w:rsidR="00063AC8" w:rsidRPr="00063AC8" w14:paraId="21B891DC" w14:textId="77777777" w:rsidTr="00063AC8">
        <w:trPr>
          <w:trHeight w:val="20"/>
          <w:jc w:val="center"/>
        </w:trPr>
        <w:tc>
          <w:tcPr>
            <w:tcW w:w="508" w:type="pct"/>
            <w:tcBorders>
              <w:right w:val="single" w:sz="4" w:space="0" w:color="auto"/>
            </w:tcBorders>
            <w:shd w:val="clear" w:color="auto" w:fill="auto"/>
            <w:vAlign w:val="center"/>
            <w:hideMark/>
          </w:tcPr>
          <w:p w14:paraId="78B1328B"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201604</w:t>
            </w:r>
          </w:p>
        </w:tc>
        <w:tc>
          <w:tcPr>
            <w:tcW w:w="669" w:type="pct"/>
            <w:tcBorders>
              <w:left w:val="single" w:sz="4" w:space="0" w:color="auto"/>
            </w:tcBorders>
            <w:shd w:val="clear" w:color="auto" w:fill="auto"/>
            <w:noWrap/>
            <w:vAlign w:val="center"/>
            <w:hideMark/>
          </w:tcPr>
          <w:p w14:paraId="40ECF9A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111.4171</w:t>
            </w:r>
          </w:p>
        </w:tc>
        <w:tc>
          <w:tcPr>
            <w:tcW w:w="1156" w:type="pct"/>
            <w:shd w:val="clear" w:color="auto" w:fill="auto"/>
            <w:noWrap/>
            <w:vAlign w:val="center"/>
            <w:hideMark/>
          </w:tcPr>
          <w:p w14:paraId="5E33535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114.8571</w:t>
            </w:r>
          </w:p>
        </w:tc>
        <w:tc>
          <w:tcPr>
            <w:tcW w:w="774" w:type="pct"/>
            <w:shd w:val="clear" w:color="auto" w:fill="auto"/>
            <w:noWrap/>
            <w:vAlign w:val="center"/>
            <w:hideMark/>
          </w:tcPr>
          <w:p w14:paraId="7211F7B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106.5914</w:t>
            </w:r>
          </w:p>
        </w:tc>
        <w:tc>
          <w:tcPr>
            <w:tcW w:w="1030" w:type="pct"/>
            <w:shd w:val="clear" w:color="auto" w:fill="auto"/>
            <w:noWrap/>
            <w:vAlign w:val="center"/>
            <w:hideMark/>
          </w:tcPr>
          <w:p w14:paraId="365A0F8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104.7486</w:t>
            </w:r>
          </w:p>
        </w:tc>
        <w:tc>
          <w:tcPr>
            <w:tcW w:w="863" w:type="pct"/>
            <w:shd w:val="clear" w:color="auto" w:fill="auto"/>
            <w:noWrap/>
            <w:vAlign w:val="center"/>
            <w:hideMark/>
          </w:tcPr>
          <w:p w14:paraId="3811E63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101.7786</w:t>
            </w:r>
          </w:p>
        </w:tc>
      </w:tr>
      <w:tr w:rsidR="00063AC8" w:rsidRPr="00063AC8" w14:paraId="10D1C9D9" w14:textId="77777777" w:rsidTr="00063AC8">
        <w:trPr>
          <w:trHeight w:val="20"/>
          <w:jc w:val="center"/>
        </w:trPr>
        <w:tc>
          <w:tcPr>
            <w:tcW w:w="508" w:type="pct"/>
            <w:tcBorders>
              <w:right w:val="single" w:sz="4" w:space="0" w:color="auto"/>
            </w:tcBorders>
            <w:shd w:val="clear" w:color="auto" w:fill="auto"/>
            <w:vAlign w:val="center"/>
            <w:hideMark/>
          </w:tcPr>
          <w:p w14:paraId="40C07745"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201605</w:t>
            </w:r>
          </w:p>
        </w:tc>
        <w:tc>
          <w:tcPr>
            <w:tcW w:w="669" w:type="pct"/>
            <w:tcBorders>
              <w:left w:val="single" w:sz="4" w:space="0" w:color="auto"/>
            </w:tcBorders>
            <w:shd w:val="clear" w:color="auto" w:fill="auto"/>
            <w:noWrap/>
            <w:vAlign w:val="center"/>
            <w:hideMark/>
          </w:tcPr>
          <w:p w14:paraId="32AC5D7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112.1429</w:t>
            </w:r>
          </w:p>
        </w:tc>
        <w:tc>
          <w:tcPr>
            <w:tcW w:w="1156" w:type="pct"/>
            <w:shd w:val="clear" w:color="auto" w:fill="auto"/>
            <w:noWrap/>
            <w:vAlign w:val="center"/>
            <w:hideMark/>
          </w:tcPr>
          <w:p w14:paraId="1989ADE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115.8143</w:t>
            </w:r>
          </w:p>
        </w:tc>
        <w:tc>
          <w:tcPr>
            <w:tcW w:w="774" w:type="pct"/>
            <w:shd w:val="clear" w:color="auto" w:fill="auto"/>
            <w:noWrap/>
            <w:vAlign w:val="center"/>
            <w:hideMark/>
          </w:tcPr>
          <w:p w14:paraId="51E1B92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107.0014</w:t>
            </w:r>
          </w:p>
        </w:tc>
        <w:tc>
          <w:tcPr>
            <w:tcW w:w="1030" w:type="pct"/>
            <w:shd w:val="clear" w:color="auto" w:fill="auto"/>
            <w:noWrap/>
            <w:vAlign w:val="center"/>
            <w:hideMark/>
          </w:tcPr>
          <w:p w14:paraId="5B881FF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105.1514</w:t>
            </w:r>
          </w:p>
        </w:tc>
        <w:tc>
          <w:tcPr>
            <w:tcW w:w="863" w:type="pct"/>
            <w:shd w:val="clear" w:color="auto" w:fill="auto"/>
            <w:noWrap/>
            <w:vAlign w:val="center"/>
            <w:hideMark/>
          </w:tcPr>
          <w:p w14:paraId="104060E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102.2043</w:t>
            </w:r>
          </w:p>
        </w:tc>
      </w:tr>
      <w:tr w:rsidR="00063AC8" w:rsidRPr="00063AC8" w14:paraId="414CE1F6" w14:textId="77777777" w:rsidTr="00063AC8">
        <w:trPr>
          <w:trHeight w:val="20"/>
          <w:jc w:val="center"/>
        </w:trPr>
        <w:tc>
          <w:tcPr>
            <w:tcW w:w="508" w:type="pct"/>
            <w:tcBorders>
              <w:right w:val="single" w:sz="4" w:space="0" w:color="auto"/>
            </w:tcBorders>
            <w:shd w:val="clear" w:color="auto" w:fill="auto"/>
            <w:vAlign w:val="center"/>
            <w:hideMark/>
          </w:tcPr>
          <w:p w14:paraId="5B393417"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201606</w:t>
            </w:r>
          </w:p>
        </w:tc>
        <w:tc>
          <w:tcPr>
            <w:tcW w:w="669" w:type="pct"/>
            <w:tcBorders>
              <w:left w:val="single" w:sz="4" w:space="0" w:color="auto"/>
            </w:tcBorders>
            <w:shd w:val="clear" w:color="auto" w:fill="auto"/>
            <w:noWrap/>
            <w:vAlign w:val="center"/>
            <w:hideMark/>
          </w:tcPr>
          <w:p w14:paraId="3C90414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112.8714</w:t>
            </w:r>
          </w:p>
        </w:tc>
        <w:tc>
          <w:tcPr>
            <w:tcW w:w="1156" w:type="pct"/>
            <w:shd w:val="clear" w:color="auto" w:fill="auto"/>
            <w:noWrap/>
            <w:vAlign w:val="center"/>
            <w:hideMark/>
          </w:tcPr>
          <w:p w14:paraId="0525225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116.7429</w:t>
            </w:r>
          </w:p>
        </w:tc>
        <w:tc>
          <w:tcPr>
            <w:tcW w:w="774" w:type="pct"/>
            <w:shd w:val="clear" w:color="auto" w:fill="auto"/>
            <w:noWrap/>
            <w:vAlign w:val="center"/>
            <w:hideMark/>
          </w:tcPr>
          <w:p w14:paraId="7CA39D3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107.3886</w:t>
            </w:r>
          </w:p>
        </w:tc>
        <w:tc>
          <w:tcPr>
            <w:tcW w:w="1030" w:type="pct"/>
            <w:shd w:val="clear" w:color="auto" w:fill="auto"/>
            <w:noWrap/>
            <w:vAlign w:val="center"/>
            <w:hideMark/>
          </w:tcPr>
          <w:p w14:paraId="2BD2AAC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105.5743</w:t>
            </w:r>
          </w:p>
        </w:tc>
        <w:tc>
          <w:tcPr>
            <w:tcW w:w="863" w:type="pct"/>
            <w:shd w:val="clear" w:color="auto" w:fill="auto"/>
            <w:noWrap/>
            <w:vAlign w:val="center"/>
            <w:hideMark/>
          </w:tcPr>
          <w:p w14:paraId="4BEF95A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102.7071</w:t>
            </w:r>
          </w:p>
        </w:tc>
      </w:tr>
      <w:tr w:rsidR="00063AC8" w:rsidRPr="00063AC8" w14:paraId="1AF10A72" w14:textId="77777777" w:rsidTr="00063AC8">
        <w:trPr>
          <w:trHeight w:val="20"/>
          <w:jc w:val="center"/>
        </w:trPr>
        <w:tc>
          <w:tcPr>
            <w:tcW w:w="508" w:type="pct"/>
            <w:tcBorders>
              <w:right w:val="single" w:sz="4" w:space="0" w:color="auto"/>
            </w:tcBorders>
            <w:shd w:val="clear" w:color="auto" w:fill="auto"/>
            <w:vAlign w:val="center"/>
            <w:hideMark/>
          </w:tcPr>
          <w:p w14:paraId="3D858058"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201607</w:t>
            </w:r>
          </w:p>
        </w:tc>
        <w:tc>
          <w:tcPr>
            <w:tcW w:w="669" w:type="pct"/>
            <w:tcBorders>
              <w:left w:val="single" w:sz="4" w:space="0" w:color="auto"/>
            </w:tcBorders>
            <w:shd w:val="clear" w:color="auto" w:fill="auto"/>
            <w:noWrap/>
            <w:vAlign w:val="center"/>
            <w:hideMark/>
          </w:tcPr>
          <w:p w14:paraId="459991F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113.7714</w:t>
            </w:r>
          </w:p>
        </w:tc>
        <w:tc>
          <w:tcPr>
            <w:tcW w:w="1156" w:type="pct"/>
            <w:shd w:val="clear" w:color="auto" w:fill="auto"/>
            <w:noWrap/>
            <w:vAlign w:val="center"/>
            <w:hideMark/>
          </w:tcPr>
          <w:p w14:paraId="2F81EDC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117.9429</w:t>
            </w:r>
          </w:p>
        </w:tc>
        <w:tc>
          <w:tcPr>
            <w:tcW w:w="774" w:type="pct"/>
            <w:shd w:val="clear" w:color="auto" w:fill="auto"/>
            <w:noWrap/>
            <w:vAlign w:val="center"/>
            <w:hideMark/>
          </w:tcPr>
          <w:p w14:paraId="268BA97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107.7829</w:t>
            </w:r>
          </w:p>
        </w:tc>
        <w:tc>
          <w:tcPr>
            <w:tcW w:w="1030" w:type="pct"/>
            <w:shd w:val="clear" w:color="auto" w:fill="auto"/>
            <w:noWrap/>
            <w:vAlign w:val="center"/>
            <w:hideMark/>
          </w:tcPr>
          <w:p w14:paraId="56F1CAB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106.3143</w:t>
            </w:r>
          </w:p>
        </w:tc>
        <w:tc>
          <w:tcPr>
            <w:tcW w:w="863" w:type="pct"/>
            <w:shd w:val="clear" w:color="auto" w:fill="auto"/>
            <w:noWrap/>
            <w:vAlign w:val="center"/>
            <w:hideMark/>
          </w:tcPr>
          <w:p w14:paraId="14FBCCE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103.4447</w:t>
            </w:r>
          </w:p>
        </w:tc>
      </w:tr>
      <w:tr w:rsidR="00063AC8" w:rsidRPr="00063AC8" w14:paraId="3148E042" w14:textId="77777777" w:rsidTr="00063AC8">
        <w:trPr>
          <w:trHeight w:val="20"/>
          <w:jc w:val="center"/>
        </w:trPr>
        <w:tc>
          <w:tcPr>
            <w:tcW w:w="508" w:type="pct"/>
            <w:tcBorders>
              <w:right w:val="single" w:sz="4" w:space="0" w:color="auto"/>
            </w:tcBorders>
            <w:shd w:val="clear" w:color="auto" w:fill="auto"/>
            <w:vAlign w:val="center"/>
            <w:hideMark/>
          </w:tcPr>
          <w:p w14:paraId="2C2A7E4C"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201608</w:t>
            </w:r>
          </w:p>
        </w:tc>
        <w:tc>
          <w:tcPr>
            <w:tcW w:w="669" w:type="pct"/>
            <w:tcBorders>
              <w:left w:val="single" w:sz="4" w:space="0" w:color="auto"/>
            </w:tcBorders>
            <w:shd w:val="clear" w:color="auto" w:fill="auto"/>
            <w:noWrap/>
            <w:vAlign w:val="center"/>
            <w:hideMark/>
          </w:tcPr>
          <w:p w14:paraId="753BFD0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114.7714</w:t>
            </w:r>
          </w:p>
        </w:tc>
        <w:tc>
          <w:tcPr>
            <w:tcW w:w="1156" w:type="pct"/>
            <w:shd w:val="clear" w:color="auto" w:fill="auto"/>
            <w:noWrap/>
            <w:vAlign w:val="center"/>
            <w:hideMark/>
          </w:tcPr>
          <w:p w14:paraId="1965EF9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119.2143</w:t>
            </w:r>
          </w:p>
        </w:tc>
        <w:tc>
          <w:tcPr>
            <w:tcW w:w="774" w:type="pct"/>
            <w:shd w:val="clear" w:color="auto" w:fill="auto"/>
            <w:noWrap/>
            <w:vAlign w:val="center"/>
            <w:hideMark/>
          </w:tcPr>
          <w:p w14:paraId="76A4969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108.37</w:t>
            </w:r>
          </w:p>
        </w:tc>
        <w:tc>
          <w:tcPr>
            <w:tcW w:w="1030" w:type="pct"/>
            <w:shd w:val="clear" w:color="auto" w:fill="auto"/>
            <w:noWrap/>
            <w:vAlign w:val="center"/>
            <w:hideMark/>
          </w:tcPr>
          <w:p w14:paraId="2331336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106.85</w:t>
            </w:r>
          </w:p>
        </w:tc>
        <w:tc>
          <w:tcPr>
            <w:tcW w:w="863" w:type="pct"/>
            <w:shd w:val="clear" w:color="auto" w:fill="auto"/>
            <w:noWrap/>
            <w:vAlign w:val="center"/>
            <w:hideMark/>
          </w:tcPr>
          <w:p w14:paraId="318E0B0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103.4676</w:t>
            </w:r>
          </w:p>
        </w:tc>
      </w:tr>
      <w:tr w:rsidR="00063AC8" w:rsidRPr="00063AC8" w14:paraId="44B07FB5" w14:textId="77777777" w:rsidTr="00063AC8">
        <w:trPr>
          <w:trHeight w:val="20"/>
          <w:jc w:val="center"/>
        </w:trPr>
        <w:tc>
          <w:tcPr>
            <w:tcW w:w="508" w:type="pct"/>
            <w:tcBorders>
              <w:right w:val="single" w:sz="4" w:space="0" w:color="auto"/>
            </w:tcBorders>
            <w:shd w:val="clear" w:color="auto" w:fill="auto"/>
            <w:vAlign w:val="center"/>
            <w:hideMark/>
          </w:tcPr>
          <w:p w14:paraId="53D014F9"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201609</w:t>
            </w:r>
          </w:p>
        </w:tc>
        <w:tc>
          <w:tcPr>
            <w:tcW w:w="669" w:type="pct"/>
            <w:tcBorders>
              <w:left w:val="single" w:sz="4" w:space="0" w:color="auto"/>
            </w:tcBorders>
            <w:shd w:val="clear" w:color="auto" w:fill="auto"/>
            <w:noWrap/>
            <w:vAlign w:val="center"/>
            <w:hideMark/>
          </w:tcPr>
          <w:p w14:paraId="70C17BD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115.7714</w:t>
            </w:r>
          </w:p>
        </w:tc>
        <w:tc>
          <w:tcPr>
            <w:tcW w:w="1156" w:type="pct"/>
            <w:shd w:val="clear" w:color="auto" w:fill="auto"/>
            <w:noWrap/>
            <w:vAlign w:val="center"/>
            <w:hideMark/>
          </w:tcPr>
          <w:p w14:paraId="49B973D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120.3571</w:t>
            </w:r>
          </w:p>
        </w:tc>
        <w:tc>
          <w:tcPr>
            <w:tcW w:w="774" w:type="pct"/>
            <w:shd w:val="clear" w:color="auto" w:fill="auto"/>
            <w:noWrap/>
            <w:vAlign w:val="center"/>
            <w:hideMark/>
          </w:tcPr>
          <w:p w14:paraId="6A9F20D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109.1443</w:t>
            </w:r>
          </w:p>
        </w:tc>
        <w:tc>
          <w:tcPr>
            <w:tcW w:w="1030" w:type="pct"/>
            <w:shd w:val="clear" w:color="auto" w:fill="auto"/>
            <w:noWrap/>
            <w:vAlign w:val="center"/>
            <w:hideMark/>
          </w:tcPr>
          <w:p w14:paraId="75BB57A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107.8871</w:t>
            </w:r>
          </w:p>
        </w:tc>
        <w:tc>
          <w:tcPr>
            <w:tcW w:w="863" w:type="pct"/>
            <w:shd w:val="clear" w:color="auto" w:fill="auto"/>
            <w:noWrap/>
            <w:vAlign w:val="center"/>
            <w:hideMark/>
          </w:tcPr>
          <w:p w14:paraId="2F1E9E6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105.14</w:t>
            </w:r>
          </w:p>
        </w:tc>
      </w:tr>
      <w:tr w:rsidR="00063AC8" w:rsidRPr="00063AC8" w14:paraId="1AC81BE5" w14:textId="77777777" w:rsidTr="00063AC8">
        <w:trPr>
          <w:trHeight w:val="20"/>
          <w:jc w:val="center"/>
        </w:trPr>
        <w:tc>
          <w:tcPr>
            <w:tcW w:w="508" w:type="pct"/>
            <w:tcBorders>
              <w:right w:val="single" w:sz="4" w:space="0" w:color="auto"/>
            </w:tcBorders>
            <w:shd w:val="clear" w:color="auto" w:fill="auto"/>
            <w:vAlign w:val="center"/>
            <w:hideMark/>
          </w:tcPr>
          <w:p w14:paraId="422020DD"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201610</w:t>
            </w:r>
          </w:p>
        </w:tc>
        <w:tc>
          <w:tcPr>
            <w:tcW w:w="669" w:type="pct"/>
            <w:tcBorders>
              <w:left w:val="single" w:sz="4" w:space="0" w:color="auto"/>
            </w:tcBorders>
            <w:shd w:val="clear" w:color="auto" w:fill="auto"/>
            <w:noWrap/>
            <w:vAlign w:val="center"/>
            <w:hideMark/>
          </w:tcPr>
          <w:p w14:paraId="65999D8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116.5429</w:t>
            </w:r>
          </w:p>
        </w:tc>
        <w:tc>
          <w:tcPr>
            <w:tcW w:w="1156" w:type="pct"/>
            <w:shd w:val="clear" w:color="auto" w:fill="auto"/>
            <w:noWrap/>
            <w:vAlign w:val="center"/>
            <w:hideMark/>
          </w:tcPr>
          <w:p w14:paraId="513CCBF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121.2714</w:t>
            </w:r>
          </w:p>
        </w:tc>
        <w:tc>
          <w:tcPr>
            <w:tcW w:w="774" w:type="pct"/>
            <w:shd w:val="clear" w:color="auto" w:fill="auto"/>
            <w:noWrap/>
            <w:vAlign w:val="center"/>
            <w:hideMark/>
          </w:tcPr>
          <w:p w14:paraId="246A662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109.8186</w:t>
            </w:r>
          </w:p>
        </w:tc>
        <w:tc>
          <w:tcPr>
            <w:tcW w:w="1030" w:type="pct"/>
            <w:shd w:val="clear" w:color="auto" w:fill="auto"/>
            <w:noWrap/>
            <w:vAlign w:val="center"/>
            <w:hideMark/>
          </w:tcPr>
          <w:p w14:paraId="20DCC2D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109.1271</w:t>
            </w:r>
          </w:p>
        </w:tc>
        <w:tc>
          <w:tcPr>
            <w:tcW w:w="863" w:type="pct"/>
            <w:shd w:val="clear" w:color="auto" w:fill="auto"/>
            <w:noWrap/>
            <w:vAlign w:val="center"/>
            <w:hideMark/>
          </w:tcPr>
          <w:p w14:paraId="502AF36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106.1086</w:t>
            </w:r>
          </w:p>
        </w:tc>
      </w:tr>
      <w:tr w:rsidR="00063AC8" w:rsidRPr="00063AC8" w14:paraId="49D05B3D" w14:textId="77777777" w:rsidTr="00063AC8">
        <w:trPr>
          <w:trHeight w:val="20"/>
          <w:jc w:val="center"/>
        </w:trPr>
        <w:tc>
          <w:tcPr>
            <w:tcW w:w="508" w:type="pct"/>
            <w:tcBorders>
              <w:right w:val="single" w:sz="4" w:space="0" w:color="auto"/>
            </w:tcBorders>
            <w:shd w:val="clear" w:color="auto" w:fill="auto"/>
            <w:vAlign w:val="center"/>
            <w:hideMark/>
          </w:tcPr>
          <w:p w14:paraId="09E2EE7F"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201611</w:t>
            </w:r>
          </w:p>
        </w:tc>
        <w:tc>
          <w:tcPr>
            <w:tcW w:w="669" w:type="pct"/>
            <w:tcBorders>
              <w:left w:val="single" w:sz="4" w:space="0" w:color="auto"/>
            </w:tcBorders>
            <w:shd w:val="clear" w:color="auto" w:fill="auto"/>
            <w:noWrap/>
            <w:vAlign w:val="center"/>
            <w:hideMark/>
          </w:tcPr>
          <w:p w14:paraId="61E42A7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117.8</w:t>
            </w:r>
          </w:p>
        </w:tc>
        <w:tc>
          <w:tcPr>
            <w:tcW w:w="1156" w:type="pct"/>
            <w:shd w:val="clear" w:color="auto" w:fill="auto"/>
            <w:noWrap/>
            <w:vAlign w:val="center"/>
            <w:hideMark/>
          </w:tcPr>
          <w:p w14:paraId="093F11F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122.7857</w:t>
            </w:r>
          </w:p>
        </w:tc>
        <w:tc>
          <w:tcPr>
            <w:tcW w:w="774" w:type="pct"/>
            <w:shd w:val="clear" w:color="auto" w:fill="auto"/>
            <w:noWrap/>
            <w:vAlign w:val="center"/>
            <w:hideMark/>
          </w:tcPr>
          <w:p w14:paraId="53A21E8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110.69</w:t>
            </w:r>
          </w:p>
        </w:tc>
        <w:tc>
          <w:tcPr>
            <w:tcW w:w="1030" w:type="pct"/>
            <w:shd w:val="clear" w:color="auto" w:fill="auto"/>
            <w:noWrap/>
            <w:vAlign w:val="center"/>
            <w:hideMark/>
          </w:tcPr>
          <w:p w14:paraId="0D7A186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110.2114</w:t>
            </w:r>
          </w:p>
        </w:tc>
        <w:tc>
          <w:tcPr>
            <w:tcW w:w="863" w:type="pct"/>
            <w:shd w:val="clear" w:color="auto" w:fill="auto"/>
            <w:noWrap/>
            <w:vAlign w:val="center"/>
            <w:hideMark/>
          </w:tcPr>
          <w:p w14:paraId="20070ED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107.6029</w:t>
            </w:r>
          </w:p>
        </w:tc>
      </w:tr>
      <w:tr w:rsidR="00063AC8" w:rsidRPr="00063AC8" w14:paraId="23287815" w14:textId="77777777" w:rsidTr="00063AC8">
        <w:trPr>
          <w:trHeight w:val="20"/>
          <w:jc w:val="center"/>
        </w:trPr>
        <w:tc>
          <w:tcPr>
            <w:tcW w:w="508" w:type="pct"/>
            <w:tcBorders>
              <w:right w:val="single" w:sz="4" w:space="0" w:color="auto"/>
            </w:tcBorders>
            <w:shd w:val="clear" w:color="auto" w:fill="auto"/>
            <w:vAlign w:val="center"/>
            <w:hideMark/>
          </w:tcPr>
          <w:p w14:paraId="594921E7"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201612</w:t>
            </w:r>
          </w:p>
        </w:tc>
        <w:tc>
          <w:tcPr>
            <w:tcW w:w="669" w:type="pct"/>
            <w:tcBorders>
              <w:left w:val="single" w:sz="4" w:space="0" w:color="auto"/>
            </w:tcBorders>
            <w:shd w:val="clear" w:color="auto" w:fill="auto"/>
            <w:noWrap/>
            <w:vAlign w:val="center"/>
            <w:hideMark/>
          </w:tcPr>
          <w:p w14:paraId="65A6869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119.0714</w:t>
            </w:r>
          </w:p>
        </w:tc>
        <w:tc>
          <w:tcPr>
            <w:tcW w:w="1156" w:type="pct"/>
            <w:shd w:val="clear" w:color="auto" w:fill="auto"/>
            <w:noWrap/>
            <w:vAlign w:val="center"/>
            <w:hideMark/>
          </w:tcPr>
          <w:p w14:paraId="4086295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124.4286</w:t>
            </w:r>
          </w:p>
        </w:tc>
        <w:tc>
          <w:tcPr>
            <w:tcW w:w="774" w:type="pct"/>
            <w:shd w:val="clear" w:color="auto" w:fill="auto"/>
            <w:noWrap/>
            <w:vAlign w:val="center"/>
            <w:hideMark/>
          </w:tcPr>
          <w:p w14:paraId="75EDE52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111.3314</w:t>
            </w:r>
          </w:p>
        </w:tc>
        <w:tc>
          <w:tcPr>
            <w:tcW w:w="1030" w:type="pct"/>
            <w:shd w:val="clear" w:color="auto" w:fill="auto"/>
            <w:noWrap/>
            <w:vAlign w:val="center"/>
            <w:hideMark/>
          </w:tcPr>
          <w:p w14:paraId="427DA3A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111.6357</w:t>
            </w:r>
          </w:p>
        </w:tc>
        <w:tc>
          <w:tcPr>
            <w:tcW w:w="863" w:type="pct"/>
            <w:shd w:val="clear" w:color="auto" w:fill="auto"/>
            <w:noWrap/>
            <w:vAlign w:val="center"/>
            <w:hideMark/>
          </w:tcPr>
          <w:p w14:paraId="68FBE90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109.1143</w:t>
            </w:r>
          </w:p>
        </w:tc>
      </w:tr>
      <w:tr w:rsidR="00063AC8" w:rsidRPr="00063AC8" w14:paraId="11A0B288" w14:textId="77777777" w:rsidTr="00063AC8">
        <w:trPr>
          <w:trHeight w:val="20"/>
          <w:jc w:val="center"/>
        </w:trPr>
        <w:tc>
          <w:tcPr>
            <w:tcW w:w="508" w:type="pct"/>
            <w:tcBorders>
              <w:right w:val="single" w:sz="4" w:space="0" w:color="auto"/>
            </w:tcBorders>
            <w:shd w:val="clear" w:color="auto" w:fill="auto"/>
            <w:vAlign w:val="center"/>
            <w:hideMark/>
          </w:tcPr>
          <w:p w14:paraId="629387BB"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201701</w:t>
            </w:r>
          </w:p>
        </w:tc>
        <w:tc>
          <w:tcPr>
            <w:tcW w:w="669" w:type="pct"/>
            <w:tcBorders>
              <w:left w:val="single" w:sz="4" w:space="0" w:color="auto"/>
            </w:tcBorders>
            <w:shd w:val="clear" w:color="auto" w:fill="auto"/>
            <w:noWrap/>
            <w:vAlign w:val="center"/>
            <w:hideMark/>
          </w:tcPr>
          <w:p w14:paraId="50CB036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120.1714</w:t>
            </w:r>
          </w:p>
        </w:tc>
        <w:tc>
          <w:tcPr>
            <w:tcW w:w="1156" w:type="pct"/>
            <w:shd w:val="clear" w:color="auto" w:fill="auto"/>
            <w:noWrap/>
            <w:vAlign w:val="center"/>
            <w:hideMark/>
          </w:tcPr>
          <w:p w14:paraId="174F350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125.7714</w:t>
            </w:r>
          </w:p>
        </w:tc>
        <w:tc>
          <w:tcPr>
            <w:tcW w:w="774" w:type="pct"/>
            <w:shd w:val="clear" w:color="auto" w:fill="auto"/>
            <w:noWrap/>
            <w:vAlign w:val="center"/>
            <w:hideMark/>
          </w:tcPr>
          <w:p w14:paraId="54B3265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112.0714</w:t>
            </w:r>
          </w:p>
        </w:tc>
        <w:tc>
          <w:tcPr>
            <w:tcW w:w="1030" w:type="pct"/>
            <w:shd w:val="clear" w:color="auto" w:fill="auto"/>
            <w:noWrap/>
            <w:vAlign w:val="center"/>
            <w:hideMark/>
          </w:tcPr>
          <w:p w14:paraId="77D3942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113.2986</w:t>
            </w:r>
          </w:p>
        </w:tc>
        <w:tc>
          <w:tcPr>
            <w:tcW w:w="863" w:type="pct"/>
            <w:shd w:val="clear" w:color="auto" w:fill="auto"/>
            <w:noWrap/>
            <w:vAlign w:val="center"/>
            <w:hideMark/>
          </w:tcPr>
          <w:p w14:paraId="0AE86CC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111.1229</w:t>
            </w:r>
          </w:p>
        </w:tc>
      </w:tr>
      <w:tr w:rsidR="00063AC8" w:rsidRPr="00063AC8" w14:paraId="3CDD5FC0" w14:textId="77777777" w:rsidTr="00063AC8">
        <w:trPr>
          <w:trHeight w:val="20"/>
          <w:jc w:val="center"/>
        </w:trPr>
        <w:tc>
          <w:tcPr>
            <w:tcW w:w="508" w:type="pct"/>
            <w:tcBorders>
              <w:right w:val="single" w:sz="4" w:space="0" w:color="auto"/>
            </w:tcBorders>
            <w:shd w:val="clear" w:color="auto" w:fill="auto"/>
            <w:vAlign w:val="center"/>
            <w:hideMark/>
          </w:tcPr>
          <w:p w14:paraId="5CEDC865"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201702</w:t>
            </w:r>
          </w:p>
        </w:tc>
        <w:tc>
          <w:tcPr>
            <w:tcW w:w="669" w:type="pct"/>
            <w:tcBorders>
              <w:left w:val="single" w:sz="4" w:space="0" w:color="auto"/>
            </w:tcBorders>
            <w:shd w:val="clear" w:color="auto" w:fill="auto"/>
            <w:noWrap/>
            <w:vAlign w:val="center"/>
            <w:hideMark/>
          </w:tcPr>
          <w:p w14:paraId="292DC55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121.2571</w:t>
            </w:r>
          </w:p>
        </w:tc>
        <w:tc>
          <w:tcPr>
            <w:tcW w:w="1156" w:type="pct"/>
            <w:shd w:val="clear" w:color="auto" w:fill="auto"/>
            <w:noWrap/>
            <w:vAlign w:val="center"/>
            <w:hideMark/>
          </w:tcPr>
          <w:p w14:paraId="5BF8CE6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127.0429</w:t>
            </w:r>
          </w:p>
        </w:tc>
        <w:tc>
          <w:tcPr>
            <w:tcW w:w="774" w:type="pct"/>
            <w:shd w:val="clear" w:color="auto" w:fill="auto"/>
            <w:noWrap/>
            <w:vAlign w:val="center"/>
            <w:hideMark/>
          </w:tcPr>
          <w:p w14:paraId="73144FC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112.9143</w:t>
            </w:r>
          </w:p>
        </w:tc>
        <w:tc>
          <w:tcPr>
            <w:tcW w:w="1030" w:type="pct"/>
            <w:shd w:val="clear" w:color="auto" w:fill="auto"/>
            <w:noWrap/>
            <w:vAlign w:val="center"/>
            <w:hideMark/>
          </w:tcPr>
          <w:p w14:paraId="6D44EB1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114.2743</w:t>
            </w:r>
          </w:p>
        </w:tc>
        <w:tc>
          <w:tcPr>
            <w:tcW w:w="863" w:type="pct"/>
            <w:shd w:val="clear" w:color="auto" w:fill="auto"/>
            <w:noWrap/>
            <w:vAlign w:val="center"/>
            <w:hideMark/>
          </w:tcPr>
          <w:p w14:paraId="07FAD58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112.9157</w:t>
            </w:r>
          </w:p>
        </w:tc>
      </w:tr>
      <w:tr w:rsidR="00063AC8" w:rsidRPr="00063AC8" w14:paraId="3E453463" w14:textId="77777777" w:rsidTr="00063AC8">
        <w:trPr>
          <w:trHeight w:val="20"/>
          <w:jc w:val="center"/>
        </w:trPr>
        <w:tc>
          <w:tcPr>
            <w:tcW w:w="508" w:type="pct"/>
            <w:tcBorders>
              <w:right w:val="single" w:sz="4" w:space="0" w:color="auto"/>
            </w:tcBorders>
            <w:shd w:val="clear" w:color="auto" w:fill="auto"/>
            <w:vAlign w:val="center"/>
            <w:hideMark/>
          </w:tcPr>
          <w:p w14:paraId="13AF10D6"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201703</w:t>
            </w:r>
          </w:p>
        </w:tc>
        <w:tc>
          <w:tcPr>
            <w:tcW w:w="669" w:type="pct"/>
            <w:tcBorders>
              <w:left w:val="single" w:sz="4" w:space="0" w:color="auto"/>
            </w:tcBorders>
            <w:shd w:val="clear" w:color="auto" w:fill="auto"/>
            <w:noWrap/>
            <w:vAlign w:val="center"/>
            <w:hideMark/>
          </w:tcPr>
          <w:p w14:paraId="3E258B2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122.4714</w:t>
            </w:r>
          </w:p>
        </w:tc>
        <w:tc>
          <w:tcPr>
            <w:tcW w:w="1156" w:type="pct"/>
            <w:shd w:val="clear" w:color="auto" w:fill="auto"/>
            <w:noWrap/>
            <w:vAlign w:val="center"/>
            <w:hideMark/>
          </w:tcPr>
          <w:p w14:paraId="4159285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128.4143</w:t>
            </w:r>
          </w:p>
        </w:tc>
        <w:tc>
          <w:tcPr>
            <w:tcW w:w="774" w:type="pct"/>
            <w:shd w:val="clear" w:color="auto" w:fill="auto"/>
            <w:noWrap/>
            <w:vAlign w:val="center"/>
            <w:hideMark/>
          </w:tcPr>
          <w:p w14:paraId="146DA07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113.8714</w:t>
            </w:r>
          </w:p>
        </w:tc>
        <w:tc>
          <w:tcPr>
            <w:tcW w:w="1030" w:type="pct"/>
            <w:shd w:val="clear" w:color="auto" w:fill="auto"/>
            <w:noWrap/>
            <w:vAlign w:val="center"/>
            <w:hideMark/>
          </w:tcPr>
          <w:p w14:paraId="4CB2EA8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115.9857</w:t>
            </w:r>
          </w:p>
        </w:tc>
        <w:tc>
          <w:tcPr>
            <w:tcW w:w="863" w:type="pct"/>
            <w:shd w:val="clear" w:color="auto" w:fill="auto"/>
            <w:noWrap/>
            <w:vAlign w:val="center"/>
            <w:hideMark/>
          </w:tcPr>
          <w:p w14:paraId="06DBEDF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115.4571</w:t>
            </w:r>
          </w:p>
        </w:tc>
      </w:tr>
      <w:tr w:rsidR="00063AC8" w:rsidRPr="00063AC8" w14:paraId="5B7569AE" w14:textId="77777777" w:rsidTr="00063AC8">
        <w:trPr>
          <w:trHeight w:val="20"/>
          <w:jc w:val="center"/>
        </w:trPr>
        <w:tc>
          <w:tcPr>
            <w:tcW w:w="508" w:type="pct"/>
            <w:tcBorders>
              <w:right w:val="single" w:sz="4" w:space="0" w:color="auto"/>
            </w:tcBorders>
            <w:shd w:val="clear" w:color="auto" w:fill="auto"/>
            <w:vAlign w:val="center"/>
            <w:hideMark/>
          </w:tcPr>
          <w:p w14:paraId="7FF78603"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201704</w:t>
            </w:r>
          </w:p>
        </w:tc>
        <w:tc>
          <w:tcPr>
            <w:tcW w:w="669" w:type="pct"/>
            <w:tcBorders>
              <w:left w:val="single" w:sz="4" w:space="0" w:color="auto"/>
            </w:tcBorders>
            <w:shd w:val="clear" w:color="auto" w:fill="auto"/>
            <w:noWrap/>
            <w:vAlign w:val="center"/>
            <w:hideMark/>
          </w:tcPr>
          <w:p w14:paraId="55DD2F4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123.2714</w:t>
            </w:r>
          </w:p>
        </w:tc>
        <w:tc>
          <w:tcPr>
            <w:tcW w:w="1156" w:type="pct"/>
            <w:shd w:val="clear" w:color="auto" w:fill="auto"/>
            <w:noWrap/>
            <w:vAlign w:val="center"/>
            <w:hideMark/>
          </w:tcPr>
          <w:p w14:paraId="216C93E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129.4714</w:t>
            </w:r>
          </w:p>
        </w:tc>
        <w:tc>
          <w:tcPr>
            <w:tcW w:w="774" w:type="pct"/>
            <w:shd w:val="clear" w:color="auto" w:fill="auto"/>
            <w:noWrap/>
            <w:vAlign w:val="center"/>
            <w:hideMark/>
          </w:tcPr>
          <w:p w14:paraId="5D72290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114.3</w:t>
            </w:r>
          </w:p>
        </w:tc>
        <w:tc>
          <w:tcPr>
            <w:tcW w:w="1030" w:type="pct"/>
            <w:shd w:val="clear" w:color="auto" w:fill="auto"/>
            <w:noWrap/>
            <w:vAlign w:val="center"/>
            <w:hideMark/>
          </w:tcPr>
          <w:p w14:paraId="7F9DE3C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116.7714</w:t>
            </w:r>
          </w:p>
        </w:tc>
        <w:tc>
          <w:tcPr>
            <w:tcW w:w="863" w:type="pct"/>
            <w:shd w:val="clear" w:color="auto" w:fill="auto"/>
            <w:noWrap/>
            <w:vAlign w:val="center"/>
            <w:hideMark/>
          </w:tcPr>
          <w:p w14:paraId="67379C5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116.9429</w:t>
            </w:r>
          </w:p>
        </w:tc>
      </w:tr>
      <w:tr w:rsidR="00063AC8" w:rsidRPr="00063AC8" w14:paraId="55FCAE83" w14:textId="77777777" w:rsidTr="00063AC8">
        <w:trPr>
          <w:trHeight w:val="20"/>
          <w:jc w:val="center"/>
        </w:trPr>
        <w:tc>
          <w:tcPr>
            <w:tcW w:w="508" w:type="pct"/>
            <w:tcBorders>
              <w:right w:val="single" w:sz="4" w:space="0" w:color="auto"/>
            </w:tcBorders>
            <w:shd w:val="clear" w:color="auto" w:fill="auto"/>
            <w:vAlign w:val="center"/>
            <w:hideMark/>
          </w:tcPr>
          <w:p w14:paraId="42641B44"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201705</w:t>
            </w:r>
          </w:p>
        </w:tc>
        <w:tc>
          <w:tcPr>
            <w:tcW w:w="669" w:type="pct"/>
            <w:tcBorders>
              <w:left w:val="single" w:sz="4" w:space="0" w:color="auto"/>
            </w:tcBorders>
            <w:shd w:val="clear" w:color="auto" w:fill="auto"/>
            <w:noWrap/>
            <w:vAlign w:val="center"/>
            <w:hideMark/>
          </w:tcPr>
          <w:p w14:paraId="1576DE7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124.4857</w:t>
            </w:r>
          </w:p>
        </w:tc>
        <w:tc>
          <w:tcPr>
            <w:tcW w:w="1156" w:type="pct"/>
            <w:shd w:val="clear" w:color="auto" w:fill="auto"/>
            <w:noWrap/>
            <w:vAlign w:val="center"/>
            <w:hideMark/>
          </w:tcPr>
          <w:p w14:paraId="0C4232A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130.9571</w:t>
            </w:r>
          </w:p>
        </w:tc>
        <w:tc>
          <w:tcPr>
            <w:tcW w:w="774" w:type="pct"/>
            <w:shd w:val="clear" w:color="auto" w:fill="auto"/>
            <w:noWrap/>
            <w:vAlign w:val="center"/>
            <w:hideMark/>
          </w:tcPr>
          <w:p w14:paraId="629D46C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115.0286</w:t>
            </w:r>
          </w:p>
        </w:tc>
        <w:tc>
          <w:tcPr>
            <w:tcW w:w="1030" w:type="pct"/>
            <w:shd w:val="clear" w:color="auto" w:fill="auto"/>
            <w:noWrap/>
            <w:vAlign w:val="center"/>
            <w:hideMark/>
          </w:tcPr>
          <w:p w14:paraId="46B1C0B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118.0143</w:t>
            </w:r>
          </w:p>
        </w:tc>
        <w:tc>
          <w:tcPr>
            <w:tcW w:w="863" w:type="pct"/>
            <w:shd w:val="clear" w:color="auto" w:fill="auto"/>
            <w:noWrap/>
            <w:vAlign w:val="center"/>
            <w:hideMark/>
          </w:tcPr>
          <w:p w14:paraId="2C3A5C8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118.5429</w:t>
            </w:r>
          </w:p>
        </w:tc>
      </w:tr>
      <w:tr w:rsidR="00063AC8" w:rsidRPr="00063AC8" w14:paraId="06B9BBFD" w14:textId="77777777" w:rsidTr="00063AC8">
        <w:trPr>
          <w:trHeight w:val="20"/>
          <w:jc w:val="center"/>
        </w:trPr>
        <w:tc>
          <w:tcPr>
            <w:tcW w:w="508" w:type="pct"/>
            <w:tcBorders>
              <w:right w:val="single" w:sz="4" w:space="0" w:color="auto"/>
            </w:tcBorders>
            <w:shd w:val="clear" w:color="auto" w:fill="auto"/>
            <w:vAlign w:val="center"/>
            <w:hideMark/>
          </w:tcPr>
          <w:p w14:paraId="59BFC103"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201706</w:t>
            </w:r>
          </w:p>
        </w:tc>
        <w:tc>
          <w:tcPr>
            <w:tcW w:w="669" w:type="pct"/>
            <w:tcBorders>
              <w:left w:val="single" w:sz="4" w:space="0" w:color="auto"/>
            </w:tcBorders>
            <w:shd w:val="clear" w:color="auto" w:fill="auto"/>
            <w:noWrap/>
            <w:vAlign w:val="center"/>
            <w:hideMark/>
          </w:tcPr>
          <w:p w14:paraId="2C5C7FB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125.4857</w:t>
            </w:r>
          </w:p>
        </w:tc>
        <w:tc>
          <w:tcPr>
            <w:tcW w:w="1156" w:type="pct"/>
            <w:shd w:val="clear" w:color="auto" w:fill="auto"/>
            <w:noWrap/>
            <w:vAlign w:val="center"/>
            <w:hideMark/>
          </w:tcPr>
          <w:p w14:paraId="739D1B7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132.1714</w:t>
            </w:r>
          </w:p>
        </w:tc>
        <w:tc>
          <w:tcPr>
            <w:tcW w:w="774" w:type="pct"/>
            <w:shd w:val="clear" w:color="auto" w:fill="auto"/>
            <w:noWrap/>
            <w:vAlign w:val="center"/>
            <w:hideMark/>
          </w:tcPr>
          <w:p w14:paraId="6D34CCE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115.6714</w:t>
            </w:r>
          </w:p>
        </w:tc>
        <w:tc>
          <w:tcPr>
            <w:tcW w:w="1030" w:type="pct"/>
            <w:shd w:val="clear" w:color="auto" w:fill="auto"/>
            <w:noWrap/>
            <w:vAlign w:val="center"/>
            <w:hideMark/>
          </w:tcPr>
          <w:p w14:paraId="1DA6684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119.4143</w:t>
            </w:r>
          </w:p>
        </w:tc>
        <w:tc>
          <w:tcPr>
            <w:tcW w:w="863" w:type="pct"/>
            <w:shd w:val="clear" w:color="auto" w:fill="auto"/>
            <w:noWrap/>
            <w:vAlign w:val="center"/>
            <w:hideMark/>
          </w:tcPr>
          <w:p w14:paraId="13FA5C7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120.3714</w:t>
            </w:r>
          </w:p>
        </w:tc>
      </w:tr>
      <w:tr w:rsidR="00063AC8" w:rsidRPr="00063AC8" w14:paraId="2F2714AB" w14:textId="77777777" w:rsidTr="00063AC8">
        <w:trPr>
          <w:trHeight w:val="20"/>
          <w:jc w:val="center"/>
        </w:trPr>
        <w:tc>
          <w:tcPr>
            <w:tcW w:w="508" w:type="pct"/>
            <w:tcBorders>
              <w:right w:val="single" w:sz="4" w:space="0" w:color="auto"/>
            </w:tcBorders>
            <w:shd w:val="clear" w:color="auto" w:fill="auto"/>
            <w:vAlign w:val="center"/>
            <w:hideMark/>
          </w:tcPr>
          <w:p w14:paraId="1E6D9754"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201707</w:t>
            </w:r>
          </w:p>
        </w:tc>
        <w:tc>
          <w:tcPr>
            <w:tcW w:w="669" w:type="pct"/>
            <w:tcBorders>
              <w:left w:val="single" w:sz="4" w:space="0" w:color="auto"/>
            </w:tcBorders>
            <w:shd w:val="clear" w:color="auto" w:fill="auto"/>
            <w:noWrap/>
            <w:vAlign w:val="center"/>
            <w:hideMark/>
          </w:tcPr>
          <w:p w14:paraId="6D5330C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126.3429</w:t>
            </w:r>
          </w:p>
        </w:tc>
        <w:tc>
          <w:tcPr>
            <w:tcW w:w="1156" w:type="pct"/>
            <w:shd w:val="clear" w:color="auto" w:fill="auto"/>
            <w:noWrap/>
            <w:vAlign w:val="center"/>
            <w:hideMark/>
          </w:tcPr>
          <w:p w14:paraId="2B8241A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133.0429</w:t>
            </w:r>
          </w:p>
        </w:tc>
        <w:tc>
          <w:tcPr>
            <w:tcW w:w="774" w:type="pct"/>
            <w:shd w:val="clear" w:color="auto" w:fill="auto"/>
            <w:noWrap/>
            <w:vAlign w:val="center"/>
            <w:hideMark/>
          </w:tcPr>
          <w:p w14:paraId="3F1D0F3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116.5857</w:t>
            </w:r>
          </w:p>
        </w:tc>
        <w:tc>
          <w:tcPr>
            <w:tcW w:w="1030" w:type="pct"/>
            <w:shd w:val="clear" w:color="auto" w:fill="auto"/>
            <w:noWrap/>
            <w:vAlign w:val="center"/>
            <w:hideMark/>
          </w:tcPr>
          <w:p w14:paraId="58DD744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120.8571</w:t>
            </w:r>
          </w:p>
        </w:tc>
        <w:tc>
          <w:tcPr>
            <w:tcW w:w="863" w:type="pct"/>
            <w:shd w:val="clear" w:color="auto" w:fill="auto"/>
            <w:noWrap/>
            <w:vAlign w:val="center"/>
            <w:hideMark/>
          </w:tcPr>
          <w:p w14:paraId="42C232E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122.8714</w:t>
            </w:r>
          </w:p>
        </w:tc>
      </w:tr>
      <w:tr w:rsidR="00063AC8" w:rsidRPr="00063AC8" w14:paraId="4D1AB252" w14:textId="77777777" w:rsidTr="00063AC8">
        <w:trPr>
          <w:trHeight w:val="20"/>
          <w:jc w:val="center"/>
        </w:trPr>
        <w:tc>
          <w:tcPr>
            <w:tcW w:w="508" w:type="pct"/>
            <w:tcBorders>
              <w:right w:val="single" w:sz="4" w:space="0" w:color="auto"/>
            </w:tcBorders>
            <w:shd w:val="clear" w:color="auto" w:fill="auto"/>
            <w:vAlign w:val="center"/>
            <w:hideMark/>
          </w:tcPr>
          <w:p w14:paraId="0950B4AC"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201708</w:t>
            </w:r>
          </w:p>
        </w:tc>
        <w:tc>
          <w:tcPr>
            <w:tcW w:w="669" w:type="pct"/>
            <w:tcBorders>
              <w:left w:val="single" w:sz="4" w:space="0" w:color="auto"/>
            </w:tcBorders>
            <w:shd w:val="clear" w:color="auto" w:fill="auto"/>
            <w:noWrap/>
            <w:vAlign w:val="center"/>
            <w:hideMark/>
          </w:tcPr>
          <w:p w14:paraId="782FE81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127.2286</w:t>
            </w:r>
          </w:p>
        </w:tc>
        <w:tc>
          <w:tcPr>
            <w:tcW w:w="1156" w:type="pct"/>
            <w:shd w:val="clear" w:color="auto" w:fill="auto"/>
            <w:noWrap/>
            <w:vAlign w:val="center"/>
            <w:hideMark/>
          </w:tcPr>
          <w:p w14:paraId="60E7069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134.1143</w:t>
            </w:r>
          </w:p>
        </w:tc>
        <w:tc>
          <w:tcPr>
            <w:tcW w:w="774" w:type="pct"/>
            <w:shd w:val="clear" w:color="auto" w:fill="auto"/>
            <w:noWrap/>
            <w:vAlign w:val="center"/>
            <w:hideMark/>
          </w:tcPr>
          <w:p w14:paraId="19F4485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117.2286</w:t>
            </w:r>
          </w:p>
        </w:tc>
        <w:tc>
          <w:tcPr>
            <w:tcW w:w="1030" w:type="pct"/>
            <w:shd w:val="clear" w:color="auto" w:fill="auto"/>
            <w:noWrap/>
            <w:vAlign w:val="center"/>
            <w:hideMark/>
          </w:tcPr>
          <w:p w14:paraId="4B87ECA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121.8857</w:t>
            </w:r>
          </w:p>
        </w:tc>
        <w:tc>
          <w:tcPr>
            <w:tcW w:w="863" w:type="pct"/>
            <w:shd w:val="clear" w:color="auto" w:fill="auto"/>
            <w:noWrap/>
            <w:vAlign w:val="center"/>
            <w:hideMark/>
          </w:tcPr>
          <w:p w14:paraId="388E7B3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124.9143</w:t>
            </w:r>
          </w:p>
        </w:tc>
      </w:tr>
      <w:tr w:rsidR="00063AC8" w:rsidRPr="00063AC8" w14:paraId="39DC53F3" w14:textId="77777777" w:rsidTr="00063AC8">
        <w:trPr>
          <w:trHeight w:val="20"/>
          <w:jc w:val="center"/>
        </w:trPr>
        <w:tc>
          <w:tcPr>
            <w:tcW w:w="508" w:type="pct"/>
            <w:tcBorders>
              <w:right w:val="single" w:sz="4" w:space="0" w:color="auto"/>
            </w:tcBorders>
            <w:shd w:val="clear" w:color="auto" w:fill="auto"/>
            <w:vAlign w:val="center"/>
            <w:hideMark/>
          </w:tcPr>
          <w:p w14:paraId="1437C17E"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201709</w:t>
            </w:r>
          </w:p>
        </w:tc>
        <w:tc>
          <w:tcPr>
            <w:tcW w:w="669" w:type="pct"/>
            <w:tcBorders>
              <w:left w:val="single" w:sz="4" w:space="0" w:color="auto"/>
            </w:tcBorders>
            <w:shd w:val="clear" w:color="auto" w:fill="auto"/>
            <w:noWrap/>
            <w:vAlign w:val="center"/>
            <w:hideMark/>
          </w:tcPr>
          <w:p w14:paraId="3A06C01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127.9714</w:t>
            </w:r>
          </w:p>
        </w:tc>
        <w:tc>
          <w:tcPr>
            <w:tcW w:w="1156" w:type="pct"/>
            <w:shd w:val="clear" w:color="auto" w:fill="auto"/>
            <w:noWrap/>
            <w:vAlign w:val="center"/>
            <w:hideMark/>
          </w:tcPr>
          <w:p w14:paraId="3004DAF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134.9286</w:t>
            </w:r>
          </w:p>
        </w:tc>
        <w:tc>
          <w:tcPr>
            <w:tcW w:w="774" w:type="pct"/>
            <w:shd w:val="clear" w:color="auto" w:fill="auto"/>
            <w:noWrap/>
            <w:vAlign w:val="center"/>
            <w:hideMark/>
          </w:tcPr>
          <w:p w14:paraId="455246E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117.8</w:t>
            </w:r>
          </w:p>
        </w:tc>
        <w:tc>
          <w:tcPr>
            <w:tcW w:w="1030" w:type="pct"/>
            <w:shd w:val="clear" w:color="auto" w:fill="auto"/>
            <w:noWrap/>
            <w:vAlign w:val="center"/>
            <w:hideMark/>
          </w:tcPr>
          <w:p w14:paraId="0076AC5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123.0714</w:t>
            </w:r>
          </w:p>
        </w:tc>
        <w:tc>
          <w:tcPr>
            <w:tcW w:w="863" w:type="pct"/>
            <w:shd w:val="clear" w:color="auto" w:fill="auto"/>
            <w:noWrap/>
            <w:vAlign w:val="center"/>
            <w:hideMark/>
          </w:tcPr>
          <w:p w14:paraId="63BF383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126.4</w:t>
            </w:r>
          </w:p>
        </w:tc>
      </w:tr>
      <w:tr w:rsidR="00063AC8" w:rsidRPr="00063AC8" w14:paraId="272997BE" w14:textId="77777777" w:rsidTr="00063AC8">
        <w:trPr>
          <w:trHeight w:val="20"/>
          <w:jc w:val="center"/>
        </w:trPr>
        <w:tc>
          <w:tcPr>
            <w:tcW w:w="508" w:type="pct"/>
            <w:tcBorders>
              <w:right w:val="single" w:sz="4" w:space="0" w:color="auto"/>
            </w:tcBorders>
            <w:shd w:val="clear" w:color="auto" w:fill="auto"/>
            <w:vAlign w:val="center"/>
            <w:hideMark/>
          </w:tcPr>
          <w:p w14:paraId="548D5889"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201710</w:t>
            </w:r>
          </w:p>
        </w:tc>
        <w:tc>
          <w:tcPr>
            <w:tcW w:w="669" w:type="pct"/>
            <w:tcBorders>
              <w:left w:val="single" w:sz="4" w:space="0" w:color="auto"/>
            </w:tcBorders>
            <w:shd w:val="clear" w:color="auto" w:fill="auto"/>
            <w:noWrap/>
            <w:vAlign w:val="center"/>
            <w:hideMark/>
          </w:tcPr>
          <w:p w14:paraId="4D8A4FA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128.2571</w:t>
            </w:r>
          </w:p>
        </w:tc>
        <w:tc>
          <w:tcPr>
            <w:tcW w:w="1156" w:type="pct"/>
            <w:shd w:val="clear" w:color="auto" w:fill="auto"/>
            <w:noWrap/>
            <w:vAlign w:val="center"/>
            <w:hideMark/>
          </w:tcPr>
          <w:p w14:paraId="4E1E388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135.2286</w:t>
            </w:r>
          </w:p>
        </w:tc>
        <w:tc>
          <w:tcPr>
            <w:tcW w:w="774" w:type="pct"/>
            <w:shd w:val="clear" w:color="auto" w:fill="auto"/>
            <w:noWrap/>
            <w:vAlign w:val="center"/>
            <w:hideMark/>
          </w:tcPr>
          <w:p w14:paraId="786C10E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118.2714</w:t>
            </w:r>
          </w:p>
        </w:tc>
        <w:tc>
          <w:tcPr>
            <w:tcW w:w="1030" w:type="pct"/>
            <w:shd w:val="clear" w:color="auto" w:fill="auto"/>
            <w:noWrap/>
            <w:vAlign w:val="center"/>
            <w:hideMark/>
          </w:tcPr>
          <w:p w14:paraId="64D130A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124.2857</w:t>
            </w:r>
          </w:p>
        </w:tc>
        <w:tc>
          <w:tcPr>
            <w:tcW w:w="863" w:type="pct"/>
            <w:shd w:val="clear" w:color="auto" w:fill="auto"/>
            <w:noWrap/>
            <w:vAlign w:val="center"/>
            <w:hideMark/>
          </w:tcPr>
          <w:p w14:paraId="4845570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127.9</w:t>
            </w:r>
          </w:p>
        </w:tc>
      </w:tr>
      <w:tr w:rsidR="00063AC8" w:rsidRPr="00063AC8" w14:paraId="2C2EA006" w14:textId="77777777" w:rsidTr="00063AC8">
        <w:trPr>
          <w:trHeight w:val="20"/>
          <w:jc w:val="center"/>
        </w:trPr>
        <w:tc>
          <w:tcPr>
            <w:tcW w:w="508" w:type="pct"/>
            <w:tcBorders>
              <w:right w:val="single" w:sz="4" w:space="0" w:color="auto"/>
            </w:tcBorders>
            <w:shd w:val="clear" w:color="auto" w:fill="auto"/>
            <w:vAlign w:val="center"/>
            <w:hideMark/>
          </w:tcPr>
          <w:p w14:paraId="01AF1DD5"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201711</w:t>
            </w:r>
          </w:p>
        </w:tc>
        <w:tc>
          <w:tcPr>
            <w:tcW w:w="669" w:type="pct"/>
            <w:tcBorders>
              <w:left w:val="single" w:sz="4" w:space="0" w:color="auto"/>
            </w:tcBorders>
            <w:shd w:val="clear" w:color="auto" w:fill="auto"/>
            <w:noWrap/>
            <w:vAlign w:val="center"/>
            <w:hideMark/>
          </w:tcPr>
          <w:p w14:paraId="361824A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128.9857</w:t>
            </w:r>
          </w:p>
        </w:tc>
        <w:tc>
          <w:tcPr>
            <w:tcW w:w="1156" w:type="pct"/>
            <w:shd w:val="clear" w:color="auto" w:fill="auto"/>
            <w:noWrap/>
            <w:vAlign w:val="center"/>
            <w:hideMark/>
          </w:tcPr>
          <w:p w14:paraId="574233C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w:t>
            </w:r>
          </w:p>
        </w:tc>
        <w:tc>
          <w:tcPr>
            <w:tcW w:w="774" w:type="pct"/>
            <w:shd w:val="clear" w:color="auto" w:fill="auto"/>
            <w:noWrap/>
            <w:vAlign w:val="center"/>
            <w:hideMark/>
          </w:tcPr>
          <w:p w14:paraId="21C9D48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119.0714</w:t>
            </w:r>
          </w:p>
        </w:tc>
        <w:tc>
          <w:tcPr>
            <w:tcW w:w="1030" w:type="pct"/>
            <w:shd w:val="clear" w:color="auto" w:fill="auto"/>
            <w:noWrap/>
            <w:vAlign w:val="center"/>
            <w:hideMark/>
          </w:tcPr>
          <w:p w14:paraId="56EB1A7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126.0286</w:t>
            </w:r>
          </w:p>
        </w:tc>
        <w:tc>
          <w:tcPr>
            <w:tcW w:w="863" w:type="pct"/>
            <w:shd w:val="clear" w:color="auto" w:fill="auto"/>
            <w:noWrap/>
            <w:vAlign w:val="center"/>
            <w:hideMark/>
          </w:tcPr>
          <w:p w14:paraId="1462C50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130.3429</w:t>
            </w:r>
          </w:p>
        </w:tc>
      </w:tr>
      <w:tr w:rsidR="00063AC8" w:rsidRPr="00063AC8" w14:paraId="3739C137" w14:textId="77777777" w:rsidTr="00063AC8">
        <w:trPr>
          <w:trHeight w:val="20"/>
          <w:jc w:val="center"/>
        </w:trPr>
        <w:tc>
          <w:tcPr>
            <w:tcW w:w="508" w:type="pct"/>
            <w:tcBorders>
              <w:right w:val="single" w:sz="4" w:space="0" w:color="auto"/>
            </w:tcBorders>
            <w:shd w:val="clear" w:color="auto" w:fill="auto"/>
            <w:vAlign w:val="center"/>
            <w:hideMark/>
          </w:tcPr>
          <w:p w14:paraId="13BDDC46"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201712</w:t>
            </w:r>
          </w:p>
        </w:tc>
        <w:tc>
          <w:tcPr>
            <w:tcW w:w="669" w:type="pct"/>
            <w:tcBorders>
              <w:left w:val="single" w:sz="4" w:space="0" w:color="auto"/>
            </w:tcBorders>
            <w:shd w:val="clear" w:color="auto" w:fill="auto"/>
            <w:noWrap/>
            <w:vAlign w:val="center"/>
            <w:hideMark/>
          </w:tcPr>
          <w:p w14:paraId="75B837F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129.5857</w:t>
            </w:r>
          </w:p>
        </w:tc>
        <w:tc>
          <w:tcPr>
            <w:tcW w:w="1156" w:type="pct"/>
            <w:shd w:val="clear" w:color="auto" w:fill="auto"/>
            <w:noWrap/>
            <w:vAlign w:val="center"/>
            <w:hideMark/>
          </w:tcPr>
          <w:p w14:paraId="3747734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136.4857</w:t>
            </w:r>
          </w:p>
        </w:tc>
        <w:tc>
          <w:tcPr>
            <w:tcW w:w="774" w:type="pct"/>
            <w:shd w:val="clear" w:color="auto" w:fill="auto"/>
            <w:noWrap/>
            <w:vAlign w:val="center"/>
            <w:hideMark/>
          </w:tcPr>
          <w:p w14:paraId="4B1DD9A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119.8714</w:t>
            </w:r>
          </w:p>
        </w:tc>
        <w:tc>
          <w:tcPr>
            <w:tcW w:w="1030" w:type="pct"/>
            <w:shd w:val="clear" w:color="auto" w:fill="auto"/>
            <w:noWrap/>
            <w:vAlign w:val="center"/>
            <w:hideMark/>
          </w:tcPr>
          <w:p w14:paraId="5333053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127.5</w:t>
            </w:r>
          </w:p>
        </w:tc>
        <w:tc>
          <w:tcPr>
            <w:tcW w:w="863" w:type="pct"/>
            <w:shd w:val="clear" w:color="auto" w:fill="auto"/>
            <w:noWrap/>
            <w:vAlign w:val="center"/>
            <w:hideMark/>
          </w:tcPr>
          <w:p w14:paraId="675B5E3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133.1571</w:t>
            </w:r>
          </w:p>
        </w:tc>
      </w:tr>
      <w:tr w:rsidR="00063AC8" w:rsidRPr="00063AC8" w14:paraId="4AF6BA83" w14:textId="77777777" w:rsidTr="00063AC8">
        <w:trPr>
          <w:trHeight w:val="20"/>
          <w:jc w:val="center"/>
        </w:trPr>
        <w:tc>
          <w:tcPr>
            <w:tcW w:w="508" w:type="pct"/>
            <w:tcBorders>
              <w:right w:val="single" w:sz="4" w:space="0" w:color="auto"/>
            </w:tcBorders>
            <w:shd w:val="clear" w:color="auto" w:fill="auto"/>
            <w:vAlign w:val="center"/>
            <w:hideMark/>
          </w:tcPr>
          <w:p w14:paraId="3DB62A08"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201801</w:t>
            </w:r>
          </w:p>
        </w:tc>
        <w:tc>
          <w:tcPr>
            <w:tcW w:w="669" w:type="pct"/>
            <w:tcBorders>
              <w:left w:val="single" w:sz="4" w:space="0" w:color="auto"/>
            </w:tcBorders>
            <w:shd w:val="clear" w:color="auto" w:fill="auto"/>
            <w:noWrap/>
            <w:vAlign w:val="center"/>
            <w:hideMark/>
          </w:tcPr>
          <w:p w14:paraId="1077409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129.8571</w:t>
            </w:r>
          </w:p>
        </w:tc>
        <w:tc>
          <w:tcPr>
            <w:tcW w:w="1156" w:type="pct"/>
            <w:shd w:val="clear" w:color="auto" w:fill="auto"/>
            <w:noWrap/>
            <w:vAlign w:val="center"/>
            <w:hideMark/>
          </w:tcPr>
          <w:p w14:paraId="49F57F8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136.5857</w:t>
            </w:r>
          </w:p>
        </w:tc>
        <w:tc>
          <w:tcPr>
            <w:tcW w:w="774" w:type="pct"/>
            <w:shd w:val="clear" w:color="auto" w:fill="auto"/>
            <w:noWrap/>
            <w:vAlign w:val="center"/>
            <w:hideMark/>
          </w:tcPr>
          <w:p w14:paraId="6A29368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120.5</w:t>
            </w:r>
          </w:p>
        </w:tc>
        <w:tc>
          <w:tcPr>
            <w:tcW w:w="1030" w:type="pct"/>
            <w:shd w:val="clear" w:color="auto" w:fill="auto"/>
            <w:noWrap/>
            <w:vAlign w:val="center"/>
            <w:hideMark/>
          </w:tcPr>
          <w:p w14:paraId="4A1CC70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128.7286</w:t>
            </w:r>
          </w:p>
        </w:tc>
        <w:tc>
          <w:tcPr>
            <w:tcW w:w="863" w:type="pct"/>
            <w:shd w:val="clear" w:color="auto" w:fill="auto"/>
            <w:noWrap/>
            <w:vAlign w:val="center"/>
            <w:hideMark/>
          </w:tcPr>
          <w:p w14:paraId="4D0B70E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w:t>
            </w:r>
          </w:p>
        </w:tc>
      </w:tr>
      <w:tr w:rsidR="00063AC8" w:rsidRPr="00063AC8" w14:paraId="1C621F97" w14:textId="77777777" w:rsidTr="00063AC8">
        <w:trPr>
          <w:trHeight w:val="20"/>
          <w:jc w:val="center"/>
        </w:trPr>
        <w:tc>
          <w:tcPr>
            <w:tcW w:w="508" w:type="pct"/>
            <w:tcBorders>
              <w:right w:val="single" w:sz="4" w:space="0" w:color="auto"/>
            </w:tcBorders>
            <w:shd w:val="clear" w:color="auto" w:fill="auto"/>
            <w:vAlign w:val="center"/>
            <w:hideMark/>
          </w:tcPr>
          <w:p w14:paraId="765E0BB4"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201802</w:t>
            </w:r>
          </w:p>
        </w:tc>
        <w:tc>
          <w:tcPr>
            <w:tcW w:w="669" w:type="pct"/>
            <w:tcBorders>
              <w:left w:val="single" w:sz="4" w:space="0" w:color="auto"/>
            </w:tcBorders>
            <w:shd w:val="clear" w:color="auto" w:fill="auto"/>
            <w:noWrap/>
            <w:vAlign w:val="center"/>
            <w:hideMark/>
          </w:tcPr>
          <w:p w14:paraId="10F3E99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129.9714</w:t>
            </w:r>
          </w:p>
        </w:tc>
        <w:tc>
          <w:tcPr>
            <w:tcW w:w="1156" w:type="pct"/>
            <w:shd w:val="clear" w:color="auto" w:fill="auto"/>
            <w:noWrap/>
            <w:vAlign w:val="center"/>
            <w:hideMark/>
          </w:tcPr>
          <w:p w14:paraId="7855CAD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136.4857</w:t>
            </w:r>
          </w:p>
        </w:tc>
        <w:tc>
          <w:tcPr>
            <w:tcW w:w="774" w:type="pct"/>
            <w:shd w:val="clear" w:color="auto" w:fill="auto"/>
            <w:noWrap/>
            <w:vAlign w:val="center"/>
            <w:hideMark/>
          </w:tcPr>
          <w:p w14:paraId="0E5319F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120.9857</w:t>
            </w:r>
          </w:p>
        </w:tc>
        <w:tc>
          <w:tcPr>
            <w:tcW w:w="1030" w:type="pct"/>
            <w:shd w:val="clear" w:color="auto" w:fill="auto"/>
            <w:noWrap/>
            <w:vAlign w:val="center"/>
            <w:hideMark/>
          </w:tcPr>
          <w:p w14:paraId="2517980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129.5714</w:t>
            </w:r>
          </w:p>
        </w:tc>
        <w:tc>
          <w:tcPr>
            <w:tcW w:w="863" w:type="pct"/>
            <w:shd w:val="clear" w:color="auto" w:fill="auto"/>
            <w:noWrap/>
            <w:vAlign w:val="center"/>
            <w:hideMark/>
          </w:tcPr>
          <w:p w14:paraId="153138F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136.5</w:t>
            </w:r>
          </w:p>
        </w:tc>
      </w:tr>
      <w:tr w:rsidR="00063AC8" w:rsidRPr="00063AC8" w14:paraId="30106F0A" w14:textId="77777777" w:rsidTr="00063AC8">
        <w:trPr>
          <w:trHeight w:val="20"/>
          <w:jc w:val="center"/>
        </w:trPr>
        <w:tc>
          <w:tcPr>
            <w:tcW w:w="508" w:type="pct"/>
            <w:tcBorders>
              <w:right w:val="single" w:sz="4" w:space="0" w:color="auto"/>
            </w:tcBorders>
            <w:shd w:val="clear" w:color="auto" w:fill="auto"/>
            <w:vAlign w:val="center"/>
            <w:hideMark/>
          </w:tcPr>
          <w:p w14:paraId="7B629382"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201803</w:t>
            </w:r>
          </w:p>
        </w:tc>
        <w:tc>
          <w:tcPr>
            <w:tcW w:w="669" w:type="pct"/>
            <w:tcBorders>
              <w:left w:val="single" w:sz="4" w:space="0" w:color="auto"/>
            </w:tcBorders>
            <w:shd w:val="clear" w:color="auto" w:fill="auto"/>
            <w:noWrap/>
            <w:vAlign w:val="center"/>
            <w:hideMark/>
          </w:tcPr>
          <w:p w14:paraId="0FC1D02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129.7857</w:t>
            </w:r>
          </w:p>
        </w:tc>
        <w:tc>
          <w:tcPr>
            <w:tcW w:w="1156" w:type="pct"/>
            <w:shd w:val="clear" w:color="auto" w:fill="auto"/>
            <w:noWrap/>
            <w:vAlign w:val="center"/>
            <w:hideMark/>
          </w:tcPr>
          <w:p w14:paraId="195B074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135.9</w:t>
            </w:r>
          </w:p>
        </w:tc>
        <w:tc>
          <w:tcPr>
            <w:tcW w:w="774" w:type="pct"/>
            <w:shd w:val="clear" w:color="auto" w:fill="auto"/>
            <w:noWrap/>
            <w:vAlign w:val="center"/>
            <w:hideMark/>
          </w:tcPr>
          <w:p w14:paraId="54327DC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121.4143</w:t>
            </w:r>
          </w:p>
        </w:tc>
        <w:tc>
          <w:tcPr>
            <w:tcW w:w="1030" w:type="pct"/>
            <w:shd w:val="clear" w:color="auto" w:fill="auto"/>
            <w:noWrap/>
            <w:vAlign w:val="center"/>
            <w:hideMark/>
          </w:tcPr>
          <w:p w14:paraId="3010902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130.4714</w:t>
            </w:r>
          </w:p>
        </w:tc>
        <w:tc>
          <w:tcPr>
            <w:tcW w:w="863" w:type="pct"/>
            <w:shd w:val="clear" w:color="auto" w:fill="auto"/>
            <w:noWrap/>
            <w:vAlign w:val="center"/>
            <w:hideMark/>
          </w:tcPr>
          <w:p w14:paraId="067776A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138.0429</w:t>
            </w:r>
          </w:p>
        </w:tc>
      </w:tr>
      <w:tr w:rsidR="00063AC8" w:rsidRPr="00063AC8" w14:paraId="7EE729CB" w14:textId="77777777" w:rsidTr="00063AC8">
        <w:trPr>
          <w:trHeight w:val="20"/>
          <w:jc w:val="center"/>
        </w:trPr>
        <w:tc>
          <w:tcPr>
            <w:tcW w:w="508" w:type="pct"/>
            <w:tcBorders>
              <w:right w:val="single" w:sz="4" w:space="0" w:color="auto"/>
            </w:tcBorders>
            <w:shd w:val="clear" w:color="auto" w:fill="auto"/>
            <w:vAlign w:val="center"/>
            <w:hideMark/>
          </w:tcPr>
          <w:p w14:paraId="0180A236"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201804</w:t>
            </w:r>
          </w:p>
        </w:tc>
        <w:tc>
          <w:tcPr>
            <w:tcW w:w="669" w:type="pct"/>
            <w:tcBorders>
              <w:left w:val="single" w:sz="4" w:space="0" w:color="auto"/>
            </w:tcBorders>
            <w:shd w:val="clear" w:color="auto" w:fill="auto"/>
            <w:noWrap/>
            <w:vAlign w:val="center"/>
            <w:hideMark/>
          </w:tcPr>
          <w:p w14:paraId="3EDBA15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129.4</w:t>
            </w:r>
          </w:p>
        </w:tc>
        <w:tc>
          <w:tcPr>
            <w:tcW w:w="1156" w:type="pct"/>
            <w:shd w:val="clear" w:color="auto" w:fill="auto"/>
            <w:noWrap/>
            <w:vAlign w:val="center"/>
            <w:hideMark/>
          </w:tcPr>
          <w:p w14:paraId="0AC9A1D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135.1857</w:t>
            </w:r>
          </w:p>
        </w:tc>
        <w:tc>
          <w:tcPr>
            <w:tcW w:w="774" w:type="pct"/>
            <w:shd w:val="clear" w:color="auto" w:fill="auto"/>
            <w:noWrap/>
            <w:vAlign w:val="center"/>
            <w:hideMark/>
          </w:tcPr>
          <w:p w14:paraId="745341A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121.6143</w:t>
            </w:r>
          </w:p>
        </w:tc>
        <w:tc>
          <w:tcPr>
            <w:tcW w:w="1030" w:type="pct"/>
            <w:shd w:val="clear" w:color="auto" w:fill="auto"/>
            <w:noWrap/>
            <w:vAlign w:val="center"/>
            <w:hideMark/>
          </w:tcPr>
          <w:p w14:paraId="390A572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131.9429</w:t>
            </w:r>
          </w:p>
        </w:tc>
        <w:tc>
          <w:tcPr>
            <w:tcW w:w="863" w:type="pct"/>
            <w:shd w:val="clear" w:color="auto" w:fill="auto"/>
            <w:noWrap/>
            <w:vAlign w:val="center"/>
            <w:hideMark/>
          </w:tcPr>
          <w:p w14:paraId="5CBDF83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139.6857</w:t>
            </w:r>
          </w:p>
        </w:tc>
      </w:tr>
      <w:tr w:rsidR="00063AC8" w:rsidRPr="00063AC8" w14:paraId="64030272" w14:textId="77777777" w:rsidTr="00063AC8">
        <w:trPr>
          <w:trHeight w:val="20"/>
          <w:jc w:val="center"/>
        </w:trPr>
        <w:tc>
          <w:tcPr>
            <w:tcW w:w="508" w:type="pct"/>
            <w:tcBorders>
              <w:right w:val="single" w:sz="4" w:space="0" w:color="auto"/>
            </w:tcBorders>
            <w:shd w:val="clear" w:color="auto" w:fill="auto"/>
            <w:vAlign w:val="center"/>
            <w:hideMark/>
          </w:tcPr>
          <w:p w14:paraId="053B4138"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201805</w:t>
            </w:r>
          </w:p>
        </w:tc>
        <w:tc>
          <w:tcPr>
            <w:tcW w:w="669" w:type="pct"/>
            <w:tcBorders>
              <w:left w:val="single" w:sz="4" w:space="0" w:color="auto"/>
            </w:tcBorders>
            <w:shd w:val="clear" w:color="auto" w:fill="auto"/>
            <w:noWrap/>
            <w:vAlign w:val="center"/>
            <w:hideMark/>
          </w:tcPr>
          <w:p w14:paraId="4D41A72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129.1</w:t>
            </w:r>
          </w:p>
        </w:tc>
        <w:tc>
          <w:tcPr>
            <w:tcW w:w="1156" w:type="pct"/>
            <w:shd w:val="clear" w:color="auto" w:fill="auto"/>
            <w:noWrap/>
            <w:vAlign w:val="center"/>
            <w:hideMark/>
          </w:tcPr>
          <w:p w14:paraId="6AB7857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134.4857</w:t>
            </w:r>
          </w:p>
        </w:tc>
        <w:tc>
          <w:tcPr>
            <w:tcW w:w="774" w:type="pct"/>
            <w:shd w:val="clear" w:color="auto" w:fill="auto"/>
            <w:noWrap/>
            <w:vAlign w:val="center"/>
            <w:hideMark/>
          </w:tcPr>
          <w:p w14:paraId="1D8947A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121.7286</w:t>
            </w:r>
          </w:p>
        </w:tc>
        <w:tc>
          <w:tcPr>
            <w:tcW w:w="1030" w:type="pct"/>
            <w:shd w:val="clear" w:color="auto" w:fill="auto"/>
            <w:noWrap/>
            <w:vAlign w:val="center"/>
            <w:hideMark/>
          </w:tcPr>
          <w:p w14:paraId="368ECEC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132.8428</w:t>
            </w:r>
          </w:p>
        </w:tc>
        <w:tc>
          <w:tcPr>
            <w:tcW w:w="863" w:type="pct"/>
            <w:shd w:val="clear" w:color="auto" w:fill="auto"/>
            <w:noWrap/>
            <w:vAlign w:val="center"/>
            <w:hideMark/>
          </w:tcPr>
          <w:p w14:paraId="1FA04EF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141.4714</w:t>
            </w:r>
          </w:p>
        </w:tc>
      </w:tr>
      <w:tr w:rsidR="00063AC8" w:rsidRPr="00063AC8" w14:paraId="73187711" w14:textId="77777777" w:rsidTr="00063AC8">
        <w:trPr>
          <w:trHeight w:val="20"/>
          <w:jc w:val="center"/>
        </w:trPr>
        <w:tc>
          <w:tcPr>
            <w:tcW w:w="508" w:type="pct"/>
            <w:tcBorders>
              <w:right w:val="single" w:sz="4" w:space="0" w:color="auto"/>
            </w:tcBorders>
            <w:shd w:val="clear" w:color="auto" w:fill="auto"/>
            <w:vAlign w:val="center"/>
            <w:hideMark/>
          </w:tcPr>
          <w:p w14:paraId="6281B4A4"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201806</w:t>
            </w:r>
          </w:p>
        </w:tc>
        <w:tc>
          <w:tcPr>
            <w:tcW w:w="669" w:type="pct"/>
            <w:tcBorders>
              <w:left w:val="single" w:sz="4" w:space="0" w:color="auto"/>
            </w:tcBorders>
            <w:shd w:val="clear" w:color="auto" w:fill="auto"/>
            <w:noWrap/>
            <w:vAlign w:val="center"/>
            <w:hideMark/>
          </w:tcPr>
          <w:p w14:paraId="24FBE0A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128.6143</w:t>
            </w:r>
          </w:p>
        </w:tc>
        <w:tc>
          <w:tcPr>
            <w:tcW w:w="1156" w:type="pct"/>
            <w:shd w:val="clear" w:color="auto" w:fill="auto"/>
            <w:noWrap/>
            <w:vAlign w:val="center"/>
            <w:hideMark/>
          </w:tcPr>
          <w:p w14:paraId="6DE54D4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133.4571</w:t>
            </w:r>
          </w:p>
        </w:tc>
        <w:tc>
          <w:tcPr>
            <w:tcW w:w="774" w:type="pct"/>
            <w:shd w:val="clear" w:color="auto" w:fill="auto"/>
            <w:noWrap/>
            <w:vAlign w:val="center"/>
            <w:hideMark/>
          </w:tcPr>
          <w:p w14:paraId="10D2F0B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121.9286</w:t>
            </w:r>
          </w:p>
        </w:tc>
        <w:tc>
          <w:tcPr>
            <w:tcW w:w="1030" w:type="pct"/>
            <w:shd w:val="clear" w:color="auto" w:fill="auto"/>
            <w:noWrap/>
            <w:vAlign w:val="center"/>
            <w:hideMark/>
          </w:tcPr>
          <w:p w14:paraId="076883D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133.4</w:t>
            </w:r>
          </w:p>
        </w:tc>
        <w:tc>
          <w:tcPr>
            <w:tcW w:w="863" w:type="pct"/>
            <w:shd w:val="clear" w:color="auto" w:fill="auto"/>
            <w:noWrap/>
            <w:vAlign w:val="center"/>
            <w:hideMark/>
          </w:tcPr>
          <w:p w14:paraId="4F971BF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142.3</w:t>
            </w:r>
          </w:p>
        </w:tc>
      </w:tr>
      <w:tr w:rsidR="00063AC8" w:rsidRPr="00063AC8" w14:paraId="4017B8C4" w14:textId="77777777" w:rsidTr="00063AC8">
        <w:trPr>
          <w:trHeight w:val="20"/>
          <w:jc w:val="center"/>
        </w:trPr>
        <w:tc>
          <w:tcPr>
            <w:tcW w:w="508" w:type="pct"/>
            <w:tcBorders>
              <w:right w:val="single" w:sz="4" w:space="0" w:color="auto"/>
            </w:tcBorders>
            <w:shd w:val="clear" w:color="auto" w:fill="auto"/>
            <w:vAlign w:val="center"/>
            <w:hideMark/>
          </w:tcPr>
          <w:p w14:paraId="0C9CCB0E"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201807</w:t>
            </w:r>
          </w:p>
        </w:tc>
        <w:tc>
          <w:tcPr>
            <w:tcW w:w="669" w:type="pct"/>
            <w:tcBorders>
              <w:left w:val="single" w:sz="4" w:space="0" w:color="auto"/>
            </w:tcBorders>
            <w:shd w:val="clear" w:color="auto" w:fill="auto"/>
            <w:noWrap/>
            <w:vAlign w:val="center"/>
            <w:hideMark/>
          </w:tcPr>
          <w:p w14:paraId="76267F9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127.8286</w:t>
            </w:r>
          </w:p>
        </w:tc>
        <w:tc>
          <w:tcPr>
            <w:tcW w:w="1156" w:type="pct"/>
            <w:shd w:val="clear" w:color="auto" w:fill="auto"/>
            <w:noWrap/>
            <w:vAlign w:val="center"/>
            <w:hideMark/>
          </w:tcPr>
          <w:p w14:paraId="3DF8F9A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132.1</w:t>
            </w:r>
          </w:p>
        </w:tc>
        <w:tc>
          <w:tcPr>
            <w:tcW w:w="774" w:type="pct"/>
            <w:shd w:val="clear" w:color="auto" w:fill="auto"/>
            <w:noWrap/>
            <w:vAlign w:val="center"/>
            <w:hideMark/>
          </w:tcPr>
          <w:p w14:paraId="138F429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121.9286</w:t>
            </w:r>
          </w:p>
        </w:tc>
        <w:tc>
          <w:tcPr>
            <w:tcW w:w="1030" w:type="pct"/>
            <w:shd w:val="clear" w:color="auto" w:fill="auto"/>
            <w:noWrap/>
            <w:vAlign w:val="center"/>
            <w:hideMark/>
          </w:tcPr>
          <w:p w14:paraId="79FA14B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133.6</w:t>
            </w:r>
          </w:p>
        </w:tc>
        <w:tc>
          <w:tcPr>
            <w:tcW w:w="863" w:type="pct"/>
            <w:shd w:val="clear" w:color="auto" w:fill="auto"/>
            <w:noWrap/>
            <w:vAlign w:val="center"/>
            <w:hideMark/>
          </w:tcPr>
          <w:p w14:paraId="09F9680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141.6714</w:t>
            </w:r>
          </w:p>
        </w:tc>
      </w:tr>
      <w:tr w:rsidR="00063AC8" w:rsidRPr="00063AC8" w14:paraId="6854E967" w14:textId="77777777" w:rsidTr="00063AC8">
        <w:trPr>
          <w:trHeight w:val="20"/>
          <w:jc w:val="center"/>
        </w:trPr>
        <w:tc>
          <w:tcPr>
            <w:tcW w:w="508" w:type="pct"/>
            <w:tcBorders>
              <w:right w:val="single" w:sz="4" w:space="0" w:color="auto"/>
            </w:tcBorders>
            <w:shd w:val="clear" w:color="auto" w:fill="auto"/>
            <w:vAlign w:val="center"/>
            <w:hideMark/>
          </w:tcPr>
          <w:p w14:paraId="69181F34"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201808</w:t>
            </w:r>
          </w:p>
        </w:tc>
        <w:tc>
          <w:tcPr>
            <w:tcW w:w="669" w:type="pct"/>
            <w:tcBorders>
              <w:left w:val="single" w:sz="4" w:space="0" w:color="auto"/>
            </w:tcBorders>
            <w:shd w:val="clear" w:color="auto" w:fill="auto"/>
            <w:noWrap/>
            <w:vAlign w:val="center"/>
            <w:hideMark/>
          </w:tcPr>
          <w:p w14:paraId="5D71EC3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126.9714</w:t>
            </w:r>
          </w:p>
        </w:tc>
        <w:tc>
          <w:tcPr>
            <w:tcW w:w="1156" w:type="pct"/>
            <w:shd w:val="clear" w:color="auto" w:fill="auto"/>
            <w:noWrap/>
            <w:vAlign w:val="center"/>
            <w:hideMark/>
          </w:tcPr>
          <w:p w14:paraId="76803AD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130.7</w:t>
            </w:r>
          </w:p>
        </w:tc>
        <w:tc>
          <w:tcPr>
            <w:tcW w:w="774" w:type="pct"/>
            <w:shd w:val="clear" w:color="auto" w:fill="auto"/>
            <w:noWrap/>
            <w:vAlign w:val="center"/>
            <w:hideMark/>
          </w:tcPr>
          <w:p w14:paraId="305E5F2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121.7286</w:t>
            </w:r>
          </w:p>
        </w:tc>
        <w:tc>
          <w:tcPr>
            <w:tcW w:w="1030" w:type="pct"/>
            <w:shd w:val="clear" w:color="auto" w:fill="auto"/>
            <w:noWrap/>
            <w:vAlign w:val="center"/>
            <w:hideMark/>
          </w:tcPr>
          <w:p w14:paraId="2F74A67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133.6286</w:t>
            </w:r>
          </w:p>
        </w:tc>
        <w:tc>
          <w:tcPr>
            <w:tcW w:w="863" w:type="pct"/>
            <w:shd w:val="clear" w:color="auto" w:fill="auto"/>
            <w:noWrap/>
            <w:vAlign w:val="center"/>
            <w:hideMark/>
          </w:tcPr>
          <w:p w14:paraId="2924156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141.8</w:t>
            </w:r>
          </w:p>
        </w:tc>
      </w:tr>
      <w:tr w:rsidR="00063AC8" w:rsidRPr="00063AC8" w14:paraId="031702A4" w14:textId="77777777" w:rsidTr="00063AC8">
        <w:trPr>
          <w:trHeight w:val="20"/>
          <w:jc w:val="center"/>
        </w:trPr>
        <w:tc>
          <w:tcPr>
            <w:tcW w:w="508" w:type="pct"/>
            <w:tcBorders>
              <w:right w:val="single" w:sz="4" w:space="0" w:color="auto"/>
            </w:tcBorders>
            <w:shd w:val="clear" w:color="auto" w:fill="auto"/>
            <w:vAlign w:val="center"/>
            <w:hideMark/>
          </w:tcPr>
          <w:p w14:paraId="1C8AF2FB"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201809</w:t>
            </w:r>
          </w:p>
        </w:tc>
        <w:tc>
          <w:tcPr>
            <w:tcW w:w="669" w:type="pct"/>
            <w:tcBorders>
              <w:left w:val="single" w:sz="4" w:space="0" w:color="auto"/>
            </w:tcBorders>
            <w:shd w:val="clear" w:color="auto" w:fill="auto"/>
            <w:noWrap/>
            <w:vAlign w:val="center"/>
            <w:hideMark/>
          </w:tcPr>
          <w:p w14:paraId="1998438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126.0143</w:t>
            </w:r>
          </w:p>
        </w:tc>
        <w:tc>
          <w:tcPr>
            <w:tcW w:w="1156" w:type="pct"/>
            <w:shd w:val="clear" w:color="auto" w:fill="auto"/>
            <w:noWrap/>
            <w:vAlign w:val="center"/>
            <w:hideMark/>
          </w:tcPr>
          <w:p w14:paraId="016267C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129.0857</w:t>
            </w:r>
          </w:p>
        </w:tc>
        <w:tc>
          <w:tcPr>
            <w:tcW w:w="774" w:type="pct"/>
            <w:shd w:val="clear" w:color="auto" w:fill="auto"/>
            <w:noWrap/>
            <w:vAlign w:val="center"/>
            <w:hideMark/>
          </w:tcPr>
          <w:p w14:paraId="37352FA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121.5429</w:t>
            </w:r>
          </w:p>
        </w:tc>
        <w:tc>
          <w:tcPr>
            <w:tcW w:w="1030" w:type="pct"/>
            <w:shd w:val="clear" w:color="auto" w:fill="auto"/>
            <w:noWrap/>
            <w:vAlign w:val="center"/>
            <w:hideMark/>
          </w:tcPr>
          <w:p w14:paraId="0E7260D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133.1857</w:t>
            </w:r>
          </w:p>
        </w:tc>
        <w:tc>
          <w:tcPr>
            <w:tcW w:w="863" w:type="pct"/>
            <w:shd w:val="clear" w:color="auto" w:fill="auto"/>
            <w:noWrap/>
            <w:vAlign w:val="center"/>
            <w:hideMark/>
          </w:tcPr>
          <w:p w14:paraId="54F982A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140.7857</w:t>
            </w:r>
          </w:p>
        </w:tc>
      </w:tr>
      <w:tr w:rsidR="00063AC8" w:rsidRPr="00063AC8" w14:paraId="4E836220" w14:textId="77777777" w:rsidTr="00063AC8">
        <w:trPr>
          <w:trHeight w:val="20"/>
          <w:jc w:val="center"/>
        </w:trPr>
        <w:tc>
          <w:tcPr>
            <w:tcW w:w="508" w:type="pct"/>
            <w:tcBorders>
              <w:right w:val="single" w:sz="4" w:space="0" w:color="auto"/>
            </w:tcBorders>
            <w:shd w:val="clear" w:color="auto" w:fill="auto"/>
            <w:vAlign w:val="center"/>
            <w:hideMark/>
          </w:tcPr>
          <w:p w14:paraId="24CCEE40"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201810</w:t>
            </w:r>
          </w:p>
        </w:tc>
        <w:tc>
          <w:tcPr>
            <w:tcW w:w="669" w:type="pct"/>
            <w:tcBorders>
              <w:left w:val="single" w:sz="4" w:space="0" w:color="auto"/>
            </w:tcBorders>
            <w:shd w:val="clear" w:color="auto" w:fill="auto"/>
            <w:noWrap/>
            <w:vAlign w:val="center"/>
            <w:hideMark/>
          </w:tcPr>
          <w:p w14:paraId="64DCC83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125.6</w:t>
            </w:r>
          </w:p>
        </w:tc>
        <w:tc>
          <w:tcPr>
            <w:tcW w:w="1156" w:type="pct"/>
            <w:shd w:val="clear" w:color="auto" w:fill="auto"/>
            <w:noWrap/>
            <w:vAlign w:val="center"/>
            <w:hideMark/>
          </w:tcPr>
          <w:p w14:paraId="04F9FB5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128.1143</w:t>
            </w:r>
          </w:p>
        </w:tc>
        <w:tc>
          <w:tcPr>
            <w:tcW w:w="774" w:type="pct"/>
            <w:shd w:val="clear" w:color="auto" w:fill="auto"/>
            <w:noWrap/>
            <w:vAlign w:val="center"/>
            <w:hideMark/>
          </w:tcPr>
          <w:p w14:paraId="052B064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121.7571</w:t>
            </w:r>
          </w:p>
        </w:tc>
        <w:tc>
          <w:tcPr>
            <w:tcW w:w="1030" w:type="pct"/>
            <w:shd w:val="clear" w:color="auto" w:fill="auto"/>
            <w:noWrap/>
            <w:vAlign w:val="center"/>
            <w:hideMark/>
          </w:tcPr>
          <w:p w14:paraId="5E9C9FF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133.1857</w:t>
            </w:r>
          </w:p>
        </w:tc>
        <w:tc>
          <w:tcPr>
            <w:tcW w:w="863" w:type="pct"/>
            <w:shd w:val="clear" w:color="auto" w:fill="auto"/>
            <w:noWrap/>
            <w:vAlign w:val="center"/>
            <w:hideMark/>
          </w:tcPr>
          <w:p w14:paraId="39B0CBB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140.5286</w:t>
            </w:r>
          </w:p>
        </w:tc>
      </w:tr>
      <w:tr w:rsidR="00063AC8" w:rsidRPr="00063AC8" w14:paraId="380BB8B0" w14:textId="77777777" w:rsidTr="00063AC8">
        <w:trPr>
          <w:trHeight w:val="20"/>
          <w:jc w:val="center"/>
        </w:trPr>
        <w:tc>
          <w:tcPr>
            <w:tcW w:w="508" w:type="pct"/>
            <w:tcBorders>
              <w:right w:val="single" w:sz="4" w:space="0" w:color="auto"/>
            </w:tcBorders>
            <w:shd w:val="clear" w:color="auto" w:fill="auto"/>
            <w:vAlign w:val="center"/>
            <w:hideMark/>
          </w:tcPr>
          <w:p w14:paraId="21584623"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201811</w:t>
            </w:r>
          </w:p>
        </w:tc>
        <w:tc>
          <w:tcPr>
            <w:tcW w:w="669" w:type="pct"/>
            <w:tcBorders>
              <w:left w:val="single" w:sz="4" w:space="0" w:color="auto"/>
            </w:tcBorders>
            <w:shd w:val="clear" w:color="auto" w:fill="auto"/>
            <w:noWrap/>
            <w:vAlign w:val="center"/>
            <w:hideMark/>
          </w:tcPr>
          <w:p w14:paraId="52875E6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125.5</w:t>
            </w:r>
          </w:p>
        </w:tc>
        <w:tc>
          <w:tcPr>
            <w:tcW w:w="1156" w:type="pct"/>
            <w:shd w:val="clear" w:color="auto" w:fill="auto"/>
            <w:noWrap/>
            <w:vAlign w:val="center"/>
            <w:hideMark/>
          </w:tcPr>
          <w:p w14:paraId="2E3D0C9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127.8571</w:t>
            </w:r>
          </w:p>
        </w:tc>
        <w:tc>
          <w:tcPr>
            <w:tcW w:w="774" w:type="pct"/>
            <w:shd w:val="clear" w:color="auto" w:fill="auto"/>
            <w:noWrap/>
            <w:vAlign w:val="center"/>
            <w:hideMark/>
          </w:tcPr>
          <w:p w14:paraId="771852F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121.9</w:t>
            </w:r>
          </w:p>
        </w:tc>
        <w:tc>
          <w:tcPr>
            <w:tcW w:w="1030" w:type="pct"/>
            <w:shd w:val="clear" w:color="auto" w:fill="auto"/>
            <w:noWrap/>
            <w:vAlign w:val="center"/>
            <w:hideMark/>
          </w:tcPr>
          <w:p w14:paraId="7B33DFB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132.6</w:t>
            </w:r>
          </w:p>
        </w:tc>
        <w:tc>
          <w:tcPr>
            <w:tcW w:w="863" w:type="pct"/>
            <w:shd w:val="clear" w:color="auto" w:fill="auto"/>
            <w:noWrap/>
            <w:vAlign w:val="center"/>
            <w:hideMark/>
          </w:tcPr>
          <w:p w14:paraId="10195CD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140.2286</w:t>
            </w:r>
          </w:p>
        </w:tc>
      </w:tr>
      <w:tr w:rsidR="00063AC8" w:rsidRPr="00063AC8" w14:paraId="19C0C40C" w14:textId="77777777" w:rsidTr="00063AC8">
        <w:trPr>
          <w:trHeight w:val="20"/>
          <w:jc w:val="center"/>
        </w:trPr>
        <w:tc>
          <w:tcPr>
            <w:tcW w:w="508" w:type="pct"/>
            <w:tcBorders>
              <w:right w:val="single" w:sz="4" w:space="0" w:color="auto"/>
            </w:tcBorders>
            <w:shd w:val="clear" w:color="auto" w:fill="auto"/>
            <w:vAlign w:val="center"/>
            <w:hideMark/>
          </w:tcPr>
          <w:p w14:paraId="34B91932"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201812</w:t>
            </w:r>
          </w:p>
        </w:tc>
        <w:tc>
          <w:tcPr>
            <w:tcW w:w="669" w:type="pct"/>
            <w:tcBorders>
              <w:left w:val="single" w:sz="4" w:space="0" w:color="auto"/>
            </w:tcBorders>
            <w:shd w:val="clear" w:color="auto" w:fill="auto"/>
            <w:noWrap/>
            <w:vAlign w:val="center"/>
            <w:hideMark/>
          </w:tcPr>
          <w:p w14:paraId="3C08642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125.2286</w:t>
            </w:r>
          </w:p>
        </w:tc>
        <w:tc>
          <w:tcPr>
            <w:tcW w:w="1156" w:type="pct"/>
            <w:shd w:val="clear" w:color="auto" w:fill="auto"/>
            <w:noWrap/>
            <w:vAlign w:val="center"/>
            <w:hideMark/>
          </w:tcPr>
          <w:p w14:paraId="28F7604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127.2714</w:t>
            </w:r>
          </w:p>
        </w:tc>
        <w:tc>
          <w:tcPr>
            <w:tcW w:w="774" w:type="pct"/>
            <w:shd w:val="clear" w:color="auto" w:fill="auto"/>
            <w:noWrap/>
            <w:vAlign w:val="center"/>
            <w:hideMark/>
          </w:tcPr>
          <w:p w14:paraId="3536109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122.0571</w:t>
            </w:r>
          </w:p>
        </w:tc>
        <w:tc>
          <w:tcPr>
            <w:tcW w:w="1030" w:type="pct"/>
            <w:shd w:val="clear" w:color="auto" w:fill="auto"/>
            <w:noWrap/>
            <w:vAlign w:val="center"/>
            <w:hideMark/>
          </w:tcPr>
          <w:p w14:paraId="76262CB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132.1572</w:t>
            </w:r>
          </w:p>
        </w:tc>
        <w:tc>
          <w:tcPr>
            <w:tcW w:w="863" w:type="pct"/>
            <w:shd w:val="clear" w:color="auto" w:fill="auto"/>
            <w:noWrap/>
            <w:vAlign w:val="center"/>
            <w:hideMark/>
          </w:tcPr>
          <w:p w14:paraId="318D6DF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139.8286</w:t>
            </w:r>
          </w:p>
        </w:tc>
      </w:tr>
      <w:tr w:rsidR="00063AC8" w:rsidRPr="00063AC8" w14:paraId="33A167DF" w14:textId="77777777" w:rsidTr="00063AC8">
        <w:trPr>
          <w:trHeight w:val="20"/>
          <w:jc w:val="center"/>
        </w:trPr>
        <w:tc>
          <w:tcPr>
            <w:tcW w:w="508" w:type="pct"/>
            <w:tcBorders>
              <w:right w:val="single" w:sz="4" w:space="0" w:color="auto"/>
            </w:tcBorders>
            <w:shd w:val="clear" w:color="auto" w:fill="auto"/>
            <w:vAlign w:val="center"/>
            <w:hideMark/>
          </w:tcPr>
          <w:p w14:paraId="132DCAFE"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201901</w:t>
            </w:r>
          </w:p>
        </w:tc>
        <w:tc>
          <w:tcPr>
            <w:tcW w:w="669" w:type="pct"/>
            <w:tcBorders>
              <w:left w:val="single" w:sz="4" w:space="0" w:color="auto"/>
            </w:tcBorders>
            <w:shd w:val="clear" w:color="auto" w:fill="auto"/>
            <w:noWrap/>
            <w:vAlign w:val="center"/>
            <w:hideMark/>
          </w:tcPr>
          <w:p w14:paraId="5ED1227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125.0286</w:t>
            </w:r>
          </w:p>
        </w:tc>
        <w:tc>
          <w:tcPr>
            <w:tcW w:w="1156" w:type="pct"/>
            <w:shd w:val="clear" w:color="auto" w:fill="auto"/>
            <w:noWrap/>
            <w:vAlign w:val="center"/>
            <w:hideMark/>
          </w:tcPr>
          <w:p w14:paraId="18238E1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126.8</w:t>
            </w:r>
          </w:p>
        </w:tc>
        <w:tc>
          <w:tcPr>
            <w:tcW w:w="774" w:type="pct"/>
            <w:shd w:val="clear" w:color="auto" w:fill="auto"/>
            <w:noWrap/>
            <w:vAlign w:val="center"/>
            <w:hideMark/>
          </w:tcPr>
          <w:p w14:paraId="270FBD7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122.1857</w:t>
            </w:r>
          </w:p>
        </w:tc>
        <w:tc>
          <w:tcPr>
            <w:tcW w:w="1030" w:type="pct"/>
            <w:shd w:val="clear" w:color="auto" w:fill="auto"/>
            <w:noWrap/>
            <w:vAlign w:val="center"/>
            <w:hideMark/>
          </w:tcPr>
          <w:p w14:paraId="21E32F6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131.5429</w:t>
            </w:r>
          </w:p>
        </w:tc>
        <w:tc>
          <w:tcPr>
            <w:tcW w:w="863" w:type="pct"/>
            <w:shd w:val="clear" w:color="auto" w:fill="auto"/>
            <w:noWrap/>
            <w:vAlign w:val="center"/>
            <w:hideMark/>
          </w:tcPr>
          <w:p w14:paraId="239F5C3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138.8143</w:t>
            </w:r>
          </w:p>
        </w:tc>
      </w:tr>
      <w:tr w:rsidR="00063AC8" w:rsidRPr="00063AC8" w14:paraId="1B06D751" w14:textId="77777777" w:rsidTr="00063AC8">
        <w:trPr>
          <w:trHeight w:val="20"/>
          <w:jc w:val="center"/>
        </w:trPr>
        <w:tc>
          <w:tcPr>
            <w:tcW w:w="508" w:type="pct"/>
            <w:tcBorders>
              <w:right w:val="single" w:sz="4" w:space="0" w:color="auto"/>
            </w:tcBorders>
            <w:shd w:val="clear" w:color="auto" w:fill="auto"/>
            <w:vAlign w:val="center"/>
            <w:hideMark/>
          </w:tcPr>
          <w:p w14:paraId="521AB133"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201902</w:t>
            </w:r>
          </w:p>
        </w:tc>
        <w:tc>
          <w:tcPr>
            <w:tcW w:w="669" w:type="pct"/>
            <w:tcBorders>
              <w:left w:val="single" w:sz="4" w:space="0" w:color="auto"/>
            </w:tcBorders>
            <w:shd w:val="clear" w:color="auto" w:fill="auto"/>
            <w:noWrap/>
            <w:vAlign w:val="center"/>
            <w:hideMark/>
          </w:tcPr>
          <w:p w14:paraId="650CCD8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124.9857</w:t>
            </w:r>
          </w:p>
        </w:tc>
        <w:tc>
          <w:tcPr>
            <w:tcW w:w="1156" w:type="pct"/>
            <w:shd w:val="clear" w:color="auto" w:fill="auto"/>
            <w:noWrap/>
            <w:vAlign w:val="center"/>
            <w:hideMark/>
          </w:tcPr>
          <w:p w14:paraId="3736031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126.7143</w:t>
            </w:r>
          </w:p>
        </w:tc>
        <w:tc>
          <w:tcPr>
            <w:tcW w:w="774" w:type="pct"/>
            <w:shd w:val="clear" w:color="auto" w:fill="auto"/>
            <w:noWrap/>
            <w:vAlign w:val="center"/>
            <w:hideMark/>
          </w:tcPr>
          <w:p w14:paraId="2E209E8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122.2</w:t>
            </w:r>
          </w:p>
        </w:tc>
        <w:tc>
          <w:tcPr>
            <w:tcW w:w="1030" w:type="pct"/>
            <w:shd w:val="clear" w:color="auto" w:fill="auto"/>
            <w:noWrap/>
            <w:vAlign w:val="center"/>
            <w:hideMark/>
          </w:tcPr>
          <w:p w14:paraId="346DBA5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131.0286</w:t>
            </w:r>
          </w:p>
        </w:tc>
        <w:tc>
          <w:tcPr>
            <w:tcW w:w="863" w:type="pct"/>
            <w:shd w:val="clear" w:color="auto" w:fill="auto"/>
            <w:noWrap/>
            <w:vAlign w:val="center"/>
            <w:hideMark/>
          </w:tcPr>
          <w:p w14:paraId="70918E2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138.0143</w:t>
            </w:r>
          </w:p>
        </w:tc>
      </w:tr>
      <w:tr w:rsidR="00063AC8" w:rsidRPr="00063AC8" w14:paraId="3000361E" w14:textId="77777777" w:rsidTr="00063AC8">
        <w:trPr>
          <w:trHeight w:val="20"/>
          <w:jc w:val="center"/>
        </w:trPr>
        <w:tc>
          <w:tcPr>
            <w:tcW w:w="508" w:type="pct"/>
            <w:tcBorders>
              <w:right w:val="single" w:sz="4" w:space="0" w:color="auto"/>
            </w:tcBorders>
            <w:shd w:val="clear" w:color="auto" w:fill="auto"/>
            <w:vAlign w:val="center"/>
            <w:hideMark/>
          </w:tcPr>
          <w:p w14:paraId="707F08FA"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201903</w:t>
            </w:r>
          </w:p>
        </w:tc>
        <w:tc>
          <w:tcPr>
            <w:tcW w:w="669" w:type="pct"/>
            <w:tcBorders>
              <w:left w:val="single" w:sz="4" w:space="0" w:color="auto"/>
            </w:tcBorders>
            <w:shd w:val="clear" w:color="auto" w:fill="auto"/>
            <w:noWrap/>
            <w:vAlign w:val="center"/>
            <w:hideMark/>
          </w:tcPr>
          <w:p w14:paraId="548854C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125.2</w:t>
            </w:r>
          </w:p>
        </w:tc>
        <w:tc>
          <w:tcPr>
            <w:tcW w:w="1156" w:type="pct"/>
            <w:shd w:val="clear" w:color="auto" w:fill="auto"/>
            <w:noWrap/>
            <w:vAlign w:val="center"/>
            <w:hideMark/>
          </w:tcPr>
          <w:p w14:paraId="0D286CB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127.0429</w:t>
            </w:r>
          </w:p>
        </w:tc>
        <w:tc>
          <w:tcPr>
            <w:tcW w:w="774" w:type="pct"/>
            <w:shd w:val="clear" w:color="auto" w:fill="auto"/>
            <w:noWrap/>
            <w:vAlign w:val="center"/>
            <w:hideMark/>
          </w:tcPr>
          <w:p w14:paraId="62DFAB4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122.2857</w:t>
            </w:r>
          </w:p>
        </w:tc>
        <w:tc>
          <w:tcPr>
            <w:tcW w:w="1030" w:type="pct"/>
            <w:shd w:val="clear" w:color="auto" w:fill="auto"/>
            <w:noWrap/>
            <w:vAlign w:val="center"/>
            <w:hideMark/>
          </w:tcPr>
          <w:p w14:paraId="39BBAEB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130.6714</w:t>
            </w:r>
          </w:p>
        </w:tc>
        <w:tc>
          <w:tcPr>
            <w:tcW w:w="863" w:type="pct"/>
            <w:shd w:val="clear" w:color="auto" w:fill="auto"/>
            <w:noWrap/>
            <w:vAlign w:val="center"/>
            <w:hideMark/>
          </w:tcPr>
          <w:p w14:paraId="702AAB7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137.0857</w:t>
            </w:r>
          </w:p>
        </w:tc>
      </w:tr>
      <w:tr w:rsidR="00063AC8" w:rsidRPr="00063AC8" w14:paraId="4F7F82FC" w14:textId="77777777" w:rsidTr="00063AC8">
        <w:trPr>
          <w:trHeight w:val="20"/>
          <w:jc w:val="center"/>
        </w:trPr>
        <w:tc>
          <w:tcPr>
            <w:tcW w:w="508" w:type="pct"/>
            <w:tcBorders>
              <w:right w:val="single" w:sz="4" w:space="0" w:color="auto"/>
            </w:tcBorders>
            <w:shd w:val="clear" w:color="auto" w:fill="auto"/>
            <w:vAlign w:val="center"/>
            <w:hideMark/>
          </w:tcPr>
          <w:p w14:paraId="1328E090"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201904</w:t>
            </w:r>
          </w:p>
        </w:tc>
        <w:tc>
          <w:tcPr>
            <w:tcW w:w="669" w:type="pct"/>
            <w:tcBorders>
              <w:left w:val="single" w:sz="4" w:space="0" w:color="auto"/>
            </w:tcBorders>
            <w:shd w:val="clear" w:color="auto" w:fill="auto"/>
            <w:noWrap/>
            <w:vAlign w:val="center"/>
            <w:hideMark/>
          </w:tcPr>
          <w:p w14:paraId="223BA89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125.7429</w:t>
            </w:r>
          </w:p>
        </w:tc>
        <w:tc>
          <w:tcPr>
            <w:tcW w:w="1156" w:type="pct"/>
            <w:shd w:val="clear" w:color="auto" w:fill="auto"/>
            <w:noWrap/>
            <w:vAlign w:val="center"/>
            <w:hideMark/>
          </w:tcPr>
          <w:p w14:paraId="65C060A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127.7857</w:t>
            </w:r>
          </w:p>
        </w:tc>
        <w:tc>
          <w:tcPr>
            <w:tcW w:w="774" w:type="pct"/>
            <w:shd w:val="clear" w:color="auto" w:fill="auto"/>
            <w:noWrap/>
            <w:vAlign w:val="center"/>
            <w:hideMark/>
          </w:tcPr>
          <w:p w14:paraId="2047F94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122.6286</w:t>
            </w:r>
          </w:p>
        </w:tc>
        <w:tc>
          <w:tcPr>
            <w:tcW w:w="1030" w:type="pct"/>
            <w:shd w:val="clear" w:color="auto" w:fill="auto"/>
            <w:noWrap/>
            <w:vAlign w:val="center"/>
            <w:hideMark/>
          </w:tcPr>
          <w:p w14:paraId="0432C4C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130.8143</w:t>
            </w:r>
          </w:p>
        </w:tc>
        <w:tc>
          <w:tcPr>
            <w:tcW w:w="863" w:type="pct"/>
            <w:shd w:val="clear" w:color="auto" w:fill="auto"/>
            <w:noWrap/>
            <w:vAlign w:val="center"/>
            <w:hideMark/>
          </w:tcPr>
          <w:p w14:paraId="2AB3D1A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136.8143</w:t>
            </w:r>
          </w:p>
        </w:tc>
      </w:tr>
      <w:tr w:rsidR="00063AC8" w:rsidRPr="00063AC8" w14:paraId="3A102AD4" w14:textId="77777777" w:rsidTr="00063AC8">
        <w:trPr>
          <w:trHeight w:val="20"/>
          <w:jc w:val="center"/>
        </w:trPr>
        <w:tc>
          <w:tcPr>
            <w:tcW w:w="508" w:type="pct"/>
            <w:tcBorders>
              <w:right w:val="single" w:sz="4" w:space="0" w:color="auto"/>
            </w:tcBorders>
            <w:shd w:val="clear" w:color="auto" w:fill="auto"/>
            <w:vAlign w:val="center"/>
            <w:hideMark/>
          </w:tcPr>
          <w:p w14:paraId="69D0CCAB"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201905</w:t>
            </w:r>
          </w:p>
        </w:tc>
        <w:tc>
          <w:tcPr>
            <w:tcW w:w="669" w:type="pct"/>
            <w:tcBorders>
              <w:left w:val="single" w:sz="4" w:space="0" w:color="auto"/>
            </w:tcBorders>
            <w:shd w:val="clear" w:color="auto" w:fill="auto"/>
            <w:noWrap/>
            <w:vAlign w:val="center"/>
            <w:hideMark/>
          </w:tcPr>
          <w:p w14:paraId="0A48B52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126.1</w:t>
            </w:r>
          </w:p>
        </w:tc>
        <w:tc>
          <w:tcPr>
            <w:tcW w:w="1156" w:type="pct"/>
            <w:shd w:val="clear" w:color="auto" w:fill="auto"/>
            <w:noWrap/>
            <w:vAlign w:val="center"/>
            <w:hideMark/>
          </w:tcPr>
          <w:p w14:paraId="22599A3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128.5143</w:t>
            </w:r>
          </w:p>
        </w:tc>
        <w:tc>
          <w:tcPr>
            <w:tcW w:w="774" w:type="pct"/>
            <w:shd w:val="clear" w:color="auto" w:fill="auto"/>
            <w:noWrap/>
            <w:vAlign w:val="center"/>
            <w:hideMark/>
          </w:tcPr>
          <w:p w14:paraId="627EFB8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122.6429</w:t>
            </w:r>
          </w:p>
        </w:tc>
        <w:tc>
          <w:tcPr>
            <w:tcW w:w="1030" w:type="pct"/>
            <w:shd w:val="clear" w:color="auto" w:fill="auto"/>
            <w:noWrap/>
            <w:vAlign w:val="center"/>
            <w:hideMark/>
          </w:tcPr>
          <w:p w14:paraId="3C84ADC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130.9429</w:t>
            </w:r>
          </w:p>
        </w:tc>
        <w:tc>
          <w:tcPr>
            <w:tcW w:w="863" w:type="pct"/>
            <w:shd w:val="clear" w:color="auto" w:fill="auto"/>
            <w:noWrap/>
            <w:vAlign w:val="center"/>
            <w:hideMark/>
          </w:tcPr>
          <w:p w14:paraId="490AB00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136.3</w:t>
            </w:r>
          </w:p>
        </w:tc>
      </w:tr>
      <w:tr w:rsidR="00063AC8" w:rsidRPr="00063AC8" w14:paraId="58B395FC" w14:textId="77777777" w:rsidTr="00063AC8">
        <w:trPr>
          <w:trHeight w:val="20"/>
          <w:jc w:val="center"/>
        </w:trPr>
        <w:tc>
          <w:tcPr>
            <w:tcW w:w="508" w:type="pct"/>
            <w:tcBorders>
              <w:right w:val="single" w:sz="4" w:space="0" w:color="auto"/>
            </w:tcBorders>
            <w:shd w:val="clear" w:color="auto" w:fill="auto"/>
            <w:vAlign w:val="center"/>
            <w:hideMark/>
          </w:tcPr>
          <w:p w14:paraId="1947CD87"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201906</w:t>
            </w:r>
          </w:p>
        </w:tc>
        <w:tc>
          <w:tcPr>
            <w:tcW w:w="669" w:type="pct"/>
            <w:tcBorders>
              <w:left w:val="single" w:sz="4" w:space="0" w:color="auto"/>
            </w:tcBorders>
            <w:shd w:val="clear" w:color="auto" w:fill="auto"/>
            <w:noWrap/>
            <w:vAlign w:val="center"/>
            <w:hideMark/>
          </w:tcPr>
          <w:p w14:paraId="72A4649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126.5857</w:t>
            </w:r>
          </w:p>
        </w:tc>
        <w:tc>
          <w:tcPr>
            <w:tcW w:w="1156" w:type="pct"/>
            <w:shd w:val="clear" w:color="auto" w:fill="auto"/>
            <w:noWrap/>
            <w:vAlign w:val="center"/>
            <w:hideMark/>
          </w:tcPr>
          <w:p w14:paraId="27B4100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128.9857</w:t>
            </w:r>
          </w:p>
        </w:tc>
        <w:tc>
          <w:tcPr>
            <w:tcW w:w="774" w:type="pct"/>
            <w:shd w:val="clear" w:color="auto" w:fill="auto"/>
            <w:noWrap/>
            <w:vAlign w:val="center"/>
            <w:hideMark/>
          </w:tcPr>
          <w:p w14:paraId="41D7E3A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123.1143</w:t>
            </w:r>
          </w:p>
        </w:tc>
        <w:tc>
          <w:tcPr>
            <w:tcW w:w="1030" w:type="pct"/>
            <w:shd w:val="clear" w:color="auto" w:fill="auto"/>
            <w:noWrap/>
            <w:vAlign w:val="center"/>
            <w:hideMark/>
          </w:tcPr>
          <w:p w14:paraId="1244D12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131.3428</w:t>
            </w:r>
          </w:p>
        </w:tc>
        <w:tc>
          <w:tcPr>
            <w:tcW w:w="863" w:type="pct"/>
            <w:shd w:val="clear" w:color="auto" w:fill="auto"/>
            <w:noWrap/>
            <w:vAlign w:val="center"/>
            <w:hideMark/>
          </w:tcPr>
          <w:p w14:paraId="7518EFC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136.3286</w:t>
            </w:r>
          </w:p>
        </w:tc>
      </w:tr>
      <w:tr w:rsidR="00063AC8" w:rsidRPr="00063AC8" w14:paraId="02D3CD7C" w14:textId="77777777" w:rsidTr="00063AC8">
        <w:trPr>
          <w:trHeight w:val="20"/>
          <w:jc w:val="center"/>
        </w:trPr>
        <w:tc>
          <w:tcPr>
            <w:tcW w:w="508" w:type="pct"/>
            <w:tcBorders>
              <w:right w:val="single" w:sz="4" w:space="0" w:color="auto"/>
            </w:tcBorders>
            <w:shd w:val="clear" w:color="auto" w:fill="auto"/>
            <w:vAlign w:val="center"/>
            <w:hideMark/>
          </w:tcPr>
          <w:p w14:paraId="7C8DC593"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201907</w:t>
            </w:r>
          </w:p>
        </w:tc>
        <w:tc>
          <w:tcPr>
            <w:tcW w:w="669" w:type="pct"/>
            <w:tcBorders>
              <w:left w:val="single" w:sz="4" w:space="0" w:color="auto"/>
            </w:tcBorders>
            <w:shd w:val="clear" w:color="auto" w:fill="auto"/>
            <w:noWrap/>
            <w:vAlign w:val="center"/>
            <w:hideMark/>
          </w:tcPr>
          <w:p w14:paraId="65E1A13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127.4571</w:t>
            </w:r>
          </w:p>
        </w:tc>
        <w:tc>
          <w:tcPr>
            <w:tcW w:w="1156" w:type="pct"/>
            <w:shd w:val="clear" w:color="auto" w:fill="auto"/>
            <w:noWrap/>
            <w:vAlign w:val="center"/>
            <w:hideMark/>
          </w:tcPr>
          <w:p w14:paraId="1BF2D54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130.1429</w:t>
            </w:r>
          </w:p>
        </w:tc>
        <w:tc>
          <w:tcPr>
            <w:tcW w:w="774" w:type="pct"/>
            <w:shd w:val="clear" w:color="auto" w:fill="auto"/>
            <w:noWrap/>
            <w:vAlign w:val="center"/>
            <w:hideMark/>
          </w:tcPr>
          <w:p w14:paraId="4DEC1EB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123.6286</w:t>
            </w:r>
          </w:p>
        </w:tc>
        <w:tc>
          <w:tcPr>
            <w:tcW w:w="1030" w:type="pct"/>
            <w:shd w:val="clear" w:color="auto" w:fill="auto"/>
            <w:noWrap/>
            <w:vAlign w:val="center"/>
            <w:hideMark/>
          </w:tcPr>
          <w:p w14:paraId="766429B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131.6571</w:t>
            </w:r>
          </w:p>
        </w:tc>
        <w:tc>
          <w:tcPr>
            <w:tcW w:w="863" w:type="pct"/>
            <w:shd w:val="clear" w:color="auto" w:fill="auto"/>
            <w:noWrap/>
            <w:vAlign w:val="center"/>
            <w:hideMark/>
          </w:tcPr>
          <w:p w14:paraId="7BA1A21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135.9714</w:t>
            </w:r>
          </w:p>
        </w:tc>
      </w:tr>
      <w:tr w:rsidR="00063AC8" w:rsidRPr="00063AC8" w14:paraId="6D97FEFD" w14:textId="77777777" w:rsidTr="00063AC8">
        <w:trPr>
          <w:trHeight w:val="20"/>
          <w:jc w:val="center"/>
        </w:trPr>
        <w:tc>
          <w:tcPr>
            <w:tcW w:w="508" w:type="pct"/>
            <w:tcBorders>
              <w:right w:val="single" w:sz="4" w:space="0" w:color="auto"/>
            </w:tcBorders>
            <w:shd w:val="clear" w:color="auto" w:fill="auto"/>
            <w:vAlign w:val="center"/>
            <w:hideMark/>
          </w:tcPr>
          <w:p w14:paraId="127EB709"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201908</w:t>
            </w:r>
          </w:p>
        </w:tc>
        <w:tc>
          <w:tcPr>
            <w:tcW w:w="669" w:type="pct"/>
            <w:tcBorders>
              <w:left w:val="single" w:sz="4" w:space="0" w:color="auto"/>
            </w:tcBorders>
            <w:shd w:val="clear" w:color="auto" w:fill="auto"/>
            <w:noWrap/>
            <w:vAlign w:val="center"/>
            <w:hideMark/>
          </w:tcPr>
          <w:p w14:paraId="2240957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128.4286</w:t>
            </w:r>
          </w:p>
        </w:tc>
        <w:tc>
          <w:tcPr>
            <w:tcW w:w="1156" w:type="pct"/>
            <w:shd w:val="clear" w:color="auto" w:fill="auto"/>
            <w:noWrap/>
            <w:vAlign w:val="center"/>
            <w:hideMark/>
          </w:tcPr>
          <w:p w14:paraId="22B29B6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131.4143</w:t>
            </w:r>
          </w:p>
        </w:tc>
        <w:tc>
          <w:tcPr>
            <w:tcW w:w="774" w:type="pct"/>
            <w:shd w:val="clear" w:color="auto" w:fill="auto"/>
            <w:noWrap/>
            <w:vAlign w:val="center"/>
            <w:hideMark/>
          </w:tcPr>
          <w:p w14:paraId="39004F21"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124.2286</w:t>
            </w:r>
          </w:p>
        </w:tc>
        <w:tc>
          <w:tcPr>
            <w:tcW w:w="1030" w:type="pct"/>
            <w:shd w:val="clear" w:color="auto" w:fill="auto"/>
            <w:noWrap/>
            <w:vAlign w:val="center"/>
            <w:hideMark/>
          </w:tcPr>
          <w:p w14:paraId="5BE86BD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132.3857</w:t>
            </w:r>
          </w:p>
        </w:tc>
        <w:tc>
          <w:tcPr>
            <w:tcW w:w="863" w:type="pct"/>
            <w:shd w:val="clear" w:color="auto" w:fill="auto"/>
            <w:noWrap/>
            <w:vAlign w:val="center"/>
            <w:hideMark/>
          </w:tcPr>
          <w:p w14:paraId="7E7F1D6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136.4857</w:t>
            </w:r>
          </w:p>
        </w:tc>
      </w:tr>
      <w:tr w:rsidR="00063AC8" w:rsidRPr="00063AC8" w14:paraId="3EDC2830" w14:textId="77777777" w:rsidTr="00063AC8">
        <w:trPr>
          <w:trHeight w:val="20"/>
          <w:jc w:val="center"/>
        </w:trPr>
        <w:tc>
          <w:tcPr>
            <w:tcW w:w="508" w:type="pct"/>
            <w:tcBorders>
              <w:right w:val="single" w:sz="4" w:space="0" w:color="auto"/>
            </w:tcBorders>
            <w:shd w:val="clear" w:color="auto" w:fill="auto"/>
            <w:vAlign w:val="center"/>
            <w:hideMark/>
          </w:tcPr>
          <w:p w14:paraId="7B1E1270"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201909</w:t>
            </w:r>
          </w:p>
        </w:tc>
        <w:tc>
          <w:tcPr>
            <w:tcW w:w="669" w:type="pct"/>
            <w:tcBorders>
              <w:left w:val="single" w:sz="4" w:space="0" w:color="auto"/>
            </w:tcBorders>
            <w:shd w:val="clear" w:color="auto" w:fill="auto"/>
            <w:noWrap/>
            <w:vAlign w:val="center"/>
            <w:hideMark/>
          </w:tcPr>
          <w:p w14:paraId="4BB64D7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129.4286</w:t>
            </w:r>
          </w:p>
        </w:tc>
        <w:tc>
          <w:tcPr>
            <w:tcW w:w="1156" w:type="pct"/>
            <w:shd w:val="clear" w:color="auto" w:fill="auto"/>
            <w:noWrap/>
            <w:vAlign w:val="center"/>
            <w:hideMark/>
          </w:tcPr>
          <w:p w14:paraId="2BC7CFE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132.5857</w:t>
            </w:r>
          </w:p>
        </w:tc>
        <w:tc>
          <w:tcPr>
            <w:tcW w:w="774" w:type="pct"/>
            <w:shd w:val="clear" w:color="auto" w:fill="auto"/>
            <w:noWrap/>
            <w:vAlign w:val="center"/>
            <w:hideMark/>
          </w:tcPr>
          <w:p w14:paraId="2B7F0DA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125</w:t>
            </w:r>
          </w:p>
        </w:tc>
        <w:tc>
          <w:tcPr>
            <w:tcW w:w="1030" w:type="pct"/>
            <w:shd w:val="clear" w:color="auto" w:fill="auto"/>
            <w:noWrap/>
            <w:vAlign w:val="center"/>
            <w:hideMark/>
          </w:tcPr>
          <w:p w14:paraId="443AD55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133.2429</w:t>
            </w:r>
          </w:p>
        </w:tc>
        <w:tc>
          <w:tcPr>
            <w:tcW w:w="863" w:type="pct"/>
            <w:shd w:val="clear" w:color="auto" w:fill="auto"/>
            <w:noWrap/>
            <w:vAlign w:val="center"/>
            <w:hideMark/>
          </w:tcPr>
          <w:p w14:paraId="2017747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137.5</w:t>
            </w:r>
          </w:p>
        </w:tc>
      </w:tr>
      <w:tr w:rsidR="00063AC8" w:rsidRPr="00063AC8" w14:paraId="58AA6487" w14:textId="77777777" w:rsidTr="00063AC8">
        <w:trPr>
          <w:trHeight w:val="20"/>
          <w:jc w:val="center"/>
        </w:trPr>
        <w:tc>
          <w:tcPr>
            <w:tcW w:w="508" w:type="pct"/>
            <w:tcBorders>
              <w:right w:val="single" w:sz="4" w:space="0" w:color="auto"/>
            </w:tcBorders>
            <w:shd w:val="clear" w:color="auto" w:fill="auto"/>
            <w:vAlign w:val="center"/>
            <w:hideMark/>
          </w:tcPr>
          <w:p w14:paraId="1EFE984D"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201910</w:t>
            </w:r>
          </w:p>
        </w:tc>
        <w:tc>
          <w:tcPr>
            <w:tcW w:w="669" w:type="pct"/>
            <w:tcBorders>
              <w:left w:val="single" w:sz="4" w:space="0" w:color="auto"/>
            </w:tcBorders>
            <w:shd w:val="clear" w:color="auto" w:fill="auto"/>
            <w:noWrap/>
            <w:vAlign w:val="center"/>
            <w:hideMark/>
          </w:tcPr>
          <w:p w14:paraId="282573C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130.6571</w:t>
            </w:r>
          </w:p>
        </w:tc>
        <w:tc>
          <w:tcPr>
            <w:tcW w:w="1156" w:type="pct"/>
            <w:shd w:val="clear" w:color="auto" w:fill="auto"/>
            <w:noWrap/>
            <w:vAlign w:val="center"/>
            <w:hideMark/>
          </w:tcPr>
          <w:p w14:paraId="3FD8514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133.8286</w:t>
            </w:r>
          </w:p>
        </w:tc>
        <w:tc>
          <w:tcPr>
            <w:tcW w:w="774" w:type="pct"/>
            <w:shd w:val="clear" w:color="auto" w:fill="auto"/>
            <w:noWrap/>
            <w:vAlign w:val="center"/>
            <w:hideMark/>
          </w:tcPr>
          <w:p w14:paraId="68B3919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126.1857</w:t>
            </w:r>
          </w:p>
        </w:tc>
        <w:tc>
          <w:tcPr>
            <w:tcW w:w="1030" w:type="pct"/>
            <w:shd w:val="clear" w:color="auto" w:fill="auto"/>
            <w:noWrap/>
            <w:vAlign w:val="center"/>
            <w:hideMark/>
          </w:tcPr>
          <w:p w14:paraId="4BE47A6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134.1714</w:t>
            </w:r>
          </w:p>
        </w:tc>
        <w:tc>
          <w:tcPr>
            <w:tcW w:w="863" w:type="pct"/>
            <w:shd w:val="clear" w:color="auto" w:fill="auto"/>
            <w:noWrap/>
            <w:vAlign w:val="center"/>
            <w:hideMark/>
          </w:tcPr>
          <w:p w14:paraId="1737F47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137.9286</w:t>
            </w:r>
          </w:p>
        </w:tc>
      </w:tr>
      <w:tr w:rsidR="00063AC8" w:rsidRPr="00063AC8" w14:paraId="6BCFEF1D" w14:textId="77777777" w:rsidTr="00063AC8">
        <w:trPr>
          <w:trHeight w:val="20"/>
          <w:jc w:val="center"/>
        </w:trPr>
        <w:tc>
          <w:tcPr>
            <w:tcW w:w="508" w:type="pct"/>
            <w:tcBorders>
              <w:right w:val="single" w:sz="4" w:space="0" w:color="auto"/>
            </w:tcBorders>
            <w:shd w:val="clear" w:color="auto" w:fill="auto"/>
            <w:vAlign w:val="center"/>
            <w:hideMark/>
          </w:tcPr>
          <w:p w14:paraId="1BDF6D15"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201911</w:t>
            </w:r>
          </w:p>
        </w:tc>
        <w:tc>
          <w:tcPr>
            <w:tcW w:w="669" w:type="pct"/>
            <w:tcBorders>
              <w:left w:val="single" w:sz="4" w:space="0" w:color="auto"/>
            </w:tcBorders>
            <w:shd w:val="clear" w:color="auto" w:fill="auto"/>
            <w:noWrap/>
            <w:vAlign w:val="center"/>
            <w:hideMark/>
          </w:tcPr>
          <w:p w14:paraId="6568708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131.8</w:t>
            </w:r>
          </w:p>
        </w:tc>
        <w:tc>
          <w:tcPr>
            <w:tcW w:w="1156" w:type="pct"/>
            <w:shd w:val="clear" w:color="auto" w:fill="auto"/>
            <w:noWrap/>
            <w:vAlign w:val="center"/>
            <w:hideMark/>
          </w:tcPr>
          <w:p w14:paraId="72B1EA3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135.0714</w:t>
            </w:r>
          </w:p>
        </w:tc>
        <w:tc>
          <w:tcPr>
            <w:tcW w:w="774" w:type="pct"/>
            <w:shd w:val="clear" w:color="auto" w:fill="auto"/>
            <w:noWrap/>
            <w:vAlign w:val="center"/>
            <w:hideMark/>
          </w:tcPr>
          <w:p w14:paraId="2E72635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127.1857</w:t>
            </w:r>
          </w:p>
        </w:tc>
        <w:tc>
          <w:tcPr>
            <w:tcW w:w="1030" w:type="pct"/>
            <w:shd w:val="clear" w:color="auto" w:fill="auto"/>
            <w:noWrap/>
            <w:vAlign w:val="center"/>
            <w:hideMark/>
          </w:tcPr>
          <w:p w14:paraId="755AF9D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135.5286</w:t>
            </w:r>
          </w:p>
        </w:tc>
        <w:tc>
          <w:tcPr>
            <w:tcW w:w="863" w:type="pct"/>
            <w:shd w:val="clear" w:color="auto" w:fill="auto"/>
            <w:noWrap/>
            <w:vAlign w:val="center"/>
            <w:hideMark/>
          </w:tcPr>
          <w:p w14:paraId="3E30A8F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138.9</w:t>
            </w:r>
          </w:p>
        </w:tc>
      </w:tr>
      <w:tr w:rsidR="00063AC8" w:rsidRPr="00063AC8" w14:paraId="6E281E14" w14:textId="77777777" w:rsidTr="00063AC8">
        <w:trPr>
          <w:trHeight w:val="20"/>
          <w:jc w:val="center"/>
        </w:trPr>
        <w:tc>
          <w:tcPr>
            <w:tcW w:w="508" w:type="pct"/>
            <w:tcBorders>
              <w:right w:val="single" w:sz="4" w:space="0" w:color="auto"/>
            </w:tcBorders>
            <w:shd w:val="clear" w:color="auto" w:fill="auto"/>
            <w:vAlign w:val="center"/>
            <w:hideMark/>
          </w:tcPr>
          <w:p w14:paraId="23151962"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201912</w:t>
            </w:r>
          </w:p>
        </w:tc>
        <w:tc>
          <w:tcPr>
            <w:tcW w:w="669" w:type="pct"/>
            <w:tcBorders>
              <w:left w:val="single" w:sz="4" w:space="0" w:color="auto"/>
            </w:tcBorders>
            <w:shd w:val="clear" w:color="auto" w:fill="auto"/>
            <w:noWrap/>
            <w:vAlign w:val="center"/>
            <w:hideMark/>
          </w:tcPr>
          <w:p w14:paraId="7B7B832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132.5571</w:t>
            </w:r>
          </w:p>
        </w:tc>
        <w:tc>
          <w:tcPr>
            <w:tcW w:w="1156" w:type="pct"/>
            <w:shd w:val="clear" w:color="auto" w:fill="auto"/>
            <w:noWrap/>
            <w:vAlign w:val="center"/>
            <w:hideMark/>
          </w:tcPr>
          <w:p w14:paraId="4C63D5C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135.6857</w:t>
            </w:r>
          </w:p>
        </w:tc>
        <w:tc>
          <w:tcPr>
            <w:tcW w:w="774" w:type="pct"/>
            <w:shd w:val="clear" w:color="auto" w:fill="auto"/>
            <w:noWrap/>
            <w:vAlign w:val="center"/>
            <w:hideMark/>
          </w:tcPr>
          <w:p w14:paraId="2D0DD08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128.1143</w:t>
            </w:r>
          </w:p>
        </w:tc>
        <w:tc>
          <w:tcPr>
            <w:tcW w:w="1030" w:type="pct"/>
            <w:shd w:val="clear" w:color="auto" w:fill="auto"/>
            <w:noWrap/>
            <w:vAlign w:val="center"/>
            <w:hideMark/>
          </w:tcPr>
          <w:p w14:paraId="060651B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136.4143</w:t>
            </w:r>
          </w:p>
        </w:tc>
        <w:tc>
          <w:tcPr>
            <w:tcW w:w="863" w:type="pct"/>
            <w:shd w:val="clear" w:color="auto" w:fill="auto"/>
            <w:noWrap/>
            <w:vAlign w:val="center"/>
            <w:hideMark/>
          </w:tcPr>
          <w:p w14:paraId="3B7AB96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139.7286</w:t>
            </w:r>
          </w:p>
        </w:tc>
      </w:tr>
      <w:tr w:rsidR="00063AC8" w:rsidRPr="00063AC8" w14:paraId="666C6098" w14:textId="77777777" w:rsidTr="00063AC8">
        <w:trPr>
          <w:trHeight w:val="20"/>
          <w:jc w:val="center"/>
        </w:trPr>
        <w:tc>
          <w:tcPr>
            <w:tcW w:w="508" w:type="pct"/>
            <w:tcBorders>
              <w:right w:val="single" w:sz="4" w:space="0" w:color="auto"/>
            </w:tcBorders>
            <w:shd w:val="clear" w:color="auto" w:fill="auto"/>
            <w:vAlign w:val="center"/>
            <w:hideMark/>
          </w:tcPr>
          <w:p w14:paraId="1416C7CD"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lastRenderedPageBreak/>
              <w:t>202001</w:t>
            </w:r>
          </w:p>
        </w:tc>
        <w:tc>
          <w:tcPr>
            <w:tcW w:w="669" w:type="pct"/>
            <w:tcBorders>
              <w:left w:val="single" w:sz="4" w:space="0" w:color="auto"/>
            </w:tcBorders>
            <w:shd w:val="clear" w:color="auto" w:fill="auto"/>
            <w:noWrap/>
            <w:vAlign w:val="center"/>
            <w:hideMark/>
          </w:tcPr>
          <w:p w14:paraId="48FBB18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132.5286</w:t>
            </w:r>
          </w:p>
        </w:tc>
        <w:tc>
          <w:tcPr>
            <w:tcW w:w="1156" w:type="pct"/>
            <w:shd w:val="clear" w:color="auto" w:fill="auto"/>
            <w:noWrap/>
            <w:vAlign w:val="center"/>
            <w:hideMark/>
          </w:tcPr>
          <w:p w14:paraId="7AD7634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135.5714</w:t>
            </w:r>
          </w:p>
        </w:tc>
        <w:tc>
          <w:tcPr>
            <w:tcW w:w="774" w:type="pct"/>
            <w:shd w:val="clear" w:color="auto" w:fill="auto"/>
            <w:noWrap/>
            <w:vAlign w:val="center"/>
            <w:hideMark/>
          </w:tcPr>
          <w:p w14:paraId="3407D08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128.2</w:t>
            </w:r>
          </w:p>
        </w:tc>
        <w:tc>
          <w:tcPr>
            <w:tcW w:w="1030" w:type="pct"/>
            <w:shd w:val="clear" w:color="auto" w:fill="auto"/>
            <w:noWrap/>
            <w:vAlign w:val="center"/>
            <w:hideMark/>
          </w:tcPr>
          <w:p w14:paraId="2AD817D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136.1857</w:t>
            </w:r>
          </w:p>
        </w:tc>
        <w:tc>
          <w:tcPr>
            <w:tcW w:w="863" w:type="pct"/>
            <w:shd w:val="clear" w:color="auto" w:fill="auto"/>
            <w:noWrap/>
            <w:vAlign w:val="center"/>
            <w:hideMark/>
          </w:tcPr>
          <w:p w14:paraId="3F16BD6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139.8286</w:t>
            </w:r>
          </w:p>
        </w:tc>
      </w:tr>
      <w:tr w:rsidR="00063AC8" w:rsidRPr="00063AC8" w14:paraId="1399484F" w14:textId="77777777" w:rsidTr="00063AC8">
        <w:trPr>
          <w:trHeight w:val="20"/>
          <w:jc w:val="center"/>
        </w:trPr>
        <w:tc>
          <w:tcPr>
            <w:tcW w:w="508" w:type="pct"/>
            <w:tcBorders>
              <w:right w:val="single" w:sz="4" w:space="0" w:color="auto"/>
            </w:tcBorders>
            <w:shd w:val="clear" w:color="auto" w:fill="auto"/>
            <w:vAlign w:val="center"/>
            <w:hideMark/>
          </w:tcPr>
          <w:p w14:paraId="66C29B0E"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202002</w:t>
            </w:r>
          </w:p>
        </w:tc>
        <w:tc>
          <w:tcPr>
            <w:tcW w:w="669" w:type="pct"/>
            <w:tcBorders>
              <w:left w:val="single" w:sz="4" w:space="0" w:color="auto"/>
            </w:tcBorders>
            <w:shd w:val="clear" w:color="auto" w:fill="auto"/>
            <w:noWrap/>
            <w:vAlign w:val="center"/>
            <w:hideMark/>
          </w:tcPr>
          <w:p w14:paraId="52C3613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132.5857</w:t>
            </w:r>
          </w:p>
        </w:tc>
        <w:tc>
          <w:tcPr>
            <w:tcW w:w="1156" w:type="pct"/>
            <w:shd w:val="clear" w:color="auto" w:fill="auto"/>
            <w:noWrap/>
            <w:vAlign w:val="center"/>
            <w:hideMark/>
          </w:tcPr>
          <w:p w14:paraId="2C767CB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135.4571</w:t>
            </w:r>
          </w:p>
        </w:tc>
        <w:tc>
          <w:tcPr>
            <w:tcW w:w="774" w:type="pct"/>
            <w:shd w:val="clear" w:color="auto" w:fill="auto"/>
            <w:noWrap/>
            <w:vAlign w:val="center"/>
            <w:hideMark/>
          </w:tcPr>
          <w:p w14:paraId="589B2F4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128.4429</w:t>
            </w:r>
          </w:p>
        </w:tc>
        <w:tc>
          <w:tcPr>
            <w:tcW w:w="1030" w:type="pct"/>
            <w:shd w:val="clear" w:color="auto" w:fill="auto"/>
            <w:noWrap/>
            <w:vAlign w:val="center"/>
            <w:hideMark/>
          </w:tcPr>
          <w:p w14:paraId="5470A1F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136.5429</w:t>
            </w:r>
          </w:p>
        </w:tc>
        <w:tc>
          <w:tcPr>
            <w:tcW w:w="863" w:type="pct"/>
            <w:shd w:val="clear" w:color="auto" w:fill="auto"/>
            <w:noWrap/>
            <w:vAlign w:val="center"/>
            <w:hideMark/>
          </w:tcPr>
          <w:p w14:paraId="0003246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139.4571</w:t>
            </w:r>
          </w:p>
        </w:tc>
      </w:tr>
      <w:tr w:rsidR="00063AC8" w:rsidRPr="00063AC8" w14:paraId="2FF1A90A" w14:textId="77777777" w:rsidTr="00063AC8">
        <w:trPr>
          <w:trHeight w:val="20"/>
          <w:jc w:val="center"/>
        </w:trPr>
        <w:tc>
          <w:tcPr>
            <w:tcW w:w="508" w:type="pct"/>
            <w:tcBorders>
              <w:right w:val="single" w:sz="4" w:space="0" w:color="auto"/>
            </w:tcBorders>
            <w:shd w:val="clear" w:color="auto" w:fill="auto"/>
            <w:vAlign w:val="center"/>
            <w:hideMark/>
          </w:tcPr>
          <w:p w14:paraId="7A77C8F4"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202003</w:t>
            </w:r>
          </w:p>
        </w:tc>
        <w:tc>
          <w:tcPr>
            <w:tcW w:w="669" w:type="pct"/>
            <w:tcBorders>
              <w:left w:val="single" w:sz="4" w:space="0" w:color="auto"/>
            </w:tcBorders>
            <w:shd w:val="clear" w:color="auto" w:fill="auto"/>
            <w:noWrap/>
            <w:vAlign w:val="center"/>
            <w:hideMark/>
          </w:tcPr>
          <w:p w14:paraId="6065208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132.8143</w:t>
            </w:r>
          </w:p>
        </w:tc>
        <w:tc>
          <w:tcPr>
            <w:tcW w:w="1156" w:type="pct"/>
            <w:shd w:val="clear" w:color="auto" w:fill="auto"/>
            <w:noWrap/>
            <w:vAlign w:val="center"/>
            <w:hideMark/>
          </w:tcPr>
          <w:p w14:paraId="229DC23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135.5</w:t>
            </w:r>
          </w:p>
        </w:tc>
        <w:tc>
          <w:tcPr>
            <w:tcW w:w="774" w:type="pct"/>
            <w:shd w:val="clear" w:color="auto" w:fill="auto"/>
            <w:noWrap/>
            <w:vAlign w:val="center"/>
            <w:hideMark/>
          </w:tcPr>
          <w:p w14:paraId="1930BCC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128.9</w:t>
            </w:r>
          </w:p>
        </w:tc>
        <w:tc>
          <w:tcPr>
            <w:tcW w:w="1030" w:type="pct"/>
            <w:shd w:val="clear" w:color="auto" w:fill="auto"/>
            <w:noWrap/>
            <w:vAlign w:val="center"/>
            <w:hideMark/>
          </w:tcPr>
          <w:p w14:paraId="7DC60CD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136.7714</w:t>
            </w:r>
          </w:p>
        </w:tc>
        <w:tc>
          <w:tcPr>
            <w:tcW w:w="863" w:type="pct"/>
            <w:shd w:val="clear" w:color="auto" w:fill="auto"/>
            <w:noWrap/>
            <w:vAlign w:val="center"/>
            <w:hideMark/>
          </w:tcPr>
          <w:p w14:paraId="31E8181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139.3286</w:t>
            </w:r>
          </w:p>
        </w:tc>
      </w:tr>
      <w:tr w:rsidR="00063AC8" w:rsidRPr="00063AC8" w14:paraId="52B71956" w14:textId="77777777" w:rsidTr="00063AC8">
        <w:trPr>
          <w:trHeight w:val="20"/>
          <w:jc w:val="center"/>
        </w:trPr>
        <w:tc>
          <w:tcPr>
            <w:tcW w:w="508" w:type="pct"/>
            <w:tcBorders>
              <w:right w:val="single" w:sz="4" w:space="0" w:color="auto"/>
            </w:tcBorders>
            <w:shd w:val="clear" w:color="auto" w:fill="auto"/>
            <w:vAlign w:val="center"/>
            <w:hideMark/>
          </w:tcPr>
          <w:p w14:paraId="64EEA751"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202004</w:t>
            </w:r>
          </w:p>
        </w:tc>
        <w:tc>
          <w:tcPr>
            <w:tcW w:w="669" w:type="pct"/>
            <w:tcBorders>
              <w:left w:val="single" w:sz="4" w:space="0" w:color="auto"/>
            </w:tcBorders>
            <w:shd w:val="clear" w:color="auto" w:fill="auto"/>
            <w:noWrap/>
            <w:vAlign w:val="center"/>
            <w:hideMark/>
          </w:tcPr>
          <w:p w14:paraId="3295C19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133.0429</w:t>
            </w:r>
          </w:p>
        </w:tc>
        <w:tc>
          <w:tcPr>
            <w:tcW w:w="1156" w:type="pct"/>
            <w:shd w:val="clear" w:color="auto" w:fill="auto"/>
            <w:noWrap/>
            <w:vAlign w:val="center"/>
            <w:hideMark/>
          </w:tcPr>
          <w:p w14:paraId="36309EAA"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135.5714</w:t>
            </w:r>
          </w:p>
        </w:tc>
        <w:tc>
          <w:tcPr>
            <w:tcW w:w="774" w:type="pct"/>
            <w:shd w:val="clear" w:color="auto" w:fill="auto"/>
            <w:noWrap/>
            <w:vAlign w:val="center"/>
            <w:hideMark/>
          </w:tcPr>
          <w:p w14:paraId="0243AD5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129.2857</w:t>
            </w:r>
          </w:p>
        </w:tc>
        <w:tc>
          <w:tcPr>
            <w:tcW w:w="1030" w:type="pct"/>
            <w:shd w:val="clear" w:color="auto" w:fill="auto"/>
            <w:noWrap/>
            <w:vAlign w:val="center"/>
            <w:hideMark/>
          </w:tcPr>
          <w:p w14:paraId="795C897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137.1429</w:t>
            </w:r>
          </w:p>
        </w:tc>
        <w:tc>
          <w:tcPr>
            <w:tcW w:w="863" w:type="pct"/>
            <w:shd w:val="clear" w:color="auto" w:fill="auto"/>
            <w:noWrap/>
            <w:vAlign w:val="center"/>
            <w:hideMark/>
          </w:tcPr>
          <w:p w14:paraId="6E1264E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139.9</w:t>
            </w:r>
          </w:p>
        </w:tc>
      </w:tr>
      <w:tr w:rsidR="00063AC8" w:rsidRPr="00063AC8" w14:paraId="076AC022" w14:textId="77777777" w:rsidTr="00063AC8">
        <w:trPr>
          <w:trHeight w:val="20"/>
          <w:jc w:val="center"/>
        </w:trPr>
        <w:tc>
          <w:tcPr>
            <w:tcW w:w="508" w:type="pct"/>
            <w:tcBorders>
              <w:right w:val="single" w:sz="4" w:space="0" w:color="auto"/>
            </w:tcBorders>
            <w:shd w:val="clear" w:color="auto" w:fill="auto"/>
            <w:vAlign w:val="center"/>
            <w:hideMark/>
          </w:tcPr>
          <w:p w14:paraId="5553E377"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202005</w:t>
            </w:r>
          </w:p>
        </w:tc>
        <w:tc>
          <w:tcPr>
            <w:tcW w:w="669" w:type="pct"/>
            <w:tcBorders>
              <w:left w:val="single" w:sz="4" w:space="0" w:color="auto"/>
            </w:tcBorders>
            <w:shd w:val="clear" w:color="auto" w:fill="auto"/>
            <w:noWrap/>
            <w:vAlign w:val="center"/>
            <w:hideMark/>
          </w:tcPr>
          <w:p w14:paraId="0E4A234D"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133.1714</w:t>
            </w:r>
          </w:p>
        </w:tc>
        <w:tc>
          <w:tcPr>
            <w:tcW w:w="1156" w:type="pct"/>
            <w:shd w:val="clear" w:color="auto" w:fill="auto"/>
            <w:noWrap/>
            <w:vAlign w:val="center"/>
            <w:hideMark/>
          </w:tcPr>
          <w:p w14:paraId="4D38F6F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135.2857</w:t>
            </w:r>
          </w:p>
        </w:tc>
        <w:tc>
          <w:tcPr>
            <w:tcW w:w="774" w:type="pct"/>
            <w:shd w:val="clear" w:color="auto" w:fill="auto"/>
            <w:noWrap/>
            <w:vAlign w:val="center"/>
            <w:hideMark/>
          </w:tcPr>
          <w:p w14:paraId="1D686D0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129.6714</w:t>
            </w:r>
          </w:p>
        </w:tc>
        <w:tc>
          <w:tcPr>
            <w:tcW w:w="1030" w:type="pct"/>
            <w:shd w:val="clear" w:color="auto" w:fill="auto"/>
            <w:noWrap/>
            <w:vAlign w:val="center"/>
            <w:hideMark/>
          </w:tcPr>
          <w:p w14:paraId="4A2C727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137.5857</w:t>
            </w:r>
          </w:p>
        </w:tc>
        <w:tc>
          <w:tcPr>
            <w:tcW w:w="863" w:type="pct"/>
            <w:shd w:val="clear" w:color="auto" w:fill="auto"/>
            <w:noWrap/>
            <w:vAlign w:val="center"/>
            <w:hideMark/>
          </w:tcPr>
          <w:p w14:paraId="262F80B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140.3143</w:t>
            </w:r>
          </w:p>
        </w:tc>
      </w:tr>
      <w:tr w:rsidR="00063AC8" w:rsidRPr="00063AC8" w14:paraId="798F6E29" w14:textId="77777777" w:rsidTr="00063AC8">
        <w:trPr>
          <w:trHeight w:val="20"/>
          <w:jc w:val="center"/>
        </w:trPr>
        <w:tc>
          <w:tcPr>
            <w:tcW w:w="508" w:type="pct"/>
            <w:tcBorders>
              <w:right w:val="single" w:sz="4" w:space="0" w:color="auto"/>
            </w:tcBorders>
            <w:shd w:val="clear" w:color="auto" w:fill="auto"/>
            <w:vAlign w:val="center"/>
            <w:hideMark/>
          </w:tcPr>
          <w:p w14:paraId="25599A4A"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202006</w:t>
            </w:r>
          </w:p>
        </w:tc>
        <w:tc>
          <w:tcPr>
            <w:tcW w:w="669" w:type="pct"/>
            <w:tcBorders>
              <w:left w:val="single" w:sz="4" w:space="0" w:color="auto"/>
            </w:tcBorders>
            <w:shd w:val="clear" w:color="auto" w:fill="auto"/>
            <w:noWrap/>
            <w:vAlign w:val="center"/>
            <w:hideMark/>
          </w:tcPr>
          <w:p w14:paraId="7980DCB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133.5286</w:t>
            </w:r>
          </w:p>
        </w:tc>
        <w:tc>
          <w:tcPr>
            <w:tcW w:w="1156" w:type="pct"/>
            <w:shd w:val="clear" w:color="auto" w:fill="auto"/>
            <w:noWrap/>
            <w:vAlign w:val="center"/>
            <w:hideMark/>
          </w:tcPr>
          <w:p w14:paraId="5FA0AF39"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135.0428</w:t>
            </w:r>
          </w:p>
        </w:tc>
        <w:tc>
          <w:tcPr>
            <w:tcW w:w="774" w:type="pct"/>
            <w:shd w:val="clear" w:color="auto" w:fill="auto"/>
            <w:noWrap/>
            <w:vAlign w:val="center"/>
            <w:hideMark/>
          </w:tcPr>
          <w:p w14:paraId="326F0E0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130.1429</w:t>
            </w:r>
          </w:p>
        </w:tc>
        <w:tc>
          <w:tcPr>
            <w:tcW w:w="1030" w:type="pct"/>
            <w:shd w:val="clear" w:color="auto" w:fill="auto"/>
            <w:noWrap/>
            <w:vAlign w:val="center"/>
            <w:hideMark/>
          </w:tcPr>
          <w:p w14:paraId="6979E0BB"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137.5857</w:t>
            </w:r>
          </w:p>
        </w:tc>
        <w:tc>
          <w:tcPr>
            <w:tcW w:w="863" w:type="pct"/>
            <w:shd w:val="clear" w:color="auto" w:fill="auto"/>
            <w:noWrap/>
            <w:vAlign w:val="center"/>
            <w:hideMark/>
          </w:tcPr>
          <w:p w14:paraId="03AF5D0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140.6</w:t>
            </w:r>
          </w:p>
        </w:tc>
      </w:tr>
      <w:tr w:rsidR="00063AC8" w:rsidRPr="00063AC8" w14:paraId="28D34802" w14:textId="77777777" w:rsidTr="00063AC8">
        <w:trPr>
          <w:trHeight w:val="20"/>
          <w:jc w:val="center"/>
        </w:trPr>
        <w:tc>
          <w:tcPr>
            <w:tcW w:w="508" w:type="pct"/>
            <w:tcBorders>
              <w:right w:val="single" w:sz="4" w:space="0" w:color="auto"/>
            </w:tcBorders>
            <w:shd w:val="clear" w:color="auto" w:fill="auto"/>
            <w:vAlign w:val="center"/>
            <w:hideMark/>
          </w:tcPr>
          <w:p w14:paraId="0E821EB2"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202007</w:t>
            </w:r>
          </w:p>
        </w:tc>
        <w:tc>
          <w:tcPr>
            <w:tcW w:w="669" w:type="pct"/>
            <w:tcBorders>
              <w:left w:val="single" w:sz="4" w:space="0" w:color="auto"/>
            </w:tcBorders>
            <w:shd w:val="clear" w:color="auto" w:fill="auto"/>
            <w:noWrap/>
            <w:vAlign w:val="center"/>
            <w:hideMark/>
          </w:tcPr>
          <w:p w14:paraId="30E0599F"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134.0286</w:t>
            </w:r>
          </w:p>
        </w:tc>
        <w:tc>
          <w:tcPr>
            <w:tcW w:w="1156" w:type="pct"/>
            <w:shd w:val="clear" w:color="auto" w:fill="auto"/>
            <w:noWrap/>
            <w:vAlign w:val="center"/>
            <w:hideMark/>
          </w:tcPr>
          <w:p w14:paraId="29DB032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135.4</w:t>
            </w:r>
          </w:p>
        </w:tc>
        <w:tc>
          <w:tcPr>
            <w:tcW w:w="774" w:type="pct"/>
            <w:shd w:val="clear" w:color="auto" w:fill="auto"/>
            <w:noWrap/>
            <w:vAlign w:val="center"/>
            <w:hideMark/>
          </w:tcPr>
          <w:p w14:paraId="5213BEB6"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130.7857</w:t>
            </w:r>
          </w:p>
        </w:tc>
        <w:tc>
          <w:tcPr>
            <w:tcW w:w="1030" w:type="pct"/>
            <w:shd w:val="clear" w:color="auto" w:fill="auto"/>
            <w:noWrap/>
            <w:vAlign w:val="center"/>
            <w:hideMark/>
          </w:tcPr>
          <w:p w14:paraId="5A882F0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137.9143</w:t>
            </w:r>
          </w:p>
        </w:tc>
        <w:tc>
          <w:tcPr>
            <w:tcW w:w="863" w:type="pct"/>
            <w:shd w:val="clear" w:color="auto" w:fill="auto"/>
            <w:noWrap/>
            <w:vAlign w:val="center"/>
            <w:hideMark/>
          </w:tcPr>
          <w:p w14:paraId="3580CA0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141.0857</w:t>
            </w:r>
          </w:p>
        </w:tc>
      </w:tr>
      <w:tr w:rsidR="00063AC8" w:rsidRPr="00063AC8" w14:paraId="524CFAD4" w14:textId="77777777" w:rsidTr="00063AC8">
        <w:trPr>
          <w:trHeight w:val="20"/>
          <w:jc w:val="center"/>
        </w:trPr>
        <w:tc>
          <w:tcPr>
            <w:tcW w:w="508" w:type="pct"/>
            <w:tcBorders>
              <w:right w:val="single" w:sz="4" w:space="0" w:color="auto"/>
            </w:tcBorders>
            <w:shd w:val="clear" w:color="auto" w:fill="auto"/>
            <w:vAlign w:val="center"/>
            <w:hideMark/>
          </w:tcPr>
          <w:p w14:paraId="4C7E49EB"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202008</w:t>
            </w:r>
          </w:p>
        </w:tc>
        <w:tc>
          <w:tcPr>
            <w:tcW w:w="669" w:type="pct"/>
            <w:tcBorders>
              <w:left w:val="single" w:sz="4" w:space="0" w:color="auto"/>
            </w:tcBorders>
            <w:shd w:val="clear" w:color="auto" w:fill="auto"/>
            <w:noWrap/>
            <w:vAlign w:val="center"/>
            <w:hideMark/>
          </w:tcPr>
          <w:p w14:paraId="23E6AA5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134.6833</w:t>
            </w:r>
          </w:p>
        </w:tc>
        <w:tc>
          <w:tcPr>
            <w:tcW w:w="1156" w:type="pct"/>
            <w:shd w:val="clear" w:color="auto" w:fill="auto"/>
            <w:noWrap/>
            <w:vAlign w:val="center"/>
            <w:hideMark/>
          </w:tcPr>
          <w:p w14:paraId="6322A480"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135.8333</w:t>
            </w:r>
          </w:p>
        </w:tc>
        <w:tc>
          <w:tcPr>
            <w:tcW w:w="774" w:type="pct"/>
            <w:shd w:val="clear" w:color="auto" w:fill="auto"/>
            <w:noWrap/>
            <w:vAlign w:val="center"/>
            <w:hideMark/>
          </w:tcPr>
          <w:p w14:paraId="430D9FD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131.5333</w:t>
            </w:r>
          </w:p>
        </w:tc>
        <w:tc>
          <w:tcPr>
            <w:tcW w:w="1030" w:type="pct"/>
            <w:shd w:val="clear" w:color="auto" w:fill="auto"/>
            <w:noWrap/>
            <w:vAlign w:val="center"/>
            <w:hideMark/>
          </w:tcPr>
          <w:p w14:paraId="7CBAA13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138.85</w:t>
            </w:r>
          </w:p>
        </w:tc>
        <w:tc>
          <w:tcPr>
            <w:tcW w:w="863" w:type="pct"/>
            <w:shd w:val="clear" w:color="auto" w:fill="auto"/>
            <w:noWrap/>
            <w:vAlign w:val="center"/>
            <w:hideMark/>
          </w:tcPr>
          <w:p w14:paraId="1EC6F90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141.3833</w:t>
            </w:r>
          </w:p>
        </w:tc>
      </w:tr>
      <w:tr w:rsidR="00063AC8" w:rsidRPr="00063AC8" w14:paraId="06580E0D" w14:textId="77777777" w:rsidTr="00063AC8">
        <w:trPr>
          <w:trHeight w:val="20"/>
          <w:jc w:val="center"/>
        </w:trPr>
        <w:tc>
          <w:tcPr>
            <w:tcW w:w="508" w:type="pct"/>
            <w:tcBorders>
              <w:right w:val="single" w:sz="4" w:space="0" w:color="auto"/>
            </w:tcBorders>
            <w:shd w:val="clear" w:color="auto" w:fill="auto"/>
            <w:vAlign w:val="center"/>
            <w:hideMark/>
          </w:tcPr>
          <w:p w14:paraId="6E3F7D11"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202009</w:t>
            </w:r>
          </w:p>
        </w:tc>
        <w:tc>
          <w:tcPr>
            <w:tcW w:w="669" w:type="pct"/>
            <w:tcBorders>
              <w:left w:val="single" w:sz="4" w:space="0" w:color="auto"/>
            </w:tcBorders>
            <w:shd w:val="clear" w:color="auto" w:fill="auto"/>
            <w:noWrap/>
            <w:vAlign w:val="center"/>
            <w:hideMark/>
          </w:tcPr>
          <w:p w14:paraId="14ADDE2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135.34</w:t>
            </w:r>
          </w:p>
        </w:tc>
        <w:tc>
          <w:tcPr>
            <w:tcW w:w="1156" w:type="pct"/>
            <w:shd w:val="clear" w:color="auto" w:fill="auto"/>
            <w:noWrap/>
            <w:vAlign w:val="center"/>
            <w:hideMark/>
          </w:tcPr>
          <w:p w14:paraId="6D304413"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136.26</w:t>
            </w:r>
          </w:p>
        </w:tc>
        <w:tc>
          <w:tcPr>
            <w:tcW w:w="774" w:type="pct"/>
            <w:shd w:val="clear" w:color="auto" w:fill="auto"/>
            <w:noWrap/>
            <w:vAlign w:val="center"/>
            <w:hideMark/>
          </w:tcPr>
          <w:p w14:paraId="6FB078CC"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132.24</w:t>
            </w:r>
          </w:p>
        </w:tc>
        <w:tc>
          <w:tcPr>
            <w:tcW w:w="1030" w:type="pct"/>
            <w:shd w:val="clear" w:color="auto" w:fill="auto"/>
            <w:noWrap/>
            <w:vAlign w:val="center"/>
            <w:hideMark/>
          </w:tcPr>
          <w:p w14:paraId="6017198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139.3</w:t>
            </w:r>
          </w:p>
        </w:tc>
        <w:tc>
          <w:tcPr>
            <w:tcW w:w="863" w:type="pct"/>
            <w:shd w:val="clear" w:color="auto" w:fill="auto"/>
            <w:noWrap/>
            <w:vAlign w:val="center"/>
            <w:hideMark/>
          </w:tcPr>
          <w:p w14:paraId="713B2DC7"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142.46</w:t>
            </w:r>
          </w:p>
        </w:tc>
      </w:tr>
      <w:tr w:rsidR="00063AC8" w:rsidRPr="00063AC8" w14:paraId="4FFF7BDF" w14:textId="77777777" w:rsidTr="00063AC8">
        <w:trPr>
          <w:trHeight w:val="20"/>
          <w:jc w:val="center"/>
        </w:trPr>
        <w:tc>
          <w:tcPr>
            <w:tcW w:w="508" w:type="pct"/>
            <w:tcBorders>
              <w:bottom w:val="double" w:sz="4" w:space="0" w:color="auto"/>
              <w:right w:val="single" w:sz="4" w:space="0" w:color="auto"/>
            </w:tcBorders>
            <w:shd w:val="clear" w:color="auto" w:fill="auto"/>
            <w:vAlign w:val="center"/>
            <w:hideMark/>
          </w:tcPr>
          <w:p w14:paraId="7B1FCBC8" w14:textId="77777777" w:rsidR="00063AC8" w:rsidRPr="00063AC8"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202010</w:t>
            </w:r>
          </w:p>
        </w:tc>
        <w:tc>
          <w:tcPr>
            <w:tcW w:w="669" w:type="pct"/>
            <w:tcBorders>
              <w:left w:val="single" w:sz="4" w:space="0" w:color="auto"/>
            </w:tcBorders>
            <w:shd w:val="clear" w:color="auto" w:fill="auto"/>
            <w:noWrap/>
            <w:vAlign w:val="center"/>
            <w:hideMark/>
          </w:tcPr>
          <w:p w14:paraId="0DD9A74E"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135.8</w:t>
            </w:r>
          </w:p>
        </w:tc>
        <w:tc>
          <w:tcPr>
            <w:tcW w:w="1156" w:type="pct"/>
            <w:shd w:val="clear" w:color="auto" w:fill="auto"/>
            <w:noWrap/>
            <w:vAlign w:val="center"/>
            <w:hideMark/>
          </w:tcPr>
          <w:p w14:paraId="71F40152"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136.4</w:t>
            </w:r>
          </w:p>
        </w:tc>
        <w:tc>
          <w:tcPr>
            <w:tcW w:w="774" w:type="pct"/>
            <w:shd w:val="clear" w:color="auto" w:fill="auto"/>
            <w:noWrap/>
            <w:vAlign w:val="center"/>
            <w:hideMark/>
          </w:tcPr>
          <w:p w14:paraId="38E3AA84"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132.75</w:t>
            </w:r>
          </w:p>
        </w:tc>
        <w:tc>
          <w:tcPr>
            <w:tcW w:w="1030" w:type="pct"/>
            <w:shd w:val="clear" w:color="auto" w:fill="auto"/>
            <w:noWrap/>
            <w:vAlign w:val="center"/>
            <w:hideMark/>
          </w:tcPr>
          <w:p w14:paraId="11114A05"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139.75</w:t>
            </w:r>
          </w:p>
        </w:tc>
        <w:tc>
          <w:tcPr>
            <w:tcW w:w="863" w:type="pct"/>
            <w:shd w:val="clear" w:color="auto" w:fill="auto"/>
            <w:noWrap/>
            <w:vAlign w:val="center"/>
            <w:hideMark/>
          </w:tcPr>
          <w:p w14:paraId="5F5160E8" w14:textId="77777777" w:rsidR="00063AC8" w:rsidRPr="0038611F" w:rsidRDefault="00063AC8" w:rsidP="00063AC8">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143.025</w:t>
            </w:r>
          </w:p>
        </w:tc>
      </w:tr>
    </w:tbl>
    <w:p w14:paraId="174000D1" w14:textId="78E7CBBB" w:rsidR="00063AC8" w:rsidRDefault="00063AC8" w:rsidP="00063AC8">
      <w:pPr>
        <w:widowControl w:val="0"/>
        <w:autoSpaceDE w:val="0"/>
        <w:autoSpaceDN w:val="0"/>
        <w:adjustRightInd w:val="0"/>
        <w:spacing w:after="0" w:line="240" w:lineRule="auto"/>
        <w:rPr>
          <w:rFonts w:asciiTheme="majorHAnsi" w:hAnsiTheme="majorHAnsi" w:cstheme="majorHAnsi"/>
          <w:sz w:val="20"/>
          <w:szCs w:val="20"/>
        </w:rPr>
      </w:pPr>
    </w:p>
    <w:p w14:paraId="6F7FCB81" w14:textId="77777777" w:rsidR="00BF179D" w:rsidRPr="00063AC8" w:rsidRDefault="00BF179D" w:rsidP="00063AC8">
      <w:pPr>
        <w:widowControl w:val="0"/>
        <w:autoSpaceDE w:val="0"/>
        <w:autoSpaceDN w:val="0"/>
        <w:adjustRightInd w:val="0"/>
        <w:spacing w:after="0" w:line="240" w:lineRule="auto"/>
        <w:rPr>
          <w:rFonts w:asciiTheme="majorHAnsi" w:hAnsiTheme="majorHAnsi" w:cstheme="majorHAnsi"/>
          <w:sz w:val="20"/>
          <w:szCs w:val="20"/>
        </w:rPr>
      </w:pPr>
    </w:p>
    <w:p w14:paraId="0C5923AD" w14:textId="23A11135" w:rsidR="00BF179D" w:rsidRDefault="00BF179D" w:rsidP="00BF179D">
      <w:pPr>
        <w:rPr>
          <w:rFonts w:asciiTheme="majorHAnsi" w:eastAsiaTheme="majorEastAsia" w:hAnsiTheme="majorHAnsi" w:cstheme="majorHAnsi"/>
          <w:bCs/>
        </w:rPr>
      </w:pPr>
      <w:r w:rsidRPr="00063AC8">
        <w:rPr>
          <w:rFonts w:asciiTheme="majorHAnsi" w:eastAsiaTheme="majorEastAsia" w:hAnsiTheme="majorHAnsi" w:cstheme="majorHAnsi"/>
          <w:bCs/>
        </w:rPr>
        <w:t>Panel</w:t>
      </w:r>
      <w:r>
        <w:rPr>
          <w:rFonts w:asciiTheme="majorHAnsi" w:eastAsiaTheme="majorEastAsia" w:hAnsiTheme="majorHAnsi" w:cstheme="majorHAnsi"/>
          <w:bCs/>
        </w:rPr>
        <w:t>.B</w:t>
      </w:r>
      <w:r w:rsidRPr="00063AC8">
        <w:rPr>
          <w:rFonts w:asciiTheme="majorHAnsi" w:eastAsiaTheme="majorEastAsia" w:hAnsiTheme="majorHAnsi" w:cstheme="majorHAnsi"/>
          <w:bCs/>
        </w:rPr>
        <w:t xml:space="preserve"> </w:t>
      </w:r>
      <w:r>
        <w:rPr>
          <w:rFonts w:asciiTheme="majorHAnsi" w:eastAsiaTheme="majorEastAsia" w:hAnsiTheme="majorHAnsi" w:cstheme="majorHAnsi"/>
          <w:bCs/>
        </w:rPr>
        <w:t>Unit</w:t>
      </w:r>
      <w:r w:rsidRPr="00063AC8">
        <w:rPr>
          <w:rFonts w:asciiTheme="majorHAnsi" w:eastAsiaTheme="majorEastAsia" w:hAnsiTheme="majorHAnsi" w:cstheme="majorHAnsi"/>
          <w:bCs/>
        </w:rPr>
        <w:t xml:space="preserve"> Transactional Index</w:t>
      </w:r>
    </w:p>
    <w:tbl>
      <w:tblPr>
        <w:tblW w:w="5000" w:type="pct"/>
        <w:jc w:val="center"/>
        <w:tblBorders>
          <w:top w:val="double" w:sz="4" w:space="0" w:color="auto"/>
          <w:bottom w:val="double" w:sz="4" w:space="0" w:color="auto"/>
        </w:tblBorders>
        <w:tblCellMar>
          <w:left w:w="28" w:type="dxa"/>
          <w:right w:w="28" w:type="dxa"/>
        </w:tblCellMar>
        <w:tblLook w:val="04A0" w:firstRow="1" w:lastRow="0" w:firstColumn="1" w:lastColumn="0" w:noHBand="0" w:noVBand="1"/>
      </w:tblPr>
      <w:tblGrid>
        <w:gridCol w:w="979"/>
        <w:gridCol w:w="1290"/>
        <w:gridCol w:w="2228"/>
        <w:gridCol w:w="1492"/>
        <w:gridCol w:w="1985"/>
        <w:gridCol w:w="1664"/>
      </w:tblGrid>
      <w:tr w:rsidR="00BF179D" w:rsidRPr="00063AC8" w14:paraId="304AC089" w14:textId="77777777" w:rsidTr="00E6135C">
        <w:trPr>
          <w:trHeight w:val="20"/>
          <w:jc w:val="center"/>
        </w:trPr>
        <w:tc>
          <w:tcPr>
            <w:tcW w:w="508" w:type="pct"/>
            <w:tcBorders>
              <w:top w:val="double" w:sz="4" w:space="0" w:color="auto"/>
              <w:bottom w:val="single" w:sz="4" w:space="0" w:color="auto"/>
              <w:right w:val="single" w:sz="4" w:space="0" w:color="auto"/>
            </w:tcBorders>
            <w:shd w:val="clear" w:color="auto" w:fill="auto"/>
            <w:vAlign w:val="center"/>
            <w:hideMark/>
          </w:tcPr>
          <w:p w14:paraId="2CA57C30"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p>
        </w:tc>
        <w:tc>
          <w:tcPr>
            <w:tcW w:w="669" w:type="pct"/>
            <w:tcBorders>
              <w:top w:val="double" w:sz="4" w:space="0" w:color="auto"/>
              <w:left w:val="single" w:sz="4" w:space="0" w:color="auto"/>
              <w:bottom w:val="single" w:sz="4" w:space="0" w:color="auto"/>
            </w:tcBorders>
            <w:shd w:val="clear" w:color="auto" w:fill="auto"/>
            <w:vAlign w:val="center"/>
            <w:hideMark/>
          </w:tcPr>
          <w:p w14:paraId="639A05D1"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VIC</w:t>
            </w:r>
          </w:p>
        </w:tc>
        <w:tc>
          <w:tcPr>
            <w:tcW w:w="1156" w:type="pct"/>
            <w:tcBorders>
              <w:top w:val="double" w:sz="4" w:space="0" w:color="auto"/>
              <w:bottom w:val="single" w:sz="4" w:space="0" w:color="auto"/>
            </w:tcBorders>
            <w:shd w:val="clear" w:color="auto" w:fill="auto"/>
            <w:vAlign w:val="center"/>
            <w:hideMark/>
          </w:tcPr>
          <w:p w14:paraId="26DE0E99"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GreaterMelbourne</w:t>
            </w:r>
          </w:p>
        </w:tc>
        <w:tc>
          <w:tcPr>
            <w:tcW w:w="774" w:type="pct"/>
            <w:tcBorders>
              <w:top w:val="double" w:sz="4" w:space="0" w:color="auto"/>
              <w:bottom w:val="single" w:sz="4" w:space="0" w:color="auto"/>
            </w:tcBorders>
            <w:shd w:val="clear" w:color="auto" w:fill="auto"/>
            <w:vAlign w:val="center"/>
            <w:hideMark/>
          </w:tcPr>
          <w:p w14:paraId="2FE2DE19"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RegionalVIC</w:t>
            </w:r>
          </w:p>
        </w:tc>
        <w:tc>
          <w:tcPr>
            <w:tcW w:w="1030" w:type="pct"/>
            <w:tcBorders>
              <w:top w:val="double" w:sz="4" w:space="0" w:color="auto"/>
              <w:bottom w:val="single" w:sz="4" w:space="0" w:color="auto"/>
            </w:tcBorders>
            <w:shd w:val="clear" w:color="auto" w:fill="auto"/>
            <w:vAlign w:val="center"/>
            <w:hideMark/>
          </w:tcPr>
          <w:p w14:paraId="2D6F28BE"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GreaterGeelong</w:t>
            </w:r>
          </w:p>
        </w:tc>
        <w:tc>
          <w:tcPr>
            <w:tcW w:w="863" w:type="pct"/>
            <w:tcBorders>
              <w:top w:val="double" w:sz="4" w:space="0" w:color="auto"/>
              <w:bottom w:val="single" w:sz="4" w:space="0" w:color="auto"/>
            </w:tcBorders>
            <w:shd w:val="clear" w:color="auto" w:fill="auto"/>
            <w:vAlign w:val="center"/>
            <w:hideMark/>
          </w:tcPr>
          <w:p w14:paraId="1C7ADBB0"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FocalSuburbs</w:t>
            </w:r>
          </w:p>
        </w:tc>
      </w:tr>
      <w:tr w:rsidR="00BF179D" w:rsidRPr="00063AC8" w14:paraId="65CBC130" w14:textId="77777777" w:rsidTr="00C13A91">
        <w:trPr>
          <w:trHeight w:val="20"/>
          <w:jc w:val="center"/>
        </w:trPr>
        <w:tc>
          <w:tcPr>
            <w:tcW w:w="508" w:type="pct"/>
            <w:tcBorders>
              <w:top w:val="single" w:sz="4" w:space="0" w:color="auto"/>
              <w:right w:val="single" w:sz="4" w:space="0" w:color="auto"/>
            </w:tcBorders>
            <w:shd w:val="clear" w:color="auto" w:fill="auto"/>
            <w:vAlign w:val="center"/>
            <w:hideMark/>
          </w:tcPr>
          <w:p w14:paraId="3EC91A31"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201501</w:t>
            </w:r>
          </w:p>
        </w:tc>
        <w:tc>
          <w:tcPr>
            <w:tcW w:w="669" w:type="pct"/>
            <w:tcBorders>
              <w:top w:val="single" w:sz="4" w:space="0" w:color="auto"/>
              <w:left w:val="single" w:sz="4" w:space="0" w:color="auto"/>
            </w:tcBorders>
            <w:shd w:val="clear" w:color="auto" w:fill="auto"/>
            <w:noWrap/>
            <w:hideMark/>
          </w:tcPr>
          <w:p w14:paraId="43FE9C26" w14:textId="00F6CC9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c>
          <w:tcPr>
            <w:tcW w:w="1156" w:type="pct"/>
            <w:tcBorders>
              <w:top w:val="single" w:sz="4" w:space="0" w:color="auto"/>
            </w:tcBorders>
            <w:shd w:val="clear" w:color="auto" w:fill="auto"/>
            <w:noWrap/>
            <w:hideMark/>
          </w:tcPr>
          <w:p w14:paraId="19B9292F" w14:textId="474918B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c>
          <w:tcPr>
            <w:tcW w:w="774" w:type="pct"/>
            <w:tcBorders>
              <w:top w:val="single" w:sz="4" w:space="0" w:color="auto"/>
            </w:tcBorders>
            <w:shd w:val="clear" w:color="auto" w:fill="auto"/>
            <w:noWrap/>
            <w:hideMark/>
          </w:tcPr>
          <w:p w14:paraId="6F6DBF92" w14:textId="70A5770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c>
          <w:tcPr>
            <w:tcW w:w="1030" w:type="pct"/>
            <w:tcBorders>
              <w:top w:val="single" w:sz="4" w:space="0" w:color="auto"/>
            </w:tcBorders>
            <w:shd w:val="clear" w:color="auto" w:fill="auto"/>
            <w:noWrap/>
            <w:hideMark/>
          </w:tcPr>
          <w:p w14:paraId="605B3986" w14:textId="496665F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c>
          <w:tcPr>
            <w:tcW w:w="863" w:type="pct"/>
            <w:tcBorders>
              <w:top w:val="single" w:sz="4" w:space="0" w:color="auto"/>
            </w:tcBorders>
            <w:shd w:val="clear" w:color="auto" w:fill="auto"/>
            <w:noWrap/>
            <w:hideMark/>
          </w:tcPr>
          <w:p w14:paraId="26BAC2B1" w14:textId="18FEACE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r>
      <w:tr w:rsidR="00BF179D" w:rsidRPr="00063AC8" w14:paraId="4E963EF7" w14:textId="77777777" w:rsidTr="00C13A91">
        <w:trPr>
          <w:trHeight w:val="20"/>
          <w:jc w:val="center"/>
        </w:trPr>
        <w:tc>
          <w:tcPr>
            <w:tcW w:w="508" w:type="pct"/>
            <w:tcBorders>
              <w:right w:val="single" w:sz="4" w:space="0" w:color="auto"/>
            </w:tcBorders>
            <w:shd w:val="clear" w:color="auto" w:fill="auto"/>
            <w:vAlign w:val="center"/>
            <w:hideMark/>
          </w:tcPr>
          <w:p w14:paraId="54BF33D1"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201502</w:t>
            </w:r>
          </w:p>
        </w:tc>
        <w:tc>
          <w:tcPr>
            <w:tcW w:w="669" w:type="pct"/>
            <w:tcBorders>
              <w:left w:val="single" w:sz="4" w:space="0" w:color="auto"/>
            </w:tcBorders>
            <w:shd w:val="clear" w:color="auto" w:fill="auto"/>
            <w:noWrap/>
            <w:hideMark/>
          </w:tcPr>
          <w:p w14:paraId="4633A98C" w14:textId="605917D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104.014</w:t>
            </w:r>
          </w:p>
        </w:tc>
        <w:tc>
          <w:tcPr>
            <w:tcW w:w="1156" w:type="pct"/>
            <w:shd w:val="clear" w:color="auto" w:fill="auto"/>
            <w:noWrap/>
            <w:hideMark/>
          </w:tcPr>
          <w:p w14:paraId="46FC4AC8" w14:textId="4B10D25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104.446</w:t>
            </w:r>
          </w:p>
        </w:tc>
        <w:tc>
          <w:tcPr>
            <w:tcW w:w="774" w:type="pct"/>
            <w:shd w:val="clear" w:color="auto" w:fill="auto"/>
            <w:noWrap/>
            <w:hideMark/>
          </w:tcPr>
          <w:p w14:paraId="57CDBC36" w14:textId="44DAB3D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101.488</w:t>
            </w:r>
          </w:p>
        </w:tc>
        <w:tc>
          <w:tcPr>
            <w:tcW w:w="1030" w:type="pct"/>
            <w:shd w:val="clear" w:color="auto" w:fill="auto"/>
            <w:noWrap/>
            <w:hideMark/>
          </w:tcPr>
          <w:p w14:paraId="0ABA507E" w14:textId="4B33B4F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101.364</w:t>
            </w:r>
          </w:p>
        </w:tc>
        <w:tc>
          <w:tcPr>
            <w:tcW w:w="863" w:type="pct"/>
            <w:shd w:val="clear" w:color="auto" w:fill="auto"/>
            <w:noWrap/>
            <w:hideMark/>
          </w:tcPr>
          <w:p w14:paraId="28AEA254" w14:textId="7EDC779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102.8982</w:t>
            </w:r>
          </w:p>
        </w:tc>
      </w:tr>
      <w:tr w:rsidR="00BF179D" w:rsidRPr="00063AC8" w14:paraId="630886ED" w14:textId="77777777" w:rsidTr="00C13A91">
        <w:trPr>
          <w:trHeight w:val="20"/>
          <w:jc w:val="center"/>
        </w:trPr>
        <w:tc>
          <w:tcPr>
            <w:tcW w:w="508" w:type="pct"/>
            <w:tcBorders>
              <w:right w:val="single" w:sz="4" w:space="0" w:color="auto"/>
            </w:tcBorders>
            <w:shd w:val="clear" w:color="auto" w:fill="auto"/>
            <w:vAlign w:val="center"/>
            <w:hideMark/>
          </w:tcPr>
          <w:p w14:paraId="74FA6A6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201503</w:t>
            </w:r>
          </w:p>
        </w:tc>
        <w:tc>
          <w:tcPr>
            <w:tcW w:w="669" w:type="pct"/>
            <w:tcBorders>
              <w:left w:val="single" w:sz="4" w:space="0" w:color="auto"/>
            </w:tcBorders>
            <w:shd w:val="clear" w:color="auto" w:fill="auto"/>
            <w:noWrap/>
            <w:hideMark/>
          </w:tcPr>
          <w:p w14:paraId="45D03DF1" w14:textId="64E72AB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105.345</w:t>
            </w:r>
          </w:p>
        </w:tc>
        <w:tc>
          <w:tcPr>
            <w:tcW w:w="1156" w:type="pct"/>
            <w:shd w:val="clear" w:color="auto" w:fill="auto"/>
            <w:noWrap/>
            <w:hideMark/>
          </w:tcPr>
          <w:p w14:paraId="60E528A1" w14:textId="3249424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105.755</w:t>
            </w:r>
          </w:p>
        </w:tc>
        <w:tc>
          <w:tcPr>
            <w:tcW w:w="774" w:type="pct"/>
            <w:shd w:val="clear" w:color="auto" w:fill="auto"/>
            <w:noWrap/>
            <w:hideMark/>
          </w:tcPr>
          <w:p w14:paraId="52549FC6" w14:textId="4359DB6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102.7617</w:t>
            </w:r>
          </w:p>
        </w:tc>
        <w:tc>
          <w:tcPr>
            <w:tcW w:w="1030" w:type="pct"/>
            <w:shd w:val="clear" w:color="auto" w:fill="auto"/>
            <w:noWrap/>
            <w:hideMark/>
          </w:tcPr>
          <w:p w14:paraId="13824F5E" w14:textId="3B0C19C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104.4867</w:t>
            </w:r>
          </w:p>
        </w:tc>
        <w:tc>
          <w:tcPr>
            <w:tcW w:w="863" w:type="pct"/>
            <w:shd w:val="clear" w:color="auto" w:fill="auto"/>
            <w:noWrap/>
            <w:hideMark/>
          </w:tcPr>
          <w:p w14:paraId="092B73DC" w14:textId="2E9F1B6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102.4928</w:t>
            </w:r>
          </w:p>
        </w:tc>
      </w:tr>
      <w:tr w:rsidR="00BF179D" w:rsidRPr="00063AC8" w14:paraId="62FC8898" w14:textId="77777777" w:rsidTr="00C13A91">
        <w:trPr>
          <w:trHeight w:val="20"/>
          <w:jc w:val="center"/>
        </w:trPr>
        <w:tc>
          <w:tcPr>
            <w:tcW w:w="508" w:type="pct"/>
            <w:tcBorders>
              <w:right w:val="single" w:sz="4" w:space="0" w:color="auto"/>
            </w:tcBorders>
            <w:shd w:val="clear" w:color="auto" w:fill="auto"/>
            <w:vAlign w:val="center"/>
            <w:hideMark/>
          </w:tcPr>
          <w:p w14:paraId="592D214A"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201504</w:t>
            </w:r>
          </w:p>
        </w:tc>
        <w:tc>
          <w:tcPr>
            <w:tcW w:w="669" w:type="pct"/>
            <w:tcBorders>
              <w:left w:val="single" w:sz="4" w:space="0" w:color="auto"/>
            </w:tcBorders>
            <w:shd w:val="clear" w:color="auto" w:fill="auto"/>
            <w:noWrap/>
            <w:hideMark/>
          </w:tcPr>
          <w:p w14:paraId="33630301" w14:textId="37F8245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104.9671</w:t>
            </w:r>
          </w:p>
        </w:tc>
        <w:tc>
          <w:tcPr>
            <w:tcW w:w="1156" w:type="pct"/>
            <w:shd w:val="clear" w:color="auto" w:fill="auto"/>
            <w:noWrap/>
            <w:hideMark/>
          </w:tcPr>
          <w:p w14:paraId="7876FF26" w14:textId="30F7951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105.2771</w:t>
            </w:r>
          </w:p>
        </w:tc>
        <w:tc>
          <w:tcPr>
            <w:tcW w:w="774" w:type="pct"/>
            <w:shd w:val="clear" w:color="auto" w:fill="auto"/>
            <w:noWrap/>
            <w:hideMark/>
          </w:tcPr>
          <w:p w14:paraId="08274114" w14:textId="58B75F7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102.9329</w:t>
            </w:r>
          </w:p>
        </w:tc>
        <w:tc>
          <w:tcPr>
            <w:tcW w:w="1030" w:type="pct"/>
            <w:shd w:val="clear" w:color="auto" w:fill="auto"/>
            <w:noWrap/>
            <w:hideMark/>
          </w:tcPr>
          <w:p w14:paraId="64F861DF" w14:textId="65024DA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103.8597</w:t>
            </w:r>
          </w:p>
        </w:tc>
        <w:tc>
          <w:tcPr>
            <w:tcW w:w="863" w:type="pct"/>
            <w:shd w:val="clear" w:color="auto" w:fill="auto"/>
            <w:noWrap/>
            <w:hideMark/>
          </w:tcPr>
          <w:p w14:paraId="27CF9E66" w14:textId="0D51105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102.2033</w:t>
            </w:r>
          </w:p>
        </w:tc>
      </w:tr>
      <w:tr w:rsidR="00BF179D" w:rsidRPr="00063AC8" w14:paraId="5A2D1F3D" w14:textId="77777777" w:rsidTr="00C13A91">
        <w:trPr>
          <w:trHeight w:val="20"/>
          <w:jc w:val="center"/>
        </w:trPr>
        <w:tc>
          <w:tcPr>
            <w:tcW w:w="508" w:type="pct"/>
            <w:tcBorders>
              <w:right w:val="single" w:sz="4" w:space="0" w:color="auto"/>
            </w:tcBorders>
            <w:shd w:val="clear" w:color="auto" w:fill="auto"/>
            <w:vAlign w:val="center"/>
            <w:hideMark/>
          </w:tcPr>
          <w:p w14:paraId="0D110B62"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201505</w:t>
            </w:r>
          </w:p>
        </w:tc>
        <w:tc>
          <w:tcPr>
            <w:tcW w:w="669" w:type="pct"/>
            <w:tcBorders>
              <w:left w:val="single" w:sz="4" w:space="0" w:color="auto"/>
            </w:tcBorders>
            <w:shd w:val="clear" w:color="auto" w:fill="auto"/>
            <w:noWrap/>
            <w:hideMark/>
          </w:tcPr>
          <w:p w14:paraId="61EE721C" w14:textId="5CDCA6B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105.7543</w:t>
            </w:r>
          </w:p>
        </w:tc>
        <w:tc>
          <w:tcPr>
            <w:tcW w:w="1156" w:type="pct"/>
            <w:shd w:val="clear" w:color="auto" w:fill="auto"/>
            <w:noWrap/>
            <w:hideMark/>
          </w:tcPr>
          <w:p w14:paraId="139C8F44" w14:textId="1DC555A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106.0086</w:t>
            </w:r>
          </w:p>
        </w:tc>
        <w:tc>
          <w:tcPr>
            <w:tcW w:w="774" w:type="pct"/>
            <w:shd w:val="clear" w:color="auto" w:fill="auto"/>
            <w:noWrap/>
            <w:hideMark/>
          </w:tcPr>
          <w:p w14:paraId="7830D72D" w14:textId="7412009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103.9414</w:t>
            </w:r>
          </w:p>
        </w:tc>
        <w:tc>
          <w:tcPr>
            <w:tcW w:w="1030" w:type="pct"/>
            <w:shd w:val="clear" w:color="auto" w:fill="auto"/>
            <w:noWrap/>
            <w:hideMark/>
          </w:tcPr>
          <w:p w14:paraId="04BBD163" w14:textId="47CD59E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103.5297</w:t>
            </w:r>
          </w:p>
        </w:tc>
        <w:tc>
          <w:tcPr>
            <w:tcW w:w="863" w:type="pct"/>
            <w:shd w:val="clear" w:color="auto" w:fill="auto"/>
            <w:noWrap/>
            <w:hideMark/>
          </w:tcPr>
          <w:p w14:paraId="345C7624" w14:textId="4CB6460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102.2699</w:t>
            </w:r>
          </w:p>
        </w:tc>
      </w:tr>
      <w:tr w:rsidR="00BF179D" w:rsidRPr="00063AC8" w14:paraId="5E425280" w14:textId="77777777" w:rsidTr="00C13A91">
        <w:trPr>
          <w:trHeight w:val="20"/>
          <w:jc w:val="center"/>
        </w:trPr>
        <w:tc>
          <w:tcPr>
            <w:tcW w:w="508" w:type="pct"/>
            <w:tcBorders>
              <w:right w:val="single" w:sz="4" w:space="0" w:color="auto"/>
            </w:tcBorders>
            <w:shd w:val="clear" w:color="auto" w:fill="auto"/>
            <w:vAlign w:val="center"/>
            <w:hideMark/>
          </w:tcPr>
          <w:p w14:paraId="1014510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201506</w:t>
            </w:r>
          </w:p>
        </w:tc>
        <w:tc>
          <w:tcPr>
            <w:tcW w:w="669" w:type="pct"/>
            <w:tcBorders>
              <w:left w:val="single" w:sz="4" w:space="0" w:color="auto"/>
            </w:tcBorders>
            <w:shd w:val="clear" w:color="auto" w:fill="auto"/>
            <w:noWrap/>
            <w:hideMark/>
          </w:tcPr>
          <w:p w14:paraId="767592FE" w14:textId="26CF4C6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106.1929</w:t>
            </w:r>
          </w:p>
        </w:tc>
        <w:tc>
          <w:tcPr>
            <w:tcW w:w="1156" w:type="pct"/>
            <w:shd w:val="clear" w:color="auto" w:fill="auto"/>
            <w:noWrap/>
            <w:hideMark/>
          </w:tcPr>
          <w:p w14:paraId="17951A7B" w14:textId="75D7605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106.4771</w:t>
            </w:r>
          </w:p>
        </w:tc>
        <w:tc>
          <w:tcPr>
            <w:tcW w:w="774" w:type="pct"/>
            <w:shd w:val="clear" w:color="auto" w:fill="auto"/>
            <w:noWrap/>
            <w:hideMark/>
          </w:tcPr>
          <w:p w14:paraId="4E258C11" w14:textId="27BE60E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104.3971</w:t>
            </w:r>
          </w:p>
        </w:tc>
        <w:tc>
          <w:tcPr>
            <w:tcW w:w="1030" w:type="pct"/>
            <w:shd w:val="clear" w:color="auto" w:fill="auto"/>
            <w:noWrap/>
            <w:hideMark/>
          </w:tcPr>
          <w:p w14:paraId="117B4889" w14:textId="7C2BBBA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102.6526</w:t>
            </w:r>
          </w:p>
        </w:tc>
        <w:tc>
          <w:tcPr>
            <w:tcW w:w="863" w:type="pct"/>
            <w:shd w:val="clear" w:color="auto" w:fill="auto"/>
            <w:noWrap/>
            <w:hideMark/>
          </w:tcPr>
          <w:p w14:paraId="419A79E0" w14:textId="74F7970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102.3364</w:t>
            </w:r>
          </w:p>
        </w:tc>
      </w:tr>
      <w:tr w:rsidR="00BF179D" w:rsidRPr="00063AC8" w14:paraId="535E6E23" w14:textId="77777777" w:rsidTr="00C13A91">
        <w:trPr>
          <w:trHeight w:val="20"/>
          <w:jc w:val="center"/>
        </w:trPr>
        <w:tc>
          <w:tcPr>
            <w:tcW w:w="508" w:type="pct"/>
            <w:tcBorders>
              <w:right w:val="single" w:sz="4" w:space="0" w:color="auto"/>
            </w:tcBorders>
            <w:shd w:val="clear" w:color="auto" w:fill="auto"/>
            <w:vAlign w:val="center"/>
            <w:hideMark/>
          </w:tcPr>
          <w:p w14:paraId="3163E752"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201507</w:t>
            </w:r>
          </w:p>
        </w:tc>
        <w:tc>
          <w:tcPr>
            <w:tcW w:w="669" w:type="pct"/>
            <w:tcBorders>
              <w:left w:val="single" w:sz="4" w:space="0" w:color="auto"/>
            </w:tcBorders>
            <w:shd w:val="clear" w:color="auto" w:fill="auto"/>
            <w:noWrap/>
            <w:hideMark/>
          </w:tcPr>
          <w:p w14:paraId="60AE0110" w14:textId="7259642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106.0157</w:t>
            </w:r>
          </w:p>
        </w:tc>
        <w:tc>
          <w:tcPr>
            <w:tcW w:w="1156" w:type="pct"/>
            <w:shd w:val="clear" w:color="auto" w:fill="auto"/>
            <w:noWrap/>
            <w:hideMark/>
          </w:tcPr>
          <w:p w14:paraId="0E6BBF92" w14:textId="4AC63DF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106.2957</w:t>
            </w:r>
          </w:p>
        </w:tc>
        <w:tc>
          <w:tcPr>
            <w:tcW w:w="774" w:type="pct"/>
            <w:shd w:val="clear" w:color="auto" w:fill="auto"/>
            <w:noWrap/>
            <w:hideMark/>
          </w:tcPr>
          <w:p w14:paraId="56A10813" w14:textId="1B82D92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104.1529</w:t>
            </w:r>
          </w:p>
        </w:tc>
        <w:tc>
          <w:tcPr>
            <w:tcW w:w="1030" w:type="pct"/>
            <w:shd w:val="clear" w:color="auto" w:fill="auto"/>
            <w:noWrap/>
            <w:hideMark/>
          </w:tcPr>
          <w:p w14:paraId="7ABF980A" w14:textId="6A3F748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101.8883</w:t>
            </w:r>
          </w:p>
        </w:tc>
        <w:tc>
          <w:tcPr>
            <w:tcW w:w="863" w:type="pct"/>
            <w:shd w:val="clear" w:color="auto" w:fill="auto"/>
            <w:noWrap/>
            <w:hideMark/>
          </w:tcPr>
          <w:p w14:paraId="2338C15A" w14:textId="189F30C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100.6257</w:t>
            </w:r>
          </w:p>
        </w:tc>
      </w:tr>
      <w:tr w:rsidR="00BF179D" w:rsidRPr="00063AC8" w14:paraId="5DB4B612" w14:textId="77777777" w:rsidTr="00C13A91">
        <w:trPr>
          <w:trHeight w:val="20"/>
          <w:jc w:val="center"/>
        </w:trPr>
        <w:tc>
          <w:tcPr>
            <w:tcW w:w="508" w:type="pct"/>
            <w:tcBorders>
              <w:right w:val="single" w:sz="4" w:space="0" w:color="auto"/>
            </w:tcBorders>
            <w:shd w:val="clear" w:color="auto" w:fill="auto"/>
            <w:vAlign w:val="center"/>
            <w:hideMark/>
          </w:tcPr>
          <w:p w14:paraId="68B429C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201508</w:t>
            </w:r>
          </w:p>
        </w:tc>
        <w:tc>
          <w:tcPr>
            <w:tcW w:w="669" w:type="pct"/>
            <w:tcBorders>
              <w:left w:val="single" w:sz="4" w:space="0" w:color="auto"/>
            </w:tcBorders>
            <w:shd w:val="clear" w:color="auto" w:fill="auto"/>
            <w:noWrap/>
            <w:hideMark/>
          </w:tcPr>
          <w:p w14:paraId="62B2A050" w14:textId="6414F88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105.7471</w:t>
            </w:r>
          </w:p>
        </w:tc>
        <w:tc>
          <w:tcPr>
            <w:tcW w:w="1156" w:type="pct"/>
            <w:shd w:val="clear" w:color="auto" w:fill="auto"/>
            <w:noWrap/>
            <w:hideMark/>
          </w:tcPr>
          <w:p w14:paraId="79BCF6AC" w14:textId="11E312F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105.9486</w:t>
            </w:r>
          </w:p>
        </w:tc>
        <w:tc>
          <w:tcPr>
            <w:tcW w:w="774" w:type="pct"/>
            <w:shd w:val="clear" w:color="auto" w:fill="auto"/>
            <w:noWrap/>
            <w:hideMark/>
          </w:tcPr>
          <w:p w14:paraId="61502DFA" w14:textId="5369868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104.4729</w:t>
            </w:r>
          </w:p>
        </w:tc>
        <w:tc>
          <w:tcPr>
            <w:tcW w:w="1030" w:type="pct"/>
            <w:shd w:val="clear" w:color="auto" w:fill="auto"/>
            <w:noWrap/>
            <w:hideMark/>
          </w:tcPr>
          <w:p w14:paraId="5C00B5A5" w14:textId="1FC4B0E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103.2311</w:t>
            </w:r>
          </w:p>
        </w:tc>
        <w:tc>
          <w:tcPr>
            <w:tcW w:w="863" w:type="pct"/>
            <w:shd w:val="clear" w:color="auto" w:fill="auto"/>
            <w:noWrap/>
            <w:hideMark/>
          </w:tcPr>
          <w:p w14:paraId="22457560" w14:textId="0BA796E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99.19128</w:t>
            </w:r>
          </w:p>
        </w:tc>
      </w:tr>
      <w:tr w:rsidR="00BF179D" w:rsidRPr="00063AC8" w14:paraId="1B5BEEAC" w14:textId="77777777" w:rsidTr="00C13A91">
        <w:trPr>
          <w:trHeight w:val="20"/>
          <w:jc w:val="center"/>
        </w:trPr>
        <w:tc>
          <w:tcPr>
            <w:tcW w:w="508" w:type="pct"/>
            <w:tcBorders>
              <w:right w:val="single" w:sz="4" w:space="0" w:color="auto"/>
            </w:tcBorders>
            <w:shd w:val="clear" w:color="auto" w:fill="auto"/>
            <w:vAlign w:val="center"/>
            <w:hideMark/>
          </w:tcPr>
          <w:p w14:paraId="78B9B45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201509</w:t>
            </w:r>
          </w:p>
        </w:tc>
        <w:tc>
          <w:tcPr>
            <w:tcW w:w="669" w:type="pct"/>
            <w:tcBorders>
              <w:left w:val="single" w:sz="4" w:space="0" w:color="auto"/>
            </w:tcBorders>
            <w:shd w:val="clear" w:color="auto" w:fill="auto"/>
            <w:noWrap/>
            <w:hideMark/>
          </w:tcPr>
          <w:p w14:paraId="07486BB7" w14:textId="7CD0910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105.2671</w:t>
            </w:r>
          </w:p>
        </w:tc>
        <w:tc>
          <w:tcPr>
            <w:tcW w:w="1156" w:type="pct"/>
            <w:shd w:val="clear" w:color="auto" w:fill="auto"/>
            <w:noWrap/>
            <w:hideMark/>
          </w:tcPr>
          <w:p w14:paraId="0058F392" w14:textId="437B187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105.6329</w:t>
            </w:r>
          </w:p>
        </w:tc>
        <w:tc>
          <w:tcPr>
            <w:tcW w:w="774" w:type="pct"/>
            <w:shd w:val="clear" w:color="auto" w:fill="auto"/>
            <w:noWrap/>
            <w:hideMark/>
          </w:tcPr>
          <w:p w14:paraId="6F84E255" w14:textId="680E98C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103.5263</w:t>
            </w:r>
          </w:p>
        </w:tc>
        <w:tc>
          <w:tcPr>
            <w:tcW w:w="1030" w:type="pct"/>
            <w:shd w:val="clear" w:color="auto" w:fill="auto"/>
            <w:noWrap/>
            <w:hideMark/>
          </w:tcPr>
          <w:p w14:paraId="57EBBCDB" w14:textId="648849F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104.5297</w:t>
            </w:r>
          </w:p>
        </w:tc>
        <w:tc>
          <w:tcPr>
            <w:tcW w:w="863" w:type="pct"/>
            <w:shd w:val="clear" w:color="auto" w:fill="auto"/>
            <w:noWrap/>
            <w:hideMark/>
          </w:tcPr>
          <w:p w14:paraId="09B90E08" w14:textId="608536D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99.01329</w:t>
            </w:r>
          </w:p>
        </w:tc>
      </w:tr>
      <w:tr w:rsidR="00BF179D" w:rsidRPr="00063AC8" w14:paraId="36298285" w14:textId="77777777" w:rsidTr="00C13A91">
        <w:trPr>
          <w:trHeight w:val="20"/>
          <w:jc w:val="center"/>
        </w:trPr>
        <w:tc>
          <w:tcPr>
            <w:tcW w:w="508" w:type="pct"/>
            <w:tcBorders>
              <w:right w:val="single" w:sz="4" w:space="0" w:color="auto"/>
            </w:tcBorders>
            <w:shd w:val="clear" w:color="auto" w:fill="auto"/>
            <w:vAlign w:val="center"/>
            <w:hideMark/>
          </w:tcPr>
          <w:p w14:paraId="30E004F1"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201510</w:t>
            </w:r>
          </w:p>
        </w:tc>
        <w:tc>
          <w:tcPr>
            <w:tcW w:w="669" w:type="pct"/>
            <w:tcBorders>
              <w:left w:val="single" w:sz="4" w:space="0" w:color="auto"/>
            </w:tcBorders>
            <w:shd w:val="clear" w:color="auto" w:fill="auto"/>
            <w:noWrap/>
            <w:hideMark/>
          </w:tcPr>
          <w:p w14:paraId="1D2A5DD5" w14:textId="7169B44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103.7686</w:t>
            </w:r>
          </w:p>
        </w:tc>
        <w:tc>
          <w:tcPr>
            <w:tcW w:w="1156" w:type="pct"/>
            <w:shd w:val="clear" w:color="auto" w:fill="auto"/>
            <w:noWrap/>
            <w:hideMark/>
          </w:tcPr>
          <w:p w14:paraId="7D5E6468" w14:textId="41378CB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104.1714</w:t>
            </w:r>
          </w:p>
        </w:tc>
        <w:tc>
          <w:tcPr>
            <w:tcW w:w="774" w:type="pct"/>
            <w:shd w:val="clear" w:color="auto" w:fill="auto"/>
            <w:noWrap/>
            <w:hideMark/>
          </w:tcPr>
          <w:p w14:paraId="293ED42E" w14:textId="2B34DE6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102.1377</w:t>
            </w:r>
          </w:p>
        </w:tc>
        <w:tc>
          <w:tcPr>
            <w:tcW w:w="1030" w:type="pct"/>
            <w:shd w:val="clear" w:color="auto" w:fill="auto"/>
            <w:noWrap/>
            <w:hideMark/>
          </w:tcPr>
          <w:p w14:paraId="6A5EBFDA" w14:textId="4657E40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102.2369</w:t>
            </w:r>
          </w:p>
        </w:tc>
        <w:tc>
          <w:tcPr>
            <w:tcW w:w="863" w:type="pct"/>
            <w:shd w:val="clear" w:color="auto" w:fill="auto"/>
            <w:noWrap/>
            <w:hideMark/>
          </w:tcPr>
          <w:p w14:paraId="4FF2F18D" w14:textId="41C335A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96.90385</w:t>
            </w:r>
          </w:p>
        </w:tc>
      </w:tr>
      <w:tr w:rsidR="00BF179D" w:rsidRPr="00063AC8" w14:paraId="0BBA71FC" w14:textId="77777777" w:rsidTr="00C13A91">
        <w:trPr>
          <w:trHeight w:val="20"/>
          <w:jc w:val="center"/>
        </w:trPr>
        <w:tc>
          <w:tcPr>
            <w:tcW w:w="508" w:type="pct"/>
            <w:tcBorders>
              <w:right w:val="single" w:sz="4" w:space="0" w:color="auto"/>
            </w:tcBorders>
            <w:shd w:val="clear" w:color="auto" w:fill="auto"/>
            <w:vAlign w:val="center"/>
            <w:hideMark/>
          </w:tcPr>
          <w:p w14:paraId="7180E90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201511</w:t>
            </w:r>
          </w:p>
        </w:tc>
        <w:tc>
          <w:tcPr>
            <w:tcW w:w="669" w:type="pct"/>
            <w:tcBorders>
              <w:left w:val="single" w:sz="4" w:space="0" w:color="auto"/>
            </w:tcBorders>
            <w:shd w:val="clear" w:color="auto" w:fill="auto"/>
            <w:noWrap/>
            <w:hideMark/>
          </w:tcPr>
          <w:p w14:paraId="79799586" w14:textId="5285425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103.5214</w:t>
            </w:r>
          </w:p>
        </w:tc>
        <w:tc>
          <w:tcPr>
            <w:tcW w:w="1156" w:type="pct"/>
            <w:shd w:val="clear" w:color="auto" w:fill="auto"/>
            <w:noWrap/>
            <w:hideMark/>
          </w:tcPr>
          <w:p w14:paraId="486A34FC" w14:textId="1410B1F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103.9771</w:t>
            </w:r>
          </w:p>
        </w:tc>
        <w:tc>
          <w:tcPr>
            <w:tcW w:w="774" w:type="pct"/>
            <w:shd w:val="clear" w:color="auto" w:fill="auto"/>
            <w:noWrap/>
            <w:hideMark/>
          </w:tcPr>
          <w:p w14:paraId="2D7F7267" w14:textId="3127C1C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101.7434</w:t>
            </w:r>
          </w:p>
        </w:tc>
        <w:tc>
          <w:tcPr>
            <w:tcW w:w="1030" w:type="pct"/>
            <w:shd w:val="clear" w:color="auto" w:fill="auto"/>
            <w:noWrap/>
            <w:hideMark/>
          </w:tcPr>
          <w:p w14:paraId="0D549E81" w14:textId="377ECEB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102.4057</w:t>
            </w:r>
          </w:p>
        </w:tc>
        <w:tc>
          <w:tcPr>
            <w:tcW w:w="863" w:type="pct"/>
            <w:shd w:val="clear" w:color="auto" w:fill="auto"/>
            <w:noWrap/>
            <w:hideMark/>
          </w:tcPr>
          <w:p w14:paraId="0251807A" w14:textId="6406E33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95.66443</w:t>
            </w:r>
          </w:p>
        </w:tc>
      </w:tr>
      <w:tr w:rsidR="00BF179D" w:rsidRPr="00063AC8" w14:paraId="7F69CA26" w14:textId="77777777" w:rsidTr="00C13A91">
        <w:trPr>
          <w:trHeight w:val="20"/>
          <w:jc w:val="center"/>
        </w:trPr>
        <w:tc>
          <w:tcPr>
            <w:tcW w:w="508" w:type="pct"/>
            <w:tcBorders>
              <w:right w:val="single" w:sz="4" w:space="0" w:color="auto"/>
            </w:tcBorders>
            <w:shd w:val="clear" w:color="auto" w:fill="auto"/>
            <w:vAlign w:val="center"/>
            <w:hideMark/>
          </w:tcPr>
          <w:p w14:paraId="0AB383B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201512</w:t>
            </w:r>
          </w:p>
        </w:tc>
        <w:tc>
          <w:tcPr>
            <w:tcW w:w="669" w:type="pct"/>
            <w:tcBorders>
              <w:left w:val="single" w:sz="4" w:space="0" w:color="auto"/>
            </w:tcBorders>
            <w:shd w:val="clear" w:color="auto" w:fill="auto"/>
            <w:noWrap/>
            <w:hideMark/>
          </w:tcPr>
          <w:p w14:paraId="23D1435D" w14:textId="127ABAB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103.3314</w:t>
            </w:r>
          </w:p>
        </w:tc>
        <w:tc>
          <w:tcPr>
            <w:tcW w:w="1156" w:type="pct"/>
            <w:shd w:val="clear" w:color="auto" w:fill="auto"/>
            <w:noWrap/>
            <w:hideMark/>
          </w:tcPr>
          <w:p w14:paraId="2E121856" w14:textId="571D0FD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103.99</w:t>
            </w:r>
          </w:p>
        </w:tc>
        <w:tc>
          <w:tcPr>
            <w:tcW w:w="774" w:type="pct"/>
            <w:shd w:val="clear" w:color="auto" w:fill="auto"/>
            <w:noWrap/>
            <w:hideMark/>
          </w:tcPr>
          <w:p w14:paraId="073C6E1E" w14:textId="35DD4AE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100.8806</w:t>
            </w:r>
          </w:p>
        </w:tc>
        <w:tc>
          <w:tcPr>
            <w:tcW w:w="1030" w:type="pct"/>
            <w:shd w:val="clear" w:color="auto" w:fill="auto"/>
            <w:noWrap/>
            <w:hideMark/>
          </w:tcPr>
          <w:p w14:paraId="34592454" w14:textId="4550C24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104.6357</w:t>
            </w:r>
          </w:p>
        </w:tc>
        <w:tc>
          <w:tcPr>
            <w:tcW w:w="863" w:type="pct"/>
            <w:shd w:val="clear" w:color="auto" w:fill="auto"/>
            <w:noWrap/>
            <w:hideMark/>
          </w:tcPr>
          <w:p w14:paraId="5AD38387" w14:textId="58C723F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94.425</w:t>
            </w:r>
          </w:p>
        </w:tc>
      </w:tr>
      <w:tr w:rsidR="00BF179D" w:rsidRPr="00063AC8" w14:paraId="122F6FB2" w14:textId="77777777" w:rsidTr="00C13A91">
        <w:trPr>
          <w:trHeight w:val="20"/>
          <w:jc w:val="center"/>
        </w:trPr>
        <w:tc>
          <w:tcPr>
            <w:tcW w:w="508" w:type="pct"/>
            <w:tcBorders>
              <w:right w:val="single" w:sz="4" w:space="0" w:color="auto"/>
            </w:tcBorders>
            <w:shd w:val="clear" w:color="auto" w:fill="auto"/>
            <w:vAlign w:val="center"/>
            <w:hideMark/>
          </w:tcPr>
          <w:p w14:paraId="187D1A8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201601</w:t>
            </w:r>
          </w:p>
        </w:tc>
        <w:tc>
          <w:tcPr>
            <w:tcW w:w="669" w:type="pct"/>
            <w:tcBorders>
              <w:left w:val="single" w:sz="4" w:space="0" w:color="auto"/>
            </w:tcBorders>
            <w:shd w:val="clear" w:color="auto" w:fill="auto"/>
            <w:noWrap/>
            <w:hideMark/>
          </w:tcPr>
          <w:p w14:paraId="126F774D" w14:textId="4E7E020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103.2471</w:t>
            </w:r>
          </w:p>
        </w:tc>
        <w:tc>
          <w:tcPr>
            <w:tcW w:w="1156" w:type="pct"/>
            <w:shd w:val="clear" w:color="auto" w:fill="auto"/>
            <w:noWrap/>
            <w:hideMark/>
          </w:tcPr>
          <w:p w14:paraId="594078AC" w14:textId="243FF21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103.9543</w:t>
            </w:r>
          </w:p>
        </w:tc>
        <w:tc>
          <w:tcPr>
            <w:tcW w:w="774" w:type="pct"/>
            <w:shd w:val="clear" w:color="auto" w:fill="auto"/>
            <w:noWrap/>
            <w:hideMark/>
          </w:tcPr>
          <w:p w14:paraId="19624510" w14:textId="0F22332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100.6206</w:t>
            </w:r>
          </w:p>
        </w:tc>
        <w:tc>
          <w:tcPr>
            <w:tcW w:w="1030" w:type="pct"/>
            <w:shd w:val="clear" w:color="auto" w:fill="auto"/>
            <w:noWrap/>
            <w:hideMark/>
          </w:tcPr>
          <w:p w14:paraId="6A0043D6" w14:textId="69066DE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106.1257</w:t>
            </w:r>
          </w:p>
        </w:tc>
        <w:tc>
          <w:tcPr>
            <w:tcW w:w="863" w:type="pct"/>
            <w:shd w:val="clear" w:color="auto" w:fill="auto"/>
            <w:noWrap/>
            <w:hideMark/>
          </w:tcPr>
          <w:p w14:paraId="27375E75" w14:textId="0225C37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96.04414</w:t>
            </w:r>
          </w:p>
        </w:tc>
      </w:tr>
      <w:tr w:rsidR="00BF179D" w:rsidRPr="00063AC8" w14:paraId="53109920" w14:textId="77777777" w:rsidTr="00C13A91">
        <w:trPr>
          <w:trHeight w:val="20"/>
          <w:jc w:val="center"/>
        </w:trPr>
        <w:tc>
          <w:tcPr>
            <w:tcW w:w="508" w:type="pct"/>
            <w:tcBorders>
              <w:right w:val="single" w:sz="4" w:space="0" w:color="auto"/>
            </w:tcBorders>
            <w:shd w:val="clear" w:color="auto" w:fill="auto"/>
            <w:vAlign w:val="center"/>
            <w:hideMark/>
          </w:tcPr>
          <w:p w14:paraId="40DCB43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201602</w:t>
            </w:r>
          </w:p>
        </w:tc>
        <w:tc>
          <w:tcPr>
            <w:tcW w:w="669" w:type="pct"/>
            <w:tcBorders>
              <w:left w:val="single" w:sz="4" w:space="0" w:color="auto"/>
            </w:tcBorders>
            <w:shd w:val="clear" w:color="auto" w:fill="auto"/>
            <w:noWrap/>
            <w:hideMark/>
          </w:tcPr>
          <w:p w14:paraId="6DF97BF0" w14:textId="6E5EFEB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103.3629</w:t>
            </w:r>
          </w:p>
        </w:tc>
        <w:tc>
          <w:tcPr>
            <w:tcW w:w="1156" w:type="pct"/>
            <w:shd w:val="clear" w:color="auto" w:fill="auto"/>
            <w:noWrap/>
            <w:hideMark/>
          </w:tcPr>
          <w:p w14:paraId="1714929D" w14:textId="5028B48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104.0657</w:t>
            </w:r>
          </w:p>
        </w:tc>
        <w:tc>
          <w:tcPr>
            <w:tcW w:w="774" w:type="pct"/>
            <w:shd w:val="clear" w:color="auto" w:fill="auto"/>
            <w:noWrap/>
            <w:hideMark/>
          </w:tcPr>
          <w:p w14:paraId="0B493E38" w14:textId="120AE4D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100.9391</w:t>
            </w:r>
          </w:p>
        </w:tc>
        <w:tc>
          <w:tcPr>
            <w:tcW w:w="1030" w:type="pct"/>
            <w:shd w:val="clear" w:color="auto" w:fill="auto"/>
            <w:noWrap/>
            <w:hideMark/>
          </w:tcPr>
          <w:p w14:paraId="13E4B221" w14:textId="1FAF0B3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107.4886</w:t>
            </w:r>
          </w:p>
        </w:tc>
        <w:tc>
          <w:tcPr>
            <w:tcW w:w="863" w:type="pct"/>
            <w:shd w:val="clear" w:color="auto" w:fill="auto"/>
            <w:noWrap/>
            <w:hideMark/>
          </w:tcPr>
          <w:p w14:paraId="47924FEA" w14:textId="4E6A5E5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97.807</w:t>
            </w:r>
          </w:p>
        </w:tc>
      </w:tr>
      <w:tr w:rsidR="00BF179D" w:rsidRPr="00063AC8" w14:paraId="7FAA68EB" w14:textId="77777777" w:rsidTr="00C13A91">
        <w:trPr>
          <w:trHeight w:val="20"/>
          <w:jc w:val="center"/>
        </w:trPr>
        <w:tc>
          <w:tcPr>
            <w:tcW w:w="508" w:type="pct"/>
            <w:tcBorders>
              <w:right w:val="single" w:sz="4" w:space="0" w:color="auto"/>
            </w:tcBorders>
            <w:shd w:val="clear" w:color="auto" w:fill="auto"/>
            <w:vAlign w:val="center"/>
            <w:hideMark/>
          </w:tcPr>
          <w:p w14:paraId="3ECF47A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201603</w:t>
            </w:r>
          </w:p>
        </w:tc>
        <w:tc>
          <w:tcPr>
            <w:tcW w:w="669" w:type="pct"/>
            <w:tcBorders>
              <w:left w:val="single" w:sz="4" w:space="0" w:color="auto"/>
            </w:tcBorders>
            <w:shd w:val="clear" w:color="auto" w:fill="auto"/>
            <w:noWrap/>
            <w:hideMark/>
          </w:tcPr>
          <w:p w14:paraId="30FCA224" w14:textId="72BCEB6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103.51</w:t>
            </w:r>
          </w:p>
        </w:tc>
        <w:tc>
          <w:tcPr>
            <w:tcW w:w="1156" w:type="pct"/>
            <w:shd w:val="clear" w:color="auto" w:fill="auto"/>
            <w:noWrap/>
            <w:hideMark/>
          </w:tcPr>
          <w:p w14:paraId="66E51C10" w14:textId="372D6CC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104.2471</w:t>
            </w:r>
          </w:p>
        </w:tc>
        <w:tc>
          <w:tcPr>
            <w:tcW w:w="774" w:type="pct"/>
            <w:shd w:val="clear" w:color="auto" w:fill="auto"/>
            <w:noWrap/>
            <w:hideMark/>
          </w:tcPr>
          <w:p w14:paraId="7E727B9C" w14:textId="5E49E3E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100.9749</w:t>
            </w:r>
          </w:p>
        </w:tc>
        <w:tc>
          <w:tcPr>
            <w:tcW w:w="1030" w:type="pct"/>
            <w:shd w:val="clear" w:color="auto" w:fill="auto"/>
            <w:noWrap/>
            <w:hideMark/>
          </w:tcPr>
          <w:p w14:paraId="08FCFBCC" w14:textId="77F7424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105.6814</w:t>
            </w:r>
          </w:p>
        </w:tc>
        <w:tc>
          <w:tcPr>
            <w:tcW w:w="863" w:type="pct"/>
            <w:shd w:val="clear" w:color="auto" w:fill="auto"/>
            <w:noWrap/>
            <w:hideMark/>
          </w:tcPr>
          <w:p w14:paraId="6C5478C7" w14:textId="056FB8C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97.72143</w:t>
            </w:r>
          </w:p>
        </w:tc>
      </w:tr>
      <w:tr w:rsidR="00BF179D" w:rsidRPr="00063AC8" w14:paraId="168EAEBB" w14:textId="77777777" w:rsidTr="00C13A91">
        <w:trPr>
          <w:trHeight w:val="20"/>
          <w:jc w:val="center"/>
        </w:trPr>
        <w:tc>
          <w:tcPr>
            <w:tcW w:w="508" w:type="pct"/>
            <w:tcBorders>
              <w:right w:val="single" w:sz="4" w:space="0" w:color="auto"/>
            </w:tcBorders>
            <w:shd w:val="clear" w:color="auto" w:fill="auto"/>
            <w:vAlign w:val="center"/>
            <w:hideMark/>
          </w:tcPr>
          <w:p w14:paraId="4787FEA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201604</w:t>
            </w:r>
          </w:p>
        </w:tc>
        <w:tc>
          <w:tcPr>
            <w:tcW w:w="669" w:type="pct"/>
            <w:tcBorders>
              <w:left w:val="single" w:sz="4" w:space="0" w:color="auto"/>
            </w:tcBorders>
            <w:shd w:val="clear" w:color="auto" w:fill="auto"/>
            <w:noWrap/>
            <w:hideMark/>
          </w:tcPr>
          <w:p w14:paraId="4741FDB3" w14:textId="4425D34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103.288</w:t>
            </w:r>
          </w:p>
        </w:tc>
        <w:tc>
          <w:tcPr>
            <w:tcW w:w="1156" w:type="pct"/>
            <w:shd w:val="clear" w:color="auto" w:fill="auto"/>
            <w:noWrap/>
            <w:hideMark/>
          </w:tcPr>
          <w:p w14:paraId="49AEA779" w14:textId="512FC1E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103.9193</w:t>
            </w:r>
          </w:p>
        </w:tc>
        <w:tc>
          <w:tcPr>
            <w:tcW w:w="774" w:type="pct"/>
            <w:shd w:val="clear" w:color="auto" w:fill="auto"/>
            <w:noWrap/>
            <w:hideMark/>
          </w:tcPr>
          <w:p w14:paraId="4C5BB8EE" w14:textId="061927A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101.0879</w:t>
            </w:r>
          </w:p>
        </w:tc>
        <w:tc>
          <w:tcPr>
            <w:tcW w:w="1030" w:type="pct"/>
            <w:shd w:val="clear" w:color="auto" w:fill="auto"/>
            <w:noWrap/>
            <w:hideMark/>
          </w:tcPr>
          <w:p w14:paraId="75D2527B" w14:textId="6C64F43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105.0429</w:t>
            </w:r>
          </w:p>
        </w:tc>
        <w:tc>
          <w:tcPr>
            <w:tcW w:w="863" w:type="pct"/>
            <w:shd w:val="clear" w:color="auto" w:fill="auto"/>
            <w:noWrap/>
            <w:hideMark/>
          </w:tcPr>
          <w:p w14:paraId="20B33897" w14:textId="2D2F304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96.74429</w:t>
            </w:r>
          </w:p>
        </w:tc>
      </w:tr>
      <w:tr w:rsidR="00BF179D" w:rsidRPr="00063AC8" w14:paraId="6AEBE028" w14:textId="77777777" w:rsidTr="00C13A91">
        <w:trPr>
          <w:trHeight w:val="20"/>
          <w:jc w:val="center"/>
        </w:trPr>
        <w:tc>
          <w:tcPr>
            <w:tcW w:w="508" w:type="pct"/>
            <w:tcBorders>
              <w:right w:val="single" w:sz="4" w:space="0" w:color="auto"/>
            </w:tcBorders>
            <w:shd w:val="clear" w:color="auto" w:fill="auto"/>
            <w:vAlign w:val="center"/>
            <w:hideMark/>
          </w:tcPr>
          <w:p w14:paraId="7AD2066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201605</w:t>
            </w:r>
          </w:p>
        </w:tc>
        <w:tc>
          <w:tcPr>
            <w:tcW w:w="669" w:type="pct"/>
            <w:tcBorders>
              <w:left w:val="single" w:sz="4" w:space="0" w:color="auto"/>
            </w:tcBorders>
            <w:shd w:val="clear" w:color="auto" w:fill="auto"/>
            <w:noWrap/>
            <w:hideMark/>
          </w:tcPr>
          <w:p w14:paraId="664CD91C" w14:textId="3B323CC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103.5894</w:t>
            </w:r>
          </w:p>
        </w:tc>
        <w:tc>
          <w:tcPr>
            <w:tcW w:w="1156" w:type="pct"/>
            <w:shd w:val="clear" w:color="auto" w:fill="auto"/>
            <w:noWrap/>
            <w:hideMark/>
          </w:tcPr>
          <w:p w14:paraId="2D3207D3" w14:textId="1E6280E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104.1993</w:t>
            </w:r>
          </w:p>
        </w:tc>
        <w:tc>
          <w:tcPr>
            <w:tcW w:w="774" w:type="pct"/>
            <w:shd w:val="clear" w:color="auto" w:fill="auto"/>
            <w:noWrap/>
            <w:hideMark/>
          </w:tcPr>
          <w:p w14:paraId="7362FEC5" w14:textId="73C9E1B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101.4779</w:t>
            </w:r>
          </w:p>
        </w:tc>
        <w:tc>
          <w:tcPr>
            <w:tcW w:w="1030" w:type="pct"/>
            <w:shd w:val="clear" w:color="auto" w:fill="auto"/>
            <w:noWrap/>
            <w:hideMark/>
          </w:tcPr>
          <w:p w14:paraId="37D4B298" w14:textId="4DE7200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104.8557</w:t>
            </w:r>
          </w:p>
        </w:tc>
        <w:tc>
          <w:tcPr>
            <w:tcW w:w="863" w:type="pct"/>
            <w:shd w:val="clear" w:color="auto" w:fill="auto"/>
            <w:noWrap/>
            <w:hideMark/>
          </w:tcPr>
          <w:p w14:paraId="75D441C4" w14:textId="2A4AA77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99.47572</w:t>
            </w:r>
          </w:p>
        </w:tc>
      </w:tr>
      <w:tr w:rsidR="00BF179D" w:rsidRPr="00063AC8" w14:paraId="0C973CCB" w14:textId="77777777" w:rsidTr="00C13A91">
        <w:trPr>
          <w:trHeight w:val="20"/>
          <w:jc w:val="center"/>
        </w:trPr>
        <w:tc>
          <w:tcPr>
            <w:tcW w:w="508" w:type="pct"/>
            <w:tcBorders>
              <w:right w:val="single" w:sz="4" w:space="0" w:color="auto"/>
            </w:tcBorders>
            <w:shd w:val="clear" w:color="auto" w:fill="auto"/>
            <w:vAlign w:val="center"/>
            <w:hideMark/>
          </w:tcPr>
          <w:p w14:paraId="7603445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201606</w:t>
            </w:r>
          </w:p>
        </w:tc>
        <w:tc>
          <w:tcPr>
            <w:tcW w:w="669" w:type="pct"/>
            <w:tcBorders>
              <w:left w:val="single" w:sz="4" w:space="0" w:color="auto"/>
            </w:tcBorders>
            <w:shd w:val="clear" w:color="auto" w:fill="auto"/>
            <w:noWrap/>
            <w:hideMark/>
          </w:tcPr>
          <w:p w14:paraId="76625190" w14:textId="6307D59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104.0594</w:t>
            </w:r>
          </w:p>
        </w:tc>
        <w:tc>
          <w:tcPr>
            <w:tcW w:w="1156" w:type="pct"/>
            <w:shd w:val="clear" w:color="auto" w:fill="auto"/>
            <w:noWrap/>
            <w:hideMark/>
          </w:tcPr>
          <w:p w14:paraId="34E000EB" w14:textId="39E5763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104.6593</w:t>
            </w:r>
          </w:p>
        </w:tc>
        <w:tc>
          <w:tcPr>
            <w:tcW w:w="774" w:type="pct"/>
            <w:shd w:val="clear" w:color="auto" w:fill="auto"/>
            <w:noWrap/>
            <w:hideMark/>
          </w:tcPr>
          <w:p w14:paraId="108FF7BD" w14:textId="0C1420D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101.9493</w:t>
            </w:r>
          </w:p>
        </w:tc>
        <w:tc>
          <w:tcPr>
            <w:tcW w:w="1030" w:type="pct"/>
            <w:shd w:val="clear" w:color="auto" w:fill="auto"/>
            <w:noWrap/>
            <w:hideMark/>
          </w:tcPr>
          <w:p w14:paraId="7E1FC242" w14:textId="4C05C5A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104.1929</w:t>
            </w:r>
          </w:p>
        </w:tc>
        <w:tc>
          <w:tcPr>
            <w:tcW w:w="863" w:type="pct"/>
            <w:shd w:val="clear" w:color="auto" w:fill="auto"/>
            <w:noWrap/>
            <w:hideMark/>
          </w:tcPr>
          <w:p w14:paraId="236C4B73" w14:textId="5DC31F0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100.6817</w:t>
            </w:r>
          </w:p>
        </w:tc>
      </w:tr>
      <w:tr w:rsidR="00BF179D" w:rsidRPr="00063AC8" w14:paraId="74FE12D1" w14:textId="77777777" w:rsidTr="00C13A91">
        <w:trPr>
          <w:trHeight w:val="20"/>
          <w:jc w:val="center"/>
        </w:trPr>
        <w:tc>
          <w:tcPr>
            <w:tcW w:w="508" w:type="pct"/>
            <w:tcBorders>
              <w:right w:val="single" w:sz="4" w:space="0" w:color="auto"/>
            </w:tcBorders>
            <w:shd w:val="clear" w:color="auto" w:fill="auto"/>
            <w:vAlign w:val="center"/>
            <w:hideMark/>
          </w:tcPr>
          <w:p w14:paraId="2103EC3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201607</w:t>
            </w:r>
          </w:p>
        </w:tc>
        <w:tc>
          <w:tcPr>
            <w:tcW w:w="669" w:type="pct"/>
            <w:tcBorders>
              <w:left w:val="single" w:sz="4" w:space="0" w:color="auto"/>
            </w:tcBorders>
            <w:shd w:val="clear" w:color="auto" w:fill="auto"/>
            <w:noWrap/>
            <w:hideMark/>
          </w:tcPr>
          <w:p w14:paraId="2E8919B3" w14:textId="76E53CA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104.1366</w:t>
            </w:r>
          </w:p>
        </w:tc>
        <w:tc>
          <w:tcPr>
            <w:tcW w:w="1156" w:type="pct"/>
            <w:shd w:val="clear" w:color="auto" w:fill="auto"/>
            <w:noWrap/>
            <w:hideMark/>
          </w:tcPr>
          <w:p w14:paraId="5CABB234" w14:textId="6894BA4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104.605</w:t>
            </w:r>
          </w:p>
        </w:tc>
        <w:tc>
          <w:tcPr>
            <w:tcW w:w="774" w:type="pct"/>
            <w:shd w:val="clear" w:color="auto" w:fill="auto"/>
            <w:noWrap/>
            <w:hideMark/>
          </w:tcPr>
          <w:p w14:paraId="41E06E59" w14:textId="09E4226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102.4707</w:t>
            </w:r>
          </w:p>
        </w:tc>
        <w:tc>
          <w:tcPr>
            <w:tcW w:w="1030" w:type="pct"/>
            <w:shd w:val="clear" w:color="auto" w:fill="auto"/>
            <w:noWrap/>
            <w:hideMark/>
          </w:tcPr>
          <w:p w14:paraId="59F63707" w14:textId="3C7F06A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102.8271</w:t>
            </w:r>
          </w:p>
        </w:tc>
        <w:tc>
          <w:tcPr>
            <w:tcW w:w="863" w:type="pct"/>
            <w:shd w:val="clear" w:color="auto" w:fill="auto"/>
            <w:noWrap/>
            <w:hideMark/>
          </w:tcPr>
          <w:p w14:paraId="55A9FA8F" w14:textId="058F799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101.3031</w:t>
            </w:r>
          </w:p>
        </w:tc>
      </w:tr>
      <w:tr w:rsidR="00BF179D" w:rsidRPr="00063AC8" w14:paraId="1F77D1C7" w14:textId="77777777" w:rsidTr="00C13A91">
        <w:trPr>
          <w:trHeight w:val="20"/>
          <w:jc w:val="center"/>
        </w:trPr>
        <w:tc>
          <w:tcPr>
            <w:tcW w:w="508" w:type="pct"/>
            <w:tcBorders>
              <w:right w:val="single" w:sz="4" w:space="0" w:color="auto"/>
            </w:tcBorders>
            <w:shd w:val="clear" w:color="auto" w:fill="auto"/>
            <w:vAlign w:val="center"/>
            <w:hideMark/>
          </w:tcPr>
          <w:p w14:paraId="5224D815"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201608</w:t>
            </w:r>
          </w:p>
        </w:tc>
        <w:tc>
          <w:tcPr>
            <w:tcW w:w="669" w:type="pct"/>
            <w:tcBorders>
              <w:left w:val="single" w:sz="4" w:space="0" w:color="auto"/>
            </w:tcBorders>
            <w:shd w:val="clear" w:color="auto" w:fill="auto"/>
            <w:noWrap/>
            <w:hideMark/>
          </w:tcPr>
          <w:p w14:paraId="6A8276B7" w14:textId="4639D55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102.9023</w:t>
            </w:r>
          </w:p>
        </w:tc>
        <w:tc>
          <w:tcPr>
            <w:tcW w:w="1156" w:type="pct"/>
            <w:shd w:val="clear" w:color="auto" w:fill="auto"/>
            <w:noWrap/>
            <w:hideMark/>
          </w:tcPr>
          <w:p w14:paraId="2A11498F" w14:textId="2B73AF6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102.965</w:t>
            </w:r>
          </w:p>
        </w:tc>
        <w:tc>
          <w:tcPr>
            <w:tcW w:w="774" w:type="pct"/>
            <w:shd w:val="clear" w:color="auto" w:fill="auto"/>
            <w:noWrap/>
            <w:hideMark/>
          </w:tcPr>
          <w:p w14:paraId="743FCF2F" w14:textId="5A809C0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103.1979</w:t>
            </w:r>
          </w:p>
        </w:tc>
        <w:tc>
          <w:tcPr>
            <w:tcW w:w="1030" w:type="pct"/>
            <w:shd w:val="clear" w:color="auto" w:fill="auto"/>
            <w:noWrap/>
            <w:hideMark/>
          </w:tcPr>
          <w:p w14:paraId="4EFC2EEA" w14:textId="45D3F77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101.6643</w:t>
            </w:r>
          </w:p>
        </w:tc>
        <w:tc>
          <w:tcPr>
            <w:tcW w:w="863" w:type="pct"/>
            <w:shd w:val="clear" w:color="auto" w:fill="auto"/>
            <w:noWrap/>
            <w:hideMark/>
          </w:tcPr>
          <w:p w14:paraId="3BA0B621" w14:textId="0E866C8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99.15171</w:t>
            </w:r>
          </w:p>
        </w:tc>
      </w:tr>
      <w:tr w:rsidR="00BF179D" w:rsidRPr="00063AC8" w14:paraId="2F46F37B" w14:textId="77777777" w:rsidTr="00C13A91">
        <w:trPr>
          <w:trHeight w:val="20"/>
          <w:jc w:val="center"/>
        </w:trPr>
        <w:tc>
          <w:tcPr>
            <w:tcW w:w="508" w:type="pct"/>
            <w:tcBorders>
              <w:right w:val="single" w:sz="4" w:space="0" w:color="auto"/>
            </w:tcBorders>
            <w:shd w:val="clear" w:color="auto" w:fill="auto"/>
            <w:vAlign w:val="center"/>
            <w:hideMark/>
          </w:tcPr>
          <w:p w14:paraId="52B7853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201609</w:t>
            </w:r>
          </w:p>
        </w:tc>
        <w:tc>
          <w:tcPr>
            <w:tcW w:w="669" w:type="pct"/>
            <w:tcBorders>
              <w:left w:val="single" w:sz="4" w:space="0" w:color="auto"/>
            </w:tcBorders>
            <w:shd w:val="clear" w:color="auto" w:fill="auto"/>
            <w:noWrap/>
            <w:hideMark/>
          </w:tcPr>
          <w:p w14:paraId="657DE16C" w14:textId="1375793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102.7551</w:t>
            </w:r>
          </w:p>
        </w:tc>
        <w:tc>
          <w:tcPr>
            <w:tcW w:w="1156" w:type="pct"/>
            <w:shd w:val="clear" w:color="auto" w:fill="auto"/>
            <w:noWrap/>
            <w:hideMark/>
          </w:tcPr>
          <w:p w14:paraId="293DDBA8" w14:textId="3D4045F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102.755</w:t>
            </w:r>
          </w:p>
        </w:tc>
        <w:tc>
          <w:tcPr>
            <w:tcW w:w="774" w:type="pct"/>
            <w:shd w:val="clear" w:color="auto" w:fill="auto"/>
            <w:noWrap/>
            <w:hideMark/>
          </w:tcPr>
          <w:p w14:paraId="45207354" w14:textId="0772C3C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103.3221</w:t>
            </w:r>
          </w:p>
        </w:tc>
        <w:tc>
          <w:tcPr>
            <w:tcW w:w="1030" w:type="pct"/>
            <w:shd w:val="clear" w:color="auto" w:fill="auto"/>
            <w:noWrap/>
            <w:hideMark/>
          </w:tcPr>
          <w:p w14:paraId="08F5394E" w14:textId="5692A41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101.6586</w:t>
            </w:r>
          </w:p>
        </w:tc>
        <w:tc>
          <w:tcPr>
            <w:tcW w:w="863" w:type="pct"/>
            <w:shd w:val="clear" w:color="auto" w:fill="auto"/>
            <w:noWrap/>
            <w:hideMark/>
          </w:tcPr>
          <w:p w14:paraId="42A42C5E" w14:textId="6F515FF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99.70029</w:t>
            </w:r>
          </w:p>
        </w:tc>
      </w:tr>
      <w:tr w:rsidR="00BF179D" w:rsidRPr="00063AC8" w14:paraId="73342878" w14:textId="77777777" w:rsidTr="00C13A91">
        <w:trPr>
          <w:trHeight w:val="20"/>
          <w:jc w:val="center"/>
        </w:trPr>
        <w:tc>
          <w:tcPr>
            <w:tcW w:w="508" w:type="pct"/>
            <w:tcBorders>
              <w:right w:val="single" w:sz="4" w:space="0" w:color="auto"/>
            </w:tcBorders>
            <w:shd w:val="clear" w:color="auto" w:fill="auto"/>
            <w:vAlign w:val="center"/>
            <w:hideMark/>
          </w:tcPr>
          <w:p w14:paraId="4FF78DA6"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201610</w:t>
            </w:r>
          </w:p>
        </w:tc>
        <w:tc>
          <w:tcPr>
            <w:tcW w:w="669" w:type="pct"/>
            <w:tcBorders>
              <w:left w:val="single" w:sz="4" w:space="0" w:color="auto"/>
            </w:tcBorders>
            <w:shd w:val="clear" w:color="auto" w:fill="auto"/>
            <w:noWrap/>
            <w:hideMark/>
          </w:tcPr>
          <w:p w14:paraId="6701FC95" w14:textId="210B213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102.4666</w:t>
            </w:r>
          </w:p>
        </w:tc>
        <w:tc>
          <w:tcPr>
            <w:tcW w:w="1156" w:type="pct"/>
            <w:shd w:val="clear" w:color="auto" w:fill="auto"/>
            <w:noWrap/>
            <w:hideMark/>
          </w:tcPr>
          <w:p w14:paraId="5243D3D1" w14:textId="66A26BF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102.495</w:t>
            </w:r>
          </w:p>
        </w:tc>
        <w:tc>
          <w:tcPr>
            <w:tcW w:w="774" w:type="pct"/>
            <w:shd w:val="clear" w:color="auto" w:fill="auto"/>
            <w:noWrap/>
            <w:hideMark/>
          </w:tcPr>
          <w:p w14:paraId="0F21E427" w14:textId="593C8F7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103.0496</w:t>
            </w:r>
          </w:p>
        </w:tc>
        <w:tc>
          <w:tcPr>
            <w:tcW w:w="1030" w:type="pct"/>
            <w:shd w:val="clear" w:color="auto" w:fill="auto"/>
            <w:noWrap/>
            <w:hideMark/>
          </w:tcPr>
          <w:p w14:paraId="223A5CE0" w14:textId="13782A0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102.4957</w:t>
            </w:r>
          </w:p>
        </w:tc>
        <w:tc>
          <w:tcPr>
            <w:tcW w:w="863" w:type="pct"/>
            <w:shd w:val="clear" w:color="auto" w:fill="auto"/>
            <w:noWrap/>
            <w:hideMark/>
          </w:tcPr>
          <w:p w14:paraId="3409B366" w14:textId="5775D47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100.3946</w:t>
            </w:r>
          </w:p>
        </w:tc>
      </w:tr>
      <w:tr w:rsidR="00BF179D" w:rsidRPr="00063AC8" w14:paraId="3BE1B58F" w14:textId="77777777" w:rsidTr="00C13A91">
        <w:trPr>
          <w:trHeight w:val="20"/>
          <w:jc w:val="center"/>
        </w:trPr>
        <w:tc>
          <w:tcPr>
            <w:tcW w:w="508" w:type="pct"/>
            <w:tcBorders>
              <w:right w:val="single" w:sz="4" w:space="0" w:color="auto"/>
            </w:tcBorders>
            <w:shd w:val="clear" w:color="auto" w:fill="auto"/>
            <w:vAlign w:val="center"/>
            <w:hideMark/>
          </w:tcPr>
          <w:p w14:paraId="33016A52"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201611</w:t>
            </w:r>
          </w:p>
        </w:tc>
        <w:tc>
          <w:tcPr>
            <w:tcW w:w="669" w:type="pct"/>
            <w:tcBorders>
              <w:left w:val="single" w:sz="4" w:space="0" w:color="auto"/>
            </w:tcBorders>
            <w:shd w:val="clear" w:color="auto" w:fill="auto"/>
            <w:noWrap/>
            <w:hideMark/>
          </w:tcPr>
          <w:p w14:paraId="5858A6D3" w14:textId="4534062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103.1814</w:t>
            </w:r>
          </w:p>
        </w:tc>
        <w:tc>
          <w:tcPr>
            <w:tcW w:w="1156" w:type="pct"/>
            <w:shd w:val="clear" w:color="auto" w:fill="auto"/>
            <w:noWrap/>
            <w:hideMark/>
          </w:tcPr>
          <w:p w14:paraId="5C04E117" w14:textId="7A3263A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103.1929</w:t>
            </w:r>
          </w:p>
        </w:tc>
        <w:tc>
          <w:tcPr>
            <w:tcW w:w="774" w:type="pct"/>
            <w:shd w:val="clear" w:color="auto" w:fill="auto"/>
            <w:noWrap/>
            <w:hideMark/>
          </w:tcPr>
          <w:p w14:paraId="423C1389" w14:textId="300D5C0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103.7974</w:t>
            </w:r>
          </w:p>
        </w:tc>
        <w:tc>
          <w:tcPr>
            <w:tcW w:w="1030" w:type="pct"/>
            <w:shd w:val="clear" w:color="auto" w:fill="auto"/>
            <w:noWrap/>
            <w:hideMark/>
          </w:tcPr>
          <w:p w14:paraId="15C642FE" w14:textId="21606F0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102.7929</w:t>
            </w:r>
          </w:p>
        </w:tc>
        <w:tc>
          <w:tcPr>
            <w:tcW w:w="863" w:type="pct"/>
            <w:shd w:val="clear" w:color="auto" w:fill="auto"/>
            <w:noWrap/>
            <w:hideMark/>
          </w:tcPr>
          <w:p w14:paraId="7204C40A" w14:textId="3E9E9E1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102.336</w:t>
            </w:r>
          </w:p>
        </w:tc>
      </w:tr>
      <w:tr w:rsidR="00BF179D" w:rsidRPr="00063AC8" w14:paraId="4F850180" w14:textId="77777777" w:rsidTr="00C13A91">
        <w:trPr>
          <w:trHeight w:val="20"/>
          <w:jc w:val="center"/>
        </w:trPr>
        <w:tc>
          <w:tcPr>
            <w:tcW w:w="508" w:type="pct"/>
            <w:tcBorders>
              <w:right w:val="single" w:sz="4" w:space="0" w:color="auto"/>
            </w:tcBorders>
            <w:shd w:val="clear" w:color="auto" w:fill="auto"/>
            <w:vAlign w:val="center"/>
            <w:hideMark/>
          </w:tcPr>
          <w:p w14:paraId="5CFF079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201612</w:t>
            </w:r>
          </w:p>
        </w:tc>
        <w:tc>
          <w:tcPr>
            <w:tcW w:w="669" w:type="pct"/>
            <w:tcBorders>
              <w:left w:val="single" w:sz="4" w:space="0" w:color="auto"/>
            </w:tcBorders>
            <w:shd w:val="clear" w:color="auto" w:fill="auto"/>
            <w:noWrap/>
            <w:hideMark/>
          </w:tcPr>
          <w:p w14:paraId="3ED30120" w14:textId="69E694C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103.5671</w:t>
            </w:r>
          </w:p>
        </w:tc>
        <w:tc>
          <w:tcPr>
            <w:tcW w:w="1156" w:type="pct"/>
            <w:shd w:val="clear" w:color="auto" w:fill="auto"/>
            <w:noWrap/>
            <w:hideMark/>
          </w:tcPr>
          <w:p w14:paraId="3FDEF73A" w14:textId="3F0F4AE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103.6529</w:t>
            </w:r>
          </w:p>
        </w:tc>
        <w:tc>
          <w:tcPr>
            <w:tcW w:w="774" w:type="pct"/>
            <w:shd w:val="clear" w:color="auto" w:fill="auto"/>
            <w:noWrap/>
            <w:hideMark/>
          </w:tcPr>
          <w:p w14:paraId="67BF344D" w14:textId="293CCE0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104.0274</w:t>
            </w:r>
          </w:p>
        </w:tc>
        <w:tc>
          <w:tcPr>
            <w:tcW w:w="1030" w:type="pct"/>
            <w:shd w:val="clear" w:color="auto" w:fill="auto"/>
            <w:noWrap/>
            <w:hideMark/>
          </w:tcPr>
          <w:p w14:paraId="2D464BB6" w14:textId="4FE145C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103.1029</w:t>
            </w:r>
          </w:p>
        </w:tc>
        <w:tc>
          <w:tcPr>
            <w:tcW w:w="863" w:type="pct"/>
            <w:shd w:val="clear" w:color="auto" w:fill="auto"/>
            <w:noWrap/>
            <w:hideMark/>
          </w:tcPr>
          <w:p w14:paraId="7CD34182" w14:textId="346866E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102.9431</w:t>
            </w:r>
          </w:p>
        </w:tc>
      </w:tr>
      <w:tr w:rsidR="00BF179D" w:rsidRPr="00063AC8" w14:paraId="09BD2E1E" w14:textId="77777777" w:rsidTr="00C13A91">
        <w:trPr>
          <w:trHeight w:val="20"/>
          <w:jc w:val="center"/>
        </w:trPr>
        <w:tc>
          <w:tcPr>
            <w:tcW w:w="508" w:type="pct"/>
            <w:tcBorders>
              <w:right w:val="single" w:sz="4" w:space="0" w:color="auto"/>
            </w:tcBorders>
            <w:shd w:val="clear" w:color="auto" w:fill="auto"/>
            <w:vAlign w:val="center"/>
            <w:hideMark/>
          </w:tcPr>
          <w:p w14:paraId="3C976D48"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201701</w:t>
            </w:r>
          </w:p>
        </w:tc>
        <w:tc>
          <w:tcPr>
            <w:tcW w:w="669" w:type="pct"/>
            <w:tcBorders>
              <w:left w:val="single" w:sz="4" w:space="0" w:color="auto"/>
            </w:tcBorders>
            <w:shd w:val="clear" w:color="auto" w:fill="auto"/>
            <w:noWrap/>
            <w:hideMark/>
          </w:tcPr>
          <w:p w14:paraId="18483E92" w14:textId="4AC8286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104.0629</w:t>
            </w:r>
          </w:p>
        </w:tc>
        <w:tc>
          <w:tcPr>
            <w:tcW w:w="1156" w:type="pct"/>
            <w:shd w:val="clear" w:color="auto" w:fill="auto"/>
            <w:noWrap/>
            <w:hideMark/>
          </w:tcPr>
          <w:p w14:paraId="26953198" w14:textId="6FAB2F5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104.1171</w:t>
            </w:r>
          </w:p>
        </w:tc>
        <w:tc>
          <w:tcPr>
            <w:tcW w:w="774" w:type="pct"/>
            <w:shd w:val="clear" w:color="auto" w:fill="auto"/>
            <w:noWrap/>
            <w:hideMark/>
          </w:tcPr>
          <w:p w14:paraId="449C63CB" w14:textId="018DC51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104.7389</w:t>
            </w:r>
          </w:p>
        </w:tc>
        <w:tc>
          <w:tcPr>
            <w:tcW w:w="1030" w:type="pct"/>
            <w:shd w:val="clear" w:color="auto" w:fill="auto"/>
            <w:noWrap/>
            <w:hideMark/>
          </w:tcPr>
          <w:p w14:paraId="3EAD38D7" w14:textId="4182D73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106.6257</w:t>
            </w:r>
          </w:p>
        </w:tc>
        <w:tc>
          <w:tcPr>
            <w:tcW w:w="863" w:type="pct"/>
            <w:shd w:val="clear" w:color="auto" w:fill="auto"/>
            <w:noWrap/>
            <w:hideMark/>
          </w:tcPr>
          <w:p w14:paraId="166A5EA2" w14:textId="6904F2E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102.3</w:t>
            </w:r>
          </w:p>
        </w:tc>
      </w:tr>
      <w:tr w:rsidR="00BF179D" w:rsidRPr="00063AC8" w14:paraId="14B20A27" w14:textId="77777777" w:rsidTr="00C13A91">
        <w:trPr>
          <w:trHeight w:val="20"/>
          <w:jc w:val="center"/>
        </w:trPr>
        <w:tc>
          <w:tcPr>
            <w:tcW w:w="508" w:type="pct"/>
            <w:tcBorders>
              <w:right w:val="single" w:sz="4" w:space="0" w:color="auto"/>
            </w:tcBorders>
            <w:shd w:val="clear" w:color="auto" w:fill="auto"/>
            <w:vAlign w:val="center"/>
            <w:hideMark/>
          </w:tcPr>
          <w:p w14:paraId="399EF06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201702</w:t>
            </w:r>
          </w:p>
        </w:tc>
        <w:tc>
          <w:tcPr>
            <w:tcW w:w="669" w:type="pct"/>
            <w:tcBorders>
              <w:left w:val="single" w:sz="4" w:space="0" w:color="auto"/>
            </w:tcBorders>
            <w:shd w:val="clear" w:color="auto" w:fill="auto"/>
            <w:noWrap/>
            <w:hideMark/>
          </w:tcPr>
          <w:p w14:paraId="21790EB6" w14:textId="0D7EB5A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105.0171</w:t>
            </w:r>
          </w:p>
        </w:tc>
        <w:tc>
          <w:tcPr>
            <w:tcW w:w="1156" w:type="pct"/>
            <w:shd w:val="clear" w:color="auto" w:fill="auto"/>
            <w:noWrap/>
            <w:hideMark/>
          </w:tcPr>
          <w:p w14:paraId="3C36228D" w14:textId="6E8979E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105.1986</w:t>
            </w:r>
          </w:p>
        </w:tc>
        <w:tc>
          <w:tcPr>
            <w:tcW w:w="774" w:type="pct"/>
            <w:shd w:val="clear" w:color="auto" w:fill="auto"/>
            <w:noWrap/>
            <w:hideMark/>
          </w:tcPr>
          <w:p w14:paraId="03D84B2D" w14:textId="714F0AB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105.2303</w:t>
            </w:r>
          </w:p>
        </w:tc>
        <w:tc>
          <w:tcPr>
            <w:tcW w:w="1030" w:type="pct"/>
            <w:shd w:val="clear" w:color="auto" w:fill="auto"/>
            <w:noWrap/>
            <w:hideMark/>
          </w:tcPr>
          <w:p w14:paraId="1BC8A98F" w14:textId="5FA0188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107.3814</w:t>
            </w:r>
          </w:p>
        </w:tc>
        <w:tc>
          <w:tcPr>
            <w:tcW w:w="863" w:type="pct"/>
            <w:shd w:val="clear" w:color="auto" w:fill="auto"/>
            <w:noWrap/>
            <w:hideMark/>
          </w:tcPr>
          <w:p w14:paraId="7C1D8CDE" w14:textId="381010E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101.995</w:t>
            </w:r>
          </w:p>
        </w:tc>
      </w:tr>
      <w:tr w:rsidR="00BF179D" w:rsidRPr="00063AC8" w14:paraId="04227998" w14:textId="77777777" w:rsidTr="00C13A91">
        <w:trPr>
          <w:trHeight w:val="20"/>
          <w:jc w:val="center"/>
        </w:trPr>
        <w:tc>
          <w:tcPr>
            <w:tcW w:w="508" w:type="pct"/>
            <w:tcBorders>
              <w:right w:val="single" w:sz="4" w:space="0" w:color="auto"/>
            </w:tcBorders>
            <w:shd w:val="clear" w:color="auto" w:fill="auto"/>
            <w:vAlign w:val="center"/>
            <w:hideMark/>
          </w:tcPr>
          <w:p w14:paraId="0D3C240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201703</w:t>
            </w:r>
          </w:p>
        </w:tc>
        <w:tc>
          <w:tcPr>
            <w:tcW w:w="669" w:type="pct"/>
            <w:tcBorders>
              <w:left w:val="single" w:sz="4" w:space="0" w:color="auto"/>
            </w:tcBorders>
            <w:shd w:val="clear" w:color="auto" w:fill="auto"/>
            <w:noWrap/>
            <w:hideMark/>
          </w:tcPr>
          <w:p w14:paraId="573FF52A" w14:textId="7149661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107.4014</w:t>
            </w:r>
          </w:p>
        </w:tc>
        <w:tc>
          <w:tcPr>
            <w:tcW w:w="1156" w:type="pct"/>
            <w:shd w:val="clear" w:color="auto" w:fill="auto"/>
            <w:noWrap/>
            <w:hideMark/>
          </w:tcPr>
          <w:p w14:paraId="4BAD426B" w14:textId="13D8D44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107.8486</w:t>
            </w:r>
          </w:p>
        </w:tc>
        <w:tc>
          <w:tcPr>
            <w:tcW w:w="774" w:type="pct"/>
            <w:shd w:val="clear" w:color="auto" w:fill="auto"/>
            <w:noWrap/>
            <w:hideMark/>
          </w:tcPr>
          <w:p w14:paraId="50D9EDDE" w14:textId="5CC9037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106.3289</w:t>
            </w:r>
          </w:p>
        </w:tc>
        <w:tc>
          <w:tcPr>
            <w:tcW w:w="1030" w:type="pct"/>
            <w:shd w:val="clear" w:color="auto" w:fill="auto"/>
            <w:noWrap/>
            <w:hideMark/>
          </w:tcPr>
          <w:p w14:paraId="5387462C" w14:textId="1A4C3FD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109.7429</w:t>
            </w:r>
          </w:p>
        </w:tc>
        <w:tc>
          <w:tcPr>
            <w:tcW w:w="863" w:type="pct"/>
            <w:shd w:val="clear" w:color="auto" w:fill="auto"/>
            <w:noWrap/>
            <w:hideMark/>
          </w:tcPr>
          <w:p w14:paraId="079BEEBD" w14:textId="742A29B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101.3579</w:t>
            </w:r>
          </w:p>
        </w:tc>
      </w:tr>
      <w:tr w:rsidR="00BF179D" w:rsidRPr="00063AC8" w14:paraId="097E31E5" w14:textId="77777777" w:rsidTr="00C13A91">
        <w:trPr>
          <w:trHeight w:val="20"/>
          <w:jc w:val="center"/>
        </w:trPr>
        <w:tc>
          <w:tcPr>
            <w:tcW w:w="508" w:type="pct"/>
            <w:tcBorders>
              <w:right w:val="single" w:sz="4" w:space="0" w:color="auto"/>
            </w:tcBorders>
            <w:shd w:val="clear" w:color="auto" w:fill="auto"/>
            <w:vAlign w:val="center"/>
            <w:hideMark/>
          </w:tcPr>
          <w:p w14:paraId="399F60C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201704</w:t>
            </w:r>
          </w:p>
        </w:tc>
        <w:tc>
          <w:tcPr>
            <w:tcW w:w="669" w:type="pct"/>
            <w:tcBorders>
              <w:left w:val="single" w:sz="4" w:space="0" w:color="auto"/>
            </w:tcBorders>
            <w:shd w:val="clear" w:color="auto" w:fill="auto"/>
            <w:noWrap/>
            <w:hideMark/>
          </w:tcPr>
          <w:p w14:paraId="3250CB13" w14:textId="7F448C8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107.51</w:t>
            </w:r>
          </w:p>
        </w:tc>
        <w:tc>
          <w:tcPr>
            <w:tcW w:w="1156" w:type="pct"/>
            <w:shd w:val="clear" w:color="auto" w:fill="auto"/>
            <w:noWrap/>
            <w:hideMark/>
          </w:tcPr>
          <w:p w14:paraId="608B5963" w14:textId="734C2BE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107.8943</w:t>
            </w:r>
          </w:p>
        </w:tc>
        <w:tc>
          <w:tcPr>
            <w:tcW w:w="774" w:type="pct"/>
            <w:shd w:val="clear" w:color="auto" w:fill="auto"/>
            <w:noWrap/>
            <w:hideMark/>
          </w:tcPr>
          <w:p w14:paraId="5CF121BA" w14:textId="7A8BC0A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106.676</w:t>
            </w:r>
          </w:p>
        </w:tc>
        <w:tc>
          <w:tcPr>
            <w:tcW w:w="1030" w:type="pct"/>
            <w:shd w:val="clear" w:color="auto" w:fill="auto"/>
            <w:noWrap/>
            <w:hideMark/>
          </w:tcPr>
          <w:p w14:paraId="29A7B297" w14:textId="4DF8399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110.2971</w:t>
            </w:r>
          </w:p>
        </w:tc>
        <w:tc>
          <w:tcPr>
            <w:tcW w:w="863" w:type="pct"/>
            <w:shd w:val="clear" w:color="auto" w:fill="auto"/>
            <w:noWrap/>
            <w:hideMark/>
          </w:tcPr>
          <w:p w14:paraId="217B126A" w14:textId="4BBEFD7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99.40215</w:t>
            </w:r>
          </w:p>
        </w:tc>
      </w:tr>
      <w:tr w:rsidR="00BF179D" w:rsidRPr="00063AC8" w14:paraId="7ACCE191" w14:textId="77777777" w:rsidTr="00C13A91">
        <w:trPr>
          <w:trHeight w:val="20"/>
          <w:jc w:val="center"/>
        </w:trPr>
        <w:tc>
          <w:tcPr>
            <w:tcW w:w="508" w:type="pct"/>
            <w:tcBorders>
              <w:right w:val="single" w:sz="4" w:space="0" w:color="auto"/>
            </w:tcBorders>
            <w:shd w:val="clear" w:color="auto" w:fill="auto"/>
            <w:vAlign w:val="center"/>
            <w:hideMark/>
          </w:tcPr>
          <w:p w14:paraId="494CD94F"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201705</w:t>
            </w:r>
          </w:p>
        </w:tc>
        <w:tc>
          <w:tcPr>
            <w:tcW w:w="669" w:type="pct"/>
            <w:tcBorders>
              <w:left w:val="single" w:sz="4" w:space="0" w:color="auto"/>
            </w:tcBorders>
            <w:shd w:val="clear" w:color="auto" w:fill="auto"/>
            <w:noWrap/>
            <w:hideMark/>
          </w:tcPr>
          <w:p w14:paraId="2439919B" w14:textId="20AD042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108.1771</w:t>
            </w:r>
          </w:p>
        </w:tc>
        <w:tc>
          <w:tcPr>
            <w:tcW w:w="1156" w:type="pct"/>
            <w:shd w:val="clear" w:color="auto" w:fill="auto"/>
            <w:noWrap/>
            <w:hideMark/>
          </w:tcPr>
          <w:p w14:paraId="4F939BFC" w14:textId="6E813F8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108.42</w:t>
            </w:r>
          </w:p>
        </w:tc>
        <w:tc>
          <w:tcPr>
            <w:tcW w:w="774" w:type="pct"/>
            <w:shd w:val="clear" w:color="auto" w:fill="auto"/>
            <w:noWrap/>
            <w:hideMark/>
          </w:tcPr>
          <w:p w14:paraId="6CD3E09F" w14:textId="0962ED5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107.8229</w:t>
            </w:r>
          </w:p>
        </w:tc>
        <w:tc>
          <w:tcPr>
            <w:tcW w:w="1030" w:type="pct"/>
            <w:shd w:val="clear" w:color="auto" w:fill="auto"/>
            <w:noWrap/>
            <w:hideMark/>
          </w:tcPr>
          <w:p w14:paraId="175D17F2" w14:textId="6B56E48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111.3957</w:t>
            </w:r>
          </w:p>
        </w:tc>
        <w:tc>
          <w:tcPr>
            <w:tcW w:w="863" w:type="pct"/>
            <w:shd w:val="clear" w:color="auto" w:fill="auto"/>
            <w:noWrap/>
            <w:hideMark/>
          </w:tcPr>
          <w:p w14:paraId="696C4CD8" w14:textId="0F583AF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99.14357</w:t>
            </w:r>
          </w:p>
        </w:tc>
      </w:tr>
      <w:tr w:rsidR="00BF179D" w:rsidRPr="00063AC8" w14:paraId="1EFECB2F" w14:textId="77777777" w:rsidTr="00C13A91">
        <w:trPr>
          <w:trHeight w:val="20"/>
          <w:jc w:val="center"/>
        </w:trPr>
        <w:tc>
          <w:tcPr>
            <w:tcW w:w="508" w:type="pct"/>
            <w:tcBorders>
              <w:right w:val="single" w:sz="4" w:space="0" w:color="auto"/>
            </w:tcBorders>
            <w:shd w:val="clear" w:color="auto" w:fill="auto"/>
            <w:vAlign w:val="center"/>
            <w:hideMark/>
          </w:tcPr>
          <w:p w14:paraId="20F6757C"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201706</w:t>
            </w:r>
          </w:p>
        </w:tc>
        <w:tc>
          <w:tcPr>
            <w:tcW w:w="669" w:type="pct"/>
            <w:tcBorders>
              <w:left w:val="single" w:sz="4" w:space="0" w:color="auto"/>
            </w:tcBorders>
            <w:shd w:val="clear" w:color="auto" w:fill="auto"/>
            <w:noWrap/>
            <w:hideMark/>
          </w:tcPr>
          <w:p w14:paraId="2A05C8A0" w14:textId="5BD45B4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108.6914</w:t>
            </w:r>
          </w:p>
        </w:tc>
        <w:tc>
          <w:tcPr>
            <w:tcW w:w="1156" w:type="pct"/>
            <w:shd w:val="clear" w:color="auto" w:fill="auto"/>
            <w:noWrap/>
            <w:hideMark/>
          </w:tcPr>
          <w:p w14:paraId="3AEE6CE7" w14:textId="4ABABBF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109.0443</w:t>
            </w:r>
          </w:p>
        </w:tc>
        <w:tc>
          <w:tcPr>
            <w:tcW w:w="774" w:type="pct"/>
            <w:shd w:val="clear" w:color="auto" w:fill="auto"/>
            <w:noWrap/>
            <w:hideMark/>
          </w:tcPr>
          <w:p w14:paraId="67D4BE65" w14:textId="683CB07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108.0243</w:t>
            </w:r>
          </w:p>
        </w:tc>
        <w:tc>
          <w:tcPr>
            <w:tcW w:w="1030" w:type="pct"/>
            <w:shd w:val="clear" w:color="auto" w:fill="auto"/>
            <w:noWrap/>
            <w:hideMark/>
          </w:tcPr>
          <w:p w14:paraId="679918C8" w14:textId="10EF30E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112.4771</w:t>
            </w:r>
          </w:p>
        </w:tc>
        <w:tc>
          <w:tcPr>
            <w:tcW w:w="863" w:type="pct"/>
            <w:shd w:val="clear" w:color="auto" w:fill="auto"/>
            <w:noWrap/>
            <w:hideMark/>
          </w:tcPr>
          <w:p w14:paraId="7758A6AA" w14:textId="38465B0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98.89643</w:t>
            </w:r>
          </w:p>
        </w:tc>
      </w:tr>
      <w:tr w:rsidR="00BF179D" w:rsidRPr="00063AC8" w14:paraId="77570A96" w14:textId="77777777" w:rsidTr="00C13A91">
        <w:trPr>
          <w:trHeight w:val="20"/>
          <w:jc w:val="center"/>
        </w:trPr>
        <w:tc>
          <w:tcPr>
            <w:tcW w:w="508" w:type="pct"/>
            <w:tcBorders>
              <w:right w:val="single" w:sz="4" w:space="0" w:color="auto"/>
            </w:tcBorders>
            <w:shd w:val="clear" w:color="auto" w:fill="auto"/>
            <w:vAlign w:val="center"/>
            <w:hideMark/>
          </w:tcPr>
          <w:p w14:paraId="2FC594A1"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201707</w:t>
            </w:r>
          </w:p>
        </w:tc>
        <w:tc>
          <w:tcPr>
            <w:tcW w:w="669" w:type="pct"/>
            <w:tcBorders>
              <w:left w:val="single" w:sz="4" w:space="0" w:color="auto"/>
            </w:tcBorders>
            <w:shd w:val="clear" w:color="auto" w:fill="auto"/>
            <w:noWrap/>
            <w:hideMark/>
          </w:tcPr>
          <w:p w14:paraId="49E3B410" w14:textId="20B97FB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109.04</w:t>
            </w:r>
          </w:p>
        </w:tc>
        <w:tc>
          <w:tcPr>
            <w:tcW w:w="1156" w:type="pct"/>
            <w:shd w:val="clear" w:color="auto" w:fill="auto"/>
            <w:noWrap/>
            <w:hideMark/>
          </w:tcPr>
          <w:p w14:paraId="3F7F9FE8" w14:textId="75B7F03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109.3086</w:t>
            </w:r>
          </w:p>
        </w:tc>
        <w:tc>
          <w:tcPr>
            <w:tcW w:w="774" w:type="pct"/>
            <w:shd w:val="clear" w:color="auto" w:fill="auto"/>
            <w:noWrap/>
            <w:hideMark/>
          </w:tcPr>
          <w:p w14:paraId="1E2655CF" w14:textId="5B14E97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108.6414</w:t>
            </w:r>
          </w:p>
        </w:tc>
        <w:tc>
          <w:tcPr>
            <w:tcW w:w="1030" w:type="pct"/>
            <w:shd w:val="clear" w:color="auto" w:fill="auto"/>
            <w:noWrap/>
            <w:hideMark/>
          </w:tcPr>
          <w:p w14:paraId="3FB6A776" w14:textId="54309C8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113.49</w:t>
            </w:r>
          </w:p>
        </w:tc>
        <w:tc>
          <w:tcPr>
            <w:tcW w:w="863" w:type="pct"/>
            <w:shd w:val="clear" w:color="auto" w:fill="auto"/>
            <w:noWrap/>
            <w:hideMark/>
          </w:tcPr>
          <w:p w14:paraId="5D433BB9" w14:textId="6997369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100.215</w:t>
            </w:r>
          </w:p>
        </w:tc>
      </w:tr>
      <w:tr w:rsidR="00BF179D" w:rsidRPr="00063AC8" w14:paraId="5CB00DB3" w14:textId="77777777" w:rsidTr="00C13A91">
        <w:trPr>
          <w:trHeight w:val="20"/>
          <w:jc w:val="center"/>
        </w:trPr>
        <w:tc>
          <w:tcPr>
            <w:tcW w:w="508" w:type="pct"/>
            <w:tcBorders>
              <w:right w:val="single" w:sz="4" w:space="0" w:color="auto"/>
            </w:tcBorders>
            <w:shd w:val="clear" w:color="auto" w:fill="auto"/>
            <w:vAlign w:val="center"/>
            <w:hideMark/>
          </w:tcPr>
          <w:p w14:paraId="613E094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201708</w:t>
            </w:r>
          </w:p>
        </w:tc>
        <w:tc>
          <w:tcPr>
            <w:tcW w:w="669" w:type="pct"/>
            <w:tcBorders>
              <w:left w:val="single" w:sz="4" w:space="0" w:color="auto"/>
            </w:tcBorders>
            <w:shd w:val="clear" w:color="auto" w:fill="auto"/>
            <w:noWrap/>
            <w:hideMark/>
          </w:tcPr>
          <w:p w14:paraId="23F72BD5" w14:textId="729AE5E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109.0157</w:t>
            </w:r>
          </w:p>
        </w:tc>
        <w:tc>
          <w:tcPr>
            <w:tcW w:w="1156" w:type="pct"/>
            <w:shd w:val="clear" w:color="auto" w:fill="auto"/>
            <w:noWrap/>
            <w:hideMark/>
          </w:tcPr>
          <w:p w14:paraId="5C595CF3" w14:textId="6B0BC90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109.3671</w:t>
            </w:r>
          </w:p>
        </w:tc>
        <w:tc>
          <w:tcPr>
            <w:tcW w:w="774" w:type="pct"/>
            <w:shd w:val="clear" w:color="auto" w:fill="auto"/>
            <w:noWrap/>
            <w:hideMark/>
          </w:tcPr>
          <w:p w14:paraId="6B4FB68F" w14:textId="53E4278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108.3343</w:t>
            </w:r>
          </w:p>
        </w:tc>
        <w:tc>
          <w:tcPr>
            <w:tcW w:w="1030" w:type="pct"/>
            <w:shd w:val="clear" w:color="auto" w:fill="auto"/>
            <w:noWrap/>
            <w:hideMark/>
          </w:tcPr>
          <w:p w14:paraId="6C1B7572" w14:textId="2F47C51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112.5329</w:t>
            </w:r>
          </w:p>
        </w:tc>
        <w:tc>
          <w:tcPr>
            <w:tcW w:w="863" w:type="pct"/>
            <w:shd w:val="clear" w:color="auto" w:fill="auto"/>
            <w:noWrap/>
            <w:hideMark/>
          </w:tcPr>
          <w:p w14:paraId="74758D06" w14:textId="5A1C6CD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103.4679</w:t>
            </w:r>
          </w:p>
        </w:tc>
      </w:tr>
      <w:tr w:rsidR="00BF179D" w:rsidRPr="00063AC8" w14:paraId="79B354BF" w14:textId="77777777" w:rsidTr="00C13A91">
        <w:trPr>
          <w:trHeight w:val="20"/>
          <w:jc w:val="center"/>
        </w:trPr>
        <w:tc>
          <w:tcPr>
            <w:tcW w:w="508" w:type="pct"/>
            <w:tcBorders>
              <w:right w:val="single" w:sz="4" w:space="0" w:color="auto"/>
            </w:tcBorders>
            <w:shd w:val="clear" w:color="auto" w:fill="auto"/>
            <w:vAlign w:val="center"/>
            <w:hideMark/>
          </w:tcPr>
          <w:p w14:paraId="690A62D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201709</w:t>
            </w:r>
          </w:p>
        </w:tc>
        <w:tc>
          <w:tcPr>
            <w:tcW w:w="669" w:type="pct"/>
            <w:tcBorders>
              <w:left w:val="single" w:sz="4" w:space="0" w:color="auto"/>
            </w:tcBorders>
            <w:shd w:val="clear" w:color="auto" w:fill="auto"/>
            <w:noWrap/>
            <w:hideMark/>
          </w:tcPr>
          <w:p w14:paraId="4E7FCC7E" w14:textId="59F20CD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108.8043</w:t>
            </w:r>
          </w:p>
        </w:tc>
        <w:tc>
          <w:tcPr>
            <w:tcW w:w="1156" w:type="pct"/>
            <w:shd w:val="clear" w:color="auto" w:fill="auto"/>
            <w:noWrap/>
            <w:hideMark/>
          </w:tcPr>
          <w:p w14:paraId="17D4E28E" w14:textId="2203B9F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109.0957</w:t>
            </w:r>
          </w:p>
        </w:tc>
        <w:tc>
          <w:tcPr>
            <w:tcW w:w="774" w:type="pct"/>
            <w:shd w:val="clear" w:color="auto" w:fill="auto"/>
            <w:noWrap/>
            <w:hideMark/>
          </w:tcPr>
          <w:p w14:paraId="5D0420D3" w14:textId="4779469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108.3943</w:t>
            </w:r>
          </w:p>
        </w:tc>
        <w:tc>
          <w:tcPr>
            <w:tcW w:w="1030" w:type="pct"/>
            <w:shd w:val="clear" w:color="auto" w:fill="auto"/>
            <w:noWrap/>
            <w:hideMark/>
          </w:tcPr>
          <w:p w14:paraId="026C242F" w14:textId="322B879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114.1286</w:t>
            </w:r>
          </w:p>
        </w:tc>
        <w:tc>
          <w:tcPr>
            <w:tcW w:w="863" w:type="pct"/>
            <w:shd w:val="clear" w:color="auto" w:fill="auto"/>
            <w:noWrap/>
            <w:hideMark/>
          </w:tcPr>
          <w:p w14:paraId="09B4D746" w14:textId="54DD068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105.48</w:t>
            </w:r>
          </w:p>
        </w:tc>
      </w:tr>
      <w:tr w:rsidR="00BF179D" w:rsidRPr="00063AC8" w14:paraId="5A3920BA" w14:textId="77777777" w:rsidTr="00C13A91">
        <w:trPr>
          <w:trHeight w:val="20"/>
          <w:jc w:val="center"/>
        </w:trPr>
        <w:tc>
          <w:tcPr>
            <w:tcW w:w="508" w:type="pct"/>
            <w:tcBorders>
              <w:right w:val="single" w:sz="4" w:space="0" w:color="auto"/>
            </w:tcBorders>
            <w:shd w:val="clear" w:color="auto" w:fill="auto"/>
            <w:vAlign w:val="center"/>
            <w:hideMark/>
          </w:tcPr>
          <w:p w14:paraId="6FC71CAF"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201710</w:t>
            </w:r>
          </w:p>
        </w:tc>
        <w:tc>
          <w:tcPr>
            <w:tcW w:w="669" w:type="pct"/>
            <w:tcBorders>
              <w:left w:val="single" w:sz="4" w:space="0" w:color="auto"/>
            </w:tcBorders>
            <w:shd w:val="clear" w:color="auto" w:fill="auto"/>
            <w:noWrap/>
            <w:hideMark/>
          </w:tcPr>
          <w:p w14:paraId="44A4597D" w14:textId="26F1F77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107.7771</w:t>
            </w:r>
          </w:p>
        </w:tc>
        <w:tc>
          <w:tcPr>
            <w:tcW w:w="1156" w:type="pct"/>
            <w:shd w:val="clear" w:color="auto" w:fill="auto"/>
            <w:noWrap/>
            <w:hideMark/>
          </w:tcPr>
          <w:p w14:paraId="7009EA3F" w14:textId="1CABE48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107.97</w:t>
            </w:r>
          </w:p>
        </w:tc>
        <w:tc>
          <w:tcPr>
            <w:tcW w:w="774" w:type="pct"/>
            <w:shd w:val="clear" w:color="auto" w:fill="auto"/>
            <w:noWrap/>
            <w:hideMark/>
          </w:tcPr>
          <w:p w14:paraId="476C6AEC" w14:textId="5C0C242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107.7729</w:t>
            </w:r>
          </w:p>
        </w:tc>
        <w:tc>
          <w:tcPr>
            <w:tcW w:w="1030" w:type="pct"/>
            <w:shd w:val="clear" w:color="auto" w:fill="auto"/>
            <w:noWrap/>
            <w:hideMark/>
          </w:tcPr>
          <w:p w14:paraId="254EB947" w14:textId="49ABCE1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113.3</w:t>
            </w:r>
          </w:p>
        </w:tc>
        <w:tc>
          <w:tcPr>
            <w:tcW w:w="863" w:type="pct"/>
            <w:shd w:val="clear" w:color="auto" w:fill="auto"/>
            <w:noWrap/>
            <w:hideMark/>
          </w:tcPr>
          <w:p w14:paraId="58268E97" w14:textId="453882A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110.4829</w:t>
            </w:r>
          </w:p>
        </w:tc>
      </w:tr>
      <w:tr w:rsidR="00BF179D" w:rsidRPr="00063AC8" w14:paraId="7D78A7F4" w14:textId="77777777" w:rsidTr="00C13A91">
        <w:trPr>
          <w:trHeight w:val="20"/>
          <w:jc w:val="center"/>
        </w:trPr>
        <w:tc>
          <w:tcPr>
            <w:tcW w:w="508" w:type="pct"/>
            <w:tcBorders>
              <w:right w:val="single" w:sz="4" w:space="0" w:color="auto"/>
            </w:tcBorders>
            <w:shd w:val="clear" w:color="auto" w:fill="auto"/>
            <w:vAlign w:val="center"/>
            <w:hideMark/>
          </w:tcPr>
          <w:p w14:paraId="5CA972A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201711</w:t>
            </w:r>
          </w:p>
        </w:tc>
        <w:tc>
          <w:tcPr>
            <w:tcW w:w="669" w:type="pct"/>
            <w:tcBorders>
              <w:left w:val="single" w:sz="4" w:space="0" w:color="auto"/>
            </w:tcBorders>
            <w:shd w:val="clear" w:color="auto" w:fill="auto"/>
            <w:noWrap/>
            <w:hideMark/>
          </w:tcPr>
          <w:p w14:paraId="6BA0973B" w14:textId="0B42F86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108.0014</w:t>
            </w:r>
          </w:p>
        </w:tc>
        <w:tc>
          <w:tcPr>
            <w:tcW w:w="1156" w:type="pct"/>
            <w:shd w:val="clear" w:color="auto" w:fill="auto"/>
            <w:noWrap/>
            <w:hideMark/>
          </w:tcPr>
          <w:p w14:paraId="0AD6AA79" w14:textId="5D4EE4A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108.2257</w:t>
            </w:r>
          </w:p>
        </w:tc>
        <w:tc>
          <w:tcPr>
            <w:tcW w:w="774" w:type="pct"/>
            <w:shd w:val="clear" w:color="auto" w:fill="auto"/>
            <w:noWrap/>
            <w:hideMark/>
          </w:tcPr>
          <w:p w14:paraId="68569722" w14:textId="1883722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107.8686</w:t>
            </w:r>
          </w:p>
        </w:tc>
        <w:tc>
          <w:tcPr>
            <w:tcW w:w="1030" w:type="pct"/>
            <w:shd w:val="clear" w:color="auto" w:fill="auto"/>
            <w:noWrap/>
            <w:hideMark/>
          </w:tcPr>
          <w:p w14:paraId="5CF0CF83" w14:textId="03201A7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114.3714</w:t>
            </w:r>
          </w:p>
        </w:tc>
        <w:tc>
          <w:tcPr>
            <w:tcW w:w="863" w:type="pct"/>
            <w:shd w:val="clear" w:color="auto" w:fill="auto"/>
            <w:noWrap/>
            <w:hideMark/>
          </w:tcPr>
          <w:p w14:paraId="1D55BE77" w14:textId="145B55C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111.8457</w:t>
            </w:r>
          </w:p>
        </w:tc>
      </w:tr>
      <w:tr w:rsidR="00BF179D" w:rsidRPr="00063AC8" w14:paraId="36AD0D23" w14:textId="77777777" w:rsidTr="00C13A91">
        <w:trPr>
          <w:trHeight w:val="20"/>
          <w:jc w:val="center"/>
        </w:trPr>
        <w:tc>
          <w:tcPr>
            <w:tcW w:w="508" w:type="pct"/>
            <w:tcBorders>
              <w:right w:val="single" w:sz="4" w:space="0" w:color="auto"/>
            </w:tcBorders>
            <w:shd w:val="clear" w:color="auto" w:fill="auto"/>
            <w:vAlign w:val="center"/>
            <w:hideMark/>
          </w:tcPr>
          <w:p w14:paraId="18D03BD8"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201712</w:t>
            </w:r>
          </w:p>
        </w:tc>
        <w:tc>
          <w:tcPr>
            <w:tcW w:w="669" w:type="pct"/>
            <w:tcBorders>
              <w:left w:val="single" w:sz="4" w:space="0" w:color="auto"/>
            </w:tcBorders>
            <w:shd w:val="clear" w:color="auto" w:fill="auto"/>
            <w:noWrap/>
            <w:hideMark/>
          </w:tcPr>
          <w:p w14:paraId="07949F38" w14:textId="09A973E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108.03</w:t>
            </w:r>
          </w:p>
        </w:tc>
        <w:tc>
          <w:tcPr>
            <w:tcW w:w="1156" w:type="pct"/>
            <w:shd w:val="clear" w:color="auto" w:fill="auto"/>
            <w:noWrap/>
            <w:hideMark/>
          </w:tcPr>
          <w:p w14:paraId="6BACE156" w14:textId="7106ECD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108.3357</w:t>
            </w:r>
          </w:p>
        </w:tc>
        <w:tc>
          <w:tcPr>
            <w:tcW w:w="774" w:type="pct"/>
            <w:shd w:val="clear" w:color="auto" w:fill="auto"/>
            <w:noWrap/>
            <w:hideMark/>
          </w:tcPr>
          <w:p w14:paraId="624D90B5" w14:textId="4743E26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107.5671</w:t>
            </w:r>
          </w:p>
        </w:tc>
        <w:tc>
          <w:tcPr>
            <w:tcW w:w="1030" w:type="pct"/>
            <w:shd w:val="clear" w:color="auto" w:fill="auto"/>
            <w:noWrap/>
            <w:hideMark/>
          </w:tcPr>
          <w:p w14:paraId="54B56251" w14:textId="7D56172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114.9</w:t>
            </w:r>
          </w:p>
        </w:tc>
        <w:tc>
          <w:tcPr>
            <w:tcW w:w="863" w:type="pct"/>
            <w:shd w:val="clear" w:color="auto" w:fill="auto"/>
            <w:noWrap/>
            <w:hideMark/>
          </w:tcPr>
          <w:p w14:paraId="4D89B336" w14:textId="442D99D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113.2229</w:t>
            </w:r>
          </w:p>
        </w:tc>
      </w:tr>
      <w:tr w:rsidR="00BF179D" w:rsidRPr="00063AC8" w14:paraId="59A41536" w14:textId="77777777" w:rsidTr="00C13A91">
        <w:trPr>
          <w:trHeight w:val="20"/>
          <w:jc w:val="center"/>
        </w:trPr>
        <w:tc>
          <w:tcPr>
            <w:tcW w:w="508" w:type="pct"/>
            <w:tcBorders>
              <w:right w:val="single" w:sz="4" w:space="0" w:color="auto"/>
            </w:tcBorders>
            <w:shd w:val="clear" w:color="auto" w:fill="auto"/>
            <w:vAlign w:val="center"/>
            <w:hideMark/>
          </w:tcPr>
          <w:p w14:paraId="27DDCE7C"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lastRenderedPageBreak/>
              <w:t>201801</w:t>
            </w:r>
          </w:p>
        </w:tc>
        <w:tc>
          <w:tcPr>
            <w:tcW w:w="669" w:type="pct"/>
            <w:tcBorders>
              <w:left w:val="single" w:sz="4" w:space="0" w:color="auto"/>
            </w:tcBorders>
            <w:shd w:val="clear" w:color="auto" w:fill="auto"/>
            <w:noWrap/>
            <w:hideMark/>
          </w:tcPr>
          <w:p w14:paraId="03472B90" w14:textId="0FD3799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107.7129</w:t>
            </w:r>
          </w:p>
        </w:tc>
        <w:tc>
          <w:tcPr>
            <w:tcW w:w="1156" w:type="pct"/>
            <w:shd w:val="clear" w:color="auto" w:fill="auto"/>
            <w:noWrap/>
            <w:hideMark/>
          </w:tcPr>
          <w:p w14:paraId="5C5EF5D9" w14:textId="1764D6A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107.9457</w:t>
            </w:r>
          </w:p>
        </w:tc>
        <w:tc>
          <w:tcPr>
            <w:tcW w:w="774" w:type="pct"/>
            <w:shd w:val="clear" w:color="auto" w:fill="auto"/>
            <w:noWrap/>
            <w:hideMark/>
          </w:tcPr>
          <w:p w14:paraId="420A6B10" w14:textId="37BC183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107.4014</w:t>
            </w:r>
          </w:p>
        </w:tc>
        <w:tc>
          <w:tcPr>
            <w:tcW w:w="1030" w:type="pct"/>
            <w:shd w:val="clear" w:color="auto" w:fill="auto"/>
            <w:noWrap/>
            <w:hideMark/>
          </w:tcPr>
          <w:p w14:paraId="24BA1E81" w14:textId="1D474A3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116.0571</w:t>
            </w:r>
          </w:p>
        </w:tc>
        <w:tc>
          <w:tcPr>
            <w:tcW w:w="863" w:type="pct"/>
            <w:shd w:val="clear" w:color="auto" w:fill="auto"/>
            <w:noWrap/>
            <w:hideMark/>
          </w:tcPr>
          <w:p w14:paraId="1330FE9A" w14:textId="5EB9C81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117.4314</w:t>
            </w:r>
          </w:p>
        </w:tc>
      </w:tr>
      <w:tr w:rsidR="00BF179D" w:rsidRPr="00063AC8" w14:paraId="54E7DB44" w14:textId="77777777" w:rsidTr="00C13A91">
        <w:trPr>
          <w:trHeight w:val="20"/>
          <w:jc w:val="center"/>
        </w:trPr>
        <w:tc>
          <w:tcPr>
            <w:tcW w:w="508" w:type="pct"/>
            <w:tcBorders>
              <w:right w:val="single" w:sz="4" w:space="0" w:color="auto"/>
            </w:tcBorders>
            <w:shd w:val="clear" w:color="auto" w:fill="auto"/>
            <w:vAlign w:val="center"/>
            <w:hideMark/>
          </w:tcPr>
          <w:p w14:paraId="06CEAC76"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201802</w:t>
            </w:r>
          </w:p>
        </w:tc>
        <w:tc>
          <w:tcPr>
            <w:tcW w:w="669" w:type="pct"/>
            <w:tcBorders>
              <w:left w:val="single" w:sz="4" w:space="0" w:color="auto"/>
            </w:tcBorders>
            <w:shd w:val="clear" w:color="auto" w:fill="auto"/>
            <w:noWrap/>
            <w:hideMark/>
          </w:tcPr>
          <w:p w14:paraId="41BAD74D" w14:textId="2EE777D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107.1929</w:t>
            </w:r>
          </w:p>
        </w:tc>
        <w:tc>
          <w:tcPr>
            <w:tcW w:w="1156" w:type="pct"/>
            <w:shd w:val="clear" w:color="auto" w:fill="auto"/>
            <w:noWrap/>
            <w:hideMark/>
          </w:tcPr>
          <w:p w14:paraId="37E273CC" w14:textId="3D70F97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107.3571</w:t>
            </w:r>
          </w:p>
        </w:tc>
        <w:tc>
          <w:tcPr>
            <w:tcW w:w="774" w:type="pct"/>
            <w:shd w:val="clear" w:color="auto" w:fill="auto"/>
            <w:noWrap/>
            <w:hideMark/>
          </w:tcPr>
          <w:p w14:paraId="05813640" w14:textId="09825A9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107.1286</w:t>
            </w:r>
          </w:p>
        </w:tc>
        <w:tc>
          <w:tcPr>
            <w:tcW w:w="1030" w:type="pct"/>
            <w:shd w:val="clear" w:color="auto" w:fill="auto"/>
            <w:noWrap/>
            <w:hideMark/>
          </w:tcPr>
          <w:p w14:paraId="490AE042" w14:textId="379DEAF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117.2286</w:t>
            </w:r>
          </w:p>
        </w:tc>
        <w:tc>
          <w:tcPr>
            <w:tcW w:w="863" w:type="pct"/>
            <w:shd w:val="clear" w:color="auto" w:fill="auto"/>
            <w:noWrap/>
            <w:hideMark/>
          </w:tcPr>
          <w:p w14:paraId="414A27DB" w14:textId="4C989D3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116.2329</w:t>
            </w:r>
          </w:p>
        </w:tc>
      </w:tr>
      <w:tr w:rsidR="00BF179D" w:rsidRPr="00063AC8" w14:paraId="741C05A4" w14:textId="77777777" w:rsidTr="00C13A91">
        <w:trPr>
          <w:trHeight w:val="20"/>
          <w:jc w:val="center"/>
        </w:trPr>
        <w:tc>
          <w:tcPr>
            <w:tcW w:w="508" w:type="pct"/>
            <w:tcBorders>
              <w:right w:val="single" w:sz="4" w:space="0" w:color="auto"/>
            </w:tcBorders>
            <w:shd w:val="clear" w:color="auto" w:fill="auto"/>
            <w:vAlign w:val="center"/>
            <w:hideMark/>
          </w:tcPr>
          <w:p w14:paraId="5DD3B052"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201803</w:t>
            </w:r>
          </w:p>
        </w:tc>
        <w:tc>
          <w:tcPr>
            <w:tcW w:w="669" w:type="pct"/>
            <w:tcBorders>
              <w:left w:val="single" w:sz="4" w:space="0" w:color="auto"/>
            </w:tcBorders>
            <w:shd w:val="clear" w:color="auto" w:fill="auto"/>
            <w:noWrap/>
            <w:hideMark/>
          </w:tcPr>
          <w:p w14:paraId="1D2013DB" w14:textId="0CAD1CE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106.7543</w:t>
            </w:r>
          </w:p>
        </w:tc>
        <w:tc>
          <w:tcPr>
            <w:tcW w:w="1156" w:type="pct"/>
            <w:shd w:val="clear" w:color="auto" w:fill="auto"/>
            <w:noWrap/>
            <w:hideMark/>
          </w:tcPr>
          <w:p w14:paraId="72A678C5" w14:textId="0FB6A88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106.8686</w:t>
            </w:r>
          </w:p>
        </w:tc>
        <w:tc>
          <w:tcPr>
            <w:tcW w:w="774" w:type="pct"/>
            <w:shd w:val="clear" w:color="auto" w:fill="auto"/>
            <w:noWrap/>
            <w:hideMark/>
          </w:tcPr>
          <w:p w14:paraId="777410F4" w14:textId="09A853A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106.7586</w:t>
            </w:r>
          </w:p>
        </w:tc>
        <w:tc>
          <w:tcPr>
            <w:tcW w:w="1030" w:type="pct"/>
            <w:shd w:val="clear" w:color="auto" w:fill="auto"/>
            <w:noWrap/>
            <w:hideMark/>
          </w:tcPr>
          <w:p w14:paraId="3ABB565B" w14:textId="65FC028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118.5571</w:t>
            </w:r>
          </w:p>
        </w:tc>
        <w:tc>
          <w:tcPr>
            <w:tcW w:w="863" w:type="pct"/>
            <w:shd w:val="clear" w:color="auto" w:fill="auto"/>
            <w:noWrap/>
            <w:hideMark/>
          </w:tcPr>
          <w:p w14:paraId="3FECA252" w14:textId="1505B6F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113.8171</w:t>
            </w:r>
          </w:p>
        </w:tc>
      </w:tr>
      <w:tr w:rsidR="00BF179D" w:rsidRPr="00063AC8" w14:paraId="4B97EB88" w14:textId="77777777" w:rsidTr="00C13A91">
        <w:trPr>
          <w:trHeight w:val="20"/>
          <w:jc w:val="center"/>
        </w:trPr>
        <w:tc>
          <w:tcPr>
            <w:tcW w:w="508" w:type="pct"/>
            <w:tcBorders>
              <w:right w:val="single" w:sz="4" w:space="0" w:color="auto"/>
            </w:tcBorders>
            <w:shd w:val="clear" w:color="auto" w:fill="auto"/>
            <w:vAlign w:val="center"/>
            <w:hideMark/>
          </w:tcPr>
          <w:p w14:paraId="72116D52"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201804</w:t>
            </w:r>
          </w:p>
        </w:tc>
        <w:tc>
          <w:tcPr>
            <w:tcW w:w="669" w:type="pct"/>
            <w:tcBorders>
              <w:left w:val="single" w:sz="4" w:space="0" w:color="auto"/>
            </w:tcBorders>
            <w:shd w:val="clear" w:color="auto" w:fill="auto"/>
            <w:noWrap/>
            <w:hideMark/>
          </w:tcPr>
          <w:p w14:paraId="219BCFA9" w14:textId="662CDE9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105.67</w:t>
            </w:r>
          </w:p>
        </w:tc>
        <w:tc>
          <w:tcPr>
            <w:tcW w:w="1156" w:type="pct"/>
            <w:shd w:val="clear" w:color="auto" w:fill="auto"/>
            <w:noWrap/>
            <w:hideMark/>
          </w:tcPr>
          <w:p w14:paraId="717A5D62" w14:textId="4FA1BA5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105.5843</w:t>
            </w:r>
          </w:p>
        </w:tc>
        <w:tc>
          <w:tcPr>
            <w:tcW w:w="774" w:type="pct"/>
            <w:shd w:val="clear" w:color="auto" w:fill="auto"/>
            <w:noWrap/>
            <w:hideMark/>
          </w:tcPr>
          <w:p w14:paraId="7E5D7461" w14:textId="5D7E58E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106.4057</w:t>
            </w:r>
          </w:p>
        </w:tc>
        <w:tc>
          <w:tcPr>
            <w:tcW w:w="1030" w:type="pct"/>
            <w:shd w:val="clear" w:color="auto" w:fill="auto"/>
            <w:noWrap/>
            <w:hideMark/>
          </w:tcPr>
          <w:p w14:paraId="6246B023" w14:textId="7D07148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118.1857</w:t>
            </w:r>
          </w:p>
        </w:tc>
        <w:tc>
          <w:tcPr>
            <w:tcW w:w="863" w:type="pct"/>
            <w:shd w:val="clear" w:color="auto" w:fill="auto"/>
            <w:noWrap/>
            <w:hideMark/>
          </w:tcPr>
          <w:p w14:paraId="4CE01524" w14:textId="3D81067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113.8214</w:t>
            </w:r>
          </w:p>
        </w:tc>
      </w:tr>
      <w:tr w:rsidR="00BF179D" w:rsidRPr="00063AC8" w14:paraId="767FA3A2" w14:textId="77777777" w:rsidTr="00C13A91">
        <w:trPr>
          <w:trHeight w:val="20"/>
          <w:jc w:val="center"/>
        </w:trPr>
        <w:tc>
          <w:tcPr>
            <w:tcW w:w="508" w:type="pct"/>
            <w:tcBorders>
              <w:right w:val="single" w:sz="4" w:space="0" w:color="auto"/>
            </w:tcBorders>
            <w:shd w:val="clear" w:color="auto" w:fill="auto"/>
            <w:vAlign w:val="center"/>
            <w:hideMark/>
          </w:tcPr>
          <w:p w14:paraId="1E33980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201805</w:t>
            </w:r>
          </w:p>
        </w:tc>
        <w:tc>
          <w:tcPr>
            <w:tcW w:w="669" w:type="pct"/>
            <w:tcBorders>
              <w:left w:val="single" w:sz="4" w:space="0" w:color="auto"/>
            </w:tcBorders>
            <w:shd w:val="clear" w:color="auto" w:fill="auto"/>
            <w:noWrap/>
            <w:hideMark/>
          </w:tcPr>
          <w:p w14:paraId="3C5AF870" w14:textId="7289EEF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105.04</w:t>
            </w:r>
          </w:p>
        </w:tc>
        <w:tc>
          <w:tcPr>
            <w:tcW w:w="1156" w:type="pct"/>
            <w:shd w:val="clear" w:color="auto" w:fill="auto"/>
            <w:noWrap/>
            <w:hideMark/>
          </w:tcPr>
          <w:p w14:paraId="08F9C29F" w14:textId="2D0638D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104.9771</w:t>
            </w:r>
          </w:p>
        </w:tc>
        <w:tc>
          <w:tcPr>
            <w:tcW w:w="774" w:type="pct"/>
            <w:shd w:val="clear" w:color="auto" w:fill="auto"/>
            <w:noWrap/>
            <w:hideMark/>
          </w:tcPr>
          <w:p w14:paraId="70AC10BF" w14:textId="61EBF62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105.6871</w:t>
            </w:r>
          </w:p>
        </w:tc>
        <w:tc>
          <w:tcPr>
            <w:tcW w:w="1030" w:type="pct"/>
            <w:shd w:val="clear" w:color="auto" w:fill="auto"/>
            <w:noWrap/>
            <w:hideMark/>
          </w:tcPr>
          <w:p w14:paraId="140B5811" w14:textId="3AA6A22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120.2714</w:t>
            </w:r>
          </w:p>
        </w:tc>
        <w:tc>
          <w:tcPr>
            <w:tcW w:w="863" w:type="pct"/>
            <w:shd w:val="clear" w:color="auto" w:fill="auto"/>
            <w:noWrap/>
            <w:hideMark/>
          </w:tcPr>
          <w:p w14:paraId="123E2E37" w14:textId="11C516F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115.3643</w:t>
            </w:r>
          </w:p>
        </w:tc>
      </w:tr>
      <w:tr w:rsidR="00BF179D" w:rsidRPr="00063AC8" w14:paraId="42DCD4E8" w14:textId="77777777" w:rsidTr="00C13A91">
        <w:trPr>
          <w:trHeight w:val="20"/>
          <w:jc w:val="center"/>
        </w:trPr>
        <w:tc>
          <w:tcPr>
            <w:tcW w:w="508" w:type="pct"/>
            <w:tcBorders>
              <w:right w:val="single" w:sz="4" w:space="0" w:color="auto"/>
            </w:tcBorders>
            <w:shd w:val="clear" w:color="auto" w:fill="auto"/>
            <w:vAlign w:val="center"/>
            <w:hideMark/>
          </w:tcPr>
          <w:p w14:paraId="19B56BC6"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201806</w:t>
            </w:r>
          </w:p>
        </w:tc>
        <w:tc>
          <w:tcPr>
            <w:tcW w:w="669" w:type="pct"/>
            <w:tcBorders>
              <w:left w:val="single" w:sz="4" w:space="0" w:color="auto"/>
            </w:tcBorders>
            <w:shd w:val="clear" w:color="auto" w:fill="auto"/>
            <w:noWrap/>
            <w:hideMark/>
          </w:tcPr>
          <w:p w14:paraId="5FF45063" w14:textId="4C4AABA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104.8371</w:t>
            </w:r>
          </w:p>
        </w:tc>
        <w:tc>
          <w:tcPr>
            <w:tcW w:w="1156" w:type="pct"/>
            <w:shd w:val="clear" w:color="auto" w:fill="auto"/>
            <w:noWrap/>
            <w:hideMark/>
          </w:tcPr>
          <w:p w14:paraId="3ABCCE6A" w14:textId="1B819E9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104.6657</w:t>
            </w:r>
          </w:p>
        </w:tc>
        <w:tc>
          <w:tcPr>
            <w:tcW w:w="774" w:type="pct"/>
            <w:shd w:val="clear" w:color="auto" w:fill="auto"/>
            <w:noWrap/>
            <w:hideMark/>
          </w:tcPr>
          <w:p w14:paraId="78479A49" w14:textId="554D10C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105.9186</w:t>
            </w:r>
          </w:p>
        </w:tc>
        <w:tc>
          <w:tcPr>
            <w:tcW w:w="1030" w:type="pct"/>
            <w:shd w:val="clear" w:color="auto" w:fill="auto"/>
            <w:noWrap/>
            <w:hideMark/>
          </w:tcPr>
          <w:p w14:paraId="6DF6E44B" w14:textId="73D1F52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121.1857</w:t>
            </w:r>
          </w:p>
        </w:tc>
        <w:tc>
          <w:tcPr>
            <w:tcW w:w="863" w:type="pct"/>
            <w:shd w:val="clear" w:color="auto" w:fill="auto"/>
            <w:noWrap/>
            <w:hideMark/>
          </w:tcPr>
          <w:p w14:paraId="33A1022A" w14:textId="1668790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118.56</w:t>
            </w:r>
          </w:p>
        </w:tc>
      </w:tr>
      <w:tr w:rsidR="00BF179D" w:rsidRPr="00063AC8" w14:paraId="1A59BDF5" w14:textId="77777777" w:rsidTr="00C13A91">
        <w:trPr>
          <w:trHeight w:val="20"/>
          <w:jc w:val="center"/>
        </w:trPr>
        <w:tc>
          <w:tcPr>
            <w:tcW w:w="508" w:type="pct"/>
            <w:tcBorders>
              <w:right w:val="single" w:sz="4" w:space="0" w:color="auto"/>
            </w:tcBorders>
            <w:shd w:val="clear" w:color="auto" w:fill="auto"/>
            <w:vAlign w:val="center"/>
            <w:hideMark/>
          </w:tcPr>
          <w:p w14:paraId="2CE0A558"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201807</w:t>
            </w:r>
          </w:p>
        </w:tc>
        <w:tc>
          <w:tcPr>
            <w:tcW w:w="669" w:type="pct"/>
            <w:tcBorders>
              <w:left w:val="single" w:sz="4" w:space="0" w:color="auto"/>
            </w:tcBorders>
            <w:shd w:val="clear" w:color="auto" w:fill="auto"/>
            <w:noWrap/>
            <w:hideMark/>
          </w:tcPr>
          <w:p w14:paraId="4133EB5F" w14:textId="6CEA881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103.6943</w:t>
            </w:r>
          </w:p>
        </w:tc>
        <w:tc>
          <w:tcPr>
            <w:tcW w:w="1156" w:type="pct"/>
            <w:shd w:val="clear" w:color="auto" w:fill="auto"/>
            <w:noWrap/>
            <w:hideMark/>
          </w:tcPr>
          <w:p w14:paraId="7FD98382" w14:textId="27A8321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103.3371</w:t>
            </w:r>
          </w:p>
        </w:tc>
        <w:tc>
          <w:tcPr>
            <w:tcW w:w="774" w:type="pct"/>
            <w:shd w:val="clear" w:color="auto" w:fill="auto"/>
            <w:noWrap/>
            <w:hideMark/>
          </w:tcPr>
          <w:p w14:paraId="569716EC" w14:textId="03DAB3C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105.4543</w:t>
            </w:r>
          </w:p>
        </w:tc>
        <w:tc>
          <w:tcPr>
            <w:tcW w:w="1030" w:type="pct"/>
            <w:shd w:val="clear" w:color="auto" w:fill="auto"/>
            <w:noWrap/>
            <w:hideMark/>
          </w:tcPr>
          <w:p w14:paraId="7D574FF2" w14:textId="341819B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122.2</w:t>
            </w:r>
          </w:p>
        </w:tc>
        <w:tc>
          <w:tcPr>
            <w:tcW w:w="863" w:type="pct"/>
            <w:shd w:val="clear" w:color="auto" w:fill="auto"/>
            <w:noWrap/>
            <w:hideMark/>
          </w:tcPr>
          <w:p w14:paraId="19A2EC8E" w14:textId="6125311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119.4171</w:t>
            </w:r>
          </w:p>
        </w:tc>
      </w:tr>
      <w:tr w:rsidR="00BF179D" w:rsidRPr="00063AC8" w14:paraId="4B0D1E03" w14:textId="77777777" w:rsidTr="00C13A91">
        <w:trPr>
          <w:trHeight w:val="20"/>
          <w:jc w:val="center"/>
        </w:trPr>
        <w:tc>
          <w:tcPr>
            <w:tcW w:w="508" w:type="pct"/>
            <w:tcBorders>
              <w:right w:val="single" w:sz="4" w:space="0" w:color="auto"/>
            </w:tcBorders>
            <w:shd w:val="clear" w:color="auto" w:fill="auto"/>
            <w:vAlign w:val="center"/>
            <w:hideMark/>
          </w:tcPr>
          <w:p w14:paraId="7FD92695"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201808</w:t>
            </w:r>
          </w:p>
        </w:tc>
        <w:tc>
          <w:tcPr>
            <w:tcW w:w="669" w:type="pct"/>
            <w:tcBorders>
              <w:left w:val="single" w:sz="4" w:space="0" w:color="auto"/>
            </w:tcBorders>
            <w:shd w:val="clear" w:color="auto" w:fill="auto"/>
            <w:noWrap/>
            <w:hideMark/>
          </w:tcPr>
          <w:p w14:paraId="48AA2661" w14:textId="52F41B2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102.2557</w:t>
            </w:r>
          </w:p>
        </w:tc>
        <w:tc>
          <w:tcPr>
            <w:tcW w:w="1156" w:type="pct"/>
            <w:shd w:val="clear" w:color="auto" w:fill="auto"/>
            <w:noWrap/>
            <w:hideMark/>
          </w:tcPr>
          <w:p w14:paraId="428F21A4" w14:textId="1CD79B8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101.7257</w:t>
            </w:r>
          </w:p>
        </w:tc>
        <w:tc>
          <w:tcPr>
            <w:tcW w:w="774" w:type="pct"/>
            <w:shd w:val="clear" w:color="auto" w:fill="auto"/>
            <w:noWrap/>
            <w:hideMark/>
          </w:tcPr>
          <w:p w14:paraId="080A7895" w14:textId="64450C9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104.72</w:t>
            </w:r>
          </w:p>
        </w:tc>
        <w:tc>
          <w:tcPr>
            <w:tcW w:w="1030" w:type="pct"/>
            <w:shd w:val="clear" w:color="auto" w:fill="auto"/>
            <w:noWrap/>
            <w:hideMark/>
          </w:tcPr>
          <w:p w14:paraId="14C0A41A" w14:textId="0B2130B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121.5857</w:t>
            </w:r>
          </w:p>
        </w:tc>
        <w:tc>
          <w:tcPr>
            <w:tcW w:w="863" w:type="pct"/>
            <w:shd w:val="clear" w:color="auto" w:fill="auto"/>
            <w:noWrap/>
            <w:hideMark/>
          </w:tcPr>
          <w:p w14:paraId="3D644739" w14:textId="7C13EDB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117.9171</w:t>
            </w:r>
          </w:p>
        </w:tc>
      </w:tr>
      <w:tr w:rsidR="00BF179D" w:rsidRPr="00063AC8" w14:paraId="295D37E3" w14:textId="77777777" w:rsidTr="00C13A91">
        <w:trPr>
          <w:trHeight w:val="20"/>
          <w:jc w:val="center"/>
        </w:trPr>
        <w:tc>
          <w:tcPr>
            <w:tcW w:w="508" w:type="pct"/>
            <w:tcBorders>
              <w:right w:val="single" w:sz="4" w:space="0" w:color="auto"/>
            </w:tcBorders>
            <w:shd w:val="clear" w:color="auto" w:fill="auto"/>
            <w:vAlign w:val="center"/>
            <w:hideMark/>
          </w:tcPr>
          <w:p w14:paraId="51453DC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201809</w:t>
            </w:r>
          </w:p>
        </w:tc>
        <w:tc>
          <w:tcPr>
            <w:tcW w:w="669" w:type="pct"/>
            <w:tcBorders>
              <w:left w:val="single" w:sz="4" w:space="0" w:color="auto"/>
            </w:tcBorders>
            <w:shd w:val="clear" w:color="auto" w:fill="auto"/>
            <w:noWrap/>
            <w:hideMark/>
          </w:tcPr>
          <w:p w14:paraId="68607361" w14:textId="5E76495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101.4857</w:t>
            </w:r>
          </w:p>
        </w:tc>
        <w:tc>
          <w:tcPr>
            <w:tcW w:w="1156" w:type="pct"/>
            <w:shd w:val="clear" w:color="auto" w:fill="auto"/>
            <w:noWrap/>
            <w:hideMark/>
          </w:tcPr>
          <w:p w14:paraId="573739E3" w14:textId="5D27CA9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100.6814</w:t>
            </w:r>
          </w:p>
        </w:tc>
        <w:tc>
          <w:tcPr>
            <w:tcW w:w="774" w:type="pct"/>
            <w:shd w:val="clear" w:color="auto" w:fill="auto"/>
            <w:noWrap/>
            <w:hideMark/>
          </w:tcPr>
          <w:p w14:paraId="7CB497A5" w14:textId="0F37427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104.8157</w:t>
            </w:r>
          </w:p>
        </w:tc>
        <w:tc>
          <w:tcPr>
            <w:tcW w:w="1030" w:type="pct"/>
            <w:shd w:val="clear" w:color="auto" w:fill="auto"/>
            <w:noWrap/>
            <w:hideMark/>
          </w:tcPr>
          <w:p w14:paraId="372AA182" w14:textId="583E6B0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121.3286</w:t>
            </w:r>
          </w:p>
        </w:tc>
        <w:tc>
          <w:tcPr>
            <w:tcW w:w="863" w:type="pct"/>
            <w:shd w:val="clear" w:color="auto" w:fill="auto"/>
            <w:noWrap/>
            <w:hideMark/>
          </w:tcPr>
          <w:p w14:paraId="7982C8C5" w14:textId="1343F7B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119.9157</w:t>
            </w:r>
          </w:p>
        </w:tc>
      </w:tr>
      <w:tr w:rsidR="00BF179D" w:rsidRPr="00063AC8" w14:paraId="6473CCE2" w14:textId="77777777" w:rsidTr="00C13A91">
        <w:trPr>
          <w:trHeight w:val="20"/>
          <w:jc w:val="center"/>
        </w:trPr>
        <w:tc>
          <w:tcPr>
            <w:tcW w:w="508" w:type="pct"/>
            <w:tcBorders>
              <w:right w:val="single" w:sz="4" w:space="0" w:color="auto"/>
            </w:tcBorders>
            <w:shd w:val="clear" w:color="auto" w:fill="auto"/>
            <w:vAlign w:val="center"/>
            <w:hideMark/>
          </w:tcPr>
          <w:p w14:paraId="7835BEE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201810</w:t>
            </w:r>
          </w:p>
        </w:tc>
        <w:tc>
          <w:tcPr>
            <w:tcW w:w="669" w:type="pct"/>
            <w:tcBorders>
              <w:left w:val="single" w:sz="4" w:space="0" w:color="auto"/>
            </w:tcBorders>
            <w:shd w:val="clear" w:color="auto" w:fill="auto"/>
            <w:noWrap/>
            <w:hideMark/>
          </w:tcPr>
          <w:p w14:paraId="40EA8488" w14:textId="204B75D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100.5514</w:t>
            </w:r>
          </w:p>
        </w:tc>
        <w:tc>
          <w:tcPr>
            <w:tcW w:w="1156" w:type="pct"/>
            <w:shd w:val="clear" w:color="auto" w:fill="auto"/>
            <w:noWrap/>
            <w:hideMark/>
          </w:tcPr>
          <w:p w14:paraId="7FEB27C0" w14:textId="598CE7B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99.56571</w:t>
            </w:r>
          </w:p>
        </w:tc>
        <w:tc>
          <w:tcPr>
            <w:tcW w:w="774" w:type="pct"/>
            <w:shd w:val="clear" w:color="auto" w:fill="auto"/>
            <w:noWrap/>
            <w:hideMark/>
          </w:tcPr>
          <w:p w14:paraId="7B60E27D" w14:textId="3F431AC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104.5471</w:t>
            </w:r>
          </w:p>
        </w:tc>
        <w:tc>
          <w:tcPr>
            <w:tcW w:w="1030" w:type="pct"/>
            <w:shd w:val="clear" w:color="auto" w:fill="auto"/>
            <w:noWrap/>
            <w:hideMark/>
          </w:tcPr>
          <w:p w14:paraId="4EDDCB6C" w14:textId="0C8E8D5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120.7143</w:t>
            </w:r>
          </w:p>
        </w:tc>
        <w:tc>
          <w:tcPr>
            <w:tcW w:w="863" w:type="pct"/>
            <w:shd w:val="clear" w:color="auto" w:fill="auto"/>
            <w:noWrap/>
            <w:hideMark/>
          </w:tcPr>
          <w:p w14:paraId="2DD1CB5F" w14:textId="1712208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123.8743</w:t>
            </w:r>
          </w:p>
        </w:tc>
      </w:tr>
      <w:tr w:rsidR="00BF179D" w:rsidRPr="00063AC8" w14:paraId="4EA86FAE" w14:textId="77777777" w:rsidTr="00C13A91">
        <w:trPr>
          <w:trHeight w:val="20"/>
          <w:jc w:val="center"/>
        </w:trPr>
        <w:tc>
          <w:tcPr>
            <w:tcW w:w="508" w:type="pct"/>
            <w:tcBorders>
              <w:right w:val="single" w:sz="4" w:space="0" w:color="auto"/>
            </w:tcBorders>
            <w:shd w:val="clear" w:color="auto" w:fill="auto"/>
            <w:vAlign w:val="center"/>
            <w:hideMark/>
          </w:tcPr>
          <w:p w14:paraId="4987DDF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201811</w:t>
            </w:r>
          </w:p>
        </w:tc>
        <w:tc>
          <w:tcPr>
            <w:tcW w:w="669" w:type="pct"/>
            <w:tcBorders>
              <w:left w:val="single" w:sz="4" w:space="0" w:color="auto"/>
            </w:tcBorders>
            <w:shd w:val="clear" w:color="auto" w:fill="auto"/>
            <w:noWrap/>
            <w:hideMark/>
          </w:tcPr>
          <w:p w14:paraId="7C5BC4E4" w14:textId="4A7144B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100.3629</w:t>
            </w:r>
          </w:p>
        </w:tc>
        <w:tc>
          <w:tcPr>
            <w:tcW w:w="1156" w:type="pct"/>
            <w:shd w:val="clear" w:color="auto" w:fill="auto"/>
            <w:noWrap/>
            <w:hideMark/>
          </w:tcPr>
          <w:p w14:paraId="679D4F71" w14:textId="64C7D44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99.39243</w:t>
            </w:r>
          </w:p>
        </w:tc>
        <w:tc>
          <w:tcPr>
            <w:tcW w:w="774" w:type="pct"/>
            <w:shd w:val="clear" w:color="auto" w:fill="auto"/>
            <w:noWrap/>
            <w:hideMark/>
          </w:tcPr>
          <w:p w14:paraId="18FDA28E" w14:textId="3E86307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104.3343</w:t>
            </w:r>
          </w:p>
        </w:tc>
        <w:tc>
          <w:tcPr>
            <w:tcW w:w="1030" w:type="pct"/>
            <w:shd w:val="clear" w:color="auto" w:fill="auto"/>
            <w:noWrap/>
            <w:hideMark/>
          </w:tcPr>
          <w:p w14:paraId="5551E8C4" w14:textId="29D0774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121</w:t>
            </w:r>
          </w:p>
        </w:tc>
        <w:tc>
          <w:tcPr>
            <w:tcW w:w="863" w:type="pct"/>
            <w:shd w:val="clear" w:color="auto" w:fill="auto"/>
            <w:noWrap/>
            <w:hideMark/>
          </w:tcPr>
          <w:p w14:paraId="425B9679" w14:textId="1A16C2A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127.4857</w:t>
            </w:r>
          </w:p>
        </w:tc>
      </w:tr>
      <w:tr w:rsidR="00BF179D" w:rsidRPr="00063AC8" w14:paraId="4813EE85" w14:textId="77777777" w:rsidTr="00C13A91">
        <w:trPr>
          <w:trHeight w:val="20"/>
          <w:jc w:val="center"/>
        </w:trPr>
        <w:tc>
          <w:tcPr>
            <w:tcW w:w="508" w:type="pct"/>
            <w:tcBorders>
              <w:right w:val="single" w:sz="4" w:space="0" w:color="auto"/>
            </w:tcBorders>
            <w:shd w:val="clear" w:color="auto" w:fill="auto"/>
            <w:vAlign w:val="center"/>
            <w:hideMark/>
          </w:tcPr>
          <w:p w14:paraId="2ED14A3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201812</w:t>
            </w:r>
          </w:p>
        </w:tc>
        <w:tc>
          <w:tcPr>
            <w:tcW w:w="669" w:type="pct"/>
            <w:tcBorders>
              <w:left w:val="single" w:sz="4" w:space="0" w:color="auto"/>
            </w:tcBorders>
            <w:shd w:val="clear" w:color="auto" w:fill="auto"/>
            <w:noWrap/>
            <w:hideMark/>
          </w:tcPr>
          <w:p w14:paraId="2E19F2CF" w14:textId="1242C8C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100.4314</w:t>
            </w:r>
          </w:p>
        </w:tc>
        <w:tc>
          <w:tcPr>
            <w:tcW w:w="1156" w:type="pct"/>
            <w:shd w:val="clear" w:color="auto" w:fill="auto"/>
            <w:noWrap/>
            <w:hideMark/>
          </w:tcPr>
          <w:p w14:paraId="3484B136" w14:textId="115297F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99.38243</w:t>
            </w:r>
          </w:p>
        </w:tc>
        <w:tc>
          <w:tcPr>
            <w:tcW w:w="774" w:type="pct"/>
            <w:shd w:val="clear" w:color="auto" w:fill="auto"/>
            <w:noWrap/>
            <w:hideMark/>
          </w:tcPr>
          <w:p w14:paraId="618F3F6E" w14:textId="44AE9D1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104.6771</w:t>
            </w:r>
          </w:p>
        </w:tc>
        <w:tc>
          <w:tcPr>
            <w:tcW w:w="1030" w:type="pct"/>
            <w:shd w:val="clear" w:color="auto" w:fill="auto"/>
            <w:noWrap/>
            <w:hideMark/>
          </w:tcPr>
          <w:p w14:paraId="4F813E7E" w14:textId="560DA80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120.6714</w:t>
            </w:r>
          </w:p>
        </w:tc>
        <w:tc>
          <w:tcPr>
            <w:tcW w:w="863" w:type="pct"/>
            <w:shd w:val="clear" w:color="auto" w:fill="auto"/>
            <w:noWrap/>
            <w:hideMark/>
          </w:tcPr>
          <w:p w14:paraId="2C475851" w14:textId="1240031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125.1429</w:t>
            </w:r>
          </w:p>
        </w:tc>
      </w:tr>
      <w:tr w:rsidR="00BF179D" w:rsidRPr="00063AC8" w14:paraId="0EC07CE8" w14:textId="77777777" w:rsidTr="00C13A91">
        <w:trPr>
          <w:trHeight w:val="20"/>
          <w:jc w:val="center"/>
        </w:trPr>
        <w:tc>
          <w:tcPr>
            <w:tcW w:w="508" w:type="pct"/>
            <w:tcBorders>
              <w:right w:val="single" w:sz="4" w:space="0" w:color="auto"/>
            </w:tcBorders>
            <w:shd w:val="clear" w:color="auto" w:fill="auto"/>
            <w:vAlign w:val="center"/>
            <w:hideMark/>
          </w:tcPr>
          <w:p w14:paraId="3FB24F0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201901</w:t>
            </w:r>
          </w:p>
        </w:tc>
        <w:tc>
          <w:tcPr>
            <w:tcW w:w="669" w:type="pct"/>
            <w:tcBorders>
              <w:left w:val="single" w:sz="4" w:space="0" w:color="auto"/>
            </w:tcBorders>
            <w:shd w:val="clear" w:color="auto" w:fill="auto"/>
            <w:noWrap/>
            <w:hideMark/>
          </w:tcPr>
          <w:p w14:paraId="368E191B" w14:textId="46C2F25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100.1357</w:t>
            </w:r>
          </w:p>
        </w:tc>
        <w:tc>
          <w:tcPr>
            <w:tcW w:w="1156" w:type="pct"/>
            <w:shd w:val="clear" w:color="auto" w:fill="auto"/>
            <w:noWrap/>
            <w:hideMark/>
          </w:tcPr>
          <w:p w14:paraId="0465F3AF" w14:textId="51090D1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99.06957</w:t>
            </w:r>
          </w:p>
        </w:tc>
        <w:tc>
          <w:tcPr>
            <w:tcW w:w="774" w:type="pct"/>
            <w:shd w:val="clear" w:color="auto" w:fill="auto"/>
            <w:noWrap/>
            <w:hideMark/>
          </w:tcPr>
          <w:p w14:paraId="56423001" w14:textId="5F1E484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104.4257</w:t>
            </w:r>
          </w:p>
        </w:tc>
        <w:tc>
          <w:tcPr>
            <w:tcW w:w="1030" w:type="pct"/>
            <w:shd w:val="clear" w:color="auto" w:fill="auto"/>
            <w:noWrap/>
            <w:hideMark/>
          </w:tcPr>
          <w:p w14:paraId="44386F61" w14:textId="1D7DEC1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122.0857</w:t>
            </w:r>
          </w:p>
        </w:tc>
        <w:tc>
          <w:tcPr>
            <w:tcW w:w="863" w:type="pct"/>
            <w:shd w:val="clear" w:color="auto" w:fill="auto"/>
            <w:noWrap/>
            <w:hideMark/>
          </w:tcPr>
          <w:p w14:paraId="4415ADFC" w14:textId="20BB248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126.2</w:t>
            </w:r>
          </w:p>
        </w:tc>
      </w:tr>
      <w:tr w:rsidR="00BF179D" w:rsidRPr="00063AC8" w14:paraId="031634D7" w14:textId="77777777" w:rsidTr="00C13A91">
        <w:trPr>
          <w:trHeight w:val="20"/>
          <w:jc w:val="center"/>
        </w:trPr>
        <w:tc>
          <w:tcPr>
            <w:tcW w:w="508" w:type="pct"/>
            <w:tcBorders>
              <w:right w:val="single" w:sz="4" w:space="0" w:color="auto"/>
            </w:tcBorders>
            <w:shd w:val="clear" w:color="auto" w:fill="auto"/>
            <w:vAlign w:val="center"/>
            <w:hideMark/>
          </w:tcPr>
          <w:p w14:paraId="09849A6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201902</w:t>
            </w:r>
          </w:p>
        </w:tc>
        <w:tc>
          <w:tcPr>
            <w:tcW w:w="669" w:type="pct"/>
            <w:tcBorders>
              <w:left w:val="single" w:sz="4" w:space="0" w:color="auto"/>
            </w:tcBorders>
            <w:shd w:val="clear" w:color="auto" w:fill="auto"/>
            <w:noWrap/>
            <w:hideMark/>
          </w:tcPr>
          <w:p w14:paraId="3F239418" w14:textId="091576E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100.5243</w:t>
            </w:r>
          </w:p>
        </w:tc>
        <w:tc>
          <w:tcPr>
            <w:tcW w:w="1156" w:type="pct"/>
            <w:shd w:val="clear" w:color="auto" w:fill="auto"/>
            <w:noWrap/>
            <w:hideMark/>
          </w:tcPr>
          <w:p w14:paraId="52F5252C" w14:textId="07974CD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99.42957</w:t>
            </w:r>
          </w:p>
        </w:tc>
        <w:tc>
          <w:tcPr>
            <w:tcW w:w="774" w:type="pct"/>
            <w:shd w:val="clear" w:color="auto" w:fill="auto"/>
            <w:noWrap/>
            <w:hideMark/>
          </w:tcPr>
          <w:p w14:paraId="219FFBA0" w14:textId="190B4A2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104.9843</w:t>
            </w:r>
          </w:p>
        </w:tc>
        <w:tc>
          <w:tcPr>
            <w:tcW w:w="1030" w:type="pct"/>
            <w:shd w:val="clear" w:color="auto" w:fill="auto"/>
            <w:noWrap/>
            <w:hideMark/>
          </w:tcPr>
          <w:p w14:paraId="1184FF85" w14:textId="5A72955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121.4286</w:t>
            </w:r>
          </w:p>
        </w:tc>
        <w:tc>
          <w:tcPr>
            <w:tcW w:w="863" w:type="pct"/>
            <w:shd w:val="clear" w:color="auto" w:fill="auto"/>
            <w:noWrap/>
            <w:hideMark/>
          </w:tcPr>
          <w:p w14:paraId="364B555A" w14:textId="020CB4E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128.3714</w:t>
            </w:r>
          </w:p>
        </w:tc>
      </w:tr>
      <w:tr w:rsidR="00BF179D" w:rsidRPr="00063AC8" w14:paraId="1A90127B" w14:textId="77777777" w:rsidTr="00C13A91">
        <w:trPr>
          <w:trHeight w:val="20"/>
          <w:jc w:val="center"/>
        </w:trPr>
        <w:tc>
          <w:tcPr>
            <w:tcW w:w="508" w:type="pct"/>
            <w:tcBorders>
              <w:right w:val="single" w:sz="4" w:space="0" w:color="auto"/>
            </w:tcBorders>
            <w:shd w:val="clear" w:color="auto" w:fill="auto"/>
            <w:vAlign w:val="center"/>
            <w:hideMark/>
          </w:tcPr>
          <w:p w14:paraId="05F5D91A"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201903</w:t>
            </w:r>
          </w:p>
        </w:tc>
        <w:tc>
          <w:tcPr>
            <w:tcW w:w="669" w:type="pct"/>
            <w:tcBorders>
              <w:left w:val="single" w:sz="4" w:space="0" w:color="auto"/>
            </w:tcBorders>
            <w:shd w:val="clear" w:color="auto" w:fill="auto"/>
            <w:noWrap/>
            <w:hideMark/>
          </w:tcPr>
          <w:p w14:paraId="43966861" w14:textId="74790E5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101.6157</w:t>
            </w:r>
          </w:p>
        </w:tc>
        <w:tc>
          <w:tcPr>
            <w:tcW w:w="1156" w:type="pct"/>
            <w:shd w:val="clear" w:color="auto" w:fill="auto"/>
            <w:noWrap/>
            <w:hideMark/>
          </w:tcPr>
          <w:p w14:paraId="7C2F28F7" w14:textId="78D102A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100.5024</w:t>
            </w:r>
          </w:p>
        </w:tc>
        <w:tc>
          <w:tcPr>
            <w:tcW w:w="774" w:type="pct"/>
            <w:shd w:val="clear" w:color="auto" w:fill="auto"/>
            <w:noWrap/>
            <w:hideMark/>
          </w:tcPr>
          <w:p w14:paraId="3843978C" w14:textId="2A81535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106.0286</w:t>
            </w:r>
          </w:p>
        </w:tc>
        <w:tc>
          <w:tcPr>
            <w:tcW w:w="1030" w:type="pct"/>
            <w:shd w:val="clear" w:color="auto" w:fill="auto"/>
            <w:noWrap/>
            <w:hideMark/>
          </w:tcPr>
          <w:p w14:paraId="1419AD9A" w14:textId="1957D4E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123</w:t>
            </w:r>
          </w:p>
        </w:tc>
        <w:tc>
          <w:tcPr>
            <w:tcW w:w="863" w:type="pct"/>
            <w:shd w:val="clear" w:color="auto" w:fill="auto"/>
            <w:noWrap/>
            <w:hideMark/>
          </w:tcPr>
          <w:p w14:paraId="3825BB52" w14:textId="655F73D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128.7571</w:t>
            </w:r>
          </w:p>
        </w:tc>
      </w:tr>
      <w:tr w:rsidR="00BF179D" w:rsidRPr="00063AC8" w14:paraId="00E209C5" w14:textId="77777777" w:rsidTr="00C13A91">
        <w:trPr>
          <w:trHeight w:val="20"/>
          <w:jc w:val="center"/>
        </w:trPr>
        <w:tc>
          <w:tcPr>
            <w:tcW w:w="508" w:type="pct"/>
            <w:tcBorders>
              <w:right w:val="single" w:sz="4" w:space="0" w:color="auto"/>
            </w:tcBorders>
            <w:shd w:val="clear" w:color="auto" w:fill="auto"/>
            <w:vAlign w:val="center"/>
            <w:hideMark/>
          </w:tcPr>
          <w:p w14:paraId="2421BC6C"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201904</w:t>
            </w:r>
          </w:p>
        </w:tc>
        <w:tc>
          <w:tcPr>
            <w:tcW w:w="669" w:type="pct"/>
            <w:tcBorders>
              <w:left w:val="single" w:sz="4" w:space="0" w:color="auto"/>
            </w:tcBorders>
            <w:shd w:val="clear" w:color="auto" w:fill="auto"/>
            <w:noWrap/>
            <w:hideMark/>
          </w:tcPr>
          <w:p w14:paraId="3D463681" w14:textId="75F47CA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102.29</w:t>
            </w:r>
          </w:p>
        </w:tc>
        <w:tc>
          <w:tcPr>
            <w:tcW w:w="1156" w:type="pct"/>
            <w:shd w:val="clear" w:color="auto" w:fill="auto"/>
            <w:noWrap/>
            <w:hideMark/>
          </w:tcPr>
          <w:p w14:paraId="49A5C057" w14:textId="2079F3B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101.3839</w:t>
            </w:r>
          </w:p>
        </w:tc>
        <w:tc>
          <w:tcPr>
            <w:tcW w:w="774" w:type="pct"/>
            <w:shd w:val="clear" w:color="auto" w:fill="auto"/>
            <w:noWrap/>
            <w:hideMark/>
          </w:tcPr>
          <w:p w14:paraId="76D09C66" w14:textId="2EF917D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106.0386</w:t>
            </w:r>
          </w:p>
        </w:tc>
        <w:tc>
          <w:tcPr>
            <w:tcW w:w="1030" w:type="pct"/>
            <w:shd w:val="clear" w:color="auto" w:fill="auto"/>
            <w:noWrap/>
            <w:hideMark/>
          </w:tcPr>
          <w:p w14:paraId="3C0CEA3E" w14:textId="103340E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123.9</w:t>
            </w:r>
          </w:p>
        </w:tc>
        <w:tc>
          <w:tcPr>
            <w:tcW w:w="863" w:type="pct"/>
            <w:shd w:val="clear" w:color="auto" w:fill="auto"/>
            <w:noWrap/>
            <w:hideMark/>
          </w:tcPr>
          <w:p w14:paraId="568329A9" w14:textId="269BABE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128.9143</w:t>
            </w:r>
          </w:p>
        </w:tc>
      </w:tr>
      <w:tr w:rsidR="00BF179D" w:rsidRPr="00063AC8" w14:paraId="44F26AD8" w14:textId="77777777" w:rsidTr="00C13A91">
        <w:trPr>
          <w:trHeight w:val="20"/>
          <w:jc w:val="center"/>
        </w:trPr>
        <w:tc>
          <w:tcPr>
            <w:tcW w:w="508" w:type="pct"/>
            <w:tcBorders>
              <w:right w:val="single" w:sz="4" w:space="0" w:color="auto"/>
            </w:tcBorders>
            <w:shd w:val="clear" w:color="auto" w:fill="auto"/>
            <w:vAlign w:val="center"/>
            <w:hideMark/>
          </w:tcPr>
          <w:p w14:paraId="7A9D881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201905</w:t>
            </w:r>
          </w:p>
        </w:tc>
        <w:tc>
          <w:tcPr>
            <w:tcW w:w="669" w:type="pct"/>
            <w:tcBorders>
              <w:left w:val="single" w:sz="4" w:space="0" w:color="auto"/>
            </w:tcBorders>
            <w:shd w:val="clear" w:color="auto" w:fill="auto"/>
            <w:noWrap/>
            <w:hideMark/>
          </w:tcPr>
          <w:p w14:paraId="087A6C58" w14:textId="7A275A8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103.4643</w:t>
            </w:r>
          </w:p>
        </w:tc>
        <w:tc>
          <w:tcPr>
            <w:tcW w:w="1156" w:type="pct"/>
            <w:shd w:val="clear" w:color="auto" w:fill="auto"/>
            <w:noWrap/>
            <w:hideMark/>
          </w:tcPr>
          <w:p w14:paraId="5B9B1B66" w14:textId="72C9226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102.6324</w:t>
            </w:r>
          </w:p>
        </w:tc>
        <w:tc>
          <w:tcPr>
            <w:tcW w:w="774" w:type="pct"/>
            <w:shd w:val="clear" w:color="auto" w:fill="auto"/>
            <w:noWrap/>
            <w:hideMark/>
          </w:tcPr>
          <w:p w14:paraId="6876F111" w14:textId="2DAD146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106.9143</w:t>
            </w:r>
          </w:p>
        </w:tc>
        <w:tc>
          <w:tcPr>
            <w:tcW w:w="1030" w:type="pct"/>
            <w:shd w:val="clear" w:color="auto" w:fill="auto"/>
            <w:noWrap/>
            <w:hideMark/>
          </w:tcPr>
          <w:p w14:paraId="360B1149" w14:textId="2E537C7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123.9857</w:t>
            </w:r>
          </w:p>
        </w:tc>
        <w:tc>
          <w:tcPr>
            <w:tcW w:w="863" w:type="pct"/>
            <w:shd w:val="clear" w:color="auto" w:fill="auto"/>
            <w:noWrap/>
            <w:hideMark/>
          </w:tcPr>
          <w:p w14:paraId="61A2FDE0" w14:textId="6D9F91B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127.0671</w:t>
            </w:r>
          </w:p>
        </w:tc>
      </w:tr>
      <w:tr w:rsidR="00BF179D" w:rsidRPr="00063AC8" w14:paraId="40CC0DB2" w14:textId="77777777" w:rsidTr="00C13A91">
        <w:trPr>
          <w:trHeight w:val="20"/>
          <w:jc w:val="center"/>
        </w:trPr>
        <w:tc>
          <w:tcPr>
            <w:tcW w:w="508" w:type="pct"/>
            <w:tcBorders>
              <w:right w:val="single" w:sz="4" w:space="0" w:color="auto"/>
            </w:tcBorders>
            <w:shd w:val="clear" w:color="auto" w:fill="auto"/>
            <w:vAlign w:val="center"/>
            <w:hideMark/>
          </w:tcPr>
          <w:p w14:paraId="22F9AC9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201906</w:t>
            </w:r>
          </w:p>
        </w:tc>
        <w:tc>
          <w:tcPr>
            <w:tcW w:w="669" w:type="pct"/>
            <w:tcBorders>
              <w:left w:val="single" w:sz="4" w:space="0" w:color="auto"/>
            </w:tcBorders>
            <w:shd w:val="clear" w:color="auto" w:fill="auto"/>
            <w:noWrap/>
            <w:hideMark/>
          </w:tcPr>
          <w:p w14:paraId="5F5F3209" w14:textId="28374FB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104.5214</w:t>
            </w:r>
          </w:p>
        </w:tc>
        <w:tc>
          <w:tcPr>
            <w:tcW w:w="1156" w:type="pct"/>
            <w:shd w:val="clear" w:color="auto" w:fill="auto"/>
            <w:noWrap/>
            <w:hideMark/>
          </w:tcPr>
          <w:p w14:paraId="620F75E8" w14:textId="252779E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103.7743</w:t>
            </w:r>
          </w:p>
        </w:tc>
        <w:tc>
          <w:tcPr>
            <w:tcW w:w="774" w:type="pct"/>
            <w:shd w:val="clear" w:color="auto" w:fill="auto"/>
            <w:noWrap/>
            <w:hideMark/>
          </w:tcPr>
          <w:p w14:paraId="062B420A" w14:textId="070FECE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107.5671</w:t>
            </w:r>
          </w:p>
        </w:tc>
        <w:tc>
          <w:tcPr>
            <w:tcW w:w="1030" w:type="pct"/>
            <w:shd w:val="clear" w:color="auto" w:fill="auto"/>
            <w:noWrap/>
            <w:hideMark/>
          </w:tcPr>
          <w:p w14:paraId="44913DAB" w14:textId="5205E60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124.6857</w:t>
            </w:r>
          </w:p>
        </w:tc>
        <w:tc>
          <w:tcPr>
            <w:tcW w:w="863" w:type="pct"/>
            <w:shd w:val="clear" w:color="auto" w:fill="auto"/>
            <w:noWrap/>
            <w:hideMark/>
          </w:tcPr>
          <w:p w14:paraId="12F7A044" w14:textId="6E34050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123.4014</w:t>
            </w:r>
          </w:p>
        </w:tc>
      </w:tr>
      <w:tr w:rsidR="00BF179D" w:rsidRPr="00063AC8" w14:paraId="51BD806A" w14:textId="77777777" w:rsidTr="00C13A91">
        <w:trPr>
          <w:trHeight w:val="20"/>
          <w:jc w:val="center"/>
        </w:trPr>
        <w:tc>
          <w:tcPr>
            <w:tcW w:w="508" w:type="pct"/>
            <w:tcBorders>
              <w:right w:val="single" w:sz="4" w:space="0" w:color="auto"/>
            </w:tcBorders>
            <w:shd w:val="clear" w:color="auto" w:fill="auto"/>
            <w:vAlign w:val="center"/>
            <w:hideMark/>
          </w:tcPr>
          <w:p w14:paraId="6F3639F5"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201907</w:t>
            </w:r>
          </w:p>
        </w:tc>
        <w:tc>
          <w:tcPr>
            <w:tcW w:w="669" w:type="pct"/>
            <w:tcBorders>
              <w:left w:val="single" w:sz="4" w:space="0" w:color="auto"/>
            </w:tcBorders>
            <w:shd w:val="clear" w:color="auto" w:fill="auto"/>
            <w:noWrap/>
            <w:hideMark/>
          </w:tcPr>
          <w:p w14:paraId="0E5A531C" w14:textId="2177513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105.4514</w:t>
            </w:r>
          </w:p>
        </w:tc>
        <w:tc>
          <w:tcPr>
            <w:tcW w:w="1156" w:type="pct"/>
            <w:shd w:val="clear" w:color="auto" w:fill="auto"/>
            <w:noWrap/>
            <w:hideMark/>
          </w:tcPr>
          <w:p w14:paraId="3A330A40" w14:textId="3569456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104.6657</w:t>
            </w:r>
          </w:p>
        </w:tc>
        <w:tc>
          <w:tcPr>
            <w:tcW w:w="774" w:type="pct"/>
            <w:shd w:val="clear" w:color="auto" w:fill="auto"/>
            <w:noWrap/>
            <w:hideMark/>
          </w:tcPr>
          <w:p w14:paraId="531D121D" w14:textId="37C2F75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108.65</w:t>
            </w:r>
          </w:p>
        </w:tc>
        <w:tc>
          <w:tcPr>
            <w:tcW w:w="1030" w:type="pct"/>
            <w:shd w:val="clear" w:color="auto" w:fill="auto"/>
            <w:noWrap/>
            <w:hideMark/>
          </w:tcPr>
          <w:p w14:paraId="1D4CCCB6" w14:textId="5551693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125.0286</w:t>
            </w:r>
          </w:p>
        </w:tc>
        <w:tc>
          <w:tcPr>
            <w:tcW w:w="863" w:type="pct"/>
            <w:shd w:val="clear" w:color="auto" w:fill="auto"/>
            <w:noWrap/>
            <w:hideMark/>
          </w:tcPr>
          <w:p w14:paraId="2656245B" w14:textId="3004405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123.8586</w:t>
            </w:r>
          </w:p>
        </w:tc>
      </w:tr>
      <w:tr w:rsidR="00BF179D" w:rsidRPr="00063AC8" w14:paraId="5C5C468F" w14:textId="77777777" w:rsidTr="00C13A91">
        <w:trPr>
          <w:trHeight w:val="20"/>
          <w:jc w:val="center"/>
        </w:trPr>
        <w:tc>
          <w:tcPr>
            <w:tcW w:w="508" w:type="pct"/>
            <w:tcBorders>
              <w:right w:val="single" w:sz="4" w:space="0" w:color="auto"/>
            </w:tcBorders>
            <w:shd w:val="clear" w:color="auto" w:fill="auto"/>
            <w:vAlign w:val="center"/>
            <w:hideMark/>
          </w:tcPr>
          <w:p w14:paraId="6DF435A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201908</w:t>
            </w:r>
          </w:p>
        </w:tc>
        <w:tc>
          <w:tcPr>
            <w:tcW w:w="669" w:type="pct"/>
            <w:tcBorders>
              <w:left w:val="single" w:sz="4" w:space="0" w:color="auto"/>
            </w:tcBorders>
            <w:shd w:val="clear" w:color="auto" w:fill="auto"/>
            <w:noWrap/>
            <w:hideMark/>
          </w:tcPr>
          <w:p w14:paraId="4CBC1F83" w14:textId="02F3205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106.6343</w:t>
            </w:r>
          </w:p>
        </w:tc>
        <w:tc>
          <w:tcPr>
            <w:tcW w:w="1156" w:type="pct"/>
            <w:shd w:val="clear" w:color="auto" w:fill="auto"/>
            <w:noWrap/>
            <w:hideMark/>
          </w:tcPr>
          <w:p w14:paraId="6811D38E" w14:textId="578AD36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105.9129</w:t>
            </w:r>
          </w:p>
        </w:tc>
        <w:tc>
          <w:tcPr>
            <w:tcW w:w="774" w:type="pct"/>
            <w:shd w:val="clear" w:color="auto" w:fill="auto"/>
            <w:noWrap/>
            <w:hideMark/>
          </w:tcPr>
          <w:p w14:paraId="0EEDEF2B" w14:textId="43E779A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109.57</w:t>
            </w:r>
          </w:p>
        </w:tc>
        <w:tc>
          <w:tcPr>
            <w:tcW w:w="1030" w:type="pct"/>
            <w:shd w:val="clear" w:color="auto" w:fill="auto"/>
            <w:noWrap/>
            <w:hideMark/>
          </w:tcPr>
          <w:p w14:paraId="58FCEC68" w14:textId="1532770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123.5857</w:t>
            </w:r>
          </w:p>
        </w:tc>
        <w:tc>
          <w:tcPr>
            <w:tcW w:w="863" w:type="pct"/>
            <w:shd w:val="clear" w:color="auto" w:fill="auto"/>
            <w:noWrap/>
            <w:hideMark/>
          </w:tcPr>
          <w:p w14:paraId="7A063CED" w14:textId="11E26B0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121.43</w:t>
            </w:r>
          </w:p>
        </w:tc>
      </w:tr>
      <w:tr w:rsidR="00BF179D" w:rsidRPr="00063AC8" w14:paraId="4635C713" w14:textId="77777777" w:rsidTr="00C13A91">
        <w:trPr>
          <w:trHeight w:val="20"/>
          <w:jc w:val="center"/>
        </w:trPr>
        <w:tc>
          <w:tcPr>
            <w:tcW w:w="508" w:type="pct"/>
            <w:tcBorders>
              <w:right w:val="single" w:sz="4" w:space="0" w:color="auto"/>
            </w:tcBorders>
            <w:shd w:val="clear" w:color="auto" w:fill="auto"/>
            <w:vAlign w:val="center"/>
            <w:hideMark/>
          </w:tcPr>
          <w:p w14:paraId="5B0BBC88"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201909</w:t>
            </w:r>
          </w:p>
        </w:tc>
        <w:tc>
          <w:tcPr>
            <w:tcW w:w="669" w:type="pct"/>
            <w:tcBorders>
              <w:left w:val="single" w:sz="4" w:space="0" w:color="auto"/>
            </w:tcBorders>
            <w:shd w:val="clear" w:color="auto" w:fill="auto"/>
            <w:noWrap/>
            <w:hideMark/>
          </w:tcPr>
          <w:p w14:paraId="6C4C8C6A" w14:textId="0A4758C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107.9414</w:t>
            </w:r>
          </w:p>
        </w:tc>
        <w:tc>
          <w:tcPr>
            <w:tcW w:w="1156" w:type="pct"/>
            <w:shd w:val="clear" w:color="auto" w:fill="auto"/>
            <w:noWrap/>
            <w:hideMark/>
          </w:tcPr>
          <w:p w14:paraId="4FB3A4A2" w14:textId="50D55E7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107.2443</w:t>
            </w:r>
          </w:p>
        </w:tc>
        <w:tc>
          <w:tcPr>
            <w:tcW w:w="774" w:type="pct"/>
            <w:shd w:val="clear" w:color="auto" w:fill="auto"/>
            <w:noWrap/>
            <w:hideMark/>
          </w:tcPr>
          <w:p w14:paraId="39BFCADF" w14:textId="1AC7052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110.6043</w:t>
            </w:r>
          </w:p>
        </w:tc>
        <w:tc>
          <w:tcPr>
            <w:tcW w:w="1030" w:type="pct"/>
            <w:shd w:val="clear" w:color="auto" w:fill="auto"/>
            <w:noWrap/>
            <w:hideMark/>
          </w:tcPr>
          <w:p w14:paraId="0DD695B2" w14:textId="0235FE8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125.1</w:t>
            </w:r>
          </w:p>
        </w:tc>
        <w:tc>
          <w:tcPr>
            <w:tcW w:w="863" w:type="pct"/>
            <w:shd w:val="clear" w:color="auto" w:fill="auto"/>
            <w:noWrap/>
            <w:hideMark/>
          </w:tcPr>
          <w:p w14:paraId="7C39887B" w14:textId="5061821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121.1586</w:t>
            </w:r>
          </w:p>
        </w:tc>
      </w:tr>
      <w:tr w:rsidR="00BF179D" w:rsidRPr="00063AC8" w14:paraId="283F5467" w14:textId="77777777" w:rsidTr="00C13A91">
        <w:trPr>
          <w:trHeight w:val="20"/>
          <w:jc w:val="center"/>
        </w:trPr>
        <w:tc>
          <w:tcPr>
            <w:tcW w:w="508" w:type="pct"/>
            <w:tcBorders>
              <w:right w:val="single" w:sz="4" w:space="0" w:color="auto"/>
            </w:tcBorders>
            <w:shd w:val="clear" w:color="auto" w:fill="auto"/>
            <w:vAlign w:val="center"/>
            <w:hideMark/>
          </w:tcPr>
          <w:p w14:paraId="18230F6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201910</w:t>
            </w:r>
          </w:p>
        </w:tc>
        <w:tc>
          <w:tcPr>
            <w:tcW w:w="669" w:type="pct"/>
            <w:tcBorders>
              <w:left w:val="single" w:sz="4" w:space="0" w:color="auto"/>
            </w:tcBorders>
            <w:shd w:val="clear" w:color="auto" w:fill="auto"/>
            <w:noWrap/>
            <w:hideMark/>
          </w:tcPr>
          <w:p w14:paraId="1413952D" w14:textId="7601591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108.6271</w:t>
            </w:r>
          </w:p>
        </w:tc>
        <w:tc>
          <w:tcPr>
            <w:tcW w:w="1156" w:type="pct"/>
            <w:shd w:val="clear" w:color="auto" w:fill="auto"/>
            <w:noWrap/>
            <w:hideMark/>
          </w:tcPr>
          <w:p w14:paraId="4E4EAB40" w14:textId="01CDE43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107.8886</w:t>
            </w:r>
          </w:p>
        </w:tc>
        <w:tc>
          <w:tcPr>
            <w:tcW w:w="774" w:type="pct"/>
            <w:shd w:val="clear" w:color="auto" w:fill="auto"/>
            <w:noWrap/>
            <w:hideMark/>
          </w:tcPr>
          <w:p w14:paraId="3B0C902A" w14:textId="3C418C9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111.4757</w:t>
            </w:r>
          </w:p>
        </w:tc>
        <w:tc>
          <w:tcPr>
            <w:tcW w:w="1030" w:type="pct"/>
            <w:shd w:val="clear" w:color="auto" w:fill="auto"/>
            <w:noWrap/>
            <w:hideMark/>
          </w:tcPr>
          <w:p w14:paraId="6C0373E5" w14:textId="0943C35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126.6714</w:t>
            </w:r>
          </w:p>
        </w:tc>
        <w:tc>
          <w:tcPr>
            <w:tcW w:w="863" w:type="pct"/>
            <w:shd w:val="clear" w:color="auto" w:fill="auto"/>
            <w:noWrap/>
            <w:hideMark/>
          </w:tcPr>
          <w:p w14:paraId="5B8213D2" w14:textId="0DCB508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121.8443</w:t>
            </w:r>
          </w:p>
        </w:tc>
      </w:tr>
      <w:tr w:rsidR="00BF179D" w:rsidRPr="00063AC8" w14:paraId="3D8AEC1F" w14:textId="77777777" w:rsidTr="00C13A91">
        <w:trPr>
          <w:trHeight w:val="20"/>
          <w:jc w:val="center"/>
        </w:trPr>
        <w:tc>
          <w:tcPr>
            <w:tcW w:w="508" w:type="pct"/>
            <w:tcBorders>
              <w:right w:val="single" w:sz="4" w:space="0" w:color="auto"/>
            </w:tcBorders>
            <w:shd w:val="clear" w:color="auto" w:fill="auto"/>
            <w:vAlign w:val="center"/>
            <w:hideMark/>
          </w:tcPr>
          <w:p w14:paraId="2095C996"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201911</w:t>
            </w:r>
          </w:p>
        </w:tc>
        <w:tc>
          <w:tcPr>
            <w:tcW w:w="669" w:type="pct"/>
            <w:tcBorders>
              <w:left w:val="single" w:sz="4" w:space="0" w:color="auto"/>
            </w:tcBorders>
            <w:shd w:val="clear" w:color="auto" w:fill="auto"/>
            <w:noWrap/>
            <w:hideMark/>
          </w:tcPr>
          <w:p w14:paraId="2D6354FD" w14:textId="649926C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109.7771</w:t>
            </w:r>
          </w:p>
        </w:tc>
        <w:tc>
          <w:tcPr>
            <w:tcW w:w="1156" w:type="pct"/>
            <w:shd w:val="clear" w:color="auto" w:fill="auto"/>
            <w:noWrap/>
            <w:hideMark/>
          </w:tcPr>
          <w:p w14:paraId="56C02B0D" w14:textId="17DC9BC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108.9971</w:t>
            </w:r>
          </w:p>
        </w:tc>
        <w:tc>
          <w:tcPr>
            <w:tcW w:w="774" w:type="pct"/>
            <w:shd w:val="clear" w:color="auto" w:fill="auto"/>
            <w:noWrap/>
            <w:hideMark/>
          </w:tcPr>
          <w:p w14:paraId="254073F5" w14:textId="210106B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112.7043</w:t>
            </w:r>
          </w:p>
        </w:tc>
        <w:tc>
          <w:tcPr>
            <w:tcW w:w="1030" w:type="pct"/>
            <w:shd w:val="clear" w:color="auto" w:fill="auto"/>
            <w:noWrap/>
            <w:hideMark/>
          </w:tcPr>
          <w:p w14:paraId="34AD3680" w14:textId="3CB01CF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127.1857</w:t>
            </w:r>
          </w:p>
        </w:tc>
        <w:tc>
          <w:tcPr>
            <w:tcW w:w="863" w:type="pct"/>
            <w:shd w:val="clear" w:color="auto" w:fill="auto"/>
            <w:noWrap/>
            <w:hideMark/>
          </w:tcPr>
          <w:p w14:paraId="7410A4B0" w14:textId="6E62615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122.6871</w:t>
            </w:r>
          </w:p>
        </w:tc>
      </w:tr>
      <w:tr w:rsidR="00BF179D" w:rsidRPr="00063AC8" w14:paraId="5D5CD79C" w14:textId="77777777" w:rsidTr="00C13A91">
        <w:trPr>
          <w:trHeight w:val="20"/>
          <w:jc w:val="center"/>
        </w:trPr>
        <w:tc>
          <w:tcPr>
            <w:tcW w:w="508" w:type="pct"/>
            <w:tcBorders>
              <w:right w:val="single" w:sz="4" w:space="0" w:color="auto"/>
            </w:tcBorders>
            <w:shd w:val="clear" w:color="auto" w:fill="auto"/>
            <w:vAlign w:val="center"/>
            <w:hideMark/>
          </w:tcPr>
          <w:p w14:paraId="1591489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201912</w:t>
            </w:r>
          </w:p>
        </w:tc>
        <w:tc>
          <w:tcPr>
            <w:tcW w:w="669" w:type="pct"/>
            <w:tcBorders>
              <w:left w:val="single" w:sz="4" w:space="0" w:color="auto"/>
            </w:tcBorders>
            <w:shd w:val="clear" w:color="auto" w:fill="auto"/>
            <w:noWrap/>
            <w:hideMark/>
          </w:tcPr>
          <w:p w14:paraId="019A8ED8" w14:textId="0BA49A3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110.5529</w:t>
            </w:r>
          </w:p>
        </w:tc>
        <w:tc>
          <w:tcPr>
            <w:tcW w:w="1156" w:type="pct"/>
            <w:shd w:val="clear" w:color="auto" w:fill="auto"/>
            <w:noWrap/>
            <w:hideMark/>
          </w:tcPr>
          <w:p w14:paraId="21669A9C" w14:textId="42124B3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109.6914</w:t>
            </w:r>
          </w:p>
        </w:tc>
        <w:tc>
          <w:tcPr>
            <w:tcW w:w="774" w:type="pct"/>
            <w:shd w:val="clear" w:color="auto" w:fill="auto"/>
            <w:noWrap/>
            <w:hideMark/>
          </w:tcPr>
          <w:p w14:paraId="7846179B" w14:textId="3EB25A8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113.72</w:t>
            </w:r>
          </w:p>
        </w:tc>
        <w:tc>
          <w:tcPr>
            <w:tcW w:w="1030" w:type="pct"/>
            <w:shd w:val="clear" w:color="auto" w:fill="auto"/>
            <w:noWrap/>
            <w:hideMark/>
          </w:tcPr>
          <w:p w14:paraId="34047ED9" w14:textId="5539400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129.7143</w:t>
            </w:r>
          </w:p>
        </w:tc>
        <w:tc>
          <w:tcPr>
            <w:tcW w:w="863" w:type="pct"/>
            <w:shd w:val="clear" w:color="auto" w:fill="auto"/>
            <w:noWrap/>
            <w:hideMark/>
          </w:tcPr>
          <w:p w14:paraId="2B830B7F" w14:textId="7BED091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122.62</w:t>
            </w:r>
          </w:p>
        </w:tc>
      </w:tr>
      <w:tr w:rsidR="00BF179D" w:rsidRPr="00063AC8" w14:paraId="0C545887" w14:textId="77777777" w:rsidTr="00C13A91">
        <w:trPr>
          <w:trHeight w:val="20"/>
          <w:jc w:val="center"/>
        </w:trPr>
        <w:tc>
          <w:tcPr>
            <w:tcW w:w="508" w:type="pct"/>
            <w:tcBorders>
              <w:right w:val="single" w:sz="4" w:space="0" w:color="auto"/>
            </w:tcBorders>
            <w:shd w:val="clear" w:color="auto" w:fill="auto"/>
            <w:vAlign w:val="center"/>
            <w:hideMark/>
          </w:tcPr>
          <w:p w14:paraId="4DC858A8"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202001</w:t>
            </w:r>
          </w:p>
        </w:tc>
        <w:tc>
          <w:tcPr>
            <w:tcW w:w="669" w:type="pct"/>
            <w:tcBorders>
              <w:left w:val="single" w:sz="4" w:space="0" w:color="auto"/>
            </w:tcBorders>
            <w:shd w:val="clear" w:color="auto" w:fill="auto"/>
            <w:noWrap/>
            <w:hideMark/>
          </w:tcPr>
          <w:p w14:paraId="19FE0ED5" w14:textId="5EC1203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110.6871</w:t>
            </w:r>
          </w:p>
        </w:tc>
        <w:tc>
          <w:tcPr>
            <w:tcW w:w="1156" w:type="pct"/>
            <w:shd w:val="clear" w:color="auto" w:fill="auto"/>
            <w:noWrap/>
            <w:hideMark/>
          </w:tcPr>
          <w:p w14:paraId="428BC723" w14:textId="7378204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109.6629</w:t>
            </w:r>
          </w:p>
        </w:tc>
        <w:tc>
          <w:tcPr>
            <w:tcW w:w="774" w:type="pct"/>
            <w:shd w:val="clear" w:color="auto" w:fill="auto"/>
            <w:noWrap/>
            <w:hideMark/>
          </w:tcPr>
          <w:p w14:paraId="076367AE" w14:textId="391E3E5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114.3857</w:t>
            </w:r>
          </w:p>
        </w:tc>
        <w:tc>
          <w:tcPr>
            <w:tcW w:w="1030" w:type="pct"/>
            <w:shd w:val="clear" w:color="auto" w:fill="auto"/>
            <w:noWrap/>
            <w:hideMark/>
          </w:tcPr>
          <w:p w14:paraId="0B8D2926" w14:textId="671621B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131.0143</w:t>
            </w:r>
          </w:p>
        </w:tc>
        <w:tc>
          <w:tcPr>
            <w:tcW w:w="863" w:type="pct"/>
            <w:shd w:val="clear" w:color="auto" w:fill="auto"/>
            <w:noWrap/>
            <w:hideMark/>
          </w:tcPr>
          <w:p w14:paraId="41704D5A" w14:textId="7BFDBDC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125.2143</w:t>
            </w:r>
          </w:p>
        </w:tc>
      </w:tr>
      <w:tr w:rsidR="00BF179D" w:rsidRPr="00063AC8" w14:paraId="34857375" w14:textId="77777777" w:rsidTr="00C13A91">
        <w:trPr>
          <w:trHeight w:val="20"/>
          <w:jc w:val="center"/>
        </w:trPr>
        <w:tc>
          <w:tcPr>
            <w:tcW w:w="508" w:type="pct"/>
            <w:tcBorders>
              <w:right w:val="single" w:sz="4" w:space="0" w:color="auto"/>
            </w:tcBorders>
            <w:shd w:val="clear" w:color="auto" w:fill="auto"/>
            <w:vAlign w:val="center"/>
            <w:hideMark/>
          </w:tcPr>
          <w:p w14:paraId="1AD4FCE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202002</w:t>
            </w:r>
          </w:p>
        </w:tc>
        <w:tc>
          <w:tcPr>
            <w:tcW w:w="669" w:type="pct"/>
            <w:tcBorders>
              <w:left w:val="single" w:sz="4" w:space="0" w:color="auto"/>
            </w:tcBorders>
            <w:shd w:val="clear" w:color="auto" w:fill="auto"/>
            <w:noWrap/>
            <w:hideMark/>
          </w:tcPr>
          <w:p w14:paraId="77F7C751" w14:textId="2294E6C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110.6357</w:t>
            </w:r>
          </w:p>
        </w:tc>
        <w:tc>
          <w:tcPr>
            <w:tcW w:w="1156" w:type="pct"/>
            <w:shd w:val="clear" w:color="auto" w:fill="auto"/>
            <w:noWrap/>
            <w:hideMark/>
          </w:tcPr>
          <w:p w14:paraId="77A6699B" w14:textId="2A7319F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109.5114</w:t>
            </w:r>
          </w:p>
        </w:tc>
        <w:tc>
          <w:tcPr>
            <w:tcW w:w="774" w:type="pct"/>
            <w:shd w:val="clear" w:color="auto" w:fill="auto"/>
            <w:noWrap/>
            <w:hideMark/>
          </w:tcPr>
          <w:p w14:paraId="462E50D3" w14:textId="468E444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114.5143</w:t>
            </w:r>
          </w:p>
        </w:tc>
        <w:tc>
          <w:tcPr>
            <w:tcW w:w="1030" w:type="pct"/>
            <w:shd w:val="clear" w:color="auto" w:fill="auto"/>
            <w:noWrap/>
            <w:hideMark/>
          </w:tcPr>
          <w:p w14:paraId="79DF8FAE" w14:textId="00A59F9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131.2857</w:t>
            </w:r>
          </w:p>
        </w:tc>
        <w:tc>
          <w:tcPr>
            <w:tcW w:w="863" w:type="pct"/>
            <w:shd w:val="clear" w:color="auto" w:fill="auto"/>
            <w:noWrap/>
            <w:hideMark/>
          </w:tcPr>
          <w:p w14:paraId="10980F09" w14:textId="1AA9798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124.1429</w:t>
            </w:r>
          </w:p>
        </w:tc>
      </w:tr>
      <w:tr w:rsidR="00BF179D" w:rsidRPr="00063AC8" w14:paraId="4265A90E" w14:textId="77777777" w:rsidTr="00C13A91">
        <w:trPr>
          <w:trHeight w:val="20"/>
          <w:jc w:val="center"/>
        </w:trPr>
        <w:tc>
          <w:tcPr>
            <w:tcW w:w="508" w:type="pct"/>
            <w:tcBorders>
              <w:right w:val="single" w:sz="4" w:space="0" w:color="auto"/>
            </w:tcBorders>
            <w:shd w:val="clear" w:color="auto" w:fill="auto"/>
            <w:vAlign w:val="center"/>
            <w:hideMark/>
          </w:tcPr>
          <w:p w14:paraId="7EAB294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202003</w:t>
            </w:r>
          </w:p>
        </w:tc>
        <w:tc>
          <w:tcPr>
            <w:tcW w:w="669" w:type="pct"/>
            <w:tcBorders>
              <w:left w:val="single" w:sz="4" w:space="0" w:color="auto"/>
            </w:tcBorders>
            <w:shd w:val="clear" w:color="auto" w:fill="auto"/>
            <w:noWrap/>
            <w:hideMark/>
          </w:tcPr>
          <w:p w14:paraId="075B06C6" w14:textId="3A2468F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110.3157</w:t>
            </w:r>
          </w:p>
        </w:tc>
        <w:tc>
          <w:tcPr>
            <w:tcW w:w="1156" w:type="pct"/>
            <w:shd w:val="clear" w:color="auto" w:fill="auto"/>
            <w:noWrap/>
            <w:hideMark/>
          </w:tcPr>
          <w:p w14:paraId="4A1F9127" w14:textId="252393D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108.94</w:t>
            </w:r>
          </w:p>
        </w:tc>
        <w:tc>
          <w:tcPr>
            <w:tcW w:w="774" w:type="pct"/>
            <w:shd w:val="clear" w:color="auto" w:fill="auto"/>
            <w:noWrap/>
            <w:hideMark/>
          </w:tcPr>
          <w:p w14:paraId="381059FD" w14:textId="3DE03A6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114.9429</w:t>
            </w:r>
          </w:p>
        </w:tc>
        <w:tc>
          <w:tcPr>
            <w:tcW w:w="1030" w:type="pct"/>
            <w:shd w:val="clear" w:color="auto" w:fill="auto"/>
            <w:noWrap/>
            <w:hideMark/>
          </w:tcPr>
          <w:p w14:paraId="66590A10" w14:textId="11A78FE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132.3857</w:t>
            </w:r>
          </w:p>
        </w:tc>
        <w:tc>
          <w:tcPr>
            <w:tcW w:w="863" w:type="pct"/>
            <w:shd w:val="clear" w:color="auto" w:fill="auto"/>
            <w:noWrap/>
            <w:hideMark/>
          </w:tcPr>
          <w:p w14:paraId="00E3E8C6" w14:textId="2D61669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126.4571</w:t>
            </w:r>
          </w:p>
        </w:tc>
      </w:tr>
      <w:tr w:rsidR="00BF179D" w:rsidRPr="00063AC8" w14:paraId="42B32A22" w14:textId="77777777" w:rsidTr="00C13A91">
        <w:trPr>
          <w:trHeight w:val="20"/>
          <w:jc w:val="center"/>
        </w:trPr>
        <w:tc>
          <w:tcPr>
            <w:tcW w:w="508" w:type="pct"/>
            <w:tcBorders>
              <w:right w:val="single" w:sz="4" w:space="0" w:color="auto"/>
            </w:tcBorders>
            <w:shd w:val="clear" w:color="auto" w:fill="auto"/>
            <w:vAlign w:val="center"/>
            <w:hideMark/>
          </w:tcPr>
          <w:p w14:paraId="51134F9C"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202004</w:t>
            </w:r>
          </w:p>
        </w:tc>
        <w:tc>
          <w:tcPr>
            <w:tcW w:w="669" w:type="pct"/>
            <w:tcBorders>
              <w:left w:val="single" w:sz="4" w:space="0" w:color="auto"/>
            </w:tcBorders>
            <w:shd w:val="clear" w:color="auto" w:fill="auto"/>
            <w:noWrap/>
            <w:hideMark/>
          </w:tcPr>
          <w:p w14:paraId="6CE1EA96" w14:textId="08348AF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110.2014</w:t>
            </w:r>
          </w:p>
        </w:tc>
        <w:tc>
          <w:tcPr>
            <w:tcW w:w="1156" w:type="pct"/>
            <w:shd w:val="clear" w:color="auto" w:fill="auto"/>
            <w:noWrap/>
            <w:hideMark/>
          </w:tcPr>
          <w:p w14:paraId="31F1714E" w14:textId="66CDA07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108.8157</w:t>
            </w:r>
          </w:p>
        </w:tc>
        <w:tc>
          <w:tcPr>
            <w:tcW w:w="774" w:type="pct"/>
            <w:shd w:val="clear" w:color="auto" w:fill="auto"/>
            <w:noWrap/>
            <w:hideMark/>
          </w:tcPr>
          <w:p w14:paraId="16949E12" w14:textId="4E16F5D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114.8571</w:t>
            </w:r>
          </w:p>
        </w:tc>
        <w:tc>
          <w:tcPr>
            <w:tcW w:w="1030" w:type="pct"/>
            <w:shd w:val="clear" w:color="auto" w:fill="auto"/>
            <w:noWrap/>
            <w:hideMark/>
          </w:tcPr>
          <w:p w14:paraId="5E80DF1F" w14:textId="6524231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133.2571</w:t>
            </w:r>
          </w:p>
        </w:tc>
        <w:tc>
          <w:tcPr>
            <w:tcW w:w="863" w:type="pct"/>
            <w:shd w:val="clear" w:color="auto" w:fill="auto"/>
            <w:noWrap/>
            <w:hideMark/>
          </w:tcPr>
          <w:p w14:paraId="10FC8626" w14:textId="7BFA879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126.9429</w:t>
            </w:r>
          </w:p>
        </w:tc>
      </w:tr>
      <w:tr w:rsidR="00BF179D" w:rsidRPr="00063AC8" w14:paraId="3C82AE99" w14:textId="77777777" w:rsidTr="00C13A91">
        <w:trPr>
          <w:trHeight w:val="20"/>
          <w:jc w:val="center"/>
        </w:trPr>
        <w:tc>
          <w:tcPr>
            <w:tcW w:w="508" w:type="pct"/>
            <w:tcBorders>
              <w:right w:val="single" w:sz="4" w:space="0" w:color="auto"/>
            </w:tcBorders>
            <w:shd w:val="clear" w:color="auto" w:fill="auto"/>
            <w:vAlign w:val="center"/>
            <w:hideMark/>
          </w:tcPr>
          <w:p w14:paraId="6E643B62"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202005</w:t>
            </w:r>
          </w:p>
        </w:tc>
        <w:tc>
          <w:tcPr>
            <w:tcW w:w="669" w:type="pct"/>
            <w:tcBorders>
              <w:left w:val="single" w:sz="4" w:space="0" w:color="auto"/>
            </w:tcBorders>
            <w:shd w:val="clear" w:color="auto" w:fill="auto"/>
            <w:noWrap/>
            <w:hideMark/>
          </w:tcPr>
          <w:p w14:paraId="1647010F" w14:textId="56B8DB3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110.1729</w:t>
            </w:r>
          </w:p>
        </w:tc>
        <w:tc>
          <w:tcPr>
            <w:tcW w:w="1156" w:type="pct"/>
            <w:shd w:val="clear" w:color="auto" w:fill="auto"/>
            <w:noWrap/>
            <w:hideMark/>
          </w:tcPr>
          <w:p w14:paraId="3D006A00" w14:textId="335ED0C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108.6771</w:t>
            </w:r>
          </w:p>
        </w:tc>
        <w:tc>
          <w:tcPr>
            <w:tcW w:w="774" w:type="pct"/>
            <w:shd w:val="clear" w:color="auto" w:fill="auto"/>
            <w:noWrap/>
            <w:hideMark/>
          </w:tcPr>
          <w:p w14:paraId="53EF5BC3" w14:textId="6740B98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114.7429</w:t>
            </w:r>
          </w:p>
        </w:tc>
        <w:tc>
          <w:tcPr>
            <w:tcW w:w="1030" w:type="pct"/>
            <w:shd w:val="clear" w:color="auto" w:fill="auto"/>
            <w:noWrap/>
            <w:hideMark/>
          </w:tcPr>
          <w:p w14:paraId="20A038E9" w14:textId="39DD21F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132.1143</w:t>
            </w:r>
          </w:p>
        </w:tc>
        <w:tc>
          <w:tcPr>
            <w:tcW w:w="863" w:type="pct"/>
            <w:shd w:val="clear" w:color="auto" w:fill="auto"/>
            <w:noWrap/>
            <w:hideMark/>
          </w:tcPr>
          <w:p w14:paraId="3DB3F9CB" w14:textId="49B833F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125.6571</w:t>
            </w:r>
          </w:p>
        </w:tc>
      </w:tr>
      <w:tr w:rsidR="00BF179D" w:rsidRPr="00063AC8" w14:paraId="16128989" w14:textId="77777777" w:rsidTr="00C13A91">
        <w:trPr>
          <w:trHeight w:val="20"/>
          <w:jc w:val="center"/>
        </w:trPr>
        <w:tc>
          <w:tcPr>
            <w:tcW w:w="508" w:type="pct"/>
            <w:tcBorders>
              <w:right w:val="single" w:sz="4" w:space="0" w:color="auto"/>
            </w:tcBorders>
            <w:shd w:val="clear" w:color="auto" w:fill="auto"/>
            <w:vAlign w:val="center"/>
            <w:hideMark/>
          </w:tcPr>
          <w:p w14:paraId="7C70F2DA"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202006</w:t>
            </w:r>
          </w:p>
        </w:tc>
        <w:tc>
          <w:tcPr>
            <w:tcW w:w="669" w:type="pct"/>
            <w:tcBorders>
              <w:left w:val="single" w:sz="4" w:space="0" w:color="auto"/>
            </w:tcBorders>
            <w:shd w:val="clear" w:color="auto" w:fill="auto"/>
            <w:noWrap/>
            <w:hideMark/>
          </w:tcPr>
          <w:p w14:paraId="14219C25" w14:textId="4C192BF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110.1157</w:t>
            </w:r>
          </w:p>
        </w:tc>
        <w:tc>
          <w:tcPr>
            <w:tcW w:w="1156" w:type="pct"/>
            <w:shd w:val="clear" w:color="auto" w:fill="auto"/>
            <w:noWrap/>
            <w:hideMark/>
          </w:tcPr>
          <w:p w14:paraId="686FF029" w14:textId="40A3080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108.2371</w:t>
            </w:r>
          </w:p>
        </w:tc>
        <w:tc>
          <w:tcPr>
            <w:tcW w:w="774" w:type="pct"/>
            <w:shd w:val="clear" w:color="auto" w:fill="auto"/>
            <w:noWrap/>
            <w:hideMark/>
          </w:tcPr>
          <w:p w14:paraId="295D41FE" w14:textId="3CDB031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w:t>
            </w:r>
          </w:p>
        </w:tc>
        <w:tc>
          <w:tcPr>
            <w:tcW w:w="1030" w:type="pct"/>
            <w:shd w:val="clear" w:color="auto" w:fill="auto"/>
            <w:noWrap/>
            <w:hideMark/>
          </w:tcPr>
          <w:p w14:paraId="79B972BB" w14:textId="34A4F18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132.6429</w:t>
            </w:r>
          </w:p>
        </w:tc>
        <w:tc>
          <w:tcPr>
            <w:tcW w:w="863" w:type="pct"/>
            <w:shd w:val="clear" w:color="auto" w:fill="auto"/>
            <w:noWrap/>
            <w:hideMark/>
          </w:tcPr>
          <w:p w14:paraId="5A735862" w14:textId="4B7C170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125.1857</w:t>
            </w:r>
          </w:p>
        </w:tc>
      </w:tr>
      <w:tr w:rsidR="00BF179D" w:rsidRPr="00063AC8" w14:paraId="5B839E5F" w14:textId="77777777" w:rsidTr="00C13A91">
        <w:trPr>
          <w:trHeight w:val="20"/>
          <w:jc w:val="center"/>
        </w:trPr>
        <w:tc>
          <w:tcPr>
            <w:tcW w:w="508" w:type="pct"/>
            <w:tcBorders>
              <w:right w:val="single" w:sz="4" w:space="0" w:color="auto"/>
            </w:tcBorders>
            <w:shd w:val="clear" w:color="auto" w:fill="auto"/>
            <w:vAlign w:val="center"/>
            <w:hideMark/>
          </w:tcPr>
          <w:p w14:paraId="60330FC1"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202007</w:t>
            </w:r>
          </w:p>
        </w:tc>
        <w:tc>
          <w:tcPr>
            <w:tcW w:w="669" w:type="pct"/>
            <w:tcBorders>
              <w:left w:val="single" w:sz="4" w:space="0" w:color="auto"/>
            </w:tcBorders>
            <w:shd w:val="clear" w:color="auto" w:fill="auto"/>
            <w:noWrap/>
            <w:hideMark/>
          </w:tcPr>
          <w:p w14:paraId="21F047CA" w14:textId="261D971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110.03</w:t>
            </w:r>
          </w:p>
        </w:tc>
        <w:tc>
          <w:tcPr>
            <w:tcW w:w="1156" w:type="pct"/>
            <w:shd w:val="clear" w:color="auto" w:fill="auto"/>
            <w:noWrap/>
            <w:hideMark/>
          </w:tcPr>
          <w:p w14:paraId="19FEE0B5" w14:textId="39F5B38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108.08</w:t>
            </w:r>
          </w:p>
        </w:tc>
        <w:tc>
          <w:tcPr>
            <w:tcW w:w="774" w:type="pct"/>
            <w:shd w:val="clear" w:color="auto" w:fill="auto"/>
            <w:noWrap/>
            <w:hideMark/>
          </w:tcPr>
          <w:p w14:paraId="61FF4ECD" w14:textId="3E75AE0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115.0286</w:t>
            </w:r>
          </w:p>
        </w:tc>
        <w:tc>
          <w:tcPr>
            <w:tcW w:w="1030" w:type="pct"/>
            <w:shd w:val="clear" w:color="auto" w:fill="auto"/>
            <w:noWrap/>
            <w:hideMark/>
          </w:tcPr>
          <w:p w14:paraId="1A7F0084" w14:textId="3B89BFE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132.0571</w:t>
            </w:r>
          </w:p>
        </w:tc>
        <w:tc>
          <w:tcPr>
            <w:tcW w:w="863" w:type="pct"/>
            <w:shd w:val="clear" w:color="auto" w:fill="auto"/>
            <w:noWrap/>
            <w:hideMark/>
          </w:tcPr>
          <w:p w14:paraId="15438CF7" w14:textId="705D3C5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127.7714</w:t>
            </w:r>
          </w:p>
        </w:tc>
      </w:tr>
      <w:tr w:rsidR="00BF179D" w:rsidRPr="00063AC8" w14:paraId="3DC8414C" w14:textId="77777777" w:rsidTr="00C13A91">
        <w:trPr>
          <w:trHeight w:val="20"/>
          <w:jc w:val="center"/>
        </w:trPr>
        <w:tc>
          <w:tcPr>
            <w:tcW w:w="508" w:type="pct"/>
            <w:tcBorders>
              <w:right w:val="single" w:sz="4" w:space="0" w:color="auto"/>
            </w:tcBorders>
            <w:shd w:val="clear" w:color="auto" w:fill="auto"/>
            <w:vAlign w:val="center"/>
            <w:hideMark/>
          </w:tcPr>
          <w:p w14:paraId="635F76A8"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202008</w:t>
            </w:r>
          </w:p>
        </w:tc>
        <w:tc>
          <w:tcPr>
            <w:tcW w:w="669" w:type="pct"/>
            <w:tcBorders>
              <w:left w:val="single" w:sz="4" w:space="0" w:color="auto"/>
            </w:tcBorders>
            <w:shd w:val="clear" w:color="auto" w:fill="auto"/>
            <w:noWrap/>
            <w:hideMark/>
          </w:tcPr>
          <w:p w14:paraId="6057E432" w14:textId="7A5E914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110.1433</w:t>
            </w:r>
          </w:p>
        </w:tc>
        <w:tc>
          <w:tcPr>
            <w:tcW w:w="1156" w:type="pct"/>
            <w:shd w:val="clear" w:color="auto" w:fill="auto"/>
            <w:noWrap/>
            <w:hideMark/>
          </w:tcPr>
          <w:p w14:paraId="26DA31D9" w14:textId="0573E49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108.0783</w:t>
            </w:r>
          </w:p>
        </w:tc>
        <w:tc>
          <w:tcPr>
            <w:tcW w:w="774" w:type="pct"/>
            <w:shd w:val="clear" w:color="auto" w:fill="auto"/>
            <w:noWrap/>
            <w:hideMark/>
          </w:tcPr>
          <w:p w14:paraId="1BB729F3" w14:textId="0061073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115.2333</w:t>
            </w:r>
          </w:p>
        </w:tc>
        <w:tc>
          <w:tcPr>
            <w:tcW w:w="1030" w:type="pct"/>
            <w:shd w:val="clear" w:color="auto" w:fill="auto"/>
            <w:noWrap/>
            <w:hideMark/>
          </w:tcPr>
          <w:p w14:paraId="5CD11A21" w14:textId="4016C4B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131.8</w:t>
            </w:r>
          </w:p>
        </w:tc>
        <w:tc>
          <w:tcPr>
            <w:tcW w:w="863" w:type="pct"/>
            <w:shd w:val="clear" w:color="auto" w:fill="auto"/>
            <w:noWrap/>
            <w:hideMark/>
          </w:tcPr>
          <w:p w14:paraId="5CE44F6F" w14:textId="5A3D940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128.0833</w:t>
            </w:r>
          </w:p>
        </w:tc>
      </w:tr>
      <w:tr w:rsidR="00BF179D" w:rsidRPr="00063AC8" w14:paraId="75BB793D" w14:textId="77777777" w:rsidTr="00C13A91">
        <w:trPr>
          <w:trHeight w:val="20"/>
          <w:jc w:val="center"/>
        </w:trPr>
        <w:tc>
          <w:tcPr>
            <w:tcW w:w="508" w:type="pct"/>
            <w:tcBorders>
              <w:right w:val="single" w:sz="4" w:space="0" w:color="auto"/>
            </w:tcBorders>
            <w:shd w:val="clear" w:color="auto" w:fill="auto"/>
            <w:vAlign w:val="center"/>
            <w:hideMark/>
          </w:tcPr>
          <w:p w14:paraId="467DD0A2"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202009</w:t>
            </w:r>
          </w:p>
        </w:tc>
        <w:tc>
          <w:tcPr>
            <w:tcW w:w="669" w:type="pct"/>
            <w:tcBorders>
              <w:left w:val="single" w:sz="4" w:space="0" w:color="auto"/>
            </w:tcBorders>
            <w:shd w:val="clear" w:color="auto" w:fill="auto"/>
            <w:noWrap/>
            <w:hideMark/>
          </w:tcPr>
          <w:p w14:paraId="63B9B064" w14:textId="36D8DD9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110.426</w:t>
            </w:r>
          </w:p>
        </w:tc>
        <w:tc>
          <w:tcPr>
            <w:tcW w:w="1156" w:type="pct"/>
            <w:shd w:val="clear" w:color="auto" w:fill="auto"/>
            <w:noWrap/>
            <w:hideMark/>
          </w:tcPr>
          <w:p w14:paraId="65B0C87D" w14:textId="5795D41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108.258</w:t>
            </w:r>
          </w:p>
        </w:tc>
        <w:tc>
          <w:tcPr>
            <w:tcW w:w="774" w:type="pct"/>
            <w:shd w:val="clear" w:color="auto" w:fill="auto"/>
            <w:noWrap/>
            <w:hideMark/>
          </w:tcPr>
          <w:p w14:paraId="4A084D49" w14:textId="4721CAE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115.58</w:t>
            </w:r>
          </w:p>
        </w:tc>
        <w:tc>
          <w:tcPr>
            <w:tcW w:w="1030" w:type="pct"/>
            <w:shd w:val="clear" w:color="auto" w:fill="auto"/>
            <w:noWrap/>
            <w:hideMark/>
          </w:tcPr>
          <w:p w14:paraId="3B89B63F" w14:textId="2C28C12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132.56</w:t>
            </w:r>
          </w:p>
        </w:tc>
        <w:tc>
          <w:tcPr>
            <w:tcW w:w="863" w:type="pct"/>
            <w:shd w:val="clear" w:color="auto" w:fill="auto"/>
            <w:noWrap/>
            <w:hideMark/>
          </w:tcPr>
          <w:p w14:paraId="2D2168BA" w14:textId="50EF5BF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130.22</w:t>
            </w:r>
          </w:p>
        </w:tc>
      </w:tr>
      <w:tr w:rsidR="00BF179D" w:rsidRPr="00063AC8" w14:paraId="377AD44F" w14:textId="77777777" w:rsidTr="00C13A91">
        <w:trPr>
          <w:trHeight w:val="20"/>
          <w:jc w:val="center"/>
        </w:trPr>
        <w:tc>
          <w:tcPr>
            <w:tcW w:w="508" w:type="pct"/>
            <w:tcBorders>
              <w:bottom w:val="double" w:sz="4" w:space="0" w:color="auto"/>
              <w:right w:val="single" w:sz="4" w:space="0" w:color="auto"/>
            </w:tcBorders>
            <w:shd w:val="clear" w:color="auto" w:fill="auto"/>
            <w:vAlign w:val="center"/>
            <w:hideMark/>
          </w:tcPr>
          <w:p w14:paraId="342718EA"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202010</w:t>
            </w:r>
          </w:p>
        </w:tc>
        <w:tc>
          <w:tcPr>
            <w:tcW w:w="669" w:type="pct"/>
            <w:tcBorders>
              <w:left w:val="single" w:sz="4" w:space="0" w:color="auto"/>
            </w:tcBorders>
            <w:shd w:val="clear" w:color="auto" w:fill="auto"/>
            <w:noWrap/>
            <w:hideMark/>
          </w:tcPr>
          <w:p w14:paraId="5AF3974E" w14:textId="2C1FE7A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110.8175</w:t>
            </w:r>
          </w:p>
        </w:tc>
        <w:tc>
          <w:tcPr>
            <w:tcW w:w="1156" w:type="pct"/>
            <w:shd w:val="clear" w:color="auto" w:fill="auto"/>
            <w:noWrap/>
            <w:hideMark/>
          </w:tcPr>
          <w:p w14:paraId="4E00846B" w14:textId="01104F9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108.7225</w:t>
            </w:r>
          </w:p>
        </w:tc>
        <w:tc>
          <w:tcPr>
            <w:tcW w:w="774" w:type="pct"/>
            <w:shd w:val="clear" w:color="auto" w:fill="auto"/>
            <w:noWrap/>
            <w:hideMark/>
          </w:tcPr>
          <w:p w14:paraId="04E4EB18" w14:textId="34BF853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115.25</w:t>
            </w:r>
          </w:p>
        </w:tc>
        <w:tc>
          <w:tcPr>
            <w:tcW w:w="1030" w:type="pct"/>
            <w:shd w:val="clear" w:color="auto" w:fill="auto"/>
            <w:noWrap/>
            <w:hideMark/>
          </w:tcPr>
          <w:p w14:paraId="5D1BB29C" w14:textId="4C9A170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132.725</w:t>
            </w:r>
          </w:p>
        </w:tc>
        <w:tc>
          <w:tcPr>
            <w:tcW w:w="863" w:type="pct"/>
            <w:shd w:val="clear" w:color="auto" w:fill="auto"/>
            <w:noWrap/>
            <w:hideMark/>
          </w:tcPr>
          <w:p w14:paraId="0AA00209" w14:textId="4054D4A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129.35</w:t>
            </w:r>
          </w:p>
        </w:tc>
      </w:tr>
    </w:tbl>
    <w:p w14:paraId="293EA2FE" w14:textId="00695790" w:rsidR="00063AC8" w:rsidRDefault="00063AC8" w:rsidP="002C52A2">
      <w:pPr>
        <w:spacing w:before="120" w:after="120" w:line="276" w:lineRule="auto"/>
        <w:rPr>
          <w:rFonts w:asciiTheme="majorHAnsi" w:eastAsiaTheme="majorEastAsia" w:hAnsiTheme="majorHAnsi" w:cstheme="majorHAnsi"/>
          <w:bCs/>
          <w:sz w:val="20"/>
          <w:szCs w:val="20"/>
        </w:rPr>
      </w:pPr>
    </w:p>
    <w:p w14:paraId="6CB03FB8" w14:textId="6A5D5692" w:rsidR="00BF179D" w:rsidRDefault="00BF179D" w:rsidP="00BF179D">
      <w:pPr>
        <w:rPr>
          <w:rFonts w:asciiTheme="majorHAnsi" w:eastAsiaTheme="majorEastAsia" w:hAnsiTheme="majorHAnsi" w:cstheme="majorHAnsi"/>
          <w:bCs/>
        </w:rPr>
      </w:pPr>
      <w:r w:rsidRPr="00063AC8">
        <w:rPr>
          <w:rFonts w:asciiTheme="majorHAnsi" w:eastAsiaTheme="majorEastAsia" w:hAnsiTheme="majorHAnsi" w:cstheme="majorHAnsi"/>
          <w:bCs/>
        </w:rPr>
        <w:t>Panel</w:t>
      </w:r>
      <w:r>
        <w:rPr>
          <w:rFonts w:asciiTheme="majorHAnsi" w:eastAsiaTheme="majorEastAsia" w:hAnsiTheme="majorHAnsi" w:cstheme="majorHAnsi"/>
          <w:bCs/>
        </w:rPr>
        <w:t>.C</w:t>
      </w:r>
      <w:r w:rsidRPr="00063AC8">
        <w:rPr>
          <w:rFonts w:asciiTheme="majorHAnsi" w:eastAsiaTheme="majorEastAsia" w:hAnsiTheme="majorHAnsi" w:cstheme="majorHAnsi"/>
          <w:bCs/>
        </w:rPr>
        <w:t xml:space="preserve"> </w:t>
      </w:r>
      <w:r>
        <w:rPr>
          <w:rFonts w:asciiTheme="majorHAnsi" w:eastAsiaTheme="majorEastAsia" w:hAnsiTheme="majorHAnsi" w:cstheme="majorHAnsi"/>
          <w:bCs/>
        </w:rPr>
        <w:t>House</w:t>
      </w:r>
      <w:r w:rsidRPr="00063AC8">
        <w:rPr>
          <w:rFonts w:asciiTheme="majorHAnsi" w:eastAsiaTheme="majorEastAsia" w:hAnsiTheme="majorHAnsi" w:cstheme="majorHAnsi"/>
          <w:bCs/>
        </w:rPr>
        <w:t xml:space="preserve"> </w:t>
      </w:r>
      <w:r>
        <w:rPr>
          <w:rFonts w:asciiTheme="majorHAnsi" w:eastAsiaTheme="majorEastAsia" w:hAnsiTheme="majorHAnsi" w:cstheme="majorHAnsi"/>
          <w:bCs/>
        </w:rPr>
        <w:t>Rental</w:t>
      </w:r>
      <w:r w:rsidRPr="00063AC8">
        <w:rPr>
          <w:rFonts w:asciiTheme="majorHAnsi" w:eastAsiaTheme="majorEastAsia" w:hAnsiTheme="majorHAnsi" w:cstheme="majorHAnsi"/>
          <w:bCs/>
        </w:rPr>
        <w:t xml:space="preserve"> Index</w:t>
      </w:r>
    </w:p>
    <w:tbl>
      <w:tblPr>
        <w:tblW w:w="5000" w:type="pct"/>
        <w:jc w:val="center"/>
        <w:tblBorders>
          <w:top w:val="double" w:sz="4" w:space="0" w:color="auto"/>
          <w:bottom w:val="double" w:sz="4" w:space="0" w:color="auto"/>
        </w:tblBorders>
        <w:tblCellMar>
          <w:left w:w="28" w:type="dxa"/>
          <w:right w:w="28" w:type="dxa"/>
        </w:tblCellMar>
        <w:tblLook w:val="04A0" w:firstRow="1" w:lastRow="0" w:firstColumn="1" w:lastColumn="0" w:noHBand="0" w:noVBand="1"/>
      </w:tblPr>
      <w:tblGrid>
        <w:gridCol w:w="979"/>
        <w:gridCol w:w="1290"/>
        <w:gridCol w:w="2228"/>
        <w:gridCol w:w="1492"/>
        <w:gridCol w:w="1985"/>
        <w:gridCol w:w="1664"/>
      </w:tblGrid>
      <w:tr w:rsidR="00BF179D" w:rsidRPr="00063AC8" w14:paraId="1BE6C3F2" w14:textId="77777777" w:rsidTr="00E6135C">
        <w:trPr>
          <w:trHeight w:val="20"/>
          <w:jc w:val="center"/>
        </w:trPr>
        <w:tc>
          <w:tcPr>
            <w:tcW w:w="508" w:type="pct"/>
            <w:tcBorders>
              <w:top w:val="double" w:sz="4" w:space="0" w:color="auto"/>
              <w:bottom w:val="single" w:sz="4" w:space="0" w:color="auto"/>
              <w:right w:val="single" w:sz="4" w:space="0" w:color="auto"/>
            </w:tcBorders>
            <w:shd w:val="clear" w:color="auto" w:fill="auto"/>
            <w:vAlign w:val="center"/>
            <w:hideMark/>
          </w:tcPr>
          <w:p w14:paraId="4089600E"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p>
        </w:tc>
        <w:tc>
          <w:tcPr>
            <w:tcW w:w="669" w:type="pct"/>
            <w:tcBorders>
              <w:top w:val="double" w:sz="4" w:space="0" w:color="auto"/>
              <w:left w:val="single" w:sz="4" w:space="0" w:color="auto"/>
              <w:bottom w:val="single" w:sz="4" w:space="0" w:color="auto"/>
            </w:tcBorders>
            <w:shd w:val="clear" w:color="auto" w:fill="auto"/>
            <w:vAlign w:val="center"/>
            <w:hideMark/>
          </w:tcPr>
          <w:p w14:paraId="7136D206"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VIC</w:t>
            </w:r>
          </w:p>
        </w:tc>
        <w:tc>
          <w:tcPr>
            <w:tcW w:w="1156" w:type="pct"/>
            <w:tcBorders>
              <w:top w:val="double" w:sz="4" w:space="0" w:color="auto"/>
              <w:bottom w:val="single" w:sz="4" w:space="0" w:color="auto"/>
            </w:tcBorders>
            <w:shd w:val="clear" w:color="auto" w:fill="auto"/>
            <w:vAlign w:val="center"/>
            <w:hideMark/>
          </w:tcPr>
          <w:p w14:paraId="5F242152"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GreaterMelbourne</w:t>
            </w:r>
          </w:p>
        </w:tc>
        <w:tc>
          <w:tcPr>
            <w:tcW w:w="774" w:type="pct"/>
            <w:tcBorders>
              <w:top w:val="double" w:sz="4" w:space="0" w:color="auto"/>
              <w:bottom w:val="single" w:sz="4" w:space="0" w:color="auto"/>
            </w:tcBorders>
            <w:shd w:val="clear" w:color="auto" w:fill="auto"/>
            <w:vAlign w:val="center"/>
            <w:hideMark/>
          </w:tcPr>
          <w:p w14:paraId="081F2B6C"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RegionalVIC</w:t>
            </w:r>
          </w:p>
        </w:tc>
        <w:tc>
          <w:tcPr>
            <w:tcW w:w="1030" w:type="pct"/>
            <w:tcBorders>
              <w:top w:val="double" w:sz="4" w:space="0" w:color="auto"/>
              <w:bottom w:val="single" w:sz="4" w:space="0" w:color="auto"/>
            </w:tcBorders>
            <w:shd w:val="clear" w:color="auto" w:fill="auto"/>
            <w:vAlign w:val="center"/>
            <w:hideMark/>
          </w:tcPr>
          <w:p w14:paraId="2ED17F8A"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GreaterGeelong</w:t>
            </w:r>
          </w:p>
        </w:tc>
        <w:tc>
          <w:tcPr>
            <w:tcW w:w="863" w:type="pct"/>
            <w:tcBorders>
              <w:top w:val="double" w:sz="4" w:space="0" w:color="auto"/>
              <w:bottom w:val="single" w:sz="4" w:space="0" w:color="auto"/>
            </w:tcBorders>
            <w:shd w:val="clear" w:color="auto" w:fill="auto"/>
            <w:vAlign w:val="center"/>
            <w:hideMark/>
          </w:tcPr>
          <w:p w14:paraId="3616988A"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FocalSuburbs</w:t>
            </w:r>
          </w:p>
        </w:tc>
      </w:tr>
      <w:tr w:rsidR="00BF179D" w:rsidRPr="00063AC8" w14:paraId="4E1F1F5D" w14:textId="77777777" w:rsidTr="00E6135C">
        <w:trPr>
          <w:trHeight w:val="20"/>
          <w:jc w:val="center"/>
        </w:trPr>
        <w:tc>
          <w:tcPr>
            <w:tcW w:w="508" w:type="pct"/>
            <w:tcBorders>
              <w:top w:val="single" w:sz="4" w:space="0" w:color="auto"/>
              <w:right w:val="single" w:sz="4" w:space="0" w:color="auto"/>
            </w:tcBorders>
            <w:shd w:val="clear" w:color="auto" w:fill="auto"/>
            <w:vAlign w:val="center"/>
            <w:hideMark/>
          </w:tcPr>
          <w:p w14:paraId="7EF7DE45"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201501</w:t>
            </w:r>
          </w:p>
        </w:tc>
        <w:tc>
          <w:tcPr>
            <w:tcW w:w="669" w:type="pct"/>
            <w:tcBorders>
              <w:top w:val="single" w:sz="4" w:space="0" w:color="auto"/>
              <w:left w:val="single" w:sz="4" w:space="0" w:color="auto"/>
            </w:tcBorders>
            <w:shd w:val="clear" w:color="auto" w:fill="auto"/>
            <w:noWrap/>
            <w:hideMark/>
          </w:tcPr>
          <w:p w14:paraId="06170896" w14:textId="5250ECE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c>
          <w:tcPr>
            <w:tcW w:w="1156" w:type="pct"/>
            <w:tcBorders>
              <w:top w:val="single" w:sz="4" w:space="0" w:color="auto"/>
            </w:tcBorders>
            <w:shd w:val="clear" w:color="auto" w:fill="auto"/>
            <w:noWrap/>
            <w:hideMark/>
          </w:tcPr>
          <w:p w14:paraId="3CB11E5C" w14:textId="0CDFDB7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c>
          <w:tcPr>
            <w:tcW w:w="774" w:type="pct"/>
            <w:tcBorders>
              <w:top w:val="single" w:sz="4" w:space="0" w:color="auto"/>
            </w:tcBorders>
            <w:shd w:val="clear" w:color="auto" w:fill="auto"/>
            <w:noWrap/>
            <w:hideMark/>
          </w:tcPr>
          <w:p w14:paraId="71E68E47" w14:textId="3453F40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c>
          <w:tcPr>
            <w:tcW w:w="1030" w:type="pct"/>
            <w:tcBorders>
              <w:top w:val="single" w:sz="4" w:space="0" w:color="auto"/>
            </w:tcBorders>
            <w:shd w:val="clear" w:color="auto" w:fill="auto"/>
            <w:noWrap/>
            <w:hideMark/>
          </w:tcPr>
          <w:p w14:paraId="34ED3859" w14:textId="234B2A5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c>
          <w:tcPr>
            <w:tcW w:w="863" w:type="pct"/>
            <w:tcBorders>
              <w:top w:val="single" w:sz="4" w:space="0" w:color="auto"/>
            </w:tcBorders>
            <w:shd w:val="clear" w:color="auto" w:fill="auto"/>
            <w:noWrap/>
            <w:hideMark/>
          </w:tcPr>
          <w:p w14:paraId="0B97803B" w14:textId="6896194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r>
      <w:tr w:rsidR="00BF179D" w:rsidRPr="00063AC8" w14:paraId="28116187" w14:textId="77777777" w:rsidTr="00E6135C">
        <w:trPr>
          <w:trHeight w:val="20"/>
          <w:jc w:val="center"/>
        </w:trPr>
        <w:tc>
          <w:tcPr>
            <w:tcW w:w="508" w:type="pct"/>
            <w:tcBorders>
              <w:right w:val="single" w:sz="4" w:space="0" w:color="auto"/>
            </w:tcBorders>
            <w:shd w:val="clear" w:color="auto" w:fill="auto"/>
            <w:vAlign w:val="center"/>
            <w:hideMark/>
          </w:tcPr>
          <w:p w14:paraId="1B031B0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201502</w:t>
            </w:r>
          </w:p>
        </w:tc>
        <w:tc>
          <w:tcPr>
            <w:tcW w:w="669" w:type="pct"/>
            <w:tcBorders>
              <w:left w:val="single" w:sz="4" w:space="0" w:color="auto"/>
            </w:tcBorders>
            <w:shd w:val="clear" w:color="auto" w:fill="auto"/>
            <w:noWrap/>
            <w:hideMark/>
          </w:tcPr>
          <w:p w14:paraId="61300EF7" w14:textId="6738D43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100.331</w:t>
            </w:r>
          </w:p>
        </w:tc>
        <w:tc>
          <w:tcPr>
            <w:tcW w:w="1156" w:type="pct"/>
            <w:shd w:val="clear" w:color="auto" w:fill="auto"/>
            <w:noWrap/>
            <w:hideMark/>
          </w:tcPr>
          <w:p w14:paraId="0BBB0182" w14:textId="1F92A75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100.5454</w:t>
            </w:r>
          </w:p>
        </w:tc>
        <w:tc>
          <w:tcPr>
            <w:tcW w:w="774" w:type="pct"/>
            <w:shd w:val="clear" w:color="auto" w:fill="auto"/>
            <w:noWrap/>
            <w:hideMark/>
          </w:tcPr>
          <w:p w14:paraId="2035A1A9" w14:textId="7576484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99.9284</w:t>
            </w:r>
          </w:p>
        </w:tc>
        <w:tc>
          <w:tcPr>
            <w:tcW w:w="1030" w:type="pct"/>
            <w:shd w:val="clear" w:color="auto" w:fill="auto"/>
            <w:noWrap/>
            <w:hideMark/>
          </w:tcPr>
          <w:p w14:paraId="4487842C" w14:textId="213F84A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99.9132</w:t>
            </w:r>
          </w:p>
        </w:tc>
        <w:tc>
          <w:tcPr>
            <w:tcW w:w="863" w:type="pct"/>
            <w:shd w:val="clear" w:color="auto" w:fill="auto"/>
            <w:noWrap/>
            <w:hideMark/>
          </w:tcPr>
          <w:p w14:paraId="1DE6532B" w14:textId="65B6744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99.6512</w:t>
            </w:r>
          </w:p>
        </w:tc>
      </w:tr>
      <w:tr w:rsidR="00BF179D" w:rsidRPr="00063AC8" w14:paraId="62DA5276" w14:textId="77777777" w:rsidTr="00E6135C">
        <w:trPr>
          <w:trHeight w:val="20"/>
          <w:jc w:val="center"/>
        </w:trPr>
        <w:tc>
          <w:tcPr>
            <w:tcW w:w="508" w:type="pct"/>
            <w:tcBorders>
              <w:right w:val="single" w:sz="4" w:space="0" w:color="auto"/>
            </w:tcBorders>
            <w:shd w:val="clear" w:color="auto" w:fill="auto"/>
            <w:vAlign w:val="center"/>
            <w:hideMark/>
          </w:tcPr>
          <w:p w14:paraId="3DD747C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201503</w:t>
            </w:r>
          </w:p>
        </w:tc>
        <w:tc>
          <w:tcPr>
            <w:tcW w:w="669" w:type="pct"/>
            <w:tcBorders>
              <w:left w:val="single" w:sz="4" w:space="0" w:color="auto"/>
            </w:tcBorders>
            <w:shd w:val="clear" w:color="auto" w:fill="auto"/>
            <w:noWrap/>
            <w:hideMark/>
          </w:tcPr>
          <w:p w14:paraId="06E90E3C" w14:textId="74807A1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100.3385</w:t>
            </w:r>
          </w:p>
        </w:tc>
        <w:tc>
          <w:tcPr>
            <w:tcW w:w="1156" w:type="pct"/>
            <w:shd w:val="clear" w:color="auto" w:fill="auto"/>
            <w:noWrap/>
            <w:hideMark/>
          </w:tcPr>
          <w:p w14:paraId="35D3DA15" w14:textId="5944AB5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100.6628</w:t>
            </w:r>
          </w:p>
        </w:tc>
        <w:tc>
          <w:tcPr>
            <w:tcW w:w="774" w:type="pct"/>
            <w:shd w:val="clear" w:color="auto" w:fill="auto"/>
            <w:noWrap/>
            <w:hideMark/>
          </w:tcPr>
          <w:p w14:paraId="1B6219A5" w14:textId="2932A32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99.70866</w:t>
            </w:r>
          </w:p>
        </w:tc>
        <w:tc>
          <w:tcPr>
            <w:tcW w:w="1030" w:type="pct"/>
            <w:shd w:val="clear" w:color="auto" w:fill="auto"/>
            <w:noWrap/>
            <w:hideMark/>
          </w:tcPr>
          <w:p w14:paraId="1D7E8365" w14:textId="136D549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99.51433</w:t>
            </w:r>
          </w:p>
        </w:tc>
        <w:tc>
          <w:tcPr>
            <w:tcW w:w="863" w:type="pct"/>
            <w:shd w:val="clear" w:color="auto" w:fill="auto"/>
            <w:noWrap/>
            <w:hideMark/>
          </w:tcPr>
          <w:p w14:paraId="198372DD" w14:textId="5417C20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99.556</w:t>
            </w:r>
          </w:p>
        </w:tc>
      </w:tr>
      <w:tr w:rsidR="00BF179D" w:rsidRPr="00063AC8" w14:paraId="45A23D61" w14:textId="77777777" w:rsidTr="00E6135C">
        <w:trPr>
          <w:trHeight w:val="20"/>
          <w:jc w:val="center"/>
        </w:trPr>
        <w:tc>
          <w:tcPr>
            <w:tcW w:w="508" w:type="pct"/>
            <w:tcBorders>
              <w:right w:val="single" w:sz="4" w:space="0" w:color="auto"/>
            </w:tcBorders>
            <w:shd w:val="clear" w:color="auto" w:fill="auto"/>
            <w:vAlign w:val="center"/>
            <w:hideMark/>
          </w:tcPr>
          <w:p w14:paraId="6C9A725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201504</w:t>
            </w:r>
          </w:p>
        </w:tc>
        <w:tc>
          <w:tcPr>
            <w:tcW w:w="669" w:type="pct"/>
            <w:tcBorders>
              <w:left w:val="single" w:sz="4" w:space="0" w:color="auto"/>
            </w:tcBorders>
            <w:shd w:val="clear" w:color="auto" w:fill="auto"/>
            <w:noWrap/>
            <w:hideMark/>
          </w:tcPr>
          <w:p w14:paraId="7C20C4D9" w14:textId="61BCBFF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100.3604</w:t>
            </w:r>
          </w:p>
        </w:tc>
        <w:tc>
          <w:tcPr>
            <w:tcW w:w="1156" w:type="pct"/>
            <w:shd w:val="clear" w:color="auto" w:fill="auto"/>
            <w:noWrap/>
            <w:hideMark/>
          </w:tcPr>
          <w:p w14:paraId="102CABDA" w14:textId="1BF26EB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100.7396</w:t>
            </w:r>
          </w:p>
        </w:tc>
        <w:tc>
          <w:tcPr>
            <w:tcW w:w="774" w:type="pct"/>
            <w:shd w:val="clear" w:color="auto" w:fill="auto"/>
            <w:noWrap/>
            <w:hideMark/>
          </w:tcPr>
          <w:p w14:paraId="1CC976C8" w14:textId="0CD36EC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99.66171</w:t>
            </w:r>
          </w:p>
        </w:tc>
        <w:tc>
          <w:tcPr>
            <w:tcW w:w="1030" w:type="pct"/>
            <w:shd w:val="clear" w:color="auto" w:fill="auto"/>
            <w:noWrap/>
            <w:hideMark/>
          </w:tcPr>
          <w:p w14:paraId="77DE8D0D" w14:textId="6478037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99.44657</w:t>
            </w:r>
          </w:p>
        </w:tc>
        <w:tc>
          <w:tcPr>
            <w:tcW w:w="863" w:type="pct"/>
            <w:shd w:val="clear" w:color="auto" w:fill="auto"/>
            <w:noWrap/>
            <w:hideMark/>
          </w:tcPr>
          <w:p w14:paraId="2FD626FB" w14:textId="62F5F8B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99.57372</w:t>
            </w:r>
          </w:p>
        </w:tc>
      </w:tr>
      <w:tr w:rsidR="00BF179D" w:rsidRPr="00063AC8" w14:paraId="3E3AF250" w14:textId="77777777" w:rsidTr="00E6135C">
        <w:trPr>
          <w:trHeight w:val="20"/>
          <w:jc w:val="center"/>
        </w:trPr>
        <w:tc>
          <w:tcPr>
            <w:tcW w:w="508" w:type="pct"/>
            <w:tcBorders>
              <w:right w:val="single" w:sz="4" w:space="0" w:color="auto"/>
            </w:tcBorders>
            <w:shd w:val="clear" w:color="auto" w:fill="auto"/>
            <w:vAlign w:val="center"/>
            <w:hideMark/>
          </w:tcPr>
          <w:p w14:paraId="7C19960A"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201505</w:t>
            </w:r>
          </w:p>
        </w:tc>
        <w:tc>
          <w:tcPr>
            <w:tcW w:w="669" w:type="pct"/>
            <w:tcBorders>
              <w:left w:val="single" w:sz="4" w:space="0" w:color="auto"/>
            </w:tcBorders>
            <w:shd w:val="clear" w:color="auto" w:fill="auto"/>
            <w:noWrap/>
            <w:hideMark/>
          </w:tcPr>
          <w:p w14:paraId="7C9DFBBC" w14:textId="2547BE3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100.4441</w:t>
            </w:r>
          </w:p>
        </w:tc>
        <w:tc>
          <w:tcPr>
            <w:tcW w:w="1156" w:type="pct"/>
            <w:shd w:val="clear" w:color="auto" w:fill="auto"/>
            <w:noWrap/>
            <w:hideMark/>
          </w:tcPr>
          <w:p w14:paraId="53CF501C" w14:textId="7679CE4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100.8953</w:t>
            </w:r>
          </w:p>
        </w:tc>
        <w:tc>
          <w:tcPr>
            <w:tcW w:w="774" w:type="pct"/>
            <w:shd w:val="clear" w:color="auto" w:fill="auto"/>
            <w:noWrap/>
            <w:hideMark/>
          </w:tcPr>
          <w:p w14:paraId="534122E7" w14:textId="7689126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99.61028</w:t>
            </w:r>
          </w:p>
        </w:tc>
        <w:tc>
          <w:tcPr>
            <w:tcW w:w="1030" w:type="pct"/>
            <w:shd w:val="clear" w:color="auto" w:fill="auto"/>
            <w:noWrap/>
            <w:hideMark/>
          </w:tcPr>
          <w:p w14:paraId="04E4E4DE" w14:textId="04E4049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99.26086</w:t>
            </w:r>
          </w:p>
        </w:tc>
        <w:tc>
          <w:tcPr>
            <w:tcW w:w="863" w:type="pct"/>
            <w:shd w:val="clear" w:color="auto" w:fill="auto"/>
            <w:noWrap/>
            <w:hideMark/>
          </w:tcPr>
          <w:p w14:paraId="5C2CD02B" w14:textId="3458464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99.54229</w:t>
            </w:r>
          </w:p>
        </w:tc>
      </w:tr>
      <w:tr w:rsidR="00BF179D" w:rsidRPr="00063AC8" w14:paraId="3A6C4C5F" w14:textId="77777777" w:rsidTr="00E6135C">
        <w:trPr>
          <w:trHeight w:val="20"/>
          <w:jc w:val="center"/>
        </w:trPr>
        <w:tc>
          <w:tcPr>
            <w:tcW w:w="508" w:type="pct"/>
            <w:tcBorders>
              <w:right w:val="single" w:sz="4" w:space="0" w:color="auto"/>
            </w:tcBorders>
            <w:shd w:val="clear" w:color="auto" w:fill="auto"/>
            <w:vAlign w:val="center"/>
            <w:hideMark/>
          </w:tcPr>
          <w:p w14:paraId="766EC81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201506</w:t>
            </w:r>
          </w:p>
        </w:tc>
        <w:tc>
          <w:tcPr>
            <w:tcW w:w="669" w:type="pct"/>
            <w:tcBorders>
              <w:left w:val="single" w:sz="4" w:space="0" w:color="auto"/>
            </w:tcBorders>
            <w:shd w:val="clear" w:color="auto" w:fill="auto"/>
            <w:noWrap/>
            <w:hideMark/>
          </w:tcPr>
          <w:p w14:paraId="12FF232D" w14:textId="4FF5B40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100.194</w:t>
            </w:r>
          </w:p>
        </w:tc>
        <w:tc>
          <w:tcPr>
            <w:tcW w:w="1156" w:type="pct"/>
            <w:shd w:val="clear" w:color="auto" w:fill="auto"/>
            <w:noWrap/>
            <w:hideMark/>
          </w:tcPr>
          <w:p w14:paraId="60F542E6" w14:textId="242A135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100.5694</w:t>
            </w:r>
          </w:p>
        </w:tc>
        <w:tc>
          <w:tcPr>
            <w:tcW w:w="774" w:type="pct"/>
            <w:shd w:val="clear" w:color="auto" w:fill="auto"/>
            <w:noWrap/>
            <w:hideMark/>
          </w:tcPr>
          <w:p w14:paraId="3C144B52" w14:textId="3F6EB92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99.50729</w:t>
            </w:r>
          </w:p>
        </w:tc>
        <w:tc>
          <w:tcPr>
            <w:tcW w:w="1030" w:type="pct"/>
            <w:shd w:val="clear" w:color="auto" w:fill="auto"/>
            <w:noWrap/>
            <w:hideMark/>
          </w:tcPr>
          <w:p w14:paraId="719A537D" w14:textId="2033F3C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99.33757</w:t>
            </w:r>
          </w:p>
        </w:tc>
        <w:tc>
          <w:tcPr>
            <w:tcW w:w="863" w:type="pct"/>
            <w:shd w:val="clear" w:color="auto" w:fill="auto"/>
            <w:noWrap/>
            <w:hideMark/>
          </w:tcPr>
          <w:p w14:paraId="4881E649" w14:textId="63B24DB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99.60143</w:t>
            </w:r>
          </w:p>
        </w:tc>
      </w:tr>
      <w:tr w:rsidR="00BF179D" w:rsidRPr="00063AC8" w14:paraId="144BBD42" w14:textId="77777777" w:rsidTr="00E6135C">
        <w:trPr>
          <w:trHeight w:val="20"/>
          <w:jc w:val="center"/>
        </w:trPr>
        <w:tc>
          <w:tcPr>
            <w:tcW w:w="508" w:type="pct"/>
            <w:tcBorders>
              <w:right w:val="single" w:sz="4" w:space="0" w:color="auto"/>
            </w:tcBorders>
            <w:shd w:val="clear" w:color="auto" w:fill="auto"/>
            <w:vAlign w:val="center"/>
            <w:hideMark/>
          </w:tcPr>
          <w:p w14:paraId="67BAA7C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201507</w:t>
            </w:r>
          </w:p>
        </w:tc>
        <w:tc>
          <w:tcPr>
            <w:tcW w:w="669" w:type="pct"/>
            <w:tcBorders>
              <w:left w:val="single" w:sz="4" w:space="0" w:color="auto"/>
            </w:tcBorders>
            <w:shd w:val="clear" w:color="auto" w:fill="auto"/>
            <w:noWrap/>
            <w:hideMark/>
          </w:tcPr>
          <w:p w14:paraId="7EC3AA99" w14:textId="02213CA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100.2557</w:t>
            </w:r>
          </w:p>
        </w:tc>
        <w:tc>
          <w:tcPr>
            <w:tcW w:w="1156" w:type="pct"/>
            <w:shd w:val="clear" w:color="auto" w:fill="auto"/>
            <w:noWrap/>
            <w:hideMark/>
          </w:tcPr>
          <w:p w14:paraId="3374B4F5" w14:textId="73F0522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100.6709</w:t>
            </w:r>
          </w:p>
        </w:tc>
        <w:tc>
          <w:tcPr>
            <w:tcW w:w="774" w:type="pct"/>
            <w:shd w:val="clear" w:color="auto" w:fill="auto"/>
            <w:noWrap/>
            <w:hideMark/>
          </w:tcPr>
          <w:p w14:paraId="1F4EDAC5" w14:textId="6B38FE5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99.48872</w:t>
            </w:r>
          </w:p>
        </w:tc>
        <w:tc>
          <w:tcPr>
            <w:tcW w:w="1030" w:type="pct"/>
            <w:shd w:val="clear" w:color="auto" w:fill="auto"/>
            <w:noWrap/>
            <w:hideMark/>
          </w:tcPr>
          <w:p w14:paraId="2F2B8126" w14:textId="14B2BBB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99.38042</w:t>
            </w:r>
          </w:p>
        </w:tc>
        <w:tc>
          <w:tcPr>
            <w:tcW w:w="863" w:type="pct"/>
            <w:shd w:val="clear" w:color="auto" w:fill="auto"/>
            <w:noWrap/>
            <w:hideMark/>
          </w:tcPr>
          <w:p w14:paraId="33065085" w14:textId="4F656AA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99.57857</w:t>
            </w:r>
          </w:p>
        </w:tc>
      </w:tr>
      <w:tr w:rsidR="00BF179D" w:rsidRPr="00063AC8" w14:paraId="24E1C14C" w14:textId="77777777" w:rsidTr="00E6135C">
        <w:trPr>
          <w:trHeight w:val="20"/>
          <w:jc w:val="center"/>
        </w:trPr>
        <w:tc>
          <w:tcPr>
            <w:tcW w:w="508" w:type="pct"/>
            <w:tcBorders>
              <w:right w:val="single" w:sz="4" w:space="0" w:color="auto"/>
            </w:tcBorders>
            <w:shd w:val="clear" w:color="auto" w:fill="auto"/>
            <w:vAlign w:val="center"/>
            <w:hideMark/>
          </w:tcPr>
          <w:p w14:paraId="38A856A2"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201508</w:t>
            </w:r>
          </w:p>
        </w:tc>
        <w:tc>
          <w:tcPr>
            <w:tcW w:w="669" w:type="pct"/>
            <w:tcBorders>
              <w:left w:val="single" w:sz="4" w:space="0" w:color="auto"/>
            </w:tcBorders>
            <w:shd w:val="clear" w:color="auto" w:fill="auto"/>
            <w:noWrap/>
            <w:hideMark/>
          </w:tcPr>
          <w:p w14:paraId="2D104D89" w14:textId="58D5BC3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100.4759</w:t>
            </w:r>
          </w:p>
        </w:tc>
        <w:tc>
          <w:tcPr>
            <w:tcW w:w="1156" w:type="pct"/>
            <w:shd w:val="clear" w:color="auto" w:fill="auto"/>
            <w:noWrap/>
            <w:hideMark/>
          </w:tcPr>
          <w:p w14:paraId="657B3B96" w14:textId="48879BB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100.8614</w:t>
            </w:r>
          </w:p>
        </w:tc>
        <w:tc>
          <w:tcPr>
            <w:tcW w:w="774" w:type="pct"/>
            <w:shd w:val="clear" w:color="auto" w:fill="auto"/>
            <w:noWrap/>
            <w:hideMark/>
          </w:tcPr>
          <w:p w14:paraId="43A9D9E2" w14:textId="0975DC7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99.76014</w:t>
            </w:r>
          </w:p>
        </w:tc>
        <w:tc>
          <w:tcPr>
            <w:tcW w:w="1030" w:type="pct"/>
            <w:shd w:val="clear" w:color="auto" w:fill="auto"/>
            <w:noWrap/>
            <w:hideMark/>
          </w:tcPr>
          <w:p w14:paraId="66189E9F" w14:textId="37226E4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99.42471</w:t>
            </w:r>
          </w:p>
        </w:tc>
        <w:tc>
          <w:tcPr>
            <w:tcW w:w="863" w:type="pct"/>
            <w:shd w:val="clear" w:color="auto" w:fill="auto"/>
            <w:noWrap/>
            <w:hideMark/>
          </w:tcPr>
          <w:p w14:paraId="598A2CB3" w14:textId="2DE0029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99.49142</w:t>
            </w:r>
          </w:p>
        </w:tc>
      </w:tr>
      <w:tr w:rsidR="00BF179D" w:rsidRPr="00063AC8" w14:paraId="1685BE8D" w14:textId="77777777" w:rsidTr="00E6135C">
        <w:trPr>
          <w:trHeight w:val="20"/>
          <w:jc w:val="center"/>
        </w:trPr>
        <w:tc>
          <w:tcPr>
            <w:tcW w:w="508" w:type="pct"/>
            <w:tcBorders>
              <w:right w:val="single" w:sz="4" w:space="0" w:color="auto"/>
            </w:tcBorders>
            <w:shd w:val="clear" w:color="auto" w:fill="auto"/>
            <w:vAlign w:val="center"/>
            <w:hideMark/>
          </w:tcPr>
          <w:p w14:paraId="03C1342A"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201509</w:t>
            </w:r>
          </w:p>
        </w:tc>
        <w:tc>
          <w:tcPr>
            <w:tcW w:w="669" w:type="pct"/>
            <w:tcBorders>
              <w:left w:val="single" w:sz="4" w:space="0" w:color="auto"/>
            </w:tcBorders>
            <w:shd w:val="clear" w:color="auto" w:fill="auto"/>
            <w:noWrap/>
            <w:hideMark/>
          </w:tcPr>
          <w:p w14:paraId="25FAE189" w14:textId="1B55127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100.6191</w:t>
            </w:r>
          </w:p>
        </w:tc>
        <w:tc>
          <w:tcPr>
            <w:tcW w:w="1156" w:type="pct"/>
            <w:shd w:val="clear" w:color="auto" w:fill="auto"/>
            <w:noWrap/>
            <w:hideMark/>
          </w:tcPr>
          <w:p w14:paraId="24AB1A0A" w14:textId="183AC7A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101.0014</w:t>
            </w:r>
          </w:p>
        </w:tc>
        <w:tc>
          <w:tcPr>
            <w:tcW w:w="774" w:type="pct"/>
            <w:shd w:val="clear" w:color="auto" w:fill="auto"/>
            <w:noWrap/>
            <w:hideMark/>
          </w:tcPr>
          <w:p w14:paraId="5312C03B" w14:textId="74323C9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99.89571</w:t>
            </w:r>
          </w:p>
        </w:tc>
        <w:tc>
          <w:tcPr>
            <w:tcW w:w="1030" w:type="pct"/>
            <w:shd w:val="clear" w:color="auto" w:fill="auto"/>
            <w:noWrap/>
            <w:hideMark/>
          </w:tcPr>
          <w:p w14:paraId="11658608" w14:textId="5C8026B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99.64814</w:t>
            </w:r>
          </w:p>
        </w:tc>
        <w:tc>
          <w:tcPr>
            <w:tcW w:w="863" w:type="pct"/>
            <w:shd w:val="clear" w:color="auto" w:fill="auto"/>
            <w:noWrap/>
            <w:hideMark/>
          </w:tcPr>
          <w:p w14:paraId="7ED39846" w14:textId="621908A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99.14057</w:t>
            </w:r>
          </w:p>
        </w:tc>
      </w:tr>
      <w:tr w:rsidR="00BF179D" w:rsidRPr="00063AC8" w14:paraId="1367F3DB" w14:textId="77777777" w:rsidTr="00E6135C">
        <w:trPr>
          <w:trHeight w:val="20"/>
          <w:jc w:val="center"/>
        </w:trPr>
        <w:tc>
          <w:tcPr>
            <w:tcW w:w="508" w:type="pct"/>
            <w:tcBorders>
              <w:right w:val="single" w:sz="4" w:space="0" w:color="auto"/>
            </w:tcBorders>
            <w:shd w:val="clear" w:color="auto" w:fill="auto"/>
            <w:vAlign w:val="center"/>
            <w:hideMark/>
          </w:tcPr>
          <w:p w14:paraId="23EBEA4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201510</w:t>
            </w:r>
          </w:p>
        </w:tc>
        <w:tc>
          <w:tcPr>
            <w:tcW w:w="669" w:type="pct"/>
            <w:tcBorders>
              <w:left w:val="single" w:sz="4" w:space="0" w:color="auto"/>
            </w:tcBorders>
            <w:shd w:val="clear" w:color="auto" w:fill="auto"/>
            <w:noWrap/>
            <w:hideMark/>
          </w:tcPr>
          <w:p w14:paraId="2C87BBCD" w14:textId="6B9E346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100.9283</w:t>
            </w:r>
          </w:p>
        </w:tc>
        <w:tc>
          <w:tcPr>
            <w:tcW w:w="1156" w:type="pct"/>
            <w:shd w:val="clear" w:color="auto" w:fill="auto"/>
            <w:noWrap/>
            <w:hideMark/>
          </w:tcPr>
          <w:p w14:paraId="6E3C73AC" w14:textId="5C55FA9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101.2343</w:t>
            </w:r>
          </w:p>
        </w:tc>
        <w:tc>
          <w:tcPr>
            <w:tcW w:w="774" w:type="pct"/>
            <w:shd w:val="clear" w:color="auto" w:fill="auto"/>
            <w:noWrap/>
            <w:hideMark/>
          </w:tcPr>
          <w:p w14:paraId="202E8346" w14:textId="43B70D0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100.3671</w:t>
            </w:r>
          </w:p>
        </w:tc>
        <w:tc>
          <w:tcPr>
            <w:tcW w:w="1030" w:type="pct"/>
            <w:shd w:val="clear" w:color="auto" w:fill="auto"/>
            <w:noWrap/>
            <w:hideMark/>
          </w:tcPr>
          <w:p w14:paraId="336EDC96" w14:textId="2B1B866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100.4439</w:t>
            </w:r>
          </w:p>
        </w:tc>
        <w:tc>
          <w:tcPr>
            <w:tcW w:w="863" w:type="pct"/>
            <w:shd w:val="clear" w:color="auto" w:fill="auto"/>
            <w:noWrap/>
            <w:hideMark/>
          </w:tcPr>
          <w:p w14:paraId="3F113D42" w14:textId="5D5B85B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99.42771</w:t>
            </w:r>
          </w:p>
        </w:tc>
      </w:tr>
      <w:tr w:rsidR="00BF179D" w:rsidRPr="00063AC8" w14:paraId="67D8242B" w14:textId="77777777" w:rsidTr="00E6135C">
        <w:trPr>
          <w:trHeight w:val="20"/>
          <w:jc w:val="center"/>
        </w:trPr>
        <w:tc>
          <w:tcPr>
            <w:tcW w:w="508" w:type="pct"/>
            <w:tcBorders>
              <w:right w:val="single" w:sz="4" w:space="0" w:color="auto"/>
            </w:tcBorders>
            <w:shd w:val="clear" w:color="auto" w:fill="auto"/>
            <w:vAlign w:val="center"/>
            <w:hideMark/>
          </w:tcPr>
          <w:p w14:paraId="1602DB1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201511</w:t>
            </w:r>
          </w:p>
        </w:tc>
        <w:tc>
          <w:tcPr>
            <w:tcW w:w="669" w:type="pct"/>
            <w:tcBorders>
              <w:left w:val="single" w:sz="4" w:space="0" w:color="auto"/>
            </w:tcBorders>
            <w:shd w:val="clear" w:color="auto" w:fill="auto"/>
            <w:noWrap/>
            <w:hideMark/>
          </w:tcPr>
          <w:p w14:paraId="069C0CF3" w14:textId="2B762E0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101.208</w:t>
            </w:r>
          </w:p>
        </w:tc>
        <w:tc>
          <w:tcPr>
            <w:tcW w:w="1156" w:type="pct"/>
            <w:shd w:val="clear" w:color="auto" w:fill="auto"/>
            <w:noWrap/>
            <w:hideMark/>
          </w:tcPr>
          <w:p w14:paraId="2BA988F7" w14:textId="3484655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101.5057</w:t>
            </w:r>
          </w:p>
        </w:tc>
        <w:tc>
          <w:tcPr>
            <w:tcW w:w="774" w:type="pct"/>
            <w:shd w:val="clear" w:color="auto" w:fill="auto"/>
            <w:noWrap/>
            <w:hideMark/>
          </w:tcPr>
          <w:p w14:paraId="21F83889" w14:textId="7752880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100.6329</w:t>
            </w:r>
          </w:p>
        </w:tc>
        <w:tc>
          <w:tcPr>
            <w:tcW w:w="1030" w:type="pct"/>
            <w:shd w:val="clear" w:color="auto" w:fill="auto"/>
            <w:noWrap/>
            <w:hideMark/>
          </w:tcPr>
          <w:p w14:paraId="4A9D9A37" w14:textId="27ABC61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100.8996</w:t>
            </w:r>
          </w:p>
        </w:tc>
        <w:tc>
          <w:tcPr>
            <w:tcW w:w="863" w:type="pct"/>
            <w:shd w:val="clear" w:color="auto" w:fill="auto"/>
            <w:noWrap/>
            <w:hideMark/>
          </w:tcPr>
          <w:p w14:paraId="1B31FD89" w14:textId="19E7A57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99.52143</w:t>
            </w:r>
          </w:p>
        </w:tc>
      </w:tr>
      <w:tr w:rsidR="00BF179D" w:rsidRPr="00063AC8" w14:paraId="7D4AEAA6" w14:textId="77777777" w:rsidTr="00E6135C">
        <w:trPr>
          <w:trHeight w:val="20"/>
          <w:jc w:val="center"/>
        </w:trPr>
        <w:tc>
          <w:tcPr>
            <w:tcW w:w="508" w:type="pct"/>
            <w:tcBorders>
              <w:right w:val="single" w:sz="4" w:space="0" w:color="auto"/>
            </w:tcBorders>
            <w:shd w:val="clear" w:color="auto" w:fill="auto"/>
            <w:vAlign w:val="center"/>
            <w:hideMark/>
          </w:tcPr>
          <w:p w14:paraId="69F076B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201512</w:t>
            </w:r>
          </w:p>
        </w:tc>
        <w:tc>
          <w:tcPr>
            <w:tcW w:w="669" w:type="pct"/>
            <w:tcBorders>
              <w:left w:val="single" w:sz="4" w:space="0" w:color="auto"/>
            </w:tcBorders>
            <w:shd w:val="clear" w:color="auto" w:fill="auto"/>
            <w:noWrap/>
            <w:hideMark/>
          </w:tcPr>
          <w:p w14:paraId="49061B73" w14:textId="118933B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102.1971</w:t>
            </w:r>
          </w:p>
        </w:tc>
        <w:tc>
          <w:tcPr>
            <w:tcW w:w="1156" w:type="pct"/>
            <w:shd w:val="clear" w:color="auto" w:fill="auto"/>
            <w:noWrap/>
            <w:hideMark/>
          </w:tcPr>
          <w:p w14:paraId="0A57D8A2" w14:textId="18FB872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102.8357</w:t>
            </w:r>
          </w:p>
        </w:tc>
        <w:tc>
          <w:tcPr>
            <w:tcW w:w="774" w:type="pct"/>
            <w:shd w:val="clear" w:color="auto" w:fill="auto"/>
            <w:noWrap/>
            <w:hideMark/>
          </w:tcPr>
          <w:p w14:paraId="671E67C3" w14:textId="69E9098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100.8486</w:t>
            </w:r>
          </w:p>
        </w:tc>
        <w:tc>
          <w:tcPr>
            <w:tcW w:w="1030" w:type="pct"/>
            <w:shd w:val="clear" w:color="auto" w:fill="auto"/>
            <w:noWrap/>
            <w:hideMark/>
          </w:tcPr>
          <w:p w14:paraId="147F846D" w14:textId="5B6619D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101.3567</w:t>
            </w:r>
          </w:p>
        </w:tc>
        <w:tc>
          <w:tcPr>
            <w:tcW w:w="863" w:type="pct"/>
            <w:shd w:val="clear" w:color="auto" w:fill="auto"/>
            <w:noWrap/>
            <w:hideMark/>
          </w:tcPr>
          <w:p w14:paraId="7B08023D" w14:textId="15001B2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99.84286</w:t>
            </w:r>
          </w:p>
        </w:tc>
      </w:tr>
      <w:tr w:rsidR="00BF179D" w:rsidRPr="00063AC8" w14:paraId="17023240" w14:textId="77777777" w:rsidTr="00E6135C">
        <w:trPr>
          <w:trHeight w:val="20"/>
          <w:jc w:val="center"/>
        </w:trPr>
        <w:tc>
          <w:tcPr>
            <w:tcW w:w="508" w:type="pct"/>
            <w:tcBorders>
              <w:right w:val="single" w:sz="4" w:space="0" w:color="auto"/>
            </w:tcBorders>
            <w:shd w:val="clear" w:color="auto" w:fill="auto"/>
            <w:vAlign w:val="center"/>
            <w:hideMark/>
          </w:tcPr>
          <w:p w14:paraId="3E18D25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lastRenderedPageBreak/>
              <w:t>201601</w:t>
            </w:r>
          </w:p>
        </w:tc>
        <w:tc>
          <w:tcPr>
            <w:tcW w:w="669" w:type="pct"/>
            <w:tcBorders>
              <w:left w:val="single" w:sz="4" w:space="0" w:color="auto"/>
            </w:tcBorders>
            <w:shd w:val="clear" w:color="auto" w:fill="auto"/>
            <w:noWrap/>
            <w:hideMark/>
          </w:tcPr>
          <w:p w14:paraId="594982E8" w14:textId="70C3134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102.7343</w:t>
            </w:r>
          </w:p>
        </w:tc>
        <w:tc>
          <w:tcPr>
            <w:tcW w:w="1156" w:type="pct"/>
            <w:shd w:val="clear" w:color="auto" w:fill="auto"/>
            <w:noWrap/>
            <w:hideMark/>
          </w:tcPr>
          <w:p w14:paraId="742FE66E" w14:textId="569E6F9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103.5971</w:t>
            </w:r>
          </w:p>
        </w:tc>
        <w:tc>
          <w:tcPr>
            <w:tcW w:w="774" w:type="pct"/>
            <w:shd w:val="clear" w:color="auto" w:fill="auto"/>
            <w:noWrap/>
            <w:hideMark/>
          </w:tcPr>
          <w:p w14:paraId="6CA7F63B" w14:textId="6BCE4AB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100.9936</w:t>
            </w:r>
          </w:p>
        </w:tc>
        <w:tc>
          <w:tcPr>
            <w:tcW w:w="1030" w:type="pct"/>
            <w:shd w:val="clear" w:color="auto" w:fill="auto"/>
            <w:noWrap/>
            <w:hideMark/>
          </w:tcPr>
          <w:p w14:paraId="029E2169" w14:textId="44DC9E1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101.5829</w:t>
            </w:r>
          </w:p>
        </w:tc>
        <w:tc>
          <w:tcPr>
            <w:tcW w:w="863" w:type="pct"/>
            <w:shd w:val="clear" w:color="auto" w:fill="auto"/>
            <w:noWrap/>
            <w:hideMark/>
          </w:tcPr>
          <w:p w14:paraId="077462E2" w14:textId="3F70DE2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99.82629</w:t>
            </w:r>
          </w:p>
        </w:tc>
      </w:tr>
      <w:tr w:rsidR="00BF179D" w:rsidRPr="00063AC8" w14:paraId="6F3FBEC7" w14:textId="77777777" w:rsidTr="00E6135C">
        <w:trPr>
          <w:trHeight w:val="20"/>
          <w:jc w:val="center"/>
        </w:trPr>
        <w:tc>
          <w:tcPr>
            <w:tcW w:w="508" w:type="pct"/>
            <w:tcBorders>
              <w:right w:val="single" w:sz="4" w:space="0" w:color="auto"/>
            </w:tcBorders>
            <w:shd w:val="clear" w:color="auto" w:fill="auto"/>
            <w:vAlign w:val="center"/>
            <w:hideMark/>
          </w:tcPr>
          <w:p w14:paraId="4A4E89EC"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201602</w:t>
            </w:r>
          </w:p>
        </w:tc>
        <w:tc>
          <w:tcPr>
            <w:tcW w:w="669" w:type="pct"/>
            <w:tcBorders>
              <w:left w:val="single" w:sz="4" w:space="0" w:color="auto"/>
            </w:tcBorders>
            <w:shd w:val="clear" w:color="auto" w:fill="auto"/>
            <w:noWrap/>
            <w:hideMark/>
          </w:tcPr>
          <w:p w14:paraId="420DF4AB" w14:textId="2B755CC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102.9543</w:t>
            </w:r>
          </w:p>
        </w:tc>
        <w:tc>
          <w:tcPr>
            <w:tcW w:w="1156" w:type="pct"/>
            <w:shd w:val="clear" w:color="auto" w:fill="auto"/>
            <w:noWrap/>
            <w:hideMark/>
          </w:tcPr>
          <w:p w14:paraId="2C7022AF" w14:textId="4AEBDE8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103.9271</w:t>
            </w:r>
          </w:p>
        </w:tc>
        <w:tc>
          <w:tcPr>
            <w:tcW w:w="774" w:type="pct"/>
            <w:shd w:val="clear" w:color="auto" w:fill="auto"/>
            <w:noWrap/>
            <w:hideMark/>
          </w:tcPr>
          <w:p w14:paraId="64EF4FE4" w14:textId="08B258E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101.0421</w:t>
            </w:r>
          </w:p>
        </w:tc>
        <w:tc>
          <w:tcPr>
            <w:tcW w:w="1030" w:type="pct"/>
            <w:shd w:val="clear" w:color="auto" w:fill="auto"/>
            <w:noWrap/>
            <w:hideMark/>
          </w:tcPr>
          <w:p w14:paraId="4BD8C022" w14:textId="573DFCE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101.6904</w:t>
            </w:r>
          </w:p>
        </w:tc>
        <w:tc>
          <w:tcPr>
            <w:tcW w:w="863" w:type="pct"/>
            <w:shd w:val="clear" w:color="auto" w:fill="auto"/>
            <w:noWrap/>
            <w:hideMark/>
          </w:tcPr>
          <w:p w14:paraId="554FBE2E" w14:textId="59B2D1E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100.0327</w:t>
            </w:r>
          </w:p>
        </w:tc>
      </w:tr>
      <w:tr w:rsidR="00BF179D" w:rsidRPr="00063AC8" w14:paraId="3035A143" w14:textId="77777777" w:rsidTr="00E6135C">
        <w:trPr>
          <w:trHeight w:val="20"/>
          <w:jc w:val="center"/>
        </w:trPr>
        <w:tc>
          <w:tcPr>
            <w:tcW w:w="508" w:type="pct"/>
            <w:tcBorders>
              <w:right w:val="single" w:sz="4" w:space="0" w:color="auto"/>
            </w:tcBorders>
            <w:shd w:val="clear" w:color="auto" w:fill="auto"/>
            <w:vAlign w:val="center"/>
            <w:hideMark/>
          </w:tcPr>
          <w:p w14:paraId="7B86D0D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201603</w:t>
            </w:r>
          </w:p>
        </w:tc>
        <w:tc>
          <w:tcPr>
            <w:tcW w:w="669" w:type="pct"/>
            <w:tcBorders>
              <w:left w:val="single" w:sz="4" w:space="0" w:color="auto"/>
            </w:tcBorders>
            <w:shd w:val="clear" w:color="auto" w:fill="auto"/>
            <w:noWrap/>
            <w:hideMark/>
          </w:tcPr>
          <w:p w14:paraId="7E071F12" w14:textId="15D753E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103.0443</w:t>
            </w:r>
          </w:p>
        </w:tc>
        <w:tc>
          <w:tcPr>
            <w:tcW w:w="1156" w:type="pct"/>
            <w:shd w:val="clear" w:color="auto" w:fill="auto"/>
            <w:noWrap/>
            <w:hideMark/>
          </w:tcPr>
          <w:p w14:paraId="723FFAAF" w14:textId="1E8C9E5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104.0986</w:t>
            </w:r>
          </w:p>
        </w:tc>
        <w:tc>
          <w:tcPr>
            <w:tcW w:w="774" w:type="pct"/>
            <w:shd w:val="clear" w:color="auto" w:fill="auto"/>
            <w:noWrap/>
            <w:hideMark/>
          </w:tcPr>
          <w:p w14:paraId="1B81033D" w14:textId="04FE9C1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100.9939</w:t>
            </w:r>
          </w:p>
        </w:tc>
        <w:tc>
          <w:tcPr>
            <w:tcW w:w="1030" w:type="pct"/>
            <w:shd w:val="clear" w:color="auto" w:fill="auto"/>
            <w:noWrap/>
            <w:hideMark/>
          </w:tcPr>
          <w:p w14:paraId="3F65F1C9" w14:textId="179C6AB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101.6661</w:t>
            </w:r>
          </w:p>
        </w:tc>
        <w:tc>
          <w:tcPr>
            <w:tcW w:w="863" w:type="pct"/>
            <w:shd w:val="clear" w:color="auto" w:fill="auto"/>
            <w:noWrap/>
            <w:hideMark/>
          </w:tcPr>
          <w:p w14:paraId="44F96F74" w14:textId="61E0D64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100.1213</w:t>
            </w:r>
          </w:p>
        </w:tc>
      </w:tr>
      <w:tr w:rsidR="00BF179D" w:rsidRPr="00063AC8" w14:paraId="10E52E3C" w14:textId="77777777" w:rsidTr="00E6135C">
        <w:trPr>
          <w:trHeight w:val="20"/>
          <w:jc w:val="center"/>
        </w:trPr>
        <w:tc>
          <w:tcPr>
            <w:tcW w:w="508" w:type="pct"/>
            <w:tcBorders>
              <w:right w:val="single" w:sz="4" w:space="0" w:color="auto"/>
            </w:tcBorders>
            <w:shd w:val="clear" w:color="auto" w:fill="auto"/>
            <w:vAlign w:val="center"/>
            <w:hideMark/>
          </w:tcPr>
          <w:p w14:paraId="1478654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201604</w:t>
            </w:r>
          </w:p>
        </w:tc>
        <w:tc>
          <w:tcPr>
            <w:tcW w:w="669" w:type="pct"/>
            <w:tcBorders>
              <w:left w:val="single" w:sz="4" w:space="0" w:color="auto"/>
            </w:tcBorders>
            <w:shd w:val="clear" w:color="auto" w:fill="auto"/>
            <w:noWrap/>
            <w:hideMark/>
          </w:tcPr>
          <w:p w14:paraId="69D30C45" w14:textId="6710D72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103.2057</w:t>
            </w:r>
          </w:p>
        </w:tc>
        <w:tc>
          <w:tcPr>
            <w:tcW w:w="1156" w:type="pct"/>
            <w:shd w:val="clear" w:color="auto" w:fill="auto"/>
            <w:noWrap/>
            <w:hideMark/>
          </w:tcPr>
          <w:p w14:paraId="608A8FFA" w14:textId="5CB596C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104.3229</w:t>
            </w:r>
          </w:p>
        </w:tc>
        <w:tc>
          <w:tcPr>
            <w:tcW w:w="774" w:type="pct"/>
            <w:shd w:val="clear" w:color="auto" w:fill="auto"/>
            <w:noWrap/>
            <w:hideMark/>
          </w:tcPr>
          <w:p w14:paraId="3EC24CA7" w14:textId="129395B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101.0353</w:t>
            </w:r>
          </w:p>
        </w:tc>
        <w:tc>
          <w:tcPr>
            <w:tcW w:w="1030" w:type="pct"/>
            <w:shd w:val="clear" w:color="auto" w:fill="auto"/>
            <w:noWrap/>
            <w:hideMark/>
          </w:tcPr>
          <w:p w14:paraId="3F036C8C" w14:textId="34C11F0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101.6404</w:t>
            </w:r>
          </w:p>
        </w:tc>
        <w:tc>
          <w:tcPr>
            <w:tcW w:w="863" w:type="pct"/>
            <w:shd w:val="clear" w:color="auto" w:fill="auto"/>
            <w:noWrap/>
            <w:hideMark/>
          </w:tcPr>
          <w:p w14:paraId="01681473" w14:textId="4B08547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100.5743</w:t>
            </w:r>
          </w:p>
        </w:tc>
      </w:tr>
      <w:tr w:rsidR="00BF179D" w:rsidRPr="00063AC8" w14:paraId="41F4E158" w14:textId="77777777" w:rsidTr="00E6135C">
        <w:trPr>
          <w:trHeight w:val="20"/>
          <w:jc w:val="center"/>
        </w:trPr>
        <w:tc>
          <w:tcPr>
            <w:tcW w:w="508" w:type="pct"/>
            <w:tcBorders>
              <w:right w:val="single" w:sz="4" w:space="0" w:color="auto"/>
            </w:tcBorders>
            <w:shd w:val="clear" w:color="auto" w:fill="auto"/>
            <w:vAlign w:val="center"/>
            <w:hideMark/>
          </w:tcPr>
          <w:p w14:paraId="432B7EF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201605</w:t>
            </w:r>
          </w:p>
        </w:tc>
        <w:tc>
          <w:tcPr>
            <w:tcW w:w="669" w:type="pct"/>
            <w:tcBorders>
              <w:left w:val="single" w:sz="4" w:space="0" w:color="auto"/>
            </w:tcBorders>
            <w:shd w:val="clear" w:color="auto" w:fill="auto"/>
            <w:noWrap/>
            <w:hideMark/>
          </w:tcPr>
          <w:p w14:paraId="76B21CBC" w14:textId="6FBD56D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103.2486</w:t>
            </w:r>
          </w:p>
        </w:tc>
        <w:tc>
          <w:tcPr>
            <w:tcW w:w="1156" w:type="pct"/>
            <w:shd w:val="clear" w:color="auto" w:fill="auto"/>
            <w:noWrap/>
            <w:hideMark/>
          </w:tcPr>
          <w:p w14:paraId="2A054266" w14:textId="4EE27FE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104.4271</w:t>
            </w:r>
          </w:p>
        </w:tc>
        <w:tc>
          <w:tcPr>
            <w:tcW w:w="774" w:type="pct"/>
            <w:shd w:val="clear" w:color="auto" w:fill="auto"/>
            <w:noWrap/>
            <w:hideMark/>
          </w:tcPr>
          <w:p w14:paraId="26D0FE53" w14:textId="6B246A4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100.9696</w:t>
            </w:r>
          </w:p>
        </w:tc>
        <w:tc>
          <w:tcPr>
            <w:tcW w:w="1030" w:type="pct"/>
            <w:shd w:val="clear" w:color="auto" w:fill="auto"/>
            <w:noWrap/>
            <w:hideMark/>
          </w:tcPr>
          <w:p w14:paraId="3AB983A1" w14:textId="77708FD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101.4861</w:t>
            </w:r>
          </w:p>
        </w:tc>
        <w:tc>
          <w:tcPr>
            <w:tcW w:w="863" w:type="pct"/>
            <w:shd w:val="clear" w:color="auto" w:fill="auto"/>
            <w:noWrap/>
            <w:hideMark/>
          </w:tcPr>
          <w:p w14:paraId="79FB8A48" w14:textId="25FF130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100.5914</w:t>
            </w:r>
          </w:p>
        </w:tc>
      </w:tr>
      <w:tr w:rsidR="00BF179D" w:rsidRPr="00063AC8" w14:paraId="27F7A942" w14:textId="77777777" w:rsidTr="00E6135C">
        <w:trPr>
          <w:trHeight w:val="20"/>
          <w:jc w:val="center"/>
        </w:trPr>
        <w:tc>
          <w:tcPr>
            <w:tcW w:w="508" w:type="pct"/>
            <w:tcBorders>
              <w:right w:val="single" w:sz="4" w:space="0" w:color="auto"/>
            </w:tcBorders>
            <w:shd w:val="clear" w:color="auto" w:fill="auto"/>
            <w:vAlign w:val="center"/>
            <w:hideMark/>
          </w:tcPr>
          <w:p w14:paraId="6A75CA1A"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201606</w:t>
            </w:r>
          </w:p>
        </w:tc>
        <w:tc>
          <w:tcPr>
            <w:tcW w:w="669" w:type="pct"/>
            <w:tcBorders>
              <w:left w:val="single" w:sz="4" w:space="0" w:color="auto"/>
            </w:tcBorders>
            <w:shd w:val="clear" w:color="auto" w:fill="auto"/>
            <w:noWrap/>
            <w:hideMark/>
          </w:tcPr>
          <w:p w14:paraId="43D73F2E" w14:textId="618AEE2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103.2957</w:t>
            </w:r>
          </w:p>
        </w:tc>
        <w:tc>
          <w:tcPr>
            <w:tcW w:w="1156" w:type="pct"/>
            <w:shd w:val="clear" w:color="auto" w:fill="auto"/>
            <w:noWrap/>
            <w:hideMark/>
          </w:tcPr>
          <w:p w14:paraId="339FAB97" w14:textId="5FDDCC6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104.4871</w:t>
            </w:r>
          </w:p>
        </w:tc>
        <w:tc>
          <w:tcPr>
            <w:tcW w:w="774" w:type="pct"/>
            <w:shd w:val="clear" w:color="auto" w:fill="auto"/>
            <w:noWrap/>
            <w:hideMark/>
          </w:tcPr>
          <w:p w14:paraId="0F869E91" w14:textId="570CED3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101.0067</w:t>
            </w:r>
          </w:p>
        </w:tc>
        <w:tc>
          <w:tcPr>
            <w:tcW w:w="1030" w:type="pct"/>
            <w:shd w:val="clear" w:color="auto" w:fill="auto"/>
            <w:noWrap/>
            <w:hideMark/>
          </w:tcPr>
          <w:p w14:paraId="3A7DEAEE" w14:textId="3A1F551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101.659</w:t>
            </w:r>
          </w:p>
        </w:tc>
        <w:tc>
          <w:tcPr>
            <w:tcW w:w="863" w:type="pct"/>
            <w:shd w:val="clear" w:color="auto" w:fill="auto"/>
            <w:noWrap/>
            <w:hideMark/>
          </w:tcPr>
          <w:p w14:paraId="0BAA8687" w14:textId="12D7EA4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101.0734</w:t>
            </w:r>
          </w:p>
        </w:tc>
      </w:tr>
      <w:tr w:rsidR="00BF179D" w:rsidRPr="00063AC8" w14:paraId="60BC4E22" w14:textId="77777777" w:rsidTr="00E6135C">
        <w:trPr>
          <w:trHeight w:val="20"/>
          <w:jc w:val="center"/>
        </w:trPr>
        <w:tc>
          <w:tcPr>
            <w:tcW w:w="508" w:type="pct"/>
            <w:tcBorders>
              <w:right w:val="single" w:sz="4" w:space="0" w:color="auto"/>
            </w:tcBorders>
            <w:shd w:val="clear" w:color="auto" w:fill="auto"/>
            <w:vAlign w:val="center"/>
            <w:hideMark/>
          </w:tcPr>
          <w:p w14:paraId="6325160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201607</w:t>
            </w:r>
          </w:p>
        </w:tc>
        <w:tc>
          <w:tcPr>
            <w:tcW w:w="669" w:type="pct"/>
            <w:tcBorders>
              <w:left w:val="single" w:sz="4" w:space="0" w:color="auto"/>
            </w:tcBorders>
            <w:shd w:val="clear" w:color="auto" w:fill="auto"/>
            <w:noWrap/>
            <w:hideMark/>
          </w:tcPr>
          <w:p w14:paraId="20C9F3B7" w14:textId="57EC31C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102.7229</w:t>
            </w:r>
          </w:p>
        </w:tc>
        <w:tc>
          <w:tcPr>
            <w:tcW w:w="1156" w:type="pct"/>
            <w:shd w:val="clear" w:color="auto" w:fill="auto"/>
            <w:noWrap/>
            <w:hideMark/>
          </w:tcPr>
          <w:p w14:paraId="7E9774AA" w14:textId="66839F4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103.62</w:t>
            </w:r>
          </w:p>
        </w:tc>
        <w:tc>
          <w:tcPr>
            <w:tcW w:w="774" w:type="pct"/>
            <w:shd w:val="clear" w:color="auto" w:fill="auto"/>
            <w:noWrap/>
            <w:hideMark/>
          </w:tcPr>
          <w:p w14:paraId="13639F03" w14:textId="49C8824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101.1224</w:t>
            </w:r>
          </w:p>
        </w:tc>
        <w:tc>
          <w:tcPr>
            <w:tcW w:w="1030" w:type="pct"/>
            <w:shd w:val="clear" w:color="auto" w:fill="auto"/>
            <w:noWrap/>
            <w:hideMark/>
          </w:tcPr>
          <w:p w14:paraId="6FD7F64D" w14:textId="09C27C7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101.6719</w:t>
            </w:r>
          </w:p>
        </w:tc>
        <w:tc>
          <w:tcPr>
            <w:tcW w:w="863" w:type="pct"/>
            <w:shd w:val="clear" w:color="auto" w:fill="auto"/>
            <w:noWrap/>
            <w:hideMark/>
          </w:tcPr>
          <w:p w14:paraId="4B10DB5D" w14:textId="425B022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101.0563</w:t>
            </w:r>
          </w:p>
        </w:tc>
      </w:tr>
      <w:tr w:rsidR="00BF179D" w:rsidRPr="00063AC8" w14:paraId="4C2A414C" w14:textId="77777777" w:rsidTr="00E6135C">
        <w:trPr>
          <w:trHeight w:val="20"/>
          <w:jc w:val="center"/>
        </w:trPr>
        <w:tc>
          <w:tcPr>
            <w:tcW w:w="508" w:type="pct"/>
            <w:tcBorders>
              <w:right w:val="single" w:sz="4" w:space="0" w:color="auto"/>
            </w:tcBorders>
            <w:shd w:val="clear" w:color="auto" w:fill="auto"/>
            <w:vAlign w:val="center"/>
            <w:hideMark/>
          </w:tcPr>
          <w:p w14:paraId="330E55E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201608</w:t>
            </w:r>
          </w:p>
        </w:tc>
        <w:tc>
          <w:tcPr>
            <w:tcW w:w="669" w:type="pct"/>
            <w:tcBorders>
              <w:left w:val="single" w:sz="4" w:space="0" w:color="auto"/>
            </w:tcBorders>
            <w:shd w:val="clear" w:color="auto" w:fill="auto"/>
            <w:noWrap/>
            <w:hideMark/>
          </w:tcPr>
          <w:p w14:paraId="480259CE" w14:textId="04D8395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102.8986</w:t>
            </w:r>
          </w:p>
        </w:tc>
        <w:tc>
          <w:tcPr>
            <w:tcW w:w="1156" w:type="pct"/>
            <w:shd w:val="clear" w:color="auto" w:fill="auto"/>
            <w:noWrap/>
            <w:hideMark/>
          </w:tcPr>
          <w:p w14:paraId="1D3C1A57" w14:textId="4D4E7DA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103.7257</w:t>
            </w:r>
          </w:p>
        </w:tc>
        <w:tc>
          <w:tcPr>
            <w:tcW w:w="774" w:type="pct"/>
            <w:shd w:val="clear" w:color="auto" w:fill="auto"/>
            <w:noWrap/>
            <w:hideMark/>
          </w:tcPr>
          <w:p w14:paraId="25CB41AA" w14:textId="5F33C0A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101.3889</w:t>
            </w:r>
          </w:p>
        </w:tc>
        <w:tc>
          <w:tcPr>
            <w:tcW w:w="1030" w:type="pct"/>
            <w:shd w:val="clear" w:color="auto" w:fill="auto"/>
            <w:noWrap/>
            <w:hideMark/>
          </w:tcPr>
          <w:p w14:paraId="01A2EA3B" w14:textId="606CBC1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101.5804</w:t>
            </w:r>
          </w:p>
        </w:tc>
        <w:tc>
          <w:tcPr>
            <w:tcW w:w="863" w:type="pct"/>
            <w:shd w:val="clear" w:color="auto" w:fill="auto"/>
            <w:noWrap/>
            <w:hideMark/>
          </w:tcPr>
          <w:p w14:paraId="62009A3F" w14:textId="210547B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100.9294</w:t>
            </w:r>
          </w:p>
        </w:tc>
      </w:tr>
      <w:tr w:rsidR="00BF179D" w:rsidRPr="00063AC8" w14:paraId="3B479A9B" w14:textId="77777777" w:rsidTr="00E6135C">
        <w:trPr>
          <w:trHeight w:val="20"/>
          <w:jc w:val="center"/>
        </w:trPr>
        <w:tc>
          <w:tcPr>
            <w:tcW w:w="508" w:type="pct"/>
            <w:tcBorders>
              <w:right w:val="single" w:sz="4" w:space="0" w:color="auto"/>
            </w:tcBorders>
            <w:shd w:val="clear" w:color="auto" w:fill="auto"/>
            <w:vAlign w:val="center"/>
            <w:hideMark/>
          </w:tcPr>
          <w:p w14:paraId="0C17E0D2"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201609</w:t>
            </w:r>
          </w:p>
        </w:tc>
        <w:tc>
          <w:tcPr>
            <w:tcW w:w="669" w:type="pct"/>
            <w:tcBorders>
              <w:left w:val="single" w:sz="4" w:space="0" w:color="auto"/>
            </w:tcBorders>
            <w:shd w:val="clear" w:color="auto" w:fill="auto"/>
            <w:noWrap/>
            <w:hideMark/>
          </w:tcPr>
          <w:p w14:paraId="0B189476" w14:textId="1A80A92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103.2414</w:t>
            </w:r>
          </w:p>
        </w:tc>
        <w:tc>
          <w:tcPr>
            <w:tcW w:w="1156" w:type="pct"/>
            <w:shd w:val="clear" w:color="auto" w:fill="auto"/>
            <w:noWrap/>
            <w:hideMark/>
          </w:tcPr>
          <w:p w14:paraId="490420DF" w14:textId="14E334E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103.9343</w:t>
            </w:r>
          </w:p>
        </w:tc>
        <w:tc>
          <w:tcPr>
            <w:tcW w:w="774" w:type="pct"/>
            <w:shd w:val="clear" w:color="auto" w:fill="auto"/>
            <w:noWrap/>
            <w:hideMark/>
          </w:tcPr>
          <w:p w14:paraId="3E6DF915" w14:textId="622B215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101.9517</w:t>
            </w:r>
          </w:p>
        </w:tc>
        <w:tc>
          <w:tcPr>
            <w:tcW w:w="1030" w:type="pct"/>
            <w:shd w:val="clear" w:color="auto" w:fill="auto"/>
            <w:noWrap/>
            <w:hideMark/>
          </w:tcPr>
          <w:p w14:paraId="1BF96DF4" w14:textId="7CE080E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102.07</w:t>
            </w:r>
          </w:p>
        </w:tc>
        <w:tc>
          <w:tcPr>
            <w:tcW w:w="863" w:type="pct"/>
            <w:shd w:val="clear" w:color="auto" w:fill="auto"/>
            <w:noWrap/>
            <w:hideMark/>
          </w:tcPr>
          <w:p w14:paraId="4AFBDC84" w14:textId="44BEF60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101.143</w:t>
            </w:r>
          </w:p>
        </w:tc>
      </w:tr>
      <w:tr w:rsidR="00BF179D" w:rsidRPr="00063AC8" w14:paraId="3415C9B1" w14:textId="77777777" w:rsidTr="00E6135C">
        <w:trPr>
          <w:trHeight w:val="20"/>
          <w:jc w:val="center"/>
        </w:trPr>
        <w:tc>
          <w:tcPr>
            <w:tcW w:w="508" w:type="pct"/>
            <w:tcBorders>
              <w:right w:val="single" w:sz="4" w:space="0" w:color="auto"/>
            </w:tcBorders>
            <w:shd w:val="clear" w:color="auto" w:fill="auto"/>
            <w:vAlign w:val="center"/>
            <w:hideMark/>
          </w:tcPr>
          <w:p w14:paraId="4503004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201610</w:t>
            </w:r>
          </w:p>
        </w:tc>
        <w:tc>
          <w:tcPr>
            <w:tcW w:w="669" w:type="pct"/>
            <w:tcBorders>
              <w:left w:val="single" w:sz="4" w:space="0" w:color="auto"/>
            </w:tcBorders>
            <w:shd w:val="clear" w:color="auto" w:fill="auto"/>
            <w:noWrap/>
            <w:hideMark/>
          </w:tcPr>
          <w:p w14:paraId="1F2F7B91" w14:textId="7009BFD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103.6443</w:t>
            </w:r>
          </w:p>
        </w:tc>
        <w:tc>
          <w:tcPr>
            <w:tcW w:w="1156" w:type="pct"/>
            <w:shd w:val="clear" w:color="auto" w:fill="auto"/>
            <w:noWrap/>
            <w:hideMark/>
          </w:tcPr>
          <w:p w14:paraId="7BA42B3C" w14:textId="6AE7C60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104.2557</w:t>
            </w:r>
          </w:p>
        </w:tc>
        <w:tc>
          <w:tcPr>
            <w:tcW w:w="774" w:type="pct"/>
            <w:shd w:val="clear" w:color="auto" w:fill="auto"/>
            <w:noWrap/>
            <w:hideMark/>
          </w:tcPr>
          <w:p w14:paraId="641B9A86" w14:textId="2E3C3C6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102.48</w:t>
            </w:r>
          </w:p>
        </w:tc>
        <w:tc>
          <w:tcPr>
            <w:tcW w:w="1030" w:type="pct"/>
            <w:shd w:val="clear" w:color="auto" w:fill="auto"/>
            <w:noWrap/>
            <w:hideMark/>
          </w:tcPr>
          <w:p w14:paraId="1203FF18" w14:textId="0EA4FFE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102.8343</w:t>
            </w:r>
          </w:p>
        </w:tc>
        <w:tc>
          <w:tcPr>
            <w:tcW w:w="863" w:type="pct"/>
            <w:shd w:val="clear" w:color="auto" w:fill="auto"/>
            <w:noWrap/>
            <w:hideMark/>
          </w:tcPr>
          <w:p w14:paraId="3E5DEB39" w14:textId="3E287D4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101.8287</w:t>
            </w:r>
          </w:p>
        </w:tc>
      </w:tr>
      <w:tr w:rsidR="00BF179D" w:rsidRPr="00063AC8" w14:paraId="1416CF96" w14:textId="77777777" w:rsidTr="00E6135C">
        <w:trPr>
          <w:trHeight w:val="20"/>
          <w:jc w:val="center"/>
        </w:trPr>
        <w:tc>
          <w:tcPr>
            <w:tcW w:w="508" w:type="pct"/>
            <w:tcBorders>
              <w:right w:val="single" w:sz="4" w:space="0" w:color="auto"/>
            </w:tcBorders>
            <w:shd w:val="clear" w:color="auto" w:fill="auto"/>
            <w:vAlign w:val="center"/>
            <w:hideMark/>
          </w:tcPr>
          <w:p w14:paraId="42E758E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201611</w:t>
            </w:r>
          </w:p>
        </w:tc>
        <w:tc>
          <w:tcPr>
            <w:tcW w:w="669" w:type="pct"/>
            <w:tcBorders>
              <w:left w:val="single" w:sz="4" w:space="0" w:color="auto"/>
            </w:tcBorders>
            <w:shd w:val="clear" w:color="auto" w:fill="auto"/>
            <w:noWrap/>
            <w:hideMark/>
          </w:tcPr>
          <w:p w14:paraId="404B5CD5" w14:textId="6318347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104.0329</w:t>
            </w:r>
          </w:p>
        </w:tc>
        <w:tc>
          <w:tcPr>
            <w:tcW w:w="1156" w:type="pct"/>
            <w:shd w:val="clear" w:color="auto" w:fill="auto"/>
            <w:noWrap/>
            <w:hideMark/>
          </w:tcPr>
          <w:p w14:paraId="26351DF7" w14:textId="217676D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104.6614</w:t>
            </w:r>
          </w:p>
        </w:tc>
        <w:tc>
          <w:tcPr>
            <w:tcW w:w="774" w:type="pct"/>
            <w:shd w:val="clear" w:color="auto" w:fill="auto"/>
            <w:noWrap/>
            <w:hideMark/>
          </w:tcPr>
          <w:p w14:paraId="5ECB4440" w14:textId="15DA371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102.8543</w:t>
            </w:r>
          </w:p>
        </w:tc>
        <w:tc>
          <w:tcPr>
            <w:tcW w:w="1030" w:type="pct"/>
            <w:shd w:val="clear" w:color="auto" w:fill="auto"/>
            <w:noWrap/>
            <w:hideMark/>
          </w:tcPr>
          <w:p w14:paraId="37063BF1" w14:textId="20F4230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103.2686</w:t>
            </w:r>
          </w:p>
        </w:tc>
        <w:tc>
          <w:tcPr>
            <w:tcW w:w="863" w:type="pct"/>
            <w:shd w:val="clear" w:color="auto" w:fill="auto"/>
            <w:noWrap/>
            <w:hideMark/>
          </w:tcPr>
          <w:p w14:paraId="05366D96" w14:textId="112CDE7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102.4957</w:t>
            </w:r>
          </w:p>
        </w:tc>
      </w:tr>
      <w:tr w:rsidR="00BF179D" w:rsidRPr="00063AC8" w14:paraId="733FB5E7" w14:textId="77777777" w:rsidTr="00E6135C">
        <w:trPr>
          <w:trHeight w:val="20"/>
          <w:jc w:val="center"/>
        </w:trPr>
        <w:tc>
          <w:tcPr>
            <w:tcW w:w="508" w:type="pct"/>
            <w:tcBorders>
              <w:right w:val="single" w:sz="4" w:space="0" w:color="auto"/>
            </w:tcBorders>
            <w:shd w:val="clear" w:color="auto" w:fill="auto"/>
            <w:vAlign w:val="center"/>
            <w:hideMark/>
          </w:tcPr>
          <w:p w14:paraId="4A267AE5"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201612</w:t>
            </w:r>
          </w:p>
        </w:tc>
        <w:tc>
          <w:tcPr>
            <w:tcW w:w="669" w:type="pct"/>
            <w:tcBorders>
              <w:left w:val="single" w:sz="4" w:space="0" w:color="auto"/>
            </w:tcBorders>
            <w:shd w:val="clear" w:color="auto" w:fill="auto"/>
            <w:noWrap/>
            <w:hideMark/>
          </w:tcPr>
          <w:p w14:paraId="41456F05" w14:textId="127CC08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104.5071</w:t>
            </w:r>
          </w:p>
        </w:tc>
        <w:tc>
          <w:tcPr>
            <w:tcW w:w="1156" w:type="pct"/>
            <w:shd w:val="clear" w:color="auto" w:fill="auto"/>
            <w:noWrap/>
            <w:hideMark/>
          </w:tcPr>
          <w:p w14:paraId="1FC0E5C4" w14:textId="144392E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105.1386</w:t>
            </w:r>
          </w:p>
        </w:tc>
        <w:tc>
          <w:tcPr>
            <w:tcW w:w="774" w:type="pct"/>
            <w:shd w:val="clear" w:color="auto" w:fill="auto"/>
            <w:noWrap/>
            <w:hideMark/>
          </w:tcPr>
          <w:p w14:paraId="463B469A" w14:textId="56CC251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103.3457</w:t>
            </w:r>
          </w:p>
        </w:tc>
        <w:tc>
          <w:tcPr>
            <w:tcW w:w="1030" w:type="pct"/>
            <w:shd w:val="clear" w:color="auto" w:fill="auto"/>
            <w:noWrap/>
            <w:hideMark/>
          </w:tcPr>
          <w:p w14:paraId="6B1056D6" w14:textId="5779CF7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103.8029</w:t>
            </w:r>
          </w:p>
        </w:tc>
        <w:tc>
          <w:tcPr>
            <w:tcW w:w="863" w:type="pct"/>
            <w:shd w:val="clear" w:color="auto" w:fill="auto"/>
            <w:noWrap/>
            <w:hideMark/>
          </w:tcPr>
          <w:p w14:paraId="6CE04839" w14:textId="7D32FE3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102.7571</w:t>
            </w:r>
          </w:p>
        </w:tc>
      </w:tr>
      <w:tr w:rsidR="00BF179D" w:rsidRPr="00063AC8" w14:paraId="407180BE" w14:textId="77777777" w:rsidTr="00E6135C">
        <w:trPr>
          <w:trHeight w:val="20"/>
          <w:jc w:val="center"/>
        </w:trPr>
        <w:tc>
          <w:tcPr>
            <w:tcW w:w="508" w:type="pct"/>
            <w:tcBorders>
              <w:right w:val="single" w:sz="4" w:space="0" w:color="auto"/>
            </w:tcBorders>
            <w:shd w:val="clear" w:color="auto" w:fill="auto"/>
            <w:vAlign w:val="center"/>
            <w:hideMark/>
          </w:tcPr>
          <w:p w14:paraId="6E32613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201701</w:t>
            </w:r>
          </w:p>
        </w:tc>
        <w:tc>
          <w:tcPr>
            <w:tcW w:w="669" w:type="pct"/>
            <w:tcBorders>
              <w:left w:val="single" w:sz="4" w:space="0" w:color="auto"/>
            </w:tcBorders>
            <w:shd w:val="clear" w:color="auto" w:fill="auto"/>
            <w:noWrap/>
            <w:hideMark/>
          </w:tcPr>
          <w:p w14:paraId="1DC87664" w14:textId="76D4D69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105.0371</w:t>
            </w:r>
          </w:p>
        </w:tc>
        <w:tc>
          <w:tcPr>
            <w:tcW w:w="1156" w:type="pct"/>
            <w:shd w:val="clear" w:color="auto" w:fill="auto"/>
            <w:noWrap/>
            <w:hideMark/>
          </w:tcPr>
          <w:p w14:paraId="2E729419" w14:textId="40A8D82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105.7014</w:t>
            </w:r>
          </w:p>
        </w:tc>
        <w:tc>
          <w:tcPr>
            <w:tcW w:w="774" w:type="pct"/>
            <w:shd w:val="clear" w:color="auto" w:fill="auto"/>
            <w:noWrap/>
            <w:hideMark/>
          </w:tcPr>
          <w:p w14:paraId="7CA85EA4" w14:textId="55AA890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103.8257</w:t>
            </w:r>
          </w:p>
        </w:tc>
        <w:tc>
          <w:tcPr>
            <w:tcW w:w="1030" w:type="pct"/>
            <w:shd w:val="clear" w:color="auto" w:fill="auto"/>
            <w:noWrap/>
            <w:hideMark/>
          </w:tcPr>
          <w:p w14:paraId="6243B86E" w14:textId="6527C8C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104.09</w:t>
            </w:r>
          </w:p>
        </w:tc>
        <w:tc>
          <w:tcPr>
            <w:tcW w:w="863" w:type="pct"/>
            <w:shd w:val="clear" w:color="auto" w:fill="auto"/>
            <w:noWrap/>
            <w:hideMark/>
          </w:tcPr>
          <w:p w14:paraId="5B0741BB" w14:textId="68708B8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102.9629</w:t>
            </w:r>
          </w:p>
        </w:tc>
      </w:tr>
      <w:tr w:rsidR="00BF179D" w:rsidRPr="00063AC8" w14:paraId="0A704D16" w14:textId="77777777" w:rsidTr="00E6135C">
        <w:trPr>
          <w:trHeight w:val="20"/>
          <w:jc w:val="center"/>
        </w:trPr>
        <w:tc>
          <w:tcPr>
            <w:tcW w:w="508" w:type="pct"/>
            <w:tcBorders>
              <w:right w:val="single" w:sz="4" w:space="0" w:color="auto"/>
            </w:tcBorders>
            <w:shd w:val="clear" w:color="auto" w:fill="auto"/>
            <w:vAlign w:val="center"/>
            <w:hideMark/>
          </w:tcPr>
          <w:p w14:paraId="5D64E2BF"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201702</w:t>
            </w:r>
          </w:p>
        </w:tc>
        <w:tc>
          <w:tcPr>
            <w:tcW w:w="669" w:type="pct"/>
            <w:tcBorders>
              <w:left w:val="single" w:sz="4" w:space="0" w:color="auto"/>
            </w:tcBorders>
            <w:shd w:val="clear" w:color="auto" w:fill="auto"/>
            <w:noWrap/>
            <w:hideMark/>
          </w:tcPr>
          <w:p w14:paraId="025B9E8B" w14:textId="045BB59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105.4543</w:t>
            </w:r>
          </w:p>
        </w:tc>
        <w:tc>
          <w:tcPr>
            <w:tcW w:w="1156" w:type="pct"/>
            <w:shd w:val="clear" w:color="auto" w:fill="auto"/>
            <w:noWrap/>
            <w:hideMark/>
          </w:tcPr>
          <w:p w14:paraId="0FDDF638" w14:textId="6D49427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106.1214</w:t>
            </w:r>
          </w:p>
        </w:tc>
        <w:tc>
          <w:tcPr>
            <w:tcW w:w="774" w:type="pct"/>
            <w:shd w:val="clear" w:color="auto" w:fill="auto"/>
            <w:noWrap/>
            <w:hideMark/>
          </w:tcPr>
          <w:p w14:paraId="513B6CE8" w14:textId="18BADB7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104.2386</w:t>
            </w:r>
          </w:p>
        </w:tc>
        <w:tc>
          <w:tcPr>
            <w:tcW w:w="1030" w:type="pct"/>
            <w:shd w:val="clear" w:color="auto" w:fill="auto"/>
            <w:noWrap/>
            <w:hideMark/>
          </w:tcPr>
          <w:p w14:paraId="6FCDD15A" w14:textId="5A99439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104.61</w:t>
            </w:r>
          </w:p>
        </w:tc>
        <w:tc>
          <w:tcPr>
            <w:tcW w:w="863" w:type="pct"/>
            <w:shd w:val="clear" w:color="auto" w:fill="auto"/>
            <w:noWrap/>
            <w:hideMark/>
          </w:tcPr>
          <w:p w14:paraId="45E55811" w14:textId="318F1B7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103.2371</w:t>
            </w:r>
          </w:p>
        </w:tc>
      </w:tr>
      <w:tr w:rsidR="00BF179D" w:rsidRPr="00063AC8" w14:paraId="4454771D" w14:textId="77777777" w:rsidTr="00E6135C">
        <w:trPr>
          <w:trHeight w:val="20"/>
          <w:jc w:val="center"/>
        </w:trPr>
        <w:tc>
          <w:tcPr>
            <w:tcW w:w="508" w:type="pct"/>
            <w:tcBorders>
              <w:right w:val="single" w:sz="4" w:space="0" w:color="auto"/>
            </w:tcBorders>
            <w:shd w:val="clear" w:color="auto" w:fill="auto"/>
            <w:vAlign w:val="center"/>
            <w:hideMark/>
          </w:tcPr>
          <w:p w14:paraId="1149EE5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201703</w:t>
            </w:r>
          </w:p>
        </w:tc>
        <w:tc>
          <w:tcPr>
            <w:tcW w:w="669" w:type="pct"/>
            <w:tcBorders>
              <w:left w:val="single" w:sz="4" w:space="0" w:color="auto"/>
            </w:tcBorders>
            <w:shd w:val="clear" w:color="auto" w:fill="auto"/>
            <w:noWrap/>
            <w:hideMark/>
          </w:tcPr>
          <w:p w14:paraId="5C49D6B9" w14:textId="54FCA1D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105.8486</w:t>
            </w:r>
          </w:p>
        </w:tc>
        <w:tc>
          <w:tcPr>
            <w:tcW w:w="1156" w:type="pct"/>
            <w:shd w:val="clear" w:color="auto" w:fill="auto"/>
            <w:noWrap/>
            <w:hideMark/>
          </w:tcPr>
          <w:p w14:paraId="17BF63DB" w14:textId="19F434C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106.5429</w:t>
            </w:r>
          </w:p>
        </w:tc>
        <w:tc>
          <w:tcPr>
            <w:tcW w:w="774" w:type="pct"/>
            <w:shd w:val="clear" w:color="auto" w:fill="auto"/>
            <w:noWrap/>
            <w:hideMark/>
          </w:tcPr>
          <w:p w14:paraId="24668A93" w14:textId="43B756F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104.5771</w:t>
            </w:r>
          </w:p>
        </w:tc>
        <w:tc>
          <w:tcPr>
            <w:tcW w:w="1030" w:type="pct"/>
            <w:shd w:val="clear" w:color="auto" w:fill="auto"/>
            <w:noWrap/>
            <w:hideMark/>
          </w:tcPr>
          <w:p w14:paraId="0CDEDDDB" w14:textId="3B076ED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105.3114</w:t>
            </w:r>
          </w:p>
        </w:tc>
        <w:tc>
          <w:tcPr>
            <w:tcW w:w="863" w:type="pct"/>
            <w:shd w:val="clear" w:color="auto" w:fill="auto"/>
            <w:noWrap/>
            <w:hideMark/>
          </w:tcPr>
          <w:p w14:paraId="5CF1D3BA" w14:textId="1900D17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104.3071</w:t>
            </w:r>
          </w:p>
        </w:tc>
      </w:tr>
      <w:tr w:rsidR="00BF179D" w:rsidRPr="00063AC8" w14:paraId="5BAA28B8" w14:textId="77777777" w:rsidTr="00E6135C">
        <w:trPr>
          <w:trHeight w:val="20"/>
          <w:jc w:val="center"/>
        </w:trPr>
        <w:tc>
          <w:tcPr>
            <w:tcW w:w="508" w:type="pct"/>
            <w:tcBorders>
              <w:right w:val="single" w:sz="4" w:space="0" w:color="auto"/>
            </w:tcBorders>
            <w:shd w:val="clear" w:color="auto" w:fill="auto"/>
            <w:vAlign w:val="center"/>
            <w:hideMark/>
          </w:tcPr>
          <w:p w14:paraId="776A66A1"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201704</w:t>
            </w:r>
          </w:p>
        </w:tc>
        <w:tc>
          <w:tcPr>
            <w:tcW w:w="669" w:type="pct"/>
            <w:tcBorders>
              <w:left w:val="single" w:sz="4" w:space="0" w:color="auto"/>
            </w:tcBorders>
            <w:shd w:val="clear" w:color="auto" w:fill="auto"/>
            <w:noWrap/>
            <w:hideMark/>
          </w:tcPr>
          <w:p w14:paraId="47F01930" w14:textId="074C2F6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106.1029</w:t>
            </w:r>
          </w:p>
        </w:tc>
        <w:tc>
          <w:tcPr>
            <w:tcW w:w="1156" w:type="pct"/>
            <w:shd w:val="clear" w:color="auto" w:fill="auto"/>
            <w:noWrap/>
            <w:hideMark/>
          </w:tcPr>
          <w:p w14:paraId="61031316" w14:textId="4B50FAC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106.8386</w:t>
            </w:r>
          </w:p>
        </w:tc>
        <w:tc>
          <w:tcPr>
            <w:tcW w:w="774" w:type="pct"/>
            <w:shd w:val="clear" w:color="auto" w:fill="auto"/>
            <w:noWrap/>
            <w:hideMark/>
          </w:tcPr>
          <w:p w14:paraId="4E002C3A" w14:textId="4C21E73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104.74</w:t>
            </w:r>
          </w:p>
        </w:tc>
        <w:tc>
          <w:tcPr>
            <w:tcW w:w="1030" w:type="pct"/>
            <w:shd w:val="clear" w:color="auto" w:fill="auto"/>
            <w:noWrap/>
            <w:hideMark/>
          </w:tcPr>
          <w:p w14:paraId="77AD82DC" w14:textId="1F98B8C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105.5386</w:t>
            </w:r>
          </w:p>
        </w:tc>
        <w:tc>
          <w:tcPr>
            <w:tcW w:w="863" w:type="pct"/>
            <w:shd w:val="clear" w:color="auto" w:fill="auto"/>
            <w:noWrap/>
            <w:hideMark/>
          </w:tcPr>
          <w:p w14:paraId="5682314D" w14:textId="3A0B357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105.2457</w:t>
            </w:r>
          </w:p>
        </w:tc>
      </w:tr>
      <w:tr w:rsidR="00BF179D" w:rsidRPr="00063AC8" w14:paraId="71596AC5" w14:textId="77777777" w:rsidTr="00E6135C">
        <w:trPr>
          <w:trHeight w:val="20"/>
          <w:jc w:val="center"/>
        </w:trPr>
        <w:tc>
          <w:tcPr>
            <w:tcW w:w="508" w:type="pct"/>
            <w:tcBorders>
              <w:right w:val="single" w:sz="4" w:space="0" w:color="auto"/>
            </w:tcBorders>
            <w:shd w:val="clear" w:color="auto" w:fill="auto"/>
            <w:vAlign w:val="center"/>
            <w:hideMark/>
          </w:tcPr>
          <w:p w14:paraId="29E8FB3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201705</w:t>
            </w:r>
          </w:p>
        </w:tc>
        <w:tc>
          <w:tcPr>
            <w:tcW w:w="669" w:type="pct"/>
            <w:tcBorders>
              <w:left w:val="single" w:sz="4" w:space="0" w:color="auto"/>
            </w:tcBorders>
            <w:shd w:val="clear" w:color="auto" w:fill="auto"/>
            <w:noWrap/>
            <w:hideMark/>
          </w:tcPr>
          <w:p w14:paraId="69F9C3FE" w14:textId="1434ACD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106.2929</w:t>
            </w:r>
          </w:p>
        </w:tc>
        <w:tc>
          <w:tcPr>
            <w:tcW w:w="1156" w:type="pct"/>
            <w:shd w:val="clear" w:color="auto" w:fill="auto"/>
            <w:noWrap/>
            <w:hideMark/>
          </w:tcPr>
          <w:p w14:paraId="2DE0D9C4" w14:textId="3D062A4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107.0971</w:t>
            </w:r>
          </w:p>
        </w:tc>
        <w:tc>
          <w:tcPr>
            <w:tcW w:w="774" w:type="pct"/>
            <w:shd w:val="clear" w:color="auto" w:fill="auto"/>
            <w:noWrap/>
            <w:hideMark/>
          </w:tcPr>
          <w:p w14:paraId="260EFCA9" w14:textId="24F305F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104.7886</w:t>
            </w:r>
          </w:p>
        </w:tc>
        <w:tc>
          <w:tcPr>
            <w:tcW w:w="1030" w:type="pct"/>
            <w:shd w:val="clear" w:color="auto" w:fill="auto"/>
            <w:noWrap/>
            <w:hideMark/>
          </w:tcPr>
          <w:p w14:paraId="27FFABAC" w14:textId="5F28281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105.6014</w:t>
            </w:r>
          </w:p>
        </w:tc>
        <w:tc>
          <w:tcPr>
            <w:tcW w:w="863" w:type="pct"/>
            <w:shd w:val="clear" w:color="auto" w:fill="auto"/>
            <w:noWrap/>
            <w:hideMark/>
          </w:tcPr>
          <w:p w14:paraId="1669BBE1" w14:textId="6B51F2B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105.5543</w:t>
            </w:r>
          </w:p>
        </w:tc>
      </w:tr>
      <w:tr w:rsidR="00BF179D" w:rsidRPr="00063AC8" w14:paraId="388A17D5" w14:textId="77777777" w:rsidTr="00E6135C">
        <w:trPr>
          <w:trHeight w:val="20"/>
          <w:jc w:val="center"/>
        </w:trPr>
        <w:tc>
          <w:tcPr>
            <w:tcW w:w="508" w:type="pct"/>
            <w:tcBorders>
              <w:right w:val="single" w:sz="4" w:space="0" w:color="auto"/>
            </w:tcBorders>
            <w:shd w:val="clear" w:color="auto" w:fill="auto"/>
            <w:vAlign w:val="center"/>
            <w:hideMark/>
          </w:tcPr>
          <w:p w14:paraId="0E62051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201706</w:t>
            </w:r>
          </w:p>
        </w:tc>
        <w:tc>
          <w:tcPr>
            <w:tcW w:w="669" w:type="pct"/>
            <w:tcBorders>
              <w:left w:val="single" w:sz="4" w:space="0" w:color="auto"/>
            </w:tcBorders>
            <w:shd w:val="clear" w:color="auto" w:fill="auto"/>
            <w:noWrap/>
            <w:hideMark/>
          </w:tcPr>
          <w:p w14:paraId="616966F8" w14:textId="41CF662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106.4214</w:t>
            </w:r>
          </w:p>
        </w:tc>
        <w:tc>
          <w:tcPr>
            <w:tcW w:w="1156" w:type="pct"/>
            <w:shd w:val="clear" w:color="auto" w:fill="auto"/>
            <w:noWrap/>
            <w:hideMark/>
          </w:tcPr>
          <w:p w14:paraId="23A0135C" w14:textId="3F9F1D5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107.1386</w:t>
            </w:r>
          </w:p>
        </w:tc>
        <w:tc>
          <w:tcPr>
            <w:tcW w:w="774" w:type="pct"/>
            <w:shd w:val="clear" w:color="auto" w:fill="auto"/>
            <w:noWrap/>
            <w:hideMark/>
          </w:tcPr>
          <w:p w14:paraId="4F136D0A" w14:textId="40FCE99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105.0543</w:t>
            </w:r>
          </w:p>
        </w:tc>
        <w:tc>
          <w:tcPr>
            <w:tcW w:w="1030" w:type="pct"/>
            <w:shd w:val="clear" w:color="auto" w:fill="auto"/>
            <w:noWrap/>
            <w:hideMark/>
          </w:tcPr>
          <w:p w14:paraId="374AF073" w14:textId="26220C2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105.7871</w:t>
            </w:r>
          </w:p>
        </w:tc>
        <w:tc>
          <w:tcPr>
            <w:tcW w:w="863" w:type="pct"/>
            <w:shd w:val="clear" w:color="auto" w:fill="auto"/>
            <w:noWrap/>
            <w:hideMark/>
          </w:tcPr>
          <w:p w14:paraId="50F7411F" w14:textId="1A5FF89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105.6971</w:t>
            </w:r>
          </w:p>
        </w:tc>
      </w:tr>
      <w:tr w:rsidR="00BF179D" w:rsidRPr="00063AC8" w14:paraId="78FFD4B3" w14:textId="77777777" w:rsidTr="00E6135C">
        <w:trPr>
          <w:trHeight w:val="20"/>
          <w:jc w:val="center"/>
        </w:trPr>
        <w:tc>
          <w:tcPr>
            <w:tcW w:w="508" w:type="pct"/>
            <w:tcBorders>
              <w:right w:val="single" w:sz="4" w:space="0" w:color="auto"/>
            </w:tcBorders>
            <w:shd w:val="clear" w:color="auto" w:fill="auto"/>
            <w:vAlign w:val="center"/>
            <w:hideMark/>
          </w:tcPr>
          <w:p w14:paraId="24C10A7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201707</w:t>
            </w:r>
          </w:p>
        </w:tc>
        <w:tc>
          <w:tcPr>
            <w:tcW w:w="669" w:type="pct"/>
            <w:tcBorders>
              <w:left w:val="single" w:sz="4" w:space="0" w:color="auto"/>
            </w:tcBorders>
            <w:shd w:val="clear" w:color="auto" w:fill="auto"/>
            <w:noWrap/>
            <w:hideMark/>
          </w:tcPr>
          <w:p w14:paraId="1CBC3B86" w14:textId="415C45D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106.4886</w:t>
            </w:r>
          </w:p>
        </w:tc>
        <w:tc>
          <w:tcPr>
            <w:tcW w:w="1156" w:type="pct"/>
            <w:shd w:val="clear" w:color="auto" w:fill="auto"/>
            <w:noWrap/>
            <w:hideMark/>
          </w:tcPr>
          <w:p w14:paraId="7C443C8C" w14:textId="2B72FE0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107.17</w:t>
            </w:r>
          </w:p>
        </w:tc>
        <w:tc>
          <w:tcPr>
            <w:tcW w:w="774" w:type="pct"/>
            <w:shd w:val="clear" w:color="auto" w:fill="auto"/>
            <w:noWrap/>
            <w:hideMark/>
          </w:tcPr>
          <w:p w14:paraId="60D3C1E4" w14:textId="637A351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105.1571</w:t>
            </w:r>
          </w:p>
        </w:tc>
        <w:tc>
          <w:tcPr>
            <w:tcW w:w="1030" w:type="pct"/>
            <w:shd w:val="clear" w:color="auto" w:fill="auto"/>
            <w:noWrap/>
            <w:hideMark/>
          </w:tcPr>
          <w:p w14:paraId="36C22B8F" w14:textId="41023C4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106.0143</w:t>
            </w:r>
          </w:p>
        </w:tc>
        <w:tc>
          <w:tcPr>
            <w:tcW w:w="863" w:type="pct"/>
            <w:shd w:val="clear" w:color="auto" w:fill="auto"/>
            <w:noWrap/>
            <w:hideMark/>
          </w:tcPr>
          <w:p w14:paraId="520DDDB9" w14:textId="60CD859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106.1657</w:t>
            </w:r>
          </w:p>
        </w:tc>
      </w:tr>
      <w:tr w:rsidR="00BF179D" w:rsidRPr="00063AC8" w14:paraId="78731C12" w14:textId="77777777" w:rsidTr="00E6135C">
        <w:trPr>
          <w:trHeight w:val="20"/>
          <w:jc w:val="center"/>
        </w:trPr>
        <w:tc>
          <w:tcPr>
            <w:tcW w:w="508" w:type="pct"/>
            <w:tcBorders>
              <w:right w:val="single" w:sz="4" w:space="0" w:color="auto"/>
            </w:tcBorders>
            <w:shd w:val="clear" w:color="auto" w:fill="auto"/>
            <w:vAlign w:val="center"/>
            <w:hideMark/>
          </w:tcPr>
          <w:p w14:paraId="098FD6B5"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201708</w:t>
            </w:r>
          </w:p>
        </w:tc>
        <w:tc>
          <w:tcPr>
            <w:tcW w:w="669" w:type="pct"/>
            <w:tcBorders>
              <w:left w:val="single" w:sz="4" w:space="0" w:color="auto"/>
            </w:tcBorders>
            <w:shd w:val="clear" w:color="auto" w:fill="auto"/>
            <w:noWrap/>
            <w:hideMark/>
          </w:tcPr>
          <w:p w14:paraId="6E2CA502" w14:textId="56DD1CE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106.6243</w:t>
            </w:r>
          </w:p>
        </w:tc>
        <w:tc>
          <w:tcPr>
            <w:tcW w:w="1156" w:type="pct"/>
            <w:shd w:val="clear" w:color="auto" w:fill="auto"/>
            <w:noWrap/>
            <w:hideMark/>
          </w:tcPr>
          <w:p w14:paraId="41C333F7" w14:textId="629D12F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107.25</w:t>
            </w:r>
          </w:p>
        </w:tc>
        <w:tc>
          <w:tcPr>
            <w:tcW w:w="774" w:type="pct"/>
            <w:shd w:val="clear" w:color="auto" w:fill="auto"/>
            <w:noWrap/>
            <w:hideMark/>
          </w:tcPr>
          <w:p w14:paraId="78AD567B" w14:textId="51AECF8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105.36</w:t>
            </w:r>
          </w:p>
        </w:tc>
        <w:tc>
          <w:tcPr>
            <w:tcW w:w="1030" w:type="pct"/>
            <w:shd w:val="clear" w:color="auto" w:fill="auto"/>
            <w:noWrap/>
            <w:hideMark/>
          </w:tcPr>
          <w:p w14:paraId="2CDB9F07" w14:textId="0959DD6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106.0886</w:t>
            </w:r>
          </w:p>
        </w:tc>
        <w:tc>
          <w:tcPr>
            <w:tcW w:w="863" w:type="pct"/>
            <w:shd w:val="clear" w:color="auto" w:fill="auto"/>
            <w:noWrap/>
            <w:hideMark/>
          </w:tcPr>
          <w:p w14:paraId="00708A37" w14:textId="36A3656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106.4886</w:t>
            </w:r>
          </w:p>
        </w:tc>
      </w:tr>
      <w:tr w:rsidR="00BF179D" w:rsidRPr="00063AC8" w14:paraId="4A77E907" w14:textId="77777777" w:rsidTr="00E6135C">
        <w:trPr>
          <w:trHeight w:val="20"/>
          <w:jc w:val="center"/>
        </w:trPr>
        <w:tc>
          <w:tcPr>
            <w:tcW w:w="508" w:type="pct"/>
            <w:tcBorders>
              <w:right w:val="single" w:sz="4" w:space="0" w:color="auto"/>
            </w:tcBorders>
            <w:shd w:val="clear" w:color="auto" w:fill="auto"/>
            <w:vAlign w:val="center"/>
            <w:hideMark/>
          </w:tcPr>
          <w:p w14:paraId="7308D24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201709</w:t>
            </w:r>
          </w:p>
        </w:tc>
        <w:tc>
          <w:tcPr>
            <w:tcW w:w="669" w:type="pct"/>
            <w:tcBorders>
              <w:left w:val="single" w:sz="4" w:space="0" w:color="auto"/>
            </w:tcBorders>
            <w:shd w:val="clear" w:color="auto" w:fill="auto"/>
            <w:noWrap/>
            <w:hideMark/>
          </w:tcPr>
          <w:p w14:paraId="3478D1C7" w14:textId="17992BA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106.7714</w:t>
            </w:r>
          </w:p>
        </w:tc>
        <w:tc>
          <w:tcPr>
            <w:tcW w:w="1156" w:type="pct"/>
            <w:shd w:val="clear" w:color="auto" w:fill="auto"/>
            <w:noWrap/>
            <w:hideMark/>
          </w:tcPr>
          <w:p w14:paraId="1A14983C" w14:textId="72E6836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107.39</w:t>
            </w:r>
          </w:p>
        </w:tc>
        <w:tc>
          <w:tcPr>
            <w:tcW w:w="774" w:type="pct"/>
            <w:shd w:val="clear" w:color="auto" w:fill="auto"/>
            <w:noWrap/>
            <w:hideMark/>
          </w:tcPr>
          <w:p w14:paraId="23210094" w14:textId="6BF84D5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105.4943</w:t>
            </w:r>
          </w:p>
        </w:tc>
        <w:tc>
          <w:tcPr>
            <w:tcW w:w="1030" w:type="pct"/>
            <w:shd w:val="clear" w:color="auto" w:fill="auto"/>
            <w:noWrap/>
            <w:hideMark/>
          </w:tcPr>
          <w:p w14:paraId="441FEBE2" w14:textId="61F71DF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106.3429</w:t>
            </w:r>
          </w:p>
        </w:tc>
        <w:tc>
          <w:tcPr>
            <w:tcW w:w="863" w:type="pct"/>
            <w:shd w:val="clear" w:color="auto" w:fill="auto"/>
            <w:noWrap/>
            <w:hideMark/>
          </w:tcPr>
          <w:p w14:paraId="17A906D5" w14:textId="6DBCD39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106.9414</w:t>
            </w:r>
          </w:p>
        </w:tc>
      </w:tr>
      <w:tr w:rsidR="00BF179D" w:rsidRPr="00063AC8" w14:paraId="342542B3" w14:textId="77777777" w:rsidTr="00E6135C">
        <w:trPr>
          <w:trHeight w:val="20"/>
          <w:jc w:val="center"/>
        </w:trPr>
        <w:tc>
          <w:tcPr>
            <w:tcW w:w="508" w:type="pct"/>
            <w:tcBorders>
              <w:right w:val="single" w:sz="4" w:space="0" w:color="auto"/>
            </w:tcBorders>
            <w:shd w:val="clear" w:color="auto" w:fill="auto"/>
            <w:vAlign w:val="center"/>
            <w:hideMark/>
          </w:tcPr>
          <w:p w14:paraId="75338E9A"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201710</w:t>
            </w:r>
          </w:p>
        </w:tc>
        <w:tc>
          <w:tcPr>
            <w:tcW w:w="669" w:type="pct"/>
            <w:tcBorders>
              <w:left w:val="single" w:sz="4" w:space="0" w:color="auto"/>
            </w:tcBorders>
            <w:shd w:val="clear" w:color="auto" w:fill="auto"/>
            <w:noWrap/>
            <w:hideMark/>
          </w:tcPr>
          <w:p w14:paraId="55F29AB6" w14:textId="603A19A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107.3743</w:t>
            </w:r>
          </w:p>
        </w:tc>
        <w:tc>
          <w:tcPr>
            <w:tcW w:w="1156" w:type="pct"/>
            <w:shd w:val="clear" w:color="auto" w:fill="auto"/>
            <w:noWrap/>
            <w:hideMark/>
          </w:tcPr>
          <w:p w14:paraId="57262031" w14:textId="49FA52B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107.6543</w:t>
            </w:r>
          </w:p>
        </w:tc>
        <w:tc>
          <w:tcPr>
            <w:tcW w:w="774" w:type="pct"/>
            <w:shd w:val="clear" w:color="auto" w:fill="auto"/>
            <w:noWrap/>
            <w:hideMark/>
          </w:tcPr>
          <w:p w14:paraId="6CADDD1A" w14:textId="1F25E09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106.6314</w:t>
            </w:r>
          </w:p>
        </w:tc>
        <w:tc>
          <w:tcPr>
            <w:tcW w:w="1030" w:type="pct"/>
            <w:shd w:val="clear" w:color="auto" w:fill="auto"/>
            <w:noWrap/>
            <w:hideMark/>
          </w:tcPr>
          <w:p w14:paraId="65081E76" w14:textId="44BFA1C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106.5457</w:t>
            </w:r>
          </w:p>
        </w:tc>
        <w:tc>
          <w:tcPr>
            <w:tcW w:w="863" w:type="pct"/>
            <w:shd w:val="clear" w:color="auto" w:fill="auto"/>
            <w:noWrap/>
            <w:hideMark/>
          </w:tcPr>
          <w:p w14:paraId="038583FD" w14:textId="7C3D45B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107.19</w:t>
            </w:r>
          </w:p>
        </w:tc>
      </w:tr>
      <w:tr w:rsidR="00BF179D" w:rsidRPr="00063AC8" w14:paraId="295A0AD7" w14:textId="77777777" w:rsidTr="00E6135C">
        <w:trPr>
          <w:trHeight w:val="20"/>
          <w:jc w:val="center"/>
        </w:trPr>
        <w:tc>
          <w:tcPr>
            <w:tcW w:w="508" w:type="pct"/>
            <w:tcBorders>
              <w:right w:val="single" w:sz="4" w:space="0" w:color="auto"/>
            </w:tcBorders>
            <w:shd w:val="clear" w:color="auto" w:fill="auto"/>
            <w:vAlign w:val="center"/>
            <w:hideMark/>
          </w:tcPr>
          <w:p w14:paraId="147C92F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201711</w:t>
            </w:r>
          </w:p>
        </w:tc>
        <w:tc>
          <w:tcPr>
            <w:tcW w:w="669" w:type="pct"/>
            <w:tcBorders>
              <w:left w:val="single" w:sz="4" w:space="0" w:color="auto"/>
            </w:tcBorders>
            <w:shd w:val="clear" w:color="auto" w:fill="auto"/>
            <w:noWrap/>
            <w:hideMark/>
          </w:tcPr>
          <w:p w14:paraId="0A1DC6B9" w14:textId="2510DB6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107.7386</w:t>
            </w:r>
          </w:p>
        </w:tc>
        <w:tc>
          <w:tcPr>
            <w:tcW w:w="1156" w:type="pct"/>
            <w:shd w:val="clear" w:color="auto" w:fill="auto"/>
            <w:noWrap/>
            <w:hideMark/>
          </w:tcPr>
          <w:p w14:paraId="335D7043" w14:textId="3843DB6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108.0386</w:t>
            </w:r>
          </w:p>
        </w:tc>
        <w:tc>
          <w:tcPr>
            <w:tcW w:w="774" w:type="pct"/>
            <w:shd w:val="clear" w:color="auto" w:fill="auto"/>
            <w:noWrap/>
            <w:hideMark/>
          </w:tcPr>
          <w:p w14:paraId="22A89801" w14:textId="3DB0F96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106.9486</w:t>
            </w:r>
          </w:p>
        </w:tc>
        <w:tc>
          <w:tcPr>
            <w:tcW w:w="1030" w:type="pct"/>
            <w:shd w:val="clear" w:color="auto" w:fill="auto"/>
            <w:noWrap/>
            <w:hideMark/>
          </w:tcPr>
          <w:p w14:paraId="38DC13CA" w14:textId="106FE34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106.8486</w:t>
            </w:r>
          </w:p>
        </w:tc>
        <w:tc>
          <w:tcPr>
            <w:tcW w:w="863" w:type="pct"/>
            <w:shd w:val="clear" w:color="auto" w:fill="auto"/>
            <w:noWrap/>
            <w:hideMark/>
          </w:tcPr>
          <w:p w14:paraId="6DEFF36A" w14:textId="208E2FA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107.0929</w:t>
            </w:r>
          </w:p>
        </w:tc>
      </w:tr>
      <w:tr w:rsidR="00BF179D" w:rsidRPr="00063AC8" w14:paraId="4D50E5E9" w14:textId="77777777" w:rsidTr="00E6135C">
        <w:trPr>
          <w:trHeight w:val="20"/>
          <w:jc w:val="center"/>
        </w:trPr>
        <w:tc>
          <w:tcPr>
            <w:tcW w:w="508" w:type="pct"/>
            <w:tcBorders>
              <w:right w:val="single" w:sz="4" w:space="0" w:color="auto"/>
            </w:tcBorders>
            <w:shd w:val="clear" w:color="auto" w:fill="auto"/>
            <w:vAlign w:val="center"/>
            <w:hideMark/>
          </w:tcPr>
          <w:p w14:paraId="7E5EB225"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201712</w:t>
            </w:r>
          </w:p>
        </w:tc>
        <w:tc>
          <w:tcPr>
            <w:tcW w:w="669" w:type="pct"/>
            <w:tcBorders>
              <w:left w:val="single" w:sz="4" w:space="0" w:color="auto"/>
            </w:tcBorders>
            <w:shd w:val="clear" w:color="auto" w:fill="auto"/>
            <w:noWrap/>
            <w:hideMark/>
          </w:tcPr>
          <w:p w14:paraId="11E51FB1" w14:textId="42B1E20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108.1114</w:t>
            </w:r>
          </w:p>
        </w:tc>
        <w:tc>
          <w:tcPr>
            <w:tcW w:w="1156" w:type="pct"/>
            <w:shd w:val="clear" w:color="auto" w:fill="auto"/>
            <w:noWrap/>
            <w:hideMark/>
          </w:tcPr>
          <w:p w14:paraId="1DFD92A8" w14:textId="2A44063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108.4014</w:t>
            </w:r>
          </w:p>
        </w:tc>
        <w:tc>
          <w:tcPr>
            <w:tcW w:w="774" w:type="pct"/>
            <w:shd w:val="clear" w:color="auto" w:fill="auto"/>
            <w:noWrap/>
            <w:hideMark/>
          </w:tcPr>
          <w:p w14:paraId="23F00A34" w14:textId="0A0D098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107.3529</w:t>
            </w:r>
          </w:p>
        </w:tc>
        <w:tc>
          <w:tcPr>
            <w:tcW w:w="1030" w:type="pct"/>
            <w:shd w:val="clear" w:color="auto" w:fill="auto"/>
            <w:noWrap/>
            <w:hideMark/>
          </w:tcPr>
          <w:p w14:paraId="4AC43831" w14:textId="7FC8934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107.6614</w:t>
            </w:r>
          </w:p>
        </w:tc>
        <w:tc>
          <w:tcPr>
            <w:tcW w:w="863" w:type="pct"/>
            <w:shd w:val="clear" w:color="auto" w:fill="auto"/>
            <w:noWrap/>
            <w:hideMark/>
          </w:tcPr>
          <w:p w14:paraId="64AC9EB1" w14:textId="756BC2E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108.2343</w:t>
            </w:r>
          </w:p>
        </w:tc>
      </w:tr>
      <w:tr w:rsidR="00BF179D" w:rsidRPr="00063AC8" w14:paraId="46B1B192" w14:textId="77777777" w:rsidTr="00E6135C">
        <w:trPr>
          <w:trHeight w:val="20"/>
          <w:jc w:val="center"/>
        </w:trPr>
        <w:tc>
          <w:tcPr>
            <w:tcW w:w="508" w:type="pct"/>
            <w:tcBorders>
              <w:right w:val="single" w:sz="4" w:space="0" w:color="auto"/>
            </w:tcBorders>
            <w:shd w:val="clear" w:color="auto" w:fill="auto"/>
            <w:vAlign w:val="center"/>
            <w:hideMark/>
          </w:tcPr>
          <w:p w14:paraId="3390EDE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201801</w:t>
            </w:r>
          </w:p>
        </w:tc>
        <w:tc>
          <w:tcPr>
            <w:tcW w:w="669" w:type="pct"/>
            <w:tcBorders>
              <w:left w:val="single" w:sz="4" w:space="0" w:color="auto"/>
            </w:tcBorders>
            <w:shd w:val="clear" w:color="auto" w:fill="auto"/>
            <w:noWrap/>
            <w:hideMark/>
          </w:tcPr>
          <w:p w14:paraId="5A0414C8" w14:textId="77BBA8F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108.5343</w:t>
            </w:r>
          </w:p>
        </w:tc>
        <w:tc>
          <w:tcPr>
            <w:tcW w:w="1156" w:type="pct"/>
            <w:shd w:val="clear" w:color="auto" w:fill="auto"/>
            <w:noWrap/>
            <w:hideMark/>
          </w:tcPr>
          <w:p w14:paraId="699E1046" w14:textId="7878DA7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108.8371</w:t>
            </w:r>
          </w:p>
        </w:tc>
        <w:tc>
          <w:tcPr>
            <w:tcW w:w="774" w:type="pct"/>
            <w:shd w:val="clear" w:color="auto" w:fill="auto"/>
            <w:noWrap/>
            <w:hideMark/>
          </w:tcPr>
          <w:p w14:paraId="6FE3428A" w14:textId="08830ED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107.7571</w:t>
            </w:r>
          </w:p>
        </w:tc>
        <w:tc>
          <w:tcPr>
            <w:tcW w:w="1030" w:type="pct"/>
            <w:shd w:val="clear" w:color="auto" w:fill="auto"/>
            <w:noWrap/>
            <w:hideMark/>
          </w:tcPr>
          <w:p w14:paraId="7C7CA4A9" w14:textId="6A6972A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108.5257</w:t>
            </w:r>
          </w:p>
        </w:tc>
        <w:tc>
          <w:tcPr>
            <w:tcW w:w="863" w:type="pct"/>
            <w:shd w:val="clear" w:color="auto" w:fill="auto"/>
            <w:noWrap/>
            <w:hideMark/>
          </w:tcPr>
          <w:p w14:paraId="54C5E366" w14:textId="16600CE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109.64</w:t>
            </w:r>
          </w:p>
        </w:tc>
      </w:tr>
      <w:tr w:rsidR="00BF179D" w:rsidRPr="00063AC8" w14:paraId="3BD8EBE4" w14:textId="77777777" w:rsidTr="00E6135C">
        <w:trPr>
          <w:trHeight w:val="20"/>
          <w:jc w:val="center"/>
        </w:trPr>
        <w:tc>
          <w:tcPr>
            <w:tcW w:w="508" w:type="pct"/>
            <w:tcBorders>
              <w:right w:val="single" w:sz="4" w:space="0" w:color="auto"/>
            </w:tcBorders>
            <w:shd w:val="clear" w:color="auto" w:fill="auto"/>
            <w:vAlign w:val="center"/>
            <w:hideMark/>
          </w:tcPr>
          <w:p w14:paraId="29F60EFF"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201802</w:t>
            </w:r>
          </w:p>
        </w:tc>
        <w:tc>
          <w:tcPr>
            <w:tcW w:w="669" w:type="pct"/>
            <w:tcBorders>
              <w:left w:val="single" w:sz="4" w:space="0" w:color="auto"/>
            </w:tcBorders>
            <w:shd w:val="clear" w:color="auto" w:fill="auto"/>
            <w:noWrap/>
            <w:hideMark/>
          </w:tcPr>
          <w:p w14:paraId="5FAA281F" w14:textId="18011BE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108.9443</w:t>
            </w:r>
          </w:p>
        </w:tc>
        <w:tc>
          <w:tcPr>
            <w:tcW w:w="1156" w:type="pct"/>
            <w:shd w:val="clear" w:color="auto" w:fill="auto"/>
            <w:noWrap/>
            <w:hideMark/>
          </w:tcPr>
          <w:p w14:paraId="1DD22526" w14:textId="6F0BF03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109.2329</w:t>
            </w:r>
          </w:p>
        </w:tc>
        <w:tc>
          <w:tcPr>
            <w:tcW w:w="774" w:type="pct"/>
            <w:shd w:val="clear" w:color="auto" w:fill="auto"/>
            <w:noWrap/>
            <w:hideMark/>
          </w:tcPr>
          <w:p w14:paraId="21E7EE42" w14:textId="0DAA941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108.1843</w:t>
            </w:r>
          </w:p>
        </w:tc>
        <w:tc>
          <w:tcPr>
            <w:tcW w:w="1030" w:type="pct"/>
            <w:shd w:val="clear" w:color="auto" w:fill="auto"/>
            <w:noWrap/>
            <w:hideMark/>
          </w:tcPr>
          <w:p w14:paraId="59AC3071" w14:textId="4F044CB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109.0486</w:t>
            </w:r>
          </w:p>
        </w:tc>
        <w:tc>
          <w:tcPr>
            <w:tcW w:w="863" w:type="pct"/>
            <w:shd w:val="clear" w:color="auto" w:fill="auto"/>
            <w:noWrap/>
            <w:hideMark/>
          </w:tcPr>
          <w:p w14:paraId="3DCB506B" w14:textId="7E2D1E4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110.4514</w:t>
            </w:r>
          </w:p>
        </w:tc>
      </w:tr>
      <w:tr w:rsidR="00BF179D" w:rsidRPr="00063AC8" w14:paraId="0B5C188A" w14:textId="77777777" w:rsidTr="00E6135C">
        <w:trPr>
          <w:trHeight w:val="20"/>
          <w:jc w:val="center"/>
        </w:trPr>
        <w:tc>
          <w:tcPr>
            <w:tcW w:w="508" w:type="pct"/>
            <w:tcBorders>
              <w:right w:val="single" w:sz="4" w:space="0" w:color="auto"/>
            </w:tcBorders>
            <w:shd w:val="clear" w:color="auto" w:fill="auto"/>
            <w:vAlign w:val="center"/>
            <w:hideMark/>
          </w:tcPr>
          <w:p w14:paraId="0BDE6D9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201803</w:t>
            </w:r>
          </w:p>
        </w:tc>
        <w:tc>
          <w:tcPr>
            <w:tcW w:w="669" w:type="pct"/>
            <w:tcBorders>
              <w:left w:val="single" w:sz="4" w:space="0" w:color="auto"/>
            </w:tcBorders>
            <w:shd w:val="clear" w:color="auto" w:fill="auto"/>
            <w:noWrap/>
            <w:hideMark/>
          </w:tcPr>
          <w:p w14:paraId="6F1DD7B8" w14:textId="3F5E736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109.2029</w:t>
            </w:r>
          </w:p>
        </w:tc>
        <w:tc>
          <w:tcPr>
            <w:tcW w:w="1156" w:type="pct"/>
            <w:shd w:val="clear" w:color="auto" w:fill="auto"/>
            <w:noWrap/>
            <w:hideMark/>
          </w:tcPr>
          <w:p w14:paraId="66E9A6B3" w14:textId="44979C9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109.4671</w:t>
            </w:r>
          </w:p>
        </w:tc>
        <w:tc>
          <w:tcPr>
            <w:tcW w:w="774" w:type="pct"/>
            <w:shd w:val="clear" w:color="auto" w:fill="auto"/>
            <w:noWrap/>
            <w:hideMark/>
          </w:tcPr>
          <w:p w14:paraId="2CAD20C8" w14:textId="726EB85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108.4814</w:t>
            </w:r>
          </w:p>
        </w:tc>
        <w:tc>
          <w:tcPr>
            <w:tcW w:w="1030" w:type="pct"/>
            <w:shd w:val="clear" w:color="auto" w:fill="auto"/>
            <w:noWrap/>
            <w:hideMark/>
          </w:tcPr>
          <w:p w14:paraId="08CF66E3" w14:textId="1C5F131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109.6243</w:t>
            </w:r>
          </w:p>
        </w:tc>
        <w:tc>
          <w:tcPr>
            <w:tcW w:w="863" w:type="pct"/>
            <w:shd w:val="clear" w:color="auto" w:fill="auto"/>
            <w:noWrap/>
            <w:hideMark/>
          </w:tcPr>
          <w:p w14:paraId="17AAB7DB" w14:textId="1AB6C2A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111.0643</w:t>
            </w:r>
          </w:p>
        </w:tc>
      </w:tr>
      <w:tr w:rsidR="00BF179D" w:rsidRPr="00063AC8" w14:paraId="0304D701" w14:textId="77777777" w:rsidTr="00E6135C">
        <w:trPr>
          <w:trHeight w:val="20"/>
          <w:jc w:val="center"/>
        </w:trPr>
        <w:tc>
          <w:tcPr>
            <w:tcW w:w="508" w:type="pct"/>
            <w:tcBorders>
              <w:right w:val="single" w:sz="4" w:space="0" w:color="auto"/>
            </w:tcBorders>
            <w:shd w:val="clear" w:color="auto" w:fill="auto"/>
            <w:vAlign w:val="center"/>
            <w:hideMark/>
          </w:tcPr>
          <w:p w14:paraId="672620A6"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201804</w:t>
            </w:r>
          </w:p>
        </w:tc>
        <w:tc>
          <w:tcPr>
            <w:tcW w:w="669" w:type="pct"/>
            <w:tcBorders>
              <w:left w:val="single" w:sz="4" w:space="0" w:color="auto"/>
            </w:tcBorders>
            <w:shd w:val="clear" w:color="auto" w:fill="auto"/>
            <w:noWrap/>
            <w:hideMark/>
          </w:tcPr>
          <w:p w14:paraId="3CBF7B30" w14:textId="3BDDDEC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109.5057</w:t>
            </w:r>
          </w:p>
        </w:tc>
        <w:tc>
          <w:tcPr>
            <w:tcW w:w="1156" w:type="pct"/>
            <w:shd w:val="clear" w:color="auto" w:fill="auto"/>
            <w:noWrap/>
            <w:hideMark/>
          </w:tcPr>
          <w:p w14:paraId="18E5B615" w14:textId="3307C03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109.7314</w:t>
            </w:r>
          </w:p>
        </w:tc>
        <w:tc>
          <w:tcPr>
            <w:tcW w:w="774" w:type="pct"/>
            <w:shd w:val="clear" w:color="auto" w:fill="auto"/>
            <w:noWrap/>
            <w:hideMark/>
          </w:tcPr>
          <w:p w14:paraId="3F870EB5" w14:textId="19D3CA7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108.8686</w:t>
            </w:r>
          </w:p>
        </w:tc>
        <w:tc>
          <w:tcPr>
            <w:tcW w:w="1030" w:type="pct"/>
            <w:shd w:val="clear" w:color="auto" w:fill="auto"/>
            <w:noWrap/>
            <w:hideMark/>
          </w:tcPr>
          <w:p w14:paraId="3B4C0FBE" w14:textId="5D69A7E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109.94</w:t>
            </w:r>
          </w:p>
        </w:tc>
        <w:tc>
          <w:tcPr>
            <w:tcW w:w="863" w:type="pct"/>
            <w:shd w:val="clear" w:color="auto" w:fill="auto"/>
            <w:noWrap/>
            <w:hideMark/>
          </w:tcPr>
          <w:p w14:paraId="7004CBA1" w14:textId="740CEF4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111.5357</w:t>
            </w:r>
          </w:p>
        </w:tc>
      </w:tr>
      <w:tr w:rsidR="00BF179D" w:rsidRPr="00063AC8" w14:paraId="3D5E8886" w14:textId="77777777" w:rsidTr="00E6135C">
        <w:trPr>
          <w:trHeight w:val="20"/>
          <w:jc w:val="center"/>
        </w:trPr>
        <w:tc>
          <w:tcPr>
            <w:tcW w:w="508" w:type="pct"/>
            <w:tcBorders>
              <w:right w:val="single" w:sz="4" w:space="0" w:color="auto"/>
            </w:tcBorders>
            <w:shd w:val="clear" w:color="auto" w:fill="auto"/>
            <w:vAlign w:val="center"/>
            <w:hideMark/>
          </w:tcPr>
          <w:p w14:paraId="6BB8EA0C"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201805</w:t>
            </w:r>
          </w:p>
        </w:tc>
        <w:tc>
          <w:tcPr>
            <w:tcW w:w="669" w:type="pct"/>
            <w:tcBorders>
              <w:left w:val="single" w:sz="4" w:space="0" w:color="auto"/>
            </w:tcBorders>
            <w:shd w:val="clear" w:color="auto" w:fill="auto"/>
            <w:noWrap/>
            <w:hideMark/>
          </w:tcPr>
          <w:p w14:paraId="2FF7C067" w14:textId="00BB6C6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109.2586</w:t>
            </w:r>
          </w:p>
        </w:tc>
        <w:tc>
          <w:tcPr>
            <w:tcW w:w="1156" w:type="pct"/>
            <w:shd w:val="clear" w:color="auto" w:fill="auto"/>
            <w:noWrap/>
            <w:hideMark/>
          </w:tcPr>
          <w:p w14:paraId="4E9D0B81" w14:textId="3C98B40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109.9129</w:t>
            </w:r>
          </w:p>
        </w:tc>
        <w:tc>
          <w:tcPr>
            <w:tcW w:w="774" w:type="pct"/>
            <w:shd w:val="clear" w:color="auto" w:fill="auto"/>
            <w:noWrap/>
            <w:hideMark/>
          </w:tcPr>
          <w:p w14:paraId="79CF36C4" w14:textId="3E394A0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108.0186</w:t>
            </w:r>
          </w:p>
        </w:tc>
        <w:tc>
          <w:tcPr>
            <w:tcW w:w="1030" w:type="pct"/>
            <w:shd w:val="clear" w:color="auto" w:fill="auto"/>
            <w:noWrap/>
            <w:hideMark/>
          </w:tcPr>
          <w:p w14:paraId="1D74F46B" w14:textId="52079B1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110.1886</w:t>
            </w:r>
          </w:p>
        </w:tc>
        <w:tc>
          <w:tcPr>
            <w:tcW w:w="863" w:type="pct"/>
            <w:shd w:val="clear" w:color="auto" w:fill="auto"/>
            <w:noWrap/>
            <w:hideMark/>
          </w:tcPr>
          <w:p w14:paraId="2AD1600C" w14:textId="776D031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111.9857</w:t>
            </w:r>
          </w:p>
        </w:tc>
      </w:tr>
      <w:tr w:rsidR="00BF179D" w:rsidRPr="00063AC8" w14:paraId="6980DD34" w14:textId="77777777" w:rsidTr="00E6135C">
        <w:trPr>
          <w:trHeight w:val="20"/>
          <w:jc w:val="center"/>
        </w:trPr>
        <w:tc>
          <w:tcPr>
            <w:tcW w:w="508" w:type="pct"/>
            <w:tcBorders>
              <w:right w:val="single" w:sz="4" w:space="0" w:color="auto"/>
            </w:tcBorders>
            <w:shd w:val="clear" w:color="auto" w:fill="auto"/>
            <w:vAlign w:val="center"/>
            <w:hideMark/>
          </w:tcPr>
          <w:p w14:paraId="6EA8403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201806</w:t>
            </w:r>
          </w:p>
        </w:tc>
        <w:tc>
          <w:tcPr>
            <w:tcW w:w="669" w:type="pct"/>
            <w:tcBorders>
              <w:left w:val="single" w:sz="4" w:space="0" w:color="auto"/>
            </w:tcBorders>
            <w:shd w:val="clear" w:color="auto" w:fill="auto"/>
            <w:noWrap/>
            <w:hideMark/>
          </w:tcPr>
          <w:p w14:paraId="47B36487" w14:textId="4938722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109.4329</w:t>
            </w:r>
          </w:p>
        </w:tc>
        <w:tc>
          <w:tcPr>
            <w:tcW w:w="1156" w:type="pct"/>
            <w:shd w:val="clear" w:color="auto" w:fill="auto"/>
            <w:noWrap/>
            <w:hideMark/>
          </w:tcPr>
          <w:p w14:paraId="482468E2" w14:textId="5A07D90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110.06</w:t>
            </w:r>
          </w:p>
        </w:tc>
        <w:tc>
          <w:tcPr>
            <w:tcW w:w="774" w:type="pct"/>
            <w:shd w:val="clear" w:color="auto" w:fill="auto"/>
            <w:noWrap/>
            <w:hideMark/>
          </w:tcPr>
          <w:p w14:paraId="37D877C6" w14:textId="4037518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108.26</w:t>
            </w:r>
          </w:p>
        </w:tc>
        <w:tc>
          <w:tcPr>
            <w:tcW w:w="1030" w:type="pct"/>
            <w:shd w:val="clear" w:color="auto" w:fill="auto"/>
            <w:noWrap/>
            <w:hideMark/>
          </w:tcPr>
          <w:p w14:paraId="0677C053" w14:textId="1BE6085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110.5186</w:t>
            </w:r>
          </w:p>
        </w:tc>
        <w:tc>
          <w:tcPr>
            <w:tcW w:w="863" w:type="pct"/>
            <w:shd w:val="clear" w:color="auto" w:fill="auto"/>
            <w:noWrap/>
            <w:hideMark/>
          </w:tcPr>
          <w:p w14:paraId="3B19D804" w14:textId="046A24A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112.3857</w:t>
            </w:r>
          </w:p>
        </w:tc>
      </w:tr>
      <w:tr w:rsidR="00BF179D" w:rsidRPr="00063AC8" w14:paraId="531CA204" w14:textId="77777777" w:rsidTr="00E6135C">
        <w:trPr>
          <w:trHeight w:val="20"/>
          <w:jc w:val="center"/>
        </w:trPr>
        <w:tc>
          <w:tcPr>
            <w:tcW w:w="508" w:type="pct"/>
            <w:tcBorders>
              <w:right w:val="single" w:sz="4" w:space="0" w:color="auto"/>
            </w:tcBorders>
            <w:shd w:val="clear" w:color="auto" w:fill="auto"/>
            <w:vAlign w:val="center"/>
            <w:hideMark/>
          </w:tcPr>
          <w:p w14:paraId="0FB3063C"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201807</w:t>
            </w:r>
          </w:p>
        </w:tc>
        <w:tc>
          <w:tcPr>
            <w:tcW w:w="669" w:type="pct"/>
            <w:tcBorders>
              <w:left w:val="single" w:sz="4" w:space="0" w:color="auto"/>
            </w:tcBorders>
            <w:shd w:val="clear" w:color="auto" w:fill="auto"/>
            <w:noWrap/>
            <w:hideMark/>
          </w:tcPr>
          <w:p w14:paraId="6202E650" w14:textId="3F30CB6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109.6671</w:t>
            </w:r>
          </w:p>
        </w:tc>
        <w:tc>
          <w:tcPr>
            <w:tcW w:w="1156" w:type="pct"/>
            <w:shd w:val="clear" w:color="auto" w:fill="auto"/>
            <w:noWrap/>
            <w:hideMark/>
          </w:tcPr>
          <w:p w14:paraId="244A85F2" w14:textId="62F403F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110.2129</w:t>
            </w:r>
          </w:p>
        </w:tc>
        <w:tc>
          <w:tcPr>
            <w:tcW w:w="774" w:type="pct"/>
            <w:shd w:val="clear" w:color="auto" w:fill="auto"/>
            <w:noWrap/>
            <w:hideMark/>
          </w:tcPr>
          <w:p w14:paraId="5A016A8E" w14:textId="593F774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108.6586</w:t>
            </w:r>
          </w:p>
        </w:tc>
        <w:tc>
          <w:tcPr>
            <w:tcW w:w="1030" w:type="pct"/>
            <w:shd w:val="clear" w:color="auto" w:fill="auto"/>
            <w:noWrap/>
            <w:hideMark/>
          </w:tcPr>
          <w:p w14:paraId="0361BB08" w14:textId="026409B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110.3243</w:t>
            </w:r>
          </w:p>
        </w:tc>
        <w:tc>
          <w:tcPr>
            <w:tcW w:w="863" w:type="pct"/>
            <w:shd w:val="clear" w:color="auto" w:fill="auto"/>
            <w:noWrap/>
            <w:hideMark/>
          </w:tcPr>
          <w:p w14:paraId="5750D588" w14:textId="5ED6E4F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112.0714</w:t>
            </w:r>
          </w:p>
        </w:tc>
      </w:tr>
      <w:tr w:rsidR="00BF179D" w:rsidRPr="00063AC8" w14:paraId="49B772A7" w14:textId="77777777" w:rsidTr="00E6135C">
        <w:trPr>
          <w:trHeight w:val="20"/>
          <w:jc w:val="center"/>
        </w:trPr>
        <w:tc>
          <w:tcPr>
            <w:tcW w:w="508" w:type="pct"/>
            <w:tcBorders>
              <w:right w:val="single" w:sz="4" w:space="0" w:color="auto"/>
            </w:tcBorders>
            <w:shd w:val="clear" w:color="auto" w:fill="auto"/>
            <w:vAlign w:val="center"/>
            <w:hideMark/>
          </w:tcPr>
          <w:p w14:paraId="0C80449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201808</w:t>
            </w:r>
          </w:p>
        </w:tc>
        <w:tc>
          <w:tcPr>
            <w:tcW w:w="669" w:type="pct"/>
            <w:tcBorders>
              <w:left w:val="single" w:sz="4" w:space="0" w:color="auto"/>
            </w:tcBorders>
            <w:shd w:val="clear" w:color="auto" w:fill="auto"/>
            <w:noWrap/>
            <w:hideMark/>
          </w:tcPr>
          <w:p w14:paraId="2FD496EC" w14:textId="0D8507B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109.87</w:t>
            </w:r>
          </w:p>
        </w:tc>
        <w:tc>
          <w:tcPr>
            <w:tcW w:w="1156" w:type="pct"/>
            <w:shd w:val="clear" w:color="auto" w:fill="auto"/>
            <w:noWrap/>
            <w:hideMark/>
          </w:tcPr>
          <w:p w14:paraId="09AEA072" w14:textId="718AABE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110.3857</w:t>
            </w:r>
          </w:p>
        </w:tc>
        <w:tc>
          <w:tcPr>
            <w:tcW w:w="774" w:type="pct"/>
            <w:shd w:val="clear" w:color="auto" w:fill="auto"/>
            <w:noWrap/>
            <w:hideMark/>
          </w:tcPr>
          <w:p w14:paraId="0B4DFE8C" w14:textId="491C61F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108.8971</w:t>
            </w:r>
          </w:p>
        </w:tc>
        <w:tc>
          <w:tcPr>
            <w:tcW w:w="1030" w:type="pct"/>
            <w:shd w:val="clear" w:color="auto" w:fill="auto"/>
            <w:noWrap/>
            <w:hideMark/>
          </w:tcPr>
          <w:p w14:paraId="4A2AFF20" w14:textId="3311E5F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110.2529</w:t>
            </w:r>
          </w:p>
        </w:tc>
        <w:tc>
          <w:tcPr>
            <w:tcW w:w="863" w:type="pct"/>
            <w:shd w:val="clear" w:color="auto" w:fill="auto"/>
            <w:noWrap/>
            <w:hideMark/>
          </w:tcPr>
          <w:p w14:paraId="6E8A464A" w14:textId="6709FFE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111.6857</w:t>
            </w:r>
          </w:p>
        </w:tc>
      </w:tr>
      <w:tr w:rsidR="00BF179D" w:rsidRPr="00063AC8" w14:paraId="7660C77B" w14:textId="77777777" w:rsidTr="00E6135C">
        <w:trPr>
          <w:trHeight w:val="20"/>
          <w:jc w:val="center"/>
        </w:trPr>
        <w:tc>
          <w:tcPr>
            <w:tcW w:w="508" w:type="pct"/>
            <w:tcBorders>
              <w:right w:val="single" w:sz="4" w:space="0" w:color="auto"/>
            </w:tcBorders>
            <w:shd w:val="clear" w:color="auto" w:fill="auto"/>
            <w:vAlign w:val="center"/>
            <w:hideMark/>
          </w:tcPr>
          <w:p w14:paraId="1DB64E8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201809</w:t>
            </w:r>
          </w:p>
        </w:tc>
        <w:tc>
          <w:tcPr>
            <w:tcW w:w="669" w:type="pct"/>
            <w:tcBorders>
              <w:left w:val="single" w:sz="4" w:space="0" w:color="auto"/>
            </w:tcBorders>
            <w:shd w:val="clear" w:color="auto" w:fill="auto"/>
            <w:noWrap/>
            <w:hideMark/>
          </w:tcPr>
          <w:p w14:paraId="75F067E9" w14:textId="0EFDA3D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110.1271</w:t>
            </w:r>
          </w:p>
        </w:tc>
        <w:tc>
          <w:tcPr>
            <w:tcW w:w="1156" w:type="pct"/>
            <w:shd w:val="clear" w:color="auto" w:fill="auto"/>
            <w:noWrap/>
            <w:hideMark/>
          </w:tcPr>
          <w:p w14:paraId="22CF5D0B" w14:textId="67B91BE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110.58</w:t>
            </w:r>
          </w:p>
        </w:tc>
        <w:tc>
          <w:tcPr>
            <w:tcW w:w="774" w:type="pct"/>
            <w:shd w:val="clear" w:color="auto" w:fill="auto"/>
            <w:noWrap/>
            <w:hideMark/>
          </w:tcPr>
          <w:p w14:paraId="08312B2B" w14:textId="3BEE7E8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109.2971</w:t>
            </w:r>
          </w:p>
        </w:tc>
        <w:tc>
          <w:tcPr>
            <w:tcW w:w="1030" w:type="pct"/>
            <w:shd w:val="clear" w:color="auto" w:fill="auto"/>
            <w:noWrap/>
            <w:hideMark/>
          </w:tcPr>
          <w:p w14:paraId="6151BEA0" w14:textId="7CBDA37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110.41</w:t>
            </w:r>
          </w:p>
        </w:tc>
        <w:tc>
          <w:tcPr>
            <w:tcW w:w="863" w:type="pct"/>
            <w:shd w:val="clear" w:color="auto" w:fill="auto"/>
            <w:noWrap/>
            <w:hideMark/>
          </w:tcPr>
          <w:p w14:paraId="180AEE33" w14:textId="1B60EB1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112.3286</w:t>
            </w:r>
          </w:p>
        </w:tc>
      </w:tr>
      <w:tr w:rsidR="00BF179D" w:rsidRPr="00063AC8" w14:paraId="5739728C" w14:textId="77777777" w:rsidTr="00E6135C">
        <w:trPr>
          <w:trHeight w:val="20"/>
          <w:jc w:val="center"/>
        </w:trPr>
        <w:tc>
          <w:tcPr>
            <w:tcW w:w="508" w:type="pct"/>
            <w:tcBorders>
              <w:right w:val="single" w:sz="4" w:space="0" w:color="auto"/>
            </w:tcBorders>
            <w:shd w:val="clear" w:color="auto" w:fill="auto"/>
            <w:vAlign w:val="center"/>
            <w:hideMark/>
          </w:tcPr>
          <w:p w14:paraId="79D1B94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201810</w:t>
            </w:r>
          </w:p>
        </w:tc>
        <w:tc>
          <w:tcPr>
            <w:tcW w:w="669" w:type="pct"/>
            <w:tcBorders>
              <w:left w:val="single" w:sz="4" w:space="0" w:color="auto"/>
            </w:tcBorders>
            <w:shd w:val="clear" w:color="auto" w:fill="auto"/>
            <w:noWrap/>
            <w:hideMark/>
          </w:tcPr>
          <w:p w14:paraId="7DBE0C3E" w14:textId="33F235A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110.6057</w:t>
            </w:r>
          </w:p>
        </w:tc>
        <w:tc>
          <w:tcPr>
            <w:tcW w:w="1156" w:type="pct"/>
            <w:shd w:val="clear" w:color="auto" w:fill="auto"/>
            <w:noWrap/>
            <w:hideMark/>
          </w:tcPr>
          <w:p w14:paraId="7EE8A7EC" w14:textId="38EE724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111.0714</w:t>
            </w:r>
          </w:p>
        </w:tc>
        <w:tc>
          <w:tcPr>
            <w:tcW w:w="774" w:type="pct"/>
            <w:shd w:val="clear" w:color="auto" w:fill="auto"/>
            <w:noWrap/>
            <w:hideMark/>
          </w:tcPr>
          <w:p w14:paraId="3E7EFD40" w14:textId="0F8A739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109.76</w:t>
            </w:r>
          </w:p>
        </w:tc>
        <w:tc>
          <w:tcPr>
            <w:tcW w:w="1030" w:type="pct"/>
            <w:shd w:val="clear" w:color="auto" w:fill="auto"/>
            <w:noWrap/>
            <w:hideMark/>
          </w:tcPr>
          <w:p w14:paraId="28C6451C" w14:textId="1B5687F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110.7529</w:t>
            </w:r>
          </w:p>
        </w:tc>
        <w:tc>
          <w:tcPr>
            <w:tcW w:w="863" w:type="pct"/>
            <w:shd w:val="clear" w:color="auto" w:fill="auto"/>
            <w:noWrap/>
            <w:hideMark/>
          </w:tcPr>
          <w:p w14:paraId="59561A3D" w14:textId="6210D0D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112.6286</w:t>
            </w:r>
          </w:p>
        </w:tc>
      </w:tr>
      <w:tr w:rsidR="00BF179D" w:rsidRPr="00063AC8" w14:paraId="39E3F533" w14:textId="77777777" w:rsidTr="00E6135C">
        <w:trPr>
          <w:trHeight w:val="20"/>
          <w:jc w:val="center"/>
        </w:trPr>
        <w:tc>
          <w:tcPr>
            <w:tcW w:w="508" w:type="pct"/>
            <w:tcBorders>
              <w:right w:val="single" w:sz="4" w:space="0" w:color="auto"/>
            </w:tcBorders>
            <w:shd w:val="clear" w:color="auto" w:fill="auto"/>
            <w:vAlign w:val="center"/>
            <w:hideMark/>
          </w:tcPr>
          <w:p w14:paraId="51EC3D46"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201811</w:t>
            </w:r>
          </w:p>
        </w:tc>
        <w:tc>
          <w:tcPr>
            <w:tcW w:w="669" w:type="pct"/>
            <w:tcBorders>
              <w:left w:val="single" w:sz="4" w:space="0" w:color="auto"/>
            </w:tcBorders>
            <w:shd w:val="clear" w:color="auto" w:fill="auto"/>
            <w:noWrap/>
            <w:hideMark/>
          </w:tcPr>
          <w:p w14:paraId="6EF78D27" w14:textId="76E506A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110.9243</w:t>
            </w:r>
          </w:p>
        </w:tc>
        <w:tc>
          <w:tcPr>
            <w:tcW w:w="1156" w:type="pct"/>
            <w:shd w:val="clear" w:color="auto" w:fill="auto"/>
            <w:noWrap/>
            <w:hideMark/>
          </w:tcPr>
          <w:p w14:paraId="29EF127F" w14:textId="1B1BAF2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111.3429</w:t>
            </w:r>
          </w:p>
        </w:tc>
        <w:tc>
          <w:tcPr>
            <w:tcW w:w="774" w:type="pct"/>
            <w:shd w:val="clear" w:color="auto" w:fill="auto"/>
            <w:noWrap/>
            <w:hideMark/>
          </w:tcPr>
          <w:p w14:paraId="53A55965" w14:textId="269A209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110.16</w:t>
            </w:r>
          </w:p>
        </w:tc>
        <w:tc>
          <w:tcPr>
            <w:tcW w:w="1030" w:type="pct"/>
            <w:shd w:val="clear" w:color="auto" w:fill="auto"/>
            <w:noWrap/>
            <w:hideMark/>
          </w:tcPr>
          <w:p w14:paraId="09634792" w14:textId="573CB80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110.8643</w:t>
            </w:r>
          </w:p>
        </w:tc>
        <w:tc>
          <w:tcPr>
            <w:tcW w:w="863" w:type="pct"/>
            <w:shd w:val="clear" w:color="auto" w:fill="auto"/>
            <w:noWrap/>
            <w:hideMark/>
          </w:tcPr>
          <w:p w14:paraId="40BD5147" w14:textId="413CF83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113.1</w:t>
            </w:r>
          </w:p>
        </w:tc>
      </w:tr>
      <w:tr w:rsidR="00BF179D" w:rsidRPr="00063AC8" w14:paraId="16EE5798" w14:textId="77777777" w:rsidTr="00E6135C">
        <w:trPr>
          <w:trHeight w:val="20"/>
          <w:jc w:val="center"/>
        </w:trPr>
        <w:tc>
          <w:tcPr>
            <w:tcW w:w="508" w:type="pct"/>
            <w:tcBorders>
              <w:right w:val="single" w:sz="4" w:space="0" w:color="auto"/>
            </w:tcBorders>
            <w:shd w:val="clear" w:color="auto" w:fill="auto"/>
            <w:vAlign w:val="center"/>
            <w:hideMark/>
          </w:tcPr>
          <w:p w14:paraId="7942684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201812</w:t>
            </w:r>
          </w:p>
        </w:tc>
        <w:tc>
          <w:tcPr>
            <w:tcW w:w="669" w:type="pct"/>
            <w:tcBorders>
              <w:left w:val="single" w:sz="4" w:space="0" w:color="auto"/>
            </w:tcBorders>
            <w:shd w:val="clear" w:color="auto" w:fill="auto"/>
            <w:noWrap/>
            <w:hideMark/>
          </w:tcPr>
          <w:p w14:paraId="03A7B2A8" w14:textId="54E077D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111.3857</w:t>
            </w:r>
          </w:p>
        </w:tc>
        <w:tc>
          <w:tcPr>
            <w:tcW w:w="1156" w:type="pct"/>
            <w:shd w:val="clear" w:color="auto" w:fill="auto"/>
            <w:noWrap/>
            <w:hideMark/>
          </w:tcPr>
          <w:p w14:paraId="537D8D81" w14:textId="6ED6108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111.5286</w:t>
            </w:r>
          </w:p>
        </w:tc>
        <w:tc>
          <w:tcPr>
            <w:tcW w:w="774" w:type="pct"/>
            <w:shd w:val="clear" w:color="auto" w:fill="auto"/>
            <w:noWrap/>
            <w:hideMark/>
          </w:tcPr>
          <w:p w14:paraId="12AA69BA" w14:textId="5D7B15F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111.0529</w:t>
            </w:r>
          </w:p>
        </w:tc>
        <w:tc>
          <w:tcPr>
            <w:tcW w:w="1030" w:type="pct"/>
            <w:shd w:val="clear" w:color="auto" w:fill="auto"/>
            <w:noWrap/>
            <w:hideMark/>
          </w:tcPr>
          <w:p w14:paraId="2EA6D292" w14:textId="4226D18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111.52</w:t>
            </w:r>
          </w:p>
        </w:tc>
        <w:tc>
          <w:tcPr>
            <w:tcW w:w="863" w:type="pct"/>
            <w:shd w:val="clear" w:color="auto" w:fill="auto"/>
            <w:noWrap/>
            <w:hideMark/>
          </w:tcPr>
          <w:p w14:paraId="50E90840" w14:textId="588A12B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113.7857</w:t>
            </w:r>
          </w:p>
        </w:tc>
      </w:tr>
      <w:tr w:rsidR="00BF179D" w:rsidRPr="00063AC8" w14:paraId="264212D5" w14:textId="77777777" w:rsidTr="00E6135C">
        <w:trPr>
          <w:trHeight w:val="20"/>
          <w:jc w:val="center"/>
        </w:trPr>
        <w:tc>
          <w:tcPr>
            <w:tcW w:w="508" w:type="pct"/>
            <w:tcBorders>
              <w:right w:val="single" w:sz="4" w:space="0" w:color="auto"/>
            </w:tcBorders>
            <w:shd w:val="clear" w:color="auto" w:fill="auto"/>
            <w:vAlign w:val="center"/>
            <w:hideMark/>
          </w:tcPr>
          <w:p w14:paraId="50A31B9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201901</w:t>
            </w:r>
          </w:p>
        </w:tc>
        <w:tc>
          <w:tcPr>
            <w:tcW w:w="669" w:type="pct"/>
            <w:tcBorders>
              <w:left w:val="single" w:sz="4" w:space="0" w:color="auto"/>
            </w:tcBorders>
            <w:shd w:val="clear" w:color="auto" w:fill="auto"/>
            <w:noWrap/>
            <w:hideMark/>
          </w:tcPr>
          <w:p w14:paraId="1C67351F" w14:textId="3CBAE0D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111.6286</w:t>
            </w:r>
          </w:p>
        </w:tc>
        <w:tc>
          <w:tcPr>
            <w:tcW w:w="1156" w:type="pct"/>
            <w:shd w:val="clear" w:color="auto" w:fill="auto"/>
            <w:noWrap/>
            <w:hideMark/>
          </w:tcPr>
          <w:p w14:paraId="3E6DACFF" w14:textId="16075A4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111.6</w:t>
            </w:r>
          </w:p>
        </w:tc>
        <w:tc>
          <w:tcPr>
            <w:tcW w:w="774" w:type="pct"/>
            <w:shd w:val="clear" w:color="auto" w:fill="auto"/>
            <w:noWrap/>
            <w:hideMark/>
          </w:tcPr>
          <w:p w14:paraId="10927819" w14:textId="404A6E9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111.6571</w:t>
            </w:r>
          </w:p>
        </w:tc>
        <w:tc>
          <w:tcPr>
            <w:tcW w:w="1030" w:type="pct"/>
            <w:shd w:val="clear" w:color="auto" w:fill="auto"/>
            <w:noWrap/>
            <w:hideMark/>
          </w:tcPr>
          <w:p w14:paraId="5E16192B" w14:textId="4E9EAA1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112.22</w:t>
            </w:r>
          </w:p>
        </w:tc>
        <w:tc>
          <w:tcPr>
            <w:tcW w:w="863" w:type="pct"/>
            <w:shd w:val="clear" w:color="auto" w:fill="auto"/>
            <w:noWrap/>
            <w:hideMark/>
          </w:tcPr>
          <w:p w14:paraId="10D06868" w14:textId="7A9A8BF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114.4</w:t>
            </w:r>
          </w:p>
        </w:tc>
      </w:tr>
      <w:tr w:rsidR="00BF179D" w:rsidRPr="00063AC8" w14:paraId="3BFB0514" w14:textId="77777777" w:rsidTr="00E6135C">
        <w:trPr>
          <w:trHeight w:val="20"/>
          <w:jc w:val="center"/>
        </w:trPr>
        <w:tc>
          <w:tcPr>
            <w:tcW w:w="508" w:type="pct"/>
            <w:tcBorders>
              <w:right w:val="single" w:sz="4" w:space="0" w:color="auto"/>
            </w:tcBorders>
            <w:shd w:val="clear" w:color="auto" w:fill="auto"/>
            <w:vAlign w:val="center"/>
            <w:hideMark/>
          </w:tcPr>
          <w:p w14:paraId="4FD93FEF"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201902</w:t>
            </w:r>
          </w:p>
        </w:tc>
        <w:tc>
          <w:tcPr>
            <w:tcW w:w="669" w:type="pct"/>
            <w:tcBorders>
              <w:left w:val="single" w:sz="4" w:space="0" w:color="auto"/>
            </w:tcBorders>
            <w:shd w:val="clear" w:color="auto" w:fill="auto"/>
            <w:noWrap/>
            <w:hideMark/>
          </w:tcPr>
          <w:p w14:paraId="5C768366" w14:textId="706C482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111.7714</w:t>
            </w:r>
          </w:p>
        </w:tc>
        <w:tc>
          <w:tcPr>
            <w:tcW w:w="1156" w:type="pct"/>
            <w:shd w:val="clear" w:color="auto" w:fill="auto"/>
            <w:noWrap/>
            <w:hideMark/>
          </w:tcPr>
          <w:p w14:paraId="499BB626" w14:textId="3F91439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111.6857</w:t>
            </w:r>
          </w:p>
        </w:tc>
        <w:tc>
          <w:tcPr>
            <w:tcW w:w="774" w:type="pct"/>
            <w:shd w:val="clear" w:color="auto" w:fill="auto"/>
            <w:noWrap/>
            <w:hideMark/>
          </w:tcPr>
          <w:p w14:paraId="75A79E54" w14:textId="78DAE94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111.9</w:t>
            </w:r>
          </w:p>
        </w:tc>
        <w:tc>
          <w:tcPr>
            <w:tcW w:w="1030" w:type="pct"/>
            <w:shd w:val="clear" w:color="auto" w:fill="auto"/>
            <w:noWrap/>
            <w:hideMark/>
          </w:tcPr>
          <w:p w14:paraId="3A71E424" w14:textId="2B9F1AE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112.7571</w:t>
            </w:r>
          </w:p>
        </w:tc>
        <w:tc>
          <w:tcPr>
            <w:tcW w:w="863" w:type="pct"/>
            <w:shd w:val="clear" w:color="auto" w:fill="auto"/>
            <w:noWrap/>
            <w:hideMark/>
          </w:tcPr>
          <w:p w14:paraId="3E4A1B03" w14:textId="04E7117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114.9714</w:t>
            </w:r>
          </w:p>
        </w:tc>
      </w:tr>
      <w:tr w:rsidR="00BF179D" w:rsidRPr="00063AC8" w14:paraId="5C107E6C" w14:textId="77777777" w:rsidTr="00E6135C">
        <w:trPr>
          <w:trHeight w:val="20"/>
          <w:jc w:val="center"/>
        </w:trPr>
        <w:tc>
          <w:tcPr>
            <w:tcW w:w="508" w:type="pct"/>
            <w:tcBorders>
              <w:right w:val="single" w:sz="4" w:space="0" w:color="auto"/>
            </w:tcBorders>
            <w:shd w:val="clear" w:color="auto" w:fill="auto"/>
            <w:vAlign w:val="center"/>
            <w:hideMark/>
          </w:tcPr>
          <w:p w14:paraId="27FE929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201903</w:t>
            </w:r>
          </w:p>
        </w:tc>
        <w:tc>
          <w:tcPr>
            <w:tcW w:w="669" w:type="pct"/>
            <w:tcBorders>
              <w:left w:val="single" w:sz="4" w:space="0" w:color="auto"/>
            </w:tcBorders>
            <w:shd w:val="clear" w:color="auto" w:fill="auto"/>
            <w:noWrap/>
            <w:hideMark/>
          </w:tcPr>
          <w:p w14:paraId="6C4A0816" w14:textId="0129E7C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112.2571</w:t>
            </w:r>
          </w:p>
        </w:tc>
        <w:tc>
          <w:tcPr>
            <w:tcW w:w="1156" w:type="pct"/>
            <w:shd w:val="clear" w:color="auto" w:fill="auto"/>
            <w:noWrap/>
            <w:hideMark/>
          </w:tcPr>
          <w:p w14:paraId="6F252967" w14:textId="51E01A1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112.2143</w:t>
            </w:r>
          </w:p>
        </w:tc>
        <w:tc>
          <w:tcPr>
            <w:tcW w:w="774" w:type="pct"/>
            <w:shd w:val="clear" w:color="auto" w:fill="auto"/>
            <w:noWrap/>
            <w:hideMark/>
          </w:tcPr>
          <w:p w14:paraId="7FB24688" w14:textId="6B4EE69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112.1571</w:t>
            </w:r>
          </w:p>
        </w:tc>
        <w:tc>
          <w:tcPr>
            <w:tcW w:w="1030" w:type="pct"/>
            <w:shd w:val="clear" w:color="auto" w:fill="auto"/>
            <w:noWrap/>
            <w:hideMark/>
          </w:tcPr>
          <w:p w14:paraId="7548C1D2" w14:textId="35855B6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112.9143</w:t>
            </w:r>
          </w:p>
        </w:tc>
        <w:tc>
          <w:tcPr>
            <w:tcW w:w="863" w:type="pct"/>
            <w:shd w:val="clear" w:color="auto" w:fill="auto"/>
            <w:noWrap/>
            <w:hideMark/>
          </w:tcPr>
          <w:p w14:paraId="03407D38" w14:textId="6EF2583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115.1571</w:t>
            </w:r>
          </w:p>
        </w:tc>
      </w:tr>
      <w:tr w:rsidR="00BF179D" w:rsidRPr="00063AC8" w14:paraId="7AB82B5E" w14:textId="77777777" w:rsidTr="00E6135C">
        <w:trPr>
          <w:trHeight w:val="20"/>
          <w:jc w:val="center"/>
        </w:trPr>
        <w:tc>
          <w:tcPr>
            <w:tcW w:w="508" w:type="pct"/>
            <w:tcBorders>
              <w:right w:val="single" w:sz="4" w:space="0" w:color="auto"/>
            </w:tcBorders>
            <w:shd w:val="clear" w:color="auto" w:fill="auto"/>
            <w:vAlign w:val="center"/>
            <w:hideMark/>
          </w:tcPr>
          <w:p w14:paraId="7FCECE1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201904</w:t>
            </w:r>
          </w:p>
        </w:tc>
        <w:tc>
          <w:tcPr>
            <w:tcW w:w="669" w:type="pct"/>
            <w:tcBorders>
              <w:left w:val="single" w:sz="4" w:space="0" w:color="auto"/>
            </w:tcBorders>
            <w:shd w:val="clear" w:color="auto" w:fill="auto"/>
            <w:noWrap/>
            <w:hideMark/>
          </w:tcPr>
          <w:p w14:paraId="3BC59642" w14:textId="1C76D2F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112.2286</w:t>
            </w:r>
          </w:p>
        </w:tc>
        <w:tc>
          <w:tcPr>
            <w:tcW w:w="1156" w:type="pct"/>
            <w:shd w:val="clear" w:color="auto" w:fill="auto"/>
            <w:noWrap/>
            <w:hideMark/>
          </w:tcPr>
          <w:p w14:paraId="26224183" w14:textId="44E17BE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112.1</w:t>
            </w:r>
          </w:p>
        </w:tc>
        <w:tc>
          <w:tcPr>
            <w:tcW w:w="774" w:type="pct"/>
            <w:shd w:val="clear" w:color="auto" w:fill="auto"/>
            <w:noWrap/>
            <w:hideMark/>
          </w:tcPr>
          <w:p w14:paraId="0B3808C6" w14:textId="04509E4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112.2857</w:t>
            </w:r>
          </w:p>
        </w:tc>
        <w:tc>
          <w:tcPr>
            <w:tcW w:w="1030" w:type="pct"/>
            <w:shd w:val="clear" w:color="auto" w:fill="auto"/>
            <w:noWrap/>
            <w:hideMark/>
          </w:tcPr>
          <w:p w14:paraId="7FB540A9" w14:textId="60496D1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113.3</w:t>
            </w:r>
          </w:p>
        </w:tc>
        <w:tc>
          <w:tcPr>
            <w:tcW w:w="863" w:type="pct"/>
            <w:shd w:val="clear" w:color="auto" w:fill="auto"/>
            <w:noWrap/>
            <w:hideMark/>
          </w:tcPr>
          <w:p w14:paraId="677E7E17" w14:textId="70F96FF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115.0143</w:t>
            </w:r>
          </w:p>
        </w:tc>
      </w:tr>
      <w:tr w:rsidR="00BF179D" w:rsidRPr="00063AC8" w14:paraId="6906957B" w14:textId="77777777" w:rsidTr="00E6135C">
        <w:trPr>
          <w:trHeight w:val="20"/>
          <w:jc w:val="center"/>
        </w:trPr>
        <w:tc>
          <w:tcPr>
            <w:tcW w:w="508" w:type="pct"/>
            <w:tcBorders>
              <w:right w:val="single" w:sz="4" w:space="0" w:color="auto"/>
            </w:tcBorders>
            <w:shd w:val="clear" w:color="auto" w:fill="auto"/>
            <w:vAlign w:val="center"/>
            <w:hideMark/>
          </w:tcPr>
          <w:p w14:paraId="0664AE6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201905</w:t>
            </w:r>
          </w:p>
        </w:tc>
        <w:tc>
          <w:tcPr>
            <w:tcW w:w="669" w:type="pct"/>
            <w:tcBorders>
              <w:left w:val="single" w:sz="4" w:space="0" w:color="auto"/>
            </w:tcBorders>
            <w:shd w:val="clear" w:color="auto" w:fill="auto"/>
            <w:noWrap/>
            <w:hideMark/>
          </w:tcPr>
          <w:p w14:paraId="5F82BB8B" w14:textId="420CD50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111.9857</w:t>
            </w:r>
          </w:p>
        </w:tc>
        <w:tc>
          <w:tcPr>
            <w:tcW w:w="1156" w:type="pct"/>
            <w:shd w:val="clear" w:color="auto" w:fill="auto"/>
            <w:noWrap/>
            <w:hideMark/>
          </w:tcPr>
          <w:p w14:paraId="3561AA73" w14:textId="6F7E44F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111.7571</w:t>
            </w:r>
          </w:p>
        </w:tc>
        <w:tc>
          <w:tcPr>
            <w:tcW w:w="774" w:type="pct"/>
            <w:shd w:val="clear" w:color="auto" w:fill="auto"/>
            <w:noWrap/>
            <w:hideMark/>
          </w:tcPr>
          <w:p w14:paraId="7ED4C747" w14:textId="562DCC7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112.2571</w:t>
            </w:r>
          </w:p>
        </w:tc>
        <w:tc>
          <w:tcPr>
            <w:tcW w:w="1030" w:type="pct"/>
            <w:shd w:val="clear" w:color="auto" w:fill="auto"/>
            <w:noWrap/>
            <w:hideMark/>
          </w:tcPr>
          <w:p w14:paraId="43EDF643" w14:textId="1596DC0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113.3571</w:t>
            </w:r>
          </w:p>
        </w:tc>
        <w:tc>
          <w:tcPr>
            <w:tcW w:w="863" w:type="pct"/>
            <w:shd w:val="clear" w:color="auto" w:fill="auto"/>
            <w:noWrap/>
            <w:hideMark/>
          </w:tcPr>
          <w:p w14:paraId="1B0D51C4" w14:textId="18C0687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115.3571</w:t>
            </w:r>
          </w:p>
        </w:tc>
      </w:tr>
      <w:tr w:rsidR="00BF179D" w:rsidRPr="00063AC8" w14:paraId="00B0E94E" w14:textId="77777777" w:rsidTr="00E6135C">
        <w:trPr>
          <w:trHeight w:val="20"/>
          <w:jc w:val="center"/>
        </w:trPr>
        <w:tc>
          <w:tcPr>
            <w:tcW w:w="508" w:type="pct"/>
            <w:tcBorders>
              <w:right w:val="single" w:sz="4" w:space="0" w:color="auto"/>
            </w:tcBorders>
            <w:shd w:val="clear" w:color="auto" w:fill="auto"/>
            <w:vAlign w:val="center"/>
            <w:hideMark/>
          </w:tcPr>
          <w:p w14:paraId="3CA1824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201906</w:t>
            </w:r>
          </w:p>
        </w:tc>
        <w:tc>
          <w:tcPr>
            <w:tcW w:w="669" w:type="pct"/>
            <w:tcBorders>
              <w:left w:val="single" w:sz="4" w:space="0" w:color="auto"/>
            </w:tcBorders>
            <w:shd w:val="clear" w:color="auto" w:fill="auto"/>
            <w:noWrap/>
            <w:hideMark/>
          </w:tcPr>
          <w:p w14:paraId="1B0EA0AD" w14:textId="0F7FF5F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111.8714</w:t>
            </w:r>
          </w:p>
        </w:tc>
        <w:tc>
          <w:tcPr>
            <w:tcW w:w="1156" w:type="pct"/>
            <w:shd w:val="clear" w:color="auto" w:fill="auto"/>
            <w:noWrap/>
            <w:hideMark/>
          </w:tcPr>
          <w:p w14:paraId="1B36D502" w14:textId="744966E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111.5571</w:t>
            </w:r>
          </w:p>
        </w:tc>
        <w:tc>
          <w:tcPr>
            <w:tcW w:w="774" w:type="pct"/>
            <w:shd w:val="clear" w:color="auto" w:fill="auto"/>
            <w:noWrap/>
            <w:hideMark/>
          </w:tcPr>
          <w:p w14:paraId="21965E22" w14:textId="14D20A7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112.3857</w:t>
            </w:r>
          </w:p>
        </w:tc>
        <w:tc>
          <w:tcPr>
            <w:tcW w:w="1030" w:type="pct"/>
            <w:shd w:val="clear" w:color="auto" w:fill="auto"/>
            <w:noWrap/>
            <w:hideMark/>
          </w:tcPr>
          <w:p w14:paraId="20A5FEDE" w14:textId="4926407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113.7571</w:t>
            </w:r>
          </w:p>
        </w:tc>
        <w:tc>
          <w:tcPr>
            <w:tcW w:w="863" w:type="pct"/>
            <w:shd w:val="clear" w:color="auto" w:fill="auto"/>
            <w:noWrap/>
            <w:hideMark/>
          </w:tcPr>
          <w:p w14:paraId="1B2F4D30" w14:textId="05D8357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115.4143</w:t>
            </w:r>
          </w:p>
        </w:tc>
      </w:tr>
      <w:tr w:rsidR="00BF179D" w:rsidRPr="00063AC8" w14:paraId="2DD09C00" w14:textId="77777777" w:rsidTr="00E6135C">
        <w:trPr>
          <w:trHeight w:val="20"/>
          <w:jc w:val="center"/>
        </w:trPr>
        <w:tc>
          <w:tcPr>
            <w:tcW w:w="508" w:type="pct"/>
            <w:tcBorders>
              <w:right w:val="single" w:sz="4" w:space="0" w:color="auto"/>
            </w:tcBorders>
            <w:shd w:val="clear" w:color="auto" w:fill="auto"/>
            <w:vAlign w:val="center"/>
            <w:hideMark/>
          </w:tcPr>
          <w:p w14:paraId="1DF31806"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201907</w:t>
            </w:r>
          </w:p>
        </w:tc>
        <w:tc>
          <w:tcPr>
            <w:tcW w:w="669" w:type="pct"/>
            <w:tcBorders>
              <w:left w:val="single" w:sz="4" w:space="0" w:color="auto"/>
            </w:tcBorders>
            <w:shd w:val="clear" w:color="auto" w:fill="auto"/>
            <w:noWrap/>
            <w:hideMark/>
          </w:tcPr>
          <w:p w14:paraId="11ED6AFC" w14:textId="43795B1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111.7143</w:t>
            </w:r>
          </w:p>
        </w:tc>
        <w:tc>
          <w:tcPr>
            <w:tcW w:w="1156" w:type="pct"/>
            <w:shd w:val="clear" w:color="auto" w:fill="auto"/>
            <w:noWrap/>
            <w:hideMark/>
          </w:tcPr>
          <w:p w14:paraId="5C2E0B7E" w14:textId="2E6C613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111.3857</w:t>
            </w:r>
          </w:p>
        </w:tc>
        <w:tc>
          <w:tcPr>
            <w:tcW w:w="774" w:type="pct"/>
            <w:shd w:val="clear" w:color="auto" w:fill="auto"/>
            <w:noWrap/>
            <w:hideMark/>
          </w:tcPr>
          <w:p w14:paraId="6D7BBCF8" w14:textId="5A9293A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112.3143</w:t>
            </w:r>
          </w:p>
        </w:tc>
        <w:tc>
          <w:tcPr>
            <w:tcW w:w="1030" w:type="pct"/>
            <w:shd w:val="clear" w:color="auto" w:fill="auto"/>
            <w:noWrap/>
            <w:hideMark/>
          </w:tcPr>
          <w:p w14:paraId="3F0D76AC" w14:textId="72ED9FF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113.6286</w:t>
            </w:r>
          </w:p>
        </w:tc>
        <w:tc>
          <w:tcPr>
            <w:tcW w:w="863" w:type="pct"/>
            <w:shd w:val="clear" w:color="auto" w:fill="auto"/>
            <w:noWrap/>
            <w:hideMark/>
          </w:tcPr>
          <w:p w14:paraId="028E72A3" w14:textId="24CDE86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115.7</w:t>
            </w:r>
          </w:p>
        </w:tc>
      </w:tr>
      <w:tr w:rsidR="00BF179D" w:rsidRPr="00063AC8" w14:paraId="361F7284" w14:textId="77777777" w:rsidTr="00E6135C">
        <w:trPr>
          <w:trHeight w:val="20"/>
          <w:jc w:val="center"/>
        </w:trPr>
        <w:tc>
          <w:tcPr>
            <w:tcW w:w="508" w:type="pct"/>
            <w:tcBorders>
              <w:right w:val="single" w:sz="4" w:space="0" w:color="auto"/>
            </w:tcBorders>
            <w:shd w:val="clear" w:color="auto" w:fill="auto"/>
            <w:vAlign w:val="center"/>
            <w:hideMark/>
          </w:tcPr>
          <w:p w14:paraId="36FD7C1A"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201908</w:t>
            </w:r>
          </w:p>
        </w:tc>
        <w:tc>
          <w:tcPr>
            <w:tcW w:w="669" w:type="pct"/>
            <w:tcBorders>
              <w:left w:val="single" w:sz="4" w:space="0" w:color="auto"/>
            </w:tcBorders>
            <w:shd w:val="clear" w:color="auto" w:fill="auto"/>
            <w:noWrap/>
            <w:hideMark/>
          </w:tcPr>
          <w:p w14:paraId="358EC298" w14:textId="402279E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111.6714</w:t>
            </w:r>
          </w:p>
        </w:tc>
        <w:tc>
          <w:tcPr>
            <w:tcW w:w="1156" w:type="pct"/>
            <w:shd w:val="clear" w:color="auto" w:fill="auto"/>
            <w:noWrap/>
            <w:hideMark/>
          </w:tcPr>
          <w:p w14:paraId="40CC1032" w14:textId="3403F0F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111.3571</w:t>
            </w:r>
          </w:p>
        </w:tc>
        <w:tc>
          <w:tcPr>
            <w:tcW w:w="774" w:type="pct"/>
            <w:shd w:val="clear" w:color="auto" w:fill="auto"/>
            <w:noWrap/>
            <w:hideMark/>
          </w:tcPr>
          <w:p w14:paraId="6F9612DF" w14:textId="1F80E49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112.2429</w:t>
            </w:r>
          </w:p>
        </w:tc>
        <w:tc>
          <w:tcPr>
            <w:tcW w:w="1030" w:type="pct"/>
            <w:shd w:val="clear" w:color="auto" w:fill="auto"/>
            <w:noWrap/>
            <w:hideMark/>
          </w:tcPr>
          <w:p w14:paraId="6B5EE481" w14:textId="3C742B6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113.2714</w:t>
            </w:r>
          </w:p>
        </w:tc>
        <w:tc>
          <w:tcPr>
            <w:tcW w:w="863" w:type="pct"/>
            <w:shd w:val="clear" w:color="auto" w:fill="auto"/>
            <w:noWrap/>
            <w:hideMark/>
          </w:tcPr>
          <w:p w14:paraId="32710D7E" w14:textId="05F7731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116.1143</w:t>
            </w:r>
          </w:p>
        </w:tc>
      </w:tr>
      <w:tr w:rsidR="00BF179D" w:rsidRPr="00063AC8" w14:paraId="43EB1ECF" w14:textId="77777777" w:rsidTr="00E6135C">
        <w:trPr>
          <w:trHeight w:val="20"/>
          <w:jc w:val="center"/>
        </w:trPr>
        <w:tc>
          <w:tcPr>
            <w:tcW w:w="508" w:type="pct"/>
            <w:tcBorders>
              <w:right w:val="single" w:sz="4" w:space="0" w:color="auto"/>
            </w:tcBorders>
            <w:shd w:val="clear" w:color="auto" w:fill="auto"/>
            <w:vAlign w:val="center"/>
            <w:hideMark/>
          </w:tcPr>
          <w:p w14:paraId="6F79005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201909</w:t>
            </w:r>
          </w:p>
        </w:tc>
        <w:tc>
          <w:tcPr>
            <w:tcW w:w="669" w:type="pct"/>
            <w:tcBorders>
              <w:left w:val="single" w:sz="4" w:space="0" w:color="auto"/>
            </w:tcBorders>
            <w:shd w:val="clear" w:color="auto" w:fill="auto"/>
            <w:noWrap/>
            <w:hideMark/>
          </w:tcPr>
          <w:p w14:paraId="100E7035" w14:textId="66B1905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111.6857</w:t>
            </w:r>
          </w:p>
        </w:tc>
        <w:tc>
          <w:tcPr>
            <w:tcW w:w="1156" w:type="pct"/>
            <w:shd w:val="clear" w:color="auto" w:fill="auto"/>
            <w:noWrap/>
            <w:hideMark/>
          </w:tcPr>
          <w:p w14:paraId="14F36511" w14:textId="715F372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111.2714</w:t>
            </w:r>
          </w:p>
        </w:tc>
        <w:tc>
          <w:tcPr>
            <w:tcW w:w="774" w:type="pct"/>
            <w:shd w:val="clear" w:color="auto" w:fill="auto"/>
            <w:noWrap/>
            <w:hideMark/>
          </w:tcPr>
          <w:p w14:paraId="5878FF69" w14:textId="230DD7B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112.5143</w:t>
            </w:r>
          </w:p>
        </w:tc>
        <w:tc>
          <w:tcPr>
            <w:tcW w:w="1030" w:type="pct"/>
            <w:shd w:val="clear" w:color="auto" w:fill="auto"/>
            <w:noWrap/>
            <w:hideMark/>
          </w:tcPr>
          <w:p w14:paraId="34EB4EDD" w14:textId="3E1E753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113.2714</w:t>
            </w:r>
          </w:p>
        </w:tc>
        <w:tc>
          <w:tcPr>
            <w:tcW w:w="863" w:type="pct"/>
            <w:shd w:val="clear" w:color="auto" w:fill="auto"/>
            <w:noWrap/>
            <w:hideMark/>
          </w:tcPr>
          <w:p w14:paraId="423D4775" w14:textId="76B9E39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116.3</w:t>
            </w:r>
          </w:p>
        </w:tc>
      </w:tr>
      <w:tr w:rsidR="00BF179D" w:rsidRPr="00063AC8" w14:paraId="6158028A" w14:textId="77777777" w:rsidTr="00E6135C">
        <w:trPr>
          <w:trHeight w:val="20"/>
          <w:jc w:val="center"/>
        </w:trPr>
        <w:tc>
          <w:tcPr>
            <w:tcW w:w="508" w:type="pct"/>
            <w:tcBorders>
              <w:right w:val="single" w:sz="4" w:space="0" w:color="auto"/>
            </w:tcBorders>
            <w:shd w:val="clear" w:color="auto" w:fill="auto"/>
            <w:vAlign w:val="center"/>
            <w:hideMark/>
          </w:tcPr>
          <w:p w14:paraId="2E09B3B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201910</w:t>
            </w:r>
          </w:p>
        </w:tc>
        <w:tc>
          <w:tcPr>
            <w:tcW w:w="669" w:type="pct"/>
            <w:tcBorders>
              <w:left w:val="single" w:sz="4" w:space="0" w:color="auto"/>
            </w:tcBorders>
            <w:shd w:val="clear" w:color="auto" w:fill="auto"/>
            <w:noWrap/>
            <w:hideMark/>
          </w:tcPr>
          <w:p w14:paraId="4540E02E" w14:textId="701A94A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111.4286</w:t>
            </w:r>
          </w:p>
        </w:tc>
        <w:tc>
          <w:tcPr>
            <w:tcW w:w="1156" w:type="pct"/>
            <w:shd w:val="clear" w:color="auto" w:fill="auto"/>
            <w:noWrap/>
            <w:hideMark/>
          </w:tcPr>
          <w:p w14:paraId="64E516FB" w14:textId="47D7C9B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110.9</w:t>
            </w:r>
          </w:p>
        </w:tc>
        <w:tc>
          <w:tcPr>
            <w:tcW w:w="774" w:type="pct"/>
            <w:shd w:val="clear" w:color="auto" w:fill="auto"/>
            <w:noWrap/>
            <w:hideMark/>
          </w:tcPr>
          <w:p w14:paraId="43AF85F5" w14:textId="2F7DDE5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112.7</w:t>
            </w:r>
          </w:p>
        </w:tc>
        <w:tc>
          <w:tcPr>
            <w:tcW w:w="1030" w:type="pct"/>
            <w:shd w:val="clear" w:color="auto" w:fill="auto"/>
            <w:noWrap/>
            <w:hideMark/>
          </w:tcPr>
          <w:p w14:paraId="3FB2DBA0" w14:textId="4854E8F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113.4286</w:t>
            </w:r>
          </w:p>
        </w:tc>
        <w:tc>
          <w:tcPr>
            <w:tcW w:w="863" w:type="pct"/>
            <w:shd w:val="clear" w:color="auto" w:fill="auto"/>
            <w:noWrap/>
            <w:hideMark/>
          </w:tcPr>
          <w:p w14:paraId="4BA057E0" w14:textId="518D5BF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116.7857</w:t>
            </w:r>
          </w:p>
        </w:tc>
      </w:tr>
      <w:tr w:rsidR="00BF179D" w:rsidRPr="00063AC8" w14:paraId="0C938FB0" w14:textId="77777777" w:rsidTr="00E6135C">
        <w:trPr>
          <w:trHeight w:val="20"/>
          <w:jc w:val="center"/>
        </w:trPr>
        <w:tc>
          <w:tcPr>
            <w:tcW w:w="508" w:type="pct"/>
            <w:tcBorders>
              <w:right w:val="single" w:sz="4" w:space="0" w:color="auto"/>
            </w:tcBorders>
            <w:shd w:val="clear" w:color="auto" w:fill="auto"/>
            <w:vAlign w:val="center"/>
            <w:hideMark/>
          </w:tcPr>
          <w:p w14:paraId="086663F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201911</w:t>
            </w:r>
          </w:p>
        </w:tc>
        <w:tc>
          <w:tcPr>
            <w:tcW w:w="669" w:type="pct"/>
            <w:tcBorders>
              <w:left w:val="single" w:sz="4" w:space="0" w:color="auto"/>
            </w:tcBorders>
            <w:shd w:val="clear" w:color="auto" w:fill="auto"/>
            <w:noWrap/>
            <w:hideMark/>
          </w:tcPr>
          <w:p w14:paraId="5B16C46A" w14:textId="5529D73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111.6714</w:t>
            </w:r>
          </w:p>
        </w:tc>
        <w:tc>
          <w:tcPr>
            <w:tcW w:w="1156" w:type="pct"/>
            <w:shd w:val="clear" w:color="auto" w:fill="auto"/>
            <w:noWrap/>
            <w:hideMark/>
          </w:tcPr>
          <w:p w14:paraId="1379F8BE" w14:textId="17792DB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111.1714</w:t>
            </w:r>
          </w:p>
        </w:tc>
        <w:tc>
          <w:tcPr>
            <w:tcW w:w="774" w:type="pct"/>
            <w:shd w:val="clear" w:color="auto" w:fill="auto"/>
            <w:noWrap/>
            <w:hideMark/>
          </w:tcPr>
          <w:p w14:paraId="49484985" w14:textId="0CA4150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112.9429</w:t>
            </w:r>
          </w:p>
        </w:tc>
        <w:tc>
          <w:tcPr>
            <w:tcW w:w="1030" w:type="pct"/>
            <w:shd w:val="clear" w:color="auto" w:fill="auto"/>
            <w:noWrap/>
            <w:hideMark/>
          </w:tcPr>
          <w:p w14:paraId="75394B81" w14:textId="5E56710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113.3</w:t>
            </w:r>
          </w:p>
        </w:tc>
        <w:tc>
          <w:tcPr>
            <w:tcW w:w="863" w:type="pct"/>
            <w:shd w:val="clear" w:color="auto" w:fill="auto"/>
            <w:noWrap/>
            <w:hideMark/>
          </w:tcPr>
          <w:p w14:paraId="32128C0D" w14:textId="2291B55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117.3286</w:t>
            </w:r>
          </w:p>
        </w:tc>
      </w:tr>
      <w:tr w:rsidR="00BF179D" w:rsidRPr="00063AC8" w14:paraId="72BD2EBF" w14:textId="77777777" w:rsidTr="00E6135C">
        <w:trPr>
          <w:trHeight w:val="20"/>
          <w:jc w:val="center"/>
        </w:trPr>
        <w:tc>
          <w:tcPr>
            <w:tcW w:w="508" w:type="pct"/>
            <w:tcBorders>
              <w:right w:val="single" w:sz="4" w:space="0" w:color="auto"/>
            </w:tcBorders>
            <w:shd w:val="clear" w:color="auto" w:fill="auto"/>
            <w:vAlign w:val="center"/>
            <w:hideMark/>
          </w:tcPr>
          <w:p w14:paraId="13FC18EC"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201912</w:t>
            </w:r>
          </w:p>
        </w:tc>
        <w:tc>
          <w:tcPr>
            <w:tcW w:w="669" w:type="pct"/>
            <w:tcBorders>
              <w:left w:val="single" w:sz="4" w:space="0" w:color="auto"/>
            </w:tcBorders>
            <w:shd w:val="clear" w:color="auto" w:fill="auto"/>
            <w:noWrap/>
            <w:hideMark/>
          </w:tcPr>
          <w:p w14:paraId="4954E23C" w14:textId="63635D3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111.9143</w:t>
            </w:r>
          </w:p>
        </w:tc>
        <w:tc>
          <w:tcPr>
            <w:tcW w:w="1156" w:type="pct"/>
            <w:shd w:val="clear" w:color="auto" w:fill="auto"/>
            <w:noWrap/>
            <w:hideMark/>
          </w:tcPr>
          <w:p w14:paraId="58780318" w14:textId="57CD8DE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111.3571</w:t>
            </w:r>
          </w:p>
        </w:tc>
        <w:tc>
          <w:tcPr>
            <w:tcW w:w="774" w:type="pct"/>
            <w:shd w:val="clear" w:color="auto" w:fill="auto"/>
            <w:noWrap/>
            <w:hideMark/>
          </w:tcPr>
          <w:p w14:paraId="0F1B8DC2" w14:textId="7BF3975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113.3143</w:t>
            </w:r>
          </w:p>
        </w:tc>
        <w:tc>
          <w:tcPr>
            <w:tcW w:w="1030" w:type="pct"/>
            <w:shd w:val="clear" w:color="auto" w:fill="auto"/>
            <w:noWrap/>
            <w:hideMark/>
          </w:tcPr>
          <w:p w14:paraId="2F19FD61" w14:textId="1254A78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113.6143</w:t>
            </w:r>
          </w:p>
        </w:tc>
        <w:tc>
          <w:tcPr>
            <w:tcW w:w="863" w:type="pct"/>
            <w:shd w:val="clear" w:color="auto" w:fill="auto"/>
            <w:noWrap/>
            <w:hideMark/>
          </w:tcPr>
          <w:p w14:paraId="131A4B08" w14:textId="383B0DE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117.7571</w:t>
            </w:r>
          </w:p>
        </w:tc>
      </w:tr>
      <w:tr w:rsidR="00BF179D" w:rsidRPr="00063AC8" w14:paraId="740B2EBD" w14:textId="77777777" w:rsidTr="00E6135C">
        <w:trPr>
          <w:trHeight w:val="20"/>
          <w:jc w:val="center"/>
        </w:trPr>
        <w:tc>
          <w:tcPr>
            <w:tcW w:w="508" w:type="pct"/>
            <w:tcBorders>
              <w:right w:val="single" w:sz="4" w:space="0" w:color="auto"/>
            </w:tcBorders>
            <w:shd w:val="clear" w:color="auto" w:fill="auto"/>
            <w:vAlign w:val="center"/>
            <w:hideMark/>
          </w:tcPr>
          <w:p w14:paraId="5EB7421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202001</w:t>
            </w:r>
          </w:p>
        </w:tc>
        <w:tc>
          <w:tcPr>
            <w:tcW w:w="669" w:type="pct"/>
            <w:tcBorders>
              <w:left w:val="single" w:sz="4" w:space="0" w:color="auto"/>
            </w:tcBorders>
            <w:shd w:val="clear" w:color="auto" w:fill="auto"/>
            <w:noWrap/>
            <w:hideMark/>
          </w:tcPr>
          <w:p w14:paraId="376FF53A" w14:textId="760E966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111.9857</w:t>
            </w:r>
          </w:p>
        </w:tc>
        <w:tc>
          <w:tcPr>
            <w:tcW w:w="1156" w:type="pct"/>
            <w:shd w:val="clear" w:color="auto" w:fill="auto"/>
            <w:noWrap/>
            <w:hideMark/>
          </w:tcPr>
          <w:p w14:paraId="5D1F8FBB" w14:textId="2101B9A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111.3286</w:t>
            </w:r>
          </w:p>
        </w:tc>
        <w:tc>
          <w:tcPr>
            <w:tcW w:w="774" w:type="pct"/>
            <w:shd w:val="clear" w:color="auto" w:fill="auto"/>
            <w:noWrap/>
            <w:hideMark/>
          </w:tcPr>
          <w:p w14:paraId="1ED9D4B9" w14:textId="53954E6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113.5</w:t>
            </w:r>
          </w:p>
        </w:tc>
        <w:tc>
          <w:tcPr>
            <w:tcW w:w="1030" w:type="pct"/>
            <w:shd w:val="clear" w:color="auto" w:fill="auto"/>
            <w:noWrap/>
            <w:hideMark/>
          </w:tcPr>
          <w:p w14:paraId="25C2843E" w14:textId="2FAB0AB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113.5</w:t>
            </w:r>
          </w:p>
        </w:tc>
        <w:tc>
          <w:tcPr>
            <w:tcW w:w="863" w:type="pct"/>
            <w:shd w:val="clear" w:color="auto" w:fill="auto"/>
            <w:noWrap/>
            <w:hideMark/>
          </w:tcPr>
          <w:p w14:paraId="3257F97E" w14:textId="0345A96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118.2</w:t>
            </w:r>
          </w:p>
        </w:tc>
      </w:tr>
      <w:tr w:rsidR="00BF179D" w:rsidRPr="00063AC8" w14:paraId="40DAD47C" w14:textId="77777777" w:rsidTr="00E6135C">
        <w:trPr>
          <w:trHeight w:val="20"/>
          <w:jc w:val="center"/>
        </w:trPr>
        <w:tc>
          <w:tcPr>
            <w:tcW w:w="508" w:type="pct"/>
            <w:tcBorders>
              <w:right w:val="single" w:sz="4" w:space="0" w:color="auto"/>
            </w:tcBorders>
            <w:shd w:val="clear" w:color="auto" w:fill="auto"/>
            <w:vAlign w:val="center"/>
            <w:hideMark/>
          </w:tcPr>
          <w:p w14:paraId="6C0CEBF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202002</w:t>
            </w:r>
          </w:p>
        </w:tc>
        <w:tc>
          <w:tcPr>
            <w:tcW w:w="669" w:type="pct"/>
            <w:tcBorders>
              <w:left w:val="single" w:sz="4" w:space="0" w:color="auto"/>
            </w:tcBorders>
            <w:shd w:val="clear" w:color="auto" w:fill="auto"/>
            <w:noWrap/>
            <w:hideMark/>
          </w:tcPr>
          <w:p w14:paraId="46C449F4" w14:textId="5591B85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111.9571</w:t>
            </w:r>
          </w:p>
        </w:tc>
        <w:tc>
          <w:tcPr>
            <w:tcW w:w="1156" w:type="pct"/>
            <w:shd w:val="clear" w:color="auto" w:fill="auto"/>
            <w:noWrap/>
            <w:hideMark/>
          </w:tcPr>
          <w:p w14:paraId="7355E18A" w14:textId="3453AAE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111.1743</w:t>
            </w:r>
          </w:p>
        </w:tc>
        <w:tc>
          <w:tcPr>
            <w:tcW w:w="774" w:type="pct"/>
            <w:shd w:val="clear" w:color="auto" w:fill="auto"/>
            <w:noWrap/>
            <w:hideMark/>
          </w:tcPr>
          <w:p w14:paraId="40BA6B69" w14:textId="10485A2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113.7</w:t>
            </w:r>
          </w:p>
        </w:tc>
        <w:tc>
          <w:tcPr>
            <w:tcW w:w="1030" w:type="pct"/>
            <w:shd w:val="clear" w:color="auto" w:fill="auto"/>
            <w:noWrap/>
            <w:hideMark/>
          </w:tcPr>
          <w:p w14:paraId="4AB773C9" w14:textId="27442C6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113.3143</w:t>
            </w:r>
          </w:p>
        </w:tc>
        <w:tc>
          <w:tcPr>
            <w:tcW w:w="863" w:type="pct"/>
            <w:shd w:val="clear" w:color="auto" w:fill="auto"/>
            <w:noWrap/>
            <w:hideMark/>
          </w:tcPr>
          <w:p w14:paraId="7AE1BB49" w14:textId="097C7A7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117.7429</w:t>
            </w:r>
          </w:p>
        </w:tc>
      </w:tr>
      <w:tr w:rsidR="00BF179D" w:rsidRPr="00063AC8" w14:paraId="3456EC24" w14:textId="77777777" w:rsidTr="00E6135C">
        <w:trPr>
          <w:trHeight w:val="20"/>
          <w:jc w:val="center"/>
        </w:trPr>
        <w:tc>
          <w:tcPr>
            <w:tcW w:w="508" w:type="pct"/>
            <w:tcBorders>
              <w:right w:val="single" w:sz="4" w:space="0" w:color="auto"/>
            </w:tcBorders>
            <w:shd w:val="clear" w:color="auto" w:fill="auto"/>
            <w:vAlign w:val="center"/>
            <w:hideMark/>
          </w:tcPr>
          <w:p w14:paraId="2616615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202003</w:t>
            </w:r>
          </w:p>
        </w:tc>
        <w:tc>
          <w:tcPr>
            <w:tcW w:w="669" w:type="pct"/>
            <w:tcBorders>
              <w:left w:val="single" w:sz="4" w:space="0" w:color="auto"/>
            </w:tcBorders>
            <w:shd w:val="clear" w:color="auto" w:fill="auto"/>
            <w:noWrap/>
            <w:hideMark/>
          </w:tcPr>
          <w:p w14:paraId="43A19E66" w14:textId="4344430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111.9</w:t>
            </w:r>
          </w:p>
        </w:tc>
        <w:tc>
          <w:tcPr>
            <w:tcW w:w="1156" w:type="pct"/>
            <w:shd w:val="clear" w:color="auto" w:fill="auto"/>
            <w:noWrap/>
            <w:hideMark/>
          </w:tcPr>
          <w:p w14:paraId="2A468DB1" w14:textId="4E7F262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110.96</w:t>
            </w:r>
          </w:p>
        </w:tc>
        <w:tc>
          <w:tcPr>
            <w:tcW w:w="774" w:type="pct"/>
            <w:shd w:val="clear" w:color="auto" w:fill="auto"/>
            <w:noWrap/>
            <w:hideMark/>
          </w:tcPr>
          <w:p w14:paraId="6FB68295" w14:textId="3EEE1AA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w:t>
            </w:r>
          </w:p>
        </w:tc>
        <w:tc>
          <w:tcPr>
            <w:tcW w:w="1030" w:type="pct"/>
            <w:shd w:val="clear" w:color="auto" w:fill="auto"/>
            <w:noWrap/>
            <w:hideMark/>
          </w:tcPr>
          <w:p w14:paraId="47BC92AD" w14:textId="2731740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113.4571</w:t>
            </w:r>
          </w:p>
        </w:tc>
        <w:tc>
          <w:tcPr>
            <w:tcW w:w="863" w:type="pct"/>
            <w:shd w:val="clear" w:color="auto" w:fill="auto"/>
            <w:noWrap/>
            <w:hideMark/>
          </w:tcPr>
          <w:p w14:paraId="2853DD20" w14:textId="3EADD62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117.5429</w:t>
            </w:r>
          </w:p>
        </w:tc>
      </w:tr>
      <w:tr w:rsidR="00BF179D" w:rsidRPr="00063AC8" w14:paraId="31A29DD4" w14:textId="77777777" w:rsidTr="00E6135C">
        <w:trPr>
          <w:trHeight w:val="20"/>
          <w:jc w:val="center"/>
        </w:trPr>
        <w:tc>
          <w:tcPr>
            <w:tcW w:w="508" w:type="pct"/>
            <w:tcBorders>
              <w:right w:val="single" w:sz="4" w:space="0" w:color="auto"/>
            </w:tcBorders>
            <w:shd w:val="clear" w:color="auto" w:fill="auto"/>
            <w:vAlign w:val="center"/>
            <w:hideMark/>
          </w:tcPr>
          <w:p w14:paraId="05AE00EA"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lastRenderedPageBreak/>
              <w:t>202004</w:t>
            </w:r>
          </w:p>
        </w:tc>
        <w:tc>
          <w:tcPr>
            <w:tcW w:w="669" w:type="pct"/>
            <w:tcBorders>
              <w:left w:val="single" w:sz="4" w:space="0" w:color="auto"/>
            </w:tcBorders>
            <w:shd w:val="clear" w:color="auto" w:fill="auto"/>
            <w:noWrap/>
            <w:hideMark/>
          </w:tcPr>
          <w:p w14:paraId="7F65D0B1" w14:textId="676CA2B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111.8571</w:t>
            </w:r>
          </w:p>
        </w:tc>
        <w:tc>
          <w:tcPr>
            <w:tcW w:w="1156" w:type="pct"/>
            <w:shd w:val="clear" w:color="auto" w:fill="auto"/>
            <w:noWrap/>
            <w:hideMark/>
          </w:tcPr>
          <w:p w14:paraId="000425A5" w14:textId="3EEBB77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110.7814</w:t>
            </w:r>
          </w:p>
        </w:tc>
        <w:tc>
          <w:tcPr>
            <w:tcW w:w="774" w:type="pct"/>
            <w:shd w:val="clear" w:color="auto" w:fill="auto"/>
            <w:noWrap/>
            <w:hideMark/>
          </w:tcPr>
          <w:p w14:paraId="3A24CA7D" w14:textId="4E27B7D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114.2143</w:t>
            </w:r>
          </w:p>
        </w:tc>
        <w:tc>
          <w:tcPr>
            <w:tcW w:w="1030" w:type="pct"/>
            <w:shd w:val="clear" w:color="auto" w:fill="auto"/>
            <w:noWrap/>
            <w:hideMark/>
          </w:tcPr>
          <w:p w14:paraId="3078E2F2" w14:textId="7C64517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113.3429</w:t>
            </w:r>
          </w:p>
        </w:tc>
        <w:tc>
          <w:tcPr>
            <w:tcW w:w="863" w:type="pct"/>
            <w:shd w:val="clear" w:color="auto" w:fill="auto"/>
            <w:noWrap/>
            <w:hideMark/>
          </w:tcPr>
          <w:p w14:paraId="28A734D5" w14:textId="13C1102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117.3857</w:t>
            </w:r>
          </w:p>
        </w:tc>
      </w:tr>
      <w:tr w:rsidR="00BF179D" w:rsidRPr="00063AC8" w14:paraId="2131AAB1" w14:textId="77777777" w:rsidTr="00E6135C">
        <w:trPr>
          <w:trHeight w:val="20"/>
          <w:jc w:val="center"/>
        </w:trPr>
        <w:tc>
          <w:tcPr>
            <w:tcW w:w="508" w:type="pct"/>
            <w:tcBorders>
              <w:right w:val="single" w:sz="4" w:space="0" w:color="auto"/>
            </w:tcBorders>
            <w:shd w:val="clear" w:color="auto" w:fill="auto"/>
            <w:vAlign w:val="center"/>
            <w:hideMark/>
          </w:tcPr>
          <w:p w14:paraId="468DAEAC"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202005</w:t>
            </w:r>
          </w:p>
        </w:tc>
        <w:tc>
          <w:tcPr>
            <w:tcW w:w="669" w:type="pct"/>
            <w:tcBorders>
              <w:left w:val="single" w:sz="4" w:space="0" w:color="auto"/>
            </w:tcBorders>
            <w:shd w:val="clear" w:color="auto" w:fill="auto"/>
            <w:noWrap/>
            <w:hideMark/>
          </w:tcPr>
          <w:p w14:paraId="4472E276" w14:textId="4594DE7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111.8857</w:t>
            </w:r>
          </w:p>
        </w:tc>
        <w:tc>
          <w:tcPr>
            <w:tcW w:w="1156" w:type="pct"/>
            <w:shd w:val="clear" w:color="auto" w:fill="auto"/>
            <w:noWrap/>
            <w:hideMark/>
          </w:tcPr>
          <w:p w14:paraId="0666AAE1" w14:textId="4B9F1B2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110.3471</w:t>
            </w:r>
          </w:p>
        </w:tc>
        <w:tc>
          <w:tcPr>
            <w:tcW w:w="774" w:type="pct"/>
            <w:shd w:val="clear" w:color="auto" w:fill="auto"/>
            <w:noWrap/>
            <w:hideMark/>
          </w:tcPr>
          <w:p w14:paraId="2BB61D55" w14:textId="4F033A2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114.9571</w:t>
            </w:r>
          </w:p>
        </w:tc>
        <w:tc>
          <w:tcPr>
            <w:tcW w:w="1030" w:type="pct"/>
            <w:shd w:val="clear" w:color="auto" w:fill="auto"/>
            <w:noWrap/>
            <w:hideMark/>
          </w:tcPr>
          <w:p w14:paraId="04900413" w14:textId="697E884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113.5</w:t>
            </w:r>
          </w:p>
        </w:tc>
        <w:tc>
          <w:tcPr>
            <w:tcW w:w="863" w:type="pct"/>
            <w:shd w:val="clear" w:color="auto" w:fill="auto"/>
            <w:noWrap/>
            <w:hideMark/>
          </w:tcPr>
          <w:p w14:paraId="23F8F73D" w14:textId="577B0F7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117.1</w:t>
            </w:r>
          </w:p>
        </w:tc>
      </w:tr>
      <w:tr w:rsidR="00BF179D" w:rsidRPr="00063AC8" w14:paraId="6A695617" w14:textId="77777777" w:rsidTr="00E6135C">
        <w:trPr>
          <w:trHeight w:val="20"/>
          <w:jc w:val="center"/>
        </w:trPr>
        <w:tc>
          <w:tcPr>
            <w:tcW w:w="508" w:type="pct"/>
            <w:tcBorders>
              <w:right w:val="single" w:sz="4" w:space="0" w:color="auto"/>
            </w:tcBorders>
            <w:shd w:val="clear" w:color="auto" w:fill="auto"/>
            <w:vAlign w:val="center"/>
            <w:hideMark/>
          </w:tcPr>
          <w:p w14:paraId="096DFF6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202006</w:t>
            </w:r>
          </w:p>
        </w:tc>
        <w:tc>
          <w:tcPr>
            <w:tcW w:w="669" w:type="pct"/>
            <w:tcBorders>
              <w:left w:val="single" w:sz="4" w:space="0" w:color="auto"/>
            </w:tcBorders>
            <w:shd w:val="clear" w:color="auto" w:fill="auto"/>
            <w:noWrap/>
            <w:hideMark/>
          </w:tcPr>
          <w:p w14:paraId="5BEACCC1" w14:textId="2F59458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111.6286</w:t>
            </w:r>
          </w:p>
        </w:tc>
        <w:tc>
          <w:tcPr>
            <w:tcW w:w="1156" w:type="pct"/>
            <w:shd w:val="clear" w:color="auto" w:fill="auto"/>
            <w:noWrap/>
            <w:hideMark/>
          </w:tcPr>
          <w:p w14:paraId="59BE01DF" w14:textId="1D258F9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109.77</w:t>
            </w:r>
          </w:p>
        </w:tc>
        <w:tc>
          <w:tcPr>
            <w:tcW w:w="774" w:type="pct"/>
            <w:shd w:val="clear" w:color="auto" w:fill="auto"/>
            <w:noWrap/>
            <w:hideMark/>
          </w:tcPr>
          <w:p w14:paraId="695AA838" w14:textId="6EDF86B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115.3143</w:t>
            </w:r>
          </w:p>
        </w:tc>
        <w:tc>
          <w:tcPr>
            <w:tcW w:w="1030" w:type="pct"/>
            <w:shd w:val="clear" w:color="auto" w:fill="auto"/>
            <w:noWrap/>
            <w:hideMark/>
          </w:tcPr>
          <w:p w14:paraId="55F44EE0" w14:textId="1D4B747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113.9</w:t>
            </w:r>
          </w:p>
        </w:tc>
        <w:tc>
          <w:tcPr>
            <w:tcW w:w="863" w:type="pct"/>
            <w:shd w:val="clear" w:color="auto" w:fill="auto"/>
            <w:noWrap/>
            <w:hideMark/>
          </w:tcPr>
          <w:p w14:paraId="1882BBBF" w14:textId="3F4B822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117.6429</w:t>
            </w:r>
          </w:p>
        </w:tc>
      </w:tr>
      <w:tr w:rsidR="00BF179D" w:rsidRPr="00063AC8" w14:paraId="0DEE28C7" w14:textId="77777777" w:rsidTr="00E6135C">
        <w:trPr>
          <w:trHeight w:val="20"/>
          <w:jc w:val="center"/>
        </w:trPr>
        <w:tc>
          <w:tcPr>
            <w:tcW w:w="508" w:type="pct"/>
            <w:tcBorders>
              <w:right w:val="single" w:sz="4" w:space="0" w:color="auto"/>
            </w:tcBorders>
            <w:shd w:val="clear" w:color="auto" w:fill="auto"/>
            <w:vAlign w:val="center"/>
            <w:hideMark/>
          </w:tcPr>
          <w:p w14:paraId="6618AA0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202007</w:t>
            </w:r>
          </w:p>
        </w:tc>
        <w:tc>
          <w:tcPr>
            <w:tcW w:w="669" w:type="pct"/>
            <w:tcBorders>
              <w:left w:val="single" w:sz="4" w:space="0" w:color="auto"/>
            </w:tcBorders>
            <w:shd w:val="clear" w:color="auto" w:fill="auto"/>
            <w:noWrap/>
            <w:hideMark/>
          </w:tcPr>
          <w:p w14:paraId="5B401ADF" w14:textId="46FA24A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111.3143</w:t>
            </w:r>
          </w:p>
        </w:tc>
        <w:tc>
          <w:tcPr>
            <w:tcW w:w="1156" w:type="pct"/>
            <w:shd w:val="clear" w:color="auto" w:fill="auto"/>
            <w:noWrap/>
            <w:hideMark/>
          </w:tcPr>
          <w:p w14:paraId="4553C3AA" w14:textId="51B6D1A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109.2243</w:t>
            </w:r>
          </w:p>
        </w:tc>
        <w:tc>
          <w:tcPr>
            <w:tcW w:w="774" w:type="pct"/>
            <w:shd w:val="clear" w:color="auto" w:fill="auto"/>
            <w:noWrap/>
            <w:hideMark/>
          </w:tcPr>
          <w:p w14:paraId="398624C1" w14:textId="0C2F3A7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115.6571</w:t>
            </w:r>
          </w:p>
        </w:tc>
        <w:tc>
          <w:tcPr>
            <w:tcW w:w="1030" w:type="pct"/>
            <w:shd w:val="clear" w:color="auto" w:fill="auto"/>
            <w:noWrap/>
            <w:hideMark/>
          </w:tcPr>
          <w:p w14:paraId="6A3CCB57" w14:textId="3F8A4B5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113.7143</w:t>
            </w:r>
          </w:p>
        </w:tc>
        <w:tc>
          <w:tcPr>
            <w:tcW w:w="863" w:type="pct"/>
            <w:shd w:val="clear" w:color="auto" w:fill="auto"/>
            <w:noWrap/>
            <w:hideMark/>
          </w:tcPr>
          <w:p w14:paraId="3951B088" w14:textId="3B37179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117.2286</w:t>
            </w:r>
          </w:p>
        </w:tc>
      </w:tr>
      <w:tr w:rsidR="00BF179D" w:rsidRPr="00063AC8" w14:paraId="074CE01D" w14:textId="77777777" w:rsidTr="00E6135C">
        <w:trPr>
          <w:trHeight w:val="20"/>
          <w:jc w:val="center"/>
        </w:trPr>
        <w:tc>
          <w:tcPr>
            <w:tcW w:w="508" w:type="pct"/>
            <w:tcBorders>
              <w:right w:val="single" w:sz="4" w:space="0" w:color="auto"/>
            </w:tcBorders>
            <w:shd w:val="clear" w:color="auto" w:fill="auto"/>
            <w:vAlign w:val="center"/>
            <w:hideMark/>
          </w:tcPr>
          <w:p w14:paraId="049F05D5"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202008</w:t>
            </w:r>
          </w:p>
        </w:tc>
        <w:tc>
          <w:tcPr>
            <w:tcW w:w="669" w:type="pct"/>
            <w:tcBorders>
              <w:left w:val="single" w:sz="4" w:space="0" w:color="auto"/>
            </w:tcBorders>
            <w:shd w:val="clear" w:color="auto" w:fill="auto"/>
            <w:noWrap/>
            <w:hideMark/>
          </w:tcPr>
          <w:p w14:paraId="63AF5DF2" w14:textId="0C8B748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111.2833</w:t>
            </w:r>
          </w:p>
        </w:tc>
        <w:tc>
          <w:tcPr>
            <w:tcW w:w="1156" w:type="pct"/>
            <w:shd w:val="clear" w:color="auto" w:fill="auto"/>
            <w:noWrap/>
            <w:hideMark/>
          </w:tcPr>
          <w:p w14:paraId="59B3F523" w14:textId="53C716D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109.0283</w:t>
            </w:r>
          </w:p>
        </w:tc>
        <w:tc>
          <w:tcPr>
            <w:tcW w:w="774" w:type="pct"/>
            <w:shd w:val="clear" w:color="auto" w:fill="auto"/>
            <w:noWrap/>
            <w:hideMark/>
          </w:tcPr>
          <w:p w14:paraId="67D032F4" w14:textId="3ED9A62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116.0167</w:t>
            </w:r>
          </w:p>
        </w:tc>
        <w:tc>
          <w:tcPr>
            <w:tcW w:w="1030" w:type="pct"/>
            <w:shd w:val="clear" w:color="auto" w:fill="auto"/>
            <w:noWrap/>
            <w:hideMark/>
          </w:tcPr>
          <w:p w14:paraId="393FA26B" w14:textId="03B8DB9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113.9333</w:t>
            </w:r>
          </w:p>
        </w:tc>
        <w:tc>
          <w:tcPr>
            <w:tcW w:w="863" w:type="pct"/>
            <w:shd w:val="clear" w:color="auto" w:fill="auto"/>
            <w:noWrap/>
            <w:hideMark/>
          </w:tcPr>
          <w:p w14:paraId="5946AC4D" w14:textId="300F5EA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117.25</w:t>
            </w:r>
          </w:p>
        </w:tc>
      </w:tr>
      <w:tr w:rsidR="00BF179D" w:rsidRPr="00063AC8" w14:paraId="108E78AA" w14:textId="77777777" w:rsidTr="00E6135C">
        <w:trPr>
          <w:trHeight w:val="20"/>
          <w:jc w:val="center"/>
        </w:trPr>
        <w:tc>
          <w:tcPr>
            <w:tcW w:w="508" w:type="pct"/>
            <w:tcBorders>
              <w:right w:val="single" w:sz="4" w:space="0" w:color="auto"/>
            </w:tcBorders>
            <w:shd w:val="clear" w:color="auto" w:fill="auto"/>
            <w:vAlign w:val="center"/>
            <w:hideMark/>
          </w:tcPr>
          <w:p w14:paraId="2B3E7FB8"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202009</w:t>
            </w:r>
          </w:p>
        </w:tc>
        <w:tc>
          <w:tcPr>
            <w:tcW w:w="669" w:type="pct"/>
            <w:tcBorders>
              <w:left w:val="single" w:sz="4" w:space="0" w:color="auto"/>
            </w:tcBorders>
            <w:shd w:val="clear" w:color="auto" w:fill="auto"/>
            <w:noWrap/>
            <w:hideMark/>
          </w:tcPr>
          <w:p w14:paraId="17B67EC0" w14:textId="21BDB40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111.36</w:t>
            </w:r>
          </w:p>
        </w:tc>
        <w:tc>
          <w:tcPr>
            <w:tcW w:w="1156" w:type="pct"/>
            <w:shd w:val="clear" w:color="auto" w:fill="auto"/>
            <w:noWrap/>
            <w:hideMark/>
          </w:tcPr>
          <w:p w14:paraId="4F295B79" w14:textId="7174342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108.95</w:t>
            </w:r>
          </w:p>
        </w:tc>
        <w:tc>
          <w:tcPr>
            <w:tcW w:w="774" w:type="pct"/>
            <w:shd w:val="clear" w:color="auto" w:fill="auto"/>
            <w:noWrap/>
            <w:hideMark/>
          </w:tcPr>
          <w:p w14:paraId="00A714FE" w14:textId="463F9AE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116.42</w:t>
            </w:r>
          </w:p>
        </w:tc>
        <w:tc>
          <w:tcPr>
            <w:tcW w:w="1030" w:type="pct"/>
            <w:shd w:val="clear" w:color="auto" w:fill="auto"/>
            <w:noWrap/>
            <w:hideMark/>
          </w:tcPr>
          <w:p w14:paraId="24DCF432" w14:textId="5F67D05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114.32</w:t>
            </w:r>
          </w:p>
        </w:tc>
        <w:tc>
          <w:tcPr>
            <w:tcW w:w="863" w:type="pct"/>
            <w:shd w:val="clear" w:color="auto" w:fill="auto"/>
            <w:noWrap/>
            <w:hideMark/>
          </w:tcPr>
          <w:p w14:paraId="4B90E42D" w14:textId="6982B09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117.64</w:t>
            </w:r>
          </w:p>
        </w:tc>
      </w:tr>
      <w:tr w:rsidR="00BF179D" w:rsidRPr="00063AC8" w14:paraId="452974F6" w14:textId="77777777" w:rsidTr="00E6135C">
        <w:trPr>
          <w:trHeight w:val="20"/>
          <w:jc w:val="center"/>
        </w:trPr>
        <w:tc>
          <w:tcPr>
            <w:tcW w:w="508" w:type="pct"/>
            <w:tcBorders>
              <w:bottom w:val="double" w:sz="4" w:space="0" w:color="auto"/>
              <w:right w:val="single" w:sz="4" w:space="0" w:color="auto"/>
            </w:tcBorders>
            <w:shd w:val="clear" w:color="auto" w:fill="auto"/>
            <w:vAlign w:val="center"/>
            <w:hideMark/>
          </w:tcPr>
          <w:p w14:paraId="44B7D98A"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202010</w:t>
            </w:r>
          </w:p>
        </w:tc>
        <w:tc>
          <w:tcPr>
            <w:tcW w:w="669" w:type="pct"/>
            <w:tcBorders>
              <w:left w:val="single" w:sz="4" w:space="0" w:color="auto"/>
            </w:tcBorders>
            <w:shd w:val="clear" w:color="auto" w:fill="auto"/>
            <w:noWrap/>
            <w:hideMark/>
          </w:tcPr>
          <w:p w14:paraId="5C215D6C" w14:textId="3EAFD10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111.4</w:t>
            </w:r>
          </w:p>
        </w:tc>
        <w:tc>
          <w:tcPr>
            <w:tcW w:w="1156" w:type="pct"/>
            <w:shd w:val="clear" w:color="auto" w:fill="auto"/>
            <w:noWrap/>
            <w:hideMark/>
          </w:tcPr>
          <w:p w14:paraId="0709CD5B" w14:textId="0C102EF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108.7875</w:t>
            </w:r>
          </w:p>
        </w:tc>
        <w:tc>
          <w:tcPr>
            <w:tcW w:w="774" w:type="pct"/>
            <w:shd w:val="clear" w:color="auto" w:fill="auto"/>
            <w:noWrap/>
            <w:hideMark/>
          </w:tcPr>
          <w:p w14:paraId="1E17DCB9" w14:textId="4436356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116.825</w:t>
            </w:r>
          </w:p>
        </w:tc>
        <w:tc>
          <w:tcPr>
            <w:tcW w:w="1030" w:type="pct"/>
            <w:shd w:val="clear" w:color="auto" w:fill="auto"/>
            <w:noWrap/>
            <w:hideMark/>
          </w:tcPr>
          <w:p w14:paraId="147B75AF" w14:textId="4520607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114.55</w:t>
            </w:r>
          </w:p>
        </w:tc>
        <w:tc>
          <w:tcPr>
            <w:tcW w:w="863" w:type="pct"/>
            <w:shd w:val="clear" w:color="auto" w:fill="auto"/>
            <w:noWrap/>
            <w:hideMark/>
          </w:tcPr>
          <w:p w14:paraId="5F5E7132" w14:textId="2FB0F0D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118.05</w:t>
            </w:r>
          </w:p>
        </w:tc>
      </w:tr>
    </w:tbl>
    <w:p w14:paraId="6278ED7D" w14:textId="77777777" w:rsidR="00BF179D" w:rsidRDefault="00BF179D" w:rsidP="00BF179D">
      <w:pPr>
        <w:spacing w:before="120" w:after="120" w:line="276" w:lineRule="auto"/>
        <w:rPr>
          <w:rFonts w:asciiTheme="majorHAnsi" w:eastAsiaTheme="majorEastAsia" w:hAnsiTheme="majorHAnsi" w:cstheme="majorHAnsi"/>
          <w:bCs/>
          <w:sz w:val="20"/>
          <w:szCs w:val="20"/>
        </w:rPr>
      </w:pPr>
    </w:p>
    <w:p w14:paraId="3B2899FC" w14:textId="7D1FFE6B" w:rsidR="00BF179D" w:rsidRDefault="00BF179D" w:rsidP="00BF179D">
      <w:pPr>
        <w:rPr>
          <w:rFonts w:asciiTheme="majorHAnsi" w:eastAsiaTheme="majorEastAsia" w:hAnsiTheme="majorHAnsi" w:cstheme="majorHAnsi"/>
          <w:bCs/>
        </w:rPr>
      </w:pPr>
      <w:r w:rsidRPr="00063AC8">
        <w:rPr>
          <w:rFonts w:asciiTheme="majorHAnsi" w:eastAsiaTheme="majorEastAsia" w:hAnsiTheme="majorHAnsi" w:cstheme="majorHAnsi"/>
          <w:bCs/>
        </w:rPr>
        <w:t>Panel</w:t>
      </w:r>
      <w:r>
        <w:rPr>
          <w:rFonts w:asciiTheme="majorHAnsi" w:eastAsiaTheme="majorEastAsia" w:hAnsiTheme="majorHAnsi" w:cstheme="majorHAnsi"/>
          <w:bCs/>
        </w:rPr>
        <w:t>.D</w:t>
      </w:r>
      <w:r w:rsidRPr="00063AC8">
        <w:rPr>
          <w:rFonts w:asciiTheme="majorHAnsi" w:eastAsiaTheme="majorEastAsia" w:hAnsiTheme="majorHAnsi" w:cstheme="majorHAnsi"/>
          <w:bCs/>
        </w:rPr>
        <w:t xml:space="preserve"> </w:t>
      </w:r>
      <w:r>
        <w:rPr>
          <w:rFonts w:asciiTheme="majorHAnsi" w:eastAsiaTheme="majorEastAsia" w:hAnsiTheme="majorHAnsi" w:cstheme="majorHAnsi"/>
          <w:bCs/>
        </w:rPr>
        <w:t>Unit</w:t>
      </w:r>
      <w:r w:rsidRPr="00063AC8">
        <w:rPr>
          <w:rFonts w:asciiTheme="majorHAnsi" w:eastAsiaTheme="majorEastAsia" w:hAnsiTheme="majorHAnsi" w:cstheme="majorHAnsi"/>
          <w:bCs/>
        </w:rPr>
        <w:t xml:space="preserve"> </w:t>
      </w:r>
      <w:r>
        <w:rPr>
          <w:rFonts w:asciiTheme="majorHAnsi" w:eastAsiaTheme="majorEastAsia" w:hAnsiTheme="majorHAnsi" w:cstheme="majorHAnsi"/>
          <w:bCs/>
        </w:rPr>
        <w:t>Rental</w:t>
      </w:r>
      <w:r w:rsidRPr="00063AC8">
        <w:rPr>
          <w:rFonts w:asciiTheme="majorHAnsi" w:eastAsiaTheme="majorEastAsia" w:hAnsiTheme="majorHAnsi" w:cstheme="majorHAnsi"/>
          <w:bCs/>
        </w:rPr>
        <w:t xml:space="preserve"> Index</w:t>
      </w:r>
    </w:p>
    <w:tbl>
      <w:tblPr>
        <w:tblW w:w="5000" w:type="pct"/>
        <w:jc w:val="center"/>
        <w:tblBorders>
          <w:top w:val="double" w:sz="4" w:space="0" w:color="auto"/>
          <w:bottom w:val="double" w:sz="4" w:space="0" w:color="auto"/>
        </w:tblBorders>
        <w:tblCellMar>
          <w:left w:w="28" w:type="dxa"/>
          <w:right w:w="28" w:type="dxa"/>
        </w:tblCellMar>
        <w:tblLook w:val="04A0" w:firstRow="1" w:lastRow="0" w:firstColumn="1" w:lastColumn="0" w:noHBand="0" w:noVBand="1"/>
      </w:tblPr>
      <w:tblGrid>
        <w:gridCol w:w="979"/>
        <w:gridCol w:w="1290"/>
        <w:gridCol w:w="2228"/>
        <w:gridCol w:w="1492"/>
        <w:gridCol w:w="1985"/>
        <w:gridCol w:w="1664"/>
      </w:tblGrid>
      <w:tr w:rsidR="00BF179D" w:rsidRPr="00063AC8" w14:paraId="5BBA3926" w14:textId="77777777" w:rsidTr="00E6135C">
        <w:trPr>
          <w:trHeight w:val="20"/>
          <w:jc w:val="center"/>
        </w:trPr>
        <w:tc>
          <w:tcPr>
            <w:tcW w:w="508" w:type="pct"/>
            <w:tcBorders>
              <w:top w:val="double" w:sz="4" w:space="0" w:color="auto"/>
              <w:bottom w:val="single" w:sz="4" w:space="0" w:color="auto"/>
              <w:right w:val="single" w:sz="4" w:space="0" w:color="auto"/>
            </w:tcBorders>
            <w:shd w:val="clear" w:color="auto" w:fill="auto"/>
            <w:vAlign w:val="center"/>
            <w:hideMark/>
          </w:tcPr>
          <w:p w14:paraId="1FA83CA7"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p>
        </w:tc>
        <w:tc>
          <w:tcPr>
            <w:tcW w:w="669" w:type="pct"/>
            <w:tcBorders>
              <w:top w:val="double" w:sz="4" w:space="0" w:color="auto"/>
              <w:left w:val="single" w:sz="4" w:space="0" w:color="auto"/>
              <w:bottom w:val="single" w:sz="4" w:space="0" w:color="auto"/>
            </w:tcBorders>
            <w:shd w:val="clear" w:color="auto" w:fill="auto"/>
            <w:vAlign w:val="center"/>
            <w:hideMark/>
          </w:tcPr>
          <w:p w14:paraId="142B9FEC"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VIC</w:t>
            </w:r>
          </w:p>
        </w:tc>
        <w:tc>
          <w:tcPr>
            <w:tcW w:w="1156" w:type="pct"/>
            <w:tcBorders>
              <w:top w:val="double" w:sz="4" w:space="0" w:color="auto"/>
              <w:bottom w:val="single" w:sz="4" w:space="0" w:color="auto"/>
            </w:tcBorders>
            <w:shd w:val="clear" w:color="auto" w:fill="auto"/>
            <w:vAlign w:val="center"/>
            <w:hideMark/>
          </w:tcPr>
          <w:p w14:paraId="68A2DE9F"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GreaterMelbourne</w:t>
            </w:r>
          </w:p>
        </w:tc>
        <w:tc>
          <w:tcPr>
            <w:tcW w:w="774" w:type="pct"/>
            <w:tcBorders>
              <w:top w:val="double" w:sz="4" w:space="0" w:color="auto"/>
              <w:bottom w:val="single" w:sz="4" w:space="0" w:color="auto"/>
            </w:tcBorders>
            <w:shd w:val="clear" w:color="auto" w:fill="auto"/>
            <w:vAlign w:val="center"/>
            <w:hideMark/>
          </w:tcPr>
          <w:p w14:paraId="4B437B50"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RegionalVIC</w:t>
            </w:r>
          </w:p>
        </w:tc>
        <w:tc>
          <w:tcPr>
            <w:tcW w:w="1030" w:type="pct"/>
            <w:tcBorders>
              <w:top w:val="double" w:sz="4" w:space="0" w:color="auto"/>
              <w:bottom w:val="single" w:sz="4" w:space="0" w:color="auto"/>
            </w:tcBorders>
            <w:shd w:val="clear" w:color="auto" w:fill="auto"/>
            <w:vAlign w:val="center"/>
            <w:hideMark/>
          </w:tcPr>
          <w:p w14:paraId="76DE8812"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GreaterGeelong</w:t>
            </w:r>
          </w:p>
        </w:tc>
        <w:tc>
          <w:tcPr>
            <w:tcW w:w="863" w:type="pct"/>
            <w:tcBorders>
              <w:top w:val="double" w:sz="4" w:space="0" w:color="auto"/>
              <w:bottom w:val="single" w:sz="4" w:space="0" w:color="auto"/>
            </w:tcBorders>
            <w:shd w:val="clear" w:color="auto" w:fill="auto"/>
            <w:vAlign w:val="center"/>
            <w:hideMark/>
          </w:tcPr>
          <w:p w14:paraId="52171CD7" w14:textId="77777777" w:rsidR="00BF179D" w:rsidRPr="0038611F" w:rsidRDefault="00BF179D" w:rsidP="00E6135C">
            <w:pPr>
              <w:widowControl w:val="0"/>
              <w:autoSpaceDE w:val="0"/>
              <w:autoSpaceDN w:val="0"/>
              <w:adjustRightInd w:val="0"/>
              <w:spacing w:after="0" w:line="276" w:lineRule="auto"/>
              <w:jc w:val="center"/>
              <w:rPr>
                <w:rFonts w:asciiTheme="majorHAnsi" w:hAnsiTheme="majorHAnsi" w:cstheme="majorHAnsi"/>
                <w:sz w:val="20"/>
                <w:szCs w:val="20"/>
              </w:rPr>
            </w:pPr>
            <w:r w:rsidRPr="0038611F">
              <w:rPr>
                <w:rFonts w:asciiTheme="majorHAnsi" w:hAnsiTheme="majorHAnsi" w:cstheme="majorHAnsi"/>
                <w:sz w:val="20"/>
                <w:szCs w:val="20"/>
              </w:rPr>
              <w:t>FocalSuburbs</w:t>
            </w:r>
          </w:p>
        </w:tc>
      </w:tr>
      <w:tr w:rsidR="00BF179D" w:rsidRPr="00063AC8" w14:paraId="5069B52E" w14:textId="77777777" w:rsidTr="00E6135C">
        <w:trPr>
          <w:trHeight w:val="20"/>
          <w:jc w:val="center"/>
        </w:trPr>
        <w:tc>
          <w:tcPr>
            <w:tcW w:w="508" w:type="pct"/>
            <w:tcBorders>
              <w:top w:val="single" w:sz="4" w:space="0" w:color="auto"/>
              <w:right w:val="single" w:sz="4" w:space="0" w:color="auto"/>
            </w:tcBorders>
            <w:shd w:val="clear" w:color="auto" w:fill="auto"/>
            <w:vAlign w:val="center"/>
            <w:hideMark/>
          </w:tcPr>
          <w:p w14:paraId="122F46D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201501</w:t>
            </w:r>
          </w:p>
        </w:tc>
        <w:tc>
          <w:tcPr>
            <w:tcW w:w="669" w:type="pct"/>
            <w:tcBorders>
              <w:top w:val="single" w:sz="4" w:space="0" w:color="auto"/>
              <w:left w:val="single" w:sz="4" w:space="0" w:color="auto"/>
            </w:tcBorders>
            <w:shd w:val="clear" w:color="auto" w:fill="auto"/>
            <w:noWrap/>
            <w:hideMark/>
          </w:tcPr>
          <w:p w14:paraId="3ABE60E1" w14:textId="3976E48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c>
          <w:tcPr>
            <w:tcW w:w="1156" w:type="pct"/>
            <w:tcBorders>
              <w:top w:val="single" w:sz="4" w:space="0" w:color="auto"/>
            </w:tcBorders>
            <w:shd w:val="clear" w:color="auto" w:fill="auto"/>
            <w:noWrap/>
            <w:hideMark/>
          </w:tcPr>
          <w:p w14:paraId="3497745A" w14:textId="785DDD5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c>
          <w:tcPr>
            <w:tcW w:w="774" w:type="pct"/>
            <w:tcBorders>
              <w:top w:val="single" w:sz="4" w:space="0" w:color="auto"/>
            </w:tcBorders>
            <w:shd w:val="clear" w:color="auto" w:fill="auto"/>
            <w:noWrap/>
            <w:hideMark/>
          </w:tcPr>
          <w:p w14:paraId="315767A7" w14:textId="674192E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c>
          <w:tcPr>
            <w:tcW w:w="1030" w:type="pct"/>
            <w:tcBorders>
              <w:top w:val="single" w:sz="4" w:space="0" w:color="auto"/>
            </w:tcBorders>
            <w:shd w:val="clear" w:color="auto" w:fill="auto"/>
            <w:noWrap/>
            <w:hideMark/>
          </w:tcPr>
          <w:p w14:paraId="01304C09" w14:textId="1A7BBBC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c>
          <w:tcPr>
            <w:tcW w:w="863" w:type="pct"/>
            <w:tcBorders>
              <w:top w:val="single" w:sz="4" w:space="0" w:color="auto"/>
            </w:tcBorders>
            <w:shd w:val="clear" w:color="auto" w:fill="auto"/>
            <w:noWrap/>
            <w:hideMark/>
          </w:tcPr>
          <w:p w14:paraId="34E1AAFE" w14:textId="089A1D6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w:t>
            </w:r>
          </w:p>
        </w:tc>
      </w:tr>
      <w:tr w:rsidR="00BF179D" w:rsidRPr="00063AC8" w14:paraId="224981E5" w14:textId="77777777" w:rsidTr="00E6135C">
        <w:trPr>
          <w:trHeight w:val="20"/>
          <w:jc w:val="center"/>
        </w:trPr>
        <w:tc>
          <w:tcPr>
            <w:tcW w:w="508" w:type="pct"/>
            <w:tcBorders>
              <w:right w:val="single" w:sz="4" w:space="0" w:color="auto"/>
            </w:tcBorders>
            <w:shd w:val="clear" w:color="auto" w:fill="auto"/>
            <w:vAlign w:val="center"/>
            <w:hideMark/>
          </w:tcPr>
          <w:p w14:paraId="0258821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201502</w:t>
            </w:r>
          </w:p>
        </w:tc>
        <w:tc>
          <w:tcPr>
            <w:tcW w:w="669" w:type="pct"/>
            <w:tcBorders>
              <w:left w:val="single" w:sz="4" w:space="0" w:color="auto"/>
            </w:tcBorders>
            <w:shd w:val="clear" w:color="auto" w:fill="auto"/>
            <w:noWrap/>
            <w:hideMark/>
          </w:tcPr>
          <w:p w14:paraId="1882619A" w14:textId="254E697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98.7664</w:t>
            </w:r>
          </w:p>
        </w:tc>
        <w:tc>
          <w:tcPr>
            <w:tcW w:w="1156" w:type="pct"/>
            <w:shd w:val="clear" w:color="auto" w:fill="auto"/>
            <w:noWrap/>
            <w:hideMark/>
          </w:tcPr>
          <w:p w14:paraId="5CE716DB" w14:textId="1C04C4B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98.6306</w:t>
            </w:r>
          </w:p>
        </w:tc>
        <w:tc>
          <w:tcPr>
            <w:tcW w:w="774" w:type="pct"/>
            <w:shd w:val="clear" w:color="auto" w:fill="auto"/>
            <w:noWrap/>
            <w:hideMark/>
          </w:tcPr>
          <w:p w14:paraId="2864AC19" w14:textId="4500849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100.6258</w:t>
            </w:r>
          </w:p>
        </w:tc>
        <w:tc>
          <w:tcPr>
            <w:tcW w:w="1030" w:type="pct"/>
            <w:shd w:val="clear" w:color="auto" w:fill="auto"/>
            <w:noWrap/>
            <w:hideMark/>
          </w:tcPr>
          <w:p w14:paraId="392AFB12" w14:textId="6F3219F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100.706</w:t>
            </w:r>
          </w:p>
        </w:tc>
        <w:tc>
          <w:tcPr>
            <w:tcW w:w="863" w:type="pct"/>
            <w:shd w:val="clear" w:color="auto" w:fill="auto"/>
            <w:noWrap/>
            <w:hideMark/>
          </w:tcPr>
          <w:p w14:paraId="40EEC006" w14:textId="5A649CE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101.578</w:t>
            </w:r>
          </w:p>
        </w:tc>
      </w:tr>
      <w:tr w:rsidR="00BF179D" w:rsidRPr="00063AC8" w14:paraId="0BEAB1CE" w14:textId="77777777" w:rsidTr="00E6135C">
        <w:trPr>
          <w:trHeight w:val="20"/>
          <w:jc w:val="center"/>
        </w:trPr>
        <w:tc>
          <w:tcPr>
            <w:tcW w:w="508" w:type="pct"/>
            <w:tcBorders>
              <w:right w:val="single" w:sz="4" w:space="0" w:color="auto"/>
            </w:tcBorders>
            <w:shd w:val="clear" w:color="auto" w:fill="auto"/>
            <w:vAlign w:val="center"/>
            <w:hideMark/>
          </w:tcPr>
          <w:p w14:paraId="7908EE4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201503</w:t>
            </w:r>
          </w:p>
        </w:tc>
        <w:tc>
          <w:tcPr>
            <w:tcW w:w="669" w:type="pct"/>
            <w:tcBorders>
              <w:left w:val="single" w:sz="4" w:space="0" w:color="auto"/>
            </w:tcBorders>
            <w:shd w:val="clear" w:color="auto" w:fill="auto"/>
            <w:noWrap/>
            <w:hideMark/>
          </w:tcPr>
          <w:p w14:paraId="66A91910" w14:textId="2618166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99.182</w:t>
            </w:r>
          </w:p>
        </w:tc>
        <w:tc>
          <w:tcPr>
            <w:tcW w:w="1156" w:type="pct"/>
            <w:shd w:val="clear" w:color="auto" w:fill="auto"/>
            <w:noWrap/>
            <w:hideMark/>
          </w:tcPr>
          <w:p w14:paraId="003378EC" w14:textId="20F0018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99.08217</w:t>
            </w:r>
          </w:p>
        </w:tc>
        <w:tc>
          <w:tcPr>
            <w:tcW w:w="774" w:type="pct"/>
            <w:shd w:val="clear" w:color="auto" w:fill="auto"/>
            <w:noWrap/>
            <w:hideMark/>
          </w:tcPr>
          <w:p w14:paraId="51B29DBF" w14:textId="23BBD47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100.671</w:t>
            </w:r>
          </w:p>
        </w:tc>
        <w:tc>
          <w:tcPr>
            <w:tcW w:w="1030" w:type="pct"/>
            <w:shd w:val="clear" w:color="auto" w:fill="auto"/>
            <w:noWrap/>
            <w:hideMark/>
          </w:tcPr>
          <w:p w14:paraId="4C5A8214" w14:textId="5CA49B8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100.51</w:t>
            </w:r>
          </w:p>
        </w:tc>
        <w:tc>
          <w:tcPr>
            <w:tcW w:w="863" w:type="pct"/>
            <w:shd w:val="clear" w:color="auto" w:fill="auto"/>
            <w:noWrap/>
            <w:hideMark/>
          </w:tcPr>
          <w:p w14:paraId="473D0B63" w14:textId="585EE86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102.4</w:t>
            </w:r>
          </w:p>
        </w:tc>
      </w:tr>
      <w:tr w:rsidR="00BF179D" w:rsidRPr="00063AC8" w14:paraId="5F951B3A" w14:textId="77777777" w:rsidTr="00E6135C">
        <w:trPr>
          <w:trHeight w:val="20"/>
          <w:jc w:val="center"/>
        </w:trPr>
        <w:tc>
          <w:tcPr>
            <w:tcW w:w="508" w:type="pct"/>
            <w:tcBorders>
              <w:right w:val="single" w:sz="4" w:space="0" w:color="auto"/>
            </w:tcBorders>
            <w:shd w:val="clear" w:color="auto" w:fill="auto"/>
            <w:vAlign w:val="center"/>
            <w:hideMark/>
          </w:tcPr>
          <w:p w14:paraId="45B3E156"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201504</w:t>
            </w:r>
          </w:p>
        </w:tc>
        <w:tc>
          <w:tcPr>
            <w:tcW w:w="669" w:type="pct"/>
            <w:tcBorders>
              <w:left w:val="single" w:sz="4" w:space="0" w:color="auto"/>
            </w:tcBorders>
            <w:shd w:val="clear" w:color="auto" w:fill="auto"/>
            <w:noWrap/>
            <w:hideMark/>
          </w:tcPr>
          <w:p w14:paraId="20D86E3F" w14:textId="37F5E97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99.49743</w:t>
            </w:r>
          </w:p>
        </w:tc>
        <w:tc>
          <w:tcPr>
            <w:tcW w:w="1156" w:type="pct"/>
            <w:shd w:val="clear" w:color="auto" w:fill="auto"/>
            <w:noWrap/>
            <w:hideMark/>
          </w:tcPr>
          <w:p w14:paraId="2A0A1DBC" w14:textId="76F21B8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99.43043</w:t>
            </w:r>
          </w:p>
        </w:tc>
        <w:tc>
          <w:tcPr>
            <w:tcW w:w="774" w:type="pct"/>
            <w:shd w:val="clear" w:color="auto" w:fill="auto"/>
            <w:noWrap/>
            <w:hideMark/>
          </w:tcPr>
          <w:p w14:paraId="61238DA3" w14:textId="0F8E2B9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100.6941</w:t>
            </w:r>
          </w:p>
        </w:tc>
        <w:tc>
          <w:tcPr>
            <w:tcW w:w="1030" w:type="pct"/>
            <w:shd w:val="clear" w:color="auto" w:fill="auto"/>
            <w:noWrap/>
            <w:hideMark/>
          </w:tcPr>
          <w:p w14:paraId="2BFD85FA" w14:textId="5E3D102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100.6143</w:t>
            </w:r>
          </w:p>
        </w:tc>
        <w:tc>
          <w:tcPr>
            <w:tcW w:w="863" w:type="pct"/>
            <w:shd w:val="clear" w:color="auto" w:fill="auto"/>
            <w:noWrap/>
            <w:hideMark/>
          </w:tcPr>
          <w:p w14:paraId="3809808B" w14:textId="15D4D93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103.1943</w:t>
            </w:r>
          </w:p>
        </w:tc>
      </w:tr>
      <w:tr w:rsidR="00BF179D" w:rsidRPr="00063AC8" w14:paraId="776A4415" w14:textId="77777777" w:rsidTr="00E6135C">
        <w:trPr>
          <w:trHeight w:val="20"/>
          <w:jc w:val="center"/>
        </w:trPr>
        <w:tc>
          <w:tcPr>
            <w:tcW w:w="508" w:type="pct"/>
            <w:tcBorders>
              <w:right w:val="single" w:sz="4" w:space="0" w:color="auto"/>
            </w:tcBorders>
            <w:shd w:val="clear" w:color="auto" w:fill="auto"/>
            <w:vAlign w:val="center"/>
            <w:hideMark/>
          </w:tcPr>
          <w:p w14:paraId="76426BE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201505</w:t>
            </w:r>
          </w:p>
        </w:tc>
        <w:tc>
          <w:tcPr>
            <w:tcW w:w="669" w:type="pct"/>
            <w:tcBorders>
              <w:left w:val="single" w:sz="4" w:space="0" w:color="auto"/>
            </w:tcBorders>
            <w:shd w:val="clear" w:color="auto" w:fill="auto"/>
            <w:noWrap/>
            <w:hideMark/>
          </w:tcPr>
          <w:p w14:paraId="6D31F247" w14:textId="43C6982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99.70314</w:t>
            </w:r>
          </w:p>
        </w:tc>
        <w:tc>
          <w:tcPr>
            <w:tcW w:w="1156" w:type="pct"/>
            <w:shd w:val="clear" w:color="auto" w:fill="auto"/>
            <w:noWrap/>
            <w:hideMark/>
          </w:tcPr>
          <w:p w14:paraId="30286FBA" w14:textId="4942716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99.66186</w:t>
            </w:r>
          </w:p>
        </w:tc>
        <w:tc>
          <w:tcPr>
            <w:tcW w:w="774" w:type="pct"/>
            <w:shd w:val="clear" w:color="auto" w:fill="auto"/>
            <w:noWrap/>
            <w:hideMark/>
          </w:tcPr>
          <w:p w14:paraId="1A52F5A2" w14:textId="01F4626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100.7821</w:t>
            </w:r>
          </w:p>
        </w:tc>
        <w:tc>
          <w:tcPr>
            <w:tcW w:w="1030" w:type="pct"/>
            <w:shd w:val="clear" w:color="auto" w:fill="auto"/>
            <w:noWrap/>
            <w:hideMark/>
          </w:tcPr>
          <w:p w14:paraId="7BA61121" w14:textId="4286AF6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100.05</w:t>
            </w:r>
          </w:p>
        </w:tc>
        <w:tc>
          <w:tcPr>
            <w:tcW w:w="863" w:type="pct"/>
            <w:shd w:val="clear" w:color="auto" w:fill="auto"/>
            <w:noWrap/>
            <w:hideMark/>
          </w:tcPr>
          <w:p w14:paraId="2CEC118E" w14:textId="69AE966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104.5343</w:t>
            </w:r>
          </w:p>
        </w:tc>
      </w:tr>
      <w:tr w:rsidR="00BF179D" w:rsidRPr="00063AC8" w14:paraId="28E90809" w14:textId="77777777" w:rsidTr="00E6135C">
        <w:trPr>
          <w:trHeight w:val="20"/>
          <w:jc w:val="center"/>
        </w:trPr>
        <w:tc>
          <w:tcPr>
            <w:tcW w:w="508" w:type="pct"/>
            <w:tcBorders>
              <w:right w:val="single" w:sz="4" w:space="0" w:color="auto"/>
            </w:tcBorders>
            <w:shd w:val="clear" w:color="auto" w:fill="auto"/>
            <w:vAlign w:val="center"/>
            <w:hideMark/>
          </w:tcPr>
          <w:p w14:paraId="42C2CF1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201506</w:t>
            </w:r>
          </w:p>
        </w:tc>
        <w:tc>
          <w:tcPr>
            <w:tcW w:w="669" w:type="pct"/>
            <w:tcBorders>
              <w:left w:val="single" w:sz="4" w:space="0" w:color="auto"/>
            </w:tcBorders>
            <w:shd w:val="clear" w:color="auto" w:fill="auto"/>
            <w:noWrap/>
            <w:hideMark/>
          </w:tcPr>
          <w:p w14:paraId="4690848B" w14:textId="50386EE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99.82743</w:t>
            </w:r>
          </w:p>
        </w:tc>
        <w:tc>
          <w:tcPr>
            <w:tcW w:w="1156" w:type="pct"/>
            <w:shd w:val="clear" w:color="auto" w:fill="auto"/>
            <w:noWrap/>
            <w:hideMark/>
          </w:tcPr>
          <w:p w14:paraId="3139AFC0" w14:textId="3A0771A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99.81557</w:t>
            </w:r>
          </w:p>
        </w:tc>
        <w:tc>
          <w:tcPr>
            <w:tcW w:w="774" w:type="pct"/>
            <w:shd w:val="clear" w:color="auto" w:fill="auto"/>
            <w:noWrap/>
            <w:hideMark/>
          </w:tcPr>
          <w:p w14:paraId="0D1817C5" w14:textId="77DCBE1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100.807</w:t>
            </w:r>
          </w:p>
        </w:tc>
        <w:tc>
          <w:tcPr>
            <w:tcW w:w="1030" w:type="pct"/>
            <w:shd w:val="clear" w:color="auto" w:fill="auto"/>
            <w:noWrap/>
            <w:hideMark/>
          </w:tcPr>
          <w:p w14:paraId="70548AD3" w14:textId="0ED0EDA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99.87286</w:t>
            </w:r>
          </w:p>
        </w:tc>
        <w:tc>
          <w:tcPr>
            <w:tcW w:w="863" w:type="pct"/>
            <w:shd w:val="clear" w:color="auto" w:fill="auto"/>
            <w:noWrap/>
            <w:hideMark/>
          </w:tcPr>
          <w:p w14:paraId="765EAB92" w14:textId="5F81376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106.5843</w:t>
            </w:r>
          </w:p>
        </w:tc>
      </w:tr>
      <w:tr w:rsidR="00BF179D" w:rsidRPr="00063AC8" w14:paraId="22963486" w14:textId="77777777" w:rsidTr="00E6135C">
        <w:trPr>
          <w:trHeight w:val="20"/>
          <w:jc w:val="center"/>
        </w:trPr>
        <w:tc>
          <w:tcPr>
            <w:tcW w:w="508" w:type="pct"/>
            <w:tcBorders>
              <w:right w:val="single" w:sz="4" w:space="0" w:color="auto"/>
            </w:tcBorders>
            <w:shd w:val="clear" w:color="auto" w:fill="auto"/>
            <w:vAlign w:val="center"/>
            <w:hideMark/>
          </w:tcPr>
          <w:p w14:paraId="0EE60ED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201507</w:t>
            </w:r>
          </w:p>
        </w:tc>
        <w:tc>
          <w:tcPr>
            <w:tcW w:w="669" w:type="pct"/>
            <w:tcBorders>
              <w:left w:val="single" w:sz="4" w:space="0" w:color="auto"/>
            </w:tcBorders>
            <w:shd w:val="clear" w:color="auto" w:fill="auto"/>
            <w:noWrap/>
            <w:hideMark/>
          </w:tcPr>
          <w:p w14:paraId="2AD3680E" w14:textId="3BD6B92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99.823</w:t>
            </w:r>
          </w:p>
        </w:tc>
        <w:tc>
          <w:tcPr>
            <w:tcW w:w="1156" w:type="pct"/>
            <w:shd w:val="clear" w:color="auto" w:fill="auto"/>
            <w:noWrap/>
            <w:hideMark/>
          </w:tcPr>
          <w:p w14:paraId="0B4BABCB" w14:textId="2FA98A9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99.78643</w:t>
            </w:r>
          </w:p>
        </w:tc>
        <w:tc>
          <w:tcPr>
            <w:tcW w:w="774" w:type="pct"/>
            <w:shd w:val="clear" w:color="auto" w:fill="auto"/>
            <w:noWrap/>
            <w:hideMark/>
          </w:tcPr>
          <w:p w14:paraId="710A41E4" w14:textId="67A23FB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100.895</w:t>
            </w:r>
          </w:p>
        </w:tc>
        <w:tc>
          <w:tcPr>
            <w:tcW w:w="1030" w:type="pct"/>
            <w:shd w:val="clear" w:color="auto" w:fill="auto"/>
            <w:noWrap/>
            <w:hideMark/>
          </w:tcPr>
          <w:p w14:paraId="318EBC0B" w14:textId="0E3DD3A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99.68429</w:t>
            </w:r>
          </w:p>
        </w:tc>
        <w:tc>
          <w:tcPr>
            <w:tcW w:w="863" w:type="pct"/>
            <w:shd w:val="clear" w:color="auto" w:fill="auto"/>
            <w:noWrap/>
            <w:hideMark/>
          </w:tcPr>
          <w:p w14:paraId="4BD0C158" w14:textId="3C0E937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106.1886</w:t>
            </w:r>
          </w:p>
        </w:tc>
      </w:tr>
      <w:tr w:rsidR="00BF179D" w:rsidRPr="00063AC8" w14:paraId="3CEFDA51" w14:textId="77777777" w:rsidTr="00E6135C">
        <w:trPr>
          <w:trHeight w:val="20"/>
          <w:jc w:val="center"/>
        </w:trPr>
        <w:tc>
          <w:tcPr>
            <w:tcW w:w="508" w:type="pct"/>
            <w:tcBorders>
              <w:right w:val="single" w:sz="4" w:space="0" w:color="auto"/>
            </w:tcBorders>
            <w:shd w:val="clear" w:color="auto" w:fill="auto"/>
            <w:vAlign w:val="center"/>
            <w:hideMark/>
          </w:tcPr>
          <w:p w14:paraId="7769AD3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201508</w:t>
            </w:r>
          </w:p>
        </w:tc>
        <w:tc>
          <w:tcPr>
            <w:tcW w:w="669" w:type="pct"/>
            <w:tcBorders>
              <w:left w:val="single" w:sz="4" w:space="0" w:color="auto"/>
            </w:tcBorders>
            <w:shd w:val="clear" w:color="auto" w:fill="auto"/>
            <w:noWrap/>
            <w:hideMark/>
          </w:tcPr>
          <w:p w14:paraId="2C268A65" w14:textId="097DC22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99.73428</w:t>
            </w:r>
          </w:p>
        </w:tc>
        <w:tc>
          <w:tcPr>
            <w:tcW w:w="1156" w:type="pct"/>
            <w:shd w:val="clear" w:color="auto" w:fill="auto"/>
            <w:noWrap/>
            <w:hideMark/>
          </w:tcPr>
          <w:p w14:paraId="5D980ABF" w14:textId="210CCD0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99.681</w:t>
            </w:r>
          </w:p>
        </w:tc>
        <w:tc>
          <w:tcPr>
            <w:tcW w:w="774" w:type="pct"/>
            <w:shd w:val="clear" w:color="auto" w:fill="auto"/>
            <w:noWrap/>
            <w:hideMark/>
          </w:tcPr>
          <w:p w14:paraId="2CE13B39" w14:textId="74A1C28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100.9359</w:t>
            </w:r>
          </w:p>
        </w:tc>
        <w:tc>
          <w:tcPr>
            <w:tcW w:w="1030" w:type="pct"/>
            <w:shd w:val="clear" w:color="auto" w:fill="auto"/>
            <w:noWrap/>
            <w:hideMark/>
          </w:tcPr>
          <w:p w14:paraId="57A9BA85" w14:textId="03CF380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99.81286</w:t>
            </w:r>
          </w:p>
        </w:tc>
        <w:tc>
          <w:tcPr>
            <w:tcW w:w="863" w:type="pct"/>
            <w:shd w:val="clear" w:color="auto" w:fill="auto"/>
            <w:noWrap/>
            <w:hideMark/>
          </w:tcPr>
          <w:p w14:paraId="25655EBA" w14:textId="1924564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106.8057</w:t>
            </w:r>
          </w:p>
        </w:tc>
      </w:tr>
      <w:tr w:rsidR="00BF179D" w:rsidRPr="00063AC8" w14:paraId="74E4F93F" w14:textId="77777777" w:rsidTr="00E6135C">
        <w:trPr>
          <w:trHeight w:val="20"/>
          <w:jc w:val="center"/>
        </w:trPr>
        <w:tc>
          <w:tcPr>
            <w:tcW w:w="508" w:type="pct"/>
            <w:tcBorders>
              <w:right w:val="single" w:sz="4" w:space="0" w:color="auto"/>
            </w:tcBorders>
            <w:shd w:val="clear" w:color="auto" w:fill="auto"/>
            <w:vAlign w:val="center"/>
            <w:hideMark/>
          </w:tcPr>
          <w:p w14:paraId="5897199C"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201509</w:t>
            </w:r>
          </w:p>
        </w:tc>
        <w:tc>
          <w:tcPr>
            <w:tcW w:w="669" w:type="pct"/>
            <w:tcBorders>
              <w:left w:val="single" w:sz="4" w:space="0" w:color="auto"/>
            </w:tcBorders>
            <w:shd w:val="clear" w:color="auto" w:fill="auto"/>
            <w:noWrap/>
            <w:hideMark/>
          </w:tcPr>
          <w:p w14:paraId="37BE5AC0" w14:textId="10B86D9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100.8534</w:t>
            </w:r>
          </w:p>
        </w:tc>
        <w:tc>
          <w:tcPr>
            <w:tcW w:w="1156" w:type="pct"/>
            <w:shd w:val="clear" w:color="auto" w:fill="auto"/>
            <w:noWrap/>
            <w:hideMark/>
          </w:tcPr>
          <w:p w14:paraId="1CAC52DE" w14:textId="75B308A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100.8766</w:t>
            </w:r>
          </w:p>
        </w:tc>
        <w:tc>
          <w:tcPr>
            <w:tcW w:w="774" w:type="pct"/>
            <w:shd w:val="clear" w:color="auto" w:fill="auto"/>
            <w:noWrap/>
            <w:hideMark/>
          </w:tcPr>
          <w:p w14:paraId="19F3BD55" w14:textId="448850C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100.9344</w:t>
            </w:r>
          </w:p>
        </w:tc>
        <w:tc>
          <w:tcPr>
            <w:tcW w:w="1030" w:type="pct"/>
            <w:shd w:val="clear" w:color="auto" w:fill="auto"/>
            <w:noWrap/>
            <w:hideMark/>
          </w:tcPr>
          <w:p w14:paraId="36B31F93" w14:textId="2117CE5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100.2657</w:t>
            </w:r>
          </w:p>
        </w:tc>
        <w:tc>
          <w:tcPr>
            <w:tcW w:w="863" w:type="pct"/>
            <w:shd w:val="clear" w:color="auto" w:fill="auto"/>
            <w:noWrap/>
            <w:hideMark/>
          </w:tcPr>
          <w:p w14:paraId="10CF1F00" w14:textId="6DACF94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107.58</w:t>
            </w:r>
          </w:p>
        </w:tc>
      </w:tr>
      <w:tr w:rsidR="00BF179D" w:rsidRPr="00063AC8" w14:paraId="01724C7B" w14:textId="77777777" w:rsidTr="00E6135C">
        <w:trPr>
          <w:trHeight w:val="20"/>
          <w:jc w:val="center"/>
        </w:trPr>
        <w:tc>
          <w:tcPr>
            <w:tcW w:w="508" w:type="pct"/>
            <w:tcBorders>
              <w:right w:val="single" w:sz="4" w:space="0" w:color="auto"/>
            </w:tcBorders>
            <w:shd w:val="clear" w:color="auto" w:fill="auto"/>
            <w:vAlign w:val="center"/>
            <w:hideMark/>
          </w:tcPr>
          <w:p w14:paraId="0F3AD336"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201510</w:t>
            </w:r>
          </w:p>
        </w:tc>
        <w:tc>
          <w:tcPr>
            <w:tcW w:w="669" w:type="pct"/>
            <w:tcBorders>
              <w:left w:val="single" w:sz="4" w:space="0" w:color="auto"/>
            </w:tcBorders>
            <w:shd w:val="clear" w:color="auto" w:fill="auto"/>
            <w:noWrap/>
            <w:hideMark/>
          </w:tcPr>
          <w:p w14:paraId="5EC572B1" w14:textId="75C9076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100.8863</w:t>
            </w:r>
          </w:p>
        </w:tc>
        <w:tc>
          <w:tcPr>
            <w:tcW w:w="1156" w:type="pct"/>
            <w:shd w:val="clear" w:color="auto" w:fill="auto"/>
            <w:noWrap/>
            <w:hideMark/>
          </w:tcPr>
          <w:p w14:paraId="57CDD35B" w14:textId="71471E0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100.8837</w:t>
            </w:r>
          </w:p>
        </w:tc>
        <w:tc>
          <w:tcPr>
            <w:tcW w:w="774" w:type="pct"/>
            <w:shd w:val="clear" w:color="auto" w:fill="auto"/>
            <w:noWrap/>
            <w:hideMark/>
          </w:tcPr>
          <w:p w14:paraId="0E3228D9" w14:textId="6C559CE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101.0949</w:t>
            </w:r>
          </w:p>
        </w:tc>
        <w:tc>
          <w:tcPr>
            <w:tcW w:w="1030" w:type="pct"/>
            <w:shd w:val="clear" w:color="auto" w:fill="auto"/>
            <w:noWrap/>
            <w:hideMark/>
          </w:tcPr>
          <w:p w14:paraId="3555B7B1" w14:textId="26F291D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100.5529</w:t>
            </w:r>
          </w:p>
        </w:tc>
        <w:tc>
          <w:tcPr>
            <w:tcW w:w="863" w:type="pct"/>
            <w:shd w:val="clear" w:color="auto" w:fill="auto"/>
            <w:noWrap/>
            <w:hideMark/>
          </w:tcPr>
          <w:p w14:paraId="3474D73F" w14:textId="6257BA8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107.5071</w:t>
            </w:r>
          </w:p>
        </w:tc>
      </w:tr>
      <w:tr w:rsidR="00BF179D" w:rsidRPr="00063AC8" w14:paraId="34B8679A" w14:textId="77777777" w:rsidTr="00E6135C">
        <w:trPr>
          <w:trHeight w:val="20"/>
          <w:jc w:val="center"/>
        </w:trPr>
        <w:tc>
          <w:tcPr>
            <w:tcW w:w="508" w:type="pct"/>
            <w:tcBorders>
              <w:right w:val="single" w:sz="4" w:space="0" w:color="auto"/>
            </w:tcBorders>
            <w:shd w:val="clear" w:color="auto" w:fill="auto"/>
            <w:vAlign w:val="center"/>
            <w:hideMark/>
          </w:tcPr>
          <w:p w14:paraId="18ECADD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201511</w:t>
            </w:r>
          </w:p>
        </w:tc>
        <w:tc>
          <w:tcPr>
            <w:tcW w:w="669" w:type="pct"/>
            <w:tcBorders>
              <w:left w:val="single" w:sz="4" w:space="0" w:color="auto"/>
            </w:tcBorders>
            <w:shd w:val="clear" w:color="auto" w:fill="auto"/>
            <w:noWrap/>
            <w:hideMark/>
          </w:tcPr>
          <w:p w14:paraId="4AD558C3" w14:textId="153D5DF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101.0649</w:t>
            </w:r>
          </w:p>
        </w:tc>
        <w:tc>
          <w:tcPr>
            <w:tcW w:w="1156" w:type="pct"/>
            <w:shd w:val="clear" w:color="auto" w:fill="auto"/>
            <w:noWrap/>
            <w:hideMark/>
          </w:tcPr>
          <w:p w14:paraId="75BAFF66" w14:textId="1573951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101.0266</w:t>
            </w:r>
          </w:p>
        </w:tc>
        <w:tc>
          <w:tcPr>
            <w:tcW w:w="774" w:type="pct"/>
            <w:shd w:val="clear" w:color="auto" w:fill="auto"/>
            <w:noWrap/>
            <w:hideMark/>
          </w:tcPr>
          <w:p w14:paraId="21E4EA63" w14:textId="19C54BD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101.4216</w:t>
            </w:r>
          </w:p>
        </w:tc>
        <w:tc>
          <w:tcPr>
            <w:tcW w:w="1030" w:type="pct"/>
            <w:shd w:val="clear" w:color="auto" w:fill="auto"/>
            <w:noWrap/>
            <w:hideMark/>
          </w:tcPr>
          <w:p w14:paraId="66009508" w14:textId="65D2855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100.6357</w:t>
            </w:r>
          </w:p>
        </w:tc>
        <w:tc>
          <w:tcPr>
            <w:tcW w:w="863" w:type="pct"/>
            <w:shd w:val="clear" w:color="auto" w:fill="auto"/>
            <w:noWrap/>
            <w:hideMark/>
          </w:tcPr>
          <w:p w14:paraId="3F622F2B" w14:textId="76F4B8C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106.1586</w:t>
            </w:r>
          </w:p>
        </w:tc>
      </w:tr>
      <w:tr w:rsidR="00BF179D" w:rsidRPr="00063AC8" w14:paraId="78AEBFB3" w14:textId="77777777" w:rsidTr="00E6135C">
        <w:trPr>
          <w:trHeight w:val="20"/>
          <w:jc w:val="center"/>
        </w:trPr>
        <w:tc>
          <w:tcPr>
            <w:tcW w:w="508" w:type="pct"/>
            <w:tcBorders>
              <w:right w:val="single" w:sz="4" w:space="0" w:color="auto"/>
            </w:tcBorders>
            <w:shd w:val="clear" w:color="auto" w:fill="auto"/>
            <w:vAlign w:val="center"/>
            <w:hideMark/>
          </w:tcPr>
          <w:p w14:paraId="216B56C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201512</w:t>
            </w:r>
          </w:p>
        </w:tc>
        <w:tc>
          <w:tcPr>
            <w:tcW w:w="669" w:type="pct"/>
            <w:tcBorders>
              <w:left w:val="single" w:sz="4" w:space="0" w:color="auto"/>
            </w:tcBorders>
            <w:shd w:val="clear" w:color="auto" w:fill="auto"/>
            <w:noWrap/>
            <w:hideMark/>
          </w:tcPr>
          <w:p w14:paraId="2DEC4C2F" w14:textId="4D6CBB9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101.3063</w:t>
            </w:r>
          </w:p>
        </w:tc>
        <w:tc>
          <w:tcPr>
            <w:tcW w:w="1156" w:type="pct"/>
            <w:shd w:val="clear" w:color="auto" w:fill="auto"/>
            <w:noWrap/>
            <w:hideMark/>
          </w:tcPr>
          <w:p w14:paraId="5D337CA4" w14:textId="5F419A4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101.2551</w:t>
            </w:r>
          </w:p>
        </w:tc>
        <w:tc>
          <w:tcPr>
            <w:tcW w:w="774" w:type="pct"/>
            <w:shd w:val="clear" w:color="auto" w:fill="auto"/>
            <w:noWrap/>
            <w:hideMark/>
          </w:tcPr>
          <w:p w14:paraId="1B418A0E" w14:textId="3A0ED51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101.7293</w:t>
            </w:r>
          </w:p>
        </w:tc>
        <w:tc>
          <w:tcPr>
            <w:tcW w:w="1030" w:type="pct"/>
            <w:shd w:val="clear" w:color="auto" w:fill="auto"/>
            <w:noWrap/>
            <w:hideMark/>
          </w:tcPr>
          <w:p w14:paraId="3C59F2D5" w14:textId="52F3FD6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101.5671</w:t>
            </w:r>
          </w:p>
        </w:tc>
        <w:tc>
          <w:tcPr>
            <w:tcW w:w="863" w:type="pct"/>
            <w:shd w:val="clear" w:color="auto" w:fill="auto"/>
            <w:noWrap/>
            <w:hideMark/>
          </w:tcPr>
          <w:p w14:paraId="61C5B49C" w14:textId="1033F1B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105.4314</w:t>
            </w:r>
          </w:p>
        </w:tc>
      </w:tr>
      <w:tr w:rsidR="00BF179D" w:rsidRPr="00063AC8" w14:paraId="0C341AFF" w14:textId="77777777" w:rsidTr="00E6135C">
        <w:trPr>
          <w:trHeight w:val="20"/>
          <w:jc w:val="center"/>
        </w:trPr>
        <w:tc>
          <w:tcPr>
            <w:tcW w:w="508" w:type="pct"/>
            <w:tcBorders>
              <w:right w:val="single" w:sz="4" w:space="0" w:color="auto"/>
            </w:tcBorders>
            <w:shd w:val="clear" w:color="auto" w:fill="auto"/>
            <w:vAlign w:val="center"/>
            <w:hideMark/>
          </w:tcPr>
          <w:p w14:paraId="62FD3FF8"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201601</w:t>
            </w:r>
          </w:p>
        </w:tc>
        <w:tc>
          <w:tcPr>
            <w:tcW w:w="669" w:type="pct"/>
            <w:tcBorders>
              <w:left w:val="single" w:sz="4" w:space="0" w:color="auto"/>
            </w:tcBorders>
            <w:shd w:val="clear" w:color="auto" w:fill="auto"/>
            <w:noWrap/>
            <w:hideMark/>
          </w:tcPr>
          <w:p w14:paraId="288BF65F" w14:textId="471DD4D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101.7591</w:t>
            </w:r>
          </w:p>
        </w:tc>
        <w:tc>
          <w:tcPr>
            <w:tcW w:w="1156" w:type="pct"/>
            <w:shd w:val="clear" w:color="auto" w:fill="auto"/>
            <w:noWrap/>
            <w:hideMark/>
          </w:tcPr>
          <w:p w14:paraId="1C7755DC" w14:textId="4D68C6A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101.73</w:t>
            </w:r>
          </w:p>
        </w:tc>
        <w:tc>
          <w:tcPr>
            <w:tcW w:w="774" w:type="pct"/>
            <w:shd w:val="clear" w:color="auto" w:fill="auto"/>
            <w:noWrap/>
            <w:hideMark/>
          </w:tcPr>
          <w:p w14:paraId="29258701" w14:textId="0CB7F5D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102.0881</w:t>
            </w:r>
          </w:p>
        </w:tc>
        <w:tc>
          <w:tcPr>
            <w:tcW w:w="1030" w:type="pct"/>
            <w:shd w:val="clear" w:color="auto" w:fill="auto"/>
            <w:noWrap/>
            <w:hideMark/>
          </w:tcPr>
          <w:p w14:paraId="1FB9000A" w14:textId="30A32C2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102.0071</w:t>
            </w:r>
          </w:p>
        </w:tc>
        <w:tc>
          <w:tcPr>
            <w:tcW w:w="863" w:type="pct"/>
            <w:shd w:val="clear" w:color="auto" w:fill="auto"/>
            <w:noWrap/>
            <w:hideMark/>
          </w:tcPr>
          <w:p w14:paraId="17434ED6" w14:textId="5AB4098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104.77</w:t>
            </w:r>
          </w:p>
        </w:tc>
      </w:tr>
      <w:tr w:rsidR="00BF179D" w:rsidRPr="00063AC8" w14:paraId="24B9FA6F" w14:textId="77777777" w:rsidTr="00E6135C">
        <w:trPr>
          <w:trHeight w:val="20"/>
          <w:jc w:val="center"/>
        </w:trPr>
        <w:tc>
          <w:tcPr>
            <w:tcW w:w="508" w:type="pct"/>
            <w:tcBorders>
              <w:right w:val="single" w:sz="4" w:space="0" w:color="auto"/>
            </w:tcBorders>
            <w:shd w:val="clear" w:color="auto" w:fill="auto"/>
            <w:vAlign w:val="center"/>
            <w:hideMark/>
          </w:tcPr>
          <w:p w14:paraId="45FC656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201602</w:t>
            </w:r>
          </w:p>
        </w:tc>
        <w:tc>
          <w:tcPr>
            <w:tcW w:w="669" w:type="pct"/>
            <w:tcBorders>
              <w:left w:val="single" w:sz="4" w:space="0" w:color="auto"/>
            </w:tcBorders>
            <w:shd w:val="clear" w:color="auto" w:fill="auto"/>
            <w:noWrap/>
            <w:hideMark/>
          </w:tcPr>
          <w:p w14:paraId="7ECB062B" w14:textId="59DA80C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102.1847</w:t>
            </w:r>
          </w:p>
        </w:tc>
        <w:tc>
          <w:tcPr>
            <w:tcW w:w="1156" w:type="pct"/>
            <w:shd w:val="clear" w:color="auto" w:fill="auto"/>
            <w:noWrap/>
            <w:hideMark/>
          </w:tcPr>
          <w:p w14:paraId="4DB89316" w14:textId="474F6D5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102.133</w:t>
            </w:r>
          </w:p>
        </w:tc>
        <w:tc>
          <w:tcPr>
            <w:tcW w:w="774" w:type="pct"/>
            <w:shd w:val="clear" w:color="auto" w:fill="auto"/>
            <w:noWrap/>
            <w:hideMark/>
          </w:tcPr>
          <w:p w14:paraId="3CEF8963" w14:textId="1833328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102.5567</w:t>
            </w:r>
          </w:p>
        </w:tc>
        <w:tc>
          <w:tcPr>
            <w:tcW w:w="1030" w:type="pct"/>
            <w:shd w:val="clear" w:color="auto" w:fill="auto"/>
            <w:noWrap/>
            <w:hideMark/>
          </w:tcPr>
          <w:p w14:paraId="4C765F00" w14:textId="1F9CBC4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101.9927</w:t>
            </w:r>
          </w:p>
        </w:tc>
        <w:tc>
          <w:tcPr>
            <w:tcW w:w="863" w:type="pct"/>
            <w:shd w:val="clear" w:color="auto" w:fill="auto"/>
            <w:noWrap/>
            <w:hideMark/>
          </w:tcPr>
          <w:p w14:paraId="74275A24" w14:textId="1B089A4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104.9786</w:t>
            </w:r>
          </w:p>
        </w:tc>
      </w:tr>
      <w:tr w:rsidR="00BF179D" w:rsidRPr="00063AC8" w14:paraId="0D460F6F" w14:textId="77777777" w:rsidTr="00E6135C">
        <w:trPr>
          <w:trHeight w:val="20"/>
          <w:jc w:val="center"/>
        </w:trPr>
        <w:tc>
          <w:tcPr>
            <w:tcW w:w="508" w:type="pct"/>
            <w:tcBorders>
              <w:right w:val="single" w:sz="4" w:space="0" w:color="auto"/>
            </w:tcBorders>
            <w:shd w:val="clear" w:color="auto" w:fill="auto"/>
            <w:vAlign w:val="center"/>
            <w:hideMark/>
          </w:tcPr>
          <w:p w14:paraId="0DC948C6"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201603</w:t>
            </w:r>
          </w:p>
        </w:tc>
        <w:tc>
          <w:tcPr>
            <w:tcW w:w="669" w:type="pct"/>
            <w:tcBorders>
              <w:left w:val="single" w:sz="4" w:space="0" w:color="auto"/>
            </w:tcBorders>
            <w:shd w:val="clear" w:color="auto" w:fill="auto"/>
            <w:noWrap/>
            <w:hideMark/>
          </w:tcPr>
          <w:p w14:paraId="7DF97C3D" w14:textId="4D4E66D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102.512</w:t>
            </w:r>
          </w:p>
        </w:tc>
        <w:tc>
          <w:tcPr>
            <w:tcW w:w="1156" w:type="pct"/>
            <w:shd w:val="clear" w:color="auto" w:fill="auto"/>
            <w:noWrap/>
            <w:hideMark/>
          </w:tcPr>
          <w:p w14:paraId="672025B8" w14:textId="3B872B6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102.4813</w:t>
            </w:r>
          </w:p>
        </w:tc>
        <w:tc>
          <w:tcPr>
            <w:tcW w:w="774" w:type="pct"/>
            <w:shd w:val="clear" w:color="auto" w:fill="auto"/>
            <w:noWrap/>
            <w:hideMark/>
          </w:tcPr>
          <w:p w14:paraId="575403E5" w14:textId="5D90181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102.7914</w:t>
            </w:r>
          </w:p>
        </w:tc>
        <w:tc>
          <w:tcPr>
            <w:tcW w:w="1030" w:type="pct"/>
            <w:shd w:val="clear" w:color="auto" w:fill="auto"/>
            <w:noWrap/>
            <w:hideMark/>
          </w:tcPr>
          <w:p w14:paraId="4D26524A" w14:textId="0AB2812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102.0156</w:t>
            </w:r>
          </w:p>
        </w:tc>
        <w:tc>
          <w:tcPr>
            <w:tcW w:w="863" w:type="pct"/>
            <w:shd w:val="clear" w:color="auto" w:fill="auto"/>
            <w:noWrap/>
            <w:hideMark/>
          </w:tcPr>
          <w:p w14:paraId="522FC283" w14:textId="3E22777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105.1614</w:t>
            </w:r>
          </w:p>
        </w:tc>
      </w:tr>
      <w:tr w:rsidR="00BF179D" w:rsidRPr="00063AC8" w14:paraId="1AA9A5C0" w14:textId="77777777" w:rsidTr="00E6135C">
        <w:trPr>
          <w:trHeight w:val="20"/>
          <w:jc w:val="center"/>
        </w:trPr>
        <w:tc>
          <w:tcPr>
            <w:tcW w:w="508" w:type="pct"/>
            <w:tcBorders>
              <w:right w:val="single" w:sz="4" w:space="0" w:color="auto"/>
            </w:tcBorders>
            <w:shd w:val="clear" w:color="auto" w:fill="auto"/>
            <w:vAlign w:val="center"/>
            <w:hideMark/>
          </w:tcPr>
          <w:p w14:paraId="53CAC1C1"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201604</w:t>
            </w:r>
          </w:p>
        </w:tc>
        <w:tc>
          <w:tcPr>
            <w:tcW w:w="669" w:type="pct"/>
            <w:tcBorders>
              <w:left w:val="single" w:sz="4" w:space="0" w:color="auto"/>
            </w:tcBorders>
            <w:shd w:val="clear" w:color="auto" w:fill="auto"/>
            <w:noWrap/>
            <w:hideMark/>
          </w:tcPr>
          <w:p w14:paraId="2477FE4E" w14:textId="0BC5506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102.9414</w:t>
            </w:r>
          </w:p>
        </w:tc>
        <w:tc>
          <w:tcPr>
            <w:tcW w:w="1156" w:type="pct"/>
            <w:shd w:val="clear" w:color="auto" w:fill="auto"/>
            <w:noWrap/>
            <w:hideMark/>
          </w:tcPr>
          <w:p w14:paraId="2A63AD1C" w14:textId="4E69324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102.9657</w:t>
            </w:r>
          </w:p>
        </w:tc>
        <w:tc>
          <w:tcPr>
            <w:tcW w:w="774" w:type="pct"/>
            <w:shd w:val="clear" w:color="auto" w:fill="auto"/>
            <w:noWrap/>
            <w:hideMark/>
          </w:tcPr>
          <w:p w14:paraId="4CF4DC8B" w14:textId="1CCB98C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102.9386</w:t>
            </w:r>
          </w:p>
        </w:tc>
        <w:tc>
          <w:tcPr>
            <w:tcW w:w="1030" w:type="pct"/>
            <w:shd w:val="clear" w:color="auto" w:fill="auto"/>
            <w:noWrap/>
            <w:hideMark/>
          </w:tcPr>
          <w:p w14:paraId="68BDA460" w14:textId="7708EEE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101.9041</w:t>
            </w:r>
          </w:p>
        </w:tc>
        <w:tc>
          <w:tcPr>
            <w:tcW w:w="863" w:type="pct"/>
            <w:shd w:val="clear" w:color="auto" w:fill="auto"/>
            <w:noWrap/>
            <w:hideMark/>
          </w:tcPr>
          <w:p w14:paraId="4E57D595" w14:textId="1996955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105.5229</w:t>
            </w:r>
          </w:p>
        </w:tc>
      </w:tr>
      <w:tr w:rsidR="00BF179D" w:rsidRPr="00063AC8" w14:paraId="3A359FBE" w14:textId="77777777" w:rsidTr="00E6135C">
        <w:trPr>
          <w:trHeight w:val="20"/>
          <w:jc w:val="center"/>
        </w:trPr>
        <w:tc>
          <w:tcPr>
            <w:tcW w:w="508" w:type="pct"/>
            <w:tcBorders>
              <w:right w:val="single" w:sz="4" w:space="0" w:color="auto"/>
            </w:tcBorders>
            <w:shd w:val="clear" w:color="auto" w:fill="auto"/>
            <w:vAlign w:val="center"/>
            <w:hideMark/>
          </w:tcPr>
          <w:p w14:paraId="79486A7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201605</w:t>
            </w:r>
          </w:p>
        </w:tc>
        <w:tc>
          <w:tcPr>
            <w:tcW w:w="669" w:type="pct"/>
            <w:tcBorders>
              <w:left w:val="single" w:sz="4" w:space="0" w:color="auto"/>
            </w:tcBorders>
            <w:shd w:val="clear" w:color="auto" w:fill="auto"/>
            <w:noWrap/>
            <w:hideMark/>
          </w:tcPr>
          <w:p w14:paraId="6A28A45A" w14:textId="0E526BD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103.2057</w:t>
            </w:r>
          </w:p>
        </w:tc>
        <w:tc>
          <w:tcPr>
            <w:tcW w:w="1156" w:type="pct"/>
            <w:shd w:val="clear" w:color="auto" w:fill="auto"/>
            <w:noWrap/>
            <w:hideMark/>
          </w:tcPr>
          <w:p w14:paraId="34360429" w14:textId="0439070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103.2443</w:t>
            </w:r>
          </w:p>
        </w:tc>
        <w:tc>
          <w:tcPr>
            <w:tcW w:w="774" w:type="pct"/>
            <w:shd w:val="clear" w:color="auto" w:fill="auto"/>
            <w:noWrap/>
            <w:hideMark/>
          </w:tcPr>
          <w:p w14:paraId="174A6F37" w14:textId="7C49EEE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103.16</w:t>
            </w:r>
          </w:p>
        </w:tc>
        <w:tc>
          <w:tcPr>
            <w:tcW w:w="1030" w:type="pct"/>
            <w:shd w:val="clear" w:color="auto" w:fill="auto"/>
            <w:noWrap/>
            <w:hideMark/>
          </w:tcPr>
          <w:p w14:paraId="1D994E0D" w14:textId="477A331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102.0941</w:t>
            </w:r>
          </w:p>
        </w:tc>
        <w:tc>
          <w:tcPr>
            <w:tcW w:w="863" w:type="pct"/>
            <w:shd w:val="clear" w:color="auto" w:fill="auto"/>
            <w:noWrap/>
            <w:hideMark/>
          </w:tcPr>
          <w:p w14:paraId="1D53FDA0" w14:textId="678F424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105.5871</w:t>
            </w:r>
          </w:p>
        </w:tc>
      </w:tr>
      <w:tr w:rsidR="00BF179D" w:rsidRPr="00063AC8" w14:paraId="664776A8" w14:textId="77777777" w:rsidTr="00E6135C">
        <w:trPr>
          <w:trHeight w:val="20"/>
          <w:jc w:val="center"/>
        </w:trPr>
        <w:tc>
          <w:tcPr>
            <w:tcW w:w="508" w:type="pct"/>
            <w:tcBorders>
              <w:right w:val="single" w:sz="4" w:space="0" w:color="auto"/>
            </w:tcBorders>
            <w:shd w:val="clear" w:color="auto" w:fill="auto"/>
            <w:vAlign w:val="center"/>
            <w:hideMark/>
          </w:tcPr>
          <w:p w14:paraId="363E13D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201606</w:t>
            </w:r>
          </w:p>
        </w:tc>
        <w:tc>
          <w:tcPr>
            <w:tcW w:w="669" w:type="pct"/>
            <w:tcBorders>
              <w:left w:val="single" w:sz="4" w:space="0" w:color="auto"/>
            </w:tcBorders>
            <w:shd w:val="clear" w:color="auto" w:fill="auto"/>
            <w:noWrap/>
            <w:hideMark/>
          </w:tcPr>
          <w:p w14:paraId="068BF474" w14:textId="50877A3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103.39</w:t>
            </w:r>
          </w:p>
        </w:tc>
        <w:tc>
          <w:tcPr>
            <w:tcW w:w="1156" w:type="pct"/>
            <w:shd w:val="clear" w:color="auto" w:fill="auto"/>
            <w:noWrap/>
            <w:hideMark/>
          </w:tcPr>
          <w:p w14:paraId="422DB558" w14:textId="4201F43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103.4571</w:t>
            </w:r>
          </w:p>
        </w:tc>
        <w:tc>
          <w:tcPr>
            <w:tcW w:w="774" w:type="pct"/>
            <w:shd w:val="clear" w:color="auto" w:fill="auto"/>
            <w:noWrap/>
            <w:hideMark/>
          </w:tcPr>
          <w:p w14:paraId="6E92DB70" w14:textId="4CD642D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103.2614</w:t>
            </w:r>
          </w:p>
        </w:tc>
        <w:tc>
          <w:tcPr>
            <w:tcW w:w="1030" w:type="pct"/>
            <w:shd w:val="clear" w:color="auto" w:fill="auto"/>
            <w:noWrap/>
            <w:hideMark/>
          </w:tcPr>
          <w:p w14:paraId="12F95C2A" w14:textId="0228D5D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102.147</w:t>
            </w:r>
          </w:p>
        </w:tc>
        <w:tc>
          <w:tcPr>
            <w:tcW w:w="863" w:type="pct"/>
            <w:shd w:val="clear" w:color="auto" w:fill="auto"/>
            <w:noWrap/>
            <w:hideMark/>
          </w:tcPr>
          <w:p w14:paraId="03517022" w14:textId="4744B6C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106.1986</w:t>
            </w:r>
          </w:p>
        </w:tc>
      </w:tr>
      <w:tr w:rsidR="00BF179D" w:rsidRPr="00063AC8" w14:paraId="426C6274" w14:textId="77777777" w:rsidTr="00E6135C">
        <w:trPr>
          <w:trHeight w:val="20"/>
          <w:jc w:val="center"/>
        </w:trPr>
        <w:tc>
          <w:tcPr>
            <w:tcW w:w="508" w:type="pct"/>
            <w:tcBorders>
              <w:right w:val="single" w:sz="4" w:space="0" w:color="auto"/>
            </w:tcBorders>
            <w:shd w:val="clear" w:color="auto" w:fill="auto"/>
            <w:vAlign w:val="center"/>
            <w:hideMark/>
          </w:tcPr>
          <w:p w14:paraId="5E9FEE9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201607</w:t>
            </w:r>
          </w:p>
        </w:tc>
        <w:tc>
          <w:tcPr>
            <w:tcW w:w="669" w:type="pct"/>
            <w:tcBorders>
              <w:left w:val="single" w:sz="4" w:space="0" w:color="auto"/>
            </w:tcBorders>
            <w:shd w:val="clear" w:color="auto" w:fill="auto"/>
            <w:noWrap/>
            <w:hideMark/>
          </w:tcPr>
          <w:p w14:paraId="3891D6E0" w14:textId="4AAFF1E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103.5</w:t>
            </w:r>
          </w:p>
        </w:tc>
        <w:tc>
          <w:tcPr>
            <w:tcW w:w="1156" w:type="pct"/>
            <w:shd w:val="clear" w:color="auto" w:fill="auto"/>
            <w:noWrap/>
            <w:hideMark/>
          </w:tcPr>
          <w:p w14:paraId="4DED210C" w14:textId="5B0D073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103.5871</w:t>
            </w:r>
          </w:p>
        </w:tc>
        <w:tc>
          <w:tcPr>
            <w:tcW w:w="774" w:type="pct"/>
            <w:shd w:val="clear" w:color="auto" w:fill="auto"/>
            <w:noWrap/>
            <w:hideMark/>
          </w:tcPr>
          <w:p w14:paraId="1D19A2C0" w14:textId="73A8D99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103.3243</w:t>
            </w:r>
          </w:p>
        </w:tc>
        <w:tc>
          <w:tcPr>
            <w:tcW w:w="1030" w:type="pct"/>
            <w:shd w:val="clear" w:color="auto" w:fill="auto"/>
            <w:noWrap/>
            <w:hideMark/>
          </w:tcPr>
          <w:p w14:paraId="7B856DF9" w14:textId="0EB3B2B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102.1099</w:t>
            </w:r>
          </w:p>
        </w:tc>
        <w:tc>
          <w:tcPr>
            <w:tcW w:w="863" w:type="pct"/>
            <w:shd w:val="clear" w:color="auto" w:fill="auto"/>
            <w:noWrap/>
            <w:hideMark/>
          </w:tcPr>
          <w:p w14:paraId="48D8DB93" w14:textId="16C4F93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105.9</w:t>
            </w:r>
          </w:p>
        </w:tc>
      </w:tr>
      <w:tr w:rsidR="00BF179D" w:rsidRPr="00063AC8" w14:paraId="5D343AB7" w14:textId="77777777" w:rsidTr="00E6135C">
        <w:trPr>
          <w:trHeight w:val="20"/>
          <w:jc w:val="center"/>
        </w:trPr>
        <w:tc>
          <w:tcPr>
            <w:tcW w:w="508" w:type="pct"/>
            <w:tcBorders>
              <w:right w:val="single" w:sz="4" w:space="0" w:color="auto"/>
            </w:tcBorders>
            <w:shd w:val="clear" w:color="auto" w:fill="auto"/>
            <w:vAlign w:val="center"/>
            <w:hideMark/>
          </w:tcPr>
          <w:p w14:paraId="5309E3F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201608</w:t>
            </w:r>
          </w:p>
        </w:tc>
        <w:tc>
          <w:tcPr>
            <w:tcW w:w="669" w:type="pct"/>
            <w:tcBorders>
              <w:left w:val="single" w:sz="4" w:space="0" w:color="auto"/>
            </w:tcBorders>
            <w:shd w:val="clear" w:color="auto" w:fill="auto"/>
            <w:noWrap/>
            <w:hideMark/>
          </w:tcPr>
          <w:p w14:paraId="3D7C57AC" w14:textId="1243F1B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103.4743</w:t>
            </w:r>
          </w:p>
        </w:tc>
        <w:tc>
          <w:tcPr>
            <w:tcW w:w="1156" w:type="pct"/>
            <w:shd w:val="clear" w:color="auto" w:fill="auto"/>
            <w:noWrap/>
            <w:hideMark/>
          </w:tcPr>
          <w:p w14:paraId="663C3780" w14:textId="4CD7EA0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103.4957</w:t>
            </w:r>
          </w:p>
        </w:tc>
        <w:tc>
          <w:tcPr>
            <w:tcW w:w="774" w:type="pct"/>
            <w:shd w:val="clear" w:color="auto" w:fill="auto"/>
            <w:noWrap/>
            <w:hideMark/>
          </w:tcPr>
          <w:p w14:paraId="2F2A176C" w14:textId="007318F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103.5829</w:t>
            </w:r>
          </w:p>
        </w:tc>
        <w:tc>
          <w:tcPr>
            <w:tcW w:w="1030" w:type="pct"/>
            <w:shd w:val="clear" w:color="auto" w:fill="auto"/>
            <w:noWrap/>
            <w:hideMark/>
          </w:tcPr>
          <w:p w14:paraId="7CD14F9D" w14:textId="305D21D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102.0241</w:t>
            </w:r>
          </w:p>
        </w:tc>
        <w:tc>
          <w:tcPr>
            <w:tcW w:w="863" w:type="pct"/>
            <w:shd w:val="clear" w:color="auto" w:fill="auto"/>
            <w:noWrap/>
            <w:hideMark/>
          </w:tcPr>
          <w:p w14:paraId="04E841E2" w14:textId="61BD7CC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105.9657</w:t>
            </w:r>
          </w:p>
        </w:tc>
      </w:tr>
      <w:tr w:rsidR="00BF179D" w:rsidRPr="00063AC8" w14:paraId="1E1BB97F" w14:textId="77777777" w:rsidTr="00E6135C">
        <w:trPr>
          <w:trHeight w:val="20"/>
          <w:jc w:val="center"/>
        </w:trPr>
        <w:tc>
          <w:tcPr>
            <w:tcW w:w="508" w:type="pct"/>
            <w:tcBorders>
              <w:right w:val="single" w:sz="4" w:space="0" w:color="auto"/>
            </w:tcBorders>
            <w:shd w:val="clear" w:color="auto" w:fill="auto"/>
            <w:vAlign w:val="center"/>
            <w:hideMark/>
          </w:tcPr>
          <w:p w14:paraId="37BD607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201609</w:t>
            </w:r>
          </w:p>
        </w:tc>
        <w:tc>
          <w:tcPr>
            <w:tcW w:w="669" w:type="pct"/>
            <w:tcBorders>
              <w:left w:val="single" w:sz="4" w:space="0" w:color="auto"/>
            </w:tcBorders>
            <w:shd w:val="clear" w:color="auto" w:fill="auto"/>
            <w:noWrap/>
            <w:hideMark/>
          </w:tcPr>
          <w:p w14:paraId="772B655D" w14:textId="5424C15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103.5043</w:t>
            </w:r>
          </w:p>
        </w:tc>
        <w:tc>
          <w:tcPr>
            <w:tcW w:w="1156" w:type="pct"/>
            <w:shd w:val="clear" w:color="auto" w:fill="auto"/>
            <w:noWrap/>
            <w:hideMark/>
          </w:tcPr>
          <w:p w14:paraId="56DC8556" w14:textId="0588CB4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103.5543</w:t>
            </w:r>
          </w:p>
        </w:tc>
        <w:tc>
          <w:tcPr>
            <w:tcW w:w="774" w:type="pct"/>
            <w:shd w:val="clear" w:color="auto" w:fill="auto"/>
            <w:noWrap/>
            <w:hideMark/>
          </w:tcPr>
          <w:p w14:paraId="64F42B73" w14:textId="27A4BDC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103.6</w:t>
            </w:r>
          </w:p>
        </w:tc>
        <w:tc>
          <w:tcPr>
            <w:tcW w:w="1030" w:type="pct"/>
            <w:shd w:val="clear" w:color="auto" w:fill="auto"/>
            <w:noWrap/>
            <w:hideMark/>
          </w:tcPr>
          <w:p w14:paraId="0633DA9C" w14:textId="25E165D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102.5243</w:t>
            </w:r>
          </w:p>
        </w:tc>
        <w:tc>
          <w:tcPr>
            <w:tcW w:w="863" w:type="pct"/>
            <w:shd w:val="clear" w:color="auto" w:fill="auto"/>
            <w:noWrap/>
            <w:hideMark/>
          </w:tcPr>
          <w:p w14:paraId="0E564181" w14:textId="464D5C4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104.9929</w:t>
            </w:r>
          </w:p>
        </w:tc>
      </w:tr>
      <w:tr w:rsidR="00BF179D" w:rsidRPr="00063AC8" w14:paraId="54334ADB" w14:textId="77777777" w:rsidTr="00E6135C">
        <w:trPr>
          <w:trHeight w:val="20"/>
          <w:jc w:val="center"/>
        </w:trPr>
        <w:tc>
          <w:tcPr>
            <w:tcW w:w="508" w:type="pct"/>
            <w:tcBorders>
              <w:right w:val="single" w:sz="4" w:space="0" w:color="auto"/>
            </w:tcBorders>
            <w:shd w:val="clear" w:color="auto" w:fill="auto"/>
            <w:vAlign w:val="center"/>
            <w:hideMark/>
          </w:tcPr>
          <w:p w14:paraId="28A8097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201610</w:t>
            </w:r>
          </w:p>
        </w:tc>
        <w:tc>
          <w:tcPr>
            <w:tcW w:w="669" w:type="pct"/>
            <w:tcBorders>
              <w:left w:val="single" w:sz="4" w:space="0" w:color="auto"/>
            </w:tcBorders>
            <w:shd w:val="clear" w:color="auto" w:fill="auto"/>
            <w:noWrap/>
            <w:hideMark/>
          </w:tcPr>
          <w:p w14:paraId="5180DDC5" w14:textId="0F787C1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103.7814</w:t>
            </w:r>
          </w:p>
        </w:tc>
        <w:tc>
          <w:tcPr>
            <w:tcW w:w="1156" w:type="pct"/>
            <w:shd w:val="clear" w:color="auto" w:fill="auto"/>
            <w:noWrap/>
            <w:hideMark/>
          </w:tcPr>
          <w:p w14:paraId="57C8B4D8" w14:textId="06EF20C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103.8071</w:t>
            </w:r>
          </w:p>
        </w:tc>
        <w:tc>
          <w:tcPr>
            <w:tcW w:w="774" w:type="pct"/>
            <w:shd w:val="clear" w:color="auto" w:fill="auto"/>
            <w:noWrap/>
            <w:hideMark/>
          </w:tcPr>
          <w:p w14:paraId="49CE99FC" w14:textId="7EA1CA8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103.9614</w:t>
            </w:r>
          </w:p>
        </w:tc>
        <w:tc>
          <w:tcPr>
            <w:tcW w:w="1030" w:type="pct"/>
            <w:shd w:val="clear" w:color="auto" w:fill="auto"/>
            <w:noWrap/>
            <w:hideMark/>
          </w:tcPr>
          <w:p w14:paraId="15F63862" w14:textId="1700FE7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102.5157</w:t>
            </w:r>
          </w:p>
        </w:tc>
        <w:tc>
          <w:tcPr>
            <w:tcW w:w="863" w:type="pct"/>
            <w:shd w:val="clear" w:color="auto" w:fill="auto"/>
            <w:noWrap/>
            <w:hideMark/>
          </w:tcPr>
          <w:p w14:paraId="21DDC74B" w14:textId="7592FA0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104.0671</w:t>
            </w:r>
          </w:p>
        </w:tc>
      </w:tr>
      <w:tr w:rsidR="00BF179D" w:rsidRPr="00063AC8" w14:paraId="51C109AB" w14:textId="77777777" w:rsidTr="00E6135C">
        <w:trPr>
          <w:trHeight w:val="20"/>
          <w:jc w:val="center"/>
        </w:trPr>
        <w:tc>
          <w:tcPr>
            <w:tcW w:w="508" w:type="pct"/>
            <w:tcBorders>
              <w:right w:val="single" w:sz="4" w:space="0" w:color="auto"/>
            </w:tcBorders>
            <w:shd w:val="clear" w:color="auto" w:fill="auto"/>
            <w:vAlign w:val="center"/>
            <w:hideMark/>
          </w:tcPr>
          <w:p w14:paraId="4ECB9FC1"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201611</w:t>
            </w:r>
          </w:p>
        </w:tc>
        <w:tc>
          <w:tcPr>
            <w:tcW w:w="669" w:type="pct"/>
            <w:tcBorders>
              <w:left w:val="single" w:sz="4" w:space="0" w:color="auto"/>
            </w:tcBorders>
            <w:shd w:val="clear" w:color="auto" w:fill="auto"/>
            <w:noWrap/>
            <w:hideMark/>
          </w:tcPr>
          <w:p w14:paraId="74BC940A" w14:textId="7602E2B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104.0829</w:t>
            </w:r>
          </w:p>
        </w:tc>
        <w:tc>
          <w:tcPr>
            <w:tcW w:w="1156" w:type="pct"/>
            <w:shd w:val="clear" w:color="auto" w:fill="auto"/>
            <w:noWrap/>
            <w:hideMark/>
          </w:tcPr>
          <w:p w14:paraId="0188372D" w14:textId="34734EC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104.0714</w:t>
            </w:r>
          </w:p>
        </w:tc>
        <w:tc>
          <w:tcPr>
            <w:tcW w:w="774" w:type="pct"/>
            <w:shd w:val="clear" w:color="auto" w:fill="auto"/>
            <w:noWrap/>
            <w:hideMark/>
          </w:tcPr>
          <w:p w14:paraId="61B9706B" w14:textId="6637C6A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104.4329</w:t>
            </w:r>
          </w:p>
        </w:tc>
        <w:tc>
          <w:tcPr>
            <w:tcW w:w="1030" w:type="pct"/>
            <w:shd w:val="clear" w:color="auto" w:fill="auto"/>
            <w:noWrap/>
            <w:hideMark/>
          </w:tcPr>
          <w:p w14:paraId="221AA61F" w14:textId="6001937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102.94</w:t>
            </w:r>
          </w:p>
        </w:tc>
        <w:tc>
          <w:tcPr>
            <w:tcW w:w="863" w:type="pct"/>
            <w:shd w:val="clear" w:color="auto" w:fill="auto"/>
            <w:noWrap/>
            <w:hideMark/>
          </w:tcPr>
          <w:p w14:paraId="7363ABC1" w14:textId="568EE43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104.0943</w:t>
            </w:r>
          </w:p>
        </w:tc>
      </w:tr>
      <w:tr w:rsidR="00BF179D" w:rsidRPr="00063AC8" w14:paraId="4A7FFDE5" w14:textId="77777777" w:rsidTr="00E6135C">
        <w:trPr>
          <w:trHeight w:val="20"/>
          <w:jc w:val="center"/>
        </w:trPr>
        <w:tc>
          <w:tcPr>
            <w:tcW w:w="508" w:type="pct"/>
            <w:tcBorders>
              <w:right w:val="single" w:sz="4" w:space="0" w:color="auto"/>
            </w:tcBorders>
            <w:shd w:val="clear" w:color="auto" w:fill="auto"/>
            <w:vAlign w:val="center"/>
            <w:hideMark/>
          </w:tcPr>
          <w:p w14:paraId="759CB70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201612</w:t>
            </w:r>
          </w:p>
        </w:tc>
        <w:tc>
          <w:tcPr>
            <w:tcW w:w="669" w:type="pct"/>
            <w:tcBorders>
              <w:left w:val="single" w:sz="4" w:space="0" w:color="auto"/>
            </w:tcBorders>
            <w:shd w:val="clear" w:color="auto" w:fill="auto"/>
            <w:noWrap/>
            <w:hideMark/>
          </w:tcPr>
          <w:p w14:paraId="182602C0" w14:textId="0BD71C8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104.5871</w:t>
            </w:r>
          </w:p>
        </w:tc>
        <w:tc>
          <w:tcPr>
            <w:tcW w:w="1156" w:type="pct"/>
            <w:shd w:val="clear" w:color="auto" w:fill="auto"/>
            <w:noWrap/>
            <w:hideMark/>
          </w:tcPr>
          <w:p w14:paraId="0544419E" w14:textId="066D469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104.6157</w:t>
            </w:r>
          </w:p>
        </w:tc>
        <w:tc>
          <w:tcPr>
            <w:tcW w:w="774" w:type="pct"/>
            <w:shd w:val="clear" w:color="auto" w:fill="auto"/>
            <w:noWrap/>
            <w:hideMark/>
          </w:tcPr>
          <w:p w14:paraId="2695F0EA" w14:textId="46128CC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104.7843</w:t>
            </w:r>
          </w:p>
        </w:tc>
        <w:tc>
          <w:tcPr>
            <w:tcW w:w="1030" w:type="pct"/>
            <w:shd w:val="clear" w:color="auto" w:fill="auto"/>
            <w:noWrap/>
            <w:hideMark/>
          </w:tcPr>
          <w:p w14:paraId="6148026B" w14:textId="10C5E08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103.08</w:t>
            </w:r>
          </w:p>
        </w:tc>
        <w:tc>
          <w:tcPr>
            <w:tcW w:w="863" w:type="pct"/>
            <w:shd w:val="clear" w:color="auto" w:fill="auto"/>
            <w:noWrap/>
            <w:hideMark/>
          </w:tcPr>
          <w:p w14:paraId="2291B2AB" w14:textId="1776111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103.9729</w:t>
            </w:r>
          </w:p>
        </w:tc>
      </w:tr>
      <w:tr w:rsidR="00BF179D" w:rsidRPr="00063AC8" w14:paraId="6F70E5A5" w14:textId="77777777" w:rsidTr="00E6135C">
        <w:trPr>
          <w:trHeight w:val="20"/>
          <w:jc w:val="center"/>
        </w:trPr>
        <w:tc>
          <w:tcPr>
            <w:tcW w:w="508" w:type="pct"/>
            <w:tcBorders>
              <w:right w:val="single" w:sz="4" w:space="0" w:color="auto"/>
            </w:tcBorders>
            <w:shd w:val="clear" w:color="auto" w:fill="auto"/>
            <w:vAlign w:val="center"/>
            <w:hideMark/>
          </w:tcPr>
          <w:p w14:paraId="2B3C27B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201701</w:t>
            </w:r>
          </w:p>
        </w:tc>
        <w:tc>
          <w:tcPr>
            <w:tcW w:w="669" w:type="pct"/>
            <w:tcBorders>
              <w:left w:val="single" w:sz="4" w:space="0" w:color="auto"/>
            </w:tcBorders>
            <w:shd w:val="clear" w:color="auto" w:fill="auto"/>
            <w:noWrap/>
            <w:hideMark/>
          </w:tcPr>
          <w:p w14:paraId="3DCD4691" w14:textId="45CCB79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105.15</w:t>
            </w:r>
          </w:p>
        </w:tc>
        <w:tc>
          <w:tcPr>
            <w:tcW w:w="1156" w:type="pct"/>
            <w:shd w:val="clear" w:color="auto" w:fill="auto"/>
            <w:noWrap/>
            <w:hideMark/>
          </w:tcPr>
          <w:p w14:paraId="0718F867" w14:textId="48DA7A8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105.2214</w:t>
            </w:r>
          </w:p>
        </w:tc>
        <w:tc>
          <w:tcPr>
            <w:tcW w:w="774" w:type="pct"/>
            <w:shd w:val="clear" w:color="auto" w:fill="auto"/>
            <w:noWrap/>
            <w:hideMark/>
          </w:tcPr>
          <w:p w14:paraId="63FE4515" w14:textId="12884EC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105.1771</w:t>
            </w:r>
          </w:p>
        </w:tc>
        <w:tc>
          <w:tcPr>
            <w:tcW w:w="1030" w:type="pct"/>
            <w:shd w:val="clear" w:color="auto" w:fill="auto"/>
            <w:noWrap/>
            <w:hideMark/>
          </w:tcPr>
          <w:p w14:paraId="2CAD2347" w14:textId="259D83C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103.1743</w:t>
            </w:r>
          </w:p>
        </w:tc>
        <w:tc>
          <w:tcPr>
            <w:tcW w:w="863" w:type="pct"/>
            <w:shd w:val="clear" w:color="auto" w:fill="auto"/>
            <w:noWrap/>
            <w:hideMark/>
          </w:tcPr>
          <w:p w14:paraId="092F1CCF" w14:textId="6F67AE3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104.4171</w:t>
            </w:r>
          </w:p>
        </w:tc>
      </w:tr>
      <w:tr w:rsidR="00BF179D" w:rsidRPr="00063AC8" w14:paraId="66BFA757" w14:textId="77777777" w:rsidTr="00E6135C">
        <w:trPr>
          <w:trHeight w:val="20"/>
          <w:jc w:val="center"/>
        </w:trPr>
        <w:tc>
          <w:tcPr>
            <w:tcW w:w="508" w:type="pct"/>
            <w:tcBorders>
              <w:right w:val="single" w:sz="4" w:space="0" w:color="auto"/>
            </w:tcBorders>
            <w:shd w:val="clear" w:color="auto" w:fill="auto"/>
            <w:vAlign w:val="center"/>
            <w:hideMark/>
          </w:tcPr>
          <w:p w14:paraId="5926F0D6"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201702</w:t>
            </w:r>
          </w:p>
        </w:tc>
        <w:tc>
          <w:tcPr>
            <w:tcW w:w="669" w:type="pct"/>
            <w:tcBorders>
              <w:left w:val="single" w:sz="4" w:space="0" w:color="auto"/>
            </w:tcBorders>
            <w:shd w:val="clear" w:color="auto" w:fill="auto"/>
            <w:noWrap/>
            <w:hideMark/>
          </w:tcPr>
          <w:p w14:paraId="45F2325C" w14:textId="4A6614C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105.5543</w:t>
            </w:r>
          </w:p>
        </w:tc>
        <w:tc>
          <w:tcPr>
            <w:tcW w:w="1156" w:type="pct"/>
            <w:shd w:val="clear" w:color="auto" w:fill="auto"/>
            <w:noWrap/>
            <w:hideMark/>
          </w:tcPr>
          <w:p w14:paraId="7782CD7C" w14:textId="7622E2D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105.7257</w:t>
            </w:r>
          </w:p>
        </w:tc>
        <w:tc>
          <w:tcPr>
            <w:tcW w:w="774" w:type="pct"/>
            <w:shd w:val="clear" w:color="auto" w:fill="auto"/>
            <w:noWrap/>
            <w:hideMark/>
          </w:tcPr>
          <w:p w14:paraId="7011F49F" w14:textId="5A8205D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105.4314</w:t>
            </w:r>
          </w:p>
        </w:tc>
        <w:tc>
          <w:tcPr>
            <w:tcW w:w="1030" w:type="pct"/>
            <w:shd w:val="clear" w:color="auto" w:fill="auto"/>
            <w:noWrap/>
            <w:hideMark/>
          </w:tcPr>
          <w:p w14:paraId="7BE26B39" w14:textId="4B40235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103.7243</w:t>
            </w:r>
          </w:p>
        </w:tc>
        <w:tc>
          <w:tcPr>
            <w:tcW w:w="863" w:type="pct"/>
            <w:shd w:val="clear" w:color="auto" w:fill="auto"/>
            <w:noWrap/>
            <w:hideMark/>
          </w:tcPr>
          <w:p w14:paraId="38386677" w14:textId="71798CE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105.3514</w:t>
            </w:r>
          </w:p>
        </w:tc>
      </w:tr>
      <w:tr w:rsidR="00BF179D" w:rsidRPr="00063AC8" w14:paraId="564165A5" w14:textId="77777777" w:rsidTr="00E6135C">
        <w:trPr>
          <w:trHeight w:val="20"/>
          <w:jc w:val="center"/>
        </w:trPr>
        <w:tc>
          <w:tcPr>
            <w:tcW w:w="508" w:type="pct"/>
            <w:tcBorders>
              <w:right w:val="single" w:sz="4" w:space="0" w:color="auto"/>
            </w:tcBorders>
            <w:shd w:val="clear" w:color="auto" w:fill="auto"/>
            <w:vAlign w:val="center"/>
            <w:hideMark/>
          </w:tcPr>
          <w:p w14:paraId="618392B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201703</w:t>
            </w:r>
          </w:p>
        </w:tc>
        <w:tc>
          <w:tcPr>
            <w:tcW w:w="669" w:type="pct"/>
            <w:tcBorders>
              <w:left w:val="single" w:sz="4" w:space="0" w:color="auto"/>
            </w:tcBorders>
            <w:shd w:val="clear" w:color="auto" w:fill="auto"/>
            <w:noWrap/>
            <w:hideMark/>
          </w:tcPr>
          <w:p w14:paraId="0FA055B8" w14:textId="6AAD566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106.1871</w:t>
            </w:r>
          </w:p>
        </w:tc>
        <w:tc>
          <w:tcPr>
            <w:tcW w:w="1156" w:type="pct"/>
            <w:shd w:val="clear" w:color="auto" w:fill="auto"/>
            <w:noWrap/>
            <w:hideMark/>
          </w:tcPr>
          <w:p w14:paraId="15052227" w14:textId="7E41FC7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106.4343</w:t>
            </w:r>
          </w:p>
        </w:tc>
        <w:tc>
          <w:tcPr>
            <w:tcW w:w="774" w:type="pct"/>
            <w:shd w:val="clear" w:color="auto" w:fill="auto"/>
            <w:noWrap/>
            <w:hideMark/>
          </w:tcPr>
          <w:p w14:paraId="00FBEF63" w14:textId="7F43EB8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105.7114</w:t>
            </w:r>
          </w:p>
        </w:tc>
        <w:tc>
          <w:tcPr>
            <w:tcW w:w="1030" w:type="pct"/>
            <w:shd w:val="clear" w:color="auto" w:fill="auto"/>
            <w:noWrap/>
            <w:hideMark/>
          </w:tcPr>
          <w:p w14:paraId="5C1B6BCD" w14:textId="6EA8B6F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104.5029</w:t>
            </w:r>
          </w:p>
        </w:tc>
        <w:tc>
          <w:tcPr>
            <w:tcW w:w="863" w:type="pct"/>
            <w:shd w:val="clear" w:color="auto" w:fill="auto"/>
            <w:noWrap/>
            <w:hideMark/>
          </w:tcPr>
          <w:p w14:paraId="23037237" w14:textId="4A37633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105.6257</w:t>
            </w:r>
          </w:p>
        </w:tc>
      </w:tr>
      <w:tr w:rsidR="00BF179D" w:rsidRPr="00063AC8" w14:paraId="705F6649" w14:textId="77777777" w:rsidTr="00E6135C">
        <w:trPr>
          <w:trHeight w:val="20"/>
          <w:jc w:val="center"/>
        </w:trPr>
        <w:tc>
          <w:tcPr>
            <w:tcW w:w="508" w:type="pct"/>
            <w:tcBorders>
              <w:right w:val="single" w:sz="4" w:space="0" w:color="auto"/>
            </w:tcBorders>
            <w:shd w:val="clear" w:color="auto" w:fill="auto"/>
            <w:vAlign w:val="center"/>
            <w:hideMark/>
          </w:tcPr>
          <w:p w14:paraId="25E5579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201704</w:t>
            </w:r>
          </w:p>
        </w:tc>
        <w:tc>
          <w:tcPr>
            <w:tcW w:w="669" w:type="pct"/>
            <w:tcBorders>
              <w:left w:val="single" w:sz="4" w:space="0" w:color="auto"/>
            </w:tcBorders>
            <w:shd w:val="clear" w:color="auto" w:fill="auto"/>
            <w:noWrap/>
            <w:hideMark/>
          </w:tcPr>
          <w:p w14:paraId="6A5DFDDD" w14:textId="0EB87FD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106.7871</w:t>
            </w:r>
          </w:p>
        </w:tc>
        <w:tc>
          <w:tcPr>
            <w:tcW w:w="1156" w:type="pct"/>
            <w:shd w:val="clear" w:color="auto" w:fill="auto"/>
            <w:noWrap/>
            <w:hideMark/>
          </w:tcPr>
          <w:p w14:paraId="32E10876" w14:textId="5483BD2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107.0486</w:t>
            </w:r>
          </w:p>
        </w:tc>
        <w:tc>
          <w:tcPr>
            <w:tcW w:w="774" w:type="pct"/>
            <w:shd w:val="clear" w:color="auto" w:fill="auto"/>
            <w:noWrap/>
            <w:hideMark/>
          </w:tcPr>
          <w:p w14:paraId="7E0E7666" w14:textId="6BE56AF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106.1871</w:t>
            </w:r>
          </w:p>
        </w:tc>
        <w:tc>
          <w:tcPr>
            <w:tcW w:w="1030" w:type="pct"/>
            <w:shd w:val="clear" w:color="auto" w:fill="auto"/>
            <w:noWrap/>
            <w:hideMark/>
          </w:tcPr>
          <w:p w14:paraId="0BE1179A" w14:textId="77D325A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104.91</w:t>
            </w:r>
          </w:p>
        </w:tc>
        <w:tc>
          <w:tcPr>
            <w:tcW w:w="863" w:type="pct"/>
            <w:shd w:val="clear" w:color="auto" w:fill="auto"/>
            <w:noWrap/>
            <w:hideMark/>
          </w:tcPr>
          <w:p w14:paraId="55531BD4" w14:textId="56A14F2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106.4557</w:t>
            </w:r>
          </w:p>
        </w:tc>
      </w:tr>
      <w:tr w:rsidR="00BF179D" w:rsidRPr="00063AC8" w14:paraId="3061CF0C" w14:textId="77777777" w:rsidTr="00E6135C">
        <w:trPr>
          <w:trHeight w:val="20"/>
          <w:jc w:val="center"/>
        </w:trPr>
        <w:tc>
          <w:tcPr>
            <w:tcW w:w="508" w:type="pct"/>
            <w:tcBorders>
              <w:right w:val="single" w:sz="4" w:space="0" w:color="auto"/>
            </w:tcBorders>
            <w:shd w:val="clear" w:color="auto" w:fill="auto"/>
            <w:vAlign w:val="center"/>
            <w:hideMark/>
          </w:tcPr>
          <w:p w14:paraId="16E3E94C"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201705</w:t>
            </w:r>
          </w:p>
        </w:tc>
        <w:tc>
          <w:tcPr>
            <w:tcW w:w="669" w:type="pct"/>
            <w:tcBorders>
              <w:left w:val="single" w:sz="4" w:space="0" w:color="auto"/>
            </w:tcBorders>
            <w:shd w:val="clear" w:color="auto" w:fill="auto"/>
            <w:noWrap/>
            <w:hideMark/>
          </w:tcPr>
          <w:p w14:paraId="4079B5F1" w14:textId="7280BA9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107.18</w:t>
            </w:r>
          </w:p>
        </w:tc>
        <w:tc>
          <w:tcPr>
            <w:tcW w:w="1156" w:type="pct"/>
            <w:shd w:val="clear" w:color="auto" w:fill="auto"/>
            <w:noWrap/>
            <w:hideMark/>
          </w:tcPr>
          <w:p w14:paraId="1845B446" w14:textId="5CE7881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107.43</w:t>
            </w:r>
          </w:p>
        </w:tc>
        <w:tc>
          <w:tcPr>
            <w:tcW w:w="774" w:type="pct"/>
            <w:shd w:val="clear" w:color="auto" w:fill="auto"/>
            <w:noWrap/>
            <w:hideMark/>
          </w:tcPr>
          <w:p w14:paraId="45218D1D" w14:textId="54BC204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106.64</w:t>
            </w:r>
          </w:p>
        </w:tc>
        <w:tc>
          <w:tcPr>
            <w:tcW w:w="1030" w:type="pct"/>
            <w:shd w:val="clear" w:color="auto" w:fill="auto"/>
            <w:noWrap/>
            <w:hideMark/>
          </w:tcPr>
          <w:p w14:paraId="332F6767" w14:textId="4269E72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105.5429</w:t>
            </w:r>
          </w:p>
        </w:tc>
        <w:tc>
          <w:tcPr>
            <w:tcW w:w="863" w:type="pct"/>
            <w:shd w:val="clear" w:color="auto" w:fill="auto"/>
            <w:noWrap/>
            <w:hideMark/>
          </w:tcPr>
          <w:p w14:paraId="3C9EBA67" w14:textId="3C245D8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107.3814</w:t>
            </w:r>
          </w:p>
        </w:tc>
      </w:tr>
      <w:tr w:rsidR="00BF179D" w:rsidRPr="00063AC8" w14:paraId="6CA57BBD" w14:textId="77777777" w:rsidTr="00E6135C">
        <w:trPr>
          <w:trHeight w:val="20"/>
          <w:jc w:val="center"/>
        </w:trPr>
        <w:tc>
          <w:tcPr>
            <w:tcW w:w="508" w:type="pct"/>
            <w:tcBorders>
              <w:right w:val="single" w:sz="4" w:space="0" w:color="auto"/>
            </w:tcBorders>
            <w:shd w:val="clear" w:color="auto" w:fill="auto"/>
            <w:vAlign w:val="center"/>
            <w:hideMark/>
          </w:tcPr>
          <w:p w14:paraId="3350B9B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201706</w:t>
            </w:r>
          </w:p>
        </w:tc>
        <w:tc>
          <w:tcPr>
            <w:tcW w:w="669" w:type="pct"/>
            <w:tcBorders>
              <w:left w:val="single" w:sz="4" w:space="0" w:color="auto"/>
            </w:tcBorders>
            <w:shd w:val="clear" w:color="auto" w:fill="auto"/>
            <w:noWrap/>
            <w:hideMark/>
          </w:tcPr>
          <w:p w14:paraId="3AF20184" w14:textId="2814EB7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107.4814</w:t>
            </w:r>
          </w:p>
        </w:tc>
        <w:tc>
          <w:tcPr>
            <w:tcW w:w="1156" w:type="pct"/>
            <w:shd w:val="clear" w:color="auto" w:fill="auto"/>
            <w:noWrap/>
            <w:hideMark/>
          </w:tcPr>
          <w:p w14:paraId="713102D6" w14:textId="320C132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107.7671</w:t>
            </w:r>
          </w:p>
        </w:tc>
        <w:tc>
          <w:tcPr>
            <w:tcW w:w="774" w:type="pct"/>
            <w:shd w:val="clear" w:color="auto" w:fill="auto"/>
            <w:noWrap/>
            <w:hideMark/>
          </w:tcPr>
          <w:p w14:paraId="0046BC70" w14:textId="11BB900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106.7986</w:t>
            </w:r>
          </w:p>
        </w:tc>
        <w:tc>
          <w:tcPr>
            <w:tcW w:w="1030" w:type="pct"/>
            <w:shd w:val="clear" w:color="auto" w:fill="auto"/>
            <w:noWrap/>
            <w:hideMark/>
          </w:tcPr>
          <w:p w14:paraId="34B7CF5B" w14:textId="2652777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106.1443</w:t>
            </w:r>
          </w:p>
        </w:tc>
        <w:tc>
          <w:tcPr>
            <w:tcW w:w="863" w:type="pct"/>
            <w:shd w:val="clear" w:color="auto" w:fill="auto"/>
            <w:noWrap/>
            <w:hideMark/>
          </w:tcPr>
          <w:p w14:paraId="0A9AB885" w14:textId="3B5AF2D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107.45</w:t>
            </w:r>
          </w:p>
        </w:tc>
      </w:tr>
      <w:tr w:rsidR="00BF179D" w:rsidRPr="00063AC8" w14:paraId="4A76C9F3" w14:textId="77777777" w:rsidTr="00E6135C">
        <w:trPr>
          <w:trHeight w:val="20"/>
          <w:jc w:val="center"/>
        </w:trPr>
        <w:tc>
          <w:tcPr>
            <w:tcW w:w="508" w:type="pct"/>
            <w:tcBorders>
              <w:right w:val="single" w:sz="4" w:space="0" w:color="auto"/>
            </w:tcBorders>
            <w:shd w:val="clear" w:color="auto" w:fill="auto"/>
            <w:vAlign w:val="center"/>
            <w:hideMark/>
          </w:tcPr>
          <w:p w14:paraId="2388EF0F"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201707</w:t>
            </w:r>
          </w:p>
        </w:tc>
        <w:tc>
          <w:tcPr>
            <w:tcW w:w="669" w:type="pct"/>
            <w:tcBorders>
              <w:left w:val="single" w:sz="4" w:space="0" w:color="auto"/>
            </w:tcBorders>
            <w:shd w:val="clear" w:color="auto" w:fill="auto"/>
            <w:noWrap/>
            <w:hideMark/>
          </w:tcPr>
          <w:p w14:paraId="5747CD6B" w14:textId="7F2FB3A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107.4257</w:t>
            </w:r>
          </w:p>
        </w:tc>
        <w:tc>
          <w:tcPr>
            <w:tcW w:w="1156" w:type="pct"/>
            <w:shd w:val="clear" w:color="auto" w:fill="auto"/>
            <w:noWrap/>
            <w:hideMark/>
          </w:tcPr>
          <w:p w14:paraId="78A059D5" w14:textId="13C3565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107.68</w:t>
            </w:r>
          </w:p>
        </w:tc>
        <w:tc>
          <w:tcPr>
            <w:tcW w:w="774" w:type="pct"/>
            <w:shd w:val="clear" w:color="auto" w:fill="auto"/>
            <w:noWrap/>
            <w:hideMark/>
          </w:tcPr>
          <w:p w14:paraId="3AA34A06" w14:textId="2696F15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106.9114</w:t>
            </w:r>
          </w:p>
        </w:tc>
        <w:tc>
          <w:tcPr>
            <w:tcW w:w="1030" w:type="pct"/>
            <w:shd w:val="clear" w:color="auto" w:fill="auto"/>
            <w:noWrap/>
            <w:hideMark/>
          </w:tcPr>
          <w:p w14:paraId="255B9595" w14:textId="7D84377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106.4543</w:t>
            </w:r>
          </w:p>
        </w:tc>
        <w:tc>
          <w:tcPr>
            <w:tcW w:w="863" w:type="pct"/>
            <w:shd w:val="clear" w:color="auto" w:fill="auto"/>
            <w:noWrap/>
            <w:hideMark/>
          </w:tcPr>
          <w:p w14:paraId="458640F5" w14:textId="593FCBC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107.5029</w:t>
            </w:r>
          </w:p>
        </w:tc>
      </w:tr>
      <w:tr w:rsidR="00BF179D" w:rsidRPr="00063AC8" w14:paraId="2A7FD233" w14:textId="77777777" w:rsidTr="00E6135C">
        <w:trPr>
          <w:trHeight w:val="20"/>
          <w:jc w:val="center"/>
        </w:trPr>
        <w:tc>
          <w:tcPr>
            <w:tcW w:w="508" w:type="pct"/>
            <w:tcBorders>
              <w:right w:val="single" w:sz="4" w:space="0" w:color="auto"/>
            </w:tcBorders>
            <w:shd w:val="clear" w:color="auto" w:fill="auto"/>
            <w:vAlign w:val="center"/>
            <w:hideMark/>
          </w:tcPr>
          <w:p w14:paraId="4A2E4C0A"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201708</w:t>
            </w:r>
          </w:p>
        </w:tc>
        <w:tc>
          <w:tcPr>
            <w:tcW w:w="669" w:type="pct"/>
            <w:tcBorders>
              <w:left w:val="single" w:sz="4" w:space="0" w:color="auto"/>
            </w:tcBorders>
            <w:shd w:val="clear" w:color="auto" w:fill="auto"/>
            <w:noWrap/>
            <w:hideMark/>
          </w:tcPr>
          <w:p w14:paraId="6D27F086" w14:textId="4978258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107.3286</w:t>
            </w:r>
          </w:p>
        </w:tc>
        <w:tc>
          <w:tcPr>
            <w:tcW w:w="1156" w:type="pct"/>
            <w:shd w:val="clear" w:color="auto" w:fill="auto"/>
            <w:noWrap/>
            <w:hideMark/>
          </w:tcPr>
          <w:p w14:paraId="30433D2A" w14:textId="4CB6FA3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107.5429</w:t>
            </w:r>
          </w:p>
        </w:tc>
        <w:tc>
          <w:tcPr>
            <w:tcW w:w="774" w:type="pct"/>
            <w:shd w:val="clear" w:color="auto" w:fill="auto"/>
            <w:noWrap/>
            <w:hideMark/>
          </w:tcPr>
          <w:p w14:paraId="1E8E5119" w14:textId="7CE9263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106.99</w:t>
            </w:r>
          </w:p>
        </w:tc>
        <w:tc>
          <w:tcPr>
            <w:tcW w:w="1030" w:type="pct"/>
            <w:shd w:val="clear" w:color="auto" w:fill="auto"/>
            <w:noWrap/>
            <w:hideMark/>
          </w:tcPr>
          <w:p w14:paraId="54C9E194" w14:textId="50E7177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106.8343</w:t>
            </w:r>
          </w:p>
        </w:tc>
        <w:tc>
          <w:tcPr>
            <w:tcW w:w="863" w:type="pct"/>
            <w:shd w:val="clear" w:color="auto" w:fill="auto"/>
            <w:noWrap/>
            <w:hideMark/>
          </w:tcPr>
          <w:p w14:paraId="5FDFDF21" w14:textId="5557AD1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107.7071</w:t>
            </w:r>
          </w:p>
        </w:tc>
      </w:tr>
      <w:tr w:rsidR="00BF179D" w:rsidRPr="00063AC8" w14:paraId="58BA327C" w14:textId="77777777" w:rsidTr="00E6135C">
        <w:trPr>
          <w:trHeight w:val="20"/>
          <w:jc w:val="center"/>
        </w:trPr>
        <w:tc>
          <w:tcPr>
            <w:tcW w:w="508" w:type="pct"/>
            <w:tcBorders>
              <w:right w:val="single" w:sz="4" w:space="0" w:color="auto"/>
            </w:tcBorders>
            <w:shd w:val="clear" w:color="auto" w:fill="auto"/>
            <w:vAlign w:val="center"/>
            <w:hideMark/>
          </w:tcPr>
          <w:p w14:paraId="04AFC6DF"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201709</w:t>
            </w:r>
          </w:p>
        </w:tc>
        <w:tc>
          <w:tcPr>
            <w:tcW w:w="669" w:type="pct"/>
            <w:tcBorders>
              <w:left w:val="single" w:sz="4" w:space="0" w:color="auto"/>
            </w:tcBorders>
            <w:shd w:val="clear" w:color="auto" w:fill="auto"/>
            <w:noWrap/>
            <w:hideMark/>
          </w:tcPr>
          <w:p w14:paraId="666D1268" w14:textId="41B159A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107.44</w:t>
            </w:r>
          </w:p>
        </w:tc>
        <w:tc>
          <w:tcPr>
            <w:tcW w:w="1156" w:type="pct"/>
            <w:shd w:val="clear" w:color="auto" w:fill="auto"/>
            <w:noWrap/>
            <w:hideMark/>
          </w:tcPr>
          <w:p w14:paraId="0167FEDF" w14:textId="090C923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107.5514</w:t>
            </w:r>
          </w:p>
        </w:tc>
        <w:tc>
          <w:tcPr>
            <w:tcW w:w="774" w:type="pct"/>
            <w:shd w:val="clear" w:color="auto" w:fill="auto"/>
            <w:noWrap/>
            <w:hideMark/>
          </w:tcPr>
          <w:p w14:paraId="0DA95162" w14:textId="5768F6E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107.2986</w:t>
            </w:r>
          </w:p>
        </w:tc>
        <w:tc>
          <w:tcPr>
            <w:tcW w:w="1030" w:type="pct"/>
            <w:shd w:val="clear" w:color="auto" w:fill="auto"/>
            <w:noWrap/>
            <w:hideMark/>
          </w:tcPr>
          <w:p w14:paraId="33A3E210" w14:textId="2D81430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106.9686</w:t>
            </w:r>
          </w:p>
        </w:tc>
        <w:tc>
          <w:tcPr>
            <w:tcW w:w="863" w:type="pct"/>
            <w:shd w:val="clear" w:color="auto" w:fill="auto"/>
            <w:noWrap/>
            <w:hideMark/>
          </w:tcPr>
          <w:p w14:paraId="31244D67" w14:textId="1E61796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106.8986</w:t>
            </w:r>
          </w:p>
        </w:tc>
      </w:tr>
      <w:tr w:rsidR="00BF179D" w:rsidRPr="00063AC8" w14:paraId="3F57B7AA" w14:textId="77777777" w:rsidTr="00E6135C">
        <w:trPr>
          <w:trHeight w:val="20"/>
          <w:jc w:val="center"/>
        </w:trPr>
        <w:tc>
          <w:tcPr>
            <w:tcW w:w="508" w:type="pct"/>
            <w:tcBorders>
              <w:right w:val="single" w:sz="4" w:space="0" w:color="auto"/>
            </w:tcBorders>
            <w:shd w:val="clear" w:color="auto" w:fill="auto"/>
            <w:vAlign w:val="center"/>
            <w:hideMark/>
          </w:tcPr>
          <w:p w14:paraId="7A2F9AD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201710</w:t>
            </w:r>
          </w:p>
        </w:tc>
        <w:tc>
          <w:tcPr>
            <w:tcW w:w="669" w:type="pct"/>
            <w:tcBorders>
              <w:left w:val="single" w:sz="4" w:space="0" w:color="auto"/>
            </w:tcBorders>
            <w:shd w:val="clear" w:color="auto" w:fill="auto"/>
            <w:noWrap/>
            <w:hideMark/>
          </w:tcPr>
          <w:p w14:paraId="0F553AAD" w14:textId="5A42426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107.4957</w:t>
            </w:r>
          </w:p>
        </w:tc>
        <w:tc>
          <w:tcPr>
            <w:tcW w:w="1156" w:type="pct"/>
            <w:shd w:val="clear" w:color="auto" w:fill="auto"/>
            <w:noWrap/>
            <w:hideMark/>
          </w:tcPr>
          <w:p w14:paraId="53B8B46C" w14:textId="499DCDF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107.5614</w:t>
            </w:r>
          </w:p>
        </w:tc>
        <w:tc>
          <w:tcPr>
            <w:tcW w:w="774" w:type="pct"/>
            <w:shd w:val="clear" w:color="auto" w:fill="auto"/>
            <w:noWrap/>
            <w:hideMark/>
          </w:tcPr>
          <w:p w14:paraId="6FEE6833" w14:textId="47860F8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107.5686</w:t>
            </w:r>
          </w:p>
        </w:tc>
        <w:tc>
          <w:tcPr>
            <w:tcW w:w="1030" w:type="pct"/>
            <w:shd w:val="clear" w:color="auto" w:fill="auto"/>
            <w:noWrap/>
            <w:hideMark/>
          </w:tcPr>
          <w:p w14:paraId="28206BFB" w14:textId="1190AA9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106.9186</w:t>
            </w:r>
          </w:p>
        </w:tc>
        <w:tc>
          <w:tcPr>
            <w:tcW w:w="863" w:type="pct"/>
            <w:shd w:val="clear" w:color="auto" w:fill="auto"/>
            <w:noWrap/>
            <w:hideMark/>
          </w:tcPr>
          <w:p w14:paraId="7EDB54F8" w14:textId="151F321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107.6586</w:t>
            </w:r>
          </w:p>
        </w:tc>
      </w:tr>
      <w:tr w:rsidR="00BF179D" w:rsidRPr="00063AC8" w14:paraId="13925D09" w14:textId="77777777" w:rsidTr="00E6135C">
        <w:trPr>
          <w:trHeight w:val="20"/>
          <w:jc w:val="center"/>
        </w:trPr>
        <w:tc>
          <w:tcPr>
            <w:tcW w:w="508" w:type="pct"/>
            <w:tcBorders>
              <w:right w:val="single" w:sz="4" w:space="0" w:color="auto"/>
            </w:tcBorders>
            <w:shd w:val="clear" w:color="auto" w:fill="auto"/>
            <w:vAlign w:val="center"/>
            <w:hideMark/>
          </w:tcPr>
          <w:p w14:paraId="232DBB1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201711</w:t>
            </w:r>
          </w:p>
        </w:tc>
        <w:tc>
          <w:tcPr>
            <w:tcW w:w="669" w:type="pct"/>
            <w:tcBorders>
              <w:left w:val="single" w:sz="4" w:space="0" w:color="auto"/>
            </w:tcBorders>
            <w:shd w:val="clear" w:color="auto" w:fill="auto"/>
            <w:noWrap/>
            <w:hideMark/>
          </w:tcPr>
          <w:p w14:paraId="2C7036E1" w14:textId="43C4CF7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107.71</w:t>
            </w:r>
          </w:p>
        </w:tc>
        <w:tc>
          <w:tcPr>
            <w:tcW w:w="1156" w:type="pct"/>
            <w:shd w:val="clear" w:color="auto" w:fill="auto"/>
            <w:noWrap/>
            <w:hideMark/>
          </w:tcPr>
          <w:p w14:paraId="67F62C6E" w14:textId="705025D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107.7829</w:t>
            </w:r>
          </w:p>
        </w:tc>
        <w:tc>
          <w:tcPr>
            <w:tcW w:w="774" w:type="pct"/>
            <w:shd w:val="clear" w:color="auto" w:fill="auto"/>
            <w:noWrap/>
            <w:hideMark/>
          </w:tcPr>
          <w:p w14:paraId="6A1357DE" w14:textId="3A3325B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107.7643</w:t>
            </w:r>
          </w:p>
        </w:tc>
        <w:tc>
          <w:tcPr>
            <w:tcW w:w="1030" w:type="pct"/>
            <w:shd w:val="clear" w:color="auto" w:fill="auto"/>
            <w:noWrap/>
            <w:hideMark/>
          </w:tcPr>
          <w:p w14:paraId="031ECCAC" w14:textId="63F3176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107.21</w:t>
            </w:r>
          </w:p>
        </w:tc>
        <w:tc>
          <w:tcPr>
            <w:tcW w:w="863" w:type="pct"/>
            <w:shd w:val="clear" w:color="auto" w:fill="auto"/>
            <w:noWrap/>
            <w:hideMark/>
          </w:tcPr>
          <w:p w14:paraId="4F9EA0F9" w14:textId="319DE6D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107.7271</w:t>
            </w:r>
          </w:p>
        </w:tc>
      </w:tr>
      <w:tr w:rsidR="00BF179D" w:rsidRPr="00063AC8" w14:paraId="60539671" w14:textId="77777777" w:rsidTr="00E6135C">
        <w:trPr>
          <w:trHeight w:val="20"/>
          <w:jc w:val="center"/>
        </w:trPr>
        <w:tc>
          <w:tcPr>
            <w:tcW w:w="508" w:type="pct"/>
            <w:tcBorders>
              <w:right w:val="single" w:sz="4" w:space="0" w:color="auto"/>
            </w:tcBorders>
            <w:shd w:val="clear" w:color="auto" w:fill="auto"/>
            <w:vAlign w:val="center"/>
            <w:hideMark/>
          </w:tcPr>
          <w:p w14:paraId="7107CDF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201712</w:t>
            </w:r>
          </w:p>
        </w:tc>
        <w:tc>
          <w:tcPr>
            <w:tcW w:w="669" w:type="pct"/>
            <w:tcBorders>
              <w:left w:val="single" w:sz="4" w:space="0" w:color="auto"/>
            </w:tcBorders>
            <w:shd w:val="clear" w:color="auto" w:fill="auto"/>
            <w:noWrap/>
            <w:hideMark/>
          </w:tcPr>
          <w:p w14:paraId="5374DF82" w14:textId="5EF7881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107.9957</w:t>
            </w:r>
          </w:p>
        </w:tc>
        <w:tc>
          <w:tcPr>
            <w:tcW w:w="1156" w:type="pct"/>
            <w:shd w:val="clear" w:color="auto" w:fill="auto"/>
            <w:noWrap/>
            <w:hideMark/>
          </w:tcPr>
          <w:p w14:paraId="45AF5E5C" w14:textId="4485723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108.0914</w:t>
            </w:r>
          </w:p>
        </w:tc>
        <w:tc>
          <w:tcPr>
            <w:tcW w:w="774" w:type="pct"/>
            <w:shd w:val="clear" w:color="auto" w:fill="auto"/>
            <w:noWrap/>
            <w:hideMark/>
          </w:tcPr>
          <w:p w14:paraId="73C3CAFB" w14:textId="48F80D3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107.9443</w:t>
            </w:r>
          </w:p>
        </w:tc>
        <w:tc>
          <w:tcPr>
            <w:tcW w:w="1030" w:type="pct"/>
            <w:shd w:val="clear" w:color="auto" w:fill="auto"/>
            <w:noWrap/>
            <w:hideMark/>
          </w:tcPr>
          <w:p w14:paraId="394EFE0A" w14:textId="433EDA4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107.2171</w:t>
            </w:r>
          </w:p>
        </w:tc>
        <w:tc>
          <w:tcPr>
            <w:tcW w:w="863" w:type="pct"/>
            <w:shd w:val="clear" w:color="auto" w:fill="auto"/>
            <w:noWrap/>
            <w:hideMark/>
          </w:tcPr>
          <w:p w14:paraId="26748D0B" w14:textId="69CEAC3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107.6843</w:t>
            </w:r>
          </w:p>
        </w:tc>
      </w:tr>
      <w:tr w:rsidR="00BF179D" w:rsidRPr="00063AC8" w14:paraId="27418382" w14:textId="77777777" w:rsidTr="00E6135C">
        <w:trPr>
          <w:trHeight w:val="20"/>
          <w:jc w:val="center"/>
        </w:trPr>
        <w:tc>
          <w:tcPr>
            <w:tcW w:w="508" w:type="pct"/>
            <w:tcBorders>
              <w:right w:val="single" w:sz="4" w:space="0" w:color="auto"/>
            </w:tcBorders>
            <w:shd w:val="clear" w:color="auto" w:fill="auto"/>
            <w:vAlign w:val="center"/>
            <w:hideMark/>
          </w:tcPr>
          <w:p w14:paraId="01BF56C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201801</w:t>
            </w:r>
          </w:p>
        </w:tc>
        <w:tc>
          <w:tcPr>
            <w:tcW w:w="669" w:type="pct"/>
            <w:tcBorders>
              <w:left w:val="single" w:sz="4" w:space="0" w:color="auto"/>
            </w:tcBorders>
            <w:shd w:val="clear" w:color="auto" w:fill="auto"/>
            <w:noWrap/>
            <w:hideMark/>
          </w:tcPr>
          <w:p w14:paraId="2470CF16" w14:textId="7BE5D2C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108.3043</w:t>
            </w:r>
          </w:p>
        </w:tc>
        <w:tc>
          <w:tcPr>
            <w:tcW w:w="1156" w:type="pct"/>
            <w:shd w:val="clear" w:color="auto" w:fill="auto"/>
            <w:noWrap/>
            <w:hideMark/>
          </w:tcPr>
          <w:p w14:paraId="16C53AB7" w14:textId="5CBC2CB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108.4257</w:t>
            </w:r>
          </w:p>
        </w:tc>
        <w:tc>
          <w:tcPr>
            <w:tcW w:w="774" w:type="pct"/>
            <w:shd w:val="clear" w:color="auto" w:fill="auto"/>
            <w:noWrap/>
            <w:hideMark/>
          </w:tcPr>
          <w:p w14:paraId="276A400B" w14:textId="31DE1DA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108.1957</w:t>
            </w:r>
          </w:p>
        </w:tc>
        <w:tc>
          <w:tcPr>
            <w:tcW w:w="1030" w:type="pct"/>
            <w:shd w:val="clear" w:color="auto" w:fill="auto"/>
            <w:noWrap/>
            <w:hideMark/>
          </w:tcPr>
          <w:p w14:paraId="3227BD5D" w14:textId="6DD68F4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107.02</w:t>
            </w:r>
          </w:p>
        </w:tc>
        <w:tc>
          <w:tcPr>
            <w:tcW w:w="863" w:type="pct"/>
            <w:shd w:val="clear" w:color="auto" w:fill="auto"/>
            <w:noWrap/>
            <w:hideMark/>
          </w:tcPr>
          <w:p w14:paraId="39986AAF" w14:textId="301A5C7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107.8786</w:t>
            </w:r>
          </w:p>
        </w:tc>
      </w:tr>
      <w:tr w:rsidR="00BF179D" w:rsidRPr="00063AC8" w14:paraId="6ACAB47A" w14:textId="77777777" w:rsidTr="00E6135C">
        <w:trPr>
          <w:trHeight w:val="20"/>
          <w:jc w:val="center"/>
        </w:trPr>
        <w:tc>
          <w:tcPr>
            <w:tcW w:w="508" w:type="pct"/>
            <w:tcBorders>
              <w:right w:val="single" w:sz="4" w:space="0" w:color="auto"/>
            </w:tcBorders>
            <w:shd w:val="clear" w:color="auto" w:fill="auto"/>
            <w:vAlign w:val="center"/>
            <w:hideMark/>
          </w:tcPr>
          <w:p w14:paraId="175ED41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201802</w:t>
            </w:r>
          </w:p>
        </w:tc>
        <w:tc>
          <w:tcPr>
            <w:tcW w:w="669" w:type="pct"/>
            <w:tcBorders>
              <w:left w:val="single" w:sz="4" w:space="0" w:color="auto"/>
            </w:tcBorders>
            <w:shd w:val="clear" w:color="auto" w:fill="auto"/>
            <w:noWrap/>
            <w:hideMark/>
          </w:tcPr>
          <w:p w14:paraId="2BFB433C" w14:textId="4FA5445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108.8929</w:t>
            </w:r>
          </w:p>
        </w:tc>
        <w:tc>
          <w:tcPr>
            <w:tcW w:w="1156" w:type="pct"/>
            <w:shd w:val="clear" w:color="auto" w:fill="auto"/>
            <w:noWrap/>
            <w:hideMark/>
          </w:tcPr>
          <w:p w14:paraId="614F1635" w14:textId="05E81AF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109.0343</w:t>
            </w:r>
          </w:p>
        </w:tc>
        <w:tc>
          <w:tcPr>
            <w:tcW w:w="774" w:type="pct"/>
            <w:shd w:val="clear" w:color="auto" w:fill="auto"/>
            <w:noWrap/>
            <w:hideMark/>
          </w:tcPr>
          <w:p w14:paraId="3213DF0C" w14:textId="3043F12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108.6186</w:t>
            </w:r>
          </w:p>
        </w:tc>
        <w:tc>
          <w:tcPr>
            <w:tcW w:w="1030" w:type="pct"/>
            <w:shd w:val="clear" w:color="auto" w:fill="auto"/>
            <w:noWrap/>
            <w:hideMark/>
          </w:tcPr>
          <w:p w14:paraId="3F60A980" w14:textId="1B11F62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107.6029</w:t>
            </w:r>
          </w:p>
        </w:tc>
        <w:tc>
          <w:tcPr>
            <w:tcW w:w="863" w:type="pct"/>
            <w:shd w:val="clear" w:color="auto" w:fill="auto"/>
            <w:noWrap/>
            <w:hideMark/>
          </w:tcPr>
          <w:p w14:paraId="7A535AAE" w14:textId="252F5CA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108.54</w:t>
            </w:r>
          </w:p>
        </w:tc>
      </w:tr>
      <w:tr w:rsidR="00BF179D" w:rsidRPr="00063AC8" w14:paraId="64C346E8" w14:textId="77777777" w:rsidTr="00E6135C">
        <w:trPr>
          <w:trHeight w:val="20"/>
          <w:jc w:val="center"/>
        </w:trPr>
        <w:tc>
          <w:tcPr>
            <w:tcW w:w="508" w:type="pct"/>
            <w:tcBorders>
              <w:right w:val="single" w:sz="4" w:space="0" w:color="auto"/>
            </w:tcBorders>
            <w:shd w:val="clear" w:color="auto" w:fill="auto"/>
            <w:vAlign w:val="center"/>
            <w:hideMark/>
          </w:tcPr>
          <w:p w14:paraId="7D7AA27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201803</w:t>
            </w:r>
          </w:p>
        </w:tc>
        <w:tc>
          <w:tcPr>
            <w:tcW w:w="669" w:type="pct"/>
            <w:tcBorders>
              <w:left w:val="single" w:sz="4" w:space="0" w:color="auto"/>
            </w:tcBorders>
            <w:shd w:val="clear" w:color="auto" w:fill="auto"/>
            <w:noWrap/>
            <w:hideMark/>
          </w:tcPr>
          <w:p w14:paraId="64B833C1" w14:textId="5FAEDD6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109.38</w:t>
            </w:r>
          </w:p>
        </w:tc>
        <w:tc>
          <w:tcPr>
            <w:tcW w:w="1156" w:type="pct"/>
            <w:shd w:val="clear" w:color="auto" w:fill="auto"/>
            <w:noWrap/>
            <w:hideMark/>
          </w:tcPr>
          <w:p w14:paraId="09A662AF" w14:textId="471D17D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109.5357</w:t>
            </w:r>
          </w:p>
        </w:tc>
        <w:tc>
          <w:tcPr>
            <w:tcW w:w="774" w:type="pct"/>
            <w:shd w:val="clear" w:color="auto" w:fill="auto"/>
            <w:noWrap/>
            <w:hideMark/>
          </w:tcPr>
          <w:p w14:paraId="4F2498CF" w14:textId="00DA255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109.0271</w:t>
            </w:r>
          </w:p>
        </w:tc>
        <w:tc>
          <w:tcPr>
            <w:tcW w:w="1030" w:type="pct"/>
            <w:shd w:val="clear" w:color="auto" w:fill="auto"/>
            <w:noWrap/>
            <w:hideMark/>
          </w:tcPr>
          <w:p w14:paraId="4A0710BE" w14:textId="20E0534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108.3157</w:t>
            </w:r>
          </w:p>
        </w:tc>
        <w:tc>
          <w:tcPr>
            <w:tcW w:w="863" w:type="pct"/>
            <w:shd w:val="clear" w:color="auto" w:fill="auto"/>
            <w:noWrap/>
            <w:hideMark/>
          </w:tcPr>
          <w:p w14:paraId="0C1A372C" w14:textId="5DE2635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108.1929</w:t>
            </w:r>
          </w:p>
        </w:tc>
      </w:tr>
      <w:tr w:rsidR="00BF179D" w:rsidRPr="00063AC8" w14:paraId="44116CA0" w14:textId="77777777" w:rsidTr="00E6135C">
        <w:trPr>
          <w:trHeight w:val="20"/>
          <w:jc w:val="center"/>
        </w:trPr>
        <w:tc>
          <w:tcPr>
            <w:tcW w:w="508" w:type="pct"/>
            <w:tcBorders>
              <w:right w:val="single" w:sz="4" w:space="0" w:color="auto"/>
            </w:tcBorders>
            <w:shd w:val="clear" w:color="auto" w:fill="auto"/>
            <w:vAlign w:val="center"/>
            <w:hideMark/>
          </w:tcPr>
          <w:p w14:paraId="32842DC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lastRenderedPageBreak/>
              <w:t>201804</w:t>
            </w:r>
          </w:p>
        </w:tc>
        <w:tc>
          <w:tcPr>
            <w:tcW w:w="669" w:type="pct"/>
            <w:tcBorders>
              <w:left w:val="single" w:sz="4" w:space="0" w:color="auto"/>
            </w:tcBorders>
            <w:shd w:val="clear" w:color="auto" w:fill="auto"/>
            <w:noWrap/>
            <w:hideMark/>
          </w:tcPr>
          <w:p w14:paraId="13DC78DF" w14:textId="0F50E05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109.75</w:t>
            </w:r>
          </w:p>
        </w:tc>
        <w:tc>
          <w:tcPr>
            <w:tcW w:w="1156" w:type="pct"/>
            <w:shd w:val="clear" w:color="auto" w:fill="auto"/>
            <w:noWrap/>
            <w:hideMark/>
          </w:tcPr>
          <w:p w14:paraId="0C15AD20" w14:textId="390B8F4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109.8543</w:t>
            </w:r>
          </w:p>
        </w:tc>
        <w:tc>
          <w:tcPr>
            <w:tcW w:w="774" w:type="pct"/>
            <w:shd w:val="clear" w:color="auto" w:fill="auto"/>
            <w:noWrap/>
            <w:hideMark/>
          </w:tcPr>
          <w:p w14:paraId="369F5B40" w14:textId="0B25910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109.52</w:t>
            </w:r>
          </w:p>
        </w:tc>
        <w:tc>
          <w:tcPr>
            <w:tcW w:w="1030" w:type="pct"/>
            <w:shd w:val="clear" w:color="auto" w:fill="auto"/>
            <w:noWrap/>
            <w:hideMark/>
          </w:tcPr>
          <w:p w14:paraId="1A7C69B0" w14:textId="4C7904F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108.6343</w:t>
            </w:r>
          </w:p>
        </w:tc>
        <w:tc>
          <w:tcPr>
            <w:tcW w:w="863" w:type="pct"/>
            <w:shd w:val="clear" w:color="auto" w:fill="auto"/>
            <w:noWrap/>
            <w:hideMark/>
          </w:tcPr>
          <w:p w14:paraId="31EF4AB2" w14:textId="2105FBC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108.4157</w:t>
            </w:r>
          </w:p>
        </w:tc>
      </w:tr>
      <w:tr w:rsidR="00BF179D" w:rsidRPr="00063AC8" w14:paraId="587BB5C2" w14:textId="77777777" w:rsidTr="00E6135C">
        <w:trPr>
          <w:trHeight w:val="20"/>
          <w:jc w:val="center"/>
        </w:trPr>
        <w:tc>
          <w:tcPr>
            <w:tcW w:w="508" w:type="pct"/>
            <w:tcBorders>
              <w:right w:val="single" w:sz="4" w:space="0" w:color="auto"/>
            </w:tcBorders>
            <w:shd w:val="clear" w:color="auto" w:fill="auto"/>
            <w:vAlign w:val="center"/>
            <w:hideMark/>
          </w:tcPr>
          <w:p w14:paraId="6B81076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201805</w:t>
            </w:r>
          </w:p>
        </w:tc>
        <w:tc>
          <w:tcPr>
            <w:tcW w:w="669" w:type="pct"/>
            <w:tcBorders>
              <w:left w:val="single" w:sz="4" w:space="0" w:color="auto"/>
            </w:tcBorders>
            <w:shd w:val="clear" w:color="auto" w:fill="auto"/>
            <w:noWrap/>
            <w:hideMark/>
          </w:tcPr>
          <w:p w14:paraId="50069725" w14:textId="0CE21F8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110.0786</w:t>
            </w:r>
          </w:p>
        </w:tc>
        <w:tc>
          <w:tcPr>
            <w:tcW w:w="1156" w:type="pct"/>
            <w:shd w:val="clear" w:color="auto" w:fill="auto"/>
            <w:noWrap/>
            <w:hideMark/>
          </w:tcPr>
          <w:p w14:paraId="27E14946" w14:textId="058B730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110.1971</w:t>
            </w:r>
          </w:p>
        </w:tc>
        <w:tc>
          <w:tcPr>
            <w:tcW w:w="774" w:type="pct"/>
            <w:shd w:val="clear" w:color="auto" w:fill="auto"/>
            <w:noWrap/>
            <w:hideMark/>
          </w:tcPr>
          <w:p w14:paraId="08C4CC50" w14:textId="0138FF9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109.7929</w:t>
            </w:r>
          </w:p>
        </w:tc>
        <w:tc>
          <w:tcPr>
            <w:tcW w:w="1030" w:type="pct"/>
            <w:shd w:val="clear" w:color="auto" w:fill="auto"/>
            <w:noWrap/>
            <w:hideMark/>
          </w:tcPr>
          <w:p w14:paraId="00DED04A" w14:textId="7E3CA2A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108.6486</w:t>
            </w:r>
          </w:p>
        </w:tc>
        <w:tc>
          <w:tcPr>
            <w:tcW w:w="863" w:type="pct"/>
            <w:shd w:val="clear" w:color="auto" w:fill="auto"/>
            <w:noWrap/>
            <w:hideMark/>
          </w:tcPr>
          <w:p w14:paraId="7EE95556" w14:textId="45D4D61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107.98</w:t>
            </w:r>
          </w:p>
        </w:tc>
      </w:tr>
      <w:tr w:rsidR="00BF179D" w:rsidRPr="00063AC8" w14:paraId="56466BC5" w14:textId="77777777" w:rsidTr="00E6135C">
        <w:trPr>
          <w:trHeight w:val="20"/>
          <w:jc w:val="center"/>
        </w:trPr>
        <w:tc>
          <w:tcPr>
            <w:tcW w:w="508" w:type="pct"/>
            <w:tcBorders>
              <w:right w:val="single" w:sz="4" w:space="0" w:color="auto"/>
            </w:tcBorders>
            <w:shd w:val="clear" w:color="auto" w:fill="auto"/>
            <w:vAlign w:val="center"/>
            <w:hideMark/>
          </w:tcPr>
          <w:p w14:paraId="1CF8C00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201806</w:t>
            </w:r>
          </w:p>
        </w:tc>
        <w:tc>
          <w:tcPr>
            <w:tcW w:w="669" w:type="pct"/>
            <w:tcBorders>
              <w:left w:val="single" w:sz="4" w:space="0" w:color="auto"/>
            </w:tcBorders>
            <w:shd w:val="clear" w:color="auto" w:fill="auto"/>
            <w:noWrap/>
            <w:hideMark/>
          </w:tcPr>
          <w:p w14:paraId="0DEC6DC5" w14:textId="13FED65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110.2857</w:t>
            </w:r>
          </w:p>
        </w:tc>
        <w:tc>
          <w:tcPr>
            <w:tcW w:w="1156" w:type="pct"/>
            <w:shd w:val="clear" w:color="auto" w:fill="auto"/>
            <w:noWrap/>
            <w:hideMark/>
          </w:tcPr>
          <w:p w14:paraId="423BD723" w14:textId="60873B0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110.3986</w:t>
            </w:r>
          </w:p>
        </w:tc>
        <w:tc>
          <w:tcPr>
            <w:tcW w:w="774" w:type="pct"/>
            <w:shd w:val="clear" w:color="auto" w:fill="auto"/>
            <w:noWrap/>
            <w:hideMark/>
          </w:tcPr>
          <w:p w14:paraId="0CB938E1" w14:textId="38A9003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110.05</w:t>
            </w:r>
          </w:p>
        </w:tc>
        <w:tc>
          <w:tcPr>
            <w:tcW w:w="1030" w:type="pct"/>
            <w:shd w:val="clear" w:color="auto" w:fill="auto"/>
            <w:noWrap/>
            <w:hideMark/>
          </w:tcPr>
          <w:p w14:paraId="38C7B714" w14:textId="506D18F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108.6314</w:t>
            </w:r>
          </w:p>
        </w:tc>
        <w:tc>
          <w:tcPr>
            <w:tcW w:w="863" w:type="pct"/>
            <w:shd w:val="clear" w:color="auto" w:fill="auto"/>
            <w:noWrap/>
            <w:hideMark/>
          </w:tcPr>
          <w:p w14:paraId="60C73B9A" w14:textId="656BD13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108.3329</w:t>
            </w:r>
          </w:p>
        </w:tc>
      </w:tr>
      <w:tr w:rsidR="00BF179D" w:rsidRPr="00063AC8" w14:paraId="4C5D5368" w14:textId="77777777" w:rsidTr="00E6135C">
        <w:trPr>
          <w:trHeight w:val="20"/>
          <w:jc w:val="center"/>
        </w:trPr>
        <w:tc>
          <w:tcPr>
            <w:tcW w:w="508" w:type="pct"/>
            <w:tcBorders>
              <w:right w:val="single" w:sz="4" w:space="0" w:color="auto"/>
            </w:tcBorders>
            <w:shd w:val="clear" w:color="auto" w:fill="auto"/>
            <w:vAlign w:val="center"/>
            <w:hideMark/>
          </w:tcPr>
          <w:p w14:paraId="66A142D3"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201807</w:t>
            </w:r>
          </w:p>
        </w:tc>
        <w:tc>
          <w:tcPr>
            <w:tcW w:w="669" w:type="pct"/>
            <w:tcBorders>
              <w:left w:val="single" w:sz="4" w:space="0" w:color="auto"/>
            </w:tcBorders>
            <w:shd w:val="clear" w:color="auto" w:fill="auto"/>
            <w:noWrap/>
            <w:hideMark/>
          </w:tcPr>
          <w:p w14:paraId="538D85D2" w14:textId="18092A0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110.3214</w:t>
            </w:r>
          </w:p>
        </w:tc>
        <w:tc>
          <w:tcPr>
            <w:tcW w:w="1156" w:type="pct"/>
            <w:shd w:val="clear" w:color="auto" w:fill="auto"/>
            <w:noWrap/>
            <w:hideMark/>
          </w:tcPr>
          <w:p w14:paraId="7753BC13" w14:textId="7BB0648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110.36</w:t>
            </w:r>
          </w:p>
        </w:tc>
        <w:tc>
          <w:tcPr>
            <w:tcW w:w="774" w:type="pct"/>
            <w:shd w:val="clear" w:color="auto" w:fill="auto"/>
            <w:noWrap/>
            <w:hideMark/>
          </w:tcPr>
          <w:p w14:paraId="62632F98" w14:textId="6C3F8F2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110.3857</w:t>
            </w:r>
          </w:p>
        </w:tc>
        <w:tc>
          <w:tcPr>
            <w:tcW w:w="1030" w:type="pct"/>
            <w:shd w:val="clear" w:color="auto" w:fill="auto"/>
            <w:noWrap/>
            <w:hideMark/>
          </w:tcPr>
          <w:p w14:paraId="1225BC74" w14:textId="73C3F30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109.3257</w:t>
            </w:r>
          </w:p>
        </w:tc>
        <w:tc>
          <w:tcPr>
            <w:tcW w:w="863" w:type="pct"/>
            <w:shd w:val="clear" w:color="auto" w:fill="auto"/>
            <w:noWrap/>
            <w:hideMark/>
          </w:tcPr>
          <w:p w14:paraId="4CBB66A3" w14:textId="7E64691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109.2043</w:t>
            </w:r>
          </w:p>
        </w:tc>
      </w:tr>
      <w:tr w:rsidR="00BF179D" w:rsidRPr="00063AC8" w14:paraId="431CFD65" w14:textId="77777777" w:rsidTr="00E6135C">
        <w:trPr>
          <w:trHeight w:val="20"/>
          <w:jc w:val="center"/>
        </w:trPr>
        <w:tc>
          <w:tcPr>
            <w:tcW w:w="508" w:type="pct"/>
            <w:tcBorders>
              <w:right w:val="single" w:sz="4" w:space="0" w:color="auto"/>
            </w:tcBorders>
            <w:shd w:val="clear" w:color="auto" w:fill="auto"/>
            <w:vAlign w:val="center"/>
            <w:hideMark/>
          </w:tcPr>
          <w:p w14:paraId="33558E9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201808</w:t>
            </w:r>
          </w:p>
        </w:tc>
        <w:tc>
          <w:tcPr>
            <w:tcW w:w="669" w:type="pct"/>
            <w:tcBorders>
              <w:left w:val="single" w:sz="4" w:space="0" w:color="auto"/>
            </w:tcBorders>
            <w:shd w:val="clear" w:color="auto" w:fill="auto"/>
            <w:noWrap/>
            <w:hideMark/>
          </w:tcPr>
          <w:p w14:paraId="744C9145" w14:textId="4480A7A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110.3486</w:t>
            </w:r>
          </w:p>
        </w:tc>
        <w:tc>
          <w:tcPr>
            <w:tcW w:w="1156" w:type="pct"/>
            <w:shd w:val="clear" w:color="auto" w:fill="auto"/>
            <w:noWrap/>
            <w:hideMark/>
          </w:tcPr>
          <w:p w14:paraId="386DF06A" w14:textId="52EF4DC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110.3286</w:t>
            </w:r>
          </w:p>
        </w:tc>
        <w:tc>
          <w:tcPr>
            <w:tcW w:w="774" w:type="pct"/>
            <w:shd w:val="clear" w:color="auto" w:fill="auto"/>
            <w:noWrap/>
            <w:hideMark/>
          </w:tcPr>
          <w:p w14:paraId="6CACDF28" w14:textId="3728A81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110.6243</w:t>
            </w:r>
          </w:p>
        </w:tc>
        <w:tc>
          <w:tcPr>
            <w:tcW w:w="1030" w:type="pct"/>
            <w:shd w:val="clear" w:color="auto" w:fill="auto"/>
            <w:noWrap/>
            <w:hideMark/>
          </w:tcPr>
          <w:p w14:paraId="3EF9FAC4" w14:textId="7DECB38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110.4371</w:t>
            </w:r>
          </w:p>
        </w:tc>
        <w:tc>
          <w:tcPr>
            <w:tcW w:w="863" w:type="pct"/>
            <w:shd w:val="clear" w:color="auto" w:fill="auto"/>
            <w:noWrap/>
            <w:hideMark/>
          </w:tcPr>
          <w:p w14:paraId="17160726" w14:textId="196D1A9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109.9114</w:t>
            </w:r>
          </w:p>
        </w:tc>
      </w:tr>
      <w:tr w:rsidR="00BF179D" w:rsidRPr="00063AC8" w14:paraId="36C00AF3" w14:textId="77777777" w:rsidTr="00E6135C">
        <w:trPr>
          <w:trHeight w:val="20"/>
          <w:jc w:val="center"/>
        </w:trPr>
        <w:tc>
          <w:tcPr>
            <w:tcW w:w="508" w:type="pct"/>
            <w:tcBorders>
              <w:right w:val="single" w:sz="4" w:space="0" w:color="auto"/>
            </w:tcBorders>
            <w:shd w:val="clear" w:color="auto" w:fill="auto"/>
            <w:vAlign w:val="center"/>
            <w:hideMark/>
          </w:tcPr>
          <w:p w14:paraId="4A31D532"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201809</w:t>
            </w:r>
          </w:p>
        </w:tc>
        <w:tc>
          <w:tcPr>
            <w:tcW w:w="669" w:type="pct"/>
            <w:tcBorders>
              <w:left w:val="single" w:sz="4" w:space="0" w:color="auto"/>
            </w:tcBorders>
            <w:shd w:val="clear" w:color="auto" w:fill="auto"/>
            <w:noWrap/>
            <w:hideMark/>
          </w:tcPr>
          <w:p w14:paraId="74CCC045" w14:textId="398B824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110.2386</w:t>
            </w:r>
          </w:p>
        </w:tc>
        <w:tc>
          <w:tcPr>
            <w:tcW w:w="1156" w:type="pct"/>
            <w:shd w:val="clear" w:color="auto" w:fill="auto"/>
            <w:noWrap/>
            <w:hideMark/>
          </w:tcPr>
          <w:p w14:paraId="6DF9007D" w14:textId="2BB8CFF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110.1471</w:t>
            </w:r>
          </w:p>
        </w:tc>
        <w:tc>
          <w:tcPr>
            <w:tcW w:w="774" w:type="pct"/>
            <w:shd w:val="clear" w:color="auto" w:fill="auto"/>
            <w:noWrap/>
            <w:hideMark/>
          </w:tcPr>
          <w:p w14:paraId="0494AB22" w14:textId="333C145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110.8843</w:t>
            </w:r>
          </w:p>
        </w:tc>
        <w:tc>
          <w:tcPr>
            <w:tcW w:w="1030" w:type="pct"/>
            <w:shd w:val="clear" w:color="auto" w:fill="auto"/>
            <w:noWrap/>
            <w:hideMark/>
          </w:tcPr>
          <w:p w14:paraId="5675E43C" w14:textId="56B5188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110.4943</w:t>
            </w:r>
          </w:p>
        </w:tc>
        <w:tc>
          <w:tcPr>
            <w:tcW w:w="863" w:type="pct"/>
            <w:shd w:val="clear" w:color="auto" w:fill="auto"/>
            <w:noWrap/>
            <w:hideMark/>
          </w:tcPr>
          <w:p w14:paraId="03C1A412" w14:textId="02A48F6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110.2543</w:t>
            </w:r>
          </w:p>
        </w:tc>
      </w:tr>
      <w:tr w:rsidR="00BF179D" w:rsidRPr="00063AC8" w14:paraId="589F4D1A" w14:textId="77777777" w:rsidTr="00E6135C">
        <w:trPr>
          <w:trHeight w:val="20"/>
          <w:jc w:val="center"/>
        </w:trPr>
        <w:tc>
          <w:tcPr>
            <w:tcW w:w="508" w:type="pct"/>
            <w:tcBorders>
              <w:right w:val="single" w:sz="4" w:space="0" w:color="auto"/>
            </w:tcBorders>
            <w:shd w:val="clear" w:color="auto" w:fill="auto"/>
            <w:vAlign w:val="center"/>
            <w:hideMark/>
          </w:tcPr>
          <w:p w14:paraId="0070DFE7"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201810</w:t>
            </w:r>
          </w:p>
        </w:tc>
        <w:tc>
          <w:tcPr>
            <w:tcW w:w="669" w:type="pct"/>
            <w:tcBorders>
              <w:left w:val="single" w:sz="4" w:space="0" w:color="auto"/>
            </w:tcBorders>
            <w:shd w:val="clear" w:color="auto" w:fill="auto"/>
            <w:noWrap/>
            <w:hideMark/>
          </w:tcPr>
          <w:p w14:paraId="054A494F" w14:textId="0D72DD9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110.2957</w:t>
            </w:r>
          </w:p>
        </w:tc>
        <w:tc>
          <w:tcPr>
            <w:tcW w:w="1156" w:type="pct"/>
            <w:shd w:val="clear" w:color="auto" w:fill="auto"/>
            <w:noWrap/>
            <w:hideMark/>
          </w:tcPr>
          <w:p w14:paraId="0DEB0B82" w14:textId="09ECE3A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110.1614</w:t>
            </w:r>
          </w:p>
        </w:tc>
        <w:tc>
          <w:tcPr>
            <w:tcW w:w="774" w:type="pct"/>
            <w:shd w:val="clear" w:color="auto" w:fill="auto"/>
            <w:noWrap/>
            <w:hideMark/>
          </w:tcPr>
          <w:p w14:paraId="0D2534DB" w14:textId="13B794A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111.1429</w:t>
            </w:r>
          </w:p>
        </w:tc>
        <w:tc>
          <w:tcPr>
            <w:tcW w:w="1030" w:type="pct"/>
            <w:shd w:val="clear" w:color="auto" w:fill="auto"/>
            <w:noWrap/>
            <w:hideMark/>
          </w:tcPr>
          <w:p w14:paraId="676979B9" w14:textId="2BEDF23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110.5086</w:t>
            </w:r>
          </w:p>
        </w:tc>
        <w:tc>
          <w:tcPr>
            <w:tcW w:w="863" w:type="pct"/>
            <w:shd w:val="clear" w:color="auto" w:fill="auto"/>
            <w:noWrap/>
            <w:hideMark/>
          </w:tcPr>
          <w:p w14:paraId="546F9B22" w14:textId="748D455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111.9957</w:t>
            </w:r>
          </w:p>
        </w:tc>
      </w:tr>
      <w:tr w:rsidR="00BF179D" w:rsidRPr="00063AC8" w14:paraId="545B2333" w14:textId="77777777" w:rsidTr="00E6135C">
        <w:trPr>
          <w:trHeight w:val="20"/>
          <w:jc w:val="center"/>
        </w:trPr>
        <w:tc>
          <w:tcPr>
            <w:tcW w:w="508" w:type="pct"/>
            <w:tcBorders>
              <w:right w:val="single" w:sz="4" w:space="0" w:color="auto"/>
            </w:tcBorders>
            <w:shd w:val="clear" w:color="auto" w:fill="auto"/>
            <w:vAlign w:val="center"/>
            <w:hideMark/>
          </w:tcPr>
          <w:p w14:paraId="725DD1E8"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201811</w:t>
            </w:r>
          </w:p>
        </w:tc>
        <w:tc>
          <w:tcPr>
            <w:tcW w:w="669" w:type="pct"/>
            <w:tcBorders>
              <w:left w:val="single" w:sz="4" w:space="0" w:color="auto"/>
            </w:tcBorders>
            <w:shd w:val="clear" w:color="auto" w:fill="auto"/>
            <w:noWrap/>
            <w:hideMark/>
          </w:tcPr>
          <w:p w14:paraId="144AADF7" w14:textId="260807E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110.5529</w:t>
            </w:r>
          </w:p>
        </w:tc>
        <w:tc>
          <w:tcPr>
            <w:tcW w:w="1156" w:type="pct"/>
            <w:shd w:val="clear" w:color="auto" w:fill="auto"/>
            <w:noWrap/>
            <w:hideMark/>
          </w:tcPr>
          <w:p w14:paraId="100099CD" w14:textId="66D58DE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110.4114</w:t>
            </w:r>
          </w:p>
        </w:tc>
        <w:tc>
          <w:tcPr>
            <w:tcW w:w="774" w:type="pct"/>
            <w:shd w:val="clear" w:color="auto" w:fill="auto"/>
            <w:noWrap/>
            <w:hideMark/>
          </w:tcPr>
          <w:p w14:paraId="02190260" w14:textId="158276A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111.4571</w:t>
            </w:r>
          </w:p>
        </w:tc>
        <w:tc>
          <w:tcPr>
            <w:tcW w:w="1030" w:type="pct"/>
            <w:shd w:val="clear" w:color="auto" w:fill="auto"/>
            <w:noWrap/>
            <w:hideMark/>
          </w:tcPr>
          <w:p w14:paraId="147CD97F" w14:textId="40DB22C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110.6186</w:t>
            </w:r>
          </w:p>
        </w:tc>
        <w:tc>
          <w:tcPr>
            <w:tcW w:w="863" w:type="pct"/>
            <w:shd w:val="clear" w:color="auto" w:fill="auto"/>
            <w:noWrap/>
            <w:hideMark/>
          </w:tcPr>
          <w:p w14:paraId="14B08E98" w14:textId="7F795C0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113.99</w:t>
            </w:r>
          </w:p>
        </w:tc>
      </w:tr>
      <w:tr w:rsidR="00BF179D" w:rsidRPr="00063AC8" w14:paraId="26AF5204" w14:textId="77777777" w:rsidTr="00E6135C">
        <w:trPr>
          <w:trHeight w:val="20"/>
          <w:jc w:val="center"/>
        </w:trPr>
        <w:tc>
          <w:tcPr>
            <w:tcW w:w="508" w:type="pct"/>
            <w:tcBorders>
              <w:right w:val="single" w:sz="4" w:space="0" w:color="auto"/>
            </w:tcBorders>
            <w:shd w:val="clear" w:color="auto" w:fill="auto"/>
            <w:vAlign w:val="center"/>
            <w:hideMark/>
          </w:tcPr>
          <w:p w14:paraId="47624E6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201812</w:t>
            </w:r>
          </w:p>
        </w:tc>
        <w:tc>
          <w:tcPr>
            <w:tcW w:w="669" w:type="pct"/>
            <w:tcBorders>
              <w:left w:val="single" w:sz="4" w:space="0" w:color="auto"/>
            </w:tcBorders>
            <w:shd w:val="clear" w:color="auto" w:fill="auto"/>
            <w:noWrap/>
            <w:hideMark/>
          </w:tcPr>
          <w:p w14:paraId="21663DA1" w14:textId="3546FBE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110.9529</w:t>
            </w:r>
          </w:p>
        </w:tc>
        <w:tc>
          <w:tcPr>
            <w:tcW w:w="1156" w:type="pct"/>
            <w:shd w:val="clear" w:color="auto" w:fill="auto"/>
            <w:noWrap/>
            <w:hideMark/>
          </w:tcPr>
          <w:p w14:paraId="6A570128" w14:textId="115CC79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110.8114</w:t>
            </w:r>
          </w:p>
        </w:tc>
        <w:tc>
          <w:tcPr>
            <w:tcW w:w="774" w:type="pct"/>
            <w:shd w:val="clear" w:color="auto" w:fill="auto"/>
            <w:noWrap/>
            <w:hideMark/>
          </w:tcPr>
          <w:p w14:paraId="26D45A29" w14:textId="4C27F43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111.8</w:t>
            </w:r>
          </w:p>
        </w:tc>
        <w:tc>
          <w:tcPr>
            <w:tcW w:w="1030" w:type="pct"/>
            <w:shd w:val="clear" w:color="auto" w:fill="auto"/>
            <w:noWrap/>
            <w:hideMark/>
          </w:tcPr>
          <w:p w14:paraId="3B93AFAF" w14:textId="62BAC9E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111.4371</w:t>
            </w:r>
          </w:p>
        </w:tc>
        <w:tc>
          <w:tcPr>
            <w:tcW w:w="863" w:type="pct"/>
            <w:shd w:val="clear" w:color="auto" w:fill="auto"/>
            <w:noWrap/>
            <w:hideMark/>
          </w:tcPr>
          <w:p w14:paraId="2BC7AFC8" w14:textId="0176D7C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115.0686</w:t>
            </w:r>
          </w:p>
        </w:tc>
      </w:tr>
      <w:tr w:rsidR="00BF179D" w:rsidRPr="00063AC8" w14:paraId="013A11D2" w14:textId="77777777" w:rsidTr="00E6135C">
        <w:trPr>
          <w:trHeight w:val="20"/>
          <w:jc w:val="center"/>
        </w:trPr>
        <w:tc>
          <w:tcPr>
            <w:tcW w:w="508" w:type="pct"/>
            <w:tcBorders>
              <w:right w:val="single" w:sz="4" w:space="0" w:color="auto"/>
            </w:tcBorders>
            <w:shd w:val="clear" w:color="auto" w:fill="auto"/>
            <w:vAlign w:val="center"/>
            <w:hideMark/>
          </w:tcPr>
          <w:p w14:paraId="2EEA2C6F"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201901</w:t>
            </w:r>
          </w:p>
        </w:tc>
        <w:tc>
          <w:tcPr>
            <w:tcW w:w="669" w:type="pct"/>
            <w:tcBorders>
              <w:left w:val="single" w:sz="4" w:space="0" w:color="auto"/>
            </w:tcBorders>
            <w:shd w:val="clear" w:color="auto" w:fill="auto"/>
            <w:noWrap/>
            <w:hideMark/>
          </w:tcPr>
          <w:p w14:paraId="68B77504" w14:textId="103472F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111.31</w:t>
            </w:r>
          </w:p>
        </w:tc>
        <w:tc>
          <w:tcPr>
            <w:tcW w:w="1156" w:type="pct"/>
            <w:shd w:val="clear" w:color="auto" w:fill="auto"/>
            <w:noWrap/>
            <w:hideMark/>
          </w:tcPr>
          <w:p w14:paraId="6110FA5C" w14:textId="046855F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111.1543</w:t>
            </w:r>
          </w:p>
        </w:tc>
        <w:tc>
          <w:tcPr>
            <w:tcW w:w="774" w:type="pct"/>
            <w:shd w:val="clear" w:color="auto" w:fill="auto"/>
            <w:noWrap/>
            <w:hideMark/>
          </w:tcPr>
          <w:p w14:paraId="63618871" w14:textId="6536A7A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112.1571</w:t>
            </w:r>
          </w:p>
        </w:tc>
        <w:tc>
          <w:tcPr>
            <w:tcW w:w="1030" w:type="pct"/>
            <w:shd w:val="clear" w:color="auto" w:fill="auto"/>
            <w:noWrap/>
            <w:hideMark/>
          </w:tcPr>
          <w:p w14:paraId="2FBC3BE8" w14:textId="622E12C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111.9857</w:t>
            </w:r>
          </w:p>
        </w:tc>
        <w:tc>
          <w:tcPr>
            <w:tcW w:w="863" w:type="pct"/>
            <w:shd w:val="clear" w:color="auto" w:fill="auto"/>
            <w:noWrap/>
            <w:hideMark/>
          </w:tcPr>
          <w:p w14:paraId="6352F97D" w14:textId="570F025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115.5286</w:t>
            </w:r>
          </w:p>
        </w:tc>
      </w:tr>
      <w:tr w:rsidR="00BF179D" w:rsidRPr="00063AC8" w14:paraId="0AA06CF9" w14:textId="77777777" w:rsidTr="00E6135C">
        <w:trPr>
          <w:trHeight w:val="20"/>
          <w:jc w:val="center"/>
        </w:trPr>
        <w:tc>
          <w:tcPr>
            <w:tcW w:w="508" w:type="pct"/>
            <w:tcBorders>
              <w:right w:val="single" w:sz="4" w:space="0" w:color="auto"/>
            </w:tcBorders>
            <w:shd w:val="clear" w:color="auto" w:fill="auto"/>
            <w:vAlign w:val="center"/>
            <w:hideMark/>
          </w:tcPr>
          <w:p w14:paraId="2BCA5DD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201902</w:t>
            </w:r>
          </w:p>
        </w:tc>
        <w:tc>
          <w:tcPr>
            <w:tcW w:w="669" w:type="pct"/>
            <w:tcBorders>
              <w:left w:val="single" w:sz="4" w:space="0" w:color="auto"/>
            </w:tcBorders>
            <w:shd w:val="clear" w:color="auto" w:fill="auto"/>
            <w:noWrap/>
            <w:hideMark/>
          </w:tcPr>
          <w:p w14:paraId="0D7FA016" w14:textId="2E7BA33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111.7329</w:t>
            </w:r>
          </w:p>
        </w:tc>
        <w:tc>
          <w:tcPr>
            <w:tcW w:w="1156" w:type="pct"/>
            <w:shd w:val="clear" w:color="auto" w:fill="auto"/>
            <w:noWrap/>
            <w:hideMark/>
          </w:tcPr>
          <w:p w14:paraId="742D1ED4" w14:textId="4C158A5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111.6157</w:t>
            </w:r>
          </w:p>
        </w:tc>
        <w:tc>
          <w:tcPr>
            <w:tcW w:w="774" w:type="pct"/>
            <w:shd w:val="clear" w:color="auto" w:fill="auto"/>
            <w:noWrap/>
            <w:hideMark/>
          </w:tcPr>
          <w:p w14:paraId="0204A15E" w14:textId="0969D4D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112.4</w:t>
            </w:r>
          </w:p>
        </w:tc>
        <w:tc>
          <w:tcPr>
            <w:tcW w:w="1030" w:type="pct"/>
            <w:shd w:val="clear" w:color="auto" w:fill="auto"/>
            <w:noWrap/>
            <w:hideMark/>
          </w:tcPr>
          <w:p w14:paraId="06AF5610" w14:textId="32E1183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112.1143</w:t>
            </w:r>
          </w:p>
        </w:tc>
        <w:tc>
          <w:tcPr>
            <w:tcW w:w="863" w:type="pct"/>
            <w:shd w:val="clear" w:color="auto" w:fill="auto"/>
            <w:noWrap/>
            <w:hideMark/>
          </w:tcPr>
          <w:p w14:paraId="0F855F29" w14:textId="001D063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116.6</w:t>
            </w:r>
          </w:p>
        </w:tc>
      </w:tr>
      <w:tr w:rsidR="00BF179D" w:rsidRPr="00063AC8" w14:paraId="5C7EC837" w14:textId="77777777" w:rsidTr="00E6135C">
        <w:trPr>
          <w:trHeight w:val="20"/>
          <w:jc w:val="center"/>
        </w:trPr>
        <w:tc>
          <w:tcPr>
            <w:tcW w:w="508" w:type="pct"/>
            <w:tcBorders>
              <w:right w:val="single" w:sz="4" w:space="0" w:color="auto"/>
            </w:tcBorders>
            <w:shd w:val="clear" w:color="auto" w:fill="auto"/>
            <w:vAlign w:val="center"/>
            <w:hideMark/>
          </w:tcPr>
          <w:p w14:paraId="478142D1"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201903</w:t>
            </w:r>
          </w:p>
        </w:tc>
        <w:tc>
          <w:tcPr>
            <w:tcW w:w="669" w:type="pct"/>
            <w:tcBorders>
              <w:left w:val="single" w:sz="4" w:space="0" w:color="auto"/>
            </w:tcBorders>
            <w:shd w:val="clear" w:color="auto" w:fill="auto"/>
            <w:noWrap/>
            <w:hideMark/>
          </w:tcPr>
          <w:p w14:paraId="44ED3084" w14:textId="1FBFC1F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112.1329</w:t>
            </w:r>
          </w:p>
        </w:tc>
        <w:tc>
          <w:tcPr>
            <w:tcW w:w="1156" w:type="pct"/>
            <w:shd w:val="clear" w:color="auto" w:fill="auto"/>
            <w:noWrap/>
            <w:hideMark/>
          </w:tcPr>
          <w:p w14:paraId="5A6B1F5A" w14:textId="56CABB6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112.0186</w:t>
            </w:r>
          </w:p>
        </w:tc>
        <w:tc>
          <w:tcPr>
            <w:tcW w:w="774" w:type="pct"/>
            <w:shd w:val="clear" w:color="auto" w:fill="auto"/>
            <w:noWrap/>
            <w:hideMark/>
          </w:tcPr>
          <w:p w14:paraId="5A9EB302" w14:textId="2922965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112.7714</w:t>
            </w:r>
          </w:p>
        </w:tc>
        <w:tc>
          <w:tcPr>
            <w:tcW w:w="1030" w:type="pct"/>
            <w:shd w:val="clear" w:color="auto" w:fill="auto"/>
            <w:noWrap/>
            <w:hideMark/>
          </w:tcPr>
          <w:p w14:paraId="15464279" w14:textId="614F3A0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112.0714</w:t>
            </w:r>
          </w:p>
        </w:tc>
        <w:tc>
          <w:tcPr>
            <w:tcW w:w="863" w:type="pct"/>
            <w:shd w:val="clear" w:color="auto" w:fill="auto"/>
            <w:noWrap/>
            <w:hideMark/>
          </w:tcPr>
          <w:p w14:paraId="4370E144" w14:textId="54A1B1F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117.9143</w:t>
            </w:r>
          </w:p>
        </w:tc>
      </w:tr>
      <w:tr w:rsidR="00BF179D" w:rsidRPr="00063AC8" w14:paraId="3BF7851E" w14:textId="77777777" w:rsidTr="00E6135C">
        <w:trPr>
          <w:trHeight w:val="20"/>
          <w:jc w:val="center"/>
        </w:trPr>
        <w:tc>
          <w:tcPr>
            <w:tcW w:w="508" w:type="pct"/>
            <w:tcBorders>
              <w:right w:val="single" w:sz="4" w:space="0" w:color="auto"/>
            </w:tcBorders>
            <w:shd w:val="clear" w:color="auto" w:fill="auto"/>
            <w:vAlign w:val="center"/>
            <w:hideMark/>
          </w:tcPr>
          <w:p w14:paraId="06D3D002"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201904</w:t>
            </w:r>
          </w:p>
        </w:tc>
        <w:tc>
          <w:tcPr>
            <w:tcW w:w="669" w:type="pct"/>
            <w:tcBorders>
              <w:left w:val="single" w:sz="4" w:space="0" w:color="auto"/>
            </w:tcBorders>
            <w:shd w:val="clear" w:color="auto" w:fill="auto"/>
            <w:noWrap/>
            <w:hideMark/>
          </w:tcPr>
          <w:p w14:paraId="06DF9108" w14:textId="5176218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112.5</w:t>
            </w:r>
          </w:p>
        </w:tc>
        <w:tc>
          <w:tcPr>
            <w:tcW w:w="1156" w:type="pct"/>
            <w:shd w:val="clear" w:color="auto" w:fill="auto"/>
            <w:noWrap/>
            <w:hideMark/>
          </w:tcPr>
          <w:p w14:paraId="49CB8B24" w14:textId="3A0BA73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112.4143</w:t>
            </w:r>
          </w:p>
        </w:tc>
        <w:tc>
          <w:tcPr>
            <w:tcW w:w="774" w:type="pct"/>
            <w:shd w:val="clear" w:color="auto" w:fill="auto"/>
            <w:noWrap/>
            <w:hideMark/>
          </w:tcPr>
          <w:p w14:paraId="20A5B680" w14:textId="43A901B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112.9714</w:t>
            </w:r>
          </w:p>
        </w:tc>
        <w:tc>
          <w:tcPr>
            <w:tcW w:w="1030" w:type="pct"/>
            <w:shd w:val="clear" w:color="auto" w:fill="auto"/>
            <w:noWrap/>
            <w:hideMark/>
          </w:tcPr>
          <w:p w14:paraId="10571ED9" w14:textId="7F1E6BD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112.4429</w:t>
            </w:r>
          </w:p>
        </w:tc>
        <w:tc>
          <w:tcPr>
            <w:tcW w:w="863" w:type="pct"/>
            <w:shd w:val="clear" w:color="auto" w:fill="auto"/>
            <w:noWrap/>
            <w:hideMark/>
          </w:tcPr>
          <w:p w14:paraId="79473635" w14:textId="7633C30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119.1857</w:t>
            </w:r>
          </w:p>
        </w:tc>
      </w:tr>
      <w:tr w:rsidR="00BF179D" w:rsidRPr="00063AC8" w14:paraId="26A595C6" w14:textId="77777777" w:rsidTr="00E6135C">
        <w:trPr>
          <w:trHeight w:val="20"/>
          <w:jc w:val="center"/>
        </w:trPr>
        <w:tc>
          <w:tcPr>
            <w:tcW w:w="508" w:type="pct"/>
            <w:tcBorders>
              <w:right w:val="single" w:sz="4" w:space="0" w:color="auto"/>
            </w:tcBorders>
            <w:shd w:val="clear" w:color="auto" w:fill="auto"/>
            <w:vAlign w:val="center"/>
            <w:hideMark/>
          </w:tcPr>
          <w:p w14:paraId="21BA9F1A"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201905</w:t>
            </w:r>
          </w:p>
        </w:tc>
        <w:tc>
          <w:tcPr>
            <w:tcW w:w="669" w:type="pct"/>
            <w:tcBorders>
              <w:left w:val="single" w:sz="4" w:space="0" w:color="auto"/>
            </w:tcBorders>
            <w:shd w:val="clear" w:color="auto" w:fill="auto"/>
            <w:noWrap/>
            <w:hideMark/>
          </w:tcPr>
          <w:p w14:paraId="0F765BB3" w14:textId="2D64156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112.6714</w:t>
            </w:r>
          </w:p>
        </w:tc>
        <w:tc>
          <w:tcPr>
            <w:tcW w:w="1156" w:type="pct"/>
            <w:shd w:val="clear" w:color="auto" w:fill="auto"/>
            <w:noWrap/>
            <w:hideMark/>
          </w:tcPr>
          <w:p w14:paraId="4AA89ECB" w14:textId="4D75DFD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112.6</w:t>
            </w:r>
          </w:p>
        </w:tc>
        <w:tc>
          <w:tcPr>
            <w:tcW w:w="774" w:type="pct"/>
            <w:shd w:val="clear" w:color="auto" w:fill="auto"/>
            <w:noWrap/>
            <w:hideMark/>
          </w:tcPr>
          <w:p w14:paraId="41E0B780" w14:textId="52A1593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113.1</w:t>
            </w:r>
          </w:p>
        </w:tc>
        <w:tc>
          <w:tcPr>
            <w:tcW w:w="1030" w:type="pct"/>
            <w:shd w:val="clear" w:color="auto" w:fill="auto"/>
            <w:noWrap/>
            <w:hideMark/>
          </w:tcPr>
          <w:p w14:paraId="64EC7699" w14:textId="28B567D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113.0429</w:t>
            </w:r>
          </w:p>
        </w:tc>
        <w:tc>
          <w:tcPr>
            <w:tcW w:w="863" w:type="pct"/>
            <w:shd w:val="clear" w:color="auto" w:fill="auto"/>
            <w:noWrap/>
            <w:hideMark/>
          </w:tcPr>
          <w:p w14:paraId="5E8EC843" w14:textId="5472BDB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119.5143</w:t>
            </w:r>
          </w:p>
        </w:tc>
      </w:tr>
      <w:tr w:rsidR="00BF179D" w:rsidRPr="00063AC8" w14:paraId="189D5557" w14:textId="77777777" w:rsidTr="00E6135C">
        <w:trPr>
          <w:trHeight w:val="20"/>
          <w:jc w:val="center"/>
        </w:trPr>
        <w:tc>
          <w:tcPr>
            <w:tcW w:w="508" w:type="pct"/>
            <w:tcBorders>
              <w:right w:val="single" w:sz="4" w:space="0" w:color="auto"/>
            </w:tcBorders>
            <w:shd w:val="clear" w:color="auto" w:fill="auto"/>
            <w:vAlign w:val="center"/>
            <w:hideMark/>
          </w:tcPr>
          <w:p w14:paraId="396F81D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201906</w:t>
            </w:r>
          </w:p>
        </w:tc>
        <w:tc>
          <w:tcPr>
            <w:tcW w:w="669" w:type="pct"/>
            <w:tcBorders>
              <w:left w:val="single" w:sz="4" w:space="0" w:color="auto"/>
            </w:tcBorders>
            <w:shd w:val="clear" w:color="auto" w:fill="auto"/>
            <w:noWrap/>
            <w:hideMark/>
          </w:tcPr>
          <w:p w14:paraId="05D48500" w14:textId="61B6833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112.6714</w:t>
            </w:r>
          </w:p>
        </w:tc>
        <w:tc>
          <w:tcPr>
            <w:tcW w:w="1156" w:type="pct"/>
            <w:shd w:val="clear" w:color="auto" w:fill="auto"/>
            <w:noWrap/>
            <w:hideMark/>
          </w:tcPr>
          <w:p w14:paraId="44FF0274" w14:textId="4C45864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112.6</w:t>
            </w:r>
          </w:p>
        </w:tc>
        <w:tc>
          <w:tcPr>
            <w:tcW w:w="774" w:type="pct"/>
            <w:shd w:val="clear" w:color="auto" w:fill="auto"/>
            <w:noWrap/>
            <w:hideMark/>
          </w:tcPr>
          <w:p w14:paraId="060DF17D" w14:textId="25F2702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113.1714</w:t>
            </w:r>
          </w:p>
        </w:tc>
        <w:tc>
          <w:tcPr>
            <w:tcW w:w="1030" w:type="pct"/>
            <w:shd w:val="clear" w:color="auto" w:fill="auto"/>
            <w:noWrap/>
            <w:hideMark/>
          </w:tcPr>
          <w:p w14:paraId="5FF5F79D" w14:textId="768895B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113.6857</w:t>
            </w:r>
          </w:p>
        </w:tc>
        <w:tc>
          <w:tcPr>
            <w:tcW w:w="863" w:type="pct"/>
            <w:shd w:val="clear" w:color="auto" w:fill="auto"/>
            <w:noWrap/>
            <w:hideMark/>
          </w:tcPr>
          <w:p w14:paraId="7A292C81" w14:textId="62A4966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119.6</w:t>
            </w:r>
          </w:p>
        </w:tc>
      </w:tr>
      <w:tr w:rsidR="00BF179D" w:rsidRPr="00063AC8" w14:paraId="62D9936A" w14:textId="77777777" w:rsidTr="00E6135C">
        <w:trPr>
          <w:trHeight w:val="20"/>
          <w:jc w:val="center"/>
        </w:trPr>
        <w:tc>
          <w:tcPr>
            <w:tcW w:w="508" w:type="pct"/>
            <w:tcBorders>
              <w:right w:val="single" w:sz="4" w:space="0" w:color="auto"/>
            </w:tcBorders>
            <w:shd w:val="clear" w:color="auto" w:fill="auto"/>
            <w:vAlign w:val="center"/>
            <w:hideMark/>
          </w:tcPr>
          <w:p w14:paraId="66DFA379"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201907</w:t>
            </w:r>
          </w:p>
        </w:tc>
        <w:tc>
          <w:tcPr>
            <w:tcW w:w="669" w:type="pct"/>
            <w:tcBorders>
              <w:left w:val="single" w:sz="4" w:space="0" w:color="auto"/>
            </w:tcBorders>
            <w:shd w:val="clear" w:color="auto" w:fill="auto"/>
            <w:noWrap/>
            <w:hideMark/>
          </w:tcPr>
          <w:p w14:paraId="2C8F53FE" w14:textId="1481E70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111.7943</w:t>
            </w:r>
          </w:p>
        </w:tc>
        <w:tc>
          <w:tcPr>
            <w:tcW w:w="1156" w:type="pct"/>
            <w:shd w:val="clear" w:color="auto" w:fill="auto"/>
            <w:noWrap/>
            <w:hideMark/>
          </w:tcPr>
          <w:p w14:paraId="1195F47E" w14:textId="3F38E0C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111.5943</w:t>
            </w:r>
          </w:p>
        </w:tc>
        <w:tc>
          <w:tcPr>
            <w:tcW w:w="774" w:type="pct"/>
            <w:shd w:val="clear" w:color="auto" w:fill="auto"/>
            <w:noWrap/>
            <w:hideMark/>
          </w:tcPr>
          <w:p w14:paraId="40D1489C" w14:textId="0DB561F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113.1714</w:t>
            </w:r>
          </w:p>
        </w:tc>
        <w:tc>
          <w:tcPr>
            <w:tcW w:w="1030" w:type="pct"/>
            <w:shd w:val="clear" w:color="auto" w:fill="auto"/>
            <w:noWrap/>
            <w:hideMark/>
          </w:tcPr>
          <w:p w14:paraId="37DB6369" w14:textId="63AE5C7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114.0143</w:t>
            </w:r>
          </w:p>
        </w:tc>
        <w:tc>
          <w:tcPr>
            <w:tcW w:w="863" w:type="pct"/>
            <w:shd w:val="clear" w:color="auto" w:fill="auto"/>
            <w:noWrap/>
            <w:hideMark/>
          </w:tcPr>
          <w:p w14:paraId="76818BB5" w14:textId="27A7CBB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119.8714</w:t>
            </w:r>
          </w:p>
        </w:tc>
      </w:tr>
      <w:tr w:rsidR="00BF179D" w:rsidRPr="00063AC8" w14:paraId="28FE8C80" w14:textId="77777777" w:rsidTr="00E6135C">
        <w:trPr>
          <w:trHeight w:val="20"/>
          <w:jc w:val="center"/>
        </w:trPr>
        <w:tc>
          <w:tcPr>
            <w:tcW w:w="508" w:type="pct"/>
            <w:tcBorders>
              <w:right w:val="single" w:sz="4" w:space="0" w:color="auto"/>
            </w:tcBorders>
            <w:shd w:val="clear" w:color="auto" w:fill="auto"/>
            <w:vAlign w:val="center"/>
            <w:hideMark/>
          </w:tcPr>
          <w:p w14:paraId="4FF942A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201908</w:t>
            </w:r>
          </w:p>
        </w:tc>
        <w:tc>
          <w:tcPr>
            <w:tcW w:w="669" w:type="pct"/>
            <w:tcBorders>
              <w:left w:val="single" w:sz="4" w:space="0" w:color="auto"/>
            </w:tcBorders>
            <w:shd w:val="clear" w:color="auto" w:fill="auto"/>
            <w:noWrap/>
            <w:hideMark/>
          </w:tcPr>
          <w:p w14:paraId="287F68F3" w14:textId="4B8ABF3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111.68</w:t>
            </w:r>
          </w:p>
        </w:tc>
        <w:tc>
          <w:tcPr>
            <w:tcW w:w="1156" w:type="pct"/>
            <w:shd w:val="clear" w:color="auto" w:fill="auto"/>
            <w:noWrap/>
            <w:hideMark/>
          </w:tcPr>
          <w:p w14:paraId="3AE9E90D" w14:textId="758310B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111.48</w:t>
            </w:r>
          </w:p>
        </w:tc>
        <w:tc>
          <w:tcPr>
            <w:tcW w:w="774" w:type="pct"/>
            <w:shd w:val="clear" w:color="auto" w:fill="auto"/>
            <w:noWrap/>
            <w:hideMark/>
          </w:tcPr>
          <w:p w14:paraId="3A9E6918" w14:textId="10651D6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113.1286</w:t>
            </w:r>
          </w:p>
        </w:tc>
        <w:tc>
          <w:tcPr>
            <w:tcW w:w="1030" w:type="pct"/>
            <w:shd w:val="clear" w:color="auto" w:fill="auto"/>
            <w:noWrap/>
            <w:hideMark/>
          </w:tcPr>
          <w:p w14:paraId="6A32A199" w14:textId="79DEFD6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114.5429</w:t>
            </w:r>
          </w:p>
        </w:tc>
        <w:tc>
          <w:tcPr>
            <w:tcW w:w="863" w:type="pct"/>
            <w:shd w:val="clear" w:color="auto" w:fill="auto"/>
            <w:noWrap/>
            <w:hideMark/>
          </w:tcPr>
          <w:p w14:paraId="336E494B" w14:textId="2C302B2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120.4857</w:t>
            </w:r>
          </w:p>
        </w:tc>
      </w:tr>
      <w:tr w:rsidR="00BF179D" w:rsidRPr="00063AC8" w14:paraId="5D414534" w14:textId="77777777" w:rsidTr="00E6135C">
        <w:trPr>
          <w:trHeight w:val="20"/>
          <w:jc w:val="center"/>
        </w:trPr>
        <w:tc>
          <w:tcPr>
            <w:tcW w:w="508" w:type="pct"/>
            <w:tcBorders>
              <w:right w:val="single" w:sz="4" w:space="0" w:color="auto"/>
            </w:tcBorders>
            <w:shd w:val="clear" w:color="auto" w:fill="auto"/>
            <w:vAlign w:val="center"/>
            <w:hideMark/>
          </w:tcPr>
          <w:p w14:paraId="4860E49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201909</w:t>
            </w:r>
          </w:p>
        </w:tc>
        <w:tc>
          <w:tcPr>
            <w:tcW w:w="669" w:type="pct"/>
            <w:tcBorders>
              <w:left w:val="single" w:sz="4" w:space="0" w:color="auto"/>
            </w:tcBorders>
            <w:shd w:val="clear" w:color="auto" w:fill="auto"/>
            <w:noWrap/>
            <w:hideMark/>
          </w:tcPr>
          <w:p w14:paraId="482D4EE4" w14:textId="11C85DE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111.6229</w:t>
            </w:r>
          </w:p>
        </w:tc>
        <w:tc>
          <w:tcPr>
            <w:tcW w:w="1156" w:type="pct"/>
            <w:shd w:val="clear" w:color="auto" w:fill="auto"/>
            <w:noWrap/>
            <w:hideMark/>
          </w:tcPr>
          <w:p w14:paraId="0D384DDC" w14:textId="25D0A80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111.4086</w:t>
            </w:r>
          </w:p>
        </w:tc>
        <w:tc>
          <w:tcPr>
            <w:tcW w:w="774" w:type="pct"/>
            <w:shd w:val="clear" w:color="auto" w:fill="auto"/>
            <w:noWrap/>
            <w:hideMark/>
          </w:tcPr>
          <w:p w14:paraId="440F99E8" w14:textId="7F006AE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113.1429</w:t>
            </w:r>
          </w:p>
        </w:tc>
        <w:tc>
          <w:tcPr>
            <w:tcW w:w="1030" w:type="pct"/>
            <w:shd w:val="clear" w:color="auto" w:fill="auto"/>
            <w:noWrap/>
            <w:hideMark/>
          </w:tcPr>
          <w:p w14:paraId="259040D6" w14:textId="4188359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115.3571</w:t>
            </w:r>
          </w:p>
        </w:tc>
        <w:tc>
          <w:tcPr>
            <w:tcW w:w="863" w:type="pct"/>
            <w:shd w:val="clear" w:color="auto" w:fill="auto"/>
            <w:noWrap/>
            <w:hideMark/>
          </w:tcPr>
          <w:p w14:paraId="2A140645" w14:textId="3698A3E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119.4571</w:t>
            </w:r>
          </w:p>
        </w:tc>
      </w:tr>
      <w:tr w:rsidR="00BF179D" w:rsidRPr="00063AC8" w14:paraId="3695DDD0" w14:textId="77777777" w:rsidTr="00E6135C">
        <w:trPr>
          <w:trHeight w:val="20"/>
          <w:jc w:val="center"/>
        </w:trPr>
        <w:tc>
          <w:tcPr>
            <w:tcW w:w="508" w:type="pct"/>
            <w:tcBorders>
              <w:right w:val="single" w:sz="4" w:space="0" w:color="auto"/>
            </w:tcBorders>
            <w:shd w:val="clear" w:color="auto" w:fill="auto"/>
            <w:vAlign w:val="center"/>
            <w:hideMark/>
          </w:tcPr>
          <w:p w14:paraId="2C08C85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201910</w:t>
            </w:r>
          </w:p>
        </w:tc>
        <w:tc>
          <w:tcPr>
            <w:tcW w:w="669" w:type="pct"/>
            <w:tcBorders>
              <w:left w:val="single" w:sz="4" w:space="0" w:color="auto"/>
            </w:tcBorders>
            <w:shd w:val="clear" w:color="auto" w:fill="auto"/>
            <w:noWrap/>
            <w:hideMark/>
          </w:tcPr>
          <w:p w14:paraId="67F97888" w14:textId="1C6A35B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111.7657</w:t>
            </w:r>
          </w:p>
        </w:tc>
        <w:tc>
          <w:tcPr>
            <w:tcW w:w="1156" w:type="pct"/>
            <w:shd w:val="clear" w:color="auto" w:fill="auto"/>
            <w:noWrap/>
            <w:hideMark/>
          </w:tcPr>
          <w:p w14:paraId="6891E095" w14:textId="0DF4DB0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111.5229</w:t>
            </w:r>
          </w:p>
        </w:tc>
        <w:tc>
          <w:tcPr>
            <w:tcW w:w="774" w:type="pct"/>
            <w:shd w:val="clear" w:color="auto" w:fill="auto"/>
            <w:noWrap/>
            <w:hideMark/>
          </w:tcPr>
          <w:p w14:paraId="3F61928A" w14:textId="0381E19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113.3857</w:t>
            </w:r>
          </w:p>
        </w:tc>
        <w:tc>
          <w:tcPr>
            <w:tcW w:w="1030" w:type="pct"/>
            <w:shd w:val="clear" w:color="auto" w:fill="auto"/>
            <w:noWrap/>
            <w:hideMark/>
          </w:tcPr>
          <w:p w14:paraId="1D3F8CE1" w14:textId="2E3791E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115.8571</w:t>
            </w:r>
          </w:p>
        </w:tc>
        <w:tc>
          <w:tcPr>
            <w:tcW w:w="863" w:type="pct"/>
            <w:shd w:val="clear" w:color="auto" w:fill="auto"/>
            <w:noWrap/>
            <w:hideMark/>
          </w:tcPr>
          <w:p w14:paraId="2A0C57ED" w14:textId="6A9C50B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119.5143</w:t>
            </w:r>
          </w:p>
        </w:tc>
      </w:tr>
      <w:tr w:rsidR="00BF179D" w:rsidRPr="00063AC8" w14:paraId="5FE522EE" w14:textId="77777777" w:rsidTr="00E6135C">
        <w:trPr>
          <w:trHeight w:val="20"/>
          <w:jc w:val="center"/>
        </w:trPr>
        <w:tc>
          <w:tcPr>
            <w:tcW w:w="508" w:type="pct"/>
            <w:tcBorders>
              <w:right w:val="single" w:sz="4" w:space="0" w:color="auto"/>
            </w:tcBorders>
            <w:shd w:val="clear" w:color="auto" w:fill="auto"/>
            <w:vAlign w:val="center"/>
            <w:hideMark/>
          </w:tcPr>
          <w:p w14:paraId="2E6B4FA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201911</w:t>
            </w:r>
          </w:p>
        </w:tc>
        <w:tc>
          <w:tcPr>
            <w:tcW w:w="669" w:type="pct"/>
            <w:tcBorders>
              <w:left w:val="single" w:sz="4" w:space="0" w:color="auto"/>
            </w:tcBorders>
            <w:shd w:val="clear" w:color="auto" w:fill="auto"/>
            <w:noWrap/>
            <w:hideMark/>
          </w:tcPr>
          <w:p w14:paraId="65DC74E4" w14:textId="53C3494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112.0229</w:t>
            </w:r>
          </w:p>
        </w:tc>
        <w:tc>
          <w:tcPr>
            <w:tcW w:w="1156" w:type="pct"/>
            <w:shd w:val="clear" w:color="auto" w:fill="auto"/>
            <w:noWrap/>
            <w:hideMark/>
          </w:tcPr>
          <w:p w14:paraId="557D2EE3" w14:textId="7CDBC3BC"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111.7943</w:t>
            </w:r>
          </w:p>
        </w:tc>
        <w:tc>
          <w:tcPr>
            <w:tcW w:w="774" w:type="pct"/>
            <w:shd w:val="clear" w:color="auto" w:fill="auto"/>
            <w:noWrap/>
            <w:hideMark/>
          </w:tcPr>
          <w:p w14:paraId="3E7C8F0F" w14:textId="5B146C2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113.5714</w:t>
            </w:r>
          </w:p>
        </w:tc>
        <w:tc>
          <w:tcPr>
            <w:tcW w:w="1030" w:type="pct"/>
            <w:shd w:val="clear" w:color="auto" w:fill="auto"/>
            <w:noWrap/>
            <w:hideMark/>
          </w:tcPr>
          <w:p w14:paraId="4B890F0F" w14:textId="0974EE5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116.4714</w:t>
            </w:r>
          </w:p>
        </w:tc>
        <w:tc>
          <w:tcPr>
            <w:tcW w:w="863" w:type="pct"/>
            <w:shd w:val="clear" w:color="auto" w:fill="auto"/>
            <w:noWrap/>
            <w:hideMark/>
          </w:tcPr>
          <w:p w14:paraId="64139FC5" w14:textId="1702698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119.3571</w:t>
            </w:r>
          </w:p>
        </w:tc>
      </w:tr>
      <w:tr w:rsidR="00BF179D" w:rsidRPr="00063AC8" w14:paraId="0770019C" w14:textId="77777777" w:rsidTr="00E6135C">
        <w:trPr>
          <w:trHeight w:val="20"/>
          <w:jc w:val="center"/>
        </w:trPr>
        <w:tc>
          <w:tcPr>
            <w:tcW w:w="508" w:type="pct"/>
            <w:tcBorders>
              <w:right w:val="single" w:sz="4" w:space="0" w:color="auto"/>
            </w:tcBorders>
            <w:shd w:val="clear" w:color="auto" w:fill="auto"/>
            <w:vAlign w:val="center"/>
            <w:hideMark/>
          </w:tcPr>
          <w:p w14:paraId="7479E08C"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201912</w:t>
            </w:r>
          </w:p>
        </w:tc>
        <w:tc>
          <w:tcPr>
            <w:tcW w:w="669" w:type="pct"/>
            <w:tcBorders>
              <w:left w:val="single" w:sz="4" w:space="0" w:color="auto"/>
            </w:tcBorders>
            <w:shd w:val="clear" w:color="auto" w:fill="auto"/>
            <w:noWrap/>
            <w:hideMark/>
          </w:tcPr>
          <w:p w14:paraId="02A83DC5" w14:textId="32FE615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112.6657</w:t>
            </w:r>
          </w:p>
        </w:tc>
        <w:tc>
          <w:tcPr>
            <w:tcW w:w="1156" w:type="pct"/>
            <w:shd w:val="clear" w:color="auto" w:fill="auto"/>
            <w:noWrap/>
            <w:hideMark/>
          </w:tcPr>
          <w:p w14:paraId="0B56590E" w14:textId="2D5BEE9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112.38</w:t>
            </w:r>
          </w:p>
        </w:tc>
        <w:tc>
          <w:tcPr>
            <w:tcW w:w="774" w:type="pct"/>
            <w:shd w:val="clear" w:color="auto" w:fill="auto"/>
            <w:noWrap/>
            <w:hideMark/>
          </w:tcPr>
          <w:p w14:paraId="0AA32131" w14:textId="42EC14D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113.8</w:t>
            </w:r>
          </w:p>
        </w:tc>
        <w:tc>
          <w:tcPr>
            <w:tcW w:w="1030" w:type="pct"/>
            <w:shd w:val="clear" w:color="auto" w:fill="auto"/>
            <w:noWrap/>
            <w:hideMark/>
          </w:tcPr>
          <w:p w14:paraId="2F3D1AA0" w14:textId="4DC8409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116.8143</w:t>
            </w:r>
          </w:p>
        </w:tc>
        <w:tc>
          <w:tcPr>
            <w:tcW w:w="863" w:type="pct"/>
            <w:shd w:val="clear" w:color="auto" w:fill="auto"/>
            <w:noWrap/>
            <w:hideMark/>
          </w:tcPr>
          <w:p w14:paraId="563341CC" w14:textId="45F3F1A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119.2286</w:t>
            </w:r>
          </w:p>
        </w:tc>
      </w:tr>
      <w:tr w:rsidR="00BF179D" w:rsidRPr="00063AC8" w14:paraId="38048B3F" w14:textId="77777777" w:rsidTr="00E6135C">
        <w:trPr>
          <w:trHeight w:val="20"/>
          <w:jc w:val="center"/>
        </w:trPr>
        <w:tc>
          <w:tcPr>
            <w:tcW w:w="508" w:type="pct"/>
            <w:tcBorders>
              <w:right w:val="single" w:sz="4" w:space="0" w:color="auto"/>
            </w:tcBorders>
            <w:shd w:val="clear" w:color="auto" w:fill="auto"/>
            <w:vAlign w:val="center"/>
            <w:hideMark/>
          </w:tcPr>
          <w:p w14:paraId="6EFA709F"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202001</w:t>
            </w:r>
          </w:p>
        </w:tc>
        <w:tc>
          <w:tcPr>
            <w:tcW w:w="669" w:type="pct"/>
            <w:tcBorders>
              <w:left w:val="single" w:sz="4" w:space="0" w:color="auto"/>
            </w:tcBorders>
            <w:shd w:val="clear" w:color="auto" w:fill="auto"/>
            <w:noWrap/>
            <w:hideMark/>
          </w:tcPr>
          <w:p w14:paraId="18BF7162" w14:textId="6E44071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112.38</w:t>
            </w:r>
          </w:p>
        </w:tc>
        <w:tc>
          <w:tcPr>
            <w:tcW w:w="1156" w:type="pct"/>
            <w:shd w:val="clear" w:color="auto" w:fill="auto"/>
            <w:noWrap/>
            <w:hideMark/>
          </w:tcPr>
          <w:p w14:paraId="036D8C8E" w14:textId="0B877F7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112.0214</w:t>
            </w:r>
          </w:p>
        </w:tc>
        <w:tc>
          <w:tcPr>
            <w:tcW w:w="774" w:type="pct"/>
            <w:shd w:val="clear" w:color="auto" w:fill="auto"/>
            <w:noWrap/>
            <w:hideMark/>
          </w:tcPr>
          <w:p w14:paraId="1CB5CFCC" w14:textId="65A36BF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113.8857</w:t>
            </w:r>
          </w:p>
        </w:tc>
        <w:tc>
          <w:tcPr>
            <w:tcW w:w="1030" w:type="pct"/>
            <w:shd w:val="clear" w:color="auto" w:fill="auto"/>
            <w:noWrap/>
            <w:hideMark/>
          </w:tcPr>
          <w:p w14:paraId="05F17F08" w14:textId="4149E22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117.4857</w:t>
            </w:r>
          </w:p>
        </w:tc>
        <w:tc>
          <w:tcPr>
            <w:tcW w:w="863" w:type="pct"/>
            <w:shd w:val="clear" w:color="auto" w:fill="auto"/>
            <w:noWrap/>
            <w:hideMark/>
          </w:tcPr>
          <w:p w14:paraId="1CA3190B" w14:textId="0E3DD67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120.0857</w:t>
            </w:r>
          </w:p>
        </w:tc>
      </w:tr>
      <w:tr w:rsidR="00BF179D" w:rsidRPr="00063AC8" w14:paraId="056DB68C" w14:textId="77777777" w:rsidTr="00E6135C">
        <w:trPr>
          <w:trHeight w:val="20"/>
          <w:jc w:val="center"/>
        </w:trPr>
        <w:tc>
          <w:tcPr>
            <w:tcW w:w="508" w:type="pct"/>
            <w:tcBorders>
              <w:right w:val="single" w:sz="4" w:space="0" w:color="auto"/>
            </w:tcBorders>
            <w:shd w:val="clear" w:color="auto" w:fill="auto"/>
            <w:vAlign w:val="center"/>
            <w:hideMark/>
          </w:tcPr>
          <w:p w14:paraId="215EB7F8"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202002</w:t>
            </w:r>
          </w:p>
        </w:tc>
        <w:tc>
          <w:tcPr>
            <w:tcW w:w="669" w:type="pct"/>
            <w:tcBorders>
              <w:left w:val="single" w:sz="4" w:space="0" w:color="auto"/>
            </w:tcBorders>
            <w:shd w:val="clear" w:color="auto" w:fill="auto"/>
            <w:noWrap/>
            <w:hideMark/>
          </w:tcPr>
          <w:p w14:paraId="49C474E4" w14:textId="73832C7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112.4414</w:t>
            </w:r>
          </w:p>
        </w:tc>
        <w:tc>
          <w:tcPr>
            <w:tcW w:w="1156" w:type="pct"/>
            <w:shd w:val="clear" w:color="auto" w:fill="auto"/>
            <w:noWrap/>
            <w:hideMark/>
          </w:tcPr>
          <w:p w14:paraId="10C539D4" w14:textId="470ECA2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112.0786</w:t>
            </w:r>
          </w:p>
        </w:tc>
        <w:tc>
          <w:tcPr>
            <w:tcW w:w="774" w:type="pct"/>
            <w:shd w:val="clear" w:color="auto" w:fill="auto"/>
            <w:noWrap/>
            <w:hideMark/>
          </w:tcPr>
          <w:p w14:paraId="79483C2D" w14:textId="1DC9BE8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113.9429</w:t>
            </w:r>
          </w:p>
        </w:tc>
        <w:tc>
          <w:tcPr>
            <w:tcW w:w="1030" w:type="pct"/>
            <w:shd w:val="clear" w:color="auto" w:fill="auto"/>
            <w:noWrap/>
            <w:hideMark/>
          </w:tcPr>
          <w:p w14:paraId="63397318" w14:textId="00FD815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118.0714</w:t>
            </w:r>
          </w:p>
        </w:tc>
        <w:tc>
          <w:tcPr>
            <w:tcW w:w="863" w:type="pct"/>
            <w:shd w:val="clear" w:color="auto" w:fill="auto"/>
            <w:noWrap/>
            <w:hideMark/>
          </w:tcPr>
          <w:p w14:paraId="2E015D86" w14:textId="0C926B5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120.5714</w:t>
            </w:r>
          </w:p>
        </w:tc>
      </w:tr>
      <w:tr w:rsidR="00BF179D" w:rsidRPr="00063AC8" w14:paraId="43D35219" w14:textId="77777777" w:rsidTr="00E6135C">
        <w:trPr>
          <w:trHeight w:val="20"/>
          <w:jc w:val="center"/>
        </w:trPr>
        <w:tc>
          <w:tcPr>
            <w:tcW w:w="508" w:type="pct"/>
            <w:tcBorders>
              <w:right w:val="single" w:sz="4" w:space="0" w:color="auto"/>
            </w:tcBorders>
            <w:shd w:val="clear" w:color="auto" w:fill="auto"/>
            <w:vAlign w:val="center"/>
            <w:hideMark/>
          </w:tcPr>
          <w:p w14:paraId="5D00DCAB"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202003</w:t>
            </w:r>
          </w:p>
        </w:tc>
        <w:tc>
          <w:tcPr>
            <w:tcW w:w="669" w:type="pct"/>
            <w:tcBorders>
              <w:left w:val="single" w:sz="4" w:space="0" w:color="auto"/>
            </w:tcBorders>
            <w:shd w:val="clear" w:color="auto" w:fill="auto"/>
            <w:noWrap/>
            <w:hideMark/>
          </w:tcPr>
          <w:p w14:paraId="051E74BA" w14:textId="3964927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111.8957</w:t>
            </w:r>
          </w:p>
        </w:tc>
        <w:tc>
          <w:tcPr>
            <w:tcW w:w="1156" w:type="pct"/>
            <w:shd w:val="clear" w:color="auto" w:fill="auto"/>
            <w:noWrap/>
            <w:hideMark/>
          </w:tcPr>
          <w:p w14:paraId="7C70A68F" w14:textId="505A67A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111.4657</w:t>
            </w:r>
          </w:p>
        </w:tc>
        <w:tc>
          <w:tcPr>
            <w:tcW w:w="774" w:type="pct"/>
            <w:shd w:val="clear" w:color="auto" w:fill="auto"/>
            <w:noWrap/>
            <w:hideMark/>
          </w:tcPr>
          <w:p w14:paraId="08B2B57D" w14:textId="3C860F5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113.7571</w:t>
            </w:r>
          </w:p>
        </w:tc>
        <w:tc>
          <w:tcPr>
            <w:tcW w:w="1030" w:type="pct"/>
            <w:shd w:val="clear" w:color="auto" w:fill="auto"/>
            <w:noWrap/>
            <w:hideMark/>
          </w:tcPr>
          <w:p w14:paraId="4AE92180" w14:textId="0978593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118.1714</w:t>
            </w:r>
          </w:p>
        </w:tc>
        <w:tc>
          <w:tcPr>
            <w:tcW w:w="863" w:type="pct"/>
            <w:shd w:val="clear" w:color="auto" w:fill="auto"/>
            <w:noWrap/>
            <w:hideMark/>
          </w:tcPr>
          <w:p w14:paraId="6CB701F7" w14:textId="3F00392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122.0286</w:t>
            </w:r>
          </w:p>
        </w:tc>
      </w:tr>
      <w:tr w:rsidR="00BF179D" w:rsidRPr="00063AC8" w14:paraId="50A8C356" w14:textId="77777777" w:rsidTr="00E6135C">
        <w:trPr>
          <w:trHeight w:val="20"/>
          <w:jc w:val="center"/>
        </w:trPr>
        <w:tc>
          <w:tcPr>
            <w:tcW w:w="508" w:type="pct"/>
            <w:tcBorders>
              <w:right w:val="single" w:sz="4" w:space="0" w:color="auto"/>
            </w:tcBorders>
            <w:shd w:val="clear" w:color="auto" w:fill="auto"/>
            <w:vAlign w:val="center"/>
            <w:hideMark/>
          </w:tcPr>
          <w:p w14:paraId="1D015C2E"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202004</w:t>
            </w:r>
          </w:p>
        </w:tc>
        <w:tc>
          <w:tcPr>
            <w:tcW w:w="669" w:type="pct"/>
            <w:tcBorders>
              <w:left w:val="single" w:sz="4" w:space="0" w:color="auto"/>
            </w:tcBorders>
            <w:shd w:val="clear" w:color="auto" w:fill="auto"/>
            <w:noWrap/>
            <w:hideMark/>
          </w:tcPr>
          <w:p w14:paraId="583A150B" w14:textId="7F4C5B6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110.6986</w:t>
            </w:r>
          </w:p>
        </w:tc>
        <w:tc>
          <w:tcPr>
            <w:tcW w:w="1156" w:type="pct"/>
            <w:shd w:val="clear" w:color="auto" w:fill="auto"/>
            <w:noWrap/>
            <w:hideMark/>
          </w:tcPr>
          <w:p w14:paraId="47463A03" w14:textId="63FE6C8B"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110.11</w:t>
            </w:r>
          </w:p>
        </w:tc>
        <w:tc>
          <w:tcPr>
            <w:tcW w:w="774" w:type="pct"/>
            <w:shd w:val="clear" w:color="auto" w:fill="auto"/>
            <w:noWrap/>
            <w:hideMark/>
          </w:tcPr>
          <w:p w14:paraId="6C2C57F5" w14:textId="62D3D4F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113.6286</w:t>
            </w:r>
          </w:p>
        </w:tc>
        <w:tc>
          <w:tcPr>
            <w:tcW w:w="1030" w:type="pct"/>
            <w:shd w:val="clear" w:color="auto" w:fill="auto"/>
            <w:noWrap/>
            <w:hideMark/>
          </w:tcPr>
          <w:p w14:paraId="7C374E28" w14:textId="188DB25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118.0143</w:t>
            </w:r>
          </w:p>
        </w:tc>
        <w:tc>
          <w:tcPr>
            <w:tcW w:w="863" w:type="pct"/>
            <w:shd w:val="clear" w:color="auto" w:fill="auto"/>
            <w:noWrap/>
            <w:hideMark/>
          </w:tcPr>
          <w:p w14:paraId="70BE53FB" w14:textId="619EDA1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122.9286</w:t>
            </w:r>
          </w:p>
        </w:tc>
      </w:tr>
      <w:tr w:rsidR="00BF179D" w:rsidRPr="00063AC8" w14:paraId="791C21C1" w14:textId="77777777" w:rsidTr="00E6135C">
        <w:trPr>
          <w:trHeight w:val="20"/>
          <w:jc w:val="center"/>
        </w:trPr>
        <w:tc>
          <w:tcPr>
            <w:tcW w:w="508" w:type="pct"/>
            <w:tcBorders>
              <w:right w:val="single" w:sz="4" w:space="0" w:color="auto"/>
            </w:tcBorders>
            <w:shd w:val="clear" w:color="auto" w:fill="auto"/>
            <w:vAlign w:val="center"/>
            <w:hideMark/>
          </w:tcPr>
          <w:p w14:paraId="755A9D85"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202005</w:t>
            </w:r>
          </w:p>
        </w:tc>
        <w:tc>
          <w:tcPr>
            <w:tcW w:w="669" w:type="pct"/>
            <w:tcBorders>
              <w:left w:val="single" w:sz="4" w:space="0" w:color="auto"/>
            </w:tcBorders>
            <w:shd w:val="clear" w:color="auto" w:fill="auto"/>
            <w:noWrap/>
            <w:hideMark/>
          </w:tcPr>
          <w:p w14:paraId="3059EB02" w14:textId="6CD96282"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109.1357</w:t>
            </w:r>
          </w:p>
        </w:tc>
        <w:tc>
          <w:tcPr>
            <w:tcW w:w="1156" w:type="pct"/>
            <w:shd w:val="clear" w:color="auto" w:fill="auto"/>
            <w:noWrap/>
            <w:hideMark/>
          </w:tcPr>
          <w:p w14:paraId="04997097" w14:textId="576B0EC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108.3429</w:t>
            </w:r>
          </w:p>
        </w:tc>
        <w:tc>
          <w:tcPr>
            <w:tcW w:w="774" w:type="pct"/>
            <w:shd w:val="clear" w:color="auto" w:fill="auto"/>
            <w:noWrap/>
            <w:hideMark/>
          </w:tcPr>
          <w:p w14:paraId="0D810190" w14:textId="72274E5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113.2143</w:t>
            </w:r>
          </w:p>
        </w:tc>
        <w:tc>
          <w:tcPr>
            <w:tcW w:w="1030" w:type="pct"/>
            <w:shd w:val="clear" w:color="auto" w:fill="auto"/>
            <w:noWrap/>
            <w:hideMark/>
          </w:tcPr>
          <w:p w14:paraId="2925A756" w14:textId="36419A6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117.5143</w:t>
            </w:r>
          </w:p>
        </w:tc>
        <w:tc>
          <w:tcPr>
            <w:tcW w:w="863" w:type="pct"/>
            <w:shd w:val="clear" w:color="auto" w:fill="auto"/>
            <w:noWrap/>
            <w:hideMark/>
          </w:tcPr>
          <w:p w14:paraId="249166A9" w14:textId="23FD1CA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121.9857</w:t>
            </w:r>
          </w:p>
        </w:tc>
      </w:tr>
      <w:tr w:rsidR="00BF179D" w:rsidRPr="00063AC8" w14:paraId="1CF5E196" w14:textId="77777777" w:rsidTr="00E6135C">
        <w:trPr>
          <w:trHeight w:val="20"/>
          <w:jc w:val="center"/>
        </w:trPr>
        <w:tc>
          <w:tcPr>
            <w:tcW w:w="508" w:type="pct"/>
            <w:tcBorders>
              <w:right w:val="single" w:sz="4" w:space="0" w:color="auto"/>
            </w:tcBorders>
            <w:shd w:val="clear" w:color="auto" w:fill="auto"/>
            <w:vAlign w:val="center"/>
            <w:hideMark/>
          </w:tcPr>
          <w:p w14:paraId="4747EA70"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202006</w:t>
            </w:r>
          </w:p>
        </w:tc>
        <w:tc>
          <w:tcPr>
            <w:tcW w:w="669" w:type="pct"/>
            <w:tcBorders>
              <w:left w:val="single" w:sz="4" w:space="0" w:color="auto"/>
            </w:tcBorders>
            <w:shd w:val="clear" w:color="auto" w:fill="auto"/>
            <w:noWrap/>
            <w:hideMark/>
          </w:tcPr>
          <w:p w14:paraId="2CF9B84F" w14:textId="1D1BEB4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107.29</w:t>
            </w:r>
          </w:p>
        </w:tc>
        <w:tc>
          <w:tcPr>
            <w:tcW w:w="1156" w:type="pct"/>
            <w:shd w:val="clear" w:color="auto" w:fill="auto"/>
            <w:noWrap/>
            <w:hideMark/>
          </w:tcPr>
          <w:p w14:paraId="03207E94" w14:textId="43A1C893"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106.2457</w:t>
            </w:r>
          </w:p>
        </w:tc>
        <w:tc>
          <w:tcPr>
            <w:tcW w:w="774" w:type="pct"/>
            <w:shd w:val="clear" w:color="auto" w:fill="auto"/>
            <w:noWrap/>
            <w:hideMark/>
          </w:tcPr>
          <w:p w14:paraId="10A49902" w14:textId="6499DAE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112.9429</w:t>
            </w:r>
          </w:p>
        </w:tc>
        <w:tc>
          <w:tcPr>
            <w:tcW w:w="1030" w:type="pct"/>
            <w:shd w:val="clear" w:color="auto" w:fill="auto"/>
            <w:noWrap/>
            <w:hideMark/>
          </w:tcPr>
          <w:p w14:paraId="158E9FC6" w14:textId="6A28017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117.0429</w:t>
            </w:r>
          </w:p>
        </w:tc>
        <w:tc>
          <w:tcPr>
            <w:tcW w:w="863" w:type="pct"/>
            <w:shd w:val="clear" w:color="auto" w:fill="auto"/>
            <w:noWrap/>
            <w:hideMark/>
          </w:tcPr>
          <w:p w14:paraId="1B942255" w14:textId="1E0568E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121.8286</w:t>
            </w:r>
          </w:p>
        </w:tc>
      </w:tr>
      <w:tr w:rsidR="00BF179D" w:rsidRPr="00063AC8" w14:paraId="274DABED" w14:textId="77777777" w:rsidTr="00E6135C">
        <w:trPr>
          <w:trHeight w:val="20"/>
          <w:jc w:val="center"/>
        </w:trPr>
        <w:tc>
          <w:tcPr>
            <w:tcW w:w="508" w:type="pct"/>
            <w:tcBorders>
              <w:right w:val="single" w:sz="4" w:space="0" w:color="auto"/>
            </w:tcBorders>
            <w:shd w:val="clear" w:color="auto" w:fill="auto"/>
            <w:vAlign w:val="center"/>
            <w:hideMark/>
          </w:tcPr>
          <w:p w14:paraId="1FDBEEA4"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202007</w:t>
            </w:r>
          </w:p>
        </w:tc>
        <w:tc>
          <w:tcPr>
            <w:tcW w:w="669" w:type="pct"/>
            <w:tcBorders>
              <w:left w:val="single" w:sz="4" w:space="0" w:color="auto"/>
            </w:tcBorders>
            <w:shd w:val="clear" w:color="auto" w:fill="auto"/>
            <w:noWrap/>
            <w:hideMark/>
          </w:tcPr>
          <w:p w14:paraId="535ED76E" w14:textId="1FEA7600"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104.87</w:t>
            </w:r>
          </w:p>
        </w:tc>
        <w:tc>
          <w:tcPr>
            <w:tcW w:w="1156" w:type="pct"/>
            <w:shd w:val="clear" w:color="auto" w:fill="auto"/>
            <w:noWrap/>
            <w:hideMark/>
          </w:tcPr>
          <w:p w14:paraId="787B663B" w14:textId="04CA784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103.63</w:t>
            </w:r>
          </w:p>
        </w:tc>
        <w:tc>
          <w:tcPr>
            <w:tcW w:w="774" w:type="pct"/>
            <w:shd w:val="clear" w:color="auto" w:fill="auto"/>
            <w:noWrap/>
            <w:hideMark/>
          </w:tcPr>
          <w:p w14:paraId="310DEC61" w14:textId="0B12259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112.4714</w:t>
            </w:r>
          </w:p>
        </w:tc>
        <w:tc>
          <w:tcPr>
            <w:tcW w:w="1030" w:type="pct"/>
            <w:shd w:val="clear" w:color="auto" w:fill="auto"/>
            <w:noWrap/>
            <w:hideMark/>
          </w:tcPr>
          <w:p w14:paraId="7E322452" w14:textId="747C03D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117.4429</w:t>
            </w:r>
          </w:p>
        </w:tc>
        <w:tc>
          <w:tcPr>
            <w:tcW w:w="863" w:type="pct"/>
            <w:shd w:val="clear" w:color="auto" w:fill="auto"/>
            <w:noWrap/>
            <w:hideMark/>
          </w:tcPr>
          <w:p w14:paraId="64A84AE2" w14:textId="6F6BB277"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122.9</w:t>
            </w:r>
          </w:p>
        </w:tc>
      </w:tr>
      <w:tr w:rsidR="00BF179D" w:rsidRPr="00063AC8" w14:paraId="782931F6" w14:textId="77777777" w:rsidTr="00E6135C">
        <w:trPr>
          <w:trHeight w:val="20"/>
          <w:jc w:val="center"/>
        </w:trPr>
        <w:tc>
          <w:tcPr>
            <w:tcW w:w="508" w:type="pct"/>
            <w:tcBorders>
              <w:right w:val="single" w:sz="4" w:space="0" w:color="auto"/>
            </w:tcBorders>
            <w:shd w:val="clear" w:color="auto" w:fill="auto"/>
            <w:vAlign w:val="center"/>
            <w:hideMark/>
          </w:tcPr>
          <w:p w14:paraId="69C9652F"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202008</w:t>
            </w:r>
          </w:p>
        </w:tc>
        <w:tc>
          <w:tcPr>
            <w:tcW w:w="669" w:type="pct"/>
            <w:tcBorders>
              <w:left w:val="single" w:sz="4" w:space="0" w:color="auto"/>
            </w:tcBorders>
            <w:shd w:val="clear" w:color="auto" w:fill="auto"/>
            <w:noWrap/>
            <w:hideMark/>
          </w:tcPr>
          <w:p w14:paraId="6E3B9DDA" w14:textId="50D425F1"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104.0317</w:t>
            </w:r>
          </w:p>
        </w:tc>
        <w:tc>
          <w:tcPr>
            <w:tcW w:w="1156" w:type="pct"/>
            <w:shd w:val="clear" w:color="auto" w:fill="auto"/>
            <w:noWrap/>
            <w:hideMark/>
          </w:tcPr>
          <w:p w14:paraId="0023B5FA" w14:textId="7157B729"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102.7033</w:t>
            </w:r>
          </w:p>
        </w:tc>
        <w:tc>
          <w:tcPr>
            <w:tcW w:w="774" w:type="pct"/>
            <w:shd w:val="clear" w:color="auto" w:fill="auto"/>
            <w:noWrap/>
            <w:hideMark/>
          </w:tcPr>
          <w:p w14:paraId="7508DC02" w14:textId="113D73A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112.2333</w:t>
            </w:r>
          </w:p>
        </w:tc>
        <w:tc>
          <w:tcPr>
            <w:tcW w:w="1030" w:type="pct"/>
            <w:shd w:val="clear" w:color="auto" w:fill="auto"/>
            <w:noWrap/>
            <w:hideMark/>
          </w:tcPr>
          <w:p w14:paraId="6FED2EAA" w14:textId="6B18698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117.1333</w:t>
            </w:r>
          </w:p>
        </w:tc>
        <w:tc>
          <w:tcPr>
            <w:tcW w:w="863" w:type="pct"/>
            <w:shd w:val="clear" w:color="auto" w:fill="auto"/>
            <w:noWrap/>
            <w:hideMark/>
          </w:tcPr>
          <w:p w14:paraId="7924143C" w14:textId="446C7F86"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122.5167</w:t>
            </w:r>
          </w:p>
        </w:tc>
      </w:tr>
      <w:tr w:rsidR="00BF179D" w:rsidRPr="00063AC8" w14:paraId="635A56AF" w14:textId="77777777" w:rsidTr="00E6135C">
        <w:trPr>
          <w:trHeight w:val="20"/>
          <w:jc w:val="center"/>
        </w:trPr>
        <w:tc>
          <w:tcPr>
            <w:tcW w:w="508" w:type="pct"/>
            <w:tcBorders>
              <w:right w:val="single" w:sz="4" w:space="0" w:color="auto"/>
            </w:tcBorders>
            <w:shd w:val="clear" w:color="auto" w:fill="auto"/>
            <w:vAlign w:val="center"/>
            <w:hideMark/>
          </w:tcPr>
          <w:p w14:paraId="5F6EA76C"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202009</w:t>
            </w:r>
          </w:p>
        </w:tc>
        <w:tc>
          <w:tcPr>
            <w:tcW w:w="669" w:type="pct"/>
            <w:tcBorders>
              <w:left w:val="single" w:sz="4" w:space="0" w:color="auto"/>
            </w:tcBorders>
            <w:shd w:val="clear" w:color="auto" w:fill="auto"/>
            <w:noWrap/>
            <w:hideMark/>
          </w:tcPr>
          <w:p w14:paraId="3319BA38" w14:textId="6B55A46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103.32</w:t>
            </w:r>
          </w:p>
        </w:tc>
        <w:tc>
          <w:tcPr>
            <w:tcW w:w="1156" w:type="pct"/>
            <w:shd w:val="clear" w:color="auto" w:fill="auto"/>
            <w:noWrap/>
            <w:hideMark/>
          </w:tcPr>
          <w:p w14:paraId="7D09C3F7" w14:textId="7A80C67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101.912</w:t>
            </w:r>
          </w:p>
        </w:tc>
        <w:tc>
          <w:tcPr>
            <w:tcW w:w="774" w:type="pct"/>
            <w:shd w:val="clear" w:color="auto" w:fill="auto"/>
            <w:noWrap/>
            <w:hideMark/>
          </w:tcPr>
          <w:p w14:paraId="7AAFE1D3" w14:textId="2DE38B3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111.96</w:t>
            </w:r>
          </w:p>
        </w:tc>
        <w:tc>
          <w:tcPr>
            <w:tcW w:w="1030" w:type="pct"/>
            <w:shd w:val="clear" w:color="auto" w:fill="auto"/>
            <w:noWrap/>
            <w:hideMark/>
          </w:tcPr>
          <w:p w14:paraId="487748AC" w14:textId="519A3904"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116.64</w:t>
            </w:r>
          </w:p>
        </w:tc>
        <w:tc>
          <w:tcPr>
            <w:tcW w:w="863" w:type="pct"/>
            <w:shd w:val="clear" w:color="auto" w:fill="auto"/>
            <w:noWrap/>
            <w:hideMark/>
          </w:tcPr>
          <w:p w14:paraId="232BD36A" w14:textId="632FF74E"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122.8</w:t>
            </w:r>
          </w:p>
        </w:tc>
      </w:tr>
      <w:tr w:rsidR="00BF179D" w:rsidRPr="00063AC8" w14:paraId="4529A2B4" w14:textId="77777777" w:rsidTr="00E6135C">
        <w:trPr>
          <w:trHeight w:val="20"/>
          <w:jc w:val="center"/>
        </w:trPr>
        <w:tc>
          <w:tcPr>
            <w:tcW w:w="508" w:type="pct"/>
            <w:tcBorders>
              <w:bottom w:val="double" w:sz="4" w:space="0" w:color="auto"/>
              <w:right w:val="single" w:sz="4" w:space="0" w:color="auto"/>
            </w:tcBorders>
            <w:shd w:val="clear" w:color="auto" w:fill="auto"/>
            <w:vAlign w:val="center"/>
            <w:hideMark/>
          </w:tcPr>
          <w:p w14:paraId="1BBC54DD" w14:textId="77777777" w:rsidR="00BF179D" w:rsidRPr="00063AC8"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063AC8">
              <w:rPr>
                <w:rFonts w:asciiTheme="majorHAnsi" w:hAnsiTheme="majorHAnsi" w:cstheme="majorHAnsi"/>
                <w:sz w:val="20"/>
                <w:szCs w:val="20"/>
              </w:rPr>
              <w:t>202010</w:t>
            </w:r>
          </w:p>
        </w:tc>
        <w:tc>
          <w:tcPr>
            <w:tcW w:w="669" w:type="pct"/>
            <w:tcBorders>
              <w:left w:val="single" w:sz="4" w:space="0" w:color="auto"/>
            </w:tcBorders>
            <w:shd w:val="clear" w:color="auto" w:fill="auto"/>
            <w:noWrap/>
            <w:hideMark/>
          </w:tcPr>
          <w:p w14:paraId="23105B3C" w14:textId="2C46AC75"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101.98</w:t>
            </w:r>
          </w:p>
        </w:tc>
        <w:tc>
          <w:tcPr>
            <w:tcW w:w="1156" w:type="pct"/>
            <w:shd w:val="clear" w:color="auto" w:fill="auto"/>
            <w:noWrap/>
            <w:hideMark/>
          </w:tcPr>
          <w:p w14:paraId="4588C212" w14:textId="3BA18DB8"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100.3625</w:t>
            </w:r>
          </w:p>
        </w:tc>
        <w:tc>
          <w:tcPr>
            <w:tcW w:w="774" w:type="pct"/>
            <w:shd w:val="clear" w:color="auto" w:fill="auto"/>
            <w:noWrap/>
            <w:hideMark/>
          </w:tcPr>
          <w:p w14:paraId="2A8A0C00" w14:textId="430599CA"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111.95</w:t>
            </w:r>
          </w:p>
        </w:tc>
        <w:tc>
          <w:tcPr>
            <w:tcW w:w="1030" w:type="pct"/>
            <w:shd w:val="clear" w:color="auto" w:fill="auto"/>
            <w:noWrap/>
            <w:hideMark/>
          </w:tcPr>
          <w:p w14:paraId="0CFB1F37" w14:textId="486623DF"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116.425</w:t>
            </w:r>
          </w:p>
        </w:tc>
        <w:tc>
          <w:tcPr>
            <w:tcW w:w="863" w:type="pct"/>
            <w:shd w:val="clear" w:color="auto" w:fill="auto"/>
            <w:noWrap/>
            <w:hideMark/>
          </w:tcPr>
          <w:p w14:paraId="18E931D6" w14:textId="3578D33D" w:rsidR="00BF179D" w:rsidRPr="0038611F" w:rsidRDefault="00BF179D" w:rsidP="00BF179D">
            <w:pPr>
              <w:widowControl w:val="0"/>
              <w:autoSpaceDE w:val="0"/>
              <w:autoSpaceDN w:val="0"/>
              <w:adjustRightInd w:val="0"/>
              <w:spacing w:after="0" w:line="276" w:lineRule="auto"/>
              <w:jc w:val="center"/>
              <w:rPr>
                <w:rFonts w:asciiTheme="majorHAnsi" w:hAnsiTheme="majorHAnsi" w:cstheme="majorHAnsi"/>
                <w:sz w:val="20"/>
                <w:szCs w:val="20"/>
              </w:rPr>
            </w:pPr>
            <w:r w:rsidRPr="00BF179D">
              <w:rPr>
                <w:rFonts w:asciiTheme="majorHAnsi" w:hAnsiTheme="majorHAnsi" w:cstheme="majorHAnsi"/>
                <w:sz w:val="20"/>
                <w:szCs w:val="20"/>
              </w:rPr>
              <w:t>121.6</w:t>
            </w:r>
          </w:p>
        </w:tc>
      </w:tr>
    </w:tbl>
    <w:p w14:paraId="197A2C42" w14:textId="099363D6" w:rsidR="00BF179D" w:rsidRPr="00CE2B42" w:rsidRDefault="00BF179D" w:rsidP="00BF179D">
      <w:pPr>
        <w:spacing w:after="0" w:line="276" w:lineRule="auto"/>
        <w:rPr>
          <w:rFonts w:asciiTheme="majorHAnsi" w:eastAsiaTheme="majorEastAsia" w:hAnsiTheme="majorHAnsi" w:cstheme="majorHAnsi"/>
          <w:bCs/>
          <w:i/>
        </w:rPr>
      </w:pPr>
      <w:r w:rsidRPr="00CE2B42">
        <w:rPr>
          <w:rFonts w:asciiTheme="majorHAnsi" w:eastAsiaTheme="majorEastAsia" w:hAnsiTheme="majorHAnsi" w:cstheme="majorHAnsi"/>
          <w:bCs/>
          <w:i/>
        </w:rPr>
        <w:t xml:space="preserve">Note: This table reports the </w:t>
      </w:r>
      <w:r>
        <w:rPr>
          <w:rFonts w:asciiTheme="majorHAnsi" w:eastAsiaTheme="majorEastAsia" w:hAnsiTheme="majorHAnsi" w:cstheme="majorHAnsi"/>
          <w:bCs/>
          <w:i/>
        </w:rPr>
        <w:t>Hedonic Indexes after</w:t>
      </w:r>
      <w:r w:rsidRPr="00BF179D">
        <w:t xml:space="preserve"> </w:t>
      </w:r>
      <w:r w:rsidRPr="00BF179D">
        <w:rPr>
          <w:rFonts w:asciiTheme="majorHAnsi" w:eastAsiaTheme="majorEastAsia" w:hAnsiTheme="majorHAnsi" w:cstheme="majorHAnsi"/>
          <w:bCs/>
          <w:i/>
        </w:rPr>
        <w:t>Mover-Average Smooth</w:t>
      </w:r>
      <w:r>
        <w:rPr>
          <w:rFonts w:asciiTheme="majorHAnsi" w:eastAsiaTheme="majorEastAsia" w:hAnsiTheme="majorHAnsi" w:cstheme="majorHAnsi"/>
          <w:bCs/>
          <w:i/>
        </w:rPr>
        <w:t xml:space="preserve">. </w:t>
      </w:r>
      <w:r w:rsidRPr="00CE2B42">
        <w:rPr>
          <w:rFonts w:asciiTheme="majorHAnsi" w:eastAsiaTheme="majorEastAsia" w:hAnsiTheme="majorHAnsi" w:cstheme="majorHAnsi"/>
          <w:bCs/>
          <w:i/>
        </w:rPr>
        <w:t xml:space="preserve">Panel.A presents the house transactional </w:t>
      </w:r>
      <w:r>
        <w:rPr>
          <w:rFonts w:asciiTheme="majorHAnsi" w:eastAsiaTheme="majorEastAsia" w:hAnsiTheme="majorHAnsi" w:cstheme="majorHAnsi"/>
          <w:bCs/>
          <w:i/>
        </w:rPr>
        <w:t>price index</w:t>
      </w:r>
      <w:r w:rsidRPr="00CE2B42">
        <w:rPr>
          <w:rFonts w:asciiTheme="majorHAnsi" w:eastAsiaTheme="majorEastAsia" w:hAnsiTheme="majorHAnsi" w:cstheme="majorHAnsi"/>
          <w:bCs/>
          <w:i/>
        </w:rPr>
        <w:t xml:space="preserve">, corresponding </w:t>
      </w:r>
      <w:r>
        <w:rPr>
          <w:rFonts w:asciiTheme="majorHAnsi" w:eastAsiaTheme="majorEastAsia" w:hAnsiTheme="majorHAnsi" w:cstheme="majorHAnsi"/>
          <w:bCs/>
          <w:i/>
        </w:rPr>
        <w:t>to</w:t>
      </w:r>
      <w:r w:rsidRPr="00CE2B42">
        <w:rPr>
          <w:rFonts w:asciiTheme="majorHAnsi" w:eastAsiaTheme="majorEastAsia" w:hAnsiTheme="majorHAnsi" w:cstheme="majorHAnsi"/>
          <w:bCs/>
          <w:i/>
        </w:rPr>
        <w:t xml:space="preserve"> Figure.1. Panel.B presents the unit transactional </w:t>
      </w:r>
      <w:r>
        <w:rPr>
          <w:rFonts w:asciiTheme="majorHAnsi" w:eastAsiaTheme="majorEastAsia" w:hAnsiTheme="majorHAnsi" w:cstheme="majorHAnsi"/>
          <w:bCs/>
          <w:i/>
        </w:rPr>
        <w:t>price index</w:t>
      </w:r>
      <w:r w:rsidRPr="00CE2B42">
        <w:rPr>
          <w:rFonts w:asciiTheme="majorHAnsi" w:eastAsiaTheme="majorEastAsia" w:hAnsiTheme="majorHAnsi" w:cstheme="majorHAnsi"/>
          <w:bCs/>
          <w:i/>
        </w:rPr>
        <w:t xml:space="preserve">, corresponding </w:t>
      </w:r>
      <w:r>
        <w:rPr>
          <w:rFonts w:asciiTheme="majorHAnsi" w:eastAsiaTheme="majorEastAsia" w:hAnsiTheme="majorHAnsi" w:cstheme="majorHAnsi"/>
          <w:bCs/>
          <w:i/>
        </w:rPr>
        <w:t>to</w:t>
      </w:r>
      <w:r w:rsidRPr="00CE2B42">
        <w:rPr>
          <w:rFonts w:asciiTheme="majorHAnsi" w:eastAsiaTheme="majorEastAsia" w:hAnsiTheme="majorHAnsi" w:cstheme="majorHAnsi"/>
          <w:bCs/>
          <w:i/>
        </w:rPr>
        <w:t xml:space="preserve"> Figure.2. Panel.C presents the House Rental Price Index</w:t>
      </w:r>
      <w:r>
        <w:rPr>
          <w:rFonts w:asciiTheme="majorHAnsi" w:eastAsiaTheme="majorEastAsia" w:hAnsiTheme="majorHAnsi" w:cstheme="majorHAnsi"/>
          <w:bCs/>
          <w:i/>
        </w:rPr>
        <w:t>,</w:t>
      </w:r>
      <w:r w:rsidRPr="00CE2B42">
        <w:rPr>
          <w:rFonts w:asciiTheme="majorHAnsi" w:eastAsiaTheme="majorEastAsia" w:hAnsiTheme="majorHAnsi" w:cstheme="majorHAnsi"/>
          <w:bCs/>
          <w:i/>
        </w:rPr>
        <w:t xml:space="preserve"> </w:t>
      </w:r>
      <w:r>
        <w:rPr>
          <w:rFonts w:asciiTheme="majorHAnsi" w:eastAsiaTheme="majorEastAsia" w:hAnsiTheme="majorHAnsi" w:cstheme="majorHAnsi"/>
          <w:bCs/>
          <w:i/>
        </w:rPr>
        <w:t>corresponding to</w:t>
      </w:r>
      <w:r w:rsidRPr="00CE2B42">
        <w:rPr>
          <w:rFonts w:asciiTheme="majorHAnsi" w:eastAsiaTheme="majorEastAsia" w:hAnsiTheme="majorHAnsi" w:cstheme="majorHAnsi"/>
          <w:bCs/>
          <w:i/>
        </w:rPr>
        <w:t xml:space="preserve"> Figure.3. Panel.D presents the unit rental </w:t>
      </w:r>
      <w:r>
        <w:rPr>
          <w:rFonts w:asciiTheme="majorHAnsi" w:eastAsiaTheme="majorEastAsia" w:hAnsiTheme="majorHAnsi" w:cstheme="majorHAnsi"/>
          <w:bCs/>
          <w:i/>
        </w:rPr>
        <w:t>index</w:t>
      </w:r>
      <w:r w:rsidRPr="00CE2B42">
        <w:rPr>
          <w:rFonts w:asciiTheme="majorHAnsi" w:eastAsiaTheme="majorEastAsia" w:hAnsiTheme="majorHAnsi" w:cstheme="majorHAnsi"/>
          <w:bCs/>
          <w:i/>
        </w:rPr>
        <w:t xml:space="preserve">, corresponding </w:t>
      </w:r>
      <w:r>
        <w:rPr>
          <w:rFonts w:asciiTheme="majorHAnsi" w:eastAsiaTheme="majorEastAsia" w:hAnsiTheme="majorHAnsi" w:cstheme="majorHAnsi"/>
          <w:bCs/>
          <w:i/>
        </w:rPr>
        <w:t>to</w:t>
      </w:r>
      <w:r w:rsidRPr="00CE2B42">
        <w:rPr>
          <w:rFonts w:asciiTheme="majorHAnsi" w:eastAsiaTheme="majorEastAsia" w:hAnsiTheme="majorHAnsi" w:cstheme="majorHAnsi"/>
          <w:bCs/>
          <w:i/>
        </w:rPr>
        <w:t xml:space="preserve"> Figure.4. The column (1) in each panel presents the Hedonic </w:t>
      </w:r>
      <w:r>
        <w:rPr>
          <w:rFonts w:asciiTheme="majorHAnsi" w:eastAsiaTheme="majorEastAsia" w:hAnsiTheme="majorHAnsi" w:cstheme="majorHAnsi"/>
          <w:bCs/>
          <w:i/>
        </w:rPr>
        <w:t>Indexes</w:t>
      </w:r>
      <w:r w:rsidRPr="00CE2B42">
        <w:rPr>
          <w:rFonts w:asciiTheme="majorHAnsi" w:eastAsiaTheme="majorEastAsia" w:hAnsiTheme="majorHAnsi" w:cstheme="majorHAnsi"/>
          <w:bCs/>
          <w:i/>
        </w:rPr>
        <w:t xml:space="preserve"> for the whole VIC. The column (2) in each panel presents the Hedonic </w:t>
      </w:r>
      <w:r>
        <w:rPr>
          <w:rFonts w:asciiTheme="majorHAnsi" w:eastAsiaTheme="majorEastAsia" w:hAnsiTheme="majorHAnsi" w:cstheme="majorHAnsi"/>
          <w:bCs/>
          <w:i/>
        </w:rPr>
        <w:t>Indexes</w:t>
      </w:r>
      <w:r w:rsidRPr="00CE2B42">
        <w:rPr>
          <w:rFonts w:asciiTheme="majorHAnsi" w:eastAsiaTheme="majorEastAsia" w:hAnsiTheme="majorHAnsi" w:cstheme="majorHAnsi"/>
          <w:bCs/>
          <w:i/>
        </w:rPr>
        <w:t xml:space="preserve"> for the Greater Melbourne. The column (3) in each panel presents the Hedonic </w:t>
      </w:r>
      <w:r>
        <w:rPr>
          <w:rFonts w:asciiTheme="majorHAnsi" w:eastAsiaTheme="majorEastAsia" w:hAnsiTheme="majorHAnsi" w:cstheme="majorHAnsi"/>
          <w:bCs/>
          <w:i/>
        </w:rPr>
        <w:t>Indexes</w:t>
      </w:r>
      <w:r w:rsidRPr="00CE2B42">
        <w:rPr>
          <w:rFonts w:asciiTheme="majorHAnsi" w:eastAsiaTheme="majorEastAsia" w:hAnsiTheme="majorHAnsi" w:cstheme="majorHAnsi"/>
          <w:bCs/>
          <w:i/>
        </w:rPr>
        <w:t xml:space="preserve"> for the Regional VIC. The column (4) presents the Hedonic </w:t>
      </w:r>
      <w:r>
        <w:rPr>
          <w:rFonts w:asciiTheme="majorHAnsi" w:eastAsiaTheme="majorEastAsia" w:hAnsiTheme="majorHAnsi" w:cstheme="majorHAnsi"/>
          <w:bCs/>
          <w:i/>
        </w:rPr>
        <w:t>Indexes</w:t>
      </w:r>
      <w:r w:rsidRPr="00CE2B42">
        <w:rPr>
          <w:rFonts w:asciiTheme="majorHAnsi" w:eastAsiaTheme="majorEastAsia" w:hAnsiTheme="majorHAnsi" w:cstheme="majorHAnsi"/>
          <w:bCs/>
          <w:i/>
        </w:rPr>
        <w:t xml:space="preserve"> for the Greater Geelong. The column (5) in each panel presents the Hedonic </w:t>
      </w:r>
      <w:r>
        <w:rPr>
          <w:rFonts w:asciiTheme="majorHAnsi" w:eastAsiaTheme="majorEastAsia" w:hAnsiTheme="majorHAnsi" w:cstheme="majorHAnsi"/>
          <w:bCs/>
          <w:i/>
        </w:rPr>
        <w:t>Indexes</w:t>
      </w:r>
      <w:r w:rsidRPr="00CE2B42">
        <w:rPr>
          <w:rFonts w:asciiTheme="majorHAnsi" w:eastAsiaTheme="majorEastAsia" w:hAnsiTheme="majorHAnsi" w:cstheme="majorHAnsi"/>
          <w:bCs/>
          <w:i/>
        </w:rPr>
        <w:t xml:space="preserve"> for the three focal suburbs. </w:t>
      </w:r>
    </w:p>
    <w:p w14:paraId="6450ED47" w14:textId="77777777" w:rsidR="00BF179D" w:rsidRDefault="00BF179D" w:rsidP="002C52A2">
      <w:pPr>
        <w:spacing w:before="120" w:after="120" w:line="276" w:lineRule="auto"/>
        <w:rPr>
          <w:rFonts w:asciiTheme="majorHAnsi" w:eastAsiaTheme="majorEastAsia" w:hAnsiTheme="majorHAnsi" w:cstheme="majorHAnsi"/>
          <w:bCs/>
          <w:sz w:val="20"/>
          <w:szCs w:val="20"/>
        </w:rPr>
      </w:pPr>
    </w:p>
    <w:p w14:paraId="3D4C339F" w14:textId="18CEB725" w:rsidR="00F17FBA" w:rsidRPr="00F17FBA" w:rsidRDefault="00F17FBA" w:rsidP="002C52A2">
      <w:pPr>
        <w:spacing w:before="120" w:after="120" w:line="276" w:lineRule="auto"/>
        <w:rPr>
          <w:rFonts w:eastAsiaTheme="majorEastAsia" w:cstheme="minorHAnsi"/>
          <w:b/>
          <w:sz w:val="20"/>
          <w:szCs w:val="20"/>
        </w:rPr>
      </w:pPr>
      <w:r w:rsidRPr="00F17FBA">
        <w:rPr>
          <w:rFonts w:eastAsiaTheme="majorEastAsia" w:cstheme="minorHAnsi"/>
          <w:b/>
          <w:sz w:val="20"/>
          <w:szCs w:val="20"/>
        </w:rPr>
        <w:t>Sources</w:t>
      </w:r>
    </w:p>
    <w:p w14:paraId="4A3032B8" w14:textId="77777777" w:rsidR="00F17FBA" w:rsidRPr="00F17FBA" w:rsidRDefault="00F17FBA" w:rsidP="00F17FBA">
      <w:pPr>
        <w:pStyle w:val="EndNoteBibliography"/>
        <w:ind w:left="720" w:hanging="720"/>
        <w:rPr>
          <w:rFonts w:asciiTheme="majorHAnsi" w:hAnsiTheme="majorHAnsi" w:cstheme="majorHAnsi"/>
          <w:noProof/>
        </w:rPr>
      </w:pPr>
      <w:r w:rsidRPr="00F17FBA">
        <w:rPr>
          <w:rFonts w:asciiTheme="majorHAnsi" w:hAnsiTheme="majorHAnsi" w:cstheme="majorHAnsi"/>
          <w:noProof/>
        </w:rPr>
        <w:t xml:space="preserve">Agarwal, S., &amp; Qian, W. (2014). Consumption and debt response to unanticipated income shocks: Evidence from a natural experiment in Singapore. </w:t>
      </w:r>
      <w:r w:rsidRPr="00F17FBA">
        <w:rPr>
          <w:rFonts w:asciiTheme="majorHAnsi" w:hAnsiTheme="majorHAnsi" w:cstheme="majorHAnsi"/>
          <w:i/>
          <w:noProof/>
        </w:rPr>
        <w:t>American Economic Review, 104</w:t>
      </w:r>
      <w:r w:rsidRPr="00F17FBA">
        <w:rPr>
          <w:rFonts w:asciiTheme="majorHAnsi" w:hAnsiTheme="majorHAnsi" w:cstheme="majorHAnsi"/>
          <w:noProof/>
        </w:rPr>
        <w:t xml:space="preserve">(12), 4205-4230. </w:t>
      </w:r>
    </w:p>
    <w:p w14:paraId="361696C2" w14:textId="77777777" w:rsidR="00F17FBA" w:rsidRPr="00F17FBA" w:rsidRDefault="00F17FBA" w:rsidP="00F17FBA">
      <w:pPr>
        <w:pStyle w:val="EndNoteBibliography"/>
        <w:ind w:left="720" w:hanging="720"/>
        <w:rPr>
          <w:rFonts w:asciiTheme="majorHAnsi" w:hAnsiTheme="majorHAnsi" w:cstheme="majorHAnsi"/>
          <w:noProof/>
        </w:rPr>
      </w:pPr>
      <w:r w:rsidRPr="00F17FBA">
        <w:rPr>
          <w:rFonts w:asciiTheme="majorHAnsi" w:hAnsiTheme="majorHAnsi" w:cstheme="majorHAnsi"/>
          <w:noProof/>
        </w:rPr>
        <w:t xml:space="preserve">Feng, H., &amp; Lu, M. (2013). School quality and housing prices: Empirical evidence from a natural experiment in Shanghai, China. </w:t>
      </w:r>
      <w:r w:rsidRPr="00F17FBA">
        <w:rPr>
          <w:rFonts w:asciiTheme="majorHAnsi" w:hAnsiTheme="majorHAnsi" w:cstheme="majorHAnsi"/>
          <w:i/>
          <w:noProof/>
        </w:rPr>
        <w:t>Journal of Housing Economics, 22</w:t>
      </w:r>
      <w:r w:rsidRPr="00F17FBA">
        <w:rPr>
          <w:rFonts w:asciiTheme="majorHAnsi" w:hAnsiTheme="majorHAnsi" w:cstheme="majorHAnsi"/>
          <w:noProof/>
        </w:rPr>
        <w:t xml:space="preserve">(4), 291-307. </w:t>
      </w:r>
    </w:p>
    <w:p w14:paraId="1BA2691F" w14:textId="77777777" w:rsidR="00F17FBA" w:rsidRPr="00F17FBA" w:rsidRDefault="00F17FBA" w:rsidP="00F17FBA">
      <w:pPr>
        <w:pStyle w:val="EndNoteBibliography"/>
        <w:ind w:left="720" w:hanging="720"/>
        <w:rPr>
          <w:rFonts w:asciiTheme="majorHAnsi" w:hAnsiTheme="majorHAnsi" w:cstheme="majorHAnsi"/>
          <w:noProof/>
        </w:rPr>
      </w:pPr>
      <w:r w:rsidRPr="00F17FBA">
        <w:rPr>
          <w:rFonts w:asciiTheme="majorHAnsi" w:hAnsiTheme="majorHAnsi" w:cstheme="majorHAnsi"/>
          <w:noProof/>
        </w:rPr>
        <w:t xml:space="preserve">Liang, J., Koo, K. M., &amp; Lee, C. L. (2021). Transportation infrastructure improvement and real estate value: impact of level crossing removal project on housing prices. </w:t>
      </w:r>
      <w:r w:rsidRPr="00F17FBA">
        <w:rPr>
          <w:rFonts w:asciiTheme="majorHAnsi" w:hAnsiTheme="majorHAnsi" w:cstheme="majorHAnsi"/>
          <w:i/>
          <w:noProof/>
        </w:rPr>
        <w:t>Transportation</w:t>
      </w:r>
      <w:r w:rsidRPr="00F17FBA">
        <w:rPr>
          <w:rFonts w:asciiTheme="majorHAnsi" w:hAnsiTheme="majorHAnsi" w:cstheme="majorHAnsi"/>
          <w:noProof/>
        </w:rPr>
        <w:t xml:space="preserve">, 1-43. </w:t>
      </w:r>
    </w:p>
    <w:p w14:paraId="5BB13342" w14:textId="77777777" w:rsidR="00F00E3D" w:rsidRPr="00F17FBA" w:rsidRDefault="00F00E3D" w:rsidP="00CE2B42">
      <w:pPr>
        <w:spacing w:line="276" w:lineRule="auto"/>
        <w:rPr>
          <w:rFonts w:asciiTheme="majorHAnsi" w:eastAsiaTheme="majorEastAsia" w:hAnsiTheme="majorHAnsi" w:cstheme="majorHAnsi"/>
          <w:sz w:val="20"/>
          <w:szCs w:val="20"/>
        </w:rPr>
      </w:pPr>
      <w:r w:rsidRPr="00F17FBA">
        <w:rPr>
          <w:rFonts w:asciiTheme="majorHAnsi" w:eastAsiaTheme="majorEastAsia" w:hAnsiTheme="majorHAnsi" w:cstheme="majorHAnsi"/>
          <w:sz w:val="20"/>
          <w:szCs w:val="20"/>
        </w:rPr>
        <w:br w:type="page"/>
      </w:r>
    </w:p>
    <w:p w14:paraId="380863B0" w14:textId="77777777" w:rsidR="00F00E3D" w:rsidRPr="00CE2B42" w:rsidRDefault="00F00E3D" w:rsidP="00AD1576">
      <w:pPr>
        <w:spacing w:line="276" w:lineRule="auto"/>
        <w:jc w:val="both"/>
        <w:rPr>
          <w:rFonts w:asciiTheme="majorHAnsi" w:hAnsiTheme="majorHAnsi" w:cstheme="majorBidi"/>
          <w:b/>
          <w:bCs/>
          <w:color w:val="2F5496" w:themeColor="accent1" w:themeShade="BF"/>
          <w:sz w:val="24"/>
          <w:szCs w:val="24"/>
        </w:rPr>
      </w:pPr>
      <w:r w:rsidRPr="00CE2B42">
        <w:rPr>
          <w:rFonts w:eastAsia="Calibri"/>
          <w:b/>
          <w:bCs/>
          <w:color w:val="2F5496" w:themeColor="accent1" w:themeShade="BF"/>
          <w:sz w:val="32"/>
          <w:szCs w:val="32"/>
        </w:rPr>
        <w:lastRenderedPageBreak/>
        <w:t>Appendix E</w:t>
      </w:r>
      <w:r w:rsidRPr="00CE2B42">
        <w:rPr>
          <w:rFonts w:asciiTheme="majorHAnsi" w:hAnsiTheme="majorHAnsi" w:cstheme="majorBidi"/>
          <w:b/>
          <w:bCs/>
          <w:color w:val="2F5496" w:themeColor="accent1" w:themeShade="BF"/>
          <w:sz w:val="24"/>
          <w:szCs w:val="24"/>
        </w:rPr>
        <w:t xml:space="preserve"> </w:t>
      </w:r>
    </w:p>
    <w:p w14:paraId="55624CEC" w14:textId="2EA0CB23" w:rsidR="00F00E3D" w:rsidRPr="00CE2B42" w:rsidRDefault="00AD1576" w:rsidP="001D0AC0">
      <w:pPr>
        <w:spacing w:before="120" w:after="0" w:line="360" w:lineRule="auto"/>
        <w:jc w:val="both"/>
        <w:rPr>
          <w:rFonts w:eastAsia="Calibri"/>
          <w:b/>
          <w:bCs/>
          <w:color w:val="2F5496" w:themeColor="accent1" w:themeShade="BF"/>
          <w:sz w:val="32"/>
          <w:szCs w:val="32"/>
        </w:rPr>
      </w:pPr>
      <w:r>
        <w:rPr>
          <w:rFonts w:eastAsia="Calibri"/>
          <w:b/>
          <w:bCs/>
          <w:color w:val="2F5496" w:themeColor="accent1" w:themeShade="BF"/>
          <w:sz w:val="32"/>
          <w:szCs w:val="32"/>
        </w:rPr>
        <w:t>Participant Organisations: Local Expert</w:t>
      </w:r>
      <w:r w:rsidR="00F00E3D" w:rsidRPr="00CE2B42">
        <w:rPr>
          <w:rFonts w:eastAsia="Calibri"/>
          <w:b/>
          <w:bCs/>
          <w:color w:val="2F5496" w:themeColor="accent1" w:themeShade="BF"/>
          <w:sz w:val="32"/>
          <w:szCs w:val="32"/>
        </w:rPr>
        <w:t xml:space="preserve"> </w:t>
      </w:r>
      <w:r>
        <w:rPr>
          <w:rFonts w:eastAsia="Calibri"/>
          <w:b/>
          <w:bCs/>
          <w:color w:val="2F5496" w:themeColor="accent1" w:themeShade="BF"/>
          <w:sz w:val="32"/>
          <w:szCs w:val="32"/>
        </w:rPr>
        <w:t>I</w:t>
      </w:r>
      <w:r w:rsidR="00F00E3D" w:rsidRPr="00CE2B42">
        <w:rPr>
          <w:rFonts w:eastAsia="Calibri"/>
          <w:b/>
          <w:bCs/>
          <w:color w:val="2F5496" w:themeColor="accent1" w:themeShade="BF"/>
          <w:sz w:val="32"/>
          <w:szCs w:val="32"/>
        </w:rPr>
        <w:t xml:space="preserve">nterviews and </w:t>
      </w:r>
      <w:r>
        <w:rPr>
          <w:rFonts w:eastAsia="Calibri"/>
          <w:b/>
          <w:bCs/>
          <w:color w:val="2F5496" w:themeColor="accent1" w:themeShade="BF"/>
          <w:sz w:val="32"/>
          <w:szCs w:val="32"/>
        </w:rPr>
        <w:t>F</w:t>
      </w:r>
      <w:r w:rsidR="00F00E3D" w:rsidRPr="00CE2B42">
        <w:rPr>
          <w:rFonts w:eastAsia="Calibri"/>
          <w:b/>
          <w:bCs/>
          <w:color w:val="2F5496" w:themeColor="accent1" w:themeShade="BF"/>
          <w:sz w:val="32"/>
          <w:szCs w:val="32"/>
        </w:rPr>
        <w:t xml:space="preserve">ocus </w:t>
      </w:r>
      <w:r>
        <w:rPr>
          <w:rFonts w:eastAsia="Calibri"/>
          <w:b/>
          <w:bCs/>
          <w:color w:val="2F5496" w:themeColor="accent1" w:themeShade="BF"/>
          <w:sz w:val="32"/>
          <w:szCs w:val="32"/>
        </w:rPr>
        <w:t>G</w:t>
      </w:r>
      <w:r w:rsidR="00F00E3D" w:rsidRPr="00CE2B42">
        <w:rPr>
          <w:rFonts w:eastAsia="Calibri"/>
          <w:b/>
          <w:bCs/>
          <w:color w:val="2F5496" w:themeColor="accent1" w:themeShade="BF"/>
          <w:sz w:val="32"/>
          <w:szCs w:val="32"/>
        </w:rPr>
        <w:t>roup</w:t>
      </w:r>
    </w:p>
    <w:p w14:paraId="372DEF39" w14:textId="3178CDEE" w:rsidR="00F00E3D" w:rsidRPr="001D0AC0" w:rsidRDefault="00F00E3D" w:rsidP="009B2FA7">
      <w:pPr>
        <w:spacing w:after="0"/>
        <w:rPr>
          <w:rFonts w:eastAsia="Times New Roman" w:cstheme="minorHAnsi"/>
          <w:b/>
          <w:bCs/>
          <w:sz w:val="25"/>
          <w:szCs w:val="25"/>
          <w:lang w:eastAsia="en-GB"/>
        </w:rPr>
      </w:pPr>
      <w:r w:rsidRPr="001D0AC0">
        <w:rPr>
          <w:rFonts w:eastAsia="Times New Roman" w:cstheme="minorHAnsi"/>
          <w:b/>
          <w:bCs/>
          <w:sz w:val="25"/>
          <w:szCs w:val="25"/>
          <w:lang w:eastAsia="en-GB"/>
        </w:rPr>
        <w:t>Northern Futures</w:t>
      </w:r>
    </w:p>
    <w:p w14:paraId="0280EF5E" w14:textId="77777777" w:rsidR="001D0AC0" w:rsidRPr="001D0AC0" w:rsidRDefault="001D0AC0" w:rsidP="009B2FA7">
      <w:pPr>
        <w:spacing w:after="0"/>
        <w:rPr>
          <w:rFonts w:asciiTheme="majorHAnsi" w:eastAsia="Times New Roman" w:hAnsiTheme="majorHAnsi" w:cstheme="majorBidi"/>
          <w:b/>
          <w:bCs/>
          <w:sz w:val="16"/>
          <w:szCs w:val="16"/>
          <w:lang w:eastAsia="en-GB"/>
        </w:rPr>
      </w:pPr>
    </w:p>
    <w:p w14:paraId="0ABE9A45" w14:textId="77777777" w:rsidR="001D0AC0"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Northern Futures (NF) is a not-for-profit organisation aiming to enhance economic participation and social inclusion for a sustainable community in Geelong’s northern suburbs by providing tailored education and employment opportunities (Northern Futures Ltd 2021). In 2007, considerable job losses in the northern suburbs, caused by the closure of major manufacturers in the area, led to the establishment of NF as an initiative to address this serious issue. NF has bridged the gap between the strength of people in the community and the requirements of industry and therefore offered multi-faceted targeted and individualised support services to the unemployed of the 3214 area.</w:t>
      </w:r>
    </w:p>
    <w:p w14:paraId="6B0D5566" w14:textId="77777777" w:rsidR="001D0AC0" w:rsidRPr="001D0AC0" w:rsidRDefault="001D0AC0" w:rsidP="009B2FA7">
      <w:pPr>
        <w:spacing w:after="0"/>
        <w:rPr>
          <w:rFonts w:asciiTheme="majorHAnsi" w:eastAsia="Times New Roman" w:hAnsiTheme="majorHAnsi" w:cstheme="majorBidi"/>
          <w:sz w:val="16"/>
          <w:szCs w:val="16"/>
          <w:lang w:eastAsia="en-GB"/>
        </w:rPr>
      </w:pPr>
    </w:p>
    <w:p w14:paraId="783F305A" w14:textId="4D30FAAB"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NF believes that while the overall structure of the original model underpinning NF works, the model also needs to be adapted to the ever-changing employment environment to provide new opportunities.</w:t>
      </w:r>
    </w:p>
    <w:p w14:paraId="2B2ED3F3"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NF supports those in the local community who have substantial barriers to employment. They might be people experiencing intergenerational unemployment, people who lack education, those who are not job-ready, refugees or economic migrants, or people who need other forms of help. Education and training, informed by the needs of local employers, is widely offered to develop meaningful job prospects. In partnership with the Gordon TAFE and Cloverdale Community Centre, some training courses such as business basics, civil construction, engineering and individual support are provided to build required skills. Prepared clients are next linked to the local workforce and employers resulting in an increase in the sense of fulfilment for these community members.</w:t>
      </w:r>
    </w:p>
    <w:p w14:paraId="3E85D071" w14:textId="77777777" w:rsidR="00F00E3D" w:rsidRPr="00C51471" w:rsidRDefault="00F00E3D" w:rsidP="009B2FA7">
      <w:pPr>
        <w:spacing w:after="0"/>
        <w:rPr>
          <w:rFonts w:asciiTheme="majorHAnsi" w:eastAsia="Times New Roman" w:hAnsiTheme="majorHAnsi" w:cstheme="majorBidi"/>
          <w:sz w:val="23"/>
          <w:szCs w:val="23"/>
          <w:lang w:eastAsia="en-GB"/>
        </w:rPr>
      </w:pPr>
    </w:p>
    <w:p w14:paraId="2E9A5D9D" w14:textId="0DDE6077" w:rsidR="00F00E3D" w:rsidRPr="001D0AC0" w:rsidRDefault="00F00E3D" w:rsidP="009B2FA7">
      <w:pPr>
        <w:spacing w:after="0"/>
        <w:rPr>
          <w:rFonts w:eastAsia="Times New Roman" w:cstheme="minorHAnsi"/>
          <w:b/>
          <w:bCs/>
          <w:sz w:val="25"/>
          <w:szCs w:val="25"/>
          <w:lang w:eastAsia="en-GB"/>
        </w:rPr>
      </w:pPr>
      <w:r w:rsidRPr="001D0AC0">
        <w:rPr>
          <w:rFonts w:eastAsia="Times New Roman" w:cstheme="minorHAnsi"/>
          <w:b/>
          <w:bCs/>
          <w:sz w:val="25"/>
          <w:szCs w:val="25"/>
          <w:lang w:eastAsia="en-GB"/>
        </w:rPr>
        <w:t>Department of Families, Fairness</w:t>
      </w:r>
      <w:r w:rsidR="001D0AC0" w:rsidRPr="001D0AC0">
        <w:rPr>
          <w:rFonts w:eastAsia="Times New Roman" w:cstheme="minorHAnsi"/>
          <w:b/>
          <w:bCs/>
          <w:sz w:val="25"/>
          <w:szCs w:val="25"/>
          <w:lang w:eastAsia="en-GB"/>
        </w:rPr>
        <w:t>,</w:t>
      </w:r>
      <w:r w:rsidRPr="001D0AC0">
        <w:rPr>
          <w:rFonts w:eastAsia="Times New Roman" w:cstheme="minorHAnsi"/>
          <w:b/>
          <w:bCs/>
          <w:sz w:val="25"/>
          <w:szCs w:val="25"/>
          <w:lang w:eastAsia="en-GB"/>
        </w:rPr>
        <w:t xml:space="preserve"> and Housing</w:t>
      </w:r>
    </w:p>
    <w:p w14:paraId="758BED3E" w14:textId="77777777" w:rsidR="001D0AC0" w:rsidRPr="001D0AC0" w:rsidRDefault="001D0AC0" w:rsidP="009B2FA7">
      <w:pPr>
        <w:spacing w:after="0"/>
        <w:rPr>
          <w:rFonts w:asciiTheme="majorHAnsi" w:eastAsia="Times New Roman" w:hAnsiTheme="majorHAnsi" w:cstheme="majorBidi"/>
          <w:b/>
          <w:bCs/>
          <w:sz w:val="16"/>
          <w:szCs w:val="16"/>
          <w:lang w:eastAsia="en-GB"/>
        </w:rPr>
      </w:pPr>
    </w:p>
    <w:p w14:paraId="73060C5A" w14:textId="18528A6D" w:rsidR="00F00E3D"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 xml:space="preserve">In February 2021, </w:t>
      </w:r>
      <w:r w:rsidR="00052D96">
        <w:rPr>
          <w:rFonts w:asciiTheme="majorHAnsi" w:eastAsia="Times New Roman" w:hAnsiTheme="majorHAnsi" w:cstheme="majorBidi"/>
          <w:sz w:val="23"/>
          <w:szCs w:val="23"/>
          <w:lang w:eastAsia="en-GB"/>
        </w:rPr>
        <w:t xml:space="preserve">just prior to our interviews, </w:t>
      </w:r>
      <w:r w:rsidRPr="37EA9A9A">
        <w:rPr>
          <w:rFonts w:asciiTheme="majorHAnsi" w:eastAsia="Times New Roman" w:hAnsiTheme="majorHAnsi" w:cstheme="majorBidi"/>
          <w:sz w:val="23"/>
          <w:szCs w:val="23"/>
          <w:lang w:eastAsia="en-GB"/>
        </w:rPr>
        <w:t xml:space="preserve">the Department of Health and Human Services </w:t>
      </w:r>
      <w:r w:rsidR="001D0AC0">
        <w:rPr>
          <w:rFonts w:asciiTheme="majorHAnsi" w:eastAsia="Times New Roman" w:hAnsiTheme="majorHAnsi" w:cstheme="majorBidi"/>
          <w:sz w:val="23"/>
          <w:szCs w:val="23"/>
          <w:lang w:eastAsia="en-GB"/>
        </w:rPr>
        <w:t xml:space="preserve">(DHHS) </w:t>
      </w:r>
      <w:r w:rsidRPr="37EA9A9A">
        <w:rPr>
          <w:rFonts w:asciiTheme="majorHAnsi" w:eastAsia="Times New Roman" w:hAnsiTheme="majorHAnsi" w:cstheme="majorBidi"/>
          <w:sz w:val="23"/>
          <w:szCs w:val="23"/>
          <w:lang w:eastAsia="en-GB"/>
        </w:rPr>
        <w:t xml:space="preserve">was officially divided into two new departments to </w:t>
      </w:r>
      <w:r w:rsidR="001D0AC0">
        <w:rPr>
          <w:rFonts w:asciiTheme="majorHAnsi" w:eastAsia="Times New Roman" w:hAnsiTheme="majorHAnsi" w:cstheme="majorBidi"/>
          <w:sz w:val="23"/>
          <w:szCs w:val="23"/>
          <w:lang w:eastAsia="en-GB"/>
        </w:rPr>
        <w:t>increase</w:t>
      </w:r>
      <w:r w:rsidRPr="37EA9A9A">
        <w:rPr>
          <w:rFonts w:asciiTheme="majorHAnsi" w:eastAsia="Times New Roman" w:hAnsiTheme="majorHAnsi" w:cstheme="majorBidi"/>
          <w:sz w:val="23"/>
          <w:szCs w:val="23"/>
          <w:lang w:eastAsia="en-GB"/>
        </w:rPr>
        <w:t xml:space="preserve"> focus on the health system and social recovery after the pandemic to create a healthier, fairer Victoria. The Department of Families, Fairness and Housing (DFFH) leads policies and services dedicated to community wellbeing, including equity/fairness and community engagement, child protection, prevention of family violence, housing and disability. Sandy Pitcher started her contribution to Family Safety, Homes and Respect Victoria as a secretary of the new department (Department of Families Fairness and Housing 2021).</w:t>
      </w:r>
    </w:p>
    <w:p w14:paraId="0391DD2B" w14:textId="77777777" w:rsidR="001D0AC0" w:rsidRPr="001D0AC0" w:rsidRDefault="001D0AC0" w:rsidP="009B2FA7">
      <w:pPr>
        <w:spacing w:after="0"/>
        <w:rPr>
          <w:rFonts w:asciiTheme="majorHAnsi" w:eastAsia="Times New Roman" w:hAnsiTheme="majorHAnsi" w:cstheme="majorBidi"/>
          <w:sz w:val="16"/>
          <w:szCs w:val="16"/>
          <w:lang w:eastAsia="en-GB"/>
        </w:rPr>
      </w:pPr>
    </w:p>
    <w:p w14:paraId="4A14BB00" w14:textId="15BF6030"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DFFH is commonly seen as a landlord</w:t>
      </w:r>
      <w:r w:rsidR="00A82295">
        <w:rPr>
          <w:rFonts w:asciiTheme="majorHAnsi" w:eastAsia="Times New Roman" w:hAnsiTheme="majorHAnsi" w:cstheme="majorBidi"/>
          <w:sz w:val="23"/>
          <w:szCs w:val="23"/>
          <w:lang w:eastAsia="en-GB"/>
        </w:rPr>
        <w:t>,</w:t>
      </w:r>
      <w:r w:rsidRPr="37EA9A9A">
        <w:rPr>
          <w:rFonts w:asciiTheme="majorHAnsi" w:eastAsia="Times New Roman" w:hAnsiTheme="majorHAnsi" w:cstheme="majorBidi"/>
          <w:sz w:val="23"/>
          <w:szCs w:val="23"/>
          <w:lang w:eastAsia="en-GB"/>
        </w:rPr>
        <w:t xml:space="preserve"> with p</w:t>
      </w:r>
      <w:r w:rsidR="00A82295">
        <w:rPr>
          <w:rFonts w:asciiTheme="majorHAnsi" w:eastAsia="Times New Roman" w:hAnsiTheme="majorHAnsi" w:cstheme="majorBidi"/>
          <w:sz w:val="23"/>
          <w:szCs w:val="23"/>
          <w:lang w:eastAsia="en-GB"/>
        </w:rPr>
        <w:t xml:space="preserve">ublic housing tenants </w:t>
      </w:r>
      <w:r w:rsidRPr="37EA9A9A">
        <w:rPr>
          <w:rFonts w:asciiTheme="majorHAnsi" w:eastAsia="Times New Roman" w:hAnsiTheme="majorHAnsi" w:cstheme="majorBidi"/>
          <w:sz w:val="23"/>
          <w:szCs w:val="23"/>
          <w:lang w:eastAsia="en-GB"/>
        </w:rPr>
        <w:t>paying subsidised rent</w:t>
      </w:r>
      <w:r w:rsidR="00A82295">
        <w:rPr>
          <w:rFonts w:asciiTheme="majorHAnsi" w:eastAsia="Times New Roman" w:hAnsiTheme="majorHAnsi" w:cstheme="majorBidi"/>
          <w:sz w:val="23"/>
          <w:szCs w:val="23"/>
          <w:lang w:eastAsia="en-GB"/>
        </w:rPr>
        <w:t>.</w:t>
      </w:r>
      <w:r w:rsidRPr="37EA9A9A">
        <w:rPr>
          <w:rFonts w:asciiTheme="majorHAnsi" w:eastAsia="Times New Roman" w:hAnsiTheme="majorHAnsi" w:cstheme="majorBidi"/>
          <w:sz w:val="23"/>
          <w:szCs w:val="23"/>
          <w:lang w:eastAsia="en-GB"/>
        </w:rPr>
        <w:t xml:space="preserve"> In the Geelong region, the department is responsible for the management of 3800 properties from Colac to Portarlington to Lara. The 38 staff in DFFH process people on the Public Housing Register by triaging and prioritising them, with the main focus being on the top 20-30%. However, locally DFFH aims to be considered as more of a social landlord, with the model supporting different needs of the community. Tony Jenkins, one of the managers of DFFH, argues that in Corio, Norlane and Whittington, the number of 1–2-bedroom units is on the increase due to the existence of large blocks in these areas which allows infill development. However, this is not deemed a completely positive development as the latest thinking on social housing is that instead of maintaining the concentration it is better to scatter the stock. It is suggested that by making collaborations between DFFH and </w:t>
      </w:r>
      <w:r w:rsidR="001B7DDF">
        <w:rPr>
          <w:rFonts w:asciiTheme="majorHAnsi" w:eastAsia="Times New Roman" w:hAnsiTheme="majorHAnsi" w:cstheme="majorBidi"/>
          <w:sz w:val="23"/>
          <w:szCs w:val="23"/>
          <w:lang w:eastAsia="en-GB"/>
        </w:rPr>
        <w:t>COGG</w:t>
      </w:r>
      <w:r w:rsidRPr="37EA9A9A">
        <w:rPr>
          <w:rFonts w:asciiTheme="majorHAnsi" w:eastAsia="Times New Roman" w:hAnsiTheme="majorHAnsi" w:cstheme="majorBidi"/>
          <w:sz w:val="23"/>
          <w:szCs w:val="23"/>
          <w:lang w:eastAsia="en-GB"/>
        </w:rPr>
        <w:t>, new jobs and living facilities might be provided in emerging suburbs, such as Armstrong Creek. This would encourage people to live in affordable houses in well located places.</w:t>
      </w:r>
    </w:p>
    <w:p w14:paraId="1856D4D5" w14:textId="77777777" w:rsidR="00F00E3D" w:rsidRPr="00C51471" w:rsidRDefault="00F00E3D" w:rsidP="009B2FA7">
      <w:pPr>
        <w:spacing w:after="0"/>
        <w:rPr>
          <w:rFonts w:asciiTheme="majorHAnsi" w:eastAsia="Times New Roman" w:hAnsiTheme="majorHAnsi" w:cstheme="majorBidi"/>
          <w:sz w:val="23"/>
          <w:szCs w:val="23"/>
          <w:lang w:eastAsia="en-GB"/>
        </w:rPr>
      </w:pPr>
    </w:p>
    <w:p w14:paraId="562F9D16" w14:textId="7FBDB975" w:rsidR="00F00E3D" w:rsidRPr="00A82295" w:rsidRDefault="00F00E3D" w:rsidP="009B2FA7">
      <w:pPr>
        <w:spacing w:after="0"/>
        <w:rPr>
          <w:rFonts w:eastAsia="Times New Roman" w:cstheme="minorHAnsi"/>
          <w:b/>
          <w:bCs/>
          <w:sz w:val="25"/>
          <w:szCs w:val="25"/>
          <w:lang w:eastAsia="en-GB"/>
        </w:rPr>
      </w:pPr>
      <w:r w:rsidRPr="00A82295">
        <w:rPr>
          <w:rFonts w:eastAsia="Times New Roman" w:cstheme="minorHAnsi"/>
          <w:b/>
          <w:bCs/>
          <w:sz w:val="25"/>
          <w:szCs w:val="25"/>
          <w:lang w:eastAsia="en-GB"/>
        </w:rPr>
        <w:lastRenderedPageBreak/>
        <w:t>Northern Bay College</w:t>
      </w:r>
    </w:p>
    <w:p w14:paraId="2C80AAFA" w14:textId="77777777" w:rsidR="00A82295" w:rsidRPr="00A82295" w:rsidRDefault="00A82295" w:rsidP="009B2FA7">
      <w:pPr>
        <w:spacing w:after="0"/>
        <w:rPr>
          <w:rFonts w:asciiTheme="majorHAnsi" w:eastAsia="Times New Roman" w:hAnsiTheme="majorHAnsi" w:cstheme="majorBidi"/>
          <w:b/>
          <w:bCs/>
          <w:sz w:val="16"/>
          <w:szCs w:val="16"/>
          <w:lang w:eastAsia="en-GB"/>
        </w:rPr>
      </w:pPr>
    </w:p>
    <w:p w14:paraId="7BAA272F"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 xml:space="preserve">Northern Bay P-12 College is a large multi-campus school in the northern suburbs of Geelong established in the late 1950s (Northern Bay College 2021). It is considered a well-resourced learning environment that draws upon the collaboration between community partners to offer individualised pathways for young people supporting their future career success. After the final configuration in 2011, Northern Bay is now one college delivering across five sites rather than 9 separate schools, adopting a coordinated and consistent approach to the education of children and young people. This approach allows students to move to a new house and across grades without a break in their education. </w:t>
      </w:r>
    </w:p>
    <w:p w14:paraId="551D006C" w14:textId="77777777" w:rsidR="00A82295" w:rsidRPr="00A82295" w:rsidRDefault="00A82295" w:rsidP="009B2FA7">
      <w:pPr>
        <w:spacing w:after="0"/>
        <w:rPr>
          <w:rFonts w:asciiTheme="majorHAnsi" w:eastAsia="Times New Roman" w:hAnsiTheme="majorHAnsi" w:cstheme="majorBidi"/>
          <w:sz w:val="16"/>
          <w:szCs w:val="16"/>
          <w:lang w:eastAsia="en-GB"/>
        </w:rPr>
      </w:pPr>
    </w:p>
    <w:p w14:paraId="49AE403E" w14:textId="2589B98C"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 xml:space="preserve">The </w:t>
      </w:r>
      <w:r w:rsidR="00A82295">
        <w:rPr>
          <w:rFonts w:asciiTheme="majorHAnsi" w:eastAsia="Times New Roman" w:hAnsiTheme="majorHAnsi" w:cstheme="majorBidi"/>
          <w:sz w:val="23"/>
          <w:szCs w:val="23"/>
          <w:lang w:eastAsia="en-GB"/>
        </w:rPr>
        <w:t>school’s key mission</w:t>
      </w:r>
      <w:r w:rsidRPr="37EA9A9A">
        <w:rPr>
          <w:rFonts w:asciiTheme="majorHAnsi" w:eastAsia="Times New Roman" w:hAnsiTheme="majorHAnsi" w:cstheme="majorBidi"/>
          <w:sz w:val="23"/>
          <w:szCs w:val="23"/>
          <w:lang w:eastAsia="en-GB"/>
        </w:rPr>
        <w:t xml:space="preserve"> is to provide visible learning in the best possible, top-notch facilities and make students feel “safe and respected, believed in by staff and taught by knowledgeable, capable and enthusiastic teachers”. </w:t>
      </w:r>
      <w:r w:rsidR="00A82295">
        <w:rPr>
          <w:rFonts w:asciiTheme="majorHAnsi" w:eastAsia="Times New Roman" w:hAnsiTheme="majorHAnsi" w:cstheme="majorBidi"/>
          <w:sz w:val="23"/>
          <w:szCs w:val="23"/>
          <w:lang w:eastAsia="en-GB"/>
        </w:rPr>
        <w:t>Both</w:t>
      </w:r>
      <w:r w:rsidRPr="37EA9A9A">
        <w:rPr>
          <w:rFonts w:asciiTheme="majorHAnsi" w:eastAsia="Times New Roman" w:hAnsiTheme="majorHAnsi" w:cstheme="majorBidi"/>
          <w:sz w:val="23"/>
          <w:szCs w:val="23"/>
          <w:lang w:eastAsia="en-GB"/>
        </w:rPr>
        <w:t xml:space="preserve"> program and staffing commitment are provided to ensure inclusion and equity for all A&amp;TSI, CaLD and PSD students. The school thereby caters for different learning needs. The college also offers graduate and university pathways via interventions with families, and employment pathways via providing TAFE qualifications, including Cert 2 and 3 as part of their education.</w:t>
      </w:r>
    </w:p>
    <w:p w14:paraId="3CE36244" w14:textId="77777777" w:rsidR="00F00E3D" w:rsidRPr="00C51471" w:rsidRDefault="00F00E3D" w:rsidP="009B2FA7">
      <w:pPr>
        <w:spacing w:after="0"/>
        <w:rPr>
          <w:rFonts w:asciiTheme="majorHAnsi" w:eastAsia="Times New Roman" w:hAnsiTheme="majorHAnsi" w:cstheme="majorBidi"/>
          <w:sz w:val="23"/>
          <w:szCs w:val="23"/>
          <w:lang w:eastAsia="en-GB"/>
        </w:rPr>
      </w:pPr>
    </w:p>
    <w:p w14:paraId="7A3D9913" w14:textId="5BF7EAD7" w:rsidR="00F00E3D" w:rsidRPr="00061F87" w:rsidRDefault="00F00E3D" w:rsidP="403BC132">
      <w:pPr>
        <w:spacing w:after="0"/>
        <w:rPr>
          <w:rFonts w:eastAsia="Times New Roman"/>
          <w:b/>
          <w:bCs/>
          <w:sz w:val="25"/>
          <w:szCs w:val="25"/>
          <w:lang w:eastAsia="en-GB"/>
        </w:rPr>
      </w:pPr>
      <w:r w:rsidRPr="00061F87">
        <w:rPr>
          <w:rFonts w:eastAsia="Times New Roman"/>
          <w:b/>
          <w:bCs/>
          <w:sz w:val="25"/>
          <w:szCs w:val="25"/>
          <w:lang w:eastAsia="en-GB"/>
        </w:rPr>
        <w:t>G</w:t>
      </w:r>
      <w:r w:rsidR="4D8C036A" w:rsidRPr="00061F87">
        <w:rPr>
          <w:rFonts w:eastAsia="Times New Roman"/>
          <w:b/>
          <w:bCs/>
          <w:sz w:val="25"/>
          <w:szCs w:val="25"/>
          <w:lang w:eastAsia="en-GB"/>
        </w:rPr>
        <w:t>force</w:t>
      </w:r>
      <w:r w:rsidRPr="00061F87">
        <w:rPr>
          <w:rFonts w:eastAsia="Times New Roman"/>
          <w:b/>
          <w:bCs/>
          <w:sz w:val="25"/>
          <w:szCs w:val="25"/>
          <w:lang w:eastAsia="en-GB"/>
        </w:rPr>
        <w:t xml:space="preserve"> Employment Services</w:t>
      </w:r>
    </w:p>
    <w:p w14:paraId="1C8B5381" w14:textId="77777777" w:rsidR="001D0AC0" w:rsidRPr="00061F87" w:rsidRDefault="001D0AC0" w:rsidP="009B2FA7">
      <w:pPr>
        <w:spacing w:after="0"/>
        <w:rPr>
          <w:rFonts w:asciiTheme="majorHAnsi" w:eastAsia="Times New Roman" w:hAnsiTheme="majorHAnsi" w:cstheme="majorBidi"/>
          <w:b/>
          <w:bCs/>
          <w:sz w:val="16"/>
          <w:szCs w:val="16"/>
          <w:lang w:eastAsia="en-GB"/>
        </w:rPr>
      </w:pPr>
    </w:p>
    <w:p w14:paraId="28266DF5" w14:textId="24983FF5" w:rsidR="00F00E3D" w:rsidRDefault="00F214D7" w:rsidP="403BC132">
      <w:pPr>
        <w:spacing w:after="0"/>
        <w:rPr>
          <w:rFonts w:asciiTheme="majorHAnsi" w:eastAsia="Times New Roman" w:hAnsiTheme="majorHAnsi" w:cstheme="majorBidi"/>
          <w:sz w:val="23"/>
          <w:szCs w:val="23"/>
          <w:lang w:eastAsia="en-GB"/>
        </w:rPr>
      </w:pPr>
      <w:r w:rsidRPr="00061F87">
        <w:rPr>
          <w:rFonts w:asciiTheme="majorHAnsi" w:eastAsia="Times New Roman" w:hAnsiTheme="majorHAnsi" w:cstheme="majorBidi"/>
          <w:sz w:val="25"/>
          <w:szCs w:val="25"/>
          <w:lang w:eastAsia="en-GB"/>
        </w:rPr>
        <w:t>GM Employment Services</w:t>
      </w:r>
      <w:r w:rsidR="03A5786A" w:rsidRPr="00061F87">
        <w:rPr>
          <w:rFonts w:asciiTheme="majorHAnsi" w:eastAsia="Times New Roman" w:hAnsiTheme="majorHAnsi" w:cstheme="majorBidi"/>
          <w:sz w:val="25"/>
          <w:szCs w:val="25"/>
          <w:lang w:eastAsia="en-GB"/>
        </w:rPr>
        <w:t xml:space="preserve"> (Later Gforce)</w:t>
      </w:r>
      <w:r w:rsidRPr="00061F87">
        <w:rPr>
          <w:rFonts w:asciiTheme="majorHAnsi" w:eastAsia="Times New Roman" w:hAnsiTheme="majorHAnsi" w:cstheme="majorBidi"/>
          <w:sz w:val="25"/>
          <w:szCs w:val="25"/>
          <w:lang w:eastAsia="en-GB"/>
        </w:rPr>
        <w:t xml:space="preserve"> </w:t>
      </w:r>
      <w:r w:rsidR="00F00E3D" w:rsidRPr="00061F87">
        <w:rPr>
          <w:rFonts w:asciiTheme="majorHAnsi" w:eastAsia="Times New Roman" w:hAnsiTheme="majorHAnsi" w:cstheme="majorBidi"/>
          <w:sz w:val="23"/>
          <w:szCs w:val="23"/>
          <w:lang w:eastAsia="en-GB"/>
        </w:rPr>
        <w:t>was established in 1983 as a community-based Group Training Organisation to provide apprenticeship and traineeship opportunities to the northern suburbs of Geelong (Gforce Employment Solutions 2021). Today</w:t>
      </w:r>
      <w:r w:rsidR="00F00E3D" w:rsidRPr="403BC132">
        <w:rPr>
          <w:rFonts w:asciiTheme="majorHAnsi" w:eastAsia="Times New Roman" w:hAnsiTheme="majorHAnsi" w:cstheme="majorBidi"/>
          <w:sz w:val="23"/>
          <w:szCs w:val="23"/>
          <w:lang w:eastAsia="en-GB"/>
        </w:rPr>
        <w:t xml:space="preserve">, </w:t>
      </w:r>
      <w:r w:rsidRPr="403BC132">
        <w:rPr>
          <w:rFonts w:asciiTheme="majorHAnsi" w:eastAsia="Times New Roman" w:hAnsiTheme="majorHAnsi" w:cstheme="majorBidi"/>
          <w:sz w:val="23"/>
          <w:szCs w:val="23"/>
          <w:lang w:eastAsia="en-GB"/>
        </w:rPr>
        <w:t xml:space="preserve">the organisation </w:t>
      </w:r>
      <w:r w:rsidR="00F00E3D" w:rsidRPr="403BC132">
        <w:rPr>
          <w:rFonts w:asciiTheme="majorHAnsi" w:eastAsia="Times New Roman" w:hAnsiTheme="majorHAnsi" w:cstheme="majorBidi"/>
          <w:sz w:val="23"/>
          <w:szCs w:val="23"/>
          <w:lang w:eastAsia="en-GB"/>
        </w:rPr>
        <w:t>has significantly expanded its professional services, addressing a broad set of employment and recruitment needs, and employ</w:t>
      </w:r>
      <w:r w:rsidR="00A82295" w:rsidRPr="403BC132">
        <w:rPr>
          <w:rFonts w:asciiTheme="majorHAnsi" w:eastAsia="Times New Roman" w:hAnsiTheme="majorHAnsi" w:cstheme="majorBidi"/>
          <w:sz w:val="23"/>
          <w:szCs w:val="23"/>
          <w:lang w:eastAsia="en-GB"/>
        </w:rPr>
        <w:t>ing</w:t>
      </w:r>
      <w:r w:rsidR="00F00E3D" w:rsidRPr="403BC132">
        <w:rPr>
          <w:rFonts w:asciiTheme="majorHAnsi" w:eastAsia="Times New Roman" w:hAnsiTheme="majorHAnsi" w:cstheme="majorBidi"/>
          <w:sz w:val="23"/>
          <w:szCs w:val="23"/>
          <w:lang w:eastAsia="en-GB"/>
        </w:rPr>
        <w:t xml:space="preserve"> approximately 600 people weekly. G</w:t>
      </w:r>
      <w:r w:rsidR="4EB4A05C" w:rsidRPr="403BC132">
        <w:rPr>
          <w:rFonts w:asciiTheme="majorHAnsi" w:eastAsia="Times New Roman" w:hAnsiTheme="majorHAnsi" w:cstheme="majorBidi"/>
          <w:sz w:val="23"/>
          <w:szCs w:val="23"/>
          <w:lang w:eastAsia="en-GB"/>
        </w:rPr>
        <w:t>force</w:t>
      </w:r>
      <w:r w:rsidR="00F00E3D" w:rsidRPr="403BC132">
        <w:rPr>
          <w:rFonts w:asciiTheme="majorHAnsi" w:eastAsia="Times New Roman" w:hAnsiTheme="majorHAnsi" w:cstheme="majorBidi"/>
          <w:sz w:val="23"/>
          <w:szCs w:val="23"/>
          <w:lang w:eastAsia="en-GB"/>
        </w:rPr>
        <w:t xml:space="preserve"> Employment Services manages four Federal employment programs across Barwon and Melbourne.</w:t>
      </w:r>
    </w:p>
    <w:p w14:paraId="4CCE9E26" w14:textId="6D780C32" w:rsidR="001D0AC0" w:rsidRPr="001D0AC0" w:rsidRDefault="001D0AC0" w:rsidP="009B2FA7">
      <w:pPr>
        <w:spacing w:after="0"/>
        <w:rPr>
          <w:rFonts w:asciiTheme="majorHAnsi" w:eastAsia="Times New Roman" w:hAnsiTheme="majorHAnsi" w:cstheme="majorBidi"/>
          <w:sz w:val="16"/>
          <w:szCs w:val="16"/>
          <w:lang w:eastAsia="en-GB"/>
        </w:rPr>
      </w:pPr>
    </w:p>
    <w:p w14:paraId="655513D0" w14:textId="7D8FCB7E" w:rsidR="00F00E3D" w:rsidRPr="00C51471" w:rsidRDefault="00F00E3D" w:rsidP="403BC132">
      <w:pPr>
        <w:spacing w:after="0"/>
        <w:rPr>
          <w:rFonts w:asciiTheme="majorHAnsi" w:eastAsia="Times New Roman" w:hAnsiTheme="majorHAnsi" w:cstheme="majorBidi"/>
          <w:sz w:val="23"/>
          <w:szCs w:val="23"/>
          <w:lang w:eastAsia="en-GB"/>
        </w:rPr>
      </w:pPr>
      <w:r w:rsidRPr="403BC132">
        <w:rPr>
          <w:rFonts w:asciiTheme="majorHAnsi" w:eastAsia="Times New Roman" w:hAnsiTheme="majorHAnsi" w:cstheme="majorBidi"/>
          <w:sz w:val="23"/>
          <w:szCs w:val="23"/>
          <w:lang w:eastAsia="en-GB"/>
        </w:rPr>
        <w:t>As for Corio-Norlane employment services, the goal is to help those who became unemployed by the closure of major manufacturers in the northern suburbs. In the past, this area was full of employment with lots of people working at Ford and a considerable number of public housing constructions. Yet now, the northern suburbs suffer from the lack of welfare, increasingly growing unemployment rate, and inter-generational poverty. These problems never really go away, despite the efforts of many governments. G</w:t>
      </w:r>
      <w:r w:rsidR="69123459" w:rsidRPr="403BC132">
        <w:rPr>
          <w:rFonts w:asciiTheme="majorHAnsi" w:eastAsia="Times New Roman" w:hAnsiTheme="majorHAnsi" w:cstheme="majorBidi"/>
          <w:sz w:val="23"/>
          <w:szCs w:val="23"/>
          <w:lang w:eastAsia="en-GB"/>
        </w:rPr>
        <w:t>force</w:t>
      </w:r>
      <w:r w:rsidRPr="403BC132">
        <w:rPr>
          <w:rFonts w:asciiTheme="majorHAnsi" w:eastAsia="Times New Roman" w:hAnsiTheme="majorHAnsi" w:cstheme="majorBidi"/>
          <w:sz w:val="23"/>
          <w:szCs w:val="23"/>
          <w:lang w:eastAsia="en-GB"/>
        </w:rPr>
        <w:t xml:space="preserve"> </w:t>
      </w:r>
      <w:r w:rsidR="00A82295" w:rsidRPr="403BC132">
        <w:rPr>
          <w:rFonts w:asciiTheme="majorHAnsi" w:eastAsia="Times New Roman" w:hAnsiTheme="majorHAnsi" w:cstheme="majorBidi"/>
          <w:sz w:val="23"/>
          <w:szCs w:val="23"/>
          <w:lang w:eastAsia="en-GB"/>
        </w:rPr>
        <w:t>E</w:t>
      </w:r>
      <w:r w:rsidRPr="403BC132">
        <w:rPr>
          <w:rFonts w:asciiTheme="majorHAnsi" w:eastAsia="Times New Roman" w:hAnsiTheme="majorHAnsi" w:cstheme="majorBidi"/>
          <w:sz w:val="23"/>
          <w:szCs w:val="23"/>
          <w:lang w:eastAsia="en-GB"/>
        </w:rPr>
        <w:t xml:space="preserve">mployment </w:t>
      </w:r>
      <w:r w:rsidR="00A82295" w:rsidRPr="403BC132">
        <w:rPr>
          <w:rFonts w:asciiTheme="majorHAnsi" w:eastAsia="Times New Roman" w:hAnsiTheme="majorHAnsi" w:cstheme="majorBidi"/>
          <w:sz w:val="23"/>
          <w:szCs w:val="23"/>
          <w:lang w:eastAsia="en-GB"/>
        </w:rPr>
        <w:t>S</w:t>
      </w:r>
      <w:r w:rsidRPr="403BC132">
        <w:rPr>
          <w:rFonts w:asciiTheme="majorHAnsi" w:eastAsia="Times New Roman" w:hAnsiTheme="majorHAnsi" w:cstheme="majorBidi"/>
          <w:sz w:val="23"/>
          <w:szCs w:val="23"/>
          <w:lang w:eastAsia="en-GB"/>
        </w:rPr>
        <w:t>ervices give</w:t>
      </w:r>
      <w:r w:rsidR="00F214D7" w:rsidRPr="403BC132">
        <w:rPr>
          <w:rFonts w:asciiTheme="majorHAnsi" w:eastAsia="Times New Roman" w:hAnsiTheme="majorHAnsi" w:cstheme="majorBidi"/>
          <w:sz w:val="23"/>
          <w:szCs w:val="23"/>
          <w:lang w:eastAsia="en-GB"/>
        </w:rPr>
        <w:t>s</w:t>
      </w:r>
      <w:r w:rsidRPr="403BC132">
        <w:rPr>
          <w:rFonts w:asciiTheme="majorHAnsi" w:eastAsia="Times New Roman" w:hAnsiTheme="majorHAnsi" w:cstheme="majorBidi"/>
          <w:sz w:val="23"/>
          <w:szCs w:val="23"/>
          <w:lang w:eastAsia="en-GB"/>
        </w:rPr>
        <w:t xml:space="preserve"> a hands-on view of what is happening in these places and strives to tackle the long-term challenges. </w:t>
      </w:r>
    </w:p>
    <w:p w14:paraId="0BE5FB2A" w14:textId="77777777" w:rsidR="00F00E3D" w:rsidRPr="00C51471" w:rsidRDefault="00F00E3D" w:rsidP="009B2FA7">
      <w:pPr>
        <w:spacing w:after="0"/>
        <w:rPr>
          <w:rFonts w:asciiTheme="majorHAnsi" w:eastAsia="Times New Roman" w:hAnsiTheme="majorHAnsi" w:cstheme="majorBidi"/>
          <w:sz w:val="23"/>
          <w:szCs w:val="23"/>
          <w:lang w:eastAsia="en-GB"/>
        </w:rPr>
      </w:pPr>
    </w:p>
    <w:p w14:paraId="10E1439E" w14:textId="11BBC40C" w:rsidR="00F00E3D" w:rsidRPr="00720BDD" w:rsidRDefault="00F00E3D" w:rsidP="009B2FA7">
      <w:pPr>
        <w:spacing w:after="0"/>
        <w:rPr>
          <w:rFonts w:eastAsia="Times New Roman" w:cstheme="minorHAnsi"/>
          <w:b/>
          <w:bCs/>
          <w:sz w:val="25"/>
          <w:szCs w:val="25"/>
          <w:lang w:eastAsia="en-GB"/>
        </w:rPr>
      </w:pPr>
      <w:r w:rsidRPr="00720BDD">
        <w:rPr>
          <w:rFonts w:eastAsia="Times New Roman" w:cstheme="minorHAnsi"/>
          <w:b/>
          <w:bCs/>
          <w:sz w:val="25"/>
          <w:szCs w:val="25"/>
          <w:lang w:eastAsia="en-GB"/>
        </w:rPr>
        <w:t>Norlane Community Centre</w:t>
      </w:r>
    </w:p>
    <w:p w14:paraId="6B5CADD7" w14:textId="77777777" w:rsidR="00A82295" w:rsidRPr="00A82295" w:rsidRDefault="00A82295" w:rsidP="009B2FA7">
      <w:pPr>
        <w:spacing w:after="0"/>
        <w:rPr>
          <w:rFonts w:asciiTheme="majorHAnsi" w:eastAsia="Times New Roman" w:hAnsiTheme="majorHAnsi" w:cstheme="majorBidi"/>
          <w:b/>
          <w:bCs/>
          <w:sz w:val="16"/>
          <w:szCs w:val="16"/>
          <w:lang w:eastAsia="en-GB"/>
        </w:rPr>
      </w:pPr>
    </w:p>
    <w:p w14:paraId="2CEBB135" w14:textId="5367C0D2" w:rsidR="00F00E3D"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 xml:space="preserve">Norlane Community Centre (NCC) is a not-for-profit incorporated association governed by a volunteer board of management (Norlane Community Centre 2021). NCC is mainly concerned with delivering training and enhancing the health and well-being of the community of Norlane. NCC offers group activities and classes for people in the community, including painting, crafting, cooking, gardening, etc. Further, there are 10 desktop computers and tablet devices in the computer lab, as well as a wide range of gardening tools with a low rental price to local community members. NCC also provides a drop-in service offering public Wi-Fi, and a food table providing a welcoming environment that is inclusive and accessible to people of all ages, cultures and abilities. </w:t>
      </w:r>
    </w:p>
    <w:p w14:paraId="4E5D11C1" w14:textId="77777777" w:rsidR="00A82295" w:rsidRPr="00720BDD" w:rsidRDefault="00A82295" w:rsidP="009B2FA7">
      <w:pPr>
        <w:spacing w:after="0"/>
        <w:rPr>
          <w:rFonts w:asciiTheme="majorHAnsi" w:eastAsia="Times New Roman" w:hAnsiTheme="majorHAnsi" w:cstheme="majorBidi"/>
          <w:sz w:val="16"/>
          <w:szCs w:val="16"/>
          <w:lang w:eastAsia="en-GB"/>
        </w:rPr>
      </w:pPr>
    </w:p>
    <w:p w14:paraId="68FA098E"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 xml:space="preserve">One of its well-known features is the community garden where people come to work, socialise and spend quality time with their friends, and get fresh healthy food. Moreover, some of the job service providers have an office in this centre. For instance, people get to access Northern Futures and Job </w:t>
      </w:r>
      <w:r w:rsidRPr="37EA9A9A">
        <w:rPr>
          <w:rFonts w:asciiTheme="majorHAnsi" w:eastAsia="Times New Roman" w:hAnsiTheme="majorHAnsi" w:cstheme="majorBidi"/>
          <w:sz w:val="23"/>
          <w:szCs w:val="23"/>
          <w:lang w:eastAsia="en-GB"/>
        </w:rPr>
        <w:lastRenderedPageBreak/>
        <w:t>Ready providers (Gforce Employment Solutions) at the centre, and this increases the chance of personal growth and ultimately, changes lives.</w:t>
      </w:r>
    </w:p>
    <w:p w14:paraId="5B4D7B7A" w14:textId="77777777" w:rsidR="00F00E3D" w:rsidRPr="00C51471" w:rsidRDefault="00F00E3D" w:rsidP="009B2FA7">
      <w:pPr>
        <w:spacing w:after="0"/>
        <w:rPr>
          <w:rFonts w:asciiTheme="majorHAnsi" w:eastAsia="Times New Roman" w:hAnsiTheme="majorHAnsi" w:cstheme="majorBidi"/>
          <w:sz w:val="23"/>
          <w:szCs w:val="23"/>
          <w:lang w:eastAsia="en-GB"/>
        </w:rPr>
      </w:pPr>
    </w:p>
    <w:p w14:paraId="4686F0EE" w14:textId="42D62131" w:rsidR="00F00E3D" w:rsidRPr="00720BDD" w:rsidRDefault="00F00E3D" w:rsidP="009B2FA7">
      <w:pPr>
        <w:spacing w:after="0"/>
        <w:rPr>
          <w:rFonts w:eastAsia="Times New Roman" w:cstheme="minorHAnsi"/>
          <w:b/>
          <w:bCs/>
          <w:sz w:val="25"/>
          <w:szCs w:val="25"/>
          <w:lang w:eastAsia="en-GB"/>
        </w:rPr>
      </w:pPr>
      <w:r w:rsidRPr="00720BDD">
        <w:rPr>
          <w:rFonts w:eastAsia="Times New Roman" w:cstheme="minorHAnsi"/>
          <w:b/>
          <w:bCs/>
          <w:sz w:val="25"/>
          <w:szCs w:val="25"/>
          <w:lang w:eastAsia="en-GB"/>
        </w:rPr>
        <w:t xml:space="preserve">Cloverdale Community Centre </w:t>
      </w:r>
    </w:p>
    <w:p w14:paraId="2BC43ADB" w14:textId="77777777" w:rsidR="00720BDD" w:rsidRPr="00720BDD" w:rsidRDefault="00720BDD" w:rsidP="009B2FA7">
      <w:pPr>
        <w:spacing w:after="0"/>
        <w:rPr>
          <w:rFonts w:asciiTheme="majorHAnsi" w:eastAsia="Times New Roman" w:hAnsiTheme="majorHAnsi" w:cstheme="majorBidi"/>
          <w:b/>
          <w:bCs/>
          <w:sz w:val="16"/>
          <w:szCs w:val="16"/>
          <w:lang w:eastAsia="en-GB"/>
        </w:rPr>
      </w:pPr>
    </w:p>
    <w:p w14:paraId="41D5ACBB" w14:textId="2212A62C" w:rsidR="00F00E3D"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 xml:space="preserve">Cloverdale Community Centre is a Neighbourhood House located in the northern Geelong suburb of Corio (Cloverdale Community Centre 2021). In 1994, Cloverdale was established as a not-for-profit incorporated association, governed by a voluntary committee of management made up of local residents and organisation representatives. This centre offers opportunities for social and cultural interaction, developing networks, and personal achievements for members. The association is funded by two government departments (Department of Health and Human Services and Department of Education) through the Neighbourhood House Coordination Program as well as a Neighbourhood House Grant. </w:t>
      </w:r>
    </w:p>
    <w:p w14:paraId="407DABD1" w14:textId="77777777" w:rsidR="00720BDD" w:rsidRPr="00720BDD" w:rsidRDefault="00720BDD" w:rsidP="009B2FA7">
      <w:pPr>
        <w:spacing w:after="0"/>
        <w:rPr>
          <w:rFonts w:asciiTheme="majorHAnsi" w:eastAsia="Times New Roman" w:hAnsiTheme="majorHAnsi" w:cstheme="majorBidi"/>
          <w:sz w:val="16"/>
          <w:szCs w:val="16"/>
          <w:lang w:eastAsia="en-GB"/>
        </w:rPr>
      </w:pPr>
    </w:p>
    <w:p w14:paraId="3D506CB5"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Cloverdale provides a welcoming place for community development, affordable engagement activities, having coffee with individuals, and art and well-being programs. Adult Community Education is also supported by Cloverdale as a Learn Local organisation that collaborates with other education providers (such as the Gordon TAFE) to help adult learners deal with challenges to education and employment. Moreover, Cloverdale creates low or no-cost solutions to serve the disadvantaged individuals that has attracted a lot of people across the greater Geelong.</w:t>
      </w:r>
    </w:p>
    <w:p w14:paraId="51672F60" w14:textId="77777777" w:rsidR="00F00E3D" w:rsidRPr="00C51471" w:rsidRDefault="00F00E3D" w:rsidP="009B2FA7">
      <w:pPr>
        <w:spacing w:after="0"/>
        <w:rPr>
          <w:rFonts w:asciiTheme="majorHAnsi" w:eastAsia="Times New Roman" w:hAnsiTheme="majorHAnsi" w:cstheme="majorBidi"/>
          <w:sz w:val="23"/>
          <w:szCs w:val="23"/>
          <w:lang w:eastAsia="en-GB"/>
        </w:rPr>
      </w:pPr>
    </w:p>
    <w:p w14:paraId="7E91449F" w14:textId="5C67B753" w:rsidR="00F00E3D" w:rsidRPr="00720BDD" w:rsidRDefault="00F00E3D" w:rsidP="009B2FA7">
      <w:pPr>
        <w:spacing w:after="0"/>
        <w:rPr>
          <w:rFonts w:eastAsia="Times New Roman" w:cstheme="minorHAnsi"/>
          <w:b/>
          <w:bCs/>
          <w:sz w:val="25"/>
          <w:szCs w:val="25"/>
          <w:lang w:eastAsia="en-GB"/>
        </w:rPr>
      </w:pPr>
      <w:r w:rsidRPr="00720BDD">
        <w:rPr>
          <w:rFonts w:eastAsia="Times New Roman" w:cstheme="minorHAnsi"/>
          <w:b/>
          <w:bCs/>
          <w:sz w:val="25"/>
          <w:szCs w:val="25"/>
          <w:lang w:eastAsia="en-GB"/>
        </w:rPr>
        <w:t>Whittington Primary School</w:t>
      </w:r>
    </w:p>
    <w:p w14:paraId="11F0CA9D" w14:textId="77777777" w:rsidR="00720BDD" w:rsidRPr="009E7C7A" w:rsidRDefault="00720BDD" w:rsidP="009B2FA7">
      <w:pPr>
        <w:spacing w:after="0"/>
        <w:rPr>
          <w:rFonts w:asciiTheme="majorHAnsi" w:eastAsia="Times New Roman" w:hAnsiTheme="majorHAnsi" w:cstheme="majorBidi"/>
          <w:b/>
          <w:bCs/>
          <w:sz w:val="23"/>
          <w:szCs w:val="23"/>
          <w:lang w:eastAsia="en-GB"/>
        </w:rPr>
      </w:pPr>
    </w:p>
    <w:p w14:paraId="2602844B" w14:textId="666EE81F"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 xml:space="preserve">Whittington Primary School (WPS) is a holistic school aiming to inspire, nurture and enable students to become creative thinkers in the ever-changing world (Whittington Primary School 2021). Teachers at WPS use world-best practice to create an engaging and inspiring atmosphere and deliver a balanced curriculum. They employ an inquiry-driven learning approach to promote student voices and increase their confidence. WPS believes student engagement plays a key role in learning and therefore staff focus on promoting student’s level of self-esteem over the 12 years. WPS establishes relationships with Bellarine Living and Learning Centre, kinders, childcare centres and </w:t>
      </w:r>
      <w:r w:rsidR="001B7DDF">
        <w:rPr>
          <w:rFonts w:asciiTheme="majorHAnsi" w:eastAsia="Times New Roman" w:hAnsiTheme="majorHAnsi" w:cstheme="majorBidi"/>
          <w:sz w:val="23"/>
          <w:szCs w:val="23"/>
          <w:lang w:eastAsia="en-GB"/>
        </w:rPr>
        <w:t>COGG</w:t>
      </w:r>
      <w:r w:rsidRPr="37EA9A9A">
        <w:rPr>
          <w:rFonts w:asciiTheme="majorHAnsi" w:eastAsia="Times New Roman" w:hAnsiTheme="majorHAnsi" w:cstheme="majorBidi"/>
          <w:sz w:val="23"/>
          <w:szCs w:val="23"/>
          <w:lang w:eastAsia="en-GB"/>
        </w:rPr>
        <w:t xml:space="preserve"> to best meet its goals.</w:t>
      </w:r>
    </w:p>
    <w:p w14:paraId="499A06E4"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 xml:space="preserve">Specific features of WPS that set it apart include a kitchen garden (the idea is part of The Stephanie Alexander Kitchen Garden Foundation), string program (teaching violin or cello), just Brass program, song room, camps, and language support program. Moreover, Linking Learning is one of the many programs that is held by </w:t>
      </w:r>
      <w:proofErr w:type="gramStart"/>
      <w:r w:rsidRPr="37EA9A9A">
        <w:rPr>
          <w:rFonts w:asciiTheme="majorHAnsi" w:eastAsia="Times New Roman" w:hAnsiTheme="majorHAnsi" w:cstheme="majorBidi"/>
          <w:sz w:val="23"/>
          <w:szCs w:val="23"/>
          <w:lang w:eastAsia="en-GB"/>
        </w:rPr>
        <w:t>WPS;</w:t>
      </w:r>
      <w:proofErr w:type="gramEnd"/>
      <w:r w:rsidRPr="37EA9A9A">
        <w:rPr>
          <w:rFonts w:asciiTheme="majorHAnsi" w:eastAsia="Times New Roman" w:hAnsiTheme="majorHAnsi" w:cstheme="majorBidi"/>
          <w:sz w:val="23"/>
          <w:szCs w:val="23"/>
          <w:lang w:eastAsia="en-GB"/>
        </w:rPr>
        <w:t xml:space="preserve"> e.g. Flamefest, where job service providers, training organisations and employers gather collectively to offer leadership and respect to the community.</w:t>
      </w:r>
    </w:p>
    <w:p w14:paraId="350723E8" w14:textId="77777777" w:rsidR="00F00E3D" w:rsidRPr="00C51471" w:rsidRDefault="00F00E3D" w:rsidP="009B2FA7">
      <w:pPr>
        <w:spacing w:after="0"/>
        <w:rPr>
          <w:rFonts w:asciiTheme="majorHAnsi" w:eastAsia="Times New Roman" w:hAnsiTheme="majorHAnsi" w:cstheme="majorBidi"/>
          <w:sz w:val="23"/>
          <w:szCs w:val="23"/>
          <w:lang w:eastAsia="en-GB"/>
        </w:rPr>
      </w:pPr>
    </w:p>
    <w:p w14:paraId="6DF95545" w14:textId="067D03C6" w:rsidR="00F00E3D" w:rsidRPr="00720BDD" w:rsidRDefault="00F00E3D" w:rsidP="009B2FA7">
      <w:pPr>
        <w:spacing w:after="0"/>
        <w:rPr>
          <w:rFonts w:eastAsia="Times New Roman" w:cstheme="minorHAnsi"/>
          <w:b/>
          <w:bCs/>
          <w:sz w:val="23"/>
          <w:szCs w:val="23"/>
          <w:lang w:eastAsia="en-GB"/>
        </w:rPr>
      </w:pPr>
      <w:r w:rsidRPr="00720BDD">
        <w:rPr>
          <w:rFonts w:eastAsia="Times New Roman" w:cstheme="minorHAnsi"/>
          <w:b/>
          <w:bCs/>
          <w:sz w:val="23"/>
          <w:szCs w:val="23"/>
          <w:lang w:eastAsia="en-GB"/>
        </w:rPr>
        <w:t>GROW</w:t>
      </w:r>
    </w:p>
    <w:p w14:paraId="05066CD2" w14:textId="77777777" w:rsidR="00720BDD" w:rsidRPr="00720BDD" w:rsidRDefault="00720BDD" w:rsidP="009B2FA7">
      <w:pPr>
        <w:spacing w:after="0"/>
        <w:rPr>
          <w:rFonts w:asciiTheme="majorHAnsi" w:eastAsia="Times New Roman" w:hAnsiTheme="majorHAnsi" w:cstheme="majorBidi"/>
          <w:b/>
          <w:bCs/>
          <w:sz w:val="16"/>
          <w:szCs w:val="16"/>
          <w:lang w:eastAsia="en-GB"/>
        </w:rPr>
      </w:pPr>
    </w:p>
    <w:p w14:paraId="114917AE"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 xml:space="preserve">G21 Region Opportunities for Work (GROW) is not a service delivery organisation, but an ambitious Collective Impact initiative, with business, government, community organisations and individuals working together to address entrenched place-based disadvantage (GROW 2021). The prime mission of GROW is job creation by asking organisations to choose to buy goods and services that contribute economically and socially to the local community (social procurement) and by injecting capital into businesses and not-for-profit enterprises in target communities (impact investment). Then these new jobs need to be matched with skilled people, including job seekers currently excluded from the workforce, living in the </w:t>
      </w:r>
      <w:r>
        <w:rPr>
          <w:rFonts w:asciiTheme="majorHAnsi" w:eastAsia="Times New Roman" w:hAnsiTheme="majorHAnsi" w:cstheme="majorBidi"/>
          <w:sz w:val="23"/>
          <w:szCs w:val="23"/>
          <w:lang w:eastAsia="en-GB"/>
        </w:rPr>
        <w:t xml:space="preserve">communities </w:t>
      </w:r>
      <w:r w:rsidRPr="37EA9A9A">
        <w:rPr>
          <w:rFonts w:asciiTheme="majorHAnsi" w:eastAsia="Times New Roman" w:hAnsiTheme="majorHAnsi" w:cstheme="majorBidi"/>
          <w:sz w:val="23"/>
          <w:szCs w:val="23"/>
          <w:lang w:eastAsia="en-GB"/>
        </w:rPr>
        <w:t xml:space="preserve">most </w:t>
      </w:r>
      <w:r>
        <w:rPr>
          <w:rFonts w:asciiTheme="majorHAnsi" w:eastAsia="Times New Roman" w:hAnsiTheme="majorHAnsi" w:cstheme="majorBidi"/>
          <w:sz w:val="23"/>
          <w:szCs w:val="23"/>
          <w:lang w:eastAsia="en-GB"/>
        </w:rPr>
        <w:t>affected by disadvantage</w:t>
      </w:r>
      <w:r w:rsidRPr="37EA9A9A">
        <w:rPr>
          <w:rFonts w:asciiTheme="majorHAnsi" w:eastAsia="Times New Roman" w:hAnsiTheme="majorHAnsi" w:cstheme="majorBidi"/>
          <w:sz w:val="23"/>
          <w:szCs w:val="23"/>
          <w:lang w:eastAsia="en-GB"/>
        </w:rPr>
        <w:t xml:space="preserve"> in the G21 Region (particularly, Norlane-Corio, Whittington and Colac).</w:t>
      </w:r>
    </w:p>
    <w:p w14:paraId="3C1E18FF"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lastRenderedPageBreak/>
        <w:t xml:space="preserve">Some of the organisations in the G21 Region have made a compact with GROW with the aim of increasing their networks and brand awareness that eventually leads to new opportunities for local projects and partnerships. Those organisations then try to buy local to support local businesses, organisations and suppliers; and strengthen employment and training opportunities for targeted job seekers, to name just a few. This plan will grow a stronger G21 economy and offer opportunities to job seekers in places where there are high rates of joblessness. </w:t>
      </w:r>
    </w:p>
    <w:p w14:paraId="69B1BD9C" w14:textId="77777777" w:rsidR="00F00E3D" w:rsidRPr="00C51471" w:rsidRDefault="00F00E3D" w:rsidP="009B2FA7">
      <w:pPr>
        <w:spacing w:after="0"/>
        <w:rPr>
          <w:rFonts w:asciiTheme="majorHAnsi" w:eastAsia="Times New Roman" w:hAnsiTheme="majorHAnsi" w:cstheme="majorBidi"/>
          <w:sz w:val="23"/>
          <w:szCs w:val="23"/>
          <w:lang w:eastAsia="en-GB"/>
        </w:rPr>
      </w:pPr>
    </w:p>
    <w:p w14:paraId="62C3F4BE" w14:textId="4D5EB1AD" w:rsidR="00F00E3D" w:rsidRPr="00720BDD" w:rsidRDefault="00F00E3D" w:rsidP="009B2FA7">
      <w:pPr>
        <w:spacing w:after="0"/>
        <w:rPr>
          <w:rFonts w:eastAsia="Times New Roman" w:cstheme="minorHAnsi"/>
          <w:b/>
          <w:bCs/>
          <w:sz w:val="25"/>
          <w:szCs w:val="25"/>
          <w:lang w:eastAsia="en-GB"/>
        </w:rPr>
      </w:pPr>
      <w:r w:rsidRPr="00720BDD">
        <w:rPr>
          <w:rFonts w:eastAsia="Times New Roman" w:cstheme="minorHAnsi"/>
          <w:b/>
          <w:bCs/>
          <w:sz w:val="25"/>
          <w:szCs w:val="25"/>
          <w:lang w:eastAsia="en-GB"/>
        </w:rPr>
        <w:t>Barwon Health North</w:t>
      </w:r>
    </w:p>
    <w:p w14:paraId="44D3225F" w14:textId="77777777" w:rsidR="00720BDD" w:rsidRPr="00720BDD" w:rsidRDefault="00720BDD" w:rsidP="009B2FA7">
      <w:pPr>
        <w:spacing w:after="0"/>
        <w:rPr>
          <w:rFonts w:asciiTheme="majorHAnsi" w:eastAsia="Times New Roman" w:hAnsiTheme="majorHAnsi" w:cstheme="majorBidi"/>
          <w:b/>
          <w:bCs/>
          <w:sz w:val="16"/>
          <w:szCs w:val="16"/>
          <w:lang w:eastAsia="en-GB"/>
        </w:rPr>
      </w:pPr>
    </w:p>
    <w:p w14:paraId="619A0895" w14:textId="162B85DC"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 xml:space="preserve">The Victorian Government invested $33 million to design and construct a state-of-the-art health facility covering the demands of the northern suburbs of Geelong. Barwon Health North is a part of the integrated community health site along with Corio, opened in January 2020 (Barwon Health North 2021). It is co-located with the City of Greater Geelong's Waterworld facility and Centenary Hall. At stage one of the opening, a number of programs are operated including urgent care, child and family care, renal and primary care, and mental care. Barwon Health North supports dialysis services, audiology services, X-Ray and medical imaging (especially Headspace – the front end for mental health – imaging), and </w:t>
      </w:r>
      <w:r w:rsidR="00940D80">
        <w:rPr>
          <w:rFonts w:asciiTheme="majorHAnsi" w:eastAsia="Times New Roman" w:hAnsiTheme="majorHAnsi" w:cstheme="majorBidi"/>
          <w:sz w:val="23"/>
          <w:szCs w:val="23"/>
          <w:lang w:eastAsia="en-GB"/>
        </w:rPr>
        <w:t>COVID</w:t>
      </w:r>
      <w:r w:rsidRPr="37EA9A9A">
        <w:rPr>
          <w:rFonts w:asciiTheme="majorHAnsi" w:eastAsia="Times New Roman" w:hAnsiTheme="majorHAnsi" w:cstheme="majorBidi"/>
          <w:sz w:val="23"/>
          <w:szCs w:val="23"/>
          <w:lang w:eastAsia="en-GB"/>
        </w:rPr>
        <w:t xml:space="preserve"> testing.</w:t>
      </w:r>
    </w:p>
    <w:p w14:paraId="6D4813CB" w14:textId="77777777" w:rsidR="00F00E3D" w:rsidRPr="00C51471" w:rsidRDefault="00F00E3D" w:rsidP="009B2FA7">
      <w:pPr>
        <w:spacing w:after="0"/>
        <w:rPr>
          <w:rFonts w:asciiTheme="majorHAnsi" w:eastAsia="Times New Roman" w:hAnsiTheme="majorHAnsi" w:cstheme="majorBidi"/>
          <w:sz w:val="23"/>
          <w:szCs w:val="23"/>
          <w:lang w:eastAsia="en-GB"/>
        </w:rPr>
      </w:pPr>
    </w:p>
    <w:p w14:paraId="012C4085" w14:textId="1EBAF595" w:rsidR="00F00E3D" w:rsidRPr="00720BDD" w:rsidRDefault="00F00E3D" w:rsidP="009B2FA7">
      <w:pPr>
        <w:spacing w:after="0"/>
        <w:rPr>
          <w:rFonts w:eastAsia="Times New Roman" w:cstheme="minorHAnsi"/>
          <w:b/>
          <w:bCs/>
          <w:sz w:val="25"/>
          <w:szCs w:val="25"/>
          <w:lang w:eastAsia="en-GB"/>
        </w:rPr>
      </w:pPr>
      <w:r w:rsidRPr="00720BDD">
        <w:rPr>
          <w:rFonts w:eastAsia="Times New Roman" w:cstheme="minorHAnsi"/>
          <w:b/>
          <w:bCs/>
          <w:sz w:val="25"/>
          <w:szCs w:val="25"/>
          <w:lang w:eastAsia="en-GB"/>
        </w:rPr>
        <w:t>Encompass</w:t>
      </w:r>
    </w:p>
    <w:p w14:paraId="056C1280" w14:textId="77777777" w:rsidR="00720BDD" w:rsidRPr="00720BDD" w:rsidRDefault="00720BDD" w:rsidP="009B2FA7">
      <w:pPr>
        <w:spacing w:after="0"/>
        <w:rPr>
          <w:rFonts w:asciiTheme="majorHAnsi" w:eastAsia="Times New Roman" w:hAnsiTheme="majorHAnsi" w:cstheme="majorBidi"/>
          <w:b/>
          <w:bCs/>
          <w:sz w:val="16"/>
          <w:szCs w:val="16"/>
          <w:lang w:eastAsia="en-GB"/>
        </w:rPr>
      </w:pPr>
    </w:p>
    <w:p w14:paraId="19B3E5D7" w14:textId="23F6B707" w:rsidR="00F00E3D"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 xml:space="preserve">Encompass Community Services has supported disabled and/or low-income people in Geelong, particularly residents of Whittington, for nearly nine years (Encompass Community Services 2021). The organisation runs a wide range of programs and activities intending to generate income and provide training and employment opportunities for clients. </w:t>
      </w:r>
      <w:r w:rsidR="00720BDD">
        <w:rPr>
          <w:rFonts w:asciiTheme="majorHAnsi" w:eastAsia="Times New Roman" w:hAnsiTheme="majorHAnsi" w:cstheme="majorBidi"/>
          <w:sz w:val="23"/>
          <w:szCs w:val="23"/>
          <w:lang w:eastAsia="en-GB"/>
        </w:rPr>
        <w:t>F</w:t>
      </w:r>
      <w:r w:rsidRPr="37EA9A9A">
        <w:rPr>
          <w:rFonts w:asciiTheme="majorHAnsi" w:eastAsia="Times New Roman" w:hAnsiTheme="majorHAnsi" w:cstheme="majorBidi"/>
          <w:sz w:val="23"/>
          <w:szCs w:val="23"/>
          <w:lang w:eastAsia="en-GB"/>
        </w:rPr>
        <w:t xml:space="preserve">acilities and services include employment services for people with disabilities, independent living skills supports, in-home care and domestic supports, community events, business enterprise, a café attached to the community hub, the Paddock (a working seven-acre food farm), and RTO (training and education for people who want to work in the aged care, disability or community sectors, and supported independent living accommodations). Further, Encompass’ HomeStay social enterprise helps low-income individuals furnish and set up their homes </w:t>
      </w:r>
      <w:r w:rsidR="00720BDD">
        <w:rPr>
          <w:rFonts w:asciiTheme="majorHAnsi" w:eastAsia="Times New Roman" w:hAnsiTheme="majorHAnsi" w:cstheme="majorBidi"/>
          <w:sz w:val="23"/>
          <w:szCs w:val="23"/>
          <w:lang w:eastAsia="en-GB"/>
        </w:rPr>
        <w:t xml:space="preserve">through the </w:t>
      </w:r>
      <w:r w:rsidRPr="37EA9A9A">
        <w:rPr>
          <w:rFonts w:asciiTheme="majorHAnsi" w:eastAsia="Times New Roman" w:hAnsiTheme="majorHAnsi" w:cstheme="majorBidi"/>
          <w:sz w:val="23"/>
          <w:szCs w:val="23"/>
          <w:lang w:eastAsia="en-GB"/>
        </w:rPr>
        <w:t xml:space="preserve">upcycling and recycling </w:t>
      </w:r>
      <w:r w:rsidR="00720BDD">
        <w:rPr>
          <w:rFonts w:asciiTheme="majorHAnsi" w:eastAsia="Times New Roman" w:hAnsiTheme="majorHAnsi" w:cstheme="majorBidi"/>
          <w:sz w:val="23"/>
          <w:szCs w:val="23"/>
          <w:lang w:eastAsia="en-GB"/>
        </w:rPr>
        <w:t xml:space="preserve">of quality </w:t>
      </w:r>
      <w:r w:rsidRPr="37EA9A9A">
        <w:rPr>
          <w:rFonts w:asciiTheme="majorHAnsi" w:eastAsia="Times New Roman" w:hAnsiTheme="majorHAnsi" w:cstheme="majorBidi"/>
          <w:sz w:val="23"/>
          <w:szCs w:val="23"/>
          <w:lang w:eastAsia="en-GB"/>
        </w:rPr>
        <w:t>donated household items.</w:t>
      </w:r>
    </w:p>
    <w:p w14:paraId="58CCBEF2" w14:textId="77777777" w:rsidR="00720BDD" w:rsidRPr="00720BDD" w:rsidRDefault="00720BDD" w:rsidP="009B2FA7">
      <w:pPr>
        <w:spacing w:after="0"/>
        <w:rPr>
          <w:rFonts w:asciiTheme="majorHAnsi" w:eastAsia="Times New Roman" w:hAnsiTheme="majorHAnsi" w:cstheme="majorBidi"/>
          <w:sz w:val="16"/>
          <w:szCs w:val="16"/>
          <w:lang w:eastAsia="en-GB"/>
        </w:rPr>
      </w:pPr>
    </w:p>
    <w:p w14:paraId="25853370"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Encompass has strong neighbourhood ties and works with a network of local volunteers. Over 40% of Encompass staff have a disability, demonstrating its commitment to providing equal opportunities to the community and promoting the value of engaging people with disabilities in all forms of employment. Furthermore, Encompass strives to improve government policies to make services for people with disabilities more person-centred and accessible.</w:t>
      </w:r>
    </w:p>
    <w:p w14:paraId="021315DD" w14:textId="77777777" w:rsidR="00F00E3D" w:rsidRPr="00C51471" w:rsidRDefault="00F00E3D" w:rsidP="009B2FA7">
      <w:pPr>
        <w:spacing w:after="0"/>
        <w:rPr>
          <w:rFonts w:asciiTheme="majorHAnsi" w:eastAsia="Times New Roman" w:hAnsiTheme="majorHAnsi" w:cstheme="majorBidi"/>
          <w:sz w:val="23"/>
          <w:szCs w:val="23"/>
          <w:lang w:eastAsia="en-GB"/>
        </w:rPr>
      </w:pPr>
    </w:p>
    <w:p w14:paraId="313A63AA" w14:textId="4AD84522" w:rsidR="00F00E3D" w:rsidRPr="00720BDD" w:rsidRDefault="00F00E3D" w:rsidP="009B2FA7">
      <w:pPr>
        <w:spacing w:after="0"/>
        <w:rPr>
          <w:rFonts w:eastAsia="Times New Roman" w:cstheme="minorHAnsi"/>
          <w:b/>
          <w:bCs/>
          <w:sz w:val="25"/>
          <w:szCs w:val="25"/>
          <w:lang w:eastAsia="en-GB"/>
        </w:rPr>
      </w:pPr>
      <w:r w:rsidRPr="00720BDD">
        <w:rPr>
          <w:rFonts w:eastAsia="Times New Roman" w:cstheme="minorHAnsi"/>
          <w:b/>
          <w:bCs/>
          <w:sz w:val="25"/>
          <w:szCs w:val="25"/>
          <w:lang w:eastAsia="en-GB"/>
        </w:rPr>
        <w:t>Norlane Community Initiatives</w:t>
      </w:r>
    </w:p>
    <w:p w14:paraId="65E10F07" w14:textId="77777777" w:rsidR="00720BDD" w:rsidRPr="00720BDD" w:rsidRDefault="00720BDD" w:rsidP="009B2FA7">
      <w:pPr>
        <w:spacing w:after="0"/>
        <w:rPr>
          <w:rFonts w:asciiTheme="majorHAnsi" w:eastAsia="Times New Roman" w:hAnsiTheme="majorHAnsi" w:cstheme="majorBidi"/>
          <w:b/>
          <w:bCs/>
          <w:sz w:val="16"/>
          <w:szCs w:val="16"/>
          <w:lang w:eastAsia="en-GB"/>
        </w:rPr>
      </w:pPr>
    </w:p>
    <w:p w14:paraId="280E3E93" w14:textId="3E4B103C"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Norlane Community Initiatives (NCI) is a community-led organisation focused on addressing specific community needs around social isolation, supporting families, food security, activating local leadership, health</w:t>
      </w:r>
      <w:r w:rsidR="00D67A74">
        <w:rPr>
          <w:rFonts w:asciiTheme="majorHAnsi" w:eastAsia="Times New Roman" w:hAnsiTheme="majorHAnsi" w:cstheme="majorBidi"/>
          <w:sz w:val="23"/>
          <w:szCs w:val="23"/>
          <w:lang w:eastAsia="en-GB"/>
        </w:rPr>
        <w:t>,</w:t>
      </w:r>
      <w:r w:rsidRPr="37EA9A9A">
        <w:rPr>
          <w:rFonts w:asciiTheme="majorHAnsi" w:eastAsia="Times New Roman" w:hAnsiTheme="majorHAnsi" w:cstheme="majorBidi"/>
          <w:sz w:val="23"/>
          <w:szCs w:val="23"/>
          <w:lang w:eastAsia="en-GB"/>
        </w:rPr>
        <w:t xml:space="preserve"> well-being</w:t>
      </w:r>
      <w:r w:rsidR="00D67A74">
        <w:rPr>
          <w:rFonts w:asciiTheme="majorHAnsi" w:eastAsia="Times New Roman" w:hAnsiTheme="majorHAnsi" w:cstheme="majorBidi"/>
          <w:sz w:val="23"/>
          <w:szCs w:val="23"/>
          <w:lang w:eastAsia="en-GB"/>
        </w:rPr>
        <w:t>, and placemaking</w:t>
      </w:r>
      <w:r w:rsidRPr="37EA9A9A">
        <w:rPr>
          <w:rFonts w:asciiTheme="majorHAnsi" w:eastAsia="Times New Roman" w:hAnsiTheme="majorHAnsi" w:cstheme="majorBidi"/>
          <w:sz w:val="23"/>
          <w:szCs w:val="23"/>
          <w:lang w:eastAsia="en-GB"/>
        </w:rPr>
        <w:t xml:space="preserve"> (Norlane Community Initiatives 2021). The prime goal is to make Norlane a beautiful, healthy, welcoming, and sustainable place to live. To meet neighbourhood </w:t>
      </w:r>
      <w:r w:rsidR="003C0A93">
        <w:rPr>
          <w:rFonts w:asciiTheme="majorHAnsi" w:eastAsia="Times New Roman" w:hAnsiTheme="majorHAnsi" w:cstheme="majorBidi"/>
          <w:sz w:val="23"/>
          <w:szCs w:val="23"/>
          <w:lang w:eastAsia="en-GB"/>
        </w:rPr>
        <w:t>need</w:t>
      </w:r>
      <w:r w:rsidRPr="37EA9A9A">
        <w:rPr>
          <w:rFonts w:asciiTheme="majorHAnsi" w:eastAsia="Times New Roman" w:hAnsiTheme="majorHAnsi" w:cstheme="majorBidi"/>
          <w:sz w:val="23"/>
          <w:szCs w:val="23"/>
          <w:lang w:eastAsia="en-GB"/>
        </w:rPr>
        <w:t xml:space="preserve">s and increase the sense of belonging, NCI adopts a holistic, whole-of-person and whole-of-neighbourhood approach that takes into account both the physical and psychological health of residents. </w:t>
      </w:r>
      <w:r w:rsidR="00926615">
        <w:rPr>
          <w:rFonts w:asciiTheme="majorHAnsi" w:eastAsia="Times New Roman" w:hAnsiTheme="majorHAnsi" w:cstheme="majorBidi"/>
          <w:sz w:val="23"/>
          <w:szCs w:val="23"/>
          <w:lang w:eastAsia="en-GB"/>
        </w:rPr>
        <w:t xml:space="preserve">Most </w:t>
      </w:r>
      <w:r w:rsidRPr="37EA9A9A">
        <w:rPr>
          <w:rFonts w:asciiTheme="majorHAnsi" w:eastAsia="Times New Roman" w:hAnsiTheme="majorHAnsi" w:cstheme="majorBidi"/>
          <w:sz w:val="23"/>
          <w:szCs w:val="23"/>
          <w:lang w:eastAsia="en-GB"/>
        </w:rPr>
        <w:t>staff live in Norlane</w:t>
      </w:r>
      <w:r w:rsidR="00926615">
        <w:rPr>
          <w:rFonts w:asciiTheme="majorHAnsi" w:eastAsia="Times New Roman" w:hAnsiTheme="majorHAnsi" w:cstheme="majorBidi"/>
          <w:sz w:val="23"/>
          <w:szCs w:val="23"/>
          <w:lang w:eastAsia="en-GB"/>
        </w:rPr>
        <w:t>,</w:t>
      </w:r>
      <w:r w:rsidRPr="37EA9A9A">
        <w:rPr>
          <w:rFonts w:asciiTheme="majorHAnsi" w:eastAsia="Times New Roman" w:hAnsiTheme="majorHAnsi" w:cstheme="majorBidi"/>
          <w:sz w:val="23"/>
          <w:szCs w:val="23"/>
          <w:lang w:eastAsia="en-GB"/>
        </w:rPr>
        <w:t xml:space="preserve"> </w:t>
      </w:r>
      <w:r w:rsidR="00926615">
        <w:rPr>
          <w:rFonts w:asciiTheme="majorHAnsi" w:eastAsia="Times New Roman" w:hAnsiTheme="majorHAnsi" w:cstheme="majorBidi"/>
          <w:sz w:val="23"/>
          <w:szCs w:val="23"/>
          <w:lang w:eastAsia="en-GB"/>
        </w:rPr>
        <w:t>which</w:t>
      </w:r>
      <w:r w:rsidRPr="37EA9A9A">
        <w:rPr>
          <w:rFonts w:asciiTheme="majorHAnsi" w:eastAsia="Times New Roman" w:hAnsiTheme="majorHAnsi" w:cstheme="majorBidi"/>
          <w:sz w:val="23"/>
          <w:szCs w:val="23"/>
          <w:lang w:eastAsia="en-GB"/>
        </w:rPr>
        <w:t xml:space="preserve"> helps residents make a meaningful contribution to regenerating community and place in the neighbourhood.</w:t>
      </w:r>
    </w:p>
    <w:p w14:paraId="45835D03"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lastRenderedPageBreak/>
        <w:t xml:space="preserve">NCI has three main sites, including Neighbourhood Hub (with a makers’ space, a meditation room, a co-working office space, a food area, an on-site urban farm and a five-bedroom residence), Farm Next Door (a stand-alone initiative to grow fresh food and develop connections with nature), and The Aviary (a social enterprise café). The organisation runs a wide range of programs and activities for Norlane residents of all ages, such as health programs, leadership training, community meals, as well as coordinating a network of urban farmers, maintaining about seven productive gardens, operating a cooperative foodbank and wholefoods, and undertaking food education. </w:t>
      </w:r>
    </w:p>
    <w:p w14:paraId="5B9428D9" w14:textId="77777777" w:rsidR="00F00E3D" w:rsidRPr="00C51471" w:rsidRDefault="00F00E3D" w:rsidP="009B2FA7">
      <w:pPr>
        <w:spacing w:after="0"/>
        <w:rPr>
          <w:rFonts w:asciiTheme="majorHAnsi" w:eastAsia="Times New Roman" w:hAnsiTheme="majorHAnsi" w:cstheme="majorBidi"/>
          <w:sz w:val="23"/>
          <w:szCs w:val="23"/>
          <w:lang w:eastAsia="en-GB"/>
        </w:rPr>
      </w:pPr>
    </w:p>
    <w:p w14:paraId="5DEFEC70" w14:textId="148D1399" w:rsidR="00F00E3D" w:rsidRPr="00720BDD" w:rsidRDefault="00F00E3D" w:rsidP="009B2FA7">
      <w:pPr>
        <w:spacing w:after="0"/>
        <w:rPr>
          <w:rFonts w:eastAsia="Times New Roman" w:cstheme="minorHAnsi"/>
          <w:b/>
          <w:bCs/>
          <w:sz w:val="25"/>
          <w:szCs w:val="25"/>
          <w:lang w:eastAsia="en-GB"/>
        </w:rPr>
      </w:pPr>
      <w:r w:rsidRPr="00720BDD">
        <w:rPr>
          <w:rFonts w:eastAsia="Times New Roman" w:cstheme="minorHAnsi"/>
          <w:b/>
          <w:bCs/>
          <w:sz w:val="25"/>
          <w:szCs w:val="25"/>
          <w:lang w:eastAsia="en-GB"/>
        </w:rPr>
        <w:t>Diversitat</w:t>
      </w:r>
    </w:p>
    <w:p w14:paraId="03358D02" w14:textId="77777777" w:rsidR="00720BDD" w:rsidRPr="00720BDD" w:rsidRDefault="00720BDD" w:rsidP="009B2FA7">
      <w:pPr>
        <w:spacing w:after="0"/>
        <w:rPr>
          <w:rFonts w:asciiTheme="majorHAnsi" w:eastAsia="Times New Roman" w:hAnsiTheme="majorHAnsi" w:cstheme="majorBidi"/>
          <w:b/>
          <w:bCs/>
          <w:sz w:val="16"/>
          <w:szCs w:val="16"/>
          <w:lang w:eastAsia="en-GB"/>
        </w:rPr>
      </w:pPr>
    </w:p>
    <w:p w14:paraId="55FF7F80" w14:textId="3A8A5294" w:rsidR="00F00E3D" w:rsidRPr="00C51471" w:rsidRDefault="00F00E3D" w:rsidP="6A3610E4">
      <w:pPr>
        <w:spacing w:after="0"/>
        <w:rPr>
          <w:rFonts w:asciiTheme="majorHAnsi" w:eastAsia="Times New Roman" w:hAnsiTheme="majorHAnsi" w:cstheme="majorBidi"/>
          <w:sz w:val="23"/>
          <w:szCs w:val="23"/>
          <w:lang w:eastAsia="en-GB"/>
        </w:rPr>
      </w:pPr>
      <w:r w:rsidRPr="6A3610E4">
        <w:rPr>
          <w:rFonts w:asciiTheme="majorHAnsi" w:eastAsia="Times New Roman" w:hAnsiTheme="majorHAnsi" w:cstheme="majorBidi"/>
          <w:sz w:val="23"/>
          <w:szCs w:val="23"/>
          <w:lang w:eastAsia="en-GB"/>
        </w:rPr>
        <w:t xml:space="preserve">Diversitat was established in 1976 as a migrant resource centre. From then it has expanded its range of services and programs throughout the region and beyond. In 2021 it operates across 10 sites delivering a range of services including Settlement, Training and Education, Youth Programs, Community Services including Financial counselling, Disability, Aged Support, 94.7 Pulse Radio, My Maintenance Crew. Diversitat also manages the famous annual cultural street event - Pako Festa. Diversitat aims “to empower individuals and communities to reach their full potential” and act on a daily basis according to the values of “Dignity, Respect and Acceptance”, with our clients and amongst each other (Diversitat 2021). The participant in the interviews and focus group from Diversitat was </w:t>
      </w:r>
      <w:r w:rsidR="643321C8" w:rsidRPr="6A3610E4">
        <w:rPr>
          <w:rFonts w:asciiTheme="majorHAnsi" w:eastAsia="Times New Roman" w:hAnsiTheme="majorHAnsi" w:cstheme="majorBidi"/>
          <w:sz w:val="23"/>
          <w:szCs w:val="23"/>
          <w:lang w:eastAsia="en-GB"/>
        </w:rPr>
        <w:t xml:space="preserve">involved with </w:t>
      </w:r>
      <w:r w:rsidRPr="6A3610E4">
        <w:rPr>
          <w:rFonts w:asciiTheme="majorHAnsi" w:eastAsia="Times New Roman" w:hAnsiTheme="majorHAnsi" w:cstheme="majorBidi"/>
          <w:sz w:val="23"/>
          <w:szCs w:val="23"/>
          <w:lang w:eastAsia="en-GB"/>
        </w:rPr>
        <w:t>the Reconnect program, engaging those without employment into appropriate services and training to become job ready.</w:t>
      </w:r>
    </w:p>
    <w:p w14:paraId="45CB3C93" w14:textId="77777777" w:rsidR="00F00E3D" w:rsidRPr="00C51471" w:rsidRDefault="00F00E3D" w:rsidP="009B2FA7">
      <w:pPr>
        <w:spacing w:after="0"/>
        <w:rPr>
          <w:rFonts w:asciiTheme="majorHAnsi" w:eastAsia="Times New Roman" w:hAnsiTheme="majorHAnsi" w:cstheme="majorBidi"/>
          <w:sz w:val="23"/>
          <w:szCs w:val="23"/>
          <w:lang w:eastAsia="en-GB"/>
        </w:rPr>
      </w:pPr>
    </w:p>
    <w:p w14:paraId="20DF9C89" w14:textId="1BF79BA2" w:rsidR="00F00E3D" w:rsidRDefault="00DE4596" w:rsidP="009B2FA7">
      <w:pPr>
        <w:spacing w:after="0"/>
        <w:rPr>
          <w:rFonts w:eastAsia="Times New Roman" w:cstheme="minorHAnsi"/>
          <w:b/>
          <w:bCs/>
          <w:sz w:val="25"/>
          <w:szCs w:val="25"/>
          <w:lang w:eastAsia="en-GB"/>
        </w:rPr>
      </w:pPr>
      <w:r w:rsidRPr="00720BDD">
        <w:rPr>
          <w:rFonts w:eastAsia="Times New Roman" w:cstheme="minorHAnsi"/>
          <w:b/>
          <w:bCs/>
          <w:sz w:val="25"/>
          <w:szCs w:val="25"/>
          <w:lang w:eastAsia="en-GB"/>
        </w:rPr>
        <w:t>Sources</w:t>
      </w:r>
      <w:r w:rsidR="00415860">
        <w:rPr>
          <w:rFonts w:eastAsia="Times New Roman" w:cstheme="minorHAnsi"/>
          <w:b/>
          <w:bCs/>
          <w:sz w:val="25"/>
          <w:szCs w:val="25"/>
          <w:lang w:eastAsia="en-GB"/>
        </w:rPr>
        <w:t>:</w:t>
      </w:r>
    </w:p>
    <w:p w14:paraId="1EC92300" w14:textId="77777777" w:rsidR="00720BDD" w:rsidRPr="00720BDD" w:rsidRDefault="00720BDD" w:rsidP="009B2FA7">
      <w:pPr>
        <w:spacing w:after="0"/>
        <w:rPr>
          <w:rFonts w:eastAsia="Times New Roman" w:cstheme="minorHAnsi"/>
          <w:b/>
          <w:bCs/>
          <w:sz w:val="16"/>
          <w:szCs w:val="16"/>
          <w:lang w:eastAsia="en-GB"/>
        </w:rPr>
      </w:pPr>
    </w:p>
    <w:p w14:paraId="3D84F209"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Barwon Health North 2021, retrieved 06/04/2021, &lt;https://www.barwonhealthnorth.org.au/about&gt;.</w:t>
      </w:r>
    </w:p>
    <w:p w14:paraId="30461AF0"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Cloverdale Community Centre 2021, retrieved 07/04/2021, &lt;https://www.cloverdalecommunitycentre.org.au/&gt;.</w:t>
      </w:r>
    </w:p>
    <w:p w14:paraId="0C843099"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Department of Families Fairness and Housing 2021, State Government of Victoria, retrieved 06/04/2021, &lt;https://www.vic.gov.au/dffh/about-us&gt;.</w:t>
      </w:r>
    </w:p>
    <w:p w14:paraId="46491507"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Diversitat 2021 (5) Diversitat: About | LinkedIn Accessed 7.4.2021</w:t>
      </w:r>
    </w:p>
    <w:p w14:paraId="7CB89743"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Encompass Community Services 2021, retrieved 06/04/2021, &lt;https://www.encompass-cs.org.au/&gt;.</w:t>
      </w:r>
    </w:p>
    <w:p w14:paraId="508FF0DB"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Gforce Employment Solutions 2021, retrieved 06/04/2021, &lt;https://gforce.org.au/&gt;.</w:t>
      </w:r>
    </w:p>
    <w:p w14:paraId="3D17E3CA"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GROW 2021, G21 Region Opportunities for Work, Give Where You Live Foundation, retrieved 06/04/2021, &lt;https://www.givewhereyoulive.com.au/grow/&gt;.</w:t>
      </w:r>
    </w:p>
    <w:p w14:paraId="588A9B3E"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Norlane Community Centre 2021, retrieved 06/04/2021, &lt;https://norlanecc.com.au/about/&gt;.</w:t>
      </w:r>
    </w:p>
    <w:p w14:paraId="587271B6"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Norlane Community Initiatives 2021, retrieved 06/04/2021, &lt;https://www.norlaneci.org.au/&gt;.</w:t>
      </w:r>
    </w:p>
    <w:p w14:paraId="39814B4E"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Northern Bay College 2021, retrieved 06/04/2021, &lt;https://www.nbc.vic.edu.au/&gt;.</w:t>
      </w:r>
    </w:p>
    <w:p w14:paraId="3032B04D"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Northern Futures Ltd 2021, retrieved 06/04/2021, &lt;https://www.northernfuturesgeelong.com/&gt;.</w:t>
      </w:r>
    </w:p>
    <w:p w14:paraId="23A23FF5" w14:textId="77777777" w:rsidR="00F00E3D" w:rsidRPr="00C51471" w:rsidRDefault="00F00E3D" w:rsidP="009B2FA7">
      <w:pPr>
        <w:spacing w:after="0"/>
        <w:rPr>
          <w:rFonts w:asciiTheme="majorHAnsi" w:eastAsia="Times New Roman" w:hAnsiTheme="majorHAnsi" w:cstheme="majorBidi"/>
          <w:sz w:val="23"/>
          <w:szCs w:val="23"/>
          <w:lang w:eastAsia="en-GB"/>
        </w:rPr>
      </w:pPr>
      <w:r w:rsidRPr="37EA9A9A">
        <w:rPr>
          <w:rFonts w:asciiTheme="majorHAnsi" w:eastAsia="Times New Roman" w:hAnsiTheme="majorHAnsi" w:cstheme="majorBidi"/>
          <w:sz w:val="23"/>
          <w:szCs w:val="23"/>
          <w:lang w:eastAsia="en-GB"/>
        </w:rPr>
        <w:t>Whittington Primary School 2021, retrieved 06/04/2021, &lt;https://www.whittingtonps.vic.edu.au/&gt;.</w:t>
      </w:r>
    </w:p>
    <w:p w14:paraId="5D656269" w14:textId="25507F28" w:rsidR="00F00E3D" w:rsidRPr="00720BDD" w:rsidRDefault="00F00E3D">
      <w:pPr>
        <w:rPr>
          <w:rFonts w:ascii="Times New Roman" w:eastAsiaTheme="majorEastAsia" w:hAnsi="Times New Roman" w:cs="Times New Roman"/>
          <w:b/>
          <w:bCs/>
          <w:sz w:val="24"/>
          <w:szCs w:val="24"/>
        </w:rPr>
      </w:pPr>
      <w:r w:rsidRPr="00335312">
        <w:rPr>
          <w:rFonts w:ascii="Times New Roman" w:eastAsiaTheme="majorEastAsia" w:hAnsi="Times New Roman" w:cs="Times New Roman"/>
          <w:b/>
          <w:bCs/>
          <w:sz w:val="24"/>
          <w:szCs w:val="24"/>
        </w:rPr>
        <w:br w:type="page"/>
      </w:r>
    </w:p>
    <w:p w14:paraId="157D438B" w14:textId="77777777" w:rsidR="00F00E3D" w:rsidRDefault="00F00E3D">
      <w:r>
        <w:rPr>
          <w:noProof/>
        </w:rPr>
        <w:lastRenderedPageBreak/>
        <w:drawing>
          <wp:inline distT="0" distB="0" distL="0" distR="0" wp14:anchorId="5FE9A373" wp14:editId="120A72CE">
            <wp:extent cx="3608070" cy="2100580"/>
            <wp:effectExtent l="0" t="0" r="0" b="0"/>
            <wp:docPr id="302" name="Picture 302" descr="Deakin HOME Research Hub – Providing evidence-based, community-tailored  housing and social inclusion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pic:nvPicPr>
                  <pic:blipFill>
                    <a:blip r:embed="rId12">
                      <a:extLst>
                        <a:ext uri="{28A0092B-C50C-407E-A947-70E740481C1C}">
                          <a14:useLocalDpi xmlns:a14="http://schemas.microsoft.com/office/drawing/2010/main"/>
                        </a:ext>
                      </a:extLst>
                    </a:blip>
                    <a:stretch>
                      <a:fillRect/>
                    </a:stretch>
                  </pic:blipFill>
                  <pic:spPr>
                    <a:xfrm>
                      <a:off x="0" y="0"/>
                      <a:ext cx="3608070" cy="2100580"/>
                    </a:xfrm>
                    <a:prstGeom prst="rect">
                      <a:avLst/>
                    </a:prstGeom>
                  </pic:spPr>
                </pic:pic>
              </a:graphicData>
            </a:graphic>
          </wp:inline>
        </w:drawing>
      </w:r>
    </w:p>
    <w:p w14:paraId="0194E678" w14:textId="77777777" w:rsidR="00F00E3D" w:rsidRDefault="00F00E3D"/>
    <w:p w14:paraId="485A3B32" w14:textId="2319AB58" w:rsidR="00F00E3D" w:rsidRDefault="00F00E3D">
      <w:pPr>
        <w:rPr>
          <w:rStyle w:val="Hyperlink"/>
          <w:b/>
          <w:bCs/>
          <w:color w:val="2F5496" w:themeColor="accent1" w:themeShade="BF"/>
          <w:sz w:val="40"/>
          <w:szCs w:val="40"/>
        </w:rPr>
      </w:pPr>
      <w:r>
        <w:rPr>
          <w:b/>
          <w:bCs/>
          <w:sz w:val="40"/>
          <w:szCs w:val="40"/>
        </w:rPr>
        <w:t>Visit</w:t>
      </w:r>
      <w:r w:rsidRPr="00360191">
        <w:rPr>
          <w:b/>
          <w:bCs/>
          <w:sz w:val="40"/>
          <w:szCs w:val="40"/>
        </w:rPr>
        <w:t xml:space="preserve">: </w:t>
      </w:r>
      <w:hyperlink r:id="rId237" w:history="1">
        <w:r w:rsidRPr="00360191">
          <w:rPr>
            <w:rStyle w:val="Hyperlink"/>
            <w:b/>
            <w:bCs/>
            <w:color w:val="2F5496" w:themeColor="accent1" w:themeShade="BF"/>
            <w:sz w:val="40"/>
            <w:szCs w:val="40"/>
          </w:rPr>
          <w:t>Deakin H</w:t>
        </w:r>
        <w:r w:rsidR="003B504D">
          <w:rPr>
            <w:rStyle w:val="Hyperlink"/>
            <w:b/>
            <w:bCs/>
            <w:color w:val="2F5496" w:themeColor="accent1" w:themeShade="BF"/>
            <w:sz w:val="40"/>
            <w:szCs w:val="40"/>
          </w:rPr>
          <w:t>OME</w:t>
        </w:r>
        <w:r w:rsidRPr="00360191">
          <w:rPr>
            <w:rStyle w:val="Hyperlink"/>
            <w:b/>
            <w:bCs/>
            <w:color w:val="2F5496" w:themeColor="accent1" w:themeShade="BF"/>
            <w:sz w:val="40"/>
            <w:szCs w:val="40"/>
          </w:rPr>
          <w:t xml:space="preserve"> Research Hub &gt;</w:t>
        </w:r>
      </w:hyperlink>
    </w:p>
    <w:p w14:paraId="11B5929A" w14:textId="77777777" w:rsidR="00F00E3D" w:rsidRDefault="00F00E3D">
      <w:pPr>
        <w:rPr>
          <w:rStyle w:val="Hyperlink"/>
          <w:b/>
          <w:bCs/>
          <w:color w:val="2F5496" w:themeColor="accent1" w:themeShade="BF"/>
          <w:sz w:val="40"/>
          <w:szCs w:val="40"/>
        </w:rPr>
      </w:pPr>
    </w:p>
    <w:p w14:paraId="7DC5D77D" w14:textId="77777777" w:rsidR="001928D4" w:rsidRDefault="001928D4"/>
    <w:sectPr w:rsidR="001928D4" w:rsidSect="009452E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E851E" w14:textId="77777777" w:rsidR="007320D6" w:rsidRDefault="007320D6" w:rsidP="00F00E3D">
      <w:pPr>
        <w:spacing w:after="0" w:line="240" w:lineRule="auto"/>
      </w:pPr>
      <w:r>
        <w:separator/>
      </w:r>
    </w:p>
  </w:endnote>
  <w:endnote w:type="continuationSeparator" w:id="0">
    <w:p w14:paraId="65DEEFD0" w14:textId="77777777" w:rsidR="007320D6" w:rsidRDefault="007320D6" w:rsidP="00F00E3D">
      <w:pPr>
        <w:spacing w:after="0" w:line="240" w:lineRule="auto"/>
      </w:pPr>
      <w:r>
        <w:continuationSeparator/>
      </w:r>
    </w:p>
  </w:endnote>
  <w:endnote w:type="continuationNotice" w:id="1">
    <w:p w14:paraId="696855A7" w14:textId="77777777" w:rsidR="007320D6" w:rsidRDefault="007320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DengXian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Verdana Pro Cond">
    <w:panose1 w:val="020B0606030504040204"/>
    <w:charset w:val="00"/>
    <w:family w:val="swiss"/>
    <w:pitch w:val="variable"/>
    <w:sig w:usb0="00000001" w:usb1="00000043" w:usb2="00000000" w:usb3="00000000" w:csb0="0000009F" w:csb1="00000000"/>
  </w:font>
  <w:font w:name="Verdana Pro Cond SemiBold">
    <w:panose1 w:val="020B0706030504040204"/>
    <w:charset w:val="00"/>
    <w:family w:val="swiss"/>
    <w:pitch w:val="variable"/>
    <w:sig w:usb0="00000001" w:usb1="0000004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ource Sans Pro">
    <w:panose1 w:val="020B05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ymbolMT">
    <w:altName w:val="Heiti TC Light"/>
    <w:panose1 w:val="020B0604020202020204"/>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eastAsia="Calibri" w:hAnsi="Calibri" w:cs="Arial"/>
        <w:b/>
        <w:caps/>
        <w:color w:val="000000"/>
        <w:spacing w:val="-3"/>
        <w:sz w:val="15"/>
        <w:lang w:val="en-US"/>
      </w:rPr>
      <w:id w:val="322712207"/>
      <w:docPartObj>
        <w:docPartGallery w:val="Page Numbers (Bottom of Page)"/>
        <w:docPartUnique/>
      </w:docPartObj>
    </w:sdtPr>
    <w:sdtEndPr>
      <w:rPr>
        <w:noProof/>
      </w:rPr>
    </w:sdtEndPr>
    <w:sdtContent>
      <w:p w14:paraId="079635E2" w14:textId="69A81287" w:rsidR="00063AC8" w:rsidRPr="00B92DD7" w:rsidRDefault="00063AC8" w:rsidP="009B2FA7">
        <w:pPr>
          <w:tabs>
            <w:tab w:val="left" w:pos="340"/>
          </w:tabs>
          <w:spacing w:after="120" w:line="240" w:lineRule="auto"/>
          <w:jc w:val="right"/>
          <w:rPr>
            <w:rFonts w:eastAsia="Calibri"/>
            <w:b/>
            <w:caps/>
            <w:noProof/>
            <w:color w:val="000000"/>
            <w:spacing w:val="-3"/>
          </w:rPr>
        </w:pPr>
        <w:r w:rsidRPr="00B92DD7">
          <w:rPr>
            <w:rFonts w:ascii="Calibri" w:eastAsia="Calibri" w:hAnsi="Calibri" w:cs="Arial"/>
            <w:b/>
            <w:caps/>
            <w:color w:val="000000"/>
            <w:spacing w:val="-3"/>
            <w:sz w:val="15"/>
            <w:shd w:val="clear" w:color="auto" w:fill="E6E6E6"/>
            <w:lang w:val="en-US"/>
          </w:rPr>
          <w:fldChar w:fldCharType="begin"/>
        </w:r>
        <w:r w:rsidRPr="00B92DD7">
          <w:rPr>
            <w:rFonts w:ascii="Calibri" w:eastAsia="Calibri" w:hAnsi="Calibri" w:cs="Arial"/>
            <w:b/>
            <w:caps/>
            <w:color w:val="000000"/>
            <w:spacing w:val="-3"/>
            <w:sz w:val="15"/>
            <w:lang w:val="en-US"/>
          </w:rPr>
          <w:instrText xml:space="preserve"> PAGE   \* MERGEFORMAT </w:instrText>
        </w:r>
        <w:r w:rsidRPr="00B92DD7">
          <w:rPr>
            <w:rFonts w:ascii="Calibri" w:eastAsia="Calibri" w:hAnsi="Calibri" w:cs="Arial"/>
            <w:b/>
            <w:caps/>
            <w:color w:val="000000"/>
            <w:spacing w:val="-3"/>
            <w:sz w:val="15"/>
            <w:shd w:val="clear" w:color="auto" w:fill="E6E6E6"/>
            <w:lang w:val="en-US"/>
          </w:rPr>
          <w:fldChar w:fldCharType="separate"/>
        </w:r>
        <w:r w:rsidR="00BF179D">
          <w:rPr>
            <w:rFonts w:ascii="Calibri" w:eastAsia="Calibri" w:hAnsi="Calibri" w:cs="Arial"/>
            <w:b/>
            <w:caps/>
            <w:noProof/>
            <w:color w:val="000000"/>
            <w:spacing w:val="-3"/>
            <w:sz w:val="15"/>
            <w:lang w:val="en-US"/>
          </w:rPr>
          <w:t>xviii</w:t>
        </w:r>
        <w:r w:rsidRPr="00B92DD7">
          <w:rPr>
            <w:rFonts w:ascii="Calibri" w:eastAsia="Calibri" w:hAnsi="Calibri" w:cs="Arial"/>
            <w:b/>
            <w:caps/>
            <w:color w:val="000000"/>
            <w:spacing w:val="-3"/>
            <w:sz w:val="15"/>
            <w:shd w:val="clear" w:color="auto" w:fill="E6E6E6"/>
            <w:lang w:val="en-US"/>
          </w:rPr>
          <w:fldChar w:fldCharType="end"/>
        </w:r>
        <w:r w:rsidRPr="00B92DD7">
          <w:rPr>
            <w:rFonts w:ascii="Calibri" w:eastAsia="Calibri" w:hAnsi="Calibri" w:cs="Arial"/>
            <w:b/>
            <w:caps/>
            <w:noProof/>
            <w:color w:val="000000"/>
            <w:spacing w:val="-3"/>
            <w:sz w:val="15"/>
            <w:lang w:val="en-US"/>
          </w:rPr>
          <w:t xml:space="preserve"> </w:t>
        </w:r>
        <w:r w:rsidRPr="00B92DD7">
          <w:rPr>
            <w:rFonts w:ascii="Calibri" w:eastAsia="Calibri" w:hAnsi="Calibri" w:cs="Arial"/>
            <w:b/>
            <w:caps/>
            <w:noProof/>
            <w:color w:val="000000"/>
            <w:spacing w:val="-3"/>
            <w:sz w:val="15"/>
            <w:lang w:val="en-US"/>
          </w:rPr>
          <w:tab/>
          <w:t>Deakin university</w:t>
        </w:r>
      </w:p>
    </w:sdtContent>
  </w:sdt>
  <w:p w14:paraId="289DD0DB" w14:textId="77777777" w:rsidR="00063AC8" w:rsidRDefault="00063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EA397" w14:textId="77777777" w:rsidR="00063AC8" w:rsidRDefault="00063AC8" w:rsidP="009B2FA7">
    <w:pPr>
      <w:pStyle w:val="Footer"/>
      <w:framePr w:wrap="none" w:vAnchor="text" w:hAnchor="margin" w:xAlign="right" w:y="1"/>
      <w:rPr>
        <w:rStyle w:val="PageNumber"/>
      </w:rPr>
    </w:pPr>
  </w:p>
  <w:sdt>
    <w:sdtPr>
      <w:rPr>
        <w:rFonts w:ascii="Calibri" w:eastAsia="Calibri" w:hAnsi="Calibri" w:cs="Arial"/>
        <w:b/>
        <w:caps/>
        <w:color w:val="000000"/>
        <w:spacing w:val="-3"/>
        <w:sz w:val="15"/>
        <w:lang w:val="en-US"/>
      </w:rPr>
      <w:id w:val="1136453953"/>
      <w:docPartObj>
        <w:docPartGallery w:val="Page Numbers (Bottom of Page)"/>
        <w:docPartUnique/>
      </w:docPartObj>
    </w:sdtPr>
    <w:sdtEndPr>
      <w:rPr>
        <w:noProof/>
      </w:rPr>
    </w:sdtEndPr>
    <w:sdtContent>
      <w:p w14:paraId="21E6C3D4" w14:textId="23C00486" w:rsidR="00063AC8" w:rsidRPr="00B92DD7" w:rsidRDefault="00063AC8" w:rsidP="009B2FA7">
        <w:pPr>
          <w:tabs>
            <w:tab w:val="left" w:pos="340"/>
          </w:tabs>
          <w:spacing w:after="120" w:line="240" w:lineRule="auto"/>
          <w:jc w:val="right"/>
          <w:rPr>
            <w:rFonts w:eastAsia="Calibri"/>
            <w:b/>
            <w:caps/>
            <w:noProof/>
            <w:color w:val="000000"/>
            <w:spacing w:val="-3"/>
          </w:rPr>
        </w:pPr>
        <w:r w:rsidRPr="00B92DD7">
          <w:rPr>
            <w:rFonts w:ascii="Calibri" w:eastAsia="Calibri" w:hAnsi="Calibri" w:cs="Arial"/>
            <w:b/>
            <w:caps/>
            <w:color w:val="000000"/>
            <w:spacing w:val="-3"/>
            <w:sz w:val="15"/>
            <w:shd w:val="clear" w:color="auto" w:fill="E6E6E6"/>
            <w:lang w:val="en-US"/>
          </w:rPr>
          <w:fldChar w:fldCharType="begin"/>
        </w:r>
        <w:r w:rsidRPr="00B92DD7">
          <w:rPr>
            <w:rFonts w:ascii="Calibri" w:eastAsia="Calibri" w:hAnsi="Calibri" w:cs="Arial"/>
            <w:b/>
            <w:caps/>
            <w:color w:val="000000"/>
            <w:spacing w:val="-3"/>
            <w:sz w:val="15"/>
            <w:lang w:val="en-US"/>
          </w:rPr>
          <w:instrText xml:space="preserve"> PAGE   \* MERGEFORMAT </w:instrText>
        </w:r>
        <w:r w:rsidRPr="00B92DD7">
          <w:rPr>
            <w:rFonts w:ascii="Calibri" w:eastAsia="Calibri" w:hAnsi="Calibri" w:cs="Arial"/>
            <w:b/>
            <w:caps/>
            <w:color w:val="000000"/>
            <w:spacing w:val="-3"/>
            <w:sz w:val="15"/>
            <w:shd w:val="clear" w:color="auto" w:fill="E6E6E6"/>
            <w:lang w:val="en-US"/>
          </w:rPr>
          <w:fldChar w:fldCharType="separate"/>
        </w:r>
        <w:r w:rsidR="00BF179D">
          <w:rPr>
            <w:rFonts w:ascii="Calibri" w:eastAsia="Calibri" w:hAnsi="Calibri" w:cs="Arial"/>
            <w:b/>
            <w:caps/>
            <w:noProof/>
            <w:color w:val="000000"/>
            <w:spacing w:val="-3"/>
            <w:sz w:val="15"/>
            <w:lang w:val="en-US"/>
          </w:rPr>
          <w:t>ii</w:t>
        </w:r>
        <w:r w:rsidRPr="00B92DD7">
          <w:rPr>
            <w:rFonts w:ascii="Calibri" w:eastAsia="Calibri" w:hAnsi="Calibri" w:cs="Arial"/>
            <w:b/>
            <w:caps/>
            <w:color w:val="000000"/>
            <w:spacing w:val="-3"/>
            <w:sz w:val="15"/>
            <w:shd w:val="clear" w:color="auto" w:fill="E6E6E6"/>
            <w:lang w:val="en-US"/>
          </w:rPr>
          <w:fldChar w:fldCharType="end"/>
        </w:r>
        <w:r w:rsidRPr="00B92DD7">
          <w:rPr>
            <w:rFonts w:ascii="Calibri" w:eastAsia="Calibri" w:hAnsi="Calibri" w:cs="Arial"/>
            <w:b/>
            <w:caps/>
            <w:noProof/>
            <w:color w:val="000000"/>
            <w:spacing w:val="-3"/>
            <w:sz w:val="15"/>
            <w:lang w:val="en-US"/>
          </w:rPr>
          <w:t xml:space="preserve"> </w:t>
        </w:r>
        <w:r w:rsidRPr="00B92DD7">
          <w:rPr>
            <w:rFonts w:ascii="Calibri" w:eastAsia="Calibri" w:hAnsi="Calibri" w:cs="Arial"/>
            <w:b/>
            <w:caps/>
            <w:noProof/>
            <w:color w:val="000000"/>
            <w:spacing w:val="-3"/>
            <w:sz w:val="15"/>
            <w:lang w:val="en-US"/>
          </w:rPr>
          <w:tab/>
          <w:t>Deakin university</w:t>
        </w:r>
      </w:p>
    </w:sdtContent>
  </w:sdt>
  <w:p w14:paraId="2CF36C0A" w14:textId="77777777" w:rsidR="00063AC8" w:rsidRDefault="00063AC8" w:rsidP="009B2FA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5123167"/>
      <w:docPartObj>
        <w:docPartGallery w:val="Page Numbers (Bottom of Page)"/>
        <w:docPartUnique/>
      </w:docPartObj>
    </w:sdtPr>
    <w:sdtEndPr>
      <w:rPr>
        <w:noProof/>
      </w:rPr>
    </w:sdtEndPr>
    <w:sdtContent>
      <w:p w14:paraId="4B8951D2" w14:textId="5AC4F48D" w:rsidR="00063AC8" w:rsidRDefault="00063AC8" w:rsidP="00176527">
        <w:pPr>
          <w:pStyle w:val="Footer"/>
          <w:jc w:val="right"/>
        </w:pPr>
        <w:r>
          <w:fldChar w:fldCharType="begin"/>
        </w:r>
        <w:r>
          <w:instrText xml:space="preserve"> PAGE   \* MERGEFORMAT </w:instrText>
        </w:r>
        <w:r>
          <w:fldChar w:fldCharType="separate"/>
        </w:r>
        <w:r w:rsidR="00BF179D">
          <w:rPr>
            <w:noProof/>
          </w:rPr>
          <w:t>24</w:t>
        </w:r>
        <w:r>
          <w:rPr>
            <w:noProof/>
          </w:rPr>
          <w:fldChar w:fldCharType="end"/>
        </w:r>
        <w:r>
          <w:rPr>
            <w:rFonts w:ascii="Calibri" w:eastAsia="Calibri" w:hAnsi="Calibri" w:cs="Arial"/>
            <w:b/>
            <w:caps/>
            <w:noProof/>
            <w:color w:val="000000"/>
            <w:spacing w:val="-3"/>
            <w:sz w:val="15"/>
            <w:lang w:val="en-US"/>
          </w:rPr>
          <w:t xml:space="preserve">      </w:t>
        </w:r>
        <w:r w:rsidRPr="00B92DD7">
          <w:rPr>
            <w:rFonts w:ascii="Calibri" w:eastAsia="Calibri" w:hAnsi="Calibri" w:cs="Arial"/>
            <w:b/>
            <w:caps/>
            <w:noProof/>
            <w:color w:val="000000"/>
            <w:spacing w:val="-3"/>
            <w:sz w:val="15"/>
            <w:lang w:val="en-US"/>
          </w:rPr>
          <w:t>Deakin university</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512982"/>
      <w:docPartObj>
        <w:docPartGallery w:val="Page Numbers (Bottom of Page)"/>
        <w:docPartUnique/>
      </w:docPartObj>
    </w:sdtPr>
    <w:sdtEndPr>
      <w:rPr>
        <w:noProof/>
      </w:rPr>
    </w:sdtEndPr>
    <w:sdtContent>
      <w:p w14:paraId="2C262FF9" w14:textId="0F1DB21E" w:rsidR="00063AC8" w:rsidRDefault="00063AC8">
        <w:pPr>
          <w:pStyle w:val="Footer"/>
          <w:jc w:val="center"/>
        </w:pPr>
        <w:r w:rsidRPr="00FA41CC">
          <w:fldChar w:fldCharType="begin"/>
        </w:r>
        <w:r w:rsidRPr="00FA41CC">
          <w:instrText xml:space="preserve"> PAGE   \* MERGEFORMAT </w:instrText>
        </w:r>
        <w:r w:rsidRPr="00FA41CC">
          <w:fldChar w:fldCharType="separate"/>
        </w:r>
        <w:r w:rsidR="00BF179D">
          <w:rPr>
            <w:noProof/>
          </w:rPr>
          <w:t>276</w:t>
        </w:r>
        <w:r w:rsidRPr="00FA41CC">
          <w:fldChar w:fldCharType="end"/>
        </w:r>
      </w:p>
    </w:sdtContent>
  </w:sdt>
  <w:p w14:paraId="500B32CE" w14:textId="77777777" w:rsidR="00063AC8" w:rsidRDefault="00063A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2ED05" w14:textId="77777777" w:rsidR="007320D6" w:rsidRDefault="007320D6" w:rsidP="00F00E3D">
      <w:pPr>
        <w:spacing w:after="0" w:line="240" w:lineRule="auto"/>
      </w:pPr>
      <w:r>
        <w:separator/>
      </w:r>
    </w:p>
  </w:footnote>
  <w:footnote w:type="continuationSeparator" w:id="0">
    <w:p w14:paraId="2C46F065" w14:textId="77777777" w:rsidR="007320D6" w:rsidRDefault="007320D6" w:rsidP="00F00E3D">
      <w:pPr>
        <w:spacing w:after="0" w:line="240" w:lineRule="auto"/>
      </w:pPr>
      <w:r>
        <w:continuationSeparator/>
      </w:r>
    </w:p>
  </w:footnote>
  <w:footnote w:type="continuationNotice" w:id="1">
    <w:p w14:paraId="4AC1FB2E" w14:textId="77777777" w:rsidR="007320D6" w:rsidRDefault="007320D6">
      <w:pPr>
        <w:spacing w:after="0" w:line="240" w:lineRule="auto"/>
      </w:pPr>
    </w:p>
  </w:footnote>
  <w:footnote w:id="2">
    <w:p w14:paraId="09CA5808" w14:textId="550246C6" w:rsidR="00063AC8" w:rsidRPr="00546498" w:rsidRDefault="00063AC8" w:rsidP="0079003A">
      <w:pPr>
        <w:spacing w:after="0" w:line="240" w:lineRule="auto"/>
        <w:rPr>
          <w:rFonts w:asciiTheme="majorHAnsi" w:eastAsia="Times New Roman" w:hAnsiTheme="majorHAnsi" w:cstheme="majorHAnsi"/>
          <w:sz w:val="20"/>
          <w:szCs w:val="20"/>
          <w:lang w:eastAsia="en-GB"/>
        </w:rPr>
      </w:pPr>
      <w:r w:rsidRPr="00546498">
        <w:rPr>
          <w:rStyle w:val="FootnoteReference"/>
          <w:rFonts w:asciiTheme="majorHAnsi" w:hAnsiTheme="majorHAnsi" w:cstheme="majorHAnsi"/>
          <w:sz w:val="20"/>
          <w:szCs w:val="20"/>
        </w:rPr>
        <w:footnoteRef/>
      </w:r>
      <w:r w:rsidRPr="00546498">
        <w:rPr>
          <w:rFonts w:asciiTheme="majorHAnsi" w:hAnsiTheme="majorHAnsi" w:cstheme="majorHAnsi"/>
          <w:sz w:val="20"/>
          <w:szCs w:val="20"/>
        </w:rPr>
        <w:t xml:space="preserve"> </w:t>
      </w:r>
      <w:r>
        <w:rPr>
          <w:rFonts w:asciiTheme="majorHAnsi" w:eastAsia="Times New Roman" w:hAnsiTheme="majorHAnsi" w:cstheme="majorHAnsi"/>
          <w:sz w:val="20"/>
          <w:szCs w:val="20"/>
          <w:lang w:eastAsia="en-GB"/>
        </w:rPr>
        <w:t xml:space="preserve">The </w:t>
      </w:r>
      <w:r w:rsidRPr="00546498">
        <w:rPr>
          <w:rFonts w:asciiTheme="majorHAnsi" w:eastAsia="Times New Roman" w:hAnsiTheme="majorHAnsi" w:cstheme="majorHAnsi"/>
          <w:sz w:val="20"/>
          <w:szCs w:val="20"/>
          <w:lang w:eastAsia="en-GB"/>
        </w:rPr>
        <w:t xml:space="preserve">interventions are categorised into </w:t>
      </w:r>
      <w:hyperlink w:anchor="OLE_LINKTypesofIntervention" w:history="1">
        <w:r w:rsidRPr="00546498">
          <w:rPr>
            <w:rStyle w:val="Hyperlink"/>
            <w:rFonts w:asciiTheme="majorHAnsi" w:eastAsia="Times New Roman" w:hAnsiTheme="majorHAnsi" w:cstheme="majorHAnsi"/>
            <w:sz w:val="20"/>
            <w:szCs w:val="20"/>
            <w:lang w:eastAsia="en-GB"/>
          </w:rPr>
          <w:t>14 types</w:t>
        </w:r>
      </w:hyperlink>
      <w:r w:rsidRPr="00546498">
        <w:rPr>
          <w:rFonts w:asciiTheme="majorHAnsi" w:eastAsia="Times New Roman" w:hAnsiTheme="majorHAnsi" w:cstheme="majorHAnsi"/>
          <w:sz w:val="20"/>
          <w:szCs w:val="20"/>
          <w:lang w:eastAsia="en-GB"/>
        </w:rPr>
        <w:t xml:space="preserve">, </w:t>
      </w:r>
      <w:r>
        <w:rPr>
          <w:rFonts w:asciiTheme="majorHAnsi" w:eastAsia="Times New Roman" w:hAnsiTheme="majorHAnsi" w:cstheme="majorHAnsi"/>
          <w:sz w:val="20"/>
          <w:szCs w:val="20"/>
          <w:lang w:eastAsia="en-GB"/>
        </w:rPr>
        <w:t>according to how the researchers framed their study. However, t</w:t>
      </w:r>
      <w:r w:rsidRPr="00546498">
        <w:rPr>
          <w:rFonts w:asciiTheme="majorHAnsi" w:eastAsia="Times New Roman" w:hAnsiTheme="majorHAnsi" w:cstheme="majorHAnsi"/>
          <w:sz w:val="20"/>
          <w:szCs w:val="20"/>
          <w:lang w:eastAsia="en-GB"/>
        </w:rPr>
        <w:t xml:space="preserve">hese </w:t>
      </w:r>
      <w:r>
        <w:rPr>
          <w:rFonts w:asciiTheme="majorHAnsi" w:eastAsia="Times New Roman" w:hAnsiTheme="majorHAnsi" w:cstheme="majorHAnsi"/>
          <w:sz w:val="20"/>
          <w:szCs w:val="20"/>
          <w:lang w:eastAsia="en-GB"/>
        </w:rPr>
        <w:t xml:space="preserve">14 </w:t>
      </w:r>
      <w:r w:rsidRPr="00546498">
        <w:rPr>
          <w:rFonts w:asciiTheme="majorHAnsi" w:eastAsia="Times New Roman" w:hAnsiTheme="majorHAnsi" w:cstheme="majorHAnsi"/>
          <w:sz w:val="20"/>
          <w:szCs w:val="20"/>
          <w:lang w:eastAsia="en-GB"/>
        </w:rPr>
        <w:t xml:space="preserve">types are not mutually exclusive. For example, while several studies specifically discuss “Neighbourhood Renewal”, many initiatives in the other intervention categories can also be </w:t>
      </w:r>
      <w:r>
        <w:rPr>
          <w:rFonts w:asciiTheme="majorHAnsi" w:eastAsia="Times New Roman" w:hAnsiTheme="majorHAnsi" w:cstheme="majorHAnsi"/>
          <w:sz w:val="20"/>
          <w:szCs w:val="20"/>
          <w:lang w:eastAsia="en-GB"/>
        </w:rPr>
        <w:t>seen</w:t>
      </w:r>
      <w:r w:rsidRPr="00546498">
        <w:rPr>
          <w:rFonts w:asciiTheme="majorHAnsi" w:eastAsia="Times New Roman" w:hAnsiTheme="majorHAnsi" w:cstheme="majorHAnsi"/>
          <w:sz w:val="20"/>
          <w:szCs w:val="20"/>
          <w:lang w:eastAsia="en-GB"/>
        </w:rPr>
        <w:t xml:space="preserve"> as forms of Neighbourhood Renewal.</w:t>
      </w:r>
    </w:p>
  </w:footnote>
  <w:footnote w:id="3">
    <w:p w14:paraId="248615D3" w14:textId="1C71FE5D" w:rsidR="00063AC8" w:rsidRPr="00D00E61" w:rsidRDefault="00063AC8" w:rsidP="00847B72">
      <w:pPr>
        <w:pStyle w:val="FootnoteText"/>
        <w:rPr>
          <w:rFonts w:asciiTheme="majorHAnsi" w:hAnsiTheme="majorHAnsi" w:cstheme="majorHAnsi"/>
        </w:rPr>
      </w:pPr>
      <w:r w:rsidRPr="00E45222">
        <w:rPr>
          <w:rStyle w:val="FootnoteReference"/>
          <w:rFonts w:asciiTheme="majorHAnsi" w:hAnsiTheme="majorHAnsi" w:cstheme="majorHAnsi"/>
        </w:rPr>
        <w:footnoteRef/>
      </w:r>
      <w:r w:rsidRPr="00E45222">
        <w:rPr>
          <w:rFonts w:asciiTheme="majorHAnsi" w:hAnsiTheme="majorHAnsi" w:cstheme="majorHAnsi"/>
        </w:rPr>
        <w:t xml:space="preserve"> </w:t>
      </w:r>
      <w:bookmarkStart w:id="16" w:name="_Hlk71024395"/>
      <w:r w:rsidRPr="00E45222">
        <w:rPr>
          <w:rFonts w:asciiTheme="majorHAnsi" w:hAnsiTheme="majorHAnsi" w:cstheme="majorHAnsi"/>
        </w:rPr>
        <w:t>JobSeeker</w:t>
      </w:r>
      <w:r>
        <w:rPr>
          <w:rFonts w:asciiTheme="majorHAnsi" w:hAnsiTheme="majorHAnsi" w:cstheme="majorHAnsi"/>
        </w:rPr>
        <w:t xml:space="preserve"> </w:t>
      </w:r>
      <w:r w:rsidRPr="00E45222">
        <w:rPr>
          <w:rFonts w:asciiTheme="majorHAnsi" w:hAnsiTheme="majorHAnsi" w:cstheme="majorHAnsi"/>
        </w:rPr>
        <w:t>income support payment</w:t>
      </w:r>
      <w:r>
        <w:rPr>
          <w:rFonts w:asciiTheme="majorHAnsi" w:hAnsiTheme="majorHAnsi" w:cstheme="majorHAnsi"/>
        </w:rPr>
        <w:t>s</w:t>
      </w:r>
      <w:r w:rsidRPr="00E45222">
        <w:rPr>
          <w:rFonts w:asciiTheme="majorHAnsi" w:hAnsiTheme="majorHAnsi" w:cstheme="majorHAnsi"/>
        </w:rPr>
        <w:t xml:space="preserve"> </w:t>
      </w:r>
      <w:r>
        <w:rPr>
          <w:rFonts w:asciiTheme="majorHAnsi" w:hAnsiTheme="majorHAnsi" w:cstheme="majorHAnsi"/>
        </w:rPr>
        <w:t xml:space="preserve">(previously </w:t>
      </w:r>
      <w:r w:rsidRPr="00E45222">
        <w:rPr>
          <w:rFonts w:asciiTheme="majorHAnsi" w:hAnsiTheme="majorHAnsi" w:cstheme="majorHAnsi"/>
        </w:rPr>
        <w:t>Newstart Allowance</w:t>
      </w:r>
      <w:r>
        <w:rPr>
          <w:rFonts w:asciiTheme="majorHAnsi" w:hAnsiTheme="majorHAnsi" w:cstheme="majorHAnsi"/>
        </w:rPr>
        <w:t>) were boosted with a Coronavirus S</w:t>
      </w:r>
      <w:r w:rsidRPr="00E45222">
        <w:rPr>
          <w:rFonts w:asciiTheme="majorHAnsi" w:hAnsiTheme="majorHAnsi" w:cstheme="majorHAnsi"/>
        </w:rPr>
        <w:t>upplement.</w:t>
      </w:r>
      <w:r w:rsidRPr="00E45222">
        <w:t xml:space="preserve"> </w:t>
      </w:r>
      <w:r>
        <w:rPr>
          <w:rFonts w:asciiTheme="majorHAnsi" w:hAnsiTheme="majorHAnsi" w:cstheme="majorHAnsi"/>
        </w:rPr>
        <w:t>The J</w:t>
      </w:r>
      <w:r w:rsidRPr="00E45222">
        <w:rPr>
          <w:rFonts w:asciiTheme="majorHAnsi" w:hAnsiTheme="majorHAnsi" w:cstheme="majorHAnsi"/>
        </w:rPr>
        <w:t>obKeeper wage subsidy enabl</w:t>
      </w:r>
      <w:r>
        <w:rPr>
          <w:rFonts w:asciiTheme="majorHAnsi" w:hAnsiTheme="majorHAnsi" w:cstheme="majorHAnsi"/>
        </w:rPr>
        <w:t>ed</w:t>
      </w:r>
      <w:r w:rsidRPr="00E45222">
        <w:rPr>
          <w:rFonts w:asciiTheme="majorHAnsi" w:hAnsiTheme="majorHAnsi" w:cstheme="majorHAnsi"/>
        </w:rPr>
        <w:t xml:space="preserve"> employers to retain </w:t>
      </w:r>
      <w:r w:rsidRPr="00AF224C">
        <w:rPr>
          <w:rFonts w:asciiTheme="majorHAnsi" w:hAnsiTheme="majorHAnsi" w:cstheme="majorHAnsi"/>
        </w:rPr>
        <w:t>and pay staff. Both payments were reduced over time and ceased in late March 2021.</w:t>
      </w:r>
      <w:bookmarkEnd w:id="16"/>
      <w:r w:rsidRPr="00AF224C">
        <w:rPr>
          <w:rFonts w:asciiTheme="majorHAnsi" w:hAnsiTheme="majorHAnsi" w:cstheme="majorHAnsi"/>
        </w:rPr>
        <w:t xml:space="preserve"> See </w:t>
      </w:r>
      <w:bookmarkStart w:id="17" w:name="_Hlk71031347"/>
      <w:r w:rsidRPr="00AF224C">
        <w:rPr>
          <w:rFonts w:asciiTheme="majorHAnsi" w:hAnsiTheme="majorHAnsi" w:cstheme="majorHAnsi"/>
        </w:rPr>
        <w:t xml:space="preserve">Section 2.6: COVID-19 Policy Context (p.22) </w:t>
      </w:r>
      <w:bookmarkEnd w:id="17"/>
      <w:r w:rsidRPr="00AF224C">
        <w:rPr>
          <w:rFonts w:asciiTheme="majorHAnsi" w:hAnsiTheme="majorHAnsi" w:cstheme="majorHAnsi"/>
        </w:rPr>
        <w:t>for details of both schemes.</w:t>
      </w:r>
    </w:p>
  </w:footnote>
  <w:footnote w:id="4">
    <w:p w14:paraId="2419129D" w14:textId="77777777" w:rsidR="00063AC8" w:rsidRPr="00000850" w:rsidRDefault="00063AC8" w:rsidP="0091665F">
      <w:pPr>
        <w:pStyle w:val="ListParagraph"/>
        <w:spacing w:after="0" w:line="240" w:lineRule="auto"/>
        <w:ind w:left="0"/>
        <w:rPr>
          <w:rFonts w:ascii="Calibri Light" w:hAnsi="Calibri Light" w:cs="Calibri Light"/>
          <w:sz w:val="20"/>
          <w:szCs w:val="20"/>
        </w:rPr>
      </w:pPr>
      <w:r w:rsidRPr="00000850">
        <w:rPr>
          <w:rStyle w:val="FootnoteReference"/>
          <w:rFonts w:ascii="Calibri Light" w:hAnsi="Calibri Light" w:cs="Calibri Light"/>
          <w:sz w:val="20"/>
          <w:szCs w:val="20"/>
        </w:rPr>
        <w:footnoteRef/>
      </w:r>
      <w:r w:rsidRPr="00000850">
        <w:rPr>
          <w:rFonts w:ascii="Calibri Light" w:hAnsi="Calibri Light" w:cs="Calibri Light"/>
          <w:sz w:val="20"/>
          <w:szCs w:val="20"/>
        </w:rPr>
        <w:t xml:space="preserve"> The following Boolean search string was generated from these search terms:</w:t>
      </w:r>
    </w:p>
    <w:p w14:paraId="213A779E" w14:textId="12C19D01" w:rsidR="00063AC8" w:rsidRPr="0091665F" w:rsidRDefault="00063AC8" w:rsidP="0091665F">
      <w:pPr>
        <w:pStyle w:val="ListParagraph"/>
        <w:spacing w:after="0" w:line="240" w:lineRule="auto"/>
        <w:ind w:left="0"/>
        <w:rPr>
          <w:rFonts w:ascii="Calibri Light" w:hAnsi="Calibri Light" w:cs="Calibri Light"/>
          <w:sz w:val="20"/>
          <w:szCs w:val="20"/>
        </w:rPr>
      </w:pPr>
      <w:r w:rsidRPr="00000850">
        <w:rPr>
          <w:rFonts w:ascii="Calibri Light" w:hAnsi="Calibri Light" w:cs="Calibri Light"/>
          <w:sz w:val="20"/>
          <w:szCs w:val="20"/>
        </w:rPr>
        <w:t>(TITLE-ABS-KEY (( “social inequity” OR “social inequality” OR “social exclusion” OR “social disadvantage” OR “economic disadvantage” OR “low income” OR “low-income” OR “</w:t>
      </w:r>
      <w:r w:rsidRPr="00000850">
        <w:rPr>
          <w:rFonts w:ascii="Calibri Light" w:hAnsi="Calibri Light" w:cs="Calibri Light"/>
          <w:sz w:val="20"/>
          <w:szCs w:val="20"/>
        </w:rPr>
        <w:t>seifa” OR “poverty” OR “marginalised” OR “inequality”) AND (“civic participation” OR “community-building” OR “community building” OR “community development” OR “community integration” OR “community engagement” OR “social development” OR “economic development” OR “neighbourhood Renewal”) AND (“policy” OR “policies” OR “program” OR “programme” OR “strategy” OR “initiative” OR “intervention” OR “strategies” OR “stimulus” OR “social inclusion” OR “social cohesion” OR “revitalisation” OR “regeneration” OR “Best practice” OR “best-practice”) AND (“local economies” OR “state” OR “national” OR “international” OR “place-based” OR “neighbourhood” OR “neighborhood” OR “</w:t>
      </w:r>
      <w:r>
        <w:rPr>
          <w:rFonts w:ascii="Calibri Light" w:hAnsi="Calibri Light" w:cs="Calibri Light"/>
          <w:sz w:val="20"/>
          <w:szCs w:val="20"/>
        </w:rPr>
        <w:t>COVID</w:t>
      </w:r>
      <w:r w:rsidRPr="00000850">
        <w:rPr>
          <w:rFonts w:ascii="Calibri Light" w:hAnsi="Calibri Light" w:cs="Calibri Light"/>
          <w:sz w:val="20"/>
          <w:szCs w:val="20"/>
        </w:rPr>
        <w:t>” OR “</w:t>
      </w:r>
      <w:r>
        <w:rPr>
          <w:rFonts w:ascii="Calibri Light" w:hAnsi="Calibri Light" w:cs="Calibri Light"/>
          <w:sz w:val="20"/>
          <w:szCs w:val="20"/>
        </w:rPr>
        <w:t>COVID</w:t>
      </w:r>
      <w:r w:rsidRPr="00000850">
        <w:rPr>
          <w:rFonts w:ascii="Calibri Light" w:hAnsi="Calibri Light" w:cs="Calibri Light"/>
          <w:sz w:val="20"/>
          <w:szCs w:val="20"/>
        </w:rPr>
        <w:t>-19” OR “pandemic”) AND (“education” OR “employment” OR “housing” OR “liveability” OR “health” OR “wellbeing” OR “well-being”) NOT (“India” OR “China” OR “Latin America” OR “Philippines” OR “Indonesia”)) AND PUBYEAR &gt; 2010)</w:t>
      </w:r>
    </w:p>
  </w:footnote>
  <w:footnote w:id="5">
    <w:p w14:paraId="1DD92B69" w14:textId="64579B44" w:rsidR="00203685" w:rsidRDefault="00203685">
      <w:pPr>
        <w:pStyle w:val="FootnoteText"/>
      </w:pPr>
      <w:r>
        <w:rPr>
          <w:rStyle w:val="FootnoteReference"/>
        </w:rPr>
        <w:footnoteRef/>
      </w:r>
      <w:r>
        <w:t xml:space="preserve"> </w:t>
      </w:r>
      <w:r w:rsidRPr="00203685">
        <w:rPr>
          <w:rFonts w:asciiTheme="majorHAnsi" w:hAnsiTheme="majorHAnsi" w:cstheme="majorBidi"/>
        </w:rPr>
        <w:t>(</w:t>
      </w:r>
      <w:hyperlink r:id="rId1" w:anchor="how-affordable-is-renting">
        <w:r w:rsidRPr="00203685">
          <w:rPr>
            <w:rStyle w:val="Hyperlink"/>
            <w:rFonts w:asciiTheme="majorHAnsi" w:hAnsiTheme="majorHAnsi" w:cstheme="majorBidi"/>
          </w:rPr>
          <w:t>https://housing.id.com.au/geelong/affodablility-and-availability#how-affordable-is-renting</w:t>
        </w:r>
      </w:hyperlink>
      <w:r w:rsidRPr="00203685">
        <w:rPr>
          <w:rFonts w:asciiTheme="majorHAnsi" w:hAnsiTheme="majorHAnsi" w:cstheme="majorBidi"/>
        </w:rPr>
        <w:t>, accessed 3.2.21).</w:t>
      </w:r>
    </w:p>
  </w:footnote>
  <w:footnote w:id="6">
    <w:p w14:paraId="4B96BAF1" w14:textId="77777777" w:rsidR="00063AC8" w:rsidRPr="00CE2B42" w:rsidRDefault="00063AC8" w:rsidP="009B2FA7">
      <w:pPr>
        <w:pStyle w:val="FootnoteText"/>
        <w:rPr>
          <w:rFonts w:asciiTheme="majorHAnsi" w:eastAsia="Malgun Gothic" w:hAnsiTheme="majorHAnsi" w:cstheme="majorHAnsi"/>
          <w:lang w:eastAsia="ko-KR"/>
        </w:rPr>
      </w:pPr>
      <w:r w:rsidRPr="00CE2B42">
        <w:rPr>
          <w:rStyle w:val="FootnoteReference"/>
          <w:rFonts w:asciiTheme="majorHAnsi" w:hAnsiTheme="majorHAnsi" w:cstheme="majorHAnsi"/>
        </w:rPr>
        <w:footnoteRef/>
      </w:r>
      <w:r w:rsidRPr="00CE2B42">
        <w:rPr>
          <w:rFonts w:asciiTheme="majorHAnsi" w:hAnsiTheme="majorHAnsi" w:cstheme="majorHAnsi"/>
        </w:rPr>
        <w:t xml:space="preserve"> The term “unit” could mean townhouse or condominium in mid- or high-rise building. In our sample, “land size” means lot size in case of townhouses and floor area for condominium.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05AE"/>
    <w:multiLevelType w:val="hybridMultilevel"/>
    <w:tmpl w:val="2804988A"/>
    <w:lvl w:ilvl="0" w:tplc="8A4C0D78">
      <w:start w:val="1"/>
      <w:numFmt w:val="decimal"/>
      <w:lvlText w:val="%1."/>
      <w:lvlJc w:val="left"/>
      <w:pPr>
        <w:ind w:left="720" w:hanging="360"/>
      </w:pPr>
    </w:lvl>
    <w:lvl w:ilvl="1" w:tplc="FC90B028">
      <w:start w:val="1"/>
      <w:numFmt w:val="lowerLetter"/>
      <w:lvlText w:val="%2."/>
      <w:lvlJc w:val="left"/>
      <w:pPr>
        <w:ind w:left="1440" w:hanging="360"/>
      </w:pPr>
    </w:lvl>
    <w:lvl w:ilvl="2" w:tplc="8D8E02FE">
      <w:start w:val="1"/>
      <w:numFmt w:val="lowerRoman"/>
      <w:lvlText w:val="%3."/>
      <w:lvlJc w:val="right"/>
      <w:pPr>
        <w:ind w:left="2160" w:hanging="180"/>
      </w:pPr>
    </w:lvl>
    <w:lvl w:ilvl="3" w:tplc="28FA4A44">
      <w:start w:val="1"/>
      <w:numFmt w:val="decimal"/>
      <w:lvlText w:val="%4."/>
      <w:lvlJc w:val="left"/>
      <w:pPr>
        <w:ind w:left="2880" w:hanging="360"/>
      </w:pPr>
    </w:lvl>
    <w:lvl w:ilvl="4" w:tplc="79845450">
      <w:start w:val="1"/>
      <w:numFmt w:val="lowerLetter"/>
      <w:lvlText w:val="%5."/>
      <w:lvlJc w:val="left"/>
      <w:pPr>
        <w:ind w:left="3600" w:hanging="360"/>
      </w:pPr>
    </w:lvl>
    <w:lvl w:ilvl="5" w:tplc="D65C0514">
      <w:start w:val="1"/>
      <w:numFmt w:val="lowerRoman"/>
      <w:lvlText w:val="%6."/>
      <w:lvlJc w:val="right"/>
      <w:pPr>
        <w:ind w:left="4320" w:hanging="180"/>
      </w:pPr>
    </w:lvl>
    <w:lvl w:ilvl="6" w:tplc="2B1AFF40">
      <w:start w:val="1"/>
      <w:numFmt w:val="decimal"/>
      <w:lvlText w:val="%7."/>
      <w:lvlJc w:val="left"/>
      <w:pPr>
        <w:ind w:left="5040" w:hanging="360"/>
      </w:pPr>
    </w:lvl>
    <w:lvl w:ilvl="7" w:tplc="DE9CAB96">
      <w:start w:val="1"/>
      <w:numFmt w:val="lowerLetter"/>
      <w:lvlText w:val="%8."/>
      <w:lvlJc w:val="left"/>
      <w:pPr>
        <w:ind w:left="5760" w:hanging="360"/>
      </w:pPr>
    </w:lvl>
    <w:lvl w:ilvl="8" w:tplc="4470FCF8">
      <w:start w:val="1"/>
      <w:numFmt w:val="lowerRoman"/>
      <w:lvlText w:val="%9."/>
      <w:lvlJc w:val="right"/>
      <w:pPr>
        <w:ind w:left="6480" w:hanging="180"/>
      </w:pPr>
    </w:lvl>
  </w:abstractNum>
  <w:abstractNum w:abstractNumId="1" w15:restartNumberingAfterBreak="0">
    <w:nsid w:val="02E114FA"/>
    <w:multiLevelType w:val="hybridMultilevel"/>
    <w:tmpl w:val="EE86413A"/>
    <w:lvl w:ilvl="0" w:tplc="0C090001">
      <w:start w:val="1"/>
      <w:numFmt w:val="bullet"/>
      <w:lvlText w:val=""/>
      <w:lvlJc w:val="left"/>
      <w:pPr>
        <w:ind w:left="606" w:hanging="360"/>
      </w:pPr>
      <w:rPr>
        <w:rFonts w:ascii="Symbol" w:hAnsi="Symbol" w:hint="default"/>
      </w:rPr>
    </w:lvl>
    <w:lvl w:ilvl="1" w:tplc="0C090003">
      <w:start w:val="1"/>
      <w:numFmt w:val="bullet"/>
      <w:lvlText w:val="o"/>
      <w:lvlJc w:val="left"/>
      <w:pPr>
        <w:ind w:left="1326" w:hanging="360"/>
      </w:pPr>
      <w:rPr>
        <w:rFonts w:ascii="Courier New" w:hAnsi="Courier New" w:cs="Courier New" w:hint="default"/>
      </w:rPr>
    </w:lvl>
    <w:lvl w:ilvl="2" w:tplc="0C090005" w:tentative="1">
      <w:start w:val="1"/>
      <w:numFmt w:val="bullet"/>
      <w:lvlText w:val=""/>
      <w:lvlJc w:val="left"/>
      <w:pPr>
        <w:ind w:left="2046" w:hanging="360"/>
      </w:pPr>
      <w:rPr>
        <w:rFonts w:ascii="Wingdings" w:hAnsi="Wingdings" w:hint="default"/>
      </w:rPr>
    </w:lvl>
    <w:lvl w:ilvl="3" w:tplc="0C090001" w:tentative="1">
      <w:start w:val="1"/>
      <w:numFmt w:val="bullet"/>
      <w:lvlText w:val=""/>
      <w:lvlJc w:val="left"/>
      <w:pPr>
        <w:ind w:left="2766" w:hanging="360"/>
      </w:pPr>
      <w:rPr>
        <w:rFonts w:ascii="Symbol" w:hAnsi="Symbol" w:hint="default"/>
      </w:rPr>
    </w:lvl>
    <w:lvl w:ilvl="4" w:tplc="0C090003" w:tentative="1">
      <w:start w:val="1"/>
      <w:numFmt w:val="bullet"/>
      <w:lvlText w:val="o"/>
      <w:lvlJc w:val="left"/>
      <w:pPr>
        <w:ind w:left="3486" w:hanging="360"/>
      </w:pPr>
      <w:rPr>
        <w:rFonts w:ascii="Courier New" w:hAnsi="Courier New" w:cs="Courier New" w:hint="default"/>
      </w:rPr>
    </w:lvl>
    <w:lvl w:ilvl="5" w:tplc="0C090005" w:tentative="1">
      <w:start w:val="1"/>
      <w:numFmt w:val="bullet"/>
      <w:lvlText w:val=""/>
      <w:lvlJc w:val="left"/>
      <w:pPr>
        <w:ind w:left="4206" w:hanging="360"/>
      </w:pPr>
      <w:rPr>
        <w:rFonts w:ascii="Wingdings" w:hAnsi="Wingdings" w:hint="default"/>
      </w:rPr>
    </w:lvl>
    <w:lvl w:ilvl="6" w:tplc="0C090001" w:tentative="1">
      <w:start w:val="1"/>
      <w:numFmt w:val="bullet"/>
      <w:lvlText w:val=""/>
      <w:lvlJc w:val="left"/>
      <w:pPr>
        <w:ind w:left="4926" w:hanging="360"/>
      </w:pPr>
      <w:rPr>
        <w:rFonts w:ascii="Symbol" w:hAnsi="Symbol" w:hint="default"/>
      </w:rPr>
    </w:lvl>
    <w:lvl w:ilvl="7" w:tplc="0C090003" w:tentative="1">
      <w:start w:val="1"/>
      <w:numFmt w:val="bullet"/>
      <w:lvlText w:val="o"/>
      <w:lvlJc w:val="left"/>
      <w:pPr>
        <w:ind w:left="5646" w:hanging="360"/>
      </w:pPr>
      <w:rPr>
        <w:rFonts w:ascii="Courier New" w:hAnsi="Courier New" w:cs="Courier New" w:hint="default"/>
      </w:rPr>
    </w:lvl>
    <w:lvl w:ilvl="8" w:tplc="0C090005" w:tentative="1">
      <w:start w:val="1"/>
      <w:numFmt w:val="bullet"/>
      <w:lvlText w:val=""/>
      <w:lvlJc w:val="left"/>
      <w:pPr>
        <w:ind w:left="6366" w:hanging="360"/>
      </w:pPr>
      <w:rPr>
        <w:rFonts w:ascii="Wingdings" w:hAnsi="Wingdings" w:hint="default"/>
      </w:rPr>
    </w:lvl>
  </w:abstractNum>
  <w:abstractNum w:abstractNumId="2" w15:restartNumberingAfterBreak="0">
    <w:nsid w:val="089029F3"/>
    <w:multiLevelType w:val="hybridMultilevel"/>
    <w:tmpl w:val="E89E7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E0BBC"/>
    <w:multiLevelType w:val="hybridMultilevel"/>
    <w:tmpl w:val="A53C9DE6"/>
    <w:lvl w:ilvl="0" w:tplc="95A8DF86">
      <w:start w:val="1"/>
      <w:numFmt w:val="bullet"/>
      <w:suff w:val="space"/>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04391"/>
    <w:multiLevelType w:val="hybridMultilevel"/>
    <w:tmpl w:val="86BC7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3403E9"/>
    <w:multiLevelType w:val="hybridMultilevel"/>
    <w:tmpl w:val="FFFFFFFF"/>
    <w:lvl w:ilvl="0" w:tplc="7E309018">
      <w:start w:val="1"/>
      <w:numFmt w:val="bullet"/>
      <w:lvlText w:val="·"/>
      <w:lvlJc w:val="left"/>
      <w:pPr>
        <w:ind w:left="720" w:hanging="360"/>
      </w:pPr>
      <w:rPr>
        <w:rFonts w:ascii="Symbol" w:hAnsi="Symbol" w:hint="default"/>
      </w:rPr>
    </w:lvl>
    <w:lvl w:ilvl="1" w:tplc="7780FAA8">
      <w:start w:val="1"/>
      <w:numFmt w:val="bullet"/>
      <w:lvlText w:val="o"/>
      <w:lvlJc w:val="left"/>
      <w:pPr>
        <w:ind w:left="1440" w:hanging="360"/>
      </w:pPr>
      <w:rPr>
        <w:rFonts w:ascii="Courier New" w:hAnsi="Courier New" w:hint="default"/>
      </w:rPr>
    </w:lvl>
    <w:lvl w:ilvl="2" w:tplc="A1CE009E">
      <w:start w:val="1"/>
      <w:numFmt w:val="bullet"/>
      <w:lvlText w:val=""/>
      <w:lvlJc w:val="left"/>
      <w:pPr>
        <w:ind w:left="2160" w:hanging="360"/>
      </w:pPr>
      <w:rPr>
        <w:rFonts w:ascii="Wingdings" w:hAnsi="Wingdings" w:hint="default"/>
      </w:rPr>
    </w:lvl>
    <w:lvl w:ilvl="3" w:tplc="28CA2086">
      <w:start w:val="1"/>
      <w:numFmt w:val="bullet"/>
      <w:lvlText w:val=""/>
      <w:lvlJc w:val="left"/>
      <w:pPr>
        <w:ind w:left="2880" w:hanging="360"/>
      </w:pPr>
      <w:rPr>
        <w:rFonts w:ascii="Symbol" w:hAnsi="Symbol" w:hint="default"/>
      </w:rPr>
    </w:lvl>
    <w:lvl w:ilvl="4" w:tplc="FC9688D4">
      <w:start w:val="1"/>
      <w:numFmt w:val="bullet"/>
      <w:lvlText w:val="o"/>
      <w:lvlJc w:val="left"/>
      <w:pPr>
        <w:ind w:left="3600" w:hanging="360"/>
      </w:pPr>
      <w:rPr>
        <w:rFonts w:ascii="Courier New" w:hAnsi="Courier New" w:hint="default"/>
      </w:rPr>
    </w:lvl>
    <w:lvl w:ilvl="5" w:tplc="D7042F98">
      <w:start w:val="1"/>
      <w:numFmt w:val="bullet"/>
      <w:lvlText w:val=""/>
      <w:lvlJc w:val="left"/>
      <w:pPr>
        <w:ind w:left="4320" w:hanging="360"/>
      </w:pPr>
      <w:rPr>
        <w:rFonts w:ascii="Wingdings" w:hAnsi="Wingdings" w:hint="default"/>
      </w:rPr>
    </w:lvl>
    <w:lvl w:ilvl="6" w:tplc="43A81724">
      <w:start w:val="1"/>
      <w:numFmt w:val="bullet"/>
      <w:lvlText w:val=""/>
      <w:lvlJc w:val="left"/>
      <w:pPr>
        <w:ind w:left="5040" w:hanging="360"/>
      </w:pPr>
      <w:rPr>
        <w:rFonts w:ascii="Symbol" w:hAnsi="Symbol" w:hint="default"/>
      </w:rPr>
    </w:lvl>
    <w:lvl w:ilvl="7" w:tplc="1CF2EA68">
      <w:start w:val="1"/>
      <w:numFmt w:val="bullet"/>
      <w:lvlText w:val="o"/>
      <w:lvlJc w:val="left"/>
      <w:pPr>
        <w:ind w:left="5760" w:hanging="360"/>
      </w:pPr>
      <w:rPr>
        <w:rFonts w:ascii="Courier New" w:hAnsi="Courier New" w:hint="default"/>
      </w:rPr>
    </w:lvl>
    <w:lvl w:ilvl="8" w:tplc="15A82B46">
      <w:start w:val="1"/>
      <w:numFmt w:val="bullet"/>
      <w:lvlText w:val=""/>
      <w:lvlJc w:val="left"/>
      <w:pPr>
        <w:ind w:left="6480" w:hanging="360"/>
      </w:pPr>
      <w:rPr>
        <w:rFonts w:ascii="Wingdings" w:hAnsi="Wingdings" w:hint="default"/>
      </w:rPr>
    </w:lvl>
  </w:abstractNum>
  <w:abstractNum w:abstractNumId="6" w15:restartNumberingAfterBreak="0">
    <w:nsid w:val="0E9772AA"/>
    <w:multiLevelType w:val="hybridMultilevel"/>
    <w:tmpl w:val="AA60C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5D1D3E"/>
    <w:multiLevelType w:val="hybridMultilevel"/>
    <w:tmpl w:val="0820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3D2807"/>
    <w:multiLevelType w:val="hybridMultilevel"/>
    <w:tmpl w:val="C0CAA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E43F12"/>
    <w:multiLevelType w:val="hybridMultilevel"/>
    <w:tmpl w:val="C25E0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301B23"/>
    <w:multiLevelType w:val="hybridMultilevel"/>
    <w:tmpl w:val="7BF4A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727FAD"/>
    <w:multiLevelType w:val="hybridMultilevel"/>
    <w:tmpl w:val="A5B0C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7B3ECB"/>
    <w:multiLevelType w:val="hybridMultilevel"/>
    <w:tmpl w:val="7BD65A88"/>
    <w:lvl w:ilvl="0" w:tplc="0C090001">
      <w:start w:val="1"/>
      <w:numFmt w:val="bullet"/>
      <w:lvlText w:val=""/>
      <w:lvlJc w:val="left"/>
      <w:pPr>
        <w:ind w:left="720" w:hanging="360"/>
      </w:pPr>
      <w:rPr>
        <w:rFonts w:ascii="Symbol" w:hAnsi="Symbol" w:hint="default"/>
      </w:rPr>
    </w:lvl>
    <w:lvl w:ilvl="1" w:tplc="D93090BE">
      <w:start w:val="1"/>
      <w:numFmt w:val="lowerLetter"/>
      <w:lvlText w:val="%2."/>
      <w:lvlJc w:val="left"/>
      <w:pPr>
        <w:ind w:left="1440" w:hanging="360"/>
      </w:pPr>
    </w:lvl>
    <w:lvl w:ilvl="2" w:tplc="6EF0457A">
      <w:start w:val="1"/>
      <w:numFmt w:val="lowerRoman"/>
      <w:lvlText w:val="%3."/>
      <w:lvlJc w:val="right"/>
      <w:pPr>
        <w:ind w:left="2160" w:hanging="180"/>
      </w:pPr>
    </w:lvl>
    <w:lvl w:ilvl="3" w:tplc="AE023322">
      <w:start w:val="1"/>
      <w:numFmt w:val="decimal"/>
      <w:lvlText w:val="%4."/>
      <w:lvlJc w:val="left"/>
      <w:pPr>
        <w:ind w:left="2880" w:hanging="360"/>
      </w:pPr>
    </w:lvl>
    <w:lvl w:ilvl="4" w:tplc="EF866640">
      <w:start w:val="1"/>
      <w:numFmt w:val="lowerLetter"/>
      <w:lvlText w:val="%5."/>
      <w:lvlJc w:val="left"/>
      <w:pPr>
        <w:ind w:left="3600" w:hanging="360"/>
      </w:pPr>
    </w:lvl>
    <w:lvl w:ilvl="5" w:tplc="1B807D76">
      <w:start w:val="1"/>
      <w:numFmt w:val="lowerRoman"/>
      <w:lvlText w:val="%6."/>
      <w:lvlJc w:val="right"/>
      <w:pPr>
        <w:ind w:left="4320" w:hanging="180"/>
      </w:pPr>
    </w:lvl>
    <w:lvl w:ilvl="6" w:tplc="8BA01246">
      <w:start w:val="1"/>
      <w:numFmt w:val="decimal"/>
      <w:lvlText w:val="%7."/>
      <w:lvlJc w:val="left"/>
      <w:pPr>
        <w:ind w:left="5040" w:hanging="360"/>
      </w:pPr>
    </w:lvl>
    <w:lvl w:ilvl="7" w:tplc="6A00F6EA">
      <w:start w:val="1"/>
      <w:numFmt w:val="lowerLetter"/>
      <w:lvlText w:val="%8."/>
      <w:lvlJc w:val="left"/>
      <w:pPr>
        <w:ind w:left="5760" w:hanging="360"/>
      </w:pPr>
    </w:lvl>
    <w:lvl w:ilvl="8" w:tplc="0B7CEB52">
      <w:start w:val="1"/>
      <w:numFmt w:val="lowerRoman"/>
      <w:lvlText w:val="%9."/>
      <w:lvlJc w:val="right"/>
      <w:pPr>
        <w:ind w:left="6480" w:hanging="180"/>
      </w:pPr>
    </w:lvl>
  </w:abstractNum>
  <w:abstractNum w:abstractNumId="13" w15:restartNumberingAfterBreak="0">
    <w:nsid w:val="134146A1"/>
    <w:multiLevelType w:val="hybridMultilevel"/>
    <w:tmpl w:val="B39E4398"/>
    <w:lvl w:ilvl="0" w:tplc="4BA683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4904FC"/>
    <w:multiLevelType w:val="hybridMultilevel"/>
    <w:tmpl w:val="8D965A5E"/>
    <w:lvl w:ilvl="0" w:tplc="E7B464E2">
      <w:start w:val="1"/>
      <w:numFmt w:val="bullet"/>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680BC9"/>
    <w:multiLevelType w:val="hybridMultilevel"/>
    <w:tmpl w:val="83BE7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CA2B2D"/>
    <w:multiLevelType w:val="hybridMultilevel"/>
    <w:tmpl w:val="1AE2DA72"/>
    <w:lvl w:ilvl="0" w:tplc="C304EAF8">
      <w:start w:val="1"/>
      <w:numFmt w:val="bullet"/>
      <w:lvlText w:val="·"/>
      <w:lvlJc w:val="left"/>
      <w:pPr>
        <w:ind w:left="720" w:hanging="360"/>
      </w:pPr>
      <w:rPr>
        <w:rFonts w:ascii="Symbol" w:hAnsi="Symbol" w:hint="default"/>
      </w:rPr>
    </w:lvl>
    <w:lvl w:ilvl="1" w:tplc="D4D6BE5E">
      <w:start w:val="1"/>
      <w:numFmt w:val="bullet"/>
      <w:lvlText w:val="o"/>
      <w:lvlJc w:val="left"/>
      <w:pPr>
        <w:ind w:left="1440" w:hanging="360"/>
      </w:pPr>
      <w:rPr>
        <w:rFonts w:ascii="Courier New" w:hAnsi="Courier New" w:hint="default"/>
      </w:rPr>
    </w:lvl>
    <w:lvl w:ilvl="2" w:tplc="BE2C3954">
      <w:start w:val="1"/>
      <w:numFmt w:val="bullet"/>
      <w:lvlText w:val=""/>
      <w:lvlJc w:val="left"/>
      <w:pPr>
        <w:ind w:left="2160" w:hanging="360"/>
      </w:pPr>
      <w:rPr>
        <w:rFonts w:ascii="Wingdings" w:hAnsi="Wingdings" w:hint="default"/>
      </w:rPr>
    </w:lvl>
    <w:lvl w:ilvl="3" w:tplc="ACA81678">
      <w:start w:val="1"/>
      <w:numFmt w:val="bullet"/>
      <w:lvlText w:val=""/>
      <w:lvlJc w:val="left"/>
      <w:pPr>
        <w:ind w:left="2880" w:hanging="360"/>
      </w:pPr>
      <w:rPr>
        <w:rFonts w:ascii="Symbol" w:hAnsi="Symbol" w:hint="default"/>
      </w:rPr>
    </w:lvl>
    <w:lvl w:ilvl="4" w:tplc="6810B9D4">
      <w:start w:val="1"/>
      <w:numFmt w:val="bullet"/>
      <w:lvlText w:val="o"/>
      <w:lvlJc w:val="left"/>
      <w:pPr>
        <w:ind w:left="3600" w:hanging="360"/>
      </w:pPr>
      <w:rPr>
        <w:rFonts w:ascii="Courier New" w:hAnsi="Courier New" w:hint="default"/>
      </w:rPr>
    </w:lvl>
    <w:lvl w:ilvl="5" w:tplc="8FECF514">
      <w:start w:val="1"/>
      <w:numFmt w:val="bullet"/>
      <w:lvlText w:val=""/>
      <w:lvlJc w:val="left"/>
      <w:pPr>
        <w:ind w:left="4320" w:hanging="360"/>
      </w:pPr>
      <w:rPr>
        <w:rFonts w:ascii="Wingdings" w:hAnsi="Wingdings" w:hint="default"/>
      </w:rPr>
    </w:lvl>
    <w:lvl w:ilvl="6" w:tplc="B3344430">
      <w:start w:val="1"/>
      <w:numFmt w:val="bullet"/>
      <w:lvlText w:val=""/>
      <w:lvlJc w:val="left"/>
      <w:pPr>
        <w:ind w:left="5040" w:hanging="360"/>
      </w:pPr>
      <w:rPr>
        <w:rFonts w:ascii="Symbol" w:hAnsi="Symbol" w:hint="default"/>
      </w:rPr>
    </w:lvl>
    <w:lvl w:ilvl="7" w:tplc="51A21824">
      <w:start w:val="1"/>
      <w:numFmt w:val="bullet"/>
      <w:lvlText w:val="o"/>
      <w:lvlJc w:val="left"/>
      <w:pPr>
        <w:ind w:left="5760" w:hanging="360"/>
      </w:pPr>
      <w:rPr>
        <w:rFonts w:ascii="Courier New" w:hAnsi="Courier New" w:hint="default"/>
      </w:rPr>
    </w:lvl>
    <w:lvl w:ilvl="8" w:tplc="726CFB7E">
      <w:start w:val="1"/>
      <w:numFmt w:val="bullet"/>
      <w:lvlText w:val=""/>
      <w:lvlJc w:val="left"/>
      <w:pPr>
        <w:ind w:left="6480" w:hanging="360"/>
      </w:pPr>
      <w:rPr>
        <w:rFonts w:ascii="Wingdings" w:hAnsi="Wingdings" w:hint="default"/>
      </w:rPr>
    </w:lvl>
  </w:abstractNum>
  <w:abstractNum w:abstractNumId="17" w15:restartNumberingAfterBreak="0">
    <w:nsid w:val="14D552AD"/>
    <w:multiLevelType w:val="hybridMultilevel"/>
    <w:tmpl w:val="F572C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4937C0"/>
    <w:multiLevelType w:val="hybridMultilevel"/>
    <w:tmpl w:val="FC9CA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8B7797"/>
    <w:multiLevelType w:val="hybridMultilevel"/>
    <w:tmpl w:val="6810862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0" w15:restartNumberingAfterBreak="0">
    <w:nsid w:val="1ABE299A"/>
    <w:multiLevelType w:val="hybridMultilevel"/>
    <w:tmpl w:val="447A4906"/>
    <w:lvl w:ilvl="0" w:tplc="0C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CB27F91"/>
    <w:multiLevelType w:val="hybridMultilevel"/>
    <w:tmpl w:val="7AE8B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E667E1"/>
    <w:multiLevelType w:val="hybridMultilevel"/>
    <w:tmpl w:val="FFFFFFFF"/>
    <w:lvl w:ilvl="0" w:tplc="D1D0A94A">
      <w:start w:val="1"/>
      <w:numFmt w:val="bullet"/>
      <w:lvlText w:val=""/>
      <w:lvlJc w:val="left"/>
      <w:pPr>
        <w:ind w:left="720" w:hanging="360"/>
      </w:pPr>
      <w:rPr>
        <w:rFonts w:ascii="Symbol" w:hAnsi="Symbol" w:hint="default"/>
      </w:rPr>
    </w:lvl>
    <w:lvl w:ilvl="1" w:tplc="27F667C2">
      <w:start w:val="1"/>
      <w:numFmt w:val="bullet"/>
      <w:lvlText w:val="o"/>
      <w:lvlJc w:val="left"/>
      <w:pPr>
        <w:ind w:left="1440" w:hanging="360"/>
      </w:pPr>
      <w:rPr>
        <w:rFonts w:ascii="Courier New" w:hAnsi="Courier New" w:hint="default"/>
      </w:rPr>
    </w:lvl>
    <w:lvl w:ilvl="2" w:tplc="E7A4227C">
      <w:start w:val="1"/>
      <w:numFmt w:val="bullet"/>
      <w:lvlText w:val=""/>
      <w:lvlJc w:val="left"/>
      <w:pPr>
        <w:ind w:left="2160" w:hanging="360"/>
      </w:pPr>
      <w:rPr>
        <w:rFonts w:ascii="Wingdings" w:hAnsi="Wingdings" w:hint="default"/>
      </w:rPr>
    </w:lvl>
    <w:lvl w:ilvl="3" w:tplc="7A4A0EE8">
      <w:start w:val="1"/>
      <w:numFmt w:val="bullet"/>
      <w:lvlText w:val=""/>
      <w:lvlJc w:val="left"/>
      <w:pPr>
        <w:ind w:left="2880" w:hanging="360"/>
      </w:pPr>
      <w:rPr>
        <w:rFonts w:ascii="Symbol" w:hAnsi="Symbol" w:hint="default"/>
      </w:rPr>
    </w:lvl>
    <w:lvl w:ilvl="4" w:tplc="45F08530">
      <w:start w:val="1"/>
      <w:numFmt w:val="bullet"/>
      <w:lvlText w:val="o"/>
      <w:lvlJc w:val="left"/>
      <w:pPr>
        <w:ind w:left="3600" w:hanging="360"/>
      </w:pPr>
      <w:rPr>
        <w:rFonts w:ascii="Courier New" w:hAnsi="Courier New" w:hint="default"/>
      </w:rPr>
    </w:lvl>
    <w:lvl w:ilvl="5" w:tplc="E4448EEE">
      <w:start w:val="1"/>
      <w:numFmt w:val="bullet"/>
      <w:lvlText w:val=""/>
      <w:lvlJc w:val="left"/>
      <w:pPr>
        <w:ind w:left="4320" w:hanging="360"/>
      </w:pPr>
      <w:rPr>
        <w:rFonts w:ascii="Wingdings" w:hAnsi="Wingdings" w:hint="default"/>
      </w:rPr>
    </w:lvl>
    <w:lvl w:ilvl="6" w:tplc="DC2C282E">
      <w:start w:val="1"/>
      <w:numFmt w:val="bullet"/>
      <w:lvlText w:val=""/>
      <w:lvlJc w:val="left"/>
      <w:pPr>
        <w:ind w:left="5040" w:hanging="360"/>
      </w:pPr>
      <w:rPr>
        <w:rFonts w:ascii="Symbol" w:hAnsi="Symbol" w:hint="default"/>
      </w:rPr>
    </w:lvl>
    <w:lvl w:ilvl="7" w:tplc="BCFA6626">
      <w:start w:val="1"/>
      <w:numFmt w:val="bullet"/>
      <w:lvlText w:val="o"/>
      <w:lvlJc w:val="left"/>
      <w:pPr>
        <w:ind w:left="5760" w:hanging="360"/>
      </w:pPr>
      <w:rPr>
        <w:rFonts w:ascii="Courier New" w:hAnsi="Courier New" w:hint="default"/>
      </w:rPr>
    </w:lvl>
    <w:lvl w:ilvl="8" w:tplc="3314F3B0">
      <w:start w:val="1"/>
      <w:numFmt w:val="bullet"/>
      <w:lvlText w:val=""/>
      <w:lvlJc w:val="left"/>
      <w:pPr>
        <w:ind w:left="6480" w:hanging="360"/>
      </w:pPr>
      <w:rPr>
        <w:rFonts w:ascii="Wingdings" w:hAnsi="Wingdings" w:hint="default"/>
      </w:rPr>
    </w:lvl>
  </w:abstractNum>
  <w:abstractNum w:abstractNumId="23" w15:restartNumberingAfterBreak="0">
    <w:nsid w:val="1CFA69AA"/>
    <w:multiLevelType w:val="hybridMultilevel"/>
    <w:tmpl w:val="B7F2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FA832F1"/>
    <w:multiLevelType w:val="hybridMultilevel"/>
    <w:tmpl w:val="15D03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0A93737"/>
    <w:multiLevelType w:val="hybridMultilevel"/>
    <w:tmpl w:val="E59412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210B54E4"/>
    <w:multiLevelType w:val="hybridMultilevel"/>
    <w:tmpl w:val="D8EEE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171A34"/>
    <w:multiLevelType w:val="hybridMultilevel"/>
    <w:tmpl w:val="C220F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4115A8A"/>
    <w:multiLevelType w:val="hybridMultilevel"/>
    <w:tmpl w:val="9230D2CE"/>
    <w:lvl w:ilvl="0" w:tplc="AB8EDBF2">
      <w:start w:val="1"/>
      <w:numFmt w:val="bullet"/>
      <w:suff w:val="space"/>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43A7279"/>
    <w:multiLevelType w:val="hybridMultilevel"/>
    <w:tmpl w:val="B5FC3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49B0C97"/>
    <w:multiLevelType w:val="hybridMultilevel"/>
    <w:tmpl w:val="7CD0B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153F13"/>
    <w:multiLevelType w:val="hybridMultilevel"/>
    <w:tmpl w:val="F24837E0"/>
    <w:lvl w:ilvl="0" w:tplc="4BA6830C">
      <w:start w:val="1"/>
      <w:numFmt w:val="bullet"/>
      <w:lvlText w:val=""/>
      <w:lvlJc w:val="left"/>
      <w:pPr>
        <w:tabs>
          <w:tab w:val="num" w:pos="720"/>
        </w:tabs>
        <w:ind w:left="720" w:hanging="360"/>
      </w:pPr>
      <w:rPr>
        <w:rFonts w:ascii="Symbol" w:hAnsi="Symbol" w:hint="default"/>
      </w:rPr>
    </w:lvl>
    <w:lvl w:ilvl="1" w:tplc="B6544E62" w:tentative="1">
      <w:start w:val="1"/>
      <w:numFmt w:val="bullet"/>
      <w:lvlText w:val="•"/>
      <w:lvlJc w:val="left"/>
      <w:pPr>
        <w:tabs>
          <w:tab w:val="num" w:pos="1440"/>
        </w:tabs>
        <w:ind w:left="1440" w:hanging="360"/>
      </w:pPr>
      <w:rPr>
        <w:rFonts w:ascii="Arial" w:hAnsi="Arial" w:hint="default"/>
      </w:rPr>
    </w:lvl>
    <w:lvl w:ilvl="2" w:tplc="84C05A0E" w:tentative="1">
      <w:start w:val="1"/>
      <w:numFmt w:val="bullet"/>
      <w:lvlText w:val="•"/>
      <w:lvlJc w:val="left"/>
      <w:pPr>
        <w:tabs>
          <w:tab w:val="num" w:pos="2160"/>
        </w:tabs>
        <w:ind w:left="2160" w:hanging="360"/>
      </w:pPr>
      <w:rPr>
        <w:rFonts w:ascii="Arial" w:hAnsi="Arial" w:hint="default"/>
      </w:rPr>
    </w:lvl>
    <w:lvl w:ilvl="3" w:tplc="34668242" w:tentative="1">
      <w:start w:val="1"/>
      <w:numFmt w:val="bullet"/>
      <w:lvlText w:val="•"/>
      <w:lvlJc w:val="left"/>
      <w:pPr>
        <w:tabs>
          <w:tab w:val="num" w:pos="2880"/>
        </w:tabs>
        <w:ind w:left="2880" w:hanging="360"/>
      </w:pPr>
      <w:rPr>
        <w:rFonts w:ascii="Arial" w:hAnsi="Arial" w:hint="default"/>
      </w:rPr>
    </w:lvl>
    <w:lvl w:ilvl="4" w:tplc="B5087FE2" w:tentative="1">
      <w:start w:val="1"/>
      <w:numFmt w:val="bullet"/>
      <w:lvlText w:val="•"/>
      <w:lvlJc w:val="left"/>
      <w:pPr>
        <w:tabs>
          <w:tab w:val="num" w:pos="3600"/>
        </w:tabs>
        <w:ind w:left="3600" w:hanging="360"/>
      </w:pPr>
      <w:rPr>
        <w:rFonts w:ascii="Arial" w:hAnsi="Arial" w:hint="default"/>
      </w:rPr>
    </w:lvl>
    <w:lvl w:ilvl="5" w:tplc="89FC1D66" w:tentative="1">
      <w:start w:val="1"/>
      <w:numFmt w:val="bullet"/>
      <w:lvlText w:val="•"/>
      <w:lvlJc w:val="left"/>
      <w:pPr>
        <w:tabs>
          <w:tab w:val="num" w:pos="4320"/>
        </w:tabs>
        <w:ind w:left="4320" w:hanging="360"/>
      </w:pPr>
      <w:rPr>
        <w:rFonts w:ascii="Arial" w:hAnsi="Arial" w:hint="default"/>
      </w:rPr>
    </w:lvl>
    <w:lvl w:ilvl="6" w:tplc="3508FEF0" w:tentative="1">
      <w:start w:val="1"/>
      <w:numFmt w:val="bullet"/>
      <w:lvlText w:val="•"/>
      <w:lvlJc w:val="left"/>
      <w:pPr>
        <w:tabs>
          <w:tab w:val="num" w:pos="5040"/>
        </w:tabs>
        <w:ind w:left="5040" w:hanging="360"/>
      </w:pPr>
      <w:rPr>
        <w:rFonts w:ascii="Arial" w:hAnsi="Arial" w:hint="default"/>
      </w:rPr>
    </w:lvl>
    <w:lvl w:ilvl="7" w:tplc="C688FDF4" w:tentative="1">
      <w:start w:val="1"/>
      <w:numFmt w:val="bullet"/>
      <w:lvlText w:val="•"/>
      <w:lvlJc w:val="left"/>
      <w:pPr>
        <w:tabs>
          <w:tab w:val="num" w:pos="5760"/>
        </w:tabs>
        <w:ind w:left="5760" w:hanging="360"/>
      </w:pPr>
      <w:rPr>
        <w:rFonts w:ascii="Arial" w:hAnsi="Arial" w:hint="default"/>
      </w:rPr>
    </w:lvl>
    <w:lvl w:ilvl="8" w:tplc="3020AF7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53816CF"/>
    <w:multiLevelType w:val="hybridMultilevel"/>
    <w:tmpl w:val="90BAA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91662C1"/>
    <w:multiLevelType w:val="hybridMultilevel"/>
    <w:tmpl w:val="56A4501C"/>
    <w:lvl w:ilvl="0" w:tplc="0C090001">
      <w:start w:val="1"/>
      <w:numFmt w:val="bullet"/>
      <w:lvlText w:val=""/>
      <w:lvlJc w:val="left"/>
      <w:pPr>
        <w:ind w:left="720" w:hanging="360"/>
      </w:pPr>
      <w:rPr>
        <w:rFonts w:ascii="Symbol" w:hAnsi="Symbol" w:hint="default"/>
      </w:rPr>
    </w:lvl>
    <w:lvl w:ilvl="1" w:tplc="A0929752">
      <w:start w:val="1"/>
      <w:numFmt w:val="decimal"/>
      <w:lvlText w:val="%2."/>
      <w:lvlJc w:val="left"/>
      <w:pPr>
        <w:ind w:left="1440" w:hanging="360"/>
      </w:pPr>
      <w:rPr>
        <w:rFonts w:eastAsia="Calibri Light"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9EF66A3"/>
    <w:multiLevelType w:val="hybridMultilevel"/>
    <w:tmpl w:val="82BE11AC"/>
    <w:lvl w:ilvl="0" w:tplc="6A34EBF8">
      <w:start w:val="1"/>
      <w:numFmt w:val="bullet"/>
      <w:lvlText w:val="·"/>
      <w:lvlJc w:val="left"/>
      <w:pPr>
        <w:ind w:left="720" w:hanging="360"/>
      </w:pPr>
      <w:rPr>
        <w:rFonts w:ascii="Symbol" w:hAnsi="Symbol" w:hint="default"/>
      </w:rPr>
    </w:lvl>
    <w:lvl w:ilvl="1" w:tplc="48D231E6">
      <w:start w:val="1"/>
      <w:numFmt w:val="bullet"/>
      <w:lvlText w:val="o"/>
      <w:lvlJc w:val="left"/>
      <w:pPr>
        <w:ind w:left="1440" w:hanging="360"/>
      </w:pPr>
      <w:rPr>
        <w:rFonts w:ascii="Courier New" w:hAnsi="Courier New" w:hint="default"/>
      </w:rPr>
    </w:lvl>
    <w:lvl w:ilvl="2" w:tplc="9AF64312">
      <w:start w:val="1"/>
      <w:numFmt w:val="bullet"/>
      <w:lvlText w:val=""/>
      <w:lvlJc w:val="left"/>
      <w:pPr>
        <w:ind w:left="2160" w:hanging="360"/>
      </w:pPr>
      <w:rPr>
        <w:rFonts w:ascii="Wingdings" w:hAnsi="Wingdings" w:hint="default"/>
      </w:rPr>
    </w:lvl>
    <w:lvl w:ilvl="3" w:tplc="5B5E9604">
      <w:start w:val="1"/>
      <w:numFmt w:val="bullet"/>
      <w:lvlText w:val=""/>
      <w:lvlJc w:val="left"/>
      <w:pPr>
        <w:ind w:left="2880" w:hanging="360"/>
      </w:pPr>
      <w:rPr>
        <w:rFonts w:ascii="Symbol" w:hAnsi="Symbol" w:hint="default"/>
      </w:rPr>
    </w:lvl>
    <w:lvl w:ilvl="4" w:tplc="7C3C6FEA">
      <w:start w:val="1"/>
      <w:numFmt w:val="bullet"/>
      <w:lvlText w:val="o"/>
      <w:lvlJc w:val="left"/>
      <w:pPr>
        <w:ind w:left="3600" w:hanging="360"/>
      </w:pPr>
      <w:rPr>
        <w:rFonts w:ascii="Courier New" w:hAnsi="Courier New" w:hint="default"/>
      </w:rPr>
    </w:lvl>
    <w:lvl w:ilvl="5" w:tplc="00946AD0">
      <w:start w:val="1"/>
      <w:numFmt w:val="bullet"/>
      <w:lvlText w:val=""/>
      <w:lvlJc w:val="left"/>
      <w:pPr>
        <w:ind w:left="4320" w:hanging="360"/>
      </w:pPr>
      <w:rPr>
        <w:rFonts w:ascii="Wingdings" w:hAnsi="Wingdings" w:hint="default"/>
      </w:rPr>
    </w:lvl>
    <w:lvl w:ilvl="6" w:tplc="179ACE0E">
      <w:start w:val="1"/>
      <w:numFmt w:val="bullet"/>
      <w:lvlText w:val=""/>
      <w:lvlJc w:val="left"/>
      <w:pPr>
        <w:ind w:left="5040" w:hanging="360"/>
      </w:pPr>
      <w:rPr>
        <w:rFonts w:ascii="Symbol" w:hAnsi="Symbol" w:hint="default"/>
      </w:rPr>
    </w:lvl>
    <w:lvl w:ilvl="7" w:tplc="94C82106">
      <w:start w:val="1"/>
      <w:numFmt w:val="bullet"/>
      <w:lvlText w:val="o"/>
      <w:lvlJc w:val="left"/>
      <w:pPr>
        <w:ind w:left="5760" w:hanging="360"/>
      </w:pPr>
      <w:rPr>
        <w:rFonts w:ascii="Courier New" w:hAnsi="Courier New" w:hint="default"/>
      </w:rPr>
    </w:lvl>
    <w:lvl w:ilvl="8" w:tplc="32985CF4">
      <w:start w:val="1"/>
      <w:numFmt w:val="bullet"/>
      <w:lvlText w:val=""/>
      <w:lvlJc w:val="left"/>
      <w:pPr>
        <w:ind w:left="6480" w:hanging="360"/>
      </w:pPr>
      <w:rPr>
        <w:rFonts w:ascii="Wingdings" w:hAnsi="Wingdings" w:hint="default"/>
      </w:rPr>
    </w:lvl>
  </w:abstractNum>
  <w:abstractNum w:abstractNumId="35" w15:restartNumberingAfterBreak="0">
    <w:nsid w:val="2AC92B17"/>
    <w:multiLevelType w:val="hybridMultilevel"/>
    <w:tmpl w:val="8BB4EE82"/>
    <w:lvl w:ilvl="0" w:tplc="269E072C">
      <w:start w:val="1"/>
      <w:numFmt w:val="bullet"/>
      <w:suff w:val="space"/>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CA4578D"/>
    <w:multiLevelType w:val="hybridMultilevel"/>
    <w:tmpl w:val="174C1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D4E4D1E"/>
    <w:multiLevelType w:val="hybridMultilevel"/>
    <w:tmpl w:val="FFFFFFFF"/>
    <w:lvl w:ilvl="0" w:tplc="982C4674">
      <w:start w:val="1"/>
      <w:numFmt w:val="bullet"/>
      <w:lvlText w:val="·"/>
      <w:lvlJc w:val="left"/>
      <w:pPr>
        <w:ind w:left="720" w:hanging="360"/>
      </w:pPr>
      <w:rPr>
        <w:rFonts w:ascii="Symbol" w:hAnsi="Symbol" w:hint="default"/>
      </w:rPr>
    </w:lvl>
    <w:lvl w:ilvl="1" w:tplc="256AD16C">
      <w:start w:val="1"/>
      <w:numFmt w:val="bullet"/>
      <w:lvlText w:val="o"/>
      <w:lvlJc w:val="left"/>
      <w:pPr>
        <w:ind w:left="1440" w:hanging="360"/>
      </w:pPr>
      <w:rPr>
        <w:rFonts w:ascii="Courier New" w:hAnsi="Courier New" w:hint="default"/>
      </w:rPr>
    </w:lvl>
    <w:lvl w:ilvl="2" w:tplc="BDD05EC0">
      <w:start w:val="1"/>
      <w:numFmt w:val="bullet"/>
      <w:lvlText w:val=""/>
      <w:lvlJc w:val="left"/>
      <w:pPr>
        <w:ind w:left="2160" w:hanging="360"/>
      </w:pPr>
      <w:rPr>
        <w:rFonts w:ascii="Wingdings" w:hAnsi="Wingdings" w:hint="default"/>
      </w:rPr>
    </w:lvl>
    <w:lvl w:ilvl="3" w:tplc="749AB04E">
      <w:start w:val="1"/>
      <w:numFmt w:val="bullet"/>
      <w:lvlText w:val=""/>
      <w:lvlJc w:val="left"/>
      <w:pPr>
        <w:ind w:left="2880" w:hanging="360"/>
      </w:pPr>
      <w:rPr>
        <w:rFonts w:ascii="Symbol" w:hAnsi="Symbol" w:hint="default"/>
      </w:rPr>
    </w:lvl>
    <w:lvl w:ilvl="4" w:tplc="238871F8">
      <w:start w:val="1"/>
      <w:numFmt w:val="bullet"/>
      <w:lvlText w:val="o"/>
      <w:lvlJc w:val="left"/>
      <w:pPr>
        <w:ind w:left="3600" w:hanging="360"/>
      </w:pPr>
      <w:rPr>
        <w:rFonts w:ascii="Courier New" w:hAnsi="Courier New" w:hint="default"/>
      </w:rPr>
    </w:lvl>
    <w:lvl w:ilvl="5" w:tplc="BF2695D0">
      <w:start w:val="1"/>
      <w:numFmt w:val="bullet"/>
      <w:lvlText w:val=""/>
      <w:lvlJc w:val="left"/>
      <w:pPr>
        <w:ind w:left="4320" w:hanging="360"/>
      </w:pPr>
      <w:rPr>
        <w:rFonts w:ascii="Wingdings" w:hAnsi="Wingdings" w:hint="default"/>
      </w:rPr>
    </w:lvl>
    <w:lvl w:ilvl="6" w:tplc="EB222D8A">
      <w:start w:val="1"/>
      <w:numFmt w:val="bullet"/>
      <w:lvlText w:val=""/>
      <w:lvlJc w:val="left"/>
      <w:pPr>
        <w:ind w:left="5040" w:hanging="360"/>
      </w:pPr>
      <w:rPr>
        <w:rFonts w:ascii="Symbol" w:hAnsi="Symbol" w:hint="default"/>
      </w:rPr>
    </w:lvl>
    <w:lvl w:ilvl="7" w:tplc="6B0AD8F8">
      <w:start w:val="1"/>
      <w:numFmt w:val="bullet"/>
      <w:lvlText w:val="o"/>
      <w:lvlJc w:val="left"/>
      <w:pPr>
        <w:ind w:left="5760" w:hanging="360"/>
      </w:pPr>
      <w:rPr>
        <w:rFonts w:ascii="Courier New" w:hAnsi="Courier New" w:hint="default"/>
      </w:rPr>
    </w:lvl>
    <w:lvl w:ilvl="8" w:tplc="2A127B6A">
      <w:start w:val="1"/>
      <w:numFmt w:val="bullet"/>
      <w:lvlText w:val=""/>
      <w:lvlJc w:val="left"/>
      <w:pPr>
        <w:ind w:left="6480" w:hanging="360"/>
      </w:pPr>
      <w:rPr>
        <w:rFonts w:ascii="Wingdings" w:hAnsi="Wingdings" w:hint="default"/>
      </w:rPr>
    </w:lvl>
  </w:abstractNum>
  <w:abstractNum w:abstractNumId="38" w15:restartNumberingAfterBreak="0">
    <w:nsid w:val="2EFA611C"/>
    <w:multiLevelType w:val="hybridMultilevel"/>
    <w:tmpl w:val="4ED838B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0453FB"/>
    <w:multiLevelType w:val="hybridMultilevel"/>
    <w:tmpl w:val="3B582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31472E59"/>
    <w:multiLevelType w:val="hybridMultilevel"/>
    <w:tmpl w:val="9530C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2220F71"/>
    <w:multiLevelType w:val="hybridMultilevel"/>
    <w:tmpl w:val="2AD0C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2D1350"/>
    <w:multiLevelType w:val="hybridMultilevel"/>
    <w:tmpl w:val="84484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3E50753"/>
    <w:multiLevelType w:val="hybridMultilevel"/>
    <w:tmpl w:val="FFFFFFFF"/>
    <w:lvl w:ilvl="0" w:tplc="5EEA9436">
      <w:start w:val="1"/>
      <w:numFmt w:val="bullet"/>
      <w:lvlText w:val=""/>
      <w:lvlJc w:val="left"/>
      <w:pPr>
        <w:ind w:left="720" w:hanging="360"/>
      </w:pPr>
      <w:rPr>
        <w:rFonts w:ascii="Symbol" w:hAnsi="Symbol" w:hint="default"/>
      </w:rPr>
    </w:lvl>
    <w:lvl w:ilvl="1" w:tplc="4562410A">
      <w:start w:val="1"/>
      <w:numFmt w:val="bullet"/>
      <w:lvlText w:val="o"/>
      <w:lvlJc w:val="left"/>
      <w:pPr>
        <w:ind w:left="1440" w:hanging="360"/>
      </w:pPr>
      <w:rPr>
        <w:rFonts w:ascii="Courier New" w:hAnsi="Courier New" w:hint="default"/>
      </w:rPr>
    </w:lvl>
    <w:lvl w:ilvl="2" w:tplc="AD869E86">
      <w:start w:val="1"/>
      <w:numFmt w:val="bullet"/>
      <w:lvlText w:val=""/>
      <w:lvlJc w:val="left"/>
      <w:pPr>
        <w:ind w:left="2160" w:hanging="360"/>
      </w:pPr>
      <w:rPr>
        <w:rFonts w:ascii="Wingdings" w:hAnsi="Wingdings" w:hint="default"/>
      </w:rPr>
    </w:lvl>
    <w:lvl w:ilvl="3" w:tplc="021C38FA">
      <w:start w:val="1"/>
      <w:numFmt w:val="bullet"/>
      <w:lvlText w:val=""/>
      <w:lvlJc w:val="left"/>
      <w:pPr>
        <w:ind w:left="2880" w:hanging="360"/>
      </w:pPr>
      <w:rPr>
        <w:rFonts w:ascii="Symbol" w:hAnsi="Symbol" w:hint="default"/>
      </w:rPr>
    </w:lvl>
    <w:lvl w:ilvl="4" w:tplc="176619D0">
      <w:start w:val="1"/>
      <w:numFmt w:val="bullet"/>
      <w:lvlText w:val="o"/>
      <w:lvlJc w:val="left"/>
      <w:pPr>
        <w:ind w:left="3600" w:hanging="360"/>
      </w:pPr>
      <w:rPr>
        <w:rFonts w:ascii="Courier New" w:hAnsi="Courier New" w:hint="default"/>
      </w:rPr>
    </w:lvl>
    <w:lvl w:ilvl="5" w:tplc="AFF4C170">
      <w:start w:val="1"/>
      <w:numFmt w:val="bullet"/>
      <w:lvlText w:val=""/>
      <w:lvlJc w:val="left"/>
      <w:pPr>
        <w:ind w:left="4320" w:hanging="360"/>
      </w:pPr>
      <w:rPr>
        <w:rFonts w:ascii="Wingdings" w:hAnsi="Wingdings" w:hint="default"/>
      </w:rPr>
    </w:lvl>
    <w:lvl w:ilvl="6" w:tplc="5E74F13A">
      <w:start w:val="1"/>
      <w:numFmt w:val="bullet"/>
      <w:lvlText w:val=""/>
      <w:lvlJc w:val="left"/>
      <w:pPr>
        <w:ind w:left="5040" w:hanging="360"/>
      </w:pPr>
      <w:rPr>
        <w:rFonts w:ascii="Symbol" w:hAnsi="Symbol" w:hint="default"/>
      </w:rPr>
    </w:lvl>
    <w:lvl w:ilvl="7" w:tplc="F4805F54">
      <w:start w:val="1"/>
      <w:numFmt w:val="bullet"/>
      <w:lvlText w:val="o"/>
      <w:lvlJc w:val="left"/>
      <w:pPr>
        <w:ind w:left="5760" w:hanging="360"/>
      </w:pPr>
      <w:rPr>
        <w:rFonts w:ascii="Courier New" w:hAnsi="Courier New" w:hint="default"/>
      </w:rPr>
    </w:lvl>
    <w:lvl w:ilvl="8" w:tplc="B63EEDAC">
      <w:start w:val="1"/>
      <w:numFmt w:val="bullet"/>
      <w:lvlText w:val=""/>
      <w:lvlJc w:val="left"/>
      <w:pPr>
        <w:ind w:left="6480" w:hanging="360"/>
      </w:pPr>
      <w:rPr>
        <w:rFonts w:ascii="Wingdings" w:hAnsi="Wingdings" w:hint="default"/>
      </w:rPr>
    </w:lvl>
  </w:abstractNum>
  <w:abstractNum w:abstractNumId="44" w15:restartNumberingAfterBreak="0">
    <w:nsid w:val="36174B91"/>
    <w:multiLevelType w:val="hybridMultilevel"/>
    <w:tmpl w:val="5EE00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4E4A40"/>
    <w:multiLevelType w:val="hybridMultilevel"/>
    <w:tmpl w:val="7BA29108"/>
    <w:lvl w:ilvl="0" w:tplc="42F2BAF0">
      <w:start w:val="1"/>
      <w:numFmt w:val="bullet"/>
      <w:lvlText w:val="·"/>
      <w:lvlJc w:val="left"/>
      <w:pPr>
        <w:ind w:left="720" w:hanging="360"/>
      </w:pPr>
      <w:rPr>
        <w:rFonts w:ascii="Symbol" w:hAnsi="Symbol" w:hint="default"/>
      </w:rPr>
    </w:lvl>
    <w:lvl w:ilvl="1" w:tplc="0980C50E">
      <w:start w:val="1"/>
      <w:numFmt w:val="bullet"/>
      <w:lvlText w:val="o"/>
      <w:lvlJc w:val="left"/>
      <w:pPr>
        <w:ind w:left="1440" w:hanging="360"/>
      </w:pPr>
      <w:rPr>
        <w:rFonts w:ascii="Courier New" w:hAnsi="Courier New" w:hint="default"/>
      </w:rPr>
    </w:lvl>
    <w:lvl w:ilvl="2" w:tplc="4AE0E804">
      <w:start w:val="1"/>
      <w:numFmt w:val="bullet"/>
      <w:lvlText w:val=""/>
      <w:lvlJc w:val="left"/>
      <w:pPr>
        <w:ind w:left="2160" w:hanging="360"/>
      </w:pPr>
      <w:rPr>
        <w:rFonts w:ascii="Wingdings" w:hAnsi="Wingdings" w:hint="default"/>
      </w:rPr>
    </w:lvl>
    <w:lvl w:ilvl="3" w:tplc="821AABBC">
      <w:start w:val="1"/>
      <w:numFmt w:val="bullet"/>
      <w:lvlText w:val=""/>
      <w:lvlJc w:val="left"/>
      <w:pPr>
        <w:ind w:left="2880" w:hanging="360"/>
      </w:pPr>
      <w:rPr>
        <w:rFonts w:ascii="Symbol" w:hAnsi="Symbol" w:hint="default"/>
      </w:rPr>
    </w:lvl>
    <w:lvl w:ilvl="4" w:tplc="B5366FE8">
      <w:start w:val="1"/>
      <w:numFmt w:val="bullet"/>
      <w:lvlText w:val="o"/>
      <w:lvlJc w:val="left"/>
      <w:pPr>
        <w:ind w:left="3600" w:hanging="360"/>
      </w:pPr>
      <w:rPr>
        <w:rFonts w:ascii="Courier New" w:hAnsi="Courier New" w:hint="default"/>
      </w:rPr>
    </w:lvl>
    <w:lvl w:ilvl="5" w:tplc="AD529804">
      <w:start w:val="1"/>
      <w:numFmt w:val="bullet"/>
      <w:lvlText w:val=""/>
      <w:lvlJc w:val="left"/>
      <w:pPr>
        <w:ind w:left="4320" w:hanging="360"/>
      </w:pPr>
      <w:rPr>
        <w:rFonts w:ascii="Wingdings" w:hAnsi="Wingdings" w:hint="default"/>
      </w:rPr>
    </w:lvl>
    <w:lvl w:ilvl="6" w:tplc="6EC2780A">
      <w:start w:val="1"/>
      <w:numFmt w:val="bullet"/>
      <w:lvlText w:val=""/>
      <w:lvlJc w:val="left"/>
      <w:pPr>
        <w:ind w:left="5040" w:hanging="360"/>
      </w:pPr>
      <w:rPr>
        <w:rFonts w:ascii="Symbol" w:hAnsi="Symbol" w:hint="default"/>
      </w:rPr>
    </w:lvl>
    <w:lvl w:ilvl="7" w:tplc="9E0E1D8E">
      <w:start w:val="1"/>
      <w:numFmt w:val="bullet"/>
      <w:lvlText w:val="o"/>
      <w:lvlJc w:val="left"/>
      <w:pPr>
        <w:ind w:left="5760" w:hanging="360"/>
      </w:pPr>
      <w:rPr>
        <w:rFonts w:ascii="Courier New" w:hAnsi="Courier New" w:hint="default"/>
      </w:rPr>
    </w:lvl>
    <w:lvl w:ilvl="8" w:tplc="14AA2BA2">
      <w:start w:val="1"/>
      <w:numFmt w:val="bullet"/>
      <w:lvlText w:val=""/>
      <w:lvlJc w:val="left"/>
      <w:pPr>
        <w:ind w:left="6480" w:hanging="360"/>
      </w:pPr>
      <w:rPr>
        <w:rFonts w:ascii="Wingdings" w:hAnsi="Wingdings" w:hint="default"/>
      </w:rPr>
    </w:lvl>
  </w:abstractNum>
  <w:abstractNum w:abstractNumId="46" w15:restartNumberingAfterBreak="0">
    <w:nsid w:val="39175DB0"/>
    <w:multiLevelType w:val="hybridMultilevel"/>
    <w:tmpl w:val="E5D6B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C3747A1"/>
    <w:multiLevelType w:val="hybridMultilevel"/>
    <w:tmpl w:val="5AA6F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00F4742"/>
    <w:multiLevelType w:val="hybridMultilevel"/>
    <w:tmpl w:val="E5A0E3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19F2087"/>
    <w:multiLevelType w:val="hybridMultilevel"/>
    <w:tmpl w:val="365025E8"/>
    <w:lvl w:ilvl="0" w:tplc="97A4D68C">
      <w:start w:val="1"/>
      <w:numFmt w:val="bullet"/>
      <w:suff w:val="space"/>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33048DD"/>
    <w:multiLevelType w:val="hybridMultilevel"/>
    <w:tmpl w:val="791CC67E"/>
    <w:lvl w:ilvl="0" w:tplc="49A80E3C">
      <w:start w:val="1"/>
      <w:numFmt w:val="bullet"/>
      <w:suff w:val="space"/>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467532F"/>
    <w:multiLevelType w:val="hybridMultilevel"/>
    <w:tmpl w:val="0860A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52B483F"/>
    <w:multiLevelType w:val="hybridMultilevel"/>
    <w:tmpl w:val="4FEC9792"/>
    <w:lvl w:ilvl="0" w:tplc="322C40F8">
      <w:start w:val="1"/>
      <w:numFmt w:val="bullet"/>
      <w:suff w:val="space"/>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6753D26"/>
    <w:multiLevelType w:val="hybridMultilevel"/>
    <w:tmpl w:val="43F8046C"/>
    <w:lvl w:ilvl="0" w:tplc="0F5816A0">
      <w:start w:val="1"/>
      <w:numFmt w:val="bullet"/>
      <w:suff w:val="space"/>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6951772"/>
    <w:multiLevelType w:val="hybridMultilevel"/>
    <w:tmpl w:val="ED2AE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7670360"/>
    <w:multiLevelType w:val="hybridMultilevel"/>
    <w:tmpl w:val="6D000ECC"/>
    <w:lvl w:ilvl="0" w:tplc="08090001">
      <w:start w:val="1"/>
      <w:numFmt w:val="bullet"/>
      <w:lvlText w:val=""/>
      <w:lvlJc w:val="left"/>
      <w:pPr>
        <w:ind w:left="720" w:hanging="360"/>
      </w:pPr>
      <w:rPr>
        <w:rFonts w:ascii="Symbol" w:hAnsi="Symbol" w:hint="default"/>
      </w:rPr>
    </w:lvl>
    <w:lvl w:ilvl="1" w:tplc="C60C319E">
      <w:start w:val="1"/>
      <w:numFmt w:val="lowerLetter"/>
      <w:lvlText w:val="%2."/>
      <w:lvlJc w:val="left"/>
      <w:pPr>
        <w:ind w:left="1440" w:hanging="360"/>
      </w:pPr>
    </w:lvl>
    <w:lvl w:ilvl="2" w:tplc="FBF6B4B8">
      <w:start w:val="1"/>
      <w:numFmt w:val="lowerRoman"/>
      <w:lvlText w:val="%3."/>
      <w:lvlJc w:val="right"/>
      <w:pPr>
        <w:ind w:left="2160" w:hanging="180"/>
      </w:pPr>
    </w:lvl>
    <w:lvl w:ilvl="3" w:tplc="8578BF6A">
      <w:start w:val="1"/>
      <w:numFmt w:val="decimal"/>
      <w:lvlText w:val="%4."/>
      <w:lvlJc w:val="left"/>
      <w:pPr>
        <w:ind w:left="2880" w:hanging="360"/>
      </w:pPr>
    </w:lvl>
    <w:lvl w:ilvl="4" w:tplc="C7DCCC66">
      <w:start w:val="1"/>
      <w:numFmt w:val="lowerLetter"/>
      <w:lvlText w:val="%5."/>
      <w:lvlJc w:val="left"/>
      <w:pPr>
        <w:ind w:left="3600" w:hanging="360"/>
      </w:pPr>
    </w:lvl>
    <w:lvl w:ilvl="5" w:tplc="232A8D38">
      <w:start w:val="1"/>
      <w:numFmt w:val="lowerRoman"/>
      <w:lvlText w:val="%6."/>
      <w:lvlJc w:val="right"/>
      <w:pPr>
        <w:ind w:left="4320" w:hanging="180"/>
      </w:pPr>
    </w:lvl>
    <w:lvl w:ilvl="6" w:tplc="3B1E5572">
      <w:start w:val="1"/>
      <w:numFmt w:val="decimal"/>
      <w:lvlText w:val="%7."/>
      <w:lvlJc w:val="left"/>
      <w:pPr>
        <w:ind w:left="5040" w:hanging="360"/>
      </w:pPr>
    </w:lvl>
    <w:lvl w:ilvl="7" w:tplc="69520848">
      <w:start w:val="1"/>
      <w:numFmt w:val="lowerLetter"/>
      <w:lvlText w:val="%8."/>
      <w:lvlJc w:val="left"/>
      <w:pPr>
        <w:ind w:left="5760" w:hanging="360"/>
      </w:pPr>
    </w:lvl>
    <w:lvl w:ilvl="8" w:tplc="318E6F3E">
      <w:start w:val="1"/>
      <w:numFmt w:val="lowerRoman"/>
      <w:lvlText w:val="%9."/>
      <w:lvlJc w:val="right"/>
      <w:pPr>
        <w:ind w:left="6480" w:hanging="180"/>
      </w:pPr>
    </w:lvl>
  </w:abstractNum>
  <w:abstractNum w:abstractNumId="56" w15:restartNumberingAfterBreak="0">
    <w:nsid w:val="48A766FE"/>
    <w:multiLevelType w:val="hybridMultilevel"/>
    <w:tmpl w:val="73AC1E2C"/>
    <w:lvl w:ilvl="0" w:tplc="B176A690">
      <w:start w:val="1"/>
      <w:numFmt w:val="bullet"/>
      <w:suff w:val="space"/>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9755E9B"/>
    <w:multiLevelType w:val="hybridMultilevel"/>
    <w:tmpl w:val="6D8C0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A44648D"/>
    <w:multiLevelType w:val="hybridMultilevel"/>
    <w:tmpl w:val="8AA0A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C801C45"/>
    <w:multiLevelType w:val="hybridMultilevel"/>
    <w:tmpl w:val="7D884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D32380E"/>
    <w:multiLevelType w:val="hybridMultilevel"/>
    <w:tmpl w:val="50D0D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D5154B8"/>
    <w:multiLevelType w:val="hybridMultilevel"/>
    <w:tmpl w:val="8CA0703C"/>
    <w:lvl w:ilvl="0" w:tplc="95C08ABA">
      <w:start w:val="1"/>
      <w:numFmt w:val="bullet"/>
      <w:suff w:val="space"/>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0C153AC"/>
    <w:multiLevelType w:val="hybridMultilevel"/>
    <w:tmpl w:val="FFFFFFFF"/>
    <w:lvl w:ilvl="0" w:tplc="5358AFF0">
      <w:start w:val="1"/>
      <w:numFmt w:val="bullet"/>
      <w:lvlText w:val="·"/>
      <w:lvlJc w:val="left"/>
      <w:pPr>
        <w:ind w:left="720" w:hanging="360"/>
      </w:pPr>
      <w:rPr>
        <w:rFonts w:ascii="Symbol" w:hAnsi="Symbol" w:hint="default"/>
      </w:rPr>
    </w:lvl>
    <w:lvl w:ilvl="1" w:tplc="005C3D3C">
      <w:start w:val="1"/>
      <w:numFmt w:val="bullet"/>
      <w:lvlText w:val="o"/>
      <w:lvlJc w:val="left"/>
      <w:pPr>
        <w:ind w:left="1440" w:hanging="360"/>
      </w:pPr>
      <w:rPr>
        <w:rFonts w:ascii="Courier New" w:hAnsi="Courier New" w:hint="default"/>
      </w:rPr>
    </w:lvl>
    <w:lvl w:ilvl="2" w:tplc="9384C4BA">
      <w:start w:val="1"/>
      <w:numFmt w:val="bullet"/>
      <w:lvlText w:val=""/>
      <w:lvlJc w:val="left"/>
      <w:pPr>
        <w:ind w:left="2160" w:hanging="360"/>
      </w:pPr>
      <w:rPr>
        <w:rFonts w:ascii="Wingdings" w:hAnsi="Wingdings" w:hint="default"/>
      </w:rPr>
    </w:lvl>
    <w:lvl w:ilvl="3" w:tplc="A66292B8">
      <w:start w:val="1"/>
      <w:numFmt w:val="bullet"/>
      <w:lvlText w:val=""/>
      <w:lvlJc w:val="left"/>
      <w:pPr>
        <w:ind w:left="2880" w:hanging="360"/>
      </w:pPr>
      <w:rPr>
        <w:rFonts w:ascii="Symbol" w:hAnsi="Symbol" w:hint="default"/>
      </w:rPr>
    </w:lvl>
    <w:lvl w:ilvl="4" w:tplc="1CE6F7E4">
      <w:start w:val="1"/>
      <w:numFmt w:val="bullet"/>
      <w:lvlText w:val="o"/>
      <w:lvlJc w:val="left"/>
      <w:pPr>
        <w:ind w:left="3600" w:hanging="360"/>
      </w:pPr>
      <w:rPr>
        <w:rFonts w:ascii="Courier New" w:hAnsi="Courier New" w:hint="default"/>
      </w:rPr>
    </w:lvl>
    <w:lvl w:ilvl="5" w:tplc="7E96A024">
      <w:start w:val="1"/>
      <w:numFmt w:val="bullet"/>
      <w:lvlText w:val=""/>
      <w:lvlJc w:val="left"/>
      <w:pPr>
        <w:ind w:left="4320" w:hanging="360"/>
      </w:pPr>
      <w:rPr>
        <w:rFonts w:ascii="Wingdings" w:hAnsi="Wingdings" w:hint="default"/>
      </w:rPr>
    </w:lvl>
    <w:lvl w:ilvl="6" w:tplc="160AC50E">
      <w:start w:val="1"/>
      <w:numFmt w:val="bullet"/>
      <w:lvlText w:val=""/>
      <w:lvlJc w:val="left"/>
      <w:pPr>
        <w:ind w:left="5040" w:hanging="360"/>
      </w:pPr>
      <w:rPr>
        <w:rFonts w:ascii="Symbol" w:hAnsi="Symbol" w:hint="default"/>
      </w:rPr>
    </w:lvl>
    <w:lvl w:ilvl="7" w:tplc="2EA4AB20">
      <w:start w:val="1"/>
      <w:numFmt w:val="bullet"/>
      <w:lvlText w:val="o"/>
      <w:lvlJc w:val="left"/>
      <w:pPr>
        <w:ind w:left="5760" w:hanging="360"/>
      </w:pPr>
      <w:rPr>
        <w:rFonts w:ascii="Courier New" w:hAnsi="Courier New" w:hint="default"/>
      </w:rPr>
    </w:lvl>
    <w:lvl w:ilvl="8" w:tplc="7278C320">
      <w:start w:val="1"/>
      <w:numFmt w:val="bullet"/>
      <w:lvlText w:val=""/>
      <w:lvlJc w:val="left"/>
      <w:pPr>
        <w:ind w:left="6480" w:hanging="360"/>
      </w:pPr>
      <w:rPr>
        <w:rFonts w:ascii="Wingdings" w:hAnsi="Wingdings" w:hint="default"/>
      </w:rPr>
    </w:lvl>
  </w:abstractNum>
  <w:abstractNum w:abstractNumId="63" w15:restartNumberingAfterBreak="0">
    <w:nsid w:val="52780720"/>
    <w:multiLevelType w:val="hybridMultilevel"/>
    <w:tmpl w:val="17DEF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79F4617"/>
    <w:multiLevelType w:val="hybridMultilevel"/>
    <w:tmpl w:val="40E2A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8713C54"/>
    <w:multiLevelType w:val="hybridMultilevel"/>
    <w:tmpl w:val="688AD99A"/>
    <w:lvl w:ilvl="0" w:tplc="9878CAB8">
      <w:start w:val="1"/>
      <w:numFmt w:val="bullet"/>
      <w:suff w:val="space"/>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B730C45"/>
    <w:multiLevelType w:val="hybridMultilevel"/>
    <w:tmpl w:val="FFFFFFFF"/>
    <w:lvl w:ilvl="0" w:tplc="CB32DF8A">
      <w:start w:val="1"/>
      <w:numFmt w:val="bullet"/>
      <w:lvlText w:val="·"/>
      <w:lvlJc w:val="left"/>
      <w:pPr>
        <w:ind w:left="720" w:hanging="360"/>
      </w:pPr>
      <w:rPr>
        <w:rFonts w:ascii="Symbol" w:hAnsi="Symbol" w:hint="default"/>
      </w:rPr>
    </w:lvl>
    <w:lvl w:ilvl="1" w:tplc="6B203CEC">
      <w:start w:val="1"/>
      <w:numFmt w:val="bullet"/>
      <w:lvlText w:val="o"/>
      <w:lvlJc w:val="left"/>
      <w:pPr>
        <w:ind w:left="1440" w:hanging="360"/>
      </w:pPr>
      <w:rPr>
        <w:rFonts w:ascii="Courier New" w:hAnsi="Courier New" w:hint="default"/>
      </w:rPr>
    </w:lvl>
    <w:lvl w:ilvl="2" w:tplc="88F8125C">
      <w:start w:val="1"/>
      <w:numFmt w:val="bullet"/>
      <w:lvlText w:val=""/>
      <w:lvlJc w:val="left"/>
      <w:pPr>
        <w:ind w:left="2160" w:hanging="360"/>
      </w:pPr>
      <w:rPr>
        <w:rFonts w:ascii="Wingdings" w:hAnsi="Wingdings" w:hint="default"/>
      </w:rPr>
    </w:lvl>
    <w:lvl w:ilvl="3" w:tplc="D2B6406A">
      <w:start w:val="1"/>
      <w:numFmt w:val="bullet"/>
      <w:lvlText w:val=""/>
      <w:lvlJc w:val="left"/>
      <w:pPr>
        <w:ind w:left="2880" w:hanging="360"/>
      </w:pPr>
      <w:rPr>
        <w:rFonts w:ascii="Symbol" w:hAnsi="Symbol" w:hint="default"/>
      </w:rPr>
    </w:lvl>
    <w:lvl w:ilvl="4" w:tplc="9AF40B6A">
      <w:start w:val="1"/>
      <w:numFmt w:val="bullet"/>
      <w:lvlText w:val="o"/>
      <w:lvlJc w:val="left"/>
      <w:pPr>
        <w:ind w:left="3600" w:hanging="360"/>
      </w:pPr>
      <w:rPr>
        <w:rFonts w:ascii="Courier New" w:hAnsi="Courier New" w:hint="default"/>
      </w:rPr>
    </w:lvl>
    <w:lvl w:ilvl="5" w:tplc="3C1E98B6">
      <w:start w:val="1"/>
      <w:numFmt w:val="bullet"/>
      <w:lvlText w:val=""/>
      <w:lvlJc w:val="left"/>
      <w:pPr>
        <w:ind w:left="4320" w:hanging="360"/>
      </w:pPr>
      <w:rPr>
        <w:rFonts w:ascii="Wingdings" w:hAnsi="Wingdings" w:hint="default"/>
      </w:rPr>
    </w:lvl>
    <w:lvl w:ilvl="6" w:tplc="0AC6D246">
      <w:start w:val="1"/>
      <w:numFmt w:val="bullet"/>
      <w:lvlText w:val=""/>
      <w:lvlJc w:val="left"/>
      <w:pPr>
        <w:ind w:left="5040" w:hanging="360"/>
      </w:pPr>
      <w:rPr>
        <w:rFonts w:ascii="Symbol" w:hAnsi="Symbol" w:hint="default"/>
      </w:rPr>
    </w:lvl>
    <w:lvl w:ilvl="7" w:tplc="448ACBD0">
      <w:start w:val="1"/>
      <w:numFmt w:val="bullet"/>
      <w:lvlText w:val="o"/>
      <w:lvlJc w:val="left"/>
      <w:pPr>
        <w:ind w:left="5760" w:hanging="360"/>
      </w:pPr>
      <w:rPr>
        <w:rFonts w:ascii="Courier New" w:hAnsi="Courier New" w:hint="default"/>
      </w:rPr>
    </w:lvl>
    <w:lvl w:ilvl="8" w:tplc="6DD88260">
      <w:start w:val="1"/>
      <w:numFmt w:val="bullet"/>
      <w:lvlText w:val=""/>
      <w:lvlJc w:val="left"/>
      <w:pPr>
        <w:ind w:left="6480" w:hanging="360"/>
      </w:pPr>
      <w:rPr>
        <w:rFonts w:ascii="Wingdings" w:hAnsi="Wingdings" w:hint="default"/>
      </w:rPr>
    </w:lvl>
  </w:abstractNum>
  <w:abstractNum w:abstractNumId="67" w15:restartNumberingAfterBreak="0">
    <w:nsid w:val="5C18567C"/>
    <w:multiLevelType w:val="hybridMultilevel"/>
    <w:tmpl w:val="FFFFFFFF"/>
    <w:lvl w:ilvl="0" w:tplc="432C3A90">
      <w:start w:val="1"/>
      <w:numFmt w:val="bullet"/>
      <w:lvlText w:val="·"/>
      <w:lvlJc w:val="left"/>
      <w:pPr>
        <w:ind w:left="720" w:hanging="360"/>
      </w:pPr>
      <w:rPr>
        <w:rFonts w:ascii="Symbol" w:hAnsi="Symbol" w:hint="default"/>
      </w:rPr>
    </w:lvl>
    <w:lvl w:ilvl="1" w:tplc="FBE42132">
      <w:start w:val="1"/>
      <w:numFmt w:val="bullet"/>
      <w:lvlText w:val="o"/>
      <w:lvlJc w:val="left"/>
      <w:pPr>
        <w:ind w:left="1440" w:hanging="360"/>
      </w:pPr>
      <w:rPr>
        <w:rFonts w:ascii="Courier New" w:hAnsi="Courier New" w:hint="default"/>
      </w:rPr>
    </w:lvl>
    <w:lvl w:ilvl="2" w:tplc="E5CC8156">
      <w:start w:val="1"/>
      <w:numFmt w:val="bullet"/>
      <w:lvlText w:val=""/>
      <w:lvlJc w:val="left"/>
      <w:pPr>
        <w:ind w:left="2160" w:hanging="360"/>
      </w:pPr>
      <w:rPr>
        <w:rFonts w:ascii="Wingdings" w:hAnsi="Wingdings" w:hint="default"/>
      </w:rPr>
    </w:lvl>
    <w:lvl w:ilvl="3" w:tplc="3FD8B834">
      <w:start w:val="1"/>
      <w:numFmt w:val="bullet"/>
      <w:lvlText w:val=""/>
      <w:lvlJc w:val="left"/>
      <w:pPr>
        <w:ind w:left="2880" w:hanging="360"/>
      </w:pPr>
      <w:rPr>
        <w:rFonts w:ascii="Symbol" w:hAnsi="Symbol" w:hint="default"/>
      </w:rPr>
    </w:lvl>
    <w:lvl w:ilvl="4" w:tplc="4BAC8834">
      <w:start w:val="1"/>
      <w:numFmt w:val="bullet"/>
      <w:lvlText w:val="o"/>
      <w:lvlJc w:val="left"/>
      <w:pPr>
        <w:ind w:left="3600" w:hanging="360"/>
      </w:pPr>
      <w:rPr>
        <w:rFonts w:ascii="Courier New" w:hAnsi="Courier New" w:hint="default"/>
      </w:rPr>
    </w:lvl>
    <w:lvl w:ilvl="5" w:tplc="C930DEAA">
      <w:start w:val="1"/>
      <w:numFmt w:val="bullet"/>
      <w:lvlText w:val=""/>
      <w:lvlJc w:val="left"/>
      <w:pPr>
        <w:ind w:left="4320" w:hanging="360"/>
      </w:pPr>
      <w:rPr>
        <w:rFonts w:ascii="Wingdings" w:hAnsi="Wingdings" w:hint="default"/>
      </w:rPr>
    </w:lvl>
    <w:lvl w:ilvl="6" w:tplc="E4F08224">
      <w:start w:val="1"/>
      <w:numFmt w:val="bullet"/>
      <w:lvlText w:val=""/>
      <w:lvlJc w:val="left"/>
      <w:pPr>
        <w:ind w:left="5040" w:hanging="360"/>
      </w:pPr>
      <w:rPr>
        <w:rFonts w:ascii="Symbol" w:hAnsi="Symbol" w:hint="default"/>
      </w:rPr>
    </w:lvl>
    <w:lvl w:ilvl="7" w:tplc="022A3C28">
      <w:start w:val="1"/>
      <w:numFmt w:val="bullet"/>
      <w:lvlText w:val="o"/>
      <w:lvlJc w:val="left"/>
      <w:pPr>
        <w:ind w:left="5760" w:hanging="360"/>
      </w:pPr>
      <w:rPr>
        <w:rFonts w:ascii="Courier New" w:hAnsi="Courier New" w:hint="default"/>
      </w:rPr>
    </w:lvl>
    <w:lvl w:ilvl="8" w:tplc="523E9F0A">
      <w:start w:val="1"/>
      <w:numFmt w:val="bullet"/>
      <w:lvlText w:val=""/>
      <w:lvlJc w:val="left"/>
      <w:pPr>
        <w:ind w:left="6480" w:hanging="360"/>
      </w:pPr>
      <w:rPr>
        <w:rFonts w:ascii="Wingdings" w:hAnsi="Wingdings" w:hint="default"/>
      </w:rPr>
    </w:lvl>
  </w:abstractNum>
  <w:abstractNum w:abstractNumId="68" w15:restartNumberingAfterBreak="0">
    <w:nsid w:val="5E6C1C79"/>
    <w:multiLevelType w:val="hybridMultilevel"/>
    <w:tmpl w:val="F1D079C8"/>
    <w:lvl w:ilvl="0" w:tplc="4BA6830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0A6170F"/>
    <w:multiLevelType w:val="hybridMultilevel"/>
    <w:tmpl w:val="A5B8E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0F14B40"/>
    <w:multiLevelType w:val="hybridMultilevel"/>
    <w:tmpl w:val="6E228018"/>
    <w:lvl w:ilvl="0" w:tplc="4B0EADBA">
      <w:start w:val="1"/>
      <w:numFmt w:val="bullet"/>
      <w:suff w:val="space"/>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2076219"/>
    <w:multiLevelType w:val="hybridMultilevel"/>
    <w:tmpl w:val="FFFFFFFF"/>
    <w:lvl w:ilvl="0" w:tplc="45E28514">
      <w:start w:val="1"/>
      <w:numFmt w:val="decimal"/>
      <w:lvlText w:val="%1."/>
      <w:lvlJc w:val="left"/>
      <w:pPr>
        <w:ind w:left="720" w:hanging="360"/>
      </w:pPr>
    </w:lvl>
    <w:lvl w:ilvl="1" w:tplc="E4A8B020">
      <w:start w:val="1"/>
      <w:numFmt w:val="lowerLetter"/>
      <w:lvlText w:val="%2."/>
      <w:lvlJc w:val="left"/>
      <w:pPr>
        <w:ind w:left="1440" w:hanging="360"/>
      </w:pPr>
    </w:lvl>
    <w:lvl w:ilvl="2" w:tplc="3CCCC8C0">
      <w:start w:val="1"/>
      <w:numFmt w:val="lowerRoman"/>
      <w:lvlText w:val="%3."/>
      <w:lvlJc w:val="right"/>
      <w:pPr>
        <w:ind w:left="2160" w:hanging="180"/>
      </w:pPr>
    </w:lvl>
    <w:lvl w:ilvl="3" w:tplc="F79CDAB6">
      <w:start w:val="1"/>
      <w:numFmt w:val="decimal"/>
      <w:lvlText w:val="%4."/>
      <w:lvlJc w:val="left"/>
      <w:pPr>
        <w:ind w:left="2880" w:hanging="360"/>
      </w:pPr>
    </w:lvl>
    <w:lvl w:ilvl="4" w:tplc="2BC46792">
      <w:start w:val="1"/>
      <w:numFmt w:val="lowerLetter"/>
      <w:lvlText w:val="%5."/>
      <w:lvlJc w:val="left"/>
      <w:pPr>
        <w:ind w:left="3600" w:hanging="360"/>
      </w:pPr>
    </w:lvl>
    <w:lvl w:ilvl="5" w:tplc="B900AFF2">
      <w:start w:val="1"/>
      <w:numFmt w:val="lowerRoman"/>
      <w:lvlText w:val="%6."/>
      <w:lvlJc w:val="right"/>
      <w:pPr>
        <w:ind w:left="4320" w:hanging="180"/>
      </w:pPr>
    </w:lvl>
    <w:lvl w:ilvl="6" w:tplc="6CE8951E">
      <w:start w:val="1"/>
      <w:numFmt w:val="decimal"/>
      <w:lvlText w:val="%7."/>
      <w:lvlJc w:val="left"/>
      <w:pPr>
        <w:ind w:left="5040" w:hanging="360"/>
      </w:pPr>
    </w:lvl>
    <w:lvl w:ilvl="7" w:tplc="4852D798">
      <w:start w:val="1"/>
      <w:numFmt w:val="lowerLetter"/>
      <w:lvlText w:val="%8."/>
      <w:lvlJc w:val="left"/>
      <w:pPr>
        <w:ind w:left="5760" w:hanging="360"/>
      </w:pPr>
    </w:lvl>
    <w:lvl w:ilvl="8" w:tplc="98D4A99A">
      <w:start w:val="1"/>
      <w:numFmt w:val="lowerRoman"/>
      <w:lvlText w:val="%9."/>
      <w:lvlJc w:val="right"/>
      <w:pPr>
        <w:ind w:left="6480" w:hanging="180"/>
      </w:pPr>
    </w:lvl>
  </w:abstractNum>
  <w:abstractNum w:abstractNumId="72" w15:restartNumberingAfterBreak="0">
    <w:nsid w:val="621462A0"/>
    <w:multiLevelType w:val="hybridMultilevel"/>
    <w:tmpl w:val="C038D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884133"/>
    <w:multiLevelType w:val="hybridMultilevel"/>
    <w:tmpl w:val="E1B8E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4DE589B"/>
    <w:multiLevelType w:val="hybridMultilevel"/>
    <w:tmpl w:val="D8247EC2"/>
    <w:lvl w:ilvl="0" w:tplc="54F84036">
      <w:start w:val="1"/>
      <w:numFmt w:val="bullet"/>
      <w:lvlText w:val="·"/>
      <w:lvlJc w:val="left"/>
      <w:pPr>
        <w:ind w:left="720" w:hanging="360"/>
      </w:pPr>
      <w:rPr>
        <w:rFonts w:ascii="Symbol" w:hAnsi="Symbol" w:hint="default"/>
      </w:rPr>
    </w:lvl>
    <w:lvl w:ilvl="1" w:tplc="A6A8F67A">
      <w:start w:val="1"/>
      <w:numFmt w:val="bullet"/>
      <w:lvlText w:val="o"/>
      <w:lvlJc w:val="left"/>
      <w:pPr>
        <w:ind w:left="1440" w:hanging="360"/>
      </w:pPr>
      <w:rPr>
        <w:rFonts w:ascii="Courier New" w:hAnsi="Courier New" w:hint="default"/>
      </w:rPr>
    </w:lvl>
    <w:lvl w:ilvl="2" w:tplc="49CEC768">
      <w:start w:val="1"/>
      <w:numFmt w:val="bullet"/>
      <w:lvlText w:val=""/>
      <w:lvlJc w:val="left"/>
      <w:pPr>
        <w:ind w:left="2160" w:hanging="360"/>
      </w:pPr>
      <w:rPr>
        <w:rFonts w:ascii="Wingdings" w:hAnsi="Wingdings" w:hint="default"/>
      </w:rPr>
    </w:lvl>
    <w:lvl w:ilvl="3" w:tplc="84924C8C">
      <w:start w:val="1"/>
      <w:numFmt w:val="bullet"/>
      <w:lvlText w:val=""/>
      <w:lvlJc w:val="left"/>
      <w:pPr>
        <w:ind w:left="2880" w:hanging="360"/>
      </w:pPr>
      <w:rPr>
        <w:rFonts w:ascii="Symbol" w:hAnsi="Symbol" w:hint="default"/>
      </w:rPr>
    </w:lvl>
    <w:lvl w:ilvl="4" w:tplc="09BCF142">
      <w:start w:val="1"/>
      <w:numFmt w:val="bullet"/>
      <w:lvlText w:val="o"/>
      <w:lvlJc w:val="left"/>
      <w:pPr>
        <w:ind w:left="3600" w:hanging="360"/>
      </w:pPr>
      <w:rPr>
        <w:rFonts w:ascii="Courier New" w:hAnsi="Courier New" w:hint="default"/>
      </w:rPr>
    </w:lvl>
    <w:lvl w:ilvl="5" w:tplc="31D635F6">
      <w:start w:val="1"/>
      <w:numFmt w:val="bullet"/>
      <w:lvlText w:val=""/>
      <w:lvlJc w:val="left"/>
      <w:pPr>
        <w:ind w:left="4320" w:hanging="360"/>
      </w:pPr>
      <w:rPr>
        <w:rFonts w:ascii="Wingdings" w:hAnsi="Wingdings" w:hint="default"/>
      </w:rPr>
    </w:lvl>
    <w:lvl w:ilvl="6" w:tplc="81C61362">
      <w:start w:val="1"/>
      <w:numFmt w:val="bullet"/>
      <w:lvlText w:val=""/>
      <w:lvlJc w:val="left"/>
      <w:pPr>
        <w:ind w:left="5040" w:hanging="360"/>
      </w:pPr>
      <w:rPr>
        <w:rFonts w:ascii="Symbol" w:hAnsi="Symbol" w:hint="default"/>
      </w:rPr>
    </w:lvl>
    <w:lvl w:ilvl="7" w:tplc="E336274E">
      <w:start w:val="1"/>
      <w:numFmt w:val="bullet"/>
      <w:lvlText w:val="o"/>
      <w:lvlJc w:val="left"/>
      <w:pPr>
        <w:ind w:left="5760" w:hanging="360"/>
      </w:pPr>
      <w:rPr>
        <w:rFonts w:ascii="Courier New" w:hAnsi="Courier New" w:hint="default"/>
      </w:rPr>
    </w:lvl>
    <w:lvl w:ilvl="8" w:tplc="1F10031A">
      <w:start w:val="1"/>
      <w:numFmt w:val="bullet"/>
      <w:lvlText w:val=""/>
      <w:lvlJc w:val="left"/>
      <w:pPr>
        <w:ind w:left="6480" w:hanging="360"/>
      </w:pPr>
      <w:rPr>
        <w:rFonts w:ascii="Wingdings" w:hAnsi="Wingdings" w:hint="default"/>
      </w:rPr>
    </w:lvl>
  </w:abstractNum>
  <w:abstractNum w:abstractNumId="75" w15:restartNumberingAfterBreak="0">
    <w:nsid w:val="651347E3"/>
    <w:multiLevelType w:val="hybridMultilevel"/>
    <w:tmpl w:val="179CFE5A"/>
    <w:lvl w:ilvl="0" w:tplc="50D8FD26">
      <w:start w:val="1"/>
      <w:numFmt w:val="bullet"/>
      <w:lvlText w:val=""/>
      <w:lvlJc w:val="left"/>
      <w:pPr>
        <w:ind w:left="720" w:hanging="360"/>
      </w:pPr>
      <w:rPr>
        <w:rFonts w:ascii="Symbol" w:hAnsi="Symbol" w:hint="default"/>
      </w:rPr>
    </w:lvl>
    <w:lvl w:ilvl="1" w:tplc="2962E0C2">
      <w:start w:val="1"/>
      <w:numFmt w:val="bullet"/>
      <w:lvlText w:val="o"/>
      <w:lvlJc w:val="left"/>
      <w:pPr>
        <w:ind w:left="1440" w:hanging="360"/>
      </w:pPr>
      <w:rPr>
        <w:rFonts w:ascii="Courier New" w:hAnsi="Courier New" w:hint="default"/>
      </w:rPr>
    </w:lvl>
    <w:lvl w:ilvl="2" w:tplc="36245B34">
      <w:start w:val="1"/>
      <w:numFmt w:val="bullet"/>
      <w:lvlText w:val=""/>
      <w:lvlJc w:val="left"/>
      <w:pPr>
        <w:ind w:left="2160" w:hanging="360"/>
      </w:pPr>
      <w:rPr>
        <w:rFonts w:ascii="Wingdings" w:hAnsi="Wingdings" w:hint="default"/>
      </w:rPr>
    </w:lvl>
    <w:lvl w:ilvl="3" w:tplc="57F02ADA">
      <w:start w:val="1"/>
      <w:numFmt w:val="bullet"/>
      <w:lvlText w:val=""/>
      <w:lvlJc w:val="left"/>
      <w:pPr>
        <w:ind w:left="2880" w:hanging="360"/>
      </w:pPr>
      <w:rPr>
        <w:rFonts w:ascii="Symbol" w:hAnsi="Symbol" w:hint="default"/>
      </w:rPr>
    </w:lvl>
    <w:lvl w:ilvl="4" w:tplc="3C98FA2C">
      <w:start w:val="1"/>
      <w:numFmt w:val="bullet"/>
      <w:lvlText w:val="o"/>
      <w:lvlJc w:val="left"/>
      <w:pPr>
        <w:ind w:left="3600" w:hanging="360"/>
      </w:pPr>
      <w:rPr>
        <w:rFonts w:ascii="Courier New" w:hAnsi="Courier New" w:hint="default"/>
      </w:rPr>
    </w:lvl>
    <w:lvl w:ilvl="5" w:tplc="F5B259C6">
      <w:start w:val="1"/>
      <w:numFmt w:val="bullet"/>
      <w:lvlText w:val=""/>
      <w:lvlJc w:val="left"/>
      <w:pPr>
        <w:ind w:left="4320" w:hanging="360"/>
      </w:pPr>
      <w:rPr>
        <w:rFonts w:ascii="Wingdings" w:hAnsi="Wingdings" w:hint="default"/>
      </w:rPr>
    </w:lvl>
    <w:lvl w:ilvl="6" w:tplc="672222B0">
      <w:start w:val="1"/>
      <w:numFmt w:val="bullet"/>
      <w:lvlText w:val=""/>
      <w:lvlJc w:val="left"/>
      <w:pPr>
        <w:ind w:left="5040" w:hanging="360"/>
      </w:pPr>
      <w:rPr>
        <w:rFonts w:ascii="Symbol" w:hAnsi="Symbol" w:hint="default"/>
      </w:rPr>
    </w:lvl>
    <w:lvl w:ilvl="7" w:tplc="2CD4077E">
      <w:start w:val="1"/>
      <w:numFmt w:val="bullet"/>
      <w:lvlText w:val="o"/>
      <w:lvlJc w:val="left"/>
      <w:pPr>
        <w:ind w:left="5760" w:hanging="360"/>
      </w:pPr>
      <w:rPr>
        <w:rFonts w:ascii="Courier New" w:hAnsi="Courier New" w:hint="default"/>
      </w:rPr>
    </w:lvl>
    <w:lvl w:ilvl="8" w:tplc="CB249EE6">
      <w:start w:val="1"/>
      <w:numFmt w:val="bullet"/>
      <w:lvlText w:val=""/>
      <w:lvlJc w:val="left"/>
      <w:pPr>
        <w:ind w:left="6480" w:hanging="360"/>
      </w:pPr>
      <w:rPr>
        <w:rFonts w:ascii="Wingdings" w:hAnsi="Wingdings" w:hint="default"/>
      </w:rPr>
    </w:lvl>
  </w:abstractNum>
  <w:abstractNum w:abstractNumId="76" w15:restartNumberingAfterBreak="0">
    <w:nsid w:val="65693D68"/>
    <w:multiLevelType w:val="hybridMultilevel"/>
    <w:tmpl w:val="463CE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5844A9D"/>
    <w:multiLevelType w:val="hybridMultilevel"/>
    <w:tmpl w:val="DB201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6040174"/>
    <w:multiLevelType w:val="hybridMultilevel"/>
    <w:tmpl w:val="4760BA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D36978"/>
    <w:multiLevelType w:val="multilevel"/>
    <w:tmpl w:val="8AA08446"/>
    <w:lvl w:ilvl="0">
      <w:start w:val="1"/>
      <w:numFmt w:val="decimal"/>
      <w:lvlText w:val="%1."/>
      <w:lvlJc w:val="left"/>
      <w:pPr>
        <w:ind w:left="720" w:hanging="360"/>
      </w:pPr>
      <w:rPr>
        <w:rFonts w:hint="default"/>
      </w:rPr>
    </w:lvl>
    <w:lvl w:ilvl="1">
      <w:start w:val="1"/>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15:restartNumberingAfterBreak="0">
    <w:nsid w:val="66E356ED"/>
    <w:multiLevelType w:val="hybridMultilevel"/>
    <w:tmpl w:val="194CB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7B85154"/>
    <w:multiLevelType w:val="hybridMultilevel"/>
    <w:tmpl w:val="82CC4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99309B3"/>
    <w:multiLevelType w:val="hybridMultilevel"/>
    <w:tmpl w:val="A19A0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AF92C72"/>
    <w:multiLevelType w:val="hybridMultilevel"/>
    <w:tmpl w:val="FFFFFFFF"/>
    <w:lvl w:ilvl="0" w:tplc="B11CF028">
      <w:start w:val="1"/>
      <w:numFmt w:val="bullet"/>
      <w:lvlText w:val="·"/>
      <w:lvlJc w:val="left"/>
      <w:pPr>
        <w:ind w:left="720" w:hanging="360"/>
      </w:pPr>
      <w:rPr>
        <w:rFonts w:ascii="Symbol" w:hAnsi="Symbol" w:hint="default"/>
      </w:rPr>
    </w:lvl>
    <w:lvl w:ilvl="1" w:tplc="D618F50C">
      <w:start w:val="1"/>
      <w:numFmt w:val="bullet"/>
      <w:lvlText w:val="o"/>
      <w:lvlJc w:val="left"/>
      <w:pPr>
        <w:ind w:left="1440" w:hanging="360"/>
      </w:pPr>
      <w:rPr>
        <w:rFonts w:ascii="Courier New" w:hAnsi="Courier New" w:hint="default"/>
      </w:rPr>
    </w:lvl>
    <w:lvl w:ilvl="2" w:tplc="94560B6A">
      <w:start w:val="1"/>
      <w:numFmt w:val="bullet"/>
      <w:lvlText w:val=""/>
      <w:lvlJc w:val="left"/>
      <w:pPr>
        <w:ind w:left="2160" w:hanging="360"/>
      </w:pPr>
      <w:rPr>
        <w:rFonts w:ascii="Wingdings" w:hAnsi="Wingdings" w:hint="default"/>
      </w:rPr>
    </w:lvl>
    <w:lvl w:ilvl="3" w:tplc="61FEA95C">
      <w:start w:val="1"/>
      <w:numFmt w:val="bullet"/>
      <w:lvlText w:val=""/>
      <w:lvlJc w:val="left"/>
      <w:pPr>
        <w:ind w:left="2880" w:hanging="360"/>
      </w:pPr>
      <w:rPr>
        <w:rFonts w:ascii="Symbol" w:hAnsi="Symbol" w:hint="default"/>
      </w:rPr>
    </w:lvl>
    <w:lvl w:ilvl="4" w:tplc="AC04826E">
      <w:start w:val="1"/>
      <w:numFmt w:val="bullet"/>
      <w:lvlText w:val="o"/>
      <w:lvlJc w:val="left"/>
      <w:pPr>
        <w:ind w:left="3600" w:hanging="360"/>
      </w:pPr>
      <w:rPr>
        <w:rFonts w:ascii="Courier New" w:hAnsi="Courier New" w:hint="default"/>
      </w:rPr>
    </w:lvl>
    <w:lvl w:ilvl="5" w:tplc="32A8D0EC">
      <w:start w:val="1"/>
      <w:numFmt w:val="bullet"/>
      <w:lvlText w:val=""/>
      <w:lvlJc w:val="left"/>
      <w:pPr>
        <w:ind w:left="4320" w:hanging="360"/>
      </w:pPr>
      <w:rPr>
        <w:rFonts w:ascii="Wingdings" w:hAnsi="Wingdings" w:hint="default"/>
      </w:rPr>
    </w:lvl>
    <w:lvl w:ilvl="6" w:tplc="66843E08">
      <w:start w:val="1"/>
      <w:numFmt w:val="bullet"/>
      <w:lvlText w:val=""/>
      <w:lvlJc w:val="left"/>
      <w:pPr>
        <w:ind w:left="5040" w:hanging="360"/>
      </w:pPr>
      <w:rPr>
        <w:rFonts w:ascii="Symbol" w:hAnsi="Symbol" w:hint="default"/>
      </w:rPr>
    </w:lvl>
    <w:lvl w:ilvl="7" w:tplc="280CCE8E">
      <w:start w:val="1"/>
      <w:numFmt w:val="bullet"/>
      <w:lvlText w:val="o"/>
      <w:lvlJc w:val="left"/>
      <w:pPr>
        <w:ind w:left="5760" w:hanging="360"/>
      </w:pPr>
      <w:rPr>
        <w:rFonts w:ascii="Courier New" w:hAnsi="Courier New" w:hint="default"/>
      </w:rPr>
    </w:lvl>
    <w:lvl w:ilvl="8" w:tplc="9DA89FD0">
      <w:start w:val="1"/>
      <w:numFmt w:val="bullet"/>
      <w:lvlText w:val=""/>
      <w:lvlJc w:val="left"/>
      <w:pPr>
        <w:ind w:left="6480" w:hanging="360"/>
      </w:pPr>
      <w:rPr>
        <w:rFonts w:ascii="Wingdings" w:hAnsi="Wingdings" w:hint="default"/>
      </w:rPr>
    </w:lvl>
  </w:abstractNum>
  <w:abstractNum w:abstractNumId="84" w15:restartNumberingAfterBreak="0">
    <w:nsid w:val="6FD040A6"/>
    <w:multiLevelType w:val="hybridMultilevel"/>
    <w:tmpl w:val="CD6A07DE"/>
    <w:lvl w:ilvl="0" w:tplc="0DEC92DE">
      <w:start w:val="1"/>
      <w:numFmt w:val="bullet"/>
      <w:lvlText w:val="•"/>
      <w:lvlJc w:val="left"/>
      <w:pPr>
        <w:tabs>
          <w:tab w:val="num" w:pos="720"/>
        </w:tabs>
        <w:ind w:left="720" w:hanging="360"/>
      </w:pPr>
      <w:rPr>
        <w:rFonts w:ascii="Arial" w:hAnsi="Arial" w:hint="default"/>
      </w:rPr>
    </w:lvl>
    <w:lvl w:ilvl="1" w:tplc="B6544E62" w:tentative="1">
      <w:start w:val="1"/>
      <w:numFmt w:val="bullet"/>
      <w:lvlText w:val="•"/>
      <w:lvlJc w:val="left"/>
      <w:pPr>
        <w:tabs>
          <w:tab w:val="num" w:pos="1440"/>
        </w:tabs>
        <w:ind w:left="1440" w:hanging="360"/>
      </w:pPr>
      <w:rPr>
        <w:rFonts w:ascii="Arial" w:hAnsi="Arial" w:hint="default"/>
      </w:rPr>
    </w:lvl>
    <w:lvl w:ilvl="2" w:tplc="84C05A0E" w:tentative="1">
      <w:start w:val="1"/>
      <w:numFmt w:val="bullet"/>
      <w:lvlText w:val="•"/>
      <w:lvlJc w:val="left"/>
      <w:pPr>
        <w:tabs>
          <w:tab w:val="num" w:pos="2160"/>
        </w:tabs>
        <w:ind w:left="2160" w:hanging="360"/>
      </w:pPr>
      <w:rPr>
        <w:rFonts w:ascii="Arial" w:hAnsi="Arial" w:hint="default"/>
      </w:rPr>
    </w:lvl>
    <w:lvl w:ilvl="3" w:tplc="34668242" w:tentative="1">
      <w:start w:val="1"/>
      <w:numFmt w:val="bullet"/>
      <w:lvlText w:val="•"/>
      <w:lvlJc w:val="left"/>
      <w:pPr>
        <w:tabs>
          <w:tab w:val="num" w:pos="2880"/>
        </w:tabs>
        <w:ind w:left="2880" w:hanging="360"/>
      </w:pPr>
      <w:rPr>
        <w:rFonts w:ascii="Arial" w:hAnsi="Arial" w:hint="default"/>
      </w:rPr>
    </w:lvl>
    <w:lvl w:ilvl="4" w:tplc="B5087FE2" w:tentative="1">
      <w:start w:val="1"/>
      <w:numFmt w:val="bullet"/>
      <w:lvlText w:val="•"/>
      <w:lvlJc w:val="left"/>
      <w:pPr>
        <w:tabs>
          <w:tab w:val="num" w:pos="3600"/>
        </w:tabs>
        <w:ind w:left="3600" w:hanging="360"/>
      </w:pPr>
      <w:rPr>
        <w:rFonts w:ascii="Arial" w:hAnsi="Arial" w:hint="default"/>
      </w:rPr>
    </w:lvl>
    <w:lvl w:ilvl="5" w:tplc="89FC1D66" w:tentative="1">
      <w:start w:val="1"/>
      <w:numFmt w:val="bullet"/>
      <w:lvlText w:val="•"/>
      <w:lvlJc w:val="left"/>
      <w:pPr>
        <w:tabs>
          <w:tab w:val="num" w:pos="4320"/>
        </w:tabs>
        <w:ind w:left="4320" w:hanging="360"/>
      </w:pPr>
      <w:rPr>
        <w:rFonts w:ascii="Arial" w:hAnsi="Arial" w:hint="default"/>
      </w:rPr>
    </w:lvl>
    <w:lvl w:ilvl="6" w:tplc="3508FEF0" w:tentative="1">
      <w:start w:val="1"/>
      <w:numFmt w:val="bullet"/>
      <w:lvlText w:val="•"/>
      <w:lvlJc w:val="left"/>
      <w:pPr>
        <w:tabs>
          <w:tab w:val="num" w:pos="5040"/>
        </w:tabs>
        <w:ind w:left="5040" w:hanging="360"/>
      </w:pPr>
      <w:rPr>
        <w:rFonts w:ascii="Arial" w:hAnsi="Arial" w:hint="default"/>
      </w:rPr>
    </w:lvl>
    <w:lvl w:ilvl="7" w:tplc="C688FDF4" w:tentative="1">
      <w:start w:val="1"/>
      <w:numFmt w:val="bullet"/>
      <w:lvlText w:val="•"/>
      <w:lvlJc w:val="left"/>
      <w:pPr>
        <w:tabs>
          <w:tab w:val="num" w:pos="5760"/>
        </w:tabs>
        <w:ind w:left="5760" w:hanging="360"/>
      </w:pPr>
      <w:rPr>
        <w:rFonts w:ascii="Arial" w:hAnsi="Arial" w:hint="default"/>
      </w:rPr>
    </w:lvl>
    <w:lvl w:ilvl="8" w:tplc="3020AF7A"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6FE5751A"/>
    <w:multiLevelType w:val="hybridMultilevel"/>
    <w:tmpl w:val="591C0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00D706F"/>
    <w:multiLevelType w:val="hybridMultilevel"/>
    <w:tmpl w:val="4752704A"/>
    <w:lvl w:ilvl="0" w:tplc="B176A690">
      <w:start w:val="1"/>
      <w:numFmt w:val="bullet"/>
      <w:suff w:val="space"/>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0791739"/>
    <w:multiLevelType w:val="hybridMultilevel"/>
    <w:tmpl w:val="CEFAD4C4"/>
    <w:lvl w:ilvl="0" w:tplc="63C4F418">
      <w:start w:val="1"/>
      <w:numFmt w:val="bullet"/>
      <w:suff w:val="space"/>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2975420"/>
    <w:multiLevelType w:val="hybridMultilevel"/>
    <w:tmpl w:val="273C7F1A"/>
    <w:lvl w:ilvl="0" w:tplc="E7B464E2">
      <w:start w:val="1"/>
      <w:numFmt w:val="bullet"/>
      <w:lvlText w:val=""/>
      <w:lvlJc w:val="left"/>
      <w:pPr>
        <w:ind w:left="720" w:hanging="360"/>
      </w:pPr>
      <w:rPr>
        <w:rFonts w:ascii="Symbol" w:hAnsi="Symbol" w:hint="default"/>
      </w:rPr>
    </w:lvl>
    <w:lvl w:ilvl="1" w:tplc="9274F264">
      <w:start w:val="1"/>
      <w:numFmt w:val="lowerLetter"/>
      <w:lvlText w:val="%2."/>
      <w:lvlJc w:val="left"/>
      <w:pPr>
        <w:ind w:left="1440" w:hanging="360"/>
      </w:pPr>
    </w:lvl>
    <w:lvl w:ilvl="2" w:tplc="7CBCAE7C">
      <w:start w:val="1"/>
      <w:numFmt w:val="lowerRoman"/>
      <w:lvlText w:val="%3."/>
      <w:lvlJc w:val="right"/>
      <w:pPr>
        <w:ind w:left="2160" w:hanging="180"/>
      </w:pPr>
    </w:lvl>
    <w:lvl w:ilvl="3" w:tplc="66F66CDE">
      <w:start w:val="1"/>
      <w:numFmt w:val="decimal"/>
      <w:lvlText w:val="%4."/>
      <w:lvlJc w:val="left"/>
      <w:pPr>
        <w:ind w:left="2880" w:hanging="360"/>
      </w:pPr>
    </w:lvl>
    <w:lvl w:ilvl="4" w:tplc="1FE85D56">
      <w:start w:val="1"/>
      <w:numFmt w:val="lowerLetter"/>
      <w:lvlText w:val="%5."/>
      <w:lvlJc w:val="left"/>
      <w:pPr>
        <w:ind w:left="3600" w:hanging="360"/>
      </w:pPr>
    </w:lvl>
    <w:lvl w:ilvl="5" w:tplc="FEE2B26A">
      <w:start w:val="1"/>
      <w:numFmt w:val="lowerRoman"/>
      <w:lvlText w:val="%6."/>
      <w:lvlJc w:val="right"/>
      <w:pPr>
        <w:ind w:left="4320" w:hanging="180"/>
      </w:pPr>
    </w:lvl>
    <w:lvl w:ilvl="6" w:tplc="4474842C">
      <w:start w:val="1"/>
      <w:numFmt w:val="decimal"/>
      <w:lvlText w:val="%7."/>
      <w:lvlJc w:val="left"/>
      <w:pPr>
        <w:ind w:left="5040" w:hanging="360"/>
      </w:pPr>
    </w:lvl>
    <w:lvl w:ilvl="7" w:tplc="13981E26">
      <w:start w:val="1"/>
      <w:numFmt w:val="lowerLetter"/>
      <w:lvlText w:val="%8."/>
      <w:lvlJc w:val="left"/>
      <w:pPr>
        <w:ind w:left="5760" w:hanging="360"/>
      </w:pPr>
    </w:lvl>
    <w:lvl w:ilvl="8" w:tplc="F47A7330">
      <w:start w:val="1"/>
      <w:numFmt w:val="lowerRoman"/>
      <w:lvlText w:val="%9."/>
      <w:lvlJc w:val="right"/>
      <w:pPr>
        <w:ind w:left="6480" w:hanging="180"/>
      </w:pPr>
    </w:lvl>
  </w:abstractNum>
  <w:abstractNum w:abstractNumId="89" w15:restartNumberingAfterBreak="0">
    <w:nsid w:val="752B49EA"/>
    <w:multiLevelType w:val="hybridMultilevel"/>
    <w:tmpl w:val="FFFFFFFF"/>
    <w:lvl w:ilvl="0" w:tplc="C3AADCB2">
      <w:start w:val="1"/>
      <w:numFmt w:val="bullet"/>
      <w:lvlText w:val=""/>
      <w:lvlJc w:val="left"/>
      <w:pPr>
        <w:ind w:left="720" w:hanging="360"/>
      </w:pPr>
      <w:rPr>
        <w:rFonts w:ascii="Symbol" w:hAnsi="Symbol" w:hint="default"/>
      </w:rPr>
    </w:lvl>
    <w:lvl w:ilvl="1" w:tplc="3A80B442">
      <w:start w:val="1"/>
      <w:numFmt w:val="bullet"/>
      <w:lvlText w:val="o"/>
      <w:lvlJc w:val="left"/>
      <w:pPr>
        <w:ind w:left="1440" w:hanging="360"/>
      </w:pPr>
      <w:rPr>
        <w:rFonts w:ascii="Courier New" w:hAnsi="Courier New" w:hint="default"/>
      </w:rPr>
    </w:lvl>
    <w:lvl w:ilvl="2" w:tplc="CAD8497E">
      <w:start w:val="1"/>
      <w:numFmt w:val="bullet"/>
      <w:lvlText w:val=""/>
      <w:lvlJc w:val="left"/>
      <w:pPr>
        <w:ind w:left="2160" w:hanging="360"/>
      </w:pPr>
      <w:rPr>
        <w:rFonts w:ascii="Wingdings" w:hAnsi="Wingdings" w:hint="default"/>
      </w:rPr>
    </w:lvl>
    <w:lvl w:ilvl="3" w:tplc="C2A60738">
      <w:start w:val="1"/>
      <w:numFmt w:val="bullet"/>
      <w:lvlText w:val=""/>
      <w:lvlJc w:val="left"/>
      <w:pPr>
        <w:ind w:left="2880" w:hanging="360"/>
      </w:pPr>
      <w:rPr>
        <w:rFonts w:ascii="Symbol" w:hAnsi="Symbol" w:hint="default"/>
      </w:rPr>
    </w:lvl>
    <w:lvl w:ilvl="4" w:tplc="68C81650">
      <w:start w:val="1"/>
      <w:numFmt w:val="bullet"/>
      <w:lvlText w:val="o"/>
      <w:lvlJc w:val="left"/>
      <w:pPr>
        <w:ind w:left="3600" w:hanging="360"/>
      </w:pPr>
      <w:rPr>
        <w:rFonts w:ascii="Courier New" w:hAnsi="Courier New" w:hint="default"/>
      </w:rPr>
    </w:lvl>
    <w:lvl w:ilvl="5" w:tplc="51B862DA">
      <w:start w:val="1"/>
      <w:numFmt w:val="bullet"/>
      <w:lvlText w:val=""/>
      <w:lvlJc w:val="left"/>
      <w:pPr>
        <w:ind w:left="4320" w:hanging="360"/>
      </w:pPr>
      <w:rPr>
        <w:rFonts w:ascii="Wingdings" w:hAnsi="Wingdings" w:hint="default"/>
      </w:rPr>
    </w:lvl>
    <w:lvl w:ilvl="6" w:tplc="C866A274">
      <w:start w:val="1"/>
      <w:numFmt w:val="bullet"/>
      <w:lvlText w:val=""/>
      <w:lvlJc w:val="left"/>
      <w:pPr>
        <w:ind w:left="5040" w:hanging="360"/>
      </w:pPr>
      <w:rPr>
        <w:rFonts w:ascii="Symbol" w:hAnsi="Symbol" w:hint="default"/>
      </w:rPr>
    </w:lvl>
    <w:lvl w:ilvl="7" w:tplc="DB107F0C">
      <w:start w:val="1"/>
      <w:numFmt w:val="bullet"/>
      <w:lvlText w:val="o"/>
      <w:lvlJc w:val="left"/>
      <w:pPr>
        <w:ind w:left="5760" w:hanging="360"/>
      </w:pPr>
      <w:rPr>
        <w:rFonts w:ascii="Courier New" w:hAnsi="Courier New" w:hint="default"/>
      </w:rPr>
    </w:lvl>
    <w:lvl w:ilvl="8" w:tplc="7EEA3BB2">
      <w:start w:val="1"/>
      <w:numFmt w:val="bullet"/>
      <w:lvlText w:val=""/>
      <w:lvlJc w:val="left"/>
      <w:pPr>
        <w:ind w:left="6480" w:hanging="360"/>
      </w:pPr>
      <w:rPr>
        <w:rFonts w:ascii="Wingdings" w:hAnsi="Wingdings" w:hint="default"/>
      </w:rPr>
    </w:lvl>
  </w:abstractNum>
  <w:abstractNum w:abstractNumId="90" w15:restartNumberingAfterBreak="0">
    <w:nsid w:val="75B73E4A"/>
    <w:multiLevelType w:val="hybridMultilevel"/>
    <w:tmpl w:val="BBEA8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65A1E7D"/>
    <w:multiLevelType w:val="hybridMultilevel"/>
    <w:tmpl w:val="FFFFFFFF"/>
    <w:lvl w:ilvl="0" w:tplc="98FC759E">
      <w:start w:val="1"/>
      <w:numFmt w:val="decimal"/>
      <w:lvlText w:val="%1."/>
      <w:lvlJc w:val="left"/>
      <w:pPr>
        <w:ind w:left="720" w:hanging="360"/>
      </w:pPr>
    </w:lvl>
    <w:lvl w:ilvl="1" w:tplc="9274F264">
      <w:start w:val="1"/>
      <w:numFmt w:val="lowerLetter"/>
      <w:lvlText w:val="%2."/>
      <w:lvlJc w:val="left"/>
      <w:pPr>
        <w:ind w:left="1440" w:hanging="360"/>
      </w:pPr>
    </w:lvl>
    <w:lvl w:ilvl="2" w:tplc="7CBCAE7C">
      <w:start w:val="1"/>
      <w:numFmt w:val="lowerRoman"/>
      <w:lvlText w:val="%3."/>
      <w:lvlJc w:val="right"/>
      <w:pPr>
        <w:ind w:left="2160" w:hanging="180"/>
      </w:pPr>
    </w:lvl>
    <w:lvl w:ilvl="3" w:tplc="66F66CDE">
      <w:start w:val="1"/>
      <w:numFmt w:val="decimal"/>
      <w:lvlText w:val="%4."/>
      <w:lvlJc w:val="left"/>
      <w:pPr>
        <w:ind w:left="2880" w:hanging="360"/>
      </w:pPr>
    </w:lvl>
    <w:lvl w:ilvl="4" w:tplc="1FE85D56">
      <w:start w:val="1"/>
      <w:numFmt w:val="lowerLetter"/>
      <w:lvlText w:val="%5."/>
      <w:lvlJc w:val="left"/>
      <w:pPr>
        <w:ind w:left="3600" w:hanging="360"/>
      </w:pPr>
    </w:lvl>
    <w:lvl w:ilvl="5" w:tplc="FEE2B26A">
      <w:start w:val="1"/>
      <w:numFmt w:val="lowerRoman"/>
      <w:lvlText w:val="%6."/>
      <w:lvlJc w:val="right"/>
      <w:pPr>
        <w:ind w:left="4320" w:hanging="180"/>
      </w:pPr>
    </w:lvl>
    <w:lvl w:ilvl="6" w:tplc="4474842C">
      <w:start w:val="1"/>
      <w:numFmt w:val="decimal"/>
      <w:lvlText w:val="%7."/>
      <w:lvlJc w:val="left"/>
      <w:pPr>
        <w:ind w:left="5040" w:hanging="360"/>
      </w:pPr>
    </w:lvl>
    <w:lvl w:ilvl="7" w:tplc="13981E26">
      <w:start w:val="1"/>
      <w:numFmt w:val="lowerLetter"/>
      <w:lvlText w:val="%8."/>
      <w:lvlJc w:val="left"/>
      <w:pPr>
        <w:ind w:left="5760" w:hanging="360"/>
      </w:pPr>
    </w:lvl>
    <w:lvl w:ilvl="8" w:tplc="F47A7330">
      <w:start w:val="1"/>
      <w:numFmt w:val="lowerRoman"/>
      <w:lvlText w:val="%9."/>
      <w:lvlJc w:val="right"/>
      <w:pPr>
        <w:ind w:left="6480" w:hanging="180"/>
      </w:pPr>
    </w:lvl>
  </w:abstractNum>
  <w:abstractNum w:abstractNumId="92" w15:restartNumberingAfterBreak="0">
    <w:nsid w:val="76AD2D84"/>
    <w:multiLevelType w:val="hybridMultilevel"/>
    <w:tmpl w:val="9A842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AF7756"/>
    <w:multiLevelType w:val="hybridMultilevel"/>
    <w:tmpl w:val="D99E4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96C72DC"/>
    <w:multiLevelType w:val="hybridMultilevel"/>
    <w:tmpl w:val="5BE24724"/>
    <w:lvl w:ilvl="0" w:tplc="6352A566">
      <w:start w:val="1"/>
      <w:numFmt w:val="bullet"/>
      <w:lvlText w:val=""/>
      <w:lvlJc w:val="left"/>
      <w:pPr>
        <w:tabs>
          <w:tab w:val="num" w:pos="720"/>
        </w:tabs>
        <w:ind w:left="720" w:hanging="360"/>
      </w:pPr>
      <w:rPr>
        <w:rFonts w:ascii="Symbol" w:hAnsi="Symbol" w:hint="default"/>
        <w:sz w:val="20"/>
      </w:rPr>
    </w:lvl>
    <w:lvl w:ilvl="1" w:tplc="C574A384" w:tentative="1">
      <w:start w:val="1"/>
      <w:numFmt w:val="bullet"/>
      <w:lvlText w:val="o"/>
      <w:lvlJc w:val="left"/>
      <w:pPr>
        <w:tabs>
          <w:tab w:val="num" w:pos="1440"/>
        </w:tabs>
        <w:ind w:left="1440" w:hanging="360"/>
      </w:pPr>
      <w:rPr>
        <w:rFonts w:ascii="Courier New" w:hAnsi="Courier New" w:hint="default"/>
        <w:sz w:val="20"/>
      </w:rPr>
    </w:lvl>
    <w:lvl w:ilvl="2" w:tplc="73FC1872" w:tentative="1">
      <w:start w:val="1"/>
      <w:numFmt w:val="bullet"/>
      <w:lvlText w:val=""/>
      <w:lvlJc w:val="left"/>
      <w:pPr>
        <w:tabs>
          <w:tab w:val="num" w:pos="2160"/>
        </w:tabs>
        <w:ind w:left="2160" w:hanging="360"/>
      </w:pPr>
      <w:rPr>
        <w:rFonts w:ascii="Wingdings" w:hAnsi="Wingdings" w:hint="default"/>
        <w:sz w:val="20"/>
      </w:rPr>
    </w:lvl>
    <w:lvl w:ilvl="3" w:tplc="464C37AC" w:tentative="1">
      <w:start w:val="1"/>
      <w:numFmt w:val="bullet"/>
      <w:lvlText w:val=""/>
      <w:lvlJc w:val="left"/>
      <w:pPr>
        <w:tabs>
          <w:tab w:val="num" w:pos="2880"/>
        </w:tabs>
        <w:ind w:left="2880" w:hanging="360"/>
      </w:pPr>
      <w:rPr>
        <w:rFonts w:ascii="Wingdings" w:hAnsi="Wingdings" w:hint="default"/>
        <w:sz w:val="20"/>
      </w:rPr>
    </w:lvl>
    <w:lvl w:ilvl="4" w:tplc="25B03C02" w:tentative="1">
      <w:start w:val="1"/>
      <w:numFmt w:val="bullet"/>
      <w:lvlText w:val=""/>
      <w:lvlJc w:val="left"/>
      <w:pPr>
        <w:tabs>
          <w:tab w:val="num" w:pos="3600"/>
        </w:tabs>
        <w:ind w:left="3600" w:hanging="360"/>
      </w:pPr>
      <w:rPr>
        <w:rFonts w:ascii="Wingdings" w:hAnsi="Wingdings" w:hint="default"/>
        <w:sz w:val="20"/>
      </w:rPr>
    </w:lvl>
    <w:lvl w:ilvl="5" w:tplc="978A30B0" w:tentative="1">
      <w:start w:val="1"/>
      <w:numFmt w:val="bullet"/>
      <w:lvlText w:val=""/>
      <w:lvlJc w:val="left"/>
      <w:pPr>
        <w:tabs>
          <w:tab w:val="num" w:pos="4320"/>
        </w:tabs>
        <w:ind w:left="4320" w:hanging="360"/>
      </w:pPr>
      <w:rPr>
        <w:rFonts w:ascii="Wingdings" w:hAnsi="Wingdings" w:hint="default"/>
        <w:sz w:val="20"/>
      </w:rPr>
    </w:lvl>
    <w:lvl w:ilvl="6" w:tplc="33DAC2AE" w:tentative="1">
      <w:start w:val="1"/>
      <w:numFmt w:val="bullet"/>
      <w:lvlText w:val=""/>
      <w:lvlJc w:val="left"/>
      <w:pPr>
        <w:tabs>
          <w:tab w:val="num" w:pos="5040"/>
        </w:tabs>
        <w:ind w:left="5040" w:hanging="360"/>
      </w:pPr>
      <w:rPr>
        <w:rFonts w:ascii="Wingdings" w:hAnsi="Wingdings" w:hint="default"/>
        <w:sz w:val="20"/>
      </w:rPr>
    </w:lvl>
    <w:lvl w:ilvl="7" w:tplc="33F0CA7E" w:tentative="1">
      <w:start w:val="1"/>
      <w:numFmt w:val="bullet"/>
      <w:lvlText w:val=""/>
      <w:lvlJc w:val="left"/>
      <w:pPr>
        <w:tabs>
          <w:tab w:val="num" w:pos="5760"/>
        </w:tabs>
        <w:ind w:left="5760" w:hanging="360"/>
      </w:pPr>
      <w:rPr>
        <w:rFonts w:ascii="Wingdings" w:hAnsi="Wingdings" w:hint="default"/>
        <w:sz w:val="20"/>
      </w:rPr>
    </w:lvl>
    <w:lvl w:ilvl="8" w:tplc="C9A444CC"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CFD437D"/>
    <w:multiLevelType w:val="hybridMultilevel"/>
    <w:tmpl w:val="93AA7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DE468E1"/>
    <w:multiLevelType w:val="hybridMultilevel"/>
    <w:tmpl w:val="FDA43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E6A0E3B"/>
    <w:multiLevelType w:val="hybridMultilevel"/>
    <w:tmpl w:val="52FE4742"/>
    <w:lvl w:ilvl="0" w:tplc="6A34EBF8">
      <w:start w:val="1"/>
      <w:numFmt w:val="bullet"/>
      <w:lvlText w:val="·"/>
      <w:lvlJc w:val="left"/>
      <w:pPr>
        <w:ind w:left="720" w:hanging="360"/>
      </w:pPr>
      <w:rPr>
        <w:rFonts w:ascii="Symbol" w:hAnsi="Symbol" w:hint="default"/>
      </w:rPr>
    </w:lvl>
    <w:lvl w:ilvl="1" w:tplc="50C85E48">
      <w:start w:val="1"/>
      <w:numFmt w:val="bullet"/>
      <w:suff w:val="space"/>
      <w:lvlText w:val=""/>
      <w:lvlJc w:val="left"/>
      <w:pPr>
        <w:ind w:left="227" w:hanging="17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4"/>
  </w:num>
  <w:num w:numId="3">
    <w:abstractNumId w:val="45"/>
  </w:num>
  <w:num w:numId="4">
    <w:abstractNumId w:val="16"/>
  </w:num>
  <w:num w:numId="5">
    <w:abstractNumId w:val="54"/>
  </w:num>
  <w:num w:numId="6">
    <w:abstractNumId w:val="81"/>
  </w:num>
  <w:num w:numId="7">
    <w:abstractNumId w:val="94"/>
  </w:num>
  <w:num w:numId="8">
    <w:abstractNumId w:val="76"/>
  </w:num>
  <w:num w:numId="9">
    <w:abstractNumId w:val="4"/>
  </w:num>
  <w:num w:numId="10">
    <w:abstractNumId w:val="42"/>
  </w:num>
  <w:num w:numId="11">
    <w:abstractNumId w:val="77"/>
  </w:num>
  <w:num w:numId="12">
    <w:abstractNumId w:val="21"/>
  </w:num>
  <w:num w:numId="13">
    <w:abstractNumId w:val="3"/>
  </w:num>
  <w:num w:numId="14">
    <w:abstractNumId w:val="7"/>
  </w:num>
  <w:num w:numId="15">
    <w:abstractNumId w:val="19"/>
  </w:num>
  <w:num w:numId="16">
    <w:abstractNumId w:val="2"/>
  </w:num>
  <w:num w:numId="17">
    <w:abstractNumId w:val="63"/>
  </w:num>
  <w:num w:numId="18">
    <w:abstractNumId w:val="72"/>
  </w:num>
  <w:num w:numId="19">
    <w:abstractNumId w:val="6"/>
  </w:num>
  <w:num w:numId="20">
    <w:abstractNumId w:val="17"/>
  </w:num>
  <w:num w:numId="21">
    <w:abstractNumId w:val="1"/>
  </w:num>
  <w:num w:numId="22">
    <w:abstractNumId w:val="41"/>
  </w:num>
  <w:num w:numId="23">
    <w:abstractNumId w:val="38"/>
  </w:num>
  <w:num w:numId="24">
    <w:abstractNumId w:val="24"/>
  </w:num>
  <w:num w:numId="25">
    <w:abstractNumId w:val="29"/>
  </w:num>
  <w:num w:numId="26">
    <w:abstractNumId w:val="93"/>
  </w:num>
  <w:num w:numId="27">
    <w:abstractNumId w:val="32"/>
  </w:num>
  <w:num w:numId="28">
    <w:abstractNumId w:val="36"/>
  </w:num>
  <w:num w:numId="29">
    <w:abstractNumId w:val="23"/>
  </w:num>
  <w:num w:numId="30">
    <w:abstractNumId w:val="44"/>
  </w:num>
  <w:num w:numId="31">
    <w:abstractNumId w:val="78"/>
  </w:num>
  <w:num w:numId="32">
    <w:abstractNumId w:val="82"/>
  </w:num>
  <w:num w:numId="33">
    <w:abstractNumId w:val="95"/>
  </w:num>
  <w:num w:numId="34">
    <w:abstractNumId w:val="48"/>
  </w:num>
  <w:num w:numId="35">
    <w:abstractNumId w:val="58"/>
  </w:num>
  <w:num w:numId="36">
    <w:abstractNumId w:val="30"/>
  </w:num>
  <w:num w:numId="37">
    <w:abstractNumId w:val="39"/>
  </w:num>
  <w:num w:numId="38">
    <w:abstractNumId w:val="69"/>
  </w:num>
  <w:num w:numId="39">
    <w:abstractNumId w:val="37"/>
  </w:num>
  <w:num w:numId="40">
    <w:abstractNumId w:val="67"/>
  </w:num>
  <w:num w:numId="41">
    <w:abstractNumId w:val="91"/>
  </w:num>
  <w:num w:numId="42">
    <w:abstractNumId w:val="71"/>
  </w:num>
  <w:num w:numId="43">
    <w:abstractNumId w:val="5"/>
  </w:num>
  <w:num w:numId="44">
    <w:abstractNumId w:val="22"/>
  </w:num>
  <w:num w:numId="45">
    <w:abstractNumId w:val="43"/>
  </w:num>
  <w:num w:numId="46">
    <w:abstractNumId w:val="92"/>
  </w:num>
  <w:num w:numId="47">
    <w:abstractNumId w:val="62"/>
  </w:num>
  <w:num w:numId="48">
    <w:abstractNumId w:val="66"/>
  </w:num>
  <w:num w:numId="49">
    <w:abstractNumId w:val="74"/>
  </w:num>
  <w:num w:numId="50">
    <w:abstractNumId w:val="84"/>
  </w:num>
  <w:num w:numId="51">
    <w:abstractNumId w:val="64"/>
  </w:num>
  <w:num w:numId="52">
    <w:abstractNumId w:val="11"/>
  </w:num>
  <w:num w:numId="53">
    <w:abstractNumId w:val="18"/>
  </w:num>
  <w:num w:numId="54">
    <w:abstractNumId w:val="79"/>
  </w:num>
  <w:num w:numId="55">
    <w:abstractNumId w:val="75"/>
  </w:num>
  <w:num w:numId="56">
    <w:abstractNumId w:val="40"/>
  </w:num>
  <w:num w:numId="57">
    <w:abstractNumId w:val="83"/>
  </w:num>
  <w:num w:numId="58">
    <w:abstractNumId w:val="89"/>
  </w:num>
  <w:num w:numId="59">
    <w:abstractNumId w:val="96"/>
  </w:num>
  <w:num w:numId="60">
    <w:abstractNumId w:val="55"/>
  </w:num>
  <w:num w:numId="61">
    <w:abstractNumId w:val="47"/>
  </w:num>
  <w:num w:numId="62">
    <w:abstractNumId w:val="46"/>
  </w:num>
  <w:num w:numId="63">
    <w:abstractNumId w:val="85"/>
  </w:num>
  <w:num w:numId="64">
    <w:abstractNumId w:val="26"/>
  </w:num>
  <w:num w:numId="65">
    <w:abstractNumId w:val="90"/>
  </w:num>
  <w:num w:numId="66">
    <w:abstractNumId w:val="9"/>
  </w:num>
  <w:num w:numId="67">
    <w:abstractNumId w:val="57"/>
  </w:num>
  <w:num w:numId="68">
    <w:abstractNumId w:val="8"/>
  </w:num>
  <w:num w:numId="69">
    <w:abstractNumId w:val="73"/>
  </w:num>
  <w:num w:numId="70">
    <w:abstractNumId w:val="25"/>
  </w:num>
  <w:num w:numId="71">
    <w:abstractNumId w:val="80"/>
  </w:num>
  <w:num w:numId="72">
    <w:abstractNumId w:val="20"/>
  </w:num>
  <w:num w:numId="73">
    <w:abstractNumId w:val="33"/>
  </w:num>
  <w:num w:numId="74">
    <w:abstractNumId w:val="12"/>
  </w:num>
  <w:num w:numId="75">
    <w:abstractNumId w:val="59"/>
  </w:num>
  <w:num w:numId="76">
    <w:abstractNumId w:val="10"/>
  </w:num>
  <w:num w:numId="77">
    <w:abstractNumId w:val="60"/>
  </w:num>
  <w:num w:numId="78">
    <w:abstractNumId w:val="28"/>
  </w:num>
  <w:num w:numId="79">
    <w:abstractNumId w:val="97"/>
  </w:num>
  <w:num w:numId="80">
    <w:abstractNumId w:val="50"/>
  </w:num>
  <w:num w:numId="81">
    <w:abstractNumId w:val="49"/>
  </w:num>
  <w:num w:numId="82">
    <w:abstractNumId w:val="53"/>
  </w:num>
  <w:num w:numId="83">
    <w:abstractNumId w:val="70"/>
  </w:num>
  <w:num w:numId="84">
    <w:abstractNumId w:val="35"/>
  </w:num>
  <w:num w:numId="85">
    <w:abstractNumId w:val="87"/>
  </w:num>
  <w:num w:numId="86">
    <w:abstractNumId w:val="65"/>
  </w:num>
  <w:num w:numId="87">
    <w:abstractNumId w:val="56"/>
  </w:num>
  <w:num w:numId="88">
    <w:abstractNumId w:val="86"/>
  </w:num>
  <w:num w:numId="89">
    <w:abstractNumId w:val="61"/>
  </w:num>
  <w:num w:numId="90">
    <w:abstractNumId w:val="14"/>
  </w:num>
  <w:num w:numId="91">
    <w:abstractNumId w:val="52"/>
  </w:num>
  <w:num w:numId="92">
    <w:abstractNumId w:val="88"/>
  </w:num>
  <w:num w:numId="93">
    <w:abstractNumId w:val="31"/>
  </w:num>
  <w:num w:numId="94">
    <w:abstractNumId w:val="15"/>
  </w:num>
  <w:num w:numId="95">
    <w:abstractNumId w:val="68"/>
  </w:num>
  <w:num w:numId="96">
    <w:abstractNumId w:val="13"/>
  </w:num>
  <w:num w:numId="97">
    <w:abstractNumId w:val="27"/>
  </w:num>
  <w:num w:numId="98">
    <w:abstractNumId w:val="5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00E3D"/>
    <w:rsid w:val="00000850"/>
    <w:rsid w:val="00001550"/>
    <w:rsid w:val="00001674"/>
    <w:rsid w:val="00001EFD"/>
    <w:rsid w:val="00002002"/>
    <w:rsid w:val="00002CEB"/>
    <w:rsid w:val="00003579"/>
    <w:rsid w:val="00004A9E"/>
    <w:rsid w:val="00004F3F"/>
    <w:rsid w:val="00005239"/>
    <w:rsid w:val="00005846"/>
    <w:rsid w:val="00005BC0"/>
    <w:rsid w:val="00005FD6"/>
    <w:rsid w:val="00006174"/>
    <w:rsid w:val="00006523"/>
    <w:rsid w:val="00006E5F"/>
    <w:rsid w:val="0000708B"/>
    <w:rsid w:val="00007B6F"/>
    <w:rsid w:val="000103FC"/>
    <w:rsid w:val="00010A97"/>
    <w:rsid w:val="00010D85"/>
    <w:rsid w:val="0001140F"/>
    <w:rsid w:val="00011CA6"/>
    <w:rsid w:val="00011F66"/>
    <w:rsid w:val="00012FD0"/>
    <w:rsid w:val="00013F55"/>
    <w:rsid w:val="0001403B"/>
    <w:rsid w:val="000158ED"/>
    <w:rsid w:val="00015CC7"/>
    <w:rsid w:val="000165B3"/>
    <w:rsid w:val="000166FC"/>
    <w:rsid w:val="00016B85"/>
    <w:rsid w:val="00016FA7"/>
    <w:rsid w:val="00017F9A"/>
    <w:rsid w:val="000203AB"/>
    <w:rsid w:val="00020CB7"/>
    <w:rsid w:val="00020EF9"/>
    <w:rsid w:val="000217D2"/>
    <w:rsid w:val="00022248"/>
    <w:rsid w:val="00023D74"/>
    <w:rsid w:val="00024A1E"/>
    <w:rsid w:val="00026ECE"/>
    <w:rsid w:val="000271AA"/>
    <w:rsid w:val="0002738E"/>
    <w:rsid w:val="000276DD"/>
    <w:rsid w:val="000278ED"/>
    <w:rsid w:val="00027C15"/>
    <w:rsid w:val="0003005B"/>
    <w:rsid w:val="00030F8A"/>
    <w:rsid w:val="00031523"/>
    <w:rsid w:val="00031564"/>
    <w:rsid w:val="0003189D"/>
    <w:rsid w:val="00033599"/>
    <w:rsid w:val="0003370A"/>
    <w:rsid w:val="000338B2"/>
    <w:rsid w:val="00033DCA"/>
    <w:rsid w:val="00033FC3"/>
    <w:rsid w:val="00034841"/>
    <w:rsid w:val="00034D7F"/>
    <w:rsid w:val="00034DC8"/>
    <w:rsid w:val="00035631"/>
    <w:rsid w:val="00035F37"/>
    <w:rsid w:val="000363C6"/>
    <w:rsid w:val="000364B7"/>
    <w:rsid w:val="000364BE"/>
    <w:rsid w:val="000367F8"/>
    <w:rsid w:val="000374EF"/>
    <w:rsid w:val="0004275D"/>
    <w:rsid w:val="00042C23"/>
    <w:rsid w:val="00042F55"/>
    <w:rsid w:val="00043547"/>
    <w:rsid w:val="00043F6A"/>
    <w:rsid w:val="00044492"/>
    <w:rsid w:val="000447FE"/>
    <w:rsid w:val="000449C2"/>
    <w:rsid w:val="000457CC"/>
    <w:rsid w:val="00046912"/>
    <w:rsid w:val="00046B61"/>
    <w:rsid w:val="00046F6E"/>
    <w:rsid w:val="0004712C"/>
    <w:rsid w:val="00050190"/>
    <w:rsid w:val="00050488"/>
    <w:rsid w:val="00050645"/>
    <w:rsid w:val="00050961"/>
    <w:rsid w:val="00050CE2"/>
    <w:rsid w:val="0005102E"/>
    <w:rsid w:val="0005244D"/>
    <w:rsid w:val="00052574"/>
    <w:rsid w:val="000527CD"/>
    <w:rsid w:val="00052835"/>
    <w:rsid w:val="00052D96"/>
    <w:rsid w:val="00054002"/>
    <w:rsid w:val="0005428E"/>
    <w:rsid w:val="00054EC1"/>
    <w:rsid w:val="0005506A"/>
    <w:rsid w:val="0005545E"/>
    <w:rsid w:val="00055A14"/>
    <w:rsid w:val="00055C73"/>
    <w:rsid w:val="00056730"/>
    <w:rsid w:val="000573F1"/>
    <w:rsid w:val="000601D8"/>
    <w:rsid w:val="0006023B"/>
    <w:rsid w:val="00060AE6"/>
    <w:rsid w:val="00060AFD"/>
    <w:rsid w:val="00061475"/>
    <w:rsid w:val="0006147E"/>
    <w:rsid w:val="000619D6"/>
    <w:rsid w:val="00061F87"/>
    <w:rsid w:val="000621C2"/>
    <w:rsid w:val="000628AE"/>
    <w:rsid w:val="000635FA"/>
    <w:rsid w:val="00063AC8"/>
    <w:rsid w:val="00065A1B"/>
    <w:rsid w:val="00065E37"/>
    <w:rsid w:val="0006749D"/>
    <w:rsid w:val="0006788B"/>
    <w:rsid w:val="000705A3"/>
    <w:rsid w:val="00070760"/>
    <w:rsid w:val="00070B8D"/>
    <w:rsid w:val="00071526"/>
    <w:rsid w:val="00072270"/>
    <w:rsid w:val="000729CE"/>
    <w:rsid w:val="00072E0A"/>
    <w:rsid w:val="000743D6"/>
    <w:rsid w:val="00074C14"/>
    <w:rsid w:val="00075634"/>
    <w:rsid w:val="00075A5C"/>
    <w:rsid w:val="00075B66"/>
    <w:rsid w:val="0007648F"/>
    <w:rsid w:val="000765D4"/>
    <w:rsid w:val="000768FB"/>
    <w:rsid w:val="000777A4"/>
    <w:rsid w:val="00077EAC"/>
    <w:rsid w:val="000806A9"/>
    <w:rsid w:val="00080C8B"/>
    <w:rsid w:val="00080DDD"/>
    <w:rsid w:val="00081387"/>
    <w:rsid w:val="00081484"/>
    <w:rsid w:val="0008183D"/>
    <w:rsid w:val="00081975"/>
    <w:rsid w:val="00081F3C"/>
    <w:rsid w:val="000828AD"/>
    <w:rsid w:val="0008340C"/>
    <w:rsid w:val="000834F9"/>
    <w:rsid w:val="000839AD"/>
    <w:rsid w:val="000841EB"/>
    <w:rsid w:val="00084F60"/>
    <w:rsid w:val="00085F57"/>
    <w:rsid w:val="00086F0E"/>
    <w:rsid w:val="000872AB"/>
    <w:rsid w:val="000876DB"/>
    <w:rsid w:val="000876E6"/>
    <w:rsid w:val="0009029A"/>
    <w:rsid w:val="00090B95"/>
    <w:rsid w:val="00090FC6"/>
    <w:rsid w:val="000911A5"/>
    <w:rsid w:val="00091EA1"/>
    <w:rsid w:val="00092843"/>
    <w:rsid w:val="00092B43"/>
    <w:rsid w:val="00092C1F"/>
    <w:rsid w:val="00093102"/>
    <w:rsid w:val="0009329D"/>
    <w:rsid w:val="00093E2A"/>
    <w:rsid w:val="00094114"/>
    <w:rsid w:val="00094226"/>
    <w:rsid w:val="0009520A"/>
    <w:rsid w:val="000956A5"/>
    <w:rsid w:val="00096C6F"/>
    <w:rsid w:val="0009785E"/>
    <w:rsid w:val="00097899"/>
    <w:rsid w:val="00097A01"/>
    <w:rsid w:val="000A0AFF"/>
    <w:rsid w:val="000A0C7C"/>
    <w:rsid w:val="000A0DDF"/>
    <w:rsid w:val="000A10BE"/>
    <w:rsid w:val="000A12B9"/>
    <w:rsid w:val="000A223B"/>
    <w:rsid w:val="000A22B0"/>
    <w:rsid w:val="000A249F"/>
    <w:rsid w:val="000A2671"/>
    <w:rsid w:val="000A29BF"/>
    <w:rsid w:val="000A2D72"/>
    <w:rsid w:val="000A2F9C"/>
    <w:rsid w:val="000A3152"/>
    <w:rsid w:val="000A3C20"/>
    <w:rsid w:val="000A401E"/>
    <w:rsid w:val="000A426A"/>
    <w:rsid w:val="000A4799"/>
    <w:rsid w:val="000A481D"/>
    <w:rsid w:val="000A4848"/>
    <w:rsid w:val="000A53B2"/>
    <w:rsid w:val="000A54BF"/>
    <w:rsid w:val="000A5836"/>
    <w:rsid w:val="000A5C69"/>
    <w:rsid w:val="000A6204"/>
    <w:rsid w:val="000A68A9"/>
    <w:rsid w:val="000A6C85"/>
    <w:rsid w:val="000A7CE4"/>
    <w:rsid w:val="000B01F0"/>
    <w:rsid w:val="000B1207"/>
    <w:rsid w:val="000B1497"/>
    <w:rsid w:val="000B19B5"/>
    <w:rsid w:val="000B2358"/>
    <w:rsid w:val="000B249A"/>
    <w:rsid w:val="000B25B7"/>
    <w:rsid w:val="000B2DED"/>
    <w:rsid w:val="000B2F34"/>
    <w:rsid w:val="000B3643"/>
    <w:rsid w:val="000B3CC4"/>
    <w:rsid w:val="000B4762"/>
    <w:rsid w:val="000B51FE"/>
    <w:rsid w:val="000B5389"/>
    <w:rsid w:val="000B58C1"/>
    <w:rsid w:val="000B62E3"/>
    <w:rsid w:val="000B6B7F"/>
    <w:rsid w:val="000B6ED4"/>
    <w:rsid w:val="000C0113"/>
    <w:rsid w:val="000C0967"/>
    <w:rsid w:val="000C09DE"/>
    <w:rsid w:val="000C1701"/>
    <w:rsid w:val="000C189F"/>
    <w:rsid w:val="000C1FDA"/>
    <w:rsid w:val="000C3064"/>
    <w:rsid w:val="000C4021"/>
    <w:rsid w:val="000C471C"/>
    <w:rsid w:val="000C60C6"/>
    <w:rsid w:val="000C6199"/>
    <w:rsid w:val="000C6C20"/>
    <w:rsid w:val="000C75EB"/>
    <w:rsid w:val="000C7736"/>
    <w:rsid w:val="000C7933"/>
    <w:rsid w:val="000C7939"/>
    <w:rsid w:val="000C7CFD"/>
    <w:rsid w:val="000D031D"/>
    <w:rsid w:val="000D0404"/>
    <w:rsid w:val="000D09C8"/>
    <w:rsid w:val="000D0CDD"/>
    <w:rsid w:val="000D0E59"/>
    <w:rsid w:val="000D21E7"/>
    <w:rsid w:val="000D2244"/>
    <w:rsid w:val="000D271B"/>
    <w:rsid w:val="000D2823"/>
    <w:rsid w:val="000D34BA"/>
    <w:rsid w:val="000D3ADD"/>
    <w:rsid w:val="000D45E7"/>
    <w:rsid w:val="000D4DB4"/>
    <w:rsid w:val="000D4DE8"/>
    <w:rsid w:val="000D5150"/>
    <w:rsid w:val="000D578F"/>
    <w:rsid w:val="000D5C9A"/>
    <w:rsid w:val="000D5F55"/>
    <w:rsid w:val="000D6CEA"/>
    <w:rsid w:val="000D6D65"/>
    <w:rsid w:val="000E0A94"/>
    <w:rsid w:val="000E0FAB"/>
    <w:rsid w:val="000E1436"/>
    <w:rsid w:val="000E215D"/>
    <w:rsid w:val="000E2212"/>
    <w:rsid w:val="000E230A"/>
    <w:rsid w:val="000E2DB0"/>
    <w:rsid w:val="000E2E87"/>
    <w:rsid w:val="000E3412"/>
    <w:rsid w:val="000E36C6"/>
    <w:rsid w:val="000E36F9"/>
    <w:rsid w:val="000E3ADF"/>
    <w:rsid w:val="000E3CA9"/>
    <w:rsid w:val="000E3D7D"/>
    <w:rsid w:val="000E4064"/>
    <w:rsid w:val="000E4D59"/>
    <w:rsid w:val="000E4F0A"/>
    <w:rsid w:val="000E54C6"/>
    <w:rsid w:val="000E5A33"/>
    <w:rsid w:val="000E5B4E"/>
    <w:rsid w:val="000E689A"/>
    <w:rsid w:val="000E6DB8"/>
    <w:rsid w:val="000E7333"/>
    <w:rsid w:val="000E7776"/>
    <w:rsid w:val="000E7801"/>
    <w:rsid w:val="000E7823"/>
    <w:rsid w:val="000E7C98"/>
    <w:rsid w:val="000F0125"/>
    <w:rsid w:val="000F06EC"/>
    <w:rsid w:val="000F0EEA"/>
    <w:rsid w:val="000F104F"/>
    <w:rsid w:val="000F1192"/>
    <w:rsid w:val="000F1CCD"/>
    <w:rsid w:val="000F1D5C"/>
    <w:rsid w:val="000F1F23"/>
    <w:rsid w:val="000F20C9"/>
    <w:rsid w:val="000F2580"/>
    <w:rsid w:val="000F2BC9"/>
    <w:rsid w:val="000F2C9A"/>
    <w:rsid w:val="000F3AC5"/>
    <w:rsid w:val="000F3E9E"/>
    <w:rsid w:val="000F4102"/>
    <w:rsid w:val="000F48E9"/>
    <w:rsid w:val="000F5DF0"/>
    <w:rsid w:val="000F634B"/>
    <w:rsid w:val="000F66A9"/>
    <w:rsid w:val="000F6FF8"/>
    <w:rsid w:val="000F74AF"/>
    <w:rsid w:val="000F7C0F"/>
    <w:rsid w:val="001004EB"/>
    <w:rsid w:val="00100F00"/>
    <w:rsid w:val="00101043"/>
    <w:rsid w:val="001010EE"/>
    <w:rsid w:val="001011BF"/>
    <w:rsid w:val="001020C1"/>
    <w:rsid w:val="001025CC"/>
    <w:rsid w:val="001048E7"/>
    <w:rsid w:val="0010589C"/>
    <w:rsid w:val="00105DA2"/>
    <w:rsid w:val="00105FFF"/>
    <w:rsid w:val="001069D1"/>
    <w:rsid w:val="001069D3"/>
    <w:rsid w:val="0010724E"/>
    <w:rsid w:val="00107427"/>
    <w:rsid w:val="001074FD"/>
    <w:rsid w:val="00110296"/>
    <w:rsid w:val="00110730"/>
    <w:rsid w:val="00110C94"/>
    <w:rsid w:val="00110F3E"/>
    <w:rsid w:val="001110E5"/>
    <w:rsid w:val="001111F9"/>
    <w:rsid w:val="00111C8F"/>
    <w:rsid w:val="00111ED6"/>
    <w:rsid w:val="0011213A"/>
    <w:rsid w:val="00114B3C"/>
    <w:rsid w:val="00114EEC"/>
    <w:rsid w:val="001154CE"/>
    <w:rsid w:val="00115696"/>
    <w:rsid w:val="00115E37"/>
    <w:rsid w:val="0011636A"/>
    <w:rsid w:val="001163CA"/>
    <w:rsid w:val="0011741E"/>
    <w:rsid w:val="001176C8"/>
    <w:rsid w:val="0011796D"/>
    <w:rsid w:val="001203BA"/>
    <w:rsid w:val="001209B3"/>
    <w:rsid w:val="00120E53"/>
    <w:rsid w:val="00120E63"/>
    <w:rsid w:val="00120FE1"/>
    <w:rsid w:val="00121488"/>
    <w:rsid w:val="001218F5"/>
    <w:rsid w:val="0012231B"/>
    <w:rsid w:val="001227C5"/>
    <w:rsid w:val="00122BF5"/>
    <w:rsid w:val="0012314F"/>
    <w:rsid w:val="00123A31"/>
    <w:rsid w:val="00123C30"/>
    <w:rsid w:val="00124102"/>
    <w:rsid w:val="00124A65"/>
    <w:rsid w:val="00124BBF"/>
    <w:rsid w:val="00125151"/>
    <w:rsid w:val="00125378"/>
    <w:rsid w:val="00125765"/>
    <w:rsid w:val="00125C15"/>
    <w:rsid w:val="001260A0"/>
    <w:rsid w:val="0012660C"/>
    <w:rsid w:val="0012692C"/>
    <w:rsid w:val="00126F78"/>
    <w:rsid w:val="00127ADC"/>
    <w:rsid w:val="00130214"/>
    <w:rsid w:val="00130225"/>
    <w:rsid w:val="001307E8"/>
    <w:rsid w:val="00130956"/>
    <w:rsid w:val="0013181B"/>
    <w:rsid w:val="00131B53"/>
    <w:rsid w:val="00131F19"/>
    <w:rsid w:val="00132646"/>
    <w:rsid w:val="0013297C"/>
    <w:rsid w:val="00132DB0"/>
    <w:rsid w:val="00132F98"/>
    <w:rsid w:val="0013319C"/>
    <w:rsid w:val="00133459"/>
    <w:rsid w:val="00133E62"/>
    <w:rsid w:val="001342CC"/>
    <w:rsid w:val="001343A2"/>
    <w:rsid w:val="001366F2"/>
    <w:rsid w:val="00136787"/>
    <w:rsid w:val="00136DEA"/>
    <w:rsid w:val="00137177"/>
    <w:rsid w:val="00137580"/>
    <w:rsid w:val="001376E8"/>
    <w:rsid w:val="00137A39"/>
    <w:rsid w:val="00137B21"/>
    <w:rsid w:val="00140172"/>
    <w:rsid w:val="00140CD9"/>
    <w:rsid w:val="001414D0"/>
    <w:rsid w:val="00141644"/>
    <w:rsid w:val="0014182B"/>
    <w:rsid w:val="00141EB2"/>
    <w:rsid w:val="00141ED3"/>
    <w:rsid w:val="0014298D"/>
    <w:rsid w:val="00142F3C"/>
    <w:rsid w:val="00143086"/>
    <w:rsid w:val="0014340F"/>
    <w:rsid w:val="001439AE"/>
    <w:rsid w:val="00144314"/>
    <w:rsid w:val="00144C6C"/>
    <w:rsid w:val="00146AB4"/>
    <w:rsid w:val="001471E3"/>
    <w:rsid w:val="001472D4"/>
    <w:rsid w:val="00147CA8"/>
    <w:rsid w:val="001500F8"/>
    <w:rsid w:val="00150605"/>
    <w:rsid w:val="001508B6"/>
    <w:rsid w:val="00150B4B"/>
    <w:rsid w:val="00150BA7"/>
    <w:rsid w:val="00150C8C"/>
    <w:rsid w:val="001529A4"/>
    <w:rsid w:val="00152D83"/>
    <w:rsid w:val="00153C39"/>
    <w:rsid w:val="00153E5A"/>
    <w:rsid w:val="001542A8"/>
    <w:rsid w:val="00154386"/>
    <w:rsid w:val="001545C0"/>
    <w:rsid w:val="00154816"/>
    <w:rsid w:val="00154AC9"/>
    <w:rsid w:val="00154BA6"/>
    <w:rsid w:val="00155041"/>
    <w:rsid w:val="001555D2"/>
    <w:rsid w:val="00155F53"/>
    <w:rsid w:val="0015602C"/>
    <w:rsid w:val="001565E5"/>
    <w:rsid w:val="0015664D"/>
    <w:rsid w:val="0015797F"/>
    <w:rsid w:val="001579B9"/>
    <w:rsid w:val="00157FC1"/>
    <w:rsid w:val="0016041D"/>
    <w:rsid w:val="001604FE"/>
    <w:rsid w:val="00160714"/>
    <w:rsid w:val="00160DFC"/>
    <w:rsid w:val="001614A4"/>
    <w:rsid w:val="001623B8"/>
    <w:rsid w:val="00162E57"/>
    <w:rsid w:val="00162F89"/>
    <w:rsid w:val="001633F7"/>
    <w:rsid w:val="00163532"/>
    <w:rsid w:val="001647C7"/>
    <w:rsid w:val="00164EDC"/>
    <w:rsid w:val="00165175"/>
    <w:rsid w:val="0016521E"/>
    <w:rsid w:val="00165A30"/>
    <w:rsid w:val="00165AC8"/>
    <w:rsid w:val="00166756"/>
    <w:rsid w:val="00166814"/>
    <w:rsid w:val="001669CD"/>
    <w:rsid w:val="00166F39"/>
    <w:rsid w:val="00167AA8"/>
    <w:rsid w:val="00167B57"/>
    <w:rsid w:val="00170850"/>
    <w:rsid w:val="00170A75"/>
    <w:rsid w:val="00171D32"/>
    <w:rsid w:val="00171D37"/>
    <w:rsid w:val="00172194"/>
    <w:rsid w:val="00172289"/>
    <w:rsid w:val="001727CF"/>
    <w:rsid w:val="00173082"/>
    <w:rsid w:val="001733D3"/>
    <w:rsid w:val="001734BE"/>
    <w:rsid w:val="0017372E"/>
    <w:rsid w:val="00173A3F"/>
    <w:rsid w:val="00173AC7"/>
    <w:rsid w:val="0017557F"/>
    <w:rsid w:val="00175BAC"/>
    <w:rsid w:val="00176449"/>
    <w:rsid w:val="00176527"/>
    <w:rsid w:val="0017685F"/>
    <w:rsid w:val="00176AED"/>
    <w:rsid w:val="00176C70"/>
    <w:rsid w:val="001771E9"/>
    <w:rsid w:val="001802B2"/>
    <w:rsid w:val="0018129F"/>
    <w:rsid w:val="001812D0"/>
    <w:rsid w:val="00181B30"/>
    <w:rsid w:val="00181EB7"/>
    <w:rsid w:val="00182214"/>
    <w:rsid w:val="001827BC"/>
    <w:rsid w:val="00182AD8"/>
    <w:rsid w:val="00182E6D"/>
    <w:rsid w:val="00182FE0"/>
    <w:rsid w:val="001831EF"/>
    <w:rsid w:val="00183F6F"/>
    <w:rsid w:val="00183FEB"/>
    <w:rsid w:val="00185F71"/>
    <w:rsid w:val="0018679B"/>
    <w:rsid w:val="00186914"/>
    <w:rsid w:val="00186C96"/>
    <w:rsid w:val="0018762E"/>
    <w:rsid w:val="0018778A"/>
    <w:rsid w:val="00187A17"/>
    <w:rsid w:val="00187DE5"/>
    <w:rsid w:val="00190070"/>
    <w:rsid w:val="001902AC"/>
    <w:rsid w:val="00190ABA"/>
    <w:rsid w:val="00190C37"/>
    <w:rsid w:val="001913FE"/>
    <w:rsid w:val="001914AB"/>
    <w:rsid w:val="00191628"/>
    <w:rsid w:val="00191820"/>
    <w:rsid w:val="001928D4"/>
    <w:rsid w:val="00193489"/>
    <w:rsid w:val="00193641"/>
    <w:rsid w:val="00193FBE"/>
    <w:rsid w:val="0019457F"/>
    <w:rsid w:val="00194853"/>
    <w:rsid w:val="00195782"/>
    <w:rsid w:val="00195878"/>
    <w:rsid w:val="00197238"/>
    <w:rsid w:val="00197779"/>
    <w:rsid w:val="001A084D"/>
    <w:rsid w:val="001A09B3"/>
    <w:rsid w:val="001A0D0F"/>
    <w:rsid w:val="001A1D9E"/>
    <w:rsid w:val="001A2037"/>
    <w:rsid w:val="001A233E"/>
    <w:rsid w:val="001A383A"/>
    <w:rsid w:val="001A3B9D"/>
    <w:rsid w:val="001A3DC6"/>
    <w:rsid w:val="001A488B"/>
    <w:rsid w:val="001A5443"/>
    <w:rsid w:val="001A5A16"/>
    <w:rsid w:val="001A5A8F"/>
    <w:rsid w:val="001A6187"/>
    <w:rsid w:val="001A6CE2"/>
    <w:rsid w:val="001A7CC2"/>
    <w:rsid w:val="001B0460"/>
    <w:rsid w:val="001B069A"/>
    <w:rsid w:val="001B0E12"/>
    <w:rsid w:val="001B0F06"/>
    <w:rsid w:val="001B13AE"/>
    <w:rsid w:val="001B14EA"/>
    <w:rsid w:val="001B206B"/>
    <w:rsid w:val="001B26C2"/>
    <w:rsid w:val="001B27D9"/>
    <w:rsid w:val="001B2A42"/>
    <w:rsid w:val="001B2F77"/>
    <w:rsid w:val="001B31C5"/>
    <w:rsid w:val="001B3301"/>
    <w:rsid w:val="001B344F"/>
    <w:rsid w:val="001B3E3E"/>
    <w:rsid w:val="001B416D"/>
    <w:rsid w:val="001B6428"/>
    <w:rsid w:val="001B718F"/>
    <w:rsid w:val="001B71FD"/>
    <w:rsid w:val="001B7263"/>
    <w:rsid w:val="001B7A14"/>
    <w:rsid w:val="001B7C4F"/>
    <w:rsid w:val="001B7C91"/>
    <w:rsid w:val="001B7DA7"/>
    <w:rsid w:val="001B7DDF"/>
    <w:rsid w:val="001C15AB"/>
    <w:rsid w:val="001C22C4"/>
    <w:rsid w:val="001C370E"/>
    <w:rsid w:val="001C4821"/>
    <w:rsid w:val="001C49E2"/>
    <w:rsid w:val="001C4BBB"/>
    <w:rsid w:val="001C4CA0"/>
    <w:rsid w:val="001C51F7"/>
    <w:rsid w:val="001C5C15"/>
    <w:rsid w:val="001C6281"/>
    <w:rsid w:val="001C65F6"/>
    <w:rsid w:val="001C6819"/>
    <w:rsid w:val="001C6FB0"/>
    <w:rsid w:val="001D0926"/>
    <w:rsid w:val="001D09BC"/>
    <w:rsid w:val="001D0AC0"/>
    <w:rsid w:val="001D1AD0"/>
    <w:rsid w:val="001D29C6"/>
    <w:rsid w:val="001D2C19"/>
    <w:rsid w:val="001D30AE"/>
    <w:rsid w:val="001D3BBC"/>
    <w:rsid w:val="001D42B6"/>
    <w:rsid w:val="001D5312"/>
    <w:rsid w:val="001D54C5"/>
    <w:rsid w:val="001D5D02"/>
    <w:rsid w:val="001D66CF"/>
    <w:rsid w:val="001D6B3B"/>
    <w:rsid w:val="001D6C82"/>
    <w:rsid w:val="001D7247"/>
    <w:rsid w:val="001D7965"/>
    <w:rsid w:val="001D79F5"/>
    <w:rsid w:val="001D7E99"/>
    <w:rsid w:val="001E09B5"/>
    <w:rsid w:val="001E0B55"/>
    <w:rsid w:val="001E0B66"/>
    <w:rsid w:val="001E21CE"/>
    <w:rsid w:val="001E2264"/>
    <w:rsid w:val="001E2964"/>
    <w:rsid w:val="001E29BF"/>
    <w:rsid w:val="001E3559"/>
    <w:rsid w:val="001E3E2B"/>
    <w:rsid w:val="001E41F0"/>
    <w:rsid w:val="001E4819"/>
    <w:rsid w:val="001E4834"/>
    <w:rsid w:val="001E4F82"/>
    <w:rsid w:val="001E55E6"/>
    <w:rsid w:val="001E5654"/>
    <w:rsid w:val="001E5FC5"/>
    <w:rsid w:val="001E64CD"/>
    <w:rsid w:val="001E65F9"/>
    <w:rsid w:val="001E6DC0"/>
    <w:rsid w:val="001E6ECB"/>
    <w:rsid w:val="001E79E9"/>
    <w:rsid w:val="001E7B37"/>
    <w:rsid w:val="001F0112"/>
    <w:rsid w:val="001F0150"/>
    <w:rsid w:val="001F016A"/>
    <w:rsid w:val="001F0A7A"/>
    <w:rsid w:val="001F1228"/>
    <w:rsid w:val="001F13AB"/>
    <w:rsid w:val="001F1F02"/>
    <w:rsid w:val="001F20D2"/>
    <w:rsid w:val="001F295F"/>
    <w:rsid w:val="001F29E2"/>
    <w:rsid w:val="001F31BA"/>
    <w:rsid w:val="001F36CB"/>
    <w:rsid w:val="001F3E0B"/>
    <w:rsid w:val="001F3F7A"/>
    <w:rsid w:val="001F4772"/>
    <w:rsid w:val="001F4949"/>
    <w:rsid w:val="001F554A"/>
    <w:rsid w:val="001F6B11"/>
    <w:rsid w:val="001F6C30"/>
    <w:rsid w:val="001F7101"/>
    <w:rsid w:val="001F7311"/>
    <w:rsid w:val="001F77DA"/>
    <w:rsid w:val="001F78EA"/>
    <w:rsid w:val="00200B29"/>
    <w:rsid w:val="0020166C"/>
    <w:rsid w:val="00201B32"/>
    <w:rsid w:val="00202336"/>
    <w:rsid w:val="00203515"/>
    <w:rsid w:val="00203685"/>
    <w:rsid w:val="002037F1"/>
    <w:rsid w:val="002038D3"/>
    <w:rsid w:val="0020435E"/>
    <w:rsid w:val="00204AFC"/>
    <w:rsid w:val="00204F51"/>
    <w:rsid w:val="002051EE"/>
    <w:rsid w:val="00205851"/>
    <w:rsid w:val="00205940"/>
    <w:rsid w:val="00205DF2"/>
    <w:rsid w:val="00205F1D"/>
    <w:rsid w:val="00205FF7"/>
    <w:rsid w:val="002060BE"/>
    <w:rsid w:val="00206850"/>
    <w:rsid w:val="00206971"/>
    <w:rsid w:val="00206F6F"/>
    <w:rsid w:val="00207104"/>
    <w:rsid w:val="00207F69"/>
    <w:rsid w:val="00210568"/>
    <w:rsid w:val="002108E0"/>
    <w:rsid w:val="0021105E"/>
    <w:rsid w:val="0021132C"/>
    <w:rsid w:val="00211B19"/>
    <w:rsid w:val="002129D3"/>
    <w:rsid w:val="00212C56"/>
    <w:rsid w:val="0021329A"/>
    <w:rsid w:val="00213B01"/>
    <w:rsid w:val="00213E94"/>
    <w:rsid w:val="0021403B"/>
    <w:rsid w:val="002144BE"/>
    <w:rsid w:val="00214EAE"/>
    <w:rsid w:val="002165A2"/>
    <w:rsid w:val="00216E5B"/>
    <w:rsid w:val="002204B2"/>
    <w:rsid w:val="0022074B"/>
    <w:rsid w:val="002216F5"/>
    <w:rsid w:val="00221957"/>
    <w:rsid w:val="00221CCD"/>
    <w:rsid w:val="002226D9"/>
    <w:rsid w:val="00222763"/>
    <w:rsid w:val="00222C16"/>
    <w:rsid w:val="00222CD9"/>
    <w:rsid w:val="00222D56"/>
    <w:rsid w:val="00223596"/>
    <w:rsid w:val="002236C1"/>
    <w:rsid w:val="00223886"/>
    <w:rsid w:val="002238F1"/>
    <w:rsid w:val="002244B3"/>
    <w:rsid w:val="00224BA8"/>
    <w:rsid w:val="00225128"/>
    <w:rsid w:val="00225D46"/>
    <w:rsid w:val="00225EFE"/>
    <w:rsid w:val="0022669E"/>
    <w:rsid w:val="00226B56"/>
    <w:rsid w:val="002303FB"/>
    <w:rsid w:val="00231031"/>
    <w:rsid w:val="0023132D"/>
    <w:rsid w:val="0023178B"/>
    <w:rsid w:val="00231DB5"/>
    <w:rsid w:val="00231FC1"/>
    <w:rsid w:val="00232BBD"/>
    <w:rsid w:val="00232C97"/>
    <w:rsid w:val="00232FDB"/>
    <w:rsid w:val="00233342"/>
    <w:rsid w:val="00233849"/>
    <w:rsid w:val="00233C19"/>
    <w:rsid w:val="002342A9"/>
    <w:rsid w:val="00235EEB"/>
    <w:rsid w:val="00235FCF"/>
    <w:rsid w:val="0023639D"/>
    <w:rsid w:val="00236A96"/>
    <w:rsid w:val="0023784C"/>
    <w:rsid w:val="00240323"/>
    <w:rsid w:val="00241C03"/>
    <w:rsid w:val="00241FB1"/>
    <w:rsid w:val="0024233D"/>
    <w:rsid w:val="00243073"/>
    <w:rsid w:val="002438DB"/>
    <w:rsid w:val="00243FA7"/>
    <w:rsid w:val="00244096"/>
    <w:rsid w:val="00244B34"/>
    <w:rsid w:val="00245673"/>
    <w:rsid w:val="002457A8"/>
    <w:rsid w:val="00246253"/>
    <w:rsid w:val="00246A14"/>
    <w:rsid w:val="00246AEB"/>
    <w:rsid w:val="002471EC"/>
    <w:rsid w:val="002472BB"/>
    <w:rsid w:val="00247329"/>
    <w:rsid w:val="002477E7"/>
    <w:rsid w:val="00247AE8"/>
    <w:rsid w:val="00250320"/>
    <w:rsid w:val="00250415"/>
    <w:rsid w:val="00250747"/>
    <w:rsid w:val="002521ED"/>
    <w:rsid w:val="0025256C"/>
    <w:rsid w:val="002527BD"/>
    <w:rsid w:val="00252DAC"/>
    <w:rsid w:val="00252FE4"/>
    <w:rsid w:val="002531B3"/>
    <w:rsid w:val="002537BE"/>
    <w:rsid w:val="00253CD9"/>
    <w:rsid w:val="00254255"/>
    <w:rsid w:val="002551E1"/>
    <w:rsid w:val="00255BCF"/>
    <w:rsid w:val="0025613B"/>
    <w:rsid w:val="002563C7"/>
    <w:rsid w:val="0025670E"/>
    <w:rsid w:val="002574A0"/>
    <w:rsid w:val="00257512"/>
    <w:rsid w:val="002577D4"/>
    <w:rsid w:val="00257EEF"/>
    <w:rsid w:val="00260EBE"/>
    <w:rsid w:val="00262120"/>
    <w:rsid w:val="00262A42"/>
    <w:rsid w:val="0026305B"/>
    <w:rsid w:val="00263543"/>
    <w:rsid w:val="00264A4F"/>
    <w:rsid w:val="0026526B"/>
    <w:rsid w:val="002667A4"/>
    <w:rsid w:val="00266925"/>
    <w:rsid w:val="00266ACE"/>
    <w:rsid w:val="00267333"/>
    <w:rsid w:val="00267424"/>
    <w:rsid w:val="00267695"/>
    <w:rsid w:val="0027064F"/>
    <w:rsid w:val="00270A34"/>
    <w:rsid w:val="00270AD8"/>
    <w:rsid w:val="002713DA"/>
    <w:rsid w:val="00271B5E"/>
    <w:rsid w:val="00272909"/>
    <w:rsid w:val="00273212"/>
    <w:rsid w:val="002744B8"/>
    <w:rsid w:val="00274C4B"/>
    <w:rsid w:val="00274E37"/>
    <w:rsid w:val="00275F73"/>
    <w:rsid w:val="002762D3"/>
    <w:rsid w:val="002767E8"/>
    <w:rsid w:val="002767EC"/>
    <w:rsid w:val="00276CD2"/>
    <w:rsid w:val="00276D2E"/>
    <w:rsid w:val="002770CC"/>
    <w:rsid w:val="00277352"/>
    <w:rsid w:val="00277492"/>
    <w:rsid w:val="00277619"/>
    <w:rsid w:val="00277BFF"/>
    <w:rsid w:val="00277C6E"/>
    <w:rsid w:val="00277D7A"/>
    <w:rsid w:val="00277FD3"/>
    <w:rsid w:val="002817DC"/>
    <w:rsid w:val="00281D88"/>
    <w:rsid w:val="0028228F"/>
    <w:rsid w:val="002822AD"/>
    <w:rsid w:val="002836E7"/>
    <w:rsid w:val="0028418D"/>
    <w:rsid w:val="00284271"/>
    <w:rsid w:val="00285109"/>
    <w:rsid w:val="002851FA"/>
    <w:rsid w:val="00285302"/>
    <w:rsid w:val="002853B9"/>
    <w:rsid w:val="00285460"/>
    <w:rsid w:val="00285574"/>
    <w:rsid w:val="0028560B"/>
    <w:rsid w:val="0028685F"/>
    <w:rsid w:val="00286F5D"/>
    <w:rsid w:val="002870E8"/>
    <w:rsid w:val="0028718E"/>
    <w:rsid w:val="0028752F"/>
    <w:rsid w:val="00287A33"/>
    <w:rsid w:val="00290849"/>
    <w:rsid w:val="00290D77"/>
    <w:rsid w:val="00290E89"/>
    <w:rsid w:val="0029158D"/>
    <w:rsid w:val="0029186B"/>
    <w:rsid w:val="00291A8A"/>
    <w:rsid w:val="00292727"/>
    <w:rsid w:val="00293790"/>
    <w:rsid w:val="00293B9B"/>
    <w:rsid w:val="00293D6D"/>
    <w:rsid w:val="00293F82"/>
    <w:rsid w:val="00294399"/>
    <w:rsid w:val="0029472A"/>
    <w:rsid w:val="00294CEF"/>
    <w:rsid w:val="0029506D"/>
    <w:rsid w:val="0029596C"/>
    <w:rsid w:val="00295D63"/>
    <w:rsid w:val="00296021"/>
    <w:rsid w:val="00296988"/>
    <w:rsid w:val="0029762E"/>
    <w:rsid w:val="00297832"/>
    <w:rsid w:val="002A0294"/>
    <w:rsid w:val="002A0DB1"/>
    <w:rsid w:val="002A11CC"/>
    <w:rsid w:val="002A13DF"/>
    <w:rsid w:val="002A1E19"/>
    <w:rsid w:val="002A214B"/>
    <w:rsid w:val="002A2EA8"/>
    <w:rsid w:val="002A387E"/>
    <w:rsid w:val="002A3A49"/>
    <w:rsid w:val="002A43C6"/>
    <w:rsid w:val="002A4FD7"/>
    <w:rsid w:val="002A5609"/>
    <w:rsid w:val="002A58F2"/>
    <w:rsid w:val="002A691B"/>
    <w:rsid w:val="002A711F"/>
    <w:rsid w:val="002A78B0"/>
    <w:rsid w:val="002A7FC6"/>
    <w:rsid w:val="002B0077"/>
    <w:rsid w:val="002B027D"/>
    <w:rsid w:val="002B0BA6"/>
    <w:rsid w:val="002B1D85"/>
    <w:rsid w:val="002B2200"/>
    <w:rsid w:val="002B2BA9"/>
    <w:rsid w:val="002B3CDF"/>
    <w:rsid w:val="002B3F42"/>
    <w:rsid w:val="002B3F75"/>
    <w:rsid w:val="002B43BB"/>
    <w:rsid w:val="002B4F57"/>
    <w:rsid w:val="002B510C"/>
    <w:rsid w:val="002B55C6"/>
    <w:rsid w:val="002B5A1C"/>
    <w:rsid w:val="002B5A35"/>
    <w:rsid w:val="002B6D92"/>
    <w:rsid w:val="002B6F27"/>
    <w:rsid w:val="002B71B1"/>
    <w:rsid w:val="002B770A"/>
    <w:rsid w:val="002B787D"/>
    <w:rsid w:val="002B7A83"/>
    <w:rsid w:val="002B7B07"/>
    <w:rsid w:val="002B7CED"/>
    <w:rsid w:val="002B7EDB"/>
    <w:rsid w:val="002C03CF"/>
    <w:rsid w:val="002C1778"/>
    <w:rsid w:val="002C17B2"/>
    <w:rsid w:val="002C23A1"/>
    <w:rsid w:val="002C2C93"/>
    <w:rsid w:val="002C3177"/>
    <w:rsid w:val="002C3837"/>
    <w:rsid w:val="002C40AE"/>
    <w:rsid w:val="002C44D0"/>
    <w:rsid w:val="002C4BED"/>
    <w:rsid w:val="002C4DB7"/>
    <w:rsid w:val="002C52A2"/>
    <w:rsid w:val="002C5F2B"/>
    <w:rsid w:val="002C6949"/>
    <w:rsid w:val="002C6E75"/>
    <w:rsid w:val="002C7B46"/>
    <w:rsid w:val="002D0C78"/>
    <w:rsid w:val="002D0CB5"/>
    <w:rsid w:val="002D0FE9"/>
    <w:rsid w:val="002D1F36"/>
    <w:rsid w:val="002D2A93"/>
    <w:rsid w:val="002D2C4E"/>
    <w:rsid w:val="002D30EB"/>
    <w:rsid w:val="002D3C36"/>
    <w:rsid w:val="002D423A"/>
    <w:rsid w:val="002D42C3"/>
    <w:rsid w:val="002D42CF"/>
    <w:rsid w:val="002D45DB"/>
    <w:rsid w:val="002D489F"/>
    <w:rsid w:val="002D48D5"/>
    <w:rsid w:val="002D4D7E"/>
    <w:rsid w:val="002D4DC7"/>
    <w:rsid w:val="002D52A8"/>
    <w:rsid w:val="002D55AC"/>
    <w:rsid w:val="002D5BCC"/>
    <w:rsid w:val="002D655A"/>
    <w:rsid w:val="002D660C"/>
    <w:rsid w:val="002D6D20"/>
    <w:rsid w:val="002D7B69"/>
    <w:rsid w:val="002D7EF5"/>
    <w:rsid w:val="002E0E1C"/>
    <w:rsid w:val="002E1919"/>
    <w:rsid w:val="002E1DD6"/>
    <w:rsid w:val="002E2029"/>
    <w:rsid w:val="002E2DD3"/>
    <w:rsid w:val="002E325C"/>
    <w:rsid w:val="002E3660"/>
    <w:rsid w:val="002E43FA"/>
    <w:rsid w:val="002E4C92"/>
    <w:rsid w:val="002E4CD1"/>
    <w:rsid w:val="002E630D"/>
    <w:rsid w:val="002E6C74"/>
    <w:rsid w:val="002E715B"/>
    <w:rsid w:val="002E7848"/>
    <w:rsid w:val="002E7A99"/>
    <w:rsid w:val="002F0B26"/>
    <w:rsid w:val="002F0D22"/>
    <w:rsid w:val="002F1442"/>
    <w:rsid w:val="002F2543"/>
    <w:rsid w:val="002F2D96"/>
    <w:rsid w:val="002F2F0F"/>
    <w:rsid w:val="002F34BE"/>
    <w:rsid w:val="002F37DC"/>
    <w:rsid w:val="002F3954"/>
    <w:rsid w:val="002F495C"/>
    <w:rsid w:val="002F54F0"/>
    <w:rsid w:val="002F5BF8"/>
    <w:rsid w:val="002F5D50"/>
    <w:rsid w:val="002F5DE5"/>
    <w:rsid w:val="002F653C"/>
    <w:rsid w:val="002F6BA9"/>
    <w:rsid w:val="002F6F79"/>
    <w:rsid w:val="002F7023"/>
    <w:rsid w:val="002F7C85"/>
    <w:rsid w:val="002F7F3E"/>
    <w:rsid w:val="00300215"/>
    <w:rsid w:val="0030022C"/>
    <w:rsid w:val="0030090D"/>
    <w:rsid w:val="00300A17"/>
    <w:rsid w:val="00300A55"/>
    <w:rsid w:val="00300D6F"/>
    <w:rsid w:val="00300F0C"/>
    <w:rsid w:val="0030105D"/>
    <w:rsid w:val="00303885"/>
    <w:rsid w:val="003041AB"/>
    <w:rsid w:val="00304412"/>
    <w:rsid w:val="00305DF6"/>
    <w:rsid w:val="00307951"/>
    <w:rsid w:val="00307D7E"/>
    <w:rsid w:val="00307F8B"/>
    <w:rsid w:val="00310B15"/>
    <w:rsid w:val="00311428"/>
    <w:rsid w:val="0031144D"/>
    <w:rsid w:val="00311B58"/>
    <w:rsid w:val="003126D6"/>
    <w:rsid w:val="00312AE4"/>
    <w:rsid w:val="00312B24"/>
    <w:rsid w:val="00312D02"/>
    <w:rsid w:val="003144B1"/>
    <w:rsid w:val="00315E6E"/>
    <w:rsid w:val="0031680E"/>
    <w:rsid w:val="00316F78"/>
    <w:rsid w:val="00320540"/>
    <w:rsid w:val="00320933"/>
    <w:rsid w:val="00321A74"/>
    <w:rsid w:val="00324BA7"/>
    <w:rsid w:val="00324F9F"/>
    <w:rsid w:val="00325118"/>
    <w:rsid w:val="003251B6"/>
    <w:rsid w:val="0032548D"/>
    <w:rsid w:val="00325EE5"/>
    <w:rsid w:val="00326078"/>
    <w:rsid w:val="003260F4"/>
    <w:rsid w:val="003263A0"/>
    <w:rsid w:val="0032692F"/>
    <w:rsid w:val="00326A08"/>
    <w:rsid w:val="00326A78"/>
    <w:rsid w:val="00326E5E"/>
    <w:rsid w:val="003271A9"/>
    <w:rsid w:val="00330227"/>
    <w:rsid w:val="00330756"/>
    <w:rsid w:val="00330B39"/>
    <w:rsid w:val="00330ECC"/>
    <w:rsid w:val="00331CDC"/>
    <w:rsid w:val="00331E62"/>
    <w:rsid w:val="003320BA"/>
    <w:rsid w:val="00332653"/>
    <w:rsid w:val="003327F8"/>
    <w:rsid w:val="003332C0"/>
    <w:rsid w:val="0033390D"/>
    <w:rsid w:val="00333E44"/>
    <w:rsid w:val="00333F05"/>
    <w:rsid w:val="00334112"/>
    <w:rsid w:val="003355E7"/>
    <w:rsid w:val="003357A7"/>
    <w:rsid w:val="0033580B"/>
    <w:rsid w:val="00335CB9"/>
    <w:rsid w:val="00335DD4"/>
    <w:rsid w:val="00335E9E"/>
    <w:rsid w:val="003360DB"/>
    <w:rsid w:val="00336201"/>
    <w:rsid w:val="00337253"/>
    <w:rsid w:val="0033797B"/>
    <w:rsid w:val="00337FFD"/>
    <w:rsid w:val="003404FE"/>
    <w:rsid w:val="003412E0"/>
    <w:rsid w:val="003417F9"/>
    <w:rsid w:val="003418E6"/>
    <w:rsid w:val="00341E59"/>
    <w:rsid w:val="00341F47"/>
    <w:rsid w:val="00342150"/>
    <w:rsid w:val="00342A1A"/>
    <w:rsid w:val="00342A39"/>
    <w:rsid w:val="00342A71"/>
    <w:rsid w:val="003430A3"/>
    <w:rsid w:val="00343B80"/>
    <w:rsid w:val="00343D35"/>
    <w:rsid w:val="00343D84"/>
    <w:rsid w:val="003440F3"/>
    <w:rsid w:val="0034443E"/>
    <w:rsid w:val="00344753"/>
    <w:rsid w:val="0034568C"/>
    <w:rsid w:val="0034617D"/>
    <w:rsid w:val="00346F2D"/>
    <w:rsid w:val="0034708F"/>
    <w:rsid w:val="003472BE"/>
    <w:rsid w:val="003478DC"/>
    <w:rsid w:val="0034792D"/>
    <w:rsid w:val="00350036"/>
    <w:rsid w:val="00351098"/>
    <w:rsid w:val="003514DE"/>
    <w:rsid w:val="00351CC0"/>
    <w:rsid w:val="00352020"/>
    <w:rsid w:val="00352812"/>
    <w:rsid w:val="003534BD"/>
    <w:rsid w:val="003534E0"/>
    <w:rsid w:val="00353622"/>
    <w:rsid w:val="00353C3D"/>
    <w:rsid w:val="00353E21"/>
    <w:rsid w:val="0035444D"/>
    <w:rsid w:val="00354676"/>
    <w:rsid w:val="00354CC5"/>
    <w:rsid w:val="003550AB"/>
    <w:rsid w:val="0035588D"/>
    <w:rsid w:val="00355A82"/>
    <w:rsid w:val="0035644D"/>
    <w:rsid w:val="00356462"/>
    <w:rsid w:val="003567DA"/>
    <w:rsid w:val="00356C45"/>
    <w:rsid w:val="003578F3"/>
    <w:rsid w:val="003579A6"/>
    <w:rsid w:val="0036003E"/>
    <w:rsid w:val="00360316"/>
    <w:rsid w:val="003606FD"/>
    <w:rsid w:val="00360BCC"/>
    <w:rsid w:val="00361943"/>
    <w:rsid w:val="003620CD"/>
    <w:rsid w:val="00362221"/>
    <w:rsid w:val="00362748"/>
    <w:rsid w:val="00362F3E"/>
    <w:rsid w:val="00363488"/>
    <w:rsid w:val="00363666"/>
    <w:rsid w:val="0036400F"/>
    <w:rsid w:val="00364087"/>
    <w:rsid w:val="003641DC"/>
    <w:rsid w:val="00364463"/>
    <w:rsid w:val="00364479"/>
    <w:rsid w:val="003648CE"/>
    <w:rsid w:val="00364B6B"/>
    <w:rsid w:val="00364C5D"/>
    <w:rsid w:val="0036507A"/>
    <w:rsid w:val="003659EF"/>
    <w:rsid w:val="00366344"/>
    <w:rsid w:val="003704C4"/>
    <w:rsid w:val="003708B2"/>
    <w:rsid w:val="0037097F"/>
    <w:rsid w:val="00370BF1"/>
    <w:rsid w:val="00370DE8"/>
    <w:rsid w:val="00370F45"/>
    <w:rsid w:val="00371075"/>
    <w:rsid w:val="003710F5"/>
    <w:rsid w:val="00371132"/>
    <w:rsid w:val="00371A02"/>
    <w:rsid w:val="00371A5E"/>
    <w:rsid w:val="00372A3B"/>
    <w:rsid w:val="00372BB3"/>
    <w:rsid w:val="00372CEF"/>
    <w:rsid w:val="0037348B"/>
    <w:rsid w:val="00373D4F"/>
    <w:rsid w:val="00373DAC"/>
    <w:rsid w:val="003744C7"/>
    <w:rsid w:val="003752D3"/>
    <w:rsid w:val="003752D6"/>
    <w:rsid w:val="0037536A"/>
    <w:rsid w:val="00375469"/>
    <w:rsid w:val="0037570D"/>
    <w:rsid w:val="00375840"/>
    <w:rsid w:val="003759D6"/>
    <w:rsid w:val="00375A12"/>
    <w:rsid w:val="00376200"/>
    <w:rsid w:val="00376527"/>
    <w:rsid w:val="00376626"/>
    <w:rsid w:val="0037692B"/>
    <w:rsid w:val="0037743D"/>
    <w:rsid w:val="003808F7"/>
    <w:rsid w:val="003812BA"/>
    <w:rsid w:val="00381715"/>
    <w:rsid w:val="003832FB"/>
    <w:rsid w:val="003833C0"/>
    <w:rsid w:val="00383632"/>
    <w:rsid w:val="00383C26"/>
    <w:rsid w:val="00384964"/>
    <w:rsid w:val="003849C5"/>
    <w:rsid w:val="003857F6"/>
    <w:rsid w:val="00385F98"/>
    <w:rsid w:val="00387727"/>
    <w:rsid w:val="00387A1C"/>
    <w:rsid w:val="00387D2B"/>
    <w:rsid w:val="003903BF"/>
    <w:rsid w:val="0039078F"/>
    <w:rsid w:val="00390C30"/>
    <w:rsid w:val="00390CB6"/>
    <w:rsid w:val="00390E1E"/>
    <w:rsid w:val="00391394"/>
    <w:rsid w:val="00392305"/>
    <w:rsid w:val="00392BFC"/>
    <w:rsid w:val="00393054"/>
    <w:rsid w:val="003935C6"/>
    <w:rsid w:val="00393859"/>
    <w:rsid w:val="00393BF3"/>
    <w:rsid w:val="00393C8F"/>
    <w:rsid w:val="00394104"/>
    <w:rsid w:val="003957BC"/>
    <w:rsid w:val="00395B1D"/>
    <w:rsid w:val="00395B41"/>
    <w:rsid w:val="00395DCD"/>
    <w:rsid w:val="00395E2D"/>
    <w:rsid w:val="00397EF4"/>
    <w:rsid w:val="003A1425"/>
    <w:rsid w:val="003A1A2E"/>
    <w:rsid w:val="003A1D59"/>
    <w:rsid w:val="003A21DC"/>
    <w:rsid w:val="003A2AEF"/>
    <w:rsid w:val="003A4A58"/>
    <w:rsid w:val="003A4BB3"/>
    <w:rsid w:val="003A4C15"/>
    <w:rsid w:val="003A5578"/>
    <w:rsid w:val="003A5E21"/>
    <w:rsid w:val="003A5E93"/>
    <w:rsid w:val="003A7159"/>
    <w:rsid w:val="003A769A"/>
    <w:rsid w:val="003A7E2C"/>
    <w:rsid w:val="003B062A"/>
    <w:rsid w:val="003B1129"/>
    <w:rsid w:val="003B16D3"/>
    <w:rsid w:val="003B1E37"/>
    <w:rsid w:val="003B28D3"/>
    <w:rsid w:val="003B3460"/>
    <w:rsid w:val="003B35A1"/>
    <w:rsid w:val="003B43CC"/>
    <w:rsid w:val="003B4CE5"/>
    <w:rsid w:val="003B4FAF"/>
    <w:rsid w:val="003B504D"/>
    <w:rsid w:val="003B5383"/>
    <w:rsid w:val="003B567C"/>
    <w:rsid w:val="003B5A26"/>
    <w:rsid w:val="003B6208"/>
    <w:rsid w:val="003B62BC"/>
    <w:rsid w:val="003B6C3C"/>
    <w:rsid w:val="003B6CE9"/>
    <w:rsid w:val="003B7072"/>
    <w:rsid w:val="003B7F29"/>
    <w:rsid w:val="003C01D9"/>
    <w:rsid w:val="003C0A93"/>
    <w:rsid w:val="003C172E"/>
    <w:rsid w:val="003C18D5"/>
    <w:rsid w:val="003C1C21"/>
    <w:rsid w:val="003C2FA6"/>
    <w:rsid w:val="003C3524"/>
    <w:rsid w:val="003C3A97"/>
    <w:rsid w:val="003C4388"/>
    <w:rsid w:val="003C4634"/>
    <w:rsid w:val="003C47DD"/>
    <w:rsid w:val="003C50C9"/>
    <w:rsid w:val="003C6B70"/>
    <w:rsid w:val="003C6CDD"/>
    <w:rsid w:val="003C6EBB"/>
    <w:rsid w:val="003C789D"/>
    <w:rsid w:val="003C7927"/>
    <w:rsid w:val="003C7D5E"/>
    <w:rsid w:val="003D0332"/>
    <w:rsid w:val="003D05EE"/>
    <w:rsid w:val="003D0F94"/>
    <w:rsid w:val="003D11E2"/>
    <w:rsid w:val="003D1448"/>
    <w:rsid w:val="003D16B3"/>
    <w:rsid w:val="003D289E"/>
    <w:rsid w:val="003D3DCC"/>
    <w:rsid w:val="003D3E88"/>
    <w:rsid w:val="003D3FCD"/>
    <w:rsid w:val="003D40A9"/>
    <w:rsid w:val="003D4481"/>
    <w:rsid w:val="003D55AC"/>
    <w:rsid w:val="003D586D"/>
    <w:rsid w:val="003D635E"/>
    <w:rsid w:val="003D67C6"/>
    <w:rsid w:val="003D6BB0"/>
    <w:rsid w:val="003D7023"/>
    <w:rsid w:val="003D70D9"/>
    <w:rsid w:val="003D75C7"/>
    <w:rsid w:val="003E0526"/>
    <w:rsid w:val="003E07FF"/>
    <w:rsid w:val="003E1114"/>
    <w:rsid w:val="003E1AC4"/>
    <w:rsid w:val="003E272F"/>
    <w:rsid w:val="003E2C21"/>
    <w:rsid w:val="003E3426"/>
    <w:rsid w:val="003E35B7"/>
    <w:rsid w:val="003E3E4A"/>
    <w:rsid w:val="003E408C"/>
    <w:rsid w:val="003E4373"/>
    <w:rsid w:val="003E43A1"/>
    <w:rsid w:val="003E4C9A"/>
    <w:rsid w:val="003E4E2F"/>
    <w:rsid w:val="003E50BA"/>
    <w:rsid w:val="003E5412"/>
    <w:rsid w:val="003E6206"/>
    <w:rsid w:val="003E652B"/>
    <w:rsid w:val="003E707A"/>
    <w:rsid w:val="003E7AD7"/>
    <w:rsid w:val="003E7BEA"/>
    <w:rsid w:val="003E7EE1"/>
    <w:rsid w:val="003F04AA"/>
    <w:rsid w:val="003F17DB"/>
    <w:rsid w:val="003F19E7"/>
    <w:rsid w:val="003F1CF6"/>
    <w:rsid w:val="003F1D68"/>
    <w:rsid w:val="003F1E84"/>
    <w:rsid w:val="003F213C"/>
    <w:rsid w:val="003F2A4F"/>
    <w:rsid w:val="003F2D6A"/>
    <w:rsid w:val="003F3283"/>
    <w:rsid w:val="003F3676"/>
    <w:rsid w:val="003F3B51"/>
    <w:rsid w:val="003F4479"/>
    <w:rsid w:val="003F4786"/>
    <w:rsid w:val="003F594C"/>
    <w:rsid w:val="003F5DA0"/>
    <w:rsid w:val="003F625B"/>
    <w:rsid w:val="003F63AB"/>
    <w:rsid w:val="003F7B59"/>
    <w:rsid w:val="003F7CC7"/>
    <w:rsid w:val="00400F94"/>
    <w:rsid w:val="00401584"/>
    <w:rsid w:val="00401A28"/>
    <w:rsid w:val="00401B41"/>
    <w:rsid w:val="00401CE2"/>
    <w:rsid w:val="00401D10"/>
    <w:rsid w:val="00401E43"/>
    <w:rsid w:val="00402578"/>
    <w:rsid w:val="00402C21"/>
    <w:rsid w:val="00402D19"/>
    <w:rsid w:val="00403081"/>
    <w:rsid w:val="004035A2"/>
    <w:rsid w:val="00403F1F"/>
    <w:rsid w:val="0040448B"/>
    <w:rsid w:val="00404AC5"/>
    <w:rsid w:val="00406429"/>
    <w:rsid w:val="004067B9"/>
    <w:rsid w:val="0040689E"/>
    <w:rsid w:val="00407347"/>
    <w:rsid w:val="00407AD2"/>
    <w:rsid w:val="004102FD"/>
    <w:rsid w:val="00410906"/>
    <w:rsid w:val="00410FFA"/>
    <w:rsid w:val="00411EB1"/>
    <w:rsid w:val="00412848"/>
    <w:rsid w:val="00413224"/>
    <w:rsid w:val="004133FC"/>
    <w:rsid w:val="004137BE"/>
    <w:rsid w:val="004138DB"/>
    <w:rsid w:val="00413907"/>
    <w:rsid w:val="004141D0"/>
    <w:rsid w:val="00414619"/>
    <w:rsid w:val="0041488A"/>
    <w:rsid w:val="00414A3B"/>
    <w:rsid w:val="00414C7E"/>
    <w:rsid w:val="00415860"/>
    <w:rsid w:val="0041588E"/>
    <w:rsid w:val="00415916"/>
    <w:rsid w:val="00415994"/>
    <w:rsid w:val="004203AD"/>
    <w:rsid w:val="00420FA9"/>
    <w:rsid w:val="0042102F"/>
    <w:rsid w:val="004218E0"/>
    <w:rsid w:val="00421FCD"/>
    <w:rsid w:val="004223E2"/>
    <w:rsid w:val="00422573"/>
    <w:rsid w:val="00422D25"/>
    <w:rsid w:val="00423727"/>
    <w:rsid w:val="00423798"/>
    <w:rsid w:val="00424329"/>
    <w:rsid w:val="00424E8A"/>
    <w:rsid w:val="0042572A"/>
    <w:rsid w:val="0042589E"/>
    <w:rsid w:val="004260B6"/>
    <w:rsid w:val="00426C81"/>
    <w:rsid w:val="00427E68"/>
    <w:rsid w:val="00427FD9"/>
    <w:rsid w:val="00430188"/>
    <w:rsid w:val="0043049A"/>
    <w:rsid w:val="00430801"/>
    <w:rsid w:val="00430BBE"/>
    <w:rsid w:val="00431BF8"/>
    <w:rsid w:val="00431FE4"/>
    <w:rsid w:val="00433324"/>
    <w:rsid w:val="004339CD"/>
    <w:rsid w:val="0043412A"/>
    <w:rsid w:val="00434936"/>
    <w:rsid w:val="00434B24"/>
    <w:rsid w:val="00434DCA"/>
    <w:rsid w:val="0043575D"/>
    <w:rsid w:val="00435773"/>
    <w:rsid w:val="004361B1"/>
    <w:rsid w:val="004361FF"/>
    <w:rsid w:val="00436AB2"/>
    <w:rsid w:val="00436EBD"/>
    <w:rsid w:val="00437409"/>
    <w:rsid w:val="004374CA"/>
    <w:rsid w:val="004406DB"/>
    <w:rsid w:val="004408EC"/>
    <w:rsid w:val="00440CF4"/>
    <w:rsid w:val="0044189A"/>
    <w:rsid w:val="00442156"/>
    <w:rsid w:val="0044246B"/>
    <w:rsid w:val="00442B35"/>
    <w:rsid w:val="00443D64"/>
    <w:rsid w:val="00444995"/>
    <w:rsid w:val="00445438"/>
    <w:rsid w:val="00445914"/>
    <w:rsid w:val="00445B8A"/>
    <w:rsid w:val="00445D7C"/>
    <w:rsid w:val="004467D6"/>
    <w:rsid w:val="00447346"/>
    <w:rsid w:val="004478BE"/>
    <w:rsid w:val="004500FA"/>
    <w:rsid w:val="004505FD"/>
    <w:rsid w:val="00451244"/>
    <w:rsid w:val="00451E3F"/>
    <w:rsid w:val="00452F26"/>
    <w:rsid w:val="00452FEC"/>
    <w:rsid w:val="0045364F"/>
    <w:rsid w:val="004536A3"/>
    <w:rsid w:val="00453948"/>
    <w:rsid w:val="00453A10"/>
    <w:rsid w:val="00453DDE"/>
    <w:rsid w:val="004542A2"/>
    <w:rsid w:val="0045442A"/>
    <w:rsid w:val="0045483E"/>
    <w:rsid w:val="004548DA"/>
    <w:rsid w:val="00454BAA"/>
    <w:rsid w:val="00454DEB"/>
    <w:rsid w:val="004550FF"/>
    <w:rsid w:val="004551BA"/>
    <w:rsid w:val="00455DFC"/>
    <w:rsid w:val="00455E23"/>
    <w:rsid w:val="004563B2"/>
    <w:rsid w:val="00456845"/>
    <w:rsid w:val="00457104"/>
    <w:rsid w:val="004572CB"/>
    <w:rsid w:val="00457491"/>
    <w:rsid w:val="00457BA9"/>
    <w:rsid w:val="00460052"/>
    <w:rsid w:val="004604AB"/>
    <w:rsid w:val="00460959"/>
    <w:rsid w:val="004611D0"/>
    <w:rsid w:val="00462D0D"/>
    <w:rsid w:val="004633BE"/>
    <w:rsid w:val="004636CB"/>
    <w:rsid w:val="00463EA9"/>
    <w:rsid w:val="00464530"/>
    <w:rsid w:val="00464935"/>
    <w:rsid w:val="00464EE4"/>
    <w:rsid w:val="00465319"/>
    <w:rsid w:val="00465C0D"/>
    <w:rsid w:val="00466F3B"/>
    <w:rsid w:val="00466FB3"/>
    <w:rsid w:val="00467053"/>
    <w:rsid w:val="004670E0"/>
    <w:rsid w:val="004677D4"/>
    <w:rsid w:val="0047120B"/>
    <w:rsid w:val="004715B3"/>
    <w:rsid w:val="00472061"/>
    <w:rsid w:val="0047229C"/>
    <w:rsid w:val="00472B15"/>
    <w:rsid w:val="00472ED5"/>
    <w:rsid w:val="004734F0"/>
    <w:rsid w:val="004736A5"/>
    <w:rsid w:val="004736EB"/>
    <w:rsid w:val="0047447E"/>
    <w:rsid w:val="0047485C"/>
    <w:rsid w:val="00475B20"/>
    <w:rsid w:val="00475CC2"/>
    <w:rsid w:val="004764CC"/>
    <w:rsid w:val="00480ACE"/>
    <w:rsid w:val="00480ED7"/>
    <w:rsid w:val="0048157E"/>
    <w:rsid w:val="00481CB7"/>
    <w:rsid w:val="00482377"/>
    <w:rsid w:val="004827CE"/>
    <w:rsid w:val="004834A5"/>
    <w:rsid w:val="00483C49"/>
    <w:rsid w:val="00483ECE"/>
    <w:rsid w:val="0048449B"/>
    <w:rsid w:val="0048466F"/>
    <w:rsid w:val="004848D7"/>
    <w:rsid w:val="004848D8"/>
    <w:rsid w:val="004857FF"/>
    <w:rsid w:val="00485CC7"/>
    <w:rsid w:val="00486756"/>
    <w:rsid w:val="0048695F"/>
    <w:rsid w:val="00486CBF"/>
    <w:rsid w:val="00487799"/>
    <w:rsid w:val="0048795E"/>
    <w:rsid w:val="00487EE7"/>
    <w:rsid w:val="00490179"/>
    <w:rsid w:val="00490332"/>
    <w:rsid w:val="0049073B"/>
    <w:rsid w:val="0049170E"/>
    <w:rsid w:val="004919D1"/>
    <w:rsid w:val="00492021"/>
    <w:rsid w:val="004921F4"/>
    <w:rsid w:val="004929BF"/>
    <w:rsid w:val="00493363"/>
    <w:rsid w:val="0049364E"/>
    <w:rsid w:val="0049396A"/>
    <w:rsid w:val="004941F2"/>
    <w:rsid w:val="004946A5"/>
    <w:rsid w:val="00494795"/>
    <w:rsid w:val="004955F0"/>
    <w:rsid w:val="0049597B"/>
    <w:rsid w:val="00495AEC"/>
    <w:rsid w:val="004960D8"/>
    <w:rsid w:val="00496432"/>
    <w:rsid w:val="0049674F"/>
    <w:rsid w:val="004969FC"/>
    <w:rsid w:val="00497A1F"/>
    <w:rsid w:val="00497CE1"/>
    <w:rsid w:val="004A0AA8"/>
    <w:rsid w:val="004A0AD3"/>
    <w:rsid w:val="004A171D"/>
    <w:rsid w:val="004A1E38"/>
    <w:rsid w:val="004A1FA2"/>
    <w:rsid w:val="004A20DE"/>
    <w:rsid w:val="004A20FF"/>
    <w:rsid w:val="004A240C"/>
    <w:rsid w:val="004A2BA4"/>
    <w:rsid w:val="004A2BA6"/>
    <w:rsid w:val="004A3DAC"/>
    <w:rsid w:val="004A3DCA"/>
    <w:rsid w:val="004A450F"/>
    <w:rsid w:val="004A4EC9"/>
    <w:rsid w:val="004A5431"/>
    <w:rsid w:val="004A574F"/>
    <w:rsid w:val="004A5A27"/>
    <w:rsid w:val="004A689D"/>
    <w:rsid w:val="004A69ED"/>
    <w:rsid w:val="004A7309"/>
    <w:rsid w:val="004A7A78"/>
    <w:rsid w:val="004A7C7B"/>
    <w:rsid w:val="004B09B5"/>
    <w:rsid w:val="004B0A17"/>
    <w:rsid w:val="004B0B86"/>
    <w:rsid w:val="004B2477"/>
    <w:rsid w:val="004B36AE"/>
    <w:rsid w:val="004B377E"/>
    <w:rsid w:val="004B37EB"/>
    <w:rsid w:val="004B3A10"/>
    <w:rsid w:val="004B41BB"/>
    <w:rsid w:val="004B5438"/>
    <w:rsid w:val="004B57E2"/>
    <w:rsid w:val="004B5F5D"/>
    <w:rsid w:val="004B66DC"/>
    <w:rsid w:val="004B7153"/>
    <w:rsid w:val="004B7B32"/>
    <w:rsid w:val="004B7FE2"/>
    <w:rsid w:val="004C079C"/>
    <w:rsid w:val="004C0EA8"/>
    <w:rsid w:val="004C1276"/>
    <w:rsid w:val="004C1FB1"/>
    <w:rsid w:val="004C2307"/>
    <w:rsid w:val="004C2F02"/>
    <w:rsid w:val="004C3A55"/>
    <w:rsid w:val="004C3BC8"/>
    <w:rsid w:val="004C4380"/>
    <w:rsid w:val="004C4FC6"/>
    <w:rsid w:val="004C5110"/>
    <w:rsid w:val="004C547C"/>
    <w:rsid w:val="004C56B2"/>
    <w:rsid w:val="004C5B0D"/>
    <w:rsid w:val="004C5C07"/>
    <w:rsid w:val="004C61A5"/>
    <w:rsid w:val="004C6352"/>
    <w:rsid w:val="004C68E7"/>
    <w:rsid w:val="004C70A5"/>
    <w:rsid w:val="004C7BD9"/>
    <w:rsid w:val="004C7DF4"/>
    <w:rsid w:val="004D0271"/>
    <w:rsid w:val="004D0A94"/>
    <w:rsid w:val="004D0C88"/>
    <w:rsid w:val="004D1405"/>
    <w:rsid w:val="004D14EC"/>
    <w:rsid w:val="004D177C"/>
    <w:rsid w:val="004D2EFE"/>
    <w:rsid w:val="004D3523"/>
    <w:rsid w:val="004D3777"/>
    <w:rsid w:val="004D3880"/>
    <w:rsid w:val="004D4815"/>
    <w:rsid w:val="004D4851"/>
    <w:rsid w:val="004D51EB"/>
    <w:rsid w:val="004D54DE"/>
    <w:rsid w:val="004D5961"/>
    <w:rsid w:val="004D5D29"/>
    <w:rsid w:val="004D61DF"/>
    <w:rsid w:val="004D625E"/>
    <w:rsid w:val="004D6B9C"/>
    <w:rsid w:val="004D6E70"/>
    <w:rsid w:val="004D71F0"/>
    <w:rsid w:val="004D736E"/>
    <w:rsid w:val="004D73CA"/>
    <w:rsid w:val="004D7E97"/>
    <w:rsid w:val="004D7F9B"/>
    <w:rsid w:val="004E0066"/>
    <w:rsid w:val="004E04B0"/>
    <w:rsid w:val="004E08CF"/>
    <w:rsid w:val="004E1381"/>
    <w:rsid w:val="004E16F4"/>
    <w:rsid w:val="004E1C68"/>
    <w:rsid w:val="004E2093"/>
    <w:rsid w:val="004E217E"/>
    <w:rsid w:val="004E30D5"/>
    <w:rsid w:val="004E3702"/>
    <w:rsid w:val="004E3B8F"/>
    <w:rsid w:val="004E3BFA"/>
    <w:rsid w:val="004E3FB6"/>
    <w:rsid w:val="004E42D4"/>
    <w:rsid w:val="004E45FB"/>
    <w:rsid w:val="004E5056"/>
    <w:rsid w:val="004E56CD"/>
    <w:rsid w:val="004E5868"/>
    <w:rsid w:val="004E5BA2"/>
    <w:rsid w:val="004E63E7"/>
    <w:rsid w:val="004E6CA0"/>
    <w:rsid w:val="004E7547"/>
    <w:rsid w:val="004F0201"/>
    <w:rsid w:val="004F0435"/>
    <w:rsid w:val="004F0F6C"/>
    <w:rsid w:val="004F127F"/>
    <w:rsid w:val="004F196F"/>
    <w:rsid w:val="004F1B8F"/>
    <w:rsid w:val="004F1E7B"/>
    <w:rsid w:val="004F24DF"/>
    <w:rsid w:val="004F2EF3"/>
    <w:rsid w:val="004F3C37"/>
    <w:rsid w:val="004F43EE"/>
    <w:rsid w:val="004F5260"/>
    <w:rsid w:val="004F6384"/>
    <w:rsid w:val="004F7479"/>
    <w:rsid w:val="004F79F6"/>
    <w:rsid w:val="004F7AA0"/>
    <w:rsid w:val="0050009B"/>
    <w:rsid w:val="00500271"/>
    <w:rsid w:val="005008FB"/>
    <w:rsid w:val="00500BE4"/>
    <w:rsid w:val="00500D72"/>
    <w:rsid w:val="005010AC"/>
    <w:rsid w:val="00501C8E"/>
    <w:rsid w:val="00501D9D"/>
    <w:rsid w:val="00501E13"/>
    <w:rsid w:val="0050204D"/>
    <w:rsid w:val="00502CA3"/>
    <w:rsid w:val="00502E6C"/>
    <w:rsid w:val="00502FAA"/>
    <w:rsid w:val="00503996"/>
    <w:rsid w:val="0050498F"/>
    <w:rsid w:val="00505AB0"/>
    <w:rsid w:val="005062B7"/>
    <w:rsid w:val="005062D0"/>
    <w:rsid w:val="0050638D"/>
    <w:rsid w:val="00507454"/>
    <w:rsid w:val="005074FA"/>
    <w:rsid w:val="005076BD"/>
    <w:rsid w:val="005077E1"/>
    <w:rsid w:val="00507BB0"/>
    <w:rsid w:val="00510CBC"/>
    <w:rsid w:val="00510E17"/>
    <w:rsid w:val="00511389"/>
    <w:rsid w:val="005121B8"/>
    <w:rsid w:val="0051277E"/>
    <w:rsid w:val="005130DF"/>
    <w:rsid w:val="005134B8"/>
    <w:rsid w:val="00514527"/>
    <w:rsid w:val="00514CA8"/>
    <w:rsid w:val="005151A8"/>
    <w:rsid w:val="005154C8"/>
    <w:rsid w:val="00515AE3"/>
    <w:rsid w:val="00516AC2"/>
    <w:rsid w:val="0051751A"/>
    <w:rsid w:val="00517546"/>
    <w:rsid w:val="00517550"/>
    <w:rsid w:val="0051785D"/>
    <w:rsid w:val="00517A41"/>
    <w:rsid w:val="0052009C"/>
    <w:rsid w:val="0052028E"/>
    <w:rsid w:val="0052082C"/>
    <w:rsid w:val="00520D0E"/>
    <w:rsid w:val="005210BB"/>
    <w:rsid w:val="0052135B"/>
    <w:rsid w:val="00521930"/>
    <w:rsid w:val="00521F62"/>
    <w:rsid w:val="00521FAF"/>
    <w:rsid w:val="00522592"/>
    <w:rsid w:val="005239B2"/>
    <w:rsid w:val="0052403C"/>
    <w:rsid w:val="00524398"/>
    <w:rsid w:val="00524B79"/>
    <w:rsid w:val="0052589F"/>
    <w:rsid w:val="00525978"/>
    <w:rsid w:val="0052650F"/>
    <w:rsid w:val="00527B22"/>
    <w:rsid w:val="00527F7A"/>
    <w:rsid w:val="0053102A"/>
    <w:rsid w:val="005317BF"/>
    <w:rsid w:val="005321FB"/>
    <w:rsid w:val="00532806"/>
    <w:rsid w:val="00532855"/>
    <w:rsid w:val="005328F4"/>
    <w:rsid w:val="00533196"/>
    <w:rsid w:val="005333ED"/>
    <w:rsid w:val="00533821"/>
    <w:rsid w:val="00533B61"/>
    <w:rsid w:val="0053445C"/>
    <w:rsid w:val="00534789"/>
    <w:rsid w:val="00534A83"/>
    <w:rsid w:val="00535475"/>
    <w:rsid w:val="00535897"/>
    <w:rsid w:val="00536604"/>
    <w:rsid w:val="00536B45"/>
    <w:rsid w:val="00536BD9"/>
    <w:rsid w:val="00536E1A"/>
    <w:rsid w:val="00537503"/>
    <w:rsid w:val="00537D2A"/>
    <w:rsid w:val="005401C6"/>
    <w:rsid w:val="0054038F"/>
    <w:rsid w:val="0054097E"/>
    <w:rsid w:val="00540AB9"/>
    <w:rsid w:val="0054100D"/>
    <w:rsid w:val="00541297"/>
    <w:rsid w:val="0054132C"/>
    <w:rsid w:val="00541532"/>
    <w:rsid w:val="005418BD"/>
    <w:rsid w:val="005422EB"/>
    <w:rsid w:val="00545B53"/>
    <w:rsid w:val="00546314"/>
    <w:rsid w:val="00546498"/>
    <w:rsid w:val="005466EE"/>
    <w:rsid w:val="00546AD7"/>
    <w:rsid w:val="005477B5"/>
    <w:rsid w:val="00547889"/>
    <w:rsid w:val="00547A81"/>
    <w:rsid w:val="00547F58"/>
    <w:rsid w:val="00547F59"/>
    <w:rsid w:val="0055008C"/>
    <w:rsid w:val="00551013"/>
    <w:rsid w:val="00551278"/>
    <w:rsid w:val="00551B91"/>
    <w:rsid w:val="005520A0"/>
    <w:rsid w:val="00552840"/>
    <w:rsid w:val="0055297B"/>
    <w:rsid w:val="00552DE0"/>
    <w:rsid w:val="00552FE6"/>
    <w:rsid w:val="00553072"/>
    <w:rsid w:val="0055346C"/>
    <w:rsid w:val="00553903"/>
    <w:rsid w:val="00554136"/>
    <w:rsid w:val="0055529D"/>
    <w:rsid w:val="00555926"/>
    <w:rsid w:val="00555FBB"/>
    <w:rsid w:val="00555FC9"/>
    <w:rsid w:val="00556654"/>
    <w:rsid w:val="005566CF"/>
    <w:rsid w:val="00556D7A"/>
    <w:rsid w:val="00557C5B"/>
    <w:rsid w:val="00557C81"/>
    <w:rsid w:val="00560899"/>
    <w:rsid w:val="00560AC6"/>
    <w:rsid w:val="00560B47"/>
    <w:rsid w:val="0056113A"/>
    <w:rsid w:val="00561214"/>
    <w:rsid w:val="00561B16"/>
    <w:rsid w:val="00561FF3"/>
    <w:rsid w:val="00562626"/>
    <w:rsid w:val="00562ED6"/>
    <w:rsid w:val="0056314E"/>
    <w:rsid w:val="00563647"/>
    <w:rsid w:val="005636CB"/>
    <w:rsid w:val="00563CC2"/>
    <w:rsid w:val="005644A0"/>
    <w:rsid w:val="005648EF"/>
    <w:rsid w:val="00565B84"/>
    <w:rsid w:val="005663DD"/>
    <w:rsid w:val="00567930"/>
    <w:rsid w:val="005703E7"/>
    <w:rsid w:val="005719B7"/>
    <w:rsid w:val="0057209A"/>
    <w:rsid w:val="005725F3"/>
    <w:rsid w:val="00572C92"/>
    <w:rsid w:val="00572DD0"/>
    <w:rsid w:val="00573F61"/>
    <w:rsid w:val="00574285"/>
    <w:rsid w:val="0057436C"/>
    <w:rsid w:val="00574721"/>
    <w:rsid w:val="005747A6"/>
    <w:rsid w:val="00574A58"/>
    <w:rsid w:val="0057529B"/>
    <w:rsid w:val="00575AFA"/>
    <w:rsid w:val="00575D6B"/>
    <w:rsid w:val="00576045"/>
    <w:rsid w:val="00576A7E"/>
    <w:rsid w:val="00577313"/>
    <w:rsid w:val="005774FE"/>
    <w:rsid w:val="00577676"/>
    <w:rsid w:val="0057767E"/>
    <w:rsid w:val="0057769D"/>
    <w:rsid w:val="005776E4"/>
    <w:rsid w:val="005778A4"/>
    <w:rsid w:val="00580CC4"/>
    <w:rsid w:val="005817C2"/>
    <w:rsid w:val="00583041"/>
    <w:rsid w:val="005831C8"/>
    <w:rsid w:val="00583814"/>
    <w:rsid w:val="00583AE1"/>
    <w:rsid w:val="00584F3C"/>
    <w:rsid w:val="00584FAA"/>
    <w:rsid w:val="005852F3"/>
    <w:rsid w:val="005856A8"/>
    <w:rsid w:val="005858F1"/>
    <w:rsid w:val="00586524"/>
    <w:rsid w:val="00587112"/>
    <w:rsid w:val="00587EE6"/>
    <w:rsid w:val="00590651"/>
    <w:rsid w:val="00590A07"/>
    <w:rsid w:val="005913B1"/>
    <w:rsid w:val="005917A8"/>
    <w:rsid w:val="00591E74"/>
    <w:rsid w:val="005926B2"/>
    <w:rsid w:val="005930FA"/>
    <w:rsid w:val="00593149"/>
    <w:rsid w:val="00593CDB"/>
    <w:rsid w:val="005943C1"/>
    <w:rsid w:val="005943C9"/>
    <w:rsid w:val="00594598"/>
    <w:rsid w:val="005957E9"/>
    <w:rsid w:val="00595B73"/>
    <w:rsid w:val="00595E9E"/>
    <w:rsid w:val="005963D4"/>
    <w:rsid w:val="0059653C"/>
    <w:rsid w:val="005969AB"/>
    <w:rsid w:val="00596E6E"/>
    <w:rsid w:val="005972D4"/>
    <w:rsid w:val="005972E1"/>
    <w:rsid w:val="005A079D"/>
    <w:rsid w:val="005A0B19"/>
    <w:rsid w:val="005A162C"/>
    <w:rsid w:val="005A17DE"/>
    <w:rsid w:val="005A1AAE"/>
    <w:rsid w:val="005A2117"/>
    <w:rsid w:val="005A2126"/>
    <w:rsid w:val="005A2565"/>
    <w:rsid w:val="005A27F4"/>
    <w:rsid w:val="005A2D27"/>
    <w:rsid w:val="005A34C4"/>
    <w:rsid w:val="005A34C5"/>
    <w:rsid w:val="005A3B65"/>
    <w:rsid w:val="005A418C"/>
    <w:rsid w:val="005A42F9"/>
    <w:rsid w:val="005A4331"/>
    <w:rsid w:val="005A4525"/>
    <w:rsid w:val="005A4E33"/>
    <w:rsid w:val="005A5443"/>
    <w:rsid w:val="005A5648"/>
    <w:rsid w:val="005A5669"/>
    <w:rsid w:val="005A5B46"/>
    <w:rsid w:val="005A63FE"/>
    <w:rsid w:val="005A64FA"/>
    <w:rsid w:val="005A6666"/>
    <w:rsid w:val="005B0272"/>
    <w:rsid w:val="005B04E2"/>
    <w:rsid w:val="005B0733"/>
    <w:rsid w:val="005B173D"/>
    <w:rsid w:val="005B2C5F"/>
    <w:rsid w:val="005B2E23"/>
    <w:rsid w:val="005B3004"/>
    <w:rsid w:val="005B3B63"/>
    <w:rsid w:val="005B3C55"/>
    <w:rsid w:val="005B49FD"/>
    <w:rsid w:val="005B5CDF"/>
    <w:rsid w:val="005B5D05"/>
    <w:rsid w:val="005B6441"/>
    <w:rsid w:val="005B7060"/>
    <w:rsid w:val="005B76D6"/>
    <w:rsid w:val="005B7EA6"/>
    <w:rsid w:val="005C2CEE"/>
    <w:rsid w:val="005C3433"/>
    <w:rsid w:val="005C399B"/>
    <w:rsid w:val="005C43EE"/>
    <w:rsid w:val="005C448F"/>
    <w:rsid w:val="005C467C"/>
    <w:rsid w:val="005C4DAC"/>
    <w:rsid w:val="005C4E13"/>
    <w:rsid w:val="005C4EFD"/>
    <w:rsid w:val="005C50F2"/>
    <w:rsid w:val="005C54DF"/>
    <w:rsid w:val="005C6825"/>
    <w:rsid w:val="005C6857"/>
    <w:rsid w:val="005C693B"/>
    <w:rsid w:val="005C7D60"/>
    <w:rsid w:val="005D019A"/>
    <w:rsid w:val="005D0932"/>
    <w:rsid w:val="005D0ECB"/>
    <w:rsid w:val="005D1C5B"/>
    <w:rsid w:val="005D3483"/>
    <w:rsid w:val="005D3A90"/>
    <w:rsid w:val="005D3EF6"/>
    <w:rsid w:val="005D4E46"/>
    <w:rsid w:val="005D59CA"/>
    <w:rsid w:val="005D6A7C"/>
    <w:rsid w:val="005D6A8C"/>
    <w:rsid w:val="005D76C2"/>
    <w:rsid w:val="005E006C"/>
    <w:rsid w:val="005E15D7"/>
    <w:rsid w:val="005E16FE"/>
    <w:rsid w:val="005E1956"/>
    <w:rsid w:val="005E2AB0"/>
    <w:rsid w:val="005E2E08"/>
    <w:rsid w:val="005E320C"/>
    <w:rsid w:val="005E366D"/>
    <w:rsid w:val="005E39C1"/>
    <w:rsid w:val="005E414E"/>
    <w:rsid w:val="005E43F6"/>
    <w:rsid w:val="005E4DF4"/>
    <w:rsid w:val="005E4ED5"/>
    <w:rsid w:val="005E5209"/>
    <w:rsid w:val="005E5278"/>
    <w:rsid w:val="005E581E"/>
    <w:rsid w:val="005E5CF7"/>
    <w:rsid w:val="005E6142"/>
    <w:rsid w:val="005E6470"/>
    <w:rsid w:val="005E6FF1"/>
    <w:rsid w:val="005E7083"/>
    <w:rsid w:val="005E71C1"/>
    <w:rsid w:val="005E796D"/>
    <w:rsid w:val="005F112E"/>
    <w:rsid w:val="005F1CB1"/>
    <w:rsid w:val="005F1CED"/>
    <w:rsid w:val="005F259D"/>
    <w:rsid w:val="005F2B13"/>
    <w:rsid w:val="005F2BC8"/>
    <w:rsid w:val="005F3A7B"/>
    <w:rsid w:val="005F4D0B"/>
    <w:rsid w:val="005F55D6"/>
    <w:rsid w:val="005F58F8"/>
    <w:rsid w:val="005F5FF4"/>
    <w:rsid w:val="005F6342"/>
    <w:rsid w:val="005F6F93"/>
    <w:rsid w:val="005F7645"/>
    <w:rsid w:val="005F7E44"/>
    <w:rsid w:val="005F7E9D"/>
    <w:rsid w:val="00600C52"/>
    <w:rsid w:val="00600ED8"/>
    <w:rsid w:val="00601445"/>
    <w:rsid w:val="006014D2"/>
    <w:rsid w:val="00601904"/>
    <w:rsid w:val="00601C89"/>
    <w:rsid w:val="006021E9"/>
    <w:rsid w:val="0060250D"/>
    <w:rsid w:val="0060285B"/>
    <w:rsid w:val="00602FB7"/>
    <w:rsid w:val="00603659"/>
    <w:rsid w:val="00603D21"/>
    <w:rsid w:val="00603F3D"/>
    <w:rsid w:val="00604F6B"/>
    <w:rsid w:val="00605581"/>
    <w:rsid w:val="006056B7"/>
    <w:rsid w:val="0060586F"/>
    <w:rsid w:val="00605DE5"/>
    <w:rsid w:val="006061A3"/>
    <w:rsid w:val="00606361"/>
    <w:rsid w:val="006065E3"/>
    <w:rsid w:val="00606976"/>
    <w:rsid w:val="00606D4A"/>
    <w:rsid w:val="00607038"/>
    <w:rsid w:val="0060792A"/>
    <w:rsid w:val="00610B90"/>
    <w:rsid w:val="00610EBA"/>
    <w:rsid w:val="006111B5"/>
    <w:rsid w:val="006116AE"/>
    <w:rsid w:val="006116E2"/>
    <w:rsid w:val="0061176C"/>
    <w:rsid w:val="00612A90"/>
    <w:rsid w:val="00612AC7"/>
    <w:rsid w:val="00612C8A"/>
    <w:rsid w:val="00612E48"/>
    <w:rsid w:val="00612FD3"/>
    <w:rsid w:val="006137A0"/>
    <w:rsid w:val="00613BEB"/>
    <w:rsid w:val="00613C56"/>
    <w:rsid w:val="00613E76"/>
    <w:rsid w:val="00614CD9"/>
    <w:rsid w:val="00615151"/>
    <w:rsid w:val="00615451"/>
    <w:rsid w:val="006156FA"/>
    <w:rsid w:val="00615B6D"/>
    <w:rsid w:val="00616356"/>
    <w:rsid w:val="0061696B"/>
    <w:rsid w:val="00616B8A"/>
    <w:rsid w:val="00616C07"/>
    <w:rsid w:val="00616CF8"/>
    <w:rsid w:val="00617951"/>
    <w:rsid w:val="00620C92"/>
    <w:rsid w:val="006213A2"/>
    <w:rsid w:val="0062191F"/>
    <w:rsid w:val="00621D1F"/>
    <w:rsid w:val="00621FD1"/>
    <w:rsid w:val="006224C0"/>
    <w:rsid w:val="00622D06"/>
    <w:rsid w:val="00623929"/>
    <w:rsid w:val="00623A27"/>
    <w:rsid w:val="00623B93"/>
    <w:rsid w:val="00623DB4"/>
    <w:rsid w:val="00623F1B"/>
    <w:rsid w:val="00624B64"/>
    <w:rsid w:val="00625598"/>
    <w:rsid w:val="00626536"/>
    <w:rsid w:val="00626827"/>
    <w:rsid w:val="006268DB"/>
    <w:rsid w:val="006273E8"/>
    <w:rsid w:val="006276D7"/>
    <w:rsid w:val="00631144"/>
    <w:rsid w:val="00631A0B"/>
    <w:rsid w:val="006325A2"/>
    <w:rsid w:val="006332D7"/>
    <w:rsid w:val="00633FB1"/>
    <w:rsid w:val="00633FDF"/>
    <w:rsid w:val="006346FE"/>
    <w:rsid w:val="006347A1"/>
    <w:rsid w:val="006356C9"/>
    <w:rsid w:val="00636494"/>
    <w:rsid w:val="00636540"/>
    <w:rsid w:val="00636727"/>
    <w:rsid w:val="00636777"/>
    <w:rsid w:val="00636E12"/>
    <w:rsid w:val="0063738D"/>
    <w:rsid w:val="00640F86"/>
    <w:rsid w:val="00641972"/>
    <w:rsid w:val="00641E20"/>
    <w:rsid w:val="00642E75"/>
    <w:rsid w:val="00643431"/>
    <w:rsid w:val="00643962"/>
    <w:rsid w:val="00643CD0"/>
    <w:rsid w:val="0064457A"/>
    <w:rsid w:val="00644CE9"/>
    <w:rsid w:val="00645575"/>
    <w:rsid w:val="00645B40"/>
    <w:rsid w:val="00645BF2"/>
    <w:rsid w:val="006467B2"/>
    <w:rsid w:val="00646EA9"/>
    <w:rsid w:val="006473E8"/>
    <w:rsid w:val="006507C5"/>
    <w:rsid w:val="00650B87"/>
    <w:rsid w:val="00650BFF"/>
    <w:rsid w:val="00650F8B"/>
    <w:rsid w:val="00651484"/>
    <w:rsid w:val="00651FF0"/>
    <w:rsid w:val="0065337A"/>
    <w:rsid w:val="0065444F"/>
    <w:rsid w:val="00654495"/>
    <w:rsid w:val="006546F7"/>
    <w:rsid w:val="00654E98"/>
    <w:rsid w:val="00654EF0"/>
    <w:rsid w:val="006561A4"/>
    <w:rsid w:val="00657C36"/>
    <w:rsid w:val="00657E2D"/>
    <w:rsid w:val="0066098F"/>
    <w:rsid w:val="00660A16"/>
    <w:rsid w:val="00661972"/>
    <w:rsid w:val="00661C50"/>
    <w:rsid w:val="00661C59"/>
    <w:rsid w:val="00661D7A"/>
    <w:rsid w:val="00661DE7"/>
    <w:rsid w:val="0066223B"/>
    <w:rsid w:val="0066243F"/>
    <w:rsid w:val="0066259E"/>
    <w:rsid w:val="006625A3"/>
    <w:rsid w:val="006629D7"/>
    <w:rsid w:val="00663407"/>
    <w:rsid w:val="0066356B"/>
    <w:rsid w:val="00663718"/>
    <w:rsid w:val="006638B6"/>
    <w:rsid w:val="00664223"/>
    <w:rsid w:val="00664447"/>
    <w:rsid w:val="00664A13"/>
    <w:rsid w:val="006650FF"/>
    <w:rsid w:val="0066513F"/>
    <w:rsid w:val="0066528A"/>
    <w:rsid w:val="00665506"/>
    <w:rsid w:val="006660E0"/>
    <w:rsid w:val="00666323"/>
    <w:rsid w:val="006665F0"/>
    <w:rsid w:val="00667F04"/>
    <w:rsid w:val="006713BF"/>
    <w:rsid w:val="00671EE6"/>
    <w:rsid w:val="00672967"/>
    <w:rsid w:val="00672EB2"/>
    <w:rsid w:val="006731F8"/>
    <w:rsid w:val="00673AD6"/>
    <w:rsid w:val="00674076"/>
    <w:rsid w:val="00674177"/>
    <w:rsid w:val="006745EC"/>
    <w:rsid w:val="00674CE0"/>
    <w:rsid w:val="00675523"/>
    <w:rsid w:val="00675BC8"/>
    <w:rsid w:val="00675D1C"/>
    <w:rsid w:val="0067679D"/>
    <w:rsid w:val="00676DE1"/>
    <w:rsid w:val="006773AB"/>
    <w:rsid w:val="00677C4F"/>
    <w:rsid w:val="00677D2B"/>
    <w:rsid w:val="00677F77"/>
    <w:rsid w:val="00680544"/>
    <w:rsid w:val="0068062B"/>
    <w:rsid w:val="00680775"/>
    <w:rsid w:val="0068077D"/>
    <w:rsid w:val="006808D9"/>
    <w:rsid w:val="00680C71"/>
    <w:rsid w:val="00680FB3"/>
    <w:rsid w:val="006812F7"/>
    <w:rsid w:val="00681C02"/>
    <w:rsid w:val="00681C7C"/>
    <w:rsid w:val="00681E66"/>
    <w:rsid w:val="00682A19"/>
    <w:rsid w:val="00682FD3"/>
    <w:rsid w:val="0068341C"/>
    <w:rsid w:val="00683CAA"/>
    <w:rsid w:val="00684004"/>
    <w:rsid w:val="00684122"/>
    <w:rsid w:val="00684FAF"/>
    <w:rsid w:val="00685D1F"/>
    <w:rsid w:val="0068686C"/>
    <w:rsid w:val="00686936"/>
    <w:rsid w:val="006869C2"/>
    <w:rsid w:val="00687176"/>
    <w:rsid w:val="00687ADD"/>
    <w:rsid w:val="00690690"/>
    <w:rsid w:val="00691861"/>
    <w:rsid w:val="00692A94"/>
    <w:rsid w:val="00692CD6"/>
    <w:rsid w:val="00692D03"/>
    <w:rsid w:val="00693225"/>
    <w:rsid w:val="0069338F"/>
    <w:rsid w:val="00693AEC"/>
    <w:rsid w:val="006944F9"/>
    <w:rsid w:val="006948E7"/>
    <w:rsid w:val="00694AED"/>
    <w:rsid w:val="006961AE"/>
    <w:rsid w:val="00696388"/>
    <w:rsid w:val="006968BA"/>
    <w:rsid w:val="00696AA2"/>
    <w:rsid w:val="00696D70"/>
    <w:rsid w:val="00697D3F"/>
    <w:rsid w:val="006A012A"/>
    <w:rsid w:val="006A0DA3"/>
    <w:rsid w:val="006A1A80"/>
    <w:rsid w:val="006A211E"/>
    <w:rsid w:val="006A2F9B"/>
    <w:rsid w:val="006A496E"/>
    <w:rsid w:val="006A53A3"/>
    <w:rsid w:val="006A5B4D"/>
    <w:rsid w:val="006A67B3"/>
    <w:rsid w:val="006A6B77"/>
    <w:rsid w:val="006A7720"/>
    <w:rsid w:val="006A7B04"/>
    <w:rsid w:val="006A7CC2"/>
    <w:rsid w:val="006A7F38"/>
    <w:rsid w:val="006B0E23"/>
    <w:rsid w:val="006B1515"/>
    <w:rsid w:val="006B15F1"/>
    <w:rsid w:val="006B29A0"/>
    <w:rsid w:val="006B30BC"/>
    <w:rsid w:val="006B3646"/>
    <w:rsid w:val="006B4429"/>
    <w:rsid w:val="006B4C47"/>
    <w:rsid w:val="006B52A5"/>
    <w:rsid w:val="006B57AC"/>
    <w:rsid w:val="006B5838"/>
    <w:rsid w:val="006B5A58"/>
    <w:rsid w:val="006B5F68"/>
    <w:rsid w:val="006B6165"/>
    <w:rsid w:val="006B6908"/>
    <w:rsid w:val="006B7385"/>
    <w:rsid w:val="006B74E3"/>
    <w:rsid w:val="006B7A6F"/>
    <w:rsid w:val="006C0512"/>
    <w:rsid w:val="006C0FAA"/>
    <w:rsid w:val="006C182B"/>
    <w:rsid w:val="006C194A"/>
    <w:rsid w:val="006C2B2C"/>
    <w:rsid w:val="006C3764"/>
    <w:rsid w:val="006C37C8"/>
    <w:rsid w:val="006C3E32"/>
    <w:rsid w:val="006C3F59"/>
    <w:rsid w:val="006C436A"/>
    <w:rsid w:val="006C4378"/>
    <w:rsid w:val="006C4461"/>
    <w:rsid w:val="006C478D"/>
    <w:rsid w:val="006C5151"/>
    <w:rsid w:val="006C5785"/>
    <w:rsid w:val="006C5BCD"/>
    <w:rsid w:val="006C62F5"/>
    <w:rsid w:val="006C73EB"/>
    <w:rsid w:val="006C7977"/>
    <w:rsid w:val="006D0C79"/>
    <w:rsid w:val="006D0DBD"/>
    <w:rsid w:val="006D1C4A"/>
    <w:rsid w:val="006D1C92"/>
    <w:rsid w:val="006D2278"/>
    <w:rsid w:val="006D2492"/>
    <w:rsid w:val="006D2A97"/>
    <w:rsid w:val="006D2FC6"/>
    <w:rsid w:val="006D4AFF"/>
    <w:rsid w:val="006D52AF"/>
    <w:rsid w:val="006D548F"/>
    <w:rsid w:val="006D54E4"/>
    <w:rsid w:val="006D55A5"/>
    <w:rsid w:val="006D5DCB"/>
    <w:rsid w:val="006D6E12"/>
    <w:rsid w:val="006D74D8"/>
    <w:rsid w:val="006D7CFB"/>
    <w:rsid w:val="006D7EFF"/>
    <w:rsid w:val="006E09FC"/>
    <w:rsid w:val="006E0B87"/>
    <w:rsid w:val="006E16EE"/>
    <w:rsid w:val="006E1930"/>
    <w:rsid w:val="006E1AAF"/>
    <w:rsid w:val="006E1FE8"/>
    <w:rsid w:val="006E26AB"/>
    <w:rsid w:val="006E2949"/>
    <w:rsid w:val="006E2F24"/>
    <w:rsid w:val="006E2F86"/>
    <w:rsid w:val="006E3106"/>
    <w:rsid w:val="006E3150"/>
    <w:rsid w:val="006E3415"/>
    <w:rsid w:val="006E384B"/>
    <w:rsid w:val="006E3D02"/>
    <w:rsid w:val="006E3EF2"/>
    <w:rsid w:val="006E42F2"/>
    <w:rsid w:val="006E4737"/>
    <w:rsid w:val="006E4EEA"/>
    <w:rsid w:val="006E5D53"/>
    <w:rsid w:val="006E612F"/>
    <w:rsid w:val="006E67CE"/>
    <w:rsid w:val="006E6874"/>
    <w:rsid w:val="006E6CF4"/>
    <w:rsid w:val="006E6D09"/>
    <w:rsid w:val="006E70A0"/>
    <w:rsid w:val="006E70C1"/>
    <w:rsid w:val="006E7CA6"/>
    <w:rsid w:val="006F003B"/>
    <w:rsid w:val="006F01FD"/>
    <w:rsid w:val="006F02A5"/>
    <w:rsid w:val="006F0481"/>
    <w:rsid w:val="006F0673"/>
    <w:rsid w:val="006F0FBC"/>
    <w:rsid w:val="006F1D95"/>
    <w:rsid w:val="006F1EBC"/>
    <w:rsid w:val="006F1F20"/>
    <w:rsid w:val="006F20D3"/>
    <w:rsid w:val="006F23F3"/>
    <w:rsid w:val="006F29F1"/>
    <w:rsid w:val="006F35E5"/>
    <w:rsid w:val="006F38B5"/>
    <w:rsid w:val="006F3B3F"/>
    <w:rsid w:val="006F3BFD"/>
    <w:rsid w:val="006F4C3A"/>
    <w:rsid w:val="006F4CEA"/>
    <w:rsid w:val="006F4E69"/>
    <w:rsid w:val="006F4ED3"/>
    <w:rsid w:val="006F4FFD"/>
    <w:rsid w:val="006F65E1"/>
    <w:rsid w:val="006F729E"/>
    <w:rsid w:val="006F7BCE"/>
    <w:rsid w:val="006F7F83"/>
    <w:rsid w:val="006F7F88"/>
    <w:rsid w:val="007012ED"/>
    <w:rsid w:val="0070152E"/>
    <w:rsid w:val="007018DE"/>
    <w:rsid w:val="007021D3"/>
    <w:rsid w:val="00702738"/>
    <w:rsid w:val="0070273C"/>
    <w:rsid w:val="00702F40"/>
    <w:rsid w:val="00702FE4"/>
    <w:rsid w:val="007036AB"/>
    <w:rsid w:val="007037FA"/>
    <w:rsid w:val="0070385C"/>
    <w:rsid w:val="00704863"/>
    <w:rsid w:val="007049D0"/>
    <w:rsid w:val="00704DEE"/>
    <w:rsid w:val="007056CB"/>
    <w:rsid w:val="00705D59"/>
    <w:rsid w:val="00706D72"/>
    <w:rsid w:val="00706EC4"/>
    <w:rsid w:val="00707726"/>
    <w:rsid w:val="00707E03"/>
    <w:rsid w:val="00710049"/>
    <w:rsid w:val="00711598"/>
    <w:rsid w:val="0071167A"/>
    <w:rsid w:val="00712D2B"/>
    <w:rsid w:val="00712DD5"/>
    <w:rsid w:val="00713483"/>
    <w:rsid w:val="00713F21"/>
    <w:rsid w:val="00714B81"/>
    <w:rsid w:val="0071553E"/>
    <w:rsid w:val="0071676C"/>
    <w:rsid w:val="00716FE3"/>
    <w:rsid w:val="007172CE"/>
    <w:rsid w:val="00717F42"/>
    <w:rsid w:val="00720AD9"/>
    <w:rsid w:val="00720BDD"/>
    <w:rsid w:val="00721EBB"/>
    <w:rsid w:val="0072296A"/>
    <w:rsid w:val="007235E8"/>
    <w:rsid w:val="00723D05"/>
    <w:rsid w:val="00724958"/>
    <w:rsid w:val="00725338"/>
    <w:rsid w:val="00725499"/>
    <w:rsid w:val="00725D1B"/>
    <w:rsid w:val="00726DB7"/>
    <w:rsid w:val="00727BE6"/>
    <w:rsid w:val="00727C7D"/>
    <w:rsid w:val="007301AB"/>
    <w:rsid w:val="007304C6"/>
    <w:rsid w:val="007307BF"/>
    <w:rsid w:val="00730BC0"/>
    <w:rsid w:val="00730BD4"/>
    <w:rsid w:val="00731137"/>
    <w:rsid w:val="007320D6"/>
    <w:rsid w:val="00732AEB"/>
    <w:rsid w:val="007330ED"/>
    <w:rsid w:val="00733EE0"/>
    <w:rsid w:val="00734624"/>
    <w:rsid w:val="0073487A"/>
    <w:rsid w:val="00735A7F"/>
    <w:rsid w:val="00735D56"/>
    <w:rsid w:val="00735F2B"/>
    <w:rsid w:val="0073616A"/>
    <w:rsid w:val="0073650F"/>
    <w:rsid w:val="00736CA6"/>
    <w:rsid w:val="007378B5"/>
    <w:rsid w:val="00737A66"/>
    <w:rsid w:val="00737B65"/>
    <w:rsid w:val="00740943"/>
    <w:rsid w:val="007417E3"/>
    <w:rsid w:val="00741C01"/>
    <w:rsid w:val="00741DE3"/>
    <w:rsid w:val="00741ECD"/>
    <w:rsid w:val="00741FC8"/>
    <w:rsid w:val="00742340"/>
    <w:rsid w:val="00742346"/>
    <w:rsid w:val="007423B0"/>
    <w:rsid w:val="007428A8"/>
    <w:rsid w:val="00742B2D"/>
    <w:rsid w:val="0074347F"/>
    <w:rsid w:val="00744543"/>
    <w:rsid w:val="00744A01"/>
    <w:rsid w:val="00744ABE"/>
    <w:rsid w:val="007457F1"/>
    <w:rsid w:val="00746A28"/>
    <w:rsid w:val="0074732F"/>
    <w:rsid w:val="0074757D"/>
    <w:rsid w:val="00747C28"/>
    <w:rsid w:val="00747C2C"/>
    <w:rsid w:val="00747F56"/>
    <w:rsid w:val="00750070"/>
    <w:rsid w:val="00750DC6"/>
    <w:rsid w:val="00751CFD"/>
    <w:rsid w:val="007531A9"/>
    <w:rsid w:val="0075361B"/>
    <w:rsid w:val="00753A9E"/>
    <w:rsid w:val="007543E2"/>
    <w:rsid w:val="0075450C"/>
    <w:rsid w:val="007551F4"/>
    <w:rsid w:val="00755B4C"/>
    <w:rsid w:val="00755C76"/>
    <w:rsid w:val="00756743"/>
    <w:rsid w:val="00756BCE"/>
    <w:rsid w:val="0075738D"/>
    <w:rsid w:val="00757D9B"/>
    <w:rsid w:val="007607D6"/>
    <w:rsid w:val="00760972"/>
    <w:rsid w:val="007610BA"/>
    <w:rsid w:val="007611D8"/>
    <w:rsid w:val="00761204"/>
    <w:rsid w:val="0076127A"/>
    <w:rsid w:val="007616AA"/>
    <w:rsid w:val="00761ADD"/>
    <w:rsid w:val="00762CB8"/>
    <w:rsid w:val="00762F8E"/>
    <w:rsid w:val="0076376A"/>
    <w:rsid w:val="00764343"/>
    <w:rsid w:val="007648EC"/>
    <w:rsid w:val="00764EF9"/>
    <w:rsid w:val="00764FEA"/>
    <w:rsid w:val="00765E7B"/>
    <w:rsid w:val="00766950"/>
    <w:rsid w:val="007703BE"/>
    <w:rsid w:val="00771603"/>
    <w:rsid w:val="00772580"/>
    <w:rsid w:val="00772E66"/>
    <w:rsid w:val="0077350A"/>
    <w:rsid w:val="007735EA"/>
    <w:rsid w:val="0077430D"/>
    <w:rsid w:val="00774523"/>
    <w:rsid w:val="0077483A"/>
    <w:rsid w:val="00775D44"/>
    <w:rsid w:val="007763F9"/>
    <w:rsid w:val="0077684A"/>
    <w:rsid w:val="007768F5"/>
    <w:rsid w:val="0077697F"/>
    <w:rsid w:val="00776B62"/>
    <w:rsid w:val="00776DA9"/>
    <w:rsid w:val="007770F5"/>
    <w:rsid w:val="00780B61"/>
    <w:rsid w:val="00780BEE"/>
    <w:rsid w:val="00781AD4"/>
    <w:rsid w:val="00782692"/>
    <w:rsid w:val="00782F1A"/>
    <w:rsid w:val="00783A7F"/>
    <w:rsid w:val="00783C3A"/>
    <w:rsid w:val="0078462D"/>
    <w:rsid w:val="0078481D"/>
    <w:rsid w:val="007852EE"/>
    <w:rsid w:val="00785962"/>
    <w:rsid w:val="007860D1"/>
    <w:rsid w:val="007861C8"/>
    <w:rsid w:val="007863CA"/>
    <w:rsid w:val="0078644F"/>
    <w:rsid w:val="00786A73"/>
    <w:rsid w:val="00786EBF"/>
    <w:rsid w:val="00787023"/>
    <w:rsid w:val="00787D19"/>
    <w:rsid w:val="0079003A"/>
    <w:rsid w:val="007907F2"/>
    <w:rsid w:val="0079129C"/>
    <w:rsid w:val="00791BAC"/>
    <w:rsid w:val="00791F95"/>
    <w:rsid w:val="00791FFA"/>
    <w:rsid w:val="00792222"/>
    <w:rsid w:val="00793172"/>
    <w:rsid w:val="0079318F"/>
    <w:rsid w:val="00793430"/>
    <w:rsid w:val="00793658"/>
    <w:rsid w:val="00793DF1"/>
    <w:rsid w:val="0079441D"/>
    <w:rsid w:val="00794ADD"/>
    <w:rsid w:val="00795035"/>
    <w:rsid w:val="0079538B"/>
    <w:rsid w:val="00795490"/>
    <w:rsid w:val="00795759"/>
    <w:rsid w:val="00795BC4"/>
    <w:rsid w:val="00795ECB"/>
    <w:rsid w:val="007961CC"/>
    <w:rsid w:val="00796425"/>
    <w:rsid w:val="00796435"/>
    <w:rsid w:val="0079661D"/>
    <w:rsid w:val="00796AB7"/>
    <w:rsid w:val="00796F64"/>
    <w:rsid w:val="00797245"/>
    <w:rsid w:val="00797F09"/>
    <w:rsid w:val="007A027B"/>
    <w:rsid w:val="007A06F9"/>
    <w:rsid w:val="007A0859"/>
    <w:rsid w:val="007A2AAA"/>
    <w:rsid w:val="007A30C2"/>
    <w:rsid w:val="007A34FB"/>
    <w:rsid w:val="007A36B9"/>
    <w:rsid w:val="007A393F"/>
    <w:rsid w:val="007A43BA"/>
    <w:rsid w:val="007A4C5F"/>
    <w:rsid w:val="007A547F"/>
    <w:rsid w:val="007A5571"/>
    <w:rsid w:val="007A57CC"/>
    <w:rsid w:val="007A6501"/>
    <w:rsid w:val="007A7618"/>
    <w:rsid w:val="007A7B84"/>
    <w:rsid w:val="007B0DD6"/>
    <w:rsid w:val="007B0FE3"/>
    <w:rsid w:val="007B1A6F"/>
    <w:rsid w:val="007B2A0A"/>
    <w:rsid w:val="007B2F42"/>
    <w:rsid w:val="007B2FC2"/>
    <w:rsid w:val="007B3453"/>
    <w:rsid w:val="007B4F9B"/>
    <w:rsid w:val="007B614D"/>
    <w:rsid w:val="007B6D0F"/>
    <w:rsid w:val="007B6DB2"/>
    <w:rsid w:val="007B6F63"/>
    <w:rsid w:val="007C01CA"/>
    <w:rsid w:val="007C0888"/>
    <w:rsid w:val="007C0D4B"/>
    <w:rsid w:val="007C1720"/>
    <w:rsid w:val="007C1A24"/>
    <w:rsid w:val="007C20E5"/>
    <w:rsid w:val="007C25FA"/>
    <w:rsid w:val="007C2872"/>
    <w:rsid w:val="007C2A8F"/>
    <w:rsid w:val="007C3049"/>
    <w:rsid w:val="007C36EF"/>
    <w:rsid w:val="007C3FEF"/>
    <w:rsid w:val="007C402F"/>
    <w:rsid w:val="007C4669"/>
    <w:rsid w:val="007C4797"/>
    <w:rsid w:val="007C51D6"/>
    <w:rsid w:val="007C53E1"/>
    <w:rsid w:val="007C5867"/>
    <w:rsid w:val="007C620C"/>
    <w:rsid w:val="007C6244"/>
    <w:rsid w:val="007C6B15"/>
    <w:rsid w:val="007C7069"/>
    <w:rsid w:val="007C7373"/>
    <w:rsid w:val="007C7398"/>
    <w:rsid w:val="007C77C6"/>
    <w:rsid w:val="007C77EC"/>
    <w:rsid w:val="007C7BD2"/>
    <w:rsid w:val="007D0495"/>
    <w:rsid w:val="007D0E27"/>
    <w:rsid w:val="007D2252"/>
    <w:rsid w:val="007D358B"/>
    <w:rsid w:val="007D374C"/>
    <w:rsid w:val="007D3C1A"/>
    <w:rsid w:val="007D4169"/>
    <w:rsid w:val="007D4A79"/>
    <w:rsid w:val="007D4F30"/>
    <w:rsid w:val="007D5518"/>
    <w:rsid w:val="007D56E7"/>
    <w:rsid w:val="007D66C4"/>
    <w:rsid w:val="007D6702"/>
    <w:rsid w:val="007D6BF9"/>
    <w:rsid w:val="007D6EDB"/>
    <w:rsid w:val="007D70FC"/>
    <w:rsid w:val="007D7366"/>
    <w:rsid w:val="007D73D3"/>
    <w:rsid w:val="007D750C"/>
    <w:rsid w:val="007E0115"/>
    <w:rsid w:val="007E0137"/>
    <w:rsid w:val="007E0E96"/>
    <w:rsid w:val="007E144D"/>
    <w:rsid w:val="007E1C05"/>
    <w:rsid w:val="007E1C1F"/>
    <w:rsid w:val="007E1DF8"/>
    <w:rsid w:val="007E2250"/>
    <w:rsid w:val="007E26B1"/>
    <w:rsid w:val="007E3026"/>
    <w:rsid w:val="007E39CA"/>
    <w:rsid w:val="007E4626"/>
    <w:rsid w:val="007E530B"/>
    <w:rsid w:val="007E6A41"/>
    <w:rsid w:val="007E6D39"/>
    <w:rsid w:val="007E71D1"/>
    <w:rsid w:val="007E76B5"/>
    <w:rsid w:val="007F0063"/>
    <w:rsid w:val="007F0316"/>
    <w:rsid w:val="007F0B83"/>
    <w:rsid w:val="007F0BD1"/>
    <w:rsid w:val="007F0DEF"/>
    <w:rsid w:val="007F1219"/>
    <w:rsid w:val="007F1A09"/>
    <w:rsid w:val="007F2129"/>
    <w:rsid w:val="007F2210"/>
    <w:rsid w:val="007F2D51"/>
    <w:rsid w:val="007F2ED2"/>
    <w:rsid w:val="007F2EEA"/>
    <w:rsid w:val="007F3721"/>
    <w:rsid w:val="007F3D15"/>
    <w:rsid w:val="007F4079"/>
    <w:rsid w:val="007F4AE8"/>
    <w:rsid w:val="007F5DBC"/>
    <w:rsid w:val="007F601D"/>
    <w:rsid w:val="007F6356"/>
    <w:rsid w:val="007F6558"/>
    <w:rsid w:val="007F667A"/>
    <w:rsid w:val="007F6775"/>
    <w:rsid w:val="007F6907"/>
    <w:rsid w:val="007F6BD2"/>
    <w:rsid w:val="007F7062"/>
    <w:rsid w:val="007F7190"/>
    <w:rsid w:val="007F7276"/>
    <w:rsid w:val="007F7358"/>
    <w:rsid w:val="007F7A47"/>
    <w:rsid w:val="00800B21"/>
    <w:rsid w:val="00801265"/>
    <w:rsid w:val="0080149E"/>
    <w:rsid w:val="00801652"/>
    <w:rsid w:val="00801CCE"/>
    <w:rsid w:val="008025CF"/>
    <w:rsid w:val="00802665"/>
    <w:rsid w:val="008032A0"/>
    <w:rsid w:val="00803322"/>
    <w:rsid w:val="00803A9B"/>
    <w:rsid w:val="00803C7B"/>
    <w:rsid w:val="00803EAD"/>
    <w:rsid w:val="00804CD7"/>
    <w:rsid w:val="00804E37"/>
    <w:rsid w:val="00805082"/>
    <w:rsid w:val="008052B3"/>
    <w:rsid w:val="00805410"/>
    <w:rsid w:val="008056FD"/>
    <w:rsid w:val="008059EA"/>
    <w:rsid w:val="0080632A"/>
    <w:rsid w:val="00807CF5"/>
    <w:rsid w:val="00810075"/>
    <w:rsid w:val="00810A6F"/>
    <w:rsid w:val="00810C93"/>
    <w:rsid w:val="008110D6"/>
    <w:rsid w:val="0081306D"/>
    <w:rsid w:val="0081398B"/>
    <w:rsid w:val="00813B85"/>
    <w:rsid w:val="0081475A"/>
    <w:rsid w:val="0081524C"/>
    <w:rsid w:val="00815A29"/>
    <w:rsid w:val="00815B3F"/>
    <w:rsid w:val="00815C29"/>
    <w:rsid w:val="00815D3A"/>
    <w:rsid w:val="00816D1B"/>
    <w:rsid w:val="00817780"/>
    <w:rsid w:val="00817937"/>
    <w:rsid w:val="00817BDF"/>
    <w:rsid w:val="00817D1D"/>
    <w:rsid w:val="0082040A"/>
    <w:rsid w:val="00821A2C"/>
    <w:rsid w:val="00822832"/>
    <w:rsid w:val="00822FA7"/>
    <w:rsid w:val="008236B4"/>
    <w:rsid w:val="008240B9"/>
    <w:rsid w:val="008242F7"/>
    <w:rsid w:val="00824658"/>
    <w:rsid w:val="00824741"/>
    <w:rsid w:val="008252E1"/>
    <w:rsid w:val="00825402"/>
    <w:rsid w:val="008257C0"/>
    <w:rsid w:val="00825F4B"/>
    <w:rsid w:val="0082600A"/>
    <w:rsid w:val="00826881"/>
    <w:rsid w:val="00826C0E"/>
    <w:rsid w:val="00827585"/>
    <w:rsid w:val="00827892"/>
    <w:rsid w:val="00830613"/>
    <w:rsid w:val="00831F61"/>
    <w:rsid w:val="00832ADD"/>
    <w:rsid w:val="00833284"/>
    <w:rsid w:val="008332CE"/>
    <w:rsid w:val="00833B8A"/>
    <w:rsid w:val="00834B75"/>
    <w:rsid w:val="00835D6D"/>
    <w:rsid w:val="00836018"/>
    <w:rsid w:val="00836C16"/>
    <w:rsid w:val="00836E0E"/>
    <w:rsid w:val="008370EF"/>
    <w:rsid w:val="008402B1"/>
    <w:rsid w:val="008410D0"/>
    <w:rsid w:val="00841538"/>
    <w:rsid w:val="00841E0B"/>
    <w:rsid w:val="0084260A"/>
    <w:rsid w:val="0084263D"/>
    <w:rsid w:val="00842644"/>
    <w:rsid w:val="0084360D"/>
    <w:rsid w:val="008442D5"/>
    <w:rsid w:val="008444B3"/>
    <w:rsid w:val="0084520B"/>
    <w:rsid w:val="00845C45"/>
    <w:rsid w:val="00846429"/>
    <w:rsid w:val="00846F7F"/>
    <w:rsid w:val="0084715B"/>
    <w:rsid w:val="00847439"/>
    <w:rsid w:val="00847552"/>
    <w:rsid w:val="00847B72"/>
    <w:rsid w:val="00850D5C"/>
    <w:rsid w:val="008511F7"/>
    <w:rsid w:val="00851972"/>
    <w:rsid w:val="0085213B"/>
    <w:rsid w:val="00852926"/>
    <w:rsid w:val="00852F10"/>
    <w:rsid w:val="0085348F"/>
    <w:rsid w:val="0085364D"/>
    <w:rsid w:val="00853850"/>
    <w:rsid w:val="00853878"/>
    <w:rsid w:val="00853993"/>
    <w:rsid w:val="00853E8D"/>
    <w:rsid w:val="00853F8C"/>
    <w:rsid w:val="00854637"/>
    <w:rsid w:val="00855E6C"/>
    <w:rsid w:val="00856CD1"/>
    <w:rsid w:val="0085738F"/>
    <w:rsid w:val="00857512"/>
    <w:rsid w:val="00861045"/>
    <w:rsid w:val="00861847"/>
    <w:rsid w:val="00861BE4"/>
    <w:rsid w:val="00861C45"/>
    <w:rsid w:val="00861C46"/>
    <w:rsid w:val="00861DE7"/>
    <w:rsid w:val="00862B5F"/>
    <w:rsid w:val="00863092"/>
    <w:rsid w:val="00864076"/>
    <w:rsid w:val="0086457B"/>
    <w:rsid w:val="00864588"/>
    <w:rsid w:val="00864A43"/>
    <w:rsid w:val="00864AE9"/>
    <w:rsid w:val="00865F86"/>
    <w:rsid w:val="00866C65"/>
    <w:rsid w:val="00866FE5"/>
    <w:rsid w:val="00871F54"/>
    <w:rsid w:val="00872000"/>
    <w:rsid w:val="008720AE"/>
    <w:rsid w:val="008739D7"/>
    <w:rsid w:val="00874044"/>
    <w:rsid w:val="00874058"/>
    <w:rsid w:val="0087490A"/>
    <w:rsid w:val="008752A1"/>
    <w:rsid w:val="0087592F"/>
    <w:rsid w:val="00876369"/>
    <w:rsid w:val="008765F6"/>
    <w:rsid w:val="008769DF"/>
    <w:rsid w:val="00877936"/>
    <w:rsid w:val="00877945"/>
    <w:rsid w:val="00877CA2"/>
    <w:rsid w:val="00877D7A"/>
    <w:rsid w:val="00877D99"/>
    <w:rsid w:val="00880481"/>
    <w:rsid w:val="008805F2"/>
    <w:rsid w:val="0088076B"/>
    <w:rsid w:val="0088084B"/>
    <w:rsid w:val="00880F1A"/>
    <w:rsid w:val="00880F50"/>
    <w:rsid w:val="00881210"/>
    <w:rsid w:val="008817FE"/>
    <w:rsid w:val="00881802"/>
    <w:rsid w:val="0088249F"/>
    <w:rsid w:val="00882BB7"/>
    <w:rsid w:val="00883C89"/>
    <w:rsid w:val="00884040"/>
    <w:rsid w:val="008841BC"/>
    <w:rsid w:val="008843E8"/>
    <w:rsid w:val="00884FAB"/>
    <w:rsid w:val="00885157"/>
    <w:rsid w:val="008852E3"/>
    <w:rsid w:val="008857F6"/>
    <w:rsid w:val="008858D1"/>
    <w:rsid w:val="00885A2D"/>
    <w:rsid w:val="008872D3"/>
    <w:rsid w:val="008878AB"/>
    <w:rsid w:val="00890DA3"/>
    <w:rsid w:val="00892C84"/>
    <w:rsid w:val="00892CA1"/>
    <w:rsid w:val="00893E72"/>
    <w:rsid w:val="008947A9"/>
    <w:rsid w:val="008949BC"/>
    <w:rsid w:val="0089552D"/>
    <w:rsid w:val="00895605"/>
    <w:rsid w:val="008962EE"/>
    <w:rsid w:val="00897442"/>
    <w:rsid w:val="008976D3"/>
    <w:rsid w:val="00897735"/>
    <w:rsid w:val="008A01D3"/>
    <w:rsid w:val="008A0DAA"/>
    <w:rsid w:val="008A103F"/>
    <w:rsid w:val="008A1CB5"/>
    <w:rsid w:val="008A1CBC"/>
    <w:rsid w:val="008A1E7E"/>
    <w:rsid w:val="008A203D"/>
    <w:rsid w:val="008A23BB"/>
    <w:rsid w:val="008A3280"/>
    <w:rsid w:val="008A396C"/>
    <w:rsid w:val="008A42AF"/>
    <w:rsid w:val="008A44EF"/>
    <w:rsid w:val="008A4ADD"/>
    <w:rsid w:val="008A4C9D"/>
    <w:rsid w:val="008A4EC2"/>
    <w:rsid w:val="008A53E2"/>
    <w:rsid w:val="008A5B74"/>
    <w:rsid w:val="008A6FB3"/>
    <w:rsid w:val="008A715C"/>
    <w:rsid w:val="008B08CB"/>
    <w:rsid w:val="008B08F8"/>
    <w:rsid w:val="008B1144"/>
    <w:rsid w:val="008B15EC"/>
    <w:rsid w:val="008B2067"/>
    <w:rsid w:val="008B2268"/>
    <w:rsid w:val="008B269F"/>
    <w:rsid w:val="008B2CCD"/>
    <w:rsid w:val="008B3AB1"/>
    <w:rsid w:val="008B410A"/>
    <w:rsid w:val="008B4947"/>
    <w:rsid w:val="008B4AEB"/>
    <w:rsid w:val="008B50BE"/>
    <w:rsid w:val="008B54AC"/>
    <w:rsid w:val="008B5AE5"/>
    <w:rsid w:val="008B6186"/>
    <w:rsid w:val="008B6DEB"/>
    <w:rsid w:val="008B6F0C"/>
    <w:rsid w:val="008B7225"/>
    <w:rsid w:val="008B799B"/>
    <w:rsid w:val="008C0976"/>
    <w:rsid w:val="008C1364"/>
    <w:rsid w:val="008C1834"/>
    <w:rsid w:val="008C1DAB"/>
    <w:rsid w:val="008C2620"/>
    <w:rsid w:val="008C28A6"/>
    <w:rsid w:val="008C3D2B"/>
    <w:rsid w:val="008C3DC1"/>
    <w:rsid w:val="008C3E10"/>
    <w:rsid w:val="008C3EFE"/>
    <w:rsid w:val="008C4341"/>
    <w:rsid w:val="008C47E0"/>
    <w:rsid w:val="008C48E2"/>
    <w:rsid w:val="008C4D2E"/>
    <w:rsid w:val="008C4F8E"/>
    <w:rsid w:val="008C66E9"/>
    <w:rsid w:val="008C6752"/>
    <w:rsid w:val="008D036C"/>
    <w:rsid w:val="008D06F9"/>
    <w:rsid w:val="008D0F7F"/>
    <w:rsid w:val="008D1369"/>
    <w:rsid w:val="008D1620"/>
    <w:rsid w:val="008D1764"/>
    <w:rsid w:val="008D187B"/>
    <w:rsid w:val="008D3221"/>
    <w:rsid w:val="008D39FF"/>
    <w:rsid w:val="008D3AD7"/>
    <w:rsid w:val="008D3B96"/>
    <w:rsid w:val="008D3F2F"/>
    <w:rsid w:val="008D4720"/>
    <w:rsid w:val="008D4955"/>
    <w:rsid w:val="008D6570"/>
    <w:rsid w:val="008D66DF"/>
    <w:rsid w:val="008D6767"/>
    <w:rsid w:val="008D76D9"/>
    <w:rsid w:val="008D7B82"/>
    <w:rsid w:val="008E1134"/>
    <w:rsid w:val="008E11C1"/>
    <w:rsid w:val="008E14F7"/>
    <w:rsid w:val="008E171B"/>
    <w:rsid w:val="008E29A4"/>
    <w:rsid w:val="008E2E49"/>
    <w:rsid w:val="008E335C"/>
    <w:rsid w:val="008E34BD"/>
    <w:rsid w:val="008E43D3"/>
    <w:rsid w:val="008E466D"/>
    <w:rsid w:val="008E492E"/>
    <w:rsid w:val="008E4DC2"/>
    <w:rsid w:val="008E5724"/>
    <w:rsid w:val="008E627F"/>
    <w:rsid w:val="008E6382"/>
    <w:rsid w:val="008E66A8"/>
    <w:rsid w:val="008E6AD7"/>
    <w:rsid w:val="008E6B7E"/>
    <w:rsid w:val="008E7A74"/>
    <w:rsid w:val="008E7FD9"/>
    <w:rsid w:val="008F00A7"/>
    <w:rsid w:val="008F09D8"/>
    <w:rsid w:val="008F0BED"/>
    <w:rsid w:val="008F0ECA"/>
    <w:rsid w:val="008F1005"/>
    <w:rsid w:val="008F1832"/>
    <w:rsid w:val="008F1CE2"/>
    <w:rsid w:val="008F1D6F"/>
    <w:rsid w:val="008F202D"/>
    <w:rsid w:val="008F22F5"/>
    <w:rsid w:val="008F243C"/>
    <w:rsid w:val="008F26CC"/>
    <w:rsid w:val="008F2B17"/>
    <w:rsid w:val="008F31AF"/>
    <w:rsid w:val="008F40B9"/>
    <w:rsid w:val="008F43CE"/>
    <w:rsid w:val="008F4BF3"/>
    <w:rsid w:val="008F5294"/>
    <w:rsid w:val="008F5950"/>
    <w:rsid w:val="008F5C72"/>
    <w:rsid w:val="008F5E2C"/>
    <w:rsid w:val="008F60E1"/>
    <w:rsid w:val="008F7049"/>
    <w:rsid w:val="008F7828"/>
    <w:rsid w:val="008F7BE6"/>
    <w:rsid w:val="00900C12"/>
    <w:rsid w:val="00900CF9"/>
    <w:rsid w:val="009010B7"/>
    <w:rsid w:val="009011B4"/>
    <w:rsid w:val="0090188B"/>
    <w:rsid w:val="00901C62"/>
    <w:rsid w:val="00901D48"/>
    <w:rsid w:val="00901F86"/>
    <w:rsid w:val="00902572"/>
    <w:rsid w:val="00902670"/>
    <w:rsid w:val="00902A86"/>
    <w:rsid w:val="00902AEA"/>
    <w:rsid w:val="00902B96"/>
    <w:rsid w:val="0090312F"/>
    <w:rsid w:val="00903821"/>
    <w:rsid w:val="0090384F"/>
    <w:rsid w:val="00903C49"/>
    <w:rsid w:val="00903D06"/>
    <w:rsid w:val="00903EAB"/>
    <w:rsid w:val="00904580"/>
    <w:rsid w:val="00904C7F"/>
    <w:rsid w:val="00904F83"/>
    <w:rsid w:val="0090530F"/>
    <w:rsid w:val="00905889"/>
    <w:rsid w:val="00905C27"/>
    <w:rsid w:val="00906408"/>
    <w:rsid w:val="00906644"/>
    <w:rsid w:val="009067AA"/>
    <w:rsid w:val="00906AFB"/>
    <w:rsid w:val="00906BD0"/>
    <w:rsid w:val="00906F73"/>
    <w:rsid w:val="00907AB1"/>
    <w:rsid w:val="00910823"/>
    <w:rsid w:val="00910963"/>
    <w:rsid w:val="00910ED1"/>
    <w:rsid w:val="00911475"/>
    <w:rsid w:val="0091156A"/>
    <w:rsid w:val="00911666"/>
    <w:rsid w:val="00911994"/>
    <w:rsid w:val="009125C9"/>
    <w:rsid w:val="009127BD"/>
    <w:rsid w:val="009128F0"/>
    <w:rsid w:val="009129F4"/>
    <w:rsid w:val="0091378C"/>
    <w:rsid w:val="00914D05"/>
    <w:rsid w:val="00914D98"/>
    <w:rsid w:val="00915D35"/>
    <w:rsid w:val="00915FF0"/>
    <w:rsid w:val="009161A8"/>
    <w:rsid w:val="009163D1"/>
    <w:rsid w:val="0091665F"/>
    <w:rsid w:val="00916A2B"/>
    <w:rsid w:val="00917980"/>
    <w:rsid w:val="009179BC"/>
    <w:rsid w:val="00920113"/>
    <w:rsid w:val="00920315"/>
    <w:rsid w:val="0092045B"/>
    <w:rsid w:val="00920745"/>
    <w:rsid w:val="009211E4"/>
    <w:rsid w:val="009214B1"/>
    <w:rsid w:val="00921F5F"/>
    <w:rsid w:val="00922364"/>
    <w:rsid w:val="009223E4"/>
    <w:rsid w:val="009227B9"/>
    <w:rsid w:val="0092376E"/>
    <w:rsid w:val="0092409C"/>
    <w:rsid w:val="009245F3"/>
    <w:rsid w:val="009252F7"/>
    <w:rsid w:val="00925757"/>
    <w:rsid w:val="00926615"/>
    <w:rsid w:val="00927C42"/>
    <w:rsid w:val="00927CD1"/>
    <w:rsid w:val="00927D59"/>
    <w:rsid w:val="00930927"/>
    <w:rsid w:val="00931004"/>
    <w:rsid w:val="0093180E"/>
    <w:rsid w:val="00932196"/>
    <w:rsid w:val="00932ABC"/>
    <w:rsid w:val="00932FDF"/>
    <w:rsid w:val="009334A1"/>
    <w:rsid w:val="00933526"/>
    <w:rsid w:val="009337AB"/>
    <w:rsid w:val="00933B24"/>
    <w:rsid w:val="00933DD5"/>
    <w:rsid w:val="00934072"/>
    <w:rsid w:val="00934159"/>
    <w:rsid w:val="00934F92"/>
    <w:rsid w:val="00935368"/>
    <w:rsid w:val="009357F5"/>
    <w:rsid w:val="00936158"/>
    <w:rsid w:val="00936299"/>
    <w:rsid w:val="00936819"/>
    <w:rsid w:val="009375E4"/>
    <w:rsid w:val="009376B5"/>
    <w:rsid w:val="00937C35"/>
    <w:rsid w:val="009404AC"/>
    <w:rsid w:val="009409DD"/>
    <w:rsid w:val="00940B71"/>
    <w:rsid w:val="00940B72"/>
    <w:rsid w:val="00940D80"/>
    <w:rsid w:val="00941515"/>
    <w:rsid w:val="00941EA1"/>
    <w:rsid w:val="0094264E"/>
    <w:rsid w:val="009426FC"/>
    <w:rsid w:val="00942F98"/>
    <w:rsid w:val="0094358A"/>
    <w:rsid w:val="00944011"/>
    <w:rsid w:val="009444E3"/>
    <w:rsid w:val="009445FF"/>
    <w:rsid w:val="0094479E"/>
    <w:rsid w:val="00944821"/>
    <w:rsid w:val="009452E8"/>
    <w:rsid w:val="0094596A"/>
    <w:rsid w:val="00945A44"/>
    <w:rsid w:val="00945FDB"/>
    <w:rsid w:val="00946704"/>
    <w:rsid w:val="00946894"/>
    <w:rsid w:val="00947C29"/>
    <w:rsid w:val="00947C47"/>
    <w:rsid w:val="00950307"/>
    <w:rsid w:val="0095041A"/>
    <w:rsid w:val="009507AF"/>
    <w:rsid w:val="00951080"/>
    <w:rsid w:val="0095138A"/>
    <w:rsid w:val="00951AC5"/>
    <w:rsid w:val="009528BD"/>
    <w:rsid w:val="00955630"/>
    <w:rsid w:val="00956B91"/>
    <w:rsid w:val="00956F8D"/>
    <w:rsid w:val="009573A6"/>
    <w:rsid w:val="00957891"/>
    <w:rsid w:val="00957B35"/>
    <w:rsid w:val="00960059"/>
    <w:rsid w:val="00960F8C"/>
    <w:rsid w:val="009612BA"/>
    <w:rsid w:val="00962A1C"/>
    <w:rsid w:val="009633DA"/>
    <w:rsid w:val="00964069"/>
    <w:rsid w:val="00964243"/>
    <w:rsid w:val="0096471B"/>
    <w:rsid w:val="00964CC4"/>
    <w:rsid w:val="00964D19"/>
    <w:rsid w:val="00965BCB"/>
    <w:rsid w:val="00965BF2"/>
    <w:rsid w:val="009660AD"/>
    <w:rsid w:val="00966C7D"/>
    <w:rsid w:val="00966D9D"/>
    <w:rsid w:val="00967136"/>
    <w:rsid w:val="00967518"/>
    <w:rsid w:val="0097094D"/>
    <w:rsid w:val="00970C51"/>
    <w:rsid w:val="00970F8A"/>
    <w:rsid w:val="0097328E"/>
    <w:rsid w:val="00973349"/>
    <w:rsid w:val="00973EBA"/>
    <w:rsid w:val="00973F68"/>
    <w:rsid w:val="009746B7"/>
    <w:rsid w:val="0097496E"/>
    <w:rsid w:val="00974F0C"/>
    <w:rsid w:val="0097505B"/>
    <w:rsid w:val="00975BED"/>
    <w:rsid w:val="009778F7"/>
    <w:rsid w:val="00977CBF"/>
    <w:rsid w:val="0098045B"/>
    <w:rsid w:val="0098093C"/>
    <w:rsid w:val="00980D47"/>
    <w:rsid w:val="0098163D"/>
    <w:rsid w:val="0098177A"/>
    <w:rsid w:val="00982B34"/>
    <w:rsid w:val="0098337E"/>
    <w:rsid w:val="009835C6"/>
    <w:rsid w:val="00983834"/>
    <w:rsid w:val="00984E02"/>
    <w:rsid w:val="00984E27"/>
    <w:rsid w:val="00985102"/>
    <w:rsid w:val="0098547F"/>
    <w:rsid w:val="00985579"/>
    <w:rsid w:val="009861E4"/>
    <w:rsid w:val="0098637C"/>
    <w:rsid w:val="009864E0"/>
    <w:rsid w:val="00987346"/>
    <w:rsid w:val="00990295"/>
    <w:rsid w:val="00991229"/>
    <w:rsid w:val="00991433"/>
    <w:rsid w:val="0099207D"/>
    <w:rsid w:val="00992AF5"/>
    <w:rsid w:val="00992EC1"/>
    <w:rsid w:val="00993F64"/>
    <w:rsid w:val="0099430D"/>
    <w:rsid w:val="0099474E"/>
    <w:rsid w:val="00994845"/>
    <w:rsid w:val="00995073"/>
    <w:rsid w:val="00995219"/>
    <w:rsid w:val="00995893"/>
    <w:rsid w:val="00997D92"/>
    <w:rsid w:val="009A1362"/>
    <w:rsid w:val="009A1D9A"/>
    <w:rsid w:val="009A28A5"/>
    <w:rsid w:val="009A2AD6"/>
    <w:rsid w:val="009A2DAC"/>
    <w:rsid w:val="009A3920"/>
    <w:rsid w:val="009A3A83"/>
    <w:rsid w:val="009A3D84"/>
    <w:rsid w:val="009A4A62"/>
    <w:rsid w:val="009A4A74"/>
    <w:rsid w:val="009A4F4B"/>
    <w:rsid w:val="009A63DC"/>
    <w:rsid w:val="009A700A"/>
    <w:rsid w:val="009A7DD6"/>
    <w:rsid w:val="009B0122"/>
    <w:rsid w:val="009B0F5A"/>
    <w:rsid w:val="009B13B7"/>
    <w:rsid w:val="009B1AEE"/>
    <w:rsid w:val="009B1AF7"/>
    <w:rsid w:val="009B2795"/>
    <w:rsid w:val="009B2804"/>
    <w:rsid w:val="009B2FA7"/>
    <w:rsid w:val="009B3330"/>
    <w:rsid w:val="009B37EC"/>
    <w:rsid w:val="009B3A7A"/>
    <w:rsid w:val="009B3F43"/>
    <w:rsid w:val="009B45C4"/>
    <w:rsid w:val="009B49FA"/>
    <w:rsid w:val="009B5F72"/>
    <w:rsid w:val="009B69E8"/>
    <w:rsid w:val="009B6CD5"/>
    <w:rsid w:val="009B73A9"/>
    <w:rsid w:val="009C0A2F"/>
    <w:rsid w:val="009C12E8"/>
    <w:rsid w:val="009C16BD"/>
    <w:rsid w:val="009C173C"/>
    <w:rsid w:val="009C200A"/>
    <w:rsid w:val="009C3A38"/>
    <w:rsid w:val="009C3EA5"/>
    <w:rsid w:val="009C45F1"/>
    <w:rsid w:val="009C4F00"/>
    <w:rsid w:val="009C583A"/>
    <w:rsid w:val="009C5904"/>
    <w:rsid w:val="009C5B6C"/>
    <w:rsid w:val="009C5FB8"/>
    <w:rsid w:val="009C6567"/>
    <w:rsid w:val="009C6733"/>
    <w:rsid w:val="009C787A"/>
    <w:rsid w:val="009C7E2C"/>
    <w:rsid w:val="009D05EC"/>
    <w:rsid w:val="009D1151"/>
    <w:rsid w:val="009D13FA"/>
    <w:rsid w:val="009D18D7"/>
    <w:rsid w:val="009D33A0"/>
    <w:rsid w:val="009D343E"/>
    <w:rsid w:val="009D3454"/>
    <w:rsid w:val="009D3658"/>
    <w:rsid w:val="009D36E8"/>
    <w:rsid w:val="009D3F84"/>
    <w:rsid w:val="009D52A6"/>
    <w:rsid w:val="009D57D5"/>
    <w:rsid w:val="009D5E2A"/>
    <w:rsid w:val="009D6E5D"/>
    <w:rsid w:val="009E01BC"/>
    <w:rsid w:val="009E0476"/>
    <w:rsid w:val="009E09B8"/>
    <w:rsid w:val="009E0D73"/>
    <w:rsid w:val="009E23B9"/>
    <w:rsid w:val="009E2F78"/>
    <w:rsid w:val="009E346A"/>
    <w:rsid w:val="009E3729"/>
    <w:rsid w:val="009E3DDF"/>
    <w:rsid w:val="009E438F"/>
    <w:rsid w:val="009E4E61"/>
    <w:rsid w:val="009E5061"/>
    <w:rsid w:val="009E5207"/>
    <w:rsid w:val="009E56E6"/>
    <w:rsid w:val="009E5FBE"/>
    <w:rsid w:val="009E61CB"/>
    <w:rsid w:val="009E6FC6"/>
    <w:rsid w:val="009E70D4"/>
    <w:rsid w:val="009E71FB"/>
    <w:rsid w:val="009E72D8"/>
    <w:rsid w:val="009E7826"/>
    <w:rsid w:val="009E7FF1"/>
    <w:rsid w:val="009F0150"/>
    <w:rsid w:val="009F0329"/>
    <w:rsid w:val="009F09C8"/>
    <w:rsid w:val="009F1201"/>
    <w:rsid w:val="009F133B"/>
    <w:rsid w:val="009F1A99"/>
    <w:rsid w:val="009F1DAE"/>
    <w:rsid w:val="009F1E48"/>
    <w:rsid w:val="009F1EA5"/>
    <w:rsid w:val="009F2053"/>
    <w:rsid w:val="009F20AA"/>
    <w:rsid w:val="009F20B9"/>
    <w:rsid w:val="009F288E"/>
    <w:rsid w:val="009F2A77"/>
    <w:rsid w:val="009F2EC9"/>
    <w:rsid w:val="009F3177"/>
    <w:rsid w:val="009F34D0"/>
    <w:rsid w:val="009F386B"/>
    <w:rsid w:val="009F45B8"/>
    <w:rsid w:val="009F46D2"/>
    <w:rsid w:val="009F4B3F"/>
    <w:rsid w:val="009F4C65"/>
    <w:rsid w:val="009F5285"/>
    <w:rsid w:val="009F58A3"/>
    <w:rsid w:val="009F7423"/>
    <w:rsid w:val="00A00465"/>
    <w:rsid w:val="00A01166"/>
    <w:rsid w:val="00A028B3"/>
    <w:rsid w:val="00A0292D"/>
    <w:rsid w:val="00A02FEC"/>
    <w:rsid w:val="00A03104"/>
    <w:rsid w:val="00A0339D"/>
    <w:rsid w:val="00A03FCA"/>
    <w:rsid w:val="00A044AF"/>
    <w:rsid w:val="00A04735"/>
    <w:rsid w:val="00A04DBE"/>
    <w:rsid w:val="00A0544A"/>
    <w:rsid w:val="00A056FA"/>
    <w:rsid w:val="00A06255"/>
    <w:rsid w:val="00A0783B"/>
    <w:rsid w:val="00A07843"/>
    <w:rsid w:val="00A078EA"/>
    <w:rsid w:val="00A07902"/>
    <w:rsid w:val="00A07EF4"/>
    <w:rsid w:val="00A11470"/>
    <w:rsid w:val="00A11CEA"/>
    <w:rsid w:val="00A1268F"/>
    <w:rsid w:val="00A1279E"/>
    <w:rsid w:val="00A134E7"/>
    <w:rsid w:val="00A14052"/>
    <w:rsid w:val="00A1538E"/>
    <w:rsid w:val="00A16035"/>
    <w:rsid w:val="00A163FB"/>
    <w:rsid w:val="00A1678F"/>
    <w:rsid w:val="00A16DB1"/>
    <w:rsid w:val="00A16EFB"/>
    <w:rsid w:val="00A17830"/>
    <w:rsid w:val="00A20489"/>
    <w:rsid w:val="00A208AC"/>
    <w:rsid w:val="00A2105E"/>
    <w:rsid w:val="00A2141D"/>
    <w:rsid w:val="00A21D0F"/>
    <w:rsid w:val="00A21EED"/>
    <w:rsid w:val="00A22C78"/>
    <w:rsid w:val="00A234A5"/>
    <w:rsid w:val="00A239A4"/>
    <w:rsid w:val="00A23DBA"/>
    <w:rsid w:val="00A23E71"/>
    <w:rsid w:val="00A2452D"/>
    <w:rsid w:val="00A24BE5"/>
    <w:rsid w:val="00A250DC"/>
    <w:rsid w:val="00A2514B"/>
    <w:rsid w:val="00A25A69"/>
    <w:rsid w:val="00A25DF4"/>
    <w:rsid w:val="00A2677E"/>
    <w:rsid w:val="00A270C0"/>
    <w:rsid w:val="00A30651"/>
    <w:rsid w:val="00A30F38"/>
    <w:rsid w:val="00A31465"/>
    <w:rsid w:val="00A315F8"/>
    <w:rsid w:val="00A32333"/>
    <w:rsid w:val="00A32E00"/>
    <w:rsid w:val="00A32E02"/>
    <w:rsid w:val="00A3473E"/>
    <w:rsid w:val="00A34927"/>
    <w:rsid w:val="00A34D12"/>
    <w:rsid w:val="00A34E16"/>
    <w:rsid w:val="00A34E8B"/>
    <w:rsid w:val="00A34F10"/>
    <w:rsid w:val="00A35831"/>
    <w:rsid w:val="00A35F5F"/>
    <w:rsid w:val="00A35FC9"/>
    <w:rsid w:val="00A365B9"/>
    <w:rsid w:val="00A369C5"/>
    <w:rsid w:val="00A36C87"/>
    <w:rsid w:val="00A36F41"/>
    <w:rsid w:val="00A40ACC"/>
    <w:rsid w:val="00A418C1"/>
    <w:rsid w:val="00A41A48"/>
    <w:rsid w:val="00A41E04"/>
    <w:rsid w:val="00A42460"/>
    <w:rsid w:val="00A4271B"/>
    <w:rsid w:val="00A4286D"/>
    <w:rsid w:val="00A439A0"/>
    <w:rsid w:val="00A43DCE"/>
    <w:rsid w:val="00A446D2"/>
    <w:rsid w:val="00A4510B"/>
    <w:rsid w:val="00A454BC"/>
    <w:rsid w:val="00A4595F"/>
    <w:rsid w:val="00A45C7E"/>
    <w:rsid w:val="00A47403"/>
    <w:rsid w:val="00A479A4"/>
    <w:rsid w:val="00A50027"/>
    <w:rsid w:val="00A515EB"/>
    <w:rsid w:val="00A51644"/>
    <w:rsid w:val="00A516D3"/>
    <w:rsid w:val="00A5235D"/>
    <w:rsid w:val="00A5286B"/>
    <w:rsid w:val="00A53099"/>
    <w:rsid w:val="00A53636"/>
    <w:rsid w:val="00A53A79"/>
    <w:rsid w:val="00A545DD"/>
    <w:rsid w:val="00A5480E"/>
    <w:rsid w:val="00A54DFE"/>
    <w:rsid w:val="00A55522"/>
    <w:rsid w:val="00A56011"/>
    <w:rsid w:val="00A56191"/>
    <w:rsid w:val="00A561DB"/>
    <w:rsid w:val="00A5696C"/>
    <w:rsid w:val="00A56FCC"/>
    <w:rsid w:val="00A57671"/>
    <w:rsid w:val="00A57C51"/>
    <w:rsid w:val="00A60398"/>
    <w:rsid w:val="00A60420"/>
    <w:rsid w:val="00A60D2D"/>
    <w:rsid w:val="00A61380"/>
    <w:rsid w:val="00A61EF4"/>
    <w:rsid w:val="00A62024"/>
    <w:rsid w:val="00A62104"/>
    <w:rsid w:val="00A623AE"/>
    <w:rsid w:val="00A62621"/>
    <w:rsid w:val="00A645A6"/>
    <w:rsid w:val="00A6510F"/>
    <w:rsid w:val="00A65667"/>
    <w:rsid w:val="00A6612E"/>
    <w:rsid w:val="00A6696A"/>
    <w:rsid w:val="00A67123"/>
    <w:rsid w:val="00A6745F"/>
    <w:rsid w:val="00A67B2F"/>
    <w:rsid w:val="00A67CAB"/>
    <w:rsid w:val="00A67EDE"/>
    <w:rsid w:val="00A7089F"/>
    <w:rsid w:val="00A70CED"/>
    <w:rsid w:val="00A714E8"/>
    <w:rsid w:val="00A716BB"/>
    <w:rsid w:val="00A718FD"/>
    <w:rsid w:val="00A72773"/>
    <w:rsid w:val="00A734AD"/>
    <w:rsid w:val="00A73A77"/>
    <w:rsid w:val="00A73C34"/>
    <w:rsid w:val="00A74269"/>
    <w:rsid w:val="00A74550"/>
    <w:rsid w:val="00A74F2B"/>
    <w:rsid w:val="00A75143"/>
    <w:rsid w:val="00A75214"/>
    <w:rsid w:val="00A7555E"/>
    <w:rsid w:val="00A7593A"/>
    <w:rsid w:val="00A76BC3"/>
    <w:rsid w:val="00A7776C"/>
    <w:rsid w:val="00A7791A"/>
    <w:rsid w:val="00A800B2"/>
    <w:rsid w:val="00A8026A"/>
    <w:rsid w:val="00A807E5"/>
    <w:rsid w:val="00A808A2"/>
    <w:rsid w:val="00A80D75"/>
    <w:rsid w:val="00A8146A"/>
    <w:rsid w:val="00A81CF4"/>
    <w:rsid w:val="00A820A9"/>
    <w:rsid w:val="00A82295"/>
    <w:rsid w:val="00A824F9"/>
    <w:rsid w:val="00A8272E"/>
    <w:rsid w:val="00A82DE1"/>
    <w:rsid w:val="00A82EE5"/>
    <w:rsid w:val="00A85B73"/>
    <w:rsid w:val="00A8663E"/>
    <w:rsid w:val="00A867BE"/>
    <w:rsid w:val="00A86F50"/>
    <w:rsid w:val="00A87E47"/>
    <w:rsid w:val="00A9076E"/>
    <w:rsid w:val="00A9080D"/>
    <w:rsid w:val="00A90D59"/>
    <w:rsid w:val="00A91025"/>
    <w:rsid w:val="00A911A0"/>
    <w:rsid w:val="00A91647"/>
    <w:rsid w:val="00A918B4"/>
    <w:rsid w:val="00A91FAE"/>
    <w:rsid w:val="00A92010"/>
    <w:rsid w:val="00A9291B"/>
    <w:rsid w:val="00A92B8B"/>
    <w:rsid w:val="00A930AA"/>
    <w:rsid w:val="00A93D12"/>
    <w:rsid w:val="00A94CB1"/>
    <w:rsid w:val="00A950C3"/>
    <w:rsid w:val="00A95A57"/>
    <w:rsid w:val="00A968F7"/>
    <w:rsid w:val="00A97334"/>
    <w:rsid w:val="00AA08A3"/>
    <w:rsid w:val="00AA0FB3"/>
    <w:rsid w:val="00AA112E"/>
    <w:rsid w:val="00AA1617"/>
    <w:rsid w:val="00AA1CC9"/>
    <w:rsid w:val="00AA1D2D"/>
    <w:rsid w:val="00AA271F"/>
    <w:rsid w:val="00AA2F81"/>
    <w:rsid w:val="00AA32FB"/>
    <w:rsid w:val="00AA37DB"/>
    <w:rsid w:val="00AA3A66"/>
    <w:rsid w:val="00AA4D3B"/>
    <w:rsid w:val="00AA4ED7"/>
    <w:rsid w:val="00AA50B7"/>
    <w:rsid w:val="00AA53A4"/>
    <w:rsid w:val="00AA55D9"/>
    <w:rsid w:val="00AA59C6"/>
    <w:rsid w:val="00AA5BC5"/>
    <w:rsid w:val="00AA5E6A"/>
    <w:rsid w:val="00AA63E6"/>
    <w:rsid w:val="00AA72CB"/>
    <w:rsid w:val="00AA7822"/>
    <w:rsid w:val="00AB0841"/>
    <w:rsid w:val="00AB0929"/>
    <w:rsid w:val="00AB0FF9"/>
    <w:rsid w:val="00AB1648"/>
    <w:rsid w:val="00AB2679"/>
    <w:rsid w:val="00AB2CFC"/>
    <w:rsid w:val="00AB2F64"/>
    <w:rsid w:val="00AB3025"/>
    <w:rsid w:val="00AB3339"/>
    <w:rsid w:val="00AB37AE"/>
    <w:rsid w:val="00AB37C8"/>
    <w:rsid w:val="00AB3D7C"/>
    <w:rsid w:val="00AB40F5"/>
    <w:rsid w:val="00AB4985"/>
    <w:rsid w:val="00AB52B6"/>
    <w:rsid w:val="00AB7194"/>
    <w:rsid w:val="00AB7B06"/>
    <w:rsid w:val="00AB7D76"/>
    <w:rsid w:val="00AB7E66"/>
    <w:rsid w:val="00AC07BA"/>
    <w:rsid w:val="00AC09B7"/>
    <w:rsid w:val="00AC1296"/>
    <w:rsid w:val="00AC141B"/>
    <w:rsid w:val="00AC1E40"/>
    <w:rsid w:val="00AC2052"/>
    <w:rsid w:val="00AC2354"/>
    <w:rsid w:val="00AC26D2"/>
    <w:rsid w:val="00AC47D2"/>
    <w:rsid w:val="00AC521C"/>
    <w:rsid w:val="00AC5C5C"/>
    <w:rsid w:val="00AC678B"/>
    <w:rsid w:val="00AC7599"/>
    <w:rsid w:val="00AD0DEB"/>
    <w:rsid w:val="00AD0F66"/>
    <w:rsid w:val="00AD155A"/>
    <w:rsid w:val="00AD1576"/>
    <w:rsid w:val="00AD1AF1"/>
    <w:rsid w:val="00AD1F83"/>
    <w:rsid w:val="00AD2169"/>
    <w:rsid w:val="00AD2455"/>
    <w:rsid w:val="00AD2DA5"/>
    <w:rsid w:val="00AD3306"/>
    <w:rsid w:val="00AD362D"/>
    <w:rsid w:val="00AD40CF"/>
    <w:rsid w:val="00AD4ACB"/>
    <w:rsid w:val="00AD5358"/>
    <w:rsid w:val="00AD5C4A"/>
    <w:rsid w:val="00AD6330"/>
    <w:rsid w:val="00AD6A74"/>
    <w:rsid w:val="00AD7374"/>
    <w:rsid w:val="00AD7BAB"/>
    <w:rsid w:val="00AE0122"/>
    <w:rsid w:val="00AE024D"/>
    <w:rsid w:val="00AE0351"/>
    <w:rsid w:val="00AE07DD"/>
    <w:rsid w:val="00AE0CC6"/>
    <w:rsid w:val="00AE0F82"/>
    <w:rsid w:val="00AE11AD"/>
    <w:rsid w:val="00AE12DD"/>
    <w:rsid w:val="00AE1456"/>
    <w:rsid w:val="00AE14AD"/>
    <w:rsid w:val="00AE1F5D"/>
    <w:rsid w:val="00AE230F"/>
    <w:rsid w:val="00AE2788"/>
    <w:rsid w:val="00AE29EA"/>
    <w:rsid w:val="00AE3867"/>
    <w:rsid w:val="00AE4263"/>
    <w:rsid w:val="00AE4595"/>
    <w:rsid w:val="00AE5090"/>
    <w:rsid w:val="00AE514B"/>
    <w:rsid w:val="00AE5558"/>
    <w:rsid w:val="00AE5575"/>
    <w:rsid w:val="00AE55A3"/>
    <w:rsid w:val="00AE5740"/>
    <w:rsid w:val="00AE5818"/>
    <w:rsid w:val="00AE603B"/>
    <w:rsid w:val="00AE6299"/>
    <w:rsid w:val="00AE701A"/>
    <w:rsid w:val="00AE7709"/>
    <w:rsid w:val="00AE790B"/>
    <w:rsid w:val="00AE7C98"/>
    <w:rsid w:val="00AE7E3E"/>
    <w:rsid w:val="00AF0712"/>
    <w:rsid w:val="00AF0C3C"/>
    <w:rsid w:val="00AF0D4C"/>
    <w:rsid w:val="00AF1ECE"/>
    <w:rsid w:val="00AF224C"/>
    <w:rsid w:val="00AF28F7"/>
    <w:rsid w:val="00AF29B2"/>
    <w:rsid w:val="00AF2A1F"/>
    <w:rsid w:val="00AF4392"/>
    <w:rsid w:val="00AF47DD"/>
    <w:rsid w:val="00AF4A13"/>
    <w:rsid w:val="00AF540B"/>
    <w:rsid w:val="00AF5458"/>
    <w:rsid w:val="00AF5AB1"/>
    <w:rsid w:val="00AF5D4C"/>
    <w:rsid w:val="00AF6DDE"/>
    <w:rsid w:val="00AF73D4"/>
    <w:rsid w:val="00AF748C"/>
    <w:rsid w:val="00AF79AA"/>
    <w:rsid w:val="00AF7CCF"/>
    <w:rsid w:val="00B00931"/>
    <w:rsid w:val="00B00F93"/>
    <w:rsid w:val="00B01DCB"/>
    <w:rsid w:val="00B02167"/>
    <w:rsid w:val="00B02328"/>
    <w:rsid w:val="00B02BEE"/>
    <w:rsid w:val="00B02D5A"/>
    <w:rsid w:val="00B035B6"/>
    <w:rsid w:val="00B0374D"/>
    <w:rsid w:val="00B04391"/>
    <w:rsid w:val="00B064CD"/>
    <w:rsid w:val="00B06EAA"/>
    <w:rsid w:val="00B06F71"/>
    <w:rsid w:val="00B0734E"/>
    <w:rsid w:val="00B07BAF"/>
    <w:rsid w:val="00B07BB0"/>
    <w:rsid w:val="00B07F1B"/>
    <w:rsid w:val="00B10EFF"/>
    <w:rsid w:val="00B120DF"/>
    <w:rsid w:val="00B123FB"/>
    <w:rsid w:val="00B1364F"/>
    <w:rsid w:val="00B13B75"/>
    <w:rsid w:val="00B14284"/>
    <w:rsid w:val="00B14496"/>
    <w:rsid w:val="00B14516"/>
    <w:rsid w:val="00B149E4"/>
    <w:rsid w:val="00B159B3"/>
    <w:rsid w:val="00B15D0E"/>
    <w:rsid w:val="00B166C9"/>
    <w:rsid w:val="00B16FC4"/>
    <w:rsid w:val="00B173A6"/>
    <w:rsid w:val="00B174F5"/>
    <w:rsid w:val="00B17699"/>
    <w:rsid w:val="00B17B4B"/>
    <w:rsid w:val="00B17FD7"/>
    <w:rsid w:val="00B203C1"/>
    <w:rsid w:val="00B20740"/>
    <w:rsid w:val="00B212DD"/>
    <w:rsid w:val="00B227D0"/>
    <w:rsid w:val="00B228D4"/>
    <w:rsid w:val="00B229B7"/>
    <w:rsid w:val="00B22A9C"/>
    <w:rsid w:val="00B23850"/>
    <w:rsid w:val="00B23C9A"/>
    <w:rsid w:val="00B23EAA"/>
    <w:rsid w:val="00B24335"/>
    <w:rsid w:val="00B245C1"/>
    <w:rsid w:val="00B249E2"/>
    <w:rsid w:val="00B24F3A"/>
    <w:rsid w:val="00B25A9E"/>
    <w:rsid w:val="00B25E3F"/>
    <w:rsid w:val="00B25E89"/>
    <w:rsid w:val="00B26CE4"/>
    <w:rsid w:val="00B26E98"/>
    <w:rsid w:val="00B27156"/>
    <w:rsid w:val="00B27E8B"/>
    <w:rsid w:val="00B31511"/>
    <w:rsid w:val="00B31FD2"/>
    <w:rsid w:val="00B3228D"/>
    <w:rsid w:val="00B32D85"/>
    <w:rsid w:val="00B32F61"/>
    <w:rsid w:val="00B33AA9"/>
    <w:rsid w:val="00B33B44"/>
    <w:rsid w:val="00B342D1"/>
    <w:rsid w:val="00B34674"/>
    <w:rsid w:val="00B34A0F"/>
    <w:rsid w:val="00B34C30"/>
    <w:rsid w:val="00B34E0C"/>
    <w:rsid w:val="00B353FF"/>
    <w:rsid w:val="00B35AB6"/>
    <w:rsid w:val="00B36082"/>
    <w:rsid w:val="00B36112"/>
    <w:rsid w:val="00B363CB"/>
    <w:rsid w:val="00B36966"/>
    <w:rsid w:val="00B36CC7"/>
    <w:rsid w:val="00B370AD"/>
    <w:rsid w:val="00B3742D"/>
    <w:rsid w:val="00B4006A"/>
    <w:rsid w:val="00B4094A"/>
    <w:rsid w:val="00B414C2"/>
    <w:rsid w:val="00B41794"/>
    <w:rsid w:val="00B418FC"/>
    <w:rsid w:val="00B428A4"/>
    <w:rsid w:val="00B42944"/>
    <w:rsid w:val="00B42AF9"/>
    <w:rsid w:val="00B42BA0"/>
    <w:rsid w:val="00B43446"/>
    <w:rsid w:val="00B43924"/>
    <w:rsid w:val="00B43C63"/>
    <w:rsid w:val="00B43CD0"/>
    <w:rsid w:val="00B43D4C"/>
    <w:rsid w:val="00B442EA"/>
    <w:rsid w:val="00B44908"/>
    <w:rsid w:val="00B44E67"/>
    <w:rsid w:val="00B46178"/>
    <w:rsid w:val="00B4663C"/>
    <w:rsid w:val="00B46F66"/>
    <w:rsid w:val="00B47249"/>
    <w:rsid w:val="00B47544"/>
    <w:rsid w:val="00B512F1"/>
    <w:rsid w:val="00B51736"/>
    <w:rsid w:val="00B5345A"/>
    <w:rsid w:val="00B53B67"/>
    <w:rsid w:val="00B54108"/>
    <w:rsid w:val="00B547E2"/>
    <w:rsid w:val="00B6018F"/>
    <w:rsid w:val="00B60B72"/>
    <w:rsid w:val="00B60BF3"/>
    <w:rsid w:val="00B625CC"/>
    <w:rsid w:val="00B62E03"/>
    <w:rsid w:val="00B63AA0"/>
    <w:rsid w:val="00B63EBC"/>
    <w:rsid w:val="00B6458B"/>
    <w:rsid w:val="00B65186"/>
    <w:rsid w:val="00B65206"/>
    <w:rsid w:val="00B65A2C"/>
    <w:rsid w:val="00B65DC2"/>
    <w:rsid w:val="00B6608D"/>
    <w:rsid w:val="00B66430"/>
    <w:rsid w:val="00B66F84"/>
    <w:rsid w:val="00B66FC0"/>
    <w:rsid w:val="00B67039"/>
    <w:rsid w:val="00B673C1"/>
    <w:rsid w:val="00B6741A"/>
    <w:rsid w:val="00B6744A"/>
    <w:rsid w:val="00B67696"/>
    <w:rsid w:val="00B67A8A"/>
    <w:rsid w:val="00B70DCB"/>
    <w:rsid w:val="00B7171E"/>
    <w:rsid w:val="00B71882"/>
    <w:rsid w:val="00B71A5A"/>
    <w:rsid w:val="00B71A6C"/>
    <w:rsid w:val="00B72668"/>
    <w:rsid w:val="00B7459B"/>
    <w:rsid w:val="00B745C4"/>
    <w:rsid w:val="00B74F79"/>
    <w:rsid w:val="00B75D17"/>
    <w:rsid w:val="00B76000"/>
    <w:rsid w:val="00B7698E"/>
    <w:rsid w:val="00B808BA"/>
    <w:rsid w:val="00B80A06"/>
    <w:rsid w:val="00B80A72"/>
    <w:rsid w:val="00B811EE"/>
    <w:rsid w:val="00B813A9"/>
    <w:rsid w:val="00B82C64"/>
    <w:rsid w:val="00B8318D"/>
    <w:rsid w:val="00B8331D"/>
    <w:rsid w:val="00B83F7B"/>
    <w:rsid w:val="00B84950"/>
    <w:rsid w:val="00B84E25"/>
    <w:rsid w:val="00B85760"/>
    <w:rsid w:val="00B85AA8"/>
    <w:rsid w:val="00B85ADC"/>
    <w:rsid w:val="00B85F02"/>
    <w:rsid w:val="00B86DA5"/>
    <w:rsid w:val="00B91406"/>
    <w:rsid w:val="00B91982"/>
    <w:rsid w:val="00B933CB"/>
    <w:rsid w:val="00B93A75"/>
    <w:rsid w:val="00B93F70"/>
    <w:rsid w:val="00B940E9"/>
    <w:rsid w:val="00B941F3"/>
    <w:rsid w:val="00B9460C"/>
    <w:rsid w:val="00B94A8D"/>
    <w:rsid w:val="00B94E78"/>
    <w:rsid w:val="00B952D5"/>
    <w:rsid w:val="00B95D86"/>
    <w:rsid w:val="00B9609E"/>
    <w:rsid w:val="00B96508"/>
    <w:rsid w:val="00B965B0"/>
    <w:rsid w:val="00B970E8"/>
    <w:rsid w:val="00B974F3"/>
    <w:rsid w:val="00BA0012"/>
    <w:rsid w:val="00BA0D17"/>
    <w:rsid w:val="00BA21AC"/>
    <w:rsid w:val="00BA2641"/>
    <w:rsid w:val="00BA2CB3"/>
    <w:rsid w:val="00BA2CB5"/>
    <w:rsid w:val="00BA3385"/>
    <w:rsid w:val="00BA4844"/>
    <w:rsid w:val="00BA486C"/>
    <w:rsid w:val="00BA4B13"/>
    <w:rsid w:val="00BA4F49"/>
    <w:rsid w:val="00BA5403"/>
    <w:rsid w:val="00BA5A66"/>
    <w:rsid w:val="00BA70D7"/>
    <w:rsid w:val="00BB02B0"/>
    <w:rsid w:val="00BB0963"/>
    <w:rsid w:val="00BB1696"/>
    <w:rsid w:val="00BB1767"/>
    <w:rsid w:val="00BB18F0"/>
    <w:rsid w:val="00BB1E77"/>
    <w:rsid w:val="00BB2226"/>
    <w:rsid w:val="00BB35A2"/>
    <w:rsid w:val="00BB35FC"/>
    <w:rsid w:val="00BB38D0"/>
    <w:rsid w:val="00BB3A71"/>
    <w:rsid w:val="00BB7766"/>
    <w:rsid w:val="00BB79E9"/>
    <w:rsid w:val="00BB7D78"/>
    <w:rsid w:val="00BC023C"/>
    <w:rsid w:val="00BC10E2"/>
    <w:rsid w:val="00BC1184"/>
    <w:rsid w:val="00BC12FC"/>
    <w:rsid w:val="00BC1653"/>
    <w:rsid w:val="00BC183C"/>
    <w:rsid w:val="00BC1DAE"/>
    <w:rsid w:val="00BC20C2"/>
    <w:rsid w:val="00BC218A"/>
    <w:rsid w:val="00BC28E8"/>
    <w:rsid w:val="00BC29F3"/>
    <w:rsid w:val="00BC4DB8"/>
    <w:rsid w:val="00BC509B"/>
    <w:rsid w:val="00BC64C1"/>
    <w:rsid w:val="00BC7399"/>
    <w:rsid w:val="00BC78A0"/>
    <w:rsid w:val="00BD1BA2"/>
    <w:rsid w:val="00BD1BD4"/>
    <w:rsid w:val="00BD3C71"/>
    <w:rsid w:val="00BD3D77"/>
    <w:rsid w:val="00BD4746"/>
    <w:rsid w:val="00BD48AA"/>
    <w:rsid w:val="00BD51C9"/>
    <w:rsid w:val="00BD5B10"/>
    <w:rsid w:val="00BD5C04"/>
    <w:rsid w:val="00BD659B"/>
    <w:rsid w:val="00BD6662"/>
    <w:rsid w:val="00BD683F"/>
    <w:rsid w:val="00BD6999"/>
    <w:rsid w:val="00BD6B6C"/>
    <w:rsid w:val="00BD74EA"/>
    <w:rsid w:val="00BD7A97"/>
    <w:rsid w:val="00BD7C8E"/>
    <w:rsid w:val="00BE039C"/>
    <w:rsid w:val="00BE0B0A"/>
    <w:rsid w:val="00BE0DAC"/>
    <w:rsid w:val="00BE1474"/>
    <w:rsid w:val="00BE19DC"/>
    <w:rsid w:val="00BE2865"/>
    <w:rsid w:val="00BE375C"/>
    <w:rsid w:val="00BE3ED9"/>
    <w:rsid w:val="00BE3F80"/>
    <w:rsid w:val="00BE44F7"/>
    <w:rsid w:val="00BE4E8F"/>
    <w:rsid w:val="00BE5198"/>
    <w:rsid w:val="00BE53E7"/>
    <w:rsid w:val="00BE651D"/>
    <w:rsid w:val="00BE6874"/>
    <w:rsid w:val="00BE6F6E"/>
    <w:rsid w:val="00BE6FE3"/>
    <w:rsid w:val="00BE781F"/>
    <w:rsid w:val="00BE7CF9"/>
    <w:rsid w:val="00BE7FF8"/>
    <w:rsid w:val="00BF01DD"/>
    <w:rsid w:val="00BF0C99"/>
    <w:rsid w:val="00BF13C7"/>
    <w:rsid w:val="00BF16E0"/>
    <w:rsid w:val="00BF179D"/>
    <w:rsid w:val="00BF191E"/>
    <w:rsid w:val="00BF1B26"/>
    <w:rsid w:val="00BF1E46"/>
    <w:rsid w:val="00BF1F32"/>
    <w:rsid w:val="00BF20BD"/>
    <w:rsid w:val="00BF217A"/>
    <w:rsid w:val="00BF21AC"/>
    <w:rsid w:val="00BF2401"/>
    <w:rsid w:val="00BF2B5B"/>
    <w:rsid w:val="00BF330D"/>
    <w:rsid w:val="00BF33C0"/>
    <w:rsid w:val="00BF36E8"/>
    <w:rsid w:val="00BF3886"/>
    <w:rsid w:val="00BF395F"/>
    <w:rsid w:val="00BF4171"/>
    <w:rsid w:val="00BF45CB"/>
    <w:rsid w:val="00BF4A53"/>
    <w:rsid w:val="00BF4CC9"/>
    <w:rsid w:val="00BF51F5"/>
    <w:rsid w:val="00BF5C9B"/>
    <w:rsid w:val="00BF6208"/>
    <w:rsid w:val="00BF7E09"/>
    <w:rsid w:val="00C016A4"/>
    <w:rsid w:val="00C018C9"/>
    <w:rsid w:val="00C01BDB"/>
    <w:rsid w:val="00C02679"/>
    <w:rsid w:val="00C0271F"/>
    <w:rsid w:val="00C02831"/>
    <w:rsid w:val="00C02C28"/>
    <w:rsid w:val="00C03347"/>
    <w:rsid w:val="00C04809"/>
    <w:rsid w:val="00C04A14"/>
    <w:rsid w:val="00C04CF1"/>
    <w:rsid w:val="00C05279"/>
    <w:rsid w:val="00C05BE0"/>
    <w:rsid w:val="00C060B7"/>
    <w:rsid w:val="00C06538"/>
    <w:rsid w:val="00C06F2F"/>
    <w:rsid w:val="00C07150"/>
    <w:rsid w:val="00C07D32"/>
    <w:rsid w:val="00C07D37"/>
    <w:rsid w:val="00C10AA7"/>
    <w:rsid w:val="00C11777"/>
    <w:rsid w:val="00C11879"/>
    <w:rsid w:val="00C12331"/>
    <w:rsid w:val="00C12393"/>
    <w:rsid w:val="00C12792"/>
    <w:rsid w:val="00C1296B"/>
    <w:rsid w:val="00C12B39"/>
    <w:rsid w:val="00C12CFB"/>
    <w:rsid w:val="00C13AAD"/>
    <w:rsid w:val="00C13BDB"/>
    <w:rsid w:val="00C14289"/>
    <w:rsid w:val="00C143EF"/>
    <w:rsid w:val="00C145A9"/>
    <w:rsid w:val="00C14DE9"/>
    <w:rsid w:val="00C15531"/>
    <w:rsid w:val="00C15568"/>
    <w:rsid w:val="00C155D7"/>
    <w:rsid w:val="00C15B69"/>
    <w:rsid w:val="00C17484"/>
    <w:rsid w:val="00C200BE"/>
    <w:rsid w:val="00C20289"/>
    <w:rsid w:val="00C20E8E"/>
    <w:rsid w:val="00C21266"/>
    <w:rsid w:val="00C2174D"/>
    <w:rsid w:val="00C21A4A"/>
    <w:rsid w:val="00C21C93"/>
    <w:rsid w:val="00C22B74"/>
    <w:rsid w:val="00C22BCF"/>
    <w:rsid w:val="00C2301A"/>
    <w:rsid w:val="00C2310D"/>
    <w:rsid w:val="00C2414F"/>
    <w:rsid w:val="00C2442A"/>
    <w:rsid w:val="00C24479"/>
    <w:rsid w:val="00C24CE4"/>
    <w:rsid w:val="00C252EC"/>
    <w:rsid w:val="00C25FC0"/>
    <w:rsid w:val="00C26568"/>
    <w:rsid w:val="00C269EE"/>
    <w:rsid w:val="00C26DB4"/>
    <w:rsid w:val="00C26E85"/>
    <w:rsid w:val="00C273FA"/>
    <w:rsid w:val="00C31374"/>
    <w:rsid w:val="00C31801"/>
    <w:rsid w:val="00C3198E"/>
    <w:rsid w:val="00C32D6A"/>
    <w:rsid w:val="00C332E4"/>
    <w:rsid w:val="00C3341B"/>
    <w:rsid w:val="00C34340"/>
    <w:rsid w:val="00C344E6"/>
    <w:rsid w:val="00C34B9E"/>
    <w:rsid w:val="00C34D4B"/>
    <w:rsid w:val="00C351F0"/>
    <w:rsid w:val="00C3589B"/>
    <w:rsid w:val="00C35A6F"/>
    <w:rsid w:val="00C35EFA"/>
    <w:rsid w:val="00C36754"/>
    <w:rsid w:val="00C37710"/>
    <w:rsid w:val="00C37775"/>
    <w:rsid w:val="00C40509"/>
    <w:rsid w:val="00C40613"/>
    <w:rsid w:val="00C41CBF"/>
    <w:rsid w:val="00C4220E"/>
    <w:rsid w:val="00C42359"/>
    <w:rsid w:val="00C4271E"/>
    <w:rsid w:val="00C42FDD"/>
    <w:rsid w:val="00C43494"/>
    <w:rsid w:val="00C436E6"/>
    <w:rsid w:val="00C43735"/>
    <w:rsid w:val="00C43CC9"/>
    <w:rsid w:val="00C44CFA"/>
    <w:rsid w:val="00C45551"/>
    <w:rsid w:val="00C45DEA"/>
    <w:rsid w:val="00C466E1"/>
    <w:rsid w:val="00C46E86"/>
    <w:rsid w:val="00C47373"/>
    <w:rsid w:val="00C47594"/>
    <w:rsid w:val="00C47B0A"/>
    <w:rsid w:val="00C47F70"/>
    <w:rsid w:val="00C50A36"/>
    <w:rsid w:val="00C5114E"/>
    <w:rsid w:val="00C513AA"/>
    <w:rsid w:val="00C51544"/>
    <w:rsid w:val="00C51C47"/>
    <w:rsid w:val="00C51F19"/>
    <w:rsid w:val="00C52332"/>
    <w:rsid w:val="00C52460"/>
    <w:rsid w:val="00C5286E"/>
    <w:rsid w:val="00C53114"/>
    <w:rsid w:val="00C53183"/>
    <w:rsid w:val="00C534AE"/>
    <w:rsid w:val="00C53C4D"/>
    <w:rsid w:val="00C54070"/>
    <w:rsid w:val="00C54088"/>
    <w:rsid w:val="00C5466B"/>
    <w:rsid w:val="00C54B19"/>
    <w:rsid w:val="00C55018"/>
    <w:rsid w:val="00C554A9"/>
    <w:rsid w:val="00C554CA"/>
    <w:rsid w:val="00C5564D"/>
    <w:rsid w:val="00C55A1B"/>
    <w:rsid w:val="00C56C85"/>
    <w:rsid w:val="00C5730F"/>
    <w:rsid w:val="00C5740D"/>
    <w:rsid w:val="00C57625"/>
    <w:rsid w:val="00C57827"/>
    <w:rsid w:val="00C57C5F"/>
    <w:rsid w:val="00C57E0B"/>
    <w:rsid w:val="00C600F0"/>
    <w:rsid w:val="00C606D7"/>
    <w:rsid w:val="00C608C2"/>
    <w:rsid w:val="00C615C8"/>
    <w:rsid w:val="00C6260A"/>
    <w:rsid w:val="00C63966"/>
    <w:rsid w:val="00C63D29"/>
    <w:rsid w:val="00C64355"/>
    <w:rsid w:val="00C6455B"/>
    <w:rsid w:val="00C6477B"/>
    <w:rsid w:val="00C64967"/>
    <w:rsid w:val="00C64D38"/>
    <w:rsid w:val="00C64F4B"/>
    <w:rsid w:val="00C651B7"/>
    <w:rsid w:val="00C65D42"/>
    <w:rsid w:val="00C66432"/>
    <w:rsid w:val="00C66C0B"/>
    <w:rsid w:val="00C6768E"/>
    <w:rsid w:val="00C679CE"/>
    <w:rsid w:val="00C67C8D"/>
    <w:rsid w:val="00C67ECF"/>
    <w:rsid w:val="00C7102F"/>
    <w:rsid w:val="00C7119C"/>
    <w:rsid w:val="00C716EC"/>
    <w:rsid w:val="00C71F1F"/>
    <w:rsid w:val="00C72602"/>
    <w:rsid w:val="00C72846"/>
    <w:rsid w:val="00C72FA4"/>
    <w:rsid w:val="00C73C47"/>
    <w:rsid w:val="00C73CCF"/>
    <w:rsid w:val="00C743F5"/>
    <w:rsid w:val="00C746E7"/>
    <w:rsid w:val="00C74E82"/>
    <w:rsid w:val="00C74FA6"/>
    <w:rsid w:val="00C7512E"/>
    <w:rsid w:val="00C75D72"/>
    <w:rsid w:val="00C75DF1"/>
    <w:rsid w:val="00C7616D"/>
    <w:rsid w:val="00C762CB"/>
    <w:rsid w:val="00C764D2"/>
    <w:rsid w:val="00C76E9D"/>
    <w:rsid w:val="00C80508"/>
    <w:rsid w:val="00C80B0E"/>
    <w:rsid w:val="00C81403"/>
    <w:rsid w:val="00C81892"/>
    <w:rsid w:val="00C81BDD"/>
    <w:rsid w:val="00C81D98"/>
    <w:rsid w:val="00C81FD0"/>
    <w:rsid w:val="00C82E85"/>
    <w:rsid w:val="00C82F35"/>
    <w:rsid w:val="00C8346C"/>
    <w:rsid w:val="00C83D63"/>
    <w:rsid w:val="00C84E98"/>
    <w:rsid w:val="00C84FA9"/>
    <w:rsid w:val="00C85953"/>
    <w:rsid w:val="00C85E03"/>
    <w:rsid w:val="00C86031"/>
    <w:rsid w:val="00C866CE"/>
    <w:rsid w:val="00C868DF"/>
    <w:rsid w:val="00C86DF2"/>
    <w:rsid w:val="00C86F0C"/>
    <w:rsid w:val="00C87073"/>
    <w:rsid w:val="00C9067E"/>
    <w:rsid w:val="00C90C11"/>
    <w:rsid w:val="00C913DA"/>
    <w:rsid w:val="00C92BF3"/>
    <w:rsid w:val="00C930F9"/>
    <w:rsid w:val="00C93733"/>
    <w:rsid w:val="00C93F7A"/>
    <w:rsid w:val="00C945CF"/>
    <w:rsid w:val="00C947AE"/>
    <w:rsid w:val="00C96BDA"/>
    <w:rsid w:val="00C97435"/>
    <w:rsid w:val="00C97933"/>
    <w:rsid w:val="00C97AD3"/>
    <w:rsid w:val="00CA115D"/>
    <w:rsid w:val="00CA1C1D"/>
    <w:rsid w:val="00CA20CB"/>
    <w:rsid w:val="00CA2252"/>
    <w:rsid w:val="00CA2402"/>
    <w:rsid w:val="00CA26E4"/>
    <w:rsid w:val="00CA383A"/>
    <w:rsid w:val="00CA3C40"/>
    <w:rsid w:val="00CA42EC"/>
    <w:rsid w:val="00CA4378"/>
    <w:rsid w:val="00CA52E3"/>
    <w:rsid w:val="00CA55EA"/>
    <w:rsid w:val="00CA5658"/>
    <w:rsid w:val="00CA5BBD"/>
    <w:rsid w:val="00CA6F5C"/>
    <w:rsid w:val="00CA740A"/>
    <w:rsid w:val="00CA7A29"/>
    <w:rsid w:val="00CB0003"/>
    <w:rsid w:val="00CB0033"/>
    <w:rsid w:val="00CB0437"/>
    <w:rsid w:val="00CB04E2"/>
    <w:rsid w:val="00CB04F1"/>
    <w:rsid w:val="00CB0C8C"/>
    <w:rsid w:val="00CB0C96"/>
    <w:rsid w:val="00CB0CD4"/>
    <w:rsid w:val="00CB2365"/>
    <w:rsid w:val="00CB24B4"/>
    <w:rsid w:val="00CB2B14"/>
    <w:rsid w:val="00CB2F9A"/>
    <w:rsid w:val="00CB3509"/>
    <w:rsid w:val="00CB3DC1"/>
    <w:rsid w:val="00CB62A0"/>
    <w:rsid w:val="00CB70EE"/>
    <w:rsid w:val="00CB7687"/>
    <w:rsid w:val="00CB7862"/>
    <w:rsid w:val="00CB78B3"/>
    <w:rsid w:val="00CB7933"/>
    <w:rsid w:val="00CC0D40"/>
    <w:rsid w:val="00CC19B5"/>
    <w:rsid w:val="00CC1A86"/>
    <w:rsid w:val="00CC1E4C"/>
    <w:rsid w:val="00CC217E"/>
    <w:rsid w:val="00CC23EF"/>
    <w:rsid w:val="00CC247E"/>
    <w:rsid w:val="00CC327C"/>
    <w:rsid w:val="00CC3FAE"/>
    <w:rsid w:val="00CC3FFC"/>
    <w:rsid w:val="00CC47AD"/>
    <w:rsid w:val="00CC4B31"/>
    <w:rsid w:val="00CC500F"/>
    <w:rsid w:val="00CC521D"/>
    <w:rsid w:val="00CC5483"/>
    <w:rsid w:val="00CC5782"/>
    <w:rsid w:val="00CC5E41"/>
    <w:rsid w:val="00CC658F"/>
    <w:rsid w:val="00CC7050"/>
    <w:rsid w:val="00CC72DA"/>
    <w:rsid w:val="00CC73C7"/>
    <w:rsid w:val="00CC74B2"/>
    <w:rsid w:val="00CC79CA"/>
    <w:rsid w:val="00CC7F5A"/>
    <w:rsid w:val="00CD125B"/>
    <w:rsid w:val="00CD1A88"/>
    <w:rsid w:val="00CD1F4E"/>
    <w:rsid w:val="00CD216E"/>
    <w:rsid w:val="00CD21C4"/>
    <w:rsid w:val="00CD2691"/>
    <w:rsid w:val="00CD2BB0"/>
    <w:rsid w:val="00CD3793"/>
    <w:rsid w:val="00CD41F8"/>
    <w:rsid w:val="00CD43CB"/>
    <w:rsid w:val="00CD48B3"/>
    <w:rsid w:val="00CD5324"/>
    <w:rsid w:val="00CD62E9"/>
    <w:rsid w:val="00CD6AB3"/>
    <w:rsid w:val="00CD6DDF"/>
    <w:rsid w:val="00CD6E74"/>
    <w:rsid w:val="00CD6F39"/>
    <w:rsid w:val="00CD6FFF"/>
    <w:rsid w:val="00CD789F"/>
    <w:rsid w:val="00CD7A1F"/>
    <w:rsid w:val="00CE040E"/>
    <w:rsid w:val="00CE08FB"/>
    <w:rsid w:val="00CE13A1"/>
    <w:rsid w:val="00CE1963"/>
    <w:rsid w:val="00CE1AF0"/>
    <w:rsid w:val="00CE24EA"/>
    <w:rsid w:val="00CE2692"/>
    <w:rsid w:val="00CE2878"/>
    <w:rsid w:val="00CE2B42"/>
    <w:rsid w:val="00CE2E4E"/>
    <w:rsid w:val="00CE2FCA"/>
    <w:rsid w:val="00CE3151"/>
    <w:rsid w:val="00CE336D"/>
    <w:rsid w:val="00CE35A0"/>
    <w:rsid w:val="00CE51F6"/>
    <w:rsid w:val="00CE57B6"/>
    <w:rsid w:val="00CE5A2E"/>
    <w:rsid w:val="00CE5B6F"/>
    <w:rsid w:val="00CE5F2A"/>
    <w:rsid w:val="00CE6BD9"/>
    <w:rsid w:val="00CE723B"/>
    <w:rsid w:val="00CE724C"/>
    <w:rsid w:val="00CE7855"/>
    <w:rsid w:val="00CE7B49"/>
    <w:rsid w:val="00CF0EF5"/>
    <w:rsid w:val="00CF11EB"/>
    <w:rsid w:val="00CF16D8"/>
    <w:rsid w:val="00CF189E"/>
    <w:rsid w:val="00CF2DB1"/>
    <w:rsid w:val="00CF4380"/>
    <w:rsid w:val="00CF460C"/>
    <w:rsid w:val="00CF4907"/>
    <w:rsid w:val="00CF4C89"/>
    <w:rsid w:val="00CF5139"/>
    <w:rsid w:val="00CF5265"/>
    <w:rsid w:val="00CF55A4"/>
    <w:rsid w:val="00CF6266"/>
    <w:rsid w:val="00CF65FC"/>
    <w:rsid w:val="00CF6D5D"/>
    <w:rsid w:val="00CF701B"/>
    <w:rsid w:val="00CF70DD"/>
    <w:rsid w:val="00CF717E"/>
    <w:rsid w:val="00CF7B95"/>
    <w:rsid w:val="00D00253"/>
    <w:rsid w:val="00D00564"/>
    <w:rsid w:val="00D00D9B"/>
    <w:rsid w:val="00D00E61"/>
    <w:rsid w:val="00D0138D"/>
    <w:rsid w:val="00D01A66"/>
    <w:rsid w:val="00D01BB3"/>
    <w:rsid w:val="00D0268C"/>
    <w:rsid w:val="00D027C1"/>
    <w:rsid w:val="00D02FE8"/>
    <w:rsid w:val="00D033F3"/>
    <w:rsid w:val="00D039BE"/>
    <w:rsid w:val="00D04153"/>
    <w:rsid w:val="00D041F9"/>
    <w:rsid w:val="00D04880"/>
    <w:rsid w:val="00D0489D"/>
    <w:rsid w:val="00D04F26"/>
    <w:rsid w:val="00D0541B"/>
    <w:rsid w:val="00D05566"/>
    <w:rsid w:val="00D05824"/>
    <w:rsid w:val="00D05D56"/>
    <w:rsid w:val="00D05D77"/>
    <w:rsid w:val="00D06A69"/>
    <w:rsid w:val="00D07502"/>
    <w:rsid w:val="00D07C57"/>
    <w:rsid w:val="00D07F6B"/>
    <w:rsid w:val="00D10E4F"/>
    <w:rsid w:val="00D1158A"/>
    <w:rsid w:val="00D119C9"/>
    <w:rsid w:val="00D122C6"/>
    <w:rsid w:val="00D12930"/>
    <w:rsid w:val="00D13D0E"/>
    <w:rsid w:val="00D14C9D"/>
    <w:rsid w:val="00D14E0F"/>
    <w:rsid w:val="00D15B40"/>
    <w:rsid w:val="00D15BA9"/>
    <w:rsid w:val="00D1604C"/>
    <w:rsid w:val="00D16ADC"/>
    <w:rsid w:val="00D16F5C"/>
    <w:rsid w:val="00D17113"/>
    <w:rsid w:val="00D172C0"/>
    <w:rsid w:val="00D174CF"/>
    <w:rsid w:val="00D17B6A"/>
    <w:rsid w:val="00D20493"/>
    <w:rsid w:val="00D2183C"/>
    <w:rsid w:val="00D218AB"/>
    <w:rsid w:val="00D21B79"/>
    <w:rsid w:val="00D232EA"/>
    <w:rsid w:val="00D237E2"/>
    <w:rsid w:val="00D2402A"/>
    <w:rsid w:val="00D248D3"/>
    <w:rsid w:val="00D26011"/>
    <w:rsid w:val="00D26523"/>
    <w:rsid w:val="00D2691E"/>
    <w:rsid w:val="00D26A41"/>
    <w:rsid w:val="00D26CA7"/>
    <w:rsid w:val="00D2718D"/>
    <w:rsid w:val="00D27271"/>
    <w:rsid w:val="00D27549"/>
    <w:rsid w:val="00D2768E"/>
    <w:rsid w:val="00D27E3C"/>
    <w:rsid w:val="00D27F4B"/>
    <w:rsid w:val="00D3009E"/>
    <w:rsid w:val="00D305F6"/>
    <w:rsid w:val="00D30D0B"/>
    <w:rsid w:val="00D31E56"/>
    <w:rsid w:val="00D33751"/>
    <w:rsid w:val="00D337B4"/>
    <w:rsid w:val="00D34BC4"/>
    <w:rsid w:val="00D34F2E"/>
    <w:rsid w:val="00D3572B"/>
    <w:rsid w:val="00D378EC"/>
    <w:rsid w:val="00D37C16"/>
    <w:rsid w:val="00D40C15"/>
    <w:rsid w:val="00D417DA"/>
    <w:rsid w:val="00D41996"/>
    <w:rsid w:val="00D422FB"/>
    <w:rsid w:val="00D4353A"/>
    <w:rsid w:val="00D44087"/>
    <w:rsid w:val="00D449F9"/>
    <w:rsid w:val="00D44BD7"/>
    <w:rsid w:val="00D46134"/>
    <w:rsid w:val="00D46139"/>
    <w:rsid w:val="00D46585"/>
    <w:rsid w:val="00D46928"/>
    <w:rsid w:val="00D4746E"/>
    <w:rsid w:val="00D47D14"/>
    <w:rsid w:val="00D504CF"/>
    <w:rsid w:val="00D508A2"/>
    <w:rsid w:val="00D509E4"/>
    <w:rsid w:val="00D51038"/>
    <w:rsid w:val="00D514D4"/>
    <w:rsid w:val="00D52125"/>
    <w:rsid w:val="00D52608"/>
    <w:rsid w:val="00D52B55"/>
    <w:rsid w:val="00D5321C"/>
    <w:rsid w:val="00D53380"/>
    <w:rsid w:val="00D53E0B"/>
    <w:rsid w:val="00D53E91"/>
    <w:rsid w:val="00D54A6F"/>
    <w:rsid w:val="00D54A75"/>
    <w:rsid w:val="00D54B8D"/>
    <w:rsid w:val="00D54BA5"/>
    <w:rsid w:val="00D54EF6"/>
    <w:rsid w:val="00D55201"/>
    <w:rsid w:val="00D5523C"/>
    <w:rsid w:val="00D55512"/>
    <w:rsid w:val="00D55A5D"/>
    <w:rsid w:val="00D5664B"/>
    <w:rsid w:val="00D566F0"/>
    <w:rsid w:val="00D56E63"/>
    <w:rsid w:val="00D57C9D"/>
    <w:rsid w:val="00D6040D"/>
    <w:rsid w:val="00D60BCB"/>
    <w:rsid w:val="00D61B80"/>
    <w:rsid w:val="00D622FC"/>
    <w:rsid w:val="00D62FA8"/>
    <w:rsid w:val="00D63756"/>
    <w:rsid w:val="00D64E8B"/>
    <w:rsid w:val="00D652BD"/>
    <w:rsid w:val="00D6549B"/>
    <w:rsid w:val="00D66984"/>
    <w:rsid w:val="00D66F4F"/>
    <w:rsid w:val="00D6782B"/>
    <w:rsid w:val="00D67A74"/>
    <w:rsid w:val="00D67AE0"/>
    <w:rsid w:val="00D67D0F"/>
    <w:rsid w:val="00D67D12"/>
    <w:rsid w:val="00D67DB6"/>
    <w:rsid w:val="00D7080A"/>
    <w:rsid w:val="00D71506"/>
    <w:rsid w:val="00D71825"/>
    <w:rsid w:val="00D71AC1"/>
    <w:rsid w:val="00D72241"/>
    <w:rsid w:val="00D7296D"/>
    <w:rsid w:val="00D73071"/>
    <w:rsid w:val="00D7347E"/>
    <w:rsid w:val="00D735B2"/>
    <w:rsid w:val="00D7382F"/>
    <w:rsid w:val="00D7397D"/>
    <w:rsid w:val="00D7399D"/>
    <w:rsid w:val="00D73B3C"/>
    <w:rsid w:val="00D745BE"/>
    <w:rsid w:val="00D74E23"/>
    <w:rsid w:val="00D74EF0"/>
    <w:rsid w:val="00D7554A"/>
    <w:rsid w:val="00D75F7C"/>
    <w:rsid w:val="00D7643D"/>
    <w:rsid w:val="00D764CF"/>
    <w:rsid w:val="00D7689D"/>
    <w:rsid w:val="00D77503"/>
    <w:rsid w:val="00D7750B"/>
    <w:rsid w:val="00D77600"/>
    <w:rsid w:val="00D8097D"/>
    <w:rsid w:val="00D81EFE"/>
    <w:rsid w:val="00D822BF"/>
    <w:rsid w:val="00D82753"/>
    <w:rsid w:val="00D827EE"/>
    <w:rsid w:val="00D82B04"/>
    <w:rsid w:val="00D83CF3"/>
    <w:rsid w:val="00D84147"/>
    <w:rsid w:val="00D84890"/>
    <w:rsid w:val="00D84B5B"/>
    <w:rsid w:val="00D84CB8"/>
    <w:rsid w:val="00D84F56"/>
    <w:rsid w:val="00D8515C"/>
    <w:rsid w:val="00D85B27"/>
    <w:rsid w:val="00D865A6"/>
    <w:rsid w:val="00D86BF8"/>
    <w:rsid w:val="00D87445"/>
    <w:rsid w:val="00D8748A"/>
    <w:rsid w:val="00D874B9"/>
    <w:rsid w:val="00D87647"/>
    <w:rsid w:val="00D878CA"/>
    <w:rsid w:val="00D87FB4"/>
    <w:rsid w:val="00D9020C"/>
    <w:rsid w:val="00D909A6"/>
    <w:rsid w:val="00D9134E"/>
    <w:rsid w:val="00D913BB"/>
    <w:rsid w:val="00D9154D"/>
    <w:rsid w:val="00D916E1"/>
    <w:rsid w:val="00D919FE"/>
    <w:rsid w:val="00D91A43"/>
    <w:rsid w:val="00D92439"/>
    <w:rsid w:val="00D92670"/>
    <w:rsid w:val="00D93172"/>
    <w:rsid w:val="00D93680"/>
    <w:rsid w:val="00D94310"/>
    <w:rsid w:val="00D953C9"/>
    <w:rsid w:val="00D95573"/>
    <w:rsid w:val="00D957F4"/>
    <w:rsid w:val="00D95A57"/>
    <w:rsid w:val="00D96568"/>
    <w:rsid w:val="00D967E8"/>
    <w:rsid w:val="00D9705F"/>
    <w:rsid w:val="00D976CF"/>
    <w:rsid w:val="00DA02F3"/>
    <w:rsid w:val="00DA03EE"/>
    <w:rsid w:val="00DA0574"/>
    <w:rsid w:val="00DA0763"/>
    <w:rsid w:val="00DA1188"/>
    <w:rsid w:val="00DA15CD"/>
    <w:rsid w:val="00DA30A0"/>
    <w:rsid w:val="00DA3AC5"/>
    <w:rsid w:val="00DA416E"/>
    <w:rsid w:val="00DA41DE"/>
    <w:rsid w:val="00DA492E"/>
    <w:rsid w:val="00DA4A91"/>
    <w:rsid w:val="00DA4EDF"/>
    <w:rsid w:val="00DA5B34"/>
    <w:rsid w:val="00DA6854"/>
    <w:rsid w:val="00DA690D"/>
    <w:rsid w:val="00DA6944"/>
    <w:rsid w:val="00DA6973"/>
    <w:rsid w:val="00DA6E1D"/>
    <w:rsid w:val="00DA72DE"/>
    <w:rsid w:val="00DA76ED"/>
    <w:rsid w:val="00DB0F3C"/>
    <w:rsid w:val="00DB13EF"/>
    <w:rsid w:val="00DB15A8"/>
    <w:rsid w:val="00DB1A48"/>
    <w:rsid w:val="00DB2101"/>
    <w:rsid w:val="00DB29F1"/>
    <w:rsid w:val="00DB2A2F"/>
    <w:rsid w:val="00DB2A65"/>
    <w:rsid w:val="00DB3072"/>
    <w:rsid w:val="00DB30BC"/>
    <w:rsid w:val="00DB4C85"/>
    <w:rsid w:val="00DB4F86"/>
    <w:rsid w:val="00DB50C1"/>
    <w:rsid w:val="00DB5367"/>
    <w:rsid w:val="00DB5719"/>
    <w:rsid w:val="00DB5D46"/>
    <w:rsid w:val="00DB603A"/>
    <w:rsid w:val="00DB6448"/>
    <w:rsid w:val="00DB6AC6"/>
    <w:rsid w:val="00DB7616"/>
    <w:rsid w:val="00DB7CF2"/>
    <w:rsid w:val="00DB7D69"/>
    <w:rsid w:val="00DB7D7E"/>
    <w:rsid w:val="00DC04DF"/>
    <w:rsid w:val="00DC0A78"/>
    <w:rsid w:val="00DC12AF"/>
    <w:rsid w:val="00DC194B"/>
    <w:rsid w:val="00DC1E9F"/>
    <w:rsid w:val="00DC2177"/>
    <w:rsid w:val="00DC2756"/>
    <w:rsid w:val="00DC289A"/>
    <w:rsid w:val="00DC2FC2"/>
    <w:rsid w:val="00DC36F3"/>
    <w:rsid w:val="00DC5064"/>
    <w:rsid w:val="00DC512B"/>
    <w:rsid w:val="00DC5465"/>
    <w:rsid w:val="00DC5AEB"/>
    <w:rsid w:val="00DC5C6A"/>
    <w:rsid w:val="00DC5D63"/>
    <w:rsid w:val="00DC6DCD"/>
    <w:rsid w:val="00DC6E52"/>
    <w:rsid w:val="00DC6E59"/>
    <w:rsid w:val="00DC7420"/>
    <w:rsid w:val="00DC7E65"/>
    <w:rsid w:val="00DD097B"/>
    <w:rsid w:val="00DD0FDA"/>
    <w:rsid w:val="00DD1220"/>
    <w:rsid w:val="00DD2B0E"/>
    <w:rsid w:val="00DD2D67"/>
    <w:rsid w:val="00DD31C8"/>
    <w:rsid w:val="00DD33FB"/>
    <w:rsid w:val="00DD3AF1"/>
    <w:rsid w:val="00DD4393"/>
    <w:rsid w:val="00DD44A1"/>
    <w:rsid w:val="00DD47E6"/>
    <w:rsid w:val="00DD4CC1"/>
    <w:rsid w:val="00DD5090"/>
    <w:rsid w:val="00DD5374"/>
    <w:rsid w:val="00DD5CAC"/>
    <w:rsid w:val="00DD60F4"/>
    <w:rsid w:val="00DD633E"/>
    <w:rsid w:val="00DD6498"/>
    <w:rsid w:val="00DD6928"/>
    <w:rsid w:val="00DD6CE5"/>
    <w:rsid w:val="00DD6E23"/>
    <w:rsid w:val="00DD7057"/>
    <w:rsid w:val="00DD7355"/>
    <w:rsid w:val="00DD7A32"/>
    <w:rsid w:val="00DE17A7"/>
    <w:rsid w:val="00DE183E"/>
    <w:rsid w:val="00DE1953"/>
    <w:rsid w:val="00DE2EC8"/>
    <w:rsid w:val="00DE3B44"/>
    <w:rsid w:val="00DE44B8"/>
    <w:rsid w:val="00DE4596"/>
    <w:rsid w:val="00DE4EFA"/>
    <w:rsid w:val="00DE5007"/>
    <w:rsid w:val="00DE56E7"/>
    <w:rsid w:val="00DE5848"/>
    <w:rsid w:val="00DE6140"/>
    <w:rsid w:val="00DE7277"/>
    <w:rsid w:val="00DF04E7"/>
    <w:rsid w:val="00DF0AA9"/>
    <w:rsid w:val="00DF11B8"/>
    <w:rsid w:val="00DF1545"/>
    <w:rsid w:val="00DF1A27"/>
    <w:rsid w:val="00DF244B"/>
    <w:rsid w:val="00DF385E"/>
    <w:rsid w:val="00DF4568"/>
    <w:rsid w:val="00DF46BA"/>
    <w:rsid w:val="00DF47BE"/>
    <w:rsid w:val="00DF47FE"/>
    <w:rsid w:val="00DF5505"/>
    <w:rsid w:val="00DF58CB"/>
    <w:rsid w:val="00DF5B73"/>
    <w:rsid w:val="00DF6DD6"/>
    <w:rsid w:val="00DF6ED7"/>
    <w:rsid w:val="00DF70E7"/>
    <w:rsid w:val="00DF777C"/>
    <w:rsid w:val="00DF7D3B"/>
    <w:rsid w:val="00DF7DE9"/>
    <w:rsid w:val="00E00AD8"/>
    <w:rsid w:val="00E010A0"/>
    <w:rsid w:val="00E011BB"/>
    <w:rsid w:val="00E01B09"/>
    <w:rsid w:val="00E01C8B"/>
    <w:rsid w:val="00E0239B"/>
    <w:rsid w:val="00E0287E"/>
    <w:rsid w:val="00E028F6"/>
    <w:rsid w:val="00E02E6D"/>
    <w:rsid w:val="00E04290"/>
    <w:rsid w:val="00E0466C"/>
    <w:rsid w:val="00E05797"/>
    <w:rsid w:val="00E05BDF"/>
    <w:rsid w:val="00E05C1B"/>
    <w:rsid w:val="00E05FA4"/>
    <w:rsid w:val="00E064C9"/>
    <w:rsid w:val="00E06B56"/>
    <w:rsid w:val="00E07196"/>
    <w:rsid w:val="00E077EA"/>
    <w:rsid w:val="00E07997"/>
    <w:rsid w:val="00E07A61"/>
    <w:rsid w:val="00E07F8C"/>
    <w:rsid w:val="00E10B2F"/>
    <w:rsid w:val="00E12395"/>
    <w:rsid w:val="00E12764"/>
    <w:rsid w:val="00E129F6"/>
    <w:rsid w:val="00E12CDA"/>
    <w:rsid w:val="00E13326"/>
    <w:rsid w:val="00E13B65"/>
    <w:rsid w:val="00E13C3C"/>
    <w:rsid w:val="00E14001"/>
    <w:rsid w:val="00E14278"/>
    <w:rsid w:val="00E14F02"/>
    <w:rsid w:val="00E1503B"/>
    <w:rsid w:val="00E15F39"/>
    <w:rsid w:val="00E1607F"/>
    <w:rsid w:val="00E16205"/>
    <w:rsid w:val="00E167D2"/>
    <w:rsid w:val="00E16A95"/>
    <w:rsid w:val="00E16BD9"/>
    <w:rsid w:val="00E1706B"/>
    <w:rsid w:val="00E17487"/>
    <w:rsid w:val="00E203BC"/>
    <w:rsid w:val="00E21272"/>
    <w:rsid w:val="00E21473"/>
    <w:rsid w:val="00E21A2B"/>
    <w:rsid w:val="00E22C94"/>
    <w:rsid w:val="00E234B8"/>
    <w:rsid w:val="00E2384C"/>
    <w:rsid w:val="00E24140"/>
    <w:rsid w:val="00E24382"/>
    <w:rsid w:val="00E24410"/>
    <w:rsid w:val="00E24532"/>
    <w:rsid w:val="00E24FCE"/>
    <w:rsid w:val="00E25041"/>
    <w:rsid w:val="00E2525D"/>
    <w:rsid w:val="00E25609"/>
    <w:rsid w:val="00E259D0"/>
    <w:rsid w:val="00E26C2B"/>
    <w:rsid w:val="00E270E3"/>
    <w:rsid w:val="00E27765"/>
    <w:rsid w:val="00E277D1"/>
    <w:rsid w:val="00E27A73"/>
    <w:rsid w:val="00E300F8"/>
    <w:rsid w:val="00E30927"/>
    <w:rsid w:val="00E30A12"/>
    <w:rsid w:val="00E30A3C"/>
    <w:rsid w:val="00E310C4"/>
    <w:rsid w:val="00E31F69"/>
    <w:rsid w:val="00E325F0"/>
    <w:rsid w:val="00E325F4"/>
    <w:rsid w:val="00E32ABF"/>
    <w:rsid w:val="00E33A86"/>
    <w:rsid w:val="00E3501F"/>
    <w:rsid w:val="00E35142"/>
    <w:rsid w:val="00E35346"/>
    <w:rsid w:val="00E3622B"/>
    <w:rsid w:val="00E36BAF"/>
    <w:rsid w:val="00E372D1"/>
    <w:rsid w:val="00E3740B"/>
    <w:rsid w:val="00E408A0"/>
    <w:rsid w:val="00E4130C"/>
    <w:rsid w:val="00E4131D"/>
    <w:rsid w:val="00E4174E"/>
    <w:rsid w:val="00E41A8E"/>
    <w:rsid w:val="00E41BF3"/>
    <w:rsid w:val="00E4244D"/>
    <w:rsid w:val="00E42D81"/>
    <w:rsid w:val="00E42DE3"/>
    <w:rsid w:val="00E43C2F"/>
    <w:rsid w:val="00E43E4B"/>
    <w:rsid w:val="00E4428A"/>
    <w:rsid w:val="00E448AC"/>
    <w:rsid w:val="00E44FE0"/>
    <w:rsid w:val="00E45222"/>
    <w:rsid w:val="00E45327"/>
    <w:rsid w:val="00E45523"/>
    <w:rsid w:val="00E45763"/>
    <w:rsid w:val="00E457CF"/>
    <w:rsid w:val="00E46435"/>
    <w:rsid w:val="00E46EC3"/>
    <w:rsid w:val="00E47D1A"/>
    <w:rsid w:val="00E47F7E"/>
    <w:rsid w:val="00E501B7"/>
    <w:rsid w:val="00E50DB9"/>
    <w:rsid w:val="00E50FC4"/>
    <w:rsid w:val="00E51316"/>
    <w:rsid w:val="00E521D0"/>
    <w:rsid w:val="00E52D70"/>
    <w:rsid w:val="00E530D5"/>
    <w:rsid w:val="00E5365E"/>
    <w:rsid w:val="00E53E51"/>
    <w:rsid w:val="00E54ABD"/>
    <w:rsid w:val="00E54C89"/>
    <w:rsid w:val="00E55537"/>
    <w:rsid w:val="00E55D9B"/>
    <w:rsid w:val="00E55E37"/>
    <w:rsid w:val="00E56074"/>
    <w:rsid w:val="00E562EE"/>
    <w:rsid w:val="00E563E1"/>
    <w:rsid w:val="00E5723F"/>
    <w:rsid w:val="00E5763A"/>
    <w:rsid w:val="00E5768E"/>
    <w:rsid w:val="00E5798C"/>
    <w:rsid w:val="00E57BF1"/>
    <w:rsid w:val="00E60236"/>
    <w:rsid w:val="00E608B5"/>
    <w:rsid w:val="00E60ED3"/>
    <w:rsid w:val="00E62A8A"/>
    <w:rsid w:val="00E62E76"/>
    <w:rsid w:val="00E63A0C"/>
    <w:rsid w:val="00E64300"/>
    <w:rsid w:val="00E65747"/>
    <w:rsid w:val="00E663FC"/>
    <w:rsid w:val="00E66A25"/>
    <w:rsid w:val="00E66C9C"/>
    <w:rsid w:val="00E66DA1"/>
    <w:rsid w:val="00E6762A"/>
    <w:rsid w:val="00E67AF9"/>
    <w:rsid w:val="00E67E78"/>
    <w:rsid w:val="00E70048"/>
    <w:rsid w:val="00E7090E"/>
    <w:rsid w:val="00E70F07"/>
    <w:rsid w:val="00E710EC"/>
    <w:rsid w:val="00E71BC2"/>
    <w:rsid w:val="00E71D14"/>
    <w:rsid w:val="00E71F86"/>
    <w:rsid w:val="00E7253C"/>
    <w:rsid w:val="00E729AD"/>
    <w:rsid w:val="00E72F68"/>
    <w:rsid w:val="00E73BAB"/>
    <w:rsid w:val="00E74677"/>
    <w:rsid w:val="00E758E2"/>
    <w:rsid w:val="00E75FA9"/>
    <w:rsid w:val="00E7632E"/>
    <w:rsid w:val="00E7636A"/>
    <w:rsid w:val="00E76E17"/>
    <w:rsid w:val="00E800C5"/>
    <w:rsid w:val="00E8056C"/>
    <w:rsid w:val="00E80B47"/>
    <w:rsid w:val="00E8104E"/>
    <w:rsid w:val="00E811AE"/>
    <w:rsid w:val="00E8207D"/>
    <w:rsid w:val="00E83242"/>
    <w:rsid w:val="00E83C01"/>
    <w:rsid w:val="00E83CEF"/>
    <w:rsid w:val="00E83FAF"/>
    <w:rsid w:val="00E84488"/>
    <w:rsid w:val="00E84802"/>
    <w:rsid w:val="00E851A0"/>
    <w:rsid w:val="00E85375"/>
    <w:rsid w:val="00E85BAE"/>
    <w:rsid w:val="00E86110"/>
    <w:rsid w:val="00E864CE"/>
    <w:rsid w:val="00E86A6B"/>
    <w:rsid w:val="00E871CF"/>
    <w:rsid w:val="00E87247"/>
    <w:rsid w:val="00E874B2"/>
    <w:rsid w:val="00E87911"/>
    <w:rsid w:val="00E879A0"/>
    <w:rsid w:val="00E87EE5"/>
    <w:rsid w:val="00E90290"/>
    <w:rsid w:val="00E909D8"/>
    <w:rsid w:val="00E90E7F"/>
    <w:rsid w:val="00E91361"/>
    <w:rsid w:val="00E9187A"/>
    <w:rsid w:val="00E9194E"/>
    <w:rsid w:val="00E91CF3"/>
    <w:rsid w:val="00E92A3C"/>
    <w:rsid w:val="00E92DF9"/>
    <w:rsid w:val="00E92EBF"/>
    <w:rsid w:val="00E92FD6"/>
    <w:rsid w:val="00E9342A"/>
    <w:rsid w:val="00E93452"/>
    <w:rsid w:val="00E938AB"/>
    <w:rsid w:val="00E93B61"/>
    <w:rsid w:val="00E93DBE"/>
    <w:rsid w:val="00E940F1"/>
    <w:rsid w:val="00E9488B"/>
    <w:rsid w:val="00E95285"/>
    <w:rsid w:val="00E95485"/>
    <w:rsid w:val="00E956AA"/>
    <w:rsid w:val="00E96B41"/>
    <w:rsid w:val="00E9742B"/>
    <w:rsid w:val="00E9751C"/>
    <w:rsid w:val="00E97579"/>
    <w:rsid w:val="00E97DBF"/>
    <w:rsid w:val="00EA091D"/>
    <w:rsid w:val="00EA10B8"/>
    <w:rsid w:val="00EA1F50"/>
    <w:rsid w:val="00EA4161"/>
    <w:rsid w:val="00EA4227"/>
    <w:rsid w:val="00EA51D9"/>
    <w:rsid w:val="00EA5533"/>
    <w:rsid w:val="00EA5A3A"/>
    <w:rsid w:val="00EA5A58"/>
    <w:rsid w:val="00EA5A66"/>
    <w:rsid w:val="00EA5CB7"/>
    <w:rsid w:val="00EA60BA"/>
    <w:rsid w:val="00EA6FB9"/>
    <w:rsid w:val="00EA710B"/>
    <w:rsid w:val="00EA79F2"/>
    <w:rsid w:val="00EA7A20"/>
    <w:rsid w:val="00EA7E25"/>
    <w:rsid w:val="00EB0D4B"/>
    <w:rsid w:val="00EB0F94"/>
    <w:rsid w:val="00EB19DA"/>
    <w:rsid w:val="00EB1E3D"/>
    <w:rsid w:val="00EB303E"/>
    <w:rsid w:val="00EB3EF7"/>
    <w:rsid w:val="00EB4A5E"/>
    <w:rsid w:val="00EB511F"/>
    <w:rsid w:val="00EB5443"/>
    <w:rsid w:val="00EB60DF"/>
    <w:rsid w:val="00EB6928"/>
    <w:rsid w:val="00EB6D5D"/>
    <w:rsid w:val="00EB704C"/>
    <w:rsid w:val="00EB7406"/>
    <w:rsid w:val="00EB77C9"/>
    <w:rsid w:val="00EB797A"/>
    <w:rsid w:val="00EC0409"/>
    <w:rsid w:val="00EC105B"/>
    <w:rsid w:val="00EC2225"/>
    <w:rsid w:val="00EC2280"/>
    <w:rsid w:val="00EC279D"/>
    <w:rsid w:val="00EC2D69"/>
    <w:rsid w:val="00EC33CC"/>
    <w:rsid w:val="00EC3772"/>
    <w:rsid w:val="00EC4216"/>
    <w:rsid w:val="00EC5379"/>
    <w:rsid w:val="00EC5BB7"/>
    <w:rsid w:val="00EC5BC2"/>
    <w:rsid w:val="00EC607A"/>
    <w:rsid w:val="00EC61EA"/>
    <w:rsid w:val="00EC683F"/>
    <w:rsid w:val="00EC698D"/>
    <w:rsid w:val="00EC7480"/>
    <w:rsid w:val="00EC75DE"/>
    <w:rsid w:val="00EC7C30"/>
    <w:rsid w:val="00ED1057"/>
    <w:rsid w:val="00ED16A3"/>
    <w:rsid w:val="00ED1F9E"/>
    <w:rsid w:val="00ED220A"/>
    <w:rsid w:val="00ED22F8"/>
    <w:rsid w:val="00ED289E"/>
    <w:rsid w:val="00ED2BC8"/>
    <w:rsid w:val="00ED30E4"/>
    <w:rsid w:val="00ED4305"/>
    <w:rsid w:val="00ED501F"/>
    <w:rsid w:val="00ED59C4"/>
    <w:rsid w:val="00ED5C36"/>
    <w:rsid w:val="00ED5E90"/>
    <w:rsid w:val="00ED657A"/>
    <w:rsid w:val="00ED6743"/>
    <w:rsid w:val="00ED67D0"/>
    <w:rsid w:val="00ED75E5"/>
    <w:rsid w:val="00ED795E"/>
    <w:rsid w:val="00ED7D2A"/>
    <w:rsid w:val="00ED7FB8"/>
    <w:rsid w:val="00EE031D"/>
    <w:rsid w:val="00EE1871"/>
    <w:rsid w:val="00EE1A93"/>
    <w:rsid w:val="00EE20CC"/>
    <w:rsid w:val="00EE24FD"/>
    <w:rsid w:val="00EE27B1"/>
    <w:rsid w:val="00EE28E2"/>
    <w:rsid w:val="00EE2C0B"/>
    <w:rsid w:val="00EE2CB2"/>
    <w:rsid w:val="00EE34C7"/>
    <w:rsid w:val="00EE418A"/>
    <w:rsid w:val="00EE56D6"/>
    <w:rsid w:val="00EE5DE0"/>
    <w:rsid w:val="00EE5FD4"/>
    <w:rsid w:val="00EE673E"/>
    <w:rsid w:val="00EE7216"/>
    <w:rsid w:val="00EE7509"/>
    <w:rsid w:val="00EE7F97"/>
    <w:rsid w:val="00EF12F9"/>
    <w:rsid w:val="00EF190F"/>
    <w:rsid w:val="00EF237E"/>
    <w:rsid w:val="00EF3669"/>
    <w:rsid w:val="00EF3B62"/>
    <w:rsid w:val="00EF3CBE"/>
    <w:rsid w:val="00EF44F8"/>
    <w:rsid w:val="00EF4FAE"/>
    <w:rsid w:val="00EF7058"/>
    <w:rsid w:val="00EF7A96"/>
    <w:rsid w:val="00EF7E59"/>
    <w:rsid w:val="00F00470"/>
    <w:rsid w:val="00F00E3D"/>
    <w:rsid w:val="00F01226"/>
    <w:rsid w:val="00F01390"/>
    <w:rsid w:val="00F0242F"/>
    <w:rsid w:val="00F02A9E"/>
    <w:rsid w:val="00F02DE4"/>
    <w:rsid w:val="00F02E6D"/>
    <w:rsid w:val="00F03197"/>
    <w:rsid w:val="00F0354D"/>
    <w:rsid w:val="00F0378E"/>
    <w:rsid w:val="00F03D56"/>
    <w:rsid w:val="00F04772"/>
    <w:rsid w:val="00F04998"/>
    <w:rsid w:val="00F049AE"/>
    <w:rsid w:val="00F04AD2"/>
    <w:rsid w:val="00F04DFC"/>
    <w:rsid w:val="00F05291"/>
    <w:rsid w:val="00F052C0"/>
    <w:rsid w:val="00F05696"/>
    <w:rsid w:val="00F056DD"/>
    <w:rsid w:val="00F057C2"/>
    <w:rsid w:val="00F0700C"/>
    <w:rsid w:val="00F07F65"/>
    <w:rsid w:val="00F07FC7"/>
    <w:rsid w:val="00F07FCD"/>
    <w:rsid w:val="00F1020F"/>
    <w:rsid w:val="00F10872"/>
    <w:rsid w:val="00F1141B"/>
    <w:rsid w:val="00F11A55"/>
    <w:rsid w:val="00F128A9"/>
    <w:rsid w:val="00F13413"/>
    <w:rsid w:val="00F14319"/>
    <w:rsid w:val="00F145CD"/>
    <w:rsid w:val="00F14B59"/>
    <w:rsid w:val="00F14B7E"/>
    <w:rsid w:val="00F1504B"/>
    <w:rsid w:val="00F156FF"/>
    <w:rsid w:val="00F16367"/>
    <w:rsid w:val="00F1646C"/>
    <w:rsid w:val="00F16880"/>
    <w:rsid w:val="00F1702D"/>
    <w:rsid w:val="00F175BF"/>
    <w:rsid w:val="00F17758"/>
    <w:rsid w:val="00F17FBA"/>
    <w:rsid w:val="00F201EC"/>
    <w:rsid w:val="00F214D7"/>
    <w:rsid w:val="00F22659"/>
    <w:rsid w:val="00F22A10"/>
    <w:rsid w:val="00F22CFE"/>
    <w:rsid w:val="00F23A34"/>
    <w:rsid w:val="00F23B0D"/>
    <w:rsid w:val="00F23CDB"/>
    <w:rsid w:val="00F23F7E"/>
    <w:rsid w:val="00F242D0"/>
    <w:rsid w:val="00F2483A"/>
    <w:rsid w:val="00F24A4C"/>
    <w:rsid w:val="00F25308"/>
    <w:rsid w:val="00F25F2F"/>
    <w:rsid w:val="00F2738D"/>
    <w:rsid w:val="00F273E3"/>
    <w:rsid w:val="00F3031F"/>
    <w:rsid w:val="00F307E1"/>
    <w:rsid w:val="00F30A98"/>
    <w:rsid w:val="00F30D4E"/>
    <w:rsid w:val="00F30E6A"/>
    <w:rsid w:val="00F30FB2"/>
    <w:rsid w:val="00F3220A"/>
    <w:rsid w:val="00F3285D"/>
    <w:rsid w:val="00F33B60"/>
    <w:rsid w:val="00F33DD6"/>
    <w:rsid w:val="00F34C10"/>
    <w:rsid w:val="00F353BE"/>
    <w:rsid w:val="00F36CCE"/>
    <w:rsid w:val="00F37382"/>
    <w:rsid w:val="00F37B03"/>
    <w:rsid w:val="00F40734"/>
    <w:rsid w:val="00F40C31"/>
    <w:rsid w:val="00F414A4"/>
    <w:rsid w:val="00F417F5"/>
    <w:rsid w:val="00F41B01"/>
    <w:rsid w:val="00F41BAA"/>
    <w:rsid w:val="00F41D80"/>
    <w:rsid w:val="00F422F1"/>
    <w:rsid w:val="00F43C6B"/>
    <w:rsid w:val="00F44901"/>
    <w:rsid w:val="00F44AF9"/>
    <w:rsid w:val="00F44B8A"/>
    <w:rsid w:val="00F456EA"/>
    <w:rsid w:val="00F45E37"/>
    <w:rsid w:val="00F464AC"/>
    <w:rsid w:val="00F47F38"/>
    <w:rsid w:val="00F500AD"/>
    <w:rsid w:val="00F5064A"/>
    <w:rsid w:val="00F50D7C"/>
    <w:rsid w:val="00F50F71"/>
    <w:rsid w:val="00F51631"/>
    <w:rsid w:val="00F51DED"/>
    <w:rsid w:val="00F52E6A"/>
    <w:rsid w:val="00F53432"/>
    <w:rsid w:val="00F53F84"/>
    <w:rsid w:val="00F542DB"/>
    <w:rsid w:val="00F54810"/>
    <w:rsid w:val="00F54A39"/>
    <w:rsid w:val="00F55C25"/>
    <w:rsid w:val="00F56901"/>
    <w:rsid w:val="00F56C23"/>
    <w:rsid w:val="00F572D0"/>
    <w:rsid w:val="00F574D8"/>
    <w:rsid w:val="00F579C5"/>
    <w:rsid w:val="00F57CC7"/>
    <w:rsid w:val="00F609A8"/>
    <w:rsid w:val="00F60C5B"/>
    <w:rsid w:val="00F61058"/>
    <w:rsid w:val="00F61EA4"/>
    <w:rsid w:val="00F6327E"/>
    <w:rsid w:val="00F637F9"/>
    <w:rsid w:val="00F638FE"/>
    <w:rsid w:val="00F63A9F"/>
    <w:rsid w:val="00F63E25"/>
    <w:rsid w:val="00F63E5C"/>
    <w:rsid w:val="00F63EE7"/>
    <w:rsid w:val="00F64675"/>
    <w:rsid w:val="00F64B58"/>
    <w:rsid w:val="00F64F4D"/>
    <w:rsid w:val="00F65BB0"/>
    <w:rsid w:val="00F66105"/>
    <w:rsid w:val="00F662DC"/>
    <w:rsid w:val="00F66579"/>
    <w:rsid w:val="00F6732A"/>
    <w:rsid w:val="00F675AF"/>
    <w:rsid w:val="00F6777B"/>
    <w:rsid w:val="00F67B8B"/>
    <w:rsid w:val="00F707DB"/>
    <w:rsid w:val="00F708CF"/>
    <w:rsid w:val="00F70C62"/>
    <w:rsid w:val="00F70F81"/>
    <w:rsid w:val="00F71110"/>
    <w:rsid w:val="00F720ED"/>
    <w:rsid w:val="00F72E45"/>
    <w:rsid w:val="00F73019"/>
    <w:rsid w:val="00F74265"/>
    <w:rsid w:val="00F75096"/>
    <w:rsid w:val="00F769ED"/>
    <w:rsid w:val="00F7720F"/>
    <w:rsid w:val="00F7771F"/>
    <w:rsid w:val="00F77AF2"/>
    <w:rsid w:val="00F80764"/>
    <w:rsid w:val="00F80EAA"/>
    <w:rsid w:val="00F8104B"/>
    <w:rsid w:val="00F817A8"/>
    <w:rsid w:val="00F81E95"/>
    <w:rsid w:val="00F820A0"/>
    <w:rsid w:val="00F8211F"/>
    <w:rsid w:val="00F82531"/>
    <w:rsid w:val="00F82B48"/>
    <w:rsid w:val="00F8396C"/>
    <w:rsid w:val="00F83AB6"/>
    <w:rsid w:val="00F83DE6"/>
    <w:rsid w:val="00F8565D"/>
    <w:rsid w:val="00F85B8C"/>
    <w:rsid w:val="00F863F6"/>
    <w:rsid w:val="00F8650C"/>
    <w:rsid w:val="00F86565"/>
    <w:rsid w:val="00F879EE"/>
    <w:rsid w:val="00F87A65"/>
    <w:rsid w:val="00F90815"/>
    <w:rsid w:val="00F9229A"/>
    <w:rsid w:val="00F9303F"/>
    <w:rsid w:val="00F9366E"/>
    <w:rsid w:val="00F93F22"/>
    <w:rsid w:val="00F9419F"/>
    <w:rsid w:val="00F953EB"/>
    <w:rsid w:val="00F96A80"/>
    <w:rsid w:val="00F96AD6"/>
    <w:rsid w:val="00F96BCD"/>
    <w:rsid w:val="00F97497"/>
    <w:rsid w:val="00FA10E7"/>
    <w:rsid w:val="00FA1D21"/>
    <w:rsid w:val="00FA216A"/>
    <w:rsid w:val="00FA26B0"/>
    <w:rsid w:val="00FA3373"/>
    <w:rsid w:val="00FA39C5"/>
    <w:rsid w:val="00FA3EBA"/>
    <w:rsid w:val="00FA41CC"/>
    <w:rsid w:val="00FA454F"/>
    <w:rsid w:val="00FA47E7"/>
    <w:rsid w:val="00FA4B2C"/>
    <w:rsid w:val="00FA4EC3"/>
    <w:rsid w:val="00FA5497"/>
    <w:rsid w:val="00FA578C"/>
    <w:rsid w:val="00FA6B7C"/>
    <w:rsid w:val="00FA6B7D"/>
    <w:rsid w:val="00FA704D"/>
    <w:rsid w:val="00FA7267"/>
    <w:rsid w:val="00FA745B"/>
    <w:rsid w:val="00FA7AD4"/>
    <w:rsid w:val="00FB01E5"/>
    <w:rsid w:val="00FB07BC"/>
    <w:rsid w:val="00FB0968"/>
    <w:rsid w:val="00FB0982"/>
    <w:rsid w:val="00FB1A52"/>
    <w:rsid w:val="00FB1F92"/>
    <w:rsid w:val="00FB23C3"/>
    <w:rsid w:val="00FB254C"/>
    <w:rsid w:val="00FB26A1"/>
    <w:rsid w:val="00FB2DD4"/>
    <w:rsid w:val="00FB36E0"/>
    <w:rsid w:val="00FB36E7"/>
    <w:rsid w:val="00FB3FBB"/>
    <w:rsid w:val="00FB42B9"/>
    <w:rsid w:val="00FB4C21"/>
    <w:rsid w:val="00FB4D7A"/>
    <w:rsid w:val="00FB526C"/>
    <w:rsid w:val="00FB5DC5"/>
    <w:rsid w:val="00FB64DD"/>
    <w:rsid w:val="00FC00D2"/>
    <w:rsid w:val="00FC1B8C"/>
    <w:rsid w:val="00FC20E3"/>
    <w:rsid w:val="00FC2670"/>
    <w:rsid w:val="00FC27F0"/>
    <w:rsid w:val="00FC29D5"/>
    <w:rsid w:val="00FC2C3C"/>
    <w:rsid w:val="00FC2D72"/>
    <w:rsid w:val="00FC3193"/>
    <w:rsid w:val="00FC3665"/>
    <w:rsid w:val="00FC421B"/>
    <w:rsid w:val="00FC42B0"/>
    <w:rsid w:val="00FC4DBB"/>
    <w:rsid w:val="00FC56D1"/>
    <w:rsid w:val="00FC5DB2"/>
    <w:rsid w:val="00FC64A0"/>
    <w:rsid w:val="00FC65CE"/>
    <w:rsid w:val="00FC726C"/>
    <w:rsid w:val="00FC7447"/>
    <w:rsid w:val="00FD08F9"/>
    <w:rsid w:val="00FD0DF6"/>
    <w:rsid w:val="00FD145C"/>
    <w:rsid w:val="00FD1C5A"/>
    <w:rsid w:val="00FD3138"/>
    <w:rsid w:val="00FD31E2"/>
    <w:rsid w:val="00FD42DF"/>
    <w:rsid w:val="00FD46DB"/>
    <w:rsid w:val="00FD4C62"/>
    <w:rsid w:val="00FD56F6"/>
    <w:rsid w:val="00FD6F1E"/>
    <w:rsid w:val="00FD7196"/>
    <w:rsid w:val="00FD71BE"/>
    <w:rsid w:val="00FD7E4D"/>
    <w:rsid w:val="00FD7FF3"/>
    <w:rsid w:val="00FE05FC"/>
    <w:rsid w:val="00FE0954"/>
    <w:rsid w:val="00FE174D"/>
    <w:rsid w:val="00FE2780"/>
    <w:rsid w:val="00FE31D3"/>
    <w:rsid w:val="00FE369C"/>
    <w:rsid w:val="00FE3832"/>
    <w:rsid w:val="00FE3836"/>
    <w:rsid w:val="00FE4C59"/>
    <w:rsid w:val="00FE53A2"/>
    <w:rsid w:val="00FE568F"/>
    <w:rsid w:val="00FE5947"/>
    <w:rsid w:val="00FE5E34"/>
    <w:rsid w:val="00FE5F1B"/>
    <w:rsid w:val="00FE655B"/>
    <w:rsid w:val="00FE6698"/>
    <w:rsid w:val="00FE67FE"/>
    <w:rsid w:val="00FE685E"/>
    <w:rsid w:val="00FE6C06"/>
    <w:rsid w:val="00FE6CB9"/>
    <w:rsid w:val="00FE7658"/>
    <w:rsid w:val="00FE7860"/>
    <w:rsid w:val="00FF02B0"/>
    <w:rsid w:val="00FF09EC"/>
    <w:rsid w:val="00FF1445"/>
    <w:rsid w:val="00FF160D"/>
    <w:rsid w:val="00FF17DC"/>
    <w:rsid w:val="00FF2494"/>
    <w:rsid w:val="00FF256A"/>
    <w:rsid w:val="00FF459A"/>
    <w:rsid w:val="00FF4BCF"/>
    <w:rsid w:val="00FF4F22"/>
    <w:rsid w:val="00FF552B"/>
    <w:rsid w:val="00FF6166"/>
    <w:rsid w:val="00FF65BF"/>
    <w:rsid w:val="00FF6E7E"/>
    <w:rsid w:val="00FF72FA"/>
    <w:rsid w:val="00FF73ED"/>
    <w:rsid w:val="00FF7F6B"/>
    <w:rsid w:val="01200B6E"/>
    <w:rsid w:val="02512151"/>
    <w:rsid w:val="02531190"/>
    <w:rsid w:val="02A384C9"/>
    <w:rsid w:val="02E61F4C"/>
    <w:rsid w:val="03A5786A"/>
    <w:rsid w:val="03AECD90"/>
    <w:rsid w:val="03D9AF06"/>
    <w:rsid w:val="0473D5A2"/>
    <w:rsid w:val="04D04CD4"/>
    <w:rsid w:val="04EED10B"/>
    <w:rsid w:val="0575A7CE"/>
    <w:rsid w:val="05ABA0AA"/>
    <w:rsid w:val="0613B2F5"/>
    <w:rsid w:val="0656B098"/>
    <w:rsid w:val="0667845F"/>
    <w:rsid w:val="08DE99E1"/>
    <w:rsid w:val="0912AF6A"/>
    <w:rsid w:val="091828BD"/>
    <w:rsid w:val="091A36DA"/>
    <w:rsid w:val="0A6523C0"/>
    <w:rsid w:val="0B08897E"/>
    <w:rsid w:val="0B5BB8AF"/>
    <w:rsid w:val="0B818DE1"/>
    <w:rsid w:val="0BFD8F8A"/>
    <w:rsid w:val="0C599CFF"/>
    <w:rsid w:val="0C797943"/>
    <w:rsid w:val="0D639B62"/>
    <w:rsid w:val="0D9D2166"/>
    <w:rsid w:val="0DB3871F"/>
    <w:rsid w:val="0DD281B1"/>
    <w:rsid w:val="0E0999F8"/>
    <w:rsid w:val="0E25559F"/>
    <w:rsid w:val="0E325DB7"/>
    <w:rsid w:val="0E35C8A3"/>
    <w:rsid w:val="0E43972C"/>
    <w:rsid w:val="0ECB67A7"/>
    <w:rsid w:val="0ECEBFCE"/>
    <w:rsid w:val="109EDD4E"/>
    <w:rsid w:val="110BC223"/>
    <w:rsid w:val="11251CDE"/>
    <w:rsid w:val="11ACB726"/>
    <w:rsid w:val="11CDD504"/>
    <w:rsid w:val="1293E372"/>
    <w:rsid w:val="12EAE0EA"/>
    <w:rsid w:val="12EEF4EF"/>
    <w:rsid w:val="1310EE00"/>
    <w:rsid w:val="1360D342"/>
    <w:rsid w:val="137111FA"/>
    <w:rsid w:val="13845F9A"/>
    <w:rsid w:val="14E982DE"/>
    <w:rsid w:val="14FCA3A3"/>
    <w:rsid w:val="1556DBF7"/>
    <w:rsid w:val="15D000F9"/>
    <w:rsid w:val="162F7CC0"/>
    <w:rsid w:val="16DA5520"/>
    <w:rsid w:val="17167846"/>
    <w:rsid w:val="1760676A"/>
    <w:rsid w:val="1837EB8E"/>
    <w:rsid w:val="19295E66"/>
    <w:rsid w:val="19313C93"/>
    <w:rsid w:val="19749AAE"/>
    <w:rsid w:val="1AC00C4D"/>
    <w:rsid w:val="1AFA22D9"/>
    <w:rsid w:val="1B12FAC5"/>
    <w:rsid w:val="1C30A3E1"/>
    <w:rsid w:val="1D3871B0"/>
    <w:rsid w:val="1E6FC019"/>
    <w:rsid w:val="1EA2AEFA"/>
    <w:rsid w:val="1F1A3347"/>
    <w:rsid w:val="1FA77B6A"/>
    <w:rsid w:val="200321A9"/>
    <w:rsid w:val="207F099A"/>
    <w:rsid w:val="20C26744"/>
    <w:rsid w:val="213578D0"/>
    <w:rsid w:val="218BA1B0"/>
    <w:rsid w:val="22054372"/>
    <w:rsid w:val="22259265"/>
    <w:rsid w:val="224FAAD2"/>
    <w:rsid w:val="23025497"/>
    <w:rsid w:val="2328A100"/>
    <w:rsid w:val="23544AF6"/>
    <w:rsid w:val="235ECACE"/>
    <w:rsid w:val="2397D74B"/>
    <w:rsid w:val="23F094AC"/>
    <w:rsid w:val="2425EB71"/>
    <w:rsid w:val="248E6935"/>
    <w:rsid w:val="24917215"/>
    <w:rsid w:val="24B40439"/>
    <w:rsid w:val="24BEF0B4"/>
    <w:rsid w:val="24F0DBCC"/>
    <w:rsid w:val="252F2190"/>
    <w:rsid w:val="264CB9DC"/>
    <w:rsid w:val="26961A56"/>
    <w:rsid w:val="26A5AE29"/>
    <w:rsid w:val="26C6F40A"/>
    <w:rsid w:val="2759D702"/>
    <w:rsid w:val="281A2F2F"/>
    <w:rsid w:val="2986166E"/>
    <w:rsid w:val="29BA355B"/>
    <w:rsid w:val="29BB3661"/>
    <w:rsid w:val="29BBA6FD"/>
    <w:rsid w:val="29F77495"/>
    <w:rsid w:val="2A00D43C"/>
    <w:rsid w:val="2A8D49DF"/>
    <w:rsid w:val="2A9ECDF3"/>
    <w:rsid w:val="2AB9B04A"/>
    <w:rsid w:val="2AE46E0C"/>
    <w:rsid w:val="2B00A805"/>
    <w:rsid w:val="2B6C05EA"/>
    <w:rsid w:val="2B9EADF8"/>
    <w:rsid w:val="2BB41770"/>
    <w:rsid w:val="2BCEF407"/>
    <w:rsid w:val="2C53C388"/>
    <w:rsid w:val="2C5B0C59"/>
    <w:rsid w:val="2C7C8DE0"/>
    <w:rsid w:val="2CFE7E32"/>
    <w:rsid w:val="2D662088"/>
    <w:rsid w:val="2E371281"/>
    <w:rsid w:val="2E82D0D1"/>
    <w:rsid w:val="2F6AB239"/>
    <w:rsid w:val="2F97699F"/>
    <w:rsid w:val="2FAD07C2"/>
    <w:rsid w:val="30BE2FEE"/>
    <w:rsid w:val="30C7E7AF"/>
    <w:rsid w:val="30F368DF"/>
    <w:rsid w:val="31390D2B"/>
    <w:rsid w:val="31615745"/>
    <w:rsid w:val="31ED0711"/>
    <w:rsid w:val="32A1D2A0"/>
    <w:rsid w:val="3363B89A"/>
    <w:rsid w:val="3395C7F2"/>
    <w:rsid w:val="33CA2267"/>
    <w:rsid w:val="344D7AC8"/>
    <w:rsid w:val="3462E440"/>
    <w:rsid w:val="3476D0AE"/>
    <w:rsid w:val="353F4F7C"/>
    <w:rsid w:val="3541504C"/>
    <w:rsid w:val="358FFDC5"/>
    <w:rsid w:val="3645558E"/>
    <w:rsid w:val="36600113"/>
    <w:rsid w:val="367EA133"/>
    <w:rsid w:val="36ADCA84"/>
    <w:rsid w:val="37FDDB8F"/>
    <w:rsid w:val="38E09F8D"/>
    <w:rsid w:val="38EBA194"/>
    <w:rsid w:val="3955E0AB"/>
    <w:rsid w:val="39F5FC33"/>
    <w:rsid w:val="3A749B42"/>
    <w:rsid w:val="3B3A4040"/>
    <w:rsid w:val="3BB40AD3"/>
    <w:rsid w:val="3BC9AB85"/>
    <w:rsid w:val="3C5FA25E"/>
    <w:rsid w:val="3CF171A6"/>
    <w:rsid w:val="3E2197B4"/>
    <w:rsid w:val="3E57B016"/>
    <w:rsid w:val="3F8366FD"/>
    <w:rsid w:val="3FB29009"/>
    <w:rsid w:val="3FC8B07F"/>
    <w:rsid w:val="40368100"/>
    <w:rsid w:val="403BC132"/>
    <w:rsid w:val="40799D00"/>
    <w:rsid w:val="41058DEB"/>
    <w:rsid w:val="4158A8CC"/>
    <w:rsid w:val="418B996B"/>
    <w:rsid w:val="41F3B635"/>
    <w:rsid w:val="428E0C9D"/>
    <w:rsid w:val="42B03D1E"/>
    <w:rsid w:val="43E53E5F"/>
    <w:rsid w:val="43FC591B"/>
    <w:rsid w:val="4468A931"/>
    <w:rsid w:val="450F4405"/>
    <w:rsid w:val="458FB4C6"/>
    <w:rsid w:val="46106484"/>
    <w:rsid w:val="4619A8D1"/>
    <w:rsid w:val="4632B94C"/>
    <w:rsid w:val="475A90DD"/>
    <w:rsid w:val="477FA5C1"/>
    <w:rsid w:val="47BB44DA"/>
    <w:rsid w:val="4891BE53"/>
    <w:rsid w:val="48DED49E"/>
    <w:rsid w:val="4A0647FA"/>
    <w:rsid w:val="4A196EB8"/>
    <w:rsid w:val="4BC5C262"/>
    <w:rsid w:val="4BD33943"/>
    <w:rsid w:val="4C99F244"/>
    <w:rsid w:val="4D645D5D"/>
    <w:rsid w:val="4D8C036A"/>
    <w:rsid w:val="4DE8D74B"/>
    <w:rsid w:val="4E3CF78F"/>
    <w:rsid w:val="4EB4A05C"/>
    <w:rsid w:val="4ECAC6F4"/>
    <w:rsid w:val="4F9552EB"/>
    <w:rsid w:val="51888173"/>
    <w:rsid w:val="51EA63F3"/>
    <w:rsid w:val="527196E8"/>
    <w:rsid w:val="5293F112"/>
    <w:rsid w:val="52EF96C0"/>
    <w:rsid w:val="52F3291B"/>
    <w:rsid w:val="53936DFF"/>
    <w:rsid w:val="53BCC701"/>
    <w:rsid w:val="53D3635B"/>
    <w:rsid w:val="53D6EA82"/>
    <w:rsid w:val="54207320"/>
    <w:rsid w:val="54BF5A7B"/>
    <w:rsid w:val="54D9E3CB"/>
    <w:rsid w:val="55181FAA"/>
    <w:rsid w:val="55EE02FB"/>
    <w:rsid w:val="5683D6B4"/>
    <w:rsid w:val="57C3142D"/>
    <w:rsid w:val="5844EA6E"/>
    <w:rsid w:val="586434E9"/>
    <w:rsid w:val="599D20A1"/>
    <w:rsid w:val="59B97C9C"/>
    <w:rsid w:val="5A00F349"/>
    <w:rsid w:val="5A0870FF"/>
    <w:rsid w:val="5A286461"/>
    <w:rsid w:val="5A4687F0"/>
    <w:rsid w:val="5A4F5314"/>
    <w:rsid w:val="5B08DCD6"/>
    <w:rsid w:val="5C2AE5AD"/>
    <w:rsid w:val="5C7621F5"/>
    <w:rsid w:val="5CAD2F18"/>
    <w:rsid w:val="5CBBA8E5"/>
    <w:rsid w:val="5DC35BB0"/>
    <w:rsid w:val="5E605F7C"/>
    <w:rsid w:val="5E8F91F8"/>
    <w:rsid w:val="5F3C4AED"/>
    <w:rsid w:val="5F5192A0"/>
    <w:rsid w:val="5F668C36"/>
    <w:rsid w:val="607E3409"/>
    <w:rsid w:val="60EDF65C"/>
    <w:rsid w:val="60EF8296"/>
    <w:rsid w:val="60FDC36F"/>
    <w:rsid w:val="6134557E"/>
    <w:rsid w:val="61D30F3B"/>
    <w:rsid w:val="61D68C9B"/>
    <w:rsid w:val="6219AA0E"/>
    <w:rsid w:val="62AD5B41"/>
    <w:rsid w:val="632302B6"/>
    <w:rsid w:val="632973B5"/>
    <w:rsid w:val="637A508D"/>
    <w:rsid w:val="63A6B6AE"/>
    <w:rsid w:val="63A7BF48"/>
    <w:rsid w:val="63EADA80"/>
    <w:rsid w:val="64143AF0"/>
    <w:rsid w:val="643321C8"/>
    <w:rsid w:val="645DCB10"/>
    <w:rsid w:val="65173669"/>
    <w:rsid w:val="654632E3"/>
    <w:rsid w:val="65AB06C1"/>
    <w:rsid w:val="65B5D372"/>
    <w:rsid w:val="65F4201B"/>
    <w:rsid w:val="66568BCD"/>
    <w:rsid w:val="66CEAE41"/>
    <w:rsid w:val="67CC2F85"/>
    <w:rsid w:val="67DBE6B5"/>
    <w:rsid w:val="6815DC2A"/>
    <w:rsid w:val="683434AC"/>
    <w:rsid w:val="6861F317"/>
    <w:rsid w:val="687F346B"/>
    <w:rsid w:val="688C4423"/>
    <w:rsid w:val="6898DDE5"/>
    <w:rsid w:val="69123459"/>
    <w:rsid w:val="69486B57"/>
    <w:rsid w:val="6A3610E4"/>
    <w:rsid w:val="6AF153EB"/>
    <w:rsid w:val="6B19DB0F"/>
    <w:rsid w:val="6B9EF056"/>
    <w:rsid w:val="6D3AC0B7"/>
    <w:rsid w:val="6DF3A19D"/>
    <w:rsid w:val="6E2FE470"/>
    <w:rsid w:val="6E31B2B8"/>
    <w:rsid w:val="6E6B0CC0"/>
    <w:rsid w:val="6F338174"/>
    <w:rsid w:val="6F927AC7"/>
    <w:rsid w:val="700AAE9A"/>
    <w:rsid w:val="701B9583"/>
    <w:rsid w:val="7046CC9D"/>
    <w:rsid w:val="718A5684"/>
    <w:rsid w:val="7199991D"/>
    <w:rsid w:val="71E34AD1"/>
    <w:rsid w:val="71EAED78"/>
    <w:rsid w:val="722F1BD1"/>
    <w:rsid w:val="730427BC"/>
    <w:rsid w:val="739259DA"/>
    <w:rsid w:val="73FCEF34"/>
    <w:rsid w:val="746BB618"/>
    <w:rsid w:val="755EB0E4"/>
    <w:rsid w:val="75F5CD90"/>
    <w:rsid w:val="7679F8F7"/>
    <w:rsid w:val="77256AFC"/>
    <w:rsid w:val="77399BF6"/>
    <w:rsid w:val="7744B58C"/>
    <w:rsid w:val="7760A00D"/>
    <w:rsid w:val="77823EE7"/>
    <w:rsid w:val="778E395A"/>
    <w:rsid w:val="786BA920"/>
    <w:rsid w:val="789CFB55"/>
    <w:rsid w:val="78F9AF82"/>
    <w:rsid w:val="79EB3733"/>
    <w:rsid w:val="7A779CC1"/>
    <w:rsid w:val="7AD5F1C8"/>
    <w:rsid w:val="7B0925B1"/>
    <w:rsid w:val="7B481525"/>
    <w:rsid w:val="7BC62501"/>
    <w:rsid w:val="7BE540B0"/>
    <w:rsid w:val="7C6E9517"/>
    <w:rsid w:val="7CD95506"/>
    <w:rsid w:val="7D39268A"/>
    <w:rsid w:val="7D734029"/>
    <w:rsid w:val="7DDCFD6E"/>
    <w:rsid w:val="7ED9B9E5"/>
    <w:rsid w:val="7EF9BDF5"/>
    <w:rsid w:val="7EF9E597"/>
    <w:rsid w:val="7F861A7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C2DD4"/>
  <w15:chartTrackingRefBased/>
  <w15:docId w15:val="{36FC4B56-A762-4816-AA8B-340724150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A86"/>
    <w:pPr>
      <w:spacing w:after="160" w:line="259" w:lineRule="auto"/>
    </w:pPr>
    <w:rPr>
      <w:sz w:val="22"/>
      <w:szCs w:val="22"/>
    </w:rPr>
  </w:style>
  <w:style w:type="paragraph" w:styleId="Heading1">
    <w:name w:val="heading 1"/>
    <w:basedOn w:val="Normal"/>
    <w:next w:val="Normal"/>
    <w:link w:val="Heading1Char"/>
    <w:uiPriority w:val="9"/>
    <w:qFormat/>
    <w:rsid w:val="00F00E3D"/>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link w:val="Heading2Char"/>
    <w:uiPriority w:val="9"/>
    <w:qFormat/>
    <w:rsid w:val="00F00E3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F00E3D"/>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E3D"/>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F00E3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00E3D"/>
    <w:rPr>
      <w:rFonts w:asciiTheme="majorHAnsi" w:eastAsiaTheme="majorEastAsia" w:hAnsiTheme="majorHAnsi" w:cstheme="majorBidi"/>
      <w:color w:val="1F3763" w:themeColor="accent1" w:themeShade="7F"/>
      <w:lang w:val="en-US" w:eastAsia="zh-CN"/>
    </w:rPr>
  </w:style>
  <w:style w:type="table" w:styleId="TableGrid">
    <w:name w:val="Table Grid"/>
    <w:basedOn w:val="TableNormal"/>
    <w:uiPriority w:val="39"/>
    <w:rsid w:val="00F00E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0E3D"/>
    <w:pPr>
      <w:ind w:left="720"/>
      <w:contextualSpacing/>
    </w:pPr>
  </w:style>
  <w:style w:type="character" w:styleId="CommentReference">
    <w:name w:val="annotation reference"/>
    <w:basedOn w:val="DefaultParagraphFont"/>
    <w:uiPriority w:val="99"/>
    <w:semiHidden/>
    <w:unhideWhenUsed/>
    <w:rsid w:val="00F00E3D"/>
    <w:rPr>
      <w:sz w:val="16"/>
      <w:szCs w:val="16"/>
    </w:rPr>
  </w:style>
  <w:style w:type="paragraph" w:styleId="CommentText">
    <w:name w:val="annotation text"/>
    <w:basedOn w:val="Normal"/>
    <w:link w:val="CommentTextChar"/>
    <w:uiPriority w:val="99"/>
    <w:unhideWhenUsed/>
    <w:rsid w:val="00F00E3D"/>
    <w:pPr>
      <w:spacing w:line="240" w:lineRule="auto"/>
    </w:pPr>
    <w:rPr>
      <w:sz w:val="20"/>
      <w:szCs w:val="20"/>
    </w:rPr>
  </w:style>
  <w:style w:type="character" w:customStyle="1" w:styleId="CommentTextChar">
    <w:name w:val="Comment Text Char"/>
    <w:basedOn w:val="DefaultParagraphFont"/>
    <w:link w:val="CommentText"/>
    <w:uiPriority w:val="99"/>
    <w:rsid w:val="00F00E3D"/>
    <w:rPr>
      <w:sz w:val="20"/>
      <w:szCs w:val="20"/>
    </w:rPr>
  </w:style>
  <w:style w:type="paragraph" w:styleId="CommentSubject">
    <w:name w:val="annotation subject"/>
    <w:basedOn w:val="CommentText"/>
    <w:next w:val="CommentText"/>
    <w:link w:val="CommentSubjectChar"/>
    <w:uiPriority w:val="99"/>
    <w:semiHidden/>
    <w:unhideWhenUsed/>
    <w:rsid w:val="00F00E3D"/>
    <w:rPr>
      <w:b/>
      <w:bCs/>
    </w:rPr>
  </w:style>
  <w:style w:type="character" w:customStyle="1" w:styleId="CommentSubjectChar">
    <w:name w:val="Comment Subject Char"/>
    <w:basedOn w:val="CommentTextChar"/>
    <w:link w:val="CommentSubject"/>
    <w:uiPriority w:val="99"/>
    <w:semiHidden/>
    <w:rsid w:val="00F00E3D"/>
    <w:rPr>
      <w:b/>
      <w:bCs/>
      <w:sz w:val="20"/>
      <w:szCs w:val="20"/>
    </w:rPr>
  </w:style>
  <w:style w:type="paragraph" w:styleId="BalloonText">
    <w:name w:val="Balloon Text"/>
    <w:basedOn w:val="Normal"/>
    <w:link w:val="BalloonTextChar"/>
    <w:uiPriority w:val="99"/>
    <w:semiHidden/>
    <w:unhideWhenUsed/>
    <w:rsid w:val="00F00E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E3D"/>
    <w:rPr>
      <w:rFonts w:ascii="Segoe UI" w:hAnsi="Segoe UI" w:cs="Segoe UI"/>
      <w:sz w:val="18"/>
      <w:szCs w:val="18"/>
    </w:rPr>
  </w:style>
  <w:style w:type="paragraph" w:styleId="Header">
    <w:name w:val="header"/>
    <w:basedOn w:val="Normal"/>
    <w:link w:val="HeaderChar"/>
    <w:uiPriority w:val="99"/>
    <w:unhideWhenUsed/>
    <w:rsid w:val="00F00E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E3D"/>
    <w:rPr>
      <w:sz w:val="22"/>
      <w:szCs w:val="22"/>
    </w:rPr>
  </w:style>
  <w:style w:type="paragraph" w:styleId="Footer">
    <w:name w:val="footer"/>
    <w:basedOn w:val="Normal"/>
    <w:link w:val="FooterChar"/>
    <w:uiPriority w:val="99"/>
    <w:unhideWhenUsed/>
    <w:rsid w:val="00F00E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E3D"/>
    <w:rPr>
      <w:sz w:val="22"/>
      <w:szCs w:val="22"/>
    </w:rPr>
  </w:style>
  <w:style w:type="character" w:styleId="Hyperlink">
    <w:name w:val="Hyperlink"/>
    <w:basedOn w:val="DefaultParagraphFont"/>
    <w:uiPriority w:val="99"/>
    <w:unhideWhenUsed/>
    <w:rsid w:val="00F00E3D"/>
    <w:rPr>
      <w:color w:val="0563C1" w:themeColor="hyperlink"/>
      <w:u w:val="single"/>
    </w:rPr>
  </w:style>
  <w:style w:type="character" w:customStyle="1" w:styleId="UnresolvedMention1">
    <w:name w:val="Unresolved Mention1"/>
    <w:basedOn w:val="DefaultParagraphFont"/>
    <w:uiPriority w:val="99"/>
    <w:semiHidden/>
    <w:unhideWhenUsed/>
    <w:rsid w:val="00F00E3D"/>
    <w:rPr>
      <w:color w:val="605E5C"/>
      <w:shd w:val="clear" w:color="auto" w:fill="E1DFDD"/>
    </w:rPr>
  </w:style>
  <w:style w:type="paragraph" w:styleId="NormalWeb">
    <w:name w:val="Normal (Web)"/>
    <w:basedOn w:val="Normal"/>
    <w:uiPriority w:val="99"/>
    <w:unhideWhenUsed/>
    <w:rsid w:val="00F00E3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F00E3D"/>
    <w:rPr>
      <w:b/>
      <w:bCs/>
    </w:rPr>
  </w:style>
  <w:style w:type="paragraph" w:customStyle="1" w:styleId="Default">
    <w:name w:val="Default"/>
    <w:rsid w:val="00F00E3D"/>
    <w:pPr>
      <w:autoSpaceDE w:val="0"/>
      <w:autoSpaceDN w:val="0"/>
      <w:adjustRightInd w:val="0"/>
    </w:pPr>
    <w:rPr>
      <w:rFonts w:ascii="Calibri" w:hAnsi="Calibri" w:cs="Calibri"/>
      <w:color w:val="000000"/>
    </w:rPr>
  </w:style>
  <w:style w:type="table" w:customStyle="1" w:styleId="TableGrid1">
    <w:name w:val="Table Grid1"/>
    <w:basedOn w:val="TableNormal"/>
    <w:next w:val="TableGrid"/>
    <w:uiPriority w:val="39"/>
    <w:rsid w:val="00F00E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1">
    <w:name w:val="Unresolved Mention21"/>
    <w:basedOn w:val="DefaultParagraphFont"/>
    <w:uiPriority w:val="99"/>
    <w:semiHidden/>
    <w:unhideWhenUsed/>
    <w:rsid w:val="00F00E3D"/>
    <w:rPr>
      <w:color w:val="605E5C"/>
      <w:shd w:val="clear" w:color="auto" w:fill="E1DFDD"/>
    </w:rPr>
  </w:style>
  <w:style w:type="numbering" w:customStyle="1" w:styleId="NoList1">
    <w:name w:val="No List1"/>
    <w:next w:val="NoList"/>
    <w:uiPriority w:val="99"/>
    <w:semiHidden/>
    <w:unhideWhenUsed/>
    <w:rsid w:val="00F00E3D"/>
  </w:style>
  <w:style w:type="paragraph" w:customStyle="1" w:styleId="EndNoteBibliographyTitle">
    <w:name w:val="EndNote Bibliography Title"/>
    <w:basedOn w:val="Normal"/>
    <w:link w:val="EndNoteBibliographyTitleChar"/>
    <w:rsid w:val="00F00E3D"/>
    <w:pPr>
      <w:spacing w:after="0" w:line="240" w:lineRule="auto"/>
      <w:jc w:val="center"/>
    </w:pPr>
    <w:rPr>
      <w:rFonts w:ascii="Calibri" w:eastAsia="Times New Roman" w:hAnsi="Calibri" w:cs="Calibri"/>
      <w:szCs w:val="24"/>
      <w:lang w:val="en-US" w:eastAsia="en-GB"/>
    </w:rPr>
  </w:style>
  <w:style w:type="character" w:customStyle="1" w:styleId="EndNoteBibliographyTitleChar">
    <w:name w:val="EndNote Bibliography Title Char"/>
    <w:basedOn w:val="DefaultParagraphFont"/>
    <w:link w:val="EndNoteBibliographyTitle"/>
    <w:rsid w:val="00F00E3D"/>
    <w:rPr>
      <w:rFonts w:ascii="Calibri" w:eastAsia="Times New Roman" w:hAnsi="Calibri" w:cs="Calibri"/>
      <w:sz w:val="22"/>
      <w:lang w:val="en-US" w:eastAsia="en-GB"/>
    </w:rPr>
  </w:style>
  <w:style w:type="paragraph" w:customStyle="1" w:styleId="EndNoteBibliography">
    <w:name w:val="EndNote Bibliography"/>
    <w:basedOn w:val="Normal"/>
    <w:link w:val="EndNoteBibliographyChar"/>
    <w:rsid w:val="00F00E3D"/>
    <w:pPr>
      <w:spacing w:after="0" w:line="240" w:lineRule="auto"/>
    </w:pPr>
    <w:rPr>
      <w:rFonts w:ascii="Calibri" w:eastAsia="Times New Roman" w:hAnsi="Calibri" w:cs="Calibri"/>
      <w:szCs w:val="24"/>
      <w:lang w:val="en-US" w:eastAsia="en-GB"/>
    </w:rPr>
  </w:style>
  <w:style w:type="character" w:customStyle="1" w:styleId="EndNoteBibliographyChar">
    <w:name w:val="EndNote Bibliography Char"/>
    <w:basedOn w:val="DefaultParagraphFont"/>
    <w:link w:val="EndNoteBibliography"/>
    <w:rsid w:val="00F00E3D"/>
    <w:rPr>
      <w:rFonts w:ascii="Calibri" w:eastAsia="Times New Roman" w:hAnsi="Calibri" w:cs="Calibri"/>
      <w:sz w:val="22"/>
      <w:lang w:val="en-US" w:eastAsia="en-GB"/>
    </w:rPr>
  </w:style>
  <w:style w:type="character" w:customStyle="1" w:styleId="txt">
    <w:name w:val="txt"/>
    <w:basedOn w:val="DefaultParagraphFont"/>
    <w:rsid w:val="00F00E3D"/>
  </w:style>
  <w:style w:type="character" w:customStyle="1" w:styleId="txtbold">
    <w:name w:val="txtbold"/>
    <w:basedOn w:val="DefaultParagraphFont"/>
    <w:rsid w:val="00F00E3D"/>
  </w:style>
  <w:style w:type="character" w:styleId="Emphasis">
    <w:name w:val="Emphasis"/>
    <w:basedOn w:val="DefaultParagraphFont"/>
    <w:uiPriority w:val="20"/>
    <w:qFormat/>
    <w:rsid w:val="00F00E3D"/>
    <w:rPr>
      <w:i/>
      <w:iCs/>
    </w:rPr>
  </w:style>
  <w:style w:type="character" w:customStyle="1" w:styleId="UnresolvedMention20">
    <w:name w:val="Unresolved Mention20"/>
    <w:basedOn w:val="DefaultParagraphFont"/>
    <w:uiPriority w:val="99"/>
    <w:semiHidden/>
    <w:unhideWhenUsed/>
    <w:rsid w:val="00F00E3D"/>
    <w:rPr>
      <w:color w:val="605E5C"/>
      <w:shd w:val="clear" w:color="auto" w:fill="E1DFDD"/>
    </w:rPr>
  </w:style>
  <w:style w:type="character" w:styleId="FollowedHyperlink">
    <w:name w:val="FollowedHyperlink"/>
    <w:basedOn w:val="DefaultParagraphFont"/>
    <w:uiPriority w:val="99"/>
    <w:semiHidden/>
    <w:unhideWhenUsed/>
    <w:rsid w:val="00F00E3D"/>
    <w:rPr>
      <w:color w:val="954F72" w:themeColor="followedHyperlink"/>
      <w:u w:val="single"/>
    </w:rPr>
  </w:style>
  <w:style w:type="character" w:customStyle="1" w:styleId="wysiwyg-color-black">
    <w:name w:val="wysiwyg-color-black"/>
    <w:basedOn w:val="DefaultParagraphFont"/>
    <w:rsid w:val="00F00E3D"/>
  </w:style>
  <w:style w:type="character" w:customStyle="1" w:styleId="apple-converted-space">
    <w:name w:val="apple-converted-space"/>
    <w:basedOn w:val="DefaultParagraphFont"/>
    <w:rsid w:val="00F00E3D"/>
  </w:style>
  <w:style w:type="character" w:customStyle="1" w:styleId="wysiwyg-color-blue90">
    <w:name w:val="wysiwyg-color-blue90"/>
    <w:basedOn w:val="DefaultParagraphFont"/>
    <w:rsid w:val="00F00E3D"/>
  </w:style>
  <w:style w:type="paragraph" w:styleId="FootnoteText">
    <w:name w:val="footnote text"/>
    <w:basedOn w:val="Normal"/>
    <w:link w:val="FootnoteTextChar"/>
    <w:uiPriority w:val="99"/>
    <w:unhideWhenUsed/>
    <w:rsid w:val="00F00E3D"/>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F00E3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F00E3D"/>
    <w:rPr>
      <w:vertAlign w:val="superscript"/>
    </w:rPr>
  </w:style>
  <w:style w:type="paragraph" w:styleId="Revision">
    <w:name w:val="Revision"/>
    <w:hidden/>
    <w:uiPriority w:val="99"/>
    <w:semiHidden/>
    <w:rsid w:val="00F00E3D"/>
    <w:rPr>
      <w:sz w:val="22"/>
      <w:szCs w:val="22"/>
    </w:rPr>
  </w:style>
  <w:style w:type="table" w:styleId="PlainTable2">
    <w:name w:val="Plain Table 2"/>
    <w:basedOn w:val="TableNormal"/>
    <w:uiPriority w:val="42"/>
    <w:rsid w:val="00F00E3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1">
    <w:name w:val="Body Text1"/>
    <w:basedOn w:val="Normal"/>
    <w:link w:val="BodyText1Char"/>
    <w:qFormat/>
    <w:rsid w:val="00F00E3D"/>
    <w:pPr>
      <w:spacing w:before="240" w:line="360" w:lineRule="auto"/>
    </w:pPr>
    <w:rPr>
      <w:rFonts w:ascii="Times New Roman" w:hAnsi="Times New Roman" w:cs="Times New Roman"/>
      <w:sz w:val="24"/>
    </w:rPr>
  </w:style>
  <w:style w:type="character" w:styleId="PageNumber">
    <w:name w:val="page number"/>
    <w:basedOn w:val="DefaultParagraphFont"/>
    <w:uiPriority w:val="99"/>
    <w:semiHidden/>
    <w:unhideWhenUsed/>
    <w:rsid w:val="00F00E3D"/>
  </w:style>
  <w:style w:type="paragraph" w:styleId="Title">
    <w:name w:val="Title"/>
    <w:basedOn w:val="BodyText1"/>
    <w:next w:val="Normal"/>
    <w:link w:val="TitleChar"/>
    <w:uiPriority w:val="10"/>
    <w:qFormat/>
    <w:rsid w:val="00F00E3D"/>
    <w:pPr>
      <w:pBdr>
        <w:bottom w:val="single" w:sz="4" w:space="1" w:color="auto"/>
      </w:pBdr>
    </w:pPr>
    <w:rPr>
      <w:rFonts w:asciiTheme="minorHAnsi" w:hAnsiTheme="minorHAnsi" w:cs="Arial"/>
      <w:b/>
      <w:bCs/>
      <w:color w:val="C64398"/>
      <w:sz w:val="36"/>
      <w:szCs w:val="36"/>
    </w:rPr>
  </w:style>
  <w:style w:type="character" w:customStyle="1" w:styleId="TitleChar">
    <w:name w:val="Title Char"/>
    <w:basedOn w:val="DefaultParagraphFont"/>
    <w:link w:val="Title"/>
    <w:uiPriority w:val="10"/>
    <w:rsid w:val="00F00E3D"/>
    <w:rPr>
      <w:rFonts w:cs="Arial"/>
      <w:b/>
      <w:bCs/>
      <w:color w:val="C64398"/>
      <w:sz w:val="36"/>
      <w:szCs w:val="36"/>
    </w:rPr>
  </w:style>
  <w:style w:type="character" w:styleId="IntenseEmphasis">
    <w:name w:val="Intense Emphasis"/>
    <w:uiPriority w:val="21"/>
    <w:qFormat/>
    <w:rsid w:val="00F00E3D"/>
    <w:rPr>
      <w:rFonts w:asciiTheme="minorHAnsi" w:hAnsiTheme="minorHAnsi" w:cs="Arial"/>
      <w:b/>
      <w:bCs/>
      <w:color w:val="C64398"/>
    </w:rPr>
  </w:style>
  <w:style w:type="character" w:customStyle="1" w:styleId="BodyText1Char">
    <w:name w:val="Body Text1 Char"/>
    <w:basedOn w:val="DefaultParagraphFont"/>
    <w:link w:val="BodyText1"/>
    <w:rsid w:val="00F00E3D"/>
    <w:rPr>
      <w:rFonts w:ascii="Times New Roman" w:hAnsi="Times New Roman" w:cs="Times New Roman"/>
      <w:szCs w:val="22"/>
    </w:rPr>
  </w:style>
  <w:style w:type="character" w:styleId="EndnoteReference">
    <w:name w:val="endnote reference"/>
    <w:basedOn w:val="DefaultParagraphFont"/>
    <w:uiPriority w:val="99"/>
    <w:semiHidden/>
    <w:unhideWhenUsed/>
    <w:rsid w:val="00F00E3D"/>
    <w:rPr>
      <w:vertAlign w:val="superscript"/>
    </w:rPr>
  </w:style>
  <w:style w:type="character" w:customStyle="1" w:styleId="EndnoteTextChar">
    <w:name w:val="Endnote Text Char"/>
    <w:basedOn w:val="DefaultParagraphFont"/>
    <w:link w:val="EndnoteText"/>
    <w:uiPriority w:val="99"/>
    <w:semiHidden/>
    <w:rsid w:val="00F00E3D"/>
    <w:rPr>
      <w:sz w:val="20"/>
      <w:szCs w:val="20"/>
    </w:rPr>
  </w:style>
  <w:style w:type="paragraph" w:styleId="EndnoteText">
    <w:name w:val="endnote text"/>
    <w:basedOn w:val="Normal"/>
    <w:link w:val="EndnoteTextChar"/>
    <w:uiPriority w:val="99"/>
    <w:semiHidden/>
    <w:unhideWhenUsed/>
    <w:rsid w:val="00F00E3D"/>
    <w:pPr>
      <w:spacing w:after="0" w:line="240" w:lineRule="auto"/>
    </w:pPr>
    <w:rPr>
      <w:sz w:val="20"/>
      <w:szCs w:val="20"/>
    </w:rPr>
  </w:style>
  <w:style w:type="character" w:customStyle="1" w:styleId="EndnoteTextChar1">
    <w:name w:val="Endnote Text Char1"/>
    <w:basedOn w:val="DefaultParagraphFont"/>
    <w:uiPriority w:val="99"/>
    <w:semiHidden/>
    <w:rsid w:val="00F00E3D"/>
    <w:rPr>
      <w:sz w:val="20"/>
      <w:szCs w:val="20"/>
    </w:rPr>
  </w:style>
  <w:style w:type="paragraph" w:styleId="BodyText">
    <w:name w:val="Body Text"/>
    <w:basedOn w:val="Normal"/>
    <w:link w:val="BodyTextChar"/>
    <w:qFormat/>
    <w:rsid w:val="00F00E3D"/>
    <w:pPr>
      <w:spacing w:before="120" w:after="120" w:line="270" w:lineRule="atLeast"/>
    </w:pPr>
    <w:rPr>
      <w:rFonts w:eastAsia="Times New Roman" w:cs="Times New Roman"/>
      <w:spacing w:val="2"/>
      <w:sz w:val="19"/>
      <w:szCs w:val="19"/>
      <w:lang w:eastAsia="en-AU"/>
    </w:rPr>
  </w:style>
  <w:style w:type="character" w:customStyle="1" w:styleId="BodyTextChar">
    <w:name w:val="Body Text Char"/>
    <w:basedOn w:val="DefaultParagraphFont"/>
    <w:link w:val="BodyText"/>
    <w:rsid w:val="00F00E3D"/>
    <w:rPr>
      <w:rFonts w:eastAsia="Times New Roman" w:cs="Times New Roman"/>
      <w:spacing w:val="2"/>
      <w:sz w:val="19"/>
      <w:szCs w:val="19"/>
      <w:lang w:eastAsia="en-AU"/>
    </w:rPr>
  </w:style>
  <w:style w:type="paragraph" w:customStyle="1" w:styleId="ExecSummHeading3">
    <w:name w:val="Exec Summ Heading 3"/>
    <w:basedOn w:val="BodyText"/>
    <w:next w:val="BodyText"/>
    <w:qFormat/>
    <w:rsid w:val="00F00E3D"/>
    <w:pPr>
      <w:keepNext/>
      <w:spacing w:before="240" w:line="240" w:lineRule="auto"/>
    </w:pPr>
    <w:rPr>
      <w:rFonts w:asciiTheme="majorHAnsi" w:hAnsiTheme="majorHAnsi"/>
      <w:b/>
      <w:color w:val="44546A" w:themeColor="text2"/>
      <w:spacing w:val="0"/>
      <w:sz w:val="22"/>
      <w:szCs w:val="21"/>
    </w:rPr>
  </w:style>
  <w:style w:type="character" w:customStyle="1" w:styleId="UnresolvedMention2">
    <w:name w:val="Unresolved Mention2"/>
    <w:basedOn w:val="DefaultParagraphFont"/>
    <w:uiPriority w:val="99"/>
    <w:semiHidden/>
    <w:unhideWhenUsed/>
    <w:rsid w:val="00F00E3D"/>
    <w:rPr>
      <w:color w:val="605E5C"/>
      <w:shd w:val="clear" w:color="auto" w:fill="E1DFDD"/>
    </w:rPr>
  </w:style>
  <w:style w:type="character" w:customStyle="1" w:styleId="UnresolvedMention3">
    <w:name w:val="Unresolved Mention3"/>
    <w:basedOn w:val="DefaultParagraphFont"/>
    <w:uiPriority w:val="99"/>
    <w:semiHidden/>
    <w:unhideWhenUsed/>
    <w:rsid w:val="00F00E3D"/>
    <w:rPr>
      <w:color w:val="605E5C"/>
      <w:shd w:val="clear" w:color="auto" w:fill="E1DFDD"/>
    </w:rPr>
  </w:style>
  <w:style w:type="character" w:customStyle="1" w:styleId="UnresolvedMention4">
    <w:name w:val="Unresolved Mention4"/>
    <w:basedOn w:val="DefaultParagraphFont"/>
    <w:uiPriority w:val="99"/>
    <w:semiHidden/>
    <w:unhideWhenUsed/>
    <w:rsid w:val="00F00E3D"/>
    <w:rPr>
      <w:color w:val="605E5C"/>
      <w:shd w:val="clear" w:color="auto" w:fill="E1DFDD"/>
    </w:rPr>
  </w:style>
  <w:style w:type="paragraph" w:customStyle="1" w:styleId="xxmsonormal">
    <w:name w:val="x_x_msonormal"/>
    <w:basedOn w:val="Normal"/>
    <w:rsid w:val="00F00E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ntion1">
    <w:name w:val="Mention1"/>
    <w:basedOn w:val="DefaultParagraphFont"/>
    <w:uiPriority w:val="99"/>
    <w:unhideWhenUsed/>
    <w:rsid w:val="00F00E3D"/>
    <w:rPr>
      <w:color w:val="2B579A"/>
      <w:shd w:val="clear" w:color="auto" w:fill="E6E6E6"/>
    </w:rPr>
  </w:style>
  <w:style w:type="character" w:customStyle="1" w:styleId="Mention2">
    <w:name w:val="Mention2"/>
    <w:basedOn w:val="DefaultParagraphFont"/>
    <w:uiPriority w:val="99"/>
    <w:unhideWhenUsed/>
    <w:rsid w:val="00F00E3D"/>
    <w:rPr>
      <w:color w:val="2B579A"/>
      <w:shd w:val="clear" w:color="auto" w:fill="E6E6E6"/>
    </w:rPr>
  </w:style>
  <w:style w:type="character" w:customStyle="1" w:styleId="normaltextrun">
    <w:name w:val="normaltextrun"/>
    <w:basedOn w:val="DefaultParagraphFont"/>
    <w:rsid w:val="00F00E3D"/>
  </w:style>
  <w:style w:type="character" w:customStyle="1" w:styleId="UnresolvedMention5">
    <w:name w:val="Unresolved Mention5"/>
    <w:basedOn w:val="DefaultParagraphFont"/>
    <w:uiPriority w:val="99"/>
    <w:semiHidden/>
    <w:unhideWhenUsed/>
    <w:rsid w:val="00F00E3D"/>
    <w:rPr>
      <w:color w:val="605E5C"/>
      <w:shd w:val="clear" w:color="auto" w:fill="E1DFDD"/>
    </w:rPr>
  </w:style>
  <w:style w:type="character" w:styleId="UnresolvedMention">
    <w:name w:val="Unresolved Mention"/>
    <w:basedOn w:val="DefaultParagraphFont"/>
    <w:uiPriority w:val="99"/>
    <w:semiHidden/>
    <w:unhideWhenUsed/>
    <w:rsid w:val="005020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157524">
      <w:bodyDiv w:val="1"/>
      <w:marLeft w:val="0"/>
      <w:marRight w:val="0"/>
      <w:marTop w:val="0"/>
      <w:marBottom w:val="0"/>
      <w:divBdr>
        <w:top w:val="none" w:sz="0" w:space="0" w:color="auto"/>
        <w:left w:val="none" w:sz="0" w:space="0" w:color="auto"/>
        <w:bottom w:val="none" w:sz="0" w:space="0" w:color="auto"/>
        <w:right w:val="none" w:sz="0" w:space="0" w:color="auto"/>
      </w:divBdr>
    </w:div>
    <w:div w:id="186077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1.health.gov.au/internet/main/publishing.nsf/Content/national-strategic-framework-rural-remote-health" TargetMode="External"/><Relationship Id="rId21" Type="http://schemas.openxmlformats.org/officeDocument/2006/relationships/hyperlink" Target="https://www.regional.gov.au/regional/programs/building-better-regions-fund.aspx" TargetMode="External"/><Relationship Id="rId42" Type="http://schemas.openxmlformats.org/officeDocument/2006/relationships/hyperlink" Target="https://www1.health.gov.au/internet/main/publishing.nsf/Content/mental-health-intergrated-reg-planning" TargetMode="External"/><Relationship Id="rId63" Type="http://schemas.openxmlformats.org/officeDocument/2006/relationships/hyperlink" Target="https://www.planning.vic.gov.au/__data/assets/pdf_file/0023/94514/G21_Regional_Growth_Plan_-_April_2013_-_low_Res.pdf" TargetMode="External"/><Relationship Id="rId84" Type="http://schemas.openxmlformats.org/officeDocument/2006/relationships/hyperlink" Target="https://www.vichealth.vic.gov.au/media-and-resources/publications/streets-ahead-evaluation-report-2008-2011" TargetMode="External"/><Relationship Id="rId138" Type="http://schemas.openxmlformats.org/officeDocument/2006/relationships/hyperlink" Target="https://www.dese.gov.au/uncategorised/resources/smarter-schools-national-partnerships-low-socio-economic-status-school-communities-literacy-and-2" TargetMode="External"/><Relationship Id="rId159" Type="http://schemas.openxmlformats.org/officeDocument/2006/relationships/hyperlink" Target="https://www.servicesaustralia.gov.au/individuals/services/centrelink/jobseeker-payment/how-much-you-can-get" TargetMode="External"/><Relationship Id="rId170" Type="http://schemas.openxmlformats.org/officeDocument/2006/relationships/hyperlink" Target="https://www.planning.vic.gov.au/policy-and-strategy/regional-growth-plans/g21-regional-growth-plan" TargetMode="External"/><Relationship Id="rId191" Type="http://schemas.openxmlformats.org/officeDocument/2006/relationships/hyperlink" Target="https://www.parliament.tas.gov.au/ctee/Joint/Submissions/No.%2040%20-%20Eccleston,%20Hansen,%20Doherty%20and%20Churchill%20-%20People%20and%20Place%20Review%20Report%20for%20DHHS.pdf" TargetMode="External"/><Relationship Id="rId205" Type="http://schemas.openxmlformats.org/officeDocument/2006/relationships/hyperlink" Target="https://cfon.issuelab.org/resources/35138/35138.pdf" TargetMode="External"/><Relationship Id="rId226" Type="http://schemas.openxmlformats.org/officeDocument/2006/relationships/hyperlink" Target="https://project-oracle.com/uploads/files/Evidence_Digest_02_Place-based_approaches.pdf" TargetMode="External"/><Relationship Id="rId107" Type="http://schemas.openxmlformats.org/officeDocument/2006/relationships/image" Target="media/image8.jpeg"/><Relationship Id="rId11" Type="http://schemas.openxmlformats.org/officeDocument/2006/relationships/image" Target="media/image1.jpeg"/><Relationship Id="rId32" Type="http://schemas.openxmlformats.org/officeDocument/2006/relationships/hyperlink" Target="https://www.ncsehe.edu.au/wp-content/uploads/2017/10/Regional-feature-FINAL.pdf" TargetMode="External"/><Relationship Id="rId53" Type="http://schemas.openxmlformats.org/officeDocument/2006/relationships/hyperlink" Target="http://refugeehealthnetwork.org.au/wp-content/uploads/RefugeeResettlement_Web_Vichealth+report.pdf" TargetMode="External"/><Relationship Id="rId74" Type="http://schemas.openxmlformats.org/officeDocument/2006/relationships/hyperlink" Target="https://www.budget.vic.gov.au/barwon" TargetMode="External"/><Relationship Id="rId128" Type="http://schemas.openxmlformats.org/officeDocument/2006/relationships/hyperlink" Target="https://www.dss.gov.au/about-the-department/publications-articles/corporate-publications/budget-and-additional-estimates-statements/2011-12-budget/building-australias-future-workforce-supporting-australians-with-disability-into-work?HTML" TargetMode="External"/><Relationship Id="rId149" Type="http://schemas.openxmlformats.org/officeDocument/2006/relationships/hyperlink" Target="https://www.aihw.gov.au/reports/housing-assistance/housing-assistance-in-australia-2017/contents/housing-assistance-why-do-we-need-it-and-what-supports-exist" TargetMode="External"/><Relationship Id="rId5" Type="http://schemas.openxmlformats.org/officeDocument/2006/relationships/numbering" Target="numbering.xml"/><Relationship Id="rId95" Type="http://schemas.openxmlformats.org/officeDocument/2006/relationships/hyperlink" Target="https://eds.b.ebscohost.com/eds/detail/detail?vid=2&amp;sid=e60f4b1a-f124-46a9-8d67-14cdebe7ab56%40pdc-v-sessmgr05&amp;bdata=JmF1dGh0eXBlPXNzbyZjdXN0aWQ9ZGVha2luJnNpdGU9ZWRzLWxpdmUmc2NvcGU9c2l0ZQ%3d%3d" TargetMode="External"/><Relationship Id="rId160" Type="http://schemas.openxmlformats.org/officeDocument/2006/relationships/hyperlink" Target="https://www.thegordon.edu.au/stb/about" TargetMode="External"/><Relationship Id="rId181" Type="http://schemas.openxmlformats.org/officeDocument/2006/relationships/hyperlink" Target="https://www2.health.vic.gov.au/hospitals-and-health-services/rural-health/rural-regional-health-partnerships" TargetMode="External"/><Relationship Id="rId216" Type="http://schemas.openxmlformats.org/officeDocument/2006/relationships/hyperlink" Target="https://miceastmelb.com.au/wp-content/uploads/2016/03/SudaneseCulturalProfile2012.pdf" TargetMode="External"/><Relationship Id="rId237" Type="http://schemas.openxmlformats.org/officeDocument/2006/relationships/hyperlink" Target="https://deakinhomeresearchhub.com/" TargetMode="External"/><Relationship Id="rId22" Type="http://schemas.openxmlformats.org/officeDocument/2006/relationships/hyperlink" Target="https://www.business.gov.au/grants-and-programs/stronger-communities-programme" TargetMode="External"/><Relationship Id="rId43" Type="http://schemas.openxmlformats.org/officeDocument/2006/relationships/hyperlink" Target="https://www.bitre.gov.au/national-cities-performance-framework/geelong" TargetMode="External"/><Relationship Id="rId64" Type="http://schemas.openxmlformats.org/officeDocument/2006/relationships/hyperlink" Target="https://www.budget.vic.gov.au/barwon" TargetMode="External"/><Relationship Id="rId118" Type="http://schemas.openxmlformats.org/officeDocument/2006/relationships/hyperlink" Target="https://www1.health.gov.au/internet/main/publishing.nsf/Content/stronger-rural-health-strategy-factsheets" TargetMode="External"/><Relationship Id="rId139" Type="http://schemas.openxmlformats.org/officeDocument/2006/relationships/hyperlink" Target="https://www.education.gov.au/national-aboriginal-and-torres-strait-islander-education-strategy" TargetMode="External"/><Relationship Id="rId85" Type="http://schemas.openxmlformats.org/officeDocument/2006/relationships/hyperlink" Target="https://www.academia.edu/19880769/Evaluating_health_impacts_Results_from_the_neighbourhood_renewal_stratgey_in_Victoria_Australia" TargetMode="External"/><Relationship Id="rId150" Type="http://schemas.openxmlformats.org/officeDocument/2006/relationships/hyperlink" Target="https://www.ncsehe.edu.au/publications/ncsehe-focus-successful-outcomes-for-regional-and-remote-students-in-australian-higher-education/" TargetMode="External"/><Relationship Id="rId171" Type="http://schemas.openxmlformats.org/officeDocument/2006/relationships/hyperlink" Target="https://www.planning.vic.gov.au/latest-news/victoria-in-future-2019-released" TargetMode="External"/><Relationship Id="rId192" Type="http://schemas.openxmlformats.org/officeDocument/2006/relationships/hyperlink" Target="https://citymag.indaily.com.au/commerce/dont-become-that-man-is-an-sa-first-domestic-violence-program-reforming-male-behaviour/" TargetMode="External"/><Relationship Id="rId206" Type="http://schemas.openxmlformats.org/officeDocument/2006/relationships/hyperlink" Target="https://www.theguardian.com/australia-news/2018/jul/25/its-not-safe-for-us-south-sudanese-australians-weather-african-gangs-storm" TargetMode="External"/><Relationship Id="rId227" Type="http://schemas.openxmlformats.org/officeDocument/2006/relationships/hyperlink" Target="https://www.ssbx.org/home" TargetMode="External"/><Relationship Id="rId12" Type="http://schemas.openxmlformats.org/officeDocument/2006/relationships/image" Target="media/image2.png"/><Relationship Id="rId33" Type="http://schemas.openxmlformats.org/officeDocument/2006/relationships/hyperlink" Target="https://www.ceda.com.au/CEDA/media/General/Publication/PDFs/HousingAustraliaFinal_Flipsnack.pdf" TargetMode="External"/><Relationship Id="rId108" Type="http://schemas.openxmlformats.org/officeDocument/2006/relationships/image" Target="media/image9.jpg"/><Relationship Id="rId129" Type="http://schemas.openxmlformats.org/officeDocument/2006/relationships/hyperlink" Target="https://www.servicesaustralia.gov.au/individuals/services/centrelink/jobseeker-payment/how-much-you-can-get" TargetMode="External"/><Relationship Id="rId54" Type="http://schemas.openxmlformats.org/officeDocument/2006/relationships/hyperlink" Target="https://jobs.vic.gov.au/about-jobs-victoria/our-programs/jobs-victoria-fund" TargetMode="External"/><Relationship Id="rId75" Type="http://schemas.openxmlformats.org/officeDocument/2006/relationships/hyperlink" Target="https://www2.education.vic.gov.au/pal/tutor-learning-initiative-2021/policy" TargetMode="External"/><Relationship Id="rId96" Type="http://schemas.openxmlformats.org/officeDocument/2006/relationships/hyperlink" Target="https://www.riverclydehomes.org.uk/uploaded/river-clyde-web/passthrough/broomhill_report_stirling_university.pdf" TargetMode="External"/><Relationship Id="rId140" Type="http://schemas.openxmlformats.org/officeDocument/2006/relationships/hyperlink" Target="https://fairworkhelp.com.au/jobkeeper/?keyword_k=%2Bjobkeeper&amp;campaignid=386431127&amp;adgroupid=1209463241998450&amp;adid=&amp;gclid=&amp;msclkid=805ebec21a4516143af9ded2df0f4c35&amp;utm_source=bing&amp;utm_medium=cpc&amp;utm_campaign=3.0%20JobKeeper%20Management&amp;utm_term=%2Bjobkeeper&amp;utm_content=a)%20JobKeeper" TargetMode="External"/><Relationship Id="rId161" Type="http://schemas.openxmlformats.org/officeDocument/2006/relationships/hyperlink" Target="https://en.unesco.org/creative-cities/home" TargetMode="External"/><Relationship Id="rId182" Type="http://schemas.openxmlformats.org/officeDocument/2006/relationships/hyperlink" Target="https://www2.health.vic.gov.au/about/publications/policiesandguidelines/vic-health-priorities-framework-2012-22-rural-plan" TargetMode="External"/><Relationship Id="rId217" Type="http://schemas.openxmlformats.org/officeDocument/2006/relationships/hyperlink" Target="https://www.neaminational.org.au/about-us/" TargetMode="External"/><Relationship Id="rId6" Type="http://schemas.openxmlformats.org/officeDocument/2006/relationships/styles" Target="styles.xml"/><Relationship Id="rId238" Type="http://schemas.openxmlformats.org/officeDocument/2006/relationships/fontTable" Target="fontTable.xml"/><Relationship Id="rId23" Type="http://schemas.openxmlformats.org/officeDocument/2006/relationships/hyperlink" Target="https://www.regional.gov.au/regional/programs/community-development-grants.aspx" TargetMode="External"/><Relationship Id="rId119" Type="http://schemas.openxmlformats.org/officeDocument/2006/relationships/hyperlink" Target="https://www1.health.gov.au/internet/main/publishing.nsf/Content/national-preventive-health-strategy" TargetMode="External"/><Relationship Id="rId44" Type="http://schemas.openxmlformats.org/officeDocument/2006/relationships/hyperlink" Target="https://www.bitre.gov.au/databases/regional" TargetMode="External"/><Relationship Id="rId65" Type="http://schemas.openxmlformats.org/officeDocument/2006/relationships/hyperlink" Target="https://www.planning.vic.gov.au/__data/assets/pdf_file/0032/332996/Victoria_in_Future_2019.pdf" TargetMode="External"/><Relationship Id="rId86" Type="http://schemas.openxmlformats.org/officeDocument/2006/relationships/hyperlink" Target="http://C://Users/megmu/Downloads/30-30-1-PB%20(2).pdf" TargetMode="External"/><Relationship Id="rId130" Type="http://schemas.openxmlformats.org/officeDocument/2006/relationships/hyperlink" Target="https://www.ato.gov.au/General/Property/Residential-rental-properties/Rental-expenses-to-claim/" TargetMode="External"/><Relationship Id="rId151" Type="http://schemas.openxmlformats.org/officeDocument/2006/relationships/hyperlink" Target="https://www.ndis.gov.au/" TargetMode="External"/><Relationship Id="rId172" Type="http://schemas.openxmlformats.org/officeDocument/2006/relationships/hyperlink" Target="https://www.dtf.vic.gov.au/sites/default/files/2018-01/Social%20Impact%20Bonds%20-%20Statement%20of%20Opportunities.pdf" TargetMode="External"/><Relationship Id="rId193" Type="http://schemas.openxmlformats.org/officeDocument/2006/relationships/hyperlink" Target="https://issuu.com/creativedundeewrites/docs/pass_the_mic_online_publication" TargetMode="External"/><Relationship Id="rId207" Type="http://schemas.openxmlformats.org/officeDocument/2006/relationships/hyperlink" Target="https://sci.uoregon.edu/sites/sci1.uoregon.edu/files/sub_1_-_what_is_livability_lit_review.pdf" TargetMode="External"/><Relationship Id="rId228" Type="http://schemas.openxmlformats.org/officeDocument/2006/relationships/hyperlink" Target="https://www.cohealth.org.au/wp-content/uploads/2018/11/Improving-Outcomes-with-South-Sudanese-Australians.pdf" TargetMode="External"/><Relationship Id="rId13" Type="http://schemas.openxmlformats.org/officeDocument/2006/relationships/hyperlink" Target="https://www.flickr.com/photos/carsten_tb/3341136754/in/photolist-66fcy7-24LQfvk-27drHZx-24a8fzA-T2SkUr-aSBoEi-2cFiptZ-XJdNiB-dTvron-27vUpf9-XkwYqb-JffCaq-Uz3M5C-Xkx1sY-aApCHF-2dZv7nm-XJdN7V-XJdNor-XkwZU3-4y9i2-24a89YA-2d41Enh-26PynFW-Qg9ohx-dDUCou-HmXXMF-27Hv5oN-28NYp4P-Ka2GTF-Ka2Ftg-264136S-4FJU3M-28JzWhw-SfYW6H-nW18XH-QxCKJD-9PxNyW-9YteLR-T1gmcs-XWt19p-27uwgY4-nCGB7r-2a7wUXS-3tG7BT-2b95qNh-TapAxT-UrTkZB-psTDS8-psSLVQ-2cNCmC8" TargetMode="External"/><Relationship Id="rId109" Type="http://schemas.openxmlformats.org/officeDocument/2006/relationships/image" Target="media/image10.jpeg"/><Relationship Id="rId34" Type="http://schemas.openxmlformats.org/officeDocument/2006/relationships/hyperlink" Target="https://www.business.gov.au/Grants-and-Programs/Regional-Jobs-and-Investment-Packages-RJIP/Geelong-grant-recipients" TargetMode="External"/><Relationship Id="rId55" Type="http://schemas.openxmlformats.org/officeDocument/2006/relationships/hyperlink" Target="https://www.ceda.com.au/Publications/Regional-Development-in-Western-Australia" TargetMode="External"/><Relationship Id="rId76" Type="http://schemas.openxmlformats.org/officeDocument/2006/relationships/image" Target="media/image3.jpg"/><Relationship Id="rId97" Type="http://schemas.openxmlformats.org/officeDocument/2006/relationships/hyperlink" Target="https://www.communityventures.org.uk/wp-content/uploads/2017/04/My-Community-Matters-Final-Report.pdf" TargetMode="External"/><Relationship Id="rId120" Type="http://schemas.openxmlformats.org/officeDocument/2006/relationships/hyperlink" Target="https://www.infrastructure.gov.au/cities/city-deals/" TargetMode="External"/><Relationship Id="rId141" Type="http://schemas.openxmlformats.org/officeDocument/2006/relationships/hyperlink" Target="https://www.dese.gov.au/reviews-and-consultations/national-regional-rural-and-remote-education-strategy" TargetMode="External"/><Relationship Id="rId7" Type="http://schemas.openxmlformats.org/officeDocument/2006/relationships/settings" Target="settings.xml"/><Relationship Id="rId162" Type="http://schemas.openxmlformats.org/officeDocument/2006/relationships/hyperlink" Target="https://habitat3.org/the-new-urban-agenda/" TargetMode="External"/><Relationship Id="rId183" Type="http://schemas.openxmlformats.org/officeDocument/2006/relationships/hyperlink" Target="https://www2.health.vic.gov.au/hospitals-and-health-services/health-system-design-planning/statewide-plan" TargetMode="External"/><Relationship Id="rId218" Type="http://schemas.openxmlformats.org/officeDocument/2006/relationships/hyperlink" Target="https://www.nrscotland.gov.uk/files/statistics/council-area-data-sheets/dundee-city-council-profile.html" TargetMode="External"/><Relationship Id="rId239" Type="http://schemas.openxmlformats.org/officeDocument/2006/relationships/theme" Target="theme/theme1.xml"/><Relationship Id="rId24" Type="http://schemas.openxmlformats.org/officeDocument/2006/relationships/hyperlink" Target="https://www.rdv.vic.gov.au/grants-and-programs/stronger-regional-communities-program" TargetMode="External"/><Relationship Id="rId45" Type="http://schemas.openxmlformats.org/officeDocument/2006/relationships/hyperlink" Target="https://urbandesign.org.au/downloads/" TargetMode="External"/><Relationship Id="rId66" Type="http://schemas.openxmlformats.org/officeDocument/2006/relationships/hyperlink" Target="file:///C:/Users/daniellehitch/Downloads/Barwon-South%20Western%20Region%20Profile.pdf" TargetMode="External"/><Relationship Id="rId87" Type="http://schemas.openxmlformats.org/officeDocument/2006/relationships/hyperlink" Target="https://apo.org.au/sites/default/files/resource-files/2015-07/apo-nid57598.pdf" TargetMode="External"/><Relationship Id="rId110" Type="http://schemas.openxmlformats.org/officeDocument/2006/relationships/image" Target="media/image11.jpeg"/><Relationship Id="rId131" Type="http://schemas.openxmlformats.org/officeDocument/2006/relationships/hyperlink" Target="https://www.bdo.com.au/en-au/insights/tax/technical-updates/jobkeeper-extended-until-march-2021-with-two-tiered-rates-and-jobseeker-also-extended" TargetMode="External"/><Relationship Id="rId152" Type="http://schemas.openxmlformats.org/officeDocument/2006/relationships/hyperlink" Target="https://doi.org/10.1787/9789264312838-en" TargetMode="External"/><Relationship Id="rId173" Type="http://schemas.openxmlformats.org/officeDocument/2006/relationships/hyperlink" Target="https://www.dhhs.vic.gov.au/homes-victorians" TargetMode="External"/><Relationship Id="rId194" Type="http://schemas.openxmlformats.org/officeDocument/2006/relationships/hyperlink" Target="https://files.eric.ed.gov/fulltext/ED607978.pdf" TargetMode="External"/><Relationship Id="rId208" Type="http://schemas.openxmlformats.org/officeDocument/2006/relationships/hyperlink" Target="https://doi.org/10.1186/s12942-019-0178-8" TargetMode="External"/><Relationship Id="rId229" Type="http://schemas.openxmlformats.org/officeDocument/2006/relationships/hyperlink" Target="https://lankellychase.org.uk/wp-content/uploads/2017/10/Historical-reviewof-place-based-approaches.pdf" TargetMode="External"/><Relationship Id="rId14" Type="http://schemas.openxmlformats.org/officeDocument/2006/relationships/hyperlink" Target="https://creativecommons.org/licenses/by-nc-nd/2.0/au/" TargetMode="External"/><Relationship Id="rId35" Type="http://schemas.openxmlformats.org/officeDocument/2006/relationships/hyperlink" Target="https://parlinfo.aph.gov.au/parlInfo/download/committees/reportrep/024136/toc_pdf/RegionsattheReadyInvestinginAustralia'sFuture.pdf;fileType=application%2Fpdf" TargetMode="External"/><Relationship Id="rId56" Type="http://schemas.openxmlformats.org/officeDocument/2006/relationships/hyperlink" Target="https://www.rdv.vic.gov.au/about-rdv/regional-jobs-and-infrastructure-fund" TargetMode="External"/><Relationship Id="rId77" Type="http://schemas.openxmlformats.org/officeDocument/2006/relationships/image" Target="media/image4.png"/><Relationship Id="rId100" Type="http://schemas.openxmlformats.org/officeDocument/2006/relationships/hyperlink" Target="https://ruaf.org/assets/2019/11/UA-Magazine-no.-35-Youth-in-Food-Opportunities-for-education-and-employment.pdf" TargetMode="External"/><Relationship Id="rId8" Type="http://schemas.openxmlformats.org/officeDocument/2006/relationships/webSettings" Target="webSettings.xml"/><Relationship Id="rId98" Type="http://schemas.openxmlformats.org/officeDocument/2006/relationships/hyperlink" Target="https://www.sciencedirect.com/science/article/pii/S0016718518302653?via%3Dihub" TargetMode="External"/><Relationship Id="rId121" Type="http://schemas.openxmlformats.org/officeDocument/2006/relationships/hyperlink" Target="https://www.bitre.gov.au/national-cities-performance-framework" TargetMode="External"/><Relationship Id="rId142" Type="http://schemas.openxmlformats.org/officeDocument/2006/relationships/hyperlink" Target="https://www.dese.gov.au/quality-schools-package/independent-review-regional-rural-and-remote-education" TargetMode="External"/><Relationship Id="rId163" Type="http://schemas.openxmlformats.org/officeDocument/2006/relationships/hyperlink" Target="https://www.vic.gov.au/homes-victoria-big-housing-build" TargetMode="External"/><Relationship Id="rId184" Type="http://schemas.openxmlformats.org/officeDocument/2006/relationships/hyperlink" Target="http://www.jstor.org/stable/26144151" TargetMode="External"/><Relationship Id="rId219" Type="http://schemas.openxmlformats.org/officeDocument/2006/relationships/hyperlink" Target="https://ofl.ca/wp-content/uploads/HUB-SHEET-KW-POM.pdf" TargetMode="External"/><Relationship Id="rId230" Type="http://schemas.openxmlformats.org/officeDocument/2006/relationships/hyperlink" Target="https://jessvech.files.wordpress.com/2014/05/bbz-design-sprint-evaluation-report.pdf" TargetMode="External"/><Relationship Id="rId25" Type="http://schemas.openxmlformats.org/officeDocument/2006/relationships/hyperlink" Target="https://read.oecd-ilibrary.org/urban-rural-and-regional-development/oecd-regional-outlook-2019_9789264312838-en" TargetMode="External"/><Relationship Id="rId46" Type="http://schemas.openxmlformats.org/officeDocument/2006/relationships/hyperlink" Target="http://www.regionalaustralia.org.au/home/wp-content/uploads/2019/05/190506_PolicyHack_Summary_Final.pdf" TargetMode="External"/><Relationship Id="rId67" Type="http://schemas.openxmlformats.org/officeDocument/2006/relationships/hyperlink" Target="https://www.rdv.vic.gov.au/__data/assets/pdf_file/0008/1931084/Barwon-Digital-Plan-Supporting-Information-doc-Design-edit-FINAL-24-Feb-web.pdf" TargetMode="External"/><Relationship Id="rId88" Type="http://schemas.openxmlformats.org/officeDocument/2006/relationships/hyperlink" Target="https://ro.uow.edu.au/cgi/viewcontent.cgi?article=1223&amp;context=ahsri" TargetMode="External"/><Relationship Id="rId111" Type="http://schemas.openxmlformats.org/officeDocument/2006/relationships/image" Target="media/image12.jpeg"/><Relationship Id="rId132" Type="http://schemas.openxmlformats.org/officeDocument/2006/relationships/hyperlink" Target="https://www.carbonnexus.com.au/" TargetMode="External"/><Relationship Id="rId153" Type="http://schemas.openxmlformats.org/officeDocument/2006/relationships/hyperlink" Target="https://www.premier.vic.gov.au/building-better-tafes-and-supporting-jobs-and-businesses" TargetMode="External"/><Relationship Id="rId174" Type="http://schemas.openxmlformats.org/officeDocument/2006/relationships/hyperlink" Target="https://www.rdv.vic.gov.au/grants-and-programs/regional-jobs-fund" TargetMode="External"/><Relationship Id="rId195" Type="http://schemas.openxmlformats.org/officeDocument/2006/relationships/hyperlink" Target="https://pha.berkeley.edu/2017/02/08/life-course-theory/" TargetMode="External"/><Relationship Id="rId209" Type="http://schemas.openxmlformats.org/officeDocument/2006/relationships/hyperlink" Target="https://www.homelessnessaustralia.org.au/sites/homelessnessaus/files/2017-07/Homelessness%20in%20Australiav2.pdf" TargetMode="External"/><Relationship Id="rId190" Type="http://schemas.openxmlformats.org/officeDocument/2006/relationships/hyperlink" Target="http://www.ahuri.edu.au/publications/projects/myrp704" TargetMode="External"/><Relationship Id="rId204" Type="http://schemas.openxmlformats.org/officeDocument/2006/relationships/hyperlink" Target="https://grow.g21.com.au/what-is-grow" TargetMode="External"/><Relationship Id="rId220" Type="http://schemas.openxmlformats.org/officeDocument/2006/relationships/hyperlink" Target="https://about.openfoodnetwork.org.au/" TargetMode="External"/><Relationship Id="rId225" Type="http://schemas.openxmlformats.org/officeDocument/2006/relationships/hyperlink" Target="https://knowledge.aidr.org.au/media/7351/case-studies-exploring-community-led-recovery-and-coordination-final.pdf" TargetMode="External"/><Relationship Id="rId15" Type="http://schemas.openxmlformats.org/officeDocument/2006/relationships/hyperlink" Target="http://wordpress-ms.deakin.edu.au/homeresearchhub/wp-content/uploads/sites/77/2019/09/Accessible-and-Inclusive-Geelong-Feasibility-Study.pdf" TargetMode="External"/><Relationship Id="rId36" Type="http://schemas.openxmlformats.org/officeDocument/2006/relationships/hyperlink" Target="http://www.regionalaustralia.org.au/home/wp-content/uploads/2020/04/RAI_Submission_Select_Committee_Regional_Australia_Final.pdf" TargetMode="External"/><Relationship Id="rId57" Type="http://schemas.openxmlformats.org/officeDocument/2006/relationships/hyperlink" Target="https://www2.health.vic.gov.au/hospitals-and-health-services/rural-health/rural-regional-health-partnerships" TargetMode="External"/><Relationship Id="rId106" Type="http://schemas.openxmlformats.org/officeDocument/2006/relationships/chart" Target="charts/chart4.xml"/><Relationship Id="rId127" Type="http://schemas.openxmlformats.org/officeDocument/2006/relationships/hyperlink" Target="https://www.dss.gov.au/housing-support/programmes-services/commonwealth-rent-assistance" TargetMode="External"/><Relationship Id="rId10" Type="http://schemas.openxmlformats.org/officeDocument/2006/relationships/endnotes" Target="endnotes.xml"/><Relationship Id="rId31" Type="http://schemas.openxmlformats.org/officeDocument/2006/relationships/hyperlink" Target="https://www.dese.gov.au/uncategorised/resources/independent-review-regional-rural-and-remote-education-final-report" TargetMode="External"/><Relationship Id="rId52" Type="http://schemas.openxmlformats.org/officeDocument/2006/relationships/hyperlink" Target="https://www.sro.vic.gov.au/fhogapply" TargetMode="External"/><Relationship Id="rId73" Type="http://schemas.openxmlformats.org/officeDocument/2006/relationships/hyperlink" Target="https://www.norlaneci.org.au/about/" TargetMode="External"/><Relationship Id="rId78" Type="http://schemas.openxmlformats.org/officeDocument/2006/relationships/footer" Target="footer4.xml"/><Relationship Id="rId94" Type="http://schemas.openxmlformats.org/officeDocument/2006/relationships/hyperlink" Target="https://www.google.com.au/url?sa=t&amp;rct=j&amp;q=&amp;esrc=s&amp;source=web&amp;cd=&amp;ved=2ahUKEwjq3P-j7YjuAhUzzTgGHd6yDY0QFjAEegQICBAC&amp;url=https%3A%2F%2Fwww.mcgill.ca%2Fihsp%2Ffiles%2Fihsp%2F2011posterpresentation_kara.pptx&amp;usg=AOvVaw1sQL8GiLxLyzbkdH32kjFO" TargetMode="External"/><Relationship Id="rId99" Type="http://schemas.openxmlformats.org/officeDocument/2006/relationships/hyperlink" Target="https://wedundee.com" TargetMode="External"/><Relationship Id="rId101" Type="http://schemas.openxmlformats.org/officeDocument/2006/relationships/hyperlink" Target="https://knowledge.aidr.org.au/media/7351/case-studies-exploring-community-led-recovery-and-coordination-final.pdf" TargetMode="External"/><Relationship Id="rId122" Type="http://schemas.openxmlformats.org/officeDocument/2006/relationships/hyperlink" Target="https://investment.infrastructure.gov.au/infrastructure_investment/roads_to_recovery/" TargetMode="External"/><Relationship Id="rId143" Type="http://schemas.openxmlformats.org/officeDocument/2006/relationships/hyperlink" Target="http://www.federalfinancialrelations.gov.au/content/npa/skills/national-partnership/skills-reform_NA.pdf" TargetMode="External"/><Relationship Id="rId148" Type="http://schemas.openxmlformats.org/officeDocument/2006/relationships/hyperlink" Target="https://www.infrastructureaustralia.gov.au/publications/creating-places-people-urban-design-protocol-australian-cities" TargetMode="External"/><Relationship Id="rId164" Type="http://schemas.openxmlformats.org/officeDocument/2006/relationships/hyperlink" Target="http://www.drd.wa.gov.au/about/What-We-Do/Pages/Regional-Development-Strategy.aspx" TargetMode="External"/><Relationship Id="rId169" Type="http://schemas.openxmlformats.org/officeDocument/2006/relationships/hyperlink" Target="https://www.education.vic.gov.au/training/providers/funding/Pages/rst.aspx" TargetMode="External"/><Relationship Id="rId185" Type="http://schemas.openxmlformats.org/officeDocument/2006/relationships/hyperlink" Target="https://www.aihw.gov.au/reports/australias-health/social-determinants-of-health"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vichealth.vic.gov.au/media-and-resources/publications/refugee-resettlement-in-regional-and-rural-victoria" TargetMode="External"/><Relationship Id="rId210" Type="http://schemas.openxmlformats.org/officeDocument/2006/relationships/hyperlink" Target="file:///C:/Users/megmu/Downloads/Camden_Neighbourhood_Profile_-_Kings_Cross.pdf" TargetMode="External"/><Relationship Id="rId215" Type="http://schemas.openxmlformats.org/officeDocument/2006/relationships/hyperlink" Target="https://assets.publishing.service.gov.uk/government/uploads/system/uploads/attachment_data/file/835115/IoD2019_Statistical_Release.pdf" TargetMode="External"/><Relationship Id="rId236" Type="http://schemas.openxmlformats.org/officeDocument/2006/relationships/image" Target="media/image17.png"/><Relationship Id="rId26" Type="http://schemas.openxmlformats.org/officeDocument/2006/relationships/hyperlink" Target="https://habitat3.org/the-new-urban-agenda/" TargetMode="External"/><Relationship Id="rId231" Type="http://schemas.openxmlformats.org/officeDocument/2006/relationships/hyperlink" Target="https://wedundee.com/wp-content/uploads/We-Dundee-Q1-Data-Report.pdf" TargetMode="External"/><Relationship Id="rId47" Type="http://schemas.openxmlformats.org/officeDocument/2006/relationships/hyperlink" Target="https://www.regional.gov.au/regional/publications/regions_2030/" TargetMode="External"/><Relationship Id="rId68" Type="http://schemas.openxmlformats.org/officeDocument/2006/relationships/hyperlink" Target="https://www.ceda.com.au/Digital-hub/Blogs/CEDA-Blog/September-2020/How-Australia-can-better-navigate-Industry-4-0" TargetMode="External"/><Relationship Id="rId89" Type="http://schemas.openxmlformats.org/officeDocument/2006/relationships/hyperlink" Target="https://www.cdu.edu.au/sites/default/files/the-northern-institute/10.18793-lcj215.17.04.pdf" TargetMode="External"/><Relationship Id="rId112" Type="http://schemas.openxmlformats.org/officeDocument/2006/relationships/image" Target="media/image13.jpg"/><Relationship Id="rId133" Type="http://schemas.openxmlformats.org/officeDocument/2006/relationships/hyperlink" Target="https://www.geelongaustralia.com.au/socialhousing/documents/item/8d7b9e5836a6cf2.aspx" TargetMode="External"/><Relationship Id="rId154" Type="http://schemas.openxmlformats.org/officeDocument/2006/relationships/hyperlink" Target="http://www.regionalaustralia.org.au/home/wp-content/uploads/2020/04/RAI_Submission_Select_Committee_Regional_Australia_Final.pdf" TargetMode="External"/><Relationship Id="rId175" Type="http://schemas.openxmlformats.org/officeDocument/2006/relationships/hyperlink" Target="https://www.rdv.vic.gov.au/grants-and-programs/regional-community-leadership-program" TargetMode="External"/><Relationship Id="rId196" Type="http://schemas.openxmlformats.org/officeDocument/2006/relationships/hyperlink" Target="https://www.creativecity.ca/publications/making-the-case/building-community-identity-and-pride.php" TargetMode="External"/><Relationship Id="rId200" Type="http://schemas.openxmlformats.org/officeDocument/2006/relationships/hyperlink" Target="http://www.fao.org/documents/card/en/c/cb0407en" TargetMode="External"/><Relationship Id="rId16" Type="http://schemas.openxmlformats.org/officeDocument/2006/relationships/hyperlink" Target="https://sticke2.deakin.edu.au/" TargetMode="External"/><Relationship Id="rId221" Type="http://schemas.openxmlformats.org/officeDocument/2006/relationships/hyperlink" Target="https://inclusivegrowthcommunityofpractice.blog/2019/02/08/case-study-the-broomhill-project/" TargetMode="External"/><Relationship Id="rId37" Type="http://schemas.openxmlformats.org/officeDocument/2006/relationships/hyperlink" Target="http://www.regionalaustralia.org.au/home/wp-content/uploads/2020/07/RAI_SIP-2018-2-1-2_FutureRegionalJobs_Final.pdf" TargetMode="External"/><Relationship Id="rId58" Type="http://schemas.openxmlformats.org/officeDocument/2006/relationships/hyperlink" Target="file:///C:/Users/daniellehitch/Downloads/Deloitte%20DHHS%20Rural%20Health%20Plan%20Consultation%20Report.pdf" TargetMode="External"/><Relationship Id="rId79" Type="http://schemas.openxmlformats.org/officeDocument/2006/relationships/image" Target="media/image5.jpg"/><Relationship Id="rId102" Type="http://schemas.openxmlformats.org/officeDocument/2006/relationships/image" Target="media/image7.jpg"/><Relationship Id="rId123" Type="http://schemas.openxmlformats.org/officeDocument/2006/relationships/hyperlink" Target="https://investment.infrastructure.gov.au/projects/ProjectDetails.aspx?Project_id=091569-16VIC-PKG" TargetMode="External"/><Relationship Id="rId144" Type="http://schemas.openxmlformats.org/officeDocument/2006/relationships/hyperlink" Target="https://www.norlaneci.org.au/initiatives/coasthaven-community-garden/" TargetMode="External"/><Relationship Id="rId90" Type="http://schemas.openxmlformats.org/officeDocument/2006/relationships/hyperlink" Target="file:///C://Users/megmu/Downloads/kpmg_report_2013%20(2).pdf" TargetMode="External"/><Relationship Id="rId165" Type="http://schemas.openxmlformats.org/officeDocument/2006/relationships/hyperlink" Target="https://www.education.vic.gov.au/Documents/about/educationstate/ExpertAdvisoryPanelforruralandregionalstudents_Report.pdf" TargetMode="External"/><Relationship Id="rId186" Type="http://schemas.openxmlformats.org/officeDocument/2006/relationships/hyperlink" Target="https://www.bbc.com/news/uk-scotland-tayside-central-52807044" TargetMode="External"/><Relationship Id="rId211" Type="http://schemas.openxmlformats.org/officeDocument/2006/relationships/hyperlink" Target="https://assets.ctfassets.net/iz0aikshgysc/1KPmLI6KZtnIjzfCLJ0hIg/ed918202bca8802e86055d85af1802af/kpmg_report_2013.pdf" TargetMode="External"/><Relationship Id="rId232" Type="http://schemas.openxmlformats.org/officeDocument/2006/relationships/hyperlink" Target="https://www.thesenior.com.au/story/6741089/app-brings-help-to-neighbours-in-need/" TargetMode="External"/><Relationship Id="rId27" Type="http://schemas.openxmlformats.org/officeDocument/2006/relationships/hyperlink" Target="https://www.researchgate.net/publication/241854323_A_triple-helix_of_university-industry-government-relations_Mode_2_and_the_globalization_of_national_systems_of_innovation/link/5584ff6f08aeb0cdaddbd3f0/download" TargetMode="External"/><Relationship Id="rId48" Type="http://schemas.openxmlformats.org/officeDocument/2006/relationships/hyperlink" Target="https://www.education.vic.gov.au/Documents/about/educationstate/ExpertAdvisoryPanelforruralandregionalstudents_Report.pdf" TargetMode="External"/><Relationship Id="rId69" Type="http://schemas.openxmlformats.org/officeDocument/2006/relationships/hyperlink" Target="https://www.geelongaustralia.com.au/common/Public/Documents/8d85e3f534f7876-nwggaframeworkplan-august2020finaladopted.pdf" TargetMode="External"/><Relationship Id="rId113" Type="http://schemas.openxmlformats.org/officeDocument/2006/relationships/image" Target="media/image14.jpg"/><Relationship Id="rId134" Type="http://schemas.openxmlformats.org/officeDocument/2006/relationships/hyperlink" Target="https://www.geelongaustralia.com.au/futuregrowth/default.aspx" TargetMode="External"/><Relationship Id="rId80" Type="http://schemas.openxmlformats.org/officeDocument/2006/relationships/image" Target="media/image6.jpg"/><Relationship Id="rId155" Type="http://schemas.openxmlformats.org/officeDocument/2006/relationships/hyperlink" Target="http://www.regionalaustralia.org.au/home/wp-content/uploads/2019/04/RAI_SIP-2018-2-1-2_FutureRegionalJobs_Booklet_Print_3.pdf" TargetMode="External"/><Relationship Id="rId176" Type="http://schemas.openxmlformats.org/officeDocument/2006/relationships/hyperlink" Target="https://www.rdv.vic.gov.au/regional-partnerships/partnerships" TargetMode="External"/><Relationship Id="rId197" Type="http://schemas.openxmlformats.org/officeDocument/2006/relationships/hyperlink" Target="https://www.dundeecity.gov.uk/reports/reports/7-2015.pdf" TargetMode="External"/><Relationship Id="rId201" Type="http://schemas.openxmlformats.org/officeDocument/2006/relationships/hyperlink" Target="https://openfoodnetwork.org.au/fawknercommons/" TargetMode="External"/><Relationship Id="rId222" Type="http://schemas.openxmlformats.org/officeDocument/2006/relationships/hyperlink" Target="https://doi.org/10.1007/s10995-016-1969-1" TargetMode="External"/><Relationship Id="rId17" Type="http://schemas.openxmlformats.org/officeDocument/2006/relationships/footer" Target="footer1.xml"/><Relationship Id="rId38" Type="http://schemas.openxmlformats.org/officeDocument/2006/relationships/hyperlink" Target="https://www.aph.gov.au/Parliamentary_Business/Committees/House/Former_Committees/Regional_Development_and_Decentralisation/RDD/Final_Report/section?id=committees%2Freportrep%2F024136%2F25544" TargetMode="External"/><Relationship Id="rId59" Type="http://schemas.openxmlformats.org/officeDocument/2006/relationships/hyperlink" Target="https://www2.health.vic.gov.au/about/publications/policiesandguidelines/vic-health-priorities-framework-2012-22-rural-plan" TargetMode="External"/><Relationship Id="rId103" Type="http://schemas.openxmlformats.org/officeDocument/2006/relationships/chart" Target="charts/chart1.xml"/><Relationship Id="rId124" Type="http://schemas.openxmlformats.org/officeDocument/2006/relationships/hyperlink" Target="https://www.infrastructure.gov.au/infrastructure/pab/files/Our_Cities_National_Urban_Policy_Paper_2011.pdf" TargetMode="External"/><Relationship Id="rId70" Type="http://schemas.openxmlformats.org/officeDocument/2006/relationships/hyperlink" Target="https://www.geelongaustralia.com.au/common/Public/Documents/8d85e3f534f7876-nwggaframeworkplan-august2020finaladopted.pdf" TargetMode="External"/><Relationship Id="rId91" Type="http://schemas.openxmlformats.org/officeDocument/2006/relationships/hyperlink" Target="https://store.hbr.org/product/aime-high-a-social-entrepreneur-s-moon-shot/919411" TargetMode="External"/><Relationship Id="rId145" Type="http://schemas.openxmlformats.org/officeDocument/2006/relationships/hyperlink" Target="https://www.federalfinancialrelations.gov.au/content/housing_homelessness_agreement.aspx" TargetMode="External"/><Relationship Id="rId166" Type="http://schemas.openxmlformats.org/officeDocument/2006/relationships/hyperlink" Target="https://www.buyingfor.vic.gov.au/social-procurement-victorian-government-approach" TargetMode="External"/><Relationship Id="rId187" Type="http://schemas.openxmlformats.org/officeDocument/2006/relationships/hyperlink" Target="https://www.riverclydehomes.org.uk/uploaded/river-clyde-web/passthrough/broomhill_report_stirling_university.pdf" TargetMode="External"/><Relationship Id="rId1" Type="http://schemas.openxmlformats.org/officeDocument/2006/relationships/customXml" Target="../customXml/item1.xml"/><Relationship Id="rId212" Type="http://schemas.openxmlformats.org/officeDocument/2006/relationships/hyperlink" Target="https://www.lovemyhood.ca/en/tools-money/get-money.aspx" TargetMode="External"/><Relationship Id="rId233" Type="http://schemas.openxmlformats.org/officeDocument/2006/relationships/hyperlink" Target="https://www.ahuri.edu.au/__data/assets/pdf_file/0018/3087/AHURI_RAP_Issue_168_Neighbourhood-renewal-programs-produce-substantial-non-housing-benefits.pdf" TargetMode="External"/><Relationship Id="rId28" Type="http://schemas.openxmlformats.org/officeDocument/2006/relationships/hyperlink" Target="https://en.unesco.org/creative-cities/home" TargetMode="External"/><Relationship Id="rId49" Type="http://schemas.openxmlformats.org/officeDocument/2006/relationships/hyperlink" Target="https://www.education.vic.gov.au/skillsfirst/Documents/SkillsFirstFactSheets/SkillsFirstFactSheetRegional.pdf" TargetMode="External"/><Relationship Id="rId114" Type="http://schemas.openxmlformats.org/officeDocument/2006/relationships/hyperlink" Target="https://auc-word-edit.officeapps.live.com/we/wordeditorframe.aspx?ui=en%2DUS&amp;rs=en%2DUS&amp;wopisrc=https%3A%2F%2Fdeakin365.sharepoint.com%2Fsites%2Fhomeproject%2F_vti_bin%2Fwopi.ashx%2Ffiles%2Fee3243fa898e4ee1987cb654eabc8699&amp;wdlor=cBC8787E3%2d204A%2d4AA5%2dB040%2d80568FC59DA1&amp;wdenableroaming=1&amp;mscc=1&amp;hid=F228BB9F-1093-C000-0119-5FE218DF465B&amp;wdorigin=Other&amp;jsapi=1&amp;jsapiver=v1&amp;newsession=1&amp;corrid=e01d5163-e433-4ab9-85c7-e8d356e23392&amp;usid=e01d5163-e433-4ab9-85c7-e8d356e23392&amp;sftc=1&amp;mtf=1&amp;instantedit=1&amp;wopicomplete=1&amp;wdredirectionreason=Unified_SingleFlush&amp;rct=Medium&amp;ctp=LeastProtected" TargetMode="External"/><Relationship Id="rId60" Type="http://schemas.openxmlformats.org/officeDocument/2006/relationships/hyperlink" Target="https://www.planning.vic.gov.au/policy-and-strategy/urban-design/urban-design-charter" TargetMode="External"/><Relationship Id="rId81" Type="http://schemas.openxmlformats.org/officeDocument/2006/relationships/hyperlink" Target="https://static1.squarespace.com/static/5760a8092fe131e4665fdf19/t/593a549fe4fcb52e4850e953/1496995037154/Formative+evaluation+of+Dabble+%27n%27+Dance.pdf" TargetMode="External"/><Relationship Id="rId135" Type="http://schemas.openxmlformats.org/officeDocument/2006/relationships/hyperlink" Target="https://www.geelongaustralia.com.au/clevercreative/default.aspx" TargetMode="External"/><Relationship Id="rId156" Type="http://schemas.openxmlformats.org/officeDocument/2006/relationships/hyperlink" Target="http://www.regionalaustralia.org.au/home/wp-content/uploads/2019/05/190506_PolicyHack_Summary_Final.pdf" TargetMode="External"/><Relationship Id="rId177" Type="http://schemas.openxmlformats.org/officeDocument/2006/relationships/hyperlink" Target="https://www.dtf.vic.gov.au/state-budget/2020-21-state-budget" TargetMode="External"/><Relationship Id="rId198" Type="http://schemas.openxmlformats.org/officeDocument/2006/relationships/hyperlink" Target="https://www.dundeecity.gov.uk/sites/default/files/publications/dundee_economic_profile_2019.pdf" TargetMode="External"/><Relationship Id="rId202" Type="http://schemas.openxmlformats.org/officeDocument/2006/relationships/hyperlink" Target="https://festivalofneighbourhoods.ca/tools-resources-and-advice/" TargetMode="External"/><Relationship Id="rId223" Type="http://schemas.openxmlformats.org/officeDocument/2006/relationships/hyperlink" Target="http://epress.lib.uts.edu.au/ojs/index.php/cjlg" TargetMode="External"/><Relationship Id="rId18" Type="http://schemas.openxmlformats.org/officeDocument/2006/relationships/footer" Target="footer2.xml"/><Relationship Id="rId39" Type="http://schemas.openxmlformats.org/officeDocument/2006/relationships/hyperlink" Target="https://www1.health.gov.au/internet/main/publishing.nsf/Content/national-strategic-framework-rural-remote-health" TargetMode="External"/><Relationship Id="rId50" Type="http://schemas.openxmlformats.org/officeDocument/2006/relationships/hyperlink" Target="https://www.education.vic.gov.au/training/providers/funding/Pages/rst.aspx" TargetMode="External"/><Relationship Id="rId104" Type="http://schemas.openxmlformats.org/officeDocument/2006/relationships/chart" Target="charts/chart2.xml"/><Relationship Id="rId125" Type="http://schemas.openxmlformats.org/officeDocument/2006/relationships/hyperlink" Target="https://www.regional.gov.au/regional/publications/regions_2030/" TargetMode="External"/><Relationship Id="rId146" Type="http://schemas.openxmlformats.org/officeDocument/2006/relationships/hyperlink" Target="https://ssrn.com/abstract=2480085" TargetMode="External"/><Relationship Id="rId167" Type="http://schemas.openxmlformats.org/officeDocument/2006/relationships/hyperlink" Target="https://www.dtf.vic.gov.au/funds-programs-and-policies/partnerships-addressing-disadvantage" TargetMode="External"/><Relationship Id="rId188" Type="http://schemas.openxmlformats.org/officeDocument/2006/relationships/hyperlink" Target="https://aifs.gov.au/publications/family-matters/issue-84/placed-based-approaches-addressing-disadvantage" TargetMode="External"/><Relationship Id="rId71" Type="http://schemas.openxmlformats.org/officeDocument/2006/relationships/hyperlink" Target="https://www.geelongaustralia.com.au/clevercreative/default.aspx" TargetMode="External"/><Relationship Id="rId92" Type="http://schemas.openxmlformats.org/officeDocument/2006/relationships/hyperlink" Target="https://jessvech.files.wordpress.com/2014/05/bbz-design-sprint-evaluation-report.pdf" TargetMode="External"/><Relationship Id="rId213" Type="http://schemas.openxmlformats.org/officeDocument/2006/relationships/hyperlink" Target="https://www.lovemyhood.ca/en/resourcesGeneral/Documents/CSD_NDO_State_Of_Kitchener_Neighbourhoods_Report_2017_Accessible.pdf" TargetMode="External"/><Relationship Id="rId234"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hyperlink" Target="https://www.dese.gov.au/indigenous-education/resources/national-aboriginal-and-torres-strait-islander-education-strategy-2015" TargetMode="External"/><Relationship Id="rId40" Type="http://schemas.openxmlformats.org/officeDocument/2006/relationships/hyperlink" Target="https://www1.health.gov.au/internet/main/publishing.nsf/Content/stronger-rural-health-strategy-factsheets" TargetMode="External"/><Relationship Id="rId115" Type="http://schemas.openxmlformats.org/officeDocument/2006/relationships/hyperlink" Target="https://auc-word-edit.officeapps.live.com/we/wordeditorframe.aspx?ui=en%2DUS&amp;rs=en%2DUS&amp;wopisrc=https%3A%2F%2Fdeakin365.sharepoint.com%2Fsites%2Fhomeproject%2F_vti_bin%2Fwopi.ashx%2Ffiles%2Fee3243fa898e4ee1987cb654eabc8699&amp;wdlor=cBC8787E3%2d204A%2d4AA5%2dB040%2d80568FC59DA1&amp;wdenableroaming=1&amp;mscc=1&amp;hid=F228BB9F-1093-C000-0119-5FE218DF465B&amp;wdorigin=Other&amp;jsapi=1&amp;jsapiver=v1&amp;newsession=1&amp;corrid=e01d5163-e433-4ab9-85c7-e8d356e23392&amp;usid=e01d5163-e433-4ab9-85c7-e8d356e23392&amp;sftc=1&amp;mtf=1&amp;instantedit=1&amp;wopicomplete=1&amp;wdredirectionreason=Unified_SingleFlush&amp;rct=Medium&amp;ctp=LeastProtected" TargetMode="External"/><Relationship Id="rId136" Type="http://schemas.openxmlformats.org/officeDocument/2006/relationships/hyperlink" Target="https://www.geelongaustralia.com.au/sip/default.aspx" TargetMode="External"/><Relationship Id="rId157" Type="http://schemas.openxmlformats.org/officeDocument/2006/relationships/hyperlink" Target="https://profile.id.com.au/g21-region/population" TargetMode="External"/><Relationship Id="rId178" Type="http://schemas.openxmlformats.org/officeDocument/2006/relationships/hyperlink" Target="https://www.planning.vic.gov.au/policy-and-strategy/urban-design/urban-design-guidelines" TargetMode="External"/><Relationship Id="rId61" Type="http://schemas.openxmlformats.org/officeDocument/2006/relationships/hyperlink" Target="https://www.urban-design-guidelines.planning.vic.gov.au/?_ga=2.218117337.1794775746.1610515334-1917096208.1610515334" TargetMode="External"/><Relationship Id="rId82" Type="http://schemas.openxmlformats.org/officeDocument/2006/relationships/hyperlink" Target="https://static1.squarespace.com/static/5760a8092fe131e4665fdf19/t/593a535337c5810286ebeabd/1496994669224/Evaluating+a+supported+nature+play+programme+parents+perspectives.pdf" TargetMode="External"/><Relationship Id="rId199" Type="http://schemas.openxmlformats.org/officeDocument/2006/relationships/hyperlink" Target="https://www.feierabendmusic.org/john-feierabend/" TargetMode="External"/><Relationship Id="rId203" Type="http://schemas.openxmlformats.org/officeDocument/2006/relationships/hyperlink" Target="https://minerva-access.unimelb.edu.au/bitstream/handle/11343/237459/fbd777ae-aaa4-e911-94a6-0050568d7800_200314_Final_v2.0.pdf" TargetMode="External"/><Relationship Id="rId19" Type="http://schemas.openxmlformats.org/officeDocument/2006/relationships/footer" Target="footer3.xml"/><Relationship Id="rId224" Type="http://schemas.openxmlformats.org/officeDocument/2006/relationships/hyperlink" Target="https://aifs.gov.au/cfca/sites/default/files/publication-documents/45_collective_impact_in_australia_0.pdf" TargetMode="External"/><Relationship Id="rId30" Type="http://schemas.openxmlformats.org/officeDocument/2006/relationships/hyperlink" Target="https://www.dese.gov.au/uncategorised/resources/national-regional-rural-and-remote-tertiary-education-strategy-final-report" TargetMode="External"/><Relationship Id="rId105" Type="http://schemas.openxmlformats.org/officeDocument/2006/relationships/chart" Target="charts/chart3.xml"/><Relationship Id="rId126" Type="http://schemas.openxmlformats.org/officeDocument/2006/relationships/hyperlink" Target="https://www.dss.gov.au/our-responsibilities/housing-support/programmes-services/national-rental-affordability-scheme" TargetMode="External"/><Relationship Id="rId147" Type="http://schemas.openxmlformats.org/officeDocument/2006/relationships/hyperlink" Target="https://grow.g21.com.au/" TargetMode="External"/><Relationship Id="rId168" Type="http://schemas.openxmlformats.org/officeDocument/2006/relationships/hyperlink" Target="https://www.education.vic.gov.au/training/providers/funding/Pages/skillsfirst.aspx?Redirect=1" TargetMode="External"/><Relationship Id="rId51" Type="http://schemas.openxmlformats.org/officeDocument/2006/relationships/hyperlink" Target="https://www.vic.gov.au/regional-investment" TargetMode="External"/><Relationship Id="rId72" Type="http://schemas.openxmlformats.org/officeDocument/2006/relationships/hyperlink" Target="https://g21.com.au/wp-content/uploads/2020/08/14.11_geelong_region_plan_fnl_webv2.pdf" TargetMode="External"/><Relationship Id="rId93" Type="http://schemas.openxmlformats.org/officeDocument/2006/relationships/hyperlink" Target="https://cfon.issuelab.org/resource/best-babies-zone-year-6-evaluation-report.html" TargetMode="External"/><Relationship Id="rId189" Type="http://schemas.openxmlformats.org/officeDocument/2006/relationships/hyperlink" Target="https://creative.vic.gov.au/__data/assets/pdf_file/0010/56359/The_Arts_Ripple_Effect_Valuing_the_Arts_in_Communities-2.pdf" TargetMode="External"/><Relationship Id="rId3" Type="http://schemas.openxmlformats.org/officeDocument/2006/relationships/customXml" Target="../customXml/item3.xml"/><Relationship Id="rId214" Type="http://schemas.openxmlformats.org/officeDocument/2006/relationships/hyperlink" Target="http://103.29.173.124/CA2573450006E09E/Lookup/2015maryboroughcommplanFINALweb/$file/2015maryboroughcommplanFINAL.pdf" TargetMode="External"/><Relationship Id="rId235" Type="http://schemas.openxmlformats.org/officeDocument/2006/relationships/image" Target="media/image16.png"/><Relationship Id="rId116" Type="http://schemas.openxmlformats.org/officeDocument/2006/relationships/hyperlink" Target="https://www.business.gov.au/Grants-and-Programs/Regional-Jobs-and-Investment-Packages-RJIP" TargetMode="External"/><Relationship Id="rId137" Type="http://schemas.openxmlformats.org/officeDocument/2006/relationships/hyperlink" Target="https://www.mentalhealthcommission.gov.au/getmedia/0209d27b-1873-4245-b6e5-49e770084b81/Fifth-National-Mental-Health-and-Suicide-Prevention-Plan.pdf%20Accessed%2027.1.21" TargetMode="External"/><Relationship Id="rId158" Type="http://schemas.openxmlformats.org/officeDocument/2006/relationships/hyperlink" Target="https://www.aph.gov.au/Parliamentary_Business/Committees/House/Former_Committees/Regional_Development_and_Decentralisation/RDD/Final_Report" TargetMode="External"/><Relationship Id="rId20" Type="http://schemas.openxmlformats.org/officeDocument/2006/relationships/hyperlink" Target="https://jobs.vic.gov.au/about-jobs-victoria/our-programs/jobs-victoria-fund" TargetMode="External"/><Relationship Id="rId41" Type="http://schemas.openxmlformats.org/officeDocument/2006/relationships/hyperlink" Target="https://www1.health.gov.au/internet/main/publishing.nsf/Content/national-preventive-health-strategy" TargetMode="External"/><Relationship Id="rId62" Type="http://schemas.openxmlformats.org/officeDocument/2006/relationships/hyperlink" Target="https://www.socialventures.com.au/work/leadership-program-review/" TargetMode="External"/><Relationship Id="rId83" Type="http://schemas.openxmlformats.org/officeDocument/2006/relationships/hyperlink" Target="https://grow.g21.com.au/wp-content/uploads/pdf/GROW-Review-Report-FINAL-JUNE-2019.pdf" TargetMode="External"/><Relationship Id="rId179" Type="http://schemas.openxmlformats.org/officeDocument/2006/relationships/hyperlink" Target="https://www.coronavirus.vic.gov.au/renting-laws-and-support-during-coronavirus-covid-19-pandemic"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housing.id.com.au/geelong/affodablility-and-availabilit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eakin365-my.sharepoint.com/personal/jerry_liang_deakin_edu_au/Documents/Documents/research/Vital%20Community/Hedonic%20Index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eakin365-my.sharepoint.com/personal/jerry_liang_deakin_edu_au/Documents/Documents/research/Vital%20Community/Hedonic%20Index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eakin365-my.sharepoint.com/personal/jerry_liang_deakin_edu_au/Documents/Documents/research/Vital%20Community/Hedonic%20Index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eakin365-my.sharepoint.com/personal/jerry_liang_deakin_edu_au/Documents/Documents/research/Vital%20Community/Hedonic%20Index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House Price Hedonic Index</a:t>
            </a:r>
            <a:endParaRPr lang="en-A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'[Hedonic Indexes.xlsx]House Price Hedonic Index'!$J$1</c:f>
              <c:strCache>
                <c:ptCount val="1"/>
                <c:pt idx="0">
                  <c:v>VIC</c:v>
                </c:pt>
              </c:strCache>
            </c:strRef>
          </c:tx>
          <c:spPr>
            <a:ln w="28575" cap="rnd">
              <a:solidFill>
                <a:schemeClr val="accent1"/>
              </a:solidFill>
              <a:round/>
            </a:ln>
            <a:effectLst/>
          </c:spPr>
          <c:marker>
            <c:symbol val="none"/>
          </c:marker>
          <c:cat>
            <c:numRef>
              <c:f>'[Hedonic Indexes.xlsx]House Price Hedonic Index'!$I$2:$I$71</c:f>
              <c:numCache>
                <c:formatCode>General</c:formatCode>
                <c:ptCount val="70"/>
                <c:pt idx="0">
                  <c:v>201501</c:v>
                </c:pt>
                <c:pt idx="1">
                  <c:v>201502</c:v>
                </c:pt>
                <c:pt idx="2">
                  <c:v>201503</c:v>
                </c:pt>
                <c:pt idx="3">
                  <c:v>201504</c:v>
                </c:pt>
                <c:pt idx="4">
                  <c:v>201505</c:v>
                </c:pt>
                <c:pt idx="5">
                  <c:v>201506</c:v>
                </c:pt>
                <c:pt idx="6">
                  <c:v>201507</c:v>
                </c:pt>
                <c:pt idx="7">
                  <c:v>201508</c:v>
                </c:pt>
                <c:pt idx="8">
                  <c:v>201509</c:v>
                </c:pt>
                <c:pt idx="9">
                  <c:v>201510</c:v>
                </c:pt>
                <c:pt idx="10">
                  <c:v>201511</c:v>
                </c:pt>
                <c:pt idx="11">
                  <c:v>201512</c:v>
                </c:pt>
                <c:pt idx="12">
                  <c:v>201601</c:v>
                </c:pt>
                <c:pt idx="13">
                  <c:v>201602</c:v>
                </c:pt>
                <c:pt idx="14">
                  <c:v>201603</c:v>
                </c:pt>
                <c:pt idx="15">
                  <c:v>201604</c:v>
                </c:pt>
                <c:pt idx="16">
                  <c:v>201605</c:v>
                </c:pt>
                <c:pt idx="17">
                  <c:v>201606</c:v>
                </c:pt>
                <c:pt idx="18">
                  <c:v>201607</c:v>
                </c:pt>
                <c:pt idx="19">
                  <c:v>201608</c:v>
                </c:pt>
                <c:pt idx="20">
                  <c:v>201609</c:v>
                </c:pt>
                <c:pt idx="21">
                  <c:v>201610</c:v>
                </c:pt>
                <c:pt idx="22">
                  <c:v>201611</c:v>
                </c:pt>
                <c:pt idx="23">
                  <c:v>201612</c:v>
                </c:pt>
                <c:pt idx="24">
                  <c:v>201701</c:v>
                </c:pt>
                <c:pt idx="25">
                  <c:v>201702</c:v>
                </c:pt>
                <c:pt idx="26">
                  <c:v>201703</c:v>
                </c:pt>
                <c:pt idx="27">
                  <c:v>201704</c:v>
                </c:pt>
                <c:pt idx="28">
                  <c:v>201705</c:v>
                </c:pt>
                <c:pt idx="29">
                  <c:v>201706</c:v>
                </c:pt>
                <c:pt idx="30">
                  <c:v>201707</c:v>
                </c:pt>
                <c:pt idx="31">
                  <c:v>201708</c:v>
                </c:pt>
                <c:pt idx="32">
                  <c:v>201709</c:v>
                </c:pt>
                <c:pt idx="33">
                  <c:v>201710</c:v>
                </c:pt>
                <c:pt idx="34">
                  <c:v>201711</c:v>
                </c:pt>
                <c:pt idx="35">
                  <c:v>201712</c:v>
                </c:pt>
                <c:pt idx="36">
                  <c:v>201801</c:v>
                </c:pt>
                <c:pt idx="37">
                  <c:v>201802</c:v>
                </c:pt>
                <c:pt idx="38">
                  <c:v>201803</c:v>
                </c:pt>
                <c:pt idx="39">
                  <c:v>201804</c:v>
                </c:pt>
                <c:pt idx="40">
                  <c:v>201805</c:v>
                </c:pt>
                <c:pt idx="41">
                  <c:v>201806</c:v>
                </c:pt>
                <c:pt idx="42">
                  <c:v>201807</c:v>
                </c:pt>
                <c:pt idx="43">
                  <c:v>201808</c:v>
                </c:pt>
                <c:pt idx="44">
                  <c:v>201809</c:v>
                </c:pt>
                <c:pt idx="45">
                  <c:v>201810</c:v>
                </c:pt>
                <c:pt idx="46">
                  <c:v>201811</c:v>
                </c:pt>
                <c:pt idx="47">
                  <c:v>201812</c:v>
                </c:pt>
                <c:pt idx="48">
                  <c:v>201901</c:v>
                </c:pt>
                <c:pt idx="49">
                  <c:v>201902</c:v>
                </c:pt>
                <c:pt idx="50">
                  <c:v>201903</c:v>
                </c:pt>
                <c:pt idx="51">
                  <c:v>201904</c:v>
                </c:pt>
                <c:pt idx="52">
                  <c:v>201905</c:v>
                </c:pt>
                <c:pt idx="53">
                  <c:v>201906</c:v>
                </c:pt>
                <c:pt idx="54">
                  <c:v>201907</c:v>
                </c:pt>
                <c:pt idx="55">
                  <c:v>201908</c:v>
                </c:pt>
                <c:pt idx="56">
                  <c:v>201909</c:v>
                </c:pt>
                <c:pt idx="57">
                  <c:v>201910</c:v>
                </c:pt>
                <c:pt idx="58">
                  <c:v>201911</c:v>
                </c:pt>
                <c:pt idx="59">
                  <c:v>201912</c:v>
                </c:pt>
                <c:pt idx="60">
                  <c:v>202001</c:v>
                </c:pt>
                <c:pt idx="61">
                  <c:v>202002</c:v>
                </c:pt>
                <c:pt idx="62">
                  <c:v>202003</c:v>
                </c:pt>
                <c:pt idx="63">
                  <c:v>202004</c:v>
                </c:pt>
                <c:pt idx="64">
                  <c:v>202005</c:v>
                </c:pt>
                <c:pt idx="65">
                  <c:v>202006</c:v>
                </c:pt>
                <c:pt idx="66">
                  <c:v>202007</c:v>
                </c:pt>
                <c:pt idx="67">
                  <c:v>202008</c:v>
                </c:pt>
                <c:pt idx="68">
                  <c:v>202009</c:v>
                </c:pt>
                <c:pt idx="69">
                  <c:v>202010</c:v>
                </c:pt>
              </c:numCache>
            </c:numRef>
          </c:cat>
          <c:val>
            <c:numRef>
              <c:f>'[Hedonic Indexes.xlsx]House Price Hedonic Index'!$J$2:$J$71</c:f>
              <c:numCache>
                <c:formatCode>General</c:formatCode>
                <c:ptCount val="70"/>
                <c:pt idx="0">
                  <c:v>100</c:v>
                </c:pt>
                <c:pt idx="1">
                  <c:v>103.246</c:v>
                </c:pt>
                <c:pt idx="2">
                  <c:v>103.8933</c:v>
                </c:pt>
                <c:pt idx="3">
                  <c:v>104.2286</c:v>
                </c:pt>
                <c:pt idx="4">
                  <c:v>105.3343</c:v>
                </c:pt>
                <c:pt idx="5">
                  <c:v>106.13</c:v>
                </c:pt>
                <c:pt idx="6">
                  <c:v>106.9686</c:v>
                </c:pt>
                <c:pt idx="7">
                  <c:v>107.80710000000001</c:v>
                </c:pt>
                <c:pt idx="8">
                  <c:v>108.2371</c:v>
                </c:pt>
                <c:pt idx="9">
                  <c:v>108.53570000000001</c:v>
                </c:pt>
                <c:pt idx="10">
                  <c:v>109.20140000000001</c:v>
                </c:pt>
                <c:pt idx="11">
                  <c:v>109.6957</c:v>
                </c:pt>
                <c:pt idx="12">
                  <c:v>110.1771</c:v>
                </c:pt>
                <c:pt idx="13">
                  <c:v>110.56570000000001</c:v>
                </c:pt>
                <c:pt idx="14">
                  <c:v>111.0257</c:v>
                </c:pt>
                <c:pt idx="15">
                  <c:v>111.4171</c:v>
                </c:pt>
                <c:pt idx="16">
                  <c:v>112.1429</c:v>
                </c:pt>
                <c:pt idx="17">
                  <c:v>112.87139999999999</c:v>
                </c:pt>
                <c:pt idx="18">
                  <c:v>113.7714</c:v>
                </c:pt>
                <c:pt idx="19">
                  <c:v>114.7714</c:v>
                </c:pt>
                <c:pt idx="20">
                  <c:v>115.7714</c:v>
                </c:pt>
                <c:pt idx="21">
                  <c:v>116.5429</c:v>
                </c:pt>
                <c:pt idx="22">
                  <c:v>117.8</c:v>
                </c:pt>
                <c:pt idx="23">
                  <c:v>119.0714</c:v>
                </c:pt>
                <c:pt idx="24">
                  <c:v>120.17140000000001</c:v>
                </c:pt>
                <c:pt idx="25">
                  <c:v>121.25709999999999</c:v>
                </c:pt>
                <c:pt idx="26">
                  <c:v>122.4714</c:v>
                </c:pt>
                <c:pt idx="27">
                  <c:v>123.2714</c:v>
                </c:pt>
                <c:pt idx="28">
                  <c:v>124.48569999999999</c:v>
                </c:pt>
                <c:pt idx="29">
                  <c:v>125.48569999999999</c:v>
                </c:pt>
                <c:pt idx="30">
                  <c:v>126.3429</c:v>
                </c:pt>
                <c:pt idx="31">
                  <c:v>127.2286</c:v>
                </c:pt>
                <c:pt idx="32">
                  <c:v>127.9714</c:v>
                </c:pt>
                <c:pt idx="33">
                  <c:v>128.25710000000001</c:v>
                </c:pt>
                <c:pt idx="34">
                  <c:v>128.98570000000001</c:v>
                </c:pt>
                <c:pt idx="35">
                  <c:v>129.5857</c:v>
                </c:pt>
                <c:pt idx="36">
                  <c:v>129.8571</c:v>
                </c:pt>
                <c:pt idx="37">
                  <c:v>129.97139999999999</c:v>
                </c:pt>
                <c:pt idx="38">
                  <c:v>129.78569999999999</c:v>
                </c:pt>
                <c:pt idx="39">
                  <c:v>129.4</c:v>
                </c:pt>
                <c:pt idx="40">
                  <c:v>129.1</c:v>
                </c:pt>
                <c:pt idx="41">
                  <c:v>128.61429999999999</c:v>
                </c:pt>
                <c:pt idx="42">
                  <c:v>127.82859999999999</c:v>
                </c:pt>
                <c:pt idx="43">
                  <c:v>126.9714</c:v>
                </c:pt>
                <c:pt idx="44">
                  <c:v>126.01430000000001</c:v>
                </c:pt>
                <c:pt idx="45">
                  <c:v>125.6</c:v>
                </c:pt>
                <c:pt idx="46">
                  <c:v>125.5</c:v>
                </c:pt>
                <c:pt idx="47">
                  <c:v>125.2286</c:v>
                </c:pt>
                <c:pt idx="48">
                  <c:v>125.0286</c:v>
                </c:pt>
                <c:pt idx="49">
                  <c:v>124.98569999999999</c:v>
                </c:pt>
                <c:pt idx="50">
                  <c:v>125.2</c:v>
                </c:pt>
                <c:pt idx="51">
                  <c:v>125.74290000000001</c:v>
                </c:pt>
                <c:pt idx="52">
                  <c:v>126.1</c:v>
                </c:pt>
                <c:pt idx="53">
                  <c:v>126.5857</c:v>
                </c:pt>
                <c:pt idx="54">
                  <c:v>127.4571</c:v>
                </c:pt>
                <c:pt idx="55">
                  <c:v>128.42859999999999</c:v>
                </c:pt>
                <c:pt idx="56">
                  <c:v>129.42859999999999</c:v>
                </c:pt>
                <c:pt idx="57">
                  <c:v>130.65710000000001</c:v>
                </c:pt>
                <c:pt idx="58">
                  <c:v>131.80000000000001</c:v>
                </c:pt>
                <c:pt idx="59">
                  <c:v>132.55709999999999</c:v>
                </c:pt>
                <c:pt idx="60">
                  <c:v>132.52860000000001</c:v>
                </c:pt>
                <c:pt idx="61">
                  <c:v>132.5857</c:v>
                </c:pt>
                <c:pt idx="62">
                  <c:v>132.8143</c:v>
                </c:pt>
                <c:pt idx="63">
                  <c:v>133.0429</c:v>
                </c:pt>
                <c:pt idx="64">
                  <c:v>133.17140000000001</c:v>
                </c:pt>
                <c:pt idx="65">
                  <c:v>133.52860000000001</c:v>
                </c:pt>
                <c:pt idx="66">
                  <c:v>134.02860000000001</c:v>
                </c:pt>
                <c:pt idx="67">
                  <c:v>134.6833</c:v>
                </c:pt>
                <c:pt idx="68">
                  <c:v>135.34</c:v>
                </c:pt>
                <c:pt idx="69">
                  <c:v>135.80000000000001</c:v>
                </c:pt>
              </c:numCache>
            </c:numRef>
          </c:val>
          <c:smooth val="0"/>
          <c:extLst>
            <c:ext xmlns:c16="http://schemas.microsoft.com/office/drawing/2014/chart" uri="{C3380CC4-5D6E-409C-BE32-E72D297353CC}">
              <c16:uniqueId val="{00000000-48C4-4946-9ACB-36AF0C697764}"/>
            </c:ext>
          </c:extLst>
        </c:ser>
        <c:ser>
          <c:idx val="1"/>
          <c:order val="1"/>
          <c:tx>
            <c:strRef>
              <c:f>'[Hedonic Indexes.xlsx]House Price Hedonic Index'!$K$1</c:f>
              <c:strCache>
                <c:ptCount val="1"/>
                <c:pt idx="0">
                  <c:v>GreaterMelbourne</c:v>
                </c:pt>
              </c:strCache>
            </c:strRef>
          </c:tx>
          <c:spPr>
            <a:ln w="28575" cap="rnd">
              <a:solidFill>
                <a:schemeClr val="accent2"/>
              </a:solidFill>
              <a:round/>
            </a:ln>
            <a:effectLst/>
          </c:spPr>
          <c:marker>
            <c:symbol val="none"/>
          </c:marker>
          <c:cat>
            <c:numRef>
              <c:f>'[Hedonic Indexes.xlsx]House Price Hedonic Index'!$I$2:$I$71</c:f>
              <c:numCache>
                <c:formatCode>General</c:formatCode>
                <c:ptCount val="70"/>
                <c:pt idx="0">
                  <c:v>201501</c:v>
                </c:pt>
                <c:pt idx="1">
                  <c:v>201502</c:v>
                </c:pt>
                <c:pt idx="2">
                  <c:v>201503</c:v>
                </c:pt>
                <c:pt idx="3">
                  <c:v>201504</c:v>
                </c:pt>
                <c:pt idx="4">
                  <c:v>201505</c:v>
                </c:pt>
                <c:pt idx="5">
                  <c:v>201506</c:v>
                </c:pt>
                <c:pt idx="6">
                  <c:v>201507</c:v>
                </c:pt>
                <c:pt idx="7">
                  <c:v>201508</c:v>
                </c:pt>
                <c:pt idx="8">
                  <c:v>201509</c:v>
                </c:pt>
                <c:pt idx="9">
                  <c:v>201510</c:v>
                </c:pt>
                <c:pt idx="10">
                  <c:v>201511</c:v>
                </c:pt>
                <c:pt idx="11">
                  <c:v>201512</c:v>
                </c:pt>
                <c:pt idx="12">
                  <c:v>201601</c:v>
                </c:pt>
                <c:pt idx="13">
                  <c:v>201602</c:v>
                </c:pt>
                <c:pt idx="14">
                  <c:v>201603</c:v>
                </c:pt>
                <c:pt idx="15">
                  <c:v>201604</c:v>
                </c:pt>
                <c:pt idx="16">
                  <c:v>201605</c:v>
                </c:pt>
                <c:pt idx="17">
                  <c:v>201606</c:v>
                </c:pt>
                <c:pt idx="18">
                  <c:v>201607</c:v>
                </c:pt>
                <c:pt idx="19">
                  <c:v>201608</c:v>
                </c:pt>
                <c:pt idx="20">
                  <c:v>201609</c:v>
                </c:pt>
                <c:pt idx="21">
                  <c:v>201610</c:v>
                </c:pt>
                <c:pt idx="22">
                  <c:v>201611</c:v>
                </c:pt>
                <c:pt idx="23">
                  <c:v>201612</c:v>
                </c:pt>
                <c:pt idx="24">
                  <c:v>201701</c:v>
                </c:pt>
                <c:pt idx="25">
                  <c:v>201702</c:v>
                </c:pt>
                <c:pt idx="26">
                  <c:v>201703</c:v>
                </c:pt>
                <c:pt idx="27">
                  <c:v>201704</c:v>
                </c:pt>
                <c:pt idx="28">
                  <c:v>201705</c:v>
                </c:pt>
                <c:pt idx="29">
                  <c:v>201706</c:v>
                </c:pt>
                <c:pt idx="30">
                  <c:v>201707</c:v>
                </c:pt>
                <c:pt idx="31">
                  <c:v>201708</c:v>
                </c:pt>
                <c:pt idx="32">
                  <c:v>201709</c:v>
                </c:pt>
                <c:pt idx="33">
                  <c:v>201710</c:v>
                </c:pt>
                <c:pt idx="34">
                  <c:v>201711</c:v>
                </c:pt>
                <c:pt idx="35">
                  <c:v>201712</c:v>
                </c:pt>
                <c:pt idx="36">
                  <c:v>201801</c:v>
                </c:pt>
                <c:pt idx="37">
                  <c:v>201802</c:v>
                </c:pt>
                <c:pt idx="38">
                  <c:v>201803</c:v>
                </c:pt>
                <c:pt idx="39">
                  <c:v>201804</c:v>
                </c:pt>
                <c:pt idx="40">
                  <c:v>201805</c:v>
                </c:pt>
                <c:pt idx="41">
                  <c:v>201806</c:v>
                </c:pt>
                <c:pt idx="42">
                  <c:v>201807</c:v>
                </c:pt>
                <c:pt idx="43">
                  <c:v>201808</c:v>
                </c:pt>
                <c:pt idx="44">
                  <c:v>201809</c:v>
                </c:pt>
                <c:pt idx="45">
                  <c:v>201810</c:v>
                </c:pt>
                <c:pt idx="46">
                  <c:v>201811</c:v>
                </c:pt>
                <c:pt idx="47">
                  <c:v>201812</c:v>
                </c:pt>
                <c:pt idx="48">
                  <c:v>201901</c:v>
                </c:pt>
                <c:pt idx="49">
                  <c:v>201902</c:v>
                </c:pt>
                <c:pt idx="50">
                  <c:v>201903</c:v>
                </c:pt>
                <c:pt idx="51">
                  <c:v>201904</c:v>
                </c:pt>
                <c:pt idx="52">
                  <c:v>201905</c:v>
                </c:pt>
                <c:pt idx="53">
                  <c:v>201906</c:v>
                </c:pt>
                <c:pt idx="54">
                  <c:v>201907</c:v>
                </c:pt>
                <c:pt idx="55">
                  <c:v>201908</c:v>
                </c:pt>
                <c:pt idx="56">
                  <c:v>201909</c:v>
                </c:pt>
                <c:pt idx="57">
                  <c:v>201910</c:v>
                </c:pt>
                <c:pt idx="58">
                  <c:v>201911</c:v>
                </c:pt>
                <c:pt idx="59">
                  <c:v>201912</c:v>
                </c:pt>
                <c:pt idx="60">
                  <c:v>202001</c:v>
                </c:pt>
                <c:pt idx="61">
                  <c:v>202002</c:v>
                </c:pt>
                <c:pt idx="62">
                  <c:v>202003</c:v>
                </c:pt>
                <c:pt idx="63">
                  <c:v>202004</c:v>
                </c:pt>
                <c:pt idx="64">
                  <c:v>202005</c:v>
                </c:pt>
                <c:pt idx="65">
                  <c:v>202006</c:v>
                </c:pt>
                <c:pt idx="66">
                  <c:v>202007</c:v>
                </c:pt>
                <c:pt idx="67">
                  <c:v>202008</c:v>
                </c:pt>
                <c:pt idx="68">
                  <c:v>202009</c:v>
                </c:pt>
                <c:pt idx="69">
                  <c:v>202010</c:v>
                </c:pt>
              </c:numCache>
            </c:numRef>
          </c:cat>
          <c:val>
            <c:numRef>
              <c:f>'[Hedonic Indexes.xlsx]House Price Hedonic Index'!$K$2:$K$71</c:f>
              <c:numCache>
                <c:formatCode>General</c:formatCode>
                <c:ptCount val="70"/>
                <c:pt idx="0">
                  <c:v>100</c:v>
                </c:pt>
                <c:pt idx="1">
                  <c:v>104.95399999999999</c:v>
                </c:pt>
                <c:pt idx="2">
                  <c:v>105.8117</c:v>
                </c:pt>
                <c:pt idx="3">
                  <c:v>106.2243</c:v>
                </c:pt>
                <c:pt idx="4">
                  <c:v>107.7671</c:v>
                </c:pt>
                <c:pt idx="5">
                  <c:v>108.8</c:v>
                </c:pt>
                <c:pt idx="6">
                  <c:v>109.8086</c:v>
                </c:pt>
                <c:pt idx="7">
                  <c:v>110.8514</c:v>
                </c:pt>
                <c:pt idx="8">
                  <c:v>111.2286</c:v>
                </c:pt>
                <c:pt idx="9">
                  <c:v>111.48569999999999</c:v>
                </c:pt>
                <c:pt idx="10">
                  <c:v>112.24290000000001</c:v>
                </c:pt>
                <c:pt idx="11">
                  <c:v>112.71429999999999</c:v>
                </c:pt>
                <c:pt idx="12">
                  <c:v>113.2</c:v>
                </c:pt>
                <c:pt idx="13">
                  <c:v>113.67140000000001</c:v>
                </c:pt>
                <c:pt idx="14">
                  <c:v>114.3</c:v>
                </c:pt>
                <c:pt idx="15">
                  <c:v>114.8571</c:v>
                </c:pt>
                <c:pt idx="16">
                  <c:v>115.8143</c:v>
                </c:pt>
                <c:pt idx="17">
                  <c:v>116.74290000000001</c:v>
                </c:pt>
                <c:pt idx="18">
                  <c:v>117.94289999999999</c:v>
                </c:pt>
                <c:pt idx="19">
                  <c:v>119.21429999999999</c:v>
                </c:pt>
                <c:pt idx="20">
                  <c:v>120.3571</c:v>
                </c:pt>
                <c:pt idx="21">
                  <c:v>121.2714</c:v>
                </c:pt>
                <c:pt idx="22">
                  <c:v>122.78570000000001</c:v>
                </c:pt>
                <c:pt idx="23">
                  <c:v>124.4286</c:v>
                </c:pt>
                <c:pt idx="24">
                  <c:v>125.7714</c:v>
                </c:pt>
                <c:pt idx="25">
                  <c:v>127.0429</c:v>
                </c:pt>
                <c:pt idx="26">
                  <c:v>128.4143</c:v>
                </c:pt>
                <c:pt idx="27">
                  <c:v>129.47139999999999</c:v>
                </c:pt>
                <c:pt idx="28">
                  <c:v>130.9571</c:v>
                </c:pt>
                <c:pt idx="29">
                  <c:v>132.17140000000001</c:v>
                </c:pt>
                <c:pt idx="30">
                  <c:v>133.0429</c:v>
                </c:pt>
                <c:pt idx="31">
                  <c:v>134.11429999999999</c:v>
                </c:pt>
                <c:pt idx="32">
                  <c:v>134.92859999999999</c:v>
                </c:pt>
                <c:pt idx="33">
                  <c:v>135.2286</c:v>
                </c:pt>
                <c:pt idx="34">
                  <c:v>136</c:v>
                </c:pt>
                <c:pt idx="35">
                  <c:v>136.48570000000001</c:v>
                </c:pt>
                <c:pt idx="36">
                  <c:v>136.5857</c:v>
                </c:pt>
                <c:pt idx="37">
                  <c:v>136.48570000000001</c:v>
                </c:pt>
                <c:pt idx="38">
                  <c:v>135.9</c:v>
                </c:pt>
                <c:pt idx="39">
                  <c:v>135.1857</c:v>
                </c:pt>
                <c:pt idx="40">
                  <c:v>134.48570000000001</c:v>
                </c:pt>
                <c:pt idx="41">
                  <c:v>133.4571</c:v>
                </c:pt>
                <c:pt idx="42">
                  <c:v>132.1</c:v>
                </c:pt>
                <c:pt idx="43">
                  <c:v>130.69999999999999</c:v>
                </c:pt>
                <c:pt idx="44">
                  <c:v>129.0857</c:v>
                </c:pt>
                <c:pt idx="45">
                  <c:v>128.11429999999999</c:v>
                </c:pt>
                <c:pt idx="46">
                  <c:v>127.8571</c:v>
                </c:pt>
                <c:pt idx="47">
                  <c:v>127.2714</c:v>
                </c:pt>
                <c:pt idx="48">
                  <c:v>126.8</c:v>
                </c:pt>
                <c:pt idx="49">
                  <c:v>126.71429999999999</c:v>
                </c:pt>
                <c:pt idx="50">
                  <c:v>127.0429</c:v>
                </c:pt>
                <c:pt idx="51">
                  <c:v>127.78570000000001</c:v>
                </c:pt>
                <c:pt idx="52">
                  <c:v>128.51429999999999</c:v>
                </c:pt>
                <c:pt idx="53">
                  <c:v>128.98570000000001</c:v>
                </c:pt>
                <c:pt idx="54">
                  <c:v>130.1429</c:v>
                </c:pt>
                <c:pt idx="55">
                  <c:v>131.4143</c:v>
                </c:pt>
                <c:pt idx="56">
                  <c:v>132.5857</c:v>
                </c:pt>
                <c:pt idx="57">
                  <c:v>133.82859999999999</c:v>
                </c:pt>
                <c:pt idx="58">
                  <c:v>135.07140000000001</c:v>
                </c:pt>
                <c:pt idx="59">
                  <c:v>135.6857</c:v>
                </c:pt>
                <c:pt idx="60">
                  <c:v>135.57140000000001</c:v>
                </c:pt>
                <c:pt idx="61">
                  <c:v>135.4571</c:v>
                </c:pt>
                <c:pt idx="62">
                  <c:v>135.5</c:v>
                </c:pt>
                <c:pt idx="63">
                  <c:v>135.57140000000001</c:v>
                </c:pt>
                <c:pt idx="64">
                  <c:v>135.28569999999999</c:v>
                </c:pt>
                <c:pt idx="65">
                  <c:v>135.0428</c:v>
                </c:pt>
                <c:pt idx="66">
                  <c:v>135.4</c:v>
                </c:pt>
                <c:pt idx="67">
                  <c:v>135.83330000000001</c:v>
                </c:pt>
                <c:pt idx="68">
                  <c:v>136.26</c:v>
                </c:pt>
                <c:pt idx="69">
                  <c:v>136.4</c:v>
                </c:pt>
              </c:numCache>
            </c:numRef>
          </c:val>
          <c:smooth val="0"/>
          <c:extLst>
            <c:ext xmlns:c16="http://schemas.microsoft.com/office/drawing/2014/chart" uri="{C3380CC4-5D6E-409C-BE32-E72D297353CC}">
              <c16:uniqueId val="{00000001-48C4-4946-9ACB-36AF0C697764}"/>
            </c:ext>
          </c:extLst>
        </c:ser>
        <c:ser>
          <c:idx val="2"/>
          <c:order val="2"/>
          <c:tx>
            <c:strRef>
              <c:f>'[Hedonic Indexes.xlsx]House Price Hedonic Index'!$L$1</c:f>
              <c:strCache>
                <c:ptCount val="1"/>
                <c:pt idx="0">
                  <c:v>RegionalVIC</c:v>
                </c:pt>
              </c:strCache>
            </c:strRef>
          </c:tx>
          <c:spPr>
            <a:ln w="28575" cap="rnd">
              <a:solidFill>
                <a:schemeClr val="accent3"/>
              </a:solidFill>
              <a:round/>
            </a:ln>
            <a:effectLst/>
          </c:spPr>
          <c:marker>
            <c:symbol val="none"/>
          </c:marker>
          <c:cat>
            <c:numRef>
              <c:f>'[Hedonic Indexes.xlsx]House Price Hedonic Index'!$I$2:$I$71</c:f>
              <c:numCache>
                <c:formatCode>General</c:formatCode>
                <c:ptCount val="70"/>
                <c:pt idx="0">
                  <c:v>201501</c:v>
                </c:pt>
                <c:pt idx="1">
                  <c:v>201502</c:v>
                </c:pt>
                <c:pt idx="2">
                  <c:v>201503</c:v>
                </c:pt>
                <c:pt idx="3">
                  <c:v>201504</c:v>
                </c:pt>
                <c:pt idx="4">
                  <c:v>201505</c:v>
                </c:pt>
                <c:pt idx="5">
                  <c:v>201506</c:v>
                </c:pt>
                <c:pt idx="6">
                  <c:v>201507</c:v>
                </c:pt>
                <c:pt idx="7">
                  <c:v>201508</c:v>
                </c:pt>
                <c:pt idx="8">
                  <c:v>201509</c:v>
                </c:pt>
                <c:pt idx="9">
                  <c:v>201510</c:v>
                </c:pt>
                <c:pt idx="10">
                  <c:v>201511</c:v>
                </c:pt>
                <c:pt idx="11">
                  <c:v>201512</c:v>
                </c:pt>
                <c:pt idx="12">
                  <c:v>201601</c:v>
                </c:pt>
                <c:pt idx="13">
                  <c:v>201602</c:v>
                </c:pt>
                <c:pt idx="14">
                  <c:v>201603</c:v>
                </c:pt>
                <c:pt idx="15">
                  <c:v>201604</c:v>
                </c:pt>
                <c:pt idx="16">
                  <c:v>201605</c:v>
                </c:pt>
                <c:pt idx="17">
                  <c:v>201606</c:v>
                </c:pt>
                <c:pt idx="18">
                  <c:v>201607</c:v>
                </c:pt>
                <c:pt idx="19">
                  <c:v>201608</c:v>
                </c:pt>
                <c:pt idx="20">
                  <c:v>201609</c:v>
                </c:pt>
                <c:pt idx="21">
                  <c:v>201610</c:v>
                </c:pt>
                <c:pt idx="22">
                  <c:v>201611</c:v>
                </c:pt>
                <c:pt idx="23">
                  <c:v>201612</c:v>
                </c:pt>
                <c:pt idx="24">
                  <c:v>201701</c:v>
                </c:pt>
                <c:pt idx="25">
                  <c:v>201702</c:v>
                </c:pt>
                <c:pt idx="26">
                  <c:v>201703</c:v>
                </c:pt>
                <c:pt idx="27">
                  <c:v>201704</c:v>
                </c:pt>
                <c:pt idx="28">
                  <c:v>201705</c:v>
                </c:pt>
                <c:pt idx="29">
                  <c:v>201706</c:v>
                </c:pt>
                <c:pt idx="30">
                  <c:v>201707</c:v>
                </c:pt>
                <c:pt idx="31">
                  <c:v>201708</c:v>
                </c:pt>
                <c:pt idx="32">
                  <c:v>201709</c:v>
                </c:pt>
                <c:pt idx="33">
                  <c:v>201710</c:v>
                </c:pt>
                <c:pt idx="34">
                  <c:v>201711</c:v>
                </c:pt>
                <c:pt idx="35">
                  <c:v>201712</c:v>
                </c:pt>
                <c:pt idx="36">
                  <c:v>201801</c:v>
                </c:pt>
                <c:pt idx="37">
                  <c:v>201802</c:v>
                </c:pt>
                <c:pt idx="38">
                  <c:v>201803</c:v>
                </c:pt>
                <c:pt idx="39">
                  <c:v>201804</c:v>
                </c:pt>
                <c:pt idx="40">
                  <c:v>201805</c:v>
                </c:pt>
                <c:pt idx="41">
                  <c:v>201806</c:v>
                </c:pt>
                <c:pt idx="42">
                  <c:v>201807</c:v>
                </c:pt>
                <c:pt idx="43">
                  <c:v>201808</c:v>
                </c:pt>
                <c:pt idx="44">
                  <c:v>201809</c:v>
                </c:pt>
                <c:pt idx="45">
                  <c:v>201810</c:v>
                </c:pt>
                <c:pt idx="46">
                  <c:v>201811</c:v>
                </c:pt>
                <c:pt idx="47">
                  <c:v>201812</c:v>
                </c:pt>
                <c:pt idx="48">
                  <c:v>201901</c:v>
                </c:pt>
                <c:pt idx="49">
                  <c:v>201902</c:v>
                </c:pt>
                <c:pt idx="50">
                  <c:v>201903</c:v>
                </c:pt>
                <c:pt idx="51">
                  <c:v>201904</c:v>
                </c:pt>
                <c:pt idx="52">
                  <c:v>201905</c:v>
                </c:pt>
                <c:pt idx="53">
                  <c:v>201906</c:v>
                </c:pt>
                <c:pt idx="54">
                  <c:v>201907</c:v>
                </c:pt>
                <c:pt idx="55">
                  <c:v>201908</c:v>
                </c:pt>
                <c:pt idx="56">
                  <c:v>201909</c:v>
                </c:pt>
                <c:pt idx="57">
                  <c:v>201910</c:v>
                </c:pt>
                <c:pt idx="58">
                  <c:v>201911</c:v>
                </c:pt>
                <c:pt idx="59">
                  <c:v>201912</c:v>
                </c:pt>
                <c:pt idx="60">
                  <c:v>202001</c:v>
                </c:pt>
                <c:pt idx="61">
                  <c:v>202002</c:v>
                </c:pt>
                <c:pt idx="62">
                  <c:v>202003</c:v>
                </c:pt>
                <c:pt idx="63">
                  <c:v>202004</c:v>
                </c:pt>
                <c:pt idx="64">
                  <c:v>202005</c:v>
                </c:pt>
                <c:pt idx="65">
                  <c:v>202006</c:v>
                </c:pt>
                <c:pt idx="66">
                  <c:v>202007</c:v>
                </c:pt>
                <c:pt idx="67">
                  <c:v>202008</c:v>
                </c:pt>
                <c:pt idx="68">
                  <c:v>202009</c:v>
                </c:pt>
                <c:pt idx="69">
                  <c:v>202010</c:v>
                </c:pt>
              </c:numCache>
            </c:numRef>
          </c:cat>
          <c:val>
            <c:numRef>
              <c:f>'[Hedonic Indexes.xlsx]House Price Hedonic Index'!$L$2:$L$71</c:f>
              <c:numCache>
                <c:formatCode>General</c:formatCode>
                <c:ptCount val="70"/>
                <c:pt idx="0">
                  <c:v>100</c:v>
                </c:pt>
                <c:pt idx="1">
                  <c:v>101.25239999999999</c:v>
                </c:pt>
                <c:pt idx="2">
                  <c:v>101.5903</c:v>
                </c:pt>
                <c:pt idx="3">
                  <c:v>101.786</c:v>
                </c:pt>
                <c:pt idx="4">
                  <c:v>102.31310000000001</c:v>
                </c:pt>
                <c:pt idx="5">
                  <c:v>102.7171</c:v>
                </c:pt>
                <c:pt idx="6">
                  <c:v>103.25709999999999</c:v>
                </c:pt>
                <c:pt idx="7">
                  <c:v>103.76860000000001</c:v>
                </c:pt>
                <c:pt idx="8">
                  <c:v>104.22709999999999</c:v>
                </c:pt>
                <c:pt idx="9">
                  <c:v>104.5214</c:v>
                </c:pt>
                <c:pt idx="10">
                  <c:v>105.0429</c:v>
                </c:pt>
                <c:pt idx="11">
                  <c:v>105.5643</c:v>
                </c:pt>
                <c:pt idx="12">
                  <c:v>106.0429</c:v>
                </c:pt>
                <c:pt idx="13">
                  <c:v>106.27290000000001</c:v>
                </c:pt>
                <c:pt idx="14">
                  <c:v>106.44710000000001</c:v>
                </c:pt>
                <c:pt idx="15">
                  <c:v>106.59139999999999</c:v>
                </c:pt>
                <c:pt idx="16">
                  <c:v>107.0014</c:v>
                </c:pt>
                <c:pt idx="17">
                  <c:v>107.3886</c:v>
                </c:pt>
                <c:pt idx="18">
                  <c:v>107.7829</c:v>
                </c:pt>
                <c:pt idx="19">
                  <c:v>108.37</c:v>
                </c:pt>
                <c:pt idx="20">
                  <c:v>109.1443</c:v>
                </c:pt>
                <c:pt idx="21">
                  <c:v>109.8186</c:v>
                </c:pt>
                <c:pt idx="22">
                  <c:v>110.69</c:v>
                </c:pt>
                <c:pt idx="23">
                  <c:v>111.3314</c:v>
                </c:pt>
                <c:pt idx="24">
                  <c:v>112.0714</c:v>
                </c:pt>
                <c:pt idx="25">
                  <c:v>112.9143</c:v>
                </c:pt>
                <c:pt idx="26">
                  <c:v>113.87139999999999</c:v>
                </c:pt>
                <c:pt idx="27">
                  <c:v>114.3</c:v>
                </c:pt>
                <c:pt idx="28">
                  <c:v>115.0286</c:v>
                </c:pt>
                <c:pt idx="29">
                  <c:v>115.67140000000001</c:v>
                </c:pt>
                <c:pt idx="30">
                  <c:v>116.5857</c:v>
                </c:pt>
                <c:pt idx="31">
                  <c:v>117.2286</c:v>
                </c:pt>
                <c:pt idx="32">
                  <c:v>117.8</c:v>
                </c:pt>
                <c:pt idx="33">
                  <c:v>118.2714</c:v>
                </c:pt>
                <c:pt idx="34">
                  <c:v>119.0714</c:v>
                </c:pt>
                <c:pt idx="35">
                  <c:v>119.87139999999999</c:v>
                </c:pt>
                <c:pt idx="36">
                  <c:v>120.5</c:v>
                </c:pt>
                <c:pt idx="37">
                  <c:v>120.98569999999999</c:v>
                </c:pt>
                <c:pt idx="38">
                  <c:v>121.4143</c:v>
                </c:pt>
                <c:pt idx="39">
                  <c:v>121.6143</c:v>
                </c:pt>
                <c:pt idx="40">
                  <c:v>121.7286</c:v>
                </c:pt>
                <c:pt idx="41">
                  <c:v>121.9286</c:v>
                </c:pt>
                <c:pt idx="42">
                  <c:v>121.9286</c:v>
                </c:pt>
                <c:pt idx="43">
                  <c:v>121.7286</c:v>
                </c:pt>
                <c:pt idx="44">
                  <c:v>121.5429</c:v>
                </c:pt>
                <c:pt idx="45">
                  <c:v>121.75709999999999</c:v>
                </c:pt>
                <c:pt idx="46">
                  <c:v>121.9</c:v>
                </c:pt>
                <c:pt idx="47">
                  <c:v>122.05710000000001</c:v>
                </c:pt>
                <c:pt idx="48">
                  <c:v>122.1857</c:v>
                </c:pt>
                <c:pt idx="49">
                  <c:v>122.2</c:v>
                </c:pt>
                <c:pt idx="50">
                  <c:v>122.28570000000001</c:v>
                </c:pt>
                <c:pt idx="51">
                  <c:v>122.62860000000001</c:v>
                </c:pt>
                <c:pt idx="52">
                  <c:v>122.6429</c:v>
                </c:pt>
                <c:pt idx="53">
                  <c:v>123.1143</c:v>
                </c:pt>
                <c:pt idx="54">
                  <c:v>123.62860000000001</c:v>
                </c:pt>
                <c:pt idx="55">
                  <c:v>124.2286</c:v>
                </c:pt>
                <c:pt idx="56">
                  <c:v>125</c:v>
                </c:pt>
                <c:pt idx="57">
                  <c:v>126.1857</c:v>
                </c:pt>
                <c:pt idx="58">
                  <c:v>127.1857</c:v>
                </c:pt>
                <c:pt idx="59">
                  <c:v>128.11429999999999</c:v>
                </c:pt>
                <c:pt idx="60">
                  <c:v>128.19999999999999</c:v>
                </c:pt>
                <c:pt idx="61">
                  <c:v>128.44290000000001</c:v>
                </c:pt>
                <c:pt idx="62">
                  <c:v>128.9</c:v>
                </c:pt>
                <c:pt idx="63">
                  <c:v>129.28569999999999</c:v>
                </c:pt>
                <c:pt idx="64">
                  <c:v>129.67140000000001</c:v>
                </c:pt>
                <c:pt idx="65">
                  <c:v>130.1429</c:v>
                </c:pt>
                <c:pt idx="66">
                  <c:v>130.78569999999999</c:v>
                </c:pt>
                <c:pt idx="67">
                  <c:v>131.5333</c:v>
                </c:pt>
                <c:pt idx="68">
                  <c:v>132.24</c:v>
                </c:pt>
                <c:pt idx="69">
                  <c:v>132.75</c:v>
                </c:pt>
              </c:numCache>
            </c:numRef>
          </c:val>
          <c:smooth val="0"/>
          <c:extLst>
            <c:ext xmlns:c16="http://schemas.microsoft.com/office/drawing/2014/chart" uri="{C3380CC4-5D6E-409C-BE32-E72D297353CC}">
              <c16:uniqueId val="{00000002-48C4-4946-9ACB-36AF0C697764}"/>
            </c:ext>
          </c:extLst>
        </c:ser>
        <c:ser>
          <c:idx val="3"/>
          <c:order val="3"/>
          <c:tx>
            <c:strRef>
              <c:f>'[Hedonic Indexes.xlsx]House Price Hedonic Index'!$M$1</c:f>
              <c:strCache>
                <c:ptCount val="1"/>
                <c:pt idx="0">
                  <c:v>GreaterGeelong</c:v>
                </c:pt>
              </c:strCache>
            </c:strRef>
          </c:tx>
          <c:spPr>
            <a:ln w="28575" cap="rnd">
              <a:solidFill>
                <a:schemeClr val="accent4"/>
              </a:solidFill>
              <a:round/>
            </a:ln>
            <a:effectLst/>
          </c:spPr>
          <c:marker>
            <c:symbol val="none"/>
          </c:marker>
          <c:cat>
            <c:numRef>
              <c:f>'[Hedonic Indexes.xlsx]House Price Hedonic Index'!$I$2:$I$71</c:f>
              <c:numCache>
                <c:formatCode>General</c:formatCode>
                <c:ptCount val="70"/>
                <c:pt idx="0">
                  <c:v>201501</c:v>
                </c:pt>
                <c:pt idx="1">
                  <c:v>201502</c:v>
                </c:pt>
                <c:pt idx="2">
                  <c:v>201503</c:v>
                </c:pt>
                <c:pt idx="3">
                  <c:v>201504</c:v>
                </c:pt>
                <c:pt idx="4">
                  <c:v>201505</c:v>
                </c:pt>
                <c:pt idx="5">
                  <c:v>201506</c:v>
                </c:pt>
                <c:pt idx="6">
                  <c:v>201507</c:v>
                </c:pt>
                <c:pt idx="7">
                  <c:v>201508</c:v>
                </c:pt>
                <c:pt idx="8">
                  <c:v>201509</c:v>
                </c:pt>
                <c:pt idx="9">
                  <c:v>201510</c:v>
                </c:pt>
                <c:pt idx="10">
                  <c:v>201511</c:v>
                </c:pt>
                <c:pt idx="11">
                  <c:v>201512</c:v>
                </c:pt>
                <c:pt idx="12">
                  <c:v>201601</c:v>
                </c:pt>
                <c:pt idx="13">
                  <c:v>201602</c:v>
                </c:pt>
                <c:pt idx="14">
                  <c:v>201603</c:v>
                </c:pt>
                <c:pt idx="15">
                  <c:v>201604</c:v>
                </c:pt>
                <c:pt idx="16">
                  <c:v>201605</c:v>
                </c:pt>
                <c:pt idx="17">
                  <c:v>201606</c:v>
                </c:pt>
                <c:pt idx="18">
                  <c:v>201607</c:v>
                </c:pt>
                <c:pt idx="19">
                  <c:v>201608</c:v>
                </c:pt>
                <c:pt idx="20">
                  <c:v>201609</c:v>
                </c:pt>
                <c:pt idx="21">
                  <c:v>201610</c:v>
                </c:pt>
                <c:pt idx="22">
                  <c:v>201611</c:v>
                </c:pt>
                <c:pt idx="23">
                  <c:v>201612</c:v>
                </c:pt>
                <c:pt idx="24">
                  <c:v>201701</c:v>
                </c:pt>
                <c:pt idx="25">
                  <c:v>201702</c:v>
                </c:pt>
                <c:pt idx="26">
                  <c:v>201703</c:v>
                </c:pt>
                <c:pt idx="27">
                  <c:v>201704</c:v>
                </c:pt>
                <c:pt idx="28">
                  <c:v>201705</c:v>
                </c:pt>
                <c:pt idx="29">
                  <c:v>201706</c:v>
                </c:pt>
                <c:pt idx="30">
                  <c:v>201707</c:v>
                </c:pt>
                <c:pt idx="31">
                  <c:v>201708</c:v>
                </c:pt>
                <c:pt idx="32">
                  <c:v>201709</c:v>
                </c:pt>
                <c:pt idx="33">
                  <c:v>201710</c:v>
                </c:pt>
                <c:pt idx="34">
                  <c:v>201711</c:v>
                </c:pt>
                <c:pt idx="35">
                  <c:v>201712</c:v>
                </c:pt>
                <c:pt idx="36">
                  <c:v>201801</c:v>
                </c:pt>
                <c:pt idx="37">
                  <c:v>201802</c:v>
                </c:pt>
                <c:pt idx="38">
                  <c:v>201803</c:v>
                </c:pt>
                <c:pt idx="39">
                  <c:v>201804</c:v>
                </c:pt>
                <c:pt idx="40">
                  <c:v>201805</c:v>
                </c:pt>
                <c:pt idx="41">
                  <c:v>201806</c:v>
                </c:pt>
                <c:pt idx="42">
                  <c:v>201807</c:v>
                </c:pt>
                <c:pt idx="43">
                  <c:v>201808</c:v>
                </c:pt>
                <c:pt idx="44">
                  <c:v>201809</c:v>
                </c:pt>
                <c:pt idx="45">
                  <c:v>201810</c:v>
                </c:pt>
                <c:pt idx="46">
                  <c:v>201811</c:v>
                </c:pt>
                <c:pt idx="47">
                  <c:v>201812</c:v>
                </c:pt>
                <c:pt idx="48">
                  <c:v>201901</c:v>
                </c:pt>
                <c:pt idx="49">
                  <c:v>201902</c:v>
                </c:pt>
                <c:pt idx="50">
                  <c:v>201903</c:v>
                </c:pt>
                <c:pt idx="51">
                  <c:v>201904</c:v>
                </c:pt>
                <c:pt idx="52">
                  <c:v>201905</c:v>
                </c:pt>
                <c:pt idx="53">
                  <c:v>201906</c:v>
                </c:pt>
                <c:pt idx="54">
                  <c:v>201907</c:v>
                </c:pt>
                <c:pt idx="55">
                  <c:v>201908</c:v>
                </c:pt>
                <c:pt idx="56">
                  <c:v>201909</c:v>
                </c:pt>
                <c:pt idx="57">
                  <c:v>201910</c:v>
                </c:pt>
                <c:pt idx="58">
                  <c:v>201911</c:v>
                </c:pt>
                <c:pt idx="59">
                  <c:v>201912</c:v>
                </c:pt>
                <c:pt idx="60">
                  <c:v>202001</c:v>
                </c:pt>
                <c:pt idx="61">
                  <c:v>202002</c:v>
                </c:pt>
                <c:pt idx="62">
                  <c:v>202003</c:v>
                </c:pt>
                <c:pt idx="63">
                  <c:v>202004</c:v>
                </c:pt>
                <c:pt idx="64">
                  <c:v>202005</c:v>
                </c:pt>
                <c:pt idx="65">
                  <c:v>202006</c:v>
                </c:pt>
                <c:pt idx="66">
                  <c:v>202007</c:v>
                </c:pt>
                <c:pt idx="67">
                  <c:v>202008</c:v>
                </c:pt>
                <c:pt idx="68">
                  <c:v>202009</c:v>
                </c:pt>
                <c:pt idx="69">
                  <c:v>202010</c:v>
                </c:pt>
              </c:numCache>
            </c:numRef>
          </c:cat>
          <c:val>
            <c:numRef>
              <c:f>'[Hedonic Indexes.xlsx]House Price Hedonic Index'!$M$2:$M$71</c:f>
              <c:numCache>
                <c:formatCode>General</c:formatCode>
                <c:ptCount val="70"/>
                <c:pt idx="0">
                  <c:v>100</c:v>
                </c:pt>
                <c:pt idx="1">
                  <c:v>99.361919999999998</c:v>
                </c:pt>
                <c:pt idx="2">
                  <c:v>99.244929999999997</c:v>
                </c:pt>
                <c:pt idx="3">
                  <c:v>99.278949999999995</c:v>
                </c:pt>
                <c:pt idx="4">
                  <c:v>99.478939999999994</c:v>
                </c:pt>
                <c:pt idx="5">
                  <c:v>99.776799999999994</c:v>
                </c:pt>
                <c:pt idx="6">
                  <c:v>100.31229999999999</c:v>
                </c:pt>
                <c:pt idx="7">
                  <c:v>101.29940000000001</c:v>
                </c:pt>
                <c:pt idx="8">
                  <c:v>101.64400000000001</c:v>
                </c:pt>
                <c:pt idx="9">
                  <c:v>102.3797</c:v>
                </c:pt>
                <c:pt idx="10">
                  <c:v>103.0821</c:v>
                </c:pt>
                <c:pt idx="11">
                  <c:v>103.53789999999999</c:v>
                </c:pt>
                <c:pt idx="12">
                  <c:v>104.06140000000001</c:v>
                </c:pt>
                <c:pt idx="13">
                  <c:v>104.4157</c:v>
                </c:pt>
                <c:pt idx="14">
                  <c:v>104.18429999999999</c:v>
                </c:pt>
                <c:pt idx="15">
                  <c:v>104.7486</c:v>
                </c:pt>
                <c:pt idx="16">
                  <c:v>105.1514</c:v>
                </c:pt>
                <c:pt idx="17">
                  <c:v>105.57429999999999</c:v>
                </c:pt>
                <c:pt idx="18">
                  <c:v>106.3143</c:v>
                </c:pt>
                <c:pt idx="19">
                  <c:v>106.85</c:v>
                </c:pt>
                <c:pt idx="20">
                  <c:v>107.8871</c:v>
                </c:pt>
                <c:pt idx="21">
                  <c:v>109.1271</c:v>
                </c:pt>
                <c:pt idx="22">
                  <c:v>110.2114</c:v>
                </c:pt>
                <c:pt idx="23">
                  <c:v>111.6357</c:v>
                </c:pt>
                <c:pt idx="24">
                  <c:v>113.29859999999999</c:v>
                </c:pt>
                <c:pt idx="25">
                  <c:v>114.2743</c:v>
                </c:pt>
                <c:pt idx="26">
                  <c:v>115.98569999999999</c:v>
                </c:pt>
                <c:pt idx="27">
                  <c:v>116.7714</c:v>
                </c:pt>
                <c:pt idx="28">
                  <c:v>118.01430000000001</c:v>
                </c:pt>
                <c:pt idx="29">
                  <c:v>119.4143</c:v>
                </c:pt>
                <c:pt idx="30">
                  <c:v>120.8571</c:v>
                </c:pt>
                <c:pt idx="31">
                  <c:v>121.8857</c:v>
                </c:pt>
                <c:pt idx="32">
                  <c:v>123.0714</c:v>
                </c:pt>
                <c:pt idx="33">
                  <c:v>124.28570000000001</c:v>
                </c:pt>
                <c:pt idx="34">
                  <c:v>126.0286</c:v>
                </c:pt>
                <c:pt idx="35">
                  <c:v>127.5</c:v>
                </c:pt>
                <c:pt idx="36">
                  <c:v>128.7286</c:v>
                </c:pt>
                <c:pt idx="37">
                  <c:v>129.57140000000001</c:v>
                </c:pt>
                <c:pt idx="38">
                  <c:v>130.47139999999999</c:v>
                </c:pt>
                <c:pt idx="39">
                  <c:v>131.94290000000001</c:v>
                </c:pt>
                <c:pt idx="40">
                  <c:v>132.84280000000001</c:v>
                </c:pt>
                <c:pt idx="41">
                  <c:v>133.4</c:v>
                </c:pt>
                <c:pt idx="42">
                  <c:v>133.6</c:v>
                </c:pt>
                <c:pt idx="43">
                  <c:v>133.62860000000001</c:v>
                </c:pt>
                <c:pt idx="44">
                  <c:v>133.1857</c:v>
                </c:pt>
                <c:pt idx="45">
                  <c:v>133.1857</c:v>
                </c:pt>
                <c:pt idx="46">
                  <c:v>132.6</c:v>
                </c:pt>
                <c:pt idx="47">
                  <c:v>132.15719999999999</c:v>
                </c:pt>
                <c:pt idx="48">
                  <c:v>131.5429</c:v>
                </c:pt>
                <c:pt idx="49">
                  <c:v>131.02860000000001</c:v>
                </c:pt>
                <c:pt idx="50">
                  <c:v>130.67140000000001</c:v>
                </c:pt>
                <c:pt idx="51">
                  <c:v>130.8143</c:v>
                </c:pt>
                <c:pt idx="52">
                  <c:v>130.94290000000001</c:v>
                </c:pt>
                <c:pt idx="53">
                  <c:v>131.34280000000001</c:v>
                </c:pt>
                <c:pt idx="54">
                  <c:v>131.65710000000001</c:v>
                </c:pt>
                <c:pt idx="55">
                  <c:v>132.38570000000001</c:v>
                </c:pt>
                <c:pt idx="56">
                  <c:v>133.24289999999999</c:v>
                </c:pt>
                <c:pt idx="57">
                  <c:v>134.17140000000001</c:v>
                </c:pt>
                <c:pt idx="58">
                  <c:v>135.52860000000001</c:v>
                </c:pt>
                <c:pt idx="59">
                  <c:v>136.4143</c:v>
                </c:pt>
                <c:pt idx="60">
                  <c:v>136.1857</c:v>
                </c:pt>
                <c:pt idx="61">
                  <c:v>136.5429</c:v>
                </c:pt>
                <c:pt idx="62">
                  <c:v>136.7714</c:v>
                </c:pt>
                <c:pt idx="63">
                  <c:v>137.1429</c:v>
                </c:pt>
                <c:pt idx="64">
                  <c:v>137.5857</c:v>
                </c:pt>
                <c:pt idx="65">
                  <c:v>137.5857</c:v>
                </c:pt>
                <c:pt idx="66">
                  <c:v>137.9143</c:v>
                </c:pt>
                <c:pt idx="67">
                  <c:v>138.85</c:v>
                </c:pt>
                <c:pt idx="68">
                  <c:v>139.30000000000001</c:v>
                </c:pt>
                <c:pt idx="69">
                  <c:v>139.75</c:v>
                </c:pt>
              </c:numCache>
            </c:numRef>
          </c:val>
          <c:smooth val="0"/>
          <c:extLst>
            <c:ext xmlns:c16="http://schemas.microsoft.com/office/drawing/2014/chart" uri="{C3380CC4-5D6E-409C-BE32-E72D297353CC}">
              <c16:uniqueId val="{00000003-48C4-4946-9ACB-36AF0C697764}"/>
            </c:ext>
          </c:extLst>
        </c:ser>
        <c:ser>
          <c:idx val="4"/>
          <c:order val="4"/>
          <c:tx>
            <c:strRef>
              <c:f>'[Hedonic Indexes.xlsx]House Price Hedonic Index'!$N$1</c:f>
              <c:strCache>
                <c:ptCount val="1"/>
                <c:pt idx="0">
                  <c:v>FocalSuburbs</c:v>
                </c:pt>
              </c:strCache>
            </c:strRef>
          </c:tx>
          <c:spPr>
            <a:ln w="28575" cap="rnd">
              <a:solidFill>
                <a:schemeClr val="accent5"/>
              </a:solidFill>
              <a:round/>
            </a:ln>
            <a:effectLst/>
          </c:spPr>
          <c:marker>
            <c:symbol val="none"/>
          </c:marker>
          <c:cat>
            <c:numRef>
              <c:f>'[Hedonic Indexes.xlsx]House Price Hedonic Index'!$I$2:$I$71</c:f>
              <c:numCache>
                <c:formatCode>General</c:formatCode>
                <c:ptCount val="70"/>
                <c:pt idx="0">
                  <c:v>201501</c:v>
                </c:pt>
                <c:pt idx="1">
                  <c:v>201502</c:v>
                </c:pt>
                <c:pt idx="2">
                  <c:v>201503</c:v>
                </c:pt>
                <c:pt idx="3">
                  <c:v>201504</c:v>
                </c:pt>
                <c:pt idx="4">
                  <c:v>201505</c:v>
                </c:pt>
                <c:pt idx="5">
                  <c:v>201506</c:v>
                </c:pt>
                <c:pt idx="6">
                  <c:v>201507</c:v>
                </c:pt>
                <c:pt idx="7">
                  <c:v>201508</c:v>
                </c:pt>
                <c:pt idx="8">
                  <c:v>201509</c:v>
                </c:pt>
                <c:pt idx="9">
                  <c:v>201510</c:v>
                </c:pt>
                <c:pt idx="10">
                  <c:v>201511</c:v>
                </c:pt>
                <c:pt idx="11">
                  <c:v>201512</c:v>
                </c:pt>
                <c:pt idx="12">
                  <c:v>201601</c:v>
                </c:pt>
                <c:pt idx="13">
                  <c:v>201602</c:v>
                </c:pt>
                <c:pt idx="14">
                  <c:v>201603</c:v>
                </c:pt>
                <c:pt idx="15">
                  <c:v>201604</c:v>
                </c:pt>
                <c:pt idx="16">
                  <c:v>201605</c:v>
                </c:pt>
                <c:pt idx="17">
                  <c:v>201606</c:v>
                </c:pt>
                <c:pt idx="18">
                  <c:v>201607</c:v>
                </c:pt>
                <c:pt idx="19">
                  <c:v>201608</c:v>
                </c:pt>
                <c:pt idx="20">
                  <c:v>201609</c:v>
                </c:pt>
                <c:pt idx="21">
                  <c:v>201610</c:v>
                </c:pt>
                <c:pt idx="22">
                  <c:v>201611</c:v>
                </c:pt>
                <c:pt idx="23">
                  <c:v>201612</c:v>
                </c:pt>
                <c:pt idx="24">
                  <c:v>201701</c:v>
                </c:pt>
                <c:pt idx="25">
                  <c:v>201702</c:v>
                </c:pt>
                <c:pt idx="26">
                  <c:v>201703</c:v>
                </c:pt>
                <c:pt idx="27">
                  <c:v>201704</c:v>
                </c:pt>
                <c:pt idx="28">
                  <c:v>201705</c:v>
                </c:pt>
                <c:pt idx="29">
                  <c:v>201706</c:v>
                </c:pt>
                <c:pt idx="30">
                  <c:v>201707</c:v>
                </c:pt>
                <c:pt idx="31">
                  <c:v>201708</c:v>
                </c:pt>
                <c:pt idx="32">
                  <c:v>201709</c:v>
                </c:pt>
                <c:pt idx="33">
                  <c:v>201710</c:v>
                </c:pt>
                <c:pt idx="34">
                  <c:v>201711</c:v>
                </c:pt>
                <c:pt idx="35">
                  <c:v>201712</c:v>
                </c:pt>
                <c:pt idx="36">
                  <c:v>201801</c:v>
                </c:pt>
                <c:pt idx="37">
                  <c:v>201802</c:v>
                </c:pt>
                <c:pt idx="38">
                  <c:v>201803</c:v>
                </c:pt>
                <c:pt idx="39">
                  <c:v>201804</c:v>
                </c:pt>
                <c:pt idx="40">
                  <c:v>201805</c:v>
                </c:pt>
                <c:pt idx="41">
                  <c:v>201806</c:v>
                </c:pt>
                <c:pt idx="42">
                  <c:v>201807</c:v>
                </c:pt>
                <c:pt idx="43">
                  <c:v>201808</c:v>
                </c:pt>
                <c:pt idx="44">
                  <c:v>201809</c:v>
                </c:pt>
                <c:pt idx="45">
                  <c:v>201810</c:v>
                </c:pt>
                <c:pt idx="46">
                  <c:v>201811</c:v>
                </c:pt>
                <c:pt idx="47">
                  <c:v>201812</c:v>
                </c:pt>
                <c:pt idx="48">
                  <c:v>201901</c:v>
                </c:pt>
                <c:pt idx="49">
                  <c:v>201902</c:v>
                </c:pt>
                <c:pt idx="50">
                  <c:v>201903</c:v>
                </c:pt>
                <c:pt idx="51">
                  <c:v>201904</c:v>
                </c:pt>
                <c:pt idx="52">
                  <c:v>201905</c:v>
                </c:pt>
                <c:pt idx="53">
                  <c:v>201906</c:v>
                </c:pt>
                <c:pt idx="54">
                  <c:v>201907</c:v>
                </c:pt>
                <c:pt idx="55">
                  <c:v>201908</c:v>
                </c:pt>
                <c:pt idx="56">
                  <c:v>201909</c:v>
                </c:pt>
                <c:pt idx="57">
                  <c:v>201910</c:v>
                </c:pt>
                <c:pt idx="58">
                  <c:v>201911</c:v>
                </c:pt>
                <c:pt idx="59">
                  <c:v>201912</c:v>
                </c:pt>
                <c:pt idx="60">
                  <c:v>202001</c:v>
                </c:pt>
                <c:pt idx="61">
                  <c:v>202002</c:v>
                </c:pt>
                <c:pt idx="62">
                  <c:v>202003</c:v>
                </c:pt>
                <c:pt idx="63">
                  <c:v>202004</c:v>
                </c:pt>
                <c:pt idx="64">
                  <c:v>202005</c:v>
                </c:pt>
                <c:pt idx="65">
                  <c:v>202006</c:v>
                </c:pt>
                <c:pt idx="66">
                  <c:v>202007</c:v>
                </c:pt>
                <c:pt idx="67">
                  <c:v>202008</c:v>
                </c:pt>
                <c:pt idx="68">
                  <c:v>202009</c:v>
                </c:pt>
                <c:pt idx="69">
                  <c:v>202010</c:v>
                </c:pt>
              </c:numCache>
            </c:numRef>
          </c:cat>
          <c:val>
            <c:numRef>
              <c:f>'[Hedonic Indexes.xlsx]House Price Hedonic Index'!$N$2:$N$71</c:f>
              <c:numCache>
                <c:formatCode>General</c:formatCode>
                <c:ptCount val="70"/>
                <c:pt idx="0">
                  <c:v>100</c:v>
                </c:pt>
                <c:pt idx="1">
                  <c:v>97.237799999999993</c:v>
                </c:pt>
                <c:pt idx="2">
                  <c:v>98.139830000000003</c:v>
                </c:pt>
                <c:pt idx="3">
                  <c:v>97.662710000000004</c:v>
                </c:pt>
                <c:pt idx="4">
                  <c:v>97.633859999999999</c:v>
                </c:pt>
                <c:pt idx="5">
                  <c:v>97.111720000000005</c:v>
                </c:pt>
                <c:pt idx="6">
                  <c:v>98.693150000000003</c:v>
                </c:pt>
                <c:pt idx="7">
                  <c:v>99.895430000000005</c:v>
                </c:pt>
                <c:pt idx="8">
                  <c:v>99.895430000000005</c:v>
                </c:pt>
                <c:pt idx="9">
                  <c:v>99.665430000000001</c:v>
                </c:pt>
                <c:pt idx="10">
                  <c:v>100.2111</c:v>
                </c:pt>
                <c:pt idx="11">
                  <c:v>100.36669999999999</c:v>
                </c:pt>
                <c:pt idx="12">
                  <c:v>101.4496</c:v>
                </c:pt>
                <c:pt idx="13">
                  <c:v>101.1271</c:v>
                </c:pt>
                <c:pt idx="14">
                  <c:v>100.8643</c:v>
                </c:pt>
                <c:pt idx="15">
                  <c:v>101.7786</c:v>
                </c:pt>
                <c:pt idx="16">
                  <c:v>102.2043</c:v>
                </c:pt>
                <c:pt idx="17">
                  <c:v>102.7071</c:v>
                </c:pt>
                <c:pt idx="18">
                  <c:v>103.4447</c:v>
                </c:pt>
                <c:pt idx="19">
                  <c:v>103.4676</c:v>
                </c:pt>
                <c:pt idx="20">
                  <c:v>105.14</c:v>
                </c:pt>
                <c:pt idx="21">
                  <c:v>106.1086</c:v>
                </c:pt>
                <c:pt idx="22">
                  <c:v>107.60290000000001</c:v>
                </c:pt>
                <c:pt idx="23">
                  <c:v>109.1143</c:v>
                </c:pt>
                <c:pt idx="24">
                  <c:v>111.1229</c:v>
                </c:pt>
                <c:pt idx="25">
                  <c:v>112.9157</c:v>
                </c:pt>
                <c:pt idx="26">
                  <c:v>115.4571</c:v>
                </c:pt>
                <c:pt idx="27">
                  <c:v>116.94289999999999</c:v>
                </c:pt>
                <c:pt idx="28">
                  <c:v>118.5429</c:v>
                </c:pt>
                <c:pt idx="29">
                  <c:v>120.37139999999999</c:v>
                </c:pt>
                <c:pt idx="30">
                  <c:v>122.87139999999999</c:v>
                </c:pt>
                <c:pt idx="31">
                  <c:v>124.9143</c:v>
                </c:pt>
                <c:pt idx="32">
                  <c:v>126.4</c:v>
                </c:pt>
                <c:pt idx="33">
                  <c:v>127.9</c:v>
                </c:pt>
                <c:pt idx="34">
                  <c:v>130.34289999999999</c:v>
                </c:pt>
                <c:pt idx="35">
                  <c:v>133.15710000000001</c:v>
                </c:pt>
                <c:pt idx="36">
                  <c:v>135</c:v>
                </c:pt>
                <c:pt idx="37">
                  <c:v>136.5</c:v>
                </c:pt>
                <c:pt idx="38">
                  <c:v>138.0429</c:v>
                </c:pt>
                <c:pt idx="39">
                  <c:v>139.6857</c:v>
                </c:pt>
                <c:pt idx="40">
                  <c:v>141.47139999999999</c:v>
                </c:pt>
                <c:pt idx="41">
                  <c:v>142.30000000000001</c:v>
                </c:pt>
                <c:pt idx="42">
                  <c:v>141.67140000000001</c:v>
                </c:pt>
                <c:pt idx="43">
                  <c:v>141.80000000000001</c:v>
                </c:pt>
                <c:pt idx="44">
                  <c:v>140.78569999999999</c:v>
                </c:pt>
                <c:pt idx="45">
                  <c:v>140.52860000000001</c:v>
                </c:pt>
                <c:pt idx="46">
                  <c:v>140.2286</c:v>
                </c:pt>
                <c:pt idx="47">
                  <c:v>139.82859999999999</c:v>
                </c:pt>
                <c:pt idx="48">
                  <c:v>138.8143</c:v>
                </c:pt>
                <c:pt idx="49">
                  <c:v>138.01429999999999</c:v>
                </c:pt>
                <c:pt idx="50">
                  <c:v>137.0857</c:v>
                </c:pt>
                <c:pt idx="51">
                  <c:v>136.8143</c:v>
                </c:pt>
                <c:pt idx="52">
                  <c:v>136.30000000000001</c:v>
                </c:pt>
                <c:pt idx="53">
                  <c:v>136.32859999999999</c:v>
                </c:pt>
                <c:pt idx="54">
                  <c:v>135.97139999999999</c:v>
                </c:pt>
                <c:pt idx="55">
                  <c:v>136.48570000000001</c:v>
                </c:pt>
                <c:pt idx="56">
                  <c:v>137.5</c:v>
                </c:pt>
                <c:pt idx="57">
                  <c:v>137.92859999999999</c:v>
                </c:pt>
                <c:pt idx="58">
                  <c:v>138.9</c:v>
                </c:pt>
                <c:pt idx="59">
                  <c:v>139.7286</c:v>
                </c:pt>
                <c:pt idx="60">
                  <c:v>139.82859999999999</c:v>
                </c:pt>
                <c:pt idx="61">
                  <c:v>139.4571</c:v>
                </c:pt>
                <c:pt idx="62">
                  <c:v>139.32859999999999</c:v>
                </c:pt>
                <c:pt idx="63">
                  <c:v>139.9</c:v>
                </c:pt>
                <c:pt idx="64">
                  <c:v>140.3143</c:v>
                </c:pt>
                <c:pt idx="65">
                  <c:v>140.6</c:v>
                </c:pt>
                <c:pt idx="66">
                  <c:v>141.0857</c:v>
                </c:pt>
                <c:pt idx="67">
                  <c:v>141.38329999999999</c:v>
                </c:pt>
                <c:pt idx="68">
                  <c:v>142.46</c:v>
                </c:pt>
                <c:pt idx="69">
                  <c:v>143.02500000000001</c:v>
                </c:pt>
              </c:numCache>
            </c:numRef>
          </c:val>
          <c:smooth val="0"/>
          <c:extLst>
            <c:ext xmlns:c16="http://schemas.microsoft.com/office/drawing/2014/chart" uri="{C3380CC4-5D6E-409C-BE32-E72D297353CC}">
              <c16:uniqueId val="{00000004-48C4-4946-9ACB-36AF0C697764}"/>
            </c:ext>
          </c:extLst>
        </c:ser>
        <c:dLbls>
          <c:showLegendKey val="0"/>
          <c:showVal val="0"/>
          <c:showCatName val="0"/>
          <c:showSerName val="0"/>
          <c:showPercent val="0"/>
          <c:showBubbleSize val="0"/>
        </c:dLbls>
        <c:smooth val="0"/>
        <c:axId val="620895112"/>
        <c:axId val="620895768"/>
      </c:lineChart>
      <c:catAx>
        <c:axId val="62089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895768"/>
        <c:crosses val="autoZero"/>
        <c:auto val="1"/>
        <c:lblAlgn val="ctr"/>
        <c:lblOffset val="100"/>
        <c:noMultiLvlLbl val="0"/>
      </c:catAx>
      <c:valAx>
        <c:axId val="620895768"/>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895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House Rental</a:t>
            </a:r>
            <a:r>
              <a:rPr lang="en-AU" baseline="0"/>
              <a:t> Hedonic Index</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'[Hedonic Indexes.xlsx]House Rental Hedonic Index'!$I$1</c:f>
              <c:strCache>
                <c:ptCount val="1"/>
                <c:pt idx="0">
                  <c:v>VIC</c:v>
                </c:pt>
              </c:strCache>
            </c:strRef>
          </c:tx>
          <c:spPr>
            <a:ln w="28575" cap="rnd">
              <a:solidFill>
                <a:schemeClr val="accent1"/>
              </a:solidFill>
              <a:round/>
            </a:ln>
            <a:effectLst/>
          </c:spPr>
          <c:marker>
            <c:symbol val="none"/>
          </c:marker>
          <c:cat>
            <c:strRef>
              <c:f>'[Hedonic Indexes.xlsx]House Rental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Indexes.xlsx]House Rental Hedonic Index'!$I$2:$I$71</c:f>
              <c:numCache>
                <c:formatCode>General</c:formatCode>
                <c:ptCount val="70"/>
                <c:pt idx="0">
                  <c:v>100</c:v>
                </c:pt>
                <c:pt idx="1">
                  <c:v>100.331</c:v>
                </c:pt>
                <c:pt idx="2">
                  <c:v>100.3385</c:v>
                </c:pt>
                <c:pt idx="3">
                  <c:v>100.3604</c:v>
                </c:pt>
                <c:pt idx="4">
                  <c:v>100.44410000000001</c:v>
                </c:pt>
                <c:pt idx="5">
                  <c:v>100.194</c:v>
                </c:pt>
                <c:pt idx="6">
                  <c:v>100.2557</c:v>
                </c:pt>
                <c:pt idx="7">
                  <c:v>100.4759</c:v>
                </c:pt>
                <c:pt idx="8">
                  <c:v>100.6191</c:v>
                </c:pt>
                <c:pt idx="9">
                  <c:v>100.92829999999999</c:v>
                </c:pt>
                <c:pt idx="10">
                  <c:v>101.208</c:v>
                </c:pt>
                <c:pt idx="11">
                  <c:v>102.19710000000001</c:v>
                </c:pt>
                <c:pt idx="12">
                  <c:v>102.7343</c:v>
                </c:pt>
                <c:pt idx="13">
                  <c:v>102.9543</c:v>
                </c:pt>
                <c:pt idx="14">
                  <c:v>103.04430000000001</c:v>
                </c:pt>
                <c:pt idx="15">
                  <c:v>103.20569999999999</c:v>
                </c:pt>
                <c:pt idx="16">
                  <c:v>103.2486</c:v>
                </c:pt>
                <c:pt idx="17">
                  <c:v>103.2957</c:v>
                </c:pt>
                <c:pt idx="18">
                  <c:v>102.7229</c:v>
                </c:pt>
                <c:pt idx="19">
                  <c:v>102.8986</c:v>
                </c:pt>
                <c:pt idx="20">
                  <c:v>103.2414</c:v>
                </c:pt>
                <c:pt idx="21">
                  <c:v>103.6443</c:v>
                </c:pt>
                <c:pt idx="22">
                  <c:v>104.0329</c:v>
                </c:pt>
                <c:pt idx="23">
                  <c:v>104.50709999999999</c:v>
                </c:pt>
                <c:pt idx="24">
                  <c:v>105.0371</c:v>
                </c:pt>
                <c:pt idx="25">
                  <c:v>105.4543</c:v>
                </c:pt>
                <c:pt idx="26">
                  <c:v>105.8486</c:v>
                </c:pt>
                <c:pt idx="27">
                  <c:v>106.10290000000001</c:v>
                </c:pt>
                <c:pt idx="28">
                  <c:v>106.2929</c:v>
                </c:pt>
                <c:pt idx="29">
                  <c:v>106.42140000000001</c:v>
                </c:pt>
                <c:pt idx="30">
                  <c:v>106.48860000000001</c:v>
                </c:pt>
                <c:pt idx="31">
                  <c:v>106.62430000000001</c:v>
                </c:pt>
                <c:pt idx="32">
                  <c:v>106.7714</c:v>
                </c:pt>
                <c:pt idx="33">
                  <c:v>107.37430000000001</c:v>
                </c:pt>
                <c:pt idx="34">
                  <c:v>107.73860000000001</c:v>
                </c:pt>
                <c:pt idx="35">
                  <c:v>108.1114</c:v>
                </c:pt>
                <c:pt idx="36">
                  <c:v>108.5343</c:v>
                </c:pt>
                <c:pt idx="37">
                  <c:v>108.9443</c:v>
                </c:pt>
                <c:pt idx="38">
                  <c:v>109.2029</c:v>
                </c:pt>
                <c:pt idx="39">
                  <c:v>109.5057</c:v>
                </c:pt>
                <c:pt idx="40">
                  <c:v>109.2586</c:v>
                </c:pt>
                <c:pt idx="41">
                  <c:v>109.4329</c:v>
                </c:pt>
                <c:pt idx="42">
                  <c:v>109.6671</c:v>
                </c:pt>
                <c:pt idx="43">
                  <c:v>109.87</c:v>
                </c:pt>
                <c:pt idx="44">
                  <c:v>110.1271</c:v>
                </c:pt>
                <c:pt idx="45">
                  <c:v>110.6057</c:v>
                </c:pt>
                <c:pt idx="46">
                  <c:v>110.9243</c:v>
                </c:pt>
                <c:pt idx="47">
                  <c:v>111.3857</c:v>
                </c:pt>
                <c:pt idx="48">
                  <c:v>111.62860000000001</c:v>
                </c:pt>
                <c:pt idx="49">
                  <c:v>111.7714</c:v>
                </c:pt>
                <c:pt idx="50">
                  <c:v>112.25709999999999</c:v>
                </c:pt>
                <c:pt idx="51">
                  <c:v>112.2286</c:v>
                </c:pt>
                <c:pt idx="52">
                  <c:v>111.98569999999999</c:v>
                </c:pt>
                <c:pt idx="53">
                  <c:v>111.87139999999999</c:v>
                </c:pt>
                <c:pt idx="54">
                  <c:v>111.71429999999999</c:v>
                </c:pt>
                <c:pt idx="55">
                  <c:v>111.67140000000001</c:v>
                </c:pt>
                <c:pt idx="56">
                  <c:v>111.6857</c:v>
                </c:pt>
                <c:pt idx="57">
                  <c:v>111.4286</c:v>
                </c:pt>
                <c:pt idx="58">
                  <c:v>111.67140000000001</c:v>
                </c:pt>
                <c:pt idx="59">
                  <c:v>111.9143</c:v>
                </c:pt>
                <c:pt idx="60">
                  <c:v>111.98569999999999</c:v>
                </c:pt>
                <c:pt idx="61">
                  <c:v>111.9571</c:v>
                </c:pt>
                <c:pt idx="62">
                  <c:v>111.9</c:v>
                </c:pt>
                <c:pt idx="63">
                  <c:v>111.8571</c:v>
                </c:pt>
                <c:pt idx="64">
                  <c:v>111.8857</c:v>
                </c:pt>
                <c:pt idx="65">
                  <c:v>111.62860000000001</c:v>
                </c:pt>
                <c:pt idx="66">
                  <c:v>111.3143</c:v>
                </c:pt>
                <c:pt idx="67">
                  <c:v>111.2833</c:v>
                </c:pt>
                <c:pt idx="68">
                  <c:v>111.36</c:v>
                </c:pt>
                <c:pt idx="69">
                  <c:v>111.4</c:v>
                </c:pt>
              </c:numCache>
            </c:numRef>
          </c:val>
          <c:smooth val="0"/>
          <c:extLst>
            <c:ext xmlns:c16="http://schemas.microsoft.com/office/drawing/2014/chart" uri="{C3380CC4-5D6E-409C-BE32-E72D297353CC}">
              <c16:uniqueId val="{00000000-7773-AF40-B2D4-B69534E2715F}"/>
            </c:ext>
          </c:extLst>
        </c:ser>
        <c:ser>
          <c:idx val="1"/>
          <c:order val="1"/>
          <c:tx>
            <c:strRef>
              <c:f>'[Hedonic Indexes.xlsx]House Rental Hedonic Index'!$J$1</c:f>
              <c:strCache>
                <c:ptCount val="1"/>
                <c:pt idx="0">
                  <c:v>GreaterMelbourne</c:v>
                </c:pt>
              </c:strCache>
            </c:strRef>
          </c:tx>
          <c:spPr>
            <a:ln w="28575" cap="rnd">
              <a:solidFill>
                <a:schemeClr val="accent2"/>
              </a:solidFill>
              <a:round/>
            </a:ln>
            <a:effectLst/>
          </c:spPr>
          <c:marker>
            <c:symbol val="none"/>
          </c:marker>
          <c:cat>
            <c:strRef>
              <c:f>'[Hedonic Indexes.xlsx]House Rental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Indexes.xlsx]House Rental Hedonic Index'!$J$2:$J$71</c:f>
              <c:numCache>
                <c:formatCode>General</c:formatCode>
                <c:ptCount val="70"/>
                <c:pt idx="0">
                  <c:v>100</c:v>
                </c:pt>
                <c:pt idx="1">
                  <c:v>100.5454</c:v>
                </c:pt>
                <c:pt idx="2">
                  <c:v>100.6628</c:v>
                </c:pt>
                <c:pt idx="3">
                  <c:v>100.7396</c:v>
                </c:pt>
                <c:pt idx="4">
                  <c:v>100.89530000000001</c:v>
                </c:pt>
                <c:pt idx="5">
                  <c:v>100.5694</c:v>
                </c:pt>
                <c:pt idx="6">
                  <c:v>100.6709</c:v>
                </c:pt>
                <c:pt idx="7">
                  <c:v>100.8614</c:v>
                </c:pt>
                <c:pt idx="8">
                  <c:v>101.0014</c:v>
                </c:pt>
                <c:pt idx="9">
                  <c:v>101.2343</c:v>
                </c:pt>
                <c:pt idx="10">
                  <c:v>101.5057</c:v>
                </c:pt>
                <c:pt idx="11">
                  <c:v>102.8357</c:v>
                </c:pt>
                <c:pt idx="12">
                  <c:v>103.5971</c:v>
                </c:pt>
                <c:pt idx="13">
                  <c:v>103.9271</c:v>
                </c:pt>
                <c:pt idx="14">
                  <c:v>104.0986</c:v>
                </c:pt>
                <c:pt idx="15">
                  <c:v>104.3229</c:v>
                </c:pt>
                <c:pt idx="16">
                  <c:v>104.4271</c:v>
                </c:pt>
                <c:pt idx="17">
                  <c:v>104.4871</c:v>
                </c:pt>
                <c:pt idx="18">
                  <c:v>103.62</c:v>
                </c:pt>
                <c:pt idx="19">
                  <c:v>103.7257</c:v>
                </c:pt>
                <c:pt idx="20">
                  <c:v>103.93429999999999</c:v>
                </c:pt>
                <c:pt idx="21">
                  <c:v>104.2557</c:v>
                </c:pt>
                <c:pt idx="22">
                  <c:v>104.6614</c:v>
                </c:pt>
                <c:pt idx="23">
                  <c:v>105.1386</c:v>
                </c:pt>
                <c:pt idx="24">
                  <c:v>105.70140000000001</c:v>
                </c:pt>
                <c:pt idx="25">
                  <c:v>106.12139999999999</c:v>
                </c:pt>
                <c:pt idx="26">
                  <c:v>106.5429</c:v>
                </c:pt>
                <c:pt idx="27">
                  <c:v>106.8386</c:v>
                </c:pt>
                <c:pt idx="28">
                  <c:v>107.0971</c:v>
                </c:pt>
                <c:pt idx="29">
                  <c:v>107.1386</c:v>
                </c:pt>
                <c:pt idx="30">
                  <c:v>107.17</c:v>
                </c:pt>
                <c:pt idx="31">
                  <c:v>107.25</c:v>
                </c:pt>
                <c:pt idx="32">
                  <c:v>107.39</c:v>
                </c:pt>
                <c:pt idx="33">
                  <c:v>107.65430000000001</c:v>
                </c:pt>
                <c:pt idx="34">
                  <c:v>108.0386</c:v>
                </c:pt>
                <c:pt idx="35">
                  <c:v>108.4014</c:v>
                </c:pt>
                <c:pt idx="36">
                  <c:v>108.83710000000001</c:v>
                </c:pt>
                <c:pt idx="37">
                  <c:v>109.2329</c:v>
                </c:pt>
                <c:pt idx="38">
                  <c:v>109.4671</c:v>
                </c:pt>
                <c:pt idx="39">
                  <c:v>109.73139999999999</c:v>
                </c:pt>
                <c:pt idx="40">
                  <c:v>109.91289999999999</c:v>
                </c:pt>
                <c:pt idx="41">
                  <c:v>110.06</c:v>
                </c:pt>
                <c:pt idx="42">
                  <c:v>110.2129</c:v>
                </c:pt>
                <c:pt idx="43">
                  <c:v>110.3857</c:v>
                </c:pt>
                <c:pt idx="44">
                  <c:v>110.58</c:v>
                </c:pt>
                <c:pt idx="45">
                  <c:v>111.0714</c:v>
                </c:pt>
                <c:pt idx="46">
                  <c:v>111.3429</c:v>
                </c:pt>
                <c:pt idx="47">
                  <c:v>111.5286</c:v>
                </c:pt>
                <c:pt idx="48">
                  <c:v>111.6</c:v>
                </c:pt>
                <c:pt idx="49">
                  <c:v>111.6857</c:v>
                </c:pt>
                <c:pt idx="50">
                  <c:v>112.21429999999999</c:v>
                </c:pt>
                <c:pt idx="51">
                  <c:v>112.1</c:v>
                </c:pt>
                <c:pt idx="52">
                  <c:v>111.75709999999999</c:v>
                </c:pt>
                <c:pt idx="53">
                  <c:v>111.55710000000001</c:v>
                </c:pt>
                <c:pt idx="54">
                  <c:v>111.3857</c:v>
                </c:pt>
                <c:pt idx="55">
                  <c:v>111.3571</c:v>
                </c:pt>
                <c:pt idx="56">
                  <c:v>111.2714</c:v>
                </c:pt>
                <c:pt idx="57">
                  <c:v>110.9</c:v>
                </c:pt>
                <c:pt idx="58">
                  <c:v>111.17140000000001</c:v>
                </c:pt>
                <c:pt idx="59">
                  <c:v>111.3571</c:v>
                </c:pt>
                <c:pt idx="60">
                  <c:v>111.32859999999999</c:v>
                </c:pt>
                <c:pt idx="61">
                  <c:v>111.1743</c:v>
                </c:pt>
                <c:pt idx="62">
                  <c:v>110.96</c:v>
                </c:pt>
                <c:pt idx="63">
                  <c:v>110.7814</c:v>
                </c:pt>
                <c:pt idx="64">
                  <c:v>110.3471</c:v>
                </c:pt>
                <c:pt idx="65">
                  <c:v>109.77</c:v>
                </c:pt>
                <c:pt idx="66">
                  <c:v>109.2243</c:v>
                </c:pt>
                <c:pt idx="67">
                  <c:v>109.0283</c:v>
                </c:pt>
                <c:pt idx="68">
                  <c:v>108.95</c:v>
                </c:pt>
                <c:pt idx="69">
                  <c:v>108.78749999999999</c:v>
                </c:pt>
              </c:numCache>
            </c:numRef>
          </c:val>
          <c:smooth val="0"/>
          <c:extLst>
            <c:ext xmlns:c16="http://schemas.microsoft.com/office/drawing/2014/chart" uri="{C3380CC4-5D6E-409C-BE32-E72D297353CC}">
              <c16:uniqueId val="{00000001-7773-AF40-B2D4-B69534E2715F}"/>
            </c:ext>
          </c:extLst>
        </c:ser>
        <c:ser>
          <c:idx val="2"/>
          <c:order val="2"/>
          <c:tx>
            <c:strRef>
              <c:f>'[Hedonic Indexes.xlsx]House Rental Hedonic Index'!$K$1</c:f>
              <c:strCache>
                <c:ptCount val="1"/>
                <c:pt idx="0">
                  <c:v>RegionalVIC</c:v>
                </c:pt>
              </c:strCache>
            </c:strRef>
          </c:tx>
          <c:spPr>
            <a:ln w="28575" cap="rnd">
              <a:solidFill>
                <a:schemeClr val="accent3"/>
              </a:solidFill>
              <a:round/>
            </a:ln>
            <a:effectLst/>
          </c:spPr>
          <c:marker>
            <c:symbol val="none"/>
          </c:marker>
          <c:cat>
            <c:strRef>
              <c:f>'[Hedonic Indexes.xlsx]House Rental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Indexes.xlsx]House Rental Hedonic Index'!$K$2:$K$71</c:f>
              <c:numCache>
                <c:formatCode>General</c:formatCode>
                <c:ptCount val="70"/>
                <c:pt idx="0">
                  <c:v>100</c:v>
                </c:pt>
                <c:pt idx="1">
                  <c:v>99.928399999999996</c:v>
                </c:pt>
                <c:pt idx="2">
                  <c:v>99.708659999999995</c:v>
                </c:pt>
                <c:pt idx="3">
                  <c:v>99.661709999999999</c:v>
                </c:pt>
                <c:pt idx="4">
                  <c:v>99.610280000000003</c:v>
                </c:pt>
                <c:pt idx="5">
                  <c:v>99.507289999999998</c:v>
                </c:pt>
                <c:pt idx="6">
                  <c:v>99.488720000000001</c:v>
                </c:pt>
                <c:pt idx="7">
                  <c:v>99.760140000000007</c:v>
                </c:pt>
                <c:pt idx="8">
                  <c:v>99.895709999999994</c:v>
                </c:pt>
                <c:pt idx="9">
                  <c:v>100.36709999999999</c:v>
                </c:pt>
                <c:pt idx="10">
                  <c:v>100.63290000000001</c:v>
                </c:pt>
                <c:pt idx="11">
                  <c:v>100.8486</c:v>
                </c:pt>
                <c:pt idx="12">
                  <c:v>100.9936</c:v>
                </c:pt>
                <c:pt idx="13">
                  <c:v>101.0421</c:v>
                </c:pt>
                <c:pt idx="14">
                  <c:v>100.9939</c:v>
                </c:pt>
                <c:pt idx="15">
                  <c:v>101.03530000000001</c:v>
                </c:pt>
                <c:pt idx="16">
                  <c:v>100.9696</c:v>
                </c:pt>
                <c:pt idx="17">
                  <c:v>101.0067</c:v>
                </c:pt>
                <c:pt idx="18">
                  <c:v>101.1224</c:v>
                </c:pt>
                <c:pt idx="19">
                  <c:v>101.38890000000001</c:v>
                </c:pt>
                <c:pt idx="20">
                  <c:v>101.9517</c:v>
                </c:pt>
                <c:pt idx="21">
                  <c:v>102.48</c:v>
                </c:pt>
                <c:pt idx="22">
                  <c:v>102.85429999999999</c:v>
                </c:pt>
                <c:pt idx="23">
                  <c:v>103.34569999999999</c:v>
                </c:pt>
                <c:pt idx="24">
                  <c:v>103.8257</c:v>
                </c:pt>
                <c:pt idx="25">
                  <c:v>104.23860000000001</c:v>
                </c:pt>
                <c:pt idx="26">
                  <c:v>104.5771</c:v>
                </c:pt>
                <c:pt idx="27">
                  <c:v>104.74</c:v>
                </c:pt>
                <c:pt idx="28">
                  <c:v>104.7886</c:v>
                </c:pt>
                <c:pt idx="29">
                  <c:v>105.0543</c:v>
                </c:pt>
                <c:pt idx="30">
                  <c:v>105.1571</c:v>
                </c:pt>
                <c:pt idx="31">
                  <c:v>105.36</c:v>
                </c:pt>
                <c:pt idx="32">
                  <c:v>105.4943</c:v>
                </c:pt>
                <c:pt idx="33">
                  <c:v>106.6314</c:v>
                </c:pt>
                <c:pt idx="34">
                  <c:v>106.9486</c:v>
                </c:pt>
                <c:pt idx="35">
                  <c:v>107.35290000000001</c:v>
                </c:pt>
                <c:pt idx="36">
                  <c:v>107.75709999999999</c:v>
                </c:pt>
                <c:pt idx="37">
                  <c:v>108.18429999999999</c:v>
                </c:pt>
                <c:pt idx="38">
                  <c:v>108.48139999999999</c:v>
                </c:pt>
                <c:pt idx="39">
                  <c:v>108.8686</c:v>
                </c:pt>
                <c:pt idx="40">
                  <c:v>108.01860000000001</c:v>
                </c:pt>
                <c:pt idx="41">
                  <c:v>108.26</c:v>
                </c:pt>
                <c:pt idx="42">
                  <c:v>108.65860000000001</c:v>
                </c:pt>
                <c:pt idx="43">
                  <c:v>108.89709999999999</c:v>
                </c:pt>
                <c:pt idx="44">
                  <c:v>109.2971</c:v>
                </c:pt>
                <c:pt idx="45">
                  <c:v>109.76</c:v>
                </c:pt>
                <c:pt idx="46">
                  <c:v>110.16</c:v>
                </c:pt>
                <c:pt idx="47">
                  <c:v>111.05289999999999</c:v>
                </c:pt>
                <c:pt idx="48">
                  <c:v>111.6571</c:v>
                </c:pt>
                <c:pt idx="49">
                  <c:v>111.9</c:v>
                </c:pt>
                <c:pt idx="50">
                  <c:v>112.1571</c:v>
                </c:pt>
                <c:pt idx="51">
                  <c:v>112.28570000000001</c:v>
                </c:pt>
                <c:pt idx="52">
                  <c:v>112.25709999999999</c:v>
                </c:pt>
                <c:pt idx="53">
                  <c:v>112.3857</c:v>
                </c:pt>
                <c:pt idx="54">
                  <c:v>112.3143</c:v>
                </c:pt>
                <c:pt idx="55">
                  <c:v>112.24290000000001</c:v>
                </c:pt>
                <c:pt idx="56">
                  <c:v>112.51430000000001</c:v>
                </c:pt>
                <c:pt idx="57">
                  <c:v>112.7</c:v>
                </c:pt>
                <c:pt idx="58">
                  <c:v>112.94289999999999</c:v>
                </c:pt>
                <c:pt idx="59">
                  <c:v>113.3143</c:v>
                </c:pt>
                <c:pt idx="60">
                  <c:v>113.5</c:v>
                </c:pt>
                <c:pt idx="61">
                  <c:v>113.7</c:v>
                </c:pt>
                <c:pt idx="62">
                  <c:v>114</c:v>
                </c:pt>
                <c:pt idx="63">
                  <c:v>114.21429999999999</c:v>
                </c:pt>
                <c:pt idx="64">
                  <c:v>114.9571</c:v>
                </c:pt>
                <c:pt idx="65">
                  <c:v>115.3143</c:v>
                </c:pt>
                <c:pt idx="66">
                  <c:v>115.6571</c:v>
                </c:pt>
                <c:pt idx="67">
                  <c:v>116.0167</c:v>
                </c:pt>
                <c:pt idx="68">
                  <c:v>116.42</c:v>
                </c:pt>
                <c:pt idx="69">
                  <c:v>116.825</c:v>
                </c:pt>
              </c:numCache>
            </c:numRef>
          </c:val>
          <c:smooth val="0"/>
          <c:extLst>
            <c:ext xmlns:c16="http://schemas.microsoft.com/office/drawing/2014/chart" uri="{C3380CC4-5D6E-409C-BE32-E72D297353CC}">
              <c16:uniqueId val="{00000002-7773-AF40-B2D4-B69534E2715F}"/>
            </c:ext>
          </c:extLst>
        </c:ser>
        <c:ser>
          <c:idx val="3"/>
          <c:order val="3"/>
          <c:tx>
            <c:strRef>
              <c:f>'[Hedonic Indexes.xlsx]House Rental Hedonic Index'!$L$1</c:f>
              <c:strCache>
                <c:ptCount val="1"/>
                <c:pt idx="0">
                  <c:v>GreaterGeelong</c:v>
                </c:pt>
              </c:strCache>
            </c:strRef>
          </c:tx>
          <c:spPr>
            <a:ln w="28575" cap="rnd">
              <a:solidFill>
                <a:schemeClr val="accent4"/>
              </a:solidFill>
              <a:round/>
            </a:ln>
            <a:effectLst/>
          </c:spPr>
          <c:marker>
            <c:symbol val="none"/>
          </c:marker>
          <c:cat>
            <c:strRef>
              <c:f>'[Hedonic Indexes.xlsx]House Rental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Indexes.xlsx]House Rental Hedonic Index'!$L$2:$L$71</c:f>
              <c:numCache>
                <c:formatCode>General</c:formatCode>
                <c:ptCount val="70"/>
                <c:pt idx="0">
                  <c:v>100</c:v>
                </c:pt>
                <c:pt idx="1">
                  <c:v>99.913200000000003</c:v>
                </c:pt>
                <c:pt idx="2">
                  <c:v>99.514330000000001</c:v>
                </c:pt>
                <c:pt idx="3">
                  <c:v>99.446569999999994</c:v>
                </c:pt>
                <c:pt idx="4">
                  <c:v>99.260859999999994</c:v>
                </c:pt>
                <c:pt idx="5">
                  <c:v>99.337569999999999</c:v>
                </c:pt>
                <c:pt idx="6">
                  <c:v>99.380420000000001</c:v>
                </c:pt>
                <c:pt idx="7">
                  <c:v>99.424710000000005</c:v>
                </c:pt>
                <c:pt idx="8">
                  <c:v>99.648139999999998</c:v>
                </c:pt>
                <c:pt idx="9">
                  <c:v>100.4439</c:v>
                </c:pt>
                <c:pt idx="10">
                  <c:v>100.89960000000001</c:v>
                </c:pt>
                <c:pt idx="11">
                  <c:v>101.3567</c:v>
                </c:pt>
                <c:pt idx="12">
                  <c:v>101.5829</c:v>
                </c:pt>
                <c:pt idx="13">
                  <c:v>101.6904</c:v>
                </c:pt>
                <c:pt idx="14">
                  <c:v>101.6661</c:v>
                </c:pt>
                <c:pt idx="15">
                  <c:v>101.6404</c:v>
                </c:pt>
                <c:pt idx="16">
                  <c:v>101.48609999999999</c:v>
                </c:pt>
                <c:pt idx="17">
                  <c:v>101.65900000000001</c:v>
                </c:pt>
                <c:pt idx="18">
                  <c:v>101.67189999999999</c:v>
                </c:pt>
                <c:pt idx="19">
                  <c:v>101.5804</c:v>
                </c:pt>
                <c:pt idx="20">
                  <c:v>102.07</c:v>
                </c:pt>
                <c:pt idx="21">
                  <c:v>102.8343</c:v>
                </c:pt>
                <c:pt idx="22">
                  <c:v>103.26860000000001</c:v>
                </c:pt>
                <c:pt idx="23">
                  <c:v>103.80289999999999</c:v>
                </c:pt>
                <c:pt idx="24">
                  <c:v>104.09</c:v>
                </c:pt>
                <c:pt idx="25">
                  <c:v>104.61</c:v>
                </c:pt>
                <c:pt idx="26">
                  <c:v>105.31140000000001</c:v>
                </c:pt>
                <c:pt idx="27">
                  <c:v>105.5386</c:v>
                </c:pt>
                <c:pt idx="28">
                  <c:v>105.6014</c:v>
                </c:pt>
                <c:pt idx="29">
                  <c:v>105.7871</c:v>
                </c:pt>
                <c:pt idx="30">
                  <c:v>106.01430000000001</c:v>
                </c:pt>
                <c:pt idx="31">
                  <c:v>106.0886</c:v>
                </c:pt>
                <c:pt idx="32">
                  <c:v>106.3429</c:v>
                </c:pt>
                <c:pt idx="33">
                  <c:v>106.5457</c:v>
                </c:pt>
                <c:pt idx="34">
                  <c:v>106.8486</c:v>
                </c:pt>
                <c:pt idx="35">
                  <c:v>107.6614</c:v>
                </c:pt>
                <c:pt idx="36">
                  <c:v>108.5257</c:v>
                </c:pt>
                <c:pt idx="37">
                  <c:v>109.04859999999999</c:v>
                </c:pt>
                <c:pt idx="38">
                  <c:v>109.62430000000001</c:v>
                </c:pt>
                <c:pt idx="39">
                  <c:v>109.94</c:v>
                </c:pt>
                <c:pt idx="40">
                  <c:v>110.18859999999999</c:v>
                </c:pt>
                <c:pt idx="41">
                  <c:v>110.51860000000001</c:v>
                </c:pt>
                <c:pt idx="42">
                  <c:v>110.32429999999999</c:v>
                </c:pt>
                <c:pt idx="43">
                  <c:v>110.2529</c:v>
                </c:pt>
                <c:pt idx="44">
                  <c:v>110.41</c:v>
                </c:pt>
                <c:pt idx="45">
                  <c:v>110.7529</c:v>
                </c:pt>
                <c:pt idx="46">
                  <c:v>110.8643</c:v>
                </c:pt>
                <c:pt idx="47">
                  <c:v>111.52</c:v>
                </c:pt>
                <c:pt idx="48">
                  <c:v>112.22</c:v>
                </c:pt>
                <c:pt idx="49">
                  <c:v>112.75709999999999</c:v>
                </c:pt>
                <c:pt idx="50">
                  <c:v>112.9143</c:v>
                </c:pt>
                <c:pt idx="51">
                  <c:v>113.3</c:v>
                </c:pt>
                <c:pt idx="52">
                  <c:v>113.3571</c:v>
                </c:pt>
                <c:pt idx="53">
                  <c:v>113.75709999999999</c:v>
                </c:pt>
                <c:pt idx="54">
                  <c:v>113.62860000000001</c:v>
                </c:pt>
                <c:pt idx="55">
                  <c:v>113.2714</c:v>
                </c:pt>
                <c:pt idx="56">
                  <c:v>113.2714</c:v>
                </c:pt>
                <c:pt idx="57">
                  <c:v>113.4286</c:v>
                </c:pt>
                <c:pt idx="58">
                  <c:v>113.3</c:v>
                </c:pt>
                <c:pt idx="59">
                  <c:v>113.6143</c:v>
                </c:pt>
                <c:pt idx="60">
                  <c:v>113.5</c:v>
                </c:pt>
                <c:pt idx="61">
                  <c:v>113.3143</c:v>
                </c:pt>
                <c:pt idx="62">
                  <c:v>113.4571</c:v>
                </c:pt>
                <c:pt idx="63">
                  <c:v>113.3429</c:v>
                </c:pt>
                <c:pt idx="64">
                  <c:v>113.5</c:v>
                </c:pt>
                <c:pt idx="65">
                  <c:v>113.9</c:v>
                </c:pt>
                <c:pt idx="66">
                  <c:v>113.71429999999999</c:v>
                </c:pt>
                <c:pt idx="67">
                  <c:v>113.9333</c:v>
                </c:pt>
                <c:pt idx="68">
                  <c:v>114.32</c:v>
                </c:pt>
                <c:pt idx="69">
                  <c:v>114.55</c:v>
                </c:pt>
              </c:numCache>
            </c:numRef>
          </c:val>
          <c:smooth val="0"/>
          <c:extLst>
            <c:ext xmlns:c16="http://schemas.microsoft.com/office/drawing/2014/chart" uri="{C3380CC4-5D6E-409C-BE32-E72D297353CC}">
              <c16:uniqueId val="{00000003-7773-AF40-B2D4-B69534E2715F}"/>
            </c:ext>
          </c:extLst>
        </c:ser>
        <c:ser>
          <c:idx val="4"/>
          <c:order val="4"/>
          <c:tx>
            <c:strRef>
              <c:f>'[Hedonic Indexes.xlsx]House Rental Hedonic Index'!$M$1</c:f>
              <c:strCache>
                <c:ptCount val="1"/>
                <c:pt idx="0">
                  <c:v>FocalSuburbs</c:v>
                </c:pt>
              </c:strCache>
            </c:strRef>
          </c:tx>
          <c:spPr>
            <a:ln w="28575" cap="rnd">
              <a:solidFill>
                <a:schemeClr val="accent5"/>
              </a:solidFill>
              <a:round/>
            </a:ln>
            <a:effectLst/>
          </c:spPr>
          <c:marker>
            <c:symbol val="none"/>
          </c:marker>
          <c:cat>
            <c:strRef>
              <c:f>'[Hedonic Indexes.xlsx]House Rental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Indexes.xlsx]House Rental Hedonic Index'!$M$2:$M$71</c:f>
              <c:numCache>
                <c:formatCode>General</c:formatCode>
                <c:ptCount val="70"/>
                <c:pt idx="0">
                  <c:v>100</c:v>
                </c:pt>
                <c:pt idx="1">
                  <c:v>99.651200000000003</c:v>
                </c:pt>
                <c:pt idx="2">
                  <c:v>99.555999999999997</c:v>
                </c:pt>
                <c:pt idx="3">
                  <c:v>99.573719999999994</c:v>
                </c:pt>
                <c:pt idx="4">
                  <c:v>99.542289999999994</c:v>
                </c:pt>
                <c:pt idx="5">
                  <c:v>99.601429999999993</c:v>
                </c:pt>
                <c:pt idx="6">
                  <c:v>99.578569999999999</c:v>
                </c:pt>
                <c:pt idx="7">
                  <c:v>99.491420000000005</c:v>
                </c:pt>
                <c:pt idx="8">
                  <c:v>99.140569999999997</c:v>
                </c:pt>
                <c:pt idx="9">
                  <c:v>99.427710000000005</c:v>
                </c:pt>
                <c:pt idx="10">
                  <c:v>99.521429999999995</c:v>
                </c:pt>
                <c:pt idx="11">
                  <c:v>99.842860000000002</c:v>
                </c:pt>
                <c:pt idx="12">
                  <c:v>99.82629</c:v>
                </c:pt>
                <c:pt idx="13">
                  <c:v>100.03270000000001</c:v>
                </c:pt>
                <c:pt idx="14">
                  <c:v>100.12130000000001</c:v>
                </c:pt>
                <c:pt idx="15">
                  <c:v>100.57429999999999</c:v>
                </c:pt>
                <c:pt idx="16">
                  <c:v>100.59139999999999</c:v>
                </c:pt>
                <c:pt idx="17">
                  <c:v>101.07340000000001</c:v>
                </c:pt>
                <c:pt idx="18">
                  <c:v>101.05629999999999</c:v>
                </c:pt>
                <c:pt idx="19">
                  <c:v>100.9294</c:v>
                </c:pt>
                <c:pt idx="20">
                  <c:v>101.143</c:v>
                </c:pt>
                <c:pt idx="21">
                  <c:v>101.8287</c:v>
                </c:pt>
                <c:pt idx="22">
                  <c:v>102.4957</c:v>
                </c:pt>
                <c:pt idx="23">
                  <c:v>102.75709999999999</c:v>
                </c:pt>
                <c:pt idx="24">
                  <c:v>102.9629</c:v>
                </c:pt>
                <c:pt idx="25">
                  <c:v>103.2371</c:v>
                </c:pt>
                <c:pt idx="26">
                  <c:v>104.30710000000001</c:v>
                </c:pt>
                <c:pt idx="27">
                  <c:v>105.2457</c:v>
                </c:pt>
                <c:pt idx="28">
                  <c:v>105.5543</c:v>
                </c:pt>
                <c:pt idx="29">
                  <c:v>105.69710000000001</c:v>
                </c:pt>
                <c:pt idx="30">
                  <c:v>106.1657</c:v>
                </c:pt>
                <c:pt idx="31">
                  <c:v>106.48860000000001</c:v>
                </c:pt>
                <c:pt idx="32">
                  <c:v>106.9414</c:v>
                </c:pt>
                <c:pt idx="33">
                  <c:v>107.19</c:v>
                </c:pt>
                <c:pt idx="34">
                  <c:v>107.0929</c:v>
                </c:pt>
                <c:pt idx="35">
                  <c:v>108.2343</c:v>
                </c:pt>
                <c:pt idx="36">
                  <c:v>109.64</c:v>
                </c:pt>
                <c:pt idx="37">
                  <c:v>110.45140000000001</c:v>
                </c:pt>
                <c:pt idx="38">
                  <c:v>111.0643</c:v>
                </c:pt>
                <c:pt idx="39">
                  <c:v>111.53570000000001</c:v>
                </c:pt>
                <c:pt idx="40">
                  <c:v>111.98569999999999</c:v>
                </c:pt>
                <c:pt idx="41">
                  <c:v>112.3857</c:v>
                </c:pt>
                <c:pt idx="42">
                  <c:v>112.0714</c:v>
                </c:pt>
                <c:pt idx="43">
                  <c:v>111.6857</c:v>
                </c:pt>
                <c:pt idx="44">
                  <c:v>112.32859999999999</c:v>
                </c:pt>
                <c:pt idx="45">
                  <c:v>112.62860000000001</c:v>
                </c:pt>
                <c:pt idx="46">
                  <c:v>113.1</c:v>
                </c:pt>
                <c:pt idx="47">
                  <c:v>113.78570000000001</c:v>
                </c:pt>
                <c:pt idx="48">
                  <c:v>114.4</c:v>
                </c:pt>
                <c:pt idx="49">
                  <c:v>114.9714</c:v>
                </c:pt>
                <c:pt idx="50">
                  <c:v>115.1571</c:v>
                </c:pt>
                <c:pt idx="51">
                  <c:v>115.01430000000001</c:v>
                </c:pt>
                <c:pt idx="52">
                  <c:v>115.3571</c:v>
                </c:pt>
                <c:pt idx="53">
                  <c:v>115.4143</c:v>
                </c:pt>
                <c:pt idx="54">
                  <c:v>115.7</c:v>
                </c:pt>
                <c:pt idx="55">
                  <c:v>116.1143</c:v>
                </c:pt>
                <c:pt idx="56">
                  <c:v>116.3</c:v>
                </c:pt>
                <c:pt idx="57">
                  <c:v>116.78570000000001</c:v>
                </c:pt>
                <c:pt idx="58">
                  <c:v>117.32859999999999</c:v>
                </c:pt>
                <c:pt idx="59">
                  <c:v>117.75709999999999</c:v>
                </c:pt>
                <c:pt idx="60">
                  <c:v>118.2</c:v>
                </c:pt>
                <c:pt idx="61">
                  <c:v>117.74290000000001</c:v>
                </c:pt>
                <c:pt idx="62">
                  <c:v>117.5429</c:v>
                </c:pt>
                <c:pt idx="63">
                  <c:v>117.3857</c:v>
                </c:pt>
                <c:pt idx="64">
                  <c:v>117.1</c:v>
                </c:pt>
                <c:pt idx="65">
                  <c:v>117.6429</c:v>
                </c:pt>
                <c:pt idx="66">
                  <c:v>117.2286</c:v>
                </c:pt>
                <c:pt idx="67">
                  <c:v>117.25</c:v>
                </c:pt>
                <c:pt idx="68">
                  <c:v>117.64</c:v>
                </c:pt>
                <c:pt idx="69">
                  <c:v>118.05</c:v>
                </c:pt>
              </c:numCache>
            </c:numRef>
          </c:val>
          <c:smooth val="0"/>
          <c:extLst>
            <c:ext xmlns:c16="http://schemas.microsoft.com/office/drawing/2014/chart" uri="{C3380CC4-5D6E-409C-BE32-E72D297353CC}">
              <c16:uniqueId val="{00000004-7773-AF40-B2D4-B69534E2715F}"/>
            </c:ext>
          </c:extLst>
        </c:ser>
        <c:dLbls>
          <c:showLegendKey val="0"/>
          <c:showVal val="0"/>
          <c:showCatName val="0"/>
          <c:showSerName val="0"/>
          <c:showPercent val="0"/>
          <c:showBubbleSize val="0"/>
        </c:dLbls>
        <c:smooth val="0"/>
        <c:axId val="476958488"/>
        <c:axId val="476956192"/>
      </c:lineChart>
      <c:catAx>
        <c:axId val="476958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956192"/>
        <c:crosses val="autoZero"/>
        <c:auto val="1"/>
        <c:lblAlgn val="ctr"/>
        <c:lblOffset val="100"/>
        <c:noMultiLvlLbl val="0"/>
      </c:catAx>
      <c:valAx>
        <c:axId val="476956192"/>
        <c:scaling>
          <c:orientation val="minMax"/>
          <c:max val="120"/>
          <c:min val="9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958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Unit</a:t>
            </a:r>
            <a:r>
              <a:rPr lang="en-AU" baseline="0"/>
              <a:t> Price Hedonic Index</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'[Hedonic Indexes.xlsx]Unit Price Hedonic Index'!$I$1</c:f>
              <c:strCache>
                <c:ptCount val="1"/>
                <c:pt idx="0">
                  <c:v>VIC</c:v>
                </c:pt>
              </c:strCache>
            </c:strRef>
          </c:tx>
          <c:spPr>
            <a:ln w="28575" cap="rnd">
              <a:solidFill>
                <a:schemeClr val="accent1"/>
              </a:solidFill>
              <a:round/>
            </a:ln>
            <a:effectLst/>
          </c:spPr>
          <c:marker>
            <c:symbol val="none"/>
          </c:marker>
          <c:cat>
            <c:strRef>
              <c:f>'[Hedonic Indexes.xlsx]Unit Price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Indexes.xlsx]Unit Price Hedonic Index'!$I$2:$I$71</c:f>
              <c:numCache>
                <c:formatCode>General</c:formatCode>
                <c:ptCount val="70"/>
                <c:pt idx="0">
                  <c:v>100</c:v>
                </c:pt>
                <c:pt idx="1">
                  <c:v>104.014</c:v>
                </c:pt>
                <c:pt idx="2">
                  <c:v>105.345</c:v>
                </c:pt>
                <c:pt idx="3">
                  <c:v>104.9671</c:v>
                </c:pt>
                <c:pt idx="4">
                  <c:v>105.7543</c:v>
                </c:pt>
                <c:pt idx="5">
                  <c:v>106.19289999999999</c:v>
                </c:pt>
                <c:pt idx="6">
                  <c:v>106.0157</c:v>
                </c:pt>
                <c:pt idx="7">
                  <c:v>105.7471</c:v>
                </c:pt>
                <c:pt idx="8">
                  <c:v>105.2671</c:v>
                </c:pt>
                <c:pt idx="9">
                  <c:v>103.76860000000001</c:v>
                </c:pt>
                <c:pt idx="10">
                  <c:v>103.5214</c:v>
                </c:pt>
                <c:pt idx="11">
                  <c:v>103.3314</c:v>
                </c:pt>
                <c:pt idx="12">
                  <c:v>103.2471</c:v>
                </c:pt>
                <c:pt idx="13">
                  <c:v>103.3629</c:v>
                </c:pt>
                <c:pt idx="14">
                  <c:v>103.51</c:v>
                </c:pt>
                <c:pt idx="15">
                  <c:v>103.288</c:v>
                </c:pt>
                <c:pt idx="16">
                  <c:v>103.5894</c:v>
                </c:pt>
                <c:pt idx="17">
                  <c:v>104.0594</c:v>
                </c:pt>
                <c:pt idx="18">
                  <c:v>104.1366</c:v>
                </c:pt>
                <c:pt idx="19">
                  <c:v>102.9023</c:v>
                </c:pt>
                <c:pt idx="20">
                  <c:v>102.7551</c:v>
                </c:pt>
                <c:pt idx="21">
                  <c:v>102.4666</c:v>
                </c:pt>
                <c:pt idx="22">
                  <c:v>103.1814</c:v>
                </c:pt>
                <c:pt idx="23">
                  <c:v>103.5671</c:v>
                </c:pt>
                <c:pt idx="24">
                  <c:v>104.0629</c:v>
                </c:pt>
                <c:pt idx="25">
                  <c:v>105.0171</c:v>
                </c:pt>
                <c:pt idx="26">
                  <c:v>107.4014</c:v>
                </c:pt>
                <c:pt idx="27">
                  <c:v>107.51</c:v>
                </c:pt>
                <c:pt idx="28">
                  <c:v>108.1771</c:v>
                </c:pt>
                <c:pt idx="29">
                  <c:v>108.6914</c:v>
                </c:pt>
                <c:pt idx="30">
                  <c:v>109.04</c:v>
                </c:pt>
                <c:pt idx="31">
                  <c:v>109.0157</c:v>
                </c:pt>
                <c:pt idx="32">
                  <c:v>108.8043</c:v>
                </c:pt>
                <c:pt idx="33">
                  <c:v>107.7771</c:v>
                </c:pt>
                <c:pt idx="34">
                  <c:v>108.0014</c:v>
                </c:pt>
                <c:pt idx="35">
                  <c:v>108.03</c:v>
                </c:pt>
                <c:pt idx="36">
                  <c:v>107.7129</c:v>
                </c:pt>
                <c:pt idx="37">
                  <c:v>107.19289999999999</c:v>
                </c:pt>
                <c:pt idx="38">
                  <c:v>106.7543</c:v>
                </c:pt>
                <c:pt idx="39">
                  <c:v>105.67</c:v>
                </c:pt>
                <c:pt idx="40">
                  <c:v>105.04</c:v>
                </c:pt>
                <c:pt idx="41">
                  <c:v>104.83710000000001</c:v>
                </c:pt>
                <c:pt idx="42">
                  <c:v>103.6943</c:v>
                </c:pt>
                <c:pt idx="43">
                  <c:v>102.2557</c:v>
                </c:pt>
                <c:pt idx="44">
                  <c:v>101.48569999999999</c:v>
                </c:pt>
                <c:pt idx="45">
                  <c:v>100.5514</c:v>
                </c:pt>
                <c:pt idx="46">
                  <c:v>100.3629</c:v>
                </c:pt>
                <c:pt idx="47">
                  <c:v>100.4314</c:v>
                </c:pt>
                <c:pt idx="48">
                  <c:v>100.1357</c:v>
                </c:pt>
                <c:pt idx="49">
                  <c:v>100.5243</c:v>
                </c:pt>
                <c:pt idx="50">
                  <c:v>101.6157</c:v>
                </c:pt>
                <c:pt idx="51">
                  <c:v>102.29</c:v>
                </c:pt>
                <c:pt idx="52">
                  <c:v>103.46429999999999</c:v>
                </c:pt>
                <c:pt idx="53">
                  <c:v>104.5214</c:v>
                </c:pt>
                <c:pt idx="54">
                  <c:v>105.45140000000001</c:v>
                </c:pt>
                <c:pt idx="55">
                  <c:v>106.6343</c:v>
                </c:pt>
                <c:pt idx="56">
                  <c:v>107.9414</c:v>
                </c:pt>
                <c:pt idx="57">
                  <c:v>108.6271</c:v>
                </c:pt>
                <c:pt idx="58">
                  <c:v>109.7771</c:v>
                </c:pt>
                <c:pt idx="59">
                  <c:v>110.55289999999999</c:v>
                </c:pt>
                <c:pt idx="60">
                  <c:v>110.6871</c:v>
                </c:pt>
                <c:pt idx="61">
                  <c:v>110.6357</c:v>
                </c:pt>
                <c:pt idx="62">
                  <c:v>110.31570000000001</c:v>
                </c:pt>
                <c:pt idx="63">
                  <c:v>110.20140000000001</c:v>
                </c:pt>
                <c:pt idx="64">
                  <c:v>110.1729</c:v>
                </c:pt>
                <c:pt idx="65">
                  <c:v>110.1157</c:v>
                </c:pt>
                <c:pt idx="66">
                  <c:v>110.03</c:v>
                </c:pt>
                <c:pt idx="67">
                  <c:v>110.1433</c:v>
                </c:pt>
                <c:pt idx="68">
                  <c:v>110.426</c:v>
                </c:pt>
                <c:pt idx="69">
                  <c:v>110.8175</c:v>
                </c:pt>
              </c:numCache>
            </c:numRef>
          </c:val>
          <c:smooth val="0"/>
          <c:extLst>
            <c:ext xmlns:c16="http://schemas.microsoft.com/office/drawing/2014/chart" uri="{C3380CC4-5D6E-409C-BE32-E72D297353CC}">
              <c16:uniqueId val="{00000000-3B49-9F44-95ED-5A7A6102BF57}"/>
            </c:ext>
          </c:extLst>
        </c:ser>
        <c:ser>
          <c:idx val="1"/>
          <c:order val="1"/>
          <c:tx>
            <c:strRef>
              <c:f>'[Hedonic Indexes.xlsx]Unit Price Hedonic Index'!$J$1</c:f>
              <c:strCache>
                <c:ptCount val="1"/>
                <c:pt idx="0">
                  <c:v>GreaterMelbourne</c:v>
                </c:pt>
              </c:strCache>
            </c:strRef>
          </c:tx>
          <c:spPr>
            <a:ln w="28575" cap="rnd">
              <a:solidFill>
                <a:schemeClr val="accent2"/>
              </a:solidFill>
              <a:round/>
            </a:ln>
            <a:effectLst/>
          </c:spPr>
          <c:marker>
            <c:symbol val="none"/>
          </c:marker>
          <c:cat>
            <c:strRef>
              <c:f>'[Hedonic Indexes.xlsx]Unit Price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Indexes.xlsx]Unit Price Hedonic Index'!$J$2:$J$71</c:f>
              <c:numCache>
                <c:formatCode>General</c:formatCode>
                <c:ptCount val="70"/>
                <c:pt idx="0">
                  <c:v>100</c:v>
                </c:pt>
                <c:pt idx="1">
                  <c:v>104.446</c:v>
                </c:pt>
                <c:pt idx="2">
                  <c:v>105.755</c:v>
                </c:pt>
                <c:pt idx="3">
                  <c:v>105.2771</c:v>
                </c:pt>
                <c:pt idx="4">
                  <c:v>106.0086</c:v>
                </c:pt>
                <c:pt idx="5">
                  <c:v>106.47709999999999</c:v>
                </c:pt>
                <c:pt idx="6">
                  <c:v>106.2957</c:v>
                </c:pt>
                <c:pt idx="7">
                  <c:v>105.9486</c:v>
                </c:pt>
                <c:pt idx="8">
                  <c:v>105.63290000000001</c:v>
                </c:pt>
                <c:pt idx="9">
                  <c:v>104.17140000000001</c:v>
                </c:pt>
                <c:pt idx="10">
                  <c:v>103.97709999999999</c:v>
                </c:pt>
                <c:pt idx="11">
                  <c:v>103.99</c:v>
                </c:pt>
                <c:pt idx="12">
                  <c:v>103.9543</c:v>
                </c:pt>
                <c:pt idx="13">
                  <c:v>104.06570000000001</c:v>
                </c:pt>
                <c:pt idx="14">
                  <c:v>104.2471</c:v>
                </c:pt>
                <c:pt idx="15">
                  <c:v>103.91930000000001</c:v>
                </c:pt>
                <c:pt idx="16">
                  <c:v>104.19929999999999</c:v>
                </c:pt>
                <c:pt idx="17">
                  <c:v>104.6593</c:v>
                </c:pt>
                <c:pt idx="18">
                  <c:v>104.605</c:v>
                </c:pt>
                <c:pt idx="19">
                  <c:v>102.965</c:v>
                </c:pt>
                <c:pt idx="20">
                  <c:v>102.755</c:v>
                </c:pt>
                <c:pt idx="21">
                  <c:v>102.495</c:v>
                </c:pt>
                <c:pt idx="22">
                  <c:v>103.19289999999999</c:v>
                </c:pt>
                <c:pt idx="23">
                  <c:v>103.6529</c:v>
                </c:pt>
                <c:pt idx="24">
                  <c:v>104.11709999999999</c:v>
                </c:pt>
                <c:pt idx="25">
                  <c:v>105.1986</c:v>
                </c:pt>
                <c:pt idx="26">
                  <c:v>107.8486</c:v>
                </c:pt>
                <c:pt idx="27">
                  <c:v>107.8943</c:v>
                </c:pt>
                <c:pt idx="28">
                  <c:v>108.42</c:v>
                </c:pt>
                <c:pt idx="29">
                  <c:v>109.04430000000001</c:v>
                </c:pt>
                <c:pt idx="30">
                  <c:v>109.3086</c:v>
                </c:pt>
                <c:pt idx="31">
                  <c:v>109.36709999999999</c:v>
                </c:pt>
                <c:pt idx="32">
                  <c:v>109.09569999999999</c:v>
                </c:pt>
                <c:pt idx="33">
                  <c:v>107.97</c:v>
                </c:pt>
                <c:pt idx="34">
                  <c:v>108.2257</c:v>
                </c:pt>
                <c:pt idx="35">
                  <c:v>108.3357</c:v>
                </c:pt>
                <c:pt idx="36">
                  <c:v>107.9457</c:v>
                </c:pt>
                <c:pt idx="37">
                  <c:v>107.3571</c:v>
                </c:pt>
                <c:pt idx="38">
                  <c:v>106.8686</c:v>
                </c:pt>
                <c:pt idx="39">
                  <c:v>105.5843</c:v>
                </c:pt>
                <c:pt idx="40">
                  <c:v>104.97709999999999</c:v>
                </c:pt>
                <c:pt idx="41">
                  <c:v>104.6657</c:v>
                </c:pt>
                <c:pt idx="42">
                  <c:v>103.33710000000001</c:v>
                </c:pt>
                <c:pt idx="43">
                  <c:v>101.7257</c:v>
                </c:pt>
                <c:pt idx="44">
                  <c:v>100.6814</c:v>
                </c:pt>
                <c:pt idx="45">
                  <c:v>99.565709999999996</c:v>
                </c:pt>
                <c:pt idx="46">
                  <c:v>99.392430000000004</c:v>
                </c:pt>
                <c:pt idx="47">
                  <c:v>99.382429999999999</c:v>
                </c:pt>
                <c:pt idx="48">
                  <c:v>99.069569999999999</c:v>
                </c:pt>
                <c:pt idx="49">
                  <c:v>99.429569999999998</c:v>
                </c:pt>
                <c:pt idx="50">
                  <c:v>100.50239999999999</c:v>
                </c:pt>
                <c:pt idx="51">
                  <c:v>101.3839</c:v>
                </c:pt>
                <c:pt idx="52">
                  <c:v>102.6324</c:v>
                </c:pt>
                <c:pt idx="53">
                  <c:v>103.7743</c:v>
                </c:pt>
                <c:pt idx="54">
                  <c:v>104.6657</c:v>
                </c:pt>
                <c:pt idx="55">
                  <c:v>105.91289999999999</c:v>
                </c:pt>
                <c:pt idx="56">
                  <c:v>107.2443</c:v>
                </c:pt>
                <c:pt idx="57">
                  <c:v>107.8886</c:v>
                </c:pt>
                <c:pt idx="58">
                  <c:v>108.9971</c:v>
                </c:pt>
                <c:pt idx="59">
                  <c:v>109.6914</c:v>
                </c:pt>
                <c:pt idx="60">
                  <c:v>109.66289999999999</c:v>
                </c:pt>
                <c:pt idx="61">
                  <c:v>109.51139999999999</c:v>
                </c:pt>
                <c:pt idx="62">
                  <c:v>108.94</c:v>
                </c:pt>
                <c:pt idx="63">
                  <c:v>108.81570000000001</c:v>
                </c:pt>
                <c:pt idx="64">
                  <c:v>108.6771</c:v>
                </c:pt>
                <c:pt idx="65">
                  <c:v>108.2371</c:v>
                </c:pt>
                <c:pt idx="66">
                  <c:v>108.08</c:v>
                </c:pt>
                <c:pt idx="67">
                  <c:v>108.0783</c:v>
                </c:pt>
                <c:pt idx="68">
                  <c:v>108.258</c:v>
                </c:pt>
                <c:pt idx="69">
                  <c:v>108.7225</c:v>
                </c:pt>
              </c:numCache>
            </c:numRef>
          </c:val>
          <c:smooth val="0"/>
          <c:extLst>
            <c:ext xmlns:c16="http://schemas.microsoft.com/office/drawing/2014/chart" uri="{C3380CC4-5D6E-409C-BE32-E72D297353CC}">
              <c16:uniqueId val="{00000001-3B49-9F44-95ED-5A7A6102BF57}"/>
            </c:ext>
          </c:extLst>
        </c:ser>
        <c:ser>
          <c:idx val="2"/>
          <c:order val="2"/>
          <c:tx>
            <c:strRef>
              <c:f>'[Hedonic Indexes.xlsx]Unit Price Hedonic Index'!$K$1</c:f>
              <c:strCache>
                <c:ptCount val="1"/>
                <c:pt idx="0">
                  <c:v>RegionalVIC</c:v>
                </c:pt>
              </c:strCache>
            </c:strRef>
          </c:tx>
          <c:spPr>
            <a:ln w="28575" cap="rnd">
              <a:solidFill>
                <a:schemeClr val="accent3"/>
              </a:solidFill>
              <a:round/>
            </a:ln>
            <a:effectLst/>
          </c:spPr>
          <c:marker>
            <c:symbol val="none"/>
          </c:marker>
          <c:cat>
            <c:strRef>
              <c:f>'[Hedonic Indexes.xlsx]Unit Price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Indexes.xlsx]Unit Price Hedonic Index'!$K$2:$K$71</c:f>
              <c:numCache>
                <c:formatCode>General</c:formatCode>
                <c:ptCount val="70"/>
                <c:pt idx="0">
                  <c:v>100</c:v>
                </c:pt>
                <c:pt idx="1">
                  <c:v>101.488</c:v>
                </c:pt>
                <c:pt idx="2">
                  <c:v>102.7617</c:v>
                </c:pt>
                <c:pt idx="3">
                  <c:v>102.9329</c:v>
                </c:pt>
                <c:pt idx="4">
                  <c:v>103.9414</c:v>
                </c:pt>
                <c:pt idx="5">
                  <c:v>104.39709999999999</c:v>
                </c:pt>
                <c:pt idx="6">
                  <c:v>104.1529</c:v>
                </c:pt>
                <c:pt idx="7">
                  <c:v>104.4729</c:v>
                </c:pt>
                <c:pt idx="8">
                  <c:v>103.52630000000001</c:v>
                </c:pt>
                <c:pt idx="9">
                  <c:v>102.1377</c:v>
                </c:pt>
                <c:pt idx="10">
                  <c:v>101.74339999999999</c:v>
                </c:pt>
                <c:pt idx="11">
                  <c:v>100.8806</c:v>
                </c:pt>
                <c:pt idx="12">
                  <c:v>100.6206</c:v>
                </c:pt>
                <c:pt idx="13">
                  <c:v>100.9391</c:v>
                </c:pt>
                <c:pt idx="14">
                  <c:v>100.97490000000001</c:v>
                </c:pt>
                <c:pt idx="15">
                  <c:v>101.0879</c:v>
                </c:pt>
                <c:pt idx="16">
                  <c:v>101.47790000000001</c:v>
                </c:pt>
                <c:pt idx="17">
                  <c:v>101.94929999999999</c:v>
                </c:pt>
                <c:pt idx="18">
                  <c:v>102.47069999999999</c:v>
                </c:pt>
                <c:pt idx="19">
                  <c:v>103.1979</c:v>
                </c:pt>
                <c:pt idx="20">
                  <c:v>103.32210000000001</c:v>
                </c:pt>
                <c:pt idx="21">
                  <c:v>103.0496</c:v>
                </c:pt>
                <c:pt idx="22">
                  <c:v>103.7974</c:v>
                </c:pt>
                <c:pt idx="23">
                  <c:v>104.0274</c:v>
                </c:pt>
                <c:pt idx="24">
                  <c:v>104.7389</c:v>
                </c:pt>
                <c:pt idx="25">
                  <c:v>105.2303</c:v>
                </c:pt>
                <c:pt idx="26">
                  <c:v>106.3289</c:v>
                </c:pt>
                <c:pt idx="27">
                  <c:v>106.676</c:v>
                </c:pt>
                <c:pt idx="28">
                  <c:v>107.8229</c:v>
                </c:pt>
                <c:pt idx="29">
                  <c:v>108.0243</c:v>
                </c:pt>
                <c:pt idx="30">
                  <c:v>108.6414</c:v>
                </c:pt>
                <c:pt idx="31">
                  <c:v>108.3343</c:v>
                </c:pt>
                <c:pt idx="32">
                  <c:v>108.3943</c:v>
                </c:pt>
                <c:pt idx="33">
                  <c:v>107.77290000000001</c:v>
                </c:pt>
                <c:pt idx="34">
                  <c:v>107.8686</c:v>
                </c:pt>
                <c:pt idx="35">
                  <c:v>107.5671</c:v>
                </c:pt>
                <c:pt idx="36">
                  <c:v>107.4014</c:v>
                </c:pt>
                <c:pt idx="37">
                  <c:v>107.12860000000001</c:v>
                </c:pt>
                <c:pt idx="38">
                  <c:v>106.7586</c:v>
                </c:pt>
                <c:pt idx="39">
                  <c:v>106.4057</c:v>
                </c:pt>
                <c:pt idx="40">
                  <c:v>105.6871</c:v>
                </c:pt>
                <c:pt idx="41">
                  <c:v>105.9186</c:v>
                </c:pt>
                <c:pt idx="42">
                  <c:v>105.4543</c:v>
                </c:pt>
                <c:pt idx="43">
                  <c:v>104.72</c:v>
                </c:pt>
                <c:pt idx="44">
                  <c:v>104.81570000000001</c:v>
                </c:pt>
                <c:pt idx="45">
                  <c:v>104.5471</c:v>
                </c:pt>
                <c:pt idx="46">
                  <c:v>104.3343</c:v>
                </c:pt>
                <c:pt idx="47">
                  <c:v>104.6771</c:v>
                </c:pt>
                <c:pt idx="48">
                  <c:v>104.42570000000001</c:v>
                </c:pt>
                <c:pt idx="49">
                  <c:v>104.9843</c:v>
                </c:pt>
                <c:pt idx="50">
                  <c:v>106.0286</c:v>
                </c:pt>
                <c:pt idx="51">
                  <c:v>106.0386</c:v>
                </c:pt>
                <c:pt idx="52">
                  <c:v>106.9143</c:v>
                </c:pt>
                <c:pt idx="53">
                  <c:v>107.5671</c:v>
                </c:pt>
                <c:pt idx="54">
                  <c:v>108.65</c:v>
                </c:pt>
                <c:pt idx="55">
                  <c:v>109.57</c:v>
                </c:pt>
                <c:pt idx="56">
                  <c:v>110.60429999999999</c:v>
                </c:pt>
                <c:pt idx="57">
                  <c:v>111.4757</c:v>
                </c:pt>
                <c:pt idx="58">
                  <c:v>112.7043</c:v>
                </c:pt>
                <c:pt idx="59">
                  <c:v>113.72</c:v>
                </c:pt>
                <c:pt idx="60">
                  <c:v>114.3857</c:v>
                </c:pt>
                <c:pt idx="61">
                  <c:v>114.51430000000001</c:v>
                </c:pt>
                <c:pt idx="62">
                  <c:v>114.94289999999999</c:v>
                </c:pt>
                <c:pt idx="63">
                  <c:v>114.8571</c:v>
                </c:pt>
                <c:pt idx="64">
                  <c:v>114.74290000000001</c:v>
                </c:pt>
                <c:pt idx="65">
                  <c:v>115</c:v>
                </c:pt>
                <c:pt idx="66">
                  <c:v>115.0286</c:v>
                </c:pt>
                <c:pt idx="67">
                  <c:v>115.2333</c:v>
                </c:pt>
                <c:pt idx="68">
                  <c:v>115.58</c:v>
                </c:pt>
                <c:pt idx="69">
                  <c:v>115.25</c:v>
                </c:pt>
              </c:numCache>
            </c:numRef>
          </c:val>
          <c:smooth val="0"/>
          <c:extLst>
            <c:ext xmlns:c16="http://schemas.microsoft.com/office/drawing/2014/chart" uri="{C3380CC4-5D6E-409C-BE32-E72D297353CC}">
              <c16:uniqueId val="{00000002-3B49-9F44-95ED-5A7A6102BF57}"/>
            </c:ext>
          </c:extLst>
        </c:ser>
        <c:ser>
          <c:idx val="3"/>
          <c:order val="3"/>
          <c:tx>
            <c:strRef>
              <c:f>'[Hedonic Indexes.xlsx]Unit Price Hedonic Index'!$L$1</c:f>
              <c:strCache>
                <c:ptCount val="1"/>
                <c:pt idx="0">
                  <c:v>GreaterGeelong</c:v>
                </c:pt>
              </c:strCache>
            </c:strRef>
          </c:tx>
          <c:spPr>
            <a:ln w="28575" cap="rnd">
              <a:solidFill>
                <a:schemeClr val="accent4"/>
              </a:solidFill>
              <a:round/>
            </a:ln>
            <a:effectLst/>
          </c:spPr>
          <c:marker>
            <c:symbol val="none"/>
          </c:marker>
          <c:cat>
            <c:strRef>
              <c:f>'[Hedonic Indexes.xlsx]Unit Price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Indexes.xlsx]Unit Price Hedonic Index'!$L$2:$L$71</c:f>
              <c:numCache>
                <c:formatCode>General</c:formatCode>
                <c:ptCount val="70"/>
                <c:pt idx="0">
                  <c:v>100</c:v>
                </c:pt>
                <c:pt idx="1">
                  <c:v>101.364</c:v>
                </c:pt>
                <c:pt idx="2">
                  <c:v>104.4867</c:v>
                </c:pt>
                <c:pt idx="3">
                  <c:v>103.8597</c:v>
                </c:pt>
                <c:pt idx="4">
                  <c:v>103.52970000000001</c:v>
                </c:pt>
                <c:pt idx="5">
                  <c:v>102.65260000000001</c:v>
                </c:pt>
                <c:pt idx="6">
                  <c:v>101.8883</c:v>
                </c:pt>
                <c:pt idx="7">
                  <c:v>103.2311</c:v>
                </c:pt>
                <c:pt idx="8">
                  <c:v>104.52970000000001</c:v>
                </c:pt>
                <c:pt idx="9">
                  <c:v>102.23690000000001</c:v>
                </c:pt>
                <c:pt idx="10">
                  <c:v>102.4057</c:v>
                </c:pt>
                <c:pt idx="11">
                  <c:v>104.6357</c:v>
                </c:pt>
                <c:pt idx="12">
                  <c:v>106.12569999999999</c:v>
                </c:pt>
                <c:pt idx="13">
                  <c:v>107.48860000000001</c:v>
                </c:pt>
                <c:pt idx="14">
                  <c:v>105.6814</c:v>
                </c:pt>
                <c:pt idx="15">
                  <c:v>105.0429</c:v>
                </c:pt>
                <c:pt idx="16">
                  <c:v>104.8557</c:v>
                </c:pt>
                <c:pt idx="17">
                  <c:v>104.19289999999999</c:v>
                </c:pt>
                <c:pt idx="18">
                  <c:v>102.8271</c:v>
                </c:pt>
                <c:pt idx="19">
                  <c:v>101.6643</c:v>
                </c:pt>
                <c:pt idx="20">
                  <c:v>101.65860000000001</c:v>
                </c:pt>
                <c:pt idx="21">
                  <c:v>102.4957</c:v>
                </c:pt>
                <c:pt idx="22">
                  <c:v>102.7929</c:v>
                </c:pt>
                <c:pt idx="23">
                  <c:v>103.10290000000001</c:v>
                </c:pt>
                <c:pt idx="24">
                  <c:v>106.62569999999999</c:v>
                </c:pt>
                <c:pt idx="25">
                  <c:v>107.3814</c:v>
                </c:pt>
                <c:pt idx="26">
                  <c:v>109.74290000000001</c:v>
                </c:pt>
                <c:pt idx="27">
                  <c:v>110.2971</c:v>
                </c:pt>
                <c:pt idx="28">
                  <c:v>111.39570000000001</c:v>
                </c:pt>
                <c:pt idx="29">
                  <c:v>112.47709999999999</c:v>
                </c:pt>
                <c:pt idx="30">
                  <c:v>113.49</c:v>
                </c:pt>
                <c:pt idx="31">
                  <c:v>112.5329</c:v>
                </c:pt>
                <c:pt idx="32">
                  <c:v>114.12860000000001</c:v>
                </c:pt>
                <c:pt idx="33">
                  <c:v>113.3</c:v>
                </c:pt>
                <c:pt idx="34">
                  <c:v>114.37139999999999</c:v>
                </c:pt>
                <c:pt idx="35">
                  <c:v>114.9</c:v>
                </c:pt>
                <c:pt idx="36">
                  <c:v>116.05710000000001</c:v>
                </c:pt>
                <c:pt idx="37">
                  <c:v>117.2286</c:v>
                </c:pt>
                <c:pt idx="38">
                  <c:v>118.55710000000001</c:v>
                </c:pt>
                <c:pt idx="39">
                  <c:v>118.1857</c:v>
                </c:pt>
                <c:pt idx="40">
                  <c:v>120.2714</c:v>
                </c:pt>
                <c:pt idx="41">
                  <c:v>121.1857</c:v>
                </c:pt>
                <c:pt idx="42">
                  <c:v>122.2</c:v>
                </c:pt>
                <c:pt idx="43">
                  <c:v>121.5857</c:v>
                </c:pt>
                <c:pt idx="44">
                  <c:v>121.32859999999999</c:v>
                </c:pt>
                <c:pt idx="45">
                  <c:v>120.71429999999999</c:v>
                </c:pt>
                <c:pt idx="46">
                  <c:v>121</c:v>
                </c:pt>
                <c:pt idx="47">
                  <c:v>120.67140000000001</c:v>
                </c:pt>
                <c:pt idx="48">
                  <c:v>122.0857</c:v>
                </c:pt>
                <c:pt idx="49">
                  <c:v>121.4286</c:v>
                </c:pt>
                <c:pt idx="50">
                  <c:v>123</c:v>
                </c:pt>
                <c:pt idx="51">
                  <c:v>123.9</c:v>
                </c:pt>
                <c:pt idx="52">
                  <c:v>123.98569999999999</c:v>
                </c:pt>
                <c:pt idx="53">
                  <c:v>124.6857</c:v>
                </c:pt>
                <c:pt idx="54">
                  <c:v>125.0286</c:v>
                </c:pt>
                <c:pt idx="55">
                  <c:v>123.5857</c:v>
                </c:pt>
                <c:pt idx="56">
                  <c:v>125.1</c:v>
                </c:pt>
                <c:pt idx="57">
                  <c:v>126.67140000000001</c:v>
                </c:pt>
                <c:pt idx="58">
                  <c:v>127.1857</c:v>
                </c:pt>
                <c:pt idx="59">
                  <c:v>129.71430000000001</c:v>
                </c:pt>
                <c:pt idx="60">
                  <c:v>131.01429999999999</c:v>
                </c:pt>
                <c:pt idx="61">
                  <c:v>131.28569999999999</c:v>
                </c:pt>
                <c:pt idx="62">
                  <c:v>132.38570000000001</c:v>
                </c:pt>
                <c:pt idx="63">
                  <c:v>133.25710000000001</c:v>
                </c:pt>
                <c:pt idx="64">
                  <c:v>132.11429999999999</c:v>
                </c:pt>
                <c:pt idx="65">
                  <c:v>132.6429</c:v>
                </c:pt>
                <c:pt idx="66">
                  <c:v>132.05709999999999</c:v>
                </c:pt>
                <c:pt idx="67">
                  <c:v>131.80000000000001</c:v>
                </c:pt>
                <c:pt idx="68">
                  <c:v>132.56</c:v>
                </c:pt>
                <c:pt idx="69">
                  <c:v>132.72499999999999</c:v>
                </c:pt>
              </c:numCache>
            </c:numRef>
          </c:val>
          <c:smooth val="0"/>
          <c:extLst>
            <c:ext xmlns:c16="http://schemas.microsoft.com/office/drawing/2014/chart" uri="{C3380CC4-5D6E-409C-BE32-E72D297353CC}">
              <c16:uniqueId val="{00000003-3B49-9F44-95ED-5A7A6102BF57}"/>
            </c:ext>
          </c:extLst>
        </c:ser>
        <c:ser>
          <c:idx val="4"/>
          <c:order val="4"/>
          <c:tx>
            <c:strRef>
              <c:f>'[Hedonic Indexes.xlsx]Unit Price Hedonic Index'!$M$1</c:f>
              <c:strCache>
                <c:ptCount val="1"/>
                <c:pt idx="0">
                  <c:v>FocalSuburbs</c:v>
                </c:pt>
              </c:strCache>
            </c:strRef>
          </c:tx>
          <c:spPr>
            <a:ln w="28575" cap="rnd">
              <a:solidFill>
                <a:schemeClr val="accent5"/>
              </a:solidFill>
              <a:round/>
            </a:ln>
            <a:effectLst/>
          </c:spPr>
          <c:marker>
            <c:symbol val="none"/>
          </c:marker>
          <c:cat>
            <c:strRef>
              <c:f>'[Hedonic Indexes.xlsx]Unit Price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Indexes.xlsx]Unit Price Hedonic Index'!$M$2:$M$71</c:f>
              <c:numCache>
                <c:formatCode>General</c:formatCode>
                <c:ptCount val="70"/>
                <c:pt idx="0">
                  <c:v>100</c:v>
                </c:pt>
                <c:pt idx="1">
                  <c:v>102.8982</c:v>
                </c:pt>
                <c:pt idx="2">
                  <c:v>102.4928</c:v>
                </c:pt>
                <c:pt idx="3">
                  <c:v>102.2033</c:v>
                </c:pt>
                <c:pt idx="4">
                  <c:v>102.26990000000001</c:v>
                </c:pt>
                <c:pt idx="5">
                  <c:v>102.3364</c:v>
                </c:pt>
                <c:pt idx="6">
                  <c:v>100.62569999999999</c:v>
                </c:pt>
                <c:pt idx="7">
                  <c:v>99.191280000000006</c:v>
                </c:pt>
                <c:pt idx="8">
                  <c:v>99.013289999999998</c:v>
                </c:pt>
                <c:pt idx="9">
                  <c:v>96.903850000000006</c:v>
                </c:pt>
                <c:pt idx="10">
                  <c:v>95.664429999999996</c:v>
                </c:pt>
                <c:pt idx="11">
                  <c:v>94.424999999999997</c:v>
                </c:pt>
                <c:pt idx="12">
                  <c:v>96.044139999999999</c:v>
                </c:pt>
                <c:pt idx="13">
                  <c:v>97.807000000000002</c:v>
                </c:pt>
                <c:pt idx="14">
                  <c:v>97.721429999999998</c:v>
                </c:pt>
                <c:pt idx="15">
                  <c:v>96.744290000000007</c:v>
                </c:pt>
                <c:pt idx="16">
                  <c:v>99.475719999999995</c:v>
                </c:pt>
                <c:pt idx="17">
                  <c:v>100.68170000000001</c:v>
                </c:pt>
                <c:pt idx="18">
                  <c:v>101.3031</c:v>
                </c:pt>
                <c:pt idx="19">
                  <c:v>99.151709999999994</c:v>
                </c:pt>
                <c:pt idx="20">
                  <c:v>99.700289999999995</c:v>
                </c:pt>
                <c:pt idx="21">
                  <c:v>100.3946</c:v>
                </c:pt>
                <c:pt idx="22">
                  <c:v>102.336</c:v>
                </c:pt>
                <c:pt idx="23">
                  <c:v>102.9431</c:v>
                </c:pt>
                <c:pt idx="24">
                  <c:v>102.3</c:v>
                </c:pt>
                <c:pt idx="25">
                  <c:v>101.995</c:v>
                </c:pt>
                <c:pt idx="26">
                  <c:v>101.3579</c:v>
                </c:pt>
                <c:pt idx="27">
                  <c:v>99.402150000000006</c:v>
                </c:pt>
                <c:pt idx="28">
                  <c:v>99.143569999999997</c:v>
                </c:pt>
                <c:pt idx="29">
                  <c:v>98.896429999999995</c:v>
                </c:pt>
                <c:pt idx="30">
                  <c:v>100.215</c:v>
                </c:pt>
                <c:pt idx="31">
                  <c:v>103.4679</c:v>
                </c:pt>
                <c:pt idx="32">
                  <c:v>105.48</c:v>
                </c:pt>
                <c:pt idx="33">
                  <c:v>110.4829</c:v>
                </c:pt>
                <c:pt idx="34">
                  <c:v>111.84569999999999</c:v>
                </c:pt>
                <c:pt idx="35">
                  <c:v>113.2229</c:v>
                </c:pt>
                <c:pt idx="36">
                  <c:v>117.4314</c:v>
                </c:pt>
                <c:pt idx="37">
                  <c:v>116.2329</c:v>
                </c:pt>
                <c:pt idx="38">
                  <c:v>113.8171</c:v>
                </c:pt>
                <c:pt idx="39">
                  <c:v>113.8214</c:v>
                </c:pt>
                <c:pt idx="40">
                  <c:v>115.3643</c:v>
                </c:pt>
                <c:pt idx="41">
                  <c:v>118.56</c:v>
                </c:pt>
                <c:pt idx="42">
                  <c:v>119.4171</c:v>
                </c:pt>
                <c:pt idx="43">
                  <c:v>117.9171</c:v>
                </c:pt>
                <c:pt idx="44">
                  <c:v>119.9157</c:v>
                </c:pt>
                <c:pt idx="45">
                  <c:v>123.87430000000001</c:v>
                </c:pt>
                <c:pt idx="46">
                  <c:v>127.48569999999999</c:v>
                </c:pt>
                <c:pt idx="47">
                  <c:v>125.1429</c:v>
                </c:pt>
                <c:pt idx="48">
                  <c:v>126.2</c:v>
                </c:pt>
                <c:pt idx="49">
                  <c:v>128.37139999999999</c:v>
                </c:pt>
                <c:pt idx="50">
                  <c:v>128.75710000000001</c:v>
                </c:pt>
                <c:pt idx="51">
                  <c:v>128.9143</c:v>
                </c:pt>
                <c:pt idx="52">
                  <c:v>127.0671</c:v>
                </c:pt>
                <c:pt idx="53">
                  <c:v>123.4014</c:v>
                </c:pt>
                <c:pt idx="54">
                  <c:v>123.8586</c:v>
                </c:pt>
                <c:pt idx="55">
                  <c:v>121.43</c:v>
                </c:pt>
                <c:pt idx="56">
                  <c:v>121.15860000000001</c:v>
                </c:pt>
                <c:pt idx="57">
                  <c:v>121.8443</c:v>
                </c:pt>
                <c:pt idx="58">
                  <c:v>122.6871</c:v>
                </c:pt>
                <c:pt idx="59">
                  <c:v>122.62</c:v>
                </c:pt>
                <c:pt idx="60">
                  <c:v>125.21429999999999</c:v>
                </c:pt>
                <c:pt idx="61">
                  <c:v>124.1429</c:v>
                </c:pt>
                <c:pt idx="62">
                  <c:v>126.4571</c:v>
                </c:pt>
                <c:pt idx="63">
                  <c:v>126.94289999999999</c:v>
                </c:pt>
                <c:pt idx="64">
                  <c:v>125.6571</c:v>
                </c:pt>
                <c:pt idx="65">
                  <c:v>125.1857</c:v>
                </c:pt>
                <c:pt idx="66">
                  <c:v>127.7714</c:v>
                </c:pt>
                <c:pt idx="67">
                  <c:v>128.08330000000001</c:v>
                </c:pt>
                <c:pt idx="68">
                  <c:v>130.22</c:v>
                </c:pt>
                <c:pt idx="69">
                  <c:v>129.35</c:v>
                </c:pt>
              </c:numCache>
            </c:numRef>
          </c:val>
          <c:smooth val="0"/>
          <c:extLst>
            <c:ext xmlns:c16="http://schemas.microsoft.com/office/drawing/2014/chart" uri="{C3380CC4-5D6E-409C-BE32-E72D297353CC}">
              <c16:uniqueId val="{00000004-3B49-9F44-95ED-5A7A6102BF57}"/>
            </c:ext>
          </c:extLst>
        </c:ser>
        <c:dLbls>
          <c:showLegendKey val="0"/>
          <c:showVal val="0"/>
          <c:showCatName val="0"/>
          <c:showSerName val="0"/>
          <c:showPercent val="0"/>
          <c:showBubbleSize val="0"/>
        </c:dLbls>
        <c:smooth val="0"/>
        <c:axId val="616981952"/>
        <c:axId val="616978344"/>
      </c:lineChart>
      <c:catAx>
        <c:axId val="61698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978344"/>
        <c:crosses val="autoZero"/>
        <c:auto val="1"/>
        <c:lblAlgn val="ctr"/>
        <c:lblOffset val="100"/>
        <c:noMultiLvlLbl val="0"/>
      </c:catAx>
      <c:valAx>
        <c:axId val="616978344"/>
        <c:scaling>
          <c:orientation val="minMax"/>
          <c:max val="135"/>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98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Unit Rental Hedonic</a:t>
            </a:r>
            <a:r>
              <a:rPr lang="en-AU" baseline="0"/>
              <a:t> Index</a:t>
            </a:r>
            <a:endParaRPr lang="en-AU"/>
          </a:p>
        </c:rich>
      </c:tx>
      <c:layout>
        <c:manualLayout>
          <c:xMode val="edge"/>
          <c:yMode val="edge"/>
          <c:x val="0.33138229361483401"/>
          <c:y val="2.12014134275618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'[Hedonic Indexes.xlsx]Unit Rental Hedonic Index'!$I$1</c:f>
              <c:strCache>
                <c:ptCount val="1"/>
                <c:pt idx="0">
                  <c:v>VIC</c:v>
                </c:pt>
              </c:strCache>
            </c:strRef>
          </c:tx>
          <c:spPr>
            <a:ln w="28575" cap="rnd">
              <a:solidFill>
                <a:schemeClr val="accent1"/>
              </a:solidFill>
              <a:round/>
            </a:ln>
            <a:effectLst/>
          </c:spPr>
          <c:marker>
            <c:symbol val="none"/>
          </c:marker>
          <c:cat>
            <c:strRef>
              <c:f>'[Hedonic Indexes.xlsx]Unit Rental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Indexes.xlsx]Unit Rental Hedonic Index'!$I$2:$I$71</c:f>
              <c:numCache>
                <c:formatCode>General</c:formatCode>
                <c:ptCount val="70"/>
                <c:pt idx="0">
                  <c:v>100</c:v>
                </c:pt>
                <c:pt idx="1">
                  <c:v>98.766400000000004</c:v>
                </c:pt>
                <c:pt idx="2">
                  <c:v>99.182000000000002</c:v>
                </c:pt>
                <c:pt idx="3">
                  <c:v>99.497429999999994</c:v>
                </c:pt>
                <c:pt idx="4">
                  <c:v>99.703140000000005</c:v>
                </c:pt>
                <c:pt idx="5">
                  <c:v>99.827430000000007</c:v>
                </c:pt>
                <c:pt idx="6">
                  <c:v>99.822999999999993</c:v>
                </c:pt>
                <c:pt idx="7">
                  <c:v>99.734279999999998</c:v>
                </c:pt>
                <c:pt idx="8">
                  <c:v>100.85339999999999</c:v>
                </c:pt>
                <c:pt idx="9">
                  <c:v>100.88630000000001</c:v>
                </c:pt>
                <c:pt idx="10">
                  <c:v>101.06489999999999</c:v>
                </c:pt>
                <c:pt idx="11">
                  <c:v>101.30629999999999</c:v>
                </c:pt>
                <c:pt idx="12">
                  <c:v>101.7591</c:v>
                </c:pt>
                <c:pt idx="13">
                  <c:v>102.18470000000001</c:v>
                </c:pt>
                <c:pt idx="14">
                  <c:v>102.512</c:v>
                </c:pt>
                <c:pt idx="15">
                  <c:v>102.9414</c:v>
                </c:pt>
                <c:pt idx="16">
                  <c:v>103.20569999999999</c:v>
                </c:pt>
                <c:pt idx="17">
                  <c:v>103.39</c:v>
                </c:pt>
                <c:pt idx="18">
                  <c:v>103.5</c:v>
                </c:pt>
                <c:pt idx="19">
                  <c:v>103.4743</c:v>
                </c:pt>
                <c:pt idx="20">
                  <c:v>103.5043</c:v>
                </c:pt>
                <c:pt idx="21">
                  <c:v>103.7814</c:v>
                </c:pt>
                <c:pt idx="22">
                  <c:v>104.0829</c:v>
                </c:pt>
                <c:pt idx="23">
                  <c:v>104.58710000000001</c:v>
                </c:pt>
                <c:pt idx="24">
                  <c:v>105.15</c:v>
                </c:pt>
                <c:pt idx="25">
                  <c:v>105.5543</c:v>
                </c:pt>
                <c:pt idx="26">
                  <c:v>106.1871</c:v>
                </c:pt>
                <c:pt idx="27">
                  <c:v>106.7871</c:v>
                </c:pt>
                <c:pt idx="28">
                  <c:v>107.18</c:v>
                </c:pt>
                <c:pt idx="29">
                  <c:v>107.48139999999999</c:v>
                </c:pt>
                <c:pt idx="30">
                  <c:v>107.42570000000001</c:v>
                </c:pt>
                <c:pt idx="31">
                  <c:v>107.32859999999999</c:v>
                </c:pt>
                <c:pt idx="32">
                  <c:v>107.44</c:v>
                </c:pt>
                <c:pt idx="33">
                  <c:v>107.4957</c:v>
                </c:pt>
                <c:pt idx="34">
                  <c:v>107.71</c:v>
                </c:pt>
                <c:pt idx="35">
                  <c:v>107.9957</c:v>
                </c:pt>
                <c:pt idx="36">
                  <c:v>108.3043</c:v>
                </c:pt>
                <c:pt idx="37">
                  <c:v>108.8929</c:v>
                </c:pt>
                <c:pt idx="38">
                  <c:v>109.38</c:v>
                </c:pt>
                <c:pt idx="39">
                  <c:v>109.75</c:v>
                </c:pt>
                <c:pt idx="40">
                  <c:v>110.07859999999999</c:v>
                </c:pt>
                <c:pt idx="41">
                  <c:v>110.28570000000001</c:v>
                </c:pt>
                <c:pt idx="42">
                  <c:v>110.3214</c:v>
                </c:pt>
                <c:pt idx="43">
                  <c:v>110.3486</c:v>
                </c:pt>
                <c:pt idx="44">
                  <c:v>110.23860000000001</c:v>
                </c:pt>
                <c:pt idx="45">
                  <c:v>110.2957</c:v>
                </c:pt>
                <c:pt idx="46">
                  <c:v>110.55289999999999</c:v>
                </c:pt>
                <c:pt idx="47">
                  <c:v>110.9529</c:v>
                </c:pt>
                <c:pt idx="48">
                  <c:v>111.31</c:v>
                </c:pt>
                <c:pt idx="49">
                  <c:v>111.7329</c:v>
                </c:pt>
                <c:pt idx="50">
                  <c:v>112.13290000000001</c:v>
                </c:pt>
                <c:pt idx="51">
                  <c:v>112.5</c:v>
                </c:pt>
                <c:pt idx="52">
                  <c:v>112.67140000000001</c:v>
                </c:pt>
                <c:pt idx="53">
                  <c:v>112.67140000000001</c:v>
                </c:pt>
                <c:pt idx="54">
                  <c:v>111.79430000000001</c:v>
                </c:pt>
                <c:pt idx="55">
                  <c:v>111.68</c:v>
                </c:pt>
                <c:pt idx="56">
                  <c:v>111.6229</c:v>
                </c:pt>
                <c:pt idx="57">
                  <c:v>111.7657</c:v>
                </c:pt>
                <c:pt idx="58">
                  <c:v>112.02290000000001</c:v>
                </c:pt>
                <c:pt idx="59">
                  <c:v>112.6657</c:v>
                </c:pt>
                <c:pt idx="60">
                  <c:v>112.38</c:v>
                </c:pt>
                <c:pt idx="61">
                  <c:v>112.4414</c:v>
                </c:pt>
                <c:pt idx="62">
                  <c:v>111.89570000000001</c:v>
                </c:pt>
                <c:pt idx="63">
                  <c:v>110.6986</c:v>
                </c:pt>
                <c:pt idx="64">
                  <c:v>109.1357</c:v>
                </c:pt>
                <c:pt idx="65">
                  <c:v>107.29</c:v>
                </c:pt>
                <c:pt idx="66">
                  <c:v>104.87</c:v>
                </c:pt>
                <c:pt idx="67">
                  <c:v>104.0317</c:v>
                </c:pt>
                <c:pt idx="68">
                  <c:v>103.32</c:v>
                </c:pt>
                <c:pt idx="69">
                  <c:v>101.98</c:v>
                </c:pt>
              </c:numCache>
            </c:numRef>
          </c:val>
          <c:smooth val="0"/>
          <c:extLst>
            <c:ext xmlns:c16="http://schemas.microsoft.com/office/drawing/2014/chart" uri="{C3380CC4-5D6E-409C-BE32-E72D297353CC}">
              <c16:uniqueId val="{00000000-EB6A-574D-97D6-3C8EB8A18EDE}"/>
            </c:ext>
          </c:extLst>
        </c:ser>
        <c:ser>
          <c:idx val="1"/>
          <c:order val="1"/>
          <c:tx>
            <c:strRef>
              <c:f>'[Hedonic Indexes.xlsx]Unit Rental Hedonic Index'!$J$1</c:f>
              <c:strCache>
                <c:ptCount val="1"/>
                <c:pt idx="0">
                  <c:v>GreaterMelbourne</c:v>
                </c:pt>
              </c:strCache>
            </c:strRef>
          </c:tx>
          <c:spPr>
            <a:ln w="28575" cap="rnd">
              <a:solidFill>
                <a:schemeClr val="accent2"/>
              </a:solidFill>
              <a:round/>
            </a:ln>
            <a:effectLst/>
          </c:spPr>
          <c:marker>
            <c:symbol val="none"/>
          </c:marker>
          <c:cat>
            <c:strRef>
              <c:f>'[Hedonic Indexes.xlsx]Unit Rental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Indexes.xlsx]Unit Rental Hedonic Index'!$J$2:$J$71</c:f>
              <c:numCache>
                <c:formatCode>General</c:formatCode>
                <c:ptCount val="70"/>
                <c:pt idx="0">
                  <c:v>100</c:v>
                </c:pt>
                <c:pt idx="1">
                  <c:v>98.630600000000001</c:v>
                </c:pt>
                <c:pt idx="2">
                  <c:v>99.082170000000005</c:v>
                </c:pt>
                <c:pt idx="3">
                  <c:v>99.430430000000001</c:v>
                </c:pt>
                <c:pt idx="4">
                  <c:v>99.661860000000004</c:v>
                </c:pt>
                <c:pt idx="5">
                  <c:v>99.815569999999994</c:v>
                </c:pt>
                <c:pt idx="6">
                  <c:v>99.786429999999996</c:v>
                </c:pt>
                <c:pt idx="7">
                  <c:v>99.680999999999997</c:v>
                </c:pt>
                <c:pt idx="8">
                  <c:v>100.8766</c:v>
                </c:pt>
                <c:pt idx="9">
                  <c:v>100.8837</c:v>
                </c:pt>
                <c:pt idx="10">
                  <c:v>101.0266</c:v>
                </c:pt>
                <c:pt idx="11">
                  <c:v>101.2551</c:v>
                </c:pt>
                <c:pt idx="12">
                  <c:v>101.73</c:v>
                </c:pt>
                <c:pt idx="13">
                  <c:v>102.133</c:v>
                </c:pt>
                <c:pt idx="14">
                  <c:v>102.4813</c:v>
                </c:pt>
                <c:pt idx="15">
                  <c:v>102.9657</c:v>
                </c:pt>
                <c:pt idx="16">
                  <c:v>103.2443</c:v>
                </c:pt>
                <c:pt idx="17">
                  <c:v>103.4571</c:v>
                </c:pt>
                <c:pt idx="18">
                  <c:v>103.58710000000001</c:v>
                </c:pt>
                <c:pt idx="19">
                  <c:v>103.4957</c:v>
                </c:pt>
                <c:pt idx="20">
                  <c:v>103.5543</c:v>
                </c:pt>
                <c:pt idx="21">
                  <c:v>103.80710000000001</c:v>
                </c:pt>
                <c:pt idx="22">
                  <c:v>104.0714</c:v>
                </c:pt>
                <c:pt idx="23">
                  <c:v>104.6157</c:v>
                </c:pt>
                <c:pt idx="24">
                  <c:v>105.2214</c:v>
                </c:pt>
                <c:pt idx="25">
                  <c:v>105.7257</c:v>
                </c:pt>
                <c:pt idx="26">
                  <c:v>106.43429999999999</c:v>
                </c:pt>
                <c:pt idx="27">
                  <c:v>107.04859999999999</c:v>
                </c:pt>
                <c:pt idx="28">
                  <c:v>107.43</c:v>
                </c:pt>
                <c:pt idx="29">
                  <c:v>107.7671</c:v>
                </c:pt>
                <c:pt idx="30">
                  <c:v>107.68</c:v>
                </c:pt>
                <c:pt idx="31">
                  <c:v>107.5429</c:v>
                </c:pt>
                <c:pt idx="32">
                  <c:v>107.5514</c:v>
                </c:pt>
                <c:pt idx="33">
                  <c:v>107.56140000000001</c:v>
                </c:pt>
                <c:pt idx="34">
                  <c:v>107.7829</c:v>
                </c:pt>
                <c:pt idx="35">
                  <c:v>108.09139999999999</c:v>
                </c:pt>
                <c:pt idx="36">
                  <c:v>108.42570000000001</c:v>
                </c:pt>
                <c:pt idx="37">
                  <c:v>109.0343</c:v>
                </c:pt>
                <c:pt idx="38">
                  <c:v>109.53570000000001</c:v>
                </c:pt>
                <c:pt idx="39">
                  <c:v>109.85429999999999</c:v>
                </c:pt>
                <c:pt idx="40">
                  <c:v>110.19710000000001</c:v>
                </c:pt>
                <c:pt idx="41">
                  <c:v>110.3986</c:v>
                </c:pt>
                <c:pt idx="42">
                  <c:v>110.36</c:v>
                </c:pt>
                <c:pt idx="43">
                  <c:v>110.32859999999999</c:v>
                </c:pt>
                <c:pt idx="44">
                  <c:v>110.14709999999999</c:v>
                </c:pt>
                <c:pt idx="45">
                  <c:v>110.1614</c:v>
                </c:pt>
                <c:pt idx="46">
                  <c:v>110.4114</c:v>
                </c:pt>
                <c:pt idx="47">
                  <c:v>110.81140000000001</c:v>
                </c:pt>
                <c:pt idx="48">
                  <c:v>111.15430000000001</c:v>
                </c:pt>
                <c:pt idx="49">
                  <c:v>111.6157</c:v>
                </c:pt>
                <c:pt idx="50">
                  <c:v>112.01860000000001</c:v>
                </c:pt>
                <c:pt idx="51">
                  <c:v>112.4143</c:v>
                </c:pt>
                <c:pt idx="52">
                  <c:v>112.6</c:v>
                </c:pt>
                <c:pt idx="53">
                  <c:v>112.6</c:v>
                </c:pt>
                <c:pt idx="54">
                  <c:v>111.5943</c:v>
                </c:pt>
                <c:pt idx="55">
                  <c:v>111.48</c:v>
                </c:pt>
                <c:pt idx="56">
                  <c:v>111.40860000000001</c:v>
                </c:pt>
                <c:pt idx="57">
                  <c:v>111.52290000000001</c:v>
                </c:pt>
                <c:pt idx="58">
                  <c:v>111.79430000000001</c:v>
                </c:pt>
                <c:pt idx="59">
                  <c:v>112.38</c:v>
                </c:pt>
                <c:pt idx="60">
                  <c:v>112.0214</c:v>
                </c:pt>
                <c:pt idx="61">
                  <c:v>112.07859999999999</c:v>
                </c:pt>
                <c:pt idx="62">
                  <c:v>111.4657</c:v>
                </c:pt>
                <c:pt idx="63">
                  <c:v>110.11</c:v>
                </c:pt>
                <c:pt idx="64">
                  <c:v>108.3429</c:v>
                </c:pt>
                <c:pt idx="65">
                  <c:v>106.2457</c:v>
                </c:pt>
                <c:pt idx="66">
                  <c:v>103.63</c:v>
                </c:pt>
                <c:pt idx="67">
                  <c:v>102.7033</c:v>
                </c:pt>
                <c:pt idx="68">
                  <c:v>101.91200000000001</c:v>
                </c:pt>
                <c:pt idx="69">
                  <c:v>100.3625</c:v>
                </c:pt>
              </c:numCache>
            </c:numRef>
          </c:val>
          <c:smooth val="0"/>
          <c:extLst>
            <c:ext xmlns:c16="http://schemas.microsoft.com/office/drawing/2014/chart" uri="{C3380CC4-5D6E-409C-BE32-E72D297353CC}">
              <c16:uniqueId val="{00000001-EB6A-574D-97D6-3C8EB8A18EDE}"/>
            </c:ext>
          </c:extLst>
        </c:ser>
        <c:ser>
          <c:idx val="2"/>
          <c:order val="2"/>
          <c:tx>
            <c:strRef>
              <c:f>'[Hedonic Indexes.xlsx]Unit Rental Hedonic Index'!$K$1</c:f>
              <c:strCache>
                <c:ptCount val="1"/>
                <c:pt idx="0">
                  <c:v>RegionalVIC</c:v>
                </c:pt>
              </c:strCache>
            </c:strRef>
          </c:tx>
          <c:spPr>
            <a:ln w="28575" cap="rnd">
              <a:solidFill>
                <a:schemeClr val="accent3"/>
              </a:solidFill>
              <a:round/>
            </a:ln>
            <a:effectLst/>
          </c:spPr>
          <c:marker>
            <c:symbol val="none"/>
          </c:marker>
          <c:cat>
            <c:strRef>
              <c:f>'[Hedonic Indexes.xlsx]Unit Rental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Indexes.xlsx]Unit Rental Hedonic Index'!$K$2:$K$71</c:f>
              <c:numCache>
                <c:formatCode>General</c:formatCode>
                <c:ptCount val="70"/>
                <c:pt idx="0">
                  <c:v>100</c:v>
                </c:pt>
                <c:pt idx="1">
                  <c:v>100.6258</c:v>
                </c:pt>
                <c:pt idx="2">
                  <c:v>100.67100000000001</c:v>
                </c:pt>
                <c:pt idx="3">
                  <c:v>100.69410000000001</c:v>
                </c:pt>
                <c:pt idx="4">
                  <c:v>100.7821</c:v>
                </c:pt>
                <c:pt idx="5">
                  <c:v>100.807</c:v>
                </c:pt>
                <c:pt idx="6">
                  <c:v>100.895</c:v>
                </c:pt>
                <c:pt idx="7">
                  <c:v>100.9359</c:v>
                </c:pt>
                <c:pt idx="8">
                  <c:v>100.9344</c:v>
                </c:pt>
                <c:pt idx="9">
                  <c:v>101.0949</c:v>
                </c:pt>
                <c:pt idx="10">
                  <c:v>101.4216</c:v>
                </c:pt>
                <c:pt idx="11">
                  <c:v>101.72929999999999</c:v>
                </c:pt>
                <c:pt idx="12">
                  <c:v>102.0881</c:v>
                </c:pt>
                <c:pt idx="13">
                  <c:v>102.55670000000001</c:v>
                </c:pt>
                <c:pt idx="14">
                  <c:v>102.7914</c:v>
                </c:pt>
                <c:pt idx="15">
                  <c:v>102.93859999999999</c:v>
                </c:pt>
                <c:pt idx="16">
                  <c:v>103.16</c:v>
                </c:pt>
                <c:pt idx="17">
                  <c:v>103.26139999999999</c:v>
                </c:pt>
                <c:pt idx="18">
                  <c:v>103.32429999999999</c:v>
                </c:pt>
                <c:pt idx="19">
                  <c:v>103.5829</c:v>
                </c:pt>
                <c:pt idx="20">
                  <c:v>103.6</c:v>
                </c:pt>
                <c:pt idx="21">
                  <c:v>103.9614</c:v>
                </c:pt>
                <c:pt idx="22">
                  <c:v>104.4329</c:v>
                </c:pt>
                <c:pt idx="23">
                  <c:v>104.7843</c:v>
                </c:pt>
                <c:pt idx="24">
                  <c:v>105.1771</c:v>
                </c:pt>
                <c:pt idx="25">
                  <c:v>105.4314</c:v>
                </c:pt>
                <c:pt idx="26">
                  <c:v>105.7114</c:v>
                </c:pt>
                <c:pt idx="27">
                  <c:v>106.1871</c:v>
                </c:pt>
                <c:pt idx="28">
                  <c:v>106.64</c:v>
                </c:pt>
                <c:pt idx="29">
                  <c:v>106.79859999999999</c:v>
                </c:pt>
                <c:pt idx="30">
                  <c:v>106.9114</c:v>
                </c:pt>
                <c:pt idx="31">
                  <c:v>106.99</c:v>
                </c:pt>
                <c:pt idx="32">
                  <c:v>107.29859999999999</c:v>
                </c:pt>
                <c:pt idx="33">
                  <c:v>107.5686</c:v>
                </c:pt>
                <c:pt idx="34">
                  <c:v>107.76430000000001</c:v>
                </c:pt>
                <c:pt idx="35">
                  <c:v>107.9443</c:v>
                </c:pt>
                <c:pt idx="36">
                  <c:v>108.1957</c:v>
                </c:pt>
                <c:pt idx="37">
                  <c:v>108.6186</c:v>
                </c:pt>
                <c:pt idx="38">
                  <c:v>109.0271</c:v>
                </c:pt>
                <c:pt idx="39">
                  <c:v>109.52</c:v>
                </c:pt>
                <c:pt idx="40">
                  <c:v>109.7929</c:v>
                </c:pt>
                <c:pt idx="41">
                  <c:v>110.05</c:v>
                </c:pt>
                <c:pt idx="42">
                  <c:v>110.3857</c:v>
                </c:pt>
                <c:pt idx="43">
                  <c:v>110.62430000000001</c:v>
                </c:pt>
                <c:pt idx="44">
                  <c:v>110.8843</c:v>
                </c:pt>
                <c:pt idx="45">
                  <c:v>111.1429</c:v>
                </c:pt>
                <c:pt idx="46">
                  <c:v>111.4571</c:v>
                </c:pt>
                <c:pt idx="47">
                  <c:v>111.8</c:v>
                </c:pt>
                <c:pt idx="48">
                  <c:v>112.1571</c:v>
                </c:pt>
                <c:pt idx="49">
                  <c:v>112.4</c:v>
                </c:pt>
                <c:pt idx="50">
                  <c:v>112.7714</c:v>
                </c:pt>
                <c:pt idx="51">
                  <c:v>112.9714</c:v>
                </c:pt>
                <c:pt idx="52">
                  <c:v>113.1</c:v>
                </c:pt>
                <c:pt idx="53">
                  <c:v>113.17140000000001</c:v>
                </c:pt>
                <c:pt idx="54">
                  <c:v>113.17140000000001</c:v>
                </c:pt>
                <c:pt idx="55">
                  <c:v>113.12860000000001</c:v>
                </c:pt>
                <c:pt idx="56">
                  <c:v>113.1429</c:v>
                </c:pt>
                <c:pt idx="57">
                  <c:v>113.3857</c:v>
                </c:pt>
                <c:pt idx="58">
                  <c:v>113.5714</c:v>
                </c:pt>
                <c:pt idx="59">
                  <c:v>113.8</c:v>
                </c:pt>
                <c:pt idx="60">
                  <c:v>113.8857</c:v>
                </c:pt>
                <c:pt idx="61">
                  <c:v>113.94289999999999</c:v>
                </c:pt>
                <c:pt idx="62">
                  <c:v>113.75709999999999</c:v>
                </c:pt>
                <c:pt idx="63">
                  <c:v>113.62860000000001</c:v>
                </c:pt>
                <c:pt idx="64">
                  <c:v>113.21429999999999</c:v>
                </c:pt>
                <c:pt idx="65">
                  <c:v>112.94289999999999</c:v>
                </c:pt>
                <c:pt idx="66">
                  <c:v>112.4714</c:v>
                </c:pt>
                <c:pt idx="67">
                  <c:v>112.2333</c:v>
                </c:pt>
                <c:pt idx="68">
                  <c:v>111.96</c:v>
                </c:pt>
                <c:pt idx="69">
                  <c:v>111.95</c:v>
                </c:pt>
              </c:numCache>
            </c:numRef>
          </c:val>
          <c:smooth val="0"/>
          <c:extLst>
            <c:ext xmlns:c16="http://schemas.microsoft.com/office/drawing/2014/chart" uri="{C3380CC4-5D6E-409C-BE32-E72D297353CC}">
              <c16:uniqueId val="{00000002-EB6A-574D-97D6-3C8EB8A18EDE}"/>
            </c:ext>
          </c:extLst>
        </c:ser>
        <c:ser>
          <c:idx val="3"/>
          <c:order val="3"/>
          <c:tx>
            <c:strRef>
              <c:f>'[Hedonic Indexes.xlsx]Unit Rental Hedonic Index'!$L$1</c:f>
              <c:strCache>
                <c:ptCount val="1"/>
                <c:pt idx="0">
                  <c:v>GreaterGeelong</c:v>
                </c:pt>
              </c:strCache>
            </c:strRef>
          </c:tx>
          <c:spPr>
            <a:ln w="28575" cap="rnd">
              <a:solidFill>
                <a:schemeClr val="accent4"/>
              </a:solidFill>
              <a:round/>
            </a:ln>
            <a:effectLst/>
          </c:spPr>
          <c:marker>
            <c:symbol val="none"/>
          </c:marker>
          <c:cat>
            <c:strRef>
              <c:f>'[Hedonic Indexes.xlsx]Unit Rental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Indexes.xlsx]Unit Rental Hedonic Index'!$L$2:$L$71</c:f>
              <c:numCache>
                <c:formatCode>General</c:formatCode>
                <c:ptCount val="70"/>
                <c:pt idx="0">
                  <c:v>100</c:v>
                </c:pt>
                <c:pt idx="1">
                  <c:v>100.706</c:v>
                </c:pt>
                <c:pt idx="2">
                  <c:v>100.51</c:v>
                </c:pt>
                <c:pt idx="3">
                  <c:v>100.6143</c:v>
                </c:pt>
                <c:pt idx="4">
                  <c:v>100.05</c:v>
                </c:pt>
                <c:pt idx="5">
                  <c:v>99.872860000000003</c:v>
                </c:pt>
                <c:pt idx="6">
                  <c:v>99.684290000000004</c:v>
                </c:pt>
                <c:pt idx="7">
                  <c:v>99.812860000000001</c:v>
                </c:pt>
                <c:pt idx="8">
                  <c:v>100.2657</c:v>
                </c:pt>
                <c:pt idx="9">
                  <c:v>100.55289999999999</c:v>
                </c:pt>
                <c:pt idx="10">
                  <c:v>100.6357</c:v>
                </c:pt>
                <c:pt idx="11">
                  <c:v>101.5671</c:v>
                </c:pt>
                <c:pt idx="12">
                  <c:v>102.00709999999999</c:v>
                </c:pt>
                <c:pt idx="13">
                  <c:v>101.9927</c:v>
                </c:pt>
                <c:pt idx="14">
                  <c:v>102.01560000000001</c:v>
                </c:pt>
                <c:pt idx="15">
                  <c:v>101.9041</c:v>
                </c:pt>
                <c:pt idx="16">
                  <c:v>102.0941</c:v>
                </c:pt>
                <c:pt idx="17">
                  <c:v>102.14700000000001</c:v>
                </c:pt>
                <c:pt idx="18">
                  <c:v>102.1099</c:v>
                </c:pt>
                <c:pt idx="19">
                  <c:v>102.0241</c:v>
                </c:pt>
                <c:pt idx="20">
                  <c:v>102.5243</c:v>
                </c:pt>
                <c:pt idx="21">
                  <c:v>102.5157</c:v>
                </c:pt>
                <c:pt idx="22">
                  <c:v>102.94</c:v>
                </c:pt>
                <c:pt idx="23">
                  <c:v>103.08</c:v>
                </c:pt>
                <c:pt idx="24">
                  <c:v>103.1743</c:v>
                </c:pt>
                <c:pt idx="25">
                  <c:v>103.7243</c:v>
                </c:pt>
                <c:pt idx="26">
                  <c:v>104.5029</c:v>
                </c:pt>
                <c:pt idx="27">
                  <c:v>104.91</c:v>
                </c:pt>
                <c:pt idx="28">
                  <c:v>105.5429</c:v>
                </c:pt>
                <c:pt idx="29">
                  <c:v>106.1443</c:v>
                </c:pt>
                <c:pt idx="30">
                  <c:v>106.4543</c:v>
                </c:pt>
                <c:pt idx="31">
                  <c:v>106.8343</c:v>
                </c:pt>
                <c:pt idx="32">
                  <c:v>106.9686</c:v>
                </c:pt>
                <c:pt idx="33">
                  <c:v>106.9186</c:v>
                </c:pt>
                <c:pt idx="34">
                  <c:v>107.21</c:v>
                </c:pt>
                <c:pt idx="35">
                  <c:v>107.2171</c:v>
                </c:pt>
                <c:pt idx="36">
                  <c:v>107.02</c:v>
                </c:pt>
                <c:pt idx="37">
                  <c:v>107.60290000000001</c:v>
                </c:pt>
                <c:pt idx="38">
                  <c:v>108.31570000000001</c:v>
                </c:pt>
                <c:pt idx="39">
                  <c:v>108.6343</c:v>
                </c:pt>
                <c:pt idx="40">
                  <c:v>108.6486</c:v>
                </c:pt>
                <c:pt idx="41">
                  <c:v>108.6314</c:v>
                </c:pt>
                <c:pt idx="42">
                  <c:v>109.3257</c:v>
                </c:pt>
                <c:pt idx="43">
                  <c:v>110.4371</c:v>
                </c:pt>
                <c:pt idx="44">
                  <c:v>110.4943</c:v>
                </c:pt>
                <c:pt idx="45">
                  <c:v>110.5086</c:v>
                </c:pt>
                <c:pt idx="46">
                  <c:v>110.6186</c:v>
                </c:pt>
                <c:pt idx="47">
                  <c:v>111.4371</c:v>
                </c:pt>
                <c:pt idx="48">
                  <c:v>111.98569999999999</c:v>
                </c:pt>
                <c:pt idx="49">
                  <c:v>112.1143</c:v>
                </c:pt>
                <c:pt idx="50">
                  <c:v>112.0714</c:v>
                </c:pt>
                <c:pt idx="51">
                  <c:v>112.44289999999999</c:v>
                </c:pt>
                <c:pt idx="52">
                  <c:v>113.0429</c:v>
                </c:pt>
                <c:pt idx="53">
                  <c:v>113.6857</c:v>
                </c:pt>
                <c:pt idx="54">
                  <c:v>114.01430000000001</c:v>
                </c:pt>
                <c:pt idx="55">
                  <c:v>114.5429</c:v>
                </c:pt>
                <c:pt idx="56">
                  <c:v>115.3571</c:v>
                </c:pt>
                <c:pt idx="57">
                  <c:v>115.8571</c:v>
                </c:pt>
                <c:pt idx="58">
                  <c:v>116.4714</c:v>
                </c:pt>
                <c:pt idx="59">
                  <c:v>116.8143</c:v>
                </c:pt>
                <c:pt idx="60">
                  <c:v>117.48569999999999</c:v>
                </c:pt>
                <c:pt idx="61">
                  <c:v>118.0714</c:v>
                </c:pt>
                <c:pt idx="62">
                  <c:v>118.17140000000001</c:v>
                </c:pt>
                <c:pt idx="63">
                  <c:v>118.01430000000001</c:v>
                </c:pt>
                <c:pt idx="64">
                  <c:v>117.51430000000001</c:v>
                </c:pt>
                <c:pt idx="65">
                  <c:v>117.0429</c:v>
                </c:pt>
                <c:pt idx="66">
                  <c:v>117.44289999999999</c:v>
                </c:pt>
                <c:pt idx="67">
                  <c:v>117.13330000000001</c:v>
                </c:pt>
                <c:pt idx="68">
                  <c:v>116.64</c:v>
                </c:pt>
                <c:pt idx="69">
                  <c:v>116.425</c:v>
                </c:pt>
              </c:numCache>
            </c:numRef>
          </c:val>
          <c:smooth val="0"/>
          <c:extLst>
            <c:ext xmlns:c16="http://schemas.microsoft.com/office/drawing/2014/chart" uri="{C3380CC4-5D6E-409C-BE32-E72D297353CC}">
              <c16:uniqueId val="{00000003-EB6A-574D-97D6-3C8EB8A18EDE}"/>
            </c:ext>
          </c:extLst>
        </c:ser>
        <c:ser>
          <c:idx val="4"/>
          <c:order val="4"/>
          <c:tx>
            <c:strRef>
              <c:f>'[Hedonic Indexes.xlsx]Unit Rental Hedonic Index'!$M$1</c:f>
              <c:strCache>
                <c:ptCount val="1"/>
                <c:pt idx="0">
                  <c:v>FocalSuburbs</c:v>
                </c:pt>
              </c:strCache>
            </c:strRef>
          </c:tx>
          <c:spPr>
            <a:ln w="28575" cap="rnd">
              <a:solidFill>
                <a:schemeClr val="accent5"/>
              </a:solidFill>
              <a:round/>
            </a:ln>
            <a:effectLst/>
          </c:spPr>
          <c:marker>
            <c:symbol val="none"/>
          </c:marker>
          <c:cat>
            <c:strRef>
              <c:f>'[Hedonic Indexes.xlsx]Unit Rental Hedonic Index'!$H$2:$H$71</c:f>
              <c:strCache>
                <c:ptCount val="70"/>
                <c:pt idx="0">
                  <c:v>2015-1</c:v>
                </c:pt>
                <c:pt idx="1">
                  <c:v>2015-2</c:v>
                </c:pt>
                <c:pt idx="2">
                  <c:v>2015-3</c:v>
                </c:pt>
                <c:pt idx="3">
                  <c:v>2015-4</c:v>
                </c:pt>
                <c:pt idx="4">
                  <c:v>2015-5</c:v>
                </c:pt>
                <c:pt idx="5">
                  <c:v>2015-6</c:v>
                </c:pt>
                <c:pt idx="6">
                  <c:v>2015-7</c:v>
                </c:pt>
                <c:pt idx="7">
                  <c:v>2015-8</c:v>
                </c:pt>
                <c:pt idx="8">
                  <c:v>2015-9</c:v>
                </c:pt>
                <c:pt idx="9">
                  <c:v>2015-10</c:v>
                </c:pt>
                <c:pt idx="10">
                  <c:v>2015-11</c:v>
                </c:pt>
                <c:pt idx="11">
                  <c:v>2015-12</c:v>
                </c:pt>
                <c:pt idx="12">
                  <c:v>2016-1</c:v>
                </c:pt>
                <c:pt idx="13">
                  <c:v>2016-2</c:v>
                </c:pt>
                <c:pt idx="14">
                  <c:v>2016-3</c:v>
                </c:pt>
                <c:pt idx="15">
                  <c:v>2016-4</c:v>
                </c:pt>
                <c:pt idx="16">
                  <c:v>2016-5</c:v>
                </c:pt>
                <c:pt idx="17">
                  <c:v>2016-6</c:v>
                </c:pt>
                <c:pt idx="18">
                  <c:v>2016-7</c:v>
                </c:pt>
                <c:pt idx="19">
                  <c:v>2016-8</c:v>
                </c:pt>
                <c:pt idx="20">
                  <c:v>2016-9</c:v>
                </c:pt>
                <c:pt idx="21">
                  <c:v>2016-10</c:v>
                </c:pt>
                <c:pt idx="22">
                  <c:v>2016-11</c:v>
                </c:pt>
                <c:pt idx="23">
                  <c:v>2016-12</c:v>
                </c:pt>
                <c:pt idx="24">
                  <c:v>2017-1</c:v>
                </c:pt>
                <c:pt idx="25">
                  <c:v>2017-2</c:v>
                </c:pt>
                <c:pt idx="26">
                  <c:v>2017-3</c:v>
                </c:pt>
                <c:pt idx="27">
                  <c:v>2017-4</c:v>
                </c:pt>
                <c:pt idx="28">
                  <c:v>2017-5</c:v>
                </c:pt>
                <c:pt idx="29">
                  <c:v>2017-6</c:v>
                </c:pt>
                <c:pt idx="30">
                  <c:v>2017-7</c:v>
                </c:pt>
                <c:pt idx="31">
                  <c:v>2017-8</c:v>
                </c:pt>
                <c:pt idx="32">
                  <c:v>2017-9</c:v>
                </c:pt>
                <c:pt idx="33">
                  <c:v>2017-10</c:v>
                </c:pt>
                <c:pt idx="34">
                  <c:v>2017-11</c:v>
                </c:pt>
                <c:pt idx="35">
                  <c:v>2017-12</c:v>
                </c:pt>
                <c:pt idx="36">
                  <c:v>2018-1</c:v>
                </c:pt>
                <c:pt idx="37">
                  <c:v>2018-2</c:v>
                </c:pt>
                <c:pt idx="38">
                  <c:v>2018-3</c:v>
                </c:pt>
                <c:pt idx="39">
                  <c:v>2018-4</c:v>
                </c:pt>
                <c:pt idx="40">
                  <c:v>2018-5</c:v>
                </c:pt>
                <c:pt idx="41">
                  <c:v>2018-6</c:v>
                </c:pt>
                <c:pt idx="42">
                  <c:v>2018-7</c:v>
                </c:pt>
                <c:pt idx="43">
                  <c:v>2018-8</c:v>
                </c:pt>
                <c:pt idx="44">
                  <c:v>2018-9</c:v>
                </c:pt>
                <c:pt idx="45">
                  <c:v>2018-10</c:v>
                </c:pt>
                <c:pt idx="46">
                  <c:v>2018-11</c:v>
                </c:pt>
                <c:pt idx="47">
                  <c:v>2018-12</c:v>
                </c:pt>
                <c:pt idx="48">
                  <c:v>2019-1</c:v>
                </c:pt>
                <c:pt idx="49">
                  <c:v>2019-2</c:v>
                </c:pt>
                <c:pt idx="50">
                  <c:v>2019-3</c:v>
                </c:pt>
                <c:pt idx="51">
                  <c:v>2019-4</c:v>
                </c:pt>
                <c:pt idx="52">
                  <c:v>2019-5</c:v>
                </c:pt>
                <c:pt idx="53">
                  <c:v>2019-6</c:v>
                </c:pt>
                <c:pt idx="54">
                  <c:v>2019-7</c:v>
                </c:pt>
                <c:pt idx="55">
                  <c:v>2019-8</c:v>
                </c:pt>
                <c:pt idx="56">
                  <c:v>2019-9</c:v>
                </c:pt>
                <c:pt idx="57">
                  <c:v>2019-10</c:v>
                </c:pt>
                <c:pt idx="58">
                  <c:v>2019-11</c:v>
                </c:pt>
                <c:pt idx="59">
                  <c:v>2019-12</c:v>
                </c:pt>
                <c:pt idx="60">
                  <c:v>2020-1</c:v>
                </c:pt>
                <c:pt idx="61">
                  <c:v>2020-2</c:v>
                </c:pt>
                <c:pt idx="62">
                  <c:v>2020-3</c:v>
                </c:pt>
                <c:pt idx="63">
                  <c:v>2020-4</c:v>
                </c:pt>
                <c:pt idx="64">
                  <c:v>2020-5</c:v>
                </c:pt>
                <c:pt idx="65">
                  <c:v>2020-6</c:v>
                </c:pt>
                <c:pt idx="66">
                  <c:v>2020-7</c:v>
                </c:pt>
                <c:pt idx="67">
                  <c:v>2020-8</c:v>
                </c:pt>
                <c:pt idx="68">
                  <c:v>2020-9</c:v>
                </c:pt>
                <c:pt idx="69">
                  <c:v>2020-10</c:v>
                </c:pt>
              </c:strCache>
            </c:strRef>
          </c:cat>
          <c:val>
            <c:numRef>
              <c:f>'[Hedonic Indexes.xlsx]Unit Rental Hedonic Index'!$M$2:$M$71</c:f>
              <c:numCache>
                <c:formatCode>General</c:formatCode>
                <c:ptCount val="70"/>
                <c:pt idx="0">
                  <c:v>100</c:v>
                </c:pt>
                <c:pt idx="1">
                  <c:v>102.29430000000001</c:v>
                </c:pt>
                <c:pt idx="2">
                  <c:v>102.7423</c:v>
                </c:pt>
                <c:pt idx="3">
                  <c:v>103.3826</c:v>
                </c:pt>
                <c:pt idx="4">
                  <c:v>103.7835</c:v>
                </c:pt>
                <c:pt idx="5">
                  <c:v>104.4693</c:v>
                </c:pt>
                <c:pt idx="6">
                  <c:v>105.3267</c:v>
                </c:pt>
                <c:pt idx="7">
                  <c:v>106.05629999999999</c:v>
                </c:pt>
                <c:pt idx="8">
                  <c:v>106.4798</c:v>
                </c:pt>
                <c:pt idx="9">
                  <c:v>106.608</c:v>
                </c:pt>
                <c:pt idx="10">
                  <c:v>106.3488</c:v>
                </c:pt>
                <c:pt idx="11">
                  <c:v>106.1759</c:v>
                </c:pt>
                <c:pt idx="12">
                  <c:v>105.941</c:v>
                </c:pt>
                <c:pt idx="13">
                  <c:v>105.64709999999999</c:v>
                </c:pt>
                <c:pt idx="14">
                  <c:v>105.3729</c:v>
                </c:pt>
                <c:pt idx="15">
                  <c:v>105.37860000000001</c:v>
                </c:pt>
                <c:pt idx="16">
                  <c:v>105.4455</c:v>
                </c:pt>
                <c:pt idx="17">
                  <c:v>105.6163</c:v>
                </c:pt>
                <c:pt idx="18">
                  <c:v>105.61839999999999</c:v>
                </c:pt>
                <c:pt idx="19">
                  <c:v>105.462</c:v>
                </c:pt>
                <c:pt idx="20">
                  <c:v>105.258</c:v>
                </c:pt>
                <c:pt idx="21">
                  <c:v>105.0273</c:v>
                </c:pt>
                <c:pt idx="22">
                  <c:v>104.77290000000001</c:v>
                </c:pt>
                <c:pt idx="23">
                  <c:v>104.69450000000001</c:v>
                </c:pt>
                <c:pt idx="24">
                  <c:v>104.6459</c:v>
                </c:pt>
                <c:pt idx="25">
                  <c:v>104.8549</c:v>
                </c:pt>
                <c:pt idx="26">
                  <c:v>105.3284</c:v>
                </c:pt>
                <c:pt idx="27">
                  <c:v>105.8078</c:v>
                </c:pt>
                <c:pt idx="28">
                  <c:v>106.312</c:v>
                </c:pt>
                <c:pt idx="29">
                  <c:v>106.782</c:v>
                </c:pt>
                <c:pt idx="30">
                  <c:v>107.0031</c:v>
                </c:pt>
                <c:pt idx="31">
                  <c:v>107.29349999999999</c:v>
                </c:pt>
                <c:pt idx="32">
                  <c:v>107.4751</c:v>
                </c:pt>
                <c:pt idx="33">
                  <c:v>107.5184</c:v>
                </c:pt>
                <c:pt idx="34">
                  <c:v>107.5796</c:v>
                </c:pt>
                <c:pt idx="35">
                  <c:v>107.7278</c:v>
                </c:pt>
                <c:pt idx="36">
                  <c:v>107.7971</c:v>
                </c:pt>
                <c:pt idx="37">
                  <c:v>108.01390000000001</c:v>
                </c:pt>
                <c:pt idx="38">
                  <c:v>108.0598</c:v>
                </c:pt>
                <c:pt idx="39">
                  <c:v>108.1463</c:v>
                </c:pt>
                <c:pt idx="40">
                  <c:v>108.3635</c:v>
                </c:pt>
                <c:pt idx="41">
                  <c:v>108.65389999999999</c:v>
                </c:pt>
                <c:pt idx="42">
                  <c:v>108.89879999999999</c:v>
                </c:pt>
                <c:pt idx="43">
                  <c:v>109.44199999999999</c:v>
                </c:pt>
                <c:pt idx="44">
                  <c:v>110.2384</c:v>
                </c:pt>
                <c:pt idx="45">
                  <c:v>111.251</c:v>
                </c:pt>
                <c:pt idx="46">
                  <c:v>112.279</c:v>
                </c:pt>
                <c:pt idx="47">
                  <c:v>113.3355</c:v>
                </c:pt>
                <c:pt idx="48">
                  <c:v>114.47880000000001</c:v>
                </c:pt>
                <c:pt idx="49">
                  <c:v>115.7547</c:v>
                </c:pt>
                <c:pt idx="50">
                  <c:v>116.8288</c:v>
                </c:pt>
                <c:pt idx="51">
                  <c:v>117.6302</c:v>
                </c:pt>
                <c:pt idx="52">
                  <c:v>118.3163</c:v>
                </c:pt>
                <c:pt idx="53">
                  <c:v>119.0245</c:v>
                </c:pt>
                <c:pt idx="54">
                  <c:v>119.4327</c:v>
                </c:pt>
                <c:pt idx="55">
                  <c:v>119.66119999999999</c:v>
                </c:pt>
                <c:pt idx="56">
                  <c:v>119.6857</c:v>
                </c:pt>
                <c:pt idx="57">
                  <c:v>119.64490000000001</c:v>
                </c:pt>
                <c:pt idx="58">
                  <c:v>119.71429999999999</c:v>
                </c:pt>
                <c:pt idx="59">
                  <c:v>119.8143</c:v>
                </c:pt>
                <c:pt idx="60">
                  <c:v>120.0347</c:v>
                </c:pt>
                <c:pt idx="61">
                  <c:v>120.53060000000001</c:v>
                </c:pt>
                <c:pt idx="62">
                  <c:v>120.8837</c:v>
                </c:pt>
                <c:pt idx="63">
                  <c:v>121.2367</c:v>
                </c:pt>
                <c:pt idx="64">
                  <c:v>121.7612</c:v>
                </c:pt>
                <c:pt idx="65">
                  <c:v>122.10850000000001</c:v>
                </c:pt>
                <c:pt idx="66">
                  <c:v>122.4269</c:v>
                </c:pt>
                <c:pt idx="67">
                  <c:v>122.3656</c:v>
                </c:pt>
                <c:pt idx="68">
                  <c:v>122.2718</c:v>
                </c:pt>
                <c:pt idx="69">
                  <c:v>122.32899999999999</c:v>
                </c:pt>
              </c:numCache>
            </c:numRef>
          </c:val>
          <c:smooth val="0"/>
          <c:extLst>
            <c:ext xmlns:c16="http://schemas.microsoft.com/office/drawing/2014/chart" uri="{C3380CC4-5D6E-409C-BE32-E72D297353CC}">
              <c16:uniqueId val="{00000004-EB6A-574D-97D6-3C8EB8A18EDE}"/>
            </c:ext>
          </c:extLst>
        </c:ser>
        <c:dLbls>
          <c:showLegendKey val="0"/>
          <c:showVal val="0"/>
          <c:showCatName val="0"/>
          <c:showSerName val="0"/>
          <c:showPercent val="0"/>
          <c:showBubbleSize val="0"/>
        </c:dLbls>
        <c:smooth val="0"/>
        <c:axId val="478533344"/>
        <c:axId val="478528096"/>
      </c:lineChart>
      <c:catAx>
        <c:axId val="47853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28096"/>
        <c:crosses val="autoZero"/>
        <c:auto val="1"/>
        <c:lblAlgn val="ctr"/>
        <c:lblOffset val="100"/>
        <c:noMultiLvlLbl val="0"/>
      </c:catAx>
      <c:valAx>
        <c:axId val="478528096"/>
        <c:scaling>
          <c:orientation val="minMax"/>
          <c:max val="125"/>
          <c:min val="9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3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3a9e4d95-bf9a-4a74-8227-b28ce5338601" xsi:nil="true"/>
    <Notfordistribution xmlns="3a9e4d95-bf9a-4a74-8227-b28ce533860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CEB3AFC59C2B4AA0D9ADEEC8BC323F" ma:contentTypeVersion="14" ma:contentTypeDescription="Create a new document." ma:contentTypeScope="" ma:versionID="3a32987d15a645aaf9bec485e7faa2f1">
  <xsd:schema xmlns:xsd="http://www.w3.org/2001/XMLSchema" xmlns:xs="http://www.w3.org/2001/XMLSchema" xmlns:p="http://schemas.microsoft.com/office/2006/metadata/properties" xmlns:ns2="3a9e4d95-bf9a-4a74-8227-b28ce5338601" xmlns:ns3="ba809f56-ef49-432a-a700-e8d0938ffdc1" targetNamespace="http://schemas.microsoft.com/office/2006/metadata/properties" ma:root="true" ma:fieldsID="423ec82bd24b56449a2bd94572c6f57a" ns2:_="" ns3:_="">
    <xsd:import namespace="3a9e4d95-bf9a-4a74-8227-b28ce5338601"/>
    <xsd:import namespace="ba809f56-ef49-432a-a700-e8d0938ffd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_Flow_SignoffStatus" minOccurs="0"/>
                <xsd:element ref="ns2:Notfordistribu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e4d95-bf9a-4a74-8227-b28ce5338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Notfordistribution" ma:index="19" nillable="true" ma:displayName="Not for distribution" ma:format="Dropdown" ma:internalName="Notfordistribution">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809f56-ef49-432a-a700-e8d0938ffdc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468076-EF5D-4B62-8F18-1B5A5F24D28C}">
  <ds:schemaRefs>
    <ds:schemaRef ds:uri="http://schemas.openxmlformats.org/officeDocument/2006/bibliography"/>
  </ds:schemaRefs>
</ds:datastoreItem>
</file>

<file path=customXml/itemProps2.xml><?xml version="1.0" encoding="utf-8"?>
<ds:datastoreItem xmlns:ds="http://schemas.openxmlformats.org/officeDocument/2006/customXml" ds:itemID="{08D43B1F-575F-49C4-AA5A-AF897EE92F24}">
  <ds:schemaRefs>
    <ds:schemaRef ds:uri="http://schemas.microsoft.com/office/2006/metadata/properties"/>
    <ds:schemaRef ds:uri="http://schemas.microsoft.com/office/infopath/2007/PartnerControls"/>
    <ds:schemaRef ds:uri="3a9e4d95-bf9a-4a74-8227-b28ce5338601"/>
  </ds:schemaRefs>
</ds:datastoreItem>
</file>

<file path=customXml/itemProps3.xml><?xml version="1.0" encoding="utf-8"?>
<ds:datastoreItem xmlns:ds="http://schemas.openxmlformats.org/officeDocument/2006/customXml" ds:itemID="{7D23434A-2658-4914-A3B2-8085DBF4CF55}">
  <ds:schemaRefs>
    <ds:schemaRef ds:uri="http://schemas.microsoft.com/sharepoint/v3/contenttype/forms"/>
  </ds:schemaRefs>
</ds:datastoreItem>
</file>

<file path=customXml/itemProps4.xml><?xml version="1.0" encoding="utf-8"?>
<ds:datastoreItem xmlns:ds="http://schemas.openxmlformats.org/officeDocument/2006/customXml" ds:itemID="{A6A9294B-F517-4494-982B-13F755410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9e4d95-bf9a-4a74-8227-b28ce5338601"/>
    <ds:schemaRef ds:uri="ba809f56-ef49-432a-a700-e8d0938ff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310</Pages>
  <Words>123463</Words>
  <Characters>758065</Characters>
  <Application>Microsoft Office Word</Application>
  <DocSecurity>0</DocSecurity>
  <Lines>24453</Lines>
  <Paragraphs>16324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Tucker</dc:creator>
  <cp:keywords/>
  <dc:description/>
  <cp:lastModifiedBy>Richard Tucker</cp:lastModifiedBy>
  <cp:revision>3</cp:revision>
  <cp:lastPrinted>2021-05-10T07:36:00Z</cp:lastPrinted>
  <dcterms:created xsi:type="dcterms:W3CDTF">2021-05-10T07:37:00Z</dcterms:created>
  <dcterms:modified xsi:type="dcterms:W3CDTF">2021-05-10T07:39:00Z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0x01010023CEB3AFC59C2B4AA0D9ADEEC8BC323F</vt:lpwstr>
  </property>
</Properties>
</file>